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3BCE" w14:textId="77777777" w:rsidR="00432FD5" w:rsidRDefault="00432FD5" w:rsidP="00432FD5">
      <w:pPr>
        <w:jc w:val="center"/>
        <w:rPr>
          <w:b/>
          <w:bCs/>
          <w:sz w:val="56"/>
          <w:szCs w:val="56"/>
        </w:rPr>
      </w:pPr>
      <w:r>
        <w:rPr>
          <w:b/>
          <w:bCs/>
          <w:sz w:val="56"/>
          <w:szCs w:val="56"/>
        </w:rPr>
        <w:t>Philologisch-Exegetischer Kommentar</w:t>
      </w:r>
    </w:p>
    <w:p w14:paraId="5F3F5A40" w14:textId="77777777" w:rsidR="00432FD5" w:rsidRDefault="00432FD5" w:rsidP="00432FD5">
      <w:pPr>
        <w:jc w:val="center"/>
        <w:rPr>
          <w:b/>
          <w:bCs/>
          <w:sz w:val="16"/>
          <w:szCs w:val="16"/>
        </w:rPr>
      </w:pPr>
    </w:p>
    <w:p w14:paraId="1C763260" w14:textId="77777777" w:rsidR="00432FD5" w:rsidRDefault="00432FD5" w:rsidP="00432FD5">
      <w:pPr>
        <w:jc w:val="center"/>
        <w:rPr>
          <w:b/>
          <w:bCs/>
          <w:sz w:val="56"/>
          <w:szCs w:val="56"/>
        </w:rPr>
      </w:pPr>
      <w:r>
        <w:rPr>
          <w:b/>
          <w:bCs/>
          <w:sz w:val="56"/>
          <w:szCs w:val="56"/>
        </w:rPr>
        <w:t xml:space="preserve">Tanach-Deutsch </w:t>
      </w:r>
    </w:p>
    <w:p w14:paraId="7D7760A4" w14:textId="77777777" w:rsidR="00432FD5" w:rsidRDefault="00432FD5" w:rsidP="00432FD5">
      <w:pPr>
        <w:jc w:val="center"/>
        <w:rPr>
          <w:b/>
          <w:bCs/>
        </w:rPr>
      </w:pPr>
    </w:p>
    <w:p w14:paraId="5366AE74" w14:textId="08D171D5" w:rsidR="008B2F71" w:rsidRDefault="00432FD5" w:rsidP="00432FD5">
      <w:pPr>
        <w:jc w:val="center"/>
        <w:rPr>
          <w:b/>
          <w:bCs/>
          <w:sz w:val="56"/>
          <w:szCs w:val="56"/>
        </w:rPr>
      </w:pPr>
      <w:r w:rsidRPr="00432FD5">
        <w:rPr>
          <w:b/>
          <w:bCs/>
          <w:sz w:val="56"/>
          <w:szCs w:val="56"/>
        </w:rPr>
        <w:t>Numeri</w:t>
      </w:r>
    </w:p>
    <w:p w14:paraId="128692CB" w14:textId="77777777" w:rsidR="00F81BB8" w:rsidRPr="00C75384" w:rsidRDefault="00F81BB8" w:rsidP="00963AC3">
      <w:pPr>
        <w:pStyle w:val="whitespace-normal"/>
      </w:pPr>
    </w:p>
    <w:p w14:paraId="2D4CEF39"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w:t>
      </w:r>
    </w:p>
    <w:p w14:paraId="7B82293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וַיְדַבֵּ֨ר יְהוָ֧ה אֶל־מֹשֶׁ֛ה בְּמִדְבַּ֥ר סִינַ֖י בְּאֹ֣הֶל מוֹעֵ֑ד בְּאֶחָד֩ לַחֹ֨דֶשׁ הַשֵּׁנִ֜י בַּשָּׁנָ֣ה הַשֵּׁנִ֗ית לְצֵאתָ֛ם מֵאֶ֥רֶץ מִצְרַ֖יִם לֵאמֹֽר׃</w:t>
      </w:r>
    </w:p>
    <w:p w14:paraId="4B74C03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der Ewige redete zu Mosche in der Wüste Sinai im Zelt der Begegnung am Ersten des zweiten Monats im zweiten Jahr nach ihrem Auszug aus dem Land Mizrajim, sagend:</w:t>
      </w:r>
    </w:p>
    <w:p w14:paraId="58FF84C1"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719A236">
          <v:rect id="_x0000_i1025" style="width:0;height:1.5pt" o:hralign="center" o:hrstd="t" o:hr="t" fillcolor="#a0a0a0" stroked="f"/>
        </w:pict>
      </w:r>
    </w:p>
    <w:p w14:paraId="5D94BA7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וַיְדַבֵּר</w:t>
      </w:r>
      <w:r w:rsidRPr="00EF6A3E">
        <w:rPr>
          <w:rFonts w:eastAsia="Times New Roman" w:cs="Times New Roman"/>
          <w:rtl/>
          <w:lang w:eastAsia="de-DE"/>
        </w:rPr>
        <w:t xml:space="preserve"> </w:t>
      </w:r>
      <w:r w:rsidRPr="00EF6A3E">
        <w:rPr>
          <w:rFonts w:eastAsia="Times New Roman" w:cs="Times New Roman"/>
          <w:lang w:eastAsia="de-DE"/>
        </w:rPr>
        <w:t xml:space="preserve">eröffnet das Buch Numeri mit der Waw-consecutivum-Form von </w:t>
      </w:r>
      <w:r w:rsidRPr="00EF6A3E">
        <w:rPr>
          <w:rFonts w:eastAsia="Times New Roman" w:cs="Times New Roman"/>
          <w:b/>
          <w:bCs/>
          <w:rtl/>
          <w:lang w:eastAsia="de-DE"/>
        </w:rPr>
        <w:t>דבר</w:t>
      </w:r>
      <w:r w:rsidRPr="00EF6A3E">
        <w:rPr>
          <w:rFonts w:eastAsia="Times New Roman" w:cs="Times New Roman"/>
          <w:rtl/>
          <w:lang w:eastAsia="de-DE"/>
        </w:rPr>
        <w:t xml:space="preserve"> </w:t>
      </w:r>
      <w:r w:rsidRPr="00EF6A3E">
        <w:rPr>
          <w:rFonts w:eastAsia="Times New Roman" w:cs="Times New Roman"/>
          <w:lang w:eastAsia="de-DE"/>
        </w:rPr>
        <w:t xml:space="preserve">(reden/sprechen) im Qal-Imperfekt. Das Subjekt ist der Gottesname </w:t>
      </w:r>
      <w:r w:rsidRPr="00EF6A3E">
        <w:rPr>
          <w:rFonts w:eastAsia="Times New Roman" w:cs="Times New Roman"/>
          <w:b/>
          <w:bCs/>
          <w:rtl/>
          <w:lang w:eastAsia="de-DE"/>
        </w:rPr>
        <w:t>יְהוָה</w:t>
      </w:r>
      <w:r w:rsidRPr="00EF6A3E">
        <w:rPr>
          <w:rFonts w:eastAsia="Times New Roman" w:cs="Times New Roman"/>
          <w:lang w:eastAsia="de-DE"/>
        </w:rPr>
        <w:t xml:space="preserve">, der hier als handelnder Agent fungiert. Die Präposition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 xml:space="preserve">zeigt die Richtung der Kommunikation zu </w:t>
      </w:r>
      <w:r w:rsidRPr="00EF6A3E">
        <w:rPr>
          <w:rFonts w:eastAsia="Times New Roman" w:cs="Times New Roman"/>
          <w:b/>
          <w:bCs/>
          <w:rtl/>
          <w:lang w:eastAsia="de-DE"/>
        </w:rPr>
        <w:t>מֹשֶׁה</w:t>
      </w:r>
      <w:r w:rsidRPr="00EF6A3E">
        <w:rPr>
          <w:rFonts w:eastAsia="Times New Roman" w:cs="Times New Roman"/>
          <w:rtl/>
          <w:lang w:eastAsia="de-DE"/>
        </w:rPr>
        <w:t xml:space="preserve"> </w:t>
      </w:r>
      <w:r w:rsidRPr="00EF6A3E">
        <w:rPr>
          <w:rFonts w:eastAsia="Times New Roman" w:cs="Times New Roman"/>
          <w:lang w:eastAsia="de-DE"/>
        </w:rPr>
        <w:t>als Empfänger der göttlichen Rede.</w:t>
      </w:r>
    </w:p>
    <w:p w14:paraId="2DC2B669" w14:textId="1992E6A0"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Ortsangaben sind durch präpositionale </w:t>
      </w:r>
      <w:r w:rsidR="00F133EC">
        <w:rPr>
          <w:rFonts w:eastAsia="Times New Roman" w:cs="Times New Roman"/>
          <w:lang w:eastAsia="de-DE"/>
        </w:rPr>
        <w:t>Construct</w:t>
      </w:r>
      <w:r w:rsidRPr="00EF6A3E">
        <w:rPr>
          <w:rFonts w:eastAsia="Times New Roman" w:cs="Times New Roman"/>
          <w:lang w:eastAsia="de-DE"/>
        </w:rPr>
        <w:t xml:space="preserve">ionen gekennzeichnet: </w:t>
      </w:r>
      <w:r w:rsidRPr="00EF6A3E">
        <w:rPr>
          <w:rFonts w:eastAsia="Times New Roman" w:cs="Times New Roman"/>
          <w:b/>
          <w:bCs/>
          <w:rtl/>
          <w:lang w:eastAsia="de-DE"/>
        </w:rPr>
        <w:t>בְּמִדְבַּר סִינַי</w:t>
      </w:r>
      <w:r w:rsidRPr="00EF6A3E">
        <w:rPr>
          <w:rFonts w:eastAsia="Times New Roman" w:cs="Times New Roman"/>
          <w:rtl/>
          <w:lang w:eastAsia="de-DE"/>
        </w:rPr>
        <w:t xml:space="preserve"> </w:t>
      </w:r>
      <w:r w:rsidRPr="00EF6A3E">
        <w:rPr>
          <w:rFonts w:eastAsia="Times New Roman" w:cs="Times New Roman"/>
          <w:lang w:eastAsia="de-DE"/>
        </w:rPr>
        <w:t xml:space="preserve">(in der Wüste Sinai) mit der Präposition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 xml:space="preserve">(in/bei) und </w:t>
      </w:r>
      <w:r w:rsidRPr="00EF6A3E">
        <w:rPr>
          <w:rFonts w:eastAsia="Times New Roman" w:cs="Times New Roman"/>
          <w:b/>
          <w:bCs/>
          <w:rtl/>
          <w:lang w:eastAsia="de-DE"/>
        </w:rPr>
        <w:t>בְּאֹהֶל מוֹעֵד</w:t>
      </w:r>
      <w:r w:rsidRPr="00EF6A3E">
        <w:rPr>
          <w:rFonts w:eastAsia="Times New Roman" w:cs="Times New Roman"/>
          <w:rtl/>
          <w:lang w:eastAsia="de-DE"/>
        </w:rPr>
        <w:t xml:space="preserve"> </w:t>
      </w:r>
      <w:r w:rsidRPr="00EF6A3E">
        <w:rPr>
          <w:rFonts w:eastAsia="Times New Roman" w:cs="Times New Roman"/>
          <w:lang w:eastAsia="de-DE"/>
        </w:rPr>
        <w:t xml:space="preserve">(im Zelt der Begegnung). Das </w:t>
      </w:r>
      <w:r w:rsidR="00F133EC">
        <w:rPr>
          <w:rFonts w:eastAsia="Times New Roman" w:cs="Times New Roman"/>
          <w:lang w:eastAsia="de-DE"/>
        </w:rPr>
        <w:t>Construct</w:t>
      </w:r>
      <w:r w:rsidRPr="00EF6A3E">
        <w:rPr>
          <w:rFonts w:eastAsia="Times New Roman" w:cs="Times New Roman"/>
          <w:lang w:eastAsia="de-DE"/>
        </w:rPr>
        <w:t xml:space="preserve"> </w:t>
      </w:r>
      <w:r w:rsidRPr="00EF6A3E">
        <w:rPr>
          <w:rFonts w:eastAsia="Times New Roman" w:cs="Times New Roman"/>
          <w:b/>
          <w:bCs/>
          <w:rtl/>
          <w:lang w:eastAsia="de-DE"/>
        </w:rPr>
        <w:t>אֹהֶל מוֹעֵד</w:t>
      </w:r>
      <w:r w:rsidRPr="00EF6A3E">
        <w:rPr>
          <w:rFonts w:eastAsia="Times New Roman" w:cs="Times New Roman"/>
          <w:rtl/>
          <w:lang w:eastAsia="de-DE"/>
        </w:rPr>
        <w:t xml:space="preserve"> </w:t>
      </w:r>
      <w:r w:rsidRPr="00EF6A3E">
        <w:rPr>
          <w:rFonts w:eastAsia="Times New Roman" w:cs="Times New Roman"/>
          <w:lang w:eastAsia="de-DE"/>
        </w:rPr>
        <w:t xml:space="preserve">verbindet </w:t>
      </w:r>
      <w:r w:rsidRPr="00EF6A3E">
        <w:rPr>
          <w:rFonts w:eastAsia="Times New Roman" w:cs="Times New Roman"/>
          <w:b/>
          <w:bCs/>
          <w:rtl/>
          <w:lang w:eastAsia="de-DE"/>
        </w:rPr>
        <w:t>אֹהֶל</w:t>
      </w:r>
      <w:r w:rsidRPr="00EF6A3E">
        <w:rPr>
          <w:rFonts w:eastAsia="Times New Roman" w:cs="Times New Roman"/>
          <w:rtl/>
          <w:lang w:eastAsia="de-DE"/>
        </w:rPr>
        <w:t xml:space="preserve"> </w:t>
      </w:r>
      <w:r w:rsidRPr="00EF6A3E">
        <w:rPr>
          <w:rFonts w:eastAsia="Times New Roman" w:cs="Times New Roman"/>
          <w:lang w:eastAsia="de-DE"/>
        </w:rPr>
        <w:t xml:space="preserve">(Zelt, maskulin) mit </w:t>
      </w:r>
      <w:r w:rsidRPr="00EF6A3E">
        <w:rPr>
          <w:rFonts w:eastAsia="Times New Roman" w:cs="Times New Roman"/>
          <w:b/>
          <w:bCs/>
          <w:rtl/>
          <w:lang w:eastAsia="de-DE"/>
        </w:rPr>
        <w:t>מוֹעֵד</w:t>
      </w:r>
      <w:r w:rsidRPr="00EF6A3E">
        <w:rPr>
          <w:rFonts w:eastAsia="Times New Roman" w:cs="Times New Roman"/>
          <w:rtl/>
          <w:lang w:eastAsia="de-DE"/>
        </w:rPr>
        <w:t xml:space="preserve"> </w:t>
      </w:r>
      <w:r w:rsidRPr="00EF6A3E">
        <w:rPr>
          <w:rFonts w:eastAsia="Times New Roman" w:cs="Times New Roman"/>
          <w:lang w:eastAsia="de-DE"/>
        </w:rPr>
        <w:t>(Begegnung/bestimmte Zeit) im Status constructus.</w:t>
      </w:r>
    </w:p>
    <w:p w14:paraId="21DC96B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Zeitangaben folgen einem komplexen präpositionalen System: </w:t>
      </w:r>
      <w:r w:rsidRPr="00EF6A3E">
        <w:rPr>
          <w:rFonts w:eastAsia="Times New Roman" w:cs="Times New Roman"/>
          <w:b/>
          <w:bCs/>
          <w:rtl/>
          <w:lang w:eastAsia="de-DE"/>
        </w:rPr>
        <w:t>בְּאֶחָד לַחֹדֶשׁ הַשֵּׁנִי</w:t>
      </w:r>
      <w:r w:rsidRPr="00EF6A3E">
        <w:rPr>
          <w:rFonts w:eastAsia="Times New Roman" w:cs="Times New Roman"/>
          <w:rtl/>
          <w:lang w:eastAsia="de-DE"/>
        </w:rPr>
        <w:t xml:space="preserve"> </w:t>
      </w:r>
      <w:r w:rsidRPr="00EF6A3E">
        <w:rPr>
          <w:rFonts w:eastAsia="Times New Roman" w:cs="Times New Roman"/>
          <w:lang w:eastAsia="de-DE"/>
        </w:rPr>
        <w:t xml:space="preserve">zeigt die Präposition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mit dem bestimmten Artikel </w:t>
      </w:r>
      <w:r w:rsidRPr="00EF6A3E">
        <w:rPr>
          <w:rFonts w:eastAsia="Times New Roman" w:cs="Times New Roman"/>
          <w:b/>
          <w:bCs/>
          <w:rtl/>
          <w:lang w:eastAsia="de-DE"/>
        </w:rPr>
        <w:t>הַ</w:t>
      </w:r>
      <w:r w:rsidRPr="00EF6A3E">
        <w:rPr>
          <w:rFonts w:eastAsia="Times New Roman" w:cs="Times New Roman"/>
          <w:rtl/>
          <w:lang w:eastAsia="de-DE"/>
        </w:rPr>
        <w:t xml:space="preserve"> </w:t>
      </w:r>
      <w:r w:rsidRPr="00EF6A3E">
        <w:rPr>
          <w:rFonts w:eastAsia="Times New Roman" w:cs="Times New Roman"/>
          <w:lang w:eastAsia="de-DE"/>
        </w:rPr>
        <w:t xml:space="preserve">vor </w:t>
      </w:r>
      <w:r w:rsidRPr="00EF6A3E">
        <w:rPr>
          <w:rFonts w:eastAsia="Times New Roman" w:cs="Times New Roman"/>
          <w:b/>
          <w:bCs/>
          <w:rtl/>
          <w:lang w:eastAsia="de-DE"/>
        </w:rPr>
        <w:t>חֹדֶשׁ</w:t>
      </w:r>
      <w:r w:rsidRPr="00EF6A3E">
        <w:rPr>
          <w:rFonts w:eastAsia="Times New Roman" w:cs="Times New Roman"/>
          <w:rtl/>
          <w:lang w:eastAsia="de-DE"/>
        </w:rPr>
        <w:t xml:space="preserve"> </w:t>
      </w:r>
      <w:r w:rsidRPr="00EF6A3E">
        <w:rPr>
          <w:rFonts w:eastAsia="Times New Roman" w:cs="Times New Roman"/>
          <w:lang w:eastAsia="de-DE"/>
        </w:rPr>
        <w:t xml:space="preserve">(Monat). Das Ordinale </w:t>
      </w:r>
      <w:r w:rsidRPr="00EF6A3E">
        <w:rPr>
          <w:rFonts w:eastAsia="Times New Roman" w:cs="Times New Roman"/>
          <w:b/>
          <w:bCs/>
          <w:rtl/>
          <w:lang w:eastAsia="de-DE"/>
        </w:rPr>
        <w:t>הַשֵּׁנִי</w:t>
      </w:r>
      <w:r w:rsidRPr="00EF6A3E">
        <w:rPr>
          <w:rFonts w:eastAsia="Times New Roman" w:cs="Times New Roman"/>
          <w:rtl/>
          <w:lang w:eastAsia="de-DE"/>
        </w:rPr>
        <w:t xml:space="preserve"> </w:t>
      </w:r>
      <w:r w:rsidRPr="00EF6A3E">
        <w:rPr>
          <w:rFonts w:eastAsia="Times New Roman" w:cs="Times New Roman"/>
          <w:lang w:eastAsia="de-DE"/>
        </w:rPr>
        <w:t xml:space="preserve">(der zweite) steht attributiv zu </w:t>
      </w:r>
      <w:r w:rsidRPr="00EF6A3E">
        <w:rPr>
          <w:rFonts w:eastAsia="Times New Roman" w:cs="Times New Roman"/>
          <w:b/>
          <w:bCs/>
          <w:rtl/>
          <w:lang w:eastAsia="de-DE"/>
        </w:rPr>
        <w:t>חֹדֶשׁ</w:t>
      </w:r>
      <w:r w:rsidRPr="00EF6A3E">
        <w:rPr>
          <w:rFonts w:eastAsia="Times New Roman" w:cs="Times New Roman"/>
          <w:lang w:eastAsia="de-DE"/>
        </w:rPr>
        <w:t xml:space="preserve">. Die weitere Zeitangabe </w:t>
      </w:r>
      <w:r w:rsidRPr="00EF6A3E">
        <w:rPr>
          <w:rFonts w:eastAsia="Times New Roman" w:cs="Times New Roman"/>
          <w:b/>
          <w:bCs/>
          <w:rtl/>
          <w:lang w:eastAsia="de-DE"/>
        </w:rPr>
        <w:t>בַּשָּׁנָה הַשֵּׁנִית</w:t>
      </w:r>
      <w:r w:rsidRPr="00EF6A3E">
        <w:rPr>
          <w:rFonts w:eastAsia="Times New Roman" w:cs="Times New Roman"/>
          <w:rtl/>
          <w:lang w:eastAsia="de-DE"/>
        </w:rPr>
        <w:t xml:space="preserve"> </w:t>
      </w:r>
      <w:r w:rsidRPr="00EF6A3E">
        <w:rPr>
          <w:rFonts w:eastAsia="Times New Roman" w:cs="Times New Roman"/>
          <w:lang w:eastAsia="de-DE"/>
        </w:rPr>
        <w:t xml:space="preserve">wiederholt die Struktur mit </w:t>
      </w:r>
      <w:r w:rsidRPr="00EF6A3E">
        <w:rPr>
          <w:rFonts w:eastAsia="Times New Roman" w:cs="Times New Roman"/>
          <w:b/>
          <w:bCs/>
          <w:rtl/>
          <w:lang w:eastAsia="de-DE"/>
        </w:rPr>
        <w:t>שָׁנָה</w:t>
      </w:r>
      <w:r w:rsidRPr="00EF6A3E">
        <w:rPr>
          <w:rFonts w:eastAsia="Times New Roman" w:cs="Times New Roman"/>
          <w:rtl/>
          <w:lang w:eastAsia="de-DE"/>
        </w:rPr>
        <w:t xml:space="preserve"> </w:t>
      </w:r>
      <w:r w:rsidRPr="00EF6A3E">
        <w:rPr>
          <w:rFonts w:eastAsia="Times New Roman" w:cs="Times New Roman"/>
          <w:lang w:eastAsia="de-DE"/>
        </w:rPr>
        <w:t xml:space="preserve">(Jahr, feminin) und dem Ordinale </w:t>
      </w:r>
      <w:r w:rsidRPr="00EF6A3E">
        <w:rPr>
          <w:rFonts w:eastAsia="Times New Roman" w:cs="Times New Roman"/>
          <w:b/>
          <w:bCs/>
          <w:rtl/>
          <w:lang w:eastAsia="de-DE"/>
        </w:rPr>
        <w:t>הַשֵּׁנִית</w:t>
      </w:r>
      <w:r w:rsidRPr="00EF6A3E">
        <w:rPr>
          <w:rFonts w:eastAsia="Times New Roman" w:cs="Times New Roman"/>
          <w:lang w:eastAsia="de-DE"/>
        </w:rPr>
        <w:t>.</w:t>
      </w:r>
    </w:p>
    <w:p w14:paraId="268DAEC9" w14:textId="0D827B04"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Der Infinitiv-</w:t>
      </w:r>
      <w:r w:rsidR="00F133EC">
        <w:rPr>
          <w:rFonts w:eastAsia="Times New Roman" w:cs="Times New Roman"/>
          <w:lang w:eastAsia="de-DE"/>
        </w:rPr>
        <w:t>Construct</w:t>
      </w:r>
      <w:r w:rsidRPr="00EF6A3E">
        <w:rPr>
          <w:rFonts w:eastAsia="Times New Roman" w:cs="Times New Roman"/>
          <w:lang w:eastAsia="de-DE"/>
        </w:rPr>
        <w:t xml:space="preserve"> </w:t>
      </w:r>
      <w:r w:rsidRPr="00EF6A3E">
        <w:rPr>
          <w:rFonts w:eastAsia="Times New Roman" w:cs="Times New Roman"/>
          <w:b/>
          <w:bCs/>
          <w:rtl/>
          <w:lang w:eastAsia="de-DE"/>
        </w:rPr>
        <w:t>לְצֵאתָם</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יצא</w:t>
      </w:r>
      <w:r w:rsidRPr="00EF6A3E">
        <w:rPr>
          <w:rFonts w:eastAsia="Times New Roman" w:cs="Times New Roman"/>
          <w:rtl/>
          <w:lang w:eastAsia="de-DE"/>
        </w:rPr>
        <w:t xml:space="preserve"> </w:t>
      </w:r>
      <w:r w:rsidRPr="00EF6A3E">
        <w:rPr>
          <w:rFonts w:eastAsia="Times New Roman" w:cs="Times New Roman"/>
          <w:lang w:eastAsia="de-DE"/>
        </w:rPr>
        <w:t>(ausgehen/ausziehen) mit dem Suffix der 3. Person maskulin Plural (</w:t>
      </w:r>
      <w:r w:rsidRPr="00EF6A3E">
        <w:rPr>
          <w:rFonts w:eastAsia="Times New Roman" w:cs="Times New Roman"/>
          <w:b/>
          <w:bCs/>
          <w:rtl/>
          <w:lang w:eastAsia="de-DE"/>
        </w:rPr>
        <w:t>־ָם</w:t>
      </w:r>
      <w:r w:rsidRPr="00EF6A3E">
        <w:rPr>
          <w:rFonts w:eastAsia="Times New Roman" w:cs="Times New Roman"/>
          <w:lang w:eastAsia="de-DE"/>
        </w:rPr>
        <w:t xml:space="preserve">) zeigt den temporalen Bezugspunkt. Die präpositionale Phrase </w:t>
      </w:r>
      <w:r w:rsidRPr="00EF6A3E">
        <w:rPr>
          <w:rFonts w:eastAsia="Times New Roman" w:cs="Times New Roman"/>
          <w:b/>
          <w:bCs/>
          <w:rtl/>
          <w:lang w:eastAsia="de-DE"/>
        </w:rPr>
        <w:t>מֵאֶרֶץ מִצְרַיִם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מִן</w:t>
      </w:r>
      <w:r w:rsidRPr="00EF6A3E">
        <w:rPr>
          <w:rFonts w:eastAsia="Times New Roman" w:cs="Times New Roman"/>
          <w:rtl/>
          <w:lang w:eastAsia="de-DE"/>
        </w:rPr>
        <w:t xml:space="preserve"> </w:t>
      </w:r>
      <w:r w:rsidRPr="00EF6A3E">
        <w:rPr>
          <w:rFonts w:eastAsia="Times New Roman" w:cs="Times New Roman"/>
          <w:lang w:eastAsia="de-DE"/>
        </w:rPr>
        <w:t xml:space="preserve">(von/aus) und dem Dual </w:t>
      </w:r>
      <w:r w:rsidRPr="00EF6A3E">
        <w:rPr>
          <w:rFonts w:eastAsia="Times New Roman" w:cs="Times New Roman"/>
          <w:b/>
          <w:bCs/>
          <w:rtl/>
          <w:lang w:eastAsia="de-DE"/>
        </w:rPr>
        <w:t>מִצְרַיִם</w:t>
      </w:r>
      <w:r w:rsidRPr="00EF6A3E">
        <w:rPr>
          <w:rFonts w:eastAsia="Times New Roman" w:cs="Times New Roman"/>
          <w:rtl/>
          <w:lang w:eastAsia="de-DE"/>
        </w:rPr>
        <w:t xml:space="preserve"> </w:t>
      </w:r>
      <w:r w:rsidRPr="00EF6A3E">
        <w:rPr>
          <w:rFonts w:eastAsia="Times New Roman" w:cs="Times New Roman"/>
          <w:lang w:eastAsia="de-DE"/>
        </w:rPr>
        <w:t>(Ägypten) komplettiert die zeitliche Einordnung.</w:t>
      </w:r>
    </w:p>
    <w:p w14:paraId="24772E7C" w14:textId="1BF0BDC2"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abschließende </w:t>
      </w:r>
      <w:r w:rsidRPr="00EF6A3E">
        <w:rPr>
          <w:rFonts w:eastAsia="Times New Roman" w:cs="Times New Roman"/>
          <w:b/>
          <w:bCs/>
          <w:rtl/>
          <w:lang w:eastAsia="de-DE"/>
        </w:rPr>
        <w:t>לֵאמֹר</w:t>
      </w:r>
      <w:r w:rsidRPr="00EF6A3E">
        <w:rPr>
          <w:rFonts w:eastAsia="Times New Roman" w:cs="Times New Roman"/>
          <w:rtl/>
          <w:lang w:eastAsia="de-DE"/>
        </w:rPr>
        <w:t xml:space="preserve"> </w:t>
      </w:r>
      <w:r w:rsidRPr="00EF6A3E">
        <w:rPr>
          <w:rFonts w:eastAsia="Times New Roman" w:cs="Times New Roman"/>
          <w:lang w:eastAsia="de-DE"/>
        </w:rPr>
        <w:t>ist der Infinitiv-</w:t>
      </w:r>
      <w:r w:rsidR="00F133EC">
        <w:rPr>
          <w:rFonts w:eastAsia="Times New Roman" w:cs="Times New Roman"/>
          <w:lang w:eastAsia="de-DE"/>
        </w:rPr>
        <w:t>Construct</w:t>
      </w:r>
      <w:r w:rsidRPr="00EF6A3E">
        <w:rPr>
          <w:rFonts w:eastAsia="Times New Roman" w:cs="Times New Roman"/>
          <w:lang w:eastAsia="de-DE"/>
        </w:rPr>
        <w:t xml:space="preserve"> von </w:t>
      </w:r>
      <w:r w:rsidRPr="00EF6A3E">
        <w:rPr>
          <w:rFonts w:eastAsia="Times New Roman" w:cs="Times New Roman"/>
          <w:b/>
          <w:bCs/>
          <w:rtl/>
          <w:lang w:eastAsia="de-DE"/>
        </w:rPr>
        <w:t>אמר</w:t>
      </w:r>
      <w:r w:rsidRPr="00EF6A3E">
        <w:rPr>
          <w:rFonts w:eastAsia="Times New Roman" w:cs="Times New Roman"/>
          <w:rtl/>
          <w:lang w:eastAsia="de-DE"/>
        </w:rPr>
        <w:t xml:space="preserve"> </w:t>
      </w:r>
      <w:r w:rsidRPr="00EF6A3E">
        <w:rPr>
          <w:rFonts w:eastAsia="Times New Roman" w:cs="Times New Roman"/>
          <w:lang w:eastAsia="de-DE"/>
        </w:rPr>
        <w:t>(sagen) und fungiert als Redeeinleitung, typisch für prophetische Formeln.</w:t>
      </w:r>
    </w:p>
    <w:p w14:paraId="0B3F203E" w14:textId="688D15B2"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Die LXX</w:t>
      </w:r>
      <w:r w:rsidRPr="00EF6A3E">
        <w:rPr>
          <w:rFonts w:eastAsia="Times New Roman" w:cs="Times New Roman"/>
          <w:lang w:eastAsia="de-DE"/>
        </w:rPr>
        <w:t xml:space="preserve"> </w:t>
      </w:r>
      <w:r w:rsidR="0036662D">
        <w:t xml:space="preserve">übersetzt </w:t>
      </w:r>
      <w:r w:rsidR="0036662D">
        <w:rPr>
          <w:rtl/>
        </w:rPr>
        <w:t>אהל מועד</w:t>
      </w:r>
      <w:r w:rsidR="0036662D">
        <w:t xml:space="preserve"> (ohel mo'ed - "Zelt der Begegnung") als σκηνὴ τοῦ μαρτυρίου (Zelt des Zeugnisses), was eine theologische Interpretation darstellt, die die Bundeslade und die Gesetzestafeln betont.</w:t>
      </w:r>
    </w:p>
    <w:p w14:paraId="0FC4B22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Hauptsatz mit </w:t>
      </w:r>
      <w:r w:rsidRPr="00EF6A3E">
        <w:rPr>
          <w:rFonts w:eastAsia="Times New Roman" w:cs="Times New Roman"/>
          <w:b/>
          <w:bCs/>
          <w:rtl/>
          <w:lang w:eastAsia="de-DE"/>
        </w:rPr>
        <w:t>וַיְדַבֵּר יְהוָה אֶל־מֹשֶׁה</w:t>
      </w:r>
      <w:r w:rsidRPr="00EF6A3E">
        <w:rPr>
          <w:rFonts w:eastAsia="Times New Roman" w:cs="Times New Roman"/>
          <w:rtl/>
          <w:lang w:eastAsia="de-DE"/>
        </w:rPr>
        <w:t xml:space="preserve"> </w:t>
      </w:r>
      <w:r w:rsidRPr="00EF6A3E">
        <w:rPr>
          <w:rFonts w:eastAsia="Times New Roman" w:cs="Times New Roman"/>
          <w:lang w:eastAsia="de-DE"/>
        </w:rPr>
        <w:t xml:space="preserve">als Kern und mehreren präpositionalen Adverbialen zur Orts- und Zeitbestimmung. Das </w:t>
      </w:r>
      <w:r w:rsidRPr="00EF6A3E">
        <w:rPr>
          <w:rFonts w:eastAsia="Times New Roman" w:cs="Times New Roman"/>
          <w:b/>
          <w:bCs/>
          <w:rtl/>
          <w:lang w:eastAsia="de-DE"/>
        </w:rPr>
        <w:t>לֵאמֹר</w:t>
      </w:r>
      <w:r w:rsidRPr="00EF6A3E">
        <w:rPr>
          <w:rFonts w:eastAsia="Times New Roman" w:cs="Times New Roman"/>
          <w:rtl/>
          <w:lang w:eastAsia="de-DE"/>
        </w:rPr>
        <w:t xml:space="preserve"> </w:t>
      </w:r>
      <w:r w:rsidRPr="00EF6A3E">
        <w:rPr>
          <w:rFonts w:eastAsia="Times New Roman" w:cs="Times New Roman"/>
          <w:lang w:eastAsia="de-DE"/>
        </w:rPr>
        <w:t>leitet den folgenden Redeinhalt ein.</w:t>
      </w:r>
    </w:p>
    <w:p w14:paraId="07F374E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etabliert die narrative Situation für die folgende Volkszählung durch präzise chronologische und topographische Angaben, die den historischen Kontext der Sinai-Offenbarungen im zweiten Jahr nach dem Exodus situieren.</w:t>
      </w:r>
    </w:p>
    <w:p w14:paraId="21D7DF77"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w:t>
      </w:r>
    </w:p>
    <w:p w14:paraId="71A4982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שְׂא֗וּ אֶת־רֹאשׁ֙ כָּל־עֲדַ֣ת בְּנֵֽי־יִשְׂרָאֵ֔ל לְמִשְׁפְּחֹתָ֖ם לְבֵ֣ית אֲבֹתָ֑ם בְּמִסְפַּ֣ר שֵׁמ֔וֹת כָּל־זָכָ֖ר לְגֻלְגְּלֹתָֽם׃</w:t>
      </w:r>
    </w:p>
    <w:p w14:paraId="526D9AF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Erhebt die Kopfzahl der ganzen Gemeinde der Söhne Jisra'el nach ihren Familien, nach ihren Vaterhäusern, in der Zahl der Namen, alle Männlichen nach ihren Köpfen.</w:t>
      </w:r>
    </w:p>
    <w:p w14:paraId="51DE88D6"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D70B281">
          <v:rect id="_x0000_i1026" style="width:0;height:1.5pt" o:hralign="center" o:hrstd="t" o:hr="t" fillcolor="#a0a0a0" stroked="f"/>
        </w:pict>
      </w:r>
    </w:p>
    <w:p w14:paraId="61345FC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Der Imperativ </w:t>
      </w:r>
      <w:r w:rsidRPr="00EF6A3E">
        <w:rPr>
          <w:rFonts w:eastAsia="Times New Roman" w:cs="Times New Roman"/>
          <w:b/>
          <w:bCs/>
          <w:rtl/>
          <w:lang w:eastAsia="de-DE"/>
        </w:rPr>
        <w:t>שְׂאוּ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נשא</w:t>
      </w:r>
      <w:r w:rsidRPr="00EF6A3E">
        <w:rPr>
          <w:rFonts w:eastAsia="Times New Roman" w:cs="Times New Roman"/>
          <w:rtl/>
          <w:lang w:eastAsia="de-DE"/>
        </w:rPr>
        <w:t xml:space="preserve"> </w:t>
      </w:r>
      <w:r w:rsidRPr="00EF6A3E">
        <w:rPr>
          <w:rFonts w:eastAsia="Times New Roman" w:cs="Times New Roman"/>
          <w:lang w:eastAsia="de-DE"/>
        </w:rPr>
        <w:t xml:space="preserve">(erheben/tragen) in der 2. Person maskulin Plural richtet sich an Mose und Aaron. Das Akkusativobjekt </w:t>
      </w:r>
      <w:r w:rsidRPr="00EF6A3E">
        <w:rPr>
          <w:rFonts w:eastAsia="Times New Roman" w:cs="Times New Roman"/>
          <w:b/>
          <w:bCs/>
          <w:rtl/>
          <w:lang w:eastAsia="de-DE"/>
        </w:rPr>
        <w:t>אֶת־רֹאשׁ</w:t>
      </w:r>
      <w:r w:rsidRPr="00EF6A3E">
        <w:rPr>
          <w:rFonts w:eastAsia="Times New Roman" w:cs="Times New Roman"/>
          <w:rtl/>
          <w:lang w:eastAsia="de-DE"/>
        </w:rPr>
        <w:t xml:space="preserve"> </w:t>
      </w:r>
      <w:r w:rsidRPr="00EF6A3E">
        <w:rPr>
          <w:rFonts w:eastAsia="Times New Roman" w:cs="Times New Roman"/>
          <w:lang w:eastAsia="de-DE"/>
        </w:rPr>
        <w:t>mit der nota accusativi zeigt die idiomatische Wendung "das Haupt erheben" für Zählung/Musterung.</w:t>
      </w:r>
    </w:p>
    <w:p w14:paraId="314BD7B9" w14:textId="681755D0"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Begriff </w:t>
      </w:r>
      <w:r w:rsidRPr="00EF6A3E">
        <w:rPr>
          <w:rFonts w:eastAsia="Times New Roman" w:cs="Times New Roman"/>
          <w:b/>
          <w:bCs/>
          <w:rtl/>
          <w:lang w:eastAsia="de-DE"/>
        </w:rPr>
        <w:t>עֲדַת</w:t>
      </w:r>
      <w:r w:rsidRPr="00EF6A3E">
        <w:rPr>
          <w:rFonts w:eastAsia="Times New Roman" w:cs="Times New Roman"/>
          <w:rtl/>
          <w:lang w:eastAsia="de-DE"/>
        </w:rPr>
        <w:t xml:space="preserve"> </w:t>
      </w:r>
      <w:r w:rsidRPr="00EF6A3E">
        <w:rPr>
          <w:rFonts w:eastAsia="Times New Roman" w:cs="Times New Roman"/>
          <w:lang w:eastAsia="de-DE"/>
        </w:rPr>
        <w:t xml:space="preserve">(Gemeinde, feminin) steht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בְּנֵי־יִשְׂרָאֵל</w:t>
      </w:r>
      <w:r w:rsidRPr="00EF6A3E">
        <w:rPr>
          <w:rFonts w:eastAsia="Times New Roman" w:cs="Times New Roman"/>
          <w:rtl/>
          <w:lang w:eastAsia="de-DE"/>
        </w:rPr>
        <w:t xml:space="preserve"> </w:t>
      </w:r>
      <w:r w:rsidRPr="00EF6A3E">
        <w:rPr>
          <w:rFonts w:eastAsia="Times New Roman" w:cs="Times New Roman"/>
          <w:lang w:eastAsia="de-DE"/>
        </w:rPr>
        <w:t xml:space="preserve">(Söhne Israels). Das Adjektiv </w:t>
      </w:r>
      <w:r w:rsidRPr="00EF6A3E">
        <w:rPr>
          <w:rFonts w:eastAsia="Times New Roman" w:cs="Times New Roman"/>
          <w:b/>
          <w:bCs/>
          <w:rtl/>
          <w:lang w:eastAsia="de-DE"/>
        </w:rPr>
        <w:t>כָּל</w:t>
      </w:r>
      <w:r w:rsidRPr="00EF6A3E">
        <w:rPr>
          <w:rFonts w:eastAsia="Times New Roman" w:cs="Times New Roman"/>
          <w:rtl/>
          <w:lang w:eastAsia="de-DE"/>
        </w:rPr>
        <w:t xml:space="preserve"> </w:t>
      </w:r>
      <w:r w:rsidRPr="00EF6A3E">
        <w:rPr>
          <w:rFonts w:eastAsia="Times New Roman" w:cs="Times New Roman"/>
          <w:lang w:eastAsia="de-DE"/>
        </w:rPr>
        <w:t xml:space="preserve">(ganz/all) vor </w:t>
      </w:r>
      <w:r w:rsidRPr="00EF6A3E">
        <w:rPr>
          <w:rFonts w:eastAsia="Times New Roman" w:cs="Times New Roman"/>
          <w:b/>
          <w:bCs/>
          <w:rtl/>
          <w:lang w:eastAsia="de-DE"/>
        </w:rPr>
        <w:t>עֲדַת</w:t>
      </w:r>
      <w:r w:rsidRPr="00EF6A3E">
        <w:rPr>
          <w:rFonts w:eastAsia="Times New Roman" w:cs="Times New Roman"/>
          <w:rtl/>
          <w:lang w:eastAsia="de-DE"/>
        </w:rPr>
        <w:t xml:space="preserve"> </w:t>
      </w:r>
      <w:r w:rsidRPr="00EF6A3E">
        <w:rPr>
          <w:rFonts w:eastAsia="Times New Roman" w:cs="Times New Roman"/>
          <w:lang w:eastAsia="de-DE"/>
        </w:rPr>
        <w:t xml:space="preserve">betont die Vollständigkeit der Zählung. Die </w:t>
      </w:r>
      <w:r w:rsidR="00F133EC">
        <w:rPr>
          <w:rFonts w:eastAsia="Times New Roman" w:cs="Times New Roman"/>
          <w:lang w:eastAsia="de-DE"/>
        </w:rPr>
        <w:t>Construct</w:t>
      </w:r>
      <w:r w:rsidRPr="00EF6A3E">
        <w:rPr>
          <w:rFonts w:eastAsia="Times New Roman" w:cs="Times New Roman"/>
          <w:lang w:eastAsia="de-DE"/>
        </w:rPr>
        <w:t xml:space="preserve">verbindung </w:t>
      </w:r>
      <w:r w:rsidRPr="00EF6A3E">
        <w:rPr>
          <w:rFonts w:eastAsia="Times New Roman" w:cs="Times New Roman"/>
          <w:b/>
          <w:bCs/>
          <w:rtl/>
          <w:lang w:eastAsia="de-DE"/>
        </w:rPr>
        <w:t>בְּנֵי־יִשְׂרָאֵל</w:t>
      </w:r>
      <w:r w:rsidRPr="00EF6A3E">
        <w:rPr>
          <w:rFonts w:eastAsia="Times New Roman" w:cs="Times New Roman"/>
          <w:rtl/>
          <w:lang w:eastAsia="de-DE"/>
        </w:rPr>
        <w:t xml:space="preserve"> </w:t>
      </w:r>
      <w:r w:rsidRPr="00EF6A3E">
        <w:rPr>
          <w:rFonts w:eastAsia="Times New Roman" w:cs="Times New Roman"/>
          <w:lang w:eastAsia="de-DE"/>
        </w:rPr>
        <w:t xml:space="preserve">zeigt das patronymische System mit </w:t>
      </w:r>
      <w:r w:rsidRPr="00EF6A3E">
        <w:rPr>
          <w:rFonts w:eastAsia="Times New Roman" w:cs="Times New Roman"/>
          <w:b/>
          <w:bCs/>
          <w:rtl/>
          <w:lang w:eastAsia="de-DE"/>
        </w:rPr>
        <w:t>בְּנֵי</w:t>
      </w:r>
      <w:r w:rsidRPr="00EF6A3E">
        <w:rPr>
          <w:rFonts w:eastAsia="Times New Roman" w:cs="Times New Roman"/>
          <w:rtl/>
          <w:lang w:eastAsia="de-DE"/>
        </w:rPr>
        <w:t xml:space="preserve"> </w:t>
      </w:r>
      <w:r w:rsidRPr="00EF6A3E">
        <w:rPr>
          <w:rFonts w:eastAsia="Times New Roman" w:cs="Times New Roman"/>
          <w:lang w:eastAsia="de-DE"/>
        </w:rPr>
        <w:t>(Söhne von) als Gentilizium.</w:t>
      </w:r>
    </w:p>
    <w:p w14:paraId="459F9A0A" w14:textId="62CB0500"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präpositionalen Phrasen </w:t>
      </w:r>
      <w:r w:rsidRPr="00EF6A3E">
        <w:rPr>
          <w:rFonts w:eastAsia="Times New Roman" w:cs="Times New Roman"/>
          <w:b/>
          <w:bCs/>
          <w:rtl/>
          <w:lang w:eastAsia="de-DE"/>
        </w:rPr>
        <w:t>לְמִשְׁפְּחֹתָם</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לְבֵית אֲבֹתָם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zeigen die organisatorische Struktur. </w:t>
      </w:r>
      <w:r w:rsidRPr="00EF6A3E">
        <w:rPr>
          <w:rFonts w:eastAsia="Times New Roman" w:cs="Times New Roman"/>
          <w:b/>
          <w:bCs/>
          <w:rtl/>
          <w:lang w:eastAsia="de-DE"/>
        </w:rPr>
        <w:t>מִשְׁפְּחֹת</w:t>
      </w:r>
      <w:r w:rsidRPr="00EF6A3E">
        <w:rPr>
          <w:rFonts w:eastAsia="Times New Roman" w:cs="Times New Roman"/>
          <w:rtl/>
          <w:lang w:eastAsia="de-DE"/>
        </w:rPr>
        <w:t xml:space="preserve"> </w:t>
      </w:r>
      <w:r w:rsidRPr="00EF6A3E">
        <w:rPr>
          <w:rFonts w:eastAsia="Times New Roman" w:cs="Times New Roman"/>
          <w:lang w:eastAsia="de-DE"/>
        </w:rPr>
        <w:t xml:space="preserve">(Familien/Sippen) mit Possessivsuffix 3. maskulin Plural und </w:t>
      </w:r>
      <w:r w:rsidRPr="00EF6A3E">
        <w:rPr>
          <w:rFonts w:eastAsia="Times New Roman" w:cs="Times New Roman"/>
          <w:b/>
          <w:bCs/>
          <w:rtl/>
          <w:lang w:eastAsia="de-DE"/>
        </w:rPr>
        <w:t>בֵית אֲבֹתָם</w:t>
      </w:r>
      <w:r w:rsidRPr="00EF6A3E">
        <w:rPr>
          <w:rFonts w:eastAsia="Times New Roman" w:cs="Times New Roman"/>
          <w:rtl/>
          <w:lang w:eastAsia="de-DE"/>
        </w:rPr>
        <w:t xml:space="preserve"> </w:t>
      </w:r>
      <w:r w:rsidRPr="00EF6A3E">
        <w:rPr>
          <w:rFonts w:eastAsia="Times New Roman" w:cs="Times New Roman"/>
          <w:lang w:eastAsia="de-DE"/>
        </w:rPr>
        <w:t xml:space="preserve">als </w:t>
      </w:r>
      <w:r w:rsidR="00F133EC">
        <w:rPr>
          <w:rFonts w:eastAsia="Times New Roman" w:cs="Times New Roman"/>
          <w:lang w:eastAsia="de-DE"/>
        </w:rPr>
        <w:t>Construct</w:t>
      </w:r>
      <w:r w:rsidRPr="00EF6A3E">
        <w:rPr>
          <w:rFonts w:eastAsia="Times New Roman" w:cs="Times New Roman"/>
          <w:lang w:eastAsia="de-DE"/>
        </w:rPr>
        <w:t xml:space="preserve">verbindung von </w:t>
      </w:r>
      <w:r w:rsidRPr="00EF6A3E">
        <w:rPr>
          <w:rFonts w:eastAsia="Times New Roman" w:cs="Times New Roman"/>
          <w:b/>
          <w:bCs/>
          <w:rtl/>
          <w:lang w:eastAsia="de-DE"/>
        </w:rPr>
        <w:t>בַּיִת</w:t>
      </w:r>
      <w:r w:rsidRPr="00EF6A3E">
        <w:rPr>
          <w:rFonts w:eastAsia="Times New Roman" w:cs="Times New Roman"/>
          <w:rtl/>
          <w:lang w:eastAsia="de-DE"/>
        </w:rPr>
        <w:t xml:space="preserve"> </w:t>
      </w:r>
      <w:r w:rsidRPr="00EF6A3E">
        <w:rPr>
          <w:rFonts w:eastAsia="Times New Roman" w:cs="Times New Roman"/>
          <w:lang w:eastAsia="de-DE"/>
        </w:rPr>
        <w:t xml:space="preserve">(Haus) mit dem Plural </w:t>
      </w:r>
      <w:r w:rsidRPr="00EF6A3E">
        <w:rPr>
          <w:rFonts w:eastAsia="Times New Roman" w:cs="Times New Roman"/>
          <w:b/>
          <w:bCs/>
          <w:rtl/>
          <w:lang w:eastAsia="de-DE"/>
        </w:rPr>
        <w:t>אָבוֹת</w:t>
      </w:r>
      <w:r w:rsidRPr="00EF6A3E">
        <w:rPr>
          <w:rFonts w:eastAsia="Times New Roman" w:cs="Times New Roman"/>
          <w:rtl/>
          <w:lang w:eastAsia="de-DE"/>
        </w:rPr>
        <w:t xml:space="preserve"> </w:t>
      </w:r>
      <w:r w:rsidRPr="00EF6A3E">
        <w:rPr>
          <w:rFonts w:eastAsia="Times New Roman" w:cs="Times New Roman"/>
          <w:lang w:eastAsia="de-DE"/>
        </w:rPr>
        <w:t>(Väter) plus Suffix.</w:t>
      </w:r>
    </w:p>
    <w:p w14:paraId="16E55690" w14:textId="09A6A36E"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בְּמִסְפַּר שֵׁמוֹת</w:t>
      </w:r>
      <w:r w:rsidRPr="00EF6A3E">
        <w:rPr>
          <w:rFonts w:eastAsia="Times New Roman" w:cs="Times New Roman"/>
          <w:rtl/>
          <w:lang w:eastAsia="de-DE"/>
        </w:rPr>
        <w:t xml:space="preserve"> </w:t>
      </w:r>
      <w:r w:rsidRPr="00EF6A3E">
        <w:rPr>
          <w:rFonts w:eastAsia="Times New Roman" w:cs="Times New Roman"/>
          <w:lang w:eastAsia="de-DE"/>
        </w:rPr>
        <w:t xml:space="preserve">zeigt die Zählmethode durch </w:t>
      </w:r>
      <w:r w:rsidRPr="00EF6A3E">
        <w:rPr>
          <w:rFonts w:eastAsia="Times New Roman" w:cs="Times New Roman"/>
          <w:b/>
          <w:bCs/>
          <w:rtl/>
          <w:lang w:eastAsia="de-DE"/>
        </w:rPr>
        <w:t>מִסְפָּר</w:t>
      </w:r>
      <w:r w:rsidRPr="00EF6A3E">
        <w:rPr>
          <w:rFonts w:eastAsia="Times New Roman" w:cs="Times New Roman"/>
          <w:rtl/>
          <w:lang w:eastAsia="de-DE"/>
        </w:rPr>
        <w:t xml:space="preserve"> </w:t>
      </w:r>
      <w:r w:rsidRPr="00EF6A3E">
        <w:rPr>
          <w:rFonts w:eastAsia="Times New Roman" w:cs="Times New Roman"/>
          <w:lang w:eastAsia="de-DE"/>
        </w:rPr>
        <w:t xml:space="preserve">(Zahl)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שֵׁמוֹת</w:t>
      </w:r>
      <w:r w:rsidRPr="00EF6A3E">
        <w:rPr>
          <w:rFonts w:eastAsia="Times New Roman" w:cs="Times New Roman"/>
          <w:rtl/>
          <w:lang w:eastAsia="de-DE"/>
        </w:rPr>
        <w:t xml:space="preserve"> </w:t>
      </w:r>
      <w:r w:rsidRPr="00EF6A3E">
        <w:rPr>
          <w:rFonts w:eastAsia="Times New Roman" w:cs="Times New Roman"/>
          <w:lang w:eastAsia="de-DE"/>
        </w:rPr>
        <w:t xml:space="preserve">(Namen, Plural von </w:t>
      </w:r>
      <w:r w:rsidRPr="00EF6A3E">
        <w:rPr>
          <w:rFonts w:eastAsia="Times New Roman" w:cs="Times New Roman"/>
          <w:b/>
          <w:bCs/>
          <w:rtl/>
          <w:lang w:eastAsia="de-DE"/>
        </w:rPr>
        <w:t>שֵׁם</w:t>
      </w:r>
      <w:r w:rsidRPr="00EF6A3E">
        <w:rPr>
          <w:rFonts w:eastAsia="Times New Roman" w:cs="Times New Roman"/>
          <w:lang w:eastAsia="de-DE"/>
        </w:rPr>
        <w:t xml:space="preserve">). Das Subjekt der Zählung ist </w:t>
      </w:r>
      <w:r w:rsidRPr="00EF6A3E">
        <w:rPr>
          <w:rFonts w:eastAsia="Times New Roman" w:cs="Times New Roman"/>
          <w:b/>
          <w:bCs/>
          <w:rtl/>
          <w:lang w:eastAsia="de-DE"/>
        </w:rPr>
        <w:t>כָּל־זָכָר</w:t>
      </w:r>
      <w:r w:rsidRPr="00EF6A3E">
        <w:rPr>
          <w:rFonts w:eastAsia="Times New Roman" w:cs="Times New Roman"/>
          <w:rtl/>
          <w:lang w:eastAsia="de-DE"/>
        </w:rPr>
        <w:t xml:space="preserve"> </w:t>
      </w:r>
      <w:r w:rsidRPr="00EF6A3E">
        <w:rPr>
          <w:rFonts w:eastAsia="Times New Roman" w:cs="Times New Roman"/>
          <w:lang w:eastAsia="de-DE"/>
        </w:rPr>
        <w:t xml:space="preserve">(jeder männliche) mit dem Adjektiv </w:t>
      </w:r>
      <w:r w:rsidRPr="00EF6A3E">
        <w:rPr>
          <w:rFonts w:eastAsia="Times New Roman" w:cs="Times New Roman"/>
          <w:b/>
          <w:bCs/>
          <w:rtl/>
          <w:lang w:eastAsia="de-DE"/>
        </w:rPr>
        <w:t>זָכָר</w:t>
      </w:r>
      <w:r w:rsidRPr="00EF6A3E">
        <w:rPr>
          <w:rFonts w:eastAsia="Times New Roman" w:cs="Times New Roman"/>
          <w:rtl/>
          <w:lang w:eastAsia="de-DE"/>
        </w:rPr>
        <w:t xml:space="preserve"> </w:t>
      </w:r>
      <w:r w:rsidRPr="00EF6A3E">
        <w:rPr>
          <w:rFonts w:eastAsia="Times New Roman" w:cs="Times New Roman"/>
          <w:lang w:eastAsia="de-DE"/>
        </w:rPr>
        <w:t>(männlich).</w:t>
      </w:r>
    </w:p>
    <w:p w14:paraId="77369F7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finale präpositionale Phrase </w:t>
      </w:r>
      <w:r w:rsidRPr="00EF6A3E">
        <w:rPr>
          <w:rFonts w:eastAsia="Times New Roman" w:cs="Times New Roman"/>
          <w:b/>
          <w:bCs/>
          <w:rtl/>
          <w:lang w:eastAsia="de-DE"/>
        </w:rPr>
        <w:t>לְגֻלְגְּלֹתָם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גֻּלְגֹּלֶת</w:t>
      </w:r>
      <w:r w:rsidRPr="00EF6A3E">
        <w:rPr>
          <w:rFonts w:eastAsia="Times New Roman" w:cs="Times New Roman"/>
          <w:rtl/>
          <w:lang w:eastAsia="de-DE"/>
        </w:rPr>
        <w:t xml:space="preserve"> </w:t>
      </w:r>
      <w:r w:rsidRPr="00EF6A3E">
        <w:rPr>
          <w:rFonts w:eastAsia="Times New Roman" w:cs="Times New Roman"/>
          <w:lang w:eastAsia="de-DE"/>
        </w:rPr>
        <w:t>(Kopf/Schädel) plus Suffix bedeutet "nach ihren Köpfen" und betont die individuelle Erfassung.</w:t>
      </w:r>
    </w:p>
    <w:p w14:paraId="05915BB3" w14:textId="0AF17CB9"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6662D">
        <w:t xml:space="preserve">übersetzt </w:t>
      </w:r>
      <w:r w:rsidR="0036662D">
        <w:rPr>
          <w:rtl/>
        </w:rPr>
        <w:t>שאו את־ראש</w:t>
      </w:r>
      <w:r w:rsidR="0036662D">
        <w:t xml:space="preserve"> (se'u et-rosh - "erhebt das Haupt") als λάβετε τὴν ἀρχήν (nehmt den Anfang/die Summe), was die militärische Zählung betont. </w:t>
      </w:r>
      <w:r w:rsidR="0036662D">
        <w:rPr>
          <w:rtl/>
        </w:rPr>
        <w:t>לגלגלתם</w:t>
      </w:r>
      <w:r w:rsidR="0036662D">
        <w:t xml:space="preserve"> (legulgolotam - "nach ihren Köpfen") wird als κατὰ κεφαλὴν αὐτῶν (nach ihrem Kopf) übersetzt.</w:t>
      </w:r>
    </w:p>
    <w:p w14:paraId="34779B0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Imperativsatz mit </w:t>
      </w:r>
      <w:r w:rsidRPr="00EF6A3E">
        <w:rPr>
          <w:rFonts w:eastAsia="Times New Roman" w:cs="Times New Roman"/>
          <w:b/>
          <w:bCs/>
          <w:rtl/>
          <w:lang w:eastAsia="de-DE"/>
        </w:rPr>
        <w:t>שְׂאוּ</w:t>
      </w:r>
      <w:r w:rsidRPr="00EF6A3E">
        <w:rPr>
          <w:rFonts w:eastAsia="Times New Roman" w:cs="Times New Roman"/>
          <w:rtl/>
          <w:lang w:eastAsia="de-DE"/>
        </w:rPr>
        <w:t xml:space="preserve"> </w:t>
      </w:r>
      <w:r w:rsidRPr="00EF6A3E">
        <w:rPr>
          <w:rFonts w:eastAsia="Times New Roman" w:cs="Times New Roman"/>
          <w:lang w:eastAsia="de-DE"/>
        </w:rPr>
        <w:t xml:space="preserve">als Prädikat, </w:t>
      </w:r>
      <w:r w:rsidRPr="00EF6A3E">
        <w:rPr>
          <w:rFonts w:eastAsia="Times New Roman" w:cs="Times New Roman"/>
          <w:b/>
          <w:bCs/>
          <w:rtl/>
          <w:lang w:eastAsia="de-DE"/>
        </w:rPr>
        <w:t>אֶת־רֹאשׁ כָּל־עֲדַת בְּנֵי־יִשְׂרָאֵל</w:t>
      </w:r>
      <w:r w:rsidRPr="00EF6A3E">
        <w:rPr>
          <w:rFonts w:eastAsia="Times New Roman" w:cs="Times New Roman"/>
          <w:rtl/>
          <w:lang w:eastAsia="de-DE"/>
        </w:rPr>
        <w:t xml:space="preserve"> </w:t>
      </w:r>
      <w:r w:rsidRPr="00EF6A3E">
        <w:rPr>
          <w:rFonts w:eastAsia="Times New Roman" w:cs="Times New Roman"/>
          <w:lang w:eastAsia="de-DE"/>
        </w:rPr>
        <w:t>als direktes Objekt und mehreren präpositionalen Adverbialen, die die Modalitäten der Zählung spezifizieren.</w:t>
      </w:r>
    </w:p>
    <w:p w14:paraId="6B83FDF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Dieser Vers etabliert den systematischen Auftrag zur ersten Volkszählung mit präziser Angabe der organisatorischen Struktur nach genealogischen und sozialen Einheiten.</w:t>
      </w:r>
    </w:p>
    <w:p w14:paraId="41B2C811"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w:t>
      </w:r>
    </w:p>
    <w:p w14:paraId="02B21E3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מִבֶּ֨ן עֶשְׂרִ֤ים שָׁנָה֙ וָמַ֔עְלָה כָּל־יֹצֵ֥א צָבָ֖א בְּיִשְׂרָאֵ֑ל תִּפְקְד֥וּ אֹתָ֛ם לְצִבְאֹתָ֖ם אַתָּ֥ה וְאַהֲרֹֽן׃</w:t>
      </w:r>
    </w:p>
    <w:p w14:paraId="063D653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20 Jahren an und darüber, jeden, der zum Heer auszieht in Jisra'el, sollt ihr sie mustern nach ihren Heerscharen, du und 'Aharon.</w:t>
      </w:r>
    </w:p>
    <w:p w14:paraId="7C5FDA66"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77CE43E">
          <v:rect id="_x0000_i1027" style="width:0;height:1.5pt" o:hralign="center" o:hrstd="t" o:hr="t" fillcolor="#a0a0a0" stroked="f"/>
        </w:pict>
      </w:r>
    </w:p>
    <w:p w14:paraId="044A647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verwendet </w:t>
      </w:r>
      <w:r w:rsidRPr="00EF6A3E">
        <w:rPr>
          <w:rFonts w:eastAsia="Times New Roman" w:cs="Times New Roman"/>
          <w:b/>
          <w:bCs/>
          <w:rtl/>
          <w:lang w:eastAsia="de-DE"/>
        </w:rPr>
        <w:t>מִן</w:t>
      </w:r>
      <w:r w:rsidRPr="00EF6A3E">
        <w:rPr>
          <w:rFonts w:eastAsia="Times New Roman" w:cs="Times New Roman"/>
          <w:rtl/>
          <w:lang w:eastAsia="de-DE"/>
        </w:rPr>
        <w:t xml:space="preserve"> </w:t>
      </w:r>
      <w:r w:rsidRPr="00EF6A3E">
        <w:rPr>
          <w:rFonts w:eastAsia="Times New Roman" w:cs="Times New Roman"/>
          <w:lang w:eastAsia="de-DE"/>
        </w:rPr>
        <w:t xml:space="preserve">(von) mit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(Sohn von/im Alter von) plus der Kardinalzahl </w:t>
      </w:r>
      <w:r w:rsidRPr="00EF6A3E">
        <w:rPr>
          <w:rFonts w:eastAsia="Times New Roman" w:cs="Times New Roman"/>
          <w:b/>
          <w:bCs/>
          <w:rtl/>
          <w:lang w:eastAsia="de-DE"/>
        </w:rPr>
        <w:t>עֶשְׂרִים</w:t>
      </w:r>
      <w:r w:rsidRPr="00EF6A3E">
        <w:rPr>
          <w:rFonts w:eastAsia="Times New Roman" w:cs="Times New Roman"/>
          <w:rtl/>
          <w:lang w:eastAsia="de-DE"/>
        </w:rPr>
        <w:t xml:space="preserve"> </w:t>
      </w:r>
      <w:r w:rsidRPr="00EF6A3E">
        <w:rPr>
          <w:rFonts w:eastAsia="Times New Roman" w:cs="Times New Roman"/>
          <w:lang w:eastAsia="de-DE"/>
        </w:rPr>
        <w:t xml:space="preserve">(zwanzig) und </w:t>
      </w:r>
      <w:r w:rsidRPr="00EF6A3E">
        <w:rPr>
          <w:rFonts w:eastAsia="Times New Roman" w:cs="Times New Roman"/>
          <w:b/>
          <w:bCs/>
          <w:rtl/>
          <w:lang w:eastAsia="de-DE"/>
        </w:rPr>
        <w:t>שָׁנָה</w:t>
      </w:r>
      <w:r w:rsidRPr="00EF6A3E">
        <w:rPr>
          <w:rFonts w:eastAsia="Times New Roman" w:cs="Times New Roman"/>
          <w:rtl/>
          <w:lang w:eastAsia="de-DE"/>
        </w:rPr>
        <w:t xml:space="preserve"> </w:t>
      </w:r>
      <w:r w:rsidRPr="00EF6A3E">
        <w:rPr>
          <w:rFonts w:eastAsia="Times New Roman" w:cs="Times New Roman"/>
          <w:lang w:eastAsia="de-DE"/>
        </w:rPr>
        <w:t xml:space="preserve">(Jahr, feminin Singular). Die Koordination </w:t>
      </w:r>
      <w:r w:rsidRPr="00EF6A3E">
        <w:rPr>
          <w:rFonts w:eastAsia="Times New Roman" w:cs="Times New Roman"/>
          <w:b/>
          <w:bCs/>
          <w:rtl/>
          <w:lang w:eastAsia="de-DE"/>
        </w:rPr>
        <w:t>וָמַעְלָה</w:t>
      </w:r>
      <w:r w:rsidRPr="00EF6A3E">
        <w:rPr>
          <w:rFonts w:eastAsia="Times New Roman" w:cs="Times New Roman"/>
          <w:rtl/>
          <w:lang w:eastAsia="de-DE"/>
        </w:rPr>
        <w:t xml:space="preserve"> </w:t>
      </w:r>
      <w:r w:rsidRPr="00EF6A3E">
        <w:rPr>
          <w:rFonts w:eastAsia="Times New Roman" w:cs="Times New Roman"/>
          <w:lang w:eastAsia="de-DE"/>
        </w:rPr>
        <w:t xml:space="preserve">mit Waw copulativum und </w:t>
      </w:r>
      <w:r w:rsidRPr="00EF6A3E">
        <w:rPr>
          <w:rFonts w:eastAsia="Times New Roman" w:cs="Times New Roman"/>
          <w:b/>
          <w:bCs/>
          <w:rtl/>
          <w:lang w:eastAsia="de-DE"/>
        </w:rPr>
        <w:t>מַעְלָה</w:t>
      </w:r>
      <w:r w:rsidRPr="00EF6A3E">
        <w:rPr>
          <w:rFonts w:eastAsia="Times New Roman" w:cs="Times New Roman"/>
          <w:rtl/>
          <w:lang w:eastAsia="de-DE"/>
        </w:rPr>
        <w:t xml:space="preserve"> </w:t>
      </w:r>
      <w:r w:rsidRPr="00EF6A3E">
        <w:rPr>
          <w:rFonts w:eastAsia="Times New Roman" w:cs="Times New Roman"/>
          <w:lang w:eastAsia="de-DE"/>
        </w:rPr>
        <w:t>(aufwärts/darüber) spezifiziert das Mindestalter.</w:t>
      </w:r>
    </w:p>
    <w:p w14:paraId="34FD300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Partizip </w:t>
      </w:r>
      <w:r w:rsidRPr="00EF6A3E">
        <w:rPr>
          <w:rFonts w:eastAsia="Times New Roman" w:cs="Times New Roman"/>
          <w:b/>
          <w:bCs/>
          <w:rtl/>
          <w:lang w:eastAsia="de-DE"/>
        </w:rPr>
        <w:t>יֹצֵא</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יצא</w:t>
      </w:r>
      <w:r w:rsidRPr="00EF6A3E">
        <w:rPr>
          <w:rFonts w:eastAsia="Times New Roman" w:cs="Times New Roman"/>
          <w:rtl/>
          <w:lang w:eastAsia="de-DE"/>
        </w:rPr>
        <w:t xml:space="preserve"> </w:t>
      </w:r>
      <w:r w:rsidRPr="00EF6A3E">
        <w:rPr>
          <w:rFonts w:eastAsia="Times New Roman" w:cs="Times New Roman"/>
          <w:lang w:eastAsia="de-DE"/>
        </w:rPr>
        <w:t xml:space="preserve">(ausgehen/ausziehen) im Qal-Partizip maskulin Singular fungiert als Substantiv für "der Ausziehende". Das Objekt </w:t>
      </w:r>
      <w:r w:rsidRPr="00EF6A3E">
        <w:rPr>
          <w:rFonts w:eastAsia="Times New Roman" w:cs="Times New Roman"/>
          <w:b/>
          <w:bCs/>
          <w:rtl/>
          <w:lang w:eastAsia="de-DE"/>
        </w:rPr>
        <w:t>צָבָא</w:t>
      </w:r>
      <w:r w:rsidRPr="00EF6A3E">
        <w:rPr>
          <w:rFonts w:eastAsia="Times New Roman" w:cs="Times New Roman"/>
          <w:rtl/>
          <w:lang w:eastAsia="de-DE"/>
        </w:rPr>
        <w:t xml:space="preserve"> </w:t>
      </w:r>
      <w:r w:rsidRPr="00EF6A3E">
        <w:rPr>
          <w:rFonts w:eastAsia="Times New Roman" w:cs="Times New Roman"/>
          <w:lang w:eastAsia="de-DE"/>
        </w:rPr>
        <w:t xml:space="preserve">(Heer/Kriegsdienst) zeigt den militärischen Kontext. Die präpositionale Phrase </w:t>
      </w:r>
      <w:r w:rsidRPr="00EF6A3E">
        <w:rPr>
          <w:rFonts w:eastAsia="Times New Roman" w:cs="Times New Roman"/>
          <w:b/>
          <w:bCs/>
          <w:rtl/>
          <w:lang w:eastAsia="de-DE"/>
        </w:rPr>
        <w:t>בְּיִשְׂרָאֵל</w:t>
      </w:r>
      <w:r w:rsidRPr="00EF6A3E">
        <w:rPr>
          <w:rFonts w:eastAsia="Times New Roman" w:cs="Times New Roman"/>
          <w:rtl/>
          <w:lang w:eastAsia="de-DE"/>
        </w:rPr>
        <w:t xml:space="preserve"> </w:t>
      </w:r>
      <w:r w:rsidRPr="00EF6A3E">
        <w:rPr>
          <w:rFonts w:eastAsia="Times New Roman" w:cs="Times New Roman"/>
          <w:lang w:eastAsia="de-DE"/>
        </w:rPr>
        <w:t>lokalisiert den Dienst.</w:t>
      </w:r>
    </w:p>
    <w:p w14:paraId="70284D9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Hauptverb </w:t>
      </w:r>
      <w:r w:rsidRPr="00EF6A3E">
        <w:rPr>
          <w:rFonts w:eastAsia="Times New Roman" w:cs="Times New Roman"/>
          <w:b/>
          <w:bCs/>
          <w:rtl/>
          <w:lang w:eastAsia="de-DE"/>
        </w:rPr>
        <w:t>תִּפְקְדוּ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 xml:space="preserve">(mustern/beaufsichtigen) im Qal-Imperfekt 2. Person maskulin Plural zeigt den Auftrag. Das direkte Objekt </w:t>
      </w:r>
      <w:r w:rsidRPr="00EF6A3E">
        <w:rPr>
          <w:rFonts w:eastAsia="Times New Roman" w:cs="Times New Roman"/>
          <w:b/>
          <w:bCs/>
          <w:rtl/>
          <w:lang w:eastAsia="de-DE"/>
        </w:rPr>
        <w:t>אֹתָם</w:t>
      </w:r>
      <w:r w:rsidRPr="00EF6A3E">
        <w:rPr>
          <w:rFonts w:eastAsia="Times New Roman" w:cs="Times New Roman"/>
          <w:rtl/>
          <w:lang w:eastAsia="de-DE"/>
        </w:rPr>
        <w:t xml:space="preserve"> </w:t>
      </w:r>
      <w:r w:rsidRPr="00EF6A3E">
        <w:rPr>
          <w:rFonts w:eastAsia="Times New Roman" w:cs="Times New Roman"/>
          <w:lang w:eastAsia="de-DE"/>
        </w:rPr>
        <w:t>(sie) mit der nota accusativi bezieht sich auf die zu Musternden.</w:t>
      </w:r>
    </w:p>
    <w:p w14:paraId="55366E6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לְצִבְאֹתָם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צְבָאוֹת</w:t>
      </w:r>
      <w:r w:rsidRPr="00EF6A3E">
        <w:rPr>
          <w:rFonts w:eastAsia="Times New Roman" w:cs="Times New Roman"/>
          <w:rtl/>
          <w:lang w:eastAsia="de-DE"/>
        </w:rPr>
        <w:t xml:space="preserve"> </w:t>
      </w:r>
      <w:r w:rsidRPr="00EF6A3E">
        <w:rPr>
          <w:rFonts w:eastAsia="Times New Roman" w:cs="Times New Roman"/>
          <w:lang w:eastAsia="de-DE"/>
        </w:rPr>
        <w:t xml:space="preserve">(Heerscharen, Plural von </w:t>
      </w:r>
      <w:r w:rsidRPr="00EF6A3E">
        <w:rPr>
          <w:rFonts w:eastAsia="Times New Roman" w:cs="Times New Roman"/>
          <w:b/>
          <w:bCs/>
          <w:rtl/>
          <w:lang w:eastAsia="de-DE"/>
        </w:rPr>
        <w:t>צָבָא</w:t>
      </w:r>
      <w:r w:rsidRPr="00EF6A3E">
        <w:rPr>
          <w:rFonts w:eastAsia="Times New Roman" w:cs="Times New Roman"/>
          <w:lang w:eastAsia="de-DE"/>
        </w:rPr>
        <w:t xml:space="preserve">) plus Possessivsuffix 3. maskulin Plural zeigt die organisatorische Struktur. Das Subjekt wird durch </w:t>
      </w:r>
      <w:r w:rsidRPr="00EF6A3E">
        <w:rPr>
          <w:rFonts w:eastAsia="Times New Roman" w:cs="Times New Roman"/>
          <w:b/>
          <w:bCs/>
          <w:rtl/>
          <w:lang w:eastAsia="de-DE"/>
        </w:rPr>
        <w:t>אַתָּה וְאַהֲרֹן</w:t>
      </w:r>
      <w:r w:rsidRPr="00EF6A3E">
        <w:rPr>
          <w:rFonts w:eastAsia="Times New Roman" w:cs="Times New Roman"/>
          <w:rtl/>
          <w:lang w:eastAsia="de-DE"/>
        </w:rPr>
        <w:t xml:space="preserve"> </w:t>
      </w:r>
      <w:r w:rsidRPr="00EF6A3E">
        <w:rPr>
          <w:rFonts w:eastAsia="Times New Roman" w:cs="Times New Roman"/>
          <w:lang w:eastAsia="de-DE"/>
        </w:rPr>
        <w:t xml:space="preserve">(du und Aaron) explizit genannt, wobei </w:t>
      </w:r>
      <w:r w:rsidRPr="00EF6A3E">
        <w:rPr>
          <w:rFonts w:eastAsia="Times New Roman" w:cs="Times New Roman"/>
          <w:b/>
          <w:bCs/>
          <w:rtl/>
          <w:lang w:eastAsia="de-DE"/>
        </w:rPr>
        <w:t>אַתָּה</w:t>
      </w:r>
      <w:r w:rsidRPr="00EF6A3E">
        <w:rPr>
          <w:rFonts w:eastAsia="Times New Roman" w:cs="Times New Roman"/>
          <w:rtl/>
          <w:lang w:eastAsia="de-DE"/>
        </w:rPr>
        <w:t xml:space="preserve"> </w:t>
      </w:r>
      <w:r w:rsidRPr="00EF6A3E">
        <w:rPr>
          <w:rFonts w:eastAsia="Times New Roman" w:cs="Times New Roman"/>
          <w:lang w:eastAsia="de-DE"/>
        </w:rPr>
        <w:t>das Personalpronomen 2. maskulin Singular ist.</w:t>
      </w:r>
    </w:p>
    <w:p w14:paraId="243654B0" w14:textId="6E032AFD"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6662D">
        <w:rPr>
          <w:rtl/>
        </w:rPr>
        <w:t>יצא צבא</w:t>
      </w:r>
      <w:r w:rsidR="0036662D">
        <w:t xml:space="preserve"> (yotze tzava - "zum Heer ausziehend") wird als πᾶς ἐκπορευόμενος ἐν δυνάμει (jeder, der in Macht auszieht) übersetzt, was militärische Stärke betont.</w:t>
      </w:r>
    </w:p>
    <w:p w14:paraId="535BB3A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komplexen Satz mit vorangestellten adverbialen Bestimmungen (Altersangabe und Partizipialkonstruktion), gefolgt vom Hauptverb </w:t>
      </w:r>
      <w:r w:rsidRPr="00EF6A3E">
        <w:rPr>
          <w:rFonts w:eastAsia="Times New Roman" w:cs="Times New Roman"/>
          <w:b/>
          <w:bCs/>
          <w:rtl/>
          <w:lang w:eastAsia="de-DE"/>
        </w:rPr>
        <w:t>תִּפְקְדוּ</w:t>
      </w:r>
      <w:r w:rsidRPr="00EF6A3E">
        <w:rPr>
          <w:rFonts w:eastAsia="Times New Roman" w:cs="Times New Roman"/>
          <w:rtl/>
          <w:lang w:eastAsia="de-DE"/>
        </w:rPr>
        <w:t xml:space="preserve"> </w:t>
      </w:r>
      <w:r w:rsidRPr="00EF6A3E">
        <w:rPr>
          <w:rFonts w:eastAsia="Times New Roman" w:cs="Times New Roman"/>
          <w:lang w:eastAsia="de-DE"/>
        </w:rPr>
        <w:t>mit Objekt und modalen Ergänzungen sowie expliziter Subjektangabe.</w:t>
      </w:r>
    </w:p>
    <w:p w14:paraId="00083E6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definiert die demographischen und funktionalen Kriterien für die Musterung: Mindestalter von 20 Jahren und Wehrdienstfähigkeit als Grundlage für die systematische Erfassung der männlichen Bevölkerung Israels.</w:t>
      </w:r>
    </w:p>
    <w:p w14:paraId="702F20C2"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w:t>
      </w:r>
    </w:p>
    <w:p w14:paraId="5B08954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וְאִתְּכֶ֣ם יִהְי֔וּ אִ֥ישׁ אִ֖ישׁ לַמַּטֶּ֑ה אִ֛ישׁ רֹ֥אשׁ לְבֵית־אֲבֹתָ֖יו הֽוּא׃</w:t>
      </w:r>
    </w:p>
    <w:p w14:paraId="7354C1A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mit euch soll Mann für Mann (d.h. je ein Mann) für jeden Stamm sein, ein Mann, der das Haupt für sein Vaterhaus ist.</w:t>
      </w:r>
    </w:p>
    <w:p w14:paraId="1596083A"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lastRenderedPageBreak/>
        <w:pict w14:anchorId="62299344">
          <v:rect id="_x0000_i1028" style="width:0;height:1.5pt" o:hralign="center" o:hrstd="t" o:hr="t" fillcolor="#a0a0a0" stroked="f"/>
        </w:pict>
      </w:r>
    </w:p>
    <w:p w14:paraId="37C6438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Koordination </w:t>
      </w:r>
      <w:r w:rsidRPr="00EF6A3E">
        <w:rPr>
          <w:rFonts w:eastAsia="Times New Roman" w:cs="Times New Roman"/>
          <w:b/>
          <w:bCs/>
          <w:rtl/>
          <w:lang w:eastAsia="de-DE"/>
        </w:rPr>
        <w:t>וְאִתְּכֶם</w:t>
      </w:r>
      <w:r w:rsidRPr="00EF6A3E">
        <w:rPr>
          <w:rFonts w:eastAsia="Times New Roman" w:cs="Times New Roman"/>
          <w:rtl/>
          <w:lang w:eastAsia="de-DE"/>
        </w:rPr>
        <w:t xml:space="preserve"> </w:t>
      </w:r>
      <w:r w:rsidRPr="00EF6A3E">
        <w:rPr>
          <w:rFonts w:eastAsia="Times New Roman" w:cs="Times New Roman"/>
          <w:lang w:eastAsia="de-DE"/>
        </w:rPr>
        <w:t xml:space="preserve">mit Waw copulativum und der Präposition </w:t>
      </w:r>
      <w:r w:rsidRPr="00EF6A3E">
        <w:rPr>
          <w:rFonts w:eastAsia="Times New Roman" w:cs="Times New Roman"/>
          <w:b/>
          <w:bCs/>
          <w:rtl/>
          <w:lang w:eastAsia="de-DE"/>
        </w:rPr>
        <w:t>אִתְּ</w:t>
      </w:r>
      <w:r w:rsidRPr="00EF6A3E">
        <w:rPr>
          <w:rFonts w:eastAsia="Times New Roman" w:cs="Times New Roman"/>
          <w:rtl/>
          <w:lang w:eastAsia="de-DE"/>
        </w:rPr>
        <w:t xml:space="preserve"> </w:t>
      </w:r>
      <w:r w:rsidRPr="00EF6A3E">
        <w:rPr>
          <w:rFonts w:eastAsia="Times New Roman" w:cs="Times New Roman"/>
          <w:lang w:eastAsia="de-DE"/>
        </w:rPr>
        <w:t xml:space="preserve">(mit) plus Suffix 2. maskulin Plural verbindet diesen Vers mit dem vorherigen Auftrag. Das Verb </w:t>
      </w:r>
      <w:r w:rsidRPr="00EF6A3E">
        <w:rPr>
          <w:rFonts w:eastAsia="Times New Roman" w:cs="Times New Roman"/>
          <w:b/>
          <w:bCs/>
          <w:rtl/>
          <w:lang w:eastAsia="de-DE"/>
        </w:rPr>
        <w:t>יִהְיוּ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היה</w:t>
      </w:r>
      <w:r w:rsidRPr="00EF6A3E">
        <w:rPr>
          <w:rFonts w:eastAsia="Times New Roman" w:cs="Times New Roman"/>
          <w:rtl/>
          <w:lang w:eastAsia="de-DE"/>
        </w:rPr>
        <w:t xml:space="preserve"> </w:t>
      </w:r>
      <w:r w:rsidRPr="00EF6A3E">
        <w:rPr>
          <w:rFonts w:eastAsia="Times New Roman" w:cs="Times New Roman"/>
          <w:lang w:eastAsia="de-DE"/>
        </w:rPr>
        <w:t>(sein) im Qal-Imperfekt 3. maskulin Plural fungiert als Existenzaussage.</w:t>
      </w:r>
    </w:p>
    <w:p w14:paraId="4C1A780D" w14:textId="03964911"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distributive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אִישׁ אִישׁ</w:t>
      </w:r>
      <w:r w:rsidRPr="00EF6A3E">
        <w:rPr>
          <w:rFonts w:eastAsia="Times New Roman" w:cs="Times New Roman"/>
          <w:rtl/>
          <w:lang w:eastAsia="de-DE"/>
        </w:rPr>
        <w:t xml:space="preserve"> </w:t>
      </w:r>
      <w:r w:rsidRPr="00EF6A3E">
        <w:rPr>
          <w:rFonts w:eastAsia="Times New Roman" w:cs="Times New Roman"/>
          <w:lang w:eastAsia="de-DE"/>
        </w:rPr>
        <w:t xml:space="preserve">(Mann Mann) ist eine charakteristische hebräische Reduplikation zur Betonung der individuellen Zuordnung "je ein Mann". Die präpositionale Phrase </w:t>
      </w:r>
      <w:r w:rsidRPr="00EF6A3E">
        <w:rPr>
          <w:rFonts w:eastAsia="Times New Roman" w:cs="Times New Roman"/>
          <w:b/>
          <w:bCs/>
          <w:rtl/>
          <w:lang w:eastAsia="de-DE"/>
        </w:rPr>
        <w:t>לַמַּטֶּה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מַטֶּה</w:t>
      </w:r>
      <w:r w:rsidRPr="00EF6A3E">
        <w:rPr>
          <w:rFonts w:eastAsia="Times New Roman" w:cs="Times New Roman"/>
          <w:rtl/>
          <w:lang w:eastAsia="de-DE"/>
        </w:rPr>
        <w:t xml:space="preserve"> </w:t>
      </w:r>
      <w:r w:rsidRPr="00EF6A3E">
        <w:rPr>
          <w:rFonts w:eastAsia="Times New Roman" w:cs="Times New Roman"/>
          <w:lang w:eastAsia="de-DE"/>
        </w:rPr>
        <w:t>(Stamm/Stab) zeigt die Zuordnung pro Stamm.</w:t>
      </w:r>
    </w:p>
    <w:p w14:paraId="2E7C5FEB" w14:textId="6EE28CDB"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Apposition </w:t>
      </w:r>
      <w:r w:rsidRPr="00EF6A3E">
        <w:rPr>
          <w:rFonts w:eastAsia="Times New Roman" w:cs="Times New Roman"/>
          <w:b/>
          <w:bCs/>
          <w:rtl/>
          <w:lang w:eastAsia="de-DE"/>
        </w:rPr>
        <w:t>אִישׁ רֹאשׁ לְבֵית־אֲבֹתָיו הוּא</w:t>
      </w:r>
      <w:r w:rsidRPr="00EF6A3E">
        <w:rPr>
          <w:rFonts w:eastAsia="Times New Roman" w:cs="Times New Roman"/>
          <w:rtl/>
          <w:lang w:eastAsia="de-DE"/>
        </w:rPr>
        <w:t xml:space="preserve"> </w:t>
      </w:r>
      <w:r w:rsidRPr="00EF6A3E">
        <w:rPr>
          <w:rFonts w:eastAsia="Times New Roman" w:cs="Times New Roman"/>
          <w:lang w:eastAsia="de-DE"/>
        </w:rPr>
        <w:t xml:space="preserve">definiert die Qualifikation des Mannes. </w:t>
      </w:r>
      <w:r w:rsidRPr="00EF6A3E">
        <w:rPr>
          <w:rFonts w:eastAsia="Times New Roman" w:cs="Times New Roman"/>
          <w:b/>
          <w:bCs/>
          <w:rtl/>
          <w:lang w:eastAsia="de-DE"/>
        </w:rPr>
        <w:t>רֹאשׁ</w:t>
      </w:r>
      <w:r w:rsidRPr="00EF6A3E">
        <w:rPr>
          <w:rFonts w:eastAsia="Times New Roman" w:cs="Times New Roman"/>
          <w:rtl/>
          <w:lang w:eastAsia="de-DE"/>
        </w:rPr>
        <w:t xml:space="preserve"> </w:t>
      </w:r>
      <w:r w:rsidRPr="00EF6A3E">
        <w:rPr>
          <w:rFonts w:eastAsia="Times New Roman" w:cs="Times New Roman"/>
          <w:lang w:eastAsia="de-DE"/>
        </w:rPr>
        <w:t xml:space="preserve">(Haupt/Führer) steht im Status constructus mit </w:t>
      </w:r>
      <w:r w:rsidRPr="00EF6A3E">
        <w:rPr>
          <w:rFonts w:eastAsia="Times New Roman" w:cs="Times New Roman"/>
          <w:b/>
          <w:bCs/>
          <w:rtl/>
          <w:lang w:eastAsia="de-DE"/>
        </w:rPr>
        <w:t>בֵית־אֲבֹתָיו</w:t>
      </w:r>
      <w:r w:rsidRPr="00EF6A3E">
        <w:rPr>
          <w:rFonts w:eastAsia="Times New Roman" w:cs="Times New Roman"/>
          <w:lang w:eastAsia="de-DE"/>
        </w:rPr>
        <w:t xml:space="preserve">, einer </w:t>
      </w:r>
      <w:r w:rsidR="00F133EC">
        <w:rPr>
          <w:rFonts w:eastAsia="Times New Roman" w:cs="Times New Roman"/>
          <w:lang w:eastAsia="de-DE"/>
        </w:rPr>
        <w:t>Construct</w:t>
      </w:r>
      <w:r w:rsidRPr="00EF6A3E">
        <w:rPr>
          <w:rFonts w:eastAsia="Times New Roman" w:cs="Times New Roman"/>
          <w:lang w:eastAsia="de-DE"/>
        </w:rPr>
        <w:t xml:space="preserve">verbindung von </w:t>
      </w:r>
      <w:r w:rsidRPr="00EF6A3E">
        <w:rPr>
          <w:rFonts w:eastAsia="Times New Roman" w:cs="Times New Roman"/>
          <w:b/>
          <w:bCs/>
          <w:rtl/>
          <w:lang w:eastAsia="de-DE"/>
        </w:rPr>
        <w:t>בַּיִת</w:t>
      </w:r>
      <w:r w:rsidRPr="00EF6A3E">
        <w:rPr>
          <w:rFonts w:eastAsia="Times New Roman" w:cs="Times New Roman"/>
          <w:rtl/>
          <w:lang w:eastAsia="de-DE"/>
        </w:rPr>
        <w:t xml:space="preserve"> </w:t>
      </w:r>
      <w:r w:rsidRPr="00EF6A3E">
        <w:rPr>
          <w:rFonts w:eastAsia="Times New Roman" w:cs="Times New Roman"/>
          <w:lang w:eastAsia="de-DE"/>
        </w:rPr>
        <w:t xml:space="preserve">(Haus) mit </w:t>
      </w:r>
      <w:r w:rsidRPr="00EF6A3E">
        <w:rPr>
          <w:rFonts w:eastAsia="Times New Roman" w:cs="Times New Roman"/>
          <w:b/>
          <w:bCs/>
          <w:rtl/>
          <w:lang w:eastAsia="de-DE"/>
        </w:rPr>
        <w:t>אָבוֹת</w:t>
      </w:r>
      <w:r w:rsidRPr="00EF6A3E">
        <w:rPr>
          <w:rFonts w:eastAsia="Times New Roman" w:cs="Times New Roman"/>
          <w:rtl/>
          <w:lang w:eastAsia="de-DE"/>
        </w:rPr>
        <w:t xml:space="preserve"> </w:t>
      </w:r>
      <w:r w:rsidRPr="00EF6A3E">
        <w:rPr>
          <w:rFonts w:eastAsia="Times New Roman" w:cs="Times New Roman"/>
          <w:lang w:eastAsia="de-DE"/>
        </w:rPr>
        <w:t xml:space="preserve">(Väter, Plural) und Possessivsuffix 3. maskulin Singular. Das Personalpronomen </w:t>
      </w:r>
      <w:r w:rsidRPr="00EF6A3E">
        <w:rPr>
          <w:rFonts w:eastAsia="Times New Roman" w:cs="Times New Roman"/>
          <w:b/>
          <w:bCs/>
          <w:rtl/>
          <w:lang w:eastAsia="de-DE"/>
        </w:rPr>
        <w:t>הוּא</w:t>
      </w:r>
      <w:r w:rsidRPr="00EF6A3E">
        <w:rPr>
          <w:rFonts w:eastAsia="Times New Roman" w:cs="Times New Roman"/>
          <w:rtl/>
          <w:lang w:eastAsia="de-DE"/>
        </w:rPr>
        <w:t xml:space="preserve"> </w:t>
      </w:r>
      <w:r w:rsidRPr="00EF6A3E">
        <w:rPr>
          <w:rFonts w:eastAsia="Times New Roman" w:cs="Times New Roman"/>
          <w:lang w:eastAsia="de-DE"/>
        </w:rPr>
        <w:t xml:space="preserve">(er) verstärkt die Identifikation und steht in Kongruenz mit </w:t>
      </w:r>
      <w:r w:rsidRPr="00EF6A3E">
        <w:rPr>
          <w:rFonts w:eastAsia="Times New Roman" w:cs="Times New Roman"/>
          <w:b/>
          <w:bCs/>
          <w:rtl/>
          <w:lang w:eastAsia="de-DE"/>
        </w:rPr>
        <w:t>אִישׁ</w:t>
      </w:r>
      <w:r w:rsidRPr="00EF6A3E">
        <w:rPr>
          <w:rFonts w:eastAsia="Times New Roman" w:cs="Times New Roman"/>
          <w:lang w:eastAsia="de-DE"/>
        </w:rPr>
        <w:t>.</w:t>
      </w:r>
    </w:p>
    <w:p w14:paraId="7478820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μεθ᾽ ὑμῶν ἔσονται ἀνὴρ ἀνὴρ κατὰ φυλήν und behält die distributive Struktur bei, verwendet aber κατὰ φυλήν für </w:t>
      </w:r>
      <w:r w:rsidRPr="00EF6A3E">
        <w:rPr>
          <w:rFonts w:eastAsia="Times New Roman" w:cs="Times New Roman"/>
          <w:b/>
          <w:bCs/>
          <w:rtl/>
          <w:lang w:eastAsia="de-DE"/>
        </w:rPr>
        <w:t>לַמַּטֶּה</w:t>
      </w:r>
      <w:r w:rsidRPr="00EF6A3E">
        <w:rPr>
          <w:rFonts w:eastAsia="Times New Roman" w:cs="Times New Roman"/>
          <w:lang w:eastAsia="de-DE"/>
        </w:rPr>
        <w:t>.</w:t>
      </w:r>
    </w:p>
    <w:p w14:paraId="4E202CB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zusammengesetzten Nominalsatz mit </w:t>
      </w:r>
      <w:r w:rsidRPr="00EF6A3E">
        <w:rPr>
          <w:rFonts w:eastAsia="Times New Roman" w:cs="Times New Roman"/>
          <w:b/>
          <w:bCs/>
          <w:rtl/>
          <w:lang w:eastAsia="de-DE"/>
        </w:rPr>
        <w:t>יִהְיוּ</w:t>
      </w:r>
      <w:r w:rsidRPr="00EF6A3E">
        <w:rPr>
          <w:rFonts w:eastAsia="Times New Roman" w:cs="Times New Roman"/>
          <w:rtl/>
          <w:lang w:eastAsia="de-DE"/>
        </w:rPr>
        <w:t xml:space="preserve"> </w:t>
      </w:r>
      <w:r w:rsidRPr="00EF6A3E">
        <w:rPr>
          <w:rFonts w:eastAsia="Times New Roman" w:cs="Times New Roman"/>
          <w:lang w:eastAsia="de-DE"/>
        </w:rPr>
        <w:t xml:space="preserve">als Kopula, </w:t>
      </w:r>
      <w:r w:rsidRPr="00EF6A3E">
        <w:rPr>
          <w:rFonts w:eastAsia="Times New Roman" w:cs="Times New Roman"/>
          <w:b/>
          <w:bCs/>
          <w:rtl/>
          <w:lang w:eastAsia="de-DE"/>
        </w:rPr>
        <w:t>אִישׁ אִישׁ</w:t>
      </w:r>
      <w:r w:rsidRPr="00EF6A3E">
        <w:rPr>
          <w:rFonts w:eastAsia="Times New Roman" w:cs="Times New Roman"/>
          <w:rtl/>
          <w:lang w:eastAsia="de-DE"/>
        </w:rPr>
        <w:t xml:space="preserve"> </w:t>
      </w:r>
      <w:r w:rsidRPr="00EF6A3E">
        <w:rPr>
          <w:rFonts w:eastAsia="Times New Roman" w:cs="Times New Roman"/>
          <w:lang w:eastAsia="de-DE"/>
        </w:rPr>
        <w:t>als Subjekt und einer komplexen präpositionalen und appositiven Erweiterung zur Spezifikation der Funktion und Autorität.</w:t>
      </w:r>
    </w:p>
    <w:p w14:paraId="436045E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etabliert das Prinzip der stammesweisen Repräsentation durch qualifizierte Familienoberhäupter als Assistenten für die Volkszählung.</w:t>
      </w:r>
    </w:p>
    <w:p w14:paraId="5F670F4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1,5</w:t>
      </w:r>
    </w:p>
    <w:p w14:paraId="0FC1040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וְאֵ֨לֶּה֙ שְׁמ֣וֹת הָֽאֲנָשִׁ֔ים אֲשֶׁ֥ר יַֽעַמְד֖וּ אִתְּכֶ֑ם לִרְאוּבֵ֕ן אֱלִיצ֖וּר בֶּן־שְׁדֵיאֽוּר׃</w:t>
      </w:r>
    </w:p>
    <w:p w14:paraId="7AC3A0E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dies sind die Namen der Männer, die euch beistehen sollen: Für Re'uven: Elizur, Sohn des Schede'ur.</w:t>
      </w:r>
    </w:p>
    <w:p w14:paraId="3E01D35B"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700374B0">
          <v:rect id="_x0000_i1029" style="width:0;height:1.5pt" o:hralign="center" o:hrstd="t" o:hr="t" fillcolor="#a0a0a0" stroked="f"/>
        </w:pict>
      </w:r>
    </w:p>
    <w:p w14:paraId="67161E80" w14:textId="09B84A21"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Demonstrativpronomen </w:t>
      </w:r>
      <w:r w:rsidRPr="00EF6A3E">
        <w:rPr>
          <w:rFonts w:eastAsia="Times New Roman" w:cs="Times New Roman"/>
          <w:b/>
          <w:bCs/>
          <w:rtl/>
          <w:lang w:eastAsia="de-DE"/>
        </w:rPr>
        <w:t>וְאֵלֶּה</w:t>
      </w:r>
      <w:r w:rsidRPr="00EF6A3E">
        <w:rPr>
          <w:rFonts w:eastAsia="Times New Roman" w:cs="Times New Roman"/>
          <w:rtl/>
          <w:lang w:eastAsia="de-DE"/>
        </w:rPr>
        <w:t xml:space="preserve"> </w:t>
      </w:r>
      <w:r w:rsidRPr="00EF6A3E">
        <w:rPr>
          <w:rFonts w:eastAsia="Times New Roman" w:cs="Times New Roman"/>
          <w:lang w:eastAsia="de-DE"/>
        </w:rPr>
        <w:t xml:space="preserve">(und diese) mit Waw copulativum leitet eine neue Aufzählung ein. </w:t>
      </w:r>
      <w:r w:rsidRPr="00EF6A3E">
        <w:rPr>
          <w:rFonts w:eastAsia="Times New Roman" w:cs="Times New Roman"/>
          <w:b/>
          <w:bCs/>
          <w:rtl/>
          <w:lang w:eastAsia="de-DE"/>
        </w:rPr>
        <w:t>שְׁמוֹת</w:t>
      </w:r>
      <w:r w:rsidRPr="00EF6A3E">
        <w:rPr>
          <w:rFonts w:eastAsia="Times New Roman" w:cs="Times New Roman"/>
          <w:rtl/>
          <w:lang w:eastAsia="de-DE"/>
        </w:rPr>
        <w:t xml:space="preserve"> </w:t>
      </w:r>
      <w:r w:rsidRPr="00EF6A3E">
        <w:rPr>
          <w:rFonts w:eastAsia="Times New Roman" w:cs="Times New Roman"/>
          <w:lang w:eastAsia="de-DE"/>
        </w:rPr>
        <w:t xml:space="preserve">(Namen, Plural von </w:t>
      </w:r>
      <w:r w:rsidRPr="00EF6A3E">
        <w:rPr>
          <w:rFonts w:eastAsia="Times New Roman" w:cs="Times New Roman"/>
          <w:b/>
          <w:bCs/>
          <w:rtl/>
          <w:lang w:eastAsia="de-DE"/>
        </w:rPr>
        <w:t>שֵׁם</w:t>
      </w:r>
      <w:r w:rsidRPr="00EF6A3E">
        <w:rPr>
          <w:rFonts w:eastAsia="Times New Roman" w:cs="Times New Roman"/>
          <w:lang w:eastAsia="de-DE"/>
        </w:rPr>
        <w:t xml:space="preserve">) steht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הָאֲנָשִׁים</w:t>
      </w:r>
      <w:r w:rsidRPr="00EF6A3E">
        <w:rPr>
          <w:rFonts w:eastAsia="Times New Roman" w:cs="Times New Roman"/>
          <w:rtl/>
          <w:lang w:eastAsia="de-DE"/>
        </w:rPr>
        <w:t xml:space="preserve"> </w:t>
      </w:r>
      <w:r w:rsidRPr="00EF6A3E">
        <w:rPr>
          <w:rFonts w:eastAsia="Times New Roman" w:cs="Times New Roman"/>
          <w:lang w:eastAsia="de-DE"/>
        </w:rPr>
        <w:t xml:space="preserve">(die Männer), wobei der bestimmte Artikel </w:t>
      </w:r>
      <w:r w:rsidRPr="00EF6A3E">
        <w:rPr>
          <w:rFonts w:eastAsia="Times New Roman" w:cs="Times New Roman"/>
          <w:b/>
          <w:bCs/>
          <w:rtl/>
          <w:lang w:eastAsia="de-DE"/>
        </w:rPr>
        <w:t>הָ</w:t>
      </w:r>
      <w:r w:rsidRPr="00EF6A3E">
        <w:rPr>
          <w:rFonts w:eastAsia="Times New Roman" w:cs="Times New Roman"/>
          <w:rtl/>
          <w:lang w:eastAsia="de-DE"/>
        </w:rPr>
        <w:t xml:space="preserve"> </w:t>
      </w:r>
      <w:r w:rsidRPr="00EF6A3E">
        <w:rPr>
          <w:rFonts w:eastAsia="Times New Roman" w:cs="Times New Roman"/>
          <w:lang w:eastAsia="de-DE"/>
        </w:rPr>
        <w:t>die Spezifität betont.</w:t>
      </w:r>
    </w:p>
    <w:p w14:paraId="569D098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Relativsatz </w:t>
      </w:r>
      <w:r w:rsidRPr="00EF6A3E">
        <w:rPr>
          <w:rFonts w:eastAsia="Times New Roman" w:cs="Times New Roman"/>
          <w:b/>
          <w:bCs/>
          <w:rtl/>
          <w:lang w:eastAsia="de-DE"/>
        </w:rPr>
        <w:t>אֲשֶׁר יַעַמְדוּ אִתְּכֶם</w:t>
      </w:r>
      <w:r w:rsidRPr="00EF6A3E">
        <w:rPr>
          <w:rFonts w:eastAsia="Times New Roman" w:cs="Times New Roman"/>
          <w:rtl/>
          <w:lang w:eastAsia="de-DE"/>
        </w:rPr>
        <w:t xml:space="preserve"> </w:t>
      </w:r>
      <w:r w:rsidRPr="00EF6A3E">
        <w:rPr>
          <w:rFonts w:eastAsia="Times New Roman" w:cs="Times New Roman"/>
          <w:lang w:eastAsia="de-DE"/>
        </w:rPr>
        <w:t xml:space="preserve">verwendet das Relativpronomen </w:t>
      </w:r>
      <w:r w:rsidRPr="00EF6A3E">
        <w:rPr>
          <w:rFonts w:eastAsia="Times New Roman" w:cs="Times New Roman"/>
          <w:b/>
          <w:bCs/>
          <w:rtl/>
          <w:lang w:eastAsia="de-DE"/>
        </w:rPr>
        <w:t>אֲשֶׁר</w:t>
      </w:r>
      <w:r w:rsidRPr="00EF6A3E">
        <w:rPr>
          <w:rFonts w:eastAsia="Times New Roman" w:cs="Times New Roman"/>
          <w:rtl/>
          <w:lang w:eastAsia="de-DE"/>
        </w:rPr>
        <w:t xml:space="preserve"> </w:t>
      </w:r>
      <w:r w:rsidRPr="00EF6A3E">
        <w:rPr>
          <w:rFonts w:eastAsia="Times New Roman" w:cs="Times New Roman"/>
          <w:lang w:eastAsia="de-DE"/>
        </w:rPr>
        <w:t xml:space="preserve">mit dem Verb </w:t>
      </w:r>
      <w:r w:rsidRPr="00EF6A3E">
        <w:rPr>
          <w:rFonts w:eastAsia="Times New Roman" w:cs="Times New Roman"/>
          <w:b/>
          <w:bCs/>
          <w:rtl/>
          <w:lang w:eastAsia="de-DE"/>
        </w:rPr>
        <w:t>יַעַמְדוּ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עמד</w:t>
      </w:r>
      <w:r w:rsidRPr="00EF6A3E">
        <w:rPr>
          <w:rFonts w:eastAsia="Times New Roman" w:cs="Times New Roman"/>
          <w:rtl/>
          <w:lang w:eastAsia="de-DE"/>
        </w:rPr>
        <w:t xml:space="preserve"> </w:t>
      </w:r>
      <w:r w:rsidRPr="00EF6A3E">
        <w:rPr>
          <w:rFonts w:eastAsia="Times New Roman" w:cs="Times New Roman"/>
          <w:lang w:eastAsia="de-DE"/>
        </w:rPr>
        <w:t xml:space="preserve">(stehen/beistehen) im Qal-Imperfekt 3. maskulin Plural. Die Präposition </w:t>
      </w:r>
      <w:r w:rsidRPr="00EF6A3E">
        <w:rPr>
          <w:rFonts w:eastAsia="Times New Roman" w:cs="Times New Roman"/>
          <w:b/>
          <w:bCs/>
          <w:rtl/>
          <w:lang w:eastAsia="de-DE"/>
        </w:rPr>
        <w:t>אִתְּ</w:t>
      </w:r>
      <w:r w:rsidRPr="00EF6A3E">
        <w:rPr>
          <w:rFonts w:eastAsia="Times New Roman" w:cs="Times New Roman"/>
          <w:rtl/>
          <w:lang w:eastAsia="de-DE"/>
        </w:rPr>
        <w:t xml:space="preserve"> </w:t>
      </w:r>
      <w:r w:rsidRPr="00EF6A3E">
        <w:rPr>
          <w:rFonts w:eastAsia="Times New Roman" w:cs="Times New Roman"/>
          <w:lang w:eastAsia="de-DE"/>
        </w:rPr>
        <w:t>mit Suffix 2. maskulin Plural zeigt die Unterstützungsfunktion.</w:t>
      </w:r>
    </w:p>
    <w:p w14:paraId="6183C25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לִרְאוּבֵן</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kennzeichnet die Stammeszuordnung. </w:t>
      </w:r>
      <w:r w:rsidRPr="00EF6A3E">
        <w:rPr>
          <w:rFonts w:eastAsia="Times New Roman" w:cs="Times New Roman"/>
          <w:b/>
          <w:bCs/>
          <w:rtl/>
          <w:lang w:eastAsia="de-DE"/>
        </w:rPr>
        <w:t>רְאוּבֵן</w:t>
      </w:r>
      <w:r w:rsidRPr="00EF6A3E">
        <w:rPr>
          <w:rFonts w:eastAsia="Times New Roman" w:cs="Times New Roman"/>
          <w:rtl/>
          <w:lang w:eastAsia="de-DE"/>
        </w:rPr>
        <w:t xml:space="preserve"> </w:t>
      </w:r>
      <w:r w:rsidRPr="00EF6A3E">
        <w:rPr>
          <w:rFonts w:eastAsia="Times New Roman" w:cs="Times New Roman"/>
          <w:lang w:eastAsia="de-DE"/>
        </w:rPr>
        <w:t xml:space="preserve">ist der erste Sohn Jakobs und steht hier als Stammesname. Der Eigenname </w:t>
      </w:r>
      <w:r w:rsidRPr="00EF6A3E">
        <w:rPr>
          <w:rFonts w:eastAsia="Times New Roman" w:cs="Times New Roman"/>
          <w:b/>
          <w:bCs/>
          <w:rtl/>
          <w:lang w:eastAsia="de-DE"/>
        </w:rPr>
        <w:t>אֱלִיצוּר</w:t>
      </w:r>
      <w:r w:rsidRPr="00EF6A3E">
        <w:rPr>
          <w:rFonts w:eastAsia="Times New Roman" w:cs="Times New Roman"/>
          <w:rtl/>
          <w:lang w:eastAsia="de-DE"/>
        </w:rPr>
        <w:t xml:space="preserve"> </w:t>
      </w:r>
      <w:r w:rsidRPr="00EF6A3E">
        <w:rPr>
          <w:rFonts w:eastAsia="Times New Roman" w:cs="Times New Roman"/>
          <w:lang w:eastAsia="de-DE"/>
        </w:rPr>
        <w:t xml:space="preserve">bedeutet "mein Gott ist Fels" und zeigt die theophore Namensbildung mit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 xml:space="preserve">(Gott) und </w:t>
      </w:r>
      <w:r w:rsidRPr="00EF6A3E">
        <w:rPr>
          <w:rFonts w:eastAsia="Times New Roman" w:cs="Times New Roman"/>
          <w:b/>
          <w:bCs/>
          <w:rtl/>
          <w:lang w:eastAsia="de-DE"/>
        </w:rPr>
        <w:t>צוּר</w:t>
      </w:r>
      <w:r w:rsidRPr="00EF6A3E">
        <w:rPr>
          <w:rFonts w:eastAsia="Times New Roman" w:cs="Times New Roman"/>
          <w:rtl/>
          <w:lang w:eastAsia="de-DE"/>
        </w:rPr>
        <w:t xml:space="preserve"> </w:t>
      </w:r>
      <w:r w:rsidRPr="00EF6A3E">
        <w:rPr>
          <w:rFonts w:eastAsia="Times New Roman" w:cs="Times New Roman"/>
          <w:lang w:eastAsia="de-DE"/>
        </w:rPr>
        <w:t>(Fels).</w:t>
      </w:r>
    </w:p>
    <w:p w14:paraId="16C3107F" w14:textId="766505DF"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בֶּן־שְׁדֵיאוּר</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(Sohn von) im </w:t>
      </w:r>
      <w:r w:rsidR="00F133EC">
        <w:rPr>
          <w:rFonts w:eastAsia="Times New Roman" w:cs="Times New Roman"/>
          <w:lang w:eastAsia="de-DE"/>
        </w:rPr>
        <w:t>Construct</w:t>
      </w:r>
      <w:r w:rsidRPr="00EF6A3E">
        <w:rPr>
          <w:rFonts w:eastAsia="Times New Roman" w:cs="Times New Roman"/>
          <w:lang w:eastAsia="de-DE"/>
        </w:rPr>
        <w:t xml:space="preserve"> zeigt die genealogische Identifikation. </w:t>
      </w:r>
      <w:r w:rsidRPr="00EF6A3E">
        <w:rPr>
          <w:rFonts w:eastAsia="Times New Roman" w:cs="Times New Roman"/>
          <w:b/>
          <w:bCs/>
          <w:rtl/>
          <w:lang w:eastAsia="de-DE"/>
        </w:rPr>
        <w:t>שְׁדֵיאוּר</w:t>
      </w:r>
      <w:r w:rsidRPr="00EF6A3E">
        <w:rPr>
          <w:rFonts w:eastAsia="Times New Roman" w:cs="Times New Roman"/>
          <w:rtl/>
          <w:lang w:eastAsia="de-DE"/>
        </w:rPr>
        <w:t xml:space="preserve"> </w:t>
      </w:r>
      <w:r w:rsidRPr="00EF6A3E">
        <w:rPr>
          <w:rFonts w:eastAsia="Times New Roman" w:cs="Times New Roman"/>
          <w:lang w:eastAsia="de-DE"/>
        </w:rPr>
        <w:t xml:space="preserve">ist ein zusammengesetzter Name, möglicherweise mit </w:t>
      </w:r>
      <w:r w:rsidRPr="00EF6A3E">
        <w:rPr>
          <w:rFonts w:eastAsia="Times New Roman" w:cs="Times New Roman"/>
          <w:b/>
          <w:bCs/>
          <w:rtl/>
          <w:lang w:eastAsia="de-DE"/>
        </w:rPr>
        <w:t>שַׁדַּי</w:t>
      </w:r>
      <w:r w:rsidRPr="00EF6A3E">
        <w:rPr>
          <w:rFonts w:eastAsia="Times New Roman" w:cs="Times New Roman"/>
          <w:rtl/>
          <w:lang w:eastAsia="de-DE"/>
        </w:rPr>
        <w:t xml:space="preserve"> </w:t>
      </w:r>
      <w:r w:rsidRPr="00EF6A3E">
        <w:rPr>
          <w:rFonts w:eastAsia="Times New Roman" w:cs="Times New Roman"/>
          <w:lang w:eastAsia="de-DE"/>
        </w:rPr>
        <w:t xml:space="preserve">(Allmächtiger) und </w:t>
      </w:r>
      <w:r w:rsidRPr="00EF6A3E">
        <w:rPr>
          <w:rFonts w:eastAsia="Times New Roman" w:cs="Times New Roman"/>
          <w:b/>
          <w:bCs/>
          <w:rtl/>
          <w:lang w:eastAsia="de-DE"/>
        </w:rPr>
        <w:t>אוּר</w:t>
      </w:r>
      <w:r w:rsidRPr="00EF6A3E">
        <w:rPr>
          <w:rFonts w:eastAsia="Times New Roman" w:cs="Times New Roman"/>
          <w:rtl/>
          <w:lang w:eastAsia="de-DE"/>
        </w:rPr>
        <w:t xml:space="preserve"> </w:t>
      </w:r>
      <w:r w:rsidRPr="00EF6A3E">
        <w:rPr>
          <w:rFonts w:eastAsia="Times New Roman" w:cs="Times New Roman"/>
          <w:lang w:eastAsia="de-DE"/>
        </w:rPr>
        <w:t>(Licht).</w:t>
      </w:r>
    </w:p>
    <w:p w14:paraId="545C94E7" w14:textId="01162E64"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Die LXX</w:t>
      </w:r>
      <w:r w:rsidRPr="00EF6A3E">
        <w:rPr>
          <w:rFonts w:eastAsia="Times New Roman" w:cs="Times New Roman"/>
          <w:lang w:eastAsia="de-DE"/>
        </w:rPr>
        <w:t xml:space="preserve"> </w:t>
      </w:r>
      <w:r w:rsidR="0036662D">
        <w:t>transliteriert in den Versen 5-15 die meisten Eigennamen ins Griechische, wobei einige Namen leicht verändert werden, um griechischen Lautmustern zu entsprechen (z.B. Ἐλισούρ für Elizur, Σαλαμιὴλ für Shelumiel).</w:t>
      </w:r>
    </w:p>
    <w:p w14:paraId="7EC947A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komplexen Nominalsatz mit </w:t>
      </w:r>
      <w:r w:rsidRPr="00EF6A3E">
        <w:rPr>
          <w:rFonts w:eastAsia="Times New Roman" w:cs="Times New Roman"/>
          <w:b/>
          <w:bCs/>
          <w:rtl/>
          <w:lang w:eastAsia="de-DE"/>
        </w:rPr>
        <w:t>אֵלֶּה שְׁמוֹת הָאֲנָשִׁים</w:t>
      </w:r>
      <w:r w:rsidRPr="00EF6A3E">
        <w:rPr>
          <w:rFonts w:eastAsia="Times New Roman" w:cs="Times New Roman"/>
          <w:rtl/>
          <w:lang w:eastAsia="de-DE"/>
        </w:rPr>
        <w:t xml:space="preserve"> </w:t>
      </w:r>
      <w:r w:rsidRPr="00EF6A3E">
        <w:rPr>
          <w:rFonts w:eastAsia="Times New Roman" w:cs="Times New Roman"/>
          <w:lang w:eastAsia="de-DE"/>
        </w:rPr>
        <w:t>als Subjekt, einem modifizierenden Relativsatz und einer spezifizierenden präpositionalen Phrase mit Eigennamenkonstruktion.</w:t>
      </w:r>
    </w:p>
    <w:p w14:paraId="0ACF5E9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beginnt die systematische Aufzählung der stammesweisen Repräsentanten mit dem ältesten Stamm Ruben und etabliert das Muster für die folgenden Verse.</w:t>
      </w:r>
    </w:p>
    <w:p w14:paraId="506C76E2"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1,6</w:t>
      </w:r>
    </w:p>
    <w:p w14:paraId="6C19A67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לְשִׁמְע֕וֹן שְׁלֻמִיאֵ֖ל בֶּן־צוּרִֽישַׁדָּֽי׃</w:t>
      </w:r>
    </w:p>
    <w:p w14:paraId="2F1553A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Schim'on: Schelumi'el, Sohn des Zurischaddai.</w:t>
      </w:r>
    </w:p>
    <w:p w14:paraId="60369E02"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4FA06DBC">
          <v:rect id="_x0000_i1030" style="width:0;height:1.5pt" o:hralign="center" o:hrstd="t" o:hr="t" fillcolor="#a0a0a0" stroked="f"/>
        </w:pict>
      </w:r>
    </w:p>
    <w:p w14:paraId="2A588DF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לְשִׁמְעוֹן</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für </w:t>
      </w:r>
      <w:r w:rsidRPr="00EF6A3E">
        <w:rPr>
          <w:rFonts w:eastAsia="Times New Roman" w:cs="Times New Roman"/>
          <w:b/>
          <w:bCs/>
          <w:rtl/>
          <w:lang w:eastAsia="de-DE"/>
        </w:rPr>
        <w:t>שִׁמְעוֹן</w:t>
      </w:r>
      <w:r w:rsidRPr="00EF6A3E">
        <w:rPr>
          <w:rFonts w:eastAsia="Times New Roman" w:cs="Times New Roman"/>
          <w:rtl/>
          <w:lang w:eastAsia="de-DE"/>
        </w:rPr>
        <w:t xml:space="preserve"> </w:t>
      </w:r>
      <w:r w:rsidRPr="00EF6A3E">
        <w:rPr>
          <w:rFonts w:eastAsia="Times New Roman" w:cs="Times New Roman"/>
          <w:lang w:eastAsia="de-DE"/>
        </w:rPr>
        <w:t>(Simeon), den zweiten Sohn Jakobs. Der Vers folgt der im vorherigen Vers etablierten Struktur.</w:t>
      </w:r>
    </w:p>
    <w:p w14:paraId="224C05E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Eigenname </w:t>
      </w:r>
      <w:r w:rsidRPr="00EF6A3E">
        <w:rPr>
          <w:rFonts w:eastAsia="Times New Roman" w:cs="Times New Roman"/>
          <w:b/>
          <w:bCs/>
          <w:rtl/>
          <w:lang w:eastAsia="de-DE"/>
        </w:rPr>
        <w:t>שְׁלֻמִיאֵל</w:t>
      </w:r>
      <w:r w:rsidRPr="00EF6A3E">
        <w:rPr>
          <w:rFonts w:eastAsia="Times New Roman" w:cs="Times New Roman"/>
          <w:rtl/>
          <w:lang w:eastAsia="de-DE"/>
        </w:rPr>
        <w:t xml:space="preserve"> </w:t>
      </w:r>
      <w:r w:rsidRPr="00EF6A3E">
        <w:rPr>
          <w:rFonts w:eastAsia="Times New Roman" w:cs="Times New Roman"/>
          <w:lang w:eastAsia="de-DE"/>
        </w:rPr>
        <w:t xml:space="preserve">ist ein theophorer Name, gebildet aus </w:t>
      </w:r>
      <w:r w:rsidRPr="00EF6A3E">
        <w:rPr>
          <w:rFonts w:eastAsia="Times New Roman" w:cs="Times New Roman"/>
          <w:b/>
          <w:bCs/>
          <w:rtl/>
          <w:lang w:eastAsia="de-DE"/>
        </w:rPr>
        <w:t>שָׁלוֹם</w:t>
      </w:r>
      <w:r w:rsidRPr="00EF6A3E">
        <w:rPr>
          <w:rFonts w:eastAsia="Times New Roman" w:cs="Times New Roman"/>
          <w:rtl/>
          <w:lang w:eastAsia="de-DE"/>
        </w:rPr>
        <w:t xml:space="preserve"> </w:t>
      </w:r>
      <w:r w:rsidRPr="00EF6A3E">
        <w:rPr>
          <w:rFonts w:eastAsia="Times New Roman" w:cs="Times New Roman"/>
          <w:lang w:eastAsia="de-DE"/>
        </w:rPr>
        <w:t xml:space="preserve">(Friede) oder </w:t>
      </w:r>
      <w:r w:rsidRPr="00EF6A3E">
        <w:rPr>
          <w:rFonts w:eastAsia="Times New Roman" w:cs="Times New Roman"/>
          <w:b/>
          <w:bCs/>
          <w:rtl/>
          <w:lang w:eastAsia="de-DE"/>
        </w:rPr>
        <w:t>שָׁלֵם</w:t>
      </w:r>
      <w:r w:rsidRPr="00EF6A3E">
        <w:rPr>
          <w:rFonts w:eastAsia="Times New Roman" w:cs="Times New Roman"/>
          <w:rtl/>
          <w:lang w:eastAsia="de-DE"/>
        </w:rPr>
        <w:t xml:space="preserve"> </w:t>
      </w:r>
      <w:r w:rsidRPr="00EF6A3E">
        <w:rPr>
          <w:rFonts w:eastAsia="Times New Roman" w:cs="Times New Roman"/>
          <w:lang w:eastAsia="de-DE"/>
        </w:rPr>
        <w:t xml:space="preserve">(vollständig/unversehrt) und der Gottesbezeichnung </w:t>
      </w:r>
      <w:r w:rsidRPr="00EF6A3E">
        <w:rPr>
          <w:rFonts w:eastAsia="Times New Roman" w:cs="Times New Roman"/>
          <w:b/>
          <w:bCs/>
          <w:rtl/>
          <w:lang w:eastAsia="de-DE"/>
        </w:rPr>
        <w:t>אֵל</w:t>
      </w:r>
      <w:r w:rsidRPr="00EF6A3E">
        <w:rPr>
          <w:rFonts w:eastAsia="Times New Roman" w:cs="Times New Roman"/>
          <w:lang w:eastAsia="de-DE"/>
        </w:rPr>
        <w:t>. Die Bedeutung ist "Friede Gottes" oder "Gott ist Vollendung".</w:t>
      </w:r>
    </w:p>
    <w:p w14:paraId="598AD3A5" w14:textId="23D5DBBB"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בֶּן־צוּרִישַׁדָּי</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(Sohn von) im </w:t>
      </w:r>
      <w:r w:rsidR="00F133EC">
        <w:rPr>
          <w:rFonts w:eastAsia="Times New Roman" w:cs="Times New Roman"/>
          <w:lang w:eastAsia="de-DE"/>
        </w:rPr>
        <w:t>Construct</w:t>
      </w:r>
      <w:r w:rsidRPr="00EF6A3E">
        <w:rPr>
          <w:rFonts w:eastAsia="Times New Roman" w:cs="Times New Roman"/>
          <w:lang w:eastAsia="de-DE"/>
        </w:rPr>
        <w:t xml:space="preserve"> mit dem zusammengesetzten Namen </w:t>
      </w:r>
      <w:r w:rsidRPr="00EF6A3E">
        <w:rPr>
          <w:rFonts w:eastAsia="Times New Roman" w:cs="Times New Roman"/>
          <w:b/>
          <w:bCs/>
          <w:rtl/>
          <w:lang w:eastAsia="de-DE"/>
        </w:rPr>
        <w:t>צוּרִישַׁדָּי</w:t>
      </w:r>
      <w:r w:rsidRPr="00EF6A3E">
        <w:rPr>
          <w:rFonts w:eastAsia="Times New Roman" w:cs="Times New Roman"/>
          <w:lang w:eastAsia="de-DE"/>
        </w:rPr>
        <w:t xml:space="preserve">. Dieser Name kombiniert </w:t>
      </w:r>
      <w:r w:rsidRPr="00EF6A3E">
        <w:rPr>
          <w:rFonts w:eastAsia="Times New Roman" w:cs="Times New Roman"/>
          <w:b/>
          <w:bCs/>
          <w:rtl/>
          <w:lang w:eastAsia="de-DE"/>
        </w:rPr>
        <w:t>צוּר</w:t>
      </w:r>
      <w:r w:rsidRPr="00EF6A3E">
        <w:rPr>
          <w:rFonts w:eastAsia="Times New Roman" w:cs="Times New Roman"/>
          <w:rtl/>
          <w:lang w:eastAsia="de-DE"/>
        </w:rPr>
        <w:t xml:space="preserve"> </w:t>
      </w:r>
      <w:r w:rsidRPr="00EF6A3E">
        <w:rPr>
          <w:rFonts w:eastAsia="Times New Roman" w:cs="Times New Roman"/>
          <w:lang w:eastAsia="de-DE"/>
        </w:rPr>
        <w:t xml:space="preserve">(Fels) mit der Gottesbezeichnung </w:t>
      </w:r>
      <w:r w:rsidRPr="00EF6A3E">
        <w:rPr>
          <w:rFonts w:eastAsia="Times New Roman" w:cs="Times New Roman"/>
          <w:b/>
          <w:bCs/>
          <w:rtl/>
          <w:lang w:eastAsia="de-DE"/>
        </w:rPr>
        <w:t>שַׁדַּי</w:t>
      </w:r>
      <w:r w:rsidRPr="00EF6A3E">
        <w:rPr>
          <w:rFonts w:eastAsia="Times New Roman" w:cs="Times New Roman"/>
          <w:rtl/>
          <w:lang w:eastAsia="de-DE"/>
        </w:rPr>
        <w:t xml:space="preserve"> </w:t>
      </w:r>
      <w:r w:rsidRPr="00EF6A3E">
        <w:rPr>
          <w:rFonts w:eastAsia="Times New Roman" w:cs="Times New Roman"/>
          <w:lang w:eastAsia="de-DE"/>
        </w:rPr>
        <w:t>(Allmächtiger) und bedeutet "mein Fels ist Schaddai" oder "Schaddai ist Fels".</w:t>
      </w:r>
    </w:p>
    <w:p w14:paraId="3DE6364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τοῦ Συμεων Σαλαμιηλ υἱὸς Σουρισαδαι und behält die Namensformen bei, wobei sie </w:t>
      </w:r>
      <w:r w:rsidRPr="00EF6A3E">
        <w:rPr>
          <w:rFonts w:eastAsia="Times New Roman" w:cs="Times New Roman"/>
          <w:b/>
          <w:bCs/>
          <w:rtl/>
          <w:lang w:eastAsia="de-DE"/>
        </w:rPr>
        <w:t>שַׁדַּי</w:t>
      </w:r>
      <w:r w:rsidRPr="00EF6A3E">
        <w:rPr>
          <w:rFonts w:eastAsia="Times New Roman" w:cs="Times New Roman"/>
          <w:rtl/>
          <w:lang w:eastAsia="de-DE"/>
        </w:rPr>
        <w:t xml:space="preserve"> </w:t>
      </w:r>
      <w:r w:rsidRPr="00EF6A3E">
        <w:rPr>
          <w:rFonts w:eastAsia="Times New Roman" w:cs="Times New Roman"/>
          <w:lang w:eastAsia="de-DE"/>
        </w:rPr>
        <w:t>mit der griechischen Umschrift Σουρισαδαι wiedergibt.</w:t>
      </w:r>
    </w:p>
    <w:p w14:paraId="43BD641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ist elliptisch und verkürzt gegenüber Vers 5, wobei die Stammeszuordnung direkt mit der Namenangabe verbunden wird. Diese Struktur wird typisch für die folgenden Aufzählungsverse.</w:t>
      </w:r>
    </w:p>
    <w:p w14:paraId="53B58A7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setzt die systematische Nennung der Stammesrepräsentanten fort und zeigt das charakteristische Muster theophorer Namensbildung, das die religiöse Bindung der Stammesführer zum Ausdruck bringt.</w:t>
      </w:r>
    </w:p>
    <w:p w14:paraId="768DD556"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1,7</w:t>
      </w:r>
    </w:p>
    <w:p w14:paraId="3A3E49D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לִֽיהוּדָ֕ה נַחְשׁ֖וֹן בֶּן־עַמִּינָדָֽב׃</w:t>
      </w:r>
    </w:p>
    <w:p w14:paraId="02A391D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Jehuda: Nachschon, Sohn des Amminadav.</w:t>
      </w:r>
    </w:p>
    <w:p w14:paraId="581F1C61"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lastRenderedPageBreak/>
        <w:pict w14:anchorId="589EB16B">
          <v:rect id="_x0000_i1031" style="width:0;height:1.5pt" o:hralign="center" o:hrstd="t" o:hr="t" fillcolor="#a0a0a0" stroked="f"/>
        </w:pict>
      </w:r>
    </w:p>
    <w:p w14:paraId="3C909A5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לִיהוּדָה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Zuordnung zum Stamm </w:t>
      </w:r>
      <w:r w:rsidRPr="00EF6A3E">
        <w:rPr>
          <w:rFonts w:eastAsia="Times New Roman" w:cs="Times New Roman"/>
          <w:b/>
          <w:bCs/>
          <w:rtl/>
          <w:lang w:eastAsia="de-DE"/>
        </w:rPr>
        <w:t>יְהוּדָה</w:t>
      </w:r>
      <w:r w:rsidRPr="00EF6A3E">
        <w:rPr>
          <w:rFonts w:eastAsia="Times New Roman" w:cs="Times New Roman"/>
          <w:rtl/>
          <w:lang w:eastAsia="de-DE"/>
        </w:rPr>
        <w:t xml:space="preserve"> </w:t>
      </w:r>
      <w:r w:rsidRPr="00EF6A3E">
        <w:rPr>
          <w:rFonts w:eastAsia="Times New Roman" w:cs="Times New Roman"/>
          <w:lang w:eastAsia="de-DE"/>
        </w:rPr>
        <w:t>(Juda), dem vierten Sohn Jakobs, der später eine führende Rolle unter den Stämmen einnehmen wird.</w:t>
      </w:r>
    </w:p>
    <w:p w14:paraId="127D078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Eigenname </w:t>
      </w:r>
      <w:r w:rsidRPr="00EF6A3E">
        <w:rPr>
          <w:rFonts w:eastAsia="Times New Roman" w:cs="Times New Roman"/>
          <w:b/>
          <w:bCs/>
          <w:rtl/>
          <w:lang w:eastAsia="de-DE"/>
        </w:rPr>
        <w:t>נַחְשׁוֹן</w:t>
      </w:r>
      <w:r w:rsidRPr="00EF6A3E">
        <w:rPr>
          <w:rFonts w:eastAsia="Times New Roman" w:cs="Times New Roman"/>
          <w:rtl/>
          <w:lang w:eastAsia="de-DE"/>
        </w:rPr>
        <w:t xml:space="preserve"> </w:t>
      </w:r>
      <w:r w:rsidRPr="00EF6A3E">
        <w:rPr>
          <w:rFonts w:eastAsia="Times New Roman" w:cs="Times New Roman"/>
          <w:lang w:eastAsia="de-DE"/>
        </w:rPr>
        <w:t xml:space="preserve">stammt möglicherweise von der Wurzel </w:t>
      </w:r>
      <w:r w:rsidRPr="00EF6A3E">
        <w:rPr>
          <w:rFonts w:eastAsia="Times New Roman" w:cs="Times New Roman"/>
          <w:b/>
          <w:bCs/>
          <w:rtl/>
          <w:lang w:eastAsia="de-DE"/>
        </w:rPr>
        <w:t>נחש</w:t>
      </w:r>
      <w:r w:rsidRPr="00EF6A3E">
        <w:rPr>
          <w:rFonts w:eastAsia="Times New Roman" w:cs="Times New Roman"/>
          <w:rtl/>
          <w:lang w:eastAsia="de-DE"/>
        </w:rPr>
        <w:t xml:space="preserve"> </w:t>
      </w:r>
      <w:r w:rsidRPr="00EF6A3E">
        <w:rPr>
          <w:rFonts w:eastAsia="Times New Roman" w:cs="Times New Roman"/>
          <w:lang w:eastAsia="de-DE"/>
        </w:rPr>
        <w:t xml:space="preserve">(wahrsagen/deuten) oder könnte mit </w:t>
      </w:r>
      <w:r w:rsidRPr="00EF6A3E">
        <w:rPr>
          <w:rFonts w:eastAsia="Times New Roman" w:cs="Times New Roman"/>
          <w:b/>
          <w:bCs/>
          <w:rtl/>
          <w:lang w:eastAsia="de-DE"/>
        </w:rPr>
        <w:t>נָחָש</w:t>
      </w:r>
      <w:r w:rsidRPr="00EF6A3E">
        <w:rPr>
          <w:rFonts w:eastAsia="Times New Roman" w:cs="Times New Roman"/>
          <w:rtl/>
          <w:lang w:eastAsia="de-DE"/>
        </w:rPr>
        <w:t xml:space="preserve"> </w:t>
      </w:r>
      <w:r w:rsidRPr="00EF6A3E">
        <w:rPr>
          <w:rFonts w:eastAsia="Times New Roman" w:cs="Times New Roman"/>
          <w:lang w:eastAsia="de-DE"/>
        </w:rPr>
        <w:t xml:space="preserve">(Schlange) in Verbindung stehen. </w:t>
      </w:r>
      <w:r w:rsidRPr="00EF6A3E">
        <w:rPr>
          <w:rFonts w:eastAsia="Times New Roman" w:cs="Times New Roman"/>
          <w:b/>
          <w:bCs/>
          <w:rtl/>
          <w:lang w:eastAsia="de-DE"/>
        </w:rPr>
        <w:t>נַחְשׁוֹן</w:t>
      </w:r>
      <w:r w:rsidRPr="00EF6A3E">
        <w:rPr>
          <w:rFonts w:eastAsia="Times New Roman" w:cs="Times New Roman"/>
          <w:rtl/>
          <w:lang w:eastAsia="de-DE"/>
        </w:rPr>
        <w:t xml:space="preserve"> </w:t>
      </w:r>
      <w:r w:rsidRPr="00EF6A3E">
        <w:rPr>
          <w:rFonts w:eastAsia="Times New Roman" w:cs="Times New Roman"/>
          <w:lang w:eastAsia="de-DE"/>
        </w:rPr>
        <w:t>wird später als bedeutende Gestalt in der Genealogie Davids erwähnt (Rut 4,20; 1Chr 2,10-11).</w:t>
      </w:r>
    </w:p>
    <w:p w14:paraId="61972B79" w14:textId="6FEFCA90"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בֶּן־עַמִּינָדָב</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עַמִּינָדָב</w:t>
      </w:r>
      <w:r w:rsidRPr="00EF6A3E">
        <w:rPr>
          <w:rFonts w:eastAsia="Times New Roman" w:cs="Times New Roman"/>
          <w:lang w:eastAsia="de-DE"/>
        </w:rPr>
        <w:t xml:space="preserve">. Dieser theophore Name besteht aus </w:t>
      </w:r>
      <w:r w:rsidRPr="00EF6A3E">
        <w:rPr>
          <w:rFonts w:eastAsia="Times New Roman" w:cs="Times New Roman"/>
          <w:b/>
          <w:bCs/>
          <w:rtl/>
          <w:lang w:eastAsia="de-DE"/>
        </w:rPr>
        <w:t>עַם</w:t>
      </w:r>
      <w:r w:rsidRPr="00EF6A3E">
        <w:rPr>
          <w:rFonts w:eastAsia="Times New Roman" w:cs="Times New Roman"/>
          <w:rtl/>
          <w:lang w:eastAsia="de-DE"/>
        </w:rPr>
        <w:t xml:space="preserve"> </w:t>
      </w:r>
      <w:r w:rsidRPr="00EF6A3E">
        <w:rPr>
          <w:rFonts w:eastAsia="Times New Roman" w:cs="Times New Roman"/>
          <w:lang w:eastAsia="de-DE"/>
        </w:rPr>
        <w:t xml:space="preserve">(Volk) und </w:t>
      </w:r>
      <w:r w:rsidRPr="00EF6A3E">
        <w:rPr>
          <w:rFonts w:eastAsia="Times New Roman" w:cs="Times New Roman"/>
          <w:b/>
          <w:bCs/>
          <w:rtl/>
          <w:lang w:eastAsia="de-DE"/>
        </w:rPr>
        <w:t>נָדַב</w:t>
      </w:r>
      <w:r w:rsidRPr="00EF6A3E">
        <w:rPr>
          <w:rFonts w:eastAsia="Times New Roman" w:cs="Times New Roman"/>
          <w:rtl/>
          <w:lang w:eastAsia="de-DE"/>
        </w:rPr>
        <w:t xml:space="preserve"> </w:t>
      </w:r>
      <w:r w:rsidRPr="00EF6A3E">
        <w:rPr>
          <w:rFonts w:eastAsia="Times New Roman" w:cs="Times New Roman"/>
          <w:lang w:eastAsia="de-DE"/>
        </w:rPr>
        <w:t>(freiwillig geben/sich hingeben) mit der Bedeutung "mein Volk ist freigiebig" oder "das Volk ist edel".</w:t>
      </w:r>
    </w:p>
    <w:p w14:paraId="7F6BA1D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τοῦ Ιουδα Ναασσων υἱὸς Αμιναδαβ und zeigt eine leichte Variation in der Transkription mit Ναασσων für </w:t>
      </w:r>
      <w:r w:rsidRPr="00EF6A3E">
        <w:rPr>
          <w:rFonts w:eastAsia="Times New Roman" w:cs="Times New Roman"/>
          <w:b/>
          <w:bCs/>
          <w:rtl/>
          <w:lang w:eastAsia="de-DE"/>
        </w:rPr>
        <w:t>נַחְשׁוֹן</w:t>
      </w:r>
      <w:r w:rsidRPr="00EF6A3E">
        <w:rPr>
          <w:rFonts w:eastAsia="Times New Roman" w:cs="Times New Roman"/>
          <w:rtl/>
          <w:lang w:eastAsia="de-DE"/>
        </w:rPr>
        <w:t xml:space="preserve"> </w:t>
      </w:r>
      <w:r w:rsidRPr="00EF6A3E">
        <w:rPr>
          <w:rFonts w:eastAsia="Times New Roman" w:cs="Times New Roman"/>
          <w:lang w:eastAsia="de-DE"/>
        </w:rPr>
        <w:t xml:space="preserve">und Αμιναδαβ für </w:t>
      </w:r>
      <w:r w:rsidRPr="00EF6A3E">
        <w:rPr>
          <w:rFonts w:eastAsia="Times New Roman" w:cs="Times New Roman"/>
          <w:b/>
          <w:bCs/>
          <w:rtl/>
          <w:lang w:eastAsia="de-DE"/>
        </w:rPr>
        <w:t>עַמִּינָדָב</w:t>
      </w:r>
      <w:r w:rsidRPr="00EF6A3E">
        <w:rPr>
          <w:rFonts w:eastAsia="Times New Roman" w:cs="Times New Roman"/>
          <w:lang w:eastAsia="de-DE"/>
        </w:rPr>
        <w:t>.</w:t>
      </w:r>
    </w:p>
    <w:p w14:paraId="5F2C899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etablierten elliptischen Muster mit direkter Stammeszuordnung und patronymischer Identifikation. Die Syntax ist identisch mit Vers 6.</w:t>
      </w:r>
    </w:p>
    <w:p w14:paraId="4AA894C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führt die Aufzählung fort und nennt den Repräsentanten des Stammes Juda, der historisch eine zentrale Rolle in der israelitischen Geschichte spielt und aus dem später die davidische Dynastie hervorgeht.</w:t>
      </w:r>
    </w:p>
    <w:p w14:paraId="406014A5"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1,8</w:t>
      </w:r>
    </w:p>
    <w:p w14:paraId="4104D7E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לְיִ֨שָּׂשכָ֔ר נְתַנְאֵ֖ל בֶּן־צוּעָֽר׃</w:t>
      </w:r>
    </w:p>
    <w:p w14:paraId="71DCA51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Jissaschar: Netan'el, Sohn des Zu'ar.</w:t>
      </w:r>
    </w:p>
    <w:p w14:paraId="38B574B0"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B0933D4">
          <v:rect id="_x0000_i1032" style="width:0;height:1.5pt" o:hralign="center" o:hrstd="t" o:hr="t" fillcolor="#a0a0a0" stroked="f"/>
        </w:pict>
      </w:r>
    </w:p>
    <w:p w14:paraId="244A52F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לְיִשָּׂשכָר</w:t>
      </w:r>
      <w:r w:rsidRPr="00EF6A3E">
        <w:rPr>
          <w:rFonts w:eastAsia="Times New Roman" w:cs="Times New Roman"/>
          <w:rtl/>
          <w:lang w:eastAsia="de-DE"/>
        </w:rPr>
        <w:t xml:space="preserve"> </w:t>
      </w:r>
      <w:r w:rsidRPr="00EF6A3E">
        <w:rPr>
          <w:rFonts w:eastAsia="Times New Roman" w:cs="Times New Roman"/>
          <w:lang w:eastAsia="de-DE"/>
        </w:rPr>
        <w:t xml:space="preserve">zeigt die Zuordnung zum Stamm </w:t>
      </w:r>
      <w:r w:rsidRPr="00EF6A3E">
        <w:rPr>
          <w:rFonts w:eastAsia="Times New Roman" w:cs="Times New Roman"/>
          <w:b/>
          <w:bCs/>
          <w:rtl/>
          <w:lang w:eastAsia="de-DE"/>
        </w:rPr>
        <w:t>יִשָּׂשכָר</w:t>
      </w:r>
      <w:r w:rsidRPr="00EF6A3E">
        <w:rPr>
          <w:rFonts w:eastAsia="Times New Roman" w:cs="Times New Roman"/>
          <w:rtl/>
          <w:lang w:eastAsia="de-DE"/>
        </w:rPr>
        <w:t xml:space="preserve"> </w:t>
      </w:r>
      <w:r w:rsidRPr="00EF6A3E">
        <w:rPr>
          <w:rFonts w:eastAsia="Times New Roman" w:cs="Times New Roman"/>
          <w:lang w:eastAsia="de-DE"/>
        </w:rPr>
        <w:t xml:space="preserve">(Issaschar), dem neunten Sohn Jakobs und fünften Sohn Leas. Der Name </w:t>
      </w:r>
      <w:r w:rsidRPr="00EF6A3E">
        <w:rPr>
          <w:rFonts w:eastAsia="Times New Roman" w:cs="Times New Roman"/>
          <w:b/>
          <w:bCs/>
          <w:rtl/>
          <w:lang w:eastAsia="de-DE"/>
        </w:rPr>
        <w:t>יִשָּׂשכָר</w:t>
      </w:r>
      <w:r w:rsidRPr="00EF6A3E">
        <w:rPr>
          <w:rFonts w:eastAsia="Times New Roman" w:cs="Times New Roman"/>
          <w:rtl/>
          <w:lang w:eastAsia="de-DE"/>
        </w:rPr>
        <w:t xml:space="preserve"> </w:t>
      </w:r>
      <w:r w:rsidRPr="00EF6A3E">
        <w:rPr>
          <w:rFonts w:eastAsia="Times New Roman" w:cs="Times New Roman"/>
          <w:lang w:eastAsia="de-DE"/>
        </w:rPr>
        <w:t>wird traditionell als "es gibt Lohn" oder "er bringt Lohn" gedeutet.</w:t>
      </w:r>
    </w:p>
    <w:p w14:paraId="525E7F9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Eigenname </w:t>
      </w:r>
      <w:r w:rsidRPr="00EF6A3E">
        <w:rPr>
          <w:rFonts w:eastAsia="Times New Roman" w:cs="Times New Roman"/>
          <w:b/>
          <w:bCs/>
          <w:rtl/>
          <w:lang w:eastAsia="de-DE"/>
        </w:rPr>
        <w:t>נְתַנְאֵל</w:t>
      </w:r>
      <w:r w:rsidRPr="00EF6A3E">
        <w:rPr>
          <w:rFonts w:eastAsia="Times New Roman" w:cs="Times New Roman"/>
          <w:rtl/>
          <w:lang w:eastAsia="de-DE"/>
        </w:rPr>
        <w:t xml:space="preserve"> </w:t>
      </w:r>
      <w:r w:rsidRPr="00EF6A3E">
        <w:rPr>
          <w:rFonts w:eastAsia="Times New Roman" w:cs="Times New Roman"/>
          <w:lang w:eastAsia="de-DE"/>
        </w:rPr>
        <w:t xml:space="preserve">ist ein klassischer theophorer Name, gebildet aus dem Verb </w:t>
      </w:r>
      <w:r w:rsidRPr="00EF6A3E">
        <w:rPr>
          <w:rFonts w:eastAsia="Times New Roman" w:cs="Times New Roman"/>
          <w:b/>
          <w:bCs/>
          <w:rtl/>
          <w:lang w:eastAsia="de-DE"/>
        </w:rPr>
        <w:t>נתן</w:t>
      </w:r>
      <w:r w:rsidRPr="00EF6A3E">
        <w:rPr>
          <w:rFonts w:eastAsia="Times New Roman" w:cs="Times New Roman"/>
          <w:rtl/>
          <w:lang w:eastAsia="de-DE"/>
        </w:rPr>
        <w:t xml:space="preserve"> </w:t>
      </w:r>
      <w:r w:rsidRPr="00EF6A3E">
        <w:rPr>
          <w:rFonts w:eastAsia="Times New Roman" w:cs="Times New Roman"/>
          <w:lang w:eastAsia="de-DE"/>
        </w:rPr>
        <w:t xml:space="preserve">(geben) und der Gottesbezeichnung </w:t>
      </w:r>
      <w:r w:rsidRPr="00EF6A3E">
        <w:rPr>
          <w:rFonts w:eastAsia="Times New Roman" w:cs="Times New Roman"/>
          <w:b/>
          <w:bCs/>
          <w:rtl/>
          <w:lang w:eastAsia="de-DE"/>
        </w:rPr>
        <w:t>אֵל</w:t>
      </w:r>
      <w:r w:rsidRPr="00EF6A3E">
        <w:rPr>
          <w:rFonts w:eastAsia="Times New Roman" w:cs="Times New Roman"/>
          <w:lang w:eastAsia="de-DE"/>
        </w:rPr>
        <w:t>. Die Bedeutung ist "Gott hat gegeben" oder "Geschenk Gottes". Dieser Name erscheint häufig in verschiedenen Variationen in der biblischen Literatur.</w:t>
      </w:r>
    </w:p>
    <w:p w14:paraId="0E5188DE" w14:textId="3801EF4B"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בֶּן־צוּעָר</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צוּעָר</w:t>
      </w:r>
      <w:r w:rsidRPr="00EF6A3E">
        <w:rPr>
          <w:rFonts w:eastAsia="Times New Roman" w:cs="Times New Roman"/>
          <w:lang w:eastAsia="de-DE"/>
        </w:rPr>
        <w:t xml:space="preserve">. Der Name </w:t>
      </w:r>
      <w:r w:rsidRPr="00EF6A3E">
        <w:rPr>
          <w:rFonts w:eastAsia="Times New Roman" w:cs="Times New Roman"/>
          <w:b/>
          <w:bCs/>
          <w:rtl/>
          <w:lang w:eastAsia="de-DE"/>
        </w:rPr>
        <w:t>צוּעָר</w:t>
      </w:r>
      <w:r w:rsidRPr="00EF6A3E">
        <w:rPr>
          <w:rFonts w:eastAsia="Times New Roman" w:cs="Times New Roman"/>
          <w:rtl/>
          <w:lang w:eastAsia="de-DE"/>
        </w:rPr>
        <w:t xml:space="preserve"> </w:t>
      </w:r>
      <w:r w:rsidRPr="00EF6A3E">
        <w:rPr>
          <w:rFonts w:eastAsia="Times New Roman" w:cs="Times New Roman"/>
          <w:lang w:eastAsia="de-DE"/>
        </w:rPr>
        <w:t xml:space="preserve">könnte von der Wurzel </w:t>
      </w:r>
      <w:r w:rsidRPr="00EF6A3E">
        <w:rPr>
          <w:rFonts w:eastAsia="Times New Roman" w:cs="Times New Roman"/>
          <w:b/>
          <w:bCs/>
          <w:rtl/>
          <w:lang w:eastAsia="de-DE"/>
        </w:rPr>
        <w:t>צער</w:t>
      </w:r>
      <w:r w:rsidRPr="00EF6A3E">
        <w:rPr>
          <w:rFonts w:eastAsia="Times New Roman" w:cs="Times New Roman"/>
          <w:rtl/>
          <w:lang w:eastAsia="de-DE"/>
        </w:rPr>
        <w:t xml:space="preserve"> </w:t>
      </w:r>
      <w:r w:rsidRPr="00EF6A3E">
        <w:rPr>
          <w:rFonts w:eastAsia="Times New Roman" w:cs="Times New Roman"/>
          <w:lang w:eastAsia="de-DE"/>
        </w:rPr>
        <w:t xml:space="preserve">(klein sein) stammen und "der Kleine" bedeuten, oder er könnte mit der Wurzel </w:t>
      </w:r>
      <w:r w:rsidRPr="00EF6A3E">
        <w:rPr>
          <w:rFonts w:eastAsia="Times New Roman" w:cs="Times New Roman"/>
          <w:b/>
          <w:bCs/>
          <w:rtl/>
          <w:lang w:eastAsia="de-DE"/>
        </w:rPr>
        <w:t>צור</w:t>
      </w:r>
      <w:r w:rsidRPr="00EF6A3E">
        <w:rPr>
          <w:rFonts w:eastAsia="Times New Roman" w:cs="Times New Roman"/>
          <w:rtl/>
          <w:lang w:eastAsia="de-DE"/>
        </w:rPr>
        <w:t xml:space="preserve"> </w:t>
      </w:r>
      <w:r w:rsidRPr="00EF6A3E">
        <w:rPr>
          <w:rFonts w:eastAsia="Times New Roman" w:cs="Times New Roman"/>
          <w:lang w:eastAsia="de-DE"/>
        </w:rPr>
        <w:t>(Fels) verwandt sein.</w:t>
      </w:r>
    </w:p>
    <w:p w14:paraId="68FC6B4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τοῦ Ισσαχαρ Ναθαναηλ υἱὸς Σωγαρ und zeigt charakteristische griechische Transkriptionen mit Ναθαναηλ für </w:t>
      </w:r>
      <w:r w:rsidRPr="00EF6A3E">
        <w:rPr>
          <w:rFonts w:eastAsia="Times New Roman" w:cs="Times New Roman"/>
          <w:b/>
          <w:bCs/>
          <w:rtl/>
          <w:lang w:eastAsia="de-DE"/>
        </w:rPr>
        <w:t>נְתַנְאֵל</w:t>
      </w:r>
      <w:r w:rsidRPr="00EF6A3E">
        <w:rPr>
          <w:rFonts w:eastAsia="Times New Roman" w:cs="Times New Roman"/>
          <w:rtl/>
          <w:lang w:eastAsia="de-DE"/>
        </w:rPr>
        <w:t xml:space="preserve"> </w:t>
      </w:r>
      <w:r w:rsidRPr="00EF6A3E">
        <w:rPr>
          <w:rFonts w:eastAsia="Times New Roman" w:cs="Times New Roman"/>
          <w:lang w:eastAsia="de-DE"/>
        </w:rPr>
        <w:t xml:space="preserve">und Σωγαρ für </w:t>
      </w:r>
      <w:r w:rsidRPr="00EF6A3E">
        <w:rPr>
          <w:rFonts w:eastAsia="Times New Roman" w:cs="Times New Roman"/>
          <w:b/>
          <w:bCs/>
          <w:rtl/>
          <w:lang w:eastAsia="de-DE"/>
        </w:rPr>
        <w:t>צוּעָר</w:t>
      </w:r>
      <w:r w:rsidRPr="00EF6A3E">
        <w:rPr>
          <w:rFonts w:eastAsia="Times New Roman" w:cs="Times New Roman"/>
          <w:lang w:eastAsia="de-DE"/>
        </w:rPr>
        <w:t>.</w:t>
      </w:r>
    </w:p>
    <w:p w14:paraId="36ACCA0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 Satzstruktur folgt weiterhin dem etablierten elliptischen Muster der Stammeszuordnung mit direkter Namensangabe und patronymischer Identifikation.</w:t>
      </w:r>
    </w:p>
    <w:p w14:paraId="1DCF47B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setzt die systematische Aufzählung fort und nennt den Repräsentanten des Stammes Issaschar, wobei die theophore Namensgebung die religiöse Dimension der Stammesführung unterstreicht.</w:t>
      </w:r>
    </w:p>
    <w:p w14:paraId="33FECA7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1,9</w:t>
      </w:r>
    </w:p>
    <w:p w14:paraId="50A902C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לִזְבוּלֻ֕ן אֱלִיאָ֖ב בֶּן־חֵלֹֽן׃</w:t>
      </w:r>
    </w:p>
    <w:p w14:paraId="7EDD63B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Sevulun: Eli'av, Sohn des Chelon.</w:t>
      </w:r>
    </w:p>
    <w:p w14:paraId="0E464263"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B1643AE">
          <v:rect id="_x0000_i1033" style="width:0;height:1.5pt" o:hralign="center" o:hrstd="t" o:hr="t" fillcolor="#a0a0a0" stroked="f"/>
        </w:pict>
      </w:r>
    </w:p>
    <w:p w14:paraId="386D95B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לִזְבוּלֻן</w:t>
      </w:r>
      <w:r w:rsidRPr="00EF6A3E">
        <w:rPr>
          <w:rFonts w:eastAsia="Times New Roman" w:cs="Times New Roman"/>
          <w:rtl/>
          <w:lang w:eastAsia="de-DE"/>
        </w:rPr>
        <w:t xml:space="preserve"> </w:t>
      </w:r>
      <w:r w:rsidRPr="00EF6A3E">
        <w:rPr>
          <w:rFonts w:eastAsia="Times New Roman" w:cs="Times New Roman"/>
          <w:lang w:eastAsia="de-DE"/>
        </w:rPr>
        <w:t xml:space="preserve">zeigt die Zuordnung zum Stamm </w:t>
      </w:r>
      <w:r w:rsidRPr="00EF6A3E">
        <w:rPr>
          <w:rFonts w:eastAsia="Times New Roman" w:cs="Times New Roman"/>
          <w:b/>
          <w:bCs/>
          <w:rtl/>
          <w:lang w:eastAsia="de-DE"/>
        </w:rPr>
        <w:t>זְבוּלֻן</w:t>
      </w:r>
      <w:r w:rsidRPr="00EF6A3E">
        <w:rPr>
          <w:rFonts w:eastAsia="Times New Roman" w:cs="Times New Roman"/>
          <w:rtl/>
          <w:lang w:eastAsia="de-DE"/>
        </w:rPr>
        <w:t xml:space="preserve"> </w:t>
      </w:r>
      <w:r w:rsidRPr="00EF6A3E">
        <w:rPr>
          <w:rFonts w:eastAsia="Times New Roman" w:cs="Times New Roman"/>
          <w:lang w:eastAsia="de-DE"/>
        </w:rPr>
        <w:t xml:space="preserve">(Sebulon), dem zehnten Sohn Jakobs und sechsten Sohn Leas. Der Name </w:t>
      </w:r>
      <w:r w:rsidRPr="00EF6A3E">
        <w:rPr>
          <w:rFonts w:eastAsia="Times New Roman" w:cs="Times New Roman"/>
          <w:b/>
          <w:bCs/>
          <w:rtl/>
          <w:lang w:eastAsia="de-DE"/>
        </w:rPr>
        <w:t>זְבוּלֻן</w:t>
      </w:r>
      <w:r w:rsidRPr="00EF6A3E">
        <w:rPr>
          <w:rFonts w:eastAsia="Times New Roman" w:cs="Times New Roman"/>
          <w:rtl/>
          <w:lang w:eastAsia="de-DE"/>
        </w:rPr>
        <w:t xml:space="preserve"> </w:t>
      </w:r>
      <w:r w:rsidRPr="00EF6A3E">
        <w:rPr>
          <w:rFonts w:eastAsia="Times New Roman" w:cs="Times New Roman"/>
          <w:lang w:eastAsia="de-DE"/>
        </w:rPr>
        <w:t xml:space="preserve">wird mit der Wurzel </w:t>
      </w:r>
      <w:r w:rsidRPr="00EF6A3E">
        <w:rPr>
          <w:rFonts w:eastAsia="Times New Roman" w:cs="Times New Roman"/>
          <w:b/>
          <w:bCs/>
          <w:rtl/>
          <w:lang w:eastAsia="de-DE"/>
        </w:rPr>
        <w:t>זבל</w:t>
      </w:r>
      <w:r w:rsidRPr="00EF6A3E">
        <w:rPr>
          <w:rFonts w:eastAsia="Times New Roman" w:cs="Times New Roman"/>
          <w:rtl/>
          <w:lang w:eastAsia="de-DE"/>
        </w:rPr>
        <w:t xml:space="preserve"> </w:t>
      </w:r>
      <w:r w:rsidRPr="00EF6A3E">
        <w:rPr>
          <w:rFonts w:eastAsia="Times New Roman" w:cs="Times New Roman"/>
          <w:lang w:eastAsia="de-DE"/>
        </w:rPr>
        <w:t>(wohnen/erhöhen) in Verbindung gebracht.</w:t>
      </w:r>
    </w:p>
    <w:p w14:paraId="5F15B82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Eigenname </w:t>
      </w:r>
      <w:r w:rsidRPr="00EF6A3E">
        <w:rPr>
          <w:rFonts w:eastAsia="Times New Roman" w:cs="Times New Roman"/>
          <w:b/>
          <w:bCs/>
          <w:rtl/>
          <w:lang w:eastAsia="de-DE"/>
        </w:rPr>
        <w:t>אֱלִיאָב</w:t>
      </w:r>
      <w:r w:rsidRPr="00EF6A3E">
        <w:rPr>
          <w:rFonts w:eastAsia="Times New Roman" w:cs="Times New Roman"/>
          <w:rtl/>
          <w:lang w:eastAsia="de-DE"/>
        </w:rPr>
        <w:t xml:space="preserve"> </w:t>
      </w:r>
      <w:r w:rsidRPr="00EF6A3E">
        <w:rPr>
          <w:rFonts w:eastAsia="Times New Roman" w:cs="Times New Roman"/>
          <w:lang w:eastAsia="de-DE"/>
        </w:rPr>
        <w:t xml:space="preserve">ist ein theophorer Name, gebildet aus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 xml:space="preserve">(Gott) und </w:t>
      </w:r>
      <w:r w:rsidRPr="00EF6A3E">
        <w:rPr>
          <w:rFonts w:eastAsia="Times New Roman" w:cs="Times New Roman"/>
          <w:b/>
          <w:bCs/>
          <w:rtl/>
          <w:lang w:eastAsia="de-DE"/>
        </w:rPr>
        <w:t>אָב</w:t>
      </w:r>
      <w:r w:rsidRPr="00EF6A3E">
        <w:rPr>
          <w:rFonts w:eastAsia="Times New Roman" w:cs="Times New Roman"/>
          <w:rtl/>
          <w:lang w:eastAsia="de-DE"/>
        </w:rPr>
        <w:t xml:space="preserve"> </w:t>
      </w:r>
      <w:r w:rsidRPr="00EF6A3E">
        <w:rPr>
          <w:rFonts w:eastAsia="Times New Roman" w:cs="Times New Roman"/>
          <w:lang w:eastAsia="de-DE"/>
        </w:rPr>
        <w:t>(Vater) mit der Bedeutung "mein Gott ist Vater" oder "Gott ist Vater". Diese Namensform betont die väterliche Beziehung zwischen Gott und seinem Volk.</w:t>
      </w:r>
    </w:p>
    <w:p w14:paraId="5F471AEB" w14:textId="3C29D713"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בֶּן־חֵלֹן</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חֵלֹן</w:t>
      </w:r>
      <w:r w:rsidRPr="00EF6A3E">
        <w:rPr>
          <w:rFonts w:eastAsia="Times New Roman" w:cs="Times New Roman"/>
          <w:lang w:eastAsia="de-DE"/>
        </w:rPr>
        <w:t xml:space="preserve">. Der Name </w:t>
      </w:r>
      <w:r w:rsidRPr="00EF6A3E">
        <w:rPr>
          <w:rFonts w:eastAsia="Times New Roman" w:cs="Times New Roman"/>
          <w:b/>
          <w:bCs/>
          <w:rtl/>
          <w:lang w:eastAsia="de-DE"/>
        </w:rPr>
        <w:t>חֵלֹן</w:t>
      </w:r>
      <w:r w:rsidRPr="00EF6A3E">
        <w:rPr>
          <w:rFonts w:eastAsia="Times New Roman" w:cs="Times New Roman"/>
          <w:rtl/>
          <w:lang w:eastAsia="de-DE"/>
        </w:rPr>
        <w:t xml:space="preserve"> </w:t>
      </w:r>
      <w:r w:rsidRPr="00EF6A3E">
        <w:rPr>
          <w:rFonts w:eastAsia="Times New Roman" w:cs="Times New Roman"/>
          <w:lang w:eastAsia="de-DE"/>
        </w:rPr>
        <w:t xml:space="preserve">könnte von der Wurzel </w:t>
      </w:r>
      <w:r w:rsidRPr="00EF6A3E">
        <w:rPr>
          <w:rFonts w:eastAsia="Times New Roman" w:cs="Times New Roman"/>
          <w:b/>
          <w:bCs/>
          <w:rtl/>
          <w:lang w:eastAsia="de-DE"/>
        </w:rPr>
        <w:t>חיל</w:t>
      </w:r>
      <w:r w:rsidRPr="00EF6A3E">
        <w:rPr>
          <w:rFonts w:eastAsia="Times New Roman" w:cs="Times New Roman"/>
          <w:rtl/>
          <w:lang w:eastAsia="de-DE"/>
        </w:rPr>
        <w:t xml:space="preserve"> </w:t>
      </w:r>
      <w:r w:rsidRPr="00EF6A3E">
        <w:rPr>
          <w:rFonts w:eastAsia="Times New Roman" w:cs="Times New Roman"/>
          <w:lang w:eastAsia="de-DE"/>
        </w:rPr>
        <w:t xml:space="preserve">(Kraft/Stärke) oder </w:t>
      </w:r>
      <w:r w:rsidRPr="00EF6A3E">
        <w:rPr>
          <w:rFonts w:eastAsia="Times New Roman" w:cs="Times New Roman"/>
          <w:b/>
          <w:bCs/>
          <w:rtl/>
          <w:lang w:eastAsia="de-DE"/>
        </w:rPr>
        <w:t>חלל</w:t>
      </w:r>
      <w:r w:rsidRPr="00EF6A3E">
        <w:rPr>
          <w:rFonts w:eastAsia="Times New Roman" w:cs="Times New Roman"/>
          <w:rtl/>
          <w:lang w:eastAsia="de-DE"/>
        </w:rPr>
        <w:t xml:space="preserve"> </w:t>
      </w:r>
      <w:r w:rsidRPr="00EF6A3E">
        <w:rPr>
          <w:rFonts w:eastAsia="Times New Roman" w:cs="Times New Roman"/>
          <w:lang w:eastAsia="de-DE"/>
        </w:rPr>
        <w:t>(durchbohren/beginnen) stammen, wobei die genaue Etymologie unsicher ist.</w:t>
      </w:r>
    </w:p>
    <w:p w14:paraId="781F1116" w14:textId="77777777" w:rsidR="00E134EB" w:rsidRDefault="00EF6A3E" w:rsidP="00E134EB">
      <w:pPr>
        <w:spacing w:before="100" w:beforeAutospacing="1" w:after="100" w:afterAutospacing="1" w:line="240" w:lineRule="auto"/>
      </w:pPr>
      <w:r w:rsidRPr="00EF6A3E">
        <w:rPr>
          <w:rFonts w:eastAsia="Times New Roman" w:cs="Times New Roman"/>
          <w:b/>
          <w:bCs/>
          <w:lang w:eastAsia="de-DE"/>
        </w:rPr>
        <w:t>Die LXX</w:t>
      </w:r>
      <w:r w:rsidRPr="00EF6A3E">
        <w:rPr>
          <w:rFonts w:eastAsia="Times New Roman" w:cs="Times New Roman"/>
          <w:lang w:eastAsia="de-DE"/>
        </w:rPr>
        <w:t xml:space="preserve"> </w:t>
      </w:r>
      <w:r w:rsidR="00E134EB">
        <w:rPr>
          <w:rFonts w:eastAsia="Times New Roman" w:cs="Times New Roman"/>
          <w:lang w:eastAsia="de-DE"/>
        </w:rPr>
        <w:t xml:space="preserve">hat andere </w:t>
      </w:r>
      <w:r w:rsidR="00E134EB">
        <w:rPr>
          <w:rStyle w:val="Fett"/>
        </w:rPr>
        <w:t>Verszählung in 9-10</w:t>
      </w:r>
      <w:r w:rsidR="00E134EB">
        <w:t xml:space="preserve">: Die Verszählung unterscheidet sich, da die LXX die Namen aus dem Stamm Josef (Ephraim und Manasse) in einem einzigen Vers zusammenfasst, während der MT sie aufteilt. </w:t>
      </w:r>
    </w:p>
    <w:p w14:paraId="518C5AFC" w14:textId="65AEA5E4" w:rsidR="00EF6A3E" w:rsidRPr="00EF6A3E" w:rsidRDefault="00EF6A3E" w:rsidP="00E134EB">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durchgehend verwendeten elliptischen Schema mit präpositionaler Stammeszuordnung und patronymischer Identifikation.</w:t>
      </w:r>
    </w:p>
    <w:p w14:paraId="108B65C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führt die Aufzählung mit dem Repräsentanten des Stammes Sebulon fort und zeigt die kontinuierliche Verwendung theophorer Namen bei den Stammesführern als Ausdruck ihrer religiösen Identität.</w:t>
      </w:r>
    </w:p>
    <w:p w14:paraId="4C3EFDFB"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1,10</w:t>
      </w:r>
    </w:p>
    <w:p w14:paraId="27A2758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יוֹסֵ֔ף לְאֶפְרַ֕יִם אֱלִישָׁמָ֖ע בֶּן־עַמִּיה֑וּד לִמְנַשֶּׁ֕ה גַּמְלִיאֵ֖ל בֶּן־פְּדָהצֽוּר׃</w:t>
      </w:r>
    </w:p>
    <w:p w14:paraId="1E8392B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die Söhne Josefs: für Ephrajim: Elischama, Sohn des Ammihud; für Menasche: Gamli'el, Sohn des Pedazur.</w:t>
      </w:r>
    </w:p>
    <w:p w14:paraId="38A11635"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4431278">
          <v:rect id="_x0000_i1034" style="width:0;height:1.5pt" o:hralign="center" o:hrstd="t" o:hr="t" fillcolor="#a0a0a0" stroked="f"/>
        </w:pict>
      </w:r>
    </w:p>
    <w:p w14:paraId="16DDB5EA" w14:textId="4A994954"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יוֹסֵף</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בְּנֵי</w:t>
      </w:r>
      <w:r w:rsidRPr="00EF6A3E">
        <w:rPr>
          <w:rFonts w:eastAsia="Times New Roman" w:cs="Times New Roman"/>
          <w:rtl/>
          <w:lang w:eastAsia="de-DE"/>
        </w:rPr>
        <w:t xml:space="preserve"> </w:t>
      </w:r>
      <w:r w:rsidRPr="00EF6A3E">
        <w:rPr>
          <w:rFonts w:eastAsia="Times New Roman" w:cs="Times New Roman"/>
          <w:lang w:eastAsia="de-DE"/>
        </w:rPr>
        <w:t xml:space="preserve">(Söhne von) im </w:t>
      </w:r>
      <w:r w:rsidR="00F133EC">
        <w:rPr>
          <w:rFonts w:eastAsia="Times New Roman" w:cs="Times New Roman"/>
          <w:lang w:eastAsia="de-DE"/>
        </w:rPr>
        <w:t>Construct</w:t>
      </w:r>
      <w:r w:rsidRPr="00EF6A3E">
        <w:rPr>
          <w:rFonts w:eastAsia="Times New Roman" w:cs="Times New Roman"/>
          <w:lang w:eastAsia="de-DE"/>
        </w:rPr>
        <w:t xml:space="preserve"> zeigt die besondere Stellung der Joseph-Stämme. </w:t>
      </w:r>
      <w:r w:rsidRPr="00EF6A3E">
        <w:rPr>
          <w:rFonts w:eastAsia="Times New Roman" w:cs="Times New Roman"/>
          <w:b/>
          <w:bCs/>
          <w:rtl/>
          <w:lang w:eastAsia="de-DE"/>
        </w:rPr>
        <w:t>יוֹסֵף</w:t>
      </w:r>
      <w:r w:rsidRPr="00EF6A3E">
        <w:rPr>
          <w:rFonts w:eastAsia="Times New Roman" w:cs="Times New Roman"/>
          <w:rtl/>
          <w:lang w:eastAsia="de-DE"/>
        </w:rPr>
        <w:t xml:space="preserve"> </w:t>
      </w:r>
      <w:r w:rsidRPr="00EF6A3E">
        <w:rPr>
          <w:rFonts w:eastAsia="Times New Roman" w:cs="Times New Roman"/>
          <w:lang w:eastAsia="de-DE"/>
        </w:rPr>
        <w:t xml:space="preserve">(Joseph) erhielt durch Jakob eine doppelte Erbportion durch seine beiden Söhne </w:t>
      </w:r>
      <w:r w:rsidRPr="00EF6A3E">
        <w:rPr>
          <w:rFonts w:eastAsia="Times New Roman" w:cs="Times New Roman"/>
          <w:b/>
          <w:bCs/>
          <w:rtl/>
          <w:lang w:eastAsia="de-DE"/>
        </w:rPr>
        <w:t>אֶפְרַיִם</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מְנַשֶּׁה</w:t>
      </w:r>
      <w:r w:rsidRPr="00EF6A3E">
        <w:rPr>
          <w:rFonts w:eastAsia="Times New Roman" w:cs="Times New Roman"/>
          <w:lang w:eastAsia="de-DE"/>
        </w:rPr>
        <w:t>.</w:t>
      </w:r>
    </w:p>
    <w:p w14:paraId="5298907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erste Zuordnung </w:t>
      </w:r>
      <w:r w:rsidRPr="00EF6A3E">
        <w:rPr>
          <w:rFonts w:eastAsia="Times New Roman" w:cs="Times New Roman"/>
          <w:b/>
          <w:bCs/>
          <w:rtl/>
          <w:lang w:eastAsia="de-DE"/>
        </w:rPr>
        <w:t>לְאֶפְרַיִם</w:t>
      </w:r>
      <w:r w:rsidRPr="00EF6A3E">
        <w:rPr>
          <w:rFonts w:eastAsia="Times New Roman" w:cs="Times New Roman"/>
          <w:rtl/>
          <w:lang w:eastAsia="de-DE"/>
        </w:rPr>
        <w:t xml:space="preserve"> </w:t>
      </w:r>
      <w:r w:rsidRPr="00EF6A3E">
        <w:rPr>
          <w:rFonts w:eastAsia="Times New Roman" w:cs="Times New Roman"/>
          <w:lang w:eastAsia="de-DE"/>
        </w:rPr>
        <w:t xml:space="preserve">nennt </w:t>
      </w:r>
      <w:r w:rsidRPr="00EF6A3E">
        <w:rPr>
          <w:rFonts w:eastAsia="Times New Roman" w:cs="Times New Roman"/>
          <w:b/>
          <w:bCs/>
          <w:rtl/>
          <w:lang w:eastAsia="de-DE"/>
        </w:rPr>
        <w:t>אֱלִישָׁמָע</w:t>
      </w:r>
      <w:r w:rsidRPr="00EF6A3E">
        <w:rPr>
          <w:rFonts w:eastAsia="Times New Roman" w:cs="Times New Roman"/>
          <w:lang w:eastAsia="de-DE"/>
        </w:rPr>
        <w:t xml:space="preserve">, einen theophoren Namen aus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 xml:space="preserve">(Gott) und </w:t>
      </w:r>
      <w:r w:rsidRPr="00EF6A3E">
        <w:rPr>
          <w:rFonts w:eastAsia="Times New Roman" w:cs="Times New Roman"/>
          <w:b/>
          <w:bCs/>
          <w:rtl/>
          <w:lang w:eastAsia="de-DE"/>
        </w:rPr>
        <w:t>שמע</w:t>
      </w:r>
      <w:r w:rsidRPr="00EF6A3E">
        <w:rPr>
          <w:rFonts w:eastAsia="Times New Roman" w:cs="Times New Roman"/>
          <w:rtl/>
          <w:lang w:eastAsia="de-DE"/>
        </w:rPr>
        <w:t xml:space="preserve"> </w:t>
      </w:r>
      <w:r w:rsidRPr="00EF6A3E">
        <w:rPr>
          <w:rFonts w:eastAsia="Times New Roman" w:cs="Times New Roman"/>
          <w:lang w:eastAsia="de-DE"/>
        </w:rPr>
        <w:t xml:space="preserve">(hören) mit der Bedeutung "Gott hat gehört". Die patronymische Formel </w:t>
      </w:r>
      <w:r w:rsidRPr="00EF6A3E">
        <w:rPr>
          <w:rFonts w:eastAsia="Times New Roman" w:cs="Times New Roman"/>
          <w:b/>
          <w:bCs/>
          <w:rtl/>
          <w:lang w:eastAsia="de-DE"/>
        </w:rPr>
        <w:t>בֶּן־עַמִּיהוּד</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עַמִּיהוּד</w:t>
      </w:r>
      <w:r w:rsidRPr="00EF6A3E">
        <w:rPr>
          <w:rFonts w:eastAsia="Times New Roman" w:cs="Times New Roman"/>
          <w:lang w:eastAsia="de-DE"/>
        </w:rPr>
        <w:t xml:space="preserve">, gebildet aus </w:t>
      </w:r>
      <w:r w:rsidRPr="00EF6A3E">
        <w:rPr>
          <w:rFonts w:eastAsia="Times New Roman" w:cs="Times New Roman"/>
          <w:b/>
          <w:bCs/>
          <w:rtl/>
          <w:lang w:eastAsia="de-DE"/>
        </w:rPr>
        <w:t>עַם</w:t>
      </w:r>
      <w:r w:rsidRPr="00EF6A3E">
        <w:rPr>
          <w:rFonts w:eastAsia="Times New Roman" w:cs="Times New Roman"/>
          <w:rtl/>
          <w:lang w:eastAsia="de-DE"/>
        </w:rPr>
        <w:t xml:space="preserve"> </w:t>
      </w:r>
      <w:r w:rsidRPr="00EF6A3E">
        <w:rPr>
          <w:rFonts w:eastAsia="Times New Roman" w:cs="Times New Roman"/>
          <w:lang w:eastAsia="de-DE"/>
        </w:rPr>
        <w:t xml:space="preserve">(Volk) und einer Form von </w:t>
      </w:r>
      <w:r w:rsidRPr="00EF6A3E">
        <w:rPr>
          <w:rFonts w:eastAsia="Times New Roman" w:cs="Times New Roman"/>
          <w:b/>
          <w:bCs/>
          <w:rtl/>
          <w:lang w:eastAsia="de-DE"/>
        </w:rPr>
        <w:t>הוד</w:t>
      </w:r>
      <w:r w:rsidRPr="00EF6A3E">
        <w:rPr>
          <w:rFonts w:eastAsia="Times New Roman" w:cs="Times New Roman"/>
          <w:rtl/>
          <w:lang w:eastAsia="de-DE"/>
        </w:rPr>
        <w:t xml:space="preserve"> </w:t>
      </w:r>
      <w:r w:rsidRPr="00EF6A3E">
        <w:rPr>
          <w:rFonts w:eastAsia="Times New Roman" w:cs="Times New Roman"/>
          <w:lang w:eastAsia="de-DE"/>
        </w:rPr>
        <w:t>(Majestät/Pracht) - "mein Volk ist Majestät".</w:t>
      </w:r>
    </w:p>
    <w:p w14:paraId="41EC44B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zweite Zuordnung </w:t>
      </w:r>
      <w:r w:rsidRPr="00EF6A3E">
        <w:rPr>
          <w:rFonts w:eastAsia="Times New Roman" w:cs="Times New Roman"/>
          <w:b/>
          <w:bCs/>
          <w:rtl/>
          <w:lang w:eastAsia="de-DE"/>
        </w:rPr>
        <w:t>לִמְנַשֶּׁה</w:t>
      </w:r>
      <w:r w:rsidRPr="00EF6A3E">
        <w:rPr>
          <w:rFonts w:eastAsia="Times New Roman" w:cs="Times New Roman"/>
          <w:rtl/>
          <w:lang w:eastAsia="de-DE"/>
        </w:rPr>
        <w:t xml:space="preserve"> </w:t>
      </w:r>
      <w:r w:rsidRPr="00EF6A3E">
        <w:rPr>
          <w:rFonts w:eastAsia="Times New Roman" w:cs="Times New Roman"/>
          <w:lang w:eastAsia="de-DE"/>
        </w:rPr>
        <w:t xml:space="preserve">nennt </w:t>
      </w:r>
      <w:r w:rsidRPr="00EF6A3E">
        <w:rPr>
          <w:rFonts w:eastAsia="Times New Roman" w:cs="Times New Roman"/>
          <w:b/>
          <w:bCs/>
          <w:rtl/>
          <w:lang w:eastAsia="de-DE"/>
        </w:rPr>
        <w:t>גַּמְלִיאֵל</w:t>
      </w:r>
      <w:r w:rsidRPr="00EF6A3E">
        <w:rPr>
          <w:rFonts w:eastAsia="Times New Roman" w:cs="Times New Roman"/>
          <w:lang w:eastAsia="de-DE"/>
        </w:rPr>
        <w:t xml:space="preserve">, gebildet aus </w:t>
      </w:r>
      <w:r w:rsidRPr="00EF6A3E">
        <w:rPr>
          <w:rFonts w:eastAsia="Times New Roman" w:cs="Times New Roman"/>
          <w:b/>
          <w:bCs/>
          <w:rtl/>
          <w:lang w:eastAsia="de-DE"/>
        </w:rPr>
        <w:t>גמל</w:t>
      </w:r>
      <w:r w:rsidRPr="00EF6A3E">
        <w:rPr>
          <w:rFonts w:eastAsia="Times New Roman" w:cs="Times New Roman"/>
          <w:rtl/>
          <w:lang w:eastAsia="de-DE"/>
        </w:rPr>
        <w:t xml:space="preserve"> </w:t>
      </w:r>
      <w:r w:rsidRPr="00EF6A3E">
        <w:rPr>
          <w:rFonts w:eastAsia="Times New Roman" w:cs="Times New Roman"/>
          <w:lang w:eastAsia="de-DE"/>
        </w:rPr>
        <w:t xml:space="preserve">(Vergeltung/Wohltat Gottes) und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 xml:space="preserve">- "Gottes Vergeltung" oder "Gott vergilt". Die patronymische Formel </w:t>
      </w:r>
      <w:r w:rsidRPr="00EF6A3E">
        <w:rPr>
          <w:rFonts w:eastAsia="Times New Roman" w:cs="Times New Roman"/>
          <w:b/>
          <w:bCs/>
          <w:rtl/>
          <w:lang w:eastAsia="de-DE"/>
        </w:rPr>
        <w:t>בֶּן־פְּדָהצוּר</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פְּדָהצוּר</w:t>
      </w:r>
      <w:r w:rsidRPr="00EF6A3E">
        <w:rPr>
          <w:rFonts w:eastAsia="Times New Roman" w:cs="Times New Roman"/>
          <w:lang w:eastAsia="de-DE"/>
        </w:rPr>
        <w:t xml:space="preserve">, zusammengesetzt aus </w:t>
      </w:r>
      <w:r w:rsidRPr="00EF6A3E">
        <w:rPr>
          <w:rFonts w:eastAsia="Times New Roman" w:cs="Times New Roman"/>
          <w:b/>
          <w:bCs/>
          <w:rtl/>
          <w:lang w:eastAsia="de-DE"/>
        </w:rPr>
        <w:t>פדה</w:t>
      </w:r>
      <w:r w:rsidRPr="00EF6A3E">
        <w:rPr>
          <w:rFonts w:eastAsia="Times New Roman" w:cs="Times New Roman"/>
          <w:rtl/>
          <w:lang w:eastAsia="de-DE"/>
        </w:rPr>
        <w:t xml:space="preserve"> </w:t>
      </w:r>
      <w:r w:rsidRPr="00EF6A3E">
        <w:rPr>
          <w:rFonts w:eastAsia="Times New Roman" w:cs="Times New Roman"/>
          <w:lang w:eastAsia="de-DE"/>
        </w:rPr>
        <w:t xml:space="preserve">(erlösen/loskaufen) und </w:t>
      </w:r>
      <w:r w:rsidRPr="00EF6A3E">
        <w:rPr>
          <w:rFonts w:eastAsia="Times New Roman" w:cs="Times New Roman"/>
          <w:b/>
          <w:bCs/>
          <w:rtl/>
          <w:lang w:eastAsia="de-DE"/>
        </w:rPr>
        <w:t>צוּר</w:t>
      </w:r>
      <w:r w:rsidRPr="00EF6A3E">
        <w:rPr>
          <w:rFonts w:eastAsia="Times New Roman" w:cs="Times New Roman"/>
          <w:rtl/>
          <w:lang w:eastAsia="de-DE"/>
        </w:rPr>
        <w:t xml:space="preserve"> </w:t>
      </w:r>
      <w:r w:rsidRPr="00EF6A3E">
        <w:rPr>
          <w:rFonts w:eastAsia="Times New Roman" w:cs="Times New Roman"/>
          <w:lang w:eastAsia="de-DE"/>
        </w:rPr>
        <w:t>(Fels) - "der Fels hat erlöst".</w:t>
      </w:r>
    </w:p>
    <w:p w14:paraId="2014B52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Ιωσηφ τοῦ Εφραιμ Ελισαμα υἱὸς Εμιουδ τοῦ Μανασση Γαμαλιηλ υἱὸς Φαδασουρ und behält die doppelte Struktur bei.</w:t>
      </w:r>
    </w:p>
    <w:p w14:paraId="5576C4D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 erweiterte Form mit übergeordneter Kategorisierung </w:t>
      </w:r>
      <w:r w:rsidRPr="00EF6A3E">
        <w:rPr>
          <w:rFonts w:eastAsia="Times New Roman" w:cs="Times New Roman"/>
          <w:b/>
          <w:bCs/>
          <w:rtl/>
          <w:lang w:eastAsia="de-DE"/>
        </w:rPr>
        <w:t>לִבְנֵי יוֹסֵף</w:t>
      </w:r>
      <w:r w:rsidRPr="00EF6A3E">
        <w:rPr>
          <w:rFonts w:eastAsia="Times New Roman" w:cs="Times New Roman"/>
          <w:rtl/>
          <w:lang w:eastAsia="de-DE"/>
        </w:rPr>
        <w:t xml:space="preserve"> </w:t>
      </w:r>
      <w:r w:rsidRPr="00EF6A3E">
        <w:rPr>
          <w:rFonts w:eastAsia="Times New Roman" w:cs="Times New Roman"/>
          <w:lang w:eastAsia="de-DE"/>
        </w:rPr>
        <w:t>und zwei parallelen Untereinheiten für beide Joseph-Stämme. Dies reflektiert die besondere genealogische und erbrechtliche Stellung Josephs.</w:t>
      </w:r>
    </w:p>
    <w:p w14:paraId="4869D82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behandelt die beiden Joseph-Stämme als zusammengehörige Einheit und zeigt die charakteristische Verdopplung des Joseph-Erbes durch seine Söhne Ephraim und Manasse.</w:t>
      </w:r>
    </w:p>
    <w:p w14:paraId="1F97040D"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1,11</w:t>
      </w:r>
    </w:p>
    <w:p w14:paraId="7F83280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לְבִ֨נְיָמִ֔ן אֲבִידָ֖ן בֶּן־גִּדְעֹנִֽי׃</w:t>
      </w:r>
    </w:p>
    <w:p w14:paraId="65A4B04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Binjamin: Avidan, Sohn des Gid'oni.</w:t>
      </w:r>
    </w:p>
    <w:p w14:paraId="7A0B4BC3"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C2863A2">
          <v:rect id="_x0000_i1035" style="width:0;height:1.5pt" o:hralign="center" o:hrstd="t" o:hr="t" fillcolor="#a0a0a0" stroked="f"/>
        </w:pict>
      </w:r>
    </w:p>
    <w:p w14:paraId="1E666BF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לְבִנְיָמִן</w:t>
      </w:r>
      <w:r w:rsidRPr="00EF6A3E">
        <w:rPr>
          <w:rFonts w:eastAsia="Times New Roman" w:cs="Times New Roman"/>
          <w:rtl/>
          <w:lang w:eastAsia="de-DE"/>
        </w:rPr>
        <w:t xml:space="preserve"> </w:t>
      </w:r>
      <w:r w:rsidRPr="00EF6A3E">
        <w:rPr>
          <w:rFonts w:eastAsia="Times New Roman" w:cs="Times New Roman"/>
          <w:lang w:eastAsia="de-DE"/>
        </w:rPr>
        <w:t xml:space="preserve">zeigt die Zuordnung zum Stamm </w:t>
      </w:r>
      <w:r w:rsidRPr="00EF6A3E">
        <w:rPr>
          <w:rFonts w:eastAsia="Times New Roman" w:cs="Times New Roman"/>
          <w:b/>
          <w:bCs/>
          <w:rtl/>
          <w:lang w:eastAsia="de-DE"/>
        </w:rPr>
        <w:t>בִּנְיָמִן</w:t>
      </w:r>
      <w:r w:rsidRPr="00EF6A3E">
        <w:rPr>
          <w:rFonts w:eastAsia="Times New Roman" w:cs="Times New Roman"/>
          <w:rtl/>
          <w:lang w:eastAsia="de-DE"/>
        </w:rPr>
        <w:t xml:space="preserve"> </w:t>
      </w:r>
      <w:r w:rsidRPr="00EF6A3E">
        <w:rPr>
          <w:rFonts w:eastAsia="Times New Roman" w:cs="Times New Roman"/>
          <w:lang w:eastAsia="de-DE"/>
        </w:rPr>
        <w:t xml:space="preserve">(Benjamin), dem jüngsten Sohn Jakobs und zweiten Sohn Rahels. Der Name </w:t>
      </w:r>
      <w:r w:rsidRPr="00EF6A3E">
        <w:rPr>
          <w:rFonts w:eastAsia="Times New Roman" w:cs="Times New Roman"/>
          <w:b/>
          <w:bCs/>
          <w:rtl/>
          <w:lang w:eastAsia="de-DE"/>
        </w:rPr>
        <w:t>בִּנְיָמִן</w:t>
      </w:r>
      <w:r w:rsidRPr="00EF6A3E">
        <w:rPr>
          <w:rFonts w:eastAsia="Times New Roman" w:cs="Times New Roman"/>
          <w:rtl/>
          <w:lang w:eastAsia="de-DE"/>
        </w:rPr>
        <w:t xml:space="preserve"> </w:t>
      </w:r>
      <w:r w:rsidRPr="00EF6A3E">
        <w:rPr>
          <w:rFonts w:eastAsia="Times New Roman" w:cs="Times New Roman"/>
          <w:lang w:eastAsia="de-DE"/>
        </w:rPr>
        <w:t>bedeutet "Sohn der Rechten" oder "Sohn des Südens".</w:t>
      </w:r>
    </w:p>
    <w:p w14:paraId="5A4944A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Eigenname </w:t>
      </w:r>
      <w:r w:rsidRPr="00EF6A3E">
        <w:rPr>
          <w:rFonts w:eastAsia="Times New Roman" w:cs="Times New Roman"/>
          <w:b/>
          <w:bCs/>
          <w:rtl/>
          <w:lang w:eastAsia="de-DE"/>
        </w:rPr>
        <w:t>אֲבִידָן</w:t>
      </w:r>
      <w:r w:rsidRPr="00EF6A3E">
        <w:rPr>
          <w:rFonts w:eastAsia="Times New Roman" w:cs="Times New Roman"/>
          <w:rtl/>
          <w:lang w:eastAsia="de-DE"/>
        </w:rPr>
        <w:t xml:space="preserve"> </w:t>
      </w:r>
      <w:r w:rsidRPr="00EF6A3E">
        <w:rPr>
          <w:rFonts w:eastAsia="Times New Roman" w:cs="Times New Roman"/>
          <w:lang w:eastAsia="de-DE"/>
        </w:rPr>
        <w:t xml:space="preserve">ist ein theophorer Name, gebildet aus </w:t>
      </w:r>
      <w:r w:rsidRPr="00EF6A3E">
        <w:rPr>
          <w:rFonts w:eastAsia="Times New Roman" w:cs="Times New Roman"/>
          <w:b/>
          <w:bCs/>
          <w:rtl/>
          <w:lang w:eastAsia="de-DE"/>
        </w:rPr>
        <w:t>אָב</w:t>
      </w:r>
      <w:r w:rsidRPr="00EF6A3E">
        <w:rPr>
          <w:rFonts w:eastAsia="Times New Roman" w:cs="Times New Roman"/>
          <w:rtl/>
          <w:lang w:eastAsia="de-DE"/>
        </w:rPr>
        <w:t xml:space="preserve"> </w:t>
      </w:r>
      <w:r w:rsidRPr="00EF6A3E">
        <w:rPr>
          <w:rFonts w:eastAsia="Times New Roman" w:cs="Times New Roman"/>
          <w:lang w:eastAsia="de-DE"/>
        </w:rPr>
        <w:t xml:space="preserve">(Vater) und </w:t>
      </w:r>
      <w:r w:rsidRPr="00EF6A3E">
        <w:rPr>
          <w:rFonts w:eastAsia="Times New Roman" w:cs="Times New Roman"/>
          <w:b/>
          <w:bCs/>
          <w:rtl/>
          <w:lang w:eastAsia="de-DE"/>
        </w:rPr>
        <w:t>דן/דין</w:t>
      </w:r>
      <w:r w:rsidRPr="00EF6A3E">
        <w:rPr>
          <w:rFonts w:eastAsia="Times New Roman" w:cs="Times New Roman"/>
          <w:rtl/>
          <w:lang w:eastAsia="de-DE"/>
        </w:rPr>
        <w:t xml:space="preserve"> </w:t>
      </w:r>
      <w:r w:rsidRPr="00EF6A3E">
        <w:rPr>
          <w:rFonts w:eastAsia="Times New Roman" w:cs="Times New Roman"/>
          <w:lang w:eastAsia="de-DE"/>
        </w:rPr>
        <w:t>(richten) mit der Bedeutung "mein Vater ist Richter" oder "der Vater richtet". Diese Namensform betont die richterliche Autorität Gottes als Vater.</w:t>
      </w:r>
    </w:p>
    <w:p w14:paraId="47DB13DB" w14:textId="6FA4854E"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בֶּן־גִּדְעֹנִי</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גִּדְעֹנִי</w:t>
      </w:r>
      <w:r w:rsidRPr="00EF6A3E">
        <w:rPr>
          <w:rFonts w:eastAsia="Times New Roman" w:cs="Times New Roman"/>
          <w:lang w:eastAsia="de-DE"/>
        </w:rPr>
        <w:t xml:space="preserve">. Der Name </w:t>
      </w:r>
      <w:r w:rsidRPr="00EF6A3E">
        <w:rPr>
          <w:rFonts w:eastAsia="Times New Roman" w:cs="Times New Roman"/>
          <w:b/>
          <w:bCs/>
          <w:rtl/>
          <w:lang w:eastAsia="de-DE"/>
        </w:rPr>
        <w:t>גִּדְעֹנִי</w:t>
      </w:r>
      <w:r w:rsidRPr="00EF6A3E">
        <w:rPr>
          <w:rFonts w:eastAsia="Times New Roman" w:cs="Times New Roman"/>
          <w:rtl/>
          <w:lang w:eastAsia="de-DE"/>
        </w:rPr>
        <w:t xml:space="preserve"> </w:t>
      </w:r>
      <w:r w:rsidRPr="00EF6A3E">
        <w:rPr>
          <w:rFonts w:eastAsia="Times New Roman" w:cs="Times New Roman"/>
          <w:lang w:eastAsia="de-DE"/>
        </w:rPr>
        <w:t xml:space="preserve">stammt von der Wurzel </w:t>
      </w:r>
      <w:r w:rsidRPr="00EF6A3E">
        <w:rPr>
          <w:rFonts w:eastAsia="Times New Roman" w:cs="Times New Roman"/>
          <w:b/>
          <w:bCs/>
          <w:rtl/>
          <w:lang w:eastAsia="de-DE"/>
        </w:rPr>
        <w:t>גדע</w:t>
      </w:r>
      <w:r w:rsidRPr="00EF6A3E">
        <w:rPr>
          <w:rFonts w:eastAsia="Times New Roman" w:cs="Times New Roman"/>
          <w:rtl/>
          <w:lang w:eastAsia="de-DE"/>
        </w:rPr>
        <w:t xml:space="preserve"> </w:t>
      </w:r>
      <w:r w:rsidRPr="00EF6A3E">
        <w:rPr>
          <w:rFonts w:eastAsia="Times New Roman" w:cs="Times New Roman"/>
          <w:lang w:eastAsia="de-DE"/>
        </w:rPr>
        <w:t>(abhauen/niederreißen) und könnte "der Niederreißer" oder "der Zerstörer" bedeuten, möglicherweise im Sinne eines Kriegers.</w:t>
      </w:r>
    </w:p>
    <w:p w14:paraId="3A958EF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τοῦ Βενιαμιν Αβιδαν υἱὸς Γαδεωνι und behält die Grundstruktur bei, wobei Αβιδαν für </w:t>
      </w:r>
      <w:r w:rsidRPr="00EF6A3E">
        <w:rPr>
          <w:rFonts w:eastAsia="Times New Roman" w:cs="Times New Roman"/>
          <w:b/>
          <w:bCs/>
          <w:rtl/>
          <w:lang w:eastAsia="de-DE"/>
        </w:rPr>
        <w:t>אֲבִידָן</w:t>
      </w:r>
      <w:r w:rsidRPr="00EF6A3E">
        <w:rPr>
          <w:rFonts w:eastAsia="Times New Roman" w:cs="Times New Roman"/>
          <w:rtl/>
          <w:lang w:eastAsia="de-DE"/>
        </w:rPr>
        <w:t xml:space="preserve"> </w:t>
      </w:r>
      <w:r w:rsidRPr="00EF6A3E">
        <w:rPr>
          <w:rFonts w:eastAsia="Times New Roman" w:cs="Times New Roman"/>
          <w:lang w:eastAsia="de-DE"/>
        </w:rPr>
        <w:t xml:space="preserve">und Γαδεωνι für </w:t>
      </w:r>
      <w:r w:rsidRPr="00EF6A3E">
        <w:rPr>
          <w:rFonts w:eastAsia="Times New Roman" w:cs="Times New Roman"/>
          <w:b/>
          <w:bCs/>
          <w:rtl/>
          <w:lang w:eastAsia="de-DE"/>
        </w:rPr>
        <w:t>גִּדְעֹנִי</w:t>
      </w:r>
      <w:r w:rsidRPr="00EF6A3E">
        <w:rPr>
          <w:rFonts w:eastAsia="Times New Roman" w:cs="Times New Roman"/>
          <w:rtl/>
          <w:lang w:eastAsia="de-DE"/>
        </w:rPr>
        <w:t xml:space="preserve"> </w:t>
      </w:r>
      <w:r w:rsidRPr="00EF6A3E">
        <w:rPr>
          <w:rFonts w:eastAsia="Times New Roman" w:cs="Times New Roman"/>
          <w:lang w:eastAsia="de-DE"/>
        </w:rPr>
        <w:t>verwendet wird.</w:t>
      </w:r>
    </w:p>
    <w:p w14:paraId="1699EAA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etablierten elliptischen Muster mit direkter Stammeszuordnung und patronymischer Identifikation, identisch mit den vorherigen Einzelstamm-Versen.</w:t>
      </w:r>
    </w:p>
    <w:p w14:paraId="29CCC5F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Dieser Vers führt die Aufzählung mit dem jüngsten der Jakobssöhne fort und zeigt weiterhin die charakteristische theophore Namensgebung bei den Stammesrepräsentanten.</w:t>
      </w:r>
    </w:p>
    <w:p w14:paraId="2FD45E44"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1,12</w:t>
      </w:r>
    </w:p>
    <w:p w14:paraId="01312B0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לְדָ֕ן אֲחִיעֶ֖זֶר בֶּן־עַמִּֽישַׁדָּֽי׃</w:t>
      </w:r>
    </w:p>
    <w:p w14:paraId="564B5FB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Dan: Achi'ezer, Sohn des Ammischaddai.</w:t>
      </w:r>
    </w:p>
    <w:p w14:paraId="24A4AD1B"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482EFC2">
          <v:rect id="_x0000_i1036" style="width:0;height:1.5pt" o:hralign="center" o:hrstd="t" o:hr="t" fillcolor="#a0a0a0" stroked="f"/>
        </w:pict>
      </w:r>
    </w:p>
    <w:p w14:paraId="5C91A2C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לְדָן</w:t>
      </w:r>
      <w:r w:rsidRPr="00EF6A3E">
        <w:rPr>
          <w:rFonts w:eastAsia="Times New Roman" w:cs="Times New Roman"/>
          <w:rtl/>
          <w:lang w:eastAsia="de-DE"/>
        </w:rPr>
        <w:t xml:space="preserve"> </w:t>
      </w:r>
      <w:r w:rsidRPr="00EF6A3E">
        <w:rPr>
          <w:rFonts w:eastAsia="Times New Roman" w:cs="Times New Roman"/>
          <w:lang w:eastAsia="de-DE"/>
        </w:rPr>
        <w:t xml:space="preserve">zeigt die Zuordnung zum Stamm </w:t>
      </w:r>
      <w:r w:rsidRPr="00EF6A3E">
        <w:rPr>
          <w:rFonts w:eastAsia="Times New Roman" w:cs="Times New Roman"/>
          <w:b/>
          <w:bCs/>
          <w:rtl/>
          <w:lang w:eastAsia="de-DE"/>
        </w:rPr>
        <w:t>דָּן</w:t>
      </w:r>
      <w:r w:rsidRPr="00EF6A3E">
        <w:rPr>
          <w:rFonts w:eastAsia="Times New Roman" w:cs="Times New Roman"/>
          <w:rtl/>
          <w:lang w:eastAsia="de-DE"/>
        </w:rPr>
        <w:t xml:space="preserve"> </w:t>
      </w:r>
      <w:r w:rsidRPr="00EF6A3E">
        <w:rPr>
          <w:rFonts w:eastAsia="Times New Roman" w:cs="Times New Roman"/>
          <w:lang w:eastAsia="de-DE"/>
        </w:rPr>
        <w:t xml:space="preserve">(Dan), dem fünften Sohn Jakobs und ersten Sohn Bilhas, der Magd Rahels. Der Name </w:t>
      </w:r>
      <w:r w:rsidRPr="00EF6A3E">
        <w:rPr>
          <w:rFonts w:eastAsia="Times New Roman" w:cs="Times New Roman"/>
          <w:b/>
          <w:bCs/>
          <w:rtl/>
          <w:lang w:eastAsia="de-DE"/>
        </w:rPr>
        <w:t>דָּן</w:t>
      </w:r>
      <w:r w:rsidRPr="00EF6A3E">
        <w:rPr>
          <w:rFonts w:eastAsia="Times New Roman" w:cs="Times New Roman"/>
          <w:rtl/>
          <w:lang w:eastAsia="de-DE"/>
        </w:rPr>
        <w:t xml:space="preserve"> </w:t>
      </w:r>
      <w:r w:rsidRPr="00EF6A3E">
        <w:rPr>
          <w:rFonts w:eastAsia="Times New Roman" w:cs="Times New Roman"/>
          <w:lang w:eastAsia="de-DE"/>
        </w:rPr>
        <w:t xml:space="preserve">bedeutet "Richter" und leitet sich von der Wurzel </w:t>
      </w:r>
      <w:r w:rsidRPr="00EF6A3E">
        <w:rPr>
          <w:rFonts w:eastAsia="Times New Roman" w:cs="Times New Roman"/>
          <w:b/>
          <w:bCs/>
          <w:rtl/>
          <w:lang w:eastAsia="de-DE"/>
        </w:rPr>
        <w:t>דין</w:t>
      </w:r>
      <w:r w:rsidRPr="00EF6A3E">
        <w:rPr>
          <w:rFonts w:eastAsia="Times New Roman" w:cs="Times New Roman"/>
          <w:rtl/>
          <w:lang w:eastAsia="de-DE"/>
        </w:rPr>
        <w:t xml:space="preserve"> </w:t>
      </w:r>
      <w:r w:rsidRPr="00EF6A3E">
        <w:rPr>
          <w:rFonts w:eastAsia="Times New Roman" w:cs="Times New Roman"/>
          <w:lang w:eastAsia="de-DE"/>
        </w:rPr>
        <w:t>(richten) ab.</w:t>
      </w:r>
    </w:p>
    <w:p w14:paraId="5A1E681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Eigenname </w:t>
      </w:r>
      <w:r w:rsidRPr="00EF6A3E">
        <w:rPr>
          <w:rFonts w:eastAsia="Times New Roman" w:cs="Times New Roman"/>
          <w:b/>
          <w:bCs/>
          <w:rtl/>
          <w:lang w:eastAsia="de-DE"/>
        </w:rPr>
        <w:t>אֲחִיעֶזֶר</w:t>
      </w:r>
      <w:r w:rsidRPr="00EF6A3E">
        <w:rPr>
          <w:rFonts w:eastAsia="Times New Roman" w:cs="Times New Roman"/>
          <w:rtl/>
          <w:lang w:eastAsia="de-DE"/>
        </w:rPr>
        <w:t xml:space="preserve"> </w:t>
      </w:r>
      <w:r w:rsidRPr="00EF6A3E">
        <w:rPr>
          <w:rFonts w:eastAsia="Times New Roman" w:cs="Times New Roman"/>
          <w:lang w:eastAsia="de-DE"/>
        </w:rPr>
        <w:t xml:space="preserve">ist ein theophorer Name, gebildet aus </w:t>
      </w:r>
      <w:r w:rsidRPr="00EF6A3E">
        <w:rPr>
          <w:rFonts w:eastAsia="Times New Roman" w:cs="Times New Roman"/>
          <w:b/>
          <w:bCs/>
          <w:rtl/>
          <w:lang w:eastAsia="de-DE"/>
        </w:rPr>
        <w:t>אָח</w:t>
      </w:r>
      <w:r w:rsidRPr="00EF6A3E">
        <w:rPr>
          <w:rFonts w:eastAsia="Times New Roman" w:cs="Times New Roman"/>
          <w:rtl/>
          <w:lang w:eastAsia="de-DE"/>
        </w:rPr>
        <w:t xml:space="preserve"> </w:t>
      </w:r>
      <w:r w:rsidRPr="00EF6A3E">
        <w:rPr>
          <w:rFonts w:eastAsia="Times New Roman" w:cs="Times New Roman"/>
          <w:lang w:eastAsia="de-DE"/>
        </w:rPr>
        <w:t xml:space="preserve">(Bruder) und </w:t>
      </w:r>
      <w:r w:rsidRPr="00EF6A3E">
        <w:rPr>
          <w:rFonts w:eastAsia="Times New Roman" w:cs="Times New Roman"/>
          <w:b/>
          <w:bCs/>
          <w:rtl/>
          <w:lang w:eastAsia="de-DE"/>
        </w:rPr>
        <w:t>עֶזֶר</w:t>
      </w:r>
      <w:r w:rsidRPr="00EF6A3E">
        <w:rPr>
          <w:rFonts w:eastAsia="Times New Roman" w:cs="Times New Roman"/>
          <w:rtl/>
          <w:lang w:eastAsia="de-DE"/>
        </w:rPr>
        <w:t xml:space="preserve"> </w:t>
      </w:r>
      <w:r w:rsidRPr="00EF6A3E">
        <w:rPr>
          <w:rFonts w:eastAsia="Times New Roman" w:cs="Times New Roman"/>
          <w:lang w:eastAsia="de-DE"/>
        </w:rPr>
        <w:t>(Hilfe) mit der Bedeutung "mein Bruder ist Hilfe" oder "der Bruder hilft". Diese Namensform betont die verwandtschaftliche Solidarität und Unterstützung.</w:t>
      </w:r>
    </w:p>
    <w:p w14:paraId="5B8BEBE2" w14:textId="72D6C812"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בֶּן־עַמִּישַׁדָּי</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עַמִּישַׁדָּי</w:t>
      </w:r>
      <w:r w:rsidRPr="00EF6A3E">
        <w:rPr>
          <w:rFonts w:eastAsia="Times New Roman" w:cs="Times New Roman"/>
          <w:lang w:eastAsia="de-DE"/>
        </w:rPr>
        <w:t xml:space="preserve">. Dieser zusammengesetzte Name besteht aus </w:t>
      </w:r>
      <w:r w:rsidRPr="00EF6A3E">
        <w:rPr>
          <w:rFonts w:eastAsia="Times New Roman" w:cs="Times New Roman"/>
          <w:b/>
          <w:bCs/>
          <w:rtl/>
          <w:lang w:eastAsia="de-DE"/>
        </w:rPr>
        <w:t>עַם</w:t>
      </w:r>
      <w:r w:rsidRPr="00EF6A3E">
        <w:rPr>
          <w:rFonts w:eastAsia="Times New Roman" w:cs="Times New Roman"/>
          <w:rtl/>
          <w:lang w:eastAsia="de-DE"/>
        </w:rPr>
        <w:t xml:space="preserve"> </w:t>
      </w:r>
      <w:r w:rsidRPr="00EF6A3E">
        <w:rPr>
          <w:rFonts w:eastAsia="Times New Roman" w:cs="Times New Roman"/>
          <w:lang w:eastAsia="de-DE"/>
        </w:rPr>
        <w:t xml:space="preserve">(Volk), der Possessivpartikel </w:t>
      </w:r>
      <w:r w:rsidRPr="00EF6A3E">
        <w:rPr>
          <w:rFonts w:eastAsia="Times New Roman" w:cs="Times New Roman"/>
          <w:b/>
          <w:bCs/>
          <w:rtl/>
          <w:lang w:eastAsia="de-DE"/>
        </w:rPr>
        <w:t>י</w:t>
      </w:r>
      <w:r w:rsidRPr="00EF6A3E">
        <w:rPr>
          <w:rFonts w:eastAsia="Times New Roman" w:cs="Times New Roman"/>
          <w:rtl/>
          <w:lang w:eastAsia="de-DE"/>
        </w:rPr>
        <w:t xml:space="preserve"> </w:t>
      </w:r>
      <w:r w:rsidRPr="00EF6A3E">
        <w:rPr>
          <w:rFonts w:eastAsia="Times New Roman" w:cs="Times New Roman"/>
          <w:lang w:eastAsia="de-DE"/>
        </w:rPr>
        <w:t xml:space="preserve">(mein) und </w:t>
      </w:r>
      <w:r w:rsidRPr="00EF6A3E">
        <w:rPr>
          <w:rFonts w:eastAsia="Times New Roman" w:cs="Times New Roman"/>
          <w:b/>
          <w:bCs/>
          <w:rtl/>
          <w:lang w:eastAsia="de-DE"/>
        </w:rPr>
        <w:t>שַׁדַּי</w:t>
      </w:r>
      <w:r w:rsidRPr="00EF6A3E">
        <w:rPr>
          <w:rFonts w:eastAsia="Times New Roman" w:cs="Times New Roman"/>
          <w:rtl/>
          <w:lang w:eastAsia="de-DE"/>
        </w:rPr>
        <w:t xml:space="preserve"> </w:t>
      </w:r>
      <w:r w:rsidRPr="00EF6A3E">
        <w:rPr>
          <w:rFonts w:eastAsia="Times New Roman" w:cs="Times New Roman"/>
          <w:lang w:eastAsia="de-DE"/>
        </w:rPr>
        <w:t>(Allmächtiger) mit der Bedeutung "mein Volk gehört Schaddai" oder "das Volk des Allmächtigen".</w:t>
      </w:r>
    </w:p>
    <w:p w14:paraId="21E5196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τοῦ Δαν Αχιεζερ υἱὸς Αμισαδαι und behält die Namensstrukturen bei, wobei sie </w:t>
      </w:r>
      <w:r w:rsidRPr="00EF6A3E">
        <w:rPr>
          <w:rFonts w:eastAsia="Times New Roman" w:cs="Times New Roman"/>
          <w:b/>
          <w:bCs/>
          <w:rtl/>
          <w:lang w:eastAsia="de-DE"/>
        </w:rPr>
        <w:t>שַׁדַּי</w:t>
      </w:r>
      <w:r w:rsidRPr="00EF6A3E">
        <w:rPr>
          <w:rFonts w:eastAsia="Times New Roman" w:cs="Times New Roman"/>
          <w:rtl/>
          <w:lang w:eastAsia="de-DE"/>
        </w:rPr>
        <w:t xml:space="preserve"> </w:t>
      </w:r>
      <w:r w:rsidRPr="00EF6A3E">
        <w:rPr>
          <w:rFonts w:eastAsia="Times New Roman" w:cs="Times New Roman"/>
          <w:lang w:eastAsia="de-DE"/>
        </w:rPr>
        <w:t>mit der charakteristischen griechischen Form Αμισαδαι wiedergibt.</w:t>
      </w:r>
    </w:p>
    <w:p w14:paraId="6D0CC8F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durchgehend verwendeten elliptischen Schema mit präpositionaler Stammeszuordnung und patronymischer Identifikation.</w:t>
      </w:r>
    </w:p>
    <w:p w14:paraId="1E86237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Dieser Vers nennt den Repräsentanten des Stammes Dan und zeigt erneut die Verwendung theophorer Namen, wobei der Vatername die besondere Beziehung zu </w:t>
      </w:r>
      <w:r w:rsidRPr="00EF6A3E">
        <w:rPr>
          <w:rFonts w:eastAsia="Times New Roman" w:cs="Times New Roman"/>
          <w:b/>
          <w:bCs/>
          <w:rtl/>
          <w:lang w:eastAsia="de-DE"/>
        </w:rPr>
        <w:t>שַׁדַּי</w:t>
      </w:r>
      <w:r w:rsidRPr="00EF6A3E">
        <w:rPr>
          <w:rFonts w:eastAsia="Times New Roman" w:cs="Times New Roman"/>
          <w:rtl/>
          <w:lang w:eastAsia="de-DE"/>
        </w:rPr>
        <w:t xml:space="preserve"> </w:t>
      </w:r>
      <w:r w:rsidRPr="00EF6A3E">
        <w:rPr>
          <w:rFonts w:eastAsia="Times New Roman" w:cs="Times New Roman"/>
          <w:lang w:eastAsia="de-DE"/>
        </w:rPr>
        <w:t>(El Schaddai) hervorhebt.</w:t>
      </w:r>
    </w:p>
    <w:p w14:paraId="1B0C4D27"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1,13</w:t>
      </w:r>
    </w:p>
    <w:p w14:paraId="41F8835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לְאָשֵׁ֕ר פַּגְעִיאֵ֖ל בֶּן־עָכְרָֽן׃</w:t>
      </w:r>
    </w:p>
    <w:p w14:paraId="75D4A1C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Ascher: Pag'i'el, Sohn des Ochran.</w:t>
      </w:r>
    </w:p>
    <w:p w14:paraId="79507B48"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2E3497E8">
          <v:rect id="_x0000_i1037" style="width:0;height:1.5pt" o:hralign="center" o:hrstd="t" o:hr="t" fillcolor="#a0a0a0" stroked="f"/>
        </w:pict>
      </w:r>
    </w:p>
    <w:p w14:paraId="1F96676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לְאָשֵׁר</w:t>
      </w:r>
      <w:r w:rsidRPr="00EF6A3E">
        <w:rPr>
          <w:rFonts w:eastAsia="Times New Roman" w:cs="Times New Roman"/>
          <w:rtl/>
          <w:lang w:eastAsia="de-DE"/>
        </w:rPr>
        <w:t xml:space="preserve"> </w:t>
      </w:r>
      <w:r w:rsidRPr="00EF6A3E">
        <w:rPr>
          <w:rFonts w:eastAsia="Times New Roman" w:cs="Times New Roman"/>
          <w:lang w:eastAsia="de-DE"/>
        </w:rPr>
        <w:t xml:space="preserve">zeigt die Zuordnung zum Stamm </w:t>
      </w:r>
      <w:r w:rsidRPr="00EF6A3E">
        <w:rPr>
          <w:rFonts w:eastAsia="Times New Roman" w:cs="Times New Roman"/>
          <w:b/>
          <w:bCs/>
          <w:rtl/>
          <w:lang w:eastAsia="de-DE"/>
        </w:rPr>
        <w:t>אָשֵׁר</w:t>
      </w:r>
      <w:r w:rsidRPr="00EF6A3E">
        <w:rPr>
          <w:rFonts w:eastAsia="Times New Roman" w:cs="Times New Roman"/>
          <w:rtl/>
          <w:lang w:eastAsia="de-DE"/>
        </w:rPr>
        <w:t xml:space="preserve"> </w:t>
      </w:r>
      <w:r w:rsidRPr="00EF6A3E">
        <w:rPr>
          <w:rFonts w:eastAsia="Times New Roman" w:cs="Times New Roman"/>
          <w:lang w:eastAsia="de-DE"/>
        </w:rPr>
        <w:t xml:space="preserve">(Ascher), dem achten Sohn Jakobs und zweiten Sohn Silpas, der Magd Leas. Der Name </w:t>
      </w:r>
      <w:r w:rsidRPr="00EF6A3E">
        <w:rPr>
          <w:rFonts w:eastAsia="Times New Roman" w:cs="Times New Roman"/>
          <w:b/>
          <w:bCs/>
          <w:rtl/>
          <w:lang w:eastAsia="de-DE"/>
        </w:rPr>
        <w:t>אָשֵׁר</w:t>
      </w:r>
      <w:r w:rsidRPr="00EF6A3E">
        <w:rPr>
          <w:rFonts w:eastAsia="Times New Roman" w:cs="Times New Roman"/>
          <w:rtl/>
          <w:lang w:eastAsia="de-DE"/>
        </w:rPr>
        <w:t xml:space="preserve"> </w:t>
      </w:r>
      <w:r w:rsidRPr="00EF6A3E">
        <w:rPr>
          <w:rFonts w:eastAsia="Times New Roman" w:cs="Times New Roman"/>
          <w:lang w:eastAsia="de-DE"/>
        </w:rPr>
        <w:t xml:space="preserve">bedeutet "Glück" oder "glücklich" und leitet sich von der Wurzel </w:t>
      </w:r>
      <w:r w:rsidRPr="00EF6A3E">
        <w:rPr>
          <w:rFonts w:eastAsia="Times New Roman" w:cs="Times New Roman"/>
          <w:b/>
          <w:bCs/>
          <w:rtl/>
          <w:lang w:eastAsia="de-DE"/>
        </w:rPr>
        <w:t>אשר</w:t>
      </w:r>
      <w:r w:rsidRPr="00EF6A3E">
        <w:rPr>
          <w:rFonts w:eastAsia="Times New Roman" w:cs="Times New Roman"/>
          <w:rtl/>
          <w:lang w:eastAsia="de-DE"/>
        </w:rPr>
        <w:t xml:space="preserve"> </w:t>
      </w:r>
      <w:r w:rsidRPr="00EF6A3E">
        <w:rPr>
          <w:rFonts w:eastAsia="Times New Roman" w:cs="Times New Roman"/>
          <w:lang w:eastAsia="de-DE"/>
        </w:rPr>
        <w:t>(glücklich sein) ab.</w:t>
      </w:r>
    </w:p>
    <w:p w14:paraId="6808AF3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Der Eigenname </w:t>
      </w:r>
      <w:r w:rsidRPr="00EF6A3E">
        <w:rPr>
          <w:rFonts w:eastAsia="Times New Roman" w:cs="Times New Roman"/>
          <w:b/>
          <w:bCs/>
          <w:rtl/>
          <w:lang w:eastAsia="de-DE"/>
        </w:rPr>
        <w:t>פַּגְעִיאֵל</w:t>
      </w:r>
      <w:r w:rsidRPr="00EF6A3E">
        <w:rPr>
          <w:rFonts w:eastAsia="Times New Roman" w:cs="Times New Roman"/>
          <w:rtl/>
          <w:lang w:eastAsia="de-DE"/>
        </w:rPr>
        <w:t xml:space="preserve"> </w:t>
      </w:r>
      <w:r w:rsidRPr="00EF6A3E">
        <w:rPr>
          <w:rFonts w:eastAsia="Times New Roman" w:cs="Times New Roman"/>
          <w:lang w:eastAsia="de-DE"/>
        </w:rPr>
        <w:t xml:space="preserve">ist ein theophorer Name, gebildet aus dem Verb </w:t>
      </w:r>
      <w:r w:rsidRPr="00EF6A3E">
        <w:rPr>
          <w:rFonts w:eastAsia="Times New Roman" w:cs="Times New Roman"/>
          <w:b/>
          <w:bCs/>
          <w:rtl/>
          <w:lang w:eastAsia="de-DE"/>
        </w:rPr>
        <w:t>פגע</w:t>
      </w:r>
      <w:r w:rsidRPr="00EF6A3E">
        <w:rPr>
          <w:rFonts w:eastAsia="Times New Roman" w:cs="Times New Roman"/>
          <w:rtl/>
          <w:lang w:eastAsia="de-DE"/>
        </w:rPr>
        <w:t xml:space="preserve"> </w:t>
      </w:r>
      <w:r w:rsidRPr="00EF6A3E">
        <w:rPr>
          <w:rFonts w:eastAsia="Times New Roman" w:cs="Times New Roman"/>
          <w:lang w:eastAsia="de-DE"/>
        </w:rPr>
        <w:t xml:space="preserve">(begegnen/dazwischentreten/bitten) und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(Gott) mit der Bedeutung "Gott begegnet" oder "Gott tritt dazwischen". Diese Namensform betont die Intervention und das Eingreifen Gottes.</w:t>
      </w:r>
    </w:p>
    <w:p w14:paraId="30365C39" w14:textId="38DBD9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בֶּן־עָכְרָן</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עָכְרָן</w:t>
      </w:r>
      <w:r w:rsidRPr="00EF6A3E">
        <w:rPr>
          <w:rFonts w:eastAsia="Times New Roman" w:cs="Times New Roman"/>
          <w:lang w:eastAsia="de-DE"/>
        </w:rPr>
        <w:t xml:space="preserve">. Der Name </w:t>
      </w:r>
      <w:r w:rsidRPr="00EF6A3E">
        <w:rPr>
          <w:rFonts w:eastAsia="Times New Roman" w:cs="Times New Roman"/>
          <w:b/>
          <w:bCs/>
          <w:rtl/>
          <w:lang w:eastAsia="de-DE"/>
        </w:rPr>
        <w:t>עָכְרָן</w:t>
      </w:r>
      <w:r w:rsidRPr="00EF6A3E">
        <w:rPr>
          <w:rFonts w:eastAsia="Times New Roman" w:cs="Times New Roman"/>
          <w:rtl/>
          <w:lang w:eastAsia="de-DE"/>
        </w:rPr>
        <w:t xml:space="preserve"> </w:t>
      </w:r>
      <w:r w:rsidRPr="00EF6A3E">
        <w:rPr>
          <w:rFonts w:eastAsia="Times New Roman" w:cs="Times New Roman"/>
          <w:lang w:eastAsia="de-DE"/>
        </w:rPr>
        <w:t xml:space="preserve">könnte von der Wurzel </w:t>
      </w:r>
      <w:r w:rsidRPr="00EF6A3E">
        <w:rPr>
          <w:rFonts w:eastAsia="Times New Roman" w:cs="Times New Roman"/>
          <w:b/>
          <w:bCs/>
          <w:rtl/>
          <w:lang w:eastAsia="de-DE"/>
        </w:rPr>
        <w:t>עכר</w:t>
      </w:r>
      <w:r w:rsidRPr="00EF6A3E">
        <w:rPr>
          <w:rFonts w:eastAsia="Times New Roman" w:cs="Times New Roman"/>
          <w:rtl/>
          <w:lang w:eastAsia="de-DE"/>
        </w:rPr>
        <w:t xml:space="preserve"> </w:t>
      </w:r>
      <w:r w:rsidRPr="00EF6A3E">
        <w:rPr>
          <w:rFonts w:eastAsia="Times New Roman" w:cs="Times New Roman"/>
          <w:lang w:eastAsia="de-DE"/>
        </w:rPr>
        <w:t>(trüben/verwirren) stammen, wobei die genaue Bedeutung unsicher ist. Möglicherweise bedeutet er "der Verwirrende" oder hat eine andere etymologische Wurzel.</w:t>
      </w:r>
    </w:p>
    <w:p w14:paraId="307CB3A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τοῦ Ασηρ Φαγαιηλ υἱὸς Εχραν und behält die Grundstruktur bei, wobei Φαγαιηλ für </w:t>
      </w:r>
      <w:r w:rsidRPr="00EF6A3E">
        <w:rPr>
          <w:rFonts w:eastAsia="Times New Roman" w:cs="Times New Roman"/>
          <w:b/>
          <w:bCs/>
          <w:rtl/>
          <w:lang w:eastAsia="de-DE"/>
        </w:rPr>
        <w:t>פַּגְעִיאֵל</w:t>
      </w:r>
      <w:r w:rsidRPr="00EF6A3E">
        <w:rPr>
          <w:rFonts w:eastAsia="Times New Roman" w:cs="Times New Roman"/>
          <w:rtl/>
          <w:lang w:eastAsia="de-DE"/>
        </w:rPr>
        <w:t xml:space="preserve"> </w:t>
      </w:r>
      <w:r w:rsidRPr="00EF6A3E">
        <w:rPr>
          <w:rFonts w:eastAsia="Times New Roman" w:cs="Times New Roman"/>
          <w:lang w:eastAsia="de-DE"/>
        </w:rPr>
        <w:t xml:space="preserve">und Εχραν für </w:t>
      </w:r>
      <w:r w:rsidRPr="00EF6A3E">
        <w:rPr>
          <w:rFonts w:eastAsia="Times New Roman" w:cs="Times New Roman"/>
          <w:b/>
          <w:bCs/>
          <w:rtl/>
          <w:lang w:eastAsia="de-DE"/>
        </w:rPr>
        <w:t>עָכְרָן</w:t>
      </w:r>
      <w:r w:rsidRPr="00EF6A3E">
        <w:rPr>
          <w:rFonts w:eastAsia="Times New Roman" w:cs="Times New Roman"/>
          <w:rtl/>
          <w:lang w:eastAsia="de-DE"/>
        </w:rPr>
        <w:t xml:space="preserve"> </w:t>
      </w:r>
      <w:r w:rsidRPr="00EF6A3E">
        <w:rPr>
          <w:rFonts w:eastAsia="Times New Roman" w:cs="Times New Roman"/>
          <w:lang w:eastAsia="de-DE"/>
        </w:rPr>
        <w:t>verwendet wird.</w:t>
      </w:r>
    </w:p>
    <w:p w14:paraId="3B03CE7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etablierten elliptischen Muster mit direkter Stammeszuordnung und patronymischer Identifikation, identisch mit den anderen Einzelstamm-Versen.</w:t>
      </w:r>
    </w:p>
    <w:p w14:paraId="1C13FD0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führt die Aufzählung mit dem Stamm Ascher fort und zeigt weiterhin die charakteristische theophore Namensgebung bei den Stammesrepräsentanten.</w:t>
      </w:r>
    </w:p>
    <w:p w14:paraId="45DDC011"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1,14</w:t>
      </w:r>
    </w:p>
    <w:p w14:paraId="671E288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לְגָ֕ד אֶלְיָסָ֖ף בֶּן־דְּעוּאֵֽל׃</w:t>
      </w:r>
    </w:p>
    <w:p w14:paraId="0B06F4B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Gad: Eljasaph, Sohn des De'u'el.</w:t>
      </w:r>
    </w:p>
    <w:p w14:paraId="24E76A4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2B45C20">
          <v:rect id="_x0000_i1038" style="width:0;height:1.5pt" o:hralign="center" o:hrstd="t" o:hr="t" fillcolor="#a0a0a0" stroked="f"/>
        </w:pict>
      </w:r>
    </w:p>
    <w:p w14:paraId="5CE5C09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לְגָד</w:t>
      </w:r>
      <w:r w:rsidRPr="00EF6A3E">
        <w:rPr>
          <w:rFonts w:eastAsia="Times New Roman" w:cs="Times New Roman"/>
          <w:rtl/>
          <w:lang w:eastAsia="de-DE"/>
        </w:rPr>
        <w:t xml:space="preserve"> </w:t>
      </w:r>
      <w:r w:rsidRPr="00EF6A3E">
        <w:rPr>
          <w:rFonts w:eastAsia="Times New Roman" w:cs="Times New Roman"/>
          <w:lang w:eastAsia="de-DE"/>
        </w:rPr>
        <w:t xml:space="preserve">zeigt die Zuordnung zum Stamm </w:t>
      </w:r>
      <w:r w:rsidRPr="00EF6A3E">
        <w:rPr>
          <w:rFonts w:eastAsia="Times New Roman" w:cs="Times New Roman"/>
          <w:b/>
          <w:bCs/>
          <w:rtl/>
          <w:lang w:eastAsia="de-DE"/>
        </w:rPr>
        <w:t>גָּד</w:t>
      </w:r>
      <w:r w:rsidRPr="00EF6A3E">
        <w:rPr>
          <w:rFonts w:eastAsia="Times New Roman" w:cs="Times New Roman"/>
          <w:rtl/>
          <w:lang w:eastAsia="de-DE"/>
        </w:rPr>
        <w:t xml:space="preserve"> </w:t>
      </w:r>
      <w:r w:rsidRPr="00EF6A3E">
        <w:rPr>
          <w:rFonts w:eastAsia="Times New Roman" w:cs="Times New Roman"/>
          <w:lang w:eastAsia="de-DE"/>
        </w:rPr>
        <w:t xml:space="preserve">(Gad), dem siebten Sohn Jakobs und ersten Sohn Silpas, der Magd Leas. Der Name </w:t>
      </w:r>
      <w:r w:rsidRPr="00EF6A3E">
        <w:rPr>
          <w:rFonts w:eastAsia="Times New Roman" w:cs="Times New Roman"/>
          <w:b/>
          <w:bCs/>
          <w:rtl/>
          <w:lang w:eastAsia="de-DE"/>
        </w:rPr>
        <w:t>גָּד</w:t>
      </w:r>
      <w:r w:rsidRPr="00EF6A3E">
        <w:rPr>
          <w:rFonts w:eastAsia="Times New Roman" w:cs="Times New Roman"/>
          <w:rtl/>
          <w:lang w:eastAsia="de-DE"/>
        </w:rPr>
        <w:t xml:space="preserve"> </w:t>
      </w:r>
      <w:r w:rsidRPr="00EF6A3E">
        <w:rPr>
          <w:rFonts w:eastAsia="Times New Roman" w:cs="Times New Roman"/>
          <w:lang w:eastAsia="de-DE"/>
        </w:rPr>
        <w:t xml:space="preserve">bedeutet "Glück" oder "Glücksgott" und könnte auch mit der Wurzel </w:t>
      </w:r>
      <w:r w:rsidRPr="00EF6A3E">
        <w:rPr>
          <w:rFonts w:eastAsia="Times New Roman" w:cs="Times New Roman"/>
          <w:b/>
          <w:bCs/>
          <w:rtl/>
          <w:lang w:eastAsia="de-DE"/>
        </w:rPr>
        <w:t>גוד</w:t>
      </w:r>
      <w:r w:rsidRPr="00EF6A3E">
        <w:rPr>
          <w:rFonts w:eastAsia="Times New Roman" w:cs="Times New Roman"/>
          <w:rtl/>
          <w:lang w:eastAsia="de-DE"/>
        </w:rPr>
        <w:t xml:space="preserve"> </w:t>
      </w:r>
      <w:r w:rsidRPr="00EF6A3E">
        <w:rPr>
          <w:rFonts w:eastAsia="Times New Roman" w:cs="Times New Roman"/>
          <w:lang w:eastAsia="de-DE"/>
        </w:rPr>
        <w:t>(angreifen/überfallen) in Verbindung stehen.</w:t>
      </w:r>
    </w:p>
    <w:p w14:paraId="75198E8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Eigenname </w:t>
      </w:r>
      <w:r w:rsidRPr="00EF6A3E">
        <w:rPr>
          <w:rFonts w:eastAsia="Times New Roman" w:cs="Times New Roman"/>
          <w:b/>
          <w:bCs/>
          <w:rtl/>
          <w:lang w:eastAsia="de-DE"/>
        </w:rPr>
        <w:t>אֶלְיָסָף</w:t>
      </w:r>
      <w:r w:rsidRPr="00EF6A3E">
        <w:rPr>
          <w:rFonts w:eastAsia="Times New Roman" w:cs="Times New Roman"/>
          <w:rtl/>
          <w:lang w:eastAsia="de-DE"/>
        </w:rPr>
        <w:t xml:space="preserve"> </w:t>
      </w:r>
      <w:r w:rsidRPr="00EF6A3E">
        <w:rPr>
          <w:rFonts w:eastAsia="Times New Roman" w:cs="Times New Roman"/>
          <w:lang w:eastAsia="de-DE"/>
        </w:rPr>
        <w:t xml:space="preserve">ist ein theophorer Name, gebildet aus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 xml:space="preserve">(Gott) und dem Verb </w:t>
      </w:r>
      <w:r w:rsidRPr="00EF6A3E">
        <w:rPr>
          <w:rFonts w:eastAsia="Times New Roman" w:cs="Times New Roman"/>
          <w:b/>
          <w:bCs/>
          <w:rtl/>
          <w:lang w:eastAsia="de-DE"/>
        </w:rPr>
        <w:t>יסף</w:t>
      </w:r>
      <w:r w:rsidRPr="00EF6A3E">
        <w:rPr>
          <w:rFonts w:eastAsia="Times New Roman" w:cs="Times New Roman"/>
          <w:rtl/>
          <w:lang w:eastAsia="de-DE"/>
        </w:rPr>
        <w:t xml:space="preserve"> </w:t>
      </w:r>
      <w:r w:rsidRPr="00EF6A3E">
        <w:rPr>
          <w:rFonts w:eastAsia="Times New Roman" w:cs="Times New Roman"/>
          <w:lang w:eastAsia="de-DE"/>
        </w:rPr>
        <w:t>(hinzufügen/vermehren) mit der Bedeutung "Gott möge hinzufügen" oder "Gott vermehrt". Diese Namensform drückt den Wunsch nach göttlichem Segen und Vermehrung aus.</w:t>
      </w:r>
    </w:p>
    <w:p w14:paraId="707CF986" w14:textId="59FF4661"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בֶּן־דְּעוּאֵל</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דְּעוּאֵל</w:t>
      </w:r>
      <w:r w:rsidRPr="00EF6A3E">
        <w:rPr>
          <w:rFonts w:eastAsia="Times New Roman" w:cs="Times New Roman"/>
          <w:lang w:eastAsia="de-DE"/>
        </w:rPr>
        <w:t xml:space="preserve">. Dieser theophore Name besteht aus </w:t>
      </w:r>
      <w:r w:rsidRPr="00EF6A3E">
        <w:rPr>
          <w:rFonts w:eastAsia="Times New Roman" w:cs="Times New Roman"/>
          <w:b/>
          <w:bCs/>
          <w:rtl/>
          <w:lang w:eastAsia="de-DE"/>
        </w:rPr>
        <w:t>דע</w:t>
      </w:r>
      <w:r w:rsidRPr="00EF6A3E">
        <w:rPr>
          <w:rFonts w:eastAsia="Times New Roman" w:cs="Times New Roman"/>
          <w:rtl/>
          <w:lang w:eastAsia="de-DE"/>
        </w:rPr>
        <w:t xml:space="preserve"> </w:t>
      </w:r>
      <w:r w:rsidRPr="00EF6A3E">
        <w:rPr>
          <w:rFonts w:eastAsia="Times New Roman" w:cs="Times New Roman"/>
          <w:lang w:eastAsia="de-DE"/>
        </w:rPr>
        <w:t xml:space="preserve">(wissen/erkennen) und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 xml:space="preserve">(Gott) mit der Bedeutung "Erkenntnis Gottes" oder "Gott weiß". In manchen Textvarianten erscheint dieser Name als </w:t>
      </w:r>
      <w:r w:rsidRPr="00EF6A3E">
        <w:rPr>
          <w:rFonts w:eastAsia="Times New Roman" w:cs="Times New Roman"/>
          <w:b/>
          <w:bCs/>
          <w:rtl/>
          <w:lang w:eastAsia="de-DE"/>
        </w:rPr>
        <w:t>רְעוּאֵל</w:t>
      </w:r>
      <w:r w:rsidRPr="00EF6A3E">
        <w:rPr>
          <w:rFonts w:eastAsia="Times New Roman" w:cs="Times New Roman"/>
          <w:rtl/>
          <w:lang w:eastAsia="de-DE"/>
        </w:rPr>
        <w:t xml:space="preserve"> </w:t>
      </w:r>
      <w:r w:rsidRPr="00EF6A3E">
        <w:rPr>
          <w:rFonts w:eastAsia="Times New Roman" w:cs="Times New Roman"/>
          <w:lang w:eastAsia="de-DE"/>
        </w:rPr>
        <w:t>(Gottes Freund).</w:t>
      </w:r>
    </w:p>
    <w:p w14:paraId="741BA828" w14:textId="77777777" w:rsidR="003405D7" w:rsidRDefault="00EF6A3E" w:rsidP="00E134EB">
      <w:pPr>
        <w:pStyle w:val="whitespace-normal"/>
      </w:pPr>
      <w:r w:rsidRPr="00EF6A3E">
        <w:rPr>
          <w:b/>
          <w:bCs/>
        </w:rPr>
        <w:t>Die LXX</w:t>
      </w:r>
      <w:r w:rsidRPr="00EF6A3E">
        <w:t xml:space="preserve"> </w:t>
      </w:r>
      <w:r w:rsidR="00E134EB">
        <w:t xml:space="preserve">weist in Vers 14 einen Namensunterschied bei Gads Stammesführer auf, wo der MT </w:t>
      </w:r>
      <w:r w:rsidR="00E134EB">
        <w:rPr>
          <w:rtl/>
        </w:rPr>
        <w:t>דְּעוּאֵל</w:t>
      </w:r>
      <w:r w:rsidR="00E134EB">
        <w:t xml:space="preserve"> (De'uel) liest, die griechische Version jedoch Ῥαγουήλ (Raguel) bietet.</w:t>
      </w:r>
    </w:p>
    <w:p w14:paraId="3B397F32" w14:textId="43C83EBD" w:rsidR="00EF6A3E" w:rsidRPr="00EF6A3E" w:rsidRDefault="00EF6A3E" w:rsidP="00E134EB">
      <w:pPr>
        <w:pStyle w:val="whitespace-normal"/>
      </w:pPr>
      <w:r w:rsidRPr="00EF6A3E">
        <w:t>Die Satzstruktur folgt dem durchgehend verwendeten elliptischen Schema mit präpositionaler Stammeszuordnung und patronymischer Identifikation.</w:t>
      </w:r>
    </w:p>
    <w:p w14:paraId="27D171F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nennt den Repräsentanten des Stammes Gad und zeigt sowohl in der Haupt- als auch in der Vaterbezeichnung theophore Namen, die göttliches Wissen und Vermehrung thematisieren.</w:t>
      </w:r>
    </w:p>
    <w:p w14:paraId="56D3C76F"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lastRenderedPageBreak/>
        <w:t>Numeri 1,15</w:t>
      </w:r>
    </w:p>
    <w:p w14:paraId="1596D34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לְנַ֨פְתָּלִ֔י אֲחִירַ֖ע בֶּן־עֵינָֽן׃</w:t>
      </w:r>
    </w:p>
    <w:p w14:paraId="563512F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Für Naphthali: Achira, Sohn des Enan.</w:t>
      </w:r>
    </w:p>
    <w:p w14:paraId="4D25F123"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4B363C96">
          <v:rect id="_x0000_i1039" style="width:0;height:1.5pt" o:hralign="center" o:hrstd="t" o:hr="t" fillcolor="#a0a0a0" stroked="f"/>
        </w:pict>
      </w:r>
    </w:p>
    <w:p w14:paraId="43A0B04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לְנַפְתָּלִי</w:t>
      </w:r>
      <w:r w:rsidRPr="00EF6A3E">
        <w:rPr>
          <w:rFonts w:eastAsia="Times New Roman" w:cs="Times New Roman"/>
          <w:rtl/>
          <w:lang w:eastAsia="de-DE"/>
        </w:rPr>
        <w:t xml:space="preserve"> </w:t>
      </w:r>
      <w:r w:rsidRPr="00EF6A3E">
        <w:rPr>
          <w:rFonts w:eastAsia="Times New Roman" w:cs="Times New Roman"/>
          <w:lang w:eastAsia="de-DE"/>
        </w:rPr>
        <w:t xml:space="preserve">zeigt die Zuordnung zum Stamm </w:t>
      </w:r>
      <w:r w:rsidRPr="00EF6A3E">
        <w:rPr>
          <w:rFonts w:eastAsia="Times New Roman" w:cs="Times New Roman"/>
          <w:b/>
          <w:bCs/>
          <w:rtl/>
          <w:lang w:eastAsia="de-DE"/>
        </w:rPr>
        <w:t>נַפְתָּלִי</w:t>
      </w:r>
      <w:r w:rsidRPr="00EF6A3E">
        <w:rPr>
          <w:rFonts w:eastAsia="Times New Roman" w:cs="Times New Roman"/>
          <w:rtl/>
          <w:lang w:eastAsia="de-DE"/>
        </w:rPr>
        <w:t xml:space="preserve"> </w:t>
      </w:r>
      <w:r w:rsidRPr="00EF6A3E">
        <w:rPr>
          <w:rFonts w:eastAsia="Times New Roman" w:cs="Times New Roman"/>
          <w:lang w:eastAsia="de-DE"/>
        </w:rPr>
        <w:t xml:space="preserve">(Naphthali), dem sechsten Sohn Jakobs und zweiten Sohn Bilhas, der Magd Rahels. Der Name </w:t>
      </w:r>
      <w:r w:rsidRPr="00EF6A3E">
        <w:rPr>
          <w:rFonts w:eastAsia="Times New Roman" w:cs="Times New Roman"/>
          <w:b/>
          <w:bCs/>
          <w:rtl/>
          <w:lang w:eastAsia="de-DE"/>
        </w:rPr>
        <w:t>נַפְתָּלִי</w:t>
      </w:r>
      <w:r w:rsidRPr="00EF6A3E">
        <w:rPr>
          <w:rFonts w:eastAsia="Times New Roman" w:cs="Times New Roman"/>
          <w:rtl/>
          <w:lang w:eastAsia="de-DE"/>
        </w:rPr>
        <w:t xml:space="preserve"> </w:t>
      </w:r>
      <w:r w:rsidRPr="00EF6A3E">
        <w:rPr>
          <w:rFonts w:eastAsia="Times New Roman" w:cs="Times New Roman"/>
          <w:lang w:eastAsia="de-DE"/>
        </w:rPr>
        <w:t xml:space="preserve">bedeutet "mein Kampf" oder "Ringkampf" und leitet sich von der Wurzel </w:t>
      </w:r>
      <w:r w:rsidRPr="00EF6A3E">
        <w:rPr>
          <w:rFonts w:eastAsia="Times New Roman" w:cs="Times New Roman"/>
          <w:b/>
          <w:bCs/>
          <w:rtl/>
          <w:lang w:eastAsia="de-DE"/>
        </w:rPr>
        <w:t>פתל</w:t>
      </w:r>
      <w:r w:rsidRPr="00EF6A3E">
        <w:rPr>
          <w:rFonts w:eastAsia="Times New Roman" w:cs="Times New Roman"/>
          <w:rtl/>
          <w:lang w:eastAsia="de-DE"/>
        </w:rPr>
        <w:t xml:space="preserve"> </w:t>
      </w:r>
      <w:r w:rsidRPr="00EF6A3E">
        <w:rPr>
          <w:rFonts w:eastAsia="Times New Roman" w:cs="Times New Roman"/>
          <w:lang w:eastAsia="de-DE"/>
        </w:rPr>
        <w:t>(ringen/sich winden) ab.</w:t>
      </w:r>
    </w:p>
    <w:p w14:paraId="069717C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Eigenname </w:t>
      </w:r>
      <w:r w:rsidRPr="00EF6A3E">
        <w:rPr>
          <w:rFonts w:eastAsia="Times New Roman" w:cs="Times New Roman"/>
          <w:b/>
          <w:bCs/>
          <w:rtl/>
          <w:lang w:eastAsia="de-DE"/>
        </w:rPr>
        <w:t>אֲחִירַע</w:t>
      </w:r>
      <w:r w:rsidRPr="00EF6A3E">
        <w:rPr>
          <w:rFonts w:eastAsia="Times New Roman" w:cs="Times New Roman"/>
          <w:rtl/>
          <w:lang w:eastAsia="de-DE"/>
        </w:rPr>
        <w:t xml:space="preserve"> </w:t>
      </w:r>
      <w:r w:rsidRPr="00EF6A3E">
        <w:rPr>
          <w:rFonts w:eastAsia="Times New Roman" w:cs="Times New Roman"/>
          <w:lang w:eastAsia="de-DE"/>
        </w:rPr>
        <w:t xml:space="preserve">ist ein theophorer Name, gebildet aus </w:t>
      </w:r>
      <w:r w:rsidRPr="00EF6A3E">
        <w:rPr>
          <w:rFonts w:eastAsia="Times New Roman" w:cs="Times New Roman"/>
          <w:b/>
          <w:bCs/>
          <w:rtl/>
          <w:lang w:eastAsia="de-DE"/>
        </w:rPr>
        <w:t>אָח</w:t>
      </w:r>
      <w:r w:rsidRPr="00EF6A3E">
        <w:rPr>
          <w:rFonts w:eastAsia="Times New Roman" w:cs="Times New Roman"/>
          <w:rtl/>
          <w:lang w:eastAsia="de-DE"/>
        </w:rPr>
        <w:t xml:space="preserve"> </w:t>
      </w:r>
      <w:r w:rsidRPr="00EF6A3E">
        <w:rPr>
          <w:rFonts w:eastAsia="Times New Roman" w:cs="Times New Roman"/>
          <w:lang w:eastAsia="de-DE"/>
        </w:rPr>
        <w:t xml:space="preserve">(Bruder) und </w:t>
      </w:r>
      <w:r w:rsidRPr="00EF6A3E">
        <w:rPr>
          <w:rFonts w:eastAsia="Times New Roman" w:cs="Times New Roman"/>
          <w:b/>
          <w:bCs/>
          <w:rtl/>
          <w:lang w:eastAsia="de-DE"/>
        </w:rPr>
        <w:t>רע</w:t>
      </w:r>
      <w:r w:rsidRPr="00EF6A3E">
        <w:rPr>
          <w:rFonts w:eastAsia="Times New Roman" w:cs="Times New Roman"/>
          <w:rtl/>
          <w:lang w:eastAsia="de-DE"/>
        </w:rPr>
        <w:t xml:space="preserve"> </w:t>
      </w:r>
      <w:r w:rsidRPr="00EF6A3E">
        <w:rPr>
          <w:rFonts w:eastAsia="Times New Roman" w:cs="Times New Roman"/>
          <w:lang w:eastAsia="de-DE"/>
        </w:rPr>
        <w:t xml:space="preserve">(Böses/Übel) oder möglicherweise </w:t>
      </w:r>
      <w:r w:rsidRPr="00EF6A3E">
        <w:rPr>
          <w:rFonts w:eastAsia="Times New Roman" w:cs="Times New Roman"/>
          <w:b/>
          <w:bCs/>
          <w:rtl/>
          <w:lang w:eastAsia="de-DE"/>
        </w:rPr>
        <w:t>רעה</w:t>
      </w:r>
      <w:r w:rsidRPr="00EF6A3E">
        <w:rPr>
          <w:rFonts w:eastAsia="Times New Roman" w:cs="Times New Roman"/>
          <w:rtl/>
          <w:lang w:eastAsia="de-DE"/>
        </w:rPr>
        <w:t xml:space="preserve"> </w:t>
      </w:r>
      <w:r w:rsidRPr="00EF6A3E">
        <w:rPr>
          <w:rFonts w:eastAsia="Times New Roman" w:cs="Times New Roman"/>
          <w:lang w:eastAsia="de-DE"/>
        </w:rPr>
        <w:t xml:space="preserve">(Freund/Genosse). Die Bedeutung könnte "mein Bruder ist Freund" sein, wenn </w:t>
      </w:r>
      <w:r w:rsidRPr="00EF6A3E">
        <w:rPr>
          <w:rFonts w:eastAsia="Times New Roman" w:cs="Times New Roman"/>
          <w:b/>
          <w:bCs/>
          <w:rtl/>
          <w:lang w:eastAsia="de-DE"/>
        </w:rPr>
        <w:t>רע</w:t>
      </w:r>
      <w:r w:rsidRPr="00EF6A3E">
        <w:rPr>
          <w:rFonts w:eastAsia="Times New Roman" w:cs="Times New Roman"/>
          <w:rtl/>
          <w:lang w:eastAsia="de-DE"/>
        </w:rPr>
        <w:t xml:space="preserve"> </w:t>
      </w:r>
      <w:r w:rsidRPr="00EF6A3E">
        <w:rPr>
          <w:rFonts w:eastAsia="Times New Roman" w:cs="Times New Roman"/>
          <w:lang w:eastAsia="de-DE"/>
        </w:rPr>
        <w:t>als "Freund" verstanden wird, oder es handelt sich um eine andere etymologische Wurzel.</w:t>
      </w:r>
    </w:p>
    <w:p w14:paraId="6D7785BA" w14:textId="60C20790"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patronymische Formel </w:t>
      </w:r>
      <w:r w:rsidRPr="00EF6A3E">
        <w:rPr>
          <w:rFonts w:eastAsia="Times New Roman" w:cs="Times New Roman"/>
          <w:b/>
          <w:bCs/>
          <w:rtl/>
          <w:lang w:eastAsia="de-DE"/>
        </w:rPr>
        <w:t>בֶּן־עֵינָן</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עֵינָן</w:t>
      </w:r>
      <w:r w:rsidRPr="00EF6A3E">
        <w:rPr>
          <w:rFonts w:eastAsia="Times New Roman" w:cs="Times New Roman"/>
          <w:lang w:eastAsia="de-DE"/>
        </w:rPr>
        <w:t xml:space="preserve">. Der Name </w:t>
      </w:r>
      <w:r w:rsidRPr="00EF6A3E">
        <w:rPr>
          <w:rFonts w:eastAsia="Times New Roman" w:cs="Times New Roman"/>
          <w:b/>
          <w:bCs/>
          <w:rtl/>
          <w:lang w:eastAsia="de-DE"/>
        </w:rPr>
        <w:t>עֵינָן</w:t>
      </w:r>
      <w:r w:rsidRPr="00EF6A3E">
        <w:rPr>
          <w:rFonts w:eastAsia="Times New Roman" w:cs="Times New Roman"/>
          <w:rtl/>
          <w:lang w:eastAsia="de-DE"/>
        </w:rPr>
        <w:t xml:space="preserve"> </w:t>
      </w:r>
      <w:r w:rsidRPr="00EF6A3E">
        <w:rPr>
          <w:rFonts w:eastAsia="Times New Roman" w:cs="Times New Roman"/>
          <w:lang w:eastAsia="de-DE"/>
        </w:rPr>
        <w:t xml:space="preserve">könnte von </w:t>
      </w:r>
      <w:r w:rsidRPr="00EF6A3E">
        <w:rPr>
          <w:rFonts w:eastAsia="Times New Roman" w:cs="Times New Roman"/>
          <w:b/>
          <w:bCs/>
          <w:rtl/>
          <w:lang w:eastAsia="de-DE"/>
        </w:rPr>
        <w:t>עַיִן</w:t>
      </w:r>
      <w:r w:rsidRPr="00EF6A3E">
        <w:rPr>
          <w:rFonts w:eastAsia="Times New Roman" w:cs="Times New Roman"/>
          <w:rtl/>
          <w:lang w:eastAsia="de-DE"/>
        </w:rPr>
        <w:t xml:space="preserve"> </w:t>
      </w:r>
      <w:r w:rsidRPr="00EF6A3E">
        <w:rPr>
          <w:rFonts w:eastAsia="Times New Roman" w:cs="Times New Roman"/>
          <w:lang w:eastAsia="de-DE"/>
        </w:rPr>
        <w:t xml:space="preserve">(Auge/Quelle) stammen und "der mit den Augen" oder "Quellenbesitzer" bedeuten, oder er könnte mit </w:t>
      </w:r>
      <w:r w:rsidRPr="00EF6A3E">
        <w:rPr>
          <w:rFonts w:eastAsia="Times New Roman" w:cs="Times New Roman"/>
          <w:b/>
          <w:bCs/>
          <w:rtl/>
          <w:lang w:eastAsia="de-DE"/>
        </w:rPr>
        <w:t>עָנָן</w:t>
      </w:r>
      <w:r w:rsidRPr="00EF6A3E">
        <w:rPr>
          <w:rFonts w:eastAsia="Times New Roman" w:cs="Times New Roman"/>
          <w:rtl/>
          <w:lang w:eastAsia="de-DE"/>
        </w:rPr>
        <w:t xml:space="preserve"> </w:t>
      </w:r>
      <w:r w:rsidRPr="00EF6A3E">
        <w:rPr>
          <w:rFonts w:eastAsia="Times New Roman" w:cs="Times New Roman"/>
          <w:lang w:eastAsia="de-DE"/>
        </w:rPr>
        <w:t>(Wolke) verwandt sein.</w:t>
      </w:r>
    </w:p>
    <w:p w14:paraId="1D52345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τοῦ Νεφθαλι Αχιρε υἱὸς Αιναν und behält die Grundstruktur bei, wobei Αχιρε für </w:t>
      </w:r>
      <w:r w:rsidRPr="00EF6A3E">
        <w:rPr>
          <w:rFonts w:eastAsia="Times New Roman" w:cs="Times New Roman"/>
          <w:b/>
          <w:bCs/>
          <w:rtl/>
          <w:lang w:eastAsia="de-DE"/>
        </w:rPr>
        <w:t>אֲחִירַע</w:t>
      </w:r>
      <w:r w:rsidRPr="00EF6A3E">
        <w:rPr>
          <w:rFonts w:eastAsia="Times New Roman" w:cs="Times New Roman"/>
          <w:rtl/>
          <w:lang w:eastAsia="de-DE"/>
        </w:rPr>
        <w:t xml:space="preserve"> </w:t>
      </w:r>
      <w:r w:rsidRPr="00EF6A3E">
        <w:rPr>
          <w:rFonts w:eastAsia="Times New Roman" w:cs="Times New Roman"/>
          <w:lang w:eastAsia="de-DE"/>
        </w:rPr>
        <w:t xml:space="preserve">und Αιναν für </w:t>
      </w:r>
      <w:r w:rsidRPr="00EF6A3E">
        <w:rPr>
          <w:rFonts w:eastAsia="Times New Roman" w:cs="Times New Roman"/>
          <w:b/>
          <w:bCs/>
          <w:rtl/>
          <w:lang w:eastAsia="de-DE"/>
        </w:rPr>
        <w:t>עֵינָן</w:t>
      </w:r>
      <w:r w:rsidRPr="00EF6A3E">
        <w:rPr>
          <w:rFonts w:eastAsia="Times New Roman" w:cs="Times New Roman"/>
          <w:rtl/>
          <w:lang w:eastAsia="de-DE"/>
        </w:rPr>
        <w:t xml:space="preserve"> </w:t>
      </w:r>
      <w:r w:rsidRPr="00EF6A3E">
        <w:rPr>
          <w:rFonts w:eastAsia="Times New Roman" w:cs="Times New Roman"/>
          <w:lang w:eastAsia="de-DE"/>
        </w:rPr>
        <w:t>verwendet wird.</w:t>
      </w:r>
    </w:p>
    <w:p w14:paraId="75AFE77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etablierten elliptischen Muster mit direkter Stammeszuordnung und patronymischer Identifikation, identisch mit den anderen Einzelstamm-Versen.</w:t>
      </w:r>
    </w:p>
    <w:p w14:paraId="784FC0F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komplettiert die Aufzählung der zwölf Stammesrepräsentanten und schließt mit Naphthali, dem letzten der von den Nebenfrauen geborenen Söhne Jakobs.</w:t>
      </w:r>
    </w:p>
    <w:p w14:paraId="26AA533E"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1,16</w:t>
      </w:r>
    </w:p>
    <w:p w14:paraId="6F483C1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אֵ֚לֶּה קְרִיאֵי הָעֵדָ֔ה נְשִׂיאֵ֖י מַטּ֣וֹת אֲבוֹתָ֑ם רָאשֵׁ֛י אַלְפֵ֥י יִשְׂרָאֵ֖ל הֵֽם׃</w:t>
      </w:r>
    </w:p>
    <w:p w14:paraId="41359AD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Dies sind die Berufenen der Gemeinde, die Fürsten der Stämme ihrer Väter; sie sind die Häupter der Tausende Jisra'els.</w:t>
      </w:r>
    </w:p>
    <w:p w14:paraId="40820059"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7ABF213A">
          <v:rect id="_x0000_i1040" style="width:0;height:1.5pt" o:hralign="center" o:hrstd="t" o:hr="t" fillcolor="#a0a0a0" stroked="f"/>
        </w:pict>
      </w:r>
    </w:p>
    <w:p w14:paraId="565432CB" w14:textId="05BE2413"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Demonstrativpronomen </w:t>
      </w:r>
      <w:r w:rsidRPr="00EF6A3E">
        <w:rPr>
          <w:rFonts w:eastAsia="Times New Roman" w:cs="Times New Roman"/>
          <w:b/>
          <w:bCs/>
          <w:rtl/>
          <w:lang w:eastAsia="de-DE"/>
        </w:rPr>
        <w:t>אֵלֶּה</w:t>
      </w:r>
      <w:r w:rsidRPr="00EF6A3E">
        <w:rPr>
          <w:rFonts w:eastAsia="Times New Roman" w:cs="Times New Roman"/>
          <w:rtl/>
          <w:lang w:eastAsia="de-DE"/>
        </w:rPr>
        <w:t xml:space="preserve"> </w:t>
      </w:r>
      <w:r w:rsidRPr="00EF6A3E">
        <w:rPr>
          <w:rFonts w:eastAsia="Times New Roman" w:cs="Times New Roman"/>
          <w:lang w:eastAsia="de-DE"/>
        </w:rPr>
        <w:t xml:space="preserve">(diese) leitet eine zusammenfassende Charakterisierung der zuvor genannten Männer ein. </w:t>
      </w:r>
      <w:r w:rsidRPr="00EF6A3E">
        <w:rPr>
          <w:rFonts w:eastAsia="Times New Roman" w:cs="Times New Roman"/>
          <w:b/>
          <w:bCs/>
          <w:rtl/>
          <w:lang w:eastAsia="de-DE"/>
        </w:rPr>
        <w:t>קְרִיאֵי</w:t>
      </w:r>
      <w:r w:rsidRPr="00EF6A3E">
        <w:rPr>
          <w:rFonts w:eastAsia="Times New Roman" w:cs="Times New Roman"/>
          <w:rtl/>
          <w:lang w:eastAsia="de-DE"/>
        </w:rPr>
        <w:t xml:space="preserve"> </w:t>
      </w:r>
      <w:r w:rsidRPr="00EF6A3E">
        <w:rPr>
          <w:rFonts w:eastAsia="Times New Roman" w:cs="Times New Roman"/>
          <w:lang w:eastAsia="de-DE"/>
        </w:rPr>
        <w:t xml:space="preserve">ist das Qal-Partizip Passiv Plural von </w:t>
      </w:r>
      <w:r w:rsidRPr="00EF6A3E">
        <w:rPr>
          <w:rFonts w:eastAsia="Times New Roman" w:cs="Times New Roman"/>
          <w:b/>
          <w:bCs/>
          <w:rtl/>
          <w:lang w:eastAsia="de-DE"/>
        </w:rPr>
        <w:t>קרא</w:t>
      </w:r>
      <w:r w:rsidRPr="00EF6A3E">
        <w:rPr>
          <w:rFonts w:eastAsia="Times New Roman" w:cs="Times New Roman"/>
          <w:rtl/>
          <w:lang w:eastAsia="de-DE"/>
        </w:rPr>
        <w:t xml:space="preserve"> </w:t>
      </w:r>
      <w:r w:rsidRPr="00EF6A3E">
        <w:rPr>
          <w:rFonts w:eastAsia="Times New Roman" w:cs="Times New Roman"/>
          <w:lang w:eastAsia="de-DE"/>
        </w:rPr>
        <w:t xml:space="preserve">(rufen/berufen)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הָעֵדָה</w:t>
      </w:r>
      <w:r w:rsidRPr="00EF6A3E">
        <w:rPr>
          <w:rFonts w:eastAsia="Times New Roman" w:cs="Times New Roman"/>
          <w:rtl/>
          <w:lang w:eastAsia="de-DE"/>
        </w:rPr>
        <w:t xml:space="preserve"> </w:t>
      </w:r>
      <w:r w:rsidRPr="00EF6A3E">
        <w:rPr>
          <w:rFonts w:eastAsia="Times New Roman" w:cs="Times New Roman"/>
          <w:lang w:eastAsia="de-DE"/>
        </w:rPr>
        <w:t>(die Gemeinde), was "die Berufenen der Gemeinde" bedeutet und ihre offizielle Designation betont.</w:t>
      </w:r>
    </w:p>
    <w:p w14:paraId="772D7520" w14:textId="7BFA6B55"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Begriff </w:t>
      </w:r>
      <w:r w:rsidRPr="00EF6A3E">
        <w:rPr>
          <w:rFonts w:eastAsia="Times New Roman" w:cs="Times New Roman"/>
          <w:b/>
          <w:bCs/>
          <w:rtl/>
          <w:lang w:eastAsia="de-DE"/>
        </w:rPr>
        <w:t>נְשִׂיאֵי</w:t>
      </w:r>
      <w:r w:rsidRPr="00EF6A3E">
        <w:rPr>
          <w:rFonts w:eastAsia="Times New Roman" w:cs="Times New Roman"/>
          <w:rtl/>
          <w:lang w:eastAsia="de-DE"/>
        </w:rPr>
        <w:t xml:space="preserve"> </w:t>
      </w:r>
      <w:r w:rsidRPr="00EF6A3E">
        <w:rPr>
          <w:rFonts w:eastAsia="Times New Roman" w:cs="Times New Roman"/>
          <w:lang w:eastAsia="de-DE"/>
        </w:rPr>
        <w:t xml:space="preserve">(Fürsten/Erhobene) ist der Plural von </w:t>
      </w:r>
      <w:r w:rsidRPr="00EF6A3E">
        <w:rPr>
          <w:rFonts w:eastAsia="Times New Roman" w:cs="Times New Roman"/>
          <w:b/>
          <w:bCs/>
          <w:rtl/>
          <w:lang w:eastAsia="de-DE"/>
        </w:rPr>
        <w:t>נָשִׂיא</w:t>
      </w:r>
      <w:r w:rsidRPr="00EF6A3E">
        <w:rPr>
          <w:rFonts w:eastAsia="Times New Roman" w:cs="Times New Roman"/>
          <w:rtl/>
          <w:lang w:eastAsia="de-DE"/>
        </w:rPr>
        <w:t xml:space="preserve"> </w:t>
      </w:r>
      <w:r w:rsidRPr="00EF6A3E">
        <w:rPr>
          <w:rFonts w:eastAsia="Times New Roman" w:cs="Times New Roman"/>
          <w:lang w:eastAsia="de-DE"/>
        </w:rPr>
        <w:t xml:space="preserve">von der Wurzel </w:t>
      </w:r>
      <w:r w:rsidRPr="00EF6A3E">
        <w:rPr>
          <w:rFonts w:eastAsia="Times New Roman" w:cs="Times New Roman"/>
          <w:b/>
          <w:bCs/>
          <w:rtl/>
          <w:lang w:eastAsia="de-DE"/>
        </w:rPr>
        <w:t>נשא</w:t>
      </w:r>
      <w:r w:rsidRPr="00EF6A3E">
        <w:rPr>
          <w:rFonts w:eastAsia="Times New Roman" w:cs="Times New Roman"/>
          <w:rtl/>
          <w:lang w:eastAsia="de-DE"/>
        </w:rPr>
        <w:t xml:space="preserve"> </w:t>
      </w:r>
      <w:r w:rsidRPr="00EF6A3E">
        <w:rPr>
          <w:rFonts w:eastAsia="Times New Roman" w:cs="Times New Roman"/>
          <w:lang w:eastAsia="de-DE"/>
        </w:rPr>
        <w:t xml:space="preserve">(erheben/tragen)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מַטּוֹת אֲבוֹתָם</w:t>
      </w:r>
      <w:r w:rsidRPr="00EF6A3E">
        <w:rPr>
          <w:rFonts w:eastAsia="Times New Roman" w:cs="Times New Roman"/>
          <w:rtl/>
          <w:lang w:eastAsia="de-DE"/>
        </w:rPr>
        <w:t xml:space="preserve"> </w:t>
      </w:r>
      <w:r w:rsidRPr="00EF6A3E">
        <w:rPr>
          <w:rFonts w:eastAsia="Times New Roman" w:cs="Times New Roman"/>
          <w:lang w:eastAsia="de-DE"/>
        </w:rPr>
        <w:t xml:space="preserve">(Stämme ihrer Väter). </w:t>
      </w:r>
      <w:r w:rsidRPr="00EF6A3E">
        <w:rPr>
          <w:rFonts w:eastAsia="Times New Roman" w:cs="Times New Roman"/>
          <w:b/>
          <w:bCs/>
          <w:rtl/>
          <w:lang w:eastAsia="de-DE"/>
        </w:rPr>
        <w:t>מַטּוֹת</w:t>
      </w:r>
      <w:r w:rsidRPr="00EF6A3E">
        <w:rPr>
          <w:rFonts w:eastAsia="Times New Roman" w:cs="Times New Roman"/>
          <w:rtl/>
          <w:lang w:eastAsia="de-DE"/>
        </w:rPr>
        <w:t xml:space="preserve"> </w:t>
      </w:r>
      <w:r w:rsidRPr="00EF6A3E">
        <w:rPr>
          <w:rFonts w:eastAsia="Times New Roman" w:cs="Times New Roman"/>
          <w:lang w:eastAsia="de-DE"/>
        </w:rPr>
        <w:t xml:space="preserve">ist der Plural von </w:t>
      </w:r>
      <w:r w:rsidRPr="00EF6A3E">
        <w:rPr>
          <w:rFonts w:eastAsia="Times New Roman" w:cs="Times New Roman"/>
          <w:b/>
          <w:bCs/>
          <w:rtl/>
          <w:lang w:eastAsia="de-DE"/>
        </w:rPr>
        <w:t>מַטֶּה</w:t>
      </w:r>
      <w:r w:rsidRPr="00EF6A3E">
        <w:rPr>
          <w:rFonts w:eastAsia="Times New Roman" w:cs="Times New Roman"/>
          <w:rtl/>
          <w:lang w:eastAsia="de-DE"/>
        </w:rPr>
        <w:t xml:space="preserve"> </w:t>
      </w:r>
      <w:r w:rsidRPr="00EF6A3E">
        <w:rPr>
          <w:rFonts w:eastAsia="Times New Roman" w:cs="Times New Roman"/>
          <w:lang w:eastAsia="de-DE"/>
        </w:rPr>
        <w:t xml:space="preserve">(Stamm/Stab) und </w:t>
      </w:r>
      <w:r w:rsidRPr="00EF6A3E">
        <w:rPr>
          <w:rFonts w:eastAsia="Times New Roman" w:cs="Times New Roman"/>
          <w:b/>
          <w:bCs/>
          <w:rtl/>
          <w:lang w:eastAsia="de-DE"/>
        </w:rPr>
        <w:t>אֲבוֹתָם</w:t>
      </w:r>
      <w:r w:rsidRPr="00EF6A3E">
        <w:rPr>
          <w:rFonts w:eastAsia="Times New Roman" w:cs="Times New Roman"/>
          <w:rtl/>
          <w:lang w:eastAsia="de-DE"/>
        </w:rPr>
        <w:t xml:space="preserve"> </w:t>
      </w:r>
      <w:r w:rsidRPr="00EF6A3E">
        <w:rPr>
          <w:rFonts w:eastAsia="Times New Roman" w:cs="Times New Roman"/>
          <w:lang w:eastAsia="de-DE"/>
        </w:rPr>
        <w:t xml:space="preserve">der Plural von </w:t>
      </w:r>
      <w:r w:rsidRPr="00EF6A3E">
        <w:rPr>
          <w:rFonts w:eastAsia="Times New Roman" w:cs="Times New Roman"/>
          <w:b/>
          <w:bCs/>
          <w:rtl/>
          <w:lang w:eastAsia="de-DE"/>
        </w:rPr>
        <w:t>אָב</w:t>
      </w:r>
      <w:r w:rsidRPr="00EF6A3E">
        <w:rPr>
          <w:rFonts w:eastAsia="Times New Roman" w:cs="Times New Roman"/>
          <w:rtl/>
          <w:lang w:eastAsia="de-DE"/>
        </w:rPr>
        <w:t xml:space="preserve"> </w:t>
      </w:r>
      <w:r w:rsidRPr="00EF6A3E">
        <w:rPr>
          <w:rFonts w:eastAsia="Times New Roman" w:cs="Times New Roman"/>
          <w:lang w:eastAsia="de-DE"/>
        </w:rPr>
        <w:t>(Vater) mit Possessivsuffix 3. maskulin Plural.</w:t>
      </w:r>
    </w:p>
    <w:p w14:paraId="25F35599" w14:textId="50F55BE4"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Die weitere Apposition </w:t>
      </w:r>
      <w:r w:rsidRPr="00EF6A3E">
        <w:rPr>
          <w:rFonts w:eastAsia="Times New Roman" w:cs="Times New Roman"/>
          <w:b/>
          <w:bCs/>
          <w:rtl/>
          <w:lang w:eastAsia="de-DE"/>
        </w:rPr>
        <w:t>רָאשֵׁי אַלְפֵי יִשְׂרָאֵל</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רָאשִׁים</w:t>
      </w:r>
      <w:r w:rsidRPr="00EF6A3E">
        <w:rPr>
          <w:rFonts w:eastAsia="Times New Roman" w:cs="Times New Roman"/>
          <w:rtl/>
          <w:lang w:eastAsia="de-DE"/>
        </w:rPr>
        <w:t xml:space="preserve"> </w:t>
      </w:r>
      <w:r w:rsidRPr="00EF6A3E">
        <w:rPr>
          <w:rFonts w:eastAsia="Times New Roman" w:cs="Times New Roman"/>
          <w:lang w:eastAsia="de-DE"/>
        </w:rPr>
        <w:t xml:space="preserve">(Häupter)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אַלְפֵי</w:t>
      </w:r>
      <w:r w:rsidRPr="00EF6A3E">
        <w:rPr>
          <w:rFonts w:eastAsia="Times New Roman" w:cs="Times New Roman"/>
          <w:rtl/>
          <w:lang w:eastAsia="de-DE"/>
        </w:rPr>
        <w:t xml:space="preserve"> </w:t>
      </w:r>
      <w:r w:rsidRPr="00EF6A3E">
        <w:rPr>
          <w:rFonts w:eastAsia="Times New Roman" w:cs="Times New Roman"/>
          <w:lang w:eastAsia="de-DE"/>
        </w:rPr>
        <w:t xml:space="preserve">(Tausende, Plural von </w:t>
      </w:r>
      <w:r w:rsidRPr="00EF6A3E">
        <w:rPr>
          <w:rFonts w:eastAsia="Times New Roman" w:cs="Times New Roman"/>
          <w:b/>
          <w:bCs/>
          <w:rtl/>
          <w:lang w:eastAsia="de-DE"/>
        </w:rPr>
        <w:t>אֶלֶף</w:t>
      </w:r>
      <w:r w:rsidRPr="00EF6A3E">
        <w:rPr>
          <w:rFonts w:eastAsia="Times New Roman" w:cs="Times New Roman"/>
          <w:lang w:eastAsia="de-DE"/>
        </w:rPr>
        <w:t xml:space="preserve">) und </w:t>
      </w:r>
      <w:r w:rsidRPr="00EF6A3E">
        <w:rPr>
          <w:rFonts w:eastAsia="Times New Roman" w:cs="Times New Roman"/>
          <w:b/>
          <w:bCs/>
          <w:rtl/>
          <w:lang w:eastAsia="de-DE"/>
        </w:rPr>
        <w:t>יִשְׂרָאֵל</w:t>
      </w:r>
      <w:r w:rsidRPr="00EF6A3E">
        <w:rPr>
          <w:rFonts w:eastAsia="Times New Roman" w:cs="Times New Roman"/>
          <w:lang w:eastAsia="de-DE"/>
        </w:rPr>
        <w:t xml:space="preserve">. Das Pronomen </w:t>
      </w:r>
      <w:r w:rsidRPr="00EF6A3E">
        <w:rPr>
          <w:rFonts w:eastAsia="Times New Roman" w:cs="Times New Roman"/>
          <w:b/>
          <w:bCs/>
          <w:rtl/>
          <w:lang w:eastAsia="de-DE"/>
        </w:rPr>
        <w:t>הֵם</w:t>
      </w:r>
      <w:r w:rsidRPr="00EF6A3E">
        <w:rPr>
          <w:rFonts w:eastAsia="Times New Roman" w:cs="Times New Roman"/>
          <w:rtl/>
          <w:lang w:eastAsia="de-DE"/>
        </w:rPr>
        <w:t xml:space="preserve"> </w:t>
      </w:r>
      <w:r w:rsidRPr="00EF6A3E">
        <w:rPr>
          <w:rFonts w:eastAsia="Times New Roman" w:cs="Times New Roman"/>
          <w:lang w:eastAsia="de-DE"/>
        </w:rPr>
        <w:t>(sie) verstärkt die Identifikation und steht in Kongruenz mit dem maskulinen Plural.</w:t>
      </w:r>
    </w:p>
    <w:p w14:paraId="0327838F" w14:textId="33EBD2B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 xml:space="preserve">Die </w:t>
      </w:r>
      <w:r w:rsidR="003405D7">
        <w:rPr>
          <w:rFonts w:eastAsia="Times New Roman" w:cs="Times New Roman"/>
          <w:b/>
          <w:bCs/>
          <w:lang w:eastAsia="de-DE"/>
        </w:rPr>
        <w:t xml:space="preserve">LXX </w:t>
      </w:r>
      <w:r w:rsidR="0036662D">
        <w:t xml:space="preserve">übersetzt das </w:t>
      </w:r>
      <w:r w:rsidR="0036662D">
        <w:rPr>
          <w:rtl/>
        </w:rPr>
        <w:t>קריאי העדה</w:t>
      </w:r>
      <w:r w:rsidR="0036662D">
        <w:t xml:space="preserve"> (qeri'ei ha'edah - "Berufene der Gemeinde") als ἐπίκλητοι τῆς συναγωγῆς (Berufene der Versammlung) übersetzt. </w:t>
      </w:r>
      <w:r w:rsidR="0036662D">
        <w:rPr>
          <w:rtl/>
        </w:rPr>
        <w:t>ראשי אלפי ישראל</w:t>
      </w:r>
      <w:r w:rsidR="0036662D">
        <w:t xml:space="preserve"> (rashei alfei yisra'el - "Häupter der Tausende Israels") wird als χιλίαρχοι φυλῆς (Anführer der Tausend des Stammes) übersetzt, was griechische Militärterminologie verwendet.</w:t>
      </w:r>
    </w:p>
    <w:p w14:paraId="1DEEC88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zusammengesetzten Nominalsatz mit </w:t>
      </w:r>
      <w:r w:rsidRPr="00EF6A3E">
        <w:rPr>
          <w:rFonts w:eastAsia="Times New Roman" w:cs="Times New Roman"/>
          <w:b/>
          <w:bCs/>
          <w:rtl/>
          <w:lang w:eastAsia="de-DE"/>
        </w:rPr>
        <w:t>אֵלֶּה</w:t>
      </w:r>
      <w:r w:rsidRPr="00EF6A3E">
        <w:rPr>
          <w:rFonts w:eastAsia="Times New Roman" w:cs="Times New Roman"/>
          <w:rtl/>
          <w:lang w:eastAsia="de-DE"/>
        </w:rPr>
        <w:t xml:space="preserve"> </w:t>
      </w:r>
      <w:r w:rsidRPr="00EF6A3E">
        <w:rPr>
          <w:rFonts w:eastAsia="Times New Roman" w:cs="Times New Roman"/>
          <w:lang w:eastAsia="de-DE"/>
        </w:rPr>
        <w:t xml:space="preserve">als Subjekt und drei parallelen appositiven Bestimmungen, die verschiedene Aspekte der Autorität und Funktion dieser Männer beschreiben. Das finale </w:t>
      </w:r>
      <w:r w:rsidRPr="00EF6A3E">
        <w:rPr>
          <w:rFonts w:eastAsia="Times New Roman" w:cs="Times New Roman"/>
          <w:b/>
          <w:bCs/>
          <w:rtl/>
          <w:lang w:eastAsia="de-DE"/>
        </w:rPr>
        <w:t>הֵם</w:t>
      </w:r>
      <w:r w:rsidRPr="00EF6A3E">
        <w:rPr>
          <w:rFonts w:eastAsia="Times New Roman" w:cs="Times New Roman"/>
          <w:rtl/>
          <w:lang w:eastAsia="de-DE"/>
        </w:rPr>
        <w:t xml:space="preserve"> </w:t>
      </w:r>
      <w:r w:rsidRPr="00EF6A3E">
        <w:rPr>
          <w:rFonts w:eastAsia="Times New Roman" w:cs="Times New Roman"/>
          <w:lang w:eastAsia="de-DE"/>
        </w:rPr>
        <w:t>fungiert als emphatische Kopula.</w:t>
      </w:r>
    </w:p>
    <w:p w14:paraId="6C90037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bietet eine offizielle Zusammenfassung und Würdigung der zwölf Stammesrepräsentanten, wobei ihre dreifache Autorität als berufene Vertreter, Stammesführer und militärische Befehlshaber hervorgehoben wird.</w:t>
      </w:r>
    </w:p>
    <w:p w14:paraId="6BE1D8F3"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1,17</w:t>
      </w:r>
    </w:p>
    <w:p w14:paraId="524CD1B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וַיִּקַּ֥ח מֹשֶׁ֖ה וְאַהֲרֹ֑ן אֵ֚ת הָאֲנָשִׁ֣ים הָאֵ֔לֶּה אֲשֶׁ֥ר נִקְּב֖וּ בְּשֵׁמֽוֹת׃</w:t>
      </w:r>
    </w:p>
    <w:p w14:paraId="6815776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Mosche und 'Aharon nahmen diese Männer, die mit Namen genannt worden waren,</w:t>
      </w:r>
    </w:p>
    <w:p w14:paraId="1A9266D0"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16AAD01">
          <v:rect id="_x0000_i1041" style="width:0;height:1.5pt" o:hralign="center" o:hrstd="t" o:hr="t" fillcolor="#a0a0a0" stroked="f"/>
        </w:pict>
      </w:r>
    </w:p>
    <w:p w14:paraId="7D7EFC7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וַיִּקַּח</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לקח</w:t>
      </w:r>
      <w:r w:rsidRPr="00EF6A3E">
        <w:rPr>
          <w:rFonts w:eastAsia="Times New Roman" w:cs="Times New Roman"/>
          <w:rtl/>
          <w:lang w:eastAsia="de-DE"/>
        </w:rPr>
        <w:t xml:space="preserve"> </w:t>
      </w:r>
      <w:r w:rsidRPr="00EF6A3E">
        <w:rPr>
          <w:rFonts w:eastAsia="Times New Roman" w:cs="Times New Roman"/>
          <w:lang w:eastAsia="de-DE"/>
        </w:rPr>
        <w:t xml:space="preserve">(nehmen) in der Waw-consecutivum-Form 3. maskulin Singular zeigt den Übergang zur Ausführung des Auftrags. Das Subjekt </w:t>
      </w:r>
      <w:r w:rsidRPr="00EF6A3E">
        <w:rPr>
          <w:rFonts w:eastAsia="Times New Roman" w:cs="Times New Roman"/>
          <w:b/>
          <w:bCs/>
          <w:rtl/>
          <w:lang w:eastAsia="de-DE"/>
        </w:rPr>
        <w:t>מֹשֶׁה וְאַהֲרֹן</w:t>
      </w:r>
      <w:r w:rsidRPr="00EF6A3E">
        <w:rPr>
          <w:rFonts w:eastAsia="Times New Roman" w:cs="Times New Roman"/>
          <w:rtl/>
          <w:lang w:eastAsia="de-DE"/>
        </w:rPr>
        <w:t xml:space="preserve"> </w:t>
      </w:r>
      <w:r w:rsidRPr="00EF6A3E">
        <w:rPr>
          <w:rFonts w:eastAsia="Times New Roman" w:cs="Times New Roman"/>
          <w:lang w:eastAsia="de-DE"/>
        </w:rPr>
        <w:t>mit Waw copulativum betont die gemeinsame Leitung der beiden Brüder.</w:t>
      </w:r>
    </w:p>
    <w:p w14:paraId="0BA88FA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direkte Objekt </w:t>
      </w:r>
      <w:r w:rsidRPr="00EF6A3E">
        <w:rPr>
          <w:rFonts w:eastAsia="Times New Roman" w:cs="Times New Roman"/>
          <w:b/>
          <w:bCs/>
          <w:rtl/>
          <w:lang w:eastAsia="de-DE"/>
        </w:rPr>
        <w:t>אֵת הָאֲנָשִׁים הָאֵלֶּה</w:t>
      </w:r>
      <w:r w:rsidRPr="00EF6A3E">
        <w:rPr>
          <w:rFonts w:eastAsia="Times New Roman" w:cs="Times New Roman"/>
          <w:rtl/>
          <w:lang w:eastAsia="de-DE"/>
        </w:rPr>
        <w:t xml:space="preserve"> </w:t>
      </w:r>
      <w:r w:rsidRPr="00EF6A3E">
        <w:rPr>
          <w:rFonts w:eastAsia="Times New Roman" w:cs="Times New Roman"/>
          <w:lang w:eastAsia="de-DE"/>
        </w:rPr>
        <w:t xml:space="preserve">mit der nota accusativi verwendet das Demonstrativpronomen </w:t>
      </w:r>
      <w:r w:rsidRPr="00EF6A3E">
        <w:rPr>
          <w:rFonts w:eastAsia="Times New Roman" w:cs="Times New Roman"/>
          <w:b/>
          <w:bCs/>
          <w:rtl/>
          <w:lang w:eastAsia="de-DE"/>
        </w:rPr>
        <w:t>הָאֵלֶּה</w:t>
      </w:r>
      <w:r w:rsidRPr="00EF6A3E">
        <w:rPr>
          <w:rFonts w:eastAsia="Times New Roman" w:cs="Times New Roman"/>
          <w:rtl/>
          <w:lang w:eastAsia="de-DE"/>
        </w:rPr>
        <w:t xml:space="preserve"> </w:t>
      </w:r>
      <w:r w:rsidRPr="00EF6A3E">
        <w:rPr>
          <w:rFonts w:eastAsia="Times New Roman" w:cs="Times New Roman"/>
          <w:lang w:eastAsia="de-DE"/>
        </w:rPr>
        <w:t xml:space="preserve">(diese) attributiv zu </w:t>
      </w:r>
      <w:r w:rsidRPr="00EF6A3E">
        <w:rPr>
          <w:rFonts w:eastAsia="Times New Roman" w:cs="Times New Roman"/>
          <w:b/>
          <w:bCs/>
          <w:rtl/>
          <w:lang w:eastAsia="de-DE"/>
        </w:rPr>
        <w:t>הָאֲנָשִׁים</w:t>
      </w:r>
      <w:r w:rsidRPr="00EF6A3E">
        <w:rPr>
          <w:rFonts w:eastAsia="Times New Roman" w:cs="Times New Roman"/>
          <w:rtl/>
          <w:lang w:eastAsia="de-DE"/>
        </w:rPr>
        <w:t xml:space="preserve"> </w:t>
      </w:r>
      <w:r w:rsidRPr="00EF6A3E">
        <w:rPr>
          <w:rFonts w:eastAsia="Times New Roman" w:cs="Times New Roman"/>
          <w:lang w:eastAsia="de-DE"/>
        </w:rPr>
        <w:t>(die Männer) und bezieht sich auf die in den Versen 5-15 genannten Stammesrepräsentanten.</w:t>
      </w:r>
    </w:p>
    <w:p w14:paraId="5C9C413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Relativsatz </w:t>
      </w:r>
      <w:r w:rsidRPr="00EF6A3E">
        <w:rPr>
          <w:rFonts w:eastAsia="Times New Roman" w:cs="Times New Roman"/>
          <w:b/>
          <w:bCs/>
          <w:rtl/>
          <w:lang w:eastAsia="de-DE"/>
        </w:rPr>
        <w:t>אֲשֶׁר נִקְּבוּ בְּשֵׁמוֹת</w:t>
      </w:r>
      <w:r w:rsidRPr="00EF6A3E">
        <w:rPr>
          <w:rFonts w:eastAsia="Times New Roman" w:cs="Times New Roman"/>
          <w:rtl/>
          <w:lang w:eastAsia="de-DE"/>
        </w:rPr>
        <w:t xml:space="preserve"> </w:t>
      </w:r>
      <w:r w:rsidRPr="00EF6A3E">
        <w:rPr>
          <w:rFonts w:eastAsia="Times New Roman" w:cs="Times New Roman"/>
          <w:lang w:eastAsia="de-DE"/>
        </w:rPr>
        <w:t xml:space="preserve">verwendet das Relativpronomen </w:t>
      </w:r>
      <w:r w:rsidRPr="00EF6A3E">
        <w:rPr>
          <w:rFonts w:eastAsia="Times New Roman" w:cs="Times New Roman"/>
          <w:b/>
          <w:bCs/>
          <w:rtl/>
          <w:lang w:eastAsia="de-DE"/>
        </w:rPr>
        <w:t>אֲשֶׁר</w:t>
      </w:r>
      <w:r w:rsidRPr="00EF6A3E">
        <w:rPr>
          <w:rFonts w:eastAsia="Times New Roman" w:cs="Times New Roman"/>
          <w:rtl/>
          <w:lang w:eastAsia="de-DE"/>
        </w:rPr>
        <w:t xml:space="preserve"> </w:t>
      </w:r>
      <w:r w:rsidRPr="00EF6A3E">
        <w:rPr>
          <w:rFonts w:eastAsia="Times New Roman" w:cs="Times New Roman"/>
          <w:lang w:eastAsia="de-DE"/>
        </w:rPr>
        <w:t xml:space="preserve">mit dem Verb </w:t>
      </w:r>
      <w:r w:rsidRPr="00EF6A3E">
        <w:rPr>
          <w:rFonts w:eastAsia="Times New Roman" w:cs="Times New Roman"/>
          <w:b/>
          <w:bCs/>
          <w:rtl/>
          <w:lang w:eastAsia="de-DE"/>
        </w:rPr>
        <w:t>נִקְּבוּ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נקב</w:t>
      </w:r>
      <w:r w:rsidRPr="00EF6A3E">
        <w:rPr>
          <w:rFonts w:eastAsia="Times New Roman" w:cs="Times New Roman"/>
          <w:rtl/>
          <w:lang w:eastAsia="de-DE"/>
        </w:rPr>
        <w:t xml:space="preserve"> </w:t>
      </w:r>
      <w:r w:rsidRPr="00EF6A3E">
        <w:rPr>
          <w:rFonts w:eastAsia="Times New Roman" w:cs="Times New Roman"/>
          <w:lang w:eastAsia="de-DE"/>
        </w:rPr>
        <w:t xml:space="preserve">(nennen/bezeichnen) im Niph'al-Perfekt 3. maskulin Plural. Das Niph'al zeigt hier die passive Bedeutung "sie wurden genannt/bezeichnet". Die präpositionale Phrase </w:t>
      </w:r>
      <w:r w:rsidRPr="00EF6A3E">
        <w:rPr>
          <w:rFonts w:eastAsia="Times New Roman" w:cs="Times New Roman"/>
          <w:b/>
          <w:bCs/>
          <w:rtl/>
          <w:lang w:eastAsia="de-DE"/>
        </w:rPr>
        <w:t>בְּשֵׁמוֹת</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שֵׁמוֹת</w:t>
      </w:r>
      <w:r w:rsidRPr="00EF6A3E">
        <w:rPr>
          <w:rFonts w:eastAsia="Times New Roman" w:cs="Times New Roman"/>
          <w:rtl/>
          <w:lang w:eastAsia="de-DE"/>
        </w:rPr>
        <w:t xml:space="preserve"> </w:t>
      </w:r>
      <w:r w:rsidRPr="00EF6A3E">
        <w:rPr>
          <w:rFonts w:eastAsia="Times New Roman" w:cs="Times New Roman"/>
          <w:lang w:eastAsia="de-DE"/>
        </w:rPr>
        <w:t>(Namen) spezifiziert die Art der Nennung.</w:t>
      </w:r>
    </w:p>
    <w:p w14:paraId="717E3690" w14:textId="1E6809CB"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6662D">
        <w:rPr>
          <w:rFonts w:eastAsia="Times New Roman" w:cs="Times New Roman"/>
          <w:lang w:eastAsia="de-DE"/>
        </w:rPr>
        <w:t xml:space="preserve">das hebräische </w:t>
      </w:r>
      <w:r w:rsidR="0036662D">
        <w:rPr>
          <w:rtl/>
        </w:rPr>
        <w:t>ויתילדו</w:t>
      </w:r>
      <w:r w:rsidR="0036662D">
        <w:t xml:space="preserve"> (wayyityaldu - "sie ließen sich in Geburtsverzeichnisse eintragen") ist ein schwieriges Verb, das die LXX möglicherweise als ἐπεσκέψαντο (sie wurden untersucht/registriert) übersetzt.</w:t>
      </w:r>
    </w:p>
    <w:p w14:paraId="120027E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Hauptsatz mit </w:t>
      </w:r>
      <w:r w:rsidRPr="00EF6A3E">
        <w:rPr>
          <w:rFonts w:eastAsia="Times New Roman" w:cs="Times New Roman"/>
          <w:b/>
          <w:bCs/>
          <w:rtl/>
          <w:lang w:eastAsia="de-DE"/>
        </w:rPr>
        <w:t>וַיִּקַּח</w:t>
      </w:r>
      <w:r w:rsidRPr="00EF6A3E">
        <w:rPr>
          <w:rFonts w:eastAsia="Times New Roman" w:cs="Times New Roman"/>
          <w:rtl/>
          <w:lang w:eastAsia="de-DE"/>
        </w:rPr>
        <w:t xml:space="preserve"> </w:t>
      </w:r>
      <w:r w:rsidRPr="00EF6A3E">
        <w:rPr>
          <w:rFonts w:eastAsia="Times New Roman" w:cs="Times New Roman"/>
          <w:lang w:eastAsia="de-DE"/>
        </w:rPr>
        <w:t>als Prädikat, einem koordinierten Subjekt und einem durch einen Relativsatz erweiterten direkten Objekt. Der Relativsatz spezifiziert die zuvor genannten Männer durch ihre offizielle Benennung.</w:t>
      </w:r>
    </w:p>
    <w:p w14:paraId="2B06961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Dieser Vers markiert den Übergang von der Aufzählung der Repräsentanten zu ihrer tatsächlichen Beauftragung und zeigt die Umsetzung des göttlichen Befehls durch Mose und Aaron.</w:t>
      </w:r>
    </w:p>
    <w:p w14:paraId="36B7CDE9"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1,18</w:t>
      </w:r>
    </w:p>
    <w:p w14:paraId="4463454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וְאֵ֨ת כָּל־הָעֵדָ֜ה הִקְהִ֗ילוּ בְּאֶחָד֙ לַחֹ֣דֶשׁ הַשֵּׁנִ֔י וַיִּתְיַֽלְד֥וּ עַל־מִשְׁפְּחֹתָ֖ם לְבֵ֣ית אֲבֹתָ֑ם בְּמִסְפַּ֣ר שֵׁמ֗וֹת מִבֶּ֨ן עֶשְׂרִ֥ים שָׁנָ֛ה וָמַ֖עְלָה לְגֻלְגְּלֹתָֽם׃</w:t>
      </w:r>
    </w:p>
    <w:p w14:paraId="2F65824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sie versammelten die ganze Gemeinde am ersten Tag des zweiten Monats, und sie ließen sich in die Geburtsverzeichnisse eintragen nach ihren Familien, nach ihren Vaterhäusern, in der Zählung der Namen von 20 Jahren an und darüber, nach ihren Köpfen,</w:t>
      </w:r>
    </w:p>
    <w:p w14:paraId="644363DC"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447BA773">
          <v:rect id="_x0000_i1042" style="width:0;height:1.5pt" o:hralign="center" o:hrstd="t" o:hr="t" fillcolor="#a0a0a0" stroked="f"/>
        </w:pict>
      </w:r>
    </w:p>
    <w:p w14:paraId="085AE41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koordinierte Objekt </w:t>
      </w:r>
      <w:r w:rsidRPr="00EF6A3E">
        <w:rPr>
          <w:rFonts w:eastAsia="Times New Roman" w:cs="Times New Roman"/>
          <w:b/>
          <w:bCs/>
          <w:rtl/>
          <w:lang w:eastAsia="de-DE"/>
        </w:rPr>
        <w:t>וְאֵת כָּל־הָעֵדָה</w:t>
      </w:r>
      <w:r w:rsidRPr="00EF6A3E">
        <w:rPr>
          <w:rFonts w:eastAsia="Times New Roman" w:cs="Times New Roman"/>
          <w:rtl/>
          <w:lang w:eastAsia="de-DE"/>
        </w:rPr>
        <w:t xml:space="preserve"> </w:t>
      </w:r>
      <w:r w:rsidRPr="00EF6A3E">
        <w:rPr>
          <w:rFonts w:eastAsia="Times New Roman" w:cs="Times New Roman"/>
          <w:lang w:eastAsia="de-DE"/>
        </w:rPr>
        <w:t xml:space="preserve">mit Waw copulativum und nota accusativi zeigt die Versammlung der gesamten Gemeinde. Das Verb </w:t>
      </w:r>
      <w:r w:rsidRPr="00EF6A3E">
        <w:rPr>
          <w:rFonts w:eastAsia="Times New Roman" w:cs="Times New Roman"/>
          <w:b/>
          <w:bCs/>
          <w:rtl/>
          <w:lang w:eastAsia="de-DE"/>
        </w:rPr>
        <w:t>הִקְהִילוּ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קהל</w:t>
      </w:r>
      <w:r w:rsidRPr="00EF6A3E">
        <w:rPr>
          <w:rFonts w:eastAsia="Times New Roman" w:cs="Times New Roman"/>
          <w:rtl/>
          <w:lang w:eastAsia="de-DE"/>
        </w:rPr>
        <w:t xml:space="preserve"> </w:t>
      </w:r>
      <w:r w:rsidRPr="00EF6A3E">
        <w:rPr>
          <w:rFonts w:eastAsia="Times New Roman" w:cs="Times New Roman"/>
          <w:lang w:eastAsia="de-DE"/>
        </w:rPr>
        <w:t>(versammeln) im Hiph'il-Perfekt 3. maskulin Plural zeigt die kausative Bedeutung "sie versammelten".</w:t>
      </w:r>
    </w:p>
    <w:p w14:paraId="21EDE34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Zeitangabe </w:t>
      </w:r>
      <w:r w:rsidRPr="00EF6A3E">
        <w:rPr>
          <w:rFonts w:eastAsia="Times New Roman" w:cs="Times New Roman"/>
          <w:b/>
          <w:bCs/>
          <w:rtl/>
          <w:lang w:eastAsia="de-DE"/>
        </w:rPr>
        <w:t>בְּאֶחָד לַחֹדֶשׁ הַשֵּׁנִי</w:t>
      </w:r>
      <w:r w:rsidRPr="00EF6A3E">
        <w:rPr>
          <w:rFonts w:eastAsia="Times New Roman" w:cs="Times New Roman"/>
          <w:rtl/>
          <w:lang w:eastAsia="de-DE"/>
        </w:rPr>
        <w:t xml:space="preserve"> </w:t>
      </w:r>
      <w:r w:rsidRPr="00EF6A3E">
        <w:rPr>
          <w:rFonts w:eastAsia="Times New Roman" w:cs="Times New Roman"/>
          <w:lang w:eastAsia="de-DE"/>
        </w:rPr>
        <w:t xml:space="preserve">entspricht der in Vers 1 genannten Zeit und betont die zeitliche Präzision der Ausführung. Das Verb </w:t>
      </w:r>
      <w:r w:rsidRPr="00EF6A3E">
        <w:rPr>
          <w:rFonts w:eastAsia="Times New Roman" w:cs="Times New Roman"/>
          <w:b/>
          <w:bCs/>
          <w:rtl/>
          <w:lang w:eastAsia="de-DE"/>
        </w:rPr>
        <w:t>וַיִּתְיַלְדוּ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ילד</w:t>
      </w:r>
      <w:r w:rsidRPr="00EF6A3E">
        <w:rPr>
          <w:rFonts w:eastAsia="Times New Roman" w:cs="Times New Roman"/>
          <w:rtl/>
          <w:lang w:eastAsia="de-DE"/>
        </w:rPr>
        <w:t xml:space="preserve"> </w:t>
      </w:r>
      <w:r w:rsidRPr="00EF6A3E">
        <w:rPr>
          <w:rFonts w:eastAsia="Times New Roman" w:cs="Times New Roman"/>
          <w:lang w:eastAsia="de-DE"/>
        </w:rPr>
        <w:t>(gebären/zeugen) im Hithpa'el-Imperfekt mit Waw consecutivum bedeutet hier "sie ließen sich in Geschlechtsregister eintragen" und zeigt die reflexive Bedeutung des Hithpa'el.</w:t>
      </w:r>
    </w:p>
    <w:p w14:paraId="3E361F1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präpositionalen Phrasen </w:t>
      </w:r>
      <w:r w:rsidRPr="00EF6A3E">
        <w:rPr>
          <w:rFonts w:eastAsia="Times New Roman" w:cs="Times New Roman"/>
          <w:b/>
          <w:bCs/>
          <w:rtl/>
          <w:lang w:eastAsia="de-DE"/>
        </w:rPr>
        <w:t>עַל־מִשְׁפְּחֹתָם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עַל</w:t>
      </w:r>
      <w:r w:rsidRPr="00EF6A3E">
        <w:rPr>
          <w:rFonts w:eastAsia="Times New Roman" w:cs="Times New Roman"/>
          <w:rtl/>
          <w:lang w:eastAsia="de-DE"/>
        </w:rPr>
        <w:t xml:space="preserve"> </w:t>
      </w:r>
      <w:r w:rsidRPr="00EF6A3E">
        <w:rPr>
          <w:rFonts w:eastAsia="Times New Roman" w:cs="Times New Roman"/>
          <w:lang w:eastAsia="de-DE"/>
        </w:rPr>
        <w:t xml:space="preserve">(nach/gemäß) und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wiederholen die organisatorische Struktur aus Vers 2. Die weitere Spezifikation </w:t>
      </w:r>
      <w:r w:rsidRPr="00EF6A3E">
        <w:rPr>
          <w:rFonts w:eastAsia="Times New Roman" w:cs="Times New Roman"/>
          <w:b/>
          <w:bCs/>
          <w:rtl/>
          <w:lang w:eastAsia="de-DE"/>
        </w:rPr>
        <w:t>בְּמִסְפַּר שֵׁמוֹת</w:t>
      </w:r>
      <w:r w:rsidRPr="00EF6A3E">
        <w:rPr>
          <w:rFonts w:eastAsia="Times New Roman" w:cs="Times New Roman"/>
          <w:rtl/>
          <w:lang w:eastAsia="de-DE"/>
        </w:rPr>
        <w:t xml:space="preserve"> </w:t>
      </w:r>
      <w:r w:rsidRPr="00EF6A3E">
        <w:rPr>
          <w:rFonts w:eastAsia="Times New Roman" w:cs="Times New Roman"/>
          <w:lang w:eastAsia="de-DE"/>
        </w:rPr>
        <w:t xml:space="preserve">(in der Zählung der Namen) und 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entsprechen den vorherigen Anweisungen.</w:t>
      </w:r>
    </w:p>
    <w:p w14:paraId="3D52D96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abschließende Phrase </w:t>
      </w:r>
      <w:r w:rsidRPr="00EF6A3E">
        <w:rPr>
          <w:rFonts w:eastAsia="Times New Roman" w:cs="Times New Roman"/>
          <w:b/>
          <w:bCs/>
          <w:rtl/>
          <w:lang w:eastAsia="de-DE"/>
        </w:rPr>
        <w:t>לְגֻלְגְּלֹתָם</w:t>
      </w:r>
      <w:r w:rsidRPr="00EF6A3E">
        <w:rPr>
          <w:rFonts w:eastAsia="Times New Roman" w:cs="Times New Roman"/>
          <w:rtl/>
          <w:lang w:eastAsia="de-DE"/>
        </w:rPr>
        <w:t xml:space="preserve"> </w:t>
      </w:r>
      <w:r w:rsidRPr="00EF6A3E">
        <w:rPr>
          <w:rFonts w:eastAsia="Times New Roman" w:cs="Times New Roman"/>
          <w:lang w:eastAsia="de-DE"/>
        </w:rPr>
        <w:t>(nach ihren Köpfen) betont die individuelle Erfassung jeder Person.</w:t>
      </w:r>
    </w:p>
    <w:p w14:paraId="2E6BBC95" w14:textId="3DDB112C"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405D7">
        <w:t xml:space="preserve">zeigt in Vers 18 eine unterschiedliche Begriffswahl für genealogische Verfahren, wobei der MT </w:t>
      </w:r>
      <w:r w:rsidR="003405D7">
        <w:rPr>
          <w:rtl/>
        </w:rPr>
        <w:t>וַיִּתְיַֽלְדוּ</w:t>
      </w:r>
      <w:r w:rsidR="003405D7">
        <w:t xml:space="preserve"> ("sie ließen sich in Geschlechtsregister eintragen") liest, während die griechische Version ἐπηξονοῦσαν ("sie wurden gezählt/registriert") bietet.</w:t>
      </w:r>
    </w:p>
    <w:p w14:paraId="762E6A6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 Fortsetzung des vorherigen Satzes mit koordiniertem Objekt und Verb, gefolgt von einem weiteren koordinierten Hauptsatz mit mehreren präpositionalen Adverbialen zur Spezifikation der Modalitäten.</w:t>
      </w:r>
    </w:p>
    <w:p w14:paraId="6DB40BA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beschreibt die praktische Durchführung der Volkszählung mit der Versammlung des ganzen Volkes und der systematischen genealogischen Erfassung nach den vorgegebenen Kriterien.</w:t>
      </w:r>
    </w:p>
    <w:p w14:paraId="41D8D3DE"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1,19</w:t>
      </w:r>
    </w:p>
    <w:p w14:paraId="3644B40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כַּאֲשֶׁ֛ר צִוָּ֥ה יְהוָ֖ה אֶת־מֹשֶׁ֑ה וַֽיִּפְקְדֵ֖ם בְּמִדְבַּ֥ר סִינָֽי׃</w:t>
      </w:r>
    </w:p>
    <w:p w14:paraId="04BB5C3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Deutsch:</w:t>
      </w:r>
      <w:r w:rsidRPr="00EF6A3E">
        <w:rPr>
          <w:rFonts w:eastAsia="Times New Roman" w:cs="Times New Roman"/>
          <w:lang w:eastAsia="de-DE"/>
        </w:rPr>
        <w:t xml:space="preserve"> wie der Ewige Mosche geboten hatte. Und er musterte sie in der Wüste Sinai.</w:t>
      </w:r>
    </w:p>
    <w:p w14:paraId="22CD847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F6536A9">
          <v:rect id="_x0000_i1043" style="width:0;height:1.5pt" o:hralign="center" o:hrstd="t" o:hr="t" fillcolor="#a0a0a0" stroked="f"/>
        </w:pict>
      </w:r>
    </w:p>
    <w:p w14:paraId="4160BFC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Vergleichspartikel </w:t>
      </w:r>
      <w:r w:rsidRPr="00EF6A3E">
        <w:rPr>
          <w:rFonts w:eastAsia="Times New Roman" w:cs="Times New Roman"/>
          <w:b/>
          <w:bCs/>
          <w:rtl/>
          <w:lang w:eastAsia="de-DE"/>
        </w:rPr>
        <w:t>כַּאֲשֶׁר</w:t>
      </w:r>
      <w:r w:rsidRPr="00EF6A3E">
        <w:rPr>
          <w:rFonts w:eastAsia="Times New Roman" w:cs="Times New Roman"/>
          <w:rtl/>
          <w:lang w:eastAsia="de-DE"/>
        </w:rPr>
        <w:t xml:space="preserve"> </w:t>
      </w:r>
      <w:r w:rsidRPr="00EF6A3E">
        <w:rPr>
          <w:rFonts w:eastAsia="Times New Roman" w:cs="Times New Roman"/>
          <w:lang w:eastAsia="de-DE"/>
        </w:rPr>
        <w:t xml:space="preserve">(wie/so wie) leitet einen Vergleichssatz ein. Das Verb </w:t>
      </w:r>
      <w:r w:rsidRPr="00EF6A3E">
        <w:rPr>
          <w:rFonts w:eastAsia="Times New Roman" w:cs="Times New Roman"/>
          <w:b/>
          <w:bCs/>
          <w:rtl/>
          <w:lang w:eastAsia="de-DE"/>
        </w:rPr>
        <w:t>צִוָּה</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צוה</w:t>
      </w:r>
      <w:r w:rsidRPr="00EF6A3E">
        <w:rPr>
          <w:rFonts w:eastAsia="Times New Roman" w:cs="Times New Roman"/>
          <w:rtl/>
          <w:lang w:eastAsia="de-DE"/>
        </w:rPr>
        <w:t xml:space="preserve"> </w:t>
      </w:r>
      <w:r w:rsidRPr="00EF6A3E">
        <w:rPr>
          <w:rFonts w:eastAsia="Times New Roman" w:cs="Times New Roman"/>
          <w:lang w:eastAsia="de-DE"/>
        </w:rPr>
        <w:t xml:space="preserve">(befehlen/gebieten) im Pi'el-Perfekt 3. maskulin Singular mit </w:t>
      </w:r>
      <w:r w:rsidRPr="00EF6A3E">
        <w:rPr>
          <w:rFonts w:eastAsia="Times New Roman" w:cs="Times New Roman"/>
          <w:b/>
          <w:bCs/>
          <w:rtl/>
          <w:lang w:eastAsia="de-DE"/>
        </w:rPr>
        <w:t>יְהוָה</w:t>
      </w:r>
      <w:r w:rsidRPr="00EF6A3E">
        <w:rPr>
          <w:rFonts w:eastAsia="Times New Roman" w:cs="Times New Roman"/>
          <w:rtl/>
          <w:lang w:eastAsia="de-DE"/>
        </w:rPr>
        <w:t xml:space="preserve"> </w:t>
      </w:r>
      <w:r w:rsidRPr="00EF6A3E">
        <w:rPr>
          <w:rFonts w:eastAsia="Times New Roman" w:cs="Times New Roman"/>
          <w:lang w:eastAsia="de-DE"/>
        </w:rPr>
        <w:t xml:space="preserve">als Subjekt und </w:t>
      </w:r>
      <w:r w:rsidRPr="00EF6A3E">
        <w:rPr>
          <w:rFonts w:eastAsia="Times New Roman" w:cs="Times New Roman"/>
          <w:b/>
          <w:bCs/>
          <w:rtl/>
          <w:lang w:eastAsia="de-DE"/>
        </w:rPr>
        <w:t>אֶת־מֹשֶׁה</w:t>
      </w:r>
      <w:r w:rsidRPr="00EF6A3E">
        <w:rPr>
          <w:rFonts w:eastAsia="Times New Roman" w:cs="Times New Roman"/>
          <w:rtl/>
          <w:lang w:eastAsia="de-DE"/>
        </w:rPr>
        <w:t xml:space="preserve"> </w:t>
      </w:r>
      <w:r w:rsidRPr="00EF6A3E">
        <w:rPr>
          <w:rFonts w:eastAsia="Times New Roman" w:cs="Times New Roman"/>
          <w:lang w:eastAsia="de-DE"/>
        </w:rPr>
        <w:t>als direktes Objekt mit nota accusativi betont die göttliche Autorität des Befehls.</w:t>
      </w:r>
    </w:p>
    <w:p w14:paraId="37AACFC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koordinierte Verb </w:t>
      </w:r>
      <w:r w:rsidRPr="00EF6A3E">
        <w:rPr>
          <w:rFonts w:eastAsia="Times New Roman" w:cs="Times New Roman"/>
          <w:b/>
          <w:bCs/>
          <w:rtl/>
          <w:lang w:eastAsia="de-DE"/>
        </w:rPr>
        <w:t>וַיִּפְקְדֵם</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 xml:space="preserve">(mustern/zählen) im Qal-Imperfekt 3. maskulin Singular mit Waw consecutivum zeigt die Ausführung der Musterung. Das Objektsuffix </w:t>
      </w:r>
      <w:r w:rsidRPr="00EF6A3E">
        <w:rPr>
          <w:rFonts w:eastAsia="Times New Roman" w:cs="Times New Roman"/>
          <w:b/>
          <w:bCs/>
          <w:rtl/>
          <w:lang w:eastAsia="de-DE"/>
        </w:rPr>
        <w:t>־ֵם</w:t>
      </w:r>
      <w:r w:rsidRPr="00EF6A3E">
        <w:rPr>
          <w:rFonts w:eastAsia="Times New Roman" w:cs="Times New Roman"/>
          <w:rtl/>
          <w:lang w:eastAsia="de-DE"/>
        </w:rPr>
        <w:t xml:space="preserve"> </w:t>
      </w:r>
      <w:r w:rsidRPr="00EF6A3E">
        <w:rPr>
          <w:rFonts w:eastAsia="Times New Roman" w:cs="Times New Roman"/>
          <w:lang w:eastAsia="de-DE"/>
        </w:rPr>
        <w:t xml:space="preserve">(sie) bezieht sich auf die Israeliten. Die präpositionale Ortsangabe </w:t>
      </w:r>
      <w:r w:rsidRPr="00EF6A3E">
        <w:rPr>
          <w:rFonts w:eastAsia="Times New Roman" w:cs="Times New Roman"/>
          <w:b/>
          <w:bCs/>
          <w:rtl/>
          <w:lang w:eastAsia="de-DE"/>
        </w:rPr>
        <w:t>בְּמִדְבַּר סִינָי</w:t>
      </w:r>
      <w:r w:rsidRPr="00EF6A3E">
        <w:rPr>
          <w:rFonts w:eastAsia="Times New Roman" w:cs="Times New Roman"/>
          <w:rtl/>
          <w:lang w:eastAsia="de-DE"/>
        </w:rPr>
        <w:t xml:space="preserve"> </w:t>
      </w:r>
      <w:r w:rsidRPr="00EF6A3E">
        <w:rPr>
          <w:rFonts w:eastAsia="Times New Roman" w:cs="Times New Roman"/>
          <w:lang w:eastAsia="de-DE"/>
        </w:rPr>
        <w:t>entspricht der Eingangsangabe in Vers 1.</w:t>
      </w:r>
    </w:p>
    <w:p w14:paraId="2EF1B08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ὃν τρόπον συνέταξεν κύριος τῷ Μωυσῇ καὶ ἐπεσκέψαντο αὐτοὺς ἐν τῇ ἐρήμῳ Σινα und behält die Struktur bei, wobei ἐπεσκέψαντο für </w:t>
      </w:r>
      <w:r w:rsidRPr="00EF6A3E">
        <w:rPr>
          <w:rFonts w:eastAsia="Times New Roman" w:cs="Times New Roman"/>
          <w:b/>
          <w:bCs/>
          <w:rtl/>
          <w:lang w:eastAsia="de-DE"/>
        </w:rPr>
        <w:t>וַיִּפְקְדֵם</w:t>
      </w:r>
      <w:r w:rsidRPr="00EF6A3E">
        <w:rPr>
          <w:rFonts w:eastAsia="Times New Roman" w:cs="Times New Roman"/>
          <w:rtl/>
          <w:lang w:eastAsia="de-DE"/>
        </w:rPr>
        <w:t xml:space="preserve"> </w:t>
      </w:r>
      <w:r w:rsidRPr="00EF6A3E">
        <w:rPr>
          <w:rFonts w:eastAsia="Times New Roman" w:cs="Times New Roman"/>
          <w:lang w:eastAsia="de-DE"/>
        </w:rPr>
        <w:t>verwendet wird.</w:t>
      </w:r>
    </w:p>
    <w:p w14:paraId="090DFD7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Vergleichssatz mit </w:t>
      </w:r>
      <w:r w:rsidRPr="00EF6A3E">
        <w:rPr>
          <w:rFonts w:eastAsia="Times New Roman" w:cs="Times New Roman"/>
          <w:b/>
          <w:bCs/>
          <w:rtl/>
          <w:lang w:eastAsia="de-DE"/>
        </w:rPr>
        <w:t>כַּאֲשֶׁר</w:t>
      </w:r>
      <w:r w:rsidRPr="00EF6A3E">
        <w:rPr>
          <w:rFonts w:eastAsia="Times New Roman" w:cs="Times New Roman"/>
          <w:rtl/>
          <w:lang w:eastAsia="de-DE"/>
        </w:rPr>
        <w:t xml:space="preserve"> </w:t>
      </w:r>
      <w:r w:rsidRPr="00EF6A3E">
        <w:rPr>
          <w:rFonts w:eastAsia="Times New Roman" w:cs="Times New Roman"/>
          <w:lang w:eastAsia="de-DE"/>
        </w:rPr>
        <w:t>als Subjunktor, gefolgt von einem koordinierten Hauptsatz. Der erste Teil betont die exakte Befolgung des göttlichen Befehls, der zweite die konkrete Ausführung der Musterung.</w:t>
      </w:r>
    </w:p>
    <w:p w14:paraId="78C1909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schließt die Einleitung zur Volkszählung ab und betont sowohl den Gehorsam gegenüber Gottes Befehl als auch die geographische Verortung der Zählung am Sinai.</w:t>
      </w:r>
    </w:p>
    <w:p w14:paraId="34D44925"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1,20</w:t>
      </w:r>
    </w:p>
    <w:p w14:paraId="4F06E01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וַיִּהְי֤וּ בְנֵֽי־רְאוּבֵן֙ בְּכֹ֣ר יִשְׂרָאֵ֔ל תּוֹלְדֹתָ֥ם לְמִשְׁפְּחֹתָ֖ם לְבֵ֣ית אֲבֹתָ֑ם בְּמִסְפַּ֤ר שֵׁמוֹת֙ לְגֻלְגְּלֹתָ֔ם כָּל־זָכָ֗ר מִבֶּ֨ן עֶשְׂרִ֤ים שָׁנָה֙ וָמַ֔עְלָה כֹּ֖ל יֹצֵ֥א צָבָֽא׃</w:t>
      </w:r>
    </w:p>
    <w:p w14:paraId="55CFAF6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es waren die Söhne Re'uvens, des Erstgeborenen Jisra'els, ihre Nachkommen nach ihren Familien, nach ihren Vaterhäusern, in der Zählung der Namen, nach ihren Köpfen, alle Männlichen von 20 Jahren an und darüber, jeder, der zum Heer auszog,</w:t>
      </w:r>
    </w:p>
    <w:p w14:paraId="1B896647"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8EE9C08">
          <v:rect id="_x0000_i1044" style="width:0;height:1.5pt" o:hralign="center" o:hrstd="t" o:hr="t" fillcolor="#a0a0a0" stroked="f"/>
        </w:pict>
      </w:r>
    </w:p>
    <w:p w14:paraId="0125736F" w14:textId="13694D79"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וַיִּהְיוּ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היה</w:t>
      </w:r>
      <w:r w:rsidRPr="00EF6A3E">
        <w:rPr>
          <w:rFonts w:eastAsia="Times New Roman" w:cs="Times New Roman"/>
          <w:rtl/>
          <w:lang w:eastAsia="de-DE"/>
        </w:rPr>
        <w:t xml:space="preserve"> </w:t>
      </w:r>
      <w:r w:rsidRPr="00EF6A3E">
        <w:rPr>
          <w:rFonts w:eastAsia="Times New Roman" w:cs="Times New Roman"/>
          <w:lang w:eastAsia="de-DE"/>
        </w:rPr>
        <w:t xml:space="preserve">(sein) im Qal-Imperfekt 3. maskulin Plural mit Waw consecutivum leitet die systematische Aufzählung der Stammesergebnisse ein. Das Subjekt </w:t>
      </w:r>
      <w:r w:rsidRPr="00EF6A3E">
        <w:rPr>
          <w:rFonts w:eastAsia="Times New Roman" w:cs="Times New Roman"/>
          <w:b/>
          <w:bCs/>
          <w:rtl/>
          <w:lang w:eastAsia="de-DE"/>
        </w:rPr>
        <w:t>בְנֵי־רְאוּבֵן</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zeigt die Stammeszugehörigkeit zu </w:t>
      </w:r>
      <w:r w:rsidRPr="00EF6A3E">
        <w:rPr>
          <w:rFonts w:eastAsia="Times New Roman" w:cs="Times New Roman"/>
          <w:b/>
          <w:bCs/>
          <w:rtl/>
          <w:lang w:eastAsia="de-DE"/>
        </w:rPr>
        <w:t>רְאוּבֵן</w:t>
      </w:r>
      <w:r w:rsidRPr="00EF6A3E">
        <w:rPr>
          <w:rFonts w:eastAsia="Times New Roman" w:cs="Times New Roman"/>
          <w:rtl/>
          <w:lang w:eastAsia="de-DE"/>
        </w:rPr>
        <w:t xml:space="preserve"> </w:t>
      </w:r>
      <w:r w:rsidRPr="00EF6A3E">
        <w:rPr>
          <w:rFonts w:eastAsia="Times New Roman" w:cs="Times New Roman"/>
          <w:lang w:eastAsia="de-DE"/>
        </w:rPr>
        <w:t>(Ruben).</w:t>
      </w:r>
    </w:p>
    <w:p w14:paraId="14CA214C" w14:textId="777B09BC"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Apposition </w:t>
      </w:r>
      <w:r w:rsidRPr="00EF6A3E">
        <w:rPr>
          <w:rFonts w:eastAsia="Times New Roman" w:cs="Times New Roman"/>
          <w:b/>
          <w:bCs/>
          <w:rtl/>
          <w:lang w:eastAsia="de-DE"/>
        </w:rPr>
        <w:t>בְּכֹר יִשְׂרָאֵל</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בְּכֹר</w:t>
      </w:r>
      <w:r w:rsidRPr="00EF6A3E">
        <w:rPr>
          <w:rFonts w:eastAsia="Times New Roman" w:cs="Times New Roman"/>
          <w:rtl/>
          <w:lang w:eastAsia="de-DE"/>
        </w:rPr>
        <w:t xml:space="preserve"> </w:t>
      </w:r>
      <w:r w:rsidRPr="00EF6A3E">
        <w:rPr>
          <w:rFonts w:eastAsia="Times New Roman" w:cs="Times New Roman"/>
          <w:lang w:eastAsia="de-DE"/>
        </w:rPr>
        <w:t xml:space="preserve">(Erstgeborener)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יִשְׂרָאֵל</w:t>
      </w:r>
      <w:r w:rsidRPr="00EF6A3E">
        <w:rPr>
          <w:rFonts w:eastAsia="Times New Roman" w:cs="Times New Roman"/>
          <w:rtl/>
          <w:lang w:eastAsia="de-DE"/>
        </w:rPr>
        <w:t xml:space="preserve"> </w:t>
      </w:r>
      <w:r w:rsidRPr="00EF6A3E">
        <w:rPr>
          <w:rFonts w:eastAsia="Times New Roman" w:cs="Times New Roman"/>
          <w:lang w:eastAsia="de-DE"/>
        </w:rPr>
        <w:t xml:space="preserve">betont Rubens Status als ältester Sohn Jakobs. 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Nachkommen/Genealogien) von </w:t>
      </w:r>
      <w:r w:rsidRPr="00EF6A3E">
        <w:rPr>
          <w:rFonts w:eastAsia="Times New Roman" w:cs="Times New Roman"/>
          <w:b/>
          <w:bCs/>
          <w:rtl/>
          <w:lang w:eastAsia="de-DE"/>
        </w:rPr>
        <w:t>תּוֹלְדוֹת</w:t>
      </w:r>
      <w:r w:rsidRPr="00EF6A3E">
        <w:rPr>
          <w:rFonts w:eastAsia="Times New Roman" w:cs="Times New Roman"/>
          <w:rtl/>
          <w:lang w:eastAsia="de-DE"/>
        </w:rPr>
        <w:t xml:space="preserve"> </w:t>
      </w:r>
      <w:r w:rsidRPr="00EF6A3E">
        <w:rPr>
          <w:rFonts w:eastAsia="Times New Roman" w:cs="Times New Roman"/>
          <w:lang w:eastAsia="de-DE"/>
        </w:rPr>
        <w:t>mit Possessivsuffix 3. maskulin Plural zeigt die genealogische Basis der Zählung.</w:t>
      </w:r>
    </w:p>
    <w:p w14:paraId="296C2E6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wiederholen die organisatorische Struktur. </w:t>
      </w:r>
      <w:r w:rsidRPr="00EF6A3E">
        <w:rPr>
          <w:rFonts w:eastAsia="Times New Roman" w:cs="Times New Roman"/>
          <w:b/>
          <w:bCs/>
          <w:rtl/>
          <w:lang w:eastAsia="de-DE"/>
        </w:rPr>
        <w:t>בְּמִסְפַּר שֵׁמוֹת לְגֻלְגְּלֹתָם</w:t>
      </w:r>
      <w:r w:rsidRPr="00EF6A3E">
        <w:rPr>
          <w:rFonts w:eastAsia="Times New Roman" w:cs="Times New Roman"/>
          <w:rtl/>
          <w:lang w:eastAsia="de-DE"/>
        </w:rPr>
        <w:t xml:space="preserve"> </w:t>
      </w:r>
      <w:r w:rsidRPr="00EF6A3E">
        <w:rPr>
          <w:rFonts w:eastAsia="Times New Roman" w:cs="Times New Roman"/>
          <w:lang w:eastAsia="de-DE"/>
        </w:rPr>
        <w:t xml:space="preserve">spezifiziert die Zählmethode durch </w:t>
      </w:r>
      <w:r w:rsidRPr="00EF6A3E">
        <w:rPr>
          <w:rFonts w:eastAsia="Times New Roman" w:cs="Times New Roman"/>
          <w:b/>
          <w:bCs/>
          <w:rtl/>
          <w:lang w:eastAsia="de-DE"/>
        </w:rPr>
        <w:t>מִסְפָּר</w:t>
      </w:r>
      <w:r w:rsidRPr="00EF6A3E">
        <w:rPr>
          <w:rFonts w:eastAsia="Times New Roman" w:cs="Times New Roman"/>
          <w:rtl/>
          <w:lang w:eastAsia="de-DE"/>
        </w:rPr>
        <w:t xml:space="preserve"> </w:t>
      </w:r>
      <w:r w:rsidRPr="00EF6A3E">
        <w:rPr>
          <w:rFonts w:eastAsia="Times New Roman" w:cs="Times New Roman"/>
          <w:lang w:eastAsia="de-DE"/>
        </w:rPr>
        <w:t xml:space="preserve">(Zahl) mit </w:t>
      </w:r>
      <w:r w:rsidRPr="00EF6A3E">
        <w:rPr>
          <w:rFonts w:eastAsia="Times New Roman" w:cs="Times New Roman"/>
          <w:b/>
          <w:bCs/>
          <w:rtl/>
          <w:lang w:eastAsia="de-DE"/>
        </w:rPr>
        <w:t>שֵׁמוֹת</w:t>
      </w:r>
      <w:r w:rsidRPr="00EF6A3E">
        <w:rPr>
          <w:rFonts w:eastAsia="Times New Roman" w:cs="Times New Roman"/>
          <w:rtl/>
          <w:lang w:eastAsia="de-DE"/>
        </w:rPr>
        <w:t xml:space="preserve"> </w:t>
      </w:r>
      <w:r w:rsidRPr="00EF6A3E">
        <w:rPr>
          <w:rFonts w:eastAsia="Times New Roman" w:cs="Times New Roman"/>
          <w:lang w:eastAsia="de-DE"/>
        </w:rPr>
        <w:t xml:space="preserve">(Namen) und </w:t>
      </w:r>
      <w:r w:rsidRPr="00EF6A3E">
        <w:rPr>
          <w:rFonts w:eastAsia="Times New Roman" w:cs="Times New Roman"/>
          <w:b/>
          <w:bCs/>
          <w:rtl/>
          <w:lang w:eastAsia="de-DE"/>
        </w:rPr>
        <w:t>גֻלְגְּלֹתָם</w:t>
      </w:r>
      <w:r w:rsidRPr="00EF6A3E">
        <w:rPr>
          <w:rFonts w:eastAsia="Times New Roman" w:cs="Times New Roman"/>
          <w:rtl/>
          <w:lang w:eastAsia="de-DE"/>
        </w:rPr>
        <w:t xml:space="preserve"> </w:t>
      </w:r>
      <w:r w:rsidRPr="00EF6A3E">
        <w:rPr>
          <w:rFonts w:eastAsia="Times New Roman" w:cs="Times New Roman"/>
          <w:lang w:eastAsia="de-DE"/>
        </w:rPr>
        <w:t>(ihre Köpfe).</w:t>
      </w:r>
    </w:p>
    <w:p w14:paraId="363C5FC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Die Qualifikationskriterien </w:t>
      </w:r>
      <w:r w:rsidRPr="00EF6A3E">
        <w:rPr>
          <w:rFonts w:eastAsia="Times New Roman" w:cs="Times New Roman"/>
          <w:b/>
          <w:bCs/>
          <w:rtl/>
          <w:lang w:eastAsia="de-DE"/>
        </w:rPr>
        <w:t>כָּל־זָכָר 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כָּל</w:t>
      </w:r>
      <w:r w:rsidRPr="00EF6A3E">
        <w:rPr>
          <w:rFonts w:eastAsia="Times New Roman" w:cs="Times New Roman"/>
          <w:rtl/>
          <w:lang w:eastAsia="de-DE"/>
        </w:rPr>
        <w:t xml:space="preserve"> </w:t>
      </w:r>
      <w:r w:rsidRPr="00EF6A3E">
        <w:rPr>
          <w:rFonts w:eastAsia="Times New Roman" w:cs="Times New Roman"/>
          <w:lang w:eastAsia="de-DE"/>
        </w:rPr>
        <w:t xml:space="preserve">(alle), </w:t>
      </w:r>
      <w:r w:rsidRPr="00EF6A3E">
        <w:rPr>
          <w:rFonts w:eastAsia="Times New Roman" w:cs="Times New Roman"/>
          <w:b/>
          <w:bCs/>
          <w:rtl/>
          <w:lang w:eastAsia="de-DE"/>
        </w:rPr>
        <w:t>זָכָר</w:t>
      </w:r>
      <w:r w:rsidRPr="00EF6A3E">
        <w:rPr>
          <w:rFonts w:eastAsia="Times New Roman" w:cs="Times New Roman"/>
          <w:rtl/>
          <w:lang w:eastAsia="de-DE"/>
        </w:rPr>
        <w:t xml:space="preserve"> </w:t>
      </w:r>
      <w:r w:rsidRPr="00EF6A3E">
        <w:rPr>
          <w:rFonts w:eastAsia="Times New Roman" w:cs="Times New Roman"/>
          <w:lang w:eastAsia="de-DE"/>
        </w:rPr>
        <w:t xml:space="preserve">(männlich) und der Altersangabe entsprechen den vorherigen Bestimmungen.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(jeder, der zum Heer auszieht) betont die militärische Dimension.</w:t>
      </w:r>
    </w:p>
    <w:p w14:paraId="4532FBE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ἐγένοντο υἱοὶ Ρουβην πρωτοτόκου Ισραηλ κατὰ συγγενείας αὐτῶν und behält die Struktur bei, wobei πρωτοτόκου (Erstgeborener) für </w:t>
      </w:r>
      <w:r w:rsidRPr="00EF6A3E">
        <w:rPr>
          <w:rFonts w:eastAsia="Times New Roman" w:cs="Times New Roman"/>
          <w:b/>
          <w:bCs/>
          <w:rtl/>
          <w:lang w:eastAsia="de-DE"/>
        </w:rPr>
        <w:t>בְּכֹר</w:t>
      </w:r>
      <w:r w:rsidRPr="00EF6A3E">
        <w:rPr>
          <w:rFonts w:eastAsia="Times New Roman" w:cs="Times New Roman"/>
          <w:rtl/>
          <w:lang w:eastAsia="de-DE"/>
        </w:rPr>
        <w:t xml:space="preserve"> </w:t>
      </w:r>
      <w:r w:rsidRPr="00EF6A3E">
        <w:rPr>
          <w:rFonts w:eastAsia="Times New Roman" w:cs="Times New Roman"/>
          <w:lang w:eastAsia="de-DE"/>
        </w:rPr>
        <w:t>verwendet wird.</w:t>
      </w:r>
    </w:p>
    <w:p w14:paraId="4FF74561" w14:textId="708E9C3F"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existenzialen Satz mit </w:t>
      </w:r>
      <w:r w:rsidRPr="00EF6A3E">
        <w:rPr>
          <w:rFonts w:eastAsia="Times New Roman" w:cs="Times New Roman"/>
          <w:b/>
          <w:bCs/>
          <w:rtl/>
          <w:lang w:eastAsia="de-DE"/>
        </w:rPr>
        <w:t>וַיִּהְיוּ</w:t>
      </w:r>
      <w:r w:rsidRPr="00EF6A3E">
        <w:rPr>
          <w:rFonts w:eastAsia="Times New Roman" w:cs="Times New Roman"/>
          <w:rtl/>
          <w:lang w:eastAsia="de-DE"/>
        </w:rPr>
        <w:t xml:space="preserve"> </w:t>
      </w:r>
      <w:r w:rsidRPr="00EF6A3E">
        <w:rPr>
          <w:rFonts w:eastAsia="Times New Roman" w:cs="Times New Roman"/>
          <w:lang w:eastAsia="de-DE"/>
        </w:rPr>
        <w:t>als Kopula und einer komplexen Subjekt-</w:t>
      </w:r>
      <w:r w:rsidR="00F133EC">
        <w:rPr>
          <w:rFonts w:eastAsia="Times New Roman" w:cs="Times New Roman"/>
          <w:lang w:eastAsia="de-DE"/>
        </w:rPr>
        <w:t>Construct</w:t>
      </w:r>
      <w:r w:rsidRPr="00EF6A3E">
        <w:rPr>
          <w:rFonts w:eastAsia="Times New Roman" w:cs="Times New Roman"/>
          <w:lang w:eastAsia="de-DE"/>
        </w:rPr>
        <w:t>ion mit mehreren präpositionalen und appositiven Erweiterungen zur Spezifikation der Zählkriterien.</w:t>
      </w:r>
    </w:p>
    <w:p w14:paraId="5C2D805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beginnt die detaillierte Aufzählung der Stammeszahlen mit Ruben als dem Erstgeborenen und etabliert das Muster für die folgenden Stammesberichte.</w:t>
      </w:r>
    </w:p>
    <w:p w14:paraId="58A25FBA"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1,21</w:t>
      </w:r>
    </w:p>
    <w:p w14:paraId="683F4AA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רְאוּבֵ֑ן שִׁשָּׁ֧ה וְאַרְבָּעִ֛ים אֶ֖לֶף וַחֲמֵ֥שׁ מֵאֽוֹת׃</w:t>
      </w:r>
    </w:p>
    <w:p w14:paraId="5F1F813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Re'uven: 46.500.</w:t>
      </w:r>
    </w:p>
    <w:p w14:paraId="56AE178A"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4E49FF2">
          <v:rect id="_x0000_i1045" style="width:0;height:1.5pt" o:hralign="center" o:hrstd="t" o:hr="t" fillcolor="#a0a0a0" stroked="f"/>
        </w:pict>
      </w:r>
    </w:p>
    <w:p w14:paraId="6FC9F82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ist das Qal-Partizip Passiv Plural von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 xml:space="preserve">(mustern) mit Possessivsuffix 3. maskulin Plural. Die präpositionale Phrase </w:t>
      </w:r>
      <w:r w:rsidRPr="00EF6A3E">
        <w:rPr>
          <w:rFonts w:eastAsia="Times New Roman" w:cs="Times New Roman"/>
          <w:b/>
          <w:bCs/>
          <w:rtl/>
          <w:lang w:eastAsia="de-DE"/>
        </w:rPr>
        <w:t>לְמַטֵּה רְאוּבֵן</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מַטֶּה</w:t>
      </w:r>
      <w:r w:rsidRPr="00EF6A3E">
        <w:rPr>
          <w:rFonts w:eastAsia="Times New Roman" w:cs="Times New Roman"/>
          <w:rtl/>
          <w:lang w:eastAsia="de-DE"/>
        </w:rPr>
        <w:t xml:space="preserve"> </w:t>
      </w:r>
      <w:r w:rsidRPr="00EF6A3E">
        <w:rPr>
          <w:rFonts w:eastAsia="Times New Roman" w:cs="Times New Roman"/>
          <w:lang w:eastAsia="de-DE"/>
        </w:rPr>
        <w:t>(Stamm) spezifiziert die Stammeszugehörigkeit.</w:t>
      </w:r>
    </w:p>
    <w:p w14:paraId="3242B78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שִׁשָּׁה וְאַרְבָּעִים אֶלֶף וַחֲמֵשׁ מֵאוֹת</w:t>
      </w:r>
      <w:r w:rsidRPr="00EF6A3E">
        <w:rPr>
          <w:rFonts w:eastAsia="Times New Roman" w:cs="Times New Roman"/>
          <w:rtl/>
          <w:lang w:eastAsia="de-DE"/>
        </w:rPr>
        <w:t xml:space="preserve"> </w:t>
      </w:r>
      <w:r w:rsidRPr="00EF6A3E">
        <w:rPr>
          <w:rFonts w:eastAsia="Times New Roman" w:cs="Times New Roman"/>
          <w:lang w:eastAsia="de-DE"/>
        </w:rPr>
        <w:t xml:space="preserve">zeigt die hebräische Zahlenkomposition: </w:t>
      </w:r>
      <w:r w:rsidRPr="00EF6A3E">
        <w:rPr>
          <w:rFonts w:eastAsia="Times New Roman" w:cs="Times New Roman"/>
          <w:b/>
          <w:bCs/>
          <w:rtl/>
          <w:lang w:eastAsia="de-DE"/>
        </w:rPr>
        <w:t>שִׁשָּׁה</w:t>
      </w:r>
      <w:r w:rsidRPr="00EF6A3E">
        <w:rPr>
          <w:rFonts w:eastAsia="Times New Roman" w:cs="Times New Roman"/>
          <w:rtl/>
          <w:lang w:eastAsia="de-DE"/>
        </w:rPr>
        <w:t xml:space="preserve"> </w:t>
      </w:r>
      <w:r w:rsidRPr="00EF6A3E">
        <w:rPr>
          <w:rFonts w:eastAsia="Times New Roman" w:cs="Times New Roman"/>
          <w:lang w:eastAsia="de-DE"/>
        </w:rPr>
        <w:t xml:space="preserve">(sechs) koordiniert mit </w:t>
      </w:r>
      <w:r w:rsidRPr="00EF6A3E">
        <w:rPr>
          <w:rFonts w:eastAsia="Times New Roman" w:cs="Times New Roman"/>
          <w:b/>
          <w:bCs/>
          <w:rtl/>
          <w:lang w:eastAsia="de-DE"/>
        </w:rPr>
        <w:t>וְאַרְבָּעִים</w:t>
      </w:r>
      <w:r w:rsidRPr="00EF6A3E">
        <w:rPr>
          <w:rFonts w:eastAsia="Times New Roman" w:cs="Times New Roman"/>
          <w:rtl/>
          <w:lang w:eastAsia="de-DE"/>
        </w:rPr>
        <w:t xml:space="preserve"> </w:t>
      </w:r>
      <w:r w:rsidRPr="00EF6A3E">
        <w:rPr>
          <w:rFonts w:eastAsia="Times New Roman" w:cs="Times New Roman"/>
          <w:lang w:eastAsia="de-DE"/>
        </w:rPr>
        <w:t xml:space="preserve">(und vierzig)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וַחֲמֵשׁ</w:t>
      </w:r>
      <w:r w:rsidRPr="00EF6A3E">
        <w:rPr>
          <w:rFonts w:eastAsia="Times New Roman" w:cs="Times New Roman"/>
          <w:rtl/>
          <w:lang w:eastAsia="de-DE"/>
        </w:rPr>
        <w:t xml:space="preserve"> </w:t>
      </w:r>
      <w:r w:rsidRPr="00EF6A3E">
        <w:rPr>
          <w:rFonts w:eastAsia="Times New Roman" w:cs="Times New Roman"/>
          <w:lang w:eastAsia="de-DE"/>
        </w:rPr>
        <w:t xml:space="preserve">(und fünf)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46.500.</w:t>
      </w:r>
    </w:p>
    <w:p w14:paraId="4487A683" w14:textId="0E14625B"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w:t>
      </w:r>
      <w:r w:rsidR="0036662D">
        <w:t>die Zahlenwerte in der LXX von Vers 21-43 identisch zum hebräischen Text und werden somit korrekt wiedergegeben, was die Genauigkeit der Überlieferung zeigt.</w:t>
      </w:r>
    </w:p>
    <w:p w14:paraId="230BBBB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elliptischen Nominalsatz mit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als Subjekt, einer präpositionalen Ergänzung und der prädikativen Zahlenangabe.</w:t>
      </w:r>
    </w:p>
    <w:p w14:paraId="142D4A4D" w14:textId="72C50EF9" w:rsid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konkrete Ergebnis der Musterung für den Stamm Ruben an und etabliert das knappe Format für die folgenden Zahlenangaben der anderen Stämme.</w:t>
      </w:r>
    </w:p>
    <w:p w14:paraId="3A181ED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1,22</w:t>
      </w:r>
    </w:p>
    <w:p w14:paraId="4A62F76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שִׁמְע֔וֹן תּוֹלְדֹתָ֥ם לְמִשְׁפְּחֹתָ֖ם לְבֵ֣ית אֲבֹתָ֑ם פְּקֻדָ֗יו בְּמִסְפַּ֤ר שֵׁמוֹת֙ לְגֻלְגְּלֹתָ֔ם כָּל־זָכָ֗ר מִבֶּ֨ן עֶשְׂרִ֤ים שָׁנָה֙ וָמַ֔עְלָה כֹּ֖ל יֹצֵ֥א צָבָֽא׃</w:t>
      </w:r>
    </w:p>
    <w:p w14:paraId="51B98B6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Schim'ons, ihre Nachkommen nach ihren Familien, nach ihren Vaterhäusern, seine Gemusterten in der Zählung der Namen, nach ihren Köpfen, alle Männlichen von 20 Jahren an und darüber, jeder, der zum Heer auszog,</w:t>
      </w:r>
    </w:p>
    <w:p w14:paraId="56259A40"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lastRenderedPageBreak/>
        <w:pict w14:anchorId="1176314D">
          <v:rect id="_x0000_i1046" style="width:0;height:1.5pt" o:hralign="center" o:hrstd="t" o:hr="t" fillcolor="#a0a0a0" stroked="f"/>
        </w:pict>
      </w:r>
    </w:p>
    <w:p w14:paraId="7B9B6D0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שִׁמְעוֹן</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zu </w:t>
      </w:r>
      <w:r w:rsidRPr="00EF6A3E">
        <w:rPr>
          <w:rFonts w:eastAsia="Times New Roman" w:cs="Times New Roman"/>
          <w:b/>
          <w:bCs/>
          <w:rtl/>
          <w:lang w:eastAsia="de-DE"/>
        </w:rPr>
        <w:t>שִׁמְעוֹן</w:t>
      </w:r>
      <w:r w:rsidRPr="00EF6A3E">
        <w:rPr>
          <w:rFonts w:eastAsia="Times New Roman" w:cs="Times New Roman"/>
          <w:rtl/>
          <w:lang w:eastAsia="de-DE"/>
        </w:rPr>
        <w:t xml:space="preserve"> </w:t>
      </w:r>
      <w:r w:rsidRPr="00EF6A3E">
        <w:rPr>
          <w:rFonts w:eastAsia="Times New Roman" w:cs="Times New Roman"/>
          <w:lang w:eastAsia="de-DE"/>
        </w:rPr>
        <w:t xml:space="preserve">(Simeon), dem zweiten Sohn Jakobs. Die Struktur variiert leicht gegenüber Vers 20, indem </w:t>
      </w:r>
      <w:r w:rsidRPr="00EF6A3E">
        <w:rPr>
          <w:rFonts w:eastAsia="Times New Roman" w:cs="Times New Roman"/>
          <w:b/>
          <w:bCs/>
          <w:rtl/>
          <w:lang w:eastAsia="de-DE"/>
        </w:rPr>
        <w:t>לִבְנֵי</w:t>
      </w:r>
      <w:r w:rsidRPr="00EF6A3E">
        <w:rPr>
          <w:rFonts w:eastAsia="Times New Roman" w:cs="Times New Roman"/>
          <w:rtl/>
          <w:lang w:eastAsia="de-DE"/>
        </w:rPr>
        <w:t xml:space="preserve"> </w:t>
      </w:r>
      <w:r w:rsidRPr="00EF6A3E">
        <w:rPr>
          <w:rFonts w:eastAsia="Times New Roman" w:cs="Times New Roman"/>
          <w:lang w:eastAsia="de-DE"/>
        </w:rPr>
        <w:t xml:space="preserve">statt </w:t>
      </w:r>
      <w:r w:rsidRPr="00EF6A3E">
        <w:rPr>
          <w:rFonts w:eastAsia="Times New Roman" w:cs="Times New Roman"/>
          <w:b/>
          <w:bCs/>
          <w:rtl/>
          <w:lang w:eastAsia="de-DE"/>
        </w:rPr>
        <w:t>בְנֵי</w:t>
      </w:r>
      <w:r w:rsidRPr="00EF6A3E">
        <w:rPr>
          <w:rFonts w:eastAsia="Times New Roman" w:cs="Times New Roman"/>
          <w:rtl/>
          <w:lang w:eastAsia="de-DE"/>
        </w:rPr>
        <w:t xml:space="preserve"> </w:t>
      </w:r>
      <w:r w:rsidRPr="00EF6A3E">
        <w:rPr>
          <w:rFonts w:eastAsia="Times New Roman" w:cs="Times New Roman"/>
          <w:lang w:eastAsia="de-DE"/>
        </w:rPr>
        <w:t>verwendet wird, was "von den Söhnen" oder "zu den Söhnen" bedeutet.</w:t>
      </w:r>
    </w:p>
    <w:p w14:paraId="14B389D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mit Possessivsuffix 3. maskulin Plural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Das Substantiv </w:t>
      </w:r>
      <w:r w:rsidRPr="00EF6A3E">
        <w:rPr>
          <w:rFonts w:eastAsia="Times New Roman" w:cs="Times New Roman"/>
          <w:b/>
          <w:bCs/>
          <w:rtl/>
          <w:lang w:eastAsia="de-DE"/>
        </w:rPr>
        <w:t>פְּקֻדָיו</w:t>
      </w:r>
      <w:r w:rsidRPr="00EF6A3E">
        <w:rPr>
          <w:rFonts w:eastAsia="Times New Roman" w:cs="Times New Roman"/>
          <w:rtl/>
          <w:lang w:eastAsia="de-DE"/>
        </w:rPr>
        <w:t xml:space="preserve"> </w:t>
      </w:r>
      <w:r w:rsidRPr="00EF6A3E">
        <w:rPr>
          <w:rFonts w:eastAsia="Times New Roman" w:cs="Times New Roman"/>
          <w:lang w:eastAsia="de-DE"/>
        </w:rPr>
        <w:t xml:space="preserve">(seine Gemusterten) zeigt das Qal-Partizip Passiv Plural von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 xml:space="preserve">mit Possessivsuffix 3. maskulin Singular, was grammatisch auf </w:t>
      </w:r>
      <w:r w:rsidRPr="00EF6A3E">
        <w:rPr>
          <w:rFonts w:eastAsia="Times New Roman" w:cs="Times New Roman"/>
          <w:b/>
          <w:bCs/>
          <w:rtl/>
          <w:lang w:eastAsia="de-DE"/>
        </w:rPr>
        <w:t>שִׁמְעוֹן</w:t>
      </w:r>
      <w:r w:rsidRPr="00EF6A3E">
        <w:rPr>
          <w:rFonts w:eastAsia="Times New Roman" w:cs="Times New Roman"/>
          <w:rtl/>
          <w:lang w:eastAsia="de-DE"/>
        </w:rPr>
        <w:t xml:space="preserve"> </w:t>
      </w:r>
      <w:r w:rsidRPr="00EF6A3E">
        <w:rPr>
          <w:rFonts w:eastAsia="Times New Roman" w:cs="Times New Roman"/>
          <w:lang w:eastAsia="de-DE"/>
        </w:rPr>
        <w:t>als Stamm bezogen ist.</w:t>
      </w:r>
    </w:p>
    <w:p w14:paraId="46BB5877" w14:textId="5202859E"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Phrase </w:t>
      </w:r>
      <w:r w:rsidRPr="00EF6A3E">
        <w:rPr>
          <w:rFonts w:eastAsia="Times New Roman" w:cs="Times New Roman"/>
          <w:b/>
          <w:bCs/>
          <w:rtl/>
          <w:lang w:eastAsia="de-DE"/>
        </w:rPr>
        <w:t>בְּמִסְפַּר שֵׁמוֹת לְגֻלְגְּלֹתָם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 xml:space="preserve">und der </w:t>
      </w:r>
      <w:r w:rsidR="00F133EC">
        <w:rPr>
          <w:rFonts w:eastAsia="Times New Roman" w:cs="Times New Roman"/>
          <w:lang w:eastAsia="de-DE"/>
        </w:rPr>
        <w:t>Construct</w:t>
      </w:r>
      <w:r w:rsidRPr="00EF6A3E">
        <w:rPr>
          <w:rFonts w:eastAsia="Times New Roman" w:cs="Times New Roman"/>
          <w:lang w:eastAsia="de-DE"/>
        </w:rPr>
        <w:t xml:space="preserve">verbindung </w:t>
      </w:r>
      <w:r w:rsidRPr="00EF6A3E">
        <w:rPr>
          <w:rFonts w:eastAsia="Times New Roman" w:cs="Times New Roman"/>
          <w:b/>
          <w:bCs/>
          <w:rtl/>
          <w:lang w:eastAsia="de-DE"/>
        </w:rPr>
        <w:t>מִסְפַּר שֵׁמוֹת</w:t>
      </w:r>
      <w:r w:rsidRPr="00EF6A3E">
        <w:rPr>
          <w:rFonts w:eastAsia="Times New Roman" w:cs="Times New Roman"/>
          <w:rtl/>
          <w:lang w:eastAsia="de-DE"/>
        </w:rPr>
        <w:t xml:space="preserve"> </w:t>
      </w:r>
      <w:r w:rsidRPr="00EF6A3E">
        <w:rPr>
          <w:rFonts w:eastAsia="Times New Roman" w:cs="Times New Roman"/>
          <w:lang w:eastAsia="de-DE"/>
        </w:rPr>
        <w:t xml:space="preserve">(Zahl der Namen) spezifiziert die Zählmethode. Die Qualifikationskriterien </w:t>
      </w:r>
      <w:r w:rsidRPr="00EF6A3E">
        <w:rPr>
          <w:rFonts w:eastAsia="Times New Roman" w:cs="Times New Roman"/>
          <w:b/>
          <w:bCs/>
          <w:rtl/>
          <w:lang w:eastAsia="de-DE"/>
        </w:rPr>
        <w:t>כָּל־זָכָר מִבֶּן עֶשְׂרִים שָׁנָה וָמַעְלָה כֹּל יֹצֵא צָבָא</w:t>
      </w:r>
      <w:r w:rsidRPr="00EF6A3E">
        <w:rPr>
          <w:rFonts w:eastAsia="Times New Roman" w:cs="Times New Roman"/>
          <w:rtl/>
          <w:lang w:eastAsia="de-DE"/>
        </w:rPr>
        <w:t xml:space="preserve"> </w:t>
      </w:r>
      <w:r w:rsidRPr="00EF6A3E">
        <w:rPr>
          <w:rFonts w:eastAsia="Times New Roman" w:cs="Times New Roman"/>
          <w:lang w:eastAsia="de-DE"/>
        </w:rPr>
        <w:t>entsprechen exakt den vorherigen Bestimmungen.</w:t>
      </w:r>
    </w:p>
    <w:p w14:paraId="1C3DADE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Συμεων κατὰ συγγενείας αὐτῶν κατὰ δήμους αὐτῶν κατὰ οἴκους πατριῶν αὐτῶν und zeigt eine ausführlichere Wiedergabe der organisatorischen Struktur.</w:t>
      </w:r>
    </w:p>
    <w:p w14:paraId="0544C37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komplexen präpositionalen Ausdruck mit </w:t>
      </w:r>
      <w:r w:rsidRPr="00EF6A3E">
        <w:rPr>
          <w:rFonts w:eastAsia="Times New Roman" w:cs="Times New Roman"/>
          <w:b/>
          <w:bCs/>
          <w:rtl/>
          <w:lang w:eastAsia="de-DE"/>
        </w:rPr>
        <w:t>לִבְנֵי שִׁמְעוֹן</w:t>
      </w:r>
      <w:r w:rsidRPr="00EF6A3E">
        <w:rPr>
          <w:rFonts w:eastAsia="Times New Roman" w:cs="Times New Roman"/>
          <w:rtl/>
          <w:lang w:eastAsia="de-DE"/>
        </w:rPr>
        <w:t xml:space="preserve"> </w:t>
      </w:r>
      <w:r w:rsidRPr="00EF6A3E">
        <w:rPr>
          <w:rFonts w:eastAsia="Times New Roman" w:cs="Times New Roman"/>
          <w:lang w:eastAsia="de-DE"/>
        </w:rPr>
        <w:t>als Rahmen und mehreren koordinierten präpositionalen und substantivischen Erweiterungen zur Spezifikation der Zählkriterien.</w:t>
      </w:r>
    </w:p>
    <w:p w14:paraId="3A0AA80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setzt das etablierte Muster für die Stammeszählungen fort, zeigt aber eine leichte syntaktische Variation in der Einleitung und im Gebrauch der Possessivsuffixe.</w:t>
      </w:r>
    </w:p>
    <w:p w14:paraId="45DE1167"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1,23</w:t>
      </w:r>
    </w:p>
    <w:p w14:paraId="734E80F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שִׁמְע֑וֹן תִּשְׁעָ֧ה וַחֲמִשִּׁ֛ים אֶ֖לֶף וּשְׁלֹ֥שׁ מֵאֽוֹת׃</w:t>
      </w:r>
    </w:p>
    <w:p w14:paraId="25B6A12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Schim'on: 59.300.</w:t>
      </w:r>
    </w:p>
    <w:p w14:paraId="6A514722"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7E4E0D11">
          <v:rect id="_x0000_i1047" style="width:0;height:1.5pt" o:hralign="center" o:hrstd="t" o:hr="t" fillcolor="#a0a0a0" stroked="f"/>
        </w:pict>
      </w:r>
    </w:p>
    <w:p w14:paraId="4B22C7C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entspricht der Form in Vers 21, wobei das Possessivsuffix 3. maskulin Plural sich auf die </w:t>
      </w:r>
      <w:r w:rsidRPr="00EF6A3E">
        <w:rPr>
          <w:rFonts w:eastAsia="Times New Roman" w:cs="Times New Roman"/>
          <w:b/>
          <w:bCs/>
          <w:rtl/>
          <w:lang w:eastAsia="de-DE"/>
        </w:rPr>
        <w:t>בְנֵי שִׁמְעוֹן</w:t>
      </w:r>
      <w:r w:rsidRPr="00EF6A3E">
        <w:rPr>
          <w:rFonts w:eastAsia="Times New Roman" w:cs="Times New Roman"/>
          <w:rtl/>
          <w:lang w:eastAsia="de-DE"/>
        </w:rPr>
        <w:t xml:space="preserve"> </w:t>
      </w:r>
      <w:r w:rsidRPr="00EF6A3E">
        <w:rPr>
          <w:rFonts w:eastAsia="Times New Roman" w:cs="Times New Roman"/>
          <w:lang w:eastAsia="de-DE"/>
        </w:rPr>
        <w:t xml:space="preserve">bezieht. Die präpositionale Phrase </w:t>
      </w:r>
      <w:r w:rsidRPr="00EF6A3E">
        <w:rPr>
          <w:rFonts w:eastAsia="Times New Roman" w:cs="Times New Roman"/>
          <w:b/>
          <w:bCs/>
          <w:rtl/>
          <w:lang w:eastAsia="de-DE"/>
        </w:rPr>
        <w:t>לְמַטֵּה שִׁמְעוֹן</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מַטֶּה</w:t>
      </w:r>
      <w:r w:rsidRPr="00EF6A3E">
        <w:rPr>
          <w:rFonts w:eastAsia="Times New Roman" w:cs="Times New Roman"/>
          <w:rtl/>
          <w:lang w:eastAsia="de-DE"/>
        </w:rPr>
        <w:t xml:space="preserve"> </w:t>
      </w:r>
      <w:r w:rsidRPr="00EF6A3E">
        <w:rPr>
          <w:rFonts w:eastAsia="Times New Roman" w:cs="Times New Roman"/>
          <w:lang w:eastAsia="de-DE"/>
        </w:rPr>
        <w:t>(Stamm) folgt dem etablierten Muster.</w:t>
      </w:r>
    </w:p>
    <w:p w14:paraId="1056203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תִּשְׁעָה וַחֲמִשִּׁים אֶלֶף וּשְׁלֹשׁ מֵאוֹת</w:t>
      </w:r>
      <w:r w:rsidRPr="00EF6A3E">
        <w:rPr>
          <w:rFonts w:eastAsia="Times New Roman" w:cs="Times New Roman"/>
          <w:rtl/>
          <w:lang w:eastAsia="de-DE"/>
        </w:rPr>
        <w:t xml:space="preserve"> </w:t>
      </w:r>
      <w:r w:rsidRPr="00EF6A3E">
        <w:rPr>
          <w:rFonts w:eastAsia="Times New Roman" w:cs="Times New Roman"/>
          <w:lang w:eastAsia="de-DE"/>
        </w:rPr>
        <w:t xml:space="preserve">zeigt die hebräische Zahlenkomposition: </w:t>
      </w:r>
      <w:r w:rsidRPr="00EF6A3E">
        <w:rPr>
          <w:rFonts w:eastAsia="Times New Roman" w:cs="Times New Roman"/>
          <w:b/>
          <w:bCs/>
          <w:rtl/>
          <w:lang w:eastAsia="de-DE"/>
        </w:rPr>
        <w:t>תִּשְׁעָה</w:t>
      </w:r>
      <w:r w:rsidRPr="00EF6A3E">
        <w:rPr>
          <w:rFonts w:eastAsia="Times New Roman" w:cs="Times New Roman"/>
          <w:rtl/>
          <w:lang w:eastAsia="de-DE"/>
        </w:rPr>
        <w:t xml:space="preserve"> </w:t>
      </w:r>
      <w:r w:rsidRPr="00EF6A3E">
        <w:rPr>
          <w:rFonts w:eastAsia="Times New Roman" w:cs="Times New Roman"/>
          <w:lang w:eastAsia="de-DE"/>
        </w:rPr>
        <w:t xml:space="preserve">(neun) koordiniert mit </w:t>
      </w:r>
      <w:r w:rsidRPr="00EF6A3E">
        <w:rPr>
          <w:rFonts w:eastAsia="Times New Roman" w:cs="Times New Roman"/>
          <w:b/>
          <w:bCs/>
          <w:rtl/>
          <w:lang w:eastAsia="de-DE"/>
        </w:rPr>
        <w:t>וַחֲמִשִּׁים</w:t>
      </w:r>
      <w:r w:rsidRPr="00EF6A3E">
        <w:rPr>
          <w:rFonts w:eastAsia="Times New Roman" w:cs="Times New Roman"/>
          <w:rtl/>
          <w:lang w:eastAsia="de-DE"/>
        </w:rPr>
        <w:t xml:space="preserve"> </w:t>
      </w:r>
      <w:r w:rsidRPr="00EF6A3E">
        <w:rPr>
          <w:rFonts w:eastAsia="Times New Roman" w:cs="Times New Roman"/>
          <w:lang w:eastAsia="de-DE"/>
        </w:rPr>
        <w:t xml:space="preserve">(und fünfzig)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וּשְׁלֹשׁ</w:t>
      </w:r>
      <w:r w:rsidRPr="00EF6A3E">
        <w:rPr>
          <w:rFonts w:eastAsia="Times New Roman" w:cs="Times New Roman"/>
          <w:rtl/>
          <w:lang w:eastAsia="de-DE"/>
        </w:rPr>
        <w:t xml:space="preserve"> </w:t>
      </w:r>
      <w:r w:rsidRPr="00EF6A3E">
        <w:rPr>
          <w:rFonts w:eastAsia="Times New Roman" w:cs="Times New Roman"/>
          <w:lang w:eastAsia="de-DE"/>
        </w:rPr>
        <w:t xml:space="preserve">(und drei)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59.300, was die höchste Zahl unter den ersten beiden Stämmen darstellt.</w:t>
      </w:r>
    </w:p>
    <w:p w14:paraId="531F97E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Συμεων ἐννέα καὶ πεντήκοντα χιλιάδες καὶ τριακόσιοι und behält die Zahlenstruktur präzise bei.</w:t>
      </w:r>
    </w:p>
    <w:p w14:paraId="7E14622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von Vers 21 mit identischer syntaktischer Struktur.</w:t>
      </w:r>
    </w:p>
    <w:p w14:paraId="6F0619B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Dieser Vers gibt das Musterungsergebnis für den Stamm Simeon an und zeigt eine deutlich höhere Zahl als Ruben, was die unterschiedliche Größe der Stämme reflektiert.</w:t>
      </w:r>
    </w:p>
    <w:p w14:paraId="5815F12D"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1,24</w:t>
      </w:r>
    </w:p>
    <w:p w14:paraId="5CD227E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גָ֔ד תּוֹלְדֹתָ֥ם לְמִשְׁפְּחֹתָ֖ם לְבֵ֣ית אֲבֹתָ֑ם בְּמִסְפַּ֣ר שֵׁמ֗וֹת מִבֶּ֨ן עֶשְׂרִ֤ים שָׁנָה֙ וָמַ֔עְלָה כֹּ֖ל יֹצֵ֥א צָבָֽא׃</w:t>
      </w:r>
    </w:p>
    <w:p w14:paraId="0550EF7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Gads, ihre Nachkommen nach ihren Familien, nach ihren Vaterhäusern, in der Zählung der Namen, von 20 Jahren an und darüber, jeder, der zum Heer auszog,</w:t>
      </w:r>
    </w:p>
    <w:p w14:paraId="0CFF13A1"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3584AED">
          <v:rect id="_x0000_i1048" style="width:0;height:1.5pt" o:hralign="center" o:hrstd="t" o:hr="t" fillcolor="#a0a0a0" stroked="f"/>
        </w:pict>
      </w:r>
    </w:p>
    <w:p w14:paraId="30A0BCD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גָד</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zu </w:t>
      </w:r>
      <w:r w:rsidRPr="00EF6A3E">
        <w:rPr>
          <w:rFonts w:eastAsia="Times New Roman" w:cs="Times New Roman"/>
          <w:b/>
          <w:bCs/>
          <w:rtl/>
          <w:lang w:eastAsia="de-DE"/>
        </w:rPr>
        <w:t>גָּד</w:t>
      </w:r>
      <w:r w:rsidRPr="00EF6A3E">
        <w:rPr>
          <w:rFonts w:eastAsia="Times New Roman" w:cs="Times New Roman"/>
          <w:rtl/>
          <w:lang w:eastAsia="de-DE"/>
        </w:rPr>
        <w:t xml:space="preserve"> </w:t>
      </w:r>
      <w:r w:rsidRPr="00EF6A3E">
        <w:rPr>
          <w:rFonts w:eastAsia="Times New Roman" w:cs="Times New Roman"/>
          <w:lang w:eastAsia="de-DE"/>
        </w:rPr>
        <w:t xml:space="preserve">(Gad), dem siebten Sohn Jakobs und ersten Sohn Silpas. Die syntaktische Struktur folgt dem in Vers 22 etablierten Muster mit </w:t>
      </w:r>
      <w:r w:rsidRPr="00EF6A3E">
        <w:rPr>
          <w:rFonts w:eastAsia="Times New Roman" w:cs="Times New Roman"/>
          <w:b/>
          <w:bCs/>
          <w:rtl/>
          <w:lang w:eastAsia="de-DE"/>
        </w:rPr>
        <w:t>לִבְנֵי</w:t>
      </w:r>
      <w:r w:rsidRPr="00EF6A3E">
        <w:rPr>
          <w:rFonts w:eastAsia="Times New Roman" w:cs="Times New Roman"/>
          <w:rtl/>
          <w:lang w:eastAsia="de-DE"/>
        </w:rPr>
        <w:t xml:space="preserve"> </w:t>
      </w:r>
      <w:r w:rsidRPr="00EF6A3E">
        <w:rPr>
          <w:rFonts w:eastAsia="Times New Roman" w:cs="Times New Roman"/>
          <w:lang w:eastAsia="de-DE"/>
        </w:rPr>
        <w:t xml:space="preserve">statt </w:t>
      </w:r>
      <w:r w:rsidRPr="00EF6A3E">
        <w:rPr>
          <w:rFonts w:eastAsia="Times New Roman" w:cs="Times New Roman"/>
          <w:b/>
          <w:bCs/>
          <w:rtl/>
          <w:lang w:eastAsia="de-DE"/>
        </w:rPr>
        <w:t>בְנֵי</w:t>
      </w:r>
      <w:r w:rsidRPr="00EF6A3E">
        <w:rPr>
          <w:rFonts w:eastAsia="Times New Roman" w:cs="Times New Roman"/>
          <w:lang w:eastAsia="de-DE"/>
        </w:rPr>
        <w:t>.</w:t>
      </w:r>
    </w:p>
    <w:p w14:paraId="2179442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Die Phrase </w:t>
      </w:r>
      <w:r w:rsidRPr="00EF6A3E">
        <w:rPr>
          <w:rFonts w:eastAsia="Times New Roman" w:cs="Times New Roman"/>
          <w:b/>
          <w:bCs/>
          <w:rtl/>
          <w:lang w:eastAsia="de-DE"/>
        </w:rPr>
        <w:t>בְּמִסְפַּר שֵׁמוֹת</w:t>
      </w:r>
      <w:r w:rsidRPr="00EF6A3E">
        <w:rPr>
          <w:rFonts w:eastAsia="Times New Roman" w:cs="Times New Roman"/>
          <w:rtl/>
          <w:lang w:eastAsia="de-DE"/>
        </w:rPr>
        <w:t xml:space="preserve"> </w:t>
      </w:r>
      <w:r w:rsidRPr="00EF6A3E">
        <w:rPr>
          <w:rFonts w:eastAsia="Times New Roman" w:cs="Times New Roman"/>
          <w:lang w:eastAsia="de-DE"/>
        </w:rPr>
        <w:t xml:space="preserve">(in der Zählung der Namen) mit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 xml:space="preserve">zeigt eine leichte Variation gegenüber Vers 22, wo </w:t>
      </w:r>
      <w:r w:rsidRPr="00EF6A3E">
        <w:rPr>
          <w:rFonts w:eastAsia="Times New Roman" w:cs="Times New Roman"/>
          <w:b/>
          <w:bCs/>
          <w:rtl/>
          <w:lang w:eastAsia="de-DE"/>
        </w:rPr>
        <w:t>פְּקֻדָיו בְּמִסְפַּר שֵׁמוֹת</w:t>
      </w:r>
      <w:r w:rsidRPr="00EF6A3E">
        <w:rPr>
          <w:rFonts w:eastAsia="Times New Roman" w:cs="Times New Roman"/>
          <w:rtl/>
          <w:lang w:eastAsia="de-DE"/>
        </w:rPr>
        <w:t xml:space="preserve"> </w:t>
      </w:r>
      <w:r w:rsidRPr="00EF6A3E">
        <w:rPr>
          <w:rFonts w:eastAsia="Times New Roman" w:cs="Times New Roman"/>
          <w:lang w:eastAsia="de-DE"/>
        </w:rPr>
        <w:t>stand.</w:t>
      </w:r>
    </w:p>
    <w:p w14:paraId="44390B1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מִן</w:t>
      </w:r>
      <w:r w:rsidRPr="00EF6A3E">
        <w:rPr>
          <w:rFonts w:eastAsia="Times New Roman" w:cs="Times New Roman"/>
          <w:rtl/>
          <w:lang w:eastAsia="de-DE"/>
        </w:rPr>
        <w:t xml:space="preserve"> </w:t>
      </w:r>
      <w:r w:rsidRPr="00EF6A3E">
        <w:rPr>
          <w:rFonts w:eastAsia="Times New Roman" w:cs="Times New Roman"/>
          <w:lang w:eastAsia="de-DE"/>
        </w:rPr>
        <w:t xml:space="preserve">(von) und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 xml:space="preserve">(Sohn von/im Alter von) entspricht den vorherigen Bestimmungen.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(jeder, der zum Heer auszieht) betont weiterhin die militärische Qualifikation.</w:t>
      </w:r>
    </w:p>
    <w:p w14:paraId="5B6AAF7E" w14:textId="1E41207D"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405D7">
        <w:t>weist in Vers 24 eine strukturelle Abweichung auf, da im griechischen Text die Reihenfolge der Stämme verschoben ist und Gad nach Simeon (V. 23) erscheint, während im MT Gad erst später (V. 24-25) behandelt wird.</w:t>
      </w:r>
    </w:p>
    <w:p w14:paraId="26DB5B94" w14:textId="62536282"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erneut eine präpositionale </w:t>
      </w:r>
      <w:r w:rsidR="00F133EC">
        <w:rPr>
          <w:rFonts w:eastAsia="Times New Roman" w:cs="Times New Roman"/>
          <w:lang w:eastAsia="de-DE"/>
        </w:rPr>
        <w:t>Construct</w:t>
      </w:r>
      <w:r w:rsidRPr="00EF6A3E">
        <w:rPr>
          <w:rFonts w:eastAsia="Times New Roman" w:cs="Times New Roman"/>
          <w:lang w:eastAsia="de-DE"/>
        </w:rPr>
        <w:t xml:space="preserve">ion mit mehreren koordinierten Erweiterungen, wobei das explizite </w:t>
      </w:r>
      <w:r w:rsidRPr="00EF6A3E">
        <w:rPr>
          <w:rFonts w:eastAsia="Times New Roman" w:cs="Times New Roman"/>
          <w:b/>
          <w:bCs/>
          <w:rtl/>
          <w:lang w:eastAsia="de-DE"/>
        </w:rPr>
        <w:t>פְּקֻדָיו</w:t>
      </w:r>
      <w:r w:rsidRPr="00EF6A3E">
        <w:rPr>
          <w:rFonts w:eastAsia="Times New Roman" w:cs="Times New Roman"/>
          <w:rtl/>
          <w:lang w:eastAsia="de-DE"/>
        </w:rPr>
        <w:t xml:space="preserve"> </w:t>
      </w:r>
      <w:r w:rsidRPr="00EF6A3E">
        <w:rPr>
          <w:rFonts w:eastAsia="Times New Roman" w:cs="Times New Roman"/>
          <w:lang w:eastAsia="de-DE"/>
        </w:rPr>
        <w:t xml:space="preserve">aus Vers 22 hier fehlt und die Zählspezifikation direkt mit </w:t>
      </w:r>
      <w:r w:rsidRPr="00EF6A3E">
        <w:rPr>
          <w:rFonts w:eastAsia="Times New Roman" w:cs="Times New Roman"/>
          <w:b/>
          <w:bCs/>
          <w:rtl/>
          <w:lang w:eastAsia="de-DE"/>
        </w:rPr>
        <w:t>בְּמִסְפַּר שֵׁמוֹת</w:t>
      </w:r>
      <w:r w:rsidRPr="00EF6A3E">
        <w:rPr>
          <w:rFonts w:eastAsia="Times New Roman" w:cs="Times New Roman"/>
          <w:rtl/>
          <w:lang w:eastAsia="de-DE"/>
        </w:rPr>
        <w:t xml:space="preserve"> </w:t>
      </w:r>
      <w:r w:rsidRPr="00EF6A3E">
        <w:rPr>
          <w:rFonts w:eastAsia="Times New Roman" w:cs="Times New Roman"/>
          <w:lang w:eastAsia="de-DE"/>
        </w:rPr>
        <w:t>eingeleitet wird.</w:t>
      </w:r>
    </w:p>
    <w:p w14:paraId="4854F85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setzt die systematische Aufzählung mit dem Stamm Gad fort und zeigt weitere stilistische Variationen innerhalb des grundlegenden Musters.</w:t>
      </w:r>
    </w:p>
    <w:p w14:paraId="7EC7BE39"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1,25</w:t>
      </w:r>
    </w:p>
    <w:p w14:paraId="4FD99FB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גָ֑ד חֲמִשָּׁ֤ה וְאַרְבָּעִים֙ אֶ֔לֶף וְשֵׁ֥שׁ מֵא֖וֹת וַחֲמִשִּֽׁים׃</w:t>
      </w:r>
    </w:p>
    <w:p w14:paraId="6AD232C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Gad: 45.650.</w:t>
      </w:r>
    </w:p>
    <w:p w14:paraId="1CF31F0A"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D3F226A">
          <v:rect id="_x0000_i1049" style="width:0;height:1.5pt" o:hralign="center" o:hrstd="t" o:hr="t" fillcolor="#a0a0a0" stroked="f"/>
        </w:pict>
      </w:r>
    </w:p>
    <w:p w14:paraId="35FA8A3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גָד</w:t>
      </w:r>
      <w:r w:rsidRPr="00EF6A3E">
        <w:rPr>
          <w:rFonts w:eastAsia="Times New Roman" w:cs="Times New Roman"/>
          <w:rtl/>
          <w:lang w:eastAsia="de-DE"/>
        </w:rPr>
        <w:t xml:space="preserve"> </w:t>
      </w:r>
      <w:r w:rsidRPr="00EF6A3E">
        <w:rPr>
          <w:rFonts w:eastAsia="Times New Roman" w:cs="Times New Roman"/>
          <w:lang w:eastAsia="de-DE"/>
        </w:rPr>
        <w:t>folgen dem etablierten Muster der Zahlenangaben.</w:t>
      </w:r>
    </w:p>
    <w:p w14:paraId="67943F2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Die Zahlenangabe </w:t>
      </w:r>
      <w:r w:rsidRPr="00EF6A3E">
        <w:rPr>
          <w:rFonts w:eastAsia="Times New Roman" w:cs="Times New Roman"/>
          <w:b/>
          <w:bCs/>
          <w:rtl/>
          <w:lang w:eastAsia="de-DE"/>
        </w:rPr>
        <w:t>חֲמִשָּׁה וְאַרְבָּעִים אֶלֶף וְשֵׁשׁ מֵאוֹת וַחֲמִשִּׁים</w:t>
      </w:r>
      <w:r w:rsidRPr="00EF6A3E">
        <w:rPr>
          <w:rFonts w:eastAsia="Times New Roman" w:cs="Times New Roman"/>
          <w:rtl/>
          <w:lang w:eastAsia="de-DE"/>
        </w:rPr>
        <w:t xml:space="preserve"> </w:t>
      </w:r>
      <w:r w:rsidRPr="00EF6A3E">
        <w:rPr>
          <w:rFonts w:eastAsia="Times New Roman" w:cs="Times New Roman"/>
          <w:lang w:eastAsia="de-DE"/>
        </w:rPr>
        <w:t xml:space="preserve">zeigt eine komplexere Struktur: </w:t>
      </w:r>
      <w:r w:rsidRPr="00EF6A3E">
        <w:rPr>
          <w:rFonts w:eastAsia="Times New Roman" w:cs="Times New Roman"/>
          <w:b/>
          <w:bCs/>
          <w:rtl/>
          <w:lang w:eastAsia="de-DE"/>
        </w:rPr>
        <w:t>חֲמִשָּׁה</w:t>
      </w:r>
      <w:r w:rsidRPr="00EF6A3E">
        <w:rPr>
          <w:rFonts w:eastAsia="Times New Roman" w:cs="Times New Roman"/>
          <w:rtl/>
          <w:lang w:eastAsia="de-DE"/>
        </w:rPr>
        <w:t xml:space="preserve"> </w:t>
      </w:r>
      <w:r w:rsidRPr="00EF6A3E">
        <w:rPr>
          <w:rFonts w:eastAsia="Times New Roman" w:cs="Times New Roman"/>
          <w:lang w:eastAsia="de-DE"/>
        </w:rPr>
        <w:t xml:space="preserve">(fünf) koordiniert mit </w:t>
      </w:r>
      <w:r w:rsidRPr="00EF6A3E">
        <w:rPr>
          <w:rFonts w:eastAsia="Times New Roman" w:cs="Times New Roman"/>
          <w:b/>
          <w:bCs/>
          <w:rtl/>
          <w:lang w:eastAsia="de-DE"/>
        </w:rPr>
        <w:t>וְאַרְבָּעִים</w:t>
      </w:r>
      <w:r w:rsidRPr="00EF6A3E">
        <w:rPr>
          <w:rFonts w:eastAsia="Times New Roman" w:cs="Times New Roman"/>
          <w:rtl/>
          <w:lang w:eastAsia="de-DE"/>
        </w:rPr>
        <w:t xml:space="preserve"> </w:t>
      </w:r>
      <w:r w:rsidRPr="00EF6A3E">
        <w:rPr>
          <w:rFonts w:eastAsia="Times New Roman" w:cs="Times New Roman"/>
          <w:lang w:eastAsia="de-DE"/>
        </w:rPr>
        <w:t xml:space="preserve">(und vierzig)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dann </w:t>
      </w:r>
      <w:r w:rsidRPr="00EF6A3E">
        <w:rPr>
          <w:rFonts w:eastAsia="Times New Roman" w:cs="Times New Roman"/>
          <w:b/>
          <w:bCs/>
          <w:rtl/>
          <w:lang w:eastAsia="de-DE"/>
        </w:rPr>
        <w:t>וְשֵׁשׁ</w:t>
      </w:r>
      <w:r w:rsidRPr="00EF6A3E">
        <w:rPr>
          <w:rFonts w:eastAsia="Times New Roman" w:cs="Times New Roman"/>
          <w:rtl/>
          <w:lang w:eastAsia="de-DE"/>
        </w:rPr>
        <w:t xml:space="preserve"> </w:t>
      </w:r>
      <w:r w:rsidRPr="00EF6A3E">
        <w:rPr>
          <w:rFonts w:eastAsia="Times New Roman" w:cs="Times New Roman"/>
          <w:lang w:eastAsia="de-DE"/>
        </w:rPr>
        <w:t xml:space="preserve">(und sechs)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 xml:space="preserve">(Hunderte), schließlich </w:t>
      </w:r>
      <w:r w:rsidRPr="00EF6A3E">
        <w:rPr>
          <w:rFonts w:eastAsia="Times New Roman" w:cs="Times New Roman"/>
          <w:b/>
          <w:bCs/>
          <w:rtl/>
          <w:lang w:eastAsia="de-DE"/>
        </w:rPr>
        <w:t>וַחֲמִשִּׁים</w:t>
      </w:r>
      <w:r w:rsidRPr="00EF6A3E">
        <w:rPr>
          <w:rFonts w:eastAsia="Times New Roman" w:cs="Times New Roman"/>
          <w:rtl/>
          <w:lang w:eastAsia="de-DE"/>
        </w:rPr>
        <w:t xml:space="preserve"> </w:t>
      </w:r>
      <w:r w:rsidRPr="00EF6A3E">
        <w:rPr>
          <w:rFonts w:eastAsia="Times New Roman" w:cs="Times New Roman"/>
          <w:lang w:eastAsia="de-DE"/>
        </w:rPr>
        <w:t>(und fünfzig). Die Gesamtzahl beträgt 45.650.</w:t>
      </w:r>
    </w:p>
    <w:p w14:paraId="3D48CF8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Γαδ πέντε καὶ τεσσαράκοντα χιλιάδες καὶ ἑξακόσιοι καὶ πεντήκοντα und gibt die komplexe Zahlenstruktur vollständig wieder.</w:t>
      </w:r>
    </w:p>
    <w:p w14:paraId="2D4F607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mit einer dreigliedrigen Zahlenkomposition, die Tausende, Hunderte und Einer umfasst.</w:t>
      </w:r>
    </w:p>
    <w:p w14:paraId="5935767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Musterungsergebnis für den Stamm Gad an und zeigt eine Zahl, die leicht unter der von Ruben liegt, aber deutlich unter der von Simeon.</w:t>
      </w:r>
    </w:p>
    <w:p w14:paraId="77CA3842"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1,26</w:t>
      </w:r>
    </w:p>
    <w:p w14:paraId="23DD212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יְהוּדָ֔ה תּוֹלְדֹתָ֥ם לְמִשְׁפְּחֹתָ֖ם לְבֵ֣ית אֲבֹתָ֑ם בְּמִסְפַּ֣ר שֵׁמֹ֗ת מִבֶּ֨ן עֶשְׂרִ֤ים שָׁנָה֙ וָמַ֔עְלָה כֹּ֖ל יֹצֵ֥א צָבָֽא׃</w:t>
      </w:r>
    </w:p>
    <w:p w14:paraId="754CD13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Jehudas, ihre Nachkommen nach ihren Familien, nach ihren Vaterhäusern, in der Zählung der Namen, von 20 Jahren an und darüber, jeder, der zum Heer auszog,</w:t>
      </w:r>
    </w:p>
    <w:p w14:paraId="1F033035"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40CF20A7">
          <v:rect id="_x0000_i1050" style="width:0;height:1.5pt" o:hralign="center" o:hrstd="t" o:hr="t" fillcolor="#a0a0a0" stroked="f"/>
        </w:pict>
      </w:r>
    </w:p>
    <w:p w14:paraId="585D133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יְהוּדָה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zu </w:t>
      </w:r>
      <w:r w:rsidRPr="00EF6A3E">
        <w:rPr>
          <w:rFonts w:eastAsia="Times New Roman" w:cs="Times New Roman"/>
          <w:b/>
          <w:bCs/>
          <w:rtl/>
          <w:lang w:eastAsia="de-DE"/>
        </w:rPr>
        <w:t>יְהוּדָה</w:t>
      </w:r>
      <w:r w:rsidRPr="00EF6A3E">
        <w:rPr>
          <w:rFonts w:eastAsia="Times New Roman" w:cs="Times New Roman"/>
          <w:rtl/>
          <w:lang w:eastAsia="de-DE"/>
        </w:rPr>
        <w:t xml:space="preserve"> </w:t>
      </w:r>
      <w:r w:rsidRPr="00EF6A3E">
        <w:rPr>
          <w:rFonts w:eastAsia="Times New Roman" w:cs="Times New Roman"/>
          <w:lang w:eastAsia="de-DE"/>
        </w:rPr>
        <w:t xml:space="preserve">(Juda), dem vierten Sohn Jakobs, der später eine führende Rolle unter den Stämmen einnehmen wird. Die syntaktische Struktur folgt dem etablierten Muster mit </w:t>
      </w:r>
      <w:r w:rsidRPr="00EF6A3E">
        <w:rPr>
          <w:rFonts w:eastAsia="Times New Roman" w:cs="Times New Roman"/>
          <w:b/>
          <w:bCs/>
          <w:rtl/>
          <w:lang w:eastAsia="de-DE"/>
        </w:rPr>
        <w:t>לִבְנֵי</w:t>
      </w:r>
      <w:r w:rsidRPr="00EF6A3E">
        <w:rPr>
          <w:rFonts w:eastAsia="Times New Roman" w:cs="Times New Roman"/>
          <w:lang w:eastAsia="de-DE"/>
        </w:rPr>
        <w:t>.</w:t>
      </w:r>
    </w:p>
    <w:p w14:paraId="05B79E3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kontinuierlichen Struktur. Die Phrase </w:t>
      </w:r>
      <w:r w:rsidRPr="00EF6A3E">
        <w:rPr>
          <w:rFonts w:eastAsia="Times New Roman" w:cs="Times New Roman"/>
          <w:b/>
          <w:bCs/>
          <w:rtl/>
          <w:lang w:eastAsia="de-DE"/>
        </w:rPr>
        <w:t>בְּמִסְפַּר שֵׁמֹת</w:t>
      </w:r>
      <w:r w:rsidRPr="00EF6A3E">
        <w:rPr>
          <w:rFonts w:eastAsia="Times New Roman" w:cs="Times New Roman"/>
          <w:rtl/>
          <w:lang w:eastAsia="de-DE"/>
        </w:rPr>
        <w:t xml:space="preserve"> </w:t>
      </w:r>
      <w:r w:rsidRPr="00EF6A3E">
        <w:rPr>
          <w:rFonts w:eastAsia="Times New Roman" w:cs="Times New Roman"/>
          <w:lang w:eastAsia="de-DE"/>
        </w:rPr>
        <w:t xml:space="preserve">(in der Zählung der Namen) zeigt eine orthographische Variation mit </w:t>
      </w:r>
      <w:r w:rsidRPr="00EF6A3E">
        <w:rPr>
          <w:rFonts w:eastAsia="Times New Roman" w:cs="Times New Roman"/>
          <w:b/>
          <w:bCs/>
          <w:rtl/>
          <w:lang w:eastAsia="de-DE"/>
        </w:rPr>
        <w:t>שֵׁמֹת</w:t>
      </w:r>
      <w:r w:rsidRPr="00EF6A3E">
        <w:rPr>
          <w:rFonts w:eastAsia="Times New Roman" w:cs="Times New Roman"/>
          <w:rtl/>
          <w:lang w:eastAsia="de-DE"/>
        </w:rPr>
        <w:t xml:space="preserve"> </w:t>
      </w:r>
      <w:r w:rsidRPr="00EF6A3E">
        <w:rPr>
          <w:rFonts w:eastAsia="Times New Roman" w:cs="Times New Roman"/>
          <w:lang w:eastAsia="de-DE"/>
        </w:rPr>
        <w:t xml:space="preserve">statt </w:t>
      </w:r>
      <w:r w:rsidRPr="00EF6A3E">
        <w:rPr>
          <w:rFonts w:eastAsia="Times New Roman" w:cs="Times New Roman"/>
          <w:b/>
          <w:bCs/>
          <w:rtl/>
          <w:lang w:eastAsia="de-DE"/>
        </w:rPr>
        <w:t>שֵׁמוֹת</w:t>
      </w:r>
      <w:r w:rsidRPr="00EF6A3E">
        <w:rPr>
          <w:rFonts w:eastAsia="Times New Roman" w:cs="Times New Roman"/>
          <w:lang w:eastAsia="de-DE"/>
        </w:rPr>
        <w:t xml:space="preserve">, wobei beide Formen den Plural von </w:t>
      </w:r>
      <w:r w:rsidRPr="00EF6A3E">
        <w:rPr>
          <w:rFonts w:eastAsia="Times New Roman" w:cs="Times New Roman"/>
          <w:b/>
          <w:bCs/>
          <w:rtl/>
          <w:lang w:eastAsia="de-DE"/>
        </w:rPr>
        <w:t>שֵׁם</w:t>
      </w:r>
      <w:r w:rsidRPr="00EF6A3E">
        <w:rPr>
          <w:rFonts w:eastAsia="Times New Roman" w:cs="Times New Roman"/>
          <w:rtl/>
          <w:lang w:eastAsia="de-DE"/>
        </w:rPr>
        <w:t xml:space="preserve"> </w:t>
      </w:r>
      <w:r w:rsidRPr="00EF6A3E">
        <w:rPr>
          <w:rFonts w:eastAsia="Times New Roman" w:cs="Times New Roman"/>
          <w:lang w:eastAsia="de-DE"/>
        </w:rPr>
        <w:t>(Name) darstellen.</w:t>
      </w:r>
    </w:p>
    <w:p w14:paraId="703C9CE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entspricht den vorherigen Bestimmungen.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(jeder, der zum Heer auszieht) betont die militärische Qualifikation.</w:t>
      </w:r>
    </w:p>
    <w:p w14:paraId="605B773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Ιουδα κατὰ συγγενείας αὐτῶν κατὰ δήμους αὐτῶν κατὰ οἴκους πατριῶν αὐτῶν und folgt der etablierten Wiedergabe der organisatorischen Struktur.</w:t>
      </w:r>
    </w:p>
    <w:p w14:paraId="2FF8A4F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entspricht dem Muster von Vers 24 mit präpositionaler Einleitung und koordinierten Erweiterungen zur Spezifikation der Zählkriterien.</w:t>
      </w:r>
    </w:p>
    <w:p w14:paraId="70DE3FF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setzt die systematische Aufzählung mit dem bedeutsamen Stamm Juda fort, aus dem später die davidische Dynastie hervorgehen wird.</w:t>
      </w:r>
    </w:p>
    <w:p w14:paraId="1949FB6C"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1,27</w:t>
      </w:r>
    </w:p>
    <w:p w14:paraId="463F135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יְהוּדָ֑ה אַרְבָּעָ֧ה וְשִׁבְעִ֛ים אֶ֖לֶף וְשֵׁ֥שׁ מֵאֽוֹת׃</w:t>
      </w:r>
    </w:p>
    <w:p w14:paraId="7CD681F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Deutsch:</w:t>
      </w:r>
      <w:r w:rsidRPr="00EF6A3E">
        <w:rPr>
          <w:rFonts w:eastAsia="Times New Roman" w:cs="Times New Roman"/>
          <w:lang w:eastAsia="de-DE"/>
        </w:rPr>
        <w:t xml:space="preserve"> ihre Gemusterten vom Stamm Jehuda: 74.600.</w:t>
      </w:r>
    </w:p>
    <w:p w14:paraId="4C43EC5E"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5247E55">
          <v:rect id="_x0000_i1051" style="width:0;height:1.5pt" o:hralign="center" o:hrstd="t" o:hr="t" fillcolor="#a0a0a0" stroked="f"/>
        </w:pict>
      </w:r>
    </w:p>
    <w:p w14:paraId="64CFA8B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יְהוּדָה</w:t>
      </w:r>
      <w:r w:rsidRPr="00EF6A3E">
        <w:rPr>
          <w:rFonts w:eastAsia="Times New Roman" w:cs="Times New Roman"/>
          <w:rtl/>
          <w:lang w:eastAsia="de-DE"/>
        </w:rPr>
        <w:t xml:space="preserve"> </w:t>
      </w:r>
      <w:r w:rsidRPr="00EF6A3E">
        <w:rPr>
          <w:rFonts w:eastAsia="Times New Roman" w:cs="Times New Roman"/>
          <w:lang w:eastAsia="de-DE"/>
        </w:rPr>
        <w:t>folgen dem etablierten Muster der Zahlenangaben.</w:t>
      </w:r>
    </w:p>
    <w:p w14:paraId="0D87604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אַרְבָּעָה וְשִׁבְעִים אֶלֶף וְשֵׁשׁ מֵאוֹת</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אַרְבָּעָה</w:t>
      </w:r>
      <w:r w:rsidRPr="00EF6A3E">
        <w:rPr>
          <w:rFonts w:eastAsia="Times New Roman" w:cs="Times New Roman"/>
          <w:rtl/>
          <w:lang w:eastAsia="de-DE"/>
        </w:rPr>
        <w:t xml:space="preserve"> </w:t>
      </w:r>
      <w:r w:rsidRPr="00EF6A3E">
        <w:rPr>
          <w:rFonts w:eastAsia="Times New Roman" w:cs="Times New Roman"/>
          <w:lang w:eastAsia="de-DE"/>
        </w:rPr>
        <w:t xml:space="preserve">(vier) koordiniert mit </w:t>
      </w:r>
      <w:r w:rsidRPr="00EF6A3E">
        <w:rPr>
          <w:rFonts w:eastAsia="Times New Roman" w:cs="Times New Roman"/>
          <w:b/>
          <w:bCs/>
          <w:rtl/>
          <w:lang w:eastAsia="de-DE"/>
        </w:rPr>
        <w:t>וְשִׁבְעִים</w:t>
      </w:r>
      <w:r w:rsidRPr="00EF6A3E">
        <w:rPr>
          <w:rFonts w:eastAsia="Times New Roman" w:cs="Times New Roman"/>
          <w:rtl/>
          <w:lang w:eastAsia="de-DE"/>
        </w:rPr>
        <w:t xml:space="preserve"> </w:t>
      </w:r>
      <w:r w:rsidRPr="00EF6A3E">
        <w:rPr>
          <w:rFonts w:eastAsia="Times New Roman" w:cs="Times New Roman"/>
          <w:lang w:eastAsia="de-DE"/>
        </w:rPr>
        <w:t xml:space="preserve">(und siebzig)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וְשֵׁשׁ</w:t>
      </w:r>
      <w:r w:rsidRPr="00EF6A3E">
        <w:rPr>
          <w:rFonts w:eastAsia="Times New Roman" w:cs="Times New Roman"/>
          <w:rtl/>
          <w:lang w:eastAsia="de-DE"/>
        </w:rPr>
        <w:t xml:space="preserve"> </w:t>
      </w:r>
      <w:r w:rsidRPr="00EF6A3E">
        <w:rPr>
          <w:rFonts w:eastAsia="Times New Roman" w:cs="Times New Roman"/>
          <w:lang w:eastAsia="de-DE"/>
        </w:rPr>
        <w:t xml:space="preserve">(und sechs)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74.600, was die höchste Zahl aller bisher genannten Stämme darstellt.</w:t>
      </w:r>
    </w:p>
    <w:p w14:paraId="1D852C5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Ιουδα τέσσαρες καὶ ἑβδομήκοντα χιλιάδες καὶ ἑξακόσιοι und behält die Zahlenstruktur bei.</w:t>
      </w:r>
    </w:p>
    <w:p w14:paraId="1902769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mit zweigliedriger Zahlenkomposition aus Tausendern und Hundertern.</w:t>
      </w:r>
    </w:p>
    <w:p w14:paraId="0E8D7F0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Musterungsergebnis für den Stamm Juda an und zeigt die bedeutendste Zahl bis zu diesem Punkt, was die spätere Führungsrolle Judas in Israel vorwegnimmt.</w:t>
      </w:r>
    </w:p>
    <w:p w14:paraId="654E7A58"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1,28</w:t>
      </w:r>
    </w:p>
    <w:p w14:paraId="0EB85D2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יִשָּׂשכָ֔ר תּוֹלְדֹתָ֥ם לְמִשְׁפְּחֹתָ֖ם לְבֵ֣ית אֲבֹתָ֑ם בְּמִסְפַּ֣ר שֵׁמֹ֗ת מִבֶּ֨ן עֶשְׂרִ֤ים שָׁנָה֙ וָמַ֔עְלָה כֹּ֖ל יֹצֵ֥א צָבָֽא׃</w:t>
      </w:r>
    </w:p>
    <w:p w14:paraId="51DAA38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Jissaschars, ihre Nachkommen nach ihren Familien, nach ihren Vaterhäusern, in der Zählung der Namen, von 20 Jahren an und darüber, jeder, der zum Heer auszog,</w:t>
      </w:r>
    </w:p>
    <w:p w14:paraId="4BC0E76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440F70A6">
          <v:rect id="_x0000_i1052" style="width:0;height:1.5pt" o:hralign="center" o:hrstd="t" o:hr="t" fillcolor="#a0a0a0" stroked="f"/>
        </w:pict>
      </w:r>
    </w:p>
    <w:p w14:paraId="427B624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יִשָּׂשכָר</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zu </w:t>
      </w:r>
      <w:r w:rsidRPr="00EF6A3E">
        <w:rPr>
          <w:rFonts w:eastAsia="Times New Roman" w:cs="Times New Roman"/>
          <w:b/>
          <w:bCs/>
          <w:rtl/>
          <w:lang w:eastAsia="de-DE"/>
        </w:rPr>
        <w:t>יִשָּׂשכָר</w:t>
      </w:r>
      <w:r w:rsidRPr="00EF6A3E">
        <w:rPr>
          <w:rFonts w:eastAsia="Times New Roman" w:cs="Times New Roman"/>
          <w:rtl/>
          <w:lang w:eastAsia="de-DE"/>
        </w:rPr>
        <w:t xml:space="preserve"> </w:t>
      </w:r>
      <w:r w:rsidRPr="00EF6A3E">
        <w:rPr>
          <w:rFonts w:eastAsia="Times New Roman" w:cs="Times New Roman"/>
          <w:lang w:eastAsia="de-DE"/>
        </w:rPr>
        <w:t xml:space="preserve">(Issaschar), dem neunten Sohn Jakobs und fünften Sohn Leas. Der Name </w:t>
      </w:r>
      <w:r w:rsidRPr="00EF6A3E">
        <w:rPr>
          <w:rFonts w:eastAsia="Times New Roman" w:cs="Times New Roman"/>
          <w:b/>
          <w:bCs/>
          <w:rtl/>
          <w:lang w:eastAsia="de-DE"/>
        </w:rPr>
        <w:t>יִשָּׂשכָר</w:t>
      </w:r>
      <w:r w:rsidRPr="00EF6A3E">
        <w:rPr>
          <w:rFonts w:eastAsia="Times New Roman" w:cs="Times New Roman"/>
          <w:rtl/>
          <w:lang w:eastAsia="de-DE"/>
        </w:rPr>
        <w:t xml:space="preserve"> </w:t>
      </w:r>
      <w:r w:rsidRPr="00EF6A3E">
        <w:rPr>
          <w:rFonts w:eastAsia="Times New Roman" w:cs="Times New Roman"/>
          <w:lang w:eastAsia="de-DE"/>
        </w:rPr>
        <w:t>wird traditionell als "es gibt Lohn" oder "Lohnarbeiter" gedeutet.</w:t>
      </w:r>
    </w:p>
    <w:p w14:paraId="1276B05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Die Phrase </w:t>
      </w:r>
      <w:r w:rsidRPr="00EF6A3E">
        <w:rPr>
          <w:rFonts w:eastAsia="Times New Roman" w:cs="Times New Roman"/>
          <w:b/>
          <w:bCs/>
          <w:rtl/>
          <w:lang w:eastAsia="de-DE"/>
        </w:rPr>
        <w:t>בְּמִסְפַּר שֵׁמֹת</w:t>
      </w:r>
      <w:r w:rsidRPr="00EF6A3E">
        <w:rPr>
          <w:rFonts w:eastAsia="Times New Roman" w:cs="Times New Roman"/>
          <w:rtl/>
          <w:lang w:eastAsia="de-DE"/>
        </w:rPr>
        <w:t xml:space="preserve"> </w:t>
      </w:r>
      <w:r w:rsidRPr="00EF6A3E">
        <w:rPr>
          <w:rFonts w:eastAsia="Times New Roman" w:cs="Times New Roman"/>
          <w:lang w:eastAsia="de-DE"/>
        </w:rPr>
        <w:t xml:space="preserve">(in der Zählung der Namen) zeigt erneut die Schreibvariante </w:t>
      </w:r>
      <w:r w:rsidRPr="00EF6A3E">
        <w:rPr>
          <w:rFonts w:eastAsia="Times New Roman" w:cs="Times New Roman"/>
          <w:b/>
          <w:bCs/>
          <w:rtl/>
          <w:lang w:eastAsia="de-DE"/>
        </w:rPr>
        <w:t>שֵׁמֹת</w:t>
      </w:r>
      <w:r w:rsidRPr="00EF6A3E">
        <w:rPr>
          <w:rFonts w:eastAsia="Times New Roman" w:cs="Times New Roman"/>
          <w:lang w:eastAsia="de-DE"/>
        </w:rPr>
        <w:t>.</w:t>
      </w:r>
    </w:p>
    <w:p w14:paraId="6E57ABF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und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entsprechen den etablierten Kriterien der Musterung.</w:t>
      </w:r>
    </w:p>
    <w:p w14:paraId="346CB23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Ισσαχαρ κατὰ συγγενείας αὐτῶν κατὰ δήμους αὐτῶν κατὰ οἴκους πατριῶν αὐτῶν und folgt der konsistenten Wiedergabe.</w:t>
      </w:r>
    </w:p>
    <w:p w14:paraId="48FEBF1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entspricht exakt dem Muster der vorherigen Verse mit präpositionaler Einleitung und koordinierten Erweiterungen.</w:t>
      </w:r>
    </w:p>
    <w:p w14:paraId="6FF531D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setzt die systematische Aufzählung mit dem Stamm Issaschar fort und zeigt die kontinuierliche Anwendung der etablierten Zählkriterien.</w:t>
      </w:r>
    </w:p>
    <w:p w14:paraId="2C85DB33"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lastRenderedPageBreak/>
        <w:t>Numeri 1,29</w:t>
      </w:r>
    </w:p>
    <w:p w14:paraId="2637022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יִשָּׂשכָ֑ר אַרְבָּעָ֧ה וַחֲמִשִּׁ֛ים אֶ֖לֶף וְאַרְבַּ֥ע מֵאֽוֹת׃</w:t>
      </w:r>
    </w:p>
    <w:p w14:paraId="2759743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Jissaschar: 54.400.</w:t>
      </w:r>
    </w:p>
    <w:p w14:paraId="2DCC6615"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F616E1E">
          <v:rect id="_x0000_i1053" style="width:0;height:1.5pt" o:hralign="center" o:hrstd="t" o:hr="t" fillcolor="#a0a0a0" stroked="f"/>
        </w:pict>
      </w:r>
    </w:p>
    <w:p w14:paraId="1574F00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יִשָּׂשכָר</w:t>
      </w:r>
      <w:r w:rsidRPr="00EF6A3E">
        <w:rPr>
          <w:rFonts w:eastAsia="Times New Roman" w:cs="Times New Roman"/>
          <w:rtl/>
          <w:lang w:eastAsia="de-DE"/>
        </w:rPr>
        <w:t xml:space="preserve"> </w:t>
      </w:r>
      <w:r w:rsidRPr="00EF6A3E">
        <w:rPr>
          <w:rFonts w:eastAsia="Times New Roman" w:cs="Times New Roman"/>
          <w:lang w:eastAsia="de-DE"/>
        </w:rPr>
        <w:t>folgen dem etablierten Muster.</w:t>
      </w:r>
    </w:p>
    <w:p w14:paraId="4228D91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אַרְבָּעָה וַחֲמִשִּׁים אֶלֶף וְאַרְבַּע מֵאוֹת</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אַרְבָּעָה</w:t>
      </w:r>
      <w:r w:rsidRPr="00EF6A3E">
        <w:rPr>
          <w:rFonts w:eastAsia="Times New Roman" w:cs="Times New Roman"/>
          <w:rtl/>
          <w:lang w:eastAsia="de-DE"/>
        </w:rPr>
        <w:t xml:space="preserve"> </w:t>
      </w:r>
      <w:r w:rsidRPr="00EF6A3E">
        <w:rPr>
          <w:rFonts w:eastAsia="Times New Roman" w:cs="Times New Roman"/>
          <w:lang w:eastAsia="de-DE"/>
        </w:rPr>
        <w:t xml:space="preserve">(vier) koordiniert mit </w:t>
      </w:r>
      <w:r w:rsidRPr="00EF6A3E">
        <w:rPr>
          <w:rFonts w:eastAsia="Times New Roman" w:cs="Times New Roman"/>
          <w:b/>
          <w:bCs/>
          <w:rtl/>
          <w:lang w:eastAsia="de-DE"/>
        </w:rPr>
        <w:t>וַחֲמִשִּׁים</w:t>
      </w:r>
      <w:r w:rsidRPr="00EF6A3E">
        <w:rPr>
          <w:rFonts w:eastAsia="Times New Roman" w:cs="Times New Roman"/>
          <w:rtl/>
          <w:lang w:eastAsia="de-DE"/>
        </w:rPr>
        <w:t xml:space="preserve"> </w:t>
      </w:r>
      <w:r w:rsidRPr="00EF6A3E">
        <w:rPr>
          <w:rFonts w:eastAsia="Times New Roman" w:cs="Times New Roman"/>
          <w:lang w:eastAsia="de-DE"/>
        </w:rPr>
        <w:t xml:space="preserve">(und fünfzig)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וְאַרְבַּע</w:t>
      </w:r>
      <w:r w:rsidRPr="00EF6A3E">
        <w:rPr>
          <w:rFonts w:eastAsia="Times New Roman" w:cs="Times New Roman"/>
          <w:rtl/>
          <w:lang w:eastAsia="de-DE"/>
        </w:rPr>
        <w:t xml:space="preserve"> </w:t>
      </w:r>
      <w:r w:rsidRPr="00EF6A3E">
        <w:rPr>
          <w:rFonts w:eastAsia="Times New Roman" w:cs="Times New Roman"/>
          <w:lang w:eastAsia="de-DE"/>
        </w:rPr>
        <w:t xml:space="preserve">(und vier)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54.400.</w:t>
      </w:r>
    </w:p>
    <w:p w14:paraId="341D291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Ισσαχαρ τέσσαρες καὶ πεντήκοντα χιλιάδες καὶ τετρακόσιοι und behält die Zahlenstruktur bei.</w:t>
      </w:r>
    </w:p>
    <w:p w14:paraId="5DBD1F4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mit zweigliedriger Zahlenkomposition.</w:t>
      </w:r>
    </w:p>
    <w:p w14:paraId="3B64F5A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Musterungsergebnis für den Stamm Issaschar an und zeigt eine mittelgroße Stammespopulation, die zwischen den kleineren und größeren Stämmen liegt.</w:t>
      </w:r>
    </w:p>
    <w:p w14:paraId="5BF82A7F"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1,30</w:t>
      </w:r>
    </w:p>
    <w:p w14:paraId="5A831FD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זְבוּלֻ֔ן תּוֹלְדֹתָ֥ם לְמִשְׁפְּחֹתָ֖ם לְבֵ֣ית אֲבֹתָ֑ם בְּמִסְפַּ֣ר שֵׁמֹ֗ת מִבֶּ֨ן עֶשְׂרִ֤ים שָׁנָה֙ וָמַ֔עְלָה כֹּ֖ל יֹצֵ֥א צָבָֽא׃</w:t>
      </w:r>
    </w:p>
    <w:p w14:paraId="7369E69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Sevuluns, ihre Nachkommen nach ihren Familien, nach ihren Vaterhäusern, in der Zählung der Namen, von 20 Jahren an und darüber, jeder, der zum Heer auszog,</w:t>
      </w:r>
    </w:p>
    <w:p w14:paraId="40C09E2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B8E75A9">
          <v:rect id="_x0000_i1054" style="width:0;height:1.5pt" o:hralign="center" o:hrstd="t" o:hr="t" fillcolor="#a0a0a0" stroked="f"/>
        </w:pict>
      </w:r>
    </w:p>
    <w:p w14:paraId="3881047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זְבוּלֻן</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zu </w:t>
      </w:r>
      <w:r w:rsidRPr="00EF6A3E">
        <w:rPr>
          <w:rFonts w:eastAsia="Times New Roman" w:cs="Times New Roman"/>
          <w:b/>
          <w:bCs/>
          <w:rtl/>
          <w:lang w:eastAsia="de-DE"/>
        </w:rPr>
        <w:t>זְבוּלֻן</w:t>
      </w:r>
      <w:r w:rsidRPr="00EF6A3E">
        <w:rPr>
          <w:rFonts w:eastAsia="Times New Roman" w:cs="Times New Roman"/>
          <w:rtl/>
          <w:lang w:eastAsia="de-DE"/>
        </w:rPr>
        <w:t xml:space="preserve"> </w:t>
      </w:r>
      <w:r w:rsidRPr="00EF6A3E">
        <w:rPr>
          <w:rFonts w:eastAsia="Times New Roman" w:cs="Times New Roman"/>
          <w:lang w:eastAsia="de-DE"/>
        </w:rPr>
        <w:t xml:space="preserve">(Sebulon), dem zehnten Sohn Jakobs und sechsten Sohn Leas. Der Name </w:t>
      </w:r>
      <w:r w:rsidRPr="00EF6A3E">
        <w:rPr>
          <w:rFonts w:eastAsia="Times New Roman" w:cs="Times New Roman"/>
          <w:b/>
          <w:bCs/>
          <w:rtl/>
          <w:lang w:eastAsia="de-DE"/>
        </w:rPr>
        <w:t>זְבוּלֻן</w:t>
      </w:r>
      <w:r w:rsidRPr="00EF6A3E">
        <w:rPr>
          <w:rFonts w:eastAsia="Times New Roman" w:cs="Times New Roman"/>
          <w:rtl/>
          <w:lang w:eastAsia="de-DE"/>
        </w:rPr>
        <w:t xml:space="preserve"> </w:t>
      </w:r>
      <w:r w:rsidRPr="00EF6A3E">
        <w:rPr>
          <w:rFonts w:eastAsia="Times New Roman" w:cs="Times New Roman"/>
          <w:lang w:eastAsia="de-DE"/>
        </w:rPr>
        <w:t xml:space="preserve">wird mit der Wurzel </w:t>
      </w:r>
      <w:r w:rsidRPr="00EF6A3E">
        <w:rPr>
          <w:rFonts w:eastAsia="Times New Roman" w:cs="Times New Roman"/>
          <w:b/>
          <w:bCs/>
          <w:rtl/>
          <w:lang w:eastAsia="de-DE"/>
        </w:rPr>
        <w:t>זבל</w:t>
      </w:r>
      <w:r w:rsidRPr="00EF6A3E">
        <w:rPr>
          <w:rFonts w:eastAsia="Times New Roman" w:cs="Times New Roman"/>
          <w:rtl/>
          <w:lang w:eastAsia="de-DE"/>
        </w:rPr>
        <w:t xml:space="preserve"> </w:t>
      </w:r>
      <w:r w:rsidRPr="00EF6A3E">
        <w:rPr>
          <w:rFonts w:eastAsia="Times New Roman" w:cs="Times New Roman"/>
          <w:lang w:eastAsia="de-DE"/>
        </w:rPr>
        <w:t>(wohnen/erhöhen) in Verbindung gebracht und bedeutet "Wohnung" oder "Erhöhung".</w:t>
      </w:r>
    </w:p>
    <w:p w14:paraId="4895BE3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Die Phrase </w:t>
      </w:r>
      <w:r w:rsidRPr="00EF6A3E">
        <w:rPr>
          <w:rFonts w:eastAsia="Times New Roman" w:cs="Times New Roman"/>
          <w:b/>
          <w:bCs/>
          <w:rtl/>
          <w:lang w:eastAsia="de-DE"/>
        </w:rPr>
        <w:t>בְּמִסְפַּר שֵׁמֹת</w:t>
      </w:r>
      <w:r w:rsidRPr="00EF6A3E">
        <w:rPr>
          <w:rFonts w:eastAsia="Times New Roman" w:cs="Times New Roman"/>
          <w:rtl/>
          <w:lang w:eastAsia="de-DE"/>
        </w:rPr>
        <w:t xml:space="preserve"> </w:t>
      </w:r>
      <w:r w:rsidRPr="00EF6A3E">
        <w:rPr>
          <w:rFonts w:eastAsia="Times New Roman" w:cs="Times New Roman"/>
          <w:lang w:eastAsia="de-DE"/>
        </w:rPr>
        <w:t xml:space="preserve">(in der Zählung der Namen) zeigt die kontinuierliche Verwendung der Schreibvariante </w:t>
      </w:r>
      <w:r w:rsidRPr="00EF6A3E">
        <w:rPr>
          <w:rFonts w:eastAsia="Times New Roman" w:cs="Times New Roman"/>
          <w:b/>
          <w:bCs/>
          <w:rtl/>
          <w:lang w:eastAsia="de-DE"/>
        </w:rPr>
        <w:t>שֵׁמֹת</w:t>
      </w:r>
      <w:r w:rsidRPr="00EF6A3E">
        <w:rPr>
          <w:rFonts w:eastAsia="Times New Roman" w:cs="Times New Roman"/>
          <w:lang w:eastAsia="de-DE"/>
        </w:rPr>
        <w:t>.</w:t>
      </w:r>
    </w:p>
    <w:p w14:paraId="33B04F6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und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entsprechen den etablierten Kriterien der Musterung.</w:t>
      </w:r>
    </w:p>
    <w:p w14:paraId="0DE2039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Ζαβουλων κατὰ συγγενείας αὐτῶν κατὰ δήμους αὐτῶν κατὰ οἴκους πατριῶν αὐτῶν und folgt der konsistenten Wiedergabe.</w:t>
      </w:r>
    </w:p>
    <w:p w14:paraId="32AFCEE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 Satzstruktur entspricht exakt dem etablierten Muster mit präpositionaler Einleitung und koordinierten Erweiterungen zur Spezifikation der Zählkriterien.</w:t>
      </w:r>
    </w:p>
    <w:p w14:paraId="1DA07B9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setzt die systematische Aufzählung mit dem Stamm Sebulon fort und komplettiert die Aufzählung der Lea-Söhne.</w:t>
      </w:r>
    </w:p>
    <w:p w14:paraId="30B1E7E9"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1,31</w:t>
      </w:r>
    </w:p>
    <w:p w14:paraId="341A94E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זְבוּלֻ֑ן שִׁבְעָ֧ה וַחֲמִשִּׁ֛ים אֶ֖לֶף וְאַרְבַּ֥ע מֵאֽוֹת׃</w:t>
      </w:r>
    </w:p>
    <w:p w14:paraId="7ACE87A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Sevulun: 57.400.</w:t>
      </w:r>
    </w:p>
    <w:p w14:paraId="60360A0C"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344B700">
          <v:rect id="_x0000_i1055" style="width:0;height:1.5pt" o:hralign="center" o:hrstd="t" o:hr="t" fillcolor="#a0a0a0" stroked="f"/>
        </w:pict>
      </w:r>
    </w:p>
    <w:p w14:paraId="142C513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זְבוּלֻן</w:t>
      </w:r>
      <w:r w:rsidRPr="00EF6A3E">
        <w:rPr>
          <w:rFonts w:eastAsia="Times New Roman" w:cs="Times New Roman"/>
          <w:rtl/>
          <w:lang w:eastAsia="de-DE"/>
        </w:rPr>
        <w:t xml:space="preserve"> </w:t>
      </w:r>
      <w:r w:rsidRPr="00EF6A3E">
        <w:rPr>
          <w:rFonts w:eastAsia="Times New Roman" w:cs="Times New Roman"/>
          <w:lang w:eastAsia="de-DE"/>
        </w:rPr>
        <w:t>folgen dem etablierten Muster.</w:t>
      </w:r>
    </w:p>
    <w:p w14:paraId="03338EA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שִׁבְעָה וַחֲמִשִּׁים אֶלֶף וְאַרְבַּע מֵאוֹת</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שִׁבְעָה</w:t>
      </w:r>
      <w:r w:rsidRPr="00EF6A3E">
        <w:rPr>
          <w:rFonts w:eastAsia="Times New Roman" w:cs="Times New Roman"/>
          <w:rtl/>
          <w:lang w:eastAsia="de-DE"/>
        </w:rPr>
        <w:t xml:space="preserve"> </w:t>
      </w:r>
      <w:r w:rsidRPr="00EF6A3E">
        <w:rPr>
          <w:rFonts w:eastAsia="Times New Roman" w:cs="Times New Roman"/>
          <w:lang w:eastAsia="de-DE"/>
        </w:rPr>
        <w:t xml:space="preserve">(sieben) koordiniert mit </w:t>
      </w:r>
      <w:r w:rsidRPr="00EF6A3E">
        <w:rPr>
          <w:rFonts w:eastAsia="Times New Roman" w:cs="Times New Roman"/>
          <w:b/>
          <w:bCs/>
          <w:rtl/>
          <w:lang w:eastAsia="de-DE"/>
        </w:rPr>
        <w:t>וַחֲמִשִּׁים</w:t>
      </w:r>
      <w:r w:rsidRPr="00EF6A3E">
        <w:rPr>
          <w:rFonts w:eastAsia="Times New Roman" w:cs="Times New Roman"/>
          <w:rtl/>
          <w:lang w:eastAsia="de-DE"/>
        </w:rPr>
        <w:t xml:space="preserve"> </w:t>
      </w:r>
      <w:r w:rsidRPr="00EF6A3E">
        <w:rPr>
          <w:rFonts w:eastAsia="Times New Roman" w:cs="Times New Roman"/>
          <w:lang w:eastAsia="de-DE"/>
        </w:rPr>
        <w:t xml:space="preserve">(und fünfzig)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וְאַרְבַּע</w:t>
      </w:r>
      <w:r w:rsidRPr="00EF6A3E">
        <w:rPr>
          <w:rFonts w:eastAsia="Times New Roman" w:cs="Times New Roman"/>
          <w:rtl/>
          <w:lang w:eastAsia="de-DE"/>
        </w:rPr>
        <w:t xml:space="preserve"> </w:t>
      </w:r>
      <w:r w:rsidRPr="00EF6A3E">
        <w:rPr>
          <w:rFonts w:eastAsia="Times New Roman" w:cs="Times New Roman"/>
          <w:lang w:eastAsia="de-DE"/>
        </w:rPr>
        <w:t xml:space="preserve">(und vier)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57.400.</w:t>
      </w:r>
    </w:p>
    <w:p w14:paraId="6BF586C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Ζαβουλων ἑπτὰ καὶ πεντήκοντα χιλιάδες καὶ τετρακόσιοι und behält die Zahlenstruktur bei.</w:t>
      </w:r>
    </w:p>
    <w:p w14:paraId="454114E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mit zweigliedriger Zahlenkomposition.</w:t>
      </w:r>
    </w:p>
    <w:p w14:paraId="6CCCD0B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Musterungsergebnis für den Stamm Sebulon an und zeigt eine mittelgroße bis größere Stammespopulation.</w:t>
      </w:r>
    </w:p>
    <w:p w14:paraId="086EF52A"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1,32</w:t>
      </w:r>
    </w:p>
    <w:p w14:paraId="23BFFE3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יוֹסֵף֙ לִבְנֵ֣י אֶפְרַ֔יִם תּוֹלְדֹתָ֥ם לְמִשְׁפְּחֹתָ֖ם לְבֵ֣ית אֲבֹתָ֑ם בְּמִסְפַּ֣ר שֵׁמֹ֗ת מִבֶּ֨ן עֶשְׂרִ֤ים שָׁנָה֙ וָמַ֔עְלָה כֹּ֖ל יֹצֵ֥א צָבָֽא׃</w:t>
      </w:r>
    </w:p>
    <w:p w14:paraId="1789238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Josefs, von den Söhnen Ephrajims, ihre Nachkommen nach ihren Familien, nach ihren Vaterhäusern, in der Zählung der Namen, von 20 Jahren an und darüber, jeder, der zum Heer auszog,</w:t>
      </w:r>
    </w:p>
    <w:p w14:paraId="0325DDA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E2D5656">
          <v:rect id="_x0000_i1056" style="width:0;height:1.5pt" o:hralign="center" o:hrstd="t" o:hr="t" fillcolor="#a0a0a0" stroked="f"/>
        </w:pict>
      </w:r>
    </w:p>
    <w:p w14:paraId="5EB5D63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doppelte präpositionale Phrase </w:t>
      </w:r>
      <w:r w:rsidRPr="00EF6A3E">
        <w:rPr>
          <w:rFonts w:eastAsia="Times New Roman" w:cs="Times New Roman"/>
          <w:b/>
          <w:bCs/>
          <w:rtl/>
          <w:lang w:eastAsia="de-DE"/>
        </w:rPr>
        <w:t>לִבְנֵי יוֹסֵף לִבְנֵי אֶפְרַיִם</w:t>
      </w:r>
      <w:r w:rsidRPr="00EF6A3E">
        <w:rPr>
          <w:rFonts w:eastAsia="Times New Roman" w:cs="Times New Roman"/>
          <w:rtl/>
          <w:lang w:eastAsia="de-DE"/>
        </w:rPr>
        <w:t xml:space="preserve"> </w:t>
      </w:r>
      <w:r w:rsidRPr="00EF6A3E">
        <w:rPr>
          <w:rFonts w:eastAsia="Times New Roman" w:cs="Times New Roman"/>
          <w:lang w:eastAsia="de-DE"/>
        </w:rPr>
        <w:t xml:space="preserve">zeigt die besondere genealogische Struktur der Joseph-Stämme. </w:t>
      </w:r>
      <w:r w:rsidRPr="00EF6A3E">
        <w:rPr>
          <w:rFonts w:eastAsia="Times New Roman" w:cs="Times New Roman"/>
          <w:b/>
          <w:bCs/>
          <w:rtl/>
          <w:lang w:eastAsia="de-DE"/>
        </w:rPr>
        <w:t>לִבְנֵי יוֹסֵף</w:t>
      </w:r>
      <w:r w:rsidRPr="00EF6A3E">
        <w:rPr>
          <w:rFonts w:eastAsia="Times New Roman" w:cs="Times New Roman"/>
          <w:rtl/>
          <w:lang w:eastAsia="de-DE"/>
        </w:rPr>
        <w:t xml:space="preserve"> </w:t>
      </w:r>
      <w:r w:rsidRPr="00EF6A3E">
        <w:rPr>
          <w:rFonts w:eastAsia="Times New Roman" w:cs="Times New Roman"/>
          <w:lang w:eastAsia="de-DE"/>
        </w:rPr>
        <w:t xml:space="preserve">(von den Söhnen Josefs) fungiert als übergeordnete Kategorie, während </w:t>
      </w:r>
      <w:r w:rsidRPr="00EF6A3E">
        <w:rPr>
          <w:rFonts w:eastAsia="Times New Roman" w:cs="Times New Roman"/>
          <w:b/>
          <w:bCs/>
          <w:rtl/>
          <w:lang w:eastAsia="de-DE"/>
        </w:rPr>
        <w:t>לִבְנֵי אֶפְרַיִם</w:t>
      </w:r>
      <w:r w:rsidRPr="00EF6A3E">
        <w:rPr>
          <w:rFonts w:eastAsia="Times New Roman" w:cs="Times New Roman"/>
          <w:rtl/>
          <w:lang w:eastAsia="de-DE"/>
        </w:rPr>
        <w:t xml:space="preserve"> </w:t>
      </w:r>
      <w:r w:rsidRPr="00EF6A3E">
        <w:rPr>
          <w:rFonts w:eastAsia="Times New Roman" w:cs="Times New Roman"/>
          <w:lang w:eastAsia="de-DE"/>
        </w:rPr>
        <w:t>(von den Söhnen Ephrajims) die spezifische Stammeszuordnung angibt. Diese Struktur reflektiert die Adoption Ephraims und Manasses durch Jakob als gleichberechtigte Erben.</w:t>
      </w:r>
    </w:p>
    <w:p w14:paraId="00E7E7C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Die Phrase </w:t>
      </w:r>
      <w:r w:rsidRPr="00EF6A3E">
        <w:rPr>
          <w:rFonts w:eastAsia="Times New Roman" w:cs="Times New Roman"/>
          <w:b/>
          <w:bCs/>
          <w:rtl/>
          <w:lang w:eastAsia="de-DE"/>
        </w:rPr>
        <w:t>בְּמִסְפַּר שֵׁמֹת</w:t>
      </w:r>
      <w:r w:rsidRPr="00EF6A3E">
        <w:rPr>
          <w:rFonts w:eastAsia="Times New Roman" w:cs="Times New Roman"/>
          <w:rtl/>
          <w:lang w:eastAsia="de-DE"/>
        </w:rPr>
        <w:t xml:space="preserve"> </w:t>
      </w:r>
      <w:r w:rsidRPr="00EF6A3E">
        <w:rPr>
          <w:rFonts w:eastAsia="Times New Roman" w:cs="Times New Roman"/>
          <w:lang w:eastAsia="de-DE"/>
        </w:rPr>
        <w:t xml:space="preserve">zeigt die kontinuierliche Verwendung der Variante </w:t>
      </w:r>
      <w:r w:rsidRPr="00EF6A3E">
        <w:rPr>
          <w:rFonts w:eastAsia="Times New Roman" w:cs="Times New Roman"/>
          <w:b/>
          <w:bCs/>
          <w:rtl/>
          <w:lang w:eastAsia="de-DE"/>
        </w:rPr>
        <w:t>שֵׁמֹת</w:t>
      </w:r>
      <w:r w:rsidRPr="00EF6A3E">
        <w:rPr>
          <w:rFonts w:eastAsia="Times New Roman" w:cs="Times New Roman"/>
          <w:lang w:eastAsia="de-DE"/>
        </w:rPr>
        <w:t>.</w:t>
      </w:r>
    </w:p>
    <w:p w14:paraId="5BB4A2E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und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entsprechen den etablierten Kriterien.</w:t>
      </w:r>
    </w:p>
    <w:p w14:paraId="3BDB36D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Ιωσηφ υἱῶν Εφραιμ κατὰ συγγενείας αὐτῶν und behält die doppelte genealogische Zuordnung bei.</w:t>
      </w:r>
    </w:p>
    <w:p w14:paraId="63D2B14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 erweiterte präpositionale Einleitung mit doppelter Stammeszuordnung, gefolgt von den standardisierten Zählkriterien.</w:t>
      </w:r>
    </w:p>
    <w:p w14:paraId="24E7402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beginnt die Behandlung der Joseph-Stämme mit Ephraim und betont durch die doppelte genealogische Zuordnung die besondere Stellung dieser Nachkommen Josefs.</w:t>
      </w:r>
    </w:p>
    <w:p w14:paraId="56956984"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1,33</w:t>
      </w:r>
    </w:p>
    <w:p w14:paraId="3CFDDA2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אֶפְרָ֑יִם אַרְבָּעִ֥ים אֶ֖לֶף וַחֲמֵ֥שׁ מֵאֽוֹת׃</w:t>
      </w:r>
    </w:p>
    <w:p w14:paraId="71A5CA0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Ephrajim: 40.500.</w:t>
      </w:r>
    </w:p>
    <w:p w14:paraId="0045390E"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C560B32">
          <v:rect id="_x0000_i1057" style="width:0;height:1.5pt" o:hralign="center" o:hrstd="t" o:hr="t" fillcolor="#a0a0a0" stroked="f"/>
        </w:pict>
      </w:r>
    </w:p>
    <w:p w14:paraId="7AAA89F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אֶפְרָיִם</w:t>
      </w:r>
      <w:r w:rsidRPr="00EF6A3E">
        <w:rPr>
          <w:rFonts w:eastAsia="Times New Roman" w:cs="Times New Roman"/>
          <w:rtl/>
          <w:lang w:eastAsia="de-DE"/>
        </w:rPr>
        <w:t xml:space="preserve"> </w:t>
      </w:r>
      <w:r w:rsidRPr="00EF6A3E">
        <w:rPr>
          <w:rFonts w:eastAsia="Times New Roman" w:cs="Times New Roman"/>
          <w:lang w:eastAsia="de-DE"/>
        </w:rPr>
        <w:t>folgen dem etablierten Muster.</w:t>
      </w:r>
    </w:p>
    <w:p w14:paraId="7B7B347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אַרְבָּעִים אֶלֶף וַחֲמֵשׁ מֵאוֹת</w:t>
      </w:r>
      <w:r w:rsidRPr="00EF6A3E">
        <w:rPr>
          <w:rFonts w:eastAsia="Times New Roman" w:cs="Times New Roman"/>
          <w:rtl/>
          <w:lang w:eastAsia="de-DE"/>
        </w:rPr>
        <w:t xml:space="preserve"> </w:t>
      </w:r>
      <w:r w:rsidRPr="00EF6A3E">
        <w:rPr>
          <w:rFonts w:eastAsia="Times New Roman" w:cs="Times New Roman"/>
          <w:lang w:eastAsia="de-DE"/>
        </w:rPr>
        <w:t xml:space="preserve">zeigt eine vereinfachte Struktur: </w:t>
      </w:r>
      <w:r w:rsidRPr="00EF6A3E">
        <w:rPr>
          <w:rFonts w:eastAsia="Times New Roman" w:cs="Times New Roman"/>
          <w:b/>
          <w:bCs/>
          <w:rtl/>
          <w:lang w:eastAsia="de-DE"/>
        </w:rPr>
        <w:t>אַרְבָּעִים</w:t>
      </w:r>
      <w:r w:rsidRPr="00EF6A3E">
        <w:rPr>
          <w:rFonts w:eastAsia="Times New Roman" w:cs="Times New Roman"/>
          <w:rtl/>
          <w:lang w:eastAsia="de-DE"/>
        </w:rPr>
        <w:t xml:space="preserve"> </w:t>
      </w:r>
      <w:r w:rsidRPr="00EF6A3E">
        <w:rPr>
          <w:rFonts w:eastAsia="Times New Roman" w:cs="Times New Roman"/>
          <w:lang w:eastAsia="de-DE"/>
        </w:rPr>
        <w:t xml:space="preserve">(vierzig)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וַחֲמֵשׁ</w:t>
      </w:r>
      <w:r w:rsidRPr="00EF6A3E">
        <w:rPr>
          <w:rFonts w:eastAsia="Times New Roman" w:cs="Times New Roman"/>
          <w:rtl/>
          <w:lang w:eastAsia="de-DE"/>
        </w:rPr>
        <w:t xml:space="preserve"> </w:t>
      </w:r>
      <w:r w:rsidRPr="00EF6A3E">
        <w:rPr>
          <w:rFonts w:eastAsia="Times New Roman" w:cs="Times New Roman"/>
          <w:lang w:eastAsia="de-DE"/>
        </w:rPr>
        <w:t xml:space="preserve">(und fünf)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40.500, was eine der kleineren Stammeszahlen darstellt.</w:t>
      </w:r>
    </w:p>
    <w:p w14:paraId="4099F91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Εφραιμ τεσσαράκοντα χιλιάδες καὶ πεντακόσιοι und behält die einfache Zahlenstruktur bei.</w:t>
      </w:r>
    </w:p>
    <w:p w14:paraId="6DF5415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mit zweigliedriger Zahlenkomposition.</w:t>
      </w:r>
    </w:p>
    <w:p w14:paraId="74D9897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Musterungsergebnis für den Stamm Ephraim an und zeigt eine relativ kleinere Population unter den Joseph-Nachkommen, was angesichts der späteren Prominenz Ephraims bemerkenswert ist.</w:t>
      </w:r>
    </w:p>
    <w:p w14:paraId="03C27F4A"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1,34</w:t>
      </w:r>
    </w:p>
    <w:p w14:paraId="5799E13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מְנַשֶּׁ֔ה תּוֹלְדֹתָ֥ם לְמִשְׁפְּחֹתָ֖ם לְבֵ֣ית אֲבֹתָ֑ם בְּמִסְפַּ֣ר שֵׁמ֗וֹת מִבֶּ֨ן עֶשְׂרִ֤ים שָׁנָה֙ וָמַ֔עְלָה כֹּ֖ל יֹצֵ֥א צָבָֽא׃</w:t>
      </w:r>
    </w:p>
    <w:p w14:paraId="4562090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Menasches, ihre Nachkommen nach ihren Familien, nach ihren Vaterhäusern, in der Zählung der Namen, von 20 Jahren an und darüber, jeder, der zum Heer auszog,</w:t>
      </w:r>
    </w:p>
    <w:p w14:paraId="5D01D3D2"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lastRenderedPageBreak/>
        <w:pict w14:anchorId="6043E732">
          <v:rect id="_x0000_i1058" style="width:0;height:1.5pt" o:hralign="center" o:hrstd="t" o:hr="t" fillcolor="#a0a0a0" stroked="f"/>
        </w:pict>
      </w:r>
    </w:p>
    <w:p w14:paraId="2A27FD8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מְנַשֶּׁה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zu </w:t>
      </w:r>
      <w:r w:rsidRPr="00EF6A3E">
        <w:rPr>
          <w:rFonts w:eastAsia="Times New Roman" w:cs="Times New Roman"/>
          <w:b/>
          <w:bCs/>
          <w:rtl/>
          <w:lang w:eastAsia="de-DE"/>
        </w:rPr>
        <w:t>מְנַשֶּׁה</w:t>
      </w:r>
      <w:r w:rsidRPr="00EF6A3E">
        <w:rPr>
          <w:rFonts w:eastAsia="Times New Roman" w:cs="Times New Roman"/>
          <w:rtl/>
          <w:lang w:eastAsia="de-DE"/>
        </w:rPr>
        <w:t xml:space="preserve"> </w:t>
      </w:r>
      <w:r w:rsidRPr="00EF6A3E">
        <w:rPr>
          <w:rFonts w:eastAsia="Times New Roman" w:cs="Times New Roman"/>
          <w:lang w:eastAsia="de-DE"/>
        </w:rPr>
        <w:t xml:space="preserve">(Manasse), dem älteren Sohn Josefs. Im Gegensatz zu Vers 32 fehlt hier die übergeordnete Kategorisierung </w:t>
      </w:r>
      <w:r w:rsidRPr="00EF6A3E">
        <w:rPr>
          <w:rFonts w:eastAsia="Times New Roman" w:cs="Times New Roman"/>
          <w:b/>
          <w:bCs/>
          <w:rtl/>
          <w:lang w:eastAsia="de-DE"/>
        </w:rPr>
        <w:t>לִבְנֵי יוֹסֵף</w:t>
      </w:r>
      <w:r w:rsidRPr="00EF6A3E">
        <w:rPr>
          <w:rFonts w:eastAsia="Times New Roman" w:cs="Times New Roman"/>
          <w:lang w:eastAsia="de-DE"/>
        </w:rPr>
        <w:t>, was eine stilistische Variation innerhalb der Joseph-Stämme zeigt.</w:t>
      </w:r>
    </w:p>
    <w:p w14:paraId="5B36D10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Die Phrase </w:t>
      </w:r>
      <w:r w:rsidRPr="00EF6A3E">
        <w:rPr>
          <w:rFonts w:eastAsia="Times New Roman" w:cs="Times New Roman"/>
          <w:b/>
          <w:bCs/>
          <w:rtl/>
          <w:lang w:eastAsia="de-DE"/>
        </w:rPr>
        <w:t>בְּמִסְפַּר שֵׁמוֹת</w:t>
      </w:r>
      <w:r w:rsidRPr="00EF6A3E">
        <w:rPr>
          <w:rFonts w:eastAsia="Times New Roman" w:cs="Times New Roman"/>
          <w:rtl/>
          <w:lang w:eastAsia="de-DE"/>
        </w:rPr>
        <w:t xml:space="preserve"> </w:t>
      </w:r>
      <w:r w:rsidRPr="00EF6A3E">
        <w:rPr>
          <w:rFonts w:eastAsia="Times New Roman" w:cs="Times New Roman"/>
          <w:lang w:eastAsia="de-DE"/>
        </w:rPr>
        <w:t xml:space="preserve">zeigt eine Rückkehr zur ursprünglichen Schreibweise </w:t>
      </w:r>
      <w:r w:rsidRPr="00EF6A3E">
        <w:rPr>
          <w:rFonts w:eastAsia="Times New Roman" w:cs="Times New Roman"/>
          <w:b/>
          <w:bCs/>
          <w:rtl/>
          <w:lang w:eastAsia="de-DE"/>
        </w:rPr>
        <w:t>שֵׁמוֹת</w:t>
      </w:r>
      <w:r w:rsidRPr="00EF6A3E">
        <w:rPr>
          <w:rFonts w:eastAsia="Times New Roman" w:cs="Times New Roman"/>
          <w:rtl/>
          <w:lang w:eastAsia="de-DE"/>
        </w:rPr>
        <w:t xml:space="preserve"> </w:t>
      </w:r>
      <w:r w:rsidRPr="00EF6A3E">
        <w:rPr>
          <w:rFonts w:eastAsia="Times New Roman" w:cs="Times New Roman"/>
          <w:lang w:eastAsia="de-DE"/>
        </w:rPr>
        <w:t xml:space="preserve">statt der Variante </w:t>
      </w:r>
      <w:r w:rsidRPr="00EF6A3E">
        <w:rPr>
          <w:rFonts w:eastAsia="Times New Roman" w:cs="Times New Roman"/>
          <w:b/>
          <w:bCs/>
          <w:rtl/>
          <w:lang w:eastAsia="de-DE"/>
        </w:rPr>
        <w:t>שֵׁמֹת</w:t>
      </w:r>
      <w:r w:rsidRPr="00EF6A3E">
        <w:rPr>
          <w:rFonts w:eastAsia="Times New Roman" w:cs="Times New Roman"/>
          <w:lang w:eastAsia="de-DE"/>
        </w:rPr>
        <w:t>.</w:t>
      </w:r>
    </w:p>
    <w:p w14:paraId="60FDEC5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und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entsprechen den etablierten Kriterien.</w:t>
      </w:r>
    </w:p>
    <w:p w14:paraId="08605D3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Μανασση κατὰ συγγενείας αὐτῶν κατὰ δήμους αὐτῶν κατὰ οἴκους πατριῶν αὐτῶν und folgt der konsistenten Wiedergabe ohne die übergeordnete Joseph-Kategorie.</w:t>
      </w:r>
    </w:p>
    <w:p w14:paraId="73E49C6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entspricht dem standardisierten Muster mit einfacher präpositionaler Einleitung und koordinierten Erweiterungen.</w:t>
      </w:r>
    </w:p>
    <w:p w14:paraId="2451400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behandelt den zweiten Joseph-Stamm Manasse und zeigt eine vereinfachte Struktur gegenüber der doppelten genealogischen Zuordnung bei Ephraim.</w:t>
      </w:r>
    </w:p>
    <w:p w14:paraId="5C1275A8"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1,35</w:t>
      </w:r>
    </w:p>
    <w:p w14:paraId="4B38867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מְנַשֶּׁ֑ה שְׁנַ֧יִם וּשְׁלֹשִׁ֛ים אֶ֖לֶף וּמָאתָֽיִם׃</w:t>
      </w:r>
    </w:p>
    <w:p w14:paraId="528AAA2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Menasche: 32.200.</w:t>
      </w:r>
    </w:p>
    <w:p w14:paraId="2CAE020B"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2809653F">
          <v:rect id="_x0000_i1059" style="width:0;height:1.5pt" o:hralign="center" o:hrstd="t" o:hr="t" fillcolor="#a0a0a0" stroked="f"/>
        </w:pict>
      </w:r>
    </w:p>
    <w:p w14:paraId="2A91271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מְנַשֶּׁה</w:t>
      </w:r>
      <w:r w:rsidRPr="00EF6A3E">
        <w:rPr>
          <w:rFonts w:eastAsia="Times New Roman" w:cs="Times New Roman"/>
          <w:rtl/>
          <w:lang w:eastAsia="de-DE"/>
        </w:rPr>
        <w:t xml:space="preserve"> </w:t>
      </w:r>
      <w:r w:rsidRPr="00EF6A3E">
        <w:rPr>
          <w:rFonts w:eastAsia="Times New Roman" w:cs="Times New Roman"/>
          <w:lang w:eastAsia="de-DE"/>
        </w:rPr>
        <w:t>folgen dem etablierten Muster.</w:t>
      </w:r>
    </w:p>
    <w:p w14:paraId="1D95F8B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שְׁנַיִם וּשְׁלֹשִׁים אֶלֶף וּמָאתָיִם</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שְׁנַיִם</w:t>
      </w:r>
      <w:r w:rsidRPr="00EF6A3E">
        <w:rPr>
          <w:rFonts w:eastAsia="Times New Roman" w:cs="Times New Roman"/>
          <w:rtl/>
          <w:lang w:eastAsia="de-DE"/>
        </w:rPr>
        <w:t xml:space="preserve"> </w:t>
      </w:r>
      <w:r w:rsidRPr="00EF6A3E">
        <w:rPr>
          <w:rFonts w:eastAsia="Times New Roman" w:cs="Times New Roman"/>
          <w:lang w:eastAsia="de-DE"/>
        </w:rPr>
        <w:t xml:space="preserve">(zwei) koordiniert mit </w:t>
      </w:r>
      <w:r w:rsidRPr="00EF6A3E">
        <w:rPr>
          <w:rFonts w:eastAsia="Times New Roman" w:cs="Times New Roman"/>
          <w:b/>
          <w:bCs/>
          <w:rtl/>
          <w:lang w:eastAsia="de-DE"/>
        </w:rPr>
        <w:t>וּשְׁלֹשִׁים</w:t>
      </w:r>
      <w:r w:rsidRPr="00EF6A3E">
        <w:rPr>
          <w:rFonts w:eastAsia="Times New Roman" w:cs="Times New Roman"/>
          <w:rtl/>
          <w:lang w:eastAsia="de-DE"/>
        </w:rPr>
        <w:t xml:space="preserve"> </w:t>
      </w:r>
      <w:r w:rsidRPr="00EF6A3E">
        <w:rPr>
          <w:rFonts w:eastAsia="Times New Roman" w:cs="Times New Roman"/>
          <w:lang w:eastAsia="de-DE"/>
        </w:rPr>
        <w:t xml:space="preserve">(und dreißig)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וּמָאתָיִם</w:t>
      </w:r>
      <w:r w:rsidRPr="00EF6A3E">
        <w:rPr>
          <w:rFonts w:eastAsia="Times New Roman" w:cs="Times New Roman"/>
          <w:rtl/>
          <w:lang w:eastAsia="de-DE"/>
        </w:rPr>
        <w:t xml:space="preserve"> </w:t>
      </w:r>
      <w:r w:rsidRPr="00EF6A3E">
        <w:rPr>
          <w:rFonts w:eastAsia="Times New Roman" w:cs="Times New Roman"/>
          <w:lang w:eastAsia="de-DE"/>
        </w:rPr>
        <w:t>(und zweihundert). Die Gesamtzahl beträgt 32.200, was die kleinste Zahl aller bisher genannten Stämme darstellt.</w:t>
      </w:r>
    </w:p>
    <w:p w14:paraId="1D748B3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Μανασση δύο καὶ τριάκοντα χιλιάδες καὶ διακόσιοι und behält die Zahlenstruktur bei.</w:t>
      </w:r>
    </w:p>
    <w:p w14:paraId="1B0E3A1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mit zweigliedriger Zahlenkomposition.</w:t>
      </w:r>
    </w:p>
    <w:p w14:paraId="0BD74E2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Musterungsergebnis für den Stamm Manasse an und zeigt trotz Manasses Status als älterer Sohn Josefs eine deutlich kleinere Population als Ephraim.</w:t>
      </w:r>
    </w:p>
    <w:p w14:paraId="5DDE5183"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lastRenderedPageBreak/>
        <w:t>Numeri 1,36</w:t>
      </w:r>
    </w:p>
    <w:p w14:paraId="34E9E78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בִנְיָמִ֔ן תּוֹלְדֹתָ֥ם לְמִשְׁפְּחֹתָ֖ם לְבֵ֣ית אֲבֹתָ֑ם בְּמִסְפַּ֣ר שֵׁמֹ֗ת מִבֶּ֨ן עֶשְׂרִ֤ים שָׁנָה֙ וָמַ֔עְלָה כֹּ֖ל יֹצֵ֥א צָבָֽא׃</w:t>
      </w:r>
    </w:p>
    <w:p w14:paraId="0C64173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Binjamins, ihre Nachkommen nach ihren Familien, nach ihren Vaterhäusern, in der Zählung der Namen, von 20 Jahren an und darüber, jeder, der zum Heer auszog,</w:t>
      </w:r>
    </w:p>
    <w:p w14:paraId="76DA4A8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B7DF3F0">
          <v:rect id="_x0000_i1060" style="width:0;height:1.5pt" o:hralign="center" o:hrstd="t" o:hr="t" fillcolor="#a0a0a0" stroked="f"/>
        </w:pict>
      </w:r>
    </w:p>
    <w:p w14:paraId="2F6AF35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בִנְיָמִן</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zu </w:t>
      </w:r>
      <w:r w:rsidRPr="00EF6A3E">
        <w:rPr>
          <w:rFonts w:eastAsia="Times New Roman" w:cs="Times New Roman"/>
          <w:b/>
          <w:bCs/>
          <w:rtl/>
          <w:lang w:eastAsia="de-DE"/>
        </w:rPr>
        <w:t>בִּנְיָמִן</w:t>
      </w:r>
      <w:r w:rsidRPr="00EF6A3E">
        <w:rPr>
          <w:rFonts w:eastAsia="Times New Roman" w:cs="Times New Roman"/>
          <w:rtl/>
          <w:lang w:eastAsia="de-DE"/>
        </w:rPr>
        <w:t xml:space="preserve"> </w:t>
      </w:r>
      <w:r w:rsidRPr="00EF6A3E">
        <w:rPr>
          <w:rFonts w:eastAsia="Times New Roman" w:cs="Times New Roman"/>
          <w:lang w:eastAsia="de-DE"/>
        </w:rPr>
        <w:t xml:space="preserve">(Benjamin), dem jüngsten Sohn Jakobs und zweiten Sohn Rahels. Der Name </w:t>
      </w:r>
      <w:r w:rsidRPr="00EF6A3E">
        <w:rPr>
          <w:rFonts w:eastAsia="Times New Roman" w:cs="Times New Roman"/>
          <w:b/>
          <w:bCs/>
          <w:rtl/>
          <w:lang w:eastAsia="de-DE"/>
        </w:rPr>
        <w:t>בִּנְיָמִן</w:t>
      </w:r>
      <w:r w:rsidRPr="00EF6A3E">
        <w:rPr>
          <w:rFonts w:eastAsia="Times New Roman" w:cs="Times New Roman"/>
          <w:rtl/>
          <w:lang w:eastAsia="de-DE"/>
        </w:rPr>
        <w:t xml:space="preserve"> </w:t>
      </w:r>
      <w:r w:rsidRPr="00EF6A3E">
        <w:rPr>
          <w:rFonts w:eastAsia="Times New Roman" w:cs="Times New Roman"/>
          <w:lang w:eastAsia="de-DE"/>
        </w:rPr>
        <w:t>bedeutet "Sohn der Rechten" oder "Sohn des Südens".</w:t>
      </w:r>
    </w:p>
    <w:p w14:paraId="35053A1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Die Phrase </w:t>
      </w:r>
      <w:r w:rsidRPr="00EF6A3E">
        <w:rPr>
          <w:rFonts w:eastAsia="Times New Roman" w:cs="Times New Roman"/>
          <w:b/>
          <w:bCs/>
          <w:rtl/>
          <w:lang w:eastAsia="de-DE"/>
        </w:rPr>
        <w:t>בְּמִסְפַּר שֵׁמֹת</w:t>
      </w:r>
      <w:r w:rsidRPr="00EF6A3E">
        <w:rPr>
          <w:rFonts w:eastAsia="Times New Roman" w:cs="Times New Roman"/>
          <w:rtl/>
          <w:lang w:eastAsia="de-DE"/>
        </w:rPr>
        <w:t xml:space="preserve"> </w:t>
      </w:r>
      <w:r w:rsidRPr="00EF6A3E">
        <w:rPr>
          <w:rFonts w:eastAsia="Times New Roman" w:cs="Times New Roman"/>
          <w:lang w:eastAsia="de-DE"/>
        </w:rPr>
        <w:t xml:space="preserve">zeigt erneut die Schreibvariante </w:t>
      </w:r>
      <w:r w:rsidRPr="00EF6A3E">
        <w:rPr>
          <w:rFonts w:eastAsia="Times New Roman" w:cs="Times New Roman"/>
          <w:b/>
          <w:bCs/>
          <w:rtl/>
          <w:lang w:eastAsia="de-DE"/>
        </w:rPr>
        <w:t>שֵׁמֹת</w:t>
      </w:r>
      <w:r w:rsidRPr="00EF6A3E">
        <w:rPr>
          <w:rFonts w:eastAsia="Times New Roman" w:cs="Times New Roman"/>
          <w:lang w:eastAsia="de-DE"/>
        </w:rPr>
        <w:t>.</w:t>
      </w:r>
    </w:p>
    <w:p w14:paraId="2491C7F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und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entsprechen den etablierten Kriterien.</w:t>
      </w:r>
    </w:p>
    <w:p w14:paraId="07B1192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Βενιαμιν κατὰ συγγενείας αὐτῶν κατὰ δήμους αὐτῶν κατὰ οἴκους πατριῶν αὐτῶν und folgt der konsistenten Wiedergabe.</w:t>
      </w:r>
    </w:p>
    <w:p w14:paraId="301E155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entspricht dem etablierten Muster mit präpositionaler Einleitung und koordinierten Erweiterungen.</w:t>
      </w:r>
    </w:p>
    <w:p w14:paraId="0D25FC0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behandelt den jüngsten der Jakobssöhne und kehrt zu den direkten Nachkommen der Hauptfrauen zurück nach der Behandlung der Joseph-Stämme.</w:t>
      </w:r>
    </w:p>
    <w:p w14:paraId="05428CB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1,37</w:t>
      </w:r>
    </w:p>
    <w:p w14:paraId="651BDDE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בִנְיָמִ֑ן חֲמִשָּׁ֧ה וּשְׁלֹשִׁ֛ים אֶ֖לֶף וְאַרְבַּ֥ע מֵאֽוֹת׃</w:t>
      </w:r>
    </w:p>
    <w:p w14:paraId="791BE57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Binjamin: 35.400.</w:t>
      </w:r>
    </w:p>
    <w:p w14:paraId="3E3DFEB0"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7A03EDB0">
          <v:rect id="_x0000_i1061" style="width:0;height:1.5pt" o:hralign="center" o:hrstd="t" o:hr="t" fillcolor="#a0a0a0" stroked="f"/>
        </w:pict>
      </w:r>
    </w:p>
    <w:p w14:paraId="6B60694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בִנְיָמִן</w:t>
      </w:r>
      <w:r w:rsidRPr="00EF6A3E">
        <w:rPr>
          <w:rFonts w:eastAsia="Times New Roman" w:cs="Times New Roman"/>
          <w:rtl/>
          <w:lang w:eastAsia="de-DE"/>
        </w:rPr>
        <w:t xml:space="preserve"> </w:t>
      </w:r>
      <w:r w:rsidRPr="00EF6A3E">
        <w:rPr>
          <w:rFonts w:eastAsia="Times New Roman" w:cs="Times New Roman"/>
          <w:lang w:eastAsia="de-DE"/>
        </w:rPr>
        <w:t>folgen dem etablierten Muster.</w:t>
      </w:r>
    </w:p>
    <w:p w14:paraId="6CB46DC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חֲמִשָּׁה וּשְׁלֹשִׁים אֶלֶף וְאַרְבַּע מֵאוֹת</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חֲמִשָּׁה</w:t>
      </w:r>
      <w:r w:rsidRPr="00EF6A3E">
        <w:rPr>
          <w:rFonts w:eastAsia="Times New Roman" w:cs="Times New Roman"/>
          <w:rtl/>
          <w:lang w:eastAsia="de-DE"/>
        </w:rPr>
        <w:t xml:space="preserve"> </w:t>
      </w:r>
      <w:r w:rsidRPr="00EF6A3E">
        <w:rPr>
          <w:rFonts w:eastAsia="Times New Roman" w:cs="Times New Roman"/>
          <w:lang w:eastAsia="de-DE"/>
        </w:rPr>
        <w:t xml:space="preserve">(fünf) koordiniert mit </w:t>
      </w:r>
      <w:r w:rsidRPr="00EF6A3E">
        <w:rPr>
          <w:rFonts w:eastAsia="Times New Roman" w:cs="Times New Roman"/>
          <w:b/>
          <w:bCs/>
          <w:rtl/>
          <w:lang w:eastAsia="de-DE"/>
        </w:rPr>
        <w:t>וּשְׁלֹשִׁים</w:t>
      </w:r>
      <w:r w:rsidRPr="00EF6A3E">
        <w:rPr>
          <w:rFonts w:eastAsia="Times New Roman" w:cs="Times New Roman"/>
          <w:rtl/>
          <w:lang w:eastAsia="de-DE"/>
        </w:rPr>
        <w:t xml:space="preserve"> </w:t>
      </w:r>
      <w:r w:rsidRPr="00EF6A3E">
        <w:rPr>
          <w:rFonts w:eastAsia="Times New Roman" w:cs="Times New Roman"/>
          <w:lang w:eastAsia="de-DE"/>
        </w:rPr>
        <w:t xml:space="preserve">(und dreißig)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וְאַרְבַּע</w:t>
      </w:r>
      <w:r w:rsidRPr="00EF6A3E">
        <w:rPr>
          <w:rFonts w:eastAsia="Times New Roman" w:cs="Times New Roman"/>
          <w:rtl/>
          <w:lang w:eastAsia="de-DE"/>
        </w:rPr>
        <w:t xml:space="preserve"> </w:t>
      </w:r>
      <w:r w:rsidRPr="00EF6A3E">
        <w:rPr>
          <w:rFonts w:eastAsia="Times New Roman" w:cs="Times New Roman"/>
          <w:lang w:eastAsia="de-DE"/>
        </w:rPr>
        <w:t xml:space="preserve">(und vier)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35.400.</w:t>
      </w:r>
    </w:p>
    <w:p w14:paraId="60E3B41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Βενιαμιν πέντε καὶ τριάκοντα χιλιάδες καὶ τετρακόσιοι und behält die Zahlenstruktur bei.</w:t>
      </w:r>
    </w:p>
    <w:p w14:paraId="1A7FF57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 Satzstruktur folgt dem elliptischen Nominalsatz-Muster mit zweigliedriger Zahlenkomposition.</w:t>
      </w:r>
    </w:p>
    <w:p w14:paraId="39F9021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Musterungsergebnis für den Stamm Benjamin an und zeigt eine mittelgroße Population, die zwischen den kleineren und größeren Stämmen liegt.</w:t>
      </w:r>
    </w:p>
    <w:p w14:paraId="1C41D37E"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1,38</w:t>
      </w:r>
    </w:p>
    <w:p w14:paraId="245B47D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דָ֔ן תּוֹלְדֹתָ֥ם לְמִשְׁפְּחֹתָ֖ם לְבֵ֣ית אֲבֹתָ֑ם בְּמִסְפַּ֣ר שֵׁמֹ֗ת מִבֶּ֨ן עֶשְׂרִ֤ים שָׁנָה֙ וָמַ֔עְלָה כֹּ֖ל יֹצֵ֥א צָבָֽא׃</w:t>
      </w:r>
    </w:p>
    <w:p w14:paraId="5CE0C0E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Dans, ihre Nachkommen nach ihren Familien, nach ihren Vaterhäusern, in der Zählung der Namen, von 20 Jahren an und darüber, jeder, der zum Heer auszog,</w:t>
      </w:r>
    </w:p>
    <w:p w14:paraId="3554382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23A381CC">
          <v:rect id="_x0000_i1062" style="width:0;height:1.5pt" o:hralign="center" o:hrstd="t" o:hr="t" fillcolor="#a0a0a0" stroked="f"/>
        </w:pict>
      </w:r>
    </w:p>
    <w:p w14:paraId="7AFBF84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דָן</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zu </w:t>
      </w:r>
      <w:r w:rsidRPr="00EF6A3E">
        <w:rPr>
          <w:rFonts w:eastAsia="Times New Roman" w:cs="Times New Roman"/>
          <w:b/>
          <w:bCs/>
          <w:rtl/>
          <w:lang w:eastAsia="de-DE"/>
        </w:rPr>
        <w:t>דָּן</w:t>
      </w:r>
      <w:r w:rsidRPr="00EF6A3E">
        <w:rPr>
          <w:rFonts w:eastAsia="Times New Roman" w:cs="Times New Roman"/>
          <w:rtl/>
          <w:lang w:eastAsia="de-DE"/>
        </w:rPr>
        <w:t xml:space="preserve"> </w:t>
      </w:r>
      <w:r w:rsidRPr="00EF6A3E">
        <w:rPr>
          <w:rFonts w:eastAsia="Times New Roman" w:cs="Times New Roman"/>
          <w:lang w:eastAsia="de-DE"/>
        </w:rPr>
        <w:t xml:space="preserve">(Dan), dem fünften Sohn Jakobs und ersten Sohn Bilhas, der Magd Rahels. Der Name </w:t>
      </w:r>
      <w:r w:rsidRPr="00EF6A3E">
        <w:rPr>
          <w:rFonts w:eastAsia="Times New Roman" w:cs="Times New Roman"/>
          <w:b/>
          <w:bCs/>
          <w:rtl/>
          <w:lang w:eastAsia="de-DE"/>
        </w:rPr>
        <w:t>דָּן</w:t>
      </w:r>
      <w:r w:rsidRPr="00EF6A3E">
        <w:rPr>
          <w:rFonts w:eastAsia="Times New Roman" w:cs="Times New Roman"/>
          <w:rtl/>
          <w:lang w:eastAsia="de-DE"/>
        </w:rPr>
        <w:t xml:space="preserve"> </w:t>
      </w:r>
      <w:r w:rsidRPr="00EF6A3E">
        <w:rPr>
          <w:rFonts w:eastAsia="Times New Roman" w:cs="Times New Roman"/>
          <w:lang w:eastAsia="de-DE"/>
        </w:rPr>
        <w:t xml:space="preserve">bedeutet "Richter" und leitet sich von der Wurzel </w:t>
      </w:r>
      <w:r w:rsidRPr="00EF6A3E">
        <w:rPr>
          <w:rFonts w:eastAsia="Times New Roman" w:cs="Times New Roman"/>
          <w:b/>
          <w:bCs/>
          <w:rtl/>
          <w:lang w:eastAsia="de-DE"/>
        </w:rPr>
        <w:t>דין</w:t>
      </w:r>
      <w:r w:rsidRPr="00EF6A3E">
        <w:rPr>
          <w:rFonts w:eastAsia="Times New Roman" w:cs="Times New Roman"/>
          <w:rtl/>
          <w:lang w:eastAsia="de-DE"/>
        </w:rPr>
        <w:t xml:space="preserve"> </w:t>
      </w:r>
      <w:r w:rsidRPr="00EF6A3E">
        <w:rPr>
          <w:rFonts w:eastAsia="Times New Roman" w:cs="Times New Roman"/>
          <w:lang w:eastAsia="de-DE"/>
        </w:rPr>
        <w:t>(richten) ab.</w:t>
      </w:r>
    </w:p>
    <w:p w14:paraId="2F70A52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Die Phrase </w:t>
      </w:r>
      <w:r w:rsidRPr="00EF6A3E">
        <w:rPr>
          <w:rFonts w:eastAsia="Times New Roman" w:cs="Times New Roman"/>
          <w:b/>
          <w:bCs/>
          <w:rtl/>
          <w:lang w:eastAsia="de-DE"/>
        </w:rPr>
        <w:t>בְּמִסְפַּר שֵׁמֹת</w:t>
      </w:r>
      <w:r w:rsidRPr="00EF6A3E">
        <w:rPr>
          <w:rFonts w:eastAsia="Times New Roman" w:cs="Times New Roman"/>
          <w:rtl/>
          <w:lang w:eastAsia="de-DE"/>
        </w:rPr>
        <w:t xml:space="preserve"> </w:t>
      </w:r>
      <w:r w:rsidRPr="00EF6A3E">
        <w:rPr>
          <w:rFonts w:eastAsia="Times New Roman" w:cs="Times New Roman"/>
          <w:lang w:eastAsia="de-DE"/>
        </w:rPr>
        <w:t xml:space="preserve">zeigt die kontinuierliche Verwendung der Schreibvariante </w:t>
      </w:r>
      <w:r w:rsidRPr="00EF6A3E">
        <w:rPr>
          <w:rFonts w:eastAsia="Times New Roman" w:cs="Times New Roman"/>
          <w:b/>
          <w:bCs/>
          <w:rtl/>
          <w:lang w:eastAsia="de-DE"/>
        </w:rPr>
        <w:t>שֵׁמֹת</w:t>
      </w:r>
      <w:r w:rsidRPr="00EF6A3E">
        <w:rPr>
          <w:rFonts w:eastAsia="Times New Roman" w:cs="Times New Roman"/>
          <w:lang w:eastAsia="de-DE"/>
        </w:rPr>
        <w:t>.</w:t>
      </w:r>
    </w:p>
    <w:p w14:paraId="0F7C3EE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und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entsprechen den etablierten Kriterien.</w:t>
      </w:r>
    </w:p>
    <w:p w14:paraId="2C86022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Δαν κατὰ συγγενείας αὐτῶν κατὰ δήμους αὐτῶν κατὰ οἴκους πατριῶν αὐτῶν und folgt der konsistenten Wiedergabe.</w:t>
      </w:r>
    </w:p>
    <w:p w14:paraId="2C0E658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entspricht dem etablierten Muster mit präpositionaler Einleitung und koordinierten Erweiterungen.</w:t>
      </w:r>
    </w:p>
    <w:p w14:paraId="3F596BB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behandelt den ersten der Bilha-Söhne und setzt die systematische Durchmusterung aller zwölf Stämme fort.</w:t>
      </w:r>
    </w:p>
    <w:p w14:paraId="64873C5A"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1,39</w:t>
      </w:r>
    </w:p>
    <w:p w14:paraId="33232AD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דָ֑ן שְׁנַ֧יִם וְשִׁשִּׁ֛ים אֶ֖לֶף וּשְׁבַ֥ע מֵאֽוֹת׃</w:t>
      </w:r>
    </w:p>
    <w:p w14:paraId="672FC51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Dan: 62.700.</w:t>
      </w:r>
    </w:p>
    <w:p w14:paraId="2EA8B94E"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2B72236">
          <v:rect id="_x0000_i1063" style="width:0;height:1.5pt" o:hralign="center" o:hrstd="t" o:hr="t" fillcolor="#a0a0a0" stroked="f"/>
        </w:pict>
      </w:r>
    </w:p>
    <w:p w14:paraId="19D9B6C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דָן</w:t>
      </w:r>
      <w:r w:rsidRPr="00EF6A3E">
        <w:rPr>
          <w:rFonts w:eastAsia="Times New Roman" w:cs="Times New Roman"/>
          <w:rtl/>
          <w:lang w:eastAsia="de-DE"/>
        </w:rPr>
        <w:t xml:space="preserve"> </w:t>
      </w:r>
      <w:r w:rsidRPr="00EF6A3E">
        <w:rPr>
          <w:rFonts w:eastAsia="Times New Roman" w:cs="Times New Roman"/>
          <w:lang w:eastAsia="de-DE"/>
        </w:rPr>
        <w:t>folgen dem etablierten Muster.</w:t>
      </w:r>
    </w:p>
    <w:p w14:paraId="5046018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Die Zahlenangabe </w:t>
      </w:r>
      <w:r w:rsidRPr="00EF6A3E">
        <w:rPr>
          <w:rFonts w:eastAsia="Times New Roman" w:cs="Times New Roman"/>
          <w:b/>
          <w:bCs/>
          <w:rtl/>
          <w:lang w:eastAsia="de-DE"/>
        </w:rPr>
        <w:t>שְׁנַיִם וְשִׁשִּׁים אֶלֶף וּשְׁבַע מֵאוֹת</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שְׁנַיִם</w:t>
      </w:r>
      <w:r w:rsidRPr="00EF6A3E">
        <w:rPr>
          <w:rFonts w:eastAsia="Times New Roman" w:cs="Times New Roman"/>
          <w:rtl/>
          <w:lang w:eastAsia="de-DE"/>
        </w:rPr>
        <w:t xml:space="preserve"> </w:t>
      </w:r>
      <w:r w:rsidRPr="00EF6A3E">
        <w:rPr>
          <w:rFonts w:eastAsia="Times New Roman" w:cs="Times New Roman"/>
          <w:lang w:eastAsia="de-DE"/>
        </w:rPr>
        <w:t xml:space="preserve">(zwei) koordiniert mit </w:t>
      </w:r>
      <w:r w:rsidRPr="00EF6A3E">
        <w:rPr>
          <w:rFonts w:eastAsia="Times New Roman" w:cs="Times New Roman"/>
          <w:b/>
          <w:bCs/>
          <w:rtl/>
          <w:lang w:eastAsia="de-DE"/>
        </w:rPr>
        <w:t>וְשִׁשִּׁים</w:t>
      </w:r>
      <w:r w:rsidRPr="00EF6A3E">
        <w:rPr>
          <w:rFonts w:eastAsia="Times New Roman" w:cs="Times New Roman"/>
          <w:rtl/>
          <w:lang w:eastAsia="de-DE"/>
        </w:rPr>
        <w:t xml:space="preserve"> </w:t>
      </w:r>
      <w:r w:rsidRPr="00EF6A3E">
        <w:rPr>
          <w:rFonts w:eastAsia="Times New Roman" w:cs="Times New Roman"/>
          <w:lang w:eastAsia="de-DE"/>
        </w:rPr>
        <w:t xml:space="preserve">(und sechzig)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וּשְׁבַע</w:t>
      </w:r>
      <w:r w:rsidRPr="00EF6A3E">
        <w:rPr>
          <w:rFonts w:eastAsia="Times New Roman" w:cs="Times New Roman"/>
          <w:rtl/>
          <w:lang w:eastAsia="de-DE"/>
        </w:rPr>
        <w:t xml:space="preserve"> </w:t>
      </w:r>
      <w:r w:rsidRPr="00EF6A3E">
        <w:rPr>
          <w:rFonts w:eastAsia="Times New Roman" w:cs="Times New Roman"/>
          <w:lang w:eastAsia="de-DE"/>
        </w:rPr>
        <w:t xml:space="preserve">(und sieben)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62.700, was die zweithöchste Zahl aller bisher genannten Stämme darstellt.</w:t>
      </w:r>
    </w:p>
    <w:p w14:paraId="28B48C7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Δαν δύο καὶ ἑξήκοντα χιλιάδες καὶ ἑπτακόσιοι und behält die Zahlenstruktur bei.</w:t>
      </w:r>
    </w:p>
    <w:p w14:paraId="317D08C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mit zweigliedriger Zahlenkomposition.</w:t>
      </w:r>
    </w:p>
    <w:p w14:paraId="24C6441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Musterungsergebnis für den Stamm Dan an und zeigt eine überraschend hohe Population für einen der Söhne der Nebenfrauen.</w:t>
      </w:r>
    </w:p>
    <w:p w14:paraId="652FB824"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1,40</w:t>
      </w:r>
    </w:p>
    <w:p w14:paraId="72B8325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לִבְנֵ֣י אָשֵׁ֔ר תּוֹלְדֹתָ֥ם לְמִשְׁפְּחֹתָ֖ם לְבֵ֣ית אֲבֹתָ֑ם בְּמִסְפַּ֣ר שֵׁמֹ֗ת מִבֶּ֨ן עֶשְׂרִ֤ים שָׁנָה֙ וָמַ֔עְלָה כֹּ֖ל יֹצֵ֥א צָבָֽא׃</w:t>
      </w:r>
    </w:p>
    <w:p w14:paraId="1F7017B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Von den Söhnen Aschers, ihre Nachkommen nach ihren Familien, nach ihren Vaterhäusern, in der Zählung der Namen, von 20 Jahren an und darüber, jeder, der zum Heer auszog,</w:t>
      </w:r>
    </w:p>
    <w:p w14:paraId="2A4A6E5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6A846CF">
          <v:rect id="_x0000_i1064" style="width:0;height:1.5pt" o:hralign="center" o:hrstd="t" o:hr="t" fillcolor="#a0a0a0" stroked="f"/>
        </w:pict>
      </w:r>
    </w:p>
    <w:p w14:paraId="0478F06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לִבְנֵי אָשֵׁר</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zeigt die Stammeszuordnung zu </w:t>
      </w:r>
      <w:r w:rsidRPr="00EF6A3E">
        <w:rPr>
          <w:rFonts w:eastAsia="Times New Roman" w:cs="Times New Roman"/>
          <w:b/>
          <w:bCs/>
          <w:rtl/>
          <w:lang w:eastAsia="de-DE"/>
        </w:rPr>
        <w:t>אָשֵׁר</w:t>
      </w:r>
      <w:r w:rsidRPr="00EF6A3E">
        <w:rPr>
          <w:rFonts w:eastAsia="Times New Roman" w:cs="Times New Roman"/>
          <w:rtl/>
          <w:lang w:eastAsia="de-DE"/>
        </w:rPr>
        <w:t xml:space="preserve"> </w:t>
      </w:r>
      <w:r w:rsidRPr="00EF6A3E">
        <w:rPr>
          <w:rFonts w:eastAsia="Times New Roman" w:cs="Times New Roman"/>
          <w:lang w:eastAsia="de-DE"/>
        </w:rPr>
        <w:t xml:space="preserve">(Ascher), dem achten Sohn Jakobs und zweiten Sohn Silpas, der Magd Leas. Der Name </w:t>
      </w:r>
      <w:r w:rsidRPr="00EF6A3E">
        <w:rPr>
          <w:rFonts w:eastAsia="Times New Roman" w:cs="Times New Roman"/>
          <w:b/>
          <w:bCs/>
          <w:rtl/>
          <w:lang w:eastAsia="de-DE"/>
        </w:rPr>
        <w:t>אָשֵׁר</w:t>
      </w:r>
      <w:r w:rsidRPr="00EF6A3E">
        <w:rPr>
          <w:rFonts w:eastAsia="Times New Roman" w:cs="Times New Roman"/>
          <w:rtl/>
          <w:lang w:eastAsia="de-DE"/>
        </w:rPr>
        <w:t xml:space="preserve"> </w:t>
      </w:r>
      <w:r w:rsidRPr="00EF6A3E">
        <w:rPr>
          <w:rFonts w:eastAsia="Times New Roman" w:cs="Times New Roman"/>
          <w:lang w:eastAsia="de-DE"/>
        </w:rPr>
        <w:t xml:space="preserve">bedeutet "Glück" oder "glücklich" und leitet sich von der Wurzel </w:t>
      </w:r>
      <w:r w:rsidRPr="00EF6A3E">
        <w:rPr>
          <w:rFonts w:eastAsia="Times New Roman" w:cs="Times New Roman"/>
          <w:b/>
          <w:bCs/>
          <w:rtl/>
          <w:lang w:eastAsia="de-DE"/>
        </w:rPr>
        <w:t>אשר</w:t>
      </w:r>
      <w:r w:rsidRPr="00EF6A3E">
        <w:rPr>
          <w:rFonts w:eastAsia="Times New Roman" w:cs="Times New Roman"/>
          <w:rtl/>
          <w:lang w:eastAsia="de-DE"/>
        </w:rPr>
        <w:t xml:space="preserve"> </w:t>
      </w:r>
      <w:r w:rsidRPr="00EF6A3E">
        <w:rPr>
          <w:rFonts w:eastAsia="Times New Roman" w:cs="Times New Roman"/>
          <w:lang w:eastAsia="de-DE"/>
        </w:rPr>
        <w:t>(glücklich sein) ab.</w:t>
      </w:r>
    </w:p>
    <w:p w14:paraId="2EAB7A9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Die Phrase </w:t>
      </w:r>
      <w:r w:rsidRPr="00EF6A3E">
        <w:rPr>
          <w:rFonts w:eastAsia="Times New Roman" w:cs="Times New Roman"/>
          <w:b/>
          <w:bCs/>
          <w:rtl/>
          <w:lang w:eastAsia="de-DE"/>
        </w:rPr>
        <w:t>בְּמִסְפַּר שֵׁמֹת</w:t>
      </w:r>
      <w:r w:rsidRPr="00EF6A3E">
        <w:rPr>
          <w:rFonts w:eastAsia="Times New Roman" w:cs="Times New Roman"/>
          <w:rtl/>
          <w:lang w:eastAsia="de-DE"/>
        </w:rPr>
        <w:t xml:space="preserve"> </w:t>
      </w:r>
      <w:r w:rsidRPr="00EF6A3E">
        <w:rPr>
          <w:rFonts w:eastAsia="Times New Roman" w:cs="Times New Roman"/>
          <w:lang w:eastAsia="de-DE"/>
        </w:rPr>
        <w:t xml:space="preserve">zeigt die kontinuierliche Verwendung der Schreibvariante </w:t>
      </w:r>
      <w:r w:rsidRPr="00EF6A3E">
        <w:rPr>
          <w:rFonts w:eastAsia="Times New Roman" w:cs="Times New Roman"/>
          <w:b/>
          <w:bCs/>
          <w:rtl/>
          <w:lang w:eastAsia="de-DE"/>
        </w:rPr>
        <w:t>שֵׁמֹת</w:t>
      </w:r>
      <w:r w:rsidRPr="00EF6A3E">
        <w:rPr>
          <w:rFonts w:eastAsia="Times New Roman" w:cs="Times New Roman"/>
          <w:lang w:eastAsia="de-DE"/>
        </w:rPr>
        <w:t>.</w:t>
      </w:r>
    </w:p>
    <w:p w14:paraId="038B685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und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entsprechen den etablierten Kriterien.</w:t>
      </w:r>
    </w:p>
    <w:p w14:paraId="162DEDB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τῶν υἱῶν Ασηρ κατὰ συγγενείας αὐτῶν κατὰ δήμους αὐτῶν κατὰ οἴκους πατριῶν αὐτῶν und folgt der konsistenten Wiedergabe.</w:t>
      </w:r>
    </w:p>
    <w:p w14:paraId="7B05CD8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entspricht dem etablierten Muster mit präpositionaler Einleitung und koordinierten Erweiterungen.</w:t>
      </w:r>
    </w:p>
    <w:p w14:paraId="28AB003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behandelt den zweiten der Silpa-Söhne und setzt die systematische Durchmusterung fort.</w:t>
      </w:r>
    </w:p>
    <w:p w14:paraId="4334637F"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1,41</w:t>
      </w:r>
    </w:p>
    <w:p w14:paraId="4BD9E25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אָשֵׁ֑ר אֶחָ֧ד וְאַרְבָּעִ֛ים אֶ֖לֶף וַחֲמֵ֥שׁ מֵאֽוֹת׃</w:t>
      </w:r>
    </w:p>
    <w:p w14:paraId="00CD105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Deutsch:</w:t>
      </w:r>
      <w:r w:rsidRPr="00EF6A3E">
        <w:rPr>
          <w:rFonts w:eastAsia="Times New Roman" w:cs="Times New Roman"/>
          <w:lang w:eastAsia="de-DE"/>
        </w:rPr>
        <w:t xml:space="preserve"> ihre Gemusterten vom Stamm Ascher: 41.500.</w:t>
      </w:r>
    </w:p>
    <w:p w14:paraId="55F82F7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0B16132">
          <v:rect id="_x0000_i1065" style="width:0;height:1.5pt" o:hralign="center" o:hrstd="t" o:hr="t" fillcolor="#a0a0a0" stroked="f"/>
        </w:pict>
      </w:r>
    </w:p>
    <w:p w14:paraId="2D42F1D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אָשֵׁר</w:t>
      </w:r>
      <w:r w:rsidRPr="00EF6A3E">
        <w:rPr>
          <w:rFonts w:eastAsia="Times New Roman" w:cs="Times New Roman"/>
          <w:rtl/>
          <w:lang w:eastAsia="de-DE"/>
        </w:rPr>
        <w:t xml:space="preserve"> </w:t>
      </w:r>
      <w:r w:rsidRPr="00EF6A3E">
        <w:rPr>
          <w:rFonts w:eastAsia="Times New Roman" w:cs="Times New Roman"/>
          <w:lang w:eastAsia="de-DE"/>
        </w:rPr>
        <w:t>folgen dem etablierten Muster.</w:t>
      </w:r>
    </w:p>
    <w:p w14:paraId="7C443D6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אֶחָד וְאַרְבָּעִים אֶלֶף וַחֲמֵשׁ מֵאוֹת</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אֶחָד</w:t>
      </w:r>
      <w:r w:rsidRPr="00EF6A3E">
        <w:rPr>
          <w:rFonts w:eastAsia="Times New Roman" w:cs="Times New Roman"/>
          <w:rtl/>
          <w:lang w:eastAsia="de-DE"/>
        </w:rPr>
        <w:t xml:space="preserve"> </w:t>
      </w:r>
      <w:r w:rsidRPr="00EF6A3E">
        <w:rPr>
          <w:rFonts w:eastAsia="Times New Roman" w:cs="Times New Roman"/>
          <w:lang w:eastAsia="de-DE"/>
        </w:rPr>
        <w:t xml:space="preserve">(eins) koordiniert mit </w:t>
      </w:r>
      <w:r w:rsidRPr="00EF6A3E">
        <w:rPr>
          <w:rFonts w:eastAsia="Times New Roman" w:cs="Times New Roman"/>
          <w:b/>
          <w:bCs/>
          <w:rtl/>
          <w:lang w:eastAsia="de-DE"/>
        </w:rPr>
        <w:t>וְאַרְבָּעִים</w:t>
      </w:r>
      <w:r w:rsidRPr="00EF6A3E">
        <w:rPr>
          <w:rFonts w:eastAsia="Times New Roman" w:cs="Times New Roman"/>
          <w:rtl/>
          <w:lang w:eastAsia="de-DE"/>
        </w:rPr>
        <w:t xml:space="preserve"> </w:t>
      </w:r>
      <w:r w:rsidRPr="00EF6A3E">
        <w:rPr>
          <w:rFonts w:eastAsia="Times New Roman" w:cs="Times New Roman"/>
          <w:lang w:eastAsia="de-DE"/>
        </w:rPr>
        <w:t xml:space="preserve">(und vierzig)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וַחֲמֵשׁ</w:t>
      </w:r>
      <w:r w:rsidRPr="00EF6A3E">
        <w:rPr>
          <w:rFonts w:eastAsia="Times New Roman" w:cs="Times New Roman"/>
          <w:rtl/>
          <w:lang w:eastAsia="de-DE"/>
        </w:rPr>
        <w:t xml:space="preserve"> </w:t>
      </w:r>
      <w:r w:rsidRPr="00EF6A3E">
        <w:rPr>
          <w:rFonts w:eastAsia="Times New Roman" w:cs="Times New Roman"/>
          <w:lang w:eastAsia="de-DE"/>
        </w:rPr>
        <w:t xml:space="preserve">(und fünf)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41.500.</w:t>
      </w:r>
    </w:p>
    <w:p w14:paraId="60F3E3F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Ασηρ μία καὶ τεσσαράκοντα χιλιάδες καὶ πεντακόσιοι und behält die Zahlenstruktur bei.</w:t>
      </w:r>
    </w:p>
    <w:p w14:paraId="077D753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mit zweigliedriger Zahlenkomposition.</w:t>
      </w:r>
    </w:p>
    <w:p w14:paraId="73077E5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das Musterungsergebnis für den Stamm Ascher an und zeigt eine mittelgroße Population.</w:t>
      </w:r>
    </w:p>
    <w:p w14:paraId="018615D7"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1,42</w:t>
      </w:r>
    </w:p>
    <w:p w14:paraId="10008AF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בְּנֵ֣י נַפְתָּלִ֔י תּוֹלְדֹתָ֥ם לְמִשְׁפְּחֹתָ֖ם לְבֵ֣ית אֲבֹתָ֑ם בְּמִסְפַּ֣ר שֵׁמֹ֗ת מִבֶּ֨ן עֶשְׂרִ֤ים שָׁנָה֙ וָמַ֔עְלָה כֹּ֖ל יֹצֵ֥א צָבָֽא׃</w:t>
      </w:r>
    </w:p>
    <w:p w14:paraId="7FDEC4A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Die Söhne Naphthalis, ihre Nachkommen nach ihren Familien, nach ihren Vaterhäusern, in der Zählung der Namen, von 20 Jahren an und darüber, jeder, der zum Heer auszog,</w:t>
      </w:r>
    </w:p>
    <w:p w14:paraId="202AE0C5"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7FEA8783">
          <v:rect id="_x0000_i1066" style="width:0;height:1.5pt" o:hralign="center" o:hrstd="t" o:hr="t" fillcolor="#a0a0a0" stroked="f"/>
        </w:pict>
      </w:r>
    </w:p>
    <w:p w14:paraId="27FDBA50" w14:textId="1F147F23"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בְּנֵי נַפְתָּלִי</w:t>
      </w:r>
      <w:r w:rsidRPr="00EF6A3E">
        <w:rPr>
          <w:rFonts w:eastAsia="Times New Roman" w:cs="Times New Roman"/>
          <w:rtl/>
          <w:lang w:eastAsia="de-DE"/>
        </w:rPr>
        <w:t xml:space="preserve"> </w:t>
      </w:r>
      <w:r w:rsidRPr="00EF6A3E">
        <w:rPr>
          <w:rFonts w:eastAsia="Times New Roman" w:cs="Times New Roman"/>
          <w:lang w:eastAsia="de-DE"/>
        </w:rPr>
        <w:t xml:space="preserve">zeigt eine syntaktische Variation gegenüber den vorherigen Versen, indem die präpositionale Einleitung </w:t>
      </w:r>
      <w:r w:rsidRPr="00EF6A3E">
        <w:rPr>
          <w:rFonts w:eastAsia="Times New Roman" w:cs="Times New Roman"/>
          <w:b/>
          <w:bCs/>
          <w:rtl/>
          <w:lang w:eastAsia="de-DE"/>
        </w:rPr>
        <w:t>לִבְנֵי</w:t>
      </w:r>
      <w:r w:rsidRPr="00EF6A3E">
        <w:rPr>
          <w:rFonts w:eastAsia="Times New Roman" w:cs="Times New Roman"/>
          <w:rtl/>
          <w:lang w:eastAsia="de-DE"/>
        </w:rPr>
        <w:t xml:space="preserve"> </w:t>
      </w:r>
      <w:r w:rsidRPr="00EF6A3E">
        <w:rPr>
          <w:rFonts w:eastAsia="Times New Roman" w:cs="Times New Roman"/>
          <w:lang w:eastAsia="de-DE"/>
        </w:rPr>
        <w:t xml:space="preserve">fehlt und stattdessen das einfache </w:t>
      </w:r>
      <w:r w:rsidR="00F133EC">
        <w:rPr>
          <w:rFonts w:eastAsia="Times New Roman" w:cs="Times New Roman"/>
          <w:lang w:eastAsia="de-DE"/>
        </w:rPr>
        <w:t>Construct</w:t>
      </w:r>
      <w:r w:rsidRPr="00EF6A3E">
        <w:rPr>
          <w:rFonts w:eastAsia="Times New Roman" w:cs="Times New Roman"/>
          <w:lang w:eastAsia="de-DE"/>
        </w:rPr>
        <w:t xml:space="preserve"> </w:t>
      </w:r>
      <w:r w:rsidRPr="00EF6A3E">
        <w:rPr>
          <w:rFonts w:eastAsia="Times New Roman" w:cs="Times New Roman"/>
          <w:b/>
          <w:bCs/>
          <w:rtl/>
          <w:lang w:eastAsia="de-DE"/>
        </w:rPr>
        <w:t>בְּנֵי</w:t>
      </w:r>
      <w:r w:rsidRPr="00EF6A3E">
        <w:rPr>
          <w:rFonts w:eastAsia="Times New Roman" w:cs="Times New Roman"/>
          <w:rtl/>
          <w:lang w:eastAsia="de-DE"/>
        </w:rPr>
        <w:t xml:space="preserve"> </w:t>
      </w:r>
      <w:r w:rsidRPr="00EF6A3E">
        <w:rPr>
          <w:rFonts w:eastAsia="Times New Roman" w:cs="Times New Roman"/>
          <w:lang w:eastAsia="de-DE"/>
        </w:rPr>
        <w:t xml:space="preserve">(Söhne von) verwendet wird. </w:t>
      </w:r>
      <w:r w:rsidRPr="00EF6A3E">
        <w:rPr>
          <w:rFonts w:eastAsia="Times New Roman" w:cs="Times New Roman"/>
          <w:b/>
          <w:bCs/>
          <w:rtl/>
          <w:lang w:eastAsia="de-DE"/>
        </w:rPr>
        <w:t>נַפְתָּלִי</w:t>
      </w:r>
      <w:r w:rsidRPr="00EF6A3E">
        <w:rPr>
          <w:rFonts w:eastAsia="Times New Roman" w:cs="Times New Roman"/>
          <w:rtl/>
          <w:lang w:eastAsia="de-DE"/>
        </w:rPr>
        <w:t xml:space="preserve"> </w:t>
      </w:r>
      <w:r w:rsidRPr="00EF6A3E">
        <w:rPr>
          <w:rFonts w:eastAsia="Times New Roman" w:cs="Times New Roman"/>
          <w:lang w:eastAsia="de-DE"/>
        </w:rPr>
        <w:t>(Naphthali) ist der sechste Sohn Jakobs und zweite Sohn Bilhas.</w:t>
      </w:r>
    </w:p>
    <w:p w14:paraId="4BE1533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Substantiv </w:t>
      </w:r>
      <w:r w:rsidRPr="00EF6A3E">
        <w:rPr>
          <w:rFonts w:eastAsia="Times New Roman" w:cs="Times New Roman"/>
          <w:b/>
          <w:bCs/>
          <w:rtl/>
          <w:lang w:eastAsia="de-DE"/>
        </w:rPr>
        <w:t>תּוֹלְדֹתָם</w:t>
      </w:r>
      <w:r w:rsidRPr="00EF6A3E">
        <w:rPr>
          <w:rFonts w:eastAsia="Times New Roman" w:cs="Times New Roman"/>
          <w:rtl/>
          <w:lang w:eastAsia="de-DE"/>
        </w:rPr>
        <w:t xml:space="preserve"> </w:t>
      </w:r>
      <w:r w:rsidRPr="00EF6A3E">
        <w:rPr>
          <w:rFonts w:eastAsia="Times New Roman" w:cs="Times New Roman"/>
          <w:lang w:eastAsia="de-DE"/>
        </w:rPr>
        <w:t xml:space="preserve">(ihre Nachkommen) und die präpositionalen Phrasen </w:t>
      </w:r>
      <w:r w:rsidRPr="00EF6A3E">
        <w:rPr>
          <w:rFonts w:eastAsia="Times New Roman" w:cs="Times New Roman"/>
          <w:b/>
          <w:bCs/>
          <w:rtl/>
          <w:lang w:eastAsia="de-DE"/>
        </w:rPr>
        <w:t>לְמִשְׁפְּחֹתָם לְבֵית אֲבֹתָם</w:t>
      </w:r>
      <w:r w:rsidRPr="00EF6A3E">
        <w:rPr>
          <w:rFonts w:eastAsia="Times New Roman" w:cs="Times New Roman"/>
          <w:rtl/>
          <w:lang w:eastAsia="de-DE"/>
        </w:rPr>
        <w:t xml:space="preserve"> </w:t>
      </w:r>
      <w:r w:rsidRPr="00EF6A3E">
        <w:rPr>
          <w:rFonts w:eastAsia="Times New Roman" w:cs="Times New Roman"/>
          <w:lang w:eastAsia="de-DE"/>
        </w:rPr>
        <w:t xml:space="preserve">entsprechen der etablierten Struktur. Die Phrase </w:t>
      </w:r>
      <w:r w:rsidRPr="00EF6A3E">
        <w:rPr>
          <w:rFonts w:eastAsia="Times New Roman" w:cs="Times New Roman"/>
          <w:b/>
          <w:bCs/>
          <w:rtl/>
          <w:lang w:eastAsia="de-DE"/>
        </w:rPr>
        <w:t>בְּמִסְפַּר שֵׁמֹת</w:t>
      </w:r>
      <w:r w:rsidRPr="00EF6A3E">
        <w:rPr>
          <w:rFonts w:eastAsia="Times New Roman" w:cs="Times New Roman"/>
          <w:rtl/>
          <w:lang w:eastAsia="de-DE"/>
        </w:rPr>
        <w:t xml:space="preserve"> </w:t>
      </w:r>
      <w:r w:rsidRPr="00EF6A3E">
        <w:rPr>
          <w:rFonts w:eastAsia="Times New Roman" w:cs="Times New Roman"/>
          <w:lang w:eastAsia="de-DE"/>
        </w:rPr>
        <w:t xml:space="preserve">zeigt die kontinuierliche Verwendung der Schreibvariante </w:t>
      </w:r>
      <w:r w:rsidRPr="00EF6A3E">
        <w:rPr>
          <w:rFonts w:eastAsia="Times New Roman" w:cs="Times New Roman"/>
          <w:b/>
          <w:bCs/>
          <w:rtl/>
          <w:lang w:eastAsia="de-DE"/>
        </w:rPr>
        <w:t>שֵׁמֹת</w:t>
      </w:r>
      <w:r w:rsidRPr="00EF6A3E">
        <w:rPr>
          <w:rFonts w:eastAsia="Times New Roman" w:cs="Times New Roman"/>
          <w:lang w:eastAsia="de-DE"/>
        </w:rPr>
        <w:t>.</w:t>
      </w:r>
    </w:p>
    <w:p w14:paraId="1E437CF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und das finale </w:t>
      </w:r>
      <w:r w:rsidRPr="00EF6A3E">
        <w:rPr>
          <w:rFonts w:eastAsia="Times New Roman" w:cs="Times New Roman"/>
          <w:b/>
          <w:bCs/>
          <w:rtl/>
          <w:lang w:eastAsia="de-DE"/>
        </w:rPr>
        <w:t>כֹּל יֹצֵא צָבָא</w:t>
      </w:r>
      <w:r w:rsidRPr="00EF6A3E">
        <w:rPr>
          <w:rFonts w:eastAsia="Times New Roman" w:cs="Times New Roman"/>
          <w:rtl/>
          <w:lang w:eastAsia="de-DE"/>
        </w:rPr>
        <w:t xml:space="preserve"> </w:t>
      </w:r>
      <w:r w:rsidRPr="00EF6A3E">
        <w:rPr>
          <w:rFonts w:eastAsia="Times New Roman" w:cs="Times New Roman"/>
          <w:lang w:eastAsia="de-DE"/>
        </w:rPr>
        <w:t>entsprechen den etablierten Kriterien.</w:t>
      </w:r>
    </w:p>
    <w:p w14:paraId="1E1DEAD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υἱῶν Νεφθαλι κατὰ συγγενείας αὐτῶν κατὰ δήμους αὐτῶν κατὰ οἴκους πατριῶν αὐτῶν und reflektiert die syntaktische Variation.</w:t>
      </w:r>
    </w:p>
    <w:p w14:paraId="7CC73582" w14:textId="677C06A6"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 nominale </w:t>
      </w:r>
      <w:r w:rsidR="00F133EC">
        <w:rPr>
          <w:rFonts w:eastAsia="Times New Roman" w:cs="Times New Roman"/>
          <w:lang w:eastAsia="de-DE"/>
        </w:rPr>
        <w:t>Construct</w:t>
      </w:r>
      <w:r w:rsidRPr="00EF6A3E">
        <w:rPr>
          <w:rFonts w:eastAsia="Times New Roman" w:cs="Times New Roman"/>
          <w:lang w:eastAsia="de-DE"/>
        </w:rPr>
        <w:t xml:space="preserve">ion mit </w:t>
      </w:r>
      <w:r w:rsidRPr="00EF6A3E">
        <w:rPr>
          <w:rFonts w:eastAsia="Times New Roman" w:cs="Times New Roman"/>
          <w:b/>
          <w:bCs/>
          <w:rtl/>
          <w:lang w:eastAsia="de-DE"/>
        </w:rPr>
        <w:t>בְּנֵי נַפְתָּלִי</w:t>
      </w:r>
      <w:r w:rsidRPr="00EF6A3E">
        <w:rPr>
          <w:rFonts w:eastAsia="Times New Roman" w:cs="Times New Roman"/>
          <w:rtl/>
          <w:lang w:eastAsia="de-DE"/>
        </w:rPr>
        <w:t xml:space="preserve"> </w:t>
      </w:r>
      <w:r w:rsidRPr="00EF6A3E">
        <w:rPr>
          <w:rFonts w:eastAsia="Times New Roman" w:cs="Times New Roman"/>
          <w:lang w:eastAsia="de-DE"/>
        </w:rPr>
        <w:t>als Subjekt und koordinierten präpositionalen Erweiterungen.</w:t>
      </w:r>
    </w:p>
    <w:p w14:paraId="015CC2A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Dieser Vers behandelt den letzten der zwölf Stämme und zeigt eine leichte syntaktische Variation im abschließenden Eintrag der systematischen Aufzählung.</w:t>
      </w:r>
    </w:p>
    <w:p w14:paraId="5EA42F0C"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1,43</w:t>
      </w:r>
    </w:p>
    <w:p w14:paraId="5BADC9E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פְּקֻדֵיהֶ֖ם לְמַטֵּ֣ה נַפְתָּלִ֑י שְׁלֹשָׁ֧ה וַחֲמִשִּׁ֛ים אֶ֖לֶף וְאַרְבַּ֥ע מֵאֽוֹת׃</w:t>
      </w:r>
    </w:p>
    <w:p w14:paraId="3527B9D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ihre Gemusterten vom Stamm Naphthali: 53.400.</w:t>
      </w:r>
    </w:p>
    <w:p w14:paraId="5010A6B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35DB050">
          <v:rect id="_x0000_i1067" style="width:0;height:1.5pt" o:hralign="center" o:hrstd="t" o:hr="t" fillcolor="#a0a0a0" stroked="f"/>
        </w:pict>
      </w:r>
    </w:p>
    <w:p w14:paraId="29D9D81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Substantiv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 xml:space="preserve">(ihre Gemusterten) und die präpositionale Phrase </w:t>
      </w:r>
      <w:r w:rsidRPr="00EF6A3E">
        <w:rPr>
          <w:rFonts w:eastAsia="Times New Roman" w:cs="Times New Roman"/>
          <w:b/>
          <w:bCs/>
          <w:rtl/>
          <w:lang w:eastAsia="de-DE"/>
        </w:rPr>
        <w:t>לְמַטֵּה נַפְתָּלִי</w:t>
      </w:r>
      <w:r w:rsidRPr="00EF6A3E">
        <w:rPr>
          <w:rFonts w:eastAsia="Times New Roman" w:cs="Times New Roman"/>
          <w:rtl/>
          <w:lang w:eastAsia="de-DE"/>
        </w:rPr>
        <w:t xml:space="preserve"> </w:t>
      </w:r>
      <w:r w:rsidRPr="00EF6A3E">
        <w:rPr>
          <w:rFonts w:eastAsia="Times New Roman" w:cs="Times New Roman"/>
          <w:lang w:eastAsia="de-DE"/>
        </w:rPr>
        <w:t>folgen dem etablierten Muster.</w:t>
      </w:r>
    </w:p>
    <w:p w14:paraId="254390A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שְׁלֹשָׁה וַחֲמִשִּׁים אֶלֶף וְאַרְבַּע מֵאוֹת</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שְׁלֹשָׁה</w:t>
      </w:r>
      <w:r w:rsidRPr="00EF6A3E">
        <w:rPr>
          <w:rFonts w:eastAsia="Times New Roman" w:cs="Times New Roman"/>
          <w:rtl/>
          <w:lang w:eastAsia="de-DE"/>
        </w:rPr>
        <w:t xml:space="preserve"> </w:t>
      </w:r>
      <w:r w:rsidRPr="00EF6A3E">
        <w:rPr>
          <w:rFonts w:eastAsia="Times New Roman" w:cs="Times New Roman"/>
          <w:lang w:eastAsia="de-DE"/>
        </w:rPr>
        <w:t xml:space="preserve">(drei) koordiniert mit </w:t>
      </w:r>
      <w:r w:rsidRPr="00EF6A3E">
        <w:rPr>
          <w:rFonts w:eastAsia="Times New Roman" w:cs="Times New Roman"/>
          <w:b/>
          <w:bCs/>
          <w:rtl/>
          <w:lang w:eastAsia="de-DE"/>
        </w:rPr>
        <w:t>וַחֲמִשִּׁים</w:t>
      </w:r>
      <w:r w:rsidRPr="00EF6A3E">
        <w:rPr>
          <w:rFonts w:eastAsia="Times New Roman" w:cs="Times New Roman"/>
          <w:rtl/>
          <w:lang w:eastAsia="de-DE"/>
        </w:rPr>
        <w:t xml:space="preserve"> </w:t>
      </w:r>
      <w:r w:rsidRPr="00EF6A3E">
        <w:rPr>
          <w:rFonts w:eastAsia="Times New Roman" w:cs="Times New Roman"/>
          <w:lang w:eastAsia="de-DE"/>
        </w:rPr>
        <w:t xml:space="preserve">(und fünfzig) plus </w:t>
      </w:r>
      <w:r w:rsidRPr="00EF6A3E">
        <w:rPr>
          <w:rFonts w:eastAsia="Times New Roman" w:cs="Times New Roman"/>
          <w:b/>
          <w:bCs/>
          <w:rtl/>
          <w:lang w:eastAsia="de-DE"/>
        </w:rPr>
        <w:t>אֶלֶף</w:t>
      </w:r>
      <w:r w:rsidRPr="00EF6A3E">
        <w:rPr>
          <w:rFonts w:eastAsia="Times New Roman" w:cs="Times New Roman"/>
          <w:rtl/>
          <w:lang w:eastAsia="de-DE"/>
        </w:rPr>
        <w:t xml:space="preserve"> </w:t>
      </w:r>
      <w:r w:rsidRPr="00EF6A3E">
        <w:rPr>
          <w:rFonts w:eastAsia="Times New Roman" w:cs="Times New Roman"/>
          <w:lang w:eastAsia="de-DE"/>
        </w:rPr>
        <w:t xml:space="preserve">(Tausend), koordiniert mit </w:t>
      </w:r>
      <w:r w:rsidRPr="00EF6A3E">
        <w:rPr>
          <w:rFonts w:eastAsia="Times New Roman" w:cs="Times New Roman"/>
          <w:b/>
          <w:bCs/>
          <w:rtl/>
          <w:lang w:eastAsia="de-DE"/>
        </w:rPr>
        <w:t>וְאַרְבַּע</w:t>
      </w:r>
      <w:r w:rsidRPr="00EF6A3E">
        <w:rPr>
          <w:rFonts w:eastAsia="Times New Roman" w:cs="Times New Roman"/>
          <w:rtl/>
          <w:lang w:eastAsia="de-DE"/>
        </w:rPr>
        <w:t xml:space="preserve"> </w:t>
      </w:r>
      <w:r w:rsidRPr="00EF6A3E">
        <w:rPr>
          <w:rFonts w:eastAsia="Times New Roman" w:cs="Times New Roman"/>
          <w:lang w:eastAsia="de-DE"/>
        </w:rPr>
        <w:t xml:space="preserve">(und vier) plus </w:t>
      </w:r>
      <w:r w:rsidRPr="00EF6A3E">
        <w:rPr>
          <w:rFonts w:eastAsia="Times New Roman" w:cs="Times New Roman"/>
          <w:b/>
          <w:bCs/>
          <w:rtl/>
          <w:lang w:eastAsia="de-DE"/>
        </w:rPr>
        <w:t>מֵאוֹת</w:t>
      </w:r>
      <w:r w:rsidRPr="00EF6A3E">
        <w:rPr>
          <w:rFonts w:eastAsia="Times New Roman" w:cs="Times New Roman"/>
          <w:rtl/>
          <w:lang w:eastAsia="de-DE"/>
        </w:rPr>
        <w:t xml:space="preserve"> </w:t>
      </w:r>
      <w:r w:rsidRPr="00EF6A3E">
        <w:rPr>
          <w:rFonts w:eastAsia="Times New Roman" w:cs="Times New Roman"/>
          <w:lang w:eastAsia="de-DE"/>
        </w:rPr>
        <w:t>(Hunderte). Die Gesamtzahl beträgt 53.400.</w:t>
      </w:r>
    </w:p>
    <w:p w14:paraId="2C10DCD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ἡ ἐπίσκεψις αὐτῶν ἐκ φυλῆς Νεφθαλι τρεῖς καὶ πεντήκοντα χιλιάδες καὶ τετρακόσιοι und behält die Zahlenstruktur bei.</w:t>
      </w:r>
    </w:p>
    <w:p w14:paraId="1DF3ED5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Nominalsatz-Muster mit zweigliedriger Zahlenkomposition.</w:t>
      </w:r>
    </w:p>
    <w:p w14:paraId="31E5951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schließt die systematische Aufzählung aller zwölf Stammeszahlen ab und zeigt für Naphthali eine mittelgroße Population, die die Gesamtübersicht der israelitischen Wehrkraft komplettiert.</w:t>
      </w:r>
    </w:p>
    <w:p w14:paraId="4FEF86D3"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1,44</w:t>
      </w:r>
    </w:p>
    <w:p w14:paraId="3314346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אֵ֣לֶּה הַפְּקֻדִ֡ים אֲשֶׁר֩ פָּקַ֨ד מֹשֶׁ֤ה וְאַהֲרֹן֙ וּנְשִׂיאֵ֣י יִשְׂרָאֵ֔ל שְׁנֵ֥ים עָשָׂ֖ר אִ֑ישׁ אִישׁ־אֶחָ֥ד לְבֵית־אֲבֹתָ֖יו הָיֽוּ׃</w:t>
      </w:r>
    </w:p>
    <w:p w14:paraId="292C296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Dies sind die Gemusterten, die Mosche und 'Aharon und die Fürsten Jisra'els musterten, zwölf Männer, je ein Mann für sein Vaterhaus waren sie.</w:t>
      </w:r>
    </w:p>
    <w:p w14:paraId="1E3CBB78"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18AEB66">
          <v:rect id="_x0000_i1068" style="width:0;height:1.5pt" o:hralign="center" o:hrstd="t" o:hr="t" fillcolor="#a0a0a0" stroked="f"/>
        </w:pict>
      </w:r>
    </w:p>
    <w:p w14:paraId="1AF0B1C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Demonstrativpronomen </w:t>
      </w:r>
      <w:r w:rsidRPr="00EF6A3E">
        <w:rPr>
          <w:rFonts w:eastAsia="Times New Roman" w:cs="Times New Roman"/>
          <w:b/>
          <w:bCs/>
          <w:rtl/>
          <w:lang w:eastAsia="de-DE"/>
        </w:rPr>
        <w:t>אֵלֶּה</w:t>
      </w:r>
      <w:r w:rsidRPr="00EF6A3E">
        <w:rPr>
          <w:rFonts w:eastAsia="Times New Roman" w:cs="Times New Roman"/>
          <w:rtl/>
          <w:lang w:eastAsia="de-DE"/>
        </w:rPr>
        <w:t xml:space="preserve"> </w:t>
      </w:r>
      <w:r w:rsidRPr="00EF6A3E">
        <w:rPr>
          <w:rFonts w:eastAsia="Times New Roman" w:cs="Times New Roman"/>
          <w:lang w:eastAsia="de-DE"/>
        </w:rPr>
        <w:t xml:space="preserve">(diese) leitet eine zusammenfassende Darstellung der Musterungsergebnisse ein. </w:t>
      </w:r>
      <w:r w:rsidRPr="00EF6A3E">
        <w:rPr>
          <w:rFonts w:eastAsia="Times New Roman" w:cs="Times New Roman"/>
          <w:b/>
          <w:bCs/>
          <w:rtl/>
          <w:lang w:eastAsia="de-DE"/>
        </w:rPr>
        <w:t>הַפְּקֻדִים</w:t>
      </w:r>
      <w:r w:rsidRPr="00EF6A3E">
        <w:rPr>
          <w:rFonts w:eastAsia="Times New Roman" w:cs="Times New Roman"/>
          <w:rtl/>
          <w:lang w:eastAsia="de-DE"/>
        </w:rPr>
        <w:t xml:space="preserve"> </w:t>
      </w:r>
      <w:r w:rsidRPr="00EF6A3E">
        <w:rPr>
          <w:rFonts w:eastAsia="Times New Roman" w:cs="Times New Roman"/>
          <w:lang w:eastAsia="de-DE"/>
        </w:rPr>
        <w:t xml:space="preserve">(die Gemusterten) ist das Qal-Partizip Passiv Plural von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mit bestimmtem Artikel und fungiert als Subjekt.</w:t>
      </w:r>
    </w:p>
    <w:p w14:paraId="1EE0E833" w14:textId="5D8A9598"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Relativsatz </w:t>
      </w:r>
      <w:r w:rsidRPr="00EF6A3E">
        <w:rPr>
          <w:rFonts w:eastAsia="Times New Roman" w:cs="Times New Roman"/>
          <w:b/>
          <w:bCs/>
          <w:rtl/>
          <w:lang w:eastAsia="de-DE"/>
        </w:rPr>
        <w:t>אֲשֶׁר פָּקַד מֹשֶׁה וְאַהֲרֹן וּנְשִׂיאֵי יִשְׂרָאֵל</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 xml:space="preserve">(er musterte) im Qal-Perfekt 3. maskulin Singular. Das koordinierte Subjekt </w:t>
      </w:r>
      <w:r w:rsidRPr="00EF6A3E">
        <w:rPr>
          <w:rFonts w:eastAsia="Times New Roman" w:cs="Times New Roman"/>
          <w:b/>
          <w:bCs/>
          <w:rtl/>
          <w:lang w:eastAsia="de-DE"/>
        </w:rPr>
        <w:t>מֹשֶׁה וְאַהֲרֹן וּנְשִׂיאֵי יִשְׂרָאֵל</w:t>
      </w:r>
      <w:r w:rsidRPr="00EF6A3E">
        <w:rPr>
          <w:rFonts w:eastAsia="Times New Roman" w:cs="Times New Roman"/>
          <w:rtl/>
          <w:lang w:eastAsia="de-DE"/>
        </w:rPr>
        <w:t xml:space="preserve"> </w:t>
      </w:r>
      <w:r w:rsidRPr="00EF6A3E">
        <w:rPr>
          <w:rFonts w:eastAsia="Times New Roman" w:cs="Times New Roman"/>
          <w:lang w:eastAsia="de-DE"/>
        </w:rPr>
        <w:t xml:space="preserve">mit zweifachem Waw copulativum betont die gemeinsame Leitung. </w:t>
      </w:r>
      <w:r w:rsidRPr="00EF6A3E">
        <w:rPr>
          <w:rFonts w:eastAsia="Times New Roman" w:cs="Times New Roman"/>
          <w:b/>
          <w:bCs/>
          <w:rtl/>
          <w:lang w:eastAsia="de-DE"/>
        </w:rPr>
        <w:t>נְשִׂיאֵי</w:t>
      </w:r>
      <w:r w:rsidRPr="00EF6A3E">
        <w:rPr>
          <w:rFonts w:eastAsia="Times New Roman" w:cs="Times New Roman"/>
          <w:rtl/>
          <w:lang w:eastAsia="de-DE"/>
        </w:rPr>
        <w:t xml:space="preserve"> </w:t>
      </w:r>
      <w:r w:rsidRPr="00EF6A3E">
        <w:rPr>
          <w:rFonts w:eastAsia="Times New Roman" w:cs="Times New Roman"/>
          <w:lang w:eastAsia="de-DE"/>
        </w:rPr>
        <w:t xml:space="preserve">(Fürsten) ist der Plural von </w:t>
      </w:r>
      <w:r w:rsidRPr="00EF6A3E">
        <w:rPr>
          <w:rFonts w:eastAsia="Times New Roman" w:cs="Times New Roman"/>
          <w:b/>
          <w:bCs/>
          <w:rtl/>
          <w:lang w:eastAsia="de-DE"/>
        </w:rPr>
        <w:t>נָשִׂיא</w:t>
      </w:r>
      <w:r w:rsidRPr="00EF6A3E">
        <w:rPr>
          <w:rFonts w:eastAsia="Times New Roman" w:cs="Times New Roman"/>
          <w:rtl/>
          <w:lang w:eastAsia="de-DE"/>
        </w:rPr>
        <w:t xml:space="preserve"> </w:t>
      </w:r>
      <w:r w:rsidRPr="00EF6A3E">
        <w:rPr>
          <w:rFonts w:eastAsia="Times New Roman" w:cs="Times New Roman"/>
          <w:lang w:eastAsia="de-DE"/>
        </w:rPr>
        <w:t xml:space="preserve">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יִשְׂרָאֵל</w:t>
      </w:r>
      <w:r w:rsidRPr="00EF6A3E">
        <w:rPr>
          <w:rFonts w:eastAsia="Times New Roman" w:cs="Times New Roman"/>
          <w:lang w:eastAsia="de-DE"/>
        </w:rPr>
        <w:t>.</w:t>
      </w:r>
    </w:p>
    <w:p w14:paraId="3538BC41" w14:textId="2E4644A8"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Apposition </w:t>
      </w:r>
      <w:r w:rsidRPr="00EF6A3E">
        <w:rPr>
          <w:rFonts w:eastAsia="Times New Roman" w:cs="Times New Roman"/>
          <w:b/>
          <w:bCs/>
          <w:rtl/>
          <w:lang w:eastAsia="de-DE"/>
        </w:rPr>
        <w:t>שְׁנֵים עָשָׂר אִישׁ</w:t>
      </w:r>
      <w:r w:rsidRPr="00EF6A3E">
        <w:rPr>
          <w:rFonts w:eastAsia="Times New Roman" w:cs="Times New Roman"/>
          <w:rtl/>
          <w:lang w:eastAsia="de-DE"/>
        </w:rPr>
        <w:t xml:space="preserve"> </w:t>
      </w:r>
      <w:r w:rsidRPr="00EF6A3E">
        <w:rPr>
          <w:rFonts w:eastAsia="Times New Roman" w:cs="Times New Roman"/>
          <w:lang w:eastAsia="de-DE"/>
        </w:rPr>
        <w:t xml:space="preserve">(zwölf Männer) spezifiziert die Anzahl der Stammesrepräsentanten. Die weitere Charakterisierung </w:t>
      </w:r>
      <w:r w:rsidRPr="00EF6A3E">
        <w:rPr>
          <w:rFonts w:eastAsia="Times New Roman" w:cs="Times New Roman"/>
          <w:b/>
          <w:bCs/>
          <w:rtl/>
          <w:lang w:eastAsia="de-DE"/>
        </w:rPr>
        <w:t>אִישׁ־אֶחָד לְבֵית־אֲבֹתָיו הָיוּ</w:t>
      </w:r>
      <w:r w:rsidRPr="00EF6A3E">
        <w:rPr>
          <w:rFonts w:eastAsia="Times New Roman" w:cs="Times New Roman"/>
          <w:rtl/>
          <w:lang w:eastAsia="de-DE"/>
        </w:rPr>
        <w:t xml:space="preserve"> </w:t>
      </w:r>
      <w:r w:rsidRPr="00EF6A3E">
        <w:rPr>
          <w:rFonts w:eastAsia="Times New Roman" w:cs="Times New Roman"/>
          <w:lang w:eastAsia="de-DE"/>
        </w:rPr>
        <w:t xml:space="preserve">mit der </w:t>
      </w:r>
      <w:r w:rsidRPr="00EF6A3E">
        <w:rPr>
          <w:rFonts w:eastAsia="Times New Roman" w:cs="Times New Roman"/>
          <w:lang w:eastAsia="de-DE"/>
        </w:rPr>
        <w:lastRenderedPageBreak/>
        <w:t xml:space="preserve">distributiven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אִישׁ־אֶחָד</w:t>
      </w:r>
      <w:r w:rsidRPr="00EF6A3E">
        <w:rPr>
          <w:rFonts w:eastAsia="Times New Roman" w:cs="Times New Roman"/>
          <w:rtl/>
          <w:lang w:eastAsia="de-DE"/>
        </w:rPr>
        <w:t xml:space="preserve"> </w:t>
      </w:r>
      <w:r w:rsidRPr="00EF6A3E">
        <w:rPr>
          <w:rFonts w:eastAsia="Times New Roman" w:cs="Times New Roman"/>
          <w:lang w:eastAsia="de-DE"/>
        </w:rPr>
        <w:t xml:space="preserve">(je ein Mann) und der präpositionalen Phrase </w:t>
      </w:r>
      <w:r w:rsidRPr="00EF6A3E">
        <w:rPr>
          <w:rFonts w:eastAsia="Times New Roman" w:cs="Times New Roman"/>
          <w:b/>
          <w:bCs/>
          <w:rtl/>
          <w:lang w:eastAsia="de-DE"/>
        </w:rPr>
        <w:t>לְבֵית־אֲבֹתָיו</w:t>
      </w:r>
      <w:r w:rsidRPr="00EF6A3E">
        <w:rPr>
          <w:rFonts w:eastAsia="Times New Roman" w:cs="Times New Roman"/>
          <w:rtl/>
          <w:lang w:eastAsia="de-DE"/>
        </w:rPr>
        <w:t xml:space="preserve"> </w:t>
      </w:r>
      <w:r w:rsidRPr="00EF6A3E">
        <w:rPr>
          <w:rFonts w:eastAsia="Times New Roman" w:cs="Times New Roman"/>
          <w:lang w:eastAsia="de-DE"/>
        </w:rPr>
        <w:t xml:space="preserve">(für sein Vaterhaus) betont die repräsentative Funktion. Das Verb </w:t>
      </w:r>
      <w:r w:rsidRPr="00EF6A3E">
        <w:rPr>
          <w:rFonts w:eastAsia="Times New Roman" w:cs="Times New Roman"/>
          <w:b/>
          <w:bCs/>
          <w:rtl/>
          <w:lang w:eastAsia="de-DE"/>
        </w:rPr>
        <w:t>הָיוּ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היה</w:t>
      </w:r>
      <w:r w:rsidRPr="00EF6A3E">
        <w:rPr>
          <w:rFonts w:eastAsia="Times New Roman" w:cs="Times New Roman"/>
          <w:rtl/>
          <w:lang w:eastAsia="de-DE"/>
        </w:rPr>
        <w:t xml:space="preserve"> </w:t>
      </w:r>
      <w:r w:rsidRPr="00EF6A3E">
        <w:rPr>
          <w:rFonts w:eastAsia="Times New Roman" w:cs="Times New Roman"/>
          <w:lang w:eastAsia="de-DE"/>
        </w:rPr>
        <w:t>(sein) im Qal-Perfekt 3. maskulin Plural fungiert als Kopula.</w:t>
      </w:r>
    </w:p>
    <w:p w14:paraId="5C9AC747" w14:textId="72BE6E1A"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405D7">
        <w:t xml:space="preserve">zeigt in Vers 44 eine erweiterte Formulierung, die anstelle der hebräischen Wendung </w:t>
      </w:r>
      <w:r w:rsidR="003405D7">
        <w:rPr>
          <w:rtl/>
        </w:rPr>
        <w:t>אִישׁ־אֶחָד לְבֵית־אֲבֹתָיו</w:t>
      </w:r>
      <w:r w:rsidR="003405D7">
        <w:t xml:space="preserve"> ("ein Mann für das Haus seiner Väter") die ausführlichere Phrase ἀνὴρ εἷς κατὰ φυλὴν μίαν, κατὰ φυλὴν οἴκων πατριᾶς αὐτῶν ("ein Mann für einen Stamm, für den Stamm der Häuser ihrer Väterschaft") verwendet.</w:t>
      </w:r>
    </w:p>
    <w:p w14:paraId="38DBDB71" w14:textId="0C0E6809"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komplexen Nominalsatz mit </w:t>
      </w:r>
      <w:r w:rsidRPr="00EF6A3E">
        <w:rPr>
          <w:rFonts w:eastAsia="Times New Roman" w:cs="Times New Roman"/>
          <w:b/>
          <w:bCs/>
          <w:rtl/>
          <w:lang w:eastAsia="de-DE"/>
        </w:rPr>
        <w:t>אֵלֶּה הַפְּקֻדִים</w:t>
      </w:r>
      <w:r w:rsidRPr="00EF6A3E">
        <w:rPr>
          <w:rFonts w:eastAsia="Times New Roman" w:cs="Times New Roman"/>
          <w:rtl/>
          <w:lang w:eastAsia="de-DE"/>
        </w:rPr>
        <w:t xml:space="preserve"> </w:t>
      </w:r>
      <w:r w:rsidRPr="00EF6A3E">
        <w:rPr>
          <w:rFonts w:eastAsia="Times New Roman" w:cs="Times New Roman"/>
          <w:lang w:eastAsia="de-DE"/>
        </w:rPr>
        <w:t>als Subjekt, einem erweiterten Relativsatz und appositiven Bestimmungen mit abschließender Kopula-</w:t>
      </w:r>
      <w:r w:rsidR="00F133EC">
        <w:rPr>
          <w:rFonts w:eastAsia="Times New Roman" w:cs="Times New Roman"/>
          <w:lang w:eastAsia="de-DE"/>
        </w:rPr>
        <w:t>Construct</w:t>
      </w:r>
      <w:r w:rsidRPr="00EF6A3E">
        <w:rPr>
          <w:rFonts w:eastAsia="Times New Roman" w:cs="Times New Roman"/>
          <w:lang w:eastAsia="de-DE"/>
        </w:rPr>
        <w:t>ion.</w:t>
      </w:r>
    </w:p>
    <w:p w14:paraId="657E401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bietet eine offizielle Zusammenfassung der Musterung und betont die systematische Durchführung durch die etablierte Führung unter Einbeziehung aller Stammesrepräsentanten.</w:t>
      </w:r>
    </w:p>
    <w:p w14:paraId="376C80A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1,45</w:t>
      </w:r>
    </w:p>
    <w:p w14:paraId="588F59A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וַיִּֽהְי֛וּ כָּל־פְּקוּדֵ֥י בְנֵֽי־יִשְׂרָאֵ֖ל לְבֵ֣ית אֲבֹתָ֑ם מִבֶּ֨ן עֶשְׂרִ֤ים שָׁנָה֙ וָמַ֔עְלָה כָּל־יֹצֵ֥א צָבָ֖א בְּיִשְׂרָאֵֽל׃</w:t>
      </w:r>
    </w:p>
    <w:p w14:paraId="0E6F729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es waren alle Gemusterten der Söhne Jisra'el nach ihren Vaterhäusern, von 20 Jahren an und darüber, jeder, der zum Heer auszog in Jisra'el,</w:t>
      </w:r>
    </w:p>
    <w:p w14:paraId="648B447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9759659">
          <v:rect id="_x0000_i1069" style="width:0;height:1.5pt" o:hralign="center" o:hrstd="t" o:hr="t" fillcolor="#a0a0a0" stroked="f"/>
        </w:pict>
      </w:r>
    </w:p>
    <w:p w14:paraId="4DCFA6D6" w14:textId="3762B23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וַיִּהְיוּ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היה</w:t>
      </w:r>
      <w:r w:rsidRPr="00EF6A3E">
        <w:rPr>
          <w:rFonts w:eastAsia="Times New Roman" w:cs="Times New Roman"/>
          <w:rtl/>
          <w:lang w:eastAsia="de-DE"/>
        </w:rPr>
        <w:t xml:space="preserve"> </w:t>
      </w:r>
      <w:r w:rsidRPr="00EF6A3E">
        <w:rPr>
          <w:rFonts w:eastAsia="Times New Roman" w:cs="Times New Roman"/>
          <w:lang w:eastAsia="de-DE"/>
        </w:rPr>
        <w:t xml:space="preserve">(sein) im Qal-Imperfekt 3. maskulin Plural mit Waw consecutivum leitet die Gesamtsumme ein. Das Subjekt </w:t>
      </w:r>
      <w:r w:rsidRPr="00EF6A3E">
        <w:rPr>
          <w:rFonts w:eastAsia="Times New Roman" w:cs="Times New Roman"/>
          <w:b/>
          <w:bCs/>
          <w:rtl/>
          <w:lang w:eastAsia="de-DE"/>
        </w:rPr>
        <w:t>כָּל־פְּקוּדֵי בְנֵי־יִשְׂרָאֵל</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כָּל</w:t>
      </w:r>
      <w:r w:rsidRPr="00EF6A3E">
        <w:rPr>
          <w:rFonts w:eastAsia="Times New Roman" w:cs="Times New Roman"/>
          <w:rtl/>
          <w:lang w:eastAsia="de-DE"/>
        </w:rPr>
        <w:t xml:space="preserve"> </w:t>
      </w:r>
      <w:r w:rsidRPr="00EF6A3E">
        <w:rPr>
          <w:rFonts w:eastAsia="Times New Roman" w:cs="Times New Roman"/>
          <w:lang w:eastAsia="de-DE"/>
        </w:rPr>
        <w:t xml:space="preserve">(alle) mit </w:t>
      </w:r>
      <w:r w:rsidRPr="00EF6A3E">
        <w:rPr>
          <w:rFonts w:eastAsia="Times New Roman" w:cs="Times New Roman"/>
          <w:b/>
          <w:bCs/>
          <w:rtl/>
          <w:lang w:eastAsia="de-DE"/>
        </w:rPr>
        <w:t>פְּקוּדֵי</w:t>
      </w:r>
      <w:r w:rsidRPr="00EF6A3E">
        <w:rPr>
          <w:rFonts w:eastAsia="Times New Roman" w:cs="Times New Roman"/>
          <w:rtl/>
          <w:lang w:eastAsia="de-DE"/>
        </w:rPr>
        <w:t xml:space="preserve"> </w:t>
      </w:r>
      <w:r w:rsidRPr="00EF6A3E">
        <w:rPr>
          <w:rFonts w:eastAsia="Times New Roman" w:cs="Times New Roman"/>
          <w:lang w:eastAsia="de-DE"/>
        </w:rPr>
        <w:t xml:space="preserve">(Gemusterte)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בְנֵי־יִשְׂרָאֵל</w:t>
      </w:r>
      <w:r w:rsidRPr="00EF6A3E">
        <w:rPr>
          <w:rFonts w:eastAsia="Times New Roman" w:cs="Times New Roman"/>
          <w:rtl/>
          <w:lang w:eastAsia="de-DE"/>
        </w:rPr>
        <w:t xml:space="preserve"> </w:t>
      </w:r>
      <w:r w:rsidRPr="00EF6A3E">
        <w:rPr>
          <w:rFonts w:eastAsia="Times New Roman" w:cs="Times New Roman"/>
          <w:lang w:eastAsia="de-DE"/>
        </w:rPr>
        <w:t>(Söhne Israels).</w:t>
      </w:r>
    </w:p>
    <w:p w14:paraId="32402C6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לְבֵית אֲבֹתָם</w:t>
      </w:r>
      <w:r w:rsidRPr="00EF6A3E">
        <w:rPr>
          <w:rFonts w:eastAsia="Times New Roman" w:cs="Times New Roman"/>
          <w:rtl/>
          <w:lang w:eastAsia="de-DE"/>
        </w:rPr>
        <w:t xml:space="preserve"> </w:t>
      </w:r>
      <w:r w:rsidRPr="00EF6A3E">
        <w:rPr>
          <w:rFonts w:eastAsia="Times New Roman" w:cs="Times New Roman"/>
          <w:lang w:eastAsia="de-DE"/>
        </w:rPr>
        <w:t xml:space="preserve">(nach ihren Vaterhäusern) spezifiziert die organisatorische Grundlage der Zählung. Die Altersangabe </w:t>
      </w:r>
      <w:r w:rsidRPr="00EF6A3E">
        <w:rPr>
          <w:rFonts w:eastAsia="Times New Roman" w:cs="Times New Roman"/>
          <w:b/>
          <w:bCs/>
          <w:rtl/>
          <w:lang w:eastAsia="de-DE"/>
        </w:rPr>
        <w:t>מִבֶּן עֶשְׂרִים שָׁנָה וָמַעְלָה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מִן</w:t>
      </w:r>
      <w:r w:rsidRPr="00EF6A3E">
        <w:rPr>
          <w:rFonts w:eastAsia="Times New Roman" w:cs="Times New Roman"/>
          <w:rtl/>
          <w:lang w:eastAsia="de-DE"/>
        </w:rPr>
        <w:t xml:space="preserve"> </w:t>
      </w:r>
      <w:r w:rsidRPr="00EF6A3E">
        <w:rPr>
          <w:rFonts w:eastAsia="Times New Roman" w:cs="Times New Roman"/>
          <w:lang w:eastAsia="de-DE"/>
        </w:rPr>
        <w:t xml:space="preserve">(von) und </w:t>
      </w:r>
      <w:r w:rsidRPr="00EF6A3E">
        <w:rPr>
          <w:rFonts w:eastAsia="Times New Roman" w:cs="Times New Roman"/>
          <w:b/>
          <w:bCs/>
          <w:rtl/>
          <w:lang w:eastAsia="de-DE"/>
        </w:rPr>
        <w:t>בֶּן</w:t>
      </w:r>
      <w:r w:rsidRPr="00EF6A3E">
        <w:rPr>
          <w:rFonts w:eastAsia="Times New Roman" w:cs="Times New Roman"/>
          <w:rtl/>
          <w:lang w:eastAsia="de-DE"/>
        </w:rPr>
        <w:t xml:space="preserve"> </w:t>
      </w:r>
      <w:r w:rsidRPr="00EF6A3E">
        <w:rPr>
          <w:rFonts w:eastAsia="Times New Roman" w:cs="Times New Roman"/>
          <w:lang w:eastAsia="de-DE"/>
        </w:rPr>
        <w:t>(Sohn von/im Alter von) entspricht den etablierten Kriterien.</w:t>
      </w:r>
    </w:p>
    <w:p w14:paraId="62F3F18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finale Charakterisierung </w:t>
      </w:r>
      <w:r w:rsidRPr="00EF6A3E">
        <w:rPr>
          <w:rFonts w:eastAsia="Times New Roman" w:cs="Times New Roman"/>
          <w:b/>
          <w:bCs/>
          <w:rtl/>
          <w:lang w:eastAsia="de-DE"/>
        </w:rPr>
        <w:t>כָּל־יֹצֵא צָבָא בְּיִשְׂרָאֵל</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כָּל</w:t>
      </w:r>
      <w:r w:rsidRPr="00EF6A3E">
        <w:rPr>
          <w:rFonts w:eastAsia="Times New Roman" w:cs="Times New Roman"/>
          <w:rtl/>
          <w:lang w:eastAsia="de-DE"/>
        </w:rPr>
        <w:t xml:space="preserve"> </w:t>
      </w:r>
      <w:r w:rsidRPr="00EF6A3E">
        <w:rPr>
          <w:rFonts w:eastAsia="Times New Roman" w:cs="Times New Roman"/>
          <w:lang w:eastAsia="de-DE"/>
        </w:rPr>
        <w:t xml:space="preserve">(jeder), dem Partizip </w:t>
      </w:r>
      <w:r w:rsidRPr="00EF6A3E">
        <w:rPr>
          <w:rFonts w:eastAsia="Times New Roman" w:cs="Times New Roman"/>
          <w:b/>
          <w:bCs/>
          <w:rtl/>
          <w:lang w:eastAsia="de-DE"/>
        </w:rPr>
        <w:t>יֹצֵא</w:t>
      </w:r>
      <w:r w:rsidRPr="00EF6A3E">
        <w:rPr>
          <w:rFonts w:eastAsia="Times New Roman" w:cs="Times New Roman"/>
          <w:rtl/>
          <w:lang w:eastAsia="de-DE"/>
        </w:rPr>
        <w:t xml:space="preserve"> </w:t>
      </w:r>
      <w:r w:rsidRPr="00EF6A3E">
        <w:rPr>
          <w:rFonts w:eastAsia="Times New Roman" w:cs="Times New Roman"/>
          <w:lang w:eastAsia="de-DE"/>
        </w:rPr>
        <w:t xml:space="preserve">(der Ausziehende) von </w:t>
      </w:r>
      <w:r w:rsidRPr="00EF6A3E">
        <w:rPr>
          <w:rFonts w:eastAsia="Times New Roman" w:cs="Times New Roman"/>
          <w:b/>
          <w:bCs/>
          <w:rtl/>
          <w:lang w:eastAsia="de-DE"/>
        </w:rPr>
        <w:t>יצא</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צָבָא</w:t>
      </w:r>
      <w:r w:rsidRPr="00EF6A3E">
        <w:rPr>
          <w:rFonts w:eastAsia="Times New Roman" w:cs="Times New Roman"/>
          <w:rtl/>
          <w:lang w:eastAsia="de-DE"/>
        </w:rPr>
        <w:t xml:space="preserve"> </w:t>
      </w:r>
      <w:r w:rsidRPr="00EF6A3E">
        <w:rPr>
          <w:rFonts w:eastAsia="Times New Roman" w:cs="Times New Roman"/>
          <w:lang w:eastAsia="de-DE"/>
        </w:rPr>
        <w:t xml:space="preserve">(Heer) betont erneut die militärische Qualifikation. Die präpositionale Phrase </w:t>
      </w:r>
      <w:r w:rsidRPr="00EF6A3E">
        <w:rPr>
          <w:rFonts w:eastAsia="Times New Roman" w:cs="Times New Roman"/>
          <w:b/>
          <w:bCs/>
          <w:rtl/>
          <w:lang w:eastAsia="de-DE"/>
        </w:rPr>
        <w:t>בְּיִשְׂרָאֵל</w:t>
      </w:r>
      <w:r w:rsidRPr="00EF6A3E">
        <w:rPr>
          <w:rFonts w:eastAsia="Times New Roman" w:cs="Times New Roman"/>
          <w:rtl/>
          <w:lang w:eastAsia="de-DE"/>
        </w:rPr>
        <w:t xml:space="preserve"> </w:t>
      </w:r>
      <w:r w:rsidRPr="00EF6A3E">
        <w:rPr>
          <w:rFonts w:eastAsia="Times New Roman" w:cs="Times New Roman"/>
          <w:lang w:eastAsia="de-DE"/>
        </w:rPr>
        <w:t>lokalisiert den Dienst.</w:t>
      </w:r>
    </w:p>
    <w:p w14:paraId="4386F71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ἐγένοντο πάντες οἱ ἐπεσκεμμένοι υἱῶν Ισραηλ σὺν δυνάμει αὐτῶν und vereinfacht die Struktur teilweise.</w:t>
      </w:r>
    </w:p>
    <w:p w14:paraId="2BC29FD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existenzialen Satz mit </w:t>
      </w:r>
      <w:r w:rsidRPr="00EF6A3E">
        <w:rPr>
          <w:rFonts w:eastAsia="Times New Roman" w:cs="Times New Roman"/>
          <w:b/>
          <w:bCs/>
          <w:rtl/>
          <w:lang w:eastAsia="de-DE"/>
        </w:rPr>
        <w:t>וַיִּהְיוּ</w:t>
      </w:r>
      <w:r w:rsidRPr="00EF6A3E">
        <w:rPr>
          <w:rFonts w:eastAsia="Times New Roman" w:cs="Times New Roman"/>
          <w:rtl/>
          <w:lang w:eastAsia="de-DE"/>
        </w:rPr>
        <w:t xml:space="preserve"> </w:t>
      </w:r>
      <w:r w:rsidRPr="00EF6A3E">
        <w:rPr>
          <w:rFonts w:eastAsia="Times New Roman" w:cs="Times New Roman"/>
          <w:lang w:eastAsia="de-DE"/>
        </w:rPr>
        <w:t>als Kopula und einem komplexen Subjekt mit mehreren präpositionalen und partizipialen Erweiterungen zur Spezifikation der Gesamtpopulation.</w:t>
      </w:r>
    </w:p>
    <w:p w14:paraId="647A336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leitet die Gesamtsumme ein und rekapituliert nochmals die grundlegenden Kriterien der Volkszählung vor der Nennung der finalen Zahl.</w:t>
      </w:r>
    </w:p>
    <w:p w14:paraId="3F12B06A"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lastRenderedPageBreak/>
        <w:t>Numeri 1,46</w:t>
      </w:r>
    </w:p>
    <w:p w14:paraId="4B069C9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וַיִּֽהְיוּ֙ כָּל־הַפְּקֻדִ֔ים שֵׁשׁ־מֵא֥וֹת אֶ֖לֶף וּשְׁלֹ֣שֶׁת אֲלָפִ֑ים וַחֲמֵ֥שׁ מֵא֖וֹת וַחֲמִשִּֽׁים׃</w:t>
      </w:r>
    </w:p>
    <w:p w14:paraId="57B2FF2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es waren alle Gemusterten 603.550.</w:t>
      </w:r>
    </w:p>
    <w:p w14:paraId="08F3B6B8"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F15BC90">
          <v:rect id="_x0000_i1070" style="width:0;height:1.5pt" o:hralign="center" o:hrstd="t" o:hr="t" fillcolor="#a0a0a0" stroked="f"/>
        </w:pict>
      </w:r>
    </w:p>
    <w:p w14:paraId="08B556C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וַיִּהְיוּ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היה</w:t>
      </w:r>
      <w:r w:rsidRPr="00EF6A3E">
        <w:rPr>
          <w:rFonts w:eastAsia="Times New Roman" w:cs="Times New Roman"/>
          <w:rtl/>
          <w:lang w:eastAsia="de-DE"/>
        </w:rPr>
        <w:t xml:space="preserve"> </w:t>
      </w:r>
      <w:r w:rsidRPr="00EF6A3E">
        <w:rPr>
          <w:rFonts w:eastAsia="Times New Roman" w:cs="Times New Roman"/>
          <w:lang w:eastAsia="de-DE"/>
        </w:rPr>
        <w:t xml:space="preserve">(sein) im Qal-Imperfekt 3. maskulin Plural mit Waw consecutivum setzt die Aussage von Vers 45 fort. Das Subjekt </w:t>
      </w:r>
      <w:r w:rsidRPr="00EF6A3E">
        <w:rPr>
          <w:rFonts w:eastAsia="Times New Roman" w:cs="Times New Roman"/>
          <w:b/>
          <w:bCs/>
          <w:rtl/>
          <w:lang w:eastAsia="de-DE"/>
        </w:rPr>
        <w:t>כָּל־הַפְּקֻדִים</w:t>
      </w:r>
      <w:r w:rsidRPr="00EF6A3E">
        <w:rPr>
          <w:rFonts w:eastAsia="Times New Roman" w:cs="Times New Roman"/>
          <w:rtl/>
          <w:lang w:eastAsia="de-DE"/>
        </w:rPr>
        <w:t xml:space="preserve"> </w:t>
      </w:r>
      <w:r w:rsidRPr="00EF6A3E">
        <w:rPr>
          <w:rFonts w:eastAsia="Times New Roman" w:cs="Times New Roman"/>
          <w:lang w:eastAsia="de-DE"/>
        </w:rPr>
        <w:t>(alle Gemusterten) mit bestimmtem Artikel fasst die Gesamtheit zusammen.</w:t>
      </w:r>
    </w:p>
    <w:p w14:paraId="18F2E9DD" w14:textId="38FF7FCB" w:rsidR="004066B5" w:rsidRDefault="00EF6A3E" w:rsidP="004066B5">
      <w:pPr>
        <w:pStyle w:val="KeinLeerraum"/>
        <w:rPr>
          <w:lang w:eastAsia="de-DE"/>
        </w:rPr>
      </w:pPr>
      <w:r w:rsidRPr="00EF6A3E">
        <w:rPr>
          <w:lang w:eastAsia="de-DE"/>
        </w:rPr>
        <w:t xml:space="preserve">Die komplexe Zahlenangabe </w:t>
      </w:r>
      <w:r w:rsidRPr="00EF6A3E">
        <w:rPr>
          <w:b/>
          <w:bCs/>
          <w:rtl/>
          <w:lang w:eastAsia="de-DE"/>
        </w:rPr>
        <w:t>שֵׁשׁ־מֵאוֹת אֶלֶף וּשְׁלֹשֶׁת אֲלָפִים וַחֲמֵשׁ מֵאוֹת וַחֲמִשִּׁים</w:t>
      </w:r>
      <w:r w:rsidRPr="00EF6A3E">
        <w:rPr>
          <w:rtl/>
          <w:lang w:eastAsia="de-DE"/>
        </w:rPr>
        <w:t xml:space="preserve"> </w:t>
      </w:r>
      <w:r w:rsidRPr="00EF6A3E">
        <w:rPr>
          <w:lang w:eastAsia="de-DE"/>
        </w:rPr>
        <w:t xml:space="preserve">zeigt die vollständige hebräische Zahlenkomposition: </w:t>
      </w:r>
      <w:r w:rsidRPr="00EF6A3E">
        <w:rPr>
          <w:b/>
          <w:bCs/>
          <w:rtl/>
          <w:lang w:eastAsia="de-DE"/>
        </w:rPr>
        <w:t>שֵׁשׁ־מֵאוֹת</w:t>
      </w:r>
      <w:r w:rsidRPr="00EF6A3E">
        <w:rPr>
          <w:rtl/>
          <w:lang w:eastAsia="de-DE"/>
        </w:rPr>
        <w:t xml:space="preserve"> </w:t>
      </w:r>
      <w:r w:rsidRPr="00EF6A3E">
        <w:rPr>
          <w:lang w:eastAsia="de-DE"/>
        </w:rPr>
        <w:t xml:space="preserve">(sechs-hundert) im </w:t>
      </w:r>
      <w:r w:rsidR="00F133EC">
        <w:rPr>
          <w:lang w:eastAsia="de-DE"/>
        </w:rPr>
        <w:t>Construct</w:t>
      </w:r>
      <w:r w:rsidRPr="00EF6A3E">
        <w:rPr>
          <w:lang w:eastAsia="de-DE"/>
        </w:rPr>
        <w:t xml:space="preserve"> mit </w:t>
      </w:r>
      <w:r w:rsidRPr="00EF6A3E">
        <w:rPr>
          <w:b/>
          <w:bCs/>
          <w:rtl/>
          <w:lang w:eastAsia="de-DE"/>
        </w:rPr>
        <w:t>אֶלֶף</w:t>
      </w:r>
      <w:r w:rsidRPr="00EF6A3E">
        <w:rPr>
          <w:rtl/>
          <w:lang w:eastAsia="de-DE"/>
        </w:rPr>
        <w:t xml:space="preserve"> </w:t>
      </w:r>
      <w:r w:rsidRPr="00EF6A3E">
        <w:rPr>
          <w:lang w:eastAsia="de-DE"/>
        </w:rPr>
        <w:t xml:space="preserve">(Tausend) = 600.000, koordiniert mit </w:t>
      </w:r>
      <w:r w:rsidRPr="00EF6A3E">
        <w:rPr>
          <w:b/>
          <w:bCs/>
          <w:rtl/>
          <w:lang w:eastAsia="de-DE"/>
        </w:rPr>
        <w:t>וּשְׁלֹשֶׁת אֲלָפִים</w:t>
      </w:r>
      <w:r w:rsidRPr="00EF6A3E">
        <w:rPr>
          <w:rtl/>
          <w:lang w:eastAsia="de-DE"/>
        </w:rPr>
        <w:t xml:space="preserve"> </w:t>
      </w:r>
      <w:r w:rsidRPr="00EF6A3E">
        <w:rPr>
          <w:lang w:eastAsia="de-DE"/>
        </w:rPr>
        <w:t xml:space="preserve">(und drei Tausende) = 3.000, koordiniert mit </w:t>
      </w:r>
      <w:r w:rsidRPr="00EF6A3E">
        <w:rPr>
          <w:b/>
          <w:bCs/>
          <w:rtl/>
          <w:lang w:eastAsia="de-DE"/>
        </w:rPr>
        <w:t>וַחֲמֵשׁ מֵאוֹת</w:t>
      </w:r>
      <w:r w:rsidRPr="00EF6A3E">
        <w:rPr>
          <w:rtl/>
          <w:lang w:eastAsia="de-DE"/>
        </w:rPr>
        <w:t xml:space="preserve"> </w:t>
      </w:r>
      <w:r w:rsidRPr="00EF6A3E">
        <w:rPr>
          <w:lang w:eastAsia="de-DE"/>
        </w:rPr>
        <w:t xml:space="preserve">(und fünf Hunderte) = 500, schließlich </w:t>
      </w:r>
      <w:r w:rsidRPr="00EF6A3E">
        <w:rPr>
          <w:b/>
          <w:bCs/>
          <w:rtl/>
          <w:lang w:eastAsia="de-DE"/>
        </w:rPr>
        <w:t>וַחֲמִשִּׁים</w:t>
      </w:r>
      <w:r w:rsidRPr="00EF6A3E">
        <w:rPr>
          <w:rtl/>
          <w:lang w:eastAsia="de-DE"/>
        </w:rPr>
        <w:t xml:space="preserve"> </w:t>
      </w:r>
      <w:r w:rsidRPr="00EF6A3E">
        <w:rPr>
          <w:lang w:eastAsia="de-DE"/>
        </w:rPr>
        <w:t>(und fünfzig) = 50. Die Gesamtsumme beträgt 603.550.</w:t>
      </w:r>
      <w:r w:rsidR="004066B5">
        <w:rPr>
          <w:lang w:eastAsia="de-DE"/>
        </w:rPr>
        <w:t xml:space="preserve"> </w:t>
      </w:r>
    </w:p>
    <w:p w14:paraId="5389ED53" w14:textId="77777777" w:rsidR="0057353F" w:rsidRDefault="0057353F" w:rsidP="00EF6A3E">
      <w:pPr>
        <w:spacing w:before="100" w:beforeAutospacing="1" w:after="100" w:afterAutospacing="1" w:line="240" w:lineRule="auto"/>
      </w:pPr>
      <w:r>
        <w:t xml:space="preserve">Die genannte Zahl von 603.550 wehrfähigen Männern impliziert eine Gesamtbevölkerung von etwa 2,5 Millionen Menschen. Diese Größenordnung wird in der modernen Forschung kontrovers diskutiert: </w:t>
      </w:r>
    </w:p>
    <w:p w14:paraId="4ABFEDCF" w14:textId="77777777" w:rsidR="0057353F" w:rsidRPr="0057353F" w:rsidRDefault="0057353F" w:rsidP="0057353F">
      <w:pPr>
        <w:pStyle w:val="KeinLeerraum"/>
        <w:rPr>
          <w:b/>
          <w:bCs/>
        </w:rPr>
      </w:pPr>
      <w:r w:rsidRPr="0057353F">
        <w:rPr>
          <w:b/>
          <w:bCs/>
        </w:rPr>
        <w:t xml:space="preserve">Historisch-kritische Einwände: </w:t>
      </w:r>
    </w:p>
    <w:p w14:paraId="32D0C8A9" w14:textId="77777777" w:rsidR="0057353F" w:rsidRDefault="0057353F" w:rsidP="0057353F">
      <w:pPr>
        <w:pStyle w:val="KeinLeerraum"/>
      </w:pPr>
      <w:r>
        <w:t xml:space="preserve">- Logistische Unmöglichkeit der Versorgung und Bewegung einer solchen Masse in der Sinai-Wüste </w:t>
      </w:r>
    </w:p>
    <w:p w14:paraId="610F74CF" w14:textId="77777777" w:rsidR="0057353F" w:rsidRDefault="0057353F" w:rsidP="0057353F">
      <w:pPr>
        <w:pStyle w:val="KeinLeerraum"/>
      </w:pPr>
      <w:r>
        <w:t xml:space="preserve">- Fehlen archäologischer Evidenz für eine Bevölkerung dieser Größe im spätbronzezeitlichen Palästina </w:t>
      </w:r>
    </w:p>
    <w:p w14:paraId="3FF6B8E7" w14:textId="0EAEC02F" w:rsidR="0057353F" w:rsidRDefault="0057353F" w:rsidP="0057353F">
      <w:pPr>
        <w:pStyle w:val="KeinLeerraum"/>
      </w:pPr>
      <w:r>
        <w:t xml:space="preserve">- Widerspruch zu biblischen Aussagen über Israels zahlenmäßige Geringfügigkeit (Dtn 7,7) </w:t>
      </w:r>
    </w:p>
    <w:p w14:paraId="394CC6E6" w14:textId="77777777" w:rsidR="0057353F" w:rsidRDefault="0057353F" w:rsidP="00EF6A3E">
      <w:pPr>
        <w:spacing w:before="100" w:beforeAutospacing="1" w:after="100" w:afterAutospacing="1" w:line="240" w:lineRule="auto"/>
      </w:pPr>
      <w:r w:rsidRPr="0057353F">
        <w:rPr>
          <w:b/>
          <w:bCs/>
        </w:rPr>
        <w:t>Interpretationsansätze:</w:t>
      </w:r>
      <w:r>
        <w:t xml:space="preserve"> </w:t>
      </w:r>
    </w:p>
    <w:p w14:paraId="2A88CAA8" w14:textId="77777777" w:rsidR="0057353F" w:rsidRDefault="0057353F" w:rsidP="00EF6A3E">
      <w:pPr>
        <w:spacing w:before="100" w:beforeAutospacing="1" w:after="100" w:afterAutospacing="1" w:line="240" w:lineRule="auto"/>
      </w:pPr>
      <w:r>
        <w:t xml:space="preserve">1. </w:t>
      </w:r>
      <w:r w:rsidRPr="0057353F">
        <w:rPr>
          <w:b/>
          <w:bCs/>
        </w:rPr>
        <w:t>Symbolische Deutung:</w:t>
      </w:r>
      <w:r>
        <w:t xml:space="preserve"> Die Zahlen repräsentieren theologische Konzepte (Vollständigkeit, göttlicher Segen) statt historische Daten </w:t>
      </w:r>
    </w:p>
    <w:p w14:paraId="3442F201" w14:textId="76B8D6A5" w:rsidR="0057353F" w:rsidRDefault="0057353F" w:rsidP="00EF6A3E">
      <w:pPr>
        <w:spacing w:before="100" w:beforeAutospacing="1" w:after="100" w:afterAutospacing="1" w:line="240" w:lineRule="auto"/>
      </w:pPr>
      <w:r>
        <w:t xml:space="preserve">2. </w:t>
      </w:r>
      <w:r w:rsidRPr="00C75384">
        <w:rPr>
          <w:b/>
          <w:bCs/>
        </w:rPr>
        <w:t>Textgeschichtliche Entwicklung:</w:t>
      </w:r>
      <w:r>
        <w:t xml:space="preserve"> Spätere priesterliche Redaktion projizierte idealisierte Vorstellungen zurück </w:t>
      </w:r>
    </w:p>
    <w:p w14:paraId="27D6059F" w14:textId="3EE51DE6" w:rsidR="00C75384" w:rsidRDefault="0057353F" w:rsidP="00EF6A3E">
      <w:pPr>
        <w:spacing w:before="100" w:beforeAutospacing="1" w:after="100" w:afterAutospacing="1" w:line="240" w:lineRule="auto"/>
      </w:pPr>
      <w:r>
        <w:t xml:space="preserve">3. </w:t>
      </w:r>
      <w:r w:rsidRPr="00C75384">
        <w:rPr>
          <w:b/>
          <w:bCs/>
        </w:rPr>
        <w:t>Terminologische Neuinterpretation:</w:t>
      </w:r>
      <w:r>
        <w:t xml:space="preserve"> </w:t>
      </w:r>
      <w:r>
        <w:rPr>
          <w:rtl/>
        </w:rPr>
        <w:t>אלף</w:t>
      </w:r>
      <w:r>
        <w:t xml:space="preserve"> könnte "Sippe/Abteilung" statt "Tausend" bedeuten, was deutlich kleinere Zahlen ergäbe </w:t>
      </w:r>
    </w:p>
    <w:p w14:paraId="6A02AC98" w14:textId="49939C6F" w:rsidR="00C75384" w:rsidRDefault="0057353F" w:rsidP="00EF6A3E">
      <w:pPr>
        <w:spacing w:before="100" w:beforeAutospacing="1" w:after="100" w:afterAutospacing="1" w:line="240" w:lineRule="auto"/>
      </w:pPr>
      <w:r>
        <w:t xml:space="preserve">4. </w:t>
      </w:r>
      <w:r w:rsidRPr="00C75384">
        <w:rPr>
          <w:b/>
          <w:bCs/>
        </w:rPr>
        <w:t>Literarische Funktion:</w:t>
      </w:r>
      <w:r>
        <w:t xml:space="preserve"> Die Zahlen dienen der Glorifizierung Israels und Betonung göttlicher Verheißungserfüllung </w:t>
      </w:r>
    </w:p>
    <w:p w14:paraId="101AE37A" w14:textId="006AEA77" w:rsidR="00B31E00" w:rsidRDefault="0057353F" w:rsidP="00B31E00">
      <w:pPr>
        <w:pStyle w:val="whitespace-normal"/>
      </w:pPr>
      <w:r>
        <w:t>Diese wissenschaftlichen Fragen tangieren nicht die theologischen Kernaussagen des Textes über Gottes erwählende Liebe und Führung Israels.</w:t>
      </w:r>
      <w:r w:rsidR="00B31E00">
        <w:t xml:space="preserve"> Die Zahlenproblematik betrifft primär die priesterliche Bearbeitung, nicht notwendigerweise ältere Überlieferungskerne. Die systematische Präsentation und mathematische Präzision (Gesamtsumme = Einzelsummen) spricht für bewusste priesterliche Komposition mit theologischer, nicht statistischer Intention.</w:t>
      </w:r>
    </w:p>
    <w:p w14:paraId="66CEE8A4" w14:textId="72956FDF" w:rsidR="00C75384" w:rsidRDefault="00C75384" w:rsidP="00EF6A3E">
      <w:pPr>
        <w:spacing w:before="100" w:beforeAutospacing="1" w:after="100" w:afterAutospacing="1" w:line="240" w:lineRule="auto"/>
      </w:pPr>
    </w:p>
    <w:p w14:paraId="12B5FD0D" w14:textId="2C0F6CD5"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ἐγένοντο πάντες οἱ ἐπεσκεμμένοι ἑξακόσιαι χιλιάδες καὶ τρισχίλιοι καὶ πεντακόσιοι καὶ πεντήκοντα und gibt die komplexe Zahlenstruktur vollständig wieder.</w:t>
      </w:r>
    </w:p>
    <w:p w14:paraId="6AB98C8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existenzialen Satz mit </w:t>
      </w:r>
      <w:r w:rsidRPr="00EF6A3E">
        <w:rPr>
          <w:rFonts w:eastAsia="Times New Roman" w:cs="Times New Roman"/>
          <w:b/>
          <w:bCs/>
          <w:rtl/>
          <w:lang w:eastAsia="de-DE"/>
        </w:rPr>
        <w:t>וַיִּהְיוּ</w:t>
      </w:r>
      <w:r w:rsidRPr="00EF6A3E">
        <w:rPr>
          <w:rFonts w:eastAsia="Times New Roman" w:cs="Times New Roman"/>
          <w:rtl/>
          <w:lang w:eastAsia="de-DE"/>
        </w:rPr>
        <w:t xml:space="preserve"> </w:t>
      </w:r>
      <w:r w:rsidRPr="00EF6A3E">
        <w:rPr>
          <w:rFonts w:eastAsia="Times New Roman" w:cs="Times New Roman"/>
          <w:lang w:eastAsia="de-DE"/>
        </w:rPr>
        <w:t>als Kopula, einem zusammenfassenden Subjekt und einer viergliedrigen prädikativen Zahlenangabe.</w:t>
      </w:r>
    </w:p>
    <w:p w14:paraId="6B4FEDD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gibt die monumentale Gesamtzahl der wehrfähigen Israeliten an und zeigt die beeindruckende Größe des Volkes Israel zur Zeit der Sinai-Offenbarung.</w:t>
      </w:r>
    </w:p>
    <w:p w14:paraId="38E02546"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1,47</w:t>
      </w:r>
    </w:p>
    <w:p w14:paraId="0A02BFA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וְהַלְוִיִּ֖ם לְמַטֵּ֣ה אֲבֹתָ֑ם לֹ֥א הָתְפָּקְד֖וּ בְּתוֹכָֽם׃</w:t>
      </w:r>
    </w:p>
    <w:p w14:paraId="267F3F9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Aber die Levijim nach dem Stamm ihrer Väter wurden nicht unter ihnen gemustert.</w:t>
      </w:r>
    </w:p>
    <w:p w14:paraId="7AB82A9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D31275E">
          <v:rect id="_x0000_i1071" style="width:0;height:1.5pt" o:hralign="center" o:hrstd="t" o:hr="t" fillcolor="#a0a0a0" stroked="f"/>
        </w:pict>
      </w:r>
    </w:p>
    <w:p w14:paraId="064805A2" w14:textId="063DEDC6"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Waw adversativum </w:t>
      </w:r>
      <w:r w:rsidRPr="00EF6A3E">
        <w:rPr>
          <w:rFonts w:eastAsia="Times New Roman" w:cs="Times New Roman"/>
          <w:b/>
          <w:bCs/>
          <w:rtl/>
          <w:lang w:eastAsia="de-DE"/>
        </w:rPr>
        <w:t>וְ</w:t>
      </w:r>
      <w:r w:rsidRPr="00EF6A3E">
        <w:rPr>
          <w:rFonts w:eastAsia="Times New Roman" w:cs="Times New Roman"/>
          <w:rtl/>
          <w:lang w:eastAsia="de-DE"/>
        </w:rPr>
        <w:t xml:space="preserve"> </w:t>
      </w:r>
      <w:r w:rsidRPr="00EF6A3E">
        <w:rPr>
          <w:rFonts w:eastAsia="Times New Roman" w:cs="Times New Roman"/>
          <w:lang w:eastAsia="de-DE"/>
        </w:rPr>
        <w:t xml:space="preserve">leitet einen kontrastierenden Sachverhalt ein. Das Subjekt </w:t>
      </w:r>
      <w:r w:rsidRPr="00EF6A3E">
        <w:rPr>
          <w:rFonts w:eastAsia="Times New Roman" w:cs="Times New Roman"/>
          <w:b/>
          <w:bCs/>
          <w:rtl/>
          <w:lang w:eastAsia="de-DE"/>
        </w:rPr>
        <w:t>הַלְוִיִּם</w:t>
      </w:r>
      <w:r w:rsidRPr="00EF6A3E">
        <w:rPr>
          <w:rFonts w:eastAsia="Times New Roman" w:cs="Times New Roman"/>
          <w:rtl/>
          <w:lang w:eastAsia="de-DE"/>
        </w:rPr>
        <w:t xml:space="preserve"> </w:t>
      </w:r>
      <w:r w:rsidRPr="00EF6A3E">
        <w:rPr>
          <w:rFonts w:eastAsia="Times New Roman" w:cs="Times New Roman"/>
          <w:lang w:eastAsia="de-DE"/>
        </w:rPr>
        <w:t xml:space="preserve">(die Leviten) mit bestimmtem Artikel bezeichnet den Stamm Levi. Die präpositionale Phrase </w:t>
      </w:r>
      <w:r w:rsidRPr="00EF6A3E">
        <w:rPr>
          <w:rFonts w:eastAsia="Times New Roman" w:cs="Times New Roman"/>
          <w:b/>
          <w:bCs/>
          <w:rtl/>
          <w:lang w:eastAsia="de-DE"/>
        </w:rPr>
        <w:t>לְמַטֵּה אֲבֹתָם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מַטֶּה</w:t>
      </w:r>
      <w:r w:rsidRPr="00EF6A3E">
        <w:rPr>
          <w:rFonts w:eastAsia="Times New Roman" w:cs="Times New Roman"/>
          <w:rtl/>
          <w:lang w:eastAsia="de-DE"/>
        </w:rPr>
        <w:t xml:space="preserve"> </w:t>
      </w:r>
      <w:r w:rsidRPr="00EF6A3E">
        <w:rPr>
          <w:rFonts w:eastAsia="Times New Roman" w:cs="Times New Roman"/>
          <w:lang w:eastAsia="de-DE"/>
        </w:rPr>
        <w:t xml:space="preserve">(Stamm)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אֲבֹתָם</w:t>
      </w:r>
      <w:r w:rsidRPr="00EF6A3E">
        <w:rPr>
          <w:rFonts w:eastAsia="Times New Roman" w:cs="Times New Roman"/>
          <w:rtl/>
          <w:lang w:eastAsia="de-DE"/>
        </w:rPr>
        <w:t xml:space="preserve"> </w:t>
      </w:r>
      <w:r w:rsidRPr="00EF6A3E">
        <w:rPr>
          <w:rFonts w:eastAsia="Times New Roman" w:cs="Times New Roman"/>
          <w:lang w:eastAsia="de-DE"/>
        </w:rPr>
        <w:t>(ihre Väter) spezifiziert die stammesmäßige Zugehörigkeit.</w:t>
      </w:r>
    </w:p>
    <w:p w14:paraId="140CD2A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Verb </w:t>
      </w:r>
      <w:r w:rsidRPr="00EF6A3E">
        <w:rPr>
          <w:rFonts w:eastAsia="Times New Roman" w:cs="Times New Roman"/>
          <w:b/>
          <w:bCs/>
          <w:rtl/>
          <w:lang w:eastAsia="de-DE"/>
        </w:rPr>
        <w:t>לֹא הָתְפָּקְדוּ</w:t>
      </w:r>
      <w:r w:rsidRPr="00EF6A3E">
        <w:rPr>
          <w:rFonts w:eastAsia="Times New Roman" w:cs="Times New Roman"/>
          <w:rtl/>
          <w:lang w:eastAsia="de-DE"/>
        </w:rPr>
        <w:t xml:space="preserve"> </w:t>
      </w:r>
      <w:r w:rsidRPr="00EF6A3E">
        <w:rPr>
          <w:rFonts w:eastAsia="Times New Roman" w:cs="Times New Roman"/>
          <w:lang w:eastAsia="de-DE"/>
        </w:rPr>
        <w:t xml:space="preserve">zeigt die Negation </w:t>
      </w:r>
      <w:r w:rsidRPr="00EF6A3E">
        <w:rPr>
          <w:rFonts w:eastAsia="Times New Roman" w:cs="Times New Roman"/>
          <w:b/>
          <w:bCs/>
          <w:rtl/>
          <w:lang w:eastAsia="de-DE"/>
        </w:rPr>
        <w:t>לֹא</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הָתְפָּקְדוּ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 xml:space="preserve">(mustern) im Hithpa'el-Perfekt 3. maskulin Plural. Das Hithpa'el drückt hier die passive oder reflexive Bedeutung "sich mustern lassen/gemustert werden" aus. Die präpositionale Phrase </w:t>
      </w:r>
      <w:r w:rsidRPr="00EF6A3E">
        <w:rPr>
          <w:rFonts w:eastAsia="Times New Roman" w:cs="Times New Roman"/>
          <w:b/>
          <w:bCs/>
          <w:rtl/>
          <w:lang w:eastAsia="de-DE"/>
        </w:rPr>
        <w:t>בְּתוֹכָם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תּוֹךְ</w:t>
      </w:r>
      <w:r w:rsidRPr="00EF6A3E">
        <w:rPr>
          <w:rFonts w:eastAsia="Times New Roman" w:cs="Times New Roman"/>
          <w:rtl/>
          <w:lang w:eastAsia="de-DE"/>
        </w:rPr>
        <w:t xml:space="preserve"> </w:t>
      </w:r>
      <w:r w:rsidRPr="00EF6A3E">
        <w:rPr>
          <w:rFonts w:eastAsia="Times New Roman" w:cs="Times New Roman"/>
          <w:lang w:eastAsia="de-DE"/>
        </w:rPr>
        <w:t>(Mitte/Inneres) plus Suffix 3. maskulin Plural bedeutet "unter ihnen/in ihrer Mitte".</w:t>
      </w:r>
    </w:p>
    <w:p w14:paraId="4AFADA83" w14:textId="498B7D2F"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6662D">
        <w:t>betont die levitische Ausnahme durch οὐκ ἐπεσκέπησαν (sie wurden nicht gemustert).</w:t>
      </w:r>
    </w:p>
    <w:p w14:paraId="149DBF1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adversativen Satz mit </w:t>
      </w:r>
      <w:r w:rsidRPr="00EF6A3E">
        <w:rPr>
          <w:rFonts w:eastAsia="Times New Roman" w:cs="Times New Roman"/>
          <w:b/>
          <w:bCs/>
          <w:rtl/>
          <w:lang w:eastAsia="de-DE"/>
        </w:rPr>
        <w:t>הַלְוִיִּם</w:t>
      </w:r>
      <w:r w:rsidRPr="00EF6A3E">
        <w:rPr>
          <w:rFonts w:eastAsia="Times New Roman" w:cs="Times New Roman"/>
          <w:rtl/>
          <w:lang w:eastAsia="de-DE"/>
        </w:rPr>
        <w:t xml:space="preserve"> </w:t>
      </w:r>
      <w:r w:rsidRPr="00EF6A3E">
        <w:rPr>
          <w:rFonts w:eastAsia="Times New Roman" w:cs="Times New Roman"/>
          <w:lang w:eastAsia="de-DE"/>
        </w:rPr>
        <w:t>als Subjekt, einer präpositionalen Erweiterung zur Stammesbezeichnung und einem negierten Prädikat mit lokaler Ergänzung.</w:t>
      </w:r>
    </w:p>
    <w:p w14:paraId="02B9881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führt eine wichtige Ausnahme von der allgemeinen Musterung ein und bereitet die spezielle Rolle der Leviten als priesterlicher Stamm vor.</w:t>
      </w:r>
    </w:p>
    <w:p w14:paraId="22A78C71"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1,48</w:t>
      </w:r>
    </w:p>
    <w:p w14:paraId="10C37E9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וַיְדַבֵּ֥ר יְהוָ֖ה אֶל־מֹשֶׁ֥ה לֵּאמֹֽר׃</w:t>
      </w:r>
    </w:p>
    <w:p w14:paraId="36DCC99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der Ewige redete zu Mosche, sagend:</w:t>
      </w:r>
    </w:p>
    <w:p w14:paraId="4F2E720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1C02F4C">
          <v:rect id="_x0000_i1072" style="width:0;height:1.5pt" o:hralign="center" o:hrstd="t" o:hr="t" fillcolor="#a0a0a0" stroked="f"/>
        </w:pict>
      </w:r>
    </w:p>
    <w:p w14:paraId="43DA78E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Kommentar:</w:t>
      </w:r>
      <w:r w:rsidRPr="00EF6A3E">
        <w:rPr>
          <w:rFonts w:eastAsia="Times New Roman" w:cs="Times New Roman"/>
          <w:lang w:eastAsia="de-DE"/>
        </w:rPr>
        <w:t xml:space="preserve"> Das Verb </w:t>
      </w:r>
      <w:r w:rsidRPr="00EF6A3E">
        <w:rPr>
          <w:rFonts w:eastAsia="Times New Roman" w:cs="Times New Roman"/>
          <w:b/>
          <w:bCs/>
          <w:rtl/>
          <w:lang w:eastAsia="de-DE"/>
        </w:rPr>
        <w:t>וַיְדַבֵּר</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דבר</w:t>
      </w:r>
      <w:r w:rsidRPr="00EF6A3E">
        <w:rPr>
          <w:rFonts w:eastAsia="Times New Roman" w:cs="Times New Roman"/>
          <w:rtl/>
          <w:lang w:eastAsia="de-DE"/>
        </w:rPr>
        <w:t xml:space="preserve"> </w:t>
      </w:r>
      <w:r w:rsidRPr="00EF6A3E">
        <w:rPr>
          <w:rFonts w:eastAsia="Times New Roman" w:cs="Times New Roman"/>
          <w:lang w:eastAsia="de-DE"/>
        </w:rPr>
        <w:t xml:space="preserve">(reden/sprechen) im Qal-Imperfekt 3. maskulin Singular mit Waw consecutivum leitet eine neue göttliche Rede ein. Das Subjekt </w:t>
      </w:r>
      <w:r w:rsidRPr="00EF6A3E">
        <w:rPr>
          <w:rFonts w:eastAsia="Times New Roman" w:cs="Times New Roman"/>
          <w:b/>
          <w:bCs/>
          <w:rtl/>
          <w:lang w:eastAsia="de-DE"/>
        </w:rPr>
        <w:t>יְהוָה</w:t>
      </w:r>
      <w:r w:rsidRPr="00EF6A3E">
        <w:rPr>
          <w:rFonts w:eastAsia="Times New Roman" w:cs="Times New Roman"/>
          <w:rtl/>
          <w:lang w:eastAsia="de-DE"/>
        </w:rPr>
        <w:t xml:space="preserve"> </w:t>
      </w:r>
      <w:r w:rsidRPr="00EF6A3E">
        <w:rPr>
          <w:rFonts w:eastAsia="Times New Roman" w:cs="Times New Roman"/>
          <w:lang w:eastAsia="de-DE"/>
        </w:rPr>
        <w:t xml:space="preserve">und die präpositionale Phrase </w:t>
      </w:r>
      <w:r w:rsidRPr="00EF6A3E">
        <w:rPr>
          <w:rFonts w:eastAsia="Times New Roman" w:cs="Times New Roman"/>
          <w:b/>
          <w:bCs/>
          <w:rtl/>
          <w:lang w:eastAsia="de-DE"/>
        </w:rPr>
        <w:t>אֶל־מֹשֶׁה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(zu) entsprechen der etablierten Offenbarungsformel.</w:t>
      </w:r>
    </w:p>
    <w:p w14:paraId="2F5BF188" w14:textId="36AE6E62"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abschließende </w:t>
      </w:r>
      <w:r w:rsidRPr="00EF6A3E">
        <w:rPr>
          <w:rFonts w:eastAsia="Times New Roman" w:cs="Times New Roman"/>
          <w:b/>
          <w:bCs/>
          <w:rtl/>
          <w:lang w:eastAsia="de-DE"/>
        </w:rPr>
        <w:t>לֵאמֹר</w:t>
      </w:r>
      <w:r w:rsidRPr="00EF6A3E">
        <w:rPr>
          <w:rFonts w:eastAsia="Times New Roman" w:cs="Times New Roman"/>
          <w:rtl/>
          <w:lang w:eastAsia="de-DE"/>
        </w:rPr>
        <w:t xml:space="preserve"> </w:t>
      </w:r>
      <w:r w:rsidRPr="00EF6A3E">
        <w:rPr>
          <w:rFonts w:eastAsia="Times New Roman" w:cs="Times New Roman"/>
          <w:lang w:eastAsia="de-DE"/>
        </w:rPr>
        <w:t>ist der Infinitiv-</w:t>
      </w:r>
      <w:r w:rsidR="00F133EC">
        <w:rPr>
          <w:rFonts w:eastAsia="Times New Roman" w:cs="Times New Roman"/>
          <w:lang w:eastAsia="de-DE"/>
        </w:rPr>
        <w:t>Construct</w:t>
      </w:r>
      <w:r w:rsidRPr="00EF6A3E">
        <w:rPr>
          <w:rFonts w:eastAsia="Times New Roman" w:cs="Times New Roman"/>
          <w:lang w:eastAsia="de-DE"/>
        </w:rPr>
        <w:t xml:space="preserve"> von </w:t>
      </w:r>
      <w:r w:rsidRPr="00EF6A3E">
        <w:rPr>
          <w:rFonts w:eastAsia="Times New Roman" w:cs="Times New Roman"/>
          <w:b/>
          <w:bCs/>
          <w:rtl/>
          <w:lang w:eastAsia="de-DE"/>
        </w:rPr>
        <w:t>אמר</w:t>
      </w:r>
      <w:r w:rsidRPr="00EF6A3E">
        <w:rPr>
          <w:rFonts w:eastAsia="Times New Roman" w:cs="Times New Roman"/>
          <w:rtl/>
          <w:lang w:eastAsia="de-DE"/>
        </w:rPr>
        <w:t xml:space="preserve"> </w:t>
      </w:r>
      <w:r w:rsidRPr="00EF6A3E">
        <w:rPr>
          <w:rFonts w:eastAsia="Times New Roman" w:cs="Times New Roman"/>
          <w:lang w:eastAsia="de-DE"/>
        </w:rPr>
        <w:t>(sagen) und fungiert als Redeeinleitung, die den folgenden Inhalt ankündigt.</w:t>
      </w:r>
    </w:p>
    <w:p w14:paraId="754DC52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ἐλάλησεν κύριος πρὸς Μωυσῆν λέγων und behält die Standardformel bei.</w:t>
      </w:r>
    </w:p>
    <w:p w14:paraId="43920FD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einfachen Hauptsatz mit </w:t>
      </w:r>
      <w:r w:rsidRPr="00EF6A3E">
        <w:rPr>
          <w:rFonts w:eastAsia="Times New Roman" w:cs="Times New Roman"/>
          <w:b/>
          <w:bCs/>
          <w:rtl/>
          <w:lang w:eastAsia="de-DE"/>
        </w:rPr>
        <w:t>וַיְדַבֵּר</w:t>
      </w:r>
      <w:r w:rsidRPr="00EF6A3E">
        <w:rPr>
          <w:rFonts w:eastAsia="Times New Roman" w:cs="Times New Roman"/>
          <w:rtl/>
          <w:lang w:eastAsia="de-DE"/>
        </w:rPr>
        <w:t xml:space="preserve"> </w:t>
      </w:r>
      <w:r w:rsidRPr="00EF6A3E">
        <w:rPr>
          <w:rFonts w:eastAsia="Times New Roman" w:cs="Times New Roman"/>
          <w:lang w:eastAsia="de-DE"/>
        </w:rPr>
        <w:t xml:space="preserve">als Prädikat, </w:t>
      </w:r>
      <w:r w:rsidRPr="00EF6A3E">
        <w:rPr>
          <w:rFonts w:eastAsia="Times New Roman" w:cs="Times New Roman"/>
          <w:b/>
          <w:bCs/>
          <w:rtl/>
          <w:lang w:eastAsia="de-DE"/>
        </w:rPr>
        <w:t>יְהוָה</w:t>
      </w:r>
      <w:r w:rsidRPr="00EF6A3E">
        <w:rPr>
          <w:rFonts w:eastAsia="Times New Roman" w:cs="Times New Roman"/>
          <w:rtl/>
          <w:lang w:eastAsia="de-DE"/>
        </w:rPr>
        <w:t xml:space="preserve"> </w:t>
      </w:r>
      <w:r w:rsidRPr="00EF6A3E">
        <w:rPr>
          <w:rFonts w:eastAsia="Times New Roman" w:cs="Times New Roman"/>
          <w:lang w:eastAsia="de-DE"/>
        </w:rPr>
        <w:t xml:space="preserve">als Subjekt, einer präpositionalen Ergänzung und der charakteristischen Redeeinleitung </w:t>
      </w:r>
      <w:r w:rsidRPr="00EF6A3E">
        <w:rPr>
          <w:rFonts w:eastAsia="Times New Roman" w:cs="Times New Roman"/>
          <w:b/>
          <w:bCs/>
          <w:rtl/>
          <w:lang w:eastAsia="de-DE"/>
        </w:rPr>
        <w:t>לֵאמֹר</w:t>
      </w:r>
      <w:r w:rsidRPr="00EF6A3E">
        <w:rPr>
          <w:rFonts w:eastAsia="Times New Roman" w:cs="Times New Roman"/>
          <w:lang w:eastAsia="de-DE"/>
        </w:rPr>
        <w:t>.</w:t>
      </w:r>
    </w:p>
    <w:p w14:paraId="557753E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leitet eine Erklärung für die Sonderstellung der Leviten ein und verwendet die typische Einleitungsformel für göttliche Reden.</w:t>
      </w:r>
    </w:p>
    <w:p w14:paraId="5DDA6463"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1,49</w:t>
      </w:r>
    </w:p>
    <w:p w14:paraId="1E4A0EE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אַ֣ךְ אֶת־מַטֵּ֤ה לֵוִי֙ לֹ֣א תִפְקֹ֔ד וְאֶת־רֹאשָׁ֖ם לֹ֣א תִשָּׂ֑א בְּת֖וֹךְ בְּנֵ֥י יִשְׂרָאֵֽל׃</w:t>
      </w:r>
    </w:p>
    <w:p w14:paraId="1A2A345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Nur den Stamm Levi sollst du nicht mustern und ihre Kopfzahl nicht aufnehmen unter den Söhnen Jisra'el.</w:t>
      </w:r>
    </w:p>
    <w:p w14:paraId="6027D76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4E32AB0">
          <v:rect id="_x0000_i1073" style="width:0;height:1.5pt" o:hralign="center" o:hrstd="t" o:hr="t" fillcolor="#a0a0a0" stroked="f"/>
        </w:pict>
      </w:r>
    </w:p>
    <w:p w14:paraId="73809CA1" w14:textId="51853065"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restriktive </w:t>
      </w:r>
      <w:r w:rsidRPr="00EF6A3E">
        <w:rPr>
          <w:rFonts w:eastAsia="Times New Roman" w:cs="Times New Roman"/>
          <w:b/>
          <w:bCs/>
          <w:rtl/>
          <w:lang w:eastAsia="de-DE"/>
        </w:rPr>
        <w:t>אַךְ</w:t>
      </w:r>
      <w:r w:rsidRPr="00EF6A3E">
        <w:rPr>
          <w:rFonts w:eastAsia="Times New Roman" w:cs="Times New Roman"/>
          <w:rtl/>
          <w:lang w:eastAsia="de-DE"/>
        </w:rPr>
        <w:t xml:space="preserve"> </w:t>
      </w:r>
      <w:r w:rsidRPr="00EF6A3E">
        <w:rPr>
          <w:rFonts w:eastAsia="Times New Roman" w:cs="Times New Roman"/>
          <w:lang w:eastAsia="de-DE"/>
        </w:rPr>
        <w:t xml:space="preserve">(nur/jedoch) mit adversativer Funktion betont die Ausnahme. Das direkte Objekt </w:t>
      </w:r>
      <w:r w:rsidRPr="00EF6A3E">
        <w:rPr>
          <w:rFonts w:eastAsia="Times New Roman" w:cs="Times New Roman"/>
          <w:b/>
          <w:bCs/>
          <w:rtl/>
          <w:lang w:eastAsia="de-DE"/>
        </w:rPr>
        <w:t>אֶת־מַטֵּה לֵוִי</w:t>
      </w:r>
      <w:r w:rsidRPr="00EF6A3E">
        <w:rPr>
          <w:rFonts w:eastAsia="Times New Roman" w:cs="Times New Roman"/>
          <w:rtl/>
          <w:lang w:eastAsia="de-DE"/>
        </w:rPr>
        <w:t xml:space="preserve"> </w:t>
      </w:r>
      <w:r w:rsidRPr="00EF6A3E">
        <w:rPr>
          <w:rFonts w:eastAsia="Times New Roman" w:cs="Times New Roman"/>
          <w:lang w:eastAsia="de-DE"/>
        </w:rPr>
        <w:t xml:space="preserve">mit nota accusativi und </w:t>
      </w:r>
      <w:r w:rsidRPr="00EF6A3E">
        <w:rPr>
          <w:rFonts w:eastAsia="Times New Roman" w:cs="Times New Roman"/>
          <w:b/>
          <w:bCs/>
          <w:rtl/>
          <w:lang w:eastAsia="de-DE"/>
        </w:rPr>
        <w:t>מַטֶּה</w:t>
      </w:r>
      <w:r w:rsidRPr="00EF6A3E">
        <w:rPr>
          <w:rFonts w:eastAsia="Times New Roman" w:cs="Times New Roman"/>
          <w:rtl/>
          <w:lang w:eastAsia="de-DE"/>
        </w:rPr>
        <w:t xml:space="preserve"> </w:t>
      </w:r>
      <w:r w:rsidRPr="00EF6A3E">
        <w:rPr>
          <w:rFonts w:eastAsia="Times New Roman" w:cs="Times New Roman"/>
          <w:lang w:eastAsia="de-DE"/>
        </w:rPr>
        <w:t xml:space="preserve">(Stamm)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לֵוִי</w:t>
      </w:r>
      <w:r w:rsidRPr="00EF6A3E">
        <w:rPr>
          <w:rFonts w:eastAsia="Times New Roman" w:cs="Times New Roman"/>
          <w:rtl/>
          <w:lang w:eastAsia="de-DE"/>
        </w:rPr>
        <w:t xml:space="preserve"> </w:t>
      </w:r>
      <w:r w:rsidRPr="00EF6A3E">
        <w:rPr>
          <w:rFonts w:eastAsia="Times New Roman" w:cs="Times New Roman"/>
          <w:lang w:eastAsia="de-DE"/>
        </w:rPr>
        <w:t xml:space="preserve">spezifiziert die Ausnahme. Das Verb </w:t>
      </w:r>
      <w:r w:rsidRPr="00EF6A3E">
        <w:rPr>
          <w:rFonts w:eastAsia="Times New Roman" w:cs="Times New Roman"/>
          <w:b/>
          <w:bCs/>
          <w:rtl/>
          <w:lang w:eastAsia="de-DE"/>
        </w:rPr>
        <w:t>לֹא תִפְקֹד</w:t>
      </w:r>
      <w:r w:rsidRPr="00EF6A3E">
        <w:rPr>
          <w:rFonts w:eastAsia="Times New Roman" w:cs="Times New Roman"/>
          <w:rtl/>
          <w:lang w:eastAsia="de-DE"/>
        </w:rPr>
        <w:t xml:space="preserve"> </w:t>
      </w:r>
      <w:r w:rsidRPr="00EF6A3E">
        <w:rPr>
          <w:rFonts w:eastAsia="Times New Roman" w:cs="Times New Roman"/>
          <w:lang w:eastAsia="de-DE"/>
        </w:rPr>
        <w:t xml:space="preserve">zeigt die Negation </w:t>
      </w:r>
      <w:r w:rsidRPr="00EF6A3E">
        <w:rPr>
          <w:rFonts w:eastAsia="Times New Roman" w:cs="Times New Roman"/>
          <w:b/>
          <w:bCs/>
          <w:rtl/>
          <w:lang w:eastAsia="de-DE"/>
        </w:rPr>
        <w:t>לֹא</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תִפְקֹד</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(mustern) im Qal-Imperfekt 2. maskulin Singular als Verbot.</w:t>
      </w:r>
    </w:p>
    <w:p w14:paraId="2805CE7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koordinierte Satz </w:t>
      </w:r>
      <w:r w:rsidRPr="00EF6A3E">
        <w:rPr>
          <w:rFonts w:eastAsia="Times New Roman" w:cs="Times New Roman"/>
          <w:b/>
          <w:bCs/>
          <w:rtl/>
          <w:lang w:eastAsia="de-DE"/>
        </w:rPr>
        <w:t>וְאֶת־רֹאשָׁם לֹא תִשָּׂא</w:t>
      </w:r>
      <w:r w:rsidRPr="00EF6A3E">
        <w:rPr>
          <w:rFonts w:eastAsia="Times New Roman" w:cs="Times New Roman"/>
          <w:rtl/>
          <w:lang w:eastAsia="de-DE"/>
        </w:rPr>
        <w:t xml:space="preserve"> </w:t>
      </w:r>
      <w:r w:rsidRPr="00EF6A3E">
        <w:rPr>
          <w:rFonts w:eastAsia="Times New Roman" w:cs="Times New Roman"/>
          <w:lang w:eastAsia="de-DE"/>
        </w:rPr>
        <w:t xml:space="preserve">mit Waw copulativum zeigt </w:t>
      </w:r>
      <w:r w:rsidRPr="00EF6A3E">
        <w:rPr>
          <w:rFonts w:eastAsia="Times New Roman" w:cs="Times New Roman"/>
          <w:b/>
          <w:bCs/>
          <w:rtl/>
          <w:lang w:eastAsia="de-DE"/>
        </w:rPr>
        <w:t>אֶת־רֹאשָׁם</w:t>
      </w:r>
      <w:r w:rsidRPr="00EF6A3E">
        <w:rPr>
          <w:rFonts w:eastAsia="Times New Roman" w:cs="Times New Roman"/>
          <w:rtl/>
          <w:lang w:eastAsia="de-DE"/>
        </w:rPr>
        <w:t xml:space="preserve"> </w:t>
      </w:r>
      <w:r w:rsidRPr="00EF6A3E">
        <w:rPr>
          <w:rFonts w:eastAsia="Times New Roman" w:cs="Times New Roman"/>
          <w:lang w:eastAsia="de-DE"/>
        </w:rPr>
        <w:t xml:space="preserve">(ihre Kopfzahl) mit nota accusativi und Possessivsuffix 3. maskulin Plural. Das Verb </w:t>
      </w:r>
      <w:r w:rsidRPr="00EF6A3E">
        <w:rPr>
          <w:rFonts w:eastAsia="Times New Roman" w:cs="Times New Roman"/>
          <w:b/>
          <w:bCs/>
          <w:rtl/>
          <w:lang w:eastAsia="de-DE"/>
        </w:rPr>
        <w:t>לֹא תִשָּׂא</w:t>
      </w:r>
      <w:r w:rsidRPr="00EF6A3E">
        <w:rPr>
          <w:rFonts w:eastAsia="Times New Roman" w:cs="Times New Roman"/>
          <w:rtl/>
          <w:lang w:eastAsia="de-DE"/>
        </w:rPr>
        <w:t xml:space="preserve"> </w:t>
      </w:r>
      <w:r w:rsidRPr="00EF6A3E">
        <w:rPr>
          <w:rFonts w:eastAsia="Times New Roman" w:cs="Times New Roman"/>
          <w:lang w:eastAsia="de-DE"/>
        </w:rPr>
        <w:t xml:space="preserve">mit Negation und </w:t>
      </w:r>
      <w:r w:rsidRPr="00EF6A3E">
        <w:rPr>
          <w:rFonts w:eastAsia="Times New Roman" w:cs="Times New Roman"/>
          <w:b/>
          <w:bCs/>
          <w:rtl/>
          <w:lang w:eastAsia="de-DE"/>
        </w:rPr>
        <w:t>תִשָּׂא</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נשא</w:t>
      </w:r>
      <w:r w:rsidRPr="00EF6A3E">
        <w:rPr>
          <w:rFonts w:eastAsia="Times New Roman" w:cs="Times New Roman"/>
          <w:rtl/>
          <w:lang w:eastAsia="de-DE"/>
        </w:rPr>
        <w:t xml:space="preserve"> </w:t>
      </w:r>
      <w:r w:rsidRPr="00EF6A3E">
        <w:rPr>
          <w:rFonts w:eastAsia="Times New Roman" w:cs="Times New Roman"/>
          <w:lang w:eastAsia="de-DE"/>
        </w:rPr>
        <w:t>(erheben/aufnehmen) im Qal-Imperfekt 2. maskulin Singular verstärkt das Verbot der Zählung.</w:t>
      </w:r>
    </w:p>
    <w:p w14:paraId="01CF70F3" w14:textId="44AD4CF0"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בְּתוֹךְ בְּנֵי יִשְׂרָאֵל</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תּוֹךְ</w:t>
      </w:r>
      <w:r w:rsidRPr="00EF6A3E">
        <w:rPr>
          <w:rFonts w:eastAsia="Times New Roman" w:cs="Times New Roman"/>
          <w:rtl/>
          <w:lang w:eastAsia="de-DE"/>
        </w:rPr>
        <w:t xml:space="preserve"> </w:t>
      </w:r>
      <w:r w:rsidRPr="00EF6A3E">
        <w:rPr>
          <w:rFonts w:eastAsia="Times New Roman" w:cs="Times New Roman"/>
          <w:lang w:eastAsia="de-DE"/>
        </w:rPr>
        <w:t xml:space="preserve">(Mitte)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בְּנֵי יִשְׂרָאֵל</w:t>
      </w:r>
      <w:r w:rsidRPr="00EF6A3E">
        <w:rPr>
          <w:rFonts w:eastAsia="Times New Roman" w:cs="Times New Roman"/>
          <w:rtl/>
          <w:lang w:eastAsia="de-DE"/>
        </w:rPr>
        <w:t xml:space="preserve"> </w:t>
      </w:r>
      <w:r w:rsidRPr="00EF6A3E">
        <w:rPr>
          <w:rFonts w:eastAsia="Times New Roman" w:cs="Times New Roman"/>
          <w:lang w:eastAsia="de-DE"/>
        </w:rPr>
        <w:t>lokalisiert die Ausnahme "unter den Söhnen Israels".</w:t>
      </w:r>
    </w:p>
    <w:p w14:paraId="0E2CBE1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πλὴν τὴν φυλὴν Λευι οὐ συνεπισκέψῃ καὶ τὸν ἀριθμὸν αὐτῶν οὐ λήμψῃ ἐν μέσῳ υἱῶν Ισραηλ und behält die prohibitive Struktur bei.</w:t>
      </w:r>
    </w:p>
    <w:p w14:paraId="658571D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zwei koordinierte Verbalsätze mit </w:t>
      </w:r>
      <w:r w:rsidRPr="00EF6A3E">
        <w:rPr>
          <w:rFonts w:eastAsia="Times New Roman" w:cs="Times New Roman"/>
          <w:b/>
          <w:bCs/>
          <w:rtl/>
          <w:lang w:eastAsia="de-DE"/>
        </w:rPr>
        <w:t>אַךְ</w:t>
      </w:r>
      <w:r w:rsidRPr="00EF6A3E">
        <w:rPr>
          <w:rFonts w:eastAsia="Times New Roman" w:cs="Times New Roman"/>
          <w:rtl/>
          <w:lang w:eastAsia="de-DE"/>
        </w:rPr>
        <w:t xml:space="preserve"> </w:t>
      </w:r>
      <w:r w:rsidRPr="00EF6A3E">
        <w:rPr>
          <w:rFonts w:eastAsia="Times New Roman" w:cs="Times New Roman"/>
          <w:lang w:eastAsia="de-DE"/>
        </w:rPr>
        <w:t>als einleitender Restriktion, negierten Imperativen und einer finalen lokalen Bestimmung.</w:t>
      </w:r>
    </w:p>
    <w:p w14:paraId="4B6C3A4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formuliert das explizite göttliche Verbot, die Leviten in die militärische Musterung einzubeziehen, und bereitet ihre separate kultische Funktion vor.</w:t>
      </w:r>
    </w:p>
    <w:p w14:paraId="1204064B"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1,50</w:t>
      </w:r>
    </w:p>
    <w:p w14:paraId="3F72189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Hebräisch:</w:t>
      </w:r>
      <w:r w:rsidRPr="00EF6A3E">
        <w:rPr>
          <w:rFonts w:eastAsia="Times New Roman" w:cs="Times New Roman"/>
          <w:lang w:eastAsia="de-DE"/>
        </w:rPr>
        <w:t xml:space="preserve"> </w:t>
      </w:r>
      <w:r w:rsidRPr="00EF6A3E">
        <w:rPr>
          <w:rFonts w:eastAsia="Times New Roman" w:cs="Times New Roman"/>
          <w:rtl/>
          <w:lang w:eastAsia="de-DE"/>
        </w:rPr>
        <w:t>וְאַתָּ֡ה הַפְקֵ֣ד אֶת־הַלְוִיִּם֩ עַל־מִשְׁכַּ֨ן הָעֵדֻ֜ת וְעַ֣ל כָּל־כֵּלָיו֮ וְעַ֣ל כָּל־אֲשֶׁר־לוֹ֒ הֵ֜מָּה יִשְׂא֤וּ אֶת־הַמִּשְׁכָּן֙ וְאֶת־כָּל־כֵּלָ֔יו וְהֵ֖ם יְשָׁרְתֻ֑הוּ וְסָבִ֥יב לַמִּשְׁכָּ֖ן יַחֲנֽוּ׃</w:t>
      </w:r>
    </w:p>
    <w:p w14:paraId="1725BB7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du, setze die Levijim über die Wohnung des Zeugnisses und über alle ihre Geräte und über alles, was zu ihr gehört; sie sollen die Wohnung tragen und alle ihre Geräte, und sie sollen sie bedienen; und rings um die Wohnung sollen sie lagern.</w:t>
      </w:r>
    </w:p>
    <w:p w14:paraId="1D965619"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9E95EA1">
          <v:rect id="_x0000_i1074" style="width:0;height:1.5pt" o:hralign="center" o:hrstd="t" o:hr="t" fillcolor="#a0a0a0" stroked="f"/>
        </w:pict>
      </w:r>
    </w:p>
    <w:p w14:paraId="2B71AC9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emphatische Personalpronomen </w:t>
      </w:r>
      <w:r w:rsidRPr="00EF6A3E">
        <w:rPr>
          <w:rFonts w:eastAsia="Times New Roman" w:cs="Times New Roman"/>
          <w:b/>
          <w:bCs/>
          <w:rtl/>
          <w:lang w:eastAsia="de-DE"/>
        </w:rPr>
        <w:t>וְאַתָּה</w:t>
      </w:r>
      <w:r w:rsidRPr="00EF6A3E">
        <w:rPr>
          <w:rFonts w:eastAsia="Times New Roman" w:cs="Times New Roman"/>
          <w:rtl/>
          <w:lang w:eastAsia="de-DE"/>
        </w:rPr>
        <w:t xml:space="preserve"> </w:t>
      </w:r>
      <w:r w:rsidRPr="00EF6A3E">
        <w:rPr>
          <w:rFonts w:eastAsia="Times New Roman" w:cs="Times New Roman"/>
          <w:lang w:eastAsia="de-DE"/>
        </w:rPr>
        <w:t xml:space="preserve">(und du) mit Waw copulativum richtet sich direkt an Mose. Das Verb </w:t>
      </w:r>
      <w:r w:rsidRPr="00EF6A3E">
        <w:rPr>
          <w:rFonts w:eastAsia="Times New Roman" w:cs="Times New Roman"/>
          <w:b/>
          <w:bCs/>
          <w:rtl/>
          <w:lang w:eastAsia="de-DE"/>
        </w:rPr>
        <w:t>הַפְקֵד</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 xml:space="preserve">(beaufsichtigen/einsetzen) im Hiph'il-Imperativ maskulin Singular zeigt die kausative Bedeutung "setze ein/beauftrage". Das direkte Objekt </w:t>
      </w:r>
      <w:r w:rsidRPr="00EF6A3E">
        <w:rPr>
          <w:rFonts w:eastAsia="Times New Roman" w:cs="Times New Roman"/>
          <w:b/>
          <w:bCs/>
          <w:rtl/>
          <w:lang w:eastAsia="de-DE"/>
        </w:rPr>
        <w:t>אֶת־הַלְוִיִּם</w:t>
      </w:r>
      <w:r w:rsidRPr="00EF6A3E">
        <w:rPr>
          <w:rFonts w:eastAsia="Times New Roman" w:cs="Times New Roman"/>
          <w:rtl/>
          <w:lang w:eastAsia="de-DE"/>
        </w:rPr>
        <w:t xml:space="preserve"> </w:t>
      </w:r>
      <w:r w:rsidRPr="00EF6A3E">
        <w:rPr>
          <w:rFonts w:eastAsia="Times New Roman" w:cs="Times New Roman"/>
          <w:lang w:eastAsia="de-DE"/>
        </w:rPr>
        <w:t>mit nota accusativi bezeichnet die Leviten.</w:t>
      </w:r>
    </w:p>
    <w:p w14:paraId="42F6D67A" w14:textId="49E00F8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dreifache präpositionale Phrase </w:t>
      </w:r>
      <w:r w:rsidRPr="00EF6A3E">
        <w:rPr>
          <w:rFonts w:eastAsia="Times New Roman" w:cs="Times New Roman"/>
          <w:b/>
          <w:bCs/>
          <w:rtl/>
          <w:lang w:eastAsia="de-DE"/>
        </w:rPr>
        <w:t>עַל־מִשְׁכַּן הָעֵדֻת וְעַל כָּל־כֵּלָיו וְעַל כָּל־אֲשֶׁר־לוֹ</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עַל</w:t>
      </w:r>
      <w:r w:rsidRPr="00EF6A3E">
        <w:rPr>
          <w:rFonts w:eastAsia="Times New Roman" w:cs="Times New Roman"/>
          <w:rtl/>
          <w:lang w:eastAsia="de-DE"/>
        </w:rPr>
        <w:t xml:space="preserve"> </w:t>
      </w:r>
      <w:r w:rsidRPr="00EF6A3E">
        <w:rPr>
          <w:rFonts w:eastAsia="Times New Roman" w:cs="Times New Roman"/>
          <w:lang w:eastAsia="de-DE"/>
        </w:rPr>
        <w:t xml:space="preserve">(über/betreffend) spezifiziert den Verantwortungsbereich. </w:t>
      </w:r>
      <w:r w:rsidRPr="00EF6A3E">
        <w:rPr>
          <w:rFonts w:eastAsia="Times New Roman" w:cs="Times New Roman"/>
          <w:b/>
          <w:bCs/>
          <w:rtl/>
          <w:lang w:eastAsia="de-DE"/>
        </w:rPr>
        <w:t>מִשְׁכַּן הָעֵדֻת</w:t>
      </w:r>
      <w:r w:rsidRPr="00EF6A3E">
        <w:rPr>
          <w:rFonts w:eastAsia="Times New Roman" w:cs="Times New Roman"/>
          <w:rtl/>
          <w:lang w:eastAsia="de-DE"/>
        </w:rPr>
        <w:t xml:space="preserve"> </w:t>
      </w:r>
      <w:r w:rsidRPr="00EF6A3E">
        <w:rPr>
          <w:rFonts w:eastAsia="Times New Roman" w:cs="Times New Roman"/>
          <w:lang w:eastAsia="de-DE"/>
        </w:rPr>
        <w:t xml:space="preserve">(Wohnung des Zeugnisses) im </w:t>
      </w:r>
      <w:r w:rsidR="00F133EC">
        <w:rPr>
          <w:rFonts w:eastAsia="Times New Roman" w:cs="Times New Roman"/>
          <w:lang w:eastAsia="de-DE"/>
        </w:rPr>
        <w:t>Construct</w:t>
      </w:r>
      <w:r w:rsidRPr="00EF6A3E">
        <w:rPr>
          <w:rFonts w:eastAsia="Times New Roman" w:cs="Times New Roman"/>
          <w:lang w:eastAsia="de-DE"/>
        </w:rPr>
        <w:t xml:space="preserve">, </w:t>
      </w:r>
      <w:r w:rsidRPr="00EF6A3E">
        <w:rPr>
          <w:rFonts w:eastAsia="Times New Roman" w:cs="Times New Roman"/>
          <w:b/>
          <w:bCs/>
          <w:rtl/>
          <w:lang w:eastAsia="de-DE"/>
        </w:rPr>
        <w:t>כֵּלָיו</w:t>
      </w:r>
      <w:r w:rsidRPr="00EF6A3E">
        <w:rPr>
          <w:rFonts w:eastAsia="Times New Roman" w:cs="Times New Roman"/>
          <w:rtl/>
          <w:lang w:eastAsia="de-DE"/>
        </w:rPr>
        <w:t xml:space="preserve"> </w:t>
      </w:r>
      <w:r w:rsidRPr="00EF6A3E">
        <w:rPr>
          <w:rFonts w:eastAsia="Times New Roman" w:cs="Times New Roman"/>
          <w:lang w:eastAsia="de-DE"/>
        </w:rPr>
        <w:t xml:space="preserve">(seine Geräte) mit Possessivsuffix und der Relativsatz </w:t>
      </w:r>
      <w:r w:rsidRPr="00EF6A3E">
        <w:rPr>
          <w:rFonts w:eastAsia="Times New Roman" w:cs="Times New Roman"/>
          <w:b/>
          <w:bCs/>
          <w:rtl/>
          <w:lang w:eastAsia="de-DE"/>
        </w:rPr>
        <w:t>אֲשֶׁר־לוֹ</w:t>
      </w:r>
      <w:r w:rsidRPr="00EF6A3E">
        <w:rPr>
          <w:rFonts w:eastAsia="Times New Roman" w:cs="Times New Roman"/>
          <w:rtl/>
          <w:lang w:eastAsia="de-DE"/>
        </w:rPr>
        <w:t xml:space="preserve"> </w:t>
      </w:r>
      <w:r w:rsidRPr="00EF6A3E">
        <w:rPr>
          <w:rFonts w:eastAsia="Times New Roman" w:cs="Times New Roman"/>
          <w:lang w:eastAsia="de-DE"/>
        </w:rPr>
        <w:t>(was zu ihm gehört) umfassen alle Aspekte des Heiligtums.</w:t>
      </w:r>
    </w:p>
    <w:p w14:paraId="128ED3F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koordinierten Verbalsätze </w:t>
      </w:r>
      <w:r w:rsidRPr="00EF6A3E">
        <w:rPr>
          <w:rFonts w:eastAsia="Times New Roman" w:cs="Times New Roman"/>
          <w:b/>
          <w:bCs/>
          <w:rtl/>
          <w:lang w:eastAsia="de-DE"/>
        </w:rPr>
        <w:t>הֵמָּה יִשְׂאוּ אֶת־הַמִּשְׁכָּן וְאֶת־כָּל־כֵּלָיו</w:t>
      </w:r>
      <w:r w:rsidRPr="00EF6A3E">
        <w:rPr>
          <w:rFonts w:eastAsia="Times New Roman" w:cs="Times New Roman"/>
          <w:rtl/>
          <w:lang w:eastAsia="de-DE"/>
        </w:rPr>
        <w:t xml:space="preserve"> </w:t>
      </w:r>
      <w:r w:rsidRPr="00EF6A3E">
        <w:rPr>
          <w:rFonts w:eastAsia="Times New Roman" w:cs="Times New Roman"/>
          <w:lang w:eastAsia="de-DE"/>
        </w:rPr>
        <w:t xml:space="preserve">zeigen </w:t>
      </w:r>
      <w:r w:rsidRPr="00EF6A3E">
        <w:rPr>
          <w:rFonts w:eastAsia="Times New Roman" w:cs="Times New Roman"/>
          <w:b/>
          <w:bCs/>
          <w:rtl/>
          <w:lang w:eastAsia="de-DE"/>
        </w:rPr>
        <w:t>הֵמָּה</w:t>
      </w:r>
      <w:r w:rsidRPr="00EF6A3E">
        <w:rPr>
          <w:rFonts w:eastAsia="Times New Roman" w:cs="Times New Roman"/>
          <w:rtl/>
          <w:lang w:eastAsia="de-DE"/>
        </w:rPr>
        <w:t xml:space="preserve"> </w:t>
      </w:r>
      <w:r w:rsidRPr="00EF6A3E">
        <w:rPr>
          <w:rFonts w:eastAsia="Times New Roman" w:cs="Times New Roman"/>
          <w:lang w:eastAsia="de-DE"/>
        </w:rPr>
        <w:t xml:space="preserve">(sie) als emphatisches Subjekt mit </w:t>
      </w:r>
      <w:r w:rsidRPr="00EF6A3E">
        <w:rPr>
          <w:rFonts w:eastAsia="Times New Roman" w:cs="Times New Roman"/>
          <w:b/>
          <w:bCs/>
          <w:rtl/>
          <w:lang w:eastAsia="de-DE"/>
        </w:rPr>
        <w:t>יִשְׂאוּ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נשא</w:t>
      </w:r>
      <w:r w:rsidRPr="00EF6A3E">
        <w:rPr>
          <w:rFonts w:eastAsia="Times New Roman" w:cs="Times New Roman"/>
          <w:rtl/>
          <w:lang w:eastAsia="de-DE"/>
        </w:rPr>
        <w:t xml:space="preserve"> </w:t>
      </w:r>
      <w:r w:rsidRPr="00EF6A3E">
        <w:rPr>
          <w:rFonts w:eastAsia="Times New Roman" w:cs="Times New Roman"/>
          <w:lang w:eastAsia="de-DE"/>
        </w:rPr>
        <w:t xml:space="preserve">(tragen) im Qal-Imperfekt 3. maskulin Plural. </w:t>
      </w:r>
      <w:r w:rsidRPr="00EF6A3E">
        <w:rPr>
          <w:rFonts w:eastAsia="Times New Roman" w:cs="Times New Roman"/>
          <w:b/>
          <w:bCs/>
          <w:rtl/>
          <w:lang w:eastAsia="de-DE"/>
        </w:rPr>
        <w:t>וְהֵם יְשָׁרְתֻהוּ</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יְשָׁרְתֻהוּ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שרת</w:t>
      </w:r>
      <w:r w:rsidRPr="00EF6A3E">
        <w:rPr>
          <w:rFonts w:eastAsia="Times New Roman" w:cs="Times New Roman"/>
          <w:rtl/>
          <w:lang w:eastAsia="de-DE"/>
        </w:rPr>
        <w:t xml:space="preserve"> </w:t>
      </w:r>
      <w:r w:rsidRPr="00EF6A3E">
        <w:rPr>
          <w:rFonts w:eastAsia="Times New Roman" w:cs="Times New Roman"/>
          <w:lang w:eastAsia="de-DE"/>
        </w:rPr>
        <w:t>(dienen) im Pi'el-Imperfekt plus Objektsuffix 3. maskulin Singular zeigt den kultischen Dienst.</w:t>
      </w:r>
    </w:p>
    <w:p w14:paraId="0C65CBA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finale Satz </w:t>
      </w:r>
      <w:r w:rsidRPr="00EF6A3E">
        <w:rPr>
          <w:rFonts w:eastAsia="Times New Roman" w:cs="Times New Roman"/>
          <w:b/>
          <w:bCs/>
          <w:rtl/>
          <w:lang w:eastAsia="de-DE"/>
        </w:rPr>
        <w:t>וְסָבִיב לַמִּשְׁכָּן יַחֲנוּ</w:t>
      </w:r>
      <w:r w:rsidRPr="00EF6A3E">
        <w:rPr>
          <w:rFonts w:eastAsia="Times New Roman" w:cs="Times New Roman"/>
          <w:rtl/>
          <w:lang w:eastAsia="de-DE"/>
        </w:rPr>
        <w:t xml:space="preserve"> </w:t>
      </w:r>
      <w:r w:rsidRPr="00EF6A3E">
        <w:rPr>
          <w:rFonts w:eastAsia="Times New Roman" w:cs="Times New Roman"/>
          <w:lang w:eastAsia="de-DE"/>
        </w:rPr>
        <w:t xml:space="preserve">mit dem Adverb </w:t>
      </w:r>
      <w:r w:rsidRPr="00EF6A3E">
        <w:rPr>
          <w:rFonts w:eastAsia="Times New Roman" w:cs="Times New Roman"/>
          <w:b/>
          <w:bCs/>
          <w:rtl/>
          <w:lang w:eastAsia="de-DE"/>
        </w:rPr>
        <w:t>סָבִיב</w:t>
      </w:r>
      <w:r w:rsidRPr="00EF6A3E">
        <w:rPr>
          <w:rFonts w:eastAsia="Times New Roman" w:cs="Times New Roman"/>
          <w:rtl/>
          <w:lang w:eastAsia="de-DE"/>
        </w:rPr>
        <w:t xml:space="preserve"> </w:t>
      </w:r>
      <w:r w:rsidRPr="00EF6A3E">
        <w:rPr>
          <w:rFonts w:eastAsia="Times New Roman" w:cs="Times New Roman"/>
          <w:lang w:eastAsia="de-DE"/>
        </w:rPr>
        <w:t xml:space="preserve">(ringsum) und </w:t>
      </w:r>
      <w:r w:rsidRPr="00EF6A3E">
        <w:rPr>
          <w:rFonts w:eastAsia="Times New Roman" w:cs="Times New Roman"/>
          <w:b/>
          <w:bCs/>
          <w:rtl/>
          <w:lang w:eastAsia="de-DE"/>
        </w:rPr>
        <w:t>יַחֲנוּ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(lagern) im Qal-Imperfekt 3. maskulin Plural bestimmt die Lagerordnung.</w:t>
      </w:r>
    </w:p>
    <w:p w14:paraId="384265E3" w14:textId="09E5FB23"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6662D">
        <w:t xml:space="preserve">übersetzt </w:t>
      </w:r>
      <w:r w:rsidR="0036662D">
        <w:rPr>
          <w:rtl/>
        </w:rPr>
        <w:t>משכן העדת</w:t>
      </w:r>
      <w:r w:rsidR="0036662D">
        <w:t xml:space="preserve"> (mishkan ha'edut - "Wohnung des Zeugnisses") konsistent als σκηνὴ τοῦ μαρτυρίου (Zelt des Zeugnisses).</w:t>
      </w:r>
    </w:p>
    <w:p w14:paraId="664B935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einen Imperativsatz mit emphatischem Subjekt, gefolgt von koordinierten Bestimmungen des Verantwortungsbereichs und funktionalen Beschreibungen der levitischen Aufgaben.</w:t>
      </w:r>
    </w:p>
    <w:p w14:paraId="7C60AE0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etabliert die positive Rolle der Leviten als Hüter und Diener des Heiligtums anstelle ihrer Teilnahme am militärischen Dienst.</w:t>
      </w:r>
    </w:p>
    <w:p w14:paraId="13FDAE75"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1,51</w:t>
      </w:r>
    </w:p>
    <w:p w14:paraId="061A867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וּבִנְסֹ֣עַ הַמִּשְׁכָּ֗ן יוֹרִ֤ידוּ אֹתוֹ֙ הַלְוִיִּ֔ם וּבַחֲנֹת֙ הַמִּשְׁכָּ֔ן יָקִ֥ימוּ אֹתוֹ֖ הַלְוִיִּ֑ם וְהַזָּ֥ר הַקָּרֵ֖ב יוּמָֽת׃</w:t>
      </w:r>
    </w:p>
    <w:p w14:paraId="42A4388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wenn die Wohnung aufbricht, sollen die Levijim sie abbauen, und wenn die Wohnung sich niederlässt, sollen die Levijim sie aufrichten; und der Fremde, der sich nähert, soll getötet werden.</w:t>
      </w:r>
    </w:p>
    <w:p w14:paraId="311A461A"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728E7AB3">
          <v:rect id="_x0000_i1075" style="width:0;height:1.5pt" o:hralign="center" o:hrstd="t" o:hr="t" fillcolor="#a0a0a0" stroked="f"/>
        </w:pict>
      </w:r>
    </w:p>
    <w:p w14:paraId="580014DB" w14:textId="7D37EE9D"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Der erste Temporalsatz </w:t>
      </w:r>
      <w:r w:rsidRPr="00EF6A3E">
        <w:rPr>
          <w:rFonts w:eastAsia="Times New Roman" w:cs="Times New Roman"/>
          <w:b/>
          <w:bCs/>
          <w:rtl/>
          <w:lang w:eastAsia="de-DE"/>
        </w:rPr>
        <w:t>וּבִנְסֹעַ הַמִּשְׁכָּן</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וּ</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plus dem Infinitiv-</w:t>
      </w:r>
      <w:r w:rsidR="00F133EC">
        <w:rPr>
          <w:rFonts w:eastAsia="Times New Roman" w:cs="Times New Roman"/>
          <w:lang w:eastAsia="de-DE"/>
        </w:rPr>
        <w:t>Construct</w:t>
      </w:r>
      <w:r w:rsidRPr="00EF6A3E">
        <w:rPr>
          <w:rFonts w:eastAsia="Times New Roman" w:cs="Times New Roman"/>
          <w:lang w:eastAsia="de-DE"/>
        </w:rPr>
        <w:t xml:space="preserve"> </w:t>
      </w:r>
      <w:r w:rsidRPr="00EF6A3E">
        <w:rPr>
          <w:rFonts w:eastAsia="Times New Roman" w:cs="Times New Roman"/>
          <w:b/>
          <w:bCs/>
          <w:rtl/>
          <w:lang w:eastAsia="de-DE"/>
        </w:rPr>
        <w:t>נְסֹעַ</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נסע</w:t>
      </w:r>
      <w:r w:rsidRPr="00EF6A3E">
        <w:rPr>
          <w:rFonts w:eastAsia="Times New Roman" w:cs="Times New Roman"/>
          <w:rtl/>
          <w:lang w:eastAsia="de-DE"/>
        </w:rPr>
        <w:t xml:space="preserve"> </w:t>
      </w:r>
      <w:r w:rsidRPr="00EF6A3E">
        <w:rPr>
          <w:rFonts w:eastAsia="Times New Roman" w:cs="Times New Roman"/>
          <w:lang w:eastAsia="de-DE"/>
        </w:rPr>
        <w:t xml:space="preserve">(aufbrechen/reisen) und </w:t>
      </w:r>
      <w:r w:rsidRPr="00EF6A3E">
        <w:rPr>
          <w:rFonts w:eastAsia="Times New Roman" w:cs="Times New Roman"/>
          <w:b/>
          <w:bCs/>
          <w:rtl/>
          <w:lang w:eastAsia="de-DE"/>
        </w:rPr>
        <w:t>הַמִּשְׁכָּן</w:t>
      </w:r>
      <w:r w:rsidRPr="00EF6A3E">
        <w:rPr>
          <w:rFonts w:eastAsia="Times New Roman" w:cs="Times New Roman"/>
          <w:rtl/>
          <w:lang w:eastAsia="de-DE"/>
        </w:rPr>
        <w:t xml:space="preserve"> </w:t>
      </w:r>
      <w:r w:rsidRPr="00EF6A3E">
        <w:rPr>
          <w:rFonts w:eastAsia="Times New Roman" w:cs="Times New Roman"/>
          <w:lang w:eastAsia="de-DE"/>
        </w:rPr>
        <w:t xml:space="preserve">(die Wohnung) als Subjekt. Das Hauptverb </w:t>
      </w:r>
      <w:r w:rsidRPr="00EF6A3E">
        <w:rPr>
          <w:rFonts w:eastAsia="Times New Roman" w:cs="Times New Roman"/>
          <w:b/>
          <w:bCs/>
          <w:rtl/>
          <w:lang w:eastAsia="de-DE"/>
        </w:rPr>
        <w:t>יוֹרִידוּ</w:t>
      </w:r>
      <w:r w:rsidRPr="00EF6A3E">
        <w:rPr>
          <w:rFonts w:eastAsia="Times New Roman" w:cs="Times New Roman"/>
          <w:rtl/>
          <w:lang w:eastAsia="de-DE"/>
        </w:rPr>
        <w:t xml:space="preserve"> </w:t>
      </w:r>
      <w:r w:rsidRPr="00EF6A3E">
        <w:rPr>
          <w:rFonts w:eastAsia="Times New Roman" w:cs="Times New Roman"/>
          <w:lang w:eastAsia="de-DE"/>
        </w:rPr>
        <w:lastRenderedPageBreak/>
        <w:t xml:space="preserve">von </w:t>
      </w:r>
      <w:r w:rsidRPr="00EF6A3E">
        <w:rPr>
          <w:rFonts w:eastAsia="Times New Roman" w:cs="Times New Roman"/>
          <w:b/>
          <w:bCs/>
          <w:rtl/>
          <w:lang w:eastAsia="de-DE"/>
        </w:rPr>
        <w:t>ירד</w:t>
      </w:r>
      <w:r w:rsidRPr="00EF6A3E">
        <w:rPr>
          <w:rFonts w:eastAsia="Times New Roman" w:cs="Times New Roman"/>
          <w:rtl/>
          <w:lang w:eastAsia="de-DE"/>
        </w:rPr>
        <w:t xml:space="preserve"> </w:t>
      </w:r>
      <w:r w:rsidRPr="00EF6A3E">
        <w:rPr>
          <w:rFonts w:eastAsia="Times New Roman" w:cs="Times New Roman"/>
          <w:lang w:eastAsia="de-DE"/>
        </w:rPr>
        <w:t xml:space="preserve">(hinabsteigen/abbauen) im Hiph'il-Imperfekt 3. maskulin Plural zeigt die kausative Bedeutung. </w:t>
      </w:r>
      <w:r w:rsidRPr="00EF6A3E">
        <w:rPr>
          <w:rFonts w:eastAsia="Times New Roman" w:cs="Times New Roman"/>
          <w:b/>
          <w:bCs/>
          <w:rtl/>
          <w:lang w:eastAsia="de-DE"/>
        </w:rPr>
        <w:t>אֹתוֹ</w:t>
      </w:r>
      <w:r w:rsidRPr="00EF6A3E">
        <w:rPr>
          <w:rFonts w:eastAsia="Times New Roman" w:cs="Times New Roman"/>
          <w:rtl/>
          <w:lang w:eastAsia="de-DE"/>
        </w:rPr>
        <w:t xml:space="preserve"> </w:t>
      </w:r>
      <w:r w:rsidRPr="00EF6A3E">
        <w:rPr>
          <w:rFonts w:eastAsia="Times New Roman" w:cs="Times New Roman"/>
          <w:lang w:eastAsia="de-DE"/>
        </w:rPr>
        <w:t xml:space="preserve">(ihn) mit Objektsuffix 3. maskulin Singular bezieht sich auf </w:t>
      </w:r>
      <w:r w:rsidRPr="00EF6A3E">
        <w:rPr>
          <w:rFonts w:eastAsia="Times New Roman" w:cs="Times New Roman"/>
          <w:b/>
          <w:bCs/>
          <w:rtl/>
          <w:lang w:eastAsia="de-DE"/>
        </w:rPr>
        <w:t>הַמִּשְׁכָּן</w:t>
      </w:r>
      <w:r w:rsidRPr="00EF6A3E">
        <w:rPr>
          <w:rFonts w:eastAsia="Times New Roman" w:cs="Times New Roman"/>
          <w:lang w:eastAsia="de-DE"/>
        </w:rPr>
        <w:t xml:space="preserve">, und </w:t>
      </w:r>
      <w:r w:rsidRPr="00EF6A3E">
        <w:rPr>
          <w:rFonts w:eastAsia="Times New Roman" w:cs="Times New Roman"/>
          <w:b/>
          <w:bCs/>
          <w:rtl/>
          <w:lang w:eastAsia="de-DE"/>
        </w:rPr>
        <w:t>הַלְוִיִּם</w:t>
      </w:r>
      <w:r w:rsidRPr="00EF6A3E">
        <w:rPr>
          <w:rFonts w:eastAsia="Times New Roman" w:cs="Times New Roman"/>
          <w:rtl/>
          <w:lang w:eastAsia="de-DE"/>
        </w:rPr>
        <w:t xml:space="preserve"> </w:t>
      </w:r>
      <w:r w:rsidRPr="00EF6A3E">
        <w:rPr>
          <w:rFonts w:eastAsia="Times New Roman" w:cs="Times New Roman"/>
          <w:lang w:eastAsia="de-DE"/>
        </w:rPr>
        <w:t>(die Leviten) fungiert als Subjekt.</w:t>
      </w:r>
    </w:p>
    <w:p w14:paraId="162D055B" w14:textId="6BD2B453"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parallele Temporalsatz </w:t>
      </w:r>
      <w:r w:rsidRPr="00EF6A3E">
        <w:rPr>
          <w:rFonts w:eastAsia="Times New Roman" w:cs="Times New Roman"/>
          <w:b/>
          <w:bCs/>
          <w:rtl/>
          <w:lang w:eastAsia="de-DE"/>
        </w:rPr>
        <w:t>וּבַחֲנֹת הַמִּשְׁכָּן</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plus Infinitiv-</w:t>
      </w:r>
      <w:r w:rsidR="00F133EC">
        <w:rPr>
          <w:rFonts w:eastAsia="Times New Roman" w:cs="Times New Roman"/>
          <w:lang w:eastAsia="de-DE"/>
        </w:rPr>
        <w:t>Construct</w:t>
      </w:r>
      <w:r w:rsidRPr="00EF6A3E">
        <w:rPr>
          <w:rFonts w:eastAsia="Times New Roman" w:cs="Times New Roman"/>
          <w:lang w:eastAsia="de-DE"/>
        </w:rPr>
        <w:t xml:space="preserve"> </w:t>
      </w:r>
      <w:r w:rsidRPr="00EF6A3E">
        <w:rPr>
          <w:rFonts w:eastAsia="Times New Roman" w:cs="Times New Roman"/>
          <w:b/>
          <w:bCs/>
          <w:rtl/>
          <w:lang w:eastAsia="de-DE"/>
        </w:rPr>
        <w:t>חֲנֹת</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 xml:space="preserve">(lagern/sich niederlassen) zeigt die entsprechende Situation. Das Verb </w:t>
      </w:r>
      <w:r w:rsidRPr="00EF6A3E">
        <w:rPr>
          <w:rFonts w:eastAsia="Times New Roman" w:cs="Times New Roman"/>
          <w:b/>
          <w:bCs/>
          <w:rtl/>
          <w:lang w:eastAsia="de-DE"/>
        </w:rPr>
        <w:t>יָקִימוּ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קום</w:t>
      </w:r>
      <w:r w:rsidRPr="00EF6A3E">
        <w:rPr>
          <w:rFonts w:eastAsia="Times New Roman" w:cs="Times New Roman"/>
          <w:rtl/>
          <w:lang w:eastAsia="de-DE"/>
        </w:rPr>
        <w:t xml:space="preserve"> </w:t>
      </w:r>
      <w:r w:rsidRPr="00EF6A3E">
        <w:rPr>
          <w:rFonts w:eastAsia="Times New Roman" w:cs="Times New Roman"/>
          <w:lang w:eastAsia="de-DE"/>
        </w:rPr>
        <w:t xml:space="preserve">(aufstehen/errichten) im Hiph'il-Imperfekt 3. maskulin Plural mit </w:t>
      </w:r>
      <w:r w:rsidRPr="00EF6A3E">
        <w:rPr>
          <w:rFonts w:eastAsia="Times New Roman" w:cs="Times New Roman"/>
          <w:b/>
          <w:bCs/>
          <w:rtl/>
          <w:lang w:eastAsia="de-DE"/>
        </w:rPr>
        <w:t>אֹתוֹ הַלְוִיִּם</w:t>
      </w:r>
      <w:r w:rsidRPr="00EF6A3E">
        <w:rPr>
          <w:rFonts w:eastAsia="Times New Roman" w:cs="Times New Roman"/>
          <w:rtl/>
          <w:lang w:eastAsia="de-DE"/>
        </w:rPr>
        <w:t xml:space="preserve"> </w:t>
      </w:r>
      <w:r w:rsidRPr="00EF6A3E">
        <w:rPr>
          <w:rFonts w:eastAsia="Times New Roman" w:cs="Times New Roman"/>
          <w:lang w:eastAsia="de-DE"/>
        </w:rPr>
        <w:t xml:space="preserve">entspricht der ersten </w:t>
      </w:r>
      <w:r w:rsidR="00F133EC">
        <w:rPr>
          <w:rFonts w:eastAsia="Times New Roman" w:cs="Times New Roman"/>
          <w:lang w:eastAsia="de-DE"/>
        </w:rPr>
        <w:t>Construct</w:t>
      </w:r>
      <w:r w:rsidRPr="00EF6A3E">
        <w:rPr>
          <w:rFonts w:eastAsia="Times New Roman" w:cs="Times New Roman"/>
          <w:lang w:eastAsia="de-DE"/>
        </w:rPr>
        <w:t>ion.</w:t>
      </w:r>
    </w:p>
    <w:p w14:paraId="583327D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Warnsatz </w:t>
      </w:r>
      <w:r w:rsidRPr="00EF6A3E">
        <w:rPr>
          <w:rFonts w:eastAsia="Times New Roman" w:cs="Times New Roman"/>
          <w:b/>
          <w:bCs/>
          <w:rtl/>
          <w:lang w:eastAsia="de-DE"/>
        </w:rPr>
        <w:t>וְהַזָּר הַקָּרֵב יוּמָת</w:t>
      </w:r>
      <w:r w:rsidRPr="00EF6A3E">
        <w:rPr>
          <w:rFonts w:eastAsia="Times New Roman" w:cs="Times New Roman"/>
          <w:rtl/>
          <w:lang w:eastAsia="de-DE"/>
        </w:rPr>
        <w:t xml:space="preserve"> </w:t>
      </w:r>
      <w:r w:rsidRPr="00EF6A3E">
        <w:rPr>
          <w:rFonts w:eastAsia="Times New Roman" w:cs="Times New Roman"/>
          <w:lang w:eastAsia="de-DE"/>
        </w:rPr>
        <w:t xml:space="preserve">mit Waw copulativum zeigt </w:t>
      </w:r>
      <w:r w:rsidRPr="00EF6A3E">
        <w:rPr>
          <w:rFonts w:eastAsia="Times New Roman" w:cs="Times New Roman"/>
          <w:b/>
          <w:bCs/>
          <w:rtl/>
          <w:lang w:eastAsia="de-DE"/>
        </w:rPr>
        <w:t>הַזָּר</w:t>
      </w:r>
      <w:r w:rsidRPr="00EF6A3E">
        <w:rPr>
          <w:rFonts w:eastAsia="Times New Roman" w:cs="Times New Roman"/>
          <w:rtl/>
          <w:lang w:eastAsia="de-DE"/>
        </w:rPr>
        <w:t xml:space="preserve"> </w:t>
      </w:r>
      <w:r w:rsidRPr="00EF6A3E">
        <w:rPr>
          <w:rFonts w:eastAsia="Times New Roman" w:cs="Times New Roman"/>
          <w:lang w:eastAsia="de-DE"/>
        </w:rPr>
        <w:t xml:space="preserve">(der Fremde/Außenstehende) als Subjekt. </w:t>
      </w:r>
      <w:r w:rsidRPr="00EF6A3E">
        <w:rPr>
          <w:rFonts w:eastAsia="Times New Roman" w:cs="Times New Roman"/>
          <w:b/>
          <w:bCs/>
          <w:rtl/>
          <w:lang w:eastAsia="de-DE"/>
        </w:rPr>
        <w:t>הַקָּרֵב</w:t>
      </w:r>
      <w:r w:rsidRPr="00EF6A3E">
        <w:rPr>
          <w:rFonts w:eastAsia="Times New Roman" w:cs="Times New Roman"/>
          <w:rtl/>
          <w:lang w:eastAsia="de-DE"/>
        </w:rPr>
        <w:t xml:space="preserve"> </w:t>
      </w:r>
      <w:r w:rsidRPr="00EF6A3E">
        <w:rPr>
          <w:rFonts w:eastAsia="Times New Roman" w:cs="Times New Roman"/>
          <w:lang w:eastAsia="de-DE"/>
        </w:rPr>
        <w:t xml:space="preserve">ist das Qal-Partizip von </w:t>
      </w:r>
      <w:r w:rsidRPr="00EF6A3E">
        <w:rPr>
          <w:rFonts w:eastAsia="Times New Roman" w:cs="Times New Roman"/>
          <w:b/>
          <w:bCs/>
          <w:rtl/>
          <w:lang w:eastAsia="de-DE"/>
        </w:rPr>
        <w:t>קרב</w:t>
      </w:r>
      <w:r w:rsidRPr="00EF6A3E">
        <w:rPr>
          <w:rFonts w:eastAsia="Times New Roman" w:cs="Times New Roman"/>
          <w:rtl/>
          <w:lang w:eastAsia="de-DE"/>
        </w:rPr>
        <w:t xml:space="preserve"> </w:t>
      </w:r>
      <w:r w:rsidRPr="00EF6A3E">
        <w:rPr>
          <w:rFonts w:eastAsia="Times New Roman" w:cs="Times New Roman"/>
          <w:lang w:eastAsia="de-DE"/>
        </w:rPr>
        <w:t xml:space="preserve">(sich nähern) mit bestimmtem Artikel als attributive Bestimmung. </w:t>
      </w:r>
      <w:r w:rsidRPr="00EF6A3E">
        <w:rPr>
          <w:rFonts w:eastAsia="Times New Roman" w:cs="Times New Roman"/>
          <w:b/>
          <w:bCs/>
          <w:rtl/>
          <w:lang w:eastAsia="de-DE"/>
        </w:rPr>
        <w:t>יוּמָת</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מות</w:t>
      </w:r>
      <w:r w:rsidRPr="00EF6A3E">
        <w:rPr>
          <w:rFonts w:eastAsia="Times New Roman" w:cs="Times New Roman"/>
          <w:rtl/>
          <w:lang w:eastAsia="de-DE"/>
        </w:rPr>
        <w:t xml:space="preserve"> </w:t>
      </w:r>
      <w:r w:rsidRPr="00EF6A3E">
        <w:rPr>
          <w:rFonts w:eastAsia="Times New Roman" w:cs="Times New Roman"/>
          <w:lang w:eastAsia="de-DE"/>
        </w:rPr>
        <w:t>(sterben) im Hoph'al-Imperfekt 3. maskulin Singular zeigt die passive Bedeutung "er soll getötet werden".</w:t>
      </w:r>
    </w:p>
    <w:p w14:paraId="3D8C03ED" w14:textId="0C4B6740"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405D7">
        <w:t xml:space="preserve">bietet in Vers 51 einen terminologischen Unterschied, wo der MT </w:t>
      </w:r>
      <w:r w:rsidR="003405D7">
        <w:rPr>
          <w:rtl/>
        </w:rPr>
        <w:t>וְהַזָּר הַקָּרֵב יוּמָת</w:t>
      </w:r>
      <w:r w:rsidR="003405D7">
        <w:t xml:space="preserve"> ("der Fremde, der sich nähert, soll sterben") liest, während die griechische Version ὁ ἀλλογενὴς ὁ προσπορευόμενος ἀποθανέτω ("der Fremdstämmige, der hinzutritt, soll sterben") verwendet.</w:t>
      </w:r>
    </w:p>
    <w:p w14:paraId="3F7F6401" w14:textId="3C0C6716"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zwei parallele Temporalsätze mit </w:t>
      </w:r>
      <w:r w:rsidRPr="00EF6A3E">
        <w:rPr>
          <w:rFonts w:eastAsia="Times New Roman" w:cs="Times New Roman"/>
          <w:b/>
          <w:bCs/>
          <w:rtl/>
          <w:lang w:eastAsia="de-DE"/>
        </w:rPr>
        <w:t>וּבִ</w:t>
      </w:r>
      <w:r w:rsidRPr="00EF6A3E">
        <w:rPr>
          <w:rFonts w:eastAsia="Times New Roman" w:cs="Times New Roman"/>
          <w:rtl/>
          <w:lang w:eastAsia="de-DE"/>
        </w:rPr>
        <w:t xml:space="preserve"> </w:t>
      </w:r>
      <w:r w:rsidRPr="00EF6A3E">
        <w:rPr>
          <w:rFonts w:eastAsia="Times New Roman" w:cs="Times New Roman"/>
          <w:lang w:eastAsia="de-DE"/>
        </w:rPr>
        <w:t>plus Infinitiv-</w:t>
      </w:r>
      <w:r w:rsidR="00F133EC">
        <w:rPr>
          <w:rFonts w:eastAsia="Times New Roman" w:cs="Times New Roman"/>
          <w:lang w:eastAsia="de-DE"/>
        </w:rPr>
        <w:t>Construct</w:t>
      </w:r>
      <w:r w:rsidRPr="00EF6A3E">
        <w:rPr>
          <w:rFonts w:eastAsia="Times New Roman" w:cs="Times New Roman"/>
          <w:lang w:eastAsia="de-DE"/>
        </w:rPr>
        <w:t xml:space="preserve"> als Einleitung und koordinierte Hauptsätze, gefolgt von einem Warnsatz mit absolutem Partizip und passivischem Prädikat.</w:t>
      </w:r>
    </w:p>
    <w:p w14:paraId="152C4A1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spezifiziert die praktischen Aufgaben der Leviten beim Transport des Heiligtums und betont durch die Todesdrohung die absolute Exklusivität ihres Dienstes.</w:t>
      </w:r>
    </w:p>
    <w:p w14:paraId="5F231205"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1,52</w:t>
      </w:r>
    </w:p>
    <w:p w14:paraId="5F77367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וְחָנ֖וּ בְּנֵ֣י יִשְׂרָאֵ֑ל אִ֧ישׁ עַֽל־מַחֲנֵ֛הוּ וְאִ֥ישׁ עַל־דִּגְלֹ֖ו לְצִבְאֹתָֽם׃</w:t>
      </w:r>
    </w:p>
    <w:p w14:paraId="7B71353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die Söhne Jisra'el sollen lagern, jeder in seinem Lager und jeder bei seinem Banner, nach ihren Heerscharen.</w:t>
      </w:r>
    </w:p>
    <w:p w14:paraId="41146656"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F061844">
          <v:rect id="_x0000_i1076" style="width:0;height:1.5pt" o:hralign="center" o:hrstd="t" o:hr="t" fillcolor="#a0a0a0" stroked="f"/>
        </w:pict>
      </w:r>
    </w:p>
    <w:p w14:paraId="77F6B573" w14:textId="7BCEB2DE" w:rsidR="008F1F5C" w:rsidRPr="008F1F5C" w:rsidRDefault="00EF6A3E" w:rsidP="008F1F5C">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וְחָנוּ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 xml:space="preserve">(lagern) im Qal-Perfekt 3. maskulin Plural mit Waw copulativum zeigt die Lagerordnung. Das Subjekt </w:t>
      </w:r>
      <w:r w:rsidRPr="00EF6A3E">
        <w:rPr>
          <w:rFonts w:eastAsia="Times New Roman" w:cs="Times New Roman"/>
          <w:b/>
          <w:bCs/>
          <w:rtl/>
          <w:lang w:eastAsia="de-DE"/>
        </w:rPr>
        <w:t>בְּנֵי יִשְׂרָאֵל</w:t>
      </w:r>
      <w:r w:rsidRPr="00EF6A3E">
        <w:rPr>
          <w:rFonts w:eastAsia="Times New Roman" w:cs="Times New Roman"/>
          <w:rtl/>
          <w:lang w:eastAsia="de-DE"/>
        </w:rPr>
        <w:t xml:space="preserve"> </w:t>
      </w:r>
      <w:r w:rsidRPr="00EF6A3E">
        <w:rPr>
          <w:rFonts w:eastAsia="Times New Roman" w:cs="Times New Roman"/>
          <w:lang w:eastAsia="de-DE"/>
        </w:rPr>
        <w:t xml:space="preserve">(Söhne Israels) im </w:t>
      </w:r>
      <w:r w:rsidR="00F133EC">
        <w:rPr>
          <w:rFonts w:eastAsia="Times New Roman" w:cs="Times New Roman"/>
          <w:lang w:eastAsia="de-DE"/>
        </w:rPr>
        <w:t>Construct</w:t>
      </w:r>
      <w:r w:rsidRPr="00EF6A3E">
        <w:rPr>
          <w:rFonts w:eastAsia="Times New Roman" w:cs="Times New Roman"/>
          <w:lang w:eastAsia="de-DE"/>
        </w:rPr>
        <w:t xml:space="preserve"> bezeichnet das ganze Volk.</w:t>
      </w:r>
    </w:p>
    <w:p w14:paraId="21C0AC7E" w14:textId="74C25EA2" w:rsidR="008F1F5C" w:rsidRDefault="008F1F5C" w:rsidP="008F1F5C">
      <w:pPr>
        <w:pStyle w:val="whitespace-normal"/>
      </w:pPr>
      <w:r>
        <w:t xml:space="preserve">Die distributiv-koordinative </w:t>
      </w:r>
      <w:r w:rsidR="00F133EC">
        <w:t>Construct</w:t>
      </w:r>
      <w:r>
        <w:t xml:space="preserve">ion </w:t>
      </w:r>
      <w:r w:rsidRPr="008F1F5C">
        <w:rPr>
          <w:b/>
          <w:bCs/>
          <w:rtl/>
        </w:rPr>
        <w:t>אִישׁ עַל־מַחֲנֵהוּ וְאִישׁ עַל־דִּגְלו</w:t>
      </w:r>
      <w:r>
        <w:rPr>
          <w:rtl/>
        </w:rPr>
        <w:t>ֹ</w:t>
      </w:r>
      <w:r>
        <w:t xml:space="preserve"> zeigt eine spezifizierende Reduplikation mit funktionaler Differenzierung der präpositionalen Komplemente. </w:t>
      </w:r>
      <w:r w:rsidRPr="008F1F5C">
        <w:rPr>
          <w:b/>
          <w:bCs/>
          <w:rtl/>
        </w:rPr>
        <w:t>אִישׁ</w:t>
      </w:r>
      <w:r>
        <w:t xml:space="preserve"> fungiert als distributiver Quantor in adversativer Koordination. </w:t>
      </w:r>
      <w:r w:rsidRPr="008F1F5C">
        <w:rPr>
          <w:b/>
          <w:bCs/>
          <w:rtl/>
        </w:rPr>
        <w:t>עַל־מַחֲנֵהו</w:t>
      </w:r>
      <w:r>
        <w:rPr>
          <w:rtl/>
        </w:rPr>
        <w:t>ּ</w:t>
      </w:r>
      <w:r>
        <w:t xml:space="preserve"> mit </w:t>
      </w:r>
      <w:r w:rsidRPr="008F1F5C">
        <w:rPr>
          <w:b/>
          <w:bCs/>
          <w:rtl/>
        </w:rPr>
        <w:t>לוקטיב</w:t>
      </w:r>
      <w:r>
        <w:t xml:space="preserve"> Präpositionsvalenz bezeichnet die physische Verortung, während </w:t>
      </w:r>
      <w:r w:rsidRPr="008F1F5C">
        <w:rPr>
          <w:b/>
          <w:bCs/>
          <w:rtl/>
        </w:rPr>
        <w:t>עַל־דִּגְלו</w:t>
      </w:r>
      <w:r>
        <w:rPr>
          <w:rtl/>
        </w:rPr>
        <w:t>ֹ</w:t>
      </w:r>
      <w:r>
        <w:t xml:space="preserve"> assoziative Funktion zeigt und organisatorische Zugehörigkeit markiert. Die Waw-Koordination verbindet zwei referenzielle Ebenen: territoriale (</w:t>
      </w:r>
      <w:r w:rsidRPr="008F1F5C">
        <w:rPr>
          <w:b/>
          <w:bCs/>
          <w:rtl/>
        </w:rPr>
        <w:t>מַחֲנֶה</w:t>
      </w:r>
      <w:r>
        <w:t>) versus funktionale (</w:t>
      </w:r>
      <w:r w:rsidRPr="008F1F5C">
        <w:rPr>
          <w:b/>
          <w:bCs/>
          <w:rtl/>
        </w:rPr>
        <w:t>דֶּגֶל</w:t>
      </w:r>
      <w:r>
        <w:t xml:space="preserve">) Gliederung der militärischen Organisation. </w:t>
      </w:r>
    </w:p>
    <w:p w14:paraId="044B3FEA" w14:textId="24B3D35F" w:rsidR="00EF6A3E" w:rsidRDefault="00EF6A3E" w:rsidP="008F1F5C">
      <w:pPr>
        <w:pStyle w:val="whitespace-normal"/>
      </w:pPr>
      <w:r w:rsidRPr="00EF6A3E">
        <w:t xml:space="preserve">Die präpositionale Phrase </w:t>
      </w:r>
      <w:r w:rsidRPr="00EF6A3E">
        <w:rPr>
          <w:b/>
          <w:bCs/>
          <w:rtl/>
        </w:rPr>
        <w:t>לְצִבְאֹתָם</w:t>
      </w:r>
      <w:r w:rsidRPr="00EF6A3E">
        <w:rPr>
          <w:rtl/>
        </w:rPr>
        <w:t xml:space="preserve"> </w:t>
      </w:r>
      <w:r w:rsidRPr="00EF6A3E">
        <w:t xml:space="preserve">mit </w:t>
      </w:r>
      <w:r w:rsidRPr="00EF6A3E">
        <w:rPr>
          <w:b/>
          <w:bCs/>
          <w:rtl/>
        </w:rPr>
        <w:t>לְ</w:t>
      </w:r>
      <w:r w:rsidRPr="00EF6A3E">
        <w:rPr>
          <w:rtl/>
        </w:rPr>
        <w:t xml:space="preserve"> </w:t>
      </w:r>
      <w:r w:rsidRPr="00EF6A3E">
        <w:t xml:space="preserve">(nach/gemäß) und </w:t>
      </w:r>
      <w:r w:rsidRPr="00EF6A3E">
        <w:rPr>
          <w:b/>
          <w:bCs/>
          <w:rtl/>
        </w:rPr>
        <w:t>צְבָאוֹת</w:t>
      </w:r>
      <w:r w:rsidRPr="00EF6A3E">
        <w:rPr>
          <w:rtl/>
        </w:rPr>
        <w:t xml:space="preserve"> </w:t>
      </w:r>
      <w:r w:rsidRPr="00EF6A3E">
        <w:t>(Heerscharen) plus Possessivsuffix 3. maskulin Plural spezifiziert die militärische Gliederung</w:t>
      </w:r>
      <w:r w:rsidR="00E134EB">
        <w:t>.</w:t>
      </w:r>
    </w:p>
    <w:p w14:paraId="71DB05B4" w14:textId="2FC0D127" w:rsidR="00C75384" w:rsidRPr="00EF6A3E" w:rsidRDefault="008F1F5C" w:rsidP="008F1F5C">
      <w:pPr>
        <w:pStyle w:val="whitespace-normal"/>
      </w:pPr>
      <w:r>
        <w:rPr>
          <w:rStyle w:val="Fett"/>
        </w:rPr>
        <w:lastRenderedPageBreak/>
        <w:t>Banner-Terminologie:</w:t>
      </w:r>
      <w:r>
        <w:t xml:space="preserve"> Der Begriff </w:t>
      </w:r>
      <w:r>
        <w:rPr>
          <w:rtl/>
        </w:rPr>
        <w:t>דֶּגֶל</w:t>
      </w:r>
      <w:r>
        <w:t xml:space="preserve"> bezeichnet organisatorische Einheiten zur militärischen Ordnung ohne spezifische ikonographische Referenz. Die Bibel selbst spezifiziert keine konkreten Symbole für diese Feldzeichen. Spätere rabbinische Traditionen (Midrasch Bamidbar Rabba 2,7, ca. 5.-8. Jh. n. Chr.) entwickelten detaillierte Symbolsysteme, die jedoch als interpretative Ausschmückungen, nicht als historische Quellen zu bewerten sind.</w:t>
      </w:r>
    </w:p>
    <w:p w14:paraId="5F0E6A6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παρεμβαλοῦσιν οἱ υἱοὶ Ισραηλ ἀνὴρ ἐν τῇ ἑαυτοῦ τάξει καὶ ἀνὴρ κατὰ τὴν ἑαυτοῦ ἡγεμονίαν σὺν δυνάμει αὐτῶν und interpretiert </w:t>
      </w:r>
      <w:r w:rsidRPr="00EF6A3E">
        <w:rPr>
          <w:rFonts w:eastAsia="Times New Roman" w:cs="Times New Roman"/>
          <w:b/>
          <w:bCs/>
          <w:rtl/>
          <w:lang w:eastAsia="de-DE"/>
        </w:rPr>
        <w:t>דֶּגֶל</w:t>
      </w:r>
      <w:r w:rsidRPr="00EF6A3E">
        <w:rPr>
          <w:rFonts w:eastAsia="Times New Roman" w:cs="Times New Roman"/>
          <w:rtl/>
          <w:lang w:eastAsia="de-DE"/>
        </w:rPr>
        <w:t xml:space="preserve"> </w:t>
      </w:r>
      <w:r w:rsidRPr="00EF6A3E">
        <w:rPr>
          <w:rFonts w:eastAsia="Times New Roman" w:cs="Times New Roman"/>
          <w:lang w:eastAsia="de-DE"/>
        </w:rPr>
        <w:t>mit ἡγεμονίαν (Führung).</w:t>
      </w:r>
    </w:p>
    <w:p w14:paraId="47157DE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einen Verbalsatz mit koordiniertem Subjekt und einer distributiven adverbialen Bestimmung mit doppelter präpositionaler Phrase sowie finaler modaler Ergänzung.</w:t>
      </w:r>
    </w:p>
    <w:p w14:paraId="1E8B405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kontrastiert die geordnete Lagerung der israelitischen Stämme nach militärischen Einheiten mit der zentralen Position der Leviten um das Heiligtum.</w:t>
      </w:r>
    </w:p>
    <w:p w14:paraId="5F2FF909"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1,53</w:t>
      </w:r>
    </w:p>
    <w:p w14:paraId="4E71A74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וְהַלְוִיִּ֞ם יַחֲנ֤וּ סָבִיב֙ לְמִשְׁכַּ֣ן הָעֵדֻ֔ת וְלֹֽא־יִהְיֶ֣ה קֶ֔צֶף עַל־עֲדַ֖ת בְּנֵ֣י יִשְׂרָאֵ֑ל וְשָׁמְרוּ֙ הַלְוִיִּ֔ם אֶת־מִשְׁמֶ֖רֶת מִשְׁכַּ֥ן הָעֵדֽוּת׃</w:t>
      </w:r>
    </w:p>
    <w:p w14:paraId="792B6D4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die Levijim sollen rings um die Wohnung des Zeugnisses lagern, damit kein Zorn über die Gemeinde der Söhne Jisra'el komme; und die Levijim sollen die Aufsicht der Wohnung des Zeugnisses wahrnehmen.</w:t>
      </w:r>
    </w:p>
    <w:p w14:paraId="120BAA10"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7DDD0A2">
          <v:rect id="_x0000_i1077" style="width:0;height:1.5pt" o:hralign="center" o:hrstd="t" o:hr="t" fillcolor="#a0a0a0" stroked="f"/>
        </w:pict>
      </w:r>
    </w:p>
    <w:p w14:paraId="6487F21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Subjekt </w:t>
      </w:r>
      <w:r w:rsidRPr="00EF6A3E">
        <w:rPr>
          <w:rFonts w:eastAsia="Times New Roman" w:cs="Times New Roman"/>
          <w:b/>
          <w:bCs/>
          <w:rtl/>
          <w:lang w:eastAsia="de-DE"/>
        </w:rPr>
        <w:t>וְהַלְוִיִּם</w:t>
      </w:r>
      <w:r w:rsidRPr="00EF6A3E">
        <w:rPr>
          <w:rFonts w:eastAsia="Times New Roman" w:cs="Times New Roman"/>
          <w:rtl/>
          <w:lang w:eastAsia="de-DE"/>
        </w:rPr>
        <w:t xml:space="preserve"> </w:t>
      </w:r>
      <w:r w:rsidRPr="00EF6A3E">
        <w:rPr>
          <w:rFonts w:eastAsia="Times New Roman" w:cs="Times New Roman"/>
          <w:lang w:eastAsia="de-DE"/>
        </w:rPr>
        <w:t xml:space="preserve">(und die Leviten) mit Waw copulativum kontrastiert mit der vorherigen Aussage über die anderen Israeliten. Das Verb </w:t>
      </w:r>
      <w:r w:rsidRPr="00EF6A3E">
        <w:rPr>
          <w:rFonts w:eastAsia="Times New Roman" w:cs="Times New Roman"/>
          <w:b/>
          <w:bCs/>
          <w:rtl/>
          <w:lang w:eastAsia="de-DE"/>
        </w:rPr>
        <w:t>יַחֲנוּ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 xml:space="preserve">(lagern) im Qal-Imperfekt 3. maskulin Plural zeigt die Lagerordnung. Das Adverb </w:t>
      </w:r>
      <w:r w:rsidRPr="00EF6A3E">
        <w:rPr>
          <w:rFonts w:eastAsia="Times New Roman" w:cs="Times New Roman"/>
          <w:b/>
          <w:bCs/>
          <w:rtl/>
          <w:lang w:eastAsia="de-DE"/>
        </w:rPr>
        <w:t>סָבִיב</w:t>
      </w:r>
      <w:r w:rsidRPr="00EF6A3E">
        <w:rPr>
          <w:rFonts w:eastAsia="Times New Roman" w:cs="Times New Roman"/>
          <w:rtl/>
          <w:lang w:eastAsia="de-DE"/>
        </w:rPr>
        <w:t xml:space="preserve"> </w:t>
      </w:r>
      <w:r w:rsidRPr="00EF6A3E">
        <w:rPr>
          <w:rFonts w:eastAsia="Times New Roman" w:cs="Times New Roman"/>
          <w:lang w:eastAsia="de-DE"/>
        </w:rPr>
        <w:t xml:space="preserve">(ringsum) mit der präpositionalen Phrase </w:t>
      </w:r>
      <w:r w:rsidRPr="00EF6A3E">
        <w:rPr>
          <w:rFonts w:eastAsia="Times New Roman" w:cs="Times New Roman"/>
          <w:b/>
          <w:bCs/>
          <w:rtl/>
          <w:lang w:eastAsia="de-DE"/>
        </w:rPr>
        <w:t>לְמִשְׁכַּן הָעֵדֻת</w:t>
      </w:r>
      <w:r w:rsidRPr="00EF6A3E">
        <w:rPr>
          <w:rFonts w:eastAsia="Times New Roman" w:cs="Times New Roman"/>
          <w:rtl/>
          <w:lang w:eastAsia="de-DE"/>
        </w:rPr>
        <w:t xml:space="preserve"> </w:t>
      </w:r>
      <w:r w:rsidRPr="00EF6A3E">
        <w:rPr>
          <w:rFonts w:eastAsia="Times New Roman" w:cs="Times New Roman"/>
          <w:lang w:eastAsia="de-DE"/>
        </w:rPr>
        <w:t>(um die Wohnung des Zeugnisses) spezifiziert die zentrale Position der Leviten.</w:t>
      </w:r>
    </w:p>
    <w:p w14:paraId="4E5E503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Zwecksatz </w:t>
      </w:r>
      <w:r w:rsidRPr="00EF6A3E">
        <w:rPr>
          <w:rFonts w:eastAsia="Times New Roman" w:cs="Times New Roman"/>
          <w:b/>
          <w:bCs/>
          <w:rtl/>
          <w:lang w:eastAsia="de-DE"/>
        </w:rPr>
        <w:t>וְלֹא־יִהְיֶה קֶצֶף עַל־עֲדַת בְּנֵי יִשְׂרָאֵל</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וְ</w:t>
      </w:r>
      <w:r w:rsidRPr="00EF6A3E">
        <w:rPr>
          <w:rFonts w:eastAsia="Times New Roman" w:cs="Times New Roman"/>
          <w:rtl/>
          <w:lang w:eastAsia="de-DE"/>
        </w:rPr>
        <w:t xml:space="preserve"> </w:t>
      </w:r>
      <w:r w:rsidRPr="00EF6A3E">
        <w:rPr>
          <w:rFonts w:eastAsia="Times New Roman" w:cs="Times New Roman"/>
          <w:lang w:eastAsia="de-DE"/>
        </w:rPr>
        <w:t xml:space="preserve">und der Negation </w:t>
      </w:r>
      <w:r w:rsidRPr="00EF6A3E">
        <w:rPr>
          <w:rFonts w:eastAsia="Times New Roman" w:cs="Times New Roman"/>
          <w:b/>
          <w:bCs/>
          <w:rtl/>
          <w:lang w:eastAsia="de-DE"/>
        </w:rPr>
        <w:t>לֹא</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יִהְיֶה</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היה</w:t>
      </w:r>
      <w:r w:rsidRPr="00EF6A3E">
        <w:rPr>
          <w:rFonts w:eastAsia="Times New Roman" w:cs="Times New Roman"/>
          <w:rtl/>
          <w:lang w:eastAsia="de-DE"/>
        </w:rPr>
        <w:t xml:space="preserve"> </w:t>
      </w:r>
      <w:r w:rsidRPr="00EF6A3E">
        <w:rPr>
          <w:rFonts w:eastAsia="Times New Roman" w:cs="Times New Roman"/>
          <w:lang w:eastAsia="de-DE"/>
        </w:rPr>
        <w:t xml:space="preserve">(sein) im Qal-Imperfekt 3. maskulin Singular. </w:t>
      </w:r>
      <w:r w:rsidRPr="00EF6A3E">
        <w:rPr>
          <w:rFonts w:eastAsia="Times New Roman" w:cs="Times New Roman"/>
          <w:b/>
          <w:bCs/>
          <w:rtl/>
          <w:lang w:eastAsia="de-DE"/>
        </w:rPr>
        <w:t>קֶצֶף</w:t>
      </w:r>
      <w:r w:rsidRPr="00EF6A3E">
        <w:rPr>
          <w:rFonts w:eastAsia="Times New Roman" w:cs="Times New Roman"/>
          <w:rtl/>
          <w:lang w:eastAsia="de-DE"/>
        </w:rPr>
        <w:t xml:space="preserve"> </w:t>
      </w:r>
      <w:r w:rsidRPr="00EF6A3E">
        <w:rPr>
          <w:rFonts w:eastAsia="Times New Roman" w:cs="Times New Roman"/>
          <w:lang w:eastAsia="de-DE"/>
        </w:rPr>
        <w:t xml:space="preserve">(Zorn/Wut) als Subjekt und </w:t>
      </w:r>
      <w:r w:rsidRPr="00EF6A3E">
        <w:rPr>
          <w:rFonts w:eastAsia="Times New Roman" w:cs="Times New Roman"/>
          <w:b/>
          <w:bCs/>
          <w:rtl/>
          <w:lang w:eastAsia="de-DE"/>
        </w:rPr>
        <w:t>עַל־עֲדַת בְּנֵי יִשְׂרָאֵל</w:t>
      </w:r>
      <w:r w:rsidRPr="00EF6A3E">
        <w:rPr>
          <w:rFonts w:eastAsia="Times New Roman" w:cs="Times New Roman"/>
          <w:rtl/>
          <w:lang w:eastAsia="de-DE"/>
        </w:rPr>
        <w:t xml:space="preserve"> </w:t>
      </w:r>
      <w:r w:rsidRPr="00EF6A3E">
        <w:rPr>
          <w:rFonts w:eastAsia="Times New Roman" w:cs="Times New Roman"/>
          <w:lang w:eastAsia="de-DE"/>
        </w:rPr>
        <w:t>(über die Gemeinde der Söhne Israels) als präpositionale Ergänzung zeigen die Schutzfunktion.</w:t>
      </w:r>
    </w:p>
    <w:p w14:paraId="13391ABD" w14:textId="4CC9B38E"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koordinierte Satz </w:t>
      </w:r>
      <w:r w:rsidRPr="00EF6A3E">
        <w:rPr>
          <w:rFonts w:eastAsia="Times New Roman" w:cs="Times New Roman"/>
          <w:b/>
          <w:bCs/>
          <w:rtl/>
          <w:lang w:eastAsia="de-DE"/>
        </w:rPr>
        <w:t>וְשָׁמְרוּ הַלְוִיִּם אֶת־מִשְׁמֶרֶת מִשְׁכַּן הָעֵדוּת</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שָׁמְרוּ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שמר</w:t>
      </w:r>
      <w:r w:rsidRPr="00EF6A3E">
        <w:rPr>
          <w:rFonts w:eastAsia="Times New Roman" w:cs="Times New Roman"/>
          <w:rtl/>
          <w:lang w:eastAsia="de-DE"/>
        </w:rPr>
        <w:t xml:space="preserve"> </w:t>
      </w:r>
      <w:r w:rsidRPr="00EF6A3E">
        <w:rPr>
          <w:rFonts w:eastAsia="Times New Roman" w:cs="Times New Roman"/>
          <w:lang w:eastAsia="de-DE"/>
        </w:rPr>
        <w:t xml:space="preserve">(bewachen/wahren) im Qal-Perfekt 3. maskulin Plural. Das direkte Objekt </w:t>
      </w:r>
      <w:r w:rsidRPr="00EF6A3E">
        <w:rPr>
          <w:rFonts w:eastAsia="Times New Roman" w:cs="Times New Roman"/>
          <w:b/>
          <w:bCs/>
          <w:rtl/>
          <w:lang w:eastAsia="de-DE"/>
        </w:rPr>
        <w:t>אֶת־מִשְׁמֶרֶת</w:t>
      </w:r>
      <w:r w:rsidRPr="00EF6A3E">
        <w:rPr>
          <w:rFonts w:eastAsia="Times New Roman" w:cs="Times New Roman"/>
          <w:rtl/>
          <w:lang w:eastAsia="de-DE"/>
        </w:rPr>
        <w:t xml:space="preserve"> </w:t>
      </w:r>
      <w:r w:rsidRPr="00EF6A3E">
        <w:rPr>
          <w:rFonts w:eastAsia="Times New Roman" w:cs="Times New Roman"/>
          <w:lang w:eastAsia="de-DE"/>
        </w:rPr>
        <w:t xml:space="preserve">mit nota accusativi und </w:t>
      </w:r>
      <w:r w:rsidRPr="00EF6A3E">
        <w:rPr>
          <w:rFonts w:eastAsia="Times New Roman" w:cs="Times New Roman"/>
          <w:b/>
          <w:bCs/>
          <w:rtl/>
          <w:lang w:eastAsia="de-DE"/>
        </w:rPr>
        <w:t>מִשְׁמֶרֶת</w:t>
      </w:r>
      <w:r w:rsidRPr="00EF6A3E">
        <w:rPr>
          <w:rFonts w:eastAsia="Times New Roman" w:cs="Times New Roman"/>
          <w:rtl/>
          <w:lang w:eastAsia="de-DE"/>
        </w:rPr>
        <w:t xml:space="preserve"> </w:t>
      </w:r>
      <w:r w:rsidRPr="00EF6A3E">
        <w:rPr>
          <w:rFonts w:eastAsia="Times New Roman" w:cs="Times New Roman"/>
          <w:lang w:eastAsia="de-DE"/>
        </w:rPr>
        <w:t xml:space="preserve">(Wache/Aufsicht)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מִשְׁכַּן הָעֵדוּת</w:t>
      </w:r>
      <w:r w:rsidRPr="00EF6A3E">
        <w:rPr>
          <w:rFonts w:eastAsia="Times New Roman" w:cs="Times New Roman"/>
          <w:rtl/>
          <w:lang w:eastAsia="de-DE"/>
        </w:rPr>
        <w:t xml:space="preserve"> </w:t>
      </w:r>
      <w:r w:rsidRPr="00EF6A3E">
        <w:rPr>
          <w:rFonts w:eastAsia="Times New Roman" w:cs="Times New Roman"/>
          <w:lang w:eastAsia="de-DE"/>
        </w:rPr>
        <w:t>betont die kultische Verantwortung.</w:t>
      </w:r>
    </w:p>
    <w:p w14:paraId="10C391B1" w14:textId="6863AD79"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3405D7">
        <w:t xml:space="preserve">nuanciert in Vers 53 begrifflich, indem sie anstelle der hebräischen Formulierung </w:t>
      </w:r>
      <w:r w:rsidR="003405D7">
        <w:rPr>
          <w:rtl/>
        </w:rPr>
        <w:t>וְלֹֽא־יִהְיֶה קֶצֶף</w:t>
      </w:r>
      <w:r w:rsidR="003405D7">
        <w:t xml:space="preserve"> ("damit kein Zorn entstehe") οὐκ ἔσται ἁμάρτημα ("damit keine Sünde entstehe") bietet.</w:t>
      </w:r>
    </w:p>
    <w:p w14:paraId="39B8DC4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 Satzstruktur zeigt einen Hauptsatz mit adverbialer Bestimmung, gefolgt von einem negierten Zwecksatz und einem koordinierten Hauptsatz zur Spezifikation der levitischen Aufgaben.</w:t>
      </w:r>
    </w:p>
    <w:p w14:paraId="03E7C41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erklärt die theologische Funktion der levitischen Lagerordnung als Schutz vor göttlichem Zorn und betont ihre Rolle als Wächter des Heiligtums.</w:t>
      </w:r>
    </w:p>
    <w:p w14:paraId="6D59C16D"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1,54</w:t>
      </w:r>
    </w:p>
    <w:p w14:paraId="275E591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וַֽיַּעֲשׂ֖וּ בְּנֵ֣י יִשְׂרָאֵ֑ל כְּ֠כֹל אֲשֶׁ֨ר צִוָּ֧ה יְהוָ֛ה אֶת־מֹשֶׁ֖ה כֵּ֥ן עָשֽׂוּ׃</w:t>
      </w:r>
    </w:p>
    <w:p w14:paraId="698D008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die Söhne Jisra'el taten; gemäß allem, was der Ewige Mosche geboten hatte, so taten sie.</w:t>
      </w:r>
    </w:p>
    <w:p w14:paraId="61592855"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39987DA">
          <v:rect id="_x0000_i1078" style="width:0;height:1.5pt" o:hralign="center" o:hrstd="t" o:hr="t" fillcolor="#a0a0a0" stroked="f"/>
        </w:pict>
      </w:r>
    </w:p>
    <w:p w14:paraId="346D2C0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וַיַּעֲשׂוּ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עשה</w:t>
      </w:r>
      <w:r w:rsidRPr="00EF6A3E">
        <w:rPr>
          <w:rFonts w:eastAsia="Times New Roman" w:cs="Times New Roman"/>
          <w:rtl/>
          <w:lang w:eastAsia="de-DE"/>
        </w:rPr>
        <w:t xml:space="preserve"> </w:t>
      </w:r>
      <w:r w:rsidRPr="00EF6A3E">
        <w:rPr>
          <w:rFonts w:eastAsia="Times New Roman" w:cs="Times New Roman"/>
          <w:lang w:eastAsia="de-DE"/>
        </w:rPr>
        <w:t xml:space="preserve">(tun/machen) im Qal-Imperfekt 3. maskulin Plural mit Waw consecutivum leitet den abschließenden Gehorsamsnachweis ein. Das Subjekt </w:t>
      </w:r>
      <w:r w:rsidRPr="00EF6A3E">
        <w:rPr>
          <w:rFonts w:eastAsia="Times New Roman" w:cs="Times New Roman"/>
          <w:b/>
          <w:bCs/>
          <w:rtl/>
          <w:lang w:eastAsia="de-DE"/>
        </w:rPr>
        <w:t>בְּנֵי יִשְׂרָאֵל</w:t>
      </w:r>
      <w:r w:rsidRPr="00EF6A3E">
        <w:rPr>
          <w:rFonts w:eastAsia="Times New Roman" w:cs="Times New Roman"/>
          <w:rtl/>
          <w:lang w:eastAsia="de-DE"/>
        </w:rPr>
        <w:t xml:space="preserve"> </w:t>
      </w:r>
      <w:r w:rsidRPr="00EF6A3E">
        <w:rPr>
          <w:rFonts w:eastAsia="Times New Roman" w:cs="Times New Roman"/>
          <w:lang w:eastAsia="de-DE"/>
        </w:rPr>
        <w:t>(Söhne Israels) umfasst das ganze Volk.</w:t>
      </w:r>
    </w:p>
    <w:p w14:paraId="5B3FF37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Vergleichskonstruktion </w:t>
      </w:r>
      <w:r w:rsidRPr="00EF6A3E">
        <w:rPr>
          <w:rFonts w:eastAsia="Times New Roman" w:cs="Times New Roman"/>
          <w:b/>
          <w:bCs/>
          <w:rtl/>
          <w:lang w:eastAsia="de-DE"/>
        </w:rPr>
        <w:t>כְּכֹל אֲשֶׁר צִוָּה יְהוָה אֶת־מֹשֶׁה</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כְּ</w:t>
      </w:r>
      <w:r w:rsidRPr="00EF6A3E">
        <w:rPr>
          <w:rFonts w:eastAsia="Times New Roman" w:cs="Times New Roman"/>
          <w:rtl/>
          <w:lang w:eastAsia="de-DE"/>
        </w:rPr>
        <w:t xml:space="preserve"> </w:t>
      </w:r>
      <w:r w:rsidRPr="00EF6A3E">
        <w:rPr>
          <w:rFonts w:eastAsia="Times New Roman" w:cs="Times New Roman"/>
          <w:lang w:eastAsia="de-DE"/>
        </w:rPr>
        <w:t xml:space="preserve">(wie/gemäß) mit </w:t>
      </w:r>
      <w:r w:rsidRPr="00EF6A3E">
        <w:rPr>
          <w:rFonts w:eastAsia="Times New Roman" w:cs="Times New Roman"/>
          <w:b/>
          <w:bCs/>
          <w:rtl/>
          <w:lang w:eastAsia="de-DE"/>
        </w:rPr>
        <w:t>כֹל</w:t>
      </w:r>
      <w:r w:rsidRPr="00EF6A3E">
        <w:rPr>
          <w:rFonts w:eastAsia="Times New Roman" w:cs="Times New Roman"/>
          <w:rtl/>
          <w:lang w:eastAsia="de-DE"/>
        </w:rPr>
        <w:t xml:space="preserve"> </w:t>
      </w:r>
      <w:r w:rsidRPr="00EF6A3E">
        <w:rPr>
          <w:rFonts w:eastAsia="Times New Roman" w:cs="Times New Roman"/>
          <w:lang w:eastAsia="de-DE"/>
        </w:rPr>
        <w:t xml:space="preserve">(alles) und dem Relativsatz </w:t>
      </w:r>
      <w:r w:rsidRPr="00EF6A3E">
        <w:rPr>
          <w:rFonts w:eastAsia="Times New Roman" w:cs="Times New Roman"/>
          <w:b/>
          <w:bCs/>
          <w:rtl/>
          <w:lang w:eastAsia="de-DE"/>
        </w:rPr>
        <w:t>אֲשֶׁר צִוָּה יְהוָה אֶת־מֹשֶׁה</w:t>
      </w:r>
      <w:r w:rsidRPr="00EF6A3E">
        <w:rPr>
          <w:rFonts w:eastAsia="Times New Roman" w:cs="Times New Roman"/>
          <w:lang w:eastAsia="de-DE"/>
        </w:rPr>
        <w:t xml:space="preserve">. </w:t>
      </w:r>
      <w:r w:rsidRPr="00EF6A3E">
        <w:rPr>
          <w:rFonts w:eastAsia="Times New Roman" w:cs="Times New Roman"/>
          <w:b/>
          <w:bCs/>
          <w:rtl/>
          <w:lang w:eastAsia="de-DE"/>
        </w:rPr>
        <w:t>צִוָּה</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צוה</w:t>
      </w:r>
      <w:r w:rsidRPr="00EF6A3E">
        <w:rPr>
          <w:rFonts w:eastAsia="Times New Roman" w:cs="Times New Roman"/>
          <w:rtl/>
          <w:lang w:eastAsia="de-DE"/>
        </w:rPr>
        <w:t xml:space="preserve"> </w:t>
      </w:r>
      <w:r w:rsidRPr="00EF6A3E">
        <w:rPr>
          <w:rFonts w:eastAsia="Times New Roman" w:cs="Times New Roman"/>
          <w:lang w:eastAsia="de-DE"/>
        </w:rPr>
        <w:t xml:space="preserve">(befehlen) im Pi'el-Perfekt 3. maskulin Singular mit </w:t>
      </w:r>
      <w:r w:rsidRPr="00EF6A3E">
        <w:rPr>
          <w:rFonts w:eastAsia="Times New Roman" w:cs="Times New Roman"/>
          <w:b/>
          <w:bCs/>
          <w:rtl/>
          <w:lang w:eastAsia="de-DE"/>
        </w:rPr>
        <w:t>יְהוָה</w:t>
      </w:r>
      <w:r w:rsidRPr="00EF6A3E">
        <w:rPr>
          <w:rFonts w:eastAsia="Times New Roman" w:cs="Times New Roman"/>
          <w:rtl/>
          <w:lang w:eastAsia="de-DE"/>
        </w:rPr>
        <w:t xml:space="preserve"> </w:t>
      </w:r>
      <w:r w:rsidRPr="00EF6A3E">
        <w:rPr>
          <w:rFonts w:eastAsia="Times New Roman" w:cs="Times New Roman"/>
          <w:lang w:eastAsia="de-DE"/>
        </w:rPr>
        <w:t xml:space="preserve">als Subjekt und </w:t>
      </w:r>
      <w:r w:rsidRPr="00EF6A3E">
        <w:rPr>
          <w:rFonts w:eastAsia="Times New Roman" w:cs="Times New Roman"/>
          <w:b/>
          <w:bCs/>
          <w:rtl/>
          <w:lang w:eastAsia="de-DE"/>
        </w:rPr>
        <w:t>אֶת־מֹשֶׁה</w:t>
      </w:r>
      <w:r w:rsidRPr="00EF6A3E">
        <w:rPr>
          <w:rFonts w:eastAsia="Times New Roman" w:cs="Times New Roman"/>
          <w:rtl/>
          <w:lang w:eastAsia="de-DE"/>
        </w:rPr>
        <w:t xml:space="preserve"> </w:t>
      </w:r>
      <w:r w:rsidRPr="00EF6A3E">
        <w:rPr>
          <w:rFonts w:eastAsia="Times New Roman" w:cs="Times New Roman"/>
          <w:lang w:eastAsia="de-DE"/>
        </w:rPr>
        <w:t>als direktem Objekt betont die göttliche Autorität.</w:t>
      </w:r>
    </w:p>
    <w:p w14:paraId="3F6D23E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emphatische Wiederholung </w:t>
      </w:r>
      <w:r w:rsidRPr="00EF6A3E">
        <w:rPr>
          <w:rFonts w:eastAsia="Times New Roman" w:cs="Times New Roman"/>
          <w:b/>
          <w:bCs/>
          <w:rtl/>
          <w:lang w:eastAsia="de-DE"/>
        </w:rPr>
        <w:t>כֵּן עָשׂוּ</w:t>
      </w:r>
      <w:r w:rsidRPr="00EF6A3E">
        <w:rPr>
          <w:rFonts w:eastAsia="Times New Roman" w:cs="Times New Roman"/>
          <w:rtl/>
          <w:lang w:eastAsia="de-DE"/>
        </w:rPr>
        <w:t xml:space="preserve"> </w:t>
      </w:r>
      <w:r w:rsidRPr="00EF6A3E">
        <w:rPr>
          <w:rFonts w:eastAsia="Times New Roman" w:cs="Times New Roman"/>
          <w:lang w:eastAsia="de-DE"/>
        </w:rPr>
        <w:t xml:space="preserve">mit dem Adverb </w:t>
      </w:r>
      <w:r w:rsidRPr="00EF6A3E">
        <w:rPr>
          <w:rFonts w:eastAsia="Times New Roman" w:cs="Times New Roman"/>
          <w:b/>
          <w:bCs/>
          <w:rtl/>
          <w:lang w:eastAsia="de-DE"/>
        </w:rPr>
        <w:t>כֵּן</w:t>
      </w:r>
      <w:r w:rsidRPr="00EF6A3E">
        <w:rPr>
          <w:rFonts w:eastAsia="Times New Roman" w:cs="Times New Roman"/>
          <w:rtl/>
          <w:lang w:eastAsia="de-DE"/>
        </w:rPr>
        <w:t xml:space="preserve"> </w:t>
      </w:r>
      <w:r w:rsidRPr="00EF6A3E">
        <w:rPr>
          <w:rFonts w:eastAsia="Times New Roman" w:cs="Times New Roman"/>
          <w:lang w:eastAsia="de-DE"/>
        </w:rPr>
        <w:t xml:space="preserve">(so) und </w:t>
      </w:r>
      <w:r w:rsidRPr="00EF6A3E">
        <w:rPr>
          <w:rFonts w:eastAsia="Times New Roman" w:cs="Times New Roman"/>
          <w:b/>
          <w:bCs/>
          <w:rtl/>
          <w:lang w:eastAsia="de-DE"/>
        </w:rPr>
        <w:t>עָשׂוּ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עשה</w:t>
      </w:r>
      <w:r w:rsidRPr="00EF6A3E">
        <w:rPr>
          <w:rFonts w:eastAsia="Times New Roman" w:cs="Times New Roman"/>
          <w:rtl/>
          <w:lang w:eastAsia="de-DE"/>
        </w:rPr>
        <w:t xml:space="preserve"> </w:t>
      </w:r>
      <w:r w:rsidRPr="00EF6A3E">
        <w:rPr>
          <w:rFonts w:eastAsia="Times New Roman" w:cs="Times New Roman"/>
          <w:lang w:eastAsia="de-DE"/>
        </w:rPr>
        <w:t>im Qal-Perfekt 3. maskulin Plural verstärkt die vollständige Befolgung der Anweisungen.</w:t>
      </w:r>
    </w:p>
    <w:p w14:paraId="5906594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ἐποίησαν οἱ υἱοὶ Ισραηλ κατὰ πάντα ἃ συνέταξεν κύριος τῷ Μωυσῇ οὕτως ἐποίησαν und behält die emphatische Struktur bei.</w:t>
      </w:r>
    </w:p>
    <w:p w14:paraId="639C2A9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einen Hauptsatz mit Verb und Subjekt, gefolgt von einer ausführlichen adverbialen Bestimmung der Art und Weise mit Relativsatz und einer emphatischen Wiederaufnahme des Prädikats.</w:t>
      </w:r>
    </w:p>
    <w:p w14:paraId="791B0AB1" w14:textId="730DEEEC" w:rsid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bildet den feierlichen Abschluss des ersten Kapitels und betont den vollkommenen Gehorsam Israels gegenüber den göttlichen Anweisungen zur Volkszählung und Lagerordnung.</w:t>
      </w:r>
    </w:p>
    <w:p w14:paraId="4D803C04" w14:textId="77777777" w:rsidR="006D4921" w:rsidRDefault="006D4921" w:rsidP="006D4921">
      <w:pPr>
        <w:pStyle w:val="whitespace-normal"/>
      </w:pPr>
      <w:r>
        <w:rPr>
          <w:rStyle w:val="Fett"/>
        </w:rPr>
        <w:t>Methodische Empfehlung zur diachronen Schichtung:</w:t>
      </w:r>
    </w:p>
    <w:p w14:paraId="4B8B346D" w14:textId="77777777" w:rsidR="006D4921" w:rsidRDefault="006D4921" w:rsidP="006D4921">
      <w:pPr>
        <w:pStyle w:val="whitespace-normal"/>
      </w:pPr>
      <w:r>
        <w:t xml:space="preserve">Die Spannung zwischen genealogischer Ordnung (V. 2: </w:t>
      </w:r>
      <w:r w:rsidRPr="006D4921">
        <w:rPr>
          <w:b/>
          <w:bCs/>
          <w:rtl/>
        </w:rPr>
        <w:t>מִשְׁפָּחָה, בֵּית אָבוֹת</w:t>
      </w:r>
      <w:r>
        <w:t xml:space="preserve">) und militärischer Organisation (V. 3: </w:t>
      </w:r>
      <w:r w:rsidRPr="006D4921">
        <w:rPr>
          <w:b/>
          <w:bCs/>
          <w:rtl/>
        </w:rPr>
        <w:t>צָבָא</w:t>
      </w:r>
      <w:r>
        <w:t xml:space="preserve">; V. 52: </w:t>
      </w:r>
      <w:r w:rsidRPr="006D4921">
        <w:rPr>
          <w:b/>
          <w:bCs/>
          <w:rtl/>
        </w:rPr>
        <w:t>דֶּגֶל</w:t>
      </w:r>
      <w:r>
        <w:rPr>
          <w:rtl/>
        </w:rPr>
        <w:t xml:space="preserve">, </w:t>
      </w:r>
      <w:r w:rsidRPr="006D4921">
        <w:rPr>
          <w:b/>
          <w:bCs/>
          <w:rtl/>
        </w:rPr>
        <w:t>מַחֲנֶה</w:t>
      </w:r>
      <w:r>
        <w:t>) deutet auf die Verschmelzung unterschiedlicher Organisationsmodelle hin. Für eine vertiefte literargeschichtliche Analyse empfiehlt sich die Untersuchung folgender Aspekte:</w:t>
      </w:r>
    </w:p>
    <w:p w14:paraId="366724AC" w14:textId="77777777" w:rsidR="006D4921" w:rsidRDefault="006D4921" w:rsidP="006D4921">
      <w:pPr>
        <w:pStyle w:val="whitespace-normal"/>
      </w:pPr>
      <w:r>
        <w:rPr>
          <w:rStyle w:val="Fett"/>
        </w:rPr>
        <w:t>Redaktionsgeschichtliche Indizien:</w:t>
      </w:r>
    </w:p>
    <w:p w14:paraId="2DF6A39E" w14:textId="77777777" w:rsidR="006D4921" w:rsidRDefault="006D4921" w:rsidP="00C15C06">
      <w:pPr>
        <w:pStyle w:val="whitespace-normal"/>
        <w:numPr>
          <w:ilvl w:val="0"/>
          <w:numId w:val="24"/>
        </w:numPr>
      </w:pPr>
      <w:r>
        <w:rPr>
          <w:rStyle w:val="Fett"/>
        </w:rPr>
        <w:t>Terminologische Doppelungen</w:t>
      </w:r>
      <w:r>
        <w:t>: Die Verwendung sowohl genealogischer (</w:t>
      </w:r>
      <w:r w:rsidRPr="006D4921">
        <w:rPr>
          <w:b/>
          <w:bCs/>
          <w:rtl/>
        </w:rPr>
        <w:t>מִשְׁפָּחָה</w:t>
      </w:r>
      <w:r>
        <w:rPr>
          <w:rtl/>
        </w:rPr>
        <w:t>/</w:t>
      </w:r>
      <w:r w:rsidRPr="006D4921">
        <w:rPr>
          <w:b/>
          <w:bCs/>
          <w:rtl/>
        </w:rPr>
        <w:t>בֵּית</w:t>
      </w:r>
      <w:r>
        <w:rPr>
          <w:rtl/>
        </w:rPr>
        <w:t xml:space="preserve"> </w:t>
      </w:r>
      <w:r w:rsidRPr="006D4921">
        <w:rPr>
          <w:b/>
          <w:bCs/>
          <w:rtl/>
        </w:rPr>
        <w:t>אָבוֹת</w:t>
      </w:r>
      <w:r>
        <w:t>) als auch militärischer Begriffe (</w:t>
      </w:r>
      <w:r w:rsidRPr="006D4921">
        <w:rPr>
          <w:b/>
          <w:bCs/>
          <w:rtl/>
        </w:rPr>
        <w:t>צָבָא</w:t>
      </w:r>
      <w:r>
        <w:rPr>
          <w:rtl/>
        </w:rPr>
        <w:t>/</w:t>
      </w:r>
      <w:r w:rsidRPr="006D4921">
        <w:rPr>
          <w:b/>
          <w:bCs/>
          <w:rtl/>
        </w:rPr>
        <w:t>דֶּגֶל</w:t>
      </w:r>
      <w:r>
        <w:t xml:space="preserve">) für dasselbe </w:t>
      </w:r>
      <w:r>
        <w:lastRenderedPageBreak/>
        <w:t>organisatorische Phänomen könnte auf die Integration zweier ursprünglich getrennter Überlieferungsstränge hinweisen.</w:t>
      </w:r>
    </w:p>
    <w:p w14:paraId="69EFA2A9" w14:textId="77777777" w:rsidR="006D4921" w:rsidRDefault="006D4921" w:rsidP="00C15C06">
      <w:pPr>
        <w:pStyle w:val="whitespace-normal"/>
        <w:numPr>
          <w:ilvl w:val="0"/>
          <w:numId w:val="24"/>
        </w:numPr>
      </w:pPr>
      <w:r>
        <w:rPr>
          <w:rStyle w:val="Fett"/>
        </w:rPr>
        <w:t>Funktionale Diskrepanz</w:t>
      </w:r>
      <w:r>
        <w:t>: V. 2-3 etablieren eine Zählung nach Familienstrukturen für militärische Zwecke, während V. 47-53 eine fundamentale kultische Distinktion einführen, die genealogische Kriterien durch funktionale (levitischer Dienst vs. Kriegsdienst) ersetzt.</w:t>
      </w:r>
    </w:p>
    <w:p w14:paraId="29402B6D" w14:textId="77777777" w:rsidR="006D4921" w:rsidRDefault="006D4921" w:rsidP="00C15C06">
      <w:pPr>
        <w:pStyle w:val="whitespace-normal"/>
        <w:numPr>
          <w:ilvl w:val="0"/>
          <w:numId w:val="24"/>
        </w:numPr>
      </w:pPr>
      <w:r>
        <w:rPr>
          <w:rStyle w:val="Fett"/>
        </w:rPr>
        <w:t>Numerische Systematik</w:t>
      </w:r>
      <w:r>
        <w:t>: Die präzisen Stammeszahlen (V. 20-43) und deren mathematisch exakte Summierung (V. 46: 603.550) zeigen charakteristische Merkmale priesterlicher Kompositionstechnik und stehen in Spannung zu den narrativen Rahmenelementen (V. 1, 17-19, 54).</w:t>
      </w:r>
    </w:p>
    <w:p w14:paraId="1DCEBC02" w14:textId="77777777" w:rsidR="006D4921" w:rsidRDefault="006D4921" w:rsidP="006D4921">
      <w:pPr>
        <w:pStyle w:val="whitespace-normal"/>
      </w:pPr>
      <w:r>
        <w:rPr>
          <w:rStyle w:val="Fett"/>
        </w:rPr>
        <w:t>Mögliche diachrone Schichten:</w:t>
      </w:r>
    </w:p>
    <w:p w14:paraId="1F0F502D" w14:textId="77777777" w:rsidR="006D4921" w:rsidRDefault="006D4921" w:rsidP="00C15C06">
      <w:pPr>
        <w:pStyle w:val="whitespace-normal"/>
        <w:numPr>
          <w:ilvl w:val="0"/>
          <w:numId w:val="25"/>
        </w:numPr>
      </w:pPr>
      <w:r>
        <w:rPr>
          <w:rStyle w:val="Fett"/>
        </w:rPr>
        <w:t>Ältere Ebene</w:t>
      </w:r>
      <w:r>
        <w:t>: Eine vorpriesterliche Liste wehrfähiger Männer nach Stammeszugehörigkeit, möglicherweise aus administrativ-militärischem Kontext (vgl. die Parallelität zu altorientalischen Musterungslisten)</w:t>
      </w:r>
    </w:p>
    <w:p w14:paraId="298391B6" w14:textId="77777777" w:rsidR="006D4921" w:rsidRDefault="006D4921" w:rsidP="00C15C06">
      <w:pPr>
        <w:pStyle w:val="whitespace-normal"/>
        <w:numPr>
          <w:ilvl w:val="0"/>
          <w:numId w:val="25"/>
        </w:numPr>
      </w:pPr>
      <w:r>
        <w:rPr>
          <w:rStyle w:val="Fett"/>
        </w:rPr>
        <w:t>Priesterliche Bearbeitung (P)</w:t>
      </w:r>
      <w:r>
        <w:t>: Systematisierung durch genealogische Kategorien (</w:t>
      </w:r>
      <w:r w:rsidRPr="006D4921">
        <w:rPr>
          <w:b/>
          <w:bCs/>
          <w:rtl/>
        </w:rPr>
        <w:t>תּוֹלְדֹת, מִשְׁפָּחָה, בֵּית אָבוֹת</w:t>
      </w:r>
      <w:r>
        <w:t>), Integration in die Sinai-Chronologie (V. 1), Einfügung der levitischen Sonderstellung (V. 47-53) und theologische Rahmung durch göttliche Beauftragung (V. 1-4, 48-54)</w:t>
      </w:r>
    </w:p>
    <w:p w14:paraId="3779B1E8" w14:textId="77777777" w:rsidR="006D4921" w:rsidRDefault="006D4921" w:rsidP="00C15C06">
      <w:pPr>
        <w:pStyle w:val="whitespace-normal"/>
        <w:numPr>
          <w:ilvl w:val="0"/>
          <w:numId w:val="25"/>
        </w:numPr>
      </w:pPr>
      <w:r>
        <w:rPr>
          <w:rStyle w:val="Fett"/>
        </w:rPr>
        <w:t>Spätere Ergänzungen</w:t>
      </w:r>
      <w:r>
        <w:t>: Möglicherweise die detaillierte Namensliste der Stammesrepräsentanten (V. 5-15), die eine systematische Vollständigkeit anstrebt, welche über funktionale Notwendigkeit hinausgeht</w:t>
      </w:r>
    </w:p>
    <w:p w14:paraId="52AAF35D" w14:textId="77777777" w:rsidR="006D4921" w:rsidRDefault="006D4921" w:rsidP="006D4921">
      <w:pPr>
        <w:pStyle w:val="whitespace-normal"/>
      </w:pPr>
      <w:r>
        <w:rPr>
          <w:rStyle w:val="Fett"/>
        </w:rPr>
        <w:t>Methodische Vorgehensweise:</w:t>
      </w:r>
    </w:p>
    <w:p w14:paraId="034707B6" w14:textId="77777777" w:rsidR="006D4921" w:rsidRDefault="006D4921" w:rsidP="00C15C06">
      <w:pPr>
        <w:pStyle w:val="whitespace-normal"/>
        <w:numPr>
          <w:ilvl w:val="0"/>
          <w:numId w:val="26"/>
        </w:numPr>
      </w:pPr>
      <w:r>
        <w:rPr>
          <w:rStyle w:val="Fett"/>
        </w:rPr>
        <w:t>Spannungsanalyse</w:t>
      </w:r>
      <w:r>
        <w:t xml:space="preserve">: Identifikation konzeptioneller Widersprüche oder Doppelungen (z.B. </w:t>
      </w:r>
      <w:r w:rsidRPr="006D4921">
        <w:rPr>
          <w:b/>
          <w:bCs/>
          <w:rtl/>
        </w:rPr>
        <w:t>פקד</w:t>
      </w:r>
      <w:r>
        <w:t xml:space="preserve"> in V. 3 vs. V. 49-50 mit unterschiedlichen Konnotationen)</w:t>
      </w:r>
    </w:p>
    <w:p w14:paraId="56FF8B2F" w14:textId="77777777" w:rsidR="006D4921" w:rsidRDefault="006D4921" w:rsidP="00C15C06">
      <w:pPr>
        <w:pStyle w:val="whitespace-normal"/>
        <w:numPr>
          <w:ilvl w:val="0"/>
          <w:numId w:val="26"/>
        </w:numPr>
      </w:pPr>
      <w:r>
        <w:rPr>
          <w:rStyle w:val="Fett"/>
        </w:rPr>
        <w:t>Terminologievergleich</w:t>
      </w:r>
      <w:r>
        <w:t xml:space="preserve">: Abgleich charakteristischer Begriffe mit anderen priesterlichen Texten (z.B. </w:t>
      </w:r>
      <w:r w:rsidRPr="006D4921">
        <w:rPr>
          <w:b/>
          <w:bCs/>
          <w:rtl/>
        </w:rPr>
        <w:t>מִשְׁכַּן הָעֵדֻת</w:t>
      </w:r>
      <w:r>
        <w:t xml:space="preserve"> als P-Terminus; vgl. Ex 38,21)</w:t>
      </w:r>
    </w:p>
    <w:p w14:paraId="248B8184" w14:textId="77777777" w:rsidR="006D4921" w:rsidRDefault="006D4921" w:rsidP="00C15C06">
      <w:pPr>
        <w:pStyle w:val="whitespace-normal"/>
        <w:numPr>
          <w:ilvl w:val="0"/>
          <w:numId w:val="26"/>
        </w:numPr>
      </w:pPr>
      <w:r>
        <w:rPr>
          <w:rStyle w:val="Fett"/>
        </w:rPr>
        <w:t>Strukturanalyse</w:t>
      </w:r>
      <w:r>
        <w:t>: Unterscheidung zwischen narrativen Verbindungsstücken (V. 17-19, 54) und listenhaften Katalogen (V. 5-15, 20-43)</w:t>
      </w:r>
    </w:p>
    <w:p w14:paraId="16F45D9A" w14:textId="77777777" w:rsidR="006D4921" w:rsidRDefault="006D4921" w:rsidP="00C15C06">
      <w:pPr>
        <w:pStyle w:val="whitespace-normal"/>
        <w:numPr>
          <w:ilvl w:val="0"/>
          <w:numId w:val="26"/>
        </w:numPr>
      </w:pPr>
      <w:r>
        <w:rPr>
          <w:rStyle w:val="Fett"/>
        </w:rPr>
        <w:t>Traditionsgeschichtliche Verortung</w:t>
      </w:r>
      <w:r>
        <w:t>: Rückbindung an außerbiblische Parallelen (mesopotamische Musterungspraxis, hethitische Militärorganisation) zur Bestimmung möglicher vorpriesterlicher Wurzeln</w:t>
      </w:r>
    </w:p>
    <w:p w14:paraId="7893BE6E" w14:textId="572A962A" w:rsidR="006D4921" w:rsidRDefault="006D4921" w:rsidP="006D4921">
      <w:pPr>
        <w:pStyle w:val="whitespace-normal"/>
      </w:pPr>
      <w:r>
        <w:t xml:space="preserve">Diese diachrone Perspektive ergänzt die synchrone Analyse, indem sie die Textgenese transparent macht und erklärt, warum verschiedene Organisationsmodelle nebeneinander bestehen. Die priesterliche Redaktion harmonisierte ältere Traditionen nicht durch Elimination, sondern durch theologische Reinterpretation: Genealogische Ordnung wird zur Manifestation göttlicher Heilsordnung, militärische Musterung zum Ausdruck der Konstituierung Israels als </w:t>
      </w:r>
      <w:r w:rsidRPr="006D4921">
        <w:rPr>
          <w:b/>
          <w:bCs/>
          <w:rtl/>
        </w:rPr>
        <w:t>קְהַל יהוה</w:t>
      </w:r>
      <w:r>
        <w:t xml:space="preserve"> am Sinai.</w:t>
      </w:r>
    </w:p>
    <w:p w14:paraId="677EA199" w14:textId="77777777" w:rsidR="008F1F5C" w:rsidRDefault="00963AC3" w:rsidP="008F1F5C">
      <w:pPr>
        <w:pStyle w:val="whitespace-normal"/>
      </w:pPr>
      <w:r>
        <w:rPr>
          <w:rStyle w:val="Fett"/>
        </w:rPr>
        <w:t>Textkritische Gesamtbewertung:</w:t>
      </w:r>
      <w:r w:rsidR="008F1F5C">
        <w:rPr>
          <w:rStyle w:val="Fett"/>
        </w:rPr>
        <w:t xml:space="preserve"> </w:t>
      </w:r>
      <w:r w:rsidR="008F1F5C">
        <w:t xml:space="preserve">Die LXX-Abweichungen in Numeri 1-2 dokumentieren charakteristische Übersetzungstendenzen, die primär interpretative statt textkritische Bedeutung haben. Die Varianten lassen sich in drei systematische Kategorien einordnen: terminologische Präzisierungen mit technischerer Begrifflichkeit in kultischen Kontexten, theologische Akzentuierungen wie die Substitution von </w:t>
      </w:r>
      <w:r w:rsidR="008F1F5C" w:rsidRPr="006D4921">
        <w:rPr>
          <w:b/>
          <w:bCs/>
          <w:rtl/>
        </w:rPr>
        <w:t>קצף</w:t>
      </w:r>
      <w:r w:rsidR="008F1F5C">
        <w:t xml:space="preserve"> ("Zorn") durch ἁμάρτημα ("Sünde") in 1,53 zur Betonung menschlicher Verfehlung statt göttlichen Zorns, und </w:t>
      </w:r>
      <w:r w:rsidR="008F1F5C">
        <w:lastRenderedPageBreak/>
        <w:t>organisatorische Klarstellungen durch erweiterte Stammesbezeichnungen zur besseren Verständlichkeit.</w:t>
      </w:r>
    </w:p>
    <w:p w14:paraId="000A6758" w14:textId="77777777" w:rsidR="008F1F5C" w:rsidRDefault="008F1F5C" w:rsidP="008F1F5C">
      <w:pPr>
        <w:pStyle w:val="whitespace-normal"/>
      </w:pPr>
      <w:r>
        <w:t>Die textgeschichtliche Analyse zeigt eine hohe Vorlage-Stabilität, da die LXX auf einem dem masoretischen Text weitgehend entsprechenden hebräischen Text basiert, was die grundlegende Textkohärenz bestätigt. Gleichzeitig dokumentieren die Abweichungen eine interpretative Übersetzungspraxis, die unklare Begriffe entsprechend hellenistisch-jüdischem Verständnis ausdeutet und damit frühe Rezeptionsgeschichte widerspiegelt. Die strukturelle Konsistenz zwischen beiden Textzeugen ohne grundlegende Kompositionsunterschiede bestätigt die literarische Integrität des überlieferten Materials.</w:t>
      </w:r>
    </w:p>
    <w:p w14:paraId="0AC1B471" w14:textId="451CDDAB" w:rsidR="00963AC3" w:rsidRDefault="008F1F5C" w:rsidP="008F1F5C">
      <w:pPr>
        <w:pStyle w:val="whitespace-normal"/>
      </w:pPr>
      <w:r>
        <w:t>Die LXX-Varianten bestätigen die gemeinsame Vorlage-Stabilität beider Textzeugen und dokumentieren frühe interpretative Rezeption. Textkritisch sind sie daher primär als Dokumentation von Übersetzungstechniken und theologischen Interpretationsansätzen relevant, nicht als Korrekturhilfen zum masoretischen Text.</w:t>
      </w:r>
    </w:p>
    <w:p w14:paraId="1795F8A2"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w:t>
      </w:r>
    </w:p>
    <w:p w14:paraId="6F70271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וַיְדַבֵּ֣ר יְהוָ֔ה אֶל־מֹשֶׁ֥ה וְאֶֽל־אַהֲרֹ֖ן לֵאמֹֽר׃</w:t>
      </w:r>
    </w:p>
    <w:p w14:paraId="3C982E5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der Ewige redete zu Mosche und zu 'Aharon, sagend:</w:t>
      </w:r>
    </w:p>
    <w:p w14:paraId="3537889E"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1E975D7">
          <v:rect id="_x0000_i1079" style="width:0;height:1.5pt" o:hralign="center" o:hrstd="t" o:hr="t" fillcolor="#a0a0a0" stroked="f"/>
        </w:pict>
      </w:r>
    </w:p>
    <w:p w14:paraId="2E80DF4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וַיְדַבֵּר</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דבר</w:t>
      </w:r>
      <w:r w:rsidRPr="00EF6A3E">
        <w:rPr>
          <w:rFonts w:eastAsia="Times New Roman" w:cs="Times New Roman"/>
          <w:rtl/>
          <w:lang w:eastAsia="de-DE"/>
        </w:rPr>
        <w:t xml:space="preserve"> </w:t>
      </w:r>
      <w:r w:rsidRPr="00EF6A3E">
        <w:rPr>
          <w:rFonts w:eastAsia="Times New Roman" w:cs="Times New Roman"/>
          <w:lang w:eastAsia="de-DE"/>
        </w:rPr>
        <w:t xml:space="preserve">(reden/sprechen) im Qal-Imperfekt 3. maskulin Singular mit Waw consecutivum leitet eine neue göttliche Rede ein. Das Subjekt </w:t>
      </w:r>
      <w:r w:rsidRPr="00EF6A3E">
        <w:rPr>
          <w:rFonts w:eastAsia="Times New Roman" w:cs="Times New Roman"/>
          <w:b/>
          <w:bCs/>
          <w:rtl/>
          <w:lang w:eastAsia="de-DE"/>
        </w:rPr>
        <w:t>יְהוָה</w:t>
      </w:r>
      <w:r w:rsidRPr="00EF6A3E">
        <w:rPr>
          <w:rFonts w:eastAsia="Times New Roman" w:cs="Times New Roman"/>
          <w:rtl/>
          <w:lang w:eastAsia="de-DE"/>
        </w:rPr>
        <w:t xml:space="preserve"> </w:t>
      </w:r>
      <w:r w:rsidRPr="00EF6A3E">
        <w:rPr>
          <w:rFonts w:eastAsia="Times New Roman" w:cs="Times New Roman"/>
          <w:lang w:eastAsia="de-DE"/>
        </w:rPr>
        <w:t xml:space="preserve">mit der koordinierten präpositionalen Phrase </w:t>
      </w:r>
      <w:r w:rsidRPr="00EF6A3E">
        <w:rPr>
          <w:rFonts w:eastAsia="Times New Roman" w:cs="Times New Roman"/>
          <w:b/>
          <w:bCs/>
          <w:rtl/>
          <w:lang w:eastAsia="de-DE"/>
        </w:rPr>
        <w:t>אֶל־מֹשֶׁה וְאֶל־אַהֲרֹן</w:t>
      </w:r>
      <w:r w:rsidRPr="00EF6A3E">
        <w:rPr>
          <w:rFonts w:eastAsia="Times New Roman" w:cs="Times New Roman"/>
          <w:rtl/>
          <w:lang w:eastAsia="de-DE"/>
        </w:rPr>
        <w:t xml:space="preserve"> </w:t>
      </w:r>
      <w:r w:rsidRPr="00EF6A3E">
        <w:rPr>
          <w:rFonts w:eastAsia="Times New Roman" w:cs="Times New Roman"/>
          <w:lang w:eastAsia="de-DE"/>
        </w:rPr>
        <w:t>zeigt eine Erweiterung der Empfänger gegenüber den vorherigen Reden, die meist nur an Mose gerichtet waren.</w:t>
      </w:r>
    </w:p>
    <w:p w14:paraId="2102846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doppelte </w:t>
      </w:r>
      <w:r w:rsidRPr="00EF6A3E">
        <w:rPr>
          <w:rFonts w:eastAsia="Times New Roman" w:cs="Times New Roman"/>
          <w:b/>
          <w:bCs/>
          <w:rtl/>
          <w:lang w:eastAsia="de-DE"/>
        </w:rPr>
        <w:t>אֶל</w:t>
      </w:r>
      <w:r w:rsidRPr="00EF6A3E">
        <w:rPr>
          <w:rFonts w:eastAsia="Times New Roman" w:cs="Times New Roman"/>
          <w:rtl/>
          <w:lang w:eastAsia="de-DE"/>
        </w:rPr>
        <w:t xml:space="preserve"> </w:t>
      </w:r>
      <w:r w:rsidRPr="00EF6A3E">
        <w:rPr>
          <w:rFonts w:eastAsia="Times New Roman" w:cs="Times New Roman"/>
          <w:lang w:eastAsia="de-DE"/>
        </w:rPr>
        <w:t>mit Waw copulativum betont die gemeinsame Beauftragung beider Brüder für die folgende Lagerordnung. Diese Doppelformulierung unterstreicht die institutionelle Bedeutung der Anweisungen.</w:t>
      </w:r>
    </w:p>
    <w:p w14:paraId="789D520E" w14:textId="49F0381F"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abschließende </w:t>
      </w:r>
      <w:r w:rsidRPr="00EF6A3E">
        <w:rPr>
          <w:rFonts w:eastAsia="Times New Roman" w:cs="Times New Roman"/>
          <w:b/>
          <w:bCs/>
          <w:rtl/>
          <w:lang w:eastAsia="de-DE"/>
        </w:rPr>
        <w:t>לֵאמֹר</w:t>
      </w:r>
      <w:r w:rsidRPr="00EF6A3E">
        <w:rPr>
          <w:rFonts w:eastAsia="Times New Roman" w:cs="Times New Roman"/>
          <w:lang w:eastAsia="de-DE"/>
        </w:rPr>
        <w:t>, der Infinitiv-</w:t>
      </w:r>
      <w:r w:rsidR="00F133EC">
        <w:rPr>
          <w:rFonts w:eastAsia="Times New Roman" w:cs="Times New Roman"/>
          <w:lang w:eastAsia="de-DE"/>
        </w:rPr>
        <w:t>Construct</w:t>
      </w:r>
      <w:r w:rsidRPr="00EF6A3E">
        <w:rPr>
          <w:rFonts w:eastAsia="Times New Roman" w:cs="Times New Roman"/>
          <w:lang w:eastAsia="de-DE"/>
        </w:rPr>
        <w:t xml:space="preserve"> von </w:t>
      </w:r>
      <w:r w:rsidRPr="00EF6A3E">
        <w:rPr>
          <w:rFonts w:eastAsia="Times New Roman" w:cs="Times New Roman"/>
          <w:b/>
          <w:bCs/>
          <w:rtl/>
          <w:lang w:eastAsia="de-DE"/>
        </w:rPr>
        <w:t>אמר</w:t>
      </w:r>
      <w:r w:rsidRPr="00EF6A3E">
        <w:rPr>
          <w:rFonts w:eastAsia="Times New Roman" w:cs="Times New Roman"/>
          <w:rtl/>
          <w:lang w:eastAsia="de-DE"/>
        </w:rPr>
        <w:t xml:space="preserve"> </w:t>
      </w:r>
      <w:r w:rsidRPr="00EF6A3E">
        <w:rPr>
          <w:rFonts w:eastAsia="Times New Roman" w:cs="Times New Roman"/>
          <w:lang w:eastAsia="de-DE"/>
        </w:rPr>
        <w:t>(sagen), fungiert als Redeeinleitung und kündigt die folgenden Anweisungen zur Lagerordnung an.</w:t>
      </w:r>
    </w:p>
    <w:p w14:paraId="4661D49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ἐλάλησεν κύριος πρὸς Μωυσῆν καὶ Ααρων λέγων und behält die doppelte Adressierung bei.</w:t>
      </w:r>
    </w:p>
    <w:p w14:paraId="3225F8F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einen einfachen Hauptsatz mit </w:t>
      </w:r>
      <w:r w:rsidRPr="00EF6A3E">
        <w:rPr>
          <w:rFonts w:eastAsia="Times New Roman" w:cs="Times New Roman"/>
          <w:b/>
          <w:bCs/>
          <w:rtl/>
          <w:lang w:eastAsia="de-DE"/>
        </w:rPr>
        <w:t>וַיְדַבֵּר</w:t>
      </w:r>
      <w:r w:rsidRPr="00EF6A3E">
        <w:rPr>
          <w:rFonts w:eastAsia="Times New Roman" w:cs="Times New Roman"/>
          <w:rtl/>
          <w:lang w:eastAsia="de-DE"/>
        </w:rPr>
        <w:t xml:space="preserve"> </w:t>
      </w:r>
      <w:r w:rsidRPr="00EF6A3E">
        <w:rPr>
          <w:rFonts w:eastAsia="Times New Roman" w:cs="Times New Roman"/>
          <w:lang w:eastAsia="de-DE"/>
        </w:rPr>
        <w:t xml:space="preserve">als Prädikat, </w:t>
      </w:r>
      <w:r w:rsidRPr="00EF6A3E">
        <w:rPr>
          <w:rFonts w:eastAsia="Times New Roman" w:cs="Times New Roman"/>
          <w:b/>
          <w:bCs/>
          <w:rtl/>
          <w:lang w:eastAsia="de-DE"/>
        </w:rPr>
        <w:t>יְהוָה</w:t>
      </w:r>
      <w:r w:rsidRPr="00EF6A3E">
        <w:rPr>
          <w:rFonts w:eastAsia="Times New Roman" w:cs="Times New Roman"/>
          <w:rtl/>
          <w:lang w:eastAsia="de-DE"/>
        </w:rPr>
        <w:t xml:space="preserve"> </w:t>
      </w:r>
      <w:r w:rsidRPr="00EF6A3E">
        <w:rPr>
          <w:rFonts w:eastAsia="Times New Roman" w:cs="Times New Roman"/>
          <w:lang w:eastAsia="de-DE"/>
        </w:rPr>
        <w:t>als Subjekt, koordinierten präpositionalen Ergänzungen und der charakteristischen Redeeinleitung.</w:t>
      </w:r>
    </w:p>
    <w:p w14:paraId="75CD714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leitet das zweite Kapitel ein und betont durch die Einbeziehung Aarons die besondere Bedeutung der folgenden Lagerordnung für beide Führungsgestalten Israels.</w:t>
      </w:r>
    </w:p>
    <w:p w14:paraId="657F7E31"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w:t>
      </w:r>
    </w:p>
    <w:p w14:paraId="6719101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אִ֣ישׁ עַל־דִּגְלֹ֤ו בְאֹתֹת֙ לְבֵ֣ית אֲבֹתָ֔ם יַחֲנ֖וּ בְּנֵ֣י יִשְׂרָאֵ֑ל מִנֶּ֕גֶד סָבִ֥יב לְאֹֽהֶל־מוֹעֵ֖ד יַחֲנֽוּ׃</w:t>
      </w:r>
    </w:p>
    <w:p w14:paraId="478A361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Deutsch:</w:t>
      </w:r>
      <w:r w:rsidRPr="00EF6A3E">
        <w:rPr>
          <w:rFonts w:eastAsia="Times New Roman" w:cs="Times New Roman"/>
          <w:lang w:eastAsia="de-DE"/>
        </w:rPr>
        <w:t xml:space="preserve"> Die Söhne Jisra'els sollen, jeder bei seinem Banner mit den Zeichen ihres Vaterhauses, lagern; rings um das Zelt der Begegnung gegenüber sollen sie lagern.</w:t>
      </w:r>
    </w:p>
    <w:p w14:paraId="1C49E900"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45A91C0">
          <v:rect id="_x0000_i1080" style="width:0;height:1.5pt" o:hralign="center" o:hrstd="t" o:hr="t" fillcolor="#a0a0a0" stroked="f"/>
        </w:pict>
      </w:r>
    </w:p>
    <w:p w14:paraId="5A7C53E7" w14:textId="36DB21E5"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distributive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אִישׁ עַל־דִּגְלוֹ</w:t>
      </w:r>
      <w:r w:rsidRPr="00EF6A3E">
        <w:rPr>
          <w:rFonts w:eastAsia="Times New Roman" w:cs="Times New Roman"/>
          <w:rtl/>
          <w:lang w:eastAsia="de-DE"/>
        </w:rPr>
        <w:t xml:space="preserve"> </w:t>
      </w:r>
      <w:r w:rsidRPr="00EF6A3E">
        <w:rPr>
          <w:rFonts w:eastAsia="Times New Roman" w:cs="Times New Roman"/>
          <w:lang w:eastAsia="de-DE"/>
        </w:rPr>
        <w:t xml:space="preserve">(jeder bei seinem Banner) zeigt </w:t>
      </w:r>
      <w:r w:rsidRPr="00EF6A3E">
        <w:rPr>
          <w:rFonts w:eastAsia="Times New Roman" w:cs="Times New Roman"/>
          <w:b/>
          <w:bCs/>
          <w:rtl/>
          <w:lang w:eastAsia="de-DE"/>
        </w:rPr>
        <w:t>אִישׁ</w:t>
      </w:r>
      <w:r w:rsidRPr="00EF6A3E">
        <w:rPr>
          <w:rFonts w:eastAsia="Times New Roman" w:cs="Times New Roman"/>
          <w:rtl/>
          <w:lang w:eastAsia="de-DE"/>
        </w:rPr>
        <w:t xml:space="preserve"> </w:t>
      </w:r>
      <w:r w:rsidRPr="00EF6A3E">
        <w:rPr>
          <w:rFonts w:eastAsia="Times New Roman" w:cs="Times New Roman"/>
          <w:lang w:eastAsia="de-DE"/>
        </w:rPr>
        <w:t xml:space="preserve">(Mann/jeder) mit der präpositionalen Phrase </w:t>
      </w:r>
      <w:r w:rsidRPr="00EF6A3E">
        <w:rPr>
          <w:rFonts w:eastAsia="Times New Roman" w:cs="Times New Roman"/>
          <w:b/>
          <w:bCs/>
          <w:rtl/>
          <w:lang w:eastAsia="de-DE"/>
        </w:rPr>
        <w:t>עַל־דִּגְלוֹ</w:t>
      </w:r>
      <w:r w:rsidRPr="00EF6A3E">
        <w:rPr>
          <w:rFonts w:eastAsia="Times New Roman" w:cs="Times New Roman"/>
          <w:lang w:eastAsia="de-DE"/>
        </w:rPr>
        <w:t xml:space="preserve">, wobei </w:t>
      </w:r>
      <w:r w:rsidRPr="00EF6A3E">
        <w:rPr>
          <w:rFonts w:eastAsia="Times New Roman" w:cs="Times New Roman"/>
          <w:b/>
          <w:bCs/>
          <w:rtl/>
          <w:lang w:eastAsia="de-DE"/>
        </w:rPr>
        <w:t>דֶּגֶל</w:t>
      </w:r>
      <w:r w:rsidRPr="00EF6A3E">
        <w:rPr>
          <w:rFonts w:eastAsia="Times New Roman" w:cs="Times New Roman"/>
          <w:rtl/>
          <w:lang w:eastAsia="de-DE"/>
        </w:rPr>
        <w:t xml:space="preserve"> </w:t>
      </w:r>
      <w:r w:rsidRPr="00EF6A3E">
        <w:rPr>
          <w:rFonts w:eastAsia="Times New Roman" w:cs="Times New Roman"/>
          <w:lang w:eastAsia="de-DE"/>
        </w:rPr>
        <w:t>(Banner/Feldzeichen) mit Possessivsuffix 3. maskulin Singular die stammesmäßige Zuordnung anzeigt.</w:t>
      </w:r>
    </w:p>
    <w:p w14:paraId="6EABB9E1" w14:textId="7486865E"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בְאֹתֹת לְבֵית אֲבֹתָם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אֹתוֹת</w:t>
      </w:r>
      <w:r w:rsidRPr="00EF6A3E">
        <w:rPr>
          <w:rFonts w:eastAsia="Times New Roman" w:cs="Times New Roman"/>
          <w:rtl/>
          <w:lang w:eastAsia="de-DE"/>
        </w:rPr>
        <w:t xml:space="preserve"> </w:t>
      </w:r>
      <w:r w:rsidRPr="00EF6A3E">
        <w:rPr>
          <w:rFonts w:eastAsia="Times New Roman" w:cs="Times New Roman"/>
          <w:lang w:eastAsia="de-DE"/>
        </w:rPr>
        <w:t xml:space="preserve">(Zeichen, Plural von </w:t>
      </w:r>
      <w:r w:rsidRPr="00EF6A3E">
        <w:rPr>
          <w:rFonts w:eastAsia="Times New Roman" w:cs="Times New Roman"/>
          <w:b/>
          <w:bCs/>
          <w:rtl/>
          <w:lang w:eastAsia="de-DE"/>
        </w:rPr>
        <w:t>אוֹת</w:t>
      </w:r>
      <w:r w:rsidRPr="00EF6A3E">
        <w:rPr>
          <w:rFonts w:eastAsia="Times New Roman" w:cs="Times New Roman"/>
          <w:lang w:eastAsia="de-DE"/>
        </w:rPr>
        <w:t xml:space="preserve">) spezifiziert die Identifikationsmerkmale. </w:t>
      </w:r>
      <w:r w:rsidRPr="00EF6A3E">
        <w:rPr>
          <w:rFonts w:eastAsia="Times New Roman" w:cs="Times New Roman"/>
          <w:b/>
          <w:bCs/>
          <w:rtl/>
          <w:lang w:eastAsia="de-DE"/>
        </w:rPr>
        <w:t>לְבֵית אֲבֹתָם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und der </w:t>
      </w:r>
      <w:r w:rsidR="00F133EC">
        <w:rPr>
          <w:rFonts w:eastAsia="Times New Roman" w:cs="Times New Roman"/>
          <w:lang w:eastAsia="de-DE"/>
        </w:rPr>
        <w:t>Construct</w:t>
      </w:r>
      <w:r w:rsidRPr="00EF6A3E">
        <w:rPr>
          <w:rFonts w:eastAsia="Times New Roman" w:cs="Times New Roman"/>
          <w:lang w:eastAsia="de-DE"/>
        </w:rPr>
        <w:t xml:space="preserve">verbindung </w:t>
      </w:r>
      <w:r w:rsidRPr="00EF6A3E">
        <w:rPr>
          <w:rFonts w:eastAsia="Times New Roman" w:cs="Times New Roman"/>
          <w:b/>
          <w:bCs/>
          <w:rtl/>
          <w:lang w:eastAsia="de-DE"/>
        </w:rPr>
        <w:t>בֵית אֲבֹתָם</w:t>
      </w:r>
      <w:r w:rsidRPr="00EF6A3E">
        <w:rPr>
          <w:rFonts w:eastAsia="Times New Roman" w:cs="Times New Roman"/>
          <w:rtl/>
          <w:lang w:eastAsia="de-DE"/>
        </w:rPr>
        <w:t xml:space="preserve"> </w:t>
      </w:r>
      <w:r w:rsidRPr="00EF6A3E">
        <w:rPr>
          <w:rFonts w:eastAsia="Times New Roman" w:cs="Times New Roman"/>
          <w:lang w:eastAsia="de-DE"/>
        </w:rPr>
        <w:t>(Vaterhaus) plus Possessivsuffix zeigt die genealogische Grundlage der Identifikation.</w:t>
      </w:r>
    </w:p>
    <w:p w14:paraId="4D06DB5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Hauptverb </w:t>
      </w:r>
      <w:r w:rsidRPr="00EF6A3E">
        <w:rPr>
          <w:rFonts w:eastAsia="Times New Roman" w:cs="Times New Roman"/>
          <w:b/>
          <w:bCs/>
          <w:rtl/>
          <w:lang w:eastAsia="de-DE"/>
        </w:rPr>
        <w:t>יַחֲנוּ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 xml:space="preserve">(lagern) im Qal-Imperfekt 3. maskulin Plural mit dem Subjekt </w:t>
      </w:r>
      <w:r w:rsidRPr="00EF6A3E">
        <w:rPr>
          <w:rFonts w:eastAsia="Times New Roman" w:cs="Times New Roman"/>
          <w:b/>
          <w:bCs/>
          <w:rtl/>
          <w:lang w:eastAsia="de-DE"/>
        </w:rPr>
        <w:t>בְּנֵי יִשְׂרָאֵל</w:t>
      </w:r>
      <w:r w:rsidRPr="00EF6A3E">
        <w:rPr>
          <w:rFonts w:eastAsia="Times New Roman" w:cs="Times New Roman"/>
          <w:rtl/>
          <w:lang w:eastAsia="de-DE"/>
        </w:rPr>
        <w:t xml:space="preserve"> </w:t>
      </w:r>
      <w:r w:rsidRPr="00EF6A3E">
        <w:rPr>
          <w:rFonts w:eastAsia="Times New Roman" w:cs="Times New Roman"/>
          <w:lang w:eastAsia="de-DE"/>
        </w:rPr>
        <w:t>formuliert die grundsätzliche Lageranweisung. Die vorangestellte Bestimmung zeigt die Art und Weise der Lagerung.</w:t>
      </w:r>
    </w:p>
    <w:p w14:paraId="1B19299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adverbiale Bestimmung </w:t>
      </w:r>
      <w:r w:rsidRPr="00EF6A3E">
        <w:rPr>
          <w:rFonts w:eastAsia="Times New Roman" w:cs="Times New Roman"/>
          <w:b/>
          <w:bCs/>
          <w:rtl/>
          <w:lang w:eastAsia="de-DE"/>
        </w:rPr>
        <w:t>מִנֶּגֶד סָבִיב לְאֹהֶל־מוֹעֵד</w:t>
      </w:r>
      <w:r w:rsidRPr="00EF6A3E">
        <w:rPr>
          <w:rFonts w:eastAsia="Times New Roman" w:cs="Times New Roman"/>
          <w:rtl/>
          <w:lang w:eastAsia="de-DE"/>
        </w:rPr>
        <w:t xml:space="preserve"> </w:t>
      </w:r>
      <w:r w:rsidRPr="00EF6A3E">
        <w:rPr>
          <w:rFonts w:eastAsia="Times New Roman" w:cs="Times New Roman"/>
          <w:lang w:eastAsia="de-DE"/>
        </w:rPr>
        <w:t xml:space="preserve">kombiniert </w:t>
      </w:r>
      <w:r w:rsidRPr="00EF6A3E">
        <w:rPr>
          <w:rFonts w:eastAsia="Times New Roman" w:cs="Times New Roman"/>
          <w:b/>
          <w:bCs/>
          <w:rtl/>
          <w:lang w:eastAsia="de-DE"/>
        </w:rPr>
        <w:t>מִנֶּגֶד</w:t>
      </w:r>
      <w:r w:rsidRPr="00EF6A3E">
        <w:rPr>
          <w:rFonts w:eastAsia="Times New Roman" w:cs="Times New Roman"/>
          <w:rtl/>
          <w:lang w:eastAsia="de-DE"/>
        </w:rPr>
        <w:t xml:space="preserve"> </w:t>
      </w:r>
      <w:r w:rsidRPr="00EF6A3E">
        <w:rPr>
          <w:rFonts w:eastAsia="Times New Roman" w:cs="Times New Roman"/>
          <w:lang w:eastAsia="de-DE"/>
        </w:rPr>
        <w:t xml:space="preserve">(gegenüber/von fern) mit </w:t>
      </w:r>
      <w:r w:rsidRPr="00EF6A3E">
        <w:rPr>
          <w:rFonts w:eastAsia="Times New Roman" w:cs="Times New Roman"/>
          <w:b/>
          <w:bCs/>
          <w:rtl/>
          <w:lang w:eastAsia="de-DE"/>
        </w:rPr>
        <w:t>סָבִיב</w:t>
      </w:r>
      <w:r w:rsidRPr="00EF6A3E">
        <w:rPr>
          <w:rFonts w:eastAsia="Times New Roman" w:cs="Times New Roman"/>
          <w:rtl/>
          <w:lang w:eastAsia="de-DE"/>
        </w:rPr>
        <w:t xml:space="preserve"> </w:t>
      </w:r>
      <w:r w:rsidRPr="00EF6A3E">
        <w:rPr>
          <w:rFonts w:eastAsia="Times New Roman" w:cs="Times New Roman"/>
          <w:lang w:eastAsia="de-DE"/>
        </w:rPr>
        <w:t xml:space="preserve">(ringsum) und </w:t>
      </w:r>
      <w:r w:rsidRPr="00EF6A3E">
        <w:rPr>
          <w:rFonts w:eastAsia="Times New Roman" w:cs="Times New Roman"/>
          <w:b/>
          <w:bCs/>
          <w:rtl/>
          <w:lang w:eastAsia="de-DE"/>
        </w:rPr>
        <w:t>לְאֹהֶל־מוֹעֵד</w:t>
      </w:r>
      <w:r w:rsidRPr="00EF6A3E">
        <w:rPr>
          <w:rFonts w:eastAsia="Times New Roman" w:cs="Times New Roman"/>
          <w:rtl/>
          <w:lang w:eastAsia="de-DE"/>
        </w:rPr>
        <w:t xml:space="preserve"> </w:t>
      </w:r>
      <w:r w:rsidRPr="00EF6A3E">
        <w:rPr>
          <w:rFonts w:eastAsia="Times New Roman" w:cs="Times New Roman"/>
          <w:lang w:eastAsia="de-DE"/>
        </w:rPr>
        <w:t xml:space="preserve">(zum Zelt der Begegnung). Das wiederholte </w:t>
      </w:r>
      <w:r w:rsidRPr="00EF6A3E">
        <w:rPr>
          <w:rFonts w:eastAsia="Times New Roman" w:cs="Times New Roman"/>
          <w:b/>
          <w:bCs/>
          <w:rtl/>
          <w:lang w:eastAsia="de-DE"/>
        </w:rPr>
        <w:t>יַחֲנוּ</w:t>
      </w:r>
      <w:r w:rsidRPr="00EF6A3E">
        <w:rPr>
          <w:rFonts w:eastAsia="Times New Roman" w:cs="Times New Roman"/>
          <w:rtl/>
          <w:lang w:eastAsia="de-DE"/>
        </w:rPr>
        <w:t xml:space="preserve"> </w:t>
      </w:r>
      <w:r w:rsidRPr="00EF6A3E">
        <w:rPr>
          <w:rFonts w:eastAsia="Times New Roman" w:cs="Times New Roman"/>
          <w:lang w:eastAsia="de-DE"/>
        </w:rPr>
        <w:t>verstärkt emphatisch die Lageranweisung und betont die zentrale Bedeutung dieser Anordnung.</w:t>
      </w:r>
    </w:p>
    <w:p w14:paraId="1A8E58E9" w14:textId="77777777" w:rsidR="002B581B" w:rsidRDefault="002B581B" w:rsidP="00EF6A3E">
      <w:pPr>
        <w:spacing w:before="100" w:beforeAutospacing="1" w:after="100" w:afterAutospacing="1" w:line="240" w:lineRule="auto"/>
      </w:pPr>
      <w:r>
        <w:rPr>
          <w:rStyle w:val="Fett"/>
        </w:rPr>
        <w:t>Die LXX</w:t>
      </w:r>
      <w:r>
        <w:t xml:space="preserve"> übersetzt </w:t>
      </w:r>
      <w:r>
        <w:rPr>
          <w:rtl/>
        </w:rPr>
        <w:t>דגל באתת</w:t>
      </w:r>
      <w:r>
        <w:t xml:space="preserve"> (degel be'otot - "Banner mit Zeichen") als κατὰ τάγμα, κατὰ σημείας (nach Ordnung, nach Zeichen), was die militärische Organisation betont. </w:t>
      </w:r>
      <w:r>
        <w:rPr>
          <w:rtl/>
        </w:rPr>
        <w:t>מנגד סביב</w:t>
      </w:r>
      <w:r>
        <w:t xml:space="preserve"> (minneged saviv - "gegenüber ringsum") wird als ἐναντίοι κύκλῳ (gegenüber im Kreis) übersetzt. </w:t>
      </w:r>
      <w:r>
        <w:rPr>
          <w:rtl/>
        </w:rPr>
        <w:t>אהל מועד</w:t>
      </w:r>
      <w:r>
        <w:t xml:space="preserve"> (ohel mo'ed) wird wiederum als σκηνὴ τοῦ μαρτυρίου (Zelt des Zeugnisses) übersetzt.</w:t>
      </w:r>
    </w:p>
    <w:p w14:paraId="500184A8" w14:textId="4F7D7214"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einen Verbalsatz mit vorangestellten adverbialen Bestimmungen zur Art und Weise der Lagerung, gefolgt vom Hauptverb mit Subjekt und einer finalen Ortsbestimmung mit emphatischer Wiederholung des Verbs.</w:t>
      </w:r>
    </w:p>
    <w:p w14:paraId="654B02B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etabliert die grundlegenden Prinzipien der israelitischen Lagerordnung: stammesmäßige Organisation, Verwendung von Bannern und Zeichen sowie zentripetale Ausrichtung um das Heiligtum.</w:t>
      </w:r>
    </w:p>
    <w:p w14:paraId="09B4E11C"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2,3</w:t>
      </w:r>
    </w:p>
    <w:p w14:paraId="7B2C977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וְהַחֹנִים֙ קֵ֣דְמָה מִזְרָ֔חָה דֶּ֛גֶל מַחֲנֵ֥ה יְהוּדָ֖ה לְצִבְאֹתָ֑ם וְנָשִׂיא֙ לִבְנֵ֣י יְהוּדָ֔ה נַחְשׁ֖וֹן בֶּן־עַמִּינָדָֽב׃</w:t>
      </w:r>
    </w:p>
    <w:p w14:paraId="78BC3F3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die Lagernden nach Osten, gegen Sonnenaufgang: das Banner des Lagers Jehuda nach ihren Heerscharen; und der Fürst der Söhne Jehudas: Nachschon, Sohn des Amminadav.</w:t>
      </w:r>
    </w:p>
    <w:p w14:paraId="68D32D93"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219621A8">
          <v:rect id="_x0000_i1081" style="width:0;height:1.5pt" o:hralign="center" o:hrstd="t" o:hr="t" fillcolor="#a0a0a0" stroked="f"/>
        </w:pict>
      </w:r>
    </w:p>
    <w:p w14:paraId="08884A9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Partizip </w:t>
      </w:r>
      <w:r w:rsidRPr="00EF6A3E">
        <w:rPr>
          <w:rFonts w:eastAsia="Times New Roman" w:cs="Times New Roman"/>
          <w:b/>
          <w:bCs/>
          <w:rtl/>
          <w:lang w:eastAsia="de-DE"/>
        </w:rPr>
        <w:t>וְהַחֹנִים</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(lagern) im Qal-Partizip maskulin Plural mit Waw copulativum und bestimmtem Artikel fungiert als Subjekt "die Lagernden".</w:t>
      </w:r>
    </w:p>
    <w:p w14:paraId="6FA1D20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Die Richtungsangabe </w:t>
      </w:r>
      <w:r w:rsidRPr="00EF6A3E">
        <w:rPr>
          <w:rFonts w:eastAsia="Times New Roman" w:cs="Times New Roman"/>
          <w:b/>
          <w:bCs/>
          <w:rtl/>
          <w:lang w:eastAsia="de-DE"/>
        </w:rPr>
        <w:t>קֵדְמָה מִזְרָחָה</w:t>
      </w:r>
      <w:r w:rsidRPr="00EF6A3E">
        <w:rPr>
          <w:rFonts w:eastAsia="Times New Roman" w:cs="Times New Roman"/>
          <w:rtl/>
          <w:lang w:eastAsia="de-DE"/>
        </w:rPr>
        <w:t xml:space="preserve"> </w:t>
      </w:r>
      <w:r w:rsidRPr="00EF6A3E">
        <w:rPr>
          <w:rFonts w:eastAsia="Times New Roman" w:cs="Times New Roman"/>
          <w:lang w:eastAsia="de-DE"/>
        </w:rPr>
        <w:t xml:space="preserve">zeigt eine doppelte Bestimmung mit </w:t>
      </w:r>
      <w:r w:rsidRPr="00EF6A3E">
        <w:rPr>
          <w:rFonts w:eastAsia="Times New Roman" w:cs="Times New Roman"/>
          <w:b/>
          <w:bCs/>
          <w:rtl/>
          <w:lang w:eastAsia="de-DE"/>
        </w:rPr>
        <w:t>קֵדְמָה</w:t>
      </w:r>
      <w:r w:rsidRPr="00EF6A3E">
        <w:rPr>
          <w:rFonts w:eastAsia="Times New Roman" w:cs="Times New Roman"/>
          <w:rtl/>
          <w:lang w:eastAsia="de-DE"/>
        </w:rPr>
        <w:t xml:space="preserve"> </w:t>
      </w:r>
      <w:r w:rsidRPr="00EF6A3E">
        <w:rPr>
          <w:rFonts w:eastAsia="Times New Roman" w:cs="Times New Roman"/>
          <w:lang w:eastAsia="de-DE"/>
        </w:rPr>
        <w:t xml:space="preserve">(ostwärts/nach vorn) und </w:t>
      </w:r>
      <w:r w:rsidRPr="00EF6A3E">
        <w:rPr>
          <w:rFonts w:eastAsia="Times New Roman" w:cs="Times New Roman"/>
          <w:b/>
          <w:bCs/>
          <w:rtl/>
          <w:lang w:eastAsia="de-DE"/>
        </w:rPr>
        <w:t>מִזְרָחָה</w:t>
      </w:r>
      <w:r w:rsidRPr="00EF6A3E">
        <w:rPr>
          <w:rFonts w:eastAsia="Times New Roman" w:cs="Times New Roman"/>
          <w:rtl/>
          <w:lang w:eastAsia="de-DE"/>
        </w:rPr>
        <w:t xml:space="preserve"> </w:t>
      </w:r>
      <w:r w:rsidRPr="00EF6A3E">
        <w:rPr>
          <w:rFonts w:eastAsia="Times New Roman" w:cs="Times New Roman"/>
          <w:lang w:eastAsia="de-DE"/>
        </w:rPr>
        <w:t>(nach Sonnenaufgang), wobei beide Begriffe die Ostrichtung bezeichnen und sich verstärken. Diese Doppelung betont die privilegierte Position der Ostseite als Ehrenstelle.</w:t>
      </w:r>
    </w:p>
    <w:p w14:paraId="2E0239B8" w14:textId="40CB4D90"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Apposition </w:t>
      </w:r>
      <w:r w:rsidRPr="00EF6A3E">
        <w:rPr>
          <w:rFonts w:eastAsia="Times New Roman" w:cs="Times New Roman"/>
          <w:b/>
          <w:bCs/>
          <w:rtl/>
          <w:lang w:eastAsia="de-DE"/>
        </w:rPr>
        <w:t>דֶּגֶל מַחֲנֵה יְהוּדָה לְצִבְאֹתָם</w:t>
      </w:r>
      <w:r w:rsidRPr="00EF6A3E">
        <w:rPr>
          <w:rFonts w:eastAsia="Times New Roman" w:cs="Times New Roman"/>
          <w:rtl/>
          <w:lang w:eastAsia="de-DE"/>
        </w:rPr>
        <w:t xml:space="preserve"> </w:t>
      </w:r>
      <w:r w:rsidRPr="00EF6A3E">
        <w:rPr>
          <w:rFonts w:eastAsia="Times New Roman" w:cs="Times New Roman"/>
          <w:lang w:eastAsia="de-DE"/>
        </w:rPr>
        <w:t xml:space="preserve">spezifiziert die erste Lagergruppe. </w:t>
      </w:r>
      <w:r w:rsidRPr="00EF6A3E">
        <w:rPr>
          <w:rFonts w:eastAsia="Times New Roman" w:cs="Times New Roman"/>
          <w:b/>
          <w:bCs/>
          <w:rtl/>
          <w:lang w:eastAsia="de-DE"/>
        </w:rPr>
        <w:t>דֶּגֶל</w:t>
      </w:r>
      <w:r w:rsidRPr="00EF6A3E">
        <w:rPr>
          <w:rFonts w:eastAsia="Times New Roman" w:cs="Times New Roman"/>
          <w:rtl/>
          <w:lang w:eastAsia="de-DE"/>
        </w:rPr>
        <w:t xml:space="preserve"> </w:t>
      </w:r>
      <w:r w:rsidRPr="00EF6A3E">
        <w:rPr>
          <w:rFonts w:eastAsia="Times New Roman" w:cs="Times New Roman"/>
          <w:lang w:eastAsia="de-DE"/>
        </w:rPr>
        <w:t xml:space="preserve">(Banner) steht im </w:t>
      </w:r>
      <w:r w:rsidR="00F133EC">
        <w:rPr>
          <w:rFonts w:eastAsia="Times New Roman" w:cs="Times New Roman"/>
          <w:lang w:eastAsia="de-DE"/>
        </w:rPr>
        <w:t>Construct</w:t>
      </w:r>
      <w:r w:rsidRPr="00EF6A3E">
        <w:rPr>
          <w:rFonts w:eastAsia="Times New Roman" w:cs="Times New Roman"/>
          <w:lang w:eastAsia="de-DE"/>
        </w:rPr>
        <w:t xml:space="preserve"> mit </w:t>
      </w:r>
      <w:r w:rsidRPr="00EF6A3E">
        <w:rPr>
          <w:rFonts w:eastAsia="Times New Roman" w:cs="Times New Roman"/>
          <w:b/>
          <w:bCs/>
          <w:rtl/>
          <w:lang w:eastAsia="de-DE"/>
        </w:rPr>
        <w:t>מַחֲנֵה יְהוּדָה</w:t>
      </w:r>
      <w:r w:rsidRPr="00EF6A3E">
        <w:rPr>
          <w:rFonts w:eastAsia="Times New Roman" w:cs="Times New Roman"/>
          <w:rtl/>
          <w:lang w:eastAsia="de-DE"/>
        </w:rPr>
        <w:t xml:space="preserve"> </w:t>
      </w:r>
      <w:r w:rsidRPr="00EF6A3E">
        <w:rPr>
          <w:rFonts w:eastAsia="Times New Roman" w:cs="Times New Roman"/>
          <w:lang w:eastAsia="de-DE"/>
        </w:rPr>
        <w:t xml:space="preserve">(Lager Judas), und </w:t>
      </w:r>
      <w:r w:rsidRPr="00EF6A3E">
        <w:rPr>
          <w:rFonts w:eastAsia="Times New Roman" w:cs="Times New Roman"/>
          <w:b/>
          <w:bCs/>
          <w:rtl/>
          <w:lang w:eastAsia="de-DE"/>
        </w:rPr>
        <w:t>לְצִבְאֹתָם</w:t>
      </w:r>
      <w:r w:rsidRPr="00EF6A3E">
        <w:rPr>
          <w:rFonts w:eastAsia="Times New Roman" w:cs="Times New Roman"/>
          <w:rtl/>
          <w:lang w:eastAsia="de-DE"/>
        </w:rPr>
        <w:t xml:space="preserve"> </w:t>
      </w:r>
      <w:r w:rsidRPr="00EF6A3E">
        <w:rPr>
          <w:rFonts w:eastAsia="Times New Roman" w:cs="Times New Roman"/>
          <w:lang w:eastAsia="de-DE"/>
        </w:rPr>
        <w:t xml:space="preserve">(nach ihren Heerscharen) mit </w:t>
      </w:r>
      <w:r w:rsidRPr="00EF6A3E">
        <w:rPr>
          <w:rFonts w:eastAsia="Times New Roman" w:cs="Times New Roman"/>
          <w:b/>
          <w:bCs/>
          <w:rtl/>
          <w:lang w:eastAsia="de-DE"/>
        </w:rPr>
        <w:t>לְ</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צְבָאוֹת</w:t>
      </w:r>
      <w:r w:rsidRPr="00EF6A3E">
        <w:rPr>
          <w:rFonts w:eastAsia="Times New Roman" w:cs="Times New Roman"/>
          <w:rtl/>
          <w:lang w:eastAsia="de-DE"/>
        </w:rPr>
        <w:t xml:space="preserve"> </w:t>
      </w:r>
      <w:r w:rsidRPr="00EF6A3E">
        <w:rPr>
          <w:rFonts w:eastAsia="Times New Roman" w:cs="Times New Roman"/>
          <w:lang w:eastAsia="de-DE"/>
        </w:rPr>
        <w:t>plus Possessivsuffix 3. maskulin Plural zeigt die militärische Organisation.</w:t>
      </w:r>
    </w:p>
    <w:p w14:paraId="266D1B1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koordinierte Nominalsatz </w:t>
      </w:r>
      <w:r w:rsidRPr="00EF6A3E">
        <w:rPr>
          <w:rFonts w:eastAsia="Times New Roman" w:cs="Times New Roman"/>
          <w:b/>
          <w:bCs/>
          <w:rtl/>
          <w:lang w:eastAsia="de-DE"/>
        </w:rPr>
        <w:t>וְנָשִׂיא לִבְנֵי יְהוּדָה נַחְשׁוֹן בֶּן־עַמִּינָדָב</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נָשִׂיא</w:t>
      </w:r>
      <w:r w:rsidRPr="00EF6A3E">
        <w:rPr>
          <w:rFonts w:eastAsia="Times New Roman" w:cs="Times New Roman"/>
          <w:rtl/>
          <w:lang w:eastAsia="de-DE"/>
        </w:rPr>
        <w:t xml:space="preserve"> </w:t>
      </w:r>
      <w:r w:rsidRPr="00EF6A3E">
        <w:rPr>
          <w:rFonts w:eastAsia="Times New Roman" w:cs="Times New Roman"/>
          <w:lang w:eastAsia="de-DE"/>
        </w:rPr>
        <w:t xml:space="preserve">(Fürst) und der präpositionalen Phrase </w:t>
      </w:r>
      <w:r w:rsidRPr="00EF6A3E">
        <w:rPr>
          <w:rFonts w:eastAsia="Times New Roman" w:cs="Times New Roman"/>
          <w:b/>
          <w:bCs/>
          <w:rtl/>
          <w:lang w:eastAsia="de-DE"/>
        </w:rPr>
        <w:t>לִבְנֵי יְהוּדָה</w:t>
      </w:r>
      <w:r w:rsidRPr="00EF6A3E">
        <w:rPr>
          <w:rFonts w:eastAsia="Times New Roman" w:cs="Times New Roman"/>
          <w:rtl/>
          <w:lang w:eastAsia="de-DE"/>
        </w:rPr>
        <w:t xml:space="preserve"> </w:t>
      </w:r>
      <w:r w:rsidRPr="00EF6A3E">
        <w:rPr>
          <w:rFonts w:eastAsia="Times New Roman" w:cs="Times New Roman"/>
          <w:lang w:eastAsia="de-DE"/>
        </w:rPr>
        <w:t xml:space="preserve">nennt den Stammesführer. Die patronymische Formel </w:t>
      </w:r>
      <w:r w:rsidRPr="00EF6A3E">
        <w:rPr>
          <w:rFonts w:eastAsia="Times New Roman" w:cs="Times New Roman"/>
          <w:b/>
          <w:bCs/>
          <w:rtl/>
          <w:lang w:eastAsia="de-DE"/>
        </w:rPr>
        <w:t>נַחְשׁוֹן בֶּן־עַמִּינָדָב</w:t>
      </w:r>
      <w:r w:rsidRPr="00EF6A3E">
        <w:rPr>
          <w:rFonts w:eastAsia="Times New Roman" w:cs="Times New Roman"/>
          <w:rtl/>
          <w:lang w:eastAsia="de-DE"/>
        </w:rPr>
        <w:t xml:space="preserve"> </w:t>
      </w:r>
      <w:r w:rsidRPr="00EF6A3E">
        <w:rPr>
          <w:rFonts w:eastAsia="Times New Roman" w:cs="Times New Roman"/>
          <w:lang w:eastAsia="de-DE"/>
        </w:rPr>
        <w:t>entspricht der bereits in 1,7 etablierten Identifikation.</w:t>
      </w:r>
    </w:p>
    <w:p w14:paraId="42B513A0" w14:textId="751DF792" w:rsidR="00EF6A3E" w:rsidRPr="00EF6A3E" w:rsidRDefault="002B581B" w:rsidP="00EF6A3E">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קדמה מזרחה</w:t>
      </w:r>
      <w:r>
        <w:t xml:space="preserve"> (qedmah mizrachah - "ostwärts nach Osten") als κατʼ ἀνατολάς (nach Osten/Sonnenaufgang), was eine Vereinfachung darstellt. </w:t>
      </w:r>
      <w:r>
        <w:rPr>
          <w:rtl/>
        </w:rPr>
        <w:t>נשיא</w:t>
      </w:r>
      <w:r>
        <w:t xml:space="preserve"> (nasi - "Fürst") wird als ἄρχων (Anführer/Herrscher) übersetzt, was griechische politische Terminologie verwendet.</w:t>
      </w:r>
    </w:p>
    <w:p w14:paraId="37BECBE6" w14:textId="7FB9D9CF"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 partizipiale </w:t>
      </w:r>
      <w:r w:rsidR="00F133EC">
        <w:rPr>
          <w:rFonts w:eastAsia="Times New Roman" w:cs="Times New Roman"/>
          <w:lang w:eastAsia="de-DE"/>
        </w:rPr>
        <w:t>Construct</w:t>
      </w:r>
      <w:r w:rsidRPr="00EF6A3E">
        <w:rPr>
          <w:rFonts w:eastAsia="Times New Roman" w:cs="Times New Roman"/>
          <w:lang w:eastAsia="de-DE"/>
        </w:rPr>
        <w:t>ion mit doppelter adverbialer Richtungsbestimmung, gefolgt von appositiven Bestimmungen zur Stammesidentifikation und einem koordinierten Nominalsatz zur Führungsstruktur.</w:t>
      </w:r>
    </w:p>
    <w:p w14:paraId="2DA10A2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beginnt die detaillierte Beschreibung der Lagerordnung mit der Ehrenstelle im Osten für den Stamm Juda, was dessen spätere führende Rolle in Israel vorwegnimmt.</w:t>
      </w:r>
    </w:p>
    <w:p w14:paraId="4C2AB514"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2,4</w:t>
      </w:r>
    </w:p>
    <w:p w14:paraId="1D7190B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וּפְקֻדֵיהֶ֑ם אַרְבָּעָ֧ה וְשִׁבְעִ֛ים אֶ֖לֶף וְשֵׁ֥שׁ מֵאֽוֹת׃</w:t>
      </w:r>
    </w:p>
    <w:p w14:paraId="28CA7FA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ihre Gemusterten: 74.600.</w:t>
      </w:r>
    </w:p>
    <w:p w14:paraId="7B8FC6B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A190422">
          <v:rect id="_x0000_i1082" style="width:0;height:1.5pt" o:hralign="center" o:hrstd="t" o:hr="t" fillcolor="#a0a0a0" stroked="f"/>
        </w:pict>
      </w:r>
    </w:p>
    <w:p w14:paraId="55C82CC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koordinierte Subjekt </w:t>
      </w:r>
      <w:r w:rsidRPr="00EF6A3E">
        <w:rPr>
          <w:rFonts w:eastAsia="Times New Roman" w:cs="Times New Roman"/>
          <w:b/>
          <w:bCs/>
          <w:rtl/>
          <w:lang w:eastAsia="de-DE"/>
        </w:rPr>
        <w:t>וּצְבָאֹו וּפְקֻדֵיהֶם</w:t>
      </w:r>
      <w:r w:rsidRPr="00EF6A3E">
        <w:rPr>
          <w:rFonts w:eastAsia="Times New Roman" w:cs="Times New Roman"/>
          <w:rtl/>
          <w:lang w:eastAsia="de-DE"/>
        </w:rPr>
        <w:t xml:space="preserve"> </w:t>
      </w:r>
      <w:r w:rsidRPr="00EF6A3E">
        <w:rPr>
          <w:rFonts w:eastAsia="Times New Roman" w:cs="Times New Roman"/>
          <w:lang w:eastAsia="de-DE"/>
        </w:rPr>
        <w:t xml:space="preserve">mit doppeltem Waw copulativum zeigt </w:t>
      </w:r>
      <w:r w:rsidRPr="00EF6A3E">
        <w:rPr>
          <w:rFonts w:eastAsia="Times New Roman" w:cs="Times New Roman"/>
          <w:b/>
          <w:bCs/>
          <w:rtl/>
          <w:lang w:eastAsia="de-DE"/>
        </w:rPr>
        <w:t>צָבָא</w:t>
      </w:r>
      <w:r w:rsidRPr="00EF6A3E">
        <w:rPr>
          <w:rFonts w:eastAsia="Times New Roman" w:cs="Times New Roman"/>
          <w:rtl/>
          <w:lang w:eastAsia="de-DE"/>
        </w:rPr>
        <w:t xml:space="preserve"> </w:t>
      </w:r>
      <w:r w:rsidRPr="00EF6A3E">
        <w:rPr>
          <w:rFonts w:eastAsia="Times New Roman" w:cs="Times New Roman"/>
          <w:lang w:eastAsia="de-DE"/>
        </w:rPr>
        <w:t xml:space="preserve">(Heer) mit Possessivsuffix 3. maskulin Singular und </w:t>
      </w:r>
      <w:r w:rsidRPr="00EF6A3E">
        <w:rPr>
          <w:rFonts w:eastAsia="Times New Roman" w:cs="Times New Roman"/>
          <w:b/>
          <w:bCs/>
          <w:rtl/>
          <w:lang w:eastAsia="de-DE"/>
        </w:rPr>
        <w:t>פְקֻדִים</w:t>
      </w:r>
      <w:r w:rsidRPr="00EF6A3E">
        <w:rPr>
          <w:rFonts w:eastAsia="Times New Roman" w:cs="Times New Roman"/>
          <w:rtl/>
          <w:lang w:eastAsia="de-DE"/>
        </w:rPr>
        <w:t xml:space="preserve"> </w:t>
      </w:r>
      <w:r w:rsidRPr="00EF6A3E">
        <w:rPr>
          <w:rFonts w:eastAsia="Times New Roman" w:cs="Times New Roman"/>
          <w:lang w:eastAsia="de-DE"/>
        </w:rPr>
        <w:t>(Gemusterte) mit Possessivsuffix 3. maskulin Plural.</w:t>
      </w:r>
    </w:p>
    <w:p w14:paraId="7B6AD2B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unterschiedlichen Suffixe (</w:t>
      </w:r>
      <w:r w:rsidRPr="00EF6A3E">
        <w:rPr>
          <w:rFonts w:eastAsia="Times New Roman" w:cs="Times New Roman"/>
          <w:b/>
          <w:bCs/>
          <w:rtl/>
          <w:lang w:eastAsia="de-DE"/>
        </w:rPr>
        <w:t>־ֹו</w:t>
      </w:r>
      <w:r w:rsidRPr="00EF6A3E">
        <w:rPr>
          <w:rFonts w:eastAsia="Times New Roman" w:cs="Times New Roman"/>
          <w:rtl/>
          <w:lang w:eastAsia="de-DE"/>
        </w:rPr>
        <w:t xml:space="preserve"> </w:t>
      </w:r>
      <w:r w:rsidRPr="00EF6A3E">
        <w:rPr>
          <w:rFonts w:eastAsia="Times New Roman" w:cs="Times New Roman"/>
          <w:lang w:eastAsia="de-DE"/>
        </w:rPr>
        <w:t xml:space="preserve">vs. </w:t>
      </w:r>
      <w:r w:rsidRPr="00EF6A3E">
        <w:rPr>
          <w:rFonts w:eastAsia="Times New Roman" w:cs="Times New Roman"/>
          <w:b/>
          <w:bCs/>
          <w:rtl/>
          <w:lang w:eastAsia="de-DE"/>
        </w:rPr>
        <w:t>־ֵיהֶם</w:t>
      </w:r>
      <w:r w:rsidRPr="00EF6A3E">
        <w:rPr>
          <w:rFonts w:eastAsia="Times New Roman" w:cs="Times New Roman"/>
          <w:lang w:eastAsia="de-DE"/>
        </w:rPr>
        <w:t xml:space="preserve">) zeigen eine syntaktische Spannung zwischen Singular- und Pluralbezug, wobei </w:t>
      </w:r>
      <w:r w:rsidRPr="00EF6A3E">
        <w:rPr>
          <w:rFonts w:eastAsia="Times New Roman" w:cs="Times New Roman"/>
          <w:b/>
          <w:bCs/>
          <w:rtl/>
          <w:lang w:eastAsia="de-DE"/>
        </w:rPr>
        <w:t>צְבָאֹו</w:t>
      </w:r>
      <w:r w:rsidRPr="00EF6A3E">
        <w:rPr>
          <w:rFonts w:eastAsia="Times New Roman" w:cs="Times New Roman"/>
          <w:rtl/>
          <w:lang w:eastAsia="de-DE"/>
        </w:rPr>
        <w:t xml:space="preserve"> </w:t>
      </w:r>
      <w:r w:rsidRPr="00EF6A3E">
        <w:rPr>
          <w:rFonts w:eastAsia="Times New Roman" w:cs="Times New Roman"/>
          <w:lang w:eastAsia="de-DE"/>
        </w:rPr>
        <w:t xml:space="preserve">sich auf den Stamm als Einheit und </w:t>
      </w:r>
      <w:r w:rsidRPr="00EF6A3E">
        <w:rPr>
          <w:rFonts w:eastAsia="Times New Roman" w:cs="Times New Roman"/>
          <w:b/>
          <w:bCs/>
          <w:rtl/>
          <w:lang w:eastAsia="de-DE"/>
        </w:rPr>
        <w:t>פְקֻדֵיהֶם</w:t>
      </w:r>
      <w:r w:rsidRPr="00EF6A3E">
        <w:rPr>
          <w:rFonts w:eastAsia="Times New Roman" w:cs="Times New Roman"/>
          <w:rtl/>
          <w:lang w:eastAsia="de-DE"/>
        </w:rPr>
        <w:t xml:space="preserve"> </w:t>
      </w:r>
      <w:r w:rsidRPr="00EF6A3E">
        <w:rPr>
          <w:rFonts w:eastAsia="Times New Roman" w:cs="Times New Roman"/>
          <w:lang w:eastAsia="de-DE"/>
        </w:rPr>
        <w:t>auf die individuellen Mitglieder bezieht.</w:t>
      </w:r>
    </w:p>
    <w:p w14:paraId="4C21A89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אַרְבָּעָה וְשִׁבְעִים אֶלֶף וְשֵׁשׁ מֵאוֹת</w:t>
      </w:r>
      <w:r w:rsidRPr="00EF6A3E">
        <w:rPr>
          <w:rFonts w:eastAsia="Times New Roman" w:cs="Times New Roman"/>
          <w:rtl/>
          <w:lang w:eastAsia="de-DE"/>
        </w:rPr>
        <w:t xml:space="preserve"> </w:t>
      </w:r>
      <w:r w:rsidRPr="00EF6A3E">
        <w:rPr>
          <w:rFonts w:eastAsia="Times New Roman" w:cs="Times New Roman"/>
          <w:lang w:eastAsia="de-DE"/>
        </w:rPr>
        <w:t>entspricht exakt der in 1,27 genannten Zahl für Juda und bestätigt die Kontinuität der Volkszählung.</w:t>
      </w:r>
    </w:p>
    <w:p w14:paraId="424C9B9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δύναμις αὐτοῦ οἱ ἐπισκοποί αὐτοῦ τέσσαρες καὶ ἑβδομήκοντα χιλιάδες καὶ ἑξακόσιοι und behält die Zahlenstruktur bei.</w:t>
      </w:r>
    </w:p>
    <w:p w14:paraId="0FFAC72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folgt dem elliptischen Muster mit koordiniertem Subjekt und prädikativer Zahlenangabe.</w:t>
      </w:r>
    </w:p>
    <w:p w14:paraId="22B7EDD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Dieser Vers bestätigt die Größe des Stammes Juda als bevölkerungsstärksten Stamm Israels.</w:t>
      </w:r>
    </w:p>
    <w:p w14:paraId="052BA7C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2,5</w:t>
      </w:r>
    </w:p>
    <w:p w14:paraId="76CF1A0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וְהַחֹנִ֥ים עָלָ֖יו מַטֵּ֣ה יִשָּׂשכָ֑ר וְנָשִׂיא֙ לִבְנֵ֣י יִשָּׂשכָ֔ר נְתַנְאֵ֖ל בֶּן־צוּעָֽר׃</w:t>
      </w:r>
    </w:p>
    <w:p w14:paraId="0226A85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die neben ihm Lagernden: der Stamm Jissaschar; und der Fürst der Söhne Jissaschars: Netan'el, Sohn des Zu'ar.</w:t>
      </w:r>
    </w:p>
    <w:p w14:paraId="20148F6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CC05029">
          <v:rect id="_x0000_i1083" style="width:0;height:1.5pt" o:hralign="center" o:hrstd="t" o:hr="t" fillcolor="#a0a0a0" stroked="f"/>
        </w:pict>
      </w:r>
    </w:p>
    <w:p w14:paraId="4FCF64E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Partizip </w:t>
      </w:r>
      <w:r w:rsidRPr="00EF6A3E">
        <w:rPr>
          <w:rFonts w:eastAsia="Times New Roman" w:cs="Times New Roman"/>
          <w:b/>
          <w:bCs/>
          <w:rtl/>
          <w:lang w:eastAsia="de-DE"/>
        </w:rPr>
        <w:t>וְהַחֹנִים</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(lagern) im Qal-Partizip maskulin Plural mit Waw copulativum und bestimmtem Artikel bezeichnet die zweite Lagergruppe im Ostbereich.</w:t>
      </w:r>
    </w:p>
    <w:p w14:paraId="625EB8A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עָלָיו</w:t>
      </w:r>
      <w:r w:rsidRPr="00EF6A3E">
        <w:rPr>
          <w:rFonts w:eastAsia="Times New Roman" w:cs="Times New Roman"/>
          <w:rtl/>
          <w:lang w:eastAsia="de-DE"/>
        </w:rPr>
        <w:t xml:space="preserve"> </w:t>
      </w:r>
      <w:r w:rsidRPr="00EF6A3E">
        <w:rPr>
          <w:rFonts w:eastAsia="Times New Roman" w:cs="Times New Roman"/>
          <w:lang w:eastAsia="de-DE"/>
        </w:rPr>
        <w:t xml:space="preserve">(neben ihm/bei ihm) mit </w:t>
      </w:r>
      <w:r w:rsidRPr="00EF6A3E">
        <w:rPr>
          <w:rFonts w:eastAsia="Times New Roman" w:cs="Times New Roman"/>
          <w:b/>
          <w:bCs/>
          <w:rtl/>
          <w:lang w:eastAsia="de-DE"/>
        </w:rPr>
        <w:t>עַל</w:t>
      </w:r>
      <w:r w:rsidRPr="00EF6A3E">
        <w:rPr>
          <w:rFonts w:eastAsia="Times New Roman" w:cs="Times New Roman"/>
          <w:rtl/>
          <w:lang w:eastAsia="de-DE"/>
        </w:rPr>
        <w:t xml:space="preserve"> </w:t>
      </w:r>
      <w:r w:rsidRPr="00EF6A3E">
        <w:rPr>
          <w:rFonts w:eastAsia="Times New Roman" w:cs="Times New Roman"/>
          <w:lang w:eastAsia="de-DE"/>
        </w:rPr>
        <w:t>und Possessivsuffix 3. maskulin Singular bezieht sich auf das Lager Judas und zeigt die räumliche Nähe der Stämme innerhalb einer Himmelsrichtung.</w:t>
      </w:r>
    </w:p>
    <w:p w14:paraId="66DEA42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Apposition </w:t>
      </w:r>
      <w:r w:rsidRPr="00EF6A3E">
        <w:rPr>
          <w:rFonts w:eastAsia="Times New Roman" w:cs="Times New Roman"/>
          <w:b/>
          <w:bCs/>
          <w:rtl/>
          <w:lang w:eastAsia="de-DE"/>
        </w:rPr>
        <w:t>מַטֵּה יִשָּׂשכָר</w:t>
      </w:r>
      <w:r w:rsidRPr="00EF6A3E">
        <w:rPr>
          <w:rFonts w:eastAsia="Times New Roman" w:cs="Times New Roman"/>
          <w:rtl/>
          <w:lang w:eastAsia="de-DE"/>
        </w:rPr>
        <w:t xml:space="preserve"> </w:t>
      </w:r>
      <w:r w:rsidRPr="00EF6A3E">
        <w:rPr>
          <w:rFonts w:eastAsia="Times New Roman" w:cs="Times New Roman"/>
          <w:lang w:eastAsia="de-DE"/>
        </w:rPr>
        <w:t xml:space="preserve">(Stamm Issaschar) spezifiziert den zweiten Stamm des Ostlagers. Der koordinierte Nominalsatz </w:t>
      </w:r>
      <w:r w:rsidRPr="00EF6A3E">
        <w:rPr>
          <w:rFonts w:eastAsia="Times New Roman" w:cs="Times New Roman"/>
          <w:b/>
          <w:bCs/>
          <w:rtl/>
          <w:lang w:eastAsia="de-DE"/>
        </w:rPr>
        <w:t>וְנָשִׂיא לִבְנֵי יִשָּׂשכָר נְתַנְאֵל בֶּן־צוּעָר</w:t>
      </w:r>
      <w:r w:rsidRPr="00EF6A3E">
        <w:rPr>
          <w:rFonts w:eastAsia="Times New Roman" w:cs="Times New Roman"/>
          <w:rtl/>
          <w:lang w:eastAsia="de-DE"/>
        </w:rPr>
        <w:t xml:space="preserve"> </w:t>
      </w:r>
      <w:r w:rsidRPr="00EF6A3E">
        <w:rPr>
          <w:rFonts w:eastAsia="Times New Roman" w:cs="Times New Roman"/>
          <w:lang w:eastAsia="de-DE"/>
        </w:rPr>
        <w:t>entspricht der in 1,8 etablierten Führungsstruktur.</w:t>
      </w:r>
    </w:p>
    <w:p w14:paraId="064B481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οἱ παρεμβάλλοντες ἐχόμενοι φυλῆς Ισσαχαρ und verwendet ἐχόμενοι (die Angrenzenden) für </w:t>
      </w:r>
      <w:r w:rsidRPr="00EF6A3E">
        <w:rPr>
          <w:rFonts w:eastAsia="Times New Roman" w:cs="Times New Roman"/>
          <w:b/>
          <w:bCs/>
          <w:rtl/>
          <w:lang w:eastAsia="de-DE"/>
        </w:rPr>
        <w:t>עָלָיו</w:t>
      </w:r>
      <w:r w:rsidRPr="00EF6A3E">
        <w:rPr>
          <w:rFonts w:eastAsia="Times New Roman" w:cs="Times New Roman"/>
          <w:lang w:eastAsia="de-DE"/>
        </w:rPr>
        <w:t>.</w:t>
      </w:r>
    </w:p>
    <w:p w14:paraId="1118E2B0" w14:textId="654F31E3"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 partizipiale </w:t>
      </w:r>
      <w:r w:rsidR="00F133EC">
        <w:rPr>
          <w:rFonts w:eastAsia="Times New Roman" w:cs="Times New Roman"/>
          <w:lang w:eastAsia="de-DE"/>
        </w:rPr>
        <w:t>Construct</w:t>
      </w:r>
      <w:r w:rsidRPr="00EF6A3E">
        <w:rPr>
          <w:rFonts w:eastAsia="Times New Roman" w:cs="Times New Roman"/>
          <w:lang w:eastAsia="de-DE"/>
        </w:rPr>
        <w:t>ion mit präpositionaler Ortsbestimmung, gefolgt von appositiver Stammesbezeichnung und koordiniertem Nominalsatz zur Führungsangabe.</w:t>
      </w:r>
    </w:p>
    <w:p w14:paraId="02BD2EF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zeigt die hierarchische Struktur innerhalb der Lagergruppe mit Juda als führendem Stamm und Issaschar als angegliedertem Stamm.</w:t>
      </w:r>
    </w:p>
    <w:p w14:paraId="2EC06A77"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2,6</w:t>
      </w:r>
    </w:p>
    <w:p w14:paraId="26C126C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וּפְקֻדָ֑יו אַרְבָּעָ֧ה וַחֲמִשִּׁ֛ים אֶ֖לֶף וְאַרְבַּ֥ע מֵאֽוֹת׃</w:t>
      </w:r>
    </w:p>
    <w:p w14:paraId="5AFA99E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seine Gemusterten: 54.400.</w:t>
      </w:r>
    </w:p>
    <w:p w14:paraId="5AF02B48"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28D01D7F">
          <v:rect id="_x0000_i1084" style="width:0;height:1.5pt" o:hralign="center" o:hrstd="t" o:hr="t" fillcolor="#a0a0a0" stroked="f"/>
        </w:pict>
      </w:r>
    </w:p>
    <w:p w14:paraId="4AB9519B" w14:textId="06168B5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Subjektkonstruktion </w:t>
      </w:r>
      <w:r w:rsidRPr="00EF6A3E">
        <w:rPr>
          <w:rFonts w:eastAsia="Times New Roman" w:cs="Times New Roman"/>
          <w:b/>
          <w:bCs/>
          <w:rtl/>
          <w:lang w:eastAsia="de-DE"/>
        </w:rPr>
        <w:t>וּצְבָאֹו וּפְקֻדָיו</w:t>
      </w:r>
      <w:r w:rsidRPr="00EF6A3E">
        <w:rPr>
          <w:rFonts w:eastAsia="Times New Roman" w:cs="Times New Roman"/>
          <w:rtl/>
          <w:lang w:eastAsia="de-DE"/>
        </w:rPr>
        <w:t xml:space="preserve"> </w:t>
      </w:r>
      <w:r w:rsidRPr="00EF6A3E">
        <w:rPr>
          <w:rFonts w:eastAsia="Times New Roman" w:cs="Times New Roman"/>
          <w:lang w:eastAsia="de-DE"/>
        </w:rPr>
        <w:t xml:space="preserve">zeigt beide Substantive mit identischen Possessivsuffixen 3. maskulin Singular, im Gegensatz zu der gemischten </w:t>
      </w:r>
      <w:r w:rsidR="00F133EC">
        <w:rPr>
          <w:rFonts w:eastAsia="Times New Roman" w:cs="Times New Roman"/>
          <w:lang w:eastAsia="de-DE"/>
        </w:rPr>
        <w:t>Construct</w:t>
      </w:r>
      <w:r w:rsidRPr="00EF6A3E">
        <w:rPr>
          <w:rFonts w:eastAsia="Times New Roman" w:cs="Times New Roman"/>
          <w:lang w:eastAsia="de-DE"/>
        </w:rPr>
        <w:t>ion in Vers 4.</w:t>
      </w:r>
    </w:p>
    <w:p w14:paraId="427C891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אַרְבָּעָה וַחֲמִשִּׁים אֶלֶף וְאַרְבַּע מֵאוֹת</w:t>
      </w:r>
      <w:r w:rsidRPr="00EF6A3E">
        <w:rPr>
          <w:rFonts w:eastAsia="Times New Roman" w:cs="Times New Roman"/>
          <w:rtl/>
          <w:lang w:eastAsia="de-DE"/>
        </w:rPr>
        <w:t xml:space="preserve"> </w:t>
      </w:r>
      <w:r w:rsidRPr="00EF6A3E">
        <w:rPr>
          <w:rFonts w:eastAsia="Times New Roman" w:cs="Times New Roman"/>
          <w:lang w:eastAsia="de-DE"/>
        </w:rPr>
        <w:t>entspricht der in 1,29 für Issaschar genannten Zahl.</w:t>
      </w:r>
    </w:p>
    <w:p w14:paraId="3EA412C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Die LXX</w:t>
      </w:r>
      <w:r w:rsidRPr="00EF6A3E">
        <w:rPr>
          <w:rFonts w:eastAsia="Times New Roman" w:cs="Times New Roman"/>
          <w:lang w:eastAsia="de-DE"/>
        </w:rPr>
        <w:t xml:space="preserve"> übersetzt δύναμις αὐτοῦ οἱ ἐπισκοποί αὐτοῦ τέσσαρες καὶ πεντήκοντα χιλιάδες καὶ τετρακόσιοι.</w:t>
      </w:r>
    </w:p>
    <w:p w14:paraId="3770DA1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einheitliche Verwendung der Singular-Suffixe zeigt eine stilistische Variation und betont möglicherweise die Geschlossenheit des Stammes Issaschar.</w:t>
      </w:r>
    </w:p>
    <w:p w14:paraId="7F6CA6D5"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2,7</w:t>
      </w:r>
    </w:p>
    <w:p w14:paraId="064935D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מַטֵּ֖ה זְבוּלֻ֑ן וְנָשִׂיא֙ לִבְנֵ֣י זְבוּלֻ֔ן אֱלִיאָ֖ב בֶּן־חֵלֹֽן׃</w:t>
      </w:r>
    </w:p>
    <w:p w14:paraId="41A3215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Der Stamm Sevulun; und der Fürst der Söhne Sevuluns: Eli'av, Sohn des Chelon.</w:t>
      </w:r>
    </w:p>
    <w:p w14:paraId="2A42F534"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3085A7E">
          <v:rect id="_x0000_i1085" style="width:0;height:1.5pt" o:hralign="center" o:hrstd="t" o:hr="t" fillcolor="#a0a0a0" stroked="f"/>
        </w:pict>
      </w:r>
    </w:p>
    <w:p w14:paraId="65C5834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verkürzte Einleitung </w:t>
      </w:r>
      <w:r w:rsidRPr="00EF6A3E">
        <w:rPr>
          <w:rFonts w:eastAsia="Times New Roman" w:cs="Times New Roman"/>
          <w:b/>
          <w:bCs/>
          <w:rtl/>
          <w:lang w:eastAsia="de-DE"/>
        </w:rPr>
        <w:t>מַטֵּה זְבוּלֻן</w:t>
      </w:r>
      <w:r w:rsidRPr="00EF6A3E">
        <w:rPr>
          <w:rFonts w:eastAsia="Times New Roman" w:cs="Times New Roman"/>
          <w:rtl/>
          <w:lang w:eastAsia="de-DE"/>
        </w:rPr>
        <w:t xml:space="preserve"> </w:t>
      </w:r>
      <w:r w:rsidRPr="00EF6A3E">
        <w:rPr>
          <w:rFonts w:eastAsia="Times New Roman" w:cs="Times New Roman"/>
          <w:lang w:eastAsia="de-DE"/>
        </w:rPr>
        <w:t xml:space="preserve">(Stamm Sebulon) ohne das partizipiale </w:t>
      </w:r>
      <w:r w:rsidRPr="00EF6A3E">
        <w:rPr>
          <w:rFonts w:eastAsia="Times New Roman" w:cs="Times New Roman"/>
          <w:b/>
          <w:bCs/>
          <w:rtl/>
          <w:lang w:eastAsia="de-DE"/>
        </w:rPr>
        <w:t>הַחֹנִים</w:t>
      </w:r>
      <w:r w:rsidRPr="00EF6A3E">
        <w:rPr>
          <w:rFonts w:eastAsia="Times New Roman" w:cs="Times New Roman"/>
          <w:rtl/>
          <w:lang w:eastAsia="de-DE"/>
        </w:rPr>
        <w:t xml:space="preserve"> </w:t>
      </w:r>
      <w:r w:rsidRPr="00EF6A3E">
        <w:rPr>
          <w:rFonts w:eastAsia="Times New Roman" w:cs="Times New Roman"/>
          <w:lang w:eastAsia="de-DE"/>
        </w:rPr>
        <w:t>zeigt eine stilistische Variation und deutet auf die abschließende Position innerhalb der Ostgruppe hin.</w:t>
      </w:r>
    </w:p>
    <w:p w14:paraId="6549841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koordinierte Nominalsatz </w:t>
      </w:r>
      <w:r w:rsidRPr="00EF6A3E">
        <w:rPr>
          <w:rFonts w:eastAsia="Times New Roman" w:cs="Times New Roman"/>
          <w:b/>
          <w:bCs/>
          <w:rtl/>
          <w:lang w:eastAsia="de-DE"/>
        </w:rPr>
        <w:t>וְנָשִׂיא לִבְנֵי זְבוּלֻן אֱלִיאָב בֶּן־חֵלֹן</w:t>
      </w:r>
      <w:r w:rsidRPr="00EF6A3E">
        <w:rPr>
          <w:rFonts w:eastAsia="Times New Roman" w:cs="Times New Roman"/>
          <w:rtl/>
          <w:lang w:eastAsia="de-DE"/>
        </w:rPr>
        <w:t xml:space="preserve"> </w:t>
      </w:r>
      <w:r w:rsidRPr="00EF6A3E">
        <w:rPr>
          <w:rFonts w:eastAsia="Times New Roman" w:cs="Times New Roman"/>
          <w:lang w:eastAsia="de-DE"/>
        </w:rPr>
        <w:t>entspricht der in 1,9 genannten Führungsstruktur.</w:t>
      </w:r>
    </w:p>
    <w:p w14:paraId="505D75F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fügt hinzu καὶ οἱ παρεμβάλλοντες ἐχόμενοι φυλῆς Ζαβουλων, um die Kontinuität der Struktur zu wahren.</w:t>
      </w:r>
    </w:p>
    <w:p w14:paraId="2C8472F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elliptische Struktur zeigt die fortschreitende Kondensierung der Formulierung innerhalb der Lagergruppen.</w:t>
      </w:r>
    </w:p>
    <w:p w14:paraId="703BDBA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2,8</w:t>
      </w:r>
    </w:p>
    <w:p w14:paraId="43657E2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וּפְקֻדָ֑יו שִׁבְעָ֧ה וַחֲמִשִּׁ֛ים אֶ֖לֶף וְאַרְבַּ֥</w:t>
      </w:r>
      <w:r w:rsidRPr="00EF6A3E">
        <w:rPr>
          <w:rFonts w:eastAsia="Times New Roman" w:cs="Times New Roman"/>
          <w:rtl/>
          <w:lang w:eastAsia="de-DE" w:bidi="ar-SA"/>
        </w:rPr>
        <w:t xml:space="preserve">ع </w:t>
      </w:r>
      <w:r w:rsidRPr="00EF6A3E">
        <w:rPr>
          <w:rFonts w:eastAsia="Times New Roman" w:cs="Times New Roman"/>
          <w:rtl/>
          <w:lang w:eastAsia="de-DE"/>
        </w:rPr>
        <w:t>מֵאֽוֹת׃</w:t>
      </w:r>
    </w:p>
    <w:p w14:paraId="27A5E09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seine Gemusterten: 57.400.</w:t>
      </w:r>
    </w:p>
    <w:p w14:paraId="21A681D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28466F3">
          <v:rect id="_x0000_i1086" style="width:0;height:1.5pt" o:hralign="center" o:hrstd="t" o:hr="t" fillcolor="#a0a0a0" stroked="f"/>
        </w:pict>
      </w:r>
    </w:p>
    <w:p w14:paraId="0BD0AFD0" w14:textId="69228845"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וּפְקֻדָיו</w:t>
      </w:r>
      <w:r w:rsidRPr="00EF6A3E">
        <w:rPr>
          <w:rFonts w:eastAsia="Times New Roman" w:cs="Times New Roman"/>
          <w:rtl/>
          <w:lang w:eastAsia="de-DE"/>
        </w:rPr>
        <w:t xml:space="preserve"> </w:t>
      </w:r>
      <w:r w:rsidRPr="00EF6A3E">
        <w:rPr>
          <w:rFonts w:eastAsia="Times New Roman" w:cs="Times New Roman"/>
          <w:lang w:eastAsia="de-DE"/>
        </w:rPr>
        <w:t>folgt dem Muster von Vers 6 mit einheitlichen Singular-Suffixen.</w:t>
      </w:r>
    </w:p>
    <w:p w14:paraId="5FF57EB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שִׁבְעָה וַחֲמִשִּׁים אֶלֶף וְאַרְבַּע מֵאוֹת</w:t>
      </w:r>
      <w:r w:rsidRPr="00EF6A3E">
        <w:rPr>
          <w:rFonts w:eastAsia="Times New Roman" w:cs="Times New Roman"/>
          <w:rtl/>
          <w:lang w:eastAsia="de-DE"/>
        </w:rPr>
        <w:t xml:space="preserve"> </w:t>
      </w:r>
      <w:r w:rsidRPr="00EF6A3E">
        <w:rPr>
          <w:rFonts w:eastAsia="Times New Roman" w:cs="Times New Roman"/>
          <w:lang w:eastAsia="de-DE"/>
        </w:rPr>
        <w:t>entspricht der in 1,31 für Sebulon genannten Zahl.</w:t>
      </w:r>
    </w:p>
    <w:p w14:paraId="680A857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Konsistenz der Zahlenangaben zwischen Kapitel 1 und 2 unterstreicht die Zuverlässigkeit und Systematik der Volkszählung.</w:t>
      </w:r>
    </w:p>
    <w:p w14:paraId="76AE603F"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2,9</w:t>
      </w:r>
    </w:p>
    <w:p w14:paraId="1AAF381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Hebräisch:</w:t>
      </w:r>
      <w:r w:rsidRPr="00EF6A3E">
        <w:rPr>
          <w:rFonts w:eastAsia="Times New Roman" w:cs="Times New Roman"/>
          <w:lang w:eastAsia="de-DE"/>
        </w:rPr>
        <w:t xml:space="preserve"> </w:t>
      </w:r>
      <w:r w:rsidRPr="00EF6A3E">
        <w:rPr>
          <w:rFonts w:eastAsia="Times New Roman" w:cs="Times New Roman"/>
          <w:rtl/>
          <w:lang w:eastAsia="de-DE"/>
        </w:rPr>
        <w:t>כָּֽל־הַפְּקֻדִ֞ים לְמַחֲנֵ֣ה יְהוּדָ֗ה מְאַ֨ת אֶ֜לֶף וּשְׁמֹנִ֥ים אֶ֛לֶף וְשֵֽׁשֶׁת־אֲלָפִ֥ים וְאַרְבַּע־מֵא֖וֹת לְצִבְאֹתָ֑ם רִאשֹׁנָ֖ה יִסָּֽעוּ׃</w:t>
      </w:r>
    </w:p>
    <w:p w14:paraId="4F069C4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Alle Gemusterten vom Lager Jehudas: 186.400, nach ihren Heerscharen; sie sollen zuerst aufbrechen.</w:t>
      </w:r>
    </w:p>
    <w:p w14:paraId="4BA6EB52"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2C6E1D38">
          <v:rect id="_x0000_i1087" style="width:0;height:1.5pt" o:hralign="center" o:hrstd="t" o:hr="t" fillcolor="#a0a0a0" stroked="f"/>
        </w:pict>
      </w:r>
    </w:p>
    <w:p w14:paraId="5D9E8F3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zusammenfassende </w:t>
      </w:r>
      <w:r w:rsidRPr="00EF6A3E">
        <w:rPr>
          <w:rFonts w:eastAsia="Times New Roman" w:cs="Times New Roman"/>
          <w:b/>
          <w:bCs/>
          <w:rtl/>
          <w:lang w:eastAsia="de-DE"/>
        </w:rPr>
        <w:t>כָּל־הַפְּקֻדִים</w:t>
      </w:r>
      <w:r w:rsidRPr="00EF6A3E">
        <w:rPr>
          <w:rFonts w:eastAsia="Times New Roman" w:cs="Times New Roman"/>
          <w:rtl/>
          <w:lang w:eastAsia="de-DE"/>
        </w:rPr>
        <w:t xml:space="preserve"> </w:t>
      </w:r>
      <w:r w:rsidRPr="00EF6A3E">
        <w:rPr>
          <w:rFonts w:eastAsia="Times New Roman" w:cs="Times New Roman"/>
          <w:lang w:eastAsia="de-DE"/>
        </w:rPr>
        <w:t xml:space="preserve">(alle Gemusterten) mit der präpositionalen Phrase </w:t>
      </w:r>
      <w:r w:rsidRPr="00EF6A3E">
        <w:rPr>
          <w:rFonts w:eastAsia="Times New Roman" w:cs="Times New Roman"/>
          <w:b/>
          <w:bCs/>
          <w:rtl/>
          <w:lang w:eastAsia="de-DE"/>
        </w:rPr>
        <w:t>לְמַחֲנֵה יְהוּדָה</w:t>
      </w:r>
      <w:r w:rsidRPr="00EF6A3E">
        <w:rPr>
          <w:rFonts w:eastAsia="Times New Roman" w:cs="Times New Roman"/>
          <w:rtl/>
          <w:lang w:eastAsia="de-DE"/>
        </w:rPr>
        <w:t xml:space="preserve"> </w:t>
      </w:r>
      <w:r w:rsidRPr="00EF6A3E">
        <w:rPr>
          <w:rFonts w:eastAsia="Times New Roman" w:cs="Times New Roman"/>
          <w:lang w:eastAsia="de-DE"/>
        </w:rPr>
        <w:t>(vom Lager Judas) bildet die Gesamtsumme der Ostgruppe.</w:t>
      </w:r>
    </w:p>
    <w:p w14:paraId="26E9166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komplexe Zahlenangabe </w:t>
      </w:r>
      <w:r w:rsidRPr="00EF6A3E">
        <w:rPr>
          <w:rFonts w:eastAsia="Times New Roman" w:cs="Times New Roman"/>
          <w:b/>
          <w:bCs/>
          <w:rtl/>
          <w:lang w:eastAsia="de-DE"/>
        </w:rPr>
        <w:t>מְאַת אֶלֶף וּשְׁמֹנִים אֶלֶף וְשֵׁשֶׁת־אֲלָפִים וְאַרְבַּע־מֵאוֹת</w:t>
      </w:r>
      <w:r w:rsidRPr="00EF6A3E">
        <w:rPr>
          <w:rFonts w:eastAsia="Times New Roman" w:cs="Times New Roman"/>
          <w:rtl/>
          <w:lang w:eastAsia="de-DE"/>
        </w:rPr>
        <w:t xml:space="preserve"> </w:t>
      </w:r>
      <w:r w:rsidRPr="00EF6A3E">
        <w:rPr>
          <w:rFonts w:eastAsia="Times New Roman" w:cs="Times New Roman"/>
          <w:lang w:eastAsia="de-DE"/>
        </w:rPr>
        <w:t>zeigt: 100.000 + 80.000 + 6.000 + 400 = 186.400. Dies entspricht der Summe aus Juda (74.600) + Issaschar (54.400) + Sebulon (57.400).</w:t>
      </w:r>
    </w:p>
    <w:p w14:paraId="570E77E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לְצִבְאֹתָם</w:t>
      </w:r>
      <w:r w:rsidRPr="00EF6A3E">
        <w:rPr>
          <w:rFonts w:eastAsia="Times New Roman" w:cs="Times New Roman"/>
          <w:rtl/>
          <w:lang w:eastAsia="de-DE"/>
        </w:rPr>
        <w:t xml:space="preserve"> </w:t>
      </w:r>
      <w:r w:rsidRPr="00EF6A3E">
        <w:rPr>
          <w:rFonts w:eastAsia="Times New Roman" w:cs="Times New Roman"/>
          <w:lang w:eastAsia="de-DE"/>
        </w:rPr>
        <w:t xml:space="preserve">(nach ihren Heerscharen) betont die militärische Organisation. Das Adverb </w:t>
      </w:r>
      <w:r w:rsidRPr="00EF6A3E">
        <w:rPr>
          <w:rFonts w:eastAsia="Times New Roman" w:cs="Times New Roman"/>
          <w:b/>
          <w:bCs/>
          <w:rtl/>
          <w:lang w:eastAsia="de-DE"/>
        </w:rPr>
        <w:t>רִאשֹׁנָה</w:t>
      </w:r>
      <w:r w:rsidRPr="00EF6A3E">
        <w:rPr>
          <w:rFonts w:eastAsia="Times New Roman" w:cs="Times New Roman"/>
          <w:rtl/>
          <w:lang w:eastAsia="de-DE"/>
        </w:rPr>
        <w:t xml:space="preserve"> </w:t>
      </w:r>
      <w:r w:rsidRPr="00EF6A3E">
        <w:rPr>
          <w:rFonts w:eastAsia="Times New Roman" w:cs="Times New Roman"/>
          <w:lang w:eastAsia="de-DE"/>
        </w:rPr>
        <w:t xml:space="preserve">(zuerst) mit dem Verb </w:t>
      </w:r>
      <w:r w:rsidRPr="00EF6A3E">
        <w:rPr>
          <w:rFonts w:eastAsia="Times New Roman" w:cs="Times New Roman"/>
          <w:b/>
          <w:bCs/>
          <w:rtl/>
          <w:lang w:eastAsia="de-DE"/>
        </w:rPr>
        <w:t>יִסָּעוּ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נסע</w:t>
      </w:r>
      <w:r w:rsidRPr="00EF6A3E">
        <w:rPr>
          <w:rFonts w:eastAsia="Times New Roman" w:cs="Times New Roman"/>
          <w:rtl/>
          <w:lang w:eastAsia="de-DE"/>
        </w:rPr>
        <w:t xml:space="preserve"> </w:t>
      </w:r>
      <w:r w:rsidRPr="00EF6A3E">
        <w:rPr>
          <w:rFonts w:eastAsia="Times New Roman" w:cs="Times New Roman"/>
          <w:lang w:eastAsia="de-DE"/>
        </w:rPr>
        <w:t>(aufbrechen) im Qal-Imperfekt 3. maskulin Plural etabliert die Marschordnung.</w:t>
      </w:r>
    </w:p>
    <w:p w14:paraId="611B32CF" w14:textId="322A9CEF" w:rsidR="00EF6A3E" w:rsidRPr="00EF6A3E" w:rsidRDefault="002B581B" w:rsidP="00EF6A3E">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ראשנה יסעו</w:t>
      </w:r>
      <w:r>
        <w:t xml:space="preserve"> (rishonah yissa'u - "als erste sollen sie aufbrechen") als πρῶτοι ἐξαροῦσιν (als erste werden sie ausziehen), was den militärischen Marschbefehl präzisiert.</w:t>
      </w:r>
    </w:p>
    <w:p w14:paraId="6B79112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einen zusammenfassenden Nominalsatz mit komplexer Zahlenangabe und einem finalen Verbalsatz zur Bestimmung der Marschordnung.</w:t>
      </w:r>
    </w:p>
    <w:p w14:paraId="1E93085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schließt die Ostgruppe ab und etabliert deren Führungsrolle beim Aufbruch des Lagers.</w:t>
      </w:r>
    </w:p>
    <w:p w14:paraId="09B3B412"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2,10</w:t>
      </w:r>
    </w:p>
    <w:p w14:paraId="4E0FCE6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דֶּ֣גֶל מַחֲנֵ֧ה רְאוּבֵ֛ן תֵּימָ֖נָה לְצִבְאֹתָ֑ם וְנָשִׂיא֙ לִבְנֵ֣י רְאוּבֵ֔ן אֱלִיצ֖וּר בֶּן־שְׁדֵיאֽוּר׃</w:t>
      </w:r>
    </w:p>
    <w:p w14:paraId="4F6F657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Das Banner des Lagers Re'uvens südlich, nach ihren Heerscharen; und der Fürst der Söhne Re'uvens: Elizur, Sohn des Schede'ur.</w:t>
      </w:r>
    </w:p>
    <w:p w14:paraId="7F95858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763B5E1">
          <v:rect id="_x0000_i1088" style="width:0;height:1.5pt" o:hralign="center" o:hrstd="t" o:hr="t" fillcolor="#a0a0a0" stroked="f"/>
        </w:pict>
      </w:r>
    </w:p>
    <w:p w14:paraId="2631C9A5" w14:textId="6FF47FC3"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דֶּגֶל מַחֲנֵה רְאוּבֵן</w:t>
      </w:r>
      <w:r w:rsidRPr="00EF6A3E">
        <w:rPr>
          <w:rFonts w:eastAsia="Times New Roman" w:cs="Times New Roman"/>
          <w:rtl/>
          <w:lang w:eastAsia="de-DE"/>
        </w:rPr>
        <w:t xml:space="preserve"> </w:t>
      </w:r>
      <w:r w:rsidRPr="00EF6A3E">
        <w:rPr>
          <w:rFonts w:eastAsia="Times New Roman" w:cs="Times New Roman"/>
          <w:lang w:eastAsia="de-DE"/>
        </w:rPr>
        <w:t xml:space="preserve">(Banner des Lagers Rubens) im </w:t>
      </w:r>
      <w:r w:rsidR="00F133EC">
        <w:rPr>
          <w:rFonts w:eastAsia="Times New Roman" w:cs="Times New Roman"/>
          <w:lang w:eastAsia="de-DE"/>
        </w:rPr>
        <w:t>Construct</w:t>
      </w:r>
      <w:r w:rsidRPr="00EF6A3E">
        <w:rPr>
          <w:rFonts w:eastAsia="Times New Roman" w:cs="Times New Roman"/>
          <w:lang w:eastAsia="de-DE"/>
        </w:rPr>
        <w:t xml:space="preserve"> leitet die zweite Lagergruppe ein.</w:t>
      </w:r>
    </w:p>
    <w:p w14:paraId="5F117AC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Richtungsangabe </w:t>
      </w:r>
      <w:r w:rsidRPr="00EF6A3E">
        <w:rPr>
          <w:rFonts w:eastAsia="Times New Roman" w:cs="Times New Roman"/>
          <w:b/>
          <w:bCs/>
          <w:rtl/>
          <w:lang w:eastAsia="de-DE"/>
        </w:rPr>
        <w:t>תֵּימָנָה</w:t>
      </w:r>
      <w:r w:rsidRPr="00EF6A3E">
        <w:rPr>
          <w:rFonts w:eastAsia="Times New Roman" w:cs="Times New Roman"/>
          <w:rtl/>
          <w:lang w:eastAsia="de-DE"/>
        </w:rPr>
        <w:t xml:space="preserve"> </w:t>
      </w:r>
      <w:r w:rsidRPr="00EF6A3E">
        <w:rPr>
          <w:rFonts w:eastAsia="Times New Roman" w:cs="Times New Roman"/>
          <w:lang w:eastAsia="de-DE"/>
        </w:rPr>
        <w:t xml:space="preserve">(südlich/nach Süden) von der Wurzel </w:t>
      </w:r>
      <w:r w:rsidRPr="00EF6A3E">
        <w:rPr>
          <w:rFonts w:eastAsia="Times New Roman" w:cs="Times New Roman"/>
          <w:b/>
          <w:bCs/>
          <w:rtl/>
          <w:lang w:eastAsia="de-DE"/>
        </w:rPr>
        <w:t>ימן</w:t>
      </w:r>
      <w:r w:rsidRPr="00EF6A3E">
        <w:rPr>
          <w:rFonts w:eastAsia="Times New Roman" w:cs="Times New Roman"/>
          <w:rtl/>
          <w:lang w:eastAsia="de-DE"/>
        </w:rPr>
        <w:t xml:space="preserve"> </w:t>
      </w:r>
      <w:r w:rsidRPr="00EF6A3E">
        <w:rPr>
          <w:rFonts w:eastAsia="Times New Roman" w:cs="Times New Roman"/>
          <w:lang w:eastAsia="de-DE"/>
        </w:rPr>
        <w:t>(rechts/Süden) zeigt die zweite Himmelsrichtung in der Lagerordnung. Im Gegensatz zur doppelten Richtungsangabe bei der Ostgruppe steht hier nur eine Bestimmung.</w:t>
      </w:r>
    </w:p>
    <w:p w14:paraId="3CA1360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לְצִבְאֹתָם</w:t>
      </w:r>
      <w:r w:rsidRPr="00EF6A3E">
        <w:rPr>
          <w:rFonts w:eastAsia="Times New Roman" w:cs="Times New Roman"/>
          <w:rtl/>
          <w:lang w:eastAsia="de-DE"/>
        </w:rPr>
        <w:t xml:space="preserve"> </w:t>
      </w:r>
      <w:r w:rsidRPr="00EF6A3E">
        <w:rPr>
          <w:rFonts w:eastAsia="Times New Roman" w:cs="Times New Roman"/>
          <w:lang w:eastAsia="de-DE"/>
        </w:rPr>
        <w:t xml:space="preserve">(nach ihren Heerscharen) entspricht dem etablierten Muster. Der koordinierte Nominalsatz </w:t>
      </w:r>
      <w:r w:rsidRPr="00EF6A3E">
        <w:rPr>
          <w:rFonts w:eastAsia="Times New Roman" w:cs="Times New Roman"/>
          <w:b/>
          <w:bCs/>
          <w:rtl/>
          <w:lang w:eastAsia="de-DE"/>
        </w:rPr>
        <w:t>וְנָשִׂיא לִבְנֵי רְאוּבֵן אֱלִיצוּר בֶּן־שְׁדֵיאוּר</w:t>
      </w:r>
      <w:r w:rsidRPr="00EF6A3E">
        <w:rPr>
          <w:rFonts w:eastAsia="Times New Roman" w:cs="Times New Roman"/>
          <w:rtl/>
          <w:lang w:eastAsia="de-DE"/>
        </w:rPr>
        <w:t xml:space="preserve"> </w:t>
      </w:r>
      <w:r w:rsidRPr="00EF6A3E">
        <w:rPr>
          <w:rFonts w:eastAsia="Times New Roman" w:cs="Times New Roman"/>
          <w:lang w:eastAsia="de-DE"/>
        </w:rPr>
        <w:t>entspricht der in 1,5 genannten Führungsstruktur.</w:t>
      </w:r>
    </w:p>
    <w:p w14:paraId="0FA3B5A5" w14:textId="6DA72FB4" w:rsidR="00EF6A3E" w:rsidRPr="00EF6A3E" w:rsidRDefault="002B581B" w:rsidP="00EF6A3E">
      <w:pPr>
        <w:spacing w:before="100" w:beforeAutospacing="1" w:after="100" w:afterAutospacing="1" w:line="240" w:lineRule="auto"/>
        <w:rPr>
          <w:rFonts w:eastAsia="Times New Roman" w:cs="Times New Roman"/>
          <w:lang w:eastAsia="de-DE"/>
        </w:rPr>
      </w:pPr>
      <w:r>
        <w:rPr>
          <w:rStyle w:val="Fett"/>
        </w:rPr>
        <w:lastRenderedPageBreak/>
        <w:t>Die LXX</w:t>
      </w:r>
      <w:r>
        <w:t xml:space="preserve"> übersetzt </w:t>
      </w:r>
      <w:r>
        <w:rPr>
          <w:rtl/>
        </w:rPr>
        <w:t>תימנה</w:t>
      </w:r>
      <w:r>
        <w:t xml:space="preserve"> (teimanah - "südwärts") als πρὸς λίβα (nach Süden/Südwind), was eine griechische meteorologische Bezeichnung verwendet.</w:t>
      </w:r>
    </w:p>
    <w:p w14:paraId="167C2667" w14:textId="63741355"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 nominale </w:t>
      </w:r>
      <w:r w:rsidR="00F133EC">
        <w:rPr>
          <w:rFonts w:eastAsia="Times New Roman" w:cs="Times New Roman"/>
          <w:lang w:eastAsia="de-DE"/>
        </w:rPr>
        <w:t>Construct</w:t>
      </w:r>
      <w:r w:rsidRPr="00EF6A3E">
        <w:rPr>
          <w:rFonts w:eastAsia="Times New Roman" w:cs="Times New Roman"/>
          <w:lang w:eastAsia="de-DE"/>
        </w:rPr>
        <w:t>ion mit Richtungsbestimmung und koordiniertem Nominalsatz zur Führungsangabe.</w:t>
      </w:r>
    </w:p>
    <w:p w14:paraId="33D9FE6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beginnt die Beschreibung der Südgruppe mit Ruben als führendem Stamm trotz seines Verlusts der Erstgeburtsrechte.</w:t>
      </w:r>
    </w:p>
    <w:p w14:paraId="4D00BB96"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2,11</w:t>
      </w:r>
    </w:p>
    <w:p w14:paraId="302935F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וּפְקֻדָ֑יו שִׁשָּׁ֧ה וְאַרְבָּעִ֛ים אֶ֖לֶף וַחֲמֵ֥שׁ מֵאֽוֹת׃</w:t>
      </w:r>
    </w:p>
    <w:p w14:paraId="38093C9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seine Gemusterten: 46.500.</w:t>
      </w:r>
    </w:p>
    <w:p w14:paraId="55658B13"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7453C9F">
          <v:rect id="_x0000_i1089" style="width:0;height:1.5pt" o:hralign="center" o:hrstd="t" o:hr="t" fillcolor="#a0a0a0" stroked="f"/>
        </w:pict>
      </w:r>
    </w:p>
    <w:p w14:paraId="3395302B" w14:textId="38E9BF1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וּפְקֻדָיו</w:t>
      </w:r>
      <w:r w:rsidRPr="00EF6A3E">
        <w:rPr>
          <w:rFonts w:eastAsia="Times New Roman" w:cs="Times New Roman"/>
          <w:rtl/>
          <w:lang w:eastAsia="de-DE"/>
        </w:rPr>
        <w:t xml:space="preserve"> </w:t>
      </w:r>
      <w:r w:rsidRPr="00EF6A3E">
        <w:rPr>
          <w:rFonts w:eastAsia="Times New Roman" w:cs="Times New Roman"/>
          <w:lang w:eastAsia="de-DE"/>
        </w:rPr>
        <w:t>folgt dem Muster mit einheitlichen Singular-Suffixen.</w:t>
      </w:r>
    </w:p>
    <w:p w14:paraId="7D65BA6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שִׁשָּׁה וְאַרְבָּעִים אֶלֶף וַחֲמֵשׁ מֵאוֹת</w:t>
      </w:r>
      <w:r w:rsidRPr="00EF6A3E">
        <w:rPr>
          <w:rFonts w:eastAsia="Times New Roman" w:cs="Times New Roman"/>
          <w:rtl/>
          <w:lang w:eastAsia="de-DE"/>
        </w:rPr>
        <w:t xml:space="preserve"> </w:t>
      </w:r>
      <w:r w:rsidRPr="00EF6A3E">
        <w:rPr>
          <w:rFonts w:eastAsia="Times New Roman" w:cs="Times New Roman"/>
          <w:lang w:eastAsia="de-DE"/>
        </w:rPr>
        <w:t>entspricht der in 1,21 für Ruben genannten Zahl.</w:t>
      </w:r>
    </w:p>
    <w:p w14:paraId="42AD315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Kontinuität der Zahlen bestätigt die Zuverlässigkeit der ursprünglichen Volkszählung.</w:t>
      </w:r>
    </w:p>
    <w:p w14:paraId="094B100F"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2,12</w:t>
      </w:r>
    </w:p>
    <w:p w14:paraId="1FB3B21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וְהַחוֹנִ֥ם עָלָ֖יו מַטֵּ֣ה שִׁמְע֑וֹן וְנָשִׂיא֙ לִבְנֵ֣י שִׁמְע֔וֹן שְׁלֻמִיאֵ֖ל בֶּן־צוּרִֽי־שַׁדָּֽי׃</w:t>
      </w:r>
    </w:p>
    <w:p w14:paraId="4BC30CD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die neben ihm Lagernden: der Stamm Schim'on; und der Fürst der Söhne Schim'ons: Schelumi'el, Sohn des Zurischaddai.</w:t>
      </w:r>
    </w:p>
    <w:p w14:paraId="14D1808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6338F54">
          <v:rect id="_x0000_i1090" style="width:0;height:1.5pt" o:hralign="center" o:hrstd="t" o:hr="t" fillcolor="#a0a0a0" stroked="f"/>
        </w:pict>
      </w:r>
    </w:p>
    <w:p w14:paraId="443DB49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Partizip </w:t>
      </w:r>
      <w:r w:rsidRPr="00EF6A3E">
        <w:rPr>
          <w:rFonts w:eastAsia="Times New Roman" w:cs="Times New Roman"/>
          <w:b/>
          <w:bCs/>
          <w:rtl/>
          <w:lang w:eastAsia="de-DE"/>
        </w:rPr>
        <w:t>וְהַחוֹנִם</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 xml:space="preserve">(lagern) zeigt eine Schreibvariante mit Defektivschreibung gegenüber </w:t>
      </w:r>
      <w:r w:rsidRPr="00EF6A3E">
        <w:rPr>
          <w:rFonts w:eastAsia="Times New Roman" w:cs="Times New Roman"/>
          <w:b/>
          <w:bCs/>
          <w:rtl/>
          <w:lang w:eastAsia="de-DE"/>
        </w:rPr>
        <w:t>וְהַחֹנִים</w:t>
      </w:r>
      <w:r w:rsidRPr="00EF6A3E">
        <w:rPr>
          <w:rFonts w:eastAsia="Times New Roman" w:cs="Times New Roman"/>
          <w:rtl/>
          <w:lang w:eastAsia="de-DE"/>
        </w:rPr>
        <w:t xml:space="preserve"> </w:t>
      </w:r>
      <w:r w:rsidRPr="00EF6A3E">
        <w:rPr>
          <w:rFonts w:eastAsia="Times New Roman" w:cs="Times New Roman"/>
          <w:lang w:eastAsia="de-DE"/>
        </w:rPr>
        <w:t>in den vorherigen Versen, wobei die Bedeutung identisch bleibt.</w:t>
      </w:r>
    </w:p>
    <w:p w14:paraId="0E46832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עָלָיו</w:t>
      </w:r>
      <w:r w:rsidRPr="00EF6A3E">
        <w:rPr>
          <w:rFonts w:eastAsia="Times New Roman" w:cs="Times New Roman"/>
          <w:rtl/>
          <w:lang w:eastAsia="de-DE"/>
        </w:rPr>
        <w:t xml:space="preserve"> </w:t>
      </w:r>
      <w:r w:rsidRPr="00EF6A3E">
        <w:rPr>
          <w:rFonts w:eastAsia="Times New Roman" w:cs="Times New Roman"/>
          <w:lang w:eastAsia="de-DE"/>
        </w:rPr>
        <w:t>(neben ihm) bezieht sich auf das Lager Rubens und zeigt die Angliederung Simeons an die Südgruppe.</w:t>
      </w:r>
    </w:p>
    <w:p w14:paraId="4222A87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koordinierte Nominalsatz </w:t>
      </w:r>
      <w:r w:rsidRPr="00EF6A3E">
        <w:rPr>
          <w:rFonts w:eastAsia="Times New Roman" w:cs="Times New Roman"/>
          <w:b/>
          <w:bCs/>
          <w:rtl/>
          <w:lang w:eastAsia="de-DE"/>
        </w:rPr>
        <w:t>וְנָשִׂיא לִבְנֵי שִׁמְעוֹן שְׁלֻמִיאֵל בֶּן־צוּרִי־שַׁדָּי</w:t>
      </w:r>
      <w:r w:rsidRPr="00EF6A3E">
        <w:rPr>
          <w:rFonts w:eastAsia="Times New Roman" w:cs="Times New Roman"/>
          <w:rtl/>
          <w:lang w:eastAsia="de-DE"/>
        </w:rPr>
        <w:t xml:space="preserve"> </w:t>
      </w:r>
      <w:r w:rsidRPr="00EF6A3E">
        <w:rPr>
          <w:rFonts w:eastAsia="Times New Roman" w:cs="Times New Roman"/>
          <w:lang w:eastAsia="de-DE"/>
        </w:rPr>
        <w:t xml:space="preserve">zeigt eine Variation im Vaternamen mit dem zusammengesetzten </w:t>
      </w:r>
      <w:r w:rsidRPr="00EF6A3E">
        <w:rPr>
          <w:rFonts w:eastAsia="Times New Roman" w:cs="Times New Roman"/>
          <w:b/>
          <w:bCs/>
          <w:rtl/>
          <w:lang w:eastAsia="de-DE"/>
        </w:rPr>
        <w:t>צוּרִי־שַׁדָּי</w:t>
      </w:r>
      <w:r w:rsidRPr="00EF6A3E">
        <w:rPr>
          <w:rFonts w:eastAsia="Times New Roman" w:cs="Times New Roman"/>
          <w:rtl/>
          <w:lang w:eastAsia="de-DE"/>
        </w:rPr>
        <w:t xml:space="preserve"> </w:t>
      </w:r>
      <w:r w:rsidRPr="00EF6A3E">
        <w:rPr>
          <w:rFonts w:eastAsia="Times New Roman" w:cs="Times New Roman"/>
          <w:lang w:eastAsia="de-DE"/>
        </w:rPr>
        <w:t xml:space="preserve">gegenüber </w:t>
      </w:r>
      <w:r w:rsidRPr="00EF6A3E">
        <w:rPr>
          <w:rFonts w:eastAsia="Times New Roman" w:cs="Times New Roman"/>
          <w:b/>
          <w:bCs/>
          <w:rtl/>
          <w:lang w:eastAsia="de-DE"/>
        </w:rPr>
        <w:t>צוּרִישַׁדָּי</w:t>
      </w:r>
      <w:r w:rsidRPr="00EF6A3E">
        <w:rPr>
          <w:rFonts w:eastAsia="Times New Roman" w:cs="Times New Roman"/>
          <w:rtl/>
          <w:lang w:eastAsia="de-DE"/>
        </w:rPr>
        <w:t xml:space="preserve"> </w:t>
      </w:r>
      <w:r w:rsidRPr="00EF6A3E">
        <w:rPr>
          <w:rFonts w:eastAsia="Times New Roman" w:cs="Times New Roman"/>
          <w:lang w:eastAsia="de-DE"/>
        </w:rPr>
        <w:t>in 1,6, wobei beide Formen denselben theophoren Namen darstellen.</w:t>
      </w:r>
    </w:p>
    <w:p w14:paraId="46A5BEA3" w14:textId="2230BE5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w:t>
      </w:r>
      <w:r w:rsidR="006F5755">
        <w:t xml:space="preserve">weist in Vers 12 eine Namensvariation bei Simeons Fürst auf, wo der MT </w:t>
      </w:r>
      <w:r w:rsidR="006F5755">
        <w:rPr>
          <w:rtl/>
        </w:rPr>
        <w:t>שְׁלֻמִיאֵל בֶּן־צוּרִֽי־שַׁדָּֽי</w:t>
      </w:r>
      <w:r w:rsidR="006F5755">
        <w:t xml:space="preserve"> (Schelumiel ben-Zurischaddai) liest, die griechische Version jedoch Σαλαμιὴλ υἱὸς Σουρισαδαί (Salamiel, Sohn des Sourisadai) verwendet.</w:t>
      </w:r>
    </w:p>
    <w:p w14:paraId="5F8F522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Die orthographischen Variationen zeigen die Flexibilität in der Schreibung zusammengesetzter theophorer Namen.</w:t>
      </w:r>
    </w:p>
    <w:p w14:paraId="184F5AF7"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2,13</w:t>
      </w:r>
    </w:p>
    <w:p w14:paraId="3761836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וּפְקֻדֵיהֶ֑ם תִּשְׁעָ֧ה וַחֲמִשִּׁ֛ים אֶ֖לֶף וּשְׁלֹ֥שׁ מֵאֽוֹת׃</w:t>
      </w:r>
    </w:p>
    <w:p w14:paraId="32FBFAA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ihre Gemusterten: 59.300.</w:t>
      </w:r>
    </w:p>
    <w:p w14:paraId="07CC0E39"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630E751C">
          <v:rect id="_x0000_i1091" style="width:0;height:1.5pt" o:hralign="center" o:hrstd="t" o:hr="t" fillcolor="#a0a0a0" stroked="f"/>
        </w:pict>
      </w:r>
    </w:p>
    <w:p w14:paraId="3A4A589B" w14:textId="1A84C8DC"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וּפְקֻדֵיהֶם</w:t>
      </w:r>
      <w:r w:rsidRPr="00EF6A3E">
        <w:rPr>
          <w:rFonts w:eastAsia="Times New Roman" w:cs="Times New Roman"/>
          <w:rtl/>
          <w:lang w:eastAsia="de-DE"/>
        </w:rPr>
        <w:t xml:space="preserve"> </w:t>
      </w:r>
      <w:r w:rsidRPr="00EF6A3E">
        <w:rPr>
          <w:rFonts w:eastAsia="Times New Roman" w:cs="Times New Roman"/>
          <w:lang w:eastAsia="de-DE"/>
        </w:rPr>
        <w:t>zeigt erneut die gemischte Suffixverwendung mit Singular (</w:t>
      </w:r>
      <w:r w:rsidRPr="00EF6A3E">
        <w:rPr>
          <w:rFonts w:eastAsia="Times New Roman" w:cs="Times New Roman"/>
          <w:b/>
          <w:bCs/>
          <w:rtl/>
          <w:lang w:eastAsia="de-DE"/>
        </w:rPr>
        <w:t>־ֹו</w:t>
      </w:r>
      <w:r w:rsidRPr="00EF6A3E">
        <w:rPr>
          <w:rFonts w:eastAsia="Times New Roman" w:cs="Times New Roman"/>
          <w:lang w:eastAsia="de-DE"/>
        </w:rPr>
        <w:t>) und Plural (</w:t>
      </w:r>
      <w:r w:rsidRPr="00EF6A3E">
        <w:rPr>
          <w:rFonts w:eastAsia="Times New Roman" w:cs="Times New Roman"/>
          <w:b/>
          <w:bCs/>
          <w:rtl/>
          <w:lang w:eastAsia="de-DE"/>
        </w:rPr>
        <w:t>־ֵיהֶם</w:t>
      </w:r>
      <w:r w:rsidRPr="00EF6A3E">
        <w:rPr>
          <w:rFonts w:eastAsia="Times New Roman" w:cs="Times New Roman"/>
          <w:lang w:eastAsia="de-DE"/>
        </w:rPr>
        <w:t>), ähnlich wie in Vers 4.</w:t>
      </w:r>
    </w:p>
    <w:p w14:paraId="5135F91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 Variation könnte stilistische Gründe haben oder die unterschiedliche konzeptuelle Betrachtung von Stamm als Einheit versus Individuen als Gruppe reflektieren.</w:t>
      </w:r>
    </w:p>
    <w:p w14:paraId="1EA2C05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תִּשְׁעָה וַחֲמִשִּׁים אֶלֶף וּשְׁלֹשׁ מֵאוֹת</w:t>
      </w:r>
      <w:r w:rsidRPr="00EF6A3E">
        <w:rPr>
          <w:rFonts w:eastAsia="Times New Roman" w:cs="Times New Roman"/>
          <w:rtl/>
          <w:lang w:eastAsia="de-DE"/>
        </w:rPr>
        <w:t xml:space="preserve"> </w:t>
      </w:r>
      <w:r w:rsidRPr="00EF6A3E">
        <w:rPr>
          <w:rFonts w:eastAsia="Times New Roman" w:cs="Times New Roman"/>
          <w:lang w:eastAsia="de-DE"/>
        </w:rPr>
        <w:t>entspricht der in 1,23 für Simeon genannten Zahl und zeigt die höchste Einzelstammzahl.</w:t>
      </w:r>
    </w:p>
    <w:p w14:paraId="64B9147B"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2,14</w:t>
      </w:r>
    </w:p>
    <w:p w14:paraId="2B5394D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וְמַטֵּ֖ה גָּ֑ד וְנָשִׂיא֙ לִבְנֵ֣י גָ֔ד אֶלְיָסָ֖ף בֶּן־רְעוּאֵֽל׃</w:t>
      </w:r>
    </w:p>
    <w:p w14:paraId="4081D3F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der Stamm Gad; und der Fürst der Söhne Gads: Eljasaph, Sohn des Re'u'el.</w:t>
      </w:r>
    </w:p>
    <w:p w14:paraId="4FAEB9F3"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CAFAD15">
          <v:rect id="_x0000_i1092" style="width:0;height:1.5pt" o:hralign="center" o:hrstd="t" o:hr="t" fillcolor="#a0a0a0" stroked="f"/>
        </w:pict>
      </w:r>
    </w:p>
    <w:p w14:paraId="7D2070B9" w14:textId="57459BF6"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verkürzte Einleitung </w:t>
      </w:r>
      <w:r w:rsidRPr="00EF6A3E">
        <w:rPr>
          <w:rFonts w:eastAsia="Times New Roman" w:cs="Times New Roman"/>
          <w:b/>
          <w:bCs/>
          <w:rtl/>
          <w:lang w:eastAsia="de-DE"/>
        </w:rPr>
        <w:t>וְמַטֵּה גָּד</w:t>
      </w:r>
      <w:r w:rsidRPr="00EF6A3E">
        <w:rPr>
          <w:rFonts w:eastAsia="Times New Roman" w:cs="Times New Roman"/>
          <w:rtl/>
          <w:lang w:eastAsia="de-DE"/>
        </w:rPr>
        <w:t xml:space="preserve"> </w:t>
      </w:r>
      <w:r w:rsidRPr="00EF6A3E">
        <w:rPr>
          <w:rFonts w:eastAsia="Times New Roman" w:cs="Times New Roman"/>
          <w:lang w:eastAsia="de-DE"/>
        </w:rPr>
        <w:t xml:space="preserve">(und der Stamm Gad) ohne partizipiale </w:t>
      </w:r>
      <w:r w:rsidR="00F133EC">
        <w:rPr>
          <w:rFonts w:eastAsia="Times New Roman" w:cs="Times New Roman"/>
          <w:lang w:eastAsia="de-DE"/>
        </w:rPr>
        <w:t>Construct</w:t>
      </w:r>
      <w:r w:rsidRPr="00EF6A3E">
        <w:rPr>
          <w:rFonts w:eastAsia="Times New Roman" w:cs="Times New Roman"/>
          <w:lang w:eastAsia="de-DE"/>
        </w:rPr>
        <w:t>ion entspricht dem Muster des dritten Stammes einer Lagergruppe.</w:t>
      </w:r>
    </w:p>
    <w:p w14:paraId="6091540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Vatername </w:t>
      </w:r>
      <w:r w:rsidRPr="00EF6A3E">
        <w:rPr>
          <w:rFonts w:eastAsia="Times New Roman" w:cs="Times New Roman"/>
          <w:b/>
          <w:bCs/>
          <w:rtl/>
          <w:lang w:eastAsia="de-DE"/>
        </w:rPr>
        <w:t>רְעוּאֵל</w:t>
      </w:r>
      <w:r w:rsidRPr="00EF6A3E">
        <w:rPr>
          <w:rFonts w:eastAsia="Times New Roman" w:cs="Times New Roman"/>
          <w:rtl/>
          <w:lang w:eastAsia="de-DE"/>
        </w:rPr>
        <w:t xml:space="preserve"> </w:t>
      </w:r>
      <w:r w:rsidRPr="00EF6A3E">
        <w:rPr>
          <w:rFonts w:eastAsia="Times New Roman" w:cs="Times New Roman"/>
          <w:lang w:eastAsia="de-DE"/>
        </w:rPr>
        <w:t xml:space="preserve">zeigt eine Variante zu </w:t>
      </w:r>
      <w:r w:rsidRPr="00EF6A3E">
        <w:rPr>
          <w:rFonts w:eastAsia="Times New Roman" w:cs="Times New Roman"/>
          <w:b/>
          <w:bCs/>
          <w:rtl/>
          <w:lang w:eastAsia="de-DE"/>
        </w:rPr>
        <w:t>דְּעוּאֵל</w:t>
      </w:r>
      <w:r w:rsidRPr="00EF6A3E">
        <w:rPr>
          <w:rFonts w:eastAsia="Times New Roman" w:cs="Times New Roman"/>
          <w:rtl/>
          <w:lang w:eastAsia="de-DE"/>
        </w:rPr>
        <w:t xml:space="preserve"> </w:t>
      </w:r>
      <w:r w:rsidRPr="00EF6A3E">
        <w:rPr>
          <w:rFonts w:eastAsia="Times New Roman" w:cs="Times New Roman"/>
          <w:lang w:eastAsia="de-DE"/>
        </w:rPr>
        <w:t xml:space="preserve">aus 1,14, wobei beide Formen theophore Namen darstellen. </w:t>
      </w:r>
      <w:r w:rsidRPr="00EF6A3E">
        <w:rPr>
          <w:rFonts w:eastAsia="Times New Roman" w:cs="Times New Roman"/>
          <w:b/>
          <w:bCs/>
          <w:rtl/>
          <w:lang w:eastAsia="de-DE"/>
        </w:rPr>
        <w:t>רְעוּאֵל</w:t>
      </w:r>
      <w:r w:rsidRPr="00EF6A3E">
        <w:rPr>
          <w:rFonts w:eastAsia="Times New Roman" w:cs="Times New Roman"/>
          <w:rtl/>
          <w:lang w:eastAsia="de-DE"/>
        </w:rPr>
        <w:t xml:space="preserve"> </w:t>
      </w:r>
      <w:r w:rsidRPr="00EF6A3E">
        <w:rPr>
          <w:rFonts w:eastAsia="Times New Roman" w:cs="Times New Roman"/>
          <w:lang w:eastAsia="de-DE"/>
        </w:rPr>
        <w:t xml:space="preserve">bedeutet "Freund Gottes", während </w:t>
      </w:r>
      <w:r w:rsidRPr="00EF6A3E">
        <w:rPr>
          <w:rFonts w:eastAsia="Times New Roman" w:cs="Times New Roman"/>
          <w:b/>
          <w:bCs/>
          <w:rtl/>
          <w:lang w:eastAsia="de-DE"/>
        </w:rPr>
        <w:t>דְּעוּאֵל</w:t>
      </w:r>
      <w:r w:rsidRPr="00EF6A3E">
        <w:rPr>
          <w:rFonts w:eastAsia="Times New Roman" w:cs="Times New Roman"/>
          <w:rtl/>
          <w:lang w:eastAsia="de-DE"/>
        </w:rPr>
        <w:t xml:space="preserve"> </w:t>
      </w:r>
      <w:r w:rsidRPr="00EF6A3E">
        <w:rPr>
          <w:rFonts w:eastAsia="Times New Roman" w:cs="Times New Roman"/>
          <w:lang w:eastAsia="de-DE"/>
        </w:rPr>
        <w:t>"Erkenntnis Gottes" bedeutet.</w:t>
      </w:r>
    </w:p>
    <w:p w14:paraId="425277D3" w14:textId="123328A4"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 xml:space="preserve">Die </w:t>
      </w:r>
      <w:r w:rsidR="002B581B">
        <w:rPr>
          <w:rFonts w:eastAsia="Times New Roman" w:cs="Times New Roman"/>
          <w:b/>
          <w:bCs/>
          <w:lang w:eastAsia="de-DE"/>
        </w:rPr>
        <w:t xml:space="preserve">LXX ist </w:t>
      </w:r>
      <w:r w:rsidR="00A1074A">
        <w:rPr>
          <w:rStyle w:val="Fett"/>
        </w:rPr>
        <w:t>Textkritisch</w:t>
      </w:r>
      <w:r w:rsidR="002B581B">
        <w:rPr>
          <w:rStyle w:val="Fett"/>
        </w:rPr>
        <w:t>bedeutsam</w:t>
      </w:r>
      <w:r w:rsidR="002B581B">
        <w:t xml:space="preserve">: Der hebräische Text hat </w:t>
      </w:r>
      <w:r w:rsidR="002B581B">
        <w:rPr>
          <w:rtl/>
        </w:rPr>
        <w:t>רעואל</w:t>
      </w:r>
      <w:r w:rsidR="002B581B">
        <w:t xml:space="preserve"> (Re'u'el) als Vaternamen von Eljasaph, während in Numeri 1:14 </w:t>
      </w:r>
      <w:r w:rsidR="002B581B">
        <w:rPr>
          <w:rtl/>
        </w:rPr>
        <w:t>דעואל</w:t>
      </w:r>
      <w:r w:rsidR="002B581B">
        <w:t xml:space="preserve"> (De'u'el) steht. </w:t>
      </w:r>
      <w:r w:rsidR="002B581B">
        <w:rPr>
          <w:rStyle w:val="Fett"/>
        </w:rPr>
        <w:t>Die LXX</w:t>
      </w:r>
      <w:r w:rsidR="002B581B">
        <w:t xml:space="preserve"> hat hier Ῥαγουήλ (Raguel), was Re'u'el entspricht und die Textvariante bestätigt. Dies ist eine klassische Verwechslung der hebräischen Buchstaben Resh (</w:t>
      </w:r>
      <w:r w:rsidR="002B581B">
        <w:rPr>
          <w:rtl/>
        </w:rPr>
        <w:t>ר</w:t>
      </w:r>
      <w:r w:rsidR="002B581B">
        <w:t>) und Daleth (</w:t>
      </w:r>
      <w:r w:rsidR="002B581B">
        <w:rPr>
          <w:rtl/>
        </w:rPr>
        <w:t>ד</w:t>
      </w:r>
      <w:r w:rsidR="002B581B">
        <w:t>).</w:t>
      </w:r>
    </w:p>
    <w:p w14:paraId="70CBB23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Namensvariationen zeigen die Komplexität der Textüberlieferung bei theophoren Namen.</w:t>
      </w:r>
    </w:p>
    <w:p w14:paraId="5180DCA5"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2,15</w:t>
      </w:r>
    </w:p>
    <w:p w14:paraId="579D78B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וּפְקֻדֵיהֶ֑ם חֲמִשָּׁ֤ה וְאַרְבָּעִים֙ אֶ֔לֶף וְשֵׁ֥שׁ מֵא֖וֹת וַחֲמִשִּֽׁים׃</w:t>
      </w:r>
    </w:p>
    <w:p w14:paraId="4F2DB97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ihre Gemusterten: 45.650.</w:t>
      </w:r>
    </w:p>
    <w:p w14:paraId="2831A72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lastRenderedPageBreak/>
        <w:pict w14:anchorId="3A8FC669">
          <v:rect id="_x0000_i1093" style="width:0;height:1.5pt" o:hralign="center" o:hrstd="t" o:hr="t" fillcolor="#a0a0a0" stroked="f"/>
        </w:pict>
      </w:r>
    </w:p>
    <w:p w14:paraId="13E78773" w14:textId="6EFBC78A"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וּפְקֻדֵיהֶם</w:t>
      </w:r>
      <w:r w:rsidRPr="00EF6A3E">
        <w:rPr>
          <w:rFonts w:eastAsia="Times New Roman" w:cs="Times New Roman"/>
          <w:rtl/>
          <w:lang w:eastAsia="de-DE"/>
        </w:rPr>
        <w:t xml:space="preserve"> </w:t>
      </w:r>
      <w:r w:rsidRPr="00EF6A3E">
        <w:rPr>
          <w:rFonts w:eastAsia="Times New Roman" w:cs="Times New Roman"/>
          <w:lang w:eastAsia="de-DE"/>
        </w:rPr>
        <w:t>zeigt erneut die gemischte Suffixverwendung.</w:t>
      </w:r>
    </w:p>
    <w:p w14:paraId="3444044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komplexe Zahlenangabe </w:t>
      </w:r>
      <w:r w:rsidRPr="00EF6A3E">
        <w:rPr>
          <w:rFonts w:eastAsia="Times New Roman" w:cs="Times New Roman"/>
          <w:b/>
          <w:bCs/>
          <w:rtl/>
          <w:lang w:eastAsia="de-DE"/>
        </w:rPr>
        <w:t>חֲמִשָּׁה וְאַרְבָּעִים אֶלֶף וְשֵׁשׁ מֵאוֹת וַחֲמִשִּׁים</w:t>
      </w:r>
      <w:r w:rsidRPr="00EF6A3E">
        <w:rPr>
          <w:rFonts w:eastAsia="Times New Roman" w:cs="Times New Roman"/>
          <w:rtl/>
          <w:lang w:eastAsia="de-DE"/>
        </w:rPr>
        <w:t xml:space="preserve"> </w:t>
      </w:r>
      <w:r w:rsidRPr="00EF6A3E">
        <w:rPr>
          <w:rFonts w:eastAsia="Times New Roman" w:cs="Times New Roman"/>
          <w:lang w:eastAsia="de-DE"/>
        </w:rPr>
        <w:t>entspricht der in 1,25 für Gad genannten dreigliedrigen Zahl.</w:t>
      </w:r>
    </w:p>
    <w:p w14:paraId="30658FF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Konsistenz der komplexen Zahlenangaben unterstreicht die Präzision der Volkszählungsdaten.</w:t>
      </w:r>
    </w:p>
    <w:p w14:paraId="43507442"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2,16</w:t>
      </w:r>
    </w:p>
    <w:p w14:paraId="0088E20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כָּֽל־הַפְּקֻדִ֞ים לְמַחֲנֵ֣ה רְאוּבֵ֗ן מְאַ֨ת אֶ֜לֶף וְאֶחָ֨ד וַחֲמִשִּׁ֥ים אֶ֛לֶף וְאַרְבַּע־מֵא֥וֹת וַחֲמִשִּׁ֖ים לְצִבְאֹתָ֑ם וּשְׁנִיִּ֖ים יִסָּֽעוּ׃</w:t>
      </w:r>
    </w:p>
    <w:p w14:paraId="1E54803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Alle Gemusterten vom Lager Re'uvens: 151.450, nach ihren Heerscharen; und als Zweite sollen sie aufbrechen.</w:t>
      </w:r>
    </w:p>
    <w:p w14:paraId="2AC764A5"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8BB846F">
          <v:rect id="_x0000_i1094" style="width:0;height:1.5pt" o:hralign="center" o:hrstd="t" o:hr="t" fillcolor="#a0a0a0" stroked="f"/>
        </w:pict>
      </w:r>
    </w:p>
    <w:p w14:paraId="3E6CE8C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zusammenfassende </w:t>
      </w:r>
      <w:r w:rsidRPr="00EF6A3E">
        <w:rPr>
          <w:rFonts w:eastAsia="Times New Roman" w:cs="Times New Roman"/>
          <w:b/>
          <w:bCs/>
          <w:rtl/>
          <w:lang w:eastAsia="de-DE"/>
        </w:rPr>
        <w:t>כָּל־הַפְּקֻדִים לְמַחֲנֵה רְאוּבֵן</w:t>
      </w:r>
      <w:r w:rsidRPr="00EF6A3E">
        <w:rPr>
          <w:rFonts w:eastAsia="Times New Roman" w:cs="Times New Roman"/>
          <w:rtl/>
          <w:lang w:eastAsia="de-DE"/>
        </w:rPr>
        <w:t xml:space="preserve"> </w:t>
      </w:r>
      <w:r w:rsidRPr="00EF6A3E">
        <w:rPr>
          <w:rFonts w:eastAsia="Times New Roman" w:cs="Times New Roman"/>
          <w:lang w:eastAsia="de-DE"/>
        </w:rPr>
        <w:t>folgt dem Muster von Vers 9.</w:t>
      </w:r>
    </w:p>
    <w:p w14:paraId="732B839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komplexe Zahlenangabe </w:t>
      </w:r>
      <w:r w:rsidRPr="00EF6A3E">
        <w:rPr>
          <w:rFonts w:eastAsia="Times New Roman" w:cs="Times New Roman"/>
          <w:b/>
          <w:bCs/>
          <w:rtl/>
          <w:lang w:eastAsia="de-DE"/>
        </w:rPr>
        <w:t>מְאַת אֶלֶף וְאֶחָד וַחֲמִשִּׁים אֶלֶף וְאַרְבַּע־מֵאוֹת וַחֲמִשִּׁים</w:t>
      </w:r>
      <w:r w:rsidRPr="00EF6A3E">
        <w:rPr>
          <w:rFonts w:eastAsia="Times New Roman" w:cs="Times New Roman"/>
          <w:rtl/>
          <w:lang w:eastAsia="de-DE"/>
        </w:rPr>
        <w:t xml:space="preserve"> </w:t>
      </w:r>
      <w:r w:rsidRPr="00EF6A3E">
        <w:rPr>
          <w:rFonts w:eastAsia="Times New Roman" w:cs="Times New Roman"/>
          <w:lang w:eastAsia="de-DE"/>
        </w:rPr>
        <w:t>zeigt: 100.000 + 51.000 + 450 = 151.450. Dies entspricht der Summe aus Ruben (46.500) + Simeon (59.300) + Gad (45.650).</w:t>
      </w:r>
    </w:p>
    <w:p w14:paraId="6763C66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Ordinale </w:t>
      </w:r>
      <w:r w:rsidRPr="00EF6A3E">
        <w:rPr>
          <w:rFonts w:eastAsia="Times New Roman" w:cs="Times New Roman"/>
          <w:b/>
          <w:bCs/>
          <w:rtl/>
          <w:lang w:eastAsia="de-DE"/>
        </w:rPr>
        <w:t>וּשְׁנִיִּים</w:t>
      </w:r>
      <w:r w:rsidRPr="00EF6A3E">
        <w:rPr>
          <w:rFonts w:eastAsia="Times New Roman" w:cs="Times New Roman"/>
          <w:rtl/>
          <w:lang w:eastAsia="de-DE"/>
        </w:rPr>
        <w:t xml:space="preserve"> </w:t>
      </w:r>
      <w:r w:rsidRPr="00EF6A3E">
        <w:rPr>
          <w:rFonts w:eastAsia="Times New Roman" w:cs="Times New Roman"/>
          <w:lang w:eastAsia="de-DE"/>
        </w:rPr>
        <w:t xml:space="preserve">(und als zweite) mit </w:t>
      </w:r>
      <w:r w:rsidRPr="00EF6A3E">
        <w:rPr>
          <w:rFonts w:eastAsia="Times New Roman" w:cs="Times New Roman"/>
          <w:b/>
          <w:bCs/>
          <w:rtl/>
          <w:lang w:eastAsia="de-DE"/>
        </w:rPr>
        <w:t>יִסָּעוּ</w:t>
      </w:r>
      <w:r w:rsidRPr="00EF6A3E">
        <w:rPr>
          <w:rFonts w:eastAsia="Times New Roman" w:cs="Times New Roman"/>
          <w:rtl/>
          <w:lang w:eastAsia="de-DE"/>
        </w:rPr>
        <w:t xml:space="preserve"> </w:t>
      </w:r>
      <w:r w:rsidRPr="00EF6A3E">
        <w:rPr>
          <w:rFonts w:eastAsia="Times New Roman" w:cs="Times New Roman"/>
          <w:lang w:eastAsia="de-DE"/>
        </w:rPr>
        <w:t>(sie sollen aufbrechen) etabliert die zweite Position in der Marschordnung.</w:t>
      </w:r>
    </w:p>
    <w:p w14:paraId="79BECD74" w14:textId="75A01D82" w:rsidR="00EF6A3E" w:rsidRPr="00EF6A3E" w:rsidRDefault="002B581B" w:rsidP="00EF6A3E">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ושנים יסעו</w:t>
      </w:r>
      <w:r>
        <w:t xml:space="preserve"> (usheniim yissa'u - "und als zweite sollen sie aufbrechen") als δεύτεροι ἐξαροῦσιν (als zweite werden sie ausziehen).</w:t>
      </w:r>
    </w:p>
    <w:p w14:paraId="27DCE74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entspricht dem Muster der Gruppenzusammenfassungen mit ordinaler Marschordnung.</w:t>
      </w:r>
    </w:p>
    <w:p w14:paraId="60A09C3A"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2,17</w:t>
      </w:r>
    </w:p>
    <w:p w14:paraId="0C96415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וְנָסַ֧ע אֹֽהֶל־מוֹעֵ֛ד מַחֲנֵ֥ה הַלְוִיִּ֖ם בְּת֣וֹךְ הַֽמַּחֲנֹ֑ת כַּאֲשֶׁ֤ר יַחֲנוּ֙ כֵּ֣ן יִסָּ֔עוּ אִ֥ישׁ עַל־יָדֹ֖ו לְדִגְלֵיהֶֽם׃</w:t>
      </w:r>
    </w:p>
    <w:p w14:paraId="7B54E85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Dann soll das Zelt der Begegnung, das Lager der Levijim, inmitten der Lager aufbrechen; so wie sie lagern, so sollen sie aufbrechen, jeder an seiner Stelle, nach ihren Bannern.</w:t>
      </w:r>
    </w:p>
    <w:p w14:paraId="03622D9F"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CD46B72">
          <v:rect id="_x0000_i1095" style="width:0;height:1.5pt" o:hralign="center" o:hrstd="t" o:hr="t" fillcolor="#a0a0a0" stroked="f"/>
        </w:pict>
      </w:r>
    </w:p>
    <w:p w14:paraId="687CE25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וְנָסַע</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נסע</w:t>
      </w:r>
      <w:r w:rsidRPr="00EF6A3E">
        <w:rPr>
          <w:rFonts w:eastAsia="Times New Roman" w:cs="Times New Roman"/>
          <w:rtl/>
          <w:lang w:eastAsia="de-DE"/>
        </w:rPr>
        <w:t xml:space="preserve"> </w:t>
      </w:r>
      <w:r w:rsidRPr="00EF6A3E">
        <w:rPr>
          <w:rFonts w:eastAsia="Times New Roman" w:cs="Times New Roman"/>
          <w:lang w:eastAsia="de-DE"/>
        </w:rPr>
        <w:t>(aufbrechen) im Qal-Perfekt 3. maskulin Singular mit Waw consecutivum leitet die zentrale Position des Heiligtums im Marschzug ein.</w:t>
      </w:r>
    </w:p>
    <w:p w14:paraId="1A03D237" w14:textId="728B0398"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Das Subjekt </w:t>
      </w:r>
      <w:r w:rsidRPr="00EF6A3E">
        <w:rPr>
          <w:rFonts w:eastAsia="Times New Roman" w:cs="Times New Roman"/>
          <w:b/>
          <w:bCs/>
          <w:rtl/>
          <w:lang w:eastAsia="de-DE"/>
        </w:rPr>
        <w:t>אֹהֶל־מוֹעֵד מַחֲנֵה הַלְוִיִּם</w:t>
      </w:r>
      <w:r w:rsidRPr="00EF6A3E">
        <w:rPr>
          <w:rFonts w:eastAsia="Times New Roman" w:cs="Times New Roman"/>
          <w:rtl/>
          <w:lang w:eastAsia="de-DE"/>
        </w:rPr>
        <w:t xml:space="preserve"> </w:t>
      </w:r>
      <w:r w:rsidRPr="00EF6A3E">
        <w:rPr>
          <w:rFonts w:eastAsia="Times New Roman" w:cs="Times New Roman"/>
          <w:lang w:eastAsia="de-DE"/>
        </w:rPr>
        <w:t xml:space="preserve">zeigt eine </w:t>
      </w:r>
      <w:r w:rsidR="00F133EC">
        <w:rPr>
          <w:rFonts w:eastAsia="Times New Roman" w:cs="Times New Roman"/>
          <w:lang w:eastAsia="de-DE"/>
        </w:rPr>
        <w:t>Construct</w:t>
      </w:r>
      <w:r w:rsidRPr="00EF6A3E">
        <w:rPr>
          <w:rFonts w:eastAsia="Times New Roman" w:cs="Times New Roman"/>
          <w:lang w:eastAsia="de-DE"/>
        </w:rPr>
        <w:t xml:space="preserve">verbindung aus </w:t>
      </w:r>
      <w:r w:rsidRPr="00EF6A3E">
        <w:rPr>
          <w:rFonts w:eastAsia="Times New Roman" w:cs="Times New Roman"/>
          <w:b/>
          <w:bCs/>
          <w:rtl/>
          <w:lang w:eastAsia="de-DE"/>
        </w:rPr>
        <w:t>אֹהֶל־מוֹעֵד</w:t>
      </w:r>
      <w:r w:rsidRPr="00EF6A3E">
        <w:rPr>
          <w:rFonts w:eastAsia="Times New Roman" w:cs="Times New Roman"/>
          <w:rtl/>
          <w:lang w:eastAsia="de-DE"/>
        </w:rPr>
        <w:t xml:space="preserve"> </w:t>
      </w:r>
      <w:r w:rsidRPr="00EF6A3E">
        <w:rPr>
          <w:rFonts w:eastAsia="Times New Roman" w:cs="Times New Roman"/>
          <w:lang w:eastAsia="de-DE"/>
        </w:rPr>
        <w:t xml:space="preserve">(Zelt der Begegnung) und </w:t>
      </w:r>
      <w:r w:rsidRPr="00EF6A3E">
        <w:rPr>
          <w:rFonts w:eastAsia="Times New Roman" w:cs="Times New Roman"/>
          <w:b/>
          <w:bCs/>
          <w:rtl/>
          <w:lang w:eastAsia="de-DE"/>
        </w:rPr>
        <w:t>מַחֲנֵה הַלְוִיִּם</w:t>
      </w:r>
      <w:r w:rsidRPr="00EF6A3E">
        <w:rPr>
          <w:rFonts w:eastAsia="Times New Roman" w:cs="Times New Roman"/>
          <w:rtl/>
          <w:lang w:eastAsia="de-DE"/>
        </w:rPr>
        <w:t xml:space="preserve"> </w:t>
      </w:r>
      <w:r w:rsidRPr="00EF6A3E">
        <w:rPr>
          <w:rFonts w:eastAsia="Times New Roman" w:cs="Times New Roman"/>
          <w:lang w:eastAsia="de-DE"/>
        </w:rPr>
        <w:t>(Lager der Leviten), wobei beide Begriffe die kultische Mitte bezeichnen.</w:t>
      </w:r>
    </w:p>
    <w:p w14:paraId="1FA43AB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בְּתוֹךְ הַמַּחֲנוֹת</w:t>
      </w:r>
      <w:r w:rsidRPr="00EF6A3E">
        <w:rPr>
          <w:rFonts w:eastAsia="Times New Roman" w:cs="Times New Roman"/>
          <w:rtl/>
          <w:lang w:eastAsia="de-DE"/>
        </w:rPr>
        <w:t xml:space="preserve"> </w:t>
      </w:r>
      <w:r w:rsidRPr="00EF6A3E">
        <w:rPr>
          <w:rFonts w:eastAsia="Times New Roman" w:cs="Times New Roman"/>
          <w:lang w:eastAsia="de-DE"/>
        </w:rPr>
        <w:t xml:space="preserve">(inmitten der Lager) mit </w:t>
      </w:r>
      <w:r w:rsidRPr="00EF6A3E">
        <w:rPr>
          <w:rFonts w:eastAsia="Times New Roman" w:cs="Times New Roman"/>
          <w:b/>
          <w:bCs/>
          <w:rtl/>
          <w:lang w:eastAsia="de-DE"/>
        </w:rPr>
        <w:t>בְּ</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תּוֹךְ</w:t>
      </w:r>
      <w:r w:rsidRPr="00EF6A3E">
        <w:rPr>
          <w:rFonts w:eastAsia="Times New Roman" w:cs="Times New Roman"/>
          <w:rtl/>
          <w:lang w:eastAsia="de-DE"/>
        </w:rPr>
        <w:t xml:space="preserve"> </w:t>
      </w:r>
      <w:r w:rsidRPr="00EF6A3E">
        <w:rPr>
          <w:rFonts w:eastAsia="Times New Roman" w:cs="Times New Roman"/>
          <w:lang w:eastAsia="de-DE"/>
        </w:rPr>
        <w:t xml:space="preserve">(Mitte) plus </w:t>
      </w:r>
      <w:r w:rsidRPr="00EF6A3E">
        <w:rPr>
          <w:rFonts w:eastAsia="Times New Roman" w:cs="Times New Roman"/>
          <w:b/>
          <w:bCs/>
          <w:rtl/>
          <w:lang w:eastAsia="de-DE"/>
        </w:rPr>
        <w:t>מַחֲנוֹת</w:t>
      </w:r>
      <w:r w:rsidRPr="00EF6A3E">
        <w:rPr>
          <w:rFonts w:eastAsia="Times New Roman" w:cs="Times New Roman"/>
          <w:rtl/>
          <w:lang w:eastAsia="de-DE"/>
        </w:rPr>
        <w:t xml:space="preserve"> </w:t>
      </w:r>
      <w:r w:rsidRPr="00EF6A3E">
        <w:rPr>
          <w:rFonts w:eastAsia="Times New Roman" w:cs="Times New Roman"/>
          <w:lang w:eastAsia="de-DE"/>
        </w:rPr>
        <w:t>(Lager, Plural) betont die zentrale Position zwischen den vier Lagergruppen.</w:t>
      </w:r>
    </w:p>
    <w:p w14:paraId="7A6D0A7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Vergleichskonstruktion </w:t>
      </w:r>
      <w:r w:rsidRPr="00EF6A3E">
        <w:rPr>
          <w:rFonts w:eastAsia="Times New Roman" w:cs="Times New Roman"/>
          <w:b/>
          <w:bCs/>
          <w:rtl/>
          <w:lang w:eastAsia="de-DE"/>
        </w:rPr>
        <w:t>כַּאֲשֶׁר יַחֲנוּ כֵּן יִסָּעוּ</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כַּאֲשֶׁר</w:t>
      </w:r>
      <w:r w:rsidRPr="00EF6A3E">
        <w:rPr>
          <w:rFonts w:eastAsia="Times New Roman" w:cs="Times New Roman"/>
          <w:rtl/>
          <w:lang w:eastAsia="de-DE"/>
        </w:rPr>
        <w:t xml:space="preserve"> </w:t>
      </w:r>
      <w:r w:rsidRPr="00EF6A3E">
        <w:rPr>
          <w:rFonts w:eastAsia="Times New Roman" w:cs="Times New Roman"/>
          <w:lang w:eastAsia="de-DE"/>
        </w:rPr>
        <w:t xml:space="preserve">(wie) und </w:t>
      </w:r>
      <w:r w:rsidRPr="00EF6A3E">
        <w:rPr>
          <w:rFonts w:eastAsia="Times New Roman" w:cs="Times New Roman"/>
          <w:b/>
          <w:bCs/>
          <w:rtl/>
          <w:lang w:eastAsia="de-DE"/>
        </w:rPr>
        <w:t>כֵּן</w:t>
      </w:r>
      <w:r w:rsidRPr="00EF6A3E">
        <w:rPr>
          <w:rFonts w:eastAsia="Times New Roman" w:cs="Times New Roman"/>
          <w:rtl/>
          <w:lang w:eastAsia="de-DE"/>
        </w:rPr>
        <w:t xml:space="preserve"> </w:t>
      </w:r>
      <w:r w:rsidRPr="00EF6A3E">
        <w:rPr>
          <w:rFonts w:eastAsia="Times New Roman" w:cs="Times New Roman"/>
          <w:lang w:eastAsia="de-DE"/>
        </w:rPr>
        <w:t xml:space="preserve">(so) zeigt die Entsprechung zwischen Lager- und Marschordnung. </w:t>
      </w:r>
      <w:r w:rsidRPr="00EF6A3E">
        <w:rPr>
          <w:rFonts w:eastAsia="Times New Roman" w:cs="Times New Roman"/>
          <w:b/>
          <w:bCs/>
          <w:rtl/>
          <w:lang w:eastAsia="de-DE"/>
        </w:rPr>
        <w:t>יַחֲנוּ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 xml:space="preserve">(lagern) und </w:t>
      </w:r>
      <w:r w:rsidRPr="00EF6A3E">
        <w:rPr>
          <w:rFonts w:eastAsia="Times New Roman" w:cs="Times New Roman"/>
          <w:b/>
          <w:bCs/>
          <w:rtl/>
          <w:lang w:eastAsia="de-DE"/>
        </w:rPr>
        <w:t>יִסָּעוּ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נסע</w:t>
      </w:r>
      <w:r w:rsidRPr="00EF6A3E">
        <w:rPr>
          <w:rFonts w:eastAsia="Times New Roman" w:cs="Times New Roman"/>
          <w:rtl/>
          <w:lang w:eastAsia="de-DE"/>
        </w:rPr>
        <w:t xml:space="preserve"> </w:t>
      </w:r>
      <w:r w:rsidRPr="00EF6A3E">
        <w:rPr>
          <w:rFonts w:eastAsia="Times New Roman" w:cs="Times New Roman"/>
          <w:lang w:eastAsia="de-DE"/>
        </w:rPr>
        <w:t>(aufbrechen) stehen im Qal-Imperfekt 3. maskulin Plural.</w:t>
      </w:r>
    </w:p>
    <w:p w14:paraId="443779D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finale distributive Bestimmung </w:t>
      </w:r>
      <w:r w:rsidRPr="00EF6A3E">
        <w:rPr>
          <w:rFonts w:eastAsia="Times New Roman" w:cs="Times New Roman"/>
          <w:b/>
          <w:bCs/>
          <w:rtl/>
          <w:lang w:eastAsia="de-DE"/>
        </w:rPr>
        <w:t>אִישׁ עַל־יָדוֹ לְדִגְלֵיהֶם</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אִישׁ</w:t>
      </w:r>
      <w:r w:rsidRPr="00EF6A3E">
        <w:rPr>
          <w:rFonts w:eastAsia="Times New Roman" w:cs="Times New Roman"/>
          <w:rtl/>
          <w:lang w:eastAsia="de-DE"/>
        </w:rPr>
        <w:t xml:space="preserve"> </w:t>
      </w:r>
      <w:r w:rsidRPr="00EF6A3E">
        <w:rPr>
          <w:rFonts w:eastAsia="Times New Roman" w:cs="Times New Roman"/>
          <w:lang w:eastAsia="de-DE"/>
        </w:rPr>
        <w:t xml:space="preserve">(jeder), </w:t>
      </w:r>
      <w:r w:rsidRPr="00EF6A3E">
        <w:rPr>
          <w:rFonts w:eastAsia="Times New Roman" w:cs="Times New Roman"/>
          <w:b/>
          <w:bCs/>
          <w:rtl/>
          <w:lang w:eastAsia="de-DE"/>
        </w:rPr>
        <w:t>עַל־יָדוֹ</w:t>
      </w:r>
      <w:r w:rsidRPr="00EF6A3E">
        <w:rPr>
          <w:rFonts w:eastAsia="Times New Roman" w:cs="Times New Roman"/>
          <w:rtl/>
          <w:lang w:eastAsia="de-DE"/>
        </w:rPr>
        <w:t xml:space="preserve"> </w:t>
      </w:r>
      <w:r w:rsidRPr="00EF6A3E">
        <w:rPr>
          <w:rFonts w:eastAsia="Times New Roman" w:cs="Times New Roman"/>
          <w:lang w:eastAsia="de-DE"/>
        </w:rPr>
        <w:t xml:space="preserve">(an seiner Seite/Stelle) und </w:t>
      </w:r>
      <w:r w:rsidRPr="00EF6A3E">
        <w:rPr>
          <w:rFonts w:eastAsia="Times New Roman" w:cs="Times New Roman"/>
          <w:b/>
          <w:bCs/>
          <w:rtl/>
          <w:lang w:eastAsia="de-DE"/>
        </w:rPr>
        <w:t>לְדִגְלֵיהֶם</w:t>
      </w:r>
      <w:r w:rsidRPr="00EF6A3E">
        <w:rPr>
          <w:rFonts w:eastAsia="Times New Roman" w:cs="Times New Roman"/>
          <w:rtl/>
          <w:lang w:eastAsia="de-DE"/>
        </w:rPr>
        <w:t xml:space="preserve"> </w:t>
      </w:r>
      <w:r w:rsidRPr="00EF6A3E">
        <w:rPr>
          <w:rFonts w:eastAsia="Times New Roman" w:cs="Times New Roman"/>
          <w:lang w:eastAsia="de-DE"/>
        </w:rPr>
        <w:t>(nach ihren Bannern) betont die geordnete Positionierung aller Stämme.</w:t>
      </w:r>
    </w:p>
    <w:p w14:paraId="1F49AAEF" w14:textId="1CBD3F2D" w:rsidR="00EF6A3E" w:rsidRPr="00EF6A3E" w:rsidRDefault="002B581B" w:rsidP="00EF6A3E">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ונסע אהל־מועד</w:t>
      </w:r>
      <w:r>
        <w:t xml:space="preserve"> (venasa' ohel-mo'ed - "und es wird aufbrechen das Zelt der Begegnung") als καὶ ἀρθήσεται ἡ σκηνὴ τοῦ μαρτυρίου (und es wird erhoben werden das Zelt des Zeugnisses). </w:t>
      </w:r>
      <w:r>
        <w:rPr>
          <w:rtl/>
        </w:rPr>
        <w:t>על־ידו</w:t>
      </w:r>
      <w:r>
        <w:t xml:space="preserve"> (al-yado - "an seiner Seite/Hand") wird als ἐχόμενος καθʼ ἡγεμονίαν (angrenzend nach Führung) übersetzt, was die Ordnung betont</w:t>
      </w:r>
      <w:r w:rsidR="006F5755">
        <w:t>.</w:t>
      </w:r>
    </w:p>
    <w:p w14:paraId="682F626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einen Hauptsatz mit komplexem Subjekt und lokaler Bestimmung, gefolgt von einer Vergleichskonstruktion und einer distributiven Schlussbestimmung.</w:t>
      </w:r>
    </w:p>
    <w:p w14:paraId="7CDEB92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zentrale Vers betont die sakrale Ordnung des Marsches mit dem Heiligtum als bewegliche Mitte Israels.</w:t>
      </w:r>
    </w:p>
    <w:p w14:paraId="1A3DC95F"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2,18</w:t>
      </w:r>
    </w:p>
    <w:p w14:paraId="4F630BB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דֶּ֣גֶל מַחֲנֵ֥ה אֶפְרַ֛יִם לְצִבְאֹתָ֖ם יָ֑מָּה וְנָשִׂיא֙ לִבְנֵ֣י אֶפְרַ֔יִם אֱלִישָׁמָ֖ע בֶּן־עַמִּיהֽוּד׃</w:t>
      </w:r>
    </w:p>
    <w:p w14:paraId="25C4586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Das Banner des Lagers Ephrajims nach ihren Heerscharen westlich; und der Fürst der Söhne Ephrajims: Elischama, Sohn des Ammihud.</w:t>
      </w:r>
    </w:p>
    <w:p w14:paraId="78800563"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ACB25BA">
          <v:rect id="_x0000_i1096" style="width:0;height:1.5pt" o:hralign="center" o:hrstd="t" o:hr="t" fillcolor="#a0a0a0" stroked="f"/>
        </w:pict>
      </w:r>
    </w:p>
    <w:p w14:paraId="625B99FA" w14:textId="10C9AC0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דֶּגֶל מַחֲנֵה אֶפְרַיִם</w:t>
      </w:r>
      <w:r w:rsidRPr="00EF6A3E">
        <w:rPr>
          <w:rFonts w:eastAsia="Times New Roman" w:cs="Times New Roman"/>
          <w:rtl/>
          <w:lang w:eastAsia="de-DE"/>
        </w:rPr>
        <w:t xml:space="preserve"> </w:t>
      </w:r>
      <w:r w:rsidRPr="00EF6A3E">
        <w:rPr>
          <w:rFonts w:eastAsia="Times New Roman" w:cs="Times New Roman"/>
          <w:lang w:eastAsia="de-DE"/>
        </w:rPr>
        <w:t>(Banner des Lagers Ephraims) leitet die dritte Lagergruppe ein und zeigt Ephraim als führenden Stamm der Westseite.</w:t>
      </w:r>
    </w:p>
    <w:p w14:paraId="6F2F052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Richtungsangabe </w:t>
      </w:r>
      <w:r w:rsidRPr="00EF6A3E">
        <w:rPr>
          <w:rFonts w:eastAsia="Times New Roman" w:cs="Times New Roman"/>
          <w:b/>
          <w:bCs/>
          <w:rtl/>
          <w:lang w:eastAsia="de-DE"/>
        </w:rPr>
        <w:t>יָמָּה</w:t>
      </w:r>
      <w:r w:rsidRPr="00EF6A3E">
        <w:rPr>
          <w:rFonts w:eastAsia="Times New Roman" w:cs="Times New Roman"/>
          <w:rtl/>
          <w:lang w:eastAsia="de-DE"/>
        </w:rPr>
        <w:t xml:space="preserve"> </w:t>
      </w:r>
      <w:r w:rsidRPr="00EF6A3E">
        <w:rPr>
          <w:rFonts w:eastAsia="Times New Roman" w:cs="Times New Roman"/>
          <w:lang w:eastAsia="de-DE"/>
        </w:rPr>
        <w:t xml:space="preserve">(westlich/zum Meer hin) von der Wurzel </w:t>
      </w:r>
      <w:r w:rsidRPr="00EF6A3E">
        <w:rPr>
          <w:rFonts w:eastAsia="Times New Roman" w:cs="Times New Roman"/>
          <w:b/>
          <w:bCs/>
          <w:rtl/>
          <w:lang w:eastAsia="de-DE"/>
        </w:rPr>
        <w:t>ים</w:t>
      </w:r>
      <w:r w:rsidRPr="00EF6A3E">
        <w:rPr>
          <w:rFonts w:eastAsia="Times New Roman" w:cs="Times New Roman"/>
          <w:rtl/>
          <w:lang w:eastAsia="de-DE"/>
        </w:rPr>
        <w:t xml:space="preserve"> </w:t>
      </w:r>
      <w:r w:rsidRPr="00EF6A3E">
        <w:rPr>
          <w:rFonts w:eastAsia="Times New Roman" w:cs="Times New Roman"/>
          <w:lang w:eastAsia="de-DE"/>
        </w:rPr>
        <w:t xml:space="preserve">(Meer/Westen) bezeichnet die dritte Himmelsrichtung. Im hebräischen Orientierungssystem bedeutet </w:t>
      </w:r>
      <w:r w:rsidRPr="00EF6A3E">
        <w:rPr>
          <w:rFonts w:eastAsia="Times New Roman" w:cs="Times New Roman"/>
          <w:b/>
          <w:bCs/>
          <w:rtl/>
          <w:lang w:eastAsia="de-DE"/>
        </w:rPr>
        <w:t>יָם</w:t>
      </w:r>
      <w:r w:rsidRPr="00EF6A3E">
        <w:rPr>
          <w:rFonts w:eastAsia="Times New Roman" w:cs="Times New Roman"/>
          <w:rtl/>
          <w:lang w:eastAsia="de-DE"/>
        </w:rPr>
        <w:t xml:space="preserve"> </w:t>
      </w:r>
      <w:r w:rsidRPr="00EF6A3E">
        <w:rPr>
          <w:rFonts w:eastAsia="Times New Roman" w:cs="Times New Roman"/>
          <w:lang w:eastAsia="de-DE"/>
        </w:rPr>
        <w:t>sowohl "Meer" als auch "Westen", da das Mittelmeer westlich von Israel liegt.</w:t>
      </w:r>
    </w:p>
    <w:p w14:paraId="79E49FB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לְצִבְאֹתָם</w:t>
      </w:r>
      <w:r w:rsidRPr="00EF6A3E">
        <w:rPr>
          <w:rFonts w:eastAsia="Times New Roman" w:cs="Times New Roman"/>
          <w:rtl/>
          <w:lang w:eastAsia="de-DE"/>
        </w:rPr>
        <w:t xml:space="preserve"> </w:t>
      </w:r>
      <w:r w:rsidRPr="00EF6A3E">
        <w:rPr>
          <w:rFonts w:eastAsia="Times New Roman" w:cs="Times New Roman"/>
          <w:lang w:eastAsia="de-DE"/>
        </w:rPr>
        <w:t xml:space="preserve">(nach ihren Heerscharen) entspricht dem etablierten Muster. Der koordinierte Nominalsatz </w:t>
      </w:r>
      <w:r w:rsidRPr="00EF6A3E">
        <w:rPr>
          <w:rFonts w:eastAsia="Times New Roman" w:cs="Times New Roman"/>
          <w:b/>
          <w:bCs/>
          <w:rtl/>
          <w:lang w:eastAsia="de-DE"/>
        </w:rPr>
        <w:t>וְנָשִׂיא לִבְנֵי אֶפְרַיִם אֱלִישָׁמָע בֶּן־עַמִּיהוּד</w:t>
      </w:r>
      <w:r w:rsidRPr="00EF6A3E">
        <w:rPr>
          <w:rFonts w:eastAsia="Times New Roman" w:cs="Times New Roman"/>
          <w:rtl/>
          <w:lang w:eastAsia="de-DE"/>
        </w:rPr>
        <w:t xml:space="preserve"> </w:t>
      </w:r>
      <w:r w:rsidRPr="00EF6A3E">
        <w:rPr>
          <w:rFonts w:eastAsia="Times New Roman" w:cs="Times New Roman"/>
          <w:lang w:eastAsia="de-DE"/>
        </w:rPr>
        <w:t>entspricht der in 1,10 genannten Führungsstruktur.</w:t>
      </w:r>
    </w:p>
    <w:p w14:paraId="68063A80" w14:textId="77777777" w:rsidR="002B581B" w:rsidRDefault="002B581B" w:rsidP="00EF6A3E">
      <w:pPr>
        <w:spacing w:before="100" w:beforeAutospacing="1" w:after="100" w:afterAutospacing="1" w:line="240" w:lineRule="auto"/>
      </w:pPr>
      <w:r>
        <w:rPr>
          <w:rStyle w:val="Fett"/>
        </w:rPr>
        <w:t>Die LXX</w:t>
      </w:r>
      <w:r>
        <w:t xml:space="preserve"> übersetzt </w:t>
      </w:r>
      <w:r>
        <w:rPr>
          <w:rtl/>
        </w:rPr>
        <w:t>ימה</w:t>
      </w:r>
      <w:r>
        <w:t xml:space="preserve"> (yammah - "westwärts") als παρὰ θάλασσαν (am Meer/nach Westen), was eine griechische geographische Orientierung verwendet.</w:t>
      </w:r>
    </w:p>
    <w:p w14:paraId="450814E1" w14:textId="5ED50984"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Die Satzstruktur zeigt eine nominale </w:t>
      </w:r>
      <w:r w:rsidR="00F133EC">
        <w:rPr>
          <w:rFonts w:eastAsia="Times New Roman" w:cs="Times New Roman"/>
          <w:lang w:eastAsia="de-DE"/>
        </w:rPr>
        <w:t>Construct</w:t>
      </w:r>
      <w:r w:rsidRPr="00EF6A3E">
        <w:rPr>
          <w:rFonts w:eastAsia="Times New Roman" w:cs="Times New Roman"/>
          <w:lang w:eastAsia="de-DE"/>
        </w:rPr>
        <w:t>ion mit Richtungsbestimmung und koordiniertem Nominalsatz zur Führungsangabe.</w:t>
      </w:r>
    </w:p>
    <w:p w14:paraId="6215D74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etabliert Ephraim als Führungsstamm der Westgruppe und reflektiert dessen späteren politischen Einfluss in Nordisrael.</w:t>
      </w:r>
    </w:p>
    <w:p w14:paraId="7AF17D76"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2,19</w:t>
      </w:r>
    </w:p>
    <w:p w14:paraId="1D67059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וּפְקֻדֵיהֶ֑ם אַרְבָּעִ֥ים אֶ֖לֶף וַחֲמֵ֥שׁ מֵאֽוֹת׃</w:t>
      </w:r>
    </w:p>
    <w:p w14:paraId="144D3C2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ihre Gemusterten: 40.500.</w:t>
      </w:r>
    </w:p>
    <w:p w14:paraId="72099203"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7E7312F4">
          <v:rect id="_x0000_i1097" style="width:0;height:1.5pt" o:hralign="center" o:hrstd="t" o:hr="t" fillcolor="#a0a0a0" stroked="f"/>
        </w:pict>
      </w:r>
    </w:p>
    <w:p w14:paraId="743361DE" w14:textId="41B52CD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וּפְקֻדֵיהֶם</w:t>
      </w:r>
      <w:r w:rsidRPr="00EF6A3E">
        <w:rPr>
          <w:rFonts w:eastAsia="Times New Roman" w:cs="Times New Roman"/>
          <w:rtl/>
          <w:lang w:eastAsia="de-DE"/>
        </w:rPr>
        <w:t xml:space="preserve"> </w:t>
      </w:r>
      <w:r w:rsidRPr="00EF6A3E">
        <w:rPr>
          <w:rFonts w:eastAsia="Times New Roman" w:cs="Times New Roman"/>
          <w:lang w:eastAsia="de-DE"/>
        </w:rPr>
        <w:t>zeigt die gemischte Suffixverwendung mit Singular (</w:t>
      </w:r>
      <w:r w:rsidRPr="00EF6A3E">
        <w:rPr>
          <w:rFonts w:eastAsia="Times New Roman" w:cs="Times New Roman"/>
          <w:b/>
          <w:bCs/>
          <w:rtl/>
          <w:lang w:eastAsia="de-DE"/>
        </w:rPr>
        <w:t>־ֹו</w:t>
      </w:r>
      <w:r w:rsidRPr="00EF6A3E">
        <w:rPr>
          <w:rFonts w:eastAsia="Times New Roman" w:cs="Times New Roman"/>
          <w:lang w:eastAsia="de-DE"/>
        </w:rPr>
        <w:t>) und Plural (</w:t>
      </w:r>
      <w:r w:rsidRPr="00EF6A3E">
        <w:rPr>
          <w:rFonts w:eastAsia="Times New Roman" w:cs="Times New Roman"/>
          <w:b/>
          <w:bCs/>
          <w:rtl/>
          <w:lang w:eastAsia="de-DE"/>
        </w:rPr>
        <w:t>־ֵיהֶם</w:t>
      </w:r>
      <w:r w:rsidRPr="00EF6A3E">
        <w:rPr>
          <w:rFonts w:eastAsia="Times New Roman" w:cs="Times New Roman"/>
          <w:lang w:eastAsia="de-DE"/>
        </w:rPr>
        <w:t>).</w:t>
      </w:r>
    </w:p>
    <w:p w14:paraId="723E675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אַרְבָּעִים אֶלֶף וַחֲמֵשׁ מֵאוֹת</w:t>
      </w:r>
      <w:r w:rsidRPr="00EF6A3E">
        <w:rPr>
          <w:rFonts w:eastAsia="Times New Roman" w:cs="Times New Roman"/>
          <w:rtl/>
          <w:lang w:eastAsia="de-DE"/>
        </w:rPr>
        <w:t xml:space="preserve"> </w:t>
      </w:r>
      <w:r w:rsidRPr="00EF6A3E">
        <w:rPr>
          <w:rFonts w:eastAsia="Times New Roman" w:cs="Times New Roman"/>
          <w:lang w:eastAsia="de-DE"/>
        </w:rPr>
        <w:t>entspricht der in 1,33 für Ephraim genannten Zahl und zeigt eine relativ kleinere Population unter den Joseph-Stämmen.</w:t>
      </w:r>
    </w:p>
    <w:p w14:paraId="5F0EC7B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Konsistenz der Zahlenangaben bestätigt die Zuverlässigkeit der Volkszählungsdaten.</w:t>
      </w:r>
    </w:p>
    <w:p w14:paraId="5510E5B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2,20</w:t>
      </w:r>
    </w:p>
    <w:p w14:paraId="044876D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וְעָלָ֖יו מַטֵּ֣ה מְנַשֶּׁ֑ה וְנָשִׂיא֙ לִבְנֵ֣י מְנַשֶּׁ֔ה גַּמְלִיאֵ֖ל בֶּן־פְּדָהצֽוּר׃</w:t>
      </w:r>
    </w:p>
    <w:p w14:paraId="6B03F12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neben ihm der Stamm Menasche; und der Fürst der Söhne Menasches: Gamli'el, Sohn des Pedazur.</w:t>
      </w:r>
    </w:p>
    <w:p w14:paraId="1146E685"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FAB184C">
          <v:rect id="_x0000_i1098" style="width:0;height:1.5pt" o:hralign="center" o:hrstd="t" o:hr="t" fillcolor="#a0a0a0" stroked="f"/>
        </w:pict>
      </w:r>
    </w:p>
    <w:p w14:paraId="68063A4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präpositionale Phrase </w:t>
      </w:r>
      <w:r w:rsidRPr="00EF6A3E">
        <w:rPr>
          <w:rFonts w:eastAsia="Times New Roman" w:cs="Times New Roman"/>
          <w:b/>
          <w:bCs/>
          <w:rtl/>
          <w:lang w:eastAsia="de-DE"/>
        </w:rPr>
        <w:t>וְעָלָיו</w:t>
      </w:r>
      <w:r w:rsidRPr="00EF6A3E">
        <w:rPr>
          <w:rFonts w:eastAsia="Times New Roman" w:cs="Times New Roman"/>
          <w:rtl/>
          <w:lang w:eastAsia="de-DE"/>
        </w:rPr>
        <w:t xml:space="preserve"> </w:t>
      </w:r>
      <w:r w:rsidRPr="00EF6A3E">
        <w:rPr>
          <w:rFonts w:eastAsia="Times New Roman" w:cs="Times New Roman"/>
          <w:lang w:eastAsia="de-DE"/>
        </w:rPr>
        <w:t xml:space="preserve">(und neben ihm) mit </w:t>
      </w:r>
      <w:r w:rsidRPr="00EF6A3E">
        <w:rPr>
          <w:rFonts w:eastAsia="Times New Roman" w:cs="Times New Roman"/>
          <w:b/>
          <w:bCs/>
          <w:rtl/>
          <w:lang w:eastAsia="de-DE"/>
        </w:rPr>
        <w:t>עַל</w:t>
      </w:r>
      <w:r w:rsidRPr="00EF6A3E">
        <w:rPr>
          <w:rFonts w:eastAsia="Times New Roman" w:cs="Times New Roman"/>
          <w:rtl/>
          <w:lang w:eastAsia="de-DE"/>
        </w:rPr>
        <w:t xml:space="preserve"> </w:t>
      </w:r>
      <w:r w:rsidRPr="00EF6A3E">
        <w:rPr>
          <w:rFonts w:eastAsia="Times New Roman" w:cs="Times New Roman"/>
          <w:lang w:eastAsia="de-DE"/>
        </w:rPr>
        <w:t>und Possessivsuffix 3. maskulin Singular zeigt die Angliederung Manasses an Ephraim innerhalb der Westgruppe.</w:t>
      </w:r>
    </w:p>
    <w:p w14:paraId="51F6BE5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Apposition </w:t>
      </w:r>
      <w:r w:rsidRPr="00EF6A3E">
        <w:rPr>
          <w:rFonts w:eastAsia="Times New Roman" w:cs="Times New Roman"/>
          <w:b/>
          <w:bCs/>
          <w:rtl/>
          <w:lang w:eastAsia="de-DE"/>
        </w:rPr>
        <w:t>מַטֵּה מְנַשֶּׁה</w:t>
      </w:r>
      <w:r w:rsidRPr="00EF6A3E">
        <w:rPr>
          <w:rFonts w:eastAsia="Times New Roman" w:cs="Times New Roman"/>
          <w:rtl/>
          <w:lang w:eastAsia="de-DE"/>
        </w:rPr>
        <w:t xml:space="preserve"> </w:t>
      </w:r>
      <w:r w:rsidRPr="00EF6A3E">
        <w:rPr>
          <w:rFonts w:eastAsia="Times New Roman" w:cs="Times New Roman"/>
          <w:lang w:eastAsia="de-DE"/>
        </w:rPr>
        <w:t xml:space="preserve">(Stamm Manasse) und der koordinierte Nominalsatz </w:t>
      </w:r>
      <w:r w:rsidRPr="00EF6A3E">
        <w:rPr>
          <w:rFonts w:eastAsia="Times New Roman" w:cs="Times New Roman"/>
          <w:b/>
          <w:bCs/>
          <w:rtl/>
          <w:lang w:eastAsia="de-DE"/>
        </w:rPr>
        <w:t>וְנָשִׂיא לִבְנֵי מְנַשֶּׁה גַּמְלִיאֵל בֶּן־פְּדָהצוּר</w:t>
      </w:r>
      <w:r w:rsidRPr="00EF6A3E">
        <w:rPr>
          <w:rFonts w:eastAsia="Times New Roman" w:cs="Times New Roman"/>
          <w:rtl/>
          <w:lang w:eastAsia="de-DE"/>
        </w:rPr>
        <w:t xml:space="preserve"> </w:t>
      </w:r>
      <w:r w:rsidRPr="00EF6A3E">
        <w:rPr>
          <w:rFonts w:eastAsia="Times New Roman" w:cs="Times New Roman"/>
          <w:lang w:eastAsia="de-DE"/>
        </w:rPr>
        <w:t>entsprechen der in 1,10 genannten Führungsstruktur.</w:t>
      </w:r>
    </w:p>
    <w:p w14:paraId="01EFDAF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ἐχόμενος αὐτοῦ φυλῆς Μανασση und behält die räumliche Zuordnung bei.</w:t>
      </w:r>
    </w:p>
    <w:p w14:paraId="69AF9EF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Joseph-Stämme bleiben in der Lagerordnung zusammen und bilden eine kohärente Gruppe unter Ephraims Führung.</w:t>
      </w:r>
    </w:p>
    <w:p w14:paraId="1171C818"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2,21</w:t>
      </w:r>
    </w:p>
    <w:p w14:paraId="5515F5D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וּפְקֻדֵיהֶ֑ם שְׁנַ֧יִם וּשְׁלֹשִׁ֛ים אֶ֖לֶף וּמָאתָֽיִם׃</w:t>
      </w:r>
    </w:p>
    <w:p w14:paraId="468530F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Deutsch:</w:t>
      </w:r>
      <w:r w:rsidRPr="00EF6A3E">
        <w:rPr>
          <w:rFonts w:eastAsia="Times New Roman" w:cs="Times New Roman"/>
          <w:lang w:eastAsia="de-DE"/>
        </w:rPr>
        <w:t xml:space="preserve"> Und sein Heer und ihre Gemusterten: 32.200.</w:t>
      </w:r>
    </w:p>
    <w:p w14:paraId="7EB54BB9"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1CFE69E">
          <v:rect id="_x0000_i1099" style="width:0;height:1.5pt" o:hralign="center" o:hrstd="t" o:hr="t" fillcolor="#a0a0a0" stroked="f"/>
        </w:pict>
      </w:r>
    </w:p>
    <w:p w14:paraId="0C26F50B" w14:textId="58CBE355"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וּפְקֻדֵיהֶם</w:t>
      </w:r>
      <w:r w:rsidRPr="00EF6A3E">
        <w:rPr>
          <w:rFonts w:eastAsia="Times New Roman" w:cs="Times New Roman"/>
          <w:rtl/>
          <w:lang w:eastAsia="de-DE"/>
        </w:rPr>
        <w:t xml:space="preserve"> </w:t>
      </w:r>
      <w:r w:rsidRPr="00EF6A3E">
        <w:rPr>
          <w:rFonts w:eastAsia="Times New Roman" w:cs="Times New Roman"/>
          <w:lang w:eastAsia="de-DE"/>
        </w:rPr>
        <w:t>folgt dem Muster der gemischten Suffixverwendung.</w:t>
      </w:r>
    </w:p>
    <w:p w14:paraId="4D934BC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שְׁנַיִם וּשְׁלֹשִׁים אֶלֶף וּמָאתָיִם</w:t>
      </w:r>
      <w:r w:rsidRPr="00EF6A3E">
        <w:rPr>
          <w:rFonts w:eastAsia="Times New Roman" w:cs="Times New Roman"/>
          <w:rtl/>
          <w:lang w:eastAsia="de-DE"/>
        </w:rPr>
        <w:t xml:space="preserve"> </w:t>
      </w:r>
      <w:r w:rsidRPr="00EF6A3E">
        <w:rPr>
          <w:rFonts w:eastAsia="Times New Roman" w:cs="Times New Roman"/>
          <w:lang w:eastAsia="de-DE"/>
        </w:rPr>
        <w:t>entspricht der in 1,35 für Manasse genannten kleinsten Stammeszahl und zeigt das paradoxe Verhältnis zwischen dem älteren Sohn (Manasse) und dem jüngeren (Ephraim) in der Größe ihrer Nachkommenschaft.</w:t>
      </w:r>
    </w:p>
    <w:p w14:paraId="26CF3EF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 Zahlen reflektieren Jakobs Segen über die Joseph-Söhne, in dem er Ephraim vor Manasse stellte (Gen 48,19).</w:t>
      </w:r>
    </w:p>
    <w:p w14:paraId="77AFD84E"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2,22</w:t>
      </w:r>
    </w:p>
    <w:p w14:paraId="300A203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וּמַטֵּ֖ה בִּנְיָמִ֑ן וְנָשִׂיא֙ לִבְנֵ֣י בִנְיָמִ֔ן אֲבִידָ֖ן בֶּן־גִּדְעֹנִֽי׃</w:t>
      </w:r>
    </w:p>
    <w:p w14:paraId="0F82F62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der Stamm Binjamin; und der Fürst der Söhne Binjamins: Avidan, Sohn des Gid'oni.</w:t>
      </w:r>
    </w:p>
    <w:p w14:paraId="2E2A595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FCEE80F">
          <v:rect id="_x0000_i1100" style="width:0;height:1.5pt" o:hralign="center" o:hrstd="t" o:hr="t" fillcolor="#a0a0a0" stroked="f"/>
        </w:pict>
      </w:r>
    </w:p>
    <w:p w14:paraId="29B30FCA" w14:textId="5F15D2F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verkürzte Einleitung </w:t>
      </w:r>
      <w:r w:rsidRPr="00EF6A3E">
        <w:rPr>
          <w:rFonts w:eastAsia="Times New Roman" w:cs="Times New Roman"/>
          <w:b/>
          <w:bCs/>
          <w:rtl/>
          <w:lang w:eastAsia="de-DE"/>
        </w:rPr>
        <w:t>וּמַטֵּה בִּנְיָמִן</w:t>
      </w:r>
      <w:r w:rsidRPr="00EF6A3E">
        <w:rPr>
          <w:rFonts w:eastAsia="Times New Roman" w:cs="Times New Roman"/>
          <w:rtl/>
          <w:lang w:eastAsia="de-DE"/>
        </w:rPr>
        <w:t xml:space="preserve"> </w:t>
      </w:r>
      <w:r w:rsidRPr="00EF6A3E">
        <w:rPr>
          <w:rFonts w:eastAsia="Times New Roman" w:cs="Times New Roman"/>
          <w:lang w:eastAsia="de-DE"/>
        </w:rPr>
        <w:t xml:space="preserve">(und der Stamm Benjamin) ohne partizipiale </w:t>
      </w:r>
      <w:r w:rsidR="00F133EC">
        <w:rPr>
          <w:rFonts w:eastAsia="Times New Roman" w:cs="Times New Roman"/>
          <w:lang w:eastAsia="de-DE"/>
        </w:rPr>
        <w:t>Construct</w:t>
      </w:r>
      <w:r w:rsidRPr="00EF6A3E">
        <w:rPr>
          <w:rFonts w:eastAsia="Times New Roman" w:cs="Times New Roman"/>
          <w:lang w:eastAsia="de-DE"/>
        </w:rPr>
        <w:t>ion entspricht dem Muster des dritten Stammes einer Lagergruppe.</w:t>
      </w:r>
    </w:p>
    <w:p w14:paraId="55718B6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Zuordnung Benjamins zur Westgruppe unter Ephraims Führung ist bemerkenswert, da Benjamin als Rachels zweiter Sohn eine natürliche Verbindung zu den Joseph-Stämmen hat.</w:t>
      </w:r>
    </w:p>
    <w:p w14:paraId="7FFDD22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koordinierte Nominalsatz </w:t>
      </w:r>
      <w:r w:rsidRPr="00EF6A3E">
        <w:rPr>
          <w:rFonts w:eastAsia="Times New Roman" w:cs="Times New Roman"/>
          <w:b/>
          <w:bCs/>
          <w:rtl/>
          <w:lang w:eastAsia="de-DE"/>
        </w:rPr>
        <w:t>וְנָשִׂיא לִבְנֵי בִנְיָמִן אֲבִידָן בֶּן־גִּדְעֹנִי</w:t>
      </w:r>
      <w:r w:rsidRPr="00EF6A3E">
        <w:rPr>
          <w:rFonts w:eastAsia="Times New Roman" w:cs="Times New Roman"/>
          <w:rtl/>
          <w:lang w:eastAsia="de-DE"/>
        </w:rPr>
        <w:t xml:space="preserve"> </w:t>
      </w:r>
      <w:r w:rsidRPr="00EF6A3E">
        <w:rPr>
          <w:rFonts w:eastAsia="Times New Roman" w:cs="Times New Roman"/>
          <w:lang w:eastAsia="de-DE"/>
        </w:rPr>
        <w:t>entspricht der in 1,11 genannten Führungsstruktur.</w:t>
      </w:r>
    </w:p>
    <w:p w14:paraId="4773CC9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φυλῆς Βενιαμιν und behält die elliptische Struktur bei.</w:t>
      </w:r>
    </w:p>
    <w:p w14:paraId="407C1C6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genealogische Kohärenz der Westgruppe (zwei Joseph-Stämme plus Benjamin als Rachels Sohn) zeigt die Berücksichtigung verwandtschaftlicher Beziehungen in der Lagerordnung.</w:t>
      </w:r>
    </w:p>
    <w:p w14:paraId="745ACF65"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2,23</w:t>
      </w:r>
    </w:p>
    <w:p w14:paraId="5AD33B1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וּפְקֻדֵיהֶ֑ם חֲמִשָּׁ֧ה וּשְׁלֹשִׁ֛ים אֶ֖לֶף וְאַרְבַּ֥ע מֵאֽוֹת׃</w:t>
      </w:r>
    </w:p>
    <w:p w14:paraId="748DF23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ihre Gemusterten: 35.400.</w:t>
      </w:r>
    </w:p>
    <w:p w14:paraId="0492D9B1"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FA944D1">
          <v:rect id="_x0000_i1101" style="width:0;height:1.5pt" o:hralign="center" o:hrstd="t" o:hr="t" fillcolor="#a0a0a0" stroked="f"/>
        </w:pict>
      </w:r>
    </w:p>
    <w:p w14:paraId="10B61260" w14:textId="58F152E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וּפְקֻדֵיהֶם</w:t>
      </w:r>
      <w:r w:rsidRPr="00EF6A3E">
        <w:rPr>
          <w:rFonts w:eastAsia="Times New Roman" w:cs="Times New Roman"/>
          <w:rtl/>
          <w:lang w:eastAsia="de-DE"/>
        </w:rPr>
        <w:t xml:space="preserve"> </w:t>
      </w:r>
      <w:r w:rsidRPr="00EF6A3E">
        <w:rPr>
          <w:rFonts w:eastAsia="Times New Roman" w:cs="Times New Roman"/>
          <w:lang w:eastAsia="de-DE"/>
        </w:rPr>
        <w:t>zeigt erneut die gemischte Suffixverwendung.</w:t>
      </w:r>
    </w:p>
    <w:p w14:paraId="33EBB3C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Die Zahlenangabe </w:t>
      </w:r>
      <w:r w:rsidRPr="00EF6A3E">
        <w:rPr>
          <w:rFonts w:eastAsia="Times New Roman" w:cs="Times New Roman"/>
          <w:b/>
          <w:bCs/>
          <w:rtl/>
          <w:lang w:eastAsia="de-DE"/>
        </w:rPr>
        <w:t>חֲמִשָּׁה וּשְׁלֹשִׁים אֶלֶף וְאַרְבַּע מֵאוֹת</w:t>
      </w:r>
      <w:r w:rsidRPr="00EF6A3E">
        <w:rPr>
          <w:rFonts w:eastAsia="Times New Roman" w:cs="Times New Roman"/>
          <w:rtl/>
          <w:lang w:eastAsia="de-DE"/>
        </w:rPr>
        <w:t xml:space="preserve"> </w:t>
      </w:r>
      <w:r w:rsidRPr="00EF6A3E">
        <w:rPr>
          <w:rFonts w:eastAsia="Times New Roman" w:cs="Times New Roman"/>
          <w:lang w:eastAsia="de-DE"/>
        </w:rPr>
        <w:t>entspricht der in 1,37 für Benjamin genannten Zahl.</w:t>
      </w:r>
    </w:p>
    <w:p w14:paraId="745BECD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Benjamin zeigt eine mittelgroße Population zwischen den beiden Joseph-Stämmen.</w:t>
      </w:r>
    </w:p>
    <w:p w14:paraId="059B0739"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2,24</w:t>
      </w:r>
    </w:p>
    <w:p w14:paraId="2770D1E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כָּֽל־הַפְּקֻדִ֞ים לְמַחֲנֵ֣ה אֶפְרַ֗יִם מְאַ֥ת אֶ֛לֶף וּשְׁמֹֽנַת־אֲלָפִ֥ים וּמֵאָ֖ה לְצִבְאֹתָ֑ם וּשְׁלִשִׁ֖ים יִסָּֽעוּ׃</w:t>
      </w:r>
    </w:p>
    <w:p w14:paraId="2E3052B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Alle Gemusterten vom Lager Ephrajims: 108.100, nach ihren Heerscharen; und als Dritte sollen sie aufbrechen.</w:t>
      </w:r>
    </w:p>
    <w:p w14:paraId="0EE33119"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7BC1EDB3">
          <v:rect id="_x0000_i1102" style="width:0;height:1.5pt" o:hralign="center" o:hrstd="t" o:hr="t" fillcolor="#a0a0a0" stroked="f"/>
        </w:pict>
      </w:r>
    </w:p>
    <w:p w14:paraId="3CDF390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zusammenfassende </w:t>
      </w:r>
      <w:r w:rsidRPr="00EF6A3E">
        <w:rPr>
          <w:rFonts w:eastAsia="Times New Roman" w:cs="Times New Roman"/>
          <w:b/>
          <w:bCs/>
          <w:rtl/>
          <w:lang w:eastAsia="de-DE"/>
        </w:rPr>
        <w:t>כָּל־הַפְּקֻדִים לְמַחֲנֵה אֶפְרַיִם</w:t>
      </w:r>
      <w:r w:rsidRPr="00EF6A3E">
        <w:rPr>
          <w:rFonts w:eastAsia="Times New Roman" w:cs="Times New Roman"/>
          <w:rtl/>
          <w:lang w:eastAsia="de-DE"/>
        </w:rPr>
        <w:t xml:space="preserve"> </w:t>
      </w:r>
      <w:r w:rsidRPr="00EF6A3E">
        <w:rPr>
          <w:rFonts w:eastAsia="Times New Roman" w:cs="Times New Roman"/>
          <w:lang w:eastAsia="de-DE"/>
        </w:rPr>
        <w:t>folgt dem etablierten Muster der Gruppenzusammenfassungen.</w:t>
      </w:r>
    </w:p>
    <w:p w14:paraId="5A9C0DD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komplexe Zahlenangabe </w:t>
      </w:r>
      <w:r w:rsidRPr="00EF6A3E">
        <w:rPr>
          <w:rFonts w:eastAsia="Times New Roman" w:cs="Times New Roman"/>
          <w:b/>
          <w:bCs/>
          <w:rtl/>
          <w:lang w:eastAsia="de-DE"/>
        </w:rPr>
        <w:t>מְאַת אֶלֶף וּשְׁמֹנַת־אֲלָפִים וּמֵאָה</w:t>
      </w:r>
      <w:r w:rsidRPr="00EF6A3E">
        <w:rPr>
          <w:rFonts w:eastAsia="Times New Roman" w:cs="Times New Roman"/>
          <w:rtl/>
          <w:lang w:eastAsia="de-DE"/>
        </w:rPr>
        <w:t xml:space="preserve"> </w:t>
      </w:r>
      <w:r w:rsidRPr="00EF6A3E">
        <w:rPr>
          <w:rFonts w:eastAsia="Times New Roman" w:cs="Times New Roman"/>
          <w:lang w:eastAsia="de-DE"/>
        </w:rPr>
        <w:t>zeigt: 100.000 + 8.000 + 100 = 108.100. Dies entspricht der Summe aus Ephraim (40.500) + Manasse (32.200) + Benjamin (35.400).</w:t>
      </w:r>
    </w:p>
    <w:p w14:paraId="2FCD0AA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Ordinale </w:t>
      </w:r>
      <w:r w:rsidRPr="00EF6A3E">
        <w:rPr>
          <w:rFonts w:eastAsia="Times New Roman" w:cs="Times New Roman"/>
          <w:b/>
          <w:bCs/>
          <w:rtl/>
          <w:lang w:eastAsia="de-DE"/>
        </w:rPr>
        <w:t>וּשְׁלִשִׁים</w:t>
      </w:r>
      <w:r w:rsidRPr="00EF6A3E">
        <w:rPr>
          <w:rFonts w:eastAsia="Times New Roman" w:cs="Times New Roman"/>
          <w:rtl/>
          <w:lang w:eastAsia="de-DE"/>
        </w:rPr>
        <w:t xml:space="preserve"> </w:t>
      </w:r>
      <w:r w:rsidRPr="00EF6A3E">
        <w:rPr>
          <w:rFonts w:eastAsia="Times New Roman" w:cs="Times New Roman"/>
          <w:lang w:eastAsia="de-DE"/>
        </w:rPr>
        <w:t xml:space="preserve">(und als dritte) mit </w:t>
      </w:r>
      <w:r w:rsidRPr="00EF6A3E">
        <w:rPr>
          <w:rFonts w:eastAsia="Times New Roman" w:cs="Times New Roman"/>
          <w:b/>
          <w:bCs/>
          <w:rtl/>
          <w:lang w:eastAsia="de-DE"/>
        </w:rPr>
        <w:t>יִסָּעוּ</w:t>
      </w:r>
      <w:r w:rsidRPr="00EF6A3E">
        <w:rPr>
          <w:rFonts w:eastAsia="Times New Roman" w:cs="Times New Roman"/>
          <w:rtl/>
          <w:lang w:eastAsia="de-DE"/>
        </w:rPr>
        <w:t xml:space="preserve"> </w:t>
      </w:r>
      <w:r w:rsidRPr="00EF6A3E">
        <w:rPr>
          <w:rFonts w:eastAsia="Times New Roman" w:cs="Times New Roman"/>
          <w:lang w:eastAsia="de-DE"/>
        </w:rPr>
        <w:t>(sie sollen aufbrechen) etabliert die dritte Position in der Marschordnung nach dem Durchzug des Heiligtums.</w:t>
      </w:r>
    </w:p>
    <w:p w14:paraId="681EEFC0" w14:textId="7574C966" w:rsidR="00EF6A3E" w:rsidRPr="00EF6A3E" w:rsidRDefault="002B581B" w:rsidP="00EF6A3E">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ושלישים יסעו</w:t>
      </w:r>
      <w:r>
        <w:t xml:space="preserve"> (ushelishim yissa'u - "und als dritte sollen sie aufbrechen") als τρίτοι ἐξαροῦσιν (als dritte werden sie ausziehen).</w:t>
      </w:r>
    </w:p>
    <w:p w14:paraId="05E08A5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entspricht dem Muster der Gruppenzusammenfassungen mit ordinaler Marschordnung.</w:t>
      </w:r>
    </w:p>
    <w:p w14:paraId="12281389"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2,25</w:t>
      </w:r>
    </w:p>
    <w:p w14:paraId="26821FC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דֶּ֣גֶל מַחֲנֵ֥ה דָ֛ן צָפֹ֖נָה לְצִבְאֹתָ֑ם וְנָשִׂיא֙ לִבְנֵ֣י דָ֔ן אֲחִיעֶ֖זֶר בֶּן־עַמִּֽישַׁדָּֽי׃</w:t>
      </w:r>
    </w:p>
    <w:p w14:paraId="6909C0D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Das Banner des Lagers Dans nördlich, nach ihren Heerscharen; und der Fürst der Söhne Dans: Achi'ezer, Sohn des Ammischaddai.</w:t>
      </w:r>
    </w:p>
    <w:p w14:paraId="36374CF3"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9C8DBD2">
          <v:rect id="_x0000_i1103" style="width:0;height:1.5pt" o:hralign="center" o:hrstd="t" o:hr="t" fillcolor="#a0a0a0" stroked="f"/>
        </w:pict>
      </w:r>
    </w:p>
    <w:p w14:paraId="028FC825" w14:textId="3690C491"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דֶּגֶל מַחֲנֵה דָן</w:t>
      </w:r>
      <w:r w:rsidRPr="00EF6A3E">
        <w:rPr>
          <w:rFonts w:eastAsia="Times New Roman" w:cs="Times New Roman"/>
          <w:rtl/>
          <w:lang w:eastAsia="de-DE"/>
        </w:rPr>
        <w:t xml:space="preserve"> </w:t>
      </w:r>
      <w:r w:rsidRPr="00EF6A3E">
        <w:rPr>
          <w:rFonts w:eastAsia="Times New Roman" w:cs="Times New Roman"/>
          <w:lang w:eastAsia="de-DE"/>
        </w:rPr>
        <w:t>(Banner des Lagers Dan) leitet die vierte und letzte Lagergruppe ein.</w:t>
      </w:r>
    </w:p>
    <w:p w14:paraId="60FDD9F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Richtungsangabe </w:t>
      </w:r>
      <w:r w:rsidRPr="00EF6A3E">
        <w:rPr>
          <w:rFonts w:eastAsia="Times New Roman" w:cs="Times New Roman"/>
          <w:b/>
          <w:bCs/>
          <w:rtl/>
          <w:lang w:eastAsia="de-DE"/>
        </w:rPr>
        <w:t>צָפֹנָה</w:t>
      </w:r>
      <w:r w:rsidRPr="00EF6A3E">
        <w:rPr>
          <w:rFonts w:eastAsia="Times New Roman" w:cs="Times New Roman"/>
          <w:rtl/>
          <w:lang w:eastAsia="de-DE"/>
        </w:rPr>
        <w:t xml:space="preserve"> </w:t>
      </w:r>
      <w:r w:rsidRPr="00EF6A3E">
        <w:rPr>
          <w:rFonts w:eastAsia="Times New Roman" w:cs="Times New Roman"/>
          <w:lang w:eastAsia="de-DE"/>
        </w:rPr>
        <w:t xml:space="preserve">(nördlich) von der Wurzel </w:t>
      </w:r>
      <w:r w:rsidRPr="00EF6A3E">
        <w:rPr>
          <w:rFonts w:eastAsia="Times New Roman" w:cs="Times New Roman"/>
          <w:b/>
          <w:bCs/>
          <w:rtl/>
          <w:lang w:eastAsia="de-DE"/>
        </w:rPr>
        <w:t>צפן</w:t>
      </w:r>
      <w:r w:rsidRPr="00EF6A3E">
        <w:rPr>
          <w:rFonts w:eastAsia="Times New Roman" w:cs="Times New Roman"/>
          <w:rtl/>
          <w:lang w:eastAsia="de-DE"/>
        </w:rPr>
        <w:t xml:space="preserve"> </w:t>
      </w:r>
      <w:r w:rsidRPr="00EF6A3E">
        <w:rPr>
          <w:rFonts w:eastAsia="Times New Roman" w:cs="Times New Roman"/>
          <w:lang w:eastAsia="de-DE"/>
        </w:rPr>
        <w:t>(verbergen/Norden) bezeichnet die vierte Himmelsrichtung und komplettiert die Viererordnung um das Heiligtum.</w:t>
      </w:r>
    </w:p>
    <w:p w14:paraId="059F4D6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לְצִבְאֹתָם</w:t>
      </w:r>
      <w:r w:rsidRPr="00EF6A3E">
        <w:rPr>
          <w:rFonts w:eastAsia="Times New Roman" w:cs="Times New Roman"/>
          <w:rtl/>
          <w:lang w:eastAsia="de-DE"/>
        </w:rPr>
        <w:t xml:space="preserve"> </w:t>
      </w:r>
      <w:r w:rsidRPr="00EF6A3E">
        <w:rPr>
          <w:rFonts w:eastAsia="Times New Roman" w:cs="Times New Roman"/>
          <w:lang w:eastAsia="de-DE"/>
        </w:rPr>
        <w:t xml:space="preserve">(nach ihren Heerscharen) entspricht dem etablierten Muster. Der koordinierte Nominalsatz </w:t>
      </w:r>
      <w:r w:rsidRPr="00EF6A3E">
        <w:rPr>
          <w:rFonts w:eastAsia="Times New Roman" w:cs="Times New Roman"/>
          <w:b/>
          <w:bCs/>
          <w:rtl/>
          <w:lang w:eastAsia="de-DE"/>
        </w:rPr>
        <w:t>וְנָשִׂיא לִבְנֵי דָן אֲחִיעֶזֶר בֶּן־עַמִּישַׁדָּי</w:t>
      </w:r>
      <w:r w:rsidRPr="00EF6A3E">
        <w:rPr>
          <w:rFonts w:eastAsia="Times New Roman" w:cs="Times New Roman"/>
          <w:rtl/>
          <w:lang w:eastAsia="de-DE"/>
        </w:rPr>
        <w:t xml:space="preserve"> </w:t>
      </w:r>
      <w:r w:rsidRPr="00EF6A3E">
        <w:rPr>
          <w:rFonts w:eastAsia="Times New Roman" w:cs="Times New Roman"/>
          <w:lang w:eastAsia="de-DE"/>
        </w:rPr>
        <w:t>entspricht der in 1,12 genannten Führungsstruktur.</w:t>
      </w:r>
    </w:p>
    <w:p w14:paraId="7480C725" w14:textId="77777777" w:rsidR="002B581B" w:rsidRDefault="002B581B" w:rsidP="00EF6A3E">
      <w:pPr>
        <w:spacing w:before="100" w:beforeAutospacing="1" w:after="100" w:afterAutospacing="1" w:line="240" w:lineRule="auto"/>
      </w:pPr>
      <w:r>
        <w:rPr>
          <w:rStyle w:val="Fett"/>
        </w:rPr>
        <w:lastRenderedPageBreak/>
        <w:t>Die LXX</w:t>
      </w:r>
      <w:r>
        <w:t xml:space="preserve"> übersetzt </w:t>
      </w:r>
      <w:r>
        <w:rPr>
          <w:rtl/>
        </w:rPr>
        <w:t>צפנה</w:t>
      </w:r>
      <w:r>
        <w:t xml:space="preserve"> (tzafonah - "nordwärts") als πρὸς βορρᾶν (nach Norden/Nordwind), wiederum mit meteorologischer Terminologie.</w:t>
      </w:r>
    </w:p>
    <w:p w14:paraId="381B9B69" w14:textId="55929C3E"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entspricht dem Muster der Lagergruppeneinleitungen mit Richtungsbestimmung und Führungsangabe.</w:t>
      </w:r>
    </w:p>
    <w:p w14:paraId="1625D32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etabliert Dan als Führungsstamm der Nordgruppe und als Nachhut des israelitischen Marsches.</w:t>
      </w:r>
    </w:p>
    <w:p w14:paraId="4422480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2,26</w:t>
      </w:r>
    </w:p>
    <w:p w14:paraId="7230F0C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וּפְקֻדֵיהֶ֑ם שְׁנַ֧יִם וְשִׁשִּׁ֛ים אֶ֖לֶף וּשְׁבַ֥ע מֵאֽוֹת׃</w:t>
      </w:r>
    </w:p>
    <w:p w14:paraId="5A91044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ihre Gemusterten: 62.700.</w:t>
      </w:r>
    </w:p>
    <w:p w14:paraId="085D6AC4"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09A5E16E">
          <v:rect id="_x0000_i1104" style="width:0;height:1.5pt" o:hralign="center" o:hrstd="t" o:hr="t" fillcolor="#a0a0a0" stroked="f"/>
        </w:pict>
      </w:r>
    </w:p>
    <w:p w14:paraId="02D58E50" w14:textId="0E735134"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וּפְקֻדֵיהֶם</w:t>
      </w:r>
      <w:r w:rsidRPr="00EF6A3E">
        <w:rPr>
          <w:rFonts w:eastAsia="Times New Roman" w:cs="Times New Roman"/>
          <w:rtl/>
          <w:lang w:eastAsia="de-DE"/>
        </w:rPr>
        <w:t xml:space="preserve"> </w:t>
      </w:r>
      <w:r w:rsidRPr="00EF6A3E">
        <w:rPr>
          <w:rFonts w:eastAsia="Times New Roman" w:cs="Times New Roman"/>
          <w:lang w:eastAsia="de-DE"/>
        </w:rPr>
        <w:t>zeigt die charakteristische gemischte Suffixverwendung.</w:t>
      </w:r>
    </w:p>
    <w:p w14:paraId="55C153E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שְׁנַיִם וְשִׁשִּׁים אֶלֶף וּשְׁבַע מֵאוֹת</w:t>
      </w:r>
      <w:r w:rsidRPr="00EF6A3E">
        <w:rPr>
          <w:rFonts w:eastAsia="Times New Roman" w:cs="Times New Roman"/>
          <w:rtl/>
          <w:lang w:eastAsia="de-DE"/>
        </w:rPr>
        <w:t xml:space="preserve"> </w:t>
      </w:r>
      <w:r w:rsidRPr="00EF6A3E">
        <w:rPr>
          <w:rFonts w:eastAsia="Times New Roman" w:cs="Times New Roman"/>
          <w:lang w:eastAsia="de-DE"/>
        </w:rPr>
        <w:t>entspricht der in 1,39 für Dan genannten zweithöchsten Einzelstammzahl und zeigt Dans bemerkenswerte Größe trotz seiner Herkunft von einer Nebenfrau.</w:t>
      </w:r>
    </w:p>
    <w:p w14:paraId="74BB96C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Dans hohe Bevölkerungszahl unterstreicht seine Bedeutung als Führungsstamm der Nordgruppe.</w:t>
      </w:r>
    </w:p>
    <w:p w14:paraId="5B9488C4"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2,27</w:t>
      </w:r>
    </w:p>
    <w:p w14:paraId="6C4FA8D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וְהַחֹנִ֥ים עָלָ֖יו מַטֵּ֣ה אָשֵׁ֑ר וְנָשִׂיא֙ לִבְנֵ֣י אָשֵׁ֔ר פַּגְעִיאֵ֖ל בֶּן־עָכְרָֽן׃</w:t>
      </w:r>
    </w:p>
    <w:p w14:paraId="470CE73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die neben ihm Lagernden: der Stamm Ascher; und der Fürst der Söhne Aschers: Pag'i'el, Sohn des Ochran.</w:t>
      </w:r>
    </w:p>
    <w:p w14:paraId="550F224A"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BC60025">
          <v:rect id="_x0000_i1105" style="width:0;height:1.5pt" o:hralign="center" o:hrstd="t" o:hr="t" fillcolor="#a0a0a0" stroked="f"/>
        </w:pict>
      </w:r>
    </w:p>
    <w:p w14:paraId="40A34DA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Partizip </w:t>
      </w:r>
      <w:r w:rsidRPr="00EF6A3E">
        <w:rPr>
          <w:rFonts w:eastAsia="Times New Roman" w:cs="Times New Roman"/>
          <w:b/>
          <w:bCs/>
          <w:rtl/>
          <w:lang w:eastAsia="de-DE"/>
        </w:rPr>
        <w:t>וְהַחֹנִים</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 xml:space="preserve">(lagern) im Qal-Partizip maskulin Plural mit der präpositionalen Phrase </w:t>
      </w:r>
      <w:r w:rsidRPr="00EF6A3E">
        <w:rPr>
          <w:rFonts w:eastAsia="Times New Roman" w:cs="Times New Roman"/>
          <w:b/>
          <w:bCs/>
          <w:rtl/>
          <w:lang w:eastAsia="de-DE"/>
        </w:rPr>
        <w:t>עָלָיו</w:t>
      </w:r>
      <w:r w:rsidRPr="00EF6A3E">
        <w:rPr>
          <w:rFonts w:eastAsia="Times New Roman" w:cs="Times New Roman"/>
          <w:rtl/>
          <w:lang w:eastAsia="de-DE"/>
        </w:rPr>
        <w:t xml:space="preserve"> </w:t>
      </w:r>
      <w:r w:rsidRPr="00EF6A3E">
        <w:rPr>
          <w:rFonts w:eastAsia="Times New Roman" w:cs="Times New Roman"/>
          <w:lang w:eastAsia="de-DE"/>
        </w:rPr>
        <w:t>(neben ihm) zeigt die Angliederung Aschers an Dan innerhalb der Nordgruppe.</w:t>
      </w:r>
    </w:p>
    <w:p w14:paraId="53E687D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Apposition </w:t>
      </w:r>
      <w:r w:rsidRPr="00EF6A3E">
        <w:rPr>
          <w:rFonts w:eastAsia="Times New Roman" w:cs="Times New Roman"/>
          <w:b/>
          <w:bCs/>
          <w:rtl/>
          <w:lang w:eastAsia="de-DE"/>
        </w:rPr>
        <w:t>מַטֵּה אָשֵׁר</w:t>
      </w:r>
      <w:r w:rsidRPr="00EF6A3E">
        <w:rPr>
          <w:rFonts w:eastAsia="Times New Roman" w:cs="Times New Roman"/>
          <w:rtl/>
          <w:lang w:eastAsia="de-DE"/>
        </w:rPr>
        <w:t xml:space="preserve"> </w:t>
      </w:r>
      <w:r w:rsidRPr="00EF6A3E">
        <w:rPr>
          <w:rFonts w:eastAsia="Times New Roman" w:cs="Times New Roman"/>
          <w:lang w:eastAsia="de-DE"/>
        </w:rPr>
        <w:t xml:space="preserve">(Stamm Ascher) und der koordinierte Nominalsatz </w:t>
      </w:r>
      <w:r w:rsidRPr="00EF6A3E">
        <w:rPr>
          <w:rFonts w:eastAsia="Times New Roman" w:cs="Times New Roman"/>
          <w:b/>
          <w:bCs/>
          <w:rtl/>
          <w:lang w:eastAsia="de-DE"/>
        </w:rPr>
        <w:t>וְנָשִׂיא לִבְנֵי אָשֵׁר פַּגְעִיאֵל בֶּן־עָכְרָן</w:t>
      </w:r>
      <w:r w:rsidRPr="00EF6A3E">
        <w:rPr>
          <w:rFonts w:eastAsia="Times New Roman" w:cs="Times New Roman"/>
          <w:rtl/>
          <w:lang w:eastAsia="de-DE"/>
        </w:rPr>
        <w:t xml:space="preserve"> </w:t>
      </w:r>
      <w:r w:rsidRPr="00EF6A3E">
        <w:rPr>
          <w:rFonts w:eastAsia="Times New Roman" w:cs="Times New Roman"/>
          <w:lang w:eastAsia="de-DE"/>
        </w:rPr>
        <w:t>entsprechen der in 1,13 genannten Führungsstruktur.</w:t>
      </w:r>
    </w:p>
    <w:p w14:paraId="4DF5EED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οἱ παρεμβάλλοντες ἐχόμενοι αὐτοῦ φυλῆς Ασηρ und behält die räumliche Zuordnung bei.</w:t>
      </w:r>
    </w:p>
    <w:p w14:paraId="6ED9711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Nordgruppe vereint Dan (Bilha-Sohn) mit Ascher (Silpa-Sohn), zeigt also eine Verbindung der Nebenfrauen-Stämme.</w:t>
      </w:r>
    </w:p>
    <w:p w14:paraId="26D58E20"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lastRenderedPageBreak/>
        <w:t>Numeri 2,28</w:t>
      </w:r>
    </w:p>
    <w:p w14:paraId="69BA2FC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וּפְקֻדֵיהֶ֑ם אֶחָ֧ד וְאַרְבָּעִ֛ים אֶ֖לֶף וַחֲמֵ֥שׁ מֵאֽוֹת׃</w:t>
      </w:r>
    </w:p>
    <w:p w14:paraId="26C7AA1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ihre Gemusterten: 41.500.</w:t>
      </w:r>
    </w:p>
    <w:p w14:paraId="54D4915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36005459">
          <v:rect id="_x0000_i1106" style="width:0;height:1.5pt" o:hralign="center" o:hrstd="t" o:hr="t" fillcolor="#a0a0a0" stroked="f"/>
        </w:pict>
      </w:r>
    </w:p>
    <w:p w14:paraId="79D97D4A" w14:textId="6897EFCC"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וּפְקֻדֵיהֶם</w:t>
      </w:r>
      <w:r w:rsidRPr="00EF6A3E">
        <w:rPr>
          <w:rFonts w:eastAsia="Times New Roman" w:cs="Times New Roman"/>
          <w:rtl/>
          <w:lang w:eastAsia="de-DE"/>
        </w:rPr>
        <w:t xml:space="preserve"> </w:t>
      </w:r>
      <w:r w:rsidRPr="00EF6A3E">
        <w:rPr>
          <w:rFonts w:eastAsia="Times New Roman" w:cs="Times New Roman"/>
          <w:lang w:eastAsia="de-DE"/>
        </w:rPr>
        <w:t>folgt dem etablierten Muster mit gemischten Suffixen.</w:t>
      </w:r>
    </w:p>
    <w:p w14:paraId="27A87E4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אֶחָד וְאַרְבָּעִים אֶלֶף וַחֲמֵשׁ מֵאוֹת</w:t>
      </w:r>
      <w:r w:rsidRPr="00EF6A3E">
        <w:rPr>
          <w:rFonts w:eastAsia="Times New Roman" w:cs="Times New Roman"/>
          <w:rtl/>
          <w:lang w:eastAsia="de-DE"/>
        </w:rPr>
        <w:t xml:space="preserve"> </w:t>
      </w:r>
      <w:r w:rsidRPr="00EF6A3E">
        <w:rPr>
          <w:rFonts w:eastAsia="Times New Roman" w:cs="Times New Roman"/>
          <w:lang w:eastAsia="de-DE"/>
        </w:rPr>
        <w:t>entspricht der in 1,41 für Ascher genannten Zahl.</w:t>
      </w:r>
    </w:p>
    <w:p w14:paraId="0601A0D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Ascher zeigt eine mittelgroße Population innerhalb der Nordgruppe.</w:t>
      </w:r>
    </w:p>
    <w:p w14:paraId="07844EA5"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2,29</w:t>
      </w:r>
    </w:p>
    <w:p w14:paraId="79C9D10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וּמַטֵּ֖ה נַפְתָּלִ֑י וְנָשִׂיא֙ לִבְנֵ֣י נַפְתָּלִ֔י אֲחִירַ֖ע בֶּן־עֵינָֽן׃</w:t>
      </w:r>
    </w:p>
    <w:p w14:paraId="4E65DA0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der Stamm Naphthali; und der Fürst der Söhne Naphthalis: Achira, Sohn des Enan.</w:t>
      </w:r>
    </w:p>
    <w:p w14:paraId="346942F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45B0AA0E">
          <v:rect id="_x0000_i1107" style="width:0;height:1.5pt" o:hralign="center" o:hrstd="t" o:hr="t" fillcolor="#a0a0a0" stroked="f"/>
        </w:pict>
      </w:r>
    </w:p>
    <w:p w14:paraId="453BA99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Die verkürzte Einleitung </w:t>
      </w:r>
      <w:r w:rsidRPr="00EF6A3E">
        <w:rPr>
          <w:rFonts w:eastAsia="Times New Roman" w:cs="Times New Roman"/>
          <w:b/>
          <w:bCs/>
          <w:rtl/>
          <w:lang w:eastAsia="de-DE"/>
        </w:rPr>
        <w:t>וּמַטֵּה נַפְתָּלִי</w:t>
      </w:r>
      <w:r w:rsidRPr="00EF6A3E">
        <w:rPr>
          <w:rFonts w:eastAsia="Times New Roman" w:cs="Times New Roman"/>
          <w:rtl/>
          <w:lang w:eastAsia="de-DE"/>
        </w:rPr>
        <w:t xml:space="preserve"> </w:t>
      </w:r>
      <w:r w:rsidRPr="00EF6A3E">
        <w:rPr>
          <w:rFonts w:eastAsia="Times New Roman" w:cs="Times New Roman"/>
          <w:lang w:eastAsia="de-DE"/>
        </w:rPr>
        <w:t>(und der Stamm Naphthali) entspricht dem Muster des dritten Stammes einer Lagergruppe.</w:t>
      </w:r>
    </w:p>
    <w:p w14:paraId="1CE6033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Zuordnung Naphthalis zur Nordgruppe unter Dans Führung ist genealogisch kohärent, da beide Stämme von Bilha stammen.</w:t>
      </w:r>
    </w:p>
    <w:p w14:paraId="3F16040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koordinierte Nominalsatz </w:t>
      </w:r>
      <w:r w:rsidRPr="00EF6A3E">
        <w:rPr>
          <w:rFonts w:eastAsia="Times New Roman" w:cs="Times New Roman"/>
          <w:b/>
          <w:bCs/>
          <w:rtl/>
          <w:lang w:eastAsia="de-DE"/>
        </w:rPr>
        <w:t>וְנָשִׂיא לִבְנֵי נַפְתָּלִי אֲחִירַע בֶּן־עֵינָן</w:t>
      </w:r>
      <w:r w:rsidRPr="00EF6A3E">
        <w:rPr>
          <w:rFonts w:eastAsia="Times New Roman" w:cs="Times New Roman"/>
          <w:rtl/>
          <w:lang w:eastAsia="de-DE"/>
        </w:rPr>
        <w:t xml:space="preserve"> </w:t>
      </w:r>
      <w:r w:rsidRPr="00EF6A3E">
        <w:rPr>
          <w:rFonts w:eastAsia="Times New Roman" w:cs="Times New Roman"/>
          <w:lang w:eastAsia="de-DE"/>
        </w:rPr>
        <w:t>entspricht der in 1,15 genannten Führungsstruktur.</w:t>
      </w:r>
    </w:p>
    <w:p w14:paraId="4AA5A9C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καὶ φυλῆς Νεφθαλι und behält die elliptische Struktur bei.</w:t>
      </w:r>
    </w:p>
    <w:p w14:paraId="50702A30"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Nordgruppe zeigt eine Mischung aus Bilha-Stämmen (Dan, Naphthali) und einem Silpa-Stamm (Ascher).</w:t>
      </w:r>
    </w:p>
    <w:p w14:paraId="7A0F51EB"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2,30</w:t>
      </w:r>
    </w:p>
    <w:p w14:paraId="38C6A67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וּצְבָאֹ֖ו וּפְקֻדֵיהֶ֑ם שְׁלֹשָׁ֧ה וַחֲמִשִּׁ֛ים אֶ֖לֶף וְאַרְבַּ֥ע מֵאֽוֹת׃</w:t>
      </w:r>
    </w:p>
    <w:p w14:paraId="37EC49D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sein Heer und ihre Gemusterten: 53.400.</w:t>
      </w:r>
    </w:p>
    <w:p w14:paraId="7ED9A28E"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2578BF1E">
          <v:rect id="_x0000_i1108" style="width:0;height:1.5pt" o:hralign="center" o:hrstd="t" o:hr="t" fillcolor="#a0a0a0" stroked="f"/>
        </w:pict>
      </w:r>
    </w:p>
    <w:p w14:paraId="7E3E1F89" w14:textId="0C930888"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Kommentar:</w:t>
      </w:r>
      <w:r w:rsidRPr="00EF6A3E">
        <w:rPr>
          <w:rFonts w:eastAsia="Times New Roman" w:cs="Times New Roman"/>
          <w:lang w:eastAsia="de-DE"/>
        </w:rPr>
        <w:t xml:space="preserve"> Die koordinierte </w:t>
      </w:r>
      <w:r w:rsidR="00F133EC">
        <w:rPr>
          <w:rFonts w:eastAsia="Times New Roman" w:cs="Times New Roman"/>
          <w:lang w:eastAsia="de-DE"/>
        </w:rPr>
        <w:t>Construct</w:t>
      </w:r>
      <w:r w:rsidRPr="00EF6A3E">
        <w:rPr>
          <w:rFonts w:eastAsia="Times New Roman" w:cs="Times New Roman"/>
          <w:lang w:eastAsia="de-DE"/>
        </w:rPr>
        <w:t xml:space="preserve">ion </w:t>
      </w:r>
      <w:r w:rsidRPr="00EF6A3E">
        <w:rPr>
          <w:rFonts w:eastAsia="Times New Roman" w:cs="Times New Roman"/>
          <w:b/>
          <w:bCs/>
          <w:rtl/>
          <w:lang w:eastAsia="de-DE"/>
        </w:rPr>
        <w:t>וּצְבָאֹו וּפְקֻדֵיהֶם</w:t>
      </w:r>
      <w:r w:rsidRPr="00EF6A3E">
        <w:rPr>
          <w:rFonts w:eastAsia="Times New Roman" w:cs="Times New Roman"/>
          <w:rtl/>
          <w:lang w:eastAsia="de-DE"/>
        </w:rPr>
        <w:t xml:space="preserve"> </w:t>
      </w:r>
      <w:r w:rsidRPr="00EF6A3E">
        <w:rPr>
          <w:rFonts w:eastAsia="Times New Roman" w:cs="Times New Roman"/>
          <w:lang w:eastAsia="de-DE"/>
        </w:rPr>
        <w:t>zeigt die charakteristische gemischte Suffixverwendung.</w:t>
      </w:r>
    </w:p>
    <w:p w14:paraId="304CD80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Zahlenangabe </w:t>
      </w:r>
      <w:r w:rsidRPr="00EF6A3E">
        <w:rPr>
          <w:rFonts w:eastAsia="Times New Roman" w:cs="Times New Roman"/>
          <w:b/>
          <w:bCs/>
          <w:rtl/>
          <w:lang w:eastAsia="de-DE"/>
        </w:rPr>
        <w:t>שְׁלֹשָׁה וַחֲמִשִּׁים אֶלֶף וְאַרְבַּע מֵאוֹת</w:t>
      </w:r>
      <w:r w:rsidRPr="00EF6A3E">
        <w:rPr>
          <w:rFonts w:eastAsia="Times New Roman" w:cs="Times New Roman"/>
          <w:rtl/>
          <w:lang w:eastAsia="de-DE"/>
        </w:rPr>
        <w:t xml:space="preserve"> </w:t>
      </w:r>
      <w:r w:rsidRPr="00EF6A3E">
        <w:rPr>
          <w:rFonts w:eastAsia="Times New Roman" w:cs="Times New Roman"/>
          <w:lang w:eastAsia="de-DE"/>
        </w:rPr>
        <w:t>entspricht der in 1,43 für Naphthali genannten Zahl.</w:t>
      </w:r>
    </w:p>
    <w:p w14:paraId="0F07ADB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Naphthali zeigt eine mittelgroße bis größere Population und komplettiert die Nordgruppe.</w:t>
      </w:r>
    </w:p>
    <w:p w14:paraId="349F983A"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2,31</w:t>
      </w:r>
    </w:p>
    <w:p w14:paraId="699FA7A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כָּל־הַפְּקֻדִים֙ לְמַ֣חֲנֵה דָ֔ן מְאַ֣ת אֶ֗לֶף וְשִׁבְעָ֧ה וַחֲמִשִּׁ֛ים אֶ֖לֶף וְשֵׁ֣שׁ מֵא֑וֹת לָאַחֲרֹנָ֥ה יִסְע֖וּ לְדִגְלֵיהֶֽם׃</w:t>
      </w:r>
    </w:p>
    <w:p w14:paraId="2CEEE56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Alle Gemusterten vom Lager Dans: 157.600; zuletzt sollen sie nach ihren Bannern aufbrechen.</w:t>
      </w:r>
    </w:p>
    <w:p w14:paraId="63E30A9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2448A82F">
          <v:rect id="_x0000_i1109" style="width:0;height:1.5pt" o:hralign="center" o:hrstd="t" o:hr="t" fillcolor="#a0a0a0" stroked="f"/>
        </w:pict>
      </w:r>
    </w:p>
    <w:p w14:paraId="181B0859"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zusammenfassende </w:t>
      </w:r>
      <w:r w:rsidRPr="00EF6A3E">
        <w:rPr>
          <w:rFonts w:eastAsia="Times New Roman" w:cs="Times New Roman"/>
          <w:b/>
          <w:bCs/>
          <w:rtl/>
          <w:lang w:eastAsia="de-DE"/>
        </w:rPr>
        <w:t>כָּל־הַפְּקֻדִים לְמַחֲנֵה דָן</w:t>
      </w:r>
      <w:r w:rsidRPr="00EF6A3E">
        <w:rPr>
          <w:rFonts w:eastAsia="Times New Roman" w:cs="Times New Roman"/>
          <w:rtl/>
          <w:lang w:eastAsia="de-DE"/>
        </w:rPr>
        <w:t xml:space="preserve"> </w:t>
      </w:r>
      <w:r w:rsidRPr="00EF6A3E">
        <w:rPr>
          <w:rFonts w:eastAsia="Times New Roman" w:cs="Times New Roman"/>
          <w:lang w:eastAsia="de-DE"/>
        </w:rPr>
        <w:t>folgt dem etablierten Muster der Gruppenzusammenfassungen.</w:t>
      </w:r>
    </w:p>
    <w:p w14:paraId="601BF39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komplexe Zahlenangabe </w:t>
      </w:r>
      <w:r w:rsidRPr="00EF6A3E">
        <w:rPr>
          <w:rFonts w:eastAsia="Times New Roman" w:cs="Times New Roman"/>
          <w:b/>
          <w:bCs/>
          <w:rtl/>
          <w:lang w:eastAsia="de-DE"/>
        </w:rPr>
        <w:t>מְאַת אֶלֶף וְשִׁבְעָה וַחֲמִשִּׁים אֶלֶף וְשֵׁשׁ מֵאוֹת</w:t>
      </w:r>
      <w:r w:rsidRPr="00EF6A3E">
        <w:rPr>
          <w:rFonts w:eastAsia="Times New Roman" w:cs="Times New Roman"/>
          <w:rtl/>
          <w:lang w:eastAsia="de-DE"/>
        </w:rPr>
        <w:t xml:space="preserve"> </w:t>
      </w:r>
      <w:r w:rsidRPr="00EF6A3E">
        <w:rPr>
          <w:rFonts w:eastAsia="Times New Roman" w:cs="Times New Roman"/>
          <w:lang w:eastAsia="de-DE"/>
        </w:rPr>
        <w:t>zeigt: 100.000 + 57.000 + 600 = 157.600. Dies entspricht der Summe aus Dan (62.700) + Ascher (41.500) + Naphthali (53.400) und stellt die größte Lagergruppe dar.</w:t>
      </w:r>
    </w:p>
    <w:p w14:paraId="2B5D60C5"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Adverb </w:t>
      </w:r>
      <w:r w:rsidRPr="00EF6A3E">
        <w:rPr>
          <w:rFonts w:eastAsia="Times New Roman" w:cs="Times New Roman"/>
          <w:b/>
          <w:bCs/>
          <w:rtl/>
          <w:lang w:eastAsia="de-DE"/>
        </w:rPr>
        <w:t>לָאַחֲרֹנָה</w:t>
      </w:r>
      <w:r w:rsidRPr="00EF6A3E">
        <w:rPr>
          <w:rFonts w:eastAsia="Times New Roman" w:cs="Times New Roman"/>
          <w:rtl/>
          <w:lang w:eastAsia="de-DE"/>
        </w:rPr>
        <w:t xml:space="preserve"> </w:t>
      </w:r>
      <w:r w:rsidRPr="00EF6A3E">
        <w:rPr>
          <w:rFonts w:eastAsia="Times New Roman" w:cs="Times New Roman"/>
          <w:lang w:eastAsia="de-DE"/>
        </w:rPr>
        <w:t xml:space="preserve">(zuletzt/als letzte) mit </w:t>
      </w:r>
      <w:r w:rsidRPr="00EF6A3E">
        <w:rPr>
          <w:rFonts w:eastAsia="Times New Roman" w:cs="Times New Roman"/>
          <w:b/>
          <w:bCs/>
          <w:rtl/>
          <w:lang w:eastAsia="de-DE"/>
        </w:rPr>
        <w:t>יִסְעוּ</w:t>
      </w:r>
      <w:r w:rsidRPr="00EF6A3E">
        <w:rPr>
          <w:rFonts w:eastAsia="Times New Roman" w:cs="Times New Roman"/>
          <w:rtl/>
          <w:lang w:eastAsia="de-DE"/>
        </w:rPr>
        <w:t xml:space="preserve"> </w:t>
      </w:r>
      <w:r w:rsidRPr="00EF6A3E">
        <w:rPr>
          <w:rFonts w:eastAsia="Times New Roman" w:cs="Times New Roman"/>
          <w:lang w:eastAsia="de-DE"/>
        </w:rPr>
        <w:t xml:space="preserve">(sie sollen aufbrechen) und </w:t>
      </w:r>
      <w:r w:rsidRPr="00EF6A3E">
        <w:rPr>
          <w:rFonts w:eastAsia="Times New Roman" w:cs="Times New Roman"/>
          <w:b/>
          <w:bCs/>
          <w:rtl/>
          <w:lang w:eastAsia="de-DE"/>
        </w:rPr>
        <w:t>לְדִגְלֵיהֶם</w:t>
      </w:r>
      <w:r w:rsidRPr="00EF6A3E">
        <w:rPr>
          <w:rFonts w:eastAsia="Times New Roman" w:cs="Times New Roman"/>
          <w:rtl/>
          <w:lang w:eastAsia="de-DE"/>
        </w:rPr>
        <w:t xml:space="preserve"> </w:t>
      </w:r>
      <w:r w:rsidRPr="00EF6A3E">
        <w:rPr>
          <w:rFonts w:eastAsia="Times New Roman" w:cs="Times New Roman"/>
          <w:lang w:eastAsia="de-DE"/>
        </w:rPr>
        <w:t>(nach ihren Bannern) etabliert Dans Rolle als Nachhut des israelitischen Marsches.</w:t>
      </w:r>
    </w:p>
    <w:p w14:paraId="023FEA0C" w14:textId="69026EA7" w:rsidR="002B581B" w:rsidRPr="002B581B" w:rsidRDefault="002B581B" w:rsidP="002B581B">
      <w:pPr>
        <w:spacing w:before="100" w:beforeAutospacing="1" w:after="100" w:afterAutospacing="1" w:line="240" w:lineRule="auto"/>
      </w:pPr>
      <w:r>
        <w:rPr>
          <w:rStyle w:val="Fett"/>
        </w:rPr>
        <w:t>Die LXX</w:t>
      </w:r>
      <w:r>
        <w:t xml:space="preserve"> übersetzt </w:t>
      </w:r>
      <w:r w:rsidRPr="002B581B">
        <w:rPr>
          <w:b/>
          <w:bCs/>
          <w:rtl/>
        </w:rPr>
        <w:t>לאחרנה יסעו</w:t>
      </w:r>
      <w:r>
        <w:t xml:space="preserve"> (la'acharonah yisse'u - "als letzte sollen sie aufbrechen") als ἔσχατοι ἐξαροῦσιν κατὰ τάγμα αὐτῶν (als letzte werden sie ausziehen nach ihrer Ordnung), wobei sie κατὰ τάγμα (nach Ordnung) hinzufügt zur Betonung der militärischen Disziplin.</w:t>
      </w:r>
    </w:p>
    <w:p w14:paraId="5C67318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die Gruppenzusammenfassung mit der besonderen Betonung der Schlussposition durch </w:t>
      </w:r>
      <w:r w:rsidRPr="00EF6A3E">
        <w:rPr>
          <w:rFonts w:eastAsia="Times New Roman" w:cs="Times New Roman"/>
          <w:b/>
          <w:bCs/>
          <w:rtl/>
          <w:lang w:eastAsia="de-DE"/>
        </w:rPr>
        <w:t>לָאַחֲרֹנָה</w:t>
      </w:r>
      <w:r w:rsidRPr="00EF6A3E">
        <w:rPr>
          <w:rFonts w:eastAsia="Times New Roman" w:cs="Times New Roman"/>
          <w:rtl/>
          <w:lang w:eastAsia="de-DE"/>
        </w:rPr>
        <w:t xml:space="preserve"> </w:t>
      </w:r>
      <w:r w:rsidRPr="00EF6A3E">
        <w:rPr>
          <w:rFonts w:eastAsia="Times New Roman" w:cs="Times New Roman"/>
          <w:lang w:eastAsia="de-DE"/>
        </w:rPr>
        <w:t xml:space="preserve">und die zusätzliche Erwähnung </w:t>
      </w:r>
      <w:r w:rsidRPr="00EF6A3E">
        <w:rPr>
          <w:rFonts w:eastAsia="Times New Roman" w:cs="Times New Roman"/>
          <w:b/>
          <w:bCs/>
          <w:rtl/>
          <w:lang w:eastAsia="de-DE"/>
        </w:rPr>
        <w:t>לְדִגְלֵיהֶם</w:t>
      </w:r>
      <w:r w:rsidRPr="00EF6A3E">
        <w:rPr>
          <w:rFonts w:eastAsia="Times New Roman" w:cs="Times New Roman"/>
          <w:lang w:eastAsia="de-DE"/>
        </w:rPr>
        <w:t>.</w:t>
      </w:r>
    </w:p>
    <w:p w14:paraId="7DE3328C"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2,32</w:t>
      </w:r>
    </w:p>
    <w:p w14:paraId="10171B6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אֵ֛לֶּה פְּקוּדֵ֥י בְנֵֽי־יִשְׂרָאֵ֖ל לְבֵ֣ית אֲבֹתָ֑ם כָּל־פְּקוּדֵ֤י הַֽמַּחֲנֹת֙ לְצִבְאֹתָ֔ם שֵׁשׁ־מֵא֥וֹת אֶ֨לֶף֙ וּשְׁלֹ֣שֶׁת אֲלָפִ֔ים וַחֲמֵ֥שׁ מֵא֖וֹת וַחֲמִשִּֽׁים׃</w:t>
      </w:r>
    </w:p>
    <w:p w14:paraId="6182D95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Dies sind die Gemusterten der Söhne Jisra'el nach ihren Vaterhäusern; alle Gemusterten der Lager, nach ihren Heerscharen: 603.550.</w:t>
      </w:r>
    </w:p>
    <w:p w14:paraId="73D7DA47"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1268D517">
          <v:rect id="_x0000_i1110" style="width:0;height:1.5pt" o:hralign="center" o:hrstd="t" o:hr="t" fillcolor="#a0a0a0" stroked="f"/>
        </w:pict>
      </w:r>
    </w:p>
    <w:p w14:paraId="3ADDDE8A" w14:textId="45336860"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Demonstrativpronomen </w:t>
      </w:r>
      <w:r w:rsidRPr="00EF6A3E">
        <w:rPr>
          <w:rFonts w:eastAsia="Times New Roman" w:cs="Times New Roman"/>
          <w:b/>
          <w:bCs/>
          <w:rtl/>
          <w:lang w:eastAsia="de-DE"/>
        </w:rPr>
        <w:t>אֵלֶּה</w:t>
      </w:r>
      <w:r w:rsidRPr="00EF6A3E">
        <w:rPr>
          <w:rFonts w:eastAsia="Times New Roman" w:cs="Times New Roman"/>
          <w:rtl/>
          <w:lang w:eastAsia="de-DE"/>
        </w:rPr>
        <w:t xml:space="preserve"> </w:t>
      </w:r>
      <w:r w:rsidRPr="00EF6A3E">
        <w:rPr>
          <w:rFonts w:eastAsia="Times New Roman" w:cs="Times New Roman"/>
          <w:lang w:eastAsia="de-DE"/>
        </w:rPr>
        <w:t xml:space="preserve">(diese) leitet die abschließende Gesamtzusammenfassung ein. </w:t>
      </w:r>
      <w:r w:rsidRPr="00EF6A3E">
        <w:rPr>
          <w:rFonts w:eastAsia="Times New Roman" w:cs="Times New Roman"/>
          <w:b/>
          <w:bCs/>
          <w:rtl/>
          <w:lang w:eastAsia="de-DE"/>
        </w:rPr>
        <w:t>פְּקוּדֵי בְנֵי־יִשְׂרָאֵל</w:t>
      </w:r>
      <w:r w:rsidRPr="00EF6A3E">
        <w:rPr>
          <w:rFonts w:eastAsia="Times New Roman" w:cs="Times New Roman"/>
          <w:rtl/>
          <w:lang w:eastAsia="de-DE"/>
        </w:rPr>
        <w:t xml:space="preserve"> </w:t>
      </w:r>
      <w:r w:rsidRPr="00EF6A3E">
        <w:rPr>
          <w:rFonts w:eastAsia="Times New Roman" w:cs="Times New Roman"/>
          <w:lang w:eastAsia="de-DE"/>
        </w:rPr>
        <w:t xml:space="preserve">(Gemusterte der Söhne Israels) im </w:t>
      </w:r>
      <w:r w:rsidR="00F133EC">
        <w:rPr>
          <w:rFonts w:eastAsia="Times New Roman" w:cs="Times New Roman"/>
          <w:lang w:eastAsia="de-DE"/>
        </w:rPr>
        <w:t>Construct</w:t>
      </w:r>
      <w:r w:rsidRPr="00EF6A3E">
        <w:rPr>
          <w:rFonts w:eastAsia="Times New Roman" w:cs="Times New Roman"/>
          <w:lang w:eastAsia="de-DE"/>
        </w:rPr>
        <w:t xml:space="preserve"> mit der präpositionalen Phrase </w:t>
      </w:r>
      <w:r w:rsidRPr="00EF6A3E">
        <w:rPr>
          <w:rFonts w:eastAsia="Times New Roman" w:cs="Times New Roman"/>
          <w:b/>
          <w:bCs/>
          <w:rtl/>
          <w:lang w:eastAsia="de-DE"/>
        </w:rPr>
        <w:t>לְבֵית אֲבֹתָם</w:t>
      </w:r>
      <w:r w:rsidRPr="00EF6A3E">
        <w:rPr>
          <w:rFonts w:eastAsia="Times New Roman" w:cs="Times New Roman"/>
          <w:rtl/>
          <w:lang w:eastAsia="de-DE"/>
        </w:rPr>
        <w:t xml:space="preserve"> </w:t>
      </w:r>
      <w:r w:rsidRPr="00EF6A3E">
        <w:rPr>
          <w:rFonts w:eastAsia="Times New Roman" w:cs="Times New Roman"/>
          <w:lang w:eastAsia="de-DE"/>
        </w:rPr>
        <w:t>(nach ihren Vaterhäusern) betont die genealogische Grundlage der Zählung.</w:t>
      </w:r>
    </w:p>
    <w:p w14:paraId="6CAF1AA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lastRenderedPageBreak/>
        <w:t xml:space="preserve">Die erweiternde Apposition </w:t>
      </w:r>
      <w:r w:rsidRPr="00EF6A3E">
        <w:rPr>
          <w:rFonts w:eastAsia="Times New Roman" w:cs="Times New Roman"/>
          <w:b/>
          <w:bCs/>
          <w:rtl/>
          <w:lang w:eastAsia="de-DE"/>
        </w:rPr>
        <w:t>כָּל־פְּקוּדֵי הַמַּחֲנֹת לְצִבְאֹתָם</w:t>
      </w:r>
      <w:r w:rsidRPr="00EF6A3E">
        <w:rPr>
          <w:rFonts w:eastAsia="Times New Roman" w:cs="Times New Roman"/>
          <w:rtl/>
          <w:lang w:eastAsia="de-DE"/>
        </w:rPr>
        <w:t xml:space="preserve"> </w:t>
      </w:r>
      <w:r w:rsidRPr="00EF6A3E">
        <w:rPr>
          <w:rFonts w:eastAsia="Times New Roman" w:cs="Times New Roman"/>
          <w:lang w:eastAsia="de-DE"/>
        </w:rPr>
        <w:t xml:space="preserve">(alle Gemusterten der Lager nach ihren Heerscharen) mit </w:t>
      </w:r>
      <w:r w:rsidRPr="00EF6A3E">
        <w:rPr>
          <w:rFonts w:eastAsia="Times New Roman" w:cs="Times New Roman"/>
          <w:b/>
          <w:bCs/>
          <w:rtl/>
          <w:lang w:eastAsia="de-DE"/>
        </w:rPr>
        <w:t>כָּל</w:t>
      </w:r>
      <w:r w:rsidRPr="00EF6A3E">
        <w:rPr>
          <w:rFonts w:eastAsia="Times New Roman" w:cs="Times New Roman"/>
          <w:rtl/>
          <w:lang w:eastAsia="de-DE"/>
        </w:rPr>
        <w:t xml:space="preserve"> </w:t>
      </w:r>
      <w:r w:rsidRPr="00EF6A3E">
        <w:rPr>
          <w:rFonts w:eastAsia="Times New Roman" w:cs="Times New Roman"/>
          <w:lang w:eastAsia="de-DE"/>
        </w:rPr>
        <w:t xml:space="preserve">(alle) und </w:t>
      </w:r>
      <w:r w:rsidRPr="00EF6A3E">
        <w:rPr>
          <w:rFonts w:eastAsia="Times New Roman" w:cs="Times New Roman"/>
          <w:b/>
          <w:bCs/>
          <w:rtl/>
          <w:lang w:eastAsia="de-DE"/>
        </w:rPr>
        <w:t>מַחֲנֹת</w:t>
      </w:r>
      <w:r w:rsidRPr="00EF6A3E">
        <w:rPr>
          <w:rFonts w:eastAsia="Times New Roman" w:cs="Times New Roman"/>
          <w:rtl/>
          <w:lang w:eastAsia="de-DE"/>
        </w:rPr>
        <w:t xml:space="preserve"> </w:t>
      </w:r>
      <w:r w:rsidRPr="00EF6A3E">
        <w:rPr>
          <w:rFonts w:eastAsia="Times New Roman" w:cs="Times New Roman"/>
          <w:lang w:eastAsia="de-DE"/>
        </w:rPr>
        <w:t>(Lager, Plural) betont die militärische Organisation und die Vollständigkeit der Erfassung.</w:t>
      </w:r>
    </w:p>
    <w:p w14:paraId="149DDC7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komplexe Gesamtzahl </w:t>
      </w:r>
      <w:r w:rsidRPr="00EF6A3E">
        <w:rPr>
          <w:rFonts w:eastAsia="Times New Roman" w:cs="Times New Roman"/>
          <w:b/>
          <w:bCs/>
          <w:rtl/>
          <w:lang w:eastAsia="de-DE"/>
        </w:rPr>
        <w:t>שֵׁשׁ־מֵאוֹת אֶלֶף וּשְׁלֹשֶׁת אֲלָפִים וַחֲמֵשׁ מֵאוֹת וַחֲמִשִּׁים</w:t>
      </w:r>
      <w:r w:rsidRPr="00EF6A3E">
        <w:rPr>
          <w:rFonts w:eastAsia="Times New Roman" w:cs="Times New Roman"/>
          <w:rtl/>
          <w:lang w:eastAsia="de-DE"/>
        </w:rPr>
        <w:t xml:space="preserve"> </w:t>
      </w:r>
      <w:r w:rsidRPr="00EF6A3E">
        <w:rPr>
          <w:rFonts w:eastAsia="Times New Roman" w:cs="Times New Roman"/>
          <w:lang w:eastAsia="de-DE"/>
        </w:rPr>
        <w:t>entspricht exakt der in 1,46 genannten Gesamtsumme und bestätigt die mathematische Konsistenz: Ostgruppe (186.400) + Südgruppe (151.450) + Westgruppe (108.100) + Nordgruppe (157.600) = 603.550.</w:t>
      </w:r>
    </w:p>
    <w:p w14:paraId="0720C29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αὗται αἱ ἐπισκέψεις υἱῶν Ισραηλ κατὰ οἴκους πατριῶν αὐτῶν πᾶσαι αἱ ἐπισκέψεις τῶν παρεμβολῶν σὺν ταῖς δυνάμεσιν αὐτῶν und behält die Struktur bei.</w:t>
      </w:r>
    </w:p>
    <w:p w14:paraId="0ED5D527" w14:textId="5F61BA6D"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Satzstruktur zeigt eine komplexe nominale </w:t>
      </w:r>
      <w:r w:rsidR="00F133EC">
        <w:rPr>
          <w:rFonts w:eastAsia="Times New Roman" w:cs="Times New Roman"/>
          <w:lang w:eastAsia="de-DE"/>
        </w:rPr>
        <w:t>Construct</w:t>
      </w:r>
      <w:r w:rsidRPr="00EF6A3E">
        <w:rPr>
          <w:rFonts w:eastAsia="Times New Roman" w:cs="Times New Roman"/>
          <w:lang w:eastAsia="de-DE"/>
        </w:rPr>
        <w:t>ion mit demonstrativer Einleitung, erweiternder Apposition und abschließender numerischer Bestätigung der Gesamterhebung.</w:t>
      </w:r>
    </w:p>
    <w:p w14:paraId="3C5EF8C8"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2,33</w:t>
      </w:r>
    </w:p>
    <w:p w14:paraId="227AF2AA"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Hebräisch:</w:t>
      </w:r>
      <w:r w:rsidRPr="00EF6A3E">
        <w:rPr>
          <w:rFonts w:eastAsia="Times New Roman" w:cs="Times New Roman"/>
          <w:lang w:eastAsia="de-DE"/>
        </w:rPr>
        <w:t xml:space="preserve"> </w:t>
      </w:r>
      <w:r w:rsidRPr="00EF6A3E">
        <w:rPr>
          <w:rFonts w:eastAsia="Times New Roman" w:cs="Times New Roman"/>
          <w:rtl/>
          <w:lang w:eastAsia="de-DE"/>
        </w:rPr>
        <w:t>וְהַ֨לְוִיִּ֔ם לֹ֣א הָתְפָּקְד֔וּ בְּת֖וֹךְ בְּנֵ֣י יִשְׂרָאֵ֑ל כַּאֲשֶׁ֛ר צִוָּ֥ה יְהוָ֖ה אֶת־מֹשֶֽׁה׃</w:t>
      </w:r>
    </w:p>
    <w:p w14:paraId="61BC2DB6"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Aber die Levijim wurden nicht gemustert unter den Söhnen Jisra'el, wie der Ewige Mosche geboten hatte.</w:t>
      </w:r>
    </w:p>
    <w:p w14:paraId="0B3283AD"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5AC387CE">
          <v:rect id="_x0000_i1111" style="width:0;height:1.5pt" o:hralign="center" o:hrstd="t" o:hr="t" fillcolor="#a0a0a0" stroked="f"/>
        </w:pict>
      </w:r>
    </w:p>
    <w:p w14:paraId="2BF22E2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Waw adversativum </w:t>
      </w:r>
      <w:r w:rsidRPr="00EF6A3E">
        <w:rPr>
          <w:rFonts w:eastAsia="Times New Roman" w:cs="Times New Roman"/>
          <w:b/>
          <w:bCs/>
          <w:rtl/>
          <w:lang w:eastAsia="de-DE"/>
        </w:rPr>
        <w:t>וְ</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הַלְוִיִּם</w:t>
      </w:r>
      <w:r w:rsidRPr="00EF6A3E">
        <w:rPr>
          <w:rFonts w:eastAsia="Times New Roman" w:cs="Times New Roman"/>
          <w:rtl/>
          <w:lang w:eastAsia="de-DE"/>
        </w:rPr>
        <w:t xml:space="preserve"> </w:t>
      </w:r>
      <w:r w:rsidRPr="00EF6A3E">
        <w:rPr>
          <w:rFonts w:eastAsia="Times New Roman" w:cs="Times New Roman"/>
          <w:lang w:eastAsia="de-DE"/>
        </w:rPr>
        <w:t>(die Leviten) leitet eine kontrastierende Aussage zur vorangegangenen Gesamtzählung ein.</w:t>
      </w:r>
    </w:p>
    <w:p w14:paraId="04E28C9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Das Verb </w:t>
      </w:r>
      <w:r w:rsidRPr="00EF6A3E">
        <w:rPr>
          <w:rFonts w:eastAsia="Times New Roman" w:cs="Times New Roman"/>
          <w:b/>
          <w:bCs/>
          <w:rtl/>
          <w:lang w:eastAsia="de-DE"/>
        </w:rPr>
        <w:t>לֹא הָתְפָּקְדוּ</w:t>
      </w:r>
      <w:r w:rsidRPr="00EF6A3E">
        <w:rPr>
          <w:rFonts w:eastAsia="Times New Roman" w:cs="Times New Roman"/>
          <w:rtl/>
          <w:lang w:eastAsia="de-DE"/>
        </w:rPr>
        <w:t xml:space="preserve"> </w:t>
      </w:r>
      <w:r w:rsidRPr="00EF6A3E">
        <w:rPr>
          <w:rFonts w:eastAsia="Times New Roman" w:cs="Times New Roman"/>
          <w:lang w:eastAsia="de-DE"/>
        </w:rPr>
        <w:t xml:space="preserve">mit der Negation </w:t>
      </w:r>
      <w:r w:rsidRPr="00EF6A3E">
        <w:rPr>
          <w:rFonts w:eastAsia="Times New Roman" w:cs="Times New Roman"/>
          <w:b/>
          <w:bCs/>
          <w:rtl/>
          <w:lang w:eastAsia="de-DE"/>
        </w:rPr>
        <w:t>לֹא</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הָתְפָּקְדוּ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פקד</w:t>
      </w:r>
      <w:r w:rsidRPr="00EF6A3E">
        <w:rPr>
          <w:rFonts w:eastAsia="Times New Roman" w:cs="Times New Roman"/>
          <w:rtl/>
          <w:lang w:eastAsia="de-DE"/>
        </w:rPr>
        <w:t xml:space="preserve"> </w:t>
      </w:r>
      <w:r w:rsidRPr="00EF6A3E">
        <w:rPr>
          <w:rFonts w:eastAsia="Times New Roman" w:cs="Times New Roman"/>
          <w:lang w:eastAsia="de-DE"/>
        </w:rPr>
        <w:t xml:space="preserve">(mustern) im Hithpa'el-Perfekt 3. maskulin Plural zeigt die passive Bedeutung "sie wurden nicht gemustert". Die präpositionale Phrase </w:t>
      </w:r>
      <w:r w:rsidRPr="00EF6A3E">
        <w:rPr>
          <w:rFonts w:eastAsia="Times New Roman" w:cs="Times New Roman"/>
          <w:b/>
          <w:bCs/>
          <w:rtl/>
          <w:lang w:eastAsia="de-DE"/>
        </w:rPr>
        <w:t>בְּתוֹךְ בְּנֵי יִשְׂרָאֵל</w:t>
      </w:r>
      <w:r w:rsidRPr="00EF6A3E">
        <w:rPr>
          <w:rFonts w:eastAsia="Times New Roman" w:cs="Times New Roman"/>
          <w:rtl/>
          <w:lang w:eastAsia="de-DE"/>
        </w:rPr>
        <w:t xml:space="preserve"> </w:t>
      </w:r>
      <w:r w:rsidRPr="00EF6A3E">
        <w:rPr>
          <w:rFonts w:eastAsia="Times New Roman" w:cs="Times New Roman"/>
          <w:lang w:eastAsia="de-DE"/>
        </w:rPr>
        <w:t>(unter den Söhnen Israels) spezifiziert den Ausschluss aus der militärischen Zählung.</w:t>
      </w:r>
    </w:p>
    <w:p w14:paraId="0238CD63"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Der Begründungssatz </w:t>
      </w:r>
      <w:r w:rsidRPr="00EF6A3E">
        <w:rPr>
          <w:rFonts w:eastAsia="Times New Roman" w:cs="Times New Roman"/>
          <w:b/>
          <w:bCs/>
          <w:rtl/>
          <w:lang w:eastAsia="de-DE"/>
        </w:rPr>
        <w:t>כַּאֲשֶׁר צִוָּה יְהוָה אֶת־מֹשֶׁה</w:t>
      </w:r>
      <w:r w:rsidRPr="00EF6A3E">
        <w:rPr>
          <w:rFonts w:eastAsia="Times New Roman" w:cs="Times New Roman"/>
          <w:rtl/>
          <w:lang w:eastAsia="de-DE"/>
        </w:rPr>
        <w:t xml:space="preserve"> </w:t>
      </w:r>
      <w:r w:rsidRPr="00EF6A3E">
        <w:rPr>
          <w:rFonts w:eastAsia="Times New Roman" w:cs="Times New Roman"/>
          <w:lang w:eastAsia="de-DE"/>
        </w:rPr>
        <w:t xml:space="preserve">(wie JHWH Mose geboten hatte) mit der Vergleichspartikel </w:t>
      </w:r>
      <w:r w:rsidRPr="00EF6A3E">
        <w:rPr>
          <w:rFonts w:eastAsia="Times New Roman" w:cs="Times New Roman"/>
          <w:b/>
          <w:bCs/>
          <w:rtl/>
          <w:lang w:eastAsia="de-DE"/>
        </w:rPr>
        <w:t>כַּאֲשֶׁר</w:t>
      </w:r>
      <w:r w:rsidRPr="00EF6A3E">
        <w:rPr>
          <w:rFonts w:eastAsia="Times New Roman" w:cs="Times New Roman"/>
          <w:rtl/>
          <w:lang w:eastAsia="de-DE"/>
        </w:rPr>
        <w:t xml:space="preserve"> </w:t>
      </w:r>
      <w:r w:rsidRPr="00EF6A3E">
        <w:rPr>
          <w:rFonts w:eastAsia="Times New Roman" w:cs="Times New Roman"/>
          <w:lang w:eastAsia="de-DE"/>
        </w:rPr>
        <w:t xml:space="preserve">und </w:t>
      </w:r>
      <w:r w:rsidRPr="00EF6A3E">
        <w:rPr>
          <w:rFonts w:eastAsia="Times New Roman" w:cs="Times New Roman"/>
          <w:b/>
          <w:bCs/>
          <w:rtl/>
          <w:lang w:eastAsia="de-DE"/>
        </w:rPr>
        <w:t>צִוָּה</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צוה</w:t>
      </w:r>
      <w:r w:rsidRPr="00EF6A3E">
        <w:rPr>
          <w:rFonts w:eastAsia="Times New Roman" w:cs="Times New Roman"/>
          <w:rtl/>
          <w:lang w:eastAsia="de-DE"/>
        </w:rPr>
        <w:t xml:space="preserve"> </w:t>
      </w:r>
      <w:r w:rsidRPr="00EF6A3E">
        <w:rPr>
          <w:rFonts w:eastAsia="Times New Roman" w:cs="Times New Roman"/>
          <w:lang w:eastAsia="de-DE"/>
        </w:rPr>
        <w:t>(befehlen) im Pi'el-Perfekt 3. maskulin Singular verweist auf die göttlichen Anweisungen in 1,47-53.</w:t>
      </w:r>
    </w:p>
    <w:p w14:paraId="582BEF7C"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Die LXX</w:t>
      </w:r>
      <w:r w:rsidRPr="00EF6A3E">
        <w:rPr>
          <w:rFonts w:eastAsia="Times New Roman" w:cs="Times New Roman"/>
          <w:lang w:eastAsia="de-DE"/>
        </w:rPr>
        <w:t xml:space="preserve"> übersetzt οἱ δὲ Λευῖται οὐ συνεπεσκέπησαν ἐν αὐτοῖς καθὰ ἐνετείλατο κύριος τῷ Μωυσῇ und behält die adversative Struktur bei.</w:t>
      </w:r>
    </w:p>
    <w:p w14:paraId="288F3B72"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einen adversativen Hauptsatz mit negiertem Prädikat und lokaler Bestimmung, gefolgt von einem begründenden Vergleichssatz.</w:t>
      </w:r>
    </w:p>
    <w:p w14:paraId="19E85544"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Vers betont nochmals die Sonderstellung der Leviten außerhalb der militärischen Organisation Israels.</w:t>
      </w:r>
    </w:p>
    <w:p w14:paraId="6BDD363B" w14:textId="77777777" w:rsidR="00EF6A3E" w:rsidRPr="00EF6A3E" w:rsidRDefault="00EF6A3E" w:rsidP="00EF6A3E">
      <w:pPr>
        <w:spacing w:before="100" w:beforeAutospacing="1" w:after="100" w:afterAutospacing="1" w:line="240" w:lineRule="auto"/>
        <w:outlineLvl w:val="0"/>
        <w:rPr>
          <w:rFonts w:eastAsia="Times New Roman" w:cs="Times New Roman"/>
          <w:b/>
          <w:bCs/>
          <w:kern w:val="36"/>
          <w:sz w:val="48"/>
          <w:szCs w:val="48"/>
          <w:lang w:eastAsia="de-DE"/>
        </w:rPr>
      </w:pPr>
      <w:r w:rsidRPr="00EF6A3E">
        <w:rPr>
          <w:rFonts w:eastAsia="Times New Roman" w:cs="Times New Roman"/>
          <w:b/>
          <w:bCs/>
          <w:kern w:val="36"/>
          <w:sz w:val="48"/>
          <w:szCs w:val="48"/>
          <w:lang w:eastAsia="de-DE"/>
        </w:rPr>
        <w:t>Numeri 2,34</w:t>
      </w:r>
    </w:p>
    <w:p w14:paraId="2076775D"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lastRenderedPageBreak/>
        <w:t>Hebräisch:</w:t>
      </w:r>
      <w:r w:rsidRPr="00EF6A3E">
        <w:rPr>
          <w:rFonts w:eastAsia="Times New Roman" w:cs="Times New Roman"/>
          <w:lang w:eastAsia="de-DE"/>
        </w:rPr>
        <w:t xml:space="preserve"> </w:t>
      </w:r>
      <w:r w:rsidRPr="00EF6A3E">
        <w:rPr>
          <w:rFonts w:eastAsia="Times New Roman" w:cs="Times New Roman"/>
          <w:rtl/>
          <w:lang w:eastAsia="de-DE"/>
        </w:rPr>
        <w:t>וַֽיַּעֲשׂ֖וּ בְּנֵ֣י יִשְׂרָאֵ֑ל כְּ֠כֹל אֲשֶׁר־צִוָּ֨ה יְהוָ֜ה אֶת־מֹשֶׁ֗ה כֵּֽן־חָנ֤וּ לְדִגְלֵיהֶם֙ וְכֵ֣ן נָסָ֔עוּ אִ֥ישׁ לְמִשְׁפְּחֹתָ֖יו עַל־בֵּ֥ית אֲבֹתָֽיו׃</w:t>
      </w:r>
    </w:p>
    <w:p w14:paraId="7BCDDD0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Deutsch:</w:t>
      </w:r>
      <w:r w:rsidRPr="00EF6A3E">
        <w:rPr>
          <w:rFonts w:eastAsia="Times New Roman" w:cs="Times New Roman"/>
          <w:lang w:eastAsia="de-DE"/>
        </w:rPr>
        <w:t xml:space="preserve"> Und die Söhne Jisra'el taten gemäß allem, was der Ewige Mosche geboten hatte; so lagerten sie nach ihren Bannern und so brachen sie auf, jeder nach seinen Familien, bei seinem Vaterhaus.</w:t>
      </w:r>
    </w:p>
    <w:p w14:paraId="23A68415" w14:textId="77777777" w:rsidR="00EF6A3E" w:rsidRPr="00EF6A3E" w:rsidRDefault="00F329DD" w:rsidP="00EF6A3E">
      <w:pPr>
        <w:spacing w:after="0" w:line="240" w:lineRule="auto"/>
        <w:rPr>
          <w:rFonts w:eastAsia="Times New Roman" w:cs="Times New Roman"/>
          <w:lang w:eastAsia="de-DE"/>
        </w:rPr>
      </w:pPr>
      <w:r>
        <w:rPr>
          <w:rFonts w:eastAsia="Times New Roman" w:cs="Times New Roman"/>
          <w:noProof/>
          <w:lang w:eastAsia="de-DE"/>
        </w:rPr>
        <w:pict w14:anchorId="4C90D8E2">
          <v:rect id="_x0000_i1112" style="width:0;height:1.5pt" o:hralign="center" o:hrstd="t" o:hr="t" fillcolor="#a0a0a0" stroked="f"/>
        </w:pict>
      </w:r>
    </w:p>
    <w:p w14:paraId="4625E861"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b/>
          <w:bCs/>
          <w:lang w:eastAsia="de-DE"/>
        </w:rPr>
        <w:t>Kommentar:</w:t>
      </w:r>
      <w:r w:rsidRPr="00EF6A3E">
        <w:rPr>
          <w:rFonts w:eastAsia="Times New Roman" w:cs="Times New Roman"/>
          <w:lang w:eastAsia="de-DE"/>
        </w:rPr>
        <w:t xml:space="preserve"> Das Verb </w:t>
      </w:r>
      <w:r w:rsidRPr="00EF6A3E">
        <w:rPr>
          <w:rFonts w:eastAsia="Times New Roman" w:cs="Times New Roman"/>
          <w:b/>
          <w:bCs/>
          <w:rtl/>
          <w:lang w:eastAsia="de-DE"/>
        </w:rPr>
        <w:t>וַיַּעֲשׂוּ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עשה</w:t>
      </w:r>
      <w:r w:rsidRPr="00EF6A3E">
        <w:rPr>
          <w:rFonts w:eastAsia="Times New Roman" w:cs="Times New Roman"/>
          <w:rtl/>
          <w:lang w:eastAsia="de-DE"/>
        </w:rPr>
        <w:t xml:space="preserve"> </w:t>
      </w:r>
      <w:r w:rsidRPr="00EF6A3E">
        <w:rPr>
          <w:rFonts w:eastAsia="Times New Roman" w:cs="Times New Roman"/>
          <w:lang w:eastAsia="de-DE"/>
        </w:rPr>
        <w:t xml:space="preserve">(tun/machen) im Qal-Imperfekt 3. maskulin Plural mit Waw consecutivum leitet den abschließenden Gehorsamsnachweis ein. Das Subjekt </w:t>
      </w:r>
      <w:r w:rsidRPr="00EF6A3E">
        <w:rPr>
          <w:rFonts w:eastAsia="Times New Roman" w:cs="Times New Roman"/>
          <w:b/>
          <w:bCs/>
          <w:rtl/>
          <w:lang w:eastAsia="de-DE"/>
        </w:rPr>
        <w:t>בְּנֵי יִשְׂרָאֵל</w:t>
      </w:r>
      <w:r w:rsidRPr="00EF6A3E">
        <w:rPr>
          <w:rFonts w:eastAsia="Times New Roman" w:cs="Times New Roman"/>
          <w:rtl/>
          <w:lang w:eastAsia="de-DE"/>
        </w:rPr>
        <w:t xml:space="preserve"> </w:t>
      </w:r>
      <w:r w:rsidRPr="00EF6A3E">
        <w:rPr>
          <w:rFonts w:eastAsia="Times New Roman" w:cs="Times New Roman"/>
          <w:lang w:eastAsia="de-DE"/>
        </w:rPr>
        <w:t>(Söhne Israels) umfasst das ganze Volk.</w:t>
      </w:r>
    </w:p>
    <w:p w14:paraId="3750A768"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Vergleichskonstruktion </w:t>
      </w:r>
      <w:r w:rsidRPr="00EF6A3E">
        <w:rPr>
          <w:rFonts w:eastAsia="Times New Roman" w:cs="Times New Roman"/>
          <w:b/>
          <w:bCs/>
          <w:rtl/>
          <w:lang w:eastAsia="de-DE"/>
        </w:rPr>
        <w:t>כְּכֹל אֲשֶׁר־צִוָּה יְהוָה אֶת־מֹשֶׁה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כְּ</w:t>
      </w:r>
      <w:r w:rsidRPr="00EF6A3E">
        <w:rPr>
          <w:rFonts w:eastAsia="Times New Roman" w:cs="Times New Roman"/>
          <w:rtl/>
          <w:lang w:eastAsia="de-DE"/>
        </w:rPr>
        <w:t xml:space="preserve"> </w:t>
      </w:r>
      <w:r w:rsidRPr="00EF6A3E">
        <w:rPr>
          <w:rFonts w:eastAsia="Times New Roman" w:cs="Times New Roman"/>
          <w:lang w:eastAsia="de-DE"/>
        </w:rPr>
        <w:t xml:space="preserve">(gemäß/wie) und </w:t>
      </w:r>
      <w:r w:rsidRPr="00EF6A3E">
        <w:rPr>
          <w:rFonts w:eastAsia="Times New Roman" w:cs="Times New Roman"/>
          <w:b/>
          <w:bCs/>
          <w:rtl/>
          <w:lang w:eastAsia="de-DE"/>
        </w:rPr>
        <w:t>כֹל</w:t>
      </w:r>
      <w:r w:rsidRPr="00EF6A3E">
        <w:rPr>
          <w:rFonts w:eastAsia="Times New Roman" w:cs="Times New Roman"/>
          <w:rtl/>
          <w:lang w:eastAsia="de-DE"/>
        </w:rPr>
        <w:t xml:space="preserve"> </w:t>
      </w:r>
      <w:r w:rsidRPr="00EF6A3E">
        <w:rPr>
          <w:rFonts w:eastAsia="Times New Roman" w:cs="Times New Roman"/>
          <w:lang w:eastAsia="de-DE"/>
        </w:rPr>
        <w:t xml:space="preserve">(alles) zeigt die vollständige Befolgung. Der Relativsatz </w:t>
      </w:r>
      <w:r w:rsidRPr="00EF6A3E">
        <w:rPr>
          <w:rFonts w:eastAsia="Times New Roman" w:cs="Times New Roman"/>
          <w:b/>
          <w:bCs/>
          <w:rtl/>
          <w:lang w:eastAsia="de-DE"/>
        </w:rPr>
        <w:t>אֲשֶׁר־צִוָּה יְהוָה אֶת־מֹשֶׁה</w:t>
      </w:r>
      <w:r w:rsidRPr="00EF6A3E">
        <w:rPr>
          <w:rFonts w:eastAsia="Times New Roman" w:cs="Times New Roman"/>
          <w:rtl/>
          <w:lang w:eastAsia="de-DE"/>
        </w:rPr>
        <w:t xml:space="preserve"> </w:t>
      </w:r>
      <w:r w:rsidRPr="00EF6A3E">
        <w:rPr>
          <w:rFonts w:eastAsia="Times New Roman" w:cs="Times New Roman"/>
          <w:lang w:eastAsia="de-DE"/>
        </w:rPr>
        <w:t xml:space="preserve">mit </w:t>
      </w:r>
      <w:r w:rsidRPr="00EF6A3E">
        <w:rPr>
          <w:rFonts w:eastAsia="Times New Roman" w:cs="Times New Roman"/>
          <w:b/>
          <w:bCs/>
          <w:rtl/>
          <w:lang w:eastAsia="de-DE"/>
        </w:rPr>
        <w:t>צִוָּה</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צוה</w:t>
      </w:r>
      <w:r w:rsidRPr="00EF6A3E">
        <w:rPr>
          <w:rFonts w:eastAsia="Times New Roman" w:cs="Times New Roman"/>
          <w:rtl/>
          <w:lang w:eastAsia="de-DE"/>
        </w:rPr>
        <w:t xml:space="preserve"> </w:t>
      </w:r>
      <w:r w:rsidRPr="00EF6A3E">
        <w:rPr>
          <w:rFonts w:eastAsia="Times New Roman" w:cs="Times New Roman"/>
          <w:lang w:eastAsia="de-DE"/>
        </w:rPr>
        <w:t>(befehlen) im Pi'el-Perfekt 3. maskulin Singular betont die göttliche Autorität der Anweisungen.</w:t>
      </w:r>
    </w:p>
    <w:p w14:paraId="2C331647"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doppelte Entsprechungsformel </w:t>
      </w:r>
      <w:r w:rsidRPr="00EF6A3E">
        <w:rPr>
          <w:rFonts w:eastAsia="Times New Roman" w:cs="Times New Roman"/>
          <w:b/>
          <w:bCs/>
          <w:rtl/>
          <w:lang w:eastAsia="de-DE"/>
        </w:rPr>
        <w:t>כֵּן־חָנוּ לְדִגְלֵיהֶם וְכֵן נָסָעוּ</w:t>
      </w:r>
      <w:r w:rsidRPr="00EF6A3E">
        <w:rPr>
          <w:rFonts w:eastAsia="Times New Roman" w:cs="Times New Roman"/>
          <w:rtl/>
          <w:lang w:eastAsia="de-DE"/>
        </w:rPr>
        <w:t xml:space="preserve"> </w:t>
      </w:r>
      <w:r w:rsidRPr="00EF6A3E">
        <w:rPr>
          <w:rFonts w:eastAsia="Times New Roman" w:cs="Times New Roman"/>
          <w:lang w:eastAsia="de-DE"/>
        </w:rPr>
        <w:t xml:space="preserve">mit dem emphatischen </w:t>
      </w:r>
      <w:r w:rsidRPr="00EF6A3E">
        <w:rPr>
          <w:rFonts w:eastAsia="Times New Roman" w:cs="Times New Roman"/>
          <w:b/>
          <w:bCs/>
          <w:rtl/>
          <w:lang w:eastAsia="de-DE"/>
        </w:rPr>
        <w:t>כֵּן</w:t>
      </w:r>
      <w:r w:rsidRPr="00EF6A3E">
        <w:rPr>
          <w:rFonts w:eastAsia="Times New Roman" w:cs="Times New Roman"/>
          <w:rtl/>
          <w:lang w:eastAsia="de-DE"/>
        </w:rPr>
        <w:t xml:space="preserve"> </w:t>
      </w:r>
      <w:r w:rsidRPr="00EF6A3E">
        <w:rPr>
          <w:rFonts w:eastAsia="Times New Roman" w:cs="Times New Roman"/>
          <w:lang w:eastAsia="de-DE"/>
        </w:rPr>
        <w:t xml:space="preserve">(so) zeigt die Parallelität zwischen Lager- und Marschordnung. </w:t>
      </w:r>
      <w:r w:rsidRPr="00EF6A3E">
        <w:rPr>
          <w:rFonts w:eastAsia="Times New Roman" w:cs="Times New Roman"/>
          <w:b/>
          <w:bCs/>
          <w:rtl/>
          <w:lang w:eastAsia="de-DE"/>
        </w:rPr>
        <w:t>חָנוּ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חנה</w:t>
      </w:r>
      <w:r w:rsidRPr="00EF6A3E">
        <w:rPr>
          <w:rFonts w:eastAsia="Times New Roman" w:cs="Times New Roman"/>
          <w:rtl/>
          <w:lang w:eastAsia="de-DE"/>
        </w:rPr>
        <w:t xml:space="preserve"> </w:t>
      </w:r>
      <w:r w:rsidRPr="00EF6A3E">
        <w:rPr>
          <w:rFonts w:eastAsia="Times New Roman" w:cs="Times New Roman"/>
          <w:lang w:eastAsia="de-DE"/>
        </w:rPr>
        <w:t xml:space="preserve">(lagern) und </w:t>
      </w:r>
      <w:r w:rsidRPr="00EF6A3E">
        <w:rPr>
          <w:rFonts w:eastAsia="Times New Roman" w:cs="Times New Roman"/>
          <w:b/>
          <w:bCs/>
          <w:rtl/>
          <w:lang w:eastAsia="de-DE"/>
        </w:rPr>
        <w:t>נָסָעוּ</w:t>
      </w:r>
      <w:r w:rsidRPr="00EF6A3E">
        <w:rPr>
          <w:rFonts w:eastAsia="Times New Roman" w:cs="Times New Roman"/>
          <w:rtl/>
          <w:lang w:eastAsia="de-DE"/>
        </w:rPr>
        <w:t xml:space="preserve"> </w:t>
      </w:r>
      <w:r w:rsidRPr="00EF6A3E">
        <w:rPr>
          <w:rFonts w:eastAsia="Times New Roman" w:cs="Times New Roman"/>
          <w:lang w:eastAsia="de-DE"/>
        </w:rPr>
        <w:t xml:space="preserve">von </w:t>
      </w:r>
      <w:r w:rsidRPr="00EF6A3E">
        <w:rPr>
          <w:rFonts w:eastAsia="Times New Roman" w:cs="Times New Roman"/>
          <w:b/>
          <w:bCs/>
          <w:rtl/>
          <w:lang w:eastAsia="de-DE"/>
        </w:rPr>
        <w:t>נסע</w:t>
      </w:r>
      <w:r w:rsidRPr="00EF6A3E">
        <w:rPr>
          <w:rFonts w:eastAsia="Times New Roman" w:cs="Times New Roman"/>
          <w:rtl/>
          <w:lang w:eastAsia="de-DE"/>
        </w:rPr>
        <w:t xml:space="preserve"> </w:t>
      </w:r>
      <w:r w:rsidRPr="00EF6A3E">
        <w:rPr>
          <w:rFonts w:eastAsia="Times New Roman" w:cs="Times New Roman"/>
          <w:lang w:eastAsia="de-DE"/>
        </w:rPr>
        <w:t>(aufbrechen) im Qal-Perfekt 3. maskulin Plural betonen beide Aspekte der Ordnung.</w:t>
      </w:r>
    </w:p>
    <w:p w14:paraId="3EEA5EEF"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präpositionale Phrase </w:t>
      </w:r>
      <w:r w:rsidRPr="00EF6A3E">
        <w:rPr>
          <w:rFonts w:eastAsia="Times New Roman" w:cs="Times New Roman"/>
          <w:b/>
          <w:bCs/>
          <w:rtl/>
          <w:lang w:eastAsia="de-DE"/>
        </w:rPr>
        <w:t>לְדִגְלֵיהֶם</w:t>
      </w:r>
      <w:r w:rsidRPr="00EF6A3E">
        <w:rPr>
          <w:rFonts w:eastAsia="Times New Roman" w:cs="Times New Roman"/>
          <w:rtl/>
          <w:lang w:eastAsia="de-DE"/>
        </w:rPr>
        <w:t xml:space="preserve"> </w:t>
      </w:r>
      <w:r w:rsidRPr="00EF6A3E">
        <w:rPr>
          <w:rFonts w:eastAsia="Times New Roman" w:cs="Times New Roman"/>
          <w:lang w:eastAsia="de-DE"/>
        </w:rPr>
        <w:t xml:space="preserve">(nach ihren Bannern) mit </w:t>
      </w:r>
      <w:r w:rsidRPr="00EF6A3E">
        <w:rPr>
          <w:rFonts w:eastAsia="Times New Roman" w:cs="Times New Roman"/>
          <w:b/>
          <w:bCs/>
          <w:rtl/>
          <w:lang w:eastAsia="de-DE"/>
        </w:rPr>
        <w:t>דְגָלִים</w:t>
      </w:r>
      <w:r w:rsidRPr="00EF6A3E">
        <w:rPr>
          <w:rFonts w:eastAsia="Times New Roman" w:cs="Times New Roman"/>
          <w:rtl/>
          <w:lang w:eastAsia="de-DE"/>
        </w:rPr>
        <w:t xml:space="preserve"> </w:t>
      </w:r>
      <w:r w:rsidRPr="00EF6A3E">
        <w:rPr>
          <w:rFonts w:eastAsia="Times New Roman" w:cs="Times New Roman"/>
          <w:lang w:eastAsia="de-DE"/>
        </w:rPr>
        <w:t>(Banner, Plural) und Possessivsuffix 3. maskulin Plural unterstreicht die Banner als organisatorische Grundlage.</w:t>
      </w:r>
    </w:p>
    <w:p w14:paraId="4048D90E"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 xml:space="preserve">Die finale distributive Bestimmung </w:t>
      </w:r>
      <w:r w:rsidRPr="00EF6A3E">
        <w:rPr>
          <w:rFonts w:eastAsia="Times New Roman" w:cs="Times New Roman"/>
          <w:b/>
          <w:bCs/>
          <w:rtl/>
          <w:lang w:eastAsia="de-DE"/>
        </w:rPr>
        <w:t>אִישׁ לְמִשְׁפְּחֹתָיו עַל־בֵּית אֲבֹתָיו</w:t>
      </w:r>
      <w:r w:rsidRPr="00EF6A3E">
        <w:rPr>
          <w:rFonts w:eastAsia="Times New Roman" w:cs="Times New Roman"/>
          <w:rtl/>
          <w:lang w:eastAsia="de-DE"/>
        </w:rPr>
        <w:t xml:space="preserve"> </w:t>
      </w:r>
      <w:r w:rsidRPr="00EF6A3E">
        <w:rPr>
          <w:rFonts w:eastAsia="Times New Roman" w:cs="Times New Roman"/>
          <w:lang w:eastAsia="de-DE"/>
        </w:rPr>
        <w:t xml:space="preserve">zeigt </w:t>
      </w:r>
      <w:r w:rsidRPr="00EF6A3E">
        <w:rPr>
          <w:rFonts w:eastAsia="Times New Roman" w:cs="Times New Roman"/>
          <w:b/>
          <w:bCs/>
          <w:rtl/>
          <w:lang w:eastAsia="de-DE"/>
        </w:rPr>
        <w:t>אִישׁ</w:t>
      </w:r>
      <w:r w:rsidRPr="00EF6A3E">
        <w:rPr>
          <w:rFonts w:eastAsia="Times New Roman" w:cs="Times New Roman"/>
          <w:rtl/>
          <w:lang w:eastAsia="de-DE"/>
        </w:rPr>
        <w:t xml:space="preserve"> </w:t>
      </w:r>
      <w:r w:rsidRPr="00EF6A3E">
        <w:rPr>
          <w:rFonts w:eastAsia="Times New Roman" w:cs="Times New Roman"/>
          <w:lang w:eastAsia="de-DE"/>
        </w:rPr>
        <w:t xml:space="preserve">(jeder) mit </w:t>
      </w:r>
      <w:r w:rsidRPr="00EF6A3E">
        <w:rPr>
          <w:rFonts w:eastAsia="Times New Roman" w:cs="Times New Roman"/>
          <w:b/>
          <w:bCs/>
          <w:rtl/>
          <w:lang w:eastAsia="de-DE"/>
        </w:rPr>
        <w:t>לְמִשְׁפְּחֹתָיו</w:t>
      </w:r>
      <w:r w:rsidRPr="00EF6A3E">
        <w:rPr>
          <w:rFonts w:eastAsia="Times New Roman" w:cs="Times New Roman"/>
          <w:rtl/>
          <w:lang w:eastAsia="de-DE"/>
        </w:rPr>
        <w:t xml:space="preserve"> </w:t>
      </w:r>
      <w:r w:rsidRPr="00EF6A3E">
        <w:rPr>
          <w:rFonts w:eastAsia="Times New Roman" w:cs="Times New Roman"/>
          <w:lang w:eastAsia="de-DE"/>
        </w:rPr>
        <w:t xml:space="preserve">(nach seinen Familien) und </w:t>
      </w:r>
      <w:r w:rsidRPr="00EF6A3E">
        <w:rPr>
          <w:rFonts w:eastAsia="Times New Roman" w:cs="Times New Roman"/>
          <w:b/>
          <w:bCs/>
          <w:rtl/>
          <w:lang w:eastAsia="de-DE"/>
        </w:rPr>
        <w:t>עַל־בֵּית אֲבֹתָיו</w:t>
      </w:r>
      <w:r w:rsidRPr="00EF6A3E">
        <w:rPr>
          <w:rFonts w:eastAsia="Times New Roman" w:cs="Times New Roman"/>
          <w:rtl/>
          <w:lang w:eastAsia="de-DE"/>
        </w:rPr>
        <w:t xml:space="preserve"> </w:t>
      </w:r>
      <w:r w:rsidRPr="00EF6A3E">
        <w:rPr>
          <w:rFonts w:eastAsia="Times New Roman" w:cs="Times New Roman"/>
          <w:lang w:eastAsia="de-DE"/>
        </w:rPr>
        <w:t>(bei seinem Vaterhaus). Die doppelte genealogische Zuordnung betont sowohl die horizontale (Familien) als auch die vertikale (Vaterhaus) Organisationsstruktur.</w:t>
      </w:r>
    </w:p>
    <w:p w14:paraId="45BBCCF2" w14:textId="608D9F2F" w:rsidR="00EF6A3E" w:rsidRPr="00EF6A3E" w:rsidRDefault="002B581B" w:rsidP="00EF6A3E">
      <w:pPr>
        <w:spacing w:before="100" w:beforeAutospacing="1" w:after="100" w:afterAutospacing="1" w:line="240" w:lineRule="auto"/>
        <w:rPr>
          <w:rFonts w:eastAsia="Times New Roman" w:cs="Times New Roman"/>
          <w:lang w:eastAsia="de-DE"/>
        </w:rPr>
      </w:pPr>
      <w:r>
        <w:rPr>
          <w:rStyle w:val="Fett"/>
        </w:rPr>
        <w:t>Die LXX</w:t>
      </w:r>
      <w:r>
        <w:t xml:space="preserve"> erweitert die Schlussformel: </w:t>
      </w:r>
      <w:r w:rsidRPr="002B581B">
        <w:rPr>
          <w:b/>
          <w:bCs/>
          <w:rtl/>
        </w:rPr>
        <w:t>כן־חנו לדגליהם וכן נסעו</w:t>
      </w:r>
      <w:r>
        <w:t xml:space="preserve"> (ken-chanu ledigleyhem veken nas'u - "so lagerten sie nach ihren Bannern und so brachen sie auf") wird als οὕτως παρενέβαλον κατὰ τάγμα αὐτῶν καὶ οὕτως ἐξῆρον, ἕκαστος ἐχόμενοι κατὰ δήμους αὐτῶν (so lagerten sie nach ihrer Ordnung und so zogen sie aus, jeder angrenzend nach ihren Stämmen) übersetzt, wobei die LXX δῆμος (Stamm/Volk) hinzufügt.</w:t>
      </w:r>
    </w:p>
    <w:p w14:paraId="50B2381B" w14:textId="77777777" w:rsidR="00EF6A3E" w:rsidRP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 Satzstruktur zeigt einen Hauptsatz mit umfassender adverbialer Bestimmung, gefolgt von einer doppelten emphatischen Entsprechungsformel und einer abschließenden distributiven Spezifikation der genealogischen Ordnung.</w:t>
      </w:r>
    </w:p>
    <w:p w14:paraId="601F35A1" w14:textId="15374FB5" w:rsidR="00EF6A3E" w:rsidRDefault="00EF6A3E" w:rsidP="00EF6A3E">
      <w:pPr>
        <w:spacing w:before="100" w:beforeAutospacing="1" w:after="100" w:afterAutospacing="1" w:line="240" w:lineRule="auto"/>
        <w:rPr>
          <w:rFonts w:eastAsia="Times New Roman" w:cs="Times New Roman"/>
          <w:lang w:eastAsia="de-DE"/>
        </w:rPr>
      </w:pPr>
      <w:r w:rsidRPr="00EF6A3E">
        <w:rPr>
          <w:rFonts w:eastAsia="Times New Roman" w:cs="Times New Roman"/>
          <w:lang w:eastAsia="de-DE"/>
        </w:rPr>
        <w:t>Dieser abschließende Vers des Kapitels betont den vollkommenen Gehorsam Israels gegenüber den göttlichen Anweisungen und etabliert die dauerhafte Gültigkeit der Lager- und Marschordnung für alle zukünftigen Bewegungen des Volkes. Die doppelte Betonung von Lagerung und Aufbruch zeigt die umfassende Bedeutung dieser Ordnung für das gesamte nomadische Leben Israels in der Wüste.</w:t>
      </w:r>
    </w:p>
    <w:p w14:paraId="29C45D31" w14:textId="77777777" w:rsidR="005F60FF" w:rsidRPr="007B77DC" w:rsidRDefault="005F60FF" w:rsidP="005F60FF">
      <w:pPr>
        <w:pStyle w:val="berschrift2"/>
        <w:rPr>
          <w:rFonts w:ascii="Times New Roman" w:hAnsi="Times New Roman" w:cs="Times New Roman"/>
          <w:b/>
          <w:bCs/>
          <w:sz w:val="48"/>
          <w:szCs w:val="48"/>
        </w:rPr>
      </w:pPr>
      <w:r w:rsidRPr="007B77DC">
        <w:rPr>
          <w:rFonts w:ascii="Times New Roman" w:hAnsi="Times New Roman" w:cs="Times New Roman"/>
          <w:b/>
          <w:bCs/>
          <w:sz w:val="48"/>
          <w:szCs w:val="48"/>
        </w:rPr>
        <w:lastRenderedPageBreak/>
        <w:t>Kritische Anmerkungen und Ergänzungen:</w:t>
      </w:r>
    </w:p>
    <w:p w14:paraId="6D37EEA6" w14:textId="77777777" w:rsidR="005F60FF" w:rsidRPr="007B77DC" w:rsidRDefault="005F60FF" w:rsidP="005F60FF">
      <w:pPr>
        <w:pStyle w:val="berschrift3"/>
        <w:rPr>
          <w:rFonts w:ascii="Times New Roman" w:hAnsi="Times New Roman" w:cs="Times New Roman"/>
          <w:b/>
          <w:bCs/>
          <w:sz w:val="48"/>
          <w:szCs w:val="48"/>
        </w:rPr>
      </w:pPr>
      <w:r w:rsidRPr="007B77DC">
        <w:rPr>
          <w:rFonts w:ascii="Times New Roman" w:hAnsi="Times New Roman" w:cs="Times New Roman"/>
          <w:b/>
          <w:bCs/>
          <w:sz w:val="48"/>
          <w:szCs w:val="48"/>
        </w:rPr>
        <w:t xml:space="preserve">1. </w:t>
      </w:r>
      <w:r w:rsidRPr="007B77DC">
        <w:rPr>
          <w:rStyle w:val="Fett"/>
          <w:rFonts w:ascii="Times New Roman" w:hAnsi="Times New Roman" w:cs="Times New Roman"/>
          <w:sz w:val="48"/>
          <w:szCs w:val="48"/>
        </w:rPr>
        <w:t>Orientierungssystem (V. 3, 10, 18, 25)</w:t>
      </w:r>
    </w:p>
    <w:p w14:paraId="332D3D49" w14:textId="110F913B" w:rsidR="005F60FF" w:rsidRPr="007B77DC" w:rsidRDefault="005F60FF" w:rsidP="005F60FF">
      <w:pPr>
        <w:pStyle w:val="whitespace-normal"/>
      </w:pPr>
      <w:r w:rsidRPr="007B77DC">
        <w:rPr>
          <w:rStyle w:val="Fett"/>
        </w:rPr>
        <w:t>Hebräisches Orientierungssystem</w:t>
      </w:r>
      <w:r w:rsidR="007B77DC" w:rsidRPr="007B77DC">
        <w:t xml:space="preserve"> der Himmelsrichtungen</w:t>
      </w:r>
      <w:r w:rsidRPr="007B77DC">
        <w:rPr>
          <w:rStyle w:val="Fett"/>
        </w:rPr>
        <w:t>:</w:t>
      </w:r>
    </w:p>
    <w:p w14:paraId="6994E01A" w14:textId="77777777" w:rsidR="005F60FF" w:rsidRPr="007B77DC" w:rsidRDefault="005F60FF" w:rsidP="005F60FF">
      <w:pPr>
        <w:pStyle w:val="whitespace-normal"/>
      </w:pPr>
      <w:r w:rsidRPr="007B77DC">
        <w:t>Das hebräische Orientierungssystem basiert auf der Ostausrichtung (</w:t>
      </w:r>
      <w:r w:rsidRPr="007B77DC">
        <w:rPr>
          <w:rtl/>
        </w:rPr>
        <w:t>קֶדֶם</w:t>
      </w:r>
      <w:r w:rsidRPr="007B77DC">
        <w:t xml:space="preserve"> = vorn/Osten), wobei der Betrachter nach Osten blickt:</w:t>
      </w:r>
    </w:p>
    <w:p w14:paraId="0F662355" w14:textId="77777777" w:rsidR="005F60FF" w:rsidRPr="007B77DC" w:rsidRDefault="005F60FF" w:rsidP="00C15C06">
      <w:pPr>
        <w:pStyle w:val="whitespace-normal"/>
        <w:numPr>
          <w:ilvl w:val="0"/>
          <w:numId w:val="27"/>
        </w:numPr>
      </w:pPr>
      <w:r w:rsidRPr="007B77DC">
        <w:rPr>
          <w:rStyle w:val="Fett"/>
        </w:rPr>
        <w:t>Osten</w:t>
      </w:r>
      <w:r w:rsidRPr="007B77DC">
        <w:t xml:space="preserve"> (</w:t>
      </w:r>
      <w:r w:rsidRPr="005D7521">
        <w:rPr>
          <w:b/>
          <w:bCs/>
          <w:rtl/>
        </w:rPr>
        <w:t>קֵדְמָה מִזְרָחָה</w:t>
      </w:r>
      <w:r w:rsidRPr="007B77DC">
        <w:t>): "vorn" + "Sonnenaufgang" (doppelte Betonung der Ehrenseite)</w:t>
      </w:r>
    </w:p>
    <w:p w14:paraId="5C663E35" w14:textId="77777777" w:rsidR="005F60FF" w:rsidRPr="007B77DC" w:rsidRDefault="005F60FF" w:rsidP="00C15C06">
      <w:pPr>
        <w:pStyle w:val="whitespace-normal"/>
        <w:numPr>
          <w:ilvl w:val="0"/>
          <w:numId w:val="27"/>
        </w:numPr>
      </w:pPr>
      <w:r w:rsidRPr="007B77DC">
        <w:rPr>
          <w:rStyle w:val="Fett"/>
        </w:rPr>
        <w:t>Süden</w:t>
      </w:r>
      <w:r w:rsidRPr="007B77DC">
        <w:t xml:space="preserve"> (</w:t>
      </w:r>
      <w:r w:rsidRPr="005D7521">
        <w:rPr>
          <w:b/>
          <w:bCs/>
          <w:rtl/>
        </w:rPr>
        <w:t>תֵּימָנָה</w:t>
      </w:r>
      <w:r w:rsidRPr="007B77DC">
        <w:t xml:space="preserve">): "Rechts" (von </w:t>
      </w:r>
      <w:r w:rsidRPr="007B77DC">
        <w:rPr>
          <w:rtl/>
        </w:rPr>
        <w:t>יָמִין</w:t>
      </w:r>
      <w:r w:rsidRPr="007B77DC">
        <w:t xml:space="preserve"> = rechte Hand)</w:t>
      </w:r>
    </w:p>
    <w:p w14:paraId="596D5849" w14:textId="77777777" w:rsidR="005F60FF" w:rsidRPr="007B77DC" w:rsidRDefault="005F60FF" w:rsidP="00C15C06">
      <w:pPr>
        <w:pStyle w:val="whitespace-normal"/>
        <w:numPr>
          <w:ilvl w:val="0"/>
          <w:numId w:val="27"/>
        </w:numPr>
      </w:pPr>
      <w:r w:rsidRPr="007B77DC">
        <w:rPr>
          <w:rStyle w:val="Fett"/>
        </w:rPr>
        <w:t>Westen</w:t>
      </w:r>
      <w:r w:rsidRPr="007B77DC">
        <w:t xml:space="preserve"> (</w:t>
      </w:r>
      <w:r w:rsidRPr="005D7521">
        <w:rPr>
          <w:b/>
          <w:bCs/>
          <w:rtl/>
        </w:rPr>
        <w:t>יָמָּה</w:t>
      </w:r>
      <w:r w:rsidRPr="007B77DC">
        <w:t>): "Meer/hinter" (</w:t>
      </w:r>
      <w:r w:rsidRPr="007B77DC">
        <w:rPr>
          <w:rtl/>
        </w:rPr>
        <w:t>מִיָּם</w:t>
      </w:r>
      <w:r w:rsidRPr="007B77DC">
        <w:t xml:space="preserve"> = vom Mittelmeer her)</w:t>
      </w:r>
    </w:p>
    <w:p w14:paraId="52E0CAF9" w14:textId="77777777" w:rsidR="005F60FF" w:rsidRPr="007B77DC" w:rsidRDefault="005F60FF" w:rsidP="00C15C06">
      <w:pPr>
        <w:pStyle w:val="whitespace-normal"/>
        <w:numPr>
          <w:ilvl w:val="0"/>
          <w:numId w:val="27"/>
        </w:numPr>
      </w:pPr>
      <w:r w:rsidRPr="007B77DC">
        <w:rPr>
          <w:rStyle w:val="Fett"/>
        </w:rPr>
        <w:t>Norden</w:t>
      </w:r>
      <w:r w:rsidRPr="007B77DC">
        <w:t xml:space="preserve"> (</w:t>
      </w:r>
      <w:r w:rsidRPr="007B77DC">
        <w:rPr>
          <w:rtl/>
        </w:rPr>
        <w:t>צ</w:t>
      </w:r>
      <w:r w:rsidRPr="005D7521">
        <w:rPr>
          <w:b/>
          <w:bCs/>
          <w:rtl/>
        </w:rPr>
        <w:t>ָפֹנָה</w:t>
      </w:r>
      <w:r w:rsidRPr="007B77DC">
        <w:t>): "verborgen/links" (weniger günstige Seite)</w:t>
      </w:r>
    </w:p>
    <w:p w14:paraId="14D7A639" w14:textId="77777777" w:rsidR="005F60FF" w:rsidRPr="007B77DC" w:rsidRDefault="005F60FF" w:rsidP="005F60FF">
      <w:pPr>
        <w:pStyle w:val="whitespace-normal"/>
      </w:pPr>
      <w:r w:rsidRPr="007B77DC">
        <w:t>Diese Terminologie zeigt, dass im biblischen Weltbild Osten die Primärorientierung darstellt (Paradies Gen 2,8; Tempeleingang Ez 43,1-4), nicht Norden wie in modernen Karten.</w:t>
      </w:r>
    </w:p>
    <w:p w14:paraId="3010A489" w14:textId="77777777" w:rsidR="005F60FF" w:rsidRPr="007B77DC" w:rsidRDefault="005F60FF" w:rsidP="005F60FF">
      <w:pPr>
        <w:pStyle w:val="berschrift3"/>
        <w:rPr>
          <w:rFonts w:ascii="Times New Roman" w:hAnsi="Times New Roman" w:cs="Times New Roman"/>
          <w:b/>
          <w:bCs/>
          <w:sz w:val="48"/>
          <w:szCs w:val="48"/>
        </w:rPr>
      </w:pPr>
      <w:r w:rsidRPr="007B77DC">
        <w:rPr>
          <w:rFonts w:ascii="Times New Roman" w:hAnsi="Times New Roman" w:cs="Times New Roman"/>
          <w:b/>
          <w:bCs/>
          <w:sz w:val="48"/>
          <w:szCs w:val="48"/>
        </w:rPr>
        <w:t xml:space="preserve">2. </w:t>
      </w:r>
      <w:r w:rsidRPr="007B77DC">
        <w:rPr>
          <w:rStyle w:val="Fett"/>
          <w:rFonts w:ascii="Times New Roman" w:hAnsi="Times New Roman" w:cs="Times New Roman"/>
          <w:sz w:val="48"/>
          <w:szCs w:val="48"/>
        </w:rPr>
        <w:t>Suffixvariationen (V. 4, 6, 13 etc.)</w:t>
      </w:r>
    </w:p>
    <w:p w14:paraId="4BC6BF3E" w14:textId="77777777" w:rsidR="005F60FF" w:rsidRPr="007B77DC" w:rsidRDefault="005F60FF" w:rsidP="005F60FF">
      <w:pPr>
        <w:pStyle w:val="whitespace-normal"/>
      </w:pPr>
      <w:r w:rsidRPr="007B77DC">
        <w:rPr>
          <w:rStyle w:val="Fett"/>
        </w:rPr>
        <w:t>Mögliche Erklärung</w:t>
      </w:r>
      <w:r w:rsidRPr="007B77DC">
        <w:t>: Die Variation könnte auch stilistisch-rhetorisch sein (variatio zur Vermeidung monotoner Wiederholung) oder auf unterschiedliche Textschichten hinweisen. Da beide Formen funktional gleichwertig sind und keine semantische Differenz erkennbar ist, bleibt die Frage offen, ob hier bewusste Distinktion oder schriftgelehrte Variation vorliegt.</w:t>
      </w:r>
    </w:p>
    <w:p w14:paraId="07EF0F91" w14:textId="77777777" w:rsidR="001C07A7" w:rsidRPr="007B77DC" w:rsidRDefault="005F60FF" w:rsidP="001C07A7">
      <w:pPr>
        <w:pStyle w:val="berschrift3"/>
        <w:rPr>
          <w:rStyle w:val="Fett"/>
          <w:rFonts w:ascii="Times New Roman" w:hAnsi="Times New Roman" w:cs="Times New Roman"/>
          <w:sz w:val="48"/>
          <w:szCs w:val="48"/>
        </w:rPr>
      </w:pPr>
      <w:r w:rsidRPr="007B77DC">
        <w:rPr>
          <w:rFonts w:ascii="Times New Roman" w:hAnsi="Times New Roman" w:cs="Times New Roman"/>
          <w:b/>
          <w:bCs/>
          <w:sz w:val="48"/>
          <w:szCs w:val="48"/>
        </w:rPr>
        <w:t>3.</w:t>
      </w:r>
      <w:r w:rsidRPr="007B77DC">
        <w:rPr>
          <w:rFonts w:ascii="Times New Roman" w:hAnsi="Times New Roman" w:cs="Times New Roman"/>
          <w:sz w:val="48"/>
          <w:szCs w:val="48"/>
        </w:rPr>
        <w:t xml:space="preserve"> </w:t>
      </w:r>
      <w:r w:rsidRPr="007B77DC">
        <w:rPr>
          <w:rStyle w:val="Fett"/>
          <w:rFonts w:ascii="Times New Roman" w:hAnsi="Times New Roman" w:cs="Times New Roman"/>
          <w:sz w:val="48"/>
          <w:szCs w:val="48"/>
        </w:rPr>
        <w:t>Theologische Zentrierung (V. 2, 17)</w:t>
      </w:r>
    </w:p>
    <w:p w14:paraId="2465311D" w14:textId="0A51ABEA" w:rsidR="005F60FF" w:rsidRPr="007B77DC" w:rsidRDefault="005F60FF" w:rsidP="001C07A7">
      <w:pPr>
        <w:pStyle w:val="berschrift3"/>
        <w:rPr>
          <w:rFonts w:ascii="Times New Roman" w:hAnsi="Times New Roman" w:cs="Times New Roman"/>
          <w:color w:val="auto"/>
          <w:sz w:val="40"/>
          <w:szCs w:val="40"/>
        </w:rPr>
      </w:pPr>
      <w:r w:rsidRPr="007B77DC">
        <w:rPr>
          <w:rFonts w:ascii="Times New Roman" w:hAnsi="Times New Roman" w:cs="Times New Roman"/>
          <w:color w:val="auto"/>
        </w:rPr>
        <w:t xml:space="preserve">Die zentrale Position des </w:t>
      </w:r>
      <w:r w:rsidRPr="005D7521">
        <w:rPr>
          <w:rFonts w:ascii="Times New Roman" w:hAnsi="Times New Roman" w:cs="Times New Roman"/>
          <w:b/>
          <w:bCs/>
          <w:color w:val="auto"/>
          <w:rtl/>
        </w:rPr>
        <w:t>אֹהֶל מוֹעֵד</w:t>
      </w:r>
      <w:r w:rsidRPr="007B77DC">
        <w:rPr>
          <w:rFonts w:ascii="Times New Roman" w:hAnsi="Times New Roman" w:cs="Times New Roman"/>
          <w:color w:val="auto"/>
        </w:rPr>
        <w:t xml:space="preserve"> mit den vier Lagergruppen in den Himmelsrichtungen bildet ein </w:t>
      </w:r>
      <w:r w:rsidRPr="007B77DC">
        <w:rPr>
          <w:rStyle w:val="Fett"/>
          <w:rFonts w:ascii="Times New Roman" w:hAnsi="Times New Roman" w:cs="Times New Roman"/>
          <w:color w:val="auto"/>
        </w:rPr>
        <w:t>kosmisches Ordnungsmodell</w:t>
      </w:r>
      <w:r w:rsidRPr="007B77DC">
        <w:rPr>
          <w:rFonts w:ascii="Times New Roman" w:hAnsi="Times New Roman" w:cs="Times New Roman"/>
          <w:color w:val="auto"/>
        </w:rPr>
        <w:t>: Das Heiligtum als axis mundi (Weltachse) strukturiert den gesamten sakralen Raum Israels. Diese Vierteilung entspricht altorientalischen Raumkonzepten (vier Himmelsrichtungen, vier Weltecken) und theologisiert die militärische Lagerordnung als Abbild göttlicher Schöpfungsordnung. Israel lagert nicht pragmatisch, sondern gemäß einer transzendenten Struktur, die Gottes Gegenwart zum Zentrum von Zeit (Kalender) und Raum (Lager) macht.</w:t>
      </w:r>
    </w:p>
    <w:p w14:paraId="5919DB1C" w14:textId="77777777" w:rsidR="005F60FF" w:rsidRPr="007B77DC" w:rsidRDefault="005F60FF" w:rsidP="005F60FF">
      <w:pPr>
        <w:pStyle w:val="whitespace-normal"/>
      </w:pPr>
      <w:r w:rsidRPr="007B77DC">
        <w:t xml:space="preserve">Die Marschordnung (V. 9, 16, 17, 24, 31) zeigt eine </w:t>
      </w:r>
      <w:r w:rsidRPr="007B77DC">
        <w:rPr>
          <w:rStyle w:val="Fett"/>
        </w:rPr>
        <w:t>prozessionale Theologie</w:t>
      </w:r>
      <w:r w:rsidRPr="007B77DC">
        <w:t>:</w:t>
      </w:r>
    </w:p>
    <w:p w14:paraId="4FF79624" w14:textId="77777777" w:rsidR="005F60FF" w:rsidRPr="007B77DC" w:rsidRDefault="005F60FF" w:rsidP="00C15C06">
      <w:pPr>
        <w:pStyle w:val="whitespace-normal"/>
        <w:numPr>
          <w:ilvl w:val="0"/>
          <w:numId w:val="28"/>
        </w:numPr>
      </w:pPr>
      <w:r w:rsidRPr="007B77DC">
        <w:t>Juda (Ostgruppe) als Avantgarde</w:t>
      </w:r>
    </w:p>
    <w:p w14:paraId="6847BC2A" w14:textId="77777777" w:rsidR="005F60FF" w:rsidRPr="007B77DC" w:rsidRDefault="005F60FF" w:rsidP="00C15C06">
      <w:pPr>
        <w:pStyle w:val="whitespace-normal"/>
        <w:numPr>
          <w:ilvl w:val="0"/>
          <w:numId w:val="28"/>
        </w:numPr>
      </w:pPr>
      <w:r w:rsidRPr="007B77DC">
        <w:t>Ruben (Südgruppe)</w:t>
      </w:r>
    </w:p>
    <w:p w14:paraId="230A9657" w14:textId="77777777" w:rsidR="005F60FF" w:rsidRPr="007B77DC" w:rsidRDefault="005F60FF" w:rsidP="00C15C06">
      <w:pPr>
        <w:pStyle w:val="whitespace-normal"/>
        <w:numPr>
          <w:ilvl w:val="0"/>
          <w:numId w:val="28"/>
        </w:numPr>
      </w:pPr>
      <w:r w:rsidRPr="007B77DC">
        <w:rPr>
          <w:rStyle w:val="Fett"/>
        </w:rPr>
        <w:t>Heiligtum</w:t>
      </w:r>
      <w:r w:rsidRPr="007B77DC">
        <w:t xml:space="preserve"> </w:t>
      </w:r>
      <w:r w:rsidRPr="005D7521">
        <w:rPr>
          <w:b/>
          <w:bCs/>
        </w:rPr>
        <w:t>in der Mitte</w:t>
      </w:r>
    </w:p>
    <w:p w14:paraId="68363D7A" w14:textId="77777777" w:rsidR="005F60FF" w:rsidRPr="007B77DC" w:rsidRDefault="005F60FF" w:rsidP="00C15C06">
      <w:pPr>
        <w:pStyle w:val="whitespace-normal"/>
        <w:numPr>
          <w:ilvl w:val="0"/>
          <w:numId w:val="28"/>
        </w:numPr>
      </w:pPr>
      <w:r w:rsidRPr="007B77DC">
        <w:t>Ephraim (Westgruppe)</w:t>
      </w:r>
    </w:p>
    <w:p w14:paraId="03E1622B" w14:textId="77777777" w:rsidR="005F60FF" w:rsidRPr="007B77DC" w:rsidRDefault="005F60FF" w:rsidP="00C15C06">
      <w:pPr>
        <w:pStyle w:val="whitespace-normal"/>
        <w:numPr>
          <w:ilvl w:val="0"/>
          <w:numId w:val="28"/>
        </w:numPr>
      </w:pPr>
      <w:r w:rsidRPr="007B77DC">
        <w:t>Dan (Nordgruppe) als Nachhut</w:t>
      </w:r>
    </w:p>
    <w:p w14:paraId="787FADDC" w14:textId="77777777" w:rsidR="005F60FF" w:rsidRPr="007B77DC" w:rsidRDefault="005F60FF" w:rsidP="005F60FF">
      <w:pPr>
        <w:pStyle w:val="whitespace-normal"/>
      </w:pPr>
      <w:r w:rsidRPr="007B77DC">
        <w:t>Diese Anordnung sichert militärisch das Heiligtum und symbolisiert theologisch, dass Israel seine Identität aus der Mitte (Gottes Gegenwart) bezieht, nicht von den Rändern.</w:t>
      </w:r>
    </w:p>
    <w:p w14:paraId="553DD17F" w14:textId="77777777" w:rsidR="005F60FF" w:rsidRPr="007B77DC" w:rsidRDefault="005F60FF" w:rsidP="005F60FF">
      <w:pPr>
        <w:pStyle w:val="berschrift3"/>
        <w:rPr>
          <w:rFonts w:ascii="Times New Roman" w:hAnsi="Times New Roman" w:cs="Times New Roman"/>
          <w:sz w:val="48"/>
          <w:szCs w:val="48"/>
        </w:rPr>
      </w:pPr>
      <w:r w:rsidRPr="007B77DC">
        <w:rPr>
          <w:rFonts w:ascii="Times New Roman" w:hAnsi="Times New Roman" w:cs="Times New Roman"/>
          <w:b/>
          <w:bCs/>
          <w:sz w:val="48"/>
          <w:szCs w:val="48"/>
        </w:rPr>
        <w:lastRenderedPageBreak/>
        <w:t xml:space="preserve">4. </w:t>
      </w:r>
      <w:r w:rsidRPr="007B77DC">
        <w:rPr>
          <w:rStyle w:val="Fett"/>
          <w:rFonts w:ascii="Times New Roman" w:hAnsi="Times New Roman" w:cs="Times New Roman"/>
          <w:sz w:val="48"/>
          <w:szCs w:val="48"/>
        </w:rPr>
        <w:t>Genealogische Kohärenz der Lagergruppen</w:t>
      </w:r>
    </w:p>
    <w:p w14:paraId="3F9AE9A7" w14:textId="356B7E40" w:rsidR="005F60FF" w:rsidRPr="007B77DC" w:rsidRDefault="007B77DC" w:rsidP="005F60FF">
      <w:pPr>
        <w:pStyle w:val="whitespace-normal"/>
      </w:pPr>
      <w:r w:rsidRPr="007B77DC">
        <w:t>Die</w:t>
      </w:r>
      <w:r w:rsidR="005F60FF" w:rsidRPr="007B77DC">
        <w:t xml:space="preserve"> verwandtschaftlichen Zusammenhänge (V. 5, 22, 27). </w:t>
      </w:r>
      <w:r w:rsidRPr="007B77DC">
        <w:t>Hier e</w:t>
      </w:r>
      <w:r w:rsidR="005F60FF" w:rsidRPr="007B77DC">
        <w:t xml:space="preserve">ine </w:t>
      </w:r>
      <w:r w:rsidR="005F60FF" w:rsidRPr="007B77DC">
        <w:rPr>
          <w:rStyle w:val="Fett"/>
        </w:rPr>
        <w:t>systematische Übersicht</w:t>
      </w:r>
      <w:r w:rsidR="005F60FF" w:rsidRPr="007B77DC">
        <w:t xml:space="preserve"> </w:t>
      </w:r>
      <w:r w:rsidRPr="007B77DC">
        <w:t>die die Anordnung</w:t>
      </w:r>
      <w:r w:rsidR="005F60FF" w:rsidRPr="007B77DC">
        <w:t xml:space="preserve"> verdeutlich</w:t>
      </w:r>
      <w:r w:rsidRPr="007B77DC">
        <w:t>t</w:t>
      </w:r>
      <w:r w:rsidR="005F60FF" w:rsidRPr="007B77DC">
        <w:t>:</w:t>
      </w:r>
    </w:p>
    <w:p w14:paraId="35027074" w14:textId="7A08F1CE" w:rsidR="005F60FF" w:rsidRPr="007B77DC" w:rsidRDefault="005F60FF" w:rsidP="005F60FF">
      <w:pPr>
        <w:pStyle w:val="whitespace-normal"/>
        <w:rPr>
          <w:rStyle w:val="Fett"/>
        </w:rPr>
      </w:pPr>
      <w:r w:rsidRPr="007B77DC">
        <w:rPr>
          <w:rStyle w:val="Fett"/>
        </w:rPr>
        <w:t>Lagerordnung und Genealogie:</w:t>
      </w:r>
    </w:p>
    <w:tbl>
      <w:tblPr>
        <w:tblStyle w:val="Tabellenraster"/>
        <w:tblW w:w="4994" w:type="pct"/>
        <w:tblLook w:val="04A0" w:firstRow="1" w:lastRow="0" w:firstColumn="1" w:lastColumn="0" w:noHBand="0" w:noVBand="1"/>
      </w:tblPr>
      <w:tblGrid>
        <w:gridCol w:w="2016"/>
        <w:gridCol w:w="3082"/>
        <w:gridCol w:w="2950"/>
        <w:gridCol w:w="1003"/>
      </w:tblGrid>
      <w:tr w:rsidR="005D7521" w:rsidRPr="007B77DC" w14:paraId="0E799083" w14:textId="77777777" w:rsidTr="005D7521">
        <w:tc>
          <w:tcPr>
            <w:tcW w:w="1114" w:type="pct"/>
          </w:tcPr>
          <w:p w14:paraId="53F5DB9F" w14:textId="6C154FE7" w:rsidR="005F60FF" w:rsidRPr="007B77DC" w:rsidRDefault="005F60FF" w:rsidP="005F60FF">
            <w:pPr>
              <w:pStyle w:val="whitespace-normal"/>
            </w:pPr>
            <w:r w:rsidRPr="007B77DC">
              <w:rPr>
                <w:b/>
                <w:bCs/>
              </w:rPr>
              <w:t>Himmelsrichtung</w:t>
            </w:r>
          </w:p>
        </w:tc>
        <w:tc>
          <w:tcPr>
            <w:tcW w:w="1703" w:type="pct"/>
          </w:tcPr>
          <w:p w14:paraId="19F744B2" w14:textId="2491661F" w:rsidR="005F60FF" w:rsidRPr="007B77DC" w:rsidRDefault="005F60FF" w:rsidP="001C07A7">
            <w:pPr>
              <w:pStyle w:val="KeinLeerraum"/>
              <w:rPr>
                <w:rFonts w:cs="Times New Roman"/>
              </w:rPr>
            </w:pPr>
            <w:r w:rsidRPr="007B77DC">
              <w:rPr>
                <w:rFonts w:cs="Times New Roman"/>
              </w:rPr>
              <w:t>Stämme</w:t>
            </w:r>
          </w:p>
        </w:tc>
        <w:tc>
          <w:tcPr>
            <w:tcW w:w="1630" w:type="pct"/>
          </w:tcPr>
          <w:p w14:paraId="3E1323A7" w14:textId="6F5ECAE5" w:rsidR="005F60FF" w:rsidRPr="007B77DC" w:rsidRDefault="005F60FF" w:rsidP="005F60FF">
            <w:pPr>
              <w:pStyle w:val="whitespace-normal"/>
            </w:pPr>
            <w:r w:rsidRPr="007B77DC">
              <w:rPr>
                <w:b/>
                <w:bCs/>
              </w:rPr>
              <w:t>Mütter</w:t>
            </w:r>
          </w:p>
        </w:tc>
        <w:tc>
          <w:tcPr>
            <w:tcW w:w="554" w:type="pct"/>
          </w:tcPr>
          <w:p w14:paraId="7F4B7FFA" w14:textId="1DA69B55" w:rsidR="005F60FF" w:rsidRPr="007B77DC" w:rsidRDefault="005F60FF" w:rsidP="005F60FF">
            <w:pPr>
              <w:pStyle w:val="whitespace-normal"/>
            </w:pPr>
            <w:r w:rsidRPr="007B77DC">
              <w:rPr>
                <w:b/>
                <w:bCs/>
              </w:rPr>
              <w:t>Gesamt</w:t>
            </w:r>
          </w:p>
        </w:tc>
      </w:tr>
      <w:tr w:rsidR="005D7521" w:rsidRPr="007B77DC" w14:paraId="5C64C371" w14:textId="77777777" w:rsidTr="005D7521">
        <w:tc>
          <w:tcPr>
            <w:tcW w:w="1114" w:type="pct"/>
          </w:tcPr>
          <w:p w14:paraId="68A99A46" w14:textId="77777777" w:rsidR="005F60FF" w:rsidRPr="007B77DC" w:rsidRDefault="005F60FF" w:rsidP="005F60FF">
            <w:pPr>
              <w:pStyle w:val="whitespace-normal"/>
            </w:pPr>
          </w:p>
        </w:tc>
        <w:tc>
          <w:tcPr>
            <w:tcW w:w="1703" w:type="pct"/>
          </w:tcPr>
          <w:p w14:paraId="4D906178" w14:textId="77777777" w:rsidR="005F60FF" w:rsidRPr="007B77DC" w:rsidRDefault="005F60FF" w:rsidP="001C07A7">
            <w:pPr>
              <w:pStyle w:val="KeinLeerraum"/>
              <w:rPr>
                <w:rFonts w:cs="Times New Roman"/>
              </w:rPr>
            </w:pPr>
          </w:p>
        </w:tc>
        <w:tc>
          <w:tcPr>
            <w:tcW w:w="1630" w:type="pct"/>
          </w:tcPr>
          <w:p w14:paraId="36F823F8" w14:textId="77777777" w:rsidR="005F60FF" w:rsidRPr="007B77DC" w:rsidRDefault="005F60FF" w:rsidP="005F60FF">
            <w:pPr>
              <w:pStyle w:val="whitespace-normal"/>
            </w:pPr>
          </w:p>
        </w:tc>
        <w:tc>
          <w:tcPr>
            <w:tcW w:w="554" w:type="pct"/>
          </w:tcPr>
          <w:p w14:paraId="68889FBB" w14:textId="77777777" w:rsidR="005F60FF" w:rsidRPr="007B77DC" w:rsidRDefault="005F60FF" w:rsidP="005F60FF">
            <w:pPr>
              <w:pStyle w:val="whitespace-normal"/>
            </w:pPr>
          </w:p>
        </w:tc>
      </w:tr>
      <w:tr w:rsidR="005D7521" w:rsidRPr="007B77DC" w14:paraId="04CE0185" w14:textId="77777777" w:rsidTr="005D7521">
        <w:tc>
          <w:tcPr>
            <w:tcW w:w="1114" w:type="pct"/>
          </w:tcPr>
          <w:p w14:paraId="20AA9F38" w14:textId="14C32D94" w:rsidR="005F60FF" w:rsidRPr="007B77DC" w:rsidRDefault="005F60FF" w:rsidP="005F60FF">
            <w:pPr>
              <w:pStyle w:val="whitespace-normal"/>
            </w:pPr>
            <w:r w:rsidRPr="007B77DC">
              <w:rPr>
                <w:rStyle w:val="Fett"/>
              </w:rPr>
              <w:t>Ost</w:t>
            </w:r>
            <w:r w:rsidRPr="007B77DC">
              <w:t xml:space="preserve"> (Ehrenplatz)</w:t>
            </w:r>
          </w:p>
        </w:tc>
        <w:tc>
          <w:tcPr>
            <w:tcW w:w="1703" w:type="pct"/>
          </w:tcPr>
          <w:p w14:paraId="4CAAE0AA" w14:textId="019339CD" w:rsidR="005F60FF" w:rsidRPr="007B77DC" w:rsidRDefault="005F60FF" w:rsidP="001C07A7">
            <w:pPr>
              <w:pStyle w:val="KeinLeerraum"/>
              <w:rPr>
                <w:rFonts w:cs="Times New Roman"/>
              </w:rPr>
            </w:pPr>
            <w:r w:rsidRPr="007B77DC">
              <w:rPr>
                <w:rFonts w:cs="Times New Roman"/>
              </w:rPr>
              <w:t>Juda, Issaschar, Sebulon</w:t>
            </w:r>
          </w:p>
        </w:tc>
        <w:tc>
          <w:tcPr>
            <w:tcW w:w="1630" w:type="pct"/>
          </w:tcPr>
          <w:p w14:paraId="5279B1DF" w14:textId="36BF172E" w:rsidR="005F60FF" w:rsidRPr="007B77DC" w:rsidRDefault="005F60FF" w:rsidP="005F60FF">
            <w:pPr>
              <w:pStyle w:val="whitespace-normal"/>
            </w:pPr>
            <w:r w:rsidRPr="007B77DC">
              <w:t>Lea-Söhne</w:t>
            </w:r>
          </w:p>
        </w:tc>
        <w:tc>
          <w:tcPr>
            <w:tcW w:w="554" w:type="pct"/>
          </w:tcPr>
          <w:p w14:paraId="21A9A93B" w14:textId="3B5BB86C" w:rsidR="005F60FF" w:rsidRPr="007B77DC" w:rsidRDefault="005F60FF" w:rsidP="005F60FF">
            <w:pPr>
              <w:pStyle w:val="whitespace-normal"/>
            </w:pPr>
            <w:r w:rsidRPr="007B77DC">
              <w:t>186.400</w:t>
            </w:r>
          </w:p>
        </w:tc>
      </w:tr>
      <w:tr w:rsidR="005D7521" w:rsidRPr="007B77DC" w14:paraId="3B727699" w14:textId="77777777" w:rsidTr="005D7521">
        <w:tc>
          <w:tcPr>
            <w:tcW w:w="1114" w:type="pct"/>
          </w:tcPr>
          <w:p w14:paraId="6E1D10EC" w14:textId="654DC413" w:rsidR="005F60FF" w:rsidRPr="007B77DC" w:rsidRDefault="005F60FF" w:rsidP="005F60FF">
            <w:pPr>
              <w:pStyle w:val="whitespace-normal"/>
            </w:pPr>
            <w:r w:rsidRPr="007B77DC">
              <w:rPr>
                <w:rStyle w:val="Fett"/>
              </w:rPr>
              <w:t>Süd</w:t>
            </w:r>
          </w:p>
        </w:tc>
        <w:tc>
          <w:tcPr>
            <w:tcW w:w="1703" w:type="pct"/>
          </w:tcPr>
          <w:p w14:paraId="6C1F241E" w14:textId="2DB83040" w:rsidR="005F60FF" w:rsidRPr="007B77DC" w:rsidRDefault="005F60FF" w:rsidP="001C07A7">
            <w:pPr>
              <w:pStyle w:val="KeinLeerraum"/>
              <w:rPr>
                <w:rFonts w:cs="Times New Roman"/>
              </w:rPr>
            </w:pPr>
            <w:r w:rsidRPr="007B77DC">
              <w:rPr>
                <w:rFonts w:cs="Times New Roman"/>
              </w:rPr>
              <w:t>Ruben, Simeon, Gad</w:t>
            </w:r>
          </w:p>
        </w:tc>
        <w:tc>
          <w:tcPr>
            <w:tcW w:w="1630" w:type="pct"/>
          </w:tcPr>
          <w:p w14:paraId="01B992CE" w14:textId="75D5AF52" w:rsidR="005F60FF" w:rsidRPr="007B77DC" w:rsidRDefault="005F60FF" w:rsidP="005F60FF">
            <w:pPr>
              <w:pStyle w:val="whitespace-normal"/>
            </w:pPr>
            <w:r w:rsidRPr="007B77DC">
              <w:t>Lea-Söhne + Silpa</w:t>
            </w:r>
          </w:p>
        </w:tc>
        <w:tc>
          <w:tcPr>
            <w:tcW w:w="554" w:type="pct"/>
          </w:tcPr>
          <w:p w14:paraId="47419EB6" w14:textId="13CCBCFE" w:rsidR="005F60FF" w:rsidRPr="007B77DC" w:rsidRDefault="005F60FF" w:rsidP="005F60FF">
            <w:pPr>
              <w:pStyle w:val="whitespace-normal"/>
            </w:pPr>
            <w:r w:rsidRPr="007B77DC">
              <w:t>151.450</w:t>
            </w:r>
          </w:p>
        </w:tc>
      </w:tr>
      <w:tr w:rsidR="005D7521" w:rsidRPr="007B77DC" w14:paraId="3B4C5719" w14:textId="77777777" w:rsidTr="005D7521">
        <w:tc>
          <w:tcPr>
            <w:tcW w:w="1114" w:type="pct"/>
          </w:tcPr>
          <w:p w14:paraId="61BAB92B" w14:textId="77777777" w:rsidR="005D7521" w:rsidRDefault="005D7521" w:rsidP="005D7521">
            <w:pPr>
              <w:pStyle w:val="KeinLeerraum"/>
              <w:rPr>
                <w:rStyle w:val="Fett"/>
                <w:rFonts w:cs="Times New Roman"/>
              </w:rPr>
            </w:pPr>
          </w:p>
          <w:p w14:paraId="313CAB31" w14:textId="5C2710C2" w:rsidR="005D7521" w:rsidRPr="007B77DC" w:rsidRDefault="005D7521" w:rsidP="005D7521">
            <w:pPr>
              <w:pStyle w:val="KeinLeerraum"/>
            </w:pPr>
            <w:r w:rsidRPr="007B77DC">
              <w:rPr>
                <w:rStyle w:val="Fett"/>
                <w:rFonts w:cs="Times New Roman"/>
              </w:rPr>
              <w:t>West</w:t>
            </w:r>
          </w:p>
        </w:tc>
        <w:tc>
          <w:tcPr>
            <w:tcW w:w="1703" w:type="pct"/>
            <w:vAlign w:val="center"/>
          </w:tcPr>
          <w:p w14:paraId="7F8047F2" w14:textId="476A8B0D" w:rsidR="005D7521" w:rsidRPr="007B77DC" w:rsidRDefault="005D7521" w:rsidP="005D7521">
            <w:pPr>
              <w:pStyle w:val="KeinLeerraum"/>
            </w:pPr>
            <w:r w:rsidRPr="007B77DC">
              <w:t>Ephraim, Manasse, Benjamin</w:t>
            </w:r>
          </w:p>
        </w:tc>
        <w:tc>
          <w:tcPr>
            <w:tcW w:w="1630" w:type="pct"/>
          </w:tcPr>
          <w:p w14:paraId="3C6AED7F" w14:textId="1A3008AB" w:rsidR="005D7521" w:rsidRDefault="005D7521" w:rsidP="005D7521">
            <w:pPr>
              <w:pStyle w:val="KeinLeerraum"/>
            </w:pPr>
            <w:r w:rsidRPr="007B77DC">
              <w:t xml:space="preserve">Rahel-Söhne </w:t>
            </w:r>
          </w:p>
          <w:p w14:paraId="1192ABAA" w14:textId="5295159C" w:rsidR="005D7521" w:rsidRPr="007B77DC" w:rsidRDefault="005D7521" w:rsidP="005D7521">
            <w:pPr>
              <w:pStyle w:val="KeinLeerraum"/>
            </w:pPr>
            <w:r w:rsidRPr="007B77DC">
              <w:t>(Joseph + Benjamin)</w:t>
            </w:r>
          </w:p>
          <w:p w14:paraId="77550440" w14:textId="3A5DDDA4" w:rsidR="005D7521" w:rsidRPr="007B77DC" w:rsidRDefault="005D7521" w:rsidP="005D7521">
            <w:pPr>
              <w:pStyle w:val="KeinLeerraum"/>
            </w:pPr>
          </w:p>
        </w:tc>
        <w:tc>
          <w:tcPr>
            <w:tcW w:w="554" w:type="pct"/>
          </w:tcPr>
          <w:p w14:paraId="1390F67A" w14:textId="2895BBB3" w:rsidR="005D7521" w:rsidRPr="007B77DC" w:rsidRDefault="005D7521" w:rsidP="005D7521">
            <w:pPr>
              <w:pStyle w:val="whitespace-normal"/>
            </w:pPr>
            <w:r w:rsidRPr="007B77DC">
              <w:t>108.100</w:t>
            </w:r>
          </w:p>
        </w:tc>
      </w:tr>
      <w:tr w:rsidR="005D7521" w:rsidRPr="007B77DC" w14:paraId="6989E81F" w14:textId="77777777" w:rsidTr="005D7521">
        <w:tc>
          <w:tcPr>
            <w:tcW w:w="1114" w:type="pct"/>
          </w:tcPr>
          <w:p w14:paraId="7AB63D6F" w14:textId="5291574B" w:rsidR="005D7521" w:rsidRPr="007B77DC" w:rsidRDefault="005D7521" w:rsidP="005D7521">
            <w:pPr>
              <w:pStyle w:val="KeinLeerraum"/>
            </w:pPr>
            <w:r w:rsidRPr="007B77DC">
              <w:rPr>
                <w:rStyle w:val="Fett"/>
                <w:rFonts w:cs="Times New Roman"/>
              </w:rPr>
              <w:t xml:space="preserve">Nord </w:t>
            </w:r>
            <w:r w:rsidRPr="007B77DC">
              <w:t>(Nachhut)</w:t>
            </w:r>
          </w:p>
        </w:tc>
        <w:tc>
          <w:tcPr>
            <w:tcW w:w="1703" w:type="pct"/>
          </w:tcPr>
          <w:p w14:paraId="3C5FC5FB" w14:textId="20B6F44D" w:rsidR="005D7521" w:rsidRPr="007B77DC" w:rsidRDefault="005D7521" w:rsidP="005D7521">
            <w:pPr>
              <w:pStyle w:val="KeinLeerraum"/>
            </w:pPr>
            <w:r w:rsidRPr="007B77DC">
              <w:t>Dan, Ascher, Naphthali</w:t>
            </w:r>
          </w:p>
        </w:tc>
        <w:tc>
          <w:tcPr>
            <w:tcW w:w="1630" w:type="pct"/>
          </w:tcPr>
          <w:p w14:paraId="413B155C" w14:textId="78C8F794" w:rsidR="005D7521" w:rsidRPr="007B77DC" w:rsidRDefault="005D7521" w:rsidP="005D7521">
            <w:pPr>
              <w:pStyle w:val="KeinLeerraum"/>
            </w:pPr>
            <w:r w:rsidRPr="007B77DC">
              <w:t>Bilha + Silpa</w:t>
            </w:r>
          </w:p>
        </w:tc>
        <w:tc>
          <w:tcPr>
            <w:tcW w:w="554" w:type="pct"/>
            <w:vAlign w:val="center"/>
          </w:tcPr>
          <w:p w14:paraId="12AF48D6" w14:textId="5FB41258" w:rsidR="005D7521" w:rsidRPr="007B77DC" w:rsidRDefault="005D7521" w:rsidP="005D7521">
            <w:pPr>
              <w:pStyle w:val="whitespace-normal"/>
            </w:pPr>
            <w:r w:rsidRPr="007B77DC">
              <w:t>157.600</w:t>
            </w:r>
          </w:p>
        </w:tc>
      </w:tr>
    </w:tbl>
    <w:p w14:paraId="2ECCA4DB" w14:textId="77777777" w:rsidR="005F60FF" w:rsidRPr="007B77DC" w:rsidRDefault="005F60FF" w:rsidP="005F60FF">
      <w:pPr>
        <w:pStyle w:val="whitespace-normal"/>
      </w:pPr>
      <w:r w:rsidRPr="007B77DC">
        <w:rPr>
          <w:rStyle w:val="Fett"/>
        </w:rPr>
        <w:t>Beobachtungen:</w:t>
      </w:r>
    </w:p>
    <w:p w14:paraId="7BDD240C" w14:textId="77777777" w:rsidR="005F60FF" w:rsidRPr="007B77DC" w:rsidRDefault="005F60FF" w:rsidP="00C15C06">
      <w:pPr>
        <w:pStyle w:val="whitespace-normal"/>
        <w:numPr>
          <w:ilvl w:val="0"/>
          <w:numId w:val="29"/>
        </w:numPr>
      </w:pPr>
      <w:r w:rsidRPr="007B77DC">
        <w:t xml:space="preserve">Die </w:t>
      </w:r>
      <w:r w:rsidRPr="007B77DC">
        <w:rPr>
          <w:rStyle w:val="Fett"/>
        </w:rPr>
        <w:t>Ostgruppe</w:t>
      </w:r>
      <w:r w:rsidRPr="007B77DC">
        <w:t xml:space="preserve"> (Lea-Stämme) erhält die Ehrenseite vor dem Heiligtum</w:t>
      </w:r>
    </w:p>
    <w:p w14:paraId="6DBCCCEE" w14:textId="77777777" w:rsidR="005F60FF" w:rsidRPr="007B77DC" w:rsidRDefault="005F60FF" w:rsidP="00C15C06">
      <w:pPr>
        <w:pStyle w:val="whitespace-normal"/>
        <w:numPr>
          <w:ilvl w:val="0"/>
          <w:numId w:val="29"/>
        </w:numPr>
      </w:pPr>
      <w:r w:rsidRPr="007B77DC">
        <w:t xml:space="preserve">Die </w:t>
      </w:r>
      <w:r w:rsidRPr="007B77DC">
        <w:rPr>
          <w:rStyle w:val="Fett"/>
        </w:rPr>
        <w:t>Westgruppe</w:t>
      </w:r>
      <w:r w:rsidRPr="007B77DC">
        <w:t xml:space="preserve"> vereint alle Rahel-Nachkommen (genealogische Kohärenz)</w:t>
      </w:r>
    </w:p>
    <w:p w14:paraId="7F0EA7F0" w14:textId="77777777" w:rsidR="005F60FF" w:rsidRPr="007B77DC" w:rsidRDefault="005F60FF" w:rsidP="00C15C06">
      <w:pPr>
        <w:pStyle w:val="whitespace-normal"/>
        <w:numPr>
          <w:ilvl w:val="0"/>
          <w:numId w:val="29"/>
        </w:numPr>
      </w:pPr>
      <w:r w:rsidRPr="007B77DC">
        <w:t xml:space="preserve">Die </w:t>
      </w:r>
      <w:r w:rsidRPr="007B77DC">
        <w:rPr>
          <w:rStyle w:val="Fett"/>
        </w:rPr>
        <w:t>Nordgruppe</w:t>
      </w:r>
      <w:r w:rsidRPr="007B77DC">
        <w:t xml:space="preserve"> kombiniert Nebenfrauen-Stämme und bildet die größte Gruppe (Schutzfunktion als Nachhut)</w:t>
      </w:r>
    </w:p>
    <w:p w14:paraId="704DAE87" w14:textId="77777777" w:rsidR="005F60FF" w:rsidRPr="007B77DC" w:rsidRDefault="005F60FF" w:rsidP="00C15C06">
      <w:pPr>
        <w:pStyle w:val="whitespace-normal"/>
        <w:numPr>
          <w:ilvl w:val="0"/>
          <w:numId w:val="29"/>
        </w:numPr>
      </w:pPr>
      <w:r w:rsidRPr="007B77DC">
        <w:rPr>
          <w:rStyle w:val="Fett"/>
        </w:rPr>
        <w:t>Ruben</w:t>
      </w:r>
      <w:r w:rsidRPr="007B77DC">
        <w:t xml:space="preserve"> (Erstgeborener) verliert den Ehrenplatz an </w:t>
      </w:r>
      <w:r w:rsidRPr="007B77DC">
        <w:rPr>
          <w:rStyle w:val="Fett"/>
        </w:rPr>
        <w:t>Juda</w:t>
      </w:r>
      <w:r w:rsidRPr="007B77DC">
        <w:t xml:space="preserve"> (vgl. Gen 49,3-4 vs. 49,8-10)</w:t>
      </w:r>
    </w:p>
    <w:p w14:paraId="6F2D531F" w14:textId="77777777" w:rsidR="005F60FF" w:rsidRPr="007B77DC" w:rsidRDefault="005F60FF" w:rsidP="005F60FF">
      <w:pPr>
        <w:pStyle w:val="berschrift3"/>
        <w:rPr>
          <w:rFonts w:ascii="Times New Roman" w:hAnsi="Times New Roman" w:cs="Times New Roman"/>
          <w:sz w:val="48"/>
          <w:szCs w:val="48"/>
        </w:rPr>
      </w:pPr>
      <w:r w:rsidRPr="007B77DC">
        <w:rPr>
          <w:rFonts w:ascii="Times New Roman" w:hAnsi="Times New Roman" w:cs="Times New Roman"/>
          <w:b/>
          <w:bCs/>
          <w:sz w:val="48"/>
          <w:szCs w:val="48"/>
        </w:rPr>
        <w:t>5.</w:t>
      </w:r>
      <w:r w:rsidRPr="007B77DC">
        <w:rPr>
          <w:rFonts w:ascii="Times New Roman" w:hAnsi="Times New Roman" w:cs="Times New Roman"/>
          <w:sz w:val="48"/>
          <w:szCs w:val="48"/>
        </w:rPr>
        <w:t xml:space="preserve"> </w:t>
      </w:r>
      <w:r w:rsidRPr="007B77DC">
        <w:rPr>
          <w:rStyle w:val="Fett"/>
          <w:rFonts w:ascii="Times New Roman" w:hAnsi="Times New Roman" w:cs="Times New Roman"/>
          <w:sz w:val="48"/>
          <w:szCs w:val="48"/>
        </w:rPr>
        <w:t>Banner-Symbolik (V. 2)</w:t>
      </w:r>
    </w:p>
    <w:p w14:paraId="3B8F923D" w14:textId="77777777" w:rsidR="005F60FF" w:rsidRPr="007B77DC" w:rsidRDefault="005F60FF" w:rsidP="005F60FF">
      <w:pPr>
        <w:pStyle w:val="whitespace-normal"/>
      </w:pPr>
      <w:r w:rsidRPr="007B77DC">
        <w:t xml:space="preserve">Die Phrase </w:t>
      </w:r>
      <w:r w:rsidRPr="005D7521">
        <w:rPr>
          <w:b/>
          <w:bCs/>
          <w:rtl/>
        </w:rPr>
        <w:t>בְאֹתֹת לְבֵית אֲבֹתָם</w:t>
      </w:r>
      <w:r w:rsidRPr="007B77DC">
        <w:t xml:space="preserve"> (mit Zeichen ihrer Vaterhäuser) bleibt bewusst vage. </w:t>
      </w:r>
      <w:r w:rsidRPr="007B77DC">
        <w:rPr>
          <w:rtl/>
        </w:rPr>
        <w:t>אוֹת</w:t>
      </w:r>
      <w:r w:rsidRPr="007B77DC">
        <w:t xml:space="preserve"> kann bedeuten:</w:t>
      </w:r>
    </w:p>
    <w:p w14:paraId="0DEA0215" w14:textId="77777777" w:rsidR="005F60FF" w:rsidRPr="007B77DC" w:rsidRDefault="005F60FF" w:rsidP="00C15C06">
      <w:pPr>
        <w:pStyle w:val="whitespace-normal"/>
        <w:numPr>
          <w:ilvl w:val="0"/>
          <w:numId w:val="30"/>
        </w:numPr>
      </w:pPr>
      <w:r w:rsidRPr="007B77DC">
        <w:t>Physische Markierungen (Farben, Symbole)</w:t>
      </w:r>
    </w:p>
    <w:p w14:paraId="655EA3E3" w14:textId="77777777" w:rsidR="005F60FF" w:rsidRPr="007B77DC" w:rsidRDefault="005F60FF" w:rsidP="00C15C06">
      <w:pPr>
        <w:pStyle w:val="whitespace-normal"/>
        <w:numPr>
          <w:ilvl w:val="0"/>
          <w:numId w:val="30"/>
        </w:numPr>
      </w:pPr>
      <w:r w:rsidRPr="007B77DC">
        <w:t>Funktionale Kennzeichnungen (Stammes-Insignien)</w:t>
      </w:r>
    </w:p>
    <w:p w14:paraId="7AC22782" w14:textId="77777777" w:rsidR="005F60FF" w:rsidRPr="007B77DC" w:rsidRDefault="005F60FF" w:rsidP="00C15C06">
      <w:pPr>
        <w:pStyle w:val="whitespace-normal"/>
        <w:numPr>
          <w:ilvl w:val="0"/>
          <w:numId w:val="30"/>
        </w:numPr>
      </w:pPr>
      <w:r w:rsidRPr="007B77DC">
        <w:t>Identifikationszeichen ohne visuelle Spezifikation</w:t>
      </w:r>
    </w:p>
    <w:p w14:paraId="0572A396" w14:textId="77777777" w:rsidR="005F60FF" w:rsidRPr="007B77DC" w:rsidRDefault="005F60FF" w:rsidP="005F60FF">
      <w:pPr>
        <w:pStyle w:val="whitespace-normal"/>
      </w:pPr>
      <w:r w:rsidRPr="007B77DC">
        <w:t>Die spätere rabbinische Tradition (Midrasch Bamidbar Rabba 2,7) ordnet jedem Stamm spezifische Symbole zu (z.B. Juda: Löwe; Dan: Schlange), aber diese sind:</w:t>
      </w:r>
    </w:p>
    <w:p w14:paraId="19FA60A0" w14:textId="77777777" w:rsidR="005F60FF" w:rsidRPr="007B77DC" w:rsidRDefault="005F60FF" w:rsidP="00C15C06">
      <w:pPr>
        <w:pStyle w:val="whitespace-normal"/>
        <w:numPr>
          <w:ilvl w:val="0"/>
          <w:numId w:val="31"/>
        </w:numPr>
      </w:pPr>
      <w:r w:rsidRPr="007B77DC">
        <w:t>Nicht im biblischen Text verankert</w:t>
      </w:r>
    </w:p>
    <w:p w14:paraId="35599744" w14:textId="77777777" w:rsidR="005F60FF" w:rsidRPr="007B77DC" w:rsidRDefault="005F60FF" w:rsidP="00C15C06">
      <w:pPr>
        <w:pStyle w:val="whitespace-normal"/>
        <w:numPr>
          <w:ilvl w:val="0"/>
          <w:numId w:val="31"/>
        </w:numPr>
      </w:pPr>
      <w:r w:rsidRPr="007B77DC">
        <w:t>Beeinflusst von Gen 49 (Jakobssegen) und Dtn 33 (Mosesegen)</w:t>
      </w:r>
    </w:p>
    <w:p w14:paraId="490CEDEF" w14:textId="77777777" w:rsidR="005F60FF" w:rsidRPr="007B77DC" w:rsidRDefault="005F60FF" w:rsidP="00C15C06">
      <w:pPr>
        <w:pStyle w:val="whitespace-normal"/>
        <w:numPr>
          <w:ilvl w:val="0"/>
          <w:numId w:val="31"/>
        </w:numPr>
      </w:pPr>
      <w:r w:rsidRPr="007B77DC">
        <w:t>Interpretative Ausschmückungen aus dem 1. Jahrtausend n.Chr.</w:t>
      </w:r>
    </w:p>
    <w:p w14:paraId="1010C8B0" w14:textId="77777777" w:rsidR="005F60FF" w:rsidRPr="007B77DC" w:rsidRDefault="005F60FF" w:rsidP="005F60FF">
      <w:pPr>
        <w:pStyle w:val="whitespace-normal"/>
      </w:pPr>
      <w:r w:rsidRPr="007B77DC">
        <w:t xml:space="preserve">Die biblische Zurückhaltung könnte ein </w:t>
      </w:r>
      <w:r w:rsidRPr="007B77DC">
        <w:rPr>
          <w:rStyle w:val="Fett"/>
        </w:rPr>
        <w:t>Bilderverbot-Reflex</w:t>
      </w:r>
      <w:r w:rsidRPr="007B77DC">
        <w:t xml:space="preserve"> sein: Identifikation erfolgt durch genealogische Zuordnung, nicht durch ikonographische Repräsentation.</w:t>
      </w:r>
    </w:p>
    <w:p w14:paraId="6EEFB9C3" w14:textId="77777777" w:rsidR="005F60FF" w:rsidRPr="007B77DC" w:rsidRDefault="005F60FF" w:rsidP="005F60FF">
      <w:pPr>
        <w:pStyle w:val="berschrift3"/>
        <w:rPr>
          <w:rFonts w:ascii="Times New Roman" w:hAnsi="Times New Roman" w:cs="Times New Roman"/>
          <w:b/>
          <w:bCs/>
          <w:sz w:val="48"/>
          <w:szCs w:val="48"/>
        </w:rPr>
      </w:pPr>
      <w:r w:rsidRPr="007B77DC">
        <w:rPr>
          <w:rFonts w:ascii="Times New Roman" w:hAnsi="Times New Roman" w:cs="Times New Roman"/>
          <w:b/>
          <w:bCs/>
          <w:sz w:val="48"/>
          <w:szCs w:val="48"/>
        </w:rPr>
        <w:lastRenderedPageBreak/>
        <w:t xml:space="preserve">6. </w:t>
      </w:r>
      <w:r w:rsidRPr="007B77DC">
        <w:rPr>
          <w:rStyle w:val="Fett"/>
          <w:rFonts w:ascii="Times New Roman" w:hAnsi="Times New Roman" w:cs="Times New Roman"/>
          <w:sz w:val="48"/>
          <w:szCs w:val="48"/>
        </w:rPr>
        <w:t>Stilistische Variationen</w:t>
      </w:r>
    </w:p>
    <w:p w14:paraId="7DB66605" w14:textId="5B2B8172" w:rsidR="005F60FF" w:rsidRPr="007B77DC" w:rsidRDefault="005F60FF" w:rsidP="005F60FF">
      <w:pPr>
        <w:pStyle w:val="whitespace-normal"/>
      </w:pPr>
      <w:r w:rsidRPr="007B77DC">
        <w:t xml:space="preserve">Diese </w:t>
      </w:r>
      <w:r w:rsidRPr="007B77DC">
        <w:rPr>
          <w:rStyle w:val="Fett"/>
        </w:rPr>
        <w:t>stilistische Ökonomie</w:t>
      </w:r>
      <w:r w:rsidRPr="007B77DC">
        <w:t xml:space="preserve"> zeigt priesterliche Schreibpraxis:</w:t>
      </w:r>
    </w:p>
    <w:p w14:paraId="5974DB81" w14:textId="77777777" w:rsidR="005F60FF" w:rsidRPr="007B77DC" w:rsidRDefault="005F60FF" w:rsidP="00C15C06">
      <w:pPr>
        <w:pStyle w:val="whitespace-normal"/>
        <w:numPr>
          <w:ilvl w:val="0"/>
          <w:numId w:val="32"/>
        </w:numPr>
      </w:pPr>
      <w:r w:rsidRPr="007B77DC">
        <w:rPr>
          <w:rStyle w:val="Fett"/>
        </w:rPr>
        <w:t>Erste Erwähnung</w:t>
      </w:r>
      <w:r w:rsidRPr="007B77DC">
        <w:t xml:space="preserve"> einer Struktur: vollständig (V. 3)</w:t>
      </w:r>
    </w:p>
    <w:p w14:paraId="7315D048" w14:textId="77777777" w:rsidR="005F60FF" w:rsidRPr="007B77DC" w:rsidRDefault="005F60FF" w:rsidP="00C15C06">
      <w:pPr>
        <w:pStyle w:val="whitespace-normal"/>
        <w:numPr>
          <w:ilvl w:val="0"/>
          <w:numId w:val="32"/>
        </w:numPr>
      </w:pPr>
      <w:r w:rsidRPr="007B77DC">
        <w:rPr>
          <w:rStyle w:val="Fett"/>
        </w:rPr>
        <w:t>Folgeerwähnungen</w:t>
      </w:r>
      <w:r w:rsidRPr="007B77DC">
        <w:t>: verkürzt (V. 5, 7)</w:t>
      </w:r>
    </w:p>
    <w:p w14:paraId="26E453FE" w14:textId="77777777" w:rsidR="005F60FF" w:rsidRPr="007B77DC" w:rsidRDefault="005F60FF" w:rsidP="00C15C06">
      <w:pPr>
        <w:pStyle w:val="whitespace-normal"/>
        <w:numPr>
          <w:ilvl w:val="0"/>
          <w:numId w:val="32"/>
        </w:numPr>
      </w:pPr>
      <w:r w:rsidRPr="007B77DC">
        <w:rPr>
          <w:rStyle w:val="Fett"/>
        </w:rPr>
        <w:t>Wiederholung</w:t>
      </w:r>
      <w:r w:rsidRPr="007B77DC">
        <w:t xml:space="preserve"> signalisiert nicht Redundanz, sondern </w:t>
      </w:r>
      <w:r w:rsidRPr="007B77DC">
        <w:rPr>
          <w:rStyle w:val="Fett"/>
        </w:rPr>
        <w:t>liturgische Emphase</w:t>
      </w:r>
    </w:p>
    <w:p w14:paraId="2076F83D" w14:textId="77777777" w:rsidR="005F60FF" w:rsidRPr="007B77DC" w:rsidRDefault="005F60FF" w:rsidP="005F60FF">
      <w:pPr>
        <w:pStyle w:val="whitespace-normal"/>
      </w:pPr>
      <w:r w:rsidRPr="007B77DC">
        <w:t>Dies ist typisch für priesterliche Texte, die zwischen narrativer Vollständigkeit und ritueller Wiederholung alternieren.</w:t>
      </w:r>
    </w:p>
    <w:p w14:paraId="0F1E0226" w14:textId="392186BE" w:rsidR="005F60FF" w:rsidRPr="007B77DC" w:rsidRDefault="005F60FF" w:rsidP="005F60FF">
      <w:pPr>
        <w:pStyle w:val="berschrift3"/>
        <w:rPr>
          <w:rFonts w:ascii="Times New Roman" w:hAnsi="Times New Roman" w:cs="Times New Roman"/>
          <w:sz w:val="48"/>
          <w:szCs w:val="48"/>
        </w:rPr>
      </w:pPr>
      <w:r w:rsidRPr="007B77DC">
        <w:rPr>
          <w:rFonts w:ascii="Times New Roman" w:hAnsi="Times New Roman" w:cs="Times New Roman"/>
          <w:sz w:val="48"/>
          <w:szCs w:val="48"/>
        </w:rPr>
        <w:t>7</w:t>
      </w:r>
      <w:r w:rsidRPr="007B77DC">
        <w:rPr>
          <w:rFonts w:ascii="Times New Roman" w:hAnsi="Times New Roman" w:cs="Times New Roman"/>
          <w:b/>
          <w:bCs/>
          <w:sz w:val="48"/>
          <w:szCs w:val="48"/>
        </w:rPr>
        <w:t xml:space="preserve">. </w:t>
      </w:r>
      <w:r w:rsidRPr="007B77DC">
        <w:rPr>
          <w:rStyle w:val="Fett"/>
          <w:rFonts w:ascii="Times New Roman" w:hAnsi="Times New Roman" w:cs="Times New Roman"/>
          <w:sz w:val="48"/>
          <w:szCs w:val="48"/>
        </w:rPr>
        <w:t xml:space="preserve">Textkritischer Exkurs </w:t>
      </w:r>
    </w:p>
    <w:p w14:paraId="2DCE35D9" w14:textId="77777777" w:rsidR="005F60FF" w:rsidRPr="007B77DC" w:rsidRDefault="005F60FF" w:rsidP="005F60FF">
      <w:pPr>
        <w:pStyle w:val="whitespace-normal"/>
      </w:pPr>
      <w:r w:rsidRPr="007B77DC">
        <w:rPr>
          <w:rStyle w:val="Fett"/>
        </w:rPr>
        <w:t>Textkritische Gesamtbewertung zu Numeri 2:</w:t>
      </w:r>
    </w:p>
    <w:p w14:paraId="5AF4A3DE" w14:textId="77777777" w:rsidR="005F60FF" w:rsidRPr="007B77DC" w:rsidRDefault="005F60FF" w:rsidP="005F60FF">
      <w:pPr>
        <w:pStyle w:val="whitespace-normal"/>
      </w:pPr>
      <w:r w:rsidRPr="007B77DC">
        <w:t>Die LXX-Varianten in Kapitel 2 bestätigen die Befunde aus Kapitel 1:</w:t>
      </w:r>
    </w:p>
    <w:p w14:paraId="763F53E9" w14:textId="77777777" w:rsidR="005F60FF" w:rsidRPr="007B77DC" w:rsidRDefault="005F60FF" w:rsidP="00C15C06">
      <w:pPr>
        <w:pStyle w:val="whitespace-normal"/>
        <w:numPr>
          <w:ilvl w:val="0"/>
          <w:numId w:val="33"/>
        </w:numPr>
      </w:pPr>
      <w:r w:rsidRPr="007B77DC">
        <w:rPr>
          <w:rStyle w:val="Fett"/>
        </w:rPr>
        <w:t>Namensvariationen</w:t>
      </w:r>
      <w:r w:rsidRPr="007B77DC">
        <w:t xml:space="preserve"> (V. 12, 14): Resh/Daleth-Verwechslungen (</w:t>
      </w:r>
      <w:r w:rsidRPr="007B77DC">
        <w:rPr>
          <w:rtl/>
        </w:rPr>
        <w:t>רְעוּאֵל/דְּעוּאֵל</w:t>
      </w:r>
      <w:r w:rsidRPr="007B77DC">
        <w:t>) sind typische Transkriptionsfehler bei visuell ähnlichen Buchstaben und textkritisch sekundär.</w:t>
      </w:r>
    </w:p>
    <w:p w14:paraId="768310CB" w14:textId="77777777" w:rsidR="005F60FF" w:rsidRPr="007B77DC" w:rsidRDefault="005F60FF" w:rsidP="00C15C06">
      <w:pPr>
        <w:pStyle w:val="whitespace-normal"/>
        <w:numPr>
          <w:ilvl w:val="0"/>
          <w:numId w:val="33"/>
        </w:numPr>
      </w:pPr>
      <w:r w:rsidRPr="007B77DC">
        <w:rPr>
          <w:rStyle w:val="Fett"/>
        </w:rPr>
        <w:t>Terminologische Systematisierung</w:t>
      </w:r>
      <w:r w:rsidRPr="007B77DC">
        <w:t>: Die LXX verwendet konsistent militärische Terminologie (τάγμα, ἡγεμονία) wo der MT variiert (</w:t>
      </w:r>
      <w:r w:rsidRPr="007B77DC">
        <w:rPr>
          <w:rtl/>
        </w:rPr>
        <w:t>דֶּגֶל, מַחֲנֶה</w:t>
      </w:r>
      <w:r w:rsidRPr="007B77DC">
        <w:t>), was hellenistische Interpretationskonventionen reflektiert.</w:t>
      </w:r>
    </w:p>
    <w:p w14:paraId="1D284564" w14:textId="77777777" w:rsidR="005F60FF" w:rsidRPr="007B77DC" w:rsidRDefault="005F60FF" w:rsidP="00C15C06">
      <w:pPr>
        <w:pStyle w:val="whitespace-normal"/>
        <w:numPr>
          <w:ilvl w:val="0"/>
          <w:numId w:val="33"/>
        </w:numPr>
      </w:pPr>
      <w:r w:rsidRPr="007B77DC">
        <w:rPr>
          <w:rStyle w:val="Fett"/>
        </w:rPr>
        <w:t>Strukturelle Stabilität</w:t>
      </w:r>
      <w:r w:rsidRPr="007B77DC">
        <w:t>: Trotz kleinerer Varianten zeigen MT und LXX identische Zahlenangaben und Lagerordnung, was hohe Textstabilität im Zahlenmaterial bestätigt.</w:t>
      </w:r>
    </w:p>
    <w:p w14:paraId="2CFADABB" w14:textId="77777777" w:rsidR="005F60FF" w:rsidRPr="007B77DC" w:rsidRDefault="005F60FF" w:rsidP="00C15C06">
      <w:pPr>
        <w:pStyle w:val="whitespace-normal"/>
        <w:numPr>
          <w:ilvl w:val="0"/>
          <w:numId w:val="33"/>
        </w:numPr>
      </w:pPr>
      <w:r w:rsidRPr="007B77DC">
        <w:rPr>
          <w:rStyle w:val="Fett"/>
        </w:rPr>
        <w:t>Theologische Akzentuierung</w:t>
      </w:r>
      <w:r w:rsidRPr="007B77DC">
        <w:t>: Die LXX-Ergänzung κατὰ τάγμα in V. 34 betont militärische Disziplin stärker als der MT, was unterschiedliche Rezeptionskontexte (hellenistisches Diasporajudentum vs. Tempelgemeinde) reflektiert.</w:t>
      </w:r>
    </w:p>
    <w:p w14:paraId="05F98DE0" w14:textId="3D771C90" w:rsidR="005F60FF" w:rsidRPr="007B77DC" w:rsidRDefault="005F60FF" w:rsidP="001C07A7">
      <w:pPr>
        <w:pStyle w:val="whitespace-normal"/>
      </w:pPr>
      <w:r w:rsidRPr="007B77DC">
        <w:t xml:space="preserve">Die Textüberlieferung von Numeri 1-2 ist insgesamt </w:t>
      </w:r>
      <w:r w:rsidRPr="007B77DC">
        <w:rPr>
          <w:rStyle w:val="Fett"/>
        </w:rPr>
        <w:t>bemerkenswert stabil</w:t>
      </w:r>
      <w:r w:rsidRPr="007B77DC">
        <w:t>, besonders im numerischen Material, was auf sorgfältige priesterliche Überlieferung schließen lässt.</w:t>
      </w:r>
    </w:p>
    <w:p w14:paraId="0CDC63F7" w14:textId="02499E7D" w:rsidR="00EF6A3E" w:rsidRPr="007B77DC" w:rsidRDefault="007E33C7" w:rsidP="007E33C7">
      <w:pPr>
        <w:pStyle w:val="KeinLeerraum"/>
        <w:rPr>
          <w:rFonts w:cs="Times New Roman"/>
        </w:rPr>
      </w:pPr>
      <w:r w:rsidRPr="007B77DC">
        <w:rPr>
          <w:rFonts w:cs="Times New Roman"/>
          <w:b/>
          <w:bCs/>
          <w:lang w:eastAsia="de-DE"/>
        </w:rPr>
        <w:t xml:space="preserve">Textkritik: </w:t>
      </w:r>
      <w:r w:rsidRPr="007B77DC">
        <w:rPr>
          <w:rFonts w:cs="Times New Roman"/>
        </w:rPr>
        <w:t xml:space="preserve">Diese Varianten zeigen sowohl unterschiedliche Textüberlieferungen als auch die griechischen Übersetzungskonventionen für militärische und organisatorische Terminologie. Besonders auffällig ist die durchgängige Verwendung von τάγμα ("militärische Ordnung/Formation") anstelle einer direkten Wiedergabe von </w:t>
      </w:r>
      <w:r w:rsidRPr="007B77DC">
        <w:rPr>
          <w:rFonts w:cs="Times New Roman"/>
          <w:rtl/>
        </w:rPr>
        <w:t>דֶּגֶל</w:t>
      </w:r>
      <w:r w:rsidRPr="007B77DC">
        <w:rPr>
          <w:rFonts w:cs="Times New Roman"/>
        </w:rPr>
        <w:t xml:space="preserve"> ("Banner").</w:t>
      </w:r>
    </w:p>
    <w:p w14:paraId="5D51DBDA" w14:textId="286C2E1D" w:rsidR="00AC36A5" w:rsidRDefault="00AC36A5" w:rsidP="007E33C7">
      <w:pPr>
        <w:pStyle w:val="KeinLeerraum"/>
      </w:pPr>
    </w:p>
    <w:p w14:paraId="77D3F859"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w:t>
      </w:r>
    </w:p>
    <w:p w14:paraId="19EB6D7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וְאֵ֛לֶּה תּוֹלְדֹ֥ת אַהֲרֹ֖ן וּמֹשֶׁ֑ה בְּי֗וֹם דִּבֶּ֧ר יְהוָ֛ה אֶת־מֹשֶׁ֖ה בְּהַ֥ר סִינָֽי׃</w:t>
      </w:r>
    </w:p>
    <w:p w14:paraId="77D4115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dies sind die Nachkommen 'Aharons und Mosches am Tag, als der Ewige mit Mosche auf dem Berg Sinai redete.</w:t>
      </w:r>
    </w:p>
    <w:p w14:paraId="1DA990D8"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lastRenderedPageBreak/>
        <w:pict w14:anchorId="10DF6846">
          <v:rect id="_x0000_i1113" style="width:0;height:1.5pt" o:hralign="center" o:hrstd="t" o:hr="t" fillcolor="#a0a0a0" stroked="f"/>
        </w:pict>
      </w:r>
    </w:p>
    <w:p w14:paraId="07C910DD" w14:textId="1EB53E33" w:rsidR="00AB11ED" w:rsidRDefault="00AC36A5" w:rsidP="00AB11ED">
      <w:pPr>
        <w:pStyle w:val="KeinLeerraum"/>
      </w:pPr>
      <w:r w:rsidRPr="00AC36A5">
        <w:rPr>
          <w:b/>
          <w:bCs/>
          <w:lang w:eastAsia="de-DE"/>
        </w:rPr>
        <w:t>Kommentar:</w:t>
      </w:r>
      <w:r w:rsidRPr="00AC36A5">
        <w:rPr>
          <w:lang w:eastAsia="de-DE"/>
        </w:rPr>
        <w:t xml:space="preserve"> Das Demonstrativpronomen </w:t>
      </w:r>
      <w:r w:rsidRPr="00AC36A5">
        <w:rPr>
          <w:b/>
          <w:bCs/>
          <w:rtl/>
          <w:lang w:eastAsia="de-DE"/>
        </w:rPr>
        <w:t>וְאֵלֶּה</w:t>
      </w:r>
      <w:r w:rsidRPr="00AC36A5">
        <w:rPr>
          <w:rtl/>
          <w:lang w:eastAsia="de-DE"/>
        </w:rPr>
        <w:t xml:space="preserve"> </w:t>
      </w:r>
      <w:r w:rsidRPr="00AC36A5">
        <w:rPr>
          <w:lang w:eastAsia="de-DE"/>
        </w:rPr>
        <w:t xml:space="preserve">(und diese) mit Waw copulativum leitet eine neue genealogische Sektion ein. Das Substantiv </w:t>
      </w:r>
      <w:r w:rsidRPr="00AC36A5">
        <w:rPr>
          <w:b/>
          <w:bCs/>
          <w:rtl/>
          <w:lang w:eastAsia="de-DE"/>
        </w:rPr>
        <w:t>תּוֹלְדֹת</w:t>
      </w:r>
      <w:r w:rsidRPr="00AC36A5">
        <w:rPr>
          <w:rtl/>
          <w:lang w:eastAsia="de-DE"/>
        </w:rPr>
        <w:t xml:space="preserve"> </w:t>
      </w:r>
      <w:r w:rsidRPr="00AC36A5">
        <w:rPr>
          <w:lang w:eastAsia="de-DE"/>
        </w:rPr>
        <w:t xml:space="preserve">(Nachkommen/Genealogien) steht im </w:t>
      </w:r>
      <w:r w:rsidR="00F133EC">
        <w:rPr>
          <w:lang w:eastAsia="de-DE"/>
        </w:rPr>
        <w:t>Construct</w:t>
      </w:r>
      <w:r w:rsidRPr="00AC36A5">
        <w:rPr>
          <w:lang w:eastAsia="de-DE"/>
        </w:rPr>
        <w:t xml:space="preserve"> mit dem koordinierten </w:t>
      </w:r>
      <w:r w:rsidRPr="00AC36A5">
        <w:rPr>
          <w:b/>
          <w:bCs/>
          <w:rtl/>
          <w:lang w:eastAsia="de-DE"/>
        </w:rPr>
        <w:t>אַהֲרֹן וּמֹשֶׁה</w:t>
      </w:r>
      <w:r w:rsidRPr="00AC36A5">
        <w:rPr>
          <w:lang w:eastAsia="de-DE"/>
        </w:rPr>
        <w:t>, wobei die Reihenfolge Aaron-Mose bemerkenswert ist, da üblicherweise Mose vorangestellt wird.</w:t>
      </w:r>
      <w:r w:rsidR="00C03432">
        <w:rPr>
          <w:lang w:eastAsia="de-DE"/>
        </w:rPr>
        <w:t xml:space="preserve"> </w:t>
      </w:r>
      <w:r w:rsidR="00C03432">
        <w:t xml:space="preserve">Die Inversion </w:t>
      </w:r>
      <w:r w:rsidR="00C03432" w:rsidRPr="00C03432">
        <w:rPr>
          <w:b/>
          <w:bCs/>
          <w:rtl/>
        </w:rPr>
        <w:t>תּוֹלְדֹת אַהֲרֹן וּמֹשֶׁה</w:t>
      </w:r>
      <w:r w:rsidR="00C03432">
        <w:t xml:space="preserve"> (statt der üblichen Mose-Aaron-Reihenfolge) ist programmatisch: </w:t>
      </w:r>
    </w:p>
    <w:p w14:paraId="2F0A6EF1" w14:textId="77777777" w:rsidR="00AB11ED" w:rsidRDefault="00C03432" w:rsidP="00AB11ED">
      <w:pPr>
        <w:pStyle w:val="KeinLeerraum"/>
      </w:pPr>
      <w:r>
        <w:t xml:space="preserve">Das Kapitel behandelt priesterliche Genealogie, daher steht Aaron voran. Die Paradoxie, dass dann nur Aarons Nachkommen genannt werden (V. 2-4), erklärt sich durch Moses priesterlose Rolle: Seine Söhne Gerschom und Elieser (Ex 18,3-4) erscheinen nie in priesterlichen Funktionen. Dies unterstreicht die exklusive aaronidische Priesterschaft gegenüber der breiteren mosaischen Führungsrolle. </w:t>
      </w:r>
    </w:p>
    <w:p w14:paraId="0D267355" w14:textId="27A65177" w:rsidR="00AC36A5" w:rsidRPr="00AC36A5" w:rsidRDefault="00C03432" w:rsidP="00AB11ED">
      <w:pPr>
        <w:pStyle w:val="KeinLeerraum"/>
        <w:rPr>
          <w:lang w:eastAsia="de-DE"/>
        </w:rPr>
      </w:pPr>
      <w:r>
        <w:t xml:space="preserve">Die rabbinische Tradition (b. Sanhedrin 19b) deutet dies als Adoption: "Wer seinen Nächsten </w:t>
      </w:r>
      <w:r w:rsidR="00525AC4">
        <w:t>Torah</w:t>
      </w:r>
      <w:r>
        <w:t xml:space="preserve"> lehrt, dem rechnet die Schrift es an, als hätte er ihn gezeugt" – Aaron wird durch Mose belehrt, daher gelten Aarons Söhne als Moses "Nachkommen".</w:t>
      </w:r>
    </w:p>
    <w:p w14:paraId="17233496" w14:textId="267FFC6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temporale Bestimmung </w:t>
      </w:r>
      <w:r w:rsidRPr="00AC36A5">
        <w:rPr>
          <w:rFonts w:eastAsia="Times New Roman" w:cs="Times New Roman"/>
          <w:b/>
          <w:bCs/>
          <w:rtl/>
          <w:lang w:eastAsia="de-DE"/>
        </w:rPr>
        <w:t>בְּיוֹם דִּבֶּר יְהוָה אֶת־מֹשֶׁה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 xml:space="preserve">(an/am), </w:t>
      </w:r>
      <w:r w:rsidRPr="00AC36A5">
        <w:rPr>
          <w:rFonts w:eastAsia="Times New Roman" w:cs="Times New Roman"/>
          <w:b/>
          <w:bCs/>
          <w:rtl/>
          <w:lang w:eastAsia="de-DE"/>
        </w:rPr>
        <w:t>יוֹם</w:t>
      </w:r>
      <w:r w:rsidRPr="00AC36A5">
        <w:rPr>
          <w:rFonts w:eastAsia="Times New Roman" w:cs="Times New Roman"/>
          <w:rtl/>
          <w:lang w:eastAsia="de-DE"/>
        </w:rPr>
        <w:t xml:space="preserve"> </w:t>
      </w:r>
      <w:r w:rsidRPr="00AC36A5">
        <w:rPr>
          <w:rFonts w:eastAsia="Times New Roman" w:cs="Times New Roman"/>
          <w:lang w:eastAsia="de-DE"/>
        </w:rPr>
        <w:t xml:space="preserve">(Tag) und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(reden) im Pi'el-Infinitiv-</w:t>
      </w:r>
      <w:r w:rsidR="00F133EC">
        <w:rPr>
          <w:rFonts w:eastAsia="Times New Roman" w:cs="Times New Roman"/>
          <w:lang w:eastAsia="de-DE"/>
        </w:rPr>
        <w:t>Construct</w:t>
      </w:r>
      <w:r w:rsidRPr="00AC36A5">
        <w:rPr>
          <w:rFonts w:eastAsia="Times New Roman" w:cs="Times New Roman"/>
          <w:lang w:eastAsia="de-DE"/>
        </w:rPr>
        <w:t xml:space="preserve"> zeigt den spezifischen Zeitpunkt der göttlichen Offenbarung. Das direkte Objekt </w:t>
      </w:r>
      <w:r w:rsidRPr="00AC36A5">
        <w:rPr>
          <w:rFonts w:eastAsia="Times New Roman" w:cs="Times New Roman"/>
          <w:b/>
          <w:bCs/>
          <w:rtl/>
          <w:lang w:eastAsia="de-DE"/>
        </w:rPr>
        <w:t>אֶת־מֹשֶׁה</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die Ortsangabe </w:t>
      </w:r>
      <w:r w:rsidRPr="00AC36A5">
        <w:rPr>
          <w:rFonts w:eastAsia="Times New Roman" w:cs="Times New Roman"/>
          <w:b/>
          <w:bCs/>
          <w:rtl/>
          <w:lang w:eastAsia="de-DE"/>
        </w:rPr>
        <w:t>בְּהַר סִינָי</w:t>
      </w:r>
      <w:r w:rsidRPr="00AC36A5">
        <w:rPr>
          <w:rFonts w:eastAsia="Times New Roman" w:cs="Times New Roman"/>
          <w:rtl/>
          <w:lang w:eastAsia="de-DE"/>
        </w:rPr>
        <w:t xml:space="preserve"> </w:t>
      </w:r>
      <w:r w:rsidRPr="00AC36A5">
        <w:rPr>
          <w:rFonts w:eastAsia="Times New Roman" w:cs="Times New Roman"/>
          <w:lang w:eastAsia="de-DE"/>
        </w:rPr>
        <w:t>(am Berg Sinai) lokalisieren das Ereignis präzise.</w:t>
      </w:r>
    </w:p>
    <w:p w14:paraId="3CA5148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Auffällig ist, dass trotz der Überschrift "Nachkommen Aarons und Moses" im Folgenden nur Aarons Söhne genannt werden, was auf Moses kinderlose Rolle in der priesterlichen Linie hinweist.</w:t>
      </w:r>
    </w:p>
    <w:p w14:paraId="119D0458" w14:textId="77777777" w:rsidR="0064204A" w:rsidRDefault="0064204A" w:rsidP="00AC36A5">
      <w:pPr>
        <w:spacing w:before="100" w:beforeAutospacing="1" w:after="100" w:afterAutospacing="1" w:line="240" w:lineRule="auto"/>
      </w:pPr>
      <w:r>
        <w:rPr>
          <w:rStyle w:val="Fett"/>
        </w:rPr>
        <w:t>Die LXX</w:t>
      </w:r>
      <w:r>
        <w:t xml:space="preserve"> übersetzt </w:t>
      </w:r>
      <w:r>
        <w:rPr>
          <w:rtl/>
        </w:rPr>
        <w:t>תולדת</w:t>
      </w:r>
      <w:r>
        <w:t xml:space="preserve"> (toledot - "Nachkommen/Generationen") als γενέσεις (Generationen/Ursprünge), obwohl im Folgenden nur Aarons Söhne aufgezählt werden, nicht Moses'.</w:t>
      </w:r>
    </w:p>
    <w:p w14:paraId="3715D0E0" w14:textId="379CB373"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Nominalsatz mit demonstrativer Einleitung und einer komplexen temporalen Bestimmung, die den historischen Kontext der priesterlichen Ordnung etabliert.</w:t>
      </w:r>
    </w:p>
    <w:p w14:paraId="5AFAFC5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die wichtige Darstellung der priesterlichen Genealogie ein und verknüpft sie mit dem entscheidenden Moment der Sinai-Offenbarung, wodurch die göttliche Legitimation der Priesterschaft betont wird.</w:t>
      </w:r>
    </w:p>
    <w:p w14:paraId="69AF5CB6"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w:t>
      </w:r>
    </w:p>
    <w:p w14:paraId="07849A6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וְאֵ֛לֶּה שְׁמ֥וֹת בְּֽנֵי־אַהֲרֹ֖ן הַבְּכ֣וֹר׀ נָדָ֑ב וַאֲבִיה֕וּא אֶלְעָזָ֖ר וְאִיתָמָֽר׃</w:t>
      </w:r>
    </w:p>
    <w:p w14:paraId="0524CEB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dies sind die Namen der Söhne 'Aharons: der Erstgeborene Nadav und Avihu, El'asar und Itamar.</w:t>
      </w:r>
    </w:p>
    <w:p w14:paraId="701B262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5AFEF8A">
          <v:rect id="_x0000_i1114" style="width:0;height:1.5pt" o:hralign="center" o:hrstd="t" o:hr="t" fillcolor="#a0a0a0" stroked="f"/>
        </w:pict>
      </w:r>
    </w:p>
    <w:p w14:paraId="5C92D685" w14:textId="6E91CE56"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וְאֵלֶּה</w:t>
      </w:r>
      <w:r w:rsidRPr="00AC36A5">
        <w:rPr>
          <w:rFonts w:eastAsia="Times New Roman" w:cs="Times New Roman"/>
          <w:rtl/>
          <w:lang w:eastAsia="de-DE"/>
        </w:rPr>
        <w:t xml:space="preserve"> </w:t>
      </w:r>
      <w:r w:rsidRPr="00AC36A5">
        <w:rPr>
          <w:rFonts w:eastAsia="Times New Roman" w:cs="Times New Roman"/>
          <w:lang w:eastAsia="de-DE"/>
        </w:rPr>
        <w:t xml:space="preserve">leitet die spezifische Namensliste ein. </w:t>
      </w:r>
      <w:r w:rsidRPr="00AC36A5">
        <w:rPr>
          <w:rFonts w:eastAsia="Times New Roman" w:cs="Times New Roman"/>
          <w:b/>
          <w:bCs/>
          <w:rtl/>
          <w:lang w:eastAsia="de-DE"/>
        </w:rPr>
        <w:t>שְׁמוֹת</w:t>
      </w:r>
      <w:r w:rsidRPr="00AC36A5">
        <w:rPr>
          <w:rFonts w:eastAsia="Times New Roman" w:cs="Times New Roman"/>
          <w:rtl/>
          <w:lang w:eastAsia="de-DE"/>
        </w:rPr>
        <w:t xml:space="preserve"> </w:t>
      </w:r>
      <w:r w:rsidRPr="00AC36A5">
        <w:rPr>
          <w:rFonts w:eastAsia="Times New Roman" w:cs="Times New Roman"/>
          <w:lang w:eastAsia="de-DE"/>
        </w:rPr>
        <w:t xml:space="preserve">(Namen)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בְּנֵי־אַהֲרֹן</w:t>
      </w:r>
      <w:r w:rsidRPr="00AC36A5">
        <w:rPr>
          <w:rFonts w:eastAsia="Times New Roman" w:cs="Times New Roman"/>
          <w:rtl/>
          <w:lang w:eastAsia="de-DE"/>
        </w:rPr>
        <w:t xml:space="preserve"> </w:t>
      </w:r>
      <w:r w:rsidRPr="00AC36A5">
        <w:rPr>
          <w:rFonts w:eastAsia="Times New Roman" w:cs="Times New Roman"/>
          <w:lang w:eastAsia="de-DE"/>
        </w:rPr>
        <w:t>(Söhne Aarons) spezifiziert die genealogische Information.</w:t>
      </w:r>
    </w:p>
    <w:p w14:paraId="083C830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Bezeichnung </w:t>
      </w:r>
      <w:r w:rsidRPr="00AC36A5">
        <w:rPr>
          <w:rFonts w:eastAsia="Times New Roman" w:cs="Times New Roman"/>
          <w:b/>
          <w:bCs/>
          <w:rtl/>
          <w:lang w:eastAsia="de-DE"/>
        </w:rPr>
        <w:t>הַבְּכוֹר</w:t>
      </w:r>
      <w:r w:rsidRPr="00AC36A5">
        <w:rPr>
          <w:rFonts w:eastAsia="Times New Roman" w:cs="Times New Roman"/>
          <w:rtl/>
          <w:lang w:eastAsia="de-DE"/>
        </w:rPr>
        <w:t xml:space="preserve"> </w:t>
      </w:r>
      <w:r w:rsidRPr="00AC36A5">
        <w:rPr>
          <w:rFonts w:eastAsia="Times New Roman" w:cs="Times New Roman"/>
          <w:lang w:eastAsia="de-DE"/>
        </w:rPr>
        <w:t xml:space="preserve">(der Erstgeborene) steht appositionell zu </w:t>
      </w:r>
      <w:r w:rsidRPr="00AC36A5">
        <w:rPr>
          <w:rFonts w:eastAsia="Times New Roman" w:cs="Times New Roman"/>
          <w:b/>
          <w:bCs/>
          <w:rtl/>
          <w:lang w:eastAsia="de-DE"/>
        </w:rPr>
        <w:t>נָדָב</w:t>
      </w:r>
      <w:r w:rsidRPr="00AC36A5">
        <w:rPr>
          <w:rFonts w:eastAsia="Times New Roman" w:cs="Times New Roman"/>
          <w:rtl/>
          <w:lang w:eastAsia="de-DE"/>
        </w:rPr>
        <w:t xml:space="preserve"> </w:t>
      </w:r>
      <w:r w:rsidRPr="00AC36A5">
        <w:rPr>
          <w:rFonts w:eastAsia="Times New Roman" w:cs="Times New Roman"/>
          <w:lang w:eastAsia="de-DE"/>
        </w:rPr>
        <w:t xml:space="preserve">und etabliert die Geburtsreihenfolge. Die koordinierte Aufzählung </w:t>
      </w:r>
      <w:r w:rsidRPr="00AC36A5">
        <w:rPr>
          <w:rFonts w:eastAsia="Times New Roman" w:cs="Times New Roman"/>
          <w:b/>
          <w:bCs/>
          <w:rtl/>
          <w:lang w:eastAsia="de-DE"/>
        </w:rPr>
        <w:t>נָדָב וַאֲבִיהוּא אֶלְעָזָר וְאִיתָמָר</w:t>
      </w:r>
      <w:r w:rsidRPr="00AC36A5">
        <w:rPr>
          <w:rFonts w:eastAsia="Times New Roman" w:cs="Times New Roman"/>
          <w:rtl/>
          <w:lang w:eastAsia="de-DE"/>
        </w:rPr>
        <w:t xml:space="preserve"> </w:t>
      </w:r>
      <w:r w:rsidRPr="00AC36A5">
        <w:rPr>
          <w:rFonts w:eastAsia="Times New Roman" w:cs="Times New Roman"/>
          <w:lang w:eastAsia="de-DE"/>
        </w:rPr>
        <w:t>mit Waw copulativum nennt alle vier Söhne Aarons in ihrer Geburtsfolge.</w:t>
      </w:r>
    </w:p>
    <w:p w14:paraId="147AC3A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Namen sind theophore Bildungen: </w:t>
      </w:r>
      <w:r w:rsidRPr="00AC36A5">
        <w:rPr>
          <w:rFonts w:eastAsia="Times New Roman" w:cs="Times New Roman"/>
          <w:b/>
          <w:bCs/>
          <w:rtl/>
          <w:lang w:eastAsia="de-DE"/>
        </w:rPr>
        <w:t>נָדָב</w:t>
      </w:r>
      <w:r w:rsidRPr="00AC36A5">
        <w:rPr>
          <w:rFonts w:eastAsia="Times New Roman" w:cs="Times New Roman"/>
          <w:rtl/>
          <w:lang w:eastAsia="de-DE"/>
        </w:rPr>
        <w:t xml:space="preserve"> </w:t>
      </w:r>
      <w:r w:rsidRPr="00AC36A5">
        <w:rPr>
          <w:rFonts w:eastAsia="Times New Roman" w:cs="Times New Roman"/>
          <w:lang w:eastAsia="de-DE"/>
        </w:rPr>
        <w:t xml:space="preserve">(freigiebig), </w:t>
      </w:r>
      <w:r w:rsidRPr="00AC36A5">
        <w:rPr>
          <w:rFonts w:eastAsia="Times New Roman" w:cs="Times New Roman"/>
          <w:b/>
          <w:bCs/>
          <w:rtl/>
          <w:lang w:eastAsia="de-DE"/>
        </w:rPr>
        <w:t>אֲבִיהוּא</w:t>
      </w:r>
      <w:r w:rsidRPr="00AC36A5">
        <w:rPr>
          <w:rFonts w:eastAsia="Times New Roman" w:cs="Times New Roman"/>
          <w:rtl/>
          <w:lang w:eastAsia="de-DE"/>
        </w:rPr>
        <w:t xml:space="preserve"> </w:t>
      </w:r>
      <w:r w:rsidRPr="00AC36A5">
        <w:rPr>
          <w:rFonts w:eastAsia="Times New Roman" w:cs="Times New Roman"/>
          <w:lang w:eastAsia="de-DE"/>
        </w:rPr>
        <w:t xml:space="preserve">(er ist mein Vater), </w:t>
      </w:r>
      <w:r w:rsidRPr="00AC36A5">
        <w:rPr>
          <w:rFonts w:eastAsia="Times New Roman" w:cs="Times New Roman"/>
          <w:b/>
          <w:bCs/>
          <w:rtl/>
          <w:lang w:eastAsia="de-DE"/>
        </w:rPr>
        <w:t>אֶלְעָזָר</w:t>
      </w:r>
      <w:r w:rsidRPr="00AC36A5">
        <w:rPr>
          <w:rFonts w:eastAsia="Times New Roman" w:cs="Times New Roman"/>
          <w:rtl/>
          <w:lang w:eastAsia="de-DE"/>
        </w:rPr>
        <w:t xml:space="preserve"> </w:t>
      </w:r>
      <w:r w:rsidRPr="00AC36A5">
        <w:rPr>
          <w:rFonts w:eastAsia="Times New Roman" w:cs="Times New Roman"/>
          <w:lang w:eastAsia="de-DE"/>
        </w:rPr>
        <w:t xml:space="preserve">(Gott hat geholfen), </w:t>
      </w:r>
      <w:r w:rsidRPr="00AC36A5">
        <w:rPr>
          <w:rFonts w:eastAsia="Times New Roman" w:cs="Times New Roman"/>
          <w:b/>
          <w:bCs/>
          <w:rtl/>
          <w:lang w:eastAsia="de-DE"/>
        </w:rPr>
        <w:t>אִיתָמָר</w:t>
      </w:r>
      <w:r w:rsidRPr="00AC36A5">
        <w:rPr>
          <w:rFonts w:eastAsia="Times New Roman" w:cs="Times New Roman"/>
          <w:rtl/>
          <w:lang w:eastAsia="de-DE"/>
        </w:rPr>
        <w:t xml:space="preserve"> </w:t>
      </w:r>
      <w:r w:rsidRPr="00AC36A5">
        <w:rPr>
          <w:rFonts w:eastAsia="Times New Roman" w:cs="Times New Roman"/>
          <w:lang w:eastAsia="de-DE"/>
        </w:rPr>
        <w:t>(Insel der Palme oder Palmeninsel).</w:t>
      </w:r>
    </w:p>
    <w:p w14:paraId="3A96BCE9" w14:textId="77777777" w:rsidR="0064204A" w:rsidRDefault="0064204A" w:rsidP="00AC36A5">
      <w:pPr>
        <w:spacing w:before="100" w:beforeAutospacing="1" w:after="100" w:afterAutospacing="1" w:line="240" w:lineRule="auto"/>
      </w:pPr>
      <w:r>
        <w:rPr>
          <w:rStyle w:val="Fett"/>
        </w:rPr>
        <w:t>Die LXX</w:t>
      </w:r>
      <w:r>
        <w:t xml:space="preserve"> hat Ἀβιούδ (Abiud) für </w:t>
      </w:r>
      <w:r>
        <w:rPr>
          <w:rtl/>
        </w:rPr>
        <w:t>אביהוא</w:t>
      </w:r>
      <w:r>
        <w:t xml:space="preserve"> (Avihu), was eine leichte Variante in der griechischen Transliteration darstellt.</w:t>
      </w:r>
    </w:p>
    <w:p w14:paraId="309DF1DE" w14:textId="0E5DABD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nominale Aufzählung mit spezifizierender Apposition zur Etablierung der priesterlichen Genealogie.</w:t>
      </w:r>
    </w:p>
    <w:p w14:paraId="365497D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stellt die vier Söhne Aarons vor, die ursprünglich alle für das Priestertum vorgesehen waren, und etabliert Nadab als den erstgeborenen Erben der priesterlichen Würde.</w:t>
      </w:r>
    </w:p>
    <w:p w14:paraId="66528DF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w:t>
      </w:r>
    </w:p>
    <w:p w14:paraId="081D1BA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אֵ֗לֶּה שְׁמוֹת֙ בְּנֵ֣י אַהֲרֹ֔ן הַכֹּהֲנִ֖ים הַמְּשֻׁחִ֑ים אֲשֶׁר־מִלֵּ֥א יָדָ֖ם לְכַהֵֽן׃</w:t>
      </w:r>
    </w:p>
    <w:p w14:paraId="5FBB27E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Dies sind die Namen der Söhne 'Aharons, der gesalbten Priester, die er geweiht hatte, um als Priester zu dienen.</w:t>
      </w:r>
    </w:p>
    <w:p w14:paraId="29F73013"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9855E1F">
          <v:rect id="_x0000_i1115" style="width:0;height:1.5pt" o:hralign="center" o:hrstd="t" o:hr="t" fillcolor="#a0a0a0" stroked="f"/>
        </w:pict>
      </w:r>
    </w:p>
    <w:p w14:paraId="0AFC0A3E" w14:textId="716F2BA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אֵלֶּה</w:t>
      </w:r>
      <w:r w:rsidRPr="00AC36A5">
        <w:rPr>
          <w:rFonts w:eastAsia="Times New Roman" w:cs="Times New Roman"/>
          <w:rtl/>
          <w:lang w:eastAsia="de-DE"/>
        </w:rPr>
        <w:t xml:space="preserve"> </w:t>
      </w:r>
      <w:r w:rsidRPr="00AC36A5">
        <w:rPr>
          <w:rFonts w:eastAsia="Times New Roman" w:cs="Times New Roman"/>
          <w:lang w:eastAsia="de-DE"/>
        </w:rPr>
        <w:t xml:space="preserve">ohne Waw leitet eine qualifizierende Wiederholung ein.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שְׁמוֹת בְּנֵי אַהֲרֹן</w:t>
      </w:r>
      <w:r w:rsidRPr="00AC36A5">
        <w:rPr>
          <w:rFonts w:eastAsia="Times New Roman" w:cs="Times New Roman"/>
          <w:rtl/>
          <w:lang w:eastAsia="de-DE"/>
        </w:rPr>
        <w:t xml:space="preserve"> </w:t>
      </w:r>
      <w:r w:rsidRPr="00AC36A5">
        <w:rPr>
          <w:rFonts w:eastAsia="Times New Roman" w:cs="Times New Roman"/>
          <w:lang w:eastAsia="de-DE"/>
        </w:rPr>
        <w:t xml:space="preserve">wird durch die appositiven Bestimmungen </w:t>
      </w:r>
      <w:r w:rsidRPr="00AC36A5">
        <w:rPr>
          <w:rFonts w:eastAsia="Times New Roman" w:cs="Times New Roman"/>
          <w:b/>
          <w:bCs/>
          <w:rtl/>
          <w:lang w:eastAsia="de-DE"/>
        </w:rPr>
        <w:t>הַכֹּהֲנִים הַמְּשֻׁחִים</w:t>
      </w:r>
      <w:r w:rsidRPr="00AC36A5">
        <w:rPr>
          <w:rFonts w:eastAsia="Times New Roman" w:cs="Times New Roman"/>
          <w:rtl/>
          <w:lang w:eastAsia="de-DE"/>
        </w:rPr>
        <w:t xml:space="preserve"> </w:t>
      </w:r>
      <w:r w:rsidRPr="00AC36A5">
        <w:rPr>
          <w:rFonts w:eastAsia="Times New Roman" w:cs="Times New Roman"/>
          <w:lang w:eastAsia="de-DE"/>
        </w:rPr>
        <w:t>(die gesalbten Priester) erweitert.</w:t>
      </w:r>
    </w:p>
    <w:p w14:paraId="0221AEF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Partizip </w:t>
      </w:r>
      <w:r w:rsidRPr="00AC36A5">
        <w:rPr>
          <w:rFonts w:eastAsia="Times New Roman" w:cs="Times New Roman"/>
          <w:b/>
          <w:bCs/>
          <w:rtl/>
          <w:lang w:eastAsia="de-DE"/>
        </w:rPr>
        <w:t>הַמְּשֻׁחִים</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משח</w:t>
      </w:r>
      <w:r w:rsidRPr="00AC36A5">
        <w:rPr>
          <w:rFonts w:eastAsia="Times New Roman" w:cs="Times New Roman"/>
          <w:rtl/>
          <w:lang w:eastAsia="de-DE"/>
        </w:rPr>
        <w:t xml:space="preserve"> </w:t>
      </w:r>
      <w:r w:rsidRPr="00AC36A5">
        <w:rPr>
          <w:rFonts w:eastAsia="Times New Roman" w:cs="Times New Roman"/>
          <w:lang w:eastAsia="de-DE"/>
        </w:rPr>
        <w:t>(salben) im Pu'al-Partizip maskulin Plural mit bestimmtem Artikel zeigt die passive Bedeutung "die Gesalbten" und betont den sakramentalen Akt der Priesterweihe.</w:t>
      </w:r>
    </w:p>
    <w:p w14:paraId="6142D7CE" w14:textId="77C1BC8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אֲשֶׁר־מִלֵּא יָדָם לְכַהֵן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מִלֵּא</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מלא</w:t>
      </w:r>
      <w:r w:rsidRPr="00AC36A5">
        <w:rPr>
          <w:rFonts w:eastAsia="Times New Roman" w:cs="Times New Roman"/>
          <w:rtl/>
          <w:lang w:eastAsia="de-DE"/>
        </w:rPr>
        <w:t xml:space="preserve"> </w:t>
      </w:r>
      <w:r w:rsidRPr="00AC36A5">
        <w:rPr>
          <w:rFonts w:eastAsia="Times New Roman" w:cs="Times New Roman"/>
          <w:lang w:eastAsia="de-DE"/>
        </w:rPr>
        <w:t xml:space="preserve">(füllen) im Pi'el-Perfekt 3. maskulin Singular zeigt die idiomatische Wendung </w:t>
      </w:r>
      <w:r w:rsidRPr="00AC36A5">
        <w:rPr>
          <w:rFonts w:eastAsia="Times New Roman" w:cs="Times New Roman"/>
          <w:b/>
          <w:bCs/>
          <w:rtl/>
          <w:lang w:eastAsia="de-DE"/>
        </w:rPr>
        <w:t>מלא יד</w:t>
      </w:r>
      <w:r w:rsidRPr="00AC36A5">
        <w:rPr>
          <w:rFonts w:eastAsia="Times New Roman" w:cs="Times New Roman"/>
          <w:rtl/>
          <w:lang w:eastAsia="de-DE"/>
        </w:rPr>
        <w:t xml:space="preserve"> </w:t>
      </w:r>
      <w:r w:rsidRPr="00AC36A5">
        <w:rPr>
          <w:rFonts w:eastAsia="Times New Roman" w:cs="Times New Roman"/>
          <w:lang w:eastAsia="de-DE"/>
        </w:rPr>
        <w:t xml:space="preserve">(die Hand füllen) für die Priesterweihe. Das Substantiv </w:t>
      </w:r>
      <w:r w:rsidRPr="00AC36A5">
        <w:rPr>
          <w:rFonts w:eastAsia="Times New Roman" w:cs="Times New Roman"/>
          <w:b/>
          <w:bCs/>
          <w:rtl/>
          <w:lang w:eastAsia="de-DE"/>
        </w:rPr>
        <w:t>יָדָם</w:t>
      </w:r>
      <w:r w:rsidRPr="00AC36A5">
        <w:rPr>
          <w:rFonts w:eastAsia="Times New Roman" w:cs="Times New Roman"/>
          <w:rtl/>
          <w:lang w:eastAsia="de-DE"/>
        </w:rPr>
        <w:t xml:space="preserve"> </w:t>
      </w:r>
      <w:r w:rsidRPr="00AC36A5">
        <w:rPr>
          <w:rFonts w:eastAsia="Times New Roman" w:cs="Times New Roman"/>
          <w:lang w:eastAsia="de-DE"/>
        </w:rPr>
        <w:t>(ihre Hand) mit Possessivsuffix 3. maskulin Plural und der 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לְכַהֵן</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כהן</w:t>
      </w:r>
      <w:r w:rsidRPr="00AC36A5">
        <w:rPr>
          <w:rFonts w:eastAsia="Times New Roman" w:cs="Times New Roman"/>
          <w:rtl/>
          <w:lang w:eastAsia="de-DE"/>
        </w:rPr>
        <w:t xml:space="preserve"> </w:t>
      </w:r>
      <w:r w:rsidRPr="00AC36A5">
        <w:rPr>
          <w:rFonts w:eastAsia="Times New Roman" w:cs="Times New Roman"/>
          <w:lang w:eastAsia="de-DE"/>
        </w:rPr>
        <w:t xml:space="preserve">(als Priester dienen)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zeigen den Zweck der Weihe.</w:t>
      </w:r>
    </w:p>
    <w:p w14:paraId="5C5DE702" w14:textId="17CA8AF7" w:rsidR="00AC36A5" w:rsidRPr="00AC36A5" w:rsidRDefault="0064204A"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64204A">
        <w:rPr>
          <w:b/>
          <w:bCs/>
          <w:rtl/>
        </w:rPr>
        <w:t>המשחים</w:t>
      </w:r>
      <w:r>
        <w:t xml:space="preserve"> (hameshuchim - "die Gesalbten") als οἱ ἠλειμμένοι (die Gesalbten) und </w:t>
      </w:r>
      <w:r>
        <w:rPr>
          <w:rtl/>
        </w:rPr>
        <w:t>אשר־מלא ידם</w:t>
      </w:r>
      <w:r>
        <w:t xml:space="preserve"> (asher-mille yadam - "deren Hand gefüllt wurde") als οὓς ἐτελείωσαν τὰς χεῖρας αὐτῶν (deren Hände vollendet wurden), was die Ordinationszeremonie beschreibt.</w:t>
      </w:r>
    </w:p>
    <w:p w14:paraId="19741B29" w14:textId="3DB2AA12"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nominale </w:t>
      </w:r>
      <w:r w:rsidR="00F133EC">
        <w:rPr>
          <w:rFonts w:eastAsia="Times New Roman" w:cs="Times New Roman"/>
          <w:lang w:eastAsia="de-DE"/>
        </w:rPr>
        <w:t>Construct</w:t>
      </w:r>
      <w:r w:rsidRPr="00AC36A5">
        <w:rPr>
          <w:rFonts w:eastAsia="Times New Roman" w:cs="Times New Roman"/>
          <w:lang w:eastAsia="de-DE"/>
        </w:rPr>
        <w:t>ion mit partizipialer und relativischer Erweiterung zur Spezifikation des priesterlichen Status.</w:t>
      </w:r>
    </w:p>
    <w:p w14:paraId="1642A8C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betont die sakramentale Dimension der Priesterweihe durch Salbung und die formelle Einsetzung in das Priesteramt, wodurch die Legitimität der aaronidischen Priesterschaft unterstrichen wird.</w:t>
      </w:r>
    </w:p>
    <w:p w14:paraId="165256B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lastRenderedPageBreak/>
        <w:t>Numeri 3,4</w:t>
      </w:r>
    </w:p>
    <w:p w14:paraId="6FD5F56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וַיָּ֣מָת נָדָ֣ב וַאֲבִיה֣וּא לִפְנֵ֣י יְהוָ֡ה בְּֽהַקְרִבָם֩ אֵ֨שׁ זָרָ֜ה לִפְנֵ֤י יְהוָה֙ בְּמִדְבַּ֣ר סִינַ֔י וּבָנִ֖ים לֹא־הָי֣וּ לָהֶ֑ם וַיְכַהֵ֤ן אֶלְעָזָר֙ וְאִ֣יתָמָ֔ר עַל־פְּנֵ֖י אַהֲרֹ֥ן אֲבִיהֶֽם׃</w:t>
      </w:r>
    </w:p>
    <w:p w14:paraId="7E33AC4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Nadav und Avihu starben vor dem Ewigen, als sie fremdes Feuer vor dem Ewigen in der Wüste Sinai darbrachten, und sie hatten keine Kinder; und El'asar und Itamar dienten als Priester vor ihrem Vater 'Aharon.</w:t>
      </w:r>
    </w:p>
    <w:p w14:paraId="1F662858"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C788EB2">
          <v:rect id="_x0000_i1116" style="width:0;height:1.5pt" o:hralign="center" o:hrstd="t" o:hr="t" fillcolor="#a0a0a0" stroked="f"/>
        </w:pict>
      </w:r>
    </w:p>
    <w:p w14:paraId="2D26832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וַיָּמָת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מות</w:t>
      </w:r>
      <w:r w:rsidRPr="00AC36A5">
        <w:rPr>
          <w:rFonts w:eastAsia="Times New Roman" w:cs="Times New Roman"/>
          <w:rtl/>
          <w:lang w:eastAsia="de-DE"/>
        </w:rPr>
        <w:t xml:space="preserve"> </w:t>
      </w:r>
      <w:r w:rsidRPr="00AC36A5">
        <w:rPr>
          <w:rFonts w:eastAsia="Times New Roman" w:cs="Times New Roman"/>
          <w:lang w:eastAsia="de-DE"/>
        </w:rPr>
        <w:t xml:space="preserve">(sterben) im Qal-Imperfekt 3. maskulin Singular mit Waw consecutivum zeigt das tragische Ende der beiden ältesten Söhne. Das koordinierte Subjekt </w:t>
      </w:r>
      <w:r w:rsidRPr="00AC36A5">
        <w:rPr>
          <w:rFonts w:eastAsia="Times New Roman" w:cs="Times New Roman"/>
          <w:b/>
          <w:bCs/>
          <w:rtl/>
          <w:lang w:eastAsia="de-DE"/>
        </w:rPr>
        <w:t>נָדָב וַאֲבִיהוּא</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לִפְנֵי יְהוָה</w:t>
      </w:r>
      <w:r w:rsidRPr="00AC36A5">
        <w:rPr>
          <w:rFonts w:eastAsia="Times New Roman" w:cs="Times New Roman"/>
          <w:rtl/>
          <w:lang w:eastAsia="de-DE"/>
        </w:rPr>
        <w:t xml:space="preserve"> </w:t>
      </w:r>
      <w:r w:rsidRPr="00AC36A5">
        <w:rPr>
          <w:rFonts w:eastAsia="Times New Roman" w:cs="Times New Roman"/>
          <w:lang w:eastAsia="de-DE"/>
        </w:rPr>
        <w:t>(vor JHWH) betont die sakrale Dimension ihres Todes.</w:t>
      </w:r>
    </w:p>
    <w:p w14:paraId="57B78D1C" w14:textId="634BCD22" w:rsidR="008F2395" w:rsidRDefault="00AC36A5" w:rsidP="008F2395">
      <w:pPr>
        <w:pStyle w:val="whitespace-normal"/>
      </w:pPr>
      <w:r w:rsidRPr="00AC36A5">
        <w:t xml:space="preserve">Der temporale Umstandssatz </w:t>
      </w:r>
      <w:r w:rsidRPr="00AC36A5">
        <w:rPr>
          <w:b/>
          <w:bCs/>
          <w:rtl/>
        </w:rPr>
        <w:t>בְּהַקְרִבָם אֵשׁ זָרָה לִפְנֵי יְהוָה בְּמִדְבַּר סִינַי</w:t>
      </w:r>
      <w:r w:rsidRPr="00AC36A5">
        <w:rPr>
          <w:rtl/>
        </w:rPr>
        <w:t xml:space="preserve"> </w:t>
      </w:r>
      <w:r w:rsidRPr="00AC36A5">
        <w:t xml:space="preserve">mit </w:t>
      </w:r>
      <w:r w:rsidRPr="00AC36A5">
        <w:rPr>
          <w:b/>
          <w:bCs/>
          <w:rtl/>
        </w:rPr>
        <w:t>בְּ</w:t>
      </w:r>
      <w:r w:rsidRPr="00AC36A5">
        <w:rPr>
          <w:rtl/>
        </w:rPr>
        <w:t xml:space="preserve"> </w:t>
      </w:r>
      <w:r w:rsidRPr="00AC36A5">
        <w:t>und dem Hiph'il-Infinitiv-</w:t>
      </w:r>
      <w:r w:rsidR="00F133EC">
        <w:t>Construct</w:t>
      </w:r>
      <w:r w:rsidRPr="00AC36A5">
        <w:t xml:space="preserve"> </w:t>
      </w:r>
      <w:r w:rsidRPr="00AC36A5">
        <w:rPr>
          <w:b/>
          <w:bCs/>
          <w:rtl/>
        </w:rPr>
        <w:t>הַקְרִיב</w:t>
      </w:r>
      <w:r w:rsidRPr="00AC36A5">
        <w:rPr>
          <w:rtl/>
        </w:rPr>
        <w:t xml:space="preserve"> </w:t>
      </w:r>
      <w:r w:rsidRPr="00AC36A5">
        <w:t xml:space="preserve">von </w:t>
      </w:r>
      <w:r w:rsidRPr="00AC36A5">
        <w:rPr>
          <w:b/>
          <w:bCs/>
          <w:rtl/>
        </w:rPr>
        <w:t>קרב</w:t>
      </w:r>
      <w:r w:rsidRPr="00AC36A5">
        <w:rPr>
          <w:rtl/>
        </w:rPr>
        <w:t xml:space="preserve"> </w:t>
      </w:r>
      <w:r w:rsidRPr="00AC36A5">
        <w:t xml:space="preserve">(nahe bringen/opfern) plus Suffix 3. maskulin Plural spezifiziert den Anlass. </w:t>
      </w:r>
      <w:r w:rsidRPr="00AC36A5">
        <w:rPr>
          <w:b/>
          <w:bCs/>
          <w:rtl/>
        </w:rPr>
        <w:t>אֵשׁ זָרָה</w:t>
      </w:r>
      <w:r w:rsidRPr="00AC36A5">
        <w:rPr>
          <w:rtl/>
        </w:rPr>
        <w:t xml:space="preserve"> </w:t>
      </w:r>
      <w:r w:rsidRPr="00AC36A5">
        <w:t xml:space="preserve">(fremdes Feuer) im </w:t>
      </w:r>
      <w:r w:rsidR="00F133EC">
        <w:t>Construct</w:t>
      </w:r>
      <w:r w:rsidRPr="00AC36A5">
        <w:t xml:space="preserve"> bezeichnet das unerlaubte, nicht von Gott gebotene Opferfeuer</w:t>
      </w:r>
      <w:r w:rsidR="008F2395">
        <w:t xml:space="preserve"> (wörtlich: "fremdes/unzugehöriges Feuer") in Lev 10,1 bleibt bewusst vage – der Text spezifiziert nicht, worin das Vergehen bestand. Mögliche Interpretationen:</w:t>
      </w:r>
    </w:p>
    <w:p w14:paraId="37AD405E" w14:textId="77777777" w:rsidR="008F2395" w:rsidRDefault="008F2395" w:rsidP="00C15C06">
      <w:pPr>
        <w:pStyle w:val="whitespace-normal"/>
        <w:numPr>
          <w:ilvl w:val="0"/>
          <w:numId w:val="37"/>
        </w:numPr>
      </w:pPr>
      <w:r>
        <w:rPr>
          <w:rStyle w:val="Fett"/>
        </w:rPr>
        <w:t>Ungebotenes Opfer</w:t>
      </w:r>
      <w:r>
        <w:t>: Feuer ohne göttlichen Befehl (</w:t>
      </w:r>
      <w:r w:rsidRPr="008F2395">
        <w:rPr>
          <w:b/>
          <w:bCs/>
          <w:rtl/>
        </w:rPr>
        <w:t>אֲשֶׁר לֹא צִוָּה אֹתָם</w:t>
      </w:r>
      <w:r>
        <w:t xml:space="preserve"> - "das er ihnen nicht geboten hatte")</w:t>
      </w:r>
    </w:p>
    <w:p w14:paraId="0C8B1DC9" w14:textId="77777777" w:rsidR="008F2395" w:rsidRDefault="008F2395" w:rsidP="00C15C06">
      <w:pPr>
        <w:pStyle w:val="whitespace-normal"/>
        <w:numPr>
          <w:ilvl w:val="0"/>
          <w:numId w:val="37"/>
        </w:numPr>
      </w:pPr>
      <w:r>
        <w:rPr>
          <w:rStyle w:val="Fett"/>
        </w:rPr>
        <w:t>Falsche Quelle</w:t>
      </w:r>
      <w:r>
        <w:t>: Nicht vom Hauptaltar genommenes Feuer</w:t>
      </w:r>
    </w:p>
    <w:p w14:paraId="50024E02" w14:textId="77777777" w:rsidR="008F2395" w:rsidRDefault="008F2395" w:rsidP="00C15C06">
      <w:pPr>
        <w:pStyle w:val="whitespace-normal"/>
        <w:numPr>
          <w:ilvl w:val="0"/>
          <w:numId w:val="37"/>
        </w:numPr>
      </w:pPr>
      <w:r>
        <w:rPr>
          <w:rStyle w:val="Fett"/>
        </w:rPr>
        <w:t>Sakrale Hybris</w:t>
      </w:r>
      <w:r>
        <w:t>: Eigenmächtiges Eindringen ins Allerheiligste (vgl. Lev 16,1-2)</w:t>
      </w:r>
    </w:p>
    <w:p w14:paraId="39811D38" w14:textId="4B8EE3B0" w:rsidR="00AC36A5" w:rsidRPr="00AC36A5" w:rsidRDefault="008F2395" w:rsidP="008F2395">
      <w:pPr>
        <w:pStyle w:val="whitespace-normal"/>
      </w:pPr>
      <w:r>
        <w:t>Die Vagheit ist funktional: Sie etabliert die absolute Souveränität göttlicher Kultordnung und warnt vor jeder Form unautorisierten priesterlichen Handelns. Die Kinderlosigkeit (</w:t>
      </w:r>
      <w:r w:rsidRPr="00AB11ED">
        <w:rPr>
          <w:b/>
          <w:bCs/>
          <w:rtl/>
        </w:rPr>
        <w:t>וּבָנִים לֹא־הָיוּ לָהֶם</w:t>
      </w:r>
      <w:r>
        <w:t>) verhindert dynastische Ansprüche ihrer Linie und konzentriert die Priestererbfolge auf Eleasar und Itamar.</w:t>
      </w:r>
    </w:p>
    <w:p w14:paraId="294AC8D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Nominalsatz </w:t>
      </w:r>
      <w:r w:rsidRPr="00AC36A5">
        <w:rPr>
          <w:rFonts w:eastAsia="Times New Roman" w:cs="Times New Roman"/>
          <w:b/>
          <w:bCs/>
          <w:rtl/>
          <w:lang w:eastAsia="de-DE"/>
        </w:rPr>
        <w:t>וּבָנִים לֹא־הָיוּ לָהֶם</w:t>
      </w:r>
      <w:r w:rsidRPr="00AC36A5">
        <w:rPr>
          <w:rFonts w:eastAsia="Times New Roman" w:cs="Times New Roman"/>
          <w:rtl/>
          <w:lang w:eastAsia="de-DE"/>
        </w:rPr>
        <w:t xml:space="preserve"> </w:t>
      </w:r>
      <w:r w:rsidRPr="00AC36A5">
        <w:rPr>
          <w:rFonts w:eastAsia="Times New Roman" w:cs="Times New Roman"/>
          <w:lang w:eastAsia="de-DE"/>
        </w:rPr>
        <w:t xml:space="preserve">mit der Negation </w:t>
      </w:r>
      <w:r w:rsidRPr="00AC36A5">
        <w:rPr>
          <w:rFonts w:eastAsia="Times New Roman" w:cs="Times New Roman"/>
          <w:b/>
          <w:bCs/>
          <w:rtl/>
          <w:lang w:eastAsia="de-DE"/>
        </w:rPr>
        <w:t>לֹא</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הָיוּ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(sein) im Qal-Perfekt 3. maskulin Plural plus Possessivsuffix 3. maskulin Plural betont die Kinderlosigkeit als bedeutsamen Faktor für die Priestererbfolge.</w:t>
      </w:r>
    </w:p>
    <w:p w14:paraId="350764E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koordinierte Satz </w:t>
      </w:r>
      <w:r w:rsidRPr="00AC36A5">
        <w:rPr>
          <w:rFonts w:eastAsia="Times New Roman" w:cs="Times New Roman"/>
          <w:b/>
          <w:bCs/>
          <w:rtl/>
          <w:lang w:eastAsia="de-DE"/>
        </w:rPr>
        <w:t>וַיְכַהֵן אֶלְעָזָר וְאִיתָמָר עַל־פְּנֵי אַהֲרֹן אֲבִיהֶם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יְכַהֵן</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כהן</w:t>
      </w:r>
      <w:r w:rsidRPr="00AC36A5">
        <w:rPr>
          <w:rFonts w:eastAsia="Times New Roman" w:cs="Times New Roman"/>
          <w:rtl/>
          <w:lang w:eastAsia="de-DE"/>
        </w:rPr>
        <w:t xml:space="preserve"> </w:t>
      </w:r>
      <w:r w:rsidRPr="00AC36A5">
        <w:rPr>
          <w:rFonts w:eastAsia="Times New Roman" w:cs="Times New Roman"/>
          <w:lang w:eastAsia="de-DE"/>
        </w:rPr>
        <w:t xml:space="preserve">(als Priester dienen) im Pi'el-Imperfekt 3. maskulin Singular und der präpositionalen Phrase </w:t>
      </w:r>
      <w:r w:rsidRPr="00AC36A5">
        <w:rPr>
          <w:rFonts w:eastAsia="Times New Roman" w:cs="Times New Roman"/>
          <w:b/>
          <w:bCs/>
          <w:rtl/>
          <w:lang w:eastAsia="de-DE"/>
        </w:rPr>
        <w:t>עַל־פְּנֵי אַהֲרֹן אֲבִיהֶם</w:t>
      </w:r>
      <w:r w:rsidRPr="00AC36A5">
        <w:rPr>
          <w:rFonts w:eastAsia="Times New Roman" w:cs="Times New Roman"/>
          <w:rtl/>
          <w:lang w:eastAsia="de-DE"/>
        </w:rPr>
        <w:t xml:space="preserve"> </w:t>
      </w:r>
      <w:r w:rsidRPr="00AC36A5">
        <w:rPr>
          <w:rFonts w:eastAsia="Times New Roman" w:cs="Times New Roman"/>
          <w:lang w:eastAsia="de-DE"/>
        </w:rPr>
        <w:t>(vor Aaron, ihrem Vater) zeigt die Fortsetzung des Priestertums durch die beiden jüngeren Söhne.</w:t>
      </w:r>
    </w:p>
    <w:p w14:paraId="63E4D251" w14:textId="77777777" w:rsidR="0064204A" w:rsidRDefault="0064204A" w:rsidP="00AC36A5">
      <w:pPr>
        <w:spacing w:before="100" w:beforeAutospacing="1" w:after="100" w:afterAutospacing="1" w:line="240" w:lineRule="auto"/>
      </w:pPr>
      <w:r>
        <w:rPr>
          <w:rStyle w:val="Fett"/>
        </w:rPr>
        <w:t>Die LXX</w:t>
      </w:r>
      <w:r>
        <w:t xml:space="preserve"> übersetzt </w:t>
      </w:r>
      <w:r>
        <w:rPr>
          <w:rtl/>
        </w:rPr>
        <w:t>וימת</w:t>
      </w:r>
      <w:r>
        <w:t xml:space="preserve"> (wayyamot - "und sie starben") als ἐτελεύτησεν (sie verstarben), was ein euphemistischeres Verb ist. </w:t>
      </w:r>
      <w:r>
        <w:rPr>
          <w:rtl/>
        </w:rPr>
        <w:t>על־פני</w:t>
      </w:r>
      <w:r>
        <w:t xml:space="preserve"> (al-penei - "vor dem Angesicht/zu Lebzeiten") wird als μετά (mit) übersetzt, was die Bedeutung leicht verschiebt.</w:t>
      </w:r>
    </w:p>
    <w:p w14:paraId="388BBBFB" w14:textId="4D201C2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Reihe koordinierter Sätze: Todesbericht mit temporaler Spezifikation, Zusatzinformation über Kinderlosigkeit und abschließende Aussage über die Priesterschaftsfortführung.</w:t>
      </w:r>
    </w:p>
    <w:p w14:paraId="63B75756" w14:textId="2632D1EE" w:rsid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Dieser Vers erklärt die dramatische Reduktion der priesterlichen Linie von vier auf zwei Söhne durch den Tod Nadabs und Abihus wegen </w:t>
      </w:r>
      <w:r w:rsidR="00B7514F" w:rsidRPr="00B7514F">
        <w:rPr>
          <w:rStyle w:val="Fett"/>
          <w:b w:val="0"/>
          <w:bCs w:val="0"/>
        </w:rPr>
        <w:t>kultischem</w:t>
      </w:r>
      <w:r w:rsidR="00B7514F">
        <w:t xml:space="preserve"> </w:t>
      </w:r>
      <w:r w:rsidRPr="00AC36A5">
        <w:rPr>
          <w:rFonts w:eastAsia="Times New Roman" w:cs="Times New Roman"/>
          <w:lang w:eastAsia="de-DE"/>
        </w:rPr>
        <w:t>Fehlverhaltens und stellt die Weiterführung des Priestertums durch Eleasar und Itamar sicher.</w:t>
      </w:r>
    </w:p>
    <w:p w14:paraId="2B2149C1" w14:textId="059D27E8" w:rsidR="00AB11ED" w:rsidRDefault="00AB11ED" w:rsidP="00AC36A5">
      <w:pPr>
        <w:spacing w:before="100" w:beforeAutospacing="1" w:after="100" w:afterAutospacing="1" w:line="240" w:lineRule="auto"/>
        <w:rPr>
          <w:b/>
          <w:bCs/>
        </w:rPr>
      </w:pPr>
      <w:r w:rsidRPr="00AB11ED">
        <w:rPr>
          <w:b/>
          <w:bCs/>
        </w:rPr>
        <w:t>Vers 4 vs. Verse 27-32: Kehatiter-Paradoxie</w:t>
      </w:r>
    </w:p>
    <w:p w14:paraId="4852C1BB" w14:textId="77777777" w:rsidR="00AB11ED" w:rsidRDefault="00AB11ED" w:rsidP="00AB11ED">
      <w:pPr>
        <w:pStyle w:val="whitespace-normal"/>
      </w:pPr>
      <w:r>
        <w:t xml:space="preserve">Nadab und Abihu sterben kinderlos (V. 4), aber die </w:t>
      </w:r>
      <w:r>
        <w:rPr>
          <w:rStyle w:val="Fett"/>
        </w:rPr>
        <w:t>Amramiter</w:t>
      </w:r>
      <w:r>
        <w:t xml:space="preserve"> (Nachkommen von Amram, Aarons Vater) sind Teil der Kehatiter-Zählung (V. 27). Dies zeigt:</w:t>
      </w:r>
    </w:p>
    <w:p w14:paraId="29DF040B" w14:textId="77777777" w:rsidR="00AB11ED" w:rsidRDefault="00AB11ED" w:rsidP="00C15C06">
      <w:pPr>
        <w:pStyle w:val="whitespace-normal"/>
        <w:numPr>
          <w:ilvl w:val="0"/>
          <w:numId w:val="42"/>
        </w:numPr>
      </w:pPr>
      <w:r>
        <w:rPr>
          <w:rStyle w:val="Fett"/>
        </w:rPr>
        <w:t>Priester ≠ Leviten</w:t>
      </w:r>
      <w:r>
        <w:t>: Aarons überlebende Söhne (Eleasar, Itamar) sind Priester, nicht Teil der levitischen Untergruppen</w:t>
      </w:r>
    </w:p>
    <w:p w14:paraId="6BAADD0E" w14:textId="77777777" w:rsidR="00AB11ED" w:rsidRDefault="00AB11ED" w:rsidP="00C15C06">
      <w:pPr>
        <w:pStyle w:val="whitespace-normal"/>
        <w:numPr>
          <w:ilvl w:val="0"/>
          <w:numId w:val="42"/>
        </w:numPr>
      </w:pPr>
      <w:r>
        <w:rPr>
          <w:rStyle w:val="Fett"/>
        </w:rPr>
        <w:t>Genealogische Komplexität</w:t>
      </w:r>
      <w:r>
        <w:t>: Die Amramiter umfassen sowohl die priesterliche Linie (Aaron) als auch nicht-priesterliche Nachkommen Amrams</w:t>
      </w:r>
    </w:p>
    <w:p w14:paraId="7910915F" w14:textId="5F729BC8" w:rsidR="00AB11ED" w:rsidRPr="00AB11ED" w:rsidRDefault="00AB11ED" w:rsidP="00C15C06">
      <w:pPr>
        <w:pStyle w:val="whitespace-normal"/>
        <w:numPr>
          <w:ilvl w:val="0"/>
          <w:numId w:val="42"/>
        </w:numPr>
      </w:pPr>
      <w:r>
        <w:rPr>
          <w:rStyle w:val="Fett"/>
        </w:rPr>
        <w:t>Numerische Konsequenz</w:t>
      </w:r>
      <w:r>
        <w:t>: Die 8.600 Kehatiter schließen vermutlich Aarons Haushalt aus, was zur Diskrepanz in V. 39 beitragen könnte</w:t>
      </w:r>
    </w:p>
    <w:p w14:paraId="0B9E5F34"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3,5</w:t>
      </w:r>
    </w:p>
    <w:p w14:paraId="55B7030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לֵּאמֹֽר׃</w:t>
      </w:r>
    </w:p>
    <w:p w14:paraId="68FB81F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sagend:</w:t>
      </w:r>
    </w:p>
    <w:p w14:paraId="13B61F47"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8072EC9">
          <v:rect id="_x0000_i1117" style="width:0;height:1.5pt" o:hralign="center" o:hrstd="t" o:hr="t" fillcolor="#a0a0a0" stroked="f"/>
        </w:pict>
      </w:r>
    </w:p>
    <w:p w14:paraId="4CDA96E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(reden/sprechen) im Qal-Imperfekt 3. maskulin Singular mit Waw consecutivum leitet eine neue göttliche Rede ein. 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אֶל־מֹשֶׁה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(zu) entspricht der etablierten Offenbarungsformel.</w:t>
      </w:r>
    </w:p>
    <w:p w14:paraId="78DBC08E" w14:textId="7E197DA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ist der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und fungiert als Redeeinleitung, die den folgenden Inhalt über die levitische Organisation ankündigt.</w:t>
      </w:r>
    </w:p>
    <w:p w14:paraId="217700F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λέγων und behält die Standardformel bei.</w:t>
      </w:r>
    </w:p>
    <w:p w14:paraId="6D6D0DD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einen einfachen Hauptsatz mit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als Prädikat,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als Subjekt, einer präpositionalen Ergänzung und der charakteristischen Redeeinleitung.</w:t>
      </w:r>
    </w:p>
    <w:p w14:paraId="0BB8286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markiert den Übergang von der genealogischen Darstellung der Priesterschaft zu den spezifischen Anweisungen über die Organisation und Aufgaben der Leviten als Assistenten der Priester.</w:t>
      </w:r>
    </w:p>
    <w:p w14:paraId="32F3B03F"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3,6</w:t>
      </w:r>
    </w:p>
    <w:p w14:paraId="49BD21C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הַקְרֵב֙ אֶת־מַטֵּ֣ה לֵוִ֔י וְֽהַעֲמַדְתָּ֣ אֹתוֹ֔ לִפְנֵ֖י אַהֲרֹ֣ן הַכֹּהֵ֑ן וְשֵׁרְת֖וּ אֹתוֹֽ׃</w:t>
      </w:r>
    </w:p>
    <w:p w14:paraId="77C58E4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Bringe den Stamm Levi herbei und stelle ihn vor 'Aharon, den Priester, dass sie ihm dienen.</w:t>
      </w:r>
    </w:p>
    <w:p w14:paraId="70F13D5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lastRenderedPageBreak/>
        <w:pict w14:anchorId="069AB30F">
          <v:rect id="_x0000_i1118" style="width:0;height:1.5pt" o:hralign="center" o:hrstd="t" o:hr="t" fillcolor="#a0a0a0" stroked="f"/>
        </w:pict>
      </w:r>
    </w:p>
    <w:p w14:paraId="71CA5DB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הַקְרֵב</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קרב</w:t>
      </w:r>
      <w:r w:rsidRPr="00AC36A5">
        <w:rPr>
          <w:rFonts w:eastAsia="Times New Roman" w:cs="Times New Roman"/>
          <w:rtl/>
          <w:lang w:eastAsia="de-DE"/>
        </w:rPr>
        <w:t xml:space="preserve"> </w:t>
      </w:r>
      <w:r w:rsidRPr="00AC36A5">
        <w:rPr>
          <w:rFonts w:eastAsia="Times New Roman" w:cs="Times New Roman"/>
          <w:lang w:eastAsia="de-DE"/>
        </w:rPr>
        <w:t xml:space="preserve">(nahe bringen) im Hiph'il-Imperativ maskulin Singular zeigt die kausative Bedeutung "bringe herbei/führe heran". Das direkte Objekt </w:t>
      </w:r>
      <w:r w:rsidRPr="00AC36A5">
        <w:rPr>
          <w:rFonts w:eastAsia="Times New Roman" w:cs="Times New Roman"/>
          <w:b/>
          <w:bCs/>
          <w:rtl/>
          <w:lang w:eastAsia="de-DE"/>
        </w:rPr>
        <w:t>אֶת־מַטֵּה לֵוִי</w:t>
      </w:r>
      <w:r w:rsidRPr="00AC36A5">
        <w:rPr>
          <w:rFonts w:eastAsia="Times New Roman" w:cs="Times New Roman"/>
          <w:rtl/>
          <w:lang w:eastAsia="de-DE"/>
        </w:rPr>
        <w:t xml:space="preserve"> </w:t>
      </w:r>
      <w:r w:rsidRPr="00AC36A5">
        <w:rPr>
          <w:rFonts w:eastAsia="Times New Roman" w:cs="Times New Roman"/>
          <w:lang w:eastAsia="de-DE"/>
        </w:rPr>
        <w:t>mit nota accusativi bezeichnet den ganzen Stamm Levi als kollektive Einheit.</w:t>
      </w:r>
    </w:p>
    <w:p w14:paraId="7B79F0B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וְהַעֲמַדְתָּ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עמד</w:t>
      </w:r>
      <w:r w:rsidRPr="00AC36A5">
        <w:rPr>
          <w:rFonts w:eastAsia="Times New Roman" w:cs="Times New Roman"/>
          <w:rtl/>
          <w:lang w:eastAsia="de-DE"/>
        </w:rPr>
        <w:t xml:space="preserve"> </w:t>
      </w:r>
      <w:r w:rsidRPr="00AC36A5">
        <w:rPr>
          <w:rFonts w:eastAsia="Times New Roman" w:cs="Times New Roman"/>
          <w:lang w:eastAsia="de-DE"/>
        </w:rPr>
        <w:t xml:space="preserve">(stehen) im Hiph'il-Perfekt 2. maskulin Singular mit Waw consecutivum zeigt "du sollst hinstellen/positionieren". Das direkte Objekt </w:t>
      </w:r>
      <w:r w:rsidRPr="00AC36A5">
        <w:rPr>
          <w:rFonts w:eastAsia="Times New Roman" w:cs="Times New Roman"/>
          <w:b/>
          <w:bCs/>
          <w:rtl/>
          <w:lang w:eastAsia="de-DE"/>
        </w:rPr>
        <w:t>אֹתוֹ</w:t>
      </w:r>
      <w:r w:rsidRPr="00AC36A5">
        <w:rPr>
          <w:rFonts w:eastAsia="Times New Roman" w:cs="Times New Roman"/>
          <w:rtl/>
          <w:lang w:eastAsia="de-DE"/>
        </w:rPr>
        <w:t xml:space="preserve"> </w:t>
      </w:r>
      <w:r w:rsidRPr="00AC36A5">
        <w:rPr>
          <w:rFonts w:eastAsia="Times New Roman" w:cs="Times New Roman"/>
          <w:lang w:eastAsia="de-DE"/>
        </w:rPr>
        <w:t>(ihn) mit Objektsuffix 3. maskulin Singular bezieht sich auf den Stamm als Ganzes.</w:t>
      </w:r>
    </w:p>
    <w:p w14:paraId="1015C34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לִפְנֵי אַהֲרֹן הַכֹּהֵן</w:t>
      </w:r>
      <w:r w:rsidRPr="00AC36A5">
        <w:rPr>
          <w:rFonts w:eastAsia="Times New Roman" w:cs="Times New Roman"/>
          <w:rtl/>
          <w:lang w:eastAsia="de-DE"/>
        </w:rPr>
        <w:t xml:space="preserve"> </w:t>
      </w:r>
      <w:r w:rsidRPr="00AC36A5">
        <w:rPr>
          <w:rFonts w:eastAsia="Times New Roman" w:cs="Times New Roman"/>
          <w:lang w:eastAsia="de-DE"/>
        </w:rPr>
        <w:t xml:space="preserve">(vor Aaron dem Priester) mit </w:t>
      </w:r>
      <w:r w:rsidRPr="00AC36A5">
        <w:rPr>
          <w:rFonts w:eastAsia="Times New Roman" w:cs="Times New Roman"/>
          <w:b/>
          <w:bCs/>
          <w:rtl/>
          <w:lang w:eastAsia="de-DE"/>
        </w:rPr>
        <w:t>לִפְנֵי</w:t>
      </w:r>
      <w:r w:rsidRPr="00AC36A5">
        <w:rPr>
          <w:rFonts w:eastAsia="Times New Roman" w:cs="Times New Roman"/>
          <w:rtl/>
          <w:lang w:eastAsia="de-DE"/>
        </w:rPr>
        <w:t xml:space="preserve"> </w:t>
      </w:r>
      <w:r w:rsidRPr="00AC36A5">
        <w:rPr>
          <w:rFonts w:eastAsia="Times New Roman" w:cs="Times New Roman"/>
          <w:lang w:eastAsia="de-DE"/>
        </w:rPr>
        <w:t>(vor/in Gegenwart von) zeigt die hierarchische Unterordnung der Leviten unter die aaronidische Priesterschaft.</w:t>
      </w:r>
    </w:p>
    <w:p w14:paraId="2DF23AD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Zwecksatz </w:t>
      </w:r>
      <w:r w:rsidRPr="00AC36A5">
        <w:rPr>
          <w:rFonts w:eastAsia="Times New Roman" w:cs="Times New Roman"/>
          <w:b/>
          <w:bCs/>
          <w:rtl/>
          <w:lang w:eastAsia="de-DE"/>
        </w:rPr>
        <w:t>וְשֵׁרְתוּ אֹתוֹ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שֵׁרְתוּ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שרת</w:t>
      </w:r>
      <w:r w:rsidRPr="00AC36A5">
        <w:rPr>
          <w:rFonts w:eastAsia="Times New Roman" w:cs="Times New Roman"/>
          <w:rtl/>
          <w:lang w:eastAsia="de-DE"/>
        </w:rPr>
        <w:t xml:space="preserve"> </w:t>
      </w:r>
      <w:r w:rsidRPr="00AC36A5">
        <w:rPr>
          <w:rFonts w:eastAsia="Times New Roman" w:cs="Times New Roman"/>
          <w:lang w:eastAsia="de-DE"/>
        </w:rPr>
        <w:t xml:space="preserve">(dienen) im Pi'el-Perfekt 3. maskulin Plural und dem Objektsuffix </w:t>
      </w:r>
      <w:r w:rsidRPr="00AC36A5">
        <w:rPr>
          <w:rFonts w:eastAsia="Times New Roman" w:cs="Times New Roman"/>
          <w:b/>
          <w:bCs/>
          <w:rtl/>
          <w:lang w:eastAsia="de-DE"/>
        </w:rPr>
        <w:t>אֹתוֹ</w:t>
      </w:r>
      <w:r w:rsidRPr="00AC36A5">
        <w:rPr>
          <w:rFonts w:eastAsia="Times New Roman" w:cs="Times New Roman"/>
          <w:rtl/>
          <w:lang w:eastAsia="de-DE"/>
        </w:rPr>
        <w:t xml:space="preserve"> </w:t>
      </w:r>
      <w:r w:rsidRPr="00AC36A5">
        <w:rPr>
          <w:rFonts w:eastAsia="Times New Roman" w:cs="Times New Roman"/>
          <w:lang w:eastAsia="de-DE"/>
        </w:rPr>
        <w:t>(ihm) spezifiziert den Zweck der Positionierung als Dienst an Aaron.</w:t>
      </w:r>
    </w:p>
    <w:p w14:paraId="40C70F3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προσάγαγε τὴν φυλὴν Λευι καὶ στήσεις αὐτοὺς ἔναντι Ααρων τοῦ ἱερέως καὶ λειτουργήσουσιν αὐτῷ und behält die hierarchische Struktur bei.</w:t>
      </w:r>
    </w:p>
    <w:p w14:paraId="2FA04A3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zwei koordinierte Imperative mit direkten Objekten und präpositionalen Ergänzungen, gefolgt von einem finalen Zwecksatz.</w:t>
      </w:r>
    </w:p>
    <w:p w14:paraId="334AE1AA" w14:textId="3354951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grundlegende Beziehung zwischen Priestern und Leviten: Die Leviten werden als Assistenten der Priesterschaft eingesetzt und Aaron direkt unterstellt, wodurch die hierarch</w:t>
      </w:r>
      <w:r>
        <w:rPr>
          <w:rFonts w:eastAsia="Times New Roman" w:cs="Times New Roman"/>
          <w:lang w:eastAsia="de-DE"/>
        </w:rPr>
        <w:t>ische Ordnung festgelegt ist..</w:t>
      </w:r>
    </w:p>
    <w:p w14:paraId="301BFC2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3,7</w:t>
      </w:r>
    </w:p>
    <w:p w14:paraId="3CA523A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וְשָׁמְר֣וּ אֶת־מִשְׁמַרְתּוֹ֗ וְאֶת־מִשְׁמֶ֨רֶת֙ כָּל־הָ֣עֵדָ֔ה לִפְנֵ֖י אֹ֣הֶל מוֹעֵ֑ד לַעֲבֹ֖ד אֶת־עֲבֹדַ֥ת הַמִּשְׁכָּֽן׃</w:t>
      </w:r>
    </w:p>
    <w:p w14:paraId="2654D1E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sie sollen seine Aufgabe und die Aufgabe der ganzen Gemeinde vor dem Zelt der Begegnung wahrnehmen, um den Dienst der Wohnung zu verrichten.</w:t>
      </w:r>
    </w:p>
    <w:p w14:paraId="1F061CE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397413B">
          <v:rect id="_x0000_i1119" style="width:0;height:1.5pt" o:hralign="center" o:hrstd="t" o:hr="t" fillcolor="#a0a0a0" stroked="f"/>
        </w:pict>
      </w:r>
    </w:p>
    <w:p w14:paraId="4890BA4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וְשָׁמְרוּ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שמר</w:t>
      </w:r>
      <w:r w:rsidRPr="00AC36A5">
        <w:rPr>
          <w:rFonts w:eastAsia="Times New Roman" w:cs="Times New Roman"/>
          <w:rtl/>
          <w:lang w:eastAsia="de-DE"/>
        </w:rPr>
        <w:t xml:space="preserve"> </w:t>
      </w:r>
      <w:r w:rsidRPr="00AC36A5">
        <w:rPr>
          <w:rFonts w:eastAsia="Times New Roman" w:cs="Times New Roman"/>
          <w:lang w:eastAsia="de-DE"/>
        </w:rPr>
        <w:t xml:space="preserve">(bewachen/wahrnehmen) im Qal-Perfekt 3. maskulin Plural mit Waw consecutivum zeigt die fortlaufende Verpflichtung der Leviten. Das direkte Objekt </w:t>
      </w:r>
      <w:r w:rsidRPr="00AC36A5">
        <w:rPr>
          <w:rFonts w:eastAsia="Times New Roman" w:cs="Times New Roman"/>
          <w:b/>
          <w:bCs/>
          <w:rtl/>
          <w:lang w:eastAsia="de-DE"/>
        </w:rPr>
        <w:t>אֶת־מִשְׁמַרְתּוֹ</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w:t>
      </w:r>
      <w:r w:rsidRPr="00AC36A5">
        <w:rPr>
          <w:rFonts w:eastAsia="Times New Roman" w:cs="Times New Roman"/>
          <w:b/>
          <w:bCs/>
          <w:rtl/>
          <w:lang w:eastAsia="de-DE"/>
        </w:rPr>
        <w:t>מִשְׁמֶרֶת</w:t>
      </w:r>
      <w:r w:rsidRPr="00AC36A5">
        <w:rPr>
          <w:rFonts w:eastAsia="Times New Roman" w:cs="Times New Roman"/>
          <w:rtl/>
          <w:lang w:eastAsia="de-DE"/>
        </w:rPr>
        <w:t xml:space="preserve"> </w:t>
      </w:r>
      <w:r w:rsidRPr="00AC36A5">
        <w:rPr>
          <w:rFonts w:eastAsia="Times New Roman" w:cs="Times New Roman"/>
          <w:lang w:eastAsia="de-DE"/>
        </w:rPr>
        <w:t>(Wache/Aufsicht/Aufgabe) plus Possessivsuffix 3. maskulin Singular bezieht sich auf Aarons spezifische Aufgaben.</w:t>
      </w:r>
    </w:p>
    <w:p w14:paraId="73469A71" w14:textId="00E5697F"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וְאֶת־מִשְׁמֶרֶת כָּל־הָעֵדָה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מִשְׁמֶרֶת</w:t>
      </w:r>
      <w:r w:rsidRPr="00AC36A5">
        <w:rPr>
          <w:rFonts w:eastAsia="Times New Roman" w:cs="Times New Roman"/>
          <w:rtl/>
          <w:lang w:eastAsia="de-DE"/>
        </w:rPr>
        <w:t xml:space="preserve"> </w:t>
      </w:r>
      <w:r w:rsidRPr="00AC36A5">
        <w:rPr>
          <w:rFonts w:eastAsia="Times New Roman" w:cs="Times New Roman"/>
          <w:lang w:eastAsia="de-DE"/>
        </w:rPr>
        <w:t xml:space="preserve">(Aufgabe)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כָּל־הָעֵדָה</w:t>
      </w:r>
      <w:r w:rsidRPr="00AC36A5">
        <w:rPr>
          <w:rFonts w:eastAsia="Times New Roman" w:cs="Times New Roman"/>
          <w:rtl/>
          <w:lang w:eastAsia="de-DE"/>
        </w:rPr>
        <w:t xml:space="preserve"> </w:t>
      </w:r>
      <w:r w:rsidRPr="00AC36A5">
        <w:rPr>
          <w:rFonts w:eastAsia="Times New Roman" w:cs="Times New Roman"/>
          <w:lang w:eastAsia="de-DE"/>
        </w:rPr>
        <w:t>(die ganze Gemeinde) zeigt die doppelte Verantwortung der Leviten: sowohl für die priesterlichen als auch für die gemeinschaftlichen Bedürfnisse.</w:t>
      </w:r>
    </w:p>
    <w:p w14:paraId="769FD5C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Ortsbestimmung </w:t>
      </w:r>
      <w:r w:rsidRPr="00AC36A5">
        <w:rPr>
          <w:rFonts w:eastAsia="Times New Roman" w:cs="Times New Roman"/>
          <w:b/>
          <w:bCs/>
          <w:rtl/>
          <w:lang w:eastAsia="de-DE"/>
        </w:rPr>
        <w:t>לִפְנֵי אֹהֶל מוֹעֵד</w:t>
      </w:r>
      <w:r w:rsidRPr="00AC36A5">
        <w:rPr>
          <w:rFonts w:eastAsia="Times New Roman" w:cs="Times New Roman"/>
          <w:rtl/>
          <w:lang w:eastAsia="de-DE"/>
        </w:rPr>
        <w:t xml:space="preserve"> </w:t>
      </w:r>
      <w:r w:rsidRPr="00AC36A5">
        <w:rPr>
          <w:rFonts w:eastAsia="Times New Roman" w:cs="Times New Roman"/>
          <w:lang w:eastAsia="de-DE"/>
        </w:rPr>
        <w:t xml:space="preserve">(vor dem Zelt der Begegnung) mit </w:t>
      </w:r>
      <w:r w:rsidRPr="00AC36A5">
        <w:rPr>
          <w:rFonts w:eastAsia="Times New Roman" w:cs="Times New Roman"/>
          <w:b/>
          <w:bCs/>
          <w:rtl/>
          <w:lang w:eastAsia="de-DE"/>
        </w:rPr>
        <w:t>לִפְנֵי</w:t>
      </w:r>
      <w:r w:rsidRPr="00AC36A5">
        <w:rPr>
          <w:rFonts w:eastAsia="Times New Roman" w:cs="Times New Roman"/>
          <w:rtl/>
          <w:lang w:eastAsia="de-DE"/>
        </w:rPr>
        <w:t xml:space="preserve"> </w:t>
      </w:r>
      <w:r w:rsidRPr="00AC36A5">
        <w:rPr>
          <w:rFonts w:eastAsia="Times New Roman" w:cs="Times New Roman"/>
          <w:lang w:eastAsia="de-DE"/>
        </w:rPr>
        <w:t>lokalisiert den Dienstbereich am Heiligtum.</w:t>
      </w:r>
    </w:p>
    <w:p w14:paraId="6CD98038" w14:textId="0E4B1DFF"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Der Zwecksatz </w:t>
      </w:r>
      <w:r w:rsidRPr="00AC36A5">
        <w:rPr>
          <w:rFonts w:eastAsia="Times New Roman" w:cs="Times New Roman"/>
          <w:b/>
          <w:bCs/>
          <w:rtl/>
          <w:lang w:eastAsia="de-DE"/>
        </w:rPr>
        <w:t>לַעֲבֹד אֶת־עֲבֹדַת הַמִּשְׁכָּן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לַעֲבֹד</w:t>
      </w:r>
      <w:r w:rsidRPr="00AC36A5">
        <w:rPr>
          <w:rFonts w:eastAsia="Times New Roman" w:cs="Times New Roman"/>
          <w:rtl/>
          <w:lang w:eastAsia="de-DE"/>
        </w:rPr>
        <w:t xml:space="preserve"> </w:t>
      </w:r>
      <w:r w:rsidRPr="00AC36A5">
        <w:rPr>
          <w:rFonts w:eastAsia="Times New Roman" w:cs="Times New Roman"/>
          <w:lang w:eastAsia="de-DE"/>
        </w:rPr>
        <w:t>(um zu arbeiten/dienen) als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 xml:space="preserve">und dem direkten Objekt </w:t>
      </w:r>
      <w:r w:rsidRPr="00AC36A5">
        <w:rPr>
          <w:rFonts w:eastAsia="Times New Roman" w:cs="Times New Roman"/>
          <w:b/>
          <w:bCs/>
          <w:rtl/>
          <w:lang w:eastAsia="de-DE"/>
        </w:rPr>
        <w:t>אֶת־עֲבֹדַת הַמִּשְׁכָּן</w:t>
      </w:r>
      <w:r w:rsidRPr="00AC36A5">
        <w:rPr>
          <w:rFonts w:eastAsia="Times New Roman" w:cs="Times New Roman"/>
          <w:rtl/>
          <w:lang w:eastAsia="de-DE"/>
        </w:rPr>
        <w:t xml:space="preserve"> </w:t>
      </w:r>
      <w:r w:rsidRPr="00AC36A5">
        <w:rPr>
          <w:rFonts w:eastAsia="Times New Roman" w:cs="Times New Roman"/>
          <w:lang w:eastAsia="de-DE"/>
        </w:rPr>
        <w:t xml:space="preserve">im </w:t>
      </w:r>
      <w:r w:rsidR="00F133EC">
        <w:rPr>
          <w:rFonts w:eastAsia="Times New Roman" w:cs="Times New Roman"/>
          <w:lang w:eastAsia="de-DE"/>
        </w:rPr>
        <w:t>Construct</w:t>
      </w:r>
      <w:r w:rsidRPr="00AC36A5">
        <w:rPr>
          <w:rFonts w:eastAsia="Times New Roman" w:cs="Times New Roman"/>
          <w:lang w:eastAsia="de-DE"/>
        </w:rPr>
        <w:t xml:space="preserve"> (Dienst der Wohnung) spezifiziert den Zweck der levitischen Tätigkeit.</w:t>
      </w:r>
    </w:p>
    <w:p w14:paraId="6F18DC7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φυλάξουσιν τὴν φυλακὴν αὐτοῦ καὶ τὴν φυλακὴν τῶν υἱῶν Ισραηλ ἔναντι τῆς σκηνῆς τοῦ μαρτυρίου und erweitert interpretativ zu "Söhne Israels".</w:t>
      </w:r>
    </w:p>
    <w:p w14:paraId="27CE2E9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Verbalsatz mit koordinierten direkten Objekten, lokaler Bestimmung und finalem Zwecksatz.</w:t>
      </w:r>
    </w:p>
    <w:p w14:paraId="2BDD8E8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definiert die levitischen Aufgaben als doppelte Verantwortung: Unterstützung der Priester und Dienst für die gesamte Gemeinde am Heiligtum, wodurch die Mittlerrolle der Leviten zwischen Priestern und Volk etabliert wird.</w:t>
      </w:r>
    </w:p>
    <w:p w14:paraId="6DB28632"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3,8</w:t>
      </w:r>
    </w:p>
    <w:p w14:paraId="74D3173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וְשָׁמְר֗וּ אֶֽת־כָּל־כְּלֵי֙ אֹ֣הֶל מוֹעֵ֔ד וְאֶת־מִשְׁמֶ֖רֶת בְּנֵ֣י יִשְׂרָאֵ֑ל לַעֲבֹ֖ד אֶת־עֲבֹדַ֥ת הַמִּשְׁכָּֽן׃</w:t>
      </w:r>
    </w:p>
    <w:p w14:paraId="612F485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sie sollen alle Geräte des Zeltes der Begegnung und die Aufsicht der Söhne Jisra'el wahrnehmen, um den Dienst der Wohnung zu verrichten.</w:t>
      </w:r>
    </w:p>
    <w:p w14:paraId="6DF80374"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CAE5937">
          <v:rect id="_x0000_i1120" style="width:0;height:1.5pt" o:hralign="center" o:hrstd="t" o:hr="t" fillcolor="#a0a0a0" stroked="f"/>
        </w:pict>
      </w:r>
    </w:p>
    <w:p w14:paraId="5EA97A04" w14:textId="5F130A26"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וְשָׁמְרוּ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שמר</w:t>
      </w:r>
      <w:r w:rsidRPr="00AC36A5">
        <w:rPr>
          <w:rFonts w:eastAsia="Times New Roman" w:cs="Times New Roman"/>
          <w:rtl/>
          <w:lang w:eastAsia="de-DE"/>
        </w:rPr>
        <w:t xml:space="preserve"> </w:t>
      </w:r>
      <w:r w:rsidRPr="00AC36A5">
        <w:rPr>
          <w:rFonts w:eastAsia="Times New Roman" w:cs="Times New Roman"/>
          <w:lang w:eastAsia="de-DE"/>
        </w:rPr>
        <w:t xml:space="preserve">(bewachen/wahrnehmen) wiederholt die Grundfunktion aus dem vorherigen Vers und betont die kontinuierliche Verantwortung. Das direkte Objekt </w:t>
      </w:r>
      <w:r w:rsidRPr="00AC36A5">
        <w:rPr>
          <w:rFonts w:eastAsia="Times New Roman" w:cs="Times New Roman"/>
          <w:b/>
          <w:bCs/>
          <w:rtl/>
          <w:lang w:eastAsia="de-DE"/>
        </w:rPr>
        <w:t>אֶת־כָּל־כְּלֵי אֹהֶל מוֹעֵד</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(alle) und </w:t>
      </w:r>
      <w:r w:rsidRPr="00AC36A5">
        <w:rPr>
          <w:rFonts w:eastAsia="Times New Roman" w:cs="Times New Roman"/>
          <w:b/>
          <w:bCs/>
          <w:rtl/>
          <w:lang w:eastAsia="de-DE"/>
        </w:rPr>
        <w:t>כְּלֵי</w:t>
      </w:r>
      <w:r w:rsidRPr="00AC36A5">
        <w:rPr>
          <w:rFonts w:eastAsia="Times New Roman" w:cs="Times New Roman"/>
          <w:rtl/>
          <w:lang w:eastAsia="de-DE"/>
        </w:rPr>
        <w:t xml:space="preserve"> </w:t>
      </w:r>
      <w:r w:rsidRPr="00AC36A5">
        <w:rPr>
          <w:rFonts w:eastAsia="Times New Roman" w:cs="Times New Roman"/>
          <w:lang w:eastAsia="de-DE"/>
        </w:rPr>
        <w:t xml:space="preserve">(Geräte, Plural von </w:t>
      </w:r>
      <w:r w:rsidRPr="00AC36A5">
        <w:rPr>
          <w:rFonts w:eastAsia="Times New Roman" w:cs="Times New Roman"/>
          <w:b/>
          <w:bCs/>
          <w:rtl/>
          <w:lang w:eastAsia="de-DE"/>
        </w:rPr>
        <w:t>כְּלִי</w:t>
      </w:r>
      <w:r w:rsidRPr="00AC36A5">
        <w:rPr>
          <w:rFonts w:eastAsia="Times New Roman" w:cs="Times New Roman"/>
          <w:lang w:eastAsia="de-DE"/>
        </w:rPr>
        <w:t xml:space="preserve">)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אֹהֶל מוֹעֵד</w:t>
      </w:r>
      <w:r w:rsidRPr="00AC36A5">
        <w:rPr>
          <w:rFonts w:eastAsia="Times New Roman" w:cs="Times New Roman"/>
          <w:rtl/>
          <w:lang w:eastAsia="de-DE"/>
        </w:rPr>
        <w:t xml:space="preserve"> </w:t>
      </w:r>
      <w:r w:rsidRPr="00AC36A5">
        <w:rPr>
          <w:rFonts w:eastAsia="Times New Roman" w:cs="Times New Roman"/>
          <w:lang w:eastAsia="de-DE"/>
        </w:rPr>
        <w:t>spezifiziert die materielle Dimension der Aufsicht.</w:t>
      </w:r>
    </w:p>
    <w:p w14:paraId="26BAD57B" w14:textId="52B0805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וְאֶת־מִשְׁמֶרֶת בְּנֵי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מִשְׁמֶרֶת</w:t>
      </w:r>
      <w:r w:rsidRPr="00AC36A5">
        <w:rPr>
          <w:rFonts w:eastAsia="Times New Roman" w:cs="Times New Roman"/>
          <w:rtl/>
          <w:lang w:eastAsia="de-DE"/>
        </w:rPr>
        <w:t xml:space="preserve"> </w:t>
      </w:r>
      <w:r w:rsidRPr="00AC36A5">
        <w:rPr>
          <w:rFonts w:eastAsia="Times New Roman" w:cs="Times New Roman"/>
          <w:lang w:eastAsia="de-DE"/>
        </w:rPr>
        <w:t xml:space="preserve">(Aufsicht)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בְּנֵי יִשְׂרָאֵל</w:t>
      </w:r>
      <w:r w:rsidRPr="00AC36A5">
        <w:rPr>
          <w:rFonts w:eastAsia="Times New Roman" w:cs="Times New Roman"/>
          <w:rtl/>
          <w:lang w:eastAsia="de-DE"/>
        </w:rPr>
        <w:t xml:space="preserve"> </w:t>
      </w:r>
      <w:r w:rsidRPr="00AC36A5">
        <w:rPr>
          <w:rFonts w:eastAsia="Times New Roman" w:cs="Times New Roman"/>
          <w:lang w:eastAsia="de-DE"/>
        </w:rPr>
        <w:t>(Söhne Israels) erweitert die Verantwortung auf das ganze Volk, nicht nur die Gemeinde.</w:t>
      </w:r>
    </w:p>
    <w:p w14:paraId="689C83F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finale Zwecksatz </w:t>
      </w:r>
      <w:r w:rsidRPr="00AC36A5">
        <w:rPr>
          <w:rFonts w:eastAsia="Times New Roman" w:cs="Times New Roman"/>
          <w:b/>
          <w:bCs/>
          <w:rtl/>
          <w:lang w:eastAsia="de-DE"/>
        </w:rPr>
        <w:t>לַעֲבֹד אֶת־עֲבֹדַת הַמִּשְׁכָּן</w:t>
      </w:r>
      <w:r w:rsidRPr="00AC36A5">
        <w:rPr>
          <w:rFonts w:eastAsia="Times New Roman" w:cs="Times New Roman"/>
          <w:rtl/>
          <w:lang w:eastAsia="de-DE"/>
        </w:rPr>
        <w:t xml:space="preserve"> </w:t>
      </w:r>
      <w:r w:rsidRPr="00AC36A5">
        <w:rPr>
          <w:rFonts w:eastAsia="Times New Roman" w:cs="Times New Roman"/>
          <w:lang w:eastAsia="de-DE"/>
        </w:rPr>
        <w:t>wiederholt exakt die Formulierung aus Vers 7 und unterstreicht die Einheit des levitischen Dienstes trotz unterschiedlicher Aspekte.</w:t>
      </w:r>
    </w:p>
    <w:p w14:paraId="57802C2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φυλάξουσιν πάντα τὰ σκεύη τῆς σκηνῆς τοῦ μαρτυρίου καὶ τὴν φυλακὴν υἱῶν Ισραηλ und behält die Struktur bei.</w:t>
      </w:r>
    </w:p>
    <w:p w14:paraId="6B2A59D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Verbalsatz mit koordinierten direkten Objekten und finalem Zwecksatz, wobei die Parallelität zu Vers 7 die systematische Darstellung der levitischen Aufgaben unterstreicht.</w:t>
      </w:r>
    </w:p>
    <w:p w14:paraId="52C645A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konkretisiert die levitischen Verantwortlichkeiten durch die Betonung der Gerätepflege und erweitert den Aufsichtsbereich auf alle Israeliten, wodurch die umfassende Dienstrolle der Leviten am Heiligtum verdeutlicht wird.</w:t>
      </w:r>
    </w:p>
    <w:p w14:paraId="1B6A234F"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3,9</w:t>
      </w:r>
    </w:p>
    <w:p w14:paraId="51D93DC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Hebräisch:</w:t>
      </w:r>
      <w:r w:rsidRPr="00AC36A5">
        <w:rPr>
          <w:rFonts w:eastAsia="Times New Roman" w:cs="Times New Roman"/>
          <w:lang w:eastAsia="de-DE"/>
        </w:rPr>
        <w:t xml:space="preserve"> </w:t>
      </w:r>
      <w:r w:rsidRPr="00AC36A5">
        <w:rPr>
          <w:rFonts w:eastAsia="Times New Roman" w:cs="Times New Roman"/>
          <w:rtl/>
          <w:lang w:eastAsia="de-DE"/>
        </w:rPr>
        <w:t>וְנָתַתָּה֙ אֶת־הַלְוִיִּ֔ם לְאַהֲרֹ֖ן וּלְבָנָ֑יו נְתוּנִ֨ם נְתוּנִ֥ם הֵ֨מָּה֙ לוֹ֔ מֵאֵ֖ת בְּנֵ֥י יִשְׂרָאֵֽל׃</w:t>
      </w:r>
    </w:p>
    <w:p w14:paraId="1624D2D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du sollst die Levijim 'Aharon und seinen Söhnen geben; ganz zu eigen sind sie ihm von den Söhnen Jisra'el gegeben.</w:t>
      </w:r>
    </w:p>
    <w:p w14:paraId="1DB9552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7A15238">
          <v:rect id="_x0000_i1121" style="width:0;height:1.5pt" o:hralign="center" o:hrstd="t" o:hr="t" fillcolor="#a0a0a0" stroked="f"/>
        </w:pict>
      </w:r>
    </w:p>
    <w:p w14:paraId="6A03905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וְנָתַתָּה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 im Qal-Perfekt 2. maskulin Singular mit Waw consecutivum zeigt die göttliche Anweisung an Mose. Das direkte Objekt </w:t>
      </w:r>
      <w:r w:rsidRPr="00AC36A5">
        <w:rPr>
          <w:rFonts w:eastAsia="Times New Roman" w:cs="Times New Roman"/>
          <w:b/>
          <w:bCs/>
          <w:rtl/>
          <w:lang w:eastAsia="de-DE"/>
        </w:rPr>
        <w:t>אֶת־הַלְוִיִּם</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die koordinierte präpositionale Phrase </w:t>
      </w:r>
      <w:r w:rsidRPr="00AC36A5">
        <w:rPr>
          <w:rFonts w:eastAsia="Times New Roman" w:cs="Times New Roman"/>
          <w:b/>
          <w:bCs/>
          <w:rtl/>
          <w:lang w:eastAsia="de-DE"/>
        </w:rPr>
        <w:t>לְאַהֲרֹן וּלְבָנָיו</w:t>
      </w:r>
      <w:r w:rsidRPr="00AC36A5">
        <w:rPr>
          <w:rFonts w:eastAsia="Times New Roman" w:cs="Times New Roman"/>
          <w:rtl/>
          <w:lang w:eastAsia="de-DE"/>
        </w:rPr>
        <w:t xml:space="preserve"> </w:t>
      </w:r>
      <w:r w:rsidRPr="00AC36A5">
        <w:rPr>
          <w:rFonts w:eastAsia="Times New Roman" w:cs="Times New Roman"/>
          <w:lang w:eastAsia="de-DE"/>
        </w:rPr>
        <w:t xml:space="preserve">(Aaron und seinen Söhnen)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zeigt die Übertragung der Leviten an die Priesterschaft.</w:t>
      </w:r>
    </w:p>
    <w:p w14:paraId="25C5C3D5" w14:textId="04A830F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emphatische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נְתוּנִם נְתוּנִם הֵמָּה לוֹ</w:t>
      </w:r>
      <w:r w:rsidRPr="00AC36A5">
        <w:rPr>
          <w:rFonts w:eastAsia="Times New Roman" w:cs="Times New Roman"/>
          <w:rtl/>
          <w:lang w:eastAsia="de-DE"/>
        </w:rPr>
        <w:t xml:space="preserve"> </w:t>
      </w:r>
      <w:r w:rsidRPr="00AC36A5">
        <w:rPr>
          <w:rFonts w:eastAsia="Times New Roman" w:cs="Times New Roman"/>
          <w:lang w:eastAsia="de-DE"/>
        </w:rPr>
        <w:t xml:space="preserve">zeigt eine charakteristische hebräische Reduplikation zur Verstärkung. </w:t>
      </w:r>
      <w:r w:rsidRPr="00AC36A5">
        <w:rPr>
          <w:rFonts w:eastAsia="Times New Roman" w:cs="Times New Roman"/>
          <w:b/>
          <w:bCs/>
          <w:rtl/>
          <w:lang w:eastAsia="de-DE"/>
        </w:rPr>
        <w:t>נְתוּנִם</w:t>
      </w:r>
      <w:r w:rsidRPr="00AC36A5">
        <w:rPr>
          <w:rFonts w:eastAsia="Times New Roman" w:cs="Times New Roman"/>
          <w:rtl/>
          <w:lang w:eastAsia="de-DE"/>
        </w:rPr>
        <w:t xml:space="preserve"> </w:t>
      </w:r>
      <w:r w:rsidRPr="00AC36A5">
        <w:rPr>
          <w:rFonts w:eastAsia="Times New Roman" w:cs="Times New Roman"/>
          <w:lang w:eastAsia="de-DE"/>
        </w:rPr>
        <w:t xml:space="preserve">ist das Qal-Partizip Passiv Plural 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(gegeben) mit Possessivsuffix 3. maskulin Plural. Die Doppelung </w:t>
      </w:r>
      <w:r w:rsidRPr="00AC36A5">
        <w:rPr>
          <w:rFonts w:eastAsia="Times New Roman" w:cs="Times New Roman"/>
          <w:b/>
          <w:bCs/>
          <w:rtl/>
          <w:lang w:eastAsia="de-DE"/>
        </w:rPr>
        <w:t>נְתוּנִם נְתוּנִים</w:t>
      </w:r>
      <w:r w:rsidRPr="00AC36A5">
        <w:rPr>
          <w:rFonts w:eastAsia="Times New Roman" w:cs="Times New Roman"/>
          <w:rtl/>
          <w:lang w:eastAsia="de-DE"/>
        </w:rPr>
        <w:t xml:space="preserve"> </w:t>
      </w:r>
      <w:r w:rsidRPr="00AC36A5">
        <w:rPr>
          <w:rFonts w:eastAsia="Times New Roman" w:cs="Times New Roman"/>
          <w:lang w:eastAsia="de-DE"/>
        </w:rPr>
        <w:t xml:space="preserve">betont die Vollständigkeit der Übergabe. </w:t>
      </w:r>
      <w:r w:rsidRPr="00AC36A5">
        <w:rPr>
          <w:rFonts w:eastAsia="Times New Roman" w:cs="Times New Roman"/>
          <w:b/>
          <w:bCs/>
          <w:rtl/>
          <w:lang w:eastAsia="de-DE"/>
        </w:rPr>
        <w:t>הֵמָּה</w:t>
      </w:r>
      <w:r w:rsidRPr="00AC36A5">
        <w:rPr>
          <w:rFonts w:eastAsia="Times New Roman" w:cs="Times New Roman"/>
          <w:rtl/>
          <w:lang w:eastAsia="de-DE"/>
        </w:rPr>
        <w:t xml:space="preserve"> </w:t>
      </w:r>
      <w:r w:rsidRPr="00AC36A5">
        <w:rPr>
          <w:rFonts w:eastAsia="Times New Roman" w:cs="Times New Roman"/>
          <w:lang w:eastAsia="de-DE"/>
        </w:rPr>
        <w:t xml:space="preserve">(sie) ist das emphatische Personalpronomen 3. maskulin Plural und </w:t>
      </w:r>
      <w:r w:rsidRPr="00AC36A5">
        <w:rPr>
          <w:rFonts w:eastAsia="Times New Roman" w:cs="Times New Roman"/>
          <w:b/>
          <w:bCs/>
          <w:rtl/>
          <w:lang w:eastAsia="de-DE"/>
        </w:rPr>
        <w:t>לוֹ</w:t>
      </w:r>
      <w:r w:rsidRPr="00AC36A5">
        <w:rPr>
          <w:rFonts w:eastAsia="Times New Roman" w:cs="Times New Roman"/>
          <w:rtl/>
          <w:lang w:eastAsia="de-DE"/>
        </w:rPr>
        <w:t xml:space="preserve"> </w:t>
      </w:r>
      <w:r w:rsidRPr="00AC36A5">
        <w:rPr>
          <w:rFonts w:eastAsia="Times New Roman" w:cs="Times New Roman"/>
          <w:lang w:eastAsia="de-DE"/>
        </w:rPr>
        <w:t>(ihm) das Possessivsuffix 3. maskulin Singular.</w:t>
      </w:r>
    </w:p>
    <w:p w14:paraId="2EF694E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מֵאֵת בְּנֵי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מֵאֵת</w:t>
      </w:r>
      <w:r w:rsidRPr="00AC36A5">
        <w:rPr>
          <w:rFonts w:eastAsia="Times New Roman" w:cs="Times New Roman"/>
          <w:rtl/>
          <w:lang w:eastAsia="de-DE"/>
        </w:rPr>
        <w:t xml:space="preserve"> </w:t>
      </w:r>
      <w:r w:rsidRPr="00AC36A5">
        <w:rPr>
          <w:rFonts w:eastAsia="Times New Roman" w:cs="Times New Roman"/>
          <w:lang w:eastAsia="de-DE"/>
        </w:rPr>
        <w:t>(von/aus) zeigt die Herkunft der Leviten als Vertreter des ganzen Volkes.</w:t>
      </w:r>
    </w:p>
    <w:p w14:paraId="44BA2EB1" w14:textId="70620B38" w:rsidR="00AC36A5" w:rsidRPr="00AC36A5" w:rsidRDefault="0064204A" w:rsidP="00AC36A5">
      <w:pPr>
        <w:spacing w:before="100" w:beforeAutospacing="1" w:after="100" w:afterAutospacing="1" w:line="240" w:lineRule="auto"/>
        <w:rPr>
          <w:rFonts w:eastAsia="Times New Roman" w:cs="Times New Roman"/>
          <w:lang w:eastAsia="de-DE"/>
        </w:rPr>
      </w:pPr>
      <w:r>
        <w:rPr>
          <w:rStyle w:val="Fett"/>
        </w:rPr>
        <w:t>Die LXX</w:t>
      </w:r>
      <w:r>
        <w:t xml:space="preserve"> betont die doppelte Gabe: </w:t>
      </w:r>
      <w:r>
        <w:rPr>
          <w:rtl/>
        </w:rPr>
        <w:t>נתונם נתונם</w:t>
      </w:r>
      <w:r>
        <w:t xml:space="preserve"> (netunim netunim - "Gegebene, Gegebene") wird als δόμα δεδομένοι (Gabe, Gegebene) übersetzt, was die rhetorische Verdoppelung beibehält.</w:t>
      </w:r>
    </w:p>
    <w:p w14:paraId="359E038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Hauptsatz mit Verb, direktem und indirektem Objekt, gefolgt von einer emphatischen Bestätigungsformel mit Herkunftsangabe.</w:t>
      </w:r>
    </w:p>
    <w:p w14:paraId="09FB54D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vollständige Unterordnung der Leviten unter die aaronidische Priesterschaft durch die emphatische Doppelung "gegeben, gegeben" und betont gleichzeitig, dass sie als Vertreter des ganzen Volkes Israel fungieren.</w:t>
      </w:r>
    </w:p>
    <w:p w14:paraId="09F1EE42"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3,10</w:t>
      </w:r>
    </w:p>
    <w:p w14:paraId="214E180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וְאֶת־אַהֲרֹ֤ן וְאֶת־בָּנָיו֙ תִּפְקֹ֔ד וְשָׁמְר֖וּ אֶת־כְּהֻנָּתָ֑ם וְהַזָּ֥ר הַקָּרֵ֖ב יוּמָֽת׃</w:t>
      </w:r>
    </w:p>
    <w:p w14:paraId="4BFC3A9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'Aharon und seine Söhne sollst du beauftragen, dass sie ihr Priestertum wahren; und der Fremde, der sich nähert, soll getötet werden.</w:t>
      </w:r>
    </w:p>
    <w:p w14:paraId="2660138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2DC13DF">
          <v:rect id="_x0000_i1122" style="width:0;height:1.5pt" o:hralign="center" o:hrstd="t" o:hr="t" fillcolor="#a0a0a0" stroked="f"/>
        </w:pict>
      </w:r>
    </w:p>
    <w:p w14:paraId="4EDA4B7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direkte Objekt </w:t>
      </w:r>
      <w:r w:rsidRPr="00AC36A5">
        <w:rPr>
          <w:rFonts w:eastAsia="Times New Roman" w:cs="Times New Roman"/>
          <w:b/>
          <w:bCs/>
          <w:rtl/>
          <w:lang w:eastAsia="de-DE"/>
        </w:rPr>
        <w:t>וְאֶת־אַהֲרֹן וְאֶת־בָּנָיו</w:t>
      </w:r>
      <w:r w:rsidRPr="00AC36A5">
        <w:rPr>
          <w:rFonts w:eastAsia="Times New Roman" w:cs="Times New Roman"/>
          <w:rtl/>
          <w:lang w:eastAsia="de-DE"/>
        </w:rPr>
        <w:t xml:space="preserve"> </w:t>
      </w:r>
      <w:r w:rsidRPr="00AC36A5">
        <w:rPr>
          <w:rFonts w:eastAsia="Times New Roman" w:cs="Times New Roman"/>
          <w:lang w:eastAsia="de-DE"/>
        </w:rPr>
        <w:t xml:space="preserve">mit doppelter nota accusativi betont die vollständige priesterliche Linie. Das Verb </w:t>
      </w:r>
      <w:r w:rsidRPr="00AC36A5">
        <w:rPr>
          <w:rFonts w:eastAsia="Times New Roman" w:cs="Times New Roman"/>
          <w:b/>
          <w:bCs/>
          <w:rtl/>
          <w:lang w:eastAsia="de-DE"/>
        </w:rPr>
        <w:t>תִּפְקֹד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(beauftragen/einsetzen) im Qal-Imperfekt 2. maskulin Singular zeigt Moses Verantwortung für die Priestereinsetzung.</w:t>
      </w:r>
    </w:p>
    <w:p w14:paraId="278D956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Zwecksatz </w:t>
      </w:r>
      <w:r w:rsidRPr="00AC36A5">
        <w:rPr>
          <w:rFonts w:eastAsia="Times New Roman" w:cs="Times New Roman"/>
          <w:b/>
          <w:bCs/>
          <w:rtl/>
          <w:lang w:eastAsia="de-DE"/>
        </w:rPr>
        <w:t>וְשָׁמְרוּ אֶת־כְּהֻנָּתָם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שָׁמְרוּ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שמר</w:t>
      </w:r>
      <w:r w:rsidRPr="00AC36A5">
        <w:rPr>
          <w:rFonts w:eastAsia="Times New Roman" w:cs="Times New Roman"/>
          <w:rtl/>
          <w:lang w:eastAsia="de-DE"/>
        </w:rPr>
        <w:t xml:space="preserve"> </w:t>
      </w:r>
      <w:r w:rsidRPr="00AC36A5">
        <w:rPr>
          <w:rFonts w:eastAsia="Times New Roman" w:cs="Times New Roman"/>
          <w:lang w:eastAsia="de-DE"/>
        </w:rPr>
        <w:t xml:space="preserve">(bewachen/wahren) im Qal-Perfekt 3. maskulin Plural und </w:t>
      </w:r>
      <w:r w:rsidRPr="00AC36A5">
        <w:rPr>
          <w:rFonts w:eastAsia="Times New Roman" w:cs="Times New Roman"/>
          <w:b/>
          <w:bCs/>
          <w:rtl/>
          <w:lang w:eastAsia="de-DE"/>
        </w:rPr>
        <w:t>כְּהֻנָּה</w:t>
      </w:r>
      <w:r w:rsidRPr="00AC36A5">
        <w:rPr>
          <w:rFonts w:eastAsia="Times New Roman" w:cs="Times New Roman"/>
          <w:rtl/>
          <w:lang w:eastAsia="de-DE"/>
        </w:rPr>
        <w:t xml:space="preserve"> </w:t>
      </w:r>
      <w:r w:rsidRPr="00AC36A5">
        <w:rPr>
          <w:rFonts w:eastAsia="Times New Roman" w:cs="Times New Roman"/>
          <w:lang w:eastAsia="de-DE"/>
        </w:rPr>
        <w:t>(Priestertum) mit Possessivsuffix 3. maskulin Plural zeigt die exklusive priesterliche Verantwortung.</w:t>
      </w:r>
    </w:p>
    <w:p w14:paraId="7DAA733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Der Warnsatz </w:t>
      </w:r>
      <w:r w:rsidRPr="00AC36A5">
        <w:rPr>
          <w:rFonts w:eastAsia="Times New Roman" w:cs="Times New Roman"/>
          <w:b/>
          <w:bCs/>
          <w:rtl/>
          <w:lang w:eastAsia="de-DE"/>
        </w:rPr>
        <w:t>וְהַזָּר הַקָּרֵ</w:t>
      </w:r>
      <w:r w:rsidRPr="00AC36A5">
        <w:rPr>
          <w:rFonts w:eastAsia="Times New Roman" w:cs="Times New Roman"/>
          <w:b/>
          <w:bCs/>
          <w:rtl/>
          <w:lang w:eastAsia="de-DE" w:bidi="ar-SA"/>
        </w:rPr>
        <w:t xml:space="preserve">ب </w:t>
      </w:r>
      <w:r w:rsidRPr="00AC36A5">
        <w:rPr>
          <w:rFonts w:eastAsia="Times New Roman" w:cs="Times New Roman"/>
          <w:b/>
          <w:bCs/>
          <w:rtl/>
          <w:lang w:eastAsia="de-DE"/>
        </w:rPr>
        <w:t>יוּמָת</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הַזָּר</w:t>
      </w:r>
      <w:r w:rsidRPr="00AC36A5">
        <w:rPr>
          <w:rFonts w:eastAsia="Times New Roman" w:cs="Times New Roman"/>
          <w:rtl/>
          <w:lang w:eastAsia="de-DE"/>
        </w:rPr>
        <w:t xml:space="preserve"> </w:t>
      </w:r>
      <w:r w:rsidRPr="00AC36A5">
        <w:rPr>
          <w:rFonts w:eastAsia="Times New Roman" w:cs="Times New Roman"/>
          <w:lang w:eastAsia="de-DE"/>
        </w:rPr>
        <w:t xml:space="preserve">(der Fremde/Außenstehende) und </w:t>
      </w:r>
      <w:r w:rsidRPr="00AC36A5">
        <w:rPr>
          <w:rFonts w:eastAsia="Times New Roman" w:cs="Times New Roman"/>
          <w:b/>
          <w:bCs/>
          <w:rtl/>
          <w:lang w:eastAsia="de-DE"/>
        </w:rPr>
        <w:t>הַקָּרֵב</w:t>
      </w:r>
      <w:r w:rsidRPr="00AC36A5">
        <w:rPr>
          <w:rFonts w:eastAsia="Times New Roman" w:cs="Times New Roman"/>
          <w:rtl/>
          <w:lang w:eastAsia="de-DE"/>
        </w:rPr>
        <w:t xml:space="preserve"> </w:t>
      </w:r>
      <w:r w:rsidRPr="00AC36A5">
        <w:rPr>
          <w:rFonts w:eastAsia="Times New Roman" w:cs="Times New Roman"/>
          <w:lang w:eastAsia="de-DE"/>
        </w:rPr>
        <w:t xml:space="preserve">als Qal-Partizip von </w:t>
      </w:r>
      <w:r w:rsidRPr="00AC36A5">
        <w:rPr>
          <w:rFonts w:eastAsia="Times New Roman" w:cs="Times New Roman"/>
          <w:b/>
          <w:bCs/>
          <w:rtl/>
          <w:lang w:eastAsia="de-DE"/>
        </w:rPr>
        <w:t>קרב</w:t>
      </w:r>
      <w:r w:rsidRPr="00AC36A5">
        <w:rPr>
          <w:rFonts w:eastAsia="Times New Roman" w:cs="Times New Roman"/>
          <w:rtl/>
          <w:lang w:eastAsia="de-DE"/>
        </w:rPr>
        <w:t xml:space="preserve"> </w:t>
      </w:r>
      <w:r w:rsidRPr="00AC36A5">
        <w:rPr>
          <w:rFonts w:eastAsia="Times New Roman" w:cs="Times New Roman"/>
          <w:lang w:eastAsia="de-DE"/>
        </w:rPr>
        <w:t xml:space="preserve">(sich nähern) mit bestimmtem Artikel als attributive Bestimmung zeigt die Todesdrohung. </w:t>
      </w:r>
      <w:r w:rsidRPr="00AC36A5">
        <w:rPr>
          <w:rFonts w:eastAsia="Times New Roman" w:cs="Times New Roman"/>
          <w:b/>
          <w:bCs/>
          <w:rtl/>
          <w:lang w:eastAsia="de-DE"/>
        </w:rPr>
        <w:t>יוּמָת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מות</w:t>
      </w:r>
      <w:r w:rsidRPr="00AC36A5">
        <w:rPr>
          <w:rFonts w:eastAsia="Times New Roman" w:cs="Times New Roman"/>
          <w:rtl/>
          <w:lang w:eastAsia="de-DE"/>
        </w:rPr>
        <w:t xml:space="preserve"> </w:t>
      </w:r>
      <w:r w:rsidRPr="00AC36A5">
        <w:rPr>
          <w:rFonts w:eastAsia="Times New Roman" w:cs="Times New Roman"/>
          <w:lang w:eastAsia="de-DE"/>
        </w:rPr>
        <w:t>(sterben) im Hoph'al-Imperfekt 3. maskulin Singular zeigt die passive Bedeutung "er soll getötet werden".</w:t>
      </w:r>
    </w:p>
    <w:p w14:paraId="6331969E" w14:textId="77777777" w:rsidR="0064204A" w:rsidRDefault="0064204A" w:rsidP="00AC36A5">
      <w:pPr>
        <w:spacing w:before="100" w:beforeAutospacing="1" w:after="100" w:afterAutospacing="1" w:line="240" w:lineRule="auto"/>
      </w:pPr>
      <w:r>
        <w:rPr>
          <w:rStyle w:val="Fett"/>
        </w:rPr>
        <w:t>Die LXX</w:t>
      </w:r>
      <w:r>
        <w:t xml:space="preserve"> erweitert die Beschreibung priesterlicher Pflichten: sie fügt καὶ πάντα τὰ κατὰ τὸν βωμὸν καὶ τὰ ἔσω τοῦ καταπετάσματος (und alles beim Altar und was innerhalb des Vorhangs ist) hinzu, was im hebräischen Text nicht explizit steht.</w:t>
      </w:r>
    </w:p>
    <w:p w14:paraId="5120523A" w14:textId="155E716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Imperativsatz mit direktem Objekt, gefolgt von einem koordinierten Zwecksatz und einer abschließenden Warnung mit absolutem Partizip und passivischem Prädikat.</w:t>
      </w:r>
    </w:p>
    <w:p w14:paraId="5FFF6B9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exklusive Zuständigkeit der aaronidischen Priesterschaft für die heiligsten Funktionen und unterstreicht durch die Todesdrohung die absolute Unantastbarkeit des priesterlichen Dienstes für Unbefugte.</w:t>
      </w:r>
    </w:p>
    <w:p w14:paraId="64D03921"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3,11</w:t>
      </w:r>
    </w:p>
    <w:p w14:paraId="232C91B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לֵּאמֹֽר׃</w:t>
      </w:r>
    </w:p>
    <w:p w14:paraId="7FDDD99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sagend:</w:t>
      </w:r>
    </w:p>
    <w:p w14:paraId="7CF148B9"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FF33092">
          <v:rect id="_x0000_i1123" style="width:0;height:1.5pt" o:hralign="center" o:hrstd="t" o:hr="t" fillcolor="#a0a0a0" stroked="f"/>
        </w:pict>
      </w:r>
    </w:p>
    <w:p w14:paraId="4F7FDD8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(reden/sprechen) im Qal-Imperfekt 3. maskulin Singular mit Waw consecutivum leitet eine weitere göttliche Rede ein. 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אֶל־מֹשֶׁה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(zu) entspricht der etablierten Offenbarungsformel.</w:t>
      </w:r>
    </w:p>
    <w:p w14:paraId="7761D19D" w14:textId="0A687F3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ist der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und fungiert als Redeeinleitung für die folgende wichtige theologische Erklärung der levitischen Substitution.</w:t>
      </w:r>
    </w:p>
    <w:p w14:paraId="7EB36AD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λέγων und behält die Standardformel bei.</w:t>
      </w:r>
    </w:p>
    <w:p w14:paraId="4417CA2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einfachen Hauptsatz mit der charakteristischen Offenbarungsformel.</w:t>
      </w:r>
    </w:p>
    <w:p w14:paraId="5FB2E54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markiert den Übergang zu einer grundlegenden theologischen Erklärung der levitischen Rolle als Ersatz für die Erstgeborenen Israels.</w:t>
      </w:r>
    </w:p>
    <w:p w14:paraId="6D11B318"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3,12</w:t>
      </w:r>
    </w:p>
    <w:p w14:paraId="5B10A0A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וַאֲנִ֞י הִנֵּ֧ה לָקַ֣חְתִּי אֶת־הַלְוִיִּ֗ם מִתּוֹךְ֙ בְּנֵ֣י יִשְׂרָאֵ֔ל תַּ֧חַת כָּל־בְּכ֛וֹר פֶּ֥טֶר רֶ֖חֶם מִבְּנֵ֣י יִשְׂרָאֵ֑ל וְהָ֥יוּ לִ֖י הַלְוִיִּֽם׃</w:t>
      </w:r>
    </w:p>
    <w:p w14:paraId="27F0B13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ich, siehe, ich habe die Levijim aus der Mitte der Söhne Jisra'el genommen anstelle jeder Erstgeburt, die den Mutterschoß durchbricht, von den Söhnen Jisra'el; und die Levijim sollen mir gehören.</w:t>
      </w:r>
    </w:p>
    <w:p w14:paraId="57CA5BF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lastRenderedPageBreak/>
        <w:pict w14:anchorId="6F9B33B8">
          <v:rect id="_x0000_i1124" style="width:0;height:1.5pt" o:hralign="center" o:hrstd="t" o:hr="t" fillcolor="#a0a0a0" stroked="f"/>
        </w:pict>
      </w:r>
    </w:p>
    <w:p w14:paraId="0936472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emphatische Personalpronomen </w:t>
      </w:r>
      <w:r w:rsidRPr="00AC36A5">
        <w:rPr>
          <w:rFonts w:eastAsia="Times New Roman" w:cs="Times New Roman"/>
          <w:b/>
          <w:bCs/>
          <w:rtl/>
          <w:lang w:eastAsia="de-DE"/>
        </w:rPr>
        <w:t>וַאֲנִי</w:t>
      </w:r>
      <w:r w:rsidRPr="00AC36A5">
        <w:rPr>
          <w:rFonts w:eastAsia="Times New Roman" w:cs="Times New Roman"/>
          <w:rtl/>
          <w:lang w:eastAsia="de-DE"/>
        </w:rPr>
        <w:t xml:space="preserve"> </w:t>
      </w:r>
      <w:r w:rsidRPr="00AC36A5">
        <w:rPr>
          <w:rFonts w:eastAsia="Times New Roman" w:cs="Times New Roman"/>
          <w:lang w:eastAsia="de-DE"/>
        </w:rPr>
        <w:t xml:space="preserve">(und ich) mit der Aufmerksamkeitspartikel </w:t>
      </w:r>
      <w:r w:rsidRPr="00AC36A5">
        <w:rPr>
          <w:rFonts w:eastAsia="Times New Roman" w:cs="Times New Roman"/>
          <w:b/>
          <w:bCs/>
          <w:rtl/>
          <w:lang w:eastAsia="de-DE"/>
        </w:rPr>
        <w:t>הִנֵּה</w:t>
      </w:r>
      <w:r w:rsidRPr="00AC36A5">
        <w:rPr>
          <w:rFonts w:eastAsia="Times New Roman" w:cs="Times New Roman"/>
          <w:rtl/>
          <w:lang w:eastAsia="de-DE"/>
        </w:rPr>
        <w:t xml:space="preserve"> </w:t>
      </w:r>
      <w:r w:rsidRPr="00AC36A5">
        <w:rPr>
          <w:rFonts w:eastAsia="Times New Roman" w:cs="Times New Roman"/>
          <w:lang w:eastAsia="de-DE"/>
        </w:rPr>
        <w:t xml:space="preserve">(siehe) betont die göttliche Autorität des Handelns. Das Verb </w:t>
      </w:r>
      <w:r w:rsidRPr="00AC36A5">
        <w:rPr>
          <w:rFonts w:eastAsia="Times New Roman" w:cs="Times New Roman"/>
          <w:b/>
          <w:bCs/>
          <w:rtl/>
          <w:lang w:eastAsia="de-DE"/>
        </w:rPr>
        <w:t>לָקַחְתִּי</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(nehmen) im Qal-Perfekt 1. Person Singular zeigt die vollendete göttliche Entscheidung.</w:t>
      </w:r>
    </w:p>
    <w:p w14:paraId="02538C4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direkte Objekt </w:t>
      </w:r>
      <w:r w:rsidRPr="00AC36A5">
        <w:rPr>
          <w:rFonts w:eastAsia="Times New Roman" w:cs="Times New Roman"/>
          <w:b/>
          <w:bCs/>
          <w:rtl/>
          <w:lang w:eastAsia="de-DE"/>
        </w:rPr>
        <w:t>אֶת־הַלְוִיִּם מִתּוֹךְ בְּנֵי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מִתּוֹךְ</w:t>
      </w:r>
      <w:r w:rsidRPr="00AC36A5">
        <w:rPr>
          <w:rFonts w:eastAsia="Times New Roman" w:cs="Times New Roman"/>
          <w:rtl/>
          <w:lang w:eastAsia="de-DE"/>
        </w:rPr>
        <w:t xml:space="preserve"> </w:t>
      </w:r>
      <w:r w:rsidRPr="00AC36A5">
        <w:rPr>
          <w:rFonts w:eastAsia="Times New Roman" w:cs="Times New Roman"/>
          <w:lang w:eastAsia="de-DE"/>
        </w:rPr>
        <w:t>(aus der Mitte von) zeigt die Auswahl der Leviten aus dem Gesamtvolk.</w:t>
      </w:r>
    </w:p>
    <w:p w14:paraId="5A38C6EC" w14:textId="31C1953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תַּחַת כָּל־בְּכוֹר פֶּטֶר רֶחֶם מִבְּנֵי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תַּחַת</w:t>
      </w:r>
      <w:r w:rsidRPr="00AC36A5">
        <w:rPr>
          <w:rFonts w:eastAsia="Times New Roman" w:cs="Times New Roman"/>
          <w:rtl/>
          <w:lang w:eastAsia="de-DE"/>
        </w:rPr>
        <w:t xml:space="preserve"> </w:t>
      </w:r>
      <w:r w:rsidRPr="00AC36A5">
        <w:rPr>
          <w:rFonts w:eastAsia="Times New Roman" w:cs="Times New Roman"/>
          <w:lang w:eastAsia="de-DE"/>
        </w:rPr>
        <w:t xml:space="preserve">(anstelle von/unter) spezifiziert den Substitutionscharakter. </w:t>
      </w:r>
      <w:r w:rsidRPr="00AC36A5">
        <w:rPr>
          <w:rFonts w:eastAsia="Times New Roman" w:cs="Times New Roman"/>
          <w:b/>
          <w:bCs/>
          <w:rtl/>
          <w:lang w:eastAsia="de-DE"/>
        </w:rPr>
        <w:t>פֶּטֶר רֶחֶם</w:t>
      </w:r>
      <w:r w:rsidRPr="00AC36A5">
        <w:rPr>
          <w:rFonts w:eastAsia="Times New Roman" w:cs="Times New Roman"/>
          <w:rtl/>
          <w:lang w:eastAsia="de-DE"/>
        </w:rPr>
        <w:t xml:space="preserve"> </w:t>
      </w:r>
      <w:r w:rsidRPr="00AC36A5">
        <w:rPr>
          <w:rFonts w:eastAsia="Times New Roman" w:cs="Times New Roman"/>
          <w:lang w:eastAsia="de-DE"/>
        </w:rPr>
        <w:t xml:space="preserve">(der den Mutterschoß durchbricht) ist eine idiomatische Wendung für Erstgeburt im </w:t>
      </w:r>
      <w:r w:rsidR="00F133EC">
        <w:rPr>
          <w:rFonts w:eastAsia="Times New Roman" w:cs="Times New Roman"/>
          <w:lang w:eastAsia="de-DE"/>
        </w:rPr>
        <w:t>Construct</w:t>
      </w:r>
      <w:r w:rsidRPr="00AC36A5">
        <w:rPr>
          <w:rFonts w:eastAsia="Times New Roman" w:cs="Times New Roman"/>
          <w:lang w:eastAsia="de-DE"/>
        </w:rPr>
        <w:t>.</w:t>
      </w:r>
    </w:p>
    <w:p w14:paraId="4F342AB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abschließende Satz </w:t>
      </w:r>
      <w:r w:rsidRPr="00AC36A5">
        <w:rPr>
          <w:rFonts w:eastAsia="Times New Roman" w:cs="Times New Roman"/>
          <w:b/>
          <w:bCs/>
          <w:rtl/>
          <w:lang w:eastAsia="de-DE"/>
        </w:rPr>
        <w:t>וְהָיוּ לִי הַלְוִיִּם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הָיוּ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Qal-Perfekt 3. maskulin Plural und </w:t>
      </w:r>
      <w:r w:rsidRPr="00AC36A5">
        <w:rPr>
          <w:rFonts w:eastAsia="Times New Roman" w:cs="Times New Roman"/>
          <w:b/>
          <w:bCs/>
          <w:rtl/>
          <w:lang w:eastAsia="de-DE"/>
        </w:rPr>
        <w:t>לִי</w:t>
      </w:r>
      <w:r w:rsidRPr="00AC36A5">
        <w:rPr>
          <w:rFonts w:eastAsia="Times New Roman" w:cs="Times New Roman"/>
          <w:rtl/>
          <w:lang w:eastAsia="de-DE"/>
        </w:rPr>
        <w:t xml:space="preserve"> </w:t>
      </w:r>
      <w:r w:rsidRPr="00AC36A5">
        <w:rPr>
          <w:rFonts w:eastAsia="Times New Roman" w:cs="Times New Roman"/>
          <w:lang w:eastAsia="de-DE"/>
        </w:rPr>
        <w:t>(mir) als Possessivangabe etabliert das Eigentumsrecht Gottes an den Leviten.</w:t>
      </w:r>
    </w:p>
    <w:p w14:paraId="1F58B828" w14:textId="21A37FBA" w:rsidR="00AC36A5" w:rsidRPr="00AC36A5" w:rsidRDefault="0064204A"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פטר רחם</w:t>
      </w:r>
      <w:r>
        <w:t xml:space="preserve"> (peter rechem - "Öffner des Mutterleibes") als διανοίγοντος μήτραν (Öffner der Gebärmutter) und fügt λύτρα αὐτῶν ἔσονται (sie werden ihr Lösegeld sein) hinzu, was die Ersatzfunktion explizit macht.</w:t>
      </w:r>
    </w:p>
    <w:p w14:paraId="299D970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Hauptsatz mit emphatischem Subjekt und Aufmerksamkeitspartikel, gefolgt von präpositionalen Spezifikationen des Substitutionscharakters und einem abschließenden Besitzanspruch.</w:t>
      </w:r>
    </w:p>
    <w:p w14:paraId="1DB869E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erklärt die theologische Grundlage der levitischen Sonderstellung als göttlich erwählter Ersatz für alle Erstgeborenen Israels, wodurch ihre einzigartige Rolle im Heiligtumsdienstsystem begründet wird.</w:t>
      </w:r>
    </w:p>
    <w:p w14:paraId="434402C8"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3,13</w:t>
      </w:r>
    </w:p>
    <w:p w14:paraId="232B97B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כִּ֣י לִי֮ כָּל־בְּכוֹר֒ בְּיוֹם֩ הַכֹּתִ֨י כָל־בְּכ֜וֹר בְּאֶ֣רֶץ מִצְרַ֗יִם הִקְדַּ֨שְׁתִּי לִ֤י כָל־בְּכוֹר֙ בְּיִשְׂרָאֵ֔ל מֵאָדָ֖ם עַד־בְּהֵמָ֑ה לִ֥י יִהְי֖וּ אֲנִ֥י יְהוָֽה׃</w:t>
      </w:r>
    </w:p>
    <w:p w14:paraId="5A68E26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Denn mir gehört jede Erstgeburt; an dem Tag, als ich jede Erstgeburt im Land Mizrajim schlug, heiligte ich mir jede Erstgeburt in Jisra'el, vom Menschen bis zum Vieh; mir sollen sie gehören, ich bin der Ewige.</w:t>
      </w:r>
    </w:p>
    <w:p w14:paraId="04C2AB3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5E09F1C">
          <v:rect id="_x0000_i1125" style="width:0;height:1.5pt" o:hralign="center" o:hrstd="t" o:hr="t" fillcolor="#a0a0a0" stroked="f"/>
        </w:pict>
      </w:r>
    </w:p>
    <w:p w14:paraId="3B2E307F" w14:textId="318FA3DF" w:rsidR="00AC36A5" w:rsidRPr="00AC36A5" w:rsidRDefault="00AC36A5" w:rsidP="008F239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Begründungspartikel </w:t>
      </w:r>
      <w:r w:rsidRPr="00AC36A5">
        <w:rPr>
          <w:rFonts w:eastAsia="Times New Roman" w:cs="Times New Roman"/>
          <w:b/>
          <w:bCs/>
          <w:rtl/>
          <w:lang w:eastAsia="de-DE"/>
        </w:rPr>
        <w:t>כִּי</w:t>
      </w:r>
      <w:r w:rsidRPr="00AC36A5">
        <w:rPr>
          <w:rFonts w:eastAsia="Times New Roman" w:cs="Times New Roman"/>
          <w:rtl/>
          <w:lang w:eastAsia="de-DE"/>
        </w:rPr>
        <w:t xml:space="preserve"> </w:t>
      </w:r>
      <w:r w:rsidRPr="00AC36A5">
        <w:rPr>
          <w:rFonts w:eastAsia="Times New Roman" w:cs="Times New Roman"/>
          <w:lang w:eastAsia="de-DE"/>
        </w:rPr>
        <w:t xml:space="preserve">(denn) leitet die theologische Erklärung für Gottes Anspruch auf die Leviten ein. Der Nominalsatz </w:t>
      </w:r>
      <w:r w:rsidRPr="00AC36A5">
        <w:rPr>
          <w:rFonts w:eastAsia="Times New Roman" w:cs="Times New Roman"/>
          <w:b/>
          <w:bCs/>
          <w:rtl/>
          <w:lang w:eastAsia="de-DE"/>
        </w:rPr>
        <w:t>לִי כָּל־בְּכוֹר</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לִי</w:t>
      </w:r>
      <w:r w:rsidRPr="00AC36A5">
        <w:rPr>
          <w:rFonts w:eastAsia="Times New Roman" w:cs="Times New Roman"/>
          <w:rtl/>
          <w:lang w:eastAsia="de-DE"/>
        </w:rPr>
        <w:t xml:space="preserve"> </w:t>
      </w:r>
      <w:r w:rsidRPr="00AC36A5">
        <w:rPr>
          <w:rFonts w:eastAsia="Times New Roman" w:cs="Times New Roman"/>
          <w:lang w:eastAsia="de-DE"/>
        </w:rPr>
        <w:t xml:space="preserve">(mir) und </w:t>
      </w:r>
      <w:r w:rsidRPr="00AC36A5">
        <w:rPr>
          <w:rFonts w:eastAsia="Times New Roman" w:cs="Times New Roman"/>
          <w:b/>
          <w:bCs/>
          <w:rtl/>
          <w:lang w:eastAsia="de-DE"/>
        </w:rPr>
        <w:t>כָּל־בְּכוֹר</w:t>
      </w:r>
      <w:r w:rsidRPr="00AC36A5">
        <w:rPr>
          <w:rFonts w:eastAsia="Times New Roman" w:cs="Times New Roman"/>
          <w:rtl/>
          <w:lang w:eastAsia="de-DE"/>
        </w:rPr>
        <w:t xml:space="preserve"> </w:t>
      </w:r>
      <w:r w:rsidRPr="00AC36A5">
        <w:rPr>
          <w:rFonts w:eastAsia="Times New Roman" w:cs="Times New Roman"/>
          <w:lang w:eastAsia="de-DE"/>
        </w:rPr>
        <w:t>(jede Erstgeburt) etabliert den grundsätzlichen göttlichen Besitzanspruch.</w:t>
      </w:r>
      <w:r w:rsidR="008F2395">
        <w:rPr>
          <w:rFonts w:eastAsia="Times New Roman" w:cs="Times New Roman"/>
          <w:lang w:eastAsia="de-DE"/>
        </w:rPr>
        <w:t xml:space="preserve"> </w:t>
      </w:r>
    </w:p>
    <w:p w14:paraId="76074CBA" w14:textId="294FE4F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temporale Bestimmung </w:t>
      </w:r>
      <w:r w:rsidRPr="00AC36A5">
        <w:rPr>
          <w:rFonts w:eastAsia="Times New Roman" w:cs="Times New Roman"/>
          <w:b/>
          <w:bCs/>
          <w:rtl/>
          <w:lang w:eastAsia="de-DE"/>
        </w:rPr>
        <w:t>בְּיוֹם הַכֹּתִי כָל־בְּכוֹר בְּאֶרֶץ מִצְרַיִם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בְּיוֹם</w:t>
      </w:r>
      <w:r w:rsidRPr="00AC36A5">
        <w:rPr>
          <w:rFonts w:eastAsia="Times New Roman" w:cs="Times New Roman"/>
          <w:rtl/>
          <w:lang w:eastAsia="de-DE"/>
        </w:rPr>
        <w:t xml:space="preserve"> </w:t>
      </w:r>
      <w:r w:rsidRPr="00AC36A5">
        <w:rPr>
          <w:rFonts w:eastAsia="Times New Roman" w:cs="Times New Roman"/>
          <w:lang w:eastAsia="de-DE"/>
        </w:rPr>
        <w:t xml:space="preserve">(am Tag) und </w:t>
      </w:r>
      <w:r w:rsidRPr="00AC36A5">
        <w:rPr>
          <w:rFonts w:eastAsia="Times New Roman" w:cs="Times New Roman"/>
          <w:b/>
          <w:bCs/>
          <w:rtl/>
          <w:lang w:eastAsia="de-DE"/>
        </w:rPr>
        <w:t>הַכֹּתִי</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נכה</w:t>
      </w:r>
      <w:r w:rsidRPr="00AC36A5">
        <w:rPr>
          <w:rFonts w:eastAsia="Times New Roman" w:cs="Times New Roman"/>
          <w:rtl/>
          <w:lang w:eastAsia="de-DE"/>
        </w:rPr>
        <w:t xml:space="preserve"> </w:t>
      </w:r>
      <w:r w:rsidRPr="00AC36A5">
        <w:rPr>
          <w:rFonts w:eastAsia="Times New Roman" w:cs="Times New Roman"/>
          <w:lang w:eastAsia="de-DE"/>
        </w:rPr>
        <w:t>(schlagen) im Hiph'il-Infinitiv-</w:t>
      </w:r>
      <w:r w:rsidR="00F133EC">
        <w:rPr>
          <w:rFonts w:eastAsia="Times New Roman" w:cs="Times New Roman"/>
          <w:lang w:eastAsia="de-DE"/>
        </w:rPr>
        <w:t>Construct</w:t>
      </w:r>
      <w:r w:rsidRPr="00AC36A5">
        <w:rPr>
          <w:rFonts w:eastAsia="Times New Roman" w:cs="Times New Roman"/>
          <w:lang w:eastAsia="de-DE"/>
        </w:rPr>
        <w:t xml:space="preserve"> 1. Person Singular mit bestimmtem Artikel verweist auf die zehnte Plage. Das direkte Objekt </w:t>
      </w:r>
      <w:r w:rsidRPr="00AC36A5">
        <w:rPr>
          <w:rFonts w:eastAsia="Times New Roman" w:cs="Times New Roman"/>
          <w:b/>
          <w:bCs/>
          <w:rtl/>
          <w:lang w:eastAsia="de-DE"/>
        </w:rPr>
        <w:t>כָל־בְּכוֹר בְּאֶרֶץ מִצְרַיִם</w:t>
      </w:r>
      <w:r w:rsidRPr="00AC36A5">
        <w:rPr>
          <w:rFonts w:eastAsia="Times New Roman" w:cs="Times New Roman"/>
          <w:rtl/>
          <w:lang w:eastAsia="de-DE"/>
        </w:rPr>
        <w:t xml:space="preserve"> </w:t>
      </w:r>
      <w:r w:rsidRPr="00AC36A5">
        <w:rPr>
          <w:rFonts w:eastAsia="Times New Roman" w:cs="Times New Roman"/>
          <w:lang w:eastAsia="de-DE"/>
        </w:rPr>
        <w:t>spezifiziert das historische Ereignis.</w:t>
      </w:r>
    </w:p>
    <w:p w14:paraId="11177E8C" w14:textId="7EB9D93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Das Hauptverb </w:t>
      </w:r>
      <w:r w:rsidRPr="00AC36A5">
        <w:rPr>
          <w:rFonts w:eastAsia="Times New Roman" w:cs="Times New Roman"/>
          <w:b/>
          <w:bCs/>
          <w:rtl/>
          <w:lang w:eastAsia="de-DE"/>
        </w:rPr>
        <w:t>הִקְדַּשְׁתִּי</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קדש</w:t>
      </w:r>
      <w:r w:rsidRPr="00AC36A5">
        <w:rPr>
          <w:rFonts w:eastAsia="Times New Roman" w:cs="Times New Roman"/>
          <w:rtl/>
          <w:lang w:eastAsia="de-DE"/>
        </w:rPr>
        <w:t xml:space="preserve"> </w:t>
      </w:r>
      <w:r w:rsidRPr="00AC36A5">
        <w:rPr>
          <w:rFonts w:eastAsia="Times New Roman" w:cs="Times New Roman"/>
          <w:lang w:eastAsia="de-DE"/>
        </w:rPr>
        <w:t xml:space="preserve">(heiligen) im Hiph'il-Perfekt 1. Person Singular zeigt die kausative Bedeutung "ich heiligte/weihte". Das direkte Objekt </w:t>
      </w:r>
      <w:r w:rsidRPr="00AC36A5">
        <w:rPr>
          <w:rFonts w:eastAsia="Times New Roman" w:cs="Times New Roman"/>
          <w:b/>
          <w:bCs/>
          <w:rtl/>
          <w:lang w:eastAsia="de-DE"/>
        </w:rPr>
        <w:t>לִי כָל־בְּכוֹר בְּיִשְׂרָאֵל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לִי</w:t>
      </w:r>
      <w:r w:rsidRPr="00AC36A5">
        <w:rPr>
          <w:rFonts w:eastAsia="Times New Roman" w:cs="Times New Roman"/>
          <w:rtl/>
          <w:lang w:eastAsia="de-DE"/>
        </w:rPr>
        <w:t xml:space="preserve"> </w:t>
      </w:r>
      <w:r w:rsidRPr="00AC36A5">
        <w:rPr>
          <w:rFonts w:eastAsia="Times New Roman" w:cs="Times New Roman"/>
          <w:lang w:eastAsia="de-DE"/>
        </w:rPr>
        <w:t>(für mich) betont den göttlichen Besitzanspruch.</w:t>
      </w:r>
      <w:r w:rsidR="008F2395">
        <w:rPr>
          <w:rFonts w:eastAsia="Times New Roman" w:cs="Times New Roman"/>
          <w:lang w:eastAsia="de-DE"/>
        </w:rPr>
        <w:t xml:space="preserve"> </w:t>
      </w:r>
      <w:r w:rsidR="008F2395">
        <w:t>Die Leviten fungieren als pars pro toto – sie repräsentieren das ganze Volk im Heiligtumsdienst, analog zur priesterlichen Funktion Israels unter den Völkern (Ex 19,6). Die Ausdehnung auf Vieh (V. 41, 45) zeigt die Totalität göttlichen Anspruchs auf die gesamte Erstlingsschöpfung, nicht nur Menschen.</w:t>
      </w:r>
    </w:p>
    <w:p w14:paraId="4D5E87D1" w14:textId="23A1AF1E" w:rsidR="00AC36A5" w:rsidRPr="00AC36A5" w:rsidRDefault="00AC36A5" w:rsidP="008F239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spezifizierende Phrase </w:t>
      </w:r>
      <w:r w:rsidRPr="00AC36A5">
        <w:rPr>
          <w:rFonts w:eastAsia="Times New Roman" w:cs="Times New Roman"/>
          <w:b/>
          <w:bCs/>
          <w:rtl/>
          <w:lang w:eastAsia="de-DE"/>
        </w:rPr>
        <w:t>מֵאָדָם עַד־בְּהֵמָה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מִן</w:t>
      </w:r>
      <w:r w:rsidRPr="00AC36A5">
        <w:rPr>
          <w:rFonts w:eastAsia="Times New Roman" w:cs="Times New Roman"/>
          <w:rtl/>
          <w:lang w:eastAsia="de-DE"/>
        </w:rPr>
        <w:t xml:space="preserve"> </w:t>
      </w:r>
      <w:r w:rsidRPr="00AC36A5">
        <w:rPr>
          <w:rFonts w:eastAsia="Times New Roman" w:cs="Times New Roman"/>
          <w:lang w:eastAsia="de-DE"/>
        </w:rPr>
        <w:t xml:space="preserve">(von) und </w:t>
      </w:r>
      <w:r w:rsidRPr="00AC36A5">
        <w:rPr>
          <w:rFonts w:eastAsia="Times New Roman" w:cs="Times New Roman"/>
          <w:b/>
          <w:bCs/>
          <w:rtl/>
          <w:lang w:eastAsia="de-DE"/>
        </w:rPr>
        <w:t>עַד</w:t>
      </w:r>
      <w:r w:rsidRPr="00AC36A5">
        <w:rPr>
          <w:rFonts w:eastAsia="Times New Roman" w:cs="Times New Roman"/>
          <w:rtl/>
          <w:lang w:eastAsia="de-DE"/>
        </w:rPr>
        <w:t xml:space="preserve"> </w:t>
      </w:r>
      <w:r w:rsidRPr="00AC36A5">
        <w:rPr>
          <w:rFonts w:eastAsia="Times New Roman" w:cs="Times New Roman"/>
          <w:lang w:eastAsia="de-DE"/>
        </w:rPr>
        <w:t>(bis) zeigt die Totalität des Anspruchs auf alle Erstgeburten von Menschen und Tieren.</w:t>
      </w:r>
      <w:r w:rsidR="008F2395">
        <w:rPr>
          <w:rFonts w:eastAsia="Times New Roman" w:cs="Times New Roman"/>
          <w:lang w:eastAsia="de-DE"/>
        </w:rPr>
        <w:t xml:space="preserve"> </w:t>
      </w:r>
      <w:r w:rsidR="008F2395">
        <w:t>Die zehnte Plage etabliert nicht nur Israels Befreiung, sondern Gottes universalen Anspruch auf alles Erstgeborene als Zeichen seiner Schöpfermacht.</w:t>
      </w:r>
    </w:p>
    <w:p w14:paraId="3E8D374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abschließende emphatische Satz </w:t>
      </w:r>
      <w:r w:rsidRPr="00AC36A5">
        <w:rPr>
          <w:rFonts w:eastAsia="Times New Roman" w:cs="Times New Roman"/>
          <w:b/>
          <w:bCs/>
          <w:rtl/>
          <w:lang w:eastAsia="de-DE"/>
        </w:rPr>
        <w:t>לִי יִהְיוּ אֲנִי יְהוָה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יִהְיוּ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Qal-Imperfekt 3. maskulin Plural, </w:t>
      </w:r>
      <w:r w:rsidRPr="00AC36A5">
        <w:rPr>
          <w:rFonts w:eastAsia="Times New Roman" w:cs="Times New Roman"/>
          <w:b/>
          <w:bCs/>
          <w:rtl/>
          <w:lang w:eastAsia="de-DE"/>
        </w:rPr>
        <w:t>לִי</w:t>
      </w:r>
      <w:r w:rsidRPr="00AC36A5">
        <w:rPr>
          <w:rFonts w:eastAsia="Times New Roman" w:cs="Times New Roman"/>
          <w:rtl/>
          <w:lang w:eastAsia="de-DE"/>
        </w:rPr>
        <w:t xml:space="preserve"> </w:t>
      </w:r>
      <w:r w:rsidRPr="00AC36A5">
        <w:rPr>
          <w:rFonts w:eastAsia="Times New Roman" w:cs="Times New Roman"/>
          <w:lang w:eastAsia="de-DE"/>
        </w:rPr>
        <w:t xml:space="preserve">(mir) und der Selbstvorstellungsformel </w:t>
      </w:r>
      <w:r w:rsidRPr="00AC36A5">
        <w:rPr>
          <w:rFonts w:eastAsia="Times New Roman" w:cs="Times New Roman"/>
          <w:b/>
          <w:bCs/>
          <w:rtl/>
          <w:lang w:eastAsia="de-DE"/>
        </w:rPr>
        <w:t>אֲנִי יְהוָה</w:t>
      </w:r>
      <w:r w:rsidRPr="00AC36A5">
        <w:rPr>
          <w:rFonts w:eastAsia="Times New Roman" w:cs="Times New Roman"/>
          <w:rtl/>
          <w:lang w:eastAsia="de-DE"/>
        </w:rPr>
        <w:t xml:space="preserve"> </w:t>
      </w:r>
      <w:r w:rsidRPr="00AC36A5">
        <w:rPr>
          <w:rFonts w:eastAsia="Times New Roman" w:cs="Times New Roman"/>
          <w:lang w:eastAsia="de-DE"/>
        </w:rPr>
        <w:t>(ich bin JHWH) bekräftigt die göttliche Autorität.</w:t>
      </w:r>
    </w:p>
    <w:p w14:paraId="4A8EEDF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ὅτι ἐμοὶ πᾶν πρωτότοκον ἐν ᾗ ἡμέρᾳ ἐπάταξα πᾶν πρωτότοκον ἐν γῇ Αἰγύπτου ἡγίασα ἐμοὶ πᾶν πρωτότοκον ἐν Ισραηλ ἀπὸ ἀνθρώπου ἕως κτήνους ἐμοὶ ἔσονται ἐγὼ κύριος und behält die Struktur bei.</w:t>
      </w:r>
    </w:p>
    <w:p w14:paraId="684C25F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begründende Aussage mit temporaler Spezifikation, gefolgt von der Haupthandlung und einer emphatischen Bekräftigung mit Selbstvorstellungsformel.</w:t>
      </w:r>
    </w:p>
    <w:p w14:paraId="4C5A9ED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verankert den levitischen Substitutionsdienst im heilsgeschichtlichen Ereignis des Exodus und etabliert Gottes Eigentumsrecht an allen Erstgeborenen als Grundlage für die Sonderstellung der Leviten.</w:t>
      </w:r>
    </w:p>
    <w:p w14:paraId="4B8CC44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3,14</w:t>
      </w:r>
    </w:p>
    <w:p w14:paraId="72536CC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בְּמִדְבַּ֥ר סִינַ֖י לֵאמֹֽר׃</w:t>
      </w:r>
    </w:p>
    <w:p w14:paraId="0581E27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in der Wüste Sinai, sagend:</w:t>
      </w:r>
    </w:p>
    <w:p w14:paraId="62D9E1F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544C8A5">
          <v:rect id="_x0000_i1126" style="width:0;height:1.5pt" o:hralign="center" o:hrstd="t" o:hr="t" fillcolor="#a0a0a0" stroked="f"/>
        </w:pict>
      </w:r>
    </w:p>
    <w:p w14:paraId="5BBDDE4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(reden/sprechen) im Qal-Imperfekt 3. maskulin Singular mit Waw consecutivum leitet eine neue göttliche Rede ein. 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אֶל־מֹשֶׁה</w:t>
      </w:r>
      <w:r w:rsidRPr="00AC36A5">
        <w:rPr>
          <w:rFonts w:eastAsia="Times New Roman" w:cs="Times New Roman"/>
          <w:rtl/>
          <w:lang w:eastAsia="de-DE"/>
        </w:rPr>
        <w:t xml:space="preserve"> </w:t>
      </w:r>
      <w:r w:rsidRPr="00AC36A5">
        <w:rPr>
          <w:rFonts w:eastAsia="Times New Roman" w:cs="Times New Roman"/>
          <w:lang w:eastAsia="de-DE"/>
        </w:rPr>
        <w:t>entspricht der etablierten Offenbarungsformel.</w:t>
      </w:r>
    </w:p>
    <w:p w14:paraId="1E0509B6" w14:textId="06BDF5EF"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Ortsangabe </w:t>
      </w:r>
      <w:r w:rsidRPr="00AC36A5">
        <w:rPr>
          <w:rFonts w:eastAsia="Times New Roman" w:cs="Times New Roman"/>
          <w:b/>
          <w:bCs/>
          <w:rtl/>
          <w:lang w:eastAsia="de-DE"/>
        </w:rPr>
        <w:t>בְּמִדְבַּר סִינַי</w:t>
      </w:r>
      <w:r w:rsidRPr="00AC36A5">
        <w:rPr>
          <w:rFonts w:eastAsia="Times New Roman" w:cs="Times New Roman"/>
          <w:rtl/>
          <w:lang w:eastAsia="de-DE"/>
        </w:rPr>
        <w:t xml:space="preserve"> </w:t>
      </w:r>
      <w:r w:rsidRPr="00AC36A5">
        <w:rPr>
          <w:rFonts w:eastAsia="Times New Roman" w:cs="Times New Roman"/>
          <w:lang w:eastAsia="de-DE"/>
        </w:rPr>
        <w:t xml:space="preserve">(in der Wüste Sinai) 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 xml:space="preserve">und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מִדְבַּר סִינַי</w:t>
      </w:r>
      <w:r w:rsidRPr="00AC36A5">
        <w:rPr>
          <w:rFonts w:eastAsia="Times New Roman" w:cs="Times New Roman"/>
          <w:rtl/>
          <w:lang w:eastAsia="de-DE"/>
        </w:rPr>
        <w:t xml:space="preserve"> </w:t>
      </w:r>
      <w:r w:rsidRPr="00AC36A5">
        <w:rPr>
          <w:rFonts w:eastAsia="Times New Roman" w:cs="Times New Roman"/>
          <w:lang w:eastAsia="de-DE"/>
        </w:rPr>
        <w:t>spezifiziert den Ort der Offenbarung und verbindet diese Anweisungen mit dem Sinai-Bundesschluss.</w:t>
      </w:r>
    </w:p>
    <w:p w14:paraId="42523C4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fungiert als Redeeinleitung für die folgende detaillierte Levitenzählung.</w:t>
      </w:r>
    </w:p>
    <w:p w14:paraId="67DF02E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ἐν τῇ ἐρήμῳ Σινα λέγων und behält die Ortsangabe bei.</w:t>
      </w:r>
    </w:p>
    <w:p w14:paraId="717F179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 Satzstruktur zeigt die Standardoffenbarungsformel mit zusätzlicher Ortsbestimmung.</w:t>
      </w:r>
    </w:p>
    <w:p w14:paraId="33B97E4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markiert den Übergang zu den praktischen Anweisungen für die Levitenzählung und verortet diese im heiligen Kontext des Sinai.</w:t>
      </w:r>
    </w:p>
    <w:p w14:paraId="6E2E7C6D"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3,15</w:t>
      </w:r>
    </w:p>
    <w:p w14:paraId="08684D8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פְּקֹד֙ אֶת־בְּנֵ֣י לֵוִ֔י לְבֵ֥ית אֲבֹתָ֖ם לְמִשְׁפְּחֹתָ֑ם כָּל־זָכָ֛ר מִבֶּן־חֹ֥דֶשׁ וָמַ֖עְלָה תִּפְקְדֵֽם׃</w:t>
      </w:r>
    </w:p>
    <w:p w14:paraId="2471CA3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Mustere die Söhne Levis nach ihren Vaterhäusern, nach ihren Familien; alle Männlichen von einem Monat an und darüber sollst du sie mustern.</w:t>
      </w:r>
    </w:p>
    <w:p w14:paraId="3C669776"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AD222C2">
          <v:rect id="_x0000_i1127" style="width:0;height:1.5pt" o:hralign="center" o:hrstd="t" o:hr="t" fillcolor="#a0a0a0" stroked="f"/>
        </w:pict>
      </w:r>
    </w:p>
    <w:p w14:paraId="46CD65A7" w14:textId="03B2A883"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(mustern/zählen) im Qal-Imperativ maskulin Singular leitet die Anweisung zur Levitenzählung ein. Das direkte Objekt </w:t>
      </w:r>
      <w:r w:rsidRPr="00AC36A5">
        <w:rPr>
          <w:rFonts w:eastAsia="Times New Roman" w:cs="Times New Roman"/>
          <w:b/>
          <w:bCs/>
          <w:rtl/>
          <w:lang w:eastAsia="de-DE"/>
        </w:rPr>
        <w:t>אֶת־בְּנֵי לֵוִי</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בְּנֵי לֵוִי</w:t>
      </w:r>
      <w:r w:rsidRPr="00AC36A5">
        <w:rPr>
          <w:rFonts w:eastAsia="Times New Roman" w:cs="Times New Roman"/>
          <w:rtl/>
          <w:lang w:eastAsia="de-DE"/>
        </w:rPr>
        <w:t xml:space="preserve"> </w:t>
      </w:r>
      <w:r w:rsidRPr="00AC36A5">
        <w:rPr>
          <w:rFonts w:eastAsia="Times New Roman" w:cs="Times New Roman"/>
          <w:lang w:eastAsia="de-DE"/>
        </w:rPr>
        <w:t>(Söhne Levis) spezifiziert die zu zählende Gruppe.</w:t>
      </w:r>
    </w:p>
    <w:p w14:paraId="50C1A51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organisatorischen Bestimmungen </w:t>
      </w:r>
      <w:r w:rsidRPr="00AC36A5">
        <w:rPr>
          <w:rFonts w:eastAsia="Times New Roman" w:cs="Times New Roman"/>
          <w:b/>
          <w:bCs/>
          <w:rtl/>
          <w:lang w:eastAsia="de-DE"/>
        </w:rPr>
        <w:t>לְבֵית אֲבֹתָם לְמִשְׁפְּחֹתָם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 xml:space="preserve">(nach/gemäß) zeigen die doppelte genealogische Struktur: </w:t>
      </w:r>
      <w:r w:rsidRPr="00AC36A5">
        <w:rPr>
          <w:rFonts w:eastAsia="Times New Roman" w:cs="Times New Roman"/>
          <w:b/>
          <w:bCs/>
          <w:rtl/>
          <w:lang w:eastAsia="de-DE"/>
        </w:rPr>
        <w:t>בֵית אֲבֹתָם</w:t>
      </w:r>
      <w:r w:rsidRPr="00AC36A5">
        <w:rPr>
          <w:rFonts w:eastAsia="Times New Roman" w:cs="Times New Roman"/>
          <w:rtl/>
          <w:lang w:eastAsia="de-DE"/>
        </w:rPr>
        <w:t xml:space="preserve"> </w:t>
      </w:r>
      <w:r w:rsidRPr="00AC36A5">
        <w:rPr>
          <w:rFonts w:eastAsia="Times New Roman" w:cs="Times New Roman"/>
          <w:lang w:eastAsia="de-DE"/>
        </w:rPr>
        <w:t xml:space="preserve">(ihre Vaterhäuser) mit Possessivsuffix 3. maskulin Plural und </w:t>
      </w:r>
      <w:r w:rsidRPr="00AC36A5">
        <w:rPr>
          <w:rFonts w:eastAsia="Times New Roman" w:cs="Times New Roman"/>
          <w:b/>
          <w:bCs/>
          <w:rtl/>
          <w:lang w:eastAsia="de-DE"/>
        </w:rPr>
        <w:t>מִשְׁפְּחֹתָם</w:t>
      </w:r>
      <w:r w:rsidRPr="00AC36A5">
        <w:rPr>
          <w:rFonts w:eastAsia="Times New Roman" w:cs="Times New Roman"/>
          <w:rtl/>
          <w:lang w:eastAsia="de-DE"/>
        </w:rPr>
        <w:t xml:space="preserve"> </w:t>
      </w:r>
      <w:r w:rsidRPr="00AC36A5">
        <w:rPr>
          <w:rFonts w:eastAsia="Times New Roman" w:cs="Times New Roman"/>
          <w:lang w:eastAsia="de-DE"/>
        </w:rPr>
        <w:t>(ihre Familien) ebenfalls mit Suffix.</w:t>
      </w:r>
    </w:p>
    <w:p w14:paraId="2FE6382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Qualifikationskriterien </w:t>
      </w:r>
      <w:r w:rsidRPr="00AC36A5">
        <w:rPr>
          <w:rFonts w:eastAsia="Times New Roman" w:cs="Times New Roman"/>
          <w:b/>
          <w:bCs/>
          <w:rtl/>
          <w:lang w:eastAsia="de-DE"/>
        </w:rPr>
        <w:t>כָּל־זָכָר מִבֶּן־חֹדֶשׁ וָמַעְלָה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(alle), </w:t>
      </w:r>
      <w:r w:rsidRPr="00AC36A5">
        <w:rPr>
          <w:rFonts w:eastAsia="Times New Roman" w:cs="Times New Roman"/>
          <w:b/>
          <w:bCs/>
          <w:rtl/>
          <w:lang w:eastAsia="de-DE"/>
        </w:rPr>
        <w:t>זָכָר</w:t>
      </w:r>
      <w:r w:rsidRPr="00AC36A5">
        <w:rPr>
          <w:rFonts w:eastAsia="Times New Roman" w:cs="Times New Roman"/>
          <w:rtl/>
          <w:lang w:eastAsia="de-DE"/>
        </w:rPr>
        <w:t xml:space="preserve"> </w:t>
      </w:r>
      <w:r w:rsidRPr="00AC36A5">
        <w:rPr>
          <w:rFonts w:eastAsia="Times New Roman" w:cs="Times New Roman"/>
          <w:lang w:eastAsia="de-DE"/>
        </w:rPr>
        <w:t xml:space="preserve">(männlich), </w:t>
      </w:r>
      <w:r w:rsidRPr="00AC36A5">
        <w:rPr>
          <w:rFonts w:eastAsia="Times New Roman" w:cs="Times New Roman"/>
          <w:b/>
          <w:bCs/>
          <w:rtl/>
          <w:lang w:eastAsia="de-DE"/>
        </w:rPr>
        <w:t>מִבֶּן־חֹדֶשׁ</w:t>
      </w:r>
      <w:r w:rsidRPr="00AC36A5">
        <w:rPr>
          <w:rFonts w:eastAsia="Times New Roman" w:cs="Times New Roman"/>
          <w:rtl/>
          <w:lang w:eastAsia="de-DE"/>
        </w:rPr>
        <w:t xml:space="preserve"> </w:t>
      </w:r>
      <w:r w:rsidRPr="00AC36A5">
        <w:rPr>
          <w:rFonts w:eastAsia="Times New Roman" w:cs="Times New Roman"/>
          <w:lang w:eastAsia="de-DE"/>
        </w:rPr>
        <w:t xml:space="preserve">(von einem Monat an) mit </w:t>
      </w:r>
      <w:r w:rsidRPr="00AC36A5">
        <w:rPr>
          <w:rFonts w:eastAsia="Times New Roman" w:cs="Times New Roman"/>
          <w:b/>
          <w:bCs/>
          <w:rtl/>
          <w:lang w:eastAsia="de-DE"/>
        </w:rPr>
        <w:t>מִן</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בֶּן</w:t>
      </w:r>
      <w:r w:rsidRPr="00AC36A5">
        <w:rPr>
          <w:rFonts w:eastAsia="Times New Roman" w:cs="Times New Roman"/>
          <w:rtl/>
          <w:lang w:eastAsia="de-DE"/>
        </w:rPr>
        <w:t xml:space="preserve"> </w:t>
      </w:r>
      <w:r w:rsidRPr="00AC36A5">
        <w:rPr>
          <w:rFonts w:eastAsia="Times New Roman" w:cs="Times New Roman"/>
          <w:lang w:eastAsia="de-DE"/>
        </w:rPr>
        <w:t xml:space="preserve">(Sohn von/im Alter von) und </w:t>
      </w:r>
      <w:r w:rsidRPr="00AC36A5">
        <w:rPr>
          <w:rFonts w:eastAsia="Times New Roman" w:cs="Times New Roman"/>
          <w:b/>
          <w:bCs/>
          <w:rtl/>
          <w:lang w:eastAsia="de-DE"/>
        </w:rPr>
        <w:t>וָמַעְלָה</w:t>
      </w:r>
      <w:r w:rsidRPr="00AC36A5">
        <w:rPr>
          <w:rFonts w:eastAsia="Times New Roman" w:cs="Times New Roman"/>
          <w:rtl/>
          <w:lang w:eastAsia="de-DE"/>
        </w:rPr>
        <w:t xml:space="preserve"> </w:t>
      </w:r>
      <w:r w:rsidRPr="00AC36A5">
        <w:rPr>
          <w:rFonts w:eastAsia="Times New Roman" w:cs="Times New Roman"/>
          <w:lang w:eastAsia="de-DE"/>
        </w:rPr>
        <w:t>(und darüber) zeigen den drastischen Unterschied zur militärischen Musterung (ab 20 Jahren).</w:t>
      </w:r>
    </w:p>
    <w:p w14:paraId="2E04BB6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תִּפְקְדֵם</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im Qal-Imperfekt 2. maskulin Singular mit Objektsuffix 3. maskulin Plural verstärkt den Befehl emphatisch.</w:t>
      </w:r>
    </w:p>
    <w:p w14:paraId="0696681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ἐπίσκεψαι τοὺς υἱοὺς Λευι κατ᾽ οἴκους πατριῶν αὐτῶν κατὰ δήμους αὐτῶν πᾶν ἀρσενικὸν ἀπὸ μηνιαίου καὶ ἐπάνω ἐπισκέψασθε αὐτούς und behält die Altersspezifikation bei.</w:t>
      </w:r>
    </w:p>
    <w:p w14:paraId="5322FB2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Imperativsatz mit direktem Objekt, präpositionalen Modalbestimmungen, Qualifikationskriterien und emphatischer Wiederholung des Verbs.</w:t>
      </w:r>
    </w:p>
    <w:p w14:paraId="000958F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grundlegenden Parameter für die Levitenzählung: vollständige genealogische Erfassung aller männlichen Nachkommen ab dem ersten Lebensmonat, was die priesterliche Bestimmung von Geburt an unterstreicht.</w:t>
      </w:r>
    </w:p>
    <w:p w14:paraId="01A5C642"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3,16</w:t>
      </w:r>
    </w:p>
    <w:p w14:paraId="4FB3880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וַיִּפְקֹ֥ד אֹתָ֛ם מֹשֶׁ֖ה עַל־פִּ֣י יְהוָ֑ה כַּאֲשֶׁ֖ר צֻוָּֽה׃</w:t>
      </w:r>
    </w:p>
    <w:p w14:paraId="35754E1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Mosche musterte sie nach dem Befehl des Ewigen, so wie ihm geboten wurde.</w:t>
      </w:r>
    </w:p>
    <w:p w14:paraId="7040DE2E"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5A8C2486">
          <v:rect id="_x0000_i1128" style="width:0;height:1.5pt" o:hralign="center" o:hrstd="t" o:hr="t" fillcolor="#a0a0a0" stroked="f"/>
        </w:pict>
      </w:r>
    </w:p>
    <w:p w14:paraId="03987C2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Kommentar:</w:t>
      </w:r>
      <w:r w:rsidRPr="00AC36A5">
        <w:rPr>
          <w:rFonts w:eastAsia="Times New Roman" w:cs="Times New Roman"/>
          <w:lang w:eastAsia="de-DE"/>
        </w:rPr>
        <w:t xml:space="preserve"> Das Verb </w:t>
      </w:r>
      <w:r w:rsidRPr="00AC36A5">
        <w:rPr>
          <w:rFonts w:eastAsia="Times New Roman" w:cs="Times New Roman"/>
          <w:b/>
          <w:bCs/>
          <w:rtl/>
          <w:lang w:eastAsia="de-DE"/>
        </w:rPr>
        <w:t>וַיִּפְקֹד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im Qal-Imperfekt 3. maskulin Singular mit Waw consecutivum zeigt die Ausführung des göttlichen Befehls. Das direkte Objekt </w:t>
      </w:r>
      <w:r w:rsidRPr="00AC36A5">
        <w:rPr>
          <w:rFonts w:eastAsia="Times New Roman" w:cs="Times New Roman"/>
          <w:b/>
          <w:bCs/>
          <w:rtl/>
          <w:lang w:eastAsia="de-DE"/>
        </w:rPr>
        <w:t>אֹתָם</w:t>
      </w:r>
      <w:r w:rsidRPr="00AC36A5">
        <w:rPr>
          <w:rFonts w:eastAsia="Times New Roman" w:cs="Times New Roman"/>
          <w:rtl/>
          <w:lang w:eastAsia="de-DE"/>
        </w:rPr>
        <w:t xml:space="preserve"> </w:t>
      </w:r>
      <w:r w:rsidRPr="00AC36A5">
        <w:rPr>
          <w:rFonts w:eastAsia="Times New Roman" w:cs="Times New Roman"/>
          <w:lang w:eastAsia="de-DE"/>
        </w:rPr>
        <w:t xml:space="preserve">(sie) mit Objektsuffix 3. maskulin Plural bezieht sich auf die Leviten, und das Subjekt </w:t>
      </w:r>
      <w:r w:rsidRPr="00AC36A5">
        <w:rPr>
          <w:rFonts w:eastAsia="Times New Roman" w:cs="Times New Roman"/>
          <w:b/>
          <w:bCs/>
          <w:rtl/>
          <w:lang w:eastAsia="de-DE"/>
        </w:rPr>
        <w:t>מֹשֶׁה</w:t>
      </w:r>
      <w:r w:rsidRPr="00AC36A5">
        <w:rPr>
          <w:rFonts w:eastAsia="Times New Roman" w:cs="Times New Roman"/>
          <w:rtl/>
          <w:lang w:eastAsia="de-DE"/>
        </w:rPr>
        <w:t xml:space="preserve"> </w:t>
      </w:r>
      <w:r w:rsidRPr="00AC36A5">
        <w:rPr>
          <w:rFonts w:eastAsia="Times New Roman" w:cs="Times New Roman"/>
          <w:lang w:eastAsia="de-DE"/>
        </w:rPr>
        <w:t>betont Moses gehorsame Umsetzung.</w:t>
      </w:r>
    </w:p>
    <w:p w14:paraId="0BDFBE4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עַל־פִּי יְהוָה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עַל־פִּי</w:t>
      </w:r>
      <w:r w:rsidRPr="00AC36A5">
        <w:rPr>
          <w:rFonts w:eastAsia="Times New Roman" w:cs="Times New Roman"/>
          <w:rtl/>
          <w:lang w:eastAsia="de-DE"/>
        </w:rPr>
        <w:t xml:space="preserve"> </w:t>
      </w:r>
      <w:r w:rsidRPr="00AC36A5">
        <w:rPr>
          <w:rFonts w:eastAsia="Times New Roman" w:cs="Times New Roman"/>
          <w:lang w:eastAsia="de-DE"/>
        </w:rPr>
        <w:t xml:space="preserve">(nach dem Mund/Befehl von) ist eine idiomatische Wendung für "auf Befehl von" oder "gemäß der Anweisung von". </w:t>
      </w:r>
      <w:r w:rsidRPr="00AC36A5">
        <w:rPr>
          <w:rFonts w:eastAsia="Times New Roman" w:cs="Times New Roman"/>
          <w:b/>
          <w:bCs/>
          <w:rtl/>
          <w:lang w:eastAsia="de-DE"/>
        </w:rPr>
        <w:t>פֶּה</w:t>
      </w:r>
      <w:r w:rsidRPr="00AC36A5">
        <w:rPr>
          <w:rFonts w:eastAsia="Times New Roman" w:cs="Times New Roman"/>
          <w:rtl/>
          <w:lang w:eastAsia="de-DE"/>
        </w:rPr>
        <w:t xml:space="preserve"> </w:t>
      </w:r>
      <w:r w:rsidRPr="00AC36A5">
        <w:rPr>
          <w:rFonts w:eastAsia="Times New Roman" w:cs="Times New Roman"/>
          <w:lang w:eastAsia="de-DE"/>
        </w:rPr>
        <w:t>(Mund) steht hier metonymisch für den gesprochenen Befehl.</w:t>
      </w:r>
    </w:p>
    <w:p w14:paraId="2194A3E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Vergleichssatz </w:t>
      </w:r>
      <w:r w:rsidRPr="00AC36A5">
        <w:rPr>
          <w:rFonts w:eastAsia="Times New Roman" w:cs="Times New Roman"/>
          <w:b/>
          <w:bCs/>
          <w:rtl/>
          <w:lang w:eastAsia="de-DE"/>
        </w:rPr>
        <w:t>כַּאֲשֶׁר צֻוָּה</w:t>
      </w:r>
      <w:r w:rsidRPr="00AC36A5">
        <w:rPr>
          <w:rFonts w:eastAsia="Times New Roman" w:cs="Times New Roman"/>
          <w:rtl/>
          <w:lang w:eastAsia="de-DE"/>
        </w:rPr>
        <w:t xml:space="preserve"> </w:t>
      </w:r>
      <w:r w:rsidRPr="00AC36A5">
        <w:rPr>
          <w:rFonts w:eastAsia="Times New Roman" w:cs="Times New Roman"/>
          <w:lang w:eastAsia="de-DE"/>
        </w:rPr>
        <w:t xml:space="preserve">mit der Vergleichspartikel </w:t>
      </w:r>
      <w:r w:rsidRPr="00AC36A5">
        <w:rPr>
          <w:rFonts w:eastAsia="Times New Roman" w:cs="Times New Roman"/>
          <w:b/>
          <w:bCs/>
          <w:rtl/>
          <w:lang w:eastAsia="de-DE"/>
        </w:rPr>
        <w:t>כַּאֲשֶׁר</w:t>
      </w:r>
      <w:r w:rsidRPr="00AC36A5">
        <w:rPr>
          <w:rFonts w:eastAsia="Times New Roman" w:cs="Times New Roman"/>
          <w:rtl/>
          <w:lang w:eastAsia="de-DE"/>
        </w:rPr>
        <w:t xml:space="preserve"> </w:t>
      </w:r>
      <w:r w:rsidRPr="00AC36A5">
        <w:rPr>
          <w:rFonts w:eastAsia="Times New Roman" w:cs="Times New Roman"/>
          <w:lang w:eastAsia="de-DE"/>
        </w:rPr>
        <w:t xml:space="preserve">(wie/so wie) und </w:t>
      </w:r>
      <w:r w:rsidRPr="00AC36A5">
        <w:rPr>
          <w:rFonts w:eastAsia="Times New Roman" w:cs="Times New Roman"/>
          <w:b/>
          <w:bCs/>
          <w:rtl/>
          <w:lang w:eastAsia="de-DE"/>
        </w:rPr>
        <w:t>צֻוָּה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צוה</w:t>
      </w:r>
      <w:r w:rsidRPr="00AC36A5">
        <w:rPr>
          <w:rFonts w:eastAsia="Times New Roman" w:cs="Times New Roman"/>
          <w:rtl/>
          <w:lang w:eastAsia="de-DE"/>
        </w:rPr>
        <w:t xml:space="preserve"> </w:t>
      </w:r>
      <w:r w:rsidRPr="00AC36A5">
        <w:rPr>
          <w:rFonts w:eastAsia="Times New Roman" w:cs="Times New Roman"/>
          <w:lang w:eastAsia="de-DE"/>
        </w:rPr>
        <w:t>(befehlen) im Pu'al-Perfekt 3. maskulin Singular (passive Bedeutung: "ihm wurde befohlen") unterstreicht Moses Gehorsam gegenüber den göttlichen Anweisungen.</w:t>
      </w:r>
    </w:p>
    <w:p w14:paraId="5E5FDE01" w14:textId="6654C393"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w:t>
      </w:r>
      <w:r w:rsidR="0064204A">
        <w:rPr>
          <w:rFonts w:eastAsia="Times New Roman" w:cs="Times New Roman"/>
          <w:lang w:eastAsia="de-DE"/>
        </w:rPr>
        <w:t xml:space="preserve">ist </w:t>
      </w:r>
      <w:r w:rsidR="00A1074A">
        <w:rPr>
          <w:rStyle w:val="Fett"/>
        </w:rPr>
        <w:t>Textkritisch</w:t>
      </w:r>
      <w:r w:rsidR="0064204A">
        <w:rPr>
          <w:rStyle w:val="Fett"/>
        </w:rPr>
        <w:t>bedeutsam</w:t>
      </w:r>
      <w:r w:rsidR="0064204A">
        <w:t xml:space="preserve">: Der hebräische Text hat punktierte Buchstaben bei </w:t>
      </w:r>
      <w:r w:rsidR="0064204A" w:rsidRPr="0064204A">
        <w:rPr>
          <w:b/>
          <w:bCs/>
          <w:rtl/>
        </w:rPr>
        <w:t>ואהרן</w:t>
      </w:r>
      <w:r w:rsidR="0064204A">
        <w:t xml:space="preserve"> (ve'Aharon - "und Aaron"), die darauf hinweisen, dass dieser Name möglicherweise später eingefügt wurde. </w:t>
      </w:r>
      <w:r w:rsidR="0064204A">
        <w:rPr>
          <w:rStyle w:val="Fett"/>
        </w:rPr>
        <w:t>Die LXX</w:t>
      </w:r>
      <w:r w:rsidR="0064204A">
        <w:t xml:space="preserve"> enthält καὶ Ἀαρών (und Aaron), was zeigt, dass diese Lesart bereits in der Vorlage der LXX existierte oder von den Übersetzern hinzugefügt wurde.</w:t>
      </w:r>
    </w:p>
    <w:p w14:paraId="1ED4C27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Ausführungsbericht mit Subjekt, Prädikat, direktem Objekt und zwei präpositionalen bzw. adverbialen Bestimmungen zur Art und Weise der Ausführung.</w:t>
      </w:r>
    </w:p>
    <w:p w14:paraId="633499C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betont Moses vollkommenen Gehorsam gegenüber den göttlichen Anweisungen und bereitet die folgende detaillierte Aufzählung der Levitenzählung vor.</w:t>
      </w:r>
    </w:p>
    <w:p w14:paraId="73FD607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3,17</w:t>
      </w:r>
    </w:p>
    <w:p w14:paraId="5A6B370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וַיִּֽהְיוּ־אֵ֥לֶּה בְנֵֽי־לֵוִ֖י בִּשְׁמֹתָ֑ם גֵּרְשׁ֕וֹן וּקְהָ֖ת וּמְרָרִֽי׃</w:t>
      </w:r>
    </w:p>
    <w:p w14:paraId="5E2C155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dies waren die Söhne Levis nach ihren Namen: Gerschon, Kehat und Merari.</w:t>
      </w:r>
    </w:p>
    <w:p w14:paraId="5C3B6ABE"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D61FD6C">
          <v:rect id="_x0000_i1129" style="width:0;height:1.5pt" o:hralign="center" o:hrstd="t" o:hr="t" fillcolor="#a0a0a0" stroked="f"/>
        </w:pict>
      </w:r>
    </w:p>
    <w:p w14:paraId="6E7AE77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וַיִּהְיוּ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Qal-Imperfekt 3. maskulin Plural mit Waw consecutivum zeigt die existenziale Aussage. Das Demonstrativpronomen </w:t>
      </w:r>
      <w:r w:rsidRPr="00AC36A5">
        <w:rPr>
          <w:rFonts w:eastAsia="Times New Roman" w:cs="Times New Roman"/>
          <w:b/>
          <w:bCs/>
          <w:rtl/>
          <w:lang w:eastAsia="de-DE"/>
        </w:rPr>
        <w:t>אֵלֶּה</w:t>
      </w:r>
      <w:r w:rsidRPr="00AC36A5">
        <w:rPr>
          <w:rFonts w:eastAsia="Times New Roman" w:cs="Times New Roman"/>
          <w:rtl/>
          <w:lang w:eastAsia="de-DE"/>
        </w:rPr>
        <w:t xml:space="preserve"> </w:t>
      </w:r>
      <w:r w:rsidRPr="00AC36A5">
        <w:rPr>
          <w:rFonts w:eastAsia="Times New Roman" w:cs="Times New Roman"/>
          <w:lang w:eastAsia="de-DE"/>
        </w:rPr>
        <w:t>(diese) fungiert als Subjekt und leitet die Aufzählung ein.</w:t>
      </w:r>
    </w:p>
    <w:p w14:paraId="7C0DD3E1" w14:textId="6525049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בְנֵי־לֵוִי</w:t>
      </w:r>
      <w:r w:rsidRPr="00AC36A5">
        <w:rPr>
          <w:rFonts w:eastAsia="Times New Roman" w:cs="Times New Roman"/>
          <w:rtl/>
          <w:lang w:eastAsia="de-DE"/>
        </w:rPr>
        <w:t xml:space="preserve"> </w:t>
      </w:r>
      <w:r w:rsidRPr="00AC36A5">
        <w:rPr>
          <w:rFonts w:eastAsia="Times New Roman" w:cs="Times New Roman"/>
          <w:lang w:eastAsia="de-DE"/>
        </w:rPr>
        <w:t xml:space="preserve">(Söhne Levis) mit der präpositionalen Phrase </w:t>
      </w:r>
      <w:r w:rsidRPr="00AC36A5">
        <w:rPr>
          <w:rFonts w:eastAsia="Times New Roman" w:cs="Times New Roman"/>
          <w:b/>
          <w:bCs/>
          <w:rtl/>
          <w:lang w:eastAsia="de-DE"/>
        </w:rPr>
        <w:t>בִּשְׁמֹתָם</w:t>
      </w:r>
      <w:r w:rsidRPr="00AC36A5">
        <w:rPr>
          <w:rFonts w:eastAsia="Times New Roman" w:cs="Times New Roman"/>
          <w:rtl/>
          <w:lang w:eastAsia="de-DE"/>
        </w:rPr>
        <w:t xml:space="preserve"> </w:t>
      </w:r>
      <w:r w:rsidRPr="00AC36A5">
        <w:rPr>
          <w:rFonts w:eastAsia="Times New Roman" w:cs="Times New Roman"/>
          <w:lang w:eastAsia="de-DE"/>
        </w:rPr>
        <w:t xml:space="preserve">(nach ihren Namen) 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שְׁמֹת</w:t>
      </w:r>
      <w:r w:rsidRPr="00AC36A5">
        <w:rPr>
          <w:rFonts w:eastAsia="Times New Roman" w:cs="Times New Roman"/>
          <w:rtl/>
          <w:lang w:eastAsia="de-DE"/>
        </w:rPr>
        <w:t xml:space="preserve"> </w:t>
      </w:r>
      <w:r w:rsidRPr="00AC36A5">
        <w:rPr>
          <w:rFonts w:eastAsia="Times New Roman" w:cs="Times New Roman"/>
          <w:lang w:eastAsia="de-DE"/>
        </w:rPr>
        <w:t xml:space="preserve">(Namen, Plural von </w:t>
      </w:r>
      <w:r w:rsidRPr="00AC36A5">
        <w:rPr>
          <w:rFonts w:eastAsia="Times New Roman" w:cs="Times New Roman"/>
          <w:b/>
          <w:bCs/>
          <w:rtl/>
          <w:lang w:eastAsia="de-DE"/>
        </w:rPr>
        <w:t>שֵׁם</w:t>
      </w:r>
      <w:r w:rsidRPr="00AC36A5">
        <w:rPr>
          <w:rFonts w:eastAsia="Times New Roman" w:cs="Times New Roman"/>
          <w:lang w:eastAsia="de-DE"/>
        </w:rPr>
        <w:t>) plus Possessivsuffix 3. maskulin Plural betont die namentliche Identifikation.</w:t>
      </w:r>
    </w:p>
    <w:p w14:paraId="39866C6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Aufzählung </w:t>
      </w:r>
      <w:r w:rsidRPr="00AC36A5">
        <w:rPr>
          <w:rFonts w:eastAsia="Times New Roman" w:cs="Times New Roman"/>
          <w:b/>
          <w:bCs/>
          <w:rtl/>
          <w:lang w:eastAsia="de-DE"/>
        </w:rPr>
        <w:t>גֵּרְשׁוֹן וּקְהָת וּמְרָרִי</w:t>
      </w:r>
      <w:r w:rsidRPr="00AC36A5">
        <w:rPr>
          <w:rFonts w:eastAsia="Times New Roman" w:cs="Times New Roman"/>
          <w:rtl/>
          <w:lang w:eastAsia="de-DE"/>
        </w:rPr>
        <w:t xml:space="preserve"> </w:t>
      </w:r>
      <w:r w:rsidRPr="00AC36A5">
        <w:rPr>
          <w:rFonts w:eastAsia="Times New Roman" w:cs="Times New Roman"/>
          <w:lang w:eastAsia="de-DE"/>
        </w:rPr>
        <w:t xml:space="preserve">mit Waw copulativum nennt die drei Hauptlinien der Leviten. Die Namen zeigen unterschiedliche etymologische Hintergründe: </w:t>
      </w:r>
      <w:r w:rsidRPr="00AC36A5">
        <w:rPr>
          <w:rFonts w:eastAsia="Times New Roman" w:cs="Times New Roman"/>
          <w:b/>
          <w:bCs/>
          <w:rtl/>
          <w:lang w:eastAsia="de-DE"/>
        </w:rPr>
        <w:t>גֵּרְשׁוֹן</w:t>
      </w:r>
      <w:r w:rsidRPr="00AC36A5">
        <w:rPr>
          <w:rFonts w:eastAsia="Times New Roman" w:cs="Times New Roman"/>
          <w:rtl/>
          <w:lang w:eastAsia="de-DE"/>
        </w:rPr>
        <w:t xml:space="preserve"> </w:t>
      </w:r>
      <w:r w:rsidRPr="00AC36A5">
        <w:rPr>
          <w:rFonts w:eastAsia="Times New Roman" w:cs="Times New Roman"/>
          <w:lang w:eastAsia="de-DE"/>
        </w:rPr>
        <w:t xml:space="preserve">möglicherweise von </w:t>
      </w:r>
      <w:r w:rsidRPr="00AC36A5">
        <w:rPr>
          <w:rFonts w:eastAsia="Times New Roman" w:cs="Times New Roman"/>
          <w:b/>
          <w:bCs/>
          <w:rtl/>
          <w:lang w:eastAsia="de-DE"/>
        </w:rPr>
        <w:t>גרש</w:t>
      </w:r>
      <w:r w:rsidRPr="00AC36A5">
        <w:rPr>
          <w:rFonts w:eastAsia="Times New Roman" w:cs="Times New Roman"/>
          <w:rtl/>
          <w:lang w:eastAsia="de-DE"/>
        </w:rPr>
        <w:t xml:space="preserve"> </w:t>
      </w:r>
      <w:r w:rsidRPr="00AC36A5">
        <w:rPr>
          <w:rFonts w:eastAsia="Times New Roman" w:cs="Times New Roman"/>
          <w:lang w:eastAsia="de-DE"/>
        </w:rPr>
        <w:t xml:space="preserve">(vertreiben), </w:t>
      </w:r>
      <w:r w:rsidRPr="00AC36A5">
        <w:rPr>
          <w:rFonts w:eastAsia="Times New Roman" w:cs="Times New Roman"/>
          <w:b/>
          <w:bCs/>
          <w:rtl/>
          <w:lang w:eastAsia="de-DE"/>
        </w:rPr>
        <w:t>קְהָת</w:t>
      </w:r>
      <w:r w:rsidRPr="00AC36A5">
        <w:rPr>
          <w:rFonts w:eastAsia="Times New Roman" w:cs="Times New Roman"/>
          <w:rtl/>
          <w:lang w:eastAsia="de-DE"/>
        </w:rPr>
        <w:t xml:space="preserve"> </w:t>
      </w:r>
      <w:r w:rsidRPr="00AC36A5">
        <w:rPr>
          <w:rFonts w:eastAsia="Times New Roman" w:cs="Times New Roman"/>
          <w:lang w:eastAsia="de-DE"/>
        </w:rPr>
        <w:t xml:space="preserve">von unklarer Etymologie, </w:t>
      </w:r>
      <w:r w:rsidRPr="00AC36A5">
        <w:rPr>
          <w:rFonts w:eastAsia="Times New Roman" w:cs="Times New Roman"/>
          <w:b/>
          <w:bCs/>
          <w:rtl/>
          <w:lang w:eastAsia="de-DE"/>
        </w:rPr>
        <w:t>מְרָרִי</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מרר</w:t>
      </w:r>
      <w:r w:rsidRPr="00AC36A5">
        <w:rPr>
          <w:rFonts w:eastAsia="Times New Roman" w:cs="Times New Roman"/>
          <w:rtl/>
          <w:lang w:eastAsia="de-DE"/>
        </w:rPr>
        <w:t xml:space="preserve"> </w:t>
      </w:r>
      <w:r w:rsidRPr="00AC36A5">
        <w:rPr>
          <w:rFonts w:eastAsia="Times New Roman" w:cs="Times New Roman"/>
          <w:lang w:eastAsia="de-DE"/>
        </w:rPr>
        <w:t>(bitter sein).</w:t>
      </w:r>
    </w:p>
    <w:p w14:paraId="74FA7E0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ἦσαν οὗτοι υἱοὶ Λευι ἐξ ὀνομάτων αὐτῶν Γεδσων Κααθ καὶ Μεραρι und behält die Struktur bei.</w:t>
      </w:r>
    </w:p>
    <w:p w14:paraId="48C15949" w14:textId="792A464B"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Satzstruktur zeigt einen existenzialen Satz mit demonstrativem Subjekt, </w:t>
      </w:r>
      <w:r w:rsidR="00F133EC">
        <w:rPr>
          <w:rFonts w:eastAsia="Times New Roman" w:cs="Times New Roman"/>
          <w:lang w:eastAsia="de-DE"/>
        </w:rPr>
        <w:t>Construct</w:t>
      </w:r>
      <w:r w:rsidRPr="00AC36A5">
        <w:rPr>
          <w:rFonts w:eastAsia="Times New Roman" w:cs="Times New Roman"/>
          <w:lang w:eastAsia="de-DE"/>
        </w:rPr>
        <w:t>verbindung als Prädikatsnomen und koordinierter Aufzählung.</w:t>
      </w:r>
    </w:p>
    <w:p w14:paraId="3C8B2CD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drei Hauptlinien der Leviten, die in der Folge die organisatorische Grundlage für die Aufgabenverteilung am Heiligtum bilden werden.</w:t>
      </w:r>
    </w:p>
    <w:p w14:paraId="32360593"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3,18</w:t>
      </w:r>
    </w:p>
    <w:p w14:paraId="5D80A8C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וְאֵ֛לֶּה שְׁמ֥וֹת בְּֽנֵי־גֵרְשׁ֖וֹן לְמִשְׁפְּחֹתָ֑ם לִבְנִ֖י וְשִׁמְעִֽי׃</w:t>
      </w:r>
    </w:p>
    <w:p w14:paraId="2BD8967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dies sind die Namen der Söhne Gerschons nach ihren Familien: Libni und Schimi.</w:t>
      </w:r>
    </w:p>
    <w:p w14:paraId="2F122755"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CF20A73">
          <v:rect id="_x0000_i1130" style="width:0;height:1.5pt" o:hralign="center" o:hrstd="t" o:hr="t" fillcolor="#a0a0a0" stroked="f"/>
        </w:pict>
      </w:r>
    </w:p>
    <w:p w14:paraId="667BAD43" w14:textId="1C637D5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וְאֵלֶּה</w:t>
      </w:r>
      <w:r w:rsidRPr="00AC36A5">
        <w:rPr>
          <w:rFonts w:eastAsia="Times New Roman" w:cs="Times New Roman"/>
          <w:rtl/>
          <w:lang w:eastAsia="de-DE"/>
        </w:rPr>
        <w:t xml:space="preserve"> </w:t>
      </w:r>
      <w:r w:rsidRPr="00AC36A5">
        <w:rPr>
          <w:rFonts w:eastAsia="Times New Roman" w:cs="Times New Roman"/>
          <w:lang w:eastAsia="de-DE"/>
        </w:rPr>
        <w:t xml:space="preserve">(und diese) mit Waw copulativum leitet die Aufzählung der Gerschon-Nachkommen ein.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שְׁמוֹת בְּנֵי־גֵרְשׁוֹן</w:t>
      </w:r>
      <w:r w:rsidRPr="00AC36A5">
        <w:rPr>
          <w:rFonts w:eastAsia="Times New Roman" w:cs="Times New Roman"/>
          <w:rtl/>
          <w:lang w:eastAsia="de-DE"/>
        </w:rPr>
        <w:t xml:space="preserve"> </w:t>
      </w:r>
      <w:r w:rsidRPr="00AC36A5">
        <w:rPr>
          <w:rFonts w:eastAsia="Times New Roman" w:cs="Times New Roman"/>
          <w:lang w:eastAsia="de-DE"/>
        </w:rPr>
        <w:t>(Namen der Söhne Gerschons) spezifiziert die erste levitische Linie.</w:t>
      </w:r>
    </w:p>
    <w:p w14:paraId="31B2C4D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לְמִשְׁפְּחֹתָם</w:t>
      </w:r>
      <w:r w:rsidRPr="00AC36A5">
        <w:rPr>
          <w:rFonts w:eastAsia="Times New Roman" w:cs="Times New Roman"/>
          <w:rtl/>
          <w:lang w:eastAsia="de-DE"/>
        </w:rPr>
        <w:t xml:space="preserve"> </w:t>
      </w:r>
      <w:r w:rsidRPr="00AC36A5">
        <w:rPr>
          <w:rFonts w:eastAsia="Times New Roman" w:cs="Times New Roman"/>
          <w:lang w:eastAsia="de-DE"/>
        </w:rPr>
        <w:t xml:space="preserve">(nach ihren Familien)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מִשְׁפְּחֹת</w:t>
      </w:r>
      <w:r w:rsidRPr="00AC36A5">
        <w:rPr>
          <w:rFonts w:eastAsia="Times New Roman" w:cs="Times New Roman"/>
          <w:rtl/>
          <w:lang w:eastAsia="de-DE"/>
        </w:rPr>
        <w:t xml:space="preserve"> </w:t>
      </w:r>
      <w:r w:rsidRPr="00AC36A5">
        <w:rPr>
          <w:rFonts w:eastAsia="Times New Roman" w:cs="Times New Roman"/>
          <w:lang w:eastAsia="de-DE"/>
        </w:rPr>
        <w:t xml:space="preserve">(Familien, Plural von </w:t>
      </w:r>
      <w:r w:rsidRPr="00AC36A5">
        <w:rPr>
          <w:rFonts w:eastAsia="Times New Roman" w:cs="Times New Roman"/>
          <w:b/>
          <w:bCs/>
          <w:rtl/>
          <w:lang w:eastAsia="de-DE"/>
        </w:rPr>
        <w:t>מִשְׁפָּחָה</w:t>
      </w:r>
      <w:r w:rsidRPr="00AC36A5">
        <w:rPr>
          <w:rFonts w:eastAsia="Times New Roman" w:cs="Times New Roman"/>
          <w:lang w:eastAsia="de-DE"/>
        </w:rPr>
        <w:t>) plus Possessivsuffix 3. maskulin Plural zeigt die genealogische Organisation.</w:t>
      </w:r>
    </w:p>
    <w:p w14:paraId="3235923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Aufzählung </w:t>
      </w:r>
      <w:r w:rsidRPr="00AC36A5">
        <w:rPr>
          <w:rFonts w:eastAsia="Times New Roman" w:cs="Times New Roman"/>
          <w:b/>
          <w:bCs/>
          <w:rtl/>
          <w:lang w:eastAsia="de-DE"/>
        </w:rPr>
        <w:t>לִבְנִי וְשִׁמְעִי</w:t>
      </w:r>
      <w:r w:rsidRPr="00AC36A5">
        <w:rPr>
          <w:rFonts w:eastAsia="Times New Roman" w:cs="Times New Roman"/>
          <w:rtl/>
          <w:lang w:eastAsia="de-DE"/>
        </w:rPr>
        <w:t xml:space="preserve"> </w:t>
      </w:r>
      <w:r w:rsidRPr="00AC36A5">
        <w:rPr>
          <w:rFonts w:eastAsia="Times New Roman" w:cs="Times New Roman"/>
          <w:lang w:eastAsia="de-DE"/>
        </w:rPr>
        <w:t xml:space="preserve">mit Waw copulativum nennt die beiden Söhne Gerschons. </w:t>
      </w:r>
      <w:r w:rsidRPr="00AC36A5">
        <w:rPr>
          <w:rFonts w:eastAsia="Times New Roman" w:cs="Times New Roman"/>
          <w:b/>
          <w:bCs/>
          <w:rtl/>
          <w:lang w:eastAsia="de-DE"/>
        </w:rPr>
        <w:t>לִבְנִי</w:t>
      </w:r>
      <w:r w:rsidRPr="00AC36A5">
        <w:rPr>
          <w:rFonts w:eastAsia="Times New Roman" w:cs="Times New Roman"/>
          <w:rtl/>
          <w:lang w:eastAsia="de-DE"/>
        </w:rPr>
        <w:t xml:space="preserve"> </w:t>
      </w:r>
      <w:r w:rsidRPr="00AC36A5">
        <w:rPr>
          <w:rFonts w:eastAsia="Times New Roman" w:cs="Times New Roman"/>
          <w:lang w:eastAsia="de-DE"/>
        </w:rPr>
        <w:t xml:space="preserve">bedeutet möglicherweise "weiß" von </w:t>
      </w:r>
      <w:r w:rsidRPr="00AC36A5">
        <w:rPr>
          <w:rFonts w:eastAsia="Times New Roman" w:cs="Times New Roman"/>
          <w:b/>
          <w:bCs/>
          <w:rtl/>
          <w:lang w:eastAsia="de-DE"/>
        </w:rPr>
        <w:t>לבן</w:t>
      </w:r>
      <w:r w:rsidRPr="00AC36A5">
        <w:rPr>
          <w:rFonts w:eastAsia="Times New Roman" w:cs="Times New Roman"/>
          <w:rtl/>
          <w:lang w:eastAsia="de-DE"/>
        </w:rPr>
        <w:t xml:space="preserve"> </w:t>
      </w:r>
      <w:r w:rsidRPr="00AC36A5">
        <w:rPr>
          <w:rFonts w:eastAsia="Times New Roman" w:cs="Times New Roman"/>
          <w:lang w:eastAsia="de-DE"/>
        </w:rPr>
        <w:t xml:space="preserve">(weiß sein), </w:t>
      </w:r>
      <w:r w:rsidRPr="00AC36A5">
        <w:rPr>
          <w:rFonts w:eastAsia="Times New Roman" w:cs="Times New Roman"/>
          <w:b/>
          <w:bCs/>
          <w:rtl/>
          <w:lang w:eastAsia="de-DE"/>
        </w:rPr>
        <w:t>שִׁמְעִי</w:t>
      </w:r>
      <w:r w:rsidRPr="00AC36A5">
        <w:rPr>
          <w:rFonts w:eastAsia="Times New Roman" w:cs="Times New Roman"/>
          <w:rtl/>
          <w:lang w:eastAsia="de-DE"/>
        </w:rPr>
        <w:t xml:space="preserve"> </w:t>
      </w:r>
      <w:r w:rsidRPr="00AC36A5">
        <w:rPr>
          <w:rFonts w:eastAsia="Times New Roman" w:cs="Times New Roman"/>
          <w:lang w:eastAsia="de-DE"/>
        </w:rPr>
        <w:t xml:space="preserve">ist eine Patronymikform von </w:t>
      </w:r>
      <w:r w:rsidRPr="00AC36A5">
        <w:rPr>
          <w:rFonts w:eastAsia="Times New Roman" w:cs="Times New Roman"/>
          <w:b/>
          <w:bCs/>
          <w:rtl/>
          <w:lang w:eastAsia="de-DE"/>
        </w:rPr>
        <w:t>שמע</w:t>
      </w:r>
      <w:r w:rsidRPr="00AC36A5">
        <w:rPr>
          <w:rFonts w:eastAsia="Times New Roman" w:cs="Times New Roman"/>
          <w:rtl/>
          <w:lang w:eastAsia="de-DE"/>
        </w:rPr>
        <w:t xml:space="preserve"> </w:t>
      </w:r>
      <w:r w:rsidRPr="00AC36A5">
        <w:rPr>
          <w:rFonts w:eastAsia="Times New Roman" w:cs="Times New Roman"/>
          <w:lang w:eastAsia="de-DE"/>
        </w:rPr>
        <w:t>(hören) und bedeutet "der Hörende" oder gehört zur Sippe des Hörenden.</w:t>
      </w:r>
    </w:p>
    <w:p w14:paraId="4C363CD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ταῦτα ὀνόματα υἱῶν Γεδσων κατὰ δήμους αὐτῶν Λοβενι καὶ Σεμει und behält die Struktur bei.</w:t>
      </w:r>
    </w:p>
    <w:p w14:paraId="57C8D22E" w14:textId="05CB0001"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nominale </w:t>
      </w:r>
      <w:r w:rsidR="00F133EC">
        <w:rPr>
          <w:rFonts w:eastAsia="Times New Roman" w:cs="Times New Roman"/>
          <w:lang w:eastAsia="de-DE"/>
        </w:rPr>
        <w:t>Construct</w:t>
      </w:r>
      <w:r w:rsidRPr="00AC36A5">
        <w:rPr>
          <w:rFonts w:eastAsia="Times New Roman" w:cs="Times New Roman"/>
          <w:lang w:eastAsia="de-DE"/>
        </w:rPr>
        <w:t xml:space="preserve">ion mit demonstrativer Einleitung, </w:t>
      </w:r>
      <w:r w:rsidR="00F133EC">
        <w:rPr>
          <w:rFonts w:eastAsia="Times New Roman" w:cs="Times New Roman"/>
          <w:lang w:eastAsia="de-DE"/>
        </w:rPr>
        <w:t>Construct</w:t>
      </w:r>
      <w:r w:rsidRPr="00AC36A5">
        <w:rPr>
          <w:rFonts w:eastAsia="Times New Roman" w:cs="Times New Roman"/>
          <w:lang w:eastAsia="de-DE"/>
        </w:rPr>
        <w:t>verbindung, präpositionaler Spezifikation und koordinierter Aufzählung.</w:t>
      </w:r>
    </w:p>
    <w:p w14:paraId="4E3412E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beginnt die detaillierte Aufzählung der levitischen Untergruppen mit der ersten Linie Gerschon und etabliert das Muster für die folgenden genealogischen Angaben.</w:t>
      </w:r>
    </w:p>
    <w:p w14:paraId="3EC5890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3,19</w:t>
      </w:r>
    </w:p>
    <w:p w14:paraId="3B27717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וּבְנֵ֥י קְהָ֖ת לְמִשְׁפְּחֹתָ֑ם עַמְרָ֣ם וְיִצְהָ֔ר חֶבְר֖וֹן וְעֻזִּיאֵֽל׃</w:t>
      </w:r>
    </w:p>
    <w:p w14:paraId="7339CA5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Söhne Kehats nach ihren Familien: Amram und Jizhar, Chevron und Usi'el.</w:t>
      </w:r>
    </w:p>
    <w:p w14:paraId="0B141DBC"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C87A7CF">
          <v:rect id="_x0000_i1131" style="width:0;height:1.5pt" o:hralign="center" o:hrstd="t" o:hr="t" fillcolor="#a0a0a0" stroked="f"/>
        </w:pict>
      </w:r>
    </w:p>
    <w:p w14:paraId="1DC57CB5" w14:textId="4428AAF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וּבְנֵי קְהָת</w:t>
      </w:r>
      <w:r w:rsidRPr="00AC36A5">
        <w:rPr>
          <w:rFonts w:eastAsia="Times New Roman" w:cs="Times New Roman"/>
          <w:rtl/>
          <w:lang w:eastAsia="de-DE"/>
        </w:rPr>
        <w:t xml:space="preserve"> </w:t>
      </w:r>
      <w:r w:rsidRPr="00AC36A5">
        <w:rPr>
          <w:rFonts w:eastAsia="Times New Roman" w:cs="Times New Roman"/>
          <w:lang w:eastAsia="de-DE"/>
        </w:rPr>
        <w:t xml:space="preserve">(und die Söhne Kehats) mit Waw copulativum setzt die genealogische Aufzählung fort. Die präpositionale Phrase </w:t>
      </w:r>
      <w:r w:rsidRPr="00AC36A5">
        <w:rPr>
          <w:rFonts w:eastAsia="Times New Roman" w:cs="Times New Roman"/>
          <w:b/>
          <w:bCs/>
          <w:rtl/>
          <w:lang w:eastAsia="de-DE"/>
        </w:rPr>
        <w:t>לְמִשְׁפְּחֹתָם</w:t>
      </w:r>
      <w:r w:rsidRPr="00AC36A5">
        <w:rPr>
          <w:rFonts w:eastAsia="Times New Roman" w:cs="Times New Roman"/>
          <w:rtl/>
          <w:lang w:eastAsia="de-DE"/>
        </w:rPr>
        <w:t xml:space="preserve"> </w:t>
      </w:r>
      <w:r w:rsidRPr="00AC36A5">
        <w:rPr>
          <w:rFonts w:eastAsia="Times New Roman" w:cs="Times New Roman"/>
          <w:lang w:eastAsia="de-DE"/>
        </w:rPr>
        <w:t>entspricht dem etablierten Muster.</w:t>
      </w:r>
    </w:p>
    <w:p w14:paraId="3C4DE33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koordinierte Aufzählung </w:t>
      </w:r>
      <w:r w:rsidRPr="00AC36A5">
        <w:rPr>
          <w:rFonts w:eastAsia="Times New Roman" w:cs="Times New Roman"/>
          <w:b/>
          <w:bCs/>
          <w:rtl/>
          <w:lang w:eastAsia="de-DE"/>
        </w:rPr>
        <w:t>עַמְרָם וְיִצְהָר חֶבְרוֹן וְעֻזִּיאֵל</w:t>
      </w:r>
      <w:r w:rsidRPr="00AC36A5">
        <w:rPr>
          <w:rFonts w:eastAsia="Times New Roman" w:cs="Times New Roman"/>
          <w:rtl/>
          <w:lang w:eastAsia="de-DE"/>
        </w:rPr>
        <w:t xml:space="preserve"> </w:t>
      </w:r>
      <w:r w:rsidRPr="00AC36A5">
        <w:rPr>
          <w:rFonts w:eastAsia="Times New Roman" w:cs="Times New Roman"/>
          <w:lang w:eastAsia="de-DE"/>
        </w:rPr>
        <w:t xml:space="preserve">zeigt vier Söhne Kehats. </w:t>
      </w:r>
      <w:r w:rsidRPr="00AC36A5">
        <w:rPr>
          <w:rFonts w:eastAsia="Times New Roman" w:cs="Times New Roman"/>
          <w:b/>
          <w:bCs/>
          <w:rtl/>
          <w:lang w:eastAsia="de-DE"/>
        </w:rPr>
        <w:t>עַמְרָם</w:t>
      </w:r>
      <w:r w:rsidRPr="00AC36A5">
        <w:rPr>
          <w:rFonts w:eastAsia="Times New Roman" w:cs="Times New Roman"/>
          <w:rtl/>
          <w:lang w:eastAsia="de-DE"/>
        </w:rPr>
        <w:t xml:space="preserve"> </w:t>
      </w:r>
      <w:r w:rsidRPr="00AC36A5">
        <w:rPr>
          <w:rFonts w:eastAsia="Times New Roman" w:cs="Times New Roman"/>
          <w:lang w:eastAsia="de-DE"/>
        </w:rPr>
        <w:t xml:space="preserve">(Amram) wird später als Vater von Mose, Aaron und Mirjam identifiziert. </w:t>
      </w:r>
      <w:r w:rsidRPr="00AC36A5">
        <w:rPr>
          <w:rFonts w:eastAsia="Times New Roman" w:cs="Times New Roman"/>
          <w:b/>
          <w:bCs/>
          <w:rtl/>
          <w:lang w:eastAsia="de-DE"/>
        </w:rPr>
        <w:t>יִצְהָר</w:t>
      </w:r>
      <w:r w:rsidRPr="00AC36A5">
        <w:rPr>
          <w:rFonts w:eastAsia="Times New Roman" w:cs="Times New Roman"/>
          <w:rtl/>
          <w:lang w:eastAsia="de-DE"/>
        </w:rPr>
        <w:t xml:space="preserve"> </w:t>
      </w:r>
      <w:r w:rsidRPr="00AC36A5">
        <w:rPr>
          <w:rFonts w:eastAsia="Times New Roman" w:cs="Times New Roman"/>
          <w:lang w:eastAsia="de-DE"/>
        </w:rPr>
        <w:t xml:space="preserve">bedeutet "Öl" und könnte auf Wohlstand hinweisen. </w:t>
      </w:r>
      <w:r w:rsidRPr="00AC36A5">
        <w:rPr>
          <w:rFonts w:eastAsia="Times New Roman" w:cs="Times New Roman"/>
          <w:b/>
          <w:bCs/>
          <w:rtl/>
          <w:lang w:eastAsia="de-DE"/>
        </w:rPr>
        <w:t>חֶבְרוֹן</w:t>
      </w:r>
      <w:r w:rsidRPr="00AC36A5">
        <w:rPr>
          <w:rFonts w:eastAsia="Times New Roman" w:cs="Times New Roman"/>
          <w:rtl/>
          <w:lang w:eastAsia="de-DE"/>
        </w:rPr>
        <w:t xml:space="preserve"> </w:t>
      </w:r>
      <w:r w:rsidRPr="00AC36A5">
        <w:rPr>
          <w:rFonts w:eastAsia="Times New Roman" w:cs="Times New Roman"/>
          <w:lang w:eastAsia="de-DE"/>
        </w:rPr>
        <w:t xml:space="preserve">ist identisch mit dem Ortsnamen und bedeutet "Verbindung/Bund". </w:t>
      </w:r>
      <w:r w:rsidRPr="00AC36A5">
        <w:rPr>
          <w:rFonts w:eastAsia="Times New Roman" w:cs="Times New Roman"/>
          <w:b/>
          <w:bCs/>
          <w:rtl/>
          <w:lang w:eastAsia="de-DE"/>
        </w:rPr>
        <w:t>עֻזִּיאֵל</w:t>
      </w:r>
      <w:r w:rsidRPr="00AC36A5">
        <w:rPr>
          <w:rFonts w:eastAsia="Times New Roman" w:cs="Times New Roman"/>
          <w:rtl/>
          <w:lang w:eastAsia="de-DE"/>
        </w:rPr>
        <w:t xml:space="preserve"> </w:t>
      </w:r>
      <w:r w:rsidRPr="00AC36A5">
        <w:rPr>
          <w:rFonts w:eastAsia="Times New Roman" w:cs="Times New Roman"/>
          <w:lang w:eastAsia="de-DE"/>
        </w:rPr>
        <w:t>ist ein theophorer Name mit "Gott ist meine Stärke".</w:t>
      </w:r>
    </w:p>
    <w:p w14:paraId="1312054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υἱοὶ Κααθ κατὰ δήμους αὐτῶν Αμραμ καὶ Ισσααρ Χεβρων καὶ Οζιηλ und behält die Viererzahl bei.</w:t>
      </w:r>
    </w:p>
    <w:p w14:paraId="35604D67" w14:textId="682963D2"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verkürzte nominale </w:t>
      </w:r>
      <w:r w:rsidR="00F133EC">
        <w:rPr>
          <w:rFonts w:eastAsia="Times New Roman" w:cs="Times New Roman"/>
          <w:lang w:eastAsia="de-DE"/>
        </w:rPr>
        <w:t>Construct</w:t>
      </w:r>
      <w:r w:rsidRPr="00AC36A5">
        <w:rPr>
          <w:rFonts w:eastAsia="Times New Roman" w:cs="Times New Roman"/>
          <w:lang w:eastAsia="de-DE"/>
        </w:rPr>
        <w:t xml:space="preserve">ion ohne </w:t>
      </w:r>
      <w:r w:rsidRPr="00AC36A5">
        <w:rPr>
          <w:rFonts w:eastAsia="Times New Roman" w:cs="Times New Roman"/>
          <w:b/>
          <w:bCs/>
          <w:rtl/>
          <w:lang w:eastAsia="de-DE"/>
        </w:rPr>
        <w:t>שְׁמוֹת</w:t>
      </w:r>
      <w:r w:rsidRPr="00AC36A5">
        <w:rPr>
          <w:rFonts w:eastAsia="Times New Roman" w:cs="Times New Roman"/>
          <w:rtl/>
          <w:lang w:eastAsia="de-DE"/>
        </w:rPr>
        <w:t xml:space="preserve"> </w:t>
      </w:r>
      <w:r w:rsidRPr="00AC36A5">
        <w:rPr>
          <w:rFonts w:eastAsia="Times New Roman" w:cs="Times New Roman"/>
          <w:lang w:eastAsia="de-DE"/>
        </w:rPr>
        <w:t>und Demonstrativpronomen, was stilistische Variation anzeigt.</w:t>
      </w:r>
    </w:p>
    <w:p w14:paraId="4A864A8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stellt die bedeutsame Kehat-Linie vor, aus der die Priesterschaft hervorgeht, und zeigt durch die Vierzahl eine größere genealogische Diversifizierung.</w:t>
      </w:r>
    </w:p>
    <w:p w14:paraId="1CE4E16D"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3,20</w:t>
      </w:r>
    </w:p>
    <w:p w14:paraId="13A8CCA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וּבְנֵ֧י מְרָרִ֛י לְמִשְׁפְּחֹתָ֖ם מַחְלִ֣י וּמוּשִׁ֑י אֵ֥לֶּה הֵ֛ם מִשְׁפְּחֹ֥ת הַלֵּוִ֖י לְבֵ֥ית אֲבֹתָֽם׃</w:t>
      </w:r>
    </w:p>
    <w:p w14:paraId="4DC08D3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Söhne Meraris nach ihren Familien: Machli und Muschi. Das sind die Familien Levis nach ihren Vaterhäusern.</w:t>
      </w:r>
    </w:p>
    <w:p w14:paraId="6EF57F2B"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B3D755B">
          <v:rect id="_x0000_i1132" style="width:0;height:1.5pt" o:hralign="center" o:hrstd="t" o:hr="t" fillcolor="#a0a0a0" stroked="f"/>
        </w:pict>
      </w:r>
    </w:p>
    <w:p w14:paraId="5B1C83D0" w14:textId="454E81B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וּבְנֵי מְרָרִי</w:t>
      </w:r>
      <w:r w:rsidRPr="00AC36A5">
        <w:rPr>
          <w:rFonts w:eastAsia="Times New Roman" w:cs="Times New Roman"/>
          <w:rtl/>
          <w:lang w:eastAsia="de-DE"/>
        </w:rPr>
        <w:t xml:space="preserve"> </w:t>
      </w:r>
      <w:r w:rsidRPr="00AC36A5">
        <w:rPr>
          <w:rFonts w:eastAsia="Times New Roman" w:cs="Times New Roman"/>
          <w:lang w:eastAsia="de-DE"/>
        </w:rPr>
        <w:t xml:space="preserve">(und die Söhne Meraris) mit der präpositionalen Phrase </w:t>
      </w:r>
      <w:r w:rsidRPr="00AC36A5">
        <w:rPr>
          <w:rFonts w:eastAsia="Times New Roman" w:cs="Times New Roman"/>
          <w:b/>
          <w:bCs/>
          <w:rtl/>
          <w:lang w:eastAsia="de-DE"/>
        </w:rPr>
        <w:t>לְמִשְׁפְּחֹתָם</w:t>
      </w:r>
      <w:r w:rsidRPr="00AC36A5">
        <w:rPr>
          <w:rFonts w:eastAsia="Times New Roman" w:cs="Times New Roman"/>
          <w:rtl/>
          <w:lang w:eastAsia="de-DE"/>
        </w:rPr>
        <w:t xml:space="preserve"> </w:t>
      </w:r>
      <w:r w:rsidRPr="00AC36A5">
        <w:rPr>
          <w:rFonts w:eastAsia="Times New Roman" w:cs="Times New Roman"/>
          <w:lang w:eastAsia="de-DE"/>
        </w:rPr>
        <w:t>folgt dem etablierten Muster und komplettiert die drei Hauptlinien.</w:t>
      </w:r>
    </w:p>
    <w:p w14:paraId="6FF9B1A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Aufzählung </w:t>
      </w:r>
      <w:r w:rsidRPr="00AC36A5">
        <w:rPr>
          <w:rFonts w:eastAsia="Times New Roman" w:cs="Times New Roman"/>
          <w:b/>
          <w:bCs/>
          <w:rtl/>
          <w:lang w:eastAsia="de-DE"/>
        </w:rPr>
        <w:t>מַחְלִי וּמוּשִׁי</w:t>
      </w:r>
      <w:r w:rsidRPr="00AC36A5">
        <w:rPr>
          <w:rFonts w:eastAsia="Times New Roman" w:cs="Times New Roman"/>
          <w:rtl/>
          <w:lang w:eastAsia="de-DE"/>
        </w:rPr>
        <w:t xml:space="preserve"> </w:t>
      </w:r>
      <w:r w:rsidRPr="00AC36A5">
        <w:rPr>
          <w:rFonts w:eastAsia="Times New Roman" w:cs="Times New Roman"/>
          <w:lang w:eastAsia="de-DE"/>
        </w:rPr>
        <w:t xml:space="preserve">nennt die beiden Söhne Meraris. </w:t>
      </w:r>
      <w:r w:rsidRPr="00AC36A5">
        <w:rPr>
          <w:rFonts w:eastAsia="Times New Roman" w:cs="Times New Roman"/>
          <w:b/>
          <w:bCs/>
          <w:rtl/>
          <w:lang w:eastAsia="de-DE"/>
        </w:rPr>
        <w:t>מַחְלִי</w:t>
      </w:r>
      <w:r w:rsidRPr="00AC36A5">
        <w:rPr>
          <w:rFonts w:eastAsia="Times New Roman" w:cs="Times New Roman"/>
          <w:rtl/>
          <w:lang w:eastAsia="de-DE"/>
        </w:rPr>
        <w:t xml:space="preserve"> </w:t>
      </w:r>
      <w:r w:rsidRPr="00AC36A5">
        <w:rPr>
          <w:rFonts w:eastAsia="Times New Roman" w:cs="Times New Roman"/>
          <w:lang w:eastAsia="de-DE"/>
        </w:rPr>
        <w:t xml:space="preserve">könnte von </w:t>
      </w:r>
      <w:r w:rsidRPr="00AC36A5">
        <w:rPr>
          <w:rFonts w:eastAsia="Times New Roman" w:cs="Times New Roman"/>
          <w:b/>
          <w:bCs/>
          <w:rtl/>
          <w:lang w:eastAsia="de-DE"/>
        </w:rPr>
        <w:t>חלה</w:t>
      </w:r>
      <w:r w:rsidRPr="00AC36A5">
        <w:rPr>
          <w:rFonts w:eastAsia="Times New Roman" w:cs="Times New Roman"/>
          <w:rtl/>
          <w:lang w:eastAsia="de-DE"/>
        </w:rPr>
        <w:t xml:space="preserve"> </w:t>
      </w:r>
      <w:r w:rsidRPr="00AC36A5">
        <w:rPr>
          <w:rFonts w:eastAsia="Times New Roman" w:cs="Times New Roman"/>
          <w:lang w:eastAsia="de-DE"/>
        </w:rPr>
        <w:t xml:space="preserve">(schwach/krank sein) stammen oder eine andere etymologische Wurzel haben. </w:t>
      </w:r>
      <w:r w:rsidRPr="00AC36A5">
        <w:rPr>
          <w:rFonts w:eastAsia="Times New Roman" w:cs="Times New Roman"/>
          <w:b/>
          <w:bCs/>
          <w:rtl/>
          <w:lang w:eastAsia="de-DE"/>
        </w:rPr>
        <w:t>מוּשִׁי</w:t>
      </w:r>
      <w:r w:rsidRPr="00AC36A5">
        <w:rPr>
          <w:rFonts w:eastAsia="Times New Roman" w:cs="Times New Roman"/>
          <w:rtl/>
          <w:lang w:eastAsia="de-DE"/>
        </w:rPr>
        <w:t xml:space="preserve"> </w:t>
      </w:r>
      <w:r w:rsidRPr="00AC36A5">
        <w:rPr>
          <w:rFonts w:eastAsia="Times New Roman" w:cs="Times New Roman"/>
          <w:lang w:eastAsia="de-DE"/>
        </w:rPr>
        <w:t xml:space="preserve">ist möglicherweise mit </w:t>
      </w:r>
      <w:r w:rsidRPr="00AC36A5">
        <w:rPr>
          <w:rFonts w:eastAsia="Times New Roman" w:cs="Times New Roman"/>
          <w:b/>
          <w:bCs/>
          <w:rtl/>
          <w:lang w:eastAsia="de-DE"/>
        </w:rPr>
        <w:t>משה</w:t>
      </w:r>
      <w:r w:rsidRPr="00AC36A5">
        <w:rPr>
          <w:rFonts w:eastAsia="Times New Roman" w:cs="Times New Roman"/>
          <w:rtl/>
          <w:lang w:eastAsia="de-DE"/>
        </w:rPr>
        <w:t xml:space="preserve"> </w:t>
      </w:r>
      <w:r w:rsidRPr="00AC36A5">
        <w:rPr>
          <w:rFonts w:eastAsia="Times New Roman" w:cs="Times New Roman"/>
          <w:lang w:eastAsia="de-DE"/>
        </w:rPr>
        <w:t xml:space="preserve">(Mose) verwandt oder von </w:t>
      </w:r>
      <w:r w:rsidRPr="00AC36A5">
        <w:rPr>
          <w:rFonts w:eastAsia="Times New Roman" w:cs="Times New Roman"/>
          <w:b/>
          <w:bCs/>
          <w:rtl/>
          <w:lang w:eastAsia="de-DE"/>
        </w:rPr>
        <w:t>מושׁ</w:t>
      </w:r>
      <w:r w:rsidRPr="00AC36A5">
        <w:rPr>
          <w:rFonts w:eastAsia="Times New Roman" w:cs="Times New Roman"/>
          <w:rtl/>
          <w:lang w:eastAsia="de-DE"/>
        </w:rPr>
        <w:t xml:space="preserve"> </w:t>
      </w:r>
      <w:r w:rsidRPr="00AC36A5">
        <w:rPr>
          <w:rFonts w:eastAsia="Times New Roman" w:cs="Times New Roman"/>
          <w:lang w:eastAsia="de-DE"/>
        </w:rPr>
        <w:t>(weichen/zurückweichen).</w:t>
      </w:r>
    </w:p>
    <w:p w14:paraId="5922485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zusammenfassende Satz </w:t>
      </w:r>
      <w:r w:rsidRPr="00AC36A5">
        <w:rPr>
          <w:rFonts w:eastAsia="Times New Roman" w:cs="Times New Roman"/>
          <w:b/>
          <w:bCs/>
          <w:rtl/>
          <w:lang w:eastAsia="de-DE"/>
        </w:rPr>
        <w:t>אֵלֶּה הֵם מִשְׁפְּחֹת הַלֵּוִי לְבֵית אֲבֹתָם</w:t>
      </w:r>
      <w:r w:rsidRPr="00AC36A5">
        <w:rPr>
          <w:rFonts w:eastAsia="Times New Roman" w:cs="Times New Roman"/>
          <w:rtl/>
          <w:lang w:eastAsia="de-DE"/>
        </w:rPr>
        <w:t xml:space="preserve"> </w:t>
      </w:r>
      <w:r w:rsidRPr="00AC36A5">
        <w:rPr>
          <w:rFonts w:eastAsia="Times New Roman" w:cs="Times New Roman"/>
          <w:lang w:eastAsia="de-DE"/>
        </w:rPr>
        <w:t xml:space="preserve">mit dem Demonstrativpronomen </w:t>
      </w:r>
      <w:r w:rsidRPr="00AC36A5">
        <w:rPr>
          <w:rFonts w:eastAsia="Times New Roman" w:cs="Times New Roman"/>
          <w:b/>
          <w:bCs/>
          <w:rtl/>
          <w:lang w:eastAsia="de-DE"/>
        </w:rPr>
        <w:t>אֵלֶּה</w:t>
      </w:r>
      <w:r w:rsidRPr="00AC36A5">
        <w:rPr>
          <w:rFonts w:eastAsia="Times New Roman" w:cs="Times New Roman"/>
          <w:rtl/>
          <w:lang w:eastAsia="de-DE"/>
        </w:rPr>
        <w:t xml:space="preserve"> </w:t>
      </w:r>
      <w:r w:rsidRPr="00AC36A5">
        <w:rPr>
          <w:rFonts w:eastAsia="Times New Roman" w:cs="Times New Roman"/>
          <w:lang w:eastAsia="de-DE"/>
        </w:rPr>
        <w:t xml:space="preserve">(diese), dem emphatischen </w:t>
      </w:r>
      <w:r w:rsidRPr="00AC36A5">
        <w:rPr>
          <w:rFonts w:eastAsia="Times New Roman" w:cs="Times New Roman"/>
          <w:b/>
          <w:bCs/>
          <w:rtl/>
          <w:lang w:eastAsia="de-DE"/>
        </w:rPr>
        <w:t>הֵם</w:t>
      </w:r>
      <w:r w:rsidRPr="00AC36A5">
        <w:rPr>
          <w:rFonts w:eastAsia="Times New Roman" w:cs="Times New Roman"/>
          <w:rtl/>
          <w:lang w:eastAsia="de-DE"/>
        </w:rPr>
        <w:t xml:space="preserve"> </w:t>
      </w:r>
      <w:r w:rsidRPr="00AC36A5">
        <w:rPr>
          <w:rFonts w:eastAsia="Times New Roman" w:cs="Times New Roman"/>
          <w:lang w:eastAsia="de-DE"/>
        </w:rPr>
        <w:t xml:space="preserve">(sie sind), </w:t>
      </w:r>
      <w:r w:rsidRPr="00AC36A5">
        <w:rPr>
          <w:rFonts w:eastAsia="Times New Roman" w:cs="Times New Roman"/>
          <w:b/>
          <w:bCs/>
          <w:rtl/>
          <w:lang w:eastAsia="de-DE"/>
        </w:rPr>
        <w:t>מִשְׁפְּחֹת הַלֵּוִי</w:t>
      </w:r>
      <w:r w:rsidRPr="00AC36A5">
        <w:rPr>
          <w:rFonts w:eastAsia="Times New Roman" w:cs="Times New Roman"/>
          <w:rtl/>
          <w:lang w:eastAsia="de-DE"/>
        </w:rPr>
        <w:t xml:space="preserve"> </w:t>
      </w:r>
      <w:r w:rsidRPr="00AC36A5">
        <w:rPr>
          <w:rFonts w:eastAsia="Times New Roman" w:cs="Times New Roman"/>
          <w:lang w:eastAsia="de-DE"/>
        </w:rPr>
        <w:t xml:space="preserve">(Familien Levis) und </w:t>
      </w:r>
      <w:r w:rsidRPr="00AC36A5">
        <w:rPr>
          <w:rFonts w:eastAsia="Times New Roman" w:cs="Times New Roman"/>
          <w:b/>
          <w:bCs/>
          <w:rtl/>
          <w:lang w:eastAsia="de-DE"/>
        </w:rPr>
        <w:t>לְבֵית אֲבֹתָם</w:t>
      </w:r>
      <w:r w:rsidRPr="00AC36A5">
        <w:rPr>
          <w:rFonts w:eastAsia="Times New Roman" w:cs="Times New Roman"/>
          <w:rtl/>
          <w:lang w:eastAsia="de-DE"/>
        </w:rPr>
        <w:t xml:space="preserve"> </w:t>
      </w:r>
      <w:r w:rsidRPr="00AC36A5">
        <w:rPr>
          <w:rFonts w:eastAsia="Times New Roman" w:cs="Times New Roman"/>
          <w:lang w:eastAsia="de-DE"/>
        </w:rPr>
        <w:t>(nach ihren Vaterhäusern) bildet einen formellen Abschluss der genealogischen Übersicht.</w:t>
      </w:r>
    </w:p>
    <w:p w14:paraId="133EDDD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υἱοὶ Μεραρι κατὰ δήμους αὐτῶν Μοολι καὶ Μουσι αὗται εἰσιν αἱ συγγένειαι Λευι κατὰ οἴκους πατριῶν αὐτῶν und behält die zusammenfassende Formel bei.</w:t>
      </w:r>
    </w:p>
    <w:p w14:paraId="6DD17AF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die Fortsetzung des nominalen Musters mit einem abschließenden zusammenfassenden Satz, der die Vollständigkeit der levitischen Genealogie betont.</w:t>
      </w:r>
    </w:p>
    <w:p w14:paraId="1866305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komplettiert die genealogische Übersicht der drei levitischen Hauptlinien und bietet eine formelle Zusammenfassung, die den Übergang zu den spezifischen Aufgaben und Zahlen vorbereitet.</w:t>
      </w:r>
    </w:p>
    <w:p w14:paraId="235A3E46"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3,21</w:t>
      </w:r>
    </w:p>
    <w:p w14:paraId="5813B8C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לְגֵ֣רְשׁ֔וֹן מִשְׁפַּ֨חַת֙ הַלִּבְנִ֔י וּמִשְׁפַּ֖חַת הַשִּׁמְעִ֑י אֵ֣לֶּה הֵ֔ם מִשְׁפְּחֹ֖ת הַגֵּרְשֻׁנִּֽי׃</w:t>
      </w:r>
    </w:p>
    <w:p w14:paraId="07A490B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Deutsch:</w:t>
      </w:r>
      <w:r w:rsidRPr="00AC36A5">
        <w:rPr>
          <w:rFonts w:eastAsia="Times New Roman" w:cs="Times New Roman"/>
          <w:lang w:eastAsia="de-DE"/>
        </w:rPr>
        <w:t xml:space="preserve"> Von Gerschon die Familie des Libni und die Familie des Schimi; das sind die Familien des Gerschoni.</w:t>
      </w:r>
    </w:p>
    <w:p w14:paraId="4F50C84C"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FCC1700">
          <v:rect id="_x0000_i1133" style="width:0;height:1.5pt" o:hralign="center" o:hrstd="t" o:hr="t" fillcolor="#a0a0a0" stroked="f"/>
        </w:pict>
      </w:r>
    </w:p>
    <w:p w14:paraId="6920E333" w14:textId="20DC6F4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präpositionale Phrase </w:t>
      </w:r>
      <w:r w:rsidRPr="00AC36A5">
        <w:rPr>
          <w:rFonts w:eastAsia="Times New Roman" w:cs="Times New Roman"/>
          <w:b/>
          <w:bCs/>
          <w:rtl/>
          <w:lang w:eastAsia="de-DE"/>
        </w:rPr>
        <w:t>לְגֵרְשׁוֹן</w:t>
      </w:r>
      <w:r w:rsidRPr="00AC36A5">
        <w:rPr>
          <w:rFonts w:eastAsia="Times New Roman" w:cs="Times New Roman"/>
          <w:rtl/>
          <w:lang w:eastAsia="de-DE"/>
        </w:rPr>
        <w:t xml:space="preserve"> </w:t>
      </w:r>
      <w:r w:rsidRPr="00AC36A5">
        <w:rPr>
          <w:rFonts w:eastAsia="Times New Roman" w:cs="Times New Roman"/>
          <w:lang w:eastAsia="de-DE"/>
        </w:rPr>
        <w:t xml:space="preserve">(von/zu Gerschon)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 xml:space="preserve">leitet die detaillierte Aufzählung der Gerschoniter ein. Die koordinierten </w:t>
      </w:r>
      <w:r w:rsidR="00F133EC">
        <w:rPr>
          <w:rFonts w:eastAsia="Times New Roman" w:cs="Times New Roman"/>
          <w:lang w:eastAsia="de-DE"/>
        </w:rPr>
        <w:t>Construct</w:t>
      </w:r>
      <w:r w:rsidRPr="00AC36A5">
        <w:rPr>
          <w:rFonts w:eastAsia="Times New Roman" w:cs="Times New Roman"/>
          <w:lang w:eastAsia="de-DE"/>
        </w:rPr>
        <w:t xml:space="preserve">verbindungen </w:t>
      </w:r>
      <w:r w:rsidRPr="00AC36A5">
        <w:rPr>
          <w:rFonts w:eastAsia="Times New Roman" w:cs="Times New Roman"/>
          <w:b/>
          <w:bCs/>
          <w:rtl/>
          <w:lang w:eastAsia="de-DE"/>
        </w:rPr>
        <w:t>מִשְׁפַּחַת הַלִּבְנִי וּמִשְׁפַּחַת הַשִּׁמְעִי</w:t>
      </w:r>
      <w:r w:rsidRPr="00AC36A5">
        <w:rPr>
          <w:rFonts w:eastAsia="Times New Roman" w:cs="Times New Roman"/>
          <w:rtl/>
          <w:lang w:eastAsia="de-DE"/>
        </w:rPr>
        <w:t xml:space="preserve"> </w:t>
      </w:r>
      <w:r w:rsidRPr="00AC36A5">
        <w:rPr>
          <w:rFonts w:eastAsia="Times New Roman" w:cs="Times New Roman"/>
          <w:lang w:eastAsia="de-DE"/>
        </w:rPr>
        <w:t xml:space="preserve">zeigen </w:t>
      </w:r>
      <w:r w:rsidRPr="00AC36A5">
        <w:rPr>
          <w:rFonts w:eastAsia="Times New Roman" w:cs="Times New Roman"/>
          <w:b/>
          <w:bCs/>
          <w:rtl/>
          <w:lang w:eastAsia="de-DE"/>
        </w:rPr>
        <w:t>מִשְׁפַּחַת</w:t>
      </w:r>
      <w:r w:rsidRPr="00AC36A5">
        <w:rPr>
          <w:rFonts w:eastAsia="Times New Roman" w:cs="Times New Roman"/>
          <w:rtl/>
          <w:lang w:eastAsia="de-DE"/>
        </w:rPr>
        <w:t xml:space="preserve"> </w:t>
      </w:r>
      <w:r w:rsidRPr="00AC36A5">
        <w:rPr>
          <w:rFonts w:eastAsia="Times New Roman" w:cs="Times New Roman"/>
          <w:lang w:eastAsia="de-DE"/>
        </w:rPr>
        <w:t xml:space="preserve">(Familie von) im </w:t>
      </w:r>
      <w:r w:rsidR="00F133EC">
        <w:rPr>
          <w:rFonts w:eastAsia="Times New Roman" w:cs="Times New Roman"/>
          <w:lang w:eastAsia="de-DE"/>
        </w:rPr>
        <w:t>Construct</w:t>
      </w:r>
      <w:r w:rsidRPr="00AC36A5">
        <w:rPr>
          <w:rFonts w:eastAsia="Times New Roman" w:cs="Times New Roman"/>
          <w:lang w:eastAsia="de-DE"/>
        </w:rPr>
        <w:t xml:space="preserve"> mit den patronymischen Formen </w:t>
      </w:r>
      <w:r w:rsidRPr="00AC36A5">
        <w:rPr>
          <w:rFonts w:eastAsia="Times New Roman" w:cs="Times New Roman"/>
          <w:b/>
          <w:bCs/>
          <w:rtl/>
          <w:lang w:eastAsia="de-DE"/>
        </w:rPr>
        <w:t>הַלִּבְנִי</w:t>
      </w:r>
      <w:r w:rsidRPr="00AC36A5">
        <w:rPr>
          <w:rFonts w:eastAsia="Times New Roman" w:cs="Times New Roman"/>
          <w:rtl/>
          <w:lang w:eastAsia="de-DE"/>
        </w:rPr>
        <w:t xml:space="preserve"> </w:t>
      </w:r>
      <w:r w:rsidRPr="00AC36A5">
        <w:rPr>
          <w:rFonts w:eastAsia="Times New Roman" w:cs="Times New Roman"/>
          <w:lang w:eastAsia="de-DE"/>
        </w:rPr>
        <w:t xml:space="preserve">(der Libnite) und </w:t>
      </w:r>
      <w:r w:rsidRPr="00AC36A5">
        <w:rPr>
          <w:rFonts w:eastAsia="Times New Roman" w:cs="Times New Roman"/>
          <w:b/>
          <w:bCs/>
          <w:rtl/>
          <w:lang w:eastAsia="de-DE"/>
        </w:rPr>
        <w:t>הַשִּׁמְעִי</w:t>
      </w:r>
      <w:r w:rsidRPr="00AC36A5">
        <w:rPr>
          <w:rFonts w:eastAsia="Times New Roman" w:cs="Times New Roman"/>
          <w:rtl/>
          <w:lang w:eastAsia="de-DE"/>
        </w:rPr>
        <w:t xml:space="preserve"> </w:t>
      </w:r>
      <w:r w:rsidRPr="00AC36A5">
        <w:rPr>
          <w:rFonts w:eastAsia="Times New Roman" w:cs="Times New Roman"/>
          <w:lang w:eastAsia="de-DE"/>
        </w:rPr>
        <w:t>(der Schimite) mit bestimmtem Artikel.</w:t>
      </w:r>
    </w:p>
    <w:p w14:paraId="2DB9025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patronymischen Bildungen </w:t>
      </w:r>
      <w:r w:rsidRPr="00AC36A5">
        <w:rPr>
          <w:rFonts w:eastAsia="Times New Roman" w:cs="Times New Roman"/>
          <w:b/>
          <w:bCs/>
          <w:rtl/>
          <w:lang w:eastAsia="de-DE"/>
        </w:rPr>
        <w:t>הַלִּבְנִי</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הַשִּׁמְעִי</w:t>
      </w:r>
      <w:r w:rsidRPr="00AC36A5">
        <w:rPr>
          <w:rFonts w:eastAsia="Times New Roman" w:cs="Times New Roman"/>
          <w:rtl/>
          <w:lang w:eastAsia="de-DE"/>
        </w:rPr>
        <w:t xml:space="preserve"> </w:t>
      </w:r>
      <w:r w:rsidRPr="00AC36A5">
        <w:rPr>
          <w:rFonts w:eastAsia="Times New Roman" w:cs="Times New Roman"/>
          <w:lang w:eastAsia="de-DE"/>
        </w:rPr>
        <w:t xml:space="preserve">mit dem Suffix </w:t>
      </w:r>
      <w:r w:rsidRPr="00AC36A5">
        <w:rPr>
          <w:rFonts w:eastAsia="Times New Roman" w:cs="Times New Roman"/>
          <w:b/>
          <w:bCs/>
          <w:rtl/>
          <w:lang w:eastAsia="de-DE"/>
        </w:rPr>
        <w:t>־ִי</w:t>
      </w:r>
      <w:r w:rsidRPr="00AC36A5">
        <w:rPr>
          <w:rFonts w:eastAsia="Times New Roman" w:cs="Times New Roman"/>
          <w:rtl/>
          <w:lang w:eastAsia="de-DE"/>
        </w:rPr>
        <w:t xml:space="preserve"> </w:t>
      </w:r>
      <w:r w:rsidRPr="00AC36A5">
        <w:rPr>
          <w:rFonts w:eastAsia="Times New Roman" w:cs="Times New Roman"/>
          <w:lang w:eastAsia="de-DE"/>
        </w:rPr>
        <w:t>zeigen die charakteristische hebräische Gentilizbildung zur Bezeichnung der Familienzugehörigkeit.</w:t>
      </w:r>
    </w:p>
    <w:p w14:paraId="2D9B327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zusammenfassende Satz </w:t>
      </w:r>
      <w:r w:rsidRPr="00AC36A5">
        <w:rPr>
          <w:rFonts w:eastAsia="Times New Roman" w:cs="Times New Roman"/>
          <w:b/>
          <w:bCs/>
          <w:rtl/>
          <w:lang w:eastAsia="de-DE"/>
        </w:rPr>
        <w:t>אֵלֶּה הֵם מִשְׁפְּחֹת הַגֵּרְשֻׁנִּי</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אֵלֶּה הֵם</w:t>
      </w:r>
      <w:r w:rsidRPr="00AC36A5">
        <w:rPr>
          <w:rFonts w:eastAsia="Times New Roman" w:cs="Times New Roman"/>
          <w:rtl/>
          <w:lang w:eastAsia="de-DE"/>
        </w:rPr>
        <w:t xml:space="preserve"> </w:t>
      </w:r>
      <w:r w:rsidRPr="00AC36A5">
        <w:rPr>
          <w:rFonts w:eastAsia="Times New Roman" w:cs="Times New Roman"/>
          <w:lang w:eastAsia="de-DE"/>
        </w:rPr>
        <w:t xml:space="preserve">(diese sind) und der kollektiven Gentilizform </w:t>
      </w:r>
      <w:r w:rsidRPr="00AC36A5">
        <w:rPr>
          <w:rFonts w:eastAsia="Times New Roman" w:cs="Times New Roman"/>
          <w:b/>
          <w:bCs/>
          <w:rtl/>
          <w:lang w:eastAsia="de-DE"/>
        </w:rPr>
        <w:t>הַגֵּרְשֻׁנִּי</w:t>
      </w:r>
      <w:r w:rsidRPr="00AC36A5">
        <w:rPr>
          <w:rFonts w:eastAsia="Times New Roman" w:cs="Times New Roman"/>
          <w:rtl/>
          <w:lang w:eastAsia="de-DE"/>
        </w:rPr>
        <w:t xml:space="preserve"> </w:t>
      </w:r>
      <w:r w:rsidRPr="00AC36A5">
        <w:rPr>
          <w:rFonts w:eastAsia="Times New Roman" w:cs="Times New Roman"/>
          <w:lang w:eastAsia="de-DE"/>
        </w:rPr>
        <w:t>(der Gerschoniter) bietet eine formelle Zusammenfassung der Gerschon-Untergruppen.</w:t>
      </w:r>
    </w:p>
    <w:p w14:paraId="35EB28C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τῷ Γεδσων δῆμος τοῦ Λοβενι καὶ δῆμος τοῦ Σεμει οὗτοί εἰσιν δῆμοι τοῦ Γεδσων und verwendet δῆμος (Stamm/Sippe) für </w:t>
      </w:r>
      <w:r w:rsidRPr="00AC36A5">
        <w:rPr>
          <w:rFonts w:eastAsia="Times New Roman" w:cs="Times New Roman"/>
          <w:b/>
          <w:bCs/>
          <w:rtl/>
          <w:lang w:eastAsia="de-DE"/>
        </w:rPr>
        <w:t>מִשְׁפַּחַת</w:t>
      </w:r>
      <w:r w:rsidRPr="00AC36A5">
        <w:rPr>
          <w:rFonts w:eastAsia="Times New Roman" w:cs="Times New Roman"/>
          <w:lang w:eastAsia="de-DE"/>
        </w:rPr>
        <w:t>.</w:t>
      </w:r>
    </w:p>
    <w:p w14:paraId="1987A984" w14:textId="38B4FE2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präpositionale Einleitung mit koordinierten </w:t>
      </w:r>
      <w:r w:rsidR="00F133EC">
        <w:rPr>
          <w:rFonts w:eastAsia="Times New Roman" w:cs="Times New Roman"/>
          <w:lang w:eastAsia="de-DE"/>
        </w:rPr>
        <w:t>Construct</w:t>
      </w:r>
      <w:r w:rsidRPr="00AC36A5">
        <w:rPr>
          <w:rFonts w:eastAsia="Times New Roman" w:cs="Times New Roman"/>
          <w:lang w:eastAsia="de-DE"/>
        </w:rPr>
        <w:t>verbindungen und einem zusammenfassenden Identifikationssatz.</w:t>
      </w:r>
    </w:p>
    <w:p w14:paraId="047EFD4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beginnt die systematische Darstellung der levitischen Untergruppierungen und etabliert das Muster der patronymischen Familienbezeichnungen.</w:t>
      </w:r>
    </w:p>
    <w:p w14:paraId="16C75BD8"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3,22</w:t>
      </w:r>
    </w:p>
    <w:p w14:paraId="791B392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פְּקֻדֵיהֶם֙ בְּמִסְפַּ֣ר כָּל־זָכָ֔ר מִבֶּן־חֹ֖דֶשׁ וָמָ֑עְלָה פְּקֻ֣דֵיהֶ֔ם שִׁבְעַ֥ת אֲלָפִ֖ים וַחֲמֵ֥שׁ מֵאֽוֹת׃</w:t>
      </w:r>
    </w:p>
    <w:p w14:paraId="246C2BD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Ihre Gemusterten, nach der Zahl aller Männlichen von einem Monat an und darüber, ihre Gemusterten: 7.500.</w:t>
      </w:r>
    </w:p>
    <w:p w14:paraId="64D9AFA4"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39B270D">
          <v:rect id="_x0000_i1134" style="width:0;height:1.5pt" o:hralign="center" o:hrstd="t" o:hr="t" fillcolor="#a0a0a0" stroked="f"/>
        </w:pict>
      </w:r>
    </w:p>
    <w:p w14:paraId="0E3401B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Substantiv </w:t>
      </w:r>
      <w:r w:rsidRPr="00AC36A5">
        <w:rPr>
          <w:rFonts w:eastAsia="Times New Roman" w:cs="Times New Roman"/>
          <w:b/>
          <w:bCs/>
          <w:rtl/>
          <w:lang w:eastAsia="de-DE"/>
        </w:rPr>
        <w:t>פְּקֻדֵיהֶם</w:t>
      </w:r>
      <w:r w:rsidRPr="00AC36A5">
        <w:rPr>
          <w:rFonts w:eastAsia="Times New Roman" w:cs="Times New Roman"/>
          <w:rtl/>
          <w:lang w:eastAsia="de-DE"/>
        </w:rPr>
        <w:t xml:space="preserve"> </w:t>
      </w:r>
      <w:r w:rsidRPr="00AC36A5">
        <w:rPr>
          <w:rFonts w:eastAsia="Times New Roman" w:cs="Times New Roman"/>
          <w:lang w:eastAsia="de-DE"/>
        </w:rPr>
        <w:t xml:space="preserve">(ihre Gemusterten) 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(mustern) im Qal-Partizip Passiv Plural mit Possessivsuffix 3. maskulin Plural leitet die Zahlenangabe ein.</w:t>
      </w:r>
    </w:p>
    <w:p w14:paraId="7C31B85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בְּמִסְפַּר כָּל־זָכָר מִבֶּן־חֹדֶשׁ וָמָעְלָה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 xml:space="preserve">(in/nach), </w:t>
      </w:r>
      <w:r w:rsidRPr="00AC36A5">
        <w:rPr>
          <w:rFonts w:eastAsia="Times New Roman" w:cs="Times New Roman"/>
          <w:b/>
          <w:bCs/>
          <w:rtl/>
          <w:lang w:eastAsia="de-DE"/>
        </w:rPr>
        <w:t>מִסְפָּר</w:t>
      </w:r>
      <w:r w:rsidRPr="00AC36A5">
        <w:rPr>
          <w:rFonts w:eastAsia="Times New Roman" w:cs="Times New Roman"/>
          <w:rtl/>
          <w:lang w:eastAsia="de-DE"/>
        </w:rPr>
        <w:t xml:space="preserve"> </w:t>
      </w:r>
      <w:r w:rsidRPr="00AC36A5">
        <w:rPr>
          <w:rFonts w:eastAsia="Times New Roman" w:cs="Times New Roman"/>
          <w:lang w:eastAsia="de-DE"/>
        </w:rPr>
        <w:t xml:space="preserve">(Zahl), </w:t>
      </w:r>
      <w:r w:rsidRPr="00AC36A5">
        <w:rPr>
          <w:rFonts w:eastAsia="Times New Roman" w:cs="Times New Roman"/>
          <w:b/>
          <w:bCs/>
          <w:rtl/>
          <w:lang w:eastAsia="de-DE"/>
        </w:rPr>
        <w:t>כָּל־זָכָר</w:t>
      </w:r>
      <w:r w:rsidRPr="00AC36A5">
        <w:rPr>
          <w:rFonts w:eastAsia="Times New Roman" w:cs="Times New Roman"/>
          <w:rtl/>
          <w:lang w:eastAsia="de-DE"/>
        </w:rPr>
        <w:t xml:space="preserve"> </w:t>
      </w:r>
      <w:r w:rsidRPr="00AC36A5">
        <w:rPr>
          <w:rFonts w:eastAsia="Times New Roman" w:cs="Times New Roman"/>
          <w:lang w:eastAsia="de-DE"/>
        </w:rPr>
        <w:t xml:space="preserve">(alle Männlichen) und der Altersangabe </w:t>
      </w:r>
      <w:r w:rsidRPr="00AC36A5">
        <w:rPr>
          <w:rFonts w:eastAsia="Times New Roman" w:cs="Times New Roman"/>
          <w:b/>
          <w:bCs/>
          <w:rtl/>
          <w:lang w:eastAsia="de-DE"/>
        </w:rPr>
        <w:t>מִבֶּן־חֹדֶשׁ וָמָעְלָה</w:t>
      </w:r>
      <w:r w:rsidRPr="00AC36A5">
        <w:rPr>
          <w:rFonts w:eastAsia="Times New Roman" w:cs="Times New Roman"/>
          <w:rtl/>
          <w:lang w:eastAsia="de-DE"/>
        </w:rPr>
        <w:t xml:space="preserve"> </w:t>
      </w:r>
      <w:r w:rsidRPr="00AC36A5">
        <w:rPr>
          <w:rFonts w:eastAsia="Times New Roman" w:cs="Times New Roman"/>
          <w:lang w:eastAsia="de-DE"/>
        </w:rPr>
        <w:t>(von einem Monat an und darüber) wiederholt die in Vers 15 etablierten Zählkriterien.</w:t>
      </w:r>
    </w:p>
    <w:p w14:paraId="1A79E80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emphatische Wiederholung </w:t>
      </w:r>
      <w:r w:rsidRPr="00AC36A5">
        <w:rPr>
          <w:rFonts w:eastAsia="Times New Roman" w:cs="Times New Roman"/>
          <w:b/>
          <w:bCs/>
          <w:rtl/>
          <w:lang w:eastAsia="de-DE"/>
        </w:rPr>
        <w:t>פְּקֻדֵיהֶם</w:t>
      </w:r>
      <w:r w:rsidRPr="00AC36A5">
        <w:rPr>
          <w:rFonts w:eastAsia="Times New Roman" w:cs="Times New Roman"/>
          <w:rtl/>
          <w:lang w:eastAsia="de-DE"/>
        </w:rPr>
        <w:t xml:space="preserve"> </w:t>
      </w:r>
      <w:r w:rsidRPr="00AC36A5">
        <w:rPr>
          <w:rFonts w:eastAsia="Times New Roman" w:cs="Times New Roman"/>
          <w:lang w:eastAsia="de-DE"/>
        </w:rPr>
        <w:t xml:space="preserve">vor der eigentlichen Zahlenangabe verstärkt die Bedeutung der Zählung. Die Zahlenangabe </w:t>
      </w:r>
      <w:r w:rsidRPr="00AC36A5">
        <w:rPr>
          <w:rFonts w:eastAsia="Times New Roman" w:cs="Times New Roman"/>
          <w:b/>
          <w:bCs/>
          <w:rtl/>
          <w:lang w:eastAsia="de-DE"/>
        </w:rPr>
        <w:t>שִׁבְעַת אֲלָפִים וַחֲמֵשׁ מֵאוֹת</w:t>
      </w:r>
      <w:r w:rsidRPr="00AC36A5">
        <w:rPr>
          <w:rFonts w:eastAsia="Times New Roman" w:cs="Times New Roman"/>
          <w:rtl/>
          <w:lang w:eastAsia="de-DE"/>
        </w:rPr>
        <w:t xml:space="preserve"> </w:t>
      </w:r>
      <w:r w:rsidRPr="00AC36A5">
        <w:rPr>
          <w:rFonts w:eastAsia="Times New Roman" w:cs="Times New Roman"/>
          <w:lang w:eastAsia="de-DE"/>
        </w:rPr>
        <w:t>zeigt: sieben Tausende plus fünf Hunderte = 7.500.</w:t>
      </w:r>
    </w:p>
    <w:p w14:paraId="51C7294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ἡ ἐπίσκεψις αὐτῶν κατὰ ἀριθμὸν παντὸς ἀρσενικοῦ ἀπὸ μηνιαίου καὶ ἐπάνω ἡ ἐπίσκεψις αὐτῶν ἑπτὰ χιλιάδες καὶ πεντακόσιοι und behält die emphatische Wiederholung bei.</w:t>
      </w:r>
    </w:p>
    <w:p w14:paraId="6087C01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 Satzstruktur zeigt einen elliptischen Nominalsatz mit Subjekt, präpositionaler Spezifikation der Zählkriterien, emphatischer Wiederholung und prädikativer Zahlenangabe.</w:t>
      </w:r>
    </w:p>
    <w:p w14:paraId="52E0314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gibt die konkrete Anzahl der Gerschoniter an und etabliert das Muster für die folgenden Zahlenangaben der anderen levitischen Untergruppen.</w:t>
      </w:r>
    </w:p>
    <w:p w14:paraId="7A5D75C6"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3,23</w:t>
      </w:r>
    </w:p>
    <w:p w14:paraId="6E7C16C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מִשְׁפְּחֹ֖ת הַגֵּרְשֻׁנִּ֑י אַחֲרֵ֧י הַמִּשְׁכָּ֛ן יַחֲנ֖וּ יָֽמָּה׃</w:t>
      </w:r>
    </w:p>
    <w:p w14:paraId="2983A9A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Die Familien des Gerschuni lagerten hinter der Wohnung nach Westen.</w:t>
      </w:r>
    </w:p>
    <w:p w14:paraId="3B0FB319"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5A09368">
          <v:rect id="_x0000_i1135" style="width:0;height:1.5pt" o:hralign="center" o:hrstd="t" o:hr="t" fillcolor="#a0a0a0" stroked="f"/>
        </w:pict>
      </w:r>
    </w:p>
    <w:p w14:paraId="64569A99" w14:textId="78794FC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מִשְׁפְּחֹת הַגֵּרְשֻׁנִּי</w:t>
      </w:r>
      <w:r w:rsidRPr="00AC36A5">
        <w:rPr>
          <w:rFonts w:eastAsia="Times New Roman" w:cs="Times New Roman"/>
          <w:rtl/>
          <w:lang w:eastAsia="de-DE"/>
        </w:rPr>
        <w:t xml:space="preserve"> </w:t>
      </w:r>
      <w:r w:rsidRPr="00AC36A5">
        <w:rPr>
          <w:rFonts w:eastAsia="Times New Roman" w:cs="Times New Roman"/>
          <w:lang w:eastAsia="de-DE"/>
        </w:rPr>
        <w:t xml:space="preserve">(Familien des Gerschoniters) mit der kollektiven Gentilizform </w:t>
      </w:r>
      <w:r w:rsidRPr="00AC36A5">
        <w:rPr>
          <w:rFonts w:eastAsia="Times New Roman" w:cs="Times New Roman"/>
          <w:b/>
          <w:bCs/>
          <w:rtl/>
          <w:lang w:eastAsia="de-DE"/>
        </w:rPr>
        <w:t>הַגֵּרְשֻׁנִּי</w:t>
      </w:r>
      <w:r w:rsidRPr="00AC36A5">
        <w:rPr>
          <w:rFonts w:eastAsia="Times New Roman" w:cs="Times New Roman"/>
          <w:rtl/>
          <w:lang w:eastAsia="de-DE"/>
        </w:rPr>
        <w:t xml:space="preserve"> </w:t>
      </w:r>
      <w:r w:rsidRPr="00AC36A5">
        <w:rPr>
          <w:rFonts w:eastAsia="Times New Roman" w:cs="Times New Roman"/>
          <w:lang w:eastAsia="de-DE"/>
        </w:rPr>
        <w:t>fungiert als Subjekt und fasst alle Gerschoniter-Untergruppen zusammen.</w:t>
      </w:r>
    </w:p>
    <w:p w14:paraId="6975DB9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adverbiale Ortsbestimmung </w:t>
      </w:r>
      <w:r w:rsidRPr="00AC36A5">
        <w:rPr>
          <w:rFonts w:eastAsia="Times New Roman" w:cs="Times New Roman"/>
          <w:b/>
          <w:bCs/>
          <w:rtl/>
          <w:lang w:eastAsia="de-DE"/>
        </w:rPr>
        <w:t>אַחֲרֵי הַמִּשְׁכָּן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אַחֲרֵי</w:t>
      </w:r>
      <w:r w:rsidRPr="00AC36A5">
        <w:rPr>
          <w:rFonts w:eastAsia="Times New Roman" w:cs="Times New Roman"/>
          <w:rtl/>
          <w:lang w:eastAsia="de-DE"/>
        </w:rPr>
        <w:t xml:space="preserve"> </w:t>
      </w:r>
      <w:r w:rsidRPr="00AC36A5">
        <w:rPr>
          <w:rFonts w:eastAsia="Times New Roman" w:cs="Times New Roman"/>
          <w:lang w:eastAsia="de-DE"/>
        </w:rPr>
        <w:t xml:space="preserve">(hinter) und </w:t>
      </w:r>
      <w:r w:rsidRPr="00AC36A5">
        <w:rPr>
          <w:rFonts w:eastAsia="Times New Roman" w:cs="Times New Roman"/>
          <w:b/>
          <w:bCs/>
          <w:rtl/>
          <w:lang w:eastAsia="de-DE"/>
        </w:rPr>
        <w:t>הַמִּשְׁכָּן</w:t>
      </w:r>
      <w:r w:rsidRPr="00AC36A5">
        <w:rPr>
          <w:rFonts w:eastAsia="Times New Roman" w:cs="Times New Roman"/>
          <w:rtl/>
          <w:lang w:eastAsia="de-DE"/>
        </w:rPr>
        <w:t xml:space="preserve"> </w:t>
      </w:r>
      <w:r w:rsidRPr="00AC36A5">
        <w:rPr>
          <w:rFonts w:eastAsia="Times New Roman" w:cs="Times New Roman"/>
          <w:lang w:eastAsia="de-DE"/>
        </w:rPr>
        <w:t xml:space="preserve">(die Wohnung) zeigt die räumliche Position relativ zum Heiligtum. Die Richtungsangabe </w:t>
      </w:r>
      <w:r w:rsidRPr="00AC36A5">
        <w:rPr>
          <w:rFonts w:eastAsia="Times New Roman" w:cs="Times New Roman"/>
          <w:b/>
          <w:bCs/>
          <w:rtl/>
          <w:lang w:eastAsia="de-DE"/>
        </w:rPr>
        <w:t>יָמָּה</w:t>
      </w:r>
      <w:r w:rsidRPr="00AC36A5">
        <w:rPr>
          <w:rFonts w:eastAsia="Times New Roman" w:cs="Times New Roman"/>
          <w:rtl/>
          <w:lang w:eastAsia="de-DE"/>
        </w:rPr>
        <w:t xml:space="preserve"> </w:t>
      </w:r>
      <w:r w:rsidRPr="00AC36A5">
        <w:rPr>
          <w:rFonts w:eastAsia="Times New Roman" w:cs="Times New Roman"/>
          <w:lang w:eastAsia="de-DE"/>
        </w:rPr>
        <w:t xml:space="preserve">(westlich/zum Meer hin) von der Wurzel </w:t>
      </w:r>
      <w:r w:rsidRPr="00AC36A5">
        <w:rPr>
          <w:rFonts w:eastAsia="Times New Roman" w:cs="Times New Roman"/>
          <w:b/>
          <w:bCs/>
          <w:rtl/>
          <w:lang w:eastAsia="de-DE"/>
        </w:rPr>
        <w:t>ים</w:t>
      </w:r>
      <w:r w:rsidRPr="00AC36A5">
        <w:rPr>
          <w:rFonts w:eastAsia="Times New Roman" w:cs="Times New Roman"/>
          <w:rtl/>
          <w:lang w:eastAsia="de-DE"/>
        </w:rPr>
        <w:t xml:space="preserve"> </w:t>
      </w:r>
      <w:r w:rsidRPr="00AC36A5">
        <w:rPr>
          <w:rFonts w:eastAsia="Times New Roman" w:cs="Times New Roman"/>
          <w:lang w:eastAsia="de-DE"/>
        </w:rPr>
        <w:t>(Meer/Westen) präzisiert die Lagerposition.</w:t>
      </w:r>
    </w:p>
    <w:p w14:paraId="6975FAE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Verb </w:t>
      </w:r>
      <w:r w:rsidRPr="00AC36A5">
        <w:rPr>
          <w:rFonts w:eastAsia="Times New Roman" w:cs="Times New Roman"/>
          <w:b/>
          <w:bCs/>
          <w:rtl/>
          <w:lang w:eastAsia="de-DE"/>
        </w:rPr>
        <w:t>יַחֲנוּ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חנה</w:t>
      </w:r>
      <w:r w:rsidRPr="00AC36A5">
        <w:rPr>
          <w:rFonts w:eastAsia="Times New Roman" w:cs="Times New Roman"/>
          <w:rtl/>
          <w:lang w:eastAsia="de-DE"/>
        </w:rPr>
        <w:t xml:space="preserve"> </w:t>
      </w:r>
      <w:r w:rsidRPr="00AC36A5">
        <w:rPr>
          <w:rFonts w:eastAsia="Times New Roman" w:cs="Times New Roman"/>
          <w:lang w:eastAsia="de-DE"/>
        </w:rPr>
        <w:t>(lagern) im Qal-Imperfekt 3. maskulin Plural zeigt die Lageranordnung der Gerschoniter.</w:t>
      </w:r>
    </w:p>
    <w:p w14:paraId="6E287CD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δῆμοι τοῦ Γεδσων ὀπίσω τῆς σκηνῆς παρεμβαλοῦσι παρὰ θάλασσαν und verwendet παρὰ θάλασσαν (beim Meer) für </w:t>
      </w:r>
      <w:r w:rsidRPr="00AC36A5">
        <w:rPr>
          <w:rFonts w:eastAsia="Times New Roman" w:cs="Times New Roman"/>
          <w:b/>
          <w:bCs/>
          <w:rtl/>
          <w:lang w:eastAsia="de-DE"/>
        </w:rPr>
        <w:t>יָמָּה</w:t>
      </w:r>
      <w:r w:rsidRPr="00AC36A5">
        <w:rPr>
          <w:rFonts w:eastAsia="Times New Roman" w:cs="Times New Roman"/>
          <w:lang w:eastAsia="de-DE"/>
        </w:rPr>
        <w:t>.</w:t>
      </w:r>
    </w:p>
    <w:p w14:paraId="2249172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Verbalsatz mit kollektivem Subjekt, adverbialer Ortsbestimmung und Richtungsangabe.</w:t>
      </w:r>
    </w:p>
    <w:p w14:paraId="690AC42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lokalisiert die Gerschoniter auf der Westseite des Heiligtums und etabliert das räumliche Ordnungssystem der levitischen Lagerung um die Stiftshütte.</w:t>
      </w:r>
    </w:p>
    <w:p w14:paraId="5D131B53"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3,24</w:t>
      </w:r>
    </w:p>
    <w:p w14:paraId="410C2A3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וּנְשִׂ֥יא בֵֽית־אָ֖ב לַגֵּרְשֻׁנִּ֑י אֶלְיָסָ֖ף בֶּן־לָאֵֽל׃</w:t>
      </w:r>
    </w:p>
    <w:p w14:paraId="0ABCBC3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Fürst des Vaterhauses des Gerschuni war Eljasaph, Sohn des La'el.</w:t>
      </w:r>
    </w:p>
    <w:p w14:paraId="058CD529"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C43E8C1">
          <v:rect id="_x0000_i1136" style="width:0;height:1.5pt" o:hralign="center" o:hrstd="t" o:hr="t" fillcolor="#a0a0a0" stroked="f"/>
        </w:pict>
      </w:r>
    </w:p>
    <w:p w14:paraId="06DA3733" w14:textId="7F49519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Substantiv </w:t>
      </w:r>
      <w:r w:rsidRPr="00AC36A5">
        <w:rPr>
          <w:rFonts w:eastAsia="Times New Roman" w:cs="Times New Roman"/>
          <w:b/>
          <w:bCs/>
          <w:rtl/>
          <w:lang w:eastAsia="de-DE"/>
        </w:rPr>
        <w:t>וּנְשִׂיא</w:t>
      </w:r>
      <w:r w:rsidRPr="00AC36A5">
        <w:rPr>
          <w:rFonts w:eastAsia="Times New Roman" w:cs="Times New Roman"/>
          <w:rtl/>
          <w:lang w:eastAsia="de-DE"/>
        </w:rPr>
        <w:t xml:space="preserve"> </w:t>
      </w:r>
      <w:r w:rsidRPr="00AC36A5">
        <w:rPr>
          <w:rFonts w:eastAsia="Times New Roman" w:cs="Times New Roman"/>
          <w:lang w:eastAsia="de-DE"/>
        </w:rPr>
        <w:t xml:space="preserve">(und der Fürst) von </w:t>
      </w:r>
      <w:r w:rsidRPr="00AC36A5">
        <w:rPr>
          <w:rFonts w:eastAsia="Times New Roman" w:cs="Times New Roman"/>
          <w:b/>
          <w:bCs/>
          <w:rtl/>
          <w:lang w:eastAsia="de-DE"/>
        </w:rPr>
        <w:t>נשיא</w:t>
      </w:r>
      <w:r w:rsidRPr="00AC36A5">
        <w:rPr>
          <w:rFonts w:eastAsia="Times New Roman" w:cs="Times New Roman"/>
          <w:rtl/>
          <w:lang w:eastAsia="de-DE"/>
        </w:rPr>
        <w:t xml:space="preserve"> </w:t>
      </w:r>
      <w:r w:rsidRPr="00AC36A5">
        <w:rPr>
          <w:rFonts w:eastAsia="Times New Roman" w:cs="Times New Roman"/>
          <w:lang w:eastAsia="de-DE"/>
        </w:rPr>
        <w:t xml:space="preserve">mit Waw copulativum bezeichnet den Stammesführer.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בֵית־אָב לַגֵּרְשֻׁנִּי</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בֵית־אָב</w:t>
      </w:r>
      <w:r w:rsidRPr="00AC36A5">
        <w:rPr>
          <w:rFonts w:eastAsia="Times New Roman" w:cs="Times New Roman"/>
          <w:rtl/>
          <w:lang w:eastAsia="de-DE"/>
        </w:rPr>
        <w:t xml:space="preserve"> </w:t>
      </w:r>
      <w:r w:rsidRPr="00AC36A5">
        <w:rPr>
          <w:rFonts w:eastAsia="Times New Roman" w:cs="Times New Roman"/>
          <w:lang w:eastAsia="de-DE"/>
        </w:rPr>
        <w:t xml:space="preserve">(Vaterhaus) und </w:t>
      </w:r>
      <w:r w:rsidRPr="00AC36A5">
        <w:rPr>
          <w:rFonts w:eastAsia="Times New Roman" w:cs="Times New Roman"/>
          <w:b/>
          <w:bCs/>
          <w:rtl/>
          <w:lang w:eastAsia="de-DE"/>
        </w:rPr>
        <w:t>לַגֵּרְשֻׁנִּי</w:t>
      </w:r>
      <w:r w:rsidRPr="00AC36A5">
        <w:rPr>
          <w:rFonts w:eastAsia="Times New Roman" w:cs="Times New Roman"/>
          <w:rtl/>
          <w:lang w:eastAsia="de-DE"/>
        </w:rPr>
        <w:t xml:space="preserve"> </w:t>
      </w:r>
      <w:r w:rsidRPr="00AC36A5">
        <w:rPr>
          <w:rFonts w:eastAsia="Times New Roman" w:cs="Times New Roman"/>
          <w:lang w:eastAsia="de-DE"/>
        </w:rPr>
        <w:t xml:space="preserve">(für den Gerschoniter)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zeigt die Zuständigkeit.</w:t>
      </w:r>
    </w:p>
    <w:p w14:paraId="7C8466E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Der Eigenname </w:t>
      </w:r>
      <w:r w:rsidRPr="00AC36A5">
        <w:rPr>
          <w:rFonts w:eastAsia="Times New Roman" w:cs="Times New Roman"/>
          <w:b/>
          <w:bCs/>
          <w:rtl/>
          <w:lang w:eastAsia="de-DE"/>
        </w:rPr>
        <w:t>אֶלְיָסָף</w:t>
      </w:r>
      <w:r w:rsidRPr="00AC36A5">
        <w:rPr>
          <w:rFonts w:eastAsia="Times New Roman" w:cs="Times New Roman"/>
          <w:rtl/>
          <w:lang w:eastAsia="de-DE"/>
        </w:rPr>
        <w:t xml:space="preserve"> </w:t>
      </w:r>
      <w:r w:rsidRPr="00AC36A5">
        <w:rPr>
          <w:rFonts w:eastAsia="Times New Roman" w:cs="Times New Roman"/>
          <w:lang w:eastAsia="de-DE"/>
        </w:rPr>
        <w:t xml:space="preserve">ist ein theophorer Name, gebildet aus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 xml:space="preserve">(Gott) und </w:t>
      </w:r>
      <w:r w:rsidRPr="00AC36A5">
        <w:rPr>
          <w:rFonts w:eastAsia="Times New Roman" w:cs="Times New Roman"/>
          <w:b/>
          <w:bCs/>
          <w:rtl/>
          <w:lang w:eastAsia="de-DE"/>
        </w:rPr>
        <w:t>יסף</w:t>
      </w:r>
      <w:r w:rsidRPr="00AC36A5">
        <w:rPr>
          <w:rFonts w:eastAsia="Times New Roman" w:cs="Times New Roman"/>
          <w:rtl/>
          <w:lang w:eastAsia="de-DE"/>
        </w:rPr>
        <w:t xml:space="preserve"> </w:t>
      </w:r>
      <w:r w:rsidRPr="00AC36A5">
        <w:rPr>
          <w:rFonts w:eastAsia="Times New Roman" w:cs="Times New Roman"/>
          <w:lang w:eastAsia="de-DE"/>
        </w:rPr>
        <w:t xml:space="preserve">(hinzufügen) mit der Bedeutung "Gott möge hinzufügen" oder "Gott vermehrt". Die patronymische Formel </w:t>
      </w:r>
      <w:r w:rsidRPr="00AC36A5">
        <w:rPr>
          <w:rFonts w:eastAsia="Times New Roman" w:cs="Times New Roman"/>
          <w:b/>
          <w:bCs/>
          <w:rtl/>
          <w:lang w:eastAsia="de-DE"/>
        </w:rPr>
        <w:t>בֶּן־לָאֵל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לָאֵל</w:t>
      </w:r>
      <w:r w:rsidRPr="00AC36A5">
        <w:rPr>
          <w:rFonts w:eastAsia="Times New Roman" w:cs="Times New Roman"/>
          <w:lang w:eastAsia="de-DE"/>
        </w:rPr>
        <w:t>, ebenfalls ein theophorer Name mit "zu Gott gehörig" oder "Gott zugewandt".</w:t>
      </w:r>
    </w:p>
    <w:p w14:paraId="7E6DBCA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ὁ ἄρχων οἴκου πατριᾶς τοῦ Γεδσων Ελισαφ υἱὸς Λαηλ und behält die Namensformen bei.</w:t>
      </w:r>
    </w:p>
    <w:p w14:paraId="52EA7C93" w14:textId="620ACDC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einen Nominalsatz mit Subjekt, </w:t>
      </w:r>
      <w:r w:rsidR="00F133EC">
        <w:rPr>
          <w:rFonts w:eastAsia="Times New Roman" w:cs="Times New Roman"/>
          <w:lang w:eastAsia="de-DE"/>
        </w:rPr>
        <w:t>Construct</w:t>
      </w:r>
      <w:r w:rsidRPr="00AC36A5">
        <w:rPr>
          <w:rFonts w:eastAsia="Times New Roman" w:cs="Times New Roman"/>
          <w:lang w:eastAsia="de-DE"/>
        </w:rPr>
        <w:t>verbindung zur Zuständigkeitsangabe und patronymischer Identifikation.</w:t>
      </w:r>
    </w:p>
    <w:p w14:paraId="08B9F8A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nennt den Stammesführer der Gerschoniter und etabliert das Muster der Führungsangaben für alle levitischen Untergruppen.</w:t>
      </w:r>
    </w:p>
    <w:p w14:paraId="61842189"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3,25</w:t>
      </w:r>
    </w:p>
    <w:p w14:paraId="250777F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וּמִשְׁמֶ֤רֶת בְּנֵֽי־גֵרְשׁוֹן֙ בְּאֹ֣הֶל מוֹעֵ֔ד הַמִּשְׁכָּ֖ן וְהָאֹ֑הֶל מִכְסֵ֕הוּ וּמָסַ֕ךְ פֶּ֖תַח אֹ֥הֶל מוֹעֵֽד׃</w:t>
      </w:r>
    </w:p>
    <w:p w14:paraId="2A90ECA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Aufsicht der Söhne Gerschons am Zelt der Begegnung war die Wohnung und das Zelt, seine Decke und der Vorhang des Eingangs zum Zelt der Begegnung.</w:t>
      </w:r>
    </w:p>
    <w:p w14:paraId="14D2D068"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4450424">
          <v:rect id="_x0000_i1137" style="width:0;height:1.5pt" o:hralign="center" o:hrstd="t" o:hr="t" fillcolor="#a0a0a0" stroked="f"/>
        </w:pict>
      </w:r>
    </w:p>
    <w:p w14:paraId="7691D92E" w14:textId="29358D8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Substantiv </w:t>
      </w:r>
      <w:r w:rsidRPr="00AC36A5">
        <w:rPr>
          <w:rFonts w:eastAsia="Times New Roman" w:cs="Times New Roman"/>
          <w:b/>
          <w:bCs/>
          <w:rtl/>
          <w:lang w:eastAsia="de-DE"/>
        </w:rPr>
        <w:t>וּמִשְׁמֶרֶת</w:t>
      </w:r>
      <w:r w:rsidRPr="00AC36A5">
        <w:rPr>
          <w:rFonts w:eastAsia="Times New Roman" w:cs="Times New Roman"/>
          <w:rtl/>
          <w:lang w:eastAsia="de-DE"/>
        </w:rPr>
        <w:t xml:space="preserve"> </w:t>
      </w:r>
      <w:r w:rsidRPr="00AC36A5">
        <w:rPr>
          <w:rFonts w:eastAsia="Times New Roman" w:cs="Times New Roman"/>
          <w:lang w:eastAsia="de-DE"/>
        </w:rPr>
        <w:t xml:space="preserve">(und die Aufsicht) von </w:t>
      </w:r>
      <w:r w:rsidRPr="00AC36A5">
        <w:rPr>
          <w:rFonts w:eastAsia="Times New Roman" w:cs="Times New Roman"/>
          <w:b/>
          <w:bCs/>
          <w:rtl/>
          <w:lang w:eastAsia="de-DE"/>
        </w:rPr>
        <w:t>משמרת</w:t>
      </w:r>
      <w:r w:rsidRPr="00AC36A5">
        <w:rPr>
          <w:rFonts w:eastAsia="Times New Roman" w:cs="Times New Roman"/>
          <w:rtl/>
          <w:lang w:eastAsia="de-DE"/>
        </w:rPr>
        <w:t xml:space="preserve"> </w:t>
      </w:r>
      <w:r w:rsidRPr="00AC36A5">
        <w:rPr>
          <w:rFonts w:eastAsia="Times New Roman" w:cs="Times New Roman"/>
          <w:lang w:eastAsia="de-DE"/>
        </w:rPr>
        <w:t xml:space="preserve">mit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בְּנֵי־גֵרְשׁוֹן</w:t>
      </w:r>
      <w:r w:rsidRPr="00AC36A5">
        <w:rPr>
          <w:rFonts w:eastAsia="Times New Roman" w:cs="Times New Roman"/>
          <w:rtl/>
          <w:lang w:eastAsia="de-DE"/>
        </w:rPr>
        <w:t xml:space="preserve"> </w:t>
      </w:r>
      <w:r w:rsidRPr="00AC36A5">
        <w:rPr>
          <w:rFonts w:eastAsia="Times New Roman" w:cs="Times New Roman"/>
          <w:lang w:eastAsia="de-DE"/>
        </w:rPr>
        <w:t xml:space="preserve">(Söhne Gerschons) und der Ortsangabe </w:t>
      </w:r>
      <w:r w:rsidRPr="00AC36A5">
        <w:rPr>
          <w:rFonts w:eastAsia="Times New Roman" w:cs="Times New Roman"/>
          <w:b/>
          <w:bCs/>
          <w:rtl/>
          <w:lang w:eastAsia="de-DE"/>
        </w:rPr>
        <w:t>בְּאֹהֶל מוֹעֵד</w:t>
      </w:r>
      <w:r w:rsidRPr="00AC36A5">
        <w:rPr>
          <w:rFonts w:eastAsia="Times New Roman" w:cs="Times New Roman"/>
          <w:rtl/>
          <w:lang w:eastAsia="de-DE"/>
        </w:rPr>
        <w:t xml:space="preserve"> </w:t>
      </w:r>
      <w:r w:rsidRPr="00AC36A5">
        <w:rPr>
          <w:rFonts w:eastAsia="Times New Roman" w:cs="Times New Roman"/>
          <w:lang w:eastAsia="de-DE"/>
        </w:rPr>
        <w:t>(am Zelt der Begegnung) leitet die Aufgabenbeschreibung ein.</w:t>
      </w:r>
    </w:p>
    <w:p w14:paraId="5445AAC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Aufzählung der Verantwortlichkeiten beginnt mit </w:t>
      </w:r>
      <w:r w:rsidRPr="00AC36A5">
        <w:rPr>
          <w:rFonts w:eastAsia="Times New Roman" w:cs="Times New Roman"/>
          <w:b/>
          <w:bCs/>
          <w:rtl/>
          <w:lang w:eastAsia="de-DE"/>
        </w:rPr>
        <w:t>הַמִּשְׁכָּן וְהָאֹהֶל</w:t>
      </w:r>
      <w:r w:rsidRPr="00AC36A5">
        <w:rPr>
          <w:rFonts w:eastAsia="Times New Roman" w:cs="Times New Roman"/>
          <w:rtl/>
          <w:lang w:eastAsia="de-DE"/>
        </w:rPr>
        <w:t xml:space="preserve"> </w:t>
      </w:r>
      <w:r w:rsidRPr="00AC36A5">
        <w:rPr>
          <w:rFonts w:eastAsia="Times New Roman" w:cs="Times New Roman"/>
          <w:lang w:eastAsia="de-DE"/>
        </w:rPr>
        <w:t xml:space="preserve">(die Wohnung und das Zelt), wobei </w:t>
      </w:r>
      <w:r w:rsidRPr="00AC36A5">
        <w:rPr>
          <w:rFonts w:eastAsia="Times New Roman" w:cs="Times New Roman"/>
          <w:b/>
          <w:bCs/>
          <w:rtl/>
          <w:lang w:eastAsia="de-DE"/>
        </w:rPr>
        <w:t>מִשְׁכָּן</w:t>
      </w:r>
      <w:r w:rsidRPr="00AC36A5">
        <w:rPr>
          <w:rFonts w:eastAsia="Times New Roman" w:cs="Times New Roman"/>
          <w:rtl/>
          <w:lang w:eastAsia="de-DE"/>
        </w:rPr>
        <w:t xml:space="preserve"> </w:t>
      </w:r>
      <w:r w:rsidRPr="00AC36A5">
        <w:rPr>
          <w:rFonts w:eastAsia="Times New Roman" w:cs="Times New Roman"/>
          <w:lang w:eastAsia="de-DE"/>
        </w:rPr>
        <w:t xml:space="preserve">die gesamte heilige Struktur und </w:t>
      </w:r>
      <w:r w:rsidRPr="00AC36A5">
        <w:rPr>
          <w:rFonts w:eastAsia="Times New Roman" w:cs="Times New Roman"/>
          <w:b/>
          <w:bCs/>
          <w:rtl/>
          <w:lang w:eastAsia="de-DE"/>
        </w:rPr>
        <w:t>אֹהֶל</w:t>
      </w:r>
      <w:r w:rsidRPr="00AC36A5">
        <w:rPr>
          <w:rFonts w:eastAsia="Times New Roman" w:cs="Times New Roman"/>
          <w:rtl/>
          <w:lang w:eastAsia="de-DE"/>
        </w:rPr>
        <w:t xml:space="preserve"> </w:t>
      </w:r>
      <w:r w:rsidRPr="00AC36A5">
        <w:rPr>
          <w:rFonts w:eastAsia="Times New Roman" w:cs="Times New Roman"/>
          <w:lang w:eastAsia="de-DE"/>
        </w:rPr>
        <w:t>speziell die Zeltabdeckung bezeichnet.</w:t>
      </w:r>
    </w:p>
    <w:p w14:paraId="0FB571E2" w14:textId="17108F8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מִכְסֵהוּ</w:t>
      </w:r>
      <w:r w:rsidRPr="00AC36A5">
        <w:rPr>
          <w:rFonts w:eastAsia="Times New Roman" w:cs="Times New Roman"/>
          <w:rtl/>
          <w:lang w:eastAsia="de-DE"/>
        </w:rPr>
        <w:t xml:space="preserve"> </w:t>
      </w:r>
      <w:r w:rsidRPr="00AC36A5">
        <w:rPr>
          <w:rFonts w:eastAsia="Times New Roman" w:cs="Times New Roman"/>
          <w:lang w:eastAsia="de-DE"/>
        </w:rPr>
        <w:t xml:space="preserve">(seine Decke) von </w:t>
      </w:r>
      <w:r w:rsidRPr="00AC36A5">
        <w:rPr>
          <w:rFonts w:eastAsia="Times New Roman" w:cs="Times New Roman"/>
          <w:b/>
          <w:bCs/>
          <w:rtl/>
          <w:lang w:eastAsia="de-DE"/>
        </w:rPr>
        <w:t>מכסה</w:t>
      </w:r>
      <w:r w:rsidRPr="00AC36A5">
        <w:rPr>
          <w:rFonts w:eastAsia="Times New Roman" w:cs="Times New Roman"/>
          <w:rtl/>
          <w:lang w:eastAsia="de-DE"/>
        </w:rPr>
        <w:t xml:space="preserve"> </w:t>
      </w:r>
      <w:r w:rsidRPr="00AC36A5">
        <w:rPr>
          <w:rFonts w:eastAsia="Times New Roman" w:cs="Times New Roman"/>
          <w:lang w:eastAsia="de-DE"/>
        </w:rPr>
        <w:t xml:space="preserve">(Bedeckung/Decke) mit Possessivsuffix 3. maskulin Singular bezieht sich auf die äußere Schutzschicht der Stiftshütte. </w:t>
      </w:r>
      <w:r w:rsidRPr="00AC36A5">
        <w:rPr>
          <w:rFonts w:eastAsia="Times New Roman" w:cs="Times New Roman"/>
          <w:b/>
          <w:bCs/>
          <w:rtl/>
          <w:lang w:eastAsia="de-DE"/>
        </w:rPr>
        <w:t>וּמָסַךְ פֶּתַח אֹהֶל מוֹעֵד</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מָסַךְ</w:t>
      </w:r>
      <w:r w:rsidRPr="00AC36A5">
        <w:rPr>
          <w:rFonts w:eastAsia="Times New Roman" w:cs="Times New Roman"/>
          <w:rtl/>
          <w:lang w:eastAsia="de-DE"/>
        </w:rPr>
        <w:t xml:space="preserve"> </w:t>
      </w:r>
      <w:r w:rsidRPr="00AC36A5">
        <w:rPr>
          <w:rFonts w:eastAsia="Times New Roman" w:cs="Times New Roman"/>
          <w:lang w:eastAsia="de-DE"/>
        </w:rPr>
        <w:t xml:space="preserve">(Vorhang)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פֶּתַח</w:t>
      </w:r>
      <w:r w:rsidRPr="00AC36A5">
        <w:rPr>
          <w:rFonts w:eastAsia="Times New Roman" w:cs="Times New Roman"/>
          <w:rtl/>
          <w:lang w:eastAsia="de-DE"/>
        </w:rPr>
        <w:t xml:space="preserve"> </w:t>
      </w:r>
      <w:r w:rsidRPr="00AC36A5">
        <w:rPr>
          <w:rFonts w:eastAsia="Times New Roman" w:cs="Times New Roman"/>
          <w:lang w:eastAsia="de-DE"/>
        </w:rPr>
        <w:t>(Eingang) spezifiziert den Eingangsvorhang.</w:t>
      </w:r>
    </w:p>
    <w:p w14:paraId="62F43F71" w14:textId="77777777" w:rsidR="0064204A" w:rsidRDefault="0064204A" w:rsidP="00AC36A5">
      <w:pPr>
        <w:spacing w:before="100" w:beforeAutospacing="1" w:after="100" w:afterAutospacing="1" w:line="240" w:lineRule="auto"/>
      </w:pPr>
      <w:r>
        <w:rPr>
          <w:rStyle w:val="Fett"/>
        </w:rPr>
        <w:t>Die LXX</w:t>
      </w:r>
      <w:r>
        <w:t xml:space="preserve"> übersetzt </w:t>
      </w:r>
      <w:r>
        <w:rPr>
          <w:rtl/>
        </w:rPr>
        <w:t>המשכן והאהל</w:t>
      </w:r>
      <w:r>
        <w:t xml:space="preserve"> (hamishkan veha'ohel - "die Wohnung und das Zelt") als ἡ σκηνὴ καὶ τὸ κάλυμμα (das Zelt und die Bedeckung), was eine andere Interpretation der Struktur darstellt.</w:t>
      </w:r>
    </w:p>
    <w:p w14:paraId="7CB5CE19" w14:textId="6207DE9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elliptischen Nominalsatz mit Subjekt, Ortsbestimmung und einer koordinierten Aufzählung der Aufsichtsobjekte.</w:t>
      </w:r>
    </w:p>
    <w:p w14:paraId="65B09C6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definiert die spezifischen Verantwortlichkeiten der Gerschoniter für die Textilteile der Stiftshütte: Zeltstoff, Decken und Vorhänge.</w:t>
      </w:r>
    </w:p>
    <w:p w14:paraId="436CF70E"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3,26</w:t>
      </w:r>
    </w:p>
    <w:p w14:paraId="464EB38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וְקַלְעֵ֣י הֶֽחָצֵ֗ר וְאֶת־מָסַךְ֙ פֶּ֣תַח הֶֽחָצֵ֔ר אֲשֶׁ֧ר עַל־הַמִּשְׁכָּ֛ן וְעַל־הַמִּזְבֵּ֖חַ סָבִ֑יב וְאֵת֙ מֵֽיתָרָ֔יו לְכֹ֖ל עֲבֹדָתוֹֽ׃</w:t>
      </w:r>
    </w:p>
    <w:p w14:paraId="544AC51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Deutsch:</w:t>
      </w:r>
      <w:r w:rsidRPr="00AC36A5">
        <w:rPr>
          <w:rFonts w:eastAsia="Times New Roman" w:cs="Times New Roman"/>
          <w:lang w:eastAsia="de-DE"/>
        </w:rPr>
        <w:t xml:space="preserve"> und die Behänge des Vorhofs und der Vorhang des Eingangs zum Vorhof, der rings um die Wohnung und um den Altar ist, und seine Seile für seinen ganzen Dienst.</w:t>
      </w:r>
    </w:p>
    <w:p w14:paraId="53771AC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6BC8C41">
          <v:rect id="_x0000_i1138" style="width:0;height:1.5pt" o:hralign="center" o:hrstd="t" o:hr="t" fillcolor="#a0a0a0" stroked="f"/>
        </w:pict>
      </w:r>
    </w:p>
    <w:p w14:paraId="1B4A4870" w14:textId="696A307B"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Fortsetzung der Aufzählung beginnt mit </w:t>
      </w:r>
      <w:r w:rsidRPr="00AC36A5">
        <w:rPr>
          <w:rFonts w:eastAsia="Times New Roman" w:cs="Times New Roman"/>
          <w:b/>
          <w:bCs/>
          <w:rtl/>
          <w:lang w:eastAsia="de-DE"/>
        </w:rPr>
        <w:t>וְקַלְעֵי הֶחָצֵר</w:t>
      </w:r>
      <w:r w:rsidRPr="00AC36A5">
        <w:rPr>
          <w:rFonts w:eastAsia="Times New Roman" w:cs="Times New Roman"/>
          <w:rtl/>
          <w:lang w:eastAsia="de-DE"/>
        </w:rPr>
        <w:t xml:space="preserve"> </w:t>
      </w:r>
      <w:r w:rsidRPr="00AC36A5">
        <w:rPr>
          <w:rFonts w:eastAsia="Times New Roman" w:cs="Times New Roman"/>
          <w:lang w:eastAsia="de-DE"/>
        </w:rPr>
        <w:t xml:space="preserve">(und die Behänge des Vorhofs) mit </w:t>
      </w:r>
      <w:r w:rsidRPr="00AC36A5">
        <w:rPr>
          <w:rFonts w:eastAsia="Times New Roman" w:cs="Times New Roman"/>
          <w:b/>
          <w:bCs/>
          <w:rtl/>
          <w:lang w:eastAsia="de-DE"/>
        </w:rPr>
        <w:t>קלעים</w:t>
      </w:r>
      <w:r w:rsidRPr="00AC36A5">
        <w:rPr>
          <w:rFonts w:eastAsia="Times New Roman" w:cs="Times New Roman"/>
          <w:rtl/>
          <w:lang w:eastAsia="de-DE"/>
        </w:rPr>
        <w:t xml:space="preserve"> </w:t>
      </w:r>
      <w:r w:rsidRPr="00AC36A5">
        <w:rPr>
          <w:rFonts w:eastAsia="Times New Roman" w:cs="Times New Roman"/>
          <w:lang w:eastAsia="de-DE"/>
        </w:rPr>
        <w:t xml:space="preserve">(Behänge, Plural von </w:t>
      </w:r>
      <w:r w:rsidRPr="00AC36A5">
        <w:rPr>
          <w:rFonts w:eastAsia="Times New Roman" w:cs="Times New Roman"/>
          <w:b/>
          <w:bCs/>
          <w:rtl/>
          <w:lang w:eastAsia="de-DE"/>
        </w:rPr>
        <w:t>קֶלַע</w:t>
      </w:r>
      <w:r w:rsidRPr="00AC36A5">
        <w:rPr>
          <w:rFonts w:eastAsia="Times New Roman" w:cs="Times New Roman"/>
          <w:lang w:eastAsia="de-DE"/>
        </w:rPr>
        <w:t xml:space="preserve">)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חָצֵר</w:t>
      </w:r>
      <w:r w:rsidRPr="00AC36A5">
        <w:rPr>
          <w:rFonts w:eastAsia="Times New Roman" w:cs="Times New Roman"/>
          <w:rtl/>
          <w:lang w:eastAsia="de-DE"/>
        </w:rPr>
        <w:t xml:space="preserve"> </w:t>
      </w:r>
      <w:r w:rsidRPr="00AC36A5">
        <w:rPr>
          <w:rFonts w:eastAsia="Times New Roman" w:cs="Times New Roman"/>
          <w:lang w:eastAsia="de-DE"/>
        </w:rPr>
        <w:t>(Vorhof). Diese bezeichnen die textilen Umfriedungen des äußeren Bereichs.</w:t>
      </w:r>
    </w:p>
    <w:p w14:paraId="0BC9C0D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וְאֶת־מָסַךְ פֶּתַח הֶחָצֵר</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zeigt den Eingangsvorhang zum Vorhof, parallel zur Struktur in Vers 25. Der Relativsatz </w:t>
      </w:r>
      <w:r w:rsidRPr="00AC36A5">
        <w:rPr>
          <w:rFonts w:eastAsia="Times New Roman" w:cs="Times New Roman"/>
          <w:b/>
          <w:bCs/>
          <w:rtl/>
          <w:lang w:eastAsia="de-DE"/>
        </w:rPr>
        <w:t>אֲשֶׁר עַל־הַמִּשְׁכָּן וְעַל־הַמִּזְבֵּחַ סָבִיב</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אֲשֶׁר</w:t>
      </w:r>
      <w:r w:rsidRPr="00AC36A5">
        <w:rPr>
          <w:rFonts w:eastAsia="Times New Roman" w:cs="Times New Roman"/>
          <w:rtl/>
          <w:lang w:eastAsia="de-DE"/>
        </w:rPr>
        <w:t xml:space="preserve"> </w:t>
      </w:r>
      <w:r w:rsidRPr="00AC36A5">
        <w:rPr>
          <w:rFonts w:eastAsia="Times New Roman" w:cs="Times New Roman"/>
          <w:lang w:eastAsia="de-DE"/>
        </w:rPr>
        <w:t xml:space="preserve">und den koordinierten präpositionalen Phrasen </w:t>
      </w:r>
      <w:r w:rsidRPr="00AC36A5">
        <w:rPr>
          <w:rFonts w:eastAsia="Times New Roman" w:cs="Times New Roman"/>
          <w:b/>
          <w:bCs/>
          <w:rtl/>
          <w:lang w:eastAsia="de-DE"/>
        </w:rPr>
        <w:t>עַל־הַמִּשְׁכָּן וְעַל־הַמִּזְבֵּחַ</w:t>
      </w:r>
      <w:r w:rsidRPr="00AC36A5">
        <w:rPr>
          <w:rFonts w:eastAsia="Times New Roman" w:cs="Times New Roman"/>
          <w:rtl/>
          <w:lang w:eastAsia="de-DE"/>
        </w:rPr>
        <w:t xml:space="preserve"> </w:t>
      </w:r>
      <w:r w:rsidRPr="00AC36A5">
        <w:rPr>
          <w:rFonts w:eastAsia="Times New Roman" w:cs="Times New Roman"/>
          <w:lang w:eastAsia="de-DE"/>
        </w:rPr>
        <w:t xml:space="preserve">(über der Wohnung und über dem Altar) plus </w:t>
      </w:r>
      <w:r w:rsidRPr="00AC36A5">
        <w:rPr>
          <w:rFonts w:eastAsia="Times New Roman" w:cs="Times New Roman"/>
          <w:b/>
          <w:bCs/>
          <w:rtl/>
          <w:lang w:eastAsia="de-DE"/>
        </w:rPr>
        <w:t>סָבִיב</w:t>
      </w:r>
      <w:r w:rsidRPr="00AC36A5">
        <w:rPr>
          <w:rFonts w:eastAsia="Times New Roman" w:cs="Times New Roman"/>
          <w:rtl/>
          <w:lang w:eastAsia="de-DE"/>
        </w:rPr>
        <w:t xml:space="preserve"> </w:t>
      </w:r>
      <w:r w:rsidRPr="00AC36A5">
        <w:rPr>
          <w:rFonts w:eastAsia="Times New Roman" w:cs="Times New Roman"/>
          <w:lang w:eastAsia="de-DE"/>
        </w:rPr>
        <w:t>(ringsum) spezifiziert die räumliche Ausdehnung.</w:t>
      </w:r>
    </w:p>
    <w:p w14:paraId="55F89F6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וְאֵת מֵיתָרָיו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מֵיתָרִים</w:t>
      </w:r>
      <w:r w:rsidRPr="00AC36A5">
        <w:rPr>
          <w:rFonts w:eastAsia="Times New Roman" w:cs="Times New Roman"/>
          <w:rtl/>
          <w:lang w:eastAsia="de-DE"/>
        </w:rPr>
        <w:t xml:space="preserve"> </w:t>
      </w:r>
      <w:r w:rsidRPr="00AC36A5">
        <w:rPr>
          <w:rFonts w:eastAsia="Times New Roman" w:cs="Times New Roman"/>
          <w:lang w:eastAsia="de-DE"/>
        </w:rPr>
        <w:t xml:space="preserve">(Seile/Stricke, Plural von </w:t>
      </w:r>
      <w:r w:rsidRPr="00AC36A5">
        <w:rPr>
          <w:rFonts w:eastAsia="Times New Roman" w:cs="Times New Roman"/>
          <w:b/>
          <w:bCs/>
          <w:rtl/>
          <w:lang w:eastAsia="de-DE"/>
        </w:rPr>
        <w:t>מֵיתָר</w:t>
      </w:r>
      <w:r w:rsidRPr="00AC36A5">
        <w:rPr>
          <w:rFonts w:eastAsia="Times New Roman" w:cs="Times New Roman"/>
          <w:lang w:eastAsia="de-DE"/>
        </w:rPr>
        <w:t xml:space="preserve">) plus Possessivsuffix 3. maskulin Singular bezeichnet die Befestigungsseile. Die finale Phrase </w:t>
      </w:r>
      <w:r w:rsidRPr="00AC36A5">
        <w:rPr>
          <w:rFonts w:eastAsia="Times New Roman" w:cs="Times New Roman"/>
          <w:b/>
          <w:bCs/>
          <w:rtl/>
          <w:lang w:eastAsia="de-DE"/>
        </w:rPr>
        <w:t>לְכֹל עֲבֹדָתוֹ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 xml:space="preserve">(für),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(allen) und </w:t>
      </w:r>
      <w:r w:rsidRPr="00AC36A5">
        <w:rPr>
          <w:rFonts w:eastAsia="Times New Roman" w:cs="Times New Roman"/>
          <w:b/>
          <w:bCs/>
          <w:rtl/>
          <w:lang w:eastAsia="de-DE"/>
        </w:rPr>
        <w:t>עֲבֹדָה</w:t>
      </w:r>
      <w:r w:rsidRPr="00AC36A5">
        <w:rPr>
          <w:rFonts w:eastAsia="Times New Roman" w:cs="Times New Roman"/>
          <w:rtl/>
          <w:lang w:eastAsia="de-DE"/>
        </w:rPr>
        <w:t xml:space="preserve"> </w:t>
      </w:r>
      <w:r w:rsidRPr="00AC36A5">
        <w:rPr>
          <w:rFonts w:eastAsia="Times New Roman" w:cs="Times New Roman"/>
          <w:lang w:eastAsia="de-DE"/>
        </w:rPr>
        <w:t>(Arbeit/Dienst) plus Suffix zeigt den umfassenden Dienstbereich.</w:t>
      </w:r>
    </w:p>
    <w:p w14:paraId="3E07DFF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τὰ ἱστία τῆς αὐλῆς καὶ τὸ καταπέτασμα τῆς πύλης τῆς αὐλῆς τῆς οὔσης ἐπὶ τῆς σκηνῆς und erweitert interpretierend.</w:t>
      </w:r>
    </w:p>
    <w:p w14:paraId="4F283E1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koordinierte Fortsetzung der Aufzählung mit Relativsatz zur räumlichen Spezifikation und abschließender Zweckangabe.</w:t>
      </w:r>
    </w:p>
    <w:p w14:paraId="55E2715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komplettiert die Aufgabenbeschreibung der Gerschoniter durch die Verantwortung für die äußeren Textilteile: Vorhofbehänge, deren Eingänge und alle zugehörigen Befestigungsmaterialien.</w:t>
      </w:r>
    </w:p>
    <w:p w14:paraId="53B633A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3,27</w:t>
      </w:r>
    </w:p>
    <w:p w14:paraId="0FE924A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וְלִקְהָ֗ת מִשְׁפַּ֤חַת הַֽעַמְרָמִי֙ וּמִשְׁפַּ֣חַת הַיִּצְהָרִ֔י וּמִשְׁפַּ֨חַת֙ הַֽחֶבְרֹנִ֔י וּמִשְׁפַּ֖חַת הָֽעָזִּיאֵלִ֑י אֵ֥לֶּה הֵ֖ם מִשְׁפְּחֹ֥ת הַקְּהָתִֽי׃</w:t>
      </w:r>
    </w:p>
    <w:p w14:paraId="7E2EF17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von Kehat die Familie des Amrami und die Familie des Jizhari und die Familie des Chevroni und die Familie des Usi'eli; dies waren die Familien des Kehati.</w:t>
      </w:r>
    </w:p>
    <w:p w14:paraId="69F2CFF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7E170E0">
          <v:rect id="_x0000_i1139" style="width:0;height:1.5pt" o:hralign="center" o:hrstd="t" o:hr="t" fillcolor="#a0a0a0" stroked="f"/>
        </w:pict>
      </w:r>
    </w:p>
    <w:p w14:paraId="23219100" w14:textId="57A7FFD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präpositionale Phrase </w:t>
      </w:r>
      <w:r w:rsidRPr="00AC36A5">
        <w:rPr>
          <w:rFonts w:eastAsia="Times New Roman" w:cs="Times New Roman"/>
          <w:b/>
          <w:bCs/>
          <w:rtl/>
          <w:lang w:eastAsia="de-DE"/>
        </w:rPr>
        <w:t>וְלִקְהָת</w:t>
      </w:r>
      <w:r w:rsidRPr="00AC36A5">
        <w:rPr>
          <w:rFonts w:eastAsia="Times New Roman" w:cs="Times New Roman"/>
          <w:rtl/>
          <w:lang w:eastAsia="de-DE"/>
        </w:rPr>
        <w:t xml:space="preserve"> </w:t>
      </w:r>
      <w:r w:rsidRPr="00AC36A5">
        <w:rPr>
          <w:rFonts w:eastAsia="Times New Roman" w:cs="Times New Roman"/>
          <w:lang w:eastAsia="de-DE"/>
        </w:rPr>
        <w:t xml:space="preserve">(und von/zu Kehat)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 xml:space="preserve">leitet die Behandlung der zweiten levitischen Hauptlinie ein. Die vier koordinierten </w:t>
      </w:r>
      <w:r w:rsidR="00F133EC">
        <w:rPr>
          <w:rFonts w:eastAsia="Times New Roman" w:cs="Times New Roman"/>
          <w:lang w:eastAsia="de-DE"/>
        </w:rPr>
        <w:t>Construct</w:t>
      </w:r>
      <w:r w:rsidRPr="00AC36A5">
        <w:rPr>
          <w:rFonts w:eastAsia="Times New Roman" w:cs="Times New Roman"/>
          <w:lang w:eastAsia="de-DE"/>
        </w:rPr>
        <w:t xml:space="preserve">verbindungen </w:t>
      </w:r>
      <w:r w:rsidRPr="00AC36A5">
        <w:rPr>
          <w:rFonts w:eastAsia="Times New Roman" w:cs="Times New Roman"/>
          <w:b/>
          <w:bCs/>
          <w:rtl/>
          <w:lang w:eastAsia="de-DE"/>
        </w:rPr>
        <w:t>מִשְׁפַּחַת הַעַמְרָמִי וּמִשְׁפַּחַת הַיִּצְהָרִ֔י וּמִשְׁפַּחַת הַחֶבְרֹנִי וּמִשְׁפַּחַת הָעָזִּיאֵלִי</w:t>
      </w:r>
      <w:r w:rsidRPr="00AC36A5">
        <w:rPr>
          <w:rFonts w:eastAsia="Times New Roman" w:cs="Times New Roman"/>
          <w:rtl/>
          <w:lang w:eastAsia="de-DE"/>
        </w:rPr>
        <w:t xml:space="preserve"> </w:t>
      </w:r>
      <w:r w:rsidRPr="00AC36A5">
        <w:rPr>
          <w:rFonts w:eastAsia="Times New Roman" w:cs="Times New Roman"/>
          <w:lang w:eastAsia="de-DE"/>
        </w:rPr>
        <w:t xml:space="preserve">zeigen </w:t>
      </w:r>
      <w:r w:rsidRPr="00AC36A5">
        <w:rPr>
          <w:rFonts w:eastAsia="Times New Roman" w:cs="Times New Roman"/>
          <w:b/>
          <w:bCs/>
          <w:rtl/>
          <w:lang w:eastAsia="de-DE"/>
        </w:rPr>
        <w:t>מִשְׁפַּחַת</w:t>
      </w:r>
      <w:r w:rsidRPr="00AC36A5">
        <w:rPr>
          <w:rFonts w:eastAsia="Times New Roman" w:cs="Times New Roman"/>
          <w:rtl/>
          <w:lang w:eastAsia="de-DE"/>
        </w:rPr>
        <w:t xml:space="preserve"> </w:t>
      </w:r>
      <w:r w:rsidRPr="00AC36A5">
        <w:rPr>
          <w:rFonts w:eastAsia="Times New Roman" w:cs="Times New Roman"/>
          <w:lang w:eastAsia="de-DE"/>
        </w:rPr>
        <w:t xml:space="preserve">(Familie von) im </w:t>
      </w:r>
      <w:r w:rsidR="00F133EC">
        <w:rPr>
          <w:rFonts w:eastAsia="Times New Roman" w:cs="Times New Roman"/>
          <w:lang w:eastAsia="de-DE"/>
        </w:rPr>
        <w:t>Construct</w:t>
      </w:r>
      <w:r w:rsidRPr="00AC36A5">
        <w:rPr>
          <w:rFonts w:eastAsia="Times New Roman" w:cs="Times New Roman"/>
          <w:lang w:eastAsia="de-DE"/>
        </w:rPr>
        <w:t xml:space="preserve"> mit den patronymischen Formen.</w:t>
      </w:r>
    </w:p>
    <w:p w14:paraId="59C4650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patronymischen Bildungen </w:t>
      </w:r>
      <w:r w:rsidRPr="00AC36A5">
        <w:rPr>
          <w:rFonts w:eastAsia="Times New Roman" w:cs="Times New Roman"/>
          <w:b/>
          <w:bCs/>
          <w:rtl/>
          <w:lang w:eastAsia="de-DE"/>
        </w:rPr>
        <w:t>הַעַמְרָמִי</w:t>
      </w:r>
      <w:r w:rsidRPr="00AC36A5">
        <w:rPr>
          <w:rFonts w:eastAsia="Times New Roman" w:cs="Times New Roman"/>
          <w:rtl/>
          <w:lang w:eastAsia="de-DE"/>
        </w:rPr>
        <w:t xml:space="preserve"> </w:t>
      </w:r>
      <w:r w:rsidRPr="00AC36A5">
        <w:rPr>
          <w:rFonts w:eastAsia="Times New Roman" w:cs="Times New Roman"/>
          <w:lang w:eastAsia="de-DE"/>
        </w:rPr>
        <w:t xml:space="preserve">(der Amramite), </w:t>
      </w:r>
      <w:r w:rsidRPr="00AC36A5">
        <w:rPr>
          <w:rFonts w:eastAsia="Times New Roman" w:cs="Times New Roman"/>
          <w:b/>
          <w:bCs/>
          <w:rtl/>
          <w:lang w:eastAsia="de-DE"/>
        </w:rPr>
        <w:t>הַיִּצְהָרִי</w:t>
      </w:r>
      <w:r w:rsidRPr="00AC36A5">
        <w:rPr>
          <w:rFonts w:eastAsia="Times New Roman" w:cs="Times New Roman"/>
          <w:rtl/>
          <w:lang w:eastAsia="de-DE"/>
        </w:rPr>
        <w:t xml:space="preserve"> </w:t>
      </w:r>
      <w:r w:rsidRPr="00AC36A5">
        <w:rPr>
          <w:rFonts w:eastAsia="Times New Roman" w:cs="Times New Roman"/>
          <w:lang w:eastAsia="de-DE"/>
        </w:rPr>
        <w:t xml:space="preserve">(der Jizharite), </w:t>
      </w:r>
      <w:r w:rsidRPr="00AC36A5">
        <w:rPr>
          <w:rFonts w:eastAsia="Times New Roman" w:cs="Times New Roman"/>
          <w:b/>
          <w:bCs/>
          <w:rtl/>
          <w:lang w:eastAsia="de-DE"/>
        </w:rPr>
        <w:t>הַחֶבְרֹנִי</w:t>
      </w:r>
      <w:r w:rsidRPr="00AC36A5">
        <w:rPr>
          <w:rFonts w:eastAsia="Times New Roman" w:cs="Times New Roman"/>
          <w:rtl/>
          <w:lang w:eastAsia="de-DE"/>
        </w:rPr>
        <w:t xml:space="preserve"> </w:t>
      </w:r>
      <w:r w:rsidRPr="00AC36A5">
        <w:rPr>
          <w:rFonts w:eastAsia="Times New Roman" w:cs="Times New Roman"/>
          <w:lang w:eastAsia="de-DE"/>
        </w:rPr>
        <w:t xml:space="preserve">(der Chevronite) und </w:t>
      </w:r>
      <w:r w:rsidRPr="00AC36A5">
        <w:rPr>
          <w:rFonts w:eastAsia="Times New Roman" w:cs="Times New Roman"/>
          <w:b/>
          <w:bCs/>
          <w:rtl/>
          <w:lang w:eastAsia="de-DE"/>
        </w:rPr>
        <w:t>הָעָזִּיאֵלִי</w:t>
      </w:r>
      <w:r w:rsidRPr="00AC36A5">
        <w:rPr>
          <w:rFonts w:eastAsia="Times New Roman" w:cs="Times New Roman"/>
          <w:rtl/>
          <w:lang w:eastAsia="de-DE"/>
        </w:rPr>
        <w:t xml:space="preserve"> </w:t>
      </w:r>
      <w:r w:rsidRPr="00AC36A5">
        <w:rPr>
          <w:rFonts w:eastAsia="Times New Roman" w:cs="Times New Roman"/>
          <w:lang w:eastAsia="de-DE"/>
        </w:rPr>
        <w:t xml:space="preserve">(der Usielite) mit bestimmtem Artikel und dem Gentilizsuffix </w:t>
      </w:r>
      <w:r w:rsidRPr="00AC36A5">
        <w:rPr>
          <w:rFonts w:eastAsia="Times New Roman" w:cs="Times New Roman"/>
          <w:b/>
          <w:bCs/>
          <w:rtl/>
          <w:lang w:eastAsia="de-DE"/>
        </w:rPr>
        <w:t>־ִי</w:t>
      </w:r>
      <w:r w:rsidRPr="00AC36A5">
        <w:rPr>
          <w:rFonts w:eastAsia="Times New Roman" w:cs="Times New Roman"/>
          <w:rtl/>
          <w:lang w:eastAsia="de-DE"/>
        </w:rPr>
        <w:t xml:space="preserve"> </w:t>
      </w:r>
      <w:r w:rsidRPr="00AC36A5">
        <w:rPr>
          <w:rFonts w:eastAsia="Times New Roman" w:cs="Times New Roman"/>
          <w:lang w:eastAsia="de-DE"/>
        </w:rPr>
        <w:t xml:space="preserve">entsprechen den in Vers 19 genannten Söhnen Kehats. Besonders bedeutsam ist </w:t>
      </w:r>
      <w:r w:rsidRPr="00AC36A5">
        <w:rPr>
          <w:rFonts w:eastAsia="Times New Roman" w:cs="Times New Roman"/>
          <w:b/>
          <w:bCs/>
          <w:rtl/>
          <w:lang w:eastAsia="de-DE"/>
        </w:rPr>
        <w:t>עַמְרָם</w:t>
      </w:r>
      <w:r w:rsidRPr="00AC36A5">
        <w:rPr>
          <w:rFonts w:eastAsia="Times New Roman" w:cs="Times New Roman"/>
          <w:rtl/>
          <w:lang w:eastAsia="de-DE"/>
        </w:rPr>
        <w:t xml:space="preserve"> </w:t>
      </w:r>
      <w:r w:rsidRPr="00AC36A5">
        <w:rPr>
          <w:rFonts w:eastAsia="Times New Roman" w:cs="Times New Roman"/>
          <w:lang w:eastAsia="de-DE"/>
        </w:rPr>
        <w:t>als Vater von Mose und Aaron.</w:t>
      </w:r>
    </w:p>
    <w:p w14:paraId="5E65521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Der zusammenfassende Satz </w:t>
      </w:r>
      <w:r w:rsidRPr="00AC36A5">
        <w:rPr>
          <w:rFonts w:eastAsia="Times New Roman" w:cs="Times New Roman"/>
          <w:b/>
          <w:bCs/>
          <w:rtl/>
          <w:lang w:eastAsia="de-DE"/>
        </w:rPr>
        <w:t>אֵלֶּה הֵם מִשְׁפְּחֹת הַקְּהָתִי</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אֵלֶּה הֵם</w:t>
      </w:r>
      <w:r w:rsidRPr="00AC36A5">
        <w:rPr>
          <w:rFonts w:eastAsia="Times New Roman" w:cs="Times New Roman"/>
          <w:rtl/>
          <w:lang w:eastAsia="de-DE"/>
        </w:rPr>
        <w:t xml:space="preserve"> </w:t>
      </w:r>
      <w:r w:rsidRPr="00AC36A5">
        <w:rPr>
          <w:rFonts w:eastAsia="Times New Roman" w:cs="Times New Roman"/>
          <w:lang w:eastAsia="de-DE"/>
        </w:rPr>
        <w:t xml:space="preserve">(diese sind) und der kollektiven Gentilizform </w:t>
      </w:r>
      <w:r w:rsidRPr="00AC36A5">
        <w:rPr>
          <w:rFonts w:eastAsia="Times New Roman" w:cs="Times New Roman"/>
          <w:b/>
          <w:bCs/>
          <w:rtl/>
          <w:lang w:eastAsia="de-DE"/>
        </w:rPr>
        <w:t>הַקְּהָתִי</w:t>
      </w:r>
      <w:r w:rsidRPr="00AC36A5">
        <w:rPr>
          <w:rFonts w:eastAsia="Times New Roman" w:cs="Times New Roman"/>
          <w:rtl/>
          <w:lang w:eastAsia="de-DE"/>
        </w:rPr>
        <w:t xml:space="preserve"> </w:t>
      </w:r>
      <w:r w:rsidRPr="00AC36A5">
        <w:rPr>
          <w:rFonts w:eastAsia="Times New Roman" w:cs="Times New Roman"/>
          <w:lang w:eastAsia="de-DE"/>
        </w:rPr>
        <w:t>(der Kehatiter) bietet eine formelle Zusammenfassung, parallel zu Vers 21.</w:t>
      </w:r>
    </w:p>
    <w:p w14:paraId="700B99F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τῷ Κααθ δῆμος τοῦ Αμραμι καὶ δῆμος τοῦ Ισσααρι καὶ δῆμος τοῦ Χεβρωνι καὶ δῆμος τοῦ Οζιηλι οὗτοί εἰσιν δῆμοι Κααθ und behält die Vierzahl bei.</w:t>
      </w:r>
    </w:p>
    <w:p w14:paraId="081F8A5B" w14:textId="469C7573"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präpositionale Einleitung mit vier koordinierten </w:t>
      </w:r>
      <w:r w:rsidR="00F133EC">
        <w:rPr>
          <w:rFonts w:eastAsia="Times New Roman" w:cs="Times New Roman"/>
          <w:lang w:eastAsia="de-DE"/>
        </w:rPr>
        <w:t>Construct</w:t>
      </w:r>
      <w:r w:rsidRPr="00AC36A5">
        <w:rPr>
          <w:rFonts w:eastAsia="Times New Roman" w:cs="Times New Roman"/>
          <w:lang w:eastAsia="de-DE"/>
        </w:rPr>
        <w:t>verbindungen und einem zusammenfassenden Identifikationssatz.</w:t>
      </w:r>
    </w:p>
    <w:p w14:paraId="3D0B79E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stellt die vier Kehatiter-Familien vor, wobei die Amramiter als Träger der Priesterschaft besondere Bedeutung haben.</w:t>
      </w:r>
    </w:p>
    <w:p w14:paraId="7C4FAF1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3,28</w:t>
      </w:r>
    </w:p>
    <w:p w14:paraId="17FDC77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בְּמִסְפַּר֙ כָּל־זָכָ֔ר מִבֶּן־חֹ֖דֶשׁ וָמָ֑עְלָה שְׁמֹנַ֤ת אֲלָפִים֙ וְשֵׁ֣שׁ מֵא֔וֹת שֹׁמְרֵ֖י מִשְׁמֶ֥רֶת הַקֹּֽדֶשׁ׃</w:t>
      </w:r>
    </w:p>
    <w:p w14:paraId="7DDA41F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In der Zahl aller Männlichen von einem Monat an und darüber waren es 8.600, die den Dienst am Heiligtum versahen.</w:t>
      </w:r>
    </w:p>
    <w:p w14:paraId="3922DA0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EB44840">
          <v:rect id="_x0000_i1140" style="width:0;height:1.5pt" o:hralign="center" o:hrstd="t" o:hr="t" fillcolor="#a0a0a0" stroked="f"/>
        </w:pict>
      </w:r>
    </w:p>
    <w:p w14:paraId="0914463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präpositionale Phrase </w:t>
      </w:r>
      <w:r w:rsidRPr="00AC36A5">
        <w:rPr>
          <w:rFonts w:eastAsia="Times New Roman" w:cs="Times New Roman"/>
          <w:b/>
          <w:bCs/>
          <w:rtl/>
          <w:lang w:eastAsia="de-DE"/>
        </w:rPr>
        <w:t>בְּמִסְפַּר כָּל־זָכָר מִבֶּן־חֹדֶשׁ וָמָעְלָה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 xml:space="preserve">(in/nach), </w:t>
      </w:r>
      <w:r w:rsidRPr="00AC36A5">
        <w:rPr>
          <w:rFonts w:eastAsia="Times New Roman" w:cs="Times New Roman"/>
          <w:b/>
          <w:bCs/>
          <w:rtl/>
          <w:lang w:eastAsia="de-DE"/>
        </w:rPr>
        <w:t>מִסְפָּר</w:t>
      </w:r>
      <w:r w:rsidRPr="00AC36A5">
        <w:rPr>
          <w:rFonts w:eastAsia="Times New Roman" w:cs="Times New Roman"/>
          <w:rtl/>
          <w:lang w:eastAsia="de-DE"/>
        </w:rPr>
        <w:t xml:space="preserve"> </w:t>
      </w:r>
      <w:r w:rsidRPr="00AC36A5">
        <w:rPr>
          <w:rFonts w:eastAsia="Times New Roman" w:cs="Times New Roman"/>
          <w:lang w:eastAsia="de-DE"/>
        </w:rPr>
        <w:t>(Zahl) und den etablierten Zählkriterien zeigt die gleichen Parameter wie bei den Gerschonitern.</w:t>
      </w:r>
    </w:p>
    <w:p w14:paraId="69D5B05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Zahlenangabe </w:t>
      </w:r>
      <w:r w:rsidRPr="00AC36A5">
        <w:rPr>
          <w:rFonts w:eastAsia="Times New Roman" w:cs="Times New Roman"/>
          <w:b/>
          <w:bCs/>
          <w:rtl/>
          <w:lang w:eastAsia="de-DE"/>
        </w:rPr>
        <w:t>שְׁמֹנַת אֲלָפִים וְשֵׁשׁ מֵאוֹת</w:t>
      </w:r>
      <w:r w:rsidRPr="00AC36A5">
        <w:rPr>
          <w:rFonts w:eastAsia="Times New Roman" w:cs="Times New Roman"/>
          <w:rtl/>
          <w:lang w:eastAsia="de-DE"/>
        </w:rPr>
        <w:t xml:space="preserve"> </w:t>
      </w:r>
      <w:r w:rsidRPr="00AC36A5">
        <w:rPr>
          <w:rFonts w:eastAsia="Times New Roman" w:cs="Times New Roman"/>
          <w:lang w:eastAsia="de-DE"/>
        </w:rPr>
        <w:t>zeigt: acht Tausende plus sechs Hunderte = 8.600, die höchste Zahl unter den levitischen Untergruppen.</w:t>
      </w:r>
    </w:p>
    <w:p w14:paraId="45DB2B69" w14:textId="27D3DAD1"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charakterisierende Partizip </w:t>
      </w:r>
      <w:r w:rsidRPr="00AC36A5">
        <w:rPr>
          <w:rFonts w:eastAsia="Times New Roman" w:cs="Times New Roman"/>
          <w:b/>
          <w:bCs/>
          <w:rtl/>
          <w:lang w:eastAsia="de-DE"/>
        </w:rPr>
        <w:t>שֹׁמְרֵי מִשְׁמֶרֶת הַקֹּדֶשׁ</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שֹׁמְרֵי</w:t>
      </w:r>
      <w:r w:rsidRPr="00AC36A5">
        <w:rPr>
          <w:rFonts w:eastAsia="Times New Roman" w:cs="Times New Roman"/>
          <w:rtl/>
          <w:lang w:eastAsia="de-DE"/>
        </w:rPr>
        <w:t xml:space="preserve"> </w:t>
      </w:r>
      <w:r w:rsidRPr="00AC36A5">
        <w:rPr>
          <w:rFonts w:eastAsia="Times New Roman" w:cs="Times New Roman"/>
          <w:lang w:eastAsia="de-DE"/>
        </w:rPr>
        <w:t xml:space="preserve">(Hüter von) als Qal-Partizip Plural von </w:t>
      </w:r>
      <w:r w:rsidRPr="00AC36A5">
        <w:rPr>
          <w:rFonts w:eastAsia="Times New Roman" w:cs="Times New Roman"/>
          <w:b/>
          <w:bCs/>
          <w:rtl/>
          <w:lang w:eastAsia="de-DE"/>
        </w:rPr>
        <w:t>שמר</w:t>
      </w:r>
      <w:r w:rsidRPr="00AC36A5">
        <w:rPr>
          <w:rFonts w:eastAsia="Times New Roman" w:cs="Times New Roman"/>
          <w:rtl/>
          <w:lang w:eastAsia="de-DE"/>
        </w:rPr>
        <w:t xml:space="preserve"> </w:t>
      </w:r>
      <w:r w:rsidRPr="00AC36A5">
        <w:rPr>
          <w:rFonts w:eastAsia="Times New Roman" w:cs="Times New Roman"/>
          <w:lang w:eastAsia="de-DE"/>
        </w:rPr>
        <w:t xml:space="preserve">(bewachen/hüten)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מִשְׁמֶרֶת הַקֹּדֶשׁ</w:t>
      </w:r>
      <w:r w:rsidRPr="00AC36A5">
        <w:rPr>
          <w:rFonts w:eastAsia="Times New Roman" w:cs="Times New Roman"/>
          <w:rtl/>
          <w:lang w:eastAsia="de-DE"/>
        </w:rPr>
        <w:t xml:space="preserve"> </w:t>
      </w:r>
      <w:r w:rsidRPr="00AC36A5">
        <w:rPr>
          <w:rFonts w:eastAsia="Times New Roman" w:cs="Times New Roman"/>
          <w:lang w:eastAsia="de-DE"/>
        </w:rPr>
        <w:t>(Dienst/Aufsicht des Heiligtums) betont die besondere Verantwortung der Kehatiter für die heiligsten Gegenstände.</w:t>
      </w:r>
    </w:p>
    <w:p w14:paraId="041D3643" w14:textId="2AC7BE1D" w:rsidR="00AC36A5" w:rsidRDefault="00AC36A5" w:rsidP="00AC36A5">
      <w:pPr>
        <w:spacing w:before="100" w:beforeAutospacing="1" w:after="100" w:afterAutospacing="1" w:line="240" w:lineRule="auto"/>
      </w:pPr>
      <w:r w:rsidRPr="00AC36A5">
        <w:rPr>
          <w:rFonts w:eastAsia="Times New Roman" w:cs="Times New Roman"/>
          <w:b/>
          <w:bCs/>
          <w:lang w:eastAsia="de-DE"/>
        </w:rPr>
        <w:t>Die LXX</w:t>
      </w:r>
      <w:r w:rsidRPr="00AC36A5">
        <w:rPr>
          <w:rFonts w:eastAsia="Times New Roman" w:cs="Times New Roman"/>
          <w:lang w:eastAsia="de-DE"/>
        </w:rPr>
        <w:t xml:space="preserve"> </w:t>
      </w:r>
      <w:r w:rsidR="0064204A">
        <w:rPr>
          <w:rFonts w:eastAsia="Times New Roman" w:cs="Times New Roman"/>
          <w:lang w:eastAsia="de-DE"/>
        </w:rPr>
        <w:t xml:space="preserve">ist </w:t>
      </w:r>
      <w:r w:rsidR="00A1074A">
        <w:rPr>
          <w:rStyle w:val="Fett"/>
        </w:rPr>
        <w:t>Textkritisch</w:t>
      </w:r>
      <w:r w:rsidR="00A91CE7">
        <w:rPr>
          <w:rStyle w:val="Fett"/>
        </w:rPr>
        <w:t xml:space="preserve"> </w:t>
      </w:r>
      <w:r w:rsidR="0064204A">
        <w:rPr>
          <w:rStyle w:val="Fett"/>
        </w:rPr>
        <w:t>bedeutsam</w:t>
      </w:r>
      <w:r w:rsidR="0064204A">
        <w:t xml:space="preserve">: Der hebräische Text hat </w:t>
      </w:r>
      <w:r w:rsidR="0064204A" w:rsidRPr="0064204A">
        <w:rPr>
          <w:b/>
          <w:bCs/>
          <w:rtl/>
        </w:rPr>
        <w:t>שמנת אלפים ושש מאות</w:t>
      </w:r>
      <w:r w:rsidR="0064204A">
        <w:t xml:space="preserve"> (8.600), während die LXX ὀκτακισχίλιοι καὶ ἑξακόσιοι (8.600) hat. Dies ist wichtig, weil die Gesamtsumme in Vers 39 (22.000) nicht mit der Addition aller Einzelsummen übereinstimmt (</w:t>
      </w:r>
      <w:r w:rsidR="00FE103E">
        <w:t>8600</w:t>
      </w:r>
      <w:r w:rsidR="0064204A">
        <w:t xml:space="preserve"> + </w:t>
      </w:r>
      <w:r w:rsidR="00FE103E">
        <w:t>7500</w:t>
      </w:r>
      <w:r w:rsidR="0064204A">
        <w:t xml:space="preserve"> + 6.200 = 22.300). Einige Handschriften und die Samaritanische Pentateuch haben hier </w:t>
      </w:r>
      <w:r w:rsidR="0064204A" w:rsidRPr="0064204A">
        <w:rPr>
          <w:b/>
          <w:bCs/>
          <w:rtl/>
        </w:rPr>
        <w:t>שלשת אלפים</w:t>
      </w:r>
      <w:r w:rsidR="0064204A">
        <w:t xml:space="preserve"> (3.000</w:t>
      </w:r>
      <w:r w:rsidR="00A91CE7">
        <w:t xml:space="preserve"> </w:t>
      </w:r>
      <w:r w:rsidR="0064204A">
        <w:t>statt 8.000), was die Summe korrigieren würde.</w:t>
      </w:r>
    </w:p>
    <w:tbl>
      <w:tblPr>
        <w:tblStyle w:val="Tabellenraster"/>
        <w:tblW w:w="4994" w:type="pct"/>
        <w:tblLook w:val="04A0" w:firstRow="1" w:lastRow="0" w:firstColumn="1" w:lastColumn="0" w:noHBand="0" w:noVBand="1"/>
      </w:tblPr>
      <w:tblGrid>
        <w:gridCol w:w="1508"/>
        <w:gridCol w:w="1508"/>
        <w:gridCol w:w="1508"/>
        <w:gridCol w:w="1508"/>
        <w:gridCol w:w="1761"/>
        <w:gridCol w:w="1258"/>
      </w:tblGrid>
      <w:tr w:rsidR="00FE103E" w14:paraId="4D6C7C79" w14:textId="77777777" w:rsidTr="00FE103E">
        <w:tc>
          <w:tcPr>
            <w:tcW w:w="833" w:type="pct"/>
          </w:tcPr>
          <w:p w14:paraId="3B58B8F5" w14:textId="232F8319"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Quelle</w:t>
            </w:r>
          </w:p>
        </w:tc>
        <w:tc>
          <w:tcPr>
            <w:tcW w:w="833" w:type="pct"/>
          </w:tcPr>
          <w:p w14:paraId="55BC647F" w14:textId="67A4EA43"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Kehatiter</w:t>
            </w:r>
          </w:p>
        </w:tc>
        <w:tc>
          <w:tcPr>
            <w:tcW w:w="833" w:type="pct"/>
          </w:tcPr>
          <w:p w14:paraId="37683FA4" w14:textId="22E58CE0"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Gerschoniter</w:t>
            </w:r>
          </w:p>
        </w:tc>
        <w:tc>
          <w:tcPr>
            <w:tcW w:w="833" w:type="pct"/>
          </w:tcPr>
          <w:p w14:paraId="355E58CF" w14:textId="264DC252"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Merariter</w:t>
            </w:r>
          </w:p>
        </w:tc>
        <w:tc>
          <w:tcPr>
            <w:tcW w:w="973" w:type="pct"/>
          </w:tcPr>
          <w:p w14:paraId="7F81DC0E" w14:textId="33471290"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Summe</w:t>
            </w:r>
          </w:p>
        </w:tc>
        <w:tc>
          <w:tcPr>
            <w:tcW w:w="696" w:type="pct"/>
          </w:tcPr>
          <w:p w14:paraId="33E403A4" w14:textId="256DB4F2"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Differenz</w:t>
            </w:r>
          </w:p>
        </w:tc>
      </w:tr>
      <w:tr w:rsidR="00FE103E" w14:paraId="69957FC7" w14:textId="77777777" w:rsidTr="00FE103E">
        <w:tc>
          <w:tcPr>
            <w:tcW w:w="833" w:type="pct"/>
          </w:tcPr>
          <w:p w14:paraId="55F01C40" w14:textId="600CC26E"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MT</w:t>
            </w:r>
          </w:p>
        </w:tc>
        <w:tc>
          <w:tcPr>
            <w:tcW w:w="833" w:type="pct"/>
          </w:tcPr>
          <w:p w14:paraId="7778AB79" w14:textId="507161E0"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8.600</w:t>
            </w:r>
          </w:p>
        </w:tc>
        <w:tc>
          <w:tcPr>
            <w:tcW w:w="833" w:type="pct"/>
          </w:tcPr>
          <w:p w14:paraId="6B573432" w14:textId="3E0A3323"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7.500</w:t>
            </w:r>
          </w:p>
        </w:tc>
        <w:tc>
          <w:tcPr>
            <w:tcW w:w="833" w:type="pct"/>
          </w:tcPr>
          <w:p w14:paraId="0B7A4A18" w14:textId="73B4BCF9"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6.200</w:t>
            </w:r>
          </w:p>
        </w:tc>
        <w:tc>
          <w:tcPr>
            <w:tcW w:w="973" w:type="pct"/>
          </w:tcPr>
          <w:p w14:paraId="6D792BCB" w14:textId="351067F9"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22.300</w:t>
            </w:r>
          </w:p>
        </w:tc>
        <w:tc>
          <w:tcPr>
            <w:tcW w:w="696" w:type="pct"/>
          </w:tcPr>
          <w:p w14:paraId="5C9209F9" w14:textId="717F37BA"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+300</w:t>
            </w:r>
          </w:p>
        </w:tc>
      </w:tr>
      <w:tr w:rsidR="00FE103E" w14:paraId="74035DB8" w14:textId="77777777" w:rsidTr="00FE103E">
        <w:tc>
          <w:tcPr>
            <w:tcW w:w="833" w:type="pct"/>
          </w:tcPr>
          <w:p w14:paraId="2753EBD5" w14:textId="1F531284"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V. 39</w:t>
            </w:r>
          </w:p>
        </w:tc>
        <w:tc>
          <w:tcPr>
            <w:tcW w:w="833" w:type="pct"/>
          </w:tcPr>
          <w:p w14:paraId="598B0B7E" w14:textId="77777777" w:rsidR="00FE103E" w:rsidRDefault="00FE103E" w:rsidP="00AC36A5">
            <w:pPr>
              <w:spacing w:before="100" w:beforeAutospacing="1" w:after="100" w:afterAutospacing="1" w:line="240" w:lineRule="auto"/>
              <w:rPr>
                <w:rFonts w:eastAsia="Times New Roman" w:cs="Times New Roman"/>
                <w:lang w:eastAsia="de-DE"/>
              </w:rPr>
            </w:pPr>
          </w:p>
        </w:tc>
        <w:tc>
          <w:tcPr>
            <w:tcW w:w="833" w:type="pct"/>
          </w:tcPr>
          <w:p w14:paraId="4644B4B1" w14:textId="77777777" w:rsidR="00FE103E" w:rsidRDefault="00FE103E" w:rsidP="00AC36A5">
            <w:pPr>
              <w:spacing w:before="100" w:beforeAutospacing="1" w:after="100" w:afterAutospacing="1" w:line="240" w:lineRule="auto"/>
              <w:rPr>
                <w:rFonts w:eastAsia="Times New Roman" w:cs="Times New Roman"/>
                <w:lang w:eastAsia="de-DE"/>
              </w:rPr>
            </w:pPr>
          </w:p>
        </w:tc>
        <w:tc>
          <w:tcPr>
            <w:tcW w:w="833" w:type="pct"/>
          </w:tcPr>
          <w:p w14:paraId="54D4D4EC" w14:textId="77777777" w:rsidR="00FE103E" w:rsidRDefault="00FE103E" w:rsidP="00AC36A5">
            <w:pPr>
              <w:spacing w:before="100" w:beforeAutospacing="1" w:after="100" w:afterAutospacing="1" w:line="240" w:lineRule="auto"/>
              <w:rPr>
                <w:rFonts w:eastAsia="Times New Roman" w:cs="Times New Roman"/>
                <w:lang w:eastAsia="de-DE"/>
              </w:rPr>
            </w:pPr>
          </w:p>
        </w:tc>
        <w:tc>
          <w:tcPr>
            <w:tcW w:w="973" w:type="pct"/>
          </w:tcPr>
          <w:p w14:paraId="03F94DC9" w14:textId="6A3CE5D8"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22.000</w:t>
            </w:r>
          </w:p>
        </w:tc>
        <w:tc>
          <w:tcPr>
            <w:tcW w:w="696" w:type="pct"/>
          </w:tcPr>
          <w:p w14:paraId="0E29C8A7" w14:textId="3889DF0B"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w:t>
            </w:r>
          </w:p>
        </w:tc>
      </w:tr>
      <w:tr w:rsidR="00FE103E" w14:paraId="6B62AE4A" w14:textId="77777777" w:rsidTr="00FE103E">
        <w:tc>
          <w:tcPr>
            <w:tcW w:w="833" w:type="pct"/>
          </w:tcPr>
          <w:p w14:paraId="402F5EBE" w14:textId="738E3AA0"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Sam. Pent.</w:t>
            </w:r>
          </w:p>
        </w:tc>
        <w:tc>
          <w:tcPr>
            <w:tcW w:w="833" w:type="pct"/>
          </w:tcPr>
          <w:p w14:paraId="74528573" w14:textId="3A3899E0"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8.300</w:t>
            </w:r>
          </w:p>
        </w:tc>
        <w:tc>
          <w:tcPr>
            <w:tcW w:w="833" w:type="pct"/>
          </w:tcPr>
          <w:p w14:paraId="1CD6723C" w14:textId="551F8B70"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7.500</w:t>
            </w:r>
          </w:p>
        </w:tc>
        <w:tc>
          <w:tcPr>
            <w:tcW w:w="833" w:type="pct"/>
          </w:tcPr>
          <w:p w14:paraId="69E9192C" w14:textId="48F0F656"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6.200</w:t>
            </w:r>
          </w:p>
        </w:tc>
        <w:tc>
          <w:tcPr>
            <w:tcW w:w="973" w:type="pct"/>
          </w:tcPr>
          <w:p w14:paraId="2E77A1B9" w14:textId="224437E1"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22.000</w:t>
            </w:r>
          </w:p>
        </w:tc>
        <w:tc>
          <w:tcPr>
            <w:tcW w:w="696" w:type="pct"/>
          </w:tcPr>
          <w:p w14:paraId="3E840FE6" w14:textId="1C3E883C"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0</w:t>
            </w:r>
          </w:p>
        </w:tc>
      </w:tr>
      <w:tr w:rsidR="00FE103E" w14:paraId="531413B0" w14:textId="77777777" w:rsidTr="00FE103E">
        <w:tc>
          <w:tcPr>
            <w:tcW w:w="833" w:type="pct"/>
          </w:tcPr>
          <w:p w14:paraId="43C52E84" w14:textId="2B27F94D"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LXX</w:t>
            </w:r>
          </w:p>
        </w:tc>
        <w:tc>
          <w:tcPr>
            <w:tcW w:w="833" w:type="pct"/>
          </w:tcPr>
          <w:p w14:paraId="7E964B80" w14:textId="5443CDB3"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8.600</w:t>
            </w:r>
          </w:p>
        </w:tc>
        <w:tc>
          <w:tcPr>
            <w:tcW w:w="833" w:type="pct"/>
          </w:tcPr>
          <w:p w14:paraId="66DB6DA0" w14:textId="62BBF0A0" w:rsidR="00FE103E" w:rsidRDefault="00FE103E"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7.500</w:t>
            </w:r>
          </w:p>
        </w:tc>
        <w:tc>
          <w:tcPr>
            <w:tcW w:w="833" w:type="pct"/>
          </w:tcPr>
          <w:p w14:paraId="0B098458" w14:textId="2BA479A7"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6.200</w:t>
            </w:r>
          </w:p>
        </w:tc>
        <w:tc>
          <w:tcPr>
            <w:tcW w:w="973" w:type="pct"/>
          </w:tcPr>
          <w:p w14:paraId="0726E90E" w14:textId="27C21362"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22.000 (V. 39)</w:t>
            </w:r>
          </w:p>
        </w:tc>
        <w:tc>
          <w:tcPr>
            <w:tcW w:w="696" w:type="pct"/>
          </w:tcPr>
          <w:p w14:paraId="7AC783B1" w14:textId="08FDCBFB" w:rsidR="00FE103E" w:rsidRDefault="00FE103E"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+300</w:t>
            </w:r>
          </w:p>
        </w:tc>
      </w:tr>
    </w:tbl>
    <w:p w14:paraId="6FB7570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elliptischen Satz mit präpositionaler Spezifikation, Zahlenangabe und charakterisierender partizipialer Erweiterung.</w:t>
      </w:r>
    </w:p>
    <w:p w14:paraId="67923AD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Dieser Vers gibt die höchste levitische Teilgruppenzahl an und betont durch die spezielle Bezeichnung "Hüter des Heiligtums" die herausragende Stellung der Kehatiter.</w:t>
      </w:r>
    </w:p>
    <w:p w14:paraId="6FE9781E"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3,29</w:t>
      </w:r>
    </w:p>
    <w:p w14:paraId="6AB2017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מִשְׁפְּחֹ֥ת בְּנֵי־קְהָ֖ת יַחֲנ֑וּ עַ֛ל יֶ֥רֶךְ הַמִּשְׁכָּ֖ן תֵּימָֽנָה׃</w:t>
      </w:r>
    </w:p>
    <w:p w14:paraId="49EE57A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Die Familien der Söhne Kehats lagerten an der Seite der Wohnung nach Süden.</w:t>
      </w:r>
    </w:p>
    <w:p w14:paraId="57A517A0"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054470EE">
          <v:rect id="_x0000_i1141" style="width:0;height:1.5pt" o:hralign="center" o:hrstd="t" o:hr="t" fillcolor="#a0a0a0" stroked="f"/>
        </w:pict>
      </w:r>
    </w:p>
    <w:p w14:paraId="73884849" w14:textId="5A1F8E0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מִשְׁפְּחֹת בְּנֵי־קְהָת</w:t>
      </w:r>
      <w:r w:rsidRPr="00AC36A5">
        <w:rPr>
          <w:rFonts w:eastAsia="Times New Roman" w:cs="Times New Roman"/>
          <w:rtl/>
          <w:lang w:eastAsia="de-DE"/>
        </w:rPr>
        <w:t xml:space="preserve"> </w:t>
      </w:r>
      <w:r w:rsidRPr="00AC36A5">
        <w:rPr>
          <w:rFonts w:eastAsia="Times New Roman" w:cs="Times New Roman"/>
          <w:lang w:eastAsia="de-DE"/>
        </w:rPr>
        <w:t xml:space="preserve">(Familien der Söhne Kehats) fungiert als kollektives Subjekt. Das Verb </w:t>
      </w:r>
      <w:r w:rsidRPr="00AC36A5">
        <w:rPr>
          <w:rFonts w:eastAsia="Times New Roman" w:cs="Times New Roman"/>
          <w:b/>
          <w:bCs/>
          <w:rtl/>
          <w:lang w:eastAsia="de-DE"/>
        </w:rPr>
        <w:t>יַחֲנוּ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חנה</w:t>
      </w:r>
      <w:r w:rsidRPr="00AC36A5">
        <w:rPr>
          <w:rFonts w:eastAsia="Times New Roman" w:cs="Times New Roman"/>
          <w:rtl/>
          <w:lang w:eastAsia="de-DE"/>
        </w:rPr>
        <w:t xml:space="preserve"> </w:t>
      </w:r>
      <w:r w:rsidRPr="00AC36A5">
        <w:rPr>
          <w:rFonts w:eastAsia="Times New Roman" w:cs="Times New Roman"/>
          <w:lang w:eastAsia="de-DE"/>
        </w:rPr>
        <w:t>(lagern) im Qal-Imperfekt 3. maskulin Plural zeigt die Lageranordnung.</w:t>
      </w:r>
    </w:p>
    <w:p w14:paraId="4E4A1FB1" w14:textId="20F150C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Ortsbestimmung </w:t>
      </w:r>
      <w:r w:rsidRPr="00AC36A5">
        <w:rPr>
          <w:rFonts w:eastAsia="Times New Roman" w:cs="Times New Roman"/>
          <w:b/>
          <w:bCs/>
          <w:rtl/>
          <w:lang w:eastAsia="de-DE"/>
        </w:rPr>
        <w:t>עַל יֶרֶךְ הַמִּשְׁכָּן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עַל</w:t>
      </w:r>
      <w:r w:rsidRPr="00AC36A5">
        <w:rPr>
          <w:rFonts w:eastAsia="Times New Roman" w:cs="Times New Roman"/>
          <w:rtl/>
          <w:lang w:eastAsia="de-DE"/>
        </w:rPr>
        <w:t xml:space="preserve"> </w:t>
      </w:r>
      <w:r w:rsidRPr="00AC36A5">
        <w:rPr>
          <w:rFonts w:eastAsia="Times New Roman" w:cs="Times New Roman"/>
          <w:lang w:eastAsia="de-DE"/>
        </w:rPr>
        <w:t xml:space="preserve">(an/bei) und </w:t>
      </w:r>
      <w:r w:rsidRPr="00AC36A5">
        <w:rPr>
          <w:rFonts w:eastAsia="Times New Roman" w:cs="Times New Roman"/>
          <w:b/>
          <w:bCs/>
          <w:rtl/>
          <w:lang w:eastAsia="de-DE"/>
        </w:rPr>
        <w:t>יֶרֶךְ</w:t>
      </w:r>
      <w:r w:rsidRPr="00AC36A5">
        <w:rPr>
          <w:rFonts w:eastAsia="Times New Roman" w:cs="Times New Roman"/>
          <w:rtl/>
          <w:lang w:eastAsia="de-DE"/>
        </w:rPr>
        <w:t xml:space="preserve"> </w:t>
      </w:r>
      <w:r w:rsidRPr="00AC36A5">
        <w:rPr>
          <w:rFonts w:eastAsia="Times New Roman" w:cs="Times New Roman"/>
          <w:lang w:eastAsia="de-DE"/>
        </w:rPr>
        <w:t xml:space="preserve">(Seite/Hüfte)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הַמִּשְׁכָּן</w:t>
      </w:r>
      <w:r w:rsidRPr="00AC36A5">
        <w:rPr>
          <w:rFonts w:eastAsia="Times New Roman" w:cs="Times New Roman"/>
          <w:rtl/>
          <w:lang w:eastAsia="de-DE"/>
        </w:rPr>
        <w:t xml:space="preserve"> </w:t>
      </w:r>
      <w:r w:rsidRPr="00AC36A5">
        <w:rPr>
          <w:rFonts w:eastAsia="Times New Roman" w:cs="Times New Roman"/>
          <w:lang w:eastAsia="de-DE"/>
        </w:rPr>
        <w:t xml:space="preserve">zeigt die unmittelbare Nähe zur Stiftshütte. </w:t>
      </w:r>
      <w:r w:rsidRPr="00AC36A5">
        <w:rPr>
          <w:rFonts w:eastAsia="Times New Roman" w:cs="Times New Roman"/>
          <w:b/>
          <w:bCs/>
          <w:rtl/>
          <w:lang w:eastAsia="de-DE"/>
        </w:rPr>
        <w:t>יֶרֶךְ</w:t>
      </w:r>
      <w:r w:rsidRPr="00AC36A5">
        <w:rPr>
          <w:rFonts w:eastAsia="Times New Roman" w:cs="Times New Roman"/>
          <w:rtl/>
          <w:lang w:eastAsia="de-DE"/>
        </w:rPr>
        <w:t xml:space="preserve"> </w:t>
      </w:r>
      <w:r w:rsidRPr="00AC36A5">
        <w:rPr>
          <w:rFonts w:eastAsia="Times New Roman" w:cs="Times New Roman"/>
          <w:lang w:eastAsia="de-DE"/>
        </w:rPr>
        <w:t>bezeichnet ursprünglich die Hüfte/Lende und wird hier für die Seitenfläche verwendet.</w:t>
      </w:r>
    </w:p>
    <w:p w14:paraId="0CAE96D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Richtungsangabe </w:t>
      </w:r>
      <w:r w:rsidRPr="00AC36A5">
        <w:rPr>
          <w:rFonts w:eastAsia="Times New Roman" w:cs="Times New Roman"/>
          <w:b/>
          <w:bCs/>
          <w:rtl/>
          <w:lang w:eastAsia="de-DE"/>
        </w:rPr>
        <w:t>תֵּימָנָה</w:t>
      </w:r>
      <w:r w:rsidRPr="00AC36A5">
        <w:rPr>
          <w:rFonts w:eastAsia="Times New Roman" w:cs="Times New Roman"/>
          <w:rtl/>
          <w:lang w:eastAsia="de-DE"/>
        </w:rPr>
        <w:t xml:space="preserve"> </w:t>
      </w:r>
      <w:r w:rsidRPr="00AC36A5">
        <w:rPr>
          <w:rFonts w:eastAsia="Times New Roman" w:cs="Times New Roman"/>
          <w:lang w:eastAsia="de-DE"/>
        </w:rPr>
        <w:t xml:space="preserve">(südlich/nach Süden) von der Wurzel </w:t>
      </w:r>
      <w:r w:rsidRPr="00AC36A5">
        <w:rPr>
          <w:rFonts w:eastAsia="Times New Roman" w:cs="Times New Roman"/>
          <w:b/>
          <w:bCs/>
          <w:rtl/>
          <w:lang w:eastAsia="de-DE"/>
        </w:rPr>
        <w:t>ימן</w:t>
      </w:r>
      <w:r w:rsidRPr="00AC36A5">
        <w:rPr>
          <w:rFonts w:eastAsia="Times New Roman" w:cs="Times New Roman"/>
          <w:rtl/>
          <w:lang w:eastAsia="de-DE"/>
        </w:rPr>
        <w:t xml:space="preserve"> </w:t>
      </w:r>
      <w:r w:rsidRPr="00AC36A5">
        <w:rPr>
          <w:rFonts w:eastAsia="Times New Roman" w:cs="Times New Roman"/>
          <w:lang w:eastAsia="de-DE"/>
        </w:rPr>
        <w:t>(rechts/Süden) lokalisiert die Kehatiter auf der Südseite des Heiligtums.</w:t>
      </w:r>
    </w:p>
    <w:p w14:paraId="20DE02F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δῆμοι υἱῶν Κααθ παρεμβαλοῦσιν ἐκ πλαγίων τῆς σκηνῆς κατὰ λίβα und verwendet κατὰ λίβα (nach Südwest) für </w:t>
      </w:r>
      <w:r w:rsidRPr="00AC36A5">
        <w:rPr>
          <w:rFonts w:eastAsia="Times New Roman" w:cs="Times New Roman"/>
          <w:b/>
          <w:bCs/>
          <w:rtl/>
          <w:lang w:eastAsia="de-DE"/>
        </w:rPr>
        <w:t>תֵּימָנָה</w:t>
      </w:r>
      <w:r w:rsidRPr="00AC36A5">
        <w:rPr>
          <w:rFonts w:eastAsia="Times New Roman" w:cs="Times New Roman"/>
          <w:lang w:eastAsia="de-DE"/>
        </w:rPr>
        <w:t>.</w:t>
      </w:r>
    </w:p>
    <w:p w14:paraId="0024621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Verbalsatz mit kollektivem Subjekt und präpositionaler Orts- und Richtungsbestimmung.</w:t>
      </w:r>
    </w:p>
    <w:p w14:paraId="0ED32A0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positioniert die Kehatiter an der prestigeträchtigen Südseite der Stiftshütte, was ihre besondere Nähe zum Heiligtum unterstreicht.</w:t>
      </w:r>
    </w:p>
    <w:p w14:paraId="56010293"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3,30</w:t>
      </w:r>
    </w:p>
    <w:p w14:paraId="7FCC9F0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וּנְשִׂ֥יא בֵֽית־אָ֖ב לְמִשְׁפְּחֹ֣ת הַקְּהָתִ֑י אֶלִיצָפָ֖ן בֶּן־עֻזִּיאֵֽל׃</w:t>
      </w:r>
    </w:p>
    <w:p w14:paraId="67FE4CA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Fürst des Vaterhauses der Familien des Kehati war Elizafan, Sohn des Usi'el.</w:t>
      </w:r>
    </w:p>
    <w:p w14:paraId="21CF6CA0"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DAD1E59">
          <v:rect id="_x0000_i1142" style="width:0;height:1.5pt" o:hralign="center" o:hrstd="t" o:hr="t" fillcolor="#a0a0a0" stroked="f"/>
        </w:pict>
      </w:r>
    </w:p>
    <w:p w14:paraId="2D86F451" w14:textId="211BEE0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Substantiv </w:t>
      </w:r>
      <w:r w:rsidRPr="00AC36A5">
        <w:rPr>
          <w:rFonts w:eastAsia="Times New Roman" w:cs="Times New Roman"/>
          <w:b/>
          <w:bCs/>
          <w:rtl/>
          <w:lang w:eastAsia="de-DE"/>
        </w:rPr>
        <w:t>וּנְשִׂיא</w:t>
      </w:r>
      <w:r w:rsidRPr="00AC36A5">
        <w:rPr>
          <w:rFonts w:eastAsia="Times New Roman" w:cs="Times New Roman"/>
          <w:rtl/>
          <w:lang w:eastAsia="de-DE"/>
        </w:rPr>
        <w:t xml:space="preserve"> </w:t>
      </w:r>
      <w:r w:rsidRPr="00AC36A5">
        <w:rPr>
          <w:rFonts w:eastAsia="Times New Roman" w:cs="Times New Roman"/>
          <w:lang w:eastAsia="de-DE"/>
        </w:rPr>
        <w:t xml:space="preserve">(und der Fürst) mit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בֵית־אָב לְמִשְׁפְּחֹת הַקְּהָתִי</w:t>
      </w:r>
      <w:r w:rsidRPr="00AC36A5">
        <w:rPr>
          <w:rFonts w:eastAsia="Times New Roman" w:cs="Times New Roman"/>
          <w:rtl/>
          <w:lang w:eastAsia="de-DE"/>
        </w:rPr>
        <w:t xml:space="preserve"> </w:t>
      </w:r>
      <w:r w:rsidRPr="00AC36A5">
        <w:rPr>
          <w:rFonts w:eastAsia="Times New Roman" w:cs="Times New Roman"/>
          <w:lang w:eastAsia="de-DE"/>
        </w:rPr>
        <w:t xml:space="preserve">zeigt die Führungsstruktur. </w:t>
      </w:r>
      <w:r w:rsidRPr="00AC36A5">
        <w:rPr>
          <w:rFonts w:eastAsia="Times New Roman" w:cs="Times New Roman"/>
          <w:b/>
          <w:bCs/>
          <w:rtl/>
          <w:lang w:eastAsia="de-DE"/>
        </w:rPr>
        <w:t>לְמִשְׁפְּחֹת הַקְּהָתִי</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 xml:space="preserve">und der kollektiven Gentilizform </w:t>
      </w:r>
      <w:r w:rsidRPr="00AC36A5">
        <w:rPr>
          <w:rFonts w:eastAsia="Times New Roman" w:cs="Times New Roman"/>
          <w:b/>
          <w:bCs/>
          <w:rtl/>
          <w:lang w:eastAsia="de-DE"/>
        </w:rPr>
        <w:t>הַקְּהָתִי</w:t>
      </w:r>
      <w:r w:rsidRPr="00AC36A5">
        <w:rPr>
          <w:rFonts w:eastAsia="Times New Roman" w:cs="Times New Roman"/>
          <w:rtl/>
          <w:lang w:eastAsia="de-DE"/>
        </w:rPr>
        <w:t xml:space="preserve"> </w:t>
      </w:r>
      <w:r w:rsidRPr="00AC36A5">
        <w:rPr>
          <w:rFonts w:eastAsia="Times New Roman" w:cs="Times New Roman"/>
          <w:lang w:eastAsia="de-DE"/>
        </w:rPr>
        <w:t>(der Kehatiter) spezifiziert die Zuständigkeit.</w:t>
      </w:r>
    </w:p>
    <w:p w14:paraId="2D57982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Eigenname </w:t>
      </w:r>
      <w:r w:rsidRPr="00AC36A5">
        <w:rPr>
          <w:rFonts w:eastAsia="Times New Roman" w:cs="Times New Roman"/>
          <w:b/>
          <w:bCs/>
          <w:rtl/>
          <w:lang w:eastAsia="de-DE"/>
        </w:rPr>
        <w:t>אֶלִיצָפָן</w:t>
      </w:r>
      <w:r w:rsidRPr="00AC36A5">
        <w:rPr>
          <w:rFonts w:eastAsia="Times New Roman" w:cs="Times New Roman"/>
          <w:rtl/>
          <w:lang w:eastAsia="de-DE"/>
        </w:rPr>
        <w:t xml:space="preserve"> </w:t>
      </w:r>
      <w:r w:rsidRPr="00AC36A5">
        <w:rPr>
          <w:rFonts w:eastAsia="Times New Roman" w:cs="Times New Roman"/>
          <w:lang w:eastAsia="de-DE"/>
        </w:rPr>
        <w:t xml:space="preserve">ist ein theophorer Name, gebildet aus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 xml:space="preserve">(Gott) und </w:t>
      </w:r>
      <w:r w:rsidRPr="00AC36A5">
        <w:rPr>
          <w:rFonts w:eastAsia="Times New Roman" w:cs="Times New Roman"/>
          <w:b/>
          <w:bCs/>
          <w:rtl/>
          <w:lang w:eastAsia="de-DE"/>
        </w:rPr>
        <w:t>צפן</w:t>
      </w:r>
      <w:r w:rsidRPr="00AC36A5">
        <w:rPr>
          <w:rFonts w:eastAsia="Times New Roman" w:cs="Times New Roman"/>
          <w:rtl/>
          <w:lang w:eastAsia="de-DE"/>
        </w:rPr>
        <w:t xml:space="preserve"> </w:t>
      </w:r>
      <w:r w:rsidRPr="00AC36A5">
        <w:rPr>
          <w:rFonts w:eastAsia="Times New Roman" w:cs="Times New Roman"/>
          <w:lang w:eastAsia="de-DE"/>
        </w:rPr>
        <w:t xml:space="preserve">(verbergen/schützen) mit der Bedeutung "Gott hat verborgen/geschützt". Die patronymische Formel </w:t>
      </w:r>
      <w:r w:rsidRPr="00AC36A5">
        <w:rPr>
          <w:rFonts w:eastAsia="Times New Roman" w:cs="Times New Roman"/>
          <w:b/>
          <w:bCs/>
          <w:rtl/>
          <w:lang w:eastAsia="de-DE"/>
        </w:rPr>
        <w:t>בֶּן־עֻזִּיאֵל</w:t>
      </w:r>
      <w:r w:rsidRPr="00AC36A5">
        <w:rPr>
          <w:rFonts w:eastAsia="Times New Roman" w:cs="Times New Roman"/>
          <w:rtl/>
          <w:lang w:eastAsia="de-DE"/>
        </w:rPr>
        <w:t xml:space="preserve"> </w:t>
      </w:r>
      <w:r w:rsidRPr="00AC36A5">
        <w:rPr>
          <w:rFonts w:eastAsia="Times New Roman" w:cs="Times New Roman"/>
          <w:lang w:eastAsia="de-DE"/>
        </w:rPr>
        <w:t xml:space="preserve">verweist auf </w:t>
      </w:r>
      <w:r w:rsidRPr="00AC36A5">
        <w:rPr>
          <w:rFonts w:eastAsia="Times New Roman" w:cs="Times New Roman"/>
          <w:b/>
          <w:bCs/>
          <w:rtl/>
          <w:lang w:eastAsia="de-DE"/>
        </w:rPr>
        <w:t>עֻזִּיאֵל</w:t>
      </w:r>
      <w:r w:rsidRPr="00AC36A5">
        <w:rPr>
          <w:rFonts w:eastAsia="Times New Roman" w:cs="Times New Roman"/>
          <w:lang w:eastAsia="de-DE"/>
        </w:rPr>
        <w:t>, einen der vier Söhne Kehats aus Vers 19.</w:t>
      </w:r>
    </w:p>
    <w:p w14:paraId="1473CF2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Bemerkenswert ist, dass nicht ein Nachkomme Amrams, sondern Usiels als Stammesführer fungiert, obwohl aus der Amram-Linie die Priesterfamilie stammt. Dies zeigt die Trennung zwischen priesterlicher und administrativer Führung.</w:t>
      </w:r>
    </w:p>
    <w:p w14:paraId="39DEE89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ὁ ἄρχων οἴκου πατριᾶς δήμων Κααθ Ελισαφαν υἱὸς Οζιηλ und behält die Struktur bei.</w:t>
      </w:r>
    </w:p>
    <w:p w14:paraId="378E4931" w14:textId="54AFFA7B"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einen Nominalsatz mit Subjekt, erweiteter </w:t>
      </w:r>
      <w:r w:rsidR="00F133EC">
        <w:rPr>
          <w:rFonts w:eastAsia="Times New Roman" w:cs="Times New Roman"/>
          <w:lang w:eastAsia="de-DE"/>
        </w:rPr>
        <w:t>Construct</w:t>
      </w:r>
      <w:r w:rsidRPr="00AC36A5">
        <w:rPr>
          <w:rFonts w:eastAsia="Times New Roman" w:cs="Times New Roman"/>
          <w:lang w:eastAsia="de-DE"/>
        </w:rPr>
        <w:t>verbindung zur Zuständigkeitsangabe und patronymischer Identifikation.</w:t>
      </w:r>
    </w:p>
    <w:p w14:paraId="689AB03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Führungsstruktur der Kehatiter unter einem Usieliten, was die organisatorische Komplexität der levitischen Hierarchie zeigt.</w:t>
      </w:r>
    </w:p>
    <w:p w14:paraId="47D500E1"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3,31</w:t>
      </w:r>
    </w:p>
    <w:p w14:paraId="518F90F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וּמִשְׁמַרְתָּ֗ם הָאָרֹ֤ן וְהַשֻּׁלְחָן֙ וְהַמְּנֹרָ֣ה וְהַֽמִּזְבְּחֹ֔ת וּכְלֵ֣י הַקֹּ֔דֶשׁ אֲשֶׁ֥ר יְשָׁרְת֖וּ בָּהֶ֑ם וְהַ֨מָּסָ֔ךְ וְכֹ֖ל עֲבֹדָתוֹֽ׃</w:t>
      </w:r>
    </w:p>
    <w:p w14:paraId="0BB9AD7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ihre Aufsicht war die Lade und der Tisch und der Leuchter und die Altäre und die Geräte des Heiligtums, mit denen man den Dienst verrichtet, und der Vorhang und dessen ganzer Dienst.</w:t>
      </w:r>
    </w:p>
    <w:p w14:paraId="6D40CEF3"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5720589">
          <v:rect id="_x0000_i1143" style="width:0;height:1.5pt" o:hralign="center" o:hrstd="t" o:hr="t" fillcolor="#a0a0a0" stroked="f"/>
        </w:pict>
      </w:r>
    </w:p>
    <w:p w14:paraId="6A5031D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Substantiv </w:t>
      </w:r>
      <w:r w:rsidRPr="00AC36A5">
        <w:rPr>
          <w:rFonts w:eastAsia="Times New Roman" w:cs="Times New Roman"/>
          <w:b/>
          <w:bCs/>
          <w:rtl/>
          <w:lang w:eastAsia="de-DE"/>
        </w:rPr>
        <w:t>וּמִשְׁמַרְתָּם</w:t>
      </w:r>
      <w:r w:rsidRPr="00AC36A5">
        <w:rPr>
          <w:rFonts w:eastAsia="Times New Roman" w:cs="Times New Roman"/>
          <w:rtl/>
          <w:lang w:eastAsia="de-DE"/>
        </w:rPr>
        <w:t xml:space="preserve"> </w:t>
      </w:r>
      <w:r w:rsidRPr="00AC36A5">
        <w:rPr>
          <w:rFonts w:eastAsia="Times New Roman" w:cs="Times New Roman"/>
          <w:lang w:eastAsia="de-DE"/>
        </w:rPr>
        <w:t xml:space="preserve">(und ihre Aufsicht) mit Possessivsuffix 3. maskulin Plural leitet die Aufgabenbeschreibung der Kehatiter ein. Die koordinierte Aufzählung zeigt die heiligsten Kultgegenstände: </w:t>
      </w:r>
      <w:r w:rsidRPr="00AC36A5">
        <w:rPr>
          <w:rFonts w:eastAsia="Times New Roman" w:cs="Times New Roman"/>
          <w:b/>
          <w:bCs/>
          <w:rtl/>
          <w:lang w:eastAsia="de-DE"/>
        </w:rPr>
        <w:t>הָאָרֹן</w:t>
      </w:r>
      <w:r w:rsidRPr="00AC36A5">
        <w:rPr>
          <w:rFonts w:eastAsia="Times New Roman" w:cs="Times New Roman"/>
          <w:rtl/>
          <w:lang w:eastAsia="de-DE"/>
        </w:rPr>
        <w:t xml:space="preserve"> </w:t>
      </w:r>
      <w:r w:rsidRPr="00AC36A5">
        <w:rPr>
          <w:rFonts w:eastAsia="Times New Roman" w:cs="Times New Roman"/>
          <w:lang w:eastAsia="de-DE"/>
        </w:rPr>
        <w:t xml:space="preserve">(die Lade), </w:t>
      </w:r>
      <w:r w:rsidRPr="00AC36A5">
        <w:rPr>
          <w:rFonts w:eastAsia="Times New Roman" w:cs="Times New Roman"/>
          <w:b/>
          <w:bCs/>
          <w:rtl/>
          <w:lang w:eastAsia="de-DE"/>
        </w:rPr>
        <w:t>הַשֻּׁלְחָן</w:t>
      </w:r>
      <w:r w:rsidRPr="00AC36A5">
        <w:rPr>
          <w:rFonts w:eastAsia="Times New Roman" w:cs="Times New Roman"/>
          <w:rtl/>
          <w:lang w:eastAsia="de-DE"/>
        </w:rPr>
        <w:t xml:space="preserve"> </w:t>
      </w:r>
      <w:r w:rsidRPr="00AC36A5">
        <w:rPr>
          <w:rFonts w:eastAsia="Times New Roman" w:cs="Times New Roman"/>
          <w:lang w:eastAsia="de-DE"/>
        </w:rPr>
        <w:t xml:space="preserve">(der Tisch), </w:t>
      </w:r>
      <w:r w:rsidRPr="00AC36A5">
        <w:rPr>
          <w:rFonts w:eastAsia="Times New Roman" w:cs="Times New Roman"/>
          <w:b/>
          <w:bCs/>
          <w:rtl/>
          <w:lang w:eastAsia="de-DE"/>
        </w:rPr>
        <w:t>הַמְּנֹרָה</w:t>
      </w:r>
      <w:r w:rsidRPr="00AC36A5">
        <w:rPr>
          <w:rFonts w:eastAsia="Times New Roman" w:cs="Times New Roman"/>
          <w:rtl/>
          <w:lang w:eastAsia="de-DE"/>
        </w:rPr>
        <w:t xml:space="preserve"> </w:t>
      </w:r>
      <w:r w:rsidRPr="00AC36A5">
        <w:rPr>
          <w:rFonts w:eastAsia="Times New Roman" w:cs="Times New Roman"/>
          <w:lang w:eastAsia="de-DE"/>
        </w:rPr>
        <w:t xml:space="preserve">(der Leuchter) und </w:t>
      </w:r>
      <w:r w:rsidRPr="00AC36A5">
        <w:rPr>
          <w:rFonts w:eastAsia="Times New Roman" w:cs="Times New Roman"/>
          <w:b/>
          <w:bCs/>
          <w:rtl/>
          <w:lang w:eastAsia="de-DE"/>
        </w:rPr>
        <w:t>הַמִּזְבְּחֹת</w:t>
      </w:r>
      <w:r w:rsidRPr="00AC36A5">
        <w:rPr>
          <w:rFonts w:eastAsia="Times New Roman" w:cs="Times New Roman"/>
          <w:rtl/>
          <w:lang w:eastAsia="de-DE"/>
        </w:rPr>
        <w:t xml:space="preserve"> </w:t>
      </w:r>
      <w:r w:rsidRPr="00AC36A5">
        <w:rPr>
          <w:rFonts w:eastAsia="Times New Roman" w:cs="Times New Roman"/>
          <w:lang w:eastAsia="de-DE"/>
        </w:rPr>
        <w:t>(die Altäre, Plural).</w:t>
      </w:r>
    </w:p>
    <w:p w14:paraId="2195F993" w14:textId="08F9E33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erweiternde Phrase </w:t>
      </w:r>
      <w:r w:rsidRPr="00AC36A5">
        <w:rPr>
          <w:rFonts w:eastAsia="Times New Roman" w:cs="Times New Roman"/>
          <w:b/>
          <w:bCs/>
          <w:rtl/>
          <w:lang w:eastAsia="de-DE"/>
        </w:rPr>
        <w:t>וּכְלֵי הַקֹּדֶשׁ אֲשֶׁר יְשָׁרְתוּ בָּהֶם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כְלֵי הַקֹּדֶשׁ</w:t>
      </w:r>
      <w:r w:rsidRPr="00AC36A5">
        <w:rPr>
          <w:rFonts w:eastAsia="Times New Roman" w:cs="Times New Roman"/>
          <w:rtl/>
          <w:lang w:eastAsia="de-DE"/>
        </w:rPr>
        <w:t xml:space="preserve"> </w:t>
      </w:r>
      <w:r w:rsidRPr="00AC36A5">
        <w:rPr>
          <w:rFonts w:eastAsia="Times New Roman" w:cs="Times New Roman"/>
          <w:lang w:eastAsia="de-DE"/>
        </w:rPr>
        <w:t xml:space="preserve">(Geräte des Heiligtums) im </w:t>
      </w:r>
      <w:r w:rsidR="00F133EC">
        <w:rPr>
          <w:rFonts w:eastAsia="Times New Roman" w:cs="Times New Roman"/>
          <w:lang w:eastAsia="de-DE"/>
        </w:rPr>
        <w:t>Construct</w:t>
      </w:r>
      <w:r w:rsidRPr="00AC36A5">
        <w:rPr>
          <w:rFonts w:eastAsia="Times New Roman" w:cs="Times New Roman"/>
          <w:lang w:eastAsia="de-DE"/>
        </w:rPr>
        <w:t xml:space="preserve"> und dem Relativsatz </w:t>
      </w:r>
      <w:r w:rsidRPr="00AC36A5">
        <w:rPr>
          <w:rFonts w:eastAsia="Times New Roman" w:cs="Times New Roman"/>
          <w:b/>
          <w:bCs/>
          <w:rtl/>
          <w:lang w:eastAsia="de-DE"/>
        </w:rPr>
        <w:t>אֲשֶׁר יְשָׁרְתוּ בָּהֶם</w:t>
      </w:r>
      <w:r w:rsidRPr="00AC36A5">
        <w:rPr>
          <w:rFonts w:eastAsia="Times New Roman" w:cs="Times New Roman"/>
          <w:rtl/>
          <w:lang w:eastAsia="de-DE"/>
        </w:rPr>
        <w:t xml:space="preserve"> </w:t>
      </w:r>
      <w:r w:rsidRPr="00AC36A5">
        <w:rPr>
          <w:rFonts w:eastAsia="Times New Roman" w:cs="Times New Roman"/>
          <w:lang w:eastAsia="de-DE"/>
        </w:rPr>
        <w:t xml:space="preserve">zeigt </w:t>
      </w:r>
      <w:r w:rsidRPr="00AC36A5">
        <w:rPr>
          <w:rFonts w:eastAsia="Times New Roman" w:cs="Times New Roman"/>
          <w:b/>
          <w:bCs/>
          <w:rtl/>
          <w:lang w:eastAsia="de-DE"/>
        </w:rPr>
        <w:t>יְשָׁרְתוּ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שרת</w:t>
      </w:r>
      <w:r w:rsidRPr="00AC36A5">
        <w:rPr>
          <w:rFonts w:eastAsia="Times New Roman" w:cs="Times New Roman"/>
          <w:rtl/>
          <w:lang w:eastAsia="de-DE"/>
        </w:rPr>
        <w:t xml:space="preserve"> </w:t>
      </w:r>
      <w:r w:rsidRPr="00AC36A5">
        <w:rPr>
          <w:rFonts w:eastAsia="Times New Roman" w:cs="Times New Roman"/>
          <w:lang w:eastAsia="de-DE"/>
        </w:rPr>
        <w:t xml:space="preserve">(dienen) im Pi'el-Imperfekt 3. maskulin Plural mit präpositionalem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plus Suffix "mit denen man dient".</w:t>
      </w:r>
    </w:p>
    <w:p w14:paraId="119453C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וְהַמָּסָךְ וְכֹל עֲבֹדָתוֹ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מָסָךְ</w:t>
      </w:r>
      <w:r w:rsidRPr="00AC36A5">
        <w:rPr>
          <w:rFonts w:eastAsia="Times New Roman" w:cs="Times New Roman"/>
          <w:rtl/>
          <w:lang w:eastAsia="de-DE"/>
        </w:rPr>
        <w:t xml:space="preserve"> </w:t>
      </w:r>
      <w:r w:rsidRPr="00AC36A5">
        <w:rPr>
          <w:rFonts w:eastAsia="Times New Roman" w:cs="Times New Roman"/>
          <w:lang w:eastAsia="de-DE"/>
        </w:rPr>
        <w:t xml:space="preserve">(Vorhang),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(ganz/alle) und </w:t>
      </w:r>
      <w:r w:rsidRPr="00AC36A5">
        <w:rPr>
          <w:rFonts w:eastAsia="Times New Roman" w:cs="Times New Roman"/>
          <w:b/>
          <w:bCs/>
          <w:rtl/>
          <w:lang w:eastAsia="de-DE"/>
        </w:rPr>
        <w:t>עֲבֹדָה</w:t>
      </w:r>
      <w:r w:rsidRPr="00AC36A5">
        <w:rPr>
          <w:rFonts w:eastAsia="Times New Roman" w:cs="Times New Roman"/>
          <w:rtl/>
          <w:lang w:eastAsia="de-DE"/>
        </w:rPr>
        <w:t xml:space="preserve"> </w:t>
      </w:r>
      <w:r w:rsidRPr="00AC36A5">
        <w:rPr>
          <w:rFonts w:eastAsia="Times New Roman" w:cs="Times New Roman"/>
          <w:lang w:eastAsia="de-DE"/>
        </w:rPr>
        <w:t>(Arbeit/Dienst) plus Suffix schließt die Aufzählung ab.</w:t>
      </w:r>
    </w:p>
    <w:p w14:paraId="280F0A8D" w14:textId="77777777" w:rsidR="0064204A" w:rsidRDefault="0064204A" w:rsidP="00AC36A5">
      <w:pPr>
        <w:spacing w:before="100" w:beforeAutospacing="1" w:after="100" w:afterAutospacing="1" w:line="240" w:lineRule="auto"/>
      </w:pPr>
      <w:r>
        <w:rPr>
          <w:rStyle w:val="Fett"/>
        </w:rPr>
        <w:t>Die LXX</w:t>
      </w:r>
      <w:r>
        <w:t xml:space="preserve"> übersetzt </w:t>
      </w:r>
      <w:r w:rsidRPr="0064204A">
        <w:rPr>
          <w:b/>
          <w:bCs/>
          <w:rtl/>
        </w:rPr>
        <w:t>הארן והשלחן והמנרה</w:t>
      </w:r>
      <w:r>
        <w:t xml:space="preserve"> (ha'aron vehasshulchan vehamenorah - "die Lade und der Tisch und der Leuchter") als ἡ κιβωτὸς καὶ ἡ τράπεζα καὶ ἡ λυχνία (die Lade und der Tisch und der Leuchter), wobei κιβωτός ein üblicher griechischer Begriff für die Bundeslade ist.</w:t>
      </w:r>
    </w:p>
    <w:p w14:paraId="7E266328" w14:textId="2ECDCBC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elliptischen Nominalsatz mit koordinierter Aufzählung der heiligsten Kultgegenstände, relativischer Erweiterung und abschließender Zusammenfassung.</w:t>
      </w:r>
    </w:p>
    <w:p w14:paraId="21B7042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Kehatiter als Hüter der heiligsten Kultgegenstände, was ihre zentrale Rolle im Heiligtumsdienst unterstreicht.</w:t>
      </w:r>
    </w:p>
    <w:p w14:paraId="0525FD25"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3,32</w:t>
      </w:r>
    </w:p>
    <w:p w14:paraId="1D6D2CC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Hebräisch:</w:t>
      </w:r>
      <w:r w:rsidRPr="00AC36A5">
        <w:rPr>
          <w:rFonts w:eastAsia="Times New Roman" w:cs="Times New Roman"/>
          <w:lang w:eastAsia="de-DE"/>
        </w:rPr>
        <w:t xml:space="preserve"> </w:t>
      </w:r>
      <w:r w:rsidRPr="00AC36A5">
        <w:rPr>
          <w:rFonts w:eastAsia="Times New Roman" w:cs="Times New Roman"/>
          <w:rtl/>
          <w:lang w:eastAsia="de-DE"/>
        </w:rPr>
        <w:t>וּנְשִׂיא֙ נְשִׂיאֵ֣י הַלֵּוִ֔י אֶלְעָזָ֖ר בֶּן־אַהֲרֹ֣ן הַכֹּהֵ֑ן פְּקֻדַּ֕ת שֹׁמְרֵ֖י מִשְׁמֶ֥רֶת הַקֹּֽדֶשׁ׃</w:t>
      </w:r>
    </w:p>
    <w:p w14:paraId="005C0BA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Fürst der Fürsten Levis war El'asar, der Sohn 'Aharons, des Priesters; er hatte die Aufsicht über die, welche den Dienst am Heiligtum versahen.</w:t>
      </w:r>
    </w:p>
    <w:p w14:paraId="66374647"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24B445D">
          <v:rect id="_x0000_i1144" style="width:0;height:1.5pt" o:hralign="center" o:hrstd="t" o:hr="t" fillcolor="#a0a0a0" stroked="f"/>
        </w:pict>
      </w:r>
    </w:p>
    <w:p w14:paraId="718FF85E" w14:textId="2B08572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superlativische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וּנְשִׂיא נְשִׂיאֵי הַלֵּוִי</w:t>
      </w:r>
      <w:r w:rsidRPr="00AC36A5">
        <w:rPr>
          <w:rFonts w:eastAsia="Times New Roman" w:cs="Times New Roman"/>
          <w:rtl/>
          <w:lang w:eastAsia="de-DE"/>
        </w:rPr>
        <w:t xml:space="preserve"> </w:t>
      </w:r>
      <w:r w:rsidRPr="00AC36A5">
        <w:rPr>
          <w:rFonts w:eastAsia="Times New Roman" w:cs="Times New Roman"/>
          <w:lang w:eastAsia="de-DE"/>
        </w:rPr>
        <w:t xml:space="preserve">(und der Fürst der Fürsten Levis) mit </w:t>
      </w:r>
      <w:r w:rsidRPr="00AC36A5">
        <w:rPr>
          <w:rFonts w:eastAsia="Times New Roman" w:cs="Times New Roman"/>
          <w:b/>
          <w:bCs/>
          <w:rtl/>
          <w:lang w:eastAsia="de-DE"/>
        </w:rPr>
        <w:t>נְשִׂיא</w:t>
      </w:r>
      <w:r w:rsidRPr="00AC36A5">
        <w:rPr>
          <w:rFonts w:eastAsia="Times New Roman" w:cs="Times New Roman"/>
          <w:rtl/>
          <w:lang w:eastAsia="de-DE"/>
        </w:rPr>
        <w:t xml:space="preserve"> </w:t>
      </w:r>
      <w:r w:rsidRPr="00AC36A5">
        <w:rPr>
          <w:rFonts w:eastAsia="Times New Roman" w:cs="Times New Roman"/>
          <w:lang w:eastAsia="de-DE"/>
        </w:rPr>
        <w:t xml:space="preserve">(Fürst)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נְשִׂיאֵי</w:t>
      </w:r>
      <w:r w:rsidRPr="00AC36A5">
        <w:rPr>
          <w:rFonts w:eastAsia="Times New Roman" w:cs="Times New Roman"/>
          <w:rtl/>
          <w:lang w:eastAsia="de-DE"/>
        </w:rPr>
        <w:t xml:space="preserve"> </w:t>
      </w:r>
      <w:r w:rsidRPr="00AC36A5">
        <w:rPr>
          <w:rFonts w:eastAsia="Times New Roman" w:cs="Times New Roman"/>
          <w:lang w:eastAsia="de-DE"/>
        </w:rPr>
        <w:t>(Fürsten von) zeigt Eleasars Oberaufsicht über alle levitischen Untergruppen.</w:t>
      </w:r>
    </w:p>
    <w:p w14:paraId="3B382FE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Identifikation </w:t>
      </w:r>
      <w:r w:rsidRPr="00AC36A5">
        <w:rPr>
          <w:rFonts w:eastAsia="Times New Roman" w:cs="Times New Roman"/>
          <w:b/>
          <w:bCs/>
          <w:rtl/>
          <w:lang w:eastAsia="de-DE"/>
        </w:rPr>
        <w:t>אֶלְעָזָר בֶּן־אַהֲרֹן הַכֹּהֵן</w:t>
      </w:r>
      <w:r w:rsidRPr="00AC36A5">
        <w:rPr>
          <w:rFonts w:eastAsia="Times New Roman" w:cs="Times New Roman"/>
          <w:rtl/>
          <w:lang w:eastAsia="de-DE"/>
        </w:rPr>
        <w:t xml:space="preserve"> </w:t>
      </w:r>
      <w:r w:rsidRPr="00AC36A5">
        <w:rPr>
          <w:rFonts w:eastAsia="Times New Roman" w:cs="Times New Roman"/>
          <w:lang w:eastAsia="de-DE"/>
        </w:rPr>
        <w:t xml:space="preserve">mit der patronymischen Formel und der appositiven Bezeichnung </w:t>
      </w:r>
      <w:r w:rsidRPr="00AC36A5">
        <w:rPr>
          <w:rFonts w:eastAsia="Times New Roman" w:cs="Times New Roman"/>
          <w:b/>
          <w:bCs/>
          <w:rtl/>
          <w:lang w:eastAsia="de-DE"/>
        </w:rPr>
        <w:t>הַכֹּהֵן</w:t>
      </w:r>
      <w:r w:rsidRPr="00AC36A5">
        <w:rPr>
          <w:rFonts w:eastAsia="Times New Roman" w:cs="Times New Roman"/>
          <w:rtl/>
          <w:lang w:eastAsia="de-DE"/>
        </w:rPr>
        <w:t xml:space="preserve"> </w:t>
      </w:r>
      <w:r w:rsidRPr="00AC36A5">
        <w:rPr>
          <w:rFonts w:eastAsia="Times New Roman" w:cs="Times New Roman"/>
          <w:lang w:eastAsia="de-DE"/>
        </w:rPr>
        <w:t>(der Priester) betont die priesterliche Autorität über die Leviten.</w:t>
      </w:r>
    </w:p>
    <w:p w14:paraId="759361A6" w14:textId="7AF1872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פְּקֻדַּת שֹׁמְרֵי מִשְׁמֶרֶת הַקֹּדֶשׁ</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פְּקֻדָּה</w:t>
      </w:r>
      <w:r w:rsidRPr="00AC36A5">
        <w:rPr>
          <w:rFonts w:eastAsia="Times New Roman" w:cs="Times New Roman"/>
          <w:rtl/>
          <w:lang w:eastAsia="de-DE"/>
        </w:rPr>
        <w:t xml:space="preserve"> </w:t>
      </w:r>
      <w:r w:rsidRPr="00AC36A5">
        <w:rPr>
          <w:rFonts w:eastAsia="Times New Roman" w:cs="Times New Roman"/>
          <w:lang w:eastAsia="de-DE"/>
        </w:rPr>
        <w:t xml:space="preserve">(Aufsicht/Musterung), </w:t>
      </w:r>
      <w:r w:rsidRPr="00AC36A5">
        <w:rPr>
          <w:rFonts w:eastAsia="Times New Roman" w:cs="Times New Roman"/>
          <w:b/>
          <w:bCs/>
          <w:rtl/>
          <w:lang w:eastAsia="de-DE"/>
        </w:rPr>
        <w:t>שֹׁמְרֵי</w:t>
      </w:r>
      <w:r w:rsidRPr="00AC36A5">
        <w:rPr>
          <w:rFonts w:eastAsia="Times New Roman" w:cs="Times New Roman"/>
          <w:rtl/>
          <w:lang w:eastAsia="de-DE"/>
        </w:rPr>
        <w:t xml:space="preserve"> </w:t>
      </w:r>
      <w:r w:rsidRPr="00AC36A5">
        <w:rPr>
          <w:rFonts w:eastAsia="Times New Roman" w:cs="Times New Roman"/>
          <w:lang w:eastAsia="de-DE"/>
        </w:rPr>
        <w:t xml:space="preserve">(Hüter von) als Partizip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מִשְׁמֶרֶת הַקֹּדֶשׁ</w:t>
      </w:r>
      <w:r w:rsidRPr="00AC36A5">
        <w:rPr>
          <w:rFonts w:eastAsia="Times New Roman" w:cs="Times New Roman"/>
          <w:rtl/>
          <w:lang w:eastAsia="de-DE"/>
        </w:rPr>
        <w:t xml:space="preserve"> </w:t>
      </w:r>
      <w:r w:rsidRPr="00AC36A5">
        <w:rPr>
          <w:rFonts w:eastAsia="Times New Roman" w:cs="Times New Roman"/>
          <w:lang w:eastAsia="de-DE"/>
        </w:rPr>
        <w:t>(Dienst des Heiligtums) spezifiziert Eleasars Oberaufsicht über die heiligsten Funktionen.</w:t>
      </w:r>
    </w:p>
    <w:p w14:paraId="3216133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ὁ ἄρχων ἀρχόντων Λευι Ελεαζαρ υἱὸς Ααρων τοῦ ἱερέως καθεσταμένος φυλάσσειν τὰς φυλακὰς τῶν ἁγίων und erweitert interpretierend.</w:t>
      </w:r>
    </w:p>
    <w:p w14:paraId="13ED07C5" w14:textId="0C2A9886"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superlativische </w:t>
      </w:r>
      <w:r w:rsidR="00F133EC">
        <w:rPr>
          <w:rFonts w:eastAsia="Times New Roman" w:cs="Times New Roman"/>
          <w:lang w:eastAsia="de-DE"/>
        </w:rPr>
        <w:t>Construct</w:t>
      </w:r>
      <w:r w:rsidRPr="00AC36A5">
        <w:rPr>
          <w:rFonts w:eastAsia="Times New Roman" w:cs="Times New Roman"/>
          <w:lang w:eastAsia="de-DE"/>
        </w:rPr>
        <w:t xml:space="preserve">ion als Subjekt mit patronymischer und appositiver Identifikation, gefolgt von einer </w:t>
      </w:r>
      <w:r w:rsidR="00F133EC">
        <w:rPr>
          <w:rFonts w:eastAsia="Times New Roman" w:cs="Times New Roman"/>
          <w:lang w:eastAsia="de-DE"/>
        </w:rPr>
        <w:t>Construct</w:t>
      </w:r>
      <w:r w:rsidRPr="00AC36A5">
        <w:rPr>
          <w:rFonts w:eastAsia="Times New Roman" w:cs="Times New Roman"/>
          <w:lang w:eastAsia="de-DE"/>
        </w:rPr>
        <w:t>verbindung zur Aufsichtsspezifikation.</w:t>
      </w:r>
    </w:p>
    <w:p w14:paraId="074FC6A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priesterliche Oberaufsicht über alle levitischen Funktionen durch Eleasar als Aarons Sohn und verdeutlicht die hierarchische Struktur zwischen Priestern und Leviten.</w:t>
      </w:r>
    </w:p>
    <w:p w14:paraId="1A854725"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3,33</w:t>
      </w:r>
    </w:p>
    <w:p w14:paraId="060712B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לִמְרָרִ֕י מִשְׁפַּ֨חַת֙ הַמַּחְלִ֔י וּמִשְׁפַּ֖חַת הַמּוּשִׁ֑י אֵ֥לֶּה הֵ֖ם מִשְׁפְּחֹ֥ת מְרָרִֽי׃</w:t>
      </w:r>
    </w:p>
    <w:p w14:paraId="58649EE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Von Merari die Familie des Machli und die Familie des Muschi; dies waren die Familien Meraris.</w:t>
      </w:r>
    </w:p>
    <w:p w14:paraId="27313A98"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C8A9DB1">
          <v:rect id="_x0000_i1145" style="width:0;height:1.5pt" o:hralign="center" o:hrstd="t" o:hr="t" fillcolor="#a0a0a0" stroked="f"/>
        </w:pict>
      </w:r>
    </w:p>
    <w:p w14:paraId="26A1ACEA" w14:textId="4D60130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präpositionale Phrase </w:t>
      </w:r>
      <w:r w:rsidRPr="00AC36A5">
        <w:rPr>
          <w:rFonts w:eastAsia="Times New Roman" w:cs="Times New Roman"/>
          <w:b/>
          <w:bCs/>
          <w:rtl/>
          <w:lang w:eastAsia="de-DE"/>
        </w:rPr>
        <w:t>לִמְרָרִי</w:t>
      </w:r>
      <w:r w:rsidRPr="00AC36A5">
        <w:rPr>
          <w:rFonts w:eastAsia="Times New Roman" w:cs="Times New Roman"/>
          <w:rtl/>
          <w:lang w:eastAsia="de-DE"/>
        </w:rPr>
        <w:t xml:space="preserve"> </w:t>
      </w:r>
      <w:r w:rsidRPr="00AC36A5">
        <w:rPr>
          <w:rFonts w:eastAsia="Times New Roman" w:cs="Times New Roman"/>
          <w:lang w:eastAsia="de-DE"/>
        </w:rPr>
        <w:t xml:space="preserve">(von/zu Merari)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 xml:space="preserve">leitet die Behandlung der dritten levitischen Hauptlinie ein. Die koordinierten </w:t>
      </w:r>
      <w:r w:rsidR="00F133EC">
        <w:rPr>
          <w:rFonts w:eastAsia="Times New Roman" w:cs="Times New Roman"/>
          <w:lang w:eastAsia="de-DE"/>
        </w:rPr>
        <w:t>Construct</w:t>
      </w:r>
      <w:r w:rsidRPr="00AC36A5">
        <w:rPr>
          <w:rFonts w:eastAsia="Times New Roman" w:cs="Times New Roman"/>
          <w:lang w:eastAsia="de-DE"/>
        </w:rPr>
        <w:t xml:space="preserve">verbindungen </w:t>
      </w:r>
      <w:r w:rsidRPr="00AC36A5">
        <w:rPr>
          <w:rFonts w:eastAsia="Times New Roman" w:cs="Times New Roman"/>
          <w:b/>
          <w:bCs/>
          <w:rtl/>
          <w:lang w:eastAsia="de-DE"/>
        </w:rPr>
        <w:t>מִשְׁפַּחַת הַמַּחְלִי וּמִשְׁפַּחַת הַמּוּשִׁי</w:t>
      </w:r>
      <w:r w:rsidRPr="00AC36A5">
        <w:rPr>
          <w:rFonts w:eastAsia="Times New Roman" w:cs="Times New Roman"/>
          <w:rtl/>
          <w:lang w:eastAsia="de-DE"/>
        </w:rPr>
        <w:t xml:space="preserve"> </w:t>
      </w:r>
      <w:r w:rsidRPr="00AC36A5">
        <w:rPr>
          <w:rFonts w:eastAsia="Times New Roman" w:cs="Times New Roman"/>
          <w:lang w:eastAsia="de-DE"/>
        </w:rPr>
        <w:t xml:space="preserve">zeigen </w:t>
      </w:r>
      <w:r w:rsidRPr="00AC36A5">
        <w:rPr>
          <w:rFonts w:eastAsia="Times New Roman" w:cs="Times New Roman"/>
          <w:b/>
          <w:bCs/>
          <w:rtl/>
          <w:lang w:eastAsia="de-DE"/>
        </w:rPr>
        <w:t>מִשְׁפַּחַת</w:t>
      </w:r>
      <w:r w:rsidRPr="00AC36A5">
        <w:rPr>
          <w:rFonts w:eastAsia="Times New Roman" w:cs="Times New Roman"/>
          <w:rtl/>
          <w:lang w:eastAsia="de-DE"/>
        </w:rPr>
        <w:t xml:space="preserve"> </w:t>
      </w:r>
      <w:r w:rsidRPr="00AC36A5">
        <w:rPr>
          <w:rFonts w:eastAsia="Times New Roman" w:cs="Times New Roman"/>
          <w:lang w:eastAsia="de-DE"/>
        </w:rPr>
        <w:t xml:space="preserve">(Familie von) im </w:t>
      </w:r>
      <w:r w:rsidR="00F133EC">
        <w:rPr>
          <w:rFonts w:eastAsia="Times New Roman" w:cs="Times New Roman"/>
          <w:lang w:eastAsia="de-DE"/>
        </w:rPr>
        <w:t>Construct</w:t>
      </w:r>
      <w:r w:rsidRPr="00AC36A5">
        <w:rPr>
          <w:rFonts w:eastAsia="Times New Roman" w:cs="Times New Roman"/>
          <w:lang w:eastAsia="de-DE"/>
        </w:rPr>
        <w:t xml:space="preserve"> mit den patronymischen Formen </w:t>
      </w:r>
      <w:r w:rsidRPr="00AC36A5">
        <w:rPr>
          <w:rFonts w:eastAsia="Times New Roman" w:cs="Times New Roman"/>
          <w:b/>
          <w:bCs/>
          <w:rtl/>
          <w:lang w:eastAsia="de-DE"/>
        </w:rPr>
        <w:t>הַמַּחְלִי</w:t>
      </w:r>
      <w:r w:rsidRPr="00AC36A5">
        <w:rPr>
          <w:rFonts w:eastAsia="Times New Roman" w:cs="Times New Roman"/>
          <w:rtl/>
          <w:lang w:eastAsia="de-DE"/>
        </w:rPr>
        <w:t xml:space="preserve"> </w:t>
      </w:r>
      <w:r w:rsidRPr="00AC36A5">
        <w:rPr>
          <w:rFonts w:eastAsia="Times New Roman" w:cs="Times New Roman"/>
          <w:lang w:eastAsia="de-DE"/>
        </w:rPr>
        <w:t xml:space="preserve">(der Machlite) und </w:t>
      </w:r>
      <w:r w:rsidRPr="00AC36A5">
        <w:rPr>
          <w:rFonts w:eastAsia="Times New Roman" w:cs="Times New Roman"/>
          <w:b/>
          <w:bCs/>
          <w:rtl/>
          <w:lang w:eastAsia="de-DE"/>
        </w:rPr>
        <w:t>הַמּוּשִׁי</w:t>
      </w:r>
      <w:r w:rsidRPr="00AC36A5">
        <w:rPr>
          <w:rFonts w:eastAsia="Times New Roman" w:cs="Times New Roman"/>
          <w:rtl/>
          <w:lang w:eastAsia="de-DE"/>
        </w:rPr>
        <w:t xml:space="preserve"> </w:t>
      </w:r>
      <w:r w:rsidRPr="00AC36A5">
        <w:rPr>
          <w:rFonts w:eastAsia="Times New Roman" w:cs="Times New Roman"/>
          <w:lang w:eastAsia="de-DE"/>
        </w:rPr>
        <w:t>(der Muschite) mit bestimmtem Artikel.</w:t>
      </w:r>
    </w:p>
    <w:p w14:paraId="237362B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Diese entsprechen den in Vers 20 genannten beiden Söhnen Meraris. Der zusammenfassende Satz </w:t>
      </w:r>
      <w:r w:rsidRPr="00AC36A5">
        <w:rPr>
          <w:rFonts w:eastAsia="Times New Roman" w:cs="Times New Roman"/>
          <w:b/>
          <w:bCs/>
          <w:rtl/>
          <w:lang w:eastAsia="de-DE"/>
        </w:rPr>
        <w:t>אֵלֶּה הֵם מִשְׁפְּחֹת מְרָרִי</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אֵלֶּה הֵם</w:t>
      </w:r>
      <w:r w:rsidRPr="00AC36A5">
        <w:rPr>
          <w:rFonts w:eastAsia="Times New Roman" w:cs="Times New Roman"/>
          <w:rtl/>
          <w:lang w:eastAsia="de-DE"/>
        </w:rPr>
        <w:t xml:space="preserve"> </w:t>
      </w:r>
      <w:r w:rsidRPr="00AC36A5">
        <w:rPr>
          <w:rFonts w:eastAsia="Times New Roman" w:cs="Times New Roman"/>
          <w:lang w:eastAsia="de-DE"/>
        </w:rPr>
        <w:t xml:space="preserve">(diese sind) und </w:t>
      </w:r>
      <w:r w:rsidRPr="00AC36A5">
        <w:rPr>
          <w:rFonts w:eastAsia="Times New Roman" w:cs="Times New Roman"/>
          <w:b/>
          <w:bCs/>
          <w:rtl/>
          <w:lang w:eastAsia="de-DE"/>
        </w:rPr>
        <w:t>מִשְׁפְּחֹת מְרָרִי</w:t>
      </w:r>
      <w:r w:rsidRPr="00AC36A5">
        <w:rPr>
          <w:rFonts w:eastAsia="Times New Roman" w:cs="Times New Roman"/>
          <w:rtl/>
          <w:lang w:eastAsia="de-DE"/>
        </w:rPr>
        <w:t xml:space="preserve"> </w:t>
      </w:r>
      <w:r w:rsidRPr="00AC36A5">
        <w:rPr>
          <w:rFonts w:eastAsia="Times New Roman" w:cs="Times New Roman"/>
          <w:lang w:eastAsia="de-DE"/>
        </w:rPr>
        <w:t>(Familien Meraris) ohne Gentilizsuffix bietet eine einfachere Zusammenfassung als bei den anderen Hauptlinien.</w:t>
      </w:r>
    </w:p>
    <w:p w14:paraId="1C9F4B9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τῷ Μεραρι δῆμος Μοολι καὶ δῆμος Μουσι οὗτοί εἰσιν δῆμοι Μεραρι und behält die Zweiteilung bei.</w:t>
      </w:r>
    </w:p>
    <w:p w14:paraId="2624C245" w14:textId="02313416"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Satzstruktur zeigt eine präpositionale Einleitung mit zwei koordinierten </w:t>
      </w:r>
      <w:r w:rsidR="00F133EC">
        <w:rPr>
          <w:rFonts w:eastAsia="Times New Roman" w:cs="Times New Roman"/>
          <w:lang w:eastAsia="de-DE"/>
        </w:rPr>
        <w:t>Construct</w:t>
      </w:r>
      <w:r w:rsidRPr="00AC36A5">
        <w:rPr>
          <w:rFonts w:eastAsia="Times New Roman" w:cs="Times New Roman"/>
          <w:lang w:eastAsia="de-DE"/>
        </w:rPr>
        <w:t>verbindungen und einem zusammenfassenden Identifikationssatz.</w:t>
      </w:r>
    </w:p>
    <w:p w14:paraId="6B3D8AA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stellt die beiden Merariter-Familien vor und zeigt durch die Zweiteilung eine einfachere Struktur gegenüber den vier Kehatiter- und zwei Gerschoniter-Familien.</w:t>
      </w:r>
    </w:p>
    <w:p w14:paraId="32FE4F90"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3,34</w:t>
      </w:r>
    </w:p>
    <w:p w14:paraId="613F280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וּפְקֻדֵיהֶם֙ בְּמִסְפַּ֣ר כָּל־זָכָ֔ר מִבֶּן־חֹ֖דֶשׁ וָמָ֑עְלָה שֵׁ֥שֶׁת אֲלָפִ֖ים וּמָאתָֽיִם׃</w:t>
      </w:r>
    </w:p>
    <w:p w14:paraId="4EF01AF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ihre Gemusterten in der Zahl aller Männlichen von einem Monat an und darüber waren 6.200.</w:t>
      </w:r>
    </w:p>
    <w:p w14:paraId="6C466D6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CD07D71">
          <v:rect id="_x0000_i1146" style="width:0;height:1.5pt" o:hralign="center" o:hrstd="t" o:hr="t" fillcolor="#a0a0a0" stroked="f"/>
        </w:pict>
      </w:r>
    </w:p>
    <w:p w14:paraId="64E12C0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Substantiv </w:t>
      </w:r>
      <w:r w:rsidRPr="00AC36A5">
        <w:rPr>
          <w:rFonts w:eastAsia="Times New Roman" w:cs="Times New Roman"/>
          <w:b/>
          <w:bCs/>
          <w:rtl/>
          <w:lang w:eastAsia="de-DE"/>
        </w:rPr>
        <w:t>וּפְקֻדֵיהֶם</w:t>
      </w:r>
      <w:r w:rsidRPr="00AC36A5">
        <w:rPr>
          <w:rFonts w:eastAsia="Times New Roman" w:cs="Times New Roman"/>
          <w:rtl/>
          <w:lang w:eastAsia="de-DE"/>
        </w:rPr>
        <w:t xml:space="preserve"> </w:t>
      </w:r>
      <w:r w:rsidRPr="00AC36A5">
        <w:rPr>
          <w:rFonts w:eastAsia="Times New Roman" w:cs="Times New Roman"/>
          <w:lang w:eastAsia="de-DE"/>
        </w:rPr>
        <w:t xml:space="preserve">(und ihre Gemusterten) mit Possessivsuffix 3. maskulin Plural folgt dem etablierten Muster. Die präpositionale Phrase </w:t>
      </w:r>
      <w:r w:rsidRPr="00AC36A5">
        <w:rPr>
          <w:rFonts w:eastAsia="Times New Roman" w:cs="Times New Roman"/>
          <w:b/>
          <w:bCs/>
          <w:rtl/>
          <w:lang w:eastAsia="de-DE"/>
        </w:rPr>
        <w:t>בְּמִסְפַּר כָּל־זָכָר מִבֶּן־חֹדֶשׁ וָמָעְלָה</w:t>
      </w:r>
      <w:r w:rsidRPr="00AC36A5">
        <w:rPr>
          <w:rFonts w:eastAsia="Times New Roman" w:cs="Times New Roman"/>
          <w:rtl/>
          <w:lang w:eastAsia="de-DE"/>
        </w:rPr>
        <w:t xml:space="preserve"> </w:t>
      </w:r>
      <w:r w:rsidRPr="00AC36A5">
        <w:rPr>
          <w:rFonts w:eastAsia="Times New Roman" w:cs="Times New Roman"/>
          <w:lang w:eastAsia="de-DE"/>
        </w:rPr>
        <w:t>entspricht exakt den vorherigen Formulierungen.</w:t>
      </w:r>
    </w:p>
    <w:p w14:paraId="2D62767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Zahlenangabe </w:t>
      </w:r>
      <w:r w:rsidRPr="00AC36A5">
        <w:rPr>
          <w:rFonts w:eastAsia="Times New Roman" w:cs="Times New Roman"/>
          <w:b/>
          <w:bCs/>
          <w:rtl/>
          <w:lang w:eastAsia="de-DE"/>
        </w:rPr>
        <w:t>שֵׁשֶׁת אֲלָפִים וּמָאתָיִם</w:t>
      </w:r>
      <w:r w:rsidRPr="00AC36A5">
        <w:rPr>
          <w:rFonts w:eastAsia="Times New Roman" w:cs="Times New Roman"/>
          <w:rtl/>
          <w:lang w:eastAsia="de-DE"/>
        </w:rPr>
        <w:t xml:space="preserve"> </w:t>
      </w:r>
      <w:r w:rsidRPr="00AC36A5">
        <w:rPr>
          <w:rFonts w:eastAsia="Times New Roman" w:cs="Times New Roman"/>
          <w:lang w:eastAsia="de-DE"/>
        </w:rPr>
        <w:t>zeigt: sechs Tausende plus zweihundert = 6.200, die niedrigste Zahl unter den levitischen Untergruppen.</w:t>
      </w:r>
    </w:p>
    <w:p w14:paraId="3568558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ἡ ἐπίσκεψις αὐτῶν κατὰ ἀριθμὸν παντὸς ἀρσενικοῦ ἀπὸ μηνιαίου καὶ ἐπάνω ἑξακισχίλιοι καὶ διακόσιοι und behält die Zahlenstruktur bei.</w:t>
      </w:r>
    </w:p>
    <w:p w14:paraId="7EA5034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elliptischen Nominalsatz mit Subjekt, präpositionaler Spezifikation und prädikativer Zahlenangabe.</w:t>
      </w:r>
    </w:p>
    <w:p w14:paraId="1B7B138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gibt die niedrigste levitische Teilgruppenzahl an und zeigt die numerische Hierarchie: Kehatiter (8.600), Gerschoniter (7.500), Merariter (6.200).</w:t>
      </w:r>
    </w:p>
    <w:p w14:paraId="5BA91B5A"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3,35</w:t>
      </w:r>
    </w:p>
    <w:p w14:paraId="018B287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וּנְשִׂ֤יא בֵֽית־אָב֙ לְמִשְׁפְּחֹ֣ת מְרָרִ֔י צוּרִיאֵ֖ל בֶּן־אֲבִיחָ֑יִל עַ֣ל יֶ֧רֶךְ הַמִּשְׁכָּ֛ן יַחֲנ֖וּ צָפֹֽנָה׃</w:t>
      </w:r>
    </w:p>
    <w:p w14:paraId="529BE56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Fürst des Vaterhauses der Familien Meraris war Zuri'el, der Sohn Avichajils. Sie lagerten auf der Seite der Wohnung nach Norden.</w:t>
      </w:r>
    </w:p>
    <w:p w14:paraId="41BC4C2D"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56958DB">
          <v:rect id="_x0000_i1147" style="width:0;height:1.5pt" o:hralign="center" o:hrstd="t" o:hr="t" fillcolor="#a0a0a0" stroked="f"/>
        </w:pict>
      </w:r>
    </w:p>
    <w:p w14:paraId="6FC342A5" w14:textId="263BD660"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Substantiv </w:t>
      </w:r>
      <w:r w:rsidRPr="00AC36A5">
        <w:rPr>
          <w:rFonts w:eastAsia="Times New Roman" w:cs="Times New Roman"/>
          <w:b/>
          <w:bCs/>
          <w:rtl/>
          <w:lang w:eastAsia="de-DE"/>
        </w:rPr>
        <w:t>וּנְשִׂיא</w:t>
      </w:r>
      <w:r w:rsidRPr="00AC36A5">
        <w:rPr>
          <w:rFonts w:eastAsia="Times New Roman" w:cs="Times New Roman"/>
          <w:rtl/>
          <w:lang w:eastAsia="de-DE"/>
        </w:rPr>
        <w:t xml:space="preserve"> </w:t>
      </w:r>
      <w:r w:rsidRPr="00AC36A5">
        <w:rPr>
          <w:rFonts w:eastAsia="Times New Roman" w:cs="Times New Roman"/>
          <w:lang w:eastAsia="de-DE"/>
        </w:rPr>
        <w:t xml:space="preserve">(und der Fürst) mit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בֵית־אָב לְמִשְׁפְּחֹת מְרָרִי</w:t>
      </w:r>
      <w:r w:rsidRPr="00AC36A5">
        <w:rPr>
          <w:rFonts w:eastAsia="Times New Roman" w:cs="Times New Roman"/>
          <w:rtl/>
          <w:lang w:eastAsia="de-DE"/>
        </w:rPr>
        <w:t xml:space="preserve"> </w:t>
      </w:r>
      <w:r w:rsidRPr="00AC36A5">
        <w:rPr>
          <w:rFonts w:eastAsia="Times New Roman" w:cs="Times New Roman"/>
          <w:lang w:eastAsia="de-DE"/>
        </w:rPr>
        <w:t xml:space="preserve">zeigt die Führungsstruktur. </w:t>
      </w:r>
      <w:r w:rsidRPr="00AC36A5">
        <w:rPr>
          <w:rFonts w:eastAsia="Times New Roman" w:cs="Times New Roman"/>
          <w:b/>
          <w:bCs/>
          <w:rtl/>
          <w:lang w:eastAsia="de-DE"/>
        </w:rPr>
        <w:t>לְמִשְׁפְּחֹת מְרָרִי</w:t>
      </w:r>
      <w:r w:rsidRPr="00AC36A5">
        <w:rPr>
          <w:rFonts w:eastAsia="Times New Roman" w:cs="Times New Roman"/>
          <w:rtl/>
          <w:lang w:eastAsia="de-DE"/>
        </w:rPr>
        <w:t xml:space="preserve"> </w:t>
      </w:r>
      <w:r w:rsidRPr="00AC36A5">
        <w:rPr>
          <w:rFonts w:eastAsia="Times New Roman" w:cs="Times New Roman"/>
          <w:lang w:eastAsia="de-DE"/>
        </w:rPr>
        <w:t>ohne Gentilizsuffix entspricht der einfacheren Form aus Vers 33.</w:t>
      </w:r>
    </w:p>
    <w:p w14:paraId="30E0AE2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Eigenname </w:t>
      </w:r>
      <w:r w:rsidRPr="00AC36A5">
        <w:rPr>
          <w:rFonts w:eastAsia="Times New Roman" w:cs="Times New Roman"/>
          <w:b/>
          <w:bCs/>
          <w:rtl/>
          <w:lang w:eastAsia="de-DE"/>
        </w:rPr>
        <w:t>צוּרִיאֵל</w:t>
      </w:r>
      <w:r w:rsidRPr="00AC36A5">
        <w:rPr>
          <w:rFonts w:eastAsia="Times New Roman" w:cs="Times New Roman"/>
          <w:rtl/>
          <w:lang w:eastAsia="de-DE"/>
        </w:rPr>
        <w:t xml:space="preserve"> </w:t>
      </w:r>
      <w:r w:rsidRPr="00AC36A5">
        <w:rPr>
          <w:rFonts w:eastAsia="Times New Roman" w:cs="Times New Roman"/>
          <w:lang w:eastAsia="de-DE"/>
        </w:rPr>
        <w:t xml:space="preserve">ist ein theophorer Name, gebildet aus </w:t>
      </w:r>
      <w:r w:rsidRPr="00AC36A5">
        <w:rPr>
          <w:rFonts w:eastAsia="Times New Roman" w:cs="Times New Roman"/>
          <w:b/>
          <w:bCs/>
          <w:rtl/>
          <w:lang w:eastAsia="de-DE"/>
        </w:rPr>
        <w:t>צוּר</w:t>
      </w:r>
      <w:r w:rsidRPr="00AC36A5">
        <w:rPr>
          <w:rFonts w:eastAsia="Times New Roman" w:cs="Times New Roman"/>
          <w:rtl/>
          <w:lang w:eastAsia="de-DE"/>
        </w:rPr>
        <w:t xml:space="preserve"> </w:t>
      </w:r>
      <w:r w:rsidRPr="00AC36A5">
        <w:rPr>
          <w:rFonts w:eastAsia="Times New Roman" w:cs="Times New Roman"/>
          <w:lang w:eastAsia="de-DE"/>
        </w:rPr>
        <w:t xml:space="preserve">(Fels) und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 xml:space="preserve">(Gott) mit der Bedeutung "mein Fels ist Gott". Die patronymische Formel </w:t>
      </w:r>
      <w:r w:rsidRPr="00AC36A5">
        <w:rPr>
          <w:rFonts w:eastAsia="Times New Roman" w:cs="Times New Roman"/>
          <w:b/>
          <w:bCs/>
          <w:rtl/>
          <w:lang w:eastAsia="de-DE"/>
        </w:rPr>
        <w:t>בֶּן־אֲבִיחָיִל</w:t>
      </w:r>
      <w:r w:rsidRPr="00AC36A5">
        <w:rPr>
          <w:rFonts w:eastAsia="Times New Roman" w:cs="Times New Roman"/>
          <w:rtl/>
          <w:lang w:eastAsia="de-DE"/>
        </w:rPr>
        <w:t xml:space="preserve"> </w:t>
      </w:r>
      <w:r w:rsidRPr="00AC36A5">
        <w:rPr>
          <w:rFonts w:eastAsia="Times New Roman" w:cs="Times New Roman"/>
          <w:lang w:eastAsia="de-DE"/>
        </w:rPr>
        <w:t xml:space="preserve">zeigt </w:t>
      </w:r>
      <w:r w:rsidRPr="00AC36A5">
        <w:rPr>
          <w:rFonts w:eastAsia="Times New Roman" w:cs="Times New Roman"/>
          <w:b/>
          <w:bCs/>
          <w:rtl/>
          <w:lang w:eastAsia="de-DE"/>
        </w:rPr>
        <w:t>אֲבִיחַיִל</w:t>
      </w:r>
      <w:r w:rsidRPr="00AC36A5">
        <w:rPr>
          <w:rFonts w:eastAsia="Times New Roman" w:cs="Times New Roman"/>
          <w:rtl/>
          <w:lang w:eastAsia="de-DE"/>
        </w:rPr>
        <w:t xml:space="preserve"> </w:t>
      </w:r>
      <w:r w:rsidRPr="00AC36A5">
        <w:rPr>
          <w:rFonts w:eastAsia="Times New Roman" w:cs="Times New Roman"/>
          <w:lang w:eastAsia="de-DE"/>
        </w:rPr>
        <w:t>(mein Vater ist Macht), ebenfalls einen theophoren Namen.</w:t>
      </w:r>
    </w:p>
    <w:p w14:paraId="3685CB8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Der koordinierte Satz </w:t>
      </w:r>
      <w:r w:rsidRPr="00AC36A5">
        <w:rPr>
          <w:rFonts w:eastAsia="Times New Roman" w:cs="Times New Roman"/>
          <w:b/>
          <w:bCs/>
          <w:rtl/>
          <w:lang w:eastAsia="de-DE"/>
        </w:rPr>
        <w:t>עַל יֶרֶךְ הַמִּשְׁכָּן יַחֲנוּ צָפֹנָה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עַל יֶרֶךְ</w:t>
      </w:r>
      <w:r w:rsidRPr="00AC36A5">
        <w:rPr>
          <w:rFonts w:eastAsia="Times New Roman" w:cs="Times New Roman"/>
          <w:rtl/>
          <w:lang w:eastAsia="de-DE"/>
        </w:rPr>
        <w:t xml:space="preserve"> </w:t>
      </w:r>
      <w:r w:rsidRPr="00AC36A5">
        <w:rPr>
          <w:rFonts w:eastAsia="Times New Roman" w:cs="Times New Roman"/>
          <w:lang w:eastAsia="de-DE"/>
        </w:rPr>
        <w:t xml:space="preserve">(an der Seite), </w:t>
      </w:r>
      <w:r w:rsidRPr="00AC36A5">
        <w:rPr>
          <w:rFonts w:eastAsia="Times New Roman" w:cs="Times New Roman"/>
          <w:b/>
          <w:bCs/>
          <w:rtl/>
          <w:lang w:eastAsia="de-DE"/>
        </w:rPr>
        <w:t>הַמִּשְׁכָּן</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יַחֲנוּ</w:t>
      </w:r>
      <w:r w:rsidRPr="00AC36A5">
        <w:rPr>
          <w:rFonts w:eastAsia="Times New Roman" w:cs="Times New Roman"/>
          <w:rtl/>
          <w:lang w:eastAsia="de-DE"/>
        </w:rPr>
        <w:t xml:space="preserve"> </w:t>
      </w:r>
      <w:r w:rsidRPr="00AC36A5">
        <w:rPr>
          <w:rFonts w:eastAsia="Times New Roman" w:cs="Times New Roman"/>
          <w:lang w:eastAsia="de-DE"/>
        </w:rPr>
        <w:t xml:space="preserve">(sie lagerten) von </w:t>
      </w:r>
      <w:r w:rsidRPr="00AC36A5">
        <w:rPr>
          <w:rFonts w:eastAsia="Times New Roman" w:cs="Times New Roman"/>
          <w:b/>
          <w:bCs/>
          <w:rtl/>
          <w:lang w:eastAsia="de-DE"/>
        </w:rPr>
        <w:t>חנה</w:t>
      </w:r>
      <w:r w:rsidRPr="00AC36A5">
        <w:rPr>
          <w:rFonts w:eastAsia="Times New Roman" w:cs="Times New Roman"/>
          <w:rtl/>
          <w:lang w:eastAsia="de-DE"/>
        </w:rPr>
        <w:t xml:space="preserve"> </w:t>
      </w:r>
      <w:r w:rsidRPr="00AC36A5">
        <w:rPr>
          <w:rFonts w:eastAsia="Times New Roman" w:cs="Times New Roman"/>
          <w:lang w:eastAsia="de-DE"/>
        </w:rPr>
        <w:t xml:space="preserve">im Qal-Imperfekt 3. maskulin Plural zeigt die Lagerposition. </w:t>
      </w:r>
      <w:r w:rsidRPr="00AC36A5">
        <w:rPr>
          <w:rFonts w:eastAsia="Times New Roman" w:cs="Times New Roman"/>
          <w:b/>
          <w:bCs/>
          <w:rtl/>
          <w:lang w:eastAsia="de-DE"/>
        </w:rPr>
        <w:t>צָפֹנָה</w:t>
      </w:r>
      <w:r w:rsidRPr="00AC36A5">
        <w:rPr>
          <w:rFonts w:eastAsia="Times New Roman" w:cs="Times New Roman"/>
          <w:rtl/>
          <w:lang w:eastAsia="de-DE"/>
        </w:rPr>
        <w:t xml:space="preserve"> </w:t>
      </w:r>
      <w:r w:rsidRPr="00AC36A5">
        <w:rPr>
          <w:rFonts w:eastAsia="Times New Roman" w:cs="Times New Roman"/>
          <w:lang w:eastAsia="de-DE"/>
        </w:rPr>
        <w:t xml:space="preserve">(nördlich) von der Wurzel </w:t>
      </w:r>
      <w:r w:rsidRPr="00AC36A5">
        <w:rPr>
          <w:rFonts w:eastAsia="Times New Roman" w:cs="Times New Roman"/>
          <w:b/>
          <w:bCs/>
          <w:rtl/>
          <w:lang w:eastAsia="de-DE"/>
        </w:rPr>
        <w:t>צפן</w:t>
      </w:r>
      <w:r w:rsidRPr="00AC36A5">
        <w:rPr>
          <w:rFonts w:eastAsia="Times New Roman" w:cs="Times New Roman"/>
          <w:rtl/>
          <w:lang w:eastAsia="de-DE"/>
        </w:rPr>
        <w:t xml:space="preserve"> </w:t>
      </w:r>
      <w:r w:rsidRPr="00AC36A5">
        <w:rPr>
          <w:rFonts w:eastAsia="Times New Roman" w:cs="Times New Roman"/>
          <w:lang w:eastAsia="de-DE"/>
        </w:rPr>
        <w:t>(verbergen/Norden) komplettiert das Richtungsschema.</w:t>
      </w:r>
    </w:p>
    <w:p w14:paraId="45DE178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ὁ ἄρχων οἴκου πατριᾶς δήμων Μεραρι Σουριηλ υἱὸς Αβιχαιλ ἐκ πλαγίων τῆς σκηνῆς παρεμβαλοῦσι πρὸς βορρᾶν und verwendet πρὸς βορρᾶν für </w:t>
      </w:r>
      <w:r w:rsidRPr="00AC36A5">
        <w:rPr>
          <w:rFonts w:eastAsia="Times New Roman" w:cs="Times New Roman"/>
          <w:b/>
          <w:bCs/>
          <w:rtl/>
          <w:lang w:eastAsia="de-DE"/>
        </w:rPr>
        <w:t>צָפֹנָה</w:t>
      </w:r>
      <w:r w:rsidRPr="00AC36A5">
        <w:rPr>
          <w:rFonts w:eastAsia="Times New Roman" w:cs="Times New Roman"/>
          <w:lang w:eastAsia="de-DE"/>
        </w:rPr>
        <w:t>.</w:t>
      </w:r>
    </w:p>
    <w:p w14:paraId="743A01F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Nominalsatz mit patronymischer Identifikation, gefolgt von einem koordinierten Verbalsatz zur Lagerpositionierung.</w:t>
      </w:r>
    </w:p>
    <w:p w14:paraId="706B469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nennt den Merariter-Führer und positioniert die Merariter auf der Nordseite, wodurch das räumliche Schema um die Stiftshütte komplettiert wird.</w:t>
      </w:r>
    </w:p>
    <w:p w14:paraId="5E7FD61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3,36</w:t>
      </w:r>
    </w:p>
    <w:p w14:paraId="6945E67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וּפְקֻדַּ֣ת מִשְׁמֶרֶת֮ בְּנֵ֣י מְרָרִי֒ קַרְשֵׁי֙ הַמִּשְׁכָּ֔ן וּבְרִיחָ֖יו וְעַמֻּדָ֣יו וַאֲדָנָ֑יו וְכָל־כֵּלָ֔יו וְכֹ֖ל עֲבֹדָתוֹֽ׃</w:t>
      </w:r>
    </w:p>
    <w:p w14:paraId="39A7F59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Aufgabe der Söhne Meraris war die Aufsicht über die Bretter der Wohnung und ihre Riegel und ihre Säulen und ihre Füße und alle ihre Geräte und deren ganzer Dienst.</w:t>
      </w:r>
    </w:p>
    <w:p w14:paraId="7B868EAE"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05828654">
          <v:rect id="_x0000_i1148" style="width:0;height:1.5pt" o:hralign="center" o:hrstd="t" o:hr="t" fillcolor="#a0a0a0" stroked="f"/>
        </w:pict>
      </w:r>
    </w:p>
    <w:p w14:paraId="741C92B5" w14:textId="58C908D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וּפְקֻדַּת מִשְׁמֶרֶת בְּנֵי מְרָרִי</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פְּקֻדָּה</w:t>
      </w:r>
      <w:r w:rsidRPr="00AC36A5">
        <w:rPr>
          <w:rFonts w:eastAsia="Times New Roman" w:cs="Times New Roman"/>
          <w:rtl/>
          <w:lang w:eastAsia="de-DE"/>
        </w:rPr>
        <w:t xml:space="preserve"> </w:t>
      </w:r>
      <w:r w:rsidRPr="00AC36A5">
        <w:rPr>
          <w:rFonts w:eastAsia="Times New Roman" w:cs="Times New Roman"/>
          <w:lang w:eastAsia="de-DE"/>
        </w:rPr>
        <w:t xml:space="preserve">(Aufgabe/Aufsicht) und </w:t>
      </w:r>
      <w:r w:rsidRPr="00AC36A5">
        <w:rPr>
          <w:rFonts w:eastAsia="Times New Roman" w:cs="Times New Roman"/>
          <w:b/>
          <w:bCs/>
          <w:rtl/>
          <w:lang w:eastAsia="de-DE"/>
        </w:rPr>
        <w:t>מִשְׁמֶרֶת</w:t>
      </w:r>
      <w:r w:rsidRPr="00AC36A5">
        <w:rPr>
          <w:rFonts w:eastAsia="Times New Roman" w:cs="Times New Roman"/>
          <w:rtl/>
          <w:lang w:eastAsia="de-DE"/>
        </w:rPr>
        <w:t xml:space="preserve"> </w:t>
      </w:r>
      <w:r w:rsidRPr="00AC36A5">
        <w:rPr>
          <w:rFonts w:eastAsia="Times New Roman" w:cs="Times New Roman"/>
          <w:lang w:eastAsia="de-DE"/>
        </w:rPr>
        <w:t>(Wache/Aufsicht) zeigt eine doppelte Betonung der Verantwortlichkeit.</w:t>
      </w:r>
    </w:p>
    <w:p w14:paraId="0735205F" w14:textId="57FD4272"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Aufzählung der strukturellen Elemente beginnt mit </w:t>
      </w:r>
      <w:r w:rsidRPr="00AC36A5">
        <w:rPr>
          <w:rFonts w:eastAsia="Times New Roman" w:cs="Times New Roman"/>
          <w:b/>
          <w:bCs/>
          <w:rtl/>
          <w:lang w:eastAsia="de-DE"/>
        </w:rPr>
        <w:t>קַרְשֵׁי הַמִּשְׁכָּן</w:t>
      </w:r>
      <w:r w:rsidRPr="00AC36A5">
        <w:rPr>
          <w:rFonts w:eastAsia="Times New Roman" w:cs="Times New Roman"/>
          <w:rtl/>
          <w:lang w:eastAsia="de-DE"/>
        </w:rPr>
        <w:t xml:space="preserve"> </w:t>
      </w:r>
      <w:r w:rsidRPr="00AC36A5">
        <w:rPr>
          <w:rFonts w:eastAsia="Times New Roman" w:cs="Times New Roman"/>
          <w:lang w:eastAsia="de-DE"/>
        </w:rPr>
        <w:t xml:space="preserve">(Bretter der Wohnung) mit </w:t>
      </w:r>
      <w:r w:rsidRPr="00AC36A5">
        <w:rPr>
          <w:rFonts w:eastAsia="Times New Roman" w:cs="Times New Roman"/>
          <w:b/>
          <w:bCs/>
          <w:rtl/>
          <w:lang w:eastAsia="de-DE"/>
        </w:rPr>
        <w:t>קֶרֶשׁ</w:t>
      </w:r>
      <w:r w:rsidRPr="00AC36A5">
        <w:rPr>
          <w:rFonts w:eastAsia="Times New Roman" w:cs="Times New Roman"/>
          <w:rtl/>
          <w:lang w:eastAsia="de-DE"/>
        </w:rPr>
        <w:t xml:space="preserve"> </w:t>
      </w:r>
      <w:r w:rsidRPr="00AC36A5">
        <w:rPr>
          <w:rFonts w:eastAsia="Times New Roman" w:cs="Times New Roman"/>
          <w:lang w:eastAsia="de-DE"/>
        </w:rPr>
        <w:t xml:space="preserve">(Brett/Planke) im </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וּבְרִיחָיו</w:t>
      </w:r>
      <w:r w:rsidRPr="00AC36A5">
        <w:rPr>
          <w:rFonts w:eastAsia="Times New Roman" w:cs="Times New Roman"/>
          <w:rtl/>
          <w:lang w:eastAsia="de-DE"/>
        </w:rPr>
        <w:t xml:space="preserve"> </w:t>
      </w:r>
      <w:r w:rsidRPr="00AC36A5">
        <w:rPr>
          <w:rFonts w:eastAsia="Times New Roman" w:cs="Times New Roman"/>
          <w:lang w:eastAsia="de-DE"/>
        </w:rPr>
        <w:t xml:space="preserve">(und ihre Riegel) mit </w:t>
      </w:r>
      <w:r w:rsidRPr="00AC36A5">
        <w:rPr>
          <w:rFonts w:eastAsia="Times New Roman" w:cs="Times New Roman"/>
          <w:b/>
          <w:bCs/>
          <w:rtl/>
          <w:lang w:eastAsia="de-DE"/>
        </w:rPr>
        <w:t>בְּרִיחַ</w:t>
      </w:r>
      <w:r w:rsidRPr="00AC36A5">
        <w:rPr>
          <w:rFonts w:eastAsia="Times New Roman" w:cs="Times New Roman"/>
          <w:rtl/>
          <w:lang w:eastAsia="de-DE"/>
        </w:rPr>
        <w:t xml:space="preserve"> </w:t>
      </w:r>
      <w:r w:rsidRPr="00AC36A5">
        <w:rPr>
          <w:rFonts w:eastAsia="Times New Roman" w:cs="Times New Roman"/>
          <w:lang w:eastAsia="de-DE"/>
        </w:rPr>
        <w:t xml:space="preserve">(Riegel/Querbalken) plus Possessivsuffix, </w:t>
      </w:r>
      <w:r w:rsidRPr="00AC36A5">
        <w:rPr>
          <w:rFonts w:eastAsia="Times New Roman" w:cs="Times New Roman"/>
          <w:b/>
          <w:bCs/>
          <w:rtl/>
          <w:lang w:eastAsia="de-DE"/>
        </w:rPr>
        <w:t>וְעַמֻּדָיו</w:t>
      </w:r>
      <w:r w:rsidRPr="00AC36A5">
        <w:rPr>
          <w:rFonts w:eastAsia="Times New Roman" w:cs="Times New Roman"/>
          <w:rtl/>
          <w:lang w:eastAsia="de-DE"/>
        </w:rPr>
        <w:t xml:space="preserve"> </w:t>
      </w:r>
      <w:r w:rsidRPr="00AC36A5">
        <w:rPr>
          <w:rFonts w:eastAsia="Times New Roman" w:cs="Times New Roman"/>
          <w:lang w:eastAsia="de-DE"/>
        </w:rPr>
        <w:t xml:space="preserve">(und ihre Säulen) mit </w:t>
      </w:r>
      <w:r w:rsidRPr="00AC36A5">
        <w:rPr>
          <w:rFonts w:eastAsia="Times New Roman" w:cs="Times New Roman"/>
          <w:b/>
          <w:bCs/>
          <w:rtl/>
          <w:lang w:eastAsia="de-DE"/>
        </w:rPr>
        <w:t>עַמּוּד</w:t>
      </w:r>
      <w:r w:rsidRPr="00AC36A5">
        <w:rPr>
          <w:rFonts w:eastAsia="Times New Roman" w:cs="Times New Roman"/>
          <w:rtl/>
          <w:lang w:eastAsia="de-DE"/>
        </w:rPr>
        <w:t xml:space="preserve"> </w:t>
      </w:r>
      <w:r w:rsidRPr="00AC36A5">
        <w:rPr>
          <w:rFonts w:eastAsia="Times New Roman" w:cs="Times New Roman"/>
          <w:lang w:eastAsia="de-DE"/>
        </w:rPr>
        <w:t xml:space="preserve">(Säule) plus Suffix, </w:t>
      </w:r>
      <w:r w:rsidRPr="00AC36A5">
        <w:rPr>
          <w:rFonts w:eastAsia="Times New Roman" w:cs="Times New Roman"/>
          <w:b/>
          <w:bCs/>
          <w:rtl/>
          <w:lang w:eastAsia="de-DE"/>
        </w:rPr>
        <w:t>וַאֲדָנָיו</w:t>
      </w:r>
      <w:r w:rsidRPr="00AC36A5">
        <w:rPr>
          <w:rFonts w:eastAsia="Times New Roman" w:cs="Times New Roman"/>
          <w:rtl/>
          <w:lang w:eastAsia="de-DE"/>
        </w:rPr>
        <w:t xml:space="preserve"> </w:t>
      </w:r>
      <w:r w:rsidRPr="00AC36A5">
        <w:rPr>
          <w:rFonts w:eastAsia="Times New Roman" w:cs="Times New Roman"/>
          <w:lang w:eastAsia="de-DE"/>
        </w:rPr>
        <w:t xml:space="preserve">(und ihre Füße/Sockel) mit </w:t>
      </w:r>
      <w:r w:rsidRPr="00AC36A5">
        <w:rPr>
          <w:rFonts w:eastAsia="Times New Roman" w:cs="Times New Roman"/>
          <w:b/>
          <w:bCs/>
          <w:rtl/>
          <w:lang w:eastAsia="de-DE"/>
        </w:rPr>
        <w:t>אֶדֶן</w:t>
      </w:r>
      <w:r w:rsidRPr="00AC36A5">
        <w:rPr>
          <w:rFonts w:eastAsia="Times New Roman" w:cs="Times New Roman"/>
          <w:rtl/>
          <w:lang w:eastAsia="de-DE"/>
        </w:rPr>
        <w:t xml:space="preserve"> </w:t>
      </w:r>
      <w:r w:rsidRPr="00AC36A5">
        <w:rPr>
          <w:rFonts w:eastAsia="Times New Roman" w:cs="Times New Roman"/>
          <w:lang w:eastAsia="de-DE"/>
        </w:rPr>
        <w:t>(Sockel/Basis) plus Suffix zeigen die tragenden Strukturelemente.</w:t>
      </w:r>
    </w:p>
    <w:p w14:paraId="1C277E4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zusammenfassenden Phrasen </w:t>
      </w:r>
      <w:r w:rsidRPr="00AC36A5">
        <w:rPr>
          <w:rFonts w:eastAsia="Times New Roman" w:cs="Times New Roman"/>
          <w:b/>
          <w:bCs/>
          <w:rtl/>
          <w:lang w:eastAsia="de-DE"/>
        </w:rPr>
        <w:t>וְכָל־כֵּלָיו וְכֹל עֲבֹדָתוֹ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(alle), </w:t>
      </w:r>
      <w:r w:rsidRPr="00AC36A5">
        <w:rPr>
          <w:rFonts w:eastAsia="Times New Roman" w:cs="Times New Roman"/>
          <w:b/>
          <w:bCs/>
          <w:rtl/>
          <w:lang w:eastAsia="de-DE"/>
        </w:rPr>
        <w:t>כֵּלָיו</w:t>
      </w:r>
      <w:r w:rsidRPr="00AC36A5">
        <w:rPr>
          <w:rFonts w:eastAsia="Times New Roman" w:cs="Times New Roman"/>
          <w:rtl/>
          <w:lang w:eastAsia="de-DE"/>
        </w:rPr>
        <w:t xml:space="preserve"> </w:t>
      </w:r>
      <w:r w:rsidRPr="00AC36A5">
        <w:rPr>
          <w:rFonts w:eastAsia="Times New Roman" w:cs="Times New Roman"/>
          <w:lang w:eastAsia="de-DE"/>
        </w:rPr>
        <w:t xml:space="preserve">(seine Geräte) und </w:t>
      </w:r>
      <w:r w:rsidRPr="00AC36A5">
        <w:rPr>
          <w:rFonts w:eastAsia="Times New Roman" w:cs="Times New Roman"/>
          <w:b/>
          <w:bCs/>
          <w:rtl/>
          <w:lang w:eastAsia="de-DE"/>
        </w:rPr>
        <w:t>עֲבֹדָה</w:t>
      </w:r>
      <w:r w:rsidRPr="00AC36A5">
        <w:rPr>
          <w:rFonts w:eastAsia="Times New Roman" w:cs="Times New Roman"/>
          <w:rtl/>
          <w:lang w:eastAsia="de-DE"/>
        </w:rPr>
        <w:t xml:space="preserve"> </w:t>
      </w:r>
      <w:r w:rsidRPr="00AC36A5">
        <w:rPr>
          <w:rFonts w:eastAsia="Times New Roman" w:cs="Times New Roman"/>
          <w:lang w:eastAsia="de-DE"/>
        </w:rPr>
        <w:t>(Arbeit/Dienst) plus Suffixe betonen die Vollständigkeit der Verantwortung.</w:t>
      </w:r>
    </w:p>
    <w:p w14:paraId="32254D1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ἡ ἐπίσκεψις φυλακῆς υἱῶν Μεραρι τὰς κεφαλίδας τῆς σκηνῆς καὶ τοὺς μοχλοὺς αὐτῆς und listet die strukturellen Komponenten auf.</w:t>
      </w:r>
    </w:p>
    <w:p w14:paraId="5C0BC552" w14:textId="34F7894B"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w:t>
      </w:r>
      <w:r w:rsidR="00F133EC">
        <w:rPr>
          <w:rFonts w:eastAsia="Times New Roman" w:cs="Times New Roman"/>
          <w:lang w:eastAsia="de-DE"/>
        </w:rPr>
        <w:t>Construct</w:t>
      </w:r>
      <w:r w:rsidRPr="00AC36A5">
        <w:rPr>
          <w:rFonts w:eastAsia="Times New Roman" w:cs="Times New Roman"/>
          <w:lang w:eastAsia="de-DE"/>
        </w:rPr>
        <w:t>verbindung als Subjekt mit einer koordinierten Aufzählung struktureller Elemente und zusammenfassenden Ergänzungen.</w:t>
      </w:r>
    </w:p>
    <w:p w14:paraId="4A9DC3B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definiert die Merariter als Verantwortliche für die strukturellen und baulichen Elemente der Stiftshütte im Gegensatz zu den textilen (Gerschoniter) und kultischen (Kehatiter) Komponenten.</w:t>
      </w:r>
    </w:p>
    <w:p w14:paraId="21691C2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3,37</w:t>
      </w:r>
    </w:p>
    <w:p w14:paraId="586A604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וְעַמֻּדֵ֧י הֶחָצֵ֛ר סָבִ֖יב וְאַדְנֵיהֶ֑ם וִיתֵדֹתָ֖ם וּמֵֽיתְרֵיהֶֽם׃</w:t>
      </w:r>
    </w:p>
    <w:p w14:paraId="03FD838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Deutsch:</w:t>
      </w:r>
      <w:r w:rsidRPr="00AC36A5">
        <w:rPr>
          <w:rFonts w:eastAsia="Times New Roman" w:cs="Times New Roman"/>
          <w:lang w:eastAsia="de-DE"/>
        </w:rPr>
        <w:t xml:space="preserve"> und die Säulen des Vorhofs ringsum und ihre Füße und ihre Pflöcke und ihre Seile.</w:t>
      </w:r>
    </w:p>
    <w:p w14:paraId="2FAAA64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B6803E7">
          <v:rect id="_x0000_i1149" style="width:0;height:1.5pt" o:hralign="center" o:hrstd="t" o:hr="t" fillcolor="#a0a0a0" stroked="f"/>
        </w:pict>
      </w:r>
    </w:p>
    <w:p w14:paraId="40BAF240" w14:textId="12E8331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koordinierte Fortsetzung der Aufzählung zeigt </w:t>
      </w:r>
      <w:r w:rsidRPr="00AC36A5">
        <w:rPr>
          <w:rFonts w:eastAsia="Times New Roman" w:cs="Times New Roman"/>
          <w:b/>
          <w:bCs/>
          <w:rtl/>
          <w:lang w:eastAsia="de-DE"/>
        </w:rPr>
        <w:t>וְעַמֻּדֵי הֶחָצֵר סָבִיב</w:t>
      </w:r>
      <w:r w:rsidRPr="00AC36A5">
        <w:rPr>
          <w:rFonts w:eastAsia="Times New Roman" w:cs="Times New Roman"/>
          <w:rtl/>
          <w:lang w:eastAsia="de-DE"/>
        </w:rPr>
        <w:t xml:space="preserve"> </w:t>
      </w:r>
      <w:r w:rsidRPr="00AC36A5">
        <w:rPr>
          <w:rFonts w:eastAsia="Times New Roman" w:cs="Times New Roman"/>
          <w:lang w:eastAsia="de-DE"/>
        </w:rPr>
        <w:t xml:space="preserve">(und die Säulen des Vorhofs ringsum) mit </w:t>
      </w:r>
      <w:r w:rsidRPr="00AC36A5">
        <w:rPr>
          <w:rFonts w:eastAsia="Times New Roman" w:cs="Times New Roman"/>
          <w:b/>
          <w:bCs/>
          <w:rtl/>
          <w:lang w:eastAsia="de-DE"/>
        </w:rPr>
        <w:t>עַמֻּדִים</w:t>
      </w:r>
      <w:r w:rsidRPr="00AC36A5">
        <w:rPr>
          <w:rFonts w:eastAsia="Times New Roman" w:cs="Times New Roman"/>
          <w:rtl/>
          <w:lang w:eastAsia="de-DE"/>
        </w:rPr>
        <w:t xml:space="preserve"> </w:t>
      </w:r>
      <w:r w:rsidRPr="00AC36A5">
        <w:rPr>
          <w:rFonts w:eastAsia="Times New Roman" w:cs="Times New Roman"/>
          <w:lang w:eastAsia="de-DE"/>
        </w:rPr>
        <w:t xml:space="preserve">(Säulen)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חָצֵר</w:t>
      </w:r>
      <w:r w:rsidRPr="00AC36A5">
        <w:rPr>
          <w:rFonts w:eastAsia="Times New Roman" w:cs="Times New Roman"/>
          <w:rtl/>
          <w:lang w:eastAsia="de-DE"/>
        </w:rPr>
        <w:t xml:space="preserve"> </w:t>
      </w:r>
      <w:r w:rsidRPr="00AC36A5">
        <w:rPr>
          <w:rFonts w:eastAsia="Times New Roman" w:cs="Times New Roman"/>
          <w:lang w:eastAsia="de-DE"/>
        </w:rPr>
        <w:t xml:space="preserve">(Vorhof) und dem Adverb </w:t>
      </w:r>
      <w:r w:rsidRPr="00AC36A5">
        <w:rPr>
          <w:rFonts w:eastAsia="Times New Roman" w:cs="Times New Roman"/>
          <w:b/>
          <w:bCs/>
          <w:rtl/>
          <w:lang w:eastAsia="de-DE"/>
        </w:rPr>
        <w:t>סָבִיב</w:t>
      </w:r>
      <w:r w:rsidRPr="00AC36A5">
        <w:rPr>
          <w:rFonts w:eastAsia="Times New Roman" w:cs="Times New Roman"/>
          <w:rtl/>
          <w:lang w:eastAsia="de-DE"/>
        </w:rPr>
        <w:t xml:space="preserve"> </w:t>
      </w:r>
      <w:r w:rsidRPr="00AC36A5">
        <w:rPr>
          <w:rFonts w:eastAsia="Times New Roman" w:cs="Times New Roman"/>
          <w:lang w:eastAsia="de-DE"/>
        </w:rPr>
        <w:t>(ringsum), das die vollständige Umfriedung betont.</w:t>
      </w:r>
    </w:p>
    <w:p w14:paraId="5EEC5B0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וְאַדְנֵיהֶם</w:t>
      </w:r>
      <w:r w:rsidRPr="00AC36A5">
        <w:rPr>
          <w:rFonts w:eastAsia="Times New Roman" w:cs="Times New Roman"/>
          <w:rtl/>
          <w:lang w:eastAsia="de-DE"/>
        </w:rPr>
        <w:t xml:space="preserve"> </w:t>
      </w:r>
      <w:r w:rsidRPr="00AC36A5">
        <w:rPr>
          <w:rFonts w:eastAsia="Times New Roman" w:cs="Times New Roman"/>
          <w:lang w:eastAsia="de-DE"/>
        </w:rPr>
        <w:t xml:space="preserve">(und ihre Füße) mit </w:t>
      </w:r>
      <w:r w:rsidRPr="00AC36A5">
        <w:rPr>
          <w:rFonts w:eastAsia="Times New Roman" w:cs="Times New Roman"/>
          <w:b/>
          <w:bCs/>
          <w:rtl/>
          <w:lang w:eastAsia="de-DE"/>
        </w:rPr>
        <w:t>אֲדָנִים</w:t>
      </w:r>
      <w:r w:rsidRPr="00AC36A5">
        <w:rPr>
          <w:rFonts w:eastAsia="Times New Roman" w:cs="Times New Roman"/>
          <w:rtl/>
          <w:lang w:eastAsia="de-DE"/>
        </w:rPr>
        <w:t xml:space="preserve"> </w:t>
      </w:r>
      <w:r w:rsidRPr="00AC36A5">
        <w:rPr>
          <w:rFonts w:eastAsia="Times New Roman" w:cs="Times New Roman"/>
          <w:lang w:eastAsia="de-DE"/>
        </w:rPr>
        <w:t>(Sockel/Füße) plus Possessivsuffix 3. maskulin Plural zeigt die Fundamente der Vorhofssäulen.</w:t>
      </w:r>
    </w:p>
    <w:p w14:paraId="2C6C732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וִיתֵדֹתָם וּמֵיתְרֵיהֶם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יְתֵדוֹת</w:t>
      </w:r>
      <w:r w:rsidRPr="00AC36A5">
        <w:rPr>
          <w:rFonts w:eastAsia="Times New Roman" w:cs="Times New Roman"/>
          <w:rtl/>
          <w:lang w:eastAsia="de-DE"/>
        </w:rPr>
        <w:t xml:space="preserve"> </w:t>
      </w:r>
      <w:r w:rsidRPr="00AC36A5">
        <w:rPr>
          <w:rFonts w:eastAsia="Times New Roman" w:cs="Times New Roman"/>
          <w:lang w:eastAsia="de-DE"/>
        </w:rPr>
        <w:t xml:space="preserve">(Pflöcke) und </w:t>
      </w:r>
      <w:r w:rsidRPr="00AC36A5">
        <w:rPr>
          <w:rFonts w:eastAsia="Times New Roman" w:cs="Times New Roman"/>
          <w:b/>
          <w:bCs/>
          <w:rtl/>
          <w:lang w:eastAsia="de-DE"/>
        </w:rPr>
        <w:t>מֵיתָרִים</w:t>
      </w:r>
      <w:r w:rsidRPr="00AC36A5">
        <w:rPr>
          <w:rFonts w:eastAsia="Times New Roman" w:cs="Times New Roman"/>
          <w:rtl/>
          <w:lang w:eastAsia="de-DE"/>
        </w:rPr>
        <w:t xml:space="preserve"> </w:t>
      </w:r>
      <w:r w:rsidRPr="00AC36A5">
        <w:rPr>
          <w:rFonts w:eastAsia="Times New Roman" w:cs="Times New Roman"/>
          <w:lang w:eastAsia="de-DE"/>
        </w:rPr>
        <w:t>(Seile) plus entsprechende Possessivsuffixe bezeichnen die Befestigungsmaterialien für die Zeltstrukturen.</w:t>
      </w:r>
    </w:p>
    <w:p w14:paraId="578AA30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τοὺς στύλους τῆς αὐλῆς κύκλῳ καὶ τὰς βάσεις αὐτῶν καὶ τοὺς πασσάλους καὶ τοὺς κάλους αὐτῶν und behält die Materialaufzählung bei.</w:t>
      </w:r>
    </w:p>
    <w:p w14:paraId="7C9DAAD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koordinierte Fortsetzung der Aufzählung mit strukturellen Elementen des äußeren Bereichs und Befestigungsmaterialien.</w:t>
      </w:r>
    </w:p>
    <w:p w14:paraId="47B0161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komplettiert die Aufgabenbeschreibung der Merariter durch die Verantwortung für die äußeren strukturellen Elemente und alle Befestigungsmaterialien der gesamten Anlage.</w:t>
      </w:r>
    </w:p>
    <w:p w14:paraId="494CEA8A"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3,38</w:t>
      </w:r>
    </w:p>
    <w:p w14:paraId="26CE9D1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וְהַחֹנִ֣ים לִפְנֵ֣י הַמִּשְׁכָּ֡ן קֵ֣דְמָה לִפְנֵי֩ אֹֽהֶל־מוֹעֵ֨ד׀ מִזְרָ֜חָה מֹשֶׁ֣ה׀ וְאַהֲרֹ֣ן וּבָנָ֗יו שֹֽׁמְרִים֙ מִשְׁמֶ֣רֶת הַמִּקְדָּ֔שׁ לְמִשְׁמֶ֖רֶת בְּנֵ֣י יִשְׂרָאֵ֑ל וְהַזָּ֥ר הַקָּרֵ֖ב יוּמָֽת׃</w:t>
      </w:r>
    </w:p>
    <w:p w14:paraId="5F6CE62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vor der Wohnung nach Osten, vor dem Zelt der Begegnung gegen Sonnenaufgang Lagernden waren Mosche und 'Aharon und seine Söhne, die den Dienst des Heiligtums versehend (waren), zur Aufsicht für die Söhne Jisra'el; und der Fremde, der sich nähert, soll getötet werden.</w:t>
      </w:r>
    </w:p>
    <w:p w14:paraId="6FC6307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06AA861">
          <v:rect id="_x0000_i1150" style="width:0;height:1.5pt" o:hralign="center" o:hrstd="t" o:hr="t" fillcolor="#a0a0a0" stroked="f"/>
        </w:pict>
      </w:r>
    </w:p>
    <w:p w14:paraId="213F592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Partizip </w:t>
      </w:r>
      <w:r w:rsidRPr="00AC36A5">
        <w:rPr>
          <w:rFonts w:eastAsia="Times New Roman" w:cs="Times New Roman"/>
          <w:b/>
          <w:bCs/>
          <w:rtl/>
          <w:lang w:eastAsia="de-DE"/>
        </w:rPr>
        <w:t>וְהַחֹנִים</w:t>
      </w:r>
      <w:r w:rsidRPr="00AC36A5">
        <w:rPr>
          <w:rFonts w:eastAsia="Times New Roman" w:cs="Times New Roman"/>
          <w:rtl/>
          <w:lang w:eastAsia="de-DE"/>
        </w:rPr>
        <w:t xml:space="preserve"> </w:t>
      </w:r>
      <w:r w:rsidRPr="00AC36A5">
        <w:rPr>
          <w:rFonts w:eastAsia="Times New Roman" w:cs="Times New Roman"/>
          <w:lang w:eastAsia="de-DE"/>
        </w:rPr>
        <w:t xml:space="preserve">(und die Lagernden) von </w:t>
      </w:r>
      <w:r w:rsidRPr="00AC36A5">
        <w:rPr>
          <w:rFonts w:eastAsia="Times New Roman" w:cs="Times New Roman"/>
          <w:b/>
          <w:bCs/>
          <w:rtl/>
          <w:lang w:eastAsia="de-DE"/>
        </w:rPr>
        <w:t>חנה</w:t>
      </w:r>
      <w:r w:rsidRPr="00AC36A5">
        <w:rPr>
          <w:rFonts w:eastAsia="Times New Roman" w:cs="Times New Roman"/>
          <w:rtl/>
          <w:lang w:eastAsia="de-DE"/>
        </w:rPr>
        <w:t xml:space="preserve"> </w:t>
      </w:r>
      <w:r w:rsidRPr="00AC36A5">
        <w:rPr>
          <w:rFonts w:eastAsia="Times New Roman" w:cs="Times New Roman"/>
          <w:lang w:eastAsia="de-DE"/>
        </w:rPr>
        <w:t>(lagern) im Qal-Partizip maskulin Plural mit bestimmtem Artikel leitet die Beschreibung der prestigeträchtigsten Lagerposition ein.</w:t>
      </w:r>
    </w:p>
    <w:p w14:paraId="73718F9E" w14:textId="77777777" w:rsidR="00FE103E" w:rsidRDefault="00AC36A5" w:rsidP="00FE103E">
      <w:pPr>
        <w:pStyle w:val="KeinLeerraum"/>
        <w:rPr>
          <w:lang w:eastAsia="de-DE"/>
        </w:rPr>
      </w:pPr>
      <w:r w:rsidRPr="00AC36A5">
        <w:rPr>
          <w:lang w:eastAsia="de-DE"/>
        </w:rPr>
        <w:t xml:space="preserve">Die doppelte Ortsbestimmung </w:t>
      </w:r>
      <w:r w:rsidRPr="00AC36A5">
        <w:rPr>
          <w:b/>
          <w:bCs/>
          <w:rtl/>
          <w:lang w:eastAsia="de-DE"/>
        </w:rPr>
        <w:t>לִפְנֵי הַמִּשְׁכָּן קֵדְמָה לִפְנֵי אֹהֶל־מוֹעֵד מִזְרָחָה</w:t>
      </w:r>
      <w:r w:rsidRPr="00AC36A5">
        <w:rPr>
          <w:rtl/>
          <w:lang w:eastAsia="de-DE"/>
        </w:rPr>
        <w:t xml:space="preserve"> </w:t>
      </w:r>
      <w:r w:rsidRPr="00AC36A5">
        <w:rPr>
          <w:lang w:eastAsia="de-DE"/>
        </w:rPr>
        <w:t xml:space="preserve">mit </w:t>
      </w:r>
      <w:r w:rsidRPr="00AC36A5">
        <w:rPr>
          <w:b/>
          <w:bCs/>
          <w:rtl/>
          <w:lang w:eastAsia="de-DE"/>
        </w:rPr>
        <w:t>לִפְנֵי</w:t>
      </w:r>
      <w:r w:rsidRPr="00AC36A5">
        <w:rPr>
          <w:rtl/>
          <w:lang w:eastAsia="de-DE"/>
        </w:rPr>
        <w:t xml:space="preserve"> </w:t>
      </w:r>
      <w:r w:rsidRPr="00AC36A5">
        <w:rPr>
          <w:lang w:eastAsia="de-DE"/>
        </w:rPr>
        <w:t xml:space="preserve">(vor), </w:t>
      </w:r>
      <w:r w:rsidRPr="00AC36A5">
        <w:rPr>
          <w:b/>
          <w:bCs/>
          <w:rtl/>
          <w:lang w:eastAsia="de-DE"/>
        </w:rPr>
        <w:t>קֵדְמָה</w:t>
      </w:r>
      <w:r w:rsidRPr="00AC36A5">
        <w:rPr>
          <w:rtl/>
          <w:lang w:eastAsia="de-DE"/>
        </w:rPr>
        <w:t xml:space="preserve"> </w:t>
      </w:r>
      <w:r w:rsidRPr="00AC36A5">
        <w:rPr>
          <w:lang w:eastAsia="de-DE"/>
        </w:rPr>
        <w:t xml:space="preserve">(ostwärts) und </w:t>
      </w:r>
      <w:r w:rsidRPr="00AC36A5">
        <w:rPr>
          <w:b/>
          <w:bCs/>
          <w:rtl/>
          <w:lang w:eastAsia="de-DE"/>
        </w:rPr>
        <w:t>מִזְרָחָה</w:t>
      </w:r>
      <w:r w:rsidRPr="00AC36A5">
        <w:rPr>
          <w:rtl/>
          <w:lang w:eastAsia="de-DE"/>
        </w:rPr>
        <w:t xml:space="preserve"> </w:t>
      </w:r>
      <w:r w:rsidRPr="00AC36A5">
        <w:rPr>
          <w:lang w:eastAsia="de-DE"/>
        </w:rPr>
        <w:t>(nach Sonnenaufgang) zeigt die mehrfache Betonung der Ehrenstelle im Osten.</w:t>
      </w:r>
      <w:r w:rsidR="00FE103E">
        <w:rPr>
          <w:lang w:eastAsia="de-DE"/>
        </w:rPr>
        <w:t xml:space="preserve"> </w:t>
      </w:r>
    </w:p>
    <w:p w14:paraId="164CA928" w14:textId="60212ABD" w:rsidR="00AC36A5" w:rsidRDefault="00FE103E" w:rsidP="00FE103E">
      <w:pPr>
        <w:pStyle w:val="KeinLeerraum"/>
        <w:rPr>
          <w:rFonts w:asciiTheme="majorBidi" w:hAnsiTheme="majorBidi"/>
          <w:color w:val="141413"/>
          <w:shd w:val="clear" w:color="auto" w:fill="FAF9F5"/>
        </w:rPr>
      </w:pPr>
      <w:r w:rsidRPr="00FE103E">
        <w:rPr>
          <w:rFonts w:asciiTheme="majorBidi" w:hAnsiTheme="majorBidi"/>
          <w:color w:val="141413"/>
          <w:shd w:val="clear" w:color="auto" w:fill="FAF9F5"/>
        </w:rPr>
        <w:t>Die Ostseite als Ehrenstelle basiert auf:</w:t>
      </w:r>
    </w:p>
    <w:p w14:paraId="7A59F3C1" w14:textId="77777777" w:rsidR="00FE103E" w:rsidRDefault="00FE103E" w:rsidP="00C15C06">
      <w:pPr>
        <w:pStyle w:val="whitespace-normal"/>
        <w:numPr>
          <w:ilvl w:val="0"/>
          <w:numId w:val="38"/>
        </w:numPr>
      </w:pPr>
      <w:r>
        <w:rPr>
          <w:rStyle w:val="Fett"/>
        </w:rPr>
        <w:t>Liturgischer Orientierung</w:t>
      </w:r>
      <w:r>
        <w:t>: Israeliten beten nach Osten zum Tempel (Ps 5,8; Dan 6,11)</w:t>
      </w:r>
    </w:p>
    <w:p w14:paraId="67E93496" w14:textId="77777777" w:rsidR="00FE103E" w:rsidRDefault="00FE103E" w:rsidP="00C15C06">
      <w:pPr>
        <w:pStyle w:val="whitespace-normal"/>
        <w:numPr>
          <w:ilvl w:val="0"/>
          <w:numId w:val="38"/>
        </w:numPr>
      </w:pPr>
      <w:r>
        <w:rPr>
          <w:rStyle w:val="Fett"/>
        </w:rPr>
        <w:t>Paradies-Tradition</w:t>
      </w:r>
      <w:r>
        <w:t>: Eden lag im Osten (Gen 2,8), daher eschatologische Konnotation</w:t>
      </w:r>
    </w:p>
    <w:p w14:paraId="789359E5" w14:textId="77777777" w:rsidR="00FE103E" w:rsidRDefault="00FE103E" w:rsidP="00C15C06">
      <w:pPr>
        <w:pStyle w:val="whitespace-normal"/>
        <w:numPr>
          <w:ilvl w:val="0"/>
          <w:numId w:val="38"/>
        </w:numPr>
      </w:pPr>
      <w:r>
        <w:rPr>
          <w:rStyle w:val="Fett"/>
        </w:rPr>
        <w:t>Theophanie-Richtung</w:t>
      </w:r>
      <w:r>
        <w:t>: Gottes Herrlichkeit kommt von Osten (Ez 43,2)</w:t>
      </w:r>
    </w:p>
    <w:p w14:paraId="47D66BE6" w14:textId="559C47A7" w:rsidR="00B7514F" w:rsidRPr="00AC36A5" w:rsidRDefault="00FE103E" w:rsidP="00B7514F">
      <w:pPr>
        <w:pStyle w:val="whitespace-normal"/>
      </w:pPr>
      <w:r>
        <w:lastRenderedPageBreak/>
        <w:t xml:space="preserve">Die Position Moses und Aarons </w:t>
      </w:r>
      <w:r>
        <w:rPr>
          <w:rtl/>
        </w:rPr>
        <w:t>בְּאֵלֶּה</w:t>
      </w:r>
      <w:r>
        <w:t xml:space="preserve"> (vor dem Eingang) kontrolliert den Zugang zum Heiligtum und visualisiert ihre Mittlerrolle zwischen Gott und Volk. Die dreifache Todesdrohung (1,51; 3,10; 3,38) markiert konzentrische Heiligkeitszonen mit zunehmender Restriktion.</w:t>
      </w:r>
    </w:p>
    <w:p w14:paraId="1602118A" w14:textId="4443D93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Subjekt </w:t>
      </w:r>
      <w:r w:rsidRPr="00AC36A5">
        <w:rPr>
          <w:rFonts w:eastAsia="Times New Roman" w:cs="Times New Roman"/>
          <w:b/>
          <w:bCs/>
          <w:rtl/>
          <w:lang w:eastAsia="de-DE"/>
        </w:rPr>
        <w:t>מֹשֶׁה וְאַהֲרֹן וּבָנָיו</w:t>
      </w:r>
      <w:r w:rsidRPr="00AC36A5">
        <w:rPr>
          <w:rFonts w:eastAsia="Times New Roman" w:cs="Times New Roman"/>
          <w:rtl/>
          <w:lang w:eastAsia="de-DE"/>
        </w:rPr>
        <w:t xml:space="preserve"> </w:t>
      </w:r>
      <w:r w:rsidRPr="00AC36A5">
        <w:rPr>
          <w:rFonts w:eastAsia="Times New Roman" w:cs="Times New Roman"/>
          <w:lang w:eastAsia="de-DE"/>
        </w:rPr>
        <w:t xml:space="preserve">mit koordinierender Struktur nennt die höchste Führungsebene Israels. Das Partizip </w:t>
      </w:r>
      <w:r w:rsidRPr="00AC36A5">
        <w:rPr>
          <w:rFonts w:eastAsia="Times New Roman" w:cs="Times New Roman"/>
          <w:b/>
          <w:bCs/>
          <w:rtl/>
          <w:lang w:eastAsia="de-DE"/>
        </w:rPr>
        <w:t>שֹׁמְרִים</w:t>
      </w:r>
      <w:r w:rsidRPr="00AC36A5">
        <w:rPr>
          <w:rFonts w:eastAsia="Times New Roman" w:cs="Times New Roman"/>
          <w:rtl/>
          <w:lang w:eastAsia="de-DE"/>
        </w:rPr>
        <w:t xml:space="preserve"> </w:t>
      </w:r>
      <w:r w:rsidRPr="00AC36A5">
        <w:rPr>
          <w:rFonts w:eastAsia="Times New Roman" w:cs="Times New Roman"/>
          <w:lang w:eastAsia="de-DE"/>
        </w:rPr>
        <w:t xml:space="preserve">(hütend/bewahrend) von </w:t>
      </w:r>
      <w:r w:rsidRPr="00AC36A5">
        <w:rPr>
          <w:rFonts w:eastAsia="Times New Roman" w:cs="Times New Roman"/>
          <w:b/>
          <w:bCs/>
          <w:rtl/>
          <w:lang w:eastAsia="de-DE"/>
        </w:rPr>
        <w:t>שמר</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מִשְׁמֶרֶת הַמִּקְדָּשׁ</w:t>
      </w:r>
      <w:r w:rsidRPr="00AC36A5">
        <w:rPr>
          <w:rFonts w:eastAsia="Times New Roman" w:cs="Times New Roman"/>
          <w:rtl/>
          <w:lang w:eastAsia="de-DE"/>
        </w:rPr>
        <w:t xml:space="preserve"> </w:t>
      </w:r>
      <w:r w:rsidRPr="00AC36A5">
        <w:rPr>
          <w:rFonts w:eastAsia="Times New Roman" w:cs="Times New Roman"/>
          <w:lang w:eastAsia="de-DE"/>
        </w:rPr>
        <w:t xml:space="preserve">(Dienst/Aufsicht des Heiligtums) im </w:t>
      </w:r>
      <w:r w:rsidR="00F133EC">
        <w:rPr>
          <w:rFonts w:eastAsia="Times New Roman" w:cs="Times New Roman"/>
          <w:lang w:eastAsia="de-DE"/>
        </w:rPr>
        <w:t>Construct</w:t>
      </w:r>
      <w:r w:rsidRPr="00AC36A5">
        <w:rPr>
          <w:rFonts w:eastAsia="Times New Roman" w:cs="Times New Roman"/>
          <w:lang w:eastAsia="de-DE"/>
        </w:rPr>
        <w:t xml:space="preserve"> betont die heiligste Verantwortung.</w:t>
      </w:r>
    </w:p>
    <w:p w14:paraId="6867A2D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finale Phrase </w:t>
      </w:r>
      <w:r w:rsidRPr="00AC36A5">
        <w:rPr>
          <w:rFonts w:eastAsia="Times New Roman" w:cs="Times New Roman"/>
          <w:b/>
          <w:bCs/>
          <w:rtl/>
          <w:lang w:eastAsia="de-DE"/>
        </w:rPr>
        <w:t>לְמִשְׁמֶרֶת בְּנֵי יִשְׂרָאֵל</w:t>
      </w:r>
      <w:r w:rsidRPr="00AC36A5">
        <w:rPr>
          <w:rFonts w:eastAsia="Times New Roman" w:cs="Times New Roman"/>
          <w:rtl/>
          <w:lang w:eastAsia="de-DE"/>
        </w:rPr>
        <w:t xml:space="preserve"> </w:t>
      </w:r>
      <w:r w:rsidRPr="00AC36A5">
        <w:rPr>
          <w:rFonts w:eastAsia="Times New Roman" w:cs="Times New Roman"/>
          <w:lang w:eastAsia="de-DE"/>
        </w:rPr>
        <w:t xml:space="preserve">(zur Aufsicht der Söhne Israels)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zeigt den stellvertretenden Charakter des Dienstes.</w:t>
      </w:r>
    </w:p>
    <w:p w14:paraId="6ADEE56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Warnsatz </w:t>
      </w:r>
      <w:r w:rsidRPr="00AC36A5">
        <w:rPr>
          <w:rFonts w:eastAsia="Times New Roman" w:cs="Times New Roman"/>
          <w:b/>
          <w:bCs/>
          <w:rtl/>
          <w:lang w:eastAsia="de-DE"/>
        </w:rPr>
        <w:t>וְהַזָּר הַקָּרֵב יוּמָת</w:t>
      </w:r>
      <w:r w:rsidRPr="00AC36A5">
        <w:rPr>
          <w:rFonts w:eastAsia="Times New Roman" w:cs="Times New Roman"/>
          <w:rtl/>
          <w:lang w:eastAsia="de-DE"/>
        </w:rPr>
        <w:t xml:space="preserve"> </w:t>
      </w:r>
      <w:r w:rsidRPr="00AC36A5">
        <w:rPr>
          <w:rFonts w:eastAsia="Times New Roman" w:cs="Times New Roman"/>
          <w:lang w:eastAsia="de-DE"/>
        </w:rPr>
        <w:t xml:space="preserve">wiederholt die Todesdrohung aus 1,51 und 3,10 mit </w:t>
      </w:r>
      <w:r w:rsidRPr="00AC36A5">
        <w:rPr>
          <w:rFonts w:eastAsia="Times New Roman" w:cs="Times New Roman"/>
          <w:b/>
          <w:bCs/>
          <w:rtl/>
          <w:lang w:eastAsia="de-DE"/>
        </w:rPr>
        <w:t>זָר</w:t>
      </w:r>
      <w:r w:rsidRPr="00AC36A5">
        <w:rPr>
          <w:rFonts w:eastAsia="Times New Roman" w:cs="Times New Roman"/>
          <w:rtl/>
          <w:lang w:eastAsia="de-DE"/>
        </w:rPr>
        <w:t xml:space="preserve"> </w:t>
      </w:r>
      <w:r w:rsidRPr="00AC36A5">
        <w:rPr>
          <w:rFonts w:eastAsia="Times New Roman" w:cs="Times New Roman"/>
          <w:lang w:eastAsia="de-DE"/>
        </w:rPr>
        <w:t xml:space="preserve">(Fremder/Unbefugter), </w:t>
      </w:r>
      <w:r w:rsidRPr="00AC36A5">
        <w:rPr>
          <w:rFonts w:eastAsia="Times New Roman" w:cs="Times New Roman"/>
          <w:b/>
          <w:bCs/>
          <w:rtl/>
          <w:lang w:eastAsia="de-DE"/>
        </w:rPr>
        <w:t>קָרֵב</w:t>
      </w:r>
      <w:r w:rsidRPr="00AC36A5">
        <w:rPr>
          <w:rFonts w:eastAsia="Times New Roman" w:cs="Times New Roman"/>
          <w:rtl/>
          <w:lang w:eastAsia="de-DE"/>
        </w:rPr>
        <w:t xml:space="preserve"> </w:t>
      </w:r>
      <w:r w:rsidRPr="00AC36A5">
        <w:rPr>
          <w:rFonts w:eastAsia="Times New Roman" w:cs="Times New Roman"/>
          <w:lang w:eastAsia="de-DE"/>
        </w:rPr>
        <w:t xml:space="preserve">(sich nähernd) als Partizip und </w:t>
      </w:r>
      <w:r w:rsidRPr="00AC36A5">
        <w:rPr>
          <w:rFonts w:eastAsia="Times New Roman" w:cs="Times New Roman"/>
          <w:b/>
          <w:bCs/>
          <w:rtl/>
          <w:lang w:eastAsia="de-DE"/>
        </w:rPr>
        <w:t>יוּמָת</w:t>
      </w:r>
      <w:r w:rsidRPr="00AC36A5">
        <w:rPr>
          <w:rFonts w:eastAsia="Times New Roman" w:cs="Times New Roman"/>
          <w:rtl/>
          <w:lang w:eastAsia="de-DE"/>
        </w:rPr>
        <w:t xml:space="preserve"> </w:t>
      </w:r>
      <w:r w:rsidRPr="00AC36A5">
        <w:rPr>
          <w:rFonts w:eastAsia="Times New Roman" w:cs="Times New Roman"/>
          <w:lang w:eastAsia="de-DE"/>
        </w:rPr>
        <w:t>(er soll getötet werden) im Hoph'al-Imperfekt.</w:t>
      </w:r>
    </w:p>
    <w:p w14:paraId="6023839D" w14:textId="77777777" w:rsidR="0064204A" w:rsidRDefault="0064204A" w:rsidP="00AC36A5">
      <w:pPr>
        <w:spacing w:before="100" w:beforeAutospacing="1" w:after="100" w:afterAutospacing="1" w:line="240" w:lineRule="auto"/>
      </w:pPr>
      <w:r>
        <w:rPr>
          <w:rStyle w:val="Fett"/>
        </w:rPr>
        <w:t>Die LXX</w:t>
      </w:r>
      <w:r>
        <w:t xml:space="preserve"> erweitert die Beschreibung: </w:t>
      </w:r>
      <w:r>
        <w:rPr>
          <w:rtl/>
        </w:rPr>
        <w:t>למשמרת בני ישראל</w:t>
      </w:r>
      <w:r>
        <w:t xml:space="preserve"> (lemishmereth benei yisra'el - "für die Wache der Söhne Israels") wird als εἰς τὰς φυλακὰς τῶν υἱῶν Ἰσραήλ (für die Wachen der Söhne Israels) übersetzt.</w:t>
      </w:r>
    </w:p>
    <w:p w14:paraId="1CAD7B79" w14:textId="3DE7A913"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partizipiale </w:t>
      </w:r>
      <w:r w:rsidR="00F133EC">
        <w:rPr>
          <w:rFonts w:eastAsia="Times New Roman" w:cs="Times New Roman"/>
          <w:lang w:eastAsia="de-DE"/>
        </w:rPr>
        <w:t>Construct</w:t>
      </w:r>
      <w:r w:rsidRPr="00AC36A5">
        <w:rPr>
          <w:rFonts w:eastAsia="Times New Roman" w:cs="Times New Roman"/>
          <w:lang w:eastAsia="de-DE"/>
        </w:rPr>
        <w:t>ion mit doppelter Ortsbestimmung, koordiniertem Subjekt, partizipialer Funktionsbestimmung mit stellvertretender Ergänzung und abschließender Warnung.</w:t>
      </w:r>
    </w:p>
    <w:p w14:paraId="180C2F20" w14:textId="2678A67C" w:rsidR="00B37FDD" w:rsidRDefault="00AC36A5" w:rsidP="00B37FDD">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positioniert die höchste geistliche Autorität Israels auf der Ehrenstelle im Osten und betont durch die wiederholte Todesdrohung die absolute Heiligkeit des direkten Zugangs zum Heiligtum.</w:t>
      </w:r>
    </w:p>
    <w:p w14:paraId="5DD4242B" w14:textId="77777777" w:rsidR="00B37FDD" w:rsidRDefault="00B37FDD" w:rsidP="00B37FDD">
      <w:pPr>
        <w:pStyle w:val="whitespace-normal"/>
      </w:pPr>
      <w:r>
        <w:rPr>
          <w:rStyle w:val="Fett"/>
        </w:rPr>
        <w:t>EXKURS: Levitische Lagerordnung und konzentrische Heiligkeitsstruktur</w:t>
      </w:r>
    </w:p>
    <w:p w14:paraId="2E7C6B13" w14:textId="77777777" w:rsidR="00B37FDD" w:rsidRDefault="00B37FDD" w:rsidP="00B37FDD">
      <w:pPr>
        <w:pStyle w:val="whitespace-normal"/>
      </w:pPr>
      <w:r>
        <w:t>Die Verse 3,21-38 etablieren ein präzises räumliches Ordnungssystem um die Stiftshütte, das die theologische Hierarchie Israels visualisiert:</w:t>
      </w:r>
    </w:p>
    <w:p w14:paraId="76248F7E" w14:textId="77777777" w:rsidR="00B37FDD" w:rsidRDefault="00B37FDD" w:rsidP="00B37FDD">
      <w:pPr>
        <w:pStyle w:val="whitespace-normal"/>
      </w:pPr>
      <w:r>
        <w:rPr>
          <w:rStyle w:val="Fett"/>
        </w:rPr>
        <w:t>Levitische Lagerordnung um die Stiftshütte:</w:t>
      </w:r>
    </w:p>
    <w:tbl>
      <w:tblPr>
        <w:tblStyle w:val="Tabellenraster"/>
        <w:tblW w:w="3754" w:type="pct"/>
        <w:tblInd w:w="988" w:type="dxa"/>
        <w:tblLook w:val="04A0" w:firstRow="1" w:lastRow="0" w:firstColumn="1" w:lastColumn="0" w:noHBand="0" w:noVBand="1"/>
      </w:tblPr>
      <w:tblGrid>
        <w:gridCol w:w="1984"/>
        <w:gridCol w:w="2694"/>
        <w:gridCol w:w="2126"/>
      </w:tblGrid>
      <w:tr w:rsidR="00994FFA" w14:paraId="51DA97FF" w14:textId="77777777" w:rsidTr="00042804">
        <w:trPr>
          <w:gridBefore w:val="1"/>
          <w:gridAfter w:val="1"/>
          <w:wBefore w:w="1458" w:type="pct"/>
          <w:wAfter w:w="1562" w:type="pct"/>
          <w:trHeight w:val="1700"/>
        </w:trPr>
        <w:tc>
          <w:tcPr>
            <w:tcW w:w="1980" w:type="pct"/>
          </w:tcPr>
          <w:p w14:paraId="46C5DC0C" w14:textId="77777777" w:rsidR="00BF5EE8" w:rsidRDefault="00BF5EE8" w:rsidP="00BF5EE8">
            <w:pPr>
              <w:pStyle w:val="KeinLeerraum"/>
              <w:jc w:val="center"/>
              <w:rPr>
                <w:b/>
                <w:bCs/>
                <w:sz w:val="22"/>
                <w:szCs w:val="22"/>
                <w:lang w:eastAsia="de-DE"/>
              </w:rPr>
            </w:pPr>
          </w:p>
          <w:p w14:paraId="1552A51E" w14:textId="322B71EB" w:rsidR="00994FFA" w:rsidRDefault="00994FFA" w:rsidP="00BF5EE8">
            <w:pPr>
              <w:pStyle w:val="KeinLeerraum"/>
              <w:jc w:val="center"/>
              <w:rPr>
                <w:sz w:val="16"/>
                <w:szCs w:val="16"/>
                <w:lang w:eastAsia="de-DE"/>
              </w:rPr>
            </w:pPr>
            <w:r w:rsidRPr="00BF5EE8">
              <w:rPr>
                <w:b/>
                <w:bCs/>
                <w:sz w:val="22"/>
                <w:szCs w:val="22"/>
                <w:lang w:eastAsia="de-DE"/>
              </w:rPr>
              <w:t>NORDEN</w:t>
            </w:r>
            <w:r w:rsidRPr="00BF5EE8">
              <w:rPr>
                <w:sz w:val="22"/>
                <w:szCs w:val="22"/>
                <w:lang w:eastAsia="de-DE"/>
              </w:rPr>
              <w:t xml:space="preserve"> </w:t>
            </w:r>
            <w:r w:rsidRPr="00BF5EE8">
              <w:rPr>
                <w:sz w:val="22"/>
                <w:szCs w:val="22"/>
                <w:rtl/>
                <w:lang w:eastAsia="de-DE"/>
              </w:rPr>
              <w:t>צָפֹנָה</w:t>
            </w:r>
          </w:p>
          <w:p w14:paraId="47BE002A" w14:textId="77777777" w:rsidR="00042804" w:rsidRPr="00042804" w:rsidRDefault="00042804" w:rsidP="00BF5EE8">
            <w:pPr>
              <w:pStyle w:val="KeinLeerraum"/>
              <w:jc w:val="center"/>
              <w:rPr>
                <w:sz w:val="16"/>
                <w:szCs w:val="16"/>
                <w:lang w:eastAsia="de-DE"/>
              </w:rPr>
            </w:pPr>
          </w:p>
          <w:p w14:paraId="1E952553" w14:textId="77777777" w:rsidR="00994FFA" w:rsidRPr="00901D5C" w:rsidRDefault="00994FFA" w:rsidP="00994FFA">
            <w:pPr>
              <w:pStyle w:val="KeinLeerraum"/>
              <w:rPr>
                <w:sz w:val="16"/>
                <w:szCs w:val="16"/>
                <w:lang w:eastAsia="de-DE"/>
              </w:rPr>
            </w:pPr>
            <w:r w:rsidRPr="00901D5C">
              <w:rPr>
                <w:sz w:val="16"/>
                <w:szCs w:val="16"/>
                <w:lang w:eastAsia="de-DE"/>
              </w:rPr>
              <w:t>Merari (6.200)</w:t>
            </w:r>
          </w:p>
          <w:p w14:paraId="5AC5A82F" w14:textId="77777777" w:rsidR="00994FFA" w:rsidRPr="00B37FDD" w:rsidRDefault="00994FFA" w:rsidP="00994FFA">
            <w:pPr>
              <w:pStyle w:val="KeinLeerraum"/>
              <w:rPr>
                <w:b/>
                <w:bCs/>
                <w:sz w:val="16"/>
                <w:szCs w:val="16"/>
                <w:lang w:eastAsia="de-DE"/>
              </w:rPr>
            </w:pPr>
            <w:r w:rsidRPr="00B37FDD">
              <w:rPr>
                <w:b/>
                <w:bCs/>
                <w:sz w:val="16"/>
                <w:szCs w:val="16"/>
                <w:lang w:eastAsia="de-DE"/>
              </w:rPr>
              <w:t>Führer: Zuriel ben Abichajil</w:t>
            </w:r>
          </w:p>
          <w:p w14:paraId="6BD1F467" w14:textId="77777777" w:rsidR="00994FFA" w:rsidRPr="00901D5C" w:rsidRDefault="00994FFA" w:rsidP="00994FFA">
            <w:pPr>
              <w:pStyle w:val="KeinLeerraum"/>
              <w:rPr>
                <w:sz w:val="16"/>
                <w:szCs w:val="16"/>
                <w:lang w:eastAsia="de-DE"/>
              </w:rPr>
            </w:pPr>
            <w:r w:rsidRPr="00901D5C">
              <w:rPr>
                <w:sz w:val="16"/>
                <w:szCs w:val="16"/>
                <w:lang w:eastAsia="de-DE"/>
              </w:rPr>
              <w:t>Aufgabe: Strukturelemente</w:t>
            </w:r>
          </w:p>
          <w:p w14:paraId="709A11BF" w14:textId="12720F59" w:rsidR="00994FFA" w:rsidRPr="00901D5C" w:rsidRDefault="00994FFA" w:rsidP="00994FFA">
            <w:pPr>
              <w:pStyle w:val="KeinLeerraum"/>
              <w:rPr>
                <w:sz w:val="16"/>
                <w:szCs w:val="16"/>
                <w:lang w:eastAsia="de-DE"/>
              </w:rPr>
            </w:pPr>
            <w:r w:rsidRPr="00901D5C">
              <w:rPr>
                <w:sz w:val="16"/>
                <w:szCs w:val="16"/>
                <w:lang w:eastAsia="de-DE"/>
              </w:rPr>
              <w:t>Bretter, Riegel, Säulen, Sockel</w:t>
            </w:r>
          </w:p>
          <w:p w14:paraId="112BA160" w14:textId="77777777" w:rsidR="00994FFA" w:rsidRDefault="00994FFA" w:rsidP="00994FFA">
            <w:pPr>
              <w:pStyle w:val="KeinLeerraum"/>
              <w:jc w:val="center"/>
              <w:rPr>
                <w:lang w:eastAsia="de-DE"/>
              </w:rPr>
            </w:pPr>
          </w:p>
        </w:tc>
      </w:tr>
      <w:tr w:rsidR="00BF5EE8" w14:paraId="41213653" w14:textId="2DDA0C55" w:rsidTr="00BF5EE8">
        <w:trPr>
          <w:trHeight w:val="1135"/>
        </w:trPr>
        <w:tc>
          <w:tcPr>
            <w:tcW w:w="1458" w:type="pct"/>
          </w:tcPr>
          <w:p w14:paraId="218D6824" w14:textId="77777777" w:rsidR="00BF5EE8" w:rsidRDefault="00BF5EE8" w:rsidP="00BF5EE8">
            <w:pPr>
              <w:pStyle w:val="KeinLeerraum"/>
              <w:jc w:val="center"/>
              <w:rPr>
                <w:b/>
                <w:bCs/>
                <w:lang w:eastAsia="de-DE"/>
              </w:rPr>
            </w:pPr>
          </w:p>
          <w:p w14:paraId="7C6AC5A3" w14:textId="139EEE95" w:rsidR="00BF5EE8" w:rsidRDefault="00BF5EE8" w:rsidP="00BF5EE8">
            <w:pPr>
              <w:pStyle w:val="KeinLeerraum"/>
              <w:jc w:val="center"/>
              <w:rPr>
                <w:sz w:val="16"/>
                <w:szCs w:val="16"/>
                <w:lang w:eastAsia="de-DE"/>
              </w:rPr>
            </w:pPr>
            <w:r w:rsidRPr="00BF5EE8">
              <w:rPr>
                <w:b/>
                <w:bCs/>
                <w:lang w:eastAsia="de-DE"/>
              </w:rPr>
              <w:t>WESTEN</w:t>
            </w:r>
            <w:r w:rsidRPr="00BF5EE8">
              <w:rPr>
                <w:lang w:eastAsia="de-DE"/>
              </w:rPr>
              <w:t xml:space="preserve"> </w:t>
            </w:r>
            <w:r w:rsidRPr="00BF5EE8">
              <w:rPr>
                <w:rtl/>
                <w:lang w:eastAsia="de-DE"/>
              </w:rPr>
              <w:t>יָמָּה</w:t>
            </w:r>
          </w:p>
          <w:p w14:paraId="53339907" w14:textId="77777777" w:rsidR="00042804" w:rsidRPr="00042804" w:rsidRDefault="00042804" w:rsidP="00BF5EE8">
            <w:pPr>
              <w:pStyle w:val="KeinLeerraum"/>
              <w:jc w:val="center"/>
              <w:rPr>
                <w:sz w:val="16"/>
                <w:szCs w:val="16"/>
                <w:lang w:eastAsia="de-DE"/>
              </w:rPr>
            </w:pPr>
          </w:p>
          <w:p w14:paraId="05991011" w14:textId="77777777" w:rsidR="00BF5EE8" w:rsidRPr="00BF5EE8" w:rsidRDefault="00BF5EE8" w:rsidP="00BF5EE8">
            <w:pPr>
              <w:pStyle w:val="KeinLeerraum"/>
              <w:rPr>
                <w:b/>
                <w:bCs/>
                <w:sz w:val="16"/>
                <w:szCs w:val="16"/>
                <w:lang w:eastAsia="de-DE"/>
              </w:rPr>
            </w:pPr>
            <w:r w:rsidRPr="00BF5EE8">
              <w:rPr>
                <w:sz w:val="16"/>
                <w:szCs w:val="16"/>
                <w:lang w:eastAsia="de-DE"/>
              </w:rPr>
              <w:t>Gerschon (7.500</w:t>
            </w:r>
            <w:r w:rsidRPr="00BF5EE8">
              <w:rPr>
                <w:b/>
                <w:bCs/>
                <w:sz w:val="16"/>
                <w:szCs w:val="16"/>
                <w:lang w:eastAsia="de-DE"/>
              </w:rPr>
              <w:t xml:space="preserve">] </w:t>
            </w:r>
          </w:p>
          <w:p w14:paraId="0B714F8A" w14:textId="77777777" w:rsidR="00BF5EE8" w:rsidRPr="00BF5EE8" w:rsidRDefault="00BF5EE8" w:rsidP="00BF5EE8">
            <w:pPr>
              <w:pStyle w:val="KeinLeerraum"/>
              <w:rPr>
                <w:b/>
                <w:bCs/>
                <w:sz w:val="16"/>
                <w:szCs w:val="16"/>
                <w:lang w:eastAsia="de-DE"/>
              </w:rPr>
            </w:pPr>
            <w:r w:rsidRPr="00BF5EE8">
              <w:rPr>
                <w:b/>
                <w:bCs/>
                <w:sz w:val="16"/>
                <w:szCs w:val="16"/>
                <w:lang w:eastAsia="de-DE"/>
              </w:rPr>
              <w:t>Führer: Eljasaph</w:t>
            </w:r>
            <w:r w:rsidRPr="00BF5EE8">
              <w:rPr>
                <w:sz w:val="16"/>
                <w:szCs w:val="16"/>
                <w:lang w:eastAsia="de-DE"/>
              </w:rPr>
              <w:t xml:space="preserve">            </w:t>
            </w:r>
            <w:r w:rsidRPr="00BF5EE8">
              <w:rPr>
                <w:b/>
                <w:bCs/>
                <w:sz w:val="16"/>
                <w:szCs w:val="16"/>
                <w:lang w:eastAsia="de-DE"/>
              </w:rPr>
              <w:t xml:space="preserve"> </w:t>
            </w:r>
          </w:p>
          <w:p w14:paraId="1AC4C46B" w14:textId="5C0A1FC2" w:rsidR="00BF5EE8" w:rsidRPr="00BF5EE8" w:rsidRDefault="00BF5EE8" w:rsidP="00BF5EE8">
            <w:pPr>
              <w:pStyle w:val="KeinLeerraum"/>
              <w:rPr>
                <w:sz w:val="16"/>
                <w:szCs w:val="16"/>
                <w:lang w:eastAsia="de-DE"/>
              </w:rPr>
            </w:pPr>
            <w:r w:rsidRPr="00BF5EE8">
              <w:rPr>
                <w:sz w:val="16"/>
                <w:szCs w:val="16"/>
                <w:lang w:eastAsia="de-DE"/>
              </w:rPr>
              <w:t xml:space="preserve">Aufgabe: Textilien                                  </w:t>
            </w:r>
          </w:p>
          <w:p w14:paraId="52B189E5" w14:textId="29E65615" w:rsidR="00BF5EE8" w:rsidRPr="00BF5EE8" w:rsidRDefault="00BF5EE8" w:rsidP="00BF5EE8">
            <w:pPr>
              <w:pStyle w:val="KeinLeerraum"/>
              <w:rPr>
                <w:lang w:eastAsia="de-DE"/>
              </w:rPr>
            </w:pPr>
            <w:r w:rsidRPr="00BF5EE8">
              <w:rPr>
                <w:sz w:val="16"/>
                <w:szCs w:val="16"/>
                <w:lang w:eastAsia="de-DE"/>
              </w:rPr>
              <w:t>Zelte, Decken, Vorhänge</w:t>
            </w:r>
            <w:r w:rsidRPr="00BF5EE8">
              <w:rPr>
                <w:lang w:eastAsia="de-DE"/>
              </w:rPr>
              <w:t xml:space="preserve"> </w:t>
            </w:r>
          </w:p>
          <w:p w14:paraId="0C63D43D" w14:textId="32FD467B" w:rsidR="00994FFA" w:rsidRDefault="00994FFA" w:rsidP="00994FFA">
            <w:pPr>
              <w:pStyle w:val="KeinLeerraum"/>
              <w:jc w:val="center"/>
              <w:rPr>
                <w:lang w:eastAsia="de-DE"/>
              </w:rPr>
            </w:pPr>
          </w:p>
        </w:tc>
        <w:tc>
          <w:tcPr>
            <w:tcW w:w="1980" w:type="pct"/>
          </w:tcPr>
          <w:p w14:paraId="2EA6E5BD" w14:textId="77777777" w:rsidR="00BF5EE8" w:rsidRDefault="00BF5EE8" w:rsidP="00042804">
            <w:pPr>
              <w:pStyle w:val="KeinLeerraum"/>
              <w:rPr>
                <w:b/>
                <w:bCs/>
                <w:lang w:eastAsia="de-DE"/>
              </w:rPr>
            </w:pPr>
          </w:p>
          <w:p w14:paraId="4792965D" w14:textId="77777777" w:rsidR="00BF5EE8" w:rsidRDefault="00BF5EE8" w:rsidP="00994FFA">
            <w:pPr>
              <w:pStyle w:val="KeinLeerraum"/>
              <w:jc w:val="center"/>
              <w:rPr>
                <w:b/>
                <w:bCs/>
                <w:lang w:eastAsia="de-DE"/>
              </w:rPr>
            </w:pPr>
          </w:p>
          <w:p w14:paraId="34087D75" w14:textId="53C855DB" w:rsidR="00994FFA" w:rsidRPr="00042804" w:rsidRDefault="00994FFA" w:rsidP="00994FFA">
            <w:pPr>
              <w:pStyle w:val="KeinLeerraum"/>
              <w:jc w:val="center"/>
              <w:rPr>
                <w:b/>
                <w:bCs/>
                <w:sz w:val="32"/>
                <w:szCs w:val="32"/>
                <w:lang w:eastAsia="de-DE"/>
              </w:rPr>
            </w:pPr>
            <w:r w:rsidRPr="00042804">
              <w:rPr>
                <w:b/>
                <w:bCs/>
                <w:sz w:val="32"/>
                <w:szCs w:val="32"/>
                <w:lang w:eastAsia="de-DE"/>
              </w:rPr>
              <w:t>STIFTSHÜTTE</w:t>
            </w:r>
          </w:p>
          <w:p w14:paraId="05CC0FDD" w14:textId="0089376E" w:rsidR="00994FFA" w:rsidRPr="00042804" w:rsidRDefault="00994FFA" w:rsidP="00994FFA">
            <w:pPr>
              <w:pStyle w:val="KeinLeerraum"/>
              <w:jc w:val="center"/>
              <w:rPr>
                <w:b/>
                <w:bCs/>
                <w:sz w:val="32"/>
                <w:szCs w:val="32"/>
                <w:lang w:eastAsia="de-DE"/>
              </w:rPr>
            </w:pPr>
            <w:r w:rsidRPr="00042804">
              <w:rPr>
                <w:b/>
                <w:bCs/>
                <w:sz w:val="32"/>
                <w:szCs w:val="32"/>
                <w:rtl/>
                <w:lang w:eastAsia="de-DE"/>
              </w:rPr>
              <w:t>מִשְׁכָּן/אֹהֶל מוֹעֵד</w:t>
            </w:r>
          </w:p>
          <w:p w14:paraId="65EC9BC8" w14:textId="7D07EC7D" w:rsidR="00994FFA" w:rsidRDefault="00994FFA" w:rsidP="00AC36A5">
            <w:pPr>
              <w:spacing w:before="100" w:beforeAutospacing="1" w:after="100" w:afterAutospacing="1" w:line="240" w:lineRule="auto"/>
              <w:rPr>
                <w:rFonts w:eastAsia="Times New Roman" w:cs="Times New Roman"/>
                <w:lang w:eastAsia="de-DE"/>
              </w:rPr>
            </w:pPr>
          </w:p>
        </w:tc>
        <w:tc>
          <w:tcPr>
            <w:tcW w:w="1562" w:type="pct"/>
          </w:tcPr>
          <w:p w14:paraId="44989519" w14:textId="77777777" w:rsidR="00BF5EE8" w:rsidRDefault="00BF5EE8" w:rsidP="00994FFA">
            <w:pPr>
              <w:pStyle w:val="KeinLeerraum"/>
              <w:jc w:val="center"/>
              <w:rPr>
                <w:rFonts w:eastAsia="Times New Roman" w:cs="Times New Roman"/>
                <w:b/>
                <w:bCs/>
                <w:lang w:eastAsia="de-DE"/>
              </w:rPr>
            </w:pPr>
          </w:p>
          <w:p w14:paraId="418AE733" w14:textId="77777777" w:rsidR="00042804" w:rsidRDefault="00994FFA" w:rsidP="00042804">
            <w:pPr>
              <w:pStyle w:val="KeinLeerraum"/>
              <w:jc w:val="center"/>
              <w:rPr>
                <w:rFonts w:eastAsia="Times New Roman" w:cs="Times New Roman"/>
                <w:lang w:eastAsia="de-DE"/>
              </w:rPr>
            </w:pPr>
            <w:r w:rsidRPr="00BF5EE8">
              <w:rPr>
                <w:rFonts w:eastAsia="Times New Roman" w:cs="Times New Roman"/>
                <w:b/>
                <w:bCs/>
                <w:lang w:eastAsia="de-DE"/>
              </w:rPr>
              <w:t>OSTEN</w:t>
            </w:r>
            <w:r w:rsidRPr="00BF5EE8">
              <w:rPr>
                <w:rFonts w:eastAsia="Times New Roman" w:cs="Times New Roman"/>
                <w:lang w:eastAsia="de-DE"/>
              </w:rPr>
              <w:t xml:space="preserve"> </w:t>
            </w:r>
            <w:r w:rsidR="00042804" w:rsidRPr="00BF5EE8">
              <w:rPr>
                <w:rFonts w:eastAsia="Times New Roman" w:cs="Times New Roman"/>
                <w:rtl/>
                <w:lang w:eastAsia="de-DE"/>
              </w:rPr>
              <w:t>מִזְרָחָה</w:t>
            </w:r>
            <w:r w:rsidR="00042804" w:rsidRPr="00BF5EE8">
              <w:rPr>
                <w:rFonts w:eastAsia="Times New Roman" w:cs="Times New Roman"/>
                <w:sz w:val="16"/>
                <w:szCs w:val="16"/>
                <w:lang w:eastAsia="de-DE"/>
              </w:rPr>
              <w:t xml:space="preserve"> </w:t>
            </w:r>
            <w:r w:rsidR="00042804" w:rsidRPr="00BF5EE8">
              <w:rPr>
                <w:rFonts w:eastAsia="Times New Roman" w:cs="Times New Roman"/>
                <w:rtl/>
                <w:lang w:eastAsia="de-DE"/>
              </w:rPr>
              <w:t>קֵדְמָה</w:t>
            </w:r>
          </w:p>
          <w:p w14:paraId="3B0FA863" w14:textId="126ED916" w:rsidR="00994FFA" w:rsidRDefault="00994FFA" w:rsidP="00042804">
            <w:pPr>
              <w:pStyle w:val="KeinLeerraum"/>
              <w:rPr>
                <w:rFonts w:eastAsia="Times New Roman" w:cs="Times New Roman"/>
                <w:b/>
                <w:bCs/>
                <w:sz w:val="16"/>
                <w:szCs w:val="16"/>
                <w:lang w:eastAsia="de-DE"/>
              </w:rPr>
            </w:pPr>
          </w:p>
          <w:p w14:paraId="381D396E" w14:textId="0910DFF2" w:rsidR="00994FFA" w:rsidRDefault="00994FFA" w:rsidP="00B37FDD">
            <w:pPr>
              <w:pStyle w:val="KeinLeerraum"/>
              <w:jc w:val="center"/>
              <w:rPr>
                <w:rFonts w:eastAsia="Times New Roman" w:cs="Times New Roman"/>
                <w:sz w:val="16"/>
                <w:szCs w:val="16"/>
                <w:lang w:eastAsia="de-DE"/>
              </w:rPr>
            </w:pPr>
            <w:r w:rsidRPr="00994FFA">
              <w:rPr>
                <w:rFonts w:eastAsia="Times New Roman" w:cs="Times New Roman"/>
                <w:b/>
                <w:bCs/>
                <w:sz w:val="16"/>
                <w:szCs w:val="16"/>
                <w:lang w:eastAsia="de-DE"/>
              </w:rPr>
              <w:t>Mose + Aaron + Söhne</w:t>
            </w:r>
            <w:r>
              <w:rPr>
                <w:rFonts w:eastAsia="Times New Roman" w:cs="Times New Roman"/>
                <w:b/>
                <w:bCs/>
                <w:sz w:val="16"/>
                <w:szCs w:val="16"/>
                <w:lang w:eastAsia="de-DE"/>
              </w:rPr>
              <w:t xml:space="preserve"> </w:t>
            </w:r>
            <w:r w:rsidRPr="00B37FDD">
              <w:rPr>
                <w:rFonts w:eastAsia="Times New Roman" w:cs="Times New Roman"/>
                <w:b/>
                <w:bCs/>
                <w:sz w:val="16"/>
                <w:szCs w:val="16"/>
                <w:lang w:eastAsia="de-DE"/>
              </w:rPr>
              <w:t>(Priesterschaft)</w:t>
            </w:r>
          </w:p>
          <w:p w14:paraId="134D87A4" w14:textId="2633F958" w:rsidR="00994FFA" w:rsidRDefault="00994FFA" w:rsidP="00B37FDD">
            <w:pPr>
              <w:pStyle w:val="KeinLeerraum"/>
              <w:jc w:val="center"/>
              <w:rPr>
                <w:rFonts w:eastAsia="Times New Roman" w:cs="Times New Roman"/>
                <w:lang w:eastAsia="de-DE"/>
              </w:rPr>
            </w:pPr>
            <w:r w:rsidRPr="00994FFA">
              <w:rPr>
                <w:rFonts w:eastAsia="Times New Roman" w:cs="Times New Roman"/>
                <w:sz w:val="16"/>
                <w:szCs w:val="16"/>
                <w:lang w:eastAsia="de-DE"/>
              </w:rPr>
              <w:t>Aufgabe:</w:t>
            </w:r>
            <w:r>
              <w:rPr>
                <w:rFonts w:eastAsia="Times New Roman" w:cs="Times New Roman"/>
                <w:sz w:val="16"/>
                <w:szCs w:val="16"/>
                <w:lang w:eastAsia="de-DE"/>
              </w:rPr>
              <w:t xml:space="preserve"> </w:t>
            </w:r>
            <w:r w:rsidRPr="00994FFA">
              <w:rPr>
                <w:rFonts w:eastAsia="Times New Roman" w:cs="Times New Roman"/>
                <w:sz w:val="16"/>
                <w:szCs w:val="16"/>
                <w:lang w:eastAsia="de-DE"/>
              </w:rPr>
              <w:t>Heiligtumaufsicht</w:t>
            </w:r>
            <w:r w:rsidRPr="00901D5C">
              <w:rPr>
                <w:rFonts w:eastAsia="Times New Roman" w:cs="Times New Roman"/>
                <w:rtl/>
                <w:lang w:eastAsia="de-DE"/>
              </w:rPr>
              <w:t xml:space="preserve"> מִשְׁמֶרֶת הַמִּקְדָּשׁ</w:t>
            </w:r>
          </w:p>
          <w:p w14:paraId="2117D161" w14:textId="2C9CB80D" w:rsidR="00BF5EE8" w:rsidRPr="00994FFA" w:rsidRDefault="00BF5EE8" w:rsidP="00994FFA">
            <w:pPr>
              <w:pStyle w:val="KeinLeerraum"/>
              <w:jc w:val="center"/>
              <w:rPr>
                <w:sz w:val="16"/>
                <w:szCs w:val="16"/>
                <w:lang w:eastAsia="de-DE"/>
              </w:rPr>
            </w:pPr>
          </w:p>
        </w:tc>
      </w:tr>
      <w:tr w:rsidR="00994FFA" w14:paraId="4430CF33" w14:textId="77777777" w:rsidTr="00042804">
        <w:trPr>
          <w:gridBefore w:val="1"/>
          <w:gridAfter w:val="1"/>
          <w:wBefore w:w="1458" w:type="pct"/>
          <w:wAfter w:w="1562" w:type="pct"/>
          <w:trHeight w:val="1763"/>
        </w:trPr>
        <w:tc>
          <w:tcPr>
            <w:tcW w:w="1980" w:type="pct"/>
          </w:tcPr>
          <w:p w14:paraId="199444FC" w14:textId="77777777" w:rsidR="00BF5EE8" w:rsidRDefault="00BF5EE8" w:rsidP="00BF5EE8">
            <w:pPr>
              <w:pStyle w:val="KeinLeerraum"/>
              <w:jc w:val="center"/>
              <w:rPr>
                <w:rFonts w:eastAsia="Times New Roman" w:cs="Times New Roman"/>
                <w:b/>
                <w:bCs/>
                <w:sz w:val="22"/>
                <w:szCs w:val="22"/>
                <w:lang w:eastAsia="de-DE"/>
              </w:rPr>
            </w:pPr>
          </w:p>
          <w:p w14:paraId="67E12701" w14:textId="08766159" w:rsidR="00BF5EE8" w:rsidRDefault="00994FFA" w:rsidP="00BF5EE8">
            <w:pPr>
              <w:pStyle w:val="KeinLeerraum"/>
              <w:jc w:val="center"/>
              <w:rPr>
                <w:rFonts w:eastAsia="Times New Roman" w:cs="Times New Roman"/>
                <w:sz w:val="16"/>
                <w:szCs w:val="16"/>
                <w:lang w:eastAsia="de-DE"/>
              </w:rPr>
            </w:pPr>
            <w:r w:rsidRPr="00BF5EE8">
              <w:rPr>
                <w:rFonts w:eastAsia="Times New Roman" w:cs="Times New Roman"/>
                <w:b/>
                <w:bCs/>
                <w:sz w:val="22"/>
                <w:szCs w:val="22"/>
                <w:lang w:eastAsia="de-DE"/>
              </w:rPr>
              <w:t>SÜDEN</w:t>
            </w:r>
            <w:r w:rsidRPr="00BF5EE8">
              <w:rPr>
                <w:rFonts w:eastAsia="Times New Roman" w:cs="Times New Roman"/>
                <w:sz w:val="22"/>
                <w:szCs w:val="22"/>
                <w:lang w:eastAsia="de-DE"/>
              </w:rPr>
              <w:t xml:space="preserve"> </w:t>
            </w:r>
            <w:r w:rsidRPr="00BF5EE8">
              <w:rPr>
                <w:rFonts w:eastAsia="Times New Roman" w:cs="Times New Roman"/>
                <w:sz w:val="22"/>
                <w:szCs w:val="22"/>
                <w:rtl/>
                <w:lang w:eastAsia="de-DE"/>
              </w:rPr>
              <w:t>תֵּימָנָה</w:t>
            </w:r>
          </w:p>
          <w:p w14:paraId="408157D1" w14:textId="77777777" w:rsidR="00042804" w:rsidRPr="00042804" w:rsidRDefault="00042804" w:rsidP="00BF5EE8">
            <w:pPr>
              <w:pStyle w:val="KeinLeerraum"/>
              <w:jc w:val="center"/>
              <w:rPr>
                <w:rFonts w:eastAsia="Times New Roman" w:cs="Times New Roman"/>
                <w:sz w:val="16"/>
                <w:szCs w:val="16"/>
                <w:lang w:eastAsia="de-DE"/>
              </w:rPr>
            </w:pPr>
          </w:p>
          <w:p w14:paraId="43BE6941" w14:textId="77777777" w:rsidR="00BF5EE8" w:rsidRDefault="00994FFA" w:rsidP="00BF5EE8">
            <w:pPr>
              <w:pStyle w:val="KeinLeerraum"/>
              <w:rPr>
                <w:sz w:val="16"/>
                <w:szCs w:val="16"/>
                <w:lang w:eastAsia="de-DE"/>
              </w:rPr>
            </w:pPr>
            <w:r w:rsidRPr="00994FFA">
              <w:rPr>
                <w:sz w:val="16"/>
                <w:szCs w:val="16"/>
                <w:lang w:eastAsia="de-DE"/>
              </w:rPr>
              <w:t xml:space="preserve">Kehat (8.600) </w:t>
            </w:r>
          </w:p>
          <w:p w14:paraId="43F944C5" w14:textId="43A24859" w:rsidR="00994FFA" w:rsidRPr="00B37FDD" w:rsidRDefault="00994FFA" w:rsidP="00BF5EE8">
            <w:pPr>
              <w:pStyle w:val="KeinLeerraum"/>
              <w:rPr>
                <w:b/>
                <w:bCs/>
                <w:sz w:val="16"/>
                <w:szCs w:val="16"/>
                <w:lang w:eastAsia="de-DE"/>
              </w:rPr>
            </w:pPr>
            <w:r w:rsidRPr="00B37FDD">
              <w:rPr>
                <w:b/>
                <w:bCs/>
                <w:sz w:val="16"/>
                <w:szCs w:val="16"/>
                <w:lang w:eastAsia="de-DE"/>
              </w:rPr>
              <w:t>Führer: Elizafan ben Usiel</w:t>
            </w:r>
          </w:p>
          <w:p w14:paraId="6EAB81F1" w14:textId="77777777" w:rsidR="00042804" w:rsidRDefault="00994FFA" w:rsidP="00994FFA">
            <w:pPr>
              <w:pStyle w:val="KeinLeerraum"/>
              <w:rPr>
                <w:rFonts w:eastAsia="Times New Roman" w:cs="Times New Roman"/>
                <w:lang w:eastAsia="de-DE"/>
              </w:rPr>
            </w:pPr>
            <w:r w:rsidRPr="00994FFA">
              <w:rPr>
                <w:sz w:val="16"/>
                <w:szCs w:val="16"/>
                <w:lang w:eastAsia="de-DE"/>
              </w:rPr>
              <w:t>Aufgabe: Heilige Kultgeräte</w:t>
            </w:r>
            <w:r w:rsidR="00042804" w:rsidRPr="00901D5C">
              <w:rPr>
                <w:rFonts w:eastAsia="Times New Roman" w:cs="Times New Roman"/>
                <w:lang w:eastAsia="de-DE"/>
              </w:rPr>
              <w:t xml:space="preserve"> </w:t>
            </w:r>
          </w:p>
          <w:p w14:paraId="4103A72A" w14:textId="10DC4E10" w:rsidR="00994FFA" w:rsidRPr="00994FFA" w:rsidRDefault="00042804" w:rsidP="00994FFA">
            <w:pPr>
              <w:pStyle w:val="KeinLeerraum"/>
              <w:rPr>
                <w:lang w:eastAsia="de-DE"/>
              </w:rPr>
            </w:pPr>
            <w:r w:rsidRPr="00042804">
              <w:rPr>
                <w:rFonts w:eastAsia="Times New Roman" w:cs="Times New Roman"/>
                <w:sz w:val="16"/>
                <w:szCs w:val="16"/>
                <w:lang w:eastAsia="de-DE"/>
              </w:rPr>
              <w:t>Lade, Tisch, Leuchter, Altäre</w:t>
            </w:r>
          </w:p>
        </w:tc>
      </w:tr>
    </w:tbl>
    <w:p w14:paraId="48EE87D4" w14:textId="0358729B" w:rsidR="00B37FDD" w:rsidRDefault="00B37FDD" w:rsidP="00B37FDD">
      <w:pPr>
        <w:pStyle w:val="whitespace-normal"/>
      </w:pPr>
      <w:r>
        <w:rPr>
          <w:rStyle w:val="Fett"/>
        </w:rPr>
        <w:t>Konzentrische Heiligkeitshierarchie:</w:t>
      </w:r>
    </w:p>
    <w:p w14:paraId="01DDA00B" w14:textId="77777777" w:rsidR="00B37FDD" w:rsidRDefault="00B37FDD" w:rsidP="00B37FDD">
      <w:pPr>
        <w:pStyle w:val="whitespace-normal"/>
      </w:pPr>
      <w:r>
        <w:t>Die räumliche Anordnung visualisiert theologische Abstufungen:</w:t>
      </w:r>
    </w:p>
    <w:p w14:paraId="2E51792C" w14:textId="77777777" w:rsidR="00B37FDD" w:rsidRDefault="00B37FDD" w:rsidP="00C15C06">
      <w:pPr>
        <w:pStyle w:val="whitespace-normal"/>
        <w:numPr>
          <w:ilvl w:val="0"/>
          <w:numId w:val="43"/>
        </w:numPr>
      </w:pPr>
      <w:r>
        <w:rPr>
          <w:rStyle w:val="Fett"/>
        </w:rPr>
        <w:t>Zentrum (</w:t>
      </w:r>
      <w:r>
        <w:rPr>
          <w:rStyle w:val="Fett"/>
          <w:rtl/>
        </w:rPr>
        <w:t>קֹדֶשׁ הַקֳּדָשִׁים</w:t>
      </w:r>
      <w:r>
        <w:rPr>
          <w:rStyle w:val="Fett"/>
        </w:rPr>
        <w:t>)</w:t>
      </w:r>
      <w:r>
        <w:t>: Allerheiligstes mit der Bundeslade – Gottes unmittelbare Gegenwart, nur dem Hohenpriester einmal jährlich zugänglich (Lev 16)</w:t>
      </w:r>
    </w:p>
    <w:p w14:paraId="06A26927" w14:textId="77777777" w:rsidR="00B37FDD" w:rsidRDefault="00B37FDD" w:rsidP="00C15C06">
      <w:pPr>
        <w:pStyle w:val="whitespace-normal"/>
        <w:numPr>
          <w:ilvl w:val="0"/>
          <w:numId w:val="43"/>
        </w:numPr>
      </w:pPr>
      <w:r>
        <w:rPr>
          <w:rStyle w:val="Fett"/>
        </w:rPr>
        <w:t>Innerer Bereich (</w:t>
      </w:r>
      <w:r>
        <w:rPr>
          <w:rStyle w:val="Fett"/>
          <w:rtl/>
        </w:rPr>
        <w:t>קֹדֶשׁ</w:t>
      </w:r>
      <w:r>
        <w:rPr>
          <w:rStyle w:val="Fett"/>
        </w:rPr>
        <w:t>)</w:t>
      </w:r>
      <w:r>
        <w:t>: Heiligtum mit Tisch, Leuchter, Räucheraltar – priesterlicher Dienstraum, täglich von Priestern betreten</w:t>
      </w:r>
    </w:p>
    <w:p w14:paraId="1FA8B152" w14:textId="77777777" w:rsidR="00B37FDD" w:rsidRDefault="00B37FDD" w:rsidP="00C15C06">
      <w:pPr>
        <w:pStyle w:val="whitespace-normal"/>
        <w:numPr>
          <w:ilvl w:val="0"/>
          <w:numId w:val="43"/>
        </w:numPr>
      </w:pPr>
      <w:r>
        <w:rPr>
          <w:rStyle w:val="Fett"/>
        </w:rPr>
        <w:t>Östlicher Eingangsbereich</w:t>
      </w:r>
      <w:r>
        <w:t>: Mose, Aaron und Söhne – Kontrolle des Zugangs, Mittlerposition zwischen Gott und Volk (V. 38)</w:t>
      </w:r>
    </w:p>
    <w:p w14:paraId="25A75A74" w14:textId="77777777" w:rsidR="00B37FDD" w:rsidRDefault="00B37FDD" w:rsidP="00C15C06">
      <w:pPr>
        <w:pStyle w:val="whitespace-normal"/>
        <w:numPr>
          <w:ilvl w:val="0"/>
          <w:numId w:val="43"/>
        </w:numPr>
      </w:pPr>
      <w:r>
        <w:rPr>
          <w:rStyle w:val="Fett"/>
        </w:rPr>
        <w:t>Levitischer Ring</w:t>
      </w:r>
      <w:r>
        <w:t xml:space="preserve">: Drei Untergruppen mit differenzierten Aufgaben nach Heiligkeitsgrad der betreuten Objekte: </w:t>
      </w:r>
    </w:p>
    <w:p w14:paraId="2045C871" w14:textId="77777777" w:rsidR="00B37FDD" w:rsidRDefault="00B37FDD" w:rsidP="00C15C06">
      <w:pPr>
        <w:pStyle w:val="whitespace-normal"/>
        <w:numPr>
          <w:ilvl w:val="1"/>
          <w:numId w:val="43"/>
        </w:numPr>
      </w:pPr>
      <w:r>
        <w:rPr>
          <w:rStyle w:val="Fett"/>
        </w:rPr>
        <w:t>Kehat</w:t>
      </w:r>
      <w:r>
        <w:t xml:space="preserve"> (Süd): Heiligste Geräte, höchste levitische Verantwortung</w:t>
      </w:r>
    </w:p>
    <w:p w14:paraId="302768A6" w14:textId="77777777" w:rsidR="00B37FDD" w:rsidRDefault="00B37FDD" w:rsidP="00C15C06">
      <w:pPr>
        <w:pStyle w:val="whitespace-normal"/>
        <w:numPr>
          <w:ilvl w:val="1"/>
          <w:numId w:val="43"/>
        </w:numPr>
      </w:pPr>
      <w:r>
        <w:rPr>
          <w:rStyle w:val="Fett"/>
        </w:rPr>
        <w:t>Gerschon</w:t>
      </w:r>
      <w:r>
        <w:t xml:space="preserve"> (West): Textilkomponenten des Heiligtums</w:t>
      </w:r>
    </w:p>
    <w:p w14:paraId="72E67AB9" w14:textId="77777777" w:rsidR="00B37FDD" w:rsidRDefault="00B37FDD" w:rsidP="00C15C06">
      <w:pPr>
        <w:pStyle w:val="whitespace-normal"/>
        <w:numPr>
          <w:ilvl w:val="1"/>
          <w:numId w:val="43"/>
        </w:numPr>
      </w:pPr>
      <w:r>
        <w:rPr>
          <w:rStyle w:val="Fett"/>
        </w:rPr>
        <w:t>Merari</w:t>
      </w:r>
      <w:r>
        <w:t xml:space="preserve"> (Nord): Strukturelle Basiselemente</w:t>
      </w:r>
    </w:p>
    <w:p w14:paraId="0EFF03EB" w14:textId="77777777" w:rsidR="00B37FDD" w:rsidRDefault="00B37FDD" w:rsidP="00C15C06">
      <w:pPr>
        <w:pStyle w:val="whitespace-normal"/>
        <w:numPr>
          <w:ilvl w:val="0"/>
          <w:numId w:val="43"/>
        </w:numPr>
      </w:pPr>
      <w:r>
        <w:rPr>
          <w:rStyle w:val="Fett"/>
        </w:rPr>
        <w:t>Äußerer Ring</w:t>
      </w:r>
      <w:r>
        <w:t xml:space="preserve"> </w:t>
      </w:r>
      <w:r>
        <w:rPr>
          <w:rStyle w:val="Hervorhebung"/>
        </w:rPr>
        <w:t>(nicht in Kap. 3, aber in Kap. 2)</w:t>
      </w:r>
      <w:r>
        <w:t>: 12 Stämme Israels in vier Lagergruppen, durch levitische und priesterliche Vermittlung vom Heiligtum getrennt</w:t>
      </w:r>
    </w:p>
    <w:p w14:paraId="536A2CD2" w14:textId="77777777" w:rsidR="00B37FDD" w:rsidRDefault="00B37FDD" w:rsidP="00B37FDD">
      <w:pPr>
        <w:pStyle w:val="whitespace-normal"/>
        <w:rPr>
          <w:rStyle w:val="Fett"/>
        </w:rPr>
      </w:pPr>
    </w:p>
    <w:p w14:paraId="763068C6" w14:textId="7A0CAD88" w:rsidR="00B37FDD" w:rsidRDefault="00B37FDD" w:rsidP="00B37FDD">
      <w:pPr>
        <w:pStyle w:val="whitespace-normal"/>
      </w:pPr>
      <w:r>
        <w:rPr>
          <w:rStyle w:val="Fett"/>
        </w:rPr>
        <w:t>Theologische Bedeutung:</w:t>
      </w:r>
    </w:p>
    <w:p w14:paraId="3A307448" w14:textId="77777777" w:rsidR="00B37FDD" w:rsidRDefault="00B37FDD" w:rsidP="00B37FDD">
      <w:pPr>
        <w:pStyle w:val="whitespace-normal"/>
      </w:pPr>
      <w:r>
        <w:t xml:space="preserve">Diese Raumordnung ist nicht pragmatisch-zufällig, sondern </w:t>
      </w:r>
      <w:r>
        <w:rPr>
          <w:rStyle w:val="Fett"/>
        </w:rPr>
        <w:t>theologische Kartographie</w:t>
      </w:r>
      <w:r>
        <w:t xml:space="preserve">: Sie visualisiert Israels Selbstverständnis als Volk, das um die Gegenwart Gottes herum organisiert ist, mit kontrollierten Zugangswegen zum Heiligen. Die gestaffelte Vermittlung (Gott → Priester → Leviten → Volk) schützt vor versehentlichem </w:t>
      </w:r>
      <w:r>
        <w:rPr>
          <w:rtl/>
        </w:rPr>
        <w:t>קֶצֶף</w:t>
      </w:r>
      <w:r>
        <w:t xml:space="preserve"> (göttlichem Zorn, 1,53) durch Schaffung sakraler "Pufferzonen".</w:t>
      </w:r>
    </w:p>
    <w:p w14:paraId="40029689" w14:textId="684619D2" w:rsidR="00901D5C" w:rsidRPr="00901D5C" w:rsidRDefault="00901D5C" w:rsidP="00042804">
      <w:pPr>
        <w:spacing w:before="100" w:beforeAutospacing="1" w:after="100" w:afterAutospacing="1" w:line="240" w:lineRule="auto"/>
        <w:rPr>
          <w:rFonts w:eastAsia="Times New Roman" w:cs="Times New Roman"/>
          <w:lang w:eastAsia="de-DE"/>
        </w:rPr>
      </w:pPr>
    </w:p>
    <w:p w14:paraId="661E860E" w14:textId="618BA580" w:rsidR="00AC36A5" w:rsidRPr="00042804" w:rsidRDefault="00AC36A5" w:rsidP="00042804">
      <w:pPr>
        <w:spacing w:before="100" w:beforeAutospacing="1" w:after="100" w:afterAutospacing="1" w:line="240" w:lineRule="auto"/>
        <w:rPr>
          <w:rFonts w:eastAsia="Times New Roman" w:cs="Times New Roman"/>
          <w:lang w:eastAsia="de-DE"/>
        </w:rPr>
      </w:pPr>
      <w:r w:rsidRPr="00AC36A5">
        <w:rPr>
          <w:rFonts w:eastAsia="Times New Roman" w:cs="Times New Roman"/>
          <w:b/>
          <w:bCs/>
          <w:kern w:val="36"/>
          <w:sz w:val="48"/>
          <w:szCs w:val="48"/>
          <w:lang w:eastAsia="de-DE"/>
        </w:rPr>
        <w:t>Numeri 3,39</w:t>
      </w:r>
    </w:p>
    <w:p w14:paraId="3C09AF6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כָּל־פְּקוּדֵ֨י הַלְוִיִּ֜ם אֲשֶׁר֩ פָּקַ֨ד מֹשֶׁ֧ה וְאַהֲרֹ֛ן עַל־פִּ֥י יְהוָ֖ה לְמִשְׁפְּחֹתָ֑ם כָּל־זָכָר֙ מִבֶּן־חֹ֣דֶשׁ וָמַ֔עְלָה שְׁנַ֥יִם וְעֶשְׂרִ֖ים אָֽלֶף׃</w:t>
      </w:r>
    </w:p>
    <w:p w14:paraId="5A9A3CC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Alle Gemusterten der Levijim, die Mosche und 'Aharon auf Befehl des Ewigen nach ihren Familien musterten, alle Männlichen von einem Monat an und darüber, waren 22.000.</w:t>
      </w:r>
    </w:p>
    <w:p w14:paraId="6A1BB4D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6CA8DFE">
          <v:rect id="_x0000_i1151" style="width:0;height:1.5pt" o:hralign="center" o:hrstd="t" o:hr="t" fillcolor="#a0a0a0" stroked="f"/>
        </w:pict>
      </w:r>
    </w:p>
    <w:p w14:paraId="43F5FF5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Kommentar:</w:t>
      </w:r>
      <w:r w:rsidRPr="00AC36A5">
        <w:rPr>
          <w:rFonts w:eastAsia="Times New Roman" w:cs="Times New Roman"/>
          <w:lang w:eastAsia="de-DE"/>
        </w:rPr>
        <w:t xml:space="preserve"> Das zusammenfassende </w:t>
      </w:r>
      <w:r w:rsidRPr="00AC36A5">
        <w:rPr>
          <w:rFonts w:eastAsia="Times New Roman" w:cs="Times New Roman"/>
          <w:b/>
          <w:bCs/>
          <w:rtl/>
          <w:lang w:eastAsia="de-DE"/>
        </w:rPr>
        <w:t>כָּל־פְּקוּדֵי הַלְוִיִּם</w:t>
      </w:r>
      <w:r w:rsidRPr="00AC36A5">
        <w:rPr>
          <w:rFonts w:eastAsia="Times New Roman" w:cs="Times New Roman"/>
          <w:rtl/>
          <w:lang w:eastAsia="de-DE"/>
        </w:rPr>
        <w:t xml:space="preserve"> </w:t>
      </w:r>
      <w:r w:rsidRPr="00AC36A5">
        <w:rPr>
          <w:rFonts w:eastAsia="Times New Roman" w:cs="Times New Roman"/>
          <w:lang w:eastAsia="de-DE"/>
        </w:rPr>
        <w:t xml:space="preserve">(alle Gemusterten der Leviten) leitet die Gesamtsumme ein. Der Relativsatz </w:t>
      </w:r>
      <w:r w:rsidRPr="00AC36A5">
        <w:rPr>
          <w:rFonts w:eastAsia="Times New Roman" w:cs="Times New Roman"/>
          <w:b/>
          <w:bCs/>
          <w:rtl/>
          <w:lang w:eastAsia="de-DE"/>
        </w:rPr>
        <w:t>אֲשֶׁר פָּקַד מֹשֶׁה וְאַהֲרֹן עַל־פִּי יְהוָה לְמִשְׁפְּחֹתָם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(er musterte) im Qal-Perfekt 3. maskulin Singular und der idiomatischen Wendung </w:t>
      </w:r>
      <w:r w:rsidRPr="00AC36A5">
        <w:rPr>
          <w:rFonts w:eastAsia="Times New Roman" w:cs="Times New Roman"/>
          <w:b/>
          <w:bCs/>
          <w:rtl/>
          <w:lang w:eastAsia="de-DE"/>
        </w:rPr>
        <w:t>עַל־פִּי יְהוָה</w:t>
      </w:r>
      <w:r w:rsidRPr="00AC36A5">
        <w:rPr>
          <w:rFonts w:eastAsia="Times New Roman" w:cs="Times New Roman"/>
          <w:rtl/>
          <w:lang w:eastAsia="de-DE"/>
        </w:rPr>
        <w:t xml:space="preserve"> </w:t>
      </w:r>
      <w:r w:rsidRPr="00AC36A5">
        <w:rPr>
          <w:rFonts w:eastAsia="Times New Roman" w:cs="Times New Roman"/>
          <w:lang w:eastAsia="de-DE"/>
        </w:rPr>
        <w:t>(nach dem Befehl JHWHs) betont die göttliche Autorisation.</w:t>
      </w:r>
    </w:p>
    <w:p w14:paraId="7225D2CC" w14:textId="77777777" w:rsidR="00E30C3F" w:rsidRDefault="00AC36A5" w:rsidP="00E30C3F">
      <w:pPr>
        <w:pStyle w:val="KeinLeerraum"/>
      </w:pPr>
      <w:r w:rsidRPr="00AC36A5">
        <w:rPr>
          <w:rFonts w:eastAsia="Times New Roman" w:cs="Times New Roman"/>
          <w:lang w:eastAsia="de-DE"/>
        </w:rPr>
        <w:t xml:space="preserve">Die wiederholte Spezifikation </w:t>
      </w:r>
      <w:r w:rsidRPr="00AC36A5">
        <w:rPr>
          <w:rFonts w:eastAsia="Times New Roman" w:cs="Times New Roman"/>
          <w:b/>
          <w:bCs/>
          <w:rtl/>
          <w:lang w:eastAsia="de-DE"/>
        </w:rPr>
        <w:t>כָּל־זָכָר מִבֶּן־חֹדֶשׁ וָמָעְלָה</w:t>
      </w:r>
      <w:r w:rsidRPr="00AC36A5">
        <w:rPr>
          <w:rFonts w:eastAsia="Times New Roman" w:cs="Times New Roman"/>
          <w:rtl/>
          <w:lang w:eastAsia="de-DE"/>
        </w:rPr>
        <w:t xml:space="preserve"> </w:t>
      </w:r>
      <w:r w:rsidRPr="00AC36A5">
        <w:rPr>
          <w:rFonts w:eastAsia="Times New Roman" w:cs="Times New Roman"/>
          <w:lang w:eastAsia="de-DE"/>
        </w:rPr>
        <w:t xml:space="preserve">bestätigt die Zählkriterien. </w:t>
      </w:r>
      <w:r w:rsidR="00E30C3F">
        <w:t xml:space="preserve">Die Gesamtsumme </w:t>
      </w:r>
      <w:r w:rsidR="00E30C3F">
        <w:rPr>
          <w:rtl/>
        </w:rPr>
        <w:t>שְׁנַיִם וְעֶשְׂרִים אָלֶף</w:t>
      </w:r>
      <w:r w:rsidR="00E30C3F">
        <w:t xml:space="preserve"> (22.000) weicht von der Addition der Einzelangaben ab: Gerschoniter (7.500) + Kehatiter (8.600) + Merariter (6.200) = 22.300. </w:t>
      </w:r>
    </w:p>
    <w:p w14:paraId="44C6FF02" w14:textId="7DB08E7A" w:rsidR="00E30C3F" w:rsidRDefault="00E30C3F" w:rsidP="00E30C3F">
      <w:pPr>
        <w:pStyle w:val="KeinLeerraum"/>
      </w:pPr>
      <w:r>
        <w:t xml:space="preserve">Mögliche Erklärungen für die Diskrepanz: </w:t>
      </w:r>
    </w:p>
    <w:p w14:paraId="4D1D0A86" w14:textId="69EC378F" w:rsidR="00E30C3F" w:rsidRPr="00E30C3F" w:rsidRDefault="00E30C3F" w:rsidP="00C15C06">
      <w:pPr>
        <w:pStyle w:val="KeinLeerraum"/>
        <w:numPr>
          <w:ilvl w:val="0"/>
          <w:numId w:val="36"/>
        </w:numPr>
        <w:rPr>
          <w:rFonts w:eastAsia="Times New Roman" w:cs="Times New Roman"/>
          <w:lang w:eastAsia="de-DE"/>
        </w:rPr>
      </w:pPr>
      <w:r>
        <w:t xml:space="preserve">Textfehler in V. 28, wo einige Handschriften 3.000 statt 8.000 lesen (Samaritanischer Pentateuch); </w:t>
      </w:r>
    </w:p>
    <w:p w14:paraId="4BB10EF4" w14:textId="62978593" w:rsidR="00E30C3F" w:rsidRPr="00E30C3F" w:rsidRDefault="00E30C3F" w:rsidP="00C15C06">
      <w:pPr>
        <w:pStyle w:val="KeinLeerraum"/>
        <w:numPr>
          <w:ilvl w:val="0"/>
          <w:numId w:val="36"/>
        </w:numPr>
        <w:rPr>
          <w:rFonts w:eastAsia="Times New Roman" w:cs="Times New Roman"/>
          <w:lang w:eastAsia="de-DE"/>
        </w:rPr>
      </w:pPr>
      <w:r>
        <w:t xml:space="preserve">Rundung zu einer glatten Tausenderzahl; </w:t>
      </w:r>
    </w:p>
    <w:p w14:paraId="292923CB" w14:textId="0DCA6333" w:rsidR="00E30C3F" w:rsidRPr="00E30C3F" w:rsidRDefault="00C03432" w:rsidP="00C15C06">
      <w:pPr>
        <w:pStyle w:val="KeinLeerraum"/>
        <w:numPr>
          <w:ilvl w:val="0"/>
          <w:numId w:val="36"/>
        </w:numPr>
        <w:rPr>
          <w:rFonts w:eastAsia="Times New Roman" w:cs="Times New Roman"/>
          <w:lang w:eastAsia="de-DE"/>
        </w:rPr>
      </w:pPr>
      <w:r w:rsidRPr="00C03432">
        <w:rPr>
          <w:rStyle w:val="Fett"/>
          <w:b w:val="0"/>
          <w:bCs w:val="0"/>
        </w:rPr>
        <w:t>Priesterabzug</w:t>
      </w:r>
      <w:r>
        <w:t>: Möglicherweise könnten Aaron, Eleasar und Itamar (ca. 300 Personen ihrer Haushalte?) separat gezählt und nicht in die levitische Gesamtsumme mit einbezogen worden sein.</w:t>
      </w:r>
      <w:r w:rsidR="00E30C3F">
        <w:t xml:space="preserve"> </w:t>
      </w:r>
      <w:r>
        <w:t>Diese wären nicht in der levitischen Zählung (V. 39), aber in den Einzelstämmen (V. 28) enthalten</w:t>
      </w:r>
    </w:p>
    <w:p w14:paraId="09B492E3" w14:textId="77777777" w:rsidR="00E30C3F" w:rsidRDefault="00E30C3F" w:rsidP="00E30C3F">
      <w:pPr>
        <w:pStyle w:val="KeinLeerraum"/>
      </w:pPr>
      <w:r>
        <w:t>Die textkritische Lösung (1) ist wahrscheinlicher als symbolische Interpretation, da 22 keine etablierte Bedeutungszahl ist.</w:t>
      </w:r>
    </w:p>
    <w:p w14:paraId="45E7179A" w14:textId="77777777" w:rsidR="00E30C3F" w:rsidRDefault="00E30C3F" w:rsidP="00E30C3F">
      <w:pPr>
        <w:pStyle w:val="KeinLeerraum"/>
      </w:pPr>
    </w:p>
    <w:p w14:paraId="1D4A2D34" w14:textId="6F73BB58" w:rsidR="00AC36A5" w:rsidRPr="00AC36A5" w:rsidRDefault="00AC36A5" w:rsidP="00E30C3F">
      <w:pPr>
        <w:pStyle w:val="KeinLeerraum"/>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w:t>
      </w:r>
      <w:r w:rsidR="000F383B">
        <w:rPr>
          <w:rFonts w:eastAsia="Times New Roman" w:cs="Times New Roman"/>
          <w:lang w:eastAsia="de-DE"/>
        </w:rPr>
        <w:t xml:space="preserve">hat wie in Vers 16 </w:t>
      </w:r>
      <w:r w:rsidR="00A91CE7">
        <w:rPr>
          <w:rFonts w:eastAsia="Times New Roman" w:cs="Times New Roman"/>
          <w:lang w:eastAsia="de-DE"/>
        </w:rPr>
        <w:t>t</w:t>
      </w:r>
      <w:r w:rsidR="000F383B">
        <w:rPr>
          <w:rFonts w:eastAsia="Times New Roman" w:cs="Times New Roman"/>
          <w:lang w:eastAsia="de-DE"/>
        </w:rPr>
        <w:t xml:space="preserve">extkritische Bedeutung: </w:t>
      </w:r>
      <w:r w:rsidR="000F383B">
        <w:t xml:space="preserve">Der hebräische Text hat punktierte Buchstaben bei </w:t>
      </w:r>
      <w:r w:rsidR="000F383B">
        <w:rPr>
          <w:rtl/>
        </w:rPr>
        <w:t>ואהרן</w:t>
      </w:r>
      <w:r w:rsidR="000F383B">
        <w:t xml:space="preserve"> wieder, was die textkritische Unsicherheit über Aarons Rolle bei dieser Zählung zeigt.</w:t>
      </w:r>
    </w:p>
    <w:p w14:paraId="41B4E202" w14:textId="7B28C5C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zusammenfassende </w:t>
      </w:r>
      <w:r w:rsidR="00F133EC">
        <w:rPr>
          <w:rFonts w:eastAsia="Times New Roman" w:cs="Times New Roman"/>
          <w:lang w:eastAsia="de-DE"/>
        </w:rPr>
        <w:t>Construct</w:t>
      </w:r>
      <w:r w:rsidRPr="00AC36A5">
        <w:rPr>
          <w:rFonts w:eastAsia="Times New Roman" w:cs="Times New Roman"/>
          <w:lang w:eastAsia="de-DE"/>
        </w:rPr>
        <w:t>ion mit relativischer Spezifikation der Ausführenden und Autorität, wiederholter Kriteri</w:t>
      </w:r>
      <w:r w:rsidR="003231DC">
        <w:rPr>
          <w:rFonts w:eastAsia="Times New Roman" w:cs="Times New Roman"/>
          <w:lang w:eastAsia="de-DE"/>
        </w:rPr>
        <w:t>i</w:t>
      </w:r>
      <w:r w:rsidRPr="00AC36A5">
        <w:rPr>
          <w:rFonts w:eastAsia="Times New Roman" w:cs="Times New Roman"/>
          <w:lang w:eastAsia="de-DE"/>
        </w:rPr>
        <w:t>enangabe und abschließender Gesamtzahl.</w:t>
      </w:r>
    </w:p>
    <w:p w14:paraId="534F307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bietet die offizielle Gesamtsumme aller levitischen Männer und unterstreicht die göttliche Legitimation der Zählung durch Mose und Aaron.</w:t>
      </w:r>
    </w:p>
    <w:p w14:paraId="549E0D5D"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3,40</w:t>
      </w:r>
    </w:p>
    <w:p w14:paraId="4E73926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וַיֹּ֨אמֶר יְהוָ֜ה אֶל־מֹשֶׁ֗ה פְּקֹ֨ד כָּל־בְּכֹ֤ר זָכָר֙ לִבְנֵ֣י יִשְׂרָאֵ֔ל מִבֶּן־חֹ֖דֶשׁ וָמָ֑עְלָה וְשָׂ֕א אֵ֖ת מִסְפַּ֥ר שְׁמֹתָֽם׃</w:t>
      </w:r>
    </w:p>
    <w:p w14:paraId="42C58A8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sprach zu Mosche: Mustere alle männlichen Erstgeborenen der Söhne Jisra'el von einem Monat an und darüber, und nimm die Zahl ihrer Namen auf.</w:t>
      </w:r>
    </w:p>
    <w:p w14:paraId="2F5F836E"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85B9792">
          <v:rect id="_x0000_i1152" style="width:0;height:1.5pt" o:hralign="center" o:hrstd="t" o:hr="t" fillcolor="#a0a0a0" stroked="f"/>
        </w:pict>
      </w:r>
    </w:p>
    <w:p w14:paraId="7E41E38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וַיֹּאמֶר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 xml:space="preserve">(sagen/sprechen) im Qal-Imperfekt 3. maskulin Singular mit Waw consecutivum zeigt eine direkte göttliche Rede. 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אֶל־מֹשֶׁה</w:t>
      </w:r>
      <w:r w:rsidRPr="00AC36A5">
        <w:rPr>
          <w:rFonts w:eastAsia="Times New Roman" w:cs="Times New Roman"/>
          <w:rtl/>
          <w:lang w:eastAsia="de-DE"/>
        </w:rPr>
        <w:t xml:space="preserve"> </w:t>
      </w:r>
      <w:r w:rsidRPr="00AC36A5">
        <w:rPr>
          <w:rFonts w:eastAsia="Times New Roman" w:cs="Times New Roman"/>
          <w:lang w:eastAsia="de-DE"/>
        </w:rPr>
        <w:t>entspricht der etablierten Offenbarungsformel.</w:t>
      </w:r>
    </w:p>
    <w:p w14:paraId="40C1D62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Verb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(mustern/zählen) im Qal-Imperativ maskulin Singular richtet sich an Mose. Das direkte Objekt </w:t>
      </w:r>
      <w:r w:rsidRPr="00AC36A5">
        <w:rPr>
          <w:rFonts w:eastAsia="Times New Roman" w:cs="Times New Roman"/>
          <w:b/>
          <w:bCs/>
          <w:rtl/>
          <w:lang w:eastAsia="de-DE"/>
        </w:rPr>
        <w:t>כָּל־בְּכֹר זָכָר לִבְנֵי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(alle), </w:t>
      </w:r>
      <w:r w:rsidRPr="00AC36A5">
        <w:rPr>
          <w:rFonts w:eastAsia="Times New Roman" w:cs="Times New Roman"/>
          <w:b/>
          <w:bCs/>
          <w:rtl/>
          <w:lang w:eastAsia="de-DE"/>
        </w:rPr>
        <w:t>בְּכֹר</w:t>
      </w:r>
      <w:r w:rsidRPr="00AC36A5">
        <w:rPr>
          <w:rFonts w:eastAsia="Times New Roman" w:cs="Times New Roman"/>
          <w:rtl/>
          <w:lang w:eastAsia="de-DE"/>
        </w:rPr>
        <w:t xml:space="preserve"> </w:t>
      </w:r>
      <w:r w:rsidRPr="00AC36A5">
        <w:rPr>
          <w:rFonts w:eastAsia="Times New Roman" w:cs="Times New Roman"/>
          <w:lang w:eastAsia="de-DE"/>
        </w:rPr>
        <w:t xml:space="preserve">(Erstgeborener), </w:t>
      </w:r>
      <w:r w:rsidRPr="00AC36A5">
        <w:rPr>
          <w:rFonts w:eastAsia="Times New Roman" w:cs="Times New Roman"/>
          <w:b/>
          <w:bCs/>
          <w:rtl/>
          <w:lang w:eastAsia="de-DE"/>
        </w:rPr>
        <w:t>זָכָר</w:t>
      </w:r>
      <w:r w:rsidRPr="00AC36A5">
        <w:rPr>
          <w:rFonts w:eastAsia="Times New Roman" w:cs="Times New Roman"/>
          <w:rtl/>
          <w:lang w:eastAsia="de-DE"/>
        </w:rPr>
        <w:t xml:space="preserve"> </w:t>
      </w:r>
      <w:r w:rsidRPr="00AC36A5">
        <w:rPr>
          <w:rFonts w:eastAsia="Times New Roman" w:cs="Times New Roman"/>
          <w:lang w:eastAsia="de-DE"/>
        </w:rPr>
        <w:t xml:space="preserve">(männlich) und </w:t>
      </w:r>
      <w:r w:rsidRPr="00AC36A5">
        <w:rPr>
          <w:rFonts w:eastAsia="Times New Roman" w:cs="Times New Roman"/>
          <w:b/>
          <w:bCs/>
          <w:rtl/>
          <w:lang w:eastAsia="de-DE"/>
        </w:rPr>
        <w:t>לִבְנֵי יִשְׂרָאֵל</w:t>
      </w:r>
      <w:r w:rsidRPr="00AC36A5">
        <w:rPr>
          <w:rFonts w:eastAsia="Times New Roman" w:cs="Times New Roman"/>
          <w:rtl/>
          <w:lang w:eastAsia="de-DE"/>
        </w:rPr>
        <w:t xml:space="preserve"> </w:t>
      </w:r>
      <w:r w:rsidRPr="00AC36A5">
        <w:rPr>
          <w:rFonts w:eastAsia="Times New Roman" w:cs="Times New Roman"/>
          <w:lang w:eastAsia="de-DE"/>
        </w:rPr>
        <w:t>(der Söhne Israels) spezifiziert die zu zählende Gruppe.</w:t>
      </w:r>
    </w:p>
    <w:p w14:paraId="6742888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Altersangabe </w:t>
      </w:r>
      <w:r w:rsidRPr="00AC36A5">
        <w:rPr>
          <w:rFonts w:eastAsia="Times New Roman" w:cs="Times New Roman"/>
          <w:b/>
          <w:bCs/>
          <w:rtl/>
          <w:lang w:eastAsia="de-DE"/>
        </w:rPr>
        <w:t>מִבֶּן־חֹדֶשׁ וָמָעְלָה</w:t>
      </w:r>
      <w:r w:rsidRPr="00AC36A5">
        <w:rPr>
          <w:rFonts w:eastAsia="Times New Roman" w:cs="Times New Roman"/>
          <w:rtl/>
          <w:lang w:eastAsia="de-DE"/>
        </w:rPr>
        <w:t xml:space="preserve"> </w:t>
      </w:r>
      <w:r w:rsidRPr="00AC36A5">
        <w:rPr>
          <w:rFonts w:eastAsia="Times New Roman" w:cs="Times New Roman"/>
          <w:lang w:eastAsia="de-DE"/>
        </w:rPr>
        <w:t xml:space="preserve">entspricht den levitischen Zählkriterien und zeigt die Parallelität zwischen Leviten und Erstgeborenen. Das koordinierte Verb </w:t>
      </w:r>
      <w:r w:rsidRPr="00AC36A5">
        <w:rPr>
          <w:rFonts w:eastAsia="Times New Roman" w:cs="Times New Roman"/>
          <w:b/>
          <w:bCs/>
          <w:rtl/>
          <w:lang w:eastAsia="de-DE"/>
        </w:rPr>
        <w:t>וְשָׂא אֵת מִסְפַּר שְׁמֹתָם</w:t>
      </w:r>
      <w:r w:rsidRPr="00AC36A5">
        <w:rPr>
          <w:rFonts w:eastAsia="Times New Roman" w:cs="Times New Roman"/>
          <w:rtl/>
          <w:lang w:eastAsia="de-DE"/>
        </w:rPr>
        <w:t xml:space="preserve"> </w:t>
      </w:r>
      <w:r w:rsidRPr="00AC36A5">
        <w:rPr>
          <w:rFonts w:eastAsia="Times New Roman" w:cs="Times New Roman"/>
          <w:lang w:eastAsia="de-DE"/>
        </w:rPr>
        <w:lastRenderedPageBreak/>
        <w:t xml:space="preserve">mit </w:t>
      </w:r>
      <w:r w:rsidRPr="00AC36A5">
        <w:rPr>
          <w:rFonts w:eastAsia="Times New Roman" w:cs="Times New Roman"/>
          <w:b/>
          <w:bCs/>
          <w:rtl/>
          <w:lang w:eastAsia="de-DE"/>
        </w:rPr>
        <w:t>שָׂא</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נשא</w:t>
      </w:r>
      <w:r w:rsidRPr="00AC36A5">
        <w:rPr>
          <w:rFonts w:eastAsia="Times New Roman" w:cs="Times New Roman"/>
          <w:rtl/>
          <w:lang w:eastAsia="de-DE"/>
        </w:rPr>
        <w:t xml:space="preserve"> </w:t>
      </w:r>
      <w:r w:rsidRPr="00AC36A5">
        <w:rPr>
          <w:rFonts w:eastAsia="Times New Roman" w:cs="Times New Roman"/>
          <w:lang w:eastAsia="de-DE"/>
        </w:rPr>
        <w:t xml:space="preserve">(erheben/aufnehmen) im Qal-Imperativ und </w:t>
      </w:r>
      <w:r w:rsidRPr="00AC36A5">
        <w:rPr>
          <w:rFonts w:eastAsia="Times New Roman" w:cs="Times New Roman"/>
          <w:b/>
          <w:bCs/>
          <w:rtl/>
          <w:lang w:eastAsia="de-DE"/>
        </w:rPr>
        <w:t>מִסְפַּר שְׁמֹתָם</w:t>
      </w:r>
      <w:r w:rsidRPr="00AC36A5">
        <w:rPr>
          <w:rFonts w:eastAsia="Times New Roman" w:cs="Times New Roman"/>
          <w:rtl/>
          <w:lang w:eastAsia="de-DE"/>
        </w:rPr>
        <w:t xml:space="preserve"> </w:t>
      </w:r>
      <w:r w:rsidRPr="00AC36A5">
        <w:rPr>
          <w:rFonts w:eastAsia="Times New Roman" w:cs="Times New Roman"/>
          <w:lang w:eastAsia="de-DE"/>
        </w:rPr>
        <w:t>(Zahl ihrer Namen) betont die namentliche Erfassung.</w:t>
      </w:r>
    </w:p>
    <w:p w14:paraId="7E7CEA3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εἶπεν κύριος πρὸς Μωυσῆν ἐπίσκεψαι πᾶν πρωτότοκον ἄρσεν τῶν υἱῶν Ισραηλ ἀπὸ μηνιαίου καὶ ἐπάνω καὶ λαβὲ τὸν ἀριθμὸν ἐξ ὀνομάτων αὐτῶν und behält die doppelte Anweisung bei.</w:t>
      </w:r>
    </w:p>
    <w:p w14:paraId="19319F1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Redeeinleitung mit zwei koordinierten Imperativen: Musterung der Erstgeborenen und namentliche Erfassung.</w:t>
      </w:r>
    </w:p>
    <w:p w14:paraId="1FB0F2E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die praktische Umsetzung der levitischen Substitution ein durch die parallele Zählung aller männlichen Erstgeborenen Israels.</w:t>
      </w:r>
    </w:p>
    <w:p w14:paraId="626233B8"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3,41</w:t>
      </w:r>
    </w:p>
    <w:p w14:paraId="6C670A7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וְלָקַחְתָּ֨ אֶת־הַלְוִיִּ֥ם לִי֙ אֲנִ֣י יְהוָ֔ה תַּ֥חַת כָּל־בְּכֹ֖ר בִּבְנֵ֣י יִשְׂרָאֵ֑ל וְאֵת֙ בֶּהֱמַ֣ת הַלְוִיִּ֔ם תַּ֣חַת כָּל־בְּכ֔וֹר בְּבֶהֱמַ֖ת בְּנֵ֥י יִשְׂרָאֵֽל׃</w:t>
      </w:r>
    </w:p>
    <w:p w14:paraId="48092AE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nimm die Levijim für mich - ich bin der Ewige - anstelle aller Erstgeborenen unter den Söhnen Jisra'el, und das Vieh der Levijim anstelle aller Erstgeborenen unter dem Vieh der Söhne Jisra'el.</w:t>
      </w:r>
    </w:p>
    <w:p w14:paraId="22C0D33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0CD26B19">
          <v:rect id="_x0000_i1153" style="width:0;height:1.5pt" o:hralign="center" o:hrstd="t" o:hr="t" fillcolor="#a0a0a0" stroked="f"/>
        </w:pict>
      </w:r>
    </w:p>
    <w:p w14:paraId="5A72B36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וְלָקַחְתָּ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 xml:space="preserve">(nehmen) im Qal-Perfekt 2. maskulin Singular mit Waw consecutivum zeigt die Anweisung an Mose. Das direkte Objekt </w:t>
      </w:r>
      <w:r w:rsidRPr="00AC36A5">
        <w:rPr>
          <w:rFonts w:eastAsia="Times New Roman" w:cs="Times New Roman"/>
          <w:b/>
          <w:bCs/>
          <w:rtl/>
          <w:lang w:eastAsia="de-DE"/>
        </w:rPr>
        <w:t>אֶת־הַלְוִיִּם לִי</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w:t>
      </w:r>
      <w:r w:rsidRPr="00AC36A5">
        <w:rPr>
          <w:rFonts w:eastAsia="Times New Roman" w:cs="Times New Roman"/>
          <w:b/>
          <w:bCs/>
          <w:rtl/>
          <w:lang w:eastAsia="de-DE"/>
        </w:rPr>
        <w:t>לִי</w:t>
      </w:r>
      <w:r w:rsidRPr="00AC36A5">
        <w:rPr>
          <w:rFonts w:eastAsia="Times New Roman" w:cs="Times New Roman"/>
          <w:rtl/>
          <w:lang w:eastAsia="de-DE"/>
        </w:rPr>
        <w:t xml:space="preserve"> </w:t>
      </w:r>
      <w:r w:rsidRPr="00AC36A5">
        <w:rPr>
          <w:rFonts w:eastAsia="Times New Roman" w:cs="Times New Roman"/>
          <w:lang w:eastAsia="de-DE"/>
        </w:rPr>
        <w:t>(für mich) betont Gottes Besitzanspruch.</w:t>
      </w:r>
    </w:p>
    <w:p w14:paraId="7D593D8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emphatische Selbstvorstellungsformel </w:t>
      </w:r>
      <w:r w:rsidRPr="00AC36A5">
        <w:rPr>
          <w:rFonts w:eastAsia="Times New Roman" w:cs="Times New Roman"/>
          <w:b/>
          <w:bCs/>
          <w:rtl/>
          <w:lang w:eastAsia="de-DE"/>
        </w:rPr>
        <w:t>אֲנִי יְהוָה</w:t>
      </w:r>
      <w:r w:rsidRPr="00AC36A5">
        <w:rPr>
          <w:rFonts w:eastAsia="Times New Roman" w:cs="Times New Roman"/>
          <w:rtl/>
          <w:lang w:eastAsia="de-DE"/>
        </w:rPr>
        <w:t xml:space="preserve"> </w:t>
      </w:r>
      <w:r w:rsidRPr="00AC36A5">
        <w:rPr>
          <w:rFonts w:eastAsia="Times New Roman" w:cs="Times New Roman"/>
          <w:lang w:eastAsia="de-DE"/>
        </w:rPr>
        <w:t xml:space="preserve">(ich bin JHWH) unterbricht die Syntax und verstärkt die göttliche Autorität. Die präpositionale Phrase </w:t>
      </w:r>
      <w:r w:rsidRPr="00AC36A5">
        <w:rPr>
          <w:rFonts w:eastAsia="Times New Roman" w:cs="Times New Roman"/>
          <w:b/>
          <w:bCs/>
          <w:rtl/>
          <w:lang w:eastAsia="de-DE"/>
        </w:rPr>
        <w:t>תַּחַת כָּל־בְּכֹר בִּבְנֵי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תַּחַת</w:t>
      </w:r>
      <w:r w:rsidRPr="00AC36A5">
        <w:rPr>
          <w:rFonts w:eastAsia="Times New Roman" w:cs="Times New Roman"/>
          <w:rtl/>
          <w:lang w:eastAsia="de-DE"/>
        </w:rPr>
        <w:t xml:space="preserve"> </w:t>
      </w:r>
      <w:r w:rsidRPr="00AC36A5">
        <w:rPr>
          <w:rFonts w:eastAsia="Times New Roman" w:cs="Times New Roman"/>
          <w:lang w:eastAsia="de-DE"/>
        </w:rPr>
        <w:t>(anstelle von/unter) spezifiziert die Substitution.</w:t>
      </w:r>
    </w:p>
    <w:p w14:paraId="639A25FA" w14:textId="08F22FD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koordinierte Satz </w:t>
      </w:r>
      <w:r w:rsidRPr="00AC36A5">
        <w:rPr>
          <w:rFonts w:eastAsia="Times New Roman" w:cs="Times New Roman"/>
          <w:b/>
          <w:bCs/>
          <w:rtl/>
          <w:lang w:eastAsia="de-DE"/>
        </w:rPr>
        <w:t>וְאֵת בֶּהֱמַ֣ת הַלְוִיִּ֔ם תַּ֣חַת כָּל־בְּכ֔וֹר בְּבֶהֱמַ֖ת בְּנֵ֥י יִשְׂרָאֵֽל</w:t>
      </w:r>
      <w:r w:rsidRPr="00AC36A5">
        <w:rPr>
          <w:rFonts w:eastAsia="Times New Roman" w:cs="Times New Roman"/>
          <w:rtl/>
          <w:lang w:eastAsia="de-DE"/>
        </w:rPr>
        <w:t xml:space="preserve"> </w:t>
      </w:r>
      <w:r w:rsidRPr="00AC36A5">
        <w:rPr>
          <w:rFonts w:eastAsia="Times New Roman" w:cs="Times New Roman"/>
          <w:lang w:eastAsia="de-DE"/>
        </w:rPr>
        <w:t xml:space="preserve">erweitert die Substitution auf das Vieh. </w:t>
      </w:r>
      <w:r w:rsidRPr="00AC36A5">
        <w:rPr>
          <w:rFonts w:eastAsia="Times New Roman" w:cs="Times New Roman"/>
          <w:b/>
          <w:bCs/>
          <w:rtl/>
          <w:lang w:eastAsia="de-DE"/>
        </w:rPr>
        <w:t>בֶּהֱמַת הַלְוִיִּם</w:t>
      </w:r>
      <w:r w:rsidRPr="00AC36A5">
        <w:rPr>
          <w:rFonts w:eastAsia="Times New Roman" w:cs="Times New Roman"/>
          <w:rtl/>
          <w:lang w:eastAsia="de-DE"/>
        </w:rPr>
        <w:t xml:space="preserve"> </w:t>
      </w:r>
      <w:r w:rsidRPr="00AC36A5">
        <w:rPr>
          <w:rFonts w:eastAsia="Times New Roman" w:cs="Times New Roman"/>
          <w:lang w:eastAsia="de-DE"/>
        </w:rPr>
        <w:t xml:space="preserve">(Vieh der Leviten) im </w:t>
      </w:r>
      <w:r w:rsidR="00F133EC">
        <w:rPr>
          <w:rFonts w:eastAsia="Times New Roman" w:cs="Times New Roman"/>
          <w:lang w:eastAsia="de-DE"/>
        </w:rPr>
        <w:t>Construct</w:t>
      </w:r>
      <w:r w:rsidRPr="00AC36A5">
        <w:rPr>
          <w:rFonts w:eastAsia="Times New Roman" w:cs="Times New Roman"/>
          <w:lang w:eastAsia="de-DE"/>
        </w:rPr>
        <w:t xml:space="preserve"> und </w:t>
      </w:r>
      <w:r w:rsidRPr="00AC36A5">
        <w:rPr>
          <w:rFonts w:eastAsia="Times New Roman" w:cs="Times New Roman"/>
          <w:b/>
          <w:bCs/>
          <w:rtl/>
          <w:lang w:eastAsia="de-DE"/>
        </w:rPr>
        <w:t>בֶּהֱמַת בְּנֵי יִשְׂרָאֵל</w:t>
      </w:r>
      <w:r w:rsidRPr="00AC36A5">
        <w:rPr>
          <w:rFonts w:eastAsia="Times New Roman" w:cs="Times New Roman"/>
          <w:rtl/>
          <w:lang w:eastAsia="de-DE"/>
        </w:rPr>
        <w:t xml:space="preserve"> </w:t>
      </w:r>
      <w:r w:rsidRPr="00AC36A5">
        <w:rPr>
          <w:rFonts w:eastAsia="Times New Roman" w:cs="Times New Roman"/>
          <w:lang w:eastAsia="de-DE"/>
        </w:rPr>
        <w:t>(Vieh der Söhne Israels) zeigen die parallele Struktur.</w:t>
      </w:r>
    </w:p>
    <w:p w14:paraId="2BAFE20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λήμψῃ τοὺς Λευίτας ἐμοὶ ἐγώ εἰμι κύριος ἀντὶ παντὸς πρωτοτόκου υἱῶν Ισραηλ καὶ τὰ κτήνη τῶν Λευιτῶν ἀντὶ παντὸς πρωτοτόκου ἐν τοῖς κτήνεσιν υἱῶν Ισραηλ und behält die Parallelstruktur bei.</w:t>
      </w:r>
    </w:p>
    <w:p w14:paraId="157F0A3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Imperativsatz mit direktem Objekt, emphatischer Unterbrechung durch Selbstvorstellungsformel, Substitutionsangabe und parallelem koordiniertem Satz für das Vieh.</w:t>
      </w:r>
    </w:p>
    <w:p w14:paraId="45B7105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vollständige Substitution der Leviten für alle Erstgeborenen einschließlich des Viehs und unterstreicht durch die Selbstvorstellungsformel die absolute göttliche Autorität dieses Arrangements.</w:t>
      </w:r>
    </w:p>
    <w:p w14:paraId="1AFA6380"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lastRenderedPageBreak/>
        <w:t>Numeri 3,42</w:t>
      </w:r>
    </w:p>
    <w:p w14:paraId="12C7D81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וַיִּפְקֹ֣ד מֹשֶׁ֔ה כַּאֲשֶׁ֛ר צִוָּ֥ה יְהוָ֖ה אֹתוֹ֑ אֶֽת־כָּל־בְּכֹ֖ר בִּבְנֵ֥י יִשְׂרָאֵֽל׃</w:t>
      </w:r>
    </w:p>
    <w:p w14:paraId="17B9420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Mosche musterte, wie der Ewige ihm geboten hatte, alle Erstgeborenen unter den Söhnen Jisra'el.</w:t>
      </w:r>
    </w:p>
    <w:p w14:paraId="3927847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F635440">
          <v:rect id="_x0000_i1154" style="width:0;height:1.5pt" o:hralign="center" o:hrstd="t" o:hr="t" fillcolor="#a0a0a0" stroked="f"/>
        </w:pict>
      </w:r>
    </w:p>
    <w:p w14:paraId="3C12060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im Qal-Imperfekt 3. maskulin Singular mit Waw consecutivum zeigt Moses gehorsame Ausführung. Das Subjekt </w:t>
      </w:r>
      <w:r w:rsidRPr="00AC36A5">
        <w:rPr>
          <w:rFonts w:eastAsia="Times New Roman" w:cs="Times New Roman"/>
          <w:b/>
          <w:bCs/>
          <w:rtl/>
          <w:lang w:eastAsia="de-DE"/>
        </w:rPr>
        <w:t>מֹשֶׁה</w:t>
      </w:r>
      <w:r w:rsidRPr="00AC36A5">
        <w:rPr>
          <w:rFonts w:eastAsia="Times New Roman" w:cs="Times New Roman"/>
          <w:rtl/>
          <w:lang w:eastAsia="de-DE"/>
        </w:rPr>
        <w:t xml:space="preserve"> </w:t>
      </w:r>
      <w:r w:rsidRPr="00AC36A5">
        <w:rPr>
          <w:rFonts w:eastAsia="Times New Roman" w:cs="Times New Roman"/>
          <w:lang w:eastAsia="de-DE"/>
        </w:rPr>
        <w:t>betont seine Rolle als ausführendes Organ.</w:t>
      </w:r>
    </w:p>
    <w:p w14:paraId="1A7EF06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Vergleichssatz </w:t>
      </w:r>
      <w:r w:rsidRPr="00AC36A5">
        <w:rPr>
          <w:rFonts w:eastAsia="Times New Roman" w:cs="Times New Roman"/>
          <w:b/>
          <w:bCs/>
          <w:rtl/>
          <w:lang w:eastAsia="de-DE"/>
        </w:rPr>
        <w:t>כַּאֲשֶׁר צִוָּה יְהוָה אֹתוֹ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כַּאֲשֶׁר</w:t>
      </w:r>
      <w:r w:rsidRPr="00AC36A5">
        <w:rPr>
          <w:rFonts w:eastAsia="Times New Roman" w:cs="Times New Roman"/>
          <w:rtl/>
          <w:lang w:eastAsia="de-DE"/>
        </w:rPr>
        <w:t xml:space="preserve"> </w:t>
      </w:r>
      <w:r w:rsidRPr="00AC36A5">
        <w:rPr>
          <w:rFonts w:eastAsia="Times New Roman" w:cs="Times New Roman"/>
          <w:lang w:eastAsia="de-DE"/>
        </w:rPr>
        <w:t xml:space="preserve">(wie/so wie), </w:t>
      </w:r>
      <w:r w:rsidRPr="00AC36A5">
        <w:rPr>
          <w:rFonts w:eastAsia="Times New Roman" w:cs="Times New Roman"/>
          <w:b/>
          <w:bCs/>
          <w:rtl/>
          <w:lang w:eastAsia="de-DE"/>
        </w:rPr>
        <w:t>צִוָּה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צוה</w:t>
      </w:r>
      <w:r w:rsidRPr="00AC36A5">
        <w:rPr>
          <w:rFonts w:eastAsia="Times New Roman" w:cs="Times New Roman"/>
          <w:rtl/>
          <w:lang w:eastAsia="de-DE"/>
        </w:rPr>
        <w:t xml:space="preserve"> </w:t>
      </w:r>
      <w:r w:rsidRPr="00AC36A5">
        <w:rPr>
          <w:rFonts w:eastAsia="Times New Roman" w:cs="Times New Roman"/>
          <w:lang w:eastAsia="de-DE"/>
        </w:rPr>
        <w:t xml:space="preserve">(befehlen) im Pi'el-Perfekt 3. maskulin Singular und dem Objektsuffix </w:t>
      </w:r>
      <w:r w:rsidRPr="00AC36A5">
        <w:rPr>
          <w:rFonts w:eastAsia="Times New Roman" w:cs="Times New Roman"/>
          <w:b/>
          <w:bCs/>
          <w:rtl/>
          <w:lang w:eastAsia="de-DE"/>
        </w:rPr>
        <w:t>אֹתוֹ</w:t>
      </w:r>
      <w:r w:rsidRPr="00AC36A5">
        <w:rPr>
          <w:rFonts w:eastAsia="Times New Roman" w:cs="Times New Roman"/>
          <w:rtl/>
          <w:lang w:eastAsia="de-DE"/>
        </w:rPr>
        <w:t xml:space="preserve"> </w:t>
      </w:r>
      <w:r w:rsidRPr="00AC36A5">
        <w:rPr>
          <w:rFonts w:eastAsia="Times New Roman" w:cs="Times New Roman"/>
          <w:lang w:eastAsia="de-DE"/>
        </w:rPr>
        <w:t>(ihm) unterstreicht den vollkommenen Gehorsam.</w:t>
      </w:r>
    </w:p>
    <w:p w14:paraId="12D8499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direkte Objekt </w:t>
      </w:r>
      <w:r w:rsidRPr="00AC36A5">
        <w:rPr>
          <w:rFonts w:eastAsia="Times New Roman" w:cs="Times New Roman"/>
          <w:b/>
          <w:bCs/>
          <w:rtl/>
          <w:lang w:eastAsia="de-DE"/>
        </w:rPr>
        <w:t>אֶת־כָּל־בְּכֹר בִּבְנֵי יִשְׂרָאֵל</w:t>
      </w:r>
      <w:r w:rsidRPr="00AC36A5">
        <w:rPr>
          <w:rFonts w:eastAsia="Times New Roman" w:cs="Times New Roman"/>
          <w:rtl/>
          <w:lang w:eastAsia="de-DE"/>
        </w:rPr>
        <w:t xml:space="preserve"> </w:t>
      </w:r>
      <w:r w:rsidRPr="00AC36A5">
        <w:rPr>
          <w:rFonts w:eastAsia="Times New Roman" w:cs="Times New Roman"/>
          <w:lang w:eastAsia="de-DE"/>
        </w:rPr>
        <w:t>mit nota accusativi entspricht der Anweisung aus Vers 40.</w:t>
      </w:r>
    </w:p>
    <w:p w14:paraId="0E8B56C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ἐπεσκέψατο Μωυσῆς ὃν τρόπον ἐνετείλατο αὐτῷ κύριος πᾶν πρωτότοκον ἐν υἱοῖς Ισραηλ und behält die Gehorsamsbetonung bei.</w:t>
      </w:r>
    </w:p>
    <w:p w14:paraId="128E04D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Ausführungsbericht mit Subjekt, Prädikat, adverbialem Vergleichssatz zur Art der Ausführung und direktem Objekt.</w:t>
      </w:r>
    </w:p>
    <w:p w14:paraId="6D5C641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betont Moses vollkommenen Gehorsam bei der Erstgeborenenzählung und bereitet das konkrete Ergebnis vor.</w:t>
      </w:r>
    </w:p>
    <w:p w14:paraId="0C78210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3,43</w:t>
      </w:r>
    </w:p>
    <w:p w14:paraId="77986B7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וַיְהִי֩ כָל־בְּכ֨וֹר זָכָ֜ר בְּמִסְפַּ֥ר שֵׁמ֛וֹת מִבֶּן־חֹ֥דֶשׁ וָמַ֖עְלָה לִפְקֻדֵיהֶ֑ם שְׁנַ֤יִם וְעֶשְׂרִים֙ אֶ֔לֶף שְׁלֹשָׁ֥ה וְשִׁבְעִ֖ים וּמָאתָֽיִם׃</w:t>
      </w:r>
    </w:p>
    <w:p w14:paraId="2D5F0D6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es waren alle männlichen Erstgeborenen in der Zahl der Namen, von einem Monat an und darüber, nach ihren Gemusterten, 22.273.</w:t>
      </w:r>
    </w:p>
    <w:p w14:paraId="3292986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0A427F8">
          <v:rect id="_x0000_i1155" style="width:0;height:1.5pt" o:hralign="center" o:hrstd="t" o:hr="t" fillcolor="#a0a0a0" stroked="f"/>
        </w:pict>
      </w:r>
    </w:p>
    <w:p w14:paraId="3CEDEC7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וַיְהִי</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Qal-Imperfekt 3. maskulin Singular mit Waw consecutivum zeigt das Ergebnis der Zählung. Das Subjekt </w:t>
      </w:r>
      <w:r w:rsidRPr="00AC36A5">
        <w:rPr>
          <w:rFonts w:eastAsia="Times New Roman" w:cs="Times New Roman"/>
          <w:b/>
          <w:bCs/>
          <w:rtl/>
          <w:lang w:eastAsia="de-DE"/>
        </w:rPr>
        <w:t>כָּל־בְּכוֹר זָכָר</w:t>
      </w:r>
      <w:r w:rsidRPr="00AC36A5">
        <w:rPr>
          <w:rFonts w:eastAsia="Times New Roman" w:cs="Times New Roman"/>
          <w:rtl/>
          <w:lang w:eastAsia="de-DE"/>
        </w:rPr>
        <w:t xml:space="preserve"> </w:t>
      </w:r>
      <w:r w:rsidRPr="00AC36A5">
        <w:rPr>
          <w:rFonts w:eastAsia="Times New Roman" w:cs="Times New Roman"/>
          <w:lang w:eastAsia="de-DE"/>
        </w:rPr>
        <w:t>(alle männlichen Erstgeborenen) entspricht dem Zählauftrag.</w:t>
      </w:r>
    </w:p>
    <w:p w14:paraId="0E95F99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präpositionalen Spezifikationen </w:t>
      </w:r>
      <w:r w:rsidRPr="00AC36A5">
        <w:rPr>
          <w:rFonts w:eastAsia="Times New Roman" w:cs="Times New Roman"/>
          <w:b/>
          <w:bCs/>
          <w:rtl/>
          <w:lang w:eastAsia="de-DE"/>
        </w:rPr>
        <w:t>בְּמִסְפַּר שֵׁמוֹת מִבֶּן־חֹדֶשׁ וָמַעְלָה לִפְקֻדֵיהֶם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בְּמִסְפַּר שֵׁמוֹת</w:t>
      </w:r>
      <w:r w:rsidRPr="00AC36A5">
        <w:rPr>
          <w:rFonts w:eastAsia="Times New Roman" w:cs="Times New Roman"/>
          <w:rtl/>
          <w:lang w:eastAsia="de-DE"/>
        </w:rPr>
        <w:t xml:space="preserve"> </w:t>
      </w:r>
      <w:r w:rsidRPr="00AC36A5">
        <w:rPr>
          <w:rFonts w:eastAsia="Times New Roman" w:cs="Times New Roman"/>
          <w:lang w:eastAsia="de-DE"/>
        </w:rPr>
        <w:t xml:space="preserve">(in der Zahl der Namen), der Altersangabe und </w:t>
      </w:r>
      <w:r w:rsidRPr="00AC36A5">
        <w:rPr>
          <w:rFonts w:eastAsia="Times New Roman" w:cs="Times New Roman"/>
          <w:b/>
          <w:bCs/>
          <w:rtl/>
          <w:lang w:eastAsia="de-DE"/>
        </w:rPr>
        <w:t>לִפְקֻדֵיהֶם</w:t>
      </w:r>
      <w:r w:rsidRPr="00AC36A5">
        <w:rPr>
          <w:rFonts w:eastAsia="Times New Roman" w:cs="Times New Roman"/>
          <w:rtl/>
          <w:lang w:eastAsia="de-DE"/>
        </w:rPr>
        <w:t xml:space="preserve"> </w:t>
      </w:r>
      <w:r w:rsidRPr="00AC36A5">
        <w:rPr>
          <w:rFonts w:eastAsia="Times New Roman" w:cs="Times New Roman"/>
          <w:lang w:eastAsia="de-DE"/>
        </w:rPr>
        <w:t>(nach ihren Gemusterten) betonen die systematische namentliche Erfassung.</w:t>
      </w:r>
    </w:p>
    <w:p w14:paraId="2A94AD3C" w14:textId="106D582E" w:rsidR="00AC36A5" w:rsidRPr="00AC36A5" w:rsidRDefault="00AC36A5" w:rsidP="00901D5C">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komplexe Zahlenangabe </w:t>
      </w:r>
      <w:r w:rsidRPr="00AC36A5">
        <w:rPr>
          <w:rFonts w:eastAsia="Times New Roman" w:cs="Times New Roman"/>
          <w:b/>
          <w:bCs/>
          <w:rtl/>
          <w:lang w:eastAsia="de-DE"/>
        </w:rPr>
        <w:t>שְׁנַיִם וְעֶשְׂרִים אֶלֶף שְׁלֹשָׁה וְשִׁבְעִים וּמָאתָיִם</w:t>
      </w:r>
      <w:r w:rsidRPr="00AC36A5">
        <w:rPr>
          <w:rFonts w:eastAsia="Times New Roman" w:cs="Times New Roman"/>
          <w:rtl/>
          <w:lang w:eastAsia="de-DE"/>
        </w:rPr>
        <w:t xml:space="preserve"> </w:t>
      </w:r>
      <w:r w:rsidRPr="00AC36A5">
        <w:rPr>
          <w:rFonts w:eastAsia="Times New Roman" w:cs="Times New Roman"/>
          <w:lang w:eastAsia="de-DE"/>
        </w:rPr>
        <w:t>zeigt: 22.000 + 273 = 22.273. Diese Zahl übertrifft die levitische Gesamtzahl (22.000) um 273.</w:t>
      </w:r>
      <w:r w:rsidR="00E30C3F">
        <w:rPr>
          <w:rFonts w:eastAsia="Times New Roman" w:cs="Times New Roman"/>
          <w:lang w:eastAsia="de-DE"/>
        </w:rPr>
        <w:t xml:space="preserve"> </w:t>
      </w:r>
    </w:p>
    <w:p w14:paraId="24C6A40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ἐγένετο πάντα ἀρσενικὰ κατ᾽ ἀριθμὸν ἐξ ὀνομάτων ἀπὸ μηνιαίου καὶ ἐπάνω ἡ ἐπίσκεψις αὐτῶν δύο καὶ εἴκοσι χιλιάδες τρεῖς καὶ ἑβδομήκοντα καὶ διακόσιοι und gibt die genaue Zahl wieder.</w:t>
      </w:r>
    </w:p>
    <w:p w14:paraId="7390449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existenzialen Satz mit komplexem Subjekt, mehreren präpositionalen Spezifikationen und einer detaillierten Zahlenangabe.</w:t>
      </w:r>
    </w:p>
    <w:p w14:paraId="00A5163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gibt das konkrete Ergebnis der Erstgeborenenzählung an und zeigt den Überschuss von 273 Erstgeborenen gegenüber den verfügbaren Leviten.</w:t>
      </w:r>
    </w:p>
    <w:p w14:paraId="479C6423"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3,44</w:t>
      </w:r>
    </w:p>
    <w:p w14:paraId="55BA67E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לֵּאמֹֽר׃</w:t>
      </w:r>
    </w:p>
    <w:p w14:paraId="6B311D4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sagend:</w:t>
      </w:r>
    </w:p>
    <w:p w14:paraId="563CF925"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5BB8325">
          <v:rect id="_x0000_i1156" style="width:0;height:1.5pt" o:hralign="center" o:hrstd="t" o:hr="t" fillcolor="#a0a0a0" stroked="f"/>
        </w:pict>
      </w:r>
    </w:p>
    <w:p w14:paraId="7C2EDDE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(reden/sprechen) im Qal-Imperfekt 3. maskulin Singular mit Waw consecutivum leitet eine weitere göttliche Rede ein. 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אֶל־מֹשֶׁה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(zu) entspricht der etablierten Offenbarungsformel.</w:t>
      </w:r>
    </w:p>
    <w:p w14:paraId="2D02C79F" w14:textId="1109B16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ist der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und fungiert als Redeeinleitung für die folgenden Anweisungen zum Lösegeld der überzähligen Erstgeborenen.</w:t>
      </w:r>
    </w:p>
    <w:p w14:paraId="5EB0F24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λέγων und behält die Standardformel bei.</w:t>
      </w:r>
    </w:p>
    <w:p w14:paraId="454C887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einfachen Hauptsatz mit der charakteristischen Offenbarungsformel.</w:t>
      </w:r>
    </w:p>
    <w:p w14:paraId="241CB0F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markiert den Übergang zu den spezifischen Anweisungen für den Umgang mit den 273 überzähligen Erstgeborenen, die nicht durch Leviten abgedeckt werden können.</w:t>
      </w:r>
    </w:p>
    <w:p w14:paraId="7BBE1592"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3,45</w:t>
      </w:r>
    </w:p>
    <w:p w14:paraId="464E8F6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קַ֣ח אֶת־הַלְוִיִּ֗ם תַּ֤חַת כָּל־בְּכוֹר֙ בִּבְנֵ֣י יִשְׂרָאֵ֔ל וְאֶת־בֶּהֱמַ֥ת הַלְוִיִּ֖ם תַּ֣חַת בְּהֶמְתָּ֑ם וְהָיוּ־לִ֥י הַלְוִיִּ֖ם אֲנִ֥י יְהוָֽה׃</w:t>
      </w:r>
    </w:p>
    <w:p w14:paraId="4EE13F8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Nimm die Levijim anstelle aller Erstgeborenen unter den Söhnen Jisra'el und das Vieh der Levijim anstelle ihres Viehs; und die Levijim sollen mir gehören, ich bin der Ewige.</w:t>
      </w:r>
    </w:p>
    <w:p w14:paraId="324E422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5A2D672">
          <v:rect id="_x0000_i1157" style="width:0;height:1.5pt" o:hralign="center" o:hrstd="t" o:hr="t" fillcolor="#a0a0a0" stroked="f"/>
        </w:pict>
      </w:r>
    </w:p>
    <w:p w14:paraId="7F4DC46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Kommentar:</w:t>
      </w:r>
      <w:r w:rsidRPr="00AC36A5">
        <w:rPr>
          <w:rFonts w:eastAsia="Times New Roman" w:cs="Times New Roman"/>
          <w:lang w:eastAsia="de-DE"/>
        </w:rPr>
        <w:t xml:space="preserve"> Das Verb </w:t>
      </w:r>
      <w:r w:rsidRPr="00AC36A5">
        <w:rPr>
          <w:rFonts w:eastAsia="Times New Roman" w:cs="Times New Roman"/>
          <w:b/>
          <w:bCs/>
          <w:rtl/>
          <w:lang w:eastAsia="de-DE"/>
        </w:rPr>
        <w:t>קַח</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 xml:space="preserve">(nehmen) im Qal-Imperativ maskulin Singular richtet sich direkt an Mose. Das direkte Objekt </w:t>
      </w:r>
      <w:r w:rsidRPr="00AC36A5">
        <w:rPr>
          <w:rFonts w:eastAsia="Times New Roman" w:cs="Times New Roman"/>
          <w:b/>
          <w:bCs/>
          <w:rtl/>
          <w:lang w:eastAsia="de-DE"/>
        </w:rPr>
        <w:t>אֶת־הַלְוִיִּם</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die präpositionale Phrase </w:t>
      </w:r>
      <w:r w:rsidRPr="00AC36A5">
        <w:rPr>
          <w:rFonts w:eastAsia="Times New Roman" w:cs="Times New Roman"/>
          <w:b/>
          <w:bCs/>
          <w:rtl/>
          <w:lang w:eastAsia="de-DE"/>
        </w:rPr>
        <w:t>תַּחַת כָּל־בְּכוֹר בִּבְנֵי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תַּחַת</w:t>
      </w:r>
      <w:r w:rsidRPr="00AC36A5">
        <w:rPr>
          <w:rFonts w:eastAsia="Times New Roman" w:cs="Times New Roman"/>
          <w:rtl/>
          <w:lang w:eastAsia="de-DE"/>
        </w:rPr>
        <w:t xml:space="preserve"> </w:t>
      </w:r>
      <w:r w:rsidRPr="00AC36A5">
        <w:rPr>
          <w:rFonts w:eastAsia="Times New Roman" w:cs="Times New Roman"/>
          <w:lang w:eastAsia="de-DE"/>
        </w:rPr>
        <w:t>(anstelle von) wiederholen die grundlegende Substitutionsanweisung aus Vers 41.</w:t>
      </w:r>
    </w:p>
    <w:p w14:paraId="6573F676" w14:textId="3DE99A3F"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koordinierte Satz </w:t>
      </w:r>
      <w:r w:rsidRPr="00AC36A5">
        <w:rPr>
          <w:rFonts w:eastAsia="Times New Roman" w:cs="Times New Roman"/>
          <w:b/>
          <w:bCs/>
          <w:rtl/>
          <w:lang w:eastAsia="de-DE"/>
        </w:rPr>
        <w:t>וְאֶת־בֶּהֱמַת הַלְוִיִּם תַּחַת בְּהֶמְתָּם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בֶּהֱמַת הַלְוִיִּם</w:t>
      </w:r>
      <w:r w:rsidRPr="00AC36A5">
        <w:rPr>
          <w:rFonts w:eastAsia="Times New Roman" w:cs="Times New Roman"/>
          <w:rtl/>
          <w:lang w:eastAsia="de-DE"/>
        </w:rPr>
        <w:t xml:space="preserve"> </w:t>
      </w:r>
      <w:r w:rsidRPr="00AC36A5">
        <w:rPr>
          <w:rFonts w:eastAsia="Times New Roman" w:cs="Times New Roman"/>
          <w:lang w:eastAsia="de-DE"/>
        </w:rPr>
        <w:t xml:space="preserve">(Vieh der Leviten) im </w:t>
      </w:r>
      <w:r w:rsidR="00F133EC">
        <w:rPr>
          <w:rFonts w:eastAsia="Times New Roman" w:cs="Times New Roman"/>
          <w:lang w:eastAsia="de-DE"/>
        </w:rPr>
        <w:t>Construct</w:t>
      </w:r>
      <w:r w:rsidRPr="00AC36A5">
        <w:rPr>
          <w:rFonts w:eastAsia="Times New Roman" w:cs="Times New Roman"/>
          <w:lang w:eastAsia="de-DE"/>
        </w:rPr>
        <w:t xml:space="preserve"> und </w:t>
      </w:r>
      <w:r w:rsidRPr="00AC36A5">
        <w:rPr>
          <w:rFonts w:eastAsia="Times New Roman" w:cs="Times New Roman"/>
          <w:b/>
          <w:bCs/>
          <w:rtl/>
          <w:lang w:eastAsia="de-DE"/>
        </w:rPr>
        <w:t>בְּהֶמְתָּם</w:t>
      </w:r>
      <w:r w:rsidRPr="00AC36A5">
        <w:rPr>
          <w:rFonts w:eastAsia="Times New Roman" w:cs="Times New Roman"/>
          <w:rtl/>
          <w:lang w:eastAsia="de-DE"/>
        </w:rPr>
        <w:t xml:space="preserve"> </w:t>
      </w:r>
      <w:r w:rsidRPr="00AC36A5">
        <w:rPr>
          <w:rFonts w:eastAsia="Times New Roman" w:cs="Times New Roman"/>
          <w:lang w:eastAsia="de-DE"/>
        </w:rPr>
        <w:t>(ihr Vieh) mit Possessivsuffix 3. maskulin Plural erweitert die Substitution auf das Vieh.</w:t>
      </w:r>
    </w:p>
    <w:p w14:paraId="2CC2E74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abschließende Satz </w:t>
      </w:r>
      <w:r w:rsidRPr="00AC36A5">
        <w:rPr>
          <w:rFonts w:eastAsia="Times New Roman" w:cs="Times New Roman"/>
          <w:b/>
          <w:bCs/>
          <w:rtl/>
          <w:lang w:eastAsia="de-DE"/>
        </w:rPr>
        <w:t>וְהָיוּ־לִי הַלְוִיִּם אֲנִי יְהוָה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הָיוּ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Qal-Perfekt 3. maskulin Plural, </w:t>
      </w:r>
      <w:r w:rsidRPr="00AC36A5">
        <w:rPr>
          <w:rFonts w:eastAsia="Times New Roman" w:cs="Times New Roman"/>
          <w:b/>
          <w:bCs/>
          <w:rtl/>
          <w:lang w:eastAsia="de-DE"/>
        </w:rPr>
        <w:t>לִי</w:t>
      </w:r>
      <w:r w:rsidRPr="00AC36A5">
        <w:rPr>
          <w:rFonts w:eastAsia="Times New Roman" w:cs="Times New Roman"/>
          <w:rtl/>
          <w:lang w:eastAsia="de-DE"/>
        </w:rPr>
        <w:t xml:space="preserve"> </w:t>
      </w:r>
      <w:r w:rsidRPr="00AC36A5">
        <w:rPr>
          <w:rFonts w:eastAsia="Times New Roman" w:cs="Times New Roman"/>
          <w:lang w:eastAsia="de-DE"/>
        </w:rPr>
        <w:t xml:space="preserve">(mir) und der emphatischen Selbstvorstellungsformel </w:t>
      </w:r>
      <w:r w:rsidRPr="00AC36A5">
        <w:rPr>
          <w:rFonts w:eastAsia="Times New Roman" w:cs="Times New Roman"/>
          <w:b/>
          <w:bCs/>
          <w:rtl/>
          <w:lang w:eastAsia="de-DE"/>
        </w:rPr>
        <w:t>אֲנִי יְהוָה</w:t>
      </w:r>
      <w:r w:rsidRPr="00AC36A5">
        <w:rPr>
          <w:rFonts w:eastAsia="Times New Roman" w:cs="Times New Roman"/>
          <w:rtl/>
          <w:lang w:eastAsia="de-DE"/>
        </w:rPr>
        <w:t xml:space="preserve"> </w:t>
      </w:r>
      <w:r w:rsidRPr="00AC36A5">
        <w:rPr>
          <w:rFonts w:eastAsia="Times New Roman" w:cs="Times New Roman"/>
          <w:lang w:eastAsia="de-DE"/>
        </w:rPr>
        <w:t>(ich bin JHWH) bekräftigt den göttlichen Besitzanspruch.</w:t>
      </w:r>
    </w:p>
    <w:p w14:paraId="4C307E6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λαβὲ τοὺς Λευίτας ἀντὶ παντὸς πρωτοτόκου υἱῶν Ισραηλ καὶ τὰ κτήνη τῶν Λευιτῶν ἀντὶ τῶν κτηνῶν αὐτῶν καὶ ἔσονταί μοι οἱ Λευῖται ἐγώ εἰμι κύριος und behält die Struktur bei.</w:t>
      </w:r>
    </w:p>
    <w:p w14:paraId="7B6DA11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Imperativsatz mit direktem Objekt und Substitutionsangabe, einen parallelen koordinierten Satz für das Vieh und einen abschließenden Besitzanspruch mit Selbstvorstellungsformel.</w:t>
      </w:r>
    </w:p>
    <w:p w14:paraId="37CAA6C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wiederholt und bekräftigt die grundlegende levitische Substitution und bereitet die Behandlung der überzähligen Erstgeborenen vor.</w:t>
      </w:r>
    </w:p>
    <w:p w14:paraId="746C366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3,46</w:t>
      </w:r>
    </w:p>
    <w:p w14:paraId="76708DD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וְאֵת֙ פְּדוּיֵ֣י הַשְּׁלֹשָׁ֔ה וְהַשִּׁבְעִ֖ים וְהַמָּאתָ֑יִם הָעֹֽדְפִים֙ עַל־הַלְוִיִּ֔ם מִבְּכ֖וֹר בְּנֵ֥י יִשְׂרָאֵֽל׃</w:t>
      </w:r>
    </w:p>
    <w:p w14:paraId="56FDA14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was die Lösung der 273 betrifft, die überzählig sind gegenüber den Levijim, von den Erstgeborenen der Söhne Jisra'el.</w:t>
      </w:r>
    </w:p>
    <w:p w14:paraId="5B221C74"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3098923">
          <v:rect id="_x0000_i1158" style="width:0;height:1.5pt" o:hralign="center" o:hrstd="t" o:hr="t" fillcolor="#a0a0a0" stroked="f"/>
        </w:pict>
      </w:r>
    </w:p>
    <w:p w14:paraId="46AA764A" w14:textId="3748C08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Waw copulativum </w:t>
      </w:r>
      <w:r w:rsidRPr="00AC36A5">
        <w:rPr>
          <w:rFonts w:eastAsia="Times New Roman" w:cs="Times New Roman"/>
          <w:b/>
          <w:bCs/>
          <w:rtl/>
          <w:lang w:eastAsia="de-DE"/>
        </w:rPr>
        <w:t>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אֵת</w:t>
      </w:r>
      <w:r w:rsidRPr="00AC36A5">
        <w:rPr>
          <w:rFonts w:eastAsia="Times New Roman" w:cs="Times New Roman"/>
          <w:rtl/>
          <w:lang w:eastAsia="de-DE"/>
        </w:rPr>
        <w:t xml:space="preserve"> </w:t>
      </w:r>
      <w:r w:rsidRPr="00AC36A5">
        <w:rPr>
          <w:rFonts w:eastAsia="Times New Roman" w:cs="Times New Roman"/>
          <w:lang w:eastAsia="de-DE"/>
        </w:rPr>
        <w:t xml:space="preserve">(was... betrifft) leitet den Spezialfall der überzähligen Erstgeborenen ein. </w:t>
      </w:r>
      <w:r w:rsidRPr="00AC36A5">
        <w:rPr>
          <w:rFonts w:eastAsia="Times New Roman" w:cs="Times New Roman"/>
          <w:b/>
          <w:bCs/>
          <w:rtl/>
          <w:lang w:eastAsia="de-DE"/>
        </w:rPr>
        <w:t>פְּדוּיֵי</w:t>
      </w:r>
      <w:r w:rsidRPr="00AC36A5">
        <w:rPr>
          <w:rFonts w:eastAsia="Times New Roman" w:cs="Times New Roman"/>
          <w:rtl/>
          <w:lang w:eastAsia="de-DE"/>
        </w:rPr>
        <w:t xml:space="preserve"> </w:t>
      </w:r>
      <w:r w:rsidRPr="00AC36A5">
        <w:rPr>
          <w:rFonts w:eastAsia="Times New Roman" w:cs="Times New Roman"/>
          <w:lang w:eastAsia="de-DE"/>
        </w:rPr>
        <w:t xml:space="preserve">(Lösungen von/Auslösungen von) ist der Plural von </w:t>
      </w:r>
      <w:r w:rsidRPr="00AC36A5">
        <w:rPr>
          <w:rFonts w:eastAsia="Times New Roman" w:cs="Times New Roman"/>
          <w:b/>
          <w:bCs/>
          <w:rtl/>
          <w:lang w:eastAsia="de-DE"/>
        </w:rPr>
        <w:t>פָּדוּי</w:t>
      </w:r>
      <w:r w:rsidRPr="00AC36A5">
        <w:rPr>
          <w:rFonts w:eastAsia="Times New Roman" w:cs="Times New Roman"/>
          <w:rtl/>
          <w:lang w:eastAsia="de-DE"/>
        </w:rPr>
        <w:t xml:space="preserve"> </w:t>
      </w:r>
      <w:r w:rsidRPr="00AC36A5">
        <w:rPr>
          <w:rFonts w:eastAsia="Times New Roman" w:cs="Times New Roman"/>
          <w:lang w:eastAsia="de-DE"/>
        </w:rPr>
        <w:t xml:space="preserve">(Gelöster/Ausgelöster) im </w:t>
      </w:r>
      <w:r w:rsidR="00F133EC">
        <w:rPr>
          <w:rFonts w:eastAsia="Times New Roman" w:cs="Times New Roman"/>
          <w:lang w:eastAsia="de-DE"/>
        </w:rPr>
        <w:t>Construct</w:t>
      </w:r>
      <w:r w:rsidRPr="00AC36A5">
        <w:rPr>
          <w:rFonts w:eastAsia="Times New Roman" w:cs="Times New Roman"/>
          <w:lang w:eastAsia="de-DE"/>
        </w:rPr>
        <w:t xml:space="preserve"> mit der komplexen Zahlenangabe.</w:t>
      </w:r>
    </w:p>
    <w:p w14:paraId="1488E12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Zahlenkomposition </w:t>
      </w:r>
      <w:r w:rsidRPr="00AC36A5">
        <w:rPr>
          <w:rFonts w:eastAsia="Times New Roman" w:cs="Times New Roman"/>
          <w:b/>
          <w:bCs/>
          <w:rtl/>
          <w:lang w:eastAsia="de-DE"/>
        </w:rPr>
        <w:t>הַשְּׁלֹשָׁה וְהַשִּׁבְעִים וְהַמָּאתָיִם</w:t>
      </w:r>
      <w:r w:rsidRPr="00AC36A5">
        <w:rPr>
          <w:rFonts w:eastAsia="Times New Roman" w:cs="Times New Roman"/>
          <w:rtl/>
          <w:lang w:eastAsia="de-DE"/>
        </w:rPr>
        <w:t xml:space="preserve"> </w:t>
      </w:r>
      <w:r w:rsidRPr="00AC36A5">
        <w:rPr>
          <w:rFonts w:eastAsia="Times New Roman" w:cs="Times New Roman"/>
          <w:lang w:eastAsia="de-DE"/>
        </w:rPr>
        <w:t>mit bestimmten Artikeln bei jedem Zahlwort zeigt: die drei und die siebzig und die zweihundert = 273. Diese präzise Aufschlüsselung betont die Genauigkeit der Berechnung.</w:t>
      </w:r>
    </w:p>
    <w:p w14:paraId="6232811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Partizip </w:t>
      </w:r>
      <w:r w:rsidRPr="00AC36A5">
        <w:rPr>
          <w:rFonts w:eastAsia="Times New Roman" w:cs="Times New Roman"/>
          <w:b/>
          <w:bCs/>
          <w:rtl/>
          <w:lang w:eastAsia="de-DE"/>
        </w:rPr>
        <w:t>הָעֹדְפִים</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עדף</w:t>
      </w:r>
      <w:r w:rsidRPr="00AC36A5">
        <w:rPr>
          <w:rFonts w:eastAsia="Times New Roman" w:cs="Times New Roman"/>
          <w:rtl/>
          <w:lang w:eastAsia="de-DE"/>
        </w:rPr>
        <w:t xml:space="preserve"> </w:t>
      </w:r>
      <w:r w:rsidRPr="00AC36A5">
        <w:rPr>
          <w:rFonts w:eastAsia="Times New Roman" w:cs="Times New Roman"/>
          <w:lang w:eastAsia="de-DE"/>
        </w:rPr>
        <w:t xml:space="preserve">(übrig sein/überzählig sein) im Qal-Partizip maskulin Plural mit bestimmtem Artikel und der präpositionalen Phrase </w:t>
      </w:r>
      <w:r w:rsidRPr="00AC36A5">
        <w:rPr>
          <w:rFonts w:eastAsia="Times New Roman" w:cs="Times New Roman"/>
          <w:b/>
          <w:bCs/>
          <w:rtl/>
          <w:lang w:eastAsia="de-DE"/>
        </w:rPr>
        <w:t>עַל־הַלְוִיִּם</w:t>
      </w:r>
      <w:r w:rsidRPr="00AC36A5">
        <w:rPr>
          <w:rFonts w:eastAsia="Times New Roman" w:cs="Times New Roman"/>
          <w:rtl/>
          <w:lang w:eastAsia="de-DE"/>
        </w:rPr>
        <w:t xml:space="preserve"> </w:t>
      </w:r>
      <w:r w:rsidRPr="00AC36A5">
        <w:rPr>
          <w:rFonts w:eastAsia="Times New Roman" w:cs="Times New Roman"/>
          <w:lang w:eastAsia="de-DE"/>
        </w:rPr>
        <w:t>(über den Leviten hinaus) spezifiziert den Überschuss.</w:t>
      </w:r>
    </w:p>
    <w:p w14:paraId="468E323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finale präpositionale Phrase </w:t>
      </w:r>
      <w:r w:rsidRPr="00AC36A5">
        <w:rPr>
          <w:rFonts w:eastAsia="Times New Roman" w:cs="Times New Roman"/>
          <w:b/>
          <w:bCs/>
          <w:rtl/>
          <w:lang w:eastAsia="de-DE"/>
        </w:rPr>
        <w:t>מִבְּכוֹר בְּנֵי יִשְׂרָאֵל</w:t>
      </w:r>
      <w:r w:rsidRPr="00AC36A5">
        <w:rPr>
          <w:rFonts w:eastAsia="Times New Roman" w:cs="Times New Roman"/>
          <w:rtl/>
          <w:lang w:eastAsia="de-DE"/>
        </w:rPr>
        <w:t xml:space="preserve"> </w:t>
      </w:r>
      <w:r w:rsidRPr="00AC36A5">
        <w:rPr>
          <w:rFonts w:eastAsia="Times New Roman" w:cs="Times New Roman"/>
          <w:lang w:eastAsia="de-DE"/>
        </w:rPr>
        <w:t xml:space="preserve">(von den Erstgeborenen der Söhne Israels) mit </w:t>
      </w:r>
      <w:r w:rsidRPr="00AC36A5">
        <w:rPr>
          <w:rFonts w:eastAsia="Times New Roman" w:cs="Times New Roman"/>
          <w:b/>
          <w:bCs/>
          <w:rtl/>
          <w:lang w:eastAsia="de-DE"/>
        </w:rPr>
        <w:t>מִן</w:t>
      </w:r>
      <w:r w:rsidRPr="00AC36A5">
        <w:rPr>
          <w:rFonts w:eastAsia="Times New Roman" w:cs="Times New Roman"/>
          <w:rtl/>
          <w:lang w:eastAsia="de-DE"/>
        </w:rPr>
        <w:t xml:space="preserve"> </w:t>
      </w:r>
      <w:r w:rsidRPr="00AC36A5">
        <w:rPr>
          <w:rFonts w:eastAsia="Times New Roman" w:cs="Times New Roman"/>
          <w:lang w:eastAsia="de-DE"/>
        </w:rPr>
        <w:t>zeigt die Herkunft der überzähligen Personen.</w:t>
      </w:r>
    </w:p>
    <w:p w14:paraId="5829DF1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Die LXX</w:t>
      </w:r>
      <w:r w:rsidRPr="00AC36A5">
        <w:rPr>
          <w:rFonts w:eastAsia="Times New Roman" w:cs="Times New Roman"/>
          <w:lang w:eastAsia="de-DE"/>
        </w:rPr>
        <w:t xml:space="preserve"> übersetzt καὶ τὰ λύτρα τῶν τριῶν καὶ ἑβδομήκοντα καὶ διακοσίων τῶν πλεοναζόντων παρὰ τοὺς Λευίτας ἀπὸ τῶν πρωτοτόκων υἱῶν Ισραηλ und verwendet λύτρα (Lösegeld) für </w:t>
      </w:r>
      <w:r w:rsidRPr="00AC36A5">
        <w:rPr>
          <w:rFonts w:eastAsia="Times New Roman" w:cs="Times New Roman"/>
          <w:b/>
          <w:bCs/>
          <w:rtl/>
          <w:lang w:eastAsia="de-DE"/>
        </w:rPr>
        <w:t>פְּדוּיֵי</w:t>
      </w:r>
      <w:r w:rsidRPr="00AC36A5">
        <w:rPr>
          <w:rFonts w:eastAsia="Times New Roman" w:cs="Times New Roman"/>
          <w:lang w:eastAsia="de-DE"/>
        </w:rPr>
        <w:t>.</w:t>
      </w:r>
    </w:p>
    <w:p w14:paraId="59607781" w14:textId="7A314B9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elliptische </w:t>
      </w:r>
      <w:r w:rsidR="00F133EC">
        <w:rPr>
          <w:rFonts w:eastAsia="Times New Roman" w:cs="Times New Roman"/>
          <w:lang w:eastAsia="de-DE"/>
        </w:rPr>
        <w:t>Construct</w:t>
      </w:r>
      <w:r w:rsidRPr="00AC36A5">
        <w:rPr>
          <w:rFonts w:eastAsia="Times New Roman" w:cs="Times New Roman"/>
          <w:lang w:eastAsia="de-DE"/>
        </w:rPr>
        <w:t xml:space="preserve">ion mit einleitendem </w:t>
      </w:r>
      <w:r w:rsidRPr="00AC36A5">
        <w:rPr>
          <w:rFonts w:eastAsia="Times New Roman" w:cs="Times New Roman"/>
          <w:b/>
          <w:bCs/>
          <w:rtl/>
          <w:lang w:eastAsia="de-DE"/>
        </w:rPr>
        <w:t>וְאֵת</w:t>
      </w:r>
      <w:r w:rsidRPr="00AC36A5">
        <w:rPr>
          <w:rFonts w:eastAsia="Times New Roman" w:cs="Times New Roman"/>
          <w:lang w:eastAsia="de-DE"/>
        </w:rPr>
        <w:t xml:space="preserve">, </w:t>
      </w:r>
      <w:r w:rsidR="00F133EC">
        <w:rPr>
          <w:rFonts w:eastAsia="Times New Roman" w:cs="Times New Roman"/>
          <w:lang w:eastAsia="de-DE"/>
        </w:rPr>
        <w:t>Construct</w:t>
      </w:r>
      <w:r w:rsidRPr="00AC36A5">
        <w:rPr>
          <w:rFonts w:eastAsia="Times New Roman" w:cs="Times New Roman"/>
          <w:lang w:eastAsia="de-DE"/>
        </w:rPr>
        <w:t>verbindung mit komplexer Zahlenangabe, partizipialer Charakterisierung und präpositionaler Herkunftsangabe.</w:t>
      </w:r>
    </w:p>
    <w:p w14:paraId="64D57D4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identifiziert präzise die 273 überzähligen Erstgeborenen und führt das Konzept der monetären Lösung (</w:t>
      </w:r>
      <w:r w:rsidRPr="00AC36A5">
        <w:rPr>
          <w:rFonts w:eastAsia="Times New Roman" w:cs="Times New Roman"/>
          <w:b/>
          <w:bCs/>
          <w:rtl/>
          <w:lang w:eastAsia="de-DE"/>
        </w:rPr>
        <w:t>פְּדוּיִים</w:t>
      </w:r>
      <w:r w:rsidRPr="00AC36A5">
        <w:rPr>
          <w:rFonts w:eastAsia="Times New Roman" w:cs="Times New Roman"/>
          <w:lang w:eastAsia="de-DE"/>
        </w:rPr>
        <w:t>) ein, das zum Ausgleich der numerischen Diskrepanz dient.</w:t>
      </w:r>
    </w:p>
    <w:p w14:paraId="6D332E4E"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3,47</w:t>
      </w:r>
    </w:p>
    <w:p w14:paraId="5F8464A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וְלָקַחְתָּ֗ חֲמֵ֧שֶׁת חֲמֵ֛שֶׁת שְׁקָלִ֖ים לַגֻּלְגֹּ֑לֶת בְּשֶׁ֤קֶל הַקֹּ֨דֶשׁ֙ תִּקָּ֔ח עֶשְׂרִ֥ים גֵּרָ֖ה הַשָּֽׁקֶל׃</w:t>
      </w:r>
    </w:p>
    <w:p w14:paraId="7516B12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So sollst du je fünf Schekel für den Kopf nehmen; nach dem Schekel des Heiligtums sollst du nehmen, 20 Gera der Schekel.</w:t>
      </w:r>
    </w:p>
    <w:p w14:paraId="029859B4"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FDEE69F">
          <v:rect id="_x0000_i1159" style="width:0;height:1.5pt" o:hralign="center" o:hrstd="t" o:hr="t" fillcolor="#a0a0a0" stroked="f"/>
        </w:pict>
      </w:r>
    </w:p>
    <w:p w14:paraId="29B60B2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וְלָקַחְתָּ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(nehmen) im Qal-Perfekt 2. maskulin Singular mit Waw consecutivum zeigt die konkrete Anweisung für das Lösegeld.</w:t>
      </w:r>
    </w:p>
    <w:p w14:paraId="7B2D5BD9" w14:textId="264276F0" w:rsidR="00901D5C" w:rsidRDefault="00AC36A5" w:rsidP="00901D5C">
      <w:pPr>
        <w:pStyle w:val="KeinLeerraum"/>
      </w:pPr>
      <w:r w:rsidRPr="00AC36A5">
        <w:rPr>
          <w:lang w:eastAsia="de-DE"/>
        </w:rPr>
        <w:t xml:space="preserve">Die distributive </w:t>
      </w:r>
      <w:r w:rsidR="00F133EC">
        <w:rPr>
          <w:lang w:eastAsia="de-DE"/>
        </w:rPr>
        <w:t>Construct</w:t>
      </w:r>
      <w:r w:rsidRPr="00AC36A5">
        <w:rPr>
          <w:lang w:eastAsia="de-DE"/>
        </w:rPr>
        <w:t xml:space="preserve">ion </w:t>
      </w:r>
      <w:r w:rsidRPr="00AC36A5">
        <w:rPr>
          <w:b/>
          <w:bCs/>
          <w:rtl/>
          <w:lang w:eastAsia="de-DE"/>
        </w:rPr>
        <w:t>חֲמֵשֶׁת חֲמֵשֶׁת שְׁקָלִים לַגֻּלְגֹּלֶת</w:t>
      </w:r>
      <w:r w:rsidRPr="00AC36A5">
        <w:rPr>
          <w:rtl/>
          <w:lang w:eastAsia="de-DE"/>
        </w:rPr>
        <w:t xml:space="preserve"> </w:t>
      </w:r>
      <w:r w:rsidRPr="00AC36A5">
        <w:rPr>
          <w:lang w:eastAsia="de-DE"/>
        </w:rPr>
        <w:t xml:space="preserve">mit der charakteristischen hebräischen Reduplikation </w:t>
      </w:r>
      <w:r w:rsidRPr="00AC36A5">
        <w:rPr>
          <w:b/>
          <w:bCs/>
          <w:rtl/>
          <w:lang w:eastAsia="de-DE"/>
        </w:rPr>
        <w:t>חֲמֵשֶׁת חֲמֵשֶׁת</w:t>
      </w:r>
      <w:r w:rsidRPr="00AC36A5">
        <w:rPr>
          <w:rtl/>
          <w:lang w:eastAsia="de-DE"/>
        </w:rPr>
        <w:t xml:space="preserve"> </w:t>
      </w:r>
      <w:r w:rsidRPr="00AC36A5">
        <w:rPr>
          <w:lang w:eastAsia="de-DE"/>
        </w:rPr>
        <w:t xml:space="preserve">(fünf fünf) bedeutet "je fünf" oder "fünf für jeden". </w:t>
      </w:r>
      <w:r w:rsidRPr="00AC36A5">
        <w:rPr>
          <w:b/>
          <w:bCs/>
          <w:rtl/>
          <w:lang w:eastAsia="de-DE"/>
        </w:rPr>
        <w:t>שְׁקָלִים</w:t>
      </w:r>
      <w:r w:rsidRPr="00AC36A5">
        <w:rPr>
          <w:rtl/>
          <w:lang w:eastAsia="de-DE"/>
        </w:rPr>
        <w:t xml:space="preserve"> </w:t>
      </w:r>
      <w:r w:rsidRPr="00AC36A5">
        <w:rPr>
          <w:lang w:eastAsia="de-DE"/>
        </w:rPr>
        <w:t xml:space="preserve">(Schekel, Plural von </w:t>
      </w:r>
      <w:r w:rsidRPr="00AC36A5">
        <w:rPr>
          <w:b/>
          <w:bCs/>
          <w:rtl/>
          <w:lang w:eastAsia="de-DE"/>
        </w:rPr>
        <w:t>שֶׁקֶל</w:t>
      </w:r>
      <w:r w:rsidRPr="00AC36A5">
        <w:rPr>
          <w:lang w:eastAsia="de-DE"/>
        </w:rPr>
        <w:t xml:space="preserve">) und </w:t>
      </w:r>
      <w:r w:rsidRPr="00AC36A5">
        <w:rPr>
          <w:b/>
          <w:bCs/>
          <w:rtl/>
          <w:lang w:eastAsia="de-DE"/>
        </w:rPr>
        <w:t>לַגֻּלְגֹּלֶת</w:t>
      </w:r>
      <w:r w:rsidRPr="00AC36A5">
        <w:rPr>
          <w:rtl/>
          <w:lang w:eastAsia="de-DE"/>
        </w:rPr>
        <w:t xml:space="preserve"> </w:t>
      </w:r>
      <w:r w:rsidRPr="00AC36A5">
        <w:rPr>
          <w:lang w:eastAsia="de-DE"/>
        </w:rPr>
        <w:t xml:space="preserve">(für den Kopf/pro Person) mit </w:t>
      </w:r>
      <w:r w:rsidRPr="00AC36A5">
        <w:rPr>
          <w:b/>
          <w:bCs/>
          <w:rtl/>
          <w:lang w:eastAsia="de-DE"/>
        </w:rPr>
        <w:t>לְ</w:t>
      </w:r>
      <w:r w:rsidRPr="00AC36A5">
        <w:rPr>
          <w:rtl/>
          <w:lang w:eastAsia="de-DE"/>
        </w:rPr>
        <w:t xml:space="preserve"> </w:t>
      </w:r>
      <w:r w:rsidRPr="00AC36A5">
        <w:rPr>
          <w:lang w:eastAsia="de-DE"/>
        </w:rPr>
        <w:t>spezifizieren die Berechnungsgrundlage.</w:t>
      </w:r>
      <w:r w:rsidR="00A75527">
        <w:rPr>
          <w:lang w:eastAsia="de-DE"/>
        </w:rPr>
        <w:t xml:space="preserve"> </w:t>
      </w:r>
      <w:r w:rsidR="00901D5C">
        <w:t xml:space="preserve">Die Festsetzung von 5 Schekeln pro Erstgeborenem entspricht dem in </w:t>
      </w:r>
      <w:r w:rsidR="00901D5C">
        <w:rPr>
          <w:rStyle w:val="Fett"/>
        </w:rPr>
        <w:t>Lev 27,6</w:t>
      </w:r>
      <w:r w:rsidR="00901D5C">
        <w:t xml:space="preserve"> etablierten Tarif für männliche Säuglinge (1 Monat bis 5 Jahre) im Kontext von Weihegelübden. Dieser Betrag ist </w:t>
      </w:r>
      <w:r w:rsidR="00901D5C">
        <w:rPr>
          <w:rStyle w:val="Fett"/>
        </w:rPr>
        <w:t>signifikant höher</w:t>
      </w:r>
      <w:r w:rsidR="00901D5C">
        <w:t xml:space="preserve"> als die jährliche Tempelsteuer (½ Schekel, Ex 30,13), aber </w:t>
      </w:r>
      <w:r w:rsidR="00901D5C">
        <w:rPr>
          <w:rStyle w:val="Fett"/>
        </w:rPr>
        <w:t>deutlich niedriger</w:t>
      </w:r>
      <w:r w:rsidR="00901D5C">
        <w:t xml:space="preserve"> als der Wert eines Sklaven (30 Schekel, Ex 21,32) oder eines erwachsenen Mannes (50 Schekel, Lev 27,3), was die einmalige Bedeutung der Erstgeborenen-Ablösung unterstreicht ohne wirtschaftliche Überforderung zu verursachen.</w:t>
      </w:r>
    </w:p>
    <w:p w14:paraId="5529631E" w14:textId="77777777" w:rsidR="00901D5C" w:rsidRDefault="00901D5C" w:rsidP="00901D5C">
      <w:pPr>
        <w:pStyle w:val="KeinLeerraum"/>
      </w:pPr>
    </w:p>
    <w:p w14:paraId="19DA4BA0" w14:textId="5B230A81" w:rsidR="00AC36A5" w:rsidRPr="00901D5C" w:rsidRDefault="00AC36A5" w:rsidP="00901D5C">
      <w:pPr>
        <w:pStyle w:val="KeinLeerraum"/>
        <w:rPr>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בְּשֶׁקֶל הַקֹּדֶשׁ תִּקָּח</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 xml:space="preserve">(nach/gemäß), </w:t>
      </w:r>
      <w:r w:rsidRPr="00AC36A5">
        <w:rPr>
          <w:rFonts w:eastAsia="Times New Roman" w:cs="Times New Roman"/>
          <w:b/>
          <w:bCs/>
          <w:rtl/>
          <w:lang w:eastAsia="de-DE"/>
        </w:rPr>
        <w:t>שֶׁקֶל הַקֹּדֶשׁ</w:t>
      </w:r>
      <w:r w:rsidRPr="00AC36A5">
        <w:rPr>
          <w:rFonts w:eastAsia="Times New Roman" w:cs="Times New Roman"/>
          <w:rtl/>
          <w:lang w:eastAsia="de-DE"/>
        </w:rPr>
        <w:t xml:space="preserve"> </w:t>
      </w:r>
      <w:r w:rsidRPr="00AC36A5">
        <w:rPr>
          <w:rFonts w:eastAsia="Times New Roman" w:cs="Times New Roman"/>
          <w:lang w:eastAsia="de-DE"/>
        </w:rPr>
        <w:t xml:space="preserve">(Schekel des Heiligtums) im </w:t>
      </w:r>
      <w:r w:rsidR="00F133EC">
        <w:rPr>
          <w:rFonts w:eastAsia="Times New Roman" w:cs="Times New Roman"/>
          <w:lang w:eastAsia="de-DE"/>
        </w:rPr>
        <w:t>Construct</w:t>
      </w:r>
      <w:r w:rsidRPr="00AC36A5">
        <w:rPr>
          <w:rFonts w:eastAsia="Times New Roman" w:cs="Times New Roman"/>
          <w:lang w:eastAsia="de-DE"/>
        </w:rPr>
        <w:t xml:space="preserve"> und </w:t>
      </w:r>
      <w:r w:rsidRPr="00AC36A5">
        <w:rPr>
          <w:rFonts w:eastAsia="Times New Roman" w:cs="Times New Roman"/>
          <w:b/>
          <w:bCs/>
          <w:rtl/>
          <w:lang w:eastAsia="de-DE"/>
        </w:rPr>
        <w:t>תִּקָּח</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(nehmen) im Qal-Imperfekt 2. maskulin Singular etabliert den offiziellen Standard.</w:t>
      </w:r>
    </w:p>
    <w:p w14:paraId="58646EE5" w14:textId="77777777" w:rsidR="00042804" w:rsidRDefault="00042804" w:rsidP="00A75527">
      <w:pPr>
        <w:pStyle w:val="KeinLeerraum"/>
        <w:rPr>
          <w:lang w:eastAsia="de-DE"/>
        </w:rPr>
      </w:pPr>
    </w:p>
    <w:p w14:paraId="66940660" w14:textId="6C857EF5" w:rsidR="00AC36A5" w:rsidRDefault="00AC36A5" w:rsidP="00A75527">
      <w:pPr>
        <w:pStyle w:val="KeinLeerraum"/>
        <w:rPr>
          <w:lang w:eastAsia="de-DE"/>
        </w:rPr>
      </w:pPr>
      <w:r w:rsidRPr="00AC36A5">
        <w:rPr>
          <w:lang w:eastAsia="de-DE"/>
        </w:rPr>
        <w:t xml:space="preserve">Die definierende Apposition </w:t>
      </w:r>
      <w:r w:rsidRPr="00AC36A5">
        <w:rPr>
          <w:b/>
          <w:bCs/>
          <w:rtl/>
          <w:lang w:eastAsia="de-DE"/>
        </w:rPr>
        <w:t>עֶשְׂרִים גֵּרָה הַשָּׁקֶל</w:t>
      </w:r>
      <w:r w:rsidRPr="00AC36A5">
        <w:rPr>
          <w:rtl/>
          <w:lang w:eastAsia="de-DE"/>
        </w:rPr>
        <w:t xml:space="preserve"> </w:t>
      </w:r>
      <w:r w:rsidRPr="00AC36A5">
        <w:rPr>
          <w:lang w:eastAsia="de-DE"/>
        </w:rPr>
        <w:t xml:space="preserve">mit </w:t>
      </w:r>
      <w:r w:rsidRPr="00AC36A5">
        <w:rPr>
          <w:b/>
          <w:bCs/>
          <w:rtl/>
          <w:lang w:eastAsia="de-DE"/>
        </w:rPr>
        <w:t>עֶשְׂרִים</w:t>
      </w:r>
      <w:r w:rsidRPr="00AC36A5">
        <w:rPr>
          <w:rtl/>
          <w:lang w:eastAsia="de-DE"/>
        </w:rPr>
        <w:t xml:space="preserve"> </w:t>
      </w:r>
      <w:r w:rsidRPr="00AC36A5">
        <w:rPr>
          <w:lang w:eastAsia="de-DE"/>
        </w:rPr>
        <w:t xml:space="preserve">(zwanzig), </w:t>
      </w:r>
      <w:r w:rsidRPr="00AC36A5">
        <w:rPr>
          <w:b/>
          <w:bCs/>
          <w:rtl/>
          <w:lang w:eastAsia="de-DE"/>
        </w:rPr>
        <w:t>גֵּרָה</w:t>
      </w:r>
      <w:r w:rsidRPr="00AC36A5">
        <w:rPr>
          <w:rtl/>
          <w:lang w:eastAsia="de-DE"/>
        </w:rPr>
        <w:t xml:space="preserve"> </w:t>
      </w:r>
      <w:r w:rsidRPr="00AC36A5">
        <w:rPr>
          <w:lang w:eastAsia="de-DE"/>
        </w:rPr>
        <w:t xml:space="preserve">(Gera, kleinste Gewichtseinheit) und </w:t>
      </w:r>
      <w:r w:rsidRPr="00AC36A5">
        <w:rPr>
          <w:b/>
          <w:bCs/>
          <w:rtl/>
          <w:lang w:eastAsia="de-DE"/>
        </w:rPr>
        <w:t>הַשָּׁקֶל</w:t>
      </w:r>
      <w:r w:rsidRPr="00AC36A5">
        <w:rPr>
          <w:rtl/>
          <w:lang w:eastAsia="de-DE"/>
        </w:rPr>
        <w:t xml:space="preserve"> </w:t>
      </w:r>
      <w:r w:rsidRPr="00AC36A5">
        <w:rPr>
          <w:lang w:eastAsia="de-DE"/>
        </w:rPr>
        <w:t>(der Schekel) spezifiziert die genaue Gewichts- und Wertrelation: 1 Schekel = 20 Gera.</w:t>
      </w:r>
    </w:p>
    <w:p w14:paraId="78AEB416" w14:textId="440F97AA" w:rsidR="00A75527" w:rsidRPr="00AC36A5" w:rsidRDefault="00A75527" w:rsidP="00A75527">
      <w:pPr>
        <w:pStyle w:val="KeinLeerraum"/>
        <w:rPr>
          <w:lang w:eastAsia="de-DE"/>
        </w:rPr>
      </w:pPr>
      <w:r>
        <w:rPr>
          <w:rStyle w:val="Fett"/>
        </w:rPr>
        <w:t>Shekel ha-qodesh</w:t>
      </w:r>
      <w:r>
        <w:t>: Der "Heiligtums-Schekel" war vermutlich schwerer als kommerzielle Schekel, um Betrug bei Tempelabgaben zu verhindern. Die Spezifikation 1 Schekel = 20 Gera verhindert Manipulation durch unterschiedliche Gewichtsstandards.</w:t>
      </w:r>
    </w:p>
    <w:p w14:paraId="57C57521" w14:textId="262CABD1" w:rsidR="00AC36A5" w:rsidRPr="00AC36A5" w:rsidRDefault="000F383B"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0F383B">
        <w:rPr>
          <w:b/>
          <w:bCs/>
          <w:rtl/>
        </w:rPr>
        <w:t>חמשת חמשת שקלים</w:t>
      </w:r>
      <w:r>
        <w:t xml:space="preserve"> (chamesheth chamesheth sheqalim - "fünf fünf Schekel") als πέντε σίκλους (fünf Schekel), wobei die Verdoppelung nicht beibehalten wird. </w:t>
      </w:r>
      <w:r>
        <w:rPr>
          <w:rtl/>
        </w:rPr>
        <w:t>שקל</w:t>
      </w:r>
      <w:r>
        <w:t xml:space="preserve"> (sheqel) wird als σίκλος transliteriert, und </w:t>
      </w:r>
      <w:r>
        <w:rPr>
          <w:rtl/>
        </w:rPr>
        <w:t>גרה</w:t>
      </w:r>
      <w:r>
        <w:t xml:space="preserve"> (gerah) als ὀβολός (Obolus) übersetzt, was griechische Währungseinheiten verwendet.</w:t>
      </w:r>
    </w:p>
    <w:p w14:paraId="4D2B4E2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 Satzstruktur zeigt einen Imperativsatz mit distributiver Mengenangabe, präpositionaler Standardspezifikation und definierender Apposition zur Gewichtsrelation.</w:t>
      </w:r>
    </w:p>
    <w:p w14:paraId="1162F05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das präzise Lösegeld von 5 Schekel pro überzähligem Erstgeborenen nach dem offiziellen Heiligtums-Standard und definiert die genaue Gewichtsrelation zur Vermeidung von Missverständnissen.</w:t>
      </w:r>
    </w:p>
    <w:p w14:paraId="1BABD55D"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3,48</w:t>
      </w:r>
    </w:p>
    <w:p w14:paraId="2A24FF6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וְנָתַתָּ֣ה הַכֶּ֔סֶף לְאַהֲרֹ֖ן וּלְבָנָ֑יו פְּדוּיֵ֕י הָעֹדְפִ֖ים בָּהֶֽם׃</w:t>
      </w:r>
    </w:p>
    <w:p w14:paraId="6866786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du sollst das Geld 'Aharon und seinen Söhnen geben als Lösung für die Überzähligen unter ihnen.</w:t>
      </w:r>
    </w:p>
    <w:p w14:paraId="3E267996"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542329C">
          <v:rect id="_x0000_i1160" style="width:0;height:1.5pt" o:hralign="center" o:hrstd="t" o:hr="t" fillcolor="#a0a0a0" stroked="f"/>
        </w:pict>
      </w:r>
    </w:p>
    <w:p w14:paraId="65134BB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וְנָתַתָּה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 im Qal-Perfekt 2. maskulin Singular mit Waw consecutivum zeigt die Anweisung zur Geldübergabe. Das direkte Objekt </w:t>
      </w:r>
      <w:r w:rsidRPr="00AC36A5">
        <w:rPr>
          <w:rFonts w:eastAsia="Times New Roman" w:cs="Times New Roman"/>
          <w:b/>
          <w:bCs/>
          <w:rtl/>
          <w:lang w:eastAsia="de-DE"/>
        </w:rPr>
        <w:t>הַכֶּסֶף</w:t>
      </w:r>
      <w:r w:rsidRPr="00AC36A5">
        <w:rPr>
          <w:rFonts w:eastAsia="Times New Roman" w:cs="Times New Roman"/>
          <w:rtl/>
          <w:lang w:eastAsia="de-DE"/>
        </w:rPr>
        <w:t xml:space="preserve"> </w:t>
      </w:r>
      <w:r w:rsidRPr="00AC36A5">
        <w:rPr>
          <w:rFonts w:eastAsia="Times New Roman" w:cs="Times New Roman"/>
          <w:lang w:eastAsia="de-DE"/>
        </w:rPr>
        <w:t>(das Geld/Silber) mit bestimmtem Artikel bezeichnet das zu entrichtende Lösegeld.</w:t>
      </w:r>
    </w:p>
    <w:p w14:paraId="304D0F6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präpositionale Phrase </w:t>
      </w:r>
      <w:r w:rsidRPr="00AC36A5">
        <w:rPr>
          <w:rFonts w:eastAsia="Times New Roman" w:cs="Times New Roman"/>
          <w:b/>
          <w:bCs/>
          <w:rtl/>
          <w:lang w:eastAsia="de-DE"/>
        </w:rPr>
        <w:t>לְאַהֲרֹן וּלְבָנָיו</w:t>
      </w:r>
      <w:r w:rsidRPr="00AC36A5">
        <w:rPr>
          <w:rFonts w:eastAsia="Times New Roman" w:cs="Times New Roman"/>
          <w:rtl/>
          <w:lang w:eastAsia="de-DE"/>
        </w:rPr>
        <w:t xml:space="preserve"> </w:t>
      </w:r>
      <w:r w:rsidRPr="00AC36A5">
        <w:rPr>
          <w:rFonts w:eastAsia="Times New Roman" w:cs="Times New Roman"/>
          <w:lang w:eastAsia="de-DE"/>
        </w:rPr>
        <w:t xml:space="preserve">(Aaron und seinen Söhnen)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zeigt die Empfänger des Lösegelds und betont die priesterliche Berechtigung zur Entgegennahme.</w:t>
      </w:r>
    </w:p>
    <w:p w14:paraId="17551E1E" w14:textId="22E154E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apposititive Bestimmung </w:t>
      </w:r>
      <w:r w:rsidRPr="00AC36A5">
        <w:rPr>
          <w:rFonts w:eastAsia="Times New Roman" w:cs="Times New Roman"/>
          <w:b/>
          <w:bCs/>
          <w:rtl/>
          <w:lang w:eastAsia="de-DE"/>
        </w:rPr>
        <w:t>פְּדוּיֵי הָעֹדְפִים בָּהֶם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פְּדוּיֵי</w:t>
      </w:r>
      <w:r w:rsidRPr="00AC36A5">
        <w:rPr>
          <w:rFonts w:eastAsia="Times New Roman" w:cs="Times New Roman"/>
          <w:rtl/>
          <w:lang w:eastAsia="de-DE"/>
        </w:rPr>
        <w:t xml:space="preserve"> </w:t>
      </w:r>
      <w:r w:rsidRPr="00AC36A5">
        <w:rPr>
          <w:rFonts w:eastAsia="Times New Roman" w:cs="Times New Roman"/>
          <w:lang w:eastAsia="de-DE"/>
        </w:rPr>
        <w:t xml:space="preserve">(Lösungen von)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הָעֹדְפִים</w:t>
      </w:r>
      <w:r w:rsidRPr="00AC36A5">
        <w:rPr>
          <w:rFonts w:eastAsia="Times New Roman" w:cs="Times New Roman"/>
          <w:rtl/>
          <w:lang w:eastAsia="de-DE"/>
        </w:rPr>
        <w:t xml:space="preserve"> </w:t>
      </w:r>
      <w:r w:rsidRPr="00AC36A5">
        <w:rPr>
          <w:rFonts w:eastAsia="Times New Roman" w:cs="Times New Roman"/>
          <w:lang w:eastAsia="de-DE"/>
        </w:rPr>
        <w:t xml:space="preserve">(die Überzähligen) und der präpositionalen Phrase </w:t>
      </w:r>
      <w:r w:rsidRPr="00AC36A5">
        <w:rPr>
          <w:rFonts w:eastAsia="Times New Roman" w:cs="Times New Roman"/>
          <w:b/>
          <w:bCs/>
          <w:rtl/>
          <w:lang w:eastAsia="de-DE"/>
        </w:rPr>
        <w:t>בָּהֶם</w:t>
      </w:r>
      <w:r w:rsidRPr="00AC36A5">
        <w:rPr>
          <w:rFonts w:eastAsia="Times New Roman" w:cs="Times New Roman"/>
          <w:rtl/>
          <w:lang w:eastAsia="de-DE"/>
        </w:rPr>
        <w:t xml:space="preserve"> </w:t>
      </w:r>
      <w:r w:rsidRPr="00AC36A5">
        <w:rPr>
          <w:rFonts w:eastAsia="Times New Roman" w:cs="Times New Roman"/>
          <w:lang w:eastAsia="de-DE"/>
        </w:rPr>
        <w:t xml:space="preserve">(unter ihnen) 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und Possessivsuffix 3. maskulin Plural spezifiziert den Zweck der Zahlung.</w:t>
      </w:r>
    </w:p>
    <w:p w14:paraId="377118C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δώσεις τὸ ἀργύριον Ααρων καὶ τοῖς υἱοῖς αὐτοῦ λύτρα τῶν πλεοναζόντων ἐν αὐτοῖς und verwendet λύτρα (Lösegeld) für </w:t>
      </w:r>
      <w:r w:rsidRPr="00AC36A5">
        <w:rPr>
          <w:rFonts w:eastAsia="Times New Roman" w:cs="Times New Roman"/>
          <w:b/>
          <w:bCs/>
          <w:rtl/>
          <w:lang w:eastAsia="de-DE"/>
        </w:rPr>
        <w:t>פְּדוּיֵי</w:t>
      </w:r>
      <w:r w:rsidRPr="00AC36A5">
        <w:rPr>
          <w:rFonts w:eastAsia="Times New Roman" w:cs="Times New Roman"/>
          <w:lang w:eastAsia="de-DE"/>
        </w:rPr>
        <w:t>.</w:t>
      </w:r>
    </w:p>
    <w:p w14:paraId="08CF4BE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Imperativsatz mit direktem Objekt, koordinierter präpositionaler Empfängerangabe und appositiver Zweckbestimmung.</w:t>
      </w:r>
    </w:p>
    <w:p w14:paraId="139FA1B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bestimmt Aaron und seine Söhne als Empfänger des Lösegelds und etabliert das Prinzip priesterlicher Entgegennahme von Lösegeldern für überzählige Erstgeborene.</w:t>
      </w:r>
    </w:p>
    <w:p w14:paraId="0095CB6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3,49</w:t>
      </w:r>
    </w:p>
    <w:p w14:paraId="0DA9A54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וַיִּקַּ֣ח מֹשֶׁ֔ה אֵ֖ת כֶּ֣סֶף הַפִּדְי֑וֹם מֵאֵת֙ הָעֹ֣דְפִ֔ים עַ֖ל פְּדוּיֵ֥י הַלְוִיִּֽם׃</w:t>
      </w:r>
    </w:p>
    <w:p w14:paraId="40378E9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Mosche nahm das Lösungsgeld von denen, die überzählig waren gegenüber den durch die Levijim Gelösten.</w:t>
      </w:r>
    </w:p>
    <w:p w14:paraId="2E65C907"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F923D4F">
          <v:rect id="_x0000_i1161" style="width:0;height:1.5pt" o:hralign="center" o:hrstd="t" o:hr="t" fillcolor="#a0a0a0" stroked="f"/>
        </w:pict>
      </w:r>
    </w:p>
    <w:p w14:paraId="11DDDA1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וַיִּקַּח</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 xml:space="preserve">(nehmen) im Qal-Imperfekt 3. maskulin Singular mit Waw consecutivum zeigt Moses Ausführung des göttlichen Befehls. Das Subjekt </w:t>
      </w:r>
      <w:r w:rsidRPr="00AC36A5">
        <w:rPr>
          <w:rFonts w:eastAsia="Times New Roman" w:cs="Times New Roman"/>
          <w:b/>
          <w:bCs/>
          <w:rtl/>
          <w:lang w:eastAsia="de-DE"/>
        </w:rPr>
        <w:t>מֹשֶׁה</w:t>
      </w:r>
      <w:r w:rsidRPr="00AC36A5">
        <w:rPr>
          <w:rFonts w:eastAsia="Times New Roman" w:cs="Times New Roman"/>
          <w:rtl/>
          <w:lang w:eastAsia="de-DE"/>
        </w:rPr>
        <w:t xml:space="preserve"> </w:t>
      </w:r>
      <w:r w:rsidRPr="00AC36A5">
        <w:rPr>
          <w:rFonts w:eastAsia="Times New Roman" w:cs="Times New Roman"/>
          <w:lang w:eastAsia="de-DE"/>
        </w:rPr>
        <w:t>betont seine Rolle als ausführendes Organ.</w:t>
      </w:r>
    </w:p>
    <w:p w14:paraId="0703DE27" w14:textId="7E385AE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Das direkte Objekt </w:t>
      </w:r>
      <w:r w:rsidRPr="00AC36A5">
        <w:rPr>
          <w:rFonts w:eastAsia="Times New Roman" w:cs="Times New Roman"/>
          <w:b/>
          <w:bCs/>
          <w:rtl/>
          <w:lang w:eastAsia="de-DE"/>
        </w:rPr>
        <w:t>אֵת כֶּסֶף הַפִּדְיוֹם</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כֶּסֶף הַפִּדְיוֹם</w:t>
      </w:r>
      <w:r w:rsidRPr="00AC36A5">
        <w:rPr>
          <w:rFonts w:eastAsia="Times New Roman" w:cs="Times New Roman"/>
          <w:rtl/>
          <w:lang w:eastAsia="de-DE"/>
        </w:rPr>
        <w:t xml:space="preserve"> </w:t>
      </w:r>
      <w:r w:rsidRPr="00AC36A5">
        <w:rPr>
          <w:rFonts w:eastAsia="Times New Roman" w:cs="Times New Roman"/>
          <w:lang w:eastAsia="de-DE"/>
        </w:rPr>
        <w:t xml:space="preserve">(Geld der Auslösung/Lösung) zeigt das spezielle Lösegeld. </w:t>
      </w:r>
      <w:r w:rsidRPr="00AC36A5">
        <w:rPr>
          <w:rFonts w:eastAsia="Times New Roman" w:cs="Times New Roman"/>
          <w:b/>
          <w:bCs/>
          <w:rtl/>
          <w:lang w:eastAsia="de-DE"/>
        </w:rPr>
        <w:t>פִּדְיוֹם</w:t>
      </w:r>
      <w:r w:rsidRPr="00AC36A5">
        <w:rPr>
          <w:rFonts w:eastAsia="Times New Roman" w:cs="Times New Roman"/>
          <w:rtl/>
          <w:lang w:eastAsia="de-DE"/>
        </w:rPr>
        <w:t xml:space="preserve"> </w:t>
      </w:r>
      <w:r w:rsidRPr="00AC36A5">
        <w:rPr>
          <w:rFonts w:eastAsia="Times New Roman" w:cs="Times New Roman"/>
          <w:lang w:eastAsia="de-DE"/>
        </w:rPr>
        <w:t xml:space="preserve">ist ein Abstraktum von </w:t>
      </w:r>
      <w:r w:rsidRPr="00AC36A5">
        <w:rPr>
          <w:rFonts w:eastAsia="Times New Roman" w:cs="Times New Roman"/>
          <w:b/>
          <w:bCs/>
          <w:rtl/>
          <w:lang w:eastAsia="de-DE"/>
        </w:rPr>
        <w:t>פדה</w:t>
      </w:r>
      <w:r w:rsidRPr="00AC36A5">
        <w:rPr>
          <w:rFonts w:eastAsia="Times New Roman" w:cs="Times New Roman"/>
          <w:rtl/>
          <w:lang w:eastAsia="de-DE"/>
        </w:rPr>
        <w:t xml:space="preserve"> </w:t>
      </w:r>
      <w:r w:rsidRPr="00AC36A5">
        <w:rPr>
          <w:rFonts w:eastAsia="Times New Roman" w:cs="Times New Roman"/>
          <w:lang w:eastAsia="de-DE"/>
        </w:rPr>
        <w:t>(auslösen/loskaufen).</w:t>
      </w:r>
    </w:p>
    <w:p w14:paraId="3A6E2A1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מֵאֵת הָעֹדְפִים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מֵאֵת</w:t>
      </w:r>
      <w:r w:rsidRPr="00AC36A5">
        <w:rPr>
          <w:rFonts w:eastAsia="Times New Roman" w:cs="Times New Roman"/>
          <w:rtl/>
          <w:lang w:eastAsia="de-DE"/>
        </w:rPr>
        <w:t xml:space="preserve"> </w:t>
      </w:r>
      <w:r w:rsidRPr="00AC36A5">
        <w:rPr>
          <w:rFonts w:eastAsia="Times New Roman" w:cs="Times New Roman"/>
          <w:lang w:eastAsia="de-DE"/>
        </w:rPr>
        <w:t xml:space="preserve">(von/aus) und </w:t>
      </w:r>
      <w:r w:rsidRPr="00AC36A5">
        <w:rPr>
          <w:rFonts w:eastAsia="Times New Roman" w:cs="Times New Roman"/>
          <w:b/>
          <w:bCs/>
          <w:rtl/>
          <w:lang w:eastAsia="de-DE"/>
        </w:rPr>
        <w:t>הָעֹדְפִים</w:t>
      </w:r>
      <w:r w:rsidRPr="00AC36A5">
        <w:rPr>
          <w:rFonts w:eastAsia="Times New Roman" w:cs="Times New Roman"/>
          <w:rtl/>
          <w:lang w:eastAsia="de-DE"/>
        </w:rPr>
        <w:t xml:space="preserve"> </w:t>
      </w:r>
      <w:r w:rsidRPr="00AC36A5">
        <w:rPr>
          <w:rFonts w:eastAsia="Times New Roman" w:cs="Times New Roman"/>
          <w:lang w:eastAsia="de-DE"/>
        </w:rPr>
        <w:t xml:space="preserve">(die Überzähligen) als Partizip von </w:t>
      </w:r>
      <w:r w:rsidRPr="00AC36A5">
        <w:rPr>
          <w:rFonts w:eastAsia="Times New Roman" w:cs="Times New Roman"/>
          <w:b/>
          <w:bCs/>
          <w:rtl/>
          <w:lang w:eastAsia="de-DE"/>
        </w:rPr>
        <w:t>עדף</w:t>
      </w:r>
      <w:r w:rsidRPr="00AC36A5">
        <w:rPr>
          <w:rFonts w:eastAsia="Times New Roman" w:cs="Times New Roman"/>
          <w:rtl/>
          <w:lang w:eastAsia="de-DE"/>
        </w:rPr>
        <w:t xml:space="preserve"> </w:t>
      </w:r>
      <w:r w:rsidRPr="00AC36A5">
        <w:rPr>
          <w:rFonts w:eastAsia="Times New Roman" w:cs="Times New Roman"/>
          <w:lang w:eastAsia="de-DE"/>
        </w:rPr>
        <w:t>(übrig sein) zeigt die Zahlungsquelle.</w:t>
      </w:r>
    </w:p>
    <w:p w14:paraId="2F5105AD" w14:textId="0D2E7533"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weitere präpositionale Spezifikation </w:t>
      </w:r>
      <w:r w:rsidRPr="00AC36A5">
        <w:rPr>
          <w:rFonts w:eastAsia="Times New Roman" w:cs="Times New Roman"/>
          <w:b/>
          <w:bCs/>
          <w:rtl/>
          <w:lang w:eastAsia="de-DE"/>
        </w:rPr>
        <w:t>עַל פְּדוּיֵי הַלְוִיִּם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עַל</w:t>
      </w:r>
      <w:r w:rsidRPr="00AC36A5">
        <w:rPr>
          <w:rFonts w:eastAsia="Times New Roman" w:cs="Times New Roman"/>
          <w:rtl/>
          <w:lang w:eastAsia="de-DE"/>
        </w:rPr>
        <w:t xml:space="preserve"> </w:t>
      </w:r>
      <w:r w:rsidRPr="00AC36A5">
        <w:rPr>
          <w:rFonts w:eastAsia="Times New Roman" w:cs="Times New Roman"/>
          <w:lang w:eastAsia="de-DE"/>
        </w:rPr>
        <w:t xml:space="preserve">(über/gegenüber) und </w:t>
      </w:r>
      <w:r w:rsidRPr="00AC36A5">
        <w:rPr>
          <w:rFonts w:eastAsia="Times New Roman" w:cs="Times New Roman"/>
          <w:b/>
          <w:bCs/>
          <w:rtl/>
          <w:lang w:eastAsia="de-DE"/>
        </w:rPr>
        <w:t>פְּדוּיֵי הַלְוִיִּם</w:t>
      </w:r>
      <w:r w:rsidRPr="00AC36A5">
        <w:rPr>
          <w:rFonts w:eastAsia="Times New Roman" w:cs="Times New Roman"/>
          <w:rtl/>
          <w:lang w:eastAsia="de-DE"/>
        </w:rPr>
        <w:t xml:space="preserve"> </w:t>
      </w:r>
      <w:r w:rsidRPr="00AC36A5">
        <w:rPr>
          <w:rFonts w:eastAsia="Times New Roman" w:cs="Times New Roman"/>
          <w:lang w:eastAsia="de-DE"/>
        </w:rPr>
        <w:t xml:space="preserve">(durch die Leviten Gelöste) im </w:t>
      </w:r>
      <w:r w:rsidR="00F133EC">
        <w:rPr>
          <w:rFonts w:eastAsia="Times New Roman" w:cs="Times New Roman"/>
          <w:lang w:eastAsia="de-DE"/>
        </w:rPr>
        <w:t>Construct</w:t>
      </w:r>
      <w:r w:rsidRPr="00AC36A5">
        <w:rPr>
          <w:rFonts w:eastAsia="Times New Roman" w:cs="Times New Roman"/>
          <w:lang w:eastAsia="de-DE"/>
        </w:rPr>
        <w:t xml:space="preserve"> erklärt den Grund: die Überzähligen, die nicht durch levitische Substitution abgedeckt sind.</w:t>
      </w:r>
    </w:p>
    <w:p w14:paraId="5253917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ἔλαβεν Μωυσῆς τὸ ἀργύριον τῶν λύτρων παρὰ τῶν πλεοναζόντων τῆς λυτρώσεως τῶν Λευιτῶν und behält die Struktur bei.</w:t>
      </w:r>
    </w:p>
    <w:p w14:paraId="6B00775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Ausführungsbericht mit Subjekt, Prädikat, direktem Objekt und zwei präpositionalen Spezifikationen zur Herkunft und zum Grund der Zahlung.</w:t>
      </w:r>
    </w:p>
    <w:p w14:paraId="0BEF412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berichtet über Moses praktische Umsetzung der Lösegeld-Erhebung von den 273 überzähligen Erstgeborenen, die nicht durch die levitische Substitution abgedeckt werden.</w:t>
      </w:r>
    </w:p>
    <w:p w14:paraId="74A2B15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3,50</w:t>
      </w:r>
    </w:p>
    <w:p w14:paraId="207AE18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מֵאֵ֗ת בְּכ֛וֹר בְּנֵ֥י יִשְׂרָאֵ֖ל לָקַ֣ח אֶת־הַכָּ֑סֶף חֲמִשָּׁ֨ה וְשִׁשִּׁ֜ים וּשְׁלֹ֥שׁ מֵא֛וֹת וָאֶ֖לֶף בְּשֶׁ֥קֶל הַקֹּֽדֶשׁ׃</w:t>
      </w:r>
    </w:p>
    <w:p w14:paraId="2529C5A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Von den Erstgeborenen der Söhne Jisra'el nahm er das Geld, 1.365 Schekel, nach dem Schekel des Heiligtums.</w:t>
      </w:r>
    </w:p>
    <w:p w14:paraId="4E8FEBC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846C588">
          <v:rect id="_x0000_i1162" style="width:0;height:1.5pt" o:hralign="center" o:hrstd="t" o:hr="t" fillcolor="#a0a0a0" stroked="f"/>
        </w:pict>
      </w:r>
    </w:p>
    <w:p w14:paraId="025460C0" w14:textId="6713F04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präpositionale Phrase </w:t>
      </w:r>
      <w:r w:rsidRPr="00AC36A5">
        <w:rPr>
          <w:rFonts w:eastAsia="Times New Roman" w:cs="Times New Roman"/>
          <w:b/>
          <w:bCs/>
          <w:rtl/>
          <w:lang w:eastAsia="de-DE"/>
        </w:rPr>
        <w:t>מֵאֵת בְּכוֹר בְּנֵי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מֵאֵ</w:t>
      </w:r>
      <w:r w:rsidRPr="00AC36A5">
        <w:rPr>
          <w:rFonts w:eastAsia="Times New Roman" w:cs="Times New Roman"/>
          <w:b/>
          <w:bCs/>
          <w:lang w:eastAsia="de-DE"/>
        </w:rPr>
        <w:t>t</w:t>
      </w:r>
      <w:r w:rsidRPr="00AC36A5">
        <w:rPr>
          <w:rFonts w:eastAsia="Times New Roman" w:cs="Times New Roman"/>
          <w:lang w:eastAsia="de-DE"/>
        </w:rPr>
        <w:t xml:space="preserve"> (von) und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בְּכוֹר בְּנֵי יִשְׂרָאֵל</w:t>
      </w:r>
      <w:r w:rsidRPr="00AC36A5">
        <w:rPr>
          <w:rFonts w:eastAsia="Times New Roman" w:cs="Times New Roman"/>
          <w:rtl/>
          <w:lang w:eastAsia="de-DE"/>
        </w:rPr>
        <w:t xml:space="preserve"> </w:t>
      </w:r>
      <w:r w:rsidRPr="00AC36A5">
        <w:rPr>
          <w:rFonts w:eastAsia="Times New Roman" w:cs="Times New Roman"/>
          <w:lang w:eastAsia="de-DE"/>
        </w:rPr>
        <w:t>(Erstgeborene der Söhne Israels) spezifiziert die Herkunft des Geldes.</w:t>
      </w:r>
    </w:p>
    <w:p w14:paraId="7A104F1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Verb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 xml:space="preserve">(nehmen) im Qal-Perfekt 3. maskulin Singular mit dem direkten Objekt </w:t>
      </w:r>
      <w:r w:rsidRPr="00AC36A5">
        <w:rPr>
          <w:rFonts w:eastAsia="Times New Roman" w:cs="Times New Roman"/>
          <w:b/>
          <w:bCs/>
          <w:rtl/>
          <w:lang w:eastAsia="de-DE"/>
        </w:rPr>
        <w:t>אֶת־הַכֶּסֶף</w:t>
      </w:r>
      <w:r w:rsidRPr="00AC36A5">
        <w:rPr>
          <w:rFonts w:eastAsia="Times New Roman" w:cs="Times New Roman"/>
          <w:rtl/>
          <w:lang w:eastAsia="de-DE"/>
        </w:rPr>
        <w:t xml:space="preserve"> </w:t>
      </w:r>
      <w:r w:rsidRPr="00AC36A5">
        <w:rPr>
          <w:rFonts w:eastAsia="Times New Roman" w:cs="Times New Roman"/>
          <w:lang w:eastAsia="de-DE"/>
        </w:rPr>
        <w:t>(das Geld) zeigt die konkrete Geldentgegennahme.</w:t>
      </w:r>
    </w:p>
    <w:p w14:paraId="5EB7C93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komplexe Zahlenangabe </w:t>
      </w:r>
      <w:r w:rsidRPr="00AC36A5">
        <w:rPr>
          <w:rFonts w:eastAsia="Times New Roman" w:cs="Times New Roman"/>
          <w:b/>
          <w:bCs/>
          <w:rtl/>
          <w:lang w:eastAsia="de-DE"/>
        </w:rPr>
        <w:t>חֲמִשָּׁה וְשִׁשִּׁים וּשְׁלֹשׁ מֵאוֹת וָאֶלֶף</w:t>
      </w:r>
      <w:r w:rsidRPr="00AC36A5">
        <w:rPr>
          <w:rFonts w:eastAsia="Times New Roman" w:cs="Times New Roman"/>
          <w:rtl/>
          <w:lang w:eastAsia="de-DE"/>
        </w:rPr>
        <w:t xml:space="preserve"> </w:t>
      </w:r>
      <w:r w:rsidRPr="00AC36A5">
        <w:rPr>
          <w:rFonts w:eastAsia="Times New Roman" w:cs="Times New Roman"/>
          <w:lang w:eastAsia="de-DE"/>
        </w:rPr>
        <w:t>zeigt die ungewöhnliche Reihenfolge: fünf und sechzig und drei Hunderte und tausend = 1.365. Diese Summe entspricht exakt: 273 × 5 = 1.365 Schekel.</w:t>
      </w:r>
    </w:p>
    <w:p w14:paraId="4BAEAD2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בְּשֶׁקֶל הַקֹּדֶשׁ</w:t>
      </w:r>
      <w:r w:rsidRPr="00AC36A5">
        <w:rPr>
          <w:rFonts w:eastAsia="Times New Roman" w:cs="Times New Roman"/>
          <w:rtl/>
          <w:lang w:eastAsia="de-DE"/>
        </w:rPr>
        <w:t xml:space="preserve"> </w:t>
      </w:r>
      <w:r w:rsidRPr="00AC36A5">
        <w:rPr>
          <w:rFonts w:eastAsia="Times New Roman" w:cs="Times New Roman"/>
          <w:lang w:eastAsia="de-DE"/>
        </w:rPr>
        <w:t>(nach dem Schekel des Heiligtums) bestätigt die Verwendung des offiziellen Standards aus Vers 47.</w:t>
      </w:r>
    </w:p>
    <w:p w14:paraId="073676A9" w14:textId="098628D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w:t>
      </w:r>
      <w:r w:rsidR="000F383B">
        <w:rPr>
          <w:rFonts w:eastAsia="Times New Roman" w:cs="Times New Roman"/>
          <w:lang w:eastAsia="de-DE"/>
        </w:rPr>
        <w:t xml:space="preserve">gibt </w:t>
      </w:r>
      <w:r w:rsidR="000F383B">
        <w:t>die Gesamtsumme identisch wieder: 1.365 Schekel.</w:t>
      </w:r>
    </w:p>
    <w:p w14:paraId="4F72E6A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vorangestellte präpositionale Herkunftsangabe, gefolgt von Prädikat, direktem Objekt, detaillierter Zahlenangabe und Standard-Spezifikation.</w:t>
      </w:r>
    </w:p>
    <w:p w14:paraId="06080D9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Dieser Vers gibt die konkrete Gesamtsumme des eingesammelten Lösegelds an und bestätigt die mathematische Korrektheit: 273 überzählige Erstgeborene × 5 Schekel = 1.365 Schekel.</w:t>
      </w:r>
    </w:p>
    <w:p w14:paraId="7DFDD056"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3,51</w:t>
      </w:r>
    </w:p>
    <w:p w14:paraId="0D2E70D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וַיִּתֵּ֨ן מֹשֶׁ֜ה אֶת־כֶּ֧סֶף הַפְּדֻיִ֛ם לְאַהֲרֹ֥ן וּלְבָנָ֖יו עַל־פִּ֣י יְהוָ֑ה כַּאֲשֶׁ֛ר צִוָּ֥ה יְהוָ֖ה אֶת־מֹשֶֽׁה׃</w:t>
      </w:r>
    </w:p>
    <w:p w14:paraId="49AB129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Mosche gab das Lösungsgeld 'Aharon und seinen Söhnen nach dem Befehl des Ewigen, wie der Ewige Mosche geboten hatte.</w:t>
      </w:r>
    </w:p>
    <w:p w14:paraId="42F5E135"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E14D755">
          <v:rect id="_x0000_i1163" style="width:0;height:1.5pt" o:hralign="center" o:hrstd="t" o:hr="t" fillcolor="#a0a0a0" stroked="f"/>
        </w:pict>
      </w:r>
    </w:p>
    <w:p w14:paraId="6DCD95B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וַיִּתֵּן</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 im Qal-Imperfekt 3. maskulin Singular mit Waw consecutivum zeigt Moses Ausführung der Geldübergabe. Das Subjekt </w:t>
      </w:r>
      <w:r w:rsidRPr="00AC36A5">
        <w:rPr>
          <w:rFonts w:eastAsia="Times New Roman" w:cs="Times New Roman"/>
          <w:b/>
          <w:bCs/>
          <w:rtl/>
          <w:lang w:eastAsia="de-DE"/>
        </w:rPr>
        <w:t>מֹשֶׁה</w:t>
      </w:r>
      <w:r w:rsidRPr="00AC36A5">
        <w:rPr>
          <w:rFonts w:eastAsia="Times New Roman" w:cs="Times New Roman"/>
          <w:rtl/>
          <w:lang w:eastAsia="de-DE"/>
        </w:rPr>
        <w:t xml:space="preserve"> </w:t>
      </w:r>
      <w:r w:rsidRPr="00AC36A5">
        <w:rPr>
          <w:rFonts w:eastAsia="Times New Roman" w:cs="Times New Roman"/>
          <w:lang w:eastAsia="de-DE"/>
        </w:rPr>
        <w:t>betont seine treue Befolgung der göttlichen Anweisungen.</w:t>
      </w:r>
    </w:p>
    <w:p w14:paraId="02F5FADB" w14:textId="18B36B8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direkte Objekt </w:t>
      </w:r>
      <w:r w:rsidRPr="00AC36A5">
        <w:rPr>
          <w:rFonts w:eastAsia="Times New Roman" w:cs="Times New Roman"/>
          <w:b/>
          <w:bCs/>
          <w:rtl/>
          <w:lang w:eastAsia="de-DE"/>
        </w:rPr>
        <w:t>אֶת־כֶּסֶף הַפְּדֻיִם</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כֶּסֶף הַפְּדֻיִם</w:t>
      </w:r>
      <w:r w:rsidRPr="00AC36A5">
        <w:rPr>
          <w:rFonts w:eastAsia="Times New Roman" w:cs="Times New Roman"/>
          <w:rtl/>
          <w:lang w:eastAsia="de-DE"/>
        </w:rPr>
        <w:t xml:space="preserve"> </w:t>
      </w:r>
      <w:r w:rsidRPr="00AC36A5">
        <w:rPr>
          <w:rFonts w:eastAsia="Times New Roman" w:cs="Times New Roman"/>
          <w:lang w:eastAsia="de-DE"/>
        </w:rPr>
        <w:t xml:space="preserve">(Geld der Gelösten/Ausgelösten) bezeichnet das Lösegeld. </w:t>
      </w:r>
      <w:r w:rsidRPr="00AC36A5">
        <w:rPr>
          <w:rFonts w:eastAsia="Times New Roman" w:cs="Times New Roman"/>
          <w:b/>
          <w:bCs/>
          <w:rtl/>
          <w:lang w:eastAsia="de-DE"/>
        </w:rPr>
        <w:t>פְּדֻיִים</w:t>
      </w:r>
      <w:r w:rsidRPr="00AC36A5">
        <w:rPr>
          <w:rFonts w:eastAsia="Times New Roman" w:cs="Times New Roman"/>
          <w:rtl/>
          <w:lang w:eastAsia="de-DE"/>
        </w:rPr>
        <w:t xml:space="preserve"> </w:t>
      </w:r>
      <w:r w:rsidRPr="00AC36A5">
        <w:rPr>
          <w:rFonts w:eastAsia="Times New Roman" w:cs="Times New Roman"/>
          <w:lang w:eastAsia="de-DE"/>
        </w:rPr>
        <w:t xml:space="preserve">ist das Pu'al-Partizip Plural von </w:t>
      </w:r>
      <w:r w:rsidRPr="00AC36A5">
        <w:rPr>
          <w:rFonts w:eastAsia="Times New Roman" w:cs="Times New Roman"/>
          <w:b/>
          <w:bCs/>
          <w:rtl/>
          <w:lang w:eastAsia="de-DE"/>
        </w:rPr>
        <w:t>פדה</w:t>
      </w:r>
      <w:r w:rsidRPr="00AC36A5">
        <w:rPr>
          <w:rFonts w:eastAsia="Times New Roman" w:cs="Times New Roman"/>
          <w:rtl/>
          <w:lang w:eastAsia="de-DE"/>
        </w:rPr>
        <w:t xml:space="preserve"> </w:t>
      </w:r>
      <w:r w:rsidRPr="00AC36A5">
        <w:rPr>
          <w:rFonts w:eastAsia="Times New Roman" w:cs="Times New Roman"/>
          <w:lang w:eastAsia="de-DE"/>
        </w:rPr>
        <w:t>(auslösen) in passiver Bedeutung.</w:t>
      </w:r>
    </w:p>
    <w:p w14:paraId="31A567D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präpositionale Phrase </w:t>
      </w:r>
      <w:r w:rsidRPr="00AC36A5">
        <w:rPr>
          <w:rFonts w:eastAsia="Times New Roman" w:cs="Times New Roman"/>
          <w:b/>
          <w:bCs/>
          <w:rtl/>
          <w:lang w:eastAsia="de-DE"/>
        </w:rPr>
        <w:t>לְאַהֲרֹן וּלְבָנָיו</w:t>
      </w:r>
      <w:r w:rsidRPr="00AC36A5">
        <w:rPr>
          <w:rFonts w:eastAsia="Times New Roman" w:cs="Times New Roman"/>
          <w:rtl/>
          <w:lang w:eastAsia="de-DE"/>
        </w:rPr>
        <w:t xml:space="preserve"> </w:t>
      </w:r>
      <w:r w:rsidRPr="00AC36A5">
        <w:rPr>
          <w:rFonts w:eastAsia="Times New Roman" w:cs="Times New Roman"/>
          <w:lang w:eastAsia="de-DE"/>
        </w:rPr>
        <w:t>(Aaron und seinen Söhnen) entspricht der Anweisung aus Vers 48 und betont die priesterliche Berechtigung.</w:t>
      </w:r>
    </w:p>
    <w:p w14:paraId="318CA8F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idiomatische Wendung </w:t>
      </w:r>
      <w:r w:rsidRPr="00AC36A5">
        <w:rPr>
          <w:rFonts w:eastAsia="Times New Roman" w:cs="Times New Roman"/>
          <w:b/>
          <w:bCs/>
          <w:rtl/>
          <w:lang w:eastAsia="de-DE"/>
        </w:rPr>
        <w:t>עַל־פִּי יְהוָה</w:t>
      </w:r>
      <w:r w:rsidRPr="00AC36A5">
        <w:rPr>
          <w:rFonts w:eastAsia="Times New Roman" w:cs="Times New Roman"/>
          <w:rtl/>
          <w:lang w:eastAsia="de-DE"/>
        </w:rPr>
        <w:t xml:space="preserve"> </w:t>
      </w:r>
      <w:r w:rsidRPr="00AC36A5">
        <w:rPr>
          <w:rFonts w:eastAsia="Times New Roman" w:cs="Times New Roman"/>
          <w:lang w:eastAsia="de-DE"/>
        </w:rPr>
        <w:t xml:space="preserve">(nach dem Befehl JHWHs) mit </w:t>
      </w:r>
      <w:r w:rsidRPr="00AC36A5">
        <w:rPr>
          <w:rFonts w:eastAsia="Times New Roman" w:cs="Times New Roman"/>
          <w:b/>
          <w:bCs/>
          <w:rtl/>
          <w:lang w:eastAsia="de-DE"/>
        </w:rPr>
        <w:t>עַל־פִּי</w:t>
      </w:r>
      <w:r w:rsidRPr="00AC36A5">
        <w:rPr>
          <w:rFonts w:eastAsia="Times New Roman" w:cs="Times New Roman"/>
          <w:rtl/>
          <w:lang w:eastAsia="de-DE"/>
        </w:rPr>
        <w:t xml:space="preserve"> </w:t>
      </w:r>
      <w:r w:rsidRPr="00AC36A5">
        <w:rPr>
          <w:rFonts w:eastAsia="Times New Roman" w:cs="Times New Roman"/>
          <w:lang w:eastAsia="de-DE"/>
        </w:rPr>
        <w:t>(nach dem Mund von) zeigt die göttliche Autorisation der Handlung.</w:t>
      </w:r>
    </w:p>
    <w:p w14:paraId="7C3B467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verstärkende Vergleichssatz </w:t>
      </w:r>
      <w:r w:rsidRPr="00AC36A5">
        <w:rPr>
          <w:rFonts w:eastAsia="Times New Roman" w:cs="Times New Roman"/>
          <w:b/>
          <w:bCs/>
          <w:rtl/>
          <w:lang w:eastAsia="de-DE"/>
        </w:rPr>
        <w:t>כַּאֲשֶׁר צִוָּה יְהוָה אֶת־מֹשֶׁה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כַּאֲשֶׁר</w:t>
      </w:r>
      <w:r w:rsidRPr="00AC36A5">
        <w:rPr>
          <w:rFonts w:eastAsia="Times New Roman" w:cs="Times New Roman"/>
          <w:rtl/>
          <w:lang w:eastAsia="de-DE"/>
        </w:rPr>
        <w:t xml:space="preserve"> </w:t>
      </w:r>
      <w:r w:rsidRPr="00AC36A5">
        <w:rPr>
          <w:rFonts w:eastAsia="Times New Roman" w:cs="Times New Roman"/>
          <w:lang w:eastAsia="de-DE"/>
        </w:rPr>
        <w:t xml:space="preserve">(wie/so wie), </w:t>
      </w:r>
      <w:r w:rsidRPr="00AC36A5">
        <w:rPr>
          <w:rFonts w:eastAsia="Times New Roman" w:cs="Times New Roman"/>
          <w:b/>
          <w:bCs/>
          <w:rtl/>
          <w:lang w:eastAsia="de-DE"/>
        </w:rPr>
        <w:t>צִוָּה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צוה</w:t>
      </w:r>
      <w:r w:rsidRPr="00AC36A5">
        <w:rPr>
          <w:rFonts w:eastAsia="Times New Roman" w:cs="Times New Roman"/>
          <w:rtl/>
          <w:lang w:eastAsia="de-DE"/>
        </w:rPr>
        <w:t xml:space="preserve"> </w:t>
      </w:r>
      <w:r w:rsidRPr="00AC36A5">
        <w:rPr>
          <w:rFonts w:eastAsia="Times New Roman" w:cs="Times New Roman"/>
          <w:lang w:eastAsia="de-DE"/>
        </w:rPr>
        <w:t xml:space="preserve">(befehlen) im Pi'el-Perfekt 3. maskulin Singular und </w:t>
      </w:r>
      <w:r w:rsidRPr="00AC36A5">
        <w:rPr>
          <w:rFonts w:eastAsia="Times New Roman" w:cs="Times New Roman"/>
          <w:b/>
          <w:bCs/>
          <w:rtl/>
          <w:lang w:eastAsia="de-DE"/>
        </w:rPr>
        <w:t>אֶת־מֹשֶׁה</w:t>
      </w:r>
      <w:r w:rsidRPr="00AC36A5">
        <w:rPr>
          <w:rFonts w:eastAsia="Times New Roman" w:cs="Times New Roman"/>
          <w:rtl/>
          <w:lang w:eastAsia="de-DE"/>
        </w:rPr>
        <w:t xml:space="preserve"> </w:t>
      </w:r>
      <w:r w:rsidRPr="00AC36A5">
        <w:rPr>
          <w:rFonts w:eastAsia="Times New Roman" w:cs="Times New Roman"/>
          <w:lang w:eastAsia="de-DE"/>
        </w:rPr>
        <w:t>als direktem Objekt unterstreicht Moses vollkommenen Gehorsam.</w:t>
      </w:r>
    </w:p>
    <w:p w14:paraId="090A9C7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ἔδωκεν Μωυσῆς τὸ ἀργύριον τῶν λύτρων Ααρων καὶ τοῖς υἱοῖς αὐτοῦ διὰ φωνῆς κυρίου ὃν τρόπον συνέταξεν κύριος τῷ Μωυσῇ und behält die doppelte Gehorsamsbetonung bei.</w:t>
      </w:r>
    </w:p>
    <w:p w14:paraId="77226B3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Ausführungsbericht mit Subjekt, Prädikat, direktem Objekt, koordinierter Empfängerangabe und doppelter Betonung der göttlichen Autorisation und des gehorsamen Vollzugs.</w:t>
      </w:r>
    </w:p>
    <w:p w14:paraId="7E77BD7F" w14:textId="13B054AE" w:rsid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abschließende Vers des Kapitels betont Moses vollkommenen Gehorsam bei der Übergabe des Lösegelds an die Priesterschaft und komplettiert die systematische Implementierung der levitischen Substitution mit monetärem Ausgleich für die überzähligen Erstgeborenen. Das Kapitel schließt mit der vollständigen Umsetzung des göttlichen Plans zur Organisation der levitischen Hierarchie und ihrer Integration in das israelitische Religionssystem.</w:t>
      </w:r>
    </w:p>
    <w:p w14:paraId="6D1D8DEA" w14:textId="77777777" w:rsidR="00A75527" w:rsidRPr="00A75527" w:rsidRDefault="00A75527" w:rsidP="00A75527">
      <w:pPr>
        <w:pStyle w:val="whitespace-normal"/>
        <w:rPr>
          <w:sz w:val="28"/>
          <w:szCs w:val="28"/>
        </w:rPr>
      </w:pPr>
      <w:r w:rsidRPr="00A75527">
        <w:rPr>
          <w:rStyle w:val="Fett"/>
          <w:sz w:val="28"/>
          <w:szCs w:val="28"/>
        </w:rPr>
        <w:t>EXKURS: Levitische Substitution und priesterliche Hierarchie in Numeri 3</w:t>
      </w:r>
    </w:p>
    <w:p w14:paraId="21DA3CE0" w14:textId="77777777" w:rsidR="00A75527" w:rsidRDefault="00A75527" w:rsidP="00A75527">
      <w:pPr>
        <w:pStyle w:val="whitespace-normal"/>
      </w:pPr>
      <w:r>
        <w:t>Numeri 3 etabliert ein dreigliedriges hierarchisches System:</w:t>
      </w:r>
    </w:p>
    <w:p w14:paraId="4C5E2262" w14:textId="77777777" w:rsidR="00A75527" w:rsidRDefault="00A75527" w:rsidP="00A75527">
      <w:pPr>
        <w:pStyle w:val="whitespace-normal"/>
      </w:pPr>
      <w:r>
        <w:rPr>
          <w:rStyle w:val="Fett"/>
        </w:rPr>
        <w:lastRenderedPageBreak/>
        <w:t>1. Priesterhierarchie (V. 1-10):</w:t>
      </w:r>
    </w:p>
    <w:p w14:paraId="5259EE9B" w14:textId="77777777" w:rsidR="00A75527" w:rsidRDefault="00A75527" w:rsidP="00C15C06">
      <w:pPr>
        <w:pStyle w:val="whitespace-normal"/>
        <w:numPr>
          <w:ilvl w:val="0"/>
          <w:numId w:val="39"/>
        </w:numPr>
      </w:pPr>
      <w:r>
        <w:t>Aaron als Hohepriester</w:t>
      </w:r>
    </w:p>
    <w:p w14:paraId="5F238474" w14:textId="77777777" w:rsidR="00A75527" w:rsidRDefault="00A75527" w:rsidP="00C15C06">
      <w:pPr>
        <w:pStyle w:val="whitespace-normal"/>
        <w:numPr>
          <w:ilvl w:val="0"/>
          <w:numId w:val="39"/>
        </w:numPr>
      </w:pPr>
      <w:r>
        <w:t>Eleasar und Itamar als amtierende Priester nach Nadabs und Abihus Tod</w:t>
      </w:r>
    </w:p>
    <w:p w14:paraId="709D2F4D" w14:textId="77777777" w:rsidR="00A75527" w:rsidRDefault="00A75527" w:rsidP="00C15C06">
      <w:pPr>
        <w:pStyle w:val="whitespace-normal"/>
        <w:numPr>
          <w:ilvl w:val="0"/>
          <w:numId w:val="39"/>
        </w:numPr>
      </w:pPr>
      <w:r>
        <w:t>Exklusive Zuständigkeit für heiligste Funktionen (V. 10: Todesdrohung)</w:t>
      </w:r>
    </w:p>
    <w:p w14:paraId="592CA305" w14:textId="77777777" w:rsidR="00A75527" w:rsidRDefault="00A75527" w:rsidP="00A75527">
      <w:pPr>
        <w:pStyle w:val="whitespace-normal"/>
      </w:pPr>
      <w:r>
        <w:rPr>
          <w:rStyle w:val="Fett"/>
        </w:rPr>
        <w:t>2. Levitische Organisation (V. 14-39):</w:t>
      </w:r>
    </w:p>
    <w:p w14:paraId="2076CF02" w14:textId="77777777" w:rsidR="00A75527" w:rsidRDefault="00A75527" w:rsidP="00C15C06">
      <w:pPr>
        <w:pStyle w:val="whitespace-normal"/>
        <w:numPr>
          <w:ilvl w:val="0"/>
          <w:numId w:val="40"/>
        </w:numPr>
      </w:pPr>
      <w:r>
        <w:t xml:space="preserve">Drei Hauptlinien mit spezialisierten Funktionen: </w:t>
      </w:r>
    </w:p>
    <w:p w14:paraId="08F0518D" w14:textId="77777777" w:rsidR="00A75527" w:rsidRDefault="00A75527" w:rsidP="00C15C06">
      <w:pPr>
        <w:pStyle w:val="whitespace-normal"/>
        <w:numPr>
          <w:ilvl w:val="1"/>
          <w:numId w:val="40"/>
        </w:numPr>
      </w:pPr>
      <w:r>
        <w:rPr>
          <w:rStyle w:val="Fett"/>
        </w:rPr>
        <w:t>Gerschoniter</w:t>
      </w:r>
      <w:r>
        <w:t>: Textilkomponenten (Zelte, Vorhänge, Decken)</w:t>
      </w:r>
    </w:p>
    <w:p w14:paraId="06754F30" w14:textId="77777777" w:rsidR="00A75527" w:rsidRDefault="00A75527" w:rsidP="00C15C06">
      <w:pPr>
        <w:pStyle w:val="whitespace-normal"/>
        <w:numPr>
          <w:ilvl w:val="1"/>
          <w:numId w:val="40"/>
        </w:numPr>
      </w:pPr>
      <w:r>
        <w:rPr>
          <w:rStyle w:val="Fett"/>
        </w:rPr>
        <w:t>Kehatiter</w:t>
      </w:r>
      <w:r>
        <w:t>: Heiligste Kultgeräte (Lade, Tisch, Leuchter, Altäre)</w:t>
      </w:r>
    </w:p>
    <w:p w14:paraId="5D6BAA6B" w14:textId="77777777" w:rsidR="00A75527" w:rsidRDefault="00A75527" w:rsidP="00C15C06">
      <w:pPr>
        <w:pStyle w:val="whitespace-normal"/>
        <w:numPr>
          <w:ilvl w:val="1"/>
          <w:numId w:val="40"/>
        </w:numPr>
      </w:pPr>
      <w:r>
        <w:rPr>
          <w:rStyle w:val="Fett"/>
        </w:rPr>
        <w:t>Merariter</w:t>
      </w:r>
      <w:r>
        <w:t>: Strukturelemente (Bretter, Säulen, Sockel, Riegel)</w:t>
      </w:r>
    </w:p>
    <w:p w14:paraId="0675BDBD" w14:textId="77777777" w:rsidR="00A75527" w:rsidRDefault="00A75527" w:rsidP="00C15C06">
      <w:pPr>
        <w:pStyle w:val="whitespace-normal"/>
        <w:numPr>
          <w:ilvl w:val="0"/>
          <w:numId w:val="40"/>
        </w:numPr>
      </w:pPr>
      <w:r>
        <w:t>Altersgrenze: ab 1 Monat (im Gegensatz zu 20 Jahren bei militärischer Musterung)</w:t>
      </w:r>
    </w:p>
    <w:p w14:paraId="6DFCC097" w14:textId="77777777" w:rsidR="00A75527" w:rsidRDefault="00A75527" w:rsidP="00C15C06">
      <w:pPr>
        <w:pStyle w:val="whitespace-normal"/>
        <w:numPr>
          <w:ilvl w:val="0"/>
          <w:numId w:val="40"/>
        </w:numPr>
      </w:pPr>
      <w:r>
        <w:t>Numerische Hierarchie: Kehat (8.600) &gt; Gerschon (7.500) &gt; Merari (6.200)</w:t>
      </w:r>
    </w:p>
    <w:p w14:paraId="14756542" w14:textId="77777777" w:rsidR="00A75527" w:rsidRDefault="00A75527" w:rsidP="00A75527">
      <w:pPr>
        <w:pStyle w:val="whitespace-normal"/>
      </w:pPr>
      <w:r>
        <w:rPr>
          <w:rStyle w:val="Fett"/>
        </w:rPr>
        <w:t>3. Substitutionstheologie (V. 11-13, 40-51):</w:t>
      </w:r>
    </w:p>
    <w:p w14:paraId="76BA46F3" w14:textId="77777777" w:rsidR="00A75527" w:rsidRDefault="00A75527" w:rsidP="00C15C06">
      <w:pPr>
        <w:pStyle w:val="whitespace-normal"/>
        <w:numPr>
          <w:ilvl w:val="0"/>
          <w:numId w:val="41"/>
        </w:numPr>
      </w:pPr>
      <w:r>
        <w:t>Theologische Grundlage: Gottes Anspruch auf alle Erstgeborenen seit der Passanacht</w:t>
      </w:r>
    </w:p>
    <w:p w14:paraId="6340DE66" w14:textId="77777777" w:rsidR="00A75527" w:rsidRDefault="00A75527" w:rsidP="00C15C06">
      <w:pPr>
        <w:pStyle w:val="whitespace-normal"/>
        <w:numPr>
          <w:ilvl w:val="0"/>
          <w:numId w:val="41"/>
        </w:numPr>
      </w:pPr>
      <w:r>
        <w:t>Praktische Umsetzung: Leviten ersetzen alle männlichen Erstgeborenen Israels</w:t>
      </w:r>
    </w:p>
    <w:p w14:paraId="4AA0CE4A" w14:textId="77777777" w:rsidR="00A75527" w:rsidRDefault="00A75527" w:rsidP="00C15C06">
      <w:pPr>
        <w:pStyle w:val="whitespace-normal"/>
        <w:numPr>
          <w:ilvl w:val="0"/>
          <w:numId w:val="41"/>
        </w:numPr>
      </w:pPr>
      <w:r>
        <w:t>Monetärer Ausgleich: 5 Schekel pro überzähligem Erstgeborenem (273 × 5 = 1.365 Schekel)</w:t>
      </w:r>
    </w:p>
    <w:p w14:paraId="1616C18E" w14:textId="77777777" w:rsidR="00A75527" w:rsidRDefault="00A75527" w:rsidP="00C15C06">
      <w:pPr>
        <w:pStyle w:val="whitespace-normal"/>
        <w:numPr>
          <w:ilvl w:val="0"/>
          <w:numId w:val="41"/>
        </w:numPr>
      </w:pPr>
      <w:r>
        <w:t>Empfänger: Aaronidische Priesterschaft</w:t>
      </w:r>
    </w:p>
    <w:p w14:paraId="020C21CE" w14:textId="77777777" w:rsidR="00A75527" w:rsidRDefault="00A75527" w:rsidP="00A75527">
      <w:pPr>
        <w:pStyle w:val="whitespace-normal"/>
      </w:pPr>
      <w:r>
        <w:rPr>
          <w:rStyle w:val="Fett"/>
        </w:rPr>
        <w:t>Theologische Implikationen:</w:t>
      </w:r>
    </w:p>
    <w:p w14:paraId="26799EAD" w14:textId="77777777" w:rsidR="00A75527" w:rsidRDefault="00A75527" w:rsidP="00A75527">
      <w:pPr>
        <w:pStyle w:val="whitespace-normal"/>
      </w:pPr>
      <w:r>
        <w:t xml:space="preserve">Die konzentrische Ordnung (Priester → Leviten → Volk) schafft eine </w:t>
      </w:r>
      <w:r>
        <w:rPr>
          <w:rStyle w:val="Fett"/>
        </w:rPr>
        <w:t>gestaffelte Vermittlung</w:t>
      </w:r>
      <w:r>
        <w:t xml:space="preserve"> zwischen Gott und Israel. Die Leviten fungieren als "Pufferzone", die das Volk vor versehentlichem Heiligtumsfrevel schützt (vgl. 1,53). Die Substitution demokratisiert ursprüngliche Erstgeburtsrechte: Statt einer aristokratischen Erstgeborenen-Kaste dient ein ganzer Stamm stellvertretend für alle.</w:t>
      </w:r>
    </w:p>
    <w:p w14:paraId="6EAD4A3C" w14:textId="2FCC5AC1" w:rsidR="00A75527" w:rsidRDefault="00A75527" w:rsidP="00A75527">
      <w:pPr>
        <w:pStyle w:val="whitespace-normal"/>
      </w:pPr>
      <w:r>
        <w:t xml:space="preserve">Die </w:t>
      </w:r>
      <w:r>
        <w:rPr>
          <w:rStyle w:val="Fett"/>
        </w:rPr>
        <w:t>ökonomische Dimension</w:t>
      </w:r>
      <w:r>
        <w:t xml:space="preserve"> (Lösegeld V. 46-51) etabliert ein Präzedenzfall für monetäre Kompensation bei religösen Verpflichtungen und finanziert die priesterliche Infrastruktur.</w:t>
      </w:r>
    </w:p>
    <w:p w14:paraId="4DC26452" w14:textId="79DD5691" w:rsidR="00901D5C" w:rsidRPr="00AC36A5" w:rsidRDefault="00901D5C" w:rsidP="00A75527">
      <w:pPr>
        <w:pStyle w:val="whitespace-normal"/>
      </w:pPr>
      <w:r>
        <w:t>Kapitel 4 wird diese Organisationsstruktur durch präzise Dienstanweisungen für jede levitische Untergruppe operationalisieren und die Altersgrenze für den aktiven Dienst (30-50 Jahre) von der Zählgrenze (ab 1 Monat) unterscheiden.</w:t>
      </w:r>
    </w:p>
    <w:p w14:paraId="0DB21468"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w:t>
      </w:r>
    </w:p>
    <w:p w14:paraId="03C5922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וְאֶֽל־אַהֲרֹ֖ן לֵאמֹֽר׃</w:t>
      </w:r>
    </w:p>
    <w:p w14:paraId="4D83C63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und zu 'Aharon, sagend:</w:t>
      </w:r>
    </w:p>
    <w:p w14:paraId="53591296"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53B11114">
          <v:rect id="_x0000_i1164" style="width:0;height:1.5pt" o:hralign="center" o:hrstd="t" o:hr="t" fillcolor="#a0a0a0" stroked="f"/>
        </w:pict>
      </w:r>
    </w:p>
    <w:p w14:paraId="1B2AEB1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(reden/sprechen) im Qal-Imperfekt 3. maskulin Singular mit Waw consecutivum leitet eine neue göttliche Rede ein. 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w:t>
      </w:r>
      <w:r w:rsidRPr="00AC36A5">
        <w:rPr>
          <w:rFonts w:eastAsia="Times New Roman" w:cs="Times New Roman"/>
          <w:lang w:eastAsia="de-DE"/>
        </w:rPr>
        <w:lastRenderedPageBreak/>
        <w:t xml:space="preserve">koordinierten präpositionalen Phrase </w:t>
      </w:r>
      <w:r w:rsidRPr="00AC36A5">
        <w:rPr>
          <w:rFonts w:eastAsia="Times New Roman" w:cs="Times New Roman"/>
          <w:b/>
          <w:bCs/>
          <w:rtl/>
          <w:lang w:eastAsia="de-DE"/>
        </w:rPr>
        <w:t>אֶל־מֹשֶׁה וְאֶֽל־אַהֲרֹן</w:t>
      </w:r>
      <w:r w:rsidRPr="00AC36A5">
        <w:rPr>
          <w:rFonts w:eastAsia="Times New Roman" w:cs="Times New Roman"/>
          <w:rtl/>
          <w:lang w:eastAsia="de-DE"/>
        </w:rPr>
        <w:t xml:space="preserve"> </w:t>
      </w:r>
      <w:r w:rsidRPr="00AC36A5">
        <w:rPr>
          <w:rFonts w:eastAsia="Times New Roman" w:cs="Times New Roman"/>
          <w:lang w:eastAsia="de-DE"/>
        </w:rPr>
        <w:t>zeigt die gemeinsame Beauftragung beider Führungsgestalten, ähnlich wie in 2,1.</w:t>
      </w:r>
    </w:p>
    <w:p w14:paraId="5888DE9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doppelte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mit Waw copulativum betont die gleichberechtigte Adressierung beider Brüder für die folgenden speziellen Anweisungen zum levitischen Dienst.</w:t>
      </w:r>
    </w:p>
    <w:p w14:paraId="15CF3007" w14:textId="311D2546"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ist der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und fungiert als Redeeinleitung für die detaillierten Bestimmungen zur levitischen Arbeitsorganisation.</w:t>
      </w:r>
    </w:p>
    <w:p w14:paraId="48723DB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καὶ Ααρων λέγων und behält die doppelte Adressierung bei.</w:t>
      </w:r>
    </w:p>
    <w:p w14:paraId="61B709D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einfachen Hauptsatz mit der charakteristischen Offenbarungsformel, erweitert um die gemeinsame Beauftragung.</w:t>
      </w:r>
    </w:p>
    <w:p w14:paraId="4600A3C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das vierte Kapitel ein, das sich auf die spezifischen Arbeitsaufgaben der drei levitischen Hauptgruppen im dienstfähigen Alter konzentriert.</w:t>
      </w:r>
    </w:p>
    <w:p w14:paraId="219868CE"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w:t>
      </w:r>
    </w:p>
    <w:p w14:paraId="6EF97A4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נָשֹׂ֗א אֶת־רֹאשׁ֙ בְּנֵ֣י קְהָ֔ת מִתּ֖וֹךְ בְּנֵ֣י לֵוִ֑י לְמִשְׁפְּחֹתָ֖ם לְבֵ֥ית אֲבֹתָֽם׃</w:t>
      </w:r>
    </w:p>
    <w:p w14:paraId="73D5E98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Erhebt die Kopfzahl der Söhne Kehats aus der Mitte der Söhne Levis, nach ihren Familien, nach ihren Vaterhäusern,</w:t>
      </w:r>
    </w:p>
    <w:p w14:paraId="706C251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AE9146B">
          <v:rect id="_x0000_i1165" style="width:0;height:1.5pt" o:hralign="center" o:hrstd="t" o:hr="t" fillcolor="#a0a0a0" stroked="f"/>
        </w:pict>
      </w:r>
    </w:p>
    <w:p w14:paraId="7FD725B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נָשֹׂא</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נשא</w:t>
      </w:r>
      <w:r w:rsidRPr="00AC36A5">
        <w:rPr>
          <w:rFonts w:eastAsia="Times New Roman" w:cs="Times New Roman"/>
          <w:rtl/>
          <w:lang w:eastAsia="de-DE"/>
        </w:rPr>
        <w:t xml:space="preserve"> </w:t>
      </w:r>
      <w:r w:rsidRPr="00AC36A5">
        <w:rPr>
          <w:rFonts w:eastAsia="Times New Roman" w:cs="Times New Roman"/>
          <w:lang w:eastAsia="de-DE"/>
        </w:rPr>
        <w:t xml:space="preserve">(erheben/tragen) im Qal-Imperativ maskulin Singular mit der idiomatischen Wendung </w:t>
      </w:r>
      <w:r w:rsidRPr="00AC36A5">
        <w:rPr>
          <w:rFonts w:eastAsia="Times New Roman" w:cs="Times New Roman"/>
          <w:b/>
          <w:bCs/>
          <w:rtl/>
          <w:lang w:eastAsia="de-DE"/>
        </w:rPr>
        <w:t>אֶת־רֹאשׁ</w:t>
      </w:r>
      <w:r w:rsidRPr="00AC36A5">
        <w:rPr>
          <w:rFonts w:eastAsia="Times New Roman" w:cs="Times New Roman"/>
          <w:rtl/>
          <w:lang w:eastAsia="de-DE"/>
        </w:rPr>
        <w:t xml:space="preserve"> </w:t>
      </w:r>
      <w:r w:rsidRPr="00AC36A5">
        <w:rPr>
          <w:rFonts w:eastAsia="Times New Roman" w:cs="Times New Roman"/>
          <w:lang w:eastAsia="de-DE"/>
        </w:rPr>
        <w:t>(das Haupt erheben) zeigt den Befehl zur Musterung, wie bereits in 1,2 verwendet.</w:t>
      </w:r>
    </w:p>
    <w:p w14:paraId="7BCDBE6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Angabe </w:t>
      </w:r>
      <w:r w:rsidRPr="00AC36A5">
        <w:rPr>
          <w:rFonts w:eastAsia="Times New Roman" w:cs="Times New Roman"/>
          <w:b/>
          <w:bCs/>
          <w:rtl/>
          <w:lang w:eastAsia="de-DE"/>
        </w:rPr>
        <w:t>בְּנֵי קְהָת מִתּוֹךְ בְּנֵי לֵוִי</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מִתּוֹךְ</w:t>
      </w:r>
      <w:r w:rsidRPr="00AC36A5">
        <w:rPr>
          <w:rFonts w:eastAsia="Times New Roman" w:cs="Times New Roman"/>
          <w:rtl/>
          <w:lang w:eastAsia="de-DE"/>
        </w:rPr>
        <w:t xml:space="preserve"> </w:t>
      </w:r>
      <w:r w:rsidRPr="00AC36A5">
        <w:rPr>
          <w:rFonts w:eastAsia="Times New Roman" w:cs="Times New Roman"/>
          <w:lang w:eastAsia="de-DE"/>
        </w:rPr>
        <w:t xml:space="preserve">(aus der Mitte von) spezifiziert die Kehatiter als Untergruppe der Leviten und betont ihre Sonderstellung. Die präpositionalen Phrasen </w:t>
      </w:r>
      <w:r w:rsidRPr="00AC36A5">
        <w:rPr>
          <w:rFonts w:eastAsia="Times New Roman" w:cs="Times New Roman"/>
          <w:b/>
          <w:bCs/>
          <w:rtl/>
          <w:lang w:eastAsia="de-DE"/>
        </w:rPr>
        <w:t>לְמִשְׁפְּחֹתָם לְבֵית אֲבֹתָם</w:t>
      </w:r>
      <w:r w:rsidRPr="00AC36A5">
        <w:rPr>
          <w:rFonts w:eastAsia="Times New Roman" w:cs="Times New Roman"/>
          <w:rtl/>
          <w:lang w:eastAsia="de-DE"/>
        </w:rPr>
        <w:t xml:space="preserve"> </w:t>
      </w:r>
      <w:r w:rsidRPr="00AC36A5">
        <w:rPr>
          <w:rFonts w:eastAsia="Times New Roman" w:cs="Times New Roman"/>
          <w:lang w:eastAsia="de-DE"/>
        </w:rPr>
        <w:t>entsprechen dem etablierten Muster genealogischer Organisation.</w:t>
      </w:r>
    </w:p>
    <w:p w14:paraId="1F0E842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Im Gegensatz zu Kapitel 3 werden hier nicht alle Leviten ab einem Monat, sondern nur die dienstfähigen Kehatiter im Arbeitsalter erfasst.</w:t>
      </w:r>
    </w:p>
    <w:p w14:paraId="0AF0CD6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λάβετε τὸ κεφάλαιον τῶν υἱῶν Κααθ ἐκ μέσου τῶν υἱῶν Λευι κατὰ δήμους αὐτῶν κατὰ οἴκους πατριῶν αὐτῶν und behält die Struktur bei.</w:t>
      </w:r>
    </w:p>
    <w:p w14:paraId="5305685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Imperativsatz mit direktem Objekt, präpositionaler Herkunftsangabe und organisatorischen Spezifikationen.</w:t>
      </w:r>
    </w:p>
    <w:p w14:paraId="1181F0F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beginnt die spezielle Musterung der arbeitsfähigen Kehatiter und bereitet ihre besonderen Aufgaben am Allerheiligsten vor.</w:t>
      </w:r>
    </w:p>
    <w:p w14:paraId="4104D44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w:t>
      </w:r>
    </w:p>
    <w:p w14:paraId="7151286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Hebräisch:</w:t>
      </w:r>
      <w:r w:rsidRPr="00AC36A5">
        <w:rPr>
          <w:rFonts w:eastAsia="Times New Roman" w:cs="Times New Roman"/>
          <w:lang w:eastAsia="de-DE"/>
        </w:rPr>
        <w:t xml:space="preserve"> </w:t>
      </w:r>
      <w:r w:rsidRPr="00AC36A5">
        <w:rPr>
          <w:rFonts w:eastAsia="Times New Roman" w:cs="Times New Roman"/>
          <w:rtl/>
          <w:lang w:eastAsia="de-DE"/>
        </w:rPr>
        <w:t>מִבֶּ֨ן שְׁלֹשִׁ֤ים שָׁנָה֙ וָמַ֔עְלָה וְעַ֖ד בֶּן־חֲמִשִּׁ֣ים שָׁנָ֑ה כָּל־בָּא֙ לַצָּבָ֔א לַעֲשׂ֥וֹת מְלָאכָ֖ה בְּאֹ֥הֶל מוֹעֵֽד׃</w:t>
      </w:r>
    </w:p>
    <w:p w14:paraId="518895A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von 30 Jahren an und darüber, bis zu 50 Jahren, alle, die in den Dienst treten, um Arbeit zu verrichten am Zelt der Begegnung.</w:t>
      </w:r>
    </w:p>
    <w:p w14:paraId="7FE1AFA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AC11E3E">
          <v:rect id="_x0000_i1166" style="width:0;height:1.5pt" o:hralign="center" o:hrstd="t" o:hr="t" fillcolor="#a0a0a0" stroked="f"/>
        </w:pict>
      </w:r>
    </w:p>
    <w:p w14:paraId="101DB72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Altersangabe </w:t>
      </w:r>
      <w:r w:rsidRPr="00AC36A5">
        <w:rPr>
          <w:rFonts w:eastAsia="Times New Roman" w:cs="Times New Roman"/>
          <w:b/>
          <w:bCs/>
          <w:rtl/>
          <w:lang w:eastAsia="de-DE"/>
        </w:rPr>
        <w:t>מִבֶּן שְׁלֹשִׁים שָׁנָה וָמַעְלָה וְעַד בֶּן־חֲמִשִּׁים שָׁנָה</w:t>
      </w:r>
      <w:r w:rsidRPr="00AC36A5">
        <w:rPr>
          <w:rFonts w:eastAsia="Times New Roman" w:cs="Times New Roman"/>
          <w:rtl/>
          <w:lang w:eastAsia="de-DE"/>
        </w:rPr>
        <w:t xml:space="preserve"> </w:t>
      </w:r>
      <w:r w:rsidRPr="00AC36A5">
        <w:rPr>
          <w:rFonts w:eastAsia="Times New Roman" w:cs="Times New Roman"/>
          <w:lang w:eastAsia="de-DE"/>
        </w:rPr>
        <w:t>zeigt eine präzise Alterspanne von 30-50 Jahren, im deutlichen Unterschied zur militärischen Musterung (20-50 Jahre) und zur levitischen Gesamtzählung (ab 1 Monat). Das Alter von 30 Jahren markiert die volle geistliche Reife.</w:t>
      </w:r>
    </w:p>
    <w:p w14:paraId="5F07057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כָּל־בָּא לַצָּבָא</w:t>
      </w:r>
      <w:r w:rsidRPr="00AC36A5">
        <w:rPr>
          <w:rFonts w:eastAsia="Times New Roman" w:cs="Times New Roman"/>
          <w:rtl/>
          <w:lang w:eastAsia="de-DE"/>
        </w:rPr>
        <w:t xml:space="preserve"> </w:t>
      </w:r>
      <w:r w:rsidRPr="00AC36A5">
        <w:rPr>
          <w:rFonts w:eastAsia="Times New Roman" w:cs="Times New Roman"/>
          <w:lang w:eastAsia="de-DE"/>
        </w:rPr>
        <w:t xml:space="preserve">(alle, die in den Dienst treten) verwendet </w:t>
      </w:r>
      <w:r w:rsidRPr="00AC36A5">
        <w:rPr>
          <w:rFonts w:eastAsia="Times New Roman" w:cs="Times New Roman"/>
          <w:b/>
          <w:bCs/>
          <w:rtl/>
          <w:lang w:eastAsia="de-DE"/>
        </w:rPr>
        <w:t>צָבָא</w:t>
      </w:r>
      <w:r w:rsidRPr="00AC36A5">
        <w:rPr>
          <w:rFonts w:eastAsia="Times New Roman" w:cs="Times New Roman"/>
          <w:rtl/>
          <w:lang w:eastAsia="de-DE"/>
        </w:rPr>
        <w:t xml:space="preserve"> </w:t>
      </w:r>
      <w:r w:rsidRPr="00AC36A5">
        <w:rPr>
          <w:rFonts w:eastAsia="Times New Roman" w:cs="Times New Roman"/>
          <w:lang w:eastAsia="de-DE"/>
        </w:rPr>
        <w:t>(Heer/Dienst) metaphorisch für den levitischen Tempeldienst, parallel zur militärischen Terminologie.</w:t>
      </w:r>
    </w:p>
    <w:p w14:paraId="2B6A7576" w14:textId="171C62D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Zweck </w:t>
      </w:r>
      <w:r w:rsidRPr="00AC36A5">
        <w:rPr>
          <w:rFonts w:eastAsia="Times New Roman" w:cs="Times New Roman"/>
          <w:b/>
          <w:bCs/>
          <w:rtl/>
          <w:lang w:eastAsia="de-DE"/>
        </w:rPr>
        <w:t>לַעֲשׂוֹת מְלָאכָה בְּאֹהֶל מוֹעֵד</w:t>
      </w:r>
      <w:r w:rsidRPr="00AC36A5">
        <w:rPr>
          <w:rFonts w:eastAsia="Times New Roman" w:cs="Times New Roman"/>
          <w:rtl/>
          <w:lang w:eastAsia="de-DE"/>
        </w:rPr>
        <w:t xml:space="preserve"> </w:t>
      </w:r>
      <w:r w:rsidRPr="00AC36A5">
        <w:rPr>
          <w:rFonts w:eastAsia="Times New Roman" w:cs="Times New Roman"/>
          <w:lang w:eastAsia="de-DE"/>
        </w:rPr>
        <w:t>mit dem 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עֲשׂוֹת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עשה</w:t>
      </w:r>
      <w:r w:rsidRPr="00AC36A5">
        <w:rPr>
          <w:rFonts w:eastAsia="Times New Roman" w:cs="Times New Roman"/>
          <w:rtl/>
          <w:lang w:eastAsia="de-DE"/>
        </w:rPr>
        <w:t xml:space="preserve"> </w:t>
      </w:r>
      <w:r w:rsidRPr="00AC36A5">
        <w:rPr>
          <w:rFonts w:eastAsia="Times New Roman" w:cs="Times New Roman"/>
          <w:lang w:eastAsia="de-DE"/>
        </w:rPr>
        <w:t xml:space="preserve">(tun/machen), </w:t>
      </w:r>
      <w:r w:rsidRPr="00AC36A5">
        <w:rPr>
          <w:rFonts w:eastAsia="Times New Roman" w:cs="Times New Roman"/>
          <w:b/>
          <w:bCs/>
          <w:rtl/>
          <w:lang w:eastAsia="de-DE"/>
        </w:rPr>
        <w:t>מְלָאכָה</w:t>
      </w:r>
      <w:r w:rsidRPr="00AC36A5">
        <w:rPr>
          <w:rFonts w:eastAsia="Times New Roman" w:cs="Times New Roman"/>
          <w:rtl/>
          <w:lang w:eastAsia="de-DE"/>
        </w:rPr>
        <w:t xml:space="preserve"> </w:t>
      </w:r>
      <w:r w:rsidRPr="00AC36A5">
        <w:rPr>
          <w:rFonts w:eastAsia="Times New Roman" w:cs="Times New Roman"/>
          <w:lang w:eastAsia="de-DE"/>
        </w:rPr>
        <w:t xml:space="preserve">(Arbeit/Werk) und </w:t>
      </w:r>
      <w:r w:rsidRPr="00AC36A5">
        <w:rPr>
          <w:rFonts w:eastAsia="Times New Roman" w:cs="Times New Roman"/>
          <w:b/>
          <w:bCs/>
          <w:rtl/>
          <w:lang w:eastAsia="de-DE"/>
        </w:rPr>
        <w:t>בְּאֹהֶל מוֹעֵד</w:t>
      </w:r>
      <w:r w:rsidRPr="00AC36A5">
        <w:rPr>
          <w:rFonts w:eastAsia="Times New Roman" w:cs="Times New Roman"/>
          <w:rtl/>
          <w:lang w:eastAsia="de-DE"/>
        </w:rPr>
        <w:t xml:space="preserve"> </w:t>
      </w:r>
      <w:r w:rsidRPr="00AC36A5">
        <w:rPr>
          <w:rFonts w:eastAsia="Times New Roman" w:cs="Times New Roman"/>
          <w:lang w:eastAsia="de-DE"/>
        </w:rPr>
        <w:t>(am Zelt der Begegnung) spezifiziert den heiligen Arbeitsbereich.</w:t>
      </w:r>
    </w:p>
    <w:p w14:paraId="2E28FCAC" w14:textId="1E162A2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w:t>
      </w:r>
      <w:r w:rsidR="000F383B">
        <w:rPr>
          <w:rFonts w:eastAsia="Times New Roman" w:cs="Times New Roman"/>
          <w:lang w:eastAsia="de-DE"/>
        </w:rPr>
        <w:t xml:space="preserve">ist </w:t>
      </w:r>
      <w:r w:rsidR="00A1074A">
        <w:rPr>
          <w:rStyle w:val="Fett"/>
        </w:rPr>
        <w:t>Textkritisch</w:t>
      </w:r>
      <w:r w:rsidR="000F383B">
        <w:rPr>
          <w:rStyle w:val="Fett"/>
        </w:rPr>
        <w:t>bedeutsam</w:t>
      </w:r>
      <w:r w:rsidR="000F383B">
        <w:t xml:space="preserve">: Der hebräische Text hat </w:t>
      </w:r>
      <w:r w:rsidR="000F383B" w:rsidRPr="000F383B">
        <w:rPr>
          <w:b/>
          <w:bCs/>
          <w:rtl/>
        </w:rPr>
        <w:t>מבן שלשים שנה</w:t>
      </w:r>
      <w:r w:rsidR="000F383B">
        <w:t xml:space="preserve"> (miben sheloshim shanah - "von 30 Jahren an"), während </w:t>
      </w:r>
      <w:r w:rsidR="000F383B">
        <w:rPr>
          <w:rStyle w:val="Fett"/>
        </w:rPr>
        <w:t>die LXX</w:t>
      </w:r>
      <w:r w:rsidR="000F383B">
        <w:t xml:space="preserve"> ἀπὸ εἴκοσι καὶ πέντε ἐτῶν (von 25 Jahren an) hat. Diese Diskrepanz findet sich durchgehend in Kapitel 4 (Verse 3, 23, 30, 35, 39, 43, 47). Die LXX senkt das Mindestalter für den levitischen Dienst von 30 auf 25 Jahre, was möglicherweise eine spätere Praxis reflektiert oder eine andere Textvorlage.</w:t>
      </w:r>
    </w:p>
    <w:p w14:paraId="75720CE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präpositionale Altersbestimmung mit Partizipialkonstruktion und finalem Infinitivsatz.</w:t>
      </w:r>
    </w:p>
    <w:p w14:paraId="3366D40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das spezielle Dienstalter der Leviten (30-50 Jahre) und charakterisiert ihre Tätigkeit als heilige Arbeit am Heiligtum.</w:t>
      </w:r>
    </w:p>
    <w:p w14:paraId="50FA3890"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w:t>
      </w:r>
    </w:p>
    <w:p w14:paraId="2A58BE8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זֹ֛את עֲבֹדַ֥ת בְּנֵי־קְהָ֖ת בְּאֹ֣הֶל מוֹעֵ֑ד קֹ֖דֶשׁ הַקֳּדָשִֽׁים׃</w:t>
      </w:r>
    </w:p>
    <w:p w14:paraId="2991650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Dies ist der Dienst der Söhne Kehats am Zelt der Begegnung: das Allerheiligste.</w:t>
      </w:r>
    </w:p>
    <w:p w14:paraId="49DDBBA6"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8AFF296">
          <v:rect id="_x0000_i1167" style="width:0;height:1.5pt" o:hralign="center" o:hrstd="t" o:hr="t" fillcolor="#a0a0a0" stroked="f"/>
        </w:pict>
      </w:r>
    </w:p>
    <w:p w14:paraId="5A749DAE" w14:textId="68A1308F"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זֹאת</w:t>
      </w:r>
      <w:r w:rsidRPr="00AC36A5">
        <w:rPr>
          <w:rFonts w:eastAsia="Times New Roman" w:cs="Times New Roman"/>
          <w:rtl/>
          <w:lang w:eastAsia="de-DE"/>
        </w:rPr>
        <w:t xml:space="preserve"> </w:t>
      </w:r>
      <w:r w:rsidRPr="00AC36A5">
        <w:rPr>
          <w:rFonts w:eastAsia="Times New Roman" w:cs="Times New Roman"/>
          <w:lang w:eastAsia="de-DE"/>
        </w:rPr>
        <w:t xml:space="preserve">(dies) leitet eine prägnante Zusammenfassung der kehatitischen Aufgabe ein.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עֲבֹדַת בְּנֵי־קְהָת</w:t>
      </w:r>
      <w:r w:rsidRPr="00AC36A5">
        <w:rPr>
          <w:rFonts w:eastAsia="Times New Roman" w:cs="Times New Roman"/>
          <w:rtl/>
          <w:lang w:eastAsia="de-DE"/>
        </w:rPr>
        <w:t xml:space="preserve"> </w:t>
      </w:r>
      <w:r w:rsidRPr="00AC36A5">
        <w:rPr>
          <w:rFonts w:eastAsia="Times New Roman" w:cs="Times New Roman"/>
          <w:lang w:eastAsia="de-DE"/>
        </w:rPr>
        <w:t xml:space="preserve">(Dienst der Söhne Kehats) mit der Ortsangabe </w:t>
      </w:r>
      <w:r w:rsidRPr="00AC36A5">
        <w:rPr>
          <w:rFonts w:eastAsia="Times New Roman" w:cs="Times New Roman"/>
          <w:b/>
          <w:bCs/>
          <w:rtl/>
          <w:lang w:eastAsia="de-DE"/>
        </w:rPr>
        <w:t>בְּאֹהֶל מוֹעֵד</w:t>
      </w:r>
      <w:r w:rsidRPr="00AC36A5">
        <w:rPr>
          <w:rFonts w:eastAsia="Times New Roman" w:cs="Times New Roman"/>
          <w:rtl/>
          <w:lang w:eastAsia="de-DE"/>
        </w:rPr>
        <w:t xml:space="preserve"> </w:t>
      </w:r>
      <w:r w:rsidRPr="00AC36A5">
        <w:rPr>
          <w:rFonts w:eastAsia="Times New Roman" w:cs="Times New Roman"/>
          <w:lang w:eastAsia="de-DE"/>
        </w:rPr>
        <w:t>(am Zelt der Begegnung) spezifiziert den heiligen Arbeitsbereich.</w:t>
      </w:r>
    </w:p>
    <w:p w14:paraId="46D1F5E6" w14:textId="06F071F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appositieve Bestimmung </w:t>
      </w:r>
      <w:r w:rsidRPr="00AC36A5">
        <w:rPr>
          <w:rFonts w:eastAsia="Times New Roman" w:cs="Times New Roman"/>
          <w:b/>
          <w:bCs/>
          <w:rtl/>
          <w:lang w:eastAsia="de-DE"/>
        </w:rPr>
        <w:t>קֹדֶשׁ הַקֳּדָשִׁים</w:t>
      </w:r>
      <w:r w:rsidRPr="00AC36A5">
        <w:rPr>
          <w:rFonts w:eastAsia="Times New Roman" w:cs="Times New Roman"/>
          <w:rtl/>
          <w:lang w:eastAsia="de-DE"/>
        </w:rPr>
        <w:t xml:space="preserve"> </w:t>
      </w:r>
      <w:r w:rsidRPr="00AC36A5">
        <w:rPr>
          <w:rFonts w:eastAsia="Times New Roman" w:cs="Times New Roman"/>
          <w:lang w:eastAsia="de-DE"/>
        </w:rPr>
        <w:t xml:space="preserve">(Heiliges der Heiligen/Allerheiligste) ist eine superlativische </w:t>
      </w:r>
      <w:r w:rsidR="00F133EC">
        <w:rPr>
          <w:rFonts w:eastAsia="Times New Roman" w:cs="Times New Roman"/>
          <w:lang w:eastAsia="de-DE"/>
        </w:rPr>
        <w:t>Construct</w:t>
      </w:r>
      <w:r w:rsidRPr="00AC36A5">
        <w:rPr>
          <w:rFonts w:eastAsia="Times New Roman" w:cs="Times New Roman"/>
          <w:lang w:eastAsia="de-DE"/>
        </w:rPr>
        <w:t>ion, die das Höchstmaß an Heiligkeit ausdrückt. Diese Phrase bezeichnet den innersten Bereich des Heiligtums und die heiligsten Kultgegenstände.</w:t>
      </w:r>
    </w:p>
    <w:p w14:paraId="7FD362A6" w14:textId="46C5E02B" w:rsidR="00AC36A5" w:rsidRPr="00AC36A5" w:rsidRDefault="000F383B" w:rsidP="00AC36A5">
      <w:pPr>
        <w:spacing w:before="100" w:beforeAutospacing="1" w:after="100" w:afterAutospacing="1" w:line="240" w:lineRule="auto"/>
        <w:rPr>
          <w:rFonts w:eastAsia="Times New Roman" w:cs="Times New Roman"/>
          <w:lang w:eastAsia="de-DE"/>
        </w:rPr>
      </w:pPr>
      <w:r>
        <w:rPr>
          <w:rStyle w:val="Fett"/>
        </w:rPr>
        <w:lastRenderedPageBreak/>
        <w:t>Die LXX</w:t>
      </w:r>
      <w:r>
        <w:t xml:space="preserve"> übersetzt </w:t>
      </w:r>
      <w:r w:rsidRPr="000F383B">
        <w:rPr>
          <w:b/>
          <w:bCs/>
          <w:rtl/>
        </w:rPr>
        <w:t>קדש הקדשים</w:t>
      </w:r>
      <w:r>
        <w:t xml:space="preserve"> (qodesh haqqodashim - "Allerheiligstes") als ἅγιον τῶν ἁγίων (Heiliges der Heiligen).</w:t>
      </w:r>
    </w:p>
    <w:p w14:paraId="6B7C824C" w14:textId="414254D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einen Nominalsatz mit demonstrativer Einleitung, </w:t>
      </w:r>
      <w:r w:rsidR="00F133EC">
        <w:rPr>
          <w:rFonts w:eastAsia="Times New Roman" w:cs="Times New Roman"/>
          <w:lang w:eastAsia="de-DE"/>
        </w:rPr>
        <w:t>Construct</w:t>
      </w:r>
      <w:r w:rsidRPr="00AC36A5">
        <w:rPr>
          <w:rFonts w:eastAsia="Times New Roman" w:cs="Times New Roman"/>
          <w:lang w:eastAsia="de-DE"/>
        </w:rPr>
        <w:t>verbindung als Subjekt und appositiver Charakterisierung der besonderen Heiligkeit.</w:t>
      </w:r>
    </w:p>
    <w:p w14:paraId="229F918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Kehatiter als Verantwortliche für die heiligsten Aspekte des Heiligtums und bereitet die detaillierten Anweisungen für den Umgang mit den Kultgegenständen vor.</w:t>
      </w:r>
    </w:p>
    <w:p w14:paraId="5106CE10"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4,5</w:t>
      </w:r>
    </w:p>
    <w:p w14:paraId="0D1C2CE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וּבָ֨א אַהֲרֹ֤ן וּבָנָיו֙ בִּנְסֹ֣עַ הַֽמַּחֲנֶ֔ה וְהוֹרִ֕דוּ אֵ֖ת פָּרֹ֣כֶת הַמָּסָ֑ךְ וְכִ֨סּוּ־בָ֔הּ אֵ֖ת אֲרֹ֥ן הָעֵדֻֽת׃</w:t>
      </w:r>
    </w:p>
    <w:p w14:paraId="0CF2914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'Aharon und seine Söhne sollen kommen, wenn das Lager aufbricht, und den scheidenden Vorhang abnehmen und die Lade des Zeugnisses damit bedecken;</w:t>
      </w:r>
    </w:p>
    <w:p w14:paraId="50BB121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3711D3D">
          <v:rect id="_x0000_i1168" style="width:0;height:1.5pt" o:hralign="center" o:hrstd="t" o:hr="t" fillcolor="#a0a0a0" stroked="f"/>
        </w:pict>
      </w:r>
    </w:p>
    <w:p w14:paraId="33B23EB8" w14:textId="7FEB43C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koordinierte Subjekt </w:t>
      </w:r>
      <w:r w:rsidRPr="00AC36A5">
        <w:rPr>
          <w:rFonts w:eastAsia="Times New Roman" w:cs="Times New Roman"/>
          <w:b/>
          <w:bCs/>
          <w:rtl/>
          <w:lang w:eastAsia="de-DE"/>
        </w:rPr>
        <w:t>וּבָא אַהֲרֹן וּבָנָיו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בָא</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 xml:space="preserve">(kommen) im Qal-Perfekt 3. maskulin Singular mit Waw consecutivum zeigt die priesterliche Initiative. Die temporale Bestimmung </w:t>
      </w:r>
      <w:r w:rsidRPr="00AC36A5">
        <w:rPr>
          <w:rFonts w:eastAsia="Times New Roman" w:cs="Times New Roman"/>
          <w:b/>
          <w:bCs/>
          <w:rtl/>
          <w:lang w:eastAsia="de-DE"/>
        </w:rPr>
        <w:t>בִּנְסֹעַ הַמַּחֲנֶה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und dem Qal-Infinitiv-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נְסֹעַ</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נסע</w:t>
      </w:r>
      <w:r w:rsidRPr="00AC36A5">
        <w:rPr>
          <w:rFonts w:eastAsia="Times New Roman" w:cs="Times New Roman"/>
          <w:rtl/>
          <w:lang w:eastAsia="de-DE"/>
        </w:rPr>
        <w:t xml:space="preserve"> </w:t>
      </w:r>
      <w:r w:rsidRPr="00AC36A5">
        <w:rPr>
          <w:rFonts w:eastAsia="Times New Roman" w:cs="Times New Roman"/>
          <w:lang w:eastAsia="de-DE"/>
        </w:rPr>
        <w:t>(aufbrechen) spezifiziert den Zeitpunkt vor dem Lageraufbruch.</w:t>
      </w:r>
    </w:p>
    <w:p w14:paraId="581CF96D" w14:textId="1BF61BF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וְהוֹרִדוּ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ירד</w:t>
      </w:r>
      <w:r w:rsidRPr="00AC36A5">
        <w:rPr>
          <w:rFonts w:eastAsia="Times New Roman" w:cs="Times New Roman"/>
          <w:rtl/>
          <w:lang w:eastAsia="de-DE"/>
        </w:rPr>
        <w:t xml:space="preserve"> </w:t>
      </w:r>
      <w:r w:rsidRPr="00AC36A5">
        <w:rPr>
          <w:rFonts w:eastAsia="Times New Roman" w:cs="Times New Roman"/>
          <w:lang w:eastAsia="de-DE"/>
        </w:rPr>
        <w:t xml:space="preserve">(hinabsteigen/abnehmen) im Hiph'il-Perfekt 3. maskulin Plural zeigt die kausative Bedeutung "sie sollen abnehmen". Das direkte Objekt </w:t>
      </w:r>
      <w:r w:rsidRPr="00AC36A5">
        <w:rPr>
          <w:rFonts w:eastAsia="Times New Roman" w:cs="Times New Roman"/>
          <w:b/>
          <w:bCs/>
          <w:rtl/>
          <w:lang w:eastAsia="de-DE"/>
        </w:rPr>
        <w:t>אֵת פָּרֹכֶת הַמָּסָךְ</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w:t>
      </w:r>
      <w:r w:rsidRPr="00AC36A5">
        <w:rPr>
          <w:rFonts w:eastAsia="Times New Roman" w:cs="Times New Roman"/>
          <w:b/>
          <w:bCs/>
          <w:rtl/>
          <w:lang w:eastAsia="de-DE"/>
        </w:rPr>
        <w:t>פָּרֹכֶת הַמָּסָךְ</w:t>
      </w:r>
      <w:r w:rsidRPr="00AC36A5">
        <w:rPr>
          <w:rFonts w:eastAsia="Times New Roman" w:cs="Times New Roman"/>
          <w:rtl/>
          <w:lang w:eastAsia="de-DE"/>
        </w:rPr>
        <w:t xml:space="preserve"> </w:t>
      </w:r>
      <w:r w:rsidRPr="00AC36A5">
        <w:rPr>
          <w:rFonts w:eastAsia="Times New Roman" w:cs="Times New Roman"/>
          <w:lang w:eastAsia="de-DE"/>
        </w:rPr>
        <w:t xml:space="preserve">(Vorhang des Scheidenden) im </w:t>
      </w:r>
      <w:r w:rsidR="00F133EC">
        <w:rPr>
          <w:rFonts w:eastAsia="Times New Roman" w:cs="Times New Roman"/>
          <w:lang w:eastAsia="de-DE"/>
        </w:rPr>
        <w:t>Construct</w:t>
      </w:r>
      <w:r w:rsidRPr="00AC36A5">
        <w:rPr>
          <w:rFonts w:eastAsia="Times New Roman" w:cs="Times New Roman"/>
          <w:lang w:eastAsia="de-DE"/>
        </w:rPr>
        <w:t xml:space="preserve"> bezeichnet den Vorhang zwischen Heiligem und Allerheiligstem.</w:t>
      </w:r>
    </w:p>
    <w:p w14:paraId="6A99A99B" w14:textId="458D61F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weitere koordinierte Verb </w:t>
      </w:r>
      <w:r w:rsidRPr="00AC36A5">
        <w:rPr>
          <w:rFonts w:eastAsia="Times New Roman" w:cs="Times New Roman"/>
          <w:b/>
          <w:bCs/>
          <w:rtl/>
          <w:lang w:eastAsia="de-DE"/>
        </w:rPr>
        <w:t>וְכִסּוּ־בָהּ אֵת אֲרֹן הָעֵדֻת</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כִסּוּ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כסה</w:t>
      </w:r>
      <w:r w:rsidRPr="00AC36A5">
        <w:rPr>
          <w:rFonts w:eastAsia="Times New Roman" w:cs="Times New Roman"/>
          <w:rtl/>
          <w:lang w:eastAsia="de-DE"/>
        </w:rPr>
        <w:t xml:space="preserve"> </w:t>
      </w:r>
      <w:r w:rsidRPr="00AC36A5">
        <w:rPr>
          <w:rFonts w:eastAsia="Times New Roman" w:cs="Times New Roman"/>
          <w:lang w:eastAsia="de-DE"/>
        </w:rPr>
        <w:t xml:space="preserve">(bedecken) im Pi'el-Perfekt 3. maskulin Plural, der präpositionalen Phrase </w:t>
      </w:r>
      <w:r w:rsidRPr="00AC36A5">
        <w:rPr>
          <w:rFonts w:eastAsia="Times New Roman" w:cs="Times New Roman"/>
          <w:b/>
          <w:bCs/>
          <w:rtl/>
          <w:lang w:eastAsia="de-DE"/>
        </w:rPr>
        <w:t>בָהּ</w:t>
      </w:r>
      <w:r w:rsidRPr="00AC36A5">
        <w:rPr>
          <w:rFonts w:eastAsia="Times New Roman" w:cs="Times New Roman"/>
          <w:rtl/>
          <w:lang w:eastAsia="de-DE"/>
        </w:rPr>
        <w:t xml:space="preserve"> </w:t>
      </w:r>
      <w:r w:rsidRPr="00AC36A5">
        <w:rPr>
          <w:rFonts w:eastAsia="Times New Roman" w:cs="Times New Roman"/>
          <w:lang w:eastAsia="de-DE"/>
        </w:rPr>
        <w:t xml:space="preserve">(mit ihr/damit) und </w:t>
      </w:r>
      <w:r w:rsidRPr="00AC36A5">
        <w:rPr>
          <w:rFonts w:eastAsia="Times New Roman" w:cs="Times New Roman"/>
          <w:b/>
          <w:bCs/>
          <w:rtl/>
          <w:lang w:eastAsia="de-DE"/>
        </w:rPr>
        <w:t>אֲרֹן הָעֵדֻת</w:t>
      </w:r>
      <w:r w:rsidRPr="00AC36A5">
        <w:rPr>
          <w:rFonts w:eastAsia="Times New Roman" w:cs="Times New Roman"/>
          <w:rtl/>
          <w:lang w:eastAsia="de-DE"/>
        </w:rPr>
        <w:t xml:space="preserve"> </w:t>
      </w:r>
      <w:r w:rsidRPr="00AC36A5">
        <w:rPr>
          <w:rFonts w:eastAsia="Times New Roman" w:cs="Times New Roman"/>
          <w:lang w:eastAsia="de-DE"/>
        </w:rPr>
        <w:t xml:space="preserve">(Lade des Zeugnisses) im </w:t>
      </w:r>
      <w:r w:rsidR="00F133EC">
        <w:rPr>
          <w:rFonts w:eastAsia="Times New Roman" w:cs="Times New Roman"/>
          <w:lang w:eastAsia="de-DE"/>
        </w:rPr>
        <w:t>Construct</w:t>
      </w:r>
      <w:r w:rsidRPr="00AC36A5">
        <w:rPr>
          <w:rFonts w:eastAsia="Times New Roman" w:cs="Times New Roman"/>
          <w:lang w:eastAsia="de-DE"/>
        </w:rPr>
        <w:t xml:space="preserve"> zeigt die erste Schutzmaßnahme für das heiligste Objekt.</w:t>
      </w:r>
    </w:p>
    <w:p w14:paraId="240C8570" w14:textId="1D34858F" w:rsidR="00AC36A5" w:rsidRPr="00AC36A5" w:rsidRDefault="000F383B"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0F383B">
        <w:rPr>
          <w:b/>
          <w:bCs/>
          <w:rtl/>
        </w:rPr>
        <w:t>פרכת המסך</w:t>
      </w:r>
      <w:r>
        <w:t xml:space="preserve"> (parochet hammasach - "Vorhang der Abschirmung") als τὸ καταπέτασμα τὸ συσκιάζον (der beschattende Vorhang).</w:t>
      </w:r>
    </w:p>
    <w:p w14:paraId="0F67E34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koordinierte Verben mit temporaler Bestimmung und spezifischen Handlungsanweisungen für die heiligsten Kultgegenstände.</w:t>
      </w:r>
    </w:p>
    <w:p w14:paraId="1F868FC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beginnt die detaillierte Abfolge priesterlicher Vorbereitungen vor dem Lageraufbruch und betont die exklusive priesterliche Zuständigkeit für die heiligsten Objekte.</w:t>
      </w:r>
    </w:p>
    <w:p w14:paraId="0846AA9A"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4,6</w:t>
      </w:r>
    </w:p>
    <w:p w14:paraId="1A0B793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וְנָתְנ֣וּ עָלָ֗יו כְּסוּי֙ ע֣וֹר תַּ֔חַשׁ וּפָרְשׂ֧וּ בֶֽגֶד־כְּלִ֛יל תְּכֵ֖לֶת מִלְמָ֑עְלָה וְשָׂמ֖וּ בַּדָּֽיו׃</w:t>
      </w:r>
    </w:p>
    <w:p w14:paraId="4536E1D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sie sollen eine Decke aus Tachaschfell darüber legen und ein Tuch, ganz aus blauem Purpur, oben darüber breiten und ihre Stangen einsetzen.</w:t>
      </w:r>
    </w:p>
    <w:p w14:paraId="6582D649"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lastRenderedPageBreak/>
        <w:pict w14:anchorId="557BAB1D">
          <v:rect id="_x0000_i1169" style="width:0;height:1.5pt" o:hralign="center" o:hrstd="t" o:hr="t" fillcolor="#a0a0a0" stroked="f"/>
        </w:pict>
      </w:r>
    </w:p>
    <w:p w14:paraId="67639EE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koordinierte Verb </w:t>
      </w:r>
      <w:r w:rsidRPr="00AC36A5">
        <w:rPr>
          <w:rFonts w:eastAsia="Times New Roman" w:cs="Times New Roman"/>
          <w:b/>
          <w:bCs/>
          <w:rtl/>
          <w:lang w:eastAsia="de-DE"/>
        </w:rPr>
        <w:t>וְנָתְנוּ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(geben/legen) im Qal-Perfekt 3. maskulin Plural setzt die Verpackungssequenz fort. Die präpositionale Phrase </w:t>
      </w:r>
      <w:r w:rsidRPr="00AC36A5">
        <w:rPr>
          <w:rFonts w:eastAsia="Times New Roman" w:cs="Times New Roman"/>
          <w:b/>
          <w:bCs/>
          <w:rtl/>
          <w:lang w:eastAsia="de-DE"/>
        </w:rPr>
        <w:t>עָלָיו</w:t>
      </w:r>
      <w:r w:rsidRPr="00AC36A5">
        <w:rPr>
          <w:rFonts w:eastAsia="Times New Roman" w:cs="Times New Roman"/>
          <w:rtl/>
          <w:lang w:eastAsia="de-DE"/>
        </w:rPr>
        <w:t xml:space="preserve"> </w:t>
      </w:r>
      <w:r w:rsidRPr="00AC36A5">
        <w:rPr>
          <w:rFonts w:eastAsia="Times New Roman" w:cs="Times New Roman"/>
          <w:lang w:eastAsia="de-DE"/>
        </w:rPr>
        <w:t>(darüber/auf ihn) bezieht sich auf die bereits mit dem Vorhang bedeckte Lade.</w:t>
      </w:r>
    </w:p>
    <w:p w14:paraId="73D43C2A" w14:textId="48D2AFC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כְּסוּי עוֹר תַּחַשׁ</w:t>
      </w:r>
      <w:r w:rsidRPr="00AC36A5">
        <w:rPr>
          <w:rFonts w:eastAsia="Times New Roman" w:cs="Times New Roman"/>
          <w:rtl/>
          <w:lang w:eastAsia="de-DE"/>
        </w:rPr>
        <w:t xml:space="preserve"> </w:t>
      </w:r>
      <w:r w:rsidRPr="00AC36A5">
        <w:rPr>
          <w:rFonts w:eastAsia="Times New Roman" w:cs="Times New Roman"/>
          <w:lang w:eastAsia="de-DE"/>
        </w:rPr>
        <w:t xml:space="preserve">(Decke aus Tachaschfell) im </w:t>
      </w:r>
      <w:r w:rsidR="00F133EC">
        <w:rPr>
          <w:rFonts w:eastAsia="Times New Roman" w:cs="Times New Roman"/>
          <w:lang w:eastAsia="de-DE"/>
        </w:rPr>
        <w:t>Construct</w:t>
      </w:r>
      <w:r w:rsidRPr="00AC36A5">
        <w:rPr>
          <w:rFonts w:eastAsia="Times New Roman" w:cs="Times New Roman"/>
          <w:lang w:eastAsia="de-DE"/>
        </w:rPr>
        <w:t xml:space="preserve"> zeigt die zweite Schutzschicht. </w:t>
      </w:r>
      <w:r w:rsidRPr="00AC36A5">
        <w:rPr>
          <w:rFonts w:eastAsia="Times New Roman" w:cs="Times New Roman"/>
          <w:b/>
          <w:bCs/>
          <w:rtl/>
          <w:lang w:eastAsia="de-DE"/>
        </w:rPr>
        <w:t>תַּחַשׁ</w:t>
      </w:r>
      <w:r w:rsidRPr="00AC36A5">
        <w:rPr>
          <w:rFonts w:eastAsia="Times New Roman" w:cs="Times New Roman"/>
          <w:rtl/>
          <w:lang w:eastAsia="de-DE"/>
        </w:rPr>
        <w:t xml:space="preserve"> </w:t>
      </w:r>
      <w:r w:rsidRPr="00AC36A5">
        <w:rPr>
          <w:rFonts w:eastAsia="Times New Roman" w:cs="Times New Roman"/>
          <w:lang w:eastAsia="de-DE"/>
        </w:rPr>
        <w:t>bezeichnet ein Meerestier (möglicherweise Delfin oder Seekuh), dessen Fell besonders widerstandsfähig war.</w:t>
      </w:r>
    </w:p>
    <w:p w14:paraId="30150A33" w14:textId="3A8507C1"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weitere koordinierte Verb </w:t>
      </w:r>
      <w:r w:rsidRPr="00AC36A5">
        <w:rPr>
          <w:rFonts w:eastAsia="Times New Roman" w:cs="Times New Roman"/>
          <w:b/>
          <w:bCs/>
          <w:rtl/>
          <w:lang w:eastAsia="de-DE"/>
        </w:rPr>
        <w:t>וּפָרְשׂוּ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פרש</w:t>
      </w:r>
      <w:r w:rsidRPr="00AC36A5">
        <w:rPr>
          <w:rFonts w:eastAsia="Times New Roman" w:cs="Times New Roman"/>
          <w:rtl/>
          <w:lang w:eastAsia="de-DE"/>
        </w:rPr>
        <w:t xml:space="preserve"> </w:t>
      </w:r>
      <w:r w:rsidRPr="00AC36A5">
        <w:rPr>
          <w:rFonts w:eastAsia="Times New Roman" w:cs="Times New Roman"/>
          <w:lang w:eastAsia="de-DE"/>
        </w:rPr>
        <w:t xml:space="preserve">(ausbreiten) im Qal-Perfekt 3. maskulin Plural mit </w:t>
      </w:r>
      <w:r w:rsidRPr="00AC36A5">
        <w:rPr>
          <w:rFonts w:eastAsia="Times New Roman" w:cs="Times New Roman"/>
          <w:b/>
          <w:bCs/>
          <w:rtl/>
          <w:lang w:eastAsia="de-DE"/>
        </w:rPr>
        <w:t>בֶגֶד־כְּלִיל תְּכֵלֶת</w:t>
      </w:r>
      <w:r w:rsidRPr="00AC36A5">
        <w:rPr>
          <w:rFonts w:eastAsia="Times New Roman" w:cs="Times New Roman"/>
          <w:rtl/>
          <w:lang w:eastAsia="de-DE"/>
        </w:rPr>
        <w:t xml:space="preserve"> </w:t>
      </w:r>
      <w:r w:rsidRPr="00AC36A5">
        <w:rPr>
          <w:rFonts w:eastAsia="Times New Roman" w:cs="Times New Roman"/>
          <w:lang w:eastAsia="de-DE"/>
        </w:rPr>
        <w:t xml:space="preserve">zeigt </w:t>
      </w:r>
      <w:r w:rsidRPr="00AC36A5">
        <w:rPr>
          <w:rFonts w:eastAsia="Times New Roman" w:cs="Times New Roman"/>
          <w:b/>
          <w:bCs/>
          <w:rtl/>
          <w:lang w:eastAsia="de-DE"/>
        </w:rPr>
        <w:t>בֶּגֶד</w:t>
      </w:r>
      <w:r w:rsidRPr="00AC36A5">
        <w:rPr>
          <w:rFonts w:eastAsia="Times New Roman" w:cs="Times New Roman"/>
          <w:rtl/>
          <w:lang w:eastAsia="de-DE"/>
        </w:rPr>
        <w:t xml:space="preserve"> </w:t>
      </w:r>
      <w:r w:rsidRPr="00AC36A5">
        <w:rPr>
          <w:rFonts w:eastAsia="Times New Roman" w:cs="Times New Roman"/>
          <w:lang w:eastAsia="de-DE"/>
        </w:rPr>
        <w:t xml:space="preserve">(Tuch/Stoff)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כְּלִיל</w:t>
      </w:r>
      <w:r w:rsidRPr="00AC36A5">
        <w:rPr>
          <w:rFonts w:eastAsia="Times New Roman" w:cs="Times New Roman"/>
          <w:rtl/>
          <w:lang w:eastAsia="de-DE"/>
        </w:rPr>
        <w:t xml:space="preserve"> </w:t>
      </w:r>
      <w:r w:rsidRPr="00AC36A5">
        <w:rPr>
          <w:rFonts w:eastAsia="Times New Roman" w:cs="Times New Roman"/>
          <w:lang w:eastAsia="de-DE"/>
        </w:rPr>
        <w:t xml:space="preserve">(ganz/vollständig) und </w:t>
      </w:r>
      <w:r w:rsidRPr="00AC36A5">
        <w:rPr>
          <w:rFonts w:eastAsia="Times New Roman" w:cs="Times New Roman"/>
          <w:b/>
          <w:bCs/>
          <w:rtl/>
          <w:lang w:eastAsia="de-DE"/>
        </w:rPr>
        <w:t>תְּכֵלֶת</w:t>
      </w:r>
      <w:r w:rsidRPr="00AC36A5">
        <w:rPr>
          <w:rFonts w:eastAsia="Times New Roman" w:cs="Times New Roman"/>
          <w:rtl/>
          <w:lang w:eastAsia="de-DE"/>
        </w:rPr>
        <w:t xml:space="preserve"> </w:t>
      </w:r>
      <w:r w:rsidRPr="00AC36A5">
        <w:rPr>
          <w:rFonts w:eastAsia="Times New Roman" w:cs="Times New Roman"/>
          <w:lang w:eastAsia="de-DE"/>
        </w:rPr>
        <w:t>(blauer Purpur). Die Farbe Blau symbolisiert das Himmlische und Göttliche.</w:t>
      </w:r>
    </w:p>
    <w:p w14:paraId="3235129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מִלְמָעְלָה</w:t>
      </w:r>
      <w:r w:rsidRPr="00AC36A5">
        <w:rPr>
          <w:rFonts w:eastAsia="Times New Roman" w:cs="Times New Roman"/>
          <w:rtl/>
          <w:lang w:eastAsia="de-DE"/>
        </w:rPr>
        <w:t xml:space="preserve"> </w:t>
      </w:r>
      <w:r w:rsidRPr="00AC36A5">
        <w:rPr>
          <w:rFonts w:eastAsia="Times New Roman" w:cs="Times New Roman"/>
          <w:lang w:eastAsia="de-DE"/>
        </w:rPr>
        <w:t xml:space="preserve">(von oben/oberhalb) mit </w:t>
      </w:r>
      <w:r w:rsidRPr="00AC36A5">
        <w:rPr>
          <w:rFonts w:eastAsia="Times New Roman" w:cs="Times New Roman"/>
          <w:b/>
          <w:bCs/>
          <w:rtl/>
          <w:lang w:eastAsia="de-DE"/>
        </w:rPr>
        <w:t>מִן</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מַעְלָה</w:t>
      </w:r>
      <w:r w:rsidRPr="00AC36A5">
        <w:rPr>
          <w:rFonts w:eastAsia="Times New Roman" w:cs="Times New Roman"/>
          <w:rtl/>
          <w:lang w:eastAsia="de-DE"/>
        </w:rPr>
        <w:t xml:space="preserve"> </w:t>
      </w:r>
      <w:r w:rsidRPr="00AC36A5">
        <w:rPr>
          <w:rFonts w:eastAsia="Times New Roman" w:cs="Times New Roman"/>
          <w:lang w:eastAsia="de-DE"/>
        </w:rPr>
        <w:t xml:space="preserve">(oben) betont die oberste Position dieser kostbaren Schicht. </w:t>
      </w:r>
      <w:r w:rsidRPr="00AC36A5">
        <w:rPr>
          <w:rFonts w:eastAsia="Times New Roman" w:cs="Times New Roman"/>
          <w:b/>
          <w:bCs/>
          <w:rtl/>
          <w:lang w:eastAsia="de-DE"/>
        </w:rPr>
        <w:t>וְשָׂמוּ בַּדָּיו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שָׂמוּ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שים</w:t>
      </w:r>
      <w:r w:rsidRPr="00AC36A5">
        <w:rPr>
          <w:rFonts w:eastAsia="Times New Roman" w:cs="Times New Roman"/>
          <w:rtl/>
          <w:lang w:eastAsia="de-DE"/>
        </w:rPr>
        <w:t xml:space="preserve"> </w:t>
      </w:r>
      <w:r w:rsidRPr="00AC36A5">
        <w:rPr>
          <w:rFonts w:eastAsia="Times New Roman" w:cs="Times New Roman"/>
          <w:lang w:eastAsia="de-DE"/>
        </w:rPr>
        <w:t xml:space="preserve">(setzen/stellen) und </w:t>
      </w:r>
      <w:r w:rsidRPr="00AC36A5">
        <w:rPr>
          <w:rFonts w:eastAsia="Times New Roman" w:cs="Times New Roman"/>
          <w:b/>
          <w:bCs/>
          <w:rtl/>
          <w:lang w:eastAsia="de-DE"/>
        </w:rPr>
        <w:t>בַּדִּים</w:t>
      </w:r>
      <w:r w:rsidRPr="00AC36A5">
        <w:rPr>
          <w:rFonts w:eastAsia="Times New Roman" w:cs="Times New Roman"/>
          <w:rtl/>
          <w:lang w:eastAsia="de-DE"/>
        </w:rPr>
        <w:t xml:space="preserve"> </w:t>
      </w:r>
      <w:r w:rsidRPr="00AC36A5">
        <w:rPr>
          <w:rFonts w:eastAsia="Times New Roman" w:cs="Times New Roman"/>
          <w:lang w:eastAsia="de-DE"/>
        </w:rPr>
        <w:t>(Stangen) mit Possessivsuffix 3. maskulin Singular komplettiert die Transportvorbereitung.</w:t>
      </w:r>
    </w:p>
    <w:p w14:paraId="37148746" w14:textId="77777777" w:rsidR="000F383B" w:rsidRDefault="000F383B" w:rsidP="00AC36A5">
      <w:pPr>
        <w:spacing w:before="100" w:beforeAutospacing="1" w:after="100" w:afterAutospacing="1" w:line="240" w:lineRule="auto"/>
      </w:pPr>
      <w:r>
        <w:rPr>
          <w:rStyle w:val="Fett"/>
        </w:rPr>
        <w:t>Die LXX</w:t>
      </w:r>
      <w:r>
        <w:t xml:space="preserve"> übersetzt </w:t>
      </w:r>
      <w:r w:rsidRPr="000F383B">
        <w:rPr>
          <w:b/>
          <w:bCs/>
          <w:rtl/>
        </w:rPr>
        <w:t>עור תחש</w:t>
      </w:r>
      <w:r>
        <w:t xml:space="preserve"> (or tachash - "Tachaschleder") als δέρμα ὑακίνθινον (hyazinthfarbenes Leder), was eine Interpretation der unklaren Tierart </w:t>
      </w:r>
      <w:r w:rsidRPr="000F383B">
        <w:rPr>
          <w:b/>
          <w:bCs/>
          <w:rtl/>
        </w:rPr>
        <w:t>תחש</w:t>
      </w:r>
      <w:r>
        <w:t xml:space="preserve"> darstellt. </w:t>
      </w:r>
      <w:r w:rsidRPr="000F383B">
        <w:rPr>
          <w:b/>
          <w:bCs/>
          <w:rtl/>
        </w:rPr>
        <w:t>בגד־כליל</w:t>
      </w:r>
      <w:r>
        <w:rPr>
          <w:rtl/>
        </w:rPr>
        <w:t xml:space="preserve"> </w:t>
      </w:r>
      <w:r w:rsidRPr="000F383B">
        <w:rPr>
          <w:b/>
          <w:bCs/>
          <w:rtl/>
        </w:rPr>
        <w:t>תכלת</w:t>
      </w:r>
      <w:r>
        <w:t xml:space="preserve"> (beged-kelil techelet - "ganz blaues Tuch") wird als ἱμάτιον ὅλον ὑακίνθινον (ganz hyazinthfarbenes Gewand) übersetzt.</w:t>
      </w:r>
    </w:p>
    <w:p w14:paraId="33F640CC" w14:textId="6DA39192"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drei koordinierte Verben mit spezifischen Objekten und lokalen Bestimmungen für die dreischichtige Verpackung der Bundeslade.</w:t>
      </w:r>
    </w:p>
    <w:p w14:paraId="0920A82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das aufwendige Verpackungssystem für die Bundeslade mit drei Schutzschichten und bereitet den Transport durch die Kehatiter vor.</w:t>
      </w:r>
    </w:p>
    <w:p w14:paraId="44DEC18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4,7</w:t>
      </w:r>
    </w:p>
    <w:p w14:paraId="30B3DD3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וְעַ֣ל׀ שֻׁלְחַ֣ן הַפָּנִ֗ים יִפְרְשׂוּ֮ בֶּ֣גֶד תְּכֵלֶת֒ וְנָתְנ֣וּ עָ֠לָיו אֶת־הַקְּעָרֹ֤ת וְאֶת־הַכַּפֹּת֙ וְאֶת־הַמְּנַקִּיֹּ֔ת וְאֵ֖ת קְשׂ֣וֹת הַנָּ֑סֶךְ וְלֶ֥חֶם הַתָּמִ֖יד עָלָ֥יו יִהְיֶֽה׃</w:t>
      </w:r>
    </w:p>
    <w:p w14:paraId="7F3B750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über den Tisch der Schaubrote sollen sie ein Tuch aus blauem Purpur breiten und darauf die Schüsseln und die Schalen und die Becher und die Kannen zum Trankopfer stellen; und das beständige Brot soll darauf sein.</w:t>
      </w:r>
    </w:p>
    <w:p w14:paraId="27048D45"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04605E6A">
          <v:rect id="_x0000_i1170" style="width:0;height:1.5pt" o:hralign="center" o:hrstd="t" o:hr="t" fillcolor="#a0a0a0" stroked="f"/>
        </w:pict>
      </w:r>
    </w:p>
    <w:p w14:paraId="74AC44BD" w14:textId="0C34099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präpositionale Phrase </w:t>
      </w:r>
      <w:r w:rsidRPr="00AC36A5">
        <w:rPr>
          <w:rFonts w:eastAsia="Times New Roman" w:cs="Times New Roman"/>
          <w:b/>
          <w:bCs/>
          <w:rtl/>
          <w:lang w:eastAsia="de-DE"/>
        </w:rPr>
        <w:t>וְעַל שֻׁלְחַן הַפָּנִים</w:t>
      </w:r>
      <w:r w:rsidRPr="00AC36A5">
        <w:rPr>
          <w:rFonts w:eastAsia="Times New Roman" w:cs="Times New Roman"/>
          <w:rtl/>
          <w:lang w:eastAsia="de-DE"/>
        </w:rPr>
        <w:t xml:space="preserve"> </w:t>
      </w:r>
      <w:r w:rsidRPr="00AC36A5">
        <w:rPr>
          <w:rFonts w:eastAsia="Times New Roman" w:cs="Times New Roman"/>
          <w:lang w:eastAsia="de-DE"/>
        </w:rPr>
        <w:t xml:space="preserve">(und über den Tisch der Schaubrote) mit </w:t>
      </w:r>
      <w:r w:rsidRPr="00AC36A5">
        <w:rPr>
          <w:rFonts w:eastAsia="Times New Roman" w:cs="Times New Roman"/>
          <w:b/>
          <w:bCs/>
          <w:rtl/>
          <w:lang w:eastAsia="de-DE"/>
        </w:rPr>
        <w:t>עַל</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שֻׁלְחַן הַפָּנִים</w:t>
      </w:r>
      <w:r w:rsidRPr="00AC36A5">
        <w:rPr>
          <w:rFonts w:eastAsia="Times New Roman" w:cs="Times New Roman"/>
          <w:rtl/>
          <w:lang w:eastAsia="de-DE"/>
        </w:rPr>
        <w:t xml:space="preserve"> </w:t>
      </w:r>
      <w:r w:rsidRPr="00AC36A5">
        <w:rPr>
          <w:rFonts w:eastAsia="Times New Roman" w:cs="Times New Roman"/>
          <w:lang w:eastAsia="de-DE"/>
        </w:rPr>
        <w:t xml:space="preserve">im </w:t>
      </w:r>
      <w:r w:rsidR="00F133EC">
        <w:rPr>
          <w:rFonts w:eastAsia="Times New Roman" w:cs="Times New Roman"/>
          <w:lang w:eastAsia="de-DE"/>
        </w:rPr>
        <w:t>Construct</w:t>
      </w:r>
      <w:r w:rsidRPr="00AC36A5">
        <w:rPr>
          <w:rFonts w:eastAsia="Times New Roman" w:cs="Times New Roman"/>
          <w:lang w:eastAsia="de-DE"/>
        </w:rPr>
        <w:t xml:space="preserve"> (Tisch der Gesichter/Angesichter) leitet die Behandlung des zweiten heiligen Gegenstandes ein.</w:t>
      </w:r>
    </w:p>
    <w:p w14:paraId="0FD5FB1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Verb </w:t>
      </w:r>
      <w:r w:rsidRPr="00AC36A5">
        <w:rPr>
          <w:rFonts w:eastAsia="Times New Roman" w:cs="Times New Roman"/>
          <w:b/>
          <w:bCs/>
          <w:rtl/>
          <w:lang w:eastAsia="de-DE"/>
        </w:rPr>
        <w:t>יִפְרְשׂוּ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פרש</w:t>
      </w:r>
      <w:r w:rsidRPr="00AC36A5">
        <w:rPr>
          <w:rFonts w:eastAsia="Times New Roman" w:cs="Times New Roman"/>
          <w:rtl/>
          <w:lang w:eastAsia="de-DE"/>
        </w:rPr>
        <w:t xml:space="preserve"> </w:t>
      </w:r>
      <w:r w:rsidRPr="00AC36A5">
        <w:rPr>
          <w:rFonts w:eastAsia="Times New Roman" w:cs="Times New Roman"/>
          <w:lang w:eastAsia="de-DE"/>
        </w:rPr>
        <w:t xml:space="preserve">(ausbreiten) im Qal-Imperfekt 3. maskulin Plural mit </w:t>
      </w:r>
      <w:r w:rsidRPr="00AC36A5">
        <w:rPr>
          <w:rFonts w:eastAsia="Times New Roman" w:cs="Times New Roman"/>
          <w:b/>
          <w:bCs/>
          <w:rtl/>
          <w:lang w:eastAsia="de-DE"/>
        </w:rPr>
        <w:t>בֶּגֶד תְּכֵלֶת</w:t>
      </w:r>
      <w:r w:rsidRPr="00AC36A5">
        <w:rPr>
          <w:rFonts w:eastAsia="Times New Roman" w:cs="Times New Roman"/>
          <w:rtl/>
          <w:lang w:eastAsia="de-DE"/>
        </w:rPr>
        <w:t xml:space="preserve"> </w:t>
      </w:r>
      <w:r w:rsidRPr="00AC36A5">
        <w:rPr>
          <w:rFonts w:eastAsia="Times New Roman" w:cs="Times New Roman"/>
          <w:lang w:eastAsia="de-DE"/>
        </w:rPr>
        <w:t>(Tuch aus blauem Purpur) zeigt die erste Schutzschicht für den Schaubrottisch.</w:t>
      </w:r>
    </w:p>
    <w:p w14:paraId="1F0ED26A" w14:textId="73840BD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koordinierte Aufzählung der Tischgeräte </w:t>
      </w:r>
      <w:r w:rsidRPr="00AC36A5">
        <w:rPr>
          <w:rFonts w:eastAsia="Times New Roman" w:cs="Times New Roman"/>
          <w:b/>
          <w:bCs/>
          <w:rtl/>
          <w:lang w:eastAsia="de-DE"/>
        </w:rPr>
        <w:t>אֶת־הַקְּעָרֹת וְאֶת־הַכַּפֹּת וְאֶת־הַמְּנַקִּיֹּת וְאֵת קְשׂוֹת הַנָּסֶךְ</w:t>
      </w:r>
      <w:r w:rsidRPr="00AC36A5">
        <w:rPr>
          <w:rFonts w:eastAsia="Times New Roman" w:cs="Times New Roman"/>
          <w:rtl/>
          <w:lang w:eastAsia="de-DE"/>
        </w:rPr>
        <w:t xml:space="preserve"> </w:t>
      </w:r>
      <w:r w:rsidRPr="00AC36A5">
        <w:rPr>
          <w:rFonts w:eastAsia="Times New Roman" w:cs="Times New Roman"/>
          <w:lang w:eastAsia="de-DE"/>
        </w:rPr>
        <w:t xml:space="preserve">mit jeweils nota accusativi zeigt: </w:t>
      </w:r>
      <w:r w:rsidRPr="00AC36A5">
        <w:rPr>
          <w:rFonts w:eastAsia="Times New Roman" w:cs="Times New Roman"/>
          <w:b/>
          <w:bCs/>
          <w:rtl/>
          <w:lang w:eastAsia="de-DE"/>
        </w:rPr>
        <w:t>קְעָרֹת</w:t>
      </w:r>
      <w:r w:rsidRPr="00AC36A5">
        <w:rPr>
          <w:rFonts w:eastAsia="Times New Roman" w:cs="Times New Roman"/>
          <w:rtl/>
          <w:lang w:eastAsia="de-DE"/>
        </w:rPr>
        <w:t xml:space="preserve"> </w:t>
      </w:r>
      <w:r w:rsidRPr="00AC36A5">
        <w:rPr>
          <w:rFonts w:eastAsia="Times New Roman" w:cs="Times New Roman"/>
          <w:lang w:eastAsia="de-DE"/>
        </w:rPr>
        <w:t xml:space="preserve">(Schüsseln), </w:t>
      </w:r>
      <w:r w:rsidRPr="00AC36A5">
        <w:rPr>
          <w:rFonts w:eastAsia="Times New Roman" w:cs="Times New Roman"/>
          <w:b/>
          <w:bCs/>
          <w:rtl/>
          <w:lang w:eastAsia="de-DE"/>
        </w:rPr>
        <w:t>כַּפֹּת</w:t>
      </w:r>
      <w:r w:rsidRPr="00AC36A5">
        <w:rPr>
          <w:rFonts w:eastAsia="Times New Roman" w:cs="Times New Roman"/>
          <w:rtl/>
          <w:lang w:eastAsia="de-DE"/>
        </w:rPr>
        <w:t xml:space="preserve"> </w:t>
      </w:r>
      <w:r w:rsidRPr="00AC36A5">
        <w:rPr>
          <w:rFonts w:eastAsia="Times New Roman" w:cs="Times New Roman"/>
          <w:lang w:eastAsia="de-DE"/>
        </w:rPr>
        <w:t xml:space="preserve">(Schalen), </w:t>
      </w:r>
      <w:r w:rsidRPr="00AC36A5">
        <w:rPr>
          <w:rFonts w:eastAsia="Times New Roman" w:cs="Times New Roman"/>
          <w:b/>
          <w:bCs/>
          <w:rtl/>
          <w:lang w:eastAsia="de-DE"/>
        </w:rPr>
        <w:t>מְנַקִּיֹּת</w:t>
      </w:r>
      <w:r w:rsidRPr="00AC36A5">
        <w:rPr>
          <w:rFonts w:eastAsia="Times New Roman" w:cs="Times New Roman"/>
          <w:rtl/>
          <w:lang w:eastAsia="de-DE"/>
        </w:rPr>
        <w:t xml:space="preserve"> </w:t>
      </w:r>
      <w:r w:rsidRPr="00AC36A5">
        <w:rPr>
          <w:rFonts w:eastAsia="Times New Roman" w:cs="Times New Roman"/>
          <w:lang w:eastAsia="de-DE"/>
        </w:rPr>
        <w:t xml:space="preserve">(Becher) und </w:t>
      </w:r>
      <w:r w:rsidRPr="00AC36A5">
        <w:rPr>
          <w:rFonts w:eastAsia="Times New Roman" w:cs="Times New Roman"/>
          <w:b/>
          <w:bCs/>
          <w:rtl/>
          <w:lang w:eastAsia="de-DE"/>
        </w:rPr>
        <w:t>קְשׂוֹת הַנָּסֶךְ</w:t>
      </w:r>
      <w:r w:rsidRPr="00AC36A5">
        <w:rPr>
          <w:rFonts w:eastAsia="Times New Roman" w:cs="Times New Roman"/>
          <w:rtl/>
          <w:lang w:eastAsia="de-DE"/>
        </w:rPr>
        <w:t xml:space="preserve"> </w:t>
      </w:r>
      <w:r w:rsidRPr="00AC36A5">
        <w:rPr>
          <w:rFonts w:eastAsia="Times New Roman" w:cs="Times New Roman"/>
          <w:lang w:eastAsia="de-DE"/>
        </w:rPr>
        <w:t xml:space="preserve">(Kannen des Trankopfers) im </w:t>
      </w:r>
      <w:r w:rsidR="00F133EC">
        <w:rPr>
          <w:rFonts w:eastAsia="Times New Roman" w:cs="Times New Roman"/>
          <w:lang w:eastAsia="de-DE"/>
        </w:rPr>
        <w:t>Construct</w:t>
      </w:r>
      <w:r w:rsidRPr="00AC36A5">
        <w:rPr>
          <w:rFonts w:eastAsia="Times New Roman" w:cs="Times New Roman"/>
          <w:lang w:eastAsia="de-DE"/>
        </w:rPr>
        <w:t>.</w:t>
      </w:r>
    </w:p>
    <w:p w14:paraId="16AAE84E" w14:textId="38060BD0"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wichtige Zusatz </w:t>
      </w:r>
      <w:r w:rsidRPr="00AC36A5">
        <w:rPr>
          <w:rFonts w:eastAsia="Times New Roman" w:cs="Times New Roman"/>
          <w:b/>
          <w:bCs/>
          <w:rtl/>
          <w:lang w:eastAsia="de-DE"/>
        </w:rPr>
        <w:t>וְלֶחֶם הַתָּמִיד עָלָיו יִהְיֶה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לֶחֶם הַתָּמִיד</w:t>
      </w:r>
      <w:r w:rsidRPr="00AC36A5">
        <w:rPr>
          <w:rFonts w:eastAsia="Times New Roman" w:cs="Times New Roman"/>
          <w:rtl/>
          <w:lang w:eastAsia="de-DE"/>
        </w:rPr>
        <w:t xml:space="preserve"> </w:t>
      </w:r>
      <w:r w:rsidRPr="00AC36A5">
        <w:rPr>
          <w:rFonts w:eastAsia="Times New Roman" w:cs="Times New Roman"/>
          <w:lang w:eastAsia="de-DE"/>
        </w:rPr>
        <w:t xml:space="preserve">(beständiges Brot) im </w:t>
      </w:r>
      <w:r w:rsidR="00F133EC">
        <w:rPr>
          <w:rFonts w:eastAsia="Times New Roman" w:cs="Times New Roman"/>
          <w:lang w:eastAsia="de-DE"/>
        </w:rPr>
        <w:t>Construct</w:t>
      </w:r>
      <w:r w:rsidRPr="00AC36A5">
        <w:rPr>
          <w:rFonts w:eastAsia="Times New Roman" w:cs="Times New Roman"/>
          <w:lang w:eastAsia="de-DE"/>
        </w:rPr>
        <w:t xml:space="preserve"> und </w:t>
      </w:r>
      <w:r w:rsidRPr="00AC36A5">
        <w:rPr>
          <w:rFonts w:eastAsia="Times New Roman" w:cs="Times New Roman"/>
          <w:b/>
          <w:bCs/>
          <w:rtl/>
          <w:lang w:eastAsia="de-DE"/>
        </w:rPr>
        <w:t>עָלָיו יִהְיֶה</w:t>
      </w:r>
      <w:r w:rsidRPr="00AC36A5">
        <w:rPr>
          <w:rFonts w:eastAsia="Times New Roman" w:cs="Times New Roman"/>
          <w:rtl/>
          <w:lang w:eastAsia="de-DE"/>
        </w:rPr>
        <w:t xml:space="preserve"> </w:t>
      </w:r>
      <w:r w:rsidRPr="00AC36A5">
        <w:rPr>
          <w:rFonts w:eastAsia="Times New Roman" w:cs="Times New Roman"/>
          <w:lang w:eastAsia="de-DE"/>
        </w:rPr>
        <w:t>(auf ihm soll es sein) betont die kontinuierliche Präsenz der Schaubrote auch während des Transports.</w:t>
      </w:r>
    </w:p>
    <w:p w14:paraId="359EA9DD" w14:textId="1BEA6811" w:rsidR="00AC36A5" w:rsidRPr="00AC36A5" w:rsidRDefault="000F383B"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0F383B">
        <w:rPr>
          <w:b/>
          <w:bCs/>
          <w:rtl/>
        </w:rPr>
        <w:t>שלחן הפנים</w:t>
      </w:r>
      <w:r>
        <w:t xml:space="preserve"> (shulchan happanim - "Schaubrottisch") als τράπεζα προκειμένη (vorliegender Tisch). Die kultischen Geräte werden präzisiert: </w:t>
      </w:r>
      <w:r w:rsidRPr="000F383B">
        <w:rPr>
          <w:b/>
          <w:bCs/>
          <w:rtl/>
        </w:rPr>
        <w:t>קערת</w:t>
      </w:r>
      <w:r>
        <w:t xml:space="preserve"> (qe'arot - "Schalen") als τρύβλια (Schalen), </w:t>
      </w:r>
      <w:r w:rsidRPr="000F383B">
        <w:rPr>
          <w:b/>
          <w:bCs/>
          <w:rtl/>
        </w:rPr>
        <w:t>כפת</w:t>
      </w:r>
      <w:r>
        <w:t xml:space="preserve"> (kappot - "Schalen") als θυίσκας (Räucherschalen), </w:t>
      </w:r>
      <w:r w:rsidRPr="000F383B">
        <w:rPr>
          <w:b/>
          <w:bCs/>
          <w:rtl/>
        </w:rPr>
        <w:t>מנקית</w:t>
      </w:r>
      <w:r>
        <w:t xml:space="preserve"> (menaqiyyot - "Kannen") als κυάθους (Becher), </w:t>
      </w:r>
      <w:r w:rsidRPr="000F383B">
        <w:rPr>
          <w:b/>
          <w:bCs/>
          <w:rtl/>
        </w:rPr>
        <w:t>קשות</w:t>
      </w:r>
      <w:r>
        <w:rPr>
          <w:rtl/>
        </w:rPr>
        <w:t xml:space="preserve"> </w:t>
      </w:r>
      <w:r w:rsidRPr="000F383B">
        <w:rPr>
          <w:b/>
          <w:bCs/>
          <w:rtl/>
        </w:rPr>
        <w:t>הנסך</w:t>
      </w:r>
      <w:r>
        <w:t xml:space="preserve"> (qesowt hannasech - "Libationsschalen") als σπονδεῖα (Trankopfergefäße).</w:t>
      </w:r>
    </w:p>
    <w:p w14:paraId="22E75F9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präpositionale Einleitung mit koordinierten Verben und einer systematischen Aufzählung der Kultgegenstände sowie einer wichtigen Bestimmung zur kontinuierlichen Präsenz der Schaubrote.</w:t>
      </w:r>
    </w:p>
    <w:p w14:paraId="214B420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behandelt die sorgfältige Verpackung des Schaubrottisches mit allen seinen Geräten und betont die Wichtigkeit der ununterbrochenen Schaubrotopferung.</w:t>
      </w:r>
    </w:p>
    <w:p w14:paraId="5F30F164"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4,8</w:t>
      </w:r>
    </w:p>
    <w:p w14:paraId="73A963E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וּפָרְשׂ֣וּ עֲלֵיהֶ֗ם בֶּ֚גֶד תּוֹלַ֣עַת שָׁנִ֔י וְכִסּ֣וּ אֹתוֹ֔ בְּמִכְסֵ֖ה ע֣וֹר תָּ֑חַשׁ וְשָׂמ֖וּ אֶת־בַּדָּֽיו׃</w:t>
      </w:r>
    </w:p>
    <w:p w14:paraId="446AF90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sie sollen darüber ein Tuch aus Karmesin breiten und es mit einer Decke aus Tachaschfell bedecken; und sie sollen seine Stangen einsetzen.</w:t>
      </w:r>
    </w:p>
    <w:p w14:paraId="56DF4B8B"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0012CB0C">
          <v:rect id="_x0000_i1171" style="width:0;height:1.5pt" o:hralign="center" o:hrstd="t" o:hr="t" fillcolor="#a0a0a0" stroked="f"/>
        </w:pict>
      </w:r>
    </w:p>
    <w:p w14:paraId="4F61E57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koordinierte Verb </w:t>
      </w:r>
      <w:r w:rsidRPr="00AC36A5">
        <w:rPr>
          <w:rFonts w:eastAsia="Times New Roman" w:cs="Times New Roman"/>
          <w:b/>
          <w:bCs/>
          <w:rtl/>
          <w:lang w:eastAsia="de-DE"/>
        </w:rPr>
        <w:t>וּפָרְשׂוּ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פרש</w:t>
      </w:r>
      <w:r w:rsidRPr="00AC36A5">
        <w:rPr>
          <w:rFonts w:eastAsia="Times New Roman" w:cs="Times New Roman"/>
          <w:rtl/>
          <w:lang w:eastAsia="de-DE"/>
        </w:rPr>
        <w:t xml:space="preserve"> </w:t>
      </w:r>
      <w:r w:rsidRPr="00AC36A5">
        <w:rPr>
          <w:rFonts w:eastAsia="Times New Roman" w:cs="Times New Roman"/>
          <w:lang w:eastAsia="de-DE"/>
        </w:rPr>
        <w:t xml:space="preserve">(ausbreiten) setzt die Verpackungssequenz fort. </w:t>
      </w:r>
      <w:r w:rsidRPr="00AC36A5">
        <w:rPr>
          <w:rFonts w:eastAsia="Times New Roman" w:cs="Times New Roman"/>
          <w:b/>
          <w:bCs/>
          <w:rtl/>
          <w:lang w:eastAsia="de-DE"/>
        </w:rPr>
        <w:t>עֲלֵיהֶם</w:t>
      </w:r>
      <w:r w:rsidRPr="00AC36A5">
        <w:rPr>
          <w:rFonts w:eastAsia="Times New Roman" w:cs="Times New Roman"/>
          <w:rtl/>
          <w:lang w:eastAsia="de-DE"/>
        </w:rPr>
        <w:t xml:space="preserve"> </w:t>
      </w:r>
      <w:r w:rsidRPr="00AC36A5">
        <w:rPr>
          <w:rFonts w:eastAsia="Times New Roman" w:cs="Times New Roman"/>
          <w:lang w:eastAsia="de-DE"/>
        </w:rPr>
        <w:t>(über sie) mit Possessivsuffix 3. maskulin Plural bezieht sich auf den bereits mit blauem Tuch bedeckten Tisch und seine Geräte.</w:t>
      </w:r>
    </w:p>
    <w:p w14:paraId="79ACFB7D" w14:textId="2845F12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בֶּגֶד תּוֹלַעַת שָׁנִי</w:t>
      </w:r>
      <w:r w:rsidRPr="00AC36A5">
        <w:rPr>
          <w:rFonts w:eastAsia="Times New Roman" w:cs="Times New Roman"/>
          <w:rtl/>
          <w:lang w:eastAsia="de-DE"/>
        </w:rPr>
        <w:t xml:space="preserve"> </w:t>
      </w:r>
      <w:r w:rsidRPr="00AC36A5">
        <w:rPr>
          <w:rFonts w:eastAsia="Times New Roman" w:cs="Times New Roman"/>
          <w:lang w:eastAsia="de-DE"/>
        </w:rPr>
        <w:t xml:space="preserve">(Tuch aus Karmesin) im </w:t>
      </w:r>
      <w:r w:rsidR="00F133EC">
        <w:rPr>
          <w:rFonts w:eastAsia="Times New Roman" w:cs="Times New Roman"/>
          <w:lang w:eastAsia="de-DE"/>
        </w:rPr>
        <w:t>Construct</w:t>
      </w:r>
      <w:r w:rsidRPr="00AC36A5">
        <w:rPr>
          <w:rFonts w:eastAsia="Times New Roman" w:cs="Times New Roman"/>
          <w:lang w:eastAsia="de-DE"/>
        </w:rPr>
        <w:t xml:space="preserve"> zeigt </w:t>
      </w:r>
      <w:r w:rsidRPr="00AC36A5">
        <w:rPr>
          <w:rFonts w:eastAsia="Times New Roman" w:cs="Times New Roman"/>
          <w:b/>
          <w:bCs/>
          <w:rtl/>
          <w:lang w:eastAsia="de-DE"/>
        </w:rPr>
        <w:t>תּוֹלַעַת שָׁנִי</w:t>
      </w:r>
      <w:r w:rsidRPr="00AC36A5">
        <w:rPr>
          <w:rFonts w:eastAsia="Times New Roman" w:cs="Times New Roman"/>
          <w:rtl/>
          <w:lang w:eastAsia="de-DE"/>
        </w:rPr>
        <w:t xml:space="preserve"> </w:t>
      </w:r>
      <w:r w:rsidRPr="00AC36A5">
        <w:rPr>
          <w:rFonts w:eastAsia="Times New Roman" w:cs="Times New Roman"/>
          <w:lang w:eastAsia="de-DE"/>
        </w:rPr>
        <w:t>(Karmesinwurm) als Bezeichnung für die kostbare scharlachrote Farbe, die aus einer Schildlaus gewonnen wurde. Diese bildet die zweite Farbschicht über dem blauen Tuch.</w:t>
      </w:r>
    </w:p>
    <w:p w14:paraId="7C38F4E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weitere koordinierte Verb </w:t>
      </w:r>
      <w:r w:rsidRPr="00AC36A5">
        <w:rPr>
          <w:rFonts w:eastAsia="Times New Roman" w:cs="Times New Roman"/>
          <w:b/>
          <w:bCs/>
          <w:rtl/>
          <w:lang w:eastAsia="de-DE"/>
        </w:rPr>
        <w:t>וְכִסּוּ אֹתוֹ בְּמִכְסֵה עוֹר תָּחַשׁ</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כִסּוּ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כסה</w:t>
      </w:r>
      <w:r w:rsidRPr="00AC36A5">
        <w:rPr>
          <w:rFonts w:eastAsia="Times New Roman" w:cs="Times New Roman"/>
          <w:rtl/>
          <w:lang w:eastAsia="de-DE"/>
        </w:rPr>
        <w:t xml:space="preserve"> </w:t>
      </w:r>
      <w:r w:rsidRPr="00AC36A5">
        <w:rPr>
          <w:rFonts w:eastAsia="Times New Roman" w:cs="Times New Roman"/>
          <w:lang w:eastAsia="de-DE"/>
        </w:rPr>
        <w:t xml:space="preserve">(bedecken) im Pi'el-Perfekt, </w:t>
      </w:r>
      <w:r w:rsidRPr="00AC36A5">
        <w:rPr>
          <w:rFonts w:eastAsia="Times New Roman" w:cs="Times New Roman"/>
          <w:b/>
          <w:bCs/>
          <w:rtl/>
          <w:lang w:eastAsia="de-DE"/>
        </w:rPr>
        <w:t>אֹתוֹ</w:t>
      </w:r>
      <w:r w:rsidRPr="00AC36A5">
        <w:rPr>
          <w:rFonts w:eastAsia="Times New Roman" w:cs="Times New Roman"/>
          <w:rtl/>
          <w:lang w:eastAsia="de-DE"/>
        </w:rPr>
        <w:t xml:space="preserve"> </w:t>
      </w:r>
      <w:r w:rsidRPr="00AC36A5">
        <w:rPr>
          <w:rFonts w:eastAsia="Times New Roman" w:cs="Times New Roman"/>
          <w:lang w:eastAsia="de-DE"/>
        </w:rPr>
        <w:t xml:space="preserve">(ihn) und </w:t>
      </w:r>
      <w:r w:rsidRPr="00AC36A5">
        <w:rPr>
          <w:rFonts w:eastAsia="Times New Roman" w:cs="Times New Roman"/>
          <w:b/>
          <w:bCs/>
          <w:rtl/>
          <w:lang w:eastAsia="de-DE"/>
        </w:rPr>
        <w:t>מִכְסֵה עוֹר תָּחַשׁ</w:t>
      </w:r>
      <w:r w:rsidRPr="00AC36A5">
        <w:rPr>
          <w:rFonts w:eastAsia="Times New Roman" w:cs="Times New Roman"/>
          <w:rtl/>
          <w:lang w:eastAsia="de-DE"/>
        </w:rPr>
        <w:t xml:space="preserve"> </w:t>
      </w:r>
      <w:r w:rsidRPr="00AC36A5">
        <w:rPr>
          <w:rFonts w:eastAsia="Times New Roman" w:cs="Times New Roman"/>
          <w:lang w:eastAsia="de-DE"/>
        </w:rPr>
        <w:t>(Decke aus Tachaschfell) zeigt die äußere Schutzschicht, identisch mit der bei der Bundeslade verwendeten.</w:t>
      </w:r>
    </w:p>
    <w:p w14:paraId="301728F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וְשָׂמוּ אֶת־בַּדָּיו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שָׂמוּ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שים</w:t>
      </w:r>
      <w:r w:rsidRPr="00AC36A5">
        <w:rPr>
          <w:rFonts w:eastAsia="Times New Roman" w:cs="Times New Roman"/>
          <w:rtl/>
          <w:lang w:eastAsia="de-DE"/>
        </w:rPr>
        <w:t xml:space="preserve"> </w:t>
      </w:r>
      <w:r w:rsidRPr="00AC36A5">
        <w:rPr>
          <w:rFonts w:eastAsia="Times New Roman" w:cs="Times New Roman"/>
          <w:lang w:eastAsia="de-DE"/>
        </w:rPr>
        <w:t xml:space="preserve">(setzen) und </w:t>
      </w:r>
      <w:r w:rsidRPr="00AC36A5">
        <w:rPr>
          <w:rFonts w:eastAsia="Times New Roman" w:cs="Times New Roman"/>
          <w:b/>
          <w:bCs/>
          <w:rtl/>
          <w:lang w:eastAsia="de-DE"/>
        </w:rPr>
        <w:t>בַּדִּים</w:t>
      </w:r>
      <w:r w:rsidRPr="00AC36A5">
        <w:rPr>
          <w:rFonts w:eastAsia="Times New Roman" w:cs="Times New Roman"/>
          <w:rtl/>
          <w:lang w:eastAsia="de-DE"/>
        </w:rPr>
        <w:t xml:space="preserve"> </w:t>
      </w:r>
      <w:r w:rsidRPr="00AC36A5">
        <w:rPr>
          <w:rFonts w:eastAsia="Times New Roman" w:cs="Times New Roman"/>
          <w:lang w:eastAsia="de-DE"/>
        </w:rPr>
        <w:t>(Stangen) mit Possessivsuffix komplettiert die Transportvorbereitung.</w:t>
      </w:r>
    </w:p>
    <w:p w14:paraId="038C563E" w14:textId="215EE54D" w:rsidR="00AC36A5" w:rsidRPr="00AC36A5" w:rsidRDefault="008D0C5E"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תולעת שני</w:t>
      </w:r>
      <w:r>
        <w:t xml:space="preserve"> (tola'at shani - "Karmesin") als κόκκινον (Scharlach).</w:t>
      </w:r>
    </w:p>
    <w:p w14:paraId="39D5445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drei koordinierte Verben mit spezifischen Objekten für die dreischichtige Verpackung des Schaubrottisches.</w:t>
      </w:r>
    </w:p>
    <w:p w14:paraId="45AAAF5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Dieser Vers komplettiert die Verpackung des Schaubrottisches mit der charakteristischen Farbfolge: Blau (göttlich), Karmesin (königlich), Tachaschfell (praktischer Schutz).</w:t>
      </w:r>
    </w:p>
    <w:p w14:paraId="401492BD"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4,9</w:t>
      </w:r>
    </w:p>
    <w:p w14:paraId="704E2E1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וְלָקְח֣וּ׀ בֶּ֣גֶד תְּכֵ֗לֶת וְכִסּ֞וּ אֶת־מְנֹרַ֤ת הַמָּאוֹר֙ וְאֶת־נֵ֣רֹתֶ֔יהָ וְאֶת־מַלְקָחֶ֖יהָ וְאֶת־מַחְתֹּתֶ֑יהָ וְאֵת֙ כָּל־כְּלֵ֣י שַׁמְנָ֔הּ אֲשֶׁ֥ר יְשָׁרְתוּ־לָ֖הּ בָּהֶֽם׃</w:t>
      </w:r>
    </w:p>
    <w:p w14:paraId="024BACA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sie sollen ein Tuch aus blauem Purpur nehmen und den Leuchter des Lichts bedecken und seine Lampen und seine Dochtscheren und seine Löschnäpfe und alle seine Ölgefäße, womit man ihn bedient.</w:t>
      </w:r>
    </w:p>
    <w:p w14:paraId="2C2B83C5"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C044A39">
          <v:rect id="_x0000_i1172" style="width:0;height:1.5pt" o:hralign="center" o:hrstd="t" o:hr="t" fillcolor="#a0a0a0" stroked="f"/>
        </w:pict>
      </w:r>
    </w:p>
    <w:p w14:paraId="1C6AF52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koordinierte Verb </w:t>
      </w:r>
      <w:r w:rsidRPr="00AC36A5">
        <w:rPr>
          <w:rFonts w:eastAsia="Times New Roman" w:cs="Times New Roman"/>
          <w:b/>
          <w:bCs/>
          <w:rtl/>
          <w:lang w:eastAsia="de-DE"/>
        </w:rPr>
        <w:t>וְלָקְחוּ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 xml:space="preserve">(nehmen) im Qal-Perfekt 3. maskulin Plural mit </w:t>
      </w:r>
      <w:r w:rsidRPr="00AC36A5">
        <w:rPr>
          <w:rFonts w:eastAsia="Times New Roman" w:cs="Times New Roman"/>
          <w:b/>
          <w:bCs/>
          <w:rtl/>
          <w:lang w:eastAsia="de-DE"/>
        </w:rPr>
        <w:t>בֶּגֶד תְּכֵלֶת</w:t>
      </w:r>
      <w:r w:rsidRPr="00AC36A5">
        <w:rPr>
          <w:rFonts w:eastAsia="Times New Roman" w:cs="Times New Roman"/>
          <w:rtl/>
          <w:lang w:eastAsia="de-DE"/>
        </w:rPr>
        <w:t xml:space="preserve"> </w:t>
      </w:r>
      <w:r w:rsidRPr="00AC36A5">
        <w:rPr>
          <w:rFonts w:eastAsia="Times New Roman" w:cs="Times New Roman"/>
          <w:lang w:eastAsia="de-DE"/>
        </w:rPr>
        <w:t>(Tuch aus blauem Purpur) leitet die Behandlung des dritten großen Kultgegenstandes ein.</w:t>
      </w:r>
    </w:p>
    <w:p w14:paraId="4E4AFEA7" w14:textId="49D2CD9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וְכִסּוּ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כסה</w:t>
      </w:r>
      <w:r w:rsidRPr="00AC36A5">
        <w:rPr>
          <w:rFonts w:eastAsia="Times New Roman" w:cs="Times New Roman"/>
          <w:rtl/>
          <w:lang w:eastAsia="de-DE"/>
        </w:rPr>
        <w:t xml:space="preserve"> </w:t>
      </w:r>
      <w:r w:rsidRPr="00AC36A5">
        <w:rPr>
          <w:rFonts w:eastAsia="Times New Roman" w:cs="Times New Roman"/>
          <w:lang w:eastAsia="de-DE"/>
        </w:rPr>
        <w:t xml:space="preserve">(bedecken) mit dem direkten Objekt </w:t>
      </w:r>
      <w:r w:rsidRPr="00AC36A5">
        <w:rPr>
          <w:rFonts w:eastAsia="Times New Roman" w:cs="Times New Roman"/>
          <w:b/>
          <w:bCs/>
          <w:rtl/>
          <w:lang w:eastAsia="de-DE"/>
        </w:rPr>
        <w:t>אֶת־מְנֹרַת הַמָּאוֹר</w:t>
      </w:r>
      <w:r w:rsidRPr="00AC36A5">
        <w:rPr>
          <w:rFonts w:eastAsia="Times New Roman" w:cs="Times New Roman"/>
          <w:rtl/>
          <w:lang w:eastAsia="de-DE"/>
        </w:rPr>
        <w:t xml:space="preserve"> </w:t>
      </w:r>
      <w:r w:rsidRPr="00AC36A5">
        <w:rPr>
          <w:rFonts w:eastAsia="Times New Roman" w:cs="Times New Roman"/>
          <w:lang w:eastAsia="de-DE"/>
        </w:rPr>
        <w:t xml:space="preserve">(den Leuchter des Lichts) zeigt </w:t>
      </w:r>
      <w:r w:rsidRPr="00AC36A5">
        <w:rPr>
          <w:rFonts w:eastAsia="Times New Roman" w:cs="Times New Roman"/>
          <w:b/>
          <w:bCs/>
          <w:rtl/>
          <w:lang w:eastAsia="de-DE"/>
        </w:rPr>
        <w:t>מְנֹרַת הַמָּאוֹר</w:t>
      </w:r>
      <w:r w:rsidRPr="00AC36A5">
        <w:rPr>
          <w:rFonts w:eastAsia="Times New Roman" w:cs="Times New Roman"/>
          <w:rtl/>
          <w:lang w:eastAsia="de-DE"/>
        </w:rPr>
        <w:t xml:space="preserve"> </w:t>
      </w:r>
      <w:r w:rsidRPr="00AC36A5">
        <w:rPr>
          <w:rFonts w:eastAsia="Times New Roman" w:cs="Times New Roman"/>
          <w:lang w:eastAsia="de-DE"/>
        </w:rPr>
        <w:t xml:space="preserve">im </w:t>
      </w:r>
      <w:r w:rsidR="00F133EC">
        <w:rPr>
          <w:rFonts w:eastAsia="Times New Roman" w:cs="Times New Roman"/>
          <w:lang w:eastAsia="de-DE"/>
        </w:rPr>
        <w:t>Construct</w:t>
      </w:r>
      <w:r w:rsidRPr="00AC36A5">
        <w:rPr>
          <w:rFonts w:eastAsia="Times New Roman" w:cs="Times New Roman"/>
          <w:lang w:eastAsia="de-DE"/>
        </w:rPr>
        <w:t xml:space="preserve"> als besondere Bezeichnung für den siebenarmigen Leuchter.</w:t>
      </w:r>
    </w:p>
    <w:p w14:paraId="2E183CB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systematische Aufzählung der Leuchtergeräte </w:t>
      </w:r>
      <w:r w:rsidRPr="00AC36A5">
        <w:rPr>
          <w:rFonts w:eastAsia="Times New Roman" w:cs="Times New Roman"/>
          <w:b/>
          <w:bCs/>
          <w:rtl/>
          <w:lang w:eastAsia="de-DE"/>
        </w:rPr>
        <w:t>וְאֶת־נֵרֹתֶיהָ וְאֶת־מַלְקָחֶיהָ וְאֶת־מַחְתֹּתֶיהָ וְאֵת כָּל־כְּלֵי שַׁמְנָהּ</w:t>
      </w:r>
      <w:r w:rsidRPr="00AC36A5">
        <w:rPr>
          <w:rFonts w:eastAsia="Times New Roman" w:cs="Times New Roman"/>
          <w:rtl/>
          <w:lang w:eastAsia="de-DE"/>
        </w:rPr>
        <w:t xml:space="preserve"> </w:t>
      </w:r>
      <w:r w:rsidRPr="00AC36A5">
        <w:rPr>
          <w:rFonts w:eastAsia="Times New Roman" w:cs="Times New Roman"/>
          <w:lang w:eastAsia="de-DE"/>
        </w:rPr>
        <w:t xml:space="preserve">mit jeweils nota accusativi zeigt: </w:t>
      </w:r>
      <w:r w:rsidRPr="00AC36A5">
        <w:rPr>
          <w:rFonts w:eastAsia="Times New Roman" w:cs="Times New Roman"/>
          <w:b/>
          <w:bCs/>
          <w:rtl/>
          <w:lang w:eastAsia="de-DE"/>
        </w:rPr>
        <w:t>נֵרֹת</w:t>
      </w:r>
      <w:r w:rsidRPr="00AC36A5">
        <w:rPr>
          <w:rFonts w:eastAsia="Times New Roman" w:cs="Times New Roman"/>
          <w:rtl/>
          <w:lang w:eastAsia="de-DE"/>
        </w:rPr>
        <w:t xml:space="preserve"> </w:t>
      </w:r>
      <w:r w:rsidRPr="00AC36A5">
        <w:rPr>
          <w:rFonts w:eastAsia="Times New Roman" w:cs="Times New Roman"/>
          <w:lang w:eastAsia="de-DE"/>
        </w:rPr>
        <w:t xml:space="preserve">(Lampen), </w:t>
      </w:r>
      <w:r w:rsidRPr="00AC36A5">
        <w:rPr>
          <w:rFonts w:eastAsia="Times New Roman" w:cs="Times New Roman"/>
          <w:b/>
          <w:bCs/>
          <w:rtl/>
          <w:lang w:eastAsia="de-DE"/>
        </w:rPr>
        <w:t>מַלְקָחִים</w:t>
      </w:r>
      <w:r w:rsidRPr="00AC36A5">
        <w:rPr>
          <w:rFonts w:eastAsia="Times New Roman" w:cs="Times New Roman"/>
          <w:rtl/>
          <w:lang w:eastAsia="de-DE"/>
        </w:rPr>
        <w:t xml:space="preserve"> </w:t>
      </w:r>
      <w:r w:rsidRPr="00AC36A5">
        <w:rPr>
          <w:rFonts w:eastAsia="Times New Roman" w:cs="Times New Roman"/>
          <w:lang w:eastAsia="de-DE"/>
        </w:rPr>
        <w:t xml:space="preserve">(Dochtscheren/Lichtputzen), </w:t>
      </w:r>
      <w:r w:rsidRPr="00AC36A5">
        <w:rPr>
          <w:rFonts w:eastAsia="Times New Roman" w:cs="Times New Roman"/>
          <w:b/>
          <w:bCs/>
          <w:rtl/>
          <w:lang w:eastAsia="de-DE"/>
        </w:rPr>
        <w:t>מַחְתֹּת</w:t>
      </w:r>
      <w:r w:rsidRPr="00AC36A5">
        <w:rPr>
          <w:rFonts w:eastAsia="Times New Roman" w:cs="Times New Roman"/>
          <w:rtl/>
          <w:lang w:eastAsia="de-DE"/>
        </w:rPr>
        <w:t xml:space="preserve"> </w:t>
      </w:r>
      <w:r w:rsidRPr="00AC36A5">
        <w:rPr>
          <w:rFonts w:eastAsia="Times New Roman" w:cs="Times New Roman"/>
          <w:lang w:eastAsia="de-DE"/>
        </w:rPr>
        <w:t xml:space="preserve">(Löschnäpfe/Feuerpfannen) und </w:t>
      </w:r>
      <w:r w:rsidRPr="00AC36A5">
        <w:rPr>
          <w:rFonts w:eastAsia="Times New Roman" w:cs="Times New Roman"/>
          <w:b/>
          <w:bCs/>
          <w:rtl/>
          <w:lang w:eastAsia="de-DE"/>
        </w:rPr>
        <w:t>כְּלֵי שַׁמְנָהּ</w:t>
      </w:r>
      <w:r w:rsidRPr="00AC36A5">
        <w:rPr>
          <w:rFonts w:eastAsia="Times New Roman" w:cs="Times New Roman"/>
          <w:rtl/>
          <w:lang w:eastAsia="de-DE"/>
        </w:rPr>
        <w:t xml:space="preserve"> </w:t>
      </w:r>
      <w:r w:rsidRPr="00AC36A5">
        <w:rPr>
          <w:rFonts w:eastAsia="Times New Roman" w:cs="Times New Roman"/>
          <w:lang w:eastAsia="de-DE"/>
        </w:rPr>
        <w:t>(Ölgefäße) mit entsprechenden Possessivsuffixen 3. feminin Singular.</w:t>
      </w:r>
    </w:p>
    <w:p w14:paraId="72DCF49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יְשָׁרְתוּ־לָהּ בָּהֶם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יְשָׁרְתוּ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שרת</w:t>
      </w:r>
      <w:r w:rsidRPr="00AC36A5">
        <w:rPr>
          <w:rFonts w:eastAsia="Times New Roman" w:cs="Times New Roman"/>
          <w:rtl/>
          <w:lang w:eastAsia="de-DE"/>
        </w:rPr>
        <w:t xml:space="preserve"> </w:t>
      </w:r>
      <w:r w:rsidRPr="00AC36A5">
        <w:rPr>
          <w:rFonts w:eastAsia="Times New Roman" w:cs="Times New Roman"/>
          <w:lang w:eastAsia="de-DE"/>
        </w:rPr>
        <w:t xml:space="preserve">(dienen) im Pi'el-Imperfekt 3. maskulin Plural und den präpositionalen Suffixen </w:t>
      </w:r>
      <w:r w:rsidRPr="00AC36A5">
        <w:rPr>
          <w:rFonts w:eastAsia="Times New Roman" w:cs="Times New Roman"/>
          <w:b/>
          <w:bCs/>
          <w:rtl/>
          <w:lang w:eastAsia="de-DE"/>
        </w:rPr>
        <w:t>לָהּ</w:t>
      </w:r>
      <w:r w:rsidRPr="00AC36A5">
        <w:rPr>
          <w:rFonts w:eastAsia="Times New Roman" w:cs="Times New Roman"/>
          <w:rtl/>
          <w:lang w:eastAsia="de-DE"/>
        </w:rPr>
        <w:t xml:space="preserve"> </w:t>
      </w:r>
      <w:r w:rsidRPr="00AC36A5">
        <w:rPr>
          <w:rFonts w:eastAsia="Times New Roman" w:cs="Times New Roman"/>
          <w:lang w:eastAsia="de-DE"/>
        </w:rPr>
        <w:t xml:space="preserve">(ihr) und </w:t>
      </w:r>
      <w:r w:rsidRPr="00AC36A5">
        <w:rPr>
          <w:rFonts w:eastAsia="Times New Roman" w:cs="Times New Roman"/>
          <w:b/>
          <w:bCs/>
          <w:rtl/>
          <w:lang w:eastAsia="de-DE"/>
        </w:rPr>
        <w:t>בָּהֶם</w:t>
      </w:r>
      <w:r w:rsidRPr="00AC36A5">
        <w:rPr>
          <w:rFonts w:eastAsia="Times New Roman" w:cs="Times New Roman"/>
          <w:rtl/>
          <w:lang w:eastAsia="de-DE"/>
        </w:rPr>
        <w:t xml:space="preserve"> </w:t>
      </w:r>
      <w:r w:rsidRPr="00AC36A5">
        <w:rPr>
          <w:rFonts w:eastAsia="Times New Roman" w:cs="Times New Roman"/>
          <w:lang w:eastAsia="de-DE"/>
        </w:rPr>
        <w:t>(mit ihnen) spezifiziert die liturgische Funktion dieser Geräte.</w:t>
      </w:r>
    </w:p>
    <w:p w14:paraId="21A1329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λήμψονται ἱμάτιον ὑακίνθινον καὶ καλύψουσιν τὴν λυχνίαν τὴν φωτίζουσαν und zählt die Gerätschaften detailliert auf.</w:t>
      </w:r>
    </w:p>
    <w:p w14:paraId="401E483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koordinierte Verben mit systematischer Aufzählung aller zum Leuchter gehörenden Kultgegenstände und einem relativischen Zusatz zur Funktionsbestimmung.</w:t>
      </w:r>
    </w:p>
    <w:p w14:paraId="64C5F1E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behandelt die Verpackung des siebenarmigen Leuchters mit allen seinen Zubehörteilen und betont durch die blaue Farbe seine himmlische Symbolik.</w:t>
      </w:r>
    </w:p>
    <w:p w14:paraId="18DED98E"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4,10</w:t>
      </w:r>
    </w:p>
    <w:p w14:paraId="384CE8D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וְנָתְנ֤וּ אֹתָהּ֙ וְאֶת־כָּל־כֵּלֶ֔יהָ אֶל־מִכְסֵ֖ה ע֣וֹר תָּ֑חַשׁ וְנָתְנ֖וּ עַל־הַמּֽוֹט׃</w:t>
      </w:r>
    </w:p>
    <w:p w14:paraId="798E3CA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sie sollen ihn und alle seine Geräte in eine Decke aus Tachaschfell tun und auf die Tragstange legen.</w:t>
      </w:r>
    </w:p>
    <w:p w14:paraId="60BAA33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BA055C1">
          <v:rect id="_x0000_i1173" style="width:0;height:1.5pt" o:hralign="center" o:hrstd="t" o:hr="t" fillcolor="#a0a0a0" stroked="f"/>
        </w:pict>
      </w:r>
    </w:p>
    <w:p w14:paraId="73157F0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Kommentar:</w:t>
      </w:r>
      <w:r w:rsidRPr="00AC36A5">
        <w:rPr>
          <w:rFonts w:eastAsia="Times New Roman" w:cs="Times New Roman"/>
          <w:lang w:eastAsia="de-DE"/>
        </w:rPr>
        <w:t xml:space="preserve"> Das koordinierte Verb </w:t>
      </w:r>
      <w:r w:rsidRPr="00AC36A5">
        <w:rPr>
          <w:rFonts w:eastAsia="Times New Roman" w:cs="Times New Roman"/>
          <w:b/>
          <w:bCs/>
          <w:rtl/>
          <w:lang w:eastAsia="de-DE"/>
        </w:rPr>
        <w:t>וְנָתְנוּ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(geben/legen) im Qal-Perfekt 3. maskulin Plural setzt die Verpackungssequenz fort. Das koordinierte direkte Objekt </w:t>
      </w:r>
      <w:r w:rsidRPr="00AC36A5">
        <w:rPr>
          <w:rFonts w:eastAsia="Times New Roman" w:cs="Times New Roman"/>
          <w:b/>
          <w:bCs/>
          <w:rtl/>
          <w:lang w:eastAsia="de-DE"/>
        </w:rPr>
        <w:t>אֹתָהּ וְאֶת־כָּל־כֵּלֶיהָ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אֹתָהּ</w:t>
      </w:r>
      <w:r w:rsidRPr="00AC36A5">
        <w:rPr>
          <w:rFonts w:eastAsia="Times New Roman" w:cs="Times New Roman"/>
          <w:rtl/>
          <w:lang w:eastAsia="de-DE"/>
        </w:rPr>
        <w:t xml:space="preserve"> </w:t>
      </w:r>
      <w:r w:rsidRPr="00AC36A5">
        <w:rPr>
          <w:rFonts w:eastAsia="Times New Roman" w:cs="Times New Roman"/>
          <w:lang w:eastAsia="de-DE"/>
        </w:rPr>
        <w:t xml:space="preserve">(sie, feminin, bezogen auf die Menora) und </w:t>
      </w:r>
      <w:r w:rsidRPr="00AC36A5">
        <w:rPr>
          <w:rFonts w:eastAsia="Times New Roman" w:cs="Times New Roman"/>
          <w:b/>
          <w:bCs/>
          <w:rtl/>
          <w:lang w:eastAsia="de-DE"/>
        </w:rPr>
        <w:t>כָּל־כֵּלֶיהָ</w:t>
      </w:r>
      <w:r w:rsidRPr="00AC36A5">
        <w:rPr>
          <w:rFonts w:eastAsia="Times New Roman" w:cs="Times New Roman"/>
          <w:rtl/>
          <w:lang w:eastAsia="de-DE"/>
        </w:rPr>
        <w:t xml:space="preserve"> </w:t>
      </w:r>
      <w:r w:rsidRPr="00AC36A5">
        <w:rPr>
          <w:rFonts w:eastAsia="Times New Roman" w:cs="Times New Roman"/>
          <w:lang w:eastAsia="de-DE"/>
        </w:rPr>
        <w:t>(alle ihre Geräte) zeigt die Gesamtverpackung.</w:t>
      </w:r>
    </w:p>
    <w:p w14:paraId="1AB712E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אֶל־מִכְסֵה עוֹר תָּחַשׁ</w:t>
      </w:r>
      <w:r w:rsidRPr="00AC36A5">
        <w:rPr>
          <w:rFonts w:eastAsia="Times New Roman" w:cs="Times New Roman"/>
          <w:rtl/>
          <w:lang w:eastAsia="de-DE"/>
        </w:rPr>
        <w:t xml:space="preserve"> </w:t>
      </w:r>
      <w:r w:rsidRPr="00AC36A5">
        <w:rPr>
          <w:rFonts w:eastAsia="Times New Roman" w:cs="Times New Roman"/>
          <w:lang w:eastAsia="de-DE"/>
        </w:rPr>
        <w:t xml:space="preserve">(in eine Decke aus Tachaschfell) mit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(in/zu) zeigt die äußere Schutzverpackung, die als Hülle für das gesamte Ensemble dient.</w:t>
      </w:r>
    </w:p>
    <w:p w14:paraId="7C5CD5F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weitere koordinierte Verb </w:t>
      </w:r>
      <w:r w:rsidRPr="00AC36A5">
        <w:rPr>
          <w:rFonts w:eastAsia="Times New Roman" w:cs="Times New Roman"/>
          <w:b/>
          <w:bCs/>
          <w:rtl/>
          <w:lang w:eastAsia="de-DE"/>
        </w:rPr>
        <w:t>וְנָתְנוּ עַל־הַמּוֹט</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עַל־הַמּוֹט</w:t>
      </w:r>
      <w:r w:rsidRPr="00AC36A5">
        <w:rPr>
          <w:rFonts w:eastAsia="Times New Roman" w:cs="Times New Roman"/>
          <w:rtl/>
          <w:lang w:eastAsia="de-DE"/>
        </w:rPr>
        <w:t xml:space="preserve"> </w:t>
      </w:r>
      <w:r w:rsidRPr="00AC36A5">
        <w:rPr>
          <w:rFonts w:eastAsia="Times New Roman" w:cs="Times New Roman"/>
          <w:lang w:eastAsia="de-DE"/>
        </w:rPr>
        <w:t xml:space="preserve">(auf die Tragstange) zeigt </w:t>
      </w:r>
      <w:r w:rsidRPr="00AC36A5">
        <w:rPr>
          <w:rFonts w:eastAsia="Times New Roman" w:cs="Times New Roman"/>
          <w:b/>
          <w:bCs/>
          <w:rtl/>
          <w:lang w:eastAsia="de-DE"/>
        </w:rPr>
        <w:t>מוֹט</w:t>
      </w:r>
      <w:r w:rsidRPr="00AC36A5">
        <w:rPr>
          <w:rFonts w:eastAsia="Times New Roman" w:cs="Times New Roman"/>
          <w:rtl/>
          <w:lang w:eastAsia="de-DE"/>
        </w:rPr>
        <w:t xml:space="preserve"> </w:t>
      </w:r>
      <w:r w:rsidRPr="00AC36A5">
        <w:rPr>
          <w:rFonts w:eastAsia="Times New Roman" w:cs="Times New Roman"/>
          <w:lang w:eastAsia="de-DE"/>
        </w:rPr>
        <w:t xml:space="preserve">(Stange/Tragstange) und bereitet den tatsächlichen Transport vor. Dies unterscheidet sich von den </w:t>
      </w:r>
      <w:r w:rsidRPr="00AC36A5">
        <w:rPr>
          <w:rFonts w:eastAsia="Times New Roman" w:cs="Times New Roman"/>
          <w:b/>
          <w:bCs/>
          <w:rtl/>
          <w:lang w:eastAsia="de-DE"/>
        </w:rPr>
        <w:t>בַּדִּים</w:t>
      </w:r>
      <w:r w:rsidRPr="00AC36A5">
        <w:rPr>
          <w:rFonts w:eastAsia="Times New Roman" w:cs="Times New Roman"/>
          <w:rtl/>
          <w:lang w:eastAsia="de-DE"/>
        </w:rPr>
        <w:t xml:space="preserve"> </w:t>
      </w:r>
      <w:r w:rsidRPr="00AC36A5">
        <w:rPr>
          <w:rFonts w:eastAsia="Times New Roman" w:cs="Times New Roman"/>
          <w:lang w:eastAsia="de-DE"/>
        </w:rPr>
        <w:t>(Stangen) der anderen Gegenstände.</w:t>
      </w:r>
    </w:p>
    <w:p w14:paraId="108A8CA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ἐμβαλοῦσιν αὐτὴν καὶ πάντα τὰ σκεύη αὐτῆς εἰς κάλυμμα δερμάτινον ὑακίνθινον καὶ ἐπιθήσουσιν ἐπὶ ἀναφορεῖς und verwendet ἀναφορεῖς (Traggestell) für </w:t>
      </w:r>
      <w:r w:rsidRPr="00AC36A5">
        <w:rPr>
          <w:rFonts w:eastAsia="Times New Roman" w:cs="Times New Roman"/>
          <w:b/>
          <w:bCs/>
          <w:rtl/>
          <w:lang w:eastAsia="de-DE"/>
        </w:rPr>
        <w:t>מוֹט</w:t>
      </w:r>
      <w:r w:rsidRPr="00AC36A5">
        <w:rPr>
          <w:rFonts w:eastAsia="Times New Roman" w:cs="Times New Roman"/>
          <w:lang w:eastAsia="de-DE"/>
        </w:rPr>
        <w:t>.</w:t>
      </w:r>
    </w:p>
    <w:p w14:paraId="2E43983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zwei koordinierte Verben mit zusammengesetztem direktem Objekt, präpositionaler Bestimmung der Verpackung und finaler Transportvorbereitung.</w:t>
      </w:r>
    </w:p>
    <w:p w14:paraId="72329DB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komplettiert die Leuchterverpackung durch die äußere Schutzhülle und bereitet den Transport auf speziellen Tragstangen vor.</w:t>
      </w:r>
    </w:p>
    <w:p w14:paraId="740DE54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4,11</w:t>
      </w:r>
    </w:p>
    <w:p w14:paraId="5421D94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וְעַ֣ל׀ מִזְבַּ֣ח הַזָּהָ֗ב יִפְרְשׂוּ֙ בֶּ֣גֶד תְּכֵ֔לֶת וְכִסּ֣וּ אֹתוֹ֔ בְּמִכְסֵ֖ה ע֣וֹר תָּ֑חַשׁ וְשָׂמ֖וּ אֶת־בַּדָּֽיו׃</w:t>
      </w:r>
    </w:p>
    <w:p w14:paraId="3198E4F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über den goldenen Altar sollen sie ein Tuch aus blauem Purpur breiten und ihn mit einer Decke aus Tachaschfell bedecken und seine Stangen einsetzen.</w:t>
      </w:r>
    </w:p>
    <w:p w14:paraId="51939FDB"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96488E5">
          <v:rect id="_x0000_i1174" style="width:0;height:1.5pt" o:hralign="center" o:hrstd="t" o:hr="t" fillcolor="#a0a0a0" stroked="f"/>
        </w:pict>
      </w:r>
    </w:p>
    <w:p w14:paraId="27687824" w14:textId="65EEF5A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präpositionale Phrase </w:t>
      </w:r>
      <w:r w:rsidRPr="00AC36A5">
        <w:rPr>
          <w:rFonts w:eastAsia="Times New Roman" w:cs="Times New Roman"/>
          <w:b/>
          <w:bCs/>
          <w:rtl/>
          <w:lang w:eastAsia="de-DE"/>
        </w:rPr>
        <w:t>וְעַל מִזְבַּח הַזָּהָב</w:t>
      </w:r>
      <w:r w:rsidRPr="00AC36A5">
        <w:rPr>
          <w:rFonts w:eastAsia="Times New Roman" w:cs="Times New Roman"/>
          <w:rtl/>
          <w:lang w:eastAsia="de-DE"/>
        </w:rPr>
        <w:t xml:space="preserve"> </w:t>
      </w:r>
      <w:r w:rsidRPr="00AC36A5">
        <w:rPr>
          <w:rFonts w:eastAsia="Times New Roman" w:cs="Times New Roman"/>
          <w:lang w:eastAsia="de-DE"/>
        </w:rPr>
        <w:t xml:space="preserve">(und über den goldenen Altar) mit </w:t>
      </w:r>
      <w:r w:rsidRPr="00AC36A5">
        <w:rPr>
          <w:rFonts w:eastAsia="Times New Roman" w:cs="Times New Roman"/>
          <w:b/>
          <w:bCs/>
          <w:rtl/>
          <w:lang w:eastAsia="de-DE"/>
        </w:rPr>
        <w:t>עַל</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מִזְבַּח הַזָּהָב</w:t>
      </w:r>
      <w:r w:rsidRPr="00AC36A5">
        <w:rPr>
          <w:rFonts w:eastAsia="Times New Roman" w:cs="Times New Roman"/>
          <w:rtl/>
          <w:lang w:eastAsia="de-DE"/>
        </w:rPr>
        <w:t xml:space="preserve"> </w:t>
      </w:r>
      <w:r w:rsidRPr="00AC36A5">
        <w:rPr>
          <w:rFonts w:eastAsia="Times New Roman" w:cs="Times New Roman"/>
          <w:lang w:eastAsia="de-DE"/>
        </w:rPr>
        <w:t xml:space="preserve">im </w:t>
      </w:r>
      <w:r w:rsidR="00F133EC">
        <w:rPr>
          <w:rFonts w:eastAsia="Times New Roman" w:cs="Times New Roman"/>
          <w:lang w:eastAsia="de-DE"/>
        </w:rPr>
        <w:t>Construct</w:t>
      </w:r>
      <w:r w:rsidRPr="00AC36A5">
        <w:rPr>
          <w:rFonts w:eastAsia="Times New Roman" w:cs="Times New Roman"/>
          <w:lang w:eastAsia="de-DE"/>
        </w:rPr>
        <w:t xml:space="preserve"> leitet die Behandlung des vierten heiligen Gegenstandes ein. </w:t>
      </w:r>
      <w:r w:rsidRPr="00AC36A5">
        <w:rPr>
          <w:rFonts w:eastAsia="Times New Roman" w:cs="Times New Roman"/>
          <w:b/>
          <w:bCs/>
          <w:rtl/>
          <w:lang w:eastAsia="de-DE"/>
        </w:rPr>
        <w:t>מִזְבַּח הַזָּהָב</w:t>
      </w:r>
      <w:r w:rsidRPr="00AC36A5">
        <w:rPr>
          <w:rFonts w:eastAsia="Times New Roman" w:cs="Times New Roman"/>
          <w:rtl/>
          <w:lang w:eastAsia="de-DE"/>
        </w:rPr>
        <w:t xml:space="preserve"> </w:t>
      </w:r>
      <w:r w:rsidRPr="00AC36A5">
        <w:rPr>
          <w:rFonts w:eastAsia="Times New Roman" w:cs="Times New Roman"/>
          <w:lang w:eastAsia="de-DE"/>
        </w:rPr>
        <w:t xml:space="preserve">(Altar des Goldes) bezeichnet spezifisch den Räucheraltar im Unterschied zum großen </w:t>
      </w:r>
      <w:r w:rsidR="00DD7028">
        <w:rPr>
          <w:rFonts w:eastAsia="Times New Roman" w:cs="Times New Roman"/>
          <w:lang w:eastAsia="de-DE"/>
        </w:rPr>
        <w:t>Aufsteige</w:t>
      </w:r>
      <w:r w:rsidRPr="00AC36A5">
        <w:rPr>
          <w:rFonts w:eastAsia="Times New Roman" w:cs="Times New Roman"/>
          <w:lang w:eastAsia="de-DE"/>
        </w:rPr>
        <w:t>altar.</w:t>
      </w:r>
    </w:p>
    <w:p w14:paraId="6DD5BFE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Verb </w:t>
      </w:r>
      <w:r w:rsidRPr="00AC36A5">
        <w:rPr>
          <w:rFonts w:eastAsia="Times New Roman" w:cs="Times New Roman"/>
          <w:b/>
          <w:bCs/>
          <w:rtl/>
          <w:lang w:eastAsia="de-DE"/>
        </w:rPr>
        <w:t>יִפְרְשׂוּ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פרש</w:t>
      </w:r>
      <w:r w:rsidRPr="00AC36A5">
        <w:rPr>
          <w:rFonts w:eastAsia="Times New Roman" w:cs="Times New Roman"/>
          <w:rtl/>
          <w:lang w:eastAsia="de-DE"/>
        </w:rPr>
        <w:t xml:space="preserve"> </w:t>
      </w:r>
      <w:r w:rsidRPr="00AC36A5">
        <w:rPr>
          <w:rFonts w:eastAsia="Times New Roman" w:cs="Times New Roman"/>
          <w:lang w:eastAsia="de-DE"/>
        </w:rPr>
        <w:t xml:space="preserve">(ausbreiten) im Qal-Imperfekt 3. maskulin Plural mit </w:t>
      </w:r>
      <w:r w:rsidRPr="00AC36A5">
        <w:rPr>
          <w:rFonts w:eastAsia="Times New Roman" w:cs="Times New Roman"/>
          <w:b/>
          <w:bCs/>
          <w:rtl/>
          <w:lang w:eastAsia="de-DE"/>
        </w:rPr>
        <w:t>בֶּגֶד תְּכֵלֶת</w:t>
      </w:r>
      <w:r w:rsidRPr="00AC36A5">
        <w:rPr>
          <w:rFonts w:eastAsia="Times New Roman" w:cs="Times New Roman"/>
          <w:rtl/>
          <w:lang w:eastAsia="de-DE"/>
        </w:rPr>
        <w:t xml:space="preserve"> </w:t>
      </w:r>
      <w:r w:rsidRPr="00AC36A5">
        <w:rPr>
          <w:rFonts w:eastAsia="Times New Roman" w:cs="Times New Roman"/>
          <w:lang w:eastAsia="de-DE"/>
        </w:rPr>
        <w:t>(Tuch aus blauem Purpur) zeigt die erste Schutzschicht, identisch mit der Behandlung des Leuchters.</w:t>
      </w:r>
    </w:p>
    <w:p w14:paraId="3C304EB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וְכִסּוּ אֹתוֹ בְּמִכְסֵה עוֹר תָּחַשׁ</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כִסּוּ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כסה</w:t>
      </w:r>
      <w:r w:rsidRPr="00AC36A5">
        <w:rPr>
          <w:rFonts w:eastAsia="Times New Roman" w:cs="Times New Roman"/>
          <w:rtl/>
          <w:lang w:eastAsia="de-DE"/>
        </w:rPr>
        <w:t xml:space="preserve"> </w:t>
      </w:r>
      <w:r w:rsidRPr="00AC36A5">
        <w:rPr>
          <w:rFonts w:eastAsia="Times New Roman" w:cs="Times New Roman"/>
          <w:lang w:eastAsia="de-DE"/>
        </w:rPr>
        <w:t xml:space="preserve">(bedecken) im Pi'el-Perfekt 3. maskulin Plural, </w:t>
      </w:r>
      <w:r w:rsidRPr="00AC36A5">
        <w:rPr>
          <w:rFonts w:eastAsia="Times New Roman" w:cs="Times New Roman"/>
          <w:b/>
          <w:bCs/>
          <w:rtl/>
          <w:lang w:eastAsia="de-DE"/>
        </w:rPr>
        <w:t>אֹתוֹ</w:t>
      </w:r>
      <w:r w:rsidRPr="00AC36A5">
        <w:rPr>
          <w:rFonts w:eastAsia="Times New Roman" w:cs="Times New Roman"/>
          <w:rtl/>
          <w:lang w:eastAsia="de-DE"/>
        </w:rPr>
        <w:t xml:space="preserve"> </w:t>
      </w:r>
      <w:r w:rsidRPr="00AC36A5">
        <w:rPr>
          <w:rFonts w:eastAsia="Times New Roman" w:cs="Times New Roman"/>
          <w:lang w:eastAsia="de-DE"/>
        </w:rPr>
        <w:t xml:space="preserve">(ihn) und </w:t>
      </w:r>
      <w:r w:rsidRPr="00AC36A5">
        <w:rPr>
          <w:rFonts w:eastAsia="Times New Roman" w:cs="Times New Roman"/>
          <w:b/>
          <w:bCs/>
          <w:rtl/>
          <w:lang w:eastAsia="de-DE"/>
        </w:rPr>
        <w:t>מִכְסֵה עוֹר תָּחַשׁ</w:t>
      </w:r>
      <w:r w:rsidRPr="00AC36A5">
        <w:rPr>
          <w:rFonts w:eastAsia="Times New Roman" w:cs="Times New Roman"/>
          <w:rtl/>
          <w:lang w:eastAsia="de-DE"/>
        </w:rPr>
        <w:t xml:space="preserve"> </w:t>
      </w:r>
      <w:r w:rsidRPr="00AC36A5">
        <w:rPr>
          <w:rFonts w:eastAsia="Times New Roman" w:cs="Times New Roman"/>
          <w:lang w:eastAsia="de-DE"/>
        </w:rPr>
        <w:t>(Decke aus Tachaschfell) zeigt die äußere Schutzschicht.</w:t>
      </w:r>
    </w:p>
    <w:p w14:paraId="2449CE0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וְשָׂמוּ אֶת־בַּדָּיו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שָׂמוּ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שים</w:t>
      </w:r>
      <w:r w:rsidRPr="00AC36A5">
        <w:rPr>
          <w:rFonts w:eastAsia="Times New Roman" w:cs="Times New Roman"/>
          <w:rtl/>
          <w:lang w:eastAsia="de-DE"/>
        </w:rPr>
        <w:t xml:space="preserve"> </w:t>
      </w:r>
      <w:r w:rsidRPr="00AC36A5">
        <w:rPr>
          <w:rFonts w:eastAsia="Times New Roman" w:cs="Times New Roman"/>
          <w:lang w:eastAsia="de-DE"/>
        </w:rPr>
        <w:t xml:space="preserve">(setzen) im Qal-Perfekt 3. maskulin Plural und </w:t>
      </w:r>
      <w:r w:rsidRPr="00AC36A5">
        <w:rPr>
          <w:rFonts w:eastAsia="Times New Roman" w:cs="Times New Roman"/>
          <w:b/>
          <w:bCs/>
          <w:rtl/>
          <w:lang w:eastAsia="de-DE"/>
        </w:rPr>
        <w:t>בַּדִּים</w:t>
      </w:r>
      <w:r w:rsidRPr="00AC36A5">
        <w:rPr>
          <w:rFonts w:eastAsia="Times New Roman" w:cs="Times New Roman"/>
          <w:rtl/>
          <w:lang w:eastAsia="de-DE"/>
        </w:rPr>
        <w:t xml:space="preserve"> </w:t>
      </w:r>
      <w:r w:rsidRPr="00AC36A5">
        <w:rPr>
          <w:rFonts w:eastAsia="Times New Roman" w:cs="Times New Roman"/>
          <w:lang w:eastAsia="de-DE"/>
        </w:rPr>
        <w:t>(Stangen) mit Possessivsuffix 3. maskulin Singular komplettiert die Transportvorbereitung.</w:t>
      </w:r>
    </w:p>
    <w:p w14:paraId="3E71B7D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ἐπὶ τὸ θυσιαστήριον τὸ χρυσοῦν περιβαλοῦσιν ἱμάτιον ὑακίνθινον καὶ καλύψουσιν αὐτὸ καλύμματι δερματίνῳ ὑακινθίνῳ und betont die goldene Eigenschaft des Altars.</w:t>
      </w:r>
    </w:p>
    <w:p w14:paraId="2BA5752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 Satzstruktur zeigt eine präpositionale Einleitung mit drei koordinierten Verben für die systematische Verpackung des Räucheraltars.</w:t>
      </w:r>
    </w:p>
    <w:p w14:paraId="058C947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behandelt den goldenen Räucheraltar mit dem gleichen zweischichtigen Verpackungssystem (Blau + Tachaschfell) wie den Leuchter, was ihre ähnliche Heiligkeitsstufe unterstreicht.</w:t>
      </w:r>
    </w:p>
    <w:p w14:paraId="7D295D24"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4,12</w:t>
      </w:r>
    </w:p>
    <w:p w14:paraId="36E7373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וְלָקְחוּ֩ אֶת־כָּל־כְּלֵ֨י הַשָּׁרֵ֜ת אֲשֶׁ֧ר יְשָֽׁרְתוּ־בָ֣ם בַּקֹּ֗דֶשׁ וְנָֽתְנוּ֙ אֶל־בֶּ֣גֶד תְּכֵ֔לֶת וְכִסּ֣וּ אוֹתָ֔ם בְּמִכְסֵ֖ה ע֣וֹר תָּ֑חַשׁ וְנָתְנ֖וּ עַל־הַמּֽוֹט׃</w:t>
      </w:r>
    </w:p>
    <w:p w14:paraId="5F3D629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sie sollen alle Dienstgeräte nehmen, womit man den Dienst im Heiligtum verrichtet, und sie in ein Tuch aus blauem Purpur legen und sie mit einer Decke aus Tachaschfell bedecken und auf die Tragstange legen.</w:t>
      </w:r>
    </w:p>
    <w:p w14:paraId="50FC042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0E49103">
          <v:rect id="_x0000_i1175" style="width:0;height:1.5pt" o:hralign="center" o:hrstd="t" o:hr="t" fillcolor="#a0a0a0" stroked="f"/>
        </w:pict>
      </w:r>
    </w:p>
    <w:p w14:paraId="6F377EEA" w14:textId="6482BE8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koordinierte Verb </w:t>
      </w:r>
      <w:r w:rsidRPr="00AC36A5">
        <w:rPr>
          <w:rFonts w:eastAsia="Times New Roman" w:cs="Times New Roman"/>
          <w:b/>
          <w:bCs/>
          <w:rtl/>
          <w:lang w:eastAsia="de-DE"/>
        </w:rPr>
        <w:t>וְלָקְחוּ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לקח</w:t>
      </w:r>
      <w:r w:rsidRPr="00AC36A5">
        <w:rPr>
          <w:rFonts w:eastAsia="Times New Roman" w:cs="Times New Roman"/>
          <w:rtl/>
          <w:lang w:eastAsia="de-DE"/>
        </w:rPr>
        <w:t xml:space="preserve"> </w:t>
      </w:r>
      <w:r w:rsidRPr="00AC36A5">
        <w:rPr>
          <w:rFonts w:eastAsia="Times New Roman" w:cs="Times New Roman"/>
          <w:lang w:eastAsia="de-DE"/>
        </w:rPr>
        <w:t xml:space="preserve">(nehmen) im Qal-Perfekt 3. maskulin Plural mit dem direkten Objekt </w:t>
      </w:r>
      <w:r w:rsidRPr="00AC36A5">
        <w:rPr>
          <w:rFonts w:eastAsia="Times New Roman" w:cs="Times New Roman"/>
          <w:b/>
          <w:bCs/>
          <w:rtl/>
          <w:lang w:eastAsia="de-DE"/>
        </w:rPr>
        <w:t>אֶת־כָּל־כְּלֵי הַשָּׁרֵת</w:t>
      </w:r>
      <w:r w:rsidRPr="00AC36A5">
        <w:rPr>
          <w:rFonts w:eastAsia="Times New Roman" w:cs="Times New Roman"/>
          <w:rtl/>
          <w:lang w:eastAsia="de-DE"/>
        </w:rPr>
        <w:t xml:space="preserve"> </w:t>
      </w:r>
      <w:r w:rsidRPr="00AC36A5">
        <w:rPr>
          <w:rFonts w:eastAsia="Times New Roman" w:cs="Times New Roman"/>
          <w:lang w:eastAsia="de-DE"/>
        </w:rPr>
        <w:t xml:space="preserve">zeigt </w:t>
      </w:r>
      <w:r w:rsidRPr="00AC36A5">
        <w:rPr>
          <w:rFonts w:eastAsia="Times New Roman" w:cs="Times New Roman"/>
          <w:b/>
          <w:bCs/>
          <w:rtl/>
          <w:lang w:eastAsia="de-DE"/>
        </w:rPr>
        <w:t>כְּלֵי הַשָּׁרֵת</w:t>
      </w:r>
      <w:r w:rsidRPr="00AC36A5">
        <w:rPr>
          <w:rFonts w:eastAsia="Times New Roman" w:cs="Times New Roman"/>
          <w:rtl/>
          <w:lang w:eastAsia="de-DE"/>
        </w:rPr>
        <w:t xml:space="preserve"> </w:t>
      </w:r>
      <w:r w:rsidRPr="00AC36A5">
        <w:rPr>
          <w:rFonts w:eastAsia="Times New Roman" w:cs="Times New Roman"/>
          <w:lang w:eastAsia="de-DE"/>
        </w:rPr>
        <w:t xml:space="preserve">(Dienstgeräte) im </w:t>
      </w:r>
      <w:r w:rsidR="00F133EC">
        <w:rPr>
          <w:rFonts w:eastAsia="Times New Roman" w:cs="Times New Roman"/>
          <w:lang w:eastAsia="de-DE"/>
        </w:rPr>
        <w:t>Construct</w:t>
      </w:r>
      <w:r w:rsidRPr="00AC36A5">
        <w:rPr>
          <w:rFonts w:eastAsia="Times New Roman" w:cs="Times New Roman"/>
          <w:lang w:eastAsia="de-DE"/>
        </w:rPr>
        <w:t xml:space="preserve"> als Sammelbezeichnung für alle kleineren Kultgegenstände.</w:t>
      </w:r>
    </w:p>
    <w:p w14:paraId="3F0CCCC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יְשָֽׁרְתוּ־בָם בַּקֹּדֶשׁ</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יְשָׁרְתוּ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שרת</w:t>
      </w:r>
      <w:r w:rsidRPr="00AC36A5">
        <w:rPr>
          <w:rFonts w:eastAsia="Times New Roman" w:cs="Times New Roman"/>
          <w:rtl/>
          <w:lang w:eastAsia="de-DE"/>
        </w:rPr>
        <w:t xml:space="preserve"> </w:t>
      </w:r>
      <w:r w:rsidRPr="00AC36A5">
        <w:rPr>
          <w:rFonts w:eastAsia="Times New Roman" w:cs="Times New Roman"/>
          <w:lang w:eastAsia="de-DE"/>
        </w:rPr>
        <w:t xml:space="preserve">(dienen) im Pi'el-Imperfekt 3. maskulin Plural, </w:t>
      </w:r>
      <w:r w:rsidRPr="00AC36A5">
        <w:rPr>
          <w:rFonts w:eastAsia="Times New Roman" w:cs="Times New Roman"/>
          <w:b/>
          <w:bCs/>
          <w:rtl/>
          <w:lang w:eastAsia="de-DE"/>
        </w:rPr>
        <w:t>בָם</w:t>
      </w:r>
      <w:r w:rsidRPr="00AC36A5">
        <w:rPr>
          <w:rFonts w:eastAsia="Times New Roman" w:cs="Times New Roman"/>
          <w:rtl/>
          <w:lang w:eastAsia="de-DE"/>
        </w:rPr>
        <w:t xml:space="preserve"> </w:t>
      </w:r>
      <w:r w:rsidRPr="00AC36A5">
        <w:rPr>
          <w:rFonts w:eastAsia="Times New Roman" w:cs="Times New Roman"/>
          <w:lang w:eastAsia="de-DE"/>
        </w:rPr>
        <w:t xml:space="preserve">(mit ihnen) und </w:t>
      </w:r>
      <w:r w:rsidRPr="00AC36A5">
        <w:rPr>
          <w:rFonts w:eastAsia="Times New Roman" w:cs="Times New Roman"/>
          <w:b/>
          <w:bCs/>
          <w:rtl/>
          <w:lang w:eastAsia="de-DE"/>
        </w:rPr>
        <w:t>בַּקֹּדֶשׁ</w:t>
      </w:r>
      <w:r w:rsidRPr="00AC36A5">
        <w:rPr>
          <w:rFonts w:eastAsia="Times New Roman" w:cs="Times New Roman"/>
          <w:rtl/>
          <w:lang w:eastAsia="de-DE"/>
        </w:rPr>
        <w:t xml:space="preserve"> </w:t>
      </w:r>
      <w:r w:rsidRPr="00AC36A5">
        <w:rPr>
          <w:rFonts w:eastAsia="Times New Roman" w:cs="Times New Roman"/>
          <w:lang w:eastAsia="de-DE"/>
        </w:rPr>
        <w:t>(im Heiligtum) spezifiziert die liturgische Funktion dieser Geräte.</w:t>
      </w:r>
    </w:p>
    <w:p w14:paraId="6919764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וְנָתְנוּ אֶל־בֶּגֶד תְּכֵלֶת</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נָתְנוּ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(geben/legen) und </w:t>
      </w:r>
      <w:r w:rsidRPr="00AC36A5">
        <w:rPr>
          <w:rFonts w:eastAsia="Times New Roman" w:cs="Times New Roman"/>
          <w:b/>
          <w:bCs/>
          <w:rtl/>
          <w:lang w:eastAsia="de-DE"/>
        </w:rPr>
        <w:t>אֶל־בֶּגֶד תְּכֵלֶת</w:t>
      </w:r>
      <w:r w:rsidRPr="00AC36A5">
        <w:rPr>
          <w:rFonts w:eastAsia="Times New Roman" w:cs="Times New Roman"/>
          <w:rtl/>
          <w:lang w:eastAsia="de-DE"/>
        </w:rPr>
        <w:t xml:space="preserve"> </w:t>
      </w:r>
      <w:r w:rsidRPr="00AC36A5">
        <w:rPr>
          <w:rFonts w:eastAsia="Times New Roman" w:cs="Times New Roman"/>
          <w:lang w:eastAsia="de-DE"/>
        </w:rPr>
        <w:t xml:space="preserve">(in ein Tuch aus blauem Purpur) mit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(in/hinein) zeigt die erste Verpackungsschicht.</w:t>
      </w:r>
    </w:p>
    <w:p w14:paraId="10DAE57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weitere koordinierte Verb </w:t>
      </w:r>
      <w:r w:rsidRPr="00AC36A5">
        <w:rPr>
          <w:rFonts w:eastAsia="Times New Roman" w:cs="Times New Roman"/>
          <w:b/>
          <w:bCs/>
          <w:rtl/>
          <w:lang w:eastAsia="de-DE"/>
        </w:rPr>
        <w:t>וְכִסּוּ אוֹתָם בְּמִכְסֵה עוֹר תָּחַשׁ</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כִסּוּ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כסה</w:t>
      </w:r>
      <w:r w:rsidRPr="00AC36A5">
        <w:rPr>
          <w:rFonts w:eastAsia="Times New Roman" w:cs="Times New Roman"/>
          <w:rtl/>
          <w:lang w:eastAsia="de-DE"/>
        </w:rPr>
        <w:t xml:space="preserve"> </w:t>
      </w:r>
      <w:r w:rsidRPr="00AC36A5">
        <w:rPr>
          <w:rFonts w:eastAsia="Times New Roman" w:cs="Times New Roman"/>
          <w:lang w:eastAsia="de-DE"/>
        </w:rPr>
        <w:t xml:space="preserve">(bedecken), </w:t>
      </w:r>
      <w:r w:rsidRPr="00AC36A5">
        <w:rPr>
          <w:rFonts w:eastAsia="Times New Roman" w:cs="Times New Roman"/>
          <w:b/>
          <w:bCs/>
          <w:rtl/>
          <w:lang w:eastAsia="de-DE"/>
        </w:rPr>
        <w:t>אוֹתָם</w:t>
      </w:r>
      <w:r w:rsidRPr="00AC36A5">
        <w:rPr>
          <w:rFonts w:eastAsia="Times New Roman" w:cs="Times New Roman"/>
          <w:rtl/>
          <w:lang w:eastAsia="de-DE"/>
        </w:rPr>
        <w:t xml:space="preserve"> </w:t>
      </w:r>
      <w:r w:rsidRPr="00AC36A5">
        <w:rPr>
          <w:rFonts w:eastAsia="Times New Roman" w:cs="Times New Roman"/>
          <w:lang w:eastAsia="de-DE"/>
        </w:rPr>
        <w:t xml:space="preserve">(sie) und </w:t>
      </w:r>
      <w:r w:rsidRPr="00AC36A5">
        <w:rPr>
          <w:rFonts w:eastAsia="Times New Roman" w:cs="Times New Roman"/>
          <w:b/>
          <w:bCs/>
          <w:rtl/>
          <w:lang w:eastAsia="de-DE"/>
        </w:rPr>
        <w:t>מִכְסֵה עוֹר תָּחַשׁ</w:t>
      </w:r>
      <w:r w:rsidRPr="00AC36A5">
        <w:rPr>
          <w:rFonts w:eastAsia="Times New Roman" w:cs="Times New Roman"/>
          <w:rtl/>
          <w:lang w:eastAsia="de-DE"/>
        </w:rPr>
        <w:t xml:space="preserve"> </w:t>
      </w:r>
      <w:r w:rsidRPr="00AC36A5">
        <w:rPr>
          <w:rFonts w:eastAsia="Times New Roman" w:cs="Times New Roman"/>
          <w:lang w:eastAsia="de-DE"/>
        </w:rPr>
        <w:t>(Decke aus Tachaschfell) zeigt die äußere Schutzschicht.</w:t>
      </w:r>
    </w:p>
    <w:p w14:paraId="38A2137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וְנָתְנוּ עַל־הַמּוֹט</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עַל־הַמּוֹט</w:t>
      </w:r>
      <w:r w:rsidRPr="00AC36A5">
        <w:rPr>
          <w:rFonts w:eastAsia="Times New Roman" w:cs="Times New Roman"/>
          <w:rtl/>
          <w:lang w:eastAsia="de-DE"/>
        </w:rPr>
        <w:t xml:space="preserve"> </w:t>
      </w:r>
      <w:r w:rsidRPr="00AC36A5">
        <w:rPr>
          <w:rFonts w:eastAsia="Times New Roman" w:cs="Times New Roman"/>
          <w:lang w:eastAsia="de-DE"/>
        </w:rPr>
        <w:t>(auf die Tragstange) entspricht der Behandlung des Leuchters in Vers 10 und zeigt eine andere Transportmethode als die Stangen der Altäre.</w:t>
      </w:r>
    </w:p>
    <w:p w14:paraId="3CD1CB7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λήμψονται πάντα τὰ σκεύη τὰ λειτουργικὰ ὅσα λειτουργοῦσιν ἐν αὐτοῖς ἐν τοῖς ἁγίοις und betont den liturgischen Charakter der Geräte.</w:t>
      </w:r>
    </w:p>
    <w:p w14:paraId="5778860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Sequenz von vier koordinierten Verben mit relativischer Spezifikation der Gerätschaften und systematischer Verpackungs- und Transportvorbereitung.</w:t>
      </w:r>
    </w:p>
    <w:p w14:paraId="45B9970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behandelt alle kleineren heiligen Kultgegenstände als Gruppe und zeigt das gleiche Verpackungssystem wie bei den großen Kultgegenständen, was die Einheitlichkeit des Schutzsystems unterstreicht.</w:t>
      </w:r>
    </w:p>
    <w:p w14:paraId="7BE49A85"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4,13</w:t>
      </w:r>
    </w:p>
    <w:p w14:paraId="0C08E77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וְדִשְּׁנ֖וּ אֶת־הַמִּזְבֵּ֑חַ וּפָרְשׂ֣וּ עָלָ֔יו בֶּ֖גֶד אַרְגָּמָֽן׃</w:t>
      </w:r>
    </w:p>
    <w:p w14:paraId="4CA573F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Deutsch:</w:t>
      </w:r>
      <w:r w:rsidRPr="00AC36A5">
        <w:rPr>
          <w:rFonts w:eastAsia="Times New Roman" w:cs="Times New Roman"/>
          <w:lang w:eastAsia="de-DE"/>
        </w:rPr>
        <w:t xml:space="preserve"> Und sie sollen die Asche vom Altar entfernen und ein Tuch aus rotem Purpur über ihn breiten,</w:t>
      </w:r>
    </w:p>
    <w:p w14:paraId="025E7E23"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B9BCF12">
          <v:rect id="_x0000_i1176" style="width:0;height:1.5pt" o:hralign="center" o:hrstd="t" o:hr="t" fillcolor="#a0a0a0" stroked="f"/>
        </w:pict>
      </w:r>
    </w:p>
    <w:p w14:paraId="7E19A90D" w14:textId="6D351396"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koordinierte Verb </w:t>
      </w:r>
      <w:r w:rsidRPr="00AC36A5">
        <w:rPr>
          <w:rFonts w:eastAsia="Times New Roman" w:cs="Times New Roman"/>
          <w:b/>
          <w:bCs/>
          <w:rtl/>
          <w:lang w:eastAsia="de-DE"/>
        </w:rPr>
        <w:t>וְדִשְּׁנוּ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דשן</w:t>
      </w:r>
      <w:r w:rsidRPr="00AC36A5">
        <w:rPr>
          <w:rFonts w:eastAsia="Times New Roman" w:cs="Times New Roman"/>
          <w:rtl/>
          <w:lang w:eastAsia="de-DE"/>
        </w:rPr>
        <w:t xml:space="preserve"> </w:t>
      </w:r>
      <w:r w:rsidRPr="00AC36A5">
        <w:rPr>
          <w:rFonts w:eastAsia="Times New Roman" w:cs="Times New Roman"/>
          <w:lang w:eastAsia="de-DE"/>
        </w:rPr>
        <w:t xml:space="preserve">(fett machen/entaschen) im Pi'el-Perfekt 3. maskulin Plural mit dem direkten Objekt </w:t>
      </w:r>
      <w:r w:rsidRPr="00AC36A5">
        <w:rPr>
          <w:rFonts w:eastAsia="Times New Roman" w:cs="Times New Roman"/>
          <w:b/>
          <w:bCs/>
          <w:rtl/>
          <w:lang w:eastAsia="de-DE"/>
        </w:rPr>
        <w:t>אֶת־הַמִּזְבֵּחַ</w:t>
      </w:r>
      <w:r w:rsidRPr="00AC36A5">
        <w:rPr>
          <w:rFonts w:eastAsia="Times New Roman" w:cs="Times New Roman"/>
          <w:rtl/>
          <w:lang w:eastAsia="de-DE"/>
        </w:rPr>
        <w:t xml:space="preserve"> </w:t>
      </w:r>
      <w:r w:rsidRPr="00AC36A5">
        <w:rPr>
          <w:rFonts w:eastAsia="Times New Roman" w:cs="Times New Roman"/>
          <w:lang w:eastAsia="de-DE"/>
        </w:rPr>
        <w:t xml:space="preserve">(den Altar) zeigt eine besondere Vorbereitung. </w:t>
      </w:r>
      <w:r w:rsidRPr="00AC36A5">
        <w:rPr>
          <w:rFonts w:eastAsia="Times New Roman" w:cs="Times New Roman"/>
          <w:b/>
          <w:bCs/>
          <w:rtl/>
          <w:lang w:eastAsia="de-DE"/>
        </w:rPr>
        <w:t>דשן</w:t>
      </w:r>
      <w:r w:rsidRPr="00AC36A5">
        <w:rPr>
          <w:rFonts w:eastAsia="Times New Roman" w:cs="Times New Roman"/>
          <w:rtl/>
          <w:lang w:eastAsia="de-DE"/>
        </w:rPr>
        <w:t xml:space="preserve"> </w:t>
      </w:r>
      <w:r w:rsidRPr="00AC36A5">
        <w:rPr>
          <w:rFonts w:eastAsia="Times New Roman" w:cs="Times New Roman"/>
          <w:lang w:eastAsia="de-DE"/>
        </w:rPr>
        <w:t xml:space="preserve">in der Pi'el-Form bedeutet hier "von der Asche reinigen/entaschen", was für den großen </w:t>
      </w:r>
      <w:r w:rsidR="00DD7028">
        <w:rPr>
          <w:rFonts w:eastAsia="Times New Roman" w:cs="Times New Roman"/>
          <w:lang w:eastAsia="de-DE"/>
        </w:rPr>
        <w:t>Aufsteige</w:t>
      </w:r>
      <w:r w:rsidRPr="00AC36A5">
        <w:rPr>
          <w:rFonts w:eastAsia="Times New Roman" w:cs="Times New Roman"/>
          <w:lang w:eastAsia="de-DE"/>
        </w:rPr>
        <w:t>altar notwendig ist.</w:t>
      </w:r>
    </w:p>
    <w:p w14:paraId="39775B99" w14:textId="53EB51A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הַמִּזְבֵּחַ</w:t>
      </w:r>
      <w:r w:rsidRPr="00AC36A5">
        <w:rPr>
          <w:rFonts w:eastAsia="Times New Roman" w:cs="Times New Roman"/>
          <w:rtl/>
          <w:lang w:eastAsia="de-DE"/>
        </w:rPr>
        <w:t xml:space="preserve"> </w:t>
      </w:r>
      <w:r w:rsidRPr="00AC36A5">
        <w:rPr>
          <w:rFonts w:eastAsia="Times New Roman" w:cs="Times New Roman"/>
          <w:lang w:eastAsia="de-DE"/>
        </w:rPr>
        <w:t xml:space="preserve">(der Altar) mit bestimmtem Artikel bezeichnet hier ohne weitere Spezifikation den großen </w:t>
      </w:r>
      <w:r w:rsidR="00DD7028">
        <w:rPr>
          <w:rFonts w:eastAsia="Times New Roman" w:cs="Times New Roman"/>
          <w:lang w:eastAsia="de-DE"/>
        </w:rPr>
        <w:t>Aufsteige</w:t>
      </w:r>
      <w:r w:rsidRPr="00AC36A5">
        <w:rPr>
          <w:rFonts w:eastAsia="Times New Roman" w:cs="Times New Roman"/>
          <w:lang w:eastAsia="de-DE"/>
        </w:rPr>
        <w:t>altar im Vorhof, im Gegensatz zum "goldenen Altar" in Vers 11.</w:t>
      </w:r>
    </w:p>
    <w:p w14:paraId="3301E18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וּפָרְשׂוּ עָלָיו בֶּגֶד אַרְגָּמָן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פָרְשׂוּ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פרש</w:t>
      </w:r>
      <w:r w:rsidRPr="00AC36A5">
        <w:rPr>
          <w:rFonts w:eastAsia="Times New Roman" w:cs="Times New Roman"/>
          <w:rtl/>
          <w:lang w:eastAsia="de-DE"/>
        </w:rPr>
        <w:t xml:space="preserve"> </w:t>
      </w:r>
      <w:r w:rsidRPr="00AC36A5">
        <w:rPr>
          <w:rFonts w:eastAsia="Times New Roman" w:cs="Times New Roman"/>
          <w:lang w:eastAsia="de-DE"/>
        </w:rPr>
        <w:t xml:space="preserve">(ausbreiten), </w:t>
      </w:r>
      <w:r w:rsidRPr="00AC36A5">
        <w:rPr>
          <w:rFonts w:eastAsia="Times New Roman" w:cs="Times New Roman"/>
          <w:b/>
          <w:bCs/>
          <w:rtl/>
          <w:lang w:eastAsia="de-DE"/>
        </w:rPr>
        <w:t>עָלָיו</w:t>
      </w:r>
      <w:r w:rsidRPr="00AC36A5">
        <w:rPr>
          <w:rFonts w:eastAsia="Times New Roman" w:cs="Times New Roman"/>
          <w:rtl/>
          <w:lang w:eastAsia="de-DE"/>
        </w:rPr>
        <w:t xml:space="preserve"> </w:t>
      </w:r>
      <w:r w:rsidRPr="00AC36A5">
        <w:rPr>
          <w:rFonts w:eastAsia="Times New Roman" w:cs="Times New Roman"/>
          <w:lang w:eastAsia="de-DE"/>
        </w:rPr>
        <w:t xml:space="preserve">(über ihn) und </w:t>
      </w:r>
      <w:r w:rsidRPr="00AC36A5">
        <w:rPr>
          <w:rFonts w:eastAsia="Times New Roman" w:cs="Times New Roman"/>
          <w:b/>
          <w:bCs/>
          <w:rtl/>
          <w:lang w:eastAsia="de-DE"/>
        </w:rPr>
        <w:t>בֶּגֶד אַרְגָּמָן</w:t>
      </w:r>
      <w:r w:rsidRPr="00AC36A5">
        <w:rPr>
          <w:rFonts w:eastAsia="Times New Roman" w:cs="Times New Roman"/>
          <w:rtl/>
          <w:lang w:eastAsia="de-DE"/>
        </w:rPr>
        <w:t xml:space="preserve"> </w:t>
      </w:r>
      <w:r w:rsidRPr="00AC36A5">
        <w:rPr>
          <w:rFonts w:eastAsia="Times New Roman" w:cs="Times New Roman"/>
          <w:lang w:eastAsia="de-DE"/>
        </w:rPr>
        <w:t xml:space="preserve">(Tuch aus rotem Purpur) zeigt eine andere Farbwahl. </w:t>
      </w:r>
      <w:r w:rsidRPr="00AC36A5">
        <w:rPr>
          <w:rFonts w:eastAsia="Times New Roman" w:cs="Times New Roman"/>
          <w:b/>
          <w:bCs/>
          <w:rtl/>
          <w:lang w:eastAsia="de-DE"/>
        </w:rPr>
        <w:t>אַרְגָּמָן</w:t>
      </w:r>
      <w:r w:rsidRPr="00AC36A5">
        <w:rPr>
          <w:rFonts w:eastAsia="Times New Roman" w:cs="Times New Roman"/>
          <w:rtl/>
          <w:lang w:eastAsia="de-DE"/>
        </w:rPr>
        <w:t xml:space="preserve"> </w:t>
      </w:r>
      <w:r w:rsidRPr="00AC36A5">
        <w:rPr>
          <w:rFonts w:eastAsia="Times New Roman" w:cs="Times New Roman"/>
          <w:lang w:eastAsia="de-DE"/>
        </w:rPr>
        <w:t>(roter Purpur) unterscheidet sich vom blauen Purpur (</w:t>
      </w:r>
      <w:r w:rsidRPr="00AC36A5">
        <w:rPr>
          <w:rFonts w:eastAsia="Times New Roman" w:cs="Times New Roman"/>
          <w:b/>
          <w:bCs/>
          <w:rtl/>
          <w:lang w:eastAsia="de-DE"/>
        </w:rPr>
        <w:t>תְּכֵלֶת</w:t>
      </w:r>
      <w:r w:rsidRPr="00AC36A5">
        <w:rPr>
          <w:rFonts w:eastAsia="Times New Roman" w:cs="Times New Roman"/>
          <w:lang w:eastAsia="de-DE"/>
        </w:rPr>
        <w:t>) der inneren Heiligtumsgegenstände.</w:t>
      </w:r>
    </w:p>
    <w:p w14:paraId="6A352BC4" w14:textId="2869BB1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Farbwahl Rot/Purpur für den </w:t>
      </w:r>
      <w:r w:rsidR="00DD7028">
        <w:rPr>
          <w:rFonts w:eastAsia="Times New Roman" w:cs="Times New Roman"/>
          <w:lang w:eastAsia="de-DE"/>
        </w:rPr>
        <w:t>Aufsteige</w:t>
      </w:r>
      <w:r w:rsidRPr="00AC36A5">
        <w:rPr>
          <w:rFonts w:eastAsia="Times New Roman" w:cs="Times New Roman"/>
          <w:lang w:eastAsia="de-DE"/>
        </w:rPr>
        <w:t>altar könnte das Blut der Opfer und die Verbindung zu Sühne und Vergebung symbolisieren.</w:t>
      </w:r>
    </w:p>
    <w:p w14:paraId="14DCDB7E" w14:textId="4789C8B5" w:rsidR="00AC36A5" w:rsidRPr="00AC36A5" w:rsidRDefault="008D0C5E"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ודשנו</w:t>
      </w:r>
      <w:r>
        <w:t xml:space="preserve"> (vedishnu - "und sie sollen entaschen") als καὶ τὸν καλυπτῆρα ἐπιθήσει (und den Aschendeckel wird er auflegen).</w:t>
      </w:r>
    </w:p>
    <w:p w14:paraId="77DD29B7" w14:textId="2CD60242"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zwei koordinierte Verben mit spezifischer Vorbereitung (Entaschung) und charakteristischer Farbgebung für den </w:t>
      </w:r>
      <w:r w:rsidR="00DD7028">
        <w:rPr>
          <w:rFonts w:eastAsia="Times New Roman" w:cs="Times New Roman"/>
          <w:lang w:eastAsia="de-DE"/>
        </w:rPr>
        <w:t>Aufsteige</w:t>
      </w:r>
      <w:r w:rsidRPr="00AC36A5">
        <w:rPr>
          <w:rFonts w:eastAsia="Times New Roman" w:cs="Times New Roman"/>
          <w:lang w:eastAsia="de-DE"/>
        </w:rPr>
        <w:t>altar.</w:t>
      </w:r>
    </w:p>
    <w:p w14:paraId="7A96537A" w14:textId="7FAE9041"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Dieser Vers leitet die Behandlung des großen </w:t>
      </w:r>
      <w:r w:rsidR="00DD7028">
        <w:rPr>
          <w:rFonts w:eastAsia="Times New Roman" w:cs="Times New Roman"/>
          <w:lang w:eastAsia="de-DE"/>
        </w:rPr>
        <w:t>Aufsteige</w:t>
      </w:r>
      <w:r w:rsidRPr="00AC36A5">
        <w:rPr>
          <w:rFonts w:eastAsia="Times New Roman" w:cs="Times New Roman"/>
          <w:lang w:eastAsia="de-DE"/>
        </w:rPr>
        <w:t>altars ein und zeigt durch die Entaschung und die rote Farbe die besonderen Eigenschaften dieses Altars als Opferstätte.</w:t>
      </w:r>
    </w:p>
    <w:p w14:paraId="740D753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4,14</w:t>
      </w:r>
    </w:p>
    <w:p w14:paraId="4356AF9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וְנָתְנ֣וּ עָ֠לָיו אֶֽת־כָּל־כֵּלָ֞יו אֲשֶׁ֣ר יְֽשָׁרְת֧וּ עָלָ֣יו בָּהֶ֗ם אֶת־הַמַּחְתֹּ֤ת אֶת־הַמִּזְלָגֹת֙ וְאֶת־הַיָּעִ֣ים וְאֶת־הַמִּזְרָקֹ֔ת כֹּ֖ל כְּלֵ֣י הַמִּזְבֵּ֑חַ וּפָרְשׂ֣וּ עָלָ֗יו כְּס֛וּי ע֥וֹר תַּ֖חַשׁ וְשָׂמ֥וּ בַדָּֽיו׃</w:t>
      </w:r>
    </w:p>
    <w:p w14:paraId="6F9B5AB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darauf alle seine Geräte legen, womit man auf ihm den Dienst verrichtet: die Kohlenpfannen und die Gabeln und die Schaufeln und die Sprengschalen, alle Geräte des Altars; und sie sollen eine Decke aus Tachaschfell darüber breiten und seine Stangen einsetzen.</w:t>
      </w:r>
    </w:p>
    <w:p w14:paraId="35F43264"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363BB1C">
          <v:rect id="_x0000_i1177" style="width:0;height:1.5pt" o:hralign="center" o:hrstd="t" o:hr="t" fillcolor="#a0a0a0" stroked="f"/>
        </w:pict>
      </w:r>
    </w:p>
    <w:p w14:paraId="743DEF6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koordinierte Verb </w:t>
      </w:r>
      <w:r w:rsidRPr="00AC36A5">
        <w:rPr>
          <w:rFonts w:eastAsia="Times New Roman" w:cs="Times New Roman"/>
          <w:b/>
          <w:bCs/>
          <w:rtl/>
          <w:lang w:eastAsia="de-DE"/>
        </w:rPr>
        <w:t>וְנָתְנוּ עָלָיו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(geben/legen) mit </w:t>
      </w:r>
      <w:r w:rsidRPr="00AC36A5">
        <w:rPr>
          <w:rFonts w:eastAsia="Times New Roman" w:cs="Times New Roman"/>
          <w:b/>
          <w:bCs/>
          <w:rtl/>
          <w:lang w:eastAsia="de-DE"/>
        </w:rPr>
        <w:t>עָלָיו</w:t>
      </w:r>
      <w:r w:rsidRPr="00AC36A5">
        <w:rPr>
          <w:rFonts w:eastAsia="Times New Roman" w:cs="Times New Roman"/>
          <w:rtl/>
          <w:lang w:eastAsia="de-DE"/>
        </w:rPr>
        <w:t xml:space="preserve"> </w:t>
      </w:r>
      <w:r w:rsidRPr="00AC36A5">
        <w:rPr>
          <w:rFonts w:eastAsia="Times New Roman" w:cs="Times New Roman"/>
          <w:lang w:eastAsia="de-DE"/>
        </w:rPr>
        <w:t xml:space="preserve">(auf ihn) setzt die Altarvorbereitung fort. Das direkte Objekt </w:t>
      </w:r>
      <w:r w:rsidRPr="00AC36A5">
        <w:rPr>
          <w:rFonts w:eastAsia="Times New Roman" w:cs="Times New Roman"/>
          <w:b/>
          <w:bCs/>
          <w:rtl/>
          <w:lang w:eastAsia="de-DE"/>
        </w:rPr>
        <w:t>אֶת־כָּל־כֵּלָיו</w:t>
      </w:r>
      <w:r w:rsidRPr="00AC36A5">
        <w:rPr>
          <w:rFonts w:eastAsia="Times New Roman" w:cs="Times New Roman"/>
          <w:rtl/>
          <w:lang w:eastAsia="de-DE"/>
        </w:rPr>
        <w:t xml:space="preserve"> </w:t>
      </w:r>
      <w:r w:rsidRPr="00AC36A5">
        <w:rPr>
          <w:rFonts w:eastAsia="Times New Roman" w:cs="Times New Roman"/>
          <w:lang w:eastAsia="de-DE"/>
        </w:rPr>
        <w:t xml:space="preserve">(alle seine Geräte) 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(alle) betont die Vollständigkeit.</w:t>
      </w:r>
    </w:p>
    <w:p w14:paraId="0715604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יְֽשָׁרְתוּ עָלָיו בָּהֶם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יְשָׁרְתוּ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שרת</w:t>
      </w:r>
      <w:r w:rsidRPr="00AC36A5">
        <w:rPr>
          <w:rFonts w:eastAsia="Times New Roman" w:cs="Times New Roman"/>
          <w:rtl/>
          <w:lang w:eastAsia="de-DE"/>
        </w:rPr>
        <w:t xml:space="preserve"> </w:t>
      </w:r>
      <w:r w:rsidRPr="00AC36A5">
        <w:rPr>
          <w:rFonts w:eastAsia="Times New Roman" w:cs="Times New Roman"/>
          <w:lang w:eastAsia="de-DE"/>
        </w:rPr>
        <w:t xml:space="preserve">(dienen) im Pi'el-Imperfekt 3. maskulin Plural, </w:t>
      </w:r>
      <w:r w:rsidRPr="00AC36A5">
        <w:rPr>
          <w:rFonts w:eastAsia="Times New Roman" w:cs="Times New Roman"/>
          <w:b/>
          <w:bCs/>
          <w:rtl/>
          <w:lang w:eastAsia="de-DE"/>
        </w:rPr>
        <w:t>עָלָיו</w:t>
      </w:r>
      <w:r w:rsidRPr="00AC36A5">
        <w:rPr>
          <w:rFonts w:eastAsia="Times New Roman" w:cs="Times New Roman"/>
          <w:rtl/>
          <w:lang w:eastAsia="de-DE"/>
        </w:rPr>
        <w:t xml:space="preserve"> </w:t>
      </w:r>
      <w:r w:rsidRPr="00AC36A5">
        <w:rPr>
          <w:rFonts w:eastAsia="Times New Roman" w:cs="Times New Roman"/>
          <w:lang w:eastAsia="de-DE"/>
        </w:rPr>
        <w:t xml:space="preserve">(auf ihm) und </w:t>
      </w:r>
      <w:r w:rsidRPr="00AC36A5">
        <w:rPr>
          <w:rFonts w:eastAsia="Times New Roman" w:cs="Times New Roman"/>
          <w:b/>
          <w:bCs/>
          <w:rtl/>
          <w:lang w:eastAsia="de-DE"/>
        </w:rPr>
        <w:t>בָּהֶם</w:t>
      </w:r>
      <w:r w:rsidRPr="00AC36A5">
        <w:rPr>
          <w:rFonts w:eastAsia="Times New Roman" w:cs="Times New Roman"/>
          <w:rtl/>
          <w:lang w:eastAsia="de-DE"/>
        </w:rPr>
        <w:t xml:space="preserve"> </w:t>
      </w:r>
      <w:r w:rsidRPr="00AC36A5">
        <w:rPr>
          <w:rFonts w:eastAsia="Times New Roman" w:cs="Times New Roman"/>
          <w:lang w:eastAsia="de-DE"/>
        </w:rPr>
        <w:t>(mit ihnen) spezifiziert die liturgische Funktion am Altar.</w:t>
      </w:r>
    </w:p>
    <w:p w14:paraId="5A1AC64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detaillierte Aufzählung </w:t>
      </w:r>
      <w:r w:rsidRPr="00AC36A5">
        <w:rPr>
          <w:rFonts w:eastAsia="Times New Roman" w:cs="Times New Roman"/>
          <w:b/>
          <w:bCs/>
          <w:rtl/>
          <w:lang w:eastAsia="de-DE"/>
        </w:rPr>
        <w:t>אֶת־הַמַּחְתֹּת אֶת־הַמִּזְלָגֹת וְאֶת־הַיָּעִ֣ים וְאֶת־הַמִּזְרָקֹת</w:t>
      </w:r>
      <w:r w:rsidRPr="00AC36A5">
        <w:rPr>
          <w:rFonts w:eastAsia="Times New Roman" w:cs="Times New Roman"/>
          <w:rtl/>
          <w:lang w:eastAsia="de-DE"/>
        </w:rPr>
        <w:t xml:space="preserve"> </w:t>
      </w:r>
      <w:r w:rsidRPr="00AC36A5">
        <w:rPr>
          <w:rFonts w:eastAsia="Times New Roman" w:cs="Times New Roman"/>
          <w:lang w:eastAsia="de-DE"/>
        </w:rPr>
        <w:t xml:space="preserve">mit jeweils nota accusativi zeigt: </w:t>
      </w:r>
      <w:r w:rsidRPr="00AC36A5">
        <w:rPr>
          <w:rFonts w:eastAsia="Times New Roman" w:cs="Times New Roman"/>
          <w:b/>
          <w:bCs/>
          <w:rtl/>
          <w:lang w:eastAsia="de-DE"/>
        </w:rPr>
        <w:t>מַחְתֹּת</w:t>
      </w:r>
      <w:r w:rsidRPr="00AC36A5">
        <w:rPr>
          <w:rFonts w:eastAsia="Times New Roman" w:cs="Times New Roman"/>
          <w:rtl/>
          <w:lang w:eastAsia="de-DE"/>
        </w:rPr>
        <w:t xml:space="preserve"> </w:t>
      </w:r>
      <w:r w:rsidRPr="00AC36A5">
        <w:rPr>
          <w:rFonts w:eastAsia="Times New Roman" w:cs="Times New Roman"/>
          <w:lang w:eastAsia="de-DE"/>
        </w:rPr>
        <w:t xml:space="preserve">(Kohlenpfannen), </w:t>
      </w:r>
      <w:r w:rsidRPr="00AC36A5">
        <w:rPr>
          <w:rFonts w:eastAsia="Times New Roman" w:cs="Times New Roman"/>
          <w:b/>
          <w:bCs/>
          <w:rtl/>
          <w:lang w:eastAsia="de-DE"/>
        </w:rPr>
        <w:t>מִזְלָגוֹת</w:t>
      </w:r>
      <w:r w:rsidRPr="00AC36A5">
        <w:rPr>
          <w:rFonts w:eastAsia="Times New Roman" w:cs="Times New Roman"/>
          <w:rtl/>
          <w:lang w:eastAsia="de-DE"/>
        </w:rPr>
        <w:t xml:space="preserve"> </w:t>
      </w:r>
      <w:r w:rsidRPr="00AC36A5">
        <w:rPr>
          <w:rFonts w:eastAsia="Times New Roman" w:cs="Times New Roman"/>
          <w:lang w:eastAsia="de-DE"/>
        </w:rPr>
        <w:t xml:space="preserve">(Gabeln), </w:t>
      </w:r>
      <w:r w:rsidRPr="00AC36A5">
        <w:rPr>
          <w:rFonts w:eastAsia="Times New Roman" w:cs="Times New Roman"/>
          <w:b/>
          <w:bCs/>
          <w:rtl/>
          <w:lang w:eastAsia="de-DE"/>
        </w:rPr>
        <w:t>יָעִים</w:t>
      </w:r>
      <w:r w:rsidRPr="00AC36A5">
        <w:rPr>
          <w:rFonts w:eastAsia="Times New Roman" w:cs="Times New Roman"/>
          <w:rtl/>
          <w:lang w:eastAsia="de-DE"/>
        </w:rPr>
        <w:t xml:space="preserve"> </w:t>
      </w:r>
      <w:r w:rsidRPr="00AC36A5">
        <w:rPr>
          <w:rFonts w:eastAsia="Times New Roman" w:cs="Times New Roman"/>
          <w:lang w:eastAsia="de-DE"/>
        </w:rPr>
        <w:t xml:space="preserve">(Schaufeln) und </w:t>
      </w:r>
      <w:r w:rsidRPr="00AC36A5">
        <w:rPr>
          <w:rFonts w:eastAsia="Times New Roman" w:cs="Times New Roman"/>
          <w:b/>
          <w:bCs/>
          <w:rtl/>
          <w:lang w:eastAsia="de-DE"/>
        </w:rPr>
        <w:t>מִזְרָקוֹת</w:t>
      </w:r>
      <w:r w:rsidRPr="00AC36A5">
        <w:rPr>
          <w:rFonts w:eastAsia="Times New Roman" w:cs="Times New Roman"/>
          <w:rtl/>
          <w:lang w:eastAsia="de-DE"/>
        </w:rPr>
        <w:t xml:space="preserve"> </w:t>
      </w:r>
      <w:r w:rsidRPr="00AC36A5">
        <w:rPr>
          <w:rFonts w:eastAsia="Times New Roman" w:cs="Times New Roman"/>
          <w:lang w:eastAsia="de-DE"/>
        </w:rPr>
        <w:t>(Sprengschalen) als die vier Hauptkategorien der Altargeräte.</w:t>
      </w:r>
    </w:p>
    <w:p w14:paraId="503566C3" w14:textId="271A4FC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zusammenfassende Phrase </w:t>
      </w:r>
      <w:r w:rsidRPr="00AC36A5">
        <w:rPr>
          <w:rFonts w:eastAsia="Times New Roman" w:cs="Times New Roman"/>
          <w:b/>
          <w:bCs/>
          <w:rtl/>
          <w:lang w:eastAsia="de-DE"/>
        </w:rPr>
        <w:t>כֹּל כְּלֵי הַמִּזְבֵּחַ</w:t>
      </w:r>
      <w:r w:rsidRPr="00AC36A5">
        <w:rPr>
          <w:rFonts w:eastAsia="Times New Roman" w:cs="Times New Roman"/>
          <w:rtl/>
          <w:lang w:eastAsia="de-DE"/>
        </w:rPr>
        <w:t xml:space="preserve"> </w:t>
      </w:r>
      <w:r w:rsidRPr="00AC36A5">
        <w:rPr>
          <w:rFonts w:eastAsia="Times New Roman" w:cs="Times New Roman"/>
          <w:lang w:eastAsia="de-DE"/>
        </w:rPr>
        <w:t xml:space="preserve">(alle Geräte des Altars) im </w:t>
      </w:r>
      <w:r w:rsidR="00F133EC">
        <w:rPr>
          <w:rFonts w:eastAsia="Times New Roman" w:cs="Times New Roman"/>
          <w:lang w:eastAsia="de-DE"/>
        </w:rPr>
        <w:t>Construct</w:t>
      </w:r>
      <w:r w:rsidRPr="00AC36A5">
        <w:rPr>
          <w:rFonts w:eastAsia="Times New Roman" w:cs="Times New Roman"/>
          <w:lang w:eastAsia="de-DE"/>
        </w:rPr>
        <w:t xml:space="preserve"> betont nochmals die Vollständigkeit.</w:t>
      </w:r>
    </w:p>
    <w:p w14:paraId="2BB41FE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וּפָרְשׂוּ עָלָיו כְּסוּי עוֹר תַּחַשׁ</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פָרְשׂוּ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פרש</w:t>
      </w:r>
      <w:r w:rsidRPr="00AC36A5">
        <w:rPr>
          <w:rFonts w:eastAsia="Times New Roman" w:cs="Times New Roman"/>
          <w:rtl/>
          <w:lang w:eastAsia="de-DE"/>
        </w:rPr>
        <w:t xml:space="preserve"> </w:t>
      </w:r>
      <w:r w:rsidRPr="00AC36A5">
        <w:rPr>
          <w:rFonts w:eastAsia="Times New Roman" w:cs="Times New Roman"/>
          <w:lang w:eastAsia="de-DE"/>
        </w:rPr>
        <w:t xml:space="preserve">(ausbreiten), </w:t>
      </w:r>
      <w:r w:rsidRPr="00AC36A5">
        <w:rPr>
          <w:rFonts w:eastAsia="Times New Roman" w:cs="Times New Roman"/>
          <w:b/>
          <w:bCs/>
          <w:rtl/>
          <w:lang w:eastAsia="de-DE"/>
        </w:rPr>
        <w:t>עָלָיו</w:t>
      </w:r>
      <w:r w:rsidRPr="00AC36A5">
        <w:rPr>
          <w:rFonts w:eastAsia="Times New Roman" w:cs="Times New Roman"/>
          <w:rtl/>
          <w:lang w:eastAsia="de-DE"/>
        </w:rPr>
        <w:t xml:space="preserve"> </w:t>
      </w:r>
      <w:r w:rsidRPr="00AC36A5">
        <w:rPr>
          <w:rFonts w:eastAsia="Times New Roman" w:cs="Times New Roman"/>
          <w:lang w:eastAsia="de-DE"/>
        </w:rPr>
        <w:t xml:space="preserve">(über ihn) und </w:t>
      </w:r>
      <w:r w:rsidRPr="00AC36A5">
        <w:rPr>
          <w:rFonts w:eastAsia="Times New Roman" w:cs="Times New Roman"/>
          <w:b/>
          <w:bCs/>
          <w:rtl/>
          <w:lang w:eastAsia="de-DE"/>
        </w:rPr>
        <w:t>כְּסוּי עוֹר תַּחַשׁ</w:t>
      </w:r>
      <w:r w:rsidRPr="00AC36A5">
        <w:rPr>
          <w:rFonts w:eastAsia="Times New Roman" w:cs="Times New Roman"/>
          <w:rtl/>
          <w:lang w:eastAsia="de-DE"/>
        </w:rPr>
        <w:t xml:space="preserve"> </w:t>
      </w:r>
      <w:r w:rsidRPr="00AC36A5">
        <w:rPr>
          <w:rFonts w:eastAsia="Times New Roman" w:cs="Times New Roman"/>
          <w:lang w:eastAsia="de-DE"/>
        </w:rPr>
        <w:t>(Decke aus Tachaschfell) zeigt die äußere Schutzschicht.</w:t>
      </w:r>
    </w:p>
    <w:p w14:paraId="3839C62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וְשָׂמוּ בַדָּיו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שָׂמוּ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שים</w:t>
      </w:r>
      <w:r w:rsidRPr="00AC36A5">
        <w:rPr>
          <w:rFonts w:eastAsia="Times New Roman" w:cs="Times New Roman"/>
          <w:rtl/>
          <w:lang w:eastAsia="de-DE"/>
        </w:rPr>
        <w:t xml:space="preserve"> </w:t>
      </w:r>
      <w:r w:rsidRPr="00AC36A5">
        <w:rPr>
          <w:rFonts w:eastAsia="Times New Roman" w:cs="Times New Roman"/>
          <w:lang w:eastAsia="de-DE"/>
        </w:rPr>
        <w:t xml:space="preserve">(setzen) und </w:t>
      </w:r>
      <w:r w:rsidRPr="00AC36A5">
        <w:rPr>
          <w:rFonts w:eastAsia="Times New Roman" w:cs="Times New Roman"/>
          <w:b/>
          <w:bCs/>
          <w:rtl/>
          <w:lang w:eastAsia="de-DE"/>
        </w:rPr>
        <w:t>בַדִּים</w:t>
      </w:r>
      <w:r w:rsidRPr="00AC36A5">
        <w:rPr>
          <w:rFonts w:eastAsia="Times New Roman" w:cs="Times New Roman"/>
          <w:rtl/>
          <w:lang w:eastAsia="de-DE"/>
        </w:rPr>
        <w:t xml:space="preserve"> </w:t>
      </w:r>
      <w:r w:rsidRPr="00AC36A5">
        <w:rPr>
          <w:rFonts w:eastAsia="Times New Roman" w:cs="Times New Roman"/>
          <w:lang w:eastAsia="de-DE"/>
        </w:rPr>
        <w:t>(Stangen) komplettiert die Transportvorbereitung.</w:t>
      </w:r>
    </w:p>
    <w:p w14:paraId="1B748896" w14:textId="1082FF40" w:rsidR="00AC36A5" w:rsidRPr="00AC36A5" w:rsidRDefault="008D0C5E" w:rsidP="00AC36A5">
      <w:pPr>
        <w:spacing w:before="100" w:beforeAutospacing="1" w:after="100" w:afterAutospacing="1" w:line="240" w:lineRule="auto"/>
        <w:rPr>
          <w:rFonts w:eastAsia="Times New Roman" w:cs="Times New Roman"/>
          <w:lang w:eastAsia="de-DE"/>
        </w:rPr>
      </w:pPr>
      <w:r>
        <w:rPr>
          <w:rStyle w:val="Fett"/>
        </w:rPr>
        <w:t>Die LXX</w:t>
      </w:r>
      <w:r>
        <w:t xml:space="preserve"> fügt eine Erweiterung hinzu, die im hebräischen Text fehlt: Sie beschreibt das Waschbecken und seinen Sockel (τὸν λουτῆρα καὶ τὴν βάσιν αὐτοῦ), was zeigt, dass die LXX möglicherweise eine vollständigere Beschreibung der kultischen Geräte anstrebte.</w:t>
      </w:r>
    </w:p>
    <w:p w14:paraId="60A8ACF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komplexe Sequenz mit relativischer Spezifikation, detaillierter Aufzählung, zusammenfassender Wiederholung und abschließender Verpackung und Transportvorbereitung.</w:t>
      </w:r>
    </w:p>
    <w:p w14:paraId="42009510" w14:textId="0CAFFD7B" w:rsid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Dieser Vers zeigt die umfassende Behandlung des </w:t>
      </w:r>
      <w:r w:rsidR="00DD7028">
        <w:rPr>
          <w:rFonts w:eastAsia="Times New Roman" w:cs="Times New Roman"/>
          <w:lang w:eastAsia="de-DE"/>
        </w:rPr>
        <w:t>Aufsteige</w:t>
      </w:r>
      <w:r w:rsidRPr="00AC36A5">
        <w:rPr>
          <w:rFonts w:eastAsia="Times New Roman" w:cs="Times New Roman"/>
          <w:lang w:eastAsia="de-DE"/>
        </w:rPr>
        <w:t>altars mit allen seinen Geräten und etabliert das vollständige Verpackungssystem für den größten und komplexesten Kultgegenstand.</w:t>
      </w:r>
    </w:p>
    <w:p w14:paraId="569C0A69" w14:textId="423E55DC" w:rsidR="003231DC" w:rsidRPr="003231DC" w:rsidRDefault="003231DC" w:rsidP="00AC36A5">
      <w:pPr>
        <w:spacing w:before="100" w:beforeAutospacing="1" w:after="100" w:afterAutospacing="1" w:line="240" w:lineRule="auto"/>
        <w:rPr>
          <w:b/>
          <w:bCs/>
        </w:rPr>
      </w:pPr>
      <w:r w:rsidRPr="003231DC">
        <w:rPr>
          <w:b/>
          <w:bCs/>
        </w:rPr>
        <w:t>Verpackungssysteme nach Heiligkeitsgrad (Num 4,5-14)</w:t>
      </w:r>
      <w:r w:rsidRPr="003231DC">
        <w:rPr>
          <w:rFonts w:ascii="Segoe UI" w:hAnsi="Segoe UI" w:cs="Segoe UI"/>
          <w:b/>
          <w:bCs/>
          <w:color w:val="141413"/>
          <w:sz w:val="21"/>
          <w:szCs w:val="21"/>
          <w:shd w:val="clear" w:color="auto" w:fill="FAF9F5"/>
        </w:rPr>
        <w:t xml:space="preserve"> </w:t>
      </w:r>
    </w:p>
    <w:tbl>
      <w:tblPr>
        <w:tblStyle w:val="Tabellenraster"/>
        <w:tblW w:w="4994" w:type="pct"/>
        <w:tblLook w:val="04A0" w:firstRow="1" w:lastRow="0" w:firstColumn="1" w:lastColumn="0" w:noHBand="0" w:noVBand="1"/>
      </w:tblPr>
      <w:tblGrid>
        <w:gridCol w:w="2489"/>
        <w:gridCol w:w="1721"/>
        <w:gridCol w:w="1405"/>
        <w:gridCol w:w="1338"/>
        <w:gridCol w:w="1338"/>
        <w:gridCol w:w="760"/>
      </w:tblGrid>
      <w:tr w:rsidR="003231DC" w14:paraId="4A3519EA" w14:textId="77777777" w:rsidTr="00703D30">
        <w:tc>
          <w:tcPr>
            <w:tcW w:w="1385" w:type="pct"/>
          </w:tcPr>
          <w:p w14:paraId="5A4546FE" w14:textId="704265D0"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Gegenstand</w:t>
            </w:r>
          </w:p>
        </w:tc>
        <w:tc>
          <w:tcPr>
            <w:tcW w:w="951" w:type="pct"/>
          </w:tcPr>
          <w:p w14:paraId="2EC15352" w14:textId="431F9554"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Heiligkeitsgrad</w:t>
            </w:r>
          </w:p>
        </w:tc>
        <w:tc>
          <w:tcPr>
            <w:tcW w:w="793" w:type="pct"/>
          </w:tcPr>
          <w:p w14:paraId="49A62A7C" w14:textId="309104B5"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Schicht 1</w:t>
            </w:r>
          </w:p>
        </w:tc>
        <w:tc>
          <w:tcPr>
            <w:tcW w:w="705" w:type="pct"/>
          </w:tcPr>
          <w:p w14:paraId="06B8ABA5" w14:textId="56EF55AF"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Schicht 2</w:t>
            </w:r>
          </w:p>
        </w:tc>
        <w:tc>
          <w:tcPr>
            <w:tcW w:w="746" w:type="pct"/>
          </w:tcPr>
          <w:p w14:paraId="759D8F30" w14:textId="5E95554D"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Schicht 3</w:t>
            </w:r>
          </w:p>
        </w:tc>
        <w:tc>
          <w:tcPr>
            <w:tcW w:w="420" w:type="pct"/>
          </w:tcPr>
          <w:p w14:paraId="388B11C2" w14:textId="6C70A113"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Verse</w:t>
            </w:r>
          </w:p>
        </w:tc>
      </w:tr>
      <w:tr w:rsidR="003231DC" w14:paraId="53B97ECE" w14:textId="77777777" w:rsidTr="00703D30">
        <w:tc>
          <w:tcPr>
            <w:tcW w:w="1385" w:type="pct"/>
          </w:tcPr>
          <w:p w14:paraId="7230090F" w14:textId="28AD0363" w:rsidR="003231DC" w:rsidRDefault="003231DC" w:rsidP="00AC36A5">
            <w:pPr>
              <w:spacing w:before="100" w:beforeAutospacing="1" w:after="100" w:afterAutospacing="1" w:line="240" w:lineRule="auto"/>
              <w:rPr>
                <w:rFonts w:eastAsia="Times New Roman" w:cs="Times New Roman"/>
                <w:lang w:eastAsia="de-DE"/>
              </w:rPr>
            </w:pPr>
            <w:r>
              <w:rPr>
                <w:rStyle w:val="Fett"/>
                <w:rFonts w:ascii="Segoe UI" w:hAnsi="Segoe UI" w:cs="Segoe UI"/>
                <w:color w:val="141413"/>
                <w:sz w:val="21"/>
                <w:szCs w:val="21"/>
                <w:bdr w:val="single" w:sz="2" w:space="0" w:color="1F1E1D" w:frame="1"/>
              </w:rPr>
              <w:t>Bundeslade</w:t>
            </w:r>
          </w:p>
        </w:tc>
        <w:tc>
          <w:tcPr>
            <w:tcW w:w="951" w:type="pct"/>
          </w:tcPr>
          <w:p w14:paraId="37D88999" w14:textId="4F2B1CA6"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Höchst heilig</w:t>
            </w:r>
          </w:p>
        </w:tc>
        <w:tc>
          <w:tcPr>
            <w:tcW w:w="793" w:type="pct"/>
          </w:tcPr>
          <w:p w14:paraId="092383E2" w14:textId="2C8851D6"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Vorhang (</w:t>
            </w:r>
            <w:r w:rsidRPr="00703D30">
              <w:rPr>
                <w:rFonts w:ascii="Segoe UI" w:hAnsi="Segoe UI" w:cs="Segoe UI"/>
                <w:b/>
                <w:bCs/>
                <w:color w:val="141413"/>
                <w:sz w:val="21"/>
                <w:szCs w:val="21"/>
                <w:rtl/>
              </w:rPr>
              <w:t>פָּרֹכֶת</w:t>
            </w:r>
            <w:r>
              <w:rPr>
                <w:rFonts w:ascii="Segoe UI" w:hAnsi="Segoe UI" w:cs="Segoe UI"/>
                <w:color w:val="141413"/>
                <w:sz w:val="21"/>
                <w:szCs w:val="21"/>
              </w:rPr>
              <w:t>)</w:t>
            </w:r>
          </w:p>
        </w:tc>
        <w:tc>
          <w:tcPr>
            <w:tcW w:w="705" w:type="pct"/>
          </w:tcPr>
          <w:p w14:paraId="32872BA7" w14:textId="64501763"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Tachaschfell (</w:t>
            </w:r>
            <w:r w:rsidRPr="00703D30">
              <w:rPr>
                <w:rFonts w:ascii="Segoe UI" w:hAnsi="Segoe UI" w:cs="Segoe UI"/>
                <w:b/>
                <w:bCs/>
                <w:color w:val="141413"/>
                <w:sz w:val="21"/>
                <w:szCs w:val="21"/>
                <w:rtl/>
              </w:rPr>
              <w:t>עוֹר תַּחַשׁ</w:t>
            </w:r>
            <w:r>
              <w:rPr>
                <w:rFonts w:ascii="Segoe UI" w:hAnsi="Segoe UI" w:cs="Segoe UI"/>
                <w:color w:val="141413"/>
                <w:sz w:val="21"/>
                <w:szCs w:val="21"/>
              </w:rPr>
              <w:t>)</w:t>
            </w:r>
          </w:p>
        </w:tc>
        <w:tc>
          <w:tcPr>
            <w:tcW w:w="746" w:type="pct"/>
          </w:tcPr>
          <w:p w14:paraId="06A26224" w14:textId="4335B7D6"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Blaues Tuch (</w:t>
            </w:r>
            <w:r w:rsidRPr="00703D30">
              <w:rPr>
                <w:rFonts w:ascii="Segoe UI" w:hAnsi="Segoe UI" w:cs="Segoe UI"/>
                <w:b/>
                <w:bCs/>
                <w:color w:val="141413"/>
                <w:sz w:val="21"/>
                <w:szCs w:val="21"/>
                <w:rtl/>
              </w:rPr>
              <w:t>תְּכֵלֶת</w:t>
            </w:r>
            <w:r>
              <w:rPr>
                <w:rFonts w:ascii="Segoe UI" w:hAnsi="Segoe UI" w:cs="Segoe UI"/>
                <w:color w:val="141413"/>
                <w:sz w:val="21"/>
                <w:szCs w:val="21"/>
              </w:rPr>
              <w:t>)</w:t>
            </w:r>
          </w:p>
        </w:tc>
        <w:tc>
          <w:tcPr>
            <w:tcW w:w="420" w:type="pct"/>
          </w:tcPr>
          <w:p w14:paraId="1E9BA299" w14:textId="14A85CBA" w:rsidR="003231DC" w:rsidRDefault="00703D30"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5-6</w:t>
            </w:r>
          </w:p>
        </w:tc>
      </w:tr>
      <w:tr w:rsidR="003231DC" w14:paraId="0CB0ACCC" w14:textId="77777777" w:rsidTr="00703D30">
        <w:tc>
          <w:tcPr>
            <w:tcW w:w="1385" w:type="pct"/>
          </w:tcPr>
          <w:p w14:paraId="0E4279A8" w14:textId="06710DAE" w:rsidR="003231DC" w:rsidRDefault="003231DC" w:rsidP="00AC36A5">
            <w:pPr>
              <w:spacing w:before="100" w:beforeAutospacing="1" w:after="100" w:afterAutospacing="1" w:line="240" w:lineRule="auto"/>
              <w:rPr>
                <w:rFonts w:eastAsia="Times New Roman" w:cs="Times New Roman"/>
                <w:lang w:eastAsia="de-DE"/>
              </w:rPr>
            </w:pPr>
            <w:r>
              <w:rPr>
                <w:rStyle w:val="Fett"/>
                <w:rFonts w:ascii="Segoe UI" w:hAnsi="Segoe UI" w:cs="Segoe UI"/>
                <w:color w:val="141413"/>
                <w:sz w:val="21"/>
                <w:szCs w:val="21"/>
                <w:bdr w:val="single" w:sz="2" w:space="0" w:color="1F1E1D" w:frame="1"/>
                <w:shd w:val="clear" w:color="auto" w:fill="FAF9F5"/>
              </w:rPr>
              <w:t>Schaubrottisch</w:t>
            </w:r>
          </w:p>
        </w:tc>
        <w:tc>
          <w:tcPr>
            <w:tcW w:w="951" w:type="pct"/>
          </w:tcPr>
          <w:p w14:paraId="2741ED30" w14:textId="250275F9"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Sehr heilig</w:t>
            </w:r>
          </w:p>
        </w:tc>
        <w:tc>
          <w:tcPr>
            <w:tcW w:w="793" w:type="pct"/>
          </w:tcPr>
          <w:p w14:paraId="27350509" w14:textId="4417CBDF"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Blaues Tuch (</w:t>
            </w:r>
            <w:r w:rsidRPr="00703D30">
              <w:rPr>
                <w:rFonts w:ascii="Segoe UI" w:hAnsi="Segoe UI" w:cs="Segoe UI"/>
                <w:b/>
                <w:bCs/>
                <w:color w:val="141413"/>
                <w:sz w:val="21"/>
                <w:szCs w:val="21"/>
                <w:shd w:val="clear" w:color="auto" w:fill="FAF9F5"/>
                <w:rtl/>
              </w:rPr>
              <w:t>תְּכֵלֶת</w:t>
            </w:r>
            <w:r>
              <w:rPr>
                <w:rFonts w:ascii="Segoe UI" w:hAnsi="Segoe UI" w:cs="Segoe UI"/>
                <w:color w:val="141413"/>
                <w:sz w:val="21"/>
                <w:szCs w:val="21"/>
                <w:shd w:val="clear" w:color="auto" w:fill="FAF9F5"/>
              </w:rPr>
              <w:t>)</w:t>
            </w:r>
          </w:p>
        </w:tc>
        <w:tc>
          <w:tcPr>
            <w:tcW w:w="705" w:type="pct"/>
          </w:tcPr>
          <w:p w14:paraId="380EDF65" w14:textId="504714F4"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Karmesin (</w:t>
            </w:r>
            <w:r w:rsidRPr="00703D30">
              <w:rPr>
                <w:rFonts w:ascii="Segoe UI" w:hAnsi="Segoe UI" w:cs="Segoe UI"/>
                <w:b/>
                <w:bCs/>
                <w:color w:val="141413"/>
                <w:sz w:val="21"/>
                <w:szCs w:val="21"/>
                <w:shd w:val="clear" w:color="auto" w:fill="FAF9F5"/>
                <w:rtl/>
              </w:rPr>
              <w:t>תּוֹלַעַתשָׁנִי</w:t>
            </w:r>
            <w:r>
              <w:rPr>
                <w:rFonts w:ascii="Segoe UI" w:hAnsi="Segoe UI" w:cs="Segoe UI"/>
                <w:color w:val="141413"/>
                <w:sz w:val="21"/>
                <w:szCs w:val="21"/>
                <w:shd w:val="clear" w:color="auto" w:fill="FAF9F5"/>
              </w:rPr>
              <w:t>)</w:t>
            </w:r>
          </w:p>
        </w:tc>
        <w:tc>
          <w:tcPr>
            <w:tcW w:w="746" w:type="pct"/>
          </w:tcPr>
          <w:p w14:paraId="2D9CF737" w14:textId="5E3AB939"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Tachaschfell (</w:t>
            </w:r>
            <w:r w:rsidRPr="00703D30">
              <w:rPr>
                <w:rFonts w:ascii="Segoe UI" w:hAnsi="Segoe UI" w:cs="Segoe UI"/>
                <w:b/>
                <w:bCs/>
                <w:color w:val="141413"/>
                <w:sz w:val="21"/>
                <w:szCs w:val="21"/>
                <w:shd w:val="clear" w:color="auto" w:fill="FAF9F5"/>
                <w:rtl/>
              </w:rPr>
              <w:t>עוֹר תַּחַשׁ</w:t>
            </w:r>
            <w:r>
              <w:rPr>
                <w:rFonts w:ascii="Segoe UI" w:hAnsi="Segoe UI" w:cs="Segoe UI"/>
                <w:color w:val="141413"/>
                <w:sz w:val="21"/>
                <w:szCs w:val="21"/>
                <w:shd w:val="clear" w:color="auto" w:fill="FAF9F5"/>
              </w:rPr>
              <w:t>)</w:t>
            </w:r>
          </w:p>
        </w:tc>
        <w:tc>
          <w:tcPr>
            <w:tcW w:w="420" w:type="pct"/>
          </w:tcPr>
          <w:p w14:paraId="79C4C46E" w14:textId="16441FA2" w:rsidR="003231DC" w:rsidRDefault="00703D30"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7-8</w:t>
            </w:r>
          </w:p>
        </w:tc>
      </w:tr>
      <w:tr w:rsidR="003231DC" w14:paraId="0B78404F" w14:textId="77777777" w:rsidTr="00703D30">
        <w:tc>
          <w:tcPr>
            <w:tcW w:w="1385" w:type="pct"/>
          </w:tcPr>
          <w:p w14:paraId="70E1B2E6" w14:textId="203B37BA" w:rsidR="003231DC" w:rsidRDefault="003231DC" w:rsidP="00AC36A5">
            <w:pPr>
              <w:spacing w:before="100" w:beforeAutospacing="1" w:after="100" w:afterAutospacing="1" w:line="240" w:lineRule="auto"/>
              <w:rPr>
                <w:rFonts w:eastAsia="Times New Roman" w:cs="Times New Roman"/>
                <w:lang w:eastAsia="de-DE"/>
              </w:rPr>
            </w:pPr>
            <w:r>
              <w:rPr>
                <w:rStyle w:val="Fett"/>
                <w:rFonts w:ascii="Segoe UI" w:hAnsi="Segoe UI" w:cs="Segoe UI"/>
                <w:color w:val="141413"/>
                <w:sz w:val="21"/>
                <w:szCs w:val="21"/>
                <w:bdr w:val="single" w:sz="2" w:space="0" w:color="1F1E1D" w:frame="1"/>
              </w:rPr>
              <w:t>Leuchter</w:t>
            </w:r>
          </w:p>
        </w:tc>
        <w:tc>
          <w:tcPr>
            <w:tcW w:w="951" w:type="pct"/>
          </w:tcPr>
          <w:p w14:paraId="1D990284" w14:textId="6A9C15F9"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Sehr heilig</w:t>
            </w:r>
          </w:p>
        </w:tc>
        <w:tc>
          <w:tcPr>
            <w:tcW w:w="793" w:type="pct"/>
          </w:tcPr>
          <w:p w14:paraId="1202373B" w14:textId="2A264305"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Blaues Tuch (</w:t>
            </w:r>
            <w:r w:rsidRPr="00703D30">
              <w:rPr>
                <w:rFonts w:ascii="Segoe UI" w:hAnsi="Segoe UI" w:cs="Segoe UI"/>
                <w:b/>
                <w:bCs/>
                <w:color w:val="141413"/>
                <w:sz w:val="21"/>
                <w:szCs w:val="21"/>
                <w:rtl/>
              </w:rPr>
              <w:t>תְּכֵלֶת</w:t>
            </w:r>
            <w:r>
              <w:rPr>
                <w:rFonts w:ascii="Segoe UI" w:hAnsi="Segoe UI" w:cs="Segoe UI"/>
                <w:color w:val="141413"/>
                <w:sz w:val="21"/>
                <w:szCs w:val="21"/>
              </w:rPr>
              <w:t>)</w:t>
            </w:r>
          </w:p>
        </w:tc>
        <w:tc>
          <w:tcPr>
            <w:tcW w:w="705" w:type="pct"/>
          </w:tcPr>
          <w:p w14:paraId="7A0D8B87" w14:textId="21D0B4C6" w:rsidR="003231DC" w:rsidRDefault="00703D30"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w:t>
            </w:r>
          </w:p>
        </w:tc>
        <w:tc>
          <w:tcPr>
            <w:tcW w:w="746" w:type="pct"/>
          </w:tcPr>
          <w:p w14:paraId="74AEA39D" w14:textId="2B263683"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Tachaschfell (</w:t>
            </w:r>
            <w:r w:rsidRPr="00703D30">
              <w:rPr>
                <w:rFonts w:ascii="Segoe UI" w:hAnsi="Segoe UI" w:cs="Segoe UI"/>
                <w:b/>
                <w:bCs/>
                <w:color w:val="141413"/>
                <w:sz w:val="21"/>
                <w:szCs w:val="21"/>
                <w:rtl/>
              </w:rPr>
              <w:t>עוֹר תַּחַשׁ</w:t>
            </w:r>
            <w:r>
              <w:rPr>
                <w:rFonts w:ascii="Segoe UI" w:hAnsi="Segoe UI" w:cs="Segoe UI"/>
                <w:color w:val="141413"/>
                <w:sz w:val="21"/>
                <w:szCs w:val="21"/>
              </w:rPr>
              <w:t>)</w:t>
            </w:r>
          </w:p>
        </w:tc>
        <w:tc>
          <w:tcPr>
            <w:tcW w:w="420" w:type="pct"/>
          </w:tcPr>
          <w:p w14:paraId="6AC7BBB0" w14:textId="11DE8AC3" w:rsidR="003231DC" w:rsidRDefault="00703D30"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9-10</w:t>
            </w:r>
          </w:p>
        </w:tc>
      </w:tr>
      <w:tr w:rsidR="003231DC" w14:paraId="2E2FC8BE" w14:textId="77777777" w:rsidTr="00703D30">
        <w:tc>
          <w:tcPr>
            <w:tcW w:w="1385" w:type="pct"/>
          </w:tcPr>
          <w:p w14:paraId="1F47C36F" w14:textId="6EB06C82" w:rsidR="003231DC" w:rsidRDefault="003231DC" w:rsidP="00AC36A5">
            <w:pPr>
              <w:spacing w:before="100" w:beforeAutospacing="1" w:after="100" w:afterAutospacing="1" w:line="240" w:lineRule="auto"/>
              <w:rPr>
                <w:rFonts w:eastAsia="Times New Roman" w:cs="Times New Roman"/>
                <w:lang w:eastAsia="de-DE"/>
              </w:rPr>
            </w:pPr>
            <w:r>
              <w:rPr>
                <w:rStyle w:val="Fett"/>
                <w:rFonts w:ascii="Segoe UI" w:hAnsi="Segoe UI" w:cs="Segoe UI"/>
                <w:color w:val="141413"/>
                <w:sz w:val="21"/>
                <w:szCs w:val="21"/>
                <w:bdr w:val="single" w:sz="2" w:space="0" w:color="1F1E1D" w:frame="1"/>
                <w:shd w:val="clear" w:color="auto" w:fill="FAF9F5"/>
              </w:rPr>
              <w:t>Räucheraltar (Gold)</w:t>
            </w:r>
          </w:p>
        </w:tc>
        <w:tc>
          <w:tcPr>
            <w:tcW w:w="951" w:type="pct"/>
          </w:tcPr>
          <w:p w14:paraId="1F213DA9" w14:textId="29FF2926"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Sehr heilig</w:t>
            </w:r>
          </w:p>
        </w:tc>
        <w:tc>
          <w:tcPr>
            <w:tcW w:w="793" w:type="pct"/>
          </w:tcPr>
          <w:p w14:paraId="5947490C" w14:textId="65430595"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Blaues Tuch (</w:t>
            </w:r>
            <w:r w:rsidRPr="00703D30">
              <w:rPr>
                <w:rFonts w:ascii="Segoe UI" w:hAnsi="Segoe UI" w:cs="Segoe UI"/>
                <w:b/>
                <w:bCs/>
                <w:color w:val="141413"/>
                <w:sz w:val="21"/>
                <w:szCs w:val="21"/>
                <w:shd w:val="clear" w:color="auto" w:fill="FAF9F5"/>
                <w:rtl/>
              </w:rPr>
              <w:t>תְּכֵלֶת</w:t>
            </w:r>
            <w:r>
              <w:rPr>
                <w:rFonts w:ascii="Segoe UI" w:hAnsi="Segoe UI" w:cs="Segoe UI"/>
                <w:color w:val="141413"/>
                <w:sz w:val="21"/>
                <w:szCs w:val="21"/>
                <w:shd w:val="clear" w:color="auto" w:fill="FAF9F5"/>
              </w:rPr>
              <w:t>)</w:t>
            </w:r>
          </w:p>
        </w:tc>
        <w:tc>
          <w:tcPr>
            <w:tcW w:w="705" w:type="pct"/>
          </w:tcPr>
          <w:p w14:paraId="1ECA243B" w14:textId="5EB3C67A" w:rsidR="003231DC" w:rsidRDefault="00703D30"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w:t>
            </w:r>
          </w:p>
        </w:tc>
        <w:tc>
          <w:tcPr>
            <w:tcW w:w="746" w:type="pct"/>
          </w:tcPr>
          <w:p w14:paraId="4BDCC13A" w14:textId="4365CDF6" w:rsidR="003231DC" w:rsidRDefault="00703D30"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Tachaschfell (</w:t>
            </w:r>
            <w:r w:rsidRPr="00703D30">
              <w:rPr>
                <w:rFonts w:ascii="Segoe UI" w:hAnsi="Segoe UI" w:cs="Segoe UI"/>
                <w:b/>
                <w:bCs/>
                <w:color w:val="141413"/>
                <w:sz w:val="21"/>
                <w:szCs w:val="21"/>
                <w:shd w:val="clear" w:color="auto" w:fill="FAF9F5"/>
                <w:rtl/>
              </w:rPr>
              <w:t>עוֹר תַּחַשׁ</w:t>
            </w:r>
            <w:r>
              <w:rPr>
                <w:rFonts w:ascii="Segoe UI" w:hAnsi="Segoe UI" w:cs="Segoe UI"/>
                <w:color w:val="141413"/>
                <w:sz w:val="21"/>
                <w:szCs w:val="21"/>
                <w:shd w:val="clear" w:color="auto" w:fill="FAF9F5"/>
              </w:rPr>
              <w:t>)</w:t>
            </w:r>
          </w:p>
        </w:tc>
        <w:tc>
          <w:tcPr>
            <w:tcW w:w="420" w:type="pct"/>
          </w:tcPr>
          <w:p w14:paraId="6EEDA715" w14:textId="414DCFFA" w:rsidR="003231DC" w:rsidRDefault="00703D30"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11</w:t>
            </w:r>
          </w:p>
        </w:tc>
      </w:tr>
      <w:tr w:rsidR="003231DC" w14:paraId="4A878513" w14:textId="77777777" w:rsidTr="00703D30">
        <w:tc>
          <w:tcPr>
            <w:tcW w:w="1385" w:type="pct"/>
          </w:tcPr>
          <w:p w14:paraId="7A34DB17" w14:textId="67B82CFC" w:rsidR="003231DC" w:rsidRDefault="003231DC" w:rsidP="00AC36A5">
            <w:pPr>
              <w:spacing w:before="100" w:beforeAutospacing="1" w:after="100" w:afterAutospacing="1" w:line="240" w:lineRule="auto"/>
              <w:rPr>
                <w:rFonts w:eastAsia="Times New Roman" w:cs="Times New Roman"/>
                <w:lang w:eastAsia="de-DE"/>
              </w:rPr>
            </w:pPr>
            <w:r>
              <w:rPr>
                <w:rStyle w:val="Fett"/>
                <w:rFonts w:ascii="Segoe UI" w:hAnsi="Segoe UI" w:cs="Segoe UI"/>
                <w:color w:val="141413"/>
                <w:sz w:val="21"/>
                <w:szCs w:val="21"/>
                <w:bdr w:val="single" w:sz="2" w:space="0" w:color="1F1E1D" w:frame="1"/>
              </w:rPr>
              <w:t>Kleinere Geräte</w:t>
            </w:r>
          </w:p>
        </w:tc>
        <w:tc>
          <w:tcPr>
            <w:tcW w:w="951" w:type="pct"/>
          </w:tcPr>
          <w:p w14:paraId="58C5F8CA" w14:textId="3F8AB0B9"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Heilig</w:t>
            </w:r>
          </w:p>
        </w:tc>
        <w:tc>
          <w:tcPr>
            <w:tcW w:w="793" w:type="pct"/>
          </w:tcPr>
          <w:p w14:paraId="3DE64BE7" w14:textId="43A9A67E"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Blaues Tuch (</w:t>
            </w:r>
            <w:r w:rsidRPr="00703D30">
              <w:rPr>
                <w:rFonts w:ascii="Segoe UI" w:hAnsi="Segoe UI" w:cs="Segoe UI"/>
                <w:b/>
                <w:bCs/>
                <w:color w:val="141413"/>
                <w:sz w:val="21"/>
                <w:szCs w:val="21"/>
                <w:rtl/>
              </w:rPr>
              <w:t>תְּכֵלֶת</w:t>
            </w:r>
            <w:r>
              <w:rPr>
                <w:rFonts w:ascii="Segoe UI" w:hAnsi="Segoe UI" w:cs="Segoe UI"/>
                <w:color w:val="141413"/>
                <w:sz w:val="21"/>
                <w:szCs w:val="21"/>
              </w:rPr>
              <w:t>)</w:t>
            </w:r>
          </w:p>
        </w:tc>
        <w:tc>
          <w:tcPr>
            <w:tcW w:w="705" w:type="pct"/>
          </w:tcPr>
          <w:p w14:paraId="46FAB3AF" w14:textId="31D21927" w:rsidR="003231DC" w:rsidRDefault="00703D30"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w:t>
            </w:r>
          </w:p>
        </w:tc>
        <w:tc>
          <w:tcPr>
            <w:tcW w:w="746" w:type="pct"/>
          </w:tcPr>
          <w:p w14:paraId="1ACC2774" w14:textId="0F40BDB5" w:rsidR="003231DC" w:rsidRDefault="00703D30"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Tachaschfell (</w:t>
            </w:r>
            <w:r w:rsidRPr="00703D30">
              <w:rPr>
                <w:rFonts w:ascii="Segoe UI" w:hAnsi="Segoe UI" w:cs="Segoe UI"/>
                <w:b/>
                <w:bCs/>
                <w:color w:val="141413"/>
                <w:sz w:val="21"/>
                <w:szCs w:val="21"/>
                <w:rtl/>
              </w:rPr>
              <w:t>עוֹר תַּחַשׁ</w:t>
            </w:r>
            <w:r>
              <w:rPr>
                <w:rFonts w:ascii="Segoe UI" w:hAnsi="Segoe UI" w:cs="Segoe UI"/>
                <w:color w:val="141413"/>
                <w:sz w:val="21"/>
                <w:szCs w:val="21"/>
              </w:rPr>
              <w:t>)</w:t>
            </w:r>
          </w:p>
        </w:tc>
        <w:tc>
          <w:tcPr>
            <w:tcW w:w="420" w:type="pct"/>
          </w:tcPr>
          <w:p w14:paraId="25124FAE" w14:textId="177A580F" w:rsidR="003231DC" w:rsidRDefault="00703D30"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12</w:t>
            </w:r>
          </w:p>
        </w:tc>
      </w:tr>
      <w:tr w:rsidR="003231DC" w14:paraId="5EEEE4E5" w14:textId="77777777" w:rsidTr="00703D30">
        <w:tc>
          <w:tcPr>
            <w:tcW w:w="1385" w:type="pct"/>
          </w:tcPr>
          <w:p w14:paraId="4C0912F4" w14:textId="25180BAD" w:rsidR="003231DC" w:rsidRDefault="003231DC" w:rsidP="00AC36A5">
            <w:pPr>
              <w:spacing w:before="100" w:beforeAutospacing="1" w:after="100" w:afterAutospacing="1" w:line="240" w:lineRule="auto"/>
              <w:rPr>
                <w:rFonts w:eastAsia="Times New Roman" w:cs="Times New Roman"/>
                <w:lang w:eastAsia="de-DE"/>
              </w:rPr>
            </w:pPr>
            <w:r>
              <w:rPr>
                <w:rStyle w:val="Fett"/>
                <w:rFonts w:ascii="Segoe UI" w:hAnsi="Segoe UI" w:cs="Segoe UI"/>
                <w:color w:val="141413"/>
                <w:sz w:val="21"/>
                <w:szCs w:val="21"/>
                <w:bdr w:val="single" w:sz="2" w:space="0" w:color="1F1E1D" w:frame="1"/>
                <w:shd w:val="clear" w:color="auto" w:fill="FAF9F5"/>
              </w:rPr>
              <w:t>Aufsteigealtar (Bronze)</w:t>
            </w:r>
          </w:p>
        </w:tc>
        <w:tc>
          <w:tcPr>
            <w:tcW w:w="951" w:type="pct"/>
          </w:tcPr>
          <w:p w14:paraId="1328E772" w14:textId="7F704AA3"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Heilig</w:t>
            </w:r>
          </w:p>
        </w:tc>
        <w:tc>
          <w:tcPr>
            <w:tcW w:w="793" w:type="pct"/>
          </w:tcPr>
          <w:p w14:paraId="2343BADC" w14:textId="3FCB76E3" w:rsidR="003231DC" w:rsidRDefault="003231DC"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Roter Purpur (</w:t>
            </w:r>
            <w:r w:rsidRPr="00703D30">
              <w:rPr>
                <w:rFonts w:ascii="Segoe UI" w:hAnsi="Segoe UI" w:cs="Segoe UI"/>
                <w:b/>
                <w:bCs/>
                <w:color w:val="141413"/>
                <w:sz w:val="21"/>
                <w:szCs w:val="21"/>
                <w:shd w:val="clear" w:color="auto" w:fill="FAF9F5"/>
                <w:rtl/>
              </w:rPr>
              <w:t>אַרְגָּמָן</w:t>
            </w:r>
            <w:r>
              <w:rPr>
                <w:rFonts w:ascii="Segoe UI" w:hAnsi="Segoe UI" w:cs="Segoe UI"/>
                <w:color w:val="141413"/>
                <w:sz w:val="21"/>
                <w:szCs w:val="21"/>
                <w:shd w:val="clear" w:color="auto" w:fill="FAF9F5"/>
              </w:rPr>
              <w:t>)</w:t>
            </w:r>
          </w:p>
        </w:tc>
        <w:tc>
          <w:tcPr>
            <w:tcW w:w="705" w:type="pct"/>
          </w:tcPr>
          <w:p w14:paraId="78645778" w14:textId="641BB70C" w:rsidR="003231DC" w:rsidRDefault="00703D30" w:rsidP="00AC36A5">
            <w:pPr>
              <w:spacing w:before="100" w:beforeAutospacing="1" w:after="100" w:afterAutospacing="1" w:line="240" w:lineRule="auto"/>
              <w:rPr>
                <w:rFonts w:eastAsia="Times New Roman" w:cs="Times New Roman"/>
                <w:lang w:eastAsia="de-DE"/>
              </w:rPr>
            </w:pPr>
            <w:r>
              <w:rPr>
                <w:rFonts w:eastAsia="Times New Roman" w:cs="Times New Roman"/>
                <w:lang w:eastAsia="de-DE"/>
              </w:rPr>
              <w:t>-</w:t>
            </w:r>
          </w:p>
        </w:tc>
        <w:tc>
          <w:tcPr>
            <w:tcW w:w="746" w:type="pct"/>
          </w:tcPr>
          <w:p w14:paraId="3C7C96B9" w14:textId="786EE206" w:rsidR="003231DC" w:rsidRDefault="00703D30"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Tachaschfell (</w:t>
            </w:r>
            <w:r w:rsidRPr="00703D30">
              <w:rPr>
                <w:rFonts w:ascii="Segoe UI" w:hAnsi="Segoe UI" w:cs="Segoe UI"/>
                <w:b/>
                <w:bCs/>
                <w:color w:val="141413"/>
                <w:sz w:val="21"/>
                <w:szCs w:val="21"/>
                <w:shd w:val="clear" w:color="auto" w:fill="FAF9F5"/>
                <w:rtl/>
              </w:rPr>
              <w:t>עוֹר תַּחַשׁ</w:t>
            </w:r>
            <w:r>
              <w:rPr>
                <w:rFonts w:ascii="Segoe UI" w:hAnsi="Segoe UI" w:cs="Segoe UI"/>
                <w:color w:val="141413"/>
                <w:sz w:val="21"/>
                <w:szCs w:val="21"/>
                <w:shd w:val="clear" w:color="auto" w:fill="FAF9F5"/>
              </w:rPr>
              <w:t>)</w:t>
            </w:r>
          </w:p>
        </w:tc>
        <w:tc>
          <w:tcPr>
            <w:tcW w:w="420" w:type="pct"/>
          </w:tcPr>
          <w:p w14:paraId="12AF0210" w14:textId="1B70C87E" w:rsidR="003231DC" w:rsidRDefault="00703D30" w:rsidP="00AC36A5">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13-14</w:t>
            </w:r>
          </w:p>
        </w:tc>
      </w:tr>
    </w:tbl>
    <w:p w14:paraId="6A603DAC" w14:textId="77777777" w:rsidR="00703D30" w:rsidRDefault="00703D30" w:rsidP="00703D30">
      <w:pPr>
        <w:pStyle w:val="whitespace-normal"/>
      </w:pPr>
      <w:r>
        <w:rPr>
          <w:rStyle w:val="Fett"/>
        </w:rPr>
        <w:t>Beobachtungen:</w:t>
      </w:r>
    </w:p>
    <w:p w14:paraId="092AD757" w14:textId="77777777" w:rsidR="00703D30" w:rsidRDefault="00703D30" w:rsidP="00C15C06">
      <w:pPr>
        <w:pStyle w:val="whitespace-normal"/>
        <w:numPr>
          <w:ilvl w:val="0"/>
          <w:numId w:val="46"/>
        </w:numPr>
      </w:pPr>
      <w:r>
        <w:rPr>
          <w:rStyle w:val="Fett"/>
        </w:rPr>
        <w:t>Bundeslade</w:t>
      </w:r>
      <w:r>
        <w:t xml:space="preserve"> = einziges dreischichtiges System (Vorhang als innerste Schicht!)</w:t>
      </w:r>
    </w:p>
    <w:p w14:paraId="4B93CEA4" w14:textId="77777777" w:rsidR="00703D30" w:rsidRDefault="00703D30" w:rsidP="00C15C06">
      <w:pPr>
        <w:pStyle w:val="whitespace-normal"/>
        <w:numPr>
          <w:ilvl w:val="0"/>
          <w:numId w:val="46"/>
        </w:numPr>
      </w:pPr>
      <w:r>
        <w:rPr>
          <w:rStyle w:val="Fett"/>
        </w:rPr>
        <w:t>Blau</w:t>
      </w:r>
      <w:r>
        <w:t xml:space="preserve"> (</w:t>
      </w:r>
      <w:r w:rsidRPr="00703D30">
        <w:rPr>
          <w:b/>
          <w:bCs/>
          <w:rtl/>
        </w:rPr>
        <w:t>תְּכֵלֶת</w:t>
      </w:r>
      <w:r>
        <w:t>) = Standardfarbe für innere Heiligtumsgegenstände (Tisch, Leuchter, Räucheraltar)</w:t>
      </w:r>
    </w:p>
    <w:p w14:paraId="006B3F9A" w14:textId="77777777" w:rsidR="00703D30" w:rsidRDefault="00703D30" w:rsidP="00C15C06">
      <w:pPr>
        <w:pStyle w:val="whitespace-normal"/>
        <w:numPr>
          <w:ilvl w:val="0"/>
          <w:numId w:val="46"/>
        </w:numPr>
      </w:pPr>
      <w:r>
        <w:rPr>
          <w:rStyle w:val="Fett"/>
        </w:rPr>
        <w:t>Rot</w:t>
      </w:r>
      <w:r>
        <w:t xml:space="preserve"> (</w:t>
      </w:r>
      <w:r w:rsidRPr="00703D30">
        <w:rPr>
          <w:b/>
          <w:bCs/>
          <w:rtl/>
        </w:rPr>
        <w:t>אַרְגָּמָן</w:t>
      </w:r>
      <w:r>
        <w:t>) = nur für Aufsteigealtar (Vorhof-Objekt, Blutopfer)</w:t>
      </w:r>
    </w:p>
    <w:p w14:paraId="2D739824" w14:textId="77777777" w:rsidR="00703D30" w:rsidRDefault="00703D30" w:rsidP="00C15C06">
      <w:pPr>
        <w:pStyle w:val="whitespace-normal"/>
        <w:numPr>
          <w:ilvl w:val="0"/>
          <w:numId w:val="46"/>
        </w:numPr>
      </w:pPr>
      <w:r>
        <w:rPr>
          <w:rStyle w:val="Fett"/>
        </w:rPr>
        <w:t>Tachaschfell</w:t>
      </w:r>
      <w:r>
        <w:t xml:space="preserve"> = äußerste Schutzschicht für </w:t>
      </w:r>
      <w:r>
        <w:rPr>
          <w:rStyle w:val="Fett"/>
        </w:rPr>
        <w:t>alle</w:t>
      </w:r>
      <w:r>
        <w:t xml:space="preserve"> Gegenstände</w:t>
      </w:r>
    </w:p>
    <w:p w14:paraId="30F89293" w14:textId="1CA9C2F9" w:rsidR="003231DC" w:rsidRPr="00AC36A5" w:rsidRDefault="00703D30" w:rsidP="00AC36A5">
      <w:pPr>
        <w:spacing w:before="100" w:beforeAutospacing="1" w:after="100" w:afterAutospacing="1" w:line="240" w:lineRule="auto"/>
        <w:rPr>
          <w:rFonts w:eastAsia="Times New Roman" w:cs="Times New Roman"/>
          <w:lang w:eastAsia="de-DE"/>
        </w:rPr>
      </w:pPr>
      <w:r>
        <w:lastRenderedPageBreak/>
        <w:t xml:space="preserve">Die Verpackungssystematik zeigt eine </w:t>
      </w:r>
      <w:r>
        <w:rPr>
          <w:rStyle w:val="Fett"/>
        </w:rPr>
        <w:t>liturgische Hierarchie</w:t>
      </w:r>
      <w:r>
        <w:t>: Die Bundeslade erhält als einziges Objekt drei Schichten, wobei der Vorhang zwischen Heiligem und Allerheiligstem (</w:t>
      </w:r>
      <w:r w:rsidRPr="00703D30">
        <w:rPr>
          <w:b/>
          <w:bCs/>
          <w:rtl/>
        </w:rPr>
        <w:t>פָּרֹכֶת הַמָּסָךְ</w:t>
      </w:r>
      <w:r>
        <w:t xml:space="preserve">, V. 5) als innerste Schicht ihre absolute Heiligkeit markiert. Die </w:t>
      </w:r>
      <w:r>
        <w:rPr>
          <w:rStyle w:val="Fett"/>
        </w:rPr>
        <w:t>Farbwahl</w:t>
      </w:r>
      <w:r>
        <w:t xml:space="preserve"> reflektiert die räumliche Zuordnung: Blau (</w:t>
      </w:r>
      <w:r w:rsidRPr="00703D30">
        <w:rPr>
          <w:b/>
          <w:bCs/>
          <w:rtl/>
        </w:rPr>
        <w:t>תְּכֵלֶת</w:t>
      </w:r>
      <w:r>
        <w:t>) für Gegenstände des inneren Heiligtums, Rot (</w:t>
      </w:r>
      <w:r>
        <w:rPr>
          <w:rtl/>
        </w:rPr>
        <w:t>אַרְגָּמָן</w:t>
      </w:r>
      <w:r>
        <w:t>) für den Vorhof-Altar.</w:t>
      </w:r>
    </w:p>
    <w:p w14:paraId="31E7D1C5"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4,15</w:t>
      </w:r>
    </w:p>
    <w:p w14:paraId="2567366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וְכִלָּ֣ה אַֽהֲרֹן־וּ֠בָנָיו לְכַסֹּ֨ת אֶת־הַקֹּ֜דֶשׁ וְאֶת־כָּל־כְּלֵ֣י הַקֹּדֶשׁ֮ בִּנְסֹ֣עַ הַֽמַּחֲנֶה֒ וְאַחֲרֵי־כֵ֗ן יָבֹ֤אוּ בְנֵי־קְהָת֙ לָשֵׂ֔את וְלֹֽא־יִגְּע֥וּ אֶל־הַקֹּ֖דֶשׁ וָמֵ֑תוּ אֵ֛לֶּה מַשָּׂ֥א בְנֵֽי־קְהָ֖ת בְּאֹ֥הֶל מוֹעֵֽד׃</w:t>
      </w:r>
    </w:p>
    <w:p w14:paraId="039DE97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wenn 'Aharon und seine Söhne das Bedecken des Heiligtums und aller Geräte des Heiligtums beendet haben, wenn das Lager aufbricht, so sollen danach die Söhne Kehats kommen, um es zu tragen, damit sie das Heilige nicht berühren und sterben. Das ist die Traglast der Söhne Kehats am Zelt der Begegnung.</w:t>
      </w:r>
    </w:p>
    <w:p w14:paraId="5C12B6AC"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16C78BC">
          <v:rect id="_x0000_i1178" style="width:0;height:1.5pt" o:hralign="center" o:hrstd="t" o:hr="t" fillcolor="#a0a0a0" stroked="f"/>
        </w:pict>
      </w:r>
    </w:p>
    <w:p w14:paraId="54F6DE0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וְכִלָּה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כלה</w:t>
      </w:r>
      <w:r w:rsidRPr="00AC36A5">
        <w:rPr>
          <w:rFonts w:eastAsia="Times New Roman" w:cs="Times New Roman"/>
          <w:rtl/>
          <w:lang w:eastAsia="de-DE"/>
        </w:rPr>
        <w:t xml:space="preserve"> </w:t>
      </w:r>
      <w:r w:rsidRPr="00AC36A5">
        <w:rPr>
          <w:rFonts w:eastAsia="Times New Roman" w:cs="Times New Roman"/>
          <w:lang w:eastAsia="de-DE"/>
        </w:rPr>
        <w:t xml:space="preserve">(vollenden/beenden) im Pi'el-Perfekt 3. maskulin Singular mit Waw consecutivum zeigt den Abschluss der priesterlichen Vorbereitungen. Das koordinierte Subjekt </w:t>
      </w:r>
      <w:r w:rsidRPr="00AC36A5">
        <w:rPr>
          <w:rFonts w:eastAsia="Times New Roman" w:cs="Times New Roman"/>
          <w:b/>
          <w:bCs/>
          <w:rtl/>
          <w:lang w:eastAsia="de-DE"/>
        </w:rPr>
        <w:t>אַהֲרֹן־וּבָנָיו</w:t>
      </w:r>
      <w:r w:rsidRPr="00AC36A5">
        <w:rPr>
          <w:rFonts w:eastAsia="Times New Roman" w:cs="Times New Roman"/>
          <w:rtl/>
          <w:lang w:eastAsia="de-DE"/>
        </w:rPr>
        <w:t xml:space="preserve"> </w:t>
      </w:r>
      <w:r w:rsidRPr="00AC36A5">
        <w:rPr>
          <w:rFonts w:eastAsia="Times New Roman" w:cs="Times New Roman"/>
          <w:lang w:eastAsia="de-DE"/>
        </w:rPr>
        <w:t>betont die exklusive priesterliche Verantwortung für die heiligen Gegenstände.</w:t>
      </w:r>
    </w:p>
    <w:p w14:paraId="1DB0311F" w14:textId="08567D6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Der 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לְכַסּוֹת אֶת־הַקֹּדֶשׁ וְאֶת־כָּל־כְּלֵי הַקֹּדֶשׁ</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כַסּוֹת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כסה</w:t>
      </w:r>
      <w:r w:rsidRPr="00AC36A5">
        <w:rPr>
          <w:rFonts w:eastAsia="Times New Roman" w:cs="Times New Roman"/>
          <w:rtl/>
          <w:lang w:eastAsia="de-DE"/>
        </w:rPr>
        <w:t xml:space="preserve"> </w:t>
      </w:r>
      <w:r w:rsidRPr="00AC36A5">
        <w:rPr>
          <w:rFonts w:eastAsia="Times New Roman" w:cs="Times New Roman"/>
          <w:lang w:eastAsia="de-DE"/>
        </w:rPr>
        <w:t xml:space="preserve">(bedecken) und dem koordinierten Objekt </w:t>
      </w:r>
      <w:r w:rsidRPr="00AC36A5">
        <w:rPr>
          <w:rFonts w:eastAsia="Times New Roman" w:cs="Times New Roman"/>
          <w:b/>
          <w:bCs/>
          <w:rtl/>
          <w:lang w:eastAsia="de-DE"/>
        </w:rPr>
        <w:t>הַקֹּדֶשׁ... כְּלֵי הַקֹּדֶשׁ</w:t>
      </w:r>
      <w:r w:rsidRPr="00AC36A5">
        <w:rPr>
          <w:rFonts w:eastAsia="Times New Roman" w:cs="Times New Roman"/>
          <w:rtl/>
          <w:lang w:eastAsia="de-DE"/>
        </w:rPr>
        <w:t xml:space="preserve"> </w:t>
      </w:r>
      <w:r w:rsidRPr="00AC36A5">
        <w:rPr>
          <w:rFonts w:eastAsia="Times New Roman" w:cs="Times New Roman"/>
          <w:lang w:eastAsia="de-DE"/>
        </w:rPr>
        <w:t>(das Heiligtum... Geräte des Heiligtums) zeigt die umfassende Verpackungsarbeit.</w:t>
      </w:r>
    </w:p>
    <w:p w14:paraId="0B593ACC" w14:textId="3E75CE2F"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temporale Bestimmung </w:t>
      </w:r>
      <w:r w:rsidRPr="00AC36A5">
        <w:rPr>
          <w:rFonts w:eastAsia="Times New Roman" w:cs="Times New Roman"/>
          <w:b/>
          <w:bCs/>
          <w:rtl/>
          <w:lang w:eastAsia="de-DE"/>
        </w:rPr>
        <w:t>בִּנְסֹעַ הַמַּחֲנֶה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und dem Qal-Infinitiv-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נְסֹעַ</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נסע</w:t>
      </w:r>
      <w:r w:rsidRPr="00AC36A5">
        <w:rPr>
          <w:rFonts w:eastAsia="Times New Roman" w:cs="Times New Roman"/>
          <w:rtl/>
          <w:lang w:eastAsia="de-DE"/>
        </w:rPr>
        <w:t xml:space="preserve"> </w:t>
      </w:r>
      <w:r w:rsidRPr="00AC36A5">
        <w:rPr>
          <w:rFonts w:eastAsia="Times New Roman" w:cs="Times New Roman"/>
          <w:lang w:eastAsia="de-DE"/>
        </w:rPr>
        <w:t>(aufbrechen) wiederholt die zeitliche Bedingung aus Vers 5.</w:t>
      </w:r>
    </w:p>
    <w:p w14:paraId="793150FD" w14:textId="1835D2F2"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koordinierte Satz </w:t>
      </w:r>
      <w:r w:rsidRPr="00AC36A5">
        <w:rPr>
          <w:rFonts w:eastAsia="Times New Roman" w:cs="Times New Roman"/>
          <w:b/>
          <w:bCs/>
          <w:rtl/>
          <w:lang w:eastAsia="de-DE"/>
        </w:rPr>
        <w:t>וְאַחֲרֵי־כֵן יָבֹאוּ בְנֵי־קְהָת לָשֵׂאת</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אַחֲרֵי־כֵן</w:t>
      </w:r>
      <w:r w:rsidRPr="00AC36A5">
        <w:rPr>
          <w:rFonts w:eastAsia="Times New Roman" w:cs="Times New Roman"/>
          <w:rtl/>
          <w:lang w:eastAsia="de-DE"/>
        </w:rPr>
        <w:t xml:space="preserve"> </w:t>
      </w:r>
      <w:r w:rsidRPr="00AC36A5">
        <w:rPr>
          <w:rFonts w:eastAsia="Times New Roman" w:cs="Times New Roman"/>
          <w:lang w:eastAsia="de-DE"/>
        </w:rPr>
        <w:t xml:space="preserve">(danach), </w:t>
      </w:r>
      <w:r w:rsidRPr="00AC36A5">
        <w:rPr>
          <w:rFonts w:eastAsia="Times New Roman" w:cs="Times New Roman"/>
          <w:b/>
          <w:bCs/>
          <w:rtl/>
          <w:lang w:eastAsia="de-DE"/>
        </w:rPr>
        <w:t>יָבֹאוּ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 xml:space="preserve">(kommen) und </w:t>
      </w:r>
      <w:r w:rsidRPr="00AC36A5">
        <w:rPr>
          <w:rFonts w:eastAsia="Times New Roman" w:cs="Times New Roman"/>
          <w:b/>
          <w:bCs/>
          <w:rtl/>
          <w:lang w:eastAsia="de-DE"/>
        </w:rPr>
        <w:t>לָשֵׂאת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נשא</w:t>
      </w:r>
      <w:r w:rsidRPr="00AC36A5">
        <w:rPr>
          <w:rFonts w:eastAsia="Times New Roman" w:cs="Times New Roman"/>
          <w:rtl/>
          <w:lang w:eastAsia="de-DE"/>
        </w:rPr>
        <w:t xml:space="preserve"> </w:t>
      </w:r>
      <w:r w:rsidRPr="00AC36A5">
        <w:rPr>
          <w:rFonts w:eastAsia="Times New Roman" w:cs="Times New Roman"/>
          <w:lang w:eastAsia="de-DE"/>
        </w:rPr>
        <w:t>(tragen) als Infinitiv-</w:t>
      </w:r>
      <w:r w:rsidR="00F133EC">
        <w:rPr>
          <w:rFonts w:eastAsia="Times New Roman" w:cs="Times New Roman"/>
          <w:lang w:eastAsia="de-DE"/>
        </w:rPr>
        <w:t>Construct</w:t>
      </w:r>
      <w:r w:rsidRPr="00AC36A5">
        <w:rPr>
          <w:rFonts w:eastAsia="Times New Roman" w:cs="Times New Roman"/>
          <w:lang w:eastAsia="de-DE"/>
        </w:rPr>
        <w:t xml:space="preserve"> etabliert die strikte Reihenfolge.</w:t>
      </w:r>
    </w:p>
    <w:p w14:paraId="73FCF28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kritische Warnung </w:t>
      </w:r>
      <w:r w:rsidRPr="00AC36A5">
        <w:rPr>
          <w:rFonts w:eastAsia="Times New Roman" w:cs="Times New Roman"/>
          <w:b/>
          <w:bCs/>
          <w:rtl/>
          <w:lang w:eastAsia="de-DE"/>
        </w:rPr>
        <w:t>וְלֹא־יִגְּעוּ אֶל־הַקֹּדֶשׁ וָמֵתוּ</w:t>
      </w:r>
      <w:r w:rsidRPr="00AC36A5">
        <w:rPr>
          <w:rFonts w:eastAsia="Times New Roman" w:cs="Times New Roman"/>
          <w:rtl/>
          <w:lang w:eastAsia="de-DE"/>
        </w:rPr>
        <w:t xml:space="preserve"> </w:t>
      </w:r>
      <w:r w:rsidRPr="00AC36A5">
        <w:rPr>
          <w:rFonts w:eastAsia="Times New Roman" w:cs="Times New Roman"/>
          <w:lang w:eastAsia="de-DE"/>
        </w:rPr>
        <w:t xml:space="preserve">mit der Negation </w:t>
      </w:r>
      <w:r w:rsidRPr="00AC36A5">
        <w:rPr>
          <w:rFonts w:eastAsia="Times New Roman" w:cs="Times New Roman"/>
          <w:b/>
          <w:bCs/>
          <w:rtl/>
          <w:lang w:eastAsia="de-DE"/>
        </w:rPr>
        <w:t>לֹא</w:t>
      </w:r>
      <w:r w:rsidRPr="00AC36A5">
        <w:rPr>
          <w:rFonts w:eastAsia="Times New Roman" w:cs="Times New Roman"/>
          <w:lang w:eastAsia="de-DE"/>
        </w:rPr>
        <w:t xml:space="preserve">, </w:t>
      </w:r>
      <w:r w:rsidRPr="00AC36A5">
        <w:rPr>
          <w:rFonts w:eastAsia="Times New Roman" w:cs="Times New Roman"/>
          <w:b/>
          <w:bCs/>
          <w:rtl/>
          <w:lang w:eastAsia="de-DE"/>
        </w:rPr>
        <w:t>יִגְּעוּ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נגע</w:t>
      </w:r>
      <w:r w:rsidRPr="00AC36A5">
        <w:rPr>
          <w:rFonts w:eastAsia="Times New Roman" w:cs="Times New Roman"/>
          <w:rtl/>
          <w:lang w:eastAsia="de-DE"/>
        </w:rPr>
        <w:t xml:space="preserve"> </w:t>
      </w:r>
      <w:r w:rsidRPr="00AC36A5">
        <w:rPr>
          <w:rFonts w:eastAsia="Times New Roman" w:cs="Times New Roman"/>
          <w:lang w:eastAsia="de-DE"/>
        </w:rPr>
        <w:t xml:space="preserve">(berühren/anrühren) im Qal-Imperfekt 3. maskulin Plural und </w:t>
      </w:r>
      <w:r w:rsidRPr="00AC36A5">
        <w:rPr>
          <w:rFonts w:eastAsia="Times New Roman" w:cs="Times New Roman"/>
          <w:b/>
          <w:bCs/>
          <w:rtl/>
          <w:lang w:eastAsia="de-DE"/>
        </w:rPr>
        <w:t>וָמֵתוּ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מות</w:t>
      </w:r>
      <w:r w:rsidRPr="00AC36A5">
        <w:rPr>
          <w:rFonts w:eastAsia="Times New Roman" w:cs="Times New Roman"/>
          <w:rtl/>
          <w:lang w:eastAsia="de-DE"/>
        </w:rPr>
        <w:t xml:space="preserve"> </w:t>
      </w:r>
      <w:r w:rsidRPr="00AC36A5">
        <w:rPr>
          <w:rFonts w:eastAsia="Times New Roman" w:cs="Times New Roman"/>
          <w:lang w:eastAsia="de-DE"/>
        </w:rPr>
        <w:t>(sterben) im Qal-Perfekt 3. maskulin Plural mit Waw consecutivum zeigt die tödliche Konsequenz direkter Berührung.</w:t>
      </w:r>
    </w:p>
    <w:p w14:paraId="49F1A96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zusammenfassende Satz </w:t>
      </w:r>
      <w:r w:rsidRPr="00AC36A5">
        <w:rPr>
          <w:rFonts w:eastAsia="Times New Roman" w:cs="Times New Roman"/>
          <w:b/>
          <w:bCs/>
          <w:rtl/>
          <w:lang w:eastAsia="de-DE"/>
        </w:rPr>
        <w:t>אֵלֶּה מַשָּׂא בְנֵֽי־קְהָת בְּאֹהֶל מוֹעֵד</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אֵלֶּה</w:t>
      </w:r>
      <w:r w:rsidRPr="00AC36A5">
        <w:rPr>
          <w:rFonts w:eastAsia="Times New Roman" w:cs="Times New Roman"/>
          <w:rtl/>
          <w:lang w:eastAsia="de-DE"/>
        </w:rPr>
        <w:t xml:space="preserve"> </w:t>
      </w:r>
      <w:r w:rsidRPr="00AC36A5">
        <w:rPr>
          <w:rFonts w:eastAsia="Times New Roman" w:cs="Times New Roman"/>
          <w:lang w:eastAsia="de-DE"/>
        </w:rPr>
        <w:t xml:space="preserve">(diese), </w:t>
      </w:r>
      <w:r w:rsidRPr="00AC36A5">
        <w:rPr>
          <w:rFonts w:eastAsia="Times New Roman" w:cs="Times New Roman"/>
          <w:b/>
          <w:bCs/>
          <w:rtl/>
          <w:lang w:eastAsia="de-DE"/>
        </w:rPr>
        <w:t>מַשָּׂא</w:t>
      </w:r>
      <w:r w:rsidRPr="00AC36A5">
        <w:rPr>
          <w:rFonts w:eastAsia="Times New Roman" w:cs="Times New Roman"/>
          <w:rtl/>
          <w:lang w:eastAsia="de-DE"/>
        </w:rPr>
        <w:t xml:space="preserve"> </w:t>
      </w:r>
      <w:r w:rsidRPr="00AC36A5">
        <w:rPr>
          <w:rFonts w:eastAsia="Times New Roman" w:cs="Times New Roman"/>
          <w:lang w:eastAsia="de-DE"/>
        </w:rPr>
        <w:t xml:space="preserve">(Traglast) und </w:t>
      </w:r>
      <w:r w:rsidRPr="00AC36A5">
        <w:rPr>
          <w:rFonts w:eastAsia="Times New Roman" w:cs="Times New Roman"/>
          <w:b/>
          <w:bCs/>
          <w:rtl/>
          <w:lang w:eastAsia="de-DE"/>
        </w:rPr>
        <w:t>בְנֵי־קְהָת</w:t>
      </w:r>
      <w:r w:rsidRPr="00AC36A5">
        <w:rPr>
          <w:rFonts w:eastAsia="Times New Roman" w:cs="Times New Roman"/>
          <w:rtl/>
          <w:lang w:eastAsia="de-DE"/>
        </w:rPr>
        <w:t xml:space="preserve"> </w:t>
      </w:r>
      <w:r w:rsidRPr="00AC36A5">
        <w:rPr>
          <w:rFonts w:eastAsia="Times New Roman" w:cs="Times New Roman"/>
          <w:lang w:eastAsia="de-DE"/>
        </w:rPr>
        <w:t>(Söhne Kehats) fasst die kehatitische Verantwortung zusammen.</w:t>
      </w:r>
    </w:p>
    <w:p w14:paraId="65141648" w14:textId="77777777" w:rsidR="008D0C5E" w:rsidRDefault="008D0C5E" w:rsidP="00AC36A5">
      <w:pPr>
        <w:spacing w:before="100" w:beforeAutospacing="1" w:after="100" w:afterAutospacing="1" w:line="240" w:lineRule="auto"/>
      </w:pPr>
      <w:r>
        <w:rPr>
          <w:rStyle w:val="Fett"/>
        </w:rPr>
        <w:t>Die LXX</w:t>
      </w:r>
      <w:r>
        <w:t xml:space="preserve"> übersetzt </w:t>
      </w:r>
      <w:r w:rsidRPr="008D0C5E">
        <w:rPr>
          <w:b/>
          <w:bCs/>
          <w:rtl/>
        </w:rPr>
        <w:t>ולא־יגעו אל־הקדש ומתו</w:t>
      </w:r>
      <w:r w:rsidRPr="008D0C5E">
        <w:rPr>
          <w:b/>
          <w:bCs/>
        </w:rPr>
        <w:t xml:space="preserve"> </w:t>
      </w:r>
      <w:r>
        <w:t>(velo-yig'u el-haqqodesh vametu - "und sie sollen das Heilige nicht berühren, sonst sterben sie") als καὶ οὐχ ἅψονται τῶν ἁγίων, ἵνα μὴ ἀποθάνωσιν (und sie sollen das Heilige nicht berühren, damit sie nicht sterben), was einen Finalsatz statt einer Konsequenz verwendet.</w:t>
      </w:r>
    </w:p>
    <w:p w14:paraId="4EDFD557" w14:textId="2D9362B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komplexe temporale </w:t>
      </w:r>
      <w:r w:rsidR="00F133EC">
        <w:rPr>
          <w:rFonts w:eastAsia="Times New Roman" w:cs="Times New Roman"/>
          <w:lang w:eastAsia="de-DE"/>
        </w:rPr>
        <w:t>Construct</w:t>
      </w:r>
      <w:r w:rsidRPr="00AC36A5">
        <w:rPr>
          <w:rFonts w:eastAsia="Times New Roman" w:cs="Times New Roman"/>
          <w:lang w:eastAsia="de-DE"/>
        </w:rPr>
        <w:t>ion mit Bedingungssätzen, strikter Sequenzierung und einer lebensbedrohlichen Warnung sowie abschließender Zusammenfassung.</w:t>
      </w:r>
    </w:p>
    <w:p w14:paraId="7C083D6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Dieser zentrale Vers etabliert das fundamentale Prinzip der levitischen Hierarchie: Nur die Priester dürfen die heiligen Gegenstände direkt handhaben, die Kehatiter sind nur für den Transport der bereits verpackten Objekte zuständig, und jede direkte Berührung des Heiligen durch Nicht-Priester ist tödlich.</w:t>
      </w:r>
    </w:p>
    <w:p w14:paraId="6328673E"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4,16</w:t>
      </w:r>
    </w:p>
    <w:p w14:paraId="200D92A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וּפְקֻדַּ֞ת אֶלְעָזָ֣ר׀ בֶּן־אַהֲרֹ֣ן הַכֹּהֵ֗ן שֶׁ֤מֶן הַמָּאוֹר֙ וּקְטֹ֣רֶת הַסַּמִּ֔ים וּמִנְחַ֥ת הַתָּמִ֖יד וְשֶׁ֣מֶן הַמִּשְׁחָ֑ה פְּקֻדַּ֗ת כָּל־הַמִּשְׁכָּן֙ וְכָל־אֲשֶׁר־בּוֹ֔ בְּקֹ֖דֶשׁ וּבְכֵלָֽיו׃</w:t>
      </w:r>
    </w:p>
    <w:p w14:paraId="43C02EC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El'asar, der Sohn 'Aharons, des Priesters, hat die Aufsicht über das Öl für den Leuchter und das wohlriechende Räucherwerk und das beständige Speisopfer und das Salböl, die Aufsicht über die ganze Wohnung und alles, was darin ist, über das Heiligtum und über seine Geräte.</w:t>
      </w:r>
    </w:p>
    <w:p w14:paraId="3ECEF915"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960ACD2">
          <v:rect id="_x0000_i1179" style="width:0;height:1.5pt" o:hralign="center" o:hrstd="t" o:hr="t" fillcolor="#a0a0a0" stroked="f"/>
        </w:pict>
      </w:r>
    </w:p>
    <w:p w14:paraId="25367957" w14:textId="3556AF8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Substantiv </w:t>
      </w:r>
      <w:r w:rsidRPr="00AC36A5">
        <w:rPr>
          <w:rFonts w:eastAsia="Times New Roman" w:cs="Times New Roman"/>
          <w:b/>
          <w:bCs/>
          <w:rtl/>
          <w:lang w:eastAsia="de-DE"/>
        </w:rPr>
        <w:t>וּפְקֻדַּת</w:t>
      </w:r>
      <w:r w:rsidRPr="00AC36A5">
        <w:rPr>
          <w:rFonts w:eastAsia="Times New Roman" w:cs="Times New Roman"/>
          <w:rtl/>
          <w:lang w:eastAsia="de-DE"/>
        </w:rPr>
        <w:t xml:space="preserve"> </w:t>
      </w:r>
      <w:r w:rsidRPr="00AC36A5">
        <w:rPr>
          <w:rFonts w:eastAsia="Times New Roman" w:cs="Times New Roman"/>
          <w:lang w:eastAsia="de-DE"/>
        </w:rPr>
        <w:t xml:space="preserve">(und die Aufsicht von) mit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אֶלְעָזָר בֶּן־אַהֲרֹן הַכֹּהֵן</w:t>
      </w:r>
      <w:r w:rsidRPr="00AC36A5">
        <w:rPr>
          <w:rFonts w:eastAsia="Times New Roman" w:cs="Times New Roman"/>
          <w:rtl/>
          <w:lang w:eastAsia="de-DE"/>
        </w:rPr>
        <w:t xml:space="preserve"> </w:t>
      </w:r>
      <w:r w:rsidRPr="00AC36A5">
        <w:rPr>
          <w:rFonts w:eastAsia="Times New Roman" w:cs="Times New Roman"/>
          <w:lang w:eastAsia="de-DE"/>
        </w:rPr>
        <w:t xml:space="preserve">zeigt Eleasars besondere Verantwortung. Die patronymische Formel mit der appositiven Bezeichnung </w:t>
      </w:r>
      <w:r w:rsidRPr="00AC36A5">
        <w:rPr>
          <w:rFonts w:eastAsia="Times New Roman" w:cs="Times New Roman"/>
          <w:b/>
          <w:bCs/>
          <w:rtl/>
          <w:lang w:eastAsia="de-DE"/>
        </w:rPr>
        <w:t>הַכֹּהֵן</w:t>
      </w:r>
      <w:r w:rsidRPr="00AC36A5">
        <w:rPr>
          <w:rFonts w:eastAsia="Times New Roman" w:cs="Times New Roman"/>
          <w:rtl/>
          <w:lang w:eastAsia="de-DE"/>
        </w:rPr>
        <w:t xml:space="preserve"> </w:t>
      </w:r>
      <w:r w:rsidRPr="00AC36A5">
        <w:rPr>
          <w:rFonts w:eastAsia="Times New Roman" w:cs="Times New Roman"/>
          <w:lang w:eastAsia="de-DE"/>
        </w:rPr>
        <w:t>(der Priester) betont seine priesterliche Autorität.</w:t>
      </w:r>
    </w:p>
    <w:p w14:paraId="35D9C8DC" w14:textId="3606C71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Aufzählung seiner spezifischen Verantwortlichkeiten </w:t>
      </w:r>
      <w:r w:rsidRPr="00AC36A5">
        <w:rPr>
          <w:rFonts w:eastAsia="Times New Roman" w:cs="Times New Roman"/>
          <w:b/>
          <w:bCs/>
          <w:rtl/>
          <w:lang w:eastAsia="de-DE"/>
        </w:rPr>
        <w:t>שֶׁמֶן הַמָּאוֹר וּקְטֹרֶת הַסַּמִּים וּמִנְחַת הַתָּמִיד וְשֶׁמֶן הַמִּשְׁחָה</w:t>
      </w:r>
      <w:r w:rsidRPr="00AC36A5">
        <w:rPr>
          <w:rFonts w:eastAsia="Times New Roman" w:cs="Times New Roman"/>
          <w:rtl/>
          <w:lang w:eastAsia="de-DE"/>
        </w:rPr>
        <w:t xml:space="preserve"> </w:t>
      </w:r>
      <w:r w:rsidRPr="00AC36A5">
        <w:rPr>
          <w:rFonts w:eastAsia="Times New Roman" w:cs="Times New Roman"/>
          <w:lang w:eastAsia="de-DE"/>
        </w:rPr>
        <w:t xml:space="preserve">zeigt: </w:t>
      </w:r>
      <w:r w:rsidRPr="00AC36A5">
        <w:rPr>
          <w:rFonts w:eastAsia="Times New Roman" w:cs="Times New Roman"/>
          <w:b/>
          <w:bCs/>
          <w:rtl/>
          <w:lang w:eastAsia="de-DE"/>
        </w:rPr>
        <w:t>שֶׁמֶן הַמָּאוֹר</w:t>
      </w:r>
      <w:r w:rsidRPr="00AC36A5">
        <w:rPr>
          <w:rFonts w:eastAsia="Times New Roman" w:cs="Times New Roman"/>
          <w:rtl/>
          <w:lang w:eastAsia="de-DE"/>
        </w:rPr>
        <w:t xml:space="preserve"> </w:t>
      </w:r>
      <w:r w:rsidRPr="00AC36A5">
        <w:rPr>
          <w:rFonts w:eastAsia="Times New Roman" w:cs="Times New Roman"/>
          <w:lang w:eastAsia="de-DE"/>
        </w:rPr>
        <w:t xml:space="preserve">(Öl des Lichts) im </w:t>
      </w:r>
      <w:r w:rsidR="00F133EC">
        <w:rPr>
          <w:rFonts w:eastAsia="Times New Roman" w:cs="Times New Roman"/>
          <w:lang w:eastAsia="de-DE"/>
        </w:rPr>
        <w:t>Construct</w:t>
      </w:r>
      <w:r w:rsidRPr="00AC36A5">
        <w:rPr>
          <w:rFonts w:eastAsia="Times New Roman" w:cs="Times New Roman"/>
          <w:lang w:eastAsia="de-DE"/>
        </w:rPr>
        <w:t xml:space="preserve"> für den Leuchter, </w:t>
      </w:r>
      <w:r w:rsidRPr="00AC36A5">
        <w:rPr>
          <w:rFonts w:eastAsia="Times New Roman" w:cs="Times New Roman"/>
          <w:b/>
          <w:bCs/>
          <w:rtl/>
          <w:lang w:eastAsia="de-DE"/>
        </w:rPr>
        <w:t>קְטֹרֶת הַסַּמִּים</w:t>
      </w:r>
      <w:r w:rsidRPr="00AC36A5">
        <w:rPr>
          <w:rFonts w:eastAsia="Times New Roman" w:cs="Times New Roman"/>
          <w:rtl/>
          <w:lang w:eastAsia="de-DE"/>
        </w:rPr>
        <w:t xml:space="preserve"> </w:t>
      </w:r>
      <w:r w:rsidRPr="00AC36A5">
        <w:rPr>
          <w:rFonts w:eastAsia="Times New Roman" w:cs="Times New Roman"/>
          <w:lang w:eastAsia="de-DE"/>
        </w:rPr>
        <w:t xml:space="preserve">(wohlriechendes Räucherwerk) im </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מִנְחַת הַתָּמִיד</w:t>
      </w:r>
      <w:r w:rsidRPr="00AC36A5">
        <w:rPr>
          <w:rFonts w:eastAsia="Times New Roman" w:cs="Times New Roman"/>
          <w:rtl/>
          <w:lang w:eastAsia="de-DE"/>
        </w:rPr>
        <w:t xml:space="preserve"> </w:t>
      </w:r>
      <w:r w:rsidRPr="00AC36A5">
        <w:rPr>
          <w:rFonts w:eastAsia="Times New Roman" w:cs="Times New Roman"/>
          <w:lang w:eastAsia="de-DE"/>
        </w:rPr>
        <w:t xml:space="preserve">(beständiges Speisopfer) im </w:t>
      </w:r>
      <w:r w:rsidR="00F133EC">
        <w:rPr>
          <w:rFonts w:eastAsia="Times New Roman" w:cs="Times New Roman"/>
          <w:lang w:eastAsia="de-DE"/>
        </w:rPr>
        <w:t>Construct</w:t>
      </w:r>
      <w:r w:rsidRPr="00AC36A5">
        <w:rPr>
          <w:rFonts w:eastAsia="Times New Roman" w:cs="Times New Roman"/>
          <w:lang w:eastAsia="de-DE"/>
        </w:rPr>
        <w:t xml:space="preserve"> und </w:t>
      </w:r>
      <w:r w:rsidRPr="00AC36A5">
        <w:rPr>
          <w:rFonts w:eastAsia="Times New Roman" w:cs="Times New Roman"/>
          <w:b/>
          <w:bCs/>
          <w:rtl/>
          <w:lang w:eastAsia="de-DE"/>
        </w:rPr>
        <w:t>שֶׁמֶן הַמִּשְׁחָה</w:t>
      </w:r>
      <w:r w:rsidRPr="00AC36A5">
        <w:rPr>
          <w:rFonts w:eastAsia="Times New Roman" w:cs="Times New Roman"/>
          <w:rtl/>
          <w:lang w:eastAsia="de-DE"/>
        </w:rPr>
        <w:t xml:space="preserve"> </w:t>
      </w:r>
      <w:r w:rsidRPr="00AC36A5">
        <w:rPr>
          <w:rFonts w:eastAsia="Times New Roman" w:cs="Times New Roman"/>
          <w:lang w:eastAsia="de-DE"/>
        </w:rPr>
        <w:t xml:space="preserve">(Salböl) im </w:t>
      </w:r>
      <w:r w:rsidR="00F133EC">
        <w:rPr>
          <w:rFonts w:eastAsia="Times New Roman" w:cs="Times New Roman"/>
          <w:lang w:eastAsia="de-DE"/>
        </w:rPr>
        <w:t>Construct</w:t>
      </w:r>
      <w:r w:rsidRPr="00AC36A5">
        <w:rPr>
          <w:rFonts w:eastAsia="Times New Roman" w:cs="Times New Roman"/>
          <w:lang w:eastAsia="de-DE"/>
        </w:rPr>
        <w:t>.</w:t>
      </w:r>
    </w:p>
    <w:p w14:paraId="7EFB79FB" w14:textId="5CAE667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erweiternde zweite </w:t>
      </w:r>
      <w:r w:rsidRPr="00AC36A5">
        <w:rPr>
          <w:rFonts w:eastAsia="Times New Roman" w:cs="Times New Roman"/>
          <w:b/>
          <w:bCs/>
          <w:rtl/>
          <w:lang w:eastAsia="de-DE"/>
        </w:rPr>
        <w:t>פְקֻדַּת</w:t>
      </w:r>
      <w:r w:rsidRPr="00AC36A5">
        <w:rPr>
          <w:rFonts w:eastAsia="Times New Roman" w:cs="Times New Roman"/>
          <w:lang w:eastAsia="de-DE"/>
        </w:rPr>
        <w:t>-</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פְּקֻדַּת כָּל־הַמִּשְׁכָּן וְכָל־אֲשֶׁר־בּוֹ בְּקֹדֶשׁ וּבְכֵלָיו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כָּל־הַמִּשְׁכָּן</w:t>
      </w:r>
      <w:r w:rsidRPr="00AC36A5">
        <w:rPr>
          <w:rFonts w:eastAsia="Times New Roman" w:cs="Times New Roman"/>
          <w:rtl/>
          <w:lang w:eastAsia="de-DE"/>
        </w:rPr>
        <w:t xml:space="preserve"> </w:t>
      </w:r>
      <w:r w:rsidRPr="00AC36A5">
        <w:rPr>
          <w:rFonts w:eastAsia="Times New Roman" w:cs="Times New Roman"/>
          <w:lang w:eastAsia="de-DE"/>
        </w:rPr>
        <w:t xml:space="preserve">(die ganze Wohnung), </w:t>
      </w:r>
      <w:r w:rsidRPr="00AC36A5">
        <w:rPr>
          <w:rFonts w:eastAsia="Times New Roman" w:cs="Times New Roman"/>
          <w:b/>
          <w:bCs/>
          <w:rtl/>
          <w:lang w:eastAsia="de-DE"/>
        </w:rPr>
        <w:t>כָל־אֲשֶׁר־בּוֹ</w:t>
      </w:r>
      <w:r w:rsidRPr="00AC36A5">
        <w:rPr>
          <w:rFonts w:eastAsia="Times New Roman" w:cs="Times New Roman"/>
          <w:rtl/>
          <w:lang w:eastAsia="de-DE"/>
        </w:rPr>
        <w:t xml:space="preserve"> </w:t>
      </w:r>
      <w:r w:rsidRPr="00AC36A5">
        <w:rPr>
          <w:rFonts w:eastAsia="Times New Roman" w:cs="Times New Roman"/>
          <w:lang w:eastAsia="de-DE"/>
        </w:rPr>
        <w:t xml:space="preserve">(alles, was in ihr ist) mit Relativsatz und </w:t>
      </w:r>
      <w:r w:rsidRPr="00AC36A5">
        <w:rPr>
          <w:rFonts w:eastAsia="Times New Roman" w:cs="Times New Roman"/>
          <w:b/>
          <w:bCs/>
          <w:rtl/>
          <w:lang w:eastAsia="de-DE"/>
        </w:rPr>
        <w:t>בְּקֹדֶשׁ וּבְכֵלָיו</w:t>
      </w:r>
      <w:r w:rsidRPr="00AC36A5">
        <w:rPr>
          <w:rFonts w:eastAsia="Times New Roman" w:cs="Times New Roman"/>
          <w:rtl/>
          <w:lang w:eastAsia="de-DE"/>
        </w:rPr>
        <w:t xml:space="preserve"> </w:t>
      </w:r>
      <w:r w:rsidRPr="00AC36A5">
        <w:rPr>
          <w:rFonts w:eastAsia="Times New Roman" w:cs="Times New Roman"/>
          <w:lang w:eastAsia="de-DE"/>
        </w:rPr>
        <w:t>(im Heiligtum und in seinen Geräten) zeigt Eleasars Gesamtverantwortung.</w:t>
      </w:r>
    </w:p>
    <w:p w14:paraId="3AAB65EA" w14:textId="77777777" w:rsidR="008D0C5E" w:rsidRDefault="008D0C5E" w:rsidP="00AC36A5">
      <w:pPr>
        <w:spacing w:before="100" w:beforeAutospacing="1" w:after="100" w:afterAutospacing="1" w:line="240" w:lineRule="auto"/>
      </w:pPr>
      <w:r>
        <w:rPr>
          <w:rStyle w:val="Fett"/>
        </w:rPr>
        <w:t>Die LXX</w:t>
      </w:r>
      <w:r>
        <w:t xml:space="preserve"> übersetzt </w:t>
      </w:r>
      <w:r w:rsidRPr="008D0C5E">
        <w:rPr>
          <w:b/>
          <w:bCs/>
          <w:rtl/>
        </w:rPr>
        <w:t>פקדת</w:t>
      </w:r>
      <w:r>
        <w:t xml:space="preserve"> (pequddat - "Aufsicht") als ἐπισκοπή (Aufsicht/Inspektion). </w:t>
      </w:r>
      <w:r w:rsidRPr="008D0C5E">
        <w:rPr>
          <w:b/>
          <w:bCs/>
          <w:rtl/>
        </w:rPr>
        <w:t>מנחת</w:t>
      </w:r>
      <w:r>
        <w:rPr>
          <w:rtl/>
        </w:rPr>
        <w:t xml:space="preserve"> </w:t>
      </w:r>
      <w:r w:rsidRPr="008D0C5E">
        <w:rPr>
          <w:b/>
          <w:bCs/>
          <w:rtl/>
        </w:rPr>
        <w:t>התמיד</w:t>
      </w:r>
      <w:r>
        <w:t xml:space="preserve"> (minchat hattamid - "tägliches Speisopfer") wird als θυσία ἡ καθʼ ἡμέραν (tägliches Opfer) übersetzt.</w:t>
      </w:r>
    </w:p>
    <w:p w14:paraId="247C5BBA" w14:textId="4376FC1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doppelte </w:t>
      </w:r>
      <w:r w:rsidRPr="00AC36A5">
        <w:rPr>
          <w:rFonts w:eastAsia="Times New Roman" w:cs="Times New Roman"/>
          <w:b/>
          <w:bCs/>
          <w:rtl/>
          <w:lang w:eastAsia="de-DE"/>
        </w:rPr>
        <w:t>פְּקֻדַּת</w:t>
      </w:r>
      <w:r w:rsidRPr="00AC36A5">
        <w:rPr>
          <w:rFonts w:eastAsia="Times New Roman" w:cs="Times New Roman"/>
          <w:lang w:eastAsia="de-DE"/>
        </w:rPr>
        <w:t>-</w:t>
      </w:r>
      <w:r w:rsidR="00F133EC">
        <w:rPr>
          <w:rFonts w:eastAsia="Times New Roman" w:cs="Times New Roman"/>
          <w:lang w:eastAsia="de-DE"/>
        </w:rPr>
        <w:t>Construct</w:t>
      </w:r>
      <w:r w:rsidRPr="00AC36A5">
        <w:rPr>
          <w:rFonts w:eastAsia="Times New Roman" w:cs="Times New Roman"/>
          <w:lang w:eastAsia="de-DE"/>
        </w:rPr>
        <w:t>ion mit spezifischen und allgemeinen Verantwortlichkeiten, die Eleasars umfassende Oberaufsicht über alle heiligen Materialien und die gesamte Heiligtumsverwaltung etabliert.</w:t>
      </w:r>
    </w:p>
    <w:p w14:paraId="51D7C4E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Eleasar als Oberaufseher aller heiligen Materialien und der gesamten Heiligtumsverwaltung, womit die priesterliche Hierarchie über den levitischen Dienst verdeutlicht wird.</w:t>
      </w:r>
    </w:p>
    <w:p w14:paraId="5DA91BE5"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4,17</w:t>
      </w:r>
    </w:p>
    <w:p w14:paraId="3B9FFB7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וְאֶֽל־אַהֲרֹ֖ן לֵאמֹֽר׃</w:t>
      </w:r>
    </w:p>
    <w:p w14:paraId="037E742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und zu 'Aharon, sagend:</w:t>
      </w:r>
    </w:p>
    <w:p w14:paraId="2539A114"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lastRenderedPageBreak/>
        <w:pict w14:anchorId="0CD2DD0B">
          <v:rect id="_x0000_i1180" style="width:0;height:1.5pt" o:hralign="center" o:hrstd="t" o:hr="t" fillcolor="#a0a0a0" stroked="f"/>
        </w:pict>
      </w:r>
    </w:p>
    <w:p w14:paraId="2EE5519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(reden/sprechen) im Qal-Imperfekt 3. maskulin Singular mit Waw consecutivum leitet eine weitere göttliche Rede ein. 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koordinierten präpositionalen Phrase </w:t>
      </w:r>
      <w:r w:rsidRPr="00AC36A5">
        <w:rPr>
          <w:rFonts w:eastAsia="Times New Roman" w:cs="Times New Roman"/>
          <w:b/>
          <w:bCs/>
          <w:rtl/>
          <w:lang w:eastAsia="de-DE"/>
        </w:rPr>
        <w:t>אֶל־מֹשֶׁה וְאֶֽל־אַהֲרֹן</w:t>
      </w:r>
      <w:r w:rsidRPr="00AC36A5">
        <w:rPr>
          <w:rFonts w:eastAsia="Times New Roman" w:cs="Times New Roman"/>
          <w:rtl/>
          <w:lang w:eastAsia="de-DE"/>
        </w:rPr>
        <w:t xml:space="preserve"> </w:t>
      </w:r>
      <w:r w:rsidRPr="00AC36A5">
        <w:rPr>
          <w:rFonts w:eastAsia="Times New Roman" w:cs="Times New Roman"/>
          <w:lang w:eastAsia="de-DE"/>
        </w:rPr>
        <w:t>entspricht der Einleitung in Vers 1 und Vers 17.</w:t>
      </w:r>
    </w:p>
    <w:p w14:paraId="2E78A33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doppelte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mit Waw copulativum betont erneut die gemeinsame Verantwortung beider Brüder für die folgenden wichtigen Anweisungen zum Schutz der Kehatiter.</w:t>
      </w:r>
    </w:p>
    <w:p w14:paraId="651B45A2" w14:textId="54941FA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ist der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und fungiert als Redeeinleitung für die folgende lebensrettende Warnung.</w:t>
      </w:r>
    </w:p>
    <w:p w14:paraId="624B35F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καὶ Ααρων λέγων und behält die doppelte Adressierung bei.</w:t>
      </w:r>
    </w:p>
    <w:p w14:paraId="7A61FD9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die charakteristische Offenbarungsformel mit doppelter Adressierung.</w:t>
      </w:r>
    </w:p>
    <w:p w14:paraId="1C4AD19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markiert einen wichtigen Wendepunkt zu spezifischen Schutzbestimmungen für die Kehatiter und unterstreicht durch die doppelte Adressierung die gemeinsame Verantwortung von Mose und Aaron für das Überleben der levitischen Diener.</w:t>
      </w:r>
    </w:p>
    <w:p w14:paraId="7D5857C3"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4,18</w:t>
      </w:r>
    </w:p>
    <w:p w14:paraId="412BCAF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אַל־תַּכְרִ֕יתוּ אֶת־שֵׁ֖בֶט מִשְׁפְּחֹ֣ת הַקְּהָתִ֑י מִתּ֖וֹךְ הַלְוִיִּֽם׃</w:t>
      </w:r>
    </w:p>
    <w:p w14:paraId="4816AB7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Ihr sollt den Stamm der Familien des Kehati nicht ausrotten aus der Mitte der Levijim;</w:t>
      </w:r>
    </w:p>
    <w:p w14:paraId="28BCDB7C"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076A014">
          <v:rect id="_x0000_i1181" style="width:0;height:1.5pt" o:hralign="center" o:hrstd="t" o:hr="t" fillcolor="#a0a0a0" stroked="f"/>
        </w:pict>
      </w:r>
    </w:p>
    <w:p w14:paraId="703CE30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Negation </w:t>
      </w:r>
      <w:r w:rsidRPr="00AC36A5">
        <w:rPr>
          <w:rFonts w:eastAsia="Times New Roman" w:cs="Times New Roman"/>
          <w:b/>
          <w:bCs/>
          <w:rtl/>
          <w:lang w:eastAsia="de-DE"/>
        </w:rPr>
        <w:t>אַל</w:t>
      </w:r>
      <w:r w:rsidRPr="00AC36A5">
        <w:rPr>
          <w:rFonts w:eastAsia="Times New Roman" w:cs="Times New Roman"/>
          <w:rtl/>
          <w:lang w:eastAsia="de-DE"/>
        </w:rPr>
        <w:t xml:space="preserve"> </w:t>
      </w:r>
      <w:r w:rsidRPr="00AC36A5">
        <w:rPr>
          <w:rFonts w:eastAsia="Times New Roman" w:cs="Times New Roman"/>
          <w:lang w:eastAsia="de-DE"/>
        </w:rPr>
        <w:t xml:space="preserve">mit dem Verb </w:t>
      </w:r>
      <w:r w:rsidRPr="00AC36A5">
        <w:rPr>
          <w:rFonts w:eastAsia="Times New Roman" w:cs="Times New Roman"/>
          <w:b/>
          <w:bCs/>
          <w:rtl/>
          <w:lang w:eastAsia="de-DE"/>
        </w:rPr>
        <w:t>תַּכְרִיתוּ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כרת</w:t>
      </w:r>
      <w:r w:rsidRPr="00AC36A5">
        <w:rPr>
          <w:rFonts w:eastAsia="Times New Roman" w:cs="Times New Roman"/>
          <w:rtl/>
          <w:lang w:eastAsia="de-DE"/>
        </w:rPr>
        <w:t xml:space="preserve"> </w:t>
      </w:r>
      <w:r w:rsidRPr="00AC36A5">
        <w:rPr>
          <w:rFonts w:eastAsia="Times New Roman" w:cs="Times New Roman"/>
          <w:lang w:eastAsia="de-DE"/>
        </w:rPr>
        <w:t xml:space="preserve">(abschneiden/ausrotten) im Hiph'il-Imperfekt 2. maskulin Plural zeigt ein dringendes Verbot. </w:t>
      </w:r>
      <w:r w:rsidRPr="00AC36A5">
        <w:rPr>
          <w:rFonts w:eastAsia="Times New Roman" w:cs="Times New Roman"/>
          <w:b/>
          <w:bCs/>
          <w:rtl/>
          <w:lang w:eastAsia="de-DE"/>
        </w:rPr>
        <w:t>כרת</w:t>
      </w:r>
      <w:r w:rsidRPr="00AC36A5">
        <w:rPr>
          <w:rFonts w:eastAsia="Times New Roman" w:cs="Times New Roman"/>
          <w:rtl/>
          <w:lang w:eastAsia="de-DE"/>
        </w:rPr>
        <w:t xml:space="preserve"> </w:t>
      </w:r>
      <w:r w:rsidRPr="00AC36A5">
        <w:rPr>
          <w:rFonts w:eastAsia="Times New Roman" w:cs="Times New Roman"/>
          <w:lang w:eastAsia="de-DE"/>
        </w:rPr>
        <w:t>in der Hiph'il-Form bedeutet "ausrotten/vernichten" und wird oft für das göttliche Strafgericht verwendet.</w:t>
      </w:r>
    </w:p>
    <w:p w14:paraId="6ADFAD6F" w14:textId="73871DA6"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direkte Objekt </w:t>
      </w:r>
      <w:r w:rsidRPr="00AC36A5">
        <w:rPr>
          <w:rFonts w:eastAsia="Times New Roman" w:cs="Times New Roman"/>
          <w:b/>
          <w:bCs/>
          <w:rtl/>
          <w:lang w:eastAsia="de-DE"/>
        </w:rPr>
        <w:t>אֶת־שֵׁבֶט מִשְׁפְּחֹת הַקְּהָתִי</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zeigt </w:t>
      </w:r>
      <w:r w:rsidRPr="00AC36A5">
        <w:rPr>
          <w:rFonts w:eastAsia="Times New Roman" w:cs="Times New Roman"/>
          <w:b/>
          <w:bCs/>
          <w:rtl/>
          <w:lang w:eastAsia="de-DE"/>
        </w:rPr>
        <w:t>שֵׁבֶט</w:t>
      </w:r>
      <w:r w:rsidRPr="00AC36A5">
        <w:rPr>
          <w:rFonts w:eastAsia="Times New Roman" w:cs="Times New Roman"/>
          <w:rtl/>
          <w:lang w:eastAsia="de-DE"/>
        </w:rPr>
        <w:t xml:space="preserve"> </w:t>
      </w:r>
      <w:r w:rsidRPr="00AC36A5">
        <w:rPr>
          <w:rFonts w:eastAsia="Times New Roman" w:cs="Times New Roman"/>
          <w:lang w:eastAsia="de-DE"/>
        </w:rPr>
        <w:t xml:space="preserve">(Stamm/Zweig)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מִשְׁפְּחֹת הַקְּהָתִי</w:t>
      </w:r>
      <w:r w:rsidRPr="00AC36A5">
        <w:rPr>
          <w:rFonts w:eastAsia="Times New Roman" w:cs="Times New Roman"/>
          <w:rtl/>
          <w:lang w:eastAsia="de-DE"/>
        </w:rPr>
        <w:t xml:space="preserve"> </w:t>
      </w:r>
      <w:r w:rsidRPr="00AC36A5">
        <w:rPr>
          <w:rFonts w:eastAsia="Times New Roman" w:cs="Times New Roman"/>
          <w:lang w:eastAsia="de-DE"/>
        </w:rPr>
        <w:t>(Familien des Kehatiter) mit der kollektiven Gentilizform.</w:t>
      </w:r>
    </w:p>
    <w:p w14:paraId="220D664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מִתּוֹךְ הַלְוִיִּם</w:t>
      </w:r>
      <w:r w:rsidRPr="00AC36A5">
        <w:rPr>
          <w:rFonts w:eastAsia="Times New Roman" w:cs="Times New Roman"/>
          <w:rtl/>
          <w:lang w:eastAsia="de-DE"/>
        </w:rPr>
        <w:t xml:space="preserve"> </w:t>
      </w:r>
      <w:r w:rsidRPr="00AC36A5">
        <w:rPr>
          <w:rFonts w:eastAsia="Times New Roman" w:cs="Times New Roman"/>
          <w:lang w:eastAsia="de-DE"/>
        </w:rPr>
        <w:t xml:space="preserve">(aus der Mitte der Leviten) mit </w:t>
      </w:r>
      <w:r w:rsidRPr="00AC36A5">
        <w:rPr>
          <w:rFonts w:eastAsia="Times New Roman" w:cs="Times New Roman"/>
          <w:b/>
          <w:bCs/>
          <w:rtl/>
          <w:lang w:eastAsia="de-DE"/>
        </w:rPr>
        <w:t>מִתּוֹךְ</w:t>
      </w:r>
      <w:r w:rsidRPr="00AC36A5">
        <w:rPr>
          <w:rFonts w:eastAsia="Times New Roman" w:cs="Times New Roman"/>
          <w:rtl/>
          <w:lang w:eastAsia="de-DE"/>
        </w:rPr>
        <w:t xml:space="preserve"> </w:t>
      </w:r>
      <w:r w:rsidRPr="00AC36A5">
        <w:rPr>
          <w:rFonts w:eastAsia="Times New Roman" w:cs="Times New Roman"/>
          <w:lang w:eastAsia="de-DE"/>
        </w:rPr>
        <w:t>(aus der Mitte von) zeigt den Kontext innerhalb der levitischen Gemeinschaft.</w:t>
      </w:r>
    </w:p>
    <w:p w14:paraId="7718608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Formulierung impliziert, dass unsachgemäßer Umgang mit den heiligen Gegenständen zum Tod aller Kehatiter und damit zur Vernichtung dieser wichtigen levitischen Linie führen könnte.</w:t>
      </w:r>
    </w:p>
    <w:p w14:paraId="7D3B9BCA" w14:textId="2746F70C" w:rsidR="00AC36A5" w:rsidRPr="00AC36A5" w:rsidRDefault="008D0C5E"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8D0C5E">
        <w:rPr>
          <w:b/>
          <w:bCs/>
          <w:rtl/>
        </w:rPr>
        <w:t>אל־תכריתו</w:t>
      </w:r>
      <w:r>
        <w:t xml:space="preserve"> (al-tachritū - "rottet nicht aus") als μὴ ὀλεθρεύσητε (vernichtet nicht), was die Ernsthaftigkeit der Warnung betont.</w:t>
      </w:r>
    </w:p>
    <w:p w14:paraId="72D48DB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 Satzstruktur zeigt einen prohibitiven Satz mit emphatischer Negation und kollektiver Bezeichnung der gefährdeten Gruppe.</w:t>
      </w:r>
    </w:p>
    <w:p w14:paraId="5F4C9C2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drückt Gottes Sorge um das Überleben der Kehatiter aus und bereitet die folgenden Schutzmaßnahmen vor, die ihre Vernichtung durch unsachgemäße Exposition gegenüber dem Heiligen verhindern sollen.</w:t>
      </w:r>
    </w:p>
    <w:p w14:paraId="467E820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4,19</w:t>
      </w:r>
    </w:p>
    <w:p w14:paraId="7E4FA8A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וְזֹ֣את׀ עֲשׂ֣וּ לָהֶ֗ם וְחָיוּ֙ וְלֹ֣א יָמֻ֔תוּ בְּגִשְׁתָּ֖ם אֶת־קֹ֣דֶשׁ הַקֳּדָשִׁ֑ים אַהֲרֹ֤ן וּבָנָיו֙ יָבֹ֔אוּ וְשָׂמ֣וּ אוֹתָ֗ם אִ֥ישׁ אִ֛ישׁ עַל־עֲבֹדָתוֹ֖ וְאֶל־מַשָּׂאֹֽו׃</w:t>
      </w:r>
    </w:p>
    <w:p w14:paraId="5106D60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sondern dies sollt ihr für sie tun, damit sie leben und nicht sterben, wenn sie dem Allerheiligsten nahen: 'Aharon und seine Söhne sollen kommen und sie, jeden Einzelnen, bei seinem Dienst und bei seiner Traglast anstellen.</w:t>
      </w:r>
    </w:p>
    <w:p w14:paraId="0E4DBB04"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8682118">
          <v:rect id="_x0000_i1182" style="width:0;height:1.5pt" o:hralign="center" o:hrstd="t" o:hr="t" fillcolor="#a0a0a0" stroked="f"/>
        </w:pict>
      </w:r>
    </w:p>
    <w:p w14:paraId="570C2E3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וְזֹאת</w:t>
      </w:r>
      <w:r w:rsidRPr="00AC36A5">
        <w:rPr>
          <w:rFonts w:eastAsia="Times New Roman" w:cs="Times New Roman"/>
          <w:rtl/>
          <w:lang w:eastAsia="de-DE"/>
        </w:rPr>
        <w:t xml:space="preserve"> </w:t>
      </w:r>
      <w:r w:rsidRPr="00AC36A5">
        <w:rPr>
          <w:rFonts w:eastAsia="Times New Roman" w:cs="Times New Roman"/>
          <w:lang w:eastAsia="de-DE"/>
        </w:rPr>
        <w:t xml:space="preserve">(und dies) mit dem Imperativ </w:t>
      </w:r>
      <w:r w:rsidRPr="00AC36A5">
        <w:rPr>
          <w:rFonts w:eastAsia="Times New Roman" w:cs="Times New Roman"/>
          <w:b/>
          <w:bCs/>
          <w:rtl/>
          <w:lang w:eastAsia="de-DE"/>
        </w:rPr>
        <w:t>עֲשׂוּ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עשה</w:t>
      </w:r>
      <w:r w:rsidRPr="00AC36A5">
        <w:rPr>
          <w:rFonts w:eastAsia="Times New Roman" w:cs="Times New Roman"/>
          <w:rtl/>
          <w:lang w:eastAsia="de-DE"/>
        </w:rPr>
        <w:t xml:space="preserve"> </w:t>
      </w:r>
      <w:r w:rsidRPr="00AC36A5">
        <w:rPr>
          <w:rFonts w:eastAsia="Times New Roman" w:cs="Times New Roman"/>
          <w:lang w:eastAsia="de-DE"/>
        </w:rPr>
        <w:t xml:space="preserve">(tun) im Qal-Imperativ maskulin Plural und </w:t>
      </w:r>
      <w:r w:rsidRPr="00AC36A5">
        <w:rPr>
          <w:rFonts w:eastAsia="Times New Roman" w:cs="Times New Roman"/>
          <w:b/>
          <w:bCs/>
          <w:rtl/>
          <w:lang w:eastAsia="de-DE"/>
        </w:rPr>
        <w:t>לָהֶם</w:t>
      </w:r>
      <w:r w:rsidRPr="00AC36A5">
        <w:rPr>
          <w:rFonts w:eastAsia="Times New Roman" w:cs="Times New Roman"/>
          <w:rtl/>
          <w:lang w:eastAsia="de-DE"/>
        </w:rPr>
        <w:t xml:space="preserve"> </w:t>
      </w:r>
      <w:r w:rsidRPr="00AC36A5">
        <w:rPr>
          <w:rFonts w:eastAsia="Times New Roman" w:cs="Times New Roman"/>
          <w:lang w:eastAsia="de-DE"/>
        </w:rPr>
        <w:t>(für sie) leitet die rettende Maßnahme ein.</w:t>
      </w:r>
    </w:p>
    <w:p w14:paraId="0955E2C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Zweckangabe </w:t>
      </w:r>
      <w:r w:rsidRPr="00AC36A5">
        <w:rPr>
          <w:rFonts w:eastAsia="Times New Roman" w:cs="Times New Roman"/>
          <w:b/>
          <w:bCs/>
          <w:rtl/>
          <w:lang w:eastAsia="de-DE"/>
        </w:rPr>
        <w:t>וְחָיוּ וְלֹא יָמֻתוּ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חָיוּ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חיה</w:t>
      </w:r>
      <w:r w:rsidRPr="00AC36A5">
        <w:rPr>
          <w:rFonts w:eastAsia="Times New Roman" w:cs="Times New Roman"/>
          <w:rtl/>
          <w:lang w:eastAsia="de-DE"/>
        </w:rPr>
        <w:t xml:space="preserve"> </w:t>
      </w:r>
      <w:r w:rsidRPr="00AC36A5">
        <w:rPr>
          <w:rFonts w:eastAsia="Times New Roman" w:cs="Times New Roman"/>
          <w:lang w:eastAsia="de-DE"/>
        </w:rPr>
        <w:t xml:space="preserve">(leben) im Qal-Perfekt 3. maskulin Plural und der Negation </w:t>
      </w:r>
      <w:r w:rsidRPr="00AC36A5">
        <w:rPr>
          <w:rFonts w:eastAsia="Times New Roman" w:cs="Times New Roman"/>
          <w:b/>
          <w:bCs/>
          <w:rtl/>
          <w:lang w:eastAsia="de-DE"/>
        </w:rPr>
        <w:t>לֹא</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יָמֻתוּ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מות</w:t>
      </w:r>
      <w:r w:rsidRPr="00AC36A5">
        <w:rPr>
          <w:rFonts w:eastAsia="Times New Roman" w:cs="Times New Roman"/>
          <w:rtl/>
          <w:lang w:eastAsia="de-DE"/>
        </w:rPr>
        <w:t xml:space="preserve"> </w:t>
      </w:r>
      <w:r w:rsidRPr="00AC36A5">
        <w:rPr>
          <w:rFonts w:eastAsia="Times New Roman" w:cs="Times New Roman"/>
          <w:lang w:eastAsia="de-DE"/>
        </w:rPr>
        <w:t>(sterben) im Qal-Imperfekt 3. maskulin Plural zeigt das Ziel: Leben statt Tod.</w:t>
      </w:r>
    </w:p>
    <w:p w14:paraId="3EEA9EC0" w14:textId="2CFB107F"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temporale Bestimmung </w:t>
      </w:r>
      <w:r w:rsidRPr="00AC36A5">
        <w:rPr>
          <w:rFonts w:eastAsia="Times New Roman" w:cs="Times New Roman"/>
          <w:b/>
          <w:bCs/>
          <w:rtl/>
          <w:lang w:eastAsia="de-DE"/>
        </w:rPr>
        <w:t>בְּגִשְׁתָּם אֶת־קֹדֶשׁ הַקֳּדָשִׁים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w:t>
      </w:r>
      <w:r w:rsidRPr="00AC36A5">
        <w:rPr>
          <w:rFonts w:eastAsia="Times New Roman" w:cs="Times New Roman"/>
          <w:rtl/>
          <w:lang w:eastAsia="de-DE"/>
        </w:rPr>
        <w:t xml:space="preserve"> </w:t>
      </w:r>
      <w:r w:rsidRPr="00AC36A5">
        <w:rPr>
          <w:rFonts w:eastAsia="Times New Roman" w:cs="Times New Roman"/>
          <w:lang w:eastAsia="de-DE"/>
        </w:rPr>
        <w:t>und dem Qal-Infinitiv-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גִשְׁתָּם</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נגש</w:t>
      </w:r>
      <w:r w:rsidRPr="00AC36A5">
        <w:rPr>
          <w:rFonts w:eastAsia="Times New Roman" w:cs="Times New Roman"/>
          <w:rtl/>
          <w:lang w:eastAsia="de-DE"/>
        </w:rPr>
        <w:t xml:space="preserve"> </w:t>
      </w:r>
      <w:r w:rsidRPr="00AC36A5">
        <w:rPr>
          <w:rFonts w:eastAsia="Times New Roman" w:cs="Times New Roman"/>
          <w:lang w:eastAsia="de-DE"/>
        </w:rPr>
        <w:t xml:space="preserve">(sich nähern) plus Possessivsuffix 3. maskulin Plural und </w:t>
      </w:r>
      <w:r w:rsidRPr="00AC36A5">
        <w:rPr>
          <w:rFonts w:eastAsia="Times New Roman" w:cs="Times New Roman"/>
          <w:b/>
          <w:bCs/>
          <w:rtl/>
          <w:lang w:eastAsia="de-DE"/>
        </w:rPr>
        <w:t>קֹדֶשׁ הַקֳּדָשִׁים</w:t>
      </w:r>
      <w:r w:rsidRPr="00AC36A5">
        <w:rPr>
          <w:rFonts w:eastAsia="Times New Roman" w:cs="Times New Roman"/>
          <w:rtl/>
          <w:lang w:eastAsia="de-DE"/>
        </w:rPr>
        <w:t xml:space="preserve"> </w:t>
      </w:r>
      <w:r w:rsidRPr="00AC36A5">
        <w:rPr>
          <w:rFonts w:eastAsia="Times New Roman" w:cs="Times New Roman"/>
          <w:lang w:eastAsia="de-DE"/>
        </w:rPr>
        <w:t>(Allerheiligste) spezifiziert die Gefahrensituation.</w:t>
      </w:r>
    </w:p>
    <w:p w14:paraId="49D9022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Subjekt </w:t>
      </w:r>
      <w:r w:rsidRPr="00AC36A5">
        <w:rPr>
          <w:rFonts w:eastAsia="Times New Roman" w:cs="Times New Roman"/>
          <w:b/>
          <w:bCs/>
          <w:rtl/>
          <w:lang w:eastAsia="de-DE"/>
        </w:rPr>
        <w:t>אַהֲרֹן וּבָנָיו</w:t>
      </w:r>
      <w:r w:rsidRPr="00AC36A5">
        <w:rPr>
          <w:rFonts w:eastAsia="Times New Roman" w:cs="Times New Roman"/>
          <w:rtl/>
          <w:lang w:eastAsia="de-DE"/>
        </w:rPr>
        <w:t xml:space="preserve"> </w:t>
      </w:r>
      <w:r w:rsidRPr="00AC36A5">
        <w:rPr>
          <w:rFonts w:eastAsia="Times New Roman" w:cs="Times New Roman"/>
          <w:lang w:eastAsia="de-DE"/>
        </w:rPr>
        <w:t xml:space="preserve">mit dem Verb </w:t>
      </w:r>
      <w:r w:rsidRPr="00AC36A5">
        <w:rPr>
          <w:rFonts w:eastAsia="Times New Roman" w:cs="Times New Roman"/>
          <w:b/>
          <w:bCs/>
          <w:rtl/>
          <w:lang w:eastAsia="de-DE"/>
        </w:rPr>
        <w:t>יָבֹאוּ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(kommen) im Qal-Imperfekt 3. maskulin Plural zeigt die priesterliche Initiative.</w:t>
      </w:r>
    </w:p>
    <w:p w14:paraId="2534097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וְשָׂמוּ אוֹתָם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שָׂמוּ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שים</w:t>
      </w:r>
      <w:r w:rsidRPr="00AC36A5">
        <w:rPr>
          <w:rFonts w:eastAsia="Times New Roman" w:cs="Times New Roman"/>
          <w:rtl/>
          <w:lang w:eastAsia="de-DE"/>
        </w:rPr>
        <w:t xml:space="preserve"> </w:t>
      </w:r>
      <w:r w:rsidRPr="00AC36A5">
        <w:rPr>
          <w:rFonts w:eastAsia="Times New Roman" w:cs="Times New Roman"/>
          <w:lang w:eastAsia="de-DE"/>
        </w:rPr>
        <w:t xml:space="preserve">(setzen/stellen) und </w:t>
      </w:r>
      <w:r w:rsidRPr="00AC36A5">
        <w:rPr>
          <w:rFonts w:eastAsia="Times New Roman" w:cs="Times New Roman"/>
          <w:b/>
          <w:bCs/>
          <w:rtl/>
          <w:lang w:eastAsia="de-DE"/>
        </w:rPr>
        <w:t>אוֹתָם</w:t>
      </w:r>
      <w:r w:rsidRPr="00AC36A5">
        <w:rPr>
          <w:rFonts w:eastAsia="Times New Roman" w:cs="Times New Roman"/>
          <w:rtl/>
          <w:lang w:eastAsia="de-DE"/>
        </w:rPr>
        <w:t xml:space="preserve"> </w:t>
      </w:r>
      <w:r w:rsidRPr="00AC36A5">
        <w:rPr>
          <w:rFonts w:eastAsia="Times New Roman" w:cs="Times New Roman"/>
          <w:lang w:eastAsia="de-DE"/>
        </w:rPr>
        <w:t>(sie) zeigt die Aufgabenverteilung.</w:t>
      </w:r>
    </w:p>
    <w:p w14:paraId="585C6476" w14:textId="4A5C552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distributive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אִישׁ אִישׁ עַל־עֲבֹדָתוֹ וְאֶל־מַשָּׂאֹו</w:t>
      </w:r>
      <w:r w:rsidRPr="00AC36A5">
        <w:rPr>
          <w:rFonts w:eastAsia="Times New Roman" w:cs="Times New Roman"/>
          <w:rtl/>
          <w:lang w:eastAsia="de-DE"/>
        </w:rPr>
        <w:t xml:space="preserve"> </w:t>
      </w:r>
      <w:r w:rsidRPr="00AC36A5">
        <w:rPr>
          <w:rFonts w:eastAsia="Times New Roman" w:cs="Times New Roman"/>
          <w:lang w:eastAsia="de-DE"/>
        </w:rPr>
        <w:t xml:space="preserve">mit der charakteristischen Reduplikation </w:t>
      </w:r>
      <w:r w:rsidRPr="00AC36A5">
        <w:rPr>
          <w:rFonts w:eastAsia="Times New Roman" w:cs="Times New Roman"/>
          <w:b/>
          <w:bCs/>
          <w:rtl/>
          <w:lang w:eastAsia="de-DE"/>
        </w:rPr>
        <w:t>אִישׁ אִישׁ</w:t>
      </w:r>
      <w:r w:rsidRPr="00AC36A5">
        <w:rPr>
          <w:rFonts w:eastAsia="Times New Roman" w:cs="Times New Roman"/>
          <w:rtl/>
          <w:lang w:eastAsia="de-DE"/>
        </w:rPr>
        <w:t xml:space="preserve"> </w:t>
      </w:r>
      <w:r w:rsidRPr="00AC36A5">
        <w:rPr>
          <w:rFonts w:eastAsia="Times New Roman" w:cs="Times New Roman"/>
          <w:lang w:eastAsia="de-DE"/>
        </w:rPr>
        <w:t xml:space="preserve">(Mann Mann = jeder einzelne Mann) und den koordinierten präpositionalen Phrasen </w:t>
      </w:r>
      <w:r w:rsidRPr="00AC36A5">
        <w:rPr>
          <w:rFonts w:eastAsia="Times New Roman" w:cs="Times New Roman"/>
          <w:b/>
          <w:bCs/>
          <w:rtl/>
          <w:lang w:eastAsia="de-DE"/>
        </w:rPr>
        <w:t>עַל־עֲבֹדָתוֹ</w:t>
      </w:r>
      <w:r w:rsidRPr="00AC36A5">
        <w:rPr>
          <w:rFonts w:eastAsia="Times New Roman" w:cs="Times New Roman"/>
          <w:rtl/>
          <w:lang w:eastAsia="de-DE"/>
        </w:rPr>
        <w:t xml:space="preserve"> </w:t>
      </w:r>
      <w:r w:rsidRPr="00AC36A5">
        <w:rPr>
          <w:rFonts w:eastAsia="Times New Roman" w:cs="Times New Roman"/>
          <w:lang w:eastAsia="de-DE"/>
        </w:rPr>
        <w:t xml:space="preserve">(bei seinem Dienst) und </w:t>
      </w:r>
      <w:r w:rsidRPr="00AC36A5">
        <w:rPr>
          <w:rFonts w:eastAsia="Times New Roman" w:cs="Times New Roman"/>
          <w:b/>
          <w:bCs/>
          <w:rtl/>
          <w:lang w:eastAsia="de-DE"/>
        </w:rPr>
        <w:t>אֶל־מַשָּׂאֹו</w:t>
      </w:r>
      <w:r w:rsidRPr="00AC36A5">
        <w:rPr>
          <w:rFonts w:eastAsia="Times New Roman" w:cs="Times New Roman"/>
          <w:rtl/>
          <w:lang w:eastAsia="de-DE"/>
        </w:rPr>
        <w:t xml:space="preserve"> </w:t>
      </w:r>
      <w:r w:rsidRPr="00AC36A5">
        <w:rPr>
          <w:rFonts w:eastAsia="Times New Roman" w:cs="Times New Roman"/>
          <w:lang w:eastAsia="de-DE"/>
        </w:rPr>
        <w:t>(zu seiner Traglast) zeigt die individuelle Zuweisung.</w:t>
      </w:r>
    </w:p>
    <w:p w14:paraId="6B86E638" w14:textId="7AFC989F" w:rsidR="00AC36A5" w:rsidRPr="00AC36A5" w:rsidRDefault="008D0C5E"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8D0C5E">
        <w:rPr>
          <w:b/>
          <w:bCs/>
          <w:rtl/>
        </w:rPr>
        <w:t>כבלע</w:t>
      </w:r>
      <w:r>
        <w:t xml:space="preserve"> (kevalla' - "wie ein Verschlingen/Augenblick") als ἐξάπινα (plötzlich/unerwartet), was eine interpretative Übersetzung eines schwierigen hebräischen Wortes darstellt.</w:t>
      </w:r>
    </w:p>
    <w:p w14:paraId="313AED0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demonstrative Einleitung mit Zweckangaben (Leben vs. Tod), temporaler Gefahrenspezifikation und detaillierter Anweisung zur individuellen priesterlichen Aufgabenzuweisung.</w:t>
      </w:r>
    </w:p>
    <w:p w14:paraId="3CA3002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Dieser Vers etabliert das lebensrettende Protokoll: Die Priester müssen jeden Kehatiter individuell einer spezifischen, bereits verpackten Aufgabe zuweisen, bevor diese sich dem Allerheiligsten nähern dürfen.</w:t>
      </w:r>
    </w:p>
    <w:p w14:paraId="544A9CC2"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4,20</w:t>
      </w:r>
    </w:p>
    <w:p w14:paraId="4D6C933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וְלֹא־יָבֹ֧אוּ לִרְא֛וֹת כְּבַלַּ֥ע אֶת־הַקֹּ֖דֶשׁ וָמֵֽתוּ׃</w:t>
      </w:r>
    </w:p>
    <w:p w14:paraId="5958B5E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Aber sie sollen nicht kommen, um auch nur einen Augenblick das Heilige zu sehen, damit sie nicht sterben.</w:t>
      </w:r>
    </w:p>
    <w:p w14:paraId="3B46D0E8"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DCA8D4E">
          <v:rect id="_x0000_i1183" style="width:0;height:1.5pt" o:hralign="center" o:hrstd="t" o:hr="t" fillcolor="#a0a0a0" stroked="f"/>
        </w:pict>
      </w:r>
    </w:p>
    <w:p w14:paraId="26C92F6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emphatische Negation </w:t>
      </w:r>
      <w:r w:rsidRPr="00AC36A5">
        <w:rPr>
          <w:rFonts w:eastAsia="Times New Roman" w:cs="Times New Roman"/>
          <w:b/>
          <w:bCs/>
          <w:rtl/>
          <w:lang w:eastAsia="de-DE"/>
        </w:rPr>
        <w:t>וְלֹא־יָבֹאוּ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לֹא</w:t>
      </w:r>
      <w:r w:rsidRPr="00AC36A5">
        <w:rPr>
          <w:rFonts w:eastAsia="Times New Roman" w:cs="Times New Roman"/>
          <w:rtl/>
          <w:lang w:eastAsia="de-DE"/>
        </w:rPr>
        <w:t xml:space="preserve"> </w:t>
      </w:r>
      <w:r w:rsidRPr="00AC36A5">
        <w:rPr>
          <w:rFonts w:eastAsia="Times New Roman" w:cs="Times New Roman"/>
          <w:lang w:eastAsia="de-DE"/>
        </w:rPr>
        <w:t xml:space="preserve">und </w:t>
      </w:r>
      <w:r w:rsidRPr="00AC36A5">
        <w:rPr>
          <w:rFonts w:eastAsia="Times New Roman" w:cs="Times New Roman"/>
          <w:b/>
          <w:bCs/>
          <w:rtl/>
          <w:lang w:eastAsia="de-DE"/>
        </w:rPr>
        <w:t>יָבֹאוּ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(kommen) im Qal-Imperfekt 3. maskulin Plural zeigt das strikte Verbot für die Kehatiter.</w:t>
      </w:r>
    </w:p>
    <w:p w14:paraId="0F2C0ABD" w14:textId="53C543C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finale Infinitiv </w:t>
      </w:r>
      <w:r w:rsidRPr="00AC36A5">
        <w:rPr>
          <w:rFonts w:eastAsia="Times New Roman" w:cs="Times New Roman"/>
          <w:b/>
          <w:bCs/>
          <w:rtl/>
          <w:lang w:eastAsia="de-DE"/>
        </w:rPr>
        <w:t>לִרְאוֹת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ראה</w:t>
      </w:r>
      <w:r w:rsidRPr="00AC36A5">
        <w:rPr>
          <w:rFonts w:eastAsia="Times New Roman" w:cs="Times New Roman"/>
          <w:rtl/>
          <w:lang w:eastAsia="de-DE"/>
        </w:rPr>
        <w:t xml:space="preserve"> </w:t>
      </w:r>
      <w:r w:rsidRPr="00AC36A5">
        <w:rPr>
          <w:rFonts w:eastAsia="Times New Roman" w:cs="Times New Roman"/>
          <w:lang w:eastAsia="de-DE"/>
        </w:rPr>
        <w:t>(sehen) im Qal-Infinitiv-</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לְ</w:t>
      </w:r>
      <w:r w:rsidRPr="00AC36A5">
        <w:rPr>
          <w:rFonts w:eastAsia="Times New Roman" w:cs="Times New Roman"/>
          <w:rtl/>
          <w:lang w:eastAsia="de-DE"/>
        </w:rPr>
        <w:t xml:space="preserve"> </w:t>
      </w:r>
      <w:r w:rsidRPr="00AC36A5">
        <w:rPr>
          <w:rFonts w:eastAsia="Times New Roman" w:cs="Times New Roman"/>
          <w:lang w:eastAsia="de-DE"/>
        </w:rPr>
        <w:t>zeigt den verbotenen Zweck des Kommens.</w:t>
      </w:r>
    </w:p>
    <w:p w14:paraId="6E21D1A8" w14:textId="77777777" w:rsidR="003231DC" w:rsidRDefault="003231DC" w:rsidP="003231DC">
      <w:pPr>
        <w:pStyle w:val="whitespace-normal"/>
      </w:pPr>
      <w:r>
        <w:t xml:space="preserve">Die schwierige Phrase </w:t>
      </w:r>
      <w:r>
        <w:rPr>
          <w:rtl/>
        </w:rPr>
        <w:t>כְּבַלַּע אֶת־הַקֹּדֶשׁ</w:t>
      </w:r>
      <w:r>
        <w:t xml:space="preserve"> (wörtlich: 'wie ein Verschlingen des Heiligen') ist exegetisch umstritten:</w:t>
      </w:r>
    </w:p>
    <w:p w14:paraId="227505B5" w14:textId="77777777" w:rsidR="003231DC" w:rsidRDefault="003231DC" w:rsidP="00C15C06">
      <w:pPr>
        <w:pStyle w:val="whitespace-normal"/>
        <w:numPr>
          <w:ilvl w:val="0"/>
          <w:numId w:val="44"/>
        </w:numPr>
      </w:pPr>
      <w:r>
        <w:rPr>
          <w:rStyle w:val="Fett"/>
        </w:rPr>
        <w:t>Temporal</w:t>
      </w:r>
      <w:r>
        <w:t xml:space="preserve"> (bevorzugt): 'auch nur einen Augenblick' – </w:t>
      </w:r>
      <w:r>
        <w:rPr>
          <w:rtl/>
        </w:rPr>
        <w:t>בלע</w:t>
      </w:r>
      <w:r>
        <w:t xml:space="preserve"> als Metapher für Schnelligkeit (vgl. Hi 7,19; Ps 21,10)</w:t>
      </w:r>
    </w:p>
    <w:p w14:paraId="7E68A4FA" w14:textId="77777777" w:rsidR="003231DC" w:rsidRDefault="003231DC" w:rsidP="00C15C06">
      <w:pPr>
        <w:pStyle w:val="whitespace-normal"/>
        <w:numPr>
          <w:ilvl w:val="0"/>
          <w:numId w:val="44"/>
        </w:numPr>
      </w:pPr>
      <w:r>
        <w:rPr>
          <w:rStyle w:val="Fett"/>
        </w:rPr>
        <w:t>Modal</w:t>
      </w:r>
      <w:r>
        <w:t xml:space="preserve">: 'beim Verpacken/Einhüllen' – </w:t>
      </w:r>
      <w:r>
        <w:rPr>
          <w:rtl/>
        </w:rPr>
        <w:t>בלע</w:t>
      </w:r>
      <w:r>
        <w:t xml:space="preserve"> als 'bedecken' (vgl. Ex 15,12)</w:t>
      </w:r>
    </w:p>
    <w:p w14:paraId="0F8DFBD1" w14:textId="77777777" w:rsidR="003231DC" w:rsidRDefault="003231DC" w:rsidP="00C15C06">
      <w:pPr>
        <w:pStyle w:val="whitespace-normal"/>
        <w:numPr>
          <w:ilvl w:val="0"/>
          <w:numId w:val="44"/>
        </w:numPr>
      </w:pPr>
      <w:r>
        <w:rPr>
          <w:rStyle w:val="Fett"/>
        </w:rPr>
        <w:t>Resultativ</w:t>
      </w:r>
      <w:r>
        <w:t xml:space="preserve">: 'bis zur Vernichtung' – </w:t>
      </w:r>
      <w:r>
        <w:rPr>
          <w:rtl/>
        </w:rPr>
        <w:t>בלע</w:t>
      </w:r>
      <w:r>
        <w:t xml:space="preserve"> als 'verschlingen' (weniger wahrscheinlich, da </w:t>
      </w:r>
      <w:r>
        <w:rPr>
          <w:rtl/>
        </w:rPr>
        <w:t>וָמֵתוּ</w:t>
      </w:r>
      <w:r>
        <w:t xml:space="preserve"> bereits die Todesfolge nennt)</w:t>
      </w:r>
    </w:p>
    <w:p w14:paraId="27A4AE5B" w14:textId="02509C7B" w:rsidR="00AC36A5" w:rsidRPr="00AC36A5" w:rsidRDefault="003231DC" w:rsidP="003231DC">
      <w:pPr>
        <w:pStyle w:val="whitespace-normal"/>
      </w:pPr>
      <w:r>
        <w:t xml:space="preserve">Die </w:t>
      </w:r>
      <w:r>
        <w:rPr>
          <w:rStyle w:val="Fett"/>
        </w:rPr>
        <w:t>temporale Deutung</w:t>
      </w:r>
      <w:r>
        <w:t xml:space="preserve"> ist vorzuziehen, da sie die absolute Kürze der tödlichen Exposition betont: Selbst ein flüchtiger Blick auf das unverpackte Heilige ist tödlich. Dies steigert die Dramatik der Warnung gegenüber V. 15 (dort nur 'berühren', hier sogar 'sehen').</w:t>
      </w:r>
    </w:p>
    <w:p w14:paraId="73C1ADA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אֶת־הַקֹּדֶשׁ</w:t>
      </w:r>
      <w:r w:rsidRPr="00AC36A5">
        <w:rPr>
          <w:rFonts w:eastAsia="Times New Roman" w:cs="Times New Roman"/>
          <w:rtl/>
          <w:lang w:eastAsia="de-DE"/>
        </w:rPr>
        <w:t xml:space="preserve"> </w:t>
      </w:r>
      <w:r w:rsidRPr="00AC36A5">
        <w:rPr>
          <w:rFonts w:eastAsia="Times New Roman" w:cs="Times New Roman"/>
          <w:lang w:eastAsia="de-DE"/>
        </w:rPr>
        <w:t>(das Heilige) mit nota accusativi bezeichnet die heiligen Gegenstände in ihrer unverpackten Form.</w:t>
      </w:r>
    </w:p>
    <w:p w14:paraId="682FBC4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finale Warnung </w:t>
      </w:r>
      <w:r w:rsidRPr="00AC36A5">
        <w:rPr>
          <w:rFonts w:eastAsia="Times New Roman" w:cs="Times New Roman"/>
          <w:b/>
          <w:bCs/>
          <w:rtl/>
          <w:lang w:eastAsia="de-DE"/>
        </w:rPr>
        <w:t>וָמֵתוּ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מות</w:t>
      </w:r>
      <w:r w:rsidRPr="00AC36A5">
        <w:rPr>
          <w:rFonts w:eastAsia="Times New Roman" w:cs="Times New Roman"/>
          <w:rtl/>
          <w:lang w:eastAsia="de-DE"/>
        </w:rPr>
        <w:t xml:space="preserve"> </w:t>
      </w:r>
      <w:r w:rsidRPr="00AC36A5">
        <w:rPr>
          <w:rFonts w:eastAsia="Times New Roman" w:cs="Times New Roman"/>
          <w:lang w:eastAsia="de-DE"/>
        </w:rPr>
        <w:t>(sterben) im Qal-Perfekt 3. maskulin Plural mit Waw consecutivum zeigt die unweigerliche tödliche Konsequenz.</w:t>
      </w:r>
    </w:p>
    <w:p w14:paraId="0A56DD1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οὐκ εἰσελεύσονται ἰδεῖν ὡς καταπίνεται τὰ ἅγια καὶ ἀποθανοῦνται und interpretiert </w:t>
      </w:r>
      <w:r w:rsidRPr="00AC36A5">
        <w:rPr>
          <w:rFonts w:eastAsia="Times New Roman" w:cs="Times New Roman"/>
          <w:b/>
          <w:bCs/>
          <w:rtl/>
          <w:lang w:eastAsia="de-DE"/>
        </w:rPr>
        <w:t>בלע</w:t>
      </w:r>
      <w:r w:rsidRPr="00AC36A5">
        <w:rPr>
          <w:rFonts w:eastAsia="Times New Roman" w:cs="Times New Roman"/>
          <w:rtl/>
          <w:lang w:eastAsia="de-DE"/>
        </w:rPr>
        <w:t xml:space="preserve"> </w:t>
      </w:r>
      <w:r w:rsidRPr="00AC36A5">
        <w:rPr>
          <w:rFonts w:eastAsia="Times New Roman" w:cs="Times New Roman"/>
          <w:lang w:eastAsia="de-DE"/>
        </w:rPr>
        <w:t>als "verschlingen/vernichten".</w:t>
      </w:r>
    </w:p>
    <w:p w14:paraId="416D7BE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prohibitiven Satz mit finalem Infinitiv, umstrittener temporaler/modaler Bestimmung und tödlicher Konsequenzangabe.</w:t>
      </w:r>
    </w:p>
    <w:p w14:paraId="203702A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abschließende Vers der kehatitischen Bestimmungen betont das absolute Verbot, die heiligen Gegenstände auch nur für einen Moment in unverpacktem Zustand zu sehen, und unterstreicht die tödliche Heiligkeit der Kultgegenstände.</w:t>
      </w:r>
    </w:p>
    <w:p w14:paraId="796D307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lastRenderedPageBreak/>
        <w:t>Numeri 4,21</w:t>
      </w:r>
    </w:p>
    <w:p w14:paraId="6CE9D5E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לֵּאמֹֽר׃</w:t>
      </w:r>
    </w:p>
    <w:p w14:paraId="61BF8BB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sagend:</w:t>
      </w:r>
    </w:p>
    <w:p w14:paraId="0C60612C"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E9BBF47">
          <v:rect id="_x0000_i1184" style="width:0;height:1.5pt" o:hralign="center" o:hrstd="t" o:hr="t" fillcolor="#a0a0a0" stroked="f"/>
        </w:pict>
      </w:r>
    </w:p>
    <w:p w14:paraId="687C9F7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(reden/sprechen) im Qal-Imperfekt 3. maskulin Singular mit Waw consecutivum leitet eine neue göttliche Rede ein. 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אֶל־מֹשֶׁה</w:t>
      </w:r>
      <w:r w:rsidRPr="00AC36A5">
        <w:rPr>
          <w:rFonts w:eastAsia="Times New Roman" w:cs="Times New Roman"/>
          <w:rtl/>
          <w:lang w:eastAsia="de-DE"/>
        </w:rPr>
        <w:t xml:space="preserve"> </w:t>
      </w:r>
      <w:r w:rsidRPr="00AC36A5">
        <w:rPr>
          <w:rFonts w:eastAsia="Times New Roman" w:cs="Times New Roman"/>
          <w:lang w:eastAsia="de-DE"/>
        </w:rPr>
        <w:t>zeigt eine Adressierung nur an Mose, im Unterschied zu den vorherigen gemeinsamen Beauftragungen von Mose und Aaron.</w:t>
      </w:r>
    </w:p>
    <w:p w14:paraId="0FFE60D7" w14:textId="5D66495F"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ist der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und fungiert als Redeeinleitung für die folgenden Anweisungen zu den Gerschonitern.</w:t>
      </w:r>
    </w:p>
    <w:p w14:paraId="2CD5CBF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λέγων und behält die einfache Adressierung bei.</w:t>
      </w:r>
    </w:p>
    <w:p w14:paraId="20FE442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die charakteristische Offenbarungsformel mit alleiniger Adressierung an Mose.</w:t>
      </w:r>
    </w:p>
    <w:p w14:paraId="5589775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markiert den Übergang zu den Bestimmungen für die zweite levitische Hauptgruppe, die Gerschoniter, und zeigt durch die alleinige Adressierung an Mose eine andere Art der Beauftragung als bei den kritischen kehatitischen Bestimmungen.</w:t>
      </w:r>
    </w:p>
    <w:p w14:paraId="15B32E8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4,22</w:t>
      </w:r>
    </w:p>
    <w:p w14:paraId="160CAB3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נָשֹׂ֗א אֶת־רֹ֛אשׁ בְּנֵ֥י גֵרְשׁ֖וֹן גַּם־הֵ֑ם לְבֵ֥ית אֲבֹתָ֖ם לְמִשְׁפְּחֹתָֽם׃</w:t>
      </w:r>
    </w:p>
    <w:p w14:paraId="7F10287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Nimm auch die Summe der Söhne Gerschons auf, nach ihren Vaterhäusern, nach ihren Familien;</w:t>
      </w:r>
    </w:p>
    <w:p w14:paraId="29EDBA9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805EDBE">
          <v:rect id="_x0000_i1185" style="width:0;height:1.5pt" o:hralign="center" o:hrstd="t" o:hr="t" fillcolor="#a0a0a0" stroked="f"/>
        </w:pict>
      </w:r>
    </w:p>
    <w:p w14:paraId="201B3C6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נָשֹׂא</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נשא</w:t>
      </w:r>
      <w:r w:rsidRPr="00AC36A5">
        <w:rPr>
          <w:rFonts w:eastAsia="Times New Roman" w:cs="Times New Roman"/>
          <w:rtl/>
          <w:lang w:eastAsia="de-DE"/>
        </w:rPr>
        <w:t xml:space="preserve"> </w:t>
      </w:r>
      <w:r w:rsidRPr="00AC36A5">
        <w:rPr>
          <w:rFonts w:eastAsia="Times New Roman" w:cs="Times New Roman"/>
          <w:lang w:eastAsia="de-DE"/>
        </w:rPr>
        <w:t xml:space="preserve">(erheben/tragen) im Qal-Imperativ maskulin Singular mit der idiomatischen Wendung </w:t>
      </w:r>
      <w:r w:rsidRPr="00AC36A5">
        <w:rPr>
          <w:rFonts w:eastAsia="Times New Roman" w:cs="Times New Roman"/>
          <w:b/>
          <w:bCs/>
          <w:rtl/>
          <w:lang w:eastAsia="de-DE"/>
        </w:rPr>
        <w:t>אֶת־רֹאשׁ</w:t>
      </w:r>
      <w:r w:rsidRPr="00AC36A5">
        <w:rPr>
          <w:rFonts w:eastAsia="Times New Roman" w:cs="Times New Roman"/>
          <w:rtl/>
          <w:lang w:eastAsia="de-DE"/>
        </w:rPr>
        <w:t xml:space="preserve"> </w:t>
      </w:r>
      <w:r w:rsidRPr="00AC36A5">
        <w:rPr>
          <w:rFonts w:eastAsia="Times New Roman" w:cs="Times New Roman"/>
          <w:lang w:eastAsia="de-DE"/>
        </w:rPr>
        <w:t>(das Haupt erheben) zeigt den Musterungsbefehl, identisch mit Vers 2.</w:t>
      </w:r>
    </w:p>
    <w:p w14:paraId="4FE8C1D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direkte Objekt </w:t>
      </w:r>
      <w:r w:rsidRPr="00AC36A5">
        <w:rPr>
          <w:rFonts w:eastAsia="Times New Roman" w:cs="Times New Roman"/>
          <w:b/>
          <w:bCs/>
          <w:rtl/>
          <w:lang w:eastAsia="de-DE"/>
        </w:rPr>
        <w:t>בְּנֵי גֵרְשׁוֹן</w:t>
      </w:r>
      <w:r w:rsidRPr="00AC36A5">
        <w:rPr>
          <w:rFonts w:eastAsia="Times New Roman" w:cs="Times New Roman"/>
          <w:rtl/>
          <w:lang w:eastAsia="de-DE"/>
        </w:rPr>
        <w:t xml:space="preserve"> </w:t>
      </w:r>
      <w:r w:rsidRPr="00AC36A5">
        <w:rPr>
          <w:rFonts w:eastAsia="Times New Roman" w:cs="Times New Roman"/>
          <w:lang w:eastAsia="de-DE"/>
        </w:rPr>
        <w:t xml:space="preserve">(Söhne Gerschons) bezeichnet die zweite levitische Hauptgruppe. Das emphatische </w:t>
      </w:r>
      <w:r w:rsidRPr="00AC36A5">
        <w:rPr>
          <w:rFonts w:eastAsia="Times New Roman" w:cs="Times New Roman"/>
          <w:b/>
          <w:bCs/>
          <w:rtl/>
          <w:lang w:eastAsia="de-DE"/>
        </w:rPr>
        <w:t>גַּם־הֵם</w:t>
      </w:r>
      <w:r w:rsidRPr="00AC36A5">
        <w:rPr>
          <w:rFonts w:eastAsia="Times New Roman" w:cs="Times New Roman"/>
          <w:rtl/>
          <w:lang w:eastAsia="de-DE"/>
        </w:rPr>
        <w:t xml:space="preserve"> </w:t>
      </w:r>
      <w:r w:rsidRPr="00AC36A5">
        <w:rPr>
          <w:rFonts w:eastAsia="Times New Roman" w:cs="Times New Roman"/>
          <w:lang w:eastAsia="de-DE"/>
        </w:rPr>
        <w:t xml:space="preserve">(auch sie) mit </w:t>
      </w:r>
      <w:r w:rsidRPr="00AC36A5">
        <w:rPr>
          <w:rFonts w:eastAsia="Times New Roman" w:cs="Times New Roman"/>
          <w:b/>
          <w:bCs/>
          <w:rtl/>
          <w:lang w:eastAsia="de-DE"/>
        </w:rPr>
        <w:t>גַּם</w:t>
      </w:r>
      <w:r w:rsidRPr="00AC36A5">
        <w:rPr>
          <w:rFonts w:eastAsia="Times New Roman" w:cs="Times New Roman"/>
          <w:rtl/>
          <w:lang w:eastAsia="de-DE"/>
        </w:rPr>
        <w:t xml:space="preserve"> </w:t>
      </w:r>
      <w:r w:rsidRPr="00AC36A5">
        <w:rPr>
          <w:rFonts w:eastAsia="Times New Roman" w:cs="Times New Roman"/>
          <w:lang w:eastAsia="de-DE"/>
        </w:rPr>
        <w:t xml:space="preserve">(auch) und </w:t>
      </w:r>
      <w:r w:rsidRPr="00AC36A5">
        <w:rPr>
          <w:rFonts w:eastAsia="Times New Roman" w:cs="Times New Roman"/>
          <w:b/>
          <w:bCs/>
          <w:rtl/>
          <w:lang w:eastAsia="de-DE"/>
        </w:rPr>
        <w:t>הֵם</w:t>
      </w:r>
      <w:r w:rsidRPr="00AC36A5">
        <w:rPr>
          <w:rFonts w:eastAsia="Times New Roman" w:cs="Times New Roman"/>
          <w:rtl/>
          <w:lang w:eastAsia="de-DE"/>
        </w:rPr>
        <w:t xml:space="preserve"> </w:t>
      </w:r>
      <w:r w:rsidRPr="00AC36A5">
        <w:rPr>
          <w:rFonts w:eastAsia="Times New Roman" w:cs="Times New Roman"/>
          <w:lang w:eastAsia="de-DE"/>
        </w:rPr>
        <w:t>(sie) betont die Einbeziehung auch dieser Gruppe in die Dienstmusterung.</w:t>
      </w:r>
    </w:p>
    <w:p w14:paraId="2F62069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organisatorischen Spezifikationen </w:t>
      </w:r>
      <w:r w:rsidRPr="00AC36A5">
        <w:rPr>
          <w:rFonts w:eastAsia="Times New Roman" w:cs="Times New Roman"/>
          <w:b/>
          <w:bCs/>
          <w:rtl/>
          <w:lang w:eastAsia="de-DE"/>
        </w:rPr>
        <w:t>לְבֵית אֲבֹתָם לְמִשְׁפְּחֹתָם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לְבֵית אֲבֹתָם</w:t>
      </w:r>
      <w:r w:rsidRPr="00AC36A5">
        <w:rPr>
          <w:rFonts w:eastAsia="Times New Roman" w:cs="Times New Roman"/>
          <w:rtl/>
          <w:lang w:eastAsia="de-DE"/>
        </w:rPr>
        <w:t xml:space="preserve"> </w:t>
      </w:r>
      <w:r w:rsidRPr="00AC36A5">
        <w:rPr>
          <w:rFonts w:eastAsia="Times New Roman" w:cs="Times New Roman"/>
          <w:lang w:eastAsia="de-DE"/>
        </w:rPr>
        <w:t xml:space="preserve">(nach ihren Vaterhäusern) und </w:t>
      </w:r>
      <w:r w:rsidRPr="00AC36A5">
        <w:rPr>
          <w:rFonts w:eastAsia="Times New Roman" w:cs="Times New Roman"/>
          <w:b/>
          <w:bCs/>
          <w:rtl/>
          <w:lang w:eastAsia="de-DE"/>
        </w:rPr>
        <w:t>לְמִשְׁפְּחֹתָם</w:t>
      </w:r>
      <w:r w:rsidRPr="00AC36A5">
        <w:rPr>
          <w:rFonts w:eastAsia="Times New Roman" w:cs="Times New Roman"/>
          <w:rtl/>
          <w:lang w:eastAsia="de-DE"/>
        </w:rPr>
        <w:t xml:space="preserve"> </w:t>
      </w:r>
      <w:r w:rsidRPr="00AC36A5">
        <w:rPr>
          <w:rFonts w:eastAsia="Times New Roman" w:cs="Times New Roman"/>
          <w:lang w:eastAsia="de-DE"/>
        </w:rPr>
        <w:t>(nach ihren Familien) entsprechen der genealogischen Organisation, zeigen aber die umgekehrte Reihenfolge gegenüber Vers 2.</w:t>
      </w:r>
    </w:p>
    <w:p w14:paraId="5EA3976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Die LXX</w:t>
      </w:r>
      <w:r w:rsidRPr="00AC36A5">
        <w:rPr>
          <w:rFonts w:eastAsia="Times New Roman" w:cs="Times New Roman"/>
          <w:lang w:eastAsia="de-DE"/>
        </w:rPr>
        <w:t xml:space="preserve"> übersetzt λαβὲ τὸ κεφάλαιον τῶν υἱῶν Γεδσων καὶ αὐτοὺς κατὰ οἴκους πατριῶν αὐτῶν κατὰ δήμους αὐτῶν und betont die Einbeziehung mit καὶ αὐτοὺς (auch sie).</w:t>
      </w:r>
    </w:p>
    <w:p w14:paraId="44F3843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Imperativsatz mit direktem Objekt, emphatischer Einschlusspartikel und organisatorischen Spezifikationen.</w:t>
      </w:r>
    </w:p>
    <w:p w14:paraId="4D23DDE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Dieser Vers beginnt die Musterung der Gerschoniter und betont durch </w:t>
      </w:r>
      <w:r w:rsidRPr="00AC36A5">
        <w:rPr>
          <w:rFonts w:eastAsia="Times New Roman" w:cs="Times New Roman"/>
          <w:b/>
          <w:bCs/>
          <w:rtl/>
          <w:lang w:eastAsia="de-DE"/>
        </w:rPr>
        <w:t>גַּם־הֵם</w:t>
      </w:r>
      <w:r w:rsidRPr="00AC36A5">
        <w:rPr>
          <w:rFonts w:eastAsia="Times New Roman" w:cs="Times New Roman"/>
          <w:rtl/>
          <w:lang w:eastAsia="de-DE"/>
        </w:rPr>
        <w:t xml:space="preserve"> </w:t>
      </w:r>
      <w:r w:rsidRPr="00AC36A5">
        <w:rPr>
          <w:rFonts w:eastAsia="Times New Roman" w:cs="Times New Roman"/>
          <w:lang w:eastAsia="de-DE"/>
        </w:rPr>
        <w:t>ihre gleichberechtigte Einbeziehung in den heiligen Dienst neben den bereits behandelten Kehatitern.</w:t>
      </w:r>
    </w:p>
    <w:p w14:paraId="13FAA6A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4,23</w:t>
      </w:r>
    </w:p>
    <w:p w14:paraId="11D8AF7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מִבֶּן֩ שְׁלֹשִׁ֨ים שָׁנָ֜ה וָמַ֗עְלָה עַ֛ד בֶּן־חֲמִשִּׁ֥ים שָׁנָ֖ה תִּפְקֹ֣ד אוֹתָ֑ם כָּל־הַבָּא֙ לִצְבֹ֣א צָבָ֔א לַעֲבֹ֥ד עֲבֹדָ֖ה בְּאֹ֥הֶל מוֹעֵֽד׃</w:t>
      </w:r>
    </w:p>
    <w:p w14:paraId="40D0045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von 30 Jahren an und darüber bis zu 50 Jahren sollst du sie mustern, alle, die in den Dienst treten, um Arbeit zu verrichten am Zelt der Begegnung.</w:t>
      </w:r>
    </w:p>
    <w:p w14:paraId="0742E8C7"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54C62F4">
          <v:rect id="_x0000_i1186" style="width:0;height:1.5pt" o:hralign="center" o:hrstd="t" o:hr="t" fillcolor="#a0a0a0" stroked="f"/>
        </w:pict>
      </w:r>
    </w:p>
    <w:p w14:paraId="2CE8E11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Altersangabe </w:t>
      </w:r>
      <w:r w:rsidRPr="00AC36A5">
        <w:rPr>
          <w:rFonts w:eastAsia="Times New Roman" w:cs="Times New Roman"/>
          <w:b/>
          <w:bCs/>
          <w:rtl/>
          <w:lang w:eastAsia="de-DE"/>
        </w:rPr>
        <w:t>מִבֶּן שְׁלֹשִׁים שָׁנָה וָמַעְלָה עַד בֶּן־חֲמִשִּׁים שָׁנָה</w:t>
      </w:r>
      <w:r w:rsidRPr="00AC36A5">
        <w:rPr>
          <w:rFonts w:eastAsia="Times New Roman" w:cs="Times New Roman"/>
          <w:rtl/>
          <w:lang w:eastAsia="de-DE"/>
        </w:rPr>
        <w:t xml:space="preserve"> </w:t>
      </w:r>
      <w:r w:rsidRPr="00AC36A5">
        <w:rPr>
          <w:rFonts w:eastAsia="Times New Roman" w:cs="Times New Roman"/>
          <w:lang w:eastAsia="de-DE"/>
        </w:rPr>
        <w:t>entspricht exakt der kehatitischen Bestimmung in Vers 3 und etabliert die einheitliche Dienstaltersspanne von 30-50 Jahren für alle levitischen Gruppen.</w:t>
      </w:r>
    </w:p>
    <w:p w14:paraId="7D106ED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Verb </w:t>
      </w:r>
      <w:r w:rsidRPr="00AC36A5">
        <w:rPr>
          <w:rFonts w:eastAsia="Times New Roman" w:cs="Times New Roman"/>
          <w:b/>
          <w:bCs/>
          <w:rtl/>
          <w:lang w:eastAsia="de-DE"/>
        </w:rPr>
        <w:t>תִּפְקֹד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im Qal-Imperfekt 2. maskulin Singular mit </w:t>
      </w:r>
      <w:r w:rsidRPr="00AC36A5">
        <w:rPr>
          <w:rFonts w:eastAsia="Times New Roman" w:cs="Times New Roman"/>
          <w:b/>
          <w:bCs/>
          <w:rtl/>
          <w:lang w:eastAsia="de-DE"/>
        </w:rPr>
        <w:t>אוֹתָם</w:t>
      </w:r>
      <w:r w:rsidRPr="00AC36A5">
        <w:rPr>
          <w:rFonts w:eastAsia="Times New Roman" w:cs="Times New Roman"/>
          <w:rtl/>
          <w:lang w:eastAsia="de-DE"/>
        </w:rPr>
        <w:t xml:space="preserve"> </w:t>
      </w:r>
      <w:r w:rsidRPr="00AC36A5">
        <w:rPr>
          <w:rFonts w:eastAsia="Times New Roman" w:cs="Times New Roman"/>
          <w:lang w:eastAsia="de-DE"/>
        </w:rPr>
        <w:t>(sie) zeigt die direkte Anweisung an Mose für die Musterung der Gerschoniter.</w:t>
      </w:r>
    </w:p>
    <w:p w14:paraId="7A7A455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charakterisierende Phrase </w:t>
      </w:r>
      <w:r w:rsidRPr="00AC36A5">
        <w:rPr>
          <w:rFonts w:eastAsia="Times New Roman" w:cs="Times New Roman"/>
          <w:b/>
          <w:bCs/>
          <w:rtl/>
          <w:lang w:eastAsia="de-DE"/>
        </w:rPr>
        <w:t>כָּל־הַבָּא לִצְבֹא צָבָא</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בָּא</w:t>
      </w:r>
      <w:r w:rsidRPr="00AC36A5">
        <w:rPr>
          <w:rFonts w:eastAsia="Times New Roman" w:cs="Times New Roman"/>
          <w:rtl/>
          <w:lang w:eastAsia="de-DE"/>
        </w:rPr>
        <w:t xml:space="preserve"> </w:t>
      </w:r>
      <w:r w:rsidRPr="00AC36A5">
        <w:rPr>
          <w:rFonts w:eastAsia="Times New Roman" w:cs="Times New Roman"/>
          <w:lang w:eastAsia="de-DE"/>
        </w:rPr>
        <w:t xml:space="preserve">als Partizip 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 xml:space="preserve">(kommen) und der Reduplikation </w:t>
      </w:r>
      <w:r w:rsidRPr="00AC36A5">
        <w:rPr>
          <w:rFonts w:eastAsia="Times New Roman" w:cs="Times New Roman"/>
          <w:b/>
          <w:bCs/>
          <w:rtl/>
          <w:lang w:eastAsia="de-DE"/>
        </w:rPr>
        <w:t>לִצְבֹא צָבָא</w:t>
      </w:r>
      <w:r w:rsidRPr="00AC36A5">
        <w:rPr>
          <w:rFonts w:eastAsia="Times New Roman" w:cs="Times New Roman"/>
          <w:rtl/>
          <w:lang w:eastAsia="de-DE"/>
        </w:rPr>
        <w:t xml:space="preserve"> </w:t>
      </w:r>
      <w:r w:rsidRPr="00AC36A5">
        <w:rPr>
          <w:rFonts w:eastAsia="Times New Roman" w:cs="Times New Roman"/>
          <w:lang w:eastAsia="de-DE"/>
        </w:rPr>
        <w:t>(zum Dienst dienen) verstärkt die Bedeutung des heiligen Dienstes.</w:t>
      </w:r>
    </w:p>
    <w:p w14:paraId="3FC2FCD6" w14:textId="4AAE6EC1"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finale Zweck </w:t>
      </w:r>
      <w:r w:rsidRPr="00AC36A5">
        <w:rPr>
          <w:rFonts w:eastAsia="Times New Roman" w:cs="Times New Roman"/>
          <w:b/>
          <w:bCs/>
          <w:rtl/>
          <w:lang w:eastAsia="de-DE"/>
        </w:rPr>
        <w:t>לַעֲבֹד עֲבֹדָה בְּאֹהֶל מוֹעֵד</w:t>
      </w:r>
      <w:r w:rsidRPr="00AC36A5">
        <w:rPr>
          <w:rFonts w:eastAsia="Times New Roman" w:cs="Times New Roman"/>
          <w:rtl/>
          <w:lang w:eastAsia="de-DE"/>
        </w:rPr>
        <w:t xml:space="preserve"> </w:t>
      </w:r>
      <w:r w:rsidRPr="00AC36A5">
        <w:rPr>
          <w:rFonts w:eastAsia="Times New Roman" w:cs="Times New Roman"/>
          <w:lang w:eastAsia="de-DE"/>
        </w:rPr>
        <w:t>mit dem 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 xml:space="preserve">(arbeiten/dienen) und der Reduplikation </w:t>
      </w:r>
      <w:r w:rsidRPr="00AC36A5">
        <w:rPr>
          <w:rFonts w:eastAsia="Times New Roman" w:cs="Times New Roman"/>
          <w:b/>
          <w:bCs/>
          <w:rtl/>
          <w:lang w:eastAsia="de-DE"/>
        </w:rPr>
        <w:t>עֲבֹד עֲבֹדָה</w:t>
      </w:r>
      <w:r w:rsidRPr="00AC36A5">
        <w:rPr>
          <w:rFonts w:eastAsia="Times New Roman" w:cs="Times New Roman"/>
          <w:rtl/>
          <w:lang w:eastAsia="de-DE"/>
        </w:rPr>
        <w:t xml:space="preserve"> </w:t>
      </w:r>
      <w:r w:rsidRPr="00AC36A5">
        <w:rPr>
          <w:rFonts w:eastAsia="Times New Roman" w:cs="Times New Roman"/>
          <w:lang w:eastAsia="de-DE"/>
        </w:rPr>
        <w:t xml:space="preserve">(arbeiten Arbeit) sowie </w:t>
      </w:r>
      <w:r w:rsidRPr="00AC36A5">
        <w:rPr>
          <w:rFonts w:eastAsia="Times New Roman" w:cs="Times New Roman"/>
          <w:b/>
          <w:bCs/>
          <w:rtl/>
          <w:lang w:eastAsia="de-DE"/>
        </w:rPr>
        <w:t>בְּאֹהֶל מוֹעֵד</w:t>
      </w:r>
      <w:r w:rsidRPr="00AC36A5">
        <w:rPr>
          <w:rFonts w:eastAsia="Times New Roman" w:cs="Times New Roman"/>
          <w:rtl/>
          <w:lang w:eastAsia="de-DE"/>
        </w:rPr>
        <w:t xml:space="preserve"> </w:t>
      </w:r>
      <w:r w:rsidRPr="00AC36A5">
        <w:rPr>
          <w:rFonts w:eastAsia="Times New Roman" w:cs="Times New Roman"/>
          <w:lang w:eastAsia="de-DE"/>
        </w:rPr>
        <w:t>(am Zelt der Begegnung) betont die intensive heilige Arbeitsleistung.</w:t>
      </w:r>
    </w:p>
    <w:p w14:paraId="366A7CA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ἀπὸ τριακονταετοῦς καὶ ἐπάνω καὶ ἕως πεντηκονταετοῦς ἐπισκέψῃ αὐτούς πᾶς ὁ εἰσπορευόμενος λειτουργεῖν λειτουργίαν ἐργάζεσθαι ἔργα ἐν τῇ σκηνῇ τοῦ μαρτυρίου und verwendet die reduplikativen Formen zur Betonung.</w:t>
      </w:r>
    </w:p>
    <w:p w14:paraId="2E3DD80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präpositionale Altersbestimmung mit Imperativ, charakterisierender Partizipialkonstruktion und finalem reduplikativen Zwecksatz.</w:t>
      </w:r>
    </w:p>
    <w:p w14:paraId="1594926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für die Gerschoniter die identischen Dienstkriterien wie für die Kehatiter und betont durch die reduplikativen Formulierungen die Intensität und Heiligkeit auch ihres Dienstes.</w:t>
      </w:r>
    </w:p>
    <w:p w14:paraId="7FC2474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4,24</w:t>
      </w:r>
    </w:p>
    <w:p w14:paraId="5B36176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זֹ֣את עֲבֹדַ֔ת מִשְׁפְּחֹ֖ת הַגֵּרְשֻׁנִּ֑י לַעֲבֹ֖ד וּלְמַשָּֽׂא׃</w:t>
      </w:r>
    </w:p>
    <w:p w14:paraId="452DDBA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Deutsch:</w:t>
      </w:r>
      <w:r w:rsidRPr="00AC36A5">
        <w:rPr>
          <w:rFonts w:eastAsia="Times New Roman" w:cs="Times New Roman"/>
          <w:lang w:eastAsia="de-DE"/>
        </w:rPr>
        <w:t xml:space="preserve"> Dies ist der Dienst der Familien des Gerschuni im Dienen und im Tragen:</w:t>
      </w:r>
    </w:p>
    <w:p w14:paraId="0B50B02C"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E7CE5AF">
          <v:rect id="_x0000_i1187" style="width:0;height:1.5pt" o:hralign="center" o:hrstd="t" o:hr="t" fillcolor="#a0a0a0" stroked="f"/>
        </w:pict>
      </w:r>
    </w:p>
    <w:p w14:paraId="3183504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זֹאת</w:t>
      </w:r>
      <w:r w:rsidRPr="00AC36A5">
        <w:rPr>
          <w:rFonts w:eastAsia="Times New Roman" w:cs="Times New Roman"/>
          <w:rtl/>
          <w:lang w:eastAsia="de-DE"/>
        </w:rPr>
        <w:t xml:space="preserve"> </w:t>
      </w:r>
      <w:r w:rsidRPr="00AC36A5">
        <w:rPr>
          <w:rFonts w:eastAsia="Times New Roman" w:cs="Times New Roman"/>
          <w:lang w:eastAsia="de-DE"/>
        </w:rPr>
        <w:t>(dies) leitet die spezifische Aufgabenbeschreibung für die Gerschoniter ein, parallel zu Vers 4 für die Kehatiter.</w:t>
      </w:r>
    </w:p>
    <w:p w14:paraId="15AC0B97" w14:textId="017667C2"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עֲבֹדַת מִשְׁפְּחֹת הַגֵּרְשֻׁנִּי</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עֲבֹדַת</w:t>
      </w:r>
      <w:r w:rsidRPr="00AC36A5">
        <w:rPr>
          <w:rFonts w:eastAsia="Times New Roman" w:cs="Times New Roman"/>
          <w:rtl/>
          <w:lang w:eastAsia="de-DE"/>
        </w:rPr>
        <w:t xml:space="preserve"> </w:t>
      </w:r>
      <w:r w:rsidRPr="00AC36A5">
        <w:rPr>
          <w:rFonts w:eastAsia="Times New Roman" w:cs="Times New Roman"/>
          <w:lang w:eastAsia="de-DE"/>
        </w:rPr>
        <w:t xml:space="preserve">(Dienst von)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מִשְׁפְּחֹת הַגֵּרְשֻׁנִּי</w:t>
      </w:r>
      <w:r w:rsidRPr="00AC36A5">
        <w:rPr>
          <w:rFonts w:eastAsia="Times New Roman" w:cs="Times New Roman"/>
          <w:rtl/>
          <w:lang w:eastAsia="de-DE"/>
        </w:rPr>
        <w:t xml:space="preserve"> </w:t>
      </w:r>
      <w:r w:rsidRPr="00AC36A5">
        <w:rPr>
          <w:rFonts w:eastAsia="Times New Roman" w:cs="Times New Roman"/>
          <w:lang w:eastAsia="de-DE"/>
        </w:rPr>
        <w:t xml:space="preserve">(Familien des Gerschuniters) zeigt die kollektive Gentilizform </w:t>
      </w:r>
      <w:r w:rsidRPr="00AC36A5">
        <w:rPr>
          <w:rFonts w:eastAsia="Times New Roman" w:cs="Times New Roman"/>
          <w:b/>
          <w:bCs/>
          <w:rtl/>
          <w:lang w:eastAsia="de-DE"/>
        </w:rPr>
        <w:t>הַגֵּרְשֻׁנִּי</w:t>
      </w:r>
      <w:r w:rsidRPr="00AC36A5">
        <w:rPr>
          <w:rFonts w:eastAsia="Times New Roman" w:cs="Times New Roman"/>
          <w:rtl/>
          <w:lang w:eastAsia="de-DE"/>
        </w:rPr>
        <w:t xml:space="preserve"> </w:t>
      </w:r>
      <w:r w:rsidRPr="00AC36A5">
        <w:rPr>
          <w:rFonts w:eastAsia="Times New Roman" w:cs="Times New Roman"/>
          <w:lang w:eastAsia="de-DE"/>
        </w:rPr>
        <w:t>für alle gerschonitischen Familien.</w:t>
      </w:r>
    </w:p>
    <w:p w14:paraId="04455821" w14:textId="13E6061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finale Bestimmung </w:t>
      </w:r>
      <w:r w:rsidRPr="00AC36A5">
        <w:rPr>
          <w:rFonts w:eastAsia="Times New Roman" w:cs="Times New Roman"/>
          <w:b/>
          <w:bCs/>
          <w:rtl/>
          <w:lang w:eastAsia="de-DE"/>
        </w:rPr>
        <w:t>לַעֲבֹד וּלְמַשָּׂא</w:t>
      </w:r>
      <w:r w:rsidRPr="00AC36A5">
        <w:rPr>
          <w:rFonts w:eastAsia="Times New Roman" w:cs="Times New Roman"/>
          <w:rtl/>
          <w:lang w:eastAsia="de-DE"/>
        </w:rPr>
        <w:t xml:space="preserve"> </w:t>
      </w:r>
      <w:r w:rsidRPr="00AC36A5">
        <w:rPr>
          <w:rFonts w:eastAsia="Times New Roman" w:cs="Times New Roman"/>
          <w:lang w:eastAsia="de-DE"/>
        </w:rPr>
        <w:t>mit den Infinitiven-</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 xml:space="preserve">(arbeiten/dienen) und </w:t>
      </w:r>
      <w:r w:rsidRPr="00AC36A5">
        <w:rPr>
          <w:rFonts w:eastAsia="Times New Roman" w:cs="Times New Roman"/>
          <w:b/>
          <w:bCs/>
          <w:rtl/>
          <w:lang w:eastAsia="de-DE"/>
        </w:rPr>
        <w:t>מַשָּׂא</w:t>
      </w:r>
      <w:r w:rsidRPr="00AC36A5">
        <w:rPr>
          <w:rFonts w:eastAsia="Times New Roman" w:cs="Times New Roman"/>
          <w:rtl/>
          <w:lang w:eastAsia="de-DE"/>
        </w:rPr>
        <w:t xml:space="preserve"> </w:t>
      </w:r>
      <w:r w:rsidRPr="00AC36A5">
        <w:rPr>
          <w:rFonts w:eastAsia="Times New Roman" w:cs="Times New Roman"/>
          <w:lang w:eastAsia="de-DE"/>
        </w:rPr>
        <w:t>(Tragen/Traglast) zeigt die doppelte Aufgabe der Gerschoniter: sowohl ritueller Dienst als auch Transport.</w:t>
      </w:r>
    </w:p>
    <w:p w14:paraId="7352AD4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Diese Formulierung unterscheidet sich von der kehatitischen Beschreibung in Vers 4, die nur </w:t>
      </w:r>
      <w:r w:rsidRPr="00AC36A5">
        <w:rPr>
          <w:rFonts w:eastAsia="Times New Roman" w:cs="Times New Roman"/>
          <w:b/>
          <w:bCs/>
          <w:rtl/>
          <w:lang w:eastAsia="de-DE"/>
        </w:rPr>
        <w:t>קֹדֶשׁ הַקֳּדָשִׁים</w:t>
      </w:r>
      <w:r w:rsidRPr="00AC36A5">
        <w:rPr>
          <w:rFonts w:eastAsia="Times New Roman" w:cs="Times New Roman"/>
          <w:rtl/>
          <w:lang w:eastAsia="de-DE"/>
        </w:rPr>
        <w:t xml:space="preserve"> </w:t>
      </w:r>
      <w:r w:rsidRPr="00AC36A5">
        <w:rPr>
          <w:rFonts w:eastAsia="Times New Roman" w:cs="Times New Roman"/>
          <w:lang w:eastAsia="de-DE"/>
        </w:rPr>
        <w:t>(Allerheiligste) erwähnte, und betont die praktischere, aber ebenso wichtige Funktion der Gerschoniter.</w:t>
      </w:r>
    </w:p>
    <w:p w14:paraId="45CE349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αὕτη ἡ λειτουργία δήμων τοῦ Γεδσων λειτουργεῖν καὶ αἴρειν und behält die doppelte Funktionsangabe bei.</w:t>
      </w:r>
    </w:p>
    <w:p w14:paraId="12C55151" w14:textId="56F7AD8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einen Nominalsatz mit demonstrativer Einleitung, </w:t>
      </w:r>
      <w:r w:rsidR="00F133EC">
        <w:rPr>
          <w:rFonts w:eastAsia="Times New Roman" w:cs="Times New Roman"/>
          <w:lang w:eastAsia="de-DE"/>
        </w:rPr>
        <w:t>Construct</w:t>
      </w:r>
      <w:r w:rsidRPr="00AC36A5">
        <w:rPr>
          <w:rFonts w:eastAsia="Times New Roman" w:cs="Times New Roman"/>
          <w:lang w:eastAsia="de-DE"/>
        </w:rPr>
        <w:t>verbindung als Subjekt und koordinierter finaler Zweckbestimmung.</w:t>
      </w:r>
    </w:p>
    <w:p w14:paraId="36CD419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definiert die gerschonitische Aufgabe als Kombination von liturgischem Dienst und praktischem Transport und bereitet die detaillierte Aufgabenbeschreibung in den folgenden Versen vor.</w:t>
      </w:r>
    </w:p>
    <w:p w14:paraId="7B59AA98"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4,25</w:t>
      </w:r>
    </w:p>
    <w:p w14:paraId="39F295A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וְנָ֨שְׂא֜וּ אֶת־יְרִיעֹ֤ת הַמִּשְׁכָּן֙ וְאֶת־אֹ֣הֶל מוֹעֵ֔ד מִכְסֵ֕הוּ וּמִכְסֵ֛ה הַתַּ֥חַשׁ אֲשֶׁר־עָלָ֖יו מִלְמָ֑עְלָה וְאֶ֨ת־מָסַ֔ךְ פֶּ֖תַח אֹ֥הֶל מוֹעֵֽד׃</w:t>
      </w:r>
    </w:p>
    <w:p w14:paraId="2A6350F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Sie sollen die Teppiche der Wohnung und das Zelt der Begegnung tragen, seine Decke und die Decke aus Tachaschfell, die oben darüber ist, und den Vorhang vom Eingang des Zeltes der Begegnung,</w:t>
      </w:r>
    </w:p>
    <w:p w14:paraId="3F265A97"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08844983">
          <v:rect id="_x0000_i1188" style="width:0;height:1.5pt" o:hralign="center" o:hrstd="t" o:hr="t" fillcolor="#a0a0a0" stroked="f"/>
        </w:pict>
      </w:r>
    </w:p>
    <w:p w14:paraId="3D6E2F8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koordinierte Verb </w:t>
      </w:r>
      <w:r w:rsidRPr="00AC36A5">
        <w:rPr>
          <w:rFonts w:eastAsia="Times New Roman" w:cs="Times New Roman"/>
          <w:b/>
          <w:bCs/>
          <w:rtl/>
          <w:lang w:eastAsia="de-DE"/>
        </w:rPr>
        <w:t>וְנָשְׂאוּ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נשא</w:t>
      </w:r>
      <w:r w:rsidRPr="00AC36A5">
        <w:rPr>
          <w:rFonts w:eastAsia="Times New Roman" w:cs="Times New Roman"/>
          <w:rtl/>
          <w:lang w:eastAsia="de-DE"/>
        </w:rPr>
        <w:t xml:space="preserve"> </w:t>
      </w:r>
      <w:r w:rsidRPr="00AC36A5">
        <w:rPr>
          <w:rFonts w:eastAsia="Times New Roman" w:cs="Times New Roman"/>
          <w:lang w:eastAsia="de-DE"/>
        </w:rPr>
        <w:t>(tragen) im Qal-Perfekt 3. maskulin Plural mit Waw consecutivum zeigt die Hauptfunktion der Gerschoniter.</w:t>
      </w:r>
    </w:p>
    <w:p w14:paraId="4722B56C" w14:textId="3EFD693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erste Objekt </w:t>
      </w:r>
      <w:r w:rsidRPr="00AC36A5">
        <w:rPr>
          <w:rFonts w:eastAsia="Times New Roman" w:cs="Times New Roman"/>
          <w:b/>
          <w:bCs/>
          <w:rtl/>
          <w:lang w:eastAsia="de-DE"/>
        </w:rPr>
        <w:t>אֶת־יְרִיעֹת הַמִּשְׁכָּן</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w:t>
      </w:r>
      <w:r w:rsidRPr="00AC36A5">
        <w:rPr>
          <w:rFonts w:eastAsia="Times New Roman" w:cs="Times New Roman"/>
          <w:b/>
          <w:bCs/>
          <w:rtl/>
          <w:lang w:eastAsia="de-DE"/>
        </w:rPr>
        <w:t>יְרִיעֹת הַמִּשְׁכָּן</w:t>
      </w:r>
      <w:r w:rsidRPr="00AC36A5">
        <w:rPr>
          <w:rFonts w:eastAsia="Times New Roman" w:cs="Times New Roman"/>
          <w:rtl/>
          <w:lang w:eastAsia="de-DE"/>
        </w:rPr>
        <w:t xml:space="preserve"> </w:t>
      </w:r>
      <w:r w:rsidRPr="00AC36A5">
        <w:rPr>
          <w:rFonts w:eastAsia="Times New Roman" w:cs="Times New Roman"/>
          <w:lang w:eastAsia="de-DE"/>
        </w:rPr>
        <w:t xml:space="preserve">(Teppiche der Wohnung) im </w:t>
      </w:r>
      <w:r w:rsidR="00F133EC">
        <w:rPr>
          <w:rFonts w:eastAsia="Times New Roman" w:cs="Times New Roman"/>
          <w:lang w:eastAsia="de-DE"/>
        </w:rPr>
        <w:t>Construct</w:t>
      </w:r>
      <w:r w:rsidRPr="00AC36A5">
        <w:rPr>
          <w:rFonts w:eastAsia="Times New Roman" w:cs="Times New Roman"/>
          <w:lang w:eastAsia="de-DE"/>
        </w:rPr>
        <w:t xml:space="preserve"> bezeichnet die kostbaren textilen Wandbehänge der Stiftshütte.</w:t>
      </w:r>
    </w:p>
    <w:p w14:paraId="1996C67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Objekt </w:t>
      </w:r>
      <w:r w:rsidRPr="00AC36A5">
        <w:rPr>
          <w:rFonts w:eastAsia="Times New Roman" w:cs="Times New Roman"/>
          <w:b/>
          <w:bCs/>
          <w:rtl/>
          <w:lang w:eastAsia="de-DE"/>
        </w:rPr>
        <w:t>וְאֶת־אֹהֶל מוֹעֵד מִכְסֵהוּ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אֹהֶל מוֹעֵד</w:t>
      </w:r>
      <w:r w:rsidRPr="00AC36A5">
        <w:rPr>
          <w:rFonts w:eastAsia="Times New Roman" w:cs="Times New Roman"/>
          <w:rtl/>
          <w:lang w:eastAsia="de-DE"/>
        </w:rPr>
        <w:t xml:space="preserve"> </w:t>
      </w:r>
      <w:r w:rsidRPr="00AC36A5">
        <w:rPr>
          <w:rFonts w:eastAsia="Times New Roman" w:cs="Times New Roman"/>
          <w:lang w:eastAsia="de-DE"/>
        </w:rPr>
        <w:t xml:space="preserve">(Zelt der Begegnung) und </w:t>
      </w:r>
      <w:r w:rsidRPr="00AC36A5">
        <w:rPr>
          <w:rFonts w:eastAsia="Times New Roman" w:cs="Times New Roman"/>
          <w:b/>
          <w:bCs/>
          <w:rtl/>
          <w:lang w:eastAsia="de-DE"/>
        </w:rPr>
        <w:t>מִכְסֵהוּ</w:t>
      </w:r>
      <w:r w:rsidRPr="00AC36A5">
        <w:rPr>
          <w:rFonts w:eastAsia="Times New Roman" w:cs="Times New Roman"/>
          <w:rtl/>
          <w:lang w:eastAsia="de-DE"/>
        </w:rPr>
        <w:t xml:space="preserve"> </w:t>
      </w:r>
      <w:r w:rsidRPr="00AC36A5">
        <w:rPr>
          <w:rFonts w:eastAsia="Times New Roman" w:cs="Times New Roman"/>
          <w:lang w:eastAsia="de-DE"/>
        </w:rPr>
        <w:t>(seine Decke) mit Possessivsuffix 3. maskulin Singular zeigt die äußere Zeltstruktur.</w:t>
      </w:r>
    </w:p>
    <w:p w14:paraId="484912C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weitere Spezifikation </w:t>
      </w:r>
      <w:r w:rsidRPr="00AC36A5">
        <w:rPr>
          <w:rFonts w:eastAsia="Times New Roman" w:cs="Times New Roman"/>
          <w:b/>
          <w:bCs/>
          <w:rtl/>
          <w:lang w:eastAsia="de-DE"/>
        </w:rPr>
        <w:t>וּמִכְסֵה הַתַּחַשׁ אֲשֶׁר־עָלָיו מִלְמָעְלָה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מִכְסֵה הַתַּחַשׁ</w:t>
      </w:r>
      <w:r w:rsidRPr="00AC36A5">
        <w:rPr>
          <w:rFonts w:eastAsia="Times New Roman" w:cs="Times New Roman"/>
          <w:rtl/>
          <w:lang w:eastAsia="de-DE"/>
        </w:rPr>
        <w:t xml:space="preserve"> </w:t>
      </w:r>
      <w:r w:rsidRPr="00AC36A5">
        <w:rPr>
          <w:rFonts w:eastAsia="Times New Roman" w:cs="Times New Roman"/>
          <w:lang w:eastAsia="de-DE"/>
        </w:rPr>
        <w:t xml:space="preserve">(Decke aus Tachaschfell) und dem Relativsatz </w:t>
      </w:r>
      <w:r w:rsidRPr="00AC36A5">
        <w:rPr>
          <w:rFonts w:eastAsia="Times New Roman" w:cs="Times New Roman"/>
          <w:b/>
          <w:bCs/>
          <w:rtl/>
          <w:lang w:eastAsia="de-DE"/>
        </w:rPr>
        <w:t>אֲשֶׁר־עָלָיו מִלְמָעְלָה</w:t>
      </w:r>
      <w:r w:rsidRPr="00AC36A5">
        <w:rPr>
          <w:rFonts w:eastAsia="Times New Roman" w:cs="Times New Roman"/>
          <w:rtl/>
          <w:lang w:eastAsia="de-DE"/>
        </w:rPr>
        <w:t xml:space="preserve"> </w:t>
      </w:r>
      <w:r w:rsidRPr="00AC36A5">
        <w:rPr>
          <w:rFonts w:eastAsia="Times New Roman" w:cs="Times New Roman"/>
          <w:lang w:eastAsia="de-DE"/>
        </w:rPr>
        <w:t>(die oben darüber ist) bezeichnet die wasserdichte äußerste Schicht.</w:t>
      </w:r>
    </w:p>
    <w:p w14:paraId="3662620A" w14:textId="1097E09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Objekt </w:t>
      </w:r>
      <w:r w:rsidRPr="00AC36A5">
        <w:rPr>
          <w:rFonts w:eastAsia="Times New Roman" w:cs="Times New Roman"/>
          <w:b/>
          <w:bCs/>
          <w:rtl/>
          <w:lang w:eastAsia="de-DE"/>
        </w:rPr>
        <w:t>וְאֶת־מָסַךְ פֶּתַח אֹהֶל מוֹעֵד</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מָסָךְ פֶּתַח</w:t>
      </w:r>
      <w:r w:rsidRPr="00AC36A5">
        <w:rPr>
          <w:rFonts w:eastAsia="Times New Roman" w:cs="Times New Roman"/>
          <w:rtl/>
          <w:lang w:eastAsia="de-DE"/>
        </w:rPr>
        <w:t xml:space="preserve"> </w:t>
      </w:r>
      <w:r w:rsidRPr="00AC36A5">
        <w:rPr>
          <w:rFonts w:eastAsia="Times New Roman" w:cs="Times New Roman"/>
          <w:lang w:eastAsia="de-DE"/>
        </w:rPr>
        <w:t xml:space="preserve">(Vorhang des Eingangs)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אֹהֶל מוֹעֵד</w:t>
      </w:r>
      <w:r w:rsidRPr="00AC36A5">
        <w:rPr>
          <w:rFonts w:eastAsia="Times New Roman" w:cs="Times New Roman"/>
          <w:rtl/>
          <w:lang w:eastAsia="de-DE"/>
        </w:rPr>
        <w:t xml:space="preserve"> </w:t>
      </w:r>
      <w:r w:rsidRPr="00AC36A5">
        <w:rPr>
          <w:rFonts w:eastAsia="Times New Roman" w:cs="Times New Roman"/>
          <w:lang w:eastAsia="de-DE"/>
        </w:rPr>
        <w:t>(Zelt der Begegnung) zeigt den Eingangsvorhang.</w:t>
      </w:r>
    </w:p>
    <w:p w14:paraId="7757FC3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ἀροῦσιν τὰς αὐλαίας τῆς σκηνῆς καὶ τὴν σκηνὴν τοῦ μαρτυρίου καὶ τὸ κάλυμμα αὐτῆς und listet die textilen Komponenten systematisch auf.</w:t>
      </w:r>
    </w:p>
    <w:p w14:paraId="05748B8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systematische Aufzählung der textilen und Deckmaterialien, die von den äußersten zu den innersten Schichten führt.</w:t>
      </w:r>
    </w:p>
    <w:p w14:paraId="6318712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Gerschoniter als Verantwortliche für alle textilen Komponenten der Stiftshütte, von den kostbaren inneren Teppichen bis zu den praktischen äußeren Schutzdecken.</w:t>
      </w:r>
    </w:p>
    <w:p w14:paraId="3BBA0C8F"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4,26</w:t>
      </w:r>
    </w:p>
    <w:p w14:paraId="6B809B8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וְאֵת֩ קַלְעֵ֨י הֶֽחָצֵ֜ר וְאֶת־מָסַ֣ךְ׀ פֶּ֣תַח׀ שַׁ֣עַר הֶחָצֵ֗ר אֲשֶׁ֨ר עַל־הַמִּשְׁכָּ֤ן וְעַל־הַמִּזְבֵּ֨חַ֙ סָבִ֔יב וְאֵת֙ מֵֽיתְרֵיהֶ֔ם וְאֶֽת־כָּל־כְּלֵ֖י עֲבֹדָתָ֑ם וְאֵ֨ת כָּל־אֲשֶׁ֧ר יֵעָשֶׂ֛ה לָהֶ֖ם וְעָבָֽדוּ׃</w:t>
      </w:r>
    </w:p>
    <w:p w14:paraId="3FDC1C4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Umhänge des Vorhofs und den Vorhang vom Eingang des Tores des Vorhofs, der rings um die Wohnung und um den Altar ist, und ihre Seile und alle Geräte ihres Dienstes; und alles, was daran zu tun ist, sollen sie verrichten.</w:t>
      </w:r>
    </w:p>
    <w:p w14:paraId="7A35C880"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5604DF62">
          <v:rect id="_x0000_i1189" style="width:0;height:1.5pt" o:hralign="center" o:hrstd="t" o:hr="t" fillcolor="#a0a0a0" stroked="f"/>
        </w:pict>
      </w:r>
    </w:p>
    <w:p w14:paraId="7C59C83D" w14:textId="2577E0B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Fortsetzung der Aufzählung </w:t>
      </w:r>
      <w:r w:rsidRPr="00AC36A5">
        <w:rPr>
          <w:rFonts w:eastAsia="Times New Roman" w:cs="Times New Roman"/>
          <w:b/>
          <w:bCs/>
          <w:rtl/>
          <w:lang w:eastAsia="de-DE"/>
        </w:rPr>
        <w:t>וְאֵת קַלְעֵי הֶחָצֵר</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w:t>
      </w:r>
      <w:r w:rsidRPr="00AC36A5">
        <w:rPr>
          <w:rFonts w:eastAsia="Times New Roman" w:cs="Times New Roman"/>
          <w:b/>
          <w:bCs/>
          <w:rtl/>
          <w:lang w:eastAsia="de-DE"/>
        </w:rPr>
        <w:t>קַלְעֵי הֶחָצֵר</w:t>
      </w:r>
      <w:r w:rsidRPr="00AC36A5">
        <w:rPr>
          <w:rFonts w:eastAsia="Times New Roman" w:cs="Times New Roman"/>
          <w:rtl/>
          <w:lang w:eastAsia="de-DE"/>
        </w:rPr>
        <w:t xml:space="preserve"> </w:t>
      </w:r>
      <w:r w:rsidRPr="00AC36A5">
        <w:rPr>
          <w:rFonts w:eastAsia="Times New Roman" w:cs="Times New Roman"/>
          <w:lang w:eastAsia="de-DE"/>
        </w:rPr>
        <w:t xml:space="preserve">(Umhänge des Vorhofs) im </w:t>
      </w:r>
      <w:r w:rsidR="00F133EC">
        <w:rPr>
          <w:rFonts w:eastAsia="Times New Roman" w:cs="Times New Roman"/>
          <w:lang w:eastAsia="de-DE"/>
        </w:rPr>
        <w:t>Construct</w:t>
      </w:r>
      <w:r w:rsidRPr="00AC36A5">
        <w:rPr>
          <w:rFonts w:eastAsia="Times New Roman" w:cs="Times New Roman"/>
          <w:lang w:eastAsia="de-DE"/>
        </w:rPr>
        <w:t xml:space="preserve"> zeigt die äußeren textilen Umfriedungen.</w:t>
      </w:r>
    </w:p>
    <w:p w14:paraId="1B63C22D" w14:textId="04ADA3A1"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Objekt </w:t>
      </w:r>
      <w:r w:rsidRPr="00AC36A5">
        <w:rPr>
          <w:rFonts w:eastAsia="Times New Roman" w:cs="Times New Roman"/>
          <w:b/>
          <w:bCs/>
          <w:rtl/>
          <w:lang w:eastAsia="de-DE"/>
        </w:rPr>
        <w:t>וְאֶת־מָסַךְ פֶּתַח שַׁעַר הֶחָצֵר</w:t>
      </w:r>
      <w:r w:rsidRPr="00AC36A5">
        <w:rPr>
          <w:rFonts w:eastAsia="Times New Roman" w:cs="Times New Roman"/>
          <w:rtl/>
          <w:lang w:eastAsia="de-DE"/>
        </w:rPr>
        <w:t xml:space="preserve"> </w:t>
      </w:r>
      <w:r w:rsidRPr="00AC36A5">
        <w:rPr>
          <w:rFonts w:eastAsia="Times New Roman" w:cs="Times New Roman"/>
          <w:lang w:eastAsia="de-DE"/>
        </w:rPr>
        <w:t xml:space="preserve">mit der komplexen </w:t>
      </w:r>
      <w:r w:rsidR="00F133EC">
        <w:rPr>
          <w:rFonts w:eastAsia="Times New Roman" w:cs="Times New Roman"/>
          <w:lang w:eastAsia="de-DE"/>
        </w:rPr>
        <w:t>Construct</w:t>
      </w:r>
      <w:r w:rsidRPr="00AC36A5">
        <w:rPr>
          <w:rFonts w:eastAsia="Times New Roman" w:cs="Times New Roman"/>
          <w:lang w:eastAsia="de-DE"/>
        </w:rPr>
        <w:t xml:space="preserve">kette </w:t>
      </w:r>
      <w:r w:rsidRPr="00AC36A5">
        <w:rPr>
          <w:rFonts w:eastAsia="Times New Roman" w:cs="Times New Roman"/>
          <w:b/>
          <w:bCs/>
          <w:rtl/>
          <w:lang w:eastAsia="de-DE"/>
        </w:rPr>
        <w:t>מָסַךְ פֶּתַח שַׁעַר הֶחָצֵר</w:t>
      </w:r>
      <w:r w:rsidRPr="00AC36A5">
        <w:rPr>
          <w:rFonts w:eastAsia="Times New Roman" w:cs="Times New Roman"/>
          <w:rtl/>
          <w:lang w:eastAsia="de-DE"/>
        </w:rPr>
        <w:t xml:space="preserve"> </w:t>
      </w:r>
      <w:r w:rsidRPr="00AC36A5">
        <w:rPr>
          <w:rFonts w:eastAsia="Times New Roman" w:cs="Times New Roman"/>
          <w:lang w:eastAsia="de-DE"/>
        </w:rPr>
        <w:t>(Vorhang des Eingangs des Tores des Vorhofs) bezeichnet den Haupteingang zum heiligen Bereich.</w:t>
      </w:r>
    </w:p>
    <w:p w14:paraId="5D1CEF1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עַל־הַמִּשְׁכָּן וְעַל־הַמִּזְבֵּחַ סָבִיב</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עַל</w:t>
      </w:r>
      <w:r w:rsidRPr="00AC36A5">
        <w:rPr>
          <w:rFonts w:eastAsia="Times New Roman" w:cs="Times New Roman"/>
          <w:rtl/>
          <w:lang w:eastAsia="de-DE"/>
        </w:rPr>
        <w:t xml:space="preserve"> </w:t>
      </w:r>
      <w:r w:rsidRPr="00AC36A5">
        <w:rPr>
          <w:rFonts w:eastAsia="Times New Roman" w:cs="Times New Roman"/>
          <w:lang w:eastAsia="de-DE"/>
        </w:rPr>
        <w:t xml:space="preserve">(um/bei) und </w:t>
      </w:r>
      <w:r w:rsidRPr="00AC36A5">
        <w:rPr>
          <w:rFonts w:eastAsia="Times New Roman" w:cs="Times New Roman"/>
          <w:b/>
          <w:bCs/>
          <w:rtl/>
          <w:lang w:eastAsia="de-DE"/>
        </w:rPr>
        <w:t>סָבִיב</w:t>
      </w:r>
      <w:r w:rsidRPr="00AC36A5">
        <w:rPr>
          <w:rFonts w:eastAsia="Times New Roman" w:cs="Times New Roman"/>
          <w:rtl/>
          <w:lang w:eastAsia="de-DE"/>
        </w:rPr>
        <w:t xml:space="preserve"> </w:t>
      </w:r>
      <w:r w:rsidRPr="00AC36A5">
        <w:rPr>
          <w:rFonts w:eastAsia="Times New Roman" w:cs="Times New Roman"/>
          <w:lang w:eastAsia="de-DE"/>
        </w:rPr>
        <w:t>(ringsum) spezifiziert die Umfassung von Stiftshütte und Altar.</w:t>
      </w:r>
    </w:p>
    <w:p w14:paraId="3A0E49A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weitere Aufzählung </w:t>
      </w:r>
      <w:r w:rsidRPr="00AC36A5">
        <w:rPr>
          <w:rFonts w:eastAsia="Times New Roman" w:cs="Times New Roman"/>
          <w:b/>
          <w:bCs/>
          <w:rtl/>
          <w:lang w:eastAsia="de-DE"/>
        </w:rPr>
        <w:t>וְאֵת מֵֽיתְרֵיהֶם וְאֶֽת־כָּל־כְּלֵי עֲבֹדָתָם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מֵיתָרִים</w:t>
      </w:r>
      <w:r w:rsidRPr="00AC36A5">
        <w:rPr>
          <w:rFonts w:eastAsia="Times New Roman" w:cs="Times New Roman"/>
          <w:rtl/>
          <w:lang w:eastAsia="de-DE"/>
        </w:rPr>
        <w:t xml:space="preserve"> </w:t>
      </w:r>
      <w:r w:rsidRPr="00AC36A5">
        <w:rPr>
          <w:rFonts w:eastAsia="Times New Roman" w:cs="Times New Roman"/>
          <w:lang w:eastAsia="de-DE"/>
        </w:rPr>
        <w:t xml:space="preserve">(Seile) mit Possessivsuffix und </w:t>
      </w:r>
      <w:r w:rsidRPr="00AC36A5">
        <w:rPr>
          <w:rFonts w:eastAsia="Times New Roman" w:cs="Times New Roman"/>
          <w:b/>
          <w:bCs/>
          <w:rtl/>
          <w:lang w:eastAsia="de-DE"/>
        </w:rPr>
        <w:t>כָּל־כְּלֵי עֲבֹדָתָם</w:t>
      </w:r>
      <w:r w:rsidRPr="00AC36A5">
        <w:rPr>
          <w:rFonts w:eastAsia="Times New Roman" w:cs="Times New Roman"/>
          <w:rtl/>
          <w:lang w:eastAsia="de-DE"/>
        </w:rPr>
        <w:t xml:space="preserve"> </w:t>
      </w:r>
      <w:r w:rsidRPr="00AC36A5">
        <w:rPr>
          <w:rFonts w:eastAsia="Times New Roman" w:cs="Times New Roman"/>
          <w:lang w:eastAsia="de-DE"/>
        </w:rPr>
        <w:t>(alle Geräte ihres Dienstes) zeigt die Befestigungsmaterialien und Arbeitsgeräte.</w:t>
      </w:r>
    </w:p>
    <w:p w14:paraId="512BAFB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zusammenfassende Satz </w:t>
      </w:r>
      <w:r w:rsidRPr="00AC36A5">
        <w:rPr>
          <w:rFonts w:eastAsia="Times New Roman" w:cs="Times New Roman"/>
          <w:b/>
          <w:bCs/>
          <w:rtl/>
          <w:lang w:eastAsia="de-DE"/>
        </w:rPr>
        <w:t>וְאֵת כָּל־אֲשֶׁר יֵעָשֶׂה לָהֶם וְעָבָדוּ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כָּל־אֲשֶׁר יֵעָשֶׂה לָהֶם</w:t>
      </w:r>
      <w:r w:rsidRPr="00AC36A5">
        <w:rPr>
          <w:rFonts w:eastAsia="Times New Roman" w:cs="Times New Roman"/>
          <w:rtl/>
          <w:lang w:eastAsia="de-DE"/>
        </w:rPr>
        <w:t xml:space="preserve"> </w:t>
      </w:r>
      <w:r w:rsidRPr="00AC36A5">
        <w:rPr>
          <w:rFonts w:eastAsia="Times New Roman" w:cs="Times New Roman"/>
          <w:lang w:eastAsia="de-DE"/>
        </w:rPr>
        <w:t xml:space="preserve">(alles, was für sie getan werden soll) im Relativsatz und </w:t>
      </w:r>
      <w:r w:rsidRPr="00AC36A5">
        <w:rPr>
          <w:rFonts w:eastAsia="Times New Roman" w:cs="Times New Roman"/>
          <w:b/>
          <w:bCs/>
          <w:rtl/>
          <w:lang w:eastAsia="de-DE"/>
        </w:rPr>
        <w:t>וְעָבָדוּ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(arbeiten) im Qal-Perfekt 3. maskulin Plural zeigt die umfassende Verantwortung.</w:t>
      </w:r>
    </w:p>
    <w:p w14:paraId="140177A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τὰ ἱστία τῆς αὐλῆς καὶ τὸ καταπέτασμα τῆς πύλης τῆς αὐλῆς und führt die systematische Aufzählung fort.</w:t>
      </w:r>
    </w:p>
    <w:p w14:paraId="1757BF3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 Satzstruktur zeigt eine fortsetzende koordinierte Aufzählung mit relativischer Spezifikation und einer zusammenfassenden Verantwortungsklausel.</w:t>
      </w:r>
    </w:p>
    <w:p w14:paraId="1C4EBB3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erweitert die gerschonitische Verantwortung auf die gesamten äußeren textilen Komponenten des Heiligtumskomplexes und alle damit verbundenen Arbeiten.</w:t>
      </w:r>
    </w:p>
    <w:p w14:paraId="49A989E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4,27</w:t>
      </w:r>
    </w:p>
    <w:p w14:paraId="081C3E4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עַל־פִּי֩ אַהֲרֹ֨ן וּבָנָ֜יו תִּהְיֶ֗ה כָּל־עֲבֹדַת֙ בְּנֵ֣י הַגֵּרְשֻׁנִּ֔י לְכָל־מַשָּׂאָ֔ם וּלְכֹ֖ל עֲבֹדָתָ֑ם וּפְקַדְתֶּ֤ם עֲלֵהֶם֙ בְּמִשְׁמֶ֔רֶת אֵ֖ת כָּל־מַשָּׂאָֽם׃</w:t>
      </w:r>
    </w:p>
    <w:p w14:paraId="3E8D2D9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Nach dem Befehl 'Aharons und seiner Söhne soll aller Dienst der Söhne des Gerschuni geschehen bezüglich all ihrer Traglast und all ihres Dienstes; und ihr sollt ihnen alles zuordnen, was sie zu tragen haben, zur Aufsicht.</w:t>
      </w:r>
    </w:p>
    <w:p w14:paraId="4919C10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98F9CF6">
          <v:rect id="_x0000_i1190" style="width:0;height:1.5pt" o:hralign="center" o:hrstd="t" o:hr="t" fillcolor="#a0a0a0" stroked="f"/>
        </w:pict>
      </w:r>
    </w:p>
    <w:p w14:paraId="7C0E3F7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idiomatische Wendung </w:t>
      </w:r>
      <w:r w:rsidRPr="00AC36A5">
        <w:rPr>
          <w:rFonts w:eastAsia="Times New Roman" w:cs="Times New Roman"/>
          <w:b/>
          <w:bCs/>
          <w:rtl/>
          <w:lang w:eastAsia="de-DE"/>
        </w:rPr>
        <w:t>עַל־פִּי אַהֲרֹן וּבָנָיו</w:t>
      </w:r>
      <w:r w:rsidRPr="00AC36A5">
        <w:rPr>
          <w:rFonts w:eastAsia="Times New Roman" w:cs="Times New Roman"/>
          <w:rtl/>
          <w:lang w:eastAsia="de-DE"/>
        </w:rPr>
        <w:t xml:space="preserve"> </w:t>
      </w:r>
      <w:r w:rsidRPr="00AC36A5">
        <w:rPr>
          <w:rFonts w:eastAsia="Times New Roman" w:cs="Times New Roman"/>
          <w:lang w:eastAsia="de-DE"/>
        </w:rPr>
        <w:t xml:space="preserve">(nach dem Befehl/Mund Aarons und seiner Söhne) mit </w:t>
      </w:r>
      <w:r w:rsidRPr="00AC36A5">
        <w:rPr>
          <w:rFonts w:eastAsia="Times New Roman" w:cs="Times New Roman"/>
          <w:b/>
          <w:bCs/>
          <w:rtl/>
          <w:lang w:eastAsia="de-DE"/>
        </w:rPr>
        <w:t>עַל־פִּי</w:t>
      </w:r>
      <w:r w:rsidRPr="00AC36A5">
        <w:rPr>
          <w:rFonts w:eastAsia="Times New Roman" w:cs="Times New Roman"/>
          <w:rtl/>
          <w:lang w:eastAsia="de-DE"/>
        </w:rPr>
        <w:t xml:space="preserve"> </w:t>
      </w:r>
      <w:r w:rsidRPr="00AC36A5">
        <w:rPr>
          <w:rFonts w:eastAsia="Times New Roman" w:cs="Times New Roman"/>
          <w:lang w:eastAsia="de-DE"/>
        </w:rPr>
        <w:t>(nach dem Mund von) etabliert die priesterliche Oberaufsicht über die gerschonitische Arbeit.</w:t>
      </w:r>
    </w:p>
    <w:p w14:paraId="49A4CA7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Verb </w:t>
      </w:r>
      <w:r w:rsidRPr="00AC36A5">
        <w:rPr>
          <w:rFonts w:eastAsia="Times New Roman" w:cs="Times New Roman"/>
          <w:b/>
          <w:bCs/>
          <w:rtl/>
          <w:lang w:eastAsia="de-DE"/>
        </w:rPr>
        <w:t>תִּהְיֶה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Qal-Imperfekt 3. feminin Singular bezieht sich auf die nachfolgende </w:t>
      </w:r>
      <w:r w:rsidRPr="00AC36A5">
        <w:rPr>
          <w:rFonts w:eastAsia="Times New Roman" w:cs="Times New Roman"/>
          <w:b/>
          <w:bCs/>
          <w:rtl/>
          <w:lang w:eastAsia="de-DE"/>
        </w:rPr>
        <w:t>עֲבֹדַת</w:t>
      </w:r>
      <w:r w:rsidRPr="00AC36A5">
        <w:rPr>
          <w:rFonts w:eastAsia="Times New Roman" w:cs="Times New Roman"/>
          <w:rtl/>
          <w:lang w:eastAsia="de-DE"/>
        </w:rPr>
        <w:t xml:space="preserve"> </w:t>
      </w:r>
      <w:r w:rsidRPr="00AC36A5">
        <w:rPr>
          <w:rFonts w:eastAsia="Times New Roman" w:cs="Times New Roman"/>
          <w:lang w:eastAsia="de-DE"/>
        </w:rPr>
        <w:t xml:space="preserve">(Dienst). Das Subjekt </w:t>
      </w:r>
      <w:r w:rsidRPr="00AC36A5">
        <w:rPr>
          <w:rFonts w:eastAsia="Times New Roman" w:cs="Times New Roman"/>
          <w:b/>
          <w:bCs/>
          <w:rtl/>
          <w:lang w:eastAsia="de-DE"/>
        </w:rPr>
        <w:t>כָּל־עֲבֹדַת בְּנֵי הַגֵּרְשֻׁנִּי</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(aller) und </w:t>
      </w:r>
      <w:r w:rsidRPr="00AC36A5">
        <w:rPr>
          <w:rFonts w:eastAsia="Times New Roman" w:cs="Times New Roman"/>
          <w:b/>
          <w:bCs/>
          <w:rtl/>
          <w:lang w:eastAsia="de-DE"/>
        </w:rPr>
        <w:t>עֲבֹדַת בְּנֵי הַגֵּרְשֻׁנִּי</w:t>
      </w:r>
      <w:r w:rsidRPr="00AC36A5">
        <w:rPr>
          <w:rFonts w:eastAsia="Times New Roman" w:cs="Times New Roman"/>
          <w:rtl/>
          <w:lang w:eastAsia="de-DE"/>
        </w:rPr>
        <w:t xml:space="preserve"> </w:t>
      </w:r>
      <w:r w:rsidRPr="00AC36A5">
        <w:rPr>
          <w:rFonts w:eastAsia="Times New Roman" w:cs="Times New Roman"/>
          <w:lang w:eastAsia="de-DE"/>
        </w:rPr>
        <w:t>(Dienst der Söhne des Gerschuniters) zeigt die umfassende priesterliche Kontrolle.</w:t>
      </w:r>
    </w:p>
    <w:p w14:paraId="51F7E6C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spezifizierenden präpositionalen Phrasen </w:t>
      </w:r>
      <w:r w:rsidRPr="00AC36A5">
        <w:rPr>
          <w:rFonts w:eastAsia="Times New Roman" w:cs="Times New Roman"/>
          <w:b/>
          <w:bCs/>
          <w:rtl/>
          <w:lang w:eastAsia="de-DE"/>
        </w:rPr>
        <w:t>לְכָל־מַשָּׂאָם וּלְכֹל עֲבֹדָתָם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לְכָל־מַשָּׂאָם</w:t>
      </w:r>
      <w:r w:rsidRPr="00AC36A5">
        <w:rPr>
          <w:rFonts w:eastAsia="Times New Roman" w:cs="Times New Roman"/>
          <w:rtl/>
          <w:lang w:eastAsia="de-DE"/>
        </w:rPr>
        <w:t xml:space="preserve"> </w:t>
      </w:r>
      <w:r w:rsidRPr="00AC36A5">
        <w:rPr>
          <w:rFonts w:eastAsia="Times New Roman" w:cs="Times New Roman"/>
          <w:lang w:eastAsia="de-DE"/>
        </w:rPr>
        <w:t xml:space="preserve">(bezüglich aller ihrer Traglast) und </w:t>
      </w:r>
      <w:r w:rsidRPr="00AC36A5">
        <w:rPr>
          <w:rFonts w:eastAsia="Times New Roman" w:cs="Times New Roman"/>
          <w:b/>
          <w:bCs/>
          <w:rtl/>
          <w:lang w:eastAsia="de-DE"/>
        </w:rPr>
        <w:t>לְכֹל עֲבֹדָתָם</w:t>
      </w:r>
      <w:r w:rsidRPr="00AC36A5">
        <w:rPr>
          <w:rFonts w:eastAsia="Times New Roman" w:cs="Times New Roman"/>
          <w:rtl/>
          <w:lang w:eastAsia="de-DE"/>
        </w:rPr>
        <w:t xml:space="preserve"> </w:t>
      </w:r>
      <w:r w:rsidRPr="00AC36A5">
        <w:rPr>
          <w:rFonts w:eastAsia="Times New Roman" w:cs="Times New Roman"/>
          <w:lang w:eastAsia="de-DE"/>
        </w:rPr>
        <w:t>(bezüglich aller ihrer Arbeit) zeigen die vollständige Reichweite der priesterlichen Aufsicht.</w:t>
      </w:r>
    </w:p>
    <w:p w14:paraId="2E5E7A2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וּפְקַדְתֶּם</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(bestimmen/zuordnen) im Qal-Perfekt 2. maskulin Plural mit </w:t>
      </w:r>
      <w:r w:rsidRPr="00AC36A5">
        <w:rPr>
          <w:rFonts w:eastAsia="Times New Roman" w:cs="Times New Roman"/>
          <w:b/>
          <w:bCs/>
          <w:rtl/>
          <w:lang w:eastAsia="de-DE"/>
        </w:rPr>
        <w:t>עֲלֵהֶם</w:t>
      </w:r>
      <w:r w:rsidRPr="00AC36A5">
        <w:rPr>
          <w:rFonts w:eastAsia="Times New Roman" w:cs="Times New Roman"/>
          <w:rtl/>
          <w:lang w:eastAsia="de-DE"/>
        </w:rPr>
        <w:t xml:space="preserve"> </w:t>
      </w:r>
      <w:r w:rsidRPr="00AC36A5">
        <w:rPr>
          <w:rFonts w:eastAsia="Times New Roman" w:cs="Times New Roman"/>
          <w:lang w:eastAsia="de-DE"/>
        </w:rPr>
        <w:t>(über sie) zeigt die direkte Anweisung zur Aufgabenverteilung.</w:t>
      </w:r>
    </w:p>
    <w:p w14:paraId="7980F3A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בְּמִשְׁמֶרֶת אֵת כָּל־מַשָּׂאָם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בְּמִשְׁמֶרֶת</w:t>
      </w:r>
      <w:r w:rsidRPr="00AC36A5">
        <w:rPr>
          <w:rFonts w:eastAsia="Times New Roman" w:cs="Times New Roman"/>
          <w:rtl/>
          <w:lang w:eastAsia="de-DE"/>
        </w:rPr>
        <w:t xml:space="preserve"> </w:t>
      </w:r>
      <w:r w:rsidRPr="00AC36A5">
        <w:rPr>
          <w:rFonts w:eastAsia="Times New Roman" w:cs="Times New Roman"/>
          <w:lang w:eastAsia="de-DE"/>
        </w:rPr>
        <w:t xml:space="preserve">(zur Aufsicht) und </w:t>
      </w:r>
      <w:r w:rsidRPr="00AC36A5">
        <w:rPr>
          <w:rFonts w:eastAsia="Times New Roman" w:cs="Times New Roman"/>
          <w:b/>
          <w:bCs/>
          <w:rtl/>
          <w:lang w:eastAsia="de-DE"/>
        </w:rPr>
        <w:t>אֵת כָּל־מַשָּׂאָם</w:t>
      </w:r>
      <w:r w:rsidRPr="00AC36A5">
        <w:rPr>
          <w:rFonts w:eastAsia="Times New Roman" w:cs="Times New Roman"/>
          <w:rtl/>
          <w:lang w:eastAsia="de-DE"/>
        </w:rPr>
        <w:t xml:space="preserve"> </w:t>
      </w:r>
      <w:r w:rsidRPr="00AC36A5">
        <w:rPr>
          <w:rFonts w:eastAsia="Times New Roman" w:cs="Times New Roman"/>
          <w:lang w:eastAsia="de-DE"/>
        </w:rPr>
        <w:t>(alle ihre Traglast) betont die systematische Verantwortungszuordnung.</w:t>
      </w:r>
    </w:p>
    <w:p w14:paraId="6310EE9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κατὰ στόμα Ααρων καὶ τῶν υἱῶν αὐτοῦ ἔσται πᾶσα ἡ λειτουργία τῶν υἱῶν Γεδσων κατὰ πάντα τὰ αἰρόμενα ὑπ᾽ αὐτῶν und betont die priesterliche Kontrolle.</w:t>
      </w:r>
    </w:p>
    <w:p w14:paraId="1B9E004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idiomatische Autoritätsangabe mit umfassendem Subjekt, spezifizierenden präpositionalen Phrasen und einer koordinierten Anweisung zur systematischen Aufgabenverteilung.</w:t>
      </w:r>
    </w:p>
    <w:p w14:paraId="177D937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strikte priesterliche Hierarchie über die gerschonitische Arbeit und betont die systematische Kontrolle und Zuordnung aller ihrer Aufgaben.</w:t>
      </w:r>
    </w:p>
    <w:p w14:paraId="478DFBE4"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4,28</w:t>
      </w:r>
    </w:p>
    <w:p w14:paraId="2D05294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זֹ֣את עֲבֹדַ֗ת מִשְׁפְּחֹ֛ת בְּנֵ֥י הַגֵּרְשֻׁנִּ֖י בְּאֹ֣הֶל מוֹעֵ֑ד וּמִ֨שְׁמַרְתָּ֔ם בְּיַד֙ אִֽיתָמָ֔ר בֶּֽן־אַהֲרֹ֖ן הַכֹּהֵֽן׃</w:t>
      </w:r>
    </w:p>
    <w:p w14:paraId="3A0C6AC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Deutsch:</w:t>
      </w:r>
      <w:r w:rsidRPr="00AC36A5">
        <w:rPr>
          <w:rFonts w:eastAsia="Times New Roman" w:cs="Times New Roman"/>
          <w:lang w:eastAsia="de-DE"/>
        </w:rPr>
        <w:t xml:space="preserve"> Das ist der Dienst der Familien der Söhne des Gerschuni am Zelt der Begegnung; und ihre Aufgabe sei unter der Hand Itamars, des Sohnes 'Aharons, des Priesters.</w:t>
      </w:r>
    </w:p>
    <w:p w14:paraId="0968DE56"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05855F9D">
          <v:rect id="_x0000_i1191" style="width:0;height:1.5pt" o:hralign="center" o:hrstd="t" o:hr="t" fillcolor="#a0a0a0" stroked="f"/>
        </w:pict>
      </w:r>
    </w:p>
    <w:p w14:paraId="172649C2" w14:textId="6973CFB0"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זֹאת</w:t>
      </w:r>
      <w:r w:rsidRPr="00AC36A5">
        <w:rPr>
          <w:rFonts w:eastAsia="Times New Roman" w:cs="Times New Roman"/>
          <w:rtl/>
          <w:lang w:eastAsia="de-DE"/>
        </w:rPr>
        <w:t xml:space="preserve"> </w:t>
      </w:r>
      <w:r w:rsidRPr="00AC36A5">
        <w:rPr>
          <w:rFonts w:eastAsia="Times New Roman" w:cs="Times New Roman"/>
          <w:lang w:eastAsia="de-DE"/>
        </w:rPr>
        <w:t xml:space="preserve">(das) mit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עֲבֹדַת מִשְׁפְּחֹת בְּנֵי הַגֵּרְשֻׁנִּי</w:t>
      </w:r>
      <w:r w:rsidRPr="00AC36A5">
        <w:rPr>
          <w:rFonts w:eastAsia="Times New Roman" w:cs="Times New Roman"/>
          <w:rtl/>
          <w:lang w:eastAsia="de-DE"/>
        </w:rPr>
        <w:t xml:space="preserve"> </w:t>
      </w:r>
      <w:r w:rsidRPr="00AC36A5">
        <w:rPr>
          <w:rFonts w:eastAsia="Times New Roman" w:cs="Times New Roman"/>
          <w:lang w:eastAsia="de-DE"/>
        </w:rPr>
        <w:t>(Dienst der Familien der Söhne des Gerschuniters) fasst die gerschonitischen Aufgaben zusammen.</w:t>
      </w:r>
    </w:p>
    <w:p w14:paraId="32E85A0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Ortsangabe </w:t>
      </w:r>
      <w:r w:rsidRPr="00AC36A5">
        <w:rPr>
          <w:rFonts w:eastAsia="Times New Roman" w:cs="Times New Roman"/>
          <w:b/>
          <w:bCs/>
          <w:rtl/>
          <w:lang w:eastAsia="de-DE"/>
        </w:rPr>
        <w:t>בְּאֹהֶל מוֹעֵד</w:t>
      </w:r>
      <w:r w:rsidRPr="00AC36A5">
        <w:rPr>
          <w:rFonts w:eastAsia="Times New Roman" w:cs="Times New Roman"/>
          <w:rtl/>
          <w:lang w:eastAsia="de-DE"/>
        </w:rPr>
        <w:t xml:space="preserve"> </w:t>
      </w:r>
      <w:r w:rsidRPr="00AC36A5">
        <w:rPr>
          <w:rFonts w:eastAsia="Times New Roman" w:cs="Times New Roman"/>
          <w:lang w:eastAsia="de-DE"/>
        </w:rPr>
        <w:t>(am Zelt der Begegnung) spezifiziert den heiligen Arbeitsbereich.</w:t>
      </w:r>
    </w:p>
    <w:p w14:paraId="16D20A5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Substantiv </w:t>
      </w:r>
      <w:r w:rsidRPr="00AC36A5">
        <w:rPr>
          <w:rFonts w:eastAsia="Times New Roman" w:cs="Times New Roman"/>
          <w:b/>
          <w:bCs/>
          <w:rtl/>
          <w:lang w:eastAsia="de-DE"/>
        </w:rPr>
        <w:t>וּמִשְׁמַרְתָּם</w:t>
      </w:r>
      <w:r w:rsidRPr="00AC36A5">
        <w:rPr>
          <w:rFonts w:eastAsia="Times New Roman" w:cs="Times New Roman"/>
          <w:rtl/>
          <w:lang w:eastAsia="de-DE"/>
        </w:rPr>
        <w:t xml:space="preserve"> </w:t>
      </w:r>
      <w:r w:rsidRPr="00AC36A5">
        <w:rPr>
          <w:rFonts w:eastAsia="Times New Roman" w:cs="Times New Roman"/>
          <w:lang w:eastAsia="de-DE"/>
        </w:rPr>
        <w:t xml:space="preserve">(und ihre Aufsicht) mit Possessivsuffix 3. maskulin Plural und die idiomatische Wendung </w:t>
      </w:r>
      <w:r w:rsidRPr="00AC36A5">
        <w:rPr>
          <w:rFonts w:eastAsia="Times New Roman" w:cs="Times New Roman"/>
          <w:b/>
          <w:bCs/>
          <w:rtl/>
          <w:lang w:eastAsia="de-DE"/>
        </w:rPr>
        <w:t>בְּיַד אִיתָמָר</w:t>
      </w:r>
      <w:r w:rsidRPr="00AC36A5">
        <w:rPr>
          <w:rFonts w:eastAsia="Times New Roman" w:cs="Times New Roman"/>
          <w:rtl/>
          <w:lang w:eastAsia="de-DE"/>
        </w:rPr>
        <w:t xml:space="preserve"> </w:t>
      </w:r>
      <w:r w:rsidRPr="00AC36A5">
        <w:rPr>
          <w:rFonts w:eastAsia="Times New Roman" w:cs="Times New Roman"/>
          <w:lang w:eastAsia="de-DE"/>
        </w:rPr>
        <w:t xml:space="preserve">(unter der Hand Itamars) mit </w:t>
      </w:r>
      <w:r w:rsidRPr="00AC36A5">
        <w:rPr>
          <w:rFonts w:eastAsia="Times New Roman" w:cs="Times New Roman"/>
          <w:b/>
          <w:bCs/>
          <w:rtl/>
          <w:lang w:eastAsia="de-DE"/>
        </w:rPr>
        <w:t>בְּיַד</w:t>
      </w:r>
      <w:r w:rsidRPr="00AC36A5">
        <w:rPr>
          <w:rFonts w:eastAsia="Times New Roman" w:cs="Times New Roman"/>
          <w:rtl/>
          <w:lang w:eastAsia="de-DE"/>
        </w:rPr>
        <w:t xml:space="preserve"> </w:t>
      </w:r>
      <w:r w:rsidRPr="00AC36A5">
        <w:rPr>
          <w:rFonts w:eastAsia="Times New Roman" w:cs="Times New Roman"/>
          <w:lang w:eastAsia="de-DE"/>
        </w:rPr>
        <w:t>(in der Hand von) zeigt die spezifische priesterliche Verantwortung.</w:t>
      </w:r>
    </w:p>
    <w:p w14:paraId="12E2AE7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vollständige Identifikation </w:t>
      </w:r>
      <w:r w:rsidRPr="00AC36A5">
        <w:rPr>
          <w:rFonts w:eastAsia="Times New Roman" w:cs="Times New Roman"/>
          <w:b/>
          <w:bCs/>
          <w:rtl/>
          <w:lang w:eastAsia="de-DE"/>
        </w:rPr>
        <w:t>אִיתָמָר בֶּֽן־אַהֲרֹ֖ן הַכֹּהֵן</w:t>
      </w:r>
      <w:r w:rsidRPr="00AC36A5">
        <w:rPr>
          <w:rFonts w:eastAsia="Times New Roman" w:cs="Times New Roman"/>
          <w:rtl/>
          <w:lang w:eastAsia="de-DE"/>
        </w:rPr>
        <w:t xml:space="preserve"> </w:t>
      </w:r>
      <w:r w:rsidRPr="00AC36A5">
        <w:rPr>
          <w:rFonts w:eastAsia="Times New Roman" w:cs="Times New Roman"/>
          <w:lang w:eastAsia="de-DE"/>
        </w:rPr>
        <w:t xml:space="preserve">mit der patronymischen Formel </w:t>
      </w:r>
      <w:r w:rsidRPr="00AC36A5">
        <w:rPr>
          <w:rFonts w:eastAsia="Times New Roman" w:cs="Times New Roman"/>
          <w:b/>
          <w:bCs/>
          <w:rtl/>
          <w:lang w:eastAsia="de-DE"/>
        </w:rPr>
        <w:t>בֶּן־אַהֲרֹן</w:t>
      </w:r>
      <w:r w:rsidRPr="00AC36A5">
        <w:rPr>
          <w:rFonts w:eastAsia="Times New Roman" w:cs="Times New Roman"/>
          <w:rtl/>
          <w:lang w:eastAsia="de-DE"/>
        </w:rPr>
        <w:t xml:space="preserve"> </w:t>
      </w:r>
      <w:r w:rsidRPr="00AC36A5">
        <w:rPr>
          <w:rFonts w:eastAsia="Times New Roman" w:cs="Times New Roman"/>
          <w:lang w:eastAsia="de-DE"/>
        </w:rPr>
        <w:t xml:space="preserve">(Sohn Aarons) und der appositiven Bezeichnung </w:t>
      </w:r>
      <w:r w:rsidRPr="00AC36A5">
        <w:rPr>
          <w:rFonts w:eastAsia="Times New Roman" w:cs="Times New Roman"/>
          <w:b/>
          <w:bCs/>
          <w:rtl/>
          <w:lang w:eastAsia="de-DE"/>
        </w:rPr>
        <w:t>הַכֹּהֵן</w:t>
      </w:r>
      <w:r w:rsidRPr="00AC36A5">
        <w:rPr>
          <w:rFonts w:eastAsia="Times New Roman" w:cs="Times New Roman"/>
          <w:rtl/>
          <w:lang w:eastAsia="de-DE"/>
        </w:rPr>
        <w:t xml:space="preserve"> </w:t>
      </w:r>
      <w:r w:rsidRPr="00AC36A5">
        <w:rPr>
          <w:rFonts w:eastAsia="Times New Roman" w:cs="Times New Roman"/>
          <w:lang w:eastAsia="de-DE"/>
        </w:rPr>
        <w:t>(der Priester) etabliert Itamar als den verantwortlichen Priester für die Gerschoniter.</w:t>
      </w:r>
    </w:p>
    <w:p w14:paraId="1D4C4B2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אִיתָמָר</w:t>
      </w:r>
      <w:r w:rsidRPr="00AC36A5">
        <w:rPr>
          <w:rFonts w:eastAsia="Times New Roman" w:cs="Times New Roman"/>
          <w:rtl/>
          <w:lang w:eastAsia="de-DE"/>
        </w:rPr>
        <w:t xml:space="preserve"> </w:t>
      </w:r>
      <w:r w:rsidRPr="00AC36A5">
        <w:rPr>
          <w:rFonts w:eastAsia="Times New Roman" w:cs="Times New Roman"/>
          <w:lang w:eastAsia="de-DE"/>
        </w:rPr>
        <w:t>ist Aarons jüngster Sohn und wird hier erstmals in dieser besonderen Rolle erwähnt, während Eleasar in Vers 16 die Gesamtaufsicht hat.</w:t>
      </w:r>
    </w:p>
    <w:p w14:paraId="12EAC51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αὕτη ἡ λειτουργία δήμων υἱῶν Γεδσων ἐν τῇ σκηνῇ τοῦ μαρτυρίου καὶ ἡ φυλακὴ αὐτῶν ἐν χειρὶ Ιθαμαρ υἱοῦ Ααρων τοῦ ἱερέως und betont Itamars Aufsichtsfunktion.</w:t>
      </w:r>
    </w:p>
    <w:p w14:paraId="53971117" w14:textId="0A17D39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zusammenfassende </w:t>
      </w:r>
      <w:r w:rsidR="00F133EC">
        <w:rPr>
          <w:rFonts w:eastAsia="Times New Roman" w:cs="Times New Roman"/>
          <w:lang w:eastAsia="de-DE"/>
        </w:rPr>
        <w:t>Construct</w:t>
      </w:r>
      <w:r w:rsidRPr="00AC36A5">
        <w:rPr>
          <w:rFonts w:eastAsia="Times New Roman" w:cs="Times New Roman"/>
          <w:lang w:eastAsia="de-DE"/>
        </w:rPr>
        <w:t>ion mit Ortsangabe und einer spezifischen Autoritätszuordnung durch idiomatische Wendung und vollständige priesterliche Identifikation.</w:t>
      </w:r>
    </w:p>
    <w:p w14:paraId="6577791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schließt die gerschonitischen Bestimmungen ab und etabliert Itamar als ihren direkten priesterlichen Aufseher, was die arbeitsteilige Organisation der priesterlichen Aufsicht zeigt.</w:t>
      </w:r>
    </w:p>
    <w:p w14:paraId="336E64F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4,29</w:t>
      </w:r>
    </w:p>
    <w:p w14:paraId="2D24353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בְּנֵ֖י מְרָרִ֑י לְמִשְׁפְּחֹתָ֥ם לְבֵית־אֲבֹתָ֖ם תִּפְקֹ֥ד אֹתָֽם׃</w:t>
      </w:r>
    </w:p>
    <w:p w14:paraId="611B595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Die Söhne Meraris - nach ihren Familien, nach ihren Vaterhäusern sollst du sie mustern;</w:t>
      </w:r>
    </w:p>
    <w:p w14:paraId="71408725"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8B1C022">
          <v:rect id="_x0000_i1192" style="width:0;height:1.5pt" o:hralign="center" o:hrstd="t" o:hr="t" fillcolor="#a0a0a0" stroked="f"/>
        </w:pict>
      </w:r>
    </w:p>
    <w:p w14:paraId="538D9D6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einfache Subjekt </w:t>
      </w:r>
      <w:r w:rsidRPr="00AC36A5">
        <w:rPr>
          <w:rFonts w:eastAsia="Times New Roman" w:cs="Times New Roman"/>
          <w:b/>
          <w:bCs/>
          <w:rtl/>
          <w:lang w:eastAsia="de-DE"/>
        </w:rPr>
        <w:t>בְּנֵי מְרָרִי</w:t>
      </w:r>
      <w:r w:rsidRPr="00AC36A5">
        <w:rPr>
          <w:rFonts w:eastAsia="Times New Roman" w:cs="Times New Roman"/>
          <w:rtl/>
          <w:lang w:eastAsia="de-DE"/>
        </w:rPr>
        <w:t xml:space="preserve"> </w:t>
      </w:r>
      <w:r w:rsidRPr="00AC36A5">
        <w:rPr>
          <w:rFonts w:eastAsia="Times New Roman" w:cs="Times New Roman"/>
          <w:lang w:eastAsia="de-DE"/>
        </w:rPr>
        <w:t>(Söhne Meraris) ohne einleitende Formel leitet direkt die Behandlung der dritten levitischen Hauptgruppe ein, im Gegensatz zu den ausführlicheren Einleitungen der anderen Gruppen.</w:t>
      </w:r>
    </w:p>
    <w:p w14:paraId="7ADBBE0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organisatorischen Spezifikationen </w:t>
      </w:r>
      <w:r w:rsidRPr="00AC36A5">
        <w:rPr>
          <w:rFonts w:eastAsia="Times New Roman" w:cs="Times New Roman"/>
          <w:b/>
          <w:bCs/>
          <w:rtl/>
          <w:lang w:eastAsia="de-DE"/>
        </w:rPr>
        <w:t>לְמִשְׁפְּחֹתָם לְבֵית־אֲבֹתָם</w:t>
      </w:r>
      <w:r w:rsidRPr="00AC36A5">
        <w:rPr>
          <w:rFonts w:eastAsia="Times New Roman" w:cs="Times New Roman"/>
          <w:rtl/>
          <w:lang w:eastAsia="de-DE"/>
        </w:rPr>
        <w:t xml:space="preserve"> </w:t>
      </w:r>
      <w:r w:rsidRPr="00AC36A5">
        <w:rPr>
          <w:rFonts w:eastAsia="Times New Roman" w:cs="Times New Roman"/>
          <w:lang w:eastAsia="de-DE"/>
        </w:rPr>
        <w:t>entsprechen der gerschonitischen Anordnung in Vers 22 (umgekehrte Reihenfolge gegenüber den Kehatitern).</w:t>
      </w:r>
    </w:p>
    <w:p w14:paraId="5B16BF7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Das Verb </w:t>
      </w:r>
      <w:r w:rsidRPr="00AC36A5">
        <w:rPr>
          <w:rFonts w:eastAsia="Times New Roman" w:cs="Times New Roman"/>
          <w:b/>
          <w:bCs/>
          <w:rtl/>
          <w:lang w:eastAsia="de-DE"/>
        </w:rPr>
        <w:t>תִּפְקֹד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im Qal-Imperfekt 2. maskulin Singular mit </w:t>
      </w:r>
      <w:r w:rsidRPr="00AC36A5">
        <w:rPr>
          <w:rFonts w:eastAsia="Times New Roman" w:cs="Times New Roman"/>
          <w:b/>
          <w:bCs/>
          <w:rtl/>
          <w:lang w:eastAsia="de-DE"/>
        </w:rPr>
        <w:t>אֹתָם</w:t>
      </w:r>
      <w:r w:rsidRPr="00AC36A5">
        <w:rPr>
          <w:rFonts w:eastAsia="Times New Roman" w:cs="Times New Roman"/>
          <w:rtl/>
          <w:lang w:eastAsia="de-DE"/>
        </w:rPr>
        <w:t xml:space="preserve"> </w:t>
      </w:r>
      <w:r w:rsidRPr="00AC36A5">
        <w:rPr>
          <w:rFonts w:eastAsia="Times New Roman" w:cs="Times New Roman"/>
          <w:lang w:eastAsia="de-DE"/>
        </w:rPr>
        <w:t>(sie) zeigt die direkte Musterungsanweisung an Mose.</w:t>
      </w:r>
    </w:p>
    <w:p w14:paraId="12BBB0F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knappe Formulierung im Vergleich zu den vorhergehenden Gruppen könnte die geringere Komplexität der meraritischen Aufgaben oder ihre strukturelle Rolle andeuten.</w:t>
      </w:r>
    </w:p>
    <w:p w14:paraId="4580B5D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τοὺς υἱοὺς Μεραρι κατὰ δήμους αὐτῶν κατὰ οἴκους πατριῶν αὐτ῾ων ἐπισκέψῃ αὐτούς und behält die direkte Struktur bei.</w:t>
      </w:r>
    </w:p>
    <w:p w14:paraId="75CBF4B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direkte Subjektnennung mit organisatorischen Spezifikationen und einfacher Musterungsanweisung ohne weitere Einleitungsformeln.</w:t>
      </w:r>
    </w:p>
    <w:p w14:paraId="2C779F2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beginnt die Behandlung der Merariter mit einer knappen, direkten Formulierung und bereitet ihre spezifischen strukturellen Aufgaben vor.</w:t>
      </w:r>
    </w:p>
    <w:p w14:paraId="0421FF2E"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4,30</w:t>
      </w:r>
    </w:p>
    <w:p w14:paraId="274730E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מִבֶּן֩ שְׁלֹשִׁ֨ים שָׁנָ֜ה וָמַ֗עְלָה וְעַ֛ד בֶּן־חֲמִשִּׁ֥ים שָׁנָ֖ה תִּפְקְדֵ֑ם כָּל־הַבָּא֙ לַצָּבָ֔א לַעֲבֹ֕ד אֶת־עֲבֹדַ֖ת אֹ֥הֶל מוֹעֵֽד׃</w:t>
      </w:r>
    </w:p>
    <w:p w14:paraId="712CA3D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von 30 Jahren an und darüber bis zu 50 Jahren sollst du sie mustern, alle, die in den Dienst treten, um die Arbeit des Zeltes der Begegnung zu verrichten.</w:t>
      </w:r>
    </w:p>
    <w:p w14:paraId="5895CA8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0624B7BD">
          <v:rect id="_x0000_i1193" style="width:0;height:1.5pt" o:hralign="center" o:hrstd="t" o:hr="t" fillcolor="#a0a0a0" stroked="f"/>
        </w:pict>
      </w:r>
    </w:p>
    <w:p w14:paraId="0587F7C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Altersangabe </w:t>
      </w:r>
      <w:r w:rsidRPr="00AC36A5">
        <w:rPr>
          <w:rFonts w:eastAsia="Times New Roman" w:cs="Times New Roman"/>
          <w:b/>
          <w:bCs/>
          <w:rtl/>
          <w:lang w:eastAsia="de-DE"/>
        </w:rPr>
        <w:t>מִבֶּן שְׁלֹשִׁים שָׁנָה וָמַעְלָה וְעַד בֶּן־חֲמִשִּׁים שָׁנָה</w:t>
      </w:r>
      <w:r w:rsidRPr="00AC36A5">
        <w:rPr>
          <w:rFonts w:eastAsia="Times New Roman" w:cs="Times New Roman"/>
          <w:rtl/>
          <w:lang w:eastAsia="de-DE"/>
        </w:rPr>
        <w:t xml:space="preserve"> </w:t>
      </w:r>
      <w:r w:rsidRPr="00AC36A5">
        <w:rPr>
          <w:rFonts w:eastAsia="Times New Roman" w:cs="Times New Roman"/>
          <w:lang w:eastAsia="de-DE"/>
        </w:rPr>
        <w:t>entspricht exakt den Bestimmungen für Kehatiter (Vers 3) und Gerschoniter (Vers 23), was die einheitliche Dienstaltersspanne aller levitischen Gruppen bestätigt.</w:t>
      </w:r>
    </w:p>
    <w:p w14:paraId="4C38AF5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Verb </w:t>
      </w:r>
      <w:r w:rsidRPr="00AC36A5">
        <w:rPr>
          <w:rFonts w:eastAsia="Times New Roman" w:cs="Times New Roman"/>
          <w:b/>
          <w:bCs/>
          <w:rtl/>
          <w:lang w:eastAsia="de-DE"/>
        </w:rPr>
        <w:t>תִּפְקְדֵם</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im Qal-Imperfekt 2. maskulin Singular mit direktem Objektsuffix </w:t>
      </w:r>
      <w:r w:rsidRPr="00AC36A5">
        <w:rPr>
          <w:rFonts w:eastAsia="Times New Roman" w:cs="Times New Roman"/>
          <w:b/>
          <w:bCs/>
          <w:lang w:eastAsia="de-DE"/>
        </w:rPr>
        <w:t>-</w:t>
      </w:r>
      <w:r w:rsidRPr="00AC36A5">
        <w:rPr>
          <w:rFonts w:eastAsia="Times New Roman" w:cs="Times New Roman"/>
          <w:b/>
          <w:bCs/>
          <w:rtl/>
          <w:lang w:eastAsia="de-DE"/>
        </w:rPr>
        <w:t>ֵם</w:t>
      </w:r>
      <w:r w:rsidRPr="00AC36A5">
        <w:rPr>
          <w:rFonts w:eastAsia="Times New Roman" w:cs="Times New Roman"/>
          <w:rtl/>
          <w:lang w:eastAsia="de-DE"/>
        </w:rPr>
        <w:t xml:space="preserve"> </w:t>
      </w:r>
      <w:r w:rsidRPr="00AC36A5">
        <w:rPr>
          <w:rFonts w:eastAsia="Times New Roman" w:cs="Times New Roman"/>
          <w:lang w:eastAsia="de-DE"/>
        </w:rPr>
        <w:t>(sie) zeigt die Musterungsanweisung.</w:t>
      </w:r>
    </w:p>
    <w:p w14:paraId="35AB324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charakterisierende Phrase </w:t>
      </w:r>
      <w:r w:rsidRPr="00AC36A5">
        <w:rPr>
          <w:rFonts w:eastAsia="Times New Roman" w:cs="Times New Roman"/>
          <w:b/>
          <w:bCs/>
          <w:rtl/>
          <w:lang w:eastAsia="de-DE"/>
        </w:rPr>
        <w:t>כָּל־הַבָּא לַצָּבָא</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בָּא</w:t>
      </w:r>
      <w:r w:rsidRPr="00AC36A5">
        <w:rPr>
          <w:rFonts w:eastAsia="Times New Roman" w:cs="Times New Roman"/>
          <w:rtl/>
          <w:lang w:eastAsia="de-DE"/>
        </w:rPr>
        <w:t xml:space="preserve"> </w:t>
      </w:r>
      <w:r w:rsidRPr="00AC36A5">
        <w:rPr>
          <w:rFonts w:eastAsia="Times New Roman" w:cs="Times New Roman"/>
          <w:lang w:eastAsia="de-DE"/>
        </w:rPr>
        <w:t xml:space="preserve">als Partizip 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 xml:space="preserve">(kommen) und </w:t>
      </w:r>
      <w:r w:rsidRPr="00AC36A5">
        <w:rPr>
          <w:rFonts w:eastAsia="Times New Roman" w:cs="Times New Roman"/>
          <w:b/>
          <w:bCs/>
          <w:rtl/>
          <w:lang w:eastAsia="de-DE"/>
        </w:rPr>
        <w:t>לַצָּבָא</w:t>
      </w:r>
      <w:r w:rsidRPr="00AC36A5">
        <w:rPr>
          <w:rFonts w:eastAsia="Times New Roman" w:cs="Times New Roman"/>
          <w:rtl/>
          <w:lang w:eastAsia="de-DE"/>
        </w:rPr>
        <w:t xml:space="preserve"> </w:t>
      </w:r>
      <w:r w:rsidRPr="00AC36A5">
        <w:rPr>
          <w:rFonts w:eastAsia="Times New Roman" w:cs="Times New Roman"/>
          <w:lang w:eastAsia="de-DE"/>
        </w:rPr>
        <w:t>(zum Dienst) verwendet die militärische Terminologie für den heiligen Dienst.</w:t>
      </w:r>
    </w:p>
    <w:p w14:paraId="03B3FAC7" w14:textId="21DA96E3"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finale Zweck </w:t>
      </w:r>
      <w:r w:rsidRPr="00AC36A5">
        <w:rPr>
          <w:rFonts w:eastAsia="Times New Roman" w:cs="Times New Roman"/>
          <w:b/>
          <w:bCs/>
          <w:rtl/>
          <w:lang w:eastAsia="de-DE"/>
        </w:rPr>
        <w:t>לַעֲבֹד אֶת־עֲבֹדַת אֹהֶל מוֹעֵד</w:t>
      </w:r>
      <w:r w:rsidRPr="00AC36A5">
        <w:rPr>
          <w:rFonts w:eastAsia="Times New Roman" w:cs="Times New Roman"/>
          <w:rtl/>
          <w:lang w:eastAsia="de-DE"/>
        </w:rPr>
        <w:t xml:space="preserve"> </w:t>
      </w:r>
      <w:r w:rsidRPr="00AC36A5">
        <w:rPr>
          <w:rFonts w:eastAsia="Times New Roman" w:cs="Times New Roman"/>
          <w:lang w:eastAsia="de-DE"/>
        </w:rPr>
        <w:t>mit dem 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 xml:space="preserve">(arbeiten), dem direkten Objekt </w:t>
      </w:r>
      <w:r w:rsidRPr="00AC36A5">
        <w:rPr>
          <w:rFonts w:eastAsia="Times New Roman" w:cs="Times New Roman"/>
          <w:b/>
          <w:bCs/>
          <w:rtl/>
          <w:lang w:eastAsia="de-DE"/>
        </w:rPr>
        <w:t>אֶת־עֲבֹדַת</w:t>
      </w:r>
      <w:r w:rsidRPr="00AC36A5">
        <w:rPr>
          <w:rFonts w:eastAsia="Times New Roman" w:cs="Times New Roman"/>
          <w:rtl/>
          <w:lang w:eastAsia="de-DE"/>
        </w:rPr>
        <w:t xml:space="preserve"> </w:t>
      </w:r>
      <w:r w:rsidRPr="00AC36A5">
        <w:rPr>
          <w:rFonts w:eastAsia="Times New Roman" w:cs="Times New Roman"/>
          <w:lang w:eastAsia="de-DE"/>
        </w:rPr>
        <w:t xml:space="preserve">(die Arbeit von) und </w:t>
      </w:r>
      <w:r w:rsidRPr="00AC36A5">
        <w:rPr>
          <w:rFonts w:eastAsia="Times New Roman" w:cs="Times New Roman"/>
          <w:b/>
          <w:bCs/>
          <w:rtl/>
          <w:lang w:eastAsia="de-DE"/>
        </w:rPr>
        <w:t>אֹהֶל מוֹעֵד</w:t>
      </w:r>
      <w:r w:rsidRPr="00AC36A5">
        <w:rPr>
          <w:rFonts w:eastAsia="Times New Roman" w:cs="Times New Roman"/>
          <w:rtl/>
          <w:lang w:eastAsia="de-DE"/>
        </w:rPr>
        <w:t xml:space="preserve"> </w:t>
      </w:r>
      <w:r w:rsidRPr="00AC36A5">
        <w:rPr>
          <w:rFonts w:eastAsia="Times New Roman" w:cs="Times New Roman"/>
          <w:lang w:eastAsia="de-DE"/>
        </w:rPr>
        <w:t xml:space="preserve">(Zelt der Begegnung) im </w:t>
      </w:r>
      <w:r w:rsidR="00F133EC">
        <w:rPr>
          <w:rFonts w:eastAsia="Times New Roman" w:cs="Times New Roman"/>
          <w:lang w:eastAsia="de-DE"/>
        </w:rPr>
        <w:t>Construct</w:t>
      </w:r>
      <w:r w:rsidRPr="00AC36A5">
        <w:rPr>
          <w:rFonts w:eastAsia="Times New Roman" w:cs="Times New Roman"/>
          <w:lang w:eastAsia="de-DE"/>
        </w:rPr>
        <w:t xml:space="preserve"> zeigt die spezifische Arbeitsbestimmung.</w:t>
      </w:r>
    </w:p>
    <w:p w14:paraId="2AA84DE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Im Unterschied zu den vorherigen Formulierungen fehlt hier die reduplikative Verstärkung (</w:t>
      </w:r>
      <w:r w:rsidRPr="00AC36A5">
        <w:rPr>
          <w:rFonts w:eastAsia="Times New Roman" w:cs="Times New Roman"/>
          <w:b/>
          <w:bCs/>
          <w:rtl/>
          <w:lang w:eastAsia="de-DE"/>
        </w:rPr>
        <w:t>צְבֹא צָבָא</w:t>
      </w:r>
      <w:r w:rsidRPr="00AC36A5">
        <w:rPr>
          <w:rFonts w:eastAsia="Times New Roman" w:cs="Times New Roman"/>
          <w:rtl/>
          <w:lang w:eastAsia="de-DE"/>
        </w:rPr>
        <w:t xml:space="preserve"> </w:t>
      </w:r>
      <w:r w:rsidRPr="00AC36A5">
        <w:rPr>
          <w:rFonts w:eastAsia="Times New Roman" w:cs="Times New Roman"/>
          <w:lang w:eastAsia="de-DE"/>
        </w:rPr>
        <w:t xml:space="preserve">oder </w:t>
      </w:r>
      <w:r w:rsidRPr="00AC36A5">
        <w:rPr>
          <w:rFonts w:eastAsia="Times New Roman" w:cs="Times New Roman"/>
          <w:b/>
          <w:bCs/>
          <w:rtl/>
          <w:lang w:eastAsia="de-DE"/>
        </w:rPr>
        <w:t>עֲבֹד עֲבֹדָה</w:t>
      </w:r>
      <w:r w:rsidRPr="00AC36A5">
        <w:rPr>
          <w:rFonts w:eastAsia="Times New Roman" w:cs="Times New Roman"/>
          <w:lang w:eastAsia="de-DE"/>
        </w:rPr>
        <w:t>), was möglicherweise die praktischere Natur der meraritischen Aufgaben reflektiert.</w:t>
      </w:r>
    </w:p>
    <w:p w14:paraId="15C0835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ἀπὸ τριακονταετοῦς καὶ ἐπάνω καὶ ἕως πεντηκονταετοῦς ἐπισκέψῃ αὐτούς πᾶς ὁ εἰσπορευόμενος λειτουργεῖν τὰ ἔργα τῆς σκηνῆς τοῦ μαρτυρίου und behält die strukturelle Betonung bei.</w:t>
      </w:r>
    </w:p>
    <w:p w14:paraId="157A4DF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präpositionale Altersbestimmung mit Imperativ, charakterisierender Partizipialkonstruktion und finalem Zwecksatz ohne reduplikative Verstärkung.</w:t>
      </w:r>
    </w:p>
    <w:p w14:paraId="100E7FB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Dieser Vers etabliert für die Merariter die identischen Altersvoraussetzungen wie für die anderen levitischen Gruppen, zeigt aber durch das Fehlen reduplikativer Verstärkungen die eher praktische Natur ihrer Aufgaben.</w:t>
      </w:r>
    </w:p>
    <w:p w14:paraId="07B0127E"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4,31</w:t>
      </w:r>
    </w:p>
    <w:p w14:paraId="08C2190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וְזֹאת֙ מִשְׁמֶ֣רֶת מַשָּׂאָ֔ם לְכָל־עֲבֹדָתָ֖ם בְּאֹ֣הֶל מוֹעֵ֑ד קַרְשֵׁי֙ הַמִּשְׁכָּ֔ן וּבְרִיחָ֖יו וְעַמּוּדָ֥יו וַאֲדָנָֽיו׃</w:t>
      </w:r>
    </w:p>
    <w:p w14:paraId="194716A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dies ist die Aufsicht ihrer Traglast für ihren ganzen Dienst am Zelt der Begegnung: die Bretter der Wohnung und ihre Riegel und ihre Säulen und ihre Füße,</w:t>
      </w:r>
    </w:p>
    <w:p w14:paraId="573D0133"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C9A5CA3">
          <v:rect id="_x0000_i1194" style="width:0;height:1.5pt" o:hralign="center" o:hrstd="t" o:hr="t" fillcolor="#a0a0a0" stroked="f"/>
        </w:pict>
      </w:r>
    </w:p>
    <w:p w14:paraId="5A63D705" w14:textId="4A74A76E"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וְזֹאת</w:t>
      </w:r>
      <w:r w:rsidRPr="00AC36A5">
        <w:rPr>
          <w:rFonts w:eastAsia="Times New Roman" w:cs="Times New Roman"/>
          <w:rtl/>
          <w:lang w:eastAsia="de-DE"/>
        </w:rPr>
        <w:t xml:space="preserve"> </w:t>
      </w:r>
      <w:r w:rsidRPr="00AC36A5">
        <w:rPr>
          <w:rFonts w:eastAsia="Times New Roman" w:cs="Times New Roman"/>
          <w:lang w:eastAsia="de-DE"/>
        </w:rPr>
        <w:t xml:space="preserve">(und dies) mit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מִשְׁמֶרֶת מַשָּׂאָם</w:t>
      </w:r>
      <w:r w:rsidRPr="00AC36A5">
        <w:rPr>
          <w:rFonts w:eastAsia="Times New Roman" w:cs="Times New Roman"/>
          <w:rtl/>
          <w:lang w:eastAsia="de-DE"/>
        </w:rPr>
        <w:t xml:space="preserve"> </w:t>
      </w:r>
      <w:r w:rsidRPr="00AC36A5">
        <w:rPr>
          <w:rFonts w:eastAsia="Times New Roman" w:cs="Times New Roman"/>
          <w:lang w:eastAsia="de-DE"/>
        </w:rPr>
        <w:t xml:space="preserve">(Aufsicht ihrer Traglast) leitet die spezifische Aufgabenbeschreibung der Merariter ein. </w:t>
      </w:r>
      <w:r w:rsidRPr="00AC36A5">
        <w:rPr>
          <w:rFonts w:eastAsia="Times New Roman" w:cs="Times New Roman"/>
          <w:b/>
          <w:bCs/>
          <w:rtl/>
          <w:lang w:eastAsia="de-DE"/>
        </w:rPr>
        <w:t>מִשְׁמֶרֶת</w:t>
      </w:r>
      <w:r w:rsidRPr="00AC36A5">
        <w:rPr>
          <w:rFonts w:eastAsia="Times New Roman" w:cs="Times New Roman"/>
          <w:rtl/>
          <w:lang w:eastAsia="de-DE"/>
        </w:rPr>
        <w:t xml:space="preserve"> </w:t>
      </w:r>
      <w:r w:rsidRPr="00AC36A5">
        <w:rPr>
          <w:rFonts w:eastAsia="Times New Roman" w:cs="Times New Roman"/>
          <w:lang w:eastAsia="de-DE"/>
        </w:rPr>
        <w:t xml:space="preserve">(Aufsicht/Wache) mit </w:t>
      </w:r>
      <w:r w:rsidRPr="00AC36A5">
        <w:rPr>
          <w:rFonts w:eastAsia="Times New Roman" w:cs="Times New Roman"/>
          <w:b/>
          <w:bCs/>
          <w:rtl/>
          <w:lang w:eastAsia="de-DE"/>
        </w:rPr>
        <w:t>מַשָּׂא</w:t>
      </w:r>
      <w:r w:rsidRPr="00AC36A5">
        <w:rPr>
          <w:rFonts w:eastAsia="Times New Roman" w:cs="Times New Roman"/>
          <w:rtl/>
          <w:lang w:eastAsia="de-DE"/>
        </w:rPr>
        <w:t xml:space="preserve"> </w:t>
      </w:r>
      <w:r w:rsidRPr="00AC36A5">
        <w:rPr>
          <w:rFonts w:eastAsia="Times New Roman" w:cs="Times New Roman"/>
          <w:lang w:eastAsia="de-DE"/>
        </w:rPr>
        <w:t>(Traglast) betont ihre Transportverantwortung.</w:t>
      </w:r>
    </w:p>
    <w:p w14:paraId="433CBE5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Phrase </w:t>
      </w:r>
      <w:r w:rsidRPr="00AC36A5">
        <w:rPr>
          <w:rFonts w:eastAsia="Times New Roman" w:cs="Times New Roman"/>
          <w:b/>
          <w:bCs/>
          <w:rtl/>
          <w:lang w:eastAsia="de-DE"/>
        </w:rPr>
        <w:t>לְכָל־עֲבֹדָתָם בְּאֹהֶל מוֹעֵד</w:t>
      </w:r>
      <w:r w:rsidRPr="00AC36A5">
        <w:rPr>
          <w:rFonts w:eastAsia="Times New Roman" w:cs="Times New Roman"/>
          <w:rtl/>
          <w:lang w:eastAsia="de-DE"/>
        </w:rPr>
        <w:t xml:space="preserve"> </w:t>
      </w:r>
      <w:r w:rsidRPr="00AC36A5">
        <w:rPr>
          <w:rFonts w:eastAsia="Times New Roman" w:cs="Times New Roman"/>
          <w:lang w:eastAsia="de-DE"/>
        </w:rPr>
        <w:t xml:space="preserve">(für ihren ganzen Dienst am Zelt der Begegnung) mit </w:t>
      </w:r>
      <w:r w:rsidRPr="00AC36A5">
        <w:rPr>
          <w:rFonts w:eastAsia="Times New Roman" w:cs="Times New Roman"/>
          <w:b/>
          <w:bCs/>
          <w:rtl/>
          <w:lang w:eastAsia="de-DE"/>
        </w:rPr>
        <w:t>לְכָל</w:t>
      </w:r>
      <w:r w:rsidRPr="00AC36A5">
        <w:rPr>
          <w:rFonts w:eastAsia="Times New Roman" w:cs="Times New Roman"/>
          <w:rtl/>
          <w:lang w:eastAsia="de-DE"/>
        </w:rPr>
        <w:t xml:space="preserve"> </w:t>
      </w:r>
      <w:r w:rsidRPr="00AC36A5">
        <w:rPr>
          <w:rFonts w:eastAsia="Times New Roman" w:cs="Times New Roman"/>
          <w:lang w:eastAsia="de-DE"/>
        </w:rPr>
        <w:t xml:space="preserve">(für alle) und </w:t>
      </w:r>
      <w:r w:rsidRPr="00AC36A5">
        <w:rPr>
          <w:rFonts w:eastAsia="Times New Roman" w:cs="Times New Roman"/>
          <w:b/>
          <w:bCs/>
          <w:rtl/>
          <w:lang w:eastAsia="de-DE"/>
        </w:rPr>
        <w:t>עֲבֹדָתָם</w:t>
      </w:r>
      <w:r w:rsidRPr="00AC36A5">
        <w:rPr>
          <w:rFonts w:eastAsia="Times New Roman" w:cs="Times New Roman"/>
          <w:rtl/>
          <w:lang w:eastAsia="de-DE"/>
        </w:rPr>
        <w:t xml:space="preserve"> </w:t>
      </w:r>
      <w:r w:rsidRPr="00AC36A5">
        <w:rPr>
          <w:rFonts w:eastAsia="Times New Roman" w:cs="Times New Roman"/>
          <w:lang w:eastAsia="de-DE"/>
        </w:rPr>
        <w:t>(ihre Arbeit) zeigt den umfassenden Arbeitsbereich.</w:t>
      </w:r>
    </w:p>
    <w:p w14:paraId="0C5E3206" w14:textId="7B81DF1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systematische Aufzählung der strukturellen Komponenten </w:t>
      </w:r>
      <w:r w:rsidRPr="00AC36A5">
        <w:rPr>
          <w:rFonts w:eastAsia="Times New Roman" w:cs="Times New Roman"/>
          <w:b/>
          <w:bCs/>
          <w:rtl/>
          <w:lang w:eastAsia="de-DE"/>
        </w:rPr>
        <w:t>קַרְשֵׁי הַמִּשְׁכָּן וּבְרִיחָיו וְעַמּוּדָיו וַאֲדָנָיו</w:t>
      </w:r>
      <w:r w:rsidRPr="00AC36A5">
        <w:rPr>
          <w:rFonts w:eastAsia="Times New Roman" w:cs="Times New Roman"/>
          <w:rtl/>
          <w:lang w:eastAsia="de-DE"/>
        </w:rPr>
        <w:t xml:space="preserve"> </w:t>
      </w:r>
      <w:r w:rsidRPr="00AC36A5">
        <w:rPr>
          <w:rFonts w:eastAsia="Times New Roman" w:cs="Times New Roman"/>
          <w:lang w:eastAsia="de-DE"/>
        </w:rPr>
        <w:t xml:space="preserve">zeigt: </w:t>
      </w:r>
      <w:r w:rsidRPr="00AC36A5">
        <w:rPr>
          <w:rFonts w:eastAsia="Times New Roman" w:cs="Times New Roman"/>
          <w:b/>
          <w:bCs/>
          <w:rtl/>
          <w:lang w:eastAsia="de-DE"/>
        </w:rPr>
        <w:t>קַרְשֵׁי הַמִּשְׁכָּן</w:t>
      </w:r>
      <w:r w:rsidRPr="00AC36A5">
        <w:rPr>
          <w:rFonts w:eastAsia="Times New Roman" w:cs="Times New Roman"/>
          <w:rtl/>
          <w:lang w:eastAsia="de-DE"/>
        </w:rPr>
        <w:t xml:space="preserve"> </w:t>
      </w:r>
      <w:r w:rsidRPr="00AC36A5">
        <w:rPr>
          <w:rFonts w:eastAsia="Times New Roman" w:cs="Times New Roman"/>
          <w:lang w:eastAsia="de-DE"/>
        </w:rPr>
        <w:t xml:space="preserve">(Bretter der Wohnung) im </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בְּרִיחִים</w:t>
      </w:r>
      <w:r w:rsidRPr="00AC36A5">
        <w:rPr>
          <w:rFonts w:eastAsia="Times New Roman" w:cs="Times New Roman"/>
          <w:rtl/>
          <w:lang w:eastAsia="de-DE"/>
        </w:rPr>
        <w:t xml:space="preserve"> </w:t>
      </w:r>
      <w:r w:rsidRPr="00AC36A5">
        <w:rPr>
          <w:rFonts w:eastAsia="Times New Roman" w:cs="Times New Roman"/>
          <w:lang w:eastAsia="de-DE"/>
        </w:rPr>
        <w:t xml:space="preserve">(Riegel) mit Possessivsuffix 3. maskulin Singular, </w:t>
      </w:r>
      <w:r w:rsidRPr="00AC36A5">
        <w:rPr>
          <w:rFonts w:eastAsia="Times New Roman" w:cs="Times New Roman"/>
          <w:b/>
          <w:bCs/>
          <w:rtl/>
          <w:lang w:eastAsia="de-DE"/>
        </w:rPr>
        <w:t>עַמּוּדִים</w:t>
      </w:r>
      <w:r w:rsidRPr="00AC36A5">
        <w:rPr>
          <w:rFonts w:eastAsia="Times New Roman" w:cs="Times New Roman"/>
          <w:rtl/>
          <w:lang w:eastAsia="de-DE"/>
        </w:rPr>
        <w:t xml:space="preserve"> </w:t>
      </w:r>
      <w:r w:rsidRPr="00AC36A5">
        <w:rPr>
          <w:rFonts w:eastAsia="Times New Roman" w:cs="Times New Roman"/>
          <w:lang w:eastAsia="de-DE"/>
        </w:rPr>
        <w:t xml:space="preserve">(Säulen) mit Suffix und </w:t>
      </w:r>
      <w:r w:rsidRPr="00AC36A5">
        <w:rPr>
          <w:rFonts w:eastAsia="Times New Roman" w:cs="Times New Roman"/>
          <w:b/>
          <w:bCs/>
          <w:rtl/>
          <w:lang w:eastAsia="de-DE"/>
        </w:rPr>
        <w:t>אֲדָנִים</w:t>
      </w:r>
      <w:r w:rsidRPr="00AC36A5">
        <w:rPr>
          <w:rFonts w:eastAsia="Times New Roman" w:cs="Times New Roman"/>
          <w:rtl/>
          <w:lang w:eastAsia="de-DE"/>
        </w:rPr>
        <w:t xml:space="preserve"> </w:t>
      </w:r>
      <w:r w:rsidRPr="00AC36A5">
        <w:rPr>
          <w:rFonts w:eastAsia="Times New Roman" w:cs="Times New Roman"/>
          <w:lang w:eastAsia="de-DE"/>
        </w:rPr>
        <w:t>(Füße/Sockel) mit Suffix.</w:t>
      </w:r>
    </w:p>
    <w:p w14:paraId="14B1C8A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 Aufzählung entspricht genau der bereits in 3,36 gegebenen Beschreibung der meraritischen Verantwortlichkeiten und zeigt die strukturellen Grundelemente der Stiftshütte.</w:t>
      </w:r>
    </w:p>
    <w:p w14:paraId="036C6D0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αὕτη ἡ φυλακὴ τῶν αἰρομένων ὑπ᾽ αὐτῶν κατὰ πάντα τὰ ἔργα αὐτῶν ἐν τῇ σκηνῇ τοῦ μαρτυρίου τὰς κεφαλίδας τῆς σκηνῆς καὶ τοὺς μοχλοὺς αὐτῆς und listet die strukturellen Elemente auf.</w:t>
      </w:r>
    </w:p>
    <w:p w14:paraId="719FEA74" w14:textId="1EE1A6D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demonstrative Einleitung mit </w:t>
      </w:r>
      <w:r w:rsidR="00F133EC">
        <w:rPr>
          <w:rFonts w:eastAsia="Times New Roman" w:cs="Times New Roman"/>
          <w:lang w:eastAsia="de-DE"/>
        </w:rPr>
        <w:t>Construct</w:t>
      </w:r>
      <w:r w:rsidRPr="00AC36A5">
        <w:rPr>
          <w:rFonts w:eastAsia="Times New Roman" w:cs="Times New Roman"/>
          <w:lang w:eastAsia="de-DE"/>
        </w:rPr>
        <w:t>verbindung, umfassender präpositionaler Bestimmung und systematischer Aufzählung der tragenden strukturellen Komponenten.</w:t>
      </w:r>
    </w:p>
    <w:p w14:paraId="1EF24B7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definiert die Merariter als Verantwortliche für das strukturelle "Skelett" der Stiftshütte und etabliert ihre fundamentale Rolle für die physische Stabilität des Heiligtums.</w:t>
      </w:r>
    </w:p>
    <w:p w14:paraId="504600A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4,32</w:t>
      </w:r>
    </w:p>
    <w:p w14:paraId="2893DA2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וְעַמּוּדֵי֩ הֶחָצֵ֨ר סָבִ֜יב וְאַדְנֵיהֶ֗ם וִֽיתֵדֹתָם֙ וּמֵ֣יתְרֵיהֶ֔ם לְכָל־כְּלֵיהֶ֔ם וּלְכֹ֖ל עֲבֹדָתָ֑ם וּבְשֵׁמֹ֣ת תִּפְקְד֔וּ אֶת־כְּלֵ֖י מִשְׁמֶ֥רֶת מַשָּׂאָֽם׃</w:t>
      </w:r>
    </w:p>
    <w:p w14:paraId="4B2457E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Säulen des Vorhofs ringsum und ihre Füße und ihre Pflöcke und ihre Seile, mit allen ihren Geräten und ihrem ganzen Dienst; und mit Namen sollt ihr ihnen die Geräte ihrer Traglast-Aufgabe zuweisen.</w:t>
      </w:r>
    </w:p>
    <w:p w14:paraId="4C4CA43D"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lastRenderedPageBreak/>
        <w:pict w14:anchorId="68E0AC75">
          <v:rect id="_x0000_i1195" style="width:0;height:1.5pt" o:hralign="center" o:hrstd="t" o:hr="t" fillcolor="#a0a0a0" stroked="f"/>
        </w:pict>
      </w:r>
    </w:p>
    <w:p w14:paraId="33458CE8" w14:textId="4E8151D6"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Fortsetzung der Aufzählung </w:t>
      </w:r>
      <w:r w:rsidRPr="00AC36A5">
        <w:rPr>
          <w:rFonts w:eastAsia="Times New Roman" w:cs="Times New Roman"/>
          <w:b/>
          <w:bCs/>
          <w:rtl/>
          <w:lang w:eastAsia="de-DE"/>
        </w:rPr>
        <w:t>וְעַמּוּדֵי הֶחָצֵר סָבִיב</w:t>
      </w:r>
      <w:r w:rsidRPr="00AC36A5">
        <w:rPr>
          <w:rFonts w:eastAsia="Times New Roman" w:cs="Times New Roman"/>
          <w:rtl/>
          <w:lang w:eastAsia="de-DE"/>
        </w:rPr>
        <w:t xml:space="preserve"> </w:t>
      </w:r>
      <w:r w:rsidRPr="00AC36A5">
        <w:rPr>
          <w:rFonts w:eastAsia="Times New Roman" w:cs="Times New Roman"/>
          <w:lang w:eastAsia="de-DE"/>
        </w:rPr>
        <w:t xml:space="preserve">(und die Säulen des Vorhofs ringsum) mit </w:t>
      </w:r>
      <w:r w:rsidRPr="00AC36A5">
        <w:rPr>
          <w:rFonts w:eastAsia="Times New Roman" w:cs="Times New Roman"/>
          <w:b/>
          <w:bCs/>
          <w:rtl/>
          <w:lang w:eastAsia="de-DE"/>
        </w:rPr>
        <w:t>עַמּוּדֵי</w:t>
      </w:r>
      <w:r w:rsidRPr="00AC36A5">
        <w:rPr>
          <w:rFonts w:eastAsia="Times New Roman" w:cs="Times New Roman"/>
          <w:rtl/>
          <w:lang w:eastAsia="de-DE"/>
        </w:rPr>
        <w:t xml:space="preserve"> </w:t>
      </w:r>
      <w:r w:rsidRPr="00AC36A5">
        <w:rPr>
          <w:rFonts w:eastAsia="Times New Roman" w:cs="Times New Roman"/>
          <w:lang w:eastAsia="de-DE"/>
        </w:rPr>
        <w:t xml:space="preserve">(Säulen von) im </w:t>
      </w:r>
      <w:r w:rsidR="00F133EC">
        <w:rPr>
          <w:rFonts w:eastAsia="Times New Roman" w:cs="Times New Roman"/>
          <w:lang w:eastAsia="de-DE"/>
        </w:rPr>
        <w:t>Construct</w:t>
      </w:r>
      <w:r w:rsidRPr="00AC36A5">
        <w:rPr>
          <w:rFonts w:eastAsia="Times New Roman" w:cs="Times New Roman"/>
          <w:lang w:eastAsia="de-DE"/>
        </w:rPr>
        <w:t xml:space="preserve"> mit </w:t>
      </w:r>
      <w:r w:rsidRPr="00AC36A5">
        <w:rPr>
          <w:rFonts w:eastAsia="Times New Roman" w:cs="Times New Roman"/>
          <w:b/>
          <w:bCs/>
          <w:rtl/>
          <w:lang w:eastAsia="de-DE"/>
        </w:rPr>
        <w:t>הֶחָצֵר</w:t>
      </w:r>
      <w:r w:rsidRPr="00AC36A5">
        <w:rPr>
          <w:rFonts w:eastAsia="Times New Roman" w:cs="Times New Roman"/>
          <w:rtl/>
          <w:lang w:eastAsia="de-DE"/>
        </w:rPr>
        <w:t xml:space="preserve"> </w:t>
      </w:r>
      <w:r w:rsidRPr="00AC36A5">
        <w:rPr>
          <w:rFonts w:eastAsia="Times New Roman" w:cs="Times New Roman"/>
          <w:lang w:eastAsia="de-DE"/>
        </w:rPr>
        <w:t xml:space="preserve">(der Vorhof) und </w:t>
      </w:r>
      <w:r w:rsidRPr="00AC36A5">
        <w:rPr>
          <w:rFonts w:eastAsia="Times New Roman" w:cs="Times New Roman"/>
          <w:b/>
          <w:bCs/>
          <w:rtl/>
          <w:lang w:eastAsia="de-DE"/>
        </w:rPr>
        <w:t>סָבִיב</w:t>
      </w:r>
      <w:r w:rsidRPr="00AC36A5">
        <w:rPr>
          <w:rFonts w:eastAsia="Times New Roman" w:cs="Times New Roman"/>
          <w:rtl/>
          <w:lang w:eastAsia="de-DE"/>
        </w:rPr>
        <w:t xml:space="preserve"> </w:t>
      </w:r>
      <w:r w:rsidRPr="00AC36A5">
        <w:rPr>
          <w:rFonts w:eastAsia="Times New Roman" w:cs="Times New Roman"/>
          <w:lang w:eastAsia="de-DE"/>
        </w:rPr>
        <w:t>(ringsum) erweitert die meraritische Verantwortung auf die äußeren strukturellen Elemente.</w:t>
      </w:r>
    </w:p>
    <w:p w14:paraId="0E3B647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Aufzählung </w:t>
      </w:r>
      <w:r w:rsidRPr="00AC36A5">
        <w:rPr>
          <w:rFonts w:eastAsia="Times New Roman" w:cs="Times New Roman"/>
          <w:b/>
          <w:bCs/>
          <w:rtl/>
          <w:lang w:eastAsia="de-DE"/>
        </w:rPr>
        <w:t>וְאַדְנֵיהֶ֗ם וִֽיתֵדֹתָם֙ וּמֵ֣יתְרֵיהֶ֔ם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אֲדָנִים</w:t>
      </w:r>
      <w:r w:rsidRPr="00AC36A5">
        <w:rPr>
          <w:rFonts w:eastAsia="Times New Roman" w:cs="Times New Roman"/>
          <w:rtl/>
          <w:lang w:eastAsia="de-DE"/>
        </w:rPr>
        <w:t xml:space="preserve"> </w:t>
      </w:r>
      <w:r w:rsidRPr="00AC36A5">
        <w:rPr>
          <w:rFonts w:eastAsia="Times New Roman" w:cs="Times New Roman"/>
          <w:lang w:eastAsia="de-DE"/>
        </w:rPr>
        <w:t xml:space="preserve">(Füße/Sockel), </w:t>
      </w:r>
      <w:r w:rsidRPr="00AC36A5">
        <w:rPr>
          <w:rFonts w:eastAsia="Times New Roman" w:cs="Times New Roman"/>
          <w:b/>
          <w:bCs/>
          <w:rtl/>
          <w:lang w:eastAsia="de-DE"/>
        </w:rPr>
        <w:t>יְתֵדוֹת</w:t>
      </w:r>
      <w:r w:rsidRPr="00AC36A5">
        <w:rPr>
          <w:rFonts w:eastAsia="Times New Roman" w:cs="Times New Roman"/>
          <w:rtl/>
          <w:lang w:eastAsia="de-DE"/>
        </w:rPr>
        <w:t xml:space="preserve"> </w:t>
      </w:r>
      <w:r w:rsidRPr="00AC36A5">
        <w:rPr>
          <w:rFonts w:eastAsia="Times New Roman" w:cs="Times New Roman"/>
          <w:lang w:eastAsia="de-DE"/>
        </w:rPr>
        <w:t xml:space="preserve">(Pflöcke) und </w:t>
      </w:r>
      <w:r w:rsidRPr="00AC36A5">
        <w:rPr>
          <w:rFonts w:eastAsia="Times New Roman" w:cs="Times New Roman"/>
          <w:b/>
          <w:bCs/>
          <w:rtl/>
          <w:lang w:eastAsia="de-DE"/>
        </w:rPr>
        <w:t>מֵיתָרִים</w:t>
      </w:r>
      <w:r w:rsidRPr="00AC36A5">
        <w:rPr>
          <w:rFonts w:eastAsia="Times New Roman" w:cs="Times New Roman"/>
          <w:rtl/>
          <w:lang w:eastAsia="de-DE"/>
        </w:rPr>
        <w:t xml:space="preserve"> </w:t>
      </w:r>
      <w:r w:rsidRPr="00AC36A5">
        <w:rPr>
          <w:rFonts w:eastAsia="Times New Roman" w:cs="Times New Roman"/>
          <w:lang w:eastAsia="de-DE"/>
        </w:rPr>
        <w:t>(Seile) mit entsprechenden Possessivsuffixen 3. maskulin Plural zeigt alle Befestigungsmaterialien.</w:t>
      </w:r>
    </w:p>
    <w:p w14:paraId="178A0E5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zusammenfassenden Phrasen </w:t>
      </w:r>
      <w:r w:rsidRPr="00AC36A5">
        <w:rPr>
          <w:rFonts w:eastAsia="Times New Roman" w:cs="Times New Roman"/>
          <w:b/>
          <w:bCs/>
          <w:rtl/>
          <w:lang w:eastAsia="de-DE"/>
        </w:rPr>
        <w:t>לְכָל־כְּלֵיהֶ֔ם וּלְכֹ֖ל עֲבֹדָתָ֑ם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לְכָל־כְּלֵיהֶם</w:t>
      </w:r>
      <w:r w:rsidRPr="00AC36A5">
        <w:rPr>
          <w:rFonts w:eastAsia="Times New Roman" w:cs="Times New Roman"/>
          <w:rtl/>
          <w:lang w:eastAsia="de-DE"/>
        </w:rPr>
        <w:t xml:space="preserve"> </w:t>
      </w:r>
      <w:r w:rsidRPr="00AC36A5">
        <w:rPr>
          <w:rFonts w:eastAsia="Times New Roman" w:cs="Times New Roman"/>
          <w:lang w:eastAsia="de-DE"/>
        </w:rPr>
        <w:t xml:space="preserve">(mit allen ihren Geräten) und </w:t>
      </w:r>
      <w:r w:rsidRPr="00AC36A5">
        <w:rPr>
          <w:rFonts w:eastAsia="Times New Roman" w:cs="Times New Roman"/>
          <w:b/>
          <w:bCs/>
          <w:rtl/>
          <w:lang w:eastAsia="de-DE"/>
        </w:rPr>
        <w:t>לְכֹל עֲבֹדָתָם</w:t>
      </w:r>
      <w:r w:rsidRPr="00AC36A5">
        <w:rPr>
          <w:rFonts w:eastAsia="Times New Roman" w:cs="Times New Roman"/>
          <w:rtl/>
          <w:lang w:eastAsia="de-DE"/>
        </w:rPr>
        <w:t xml:space="preserve"> </w:t>
      </w:r>
      <w:r w:rsidRPr="00AC36A5">
        <w:rPr>
          <w:rFonts w:eastAsia="Times New Roman" w:cs="Times New Roman"/>
          <w:lang w:eastAsia="de-DE"/>
        </w:rPr>
        <w:t>(und ihrem ganzen Dienst) betonen die Vollständigkeit der Verantwortung.</w:t>
      </w:r>
    </w:p>
    <w:p w14:paraId="2653C7D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wichtige abschließende Satz </w:t>
      </w:r>
      <w:r w:rsidRPr="00AC36A5">
        <w:rPr>
          <w:rFonts w:eastAsia="Times New Roman" w:cs="Times New Roman"/>
          <w:b/>
          <w:bCs/>
          <w:rtl/>
          <w:lang w:eastAsia="de-DE"/>
        </w:rPr>
        <w:t>וּבְשֵׁמֹת תִּפְקְדוּ אֶת־כְּלֵי מִשְׁמֶרֶת מַשָּׂאָם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בְּשֵׁמוֹת</w:t>
      </w:r>
      <w:r w:rsidRPr="00AC36A5">
        <w:rPr>
          <w:rFonts w:eastAsia="Times New Roman" w:cs="Times New Roman"/>
          <w:rtl/>
          <w:lang w:eastAsia="de-DE"/>
        </w:rPr>
        <w:t xml:space="preserve"> </w:t>
      </w:r>
      <w:r w:rsidRPr="00AC36A5">
        <w:rPr>
          <w:rFonts w:eastAsia="Times New Roman" w:cs="Times New Roman"/>
          <w:lang w:eastAsia="de-DE"/>
        </w:rPr>
        <w:t xml:space="preserve">(mit Namen), </w:t>
      </w:r>
      <w:r w:rsidRPr="00AC36A5">
        <w:rPr>
          <w:rFonts w:eastAsia="Times New Roman" w:cs="Times New Roman"/>
          <w:b/>
          <w:bCs/>
          <w:rtl/>
          <w:lang w:eastAsia="de-DE"/>
        </w:rPr>
        <w:t>תִּפְקְדוּ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(zuordnen/bestimmen) im Qal-Imperfekt 2. maskulin Plural und </w:t>
      </w:r>
      <w:r w:rsidRPr="00AC36A5">
        <w:rPr>
          <w:rFonts w:eastAsia="Times New Roman" w:cs="Times New Roman"/>
          <w:b/>
          <w:bCs/>
          <w:rtl/>
          <w:lang w:eastAsia="de-DE"/>
        </w:rPr>
        <w:t>כְּלֵי מִשְׁמֶרֶת מַשָּׂאָם</w:t>
      </w:r>
      <w:r w:rsidRPr="00AC36A5">
        <w:rPr>
          <w:rFonts w:eastAsia="Times New Roman" w:cs="Times New Roman"/>
          <w:rtl/>
          <w:lang w:eastAsia="de-DE"/>
        </w:rPr>
        <w:t xml:space="preserve"> </w:t>
      </w:r>
      <w:r w:rsidRPr="00AC36A5">
        <w:rPr>
          <w:rFonts w:eastAsia="Times New Roman" w:cs="Times New Roman"/>
          <w:lang w:eastAsia="de-DE"/>
        </w:rPr>
        <w:t>(Geräte der Aufsicht ihrer Traglast) etabliert die namentliche Zuordnung spezifischer Gegenstände.</w:t>
      </w:r>
    </w:p>
    <w:p w14:paraId="4ED1E7E4" w14:textId="77777777" w:rsidR="003231DC" w:rsidRDefault="003231DC" w:rsidP="003231DC">
      <w:pPr>
        <w:pStyle w:val="whitespace-normal"/>
      </w:pPr>
      <w:r>
        <w:t>Diese namentliche Zuordnung (</w:t>
      </w:r>
      <w:r>
        <w:rPr>
          <w:rtl/>
        </w:rPr>
        <w:t>בְּשֵׁמוֹת</w:t>
      </w:r>
      <w:r>
        <w:t xml:space="preserve"> – 'mit Namen') ist </w:t>
      </w:r>
      <w:r>
        <w:rPr>
          <w:rStyle w:val="Fett"/>
        </w:rPr>
        <w:t>einzigartig</w:t>
      </w:r>
      <w:r>
        <w:t xml:space="preserve"> für die Merariter und dient drei Funktionen:</w:t>
      </w:r>
    </w:p>
    <w:p w14:paraId="65B9E506" w14:textId="77777777" w:rsidR="003231DC" w:rsidRDefault="003231DC" w:rsidP="00C15C06">
      <w:pPr>
        <w:pStyle w:val="whitespace-normal"/>
        <w:numPr>
          <w:ilvl w:val="0"/>
          <w:numId w:val="45"/>
        </w:numPr>
      </w:pPr>
      <w:r>
        <w:rPr>
          <w:rStyle w:val="Fett"/>
        </w:rPr>
        <w:t>Rechenschaftspflicht</w:t>
      </w:r>
      <w:r>
        <w:t>: Jedes schwere Strukturelement wird einem konkreten Leviten zugeordnet</w:t>
      </w:r>
    </w:p>
    <w:p w14:paraId="27941729" w14:textId="77777777" w:rsidR="003231DC" w:rsidRDefault="003231DC" w:rsidP="00C15C06">
      <w:pPr>
        <w:pStyle w:val="whitespace-normal"/>
        <w:numPr>
          <w:ilvl w:val="0"/>
          <w:numId w:val="45"/>
        </w:numPr>
      </w:pPr>
      <w:r>
        <w:rPr>
          <w:rStyle w:val="Fett"/>
        </w:rPr>
        <w:t>Lastverteilung</w:t>
      </w:r>
      <w:r>
        <w:t>: Die unterschiedlich schweren Bretter (</w:t>
      </w:r>
      <w:r>
        <w:rPr>
          <w:rtl/>
        </w:rPr>
        <w:t>קַרְשֵׁי</w:t>
      </w:r>
      <w:r>
        <w:t>), Riegel (</w:t>
      </w:r>
      <w:r>
        <w:rPr>
          <w:rtl/>
        </w:rPr>
        <w:t>בְּרִיחִים</w:t>
      </w:r>
      <w:r>
        <w:t>) und Sockel (</w:t>
      </w:r>
      <w:r>
        <w:rPr>
          <w:rtl/>
        </w:rPr>
        <w:t>אֲדָנִים</w:t>
      </w:r>
      <w:r>
        <w:t>) erfordern individuelle Kraftzuordnung</w:t>
      </w:r>
    </w:p>
    <w:p w14:paraId="77493CA9" w14:textId="77777777" w:rsidR="003231DC" w:rsidRDefault="003231DC" w:rsidP="00C15C06">
      <w:pPr>
        <w:pStyle w:val="whitespace-normal"/>
        <w:numPr>
          <w:ilvl w:val="0"/>
          <w:numId w:val="45"/>
        </w:numPr>
      </w:pPr>
      <w:r>
        <w:rPr>
          <w:rStyle w:val="Fett"/>
        </w:rPr>
        <w:t>Vollständigkeitskontrolle</w:t>
      </w:r>
      <w:r>
        <w:t>: Beim Auf- und Abbau kann jedes Teil eindeutig einem Verantwortlichen zugeordnet werden</w:t>
      </w:r>
    </w:p>
    <w:p w14:paraId="77254B9A" w14:textId="5B5FFE6A" w:rsidR="00AC36A5" w:rsidRPr="00AC36A5" w:rsidRDefault="003231DC" w:rsidP="003231DC">
      <w:pPr>
        <w:pStyle w:val="whitespace-normal"/>
      </w:pPr>
      <w:r>
        <w:t xml:space="preserve">Diese Präzision steht im Kontrast zu den Kehatitern und Gerschonitern, deren Aufgaben kollektiv beschrieben werden – ein Indiz für die </w:t>
      </w:r>
      <w:r>
        <w:rPr>
          <w:rStyle w:val="Fett"/>
        </w:rPr>
        <w:t>höhere logistische Komplexität</w:t>
      </w:r>
      <w:r>
        <w:t xml:space="preserve"> der meraritischen Strukturaufgaben.</w:t>
      </w:r>
    </w:p>
    <w:p w14:paraId="08FF3D58" w14:textId="77777777" w:rsidR="008D0C5E" w:rsidRDefault="008D0C5E" w:rsidP="00AC36A5">
      <w:pPr>
        <w:spacing w:before="100" w:beforeAutospacing="1" w:after="100" w:afterAutospacing="1" w:line="240" w:lineRule="auto"/>
      </w:pPr>
      <w:r>
        <w:rPr>
          <w:rStyle w:val="Fett"/>
        </w:rPr>
        <w:t>Die LXX</w:t>
      </w:r>
      <w:r>
        <w:t xml:space="preserve"> fügt hinzu: ἐξ ὀνομάτων ἐπισκέψασθε αὐτοὺς (mit Namen sollt ihr sie mustern), was die Präzision der Inventarisierung betont.</w:t>
      </w:r>
    </w:p>
    <w:p w14:paraId="5CBB3FE4" w14:textId="1C6633F1" w:rsidR="00AC36A5" w:rsidRPr="00AC36A5" w:rsidRDefault="006B48FB" w:rsidP="00AC36A5">
      <w:pPr>
        <w:spacing w:before="100" w:beforeAutospacing="1" w:after="100" w:afterAutospacing="1" w:line="240" w:lineRule="auto"/>
        <w:rPr>
          <w:rFonts w:eastAsia="Times New Roman" w:cs="Times New Roman"/>
          <w:lang w:eastAsia="de-DE"/>
        </w:rPr>
      </w:pPr>
      <w:r>
        <w:t xml:space="preserve"> </w:t>
      </w:r>
      <w:r w:rsidR="00AC36A5" w:rsidRPr="00AC36A5">
        <w:rPr>
          <w:rFonts w:eastAsia="Times New Roman" w:cs="Times New Roman"/>
          <w:lang w:eastAsia="de-DE"/>
        </w:rPr>
        <w:t>Die Satzstruktur zeigt eine systematische Aufzählung äußerer struktureller Elemente mit zusammenfassenden Vollständigkeitsklauseln und einer besonderen Anweisung zur namentlichen Gerätezuordnung.</w:t>
      </w:r>
    </w:p>
    <w:p w14:paraId="168EF87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komplettiert die meraritische Aufgabenbeschreibung und etabliert durch die namentliche Zuordnungsanforderung die besondere Verantwortlichkeit und Rechenschaftspflicht für die schweren strukturellen Komponenten.</w:t>
      </w:r>
    </w:p>
    <w:p w14:paraId="05DE3FD4"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4,33</w:t>
      </w:r>
    </w:p>
    <w:p w14:paraId="3A4358A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זֹ֣את עֲבֹדַ֗ת מִשְׁפְּחֹת֙ בְּנֵ֣י מְרָרִ֔י לְכָל־עֲבֹדָתָ֖ם בְּאֹ֣הֶל מוֹעֵ֑ד בְּיַד֙ אִֽיתָמָ֔ר בֶּֽן־אַהֲרֹ֖ן הַכֹּהֵֽן׃</w:t>
      </w:r>
    </w:p>
    <w:p w14:paraId="44AC875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Deutsch:</w:t>
      </w:r>
      <w:r w:rsidRPr="00AC36A5">
        <w:rPr>
          <w:rFonts w:eastAsia="Times New Roman" w:cs="Times New Roman"/>
          <w:lang w:eastAsia="de-DE"/>
        </w:rPr>
        <w:t xml:space="preserve"> Das ist der Dienst der Familien der Söhne Meraris, ihr ganzer Dienst am Zelt der Begegnung unter der Hand Itamars, des Sohnes 'Aharons, des Priesters.</w:t>
      </w:r>
    </w:p>
    <w:p w14:paraId="29D1B0F6"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0E44FD24">
          <v:rect id="_x0000_i1196" style="width:0;height:1.5pt" o:hralign="center" o:hrstd="t" o:hr="t" fillcolor="#a0a0a0" stroked="f"/>
        </w:pict>
      </w:r>
    </w:p>
    <w:p w14:paraId="6C7E8D5B" w14:textId="324CEB0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זֹאת</w:t>
      </w:r>
      <w:r w:rsidRPr="00AC36A5">
        <w:rPr>
          <w:rFonts w:eastAsia="Times New Roman" w:cs="Times New Roman"/>
          <w:rtl/>
          <w:lang w:eastAsia="de-DE"/>
        </w:rPr>
        <w:t xml:space="preserve"> </w:t>
      </w:r>
      <w:r w:rsidRPr="00AC36A5">
        <w:rPr>
          <w:rFonts w:eastAsia="Times New Roman" w:cs="Times New Roman"/>
          <w:lang w:eastAsia="de-DE"/>
        </w:rPr>
        <w:t xml:space="preserve">(das) mit der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עֲבֹדַת מִשְׁפְּחֹת בְּנֵי מְרָרִ֔י</w:t>
      </w:r>
      <w:r w:rsidRPr="00AC36A5">
        <w:rPr>
          <w:rFonts w:eastAsia="Times New Roman" w:cs="Times New Roman"/>
          <w:rtl/>
          <w:lang w:eastAsia="de-DE"/>
        </w:rPr>
        <w:t xml:space="preserve"> </w:t>
      </w:r>
      <w:r w:rsidRPr="00AC36A5">
        <w:rPr>
          <w:rFonts w:eastAsia="Times New Roman" w:cs="Times New Roman"/>
          <w:lang w:eastAsia="de-DE"/>
        </w:rPr>
        <w:t>(Dienst der Familien der Söhne Meraris) fasst die meraritischen Aufgaben zusammen, parallel zur gerschonitischen Zusammenfassung in Vers 28.</w:t>
      </w:r>
    </w:p>
    <w:p w14:paraId="4E01BA8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verstärkende Phrase </w:t>
      </w:r>
      <w:r w:rsidRPr="00AC36A5">
        <w:rPr>
          <w:rFonts w:eastAsia="Times New Roman" w:cs="Times New Roman"/>
          <w:b/>
          <w:bCs/>
          <w:rtl/>
          <w:lang w:eastAsia="de-DE"/>
        </w:rPr>
        <w:t>לְכָל־עֲבֹדָתָ֖ם בְּאֹ֣הֶל מוֹעֵ֑ד</w:t>
      </w:r>
      <w:r w:rsidRPr="00AC36A5">
        <w:rPr>
          <w:rFonts w:eastAsia="Times New Roman" w:cs="Times New Roman"/>
          <w:rtl/>
          <w:lang w:eastAsia="de-DE"/>
        </w:rPr>
        <w:t xml:space="preserve"> </w:t>
      </w:r>
      <w:r w:rsidRPr="00AC36A5">
        <w:rPr>
          <w:rFonts w:eastAsia="Times New Roman" w:cs="Times New Roman"/>
          <w:lang w:eastAsia="de-DE"/>
        </w:rPr>
        <w:t xml:space="preserve">(ihr ganzer Dienst am Zelt der Begegnung) mit </w:t>
      </w:r>
      <w:r w:rsidRPr="00AC36A5">
        <w:rPr>
          <w:rFonts w:eastAsia="Times New Roman" w:cs="Times New Roman"/>
          <w:b/>
          <w:bCs/>
          <w:rtl/>
          <w:lang w:eastAsia="de-DE"/>
        </w:rPr>
        <w:t>לְכָל</w:t>
      </w:r>
      <w:r w:rsidRPr="00AC36A5">
        <w:rPr>
          <w:rFonts w:eastAsia="Times New Roman" w:cs="Times New Roman"/>
          <w:rtl/>
          <w:lang w:eastAsia="de-DE"/>
        </w:rPr>
        <w:t xml:space="preserve"> </w:t>
      </w:r>
      <w:r w:rsidRPr="00AC36A5">
        <w:rPr>
          <w:rFonts w:eastAsia="Times New Roman" w:cs="Times New Roman"/>
          <w:lang w:eastAsia="de-DE"/>
        </w:rPr>
        <w:t>(für alle) betont die umfassende Natur ihrer strukturellen Verantwortlichkeiten.</w:t>
      </w:r>
    </w:p>
    <w:p w14:paraId="335E424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idiomatische Wendung </w:t>
      </w:r>
      <w:r w:rsidRPr="00AC36A5">
        <w:rPr>
          <w:rFonts w:eastAsia="Times New Roman" w:cs="Times New Roman"/>
          <w:b/>
          <w:bCs/>
          <w:rtl/>
          <w:lang w:eastAsia="de-DE"/>
        </w:rPr>
        <w:t>בְּיַד אִֽיתָמָ֔ר בֶּֽן־אַהֲרֹ֖ן הַכֹּהֵֽן</w:t>
      </w:r>
      <w:r w:rsidRPr="00AC36A5">
        <w:rPr>
          <w:rFonts w:eastAsia="Times New Roman" w:cs="Times New Roman"/>
          <w:rtl/>
          <w:lang w:eastAsia="de-DE"/>
        </w:rPr>
        <w:t xml:space="preserve"> </w:t>
      </w:r>
      <w:r w:rsidRPr="00AC36A5">
        <w:rPr>
          <w:rFonts w:eastAsia="Times New Roman" w:cs="Times New Roman"/>
          <w:lang w:eastAsia="de-DE"/>
        </w:rPr>
        <w:t xml:space="preserve">(unter der Hand Itamars, des Sohnes Aarons, des Priesters) mit </w:t>
      </w:r>
      <w:r w:rsidRPr="00AC36A5">
        <w:rPr>
          <w:rFonts w:eastAsia="Times New Roman" w:cs="Times New Roman"/>
          <w:b/>
          <w:bCs/>
          <w:rtl/>
          <w:lang w:eastAsia="de-DE"/>
        </w:rPr>
        <w:t>בְּיַד</w:t>
      </w:r>
      <w:r w:rsidRPr="00AC36A5">
        <w:rPr>
          <w:rFonts w:eastAsia="Times New Roman" w:cs="Times New Roman"/>
          <w:rtl/>
          <w:lang w:eastAsia="de-DE"/>
        </w:rPr>
        <w:t xml:space="preserve"> </w:t>
      </w:r>
      <w:r w:rsidRPr="00AC36A5">
        <w:rPr>
          <w:rFonts w:eastAsia="Times New Roman" w:cs="Times New Roman"/>
          <w:lang w:eastAsia="de-DE"/>
        </w:rPr>
        <w:t>(in der Hand von) etabliert Itamar als Aufseher auch über die Merariter.</w:t>
      </w:r>
    </w:p>
    <w:p w14:paraId="4221B18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vollständige Identifikation mit patronymischer Formel </w:t>
      </w:r>
      <w:r w:rsidRPr="00AC36A5">
        <w:rPr>
          <w:rFonts w:eastAsia="Times New Roman" w:cs="Times New Roman"/>
          <w:b/>
          <w:bCs/>
          <w:rtl/>
          <w:lang w:eastAsia="de-DE"/>
        </w:rPr>
        <w:t>בֶּן־אַהֲרֹן</w:t>
      </w:r>
      <w:r w:rsidRPr="00AC36A5">
        <w:rPr>
          <w:rFonts w:eastAsia="Times New Roman" w:cs="Times New Roman"/>
          <w:rtl/>
          <w:lang w:eastAsia="de-DE"/>
        </w:rPr>
        <w:t xml:space="preserve"> </w:t>
      </w:r>
      <w:r w:rsidRPr="00AC36A5">
        <w:rPr>
          <w:rFonts w:eastAsia="Times New Roman" w:cs="Times New Roman"/>
          <w:lang w:eastAsia="de-DE"/>
        </w:rPr>
        <w:t xml:space="preserve">und appositiver Bezeichnung </w:t>
      </w:r>
      <w:r w:rsidRPr="00AC36A5">
        <w:rPr>
          <w:rFonts w:eastAsia="Times New Roman" w:cs="Times New Roman"/>
          <w:b/>
          <w:bCs/>
          <w:rtl/>
          <w:lang w:eastAsia="de-DE"/>
        </w:rPr>
        <w:t>הַכֹּהֵן</w:t>
      </w:r>
      <w:r w:rsidRPr="00AC36A5">
        <w:rPr>
          <w:rFonts w:eastAsia="Times New Roman" w:cs="Times New Roman"/>
          <w:rtl/>
          <w:lang w:eastAsia="de-DE"/>
        </w:rPr>
        <w:t xml:space="preserve"> </w:t>
      </w:r>
      <w:r w:rsidRPr="00AC36A5">
        <w:rPr>
          <w:rFonts w:eastAsia="Times New Roman" w:cs="Times New Roman"/>
          <w:lang w:eastAsia="de-DE"/>
        </w:rPr>
        <w:t>entspricht exakt der Formulierung in Vers 28 für die Gerschoniter.</w:t>
      </w:r>
    </w:p>
    <w:p w14:paraId="21A54F8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Tatsache, dass Itamar sowohl über Gerschoniter als auch Merariter gesetzt ist, während Eleasar die Gesamtaufsicht und die besondere Verantwortung für die Kehatiter hat, zeigt eine klare arbeitsteilige Struktur der priesterlichen Aufsicht.</w:t>
      </w:r>
    </w:p>
    <w:p w14:paraId="5DE9D28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αὕτη ἡ λειτουργία δήμων υἱῶν Μεραρι κατὰ πάντα τὰ ἔργα αὐτῶν ἐν τῇ σκηνῇ τοῦ μαρτυρίου ἐν χειρὶ Ιθαμαρ υἱοῦ Ααρων τοῦ ἱερέως und behält die strukturelle Parallelität bei.</w:t>
      </w:r>
    </w:p>
    <w:p w14:paraId="6E3F4E80" w14:textId="3B4CCBE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zusammenfassende </w:t>
      </w:r>
      <w:r w:rsidR="00F133EC">
        <w:rPr>
          <w:rFonts w:eastAsia="Times New Roman" w:cs="Times New Roman"/>
          <w:lang w:eastAsia="de-DE"/>
        </w:rPr>
        <w:t>Construct</w:t>
      </w:r>
      <w:r w:rsidRPr="00AC36A5">
        <w:rPr>
          <w:rFonts w:eastAsia="Times New Roman" w:cs="Times New Roman"/>
          <w:lang w:eastAsia="de-DE"/>
        </w:rPr>
        <w:t>ion mit verstärkender Vollständigkeitsangabe und identischer Autoritätszuordnung wie bei den Gerschonitern.</w:t>
      </w:r>
    </w:p>
    <w:p w14:paraId="0DB3783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schließt die meraritischen Bestimmungen ab und etabliert die duale Aufsichtsstruktur: Eleasar für die Kehatiter und Gesamtverantwortung, Itamar für Gerschoniter und Merariter.</w:t>
      </w:r>
    </w:p>
    <w:p w14:paraId="27098439"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4,34</w:t>
      </w:r>
    </w:p>
    <w:p w14:paraId="33223AA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וַיִּפְקֹ֨ד מֹשֶׁ֧ה וְאַהֲרֹ֛ן וּנְשִׂיאֵ֥י הָעֵדָ֖ה אֶת־בְּנֵ֣י הַקְּהָתִ֑י לְמִשְׁפְּחֹתָ֖ם וּלְבֵ֥ית אֲבֹתָֽם׃</w:t>
      </w:r>
    </w:p>
    <w:p w14:paraId="4330D82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Mosche und 'Aharon und die Fürsten der Gemeinde musterten die Söhne des Kehati nach ihren Familien und nach ihren Vaterhäusern,</w:t>
      </w:r>
    </w:p>
    <w:p w14:paraId="43E0646C"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E9A50C7">
          <v:rect id="_x0000_i1197" style="width:0;height:1.5pt" o:hralign="center" o:hrstd="t" o:hr="t" fillcolor="#a0a0a0" stroked="f"/>
        </w:pict>
      </w:r>
    </w:p>
    <w:p w14:paraId="1279556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im Qal-Imperfekt 3. maskulin Singular mit Waw consecutivum leitet den Ausführungsbericht der praktischen Musterung ein. Das koordinierte Subjekt </w:t>
      </w:r>
      <w:r w:rsidRPr="00AC36A5">
        <w:rPr>
          <w:rFonts w:eastAsia="Times New Roman" w:cs="Times New Roman"/>
          <w:b/>
          <w:bCs/>
          <w:rtl/>
          <w:lang w:eastAsia="de-DE"/>
        </w:rPr>
        <w:t>מֹשֶׁה וְאַהֲרֹן וּנְשִׂיאֵי הָעֵדָה</w:t>
      </w:r>
      <w:r w:rsidRPr="00AC36A5">
        <w:rPr>
          <w:rFonts w:eastAsia="Times New Roman" w:cs="Times New Roman"/>
          <w:rtl/>
          <w:lang w:eastAsia="de-DE"/>
        </w:rPr>
        <w:t xml:space="preserve"> </w:t>
      </w:r>
      <w:r w:rsidRPr="00AC36A5">
        <w:rPr>
          <w:rFonts w:eastAsia="Times New Roman" w:cs="Times New Roman"/>
          <w:lang w:eastAsia="de-DE"/>
        </w:rPr>
        <w:t xml:space="preserve">zeigt die vollständige Führungsautorität: </w:t>
      </w:r>
      <w:r w:rsidRPr="00AC36A5">
        <w:rPr>
          <w:rFonts w:eastAsia="Times New Roman" w:cs="Times New Roman"/>
          <w:b/>
          <w:bCs/>
          <w:rtl/>
          <w:lang w:eastAsia="de-DE"/>
        </w:rPr>
        <w:t>מֹשֶׁה וְאַהֲרֹן</w:t>
      </w:r>
      <w:r w:rsidRPr="00AC36A5">
        <w:rPr>
          <w:rFonts w:eastAsia="Times New Roman" w:cs="Times New Roman"/>
          <w:rtl/>
          <w:lang w:eastAsia="de-DE"/>
        </w:rPr>
        <w:t xml:space="preserve"> </w:t>
      </w:r>
      <w:r w:rsidRPr="00AC36A5">
        <w:rPr>
          <w:rFonts w:eastAsia="Times New Roman" w:cs="Times New Roman"/>
          <w:lang w:eastAsia="de-DE"/>
        </w:rPr>
        <w:t xml:space="preserve">(Mose und Aaron) als oberste Führung und </w:t>
      </w:r>
      <w:r w:rsidRPr="00AC36A5">
        <w:rPr>
          <w:rFonts w:eastAsia="Times New Roman" w:cs="Times New Roman"/>
          <w:b/>
          <w:bCs/>
          <w:rtl/>
          <w:lang w:eastAsia="de-DE"/>
        </w:rPr>
        <w:t>נְשִׂיאֵי הָעֵדָה</w:t>
      </w:r>
      <w:r w:rsidRPr="00AC36A5">
        <w:rPr>
          <w:rFonts w:eastAsia="Times New Roman" w:cs="Times New Roman"/>
          <w:rtl/>
          <w:lang w:eastAsia="de-DE"/>
        </w:rPr>
        <w:t xml:space="preserve"> </w:t>
      </w:r>
      <w:r w:rsidRPr="00AC36A5">
        <w:rPr>
          <w:rFonts w:eastAsia="Times New Roman" w:cs="Times New Roman"/>
          <w:lang w:eastAsia="de-DE"/>
        </w:rPr>
        <w:t>(Fürsten der Gemeinde) als Vertreter der Stämme.</w:t>
      </w:r>
    </w:p>
    <w:p w14:paraId="53CF40C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Das direkte Objekt </w:t>
      </w:r>
      <w:r w:rsidRPr="00AC36A5">
        <w:rPr>
          <w:rFonts w:eastAsia="Times New Roman" w:cs="Times New Roman"/>
          <w:b/>
          <w:bCs/>
          <w:rtl/>
          <w:lang w:eastAsia="de-DE"/>
        </w:rPr>
        <w:t>אֶת־בְּנֵי הַקְּהָתִי</w:t>
      </w:r>
      <w:r w:rsidRPr="00AC36A5">
        <w:rPr>
          <w:rFonts w:eastAsia="Times New Roman" w:cs="Times New Roman"/>
          <w:rtl/>
          <w:lang w:eastAsia="de-DE"/>
        </w:rPr>
        <w:t xml:space="preserve"> </w:t>
      </w:r>
      <w:r w:rsidRPr="00AC36A5">
        <w:rPr>
          <w:rFonts w:eastAsia="Times New Roman" w:cs="Times New Roman"/>
          <w:lang w:eastAsia="de-DE"/>
        </w:rPr>
        <w:t xml:space="preserve">mit nota accusativi und der kollektiven Gentilizform </w:t>
      </w:r>
      <w:r w:rsidRPr="00AC36A5">
        <w:rPr>
          <w:rFonts w:eastAsia="Times New Roman" w:cs="Times New Roman"/>
          <w:b/>
          <w:bCs/>
          <w:rtl/>
          <w:lang w:eastAsia="de-DE"/>
        </w:rPr>
        <w:t>הַקְּהָתִי</w:t>
      </w:r>
      <w:r w:rsidRPr="00AC36A5">
        <w:rPr>
          <w:rFonts w:eastAsia="Times New Roman" w:cs="Times New Roman"/>
          <w:rtl/>
          <w:lang w:eastAsia="de-DE"/>
        </w:rPr>
        <w:t xml:space="preserve"> </w:t>
      </w:r>
      <w:r w:rsidRPr="00AC36A5">
        <w:rPr>
          <w:rFonts w:eastAsia="Times New Roman" w:cs="Times New Roman"/>
          <w:lang w:eastAsia="de-DE"/>
        </w:rPr>
        <w:t>(der Kehatiter) zeigt die erste durchgeführte Musterung.</w:t>
      </w:r>
    </w:p>
    <w:p w14:paraId="50F476F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organisatorischen Spezifikationen </w:t>
      </w:r>
      <w:r w:rsidRPr="00AC36A5">
        <w:rPr>
          <w:rFonts w:eastAsia="Times New Roman" w:cs="Times New Roman"/>
          <w:b/>
          <w:bCs/>
          <w:rtl/>
          <w:lang w:eastAsia="de-DE"/>
        </w:rPr>
        <w:t>לְמִשְׁפְּחֹתָ֖ם וּלְבֵ֥ית אֲבֹתָֽם</w:t>
      </w:r>
      <w:r w:rsidRPr="00AC36A5">
        <w:rPr>
          <w:rFonts w:eastAsia="Times New Roman" w:cs="Times New Roman"/>
          <w:rtl/>
          <w:lang w:eastAsia="de-DE"/>
        </w:rPr>
        <w:t xml:space="preserve"> </w:t>
      </w:r>
      <w:r w:rsidRPr="00AC36A5">
        <w:rPr>
          <w:rFonts w:eastAsia="Times New Roman" w:cs="Times New Roman"/>
          <w:lang w:eastAsia="de-DE"/>
        </w:rPr>
        <w:t>(nach ihren Familien und nach ihren Vaterhäusern) entsprechen der systematischen genealogischen Erfassung und zeigen die Reihenfolge: Familien, dann Vaterhäuser.</w:t>
      </w:r>
    </w:p>
    <w:p w14:paraId="4D83F04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ἐπεσκέψατο Μωυσῆς καὶ Ααρων καὶ οἱ ἄρχοντες Ισραηλ τοὺς υἱοὺς Κααθ κατὰ δήμους αὐτῶν κατὰ οἴκους πατριῶν αὐτῶν und betont die gemeinsame Führungsverantwortung.</w:t>
      </w:r>
    </w:p>
    <w:p w14:paraId="59A6209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Ausführungsbericht mit koordiniertem dreifachem Subjekt, direktem Objekt und systematischen organisatorischen Spezifikationen.</w:t>
      </w:r>
    </w:p>
    <w:p w14:paraId="553C6B2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beginnt den Abschnitt der praktischen Durchführung der levitischen Musterung und betont durch die Einbeziehung der Stammesführer die offizielle und repräsentative Natur dieser Zählung.</w:t>
      </w:r>
    </w:p>
    <w:p w14:paraId="09E6FF5A"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4,35</w:t>
      </w:r>
    </w:p>
    <w:p w14:paraId="7DDEC6C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מִבֶּ֨ן שְׁלֹשִׁ֤ים שָׁנָה֙ וָמַ֔עְלָה וְעַ֖ד בֶּן־חֲמִשִּׁ֣ים שָׁנָ֑ה כָּל־הַבָּא֙ לַצָּבָ֔א לַעֲבֹדָ֖ה בְּאֹ֥הֶל מוֹעֵֽד׃</w:t>
      </w:r>
    </w:p>
    <w:p w14:paraId="667DC5F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von 30 Jahren an und darüber bis zu 50 Jahren, jeden, der in den Dienst trat zur Arbeit am Zelt der Begegnung.</w:t>
      </w:r>
    </w:p>
    <w:p w14:paraId="0221968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119C8B9">
          <v:rect id="_x0000_i1198" style="width:0;height:1.5pt" o:hralign="center" o:hrstd="t" o:hr="t" fillcolor="#a0a0a0" stroked="f"/>
        </w:pict>
      </w:r>
    </w:p>
    <w:p w14:paraId="5D98E9D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Altersangabe </w:t>
      </w:r>
      <w:r w:rsidRPr="00AC36A5">
        <w:rPr>
          <w:rFonts w:eastAsia="Times New Roman" w:cs="Times New Roman"/>
          <w:b/>
          <w:bCs/>
          <w:rtl/>
          <w:lang w:eastAsia="de-DE"/>
        </w:rPr>
        <w:t>מִבֶּן שְׁלֹשִׁים שָׁנָה וָמַעְלָה וְעַד בֶּן־חֲמִשִּׁים שָׁנָה</w:t>
      </w:r>
      <w:r w:rsidRPr="00AC36A5">
        <w:rPr>
          <w:rFonts w:eastAsia="Times New Roman" w:cs="Times New Roman"/>
          <w:rtl/>
          <w:lang w:eastAsia="de-DE"/>
        </w:rPr>
        <w:t xml:space="preserve"> </w:t>
      </w:r>
      <w:r w:rsidRPr="00AC36A5">
        <w:rPr>
          <w:rFonts w:eastAsia="Times New Roman" w:cs="Times New Roman"/>
          <w:lang w:eastAsia="de-DE"/>
        </w:rPr>
        <w:t>wiederholt exakt die Dienstkriterien aus Vers 3 und bestätigt die einheitliche Anwendung der 30-50 Jahre Altersspanne.</w:t>
      </w:r>
    </w:p>
    <w:p w14:paraId="4E5103A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כָּל־הַבָּא לַצָּבָא</w:t>
      </w:r>
      <w:r w:rsidRPr="00AC36A5">
        <w:rPr>
          <w:rFonts w:eastAsia="Times New Roman" w:cs="Times New Roman"/>
          <w:rtl/>
          <w:lang w:eastAsia="de-DE"/>
        </w:rPr>
        <w:t xml:space="preserve"> </w:t>
      </w:r>
      <w:r w:rsidRPr="00AC36A5">
        <w:rPr>
          <w:rFonts w:eastAsia="Times New Roman" w:cs="Times New Roman"/>
          <w:lang w:eastAsia="de-DE"/>
        </w:rPr>
        <w:t xml:space="preserve">(jeden, der in den Dienst trat) mit </w:t>
      </w:r>
      <w:r w:rsidRPr="00AC36A5">
        <w:rPr>
          <w:rFonts w:eastAsia="Times New Roman" w:cs="Times New Roman"/>
          <w:b/>
          <w:bCs/>
          <w:rtl/>
          <w:lang w:eastAsia="de-DE"/>
        </w:rPr>
        <w:t>בָּא</w:t>
      </w:r>
      <w:r w:rsidRPr="00AC36A5">
        <w:rPr>
          <w:rFonts w:eastAsia="Times New Roman" w:cs="Times New Roman"/>
          <w:rtl/>
          <w:lang w:eastAsia="de-DE"/>
        </w:rPr>
        <w:t xml:space="preserve"> </w:t>
      </w:r>
      <w:r w:rsidRPr="00AC36A5">
        <w:rPr>
          <w:rFonts w:eastAsia="Times New Roman" w:cs="Times New Roman"/>
          <w:lang w:eastAsia="de-DE"/>
        </w:rPr>
        <w:t xml:space="preserve">als Partizip 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 xml:space="preserve">(kommen) im Qal und </w:t>
      </w:r>
      <w:r w:rsidRPr="00AC36A5">
        <w:rPr>
          <w:rFonts w:eastAsia="Times New Roman" w:cs="Times New Roman"/>
          <w:b/>
          <w:bCs/>
          <w:rtl/>
          <w:lang w:eastAsia="de-DE"/>
        </w:rPr>
        <w:t>לַצָּבָא</w:t>
      </w:r>
      <w:r w:rsidRPr="00AC36A5">
        <w:rPr>
          <w:rFonts w:eastAsia="Times New Roman" w:cs="Times New Roman"/>
          <w:rtl/>
          <w:lang w:eastAsia="de-DE"/>
        </w:rPr>
        <w:t xml:space="preserve"> </w:t>
      </w:r>
      <w:r w:rsidRPr="00AC36A5">
        <w:rPr>
          <w:rFonts w:eastAsia="Times New Roman" w:cs="Times New Roman"/>
          <w:lang w:eastAsia="de-DE"/>
        </w:rPr>
        <w:t>(zum Dienst) verwendet die Vergangenheitsform, da hier über die bereits durchgeführte Musterung berichtet wird.</w:t>
      </w:r>
    </w:p>
    <w:p w14:paraId="15050C63" w14:textId="4A964861"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finale Zweck </w:t>
      </w:r>
      <w:r w:rsidRPr="00AC36A5">
        <w:rPr>
          <w:rFonts w:eastAsia="Times New Roman" w:cs="Times New Roman"/>
          <w:b/>
          <w:bCs/>
          <w:rtl/>
          <w:lang w:eastAsia="de-DE"/>
        </w:rPr>
        <w:t>לַעֲבֹדָה בְּאֹ֥הֶל מוֹעֵֽד</w:t>
      </w:r>
      <w:r w:rsidRPr="00AC36A5">
        <w:rPr>
          <w:rFonts w:eastAsia="Times New Roman" w:cs="Times New Roman"/>
          <w:rtl/>
          <w:lang w:eastAsia="de-DE"/>
        </w:rPr>
        <w:t xml:space="preserve"> </w:t>
      </w:r>
      <w:r w:rsidRPr="00AC36A5">
        <w:rPr>
          <w:rFonts w:eastAsia="Times New Roman" w:cs="Times New Roman"/>
          <w:lang w:eastAsia="de-DE"/>
        </w:rPr>
        <w:t>mit dem 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עֲבֹדָה</w:t>
      </w:r>
      <w:r w:rsidRPr="00AC36A5">
        <w:rPr>
          <w:rFonts w:eastAsia="Times New Roman" w:cs="Times New Roman"/>
          <w:rtl/>
          <w:lang w:eastAsia="de-DE"/>
        </w:rPr>
        <w:t xml:space="preserve"> </w:t>
      </w:r>
      <w:r w:rsidRPr="00AC36A5">
        <w:rPr>
          <w:rFonts w:eastAsia="Times New Roman" w:cs="Times New Roman"/>
          <w:lang w:eastAsia="de-DE"/>
        </w:rPr>
        <w:t xml:space="preserve">(Arbeit) und </w:t>
      </w:r>
      <w:r w:rsidRPr="00AC36A5">
        <w:rPr>
          <w:rFonts w:eastAsia="Times New Roman" w:cs="Times New Roman"/>
          <w:b/>
          <w:bCs/>
          <w:rtl/>
          <w:lang w:eastAsia="de-DE"/>
        </w:rPr>
        <w:t>בְּאֹהֶל מוֹעֵד</w:t>
      </w:r>
      <w:r w:rsidRPr="00AC36A5">
        <w:rPr>
          <w:rFonts w:eastAsia="Times New Roman" w:cs="Times New Roman"/>
          <w:rtl/>
          <w:lang w:eastAsia="de-DE"/>
        </w:rPr>
        <w:t xml:space="preserve"> </w:t>
      </w:r>
      <w:r w:rsidRPr="00AC36A5">
        <w:rPr>
          <w:rFonts w:eastAsia="Times New Roman" w:cs="Times New Roman"/>
          <w:lang w:eastAsia="de-DE"/>
        </w:rPr>
        <w:t>(am Zelt der Begegnung) spezifiziert den heiligen Arbeitsbereich.</w:t>
      </w:r>
    </w:p>
    <w:p w14:paraId="7DB8DDB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Formulierung ist etwas kompakter als in den Anweisungsabschnitten, da hier zusammenfassend über die praktische Durchführung berichtet wird.</w:t>
      </w:r>
    </w:p>
    <w:p w14:paraId="381EDF0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ἀπὸ τριακονταετοῦς καὶ ἐπάνω καὶ ἕως πεντηκονταετοῦς πᾶς ὁ εἰσπορευόμενος λειτουργεῖν εἰς τὰ ἔργα τῆς σκηνῆς τοῦ μαρτυρίου und behält die zusammenfassende Struktur bei.</w:t>
      </w:r>
    </w:p>
    <w:p w14:paraId="135F84F0" w14:textId="415F5E7B"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elliptische </w:t>
      </w:r>
      <w:r w:rsidR="00F133EC">
        <w:rPr>
          <w:rFonts w:eastAsia="Times New Roman" w:cs="Times New Roman"/>
          <w:lang w:eastAsia="de-DE"/>
        </w:rPr>
        <w:t>Construct</w:t>
      </w:r>
      <w:r w:rsidRPr="00AC36A5">
        <w:rPr>
          <w:rFonts w:eastAsia="Times New Roman" w:cs="Times New Roman"/>
          <w:lang w:eastAsia="de-DE"/>
        </w:rPr>
        <w:t>ion mit Altersbestimmung, charakterisierender Partizipialkonstruktion und finalem Zwecksatz.</w:t>
      </w:r>
    </w:p>
    <w:p w14:paraId="527B99C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Dieser Vers bestätigt die exakte Anwendung der vorgegebenen Musterungskriterien bei der praktischen Durchführung der kehatitischen Zählung.</w:t>
      </w:r>
    </w:p>
    <w:p w14:paraId="6AC7D9D5"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4,36</w:t>
      </w:r>
    </w:p>
    <w:p w14:paraId="0FFCBF7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וַיִּהְי֥וּ פְקֻדֵיהֶ֖ם לְמִשְׁפְּחֹתָ֑ם אַלְפַּ֕יִם שְׁבַ֥ע מֵא֖וֹת וַחֲמִשִּֽׁים׃</w:t>
      </w:r>
    </w:p>
    <w:p w14:paraId="6E49C7B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ihre Gemusterten nach ihren Familien waren 2.750.</w:t>
      </w:r>
    </w:p>
    <w:p w14:paraId="1F808E8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536205F">
          <v:rect id="_x0000_i1199" style="width:0;height:1.5pt" o:hralign="center" o:hrstd="t" o:hr="t" fillcolor="#a0a0a0" stroked="f"/>
        </w:pict>
      </w:r>
    </w:p>
    <w:p w14:paraId="21E7B39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וַיִּהְיוּ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Qal-Imperfekt 3. maskulin Plural mit Waw consecutivum zeigt das Ergebnis der Musterung. Das Subjekt </w:t>
      </w:r>
      <w:r w:rsidRPr="00AC36A5">
        <w:rPr>
          <w:rFonts w:eastAsia="Times New Roman" w:cs="Times New Roman"/>
          <w:b/>
          <w:bCs/>
          <w:rtl/>
          <w:lang w:eastAsia="de-DE"/>
        </w:rPr>
        <w:t>פְקֻדֵיהֶ֖ם</w:t>
      </w:r>
      <w:r w:rsidRPr="00AC36A5">
        <w:rPr>
          <w:rFonts w:eastAsia="Times New Roman" w:cs="Times New Roman"/>
          <w:rtl/>
          <w:lang w:eastAsia="de-DE"/>
        </w:rPr>
        <w:t xml:space="preserve"> </w:t>
      </w:r>
      <w:r w:rsidRPr="00AC36A5">
        <w:rPr>
          <w:rFonts w:eastAsia="Times New Roman" w:cs="Times New Roman"/>
          <w:lang w:eastAsia="de-DE"/>
        </w:rPr>
        <w:t>(ihre Gemusterten) mit Possessivsuffix 3. maskulin Plural bezeichnet die gezählten dienstfähigen Kehatiter.</w:t>
      </w:r>
    </w:p>
    <w:p w14:paraId="50E29C8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präpositionale Spezifikation </w:t>
      </w:r>
      <w:r w:rsidRPr="00AC36A5">
        <w:rPr>
          <w:rFonts w:eastAsia="Times New Roman" w:cs="Times New Roman"/>
          <w:b/>
          <w:bCs/>
          <w:rtl/>
          <w:lang w:eastAsia="de-DE"/>
        </w:rPr>
        <w:t>לְמִשְׁפְּחֹתָם</w:t>
      </w:r>
      <w:r w:rsidRPr="00AC36A5">
        <w:rPr>
          <w:rFonts w:eastAsia="Times New Roman" w:cs="Times New Roman"/>
          <w:rtl/>
          <w:lang w:eastAsia="de-DE"/>
        </w:rPr>
        <w:t xml:space="preserve"> </w:t>
      </w:r>
      <w:r w:rsidRPr="00AC36A5">
        <w:rPr>
          <w:rFonts w:eastAsia="Times New Roman" w:cs="Times New Roman"/>
          <w:lang w:eastAsia="de-DE"/>
        </w:rPr>
        <w:t>(nach ihren Familien) zeigt die systematische Erfassung nach genealogischen Einheiten.</w:t>
      </w:r>
    </w:p>
    <w:p w14:paraId="209C932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Zahlenangabe </w:t>
      </w:r>
      <w:r w:rsidRPr="00AC36A5">
        <w:rPr>
          <w:rFonts w:eastAsia="Times New Roman" w:cs="Times New Roman"/>
          <w:b/>
          <w:bCs/>
          <w:rtl/>
          <w:lang w:eastAsia="de-DE"/>
        </w:rPr>
        <w:t>אַלְפַּ֕יִם שְׁבַ֥ע מֵא֖וֹת וַחֲמִשִּֽׁים</w:t>
      </w:r>
      <w:r w:rsidRPr="00AC36A5">
        <w:rPr>
          <w:rFonts w:eastAsia="Times New Roman" w:cs="Times New Roman"/>
          <w:rtl/>
          <w:lang w:eastAsia="de-DE"/>
        </w:rPr>
        <w:t xml:space="preserve"> </w:t>
      </w:r>
      <w:r w:rsidRPr="00AC36A5">
        <w:rPr>
          <w:rFonts w:eastAsia="Times New Roman" w:cs="Times New Roman"/>
          <w:lang w:eastAsia="de-DE"/>
        </w:rPr>
        <w:t>zeigt: zwei Tausende plus sieben Hunderte plus fünfzig = 2.750. Diese Zahl ist deutlich niedriger als die Gesamtzahl aller männlichen Kehatiter ab einem Monat (8.600 in 3,28), was die Einschränkung auf das Dienstalter von 30-50 Jahren reflektiert.</w:t>
      </w:r>
    </w:p>
    <w:p w14:paraId="31C544E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Zahl 2.750 zeigt etwa ein Drittel aller Kehatiter im dienstfähigen Alter, was demographisch plausibel ist.</w:t>
      </w:r>
    </w:p>
    <w:p w14:paraId="77F0818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ἐγένετο ἡ ἐπίσκεψις αὐτῶν κατὰ δήμους αὐτῶν δισχίλιοι ἑπτακόσιοι πεντήκοντα und behält die strukturierte Zahlenangabe bei.</w:t>
      </w:r>
    </w:p>
    <w:p w14:paraId="60A5A8F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existenzialen Satz mit Subjekt, präpositionaler Spezifikation und präziser numerischer Angabe.</w:t>
      </w:r>
    </w:p>
    <w:p w14:paraId="4E505AC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gibt das konkrete Ergebnis der kehatitischen Dienstmusterung an und zeigt die deutliche Reduktion gegenüber der Gesamtzahl durch die Altersbeschränkung.</w:t>
      </w:r>
    </w:p>
    <w:p w14:paraId="7BB69971"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4,37</w:t>
      </w:r>
    </w:p>
    <w:p w14:paraId="2729838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אֵ֤לֶּה פְקוּדֵי֙ מִשְׁפְּחֹ֣ת הַקְּהָתִ֔י כָּל־הָעֹבֵ֖ד בְּאֹ֣הֶל מוֹעֵ֑ד אֲשֶׁ֨ר פָּקַ֤ד מֹשֶׁה֙ וְאַהֲרֹ֔ן עַל־פִּ֥י יְהוָ֖ה בְּיַד־מֹשֶֽׁה׃</w:t>
      </w:r>
    </w:p>
    <w:p w14:paraId="7EA6C4A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Das sind die Gemusterten der Familien des Kehati, alle Dienenden am Zelt der Begegnung, die Mosche und 'Aharon musterten nach dem Befehl des Ewigen durch Mosche.</w:t>
      </w:r>
    </w:p>
    <w:p w14:paraId="5ED31DD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884BB12">
          <v:rect id="_x0000_i1200" style="width:0;height:1.5pt" o:hralign="center" o:hrstd="t" o:hr="t" fillcolor="#a0a0a0" stroked="f"/>
        </w:pict>
      </w:r>
    </w:p>
    <w:p w14:paraId="642DE0B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אֵלֶּה</w:t>
      </w:r>
      <w:r w:rsidRPr="00AC36A5">
        <w:rPr>
          <w:rFonts w:eastAsia="Times New Roman" w:cs="Times New Roman"/>
          <w:rtl/>
          <w:lang w:eastAsia="de-DE"/>
        </w:rPr>
        <w:t xml:space="preserve"> </w:t>
      </w:r>
      <w:r w:rsidRPr="00AC36A5">
        <w:rPr>
          <w:rFonts w:eastAsia="Times New Roman" w:cs="Times New Roman"/>
          <w:lang w:eastAsia="de-DE"/>
        </w:rPr>
        <w:t xml:space="preserve">(das sind) mit </w:t>
      </w:r>
      <w:r w:rsidRPr="00AC36A5">
        <w:rPr>
          <w:rFonts w:eastAsia="Times New Roman" w:cs="Times New Roman"/>
          <w:b/>
          <w:bCs/>
          <w:rtl/>
          <w:lang w:eastAsia="de-DE"/>
        </w:rPr>
        <w:t>פְקוּדֵי מִשְׁפְּחֹת הַקְּהָתִי</w:t>
      </w:r>
      <w:r w:rsidRPr="00AC36A5">
        <w:rPr>
          <w:rFonts w:eastAsia="Times New Roman" w:cs="Times New Roman"/>
          <w:rtl/>
          <w:lang w:eastAsia="de-DE"/>
        </w:rPr>
        <w:t xml:space="preserve"> </w:t>
      </w:r>
      <w:r w:rsidRPr="00AC36A5">
        <w:rPr>
          <w:rFonts w:eastAsia="Times New Roman" w:cs="Times New Roman"/>
          <w:lang w:eastAsia="de-DE"/>
        </w:rPr>
        <w:t>(Gemusterte der Familien des Kehatiter) fasst das Musterungsergebnis zusammen.</w:t>
      </w:r>
    </w:p>
    <w:p w14:paraId="4F13554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charakterisierende Apposition </w:t>
      </w:r>
      <w:r w:rsidRPr="00AC36A5">
        <w:rPr>
          <w:rFonts w:eastAsia="Times New Roman" w:cs="Times New Roman"/>
          <w:b/>
          <w:bCs/>
          <w:rtl/>
          <w:lang w:eastAsia="de-DE"/>
        </w:rPr>
        <w:t>כָּל־הָעֹבֵ֖ד בְּאֹ֣הֶל מוֹעֵ֑ד</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(alle) und </w:t>
      </w:r>
      <w:r w:rsidRPr="00AC36A5">
        <w:rPr>
          <w:rFonts w:eastAsia="Times New Roman" w:cs="Times New Roman"/>
          <w:b/>
          <w:bCs/>
          <w:rtl/>
          <w:lang w:eastAsia="de-DE"/>
        </w:rPr>
        <w:t>הָעֹבֵד</w:t>
      </w:r>
      <w:r w:rsidRPr="00AC36A5">
        <w:rPr>
          <w:rFonts w:eastAsia="Times New Roman" w:cs="Times New Roman"/>
          <w:rtl/>
          <w:lang w:eastAsia="de-DE"/>
        </w:rPr>
        <w:t xml:space="preserve"> </w:t>
      </w:r>
      <w:r w:rsidRPr="00AC36A5">
        <w:rPr>
          <w:rFonts w:eastAsia="Times New Roman" w:cs="Times New Roman"/>
          <w:lang w:eastAsia="de-DE"/>
        </w:rPr>
        <w:t xml:space="preserve">als Partizip von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 xml:space="preserve">(arbeiten/dienen) im Qal mit </w:t>
      </w:r>
      <w:r w:rsidRPr="00AC36A5">
        <w:rPr>
          <w:rFonts w:eastAsia="Times New Roman" w:cs="Times New Roman"/>
          <w:b/>
          <w:bCs/>
          <w:rtl/>
          <w:lang w:eastAsia="de-DE"/>
        </w:rPr>
        <w:t>בְּאֹהֶל מוֹעֵד</w:t>
      </w:r>
      <w:r w:rsidRPr="00AC36A5">
        <w:rPr>
          <w:rFonts w:eastAsia="Times New Roman" w:cs="Times New Roman"/>
          <w:rtl/>
          <w:lang w:eastAsia="de-DE"/>
        </w:rPr>
        <w:t xml:space="preserve"> </w:t>
      </w:r>
      <w:r w:rsidRPr="00AC36A5">
        <w:rPr>
          <w:rFonts w:eastAsia="Times New Roman" w:cs="Times New Roman"/>
          <w:lang w:eastAsia="de-DE"/>
        </w:rPr>
        <w:t>(am Zelt der Begegnung) betont die aktive Dienstfunktion.</w:t>
      </w:r>
    </w:p>
    <w:p w14:paraId="33BB5B7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פָּקַ֤ד מֹשֶׁה֙ וְאַהֲרֹ֔ן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im Qal-Perfekt 3. maskulin Singular und dem koordinierten Subjekt </w:t>
      </w:r>
      <w:r w:rsidRPr="00AC36A5">
        <w:rPr>
          <w:rFonts w:eastAsia="Times New Roman" w:cs="Times New Roman"/>
          <w:b/>
          <w:bCs/>
          <w:rtl/>
          <w:lang w:eastAsia="de-DE"/>
        </w:rPr>
        <w:t>מֹשֶׁה וְאַהֲרֹן</w:t>
      </w:r>
      <w:r w:rsidRPr="00AC36A5">
        <w:rPr>
          <w:rFonts w:eastAsia="Times New Roman" w:cs="Times New Roman"/>
          <w:rtl/>
          <w:lang w:eastAsia="de-DE"/>
        </w:rPr>
        <w:t xml:space="preserve"> </w:t>
      </w:r>
      <w:r w:rsidRPr="00AC36A5">
        <w:rPr>
          <w:rFonts w:eastAsia="Times New Roman" w:cs="Times New Roman"/>
          <w:lang w:eastAsia="de-DE"/>
        </w:rPr>
        <w:t>etabliert die menschliche Ausführungsverantwortung.</w:t>
      </w:r>
    </w:p>
    <w:p w14:paraId="35B183F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idiomatische Wendung </w:t>
      </w:r>
      <w:r w:rsidRPr="00AC36A5">
        <w:rPr>
          <w:rFonts w:eastAsia="Times New Roman" w:cs="Times New Roman"/>
          <w:b/>
          <w:bCs/>
          <w:rtl/>
          <w:lang w:eastAsia="de-DE"/>
        </w:rPr>
        <w:t>עַל־פִּ֥י יְהוָ֖ה</w:t>
      </w:r>
      <w:r w:rsidRPr="00AC36A5">
        <w:rPr>
          <w:rFonts w:eastAsia="Times New Roman" w:cs="Times New Roman"/>
          <w:rtl/>
          <w:lang w:eastAsia="de-DE"/>
        </w:rPr>
        <w:t xml:space="preserve"> </w:t>
      </w:r>
      <w:r w:rsidRPr="00AC36A5">
        <w:rPr>
          <w:rFonts w:eastAsia="Times New Roman" w:cs="Times New Roman"/>
          <w:lang w:eastAsia="de-DE"/>
        </w:rPr>
        <w:t xml:space="preserve">(nach dem Befehl des Ewigen) mit </w:t>
      </w:r>
      <w:r w:rsidRPr="00AC36A5">
        <w:rPr>
          <w:rFonts w:eastAsia="Times New Roman" w:cs="Times New Roman"/>
          <w:b/>
          <w:bCs/>
          <w:rtl/>
          <w:lang w:eastAsia="de-DE"/>
        </w:rPr>
        <w:t>עַל־פִּי</w:t>
      </w:r>
      <w:r w:rsidRPr="00AC36A5">
        <w:rPr>
          <w:rFonts w:eastAsia="Times New Roman" w:cs="Times New Roman"/>
          <w:rtl/>
          <w:lang w:eastAsia="de-DE"/>
        </w:rPr>
        <w:t xml:space="preserve"> </w:t>
      </w:r>
      <w:r w:rsidRPr="00AC36A5">
        <w:rPr>
          <w:rFonts w:eastAsia="Times New Roman" w:cs="Times New Roman"/>
          <w:lang w:eastAsia="de-DE"/>
        </w:rPr>
        <w:t>(nach dem Mund von) zeigt die göttliche Autorisation.</w:t>
      </w:r>
    </w:p>
    <w:p w14:paraId="762014A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abschließende präpositionale Phrase </w:t>
      </w:r>
      <w:r w:rsidRPr="00AC36A5">
        <w:rPr>
          <w:rFonts w:eastAsia="Times New Roman" w:cs="Times New Roman"/>
          <w:b/>
          <w:bCs/>
          <w:rtl/>
          <w:lang w:eastAsia="de-DE"/>
        </w:rPr>
        <w:t>בְּיַד־מֹשֶֽׁה</w:t>
      </w:r>
      <w:r w:rsidRPr="00AC36A5">
        <w:rPr>
          <w:rFonts w:eastAsia="Times New Roman" w:cs="Times New Roman"/>
          <w:rtl/>
          <w:lang w:eastAsia="de-DE"/>
        </w:rPr>
        <w:t xml:space="preserve"> </w:t>
      </w:r>
      <w:r w:rsidRPr="00AC36A5">
        <w:rPr>
          <w:rFonts w:eastAsia="Times New Roman" w:cs="Times New Roman"/>
          <w:lang w:eastAsia="de-DE"/>
        </w:rPr>
        <w:t xml:space="preserve">(durch Mosche) mit </w:t>
      </w:r>
      <w:r w:rsidRPr="00AC36A5">
        <w:rPr>
          <w:rFonts w:eastAsia="Times New Roman" w:cs="Times New Roman"/>
          <w:b/>
          <w:bCs/>
          <w:rtl/>
          <w:lang w:eastAsia="de-DE"/>
        </w:rPr>
        <w:t>בְּיַד</w:t>
      </w:r>
      <w:r w:rsidRPr="00AC36A5">
        <w:rPr>
          <w:rFonts w:eastAsia="Times New Roman" w:cs="Times New Roman"/>
          <w:rtl/>
          <w:lang w:eastAsia="de-DE"/>
        </w:rPr>
        <w:t xml:space="preserve"> </w:t>
      </w:r>
      <w:r w:rsidRPr="00AC36A5">
        <w:rPr>
          <w:rFonts w:eastAsia="Times New Roman" w:cs="Times New Roman"/>
          <w:lang w:eastAsia="de-DE"/>
        </w:rPr>
        <w:t>(durch die Hand von) betont Moses besondere Vermittlerrolle zwischen göttlichem Befehl und praktischer Ausführung.</w:t>
      </w:r>
    </w:p>
    <w:p w14:paraId="47C57C3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οὗτοι οἱ ἐπεσκεμμένοι δήμων Κααθ πᾶς ὁ λειτουργῶν ἐν τῇ σκηνῇ τοῦ μαρτυρίου οὓς ἐπεσκέψατο Μωυσῆς καὶ Ααρων διὰ φωνῆς κυρίου ἐν χειρὶ Μωυσῆ und betont die göttliche Autorisation.</w:t>
      </w:r>
    </w:p>
    <w:p w14:paraId="7E3C699B" w14:textId="7580F55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zusammenfassende </w:t>
      </w:r>
      <w:r w:rsidR="00F133EC">
        <w:rPr>
          <w:rFonts w:eastAsia="Times New Roman" w:cs="Times New Roman"/>
          <w:lang w:eastAsia="de-DE"/>
        </w:rPr>
        <w:t>Construct</w:t>
      </w:r>
      <w:r w:rsidRPr="00AC36A5">
        <w:rPr>
          <w:rFonts w:eastAsia="Times New Roman" w:cs="Times New Roman"/>
          <w:lang w:eastAsia="de-DE"/>
        </w:rPr>
        <w:t>ion mit charakterisierender Apposition, relativischer Spezifikation der Ausführenden und doppelter Betonung der göttlichen Autorität und mosaischen Vermittlung.</w:t>
      </w:r>
    </w:p>
    <w:p w14:paraId="6EAC4EA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schließt die kehatitische Musterung ab und betont die göttliche Autorisation sowie Moses besondere Vermittlerrolle bei der praktischen Durchführung des göttlichen Befehls.</w:t>
      </w:r>
    </w:p>
    <w:p w14:paraId="25F187B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4,38</w:t>
      </w:r>
    </w:p>
    <w:p w14:paraId="3DF0ECC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וּפְקוּדֵ֖י בְּנֵ֣י גֵרְשׁ֑וֹן לְמִשְׁפְּחוֹתָ֖ם וּלְבֵ֥ית אֲבֹתָֽם׃</w:t>
      </w:r>
    </w:p>
    <w:p w14:paraId="5EB91C1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Gemusterten der Söhne Gerschons nach ihren Familien und nach ihren Vaterhäusern,</w:t>
      </w:r>
    </w:p>
    <w:p w14:paraId="7E783B6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45AE390">
          <v:rect id="_x0000_i1201" style="width:0;height:1.5pt" o:hralign="center" o:hrstd="t" o:hr="t" fillcolor="#a0a0a0" stroked="f"/>
        </w:pict>
      </w:r>
    </w:p>
    <w:p w14:paraId="658AF6F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Waw copulativum </w:t>
      </w:r>
      <w:r w:rsidRPr="00AC36A5">
        <w:rPr>
          <w:rFonts w:eastAsia="Times New Roman" w:cs="Times New Roman"/>
          <w:b/>
          <w:bCs/>
          <w:rtl/>
          <w:lang w:eastAsia="de-DE"/>
        </w:rPr>
        <w:t>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פְקוּדֵי בְּנֵי גֵרְשׁוֹן</w:t>
      </w:r>
      <w:r w:rsidRPr="00AC36A5">
        <w:rPr>
          <w:rFonts w:eastAsia="Times New Roman" w:cs="Times New Roman"/>
          <w:rtl/>
          <w:lang w:eastAsia="de-DE"/>
        </w:rPr>
        <w:t xml:space="preserve"> </w:t>
      </w:r>
      <w:r w:rsidRPr="00AC36A5">
        <w:rPr>
          <w:rFonts w:eastAsia="Times New Roman" w:cs="Times New Roman"/>
          <w:lang w:eastAsia="de-DE"/>
        </w:rPr>
        <w:t xml:space="preserve">(und die Gemusterten der Söhne Gerschons) leitet den Bericht über die zweite levitische Musterung ein. </w:t>
      </w:r>
      <w:r w:rsidRPr="00AC36A5">
        <w:rPr>
          <w:rFonts w:eastAsia="Times New Roman" w:cs="Times New Roman"/>
          <w:b/>
          <w:bCs/>
          <w:rtl/>
          <w:lang w:eastAsia="de-DE"/>
        </w:rPr>
        <w:t>פְקוּדֵי</w:t>
      </w:r>
      <w:r w:rsidRPr="00AC36A5">
        <w:rPr>
          <w:rFonts w:eastAsia="Times New Roman" w:cs="Times New Roman"/>
          <w:rtl/>
          <w:lang w:eastAsia="de-DE"/>
        </w:rPr>
        <w:t xml:space="preserve"> </w:t>
      </w:r>
      <w:r w:rsidRPr="00AC36A5">
        <w:rPr>
          <w:rFonts w:eastAsia="Times New Roman" w:cs="Times New Roman"/>
          <w:lang w:eastAsia="de-DE"/>
        </w:rPr>
        <w:t xml:space="preserve">(Gemusterte) ist das Pu'al-Partizip Plural 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(mustern) in passiver Bedeutung.</w:t>
      </w:r>
    </w:p>
    <w:p w14:paraId="1F305B6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organisatorischen Spezifikationen </w:t>
      </w:r>
      <w:r w:rsidRPr="00AC36A5">
        <w:rPr>
          <w:rFonts w:eastAsia="Times New Roman" w:cs="Times New Roman"/>
          <w:b/>
          <w:bCs/>
          <w:rtl/>
          <w:lang w:eastAsia="de-DE"/>
        </w:rPr>
        <w:t>לְמִשְׁפְּחוֹתָ֖ם וּלְבֵ֥ית אֲבֹתָֽם</w:t>
      </w:r>
      <w:r w:rsidRPr="00AC36A5">
        <w:rPr>
          <w:rFonts w:eastAsia="Times New Roman" w:cs="Times New Roman"/>
          <w:rtl/>
          <w:lang w:eastAsia="de-DE"/>
        </w:rPr>
        <w:t xml:space="preserve"> </w:t>
      </w:r>
      <w:r w:rsidRPr="00AC36A5">
        <w:rPr>
          <w:rFonts w:eastAsia="Times New Roman" w:cs="Times New Roman"/>
          <w:lang w:eastAsia="de-DE"/>
        </w:rPr>
        <w:t>(nach ihren Familien und nach ihren Vaterhäusern) entsprechen der systematischen genealogischen Erfassung, identisch mit der kehatitischen Organisation.</w:t>
      </w:r>
    </w:p>
    <w:p w14:paraId="1D2EA4A8" w14:textId="359CC25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w:t>
      </w:r>
      <w:r w:rsidR="00F133EC">
        <w:rPr>
          <w:rFonts w:eastAsia="Times New Roman" w:cs="Times New Roman"/>
          <w:lang w:eastAsia="de-DE"/>
        </w:rPr>
        <w:t>Construct</w:t>
      </w:r>
      <w:r w:rsidRPr="00AC36A5">
        <w:rPr>
          <w:rFonts w:eastAsia="Times New Roman" w:cs="Times New Roman"/>
          <w:lang w:eastAsia="de-DE"/>
        </w:rPr>
        <w:t>ion ist elliptisch und erwartet die Ergänzung durch die folgenden Verse mit Altersangaben und Zahlenresultat.</w:t>
      </w:r>
    </w:p>
    <w:p w14:paraId="216F83A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οἱ ἐπεσκεμμένοι υἱῶν Γεδσων κατὰ δήμους αὐτῶν κατὰ οἴκους πατριῶν αὐτῶν und behält die organisatorische Struktur bei.</w:t>
      </w:r>
    </w:p>
    <w:p w14:paraId="4E1A16C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 Satzstruktur zeigt eine elliptische Einleitung mit koordinierender Verbindung und systematischen organisatorischen Spezifikationen.</w:t>
      </w:r>
    </w:p>
    <w:p w14:paraId="59E88ED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den Musterungsbericht der Gerschoniter ein und etabliert die identische organisatorische Methodik wie bei den Kehatitern.</w:t>
      </w:r>
    </w:p>
    <w:p w14:paraId="49BD5B19"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4,39</w:t>
      </w:r>
    </w:p>
    <w:p w14:paraId="005CAB5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מִבֶּ֨ן שְׁלֹשִׁ֤ים שָׁנָה֙ וָמַ֔עְלָה וְעַ֖ד בֶּן־חֲמִשִּׁ֣ים שָׁנָ֑ה כָּל־הַבָּא֙ לַצָּבָ֔א לַעֲבֹדָ֖ה בְּאֹ֥הֶל מוֹעֵֽד׃</w:t>
      </w:r>
    </w:p>
    <w:p w14:paraId="7E27147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von 30 Jahren an und darüber bis zu 50 Jahren, jeder, der in den Dienst trat zur Arbeit am Zelt der Begegnung:</w:t>
      </w:r>
    </w:p>
    <w:p w14:paraId="3C48A825"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DD8D891">
          <v:rect id="_x0000_i1202" style="width:0;height:1.5pt" o:hralign="center" o:hrstd="t" o:hr="t" fillcolor="#a0a0a0" stroked="f"/>
        </w:pict>
      </w:r>
    </w:p>
    <w:p w14:paraId="4A675AF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Altersangabe </w:t>
      </w:r>
      <w:r w:rsidRPr="00AC36A5">
        <w:rPr>
          <w:rFonts w:eastAsia="Times New Roman" w:cs="Times New Roman"/>
          <w:b/>
          <w:bCs/>
          <w:rtl/>
          <w:lang w:eastAsia="de-DE"/>
        </w:rPr>
        <w:t>מִבֶּן שְׁלֹשִׁים שָׁנָה וָמַעְלָה וְעַד בֶּן־חֲמִשִּׁים שָׁנָה</w:t>
      </w:r>
      <w:r w:rsidRPr="00AC36A5">
        <w:rPr>
          <w:rFonts w:eastAsia="Times New Roman" w:cs="Times New Roman"/>
          <w:rtl/>
          <w:lang w:eastAsia="de-DE"/>
        </w:rPr>
        <w:t xml:space="preserve"> </w:t>
      </w:r>
      <w:r w:rsidRPr="00AC36A5">
        <w:rPr>
          <w:rFonts w:eastAsia="Times New Roman" w:cs="Times New Roman"/>
          <w:lang w:eastAsia="de-DE"/>
        </w:rPr>
        <w:t>wiederholt exakt die einheitlichen Dienstkriterien und bestätigt die konsistente Anwendung der 30-50 Jahre Altersspanne für alle levitischen Gruppen.</w:t>
      </w:r>
    </w:p>
    <w:p w14:paraId="7A1AD46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כָּל־הַבָּא לַצָּבָא לַעֲבֹדָה בְּאֹ֥הֶל מוֹעֵֽד</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בָּא</w:t>
      </w:r>
      <w:r w:rsidRPr="00AC36A5">
        <w:rPr>
          <w:rFonts w:eastAsia="Times New Roman" w:cs="Times New Roman"/>
          <w:rtl/>
          <w:lang w:eastAsia="de-DE"/>
        </w:rPr>
        <w:t xml:space="preserve"> </w:t>
      </w:r>
      <w:r w:rsidRPr="00AC36A5">
        <w:rPr>
          <w:rFonts w:eastAsia="Times New Roman" w:cs="Times New Roman"/>
          <w:lang w:eastAsia="de-DE"/>
        </w:rPr>
        <w:t xml:space="preserve">als Partizip 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 xml:space="preserve">(kommen), </w:t>
      </w:r>
      <w:r w:rsidRPr="00AC36A5">
        <w:rPr>
          <w:rFonts w:eastAsia="Times New Roman" w:cs="Times New Roman"/>
          <w:b/>
          <w:bCs/>
          <w:rtl/>
          <w:lang w:eastAsia="de-DE"/>
        </w:rPr>
        <w:t>לַצָּבָא</w:t>
      </w:r>
      <w:r w:rsidRPr="00AC36A5">
        <w:rPr>
          <w:rFonts w:eastAsia="Times New Roman" w:cs="Times New Roman"/>
          <w:rtl/>
          <w:lang w:eastAsia="de-DE"/>
        </w:rPr>
        <w:t xml:space="preserve"> </w:t>
      </w:r>
      <w:r w:rsidRPr="00AC36A5">
        <w:rPr>
          <w:rFonts w:eastAsia="Times New Roman" w:cs="Times New Roman"/>
          <w:lang w:eastAsia="de-DE"/>
        </w:rPr>
        <w:t xml:space="preserve">(zum Dienst), </w:t>
      </w:r>
      <w:r w:rsidRPr="00AC36A5">
        <w:rPr>
          <w:rFonts w:eastAsia="Times New Roman" w:cs="Times New Roman"/>
          <w:b/>
          <w:bCs/>
          <w:rtl/>
          <w:lang w:eastAsia="de-DE"/>
        </w:rPr>
        <w:t>לַעֲבֹדָה</w:t>
      </w:r>
      <w:r w:rsidRPr="00AC36A5">
        <w:rPr>
          <w:rFonts w:eastAsia="Times New Roman" w:cs="Times New Roman"/>
          <w:rtl/>
          <w:lang w:eastAsia="de-DE"/>
        </w:rPr>
        <w:t xml:space="preserve"> </w:t>
      </w:r>
      <w:r w:rsidRPr="00AC36A5">
        <w:rPr>
          <w:rFonts w:eastAsia="Times New Roman" w:cs="Times New Roman"/>
          <w:lang w:eastAsia="de-DE"/>
        </w:rPr>
        <w:t xml:space="preserve">(zur Arbeit) und </w:t>
      </w:r>
      <w:r w:rsidRPr="00AC36A5">
        <w:rPr>
          <w:rFonts w:eastAsia="Times New Roman" w:cs="Times New Roman"/>
          <w:b/>
          <w:bCs/>
          <w:rtl/>
          <w:lang w:eastAsia="de-DE"/>
        </w:rPr>
        <w:t>בְּאֹהֶל מוֹעֵד</w:t>
      </w:r>
      <w:r w:rsidRPr="00AC36A5">
        <w:rPr>
          <w:rFonts w:eastAsia="Times New Roman" w:cs="Times New Roman"/>
          <w:rtl/>
          <w:lang w:eastAsia="de-DE"/>
        </w:rPr>
        <w:t xml:space="preserve"> </w:t>
      </w:r>
      <w:r w:rsidRPr="00AC36A5">
        <w:rPr>
          <w:rFonts w:eastAsia="Times New Roman" w:cs="Times New Roman"/>
          <w:lang w:eastAsia="de-DE"/>
        </w:rPr>
        <w:t>(am Zelt der Begegnung) zeigt die charakterisierenden Dienstkriterien.</w:t>
      </w:r>
    </w:p>
    <w:p w14:paraId="7252951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doppelte finale Bestimmung </w:t>
      </w:r>
      <w:r w:rsidRPr="00AC36A5">
        <w:rPr>
          <w:rFonts w:eastAsia="Times New Roman" w:cs="Times New Roman"/>
          <w:b/>
          <w:bCs/>
          <w:rtl/>
          <w:lang w:eastAsia="de-DE"/>
        </w:rPr>
        <w:t>לַצָּבָא לַעֲבֹדָה</w:t>
      </w:r>
      <w:r w:rsidRPr="00AC36A5">
        <w:rPr>
          <w:rFonts w:eastAsia="Times New Roman" w:cs="Times New Roman"/>
          <w:rtl/>
          <w:lang w:eastAsia="de-DE"/>
        </w:rPr>
        <w:t xml:space="preserve"> </w:t>
      </w:r>
      <w:r w:rsidRPr="00AC36A5">
        <w:rPr>
          <w:rFonts w:eastAsia="Times New Roman" w:cs="Times New Roman"/>
          <w:lang w:eastAsia="de-DE"/>
        </w:rPr>
        <w:t>verstärkt die Betonung der aktiven Dienstleistung.</w:t>
      </w:r>
    </w:p>
    <w:p w14:paraId="652E2C9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ἀπὸ τριακονταετοῦς καὶ ἐπάνω καὶ ἕως πεντηκονταετοῦς πᾶς ὁ εἰσπορευόμενος λειτουργεῖν εἰς τὰ ἔργα τῆς σκηνῆς τοῦ μαρτυρίου und behält die doppelte Dienstbetonung bei.</w:t>
      </w:r>
    </w:p>
    <w:p w14:paraId="3772186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elliptische Fortsetzung mit Altersbestimmung, charakterisierender Partizipialkonstruktion und doppelter finaler Zweckbestimmung.</w:t>
      </w:r>
    </w:p>
    <w:p w14:paraId="2F1E854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bestätigt die einheitliche Anwendung der Dienstkriterien bei der gerschonitischen Musterung.</w:t>
      </w:r>
    </w:p>
    <w:p w14:paraId="40EAC8AF"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4,40</w:t>
      </w:r>
    </w:p>
    <w:p w14:paraId="0A21B2A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וַיִּֽהְיוּ֙ פְּקֻ֣דֵיהֶ֔ם לְמִשְׁפְּחֹתָ֖ם לְבֵ֣ית אֲבֹתָ֑ם אַלְפַּ֕יִם וְשֵׁ֥שׁ מֵא֖וֹת וּשְׁלֹשִֽׁים׃</w:t>
      </w:r>
    </w:p>
    <w:p w14:paraId="49CF524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Ihre Gemusterten nach ihren Familien, nach ihren Vaterhäusern, waren 2.630.</w:t>
      </w:r>
    </w:p>
    <w:p w14:paraId="31958FE5"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2F90792">
          <v:rect id="_x0000_i1203" style="width:0;height:1.5pt" o:hralign="center" o:hrstd="t" o:hr="t" fillcolor="#a0a0a0" stroked="f"/>
        </w:pict>
      </w:r>
    </w:p>
    <w:p w14:paraId="51BE0CF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וַיִּהְיוּ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Qal-Imperfekt 3. maskulin Plural mit Waw consecutivum zeigt das Musterungsergebnis. Das Subjekt </w:t>
      </w:r>
      <w:r w:rsidRPr="00AC36A5">
        <w:rPr>
          <w:rFonts w:eastAsia="Times New Roman" w:cs="Times New Roman"/>
          <w:b/>
          <w:bCs/>
          <w:rtl/>
          <w:lang w:eastAsia="de-DE"/>
        </w:rPr>
        <w:t>פְּקֻדֵיהֶם</w:t>
      </w:r>
      <w:r w:rsidRPr="00AC36A5">
        <w:rPr>
          <w:rFonts w:eastAsia="Times New Roman" w:cs="Times New Roman"/>
          <w:rtl/>
          <w:lang w:eastAsia="de-DE"/>
        </w:rPr>
        <w:t xml:space="preserve"> </w:t>
      </w:r>
      <w:r w:rsidRPr="00AC36A5">
        <w:rPr>
          <w:rFonts w:eastAsia="Times New Roman" w:cs="Times New Roman"/>
          <w:lang w:eastAsia="de-DE"/>
        </w:rPr>
        <w:t>(ihre Gemusterten) mit Possessivsuffix bezieht sich auf die gerschonitischen Dienstfähigen.</w:t>
      </w:r>
    </w:p>
    <w:p w14:paraId="0303881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doppelte organisatorische Spezifikation </w:t>
      </w:r>
      <w:r w:rsidRPr="00AC36A5">
        <w:rPr>
          <w:rFonts w:eastAsia="Times New Roman" w:cs="Times New Roman"/>
          <w:b/>
          <w:bCs/>
          <w:rtl/>
          <w:lang w:eastAsia="de-DE"/>
        </w:rPr>
        <w:t>לְמִשְׁפְּחֹתָ֖ם לְבֵ֣ית אֲבֹתָ֑ם</w:t>
      </w:r>
      <w:r w:rsidRPr="00AC36A5">
        <w:rPr>
          <w:rFonts w:eastAsia="Times New Roman" w:cs="Times New Roman"/>
          <w:rtl/>
          <w:lang w:eastAsia="de-DE"/>
        </w:rPr>
        <w:t xml:space="preserve"> </w:t>
      </w:r>
      <w:r w:rsidRPr="00AC36A5">
        <w:rPr>
          <w:rFonts w:eastAsia="Times New Roman" w:cs="Times New Roman"/>
          <w:lang w:eastAsia="de-DE"/>
        </w:rPr>
        <w:t>(nach ihren Familien, nach ihren Vaterhäusern) zeigt die vollständige genealogische Erfassung.</w:t>
      </w:r>
    </w:p>
    <w:p w14:paraId="3987BA1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Zahlenangabe </w:t>
      </w:r>
      <w:r w:rsidRPr="00AC36A5">
        <w:rPr>
          <w:rFonts w:eastAsia="Times New Roman" w:cs="Times New Roman"/>
          <w:b/>
          <w:bCs/>
          <w:rtl/>
          <w:lang w:eastAsia="de-DE"/>
        </w:rPr>
        <w:t>אַלְפַּ֕יִם וְשֵׁ֥שׁ מֵא֖וֹת וּשְׁלֹשִֽׁים</w:t>
      </w:r>
      <w:r w:rsidRPr="00AC36A5">
        <w:rPr>
          <w:rFonts w:eastAsia="Times New Roman" w:cs="Times New Roman"/>
          <w:rtl/>
          <w:lang w:eastAsia="de-DE"/>
        </w:rPr>
        <w:t xml:space="preserve"> </w:t>
      </w:r>
      <w:r w:rsidRPr="00AC36A5">
        <w:rPr>
          <w:rFonts w:eastAsia="Times New Roman" w:cs="Times New Roman"/>
          <w:lang w:eastAsia="de-DE"/>
        </w:rPr>
        <w:t>zeigt: zwei Tausende plus sechs Hunderte plus dreißig = 2.630. Diese Zahl ist niedriger als die kehatitische (2.750) und entspricht etwa einem Drittel der gerschonitischen Gesamtzahl ab einem Monat (7.500 in 3,22).</w:t>
      </w:r>
    </w:p>
    <w:p w14:paraId="26FAA38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ἐγένετο ἡ ἐπίσκεψις αὐτῶν κατὰ δήμους αὐτῶν κατὰ οἴκους πατριῶν αὐτῶν δισχίλιοι ἑξακόσιοι τριάκοντα und behält die strukturierte Zahlenangabe bei.</w:t>
      </w:r>
    </w:p>
    <w:p w14:paraId="7860521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existenzialen Satz mit Subjekt, doppelter organisatorischer Spezifikation und präziser numerischer Angabe.</w:t>
      </w:r>
    </w:p>
    <w:p w14:paraId="223A840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gibt das konkrete Ergebnis der gerschonitischen Dienstmusterung an und zeigt eine etwas niedrigere Zahl als die Kehatiter bei vergleichbarer demographischer Verteilung.</w:t>
      </w:r>
    </w:p>
    <w:p w14:paraId="39E85052"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4,41</w:t>
      </w:r>
    </w:p>
    <w:p w14:paraId="205E27B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אֵ֣לֶּה פְקוּדֵ֗י מִשְׁפְּחֹת֙ בְּנֵ֣י גֵרְשׁ֔וֹן כָּל־הָעֹבֵ֖ד בְּאֹ֣הֶל מוֹעֵ֑ד אֲשֶׁ֨ר פָּקַ֥ד מֹשֶׁ֛ה וְאַהֲרֹ֖ן עַל־פִּ֥י יְהוָֽה׃</w:t>
      </w:r>
    </w:p>
    <w:p w14:paraId="57266DB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Das sind die Gemusterten der Familien der Söhne Gerschons, alle Dienenden am Zelt der Begegnung, die Mosche und 'Aharon musterten nach dem Befehl des Ewigen.</w:t>
      </w:r>
    </w:p>
    <w:p w14:paraId="784C2EA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6A43E29">
          <v:rect id="_x0000_i1204" style="width:0;height:1.5pt" o:hralign="center" o:hrstd="t" o:hr="t" fillcolor="#a0a0a0" stroked="f"/>
        </w:pict>
      </w:r>
    </w:p>
    <w:p w14:paraId="1DA7358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אֵלֶּה</w:t>
      </w:r>
      <w:r w:rsidRPr="00AC36A5">
        <w:rPr>
          <w:rFonts w:eastAsia="Times New Roman" w:cs="Times New Roman"/>
          <w:rtl/>
          <w:lang w:eastAsia="de-DE"/>
        </w:rPr>
        <w:t xml:space="preserve"> </w:t>
      </w:r>
      <w:r w:rsidRPr="00AC36A5">
        <w:rPr>
          <w:rFonts w:eastAsia="Times New Roman" w:cs="Times New Roman"/>
          <w:lang w:eastAsia="de-DE"/>
        </w:rPr>
        <w:t xml:space="preserve">(das sind) mit </w:t>
      </w:r>
      <w:r w:rsidRPr="00AC36A5">
        <w:rPr>
          <w:rFonts w:eastAsia="Times New Roman" w:cs="Times New Roman"/>
          <w:b/>
          <w:bCs/>
          <w:rtl/>
          <w:lang w:eastAsia="de-DE"/>
        </w:rPr>
        <w:t>פְקוּדֵי מִשְׁפְּחֹת בְּנֵי גֵרְשׁוֹן</w:t>
      </w:r>
      <w:r w:rsidRPr="00AC36A5">
        <w:rPr>
          <w:rFonts w:eastAsia="Times New Roman" w:cs="Times New Roman"/>
          <w:rtl/>
          <w:lang w:eastAsia="de-DE"/>
        </w:rPr>
        <w:t xml:space="preserve"> </w:t>
      </w:r>
      <w:r w:rsidRPr="00AC36A5">
        <w:rPr>
          <w:rFonts w:eastAsia="Times New Roman" w:cs="Times New Roman"/>
          <w:lang w:eastAsia="de-DE"/>
        </w:rPr>
        <w:t>(Gemusterte der Familien der Söhne Gerschons) fasst das gerschonitische Musterungsergebnis zusammen, parallel zur kehatitischen Formulierung in Vers 37.</w:t>
      </w:r>
    </w:p>
    <w:p w14:paraId="32BC788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charakterisierende Apposition </w:t>
      </w:r>
      <w:r w:rsidRPr="00AC36A5">
        <w:rPr>
          <w:rFonts w:eastAsia="Times New Roman" w:cs="Times New Roman"/>
          <w:b/>
          <w:bCs/>
          <w:rtl/>
          <w:lang w:eastAsia="de-DE"/>
        </w:rPr>
        <w:t>כָּל־הָעֹבֵ֖ד בְּאֹ֣הֶל מוֹעֵ֑ד</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(alle) und </w:t>
      </w:r>
      <w:r w:rsidRPr="00AC36A5">
        <w:rPr>
          <w:rFonts w:eastAsia="Times New Roman" w:cs="Times New Roman"/>
          <w:b/>
          <w:bCs/>
          <w:rtl/>
          <w:lang w:eastAsia="de-DE"/>
        </w:rPr>
        <w:t>הָעֹבֵד</w:t>
      </w:r>
      <w:r w:rsidRPr="00AC36A5">
        <w:rPr>
          <w:rFonts w:eastAsia="Times New Roman" w:cs="Times New Roman"/>
          <w:rtl/>
          <w:lang w:eastAsia="de-DE"/>
        </w:rPr>
        <w:t xml:space="preserve"> </w:t>
      </w:r>
      <w:r w:rsidRPr="00AC36A5">
        <w:rPr>
          <w:rFonts w:eastAsia="Times New Roman" w:cs="Times New Roman"/>
          <w:lang w:eastAsia="de-DE"/>
        </w:rPr>
        <w:t xml:space="preserve">als Partizip von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(arbeiten/dienen) betont die aktive Dienstfunktion am heiligen Ort.</w:t>
      </w:r>
    </w:p>
    <w:p w14:paraId="03694EC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פָּקַ֥ד מֹשֶׁ֛ה וְאַהֲרֹ֖ן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und dem koordinierten Subjekt </w:t>
      </w:r>
      <w:r w:rsidRPr="00AC36A5">
        <w:rPr>
          <w:rFonts w:eastAsia="Times New Roman" w:cs="Times New Roman"/>
          <w:b/>
          <w:bCs/>
          <w:rtl/>
          <w:lang w:eastAsia="de-DE"/>
        </w:rPr>
        <w:t>מֹשֶׁה וְאַהֲרֹן</w:t>
      </w:r>
      <w:r w:rsidRPr="00AC36A5">
        <w:rPr>
          <w:rFonts w:eastAsia="Times New Roman" w:cs="Times New Roman"/>
          <w:rtl/>
          <w:lang w:eastAsia="de-DE"/>
        </w:rPr>
        <w:t xml:space="preserve"> </w:t>
      </w:r>
      <w:r w:rsidRPr="00AC36A5">
        <w:rPr>
          <w:rFonts w:eastAsia="Times New Roman" w:cs="Times New Roman"/>
          <w:lang w:eastAsia="de-DE"/>
        </w:rPr>
        <w:t>etabliert die menschliche Ausführungsverantwortung.</w:t>
      </w:r>
    </w:p>
    <w:p w14:paraId="7A00F44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idiomatische Wendung </w:t>
      </w:r>
      <w:r w:rsidRPr="00AC36A5">
        <w:rPr>
          <w:rFonts w:eastAsia="Times New Roman" w:cs="Times New Roman"/>
          <w:b/>
          <w:bCs/>
          <w:rtl/>
          <w:lang w:eastAsia="de-DE"/>
        </w:rPr>
        <w:t>עַל־פִּ֥י יְהוָֽה</w:t>
      </w:r>
      <w:r w:rsidRPr="00AC36A5">
        <w:rPr>
          <w:rFonts w:eastAsia="Times New Roman" w:cs="Times New Roman"/>
          <w:rtl/>
          <w:lang w:eastAsia="de-DE"/>
        </w:rPr>
        <w:t xml:space="preserve"> </w:t>
      </w:r>
      <w:r w:rsidRPr="00AC36A5">
        <w:rPr>
          <w:rFonts w:eastAsia="Times New Roman" w:cs="Times New Roman"/>
          <w:lang w:eastAsia="de-DE"/>
        </w:rPr>
        <w:t xml:space="preserve">(nach dem Befehl des Ewigen) zeigt die göttliche Autorisation, ist aber kürzer als die kehatitische Formulierung (fehlt </w:t>
      </w:r>
      <w:r w:rsidRPr="00AC36A5">
        <w:rPr>
          <w:rFonts w:eastAsia="Times New Roman" w:cs="Times New Roman"/>
          <w:b/>
          <w:bCs/>
          <w:rtl/>
          <w:lang w:eastAsia="de-DE"/>
        </w:rPr>
        <w:t>בְּיַד־מֹשֶׁה</w:t>
      </w:r>
      <w:r w:rsidRPr="00AC36A5">
        <w:rPr>
          <w:rFonts w:eastAsia="Times New Roman" w:cs="Times New Roman"/>
          <w:lang w:eastAsia="de-DE"/>
        </w:rPr>
        <w:t>).</w:t>
      </w:r>
    </w:p>
    <w:p w14:paraId="11A9020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οὗτοι οἱ ἐπεσκεμμένοι δήμων υἱῶν Γεδσων πᾶς ὁ λειτουργῶν ἐν τῇ σκηνῇ τοῦ μαρτυρίου οὓς ἐπεσκέψατο Μωυσῆς καὶ Ααρων διὰ φωνῆς κυρίου und behält die strukturelle Parallelität bei.</w:t>
      </w:r>
    </w:p>
    <w:p w14:paraId="1BC03258" w14:textId="48A01540"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zusammenfassende </w:t>
      </w:r>
      <w:r w:rsidR="00F133EC">
        <w:rPr>
          <w:rFonts w:eastAsia="Times New Roman" w:cs="Times New Roman"/>
          <w:lang w:eastAsia="de-DE"/>
        </w:rPr>
        <w:t>Construct</w:t>
      </w:r>
      <w:r w:rsidRPr="00AC36A5">
        <w:rPr>
          <w:rFonts w:eastAsia="Times New Roman" w:cs="Times New Roman"/>
          <w:lang w:eastAsia="de-DE"/>
        </w:rPr>
        <w:t>ion mit charakterisierender Apposition, relativischer Spezifikation und göttlicher Autorisationsangabe.</w:t>
      </w:r>
    </w:p>
    <w:p w14:paraId="3758255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schließt die gerschonitische Musterung ab mit einer etwas kompakteren Formulierung als bei den Kehatitern, behält aber die wesentlichen Elemente der göttlichen Autorisation und menschlichen Ausführung bei.</w:t>
      </w:r>
    </w:p>
    <w:p w14:paraId="0BE45714"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lastRenderedPageBreak/>
        <w:t>Numeri 4,42</w:t>
      </w:r>
    </w:p>
    <w:p w14:paraId="51ED607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וּפְקוּדֵ֕י מִשְׁפְּחֹ֖ת בְּנֵ֣י מְרָרִ֑י לְמִשְׁפְּחֹתָ֖ם לְבֵ֥ית אֲבֹתָֽם׃</w:t>
      </w:r>
    </w:p>
    <w:p w14:paraId="1A9AE35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Gemusterten der Familien der Söhne Meraris nach ihren Familien, nach ihren Vaterhäusern,</w:t>
      </w:r>
    </w:p>
    <w:p w14:paraId="431145B8"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CA4F650">
          <v:rect id="_x0000_i1205" style="width:0;height:1.5pt" o:hralign="center" o:hrstd="t" o:hr="t" fillcolor="#a0a0a0" stroked="f"/>
        </w:pict>
      </w:r>
    </w:p>
    <w:p w14:paraId="08AC8302" w14:textId="2922F78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Waw copulativum </w:t>
      </w:r>
      <w:r w:rsidRPr="00AC36A5">
        <w:rPr>
          <w:rFonts w:eastAsia="Times New Roman" w:cs="Times New Roman"/>
          <w:b/>
          <w:bCs/>
          <w:rtl/>
          <w:lang w:eastAsia="de-DE"/>
        </w:rPr>
        <w:t>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פְקוּדֵי מִשְׁפְּחֹת בְּנֵי מְרָרִי</w:t>
      </w:r>
      <w:r w:rsidRPr="00AC36A5">
        <w:rPr>
          <w:rFonts w:eastAsia="Times New Roman" w:cs="Times New Roman"/>
          <w:rtl/>
          <w:lang w:eastAsia="de-DE"/>
        </w:rPr>
        <w:t xml:space="preserve"> </w:t>
      </w:r>
      <w:r w:rsidRPr="00AC36A5">
        <w:rPr>
          <w:rFonts w:eastAsia="Times New Roman" w:cs="Times New Roman"/>
          <w:lang w:eastAsia="de-DE"/>
        </w:rPr>
        <w:t xml:space="preserve">(und die Gemusterten der Familien der Söhne Meraris) leitet den dritten und abschließenden Musterungsbericht ein. 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פְקוּדֵי מִשְׁפְּחֹת</w:t>
      </w:r>
      <w:r w:rsidRPr="00AC36A5">
        <w:rPr>
          <w:rFonts w:eastAsia="Times New Roman" w:cs="Times New Roman"/>
          <w:rtl/>
          <w:lang w:eastAsia="de-DE"/>
        </w:rPr>
        <w:t xml:space="preserve"> </w:t>
      </w:r>
      <w:r w:rsidRPr="00AC36A5">
        <w:rPr>
          <w:rFonts w:eastAsia="Times New Roman" w:cs="Times New Roman"/>
          <w:lang w:eastAsia="de-DE"/>
        </w:rPr>
        <w:t>(Gemusterte der Familien) zeigt die kollektive Erfassung.</w:t>
      </w:r>
    </w:p>
    <w:p w14:paraId="5D2A8B1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organisatorischen Spezifikationen </w:t>
      </w:r>
      <w:r w:rsidRPr="00AC36A5">
        <w:rPr>
          <w:rFonts w:eastAsia="Times New Roman" w:cs="Times New Roman"/>
          <w:b/>
          <w:bCs/>
          <w:rtl/>
          <w:lang w:eastAsia="de-DE"/>
        </w:rPr>
        <w:t>לְמִשְׁפְּחֹתָ֖ם לְבֵ֥ית אֲבֹתָֽם</w:t>
      </w:r>
      <w:r w:rsidRPr="00AC36A5">
        <w:rPr>
          <w:rFonts w:eastAsia="Times New Roman" w:cs="Times New Roman"/>
          <w:rtl/>
          <w:lang w:eastAsia="de-DE"/>
        </w:rPr>
        <w:t xml:space="preserve"> </w:t>
      </w:r>
      <w:r w:rsidRPr="00AC36A5">
        <w:rPr>
          <w:rFonts w:eastAsia="Times New Roman" w:cs="Times New Roman"/>
          <w:lang w:eastAsia="de-DE"/>
        </w:rPr>
        <w:t>(nach ihren Familien, nach ihren Vaterhäusern) entsprechen der systematischen genealogischen Erfassung, identisch mit der gerschonitischen Organisation in Vers 38.</w:t>
      </w:r>
    </w:p>
    <w:p w14:paraId="4425CC83" w14:textId="40EF115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w:t>
      </w:r>
      <w:r w:rsidR="00F133EC">
        <w:rPr>
          <w:rFonts w:eastAsia="Times New Roman" w:cs="Times New Roman"/>
          <w:lang w:eastAsia="de-DE"/>
        </w:rPr>
        <w:t>Construct</w:t>
      </w:r>
      <w:r w:rsidRPr="00AC36A5">
        <w:rPr>
          <w:rFonts w:eastAsia="Times New Roman" w:cs="Times New Roman"/>
          <w:lang w:eastAsia="de-DE"/>
        </w:rPr>
        <w:t>ion ist wiederum elliptisch und bereitet die Altersangaben und das Zahlenresultat in den folgenden Versen vor.</w:t>
      </w:r>
    </w:p>
    <w:p w14:paraId="7923A66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ἡ ἐπίσκεψις δήμων υἱῶν Μεραρι κατὰ δήμους αὐτῶν κατὰ οἴκους πατριῶν αὐτῶν und behält die strukturelle Parallelität bei.</w:t>
      </w:r>
    </w:p>
    <w:p w14:paraId="67B40EC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elliptische Einleitung mit koordinierender Verbindung und systematischen organisatorischen Spezifikationen.</w:t>
      </w:r>
    </w:p>
    <w:p w14:paraId="01A7628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den abschließenden Musterungsbericht der Merariter ein und folgt dem etablierten organisatorischen Muster.</w:t>
      </w:r>
    </w:p>
    <w:p w14:paraId="0D7B890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4,43</w:t>
      </w:r>
    </w:p>
    <w:p w14:paraId="5745471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מִבֶּ֨ן שְׁלֹשִׁ֤ים שָׁנָה֙ וָמַ֔עְלָה וְעַ֖ד בֶּן־חֲמִשִּׁ֣ים שָׁנָ֑ה כָּל־הַבָּא֙ לַצָּבָ֔א לַעֲבֹדָ֖ה בְּאֹ֥הֶל מוֹעֵֽד׃</w:t>
      </w:r>
    </w:p>
    <w:p w14:paraId="17C4DF0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von 30 Jahren an und darüber bis zu 50 Jahren, jeder, der in den Dienst trat zur Arbeit am Zelt der Begegnung:</w:t>
      </w:r>
    </w:p>
    <w:p w14:paraId="76AD3BBA"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5F8A6228">
          <v:rect id="_x0000_i1206" style="width:0;height:1.5pt" o:hralign="center" o:hrstd="t" o:hr="t" fillcolor="#a0a0a0" stroked="f"/>
        </w:pict>
      </w:r>
    </w:p>
    <w:p w14:paraId="6ED9382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Altersangabe </w:t>
      </w:r>
      <w:r w:rsidRPr="00AC36A5">
        <w:rPr>
          <w:rFonts w:eastAsia="Times New Roman" w:cs="Times New Roman"/>
          <w:b/>
          <w:bCs/>
          <w:rtl/>
          <w:lang w:eastAsia="de-DE"/>
        </w:rPr>
        <w:t>מִבֶּן שְׁלֹשִׁים שָׁנָה וָמַעְלָה וְעַד בֶּן־חֲמִשִּׁים שָׁנָה</w:t>
      </w:r>
      <w:r w:rsidRPr="00AC36A5">
        <w:rPr>
          <w:rFonts w:eastAsia="Times New Roman" w:cs="Times New Roman"/>
          <w:rtl/>
          <w:lang w:eastAsia="de-DE"/>
        </w:rPr>
        <w:t xml:space="preserve"> </w:t>
      </w:r>
      <w:r w:rsidRPr="00AC36A5">
        <w:rPr>
          <w:rFonts w:eastAsia="Times New Roman" w:cs="Times New Roman"/>
          <w:lang w:eastAsia="de-DE"/>
        </w:rPr>
        <w:t>wiederholt zum dritten Mal exakt die einheitlichen Dienstkriterien und bestätigt die konsistente Anwendung der 30-50 Jahre Altersspanne für alle drei levitischen Hauptgruppen.</w:t>
      </w:r>
    </w:p>
    <w:p w14:paraId="1E4BBAB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כָּל־הַבָּא לַצָּבָא לַעֲבֹדָה בְּאֹ֥הֶל מוֹעֵֽד</w:t>
      </w:r>
      <w:r w:rsidRPr="00AC36A5">
        <w:rPr>
          <w:rFonts w:eastAsia="Times New Roman" w:cs="Times New Roman"/>
          <w:rtl/>
          <w:lang w:eastAsia="de-DE"/>
        </w:rPr>
        <w:t xml:space="preserve"> </w:t>
      </w:r>
      <w:r w:rsidRPr="00AC36A5">
        <w:rPr>
          <w:rFonts w:eastAsia="Times New Roman" w:cs="Times New Roman"/>
          <w:lang w:eastAsia="de-DE"/>
        </w:rPr>
        <w:t>entspricht genau der gerschonitischen Formulierung in Vers 39 und zeigt die identischen Dienstkriterien für alle Gruppen.</w:t>
      </w:r>
    </w:p>
    <w:p w14:paraId="5A47894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dreifache Wiederholung derselben Formulierung unterstreicht die Einheitlichkeit und Gerechtigkeit der levitischen Dienstbestimmungen.</w:t>
      </w:r>
    </w:p>
    <w:p w14:paraId="056B21F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Die LXX</w:t>
      </w:r>
      <w:r w:rsidRPr="00AC36A5">
        <w:rPr>
          <w:rFonts w:eastAsia="Times New Roman" w:cs="Times New Roman"/>
          <w:lang w:eastAsia="de-DE"/>
        </w:rPr>
        <w:t xml:space="preserve"> übersetzt ἀπὸ τριακονταετοῦς καὶ ἐπάνω καὶ ἕως πεντηκονταετοῦς πᾶς ὁ εἰσπορευόμενος λειτουργεῖν εἰς τὰ ἔργα τῆς σκηνῆς τοῦ μαρτυρίου und behält die strukturelle Konsistenz bei.</w:t>
      </w:r>
    </w:p>
    <w:p w14:paraId="7A03F10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elliptische Fortsetzung mit identischen Altersbestimmungen und charakterisierenden Dienstkriterien.</w:t>
      </w:r>
    </w:p>
    <w:p w14:paraId="0441842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bestätigt die vollständige Einheitlichkeit der Dienstkriterien für alle levitischen Gruppen.</w:t>
      </w:r>
    </w:p>
    <w:p w14:paraId="6077055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4,44</w:t>
      </w:r>
    </w:p>
    <w:p w14:paraId="511581A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וַיִּהְי֥וּ פְקֻדֵיהֶ֖ם לְמִשְׁפְּחֹתָ֑ם שְׁלֹ֥שֶׁת אֲלָפִ֖ים וּמָאתָֽיִם׃</w:t>
      </w:r>
    </w:p>
    <w:p w14:paraId="411C88D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Ihre Gemusterten nach ihren Familien waren 3.200.</w:t>
      </w:r>
    </w:p>
    <w:p w14:paraId="7EBB56E8"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5AE4858D">
          <v:rect id="_x0000_i1207" style="width:0;height:1.5pt" o:hralign="center" o:hrstd="t" o:hr="t" fillcolor="#a0a0a0" stroked="f"/>
        </w:pict>
      </w:r>
    </w:p>
    <w:p w14:paraId="7401ED3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וַיִּהְיוּ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Qal-Imperfekt 3. maskulin Plural mit Waw consecutivum zeigt das Musterungsergebnis. Das Subjekt </w:t>
      </w:r>
      <w:r w:rsidRPr="00AC36A5">
        <w:rPr>
          <w:rFonts w:eastAsia="Times New Roman" w:cs="Times New Roman"/>
          <w:b/>
          <w:bCs/>
          <w:rtl/>
          <w:lang w:eastAsia="de-DE"/>
        </w:rPr>
        <w:t>פְקֻדֵיהֶם</w:t>
      </w:r>
      <w:r w:rsidRPr="00AC36A5">
        <w:rPr>
          <w:rFonts w:eastAsia="Times New Roman" w:cs="Times New Roman"/>
          <w:rtl/>
          <w:lang w:eastAsia="de-DE"/>
        </w:rPr>
        <w:t xml:space="preserve"> </w:t>
      </w:r>
      <w:r w:rsidRPr="00AC36A5">
        <w:rPr>
          <w:rFonts w:eastAsia="Times New Roman" w:cs="Times New Roman"/>
          <w:lang w:eastAsia="de-DE"/>
        </w:rPr>
        <w:t>(ihre Gemusterten) bezieht sich auf die meraritischen Dienstfähigen.</w:t>
      </w:r>
    </w:p>
    <w:p w14:paraId="08F5C58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organisatorische Spezifikation </w:t>
      </w:r>
      <w:r w:rsidRPr="00AC36A5">
        <w:rPr>
          <w:rFonts w:eastAsia="Times New Roman" w:cs="Times New Roman"/>
          <w:b/>
          <w:bCs/>
          <w:rtl/>
          <w:lang w:eastAsia="de-DE"/>
        </w:rPr>
        <w:t>לְמִשְׁפְּחֹתָ֑ם</w:t>
      </w:r>
      <w:r w:rsidRPr="00AC36A5">
        <w:rPr>
          <w:rFonts w:eastAsia="Times New Roman" w:cs="Times New Roman"/>
          <w:rtl/>
          <w:lang w:eastAsia="de-DE"/>
        </w:rPr>
        <w:t xml:space="preserve"> </w:t>
      </w:r>
      <w:r w:rsidRPr="00AC36A5">
        <w:rPr>
          <w:rFonts w:eastAsia="Times New Roman" w:cs="Times New Roman"/>
          <w:lang w:eastAsia="de-DE"/>
        </w:rPr>
        <w:t>(nach ihren Familien) zeigt die systematische Erfassung, ist aber kompakter als bei den anderen Gruppen.</w:t>
      </w:r>
    </w:p>
    <w:p w14:paraId="57A7733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Zahlenangabe </w:t>
      </w:r>
      <w:r w:rsidRPr="00AC36A5">
        <w:rPr>
          <w:rFonts w:eastAsia="Times New Roman" w:cs="Times New Roman"/>
          <w:b/>
          <w:bCs/>
          <w:rtl/>
          <w:lang w:eastAsia="de-DE"/>
        </w:rPr>
        <w:t>שְׁלֹ֥שֶׁת אֲלָפִ֖ים וּמָאתָֽיִם</w:t>
      </w:r>
      <w:r w:rsidRPr="00AC36A5">
        <w:rPr>
          <w:rFonts w:eastAsia="Times New Roman" w:cs="Times New Roman"/>
          <w:rtl/>
          <w:lang w:eastAsia="de-DE"/>
        </w:rPr>
        <w:t xml:space="preserve"> </w:t>
      </w:r>
      <w:r w:rsidRPr="00AC36A5">
        <w:rPr>
          <w:rFonts w:eastAsia="Times New Roman" w:cs="Times New Roman"/>
          <w:lang w:eastAsia="de-DE"/>
        </w:rPr>
        <w:t>zeigt: drei Tausende plus zweihundert = 3.200. Diese Zahl ist die höchste unter den drei levitischen Dienstgruppen und entspricht etwa der Hälfte der meraritischen Gesamtzahl ab einem Monat (6.200 in 3,34).</w:t>
      </w:r>
    </w:p>
    <w:p w14:paraId="4DFC783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höhere Dienstquote der Merariter könnte ihre körperlich anspruchsvolleren Aufgaben (schwere strukturelle Komponenten) reflektieren, die mehr Personal erfordern.</w:t>
      </w:r>
    </w:p>
    <w:p w14:paraId="699C073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ἐγένετο ἡ ἐπίσκεψις αὐτῶν κατὰ δήμους αὐτῶν τρισχίλιοι διακόσιοι und gibt die Zahl strukturiert wieder.</w:t>
      </w:r>
    </w:p>
    <w:p w14:paraId="21CE3FF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existenzialen Satz mit Subjekt, organisatorischer Spezifikation und numerischer Angabe.</w:t>
      </w:r>
    </w:p>
    <w:p w14:paraId="0077F4C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gibt das höchste Ergebnis unter den levitischen Dienstmusterungen an und reflektiert möglicherweise den höheren Personalbedarf für die schweren strukturellen Aufgaben der Merariter.</w:t>
      </w:r>
    </w:p>
    <w:p w14:paraId="49E38104"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4,45</w:t>
      </w:r>
    </w:p>
    <w:p w14:paraId="37D9504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אֵ֣לֶּה פְקוּדֵ֔י מִשְׁפְּחֹ֖ת בְּנֵ֣י מְרָרִ֑י אֲשֶׁ֨ר פָּקַ֤ד מֹשֶׁה֙ וְאַהֲרֹ֔ן עַל־פִּ֥י יְהוָ֖ה בְּיַד־מֹשֶֽׁה׃</w:t>
      </w:r>
    </w:p>
    <w:p w14:paraId="26EA1EE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Das sind die Gemusterten der Familien der Söhne Meraris, die Mosche und 'Aharon musterten nach dem Befehl des Ewigen durch Mosche.</w:t>
      </w:r>
    </w:p>
    <w:p w14:paraId="7EB0F6C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lastRenderedPageBreak/>
        <w:pict w14:anchorId="4678F75C">
          <v:rect id="_x0000_i1208" style="width:0;height:1.5pt" o:hralign="center" o:hrstd="t" o:hr="t" fillcolor="#a0a0a0" stroked="f"/>
        </w:pict>
      </w:r>
    </w:p>
    <w:p w14:paraId="65F7651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Demonstrativpronomen </w:t>
      </w:r>
      <w:r w:rsidRPr="00AC36A5">
        <w:rPr>
          <w:rFonts w:eastAsia="Times New Roman" w:cs="Times New Roman"/>
          <w:b/>
          <w:bCs/>
          <w:rtl/>
          <w:lang w:eastAsia="de-DE"/>
        </w:rPr>
        <w:t>אֵלֶּה</w:t>
      </w:r>
      <w:r w:rsidRPr="00AC36A5">
        <w:rPr>
          <w:rFonts w:eastAsia="Times New Roman" w:cs="Times New Roman"/>
          <w:rtl/>
          <w:lang w:eastAsia="de-DE"/>
        </w:rPr>
        <w:t xml:space="preserve"> </w:t>
      </w:r>
      <w:r w:rsidRPr="00AC36A5">
        <w:rPr>
          <w:rFonts w:eastAsia="Times New Roman" w:cs="Times New Roman"/>
          <w:lang w:eastAsia="de-DE"/>
        </w:rPr>
        <w:t xml:space="preserve">(das sind) mit </w:t>
      </w:r>
      <w:r w:rsidRPr="00AC36A5">
        <w:rPr>
          <w:rFonts w:eastAsia="Times New Roman" w:cs="Times New Roman"/>
          <w:b/>
          <w:bCs/>
          <w:rtl/>
          <w:lang w:eastAsia="de-DE"/>
        </w:rPr>
        <w:t>פְקוּדֵי מִשְׁפְּחֹת בְּנֵי מְרָרִ֑י</w:t>
      </w:r>
      <w:r w:rsidRPr="00AC36A5">
        <w:rPr>
          <w:rFonts w:eastAsia="Times New Roman" w:cs="Times New Roman"/>
          <w:rtl/>
          <w:lang w:eastAsia="de-DE"/>
        </w:rPr>
        <w:t xml:space="preserve"> </w:t>
      </w:r>
      <w:r w:rsidRPr="00AC36A5">
        <w:rPr>
          <w:rFonts w:eastAsia="Times New Roman" w:cs="Times New Roman"/>
          <w:lang w:eastAsia="de-DE"/>
        </w:rPr>
        <w:t>(Gemusterte der Familien der Söhne Meraris) fasst das meraritische Musterungsergebnis zusammen.</w:t>
      </w:r>
    </w:p>
    <w:p w14:paraId="5EED08E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פָּקַ֤ד מֹשֶׁה֙ וְאַהֲרֹ֔ן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und dem koordinierten Subjekt </w:t>
      </w:r>
      <w:r w:rsidRPr="00AC36A5">
        <w:rPr>
          <w:rFonts w:eastAsia="Times New Roman" w:cs="Times New Roman"/>
          <w:b/>
          <w:bCs/>
          <w:rtl/>
          <w:lang w:eastAsia="de-DE"/>
        </w:rPr>
        <w:t>מֹשֶׁה וְאַהֲרֹן</w:t>
      </w:r>
      <w:r w:rsidRPr="00AC36A5">
        <w:rPr>
          <w:rFonts w:eastAsia="Times New Roman" w:cs="Times New Roman"/>
          <w:rtl/>
          <w:lang w:eastAsia="de-DE"/>
        </w:rPr>
        <w:t xml:space="preserve"> </w:t>
      </w:r>
      <w:r w:rsidRPr="00AC36A5">
        <w:rPr>
          <w:rFonts w:eastAsia="Times New Roman" w:cs="Times New Roman"/>
          <w:lang w:eastAsia="de-DE"/>
        </w:rPr>
        <w:t>etabliert die menschliche Ausführungsverantwortung.</w:t>
      </w:r>
    </w:p>
    <w:p w14:paraId="467C5E7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idiomatische Wendung </w:t>
      </w:r>
      <w:r w:rsidRPr="00AC36A5">
        <w:rPr>
          <w:rFonts w:eastAsia="Times New Roman" w:cs="Times New Roman"/>
          <w:b/>
          <w:bCs/>
          <w:rtl/>
          <w:lang w:eastAsia="de-DE"/>
        </w:rPr>
        <w:t>עַל־פִּ֥י יְהוָ֖ה בְּיַד־מֹשֶֽׁה</w:t>
      </w:r>
      <w:r w:rsidRPr="00AC36A5">
        <w:rPr>
          <w:rFonts w:eastAsia="Times New Roman" w:cs="Times New Roman"/>
          <w:rtl/>
          <w:lang w:eastAsia="de-DE"/>
        </w:rPr>
        <w:t xml:space="preserve"> </w:t>
      </w:r>
      <w:r w:rsidRPr="00AC36A5">
        <w:rPr>
          <w:rFonts w:eastAsia="Times New Roman" w:cs="Times New Roman"/>
          <w:lang w:eastAsia="de-DE"/>
        </w:rPr>
        <w:t xml:space="preserve">(nach dem Befehl des Ewigen durch Mosche) kombiniert </w:t>
      </w:r>
      <w:r w:rsidRPr="00AC36A5">
        <w:rPr>
          <w:rFonts w:eastAsia="Times New Roman" w:cs="Times New Roman"/>
          <w:b/>
          <w:bCs/>
          <w:rtl/>
          <w:lang w:eastAsia="de-DE"/>
        </w:rPr>
        <w:t>עַל־פִּי</w:t>
      </w:r>
      <w:r w:rsidRPr="00AC36A5">
        <w:rPr>
          <w:rFonts w:eastAsia="Times New Roman" w:cs="Times New Roman"/>
          <w:rtl/>
          <w:lang w:eastAsia="de-DE"/>
        </w:rPr>
        <w:t xml:space="preserve"> </w:t>
      </w:r>
      <w:r w:rsidRPr="00AC36A5">
        <w:rPr>
          <w:rFonts w:eastAsia="Times New Roman" w:cs="Times New Roman"/>
          <w:lang w:eastAsia="de-DE"/>
        </w:rPr>
        <w:t xml:space="preserve">(nach dem Mund von) für die göttliche Autorisation mit </w:t>
      </w:r>
      <w:r w:rsidRPr="00AC36A5">
        <w:rPr>
          <w:rFonts w:eastAsia="Times New Roman" w:cs="Times New Roman"/>
          <w:b/>
          <w:bCs/>
          <w:rtl/>
          <w:lang w:eastAsia="de-DE"/>
        </w:rPr>
        <w:t>בְּיַד</w:t>
      </w:r>
      <w:r w:rsidRPr="00AC36A5">
        <w:rPr>
          <w:rFonts w:eastAsia="Times New Roman" w:cs="Times New Roman"/>
          <w:rtl/>
          <w:lang w:eastAsia="de-DE"/>
        </w:rPr>
        <w:t xml:space="preserve"> </w:t>
      </w:r>
      <w:r w:rsidRPr="00AC36A5">
        <w:rPr>
          <w:rFonts w:eastAsia="Times New Roman" w:cs="Times New Roman"/>
          <w:lang w:eastAsia="de-DE"/>
        </w:rPr>
        <w:t>(durch die Hand von) für Moses spezielle Vermittlerrolle.</w:t>
      </w:r>
    </w:p>
    <w:p w14:paraId="2C3FCF9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 Formulierung entspricht exakt der kehatitischen Zusammenfassung in Vers 37 und ist ausführlicher als die gerschonitische in Vers 41, was möglicherweise die besondere Bedeutung der strukturellen Aufgaben unterstreicht.</w:t>
      </w:r>
    </w:p>
    <w:p w14:paraId="270AE88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οὗτοι οἱ ἐπεσκεμμένοι δήμων υἱῶν Μεραρι οὓς ἐπεσκέψατο Μωυσῆς καὶ Ααρων διὰ φωνῆς κυρίου ἐν χειρὶ Μωυσῆ und behält die vollständige Autoritätsangabe bei.</w:t>
      </w:r>
    </w:p>
    <w:p w14:paraId="68888B97" w14:textId="6805120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zusammenfassende </w:t>
      </w:r>
      <w:r w:rsidR="00F133EC">
        <w:rPr>
          <w:rFonts w:eastAsia="Times New Roman" w:cs="Times New Roman"/>
          <w:lang w:eastAsia="de-DE"/>
        </w:rPr>
        <w:t>Construct</w:t>
      </w:r>
      <w:r w:rsidRPr="00AC36A5">
        <w:rPr>
          <w:rFonts w:eastAsia="Times New Roman" w:cs="Times New Roman"/>
          <w:lang w:eastAsia="de-DE"/>
        </w:rPr>
        <w:t>ion mit relativischer Spezifikation und vollständiger Betonung sowohl der göttlichen Autorisation als auch der mosaischen Vermittlung.</w:t>
      </w:r>
    </w:p>
    <w:p w14:paraId="5960114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schließt die meraritische Musterung ab und kehrt zur ausführlichen Formulierung der göttlichen Autorität und mosaischen Vermittlung zurück.</w:t>
      </w:r>
    </w:p>
    <w:p w14:paraId="55846A99"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4,46</w:t>
      </w:r>
    </w:p>
    <w:p w14:paraId="53FA4F3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כָּֽל־הַפְּקֻדִ֡ים אֲשֶׁר֩ פָּקַ֨ד מֹשֶׁ֧ה וְאַהֲרֹ֛ן וּנְשִׂיאֵ֥י יִשְׂרָאֵ֖ל אֶת־הַלְוִיִּ֑ם לְמִשְׁפְּחֹתָ֖ם וּלְבֵ֥ית אֲבֹתָֽם׃</w:t>
      </w:r>
    </w:p>
    <w:p w14:paraId="44BCDBF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Alle Gemusterten, die Mosche und 'Aharon und die Fürsten Jisra'els musterten, die Levijim nach ihren Familien und nach ihren Vaterhäusern,</w:t>
      </w:r>
    </w:p>
    <w:p w14:paraId="1C4EC84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9B652CC">
          <v:rect id="_x0000_i1209" style="width:0;height:1.5pt" o:hralign="center" o:hrstd="t" o:hr="t" fillcolor="#a0a0a0" stroked="f"/>
        </w:pict>
      </w:r>
    </w:p>
    <w:p w14:paraId="15652A5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zusammenfassende </w:t>
      </w:r>
      <w:r w:rsidRPr="00AC36A5">
        <w:rPr>
          <w:rFonts w:eastAsia="Times New Roman" w:cs="Times New Roman"/>
          <w:b/>
          <w:bCs/>
          <w:rtl/>
          <w:lang w:eastAsia="de-DE"/>
        </w:rPr>
        <w:t>כָּל־הַפְּקֻדִים</w:t>
      </w:r>
      <w:r w:rsidRPr="00AC36A5">
        <w:rPr>
          <w:rFonts w:eastAsia="Times New Roman" w:cs="Times New Roman"/>
          <w:rtl/>
          <w:lang w:eastAsia="de-DE"/>
        </w:rPr>
        <w:t xml:space="preserve"> </w:t>
      </w:r>
      <w:r w:rsidRPr="00AC36A5">
        <w:rPr>
          <w:rFonts w:eastAsia="Times New Roman" w:cs="Times New Roman"/>
          <w:lang w:eastAsia="de-DE"/>
        </w:rPr>
        <w:t xml:space="preserve">(alle Gemusterten) 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(alle) leitet die Gesamtsumme aller drei levitischen Dienstgruppen ein.</w:t>
      </w:r>
    </w:p>
    <w:p w14:paraId="65157B4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פָּקַ֨ד מֹשֶׁ֧ה וְאַהֲרֹ֛ן וּנְשִׂיאֵ֥י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und dem dreifachen koordinierten Subjekt </w:t>
      </w:r>
      <w:r w:rsidRPr="00AC36A5">
        <w:rPr>
          <w:rFonts w:eastAsia="Times New Roman" w:cs="Times New Roman"/>
          <w:b/>
          <w:bCs/>
          <w:rtl/>
          <w:lang w:eastAsia="de-DE"/>
        </w:rPr>
        <w:t>מֹשֶׁה וְאַהֲרֹן וּנְשִׂיאֵי יִשְׂרָאֵל</w:t>
      </w:r>
      <w:r w:rsidRPr="00AC36A5">
        <w:rPr>
          <w:rFonts w:eastAsia="Times New Roman" w:cs="Times New Roman"/>
          <w:rtl/>
          <w:lang w:eastAsia="de-DE"/>
        </w:rPr>
        <w:t xml:space="preserve"> </w:t>
      </w:r>
      <w:r w:rsidRPr="00AC36A5">
        <w:rPr>
          <w:rFonts w:eastAsia="Times New Roman" w:cs="Times New Roman"/>
          <w:lang w:eastAsia="de-DE"/>
        </w:rPr>
        <w:t>(Mose und Aaron und die Fürsten Israels) entspricht der Einleitung in Vers 34 und betont die vollständige repräsentative Autorität.</w:t>
      </w:r>
    </w:p>
    <w:p w14:paraId="04275DC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direkte Objekt </w:t>
      </w:r>
      <w:r w:rsidRPr="00AC36A5">
        <w:rPr>
          <w:rFonts w:eastAsia="Times New Roman" w:cs="Times New Roman"/>
          <w:b/>
          <w:bCs/>
          <w:rtl/>
          <w:lang w:eastAsia="de-DE"/>
        </w:rPr>
        <w:t>אֶת־הַלְוִיִּם</w:t>
      </w:r>
      <w:r w:rsidRPr="00AC36A5">
        <w:rPr>
          <w:rFonts w:eastAsia="Times New Roman" w:cs="Times New Roman"/>
          <w:rtl/>
          <w:lang w:eastAsia="de-DE"/>
        </w:rPr>
        <w:t xml:space="preserve"> </w:t>
      </w:r>
      <w:r w:rsidRPr="00AC36A5">
        <w:rPr>
          <w:rFonts w:eastAsia="Times New Roman" w:cs="Times New Roman"/>
          <w:lang w:eastAsia="de-DE"/>
        </w:rPr>
        <w:t>(die Leviten) mit nota accusativi bezeichnet alle drei levitischen Hauptgruppen kollektiv.</w:t>
      </w:r>
    </w:p>
    <w:p w14:paraId="7545BFA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organisatorischen Spezifikationen </w:t>
      </w:r>
      <w:r w:rsidRPr="00AC36A5">
        <w:rPr>
          <w:rFonts w:eastAsia="Times New Roman" w:cs="Times New Roman"/>
          <w:b/>
          <w:bCs/>
          <w:rtl/>
          <w:lang w:eastAsia="de-DE"/>
        </w:rPr>
        <w:t>לְמִשְׁפְּחֹתָ֖ם וּלְבֵ֥ית אֲבֹתָֽם</w:t>
      </w:r>
      <w:r w:rsidRPr="00AC36A5">
        <w:rPr>
          <w:rFonts w:eastAsia="Times New Roman" w:cs="Times New Roman"/>
          <w:rtl/>
          <w:lang w:eastAsia="de-DE"/>
        </w:rPr>
        <w:t xml:space="preserve"> </w:t>
      </w:r>
      <w:r w:rsidRPr="00AC36A5">
        <w:rPr>
          <w:rFonts w:eastAsia="Times New Roman" w:cs="Times New Roman"/>
          <w:lang w:eastAsia="de-DE"/>
        </w:rPr>
        <w:t>(nach ihren Familien und nach ihren Vaterhäusern) zeigen die systematische genealogische Erfassung aller Gruppen.</w:t>
      </w:r>
    </w:p>
    <w:p w14:paraId="0FD78A5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Die LXX</w:t>
      </w:r>
      <w:r w:rsidRPr="00AC36A5">
        <w:rPr>
          <w:rFonts w:eastAsia="Times New Roman" w:cs="Times New Roman"/>
          <w:lang w:eastAsia="de-DE"/>
        </w:rPr>
        <w:t xml:space="preserve"> übersetzt πάντες οἱ ἐπεσκεμμένοι οὓς ἐπεσκέψατο Μωυσῆς καὶ Ααρων καὶ οἱ ἄρχοντες Ισραηλ τοὺς Λευίτας κατὰ δήμους αὐτῶν κατὰ οἴκους πατριῶν αὐτῶν und betont die umfassende Autorität.</w:t>
      </w:r>
    </w:p>
    <w:p w14:paraId="5AE32FDA" w14:textId="4A3A4AE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zusammenfassende </w:t>
      </w:r>
      <w:r w:rsidR="00F133EC">
        <w:rPr>
          <w:rFonts w:eastAsia="Times New Roman" w:cs="Times New Roman"/>
          <w:lang w:eastAsia="de-DE"/>
        </w:rPr>
        <w:t>Construct</w:t>
      </w:r>
      <w:r w:rsidRPr="00AC36A5">
        <w:rPr>
          <w:rFonts w:eastAsia="Times New Roman" w:cs="Times New Roman"/>
          <w:lang w:eastAsia="de-DE"/>
        </w:rPr>
        <w:t>ion mit relativischer Spezifikation der dreifachen Autorität, kollektivem Objekt und systematischen organisatorischen Spezifikationen.</w:t>
      </w:r>
    </w:p>
    <w:p w14:paraId="58AFAEE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die Gesamtzusammenfassung aller levitischen Dienstmusterungen ein und betont die vollständige repräsentative und autoritäre Durchführung.</w:t>
      </w:r>
    </w:p>
    <w:p w14:paraId="66D51B7F"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4,47</w:t>
      </w:r>
    </w:p>
    <w:p w14:paraId="188CB99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מִבֶּ֨ן שְׁלֹשִׁ֤ים שָׁנָה֙ וָמַ֔עְלָה וְעַ֖ד בֶּן־חֲמִשִּׁ֣ים שָׁנָ֑ה כָּל־הַבָּ֗א לַעֲבֹ֨ד עֲבֹדַ֧ת עֲבֹדָ֛ה וַעֲבֹדַ֥ת מַשָּׂ֖א בְּאֹ֥הֶל מוֹעֵֽד׃</w:t>
      </w:r>
    </w:p>
    <w:p w14:paraId="69B8C99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von 30 Jahren an und darüber bis zu 50 Jahren, jeder, der kam, um die Arbeit des Dienstes und die Arbeit des Tragens am Zelt der Begegnung zu verrichten:</w:t>
      </w:r>
    </w:p>
    <w:p w14:paraId="711BA496"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529335CC">
          <v:rect id="_x0000_i1210" style="width:0;height:1.5pt" o:hralign="center" o:hrstd="t" o:hr="t" fillcolor="#a0a0a0" stroked="f"/>
        </w:pict>
      </w:r>
    </w:p>
    <w:p w14:paraId="4C8607C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Altersangabe </w:t>
      </w:r>
      <w:r w:rsidRPr="00AC36A5">
        <w:rPr>
          <w:rFonts w:eastAsia="Times New Roman" w:cs="Times New Roman"/>
          <w:b/>
          <w:bCs/>
          <w:rtl/>
          <w:lang w:eastAsia="de-DE"/>
        </w:rPr>
        <w:t>מִבֶּן שְׁלֹשִׁים שָׁנָה וָמַעְלָה וְעַד בֶּן־חֲמִשִּׁים שָׁנָה</w:t>
      </w:r>
      <w:r w:rsidRPr="00AC36A5">
        <w:rPr>
          <w:rFonts w:eastAsia="Times New Roman" w:cs="Times New Roman"/>
          <w:rtl/>
          <w:lang w:eastAsia="de-DE"/>
        </w:rPr>
        <w:t xml:space="preserve"> </w:t>
      </w:r>
      <w:r w:rsidRPr="00AC36A5">
        <w:rPr>
          <w:rFonts w:eastAsia="Times New Roman" w:cs="Times New Roman"/>
          <w:lang w:eastAsia="de-DE"/>
        </w:rPr>
        <w:t>wiederholt ein letztes Mal die einheitlichen Dienstkriterien für die Gesamtzusammenfassung.</w:t>
      </w:r>
    </w:p>
    <w:p w14:paraId="4CE6204F" w14:textId="1C72CCA1"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כָּל־הַבָּא לַעֲבֹד עֲבֹדַת עֲבֹדָה וַעֲבֹדַת מַשָּׂא בְּאֹהֶל מוֹעֵד</w:t>
      </w:r>
      <w:r w:rsidRPr="00AC36A5">
        <w:rPr>
          <w:rFonts w:eastAsia="Times New Roman" w:cs="Times New Roman"/>
          <w:rtl/>
          <w:lang w:eastAsia="de-DE"/>
        </w:rPr>
        <w:t xml:space="preserve"> </w:t>
      </w:r>
      <w:r w:rsidRPr="00AC36A5">
        <w:rPr>
          <w:rFonts w:eastAsia="Times New Roman" w:cs="Times New Roman"/>
          <w:lang w:eastAsia="de-DE"/>
        </w:rPr>
        <w:t xml:space="preserve">zeigt eine erweiterte und intensivierte Beschreibung der levitischen Aufgaben mit </w:t>
      </w:r>
      <w:r w:rsidRPr="00AC36A5">
        <w:rPr>
          <w:rFonts w:eastAsia="Times New Roman" w:cs="Times New Roman"/>
          <w:b/>
          <w:bCs/>
          <w:rtl/>
          <w:lang w:eastAsia="de-DE"/>
        </w:rPr>
        <w:t>בָּא</w:t>
      </w:r>
      <w:r w:rsidRPr="00AC36A5">
        <w:rPr>
          <w:rFonts w:eastAsia="Times New Roman" w:cs="Times New Roman"/>
          <w:rtl/>
          <w:lang w:eastAsia="de-DE"/>
        </w:rPr>
        <w:t xml:space="preserve"> </w:t>
      </w:r>
      <w:r w:rsidRPr="00AC36A5">
        <w:rPr>
          <w:rFonts w:eastAsia="Times New Roman" w:cs="Times New Roman"/>
          <w:lang w:eastAsia="de-DE"/>
        </w:rPr>
        <w:t xml:space="preserve">als Partizip 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 xml:space="preserve">(kommen) und </w:t>
      </w:r>
      <w:r w:rsidRPr="00AC36A5">
        <w:rPr>
          <w:rFonts w:eastAsia="Times New Roman" w:cs="Times New Roman"/>
          <w:b/>
          <w:bCs/>
          <w:rtl/>
          <w:lang w:eastAsia="de-DE"/>
        </w:rPr>
        <w:t>לַעֲבֹד</w:t>
      </w:r>
      <w:r w:rsidRPr="00AC36A5">
        <w:rPr>
          <w:rFonts w:eastAsia="Times New Roman" w:cs="Times New Roman"/>
          <w:rtl/>
          <w:lang w:eastAsia="de-DE"/>
        </w:rPr>
        <w:t xml:space="preserve"> </w:t>
      </w:r>
      <w:r w:rsidRPr="00AC36A5">
        <w:rPr>
          <w:rFonts w:eastAsia="Times New Roman" w:cs="Times New Roman"/>
          <w:lang w:eastAsia="de-DE"/>
        </w:rPr>
        <w:t>als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עבד</w:t>
      </w:r>
      <w:r w:rsidRPr="00AC36A5">
        <w:rPr>
          <w:rFonts w:eastAsia="Times New Roman" w:cs="Times New Roman"/>
          <w:rtl/>
          <w:lang w:eastAsia="de-DE"/>
        </w:rPr>
        <w:t xml:space="preserve"> </w:t>
      </w:r>
      <w:r w:rsidRPr="00AC36A5">
        <w:rPr>
          <w:rFonts w:eastAsia="Times New Roman" w:cs="Times New Roman"/>
          <w:lang w:eastAsia="de-DE"/>
        </w:rPr>
        <w:t>(arbeiten).</w:t>
      </w:r>
    </w:p>
    <w:p w14:paraId="33725290" w14:textId="3D967AE1"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reduplikative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עֲבֹדַת עֲבֹדָה</w:t>
      </w:r>
      <w:r w:rsidRPr="00AC36A5">
        <w:rPr>
          <w:rFonts w:eastAsia="Times New Roman" w:cs="Times New Roman"/>
          <w:rtl/>
          <w:lang w:eastAsia="de-DE"/>
        </w:rPr>
        <w:t xml:space="preserve"> </w:t>
      </w:r>
      <w:r w:rsidRPr="00AC36A5">
        <w:rPr>
          <w:rFonts w:eastAsia="Times New Roman" w:cs="Times New Roman"/>
          <w:lang w:eastAsia="de-DE"/>
        </w:rPr>
        <w:t xml:space="preserve">(Arbeit der Arbeit) verstärkt die Bedeutung des liturgischen Dienstes. Die koordinierte Phrase </w:t>
      </w:r>
      <w:r w:rsidRPr="00AC36A5">
        <w:rPr>
          <w:rFonts w:eastAsia="Times New Roman" w:cs="Times New Roman"/>
          <w:b/>
          <w:bCs/>
          <w:rtl/>
          <w:lang w:eastAsia="de-DE"/>
        </w:rPr>
        <w:t>וַעֲבֹדַת מַשָּׂא</w:t>
      </w:r>
      <w:r w:rsidRPr="00AC36A5">
        <w:rPr>
          <w:rFonts w:eastAsia="Times New Roman" w:cs="Times New Roman"/>
          <w:rtl/>
          <w:lang w:eastAsia="de-DE"/>
        </w:rPr>
        <w:t xml:space="preserve"> </w:t>
      </w:r>
      <w:r w:rsidRPr="00AC36A5">
        <w:rPr>
          <w:rFonts w:eastAsia="Times New Roman" w:cs="Times New Roman"/>
          <w:lang w:eastAsia="de-DE"/>
        </w:rPr>
        <w:t>(und Arbeit des Tragens) spezifiziert die praktische Transportfunktion.</w:t>
      </w:r>
    </w:p>
    <w:p w14:paraId="43D62C5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 Formulierung ist die ausführlichste im gesamten Kapitel und fasst beide Hauptaspekte der levitischen Tätigkeit zusammen: den liturgischen Dienst und den praktischen Transport.</w:t>
      </w:r>
    </w:p>
    <w:p w14:paraId="0A6ED64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ἀπὸ τριακονταετοῦς καὶ ἐπάνω καὶ ἕως πεντηκονταετοῦς πᾶς ὁ εἰσπορευόμενος ἐργάζεσθαι ἔργα καὶ ἔργα αἴρειν ἐν τῇ σκηνῇ τοῦ μαρτυρίου und behält die reduplikative Struktur bei.</w:t>
      </w:r>
    </w:p>
    <w:p w14:paraId="591F13C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elliptische Fortsetzung mit Altersbestimmung und der ausführlichsten charakterisierenden Beschreibung der levitischen Doppelfunktion im gesamten Kapitel.</w:t>
      </w:r>
    </w:p>
    <w:p w14:paraId="18464C5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bietet die umfassendste Definition der levitischen Aufgaben als Kombination von liturgischem Dienst und praktischem Transport.</w:t>
      </w:r>
    </w:p>
    <w:p w14:paraId="5BEAEB3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4,48</w:t>
      </w:r>
    </w:p>
    <w:p w14:paraId="5E4F49E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וַיִּהְי֖וּ פְּקֻדֵיהֶ֑ם שְׁמֹנַ֣ת אֲלָפִ֔ים וַחֲמֵ֥שׁ מֵא֖וֹת וּשְׁמֹנִֽים׃</w:t>
      </w:r>
    </w:p>
    <w:p w14:paraId="22D29BA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Deutsch:</w:t>
      </w:r>
      <w:r w:rsidRPr="00AC36A5">
        <w:rPr>
          <w:rFonts w:eastAsia="Times New Roman" w:cs="Times New Roman"/>
          <w:lang w:eastAsia="de-DE"/>
        </w:rPr>
        <w:t xml:space="preserve"> Ihre Gemusterten waren 8.580.</w:t>
      </w:r>
    </w:p>
    <w:p w14:paraId="04AA17C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483BD34">
          <v:rect id="_x0000_i1211" style="width:0;height:1.5pt" o:hralign="center" o:hrstd="t" o:hr="t" fillcolor="#a0a0a0" stroked="f"/>
        </w:pict>
      </w:r>
    </w:p>
    <w:p w14:paraId="0C5E28E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וַיִּהְיוּ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 xml:space="preserve">(sein) im Qal-Imperfekt 3. maskulin Plural mit Waw consecutivum zeigt das Gesamtergebnis. Das Subjekt </w:t>
      </w:r>
      <w:r w:rsidRPr="00AC36A5">
        <w:rPr>
          <w:rFonts w:eastAsia="Times New Roman" w:cs="Times New Roman"/>
          <w:b/>
          <w:bCs/>
          <w:rtl/>
          <w:lang w:eastAsia="de-DE"/>
        </w:rPr>
        <w:t>פְּקֻדֵיהֶם</w:t>
      </w:r>
      <w:r w:rsidRPr="00AC36A5">
        <w:rPr>
          <w:rFonts w:eastAsia="Times New Roman" w:cs="Times New Roman"/>
          <w:rtl/>
          <w:lang w:eastAsia="de-DE"/>
        </w:rPr>
        <w:t xml:space="preserve"> </w:t>
      </w:r>
      <w:r w:rsidRPr="00AC36A5">
        <w:rPr>
          <w:rFonts w:eastAsia="Times New Roman" w:cs="Times New Roman"/>
          <w:lang w:eastAsia="de-DE"/>
        </w:rPr>
        <w:t>(ihre Gemusterten) bezieht sich auf alle dienstfähigen Leviten der drei Hauptgruppen.</w:t>
      </w:r>
    </w:p>
    <w:p w14:paraId="1353B49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Zahlenangabe </w:t>
      </w:r>
      <w:r w:rsidRPr="00AC36A5">
        <w:rPr>
          <w:rFonts w:eastAsia="Times New Roman" w:cs="Times New Roman"/>
          <w:b/>
          <w:bCs/>
          <w:rtl/>
          <w:lang w:eastAsia="de-DE"/>
        </w:rPr>
        <w:t>שְׁמֹנַ֣ת אֲלָפִ֔ים וַחֲמֵ֥שׁ מֵא֖וֹת וּשְׁמֹנִֽים</w:t>
      </w:r>
      <w:r w:rsidRPr="00AC36A5">
        <w:rPr>
          <w:rFonts w:eastAsia="Times New Roman" w:cs="Times New Roman"/>
          <w:rtl/>
          <w:lang w:eastAsia="de-DE"/>
        </w:rPr>
        <w:t xml:space="preserve"> </w:t>
      </w:r>
      <w:r w:rsidRPr="00AC36A5">
        <w:rPr>
          <w:rFonts w:eastAsia="Times New Roman" w:cs="Times New Roman"/>
          <w:lang w:eastAsia="de-DE"/>
        </w:rPr>
        <w:t>zeigt: acht Tausende plus fünf Hunderte plus achtzig = 8.580.</w:t>
      </w:r>
    </w:p>
    <w:p w14:paraId="0D4468D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mathematische Verifikation: Kehatiter (2.750) + Gerschoniter (2.630) + Merariter (3.200) = 8.580 bestätigt die Korrektheit der Addition.</w:t>
      </w:r>
    </w:p>
    <w:p w14:paraId="1477B5D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 Gesamtzahl von 8.580 dienstfähigen Leviten entspricht etwa 39% der levitischen Gesamtbevölkerung ab einem Monat (22.000 in 3,39), was demographisch plausibel für die Altersgruppe 30-50 Jahre ist.</w:t>
      </w:r>
    </w:p>
    <w:p w14:paraId="4F888F0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ἐγένετο ἡ ἐπίσκεψις αὐτῶν ὀκτακισχίλιοι πεντακόσιοι ὀγδοήκοντα und gibt die Gesamtzahl strukturiert wieder.</w:t>
      </w:r>
    </w:p>
    <w:p w14:paraId="44E35AF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einfachen existenzialen Satz mit Subjekt und präziser numerischer Gesamtangabe.</w:t>
      </w:r>
    </w:p>
    <w:p w14:paraId="6126107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gibt die wichtige Gesamtzahl aller dienstfähigen Leviten an und bestätigt die mathematische Korrektheit der vorhergehenden Einzelzählungen.</w:t>
      </w:r>
    </w:p>
    <w:p w14:paraId="0C51C746"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4,49</w:t>
      </w:r>
    </w:p>
    <w:p w14:paraId="3856847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עַל־פִּ֨י יְהוָ֜ה פָּקַ֤ד אוֹתָם֙ בְּיַד־מֹשֶׁ֔ה אִ֥ישׁ אִ֛ישׁ עַל־עֲבֹדָתוֹ֖ וְעַל־מַשָּׂאֹ֑ו וּפְקֻדָ֕יו אֲשֶׁר־צִוָּ֥ה יְהוָ֖ה אֶת־מֹשֶֽׁה׃</w:t>
      </w:r>
    </w:p>
    <w:p w14:paraId="6A23F63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Nach dem Befehl des Ewigen musterte man sie durch Mosche, Mann für Mann bei seiner Arbeit und bei seiner Traglast; und sie wurden von ihm gemustert, wie der Ewige Mosche geboten hatte.</w:t>
      </w:r>
    </w:p>
    <w:p w14:paraId="00A9459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CFE7BE2">
          <v:rect id="_x0000_i1212" style="width:0;height:1.5pt" o:hralign="center" o:hrstd="t" o:hr="t" fillcolor="#a0a0a0" stroked="f"/>
        </w:pict>
      </w:r>
    </w:p>
    <w:p w14:paraId="78DE9E3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idiomatische Wendung </w:t>
      </w:r>
      <w:r w:rsidRPr="00AC36A5">
        <w:rPr>
          <w:rFonts w:eastAsia="Times New Roman" w:cs="Times New Roman"/>
          <w:b/>
          <w:bCs/>
          <w:rtl/>
          <w:lang w:eastAsia="de-DE"/>
        </w:rPr>
        <w:t>עַל־פִּי יְהוָה</w:t>
      </w:r>
      <w:r w:rsidRPr="00AC36A5">
        <w:rPr>
          <w:rFonts w:eastAsia="Times New Roman" w:cs="Times New Roman"/>
          <w:rtl/>
          <w:lang w:eastAsia="de-DE"/>
        </w:rPr>
        <w:t xml:space="preserve"> </w:t>
      </w:r>
      <w:r w:rsidRPr="00AC36A5">
        <w:rPr>
          <w:rFonts w:eastAsia="Times New Roman" w:cs="Times New Roman"/>
          <w:lang w:eastAsia="de-DE"/>
        </w:rPr>
        <w:t xml:space="preserve">(nach dem Befehl des Ewigen) mit </w:t>
      </w:r>
      <w:r w:rsidRPr="00AC36A5">
        <w:rPr>
          <w:rFonts w:eastAsia="Times New Roman" w:cs="Times New Roman"/>
          <w:b/>
          <w:bCs/>
          <w:rtl/>
          <w:lang w:eastAsia="de-DE"/>
        </w:rPr>
        <w:t>עַל־פִּי</w:t>
      </w:r>
      <w:r w:rsidRPr="00AC36A5">
        <w:rPr>
          <w:rFonts w:eastAsia="Times New Roman" w:cs="Times New Roman"/>
          <w:rtl/>
          <w:lang w:eastAsia="de-DE"/>
        </w:rPr>
        <w:t xml:space="preserve"> </w:t>
      </w:r>
      <w:r w:rsidRPr="00AC36A5">
        <w:rPr>
          <w:rFonts w:eastAsia="Times New Roman" w:cs="Times New Roman"/>
          <w:lang w:eastAsia="de-DE"/>
        </w:rPr>
        <w:t>(nach dem Mund von) eröffnet diesen abschließenden Vers mit der Betonung der göttlichen Autorisation.</w:t>
      </w:r>
    </w:p>
    <w:p w14:paraId="0F69B72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Verb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פקד</w:t>
      </w:r>
      <w:r w:rsidRPr="00AC36A5">
        <w:rPr>
          <w:rFonts w:eastAsia="Times New Roman" w:cs="Times New Roman"/>
          <w:rtl/>
          <w:lang w:eastAsia="de-DE"/>
        </w:rPr>
        <w:t xml:space="preserve"> </w:t>
      </w:r>
      <w:r w:rsidRPr="00AC36A5">
        <w:rPr>
          <w:rFonts w:eastAsia="Times New Roman" w:cs="Times New Roman"/>
          <w:lang w:eastAsia="de-DE"/>
        </w:rPr>
        <w:t xml:space="preserve">(mustern) im Qal-Perfekt 3. maskulin Singular mit </w:t>
      </w:r>
      <w:r w:rsidRPr="00AC36A5">
        <w:rPr>
          <w:rFonts w:eastAsia="Times New Roman" w:cs="Times New Roman"/>
          <w:b/>
          <w:bCs/>
          <w:rtl/>
          <w:lang w:eastAsia="de-DE"/>
        </w:rPr>
        <w:t>אוֹתָם</w:t>
      </w:r>
      <w:r w:rsidRPr="00AC36A5">
        <w:rPr>
          <w:rFonts w:eastAsia="Times New Roman" w:cs="Times New Roman"/>
          <w:rtl/>
          <w:lang w:eastAsia="de-DE"/>
        </w:rPr>
        <w:t xml:space="preserve"> </w:t>
      </w:r>
      <w:r w:rsidRPr="00AC36A5">
        <w:rPr>
          <w:rFonts w:eastAsia="Times New Roman" w:cs="Times New Roman"/>
          <w:lang w:eastAsia="de-DE"/>
        </w:rPr>
        <w:t xml:space="preserve">(sie) und </w:t>
      </w:r>
      <w:r w:rsidRPr="00AC36A5">
        <w:rPr>
          <w:rFonts w:eastAsia="Times New Roman" w:cs="Times New Roman"/>
          <w:b/>
          <w:bCs/>
          <w:rtl/>
          <w:lang w:eastAsia="de-DE"/>
        </w:rPr>
        <w:t>בְּיַד־מֹשֶׁה</w:t>
      </w:r>
      <w:r w:rsidRPr="00AC36A5">
        <w:rPr>
          <w:rFonts w:eastAsia="Times New Roman" w:cs="Times New Roman"/>
          <w:rtl/>
          <w:lang w:eastAsia="de-DE"/>
        </w:rPr>
        <w:t xml:space="preserve"> </w:t>
      </w:r>
      <w:r w:rsidRPr="00AC36A5">
        <w:rPr>
          <w:rFonts w:eastAsia="Times New Roman" w:cs="Times New Roman"/>
          <w:lang w:eastAsia="de-DE"/>
        </w:rPr>
        <w:t>(durch Mosche) zeigt Moses Vermittlerrolle.</w:t>
      </w:r>
    </w:p>
    <w:p w14:paraId="65A4E1BB" w14:textId="5ED3EA8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distributive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אִ֥ישׁ אִ֛ישׁ עַל־עֲבֹדָתוֹ֖ וְעַל־מַשָּׂאֹ֑ו</w:t>
      </w:r>
      <w:r w:rsidRPr="00AC36A5">
        <w:rPr>
          <w:rFonts w:eastAsia="Times New Roman" w:cs="Times New Roman"/>
          <w:rtl/>
          <w:lang w:eastAsia="de-DE"/>
        </w:rPr>
        <w:t xml:space="preserve"> </w:t>
      </w:r>
      <w:r w:rsidRPr="00AC36A5">
        <w:rPr>
          <w:rFonts w:eastAsia="Times New Roman" w:cs="Times New Roman"/>
          <w:lang w:eastAsia="de-DE"/>
        </w:rPr>
        <w:t xml:space="preserve">mit der charakteristischen Reduplikation </w:t>
      </w:r>
      <w:r w:rsidRPr="00AC36A5">
        <w:rPr>
          <w:rFonts w:eastAsia="Times New Roman" w:cs="Times New Roman"/>
          <w:b/>
          <w:bCs/>
          <w:rtl/>
          <w:lang w:eastAsia="de-DE"/>
        </w:rPr>
        <w:t>אִישׁ אִישׁ</w:t>
      </w:r>
      <w:r w:rsidRPr="00AC36A5">
        <w:rPr>
          <w:rFonts w:eastAsia="Times New Roman" w:cs="Times New Roman"/>
          <w:rtl/>
          <w:lang w:eastAsia="de-DE"/>
        </w:rPr>
        <w:t xml:space="preserve"> </w:t>
      </w:r>
      <w:r w:rsidRPr="00AC36A5">
        <w:rPr>
          <w:rFonts w:eastAsia="Times New Roman" w:cs="Times New Roman"/>
          <w:lang w:eastAsia="de-DE"/>
        </w:rPr>
        <w:t xml:space="preserve">(Mann Mann = jeder einzelne Mann) und den koordinierten präpositionalen Phrasen </w:t>
      </w:r>
      <w:r w:rsidRPr="00AC36A5">
        <w:rPr>
          <w:rFonts w:eastAsia="Times New Roman" w:cs="Times New Roman"/>
          <w:b/>
          <w:bCs/>
          <w:rtl/>
          <w:lang w:eastAsia="de-DE"/>
        </w:rPr>
        <w:t>עַל־עֲבֹדָתוֹ</w:t>
      </w:r>
      <w:r w:rsidRPr="00AC36A5">
        <w:rPr>
          <w:rFonts w:eastAsia="Times New Roman" w:cs="Times New Roman"/>
          <w:rtl/>
          <w:lang w:eastAsia="de-DE"/>
        </w:rPr>
        <w:t xml:space="preserve"> </w:t>
      </w:r>
      <w:r w:rsidRPr="00AC36A5">
        <w:rPr>
          <w:rFonts w:eastAsia="Times New Roman" w:cs="Times New Roman"/>
          <w:lang w:eastAsia="de-DE"/>
        </w:rPr>
        <w:t xml:space="preserve">(bei seiner Arbeit) und </w:t>
      </w:r>
      <w:r w:rsidRPr="00AC36A5">
        <w:rPr>
          <w:rFonts w:eastAsia="Times New Roman" w:cs="Times New Roman"/>
          <w:b/>
          <w:bCs/>
          <w:rtl/>
          <w:lang w:eastAsia="de-DE"/>
        </w:rPr>
        <w:t>עַל־מַשָּׂאוֹ</w:t>
      </w:r>
      <w:r w:rsidRPr="00AC36A5">
        <w:rPr>
          <w:rFonts w:eastAsia="Times New Roman" w:cs="Times New Roman"/>
          <w:rtl/>
          <w:lang w:eastAsia="de-DE"/>
        </w:rPr>
        <w:t xml:space="preserve"> </w:t>
      </w:r>
      <w:r w:rsidRPr="00AC36A5">
        <w:rPr>
          <w:rFonts w:eastAsia="Times New Roman" w:cs="Times New Roman"/>
          <w:lang w:eastAsia="de-DE"/>
        </w:rPr>
        <w:t>(bei seiner Traglast) betont die individuelle Aufgabenzuordnung.</w:t>
      </w:r>
    </w:p>
    <w:p w14:paraId="0174BF7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Der zusammenfassende Satz </w:t>
      </w:r>
      <w:r w:rsidRPr="00AC36A5">
        <w:rPr>
          <w:rFonts w:eastAsia="Times New Roman" w:cs="Times New Roman"/>
          <w:b/>
          <w:bCs/>
          <w:rtl/>
          <w:lang w:eastAsia="de-DE"/>
        </w:rPr>
        <w:t>וּפְקֻדָיו אֲשֶׁר־צִוָּה יְהוָה אֶת־מֹשֶׁה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פְקֻדָיו</w:t>
      </w:r>
      <w:r w:rsidRPr="00AC36A5">
        <w:rPr>
          <w:rFonts w:eastAsia="Times New Roman" w:cs="Times New Roman"/>
          <w:rtl/>
          <w:lang w:eastAsia="de-DE"/>
        </w:rPr>
        <w:t xml:space="preserve"> </w:t>
      </w:r>
      <w:r w:rsidRPr="00AC36A5">
        <w:rPr>
          <w:rFonts w:eastAsia="Times New Roman" w:cs="Times New Roman"/>
          <w:lang w:eastAsia="de-DE"/>
        </w:rPr>
        <w:t xml:space="preserve">(und sie wurden gemustert) im Pu'al-Perfekt 3. maskulin Plural (passiv) und dem Relativsatz </w:t>
      </w:r>
      <w:r w:rsidRPr="00AC36A5">
        <w:rPr>
          <w:rFonts w:eastAsia="Times New Roman" w:cs="Times New Roman"/>
          <w:b/>
          <w:bCs/>
          <w:rtl/>
          <w:lang w:eastAsia="de-DE"/>
        </w:rPr>
        <w:t>אֲשֶׁר־צִוָּה יְהוָה אֶת־מֹשֶׁה</w:t>
      </w:r>
      <w:r w:rsidRPr="00AC36A5">
        <w:rPr>
          <w:rFonts w:eastAsia="Times New Roman" w:cs="Times New Roman"/>
          <w:rtl/>
          <w:lang w:eastAsia="de-DE"/>
        </w:rPr>
        <w:t xml:space="preserve"> </w:t>
      </w:r>
      <w:r w:rsidRPr="00AC36A5">
        <w:rPr>
          <w:rFonts w:eastAsia="Times New Roman" w:cs="Times New Roman"/>
          <w:lang w:eastAsia="de-DE"/>
        </w:rPr>
        <w:t>(wie der Ewige Mosche geboten hatte) schließt mit einer doppelten Betonung der göttlichen Autorität und vollkommenen Ausführung.</w:t>
      </w:r>
    </w:p>
    <w:p w14:paraId="76E20DB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διὰ φωνῆς κυρίου ἐπεσκέψατο αὐτοὺς ἐν χειρὶ Μωυσῆ ἄνδρα ἄνδρα ἐπὶ τῶν ἔργων αὐτοῦ καὶ ἐπὶ ὧν αἴρει καὶ ἐπεσκέπησαν ὃν τρόπον συνέταξεν κύριος τῷ Μωυσῇ und behält die distributive Struktur und doppelte Autoritätsbetonung bei.</w:t>
      </w:r>
    </w:p>
    <w:p w14:paraId="593555B6" w14:textId="6F2A202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komplexe </w:t>
      </w:r>
      <w:r w:rsidR="00F133EC">
        <w:rPr>
          <w:rFonts w:eastAsia="Times New Roman" w:cs="Times New Roman"/>
          <w:lang w:eastAsia="de-DE"/>
        </w:rPr>
        <w:t>Construct</w:t>
      </w:r>
      <w:r w:rsidRPr="00AC36A5">
        <w:rPr>
          <w:rFonts w:eastAsia="Times New Roman" w:cs="Times New Roman"/>
          <w:lang w:eastAsia="de-DE"/>
        </w:rPr>
        <w:t>ion mit einleitender Autoritätsangabe, Vermittlungsbestimmung, distributiver Aufgabenspezifikation und abschließender doppelter Betonung der göttlichen Autorität und vollkommenen Ausführung.</w:t>
      </w:r>
    </w:p>
    <w:p w14:paraId="6E2614E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abschließende Vers des Kapitels betont die vollkommene Übereinstimmung zwischen göttlichem Befehl und menschlicher Ausführung und unterstreicht die individuelle Zuordnung jedes Leviten zu seiner spezifischen Aufgabe. Das Kapitel schließt mit der Betonung der göttlichen Autorität, mosaischen Vermittlung und systematischen Organisation des gesamten levitischen Dienstes am Heiligtum.</w:t>
      </w:r>
    </w:p>
    <w:p w14:paraId="7DFA6B11"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5,1</w:t>
      </w:r>
    </w:p>
    <w:p w14:paraId="0AEA5C7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לֵּאמֹֽר׃</w:t>
      </w:r>
    </w:p>
    <w:p w14:paraId="5BEA33A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sagend:</w:t>
      </w:r>
    </w:p>
    <w:p w14:paraId="42CC28CB"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37FEBE8">
          <v:rect id="_x0000_i1213" style="width:0;height:1.5pt" o:hralign="center" o:hrstd="t" o:hr="t" fillcolor="#a0a0a0" stroked="f"/>
        </w:pict>
      </w:r>
    </w:p>
    <w:p w14:paraId="2D45C42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(reden/sprechen) im Qal-Imperfekt 3. maskulin Singular mit Waw consecutivum leitet ein neues Kapitel mit göttlichen Anweisungen ein. 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אֶל־מֹשֶׁה</w:t>
      </w:r>
      <w:r w:rsidRPr="00AC36A5">
        <w:rPr>
          <w:rFonts w:eastAsia="Times New Roman" w:cs="Times New Roman"/>
          <w:rtl/>
          <w:lang w:eastAsia="de-DE"/>
        </w:rPr>
        <w:t xml:space="preserve"> </w:t>
      </w:r>
      <w:r w:rsidRPr="00AC36A5">
        <w:rPr>
          <w:rFonts w:eastAsia="Times New Roman" w:cs="Times New Roman"/>
          <w:lang w:eastAsia="de-DE"/>
        </w:rPr>
        <w:t>(zu Mosche) zeigt die direkte göttliche Kommunikation nur an Mose.</w:t>
      </w:r>
    </w:p>
    <w:p w14:paraId="68829575" w14:textId="6E8B776A"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ist der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und fungiert als Redeeinleitung für die folgenden Reinheitsbestimmungen.</w:t>
      </w:r>
    </w:p>
    <w:p w14:paraId="74AC976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λέγων und behält die Standardformel bei.</w:t>
      </w:r>
    </w:p>
    <w:p w14:paraId="1C39F5F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die charakteristische Offenbarungsformel mit alleiniger Adressierung an Mose.</w:t>
      </w:r>
    </w:p>
    <w:p w14:paraId="769E7FD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Kapitel 5 ein, das sich mit verschiedenen Aspekten der Lagerreinheit und sozialen Ordnung beschäftigt.</w:t>
      </w:r>
    </w:p>
    <w:p w14:paraId="399A426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5,2</w:t>
      </w:r>
    </w:p>
    <w:p w14:paraId="6DF23C5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צַ֚ו אֶת־בְּנֵ֣י יִשְׂרָאֵ֔ל וִֽישַׁלְּחוּ֙ מִן־הַֽמַּחֲנֶ֔ה כָּל־צָר֖וּעַ וְכָל־זָ֑ב וְכֹ֖ל טָמֵ֥א לָנָֽפֶשׁ׃</w:t>
      </w:r>
    </w:p>
    <w:p w14:paraId="0102988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Deutsch:</w:t>
      </w:r>
      <w:r w:rsidRPr="00AC36A5">
        <w:rPr>
          <w:rFonts w:eastAsia="Times New Roman" w:cs="Times New Roman"/>
          <w:lang w:eastAsia="de-DE"/>
        </w:rPr>
        <w:t xml:space="preserve"> Gebiete den Söhnen Jisra'el, dass sie alle Aussätzigen und alle mit Ausfluss Behafteten und alle an einer Leiche Verunreinigten aus dem Lager schicken.</w:t>
      </w:r>
    </w:p>
    <w:p w14:paraId="5BA307E7"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D89DC60">
          <v:rect id="_x0000_i1214" style="width:0;height:1.5pt" o:hralign="center" o:hrstd="t" o:hr="t" fillcolor="#a0a0a0" stroked="f"/>
        </w:pict>
      </w:r>
    </w:p>
    <w:p w14:paraId="187308F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צַו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צוה</w:t>
      </w:r>
      <w:r w:rsidRPr="00AC36A5">
        <w:rPr>
          <w:rFonts w:eastAsia="Times New Roman" w:cs="Times New Roman"/>
          <w:rtl/>
          <w:lang w:eastAsia="de-DE"/>
        </w:rPr>
        <w:t xml:space="preserve"> </w:t>
      </w:r>
      <w:r w:rsidRPr="00AC36A5">
        <w:rPr>
          <w:rFonts w:eastAsia="Times New Roman" w:cs="Times New Roman"/>
          <w:lang w:eastAsia="de-DE"/>
        </w:rPr>
        <w:t xml:space="preserve">(befehlen/gebieten) im Pi'el-Imperativ maskulin Singular mit </w:t>
      </w:r>
      <w:r w:rsidRPr="00AC36A5">
        <w:rPr>
          <w:rFonts w:eastAsia="Times New Roman" w:cs="Times New Roman"/>
          <w:b/>
          <w:bCs/>
          <w:rtl/>
          <w:lang w:eastAsia="de-DE"/>
        </w:rPr>
        <w:t>אֶת־בְּנֵי יִשְׂרָאֵל</w:t>
      </w:r>
      <w:r w:rsidRPr="00AC36A5">
        <w:rPr>
          <w:rFonts w:eastAsia="Times New Roman" w:cs="Times New Roman"/>
          <w:rtl/>
          <w:lang w:eastAsia="de-DE"/>
        </w:rPr>
        <w:t xml:space="preserve"> </w:t>
      </w:r>
      <w:r w:rsidRPr="00AC36A5">
        <w:rPr>
          <w:rFonts w:eastAsia="Times New Roman" w:cs="Times New Roman"/>
          <w:lang w:eastAsia="de-DE"/>
        </w:rPr>
        <w:t>(den Söhnen Israels) zeigt die direkte Anweisung an das gesamte Volk.</w:t>
      </w:r>
    </w:p>
    <w:p w14:paraId="102C3EE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וִישַׁלְּחוּ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שלח</w:t>
      </w:r>
      <w:r w:rsidRPr="00AC36A5">
        <w:rPr>
          <w:rFonts w:eastAsia="Times New Roman" w:cs="Times New Roman"/>
          <w:rtl/>
          <w:lang w:eastAsia="de-DE"/>
        </w:rPr>
        <w:t xml:space="preserve"> </w:t>
      </w:r>
      <w:r w:rsidRPr="00AC36A5">
        <w:rPr>
          <w:rFonts w:eastAsia="Times New Roman" w:cs="Times New Roman"/>
          <w:lang w:eastAsia="de-DE"/>
        </w:rPr>
        <w:t xml:space="preserve">(schicken/senden) im Pi'el-Imperfekt 3. maskulin Plural mit </w:t>
      </w:r>
      <w:r w:rsidRPr="00AC36A5">
        <w:rPr>
          <w:rFonts w:eastAsia="Times New Roman" w:cs="Times New Roman"/>
          <w:b/>
          <w:bCs/>
          <w:rtl/>
          <w:lang w:eastAsia="de-DE"/>
        </w:rPr>
        <w:t>מִן־הַמַּחֲנֶה</w:t>
      </w:r>
      <w:r w:rsidRPr="00AC36A5">
        <w:rPr>
          <w:rFonts w:eastAsia="Times New Roman" w:cs="Times New Roman"/>
          <w:rtl/>
          <w:lang w:eastAsia="de-DE"/>
        </w:rPr>
        <w:t xml:space="preserve"> </w:t>
      </w:r>
      <w:r w:rsidRPr="00AC36A5">
        <w:rPr>
          <w:rFonts w:eastAsia="Times New Roman" w:cs="Times New Roman"/>
          <w:lang w:eastAsia="de-DE"/>
        </w:rPr>
        <w:t>(aus dem Lager) zeigt die Entfernung aus der heiligen Gemeinschaft.</w:t>
      </w:r>
    </w:p>
    <w:p w14:paraId="0C75125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dreifache Aufzählung der Unreinen </w:t>
      </w:r>
      <w:r w:rsidRPr="00AC36A5">
        <w:rPr>
          <w:rFonts w:eastAsia="Times New Roman" w:cs="Times New Roman"/>
          <w:b/>
          <w:bCs/>
          <w:rtl/>
          <w:lang w:eastAsia="de-DE"/>
        </w:rPr>
        <w:t>כָּל־צָרוּעַ וְכָל־זָב וְכֹל טָמֵא לָנֶפֶש</w:t>
      </w:r>
      <w:r w:rsidRPr="00AC36A5">
        <w:rPr>
          <w:rFonts w:eastAsia="Times New Roman" w:cs="Times New Roman"/>
          <w:rtl/>
          <w:lang w:eastAsia="de-DE"/>
        </w:rPr>
        <w:t xml:space="preserve"> </w:t>
      </w:r>
      <w:r w:rsidRPr="00AC36A5">
        <w:rPr>
          <w:rFonts w:eastAsia="Times New Roman" w:cs="Times New Roman"/>
          <w:lang w:eastAsia="de-DE"/>
        </w:rPr>
        <w:t xml:space="preserve">zeigt: </w:t>
      </w:r>
      <w:r w:rsidRPr="00AC36A5">
        <w:rPr>
          <w:rFonts w:eastAsia="Times New Roman" w:cs="Times New Roman"/>
          <w:b/>
          <w:bCs/>
          <w:rtl/>
          <w:lang w:eastAsia="de-DE"/>
        </w:rPr>
        <w:t>צָרוּעַ</w:t>
      </w:r>
      <w:r w:rsidRPr="00AC36A5">
        <w:rPr>
          <w:rFonts w:eastAsia="Times New Roman" w:cs="Times New Roman"/>
          <w:rtl/>
          <w:lang w:eastAsia="de-DE"/>
        </w:rPr>
        <w:t xml:space="preserve"> </w:t>
      </w:r>
      <w:r w:rsidRPr="00AC36A5">
        <w:rPr>
          <w:rFonts w:eastAsia="Times New Roman" w:cs="Times New Roman"/>
          <w:lang w:eastAsia="de-DE"/>
        </w:rPr>
        <w:t xml:space="preserve">(Aussätziger) von </w:t>
      </w:r>
      <w:r w:rsidRPr="00AC36A5">
        <w:rPr>
          <w:rFonts w:eastAsia="Times New Roman" w:cs="Times New Roman"/>
          <w:b/>
          <w:bCs/>
          <w:rtl/>
          <w:lang w:eastAsia="de-DE"/>
        </w:rPr>
        <w:t>צרע</w:t>
      </w:r>
      <w:r w:rsidRPr="00AC36A5">
        <w:rPr>
          <w:rFonts w:eastAsia="Times New Roman" w:cs="Times New Roman"/>
          <w:rtl/>
          <w:lang w:eastAsia="de-DE"/>
        </w:rPr>
        <w:t xml:space="preserve"> </w:t>
      </w:r>
      <w:r w:rsidRPr="00AC36A5">
        <w:rPr>
          <w:rFonts w:eastAsia="Times New Roman" w:cs="Times New Roman"/>
          <w:lang w:eastAsia="de-DE"/>
        </w:rPr>
        <w:t xml:space="preserve">(aussätzig sein), </w:t>
      </w:r>
      <w:r w:rsidRPr="00AC36A5">
        <w:rPr>
          <w:rFonts w:eastAsia="Times New Roman" w:cs="Times New Roman"/>
          <w:b/>
          <w:bCs/>
          <w:rtl/>
          <w:lang w:eastAsia="de-DE"/>
        </w:rPr>
        <w:t>זָב</w:t>
      </w:r>
      <w:r w:rsidRPr="00AC36A5">
        <w:rPr>
          <w:rFonts w:eastAsia="Times New Roman" w:cs="Times New Roman"/>
          <w:rtl/>
          <w:lang w:eastAsia="de-DE"/>
        </w:rPr>
        <w:t xml:space="preserve"> </w:t>
      </w:r>
      <w:r w:rsidRPr="00AC36A5">
        <w:rPr>
          <w:rFonts w:eastAsia="Times New Roman" w:cs="Times New Roman"/>
          <w:lang w:eastAsia="de-DE"/>
        </w:rPr>
        <w:t xml:space="preserve">(Fließender/mit Ausfluss Behafteter) von </w:t>
      </w:r>
      <w:r w:rsidRPr="00AC36A5">
        <w:rPr>
          <w:rFonts w:eastAsia="Times New Roman" w:cs="Times New Roman"/>
          <w:b/>
          <w:bCs/>
          <w:rtl/>
          <w:lang w:eastAsia="de-DE"/>
        </w:rPr>
        <w:t>זוב</w:t>
      </w:r>
      <w:r w:rsidRPr="00AC36A5">
        <w:rPr>
          <w:rFonts w:eastAsia="Times New Roman" w:cs="Times New Roman"/>
          <w:rtl/>
          <w:lang w:eastAsia="de-DE"/>
        </w:rPr>
        <w:t xml:space="preserve"> </w:t>
      </w:r>
      <w:r w:rsidRPr="00AC36A5">
        <w:rPr>
          <w:rFonts w:eastAsia="Times New Roman" w:cs="Times New Roman"/>
          <w:lang w:eastAsia="de-DE"/>
        </w:rPr>
        <w:t xml:space="preserve">(fließen), und </w:t>
      </w:r>
      <w:r w:rsidRPr="00AC36A5">
        <w:rPr>
          <w:rFonts w:eastAsia="Times New Roman" w:cs="Times New Roman"/>
          <w:b/>
          <w:bCs/>
          <w:rtl/>
          <w:lang w:eastAsia="de-DE"/>
        </w:rPr>
        <w:t>טָמֵא לָנֶפֶש</w:t>
      </w:r>
      <w:r w:rsidRPr="00AC36A5">
        <w:rPr>
          <w:rFonts w:eastAsia="Times New Roman" w:cs="Times New Roman"/>
          <w:rtl/>
          <w:lang w:eastAsia="de-DE"/>
        </w:rPr>
        <w:t xml:space="preserve"> </w:t>
      </w:r>
      <w:r w:rsidRPr="00AC36A5">
        <w:rPr>
          <w:rFonts w:eastAsia="Times New Roman" w:cs="Times New Roman"/>
          <w:lang w:eastAsia="de-DE"/>
        </w:rPr>
        <w:t xml:space="preserve">(unrein für eine Seele/an einer Leiche unrein) mit </w:t>
      </w:r>
      <w:r w:rsidRPr="00AC36A5">
        <w:rPr>
          <w:rFonts w:eastAsia="Times New Roman" w:cs="Times New Roman"/>
          <w:b/>
          <w:bCs/>
          <w:rtl/>
          <w:lang w:eastAsia="de-DE"/>
        </w:rPr>
        <w:t>טָמֵא</w:t>
      </w:r>
      <w:r w:rsidRPr="00AC36A5">
        <w:rPr>
          <w:rFonts w:eastAsia="Times New Roman" w:cs="Times New Roman"/>
          <w:rtl/>
          <w:lang w:eastAsia="de-DE"/>
        </w:rPr>
        <w:t xml:space="preserve"> </w:t>
      </w:r>
      <w:r w:rsidRPr="00AC36A5">
        <w:rPr>
          <w:rFonts w:eastAsia="Times New Roman" w:cs="Times New Roman"/>
          <w:lang w:eastAsia="de-DE"/>
        </w:rPr>
        <w:t xml:space="preserve">(unrein) und </w:t>
      </w:r>
      <w:r w:rsidRPr="00AC36A5">
        <w:rPr>
          <w:rFonts w:eastAsia="Times New Roman" w:cs="Times New Roman"/>
          <w:b/>
          <w:bCs/>
          <w:rtl/>
          <w:lang w:eastAsia="de-DE"/>
        </w:rPr>
        <w:t>נֶפֶש</w:t>
      </w:r>
      <w:r w:rsidRPr="00AC36A5">
        <w:rPr>
          <w:rFonts w:eastAsia="Times New Roman" w:cs="Times New Roman"/>
          <w:rtl/>
          <w:lang w:eastAsia="de-DE"/>
        </w:rPr>
        <w:t xml:space="preserve"> </w:t>
      </w:r>
      <w:r w:rsidRPr="00AC36A5">
        <w:rPr>
          <w:rFonts w:eastAsia="Times New Roman" w:cs="Times New Roman"/>
          <w:lang w:eastAsia="de-DE"/>
        </w:rPr>
        <w:t>(Seele/Person/Leiche).</w:t>
      </w:r>
    </w:p>
    <w:p w14:paraId="024D237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 drei Kategorien entsprechen den hauptsächlichen Unreinheitsformen: Hautkrankheiten, Körperausflüsse und Leichenunreinheit.</w:t>
      </w:r>
    </w:p>
    <w:p w14:paraId="1439BB01" w14:textId="77777777" w:rsidR="006B48FB" w:rsidRDefault="006B48FB" w:rsidP="00AC36A5">
      <w:pPr>
        <w:spacing w:before="100" w:beforeAutospacing="1" w:after="100" w:afterAutospacing="1" w:line="240" w:lineRule="auto"/>
      </w:pPr>
      <w:r>
        <w:rPr>
          <w:rStyle w:val="Fett"/>
        </w:rPr>
        <w:t>Die LXX</w:t>
      </w:r>
      <w:r>
        <w:t xml:space="preserve"> übersetzt </w:t>
      </w:r>
      <w:r w:rsidRPr="006B48FB">
        <w:rPr>
          <w:b/>
          <w:bCs/>
          <w:rtl/>
        </w:rPr>
        <w:t>צרוע</w:t>
      </w:r>
      <w:r>
        <w:t xml:space="preserve"> (tzaru'a - "Aussätziger") als λεπρός (Leprakranker), </w:t>
      </w:r>
      <w:r w:rsidRPr="006B48FB">
        <w:rPr>
          <w:b/>
          <w:bCs/>
          <w:rtl/>
        </w:rPr>
        <w:t>זב</w:t>
      </w:r>
      <w:r>
        <w:t xml:space="preserve"> (zav - "Flussleidender") als γονορρυής (Samenfluss-Leidender), und </w:t>
      </w:r>
      <w:r w:rsidRPr="006B48FB">
        <w:rPr>
          <w:b/>
          <w:bCs/>
          <w:rtl/>
        </w:rPr>
        <w:t>טמא</w:t>
      </w:r>
      <w:r>
        <w:rPr>
          <w:rtl/>
        </w:rPr>
        <w:t xml:space="preserve"> </w:t>
      </w:r>
      <w:r w:rsidRPr="006B48FB">
        <w:rPr>
          <w:b/>
          <w:bCs/>
          <w:rtl/>
        </w:rPr>
        <w:t>לנפש</w:t>
      </w:r>
      <w:r>
        <w:t xml:space="preserve"> (tame lanefesh - "unrein durch eine Seele/Leiche") als ἀκάθαρτος ἐπὶ ψυχῇ (unrein wegen einer Seele).</w:t>
      </w:r>
    </w:p>
    <w:p w14:paraId="0700634E" w14:textId="6A27CEE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imperativische Anweisung mit koordiniertem Verb und systematischer dreifacher Aufzählung der zu entfernenden Unreinheitskategorien.</w:t>
      </w:r>
    </w:p>
    <w:p w14:paraId="34EE4DB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grundlegenden Reinheitsbestimmungen für das Lager und zeigt die drei Hauptformen ritueller Unreinheit, die mit der göttlichen Präsenz unvereinbar sind.</w:t>
      </w:r>
    </w:p>
    <w:p w14:paraId="3527A5DE"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5,3</w:t>
      </w:r>
    </w:p>
    <w:p w14:paraId="4D13075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מִזָּכָ֤ר עַד־נְקֵבָה֙ תְּשַׁלֵּ֔חוּ אֶל־מִח֥וּץ לַֽמַּחֲנֶ֖ה תְּשַׁלְּח֑וּם וְלֹ֤א יְטַמְּאוּ֙ אֶת־מַ֣חֲנֵיהֶ֔ם אֲשֶׁ֥ר אֲנִ֖י שֹׁכֵ֥ן בְּתוֹכָֽם׃</w:t>
      </w:r>
    </w:p>
    <w:p w14:paraId="6E0CAE2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Sowohl Mann als auch Frau sollt ihr hinausschicken, vor das Lager sollt ihr sie schicken, damit sie nicht ihre Lager verunreinigen, in deren Mitte ich wohne.</w:t>
      </w:r>
    </w:p>
    <w:p w14:paraId="7782E8EF"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CD83873">
          <v:rect id="_x0000_i1215" style="width:0;height:1.5pt" o:hralign="center" o:hrstd="t" o:hr="t" fillcolor="#a0a0a0" stroked="f"/>
        </w:pict>
      </w:r>
    </w:p>
    <w:p w14:paraId="742F0AF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umfassende Geschlechtsangabe </w:t>
      </w:r>
      <w:r w:rsidRPr="00AC36A5">
        <w:rPr>
          <w:rFonts w:eastAsia="Times New Roman" w:cs="Times New Roman"/>
          <w:b/>
          <w:bCs/>
          <w:rtl/>
          <w:lang w:eastAsia="de-DE"/>
        </w:rPr>
        <w:t>מִזָּכָר עַד־נְקֵבָה</w:t>
      </w:r>
      <w:r w:rsidRPr="00AC36A5">
        <w:rPr>
          <w:rFonts w:eastAsia="Times New Roman" w:cs="Times New Roman"/>
          <w:rtl/>
          <w:lang w:eastAsia="de-DE"/>
        </w:rPr>
        <w:t xml:space="preserve"> </w:t>
      </w:r>
      <w:r w:rsidRPr="00AC36A5">
        <w:rPr>
          <w:rFonts w:eastAsia="Times New Roman" w:cs="Times New Roman"/>
          <w:lang w:eastAsia="de-DE"/>
        </w:rPr>
        <w:t xml:space="preserve">(von männlich bis weiblich) mit </w:t>
      </w:r>
      <w:r w:rsidRPr="00AC36A5">
        <w:rPr>
          <w:rFonts w:eastAsia="Times New Roman" w:cs="Times New Roman"/>
          <w:b/>
          <w:bCs/>
          <w:rtl/>
          <w:lang w:eastAsia="de-DE"/>
        </w:rPr>
        <w:t>מִן</w:t>
      </w:r>
      <w:r w:rsidRPr="00AC36A5">
        <w:rPr>
          <w:rFonts w:eastAsia="Times New Roman" w:cs="Times New Roman"/>
          <w:rtl/>
          <w:lang w:eastAsia="de-DE"/>
        </w:rPr>
        <w:t xml:space="preserve"> </w:t>
      </w:r>
      <w:r w:rsidRPr="00AC36A5">
        <w:rPr>
          <w:rFonts w:eastAsia="Times New Roman" w:cs="Times New Roman"/>
          <w:lang w:eastAsia="de-DE"/>
        </w:rPr>
        <w:t xml:space="preserve">(von) und </w:t>
      </w:r>
      <w:r w:rsidRPr="00AC36A5">
        <w:rPr>
          <w:rFonts w:eastAsia="Times New Roman" w:cs="Times New Roman"/>
          <w:b/>
          <w:bCs/>
          <w:rtl/>
          <w:lang w:eastAsia="de-DE"/>
        </w:rPr>
        <w:t>עַד</w:t>
      </w:r>
      <w:r w:rsidRPr="00AC36A5">
        <w:rPr>
          <w:rFonts w:eastAsia="Times New Roman" w:cs="Times New Roman"/>
          <w:rtl/>
          <w:lang w:eastAsia="de-DE"/>
        </w:rPr>
        <w:t xml:space="preserve"> </w:t>
      </w:r>
      <w:r w:rsidRPr="00AC36A5">
        <w:rPr>
          <w:rFonts w:eastAsia="Times New Roman" w:cs="Times New Roman"/>
          <w:lang w:eastAsia="de-DE"/>
        </w:rPr>
        <w:t>(bis) betont die geschlechtslose Anwendung der Reinheitsgesetze.</w:t>
      </w:r>
    </w:p>
    <w:p w14:paraId="4BC38B9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תְּשַׁלֵּחוּ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שלח</w:t>
      </w:r>
      <w:r w:rsidRPr="00AC36A5">
        <w:rPr>
          <w:rFonts w:eastAsia="Times New Roman" w:cs="Times New Roman"/>
          <w:rtl/>
          <w:lang w:eastAsia="de-DE"/>
        </w:rPr>
        <w:t xml:space="preserve"> </w:t>
      </w:r>
      <w:r w:rsidRPr="00AC36A5">
        <w:rPr>
          <w:rFonts w:eastAsia="Times New Roman" w:cs="Times New Roman"/>
          <w:lang w:eastAsia="de-DE"/>
        </w:rPr>
        <w:t xml:space="preserve">(schicken) im Pi'el-Imperfekt 2. maskulin Plural wiederholt die Sendungsanweisung. Die präpositionale Phrase </w:t>
      </w:r>
      <w:r w:rsidRPr="00AC36A5">
        <w:rPr>
          <w:rFonts w:eastAsia="Times New Roman" w:cs="Times New Roman"/>
          <w:b/>
          <w:bCs/>
          <w:rtl/>
          <w:lang w:eastAsia="de-DE"/>
        </w:rPr>
        <w:t>אֶל־מִחוּץ לַמַּחֲנֶה</w:t>
      </w:r>
      <w:r w:rsidRPr="00AC36A5">
        <w:rPr>
          <w:rFonts w:eastAsia="Times New Roman" w:cs="Times New Roman"/>
          <w:rtl/>
          <w:lang w:eastAsia="de-DE"/>
        </w:rPr>
        <w:t xml:space="preserve"> </w:t>
      </w:r>
      <w:r w:rsidRPr="00AC36A5">
        <w:rPr>
          <w:rFonts w:eastAsia="Times New Roman" w:cs="Times New Roman"/>
          <w:lang w:eastAsia="de-DE"/>
        </w:rPr>
        <w:t xml:space="preserve">(hinaus vor das Lager) mit </w:t>
      </w:r>
      <w:r w:rsidRPr="00AC36A5">
        <w:rPr>
          <w:rFonts w:eastAsia="Times New Roman" w:cs="Times New Roman"/>
          <w:b/>
          <w:bCs/>
          <w:rtl/>
          <w:lang w:eastAsia="de-DE"/>
        </w:rPr>
        <w:t>מִחוּץ</w:t>
      </w:r>
      <w:r w:rsidRPr="00AC36A5">
        <w:rPr>
          <w:rFonts w:eastAsia="Times New Roman" w:cs="Times New Roman"/>
          <w:rtl/>
          <w:lang w:eastAsia="de-DE"/>
        </w:rPr>
        <w:t xml:space="preserve"> </w:t>
      </w:r>
      <w:r w:rsidRPr="00AC36A5">
        <w:rPr>
          <w:rFonts w:eastAsia="Times New Roman" w:cs="Times New Roman"/>
          <w:lang w:eastAsia="de-DE"/>
        </w:rPr>
        <w:t>(außerhalb) spezifiziert den Ort der Quarantäne.</w:t>
      </w:r>
    </w:p>
    <w:p w14:paraId="27CF7AD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wiederholte Verb </w:t>
      </w:r>
      <w:r w:rsidRPr="00AC36A5">
        <w:rPr>
          <w:rFonts w:eastAsia="Times New Roman" w:cs="Times New Roman"/>
          <w:b/>
          <w:bCs/>
          <w:rtl/>
          <w:lang w:eastAsia="de-DE"/>
        </w:rPr>
        <w:t>תְּשַׁלְּחוּם</w:t>
      </w:r>
      <w:r w:rsidRPr="00AC36A5">
        <w:rPr>
          <w:rFonts w:eastAsia="Times New Roman" w:cs="Times New Roman"/>
          <w:rtl/>
          <w:lang w:eastAsia="de-DE"/>
        </w:rPr>
        <w:t xml:space="preserve"> </w:t>
      </w:r>
      <w:r w:rsidRPr="00AC36A5">
        <w:rPr>
          <w:rFonts w:eastAsia="Times New Roman" w:cs="Times New Roman"/>
          <w:lang w:eastAsia="de-DE"/>
        </w:rPr>
        <w:t>mit Objektsuffix 3. maskulin Plural verstärkt die Anweisung zur Entfernung.</w:t>
      </w:r>
    </w:p>
    <w:p w14:paraId="5DA9946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finale Begründung </w:t>
      </w:r>
      <w:r w:rsidRPr="00AC36A5">
        <w:rPr>
          <w:rFonts w:eastAsia="Times New Roman" w:cs="Times New Roman"/>
          <w:b/>
          <w:bCs/>
          <w:rtl/>
          <w:lang w:eastAsia="de-DE"/>
        </w:rPr>
        <w:t>וְלֹא יְטַמְּאוּ אֶת־מַחֲנֵיהֶם</w:t>
      </w:r>
      <w:r w:rsidRPr="00AC36A5">
        <w:rPr>
          <w:rFonts w:eastAsia="Times New Roman" w:cs="Times New Roman"/>
          <w:rtl/>
          <w:lang w:eastAsia="de-DE"/>
        </w:rPr>
        <w:t xml:space="preserve"> </w:t>
      </w:r>
      <w:r w:rsidRPr="00AC36A5">
        <w:rPr>
          <w:rFonts w:eastAsia="Times New Roman" w:cs="Times New Roman"/>
          <w:lang w:eastAsia="de-DE"/>
        </w:rPr>
        <w:t xml:space="preserve">mit der Negation </w:t>
      </w:r>
      <w:r w:rsidRPr="00AC36A5">
        <w:rPr>
          <w:rFonts w:eastAsia="Times New Roman" w:cs="Times New Roman"/>
          <w:b/>
          <w:bCs/>
          <w:rtl/>
          <w:lang w:eastAsia="de-DE"/>
        </w:rPr>
        <w:t>לֹא</w:t>
      </w:r>
      <w:r w:rsidRPr="00AC36A5">
        <w:rPr>
          <w:rFonts w:eastAsia="Times New Roman" w:cs="Times New Roman"/>
          <w:lang w:eastAsia="de-DE"/>
        </w:rPr>
        <w:t xml:space="preserve">, </w:t>
      </w:r>
      <w:r w:rsidRPr="00AC36A5">
        <w:rPr>
          <w:rFonts w:eastAsia="Times New Roman" w:cs="Times New Roman"/>
          <w:b/>
          <w:bCs/>
          <w:rtl/>
          <w:lang w:eastAsia="de-DE"/>
        </w:rPr>
        <w:t>יְטַמְּאוּ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טמא</w:t>
      </w:r>
      <w:r w:rsidRPr="00AC36A5">
        <w:rPr>
          <w:rFonts w:eastAsia="Times New Roman" w:cs="Times New Roman"/>
          <w:rtl/>
          <w:lang w:eastAsia="de-DE"/>
        </w:rPr>
        <w:t xml:space="preserve"> </w:t>
      </w:r>
      <w:r w:rsidRPr="00AC36A5">
        <w:rPr>
          <w:rFonts w:eastAsia="Times New Roman" w:cs="Times New Roman"/>
          <w:lang w:eastAsia="de-DE"/>
        </w:rPr>
        <w:t xml:space="preserve">(unrein machen) im Pi'el-Imperfekt 3. maskulin Plural und </w:t>
      </w:r>
      <w:r w:rsidRPr="00AC36A5">
        <w:rPr>
          <w:rFonts w:eastAsia="Times New Roman" w:cs="Times New Roman"/>
          <w:b/>
          <w:bCs/>
          <w:rtl/>
          <w:lang w:eastAsia="de-DE"/>
        </w:rPr>
        <w:t>מַחֲנֵיהֶם</w:t>
      </w:r>
      <w:r w:rsidRPr="00AC36A5">
        <w:rPr>
          <w:rFonts w:eastAsia="Times New Roman" w:cs="Times New Roman"/>
          <w:rtl/>
          <w:lang w:eastAsia="de-DE"/>
        </w:rPr>
        <w:t xml:space="preserve"> </w:t>
      </w:r>
      <w:r w:rsidRPr="00AC36A5">
        <w:rPr>
          <w:rFonts w:eastAsia="Times New Roman" w:cs="Times New Roman"/>
          <w:lang w:eastAsia="de-DE"/>
        </w:rPr>
        <w:t>(ihre Lager) mit Possessivsuffix zeigt den Zweck der Maßnahme.</w:t>
      </w:r>
    </w:p>
    <w:p w14:paraId="4DAE1F2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אֲנִי שֹׁכֵן בְּתוֹכָם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אֲנִי</w:t>
      </w:r>
      <w:r w:rsidRPr="00AC36A5">
        <w:rPr>
          <w:rFonts w:eastAsia="Times New Roman" w:cs="Times New Roman"/>
          <w:rtl/>
          <w:lang w:eastAsia="de-DE"/>
        </w:rPr>
        <w:t xml:space="preserve"> </w:t>
      </w:r>
      <w:r w:rsidRPr="00AC36A5">
        <w:rPr>
          <w:rFonts w:eastAsia="Times New Roman" w:cs="Times New Roman"/>
          <w:lang w:eastAsia="de-DE"/>
        </w:rPr>
        <w:t xml:space="preserve">(ich) als emphatischem Subjekt, </w:t>
      </w:r>
      <w:r w:rsidRPr="00AC36A5">
        <w:rPr>
          <w:rFonts w:eastAsia="Times New Roman" w:cs="Times New Roman"/>
          <w:b/>
          <w:bCs/>
          <w:rtl/>
          <w:lang w:eastAsia="de-DE"/>
        </w:rPr>
        <w:t>שֹׁכֵן</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שכן</w:t>
      </w:r>
      <w:r w:rsidRPr="00AC36A5">
        <w:rPr>
          <w:rFonts w:eastAsia="Times New Roman" w:cs="Times New Roman"/>
          <w:rtl/>
          <w:lang w:eastAsia="de-DE"/>
        </w:rPr>
        <w:t xml:space="preserve"> </w:t>
      </w:r>
      <w:r w:rsidRPr="00AC36A5">
        <w:rPr>
          <w:rFonts w:eastAsia="Times New Roman" w:cs="Times New Roman"/>
          <w:lang w:eastAsia="de-DE"/>
        </w:rPr>
        <w:t xml:space="preserve">(wohnen) als Partizip und </w:t>
      </w:r>
      <w:r w:rsidRPr="00AC36A5">
        <w:rPr>
          <w:rFonts w:eastAsia="Times New Roman" w:cs="Times New Roman"/>
          <w:b/>
          <w:bCs/>
          <w:rtl/>
          <w:lang w:eastAsia="de-DE"/>
        </w:rPr>
        <w:t>בְּתוֹכָם</w:t>
      </w:r>
      <w:r w:rsidRPr="00AC36A5">
        <w:rPr>
          <w:rFonts w:eastAsia="Times New Roman" w:cs="Times New Roman"/>
          <w:rtl/>
          <w:lang w:eastAsia="de-DE"/>
        </w:rPr>
        <w:t xml:space="preserve"> </w:t>
      </w:r>
      <w:r w:rsidRPr="00AC36A5">
        <w:rPr>
          <w:rFonts w:eastAsia="Times New Roman" w:cs="Times New Roman"/>
          <w:lang w:eastAsia="de-DE"/>
        </w:rPr>
        <w:t>(in ihrer Mitte) etabliert die theologische Grundlage: Gottes Präsenz erfordert Reinheit.</w:t>
      </w:r>
    </w:p>
    <w:p w14:paraId="2BED49A6" w14:textId="4A8370DE" w:rsidR="00AC36A5" w:rsidRPr="00AC36A5" w:rsidRDefault="006B48FB" w:rsidP="00AC36A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6B48FB">
        <w:rPr>
          <w:b/>
          <w:bCs/>
          <w:rtl/>
        </w:rPr>
        <w:t>אשר אני שכן בתוכם</w:t>
      </w:r>
      <w:r>
        <w:t xml:space="preserve"> (asher ani shochen betocham - "in deren Mitte ich wohne") als ἐν οἷς ἐγὼ καταγίνομαι ἐν αὐτοῖς (in denen ich mich aufhalte unter ihnen), was eine weniger statische Vorstellung der göttlichen Präsenz ausdrückt.</w:t>
      </w:r>
    </w:p>
    <w:p w14:paraId="492F272B"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umfassende Geschlechtsangabe, wiederholte imperativische Anweisungen, finale Zweckangabe und theologische Begründung durch göttliche Präsenz.</w:t>
      </w:r>
    </w:p>
    <w:p w14:paraId="30FE698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betont die universelle Geltung der Reinheitsgesetze unabhängig vom Geschlecht und etabliert die theologische Grundlage: Gottes Wohnen inmitten des Volkes erfordert kultische Reinheit.</w:t>
      </w:r>
    </w:p>
    <w:p w14:paraId="3CBA08DA"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5,4</w:t>
      </w:r>
    </w:p>
    <w:p w14:paraId="47F26B3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וַיַּֽעֲשׂוּ־כֵן֙ בְּנֵ֣י יִשְׂרָאֵ֔ל וַיְשַׁלְּח֣וּ אוֹתָ֔ם אֶל־מִח֖וּץ לַֽמַּחֲנֶ֑ה כַּאֲשֶׁ֨ר דִּבֶּ֤ר יְהוָה֙ אֶל־מֹשֶׁ֔ה כֵּ֥ן עָשׂ֖וּ בְּנֵ֥י יִשְׂרָאֵֽל׃</w:t>
      </w:r>
    </w:p>
    <w:p w14:paraId="3A08C70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die Söhne Jisra'el taten so und schickten sie vor das Lager hinaus; wie der Ewige zu Mosche geredet hatte, so taten die Söhne Jisra'el.</w:t>
      </w:r>
    </w:p>
    <w:p w14:paraId="7DC8E090"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0F0761C">
          <v:rect id="_x0000_i1216" style="width:0;height:1.5pt" o:hralign="center" o:hrstd="t" o:hr="t" fillcolor="#a0a0a0" stroked="f"/>
        </w:pict>
      </w:r>
    </w:p>
    <w:p w14:paraId="1E5BDFE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וַיַּעֲשׂוּ־כֵן</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עשה</w:t>
      </w:r>
      <w:r w:rsidRPr="00AC36A5">
        <w:rPr>
          <w:rFonts w:eastAsia="Times New Roman" w:cs="Times New Roman"/>
          <w:rtl/>
          <w:lang w:eastAsia="de-DE"/>
        </w:rPr>
        <w:t xml:space="preserve"> </w:t>
      </w:r>
      <w:r w:rsidRPr="00AC36A5">
        <w:rPr>
          <w:rFonts w:eastAsia="Times New Roman" w:cs="Times New Roman"/>
          <w:lang w:eastAsia="de-DE"/>
        </w:rPr>
        <w:t xml:space="preserve">(tun) im Qal-Imperfekt 3. maskulin Plural mit Waw consecutivum und </w:t>
      </w:r>
      <w:r w:rsidRPr="00AC36A5">
        <w:rPr>
          <w:rFonts w:eastAsia="Times New Roman" w:cs="Times New Roman"/>
          <w:b/>
          <w:bCs/>
          <w:rtl/>
          <w:lang w:eastAsia="de-DE"/>
        </w:rPr>
        <w:t>כֵן</w:t>
      </w:r>
      <w:r w:rsidRPr="00AC36A5">
        <w:rPr>
          <w:rFonts w:eastAsia="Times New Roman" w:cs="Times New Roman"/>
          <w:rtl/>
          <w:lang w:eastAsia="de-DE"/>
        </w:rPr>
        <w:t xml:space="preserve"> </w:t>
      </w:r>
      <w:r w:rsidRPr="00AC36A5">
        <w:rPr>
          <w:rFonts w:eastAsia="Times New Roman" w:cs="Times New Roman"/>
          <w:lang w:eastAsia="de-DE"/>
        </w:rPr>
        <w:t xml:space="preserve">(so) zeigt den gehorsamen Vollzug. Das Subjekt </w:t>
      </w:r>
      <w:r w:rsidRPr="00AC36A5">
        <w:rPr>
          <w:rFonts w:eastAsia="Times New Roman" w:cs="Times New Roman"/>
          <w:b/>
          <w:bCs/>
          <w:rtl/>
          <w:lang w:eastAsia="de-DE"/>
        </w:rPr>
        <w:t>בְּנֵי יִשְׂרָאֵל</w:t>
      </w:r>
      <w:r w:rsidRPr="00AC36A5">
        <w:rPr>
          <w:rFonts w:eastAsia="Times New Roman" w:cs="Times New Roman"/>
          <w:rtl/>
          <w:lang w:eastAsia="de-DE"/>
        </w:rPr>
        <w:t xml:space="preserve"> </w:t>
      </w:r>
      <w:r w:rsidRPr="00AC36A5">
        <w:rPr>
          <w:rFonts w:eastAsia="Times New Roman" w:cs="Times New Roman"/>
          <w:lang w:eastAsia="de-DE"/>
        </w:rPr>
        <w:t>betont die kollektive Ausführung.</w:t>
      </w:r>
    </w:p>
    <w:p w14:paraId="45A9C13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וַיְשַׁלְּחוּ אוֹתָם</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שלח</w:t>
      </w:r>
      <w:r w:rsidRPr="00AC36A5">
        <w:rPr>
          <w:rFonts w:eastAsia="Times New Roman" w:cs="Times New Roman"/>
          <w:rtl/>
          <w:lang w:eastAsia="de-DE"/>
        </w:rPr>
        <w:t xml:space="preserve"> </w:t>
      </w:r>
      <w:r w:rsidRPr="00AC36A5">
        <w:rPr>
          <w:rFonts w:eastAsia="Times New Roman" w:cs="Times New Roman"/>
          <w:lang w:eastAsia="de-DE"/>
        </w:rPr>
        <w:t xml:space="preserve">(schicken) mit </w:t>
      </w:r>
      <w:r w:rsidRPr="00AC36A5">
        <w:rPr>
          <w:rFonts w:eastAsia="Times New Roman" w:cs="Times New Roman"/>
          <w:b/>
          <w:bCs/>
          <w:rtl/>
          <w:lang w:eastAsia="de-DE"/>
        </w:rPr>
        <w:t>אוֹתָם</w:t>
      </w:r>
      <w:r w:rsidRPr="00AC36A5">
        <w:rPr>
          <w:rFonts w:eastAsia="Times New Roman" w:cs="Times New Roman"/>
          <w:rtl/>
          <w:lang w:eastAsia="de-DE"/>
        </w:rPr>
        <w:t xml:space="preserve"> </w:t>
      </w:r>
      <w:r w:rsidRPr="00AC36A5">
        <w:rPr>
          <w:rFonts w:eastAsia="Times New Roman" w:cs="Times New Roman"/>
          <w:lang w:eastAsia="de-DE"/>
        </w:rPr>
        <w:t xml:space="preserve">(sie) und </w:t>
      </w:r>
      <w:r w:rsidRPr="00AC36A5">
        <w:rPr>
          <w:rFonts w:eastAsia="Times New Roman" w:cs="Times New Roman"/>
          <w:b/>
          <w:bCs/>
          <w:rtl/>
          <w:lang w:eastAsia="de-DE"/>
        </w:rPr>
        <w:t>אֶל־מִחוּץ לַמַּחֲנֶה</w:t>
      </w:r>
      <w:r w:rsidRPr="00AC36A5">
        <w:rPr>
          <w:rFonts w:eastAsia="Times New Roman" w:cs="Times New Roman"/>
          <w:rtl/>
          <w:lang w:eastAsia="de-DE"/>
        </w:rPr>
        <w:t xml:space="preserve"> </w:t>
      </w:r>
      <w:r w:rsidRPr="00AC36A5">
        <w:rPr>
          <w:rFonts w:eastAsia="Times New Roman" w:cs="Times New Roman"/>
          <w:lang w:eastAsia="de-DE"/>
        </w:rPr>
        <w:t>(hinaus vor das Lager) bestätigt die praktische Umsetzung der Anweisung.</w:t>
      </w:r>
    </w:p>
    <w:p w14:paraId="1C653C9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Vergleichssatz </w:t>
      </w:r>
      <w:r w:rsidRPr="00AC36A5">
        <w:rPr>
          <w:rFonts w:eastAsia="Times New Roman" w:cs="Times New Roman"/>
          <w:b/>
          <w:bCs/>
          <w:rtl/>
          <w:lang w:eastAsia="de-DE"/>
        </w:rPr>
        <w:t>כַּאֲשֶׁר דִּבֶּר יְהוָה אֶל־מֹשֶׁה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כַּאֲשֶׁר</w:t>
      </w:r>
      <w:r w:rsidRPr="00AC36A5">
        <w:rPr>
          <w:rFonts w:eastAsia="Times New Roman" w:cs="Times New Roman"/>
          <w:rtl/>
          <w:lang w:eastAsia="de-DE"/>
        </w:rPr>
        <w:t xml:space="preserve"> </w:t>
      </w:r>
      <w:r w:rsidRPr="00AC36A5">
        <w:rPr>
          <w:rFonts w:eastAsia="Times New Roman" w:cs="Times New Roman"/>
          <w:lang w:eastAsia="de-DE"/>
        </w:rPr>
        <w:t xml:space="preserve">(wie/so wie),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(reden) im Pi'el-Perfekt 3. maskulin Singular etabliert die Übereinstimmung zwischen göttlichem Befehl und menschlicher Ausführung.</w:t>
      </w:r>
    </w:p>
    <w:p w14:paraId="72D1FA6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abschließende verstärkende Satz </w:t>
      </w:r>
      <w:r w:rsidRPr="00AC36A5">
        <w:rPr>
          <w:rFonts w:eastAsia="Times New Roman" w:cs="Times New Roman"/>
          <w:b/>
          <w:bCs/>
          <w:rtl/>
          <w:lang w:eastAsia="de-DE"/>
        </w:rPr>
        <w:t>כֵּן עָשׂוּ בְּנֵי יִשְׂרָאֵל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כֵן</w:t>
      </w:r>
      <w:r w:rsidRPr="00AC36A5">
        <w:rPr>
          <w:rFonts w:eastAsia="Times New Roman" w:cs="Times New Roman"/>
          <w:rtl/>
          <w:lang w:eastAsia="de-DE"/>
        </w:rPr>
        <w:t xml:space="preserve"> </w:t>
      </w:r>
      <w:r w:rsidRPr="00AC36A5">
        <w:rPr>
          <w:rFonts w:eastAsia="Times New Roman" w:cs="Times New Roman"/>
          <w:lang w:eastAsia="de-DE"/>
        </w:rPr>
        <w:t xml:space="preserve">(so) und </w:t>
      </w:r>
      <w:r w:rsidRPr="00AC36A5">
        <w:rPr>
          <w:rFonts w:eastAsia="Times New Roman" w:cs="Times New Roman"/>
          <w:b/>
          <w:bCs/>
          <w:rtl/>
          <w:lang w:eastAsia="de-DE"/>
        </w:rPr>
        <w:t>עָשׂוּ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עשה</w:t>
      </w:r>
      <w:r w:rsidRPr="00AC36A5">
        <w:rPr>
          <w:rFonts w:eastAsia="Times New Roman" w:cs="Times New Roman"/>
          <w:rtl/>
          <w:lang w:eastAsia="de-DE"/>
        </w:rPr>
        <w:t xml:space="preserve"> </w:t>
      </w:r>
      <w:r w:rsidRPr="00AC36A5">
        <w:rPr>
          <w:rFonts w:eastAsia="Times New Roman" w:cs="Times New Roman"/>
          <w:lang w:eastAsia="de-DE"/>
        </w:rPr>
        <w:t>(tun) wiederholt die vollkommene Gehorsamsleistung.</w:t>
      </w:r>
    </w:p>
    <w:p w14:paraId="7C80AFF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ἐποίησαν οὕτως οἱ υἱοὶ Ισραηλ καὶ ἐξαπέστειλαν αὐτοὺς ἔξω τῆς παρεμβολῆς καθὰ ἐλάλησεν κύριος τῷ Μωυσῇ οὕτως ἐποίησαν οἱ υἱοὶ Ισραηλ und betont die doppelte Bestätigung des Gehorsams.</w:t>
      </w:r>
    </w:p>
    <w:p w14:paraId="6FEC63E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einen Ausführungsbericht mit initialem Gehorsamsbekenntnis, praktischer Durchführung, Übereinstimmungsvergleich und abschließender Gehorsamsbestätigung.</w:t>
      </w:r>
    </w:p>
    <w:p w14:paraId="5AC2BEB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Dieser Vers betont den vollkommenen Gehorsam Israels bei der Durchführung der Reinheitsbestimmungen und etabliert das Muster göttlicher Anweisung und menschlicher Ausführung.</w:t>
      </w:r>
    </w:p>
    <w:p w14:paraId="7C1C1653"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5,5</w:t>
      </w:r>
    </w:p>
    <w:p w14:paraId="5C915AC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לֵּאמֹֽר׃</w:t>
      </w:r>
    </w:p>
    <w:p w14:paraId="4F552CA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sagend:</w:t>
      </w:r>
    </w:p>
    <w:p w14:paraId="119E2B9B"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53F00C8D">
          <v:rect id="_x0000_i1217" style="width:0;height:1.5pt" o:hralign="center" o:hrstd="t" o:hr="t" fillcolor="#a0a0a0" stroked="f"/>
        </w:pict>
      </w:r>
    </w:p>
    <w:p w14:paraId="7BFB8A3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(reden/sprechen) im Qal-Imperfekt 3. maskulin Singular mit Waw consecutivum leitet eine neue göttliche Rede ein. Diese Formel markiert einen thematischen Übergang von den Reinheitsbestimmungen zu den Wiedergutmachungsgesetzen.</w:t>
      </w:r>
    </w:p>
    <w:p w14:paraId="7BF3111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אֶל־מֹשֶׁה</w:t>
      </w:r>
      <w:r w:rsidRPr="00AC36A5">
        <w:rPr>
          <w:rFonts w:eastAsia="Times New Roman" w:cs="Times New Roman"/>
          <w:rtl/>
          <w:lang w:eastAsia="de-DE"/>
        </w:rPr>
        <w:t xml:space="preserve"> </w:t>
      </w:r>
      <w:r w:rsidRPr="00AC36A5">
        <w:rPr>
          <w:rFonts w:eastAsia="Times New Roman" w:cs="Times New Roman"/>
          <w:lang w:eastAsia="de-DE"/>
        </w:rPr>
        <w:t>entspricht der Standardoffenbarungsformel und zeigt Moses fortdauernde Rolle als Vermittler göttlicher Anweisungen.</w:t>
      </w:r>
    </w:p>
    <w:p w14:paraId="36E36B69" w14:textId="4654A5E8"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als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fungiert als Redeeinleitung.</w:t>
      </w:r>
    </w:p>
    <w:p w14:paraId="4D9C5CB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λέγων und behält die Standardformel bei.</w:t>
      </w:r>
    </w:p>
    <w:p w14:paraId="029D632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die charakteristische Offenbarungsformel für einen neuen thematischen Abschnitt.</w:t>
      </w:r>
    </w:p>
    <w:p w14:paraId="6AF06E2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die Bestimmungen über Wiedergutmachung und Schuldbekenntnis ein.</w:t>
      </w:r>
    </w:p>
    <w:p w14:paraId="24BEE2D4"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5,6</w:t>
      </w:r>
    </w:p>
    <w:p w14:paraId="4A10B7F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דַּבֵּר֮ אֶל־בְּנֵ֣י יִשְׂרָאֵל֒ אִ֣ישׁ אֽוֹ־אִשָּׁ֗ה כִּ֤י יַעֲשׂוּ֙ מִכָּל־חַטֹּ֣את הָֽאָדָ֔ם לִמְעֹ֥ל מַ֖עַל בַּיהוָ֑ה וְאָֽשְׁמָ֖ה הַנֶּ֥פֶשׁ הַהִֽוא׃</w:t>
      </w:r>
    </w:p>
    <w:p w14:paraId="7E6DFCC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Rede zu den Söhnen Jisra'el: Wenn ein Mann oder eine Frau irgendeine von allen Sünden der Menschen tut, um eine Untreue gegen den Ewigen zu begehen, und diese Seele sich verschuldet,</w:t>
      </w:r>
    </w:p>
    <w:p w14:paraId="5C876922"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3B1E6B25">
          <v:rect id="_x0000_i1218" style="width:0;height:1.5pt" o:hralign="center" o:hrstd="t" o:hr="t" fillcolor="#a0a0a0" stroked="f"/>
        </w:pict>
      </w:r>
    </w:p>
    <w:p w14:paraId="51D92D8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 im Pi'el-Imperativ maskulin Singular mit </w:t>
      </w:r>
      <w:r w:rsidRPr="00AC36A5">
        <w:rPr>
          <w:rFonts w:eastAsia="Times New Roman" w:cs="Times New Roman"/>
          <w:b/>
          <w:bCs/>
          <w:rtl/>
          <w:lang w:eastAsia="de-DE"/>
        </w:rPr>
        <w:t>אֶל־בְּנֵי יִשְׂרָאֵל</w:t>
      </w:r>
      <w:r w:rsidRPr="00AC36A5">
        <w:rPr>
          <w:rFonts w:eastAsia="Times New Roman" w:cs="Times New Roman"/>
          <w:rtl/>
          <w:lang w:eastAsia="de-DE"/>
        </w:rPr>
        <w:t xml:space="preserve"> </w:t>
      </w:r>
      <w:r w:rsidRPr="00AC36A5">
        <w:rPr>
          <w:rFonts w:eastAsia="Times New Roman" w:cs="Times New Roman"/>
          <w:lang w:eastAsia="de-DE"/>
        </w:rPr>
        <w:t>zeigt die Anweisung zur Verkündigung an das ganze Volk.</w:t>
      </w:r>
    </w:p>
    <w:p w14:paraId="13B41DF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universelle Formulierung </w:t>
      </w:r>
      <w:r w:rsidRPr="00AC36A5">
        <w:rPr>
          <w:rFonts w:eastAsia="Times New Roman" w:cs="Times New Roman"/>
          <w:b/>
          <w:bCs/>
          <w:rtl/>
          <w:lang w:eastAsia="de-DE"/>
        </w:rPr>
        <w:t>אִישׁ אוֹ־אִשָּׁה</w:t>
      </w:r>
      <w:r w:rsidRPr="00AC36A5">
        <w:rPr>
          <w:rFonts w:eastAsia="Times New Roman" w:cs="Times New Roman"/>
          <w:rtl/>
          <w:lang w:eastAsia="de-DE"/>
        </w:rPr>
        <w:t xml:space="preserve"> </w:t>
      </w:r>
      <w:r w:rsidRPr="00AC36A5">
        <w:rPr>
          <w:rFonts w:eastAsia="Times New Roman" w:cs="Times New Roman"/>
          <w:lang w:eastAsia="de-DE"/>
        </w:rPr>
        <w:t>(Mann oder Frau) betont die geschlechtslose Geltung der Wiedergutmachungsbestimmungen.</w:t>
      </w:r>
    </w:p>
    <w:p w14:paraId="7FED32C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 xml:space="preserve">Die temporale Bedingung </w:t>
      </w:r>
      <w:r w:rsidRPr="00AC36A5">
        <w:rPr>
          <w:rFonts w:eastAsia="Times New Roman" w:cs="Times New Roman"/>
          <w:b/>
          <w:bCs/>
          <w:rtl/>
          <w:lang w:eastAsia="de-DE"/>
        </w:rPr>
        <w:t>כִּי יַעֲשׂוּ מִכָּל־חַטֹּאת הָאָדָם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כִּי</w:t>
      </w:r>
      <w:r w:rsidRPr="00AC36A5">
        <w:rPr>
          <w:rFonts w:eastAsia="Times New Roman" w:cs="Times New Roman"/>
          <w:rtl/>
          <w:lang w:eastAsia="de-DE"/>
        </w:rPr>
        <w:t xml:space="preserve"> </w:t>
      </w:r>
      <w:r w:rsidRPr="00AC36A5">
        <w:rPr>
          <w:rFonts w:eastAsia="Times New Roman" w:cs="Times New Roman"/>
          <w:lang w:eastAsia="de-DE"/>
        </w:rPr>
        <w:t xml:space="preserve">(wenn), </w:t>
      </w:r>
      <w:r w:rsidRPr="00AC36A5">
        <w:rPr>
          <w:rFonts w:eastAsia="Times New Roman" w:cs="Times New Roman"/>
          <w:b/>
          <w:bCs/>
          <w:rtl/>
          <w:lang w:eastAsia="de-DE"/>
        </w:rPr>
        <w:t>יַעֲשׂוּ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עשה</w:t>
      </w:r>
      <w:r w:rsidRPr="00AC36A5">
        <w:rPr>
          <w:rFonts w:eastAsia="Times New Roman" w:cs="Times New Roman"/>
          <w:rtl/>
          <w:lang w:eastAsia="de-DE"/>
        </w:rPr>
        <w:t xml:space="preserve"> </w:t>
      </w:r>
      <w:r w:rsidRPr="00AC36A5">
        <w:rPr>
          <w:rFonts w:eastAsia="Times New Roman" w:cs="Times New Roman"/>
          <w:lang w:eastAsia="de-DE"/>
        </w:rPr>
        <w:t xml:space="preserve">(tun) im Qal-Imperfekt 3. maskulin Plural und </w:t>
      </w:r>
      <w:r w:rsidRPr="00AC36A5">
        <w:rPr>
          <w:rFonts w:eastAsia="Times New Roman" w:cs="Times New Roman"/>
          <w:b/>
          <w:bCs/>
          <w:rtl/>
          <w:lang w:eastAsia="de-DE"/>
        </w:rPr>
        <w:t>מִכָּל־חַטֹּאת הָאָדָם</w:t>
      </w:r>
      <w:r w:rsidRPr="00AC36A5">
        <w:rPr>
          <w:rFonts w:eastAsia="Times New Roman" w:cs="Times New Roman"/>
          <w:rtl/>
          <w:lang w:eastAsia="de-DE"/>
        </w:rPr>
        <w:t xml:space="preserve"> </w:t>
      </w:r>
      <w:r w:rsidRPr="00AC36A5">
        <w:rPr>
          <w:rFonts w:eastAsia="Times New Roman" w:cs="Times New Roman"/>
          <w:lang w:eastAsia="de-DE"/>
        </w:rPr>
        <w:t>(von allen Sünden der Menschen) zeigt die umfassende Kategorie menschlicher Vergehen.</w:t>
      </w:r>
    </w:p>
    <w:p w14:paraId="49C153FB" w14:textId="5D0FF5D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finale Bestimmung </w:t>
      </w:r>
      <w:r w:rsidRPr="00AC36A5">
        <w:rPr>
          <w:rFonts w:eastAsia="Times New Roman" w:cs="Times New Roman"/>
          <w:b/>
          <w:bCs/>
          <w:rtl/>
          <w:lang w:eastAsia="de-DE"/>
        </w:rPr>
        <w:t>לִמְעֹל מַעַל בַּיהוָה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לִמְעֹל</w:t>
      </w:r>
      <w:r w:rsidRPr="00AC36A5">
        <w:rPr>
          <w:rFonts w:eastAsia="Times New Roman" w:cs="Times New Roman"/>
          <w:rtl/>
          <w:lang w:eastAsia="de-DE"/>
        </w:rPr>
        <w:t xml:space="preserve"> </w:t>
      </w:r>
      <w:r w:rsidRPr="00AC36A5">
        <w:rPr>
          <w:rFonts w:eastAsia="Times New Roman" w:cs="Times New Roman"/>
          <w:lang w:eastAsia="de-DE"/>
        </w:rPr>
        <w:t>als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מעל</w:t>
      </w:r>
      <w:r w:rsidRPr="00AC36A5">
        <w:rPr>
          <w:rFonts w:eastAsia="Times New Roman" w:cs="Times New Roman"/>
          <w:rtl/>
          <w:lang w:eastAsia="de-DE"/>
        </w:rPr>
        <w:t xml:space="preserve"> </w:t>
      </w:r>
      <w:r w:rsidRPr="00AC36A5">
        <w:rPr>
          <w:rFonts w:eastAsia="Times New Roman" w:cs="Times New Roman"/>
          <w:lang w:eastAsia="de-DE"/>
        </w:rPr>
        <w:t xml:space="preserve">(untreu sein) und der charakteristischen Reduplikation </w:t>
      </w:r>
      <w:r w:rsidRPr="00AC36A5">
        <w:rPr>
          <w:rFonts w:eastAsia="Times New Roman" w:cs="Times New Roman"/>
          <w:b/>
          <w:bCs/>
          <w:rtl/>
          <w:lang w:eastAsia="de-DE"/>
        </w:rPr>
        <w:t>מְעֹל מַעַל</w:t>
      </w:r>
      <w:r w:rsidRPr="00AC36A5">
        <w:rPr>
          <w:rFonts w:eastAsia="Times New Roman" w:cs="Times New Roman"/>
          <w:rtl/>
          <w:lang w:eastAsia="de-DE"/>
        </w:rPr>
        <w:t xml:space="preserve"> </w:t>
      </w:r>
      <w:r w:rsidRPr="00AC36A5">
        <w:rPr>
          <w:rFonts w:eastAsia="Times New Roman" w:cs="Times New Roman"/>
          <w:lang w:eastAsia="de-DE"/>
        </w:rPr>
        <w:t>(untreu sein Untreue) verstärkt die Schwere des Vergehens gegen Gott.</w:t>
      </w:r>
    </w:p>
    <w:p w14:paraId="18BFA8D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Folgesatz </w:t>
      </w:r>
      <w:r w:rsidRPr="00AC36A5">
        <w:rPr>
          <w:rFonts w:eastAsia="Times New Roman" w:cs="Times New Roman"/>
          <w:b/>
          <w:bCs/>
          <w:rtl/>
          <w:lang w:eastAsia="de-DE"/>
        </w:rPr>
        <w:t>וְאָשְׁמָה הַנֶּפֶשׁ הַהִוא</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אָשְׁמָה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אשם</w:t>
      </w:r>
      <w:r w:rsidRPr="00AC36A5">
        <w:rPr>
          <w:rFonts w:eastAsia="Times New Roman" w:cs="Times New Roman"/>
          <w:rtl/>
          <w:lang w:eastAsia="de-DE"/>
        </w:rPr>
        <w:t xml:space="preserve"> </w:t>
      </w:r>
      <w:r w:rsidRPr="00AC36A5">
        <w:rPr>
          <w:rFonts w:eastAsia="Times New Roman" w:cs="Times New Roman"/>
          <w:lang w:eastAsia="de-DE"/>
        </w:rPr>
        <w:t xml:space="preserve">(sich verschulden) im Qal-Perfekt 3. feminin Singular und </w:t>
      </w:r>
      <w:r w:rsidRPr="00AC36A5">
        <w:rPr>
          <w:rFonts w:eastAsia="Times New Roman" w:cs="Times New Roman"/>
          <w:b/>
          <w:bCs/>
          <w:rtl/>
          <w:lang w:eastAsia="de-DE"/>
        </w:rPr>
        <w:t>הַנֶּפֶשׁ הַהִוא</w:t>
      </w:r>
      <w:r w:rsidRPr="00AC36A5">
        <w:rPr>
          <w:rFonts w:eastAsia="Times New Roman" w:cs="Times New Roman"/>
          <w:rtl/>
          <w:lang w:eastAsia="de-DE"/>
        </w:rPr>
        <w:t xml:space="preserve"> </w:t>
      </w:r>
      <w:r w:rsidRPr="00AC36A5">
        <w:rPr>
          <w:rFonts w:eastAsia="Times New Roman" w:cs="Times New Roman"/>
          <w:lang w:eastAsia="de-DE"/>
        </w:rPr>
        <w:t>(diese Seele) zeigt die resultierende Schuldigkeit.</w:t>
      </w:r>
    </w:p>
    <w:p w14:paraId="15970C80" w14:textId="77777777" w:rsidR="006B48FB" w:rsidRDefault="006B48FB" w:rsidP="00AC36A5">
      <w:pPr>
        <w:spacing w:before="100" w:beforeAutospacing="1" w:after="100" w:afterAutospacing="1" w:line="240" w:lineRule="auto"/>
      </w:pPr>
      <w:r>
        <w:rPr>
          <w:rStyle w:val="Fett"/>
        </w:rPr>
        <w:t>Die LXX</w:t>
      </w:r>
      <w:r>
        <w:t xml:space="preserve"> übersetzt </w:t>
      </w:r>
      <w:r w:rsidRPr="006B48FB">
        <w:rPr>
          <w:b/>
          <w:bCs/>
          <w:rtl/>
        </w:rPr>
        <w:t>למעל מעל</w:t>
      </w:r>
      <w:r>
        <w:t xml:space="preserve"> (lim'ol ma'al - "Untreue begehen") als παριδὼν παρίδῃ (mit Verachtung verachten), was die moralische Dimension betont. Das Verb πλημμελέω (fehlen/verfehlen) wird für die Schuld verwendet.</w:t>
      </w:r>
    </w:p>
    <w:p w14:paraId="48079DD7" w14:textId="1B22800C"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Verkündigungsanweisung mit universeller Adressierung, temporaler Bedingung, umfassender Sündenkategorie, finaler Zweckbestimmung und resultierender Schuldkonsequenz.</w:t>
      </w:r>
    </w:p>
    <w:p w14:paraId="673F1EE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den universellen Rahmen für Wiedergutmachungsbestimmungen bei Vergehen gegen Menschen, die gleichzeitig als Untreue gegen Gott verstanden werden.</w:t>
      </w:r>
    </w:p>
    <w:p w14:paraId="7B91E0BA"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5,7</w:t>
      </w:r>
    </w:p>
    <w:p w14:paraId="26674B1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וְהִתְוַדּ֗וּ אֶֽת־חַטָּאתָם֮ אֲשֶׁ֣ר עָשׂוּ֒ וְהֵשִׁ֤יב אֶת־אֲשָׁמוֹ֙ בְּרֹאשֹׁ֔ו וַחֲמִישִׁתוֹ֖ יֹסֵ֣ף עָלָ֑יו וְנָתַ֕ן לַאֲשֶׁ֖ר אָשַׁ֥ם לוֹ׃</w:t>
      </w:r>
    </w:p>
    <w:p w14:paraId="63B86D3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so sollen sie ihre Sünde bekennen, die sie getan haben; und er soll seine Schuld in ihrer Hauptsumme erstatten und ihr Fünftel hinzufügen und es dem geben, an dem er sich verschuldet hat.</w:t>
      </w:r>
    </w:p>
    <w:p w14:paraId="3543029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19012FD4">
          <v:rect id="_x0000_i1219" style="width:0;height:1.5pt" o:hralign="center" o:hrstd="t" o:hr="t" fillcolor="#a0a0a0" stroked="f"/>
        </w:pict>
      </w:r>
    </w:p>
    <w:p w14:paraId="66C64CD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וְהִתְוַדּוּ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ידה</w:t>
      </w:r>
      <w:r w:rsidRPr="00AC36A5">
        <w:rPr>
          <w:rFonts w:eastAsia="Times New Roman" w:cs="Times New Roman"/>
          <w:rtl/>
          <w:lang w:eastAsia="de-DE"/>
        </w:rPr>
        <w:t xml:space="preserve"> </w:t>
      </w:r>
      <w:r w:rsidRPr="00AC36A5">
        <w:rPr>
          <w:rFonts w:eastAsia="Times New Roman" w:cs="Times New Roman"/>
          <w:lang w:eastAsia="de-DE"/>
        </w:rPr>
        <w:t xml:space="preserve">(bekennen) im Hithpa'el-Perfekt 3. maskulin Plural zeigt die reflexive Bekenntnishandlung. Das direkte Objekt </w:t>
      </w:r>
      <w:r w:rsidRPr="00AC36A5">
        <w:rPr>
          <w:rFonts w:eastAsia="Times New Roman" w:cs="Times New Roman"/>
          <w:b/>
          <w:bCs/>
          <w:rtl/>
          <w:lang w:eastAsia="de-DE"/>
        </w:rPr>
        <w:t>אֶת־חַטָּאתָם</w:t>
      </w:r>
      <w:r w:rsidRPr="00AC36A5">
        <w:rPr>
          <w:rFonts w:eastAsia="Times New Roman" w:cs="Times New Roman"/>
          <w:rtl/>
          <w:lang w:eastAsia="de-DE"/>
        </w:rPr>
        <w:t xml:space="preserve"> </w:t>
      </w:r>
      <w:r w:rsidRPr="00AC36A5">
        <w:rPr>
          <w:rFonts w:eastAsia="Times New Roman" w:cs="Times New Roman"/>
          <w:lang w:eastAsia="de-DE"/>
        </w:rPr>
        <w:t xml:space="preserve">(ihre Sünde) mit nota accusativi und dem Relativsatz </w:t>
      </w:r>
      <w:r w:rsidRPr="00AC36A5">
        <w:rPr>
          <w:rFonts w:eastAsia="Times New Roman" w:cs="Times New Roman"/>
          <w:b/>
          <w:bCs/>
          <w:rtl/>
          <w:lang w:eastAsia="de-DE"/>
        </w:rPr>
        <w:t>אֲשֶׁר עָשׂוּ</w:t>
      </w:r>
      <w:r w:rsidRPr="00AC36A5">
        <w:rPr>
          <w:rFonts w:eastAsia="Times New Roman" w:cs="Times New Roman"/>
          <w:rtl/>
          <w:lang w:eastAsia="de-DE"/>
        </w:rPr>
        <w:t xml:space="preserve"> </w:t>
      </w:r>
      <w:r w:rsidRPr="00AC36A5">
        <w:rPr>
          <w:rFonts w:eastAsia="Times New Roman" w:cs="Times New Roman"/>
          <w:lang w:eastAsia="de-DE"/>
        </w:rPr>
        <w:t>(die sie getan haben) spezifiziert das zu bekennende Vergehen.</w:t>
      </w:r>
    </w:p>
    <w:p w14:paraId="607FB27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וְהֵשִׁיב</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שוב</w:t>
      </w:r>
      <w:r w:rsidRPr="00AC36A5">
        <w:rPr>
          <w:rFonts w:eastAsia="Times New Roman" w:cs="Times New Roman"/>
          <w:rtl/>
          <w:lang w:eastAsia="de-DE"/>
        </w:rPr>
        <w:t xml:space="preserve"> </w:t>
      </w:r>
      <w:r w:rsidRPr="00AC36A5">
        <w:rPr>
          <w:rFonts w:eastAsia="Times New Roman" w:cs="Times New Roman"/>
          <w:lang w:eastAsia="de-DE"/>
        </w:rPr>
        <w:t xml:space="preserve">(zurückkehren/erstatten) im Hiph'il-Perfekt 3. maskulin Singular zeigt die kausative Bedeutung "erstatten". Das direkte Objekt </w:t>
      </w:r>
      <w:r w:rsidRPr="00AC36A5">
        <w:rPr>
          <w:rFonts w:eastAsia="Times New Roman" w:cs="Times New Roman"/>
          <w:b/>
          <w:bCs/>
          <w:rtl/>
          <w:lang w:eastAsia="de-DE"/>
        </w:rPr>
        <w:t>אֶת־אֲשָׁמוֹ בְּרֹאשׁוֹ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אָשָׁם</w:t>
      </w:r>
      <w:r w:rsidRPr="00AC36A5">
        <w:rPr>
          <w:rFonts w:eastAsia="Times New Roman" w:cs="Times New Roman"/>
          <w:rtl/>
          <w:lang w:eastAsia="de-DE"/>
        </w:rPr>
        <w:t xml:space="preserve"> </w:t>
      </w:r>
      <w:r w:rsidRPr="00AC36A5">
        <w:rPr>
          <w:rFonts w:eastAsia="Times New Roman" w:cs="Times New Roman"/>
          <w:lang w:eastAsia="de-DE"/>
        </w:rPr>
        <w:t xml:space="preserve">(Schuld) und </w:t>
      </w:r>
      <w:r w:rsidRPr="00AC36A5">
        <w:rPr>
          <w:rFonts w:eastAsia="Times New Roman" w:cs="Times New Roman"/>
          <w:b/>
          <w:bCs/>
          <w:rtl/>
          <w:lang w:eastAsia="de-DE"/>
        </w:rPr>
        <w:t>בְּרֹאשׁוֹ</w:t>
      </w:r>
      <w:r w:rsidRPr="00AC36A5">
        <w:rPr>
          <w:rFonts w:eastAsia="Times New Roman" w:cs="Times New Roman"/>
          <w:rtl/>
          <w:lang w:eastAsia="de-DE"/>
        </w:rPr>
        <w:t xml:space="preserve"> </w:t>
      </w:r>
      <w:r w:rsidRPr="00AC36A5">
        <w:rPr>
          <w:rFonts w:eastAsia="Times New Roman" w:cs="Times New Roman"/>
          <w:lang w:eastAsia="de-DE"/>
        </w:rPr>
        <w:t>(in seinem Haupt/seiner Hauptsumme) zeigt die vollständige Erstattung des Grundbetrags.</w:t>
      </w:r>
    </w:p>
    <w:p w14:paraId="1DEE8CE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Bestimmung </w:t>
      </w:r>
      <w:r w:rsidRPr="00AC36A5">
        <w:rPr>
          <w:rFonts w:eastAsia="Times New Roman" w:cs="Times New Roman"/>
          <w:b/>
          <w:bCs/>
          <w:rtl/>
          <w:lang w:eastAsia="de-DE"/>
        </w:rPr>
        <w:t>וַחֲמִישִׁתוֹ יֹסֵף עָלָיו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חֲמִישִׁת</w:t>
      </w:r>
      <w:r w:rsidRPr="00AC36A5">
        <w:rPr>
          <w:rFonts w:eastAsia="Times New Roman" w:cs="Times New Roman"/>
          <w:rtl/>
          <w:lang w:eastAsia="de-DE"/>
        </w:rPr>
        <w:t xml:space="preserve"> </w:t>
      </w:r>
      <w:r w:rsidRPr="00AC36A5">
        <w:rPr>
          <w:rFonts w:eastAsia="Times New Roman" w:cs="Times New Roman"/>
          <w:lang w:eastAsia="de-DE"/>
        </w:rPr>
        <w:t xml:space="preserve">(Fünftel) mit Possessivsuffix 3. maskulin Singular, </w:t>
      </w:r>
      <w:r w:rsidRPr="00AC36A5">
        <w:rPr>
          <w:rFonts w:eastAsia="Times New Roman" w:cs="Times New Roman"/>
          <w:b/>
          <w:bCs/>
          <w:rtl/>
          <w:lang w:eastAsia="de-DE"/>
        </w:rPr>
        <w:t>יֹסֵף</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יסף</w:t>
      </w:r>
      <w:r w:rsidRPr="00AC36A5">
        <w:rPr>
          <w:rFonts w:eastAsia="Times New Roman" w:cs="Times New Roman"/>
          <w:rtl/>
          <w:lang w:eastAsia="de-DE"/>
        </w:rPr>
        <w:t xml:space="preserve"> </w:t>
      </w:r>
      <w:r w:rsidRPr="00AC36A5">
        <w:rPr>
          <w:rFonts w:eastAsia="Times New Roman" w:cs="Times New Roman"/>
          <w:lang w:eastAsia="de-DE"/>
        </w:rPr>
        <w:t xml:space="preserve">(hinzufügen) und </w:t>
      </w:r>
      <w:r w:rsidRPr="00AC36A5">
        <w:rPr>
          <w:rFonts w:eastAsia="Times New Roman" w:cs="Times New Roman"/>
          <w:b/>
          <w:bCs/>
          <w:rtl/>
          <w:lang w:eastAsia="de-DE"/>
        </w:rPr>
        <w:t>עָלָיו</w:t>
      </w:r>
      <w:r w:rsidRPr="00AC36A5">
        <w:rPr>
          <w:rFonts w:eastAsia="Times New Roman" w:cs="Times New Roman"/>
          <w:rtl/>
          <w:lang w:eastAsia="de-DE"/>
        </w:rPr>
        <w:t xml:space="preserve"> </w:t>
      </w:r>
      <w:r w:rsidRPr="00AC36A5">
        <w:rPr>
          <w:rFonts w:eastAsia="Times New Roman" w:cs="Times New Roman"/>
          <w:lang w:eastAsia="de-DE"/>
        </w:rPr>
        <w:t>(darauf) zeigt die zusätzliche 20%-Strafe.</w:t>
      </w:r>
    </w:p>
    <w:p w14:paraId="63A0FFB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abschließende Satz </w:t>
      </w:r>
      <w:r w:rsidRPr="00AC36A5">
        <w:rPr>
          <w:rFonts w:eastAsia="Times New Roman" w:cs="Times New Roman"/>
          <w:b/>
          <w:bCs/>
          <w:rtl/>
          <w:lang w:eastAsia="de-DE"/>
        </w:rPr>
        <w:t>וְנָתַן לַאֲשֶׁר אָשַׁם לוֹ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 </w:t>
      </w:r>
      <w:r w:rsidRPr="00AC36A5">
        <w:rPr>
          <w:rFonts w:eastAsia="Times New Roman" w:cs="Times New Roman"/>
          <w:b/>
          <w:bCs/>
          <w:rtl/>
          <w:lang w:eastAsia="de-DE"/>
        </w:rPr>
        <w:t>לַאֲשֶׁר</w:t>
      </w:r>
      <w:r w:rsidRPr="00AC36A5">
        <w:rPr>
          <w:rFonts w:eastAsia="Times New Roman" w:cs="Times New Roman"/>
          <w:rtl/>
          <w:lang w:eastAsia="de-DE"/>
        </w:rPr>
        <w:t xml:space="preserve"> </w:t>
      </w:r>
      <w:r w:rsidRPr="00AC36A5">
        <w:rPr>
          <w:rFonts w:eastAsia="Times New Roman" w:cs="Times New Roman"/>
          <w:lang w:eastAsia="de-DE"/>
        </w:rPr>
        <w:t xml:space="preserve">(dem, der) und </w:t>
      </w:r>
      <w:r w:rsidRPr="00AC36A5">
        <w:rPr>
          <w:rFonts w:eastAsia="Times New Roman" w:cs="Times New Roman"/>
          <w:b/>
          <w:bCs/>
          <w:rtl/>
          <w:lang w:eastAsia="de-DE"/>
        </w:rPr>
        <w:t>אָשַׁם לוֹ</w:t>
      </w:r>
      <w:r w:rsidRPr="00AC36A5">
        <w:rPr>
          <w:rFonts w:eastAsia="Times New Roman" w:cs="Times New Roman"/>
          <w:rtl/>
          <w:lang w:eastAsia="de-DE"/>
        </w:rPr>
        <w:t xml:space="preserve"> </w:t>
      </w:r>
      <w:r w:rsidRPr="00AC36A5">
        <w:rPr>
          <w:rFonts w:eastAsia="Times New Roman" w:cs="Times New Roman"/>
          <w:lang w:eastAsia="de-DE"/>
        </w:rPr>
        <w:t>(er hat sich an ihm verschuldet) spezifiziert den Empfänger der Wiedergutmachung.</w:t>
      </w:r>
    </w:p>
    <w:p w14:paraId="585E3DE6" w14:textId="77777777" w:rsidR="006B48FB" w:rsidRDefault="006B48FB" w:rsidP="00AC36A5">
      <w:pPr>
        <w:spacing w:before="100" w:beforeAutospacing="1" w:after="100" w:afterAutospacing="1" w:line="240" w:lineRule="auto"/>
      </w:pPr>
      <w:r>
        <w:rPr>
          <w:rStyle w:val="Fett"/>
        </w:rPr>
        <w:lastRenderedPageBreak/>
        <w:t>Die LXX</w:t>
      </w:r>
      <w:r>
        <w:t xml:space="preserve"> übersetzt </w:t>
      </w:r>
      <w:r w:rsidRPr="006B48FB">
        <w:rPr>
          <w:b/>
          <w:bCs/>
          <w:rtl/>
        </w:rPr>
        <w:t>והתודו</w:t>
      </w:r>
      <w:r>
        <w:t xml:space="preserve"> (vehitvaddu - "sie sollen bekennen") als ἐξαγορεύσει (er/sie wird bekennen), wobei der Singular verwendet wird. </w:t>
      </w:r>
      <w:r w:rsidRPr="006B48FB">
        <w:rPr>
          <w:b/>
          <w:bCs/>
          <w:rtl/>
        </w:rPr>
        <w:t>ברֹאשׁוֹ</w:t>
      </w:r>
      <w:r>
        <w:t xml:space="preserve"> (beroshō - "in seiner Hauptsumme") wird als τὸ κεφάλαιον (die Hauptsumme) übersetzt.</w:t>
      </w:r>
    </w:p>
    <w:p w14:paraId="4D89D544" w14:textId="4E601DA6"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Sequenz von drei koordinierten Handlungen: Bekenntnis, vollständige Erstattung plus Strafe, und Übergabe an den Geschädigten.</w:t>
      </w:r>
    </w:p>
    <w:p w14:paraId="3BC76FB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das vollständige Wiedergutmachungsverfahren: Bekenntnis, 120%-Erstattung und direkte Übergabe an den Geschädigten.</w:t>
      </w:r>
    </w:p>
    <w:p w14:paraId="6D167DEC"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5,8</w:t>
      </w:r>
    </w:p>
    <w:p w14:paraId="12E9C5E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וְאִם־אֵ֨ין לָאִ֜ישׁ גֹּאֵ֗ל לְהָשִׁ֤יב הָאָשָׁם֙ אֵלָ֔יו הָאָשָׁ֛ם הַמּוּשָׁ֥ב לַיהוָ֖ה לַכֹּהֵ֑ן מִלְּבַ֗ד אֵ֚יל הַכִּפֻּרִ֔ים אֲשֶׁ֥ר יְכַפֶּר־בּוֹ֖ עָלָֽיו׃</w:t>
      </w:r>
    </w:p>
    <w:p w14:paraId="2D5978B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wenn der Mann keinen Blutsverwandten hat, dem die Schuld erstattet werden könnte, so wird die zu erstattende Schuld dem Ewigen erstattet, für den Priester, außer dem Widder der Sühnung, womit man Sühne für ihn tut.</w:t>
      </w:r>
    </w:p>
    <w:p w14:paraId="5C7A04B6"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5D949322">
          <v:rect id="_x0000_i1220" style="width:0;height:1.5pt" o:hralign="center" o:hrstd="t" o:hr="t" fillcolor="#a0a0a0" stroked="f"/>
        </w:pict>
      </w:r>
    </w:p>
    <w:p w14:paraId="5013A55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Bedingung </w:t>
      </w:r>
      <w:r w:rsidRPr="00AC36A5">
        <w:rPr>
          <w:rFonts w:eastAsia="Times New Roman" w:cs="Times New Roman"/>
          <w:b/>
          <w:bCs/>
          <w:rtl/>
          <w:lang w:eastAsia="de-DE"/>
        </w:rPr>
        <w:t>וְאִם־אֵין לָאִישׁ גֹּאֵל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אִם</w:t>
      </w:r>
      <w:r w:rsidRPr="00AC36A5">
        <w:rPr>
          <w:rFonts w:eastAsia="Times New Roman" w:cs="Times New Roman"/>
          <w:rtl/>
          <w:lang w:eastAsia="de-DE"/>
        </w:rPr>
        <w:t xml:space="preserve"> </w:t>
      </w:r>
      <w:r w:rsidRPr="00AC36A5">
        <w:rPr>
          <w:rFonts w:eastAsia="Times New Roman" w:cs="Times New Roman"/>
          <w:lang w:eastAsia="de-DE"/>
        </w:rPr>
        <w:t xml:space="preserve">(wenn) und der Negation </w:t>
      </w:r>
      <w:r w:rsidRPr="00AC36A5">
        <w:rPr>
          <w:rFonts w:eastAsia="Times New Roman" w:cs="Times New Roman"/>
          <w:b/>
          <w:bCs/>
          <w:rtl/>
          <w:lang w:eastAsia="de-DE"/>
        </w:rPr>
        <w:t>אֵין</w:t>
      </w:r>
      <w:r w:rsidRPr="00AC36A5">
        <w:rPr>
          <w:rFonts w:eastAsia="Times New Roman" w:cs="Times New Roman"/>
          <w:rtl/>
          <w:lang w:eastAsia="de-DE"/>
        </w:rPr>
        <w:t xml:space="preserve"> </w:t>
      </w:r>
      <w:r w:rsidRPr="00AC36A5">
        <w:rPr>
          <w:rFonts w:eastAsia="Times New Roman" w:cs="Times New Roman"/>
          <w:lang w:eastAsia="de-DE"/>
        </w:rPr>
        <w:t xml:space="preserve">(nicht ist), </w:t>
      </w:r>
      <w:r w:rsidRPr="00AC36A5">
        <w:rPr>
          <w:rFonts w:eastAsia="Times New Roman" w:cs="Times New Roman"/>
          <w:b/>
          <w:bCs/>
          <w:rtl/>
          <w:lang w:eastAsia="de-DE"/>
        </w:rPr>
        <w:t>לָאִישׁ</w:t>
      </w:r>
      <w:r w:rsidRPr="00AC36A5">
        <w:rPr>
          <w:rFonts w:eastAsia="Times New Roman" w:cs="Times New Roman"/>
          <w:rtl/>
          <w:lang w:eastAsia="de-DE"/>
        </w:rPr>
        <w:t xml:space="preserve"> </w:t>
      </w:r>
      <w:r w:rsidRPr="00AC36A5">
        <w:rPr>
          <w:rFonts w:eastAsia="Times New Roman" w:cs="Times New Roman"/>
          <w:lang w:eastAsia="de-DE"/>
        </w:rPr>
        <w:t xml:space="preserve">(dem Mann) und </w:t>
      </w:r>
      <w:r w:rsidRPr="00AC36A5">
        <w:rPr>
          <w:rFonts w:eastAsia="Times New Roman" w:cs="Times New Roman"/>
          <w:b/>
          <w:bCs/>
          <w:rtl/>
          <w:lang w:eastAsia="de-DE"/>
        </w:rPr>
        <w:t>גֹּאֵל</w:t>
      </w:r>
      <w:r w:rsidRPr="00AC36A5">
        <w:rPr>
          <w:rFonts w:eastAsia="Times New Roman" w:cs="Times New Roman"/>
          <w:rtl/>
          <w:lang w:eastAsia="de-DE"/>
        </w:rPr>
        <w:t xml:space="preserve"> </w:t>
      </w:r>
      <w:r w:rsidRPr="00AC36A5">
        <w:rPr>
          <w:rFonts w:eastAsia="Times New Roman" w:cs="Times New Roman"/>
          <w:lang w:eastAsia="de-DE"/>
        </w:rPr>
        <w:t>(Löser/Blutsverwandter) behandelt den Sonderfall fehlender Verwandtschaft.</w:t>
      </w:r>
    </w:p>
    <w:p w14:paraId="1CBAD1AD" w14:textId="43416C8D"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Infinitiv </w:t>
      </w:r>
      <w:r w:rsidRPr="00AC36A5">
        <w:rPr>
          <w:rFonts w:eastAsia="Times New Roman" w:cs="Times New Roman"/>
          <w:b/>
          <w:bCs/>
          <w:rtl/>
          <w:lang w:eastAsia="de-DE"/>
        </w:rPr>
        <w:t>לְהָשִׁיב הָאָשָׁם אֵלָיו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לְהָשִׁיב</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שוב</w:t>
      </w:r>
      <w:r w:rsidRPr="00AC36A5">
        <w:rPr>
          <w:rFonts w:eastAsia="Times New Roman" w:cs="Times New Roman"/>
          <w:rtl/>
          <w:lang w:eastAsia="de-DE"/>
        </w:rPr>
        <w:t xml:space="preserve"> </w:t>
      </w:r>
      <w:r w:rsidRPr="00AC36A5">
        <w:rPr>
          <w:rFonts w:eastAsia="Times New Roman" w:cs="Times New Roman"/>
          <w:lang w:eastAsia="de-DE"/>
        </w:rPr>
        <w:t>(erstatten) im Hiph'il-Infinitiv-</w:t>
      </w:r>
      <w:r w:rsidR="00F133EC">
        <w:rPr>
          <w:rFonts w:eastAsia="Times New Roman" w:cs="Times New Roman"/>
          <w:lang w:eastAsia="de-DE"/>
        </w:rPr>
        <w:t>Construct</w:t>
      </w:r>
      <w:r w:rsidRPr="00AC36A5">
        <w:rPr>
          <w:rFonts w:eastAsia="Times New Roman" w:cs="Times New Roman"/>
          <w:lang w:eastAsia="de-DE"/>
        </w:rPr>
        <w:t xml:space="preserve">, </w:t>
      </w:r>
      <w:r w:rsidRPr="00AC36A5">
        <w:rPr>
          <w:rFonts w:eastAsia="Times New Roman" w:cs="Times New Roman"/>
          <w:b/>
          <w:bCs/>
          <w:rtl/>
          <w:lang w:eastAsia="de-DE"/>
        </w:rPr>
        <w:t>הָאָשָׁם</w:t>
      </w:r>
      <w:r w:rsidRPr="00AC36A5">
        <w:rPr>
          <w:rFonts w:eastAsia="Times New Roman" w:cs="Times New Roman"/>
          <w:rtl/>
          <w:lang w:eastAsia="de-DE"/>
        </w:rPr>
        <w:t xml:space="preserve"> </w:t>
      </w:r>
      <w:r w:rsidRPr="00AC36A5">
        <w:rPr>
          <w:rFonts w:eastAsia="Times New Roman" w:cs="Times New Roman"/>
          <w:lang w:eastAsia="de-DE"/>
        </w:rPr>
        <w:t xml:space="preserve">(die Schuld) und </w:t>
      </w:r>
      <w:r w:rsidRPr="00AC36A5">
        <w:rPr>
          <w:rFonts w:eastAsia="Times New Roman" w:cs="Times New Roman"/>
          <w:b/>
          <w:bCs/>
          <w:rtl/>
          <w:lang w:eastAsia="de-DE"/>
        </w:rPr>
        <w:t>אֵלָיו</w:t>
      </w:r>
      <w:r w:rsidRPr="00AC36A5">
        <w:rPr>
          <w:rFonts w:eastAsia="Times New Roman" w:cs="Times New Roman"/>
          <w:rtl/>
          <w:lang w:eastAsia="de-DE"/>
        </w:rPr>
        <w:t xml:space="preserve"> </w:t>
      </w:r>
      <w:r w:rsidRPr="00AC36A5">
        <w:rPr>
          <w:rFonts w:eastAsia="Times New Roman" w:cs="Times New Roman"/>
          <w:lang w:eastAsia="de-DE"/>
        </w:rPr>
        <w:t>(zu ihm) zeigt den unmöglichen Erstattungsweg.</w:t>
      </w:r>
    </w:p>
    <w:p w14:paraId="460A8FD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Lösung </w:t>
      </w:r>
      <w:r w:rsidRPr="00AC36A5">
        <w:rPr>
          <w:rFonts w:eastAsia="Times New Roman" w:cs="Times New Roman"/>
          <w:b/>
          <w:bCs/>
          <w:rtl/>
          <w:lang w:eastAsia="de-DE"/>
        </w:rPr>
        <w:t>הָאָשָׁם הַמּוּשָׁב לַיהוָה לַכֹּהֵן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הַמּוּשָׁב</w:t>
      </w:r>
      <w:r w:rsidRPr="00AC36A5">
        <w:rPr>
          <w:rFonts w:eastAsia="Times New Roman" w:cs="Times New Roman"/>
          <w:rtl/>
          <w:lang w:eastAsia="de-DE"/>
        </w:rPr>
        <w:t xml:space="preserve"> </w:t>
      </w:r>
      <w:r w:rsidRPr="00AC36A5">
        <w:rPr>
          <w:rFonts w:eastAsia="Times New Roman" w:cs="Times New Roman"/>
          <w:lang w:eastAsia="de-DE"/>
        </w:rPr>
        <w:t xml:space="preserve">(der zu erstattende) als Hoph'al-Partizip von </w:t>
      </w:r>
      <w:r w:rsidRPr="00AC36A5">
        <w:rPr>
          <w:rFonts w:eastAsia="Times New Roman" w:cs="Times New Roman"/>
          <w:b/>
          <w:bCs/>
          <w:rtl/>
          <w:lang w:eastAsia="de-DE"/>
        </w:rPr>
        <w:t>שוב</w:t>
      </w:r>
      <w:r w:rsidRPr="00AC36A5">
        <w:rPr>
          <w:rFonts w:eastAsia="Times New Roman" w:cs="Times New Roman"/>
          <w:rtl/>
          <w:lang w:eastAsia="de-DE"/>
        </w:rPr>
        <w:t xml:space="preserve"> </w:t>
      </w:r>
      <w:r w:rsidRPr="00AC36A5">
        <w:rPr>
          <w:rFonts w:eastAsia="Times New Roman" w:cs="Times New Roman"/>
          <w:lang w:eastAsia="de-DE"/>
        </w:rPr>
        <w:t xml:space="preserve">(erstatten), </w:t>
      </w:r>
      <w:r w:rsidRPr="00AC36A5">
        <w:rPr>
          <w:rFonts w:eastAsia="Times New Roman" w:cs="Times New Roman"/>
          <w:b/>
          <w:bCs/>
          <w:rtl/>
          <w:lang w:eastAsia="de-DE"/>
        </w:rPr>
        <w:t>לַיהוָה</w:t>
      </w:r>
      <w:r w:rsidRPr="00AC36A5">
        <w:rPr>
          <w:rFonts w:eastAsia="Times New Roman" w:cs="Times New Roman"/>
          <w:rtl/>
          <w:lang w:eastAsia="de-DE"/>
        </w:rPr>
        <w:t xml:space="preserve"> </w:t>
      </w:r>
      <w:r w:rsidRPr="00AC36A5">
        <w:rPr>
          <w:rFonts w:eastAsia="Times New Roman" w:cs="Times New Roman"/>
          <w:lang w:eastAsia="de-DE"/>
        </w:rPr>
        <w:t xml:space="preserve">(dem Ewigen) und </w:t>
      </w:r>
      <w:r w:rsidRPr="00AC36A5">
        <w:rPr>
          <w:rFonts w:eastAsia="Times New Roman" w:cs="Times New Roman"/>
          <w:b/>
          <w:bCs/>
          <w:rtl/>
          <w:lang w:eastAsia="de-DE"/>
        </w:rPr>
        <w:t>לַכֹּהֵן</w:t>
      </w:r>
      <w:r w:rsidRPr="00AC36A5">
        <w:rPr>
          <w:rFonts w:eastAsia="Times New Roman" w:cs="Times New Roman"/>
          <w:rtl/>
          <w:lang w:eastAsia="de-DE"/>
        </w:rPr>
        <w:t xml:space="preserve"> </w:t>
      </w:r>
      <w:r w:rsidRPr="00AC36A5">
        <w:rPr>
          <w:rFonts w:eastAsia="Times New Roman" w:cs="Times New Roman"/>
          <w:lang w:eastAsia="de-DE"/>
        </w:rPr>
        <w:t>(dem Priester) zeigt die doppelte Zuordnung: formal an Gott, praktisch an den Priester.</w:t>
      </w:r>
    </w:p>
    <w:p w14:paraId="1E3E366E" w14:textId="31362D50"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Ausnahme </w:t>
      </w:r>
      <w:r w:rsidRPr="00AC36A5">
        <w:rPr>
          <w:rFonts w:eastAsia="Times New Roman" w:cs="Times New Roman"/>
          <w:b/>
          <w:bCs/>
          <w:rtl/>
          <w:lang w:eastAsia="de-DE"/>
        </w:rPr>
        <w:t>מִלְּבַד אֵיל הַכִּפֻּרִים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מִלְּבַד</w:t>
      </w:r>
      <w:r w:rsidRPr="00AC36A5">
        <w:rPr>
          <w:rFonts w:eastAsia="Times New Roman" w:cs="Times New Roman"/>
          <w:rtl/>
          <w:lang w:eastAsia="de-DE"/>
        </w:rPr>
        <w:t xml:space="preserve"> </w:t>
      </w:r>
      <w:r w:rsidRPr="00AC36A5">
        <w:rPr>
          <w:rFonts w:eastAsia="Times New Roman" w:cs="Times New Roman"/>
          <w:lang w:eastAsia="de-DE"/>
        </w:rPr>
        <w:t xml:space="preserve">(außer/zusätzlich zu), </w:t>
      </w:r>
      <w:r w:rsidRPr="00AC36A5">
        <w:rPr>
          <w:rFonts w:eastAsia="Times New Roman" w:cs="Times New Roman"/>
          <w:b/>
          <w:bCs/>
          <w:rtl/>
          <w:lang w:eastAsia="de-DE"/>
        </w:rPr>
        <w:t>אֵיל</w:t>
      </w:r>
      <w:r w:rsidRPr="00AC36A5">
        <w:rPr>
          <w:rFonts w:eastAsia="Times New Roman" w:cs="Times New Roman"/>
          <w:rtl/>
          <w:lang w:eastAsia="de-DE"/>
        </w:rPr>
        <w:t xml:space="preserve"> </w:t>
      </w:r>
      <w:r w:rsidRPr="00AC36A5">
        <w:rPr>
          <w:rFonts w:eastAsia="Times New Roman" w:cs="Times New Roman"/>
          <w:lang w:eastAsia="de-DE"/>
        </w:rPr>
        <w:t xml:space="preserve">(Widder) und </w:t>
      </w:r>
      <w:r w:rsidRPr="00AC36A5">
        <w:rPr>
          <w:rFonts w:eastAsia="Times New Roman" w:cs="Times New Roman"/>
          <w:b/>
          <w:bCs/>
          <w:rtl/>
          <w:lang w:eastAsia="de-DE"/>
        </w:rPr>
        <w:t>הַכִּפֻּרִים</w:t>
      </w:r>
      <w:r w:rsidRPr="00AC36A5">
        <w:rPr>
          <w:rFonts w:eastAsia="Times New Roman" w:cs="Times New Roman"/>
          <w:rtl/>
          <w:lang w:eastAsia="de-DE"/>
        </w:rPr>
        <w:t xml:space="preserve"> </w:t>
      </w:r>
      <w:r w:rsidRPr="00AC36A5">
        <w:rPr>
          <w:rFonts w:eastAsia="Times New Roman" w:cs="Times New Roman"/>
          <w:lang w:eastAsia="de-DE"/>
        </w:rPr>
        <w:t xml:space="preserve">(der Sühnungen) im </w:t>
      </w:r>
      <w:r w:rsidR="00F133EC">
        <w:rPr>
          <w:rFonts w:eastAsia="Times New Roman" w:cs="Times New Roman"/>
          <w:lang w:eastAsia="de-DE"/>
        </w:rPr>
        <w:t>Construct</w:t>
      </w:r>
      <w:r w:rsidRPr="00AC36A5">
        <w:rPr>
          <w:rFonts w:eastAsia="Times New Roman" w:cs="Times New Roman"/>
          <w:lang w:eastAsia="de-DE"/>
        </w:rPr>
        <w:t xml:space="preserve"> zeigt eine zusätzliche Opferanforderung.</w:t>
      </w:r>
    </w:p>
    <w:p w14:paraId="53BADA53"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 יְכַפֶּר־בּוֹ עָלָיו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יְכַפֶּר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כפר</w:t>
      </w:r>
      <w:r w:rsidRPr="00AC36A5">
        <w:rPr>
          <w:rFonts w:eastAsia="Times New Roman" w:cs="Times New Roman"/>
          <w:rtl/>
          <w:lang w:eastAsia="de-DE"/>
        </w:rPr>
        <w:t xml:space="preserve"> </w:t>
      </w:r>
      <w:r w:rsidRPr="00AC36A5">
        <w:rPr>
          <w:rFonts w:eastAsia="Times New Roman" w:cs="Times New Roman"/>
          <w:lang w:eastAsia="de-DE"/>
        </w:rPr>
        <w:t xml:space="preserve">(sühnen) im Pi'el-Imperfekt 3. maskulin Singular, </w:t>
      </w:r>
      <w:r w:rsidRPr="00AC36A5">
        <w:rPr>
          <w:rFonts w:eastAsia="Times New Roman" w:cs="Times New Roman"/>
          <w:b/>
          <w:bCs/>
          <w:rtl/>
          <w:lang w:eastAsia="de-DE"/>
        </w:rPr>
        <w:t>בּוֹ</w:t>
      </w:r>
      <w:r w:rsidRPr="00AC36A5">
        <w:rPr>
          <w:rFonts w:eastAsia="Times New Roman" w:cs="Times New Roman"/>
          <w:rtl/>
          <w:lang w:eastAsia="de-DE"/>
        </w:rPr>
        <w:t xml:space="preserve"> </w:t>
      </w:r>
      <w:r w:rsidRPr="00AC36A5">
        <w:rPr>
          <w:rFonts w:eastAsia="Times New Roman" w:cs="Times New Roman"/>
          <w:lang w:eastAsia="de-DE"/>
        </w:rPr>
        <w:t xml:space="preserve">(mit ihm) und </w:t>
      </w:r>
      <w:r w:rsidRPr="00AC36A5">
        <w:rPr>
          <w:rFonts w:eastAsia="Times New Roman" w:cs="Times New Roman"/>
          <w:b/>
          <w:bCs/>
          <w:rtl/>
          <w:lang w:eastAsia="de-DE"/>
        </w:rPr>
        <w:t>עָלָיו</w:t>
      </w:r>
      <w:r w:rsidRPr="00AC36A5">
        <w:rPr>
          <w:rFonts w:eastAsia="Times New Roman" w:cs="Times New Roman"/>
          <w:rtl/>
          <w:lang w:eastAsia="de-DE"/>
        </w:rPr>
        <w:t xml:space="preserve"> </w:t>
      </w:r>
      <w:r w:rsidRPr="00AC36A5">
        <w:rPr>
          <w:rFonts w:eastAsia="Times New Roman" w:cs="Times New Roman"/>
          <w:lang w:eastAsia="de-DE"/>
        </w:rPr>
        <w:t>(für ihn) spezifiziert die Sühnfunktion des Widders.</w:t>
      </w:r>
    </w:p>
    <w:p w14:paraId="42567D1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ἐὰν δὲ μὴ ᾖ τῷ ἀνθρώπῳ ἀγχιστεύς ὥστε ἀποδοῦναι αὐτῷ τὸ πλημμέλημα πρὸς αὐτόν τὸ πλημμέλημα τὸ ἀποδιδόμενον κυρίῳ τῷ ἱερεῖ ἔσται πλὴν τοῦ κριοῦ τοῦ ἱλασμοῦ δι᾽ οὗ ἐξιλάσεται περὶ αὐτοῦ und verwendet ἀγχιστεύς (nächster Verwandter) für </w:t>
      </w:r>
      <w:r w:rsidRPr="00AC36A5">
        <w:rPr>
          <w:rFonts w:eastAsia="Times New Roman" w:cs="Times New Roman"/>
          <w:b/>
          <w:bCs/>
          <w:rtl/>
          <w:lang w:eastAsia="de-DE"/>
        </w:rPr>
        <w:t>גֹּאֵל</w:t>
      </w:r>
      <w:r w:rsidRPr="00AC36A5">
        <w:rPr>
          <w:rFonts w:eastAsia="Times New Roman" w:cs="Times New Roman"/>
          <w:lang w:eastAsia="de-DE"/>
        </w:rPr>
        <w:t>.</w:t>
      </w:r>
    </w:p>
    <w:p w14:paraId="0B0AAF0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Bedingung mit Negation, unmögliche Handlung, alternative Lösung mit doppelter Zuordnung, Ausnahme und relativische Funktionsbestimmung.</w:t>
      </w:r>
    </w:p>
    <w:p w14:paraId="33E8A1A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regelt den Sonderfall fehlender Verwandtschaft und etabliert die priesterliche Entgegennahme von Wiedergutmachung bei gleichzeitiger Sühnopferanforderung.</w:t>
      </w:r>
    </w:p>
    <w:p w14:paraId="7E8ECA99"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lastRenderedPageBreak/>
        <w:t>Numeri 5,9</w:t>
      </w:r>
    </w:p>
    <w:p w14:paraId="46FF599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וְכָל־תְּרוּמָ֞ה לְכָל־קָדְשֵׁ֧י בְנֵי־יִשְׂרָאֵ֛ל אֲשֶׁר־יַקְרִ֥יבוּ לַכֹּהֵ֖ן לוֹ֥ יִהְיֶֽה׃</w:t>
      </w:r>
    </w:p>
    <w:p w14:paraId="4D1D32E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jedes Hebeopfer von allen heiligen Gaben der Söhne Jisra'el, die sie dem Priester bringen, soll ihm gehören.</w:t>
      </w:r>
    </w:p>
    <w:p w14:paraId="7436861B"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27DD6541">
          <v:rect id="_x0000_i1221" style="width:0;height:1.5pt" o:hralign="center" o:hrstd="t" o:hr="t" fillcolor="#a0a0a0" stroked="f"/>
        </w:pict>
      </w:r>
    </w:p>
    <w:p w14:paraId="6AC3B0D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universelle </w:t>
      </w:r>
      <w:r w:rsidRPr="00AC36A5">
        <w:rPr>
          <w:rFonts w:eastAsia="Times New Roman" w:cs="Times New Roman"/>
          <w:b/>
          <w:bCs/>
          <w:rtl/>
          <w:lang w:eastAsia="de-DE"/>
        </w:rPr>
        <w:t>וְכָל־תְּרוּמָה</w:t>
      </w:r>
      <w:r w:rsidRPr="00AC36A5">
        <w:rPr>
          <w:rFonts w:eastAsia="Times New Roman" w:cs="Times New Roman"/>
          <w:rtl/>
          <w:lang w:eastAsia="de-DE"/>
        </w:rPr>
        <w:t xml:space="preserve"> </w:t>
      </w:r>
      <w:r w:rsidRPr="00AC36A5">
        <w:rPr>
          <w:rFonts w:eastAsia="Times New Roman" w:cs="Times New Roman"/>
          <w:lang w:eastAsia="de-DE"/>
        </w:rPr>
        <w:t xml:space="preserve">(und jedes Hebeopfer) mit </w:t>
      </w:r>
      <w:r w:rsidRPr="00AC36A5">
        <w:rPr>
          <w:rFonts w:eastAsia="Times New Roman" w:cs="Times New Roman"/>
          <w:b/>
          <w:bCs/>
          <w:rtl/>
          <w:lang w:eastAsia="de-DE"/>
        </w:rPr>
        <w:t>כָל</w:t>
      </w:r>
      <w:r w:rsidRPr="00AC36A5">
        <w:rPr>
          <w:rFonts w:eastAsia="Times New Roman" w:cs="Times New Roman"/>
          <w:rtl/>
          <w:lang w:eastAsia="de-DE"/>
        </w:rPr>
        <w:t xml:space="preserve"> </w:t>
      </w:r>
      <w:r w:rsidRPr="00AC36A5">
        <w:rPr>
          <w:rFonts w:eastAsia="Times New Roman" w:cs="Times New Roman"/>
          <w:lang w:eastAsia="de-DE"/>
        </w:rPr>
        <w:t xml:space="preserve">(jede/alle) und </w:t>
      </w:r>
      <w:r w:rsidRPr="00AC36A5">
        <w:rPr>
          <w:rFonts w:eastAsia="Times New Roman" w:cs="Times New Roman"/>
          <w:b/>
          <w:bCs/>
          <w:rtl/>
          <w:lang w:eastAsia="de-DE"/>
        </w:rPr>
        <w:t>תְּרוּמָה</w:t>
      </w:r>
      <w:r w:rsidRPr="00AC36A5">
        <w:rPr>
          <w:rFonts w:eastAsia="Times New Roman" w:cs="Times New Roman"/>
          <w:rtl/>
          <w:lang w:eastAsia="de-DE"/>
        </w:rPr>
        <w:t xml:space="preserve"> </w:t>
      </w:r>
      <w:r w:rsidRPr="00AC36A5">
        <w:rPr>
          <w:rFonts w:eastAsia="Times New Roman" w:cs="Times New Roman"/>
          <w:lang w:eastAsia="de-DE"/>
        </w:rPr>
        <w:t>(Hebeopfer/Abgabe) zeigt die umfassende Regelung priesterlicher Einkünfte.</w:t>
      </w:r>
    </w:p>
    <w:p w14:paraId="7065269D" w14:textId="4A2F2313"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w:t>
      </w:r>
      <w:r w:rsidR="00F133EC">
        <w:rPr>
          <w:rFonts w:eastAsia="Times New Roman" w:cs="Times New Roman"/>
          <w:lang w:eastAsia="de-DE"/>
        </w:rPr>
        <w:t>Construct</w:t>
      </w:r>
      <w:r w:rsidRPr="00AC36A5">
        <w:rPr>
          <w:rFonts w:eastAsia="Times New Roman" w:cs="Times New Roman"/>
          <w:lang w:eastAsia="de-DE"/>
        </w:rPr>
        <w:t xml:space="preserve">verbindung </w:t>
      </w:r>
      <w:r w:rsidRPr="00AC36A5">
        <w:rPr>
          <w:rFonts w:eastAsia="Times New Roman" w:cs="Times New Roman"/>
          <w:b/>
          <w:bCs/>
          <w:rtl/>
          <w:lang w:eastAsia="de-DE"/>
        </w:rPr>
        <w:t>לְכָל־קָדְשֵׁי בְנֵי־יִשְׂרָאֵל</w:t>
      </w:r>
      <w:r w:rsidRPr="00AC36A5">
        <w:rPr>
          <w:rFonts w:eastAsia="Times New Roman" w:cs="Times New Roman"/>
          <w:rtl/>
          <w:lang w:eastAsia="de-DE"/>
        </w:rPr>
        <w:t xml:space="preserve"> </w:t>
      </w:r>
      <w:r w:rsidRPr="00AC36A5">
        <w:rPr>
          <w:rFonts w:eastAsia="Times New Roman" w:cs="Times New Roman"/>
          <w:lang w:eastAsia="de-DE"/>
        </w:rPr>
        <w:t xml:space="preserve">(von allen heiligen Gaben der Söhne Israels) mit </w:t>
      </w:r>
      <w:r w:rsidRPr="00AC36A5">
        <w:rPr>
          <w:rFonts w:eastAsia="Times New Roman" w:cs="Times New Roman"/>
          <w:b/>
          <w:bCs/>
          <w:rtl/>
          <w:lang w:eastAsia="de-DE"/>
        </w:rPr>
        <w:t>קָדְשֵׁי</w:t>
      </w:r>
      <w:r w:rsidRPr="00AC36A5">
        <w:rPr>
          <w:rFonts w:eastAsia="Times New Roman" w:cs="Times New Roman"/>
          <w:rtl/>
          <w:lang w:eastAsia="de-DE"/>
        </w:rPr>
        <w:t xml:space="preserve"> </w:t>
      </w:r>
      <w:r w:rsidRPr="00AC36A5">
        <w:rPr>
          <w:rFonts w:eastAsia="Times New Roman" w:cs="Times New Roman"/>
          <w:lang w:eastAsia="de-DE"/>
        </w:rPr>
        <w:t xml:space="preserve">(heilige Dinge von) im </w:t>
      </w:r>
      <w:r w:rsidR="00F133EC">
        <w:rPr>
          <w:rFonts w:eastAsia="Times New Roman" w:cs="Times New Roman"/>
          <w:lang w:eastAsia="de-DE"/>
        </w:rPr>
        <w:t>Construct</w:t>
      </w:r>
      <w:r w:rsidRPr="00AC36A5">
        <w:rPr>
          <w:rFonts w:eastAsia="Times New Roman" w:cs="Times New Roman"/>
          <w:lang w:eastAsia="de-DE"/>
        </w:rPr>
        <w:t xml:space="preserve"> Plural spezifiziert die Quelle der Abgaben.</w:t>
      </w:r>
    </w:p>
    <w:p w14:paraId="7387397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Relativsatz </w:t>
      </w:r>
      <w:r w:rsidRPr="00AC36A5">
        <w:rPr>
          <w:rFonts w:eastAsia="Times New Roman" w:cs="Times New Roman"/>
          <w:b/>
          <w:bCs/>
          <w:rtl/>
          <w:lang w:eastAsia="de-DE"/>
        </w:rPr>
        <w:t>אֲשֶׁר־יַקְרִיבוּ לַכֹּהֵן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יַקְרִיבוּ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קרב</w:t>
      </w:r>
      <w:r w:rsidRPr="00AC36A5">
        <w:rPr>
          <w:rFonts w:eastAsia="Times New Roman" w:cs="Times New Roman"/>
          <w:rtl/>
          <w:lang w:eastAsia="de-DE"/>
        </w:rPr>
        <w:t xml:space="preserve"> </w:t>
      </w:r>
      <w:r w:rsidRPr="00AC36A5">
        <w:rPr>
          <w:rFonts w:eastAsia="Times New Roman" w:cs="Times New Roman"/>
          <w:lang w:eastAsia="de-DE"/>
        </w:rPr>
        <w:t xml:space="preserve">(nahen/darbringen) im Hiph'il-Imperfekt 3. maskulin Plural und </w:t>
      </w:r>
      <w:r w:rsidRPr="00AC36A5">
        <w:rPr>
          <w:rFonts w:eastAsia="Times New Roman" w:cs="Times New Roman"/>
          <w:b/>
          <w:bCs/>
          <w:rtl/>
          <w:lang w:eastAsia="de-DE"/>
        </w:rPr>
        <w:t>לַכֹּהֵן</w:t>
      </w:r>
      <w:r w:rsidRPr="00AC36A5">
        <w:rPr>
          <w:rFonts w:eastAsia="Times New Roman" w:cs="Times New Roman"/>
          <w:rtl/>
          <w:lang w:eastAsia="de-DE"/>
        </w:rPr>
        <w:t xml:space="preserve"> </w:t>
      </w:r>
      <w:r w:rsidRPr="00AC36A5">
        <w:rPr>
          <w:rFonts w:eastAsia="Times New Roman" w:cs="Times New Roman"/>
          <w:lang w:eastAsia="de-DE"/>
        </w:rPr>
        <w:t>(dem Priester) zeigt die Übergabehandlung.</w:t>
      </w:r>
    </w:p>
    <w:p w14:paraId="25B366D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Der Folgesatz </w:t>
      </w:r>
      <w:r w:rsidRPr="00AC36A5">
        <w:rPr>
          <w:rFonts w:eastAsia="Times New Roman" w:cs="Times New Roman"/>
          <w:b/>
          <w:bCs/>
          <w:rtl/>
          <w:lang w:eastAsia="de-DE"/>
        </w:rPr>
        <w:t>לוֹ יִהְיֶה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לוֹ</w:t>
      </w:r>
      <w:r w:rsidRPr="00AC36A5">
        <w:rPr>
          <w:rFonts w:eastAsia="Times New Roman" w:cs="Times New Roman"/>
          <w:rtl/>
          <w:lang w:eastAsia="de-DE"/>
        </w:rPr>
        <w:t xml:space="preserve"> </w:t>
      </w:r>
      <w:r w:rsidRPr="00AC36A5">
        <w:rPr>
          <w:rFonts w:eastAsia="Times New Roman" w:cs="Times New Roman"/>
          <w:lang w:eastAsia="de-DE"/>
        </w:rPr>
        <w:t xml:space="preserve">(ihm) und </w:t>
      </w:r>
      <w:r w:rsidRPr="00AC36A5">
        <w:rPr>
          <w:rFonts w:eastAsia="Times New Roman" w:cs="Times New Roman"/>
          <w:b/>
          <w:bCs/>
          <w:rtl/>
          <w:lang w:eastAsia="de-DE"/>
        </w:rPr>
        <w:t>יִהְיֶה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היה</w:t>
      </w:r>
      <w:r w:rsidRPr="00AC36A5">
        <w:rPr>
          <w:rFonts w:eastAsia="Times New Roman" w:cs="Times New Roman"/>
          <w:rtl/>
          <w:lang w:eastAsia="de-DE"/>
        </w:rPr>
        <w:t xml:space="preserve"> </w:t>
      </w:r>
      <w:r w:rsidRPr="00AC36A5">
        <w:rPr>
          <w:rFonts w:eastAsia="Times New Roman" w:cs="Times New Roman"/>
          <w:lang w:eastAsia="de-DE"/>
        </w:rPr>
        <w:t>(sein) im Qal-Imperfekt 3. maskulin Singular etabliert das priesterliche Eigentumsrecht.</w:t>
      </w:r>
    </w:p>
    <w:p w14:paraId="6E7C0D6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πᾶσα ἀπαρχὴ κατὰ πάντα τὰ ἁγιαζόμενα ἐν υἱοῖς Ισραηλ ὅσα ἂν προσφέρωσιν τῷ ἱερεῖ αὐτῷ ἔσται und verwendet ἀπαρχή (Erstling) für </w:t>
      </w:r>
      <w:r w:rsidRPr="00AC36A5">
        <w:rPr>
          <w:rFonts w:eastAsia="Times New Roman" w:cs="Times New Roman"/>
          <w:b/>
          <w:bCs/>
          <w:rtl/>
          <w:lang w:eastAsia="de-DE"/>
        </w:rPr>
        <w:t>תְּרוּמָה</w:t>
      </w:r>
      <w:r w:rsidRPr="00AC36A5">
        <w:rPr>
          <w:rFonts w:eastAsia="Times New Roman" w:cs="Times New Roman"/>
          <w:lang w:eastAsia="de-DE"/>
        </w:rPr>
        <w:t>.</w:t>
      </w:r>
    </w:p>
    <w:p w14:paraId="281B3270" w14:textId="6DEBA6A4"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universelle Bestimmung mit </w:t>
      </w:r>
      <w:r w:rsidR="00F133EC">
        <w:rPr>
          <w:rFonts w:eastAsia="Times New Roman" w:cs="Times New Roman"/>
          <w:lang w:eastAsia="de-DE"/>
        </w:rPr>
        <w:t>Construct</w:t>
      </w:r>
      <w:r w:rsidRPr="00AC36A5">
        <w:rPr>
          <w:rFonts w:eastAsia="Times New Roman" w:cs="Times New Roman"/>
          <w:lang w:eastAsia="de-DE"/>
        </w:rPr>
        <w:t>verbindung, relativischer Spezifikation und abschließender Eigentumsdeklaration.</w:t>
      </w:r>
    </w:p>
    <w:p w14:paraId="366ABCA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das allgemeine Prinzip priesterlicher Berechtigung zu allen heiligen Abgaben als Erweiterung der spezifischen Wiedergutmachungsregelung.</w:t>
      </w:r>
    </w:p>
    <w:p w14:paraId="37D3C422"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5,10</w:t>
      </w:r>
    </w:p>
    <w:p w14:paraId="52181D0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וְאִ֥ישׁ אֶת־קֳדָשָׁ֖יו לוֹ֣ יִהְי֑וּ אִ֛ישׁ אֲשֶׁר־יִתֵּ֥ן לַכֹּהֵ֖ן לוֹ֥ יִהְיֶֽה׃</w:t>
      </w:r>
    </w:p>
    <w:p w14:paraId="021F474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jedermanns heilige Gaben sollen ihm gehören; was jemand dem Priester gibt, soll ihm gehören.</w:t>
      </w:r>
    </w:p>
    <w:p w14:paraId="04FD3FB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38249A6">
          <v:rect id="_x0000_i1222" style="width:0;height:1.5pt" o:hralign="center" o:hrstd="t" o:hr="t" fillcolor="#a0a0a0" stroked="f"/>
        </w:pict>
      </w:r>
    </w:p>
    <w:p w14:paraId="028109D3" w14:textId="2A28AA9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Die distributive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וְאִישׁ אֶת־קֳדָשָׁיו לוֹ יִהְיוּ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אִישׁ</w:t>
      </w:r>
      <w:r w:rsidRPr="00AC36A5">
        <w:rPr>
          <w:rFonts w:eastAsia="Times New Roman" w:cs="Times New Roman"/>
          <w:rtl/>
          <w:lang w:eastAsia="de-DE"/>
        </w:rPr>
        <w:t xml:space="preserve"> </w:t>
      </w:r>
      <w:r w:rsidRPr="00AC36A5">
        <w:rPr>
          <w:rFonts w:eastAsia="Times New Roman" w:cs="Times New Roman"/>
          <w:lang w:eastAsia="de-DE"/>
        </w:rPr>
        <w:t xml:space="preserve">(jeder Mann/jedermann), </w:t>
      </w:r>
      <w:r w:rsidRPr="00AC36A5">
        <w:rPr>
          <w:rFonts w:eastAsia="Times New Roman" w:cs="Times New Roman"/>
          <w:b/>
          <w:bCs/>
          <w:rtl/>
          <w:lang w:eastAsia="de-DE"/>
        </w:rPr>
        <w:t>קֳדָשָׁיו</w:t>
      </w:r>
      <w:r w:rsidRPr="00AC36A5">
        <w:rPr>
          <w:rFonts w:eastAsia="Times New Roman" w:cs="Times New Roman"/>
          <w:rtl/>
          <w:lang w:eastAsia="de-DE"/>
        </w:rPr>
        <w:t xml:space="preserve"> </w:t>
      </w:r>
      <w:r w:rsidRPr="00AC36A5">
        <w:rPr>
          <w:rFonts w:eastAsia="Times New Roman" w:cs="Times New Roman"/>
          <w:lang w:eastAsia="de-DE"/>
        </w:rPr>
        <w:t xml:space="preserve">(seine heiligen Gaben) mit Possessivsuffix 3. maskulin Singular und </w:t>
      </w:r>
      <w:r w:rsidRPr="00AC36A5">
        <w:rPr>
          <w:rFonts w:eastAsia="Times New Roman" w:cs="Times New Roman"/>
          <w:b/>
          <w:bCs/>
          <w:rtl/>
          <w:lang w:eastAsia="de-DE"/>
        </w:rPr>
        <w:t>לוֹ יִהְיוּ</w:t>
      </w:r>
      <w:r w:rsidRPr="00AC36A5">
        <w:rPr>
          <w:rFonts w:eastAsia="Times New Roman" w:cs="Times New Roman"/>
          <w:rtl/>
          <w:lang w:eastAsia="de-DE"/>
        </w:rPr>
        <w:t xml:space="preserve"> </w:t>
      </w:r>
      <w:r w:rsidRPr="00AC36A5">
        <w:rPr>
          <w:rFonts w:eastAsia="Times New Roman" w:cs="Times New Roman"/>
          <w:lang w:eastAsia="de-DE"/>
        </w:rPr>
        <w:t>(ihm sollen sie gehören) scheint zunächst zu besagen, dass jeder seine eigenen heiligen Gaben behält.</w:t>
      </w:r>
    </w:p>
    <w:p w14:paraId="2B62A7A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Klarstellung </w:t>
      </w:r>
      <w:r w:rsidRPr="00AC36A5">
        <w:rPr>
          <w:rFonts w:eastAsia="Times New Roman" w:cs="Times New Roman"/>
          <w:b/>
          <w:bCs/>
          <w:rtl/>
          <w:lang w:eastAsia="de-DE"/>
        </w:rPr>
        <w:t>אִישׁ אֲשֶׁר־יִתֵּן לַכֹּהֵן לוֹ יִהְיֶה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אִישׁ</w:t>
      </w:r>
      <w:r w:rsidRPr="00AC36A5">
        <w:rPr>
          <w:rFonts w:eastAsia="Times New Roman" w:cs="Times New Roman"/>
          <w:rtl/>
          <w:lang w:eastAsia="de-DE"/>
        </w:rPr>
        <w:t xml:space="preserve"> </w:t>
      </w:r>
      <w:r w:rsidRPr="00AC36A5">
        <w:rPr>
          <w:rFonts w:eastAsia="Times New Roman" w:cs="Times New Roman"/>
          <w:lang w:eastAsia="de-DE"/>
        </w:rPr>
        <w:t xml:space="preserve">(ein Mann), dem Relativsatz </w:t>
      </w:r>
      <w:r w:rsidRPr="00AC36A5">
        <w:rPr>
          <w:rFonts w:eastAsia="Times New Roman" w:cs="Times New Roman"/>
          <w:b/>
          <w:bCs/>
          <w:rtl/>
          <w:lang w:eastAsia="de-DE"/>
        </w:rPr>
        <w:t>אֲשֶׁר־יִתֵּן לַכֹּהֵן</w:t>
      </w:r>
      <w:r w:rsidRPr="00AC36A5">
        <w:rPr>
          <w:rFonts w:eastAsia="Times New Roman" w:cs="Times New Roman"/>
          <w:rtl/>
          <w:lang w:eastAsia="de-DE"/>
        </w:rPr>
        <w:t xml:space="preserve"> </w:t>
      </w:r>
      <w:r w:rsidRPr="00AC36A5">
        <w:rPr>
          <w:rFonts w:eastAsia="Times New Roman" w:cs="Times New Roman"/>
          <w:lang w:eastAsia="de-DE"/>
        </w:rPr>
        <w:t xml:space="preserve">(der dem Priester gibt) mit </w:t>
      </w:r>
      <w:r w:rsidRPr="00AC36A5">
        <w:rPr>
          <w:rFonts w:eastAsia="Times New Roman" w:cs="Times New Roman"/>
          <w:b/>
          <w:bCs/>
          <w:rtl/>
          <w:lang w:eastAsia="de-DE"/>
        </w:rPr>
        <w:t>יִתֵּן</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 und </w:t>
      </w:r>
      <w:r w:rsidRPr="00AC36A5">
        <w:rPr>
          <w:rFonts w:eastAsia="Times New Roman" w:cs="Times New Roman"/>
          <w:b/>
          <w:bCs/>
          <w:rtl/>
          <w:lang w:eastAsia="de-DE"/>
        </w:rPr>
        <w:t>לוֹ יִהְיֶה</w:t>
      </w:r>
      <w:r w:rsidRPr="00AC36A5">
        <w:rPr>
          <w:rFonts w:eastAsia="Times New Roman" w:cs="Times New Roman"/>
          <w:rtl/>
          <w:lang w:eastAsia="de-DE"/>
        </w:rPr>
        <w:t xml:space="preserve"> </w:t>
      </w:r>
      <w:r w:rsidRPr="00AC36A5">
        <w:rPr>
          <w:rFonts w:eastAsia="Times New Roman" w:cs="Times New Roman"/>
          <w:lang w:eastAsia="de-DE"/>
        </w:rPr>
        <w:t>(ihm soll es gehören) stellt klar, dass priesterlich übergebene Gaben definitiv priesterliches Eigentum werden.</w:t>
      </w:r>
    </w:p>
    <w:p w14:paraId="02C7861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lastRenderedPageBreak/>
        <w:t>Diese Formulierung betont sowohl die freiwillige Verfügungsgewalt über heilige Gaben als auch die unwiderrufliche Eigentumsübertragung bei priesterlicher Übergabe.</w:t>
      </w:r>
    </w:p>
    <w:p w14:paraId="3B70466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ἑκάστου τὰ ἡγιασμένα αὐτοῦ ἔσται ἀνὴρ ὃς ἐὰν δῷ τῷ ἱερεῖ αὐτῷ ἔσται und betont die individuelle Verfügungsgewalt und priesterliche Berechtigung.</w:t>
      </w:r>
    </w:p>
    <w:p w14:paraId="5D497E5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distributive Eigentumsdeklaration mit klarstellender relativischer Spezifikation der priesterlichen Übertragungsfolgen.</w:t>
      </w:r>
    </w:p>
    <w:p w14:paraId="677FA9F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betont sowohl die individuelle Verfügungsgewalt über heilige Gaben als auch die unwiderrufliche Eigentumsübertragung an den Priester bei Übergabe.</w:t>
      </w:r>
    </w:p>
    <w:p w14:paraId="27A74517"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5,11</w:t>
      </w:r>
    </w:p>
    <w:p w14:paraId="5712423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וַיְדַבֵּ֥ר יְהוָ֖ה אֶל־מֹשֶׁ֥ה לֵּאמֹֽר׃</w:t>
      </w:r>
    </w:p>
    <w:p w14:paraId="7283476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Ewige redete zu Mosche, sagend:</w:t>
      </w:r>
    </w:p>
    <w:p w14:paraId="3156BA7E"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85059BE">
          <v:rect id="_x0000_i1223" style="width:0;height:1.5pt" o:hralign="center" o:hrstd="t" o:hr="t" fillcolor="#a0a0a0" stroked="f"/>
        </w:pict>
      </w:r>
    </w:p>
    <w:p w14:paraId="673D54A7"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וַיְדַבֵּר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(reden/sprechen) im Qal-Imperfekt 3. maskulin Singular mit Waw consecutivum leitet eine weitere neue göttliche Rede ein, die einen bedeutsamen thematischen Übergang markiert.</w:t>
      </w:r>
    </w:p>
    <w:p w14:paraId="36E5858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Subjekt </w:t>
      </w:r>
      <w:r w:rsidRPr="00AC36A5">
        <w:rPr>
          <w:rFonts w:eastAsia="Times New Roman" w:cs="Times New Roman"/>
          <w:b/>
          <w:bCs/>
          <w:rtl/>
          <w:lang w:eastAsia="de-DE"/>
        </w:rPr>
        <w:t>יְהוָה</w:t>
      </w:r>
      <w:r w:rsidRPr="00AC36A5">
        <w:rPr>
          <w:rFonts w:eastAsia="Times New Roman" w:cs="Times New Roman"/>
          <w:rtl/>
          <w:lang w:eastAsia="de-DE"/>
        </w:rPr>
        <w:t xml:space="preserve"> </w:t>
      </w:r>
      <w:r w:rsidRPr="00AC36A5">
        <w:rPr>
          <w:rFonts w:eastAsia="Times New Roman" w:cs="Times New Roman"/>
          <w:lang w:eastAsia="de-DE"/>
        </w:rPr>
        <w:t xml:space="preserve">mit der präpositionalen Phrase </w:t>
      </w:r>
      <w:r w:rsidRPr="00AC36A5">
        <w:rPr>
          <w:rFonts w:eastAsia="Times New Roman" w:cs="Times New Roman"/>
          <w:b/>
          <w:bCs/>
          <w:rtl/>
          <w:lang w:eastAsia="de-DE"/>
        </w:rPr>
        <w:t>אֶל־מֹשֶׁה</w:t>
      </w:r>
      <w:r w:rsidRPr="00AC36A5">
        <w:rPr>
          <w:rFonts w:eastAsia="Times New Roman" w:cs="Times New Roman"/>
          <w:rtl/>
          <w:lang w:eastAsia="de-DE"/>
        </w:rPr>
        <w:t xml:space="preserve"> </w:t>
      </w:r>
      <w:r w:rsidRPr="00AC36A5">
        <w:rPr>
          <w:rFonts w:eastAsia="Times New Roman" w:cs="Times New Roman"/>
          <w:lang w:eastAsia="de-DE"/>
        </w:rPr>
        <w:t>entspricht der Standardoffenbarungsformel und zeigt Moses fortdauernde Vermittlerrolle.</w:t>
      </w:r>
    </w:p>
    <w:p w14:paraId="1E4147DE" w14:textId="2193173F"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abschließende </w:t>
      </w:r>
      <w:r w:rsidRPr="00AC36A5">
        <w:rPr>
          <w:rFonts w:eastAsia="Times New Roman" w:cs="Times New Roman"/>
          <w:b/>
          <w:bCs/>
          <w:rtl/>
          <w:lang w:eastAsia="de-DE"/>
        </w:rPr>
        <w:t>לֵאמֹר</w:t>
      </w:r>
      <w:r w:rsidRPr="00AC36A5">
        <w:rPr>
          <w:rFonts w:eastAsia="Times New Roman" w:cs="Times New Roman"/>
          <w:rtl/>
          <w:lang w:eastAsia="de-DE"/>
        </w:rPr>
        <w:t xml:space="preserve"> </w:t>
      </w:r>
      <w:r w:rsidRPr="00AC36A5">
        <w:rPr>
          <w:rFonts w:eastAsia="Times New Roman" w:cs="Times New Roman"/>
          <w:lang w:eastAsia="de-DE"/>
        </w:rPr>
        <w:t>als Infinitiv-</w:t>
      </w:r>
      <w:r w:rsidR="00F133EC">
        <w:rPr>
          <w:rFonts w:eastAsia="Times New Roman" w:cs="Times New Roman"/>
          <w:lang w:eastAsia="de-DE"/>
        </w:rPr>
        <w:t>Construct</w:t>
      </w:r>
      <w:r w:rsidRPr="00AC36A5">
        <w:rPr>
          <w:rFonts w:eastAsia="Times New Roman" w:cs="Times New Roman"/>
          <w:lang w:eastAsia="de-DE"/>
        </w:rPr>
        <w:t xml:space="preserve"> 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fungiert als Redeeinleitung für die folgenden komplexen Bestimmungen zum Eifersuchtsordal.</w:t>
      </w:r>
    </w:p>
    <w:p w14:paraId="496EDAB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ἐλάλησεν κύριος πρὸς Μωυσῆν λέγων und behält die Standardformel bei.</w:t>
      </w:r>
    </w:p>
    <w:p w14:paraId="3CC9EB8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die charakteristische Offenbarungsformel für einen neuen, bedeutsamen thematischen Abschnitt.</w:t>
      </w:r>
    </w:p>
    <w:p w14:paraId="295EAC8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die komplexen und umstrittenen Bestimmungen zum Eifersuchtsordal ein, die einen einzigartigen Bereich altorientalischer Rechtspraxis reflektieren.</w:t>
      </w:r>
    </w:p>
    <w:p w14:paraId="300EBB19"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5,12</w:t>
      </w:r>
    </w:p>
    <w:p w14:paraId="402C7D0F"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דַּבֵּר֙ אֶל־בְּנֵ֣י יִשְׂרָאֵ֔ל וְאָמַרְתָּ֖ אֲלֵהֶ֑ם אִ֥ישׁ אִישׁ֙ כִּֽי־תִשְׂטֶ֣ה אִשְׁתּוֹ֔ וּמָעֲלָ֥ה בוֹ֖ מָֽעַל׃</w:t>
      </w:r>
    </w:p>
    <w:p w14:paraId="05C66D2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Rede zu den Söhnen Jisra'els und sprich zu ihnen: Wenn irgendjemandes Frau abweicht und ihm untreu wird,</w:t>
      </w:r>
    </w:p>
    <w:p w14:paraId="28568707"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6D8FB25A">
          <v:rect id="_x0000_i1224" style="width:0;height:1.5pt" o:hralign="center" o:hrstd="t" o:hr="t" fillcolor="#a0a0a0" stroked="f"/>
        </w:pict>
      </w:r>
    </w:p>
    <w:p w14:paraId="1A86D5D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lastRenderedPageBreak/>
        <w:t>Kommentar:</w:t>
      </w:r>
      <w:r w:rsidRPr="00AC36A5">
        <w:rPr>
          <w:rFonts w:eastAsia="Times New Roman" w:cs="Times New Roman"/>
          <w:lang w:eastAsia="de-DE"/>
        </w:rPr>
        <w:t xml:space="preserve"> Das Verb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דבר</w:t>
      </w:r>
      <w:r w:rsidRPr="00AC36A5">
        <w:rPr>
          <w:rFonts w:eastAsia="Times New Roman" w:cs="Times New Roman"/>
          <w:rtl/>
          <w:lang w:eastAsia="de-DE"/>
        </w:rPr>
        <w:t xml:space="preserve"> </w:t>
      </w:r>
      <w:r w:rsidRPr="00AC36A5">
        <w:rPr>
          <w:rFonts w:eastAsia="Times New Roman" w:cs="Times New Roman"/>
          <w:lang w:eastAsia="de-DE"/>
        </w:rPr>
        <w:t xml:space="preserve">(reden) im Pi'el-Imperativ maskulin Singular mit </w:t>
      </w:r>
      <w:r w:rsidRPr="00AC36A5">
        <w:rPr>
          <w:rFonts w:eastAsia="Times New Roman" w:cs="Times New Roman"/>
          <w:b/>
          <w:bCs/>
          <w:rtl/>
          <w:lang w:eastAsia="de-DE"/>
        </w:rPr>
        <w:t>אֶל־בְּנֵי יִשְׂרָאֵל</w:t>
      </w:r>
      <w:r w:rsidRPr="00AC36A5">
        <w:rPr>
          <w:rFonts w:eastAsia="Times New Roman" w:cs="Times New Roman"/>
          <w:rtl/>
          <w:lang w:eastAsia="de-DE"/>
        </w:rPr>
        <w:t xml:space="preserve"> </w:t>
      </w:r>
      <w:r w:rsidRPr="00AC36A5">
        <w:rPr>
          <w:rFonts w:eastAsia="Times New Roman" w:cs="Times New Roman"/>
          <w:lang w:eastAsia="de-DE"/>
        </w:rPr>
        <w:t xml:space="preserve">zeigt die Verkündigungsanweisung. Das koordinierte Verb </w:t>
      </w:r>
      <w:r w:rsidRPr="00AC36A5">
        <w:rPr>
          <w:rFonts w:eastAsia="Times New Roman" w:cs="Times New Roman"/>
          <w:b/>
          <w:bCs/>
          <w:rtl/>
          <w:lang w:eastAsia="de-DE"/>
        </w:rPr>
        <w:t>וְאָמַרְתָּ אֲלֵהֶם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אָמַרְתָּ</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אמר</w:t>
      </w:r>
      <w:r w:rsidRPr="00AC36A5">
        <w:rPr>
          <w:rFonts w:eastAsia="Times New Roman" w:cs="Times New Roman"/>
          <w:rtl/>
          <w:lang w:eastAsia="de-DE"/>
        </w:rPr>
        <w:t xml:space="preserve"> </w:t>
      </w:r>
      <w:r w:rsidRPr="00AC36A5">
        <w:rPr>
          <w:rFonts w:eastAsia="Times New Roman" w:cs="Times New Roman"/>
          <w:lang w:eastAsia="de-DE"/>
        </w:rPr>
        <w:t>(sagen) im Qal-Perfekt 2. maskulin Singular verstärkt die Kommunikationsanweisung.</w:t>
      </w:r>
    </w:p>
    <w:p w14:paraId="41C53DDE" w14:textId="5C7C7BD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distributive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אִישׁ אִישׁ</w:t>
      </w:r>
      <w:r w:rsidRPr="00AC36A5">
        <w:rPr>
          <w:rFonts w:eastAsia="Times New Roman" w:cs="Times New Roman"/>
          <w:rtl/>
          <w:lang w:eastAsia="de-DE"/>
        </w:rPr>
        <w:t xml:space="preserve"> </w:t>
      </w:r>
      <w:r w:rsidRPr="00AC36A5">
        <w:rPr>
          <w:rFonts w:eastAsia="Times New Roman" w:cs="Times New Roman"/>
          <w:lang w:eastAsia="de-DE"/>
        </w:rPr>
        <w:t>mit der charakteristischen Reduplikation bedeutet "jeder einzelne Mann" und betont die universelle Geltung.</w:t>
      </w:r>
    </w:p>
    <w:p w14:paraId="46E3350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temporale Bedingung </w:t>
      </w:r>
      <w:r w:rsidRPr="00AC36A5">
        <w:rPr>
          <w:rFonts w:eastAsia="Times New Roman" w:cs="Times New Roman"/>
          <w:b/>
          <w:bCs/>
          <w:rtl/>
          <w:lang w:eastAsia="de-DE"/>
        </w:rPr>
        <w:t>כִּי־תִשְׂטֶה אִשְׁתּוֹ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כִּי</w:t>
      </w:r>
      <w:r w:rsidRPr="00AC36A5">
        <w:rPr>
          <w:rFonts w:eastAsia="Times New Roman" w:cs="Times New Roman"/>
          <w:rtl/>
          <w:lang w:eastAsia="de-DE"/>
        </w:rPr>
        <w:t xml:space="preserve"> </w:t>
      </w:r>
      <w:r w:rsidRPr="00AC36A5">
        <w:rPr>
          <w:rFonts w:eastAsia="Times New Roman" w:cs="Times New Roman"/>
          <w:lang w:eastAsia="de-DE"/>
        </w:rPr>
        <w:t xml:space="preserve">(wenn), </w:t>
      </w:r>
      <w:r w:rsidRPr="00AC36A5">
        <w:rPr>
          <w:rFonts w:eastAsia="Times New Roman" w:cs="Times New Roman"/>
          <w:b/>
          <w:bCs/>
          <w:rtl/>
          <w:lang w:eastAsia="de-DE"/>
        </w:rPr>
        <w:t>תִּשְׂטֶה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שטה</w:t>
      </w:r>
      <w:r w:rsidRPr="00AC36A5">
        <w:rPr>
          <w:rFonts w:eastAsia="Times New Roman" w:cs="Times New Roman"/>
          <w:rtl/>
          <w:lang w:eastAsia="de-DE"/>
        </w:rPr>
        <w:t xml:space="preserve"> </w:t>
      </w:r>
      <w:r w:rsidRPr="00AC36A5">
        <w:rPr>
          <w:rFonts w:eastAsia="Times New Roman" w:cs="Times New Roman"/>
          <w:lang w:eastAsia="de-DE"/>
        </w:rPr>
        <w:t xml:space="preserve">(abweichen/abirren) im Qal-Imperfekt 3. feminin Singular und </w:t>
      </w:r>
      <w:r w:rsidRPr="00AC36A5">
        <w:rPr>
          <w:rFonts w:eastAsia="Times New Roman" w:cs="Times New Roman"/>
          <w:b/>
          <w:bCs/>
          <w:rtl/>
          <w:lang w:eastAsia="de-DE"/>
        </w:rPr>
        <w:t>אִשְׁתּוֹ</w:t>
      </w:r>
      <w:r w:rsidRPr="00AC36A5">
        <w:rPr>
          <w:rFonts w:eastAsia="Times New Roman" w:cs="Times New Roman"/>
          <w:rtl/>
          <w:lang w:eastAsia="de-DE"/>
        </w:rPr>
        <w:t xml:space="preserve"> </w:t>
      </w:r>
      <w:r w:rsidRPr="00AC36A5">
        <w:rPr>
          <w:rFonts w:eastAsia="Times New Roman" w:cs="Times New Roman"/>
          <w:lang w:eastAsia="de-DE"/>
        </w:rPr>
        <w:t>(seine Frau) beschreibt die vermutete eheliche Untreue.</w:t>
      </w:r>
    </w:p>
    <w:p w14:paraId="157737E6" w14:textId="019CC01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koordinierte Verstärkung </w:t>
      </w:r>
      <w:r w:rsidRPr="00AC36A5">
        <w:rPr>
          <w:rFonts w:eastAsia="Times New Roman" w:cs="Times New Roman"/>
          <w:b/>
          <w:bCs/>
          <w:rtl/>
          <w:lang w:eastAsia="de-DE"/>
        </w:rPr>
        <w:t>וּמָעֲלָה בוֹ מָעַל</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מָעֲלָה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מעל</w:t>
      </w:r>
      <w:r w:rsidRPr="00AC36A5">
        <w:rPr>
          <w:rFonts w:eastAsia="Times New Roman" w:cs="Times New Roman"/>
          <w:rtl/>
          <w:lang w:eastAsia="de-DE"/>
        </w:rPr>
        <w:t xml:space="preserve"> </w:t>
      </w:r>
      <w:r w:rsidRPr="00AC36A5">
        <w:rPr>
          <w:rFonts w:eastAsia="Times New Roman" w:cs="Times New Roman"/>
          <w:lang w:eastAsia="de-DE"/>
        </w:rPr>
        <w:t xml:space="preserve">(untreu sein) im Qal-Perfekt 3. feminin Singular, </w:t>
      </w:r>
      <w:r w:rsidRPr="00AC36A5">
        <w:rPr>
          <w:rFonts w:eastAsia="Times New Roman" w:cs="Times New Roman"/>
          <w:b/>
          <w:bCs/>
          <w:rtl/>
          <w:lang w:eastAsia="de-DE"/>
        </w:rPr>
        <w:t>בוֹ</w:t>
      </w:r>
      <w:r w:rsidRPr="00AC36A5">
        <w:rPr>
          <w:rFonts w:eastAsia="Times New Roman" w:cs="Times New Roman"/>
          <w:rtl/>
          <w:lang w:eastAsia="de-DE"/>
        </w:rPr>
        <w:t xml:space="preserve"> </w:t>
      </w:r>
      <w:r w:rsidRPr="00AC36A5">
        <w:rPr>
          <w:rFonts w:eastAsia="Times New Roman" w:cs="Times New Roman"/>
          <w:lang w:eastAsia="de-DE"/>
        </w:rPr>
        <w:t xml:space="preserve">(an ihm) und der reduplikativen </w:t>
      </w:r>
      <w:r w:rsidR="00F133EC">
        <w:rPr>
          <w:rFonts w:eastAsia="Times New Roman" w:cs="Times New Roman"/>
          <w:lang w:eastAsia="de-DE"/>
        </w:rPr>
        <w:t>Construct</w:t>
      </w:r>
      <w:r w:rsidRPr="00AC36A5">
        <w:rPr>
          <w:rFonts w:eastAsia="Times New Roman" w:cs="Times New Roman"/>
          <w:lang w:eastAsia="de-DE"/>
        </w:rPr>
        <w:t xml:space="preserve">ion </w:t>
      </w:r>
      <w:r w:rsidRPr="00AC36A5">
        <w:rPr>
          <w:rFonts w:eastAsia="Times New Roman" w:cs="Times New Roman"/>
          <w:b/>
          <w:bCs/>
          <w:rtl/>
          <w:lang w:eastAsia="de-DE"/>
        </w:rPr>
        <w:t>מָעַל</w:t>
      </w:r>
      <w:r w:rsidRPr="00AC36A5">
        <w:rPr>
          <w:rFonts w:eastAsia="Times New Roman" w:cs="Times New Roman"/>
          <w:rtl/>
          <w:lang w:eastAsia="de-DE"/>
        </w:rPr>
        <w:t xml:space="preserve"> </w:t>
      </w:r>
      <w:r w:rsidRPr="00AC36A5">
        <w:rPr>
          <w:rFonts w:eastAsia="Times New Roman" w:cs="Times New Roman"/>
          <w:lang w:eastAsia="de-DE"/>
        </w:rPr>
        <w:t>(Untreue) intensiviert die Schwere des Vergehens.</w:t>
      </w:r>
    </w:p>
    <w:p w14:paraId="7F279455" w14:textId="77777777" w:rsidR="006B48FB" w:rsidRDefault="006B48FB" w:rsidP="00AC36A5">
      <w:pPr>
        <w:spacing w:before="100" w:beforeAutospacing="1" w:after="100" w:afterAutospacing="1" w:line="240" w:lineRule="auto"/>
      </w:pPr>
      <w:r>
        <w:rPr>
          <w:rStyle w:val="Fett"/>
        </w:rPr>
        <w:t>Die LXX</w:t>
      </w:r>
      <w:r>
        <w:t xml:space="preserve"> übersetzt </w:t>
      </w:r>
      <w:r w:rsidRPr="006B48FB">
        <w:rPr>
          <w:b/>
          <w:bCs/>
          <w:rtl/>
        </w:rPr>
        <w:t>כי־תשטה אשתו</w:t>
      </w:r>
      <w:r>
        <w:t xml:space="preserve"> (ki-tisteh ishto - "wenn seine Frau abweicht") als ἐὰν παραβῇ ἡ γυνὴ αὐτοῦ (wenn seine Frau übertritt). </w:t>
      </w:r>
      <w:r w:rsidRPr="006B48FB">
        <w:rPr>
          <w:b/>
          <w:bCs/>
          <w:rtl/>
        </w:rPr>
        <w:t>ומעלה בו מעל</w:t>
      </w:r>
      <w:r>
        <w:t xml:space="preserve"> (uma'alah vo ma'al - "und Untreue gegen ihn begeht") wird als καὶ παρίδῃ αὐτὸν ὑπεριδοῦσα (und ihn verachtend verachtet) übersetzt, was die emotionale Dimension verstärkt.</w:t>
      </w:r>
    </w:p>
    <w:p w14:paraId="65293729" w14:textId="24201DE5"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doppelte Verkündigungsanweisung mit distributiver Universalisierung, temporaler Bedingung und reduplikativer Untreuecharakterisierung.</w:t>
      </w:r>
    </w:p>
    <w:p w14:paraId="793601F9"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leitet die Eifersuchtsgesetze ein und etabliert durch die doppelte Verkündigungsanweisung und reduplikative Formulierungen die Schwere des behandelten Themas.</w:t>
      </w:r>
    </w:p>
    <w:p w14:paraId="604E877F"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5,13</w:t>
      </w:r>
    </w:p>
    <w:p w14:paraId="3FB0FA2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וְשָׁכַ֨ב אִ֣ישׁ אֹתָהּ֮ שִׁכְבַת־זֶרַע֒ וְנֶעְלַם֙ מֵעֵינֵ֣י אִישָׁ֔הּ וְנִסְתְּרָ֖ה וְהִ֣יא נִטְמָ֑אָה וְעֵד֙ אֵ֣ין בָּ֔הּ וְהִ֖וא לֹ֥א נִתְפָּֽשָׂה׃</w:t>
      </w:r>
    </w:p>
    <w:p w14:paraId="0379EDB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ein Mann liegt bei ihr zur Begattung, und es ist verborgen vor den Augen ihres Mannes, und sie hat sich im Geheimen verunreinigt, und es ist kein Zeuge gegen sie, und sie ist nicht ertappt worden;</w:t>
      </w:r>
    </w:p>
    <w:p w14:paraId="77A1FBEB"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850B8A7">
          <v:rect id="_x0000_i1225" style="width:0;height:1.5pt" o:hralign="center" o:hrstd="t" o:hr="t" fillcolor="#a0a0a0" stroked="f"/>
        </w:pict>
      </w:r>
    </w:p>
    <w:p w14:paraId="1C4A502C" w14:textId="12413ABB"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וְשָׁכַב</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שכב</w:t>
      </w:r>
      <w:r w:rsidRPr="00AC36A5">
        <w:rPr>
          <w:rFonts w:eastAsia="Times New Roman" w:cs="Times New Roman"/>
          <w:rtl/>
          <w:lang w:eastAsia="de-DE"/>
        </w:rPr>
        <w:t xml:space="preserve"> </w:t>
      </w:r>
      <w:r w:rsidRPr="00AC36A5">
        <w:rPr>
          <w:rFonts w:eastAsia="Times New Roman" w:cs="Times New Roman"/>
          <w:lang w:eastAsia="de-DE"/>
        </w:rPr>
        <w:t xml:space="preserve">(liegen) im Qal-Perfekt 3. maskulin Singular mit Waw consecutivum und </w:t>
      </w:r>
      <w:r w:rsidRPr="00AC36A5">
        <w:rPr>
          <w:rFonts w:eastAsia="Times New Roman" w:cs="Times New Roman"/>
          <w:b/>
          <w:bCs/>
          <w:rtl/>
          <w:lang w:eastAsia="de-DE"/>
        </w:rPr>
        <w:t>אִישׁ אֹתָהּ</w:t>
      </w:r>
      <w:r w:rsidRPr="00AC36A5">
        <w:rPr>
          <w:rFonts w:eastAsia="Times New Roman" w:cs="Times New Roman"/>
          <w:rtl/>
          <w:lang w:eastAsia="de-DE"/>
        </w:rPr>
        <w:t xml:space="preserve"> </w:t>
      </w:r>
      <w:r w:rsidRPr="00AC36A5">
        <w:rPr>
          <w:rFonts w:eastAsia="Times New Roman" w:cs="Times New Roman"/>
          <w:lang w:eastAsia="de-DE"/>
        </w:rPr>
        <w:t xml:space="preserve">(ein Mann sie) beschreibt den vermuteten Ehebruch. Die spezifizierende Phrase </w:t>
      </w:r>
      <w:r w:rsidRPr="00AC36A5">
        <w:rPr>
          <w:rFonts w:eastAsia="Times New Roman" w:cs="Times New Roman"/>
          <w:b/>
          <w:bCs/>
          <w:rtl/>
          <w:lang w:eastAsia="de-DE"/>
        </w:rPr>
        <w:t>שִׁכְבַת־זֶרַע</w:t>
      </w:r>
      <w:r w:rsidRPr="00AC36A5">
        <w:rPr>
          <w:rFonts w:eastAsia="Times New Roman" w:cs="Times New Roman"/>
          <w:rtl/>
          <w:lang w:eastAsia="de-DE"/>
        </w:rPr>
        <w:t xml:space="preserve"> </w:t>
      </w:r>
      <w:r w:rsidRPr="00AC36A5">
        <w:rPr>
          <w:rFonts w:eastAsia="Times New Roman" w:cs="Times New Roman"/>
          <w:lang w:eastAsia="de-DE"/>
        </w:rPr>
        <w:t xml:space="preserve">(Liegen des Samens) im </w:t>
      </w:r>
      <w:r w:rsidR="00F133EC">
        <w:rPr>
          <w:rFonts w:eastAsia="Times New Roman" w:cs="Times New Roman"/>
          <w:lang w:eastAsia="de-DE"/>
        </w:rPr>
        <w:t>Construct</w:t>
      </w:r>
      <w:r w:rsidRPr="00AC36A5">
        <w:rPr>
          <w:rFonts w:eastAsia="Times New Roman" w:cs="Times New Roman"/>
          <w:lang w:eastAsia="de-DE"/>
        </w:rPr>
        <w:t xml:space="preserve"> macht die sexuelle Natur des Aktes explizit.</w:t>
      </w:r>
    </w:p>
    <w:p w14:paraId="69F26DB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fünffache Beschreibung der Heimlichkeit zeigt die Beweisschwierigkeit:</w:t>
      </w:r>
    </w:p>
    <w:p w14:paraId="1468EFFD" w14:textId="77777777" w:rsidR="00AC36A5" w:rsidRPr="00AC36A5" w:rsidRDefault="00AC36A5" w:rsidP="00AB62F3">
      <w:pPr>
        <w:numPr>
          <w:ilvl w:val="0"/>
          <w:numId w:val="1"/>
        </w:num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וְנֶעְלַם מֵעֵינֵי אִישָׁהּ</w:t>
      </w:r>
      <w:r w:rsidRPr="00AC36A5">
        <w:rPr>
          <w:rFonts w:eastAsia="Times New Roman" w:cs="Times New Roman"/>
          <w:rtl/>
          <w:lang w:eastAsia="de-DE"/>
        </w:rPr>
        <w:t xml:space="preserve"> </w:t>
      </w:r>
      <w:r w:rsidRPr="00AC36A5">
        <w:rPr>
          <w:rFonts w:eastAsia="Times New Roman" w:cs="Times New Roman"/>
          <w:lang w:eastAsia="de-DE"/>
        </w:rPr>
        <w:t xml:space="preserve">(und es war verborgen vor den Augen ihres Mannes) mit </w:t>
      </w:r>
      <w:r w:rsidRPr="00AC36A5">
        <w:rPr>
          <w:rFonts w:eastAsia="Times New Roman" w:cs="Times New Roman"/>
          <w:b/>
          <w:bCs/>
          <w:rtl/>
          <w:lang w:eastAsia="de-DE"/>
        </w:rPr>
        <w:t>נֶעְלַם</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עלם</w:t>
      </w:r>
      <w:r w:rsidRPr="00AC36A5">
        <w:rPr>
          <w:rFonts w:eastAsia="Times New Roman" w:cs="Times New Roman"/>
          <w:rtl/>
          <w:lang w:eastAsia="de-DE"/>
        </w:rPr>
        <w:t xml:space="preserve"> </w:t>
      </w:r>
      <w:r w:rsidRPr="00AC36A5">
        <w:rPr>
          <w:rFonts w:eastAsia="Times New Roman" w:cs="Times New Roman"/>
          <w:lang w:eastAsia="de-DE"/>
        </w:rPr>
        <w:t>(verborgen sein) im Niph'al-Perfekt</w:t>
      </w:r>
    </w:p>
    <w:p w14:paraId="18CB67D9" w14:textId="77777777" w:rsidR="00AC36A5" w:rsidRPr="00AC36A5" w:rsidRDefault="00AC36A5" w:rsidP="00AB62F3">
      <w:pPr>
        <w:numPr>
          <w:ilvl w:val="0"/>
          <w:numId w:val="1"/>
        </w:num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וְנִסְתְּרָה</w:t>
      </w:r>
      <w:r w:rsidRPr="00AC36A5">
        <w:rPr>
          <w:rFonts w:eastAsia="Times New Roman" w:cs="Times New Roman"/>
          <w:rtl/>
          <w:lang w:eastAsia="de-DE"/>
        </w:rPr>
        <w:t xml:space="preserve"> </w:t>
      </w:r>
      <w:r w:rsidRPr="00AC36A5">
        <w:rPr>
          <w:rFonts w:eastAsia="Times New Roman" w:cs="Times New Roman"/>
          <w:lang w:eastAsia="de-DE"/>
        </w:rPr>
        <w:t xml:space="preserve">(und sie hat sich versteckt) von </w:t>
      </w:r>
      <w:r w:rsidRPr="00AC36A5">
        <w:rPr>
          <w:rFonts w:eastAsia="Times New Roman" w:cs="Times New Roman"/>
          <w:b/>
          <w:bCs/>
          <w:rtl/>
          <w:lang w:eastAsia="de-DE"/>
        </w:rPr>
        <w:t>סתר</w:t>
      </w:r>
      <w:r w:rsidRPr="00AC36A5">
        <w:rPr>
          <w:rFonts w:eastAsia="Times New Roman" w:cs="Times New Roman"/>
          <w:rtl/>
          <w:lang w:eastAsia="de-DE"/>
        </w:rPr>
        <w:t xml:space="preserve"> </w:t>
      </w:r>
      <w:r w:rsidRPr="00AC36A5">
        <w:rPr>
          <w:rFonts w:eastAsia="Times New Roman" w:cs="Times New Roman"/>
          <w:lang w:eastAsia="de-DE"/>
        </w:rPr>
        <w:t>(verbergen) im Niph'al-Perfekt 3. feminin Singular</w:t>
      </w:r>
    </w:p>
    <w:p w14:paraId="4E5BA661" w14:textId="77777777" w:rsidR="00AC36A5" w:rsidRPr="00AC36A5" w:rsidRDefault="00AC36A5" w:rsidP="00AB62F3">
      <w:pPr>
        <w:numPr>
          <w:ilvl w:val="0"/>
          <w:numId w:val="1"/>
        </w:num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lastRenderedPageBreak/>
        <w:t>וְהִיא נִטְמָאָה</w:t>
      </w:r>
      <w:r w:rsidRPr="00AC36A5">
        <w:rPr>
          <w:rFonts w:eastAsia="Times New Roman" w:cs="Times New Roman"/>
          <w:rtl/>
          <w:lang w:eastAsia="de-DE"/>
        </w:rPr>
        <w:t xml:space="preserve"> </w:t>
      </w:r>
      <w:r w:rsidRPr="00AC36A5">
        <w:rPr>
          <w:rFonts w:eastAsia="Times New Roman" w:cs="Times New Roman"/>
          <w:lang w:eastAsia="de-DE"/>
        </w:rPr>
        <w:t xml:space="preserve">(und sie hat sich verunreinigt) mit </w:t>
      </w:r>
      <w:r w:rsidRPr="00AC36A5">
        <w:rPr>
          <w:rFonts w:eastAsia="Times New Roman" w:cs="Times New Roman"/>
          <w:b/>
          <w:bCs/>
          <w:rtl/>
          <w:lang w:eastAsia="de-DE"/>
        </w:rPr>
        <w:t>נִטְמָאָה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טמא</w:t>
      </w:r>
      <w:r w:rsidRPr="00AC36A5">
        <w:rPr>
          <w:rFonts w:eastAsia="Times New Roman" w:cs="Times New Roman"/>
          <w:rtl/>
          <w:lang w:eastAsia="de-DE"/>
        </w:rPr>
        <w:t xml:space="preserve"> </w:t>
      </w:r>
      <w:r w:rsidRPr="00AC36A5">
        <w:rPr>
          <w:rFonts w:eastAsia="Times New Roman" w:cs="Times New Roman"/>
          <w:lang w:eastAsia="de-DE"/>
        </w:rPr>
        <w:t>(unrein werden) im Niph'al-Perfekt 3. feminin Singular</w:t>
      </w:r>
    </w:p>
    <w:p w14:paraId="2D0ABA12" w14:textId="77777777" w:rsidR="00AC36A5" w:rsidRPr="00AC36A5" w:rsidRDefault="00AC36A5" w:rsidP="00AB62F3">
      <w:pPr>
        <w:numPr>
          <w:ilvl w:val="0"/>
          <w:numId w:val="1"/>
        </w:num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וְעֵד אֵין בָּהּ</w:t>
      </w:r>
      <w:r w:rsidRPr="00AC36A5">
        <w:rPr>
          <w:rFonts w:eastAsia="Times New Roman" w:cs="Times New Roman"/>
          <w:rtl/>
          <w:lang w:eastAsia="de-DE"/>
        </w:rPr>
        <w:t xml:space="preserve"> </w:t>
      </w:r>
      <w:r w:rsidRPr="00AC36A5">
        <w:rPr>
          <w:rFonts w:eastAsia="Times New Roman" w:cs="Times New Roman"/>
          <w:lang w:eastAsia="de-DE"/>
        </w:rPr>
        <w:t xml:space="preserve">(und kein Zeuge ist gegen sie) mit </w:t>
      </w:r>
      <w:r w:rsidRPr="00AC36A5">
        <w:rPr>
          <w:rFonts w:eastAsia="Times New Roman" w:cs="Times New Roman"/>
          <w:b/>
          <w:bCs/>
          <w:rtl/>
          <w:lang w:eastAsia="de-DE"/>
        </w:rPr>
        <w:t>עֵד</w:t>
      </w:r>
      <w:r w:rsidRPr="00AC36A5">
        <w:rPr>
          <w:rFonts w:eastAsia="Times New Roman" w:cs="Times New Roman"/>
          <w:rtl/>
          <w:lang w:eastAsia="de-DE"/>
        </w:rPr>
        <w:t xml:space="preserve"> </w:t>
      </w:r>
      <w:r w:rsidRPr="00AC36A5">
        <w:rPr>
          <w:rFonts w:eastAsia="Times New Roman" w:cs="Times New Roman"/>
          <w:lang w:eastAsia="de-DE"/>
        </w:rPr>
        <w:t xml:space="preserve">(Zeuge) und </w:t>
      </w:r>
      <w:r w:rsidRPr="00AC36A5">
        <w:rPr>
          <w:rFonts w:eastAsia="Times New Roman" w:cs="Times New Roman"/>
          <w:b/>
          <w:bCs/>
          <w:rtl/>
          <w:lang w:eastAsia="de-DE"/>
        </w:rPr>
        <w:t>אֵין</w:t>
      </w:r>
      <w:r w:rsidRPr="00AC36A5">
        <w:rPr>
          <w:rFonts w:eastAsia="Times New Roman" w:cs="Times New Roman"/>
          <w:rtl/>
          <w:lang w:eastAsia="de-DE"/>
        </w:rPr>
        <w:t xml:space="preserve"> </w:t>
      </w:r>
      <w:r w:rsidRPr="00AC36A5">
        <w:rPr>
          <w:rFonts w:eastAsia="Times New Roman" w:cs="Times New Roman"/>
          <w:lang w:eastAsia="de-DE"/>
        </w:rPr>
        <w:t>(nicht ist)</w:t>
      </w:r>
    </w:p>
    <w:p w14:paraId="0F910E6C" w14:textId="77777777" w:rsidR="00AC36A5" w:rsidRPr="00AC36A5" w:rsidRDefault="00AC36A5" w:rsidP="00AB62F3">
      <w:pPr>
        <w:numPr>
          <w:ilvl w:val="0"/>
          <w:numId w:val="1"/>
        </w:numPr>
        <w:spacing w:before="100" w:beforeAutospacing="1" w:after="100" w:afterAutospacing="1" w:line="240" w:lineRule="auto"/>
        <w:rPr>
          <w:rFonts w:eastAsia="Times New Roman" w:cs="Times New Roman"/>
          <w:lang w:eastAsia="de-DE"/>
        </w:rPr>
      </w:pPr>
      <w:r w:rsidRPr="00AC36A5">
        <w:rPr>
          <w:rFonts w:eastAsia="Times New Roman" w:cs="Times New Roman"/>
          <w:b/>
          <w:bCs/>
          <w:rtl/>
          <w:lang w:eastAsia="de-DE"/>
        </w:rPr>
        <w:t>וְהִוא לֹא נִתְפָּשָׂה</w:t>
      </w:r>
      <w:r w:rsidRPr="00AC36A5">
        <w:rPr>
          <w:rFonts w:eastAsia="Times New Roman" w:cs="Times New Roman"/>
          <w:rtl/>
          <w:lang w:eastAsia="de-DE"/>
        </w:rPr>
        <w:t xml:space="preserve"> </w:t>
      </w:r>
      <w:r w:rsidRPr="00AC36A5">
        <w:rPr>
          <w:rFonts w:eastAsia="Times New Roman" w:cs="Times New Roman"/>
          <w:lang w:eastAsia="de-DE"/>
        </w:rPr>
        <w:t xml:space="preserve">(und sie wurde nicht ertappt) mit </w:t>
      </w:r>
      <w:r w:rsidRPr="00AC36A5">
        <w:rPr>
          <w:rFonts w:eastAsia="Times New Roman" w:cs="Times New Roman"/>
          <w:b/>
          <w:bCs/>
          <w:rtl/>
          <w:lang w:eastAsia="de-DE"/>
        </w:rPr>
        <w:t>נִתְפָּשָׂה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תפש</w:t>
      </w:r>
      <w:r w:rsidRPr="00AC36A5">
        <w:rPr>
          <w:rFonts w:eastAsia="Times New Roman" w:cs="Times New Roman"/>
          <w:rtl/>
          <w:lang w:eastAsia="de-DE"/>
        </w:rPr>
        <w:t xml:space="preserve"> </w:t>
      </w:r>
      <w:r w:rsidRPr="00AC36A5">
        <w:rPr>
          <w:rFonts w:eastAsia="Times New Roman" w:cs="Times New Roman"/>
          <w:lang w:eastAsia="de-DE"/>
        </w:rPr>
        <w:t>(ergreifen/ertappen) im Niph'al-Perfekt 3. feminin Singular</w:t>
      </w:r>
    </w:p>
    <w:p w14:paraId="4AE2FC75"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Die LXX</w:t>
      </w:r>
      <w:r w:rsidRPr="00AC36A5">
        <w:rPr>
          <w:rFonts w:eastAsia="Times New Roman" w:cs="Times New Roman"/>
          <w:lang w:eastAsia="de-DE"/>
        </w:rPr>
        <w:t xml:space="preserve"> übersetzt καὶ κοιμηθῇ τις μετ᾽ αὐτῆς κοίτην σπέρματος καὶ λάθῃ ἐξ ὀφθαλμῶν τοῦ ἀνδρὸς αὐτῆς καὶ κρύψῃ αὐτὴ δὲ ᾖ μεμιαμμένη καὶ μάρτυς μὴ ᾖ μετ᾽ αὐτῆς καὶ αὐτὴ μὴ ᾖ συνειλημμένη und betont die Heimlichkeit.</w:t>
      </w:r>
    </w:p>
    <w:p w14:paraId="00FBE95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detaillierte Beschreibung heimlichen Ehebruchs mit fünffacher Betonung der Unbeweisbarkeit.</w:t>
      </w:r>
    </w:p>
    <w:p w14:paraId="5B32E04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Problemstellung des Eifersuchtsordals: vermuteter aber unbeweisbarer Ehebruch.</w:t>
      </w:r>
    </w:p>
    <w:p w14:paraId="49D3F14B"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t>Numeri 5,14</w:t>
      </w:r>
    </w:p>
    <w:p w14:paraId="62DCB132"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וְעָבַ֨ר עָלָ֧יו רֽוּחַ־קִנְאָ֛ה וְקִנֵּ֥א אֶת־אִשְׁתּוֹ֖ וְהִ֣וא נִטְמָ֑אָה אוֹ־עָבַ֨ר עָלָ֤יו רֽוּחַ־קִנְאָה֙ וְקִנֵּ֣א אֶת־אִשְׁתּוֹ֔ וְהִ֖יא לֹ֥א נִטְמָֽאָה׃</w:t>
      </w:r>
    </w:p>
    <w:p w14:paraId="4786BB0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und der Geist der Eifersucht kommt über ihn, und er wird eifersüchtig auf seine Frau, und sie hat sich verunreinigt; oder der Geist der Eifersucht kommt über ihn, und er wird eifersüchtig auf seine Frau, und sie hat sich nicht verunreinigt:</w:t>
      </w:r>
    </w:p>
    <w:p w14:paraId="16C20304"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4BC8D61A">
          <v:rect id="_x0000_i1226" style="width:0;height:1.5pt" o:hralign="center" o:hrstd="t" o:hr="t" fillcolor="#a0a0a0" stroked="f"/>
        </w:pict>
      </w:r>
    </w:p>
    <w:p w14:paraId="2BFA7384"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וְעָבַר עָלָיו</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עבר</w:t>
      </w:r>
      <w:r w:rsidRPr="00AC36A5">
        <w:rPr>
          <w:rFonts w:eastAsia="Times New Roman" w:cs="Times New Roman"/>
          <w:rtl/>
          <w:lang w:eastAsia="de-DE"/>
        </w:rPr>
        <w:t xml:space="preserve"> </w:t>
      </w:r>
      <w:r w:rsidRPr="00AC36A5">
        <w:rPr>
          <w:rFonts w:eastAsia="Times New Roman" w:cs="Times New Roman"/>
          <w:lang w:eastAsia="de-DE"/>
        </w:rPr>
        <w:t xml:space="preserve">(vorübergehen/über jemanden kommen) im Qal-Perfekt 3. maskulin Singular mit </w:t>
      </w:r>
      <w:r w:rsidRPr="00AC36A5">
        <w:rPr>
          <w:rFonts w:eastAsia="Times New Roman" w:cs="Times New Roman"/>
          <w:b/>
          <w:bCs/>
          <w:rtl/>
          <w:lang w:eastAsia="de-DE"/>
        </w:rPr>
        <w:t>עָלָיו</w:t>
      </w:r>
      <w:r w:rsidRPr="00AC36A5">
        <w:rPr>
          <w:rFonts w:eastAsia="Times New Roman" w:cs="Times New Roman"/>
          <w:rtl/>
          <w:lang w:eastAsia="de-DE"/>
        </w:rPr>
        <w:t xml:space="preserve"> </w:t>
      </w:r>
      <w:r w:rsidRPr="00AC36A5">
        <w:rPr>
          <w:rFonts w:eastAsia="Times New Roman" w:cs="Times New Roman"/>
          <w:lang w:eastAsia="de-DE"/>
        </w:rPr>
        <w:t xml:space="preserve">(über ihn) und </w:t>
      </w:r>
      <w:r w:rsidRPr="00AC36A5">
        <w:rPr>
          <w:rFonts w:eastAsia="Times New Roman" w:cs="Times New Roman"/>
          <w:b/>
          <w:bCs/>
          <w:rtl/>
          <w:lang w:eastAsia="de-DE"/>
        </w:rPr>
        <w:t>רוּחַ־קִנְאָה</w:t>
      </w:r>
      <w:r w:rsidRPr="00AC36A5">
        <w:rPr>
          <w:rFonts w:eastAsia="Times New Roman" w:cs="Times New Roman"/>
          <w:rtl/>
          <w:lang w:eastAsia="de-DE"/>
        </w:rPr>
        <w:t xml:space="preserve"> </w:t>
      </w:r>
      <w:r w:rsidRPr="00AC36A5">
        <w:rPr>
          <w:rFonts w:eastAsia="Times New Roman" w:cs="Times New Roman"/>
          <w:lang w:eastAsia="de-DE"/>
        </w:rPr>
        <w:t>(Geist der Eifersucht) beschreibt das Entstehen des Eifersuchtsgefühls als überwältigende Kraft.</w:t>
      </w:r>
    </w:p>
    <w:p w14:paraId="422E583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וְקִנֵּא אֶת־אִשְׁתּוֹ</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קִנֵּא</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קנא</w:t>
      </w:r>
      <w:r w:rsidRPr="00AC36A5">
        <w:rPr>
          <w:rFonts w:eastAsia="Times New Roman" w:cs="Times New Roman"/>
          <w:rtl/>
          <w:lang w:eastAsia="de-DE"/>
        </w:rPr>
        <w:t xml:space="preserve"> </w:t>
      </w:r>
      <w:r w:rsidRPr="00AC36A5">
        <w:rPr>
          <w:rFonts w:eastAsia="Times New Roman" w:cs="Times New Roman"/>
          <w:lang w:eastAsia="de-DE"/>
        </w:rPr>
        <w:t xml:space="preserve">(eifersüchtig sein) im Pi'el-Perfekt 3. maskulin Singular und </w:t>
      </w:r>
      <w:r w:rsidRPr="00AC36A5">
        <w:rPr>
          <w:rFonts w:eastAsia="Times New Roman" w:cs="Times New Roman"/>
          <w:b/>
          <w:bCs/>
          <w:rtl/>
          <w:lang w:eastAsia="de-DE"/>
        </w:rPr>
        <w:t>אֶת־אִשְׁתּוֹ</w:t>
      </w:r>
      <w:r w:rsidRPr="00AC36A5">
        <w:rPr>
          <w:rFonts w:eastAsia="Times New Roman" w:cs="Times New Roman"/>
          <w:rtl/>
          <w:lang w:eastAsia="de-DE"/>
        </w:rPr>
        <w:t xml:space="preserve"> </w:t>
      </w:r>
      <w:r w:rsidRPr="00AC36A5">
        <w:rPr>
          <w:rFonts w:eastAsia="Times New Roman" w:cs="Times New Roman"/>
          <w:lang w:eastAsia="de-DE"/>
        </w:rPr>
        <w:t>(seine Frau) zeigt die gerichtete Eifersucht.</w:t>
      </w:r>
    </w:p>
    <w:p w14:paraId="06FBC20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erste Möglichkeit </w:t>
      </w:r>
      <w:r w:rsidRPr="00AC36A5">
        <w:rPr>
          <w:rFonts w:eastAsia="Times New Roman" w:cs="Times New Roman"/>
          <w:b/>
          <w:bCs/>
          <w:rtl/>
          <w:lang w:eastAsia="de-DE"/>
        </w:rPr>
        <w:t>וְהִוא נִטְמָאָה</w:t>
      </w:r>
      <w:r w:rsidRPr="00AC36A5">
        <w:rPr>
          <w:rFonts w:eastAsia="Times New Roman" w:cs="Times New Roman"/>
          <w:rtl/>
          <w:lang w:eastAsia="de-DE"/>
        </w:rPr>
        <w:t xml:space="preserve"> </w:t>
      </w:r>
      <w:r w:rsidRPr="00AC36A5">
        <w:rPr>
          <w:rFonts w:eastAsia="Times New Roman" w:cs="Times New Roman"/>
          <w:lang w:eastAsia="de-DE"/>
        </w:rPr>
        <w:t xml:space="preserve">(und sie hat sich verunreinigt) mit </w:t>
      </w:r>
      <w:r w:rsidRPr="00AC36A5">
        <w:rPr>
          <w:rFonts w:eastAsia="Times New Roman" w:cs="Times New Roman"/>
          <w:b/>
          <w:bCs/>
          <w:rtl/>
          <w:lang w:eastAsia="de-DE"/>
        </w:rPr>
        <w:t>נִטְמָאָה</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טמא</w:t>
      </w:r>
      <w:r w:rsidRPr="00AC36A5">
        <w:rPr>
          <w:rFonts w:eastAsia="Times New Roman" w:cs="Times New Roman"/>
          <w:rtl/>
          <w:lang w:eastAsia="de-DE"/>
        </w:rPr>
        <w:t xml:space="preserve"> </w:t>
      </w:r>
      <w:r w:rsidRPr="00AC36A5">
        <w:rPr>
          <w:rFonts w:eastAsia="Times New Roman" w:cs="Times New Roman"/>
          <w:lang w:eastAsia="de-DE"/>
        </w:rPr>
        <w:t>(unrein werden) behandelt berechtigte Eifersucht.</w:t>
      </w:r>
    </w:p>
    <w:p w14:paraId="034E496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alternative Möglichkeit </w:t>
      </w:r>
      <w:r w:rsidRPr="00AC36A5">
        <w:rPr>
          <w:rFonts w:eastAsia="Times New Roman" w:cs="Times New Roman"/>
          <w:b/>
          <w:bCs/>
          <w:rtl/>
          <w:lang w:eastAsia="de-DE"/>
        </w:rPr>
        <w:t>אוֹ־עָבַר עָלָיו רוּחַ־קִנְאָה וְקִנֵּא אֶת־אִשְׁתּוֹ וְהִיא לֹא נִטְמָֽאָה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אוֹ</w:t>
      </w:r>
      <w:r w:rsidRPr="00AC36A5">
        <w:rPr>
          <w:rFonts w:eastAsia="Times New Roman" w:cs="Times New Roman"/>
          <w:rtl/>
          <w:lang w:eastAsia="de-DE"/>
        </w:rPr>
        <w:t xml:space="preserve"> </w:t>
      </w:r>
      <w:r w:rsidRPr="00AC36A5">
        <w:rPr>
          <w:rFonts w:eastAsia="Times New Roman" w:cs="Times New Roman"/>
          <w:lang w:eastAsia="de-DE"/>
        </w:rPr>
        <w:t xml:space="preserve">(oder) wiederholt die identische Eifersuchtsbeschreibung, aber mit </w:t>
      </w:r>
      <w:r w:rsidRPr="00AC36A5">
        <w:rPr>
          <w:rFonts w:eastAsia="Times New Roman" w:cs="Times New Roman"/>
          <w:b/>
          <w:bCs/>
          <w:rtl/>
          <w:lang w:eastAsia="de-DE"/>
        </w:rPr>
        <w:t>לֹא נִטְמָֽאָה</w:t>
      </w:r>
      <w:r w:rsidRPr="00AC36A5">
        <w:rPr>
          <w:rFonts w:eastAsia="Times New Roman" w:cs="Times New Roman"/>
          <w:rtl/>
          <w:lang w:eastAsia="de-DE"/>
        </w:rPr>
        <w:t xml:space="preserve"> </w:t>
      </w:r>
      <w:r w:rsidRPr="00AC36A5">
        <w:rPr>
          <w:rFonts w:eastAsia="Times New Roman" w:cs="Times New Roman"/>
          <w:lang w:eastAsia="de-DE"/>
        </w:rPr>
        <w:t>(sie hat sich nicht verunreinigt) für unberechtigte Eifersucht.</w:t>
      </w:r>
    </w:p>
    <w:p w14:paraId="66A49FDA" w14:textId="77777777" w:rsidR="006B48FB" w:rsidRDefault="006B48FB" w:rsidP="00AC36A5">
      <w:pPr>
        <w:spacing w:before="100" w:beforeAutospacing="1" w:after="100" w:afterAutospacing="1" w:line="240" w:lineRule="auto"/>
      </w:pPr>
      <w:r>
        <w:rPr>
          <w:rStyle w:val="Fett"/>
        </w:rPr>
        <w:t>Die LXX</w:t>
      </w:r>
      <w:r>
        <w:t xml:space="preserve"> übersetzt </w:t>
      </w:r>
      <w:r>
        <w:rPr>
          <w:rtl/>
        </w:rPr>
        <w:t>רוח־קנאה</w:t>
      </w:r>
      <w:r>
        <w:t xml:space="preserve"> (ruach-qin'ah - "Geist der Eifersucht") als πνεῦμα ζηλώσεως (Geist der Eifersucht), wobei ζῆλος sowohl Eifersucht als auch Eifer bedeuten kann.</w:t>
      </w:r>
    </w:p>
    <w:p w14:paraId="22679CE2" w14:textId="465818F9"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Satzstruktur zeigt eine doppelte parallele </w:t>
      </w:r>
      <w:r w:rsidR="00F133EC">
        <w:rPr>
          <w:rFonts w:eastAsia="Times New Roman" w:cs="Times New Roman"/>
          <w:lang w:eastAsia="de-DE"/>
        </w:rPr>
        <w:t>Construct</w:t>
      </w:r>
      <w:r w:rsidRPr="00AC36A5">
        <w:rPr>
          <w:rFonts w:eastAsia="Times New Roman" w:cs="Times New Roman"/>
          <w:lang w:eastAsia="de-DE"/>
        </w:rPr>
        <w:t>ion, die sowohl berechtigte als auch unberechtigte Eifersucht abdeckt.</w:t>
      </w:r>
    </w:p>
    <w:p w14:paraId="7BFA61B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die zwei Grundsituationen des Eifersuchtsordals: Die Eifersucht kann berechtigt oder unberechtigt sein, aber beide erfordern das gleiche Verfahren zur Klärung.</w:t>
      </w:r>
    </w:p>
    <w:p w14:paraId="4F82AA1A" w14:textId="77777777" w:rsidR="00AC36A5" w:rsidRPr="00AC36A5" w:rsidRDefault="00AC36A5" w:rsidP="00AC36A5">
      <w:pPr>
        <w:spacing w:before="100" w:beforeAutospacing="1" w:after="100" w:afterAutospacing="1" w:line="240" w:lineRule="auto"/>
        <w:outlineLvl w:val="0"/>
        <w:rPr>
          <w:rFonts w:eastAsia="Times New Roman" w:cs="Times New Roman"/>
          <w:b/>
          <w:bCs/>
          <w:kern w:val="36"/>
          <w:sz w:val="48"/>
          <w:szCs w:val="48"/>
          <w:lang w:eastAsia="de-DE"/>
        </w:rPr>
      </w:pPr>
      <w:r w:rsidRPr="00AC36A5">
        <w:rPr>
          <w:rFonts w:eastAsia="Times New Roman" w:cs="Times New Roman"/>
          <w:b/>
          <w:bCs/>
          <w:kern w:val="36"/>
          <w:sz w:val="48"/>
          <w:szCs w:val="48"/>
          <w:lang w:eastAsia="de-DE"/>
        </w:rPr>
        <w:lastRenderedPageBreak/>
        <w:t>Numeri 5,15</w:t>
      </w:r>
    </w:p>
    <w:p w14:paraId="62C48960"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Hebräisch:</w:t>
      </w:r>
      <w:r w:rsidRPr="00AC36A5">
        <w:rPr>
          <w:rFonts w:eastAsia="Times New Roman" w:cs="Times New Roman"/>
          <w:lang w:eastAsia="de-DE"/>
        </w:rPr>
        <w:t xml:space="preserve"> </w:t>
      </w:r>
      <w:r w:rsidRPr="00AC36A5">
        <w:rPr>
          <w:rFonts w:eastAsia="Times New Roman" w:cs="Times New Roman"/>
          <w:rtl/>
          <w:lang w:eastAsia="de-DE"/>
        </w:rPr>
        <w:t>וְהֵבִ֨יא הָאִ֣ישׁ אֶת־אִשְׁתּוֹ֮ אֶל־הַכֹּהֵן֒ וְהֵבִ֤יא אֶת־קָרְבָּנָהּ֙ עָלֶ֔יהָ עֲשִׂירִ֥ת הָאֵיפָ֖ה קֶ֣מַח שְׂעֹרִ֑ים לֹֽא־יִצֹ֨ק עָלָ֜יו שֶׁ֗מֶן וְלֹֽא־יִתֵּ֤ן עָלָיו֙ לְבֹנָ֔ה כִּֽי־מִנְחַ֤ת קְנָאֹת֙ ה֔וּא מִנְחַ֥ת זִכָּר֖וֹן מַזְכֶּ֥רֶת עָוֹֽן׃</w:t>
      </w:r>
    </w:p>
    <w:p w14:paraId="28D7113A"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Deutsch:</w:t>
      </w:r>
      <w:r w:rsidRPr="00AC36A5">
        <w:rPr>
          <w:rFonts w:eastAsia="Times New Roman" w:cs="Times New Roman"/>
          <w:lang w:eastAsia="de-DE"/>
        </w:rPr>
        <w:t xml:space="preserve"> so soll der Mann seine Frau zum Priester bringen und ihre Opfergabe für sie bringen, ein Zehntel Epha Gerstenmehl; er soll kein Öl darauf gießen und keinen Weihrauch darauf legen, denn es ist ein Speisopfer der Eifersucht, ein Speisopfer des Gedächtnisses, das Schuld in Erinnerung bringt.</w:t>
      </w:r>
    </w:p>
    <w:p w14:paraId="5DBCA061" w14:textId="77777777" w:rsidR="00AC36A5" w:rsidRPr="00AC36A5" w:rsidRDefault="00F329DD" w:rsidP="00AC36A5">
      <w:pPr>
        <w:spacing w:after="0" w:line="240" w:lineRule="auto"/>
        <w:rPr>
          <w:rFonts w:eastAsia="Times New Roman" w:cs="Times New Roman"/>
          <w:lang w:eastAsia="de-DE"/>
        </w:rPr>
      </w:pPr>
      <w:r>
        <w:rPr>
          <w:rFonts w:eastAsia="Times New Roman" w:cs="Times New Roman"/>
          <w:noProof/>
          <w:lang w:eastAsia="de-DE"/>
        </w:rPr>
        <w:pict w14:anchorId="72CA91F6">
          <v:rect id="_x0000_i1227" style="width:0;height:1.5pt" o:hralign="center" o:hrstd="t" o:hr="t" fillcolor="#a0a0a0" stroked="f"/>
        </w:pict>
      </w:r>
    </w:p>
    <w:p w14:paraId="28619FED"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b/>
          <w:bCs/>
          <w:lang w:eastAsia="de-DE"/>
        </w:rPr>
        <w:t>Kommentar:</w:t>
      </w:r>
      <w:r w:rsidRPr="00AC36A5">
        <w:rPr>
          <w:rFonts w:eastAsia="Times New Roman" w:cs="Times New Roman"/>
          <w:lang w:eastAsia="de-DE"/>
        </w:rPr>
        <w:t xml:space="preserve"> Das Verb </w:t>
      </w:r>
      <w:r w:rsidRPr="00AC36A5">
        <w:rPr>
          <w:rFonts w:eastAsia="Times New Roman" w:cs="Times New Roman"/>
          <w:b/>
          <w:bCs/>
          <w:rtl/>
          <w:lang w:eastAsia="de-DE"/>
        </w:rPr>
        <w:t>וְהֵבִיא</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בוא</w:t>
      </w:r>
      <w:r w:rsidRPr="00AC36A5">
        <w:rPr>
          <w:rFonts w:eastAsia="Times New Roman" w:cs="Times New Roman"/>
          <w:rtl/>
          <w:lang w:eastAsia="de-DE"/>
        </w:rPr>
        <w:t xml:space="preserve"> </w:t>
      </w:r>
      <w:r w:rsidRPr="00AC36A5">
        <w:rPr>
          <w:rFonts w:eastAsia="Times New Roman" w:cs="Times New Roman"/>
          <w:lang w:eastAsia="de-DE"/>
        </w:rPr>
        <w:t xml:space="preserve">(bringen) im Hiph'il-Perfekt 3. maskulin Singular mit </w:t>
      </w:r>
      <w:r w:rsidRPr="00AC36A5">
        <w:rPr>
          <w:rFonts w:eastAsia="Times New Roman" w:cs="Times New Roman"/>
          <w:b/>
          <w:bCs/>
          <w:rtl/>
          <w:lang w:eastAsia="de-DE"/>
        </w:rPr>
        <w:t>הָאִישׁ אֶת־אִשְׁתּוֹ אֶל־הַכֹּהֵן</w:t>
      </w:r>
      <w:r w:rsidRPr="00AC36A5">
        <w:rPr>
          <w:rFonts w:eastAsia="Times New Roman" w:cs="Times New Roman"/>
          <w:rtl/>
          <w:lang w:eastAsia="de-DE"/>
        </w:rPr>
        <w:t xml:space="preserve"> </w:t>
      </w:r>
      <w:r w:rsidRPr="00AC36A5">
        <w:rPr>
          <w:rFonts w:eastAsia="Times New Roman" w:cs="Times New Roman"/>
          <w:lang w:eastAsia="de-DE"/>
        </w:rPr>
        <w:t>zeigt die obligatorische priesterliche Vorführung.</w:t>
      </w:r>
    </w:p>
    <w:p w14:paraId="44411626"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Das koordinierte Verb </w:t>
      </w:r>
      <w:r w:rsidRPr="00AC36A5">
        <w:rPr>
          <w:rFonts w:eastAsia="Times New Roman" w:cs="Times New Roman"/>
          <w:b/>
          <w:bCs/>
          <w:rtl/>
          <w:lang w:eastAsia="de-DE"/>
        </w:rPr>
        <w:t>וְהֵבִיא אֶת־קָרְבָּנָהּ עָלֶיהָ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קָרְבָּנָהּ</w:t>
      </w:r>
      <w:r w:rsidRPr="00AC36A5">
        <w:rPr>
          <w:rFonts w:eastAsia="Times New Roman" w:cs="Times New Roman"/>
          <w:rtl/>
          <w:lang w:eastAsia="de-DE"/>
        </w:rPr>
        <w:t xml:space="preserve"> </w:t>
      </w:r>
      <w:r w:rsidRPr="00AC36A5">
        <w:rPr>
          <w:rFonts w:eastAsia="Times New Roman" w:cs="Times New Roman"/>
          <w:lang w:eastAsia="de-DE"/>
        </w:rPr>
        <w:t xml:space="preserve">(ihre Opfergabe) und </w:t>
      </w:r>
      <w:r w:rsidRPr="00AC36A5">
        <w:rPr>
          <w:rFonts w:eastAsia="Times New Roman" w:cs="Times New Roman"/>
          <w:b/>
          <w:bCs/>
          <w:rtl/>
          <w:lang w:eastAsia="de-DE"/>
        </w:rPr>
        <w:t>עָלֶיהָ</w:t>
      </w:r>
      <w:r w:rsidRPr="00AC36A5">
        <w:rPr>
          <w:rFonts w:eastAsia="Times New Roman" w:cs="Times New Roman"/>
          <w:rtl/>
          <w:lang w:eastAsia="de-DE"/>
        </w:rPr>
        <w:t xml:space="preserve"> </w:t>
      </w:r>
      <w:r w:rsidRPr="00AC36A5">
        <w:rPr>
          <w:rFonts w:eastAsia="Times New Roman" w:cs="Times New Roman"/>
          <w:lang w:eastAsia="de-DE"/>
        </w:rPr>
        <w:t>(für sie) zeigt die stellvertretende Opferdarbringung durch den Mann.</w:t>
      </w:r>
    </w:p>
    <w:p w14:paraId="0FFB7B7C"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Mengenangabe </w:t>
      </w:r>
      <w:r w:rsidRPr="00AC36A5">
        <w:rPr>
          <w:rFonts w:eastAsia="Times New Roman" w:cs="Times New Roman"/>
          <w:b/>
          <w:bCs/>
          <w:rtl/>
          <w:lang w:eastAsia="de-DE"/>
        </w:rPr>
        <w:t>עֲשִׂירִת הָאֵיפָה קֶמַח שְׂעֹרִים</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עֲשִׂירִת</w:t>
      </w:r>
      <w:r w:rsidRPr="00AC36A5">
        <w:rPr>
          <w:rFonts w:eastAsia="Times New Roman" w:cs="Times New Roman"/>
          <w:rtl/>
          <w:lang w:eastAsia="de-DE"/>
        </w:rPr>
        <w:t xml:space="preserve"> </w:t>
      </w:r>
      <w:r w:rsidRPr="00AC36A5">
        <w:rPr>
          <w:rFonts w:eastAsia="Times New Roman" w:cs="Times New Roman"/>
          <w:lang w:eastAsia="de-DE"/>
        </w:rPr>
        <w:t xml:space="preserve">(Zehntel), </w:t>
      </w:r>
      <w:r w:rsidRPr="00AC36A5">
        <w:rPr>
          <w:rFonts w:eastAsia="Times New Roman" w:cs="Times New Roman"/>
          <w:b/>
          <w:bCs/>
          <w:rtl/>
          <w:lang w:eastAsia="de-DE"/>
        </w:rPr>
        <w:t>אֵיפָה</w:t>
      </w:r>
      <w:r w:rsidRPr="00AC36A5">
        <w:rPr>
          <w:rFonts w:eastAsia="Times New Roman" w:cs="Times New Roman"/>
          <w:rtl/>
          <w:lang w:eastAsia="de-DE"/>
        </w:rPr>
        <w:t xml:space="preserve"> </w:t>
      </w:r>
      <w:r w:rsidRPr="00AC36A5">
        <w:rPr>
          <w:rFonts w:eastAsia="Times New Roman" w:cs="Times New Roman"/>
          <w:lang w:eastAsia="de-DE"/>
        </w:rPr>
        <w:t xml:space="preserve">(Epha-Maß) und </w:t>
      </w:r>
      <w:r w:rsidRPr="00AC36A5">
        <w:rPr>
          <w:rFonts w:eastAsia="Times New Roman" w:cs="Times New Roman"/>
          <w:b/>
          <w:bCs/>
          <w:rtl/>
          <w:lang w:eastAsia="de-DE"/>
        </w:rPr>
        <w:t>קֶמַח שְׂעֹרִים</w:t>
      </w:r>
      <w:r w:rsidRPr="00AC36A5">
        <w:rPr>
          <w:rFonts w:eastAsia="Times New Roman" w:cs="Times New Roman"/>
          <w:rtl/>
          <w:lang w:eastAsia="de-DE"/>
        </w:rPr>
        <w:t xml:space="preserve"> </w:t>
      </w:r>
      <w:r w:rsidRPr="00AC36A5">
        <w:rPr>
          <w:rFonts w:eastAsia="Times New Roman" w:cs="Times New Roman"/>
          <w:lang w:eastAsia="de-DE"/>
        </w:rPr>
        <w:t>(Gerstenmehl) spezifiziert das bescheidene, minderwertige Opfer (Gerste statt Weizen).</w:t>
      </w:r>
    </w:p>
    <w:p w14:paraId="3DBD090E"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doppelte Negation </w:t>
      </w:r>
      <w:r w:rsidRPr="00AC36A5">
        <w:rPr>
          <w:rFonts w:eastAsia="Times New Roman" w:cs="Times New Roman"/>
          <w:b/>
          <w:bCs/>
          <w:rtl/>
          <w:lang w:eastAsia="de-DE"/>
        </w:rPr>
        <w:t>לֹא־יִצֹק עָלָיו שֶׁמֶן וְלֹא־יִתֵּן עָלָיו לְבֹנָה</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יִצֹק</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יצק</w:t>
      </w:r>
      <w:r w:rsidRPr="00AC36A5">
        <w:rPr>
          <w:rFonts w:eastAsia="Times New Roman" w:cs="Times New Roman"/>
          <w:rtl/>
          <w:lang w:eastAsia="de-DE"/>
        </w:rPr>
        <w:t xml:space="preserve"> </w:t>
      </w:r>
      <w:r w:rsidRPr="00AC36A5">
        <w:rPr>
          <w:rFonts w:eastAsia="Times New Roman" w:cs="Times New Roman"/>
          <w:lang w:eastAsia="de-DE"/>
        </w:rPr>
        <w:t xml:space="preserve">(gießen), </w:t>
      </w:r>
      <w:r w:rsidRPr="00AC36A5">
        <w:rPr>
          <w:rFonts w:eastAsia="Times New Roman" w:cs="Times New Roman"/>
          <w:b/>
          <w:bCs/>
          <w:rtl/>
          <w:lang w:eastAsia="de-DE"/>
        </w:rPr>
        <w:t>שֶׁמֶן</w:t>
      </w:r>
      <w:r w:rsidRPr="00AC36A5">
        <w:rPr>
          <w:rFonts w:eastAsia="Times New Roman" w:cs="Times New Roman"/>
          <w:rtl/>
          <w:lang w:eastAsia="de-DE"/>
        </w:rPr>
        <w:t xml:space="preserve"> </w:t>
      </w:r>
      <w:r w:rsidRPr="00AC36A5">
        <w:rPr>
          <w:rFonts w:eastAsia="Times New Roman" w:cs="Times New Roman"/>
          <w:lang w:eastAsia="de-DE"/>
        </w:rPr>
        <w:t xml:space="preserve">(Öl), </w:t>
      </w:r>
      <w:r w:rsidRPr="00AC36A5">
        <w:rPr>
          <w:rFonts w:eastAsia="Times New Roman" w:cs="Times New Roman"/>
          <w:b/>
          <w:bCs/>
          <w:rtl/>
          <w:lang w:eastAsia="de-DE"/>
        </w:rPr>
        <w:t>יִתֵּן</w:t>
      </w:r>
      <w:r w:rsidRPr="00AC36A5">
        <w:rPr>
          <w:rFonts w:eastAsia="Times New Roman" w:cs="Times New Roman"/>
          <w:rtl/>
          <w:lang w:eastAsia="de-DE"/>
        </w:rPr>
        <w:t xml:space="preserve"> </w:t>
      </w:r>
      <w:r w:rsidRPr="00AC36A5">
        <w:rPr>
          <w:rFonts w:eastAsia="Times New Roman" w:cs="Times New Roman"/>
          <w:lang w:eastAsia="de-DE"/>
        </w:rPr>
        <w:t xml:space="preserve">von </w:t>
      </w:r>
      <w:r w:rsidRPr="00AC36A5">
        <w:rPr>
          <w:rFonts w:eastAsia="Times New Roman" w:cs="Times New Roman"/>
          <w:b/>
          <w:bCs/>
          <w:rtl/>
          <w:lang w:eastAsia="de-DE"/>
        </w:rPr>
        <w:t>נתן</w:t>
      </w:r>
      <w:r w:rsidRPr="00AC36A5">
        <w:rPr>
          <w:rFonts w:eastAsia="Times New Roman" w:cs="Times New Roman"/>
          <w:rtl/>
          <w:lang w:eastAsia="de-DE"/>
        </w:rPr>
        <w:t xml:space="preserve"> </w:t>
      </w:r>
      <w:r w:rsidRPr="00AC36A5">
        <w:rPr>
          <w:rFonts w:eastAsia="Times New Roman" w:cs="Times New Roman"/>
          <w:lang w:eastAsia="de-DE"/>
        </w:rPr>
        <w:t xml:space="preserve">(geben) und </w:t>
      </w:r>
      <w:r w:rsidRPr="00AC36A5">
        <w:rPr>
          <w:rFonts w:eastAsia="Times New Roman" w:cs="Times New Roman"/>
          <w:b/>
          <w:bCs/>
          <w:rtl/>
          <w:lang w:eastAsia="de-DE"/>
        </w:rPr>
        <w:t>לְבֹנָה</w:t>
      </w:r>
      <w:r w:rsidRPr="00AC36A5">
        <w:rPr>
          <w:rFonts w:eastAsia="Times New Roman" w:cs="Times New Roman"/>
          <w:rtl/>
          <w:lang w:eastAsia="de-DE"/>
        </w:rPr>
        <w:t xml:space="preserve"> </w:t>
      </w:r>
      <w:r w:rsidRPr="00AC36A5">
        <w:rPr>
          <w:rFonts w:eastAsia="Times New Roman" w:cs="Times New Roman"/>
          <w:lang w:eastAsia="de-DE"/>
        </w:rPr>
        <w:t>(Weihrauch) zeigt das Fehlen normaler Opferzusätze.</w:t>
      </w:r>
    </w:p>
    <w:p w14:paraId="18114318"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 xml:space="preserve">Die dreifache Charakterisierung </w:t>
      </w:r>
      <w:r w:rsidRPr="00AC36A5">
        <w:rPr>
          <w:rFonts w:eastAsia="Times New Roman" w:cs="Times New Roman"/>
          <w:b/>
          <w:bCs/>
          <w:rtl/>
          <w:lang w:eastAsia="de-DE"/>
        </w:rPr>
        <w:t>כִּי־מִנְחַת קְנָאֹת הוּא מִנְחַת זִכָּרוֹן מַזְכֶּרֶת עָוֹן</w:t>
      </w:r>
      <w:r w:rsidRPr="00AC36A5">
        <w:rPr>
          <w:rFonts w:eastAsia="Times New Roman" w:cs="Times New Roman"/>
          <w:rtl/>
          <w:lang w:eastAsia="de-DE"/>
        </w:rPr>
        <w:t xml:space="preserve"> </w:t>
      </w:r>
      <w:r w:rsidRPr="00AC36A5">
        <w:rPr>
          <w:rFonts w:eastAsia="Times New Roman" w:cs="Times New Roman"/>
          <w:lang w:eastAsia="de-DE"/>
        </w:rPr>
        <w:t xml:space="preserve">mit </w:t>
      </w:r>
      <w:r w:rsidRPr="00AC36A5">
        <w:rPr>
          <w:rFonts w:eastAsia="Times New Roman" w:cs="Times New Roman"/>
          <w:b/>
          <w:bCs/>
          <w:rtl/>
          <w:lang w:eastAsia="de-DE"/>
        </w:rPr>
        <w:t>מִנְחַת קְנָאֹת</w:t>
      </w:r>
      <w:r w:rsidRPr="00AC36A5">
        <w:rPr>
          <w:rFonts w:eastAsia="Times New Roman" w:cs="Times New Roman"/>
          <w:rtl/>
          <w:lang w:eastAsia="de-DE"/>
        </w:rPr>
        <w:t xml:space="preserve"> </w:t>
      </w:r>
      <w:r w:rsidRPr="00AC36A5">
        <w:rPr>
          <w:rFonts w:eastAsia="Times New Roman" w:cs="Times New Roman"/>
          <w:lang w:eastAsia="de-DE"/>
        </w:rPr>
        <w:t xml:space="preserve">(Speisopfer der Eifersucht), </w:t>
      </w:r>
      <w:r w:rsidRPr="00AC36A5">
        <w:rPr>
          <w:rFonts w:eastAsia="Times New Roman" w:cs="Times New Roman"/>
          <w:b/>
          <w:bCs/>
          <w:rtl/>
          <w:lang w:eastAsia="de-DE"/>
        </w:rPr>
        <w:t>מִנְחַת זִכָּרוֹן</w:t>
      </w:r>
      <w:r w:rsidRPr="00AC36A5">
        <w:rPr>
          <w:rFonts w:eastAsia="Times New Roman" w:cs="Times New Roman"/>
          <w:rtl/>
          <w:lang w:eastAsia="de-DE"/>
        </w:rPr>
        <w:t xml:space="preserve"> </w:t>
      </w:r>
      <w:r w:rsidRPr="00AC36A5">
        <w:rPr>
          <w:rFonts w:eastAsia="Times New Roman" w:cs="Times New Roman"/>
          <w:lang w:eastAsia="de-DE"/>
        </w:rPr>
        <w:t xml:space="preserve">(Speisopfer des Gedächtnisses) und </w:t>
      </w:r>
      <w:r w:rsidRPr="00AC36A5">
        <w:rPr>
          <w:rFonts w:eastAsia="Times New Roman" w:cs="Times New Roman"/>
          <w:b/>
          <w:bCs/>
          <w:rtl/>
          <w:lang w:eastAsia="de-DE"/>
        </w:rPr>
        <w:t>מַזְכֶּרֶת עָוֹן</w:t>
      </w:r>
      <w:r w:rsidRPr="00AC36A5">
        <w:rPr>
          <w:rFonts w:eastAsia="Times New Roman" w:cs="Times New Roman"/>
          <w:rtl/>
          <w:lang w:eastAsia="de-DE"/>
        </w:rPr>
        <w:t xml:space="preserve"> </w:t>
      </w:r>
      <w:r w:rsidRPr="00AC36A5">
        <w:rPr>
          <w:rFonts w:eastAsia="Times New Roman" w:cs="Times New Roman"/>
          <w:lang w:eastAsia="de-DE"/>
        </w:rPr>
        <w:t>(in Erinnerung bringend Schuld) betont den anklagenden Charakter.</w:t>
      </w:r>
    </w:p>
    <w:p w14:paraId="31AD458E" w14:textId="77777777" w:rsidR="006B48FB" w:rsidRDefault="006B48FB" w:rsidP="00AC36A5">
      <w:pPr>
        <w:spacing w:before="100" w:beforeAutospacing="1" w:after="100" w:afterAutospacing="1" w:line="240" w:lineRule="auto"/>
      </w:pPr>
      <w:r>
        <w:rPr>
          <w:rStyle w:val="Fett"/>
        </w:rPr>
        <w:t>Die LXX</w:t>
      </w:r>
      <w:r>
        <w:t xml:space="preserve"> übersetzt </w:t>
      </w:r>
      <w:r>
        <w:rPr>
          <w:rtl/>
        </w:rPr>
        <w:t>מנחת קנאת</w:t>
      </w:r>
      <w:r>
        <w:t xml:space="preserve"> (minchat qena'ot - "Eifersuchtsspeisopfer") als θυσία ζηλοτυπίας (Eifersuchtsopfer), wobei ζηλοτυπία ein stärkerer griechischer Begriff für Eifersucht ist. </w:t>
      </w:r>
      <w:r>
        <w:rPr>
          <w:rtl/>
        </w:rPr>
        <w:t>מנחת זכרון מזכרת עון</w:t>
      </w:r>
      <w:r>
        <w:t xml:space="preserve"> (minchat zikkaron mazkeret avon - "Erinnerungsspeisopfer, das Schuld ins Gedächtnis ruft") wird als θυσία μνημοσύνου ἀναμιμνήσκουσα ἁμαρτίαν (Gedächtnisopfer, das Sünde ins Gedächtnis ruft) übersetzt.</w:t>
      </w:r>
    </w:p>
    <w:p w14:paraId="7B7210A9" w14:textId="73FFA6C2"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 Satzstruktur zeigt eine doppelte Bringungsanweisung mit spezifischer Opferbestimmung, doppelter Negation normaler Zusätze und dreifacher funktionaler Charakterisierung.</w:t>
      </w:r>
    </w:p>
    <w:p w14:paraId="61F62971" w14:textId="77777777" w:rsidR="00AC36A5" w:rsidRPr="00AC36A5" w:rsidRDefault="00AC36A5" w:rsidP="00AC36A5">
      <w:pPr>
        <w:spacing w:before="100" w:beforeAutospacing="1" w:after="100" w:afterAutospacing="1" w:line="240" w:lineRule="auto"/>
        <w:rPr>
          <w:rFonts w:eastAsia="Times New Roman" w:cs="Times New Roman"/>
          <w:lang w:eastAsia="de-DE"/>
        </w:rPr>
      </w:pPr>
      <w:r w:rsidRPr="00AC36A5">
        <w:rPr>
          <w:rFonts w:eastAsia="Times New Roman" w:cs="Times New Roman"/>
          <w:lang w:eastAsia="de-DE"/>
        </w:rPr>
        <w:t>Dieser Vers etabliert das spezielle Eifersuchtsopfer als bescheidenes, zusatzloses Anklageopfer, das Schuld aufdecken soll.</w:t>
      </w:r>
    </w:p>
    <w:p w14:paraId="598DBF82"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5,16</w:t>
      </w:r>
    </w:p>
    <w:p w14:paraId="2DF8D5E3"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וְהִקְרִ֥יב אֹתָ֖הּ הַכֹּהֵ֑ן וְהֶֽעֱמִדָ֖הּ לִפְנֵ֥י יְהוָֽה׃</w:t>
      </w:r>
    </w:p>
    <w:p w14:paraId="3E324260"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der Priester soll sie herantreten lassen und sie vor den Ewigen stellen.</w:t>
      </w:r>
    </w:p>
    <w:p w14:paraId="29293FB5"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6BD0A780">
          <v:rect id="_x0000_i1228" style="width:0;height:1.5pt" o:hralign="center" o:hrstd="t" o:hr="t" fillcolor="#a0a0a0" stroked="f"/>
        </w:pict>
      </w:r>
    </w:p>
    <w:p w14:paraId="2E7DCCA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lastRenderedPageBreak/>
        <w:t>Kommentar:</w:t>
      </w:r>
      <w:r w:rsidRPr="00F102FE">
        <w:rPr>
          <w:rFonts w:eastAsia="Times New Roman" w:cs="Times New Roman"/>
          <w:lang w:eastAsia="de-DE"/>
        </w:rPr>
        <w:t xml:space="preserve"> Das Verb </w:t>
      </w:r>
      <w:r w:rsidRPr="00F102FE">
        <w:rPr>
          <w:rFonts w:eastAsia="Times New Roman" w:cs="Times New Roman"/>
          <w:b/>
          <w:bCs/>
          <w:rtl/>
          <w:lang w:eastAsia="de-DE"/>
        </w:rPr>
        <w:t>וְהִקְרִיב</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קרב</w:t>
      </w:r>
      <w:r w:rsidRPr="00F102FE">
        <w:rPr>
          <w:rFonts w:eastAsia="Times New Roman" w:cs="Times New Roman"/>
          <w:rtl/>
          <w:lang w:eastAsia="de-DE"/>
        </w:rPr>
        <w:t xml:space="preserve"> </w:t>
      </w:r>
      <w:r w:rsidRPr="00F102FE">
        <w:rPr>
          <w:rFonts w:eastAsia="Times New Roman" w:cs="Times New Roman"/>
          <w:lang w:eastAsia="de-DE"/>
        </w:rPr>
        <w:t xml:space="preserve">(nahen) im Hiph'il-Perfekt 3. maskulin Singular mit </w:t>
      </w:r>
      <w:r w:rsidRPr="00F102FE">
        <w:rPr>
          <w:rFonts w:eastAsia="Times New Roman" w:cs="Times New Roman"/>
          <w:b/>
          <w:bCs/>
          <w:rtl/>
          <w:lang w:eastAsia="de-DE"/>
        </w:rPr>
        <w:t>אֹתָהּ</w:t>
      </w:r>
      <w:r w:rsidRPr="00F102FE">
        <w:rPr>
          <w:rFonts w:eastAsia="Times New Roman" w:cs="Times New Roman"/>
          <w:rtl/>
          <w:lang w:eastAsia="de-DE"/>
        </w:rPr>
        <w:t xml:space="preserve"> </w:t>
      </w:r>
      <w:r w:rsidRPr="00F102FE">
        <w:rPr>
          <w:rFonts w:eastAsia="Times New Roman" w:cs="Times New Roman"/>
          <w:lang w:eastAsia="de-DE"/>
        </w:rPr>
        <w:t xml:space="preserve">(sie) zeigt die priesterliche Heranführung der Frau. Das koordinierte Verb </w:t>
      </w:r>
      <w:r w:rsidRPr="00F102FE">
        <w:rPr>
          <w:rFonts w:eastAsia="Times New Roman" w:cs="Times New Roman"/>
          <w:b/>
          <w:bCs/>
          <w:rtl/>
          <w:lang w:eastAsia="de-DE"/>
        </w:rPr>
        <w:t>וְהֶעֱמִדָהּ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עמד</w:t>
      </w:r>
      <w:r w:rsidRPr="00F102FE">
        <w:rPr>
          <w:rFonts w:eastAsia="Times New Roman" w:cs="Times New Roman"/>
          <w:rtl/>
          <w:lang w:eastAsia="de-DE"/>
        </w:rPr>
        <w:t xml:space="preserve"> </w:t>
      </w:r>
      <w:r w:rsidRPr="00F102FE">
        <w:rPr>
          <w:rFonts w:eastAsia="Times New Roman" w:cs="Times New Roman"/>
          <w:lang w:eastAsia="de-DE"/>
        </w:rPr>
        <w:t xml:space="preserve">(stehen) im Hiph'il-Perfekt 3. maskulin Singular mit der präpositionalen Phrase </w:t>
      </w:r>
      <w:r w:rsidRPr="00F102FE">
        <w:rPr>
          <w:rFonts w:eastAsia="Times New Roman" w:cs="Times New Roman"/>
          <w:b/>
          <w:bCs/>
          <w:rtl/>
          <w:lang w:eastAsia="de-DE"/>
        </w:rPr>
        <w:t>לִפְנֵי יְהוָה</w:t>
      </w:r>
      <w:r w:rsidRPr="00F102FE">
        <w:rPr>
          <w:rFonts w:eastAsia="Times New Roman" w:cs="Times New Roman"/>
          <w:rtl/>
          <w:lang w:eastAsia="de-DE"/>
        </w:rPr>
        <w:t xml:space="preserve"> </w:t>
      </w:r>
      <w:r w:rsidRPr="00F102FE">
        <w:rPr>
          <w:rFonts w:eastAsia="Times New Roman" w:cs="Times New Roman"/>
          <w:lang w:eastAsia="de-DE"/>
        </w:rPr>
        <w:t>(vor dem Ewigen) etabliert die heilige Gerichtssituation.</w:t>
      </w:r>
    </w:p>
    <w:p w14:paraId="2B204070"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übersetzt καὶ προσάξει αὐτὴν ὁ ἱερεὺς καὶ στήσει αὐτὴν ἔναντι κυρίου.</w:t>
      </w:r>
    </w:p>
    <w:p w14:paraId="0F54DD8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beginnt das eigentliche Ordal durch die Positionierung der Frau vor Gott als dem ultimativen Richter.</w:t>
      </w:r>
    </w:p>
    <w:p w14:paraId="45C28F61"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5,17</w:t>
      </w:r>
    </w:p>
    <w:p w14:paraId="54035D3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וְלָקַ֧ח הַכֹּהֵ֛ן מַ֥יִם קְדֹשִׁ֖ים בִּכְלִי־חָ֑רֶשׂ וּמִן־הֶֽעָפָ֗ר אֲשֶׁ֤ר יִהְיֶה֙ בְּקַרְקַ֣ע הַמִּשְׁכָּ֔ן יִקַּ֥ח הַכֹּהֵ֖ן וְנָתַ֥ן אֶל־הַמָּֽיִם׃</w:t>
      </w:r>
    </w:p>
    <w:p w14:paraId="201B22A7"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der Priester soll heiliges Wasser in einem irdenen Gefäß nehmen, und der Priester soll von dem Staub nehmen, der auf dem Boden der Wohnung ist, und ihn in das Wasser tun.</w:t>
      </w:r>
    </w:p>
    <w:p w14:paraId="4C0D3231"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3EB6DAFB">
          <v:rect id="_x0000_i1229" style="width:0;height:1.5pt" o:hralign="center" o:hrstd="t" o:hr="t" fillcolor="#a0a0a0" stroked="f"/>
        </w:pict>
      </w:r>
    </w:p>
    <w:p w14:paraId="314B4D41" w14:textId="4E9A7CDC"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w:t>
      </w:r>
      <w:r w:rsidR="00261B22">
        <w:t xml:space="preserve">Das Verb </w:t>
      </w:r>
      <w:r w:rsidR="00261B22">
        <w:rPr>
          <w:rtl/>
        </w:rPr>
        <w:t>וְלָקַח</w:t>
      </w:r>
      <w:r w:rsidR="00261B22">
        <w:t xml:space="preserve"> von </w:t>
      </w:r>
      <w:r w:rsidR="00261B22">
        <w:rPr>
          <w:rtl/>
        </w:rPr>
        <w:t>לקח</w:t>
      </w:r>
      <w:r w:rsidR="00261B22">
        <w:t xml:space="preserve"> (nehmen) mit </w:t>
      </w:r>
      <w:r w:rsidR="00261B22">
        <w:rPr>
          <w:rtl/>
        </w:rPr>
        <w:t>מַיִם קְדֹשִׁים בִּכְלִי־חָרֶשׂ</w:t>
      </w:r>
      <w:r w:rsidR="00261B22">
        <w:t xml:space="preserve"> (heiliges Wasser in einem irdenen Gefäß) zeigt die erste Komponente des Ordaltranks. </w:t>
      </w:r>
      <w:r w:rsidR="00261B22">
        <w:rPr>
          <w:rtl/>
        </w:rPr>
        <w:t>מַיִם קְדֹשִׁים</w:t>
      </w:r>
      <w:r w:rsidR="00261B22">
        <w:t xml:space="preserve"> bezeichnet vermutlich </w:t>
      </w:r>
      <w:r w:rsidR="00261B22">
        <w:rPr>
          <w:rStyle w:val="Fett"/>
        </w:rPr>
        <w:t>Wasser aus dem Reinigungsbecken im Heiligtum</w:t>
      </w:r>
      <w:r w:rsidR="00261B22">
        <w:t xml:space="preserve"> (</w:t>
      </w:r>
      <w:r w:rsidR="00261B22">
        <w:rPr>
          <w:rtl/>
        </w:rPr>
        <w:t>כִּיּוֹר</w:t>
      </w:r>
      <w:r w:rsidR="00261B22">
        <w:t xml:space="preserve">, Ex 30,18-21) oder Quellwasser, das durch seine Verwendung am heiligen Ort geheiligt wird. Die LXX präzisiert mit ὕδωρ καθαρὸν ζῶν (reines, lebendiges Wasser), was </w:t>
      </w:r>
      <w:r w:rsidR="00261B22">
        <w:rPr>
          <w:rStyle w:val="Fett"/>
        </w:rPr>
        <w:t>fließendes Quellwasser</w:t>
      </w:r>
      <w:r w:rsidR="00261B22">
        <w:t xml:space="preserve"> impliziert (vgl. Lev 14,5-6 für </w:t>
      </w:r>
      <w:r w:rsidR="00261B22">
        <w:rPr>
          <w:rtl/>
        </w:rPr>
        <w:t>טְהֹרוֹת מַיִם חַיִּים</w:t>
      </w:r>
      <w:r w:rsidR="00261B22">
        <w:t xml:space="preserve">). Das </w:t>
      </w:r>
      <w:r w:rsidR="00261B22">
        <w:rPr>
          <w:rStyle w:val="Fett"/>
        </w:rPr>
        <w:t>irdene Gefäß</w:t>
      </w:r>
      <w:r w:rsidR="00261B22">
        <w:t xml:space="preserve"> (</w:t>
      </w:r>
      <w:r w:rsidR="00261B22">
        <w:rPr>
          <w:rtl/>
        </w:rPr>
        <w:t>כְלִי־חָרֶשׂ</w:t>
      </w:r>
      <w:r w:rsidR="00261B22">
        <w:t>) betont die einmalige Verwendung (vgl. Lev 6,21; 11,33) und verhindert wiederholte Benutzung des rituell kontaminierten Behälters.</w:t>
      </w:r>
    </w:p>
    <w:p w14:paraId="30DF8D15"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zweite Komponente </w:t>
      </w:r>
      <w:r w:rsidRPr="00F102FE">
        <w:rPr>
          <w:rFonts w:eastAsia="Times New Roman" w:cs="Times New Roman"/>
          <w:b/>
          <w:bCs/>
          <w:rtl/>
          <w:lang w:eastAsia="de-DE"/>
        </w:rPr>
        <w:t>וּמִן־הֶעָפָר אֲשֶׁר יִהְיֶה בְּקַרְקַע הַמִּשְׁכָּן</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עָפָר</w:t>
      </w:r>
      <w:r w:rsidRPr="00F102FE">
        <w:rPr>
          <w:rFonts w:eastAsia="Times New Roman" w:cs="Times New Roman"/>
          <w:rtl/>
          <w:lang w:eastAsia="de-DE"/>
        </w:rPr>
        <w:t xml:space="preserve"> </w:t>
      </w:r>
      <w:r w:rsidRPr="00F102FE">
        <w:rPr>
          <w:rFonts w:eastAsia="Times New Roman" w:cs="Times New Roman"/>
          <w:lang w:eastAsia="de-DE"/>
        </w:rPr>
        <w:t xml:space="preserve">(Staub/Erde) und der Ortsangabe </w:t>
      </w:r>
      <w:r w:rsidRPr="00F102FE">
        <w:rPr>
          <w:rFonts w:eastAsia="Times New Roman" w:cs="Times New Roman"/>
          <w:b/>
          <w:bCs/>
          <w:rtl/>
          <w:lang w:eastAsia="de-DE"/>
        </w:rPr>
        <w:t>בְּקַרְקַע הַמִּשְׁכָּן</w:t>
      </w:r>
      <w:r w:rsidRPr="00F102FE">
        <w:rPr>
          <w:rFonts w:eastAsia="Times New Roman" w:cs="Times New Roman"/>
          <w:rtl/>
          <w:lang w:eastAsia="de-DE"/>
        </w:rPr>
        <w:t xml:space="preserve"> </w:t>
      </w:r>
      <w:r w:rsidRPr="00F102FE">
        <w:rPr>
          <w:rFonts w:eastAsia="Times New Roman" w:cs="Times New Roman"/>
          <w:lang w:eastAsia="de-DE"/>
        </w:rPr>
        <w:t>(auf dem Boden der Wohnung) zeigt die symbolische Verbindung zur heiligen Stätte.</w:t>
      </w:r>
    </w:p>
    <w:p w14:paraId="1D9B9F82" w14:textId="6B2C9606" w:rsidR="00F102FE" w:rsidRDefault="00F102FE" w:rsidP="00F102FE">
      <w:pPr>
        <w:pStyle w:val="KeinLeerraum"/>
        <w:rPr>
          <w:rStyle w:val="Fett"/>
        </w:rPr>
      </w:pPr>
      <w:r>
        <w:rPr>
          <w:rStyle w:val="Fett"/>
        </w:rPr>
        <w:t>Die LXX</w:t>
      </w:r>
      <w:r>
        <w:t xml:space="preserve"> übersetzt καὶ λήμψεται ὁ ἱερεὺς ὕδωρ καθαρὸν ζῶν ἐν ἀγγείῳ ὀστρακίνῳ καὶ τῆς γῆς τῆς οὔσης ἐπὶ τοῦ ἐδάφους τῆς σκηνῆς τοῦ μαρτυρίου. Ein wichtiger Unterschied ist die Präzisierung ὕδωρ καθαρὸν ζῶν (reines, lebendiges Wasser) gegenüber dem hebräischen </w:t>
      </w:r>
      <w:r>
        <w:rPr>
          <w:rtl/>
        </w:rPr>
        <w:t>מַיִם קְדֹשִׁים</w:t>
      </w:r>
      <w:r>
        <w:t xml:space="preserve"> (heiliges Wasser). Die LXX betont die Frische und Reinheit des Wassers, während der hebräische Text die sakrale Qualität hervorhebt. Dies zeigt unterschiedliche Konzepte ritueller Reinheit in jüdisch-hellenistischer gegenüber hebräisch-priesterlicher Tradition.</w:t>
      </w:r>
    </w:p>
    <w:p w14:paraId="0B3429A3" w14:textId="756A96E7" w:rsidR="00F102FE" w:rsidRPr="00F102FE" w:rsidRDefault="00F102FE" w:rsidP="00F102FE">
      <w:pPr>
        <w:pStyle w:val="KeinLeerraum"/>
        <w:rPr>
          <w:rFonts w:eastAsia="Times New Roman" w:cs="Times New Roman"/>
          <w:lang w:eastAsia="de-DE"/>
        </w:rPr>
      </w:pPr>
      <w:r w:rsidRPr="00F102FE">
        <w:rPr>
          <w:rStyle w:val="Fett"/>
          <w:b w:val="0"/>
          <w:bCs w:val="0"/>
        </w:rPr>
        <w:t>Auch</w:t>
      </w:r>
      <w:r>
        <w:t xml:space="preserve"> übersetzt selbige καὶ προσάξει αὐτὴν ὁ ἱερεὺς καὶ στήσει αὐτὴν ἔναντι κυρίου. Die Septuaginta zeigt hier keine wesentlichen inhaltlichen Abweichungen, jedoch verwendet sie konsequent κύριος für das Tetragramm, was die hellenistische Adaption der göttlichen Bezeichnungen zeigt. Das Verb προσάξει (heranführen) ist präziser als das einfache "herantreten lassen" und betont die aktive priesterliche Rolle.</w:t>
      </w:r>
    </w:p>
    <w:p w14:paraId="6B2DFEDF"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etabliert die Zubereitung des heiligen Ordaltranks aus Wasser und Erde vom heiligen Ort.</w:t>
      </w:r>
    </w:p>
    <w:p w14:paraId="5E9794BD"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lastRenderedPageBreak/>
        <w:t>Numeri 5,18</w:t>
      </w:r>
    </w:p>
    <w:p w14:paraId="78320DDE"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וְהֶעֱמִ֨יד הַכֹּהֵ֥ן אֶֽת־הָאִשָּׁה֮ לִפְנֵ֣י יְהוָה֒ וּפָרַע֙ אֶת־רֹ֣אשׁ הָֽאִשָּׁ֔ה וְנָתַ֣ן עַל־כַּפֶּ֗יהָ אֵ֚ת מִנְחַ֣ת הַזִּכָּר֔וֹן מִנְחַ֥ת קְנָאֹ֖ת הִ֑וא וּבְיַ֤ד הַכֹּהֵן֙ יִהְי֔וּ מֵ֥י הַמָּרִ֖ים הַמְאָֽרֲרִֽים׃</w:t>
      </w:r>
    </w:p>
    <w:p w14:paraId="334AFD7A"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der Priester soll die Frau vor den Ewigen stellen und das Haupt der Frau entblößen und das Speisopfer des Gedächtnisses auf ihre Hände legen - es ist ein Speisopfer der Eifersucht; und in der Hand des Priesters sollen die bitteren, fluchbringenden Wasser sein.</w:t>
      </w:r>
    </w:p>
    <w:p w14:paraId="5EEB06A9"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07FB94F2">
          <v:rect id="_x0000_i1230" style="width:0;height:1.5pt" o:hralign="center" o:hrstd="t" o:hr="t" fillcolor="#a0a0a0" stroked="f"/>
        </w:pict>
      </w:r>
    </w:p>
    <w:p w14:paraId="796B7D53"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Die Wiederholung </w:t>
      </w:r>
      <w:r w:rsidRPr="00F102FE">
        <w:rPr>
          <w:rFonts w:eastAsia="Times New Roman" w:cs="Times New Roman"/>
          <w:b/>
          <w:bCs/>
          <w:rtl/>
          <w:lang w:eastAsia="de-DE"/>
        </w:rPr>
        <w:t>וְהֶעֱמִיד הַכֹּהֵן אֶֽת־הָאִשָּׁה לִפְנֵי יְהוָה</w:t>
      </w:r>
      <w:r w:rsidRPr="00F102FE">
        <w:rPr>
          <w:rFonts w:eastAsia="Times New Roman" w:cs="Times New Roman"/>
          <w:rtl/>
          <w:lang w:eastAsia="de-DE"/>
        </w:rPr>
        <w:t xml:space="preserve"> </w:t>
      </w:r>
      <w:r w:rsidRPr="00F102FE">
        <w:rPr>
          <w:rFonts w:eastAsia="Times New Roman" w:cs="Times New Roman"/>
          <w:lang w:eastAsia="de-DE"/>
        </w:rPr>
        <w:t xml:space="preserve">betont die Gerichtssituation. Das Verb </w:t>
      </w:r>
      <w:r w:rsidRPr="00F102FE">
        <w:rPr>
          <w:rFonts w:eastAsia="Times New Roman" w:cs="Times New Roman"/>
          <w:b/>
          <w:bCs/>
          <w:rtl/>
          <w:lang w:eastAsia="de-DE"/>
        </w:rPr>
        <w:t>וּפָרַע אֶת־רֹאשׁ הָאִשָּׁה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פָרַע</w:t>
      </w:r>
      <w:r w:rsidRPr="00F102FE">
        <w:rPr>
          <w:rFonts w:eastAsia="Times New Roman" w:cs="Times New Roman"/>
          <w:rtl/>
          <w:lang w:eastAsia="de-DE"/>
        </w:rPr>
        <w:t xml:space="preserve"> </w:t>
      </w:r>
      <w:r w:rsidRPr="00F102FE">
        <w:rPr>
          <w:rFonts w:eastAsia="Times New Roman" w:cs="Times New Roman"/>
          <w:lang w:eastAsia="de-DE"/>
        </w:rPr>
        <w:t>(entblößen/lösen) zeigt die rituelle Entschleierung als Zeichen der Schande und Vulnerabilität.</w:t>
      </w:r>
    </w:p>
    <w:p w14:paraId="2BB3C3A1"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rtl/>
          <w:lang w:eastAsia="de-DE"/>
        </w:rPr>
        <w:t>וְנָתַן עַל־כַּפֶּיהָ אֵת מִנְחַת הַזִּכָּרוֹן</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כַּפֶּיהָ</w:t>
      </w:r>
      <w:r w:rsidRPr="00F102FE">
        <w:rPr>
          <w:rFonts w:eastAsia="Times New Roman" w:cs="Times New Roman"/>
          <w:rtl/>
          <w:lang w:eastAsia="de-DE"/>
        </w:rPr>
        <w:t xml:space="preserve"> </w:t>
      </w:r>
      <w:r w:rsidRPr="00F102FE">
        <w:rPr>
          <w:rFonts w:eastAsia="Times New Roman" w:cs="Times New Roman"/>
          <w:lang w:eastAsia="de-DE"/>
        </w:rPr>
        <w:t>(ihre Handflächen) zeigt die symbolische Übertragung der Anklagefunktion des Opfers auf die Frau.</w:t>
      </w:r>
    </w:p>
    <w:p w14:paraId="2A64AF50"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zusammenfassende Charakterisierung </w:t>
      </w:r>
      <w:r w:rsidRPr="00F102FE">
        <w:rPr>
          <w:rFonts w:eastAsia="Times New Roman" w:cs="Times New Roman"/>
          <w:b/>
          <w:bCs/>
          <w:rtl/>
          <w:lang w:eastAsia="de-DE"/>
        </w:rPr>
        <w:t>מִנְחַת קְנָאֹת הִוא</w:t>
      </w:r>
      <w:r w:rsidRPr="00F102FE">
        <w:rPr>
          <w:rFonts w:eastAsia="Times New Roman" w:cs="Times New Roman"/>
          <w:rtl/>
          <w:lang w:eastAsia="de-DE"/>
        </w:rPr>
        <w:t xml:space="preserve"> </w:t>
      </w:r>
      <w:r w:rsidRPr="00F102FE">
        <w:rPr>
          <w:rFonts w:eastAsia="Times New Roman" w:cs="Times New Roman"/>
          <w:lang w:eastAsia="de-DE"/>
        </w:rPr>
        <w:t xml:space="preserve">wiederholt die Opferbezeichnung. </w:t>
      </w:r>
      <w:r w:rsidRPr="00F102FE">
        <w:rPr>
          <w:rFonts w:eastAsia="Times New Roman" w:cs="Times New Roman"/>
          <w:b/>
          <w:bCs/>
          <w:rtl/>
          <w:lang w:eastAsia="de-DE"/>
        </w:rPr>
        <w:t>וּבְיַד הַכֹּהֵן יִהְיוּ מֵי הַמָּרִים הַמְאָרֲרִים</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מֵי הַמָּרִים</w:t>
      </w:r>
      <w:r w:rsidRPr="00F102FE">
        <w:rPr>
          <w:rFonts w:eastAsia="Times New Roman" w:cs="Times New Roman"/>
          <w:rtl/>
          <w:lang w:eastAsia="de-DE"/>
        </w:rPr>
        <w:t xml:space="preserve"> </w:t>
      </w:r>
      <w:r w:rsidRPr="00F102FE">
        <w:rPr>
          <w:rFonts w:eastAsia="Times New Roman" w:cs="Times New Roman"/>
          <w:lang w:eastAsia="de-DE"/>
        </w:rPr>
        <w:t xml:space="preserve">(bittere Wasser) und </w:t>
      </w:r>
      <w:r w:rsidRPr="00F102FE">
        <w:rPr>
          <w:rFonts w:eastAsia="Times New Roman" w:cs="Times New Roman"/>
          <w:b/>
          <w:bCs/>
          <w:rtl/>
          <w:lang w:eastAsia="de-DE"/>
        </w:rPr>
        <w:t>הַמְאָרֲרִים</w:t>
      </w:r>
      <w:r w:rsidRPr="00F102FE">
        <w:rPr>
          <w:rFonts w:eastAsia="Times New Roman" w:cs="Times New Roman"/>
          <w:rtl/>
          <w:lang w:eastAsia="de-DE"/>
        </w:rPr>
        <w:t xml:space="preserve"> </w:t>
      </w:r>
      <w:r w:rsidRPr="00F102FE">
        <w:rPr>
          <w:rFonts w:eastAsia="Times New Roman" w:cs="Times New Roman"/>
          <w:lang w:eastAsia="de-DE"/>
        </w:rPr>
        <w:t>(die fluchbringenden) charakterisiert den Ordaltrunk.</w:t>
      </w:r>
    </w:p>
    <w:p w14:paraId="73A64FE6" w14:textId="0278F356" w:rsidR="00F102FE" w:rsidRPr="00F102FE" w:rsidRDefault="006B48FB" w:rsidP="00F102FE">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6B48FB">
        <w:rPr>
          <w:b/>
          <w:bCs/>
          <w:rtl/>
        </w:rPr>
        <w:t>ופרע את־ראש</w:t>
      </w:r>
      <w:r>
        <w:t xml:space="preserve"> (ufara' et-rosh - "und er soll das Haupt entblößen") als καὶ ἀποκαλύψει τὴν κεφαλήν (und er soll das Haupt enthüllen). </w:t>
      </w:r>
      <w:r w:rsidRPr="006B48FB">
        <w:rPr>
          <w:b/>
          <w:bCs/>
          <w:rtl/>
        </w:rPr>
        <w:t>מי המרים המאררים</w:t>
      </w:r>
      <w:r>
        <w:t xml:space="preserve"> (mei hammarim hame'ararim - "das bittere, verfluchende Wasser") wird als τὸ ὕδωρ τοῦ ἐλεγμοῦ τοῦ ἐπικαταρωμένου (das Wasser der Überführung, das verfluchende) übersetzt, wobei ἔλεγχος (Überführung/Beweis) eine juristische Dimension hinzufügt.</w:t>
      </w:r>
    </w:p>
    <w:p w14:paraId="4E542177"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beschreibt die rituelle Vorbereitung der Frau für das Ordal mit symbolischen Handlungen der Entblößung und Anklageübertragung.</w:t>
      </w:r>
    </w:p>
    <w:p w14:paraId="4519FA86"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5,19</w:t>
      </w:r>
    </w:p>
    <w:p w14:paraId="10ACAF5D"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וְהִשְׁבִּ֨יעַ אֹתָ֜הּ הַכֹּהֵ֗ן וְאָמַ֤ר אֶל־הָֽאִשָּׁה֙ אִם־לֹ֨א שָׁכַ֥ב אִישׁ֙ אֹתָ֔ךְ וְאִם־לֹ֥א שָׂטִ֛ית טֻמְאָ֖ה תַּ֣חַת אִישֵׁ֑ךְ הִנָּקִ֕י מִמֵּ֛י הַמָּרִ֥ים הַֽמְאָרֲרִ֖ים הָאֵֽלֶּה׃</w:t>
      </w:r>
    </w:p>
    <w:p w14:paraId="4BD03D9A"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der Priester soll sie beschwören und zu der Frau sagen: Wenn kein Mann bei dir gelegen hat, und wenn du nicht abgewichen bist zur Unreinheit unter deinem Mann, so bleibe unversehrt von diesen bitteren, fluchbringenden Wassern.</w:t>
      </w:r>
    </w:p>
    <w:p w14:paraId="0ED82D57"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0B0A5B4A">
          <v:rect id="_x0000_i1231" style="width:0;height:1.5pt" o:hralign="center" o:hrstd="t" o:hr="t" fillcolor="#a0a0a0" stroked="f"/>
        </w:pict>
      </w:r>
    </w:p>
    <w:p w14:paraId="165027C4"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Verb </w:t>
      </w:r>
      <w:r w:rsidRPr="00F102FE">
        <w:rPr>
          <w:rFonts w:eastAsia="Times New Roman" w:cs="Times New Roman"/>
          <w:b/>
          <w:bCs/>
          <w:rtl/>
          <w:lang w:eastAsia="de-DE"/>
        </w:rPr>
        <w:t>וְהִשְׁבִּיעַ</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שבע</w:t>
      </w:r>
      <w:r w:rsidRPr="00F102FE">
        <w:rPr>
          <w:rFonts w:eastAsia="Times New Roman" w:cs="Times New Roman"/>
          <w:rtl/>
          <w:lang w:eastAsia="de-DE"/>
        </w:rPr>
        <w:t xml:space="preserve"> </w:t>
      </w:r>
      <w:r w:rsidRPr="00F102FE">
        <w:rPr>
          <w:rFonts w:eastAsia="Times New Roman" w:cs="Times New Roman"/>
          <w:lang w:eastAsia="de-DE"/>
        </w:rPr>
        <w:t xml:space="preserve">(schwören) im Hiph'il-Perfekt 3. maskulin Singular mit </w:t>
      </w:r>
      <w:r w:rsidRPr="00F102FE">
        <w:rPr>
          <w:rFonts w:eastAsia="Times New Roman" w:cs="Times New Roman"/>
          <w:b/>
          <w:bCs/>
          <w:rtl/>
          <w:lang w:eastAsia="de-DE"/>
        </w:rPr>
        <w:t>אֹתָהּ</w:t>
      </w:r>
      <w:r w:rsidRPr="00F102FE">
        <w:rPr>
          <w:rFonts w:eastAsia="Times New Roman" w:cs="Times New Roman"/>
          <w:rtl/>
          <w:lang w:eastAsia="de-DE"/>
        </w:rPr>
        <w:t xml:space="preserve"> </w:t>
      </w:r>
      <w:r w:rsidRPr="00F102FE">
        <w:rPr>
          <w:rFonts w:eastAsia="Times New Roman" w:cs="Times New Roman"/>
          <w:lang w:eastAsia="de-DE"/>
        </w:rPr>
        <w:t>(sie) zeigt die priesterliche Beschwörung der Frau zur Eidleistung.</w:t>
      </w:r>
    </w:p>
    <w:p w14:paraId="1C1256C8"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Das koordinierte Verb </w:t>
      </w:r>
      <w:r w:rsidRPr="00F102FE">
        <w:rPr>
          <w:rFonts w:eastAsia="Times New Roman" w:cs="Times New Roman"/>
          <w:b/>
          <w:bCs/>
          <w:rtl/>
          <w:lang w:eastAsia="de-DE"/>
        </w:rPr>
        <w:t>וְאָמַר אֶל־הָאִשָּׁה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אָמַר</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אמר</w:t>
      </w:r>
      <w:r w:rsidRPr="00F102FE">
        <w:rPr>
          <w:rFonts w:eastAsia="Times New Roman" w:cs="Times New Roman"/>
          <w:rtl/>
          <w:lang w:eastAsia="de-DE"/>
        </w:rPr>
        <w:t xml:space="preserve"> </w:t>
      </w:r>
      <w:r w:rsidRPr="00F102FE">
        <w:rPr>
          <w:rFonts w:eastAsia="Times New Roman" w:cs="Times New Roman"/>
          <w:lang w:eastAsia="de-DE"/>
        </w:rPr>
        <w:t>(sagen) leitet die Eidformel ein.</w:t>
      </w:r>
    </w:p>
    <w:p w14:paraId="06980290"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lastRenderedPageBreak/>
        <w:t xml:space="preserve">Die erste Bedingung </w:t>
      </w:r>
      <w:r w:rsidRPr="00F102FE">
        <w:rPr>
          <w:rFonts w:eastAsia="Times New Roman" w:cs="Times New Roman"/>
          <w:b/>
          <w:bCs/>
          <w:rtl/>
          <w:lang w:eastAsia="de-DE"/>
        </w:rPr>
        <w:t>אִם־לֹא שָׁכַב אִישׁ אֹתָךְ</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אִם־לֹא</w:t>
      </w:r>
      <w:r w:rsidRPr="00F102FE">
        <w:rPr>
          <w:rFonts w:eastAsia="Times New Roman" w:cs="Times New Roman"/>
          <w:rtl/>
          <w:lang w:eastAsia="de-DE"/>
        </w:rPr>
        <w:t xml:space="preserve"> </w:t>
      </w:r>
      <w:r w:rsidRPr="00F102FE">
        <w:rPr>
          <w:rFonts w:eastAsia="Times New Roman" w:cs="Times New Roman"/>
          <w:lang w:eastAsia="de-DE"/>
        </w:rPr>
        <w:t xml:space="preserve">(wenn nicht) und </w:t>
      </w:r>
      <w:r w:rsidRPr="00F102FE">
        <w:rPr>
          <w:rFonts w:eastAsia="Times New Roman" w:cs="Times New Roman"/>
          <w:b/>
          <w:bCs/>
          <w:rtl/>
          <w:lang w:eastAsia="de-DE"/>
        </w:rPr>
        <w:t>שָׁכַב</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שכב</w:t>
      </w:r>
      <w:r w:rsidRPr="00F102FE">
        <w:rPr>
          <w:rFonts w:eastAsia="Times New Roman" w:cs="Times New Roman"/>
          <w:rtl/>
          <w:lang w:eastAsia="de-DE"/>
        </w:rPr>
        <w:t xml:space="preserve"> </w:t>
      </w:r>
      <w:r w:rsidRPr="00F102FE">
        <w:rPr>
          <w:rFonts w:eastAsia="Times New Roman" w:cs="Times New Roman"/>
          <w:lang w:eastAsia="de-DE"/>
        </w:rPr>
        <w:t>(liegen) behandelt den direkten sexuellen Akt.</w:t>
      </w:r>
    </w:p>
    <w:p w14:paraId="10A701DE"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zweite Bedingung </w:t>
      </w:r>
      <w:r w:rsidRPr="00F102FE">
        <w:rPr>
          <w:rFonts w:eastAsia="Times New Roman" w:cs="Times New Roman"/>
          <w:b/>
          <w:bCs/>
          <w:rtl/>
          <w:lang w:eastAsia="de-DE"/>
        </w:rPr>
        <w:t>וְאִם־לֹא שָׂטִית טֻמְאָה תַּחַת אִישֵׁךְ</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שָׂטִית</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שטה</w:t>
      </w:r>
      <w:r w:rsidRPr="00F102FE">
        <w:rPr>
          <w:rFonts w:eastAsia="Times New Roman" w:cs="Times New Roman"/>
          <w:rtl/>
          <w:lang w:eastAsia="de-DE"/>
        </w:rPr>
        <w:t xml:space="preserve"> </w:t>
      </w:r>
      <w:r w:rsidRPr="00F102FE">
        <w:rPr>
          <w:rFonts w:eastAsia="Times New Roman" w:cs="Times New Roman"/>
          <w:lang w:eastAsia="de-DE"/>
        </w:rPr>
        <w:t xml:space="preserve">(abweichen) im Qal-Perfekt 2. feminin Singular, </w:t>
      </w:r>
      <w:r w:rsidRPr="00F102FE">
        <w:rPr>
          <w:rFonts w:eastAsia="Times New Roman" w:cs="Times New Roman"/>
          <w:b/>
          <w:bCs/>
          <w:rtl/>
          <w:lang w:eastAsia="de-DE"/>
        </w:rPr>
        <w:t>טֻמְאָה</w:t>
      </w:r>
      <w:r w:rsidRPr="00F102FE">
        <w:rPr>
          <w:rFonts w:eastAsia="Times New Roman" w:cs="Times New Roman"/>
          <w:rtl/>
          <w:lang w:eastAsia="de-DE"/>
        </w:rPr>
        <w:t xml:space="preserve"> </w:t>
      </w:r>
      <w:r w:rsidRPr="00F102FE">
        <w:rPr>
          <w:rFonts w:eastAsia="Times New Roman" w:cs="Times New Roman"/>
          <w:lang w:eastAsia="de-DE"/>
        </w:rPr>
        <w:t xml:space="preserve">(Unreinheit) und </w:t>
      </w:r>
      <w:r w:rsidRPr="00F102FE">
        <w:rPr>
          <w:rFonts w:eastAsia="Times New Roman" w:cs="Times New Roman"/>
          <w:b/>
          <w:bCs/>
          <w:rtl/>
          <w:lang w:eastAsia="de-DE"/>
        </w:rPr>
        <w:t>תַּחַת אִישֵׁךְ</w:t>
      </w:r>
      <w:r w:rsidRPr="00F102FE">
        <w:rPr>
          <w:rFonts w:eastAsia="Times New Roman" w:cs="Times New Roman"/>
          <w:rtl/>
          <w:lang w:eastAsia="de-DE"/>
        </w:rPr>
        <w:t xml:space="preserve"> </w:t>
      </w:r>
      <w:r w:rsidRPr="00F102FE">
        <w:rPr>
          <w:rFonts w:eastAsia="Times New Roman" w:cs="Times New Roman"/>
          <w:lang w:eastAsia="de-DE"/>
        </w:rPr>
        <w:t>(unter deinem Mann) erweitert auf allgemeine eheliche Untreue.</w:t>
      </w:r>
    </w:p>
    <w:p w14:paraId="71FF53EC"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Folgerung </w:t>
      </w:r>
      <w:r w:rsidRPr="00F102FE">
        <w:rPr>
          <w:rFonts w:eastAsia="Times New Roman" w:cs="Times New Roman"/>
          <w:b/>
          <w:bCs/>
          <w:rtl/>
          <w:lang w:eastAsia="de-DE"/>
        </w:rPr>
        <w:t>הִנָּקִי מִמֵּי הַמָּרִים הַמְאָרֲרִים הָאֵלֶּה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הִנָּקִי</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נקה</w:t>
      </w:r>
      <w:r w:rsidRPr="00F102FE">
        <w:rPr>
          <w:rFonts w:eastAsia="Times New Roman" w:cs="Times New Roman"/>
          <w:rtl/>
          <w:lang w:eastAsia="de-DE"/>
        </w:rPr>
        <w:t xml:space="preserve"> </w:t>
      </w:r>
      <w:r w:rsidRPr="00F102FE">
        <w:rPr>
          <w:rFonts w:eastAsia="Times New Roman" w:cs="Times New Roman"/>
          <w:lang w:eastAsia="de-DE"/>
        </w:rPr>
        <w:t xml:space="preserve">(unschuldig/unversehrt sein) im Niph'al-Imperativ feminin Singular und </w:t>
      </w:r>
      <w:r w:rsidRPr="00F102FE">
        <w:rPr>
          <w:rFonts w:eastAsia="Times New Roman" w:cs="Times New Roman"/>
          <w:b/>
          <w:bCs/>
          <w:rtl/>
          <w:lang w:eastAsia="de-DE"/>
        </w:rPr>
        <w:t>מִמֵּי הַמָּרִים הַמְאָרֲרִים הָאֵלֶּה</w:t>
      </w:r>
      <w:r w:rsidRPr="00F102FE">
        <w:rPr>
          <w:rFonts w:eastAsia="Times New Roman" w:cs="Times New Roman"/>
          <w:rtl/>
          <w:lang w:eastAsia="de-DE"/>
        </w:rPr>
        <w:t xml:space="preserve"> </w:t>
      </w:r>
      <w:r w:rsidRPr="00F102FE">
        <w:rPr>
          <w:rFonts w:eastAsia="Times New Roman" w:cs="Times New Roman"/>
          <w:lang w:eastAsia="de-DE"/>
        </w:rPr>
        <w:t>(von diesen bitteren, fluchbringenden Wassern) verspricht Immunität bei Unschuld.</w:t>
      </w:r>
    </w:p>
    <w:p w14:paraId="6B43805D" w14:textId="58BF67DE"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w:t>
      </w:r>
      <w:r w:rsidR="00761F29">
        <w:t xml:space="preserve">verwendet παραβαίνω (übertreten) für </w:t>
      </w:r>
      <w:r w:rsidR="00761F29">
        <w:rPr>
          <w:rtl/>
        </w:rPr>
        <w:t>שטה</w:t>
      </w:r>
      <w:r w:rsidR="00761F29">
        <w:t xml:space="preserve"> (abweichen), was einen stärker rechtlichen Charakter hat. Das griechische ἀθῴα ἴσθι (sei unschuldig) ist direkter als das hebräische </w:t>
      </w:r>
      <w:r w:rsidR="00761F29">
        <w:rPr>
          <w:rtl/>
        </w:rPr>
        <w:t>הִנָּקִי</w:t>
      </w:r>
      <w:r w:rsidR="00761F29">
        <w:t xml:space="preserve"> (bleibe unversehrt), zeigt aber eine ähnliche Immunitätszusage.</w:t>
      </w:r>
    </w:p>
    <w:p w14:paraId="17A064E7"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eine Beschwörungsanweisung mit koordinierter Redeeinleitung, doppelter konditionaler Unschuldsbeteuerung und verheißungsvoller Immunitätszusage.</w:t>
      </w:r>
    </w:p>
    <w:p w14:paraId="7F4BA1CB"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beginnt die formelle Eidzeremonie mit der Unschuldsvermutung und Immunitätszusage für unschuldige Frauen.</w:t>
      </w:r>
    </w:p>
    <w:p w14:paraId="138AEB93"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5,20</w:t>
      </w:r>
    </w:p>
    <w:p w14:paraId="537C1F9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וְאַ֗תְּ כִּ֥י שָׂטִ֛ית תַּ֥חַת אִישֵׁ֖ךְ וְכִ֣י נִטְמֵ֑את וַיִּתֵּ֨ן אִ֥ישׁ בָּךְ֙ אֶת־שְׁכָבְתּוֹ֔ מִֽבַּלְעֲדֵ֖י אִישֵֽׁךְ׃</w:t>
      </w:r>
    </w:p>
    <w:p w14:paraId="5BD41494"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Du aber, wenn du abgewichen bist unter deinem Mann und dich verunreinigt hast, und ein Mann außer deinem Mann bei dir gelegen hat -</w:t>
      </w:r>
    </w:p>
    <w:p w14:paraId="72266B39"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275CCE59">
          <v:rect id="_x0000_i1232" style="width:0;height:1.5pt" o:hralign="center" o:hrstd="t" o:hr="t" fillcolor="#a0a0a0" stroked="f"/>
        </w:pict>
      </w:r>
    </w:p>
    <w:p w14:paraId="46EC5468"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emphatische </w:t>
      </w:r>
      <w:r w:rsidRPr="00F102FE">
        <w:rPr>
          <w:rFonts w:eastAsia="Times New Roman" w:cs="Times New Roman"/>
          <w:b/>
          <w:bCs/>
          <w:rtl/>
          <w:lang w:eastAsia="de-DE"/>
        </w:rPr>
        <w:t>וְאַתְּ</w:t>
      </w:r>
      <w:r w:rsidRPr="00F102FE">
        <w:rPr>
          <w:rFonts w:eastAsia="Times New Roman" w:cs="Times New Roman"/>
          <w:rtl/>
          <w:lang w:eastAsia="de-DE"/>
        </w:rPr>
        <w:t xml:space="preserve"> </w:t>
      </w:r>
      <w:r w:rsidRPr="00F102FE">
        <w:rPr>
          <w:rFonts w:eastAsia="Times New Roman" w:cs="Times New Roman"/>
          <w:lang w:eastAsia="de-DE"/>
        </w:rPr>
        <w:t>(du aber) mit Waw adversativum leitet den Gegensatz zur Unschuldsvermutung ein.</w:t>
      </w:r>
    </w:p>
    <w:p w14:paraId="736EE66E"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erste Bedingung </w:t>
      </w:r>
      <w:r w:rsidRPr="00F102FE">
        <w:rPr>
          <w:rFonts w:eastAsia="Times New Roman" w:cs="Times New Roman"/>
          <w:b/>
          <w:bCs/>
          <w:rtl/>
          <w:lang w:eastAsia="de-DE"/>
        </w:rPr>
        <w:t>כִּי שָׂטִית תַּחַת אִישֵׁךְ</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כִּי</w:t>
      </w:r>
      <w:r w:rsidRPr="00F102FE">
        <w:rPr>
          <w:rFonts w:eastAsia="Times New Roman" w:cs="Times New Roman"/>
          <w:rtl/>
          <w:lang w:eastAsia="de-DE"/>
        </w:rPr>
        <w:t xml:space="preserve"> </w:t>
      </w:r>
      <w:r w:rsidRPr="00F102FE">
        <w:rPr>
          <w:rFonts w:eastAsia="Times New Roman" w:cs="Times New Roman"/>
          <w:lang w:eastAsia="de-DE"/>
        </w:rPr>
        <w:t xml:space="preserve">(wenn), </w:t>
      </w:r>
      <w:r w:rsidRPr="00F102FE">
        <w:rPr>
          <w:rFonts w:eastAsia="Times New Roman" w:cs="Times New Roman"/>
          <w:b/>
          <w:bCs/>
          <w:rtl/>
          <w:lang w:eastAsia="de-DE"/>
        </w:rPr>
        <w:t>שָׂטִית</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שטה</w:t>
      </w:r>
      <w:r w:rsidRPr="00F102FE">
        <w:rPr>
          <w:rFonts w:eastAsia="Times New Roman" w:cs="Times New Roman"/>
          <w:rtl/>
          <w:lang w:eastAsia="de-DE"/>
        </w:rPr>
        <w:t xml:space="preserve"> </w:t>
      </w:r>
      <w:r w:rsidRPr="00F102FE">
        <w:rPr>
          <w:rFonts w:eastAsia="Times New Roman" w:cs="Times New Roman"/>
          <w:lang w:eastAsia="de-DE"/>
        </w:rPr>
        <w:t xml:space="preserve">(abweichen) im Qal-Perfekt 2. feminin Singular und </w:t>
      </w:r>
      <w:r w:rsidRPr="00F102FE">
        <w:rPr>
          <w:rFonts w:eastAsia="Times New Roman" w:cs="Times New Roman"/>
          <w:b/>
          <w:bCs/>
          <w:rtl/>
          <w:lang w:eastAsia="de-DE"/>
        </w:rPr>
        <w:t>תַּחַת אִישֵׁךְ</w:t>
      </w:r>
      <w:r w:rsidRPr="00F102FE">
        <w:rPr>
          <w:rFonts w:eastAsia="Times New Roman" w:cs="Times New Roman"/>
          <w:rtl/>
          <w:lang w:eastAsia="de-DE"/>
        </w:rPr>
        <w:t xml:space="preserve"> </w:t>
      </w:r>
      <w:r w:rsidRPr="00F102FE">
        <w:rPr>
          <w:rFonts w:eastAsia="Times New Roman" w:cs="Times New Roman"/>
          <w:lang w:eastAsia="de-DE"/>
        </w:rPr>
        <w:t>(unter deinem Mann) beschreibt die eheliche Untreue.</w:t>
      </w:r>
    </w:p>
    <w:p w14:paraId="008B0333"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koordinierte Bedingung </w:t>
      </w:r>
      <w:r w:rsidRPr="00F102FE">
        <w:rPr>
          <w:rFonts w:eastAsia="Times New Roman" w:cs="Times New Roman"/>
          <w:b/>
          <w:bCs/>
          <w:rtl/>
          <w:lang w:eastAsia="de-DE"/>
        </w:rPr>
        <w:t>וְכִי נִטְמֵאת</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נִטְמֵאת</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טמא</w:t>
      </w:r>
      <w:r w:rsidRPr="00F102FE">
        <w:rPr>
          <w:rFonts w:eastAsia="Times New Roman" w:cs="Times New Roman"/>
          <w:rtl/>
          <w:lang w:eastAsia="de-DE"/>
        </w:rPr>
        <w:t xml:space="preserve"> </w:t>
      </w:r>
      <w:r w:rsidRPr="00F102FE">
        <w:rPr>
          <w:rFonts w:eastAsia="Times New Roman" w:cs="Times New Roman"/>
          <w:lang w:eastAsia="de-DE"/>
        </w:rPr>
        <w:t>(unrein werden) im Niph'al-Perfekt 2. feminin Singular zeigt die resultierende rituelle Unreinheit.</w:t>
      </w:r>
    </w:p>
    <w:p w14:paraId="70066B1B" w14:textId="6F8A8FE1"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explizite Beschreibung </w:t>
      </w:r>
      <w:r w:rsidRPr="00F102FE">
        <w:rPr>
          <w:rFonts w:eastAsia="Times New Roman" w:cs="Times New Roman"/>
          <w:b/>
          <w:bCs/>
          <w:rtl/>
          <w:lang w:eastAsia="de-DE"/>
        </w:rPr>
        <w:t>וַיִּתֵּן אִישׁ בָּךְ אֶת־שְׁכָבְתּוֹ מִבַּלְעֲדֵי אִישֵׁךְ</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יִתֵּן</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נתן</w:t>
      </w:r>
      <w:r w:rsidRPr="00F102FE">
        <w:rPr>
          <w:rFonts w:eastAsia="Times New Roman" w:cs="Times New Roman"/>
          <w:rtl/>
          <w:lang w:eastAsia="de-DE"/>
        </w:rPr>
        <w:t xml:space="preserve"> </w:t>
      </w:r>
      <w:r w:rsidRPr="00F102FE">
        <w:rPr>
          <w:rFonts w:eastAsia="Times New Roman" w:cs="Times New Roman"/>
          <w:lang w:eastAsia="de-DE"/>
        </w:rPr>
        <w:t xml:space="preserve">(geben), </w:t>
      </w:r>
      <w:r w:rsidRPr="00F102FE">
        <w:rPr>
          <w:rFonts w:eastAsia="Times New Roman" w:cs="Times New Roman"/>
          <w:b/>
          <w:bCs/>
          <w:rtl/>
          <w:lang w:eastAsia="de-DE"/>
        </w:rPr>
        <w:t>שְׁכָבְתּוֹ</w:t>
      </w:r>
      <w:r w:rsidRPr="00F102FE">
        <w:rPr>
          <w:rFonts w:eastAsia="Times New Roman" w:cs="Times New Roman"/>
          <w:rtl/>
          <w:lang w:eastAsia="de-DE"/>
        </w:rPr>
        <w:t xml:space="preserve"> </w:t>
      </w:r>
      <w:r w:rsidRPr="00F102FE">
        <w:rPr>
          <w:rFonts w:eastAsia="Times New Roman" w:cs="Times New Roman"/>
          <w:lang w:eastAsia="de-DE"/>
        </w:rPr>
        <w:t xml:space="preserve">(seine Lagerung/seinen Beischlaf) und </w:t>
      </w:r>
      <w:r w:rsidRPr="00F102FE">
        <w:rPr>
          <w:rFonts w:eastAsia="Times New Roman" w:cs="Times New Roman"/>
          <w:b/>
          <w:bCs/>
          <w:rtl/>
          <w:lang w:eastAsia="de-DE"/>
        </w:rPr>
        <w:t>מִבַּלְעֲדֵי אִישֵׁךְ</w:t>
      </w:r>
      <w:r w:rsidRPr="00F102FE">
        <w:rPr>
          <w:rFonts w:eastAsia="Times New Roman" w:cs="Times New Roman"/>
          <w:rtl/>
          <w:lang w:eastAsia="de-DE"/>
        </w:rPr>
        <w:t xml:space="preserve"> </w:t>
      </w:r>
      <w:r w:rsidRPr="00F102FE">
        <w:rPr>
          <w:rFonts w:eastAsia="Times New Roman" w:cs="Times New Roman"/>
          <w:lang w:eastAsia="de-DE"/>
        </w:rPr>
        <w:t>(außer deinem Mann) macht den sexuellen Akt explizit.</w:t>
      </w:r>
      <w:r w:rsidR="00261B22">
        <w:rPr>
          <w:rFonts w:eastAsia="Times New Roman" w:cs="Times New Roman"/>
          <w:lang w:eastAsia="de-DE"/>
        </w:rPr>
        <w:t xml:space="preserve"> Siehe Num 4,20.</w:t>
      </w:r>
    </w:p>
    <w:p w14:paraId="4147D1C3" w14:textId="30D62DE0" w:rsidR="00F102FE" w:rsidRPr="00F102FE" w:rsidRDefault="00761F29" w:rsidP="00F102FE">
      <w:pPr>
        <w:spacing w:before="100" w:beforeAutospacing="1" w:after="100" w:afterAutospacing="1" w:line="240" w:lineRule="auto"/>
        <w:rPr>
          <w:rFonts w:eastAsia="Times New Roman" w:cs="Times New Roman"/>
          <w:lang w:eastAsia="de-DE"/>
        </w:rPr>
      </w:pPr>
      <w:r>
        <w:rPr>
          <w:rStyle w:val="Fett"/>
        </w:rPr>
        <w:t>Die LXX</w:t>
      </w:r>
      <w:r>
        <w:t xml:space="preserve"> in der griechischen Version euphemistischer in der sexuellen Sprache: ἔδωκέν τις τὴν κοίτην αὐτοῦ ἐν σοὶ (jemand gab sein Lager in dich) gegenüber dem direkteren hebräischen </w:t>
      </w:r>
      <w:r>
        <w:rPr>
          <w:rtl/>
        </w:rPr>
        <w:t>וַיִּתֵּן אִישׁ בָּךְ אֶת־שְׁכָבְתּוֹ</w:t>
      </w:r>
      <w:r>
        <w:t xml:space="preserve"> (ein Mann gab seinen Beischlaf in dich). Dies zeigt hellenistische Zurückhaltung bei expliziter sexueller Terminologie.</w:t>
      </w:r>
    </w:p>
    <w:p w14:paraId="7B46FAE1"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lastRenderedPageBreak/>
        <w:t>Die Satzstruktur zeigt eine adversative Einleitung mit drei koordinierten konditionalen Bestimmungen steigender Explizitheit.</w:t>
      </w:r>
    </w:p>
    <w:p w14:paraId="6D139028"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leitet die Fluchformel ein durch die explizite Beschreibung des vermuteten Ehebruchs in drei steigernden Formulierungen.</w:t>
      </w:r>
    </w:p>
    <w:p w14:paraId="228E49A4"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5,21</w:t>
      </w:r>
    </w:p>
    <w:p w14:paraId="47ABDCD6"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וְהִשְׁבִּ֨יעַ הַכֹּהֵ֥ן אֶֽת־הָֽאִשָּׁה֮ בִּשְׁבֻעַ֣ת הָאָלָה֒ וְאָמַ֤ר הַכֹּהֵן֙ לָֽאִשָּׁ֔ה יִתֵּ֨ן יְהוָ֥ה אוֹתָ֛ךְ לְאָלָ֥ה וְלִשְׁבֻעָ֖ה בְּת֣וֹךְ עַמֵּ֑ךְ בְּתֵ֨ת יְהוָ֤ה אֶת־יְרֵכֵךְ֙ נֹפֶ֔לֶת וְאֶת־בִּטְנֵ֖ךְ צָבָֽה׃</w:t>
      </w:r>
    </w:p>
    <w:p w14:paraId="2743E9CA"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der Priester soll die Frau beschwören mit dem Schwur des Fluches, und der Priester soll zu der Frau sagen: So mache dich der Ewige zum Fluch und zum Schwur in der Mitte deines Volkes, indem der Ewige deine Hüfte verfallen und deinen Bauch anschwellen lässt,</w:t>
      </w:r>
    </w:p>
    <w:p w14:paraId="736CC15F"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2E64E31B">
          <v:rect id="_x0000_i1233" style="width:0;height:1.5pt" o:hralign="center" o:hrstd="t" o:hr="t" fillcolor="#a0a0a0" stroked="f"/>
        </w:pict>
      </w:r>
    </w:p>
    <w:p w14:paraId="2E43554B" w14:textId="1BEEC998"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Die Wiederholung </w:t>
      </w:r>
      <w:r w:rsidRPr="00F102FE">
        <w:rPr>
          <w:rFonts w:eastAsia="Times New Roman" w:cs="Times New Roman"/>
          <w:b/>
          <w:bCs/>
          <w:rtl/>
          <w:lang w:eastAsia="de-DE"/>
        </w:rPr>
        <w:t>וְהִשְׁבִּיעַ הַכֹּהֵן אֶֽת־הָאִשָּׁה</w:t>
      </w:r>
      <w:r w:rsidRPr="00F102FE">
        <w:rPr>
          <w:rFonts w:eastAsia="Times New Roman" w:cs="Times New Roman"/>
          <w:rtl/>
          <w:lang w:eastAsia="de-DE"/>
        </w:rPr>
        <w:t xml:space="preserve"> </w:t>
      </w:r>
      <w:r w:rsidRPr="00F102FE">
        <w:rPr>
          <w:rFonts w:eastAsia="Times New Roman" w:cs="Times New Roman"/>
          <w:lang w:eastAsia="de-DE"/>
        </w:rPr>
        <w:t xml:space="preserve">verstärkt die Beschwörung. Die spezifizierende Phrase </w:t>
      </w:r>
      <w:r w:rsidRPr="00F102FE">
        <w:rPr>
          <w:rFonts w:eastAsia="Times New Roman" w:cs="Times New Roman"/>
          <w:b/>
          <w:bCs/>
          <w:rtl/>
          <w:lang w:eastAsia="de-DE"/>
        </w:rPr>
        <w:t>בִּשְׁבֻעַת הָאָלָה</w:t>
      </w:r>
      <w:r w:rsidRPr="00F102FE">
        <w:rPr>
          <w:rFonts w:eastAsia="Times New Roman" w:cs="Times New Roman"/>
          <w:rtl/>
          <w:lang w:eastAsia="de-DE"/>
        </w:rPr>
        <w:t xml:space="preserve"> </w:t>
      </w:r>
      <w:r w:rsidRPr="00F102FE">
        <w:rPr>
          <w:rFonts w:eastAsia="Times New Roman" w:cs="Times New Roman"/>
          <w:lang w:eastAsia="de-DE"/>
        </w:rPr>
        <w:t xml:space="preserve">(mit dem Schwur des Fluches) mit </w:t>
      </w:r>
      <w:r w:rsidRPr="00F102FE">
        <w:rPr>
          <w:rFonts w:eastAsia="Times New Roman" w:cs="Times New Roman"/>
          <w:b/>
          <w:bCs/>
          <w:rtl/>
          <w:lang w:eastAsia="de-DE"/>
        </w:rPr>
        <w:t>שְׁבֻעַת</w:t>
      </w:r>
      <w:r w:rsidRPr="00F102FE">
        <w:rPr>
          <w:rFonts w:eastAsia="Times New Roman" w:cs="Times New Roman"/>
          <w:rtl/>
          <w:lang w:eastAsia="de-DE"/>
        </w:rPr>
        <w:t xml:space="preserve"> </w:t>
      </w:r>
      <w:r w:rsidRPr="00F102FE">
        <w:rPr>
          <w:rFonts w:eastAsia="Times New Roman" w:cs="Times New Roman"/>
          <w:lang w:eastAsia="de-DE"/>
        </w:rPr>
        <w:t xml:space="preserve">(Schwur von) im </w:t>
      </w:r>
      <w:r w:rsidR="00F133EC">
        <w:rPr>
          <w:rFonts w:eastAsia="Times New Roman" w:cs="Times New Roman"/>
          <w:lang w:eastAsia="de-DE"/>
        </w:rPr>
        <w:t>Construct</w:t>
      </w:r>
      <w:r w:rsidRPr="00F102FE">
        <w:rPr>
          <w:rFonts w:eastAsia="Times New Roman" w:cs="Times New Roman"/>
          <w:lang w:eastAsia="de-DE"/>
        </w:rPr>
        <w:t xml:space="preserve"> und </w:t>
      </w:r>
      <w:r w:rsidRPr="00F102FE">
        <w:rPr>
          <w:rFonts w:eastAsia="Times New Roman" w:cs="Times New Roman"/>
          <w:b/>
          <w:bCs/>
          <w:rtl/>
          <w:lang w:eastAsia="de-DE"/>
        </w:rPr>
        <w:t>אָלָה</w:t>
      </w:r>
      <w:r w:rsidRPr="00F102FE">
        <w:rPr>
          <w:rFonts w:eastAsia="Times New Roman" w:cs="Times New Roman"/>
          <w:rtl/>
          <w:lang w:eastAsia="de-DE"/>
        </w:rPr>
        <w:t xml:space="preserve"> </w:t>
      </w:r>
      <w:r w:rsidRPr="00F102FE">
        <w:rPr>
          <w:rFonts w:eastAsia="Times New Roman" w:cs="Times New Roman"/>
          <w:lang w:eastAsia="de-DE"/>
        </w:rPr>
        <w:t>(Fluch) zeigt die Verwandlung des Eides in einen bedingten Fluch.</w:t>
      </w:r>
    </w:p>
    <w:p w14:paraId="682BFAC8"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Redeeinleitung </w:t>
      </w:r>
      <w:r w:rsidRPr="00F102FE">
        <w:rPr>
          <w:rFonts w:eastAsia="Times New Roman" w:cs="Times New Roman"/>
          <w:b/>
          <w:bCs/>
          <w:rtl/>
          <w:lang w:eastAsia="de-DE"/>
        </w:rPr>
        <w:t>וְאָמַר הַכֹּהֵן לָאִשָּׁה</w:t>
      </w:r>
      <w:r w:rsidRPr="00F102FE">
        <w:rPr>
          <w:rFonts w:eastAsia="Times New Roman" w:cs="Times New Roman"/>
          <w:rtl/>
          <w:lang w:eastAsia="de-DE"/>
        </w:rPr>
        <w:t xml:space="preserve"> </w:t>
      </w:r>
      <w:r w:rsidRPr="00F102FE">
        <w:rPr>
          <w:rFonts w:eastAsia="Times New Roman" w:cs="Times New Roman"/>
          <w:lang w:eastAsia="de-DE"/>
        </w:rPr>
        <w:t>leitet die eigentliche Fluchformel ein.</w:t>
      </w:r>
    </w:p>
    <w:p w14:paraId="7A40B101"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Der erste Teil </w:t>
      </w:r>
      <w:r w:rsidRPr="00F102FE">
        <w:rPr>
          <w:rFonts w:eastAsia="Times New Roman" w:cs="Times New Roman"/>
          <w:b/>
          <w:bCs/>
          <w:rtl/>
          <w:lang w:eastAsia="de-DE"/>
        </w:rPr>
        <w:t>יִתֵּן יְהוָה אוֹתָךְ לְאָלָה וְלִשְׁבֻעָה בְּתוֹךְ עַמֵּךְ</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יִתֵּן</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נתן</w:t>
      </w:r>
      <w:r w:rsidRPr="00F102FE">
        <w:rPr>
          <w:rFonts w:eastAsia="Times New Roman" w:cs="Times New Roman"/>
          <w:rtl/>
          <w:lang w:eastAsia="de-DE"/>
        </w:rPr>
        <w:t xml:space="preserve"> </w:t>
      </w:r>
      <w:r w:rsidRPr="00F102FE">
        <w:rPr>
          <w:rFonts w:eastAsia="Times New Roman" w:cs="Times New Roman"/>
          <w:lang w:eastAsia="de-DE"/>
        </w:rPr>
        <w:t xml:space="preserve">(geben) im Qal-Imperfekt 3. maskulin Singular, </w:t>
      </w:r>
      <w:r w:rsidRPr="00F102FE">
        <w:rPr>
          <w:rFonts w:eastAsia="Times New Roman" w:cs="Times New Roman"/>
          <w:b/>
          <w:bCs/>
          <w:rtl/>
          <w:lang w:eastAsia="de-DE"/>
        </w:rPr>
        <w:t>לְאָלָה וְלִשְׁבֻעָה</w:t>
      </w:r>
      <w:r w:rsidRPr="00F102FE">
        <w:rPr>
          <w:rFonts w:eastAsia="Times New Roman" w:cs="Times New Roman"/>
          <w:rtl/>
          <w:lang w:eastAsia="de-DE"/>
        </w:rPr>
        <w:t xml:space="preserve"> </w:t>
      </w:r>
      <w:r w:rsidRPr="00F102FE">
        <w:rPr>
          <w:rFonts w:eastAsia="Times New Roman" w:cs="Times New Roman"/>
          <w:lang w:eastAsia="de-DE"/>
        </w:rPr>
        <w:t xml:space="preserve">(zum Fluch und zum Schwur) und </w:t>
      </w:r>
      <w:r w:rsidRPr="00F102FE">
        <w:rPr>
          <w:rFonts w:eastAsia="Times New Roman" w:cs="Times New Roman"/>
          <w:b/>
          <w:bCs/>
          <w:rtl/>
          <w:lang w:eastAsia="de-DE"/>
        </w:rPr>
        <w:t>בְּתוֹךְ עַמֵּךְ</w:t>
      </w:r>
      <w:r w:rsidRPr="00F102FE">
        <w:rPr>
          <w:rFonts w:eastAsia="Times New Roman" w:cs="Times New Roman"/>
          <w:rtl/>
          <w:lang w:eastAsia="de-DE"/>
        </w:rPr>
        <w:t xml:space="preserve"> </w:t>
      </w:r>
      <w:r w:rsidRPr="00F102FE">
        <w:rPr>
          <w:rFonts w:eastAsia="Times New Roman" w:cs="Times New Roman"/>
          <w:lang w:eastAsia="de-DE"/>
        </w:rPr>
        <w:t>(in der Mitte deines Volkes) macht die Frau zum abschreckenden Beispiel.</w:t>
      </w:r>
    </w:p>
    <w:p w14:paraId="1ED37837" w14:textId="6C88D001"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spezifizierende temporale Bestimmung </w:t>
      </w:r>
      <w:r w:rsidRPr="00F102FE">
        <w:rPr>
          <w:rFonts w:eastAsia="Times New Roman" w:cs="Times New Roman"/>
          <w:b/>
          <w:bCs/>
          <w:rtl/>
          <w:lang w:eastAsia="de-DE"/>
        </w:rPr>
        <w:t>בְּתֵת יְהוָה אֶת־יְרֵכֵךְ נֹפֶלֶת וְאֶת־בִּטְנֵךְ צָבָה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בְּתֵת</w:t>
      </w:r>
      <w:r w:rsidRPr="00F102FE">
        <w:rPr>
          <w:rFonts w:eastAsia="Times New Roman" w:cs="Times New Roman"/>
          <w:rtl/>
          <w:lang w:eastAsia="de-DE"/>
        </w:rPr>
        <w:t xml:space="preserve"> </w:t>
      </w:r>
      <w:r w:rsidRPr="00F102FE">
        <w:rPr>
          <w:rFonts w:eastAsia="Times New Roman" w:cs="Times New Roman"/>
          <w:lang w:eastAsia="de-DE"/>
        </w:rPr>
        <w:t>als Qal-Infinitiv-</w:t>
      </w:r>
      <w:r w:rsidR="00F133EC">
        <w:rPr>
          <w:rFonts w:eastAsia="Times New Roman" w:cs="Times New Roman"/>
          <w:lang w:eastAsia="de-DE"/>
        </w:rPr>
        <w:t>Construct</w:t>
      </w:r>
      <w:r w:rsidRPr="00F102FE">
        <w:rPr>
          <w:rFonts w:eastAsia="Times New Roman" w:cs="Times New Roman"/>
          <w:lang w:eastAsia="de-DE"/>
        </w:rPr>
        <w:t xml:space="preserve"> von </w:t>
      </w:r>
      <w:r w:rsidRPr="00F102FE">
        <w:rPr>
          <w:rFonts w:eastAsia="Times New Roman" w:cs="Times New Roman"/>
          <w:b/>
          <w:bCs/>
          <w:rtl/>
          <w:lang w:eastAsia="de-DE"/>
        </w:rPr>
        <w:t>נתן</w:t>
      </w:r>
      <w:r w:rsidRPr="00F102FE">
        <w:rPr>
          <w:rFonts w:eastAsia="Times New Roman" w:cs="Times New Roman"/>
          <w:rtl/>
          <w:lang w:eastAsia="de-DE"/>
        </w:rPr>
        <w:t xml:space="preserve"> </w:t>
      </w:r>
      <w:r w:rsidRPr="00F102FE">
        <w:rPr>
          <w:rFonts w:eastAsia="Times New Roman" w:cs="Times New Roman"/>
          <w:lang w:eastAsia="de-DE"/>
        </w:rPr>
        <w:t xml:space="preserve">(geben), </w:t>
      </w:r>
      <w:r w:rsidRPr="00F102FE">
        <w:rPr>
          <w:rFonts w:eastAsia="Times New Roman" w:cs="Times New Roman"/>
          <w:b/>
          <w:bCs/>
          <w:rtl/>
          <w:lang w:eastAsia="de-DE"/>
        </w:rPr>
        <w:t>יְרֵכֵךְ נֹפֶלֶת</w:t>
      </w:r>
      <w:r w:rsidRPr="00F102FE">
        <w:rPr>
          <w:rFonts w:eastAsia="Times New Roman" w:cs="Times New Roman"/>
          <w:rtl/>
          <w:lang w:eastAsia="de-DE"/>
        </w:rPr>
        <w:t xml:space="preserve"> </w:t>
      </w:r>
      <w:r w:rsidRPr="00F102FE">
        <w:rPr>
          <w:rFonts w:eastAsia="Times New Roman" w:cs="Times New Roman"/>
          <w:lang w:eastAsia="de-DE"/>
        </w:rPr>
        <w:t xml:space="preserve">(deine Hüfte verfallend) mit </w:t>
      </w:r>
      <w:r w:rsidRPr="00F102FE">
        <w:rPr>
          <w:rFonts w:eastAsia="Times New Roman" w:cs="Times New Roman"/>
          <w:b/>
          <w:bCs/>
          <w:rtl/>
          <w:lang w:eastAsia="de-DE"/>
        </w:rPr>
        <w:t>נֹפֶלֶת</w:t>
      </w:r>
      <w:r w:rsidRPr="00F102FE">
        <w:rPr>
          <w:rFonts w:eastAsia="Times New Roman" w:cs="Times New Roman"/>
          <w:rtl/>
          <w:lang w:eastAsia="de-DE"/>
        </w:rPr>
        <w:t xml:space="preserve"> </w:t>
      </w:r>
      <w:r w:rsidRPr="00F102FE">
        <w:rPr>
          <w:rFonts w:eastAsia="Times New Roman" w:cs="Times New Roman"/>
          <w:lang w:eastAsia="de-DE"/>
        </w:rPr>
        <w:t xml:space="preserve">als Partizip von </w:t>
      </w:r>
      <w:r w:rsidRPr="00F102FE">
        <w:rPr>
          <w:rFonts w:eastAsia="Times New Roman" w:cs="Times New Roman"/>
          <w:b/>
          <w:bCs/>
          <w:rtl/>
          <w:lang w:eastAsia="de-DE"/>
        </w:rPr>
        <w:t>נפל</w:t>
      </w:r>
      <w:r w:rsidRPr="00F102FE">
        <w:rPr>
          <w:rFonts w:eastAsia="Times New Roman" w:cs="Times New Roman"/>
          <w:rtl/>
          <w:lang w:eastAsia="de-DE"/>
        </w:rPr>
        <w:t xml:space="preserve"> </w:t>
      </w:r>
      <w:r w:rsidRPr="00F102FE">
        <w:rPr>
          <w:rFonts w:eastAsia="Times New Roman" w:cs="Times New Roman"/>
          <w:lang w:eastAsia="de-DE"/>
        </w:rPr>
        <w:t xml:space="preserve">(fallen) und </w:t>
      </w:r>
      <w:r w:rsidRPr="00F102FE">
        <w:rPr>
          <w:rFonts w:eastAsia="Times New Roman" w:cs="Times New Roman"/>
          <w:b/>
          <w:bCs/>
          <w:rtl/>
          <w:lang w:eastAsia="de-DE"/>
        </w:rPr>
        <w:t>בִּטְנֵךְ צָבָה</w:t>
      </w:r>
      <w:r w:rsidRPr="00F102FE">
        <w:rPr>
          <w:rFonts w:eastAsia="Times New Roman" w:cs="Times New Roman"/>
          <w:rtl/>
          <w:lang w:eastAsia="de-DE"/>
        </w:rPr>
        <w:t xml:space="preserve"> </w:t>
      </w:r>
      <w:r w:rsidRPr="00F102FE">
        <w:rPr>
          <w:rFonts w:eastAsia="Times New Roman" w:cs="Times New Roman"/>
          <w:lang w:eastAsia="de-DE"/>
        </w:rPr>
        <w:t xml:space="preserve">(deinen Bauch anschwellend) mit </w:t>
      </w:r>
      <w:r w:rsidRPr="00F102FE">
        <w:rPr>
          <w:rFonts w:eastAsia="Times New Roman" w:cs="Times New Roman"/>
          <w:b/>
          <w:bCs/>
          <w:rtl/>
          <w:lang w:eastAsia="de-DE"/>
        </w:rPr>
        <w:t>צָבָה</w:t>
      </w:r>
      <w:r w:rsidRPr="00F102FE">
        <w:rPr>
          <w:rFonts w:eastAsia="Times New Roman" w:cs="Times New Roman"/>
          <w:rtl/>
          <w:lang w:eastAsia="de-DE"/>
        </w:rPr>
        <w:t xml:space="preserve"> </w:t>
      </w:r>
      <w:r w:rsidRPr="00F102FE">
        <w:rPr>
          <w:rFonts w:eastAsia="Times New Roman" w:cs="Times New Roman"/>
          <w:lang w:eastAsia="de-DE"/>
        </w:rPr>
        <w:t xml:space="preserve">als Partizip von </w:t>
      </w:r>
      <w:r w:rsidRPr="00F102FE">
        <w:rPr>
          <w:rFonts w:eastAsia="Times New Roman" w:cs="Times New Roman"/>
          <w:b/>
          <w:bCs/>
          <w:rtl/>
          <w:lang w:eastAsia="de-DE"/>
        </w:rPr>
        <w:t>צבה</w:t>
      </w:r>
      <w:r w:rsidRPr="00F102FE">
        <w:rPr>
          <w:rFonts w:eastAsia="Times New Roman" w:cs="Times New Roman"/>
          <w:rtl/>
          <w:lang w:eastAsia="de-DE"/>
        </w:rPr>
        <w:t xml:space="preserve"> </w:t>
      </w:r>
      <w:r w:rsidRPr="00F102FE">
        <w:rPr>
          <w:rFonts w:eastAsia="Times New Roman" w:cs="Times New Roman"/>
          <w:lang w:eastAsia="de-DE"/>
        </w:rPr>
        <w:t>(anschwellen) beschreibt die körperlichen Fluchsymptome.</w:t>
      </w:r>
    </w:p>
    <w:p w14:paraId="7E5C2017" w14:textId="77777777" w:rsidR="006B48FB" w:rsidRDefault="006B48FB" w:rsidP="00F102FE">
      <w:pPr>
        <w:spacing w:before="100" w:beforeAutospacing="1" w:after="100" w:afterAutospacing="1" w:line="240" w:lineRule="auto"/>
      </w:pPr>
      <w:r>
        <w:rPr>
          <w:rStyle w:val="Fett"/>
        </w:rPr>
        <w:t>Die LXX</w:t>
      </w:r>
      <w:r>
        <w:t xml:space="preserve"> übersetzt </w:t>
      </w:r>
      <w:r>
        <w:rPr>
          <w:rtl/>
        </w:rPr>
        <w:t>נפלת... צבה</w:t>
      </w:r>
      <w:r>
        <w:t xml:space="preserve"> (nofelet... tzavah - "fallend... schwellend") als διαπεπτωκότα... πεπρησμένην (gefallen... geschwollen), wobei medizinische Terminologie verwendet wird.</w:t>
      </w:r>
    </w:p>
    <w:p w14:paraId="696BDBD0" w14:textId="456993E9"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eine verstärkte Beschwörung mit spezifizierender Fluchcharakterisierung, Redeeinleitung und einer zweiteiligen Fluchformel mit gesellschaftlicher und körperlicher Dimension.</w:t>
      </w:r>
    </w:p>
    <w:p w14:paraId="69DC9BE4" w14:textId="146455C3" w:rsid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etabliert die formelle Fluchformel mit gesellschaftlicher Ächtung und spezifischen körperlichen Strafsymptomen.</w:t>
      </w:r>
    </w:p>
    <w:p w14:paraId="7FA94A4D" w14:textId="3C54F955" w:rsidR="00261B22" w:rsidRDefault="00261B22" w:rsidP="00F06C27">
      <w:pPr>
        <w:pStyle w:val="berschrift4"/>
      </w:pPr>
      <w:r>
        <w:rPr>
          <w:rStyle w:val="Fett"/>
        </w:rPr>
        <w:t>Exkurs: Medizinische Deutung der Symptome (V</w:t>
      </w:r>
      <w:r w:rsidR="009C6F3B">
        <w:rPr>
          <w:rStyle w:val="Fett"/>
        </w:rPr>
        <w:t>ers</w:t>
      </w:r>
      <w:r>
        <w:rPr>
          <w:rStyle w:val="Fett"/>
        </w:rPr>
        <w:t xml:space="preserve"> 21</w:t>
      </w:r>
      <w:r w:rsidR="009C6F3B">
        <w:rPr>
          <w:rStyle w:val="Fett"/>
        </w:rPr>
        <w:t>.</w:t>
      </w:r>
      <w:r>
        <w:rPr>
          <w:rStyle w:val="Fett"/>
        </w:rPr>
        <w:t>27)</w:t>
      </w:r>
    </w:p>
    <w:p w14:paraId="1C9460B7" w14:textId="77777777" w:rsidR="00261B22" w:rsidRDefault="00261B22" w:rsidP="00261B22">
      <w:pPr>
        <w:pStyle w:val="whitespace-normal"/>
      </w:pPr>
      <w:r>
        <w:t xml:space="preserve">Die Fluchsymptome </w:t>
      </w:r>
      <w:r>
        <w:rPr>
          <w:rStyle w:val="Fett"/>
          <w:rtl/>
        </w:rPr>
        <w:t>בֶּטֶן צָבָה</w:t>
      </w:r>
      <w:r>
        <w:rPr>
          <w:rtl/>
        </w:rPr>
        <w:t xml:space="preserve"> </w:t>
      </w:r>
      <w:r>
        <w:t xml:space="preserve">(anschwellender Bauch) und </w:t>
      </w:r>
      <w:r>
        <w:rPr>
          <w:rStyle w:val="Fett"/>
          <w:rtl/>
        </w:rPr>
        <w:t>יָרֵךְ נֹפֶלֶת</w:t>
      </w:r>
      <w:r>
        <w:rPr>
          <w:rtl/>
        </w:rPr>
        <w:t xml:space="preserve"> </w:t>
      </w:r>
      <w:r>
        <w:t>(verfallende Hüfte) sind exegetisch umstritten:</w:t>
      </w:r>
    </w:p>
    <w:p w14:paraId="034EFFF6" w14:textId="77777777" w:rsidR="00261B22" w:rsidRDefault="00261B22" w:rsidP="00261B22">
      <w:pPr>
        <w:pStyle w:val="whitespace-normal"/>
      </w:pPr>
      <w:r>
        <w:rPr>
          <w:rStyle w:val="Fett"/>
        </w:rPr>
        <w:lastRenderedPageBreak/>
        <w:t>1. Gynäkologische Deutung (bevorzugt):</w:t>
      </w:r>
    </w:p>
    <w:p w14:paraId="08BE2BAE" w14:textId="77777777" w:rsidR="00261B22" w:rsidRDefault="00261B22" w:rsidP="00C15C06">
      <w:pPr>
        <w:pStyle w:val="whitespace-normal"/>
        <w:numPr>
          <w:ilvl w:val="0"/>
          <w:numId w:val="47"/>
        </w:numPr>
      </w:pPr>
      <w:r>
        <w:rPr>
          <w:rStyle w:val="Fett"/>
          <w:rtl/>
        </w:rPr>
        <w:t>צָבָה</w:t>
      </w:r>
      <w:r>
        <w:rPr>
          <w:rtl/>
        </w:rPr>
        <w:t xml:space="preserve"> </w:t>
      </w:r>
      <w:r>
        <w:t xml:space="preserve">(anschwellen) könnte eine </w:t>
      </w:r>
      <w:r>
        <w:rPr>
          <w:rStyle w:val="Fett"/>
        </w:rPr>
        <w:t>Fehlgeburt</w:t>
      </w:r>
      <w:r>
        <w:t xml:space="preserve"> oder </w:t>
      </w:r>
      <w:r>
        <w:rPr>
          <w:rStyle w:val="Fett"/>
        </w:rPr>
        <w:t>Infektion</w:t>
      </w:r>
      <w:r>
        <w:t xml:space="preserve"> beschreiben</w:t>
      </w:r>
    </w:p>
    <w:p w14:paraId="029E653E" w14:textId="77777777" w:rsidR="00261B22" w:rsidRDefault="00261B22" w:rsidP="00C15C06">
      <w:pPr>
        <w:pStyle w:val="whitespace-normal"/>
        <w:numPr>
          <w:ilvl w:val="0"/>
          <w:numId w:val="47"/>
        </w:numPr>
      </w:pPr>
      <w:r>
        <w:rPr>
          <w:rStyle w:val="Fett"/>
          <w:rtl/>
        </w:rPr>
        <w:t>נָפַל יָרֵךְ</w:t>
      </w:r>
      <w:r>
        <w:rPr>
          <w:rtl/>
        </w:rPr>
        <w:t xml:space="preserve"> </w:t>
      </w:r>
      <w:r>
        <w:t xml:space="preserve">(Hüfte verfallen) wird oft als </w:t>
      </w:r>
      <w:r>
        <w:rPr>
          <w:rStyle w:val="Fett"/>
        </w:rPr>
        <w:t>Gebärmutterprolaps</w:t>
      </w:r>
      <w:r>
        <w:t xml:space="preserve"> gedeutet</w:t>
      </w:r>
    </w:p>
    <w:p w14:paraId="119EBA62" w14:textId="77777777" w:rsidR="00261B22" w:rsidRDefault="00261B22" w:rsidP="00C15C06">
      <w:pPr>
        <w:pStyle w:val="whitespace-normal"/>
        <w:numPr>
          <w:ilvl w:val="0"/>
          <w:numId w:val="47"/>
        </w:numPr>
      </w:pPr>
      <w:r>
        <w:rPr>
          <w:rStyle w:val="Fett"/>
          <w:rtl/>
        </w:rPr>
        <w:t>יָרֵךְ</w:t>
      </w:r>
      <w:r>
        <w:rPr>
          <w:rtl/>
        </w:rPr>
        <w:t xml:space="preserve"> </w:t>
      </w:r>
      <w:r>
        <w:t xml:space="preserve">(Hüfte/Lende) ist ein Euphemismus für </w:t>
      </w:r>
      <w:r>
        <w:rPr>
          <w:rStyle w:val="Fett"/>
        </w:rPr>
        <w:t>Fortpflanzungsorgane</w:t>
      </w:r>
      <w:r>
        <w:t xml:space="preserve"> (vgl. Gen 46,26: "aus seiner Hüfte gekommen" = seine Nachkommen)</w:t>
      </w:r>
    </w:p>
    <w:p w14:paraId="1160F509" w14:textId="77777777" w:rsidR="00261B22" w:rsidRDefault="00261B22" w:rsidP="00C15C06">
      <w:pPr>
        <w:pStyle w:val="whitespace-normal"/>
        <w:numPr>
          <w:ilvl w:val="0"/>
          <w:numId w:val="47"/>
        </w:numPr>
      </w:pPr>
      <w:r>
        <w:t xml:space="preserve">Das Gegenteil (V. 28: </w:t>
      </w:r>
      <w:r>
        <w:rPr>
          <w:rStyle w:val="Fett"/>
          <w:rtl/>
        </w:rPr>
        <w:t>נִזְרְעָה זָרַע</w:t>
      </w:r>
      <w:r>
        <w:rPr>
          <w:rtl/>
        </w:rPr>
        <w:t xml:space="preserve"> </w:t>
      </w:r>
      <w:r>
        <w:t>= Empfängnis) bestätigt die gynäkologische Dimension</w:t>
      </w:r>
    </w:p>
    <w:p w14:paraId="4FA51D03" w14:textId="77777777" w:rsidR="00261B22" w:rsidRDefault="00261B22" w:rsidP="00261B22">
      <w:pPr>
        <w:pStyle w:val="whitespace-normal"/>
      </w:pPr>
      <w:r>
        <w:rPr>
          <w:rStyle w:val="Fett"/>
        </w:rPr>
        <w:t>2. Allgemein-medizinische Deutung:</w:t>
      </w:r>
    </w:p>
    <w:p w14:paraId="0C56D7B6" w14:textId="77777777" w:rsidR="00261B22" w:rsidRDefault="00261B22" w:rsidP="00C15C06">
      <w:pPr>
        <w:pStyle w:val="whitespace-normal"/>
        <w:numPr>
          <w:ilvl w:val="0"/>
          <w:numId w:val="48"/>
        </w:numPr>
      </w:pPr>
      <w:r>
        <w:rPr>
          <w:rStyle w:val="Fett"/>
          <w:rtl/>
        </w:rPr>
        <w:t>צָבָה</w:t>
      </w:r>
      <w:r>
        <w:rPr>
          <w:rtl/>
        </w:rPr>
        <w:t xml:space="preserve"> </w:t>
      </w:r>
      <w:r>
        <w:t>könnte Bauchwassersucht (Aszites) beschreiben</w:t>
      </w:r>
    </w:p>
    <w:p w14:paraId="7A9E2214" w14:textId="77777777" w:rsidR="00261B22" w:rsidRDefault="00261B22" w:rsidP="00C15C06">
      <w:pPr>
        <w:pStyle w:val="whitespace-normal"/>
        <w:numPr>
          <w:ilvl w:val="0"/>
          <w:numId w:val="48"/>
        </w:numPr>
      </w:pPr>
      <w:r>
        <w:rPr>
          <w:rStyle w:val="Fett"/>
          <w:rtl/>
        </w:rPr>
        <w:t>נָפַל יָרֵךְ</w:t>
      </w:r>
      <w:r>
        <w:rPr>
          <w:rtl/>
        </w:rPr>
        <w:t xml:space="preserve"> </w:t>
      </w:r>
      <w:r>
        <w:t>könnte Muskelschwund oder Lähmung meinen</w:t>
      </w:r>
    </w:p>
    <w:p w14:paraId="1F8E459D" w14:textId="77777777" w:rsidR="00261B22" w:rsidRDefault="00261B22" w:rsidP="00261B22">
      <w:pPr>
        <w:pStyle w:val="whitespace-normal"/>
      </w:pPr>
      <w:r>
        <w:rPr>
          <w:rStyle w:val="Fett"/>
        </w:rPr>
        <w:t>3. Symbolische Deutung:</w:t>
      </w:r>
    </w:p>
    <w:p w14:paraId="301164B0" w14:textId="77777777" w:rsidR="00261B22" w:rsidRDefault="00261B22" w:rsidP="00C15C06">
      <w:pPr>
        <w:pStyle w:val="whitespace-normal"/>
        <w:numPr>
          <w:ilvl w:val="0"/>
          <w:numId w:val="49"/>
        </w:numPr>
      </w:pPr>
      <w:r>
        <w:t xml:space="preserve">Die Symptome sind </w:t>
      </w:r>
      <w:r>
        <w:rPr>
          <w:rStyle w:val="Fett"/>
        </w:rPr>
        <w:t>nicht empirisch</w:t>
      </w:r>
      <w:r>
        <w:t xml:space="preserve">, sondern </w:t>
      </w:r>
      <w:r>
        <w:rPr>
          <w:rStyle w:val="Fett"/>
        </w:rPr>
        <w:t>theologisch</w:t>
      </w:r>
      <w:r>
        <w:t xml:space="preserve">: Sie </w:t>
      </w:r>
      <w:r>
        <w:rPr>
          <w:rStyle w:val="Fett"/>
        </w:rPr>
        <w:t>markieren</w:t>
      </w:r>
      <w:r>
        <w:t xml:space="preserve"> Schuld sichtbar</w:t>
      </w:r>
    </w:p>
    <w:p w14:paraId="265086CF" w14:textId="77777777" w:rsidR="00261B22" w:rsidRDefault="00261B22" w:rsidP="00C15C06">
      <w:pPr>
        <w:pStyle w:val="whitespace-normal"/>
        <w:numPr>
          <w:ilvl w:val="0"/>
          <w:numId w:val="49"/>
        </w:numPr>
      </w:pPr>
      <w:r>
        <w:t xml:space="preserve">Vergleichbar mit </w:t>
      </w:r>
      <w:r>
        <w:rPr>
          <w:rStyle w:val="Fett"/>
        </w:rPr>
        <w:t>Mirjams Aussatz</w:t>
      </w:r>
      <w:r>
        <w:t xml:space="preserve"> (Num 12,10): Sichtbare Strafe als göttliches Zeichen</w:t>
      </w:r>
    </w:p>
    <w:p w14:paraId="683AC825" w14:textId="22EE1084" w:rsidR="00261B22" w:rsidRPr="00F102FE" w:rsidRDefault="00261B22" w:rsidP="009C6F3B">
      <w:pPr>
        <w:pStyle w:val="whitespace-normal"/>
      </w:pPr>
      <w:r>
        <w:rPr>
          <w:rStyle w:val="Fett"/>
        </w:rPr>
        <w:t>Methodischer Hinweis:</w:t>
      </w:r>
      <w:r>
        <w:t xml:space="preserve"> Der Text verlangt </w:t>
      </w:r>
      <w:r>
        <w:rPr>
          <w:rStyle w:val="Fett"/>
        </w:rPr>
        <w:t>keine medizinische Plausibilität</w:t>
      </w:r>
      <w:r>
        <w:t xml:space="preserve">, sondern beschreibt ein </w:t>
      </w:r>
      <w:r>
        <w:rPr>
          <w:rStyle w:val="Fett"/>
        </w:rPr>
        <w:t>theologisches Ordal</w:t>
      </w:r>
      <w:r>
        <w:t xml:space="preserve"> mit göttlichem Eingreifen. Die physischen Symptome sind </w:t>
      </w:r>
      <w:r>
        <w:rPr>
          <w:rStyle w:val="Fett"/>
        </w:rPr>
        <w:t>Zeichen</w:t>
      </w:r>
      <w:r>
        <w:t xml:space="preserve"> (V. 27: "die Frau wird </w:t>
      </w:r>
      <w:r>
        <w:rPr>
          <w:rStyle w:val="Fett"/>
        </w:rPr>
        <w:t>zum Fluch</w:t>
      </w:r>
      <w:r>
        <w:t xml:space="preserve"> werden"), keine naturalistischen Krankheitsbeschreibungen. Die </w:t>
      </w:r>
      <w:r>
        <w:rPr>
          <w:rStyle w:val="Fett"/>
        </w:rPr>
        <w:t>Vagheit</w:t>
      </w:r>
      <w:r>
        <w:t xml:space="preserve"> ist funktional: Sie lässt Raum für göttliche Souveränität statt für präzise medizinische Diagnosen.</w:t>
      </w:r>
    </w:p>
    <w:p w14:paraId="4F557828"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5,22</w:t>
      </w:r>
    </w:p>
    <w:p w14:paraId="1CEF79D0"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וּ֠בָאוּ הַמַּ֨יִם הַמְאָרְרִ֤ים הָאֵ֨לֶּה֙ בְּֽמֵעַ֔יִךְ לַצְבּ֥וֹת בֶּ֖טֶן וְלַנְפִּ֣ל יָרֵ֑ךְ וְאָמְרָ֥ה הָאִשָּׁ֖ה אָמֵ֥ן׀ אָמֵֽן׃</w:t>
      </w:r>
    </w:p>
    <w:p w14:paraId="2A20EDE4"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es sollen diese fluchbringenden Wasser in deine Eingeweide kommen, um den Bauch anschwellen und die Hüfte verfallen zu lassen! Und die Frau soll sagen: Amen, Amen!</w:t>
      </w:r>
    </w:p>
    <w:p w14:paraId="4C5308B0"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6F69542E">
          <v:rect id="_x0000_i1234" style="width:0;height:1.5pt" o:hralign="center" o:hrstd="t" o:hr="t" fillcolor="#a0a0a0" stroked="f"/>
        </w:pict>
      </w:r>
    </w:p>
    <w:p w14:paraId="28811F0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Verb </w:t>
      </w:r>
      <w:r w:rsidRPr="00F102FE">
        <w:rPr>
          <w:rFonts w:eastAsia="Times New Roman" w:cs="Times New Roman"/>
          <w:b/>
          <w:bCs/>
          <w:rtl/>
          <w:lang w:eastAsia="de-DE"/>
        </w:rPr>
        <w:t>וּבָאוּ</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בוא</w:t>
      </w:r>
      <w:r w:rsidRPr="00F102FE">
        <w:rPr>
          <w:rFonts w:eastAsia="Times New Roman" w:cs="Times New Roman"/>
          <w:rtl/>
          <w:lang w:eastAsia="de-DE"/>
        </w:rPr>
        <w:t xml:space="preserve"> </w:t>
      </w:r>
      <w:r w:rsidRPr="00F102FE">
        <w:rPr>
          <w:rFonts w:eastAsia="Times New Roman" w:cs="Times New Roman"/>
          <w:lang w:eastAsia="de-DE"/>
        </w:rPr>
        <w:t xml:space="preserve">(kommen) im Qal-Perfekt 3. maskulin Plural mit Waw consecutivum und </w:t>
      </w:r>
      <w:r w:rsidRPr="00F102FE">
        <w:rPr>
          <w:rFonts w:eastAsia="Times New Roman" w:cs="Times New Roman"/>
          <w:b/>
          <w:bCs/>
          <w:rtl/>
          <w:lang w:eastAsia="de-DE"/>
        </w:rPr>
        <w:t>הַמַּיִם הַמְאָרְרִים הָאֵלֶּה</w:t>
      </w:r>
      <w:r w:rsidRPr="00F102FE">
        <w:rPr>
          <w:rFonts w:eastAsia="Times New Roman" w:cs="Times New Roman"/>
          <w:rtl/>
          <w:lang w:eastAsia="de-DE"/>
        </w:rPr>
        <w:t xml:space="preserve"> </w:t>
      </w:r>
      <w:r w:rsidRPr="00F102FE">
        <w:rPr>
          <w:rFonts w:eastAsia="Times New Roman" w:cs="Times New Roman"/>
          <w:lang w:eastAsia="de-DE"/>
        </w:rPr>
        <w:t>(diese fluchbringenden Wasser) als Subjekt zeigt die Wirkung des Ordaltranks.</w:t>
      </w:r>
    </w:p>
    <w:p w14:paraId="7C8F45BF"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Ortsangabe </w:t>
      </w:r>
      <w:r w:rsidRPr="00F102FE">
        <w:rPr>
          <w:rFonts w:eastAsia="Times New Roman" w:cs="Times New Roman"/>
          <w:b/>
          <w:bCs/>
          <w:rtl/>
          <w:lang w:eastAsia="de-DE"/>
        </w:rPr>
        <w:t>בְּמֵעַיִךְ</w:t>
      </w:r>
      <w:r w:rsidRPr="00F102FE">
        <w:rPr>
          <w:rFonts w:eastAsia="Times New Roman" w:cs="Times New Roman"/>
          <w:rtl/>
          <w:lang w:eastAsia="de-DE"/>
        </w:rPr>
        <w:t xml:space="preserve"> </w:t>
      </w:r>
      <w:r w:rsidRPr="00F102FE">
        <w:rPr>
          <w:rFonts w:eastAsia="Times New Roman" w:cs="Times New Roman"/>
          <w:lang w:eastAsia="de-DE"/>
        </w:rPr>
        <w:t xml:space="preserve">(in deine Eingeweide) mit </w:t>
      </w:r>
      <w:r w:rsidRPr="00F102FE">
        <w:rPr>
          <w:rFonts w:eastAsia="Times New Roman" w:cs="Times New Roman"/>
          <w:b/>
          <w:bCs/>
          <w:rtl/>
          <w:lang w:eastAsia="de-DE"/>
        </w:rPr>
        <w:t>מֵעִים</w:t>
      </w:r>
      <w:r w:rsidRPr="00F102FE">
        <w:rPr>
          <w:rFonts w:eastAsia="Times New Roman" w:cs="Times New Roman"/>
          <w:rtl/>
          <w:lang w:eastAsia="de-DE"/>
        </w:rPr>
        <w:t xml:space="preserve"> </w:t>
      </w:r>
      <w:r w:rsidRPr="00F102FE">
        <w:rPr>
          <w:rFonts w:eastAsia="Times New Roman" w:cs="Times New Roman"/>
          <w:lang w:eastAsia="de-DE"/>
        </w:rPr>
        <w:t>(Eingeweide/Bauch) spezifiziert den Wirkungsort.</w:t>
      </w:r>
    </w:p>
    <w:p w14:paraId="1F73AF2B" w14:textId="4932C552"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finale Zweckbestimmung </w:t>
      </w:r>
      <w:r w:rsidRPr="00F102FE">
        <w:rPr>
          <w:rFonts w:eastAsia="Times New Roman" w:cs="Times New Roman"/>
          <w:b/>
          <w:bCs/>
          <w:rtl/>
          <w:lang w:eastAsia="de-DE"/>
        </w:rPr>
        <w:t>לַצְבּוֹת בֶּטֶן וְלַנְפִּל יָרֵךְ</w:t>
      </w:r>
      <w:r w:rsidRPr="00F102FE">
        <w:rPr>
          <w:rFonts w:eastAsia="Times New Roman" w:cs="Times New Roman"/>
          <w:rtl/>
          <w:lang w:eastAsia="de-DE"/>
        </w:rPr>
        <w:t xml:space="preserve"> </w:t>
      </w:r>
      <w:r w:rsidRPr="00F102FE">
        <w:rPr>
          <w:rFonts w:eastAsia="Times New Roman" w:cs="Times New Roman"/>
          <w:lang w:eastAsia="de-DE"/>
        </w:rPr>
        <w:t>mit den Infinitiven-</w:t>
      </w:r>
      <w:r w:rsidR="00F133EC">
        <w:rPr>
          <w:rFonts w:eastAsia="Times New Roman" w:cs="Times New Roman"/>
          <w:lang w:eastAsia="de-DE"/>
        </w:rPr>
        <w:t>Construct</w:t>
      </w:r>
      <w:r w:rsidRPr="00F102FE">
        <w:rPr>
          <w:rFonts w:eastAsia="Times New Roman" w:cs="Times New Roman"/>
          <w:lang w:eastAsia="de-DE"/>
        </w:rPr>
        <w:t xml:space="preserve"> </w:t>
      </w:r>
      <w:r w:rsidRPr="00F102FE">
        <w:rPr>
          <w:rFonts w:eastAsia="Times New Roman" w:cs="Times New Roman"/>
          <w:b/>
          <w:bCs/>
          <w:rtl/>
          <w:lang w:eastAsia="de-DE"/>
        </w:rPr>
        <w:t>צְבּוֹת</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צבה</w:t>
      </w:r>
      <w:r w:rsidRPr="00F102FE">
        <w:rPr>
          <w:rFonts w:eastAsia="Times New Roman" w:cs="Times New Roman"/>
          <w:rtl/>
          <w:lang w:eastAsia="de-DE"/>
        </w:rPr>
        <w:t xml:space="preserve"> </w:t>
      </w:r>
      <w:r w:rsidRPr="00F102FE">
        <w:rPr>
          <w:rFonts w:eastAsia="Times New Roman" w:cs="Times New Roman"/>
          <w:lang w:eastAsia="de-DE"/>
        </w:rPr>
        <w:t xml:space="preserve">(anschwellen) und </w:t>
      </w:r>
      <w:r w:rsidRPr="00F102FE">
        <w:rPr>
          <w:rFonts w:eastAsia="Times New Roman" w:cs="Times New Roman"/>
          <w:b/>
          <w:bCs/>
          <w:rtl/>
          <w:lang w:eastAsia="de-DE"/>
        </w:rPr>
        <w:t>נְפִּל</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נפל</w:t>
      </w:r>
      <w:r w:rsidRPr="00F102FE">
        <w:rPr>
          <w:rFonts w:eastAsia="Times New Roman" w:cs="Times New Roman"/>
          <w:rtl/>
          <w:lang w:eastAsia="de-DE"/>
        </w:rPr>
        <w:t xml:space="preserve"> </w:t>
      </w:r>
      <w:r w:rsidRPr="00F102FE">
        <w:rPr>
          <w:rFonts w:eastAsia="Times New Roman" w:cs="Times New Roman"/>
          <w:lang w:eastAsia="de-DE"/>
        </w:rPr>
        <w:t>(fallen) wiederholt die körperlichen Fluchsymptome in infinitivischer Form.</w:t>
      </w:r>
    </w:p>
    <w:p w14:paraId="3413C4FC"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lastRenderedPageBreak/>
        <w:t xml:space="preserve">Die abschließende Anweisung </w:t>
      </w:r>
      <w:r w:rsidRPr="00F102FE">
        <w:rPr>
          <w:rFonts w:eastAsia="Times New Roman" w:cs="Times New Roman"/>
          <w:b/>
          <w:bCs/>
          <w:rtl/>
          <w:lang w:eastAsia="de-DE"/>
        </w:rPr>
        <w:t>וְאָמְרָה הָאִשָּׁה אָמֵן אָמֵן</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אָמְרָה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אמר</w:t>
      </w:r>
      <w:r w:rsidRPr="00F102FE">
        <w:rPr>
          <w:rFonts w:eastAsia="Times New Roman" w:cs="Times New Roman"/>
          <w:rtl/>
          <w:lang w:eastAsia="de-DE"/>
        </w:rPr>
        <w:t xml:space="preserve"> </w:t>
      </w:r>
      <w:r w:rsidRPr="00F102FE">
        <w:rPr>
          <w:rFonts w:eastAsia="Times New Roman" w:cs="Times New Roman"/>
          <w:lang w:eastAsia="de-DE"/>
        </w:rPr>
        <w:t xml:space="preserve">(sagen) im Qal-Perfekt 3. feminin Singular und der doppelten Bestätigungsformel </w:t>
      </w:r>
      <w:r w:rsidRPr="00F102FE">
        <w:rPr>
          <w:rFonts w:eastAsia="Times New Roman" w:cs="Times New Roman"/>
          <w:b/>
          <w:bCs/>
          <w:rtl/>
          <w:lang w:eastAsia="de-DE"/>
        </w:rPr>
        <w:t>אָמֵן אָמֵן</w:t>
      </w:r>
      <w:r w:rsidRPr="00F102FE">
        <w:rPr>
          <w:rFonts w:eastAsia="Times New Roman" w:cs="Times New Roman"/>
          <w:rtl/>
          <w:lang w:eastAsia="de-DE"/>
        </w:rPr>
        <w:t xml:space="preserve"> </w:t>
      </w:r>
      <w:r w:rsidRPr="00F102FE">
        <w:rPr>
          <w:rFonts w:eastAsia="Times New Roman" w:cs="Times New Roman"/>
          <w:lang w:eastAsia="de-DE"/>
        </w:rPr>
        <w:t>(Amen, Amen) zeigt die liturgische Selbstverpflichtung der Frau auf die Fluchkonsequenzen.</w:t>
      </w:r>
    </w:p>
    <w:p w14:paraId="6EE96E0F" w14:textId="1A539192" w:rsidR="00761F29"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w:t>
      </w:r>
      <w:r w:rsidR="00761F29">
        <w:t xml:space="preserve">hat einen bedeutsamen Unterschied bei γένοιτο γένοιτο (es geschehe, es geschehe) für </w:t>
      </w:r>
      <w:r w:rsidR="00761F29" w:rsidRPr="00761F29">
        <w:rPr>
          <w:b/>
          <w:bCs/>
          <w:rtl/>
        </w:rPr>
        <w:t>אָמֵן</w:t>
      </w:r>
      <w:r w:rsidR="00761F29">
        <w:rPr>
          <w:rtl/>
        </w:rPr>
        <w:t xml:space="preserve"> </w:t>
      </w:r>
      <w:r w:rsidR="00761F29" w:rsidRPr="00761F29">
        <w:rPr>
          <w:b/>
          <w:bCs/>
          <w:rtl/>
        </w:rPr>
        <w:t>אָמֵן</w:t>
      </w:r>
      <w:r w:rsidR="00761F29">
        <w:t xml:space="preserve"> (Amen, Amen). Die LXX übersetzt die liturgische Bekräftigungsformel in eine griechische Äquivalentformel, die weniger kultisch und mehr wie eine allgemeine Zustimmung klingt. Dies zeigt die Anpassung liturgischer Formeln an hellenistische Kontexte.</w:t>
      </w:r>
    </w:p>
    <w:p w14:paraId="3730B2B3"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eine finale Fluchvollendung mit Wirkungsbeschreibung, Zweckangabe und liturgischer Selbstverpflichtung durch doppelte Amen-Formel.</w:t>
      </w:r>
    </w:p>
    <w:p w14:paraId="62443F0A"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komplettiert die Fluchformel und etabliert durch die doppelte Amen-Formel die freiwillige Unterwerfung der Frau unter das göttliche Urteil.</w:t>
      </w:r>
    </w:p>
    <w:p w14:paraId="6F333D71"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5,23</w:t>
      </w:r>
    </w:p>
    <w:p w14:paraId="1BC91DF3"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וְ֠כָתַב אֶת־הָאָלֹ֥ת הָאֵ֛לֶּה הַכֹּהֵ֖ן בַּסֵּ֑פֶר וּמָחָ֖ה אֶל־מֵ֥י הַמָּרִֽים׃</w:t>
      </w:r>
    </w:p>
    <w:p w14:paraId="0D8EBD89"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der Priester soll diese Flüche in ein Buch schreiben und sie in die bitteren Wasser abwischen.</w:t>
      </w:r>
    </w:p>
    <w:p w14:paraId="3809E479"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36CF4C97">
          <v:rect id="_x0000_i1235" style="width:0;height:1.5pt" o:hralign="center" o:hrstd="t" o:hr="t" fillcolor="#a0a0a0" stroked="f"/>
        </w:pict>
      </w:r>
    </w:p>
    <w:p w14:paraId="6E8EB62B"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Verb </w:t>
      </w:r>
      <w:r w:rsidRPr="00F102FE">
        <w:rPr>
          <w:rFonts w:eastAsia="Times New Roman" w:cs="Times New Roman"/>
          <w:b/>
          <w:bCs/>
          <w:rtl/>
          <w:lang w:eastAsia="de-DE"/>
        </w:rPr>
        <w:t>וְכָתַב</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כתב</w:t>
      </w:r>
      <w:r w:rsidRPr="00F102FE">
        <w:rPr>
          <w:rFonts w:eastAsia="Times New Roman" w:cs="Times New Roman"/>
          <w:rtl/>
          <w:lang w:eastAsia="de-DE"/>
        </w:rPr>
        <w:t xml:space="preserve"> </w:t>
      </w:r>
      <w:r w:rsidRPr="00F102FE">
        <w:rPr>
          <w:rFonts w:eastAsia="Times New Roman" w:cs="Times New Roman"/>
          <w:lang w:eastAsia="de-DE"/>
        </w:rPr>
        <w:t xml:space="preserve">(schreiben) im Qal-Perfekt 3. maskulin Singular mit </w:t>
      </w:r>
      <w:r w:rsidRPr="00F102FE">
        <w:rPr>
          <w:rFonts w:eastAsia="Times New Roman" w:cs="Times New Roman"/>
          <w:b/>
          <w:bCs/>
          <w:rtl/>
          <w:lang w:eastAsia="de-DE"/>
        </w:rPr>
        <w:t>אֶת־הָאָלֹת הָאֵלֶּה</w:t>
      </w:r>
      <w:r w:rsidRPr="00F102FE">
        <w:rPr>
          <w:rFonts w:eastAsia="Times New Roman" w:cs="Times New Roman"/>
          <w:rtl/>
          <w:lang w:eastAsia="de-DE"/>
        </w:rPr>
        <w:t xml:space="preserve"> </w:t>
      </w:r>
      <w:r w:rsidRPr="00F102FE">
        <w:rPr>
          <w:rFonts w:eastAsia="Times New Roman" w:cs="Times New Roman"/>
          <w:lang w:eastAsia="de-DE"/>
        </w:rPr>
        <w:t xml:space="preserve">(diese Flüche) mit nota accusativi und </w:t>
      </w:r>
      <w:r w:rsidRPr="00F102FE">
        <w:rPr>
          <w:rFonts w:eastAsia="Times New Roman" w:cs="Times New Roman"/>
          <w:b/>
          <w:bCs/>
          <w:rtl/>
          <w:lang w:eastAsia="de-DE"/>
        </w:rPr>
        <w:t>הָאָלֹת</w:t>
      </w:r>
      <w:r w:rsidRPr="00F102FE">
        <w:rPr>
          <w:rFonts w:eastAsia="Times New Roman" w:cs="Times New Roman"/>
          <w:rtl/>
          <w:lang w:eastAsia="de-DE"/>
        </w:rPr>
        <w:t xml:space="preserve"> </w:t>
      </w:r>
      <w:r w:rsidRPr="00F102FE">
        <w:rPr>
          <w:rFonts w:eastAsia="Times New Roman" w:cs="Times New Roman"/>
          <w:lang w:eastAsia="de-DE"/>
        </w:rPr>
        <w:t xml:space="preserve">(Flüche) Plural von </w:t>
      </w:r>
      <w:r w:rsidRPr="00F102FE">
        <w:rPr>
          <w:rFonts w:eastAsia="Times New Roman" w:cs="Times New Roman"/>
          <w:b/>
          <w:bCs/>
          <w:rtl/>
          <w:lang w:eastAsia="de-DE"/>
        </w:rPr>
        <w:t>אָלָה</w:t>
      </w:r>
      <w:r w:rsidRPr="00F102FE">
        <w:rPr>
          <w:rFonts w:eastAsia="Times New Roman" w:cs="Times New Roman"/>
          <w:rtl/>
          <w:lang w:eastAsia="de-DE"/>
        </w:rPr>
        <w:t xml:space="preserve"> </w:t>
      </w:r>
      <w:r w:rsidRPr="00F102FE">
        <w:rPr>
          <w:rFonts w:eastAsia="Times New Roman" w:cs="Times New Roman"/>
          <w:lang w:eastAsia="de-DE"/>
        </w:rPr>
        <w:t>(Fluch) zeigt die schriftliche Fixierung der Fluchformeln.</w:t>
      </w:r>
    </w:p>
    <w:p w14:paraId="73EF830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Ortsangabe </w:t>
      </w:r>
      <w:r w:rsidRPr="00F102FE">
        <w:rPr>
          <w:rFonts w:eastAsia="Times New Roman" w:cs="Times New Roman"/>
          <w:b/>
          <w:bCs/>
          <w:rtl/>
          <w:lang w:eastAsia="de-DE"/>
        </w:rPr>
        <w:t>בַּסֵּפֶר</w:t>
      </w:r>
      <w:r w:rsidRPr="00F102FE">
        <w:rPr>
          <w:rFonts w:eastAsia="Times New Roman" w:cs="Times New Roman"/>
          <w:rtl/>
          <w:lang w:eastAsia="de-DE"/>
        </w:rPr>
        <w:t xml:space="preserve"> </w:t>
      </w:r>
      <w:r w:rsidRPr="00F102FE">
        <w:rPr>
          <w:rFonts w:eastAsia="Times New Roman" w:cs="Times New Roman"/>
          <w:lang w:eastAsia="de-DE"/>
        </w:rPr>
        <w:t xml:space="preserve">(in ein Buch/eine Schriftrolle) mit </w:t>
      </w:r>
      <w:r w:rsidRPr="00F102FE">
        <w:rPr>
          <w:rFonts w:eastAsia="Times New Roman" w:cs="Times New Roman"/>
          <w:b/>
          <w:bCs/>
          <w:rtl/>
          <w:lang w:eastAsia="de-DE"/>
        </w:rPr>
        <w:t>סֵפֶר</w:t>
      </w:r>
      <w:r w:rsidRPr="00F102FE">
        <w:rPr>
          <w:rFonts w:eastAsia="Times New Roman" w:cs="Times New Roman"/>
          <w:rtl/>
          <w:lang w:eastAsia="de-DE"/>
        </w:rPr>
        <w:t xml:space="preserve"> </w:t>
      </w:r>
      <w:r w:rsidRPr="00F102FE">
        <w:rPr>
          <w:rFonts w:eastAsia="Times New Roman" w:cs="Times New Roman"/>
          <w:lang w:eastAsia="de-DE"/>
        </w:rPr>
        <w:t>(Buch/Schriftrolle) zeigt das Schreibmaterial.</w:t>
      </w:r>
    </w:p>
    <w:p w14:paraId="4681D970"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Das koordinierte Verb </w:t>
      </w:r>
      <w:r w:rsidRPr="00F102FE">
        <w:rPr>
          <w:rFonts w:eastAsia="Times New Roman" w:cs="Times New Roman"/>
          <w:b/>
          <w:bCs/>
          <w:rtl/>
          <w:lang w:eastAsia="de-DE"/>
        </w:rPr>
        <w:t>וּמָחָה אֶל־מֵי הַמָּרִים</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מָחָה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מחה</w:t>
      </w:r>
      <w:r w:rsidRPr="00F102FE">
        <w:rPr>
          <w:rFonts w:eastAsia="Times New Roman" w:cs="Times New Roman"/>
          <w:rtl/>
          <w:lang w:eastAsia="de-DE"/>
        </w:rPr>
        <w:t xml:space="preserve"> </w:t>
      </w:r>
      <w:r w:rsidRPr="00F102FE">
        <w:rPr>
          <w:rFonts w:eastAsia="Times New Roman" w:cs="Times New Roman"/>
          <w:lang w:eastAsia="de-DE"/>
        </w:rPr>
        <w:t xml:space="preserve">(abwischen/austilgen) im Qal-Perfekt 3. maskulin Singular und </w:t>
      </w:r>
      <w:r w:rsidRPr="00F102FE">
        <w:rPr>
          <w:rFonts w:eastAsia="Times New Roman" w:cs="Times New Roman"/>
          <w:b/>
          <w:bCs/>
          <w:rtl/>
          <w:lang w:eastAsia="de-DE"/>
        </w:rPr>
        <w:t>אֶל־מֵי הַמָּרִים</w:t>
      </w:r>
      <w:r w:rsidRPr="00F102FE">
        <w:rPr>
          <w:rFonts w:eastAsia="Times New Roman" w:cs="Times New Roman"/>
          <w:rtl/>
          <w:lang w:eastAsia="de-DE"/>
        </w:rPr>
        <w:t xml:space="preserve"> </w:t>
      </w:r>
      <w:r w:rsidRPr="00F102FE">
        <w:rPr>
          <w:rFonts w:eastAsia="Times New Roman" w:cs="Times New Roman"/>
          <w:lang w:eastAsia="de-DE"/>
        </w:rPr>
        <w:t>(in die bitteren Wasser) zeigt die physische Übertragung der geschriebenen Flüche in den Ordaltrunk.</w:t>
      </w:r>
    </w:p>
    <w:p w14:paraId="7E7F854F"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Vorgang macht die Flüche zu einem physischen Bestandteil des zu trinkenden Wassers.</w:t>
      </w:r>
    </w:p>
    <w:p w14:paraId="7D2A2FEA" w14:textId="6E1B90AA"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w:t>
      </w:r>
      <w:r w:rsidR="00761F29">
        <w:t xml:space="preserve">behält die Prüfungsterminologie (ἔλεγχος) bei und verwendet βιβλίον (Buch) für </w:t>
      </w:r>
      <w:r w:rsidR="00761F29" w:rsidRPr="006B48FB">
        <w:rPr>
          <w:b/>
          <w:bCs/>
          <w:rtl/>
        </w:rPr>
        <w:t>סֵפֶר</w:t>
      </w:r>
      <w:r w:rsidR="00761F29">
        <w:t xml:space="preserve">, was in hellenistischer Zeit bereits stärker auf geschriebene Literatur verwies als das hebräische "Schriftrolle". Das Verb ἐξαλείψει (auslöschen/abwischen) entspricht genau dem hebräischen </w:t>
      </w:r>
      <w:r w:rsidR="00761F29" w:rsidRPr="006B48FB">
        <w:rPr>
          <w:b/>
          <w:bCs/>
          <w:rtl/>
        </w:rPr>
        <w:t>מחה</w:t>
      </w:r>
      <w:r w:rsidR="00761F29">
        <w:t xml:space="preserve"> und zeigt die magische Komponente des Rituals.</w:t>
      </w:r>
    </w:p>
    <w:p w14:paraId="567D2CE7"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zwei koordinierte Handlungen: schriftliche Fixierung und physische Übertragung der Flüche in den Ordaltrunk.</w:t>
      </w:r>
    </w:p>
    <w:p w14:paraId="1B306E5D"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etabliert die materielle Verbindung zwischen gesprochenem Fluch, geschriebenem Text und zu trinkendem Ordaltrunk.</w:t>
      </w:r>
    </w:p>
    <w:p w14:paraId="2C06B476"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lastRenderedPageBreak/>
        <w:t>Numeri 5,24</w:t>
      </w:r>
    </w:p>
    <w:p w14:paraId="1845E21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וְהִשְׁקָה֙ אֶת־הָ֣אִשָּׁ֔ה אֶת־מֵ֥י הַמָּרִ֖ים הַמְאָֽרֲרִ֑ים וּבָ֥אוּ בָ֛הּ הַמַּ֥יִם הַֽמְאָרֲרִ֖ים לְמָרִֽים׃</w:t>
      </w:r>
    </w:p>
    <w:p w14:paraId="4BFE7FCA"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er soll die Frau die bitteren, fluchbringenden Wasser trinken lassen, und die fluchbringenden Wasser werden in sie kommen zur Bitterkeit.</w:t>
      </w:r>
    </w:p>
    <w:p w14:paraId="7D794B82"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49BA1BA4">
          <v:rect id="_x0000_i1236" style="width:0;height:1.5pt" o:hralign="center" o:hrstd="t" o:hr="t" fillcolor="#a0a0a0" stroked="f"/>
        </w:pict>
      </w:r>
    </w:p>
    <w:p w14:paraId="3152C658"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Verb </w:t>
      </w:r>
      <w:r w:rsidRPr="00F102FE">
        <w:rPr>
          <w:rFonts w:eastAsia="Times New Roman" w:cs="Times New Roman"/>
          <w:b/>
          <w:bCs/>
          <w:rtl/>
          <w:lang w:eastAsia="de-DE"/>
        </w:rPr>
        <w:t>וְהִשְׁקָה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שקה</w:t>
      </w:r>
      <w:r w:rsidRPr="00F102FE">
        <w:rPr>
          <w:rFonts w:eastAsia="Times New Roman" w:cs="Times New Roman"/>
          <w:rtl/>
          <w:lang w:eastAsia="de-DE"/>
        </w:rPr>
        <w:t xml:space="preserve"> </w:t>
      </w:r>
      <w:r w:rsidRPr="00F102FE">
        <w:rPr>
          <w:rFonts w:eastAsia="Times New Roman" w:cs="Times New Roman"/>
          <w:lang w:eastAsia="de-DE"/>
        </w:rPr>
        <w:t xml:space="preserve">(tränken) im Hiph'il-Perfekt 3. maskulin Singular mit </w:t>
      </w:r>
      <w:r w:rsidRPr="00F102FE">
        <w:rPr>
          <w:rFonts w:eastAsia="Times New Roman" w:cs="Times New Roman"/>
          <w:b/>
          <w:bCs/>
          <w:rtl/>
          <w:lang w:eastAsia="de-DE"/>
        </w:rPr>
        <w:t>אֶת־הָאִשָּׁה</w:t>
      </w:r>
      <w:r w:rsidRPr="00F102FE">
        <w:rPr>
          <w:rFonts w:eastAsia="Times New Roman" w:cs="Times New Roman"/>
          <w:rtl/>
          <w:lang w:eastAsia="de-DE"/>
        </w:rPr>
        <w:t xml:space="preserve"> </w:t>
      </w:r>
      <w:r w:rsidRPr="00F102FE">
        <w:rPr>
          <w:rFonts w:eastAsia="Times New Roman" w:cs="Times New Roman"/>
          <w:lang w:eastAsia="de-DE"/>
        </w:rPr>
        <w:t xml:space="preserve">(die Frau) und </w:t>
      </w:r>
      <w:r w:rsidRPr="00F102FE">
        <w:rPr>
          <w:rFonts w:eastAsia="Times New Roman" w:cs="Times New Roman"/>
          <w:b/>
          <w:bCs/>
          <w:rtl/>
          <w:lang w:eastAsia="de-DE"/>
        </w:rPr>
        <w:t>אֶת־מֵי הַמָּרִים הַמְאָרֲרִים</w:t>
      </w:r>
      <w:r w:rsidRPr="00F102FE">
        <w:rPr>
          <w:rFonts w:eastAsia="Times New Roman" w:cs="Times New Roman"/>
          <w:rtl/>
          <w:lang w:eastAsia="de-DE"/>
        </w:rPr>
        <w:t xml:space="preserve"> </w:t>
      </w:r>
      <w:r w:rsidRPr="00F102FE">
        <w:rPr>
          <w:rFonts w:eastAsia="Times New Roman" w:cs="Times New Roman"/>
          <w:lang w:eastAsia="de-DE"/>
        </w:rPr>
        <w:t>(die bitteren, fluchbringenden Wasser) zeigt die Verabreichung des Ordaltranks.</w:t>
      </w:r>
    </w:p>
    <w:p w14:paraId="4F8FEB38"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Das koordinierte Verb </w:t>
      </w:r>
      <w:r w:rsidRPr="00F102FE">
        <w:rPr>
          <w:rFonts w:eastAsia="Times New Roman" w:cs="Times New Roman"/>
          <w:b/>
          <w:bCs/>
          <w:rtl/>
          <w:lang w:eastAsia="de-DE"/>
        </w:rPr>
        <w:t>וּבָאוּ בָהּ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בוא</w:t>
      </w:r>
      <w:r w:rsidRPr="00F102FE">
        <w:rPr>
          <w:rFonts w:eastAsia="Times New Roman" w:cs="Times New Roman"/>
          <w:rtl/>
          <w:lang w:eastAsia="de-DE"/>
        </w:rPr>
        <w:t xml:space="preserve"> </w:t>
      </w:r>
      <w:r w:rsidRPr="00F102FE">
        <w:rPr>
          <w:rFonts w:eastAsia="Times New Roman" w:cs="Times New Roman"/>
          <w:lang w:eastAsia="de-DE"/>
        </w:rPr>
        <w:t xml:space="preserve">(kommen) im Qal-Perfekt 3. maskulin Plural mit </w:t>
      </w:r>
      <w:r w:rsidRPr="00F102FE">
        <w:rPr>
          <w:rFonts w:eastAsia="Times New Roman" w:cs="Times New Roman"/>
          <w:b/>
          <w:bCs/>
          <w:rtl/>
          <w:lang w:eastAsia="de-DE"/>
        </w:rPr>
        <w:t>בָהּ</w:t>
      </w:r>
      <w:r w:rsidRPr="00F102FE">
        <w:rPr>
          <w:rFonts w:eastAsia="Times New Roman" w:cs="Times New Roman"/>
          <w:rtl/>
          <w:lang w:eastAsia="de-DE"/>
        </w:rPr>
        <w:t xml:space="preserve"> </w:t>
      </w:r>
      <w:r w:rsidRPr="00F102FE">
        <w:rPr>
          <w:rFonts w:eastAsia="Times New Roman" w:cs="Times New Roman"/>
          <w:lang w:eastAsia="de-DE"/>
        </w:rPr>
        <w:t xml:space="preserve">(in sie) und </w:t>
      </w:r>
      <w:r w:rsidRPr="00F102FE">
        <w:rPr>
          <w:rFonts w:eastAsia="Times New Roman" w:cs="Times New Roman"/>
          <w:b/>
          <w:bCs/>
          <w:rtl/>
          <w:lang w:eastAsia="de-DE"/>
        </w:rPr>
        <w:t>הַמַּיִם הַמְאָרֲרִים</w:t>
      </w:r>
      <w:r w:rsidRPr="00F102FE">
        <w:rPr>
          <w:rFonts w:eastAsia="Times New Roman" w:cs="Times New Roman"/>
          <w:rtl/>
          <w:lang w:eastAsia="de-DE"/>
        </w:rPr>
        <w:t xml:space="preserve"> </w:t>
      </w:r>
      <w:r w:rsidRPr="00F102FE">
        <w:rPr>
          <w:rFonts w:eastAsia="Times New Roman" w:cs="Times New Roman"/>
          <w:lang w:eastAsia="de-DE"/>
        </w:rPr>
        <w:t>(die fluchbringenden Wasser) als Subjekt beschreibt die interne Wirkung.</w:t>
      </w:r>
    </w:p>
    <w:p w14:paraId="5F3FA799"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finale Bestimmung </w:t>
      </w:r>
      <w:r w:rsidRPr="00F102FE">
        <w:rPr>
          <w:rFonts w:eastAsia="Times New Roman" w:cs="Times New Roman"/>
          <w:b/>
          <w:bCs/>
          <w:rtl/>
          <w:lang w:eastAsia="de-DE"/>
        </w:rPr>
        <w:t>לְמָרִים</w:t>
      </w:r>
      <w:r w:rsidRPr="00F102FE">
        <w:rPr>
          <w:rFonts w:eastAsia="Times New Roman" w:cs="Times New Roman"/>
          <w:rtl/>
          <w:lang w:eastAsia="de-DE"/>
        </w:rPr>
        <w:t xml:space="preserve"> </w:t>
      </w:r>
      <w:r w:rsidRPr="00F102FE">
        <w:rPr>
          <w:rFonts w:eastAsia="Times New Roman" w:cs="Times New Roman"/>
          <w:lang w:eastAsia="de-DE"/>
        </w:rPr>
        <w:t xml:space="preserve">(zur Bitterkeit) von </w:t>
      </w:r>
      <w:r w:rsidRPr="00F102FE">
        <w:rPr>
          <w:rFonts w:eastAsia="Times New Roman" w:cs="Times New Roman"/>
          <w:b/>
          <w:bCs/>
          <w:rtl/>
          <w:lang w:eastAsia="de-DE"/>
        </w:rPr>
        <w:t>מָרִים</w:t>
      </w:r>
      <w:r w:rsidRPr="00F102FE">
        <w:rPr>
          <w:rFonts w:eastAsia="Times New Roman" w:cs="Times New Roman"/>
          <w:rtl/>
          <w:lang w:eastAsia="de-DE"/>
        </w:rPr>
        <w:t xml:space="preserve"> </w:t>
      </w:r>
      <w:r w:rsidRPr="00F102FE">
        <w:rPr>
          <w:rFonts w:eastAsia="Times New Roman" w:cs="Times New Roman"/>
          <w:lang w:eastAsia="de-DE"/>
        </w:rPr>
        <w:t>(Bitterkeit) zeigt das erwartete Resultat bei Schuld.</w:t>
      </w:r>
    </w:p>
    <w:p w14:paraId="280D73C6" w14:textId="421826BC"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w:t>
      </w:r>
      <w:r w:rsidR="00761F29">
        <w:t>konsequente Verwendung von ἔλεγχος (Prüfung) statt der hebräischen "Bitterkeit" zeigt eine rationalisierte Darstellung des Ordals in der hellenistischen Tradition, die weniger auf emotionale und mehr auf gerichtliche Aspekte fokussiert.</w:t>
      </w:r>
    </w:p>
    <w:p w14:paraId="271F2895"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die Verabreichung des Ordaltranks und die erwartete interne Wirkung bei Schuld.</w:t>
      </w:r>
    </w:p>
    <w:p w14:paraId="716491B3"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beschreibt den kritischen Moment der Ordaltrunk-Verabreichung und die erwartete Wirkung bei schuldigen Frauen.</w:t>
      </w:r>
    </w:p>
    <w:p w14:paraId="3A367B5C"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5,25</w:t>
      </w:r>
    </w:p>
    <w:p w14:paraId="572751A9"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וְלָקַ֤ח הַכֹּהֵן֙ מִיַּ֣ד הָֽאִשָּׁ֔ה אֵ֖ת מִנְחַ֣ת הַקְּנָאֹ֑ת וְהֵנִ֤יף אֶת־הַמִּנְחָה֙ לִפְנֵ֣י יְהוָ֔ה וְהִקְרִ֥יב אֹתָ֖הּ אֶל־הַמִּזְבֵּֽחַ׃</w:t>
      </w:r>
    </w:p>
    <w:p w14:paraId="1A74A70D"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der Priester soll aus der Hand der Frau das Speisopfer der Eifersucht nehmen und das Speisopfer vor dem Ewigen schwingen und es zum Altar bringen.</w:t>
      </w:r>
    </w:p>
    <w:p w14:paraId="08394B5C"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03C333CE">
          <v:rect id="_x0000_i1237" style="width:0;height:1.5pt" o:hralign="center" o:hrstd="t" o:hr="t" fillcolor="#a0a0a0" stroked="f"/>
        </w:pict>
      </w:r>
    </w:p>
    <w:p w14:paraId="190CAD4A"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Verb </w:t>
      </w:r>
      <w:r w:rsidRPr="00F102FE">
        <w:rPr>
          <w:rFonts w:eastAsia="Times New Roman" w:cs="Times New Roman"/>
          <w:b/>
          <w:bCs/>
          <w:rtl/>
          <w:lang w:eastAsia="de-DE"/>
        </w:rPr>
        <w:t>וְלָקַח</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לקח</w:t>
      </w:r>
      <w:r w:rsidRPr="00F102FE">
        <w:rPr>
          <w:rFonts w:eastAsia="Times New Roman" w:cs="Times New Roman"/>
          <w:rtl/>
          <w:lang w:eastAsia="de-DE"/>
        </w:rPr>
        <w:t xml:space="preserve"> </w:t>
      </w:r>
      <w:r w:rsidRPr="00F102FE">
        <w:rPr>
          <w:rFonts w:eastAsia="Times New Roman" w:cs="Times New Roman"/>
          <w:lang w:eastAsia="de-DE"/>
        </w:rPr>
        <w:t xml:space="preserve">(nehmen) mit </w:t>
      </w:r>
      <w:r w:rsidRPr="00F102FE">
        <w:rPr>
          <w:rFonts w:eastAsia="Times New Roman" w:cs="Times New Roman"/>
          <w:b/>
          <w:bCs/>
          <w:rtl/>
          <w:lang w:eastAsia="de-DE"/>
        </w:rPr>
        <w:t>מִיַּד הָאִשָּׁה אֵת מִנְחַת הַקְּנָאֹת</w:t>
      </w:r>
      <w:r w:rsidRPr="00F102FE">
        <w:rPr>
          <w:rFonts w:eastAsia="Times New Roman" w:cs="Times New Roman"/>
          <w:rtl/>
          <w:lang w:eastAsia="de-DE"/>
        </w:rPr>
        <w:t xml:space="preserve"> </w:t>
      </w:r>
      <w:r w:rsidRPr="00F102FE">
        <w:rPr>
          <w:rFonts w:eastAsia="Times New Roman" w:cs="Times New Roman"/>
          <w:lang w:eastAsia="de-DE"/>
        </w:rPr>
        <w:t>(aus der Hand der Frau das Speisopfer der Eifersucht) zeigt die Rücknahme des Opfers vom symbolischen Träger.</w:t>
      </w:r>
    </w:p>
    <w:p w14:paraId="1660B173"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Das koordinierte Verb </w:t>
      </w:r>
      <w:r w:rsidRPr="00F102FE">
        <w:rPr>
          <w:rFonts w:eastAsia="Times New Roman" w:cs="Times New Roman"/>
          <w:b/>
          <w:bCs/>
          <w:rtl/>
          <w:lang w:eastAsia="de-DE"/>
        </w:rPr>
        <w:t>וְהֵנִיף אֶת־הַמִּנְחָה לִפְנֵי יְהוָה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הֵנִיף</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נוף</w:t>
      </w:r>
      <w:r w:rsidRPr="00F102FE">
        <w:rPr>
          <w:rFonts w:eastAsia="Times New Roman" w:cs="Times New Roman"/>
          <w:rtl/>
          <w:lang w:eastAsia="de-DE"/>
        </w:rPr>
        <w:t xml:space="preserve"> </w:t>
      </w:r>
      <w:r w:rsidRPr="00F102FE">
        <w:rPr>
          <w:rFonts w:eastAsia="Times New Roman" w:cs="Times New Roman"/>
          <w:lang w:eastAsia="de-DE"/>
        </w:rPr>
        <w:t xml:space="preserve">(schwingen) im Hiph'il-Perfekt 3. maskulin Singular und </w:t>
      </w:r>
      <w:r w:rsidRPr="00F102FE">
        <w:rPr>
          <w:rFonts w:eastAsia="Times New Roman" w:cs="Times New Roman"/>
          <w:b/>
          <w:bCs/>
          <w:rtl/>
          <w:lang w:eastAsia="de-DE"/>
        </w:rPr>
        <w:t>לִפְנֵי יְהוָה</w:t>
      </w:r>
      <w:r w:rsidRPr="00F102FE">
        <w:rPr>
          <w:rFonts w:eastAsia="Times New Roman" w:cs="Times New Roman"/>
          <w:rtl/>
          <w:lang w:eastAsia="de-DE"/>
        </w:rPr>
        <w:t xml:space="preserve"> </w:t>
      </w:r>
      <w:r w:rsidRPr="00F102FE">
        <w:rPr>
          <w:rFonts w:eastAsia="Times New Roman" w:cs="Times New Roman"/>
          <w:lang w:eastAsia="de-DE"/>
        </w:rPr>
        <w:t>(vor dem Ewigen) zeigt die rituelle Schwingung als Präsentationsgeste.</w:t>
      </w:r>
    </w:p>
    <w:p w14:paraId="168439C9"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lastRenderedPageBreak/>
        <w:t xml:space="preserve">Das weitere koordinierte Verb </w:t>
      </w:r>
      <w:r w:rsidRPr="00F102FE">
        <w:rPr>
          <w:rFonts w:eastAsia="Times New Roman" w:cs="Times New Roman"/>
          <w:b/>
          <w:bCs/>
          <w:rtl/>
          <w:lang w:eastAsia="de-DE"/>
        </w:rPr>
        <w:t>וְהִקְרִ֥יב אֹתָ֖הּ אֶל־הַמִּזְבֵּֽחַ</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הִקְרִיב</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קרב</w:t>
      </w:r>
      <w:r w:rsidRPr="00F102FE">
        <w:rPr>
          <w:rFonts w:eastAsia="Times New Roman" w:cs="Times New Roman"/>
          <w:rtl/>
          <w:lang w:eastAsia="de-DE"/>
        </w:rPr>
        <w:t xml:space="preserve"> </w:t>
      </w:r>
      <w:r w:rsidRPr="00F102FE">
        <w:rPr>
          <w:rFonts w:eastAsia="Times New Roman" w:cs="Times New Roman"/>
          <w:lang w:eastAsia="de-DE"/>
        </w:rPr>
        <w:t xml:space="preserve">(nahen) im Hiph'il-Perfekt und </w:t>
      </w:r>
      <w:r w:rsidRPr="00F102FE">
        <w:rPr>
          <w:rFonts w:eastAsia="Times New Roman" w:cs="Times New Roman"/>
          <w:b/>
          <w:bCs/>
          <w:rtl/>
          <w:lang w:eastAsia="de-DE"/>
        </w:rPr>
        <w:t>אֶל־הַמִּזְבֵּחַ</w:t>
      </w:r>
      <w:r w:rsidRPr="00F102FE">
        <w:rPr>
          <w:rFonts w:eastAsia="Times New Roman" w:cs="Times New Roman"/>
          <w:rtl/>
          <w:lang w:eastAsia="de-DE"/>
        </w:rPr>
        <w:t xml:space="preserve"> </w:t>
      </w:r>
      <w:r w:rsidRPr="00F102FE">
        <w:rPr>
          <w:rFonts w:eastAsia="Times New Roman" w:cs="Times New Roman"/>
          <w:lang w:eastAsia="de-DE"/>
        </w:rPr>
        <w:t>(zum Altar) bereitet die eigentliche Opferung vor.</w:t>
      </w:r>
    </w:p>
    <w:p w14:paraId="69A97F8D" w14:textId="42672571"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w:t>
      </w:r>
      <w:r w:rsidR="00761F29">
        <w:t xml:space="preserve">zeigt hier eine interessante terminologische Anpassung: Sie verwendet durchgängig θυσία (Opfer) für </w:t>
      </w:r>
      <w:r w:rsidR="00761F29">
        <w:rPr>
          <w:rtl/>
        </w:rPr>
        <w:t>מִנְחָה</w:t>
      </w:r>
      <w:r w:rsidR="00761F29">
        <w:t xml:space="preserve"> (Speisopfer), was im griechischen Kontext allgemeiner und weniger spezifisch für Getreideoper ist. Das Verb ἐπιθήσει (aufsetzen/hinlegen) für </w:t>
      </w:r>
      <w:r w:rsidR="00761F29">
        <w:rPr>
          <w:rtl/>
        </w:rPr>
        <w:t>הֵנִיף</w:t>
      </w:r>
      <w:r w:rsidR="00761F29">
        <w:t xml:space="preserve"> (schwingen) verliert die spezifische Schwingbewegung des hebräischen Rituals und macht daraus eine einfachere Präsentationsgeste. Dies deutet auf ein reduziertes Verständnis der komplexen priesterlichen Gestik in der hellenistischen Adaption hin.</w:t>
      </w:r>
    </w:p>
    <w:p w14:paraId="268F3285"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drei koordinierte priesterliche Handlungen: Rücknahme, rituelle Präsentation und Altarheranführung des Eifersuchtsopfers.</w:t>
      </w:r>
    </w:p>
    <w:p w14:paraId="5E91DA2D"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beschreibt die priesterliche Übernahme und rituelle Behandlung des Eifersuchtsopfers nach der Ordaltrunk-Verabreichung.</w:t>
      </w:r>
    </w:p>
    <w:p w14:paraId="1C6BE397"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5,26</w:t>
      </w:r>
    </w:p>
    <w:p w14:paraId="7206D944"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וְקָמַ֨ץ הַכֹּהֵ֤ן מִן־הַמִּנְחָה֙ אֶת־אַזְכָּ֣רָתָ֔הּ וְהִקְטִ֖יר הַמִּזְבֵּ֑חָה וְאַחַ֛ר יַשְׁקֶ֥ה אֶת־הָאִשָּׁ֖ה אֶת־הַמָּֽיִם׃</w:t>
      </w:r>
    </w:p>
    <w:p w14:paraId="0BC9F580"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der Priester soll von dem Speisopfer dessen Gedächtnisteil eine Handvoll nehmen und es auf dem Altar räuchern, und danach soll er die Frau das Wasser trinken lassen.</w:t>
      </w:r>
    </w:p>
    <w:p w14:paraId="5DDBE346"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72A7156A">
          <v:rect id="_x0000_i1238" style="width:0;height:1.5pt" o:hralign="center" o:hrstd="t" o:hr="t" fillcolor="#a0a0a0" stroked="f"/>
        </w:pict>
      </w:r>
    </w:p>
    <w:p w14:paraId="57AAE1F9"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Verb </w:t>
      </w:r>
      <w:r w:rsidRPr="00F102FE">
        <w:rPr>
          <w:rFonts w:eastAsia="Times New Roman" w:cs="Times New Roman"/>
          <w:b/>
          <w:bCs/>
          <w:rtl/>
          <w:lang w:eastAsia="de-DE"/>
        </w:rPr>
        <w:t>וְקָמַץ</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קמץ</w:t>
      </w:r>
      <w:r w:rsidRPr="00F102FE">
        <w:rPr>
          <w:rFonts w:eastAsia="Times New Roman" w:cs="Times New Roman"/>
          <w:rtl/>
          <w:lang w:eastAsia="de-DE"/>
        </w:rPr>
        <w:t xml:space="preserve"> </w:t>
      </w:r>
      <w:r w:rsidRPr="00F102FE">
        <w:rPr>
          <w:rFonts w:eastAsia="Times New Roman" w:cs="Times New Roman"/>
          <w:lang w:eastAsia="de-DE"/>
        </w:rPr>
        <w:t xml:space="preserve">(eine Handvoll nehmen) im Qal-Perfekt 3. maskulin Singular mit </w:t>
      </w:r>
      <w:r w:rsidRPr="00F102FE">
        <w:rPr>
          <w:rFonts w:eastAsia="Times New Roman" w:cs="Times New Roman"/>
          <w:b/>
          <w:bCs/>
          <w:rtl/>
          <w:lang w:eastAsia="de-DE"/>
        </w:rPr>
        <w:t>מִן־הַמִּנְחָה אֶת־אַזְכָּרָתָהּ</w:t>
      </w:r>
      <w:r w:rsidRPr="00F102FE">
        <w:rPr>
          <w:rFonts w:eastAsia="Times New Roman" w:cs="Times New Roman"/>
          <w:rtl/>
          <w:lang w:eastAsia="de-DE"/>
        </w:rPr>
        <w:t xml:space="preserve"> </w:t>
      </w:r>
      <w:r w:rsidRPr="00F102FE">
        <w:rPr>
          <w:rFonts w:eastAsia="Times New Roman" w:cs="Times New Roman"/>
          <w:lang w:eastAsia="de-DE"/>
        </w:rPr>
        <w:t xml:space="preserve">(von dem Speisopfer dessen Gedächtnisteil) zeigt die übliche Teilentnahme bei Speisopfern. </w:t>
      </w:r>
      <w:r w:rsidRPr="00F102FE">
        <w:rPr>
          <w:rFonts w:eastAsia="Times New Roman" w:cs="Times New Roman"/>
          <w:b/>
          <w:bCs/>
          <w:rtl/>
          <w:lang w:eastAsia="de-DE"/>
        </w:rPr>
        <w:t>אַזְכָּרָה</w:t>
      </w:r>
      <w:r w:rsidRPr="00F102FE">
        <w:rPr>
          <w:rFonts w:eastAsia="Times New Roman" w:cs="Times New Roman"/>
          <w:rtl/>
          <w:lang w:eastAsia="de-DE"/>
        </w:rPr>
        <w:t xml:space="preserve"> </w:t>
      </w:r>
      <w:r w:rsidRPr="00F102FE">
        <w:rPr>
          <w:rFonts w:eastAsia="Times New Roman" w:cs="Times New Roman"/>
          <w:lang w:eastAsia="de-DE"/>
        </w:rPr>
        <w:t>(Gedächtnisteil) ist der für Gott bestimmte Anteil.</w:t>
      </w:r>
    </w:p>
    <w:p w14:paraId="51ABFCBA"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Das koordinierte Verb </w:t>
      </w:r>
      <w:r w:rsidRPr="00F102FE">
        <w:rPr>
          <w:rFonts w:eastAsia="Times New Roman" w:cs="Times New Roman"/>
          <w:b/>
          <w:bCs/>
          <w:rtl/>
          <w:lang w:eastAsia="de-DE"/>
        </w:rPr>
        <w:t>וְהִקְטִיר הַמִּזְבֵּחָה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הִקְטִיר</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קטר</w:t>
      </w:r>
      <w:r w:rsidRPr="00F102FE">
        <w:rPr>
          <w:rFonts w:eastAsia="Times New Roman" w:cs="Times New Roman"/>
          <w:rtl/>
          <w:lang w:eastAsia="de-DE"/>
        </w:rPr>
        <w:t xml:space="preserve"> </w:t>
      </w:r>
      <w:r w:rsidRPr="00F102FE">
        <w:rPr>
          <w:rFonts w:eastAsia="Times New Roman" w:cs="Times New Roman"/>
          <w:lang w:eastAsia="de-DE"/>
        </w:rPr>
        <w:t xml:space="preserve">(räuchern) im Hiph'il-Perfekt und </w:t>
      </w:r>
      <w:r w:rsidRPr="00F102FE">
        <w:rPr>
          <w:rFonts w:eastAsia="Times New Roman" w:cs="Times New Roman"/>
          <w:b/>
          <w:bCs/>
          <w:rtl/>
          <w:lang w:eastAsia="de-DE"/>
        </w:rPr>
        <w:t>הַמִּזְבֵּחָה</w:t>
      </w:r>
      <w:r w:rsidRPr="00F102FE">
        <w:rPr>
          <w:rFonts w:eastAsia="Times New Roman" w:cs="Times New Roman"/>
          <w:rtl/>
          <w:lang w:eastAsia="de-DE"/>
        </w:rPr>
        <w:t xml:space="preserve"> </w:t>
      </w:r>
      <w:r w:rsidRPr="00F102FE">
        <w:rPr>
          <w:rFonts w:eastAsia="Times New Roman" w:cs="Times New Roman"/>
          <w:lang w:eastAsia="de-DE"/>
        </w:rPr>
        <w:t>(auf dem Altar) mit Richtungshe zeigt die Verbrennung des Gedächtnisteils.</w:t>
      </w:r>
    </w:p>
    <w:p w14:paraId="4E0B3B4B"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temporale Bestimmung </w:t>
      </w:r>
      <w:r w:rsidRPr="00F102FE">
        <w:rPr>
          <w:rFonts w:eastAsia="Times New Roman" w:cs="Times New Roman"/>
          <w:b/>
          <w:bCs/>
          <w:rtl/>
          <w:lang w:eastAsia="de-DE"/>
        </w:rPr>
        <w:t>וְאַחַר יַשְׁקֶה אֶת־הָאִשָּׁה אֶת־הַמָּיִם</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אַחַר</w:t>
      </w:r>
      <w:r w:rsidRPr="00F102FE">
        <w:rPr>
          <w:rFonts w:eastAsia="Times New Roman" w:cs="Times New Roman"/>
          <w:rtl/>
          <w:lang w:eastAsia="de-DE"/>
        </w:rPr>
        <w:t xml:space="preserve"> </w:t>
      </w:r>
      <w:r w:rsidRPr="00F102FE">
        <w:rPr>
          <w:rFonts w:eastAsia="Times New Roman" w:cs="Times New Roman"/>
          <w:lang w:eastAsia="de-DE"/>
        </w:rPr>
        <w:t xml:space="preserve">(danach), </w:t>
      </w:r>
      <w:r w:rsidRPr="00F102FE">
        <w:rPr>
          <w:rFonts w:eastAsia="Times New Roman" w:cs="Times New Roman"/>
          <w:b/>
          <w:bCs/>
          <w:rtl/>
          <w:lang w:eastAsia="de-DE"/>
        </w:rPr>
        <w:t>יַשְׁקֶה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שקה</w:t>
      </w:r>
      <w:r w:rsidRPr="00F102FE">
        <w:rPr>
          <w:rFonts w:eastAsia="Times New Roman" w:cs="Times New Roman"/>
          <w:rtl/>
          <w:lang w:eastAsia="de-DE"/>
        </w:rPr>
        <w:t xml:space="preserve"> </w:t>
      </w:r>
      <w:r w:rsidRPr="00F102FE">
        <w:rPr>
          <w:rFonts w:eastAsia="Times New Roman" w:cs="Times New Roman"/>
          <w:lang w:eastAsia="de-DE"/>
        </w:rPr>
        <w:t xml:space="preserve">(tränken) im Hiph'il-Imperfekt und </w:t>
      </w:r>
      <w:r w:rsidRPr="00F102FE">
        <w:rPr>
          <w:rFonts w:eastAsia="Times New Roman" w:cs="Times New Roman"/>
          <w:b/>
          <w:bCs/>
          <w:rtl/>
          <w:lang w:eastAsia="de-DE"/>
        </w:rPr>
        <w:t>הַמָּיִם</w:t>
      </w:r>
      <w:r w:rsidRPr="00F102FE">
        <w:rPr>
          <w:rFonts w:eastAsia="Times New Roman" w:cs="Times New Roman"/>
          <w:rtl/>
          <w:lang w:eastAsia="de-DE"/>
        </w:rPr>
        <w:t xml:space="preserve"> </w:t>
      </w:r>
      <w:r w:rsidRPr="00F102FE">
        <w:rPr>
          <w:rFonts w:eastAsia="Times New Roman" w:cs="Times New Roman"/>
          <w:lang w:eastAsia="de-DE"/>
        </w:rPr>
        <w:t>(das Wasser) zeigt die Reihenfolge: erst Opfer, dann erneute oder fortgesetzte Ordaltrunk-Verabreichung.</w:t>
      </w:r>
    </w:p>
    <w:p w14:paraId="1FEE9047" w14:textId="5CA6AC1E"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w:t>
      </w:r>
      <w:r w:rsidR="00761F29">
        <w:rPr>
          <w:rFonts w:eastAsia="Times New Roman" w:cs="Times New Roman"/>
          <w:lang w:eastAsia="de-DE"/>
        </w:rPr>
        <w:t xml:space="preserve">hat einen </w:t>
      </w:r>
      <w:r w:rsidR="00761F29">
        <w:t xml:space="preserve">wichtigen Unterschied in δραξάμενος (mit der Faust nehmend) für </w:t>
      </w:r>
      <w:r w:rsidR="00761F29" w:rsidRPr="00761F29">
        <w:rPr>
          <w:b/>
          <w:bCs/>
          <w:rtl/>
        </w:rPr>
        <w:t>קָמַץ</w:t>
      </w:r>
      <w:r w:rsidR="00761F29">
        <w:t xml:space="preserve">, was präziser die Handvoll-Geste beschreibt als das hebräische Verb. Die LXX verwendet μνημόσυνον (Gedächtnis/Erinnerungsteil) für </w:t>
      </w:r>
      <w:r w:rsidR="00761F29" w:rsidRPr="00761F29">
        <w:rPr>
          <w:b/>
          <w:bCs/>
          <w:rtl/>
        </w:rPr>
        <w:t>אַזְכָּרָה</w:t>
      </w:r>
      <w:r w:rsidR="00761F29">
        <w:t xml:space="preserve">, was philosophischer und weniger kultisch klingt. Die temporale Verbindung μετὰ ταῦτα (danach) ist expliziter als das hebräische </w:t>
      </w:r>
      <w:r w:rsidR="00761F29" w:rsidRPr="00761F29">
        <w:rPr>
          <w:b/>
          <w:bCs/>
          <w:rtl/>
        </w:rPr>
        <w:t>אַחַר</w:t>
      </w:r>
      <w:r w:rsidR="00761F29">
        <w:t xml:space="preserve"> und betont die sequenzielle Ordnung des Rituals stärker, was auf hellenistische Vorlieben für logische Abfolgen hindeutet.</w:t>
      </w:r>
    </w:p>
    <w:p w14:paraId="1E21BA14"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eine Sequenz priesterlicher Handlungen: Gedächtnisteil-Entnahme, Altarräucherung und nachfolgende Ordaltrunk-Verabreichung.</w:t>
      </w:r>
    </w:p>
    <w:p w14:paraId="0EEC5348"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etabliert die korrekte liturgische Reihenfolge von Opferhandlung und Ordaltrunk-Verabreichung.</w:t>
      </w:r>
    </w:p>
    <w:p w14:paraId="1B43A59C"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lastRenderedPageBreak/>
        <w:t>Numeri 5,27</w:t>
      </w:r>
    </w:p>
    <w:p w14:paraId="0D350AD8"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וְהִשְׁקָ֣הּ אֶת־הַמַּ֗יִם וְהָיְתָ֣ה אִֽם־נִטְמְאָה֮ וַתִּמְעֹ֣ל מַ֣עַל בְּאִישָׁהּ֒ וּבָ֨אוּ בָ֜הּ הַמַּ֤יִם הַמְאָֽרֲרִים֙ לְמָרִ֔ים וְצָבְתָ֣ה בִטְנָ֔הּ וְנָפְלָ֖ה יְרֵכָ֑הּ וְהָיְתָ֧ה הָאִשָּׁ֛ה לְאָלָ֖ה בְּקֶ֥רֶב עַמָּֽהּ׃</w:t>
      </w:r>
    </w:p>
    <w:p w14:paraId="46EDCAA6"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wenn er sie das Wasser hat trinken lassen, so wird es geschehen, wenn sie sich verunreinigt und ihrem Mann untreu gewesen ist, dass die fluchbringenden Wasser in sie zur Bitterkeit kommen, und ihr Bauch wird anschwellen und ihre Hüfte verfallen, und die Frau wird zum Fluch werden in der Mitte ihres Volkes.</w:t>
      </w:r>
    </w:p>
    <w:p w14:paraId="2B841567"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0EED6A76">
          <v:rect id="_x0000_i1239" style="width:0;height:1.5pt" o:hralign="center" o:hrstd="t" o:hr="t" fillcolor="#a0a0a0" stroked="f"/>
        </w:pict>
      </w:r>
    </w:p>
    <w:p w14:paraId="0535D4C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Verb </w:t>
      </w:r>
      <w:r w:rsidRPr="00F102FE">
        <w:rPr>
          <w:rFonts w:eastAsia="Times New Roman" w:cs="Times New Roman"/>
          <w:b/>
          <w:bCs/>
          <w:rtl/>
          <w:lang w:eastAsia="de-DE"/>
        </w:rPr>
        <w:t>וְהִשְׁקָהּ אֶת־הַמַּיִם</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שקה</w:t>
      </w:r>
      <w:r w:rsidRPr="00F102FE">
        <w:rPr>
          <w:rFonts w:eastAsia="Times New Roman" w:cs="Times New Roman"/>
          <w:rtl/>
          <w:lang w:eastAsia="de-DE"/>
        </w:rPr>
        <w:t xml:space="preserve"> </w:t>
      </w:r>
      <w:r w:rsidRPr="00F102FE">
        <w:rPr>
          <w:rFonts w:eastAsia="Times New Roman" w:cs="Times New Roman"/>
          <w:lang w:eastAsia="de-DE"/>
        </w:rPr>
        <w:t>(tränken) im Hiph'il-Perfekt 3. maskulin Singular mit Objektsuffix 3. feminin Singular zeigt die vollzogene Ordaltrunk-Verabreichung.</w:t>
      </w:r>
    </w:p>
    <w:p w14:paraId="5E3EFC50" w14:textId="77777777" w:rsidR="00F102FE" w:rsidRDefault="00F102FE" w:rsidP="00F102FE">
      <w:pPr>
        <w:pStyle w:val="whitespace-normal"/>
      </w:pPr>
      <w:r>
        <w:t xml:space="preserve">Die Einleitung </w:t>
      </w:r>
      <w:r>
        <w:rPr>
          <w:rStyle w:val="Fett"/>
          <w:rtl/>
        </w:rPr>
        <w:t>וְהָיְתָה</w:t>
      </w:r>
      <w:r>
        <w:rPr>
          <w:rtl/>
        </w:rPr>
        <w:t xml:space="preserve"> </w:t>
      </w:r>
      <w:r>
        <w:t xml:space="preserve">von </w:t>
      </w:r>
      <w:r>
        <w:rPr>
          <w:rStyle w:val="Fett"/>
          <w:rtl/>
        </w:rPr>
        <w:t>היה</w:t>
      </w:r>
      <w:r>
        <w:rPr>
          <w:rtl/>
        </w:rPr>
        <w:t xml:space="preserve"> </w:t>
      </w:r>
      <w:r>
        <w:t>(sein/geschehen) im Qal-Perfekt 3. feminin Singular mit Waw consecutivum leitet die Bedingungsfolge ein.</w:t>
      </w:r>
    </w:p>
    <w:p w14:paraId="31626E4B" w14:textId="77777777" w:rsidR="00F102FE" w:rsidRDefault="00F102FE" w:rsidP="00F102FE">
      <w:pPr>
        <w:pStyle w:val="whitespace-normal"/>
      </w:pPr>
      <w:r>
        <w:t xml:space="preserve">Die doppelte Bedingung </w:t>
      </w:r>
      <w:r>
        <w:rPr>
          <w:rStyle w:val="Fett"/>
          <w:rtl/>
        </w:rPr>
        <w:t>אִם־נִטְמְאָה וַתִּמְעֹל מַעַל בְּאִישָׁהּ</w:t>
      </w:r>
      <w:r>
        <w:rPr>
          <w:rtl/>
        </w:rPr>
        <w:t xml:space="preserve"> </w:t>
      </w:r>
      <w:r>
        <w:t xml:space="preserve">mit </w:t>
      </w:r>
      <w:r>
        <w:rPr>
          <w:rStyle w:val="Fett"/>
          <w:rtl/>
        </w:rPr>
        <w:t>אִם</w:t>
      </w:r>
      <w:r>
        <w:rPr>
          <w:rtl/>
        </w:rPr>
        <w:t xml:space="preserve"> </w:t>
      </w:r>
      <w:r>
        <w:t xml:space="preserve">(wenn), </w:t>
      </w:r>
      <w:r>
        <w:rPr>
          <w:rStyle w:val="Fett"/>
          <w:rtl/>
        </w:rPr>
        <w:t>נִטְמְאָה</w:t>
      </w:r>
      <w:r>
        <w:rPr>
          <w:rtl/>
        </w:rPr>
        <w:t xml:space="preserve"> </w:t>
      </w:r>
      <w:r>
        <w:t xml:space="preserve">von </w:t>
      </w:r>
      <w:r>
        <w:rPr>
          <w:rStyle w:val="Fett"/>
          <w:rtl/>
        </w:rPr>
        <w:t>טמא</w:t>
      </w:r>
      <w:r>
        <w:rPr>
          <w:rtl/>
        </w:rPr>
        <w:t xml:space="preserve"> </w:t>
      </w:r>
      <w:r>
        <w:t xml:space="preserve">(unrein werden) im Niph'al-Perfekt 3. feminin Singular und </w:t>
      </w:r>
      <w:r>
        <w:rPr>
          <w:rStyle w:val="Fett"/>
          <w:rtl/>
        </w:rPr>
        <w:t>תִּמְעֹל מַעַל</w:t>
      </w:r>
      <w:r>
        <w:rPr>
          <w:rtl/>
        </w:rPr>
        <w:t xml:space="preserve"> </w:t>
      </w:r>
      <w:r>
        <w:t>(untreu sein Untreue) mit reduplikativer Verstärkung zeigt die Voraussetzungen für die Fluchaktivierung.</w:t>
      </w:r>
    </w:p>
    <w:p w14:paraId="282DF5EF" w14:textId="77777777" w:rsidR="00F102FE" w:rsidRDefault="00F102FE" w:rsidP="00F102FE">
      <w:pPr>
        <w:pStyle w:val="whitespace-normal"/>
      </w:pPr>
      <w:r>
        <w:t xml:space="preserve">Die Wirkungsbeschreibung </w:t>
      </w:r>
      <w:r>
        <w:rPr>
          <w:rStyle w:val="Fett"/>
          <w:rtl/>
        </w:rPr>
        <w:t>וּבָאוּ בָהּ הַמַּיִם הַמְאָרֲרִים לְמָרִים</w:t>
      </w:r>
      <w:r>
        <w:rPr>
          <w:rtl/>
        </w:rPr>
        <w:t xml:space="preserve"> </w:t>
      </w:r>
      <w:r>
        <w:t xml:space="preserve">mit </w:t>
      </w:r>
      <w:r>
        <w:rPr>
          <w:rStyle w:val="Fett"/>
          <w:rtl/>
        </w:rPr>
        <w:t>בָאוּ</w:t>
      </w:r>
      <w:r>
        <w:rPr>
          <w:rtl/>
        </w:rPr>
        <w:t xml:space="preserve"> </w:t>
      </w:r>
      <w:r>
        <w:t xml:space="preserve">von </w:t>
      </w:r>
      <w:r>
        <w:rPr>
          <w:rStyle w:val="Fett"/>
          <w:rtl/>
        </w:rPr>
        <w:t>בוא</w:t>
      </w:r>
      <w:r>
        <w:rPr>
          <w:rtl/>
        </w:rPr>
        <w:t xml:space="preserve"> </w:t>
      </w:r>
      <w:r>
        <w:t xml:space="preserve">(kommen) und </w:t>
      </w:r>
      <w:r>
        <w:rPr>
          <w:rStyle w:val="Fett"/>
          <w:rtl/>
        </w:rPr>
        <w:t>לְמָרִים</w:t>
      </w:r>
      <w:r>
        <w:rPr>
          <w:rtl/>
        </w:rPr>
        <w:t xml:space="preserve"> </w:t>
      </w:r>
      <w:r>
        <w:t>(zur Bitterkeit) zeigt die interne Fluchaktivierung.</w:t>
      </w:r>
    </w:p>
    <w:p w14:paraId="06409EA1" w14:textId="77777777" w:rsidR="00F102FE" w:rsidRDefault="00F102FE" w:rsidP="00F102FE">
      <w:pPr>
        <w:pStyle w:val="whitespace-normal"/>
      </w:pPr>
      <w:r>
        <w:t xml:space="preserve">Die körperlichen Symptome </w:t>
      </w:r>
      <w:r>
        <w:rPr>
          <w:rStyle w:val="Fett"/>
          <w:rtl/>
        </w:rPr>
        <w:t>וְצָבְתָה בִטְנָהּ וְנָפְלָה יְרֵכָהּ</w:t>
      </w:r>
      <w:r>
        <w:rPr>
          <w:rtl/>
        </w:rPr>
        <w:t xml:space="preserve"> </w:t>
      </w:r>
      <w:r>
        <w:t xml:space="preserve">mit </w:t>
      </w:r>
      <w:r>
        <w:rPr>
          <w:rStyle w:val="Fett"/>
          <w:rtl/>
        </w:rPr>
        <w:t>צָבְתָה</w:t>
      </w:r>
      <w:r>
        <w:rPr>
          <w:rtl/>
        </w:rPr>
        <w:t xml:space="preserve"> </w:t>
      </w:r>
      <w:r>
        <w:t xml:space="preserve">von </w:t>
      </w:r>
      <w:r>
        <w:rPr>
          <w:rStyle w:val="Fett"/>
          <w:rtl/>
        </w:rPr>
        <w:t>צבה</w:t>
      </w:r>
      <w:r>
        <w:rPr>
          <w:rtl/>
        </w:rPr>
        <w:t xml:space="preserve"> </w:t>
      </w:r>
      <w:r>
        <w:t xml:space="preserve">(anschwellen) im Qal-Perfekt 3. feminin Singular und </w:t>
      </w:r>
      <w:r>
        <w:rPr>
          <w:rStyle w:val="Fett"/>
          <w:rtl/>
        </w:rPr>
        <w:t>נָפְלָה</w:t>
      </w:r>
      <w:r>
        <w:rPr>
          <w:rtl/>
        </w:rPr>
        <w:t xml:space="preserve"> </w:t>
      </w:r>
      <w:r>
        <w:t xml:space="preserve">von </w:t>
      </w:r>
      <w:r>
        <w:rPr>
          <w:rStyle w:val="Fett"/>
          <w:rtl/>
        </w:rPr>
        <w:t>נפל</w:t>
      </w:r>
      <w:r>
        <w:rPr>
          <w:rtl/>
        </w:rPr>
        <w:t xml:space="preserve"> </w:t>
      </w:r>
      <w:r>
        <w:t>(fallen) im Qal-Perfekt 3. feminin Singular beschreiben die sichtbaren Strafsymptome.</w:t>
      </w:r>
    </w:p>
    <w:p w14:paraId="781240EE" w14:textId="77777777" w:rsidR="00F102FE" w:rsidRDefault="00F102FE" w:rsidP="00F102FE">
      <w:pPr>
        <w:pStyle w:val="whitespace-normal"/>
      </w:pPr>
      <w:r>
        <w:t xml:space="preserve">Die gesellschaftliche Konsequenz </w:t>
      </w:r>
      <w:r>
        <w:rPr>
          <w:rStyle w:val="Fett"/>
          <w:rtl/>
        </w:rPr>
        <w:t>וְהָיְתָה הָאִשָּׁה לְאָלָה בְּקֶרֶב עַמָּהּ</w:t>
      </w:r>
      <w:r>
        <w:rPr>
          <w:rtl/>
        </w:rPr>
        <w:t xml:space="preserve"> </w:t>
      </w:r>
      <w:r>
        <w:t xml:space="preserve">mit </w:t>
      </w:r>
      <w:r>
        <w:rPr>
          <w:rStyle w:val="Fett"/>
          <w:rtl/>
        </w:rPr>
        <w:t>לְאָלָה</w:t>
      </w:r>
      <w:r>
        <w:rPr>
          <w:rtl/>
        </w:rPr>
        <w:t xml:space="preserve"> </w:t>
      </w:r>
      <w:r>
        <w:t xml:space="preserve">(zum Fluch) und </w:t>
      </w:r>
      <w:r>
        <w:rPr>
          <w:rStyle w:val="Fett"/>
          <w:rtl/>
        </w:rPr>
        <w:t>בְּקֶרֶב עַמָּהּ</w:t>
      </w:r>
      <w:r>
        <w:rPr>
          <w:rtl/>
        </w:rPr>
        <w:t xml:space="preserve"> </w:t>
      </w:r>
      <w:r>
        <w:t>(in der Mitte ihres Volkes) zeigt die dauerhafte soziale Ächtung.</w:t>
      </w:r>
    </w:p>
    <w:p w14:paraId="6F51DE5F" w14:textId="43AC2A4A" w:rsidR="00F102FE" w:rsidRDefault="00F102FE" w:rsidP="00F102FE">
      <w:pPr>
        <w:pStyle w:val="whitespace-normal"/>
      </w:pPr>
      <w:r>
        <w:rPr>
          <w:rStyle w:val="Fett"/>
        </w:rPr>
        <w:t>Die LXX</w:t>
      </w:r>
      <w:r>
        <w:t xml:space="preserve"> </w:t>
      </w:r>
      <w:r w:rsidR="00761F29">
        <w:t xml:space="preserve">hat eine bedeutsame Reduplikation λήθῃ λάθῃ (verborgen verborgen) für </w:t>
      </w:r>
      <w:r w:rsidR="00761F29" w:rsidRPr="00761F29">
        <w:rPr>
          <w:b/>
          <w:bCs/>
          <w:rtl/>
        </w:rPr>
        <w:t>תִּמְעֹל</w:t>
      </w:r>
      <w:r w:rsidR="00761F29">
        <w:rPr>
          <w:rtl/>
        </w:rPr>
        <w:t xml:space="preserve"> </w:t>
      </w:r>
      <w:r w:rsidR="00761F29" w:rsidRPr="00761F29">
        <w:rPr>
          <w:b/>
          <w:bCs/>
          <w:rtl/>
        </w:rPr>
        <w:t>מַעַל</w:t>
      </w:r>
      <w:r w:rsidR="00761F29">
        <w:t>, was die Heimlichkeit statt der Untreue betont. Die medizinischen Begriffe πρησθήσεται (sie wird aufgebläht werden) und διαπεσεῖται (es wird verfallen) sind präziser als die hebräischen Partizipien und zeigen medizinisches Verständnis. Die LXX vermeidet die dramatische Formulierung "zur Bitterkeit" und behält die rationalisierte Prüfungsterminologie bei.</w:t>
      </w:r>
    </w:p>
    <w:p w14:paraId="32CCE2B7" w14:textId="3392D8B5" w:rsidR="00F102FE" w:rsidRDefault="00F102FE" w:rsidP="00F102FE">
      <w:pPr>
        <w:pStyle w:val="whitespace-normal"/>
      </w:pPr>
      <w:r>
        <w:t>Die Satzstruktur zeigt eine komplexe Bedingungsfolge mit Einleitung, doppelter Schuldbedingung, Fluchaktivierung, körperlichen Symptomen und gesellschaftlicher Ächtung.</w:t>
      </w:r>
    </w:p>
    <w:p w14:paraId="79225839" w14:textId="23EA114A" w:rsidR="00F102FE" w:rsidRDefault="00F102FE" w:rsidP="00F102FE">
      <w:pPr>
        <w:pStyle w:val="whitespace-normal"/>
      </w:pPr>
      <w:r>
        <w:t>Dieser Vers beschreibt das negative Ordal-Ergebnis bei schuldigen Frauen mit körperlichen und sozialen Konsequenzen.</w:t>
      </w:r>
      <w:r w:rsidR="009C6F3B">
        <w:t xml:space="preserve"> Siehe Num 5,21.</w:t>
      </w:r>
    </w:p>
    <w:p w14:paraId="405BC5ED"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5,28</w:t>
      </w:r>
    </w:p>
    <w:p w14:paraId="1BC4F263"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וְאִם־לֹ֤א נִטְמְאָה֙ הָֽאִשָּׁ֔ה וּטְהֹרָ֖ה הִ֑וא וְנִקְּתָ֖ה וְנִזְרְעָ֥ה זָֽרַע׃</w:t>
      </w:r>
    </w:p>
    <w:p w14:paraId="6D9378E8"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lastRenderedPageBreak/>
        <w:t>Deutsch:</w:t>
      </w:r>
      <w:r w:rsidRPr="00F102FE">
        <w:rPr>
          <w:rFonts w:eastAsia="Times New Roman" w:cs="Times New Roman"/>
          <w:lang w:eastAsia="de-DE"/>
        </w:rPr>
        <w:t xml:space="preserve"> Wenn aber die Frau sich nicht verunreinigt hat und rein ist, so wird sie unversehrt bleiben und Samen empfangen.</w:t>
      </w:r>
    </w:p>
    <w:p w14:paraId="4D925E48"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5503104F">
          <v:rect id="_x0000_i1240" style="width:0;height:1.5pt" o:hralign="center" o:hrstd="t" o:hr="t" fillcolor="#a0a0a0" stroked="f"/>
        </w:pict>
      </w:r>
    </w:p>
    <w:p w14:paraId="0337CFB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Die adversative Bedingung </w:t>
      </w:r>
      <w:r w:rsidRPr="00F102FE">
        <w:rPr>
          <w:rFonts w:eastAsia="Times New Roman" w:cs="Times New Roman"/>
          <w:b/>
          <w:bCs/>
          <w:rtl/>
          <w:lang w:eastAsia="de-DE"/>
        </w:rPr>
        <w:t>וְאִם־לֹא נִטְמְאָה הָאִשָּׁה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וְאִם־לֹא</w:t>
      </w:r>
      <w:r w:rsidRPr="00F102FE">
        <w:rPr>
          <w:rFonts w:eastAsia="Times New Roman" w:cs="Times New Roman"/>
          <w:rtl/>
          <w:lang w:eastAsia="de-DE"/>
        </w:rPr>
        <w:t xml:space="preserve"> </w:t>
      </w:r>
      <w:r w:rsidRPr="00F102FE">
        <w:rPr>
          <w:rFonts w:eastAsia="Times New Roman" w:cs="Times New Roman"/>
          <w:lang w:eastAsia="de-DE"/>
        </w:rPr>
        <w:t xml:space="preserve">(wenn aber nicht) und </w:t>
      </w:r>
      <w:r w:rsidRPr="00F102FE">
        <w:rPr>
          <w:rFonts w:eastAsia="Times New Roman" w:cs="Times New Roman"/>
          <w:b/>
          <w:bCs/>
          <w:rtl/>
          <w:lang w:eastAsia="de-DE"/>
        </w:rPr>
        <w:t>נִטְמְאָה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טמא</w:t>
      </w:r>
      <w:r w:rsidRPr="00F102FE">
        <w:rPr>
          <w:rFonts w:eastAsia="Times New Roman" w:cs="Times New Roman"/>
          <w:rtl/>
          <w:lang w:eastAsia="de-DE"/>
        </w:rPr>
        <w:t xml:space="preserve"> </w:t>
      </w:r>
      <w:r w:rsidRPr="00F102FE">
        <w:rPr>
          <w:rFonts w:eastAsia="Times New Roman" w:cs="Times New Roman"/>
          <w:lang w:eastAsia="de-DE"/>
        </w:rPr>
        <w:t>(unrein werden) im Niph'al-Perfekt 3. feminin Singular zeigt den Gegensatz zum vorherigen Vers.</w:t>
      </w:r>
    </w:p>
    <w:p w14:paraId="0F27837C"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verstärkende Charakterisierung </w:t>
      </w:r>
      <w:r w:rsidRPr="00F102FE">
        <w:rPr>
          <w:rFonts w:eastAsia="Times New Roman" w:cs="Times New Roman"/>
          <w:b/>
          <w:bCs/>
          <w:rtl/>
          <w:lang w:eastAsia="de-DE"/>
        </w:rPr>
        <w:t>וּטְהֹרָה הִוא</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טְהֹרָה</w:t>
      </w:r>
      <w:r w:rsidRPr="00F102FE">
        <w:rPr>
          <w:rFonts w:eastAsia="Times New Roman" w:cs="Times New Roman"/>
          <w:rtl/>
          <w:lang w:eastAsia="de-DE"/>
        </w:rPr>
        <w:t xml:space="preserve"> </w:t>
      </w:r>
      <w:r w:rsidRPr="00F102FE">
        <w:rPr>
          <w:rFonts w:eastAsia="Times New Roman" w:cs="Times New Roman"/>
          <w:lang w:eastAsia="de-DE"/>
        </w:rPr>
        <w:t xml:space="preserve">(rein) als Adjektiv und </w:t>
      </w:r>
      <w:r w:rsidRPr="00F102FE">
        <w:rPr>
          <w:rFonts w:eastAsia="Times New Roman" w:cs="Times New Roman"/>
          <w:b/>
          <w:bCs/>
          <w:rtl/>
          <w:lang w:eastAsia="de-DE"/>
        </w:rPr>
        <w:t>הִוא</w:t>
      </w:r>
      <w:r w:rsidRPr="00F102FE">
        <w:rPr>
          <w:rFonts w:eastAsia="Times New Roman" w:cs="Times New Roman"/>
          <w:rtl/>
          <w:lang w:eastAsia="de-DE"/>
        </w:rPr>
        <w:t xml:space="preserve"> </w:t>
      </w:r>
      <w:r w:rsidRPr="00F102FE">
        <w:rPr>
          <w:rFonts w:eastAsia="Times New Roman" w:cs="Times New Roman"/>
          <w:lang w:eastAsia="de-DE"/>
        </w:rPr>
        <w:t>(sie) als emphatischem Pronomen betont die positive Reinheit über die bloße Abwesenheit von Unreinheit hinaus.</w:t>
      </w:r>
    </w:p>
    <w:p w14:paraId="79EBD8C7"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doppelte positive Konsequenz </w:t>
      </w:r>
      <w:r w:rsidRPr="00F102FE">
        <w:rPr>
          <w:rFonts w:eastAsia="Times New Roman" w:cs="Times New Roman"/>
          <w:b/>
          <w:bCs/>
          <w:rtl/>
          <w:lang w:eastAsia="de-DE"/>
        </w:rPr>
        <w:t>וְנִקְּתָה וְנִזְרְעָה זָרַע</w:t>
      </w:r>
      <w:r w:rsidRPr="00F102FE">
        <w:rPr>
          <w:rFonts w:eastAsia="Times New Roman" w:cs="Times New Roman"/>
          <w:rtl/>
          <w:lang w:eastAsia="de-DE"/>
        </w:rPr>
        <w:t xml:space="preserve"> </w:t>
      </w:r>
      <w:r w:rsidRPr="00F102FE">
        <w:rPr>
          <w:rFonts w:eastAsia="Times New Roman" w:cs="Times New Roman"/>
          <w:lang w:eastAsia="de-DE"/>
        </w:rPr>
        <w:t xml:space="preserve">zeigt zwei koordinierte Verben: </w:t>
      </w:r>
      <w:r w:rsidRPr="00F102FE">
        <w:rPr>
          <w:rFonts w:eastAsia="Times New Roman" w:cs="Times New Roman"/>
          <w:b/>
          <w:bCs/>
          <w:rtl/>
          <w:lang w:eastAsia="de-DE"/>
        </w:rPr>
        <w:t>נִקְּתָה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נקה</w:t>
      </w:r>
      <w:r w:rsidRPr="00F102FE">
        <w:rPr>
          <w:rFonts w:eastAsia="Times New Roman" w:cs="Times New Roman"/>
          <w:rtl/>
          <w:lang w:eastAsia="de-DE"/>
        </w:rPr>
        <w:t xml:space="preserve"> </w:t>
      </w:r>
      <w:r w:rsidRPr="00F102FE">
        <w:rPr>
          <w:rFonts w:eastAsia="Times New Roman" w:cs="Times New Roman"/>
          <w:lang w:eastAsia="de-DE"/>
        </w:rPr>
        <w:t xml:space="preserve">(unschuldig/unversehrt sein) im Niph'al-Perfekt 3. feminin Singular und </w:t>
      </w:r>
      <w:r w:rsidRPr="00F102FE">
        <w:rPr>
          <w:rFonts w:eastAsia="Times New Roman" w:cs="Times New Roman"/>
          <w:b/>
          <w:bCs/>
          <w:rtl/>
          <w:lang w:eastAsia="de-DE"/>
        </w:rPr>
        <w:t>נִזְרְעָה זָרַע</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זרע</w:t>
      </w:r>
      <w:r w:rsidRPr="00F102FE">
        <w:rPr>
          <w:rFonts w:eastAsia="Times New Roman" w:cs="Times New Roman"/>
          <w:rtl/>
          <w:lang w:eastAsia="de-DE"/>
        </w:rPr>
        <w:t xml:space="preserve"> </w:t>
      </w:r>
      <w:r w:rsidRPr="00F102FE">
        <w:rPr>
          <w:rFonts w:eastAsia="Times New Roman" w:cs="Times New Roman"/>
          <w:lang w:eastAsia="de-DE"/>
        </w:rPr>
        <w:t xml:space="preserve">(besäen/schwanger werden) im Niph'al-Perfekt 3. feminin Singular mit cognate Accusativ </w:t>
      </w:r>
      <w:r w:rsidRPr="00F102FE">
        <w:rPr>
          <w:rFonts w:eastAsia="Times New Roman" w:cs="Times New Roman"/>
          <w:b/>
          <w:bCs/>
          <w:rtl/>
          <w:lang w:eastAsia="de-DE"/>
        </w:rPr>
        <w:t>זָרַע</w:t>
      </w:r>
      <w:r w:rsidRPr="00F102FE">
        <w:rPr>
          <w:rFonts w:eastAsia="Times New Roman" w:cs="Times New Roman"/>
          <w:rtl/>
          <w:lang w:eastAsia="de-DE"/>
        </w:rPr>
        <w:t xml:space="preserve"> </w:t>
      </w:r>
      <w:r w:rsidRPr="00F102FE">
        <w:rPr>
          <w:rFonts w:eastAsia="Times New Roman" w:cs="Times New Roman"/>
          <w:lang w:eastAsia="de-DE"/>
        </w:rPr>
        <w:t>(Samen).</w:t>
      </w:r>
    </w:p>
    <w:p w14:paraId="67E84BFE"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Formulierung </w:t>
      </w:r>
      <w:r w:rsidRPr="00F102FE">
        <w:rPr>
          <w:rFonts w:eastAsia="Times New Roman" w:cs="Times New Roman"/>
          <w:b/>
          <w:bCs/>
          <w:rtl/>
          <w:lang w:eastAsia="de-DE"/>
        </w:rPr>
        <w:t>נִזְרְעָה זָרַע</w:t>
      </w:r>
      <w:r w:rsidRPr="00F102FE">
        <w:rPr>
          <w:rFonts w:eastAsia="Times New Roman" w:cs="Times New Roman"/>
          <w:rtl/>
          <w:lang w:eastAsia="de-DE"/>
        </w:rPr>
        <w:t xml:space="preserve"> </w:t>
      </w:r>
      <w:r w:rsidRPr="00F102FE">
        <w:rPr>
          <w:rFonts w:eastAsia="Times New Roman" w:cs="Times New Roman"/>
          <w:lang w:eastAsia="de-DE"/>
        </w:rPr>
        <w:t>ist eine euphemistische Umschreibung für Empfängnis und erfolgreiche Fortpflanzung.</w:t>
      </w:r>
    </w:p>
    <w:p w14:paraId="55B8394C" w14:textId="49502146"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w:t>
      </w:r>
      <w:r w:rsidR="00EC7F0D">
        <w:t xml:space="preserve">übersetzt ἐὰν δὲ μὴ μιανθῇ ἡ γυνὴ καὶ καθαρὰ ᾖ καὶ ἀθῴα ἔσται καὶ ἐκσπερματισθήσεται σπέρμα. Ein wichtiger Unterschied liegt in der dreifachen positiven Charakterisierung: μὴ μιανθῇ (nicht verunreinigt), καθαρὰ ᾖ (rein sei), und ἀθῴα ἔσται (unschuldig wird sie sein) gegenüber dem hebräischen Doppelausdruck. Die LXX verstärkt die Unschuldsbeteuerung. Das Verb ἐκσπερματισθήσεται (sie wird besamt werden) ist expliziter und medizinischer als das euphemistische hebräische </w:t>
      </w:r>
      <w:r w:rsidR="00EC7F0D" w:rsidRPr="00EC7F0D">
        <w:rPr>
          <w:b/>
          <w:bCs/>
          <w:rtl/>
        </w:rPr>
        <w:t>נִזְרְעָה</w:t>
      </w:r>
      <w:r w:rsidR="00EC7F0D">
        <w:rPr>
          <w:rtl/>
        </w:rPr>
        <w:t xml:space="preserve"> </w:t>
      </w:r>
      <w:r w:rsidR="00EC7F0D" w:rsidRPr="00EC7F0D">
        <w:rPr>
          <w:b/>
          <w:bCs/>
          <w:rtl/>
        </w:rPr>
        <w:t>זָרַע</w:t>
      </w:r>
      <w:r w:rsidR="00EC7F0D">
        <w:t>. Dies zeigt unterschiedliche kulturelle Haltungen zur Darstellung von Sexualität und Reproduktion: Die griechische Tradition ist direkter in biologischen Begriffen, während die hebräische euphemistischer ist.</w:t>
      </w:r>
    </w:p>
    <w:p w14:paraId="177AF347"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eine adversative Bedingung mit verstärkender Charakterisierung und doppelter positiver Konsequenz für unschuldige Frauen.</w:t>
      </w:r>
    </w:p>
    <w:p w14:paraId="62D39606"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etabliert das positive Ordal-Ergebnis für unschuldige Frauen: Unversehrtheit und Fruchtbarkeit als göttliche Bestätigung der Unschuld.</w:t>
      </w:r>
    </w:p>
    <w:p w14:paraId="6A2F5CF6"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5,29</w:t>
      </w:r>
    </w:p>
    <w:p w14:paraId="360E4214"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זֹ֥את תּוֹרַ֖ת הַקְּנָאֹ֑ת אֲשֶׁ֨ר תִּשְׂטֶ֥ה אִשָּׁ֛ה תַּ֥חַת אִישָׁ֖הּ וְנִטְמָֽאָה׃</w:t>
      </w:r>
    </w:p>
    <w:p w14:paraId="5C09C4A4"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Das ist das Gesetz der Eifersucht: Wenn eine Frau, unter ihrem Mann seiend, abweicht und sich verunreinigt,</w:t>
      </w:r>
    </w:p>
    <w:p w14:paraId="7DC9BD70"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71957D8A">
          <v:rect id="_x0000_i1241" style="width:0;height:1.5pt" o:hralign="center" o:hrstd="t" o:hr="t" fillcolor="#a0a0a0" stroked="f"/>
        </w:pict>
      </w:r>
    </w:p>
    <w:p w14:paraId="3F75672D" w14:textId="20BA5426"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Demonstrativpronomen </w:t>
      </w:r>
      <w:r w:rsidRPr="00F102FE">
        <w:rPr>
          <w:rFonts w:eastAsia="Times New Roman" w:cs="Times New Roman"/>
          <w:b/>
          <w:bCs/>
          <w:rtl/>
          <w:lang w:eastAsia="de-DE"/>
        </w:rPr>
        <w:t>זֹאת</w:t>
      </w:r>
      <w:r w:rsidRPr="00F102FE">
        <w:rPr>
          <w:rFonts w:eastAsia="Times New Roman" w:cs="Times New Roman"/>
          <w:rtl/>
          <w:lang w:eastAsia="de-DE"/>
        </w:rPr>
        <w:t xml:space="preserve"> </w:t>
      </w:r>
      <w:r w:rsidRPr="00F102FE">
        <w:rPr>
          <w:rFonts w:eastAsia="Times New Roman" w:cs="Times New Roman"/>
          <w:lang w:eastAsia="de-DE"/>
        </w:rPr>
        <w:t xml:space="preserve">(das) mit der </w:t>
      </w:r>
      <w:r w:rsidR="00F133EC">
        <w:rPr>
          <w:rFonts w:eastAsia="Times New Roman" w:cs="Times New Roman"/>
          <w:lang w:eastAsia="de-DE"/>
        </w:rPr>
        <w:t>Construct</w:t>
      </w:r>
      <w:r w:rsidRPr="00F102FE">
        <w:rPr>
          <w:rFonts w:eastAsia="Times New Roman" w:cs="Times New Roman"/>
          <w:lang w:eastAsia="de-DE"/>
        </w:rPr>
        <w:t xml:space="preserve">verbindung </w:t>
      </w:r>
      <w:r w:rsidRPr="00F102FE">
        <w:rPr>
          <w:rFonts w:eastAsia="Times New Roman" w:cs="Times New Roman"/>
          <w:b/>
          <w:bCs/>
          <w:rtl/>
          <w:lang w:eastAsia="de-DE"/>
        </w:rPr>
        <w:t>תּוֹרַת הַקְּנָאֹת</w:t>
      </w:r>
      <w:r w:rsidRPr="00F102FE">
        <w:rPr>
          <w:rFonts w:eastAsia="Times New Roman" w:cs="Times New Roman"/>
          <w:rtl/>
          <w:lang w:eastAsia="de-DE"/>
        </w:rPr>
        <w:t xml:space="preserve"> </w:t>
      </w:r>
      <w:r w:rsidRPr="00F102FE">
        <w:rPr>
          <w:rFonts w:eastAsia="Times New Roman" w:cs="Times New Roman"/>
          <w:lang w:eastAsia="de-DE"/>
        </w:rPr>
        <w:t xml:space="preserve">(Gesetz der Eifersucht) leitet die formelle Zusammenfassung des gesamten Verfahrens ein. </w:t>
      </w:r>
      <w:r w:rsidRPr="00F102FE">
        <w:rPr>
          <w:rFonts w:eastAsia="Times New Roman" w:cs="Times New Roman"/>
          <w:b/>
          <w:bCs/>
          <w:rtl/>
          <w:lang w:eastAsia="de-DE"/>
        </w:rPr>
        <w:lastRenderedPageBreak/>
        <w:t>תּוֹרָה</w:t>
      </w:r>
      <w:r w:rsidRPr="00F102FE">
        <w:rPr>
          <w:rFonts w:eastAsia="Times New Roman" w:cs="Times New Roman"/>
          <w:rtl/>
          <w:lang w:eastAsia="de-DE"/>
        </w:rPr>
        <w:t xml:space="preserve"> </w:t>
      </w:r>
      <w:r w:rsidRPr="00F102FE">
        <w:rPr>
          <w:rFonts w:eastAsia="Times New Roman" w:cs="Times New Roman"/>
          <w:lang w:eastAsia="de-DE"/>
        </w:rPr>
        <w:t xml:space="preserve">(Gesetz/Lehre) bezeichnet hier die vollständige Rechtsordnung, </w:t>
      </w:r>
      <w:r w:rsidRPr="00F102FE">
        <w:rPr>
          <w:rFonts w:eastAsia="Times New Roman" w:cs="Times New Roman"/>
          <w:b/>
          <w:bCs/>
          <w:rtl/>
          <w:lang w:eastAsia="de-DE"/>
        </w:rPr>
        <w:t>קְנָאֹת</w:t>
      </w:r>
      <w:r w:rsidRPr="00F102FE">
        <w:rPr>
          <w:rFonts w:eastAsia="Times New Roman" w:cs="Times New Roman"/>
          <w:rtl/>
          <w:lang w:eastAsia="de-DE"/>
        </w:rPr>
        <w:t xml:space="preserve"> </w:t>
      </w:r>
      <w:r w:rsidRPr="00F102FE">
        <w:rPr>
          <w:rFonts w:eastAsia="Times New Roman" w:cs="Times New Roman"/>
          <w:lang w:eastAsia="de-DE"/>
        </w:rPr>
        <w:t xml:space="preserve">(Eifersucht) Plural von </w:t>
      </w:r>
      <w:r w:rsidRPr="00F102FE">
        <w:rPr>
          <w:rFonts w:eastAsia="Times New Roman" w:cs="Times New Roman"/>
          <w:b/>
          <w:bCs/>
          <w:rtl/>
          <w:lang w:eastAsia="de-DE"/>
        </w:rPr>
        <w:t>קִנְאָה</w:t>
      </w:r>
      <w:r w:rsidRPr="00F102FE">
        <w:rPr>
          <w:rFonts w:eastAsia="Times New Roman" w:cs="Times New Roman"/>
          <w:lang w:eastAsia="de-DE"/>
        </w:rPr>
        <w:t>.</w:t>
      </w:r>
    </w:p>
    <w:p w14:paraId="1603FBFF"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Der Relativsatz </w:t>
      </w:r>
      <w:r w:rsidRPr="00F102FE">
        <w:rPr>
          <w:rFonts w:eastAsia="Times New Roman" w:cs="Times New Roman"/>
          <w:b/>
          <w:bCs/>
          <w:rtl/>
          <w:lang w:eastAsia="de-DE"/>
        </w:rPr>
        <w:t>אֲשֶׁר תִּשְׂטֶה אִשָּׁה תַּחַת אִישָׁהּ וְנִטְמָאָה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תִּשְׂטֶה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שטה</w:t>
      </w:r>
      <w:r w:rsidRPr="00F102FE">
        <w:rPr>
          <w:rFonts w:eastAsia="Times New Roman" w:cs="Times New Roman"/>
          <w:rtl/>
          <w:lang w:eastAsia="de-DE"/>
        </w:rPr>
        <w:t xml:space="preserve"> </w:t>
      </w:r>
      <w:r w:rsidRPr="00F102FE">
        <w:rPr>
          <w:rFonts w:eastAsia="Times New Roman" w:cs="Times New Roman"/>
          <w:lang w:eastAsia="de-DE"/>
        </w:rPr>
        <w:t xml:space="preserve">(abweichen) im Qal-Imperfekt 3. feminin Singular, </w:t>
      </w:r>
      <w:r w:rsidRPr="00F102FE">
        <w:rPr>
          <w:rFonts w:eastAsia="Times New Roman" w:cs="Times New Roman"/>
          <w:b/>
          <w:bCs/>
          <w:rtl/>
          <w:lang w:eastAsia="de-DE"/>
        </w:rPr>
        <w:t>תַּחַת אִישָׁהּ</w:t>
      </w:r>
      <w:r w:rsidRPr="00F102FE">
        <w:rPr>
          <w:rFonts w:eastAsia="Times New Roman" w:cs="Times New Roman"/>
          <w:rtl/>
          <w:lang w:eastAsia="de-DE"/>
        </w:rPr>
        <w:t xml:space="preserve"> </w:t>
      </w:r>
      <w:r w:rsidRPr="00F102FE">
        <w:rPr>
          <w:rFonts w:eastAsia="Times New Roman" w:cs="Times New Roman"/>
          <w:lang w:eastAsia="de-DE"/>
        </w:rPr>
        <w:t xml:space="preserve">(unter ihrem Mann) und </w:t>
      </w:r>
      <w:r w:rsidRPr="00F102FE">
        <w:rPr>
          <w:rFonts w:eastAsia="Times New Roman" w:cs="Times New Roman"/>
          <w:b/>
          <w:bCs/>
          <w:rtl/>
          <w:lang w:eastAsia="de-DE"/>
        </w:rPr>
        <w:t>נִטְמָאָה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טמא</w:t>
      </w:r>
      <w:r w:rsidRPr="00F102FE">
        <w:rPr>
          <w:rFonts w:eastAsia="Times New Roman" w:cs="Times New Roman"/>
          <w:rtl/>
          <w:lang w:eastAsia="de-DE"/>
        </w:rPr>
        <w:t xml:space="preserve"> </w:t>
      </w:r>
      <w:r w:rsidRPr="00F102FE">
        <w:rPr>
          <w:rFonts w:eastAsia="Times New Roman" w:cs="Times New Roman"/>
          <w:lang w:eastAsia="de-DE"/>
        </w:rPr>
        <w:t>(unrein werden) im Niph'al-Perfekt 3. feminin Singular spezifiziert einen der beiden Anwendungsfälle.</w:t>
      </w:r>
    </w:p>
    <w:p w14:paraId="31E72687" w14:textId="680DCE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w:t>
      </w:r>
      <w:r w:rsidR="00EC7F0D">
        <w:t xml:space="preserve">übersetzt οὗτος ὁ νόμος τῆς ζηλοτυπίας ἐν ᾧ ἂν παραβῇ γυνὴ ὑπὸ ἄνδρα οὖσα καὶ μιανθῇ. Die LXX verwendet konsequent νόμος (Gesetz) für </w:t>
      </w:r>
      <w:r w:rsidR="00EC7F0D">
        <w:rPr>
          <w:rtl/>
        </w:rPr>
        <w:t>תּוֹרָה</w:t>
      </w:r>
      <w:r w:rsidR="00EC7F0D">
        <w:t xml:space="preserve">, was in der hellenistischen Periode bereits stärker auf geschriebenes Recht verwies als das hebräische Konzept von "Lehre/Weisung". Das Partizip ὑπὸ ἄνδρα οὖσα (unter einem Mann seiend) für </w:t>
      </w:r>
      <w:r w:rsidR="00EC7F0D" w:rsidRPr="00EC7F0D">
        <w:rPr>
          <w:b/>
          <w:bCs/>
          <w:rtl/>
        </w:rPr>
        <w:t>תַּחַת</w:t>
      </w:r>
      <w:r w:rsidR="00EC7F0D">
        <w:rPr>
          <w:rtl/>
        </w:rPr>
        <w:t xml:space="preserve"> </w:t>
      </w:r>
      <w:r w:rsidR="00EC7F0D" w:rsidRPr="00EC7F0D">
        <w:rPr>
          <w:b/>
          <w:bCs/>
          <w:rtl/>
        </w:rPr>
        <w:t>אִישָׁהּ</w:t>
      </w:r>
      <w:r w:rsidR="00EC7F0D">
        <w:t xml:space="preserve"> ist rechtlich präziser und betont den Rechtsstatus der Ehe stärker. Die LXX zeigt hier eine Tendenz zur Juridifizierung religiöser Konzepte entsprechend hellenistischer Rechtstradition.</w:t>
      </w:r>
    </w:p>
    <w:p w14:paraId="0BBDC810"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eine zusammenfassende Gesetzesdeklaration mit relativischer Spezifikation eines Anwendungsfalls.</w:t>
      </w:r>
    </w:p>
    <w:p w14:paraId="0AB0B813"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beginnt die formelle Zusammenfassung des Eifersuchtsgesetzes und nennt den ersten Fall: tatsächliche Untreue.</w:t>
      </w:r>
    </w:p>
    <w:p w14:paraId="38927576"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5,30</w:t>
      </w:r>
    </w:p>
    <w:p w14:paraId="65B1116C"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א֣וֹ אִ֗ישׁ אֲשֶׁ֨ר תַּעֲבֹ֥ר עָלָ֛יו ר֥וּחַ קִנְאָ֖ה וְקִנֵּ֣א אֶת־אִשְׁתּוֹ֑ וְהֶעֱמִ֤יד אֶת־הָֽאִשָּׁה֙ לִפְנֵ֣י יְהוָ֔ה וְעָ֤שָׂה לָהּ֙ הַכֹּהֵ֔ן אֵ֥ת כָּל־הַתּוֹרָ֖ה הַזֹּֽאת׃</w:t>
      </w:r>
    </w:p>
    <w:p w14:paraId="54F6491B"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oder wenn über einen Mann der Geist der Eifersucht kommt, und er eifersüchtig wird auf seine Frau, so soll er die Frau vor den Ewigen stellen, und der Priester soll an ihr dieses ganze Gesetz vollziehen.</w:t>
      </w:r>
    </w:p>
    <w:p w14:paraId="075F67BB"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0EFE04FB">
          <v:rect id="_x0000_i1242" style="width:0;height:1.5pt" o:hralign="center" o:hrstd="t" o:hr="t" fillcolor="#a0a0a0" stroked="f"/>
        </w:pict>
      </w:r>
    </w:p>
    <w:p w14:paraId="721B1904"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alternative </w:t>
      </w:r>
      <w:r w:rsidRPr="00F102FE">
        <w:rPr>
          <w:rFonts w:eastAsia="Times New Roman" w:cs="Times New Roman"/>
          <w:b/>
          <w:bCs/>
          <w:rtl/>
          <w:lang w:eastAsia="de-DE"/>
        </w:rPr>
        <w:t>אוֹ</w:t>
      </w:r>
      <w:r w:rsidRPr="00F102FE">
        <w:rPr>
          <w:rFonts w:eastAsia="Times New Roman" w:cs="Times New Roman"/>
          <w:rtl/>
          <w:lang w:eastAsia="de-DE"/>
        </w:rPr>
        <w:t xml:space="preserve"> </w:t>
      </w:r>
      <w:r w:rsidRPr="00F102FE">
        <w:rPr>
          <w:rFonts w:eastAsia="Times New Roman" w:cs="Times New Roman"/>
          <w:lang w:eastAsia="de-DE"/>
        </w:rPr>
        <w:t xml:space="preserve">(oder) mit </w:t>
      </w:r>
      <w:r w:rsidRPr="00F102FE">
        <w:rPr>
          <w:rFonts w:eastAsia="Times New Roman" w:cs="Times New Roman"/>
          <w:b/>
          <w:bCs/>
          <w:rtl/>
          <w:lang w:eastAsia="de-DE"/>
        </w:rPr>
        <w:t>אִישׁ</w:t>
      </w:r>
      <w:r w:rsidRPr="00F102FE">
        <w:rPr>
          <w:rFonts w:eastAsia="Times New Roman" w:cs="Times New Roman"/>
          <w:rtl/>
          <w:lang w:eastAsia="de-DE"/>
        </w:rPr>
        <w:t xml:space="preserve"> </w:t>
      </w:r>
      <w:r w:rsidRPr="00F102FE">
        <w:rPr>
          <w:rFonts w:eastAsia="Times New Roman" w:cs="Times New Roman"/>
          <w:lang w:eastAsia="de-DE"/>
        </w:rPr>
        <w:t>(ein Mann) leitet den zweiten Anwendungsfall ein: Eifersucht ohne bewiesene Untreue.</w:t>
      </w:r>
    </w:p>
    <w:p w14:paraId="149BB57A"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Der Relativsatz </w:t>
      </w:r>
      <w:r w:rsidRPr="00F102FE">
        <w:rPr>
          <w:rFonts w:eastAsia="Times New Roman" w:cs="Times New Roman"/>
          <w:b/>
          <w:bCs/>
          <w:rtl/>
          <w:lang w:eastAsia="de-DE"/>
        </w:rPr>
        <w:t>אֲשֶׁר תַּעֲבֹר עָלָיו רוּחַ קִנְאָה וְקִנֵּא אֶת־אִשְׁתּוֹ</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תַּעֲבֹר</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עבר</w:t>
      </w:r>
      <w:r w:rsidRPr="00F102FE">
        <w:rPr>
          <w:rFonts w:eastAsia="Times New Roman" w:cs="Times New Roman"/>
          <w:rtl/>
          <w:lang w:eastAsia="de-DE"/>
        </w:rPr>
        <w:t xml:space="preserve"> </w:t>
      </w:r>
      <w:r w:rsidRPr="00F102FE">
        <w:rPr>
          <w:rFonts w:eastAsia="Times New Roman" w:cs="Times New Roman"/>
          <w:lang w:eastAsia="de-DE"/>
        </w:rPr>
        <w:t xml:space="preserve">(vorübergehen) im Qal-Imperfekt 3. feminin Singular, </w:t>
      </w:r>
      <w:r w:rsidRPr="00F102FE">
        <w:rPr>
          <w:rFonts w:eastAsia="Times New Roman" w:cs="Times New Roman"/>
          <w:b/>
          <w:bCs/>
          <w:rtl/>
          <w:lang w:eastAsia="de-DE"/>
        </w:rPr>
        <w:t>רוּחַ קִנְאָה</w:t>
      </w:r>
      <w:r w:rsidRPr="00F102FE">
        <w:rPr>
          <w:rFonts w:eastAsia="Times New Roman" w:cs="Times New Roman"/>
          <w:rtl/>
          <w:lang w:eastAsia="de-DE"/>
        </w:rPr>
        <w:t xml:space="preserve"> </w:t>
      </w:r>
      <w:r w:rsidRPr="00F102FE">
        <w:rPr>
          <w:rFonts w:eastAsia="Times New Roman" w:cs="Times New Roman"/>
          <w:lang w:eastAsia="de-DE"/>
        </w:rPr>
        <w:t xml:space="preserve">(Geist der Eifersucht) und </w:t>
      </w:r>
      <w:r w:rsidRPr="00F102FE">
        <w:rPr>
          <w:rFonts w:eastAsia="Times New Roman" w:cs="Times New Roman"/>
          <w:b/>
          <w:bCs/>
          <w:rtl/>
          <w:lang w:eastAsia="de-DE"/>
        </w:rPr>
        <w:t>קִנֵּא</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קנא</w:t>
      </w:r>
      <w:r w:rsidRPr="00F102FE">
        <w:rPr>
          <w:rFonts w:eastAsia="Times New Roman" w:cs="Times New Roman"/>
          <w:rtl/>
          <w:lang w:eastAsia="de-DE"/>
        </w:rPr>
        <w:t xml:space="preserve"> </w:t>
      </w:r>
      <w:r w:rsidRPr="00F102FE">
        <w:rPr>
          <w:rFonts w:eastAsia="Times New Roman" w:cs="Times New Roman"/>
          <w:lang w:eastAsia="de-DE"/>
        </w:rPr>
        <w:t>(eifersüchtig sein) wiederholt die Eifersuchtsbeschreibung aus Vers 14.</w:t>
      </w:r>
    </w:p>
    <w:p w14:paraId="348DC916"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Verfahrensanweisung </w:t>
      </w:r>
      <w:r w:rsidRPr="00F102FE">
        <w:rPr>
          <w:rFonts w:eastAsia="Times New Roman" w:cs="Times New Roman"/>
          <w:b/>
          <w:bCs/>
          <w:rtl/>
          <w:lang w:eastAsia="de-DE"/>
        </w:rPr>
        <w:t>וְהֶעֱמִיד אֶת־הָאִשָּׁה לִפְנֵי יְהוָה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הֶעֱמִיד</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עמד</w:t>
      </w:r>
      <w:r w:rsidRPr="00F102FE">
        <w:rPr>
          <w:rFonts w:eastAsia="Times New Roman" w:cs="Times New Roman"/>
          <w:rtl/>
          <w:lang w:eastAsia="de-DE"/>
        </w:rPr>
        <w:t xml:space="preserve"> </w:t>
      </w:r>
      <w:r w:rsidRPr="00F102FE">
        <w:rPr>
          <w:rFonts w:eastAsia="Times New Roman" w:cs="Times New Roman"/>
          <w:lang w:eastAsia="de-DE"/>
        </w:rPr>
        <w:t>(stehen) im Hiph'il-Perfekt 3. maskulin Singular zeigt die Initiierung des Verfahrens durch den eifersüchtigen Ehemann.</w:t>
      </w:r>
    </w:p>
    <w:p w14:paraId="3E681A9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abschließende Vollzugsanweisung </w:t>
      </w:r>
      <w:r w:rsidRPr="00F102FE">
        <w:rPr>
          <w:rFonts w:eastAsia="Times New Roman" w:cs="Times New Roman"/>
          <w:b/>
          <w:bCs/>
          <w:rtl/>
          <w:lang w:eastAsia="de-DE"/>
        </w:rPr>
        <w:t>וְעָשָׂה לָהּ הַכֹּהֵן אֵת כָּל־הַתּוֹרָה הַזֹּאת</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עָשָׂה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עשה</w:t>
      </w:r>
      <w:r w:rsidRPr="00F102FE">
        <w:rPr>
          <w:rFonts w:eastAsia="Times New Roman" w:cs="Times New Roman"/>
          <w:rtl/>
          <w:lang w:eastAsia="de-DE"/>
        </w:rPr>
        <w:t xml:space="preserve"> </w:t>
      </w:r>
      <w:r w:rsidRPr="00F102FE">
        <w:rPr>
          <w:rFonts w:eastAsia="Times New Roman" w:cs="Times New Roman"/>
          <w:lang w:eastAsia="de-DE"/>
        </w:rPr>
        <w:t xml:space="preserve">(tun) im Qal-Perfekt 3. maskulin Singular und </w:t>
      </w:r>
      <w:r w:rsidRPr="00F102FE">
        <w:rPr>
          <w:rFonts w:eastAsia="Times New Roman" w:cs="Times New Roman"/>
          <w:b/>
          <w:bCs/>
          <w:rtl/>
          <w:lang w:eastAsia="de-DE"/>
        </w:rPr>
        <w:t>כָּל־הַתּוֹרָה הַזֹּאת</w:t>
      </w:r>
      <w:r w:rsidRPr="00F102FE">
        <w:rPr>
          <w:rFonts w:eastAsia="Times New Roman" w:cs="Times New Roman"/>
          <w:rtl/>
          <w:lang w:eastAsia="de-DE"/>
        </w:rPr>
        <w:t xml:space="preserve"> </w:t>
      </w:r>
      <w:r w:rsidRPr="00F102FE">
        <w:rPr>
          <w:rFonts w:eastAsia="Times New Roman" w:cs="Times New Roman"/>
          <w:lang w:eastAsia="de-DE"/>
        </w:rPr>
        <w:t>(dieses ganze Gesetz) verweist auf das gesamte beschriebene Verfahren.</w:t>
      </w:r>
    </w:p>
    <w:p w14:paraId="3AD03B1D" w14:textId="6BC4703E"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Die LXX</w:t>
      </w:r>
      <w:r w:rsidRPr="00F102FE">
        <w:rPr>
          <w:rFonts w:eastAsia="Times New Roman" w:cs="Times New Roman"/>
          <w:lang w:eastAsia="de-DE"/>
        </w:rPr>
        <w:t xml:space="preserve"> </w:t>
      </w:r>
      <w:r w:rsidR="00EC7F0D">
        <w:t xml:space="preserve">übersetzt ἢ ἄνθρωπος ᾧ ἂν ἐπέλθῃ ἐπ᾽ αὐτὸν πνεῦμα ζηλοτυπίας καὶ ζηλοτυπήσῃ τὴν γυναῖκα αὐτοῦ καὶ στήσει τὴν γυναῖκα ἔναντι κυρίου καὶ ποιήσει αὐτῇ ὁ ἱερεὺς πάντα τὸν </w:t>
      </w:r>
      <w:r w:rsidR="00EC7F0D">
        <w:lastRenderedPageBreak/>
        <w:t xml:space="preserve">νόμον τοῦτον. Die LXX verwendet ἄνθρωπος (Mensch) statt ἀνήρ (Mann) für </w:t>
      </w:r>
      <w:r w:rsidR="00EC7F0D" w:rsidRPr="00EC7F0D">
        <w:rPr>
          <w:b/>
          <w:bCs/>
          <w:rtl/>
        </w:rPr>
        <w:t>אִישׁ</w:t>
      </w:r>
      <w:r w:rsidR="00EC7F0D">
        <w:t xml:space="preserve">, was universeller klingt, aber den geschlechtsspezifischen Charakter des Gesetzes verschleiert. Das Verb ἐπέλθῃ (darauf kommen) für </w:t>
      </w:r>
      <w:r w:rsidR="00EC7F0D" w:rsidRPr="00EC7F0D">
        <w:rPr>
          <w:b/>
          <w:bCs/>
          <w:rtl/>
        </w:rPr>
        <w:t>עָבַר</w:t>
      </w:r>
      <w:r w:rsidR="00EC7F0D">
        <w:t xml:space="preserve"> (vorübergehen) ist dramatischer und betont die überwältigende Natur der Eifersucht stärker. Die Wendung πάντα τὸν νόμον τοῦτον (dieses ganze Gesetz) verstärkt die Vollständigkeit der Anwendung und zeigt die hellenistische Betonung systematischer Rechtsanwendung.</w:t>
      </w:r>
    </w:p>
    <w:p w14:paraId="6178ACD6"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eine alternative Fallbeschreibung mit relativischer Eifersuchtsspezifikation und doppelter Verfahrensanweisung für Mann und Priester.</w:t>
      </w:r>
    </w:p>
    <w:p w14:paraId="6D8B7DC2"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Vers komplettiert die Anwendungsfälle des Eifersuchtsgesetzes durch den Fall bloßer Eifersucht ohne bewiesene Untreue.</w:t>
      </w:r>
    </w:p>
    <w:p w14:paraId="1B646A86" w14:textId="77777777" w:rsidR="00F102FE" w:rsidRPr="00F102FE" w:rsidRDefault="00F102FE" w:rsidP="00F102FE">
      <w:pPr>
        <w:spacing w:before="100" w:beforeAutospacing="1" w:after="100" w:afterAutospacing="1" w:line="240" w:lineRule="auto"/>
        <w:outlineLvl w:val="0"/>
        <w:rPr>
          <w:rFonts w:eastAsia="Times New Roman" w:cs="Times New Roman"/>
          <w:b/>
          <w:bCs/>
          <w:kern w:val="36"/>
          <w:sz w:val="48"/>
          <w:szCs w:val="48"/>
          <w:lang w:eastAsia="de-DE"/>
        </w:rPr>
      </w:pPr>
      <w:r w:rsidRPr="00F102FE">
        <w:rPr>
          <w:rFonts w:eastAsia="Times New Roman" w:cs="Times New Roman"/>
          <w:b/>
          <w:bCs/>
          <w:kern w:val="36"/>
          <w:sz w:val="48"/>
          <w:szCs w:val="48"/>
          <w:lang w:eastAsia="de-DE"/>
        </w:rPr>
        <w:t>Numeri 5,31</w:t>
      </w:r>
    </w:p>
    <w:p w14:paraId="765751A5"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Hebräisch:</w:t>
      </w:r>
      <w:r w:rsidRPr="00F102FE">
        <w:rPr>
          <w:rFonts w:eastAsia="Times New Roman" w:cs="Times New Roman"/>
          <w:lang w:eastAsia="de-DE"/>
        </w:rPr>
        <w:t xml:space="preserve"> </w:t>
      </w:r>
      <w:r w:rsidRPr="00F102FE">
        <w:rPr>
          <w:rFonts w:eastAsia="Times New Roman" w:cs="Times New Roman"/>
          <w:rtl/>
          <w:lang w:eastAsia="de-DE"/>
        </w:rPr>
        <w:t>וְנִקָּ֥ה הָאִ֖ישׁ מֵעָוֹ֑ן וְהָאִשָּׁ֣ה הַהִ֔וא תִּשָּׂ֖א אֶת־עֲוֹנָֽהּ׃</w:t>
      </w:r>
    </w:p>
    <w:p w14:paraId="0EE42546"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Deutsch:</w:t>
      </w:r>
      <w:r w:rsidRPr="00F102FE">
        <w:rPr>
          <w:rFonts w:eastAsia="Times New Roman" w:cs="Times New Roman"/>
          <w:lang w:eastAsia="de-DE"/>
        </w:rPr>
        <w:t xml:space="preserve"> Und der Mann wird frei sein von Schuld; jene Frau aber soll ihre Schuld tragen.</w:t>
      </w:r>
    </w:p>
    <w:p w14:paraId="6176AB7F" w14:textId="77777777" w:rsidR="00F102FE" w:rsidRPr="00F102FE" w:rsidRDefault="00F329DD" w:rsidP="00F102FE">
      <w:pPr>
        <w:spacing w:after="0" w:line="240" w:lineRule="auto"/>
        <w:rPr>
          <w:rFonts w:eastAsia="Times New Roman" w:cs="Times New Roman"/>
          <w:lang w:eastAsia="de-DE"/>
        </w:rPr>
      </w:pPr>
      <w:r>
        <w:rPr>
          <w:rFonts w:eastAsia="Times New Roman" w:cs="Times New Roman"/>
          <w:noProof/>
          <w:lang w:eastAsia="de-DE"/>
        </w:rPr>
        <w:pict w14:anchorId="4211CFC0">
          <v:rect id="_x0000_i1243" style="width:0;height:1.5pt" o:hralign="center" o:hrstd="t" o:hr="t" fillcolor="#a0a0a0" stroked="f"/>
        </w:pict>
      </w:r>
    </w:p>
    <w:p w14:paraId="209E0267"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b/>
          <w:bCs/>
          <w:lang w:eastAsia="de-DE"/>
        </w:rPr>
        <w:t>Kommentar:</w:t>
      </w:r>
      <w:r w:rsidRPr="00F102FE">
        <w:rPr>
          <w:rFonts w:eastAsia="Times New Roman" w:cs="Times New Roman"/>
          <w:lang w:eastAsia="de-DE"/>
        </w:rPr>
        <w:t xml:space="preserve"> Das Verb </w:t>
      </w:r>
      <w:r w:rsidRPr="00F102FE">
        <w:rPr>
          <w:rFonts w:eastAsia="Times New Roman" w:cs="Times New Roman"/>
          <w:b/>
          <w:bCs/>
          <w:rtl/>
          <w:lang w:eastAsia="de-DE"/>
        </w:rPr>
        <w:t>וְנִקָּה</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נקה</w:t>
      </w:r>
      <w:r w:rsidRPr="00F102FE">
        <w:rPr>
          <w:rFonts w:eastAsia="Times New Roman" w:cs="Times New Roman"/>
          <w:rtl/>
          <w:lang w:eastAsia="de-DE"/>
        </w:rPr>
        <w:t xml:space="preserve"> </w:t>
      </w:r>
      <w:r w:rsidRPr="00F102FE">
        <w:rPr>
          <w:rFonts w:eastAsia="Times New Roman" w:cs="Times New Roman"/>
          <w:lang w:eastAsia="de-DE"/>
        </w:rPr>
        <w:t xml:space="preserve">(unschuldig/frei sein) im Niph'al-Perfekt 3. maskulin Singular mit </w:t>
      </w:r>
      <w:r w:rsidRPr="00F102FE">
        <w:rPr>
          <w:rFonts w:eastAsia="Times New Roman" w:cs="Times New Roman"/>
          <w:b/>
          <w:bCs/>
          <w:rtl/>
          <w:lang w:eastAsia="de-DE"/>
        </w:rPr>
        <w:t>הָאִישׁ מֵעָוֹן</w:t>
      </w:r>
      <w:r w:rsidRPr="00F102FE">
        <w:rPr>
          <w:rFonts w:eastAsia="Times New Roman" w:cs="Times New Roman"/>
          <w:rtl/>
          <w:lang w:eastAsia="de-DE"/>
        </w:rPr>
        <w:t xml:space="preserve"> </w:t>
      </w:r>
      <w:r w:rsidRPr="00F102FE">
        <w:rPr>
          <w:rFonts w:eastAsia="Times New Roman" w:cs="Times New Roman"/>
          <w:lang w:eastAsia="de-DE"/>
        </w:rPr>
        <w:t xml:space="preserve">(der Mann von Schuld) mit </w:t>
      </w:r>
      <w:r w:rsidRPr="00F102FE">
        <w:rPr>
          <w:rFonts w:eastAsia="Times New Roman" w:cs="Times New Roman"/>
          <w:b/>
          <w:bCs/>
          <w:rtl/>
          <w:lang w:eastAsia="de-DE"/>
        </w:rPr>
        <w:t>מֵעָוֹן</w:t>
      </w:r>
      <w:r w:rsidRPr="00F102FE">
        <w:rPr>
          <w:rFonts w:eastAsia="Times New Roman" w:cs="Times New Roman"/>
          <w:rtl/>
          <w:lang w:eastAsia="de-DE"/>
        </w:rPr>
        <w:t xml:space="preserve"> </w:t>
      </w:r>
      <w:r w:rsidRPr="00F102FE">
        <w:rPr>
          <w:rFonts w:eastAsia="Times New Roman" w:cs="Times New Roman"/>
          <w:lang w:eastAsia="de-DE"/>
        </w:rPr>
        <w:t>(von Schuld) zeigt die rechtliche Immunität des Ehemannes bei diesem Verfahren.</w:t>
      </w:r>
    </w:p>
    <w:p w14:paraId="68CEE608" w14:textId="1E4FF013"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 adversative </w:t>
      </w:r>
      <w:r w:rsidR="00F133EC">
        <w:rPr>
          <w:rFonts w:eastAsia="Times New Roman" w:cs="Times New Roman"/>
          <w:lang w:eastAsia="de-DE"/>
        </w:rPr>
        <w:t>Construct</w:t>
      </w:r>
      <w:r w:rsidRPr="00F102FE">
        <w:rPr>
          <w:rFonts w:eastAsia="Times New Roman" w:cs="Times New Roman"/>
          <w:lang w:eastAsia="de-DE"/>
        </w:rPr>
        <w:t xml:space="preserve">ion </w:t>
      </w:r>
      <w:r w:rsidRPr="00F102FE">
        <w:rPr>
          <w:rFonts w:eastAsia="Times New Roman" w:cs="Times New Roman"/>
          <w:b/>
          <w:bCs/>
          <w:rtl/>
          <w:lang w:eastAsia="de-DE"/>
        </w:rPr>
        <w:t>וְהָאִשָּׁה הַהִוא</w:t>
      </w:r>
      <w:r w:rsidRPr="00F102FE">
        <w:rPr>
          <w:rFonts w:eastAsia="Times New Roman" w:cs="Times New Roman"/>
          <w:rtl/>
          <w:lang w:eastAsia="de-DE"/>
        </w:rPr>
        <w:t xml:space="preserve"> </w:t>
      </w:r>
      <w:r w:rsidRPr="00F102FE">
        <w:rPr>
          <w:rFonts w:eastAsia="Times New Roman" w:cs="Times New Roman"/>
          <w:lang w:eastAsia="de-DE"/>
        </w:rPr>
        <w:t xml:space="preserve">(jene Frau aber) mit dem demonstrativen </w:t>
      </w:r>
      <w:r w:rsidRPr="00F102FE">
        <w:rPr>
          <w:rFonts w:eastAsia="Times New Roman" w:cs="Times New Roman"/>
          <w:b/>
          <w:bCs/>
          <w:rtl/>
          <w:lang w:eastAsia="de-DE"/>
        </w:rPr>
        <w:t>הַהִוא</w:t>
      </w:r>
      <w:r w:rsidRPr="00F102FE">
        <w:rPr>
          <w:rFonts w:eastAsia="Times New Roman" w:cs="Times New Roman"/>
          <w:rtl/>
          <w:lang w:eastAsia="de-DE"/>
        </w:rPr>
        <w:t xml:space="preserve"> </w:t>
      </w:r>
      <w:r w:rsidRPr="00F102FE">
        <w:rPr>
          <w:rFonts w:eastAsia="Times New Roman" w:cs="Times New Roman"/>
          <w:lang w:eastAsia="de-DE"/>
        </w:rPr>
        <w:t>(jene) schafft einen starken Kontrast zur männlichen Straffreiheit.</w:t>
      </w:r>
    </w:p>
    <w:p w14:paraId="645BBF15"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Das Verb </w:t>
      </w:r>
      <w:r w:rsidRPr="00F102FE">
        <w:rPr>
          <w:rFonts w:eastAsia="Times New Roman" w:cs="Times New Roman"/>
          <w:b/>
          <w:bCs/>
          <w:rtl/>
          <w:lang w:eastAsia="de-DE"/>
        </w:rPr>
        <w:t>תִּשָּׂא אֶת־עֲוֹנָהּ</w:t>
      </w:r>
      <w:r w:rsidRPr="00F102FE">
        <w:rPr>
          <w:rFonts w:eastAsia="Times New Roman" w:cs="Times New Roman"/>
          <w:rtl/>
          <w:lang w:eastAsia="de-DE"/>
        </w:rPr>
        <w:t xml:space="preserve"> </w:t>
      </w:r>
      <w:r w:rsidRPr="00F102FE">
        <w:rPr>
          <w:rFonts w:eastAsia="Times New Roman" w:cs="Times New Roman"/>
          <w:lang w:eastAsia="de-DE"/>
        </w:rPr>
        <w:t xml:space="preserve">mit </w:t>
      </w:r>
      <w:r w:rsidRPr="00F102FE">
        <w:rPr>
          <w:rFonts w:eastAsia="Times New Roman" w:cs="Times New Roman"/>
          <w:b/>
          <w:bCs/>
          <w:rtl/>
          <w:lang w:eastAsia="de-DE"/>
        </w:rPr>
        <w:t>תִּשָּׂא</w:t>
      </w:r>
      <w:r w:rsidRPr="00F102FE">
        <w:rPr>
          <w:rFonts w:eastAsia="Times New Roman" w:cs="Times New Roman"/>
          <w:rtl/>
          <w:lang w:eastAsia="de-DE"/>
        </w:rPr>
        <w:t xml:space="preserve"> </w:t>
      </w:r>
      <w:r w:rsidRPr="00F102FE">
        <w:rPr>
          <w:rFonts w:eastAsia="Times New Roman" w:cs="Times New Roman"/>
          <w:lang w:eastAsia="de-DE"/>
        </w:rPr>
        <w:t xml:space="preserve">von </w:t>
      </w:r>
      <w:r w:rsidRPr="00F102FE">
        <w:rPr>
          <w:rFonts w:eastAsia="Times New Roman" w:cs="Times New Roman"/>
          <w:b/>
          <w:bCs/>
          <w:rtl/>
          <w:lang w:eastAsia="de-DE"/>
        </w:rPr>
        <w:t>נשא</w:t>
      </w:r>
      <w:r w:rsidRPr="00F102FE">
        <w:rPr>
          <w:rFonts w:eastAsia="Times New Roman" w:cs="Times New Roman"/>
          <w:rtl/>
          <w:lang w:eastAsia="de-DE"/>
        </w:rPr>
        <w:t xml:space="preserve"> </w:t>
      </w:r>
      <w:r w:rsidRPr="00F102FE">
        <w:rPr>
          <w:rFonts w:eastAsia="Times New Roman" w:cs="Times New Roman"/>
          <w:lang w:eastAsia="de-DE"/>
        </w:rPr>
        <w:t xml:space="preserve">(tragen) im Qal-Imperfekt 3. feminin Singular und </w:t>
      </w:r>
      <w:r w:rsidRPr="00F102FE">
        <w:rPr>
          <w:rFonts w:eastAsia="Times New Roman" w:cs="Times New Roman"/>
          <w:b/>
          <w:bCs/>
          <w:rtl/>
          <w:lang w:eastAsia="de-DE"/>
        </w:rPr>
        <w:t>עֲוֹנָהּ</w:t>
      </w:r>
      <w:r w:rsidRPr="00F102FE">
        <w:rPr>
          <w:rFonts w:eastAsia="Times New Roman" w:cs="Times New Roman"/>
          <w:rtl/>
          <w:lang w:eastAsia="de-DE"/>
        </w:rPr>
        <w:t xml:space="preserve"> </w:t>
      </w:r>
      <w:r w:rsidRPr="00F102FE">
        <w:rPr>
          <w:rFonts w:eastAsia="Times New Roman" w:cs="Times New Roman"/>
          <w:lang w:eastAsia="de-DE"/>
        </w:rPr>
        <w:t>(ihre Schuld) mit Possessivsuffix 3. feminin Singular zeigt die vollständige weibliche Verantwortung für die Konsequenzen.</w:t>
      </w:r>
    </w:p>
    <w:p w14:paraId="2EBE8456"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Dieser Schlussvers etabliert die geschlechtsspezifische Asymmetrie des Verfahrens: Der Mann trägt kein Risiko, die Frau trägt die volle Konsequenz unabhängig vom Ausgang.</w:t>
      </w:r>
    </w:p>
    <w:p w14:paraId="5DE7ACCF" w14:textId="651F94C5" w:rsidR="00F102FE" w:rsidRDefault="00F102FE" w:rsidP="00F102FE">
      <w:pPr>
        <w:spacing w:before="100" w:beforeAutospacing="1" w:after="100" w:afterAutospacing="1" w:line="240" w:lineRule="auto"/>
      </w:pPr>
      <w:r w:rsidRPr="00F102FE">
        <w:rPr>
          <w:rFonts w:eastAsia="Times New Roman" w:cs="Times New Roman"/>
          <w:b/>
          <w:bCs/>
          <w:lang w:eastAsia="de-DE"/>
        </w:rPr>
        <w:t>Die LXX</w:t>
      </w:r>
      <w:r w:rsidRPr="00F102FE">
        <w:rPr>
          <w:rFonts w:eastAsia="Times New Roman" w:cs="Times New Roman"/>
          <w:lang w:eastAsia="de-DE"/>
        </w:rPr>
        <w:t xml:space="preserve"> </w:t>
      </w:r>
      <w:r w:rsidR="00EC7F0D">
        <w:t xml:space="preserve">übersetzt καὶ ἀθῷος ἔσται ὁ ἄνθρωπος ἀπὸ ἁμαρτίας καὶ ἡ γυνὴ ἐκείνη λήμψεται τὴν ἁμαρτίαν αὐτῆς. Hier zeigt sich ein wichtiger theologischer Unterschied: Die LXX verwendet ἁμαρτία (Sünde) sowohl für </w:t>
      </w:r>
      <w:r w:rsidR="00EC7F0D" w:rsidRPr="00EC7F0D">
        <w:rPr>
          <w:b/>
          <w:bCs/>
          <w:rtl/>
        </w:rPr>
        <w:t>עָוֹן</w:t>
      </w:r>
      <w:r w:rsidR="00EC7F0D">
        <w:t xml:space="preserve"> (Schuld/Strafe) als auch für </w:t>
      </w:r>
      <w:r w:rsidR="00EC7F0D" w:rsidRPr="00EC7F0D">
        <w:rPr>
          <w:b/>
          <w:bCs/>
          <w:rtl/>
        </w:rPr>
        <w:t>עֲוֹנָהּ</w:t>
      </w:r>
      <w:r w:rsidR="00EC7F0D">
        <w:t xml:space="preserve"> (ihre Schuld), was das Konzept theologisiert. Das hebräische </w:t>
      </w:r>
      <w:r w:rsidR="00EC7F0D" w:rsidRPr="00EC7F0D">
        <w:rPr>
          <w:b/>
          <w:bCs/>
          <w:rtl/>
        </w:rPr>
        <w:t>עָוֹן</w:t>
      </w:r>
      <w:r w:rsidR="00EC7F0D">
        <w:t xml:space="preserve"> hat stärkere Konnotationen von Konsequenz und Bestrafung, während ἁμαρτία primär moralische Verfehlung bedeutet. Das Verb λήμψεται (sie wird nehmen/empfangen) für </w:t>
      </w:r>
      <w:r w:rsidR="00EC7F0D" w:rsidRPr="00EC7F0D">
        <w:rPr>
          <w:b/>
          <w:bCs/>
          <w:rtl/>
        </w:rPr>
        <w:t>תִּשָּׂא</w:t>
      </w:r>
      <w:r w:rsidR="00EC7F0D">
        <w:t xml:space="preserve"> (sie wird tragen) ist neutraler und weniger belastend als das hebräische "Tragen" der Schuld.</w:t>
      </w:r>
    </w:p>
    <w:p w14:paraId="1BDD6BAD" w14:textId="77777777"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Die Satzstruktur zeigt eine adversative Gegenüberstellung männlicher Straffreiheit und weiblicher Verantwortungsübernahme.</w:t>
      </w:r>
    </w:p>
    <w:p w14:paraId="18788399" w14:textId="339AE5ED" w:rsidR="00F102FE" w:rsidRPr="00F102FE" w:rsidRDefault="00F102FE" w:rsidP="00F102FE">
      <w:pPr>
        <w:spacing w:before="100" w:beforeAutospacing="1" w:after="100" w:afterAutospacing="1" w:line="240" w:lineRule="auto"/>
        <w:rPr>
          <w:rFonts w:eastAsia="Times New Roman" w:cs="Times New Roman"/>
          <w:lang w:eastAsia="de-DE"/>
        </w:rPr>
      </w:pPr>
      <w:r w:rsidRPr="00F102FE">
        <w:rPr>
          <w:rFonts w:eastAsia="Times New Roman" w:cs="Times New Roman"/>
          <w:lang w:eastAsia="de-DE"/>
        </w:rPr>
        <w:t xml:space="preserve">Dieser abschließende Vers des Kapitels etabliert die grundlegende </w:t>
      </w:r>
      <w:r w:rsidR="00EC7F0D">
        <w:rPr>
          <w:rFonts w:eastAsia="Times New Roman" w:cs="Times New Roman"/>
          <w:lang w:eastAsia="de-DE"/>
        </w:rPr>
        <w:t xml:space="preserve">Ungleichmäßigkeit </w:t>
      </w:r>
      <w:r w:rsidRPr="00F102FE">
        <w:rPr>
          <w:rFonts w:eastAsia="Times New Roman" w:cs="Times New Roman"/>
          <w:lang w:eastAsia="de-DE"/>
        </w:rPr>
        <w:t>des Eifersuchts</w:t>
      </w:r>
      <w:r w:rsidR="00EC7F0D">
        <w:rPr>
          <w:rFonts w:eastAsia="Times New Roman" w:cs="Times New Roman"/>
          <w:lang w:eastAsia="de-DE"/>
        </w:rPr>
        <w:t>urteils</w:t>
      </w:r>
      <w:r w:rsidRPr="00F102FE">
        <w:rPr>
          <w:rFonts w:eastAsia="Times New Roman" w:cs="Times New Roman"/>
          <w:lang w:eastAsia="de-DE"/>
        </w:rPr>
        <w:t xml:space="preserve">: Während der Mann von jeder Schuld befreit wird, trägt die Frau die volle Konsequenz ihrer Handlungen oder ihres Schicksals. Das Kapitel endet mit dieser </w:t>
      </w:r>
      <w:r w:rsidRPr="00F102FE">
        <w:rPr>
          <w:rFonts w:eastAsia="Times New Roman" w:cs="Times New Roman"/>
          <w:lang w:eastAsia="de-DE"/>
        </w:rPr>
        <w:lastRenderedPageBreak/>
        <w:t>bemerkenswerten rechtlichen Ungleichheit, die die patriarchalen Strukturen der altorientalischen Gesellschaft widerspiegelt.</w:t>
      </w:r>
    </w:p>
    <w:p w14:paraId="0BA10E15" w14:textId="65A60D29" w:rsidR="00EC7F0D" w:rsidRDefault="00EC7F0D" w:rsidP="00EC7F0D">
      <w:pPr>
        <w:spacing w:before="100" w:beforeAutospacing="1" w:after="100" w:afterAutospacing="1" w:line="240" w:lineRule="auto"/>
      </w:pPr>
      <w:r w:rsidRPr="00EC7F0D">
        <w:rPr>
          <w:b/>
          <w:bCs/>
        </w:rPr>
        <w:t>Textkritik:</w:t>
      </w:r>
      <w:r>
        <w:t xml:space="preserve"> Die LXX zeigt hier ihre Tendenz, die drastische Asymmetrie des hebräischen Textes durch neutralere Sprache zu mildern, behält aber die grundlegende geschlechtsspezifische Ungerechtigkeit des Verfahrens bei. Die hellenistische Adaption macht das Ritual rationaler und medizinischer, kann aber seine fundamentale Problematik nicht vollständig verschleiern.</w:t>
      </w:r>
    </w:p>
    <w:p w14:paraId="2E53D076" w14:textId="5A4CD1A2" w:rsidR="009C6F3B" w:rsidRPr="00F06C27" w:rsidRDefault="009C6F3B" w:rsidP="00F06C27">
      <w:pPr>
        <w:pStyle w:val="berschrift4"/>
      </w:pPr>
      <w:r w:rsidRPr="00F06C27">
        <w:t>Exkurs: Ethische und hermeneutische Reflexion</w:t>
      </w:r>
    </w:p>
    <w:p w14:paraId="5013237E" w14:textId="58B02332" w:rsidR="009C6F3B" w:rsidRDefault="009C6F3B" w:rsidP="00EC7F0D">
      <w:pPr>
        <w:spacing w:before="100" w:beforeAutospacing="1" w:after="100" w:afterAutospacing="1" w:line="240" w:lineRule="auto"/>
      </w:pPr>
      <w:r>
        <w:t xml:space="preserve">Das Eifersuchtsordal (Num 5,11-31) gehört zu den </w:t>
      </w:r>
      <w:r>
        <w:rPr>
          <w:rStyle w:val="Fett"/>
        </w:rPr>
        <w:t>ethisch problematischsten Texten</w:t>
      </w:r>
      <w:r>
        <w:t xml:space="preserve"> des Pentateuch und erfordert verantwortungsvolle Interpretation:</w:t>
      </w:r>
    </w:p>
    <w:p w14:paraId="78432913" w14:textId="5B8F13B4" w:rsidR="009C6F3B" w:rsidRPr="009C6F3B" w:rsidRDefault="009C6F3B" w:rsidP="00EC7F0D">
      <w:pPr>
        <w:spacing w:before="100" w:beforeAutospacing="1" w:after="100" w:afterAutospacing="1" w:line="240" w:lineRule="auto"/>
        <w:rPr>
          <w:b/>
          <w:bCs/>
        </w:rPr>
      </w:pPr>
      <w:r w:rsidRPr="009C6F3B">
        <w:rPr>
          <w:b/>
          <w:bCs/>
        </w:rPr>
        <w:t>1. Geschlechtsspezifische Asymmetrie</w:t>
      </w:r>
    </w:p>
    <w:tbl>
      <w:tblPr>
        <w:tblStyle w:val="Tabellenraster"/>
        <w:tblW w:w="5316" w:type="pct"/>
        <w:tblLook w:val="04A0" w:firstRow="1" w:lastRow="0" w:firstColumn="1" w:lastColumn="0" w:noHBand="0" w:noVBand="1"/>
      </w:tblPr>
      <w:tblGrid>
        <w:gridCol w:w="1283"/>
        <w:gridCol w:w="3395"/>
        <w:gridCol w:w="4957"/>
      </w:tblGrid>
      <w:tr w:rsidR="009C6F3B" w14:paraId="3062D156" w14:textId="77777777" w:rsidTr="009C6F3B">
        <w:tc>
          <w:tcPr>
            <w:tcW w:w="660" w:type="pct"/>
          </w:tcPr>
          <w:p w14:paraId="29C38F80" w14:textId="254DD827"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Aspekt</w:t>
            </w:r>
          </w:p>
        </w:tc>
        <w:tc>
          <w:tcPr>
            <w:tcW w:w="1765" w:type="pct"/>
          </w:tcPr>
          <w:p w14:paraId="4E64D799" w14:textId="6515135B"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Mann</w:t>
            </w:r>
          </w:p>
        </w:tc>
        <w:tc>
          <w:tcPr>
            <w:tcW w:w="2575" w:type="pct"/>
          </w:tcPr>
          <w:p w14:paraId="0DAFE7F8" w14:textId="53249484"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Frau</w:t>
            </w:r>
          </w:p>
        </w:tc>
      </w:tr>
      <w:tr w:rsidR="009C6F3B" w14:paraId="726F3A10" w14:textId="77777777" w:rsidTr="009C6F3B">
        <w:tc>
          <w:tcPr>
            <w:tcW w:w="660" w:type="pct"/>
          </w:tcPr>
          <w:p w14:paraId="5A05AB94" w14:textId="37B93B66" w:rsidR="009C6F3B" w:rsidRPr="007468AB" w:rsidRDefault="007468AB" w:rsidP="00EC7F0D">
            <w:pPr>
              <w:spacing w:before="100" w:beforeAutospacing="1" w:after="100" w:afterAutospacing="1" w:line="240" w:lineRule="auto"/>
              <w:rPr>
                <w:rFonts w:eastAsia="Times New Roman" w:cs="Times New Roman"/>
                <w:b/>
                <w:bCs/>
                <w:lang w:eastAsia="de-DE"/>
              </w:rPr>
            </w:pPr>
            <w:r w:rsidRPr="007468AB">
              <w:rPr>
                <w:rFonts w:eastAsia="Times New Roman" w:cs="Times New Roman"/>
                <w:b/>
                <w:bCs/>
                <w:lang w:eastAsia="de-DE"/>
              </w:rPr>
              <w:t>Anklage</w:t>
            </w:r>
          </w:p>
        </w:tc>
        <w:tc>
          <w:tcPr>
            <w:tcW w:w="1765" w:type="pct"/>
          </w:tcPr>
          <w:p w14:paraId="269436B7" w14:textId="50BC4F75"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Kann ohne Beweise anklagen</w:t>
            </w:r>
          </w:p>
        </w:tc>
        <w:tc>
          <w:tcPr>
            <w:tcW w:w="2575" w:type="pct"/>
          </w:tcPr>
          <w:p w14:paraId="1F03DE2D" w14:textId="69F36870"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Wird ohne Verteidigung angeklagt</w:t>
            </w:r>
          </w:p>
        </w:tc>
      </w:tr>
      <w:tr w:rsidR="009C6F3B" w14:paraId="2EE388A2" w14:textId="77777777" w:rsidTr="009C6F3B">
        <w:tc>
          <w:tcPr>
            <w:tcW w:w="660" w:type="pct"/>
          </w:tcPr>
          <w:p w14:paraId="30137039" w14:textId="5A229D17" w:rsidR="009C6F3B" w:rsidRPr="007468AB" w:rsidRDefault="007468AB" w:rsidP="00EC7F0D">
            <w:pPr>
              <w:spacing w:before="100" w:beforeAutospacing="1" w:after="100" w:afterAutospacing="1" w:line="240" w:lineRule="auto"/>
              <w:rPr>
                <w:rFonts w:eastAsia="Times New Roman" w:cs="Times New Roman"/>
                <w:b/>
                <w:bCs/>
                <w:lang w:eastAsia="de-DE"/>
              </w:rPr>
            </w:pPr>
            <w:r w:rsidRPr="007468AB">
              <w:rPr>
                <w:rFonts w:eastAsia="Times New Roman" w:cs="Times New Roman"/>
                <w:b/>
                <w:bCs/>
                <w:lang w:eastAsia="de-DE"/>
              </w:rPr>
              <w:t>Risiko</w:t>
            </w:r>
          </w:p>
        </w:tc>
        <w:tc>
          <w:tcPr>
            <w:tcW w:w="1765" w:type="pct"/>
          </w:tcPr>
          <w:p w14:paraId="74C510A6" w14:textId="46F4C002"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 xml:space="preserve">Keine (V. 31: </w:t>
            </w:r>
            <w:r w:rsidRPr="009C6F3B">
              <w:rPr>
                <w:rFonts w:ascii="Segoe UI" w:hAnsi="Segoe UI" w:cs="Segoe UI"/>
                <w:b/>
                <w:bCs/>
                <w:color w:val="141413"/>
                <w:sz w:val="21"/>
                <w:szCs w:val="21"/>
                <w:shd w:val="clear" w:color="auto" w:fill="FAF9F5"/>
                <w:rtl/>
              </w:rPr>
              <w:t>וְנִקָּה הָאִישׁ מֵעָוֹן</w:t>
            </w:r>
            <w:r>
              <w:rPr>
                <w:rFonts w:ascii="Segoe UI" w:hAnsi="Segoe UI" w:cs="Segoe UI"/>
                <w:color w:val="141413"/>
                <w:sz w:val="21"/>
                <w:szCs w:val="21"/>
                <w:shd w:val="clear" w:color="auto" w:fill="FAF9F5"/>
              </w:rPr>
              <w:t>)</w:t>
            </w:r>
          </w:p>
        </w:tc>
        <w:tc>
          <w:tcPr>
            <w:tcW w:w="2575" w:type="pct"/>
          </w:tcPr>
          <w:p w14:paraId="471C9742" w14:textId="6ABCB9F1"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Lebensgefahr bei Schuld</w:t>
            </w:r>
          </w:p>
        </w:tc>
      </w:tr>
      <w:tr w:rsidR="009C6F3B" w14:paraId="7D8A709F" w14:textId="77777777" w:rsidTr="009C6F3B">
        <w:tc>
          <w:tcPr>
            <w:tcW w:w="660" w:type="pct"/>
          </w:tcPr>
          <w:p w14:paraId="69FD7788" w14:textId="449AA156" w:rsidR="009C6F3B" w:rsidRPr="007468AB" w:rsidRDefault="007468AB" w:rsidP="00EC7F0D">
            <w:pPr>
              <w:spacing w:before="100" w:beforeAutospacing="1" w:after="100" w:afterAutospacing="1" w:line="240" w:lineRule="auto"/>
              <w:rPr>
                <w:rFonts w:eastAsia="Times New Roman" w:cs="Times New Roman"/>
                <w:b/>
                <w:bCs/>
                <w:lang w:eastAsia="de-DE"/>
              </w:rPr>
            </w:pPr>
            <w:r w:rsidRPr="007468AB">
              <w:rPr>
                <w:rFonts w:eastAsia="Times New Roman" w:cs="Times New Roman"/>
                <w:b/>
                <w:bCs/>
                <w:lang w:eastAsia="de-DE"/>
              </w:rPr>
              <w:t>Verfahren</w:t>
            </w:r>
          </w:p>
        </w:tc>
        <w:tc>
          <w:tcPr>
            <w:tcW w:w="1765" w:type="pct"/>
          </w:tcPr>
          <w:p w14:paraId="3BDF7D97" w14:textId="20E09038"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Kein Ordal für männliche Untreue</w:t>
            </w:r>
          </w:p>
        </w:tc>
        <w:tc>
          <w:tcPr>
            <w:tcW w:w="2575" w:type="pct"/>
          </w:tcPr>
          <w:p w14:paraId="07E1D3E3" w14:textId="1AFEB994"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rPr>
              <w:t>Nur bei vermuteter weiblicher Untreue</w:t>
            </w:r>
          </w:p>
        </w:tc>
      </w:tr>
      <w:tr w:rsidR="009C6F3B" w14:paraId="31F22751" w14:textId="77777777" w:rsidTr="009C6F3B">
        <w:tc>
          <w:tcPr>
            <w:tcW w:w="660" w:type="pct"/>
          </w:tcPr>
          <w:p w14:paraId="430F76B4" w14:textId="046EEADA" w:rsidR="009C6F3B" w:rsidRPr="007468AB" w:rsidRDefault="007468AB" w:rsidP="00EC7F0D">
            <w:pPr>
              <w:spacing w:before="100" w:beforeAutospacing="1" w:after="100" w:afterAutospacing="1" w:line="240" w:lineRule="auto"/>
              <w:rPr>
                <w:rFonts w:eastAsia="Times New Roman" w:cs="Times New Roman"/>
                <w:b/>
                <w:bCs/>
                <w:lang w:eastAsia="de-DE"/>
              </w:rPr>
            </w:pPr>
            <w:r w:rsidRPr="007468AB">
              <w:rPr>
                <w:rFonts w:eastAsia="Times New Roman" w:cs="Times New Roman"/>
                <w:b/>
                <w:bCs/>
                <w:lang w:eastAsia="de-DE"/>
              </w:rPr>
              <w:t>Ausgang</w:t>
            </w:r>
          </w:p>
        </w:tc>
        <w:tc>
          <w:tcPr>
            <w:tcW w:w="1765" w:type="pct"/>
          </w:tcPr>
          <w:p w14:paraId="4349A371" w14:textId="23363DE3" w:rsidR="009C6F3B" w:rsidRDefault="009C6F3B" w:rsidP="00EC7F0D">
            <w:pPr>
              <w:spacing w:before="100" w:beforeAutospacing="1" w:after="100" w:afterAutospacing="1" w:line="240" w:lineRule="auto"/>
              <w:rPr>
                <w:rFonts w:eastAsia="Times New Roman" w:cs="Times New Roman"/>
                <w:lang w:eastAsia="de-DE"/>
              </w:rPr>
            </w:pPr>
            <w:r>
              <w:rPr>
                <w:rFonts w:ascii="Segoe UI" w:hAnsi="Segoe UI" w:cs="Segoe UI"/>
                <w:color w:val="141413"/>
                <w:sz w:val="21"/>
                <w:szCs w:val="21"/>
                <w:shd w:val="clear" w:color="auto" w:fill="FAF9F5"/>
              </w:rPr>
              <w:t>Immer straffrei</w:t>
            </w:r>
          </w:p>
        </w:tc>
        <w:tc>
          <w:tcPr>
            <w:tcW w:w="2575" w:type="pct"/>
          </w:tcPr>
          <w:p w14:paraId="7B100DE6" w14:textId="55ADC818" w:rsidR="009C6F3B" w:rsidRPr="007468AB" w:rsidRDefault="007468AB" w:rsidP="007468AB">
            <w:pPr>
              <w:pStyle w:val="KeinLeerraum"/>
            </w:pPr>
            <w:r w:rsidRPr="009C6F3B">
              <w:t>Entweder stigmatisiert oder physisch geschädigt</w:t>
            </w:r>
          </w:p>
        </w:tc>
      </w:tr>
    </w:tbl>
    <w:p w14:paraId="71EF4A4E" w14:textId="07F43076" w:rsidR="009C6F3B" w:rsidRDefault="009C6F3B" w:rsidP="009C6F3B">
      <w:pPr>
        <w:pStyle w:val="whitespace-normal"/>
      </w:pPr>
      <w:r>
        <w:t xml:space="preserve">Die </w:t>
      </w:r>
      <w:r>
        <w:rPr>
          <w:rStyle w:val="Fett"/>
        </w:rPr>
        <w:t>radikale Ungleichheit</w:t>
      </w:r>
      <w:r>
        <w:t xml:space="preserve"> ist textimmanent und darf </w:t>
      </w:r>
      <w:r>
        <w:rPr>
          <w:rStyle w:val="Fett"/>
        </w:rPr>
        <w:t>nicht apologetisch harmonisiert</w:t>
      </w:r>
      <w:r>
        <w:t xml:space="preserve"> werden.</w:t>
      </w:r>
    </w:p>
    <w:p w14:paraId="04028940" w14:textId="77777777" w:rsidR="009C6F3B" w:rsidRPr="009C6F3B" w:rsidRDefault="009C6F3B" w:rsidP="009C6F3B">
      <w:pPr>
        <w:pStyle w:val="KeinLeerraum"/>
      </w:pPr>
      <w:r w:rsidRPr="009C6F3B">
        <w:rPr>
          <w:rStyle w:val="Fett"/>
          <w:rFonts w:cs="Times New Roman"/>
        </w:rPr>
        <w:t>2. Altorientalischer Kontext</w:t>
      </w:r>
    </w:p>
    <w:p w14:paraId="705819EA" w14:textId="77777777" w:rsidR="009C6F3B" w:rsidRDefault="009C6F3B" w:rsidP="009C6F3B">
      <w:pPr>
        <w:pStyle w:val="KeinLeerraum"/>
      </w:pPr>
      <w:r>
        <w:t xml:space="preserve">Das Ordal ist </w:t>
      </w:r>
      <w:r>
        <w:rPr>
          <w:rStyle w:val="Fett"/>
        </w:rPr>
        <w:t>kein israelitisches Unikat</w:t>
      </w:r>
      <w:r>
        <w:t>, sondern Teil altorientalischer Rechtspraxis:</w:t>
      </w:r>
    </w:p>
    <w:p w14:paraId="7EE712A6" w14:textId="77777777" w:rsidR="009C6F3B" w:rsidRDefault="009C6F3B" w:rsidP="009C6F3B">
      <w:pPr>
        <w:pStyle w:val="KeinLeerraum"/>
      </w:pPr>
      <w:r>
        <w:rPr>
          <w:rStyle w:val="Fett"/>
        </w:rPr>
        <w:t>Codex Hammurapi §132</w:t>
      </w:r>
      <w:r>
        <w:t>: Verdächtige Ehefrau muss "Flussordal" durchlaufen (Eintauchen in Fluss)</w:t>
      </w:r>
    </w:p>
    <w:p w14:paraId="01C37932" w14:textId="77777777" w:rsidR="009C6F3B" w:rsidRDefault="009C6F3B" w:rsidP="009C6F3B">
      <w:pPr>
        <w:pStyle w:val="KeinLeerraum"/>
      </w:pPr>
      <w:r>
        <w:rPr>
          <w:rStyle w:val="Fett"/>
        </w:rPr>
        <w:t>Mittelassyrische Gesetze §17-18</w:t>
      </w:r>
      <w:r>
        <w:t>: Ähnliche Ordalverfahren bei Ehebruchsverdacht</w:t>
      </w:r>
    </w:p>
    <w:p w14:paraId="430D35A0" w14:textId="77777777" w:rsidR="009C6F3B" w:rsidRDefault="009C6F3B" w:rsidP="009C6F3B">
      <w:pPr>
        <w:pStyle w:val="KeinLeerraum"/>
      </w:pPr>
      <w:r>
        <w:rPr>
          <w:rStyle w:val="Fett"/>
        </w:rPr>
        <w:t>Hethitische Texte</w:t>
      </w:r>
      <w:r>
        <w:t>: Schwurordale mit göttlichem Urteil</w:t>
      </w:r>
    </w:p>
    <w:p w14:paraId="6CCF1962" w14:textId="77777777" w:rsidR="009C6F3B" w:rsidRDefault="009C6F3B" w:rsidP="009C6F3B">
      <w:pPr>
        <w:pStyle w:val="KeinLeerraum"/>
      </w:pPr>
      <w:r>
        <w:rPr>
          <w:rStyle w:val="Fett"/>
        </w:rPr>
        <w:t>Unterschied zu Num 5:</w:t>
      </w:r>
      <w:r>
        <w:t xml:space="preserve"> Das biblische Ordal ist </w:t>
      </w:r>
      <w:r>
        <w:rPr>
          <w:rStyle w:val="Fett"/>
        </w:rPr>
        <w:t>nicht-invasiv</w:t>
      </w:r>
      <w:r>
        <w:t xml:space="preserve"> (Trinken statt Ertränken) und ermöglicht </w:t>
      </w:r>
      <w:r>
        <w:rPr>
          <w:rStyle w:val="Fett"/>
        </w:rPr>
        <w:t>Rehabilitation</w:t>
      </w:r>
      <w:r>
        <w:t xml:space="preserve"> unschuldiger Frauen (V. 28).</w:t>
      </w:r>
    </w:p>
    <w:p w14:paraId="600DC8C6" w14:textId="77777777" w:rsidR="009C6F3B" w:rsidRPr="009C6F3B" w:rsidRDefault="009C6F3B" w:rsidP="009C6F3B">
      <w:pPr>
        <w:pStyle w:val="KeinLeerraum"/>
      </w:pPr>
      <w:r w:rsidRPr="009C6F3B">
        <w:rPr>
          <w:rStyle w:val="Fett"/>
          <w:rFonts w:cs="Times New Roman"/>
          <w:i/>
          <w:iCs/>
        </w:rPr>
        <w:t>3. Hermeneutische Perspektiven</w:t>
      </w:r>
    </w:p>
    <w:p w14:paraId="0BDC3DA8" w14:textId="77777777" w:rsidR="009C6F3B" w:rsidRDefault="009C6F3B" w:rsidP="009C6F3B">
      <w:pPr>
        <w:pStyle w:val="KeinLeerraum"/>
      </w:pPr>
      <w:r>
        <w:rPr>
          <w:rStyle w:val="Fett"/>
        </w:rPr>
        <w:t>a) Deskriptiv-historisch:</w:t>
      </w:r>
      <w:r>
        <w:t xml:space="preserve"> Der Text </w:t>
      </w:r>
      <w:r>
        <w:rPr>
          <w:rStyle w:val="Fett"/>
        </w:rPr>
        <w:t>beschreibt</w:t>
      </w:r>
      <w:r>
        <w:t xml:space="preserve"> eine patriarchale Rechtspraxis, ohne sie notwendigerweise zu </w:t>
      </w:r>
      <w:r>
        <w:rPr>
          <w:rStyle w:val="Fett"/>
        </w:rPr>
        <w:t>präskribieren</w:t>
      </w:r>
      <w:r>
        <w:t xml:space="preserve"> (Ist ≠ Soll).</w:t>
      </w:r>
    </w:p>
    <w:p w14:paraId="1B3614D3" w14:textId="77777777" w:rsidR="009C6F3B" w:rsidRDefault="009C6F3B" w:rsidP="009C6F3B">
      <w:pPr>
        <w:pStyle w:val="KeinLeerraum"/>
      </w:pPr>
      <w:r>
        <w:rPr>
          <w:rStyle w:val="Fett"/>
        </w:rPr>
        <w:t>b) Kanonisch-theologisch:</w:t>
      </w:r>
      <w:r>
        <w:t xml:space="preserve"> Kein neutestamentlicher Text </w:t>
      </w:r>
      <w:r>
        <w:rPr>
          <w:rStyle w:val="Fett"/>
        </w:rPr>
        <w:t>bestätigt</w:t>
      </w:r>
      <w:r>
        <w:t xml:space="preserve"> oder </w:t>
      </w:r>
      <w:r>
        <w:rPr>
          <w:rStyle w:val="Fett"/>
        </w:rPr>
        <w:t>wiederholt</w:t>
      </w:r>
      <w:r>
        <w:t xml:space="preserve"> dieses Ritual. Die christliche Tradition hat es </w:t>
      </w:r>
      <w:r>
        <w:rPr>
          <w:rStyle w:val="Fett"/>
        </w:rPr>
        <w:t>nie praktiziert</w:t>
      </w:r>
      <w:r>
        <w:t>.</w:t>
      </w:r>
    </w:p>
    <w:p w14:paraId="04C99E60" w14:textId="77777777" w:rsidR="009C6F3B" w:rsidRDefault="009C6F3B" w:rsidP="009C6F3B">
      <w:pPr>
        <w:pStyle w:val="KeinLeerraum"/>
      </w:pPr>
      <w:r>
        <w:rPr>
          <w:rStyle w:val="Fett"/>
        </w:rPr>
        <w:t>c) Feministisch-kritisch:</w:t>
      </w:r>
      <w:r>
        <w:t xml:space="preserve"> Der Text dokumentiert </w:t>
      </w:r>
      <w:r>
        <w:rPr>
          <w:rStyle w:val="Fett"/>
        </w:rPr>
        <w:t>strukturelle Gewalt</w:t>
      </w:r>
      <w:r>
        <w:t xml:space="preserve"> gegen Frauen und muss als solche </w:t>
      </w:r>
      <w:r>
        <w:rPr>
          <w:rStyle w:val="Fett"/>
        </w:rPr>
        <w:t>benannt</w:t>
      </w:r>
      <w:r>
        <w:t xml:space="preserve"> werden (vgl. Phyllis Trible: "Texts of Terror").</w:t>
      </w:r>
    </w:p>
    <w:p w14:paraId="45CD736F" w14:textId="77777777" w:rsidR="009C6F3B" w:rsidRDefault="009C6F3B" w:rsidP="009C6F3B">
      <w:pPr>
        <w:pStyle w:val="KeinLeerraum"/>
      </w:pPr>
      <w:r>
        <w:rPr>
          <w:rStyle w:val="Fett"/>
        </w:rPr>
        <w:t>d) Rezeptionsgeschichtlich:</w:t>
      </w:r>
    </w:p>
    <w:p w14:paraId="75D249C1" w14:textId="77777777" w:rsidR="009C6F3B" w:rsidRDefault="009C6F3B" w:rsidP="009C6F3B">
      <w:pPr>
        <w:pStyle w:val="KeinLeerraum"/>
      </w:pPr>
      <w:r>
        <w:rPr>
          <w:rStyle w:val="Fett"/>
        </w:rPr>
        <w:t>Rabbinische Tradition</w:t>
      </w:r>
      <w:r>
        <w:t xml:space="preserve"> (m. Sotah): Detaillierte Ausarbeitung, aber faktisch </w:t>
      </w:r>
      <w:r>
        <w:rPr>
          <w:rStyle w:val="Fett"/>
        </w:rPr>
        <w:t>nicht mehr praktiziert</w:t>
      </w:r>
      <w:r>
        <w:t xml:space="preserve"> nach Zerstörung des Tempels (70 n.Chr.)</w:t>
      </w:r>
    </w:p>
    <w:p w14:paraId="1F64688D" w14:textId="77777777" w:rsidR="009C6F3B" w:rsidRDefault="009C6F3B" w:rsidP="009C6F3B">
      <w:pPr>
        <w:pStyle w:val="KeinLeerraum"/>
      </w:pPr>
      <w:r>
        <w:rPr>
          <w:rStyle w:val="Fett"/>
        </w:rPr>
        <w:t>Johannes 8,1-11</w:t>
      </w:r>
      <w:r>
        <w:t xml:space="preserve"> (Ehebrecherin): Jesus </w:t>
      </w:r>
      <w:r>
        <w:rPr>
          <w:rStyle w:val="Fett"/>
        </w:rPr>
        <w:t>dekonstruiert</w:t>
      </w:r>
      <w:r>
        <w:t xml:space="preserve"> die asymmetrische Sexualmoral ("Wer ohne Sünde ist...")</w:t>
      </w:r>
    </w:p>
    <w:p w14:paraId="6A0BB160" w14:textId="77777777" w:rsidR="009C6F3B" w:rsidRPr="009C6F3B" w:rsidRDefault="009C6F3B" w:rsidP="009C6F3B">
      <w:pPr>
        <w:pStyle w:val="berschrift4"/>
        <w:rPr>
          <w:rFonts w:ascii="Times New Roman" w:hAnsi="Times New Roman" w:cs="Times New Roman"/>
          <w:i w:val="0"/>
          <w:iCs w:val="0"/>
          <w:color w:val="auto"/>
        </w:rPr>
      </w:pPr>
      <w:r w:rsidRPr="009C6F3B">
        <w:rPr>
          <w:rStyle w:val="Fett"/>
          <w:rFonts w:ascii="Times New Roman" w:hAnsi="Times New Roman" w:cs="Times New Roman"/>
          <w:i w:val="0"/>
          <w:iCs w:val="0"/>
          <w:color w:val="auto"/>
        </w:rPr>
        <w:t>4. Theologische Einordnung</w:t>
      </w:r>
    </w:p>
    <w:p w14:paraId="5DA0AD01" w14:textId="77777777" w:rsidR="009C6F3B" w:rsidRDefault="009C6F3B" w:rsidP="009C6F3B">
      <w:pPr>
        <w:pStyle w:val="whitespace-normal"/>
      </w:pPr>
      <w:r>
        <w:rPr>
          <w:rStyle w:val="Fett"/>
        </w:rPr>
        <w:t>Positive Elemente</w:t>
      </w:r>
      <w:r>
        <w:t xml:space="preserve"> (relativ zum altorientalischen Kontext):</w:t>
      </w:r>
    </w:p>
    <w:p w14:paraId="7819E63D" w14:textId="77777777" w:rsidR="009C6F3B" w:rsidRDefault="009C6F3B" w:rsidP="00C15C06">
      <w:pPr>
        <w:pStyle w:val="whitespace-normal"/>
        <w:numPr>
          <w:ilvl w:val="0"/>
          <w:numId w:val="50"/>
        </w:numPr>
      </w:pPr>
      <w:r>
        <w:rPr>
          <w:rFonts w:ascii="Segoe UI Emoji" w:hAnsi="Segoe UI Emoji" w:cs="Segoe UI Emoji"/>
        </w:rPr>
        <w:lastRenderedPageBreak/>
        <w:t>✅</w:t>
      </w:r>
      <w:r>
        <w:t xml:space="preserve"> Vermeidet </w:t>
      </w:r>
      <w:r>
        <w:rPr>
          <w:rStyle w:val="Fett"/>
        </w:rPr>
        <w:t>Lynchjustiz</w:t>
      </w:r>
      <w:r>
        <w:t xml:space="preserve"> bei bloßem Verdacht</w:t>
      </w:r>
    </w:p>
    <w:p w14:paraId="14A29B10" w14:textId="77777777" w:rsidR="009C6F3B" w:rsidRDefault="009C6F3B" w:rsidP="00C15C06">
      <w:pPr>
        <w:pStyle w:val="whitespace-normal"/>
        <w:numPr>
          <w:ilvl w:val="0"/>
          <w:numId w:val="50"/>
        </w:numPr>
      </w:pPr>
      <w:r>
        <w:rPr>
          <w:rFonts w:ascii="Segoe UI Emoji" w:hAnsi="Segoe UI Emoji" w:cs="Segoe UI Emoji"/>
        </w:rPr>
        <w:t>✅</w:t>
      </w:r>
      <w:r>
        <w:t xml:space="preserve"> Ermöglicht </w:t>
      </w:r>
      <w:r>
        <w:rPr>
          <w:rStyle w:val="Fett"/>
        </w:rPr>
        <w:t>Rehabilitation</w:t>
      </w:r>
      <w:r>
        <w:t xml:space="preserve"> unschuldiger Frauen</w:t>
      </w:r>
    </w:p>
    <w:p w14:paraId="3D2373AE" w14:textId="77777777" w:rsidR="009C6F3B" w:rsidRDefault="009C6F3B" w:rsidP="00C15C06">
      <w:pPr>
        <w:pStyle w:val="whitespace-normal"/>
        <w:numPr>
          <w:ilvl w:val="0"/>
          <w:numId w:val="50"/>
        </w:numPr>
      </w:pPr>
      <w:r>
        <w:rPr>
          <w:rFonts w:ascii="Segoe UI Emoji" w:hAnsi="Segoe UI Emoji" w:cs="Segoe UI Emoji"/>
        </w:rPr>
        <w:t>✅</w:t>
      </w:r>
      <w:r>
        <w:t xml:space="preserve"> </w:t>
      </w:r>
      <w:r>
        <w:rPr>
          <w:rStyle w:val="Fett"/>
        </w:rPr>
        <w:t>Gottesurteil</w:t>
      </w:r>
      <w:r>
        <w:t xml:space="preserve"> statt männlicher Willkür</w:t>
      </w:r>
    </w:p>
    <w:p w14:paraId="14199CE6" w14:textId="77777777" w:rsidR="009C6F3B" w:rsidRDefault="009C6F3B" w:rsidP="009C6F3B">
      <w:pPr>
        <w:pStyle w:val="whitespace-normal"/>
      </w:pPr>
      <w:r>
        <w:rPr>
          <w:rStyle w:val="Fett"/>
        </w:rPr>
        <w:t>Problematische Elemente</w:t>
      </w:r>
      <w:r>
        <w:t xml:space="preserve"> (absolut):</w:t>
      </w:r>
    </w:p>
    <w:p w14:paraId="35A4F05B" w14:textId="77777777" w:rsidR="009C6F3B" w:rsidRDefault="009C6F3B" w:rsidP="00C15C06">
      <w:pPr>
        <w:pStyle w:val="whitespace-normal"/>
        <w:numPr>
          <w:ilvl w:val="0"/>
          <w:numId w:val="51"/>
        </w:numPr>
      </w:pPr>
      <w:r>
        <w:rPr>
          <w:rFonts w:ascii="Segoe UI Emoji" w:hAnsi="Segoe UI Emoji" w:cs="Segoe UI Emoji"/>
        </w:rPr>
        <w:t>❌</w:t>
      </w:r>
      <w:r>
        <w:t xml:space="preserve"> </w:t>
      </w:r>
      <w:r>
        <w:rPr>
          <w:rStyle w:val="Fett"/>
        </w:rPr>
        <w:t>Keine Reziprozität</w:t>
      </w:r>
      <w:r>
        <w:t>: Kein Ordal für männliche Untreue</w:t>
      </w:r>
    </w:p>
    <w:p w14:paraId="13A5B3DE" w14:textId="77777777" w:rsidR="009C6F3B" w:rsidRDefault="009C6F3B" w:rsidP="00C15C06">
      <w:pPr>
        <w:pStyle w:val="whitespace-normal"/>
        <w:numPr>
          <w:ilvl w:val="0"/>
          <w:numId w:val="51"/>
        </w:numPr>
      </w:pPr>
      <w:r>
        <w:rPr>
          <w:rFonts w:ascii="Segoe UI Emoji" w:hAnsi="Segoe UI Emoji" w:cs="Segoe UI Emoji"/>
        </w:rPr>
        <w:t>❌</w:t>
      </w:r>
      <w:r>
        <w:t xml:space="preserve"> </w:t>
      </w:r>
      <w:r>
        <w:rPr>
          <w:rStyle w:val="Fett"/>
        </w:rPr>
        <w:t>Patriarchale Kontrolle</w:t>
      </w:r>
      <w:r>
        <w:t>: Männliche Eifersucht genügt als Anklage</w:t>
      </w:r>
    </w:p>
    <w:p w14:paraId="56F21933" w14:textId="77777777" w:rsidR="009C6F3B" w:rsidRDefault="009C6F3B" w:rsidP="00C15C06">
      <w:pPr>
        <w:pStyle w:val="whitespace-normal"/>
        <w:numPr>
          <w:ilvl w:val="0"/>
          <w:numId w:val="51"/>
        </w:numPr>
      </w:pPr>
      <w:r>
        <w:rPr>
          <w:rFonts w:ascii="Segoe UI Emoji" w:hAnsi="Segoe UI Emoji" w:cs="Segoe UI Emoji"/>
        </w:rPr>
        <w:t>❌</w:t>
      </w:r>
      <w:r>
        <w:t xml:space="preserve"> </w:t>
      </w:r>
      <w:r>
        <w:rPr>
          <w:rStyle w:val="Fett"/>
        </w:rPr>
        <w:t>Körperliche Gewalt</w:t>
      </w:r>
      <w:r>
        <w:t>: Rituelle Demütigung (Entblößung, V. 18)</w:t>
      </w:r>
    </w:p>
    <w:p w14:paraId="20BD934B" w14:textId="77777777" w:rsidR="009C6F3B" w:rsidRPr="009C6F3B" w:rsidRDefault="009C6F3B" w:rsidP="009C6F3B">
      <w:pPr>
        <w:pStyle w:val="berschrift4"/>
        <w:rPr>
          <w:rFonts w:ascii="Times New Roman" w:hAnsi="Times New Roman" w:cs="Times New Roman"/>
          <w:i w:val="0"/>
          <w:iCs w:val="0"/>
        </w:rPr>
      </w:pPr>
      <w:r w:rsidRPr="009C6F3B">
        <w:rPr>
          <w:rStyle w:val="Fett"/>
          <w:rFonts w:ascii="Times New Roman" w:hAnsi="Times New Roman" w:cs="Times New Roman"/>
          <w:i w:val="0"/>
          <w:iCs w:val="0"/>
          <w:color w:val="auto"/>
        </w:rPr>
        <w:t>5. Methodischer Hinweis</w:t>
      </w:r>
    </w:p>
    <w:p w14:paraId="23C86EF4" w14:textId="77777777" w:rsidR="009C6F3B" w:rsidRDefault="009C6F3B" w:rsidP="009C6F3B">
      <w:pPr>
        <w:pStyle w:val="whitespace-normal"/>
      </w:pPr>
      <w:r>
        <w:t xml:space="preserve">Wissenschaftliche Exegese muss </w:t>
      </w:r>
      <w:r>
        <w:rPr>
          <w:rStyle w:val="Fett"/>
        </w:rPr>
        <w:t>drei Aufgaben</w:t>
      </w:r>
      <w:r>
        <w:t xml:space="preserve"> erfüllen:</w:t>
      </w:r>
    </w:p>
    <w:p w14:paraId="5B553DC9" w14:textId="77777777" w:rsidR="009C6F3B" w:rsidRDefault="009C6F3B" w:rsidP="00C15C06">
      <w:pPr>
        <w:pStyle w:val="whitespace-normal"/>
        <w:numPr>
          <w:ilvl w:val="0"/>
          <w:numId w:val="52"/>
        </w:numPr>
      </w:pPr>
      <w:r>
        <w:rPr>
          <w:rStyle w:val="Fett"/>
        </w:rPr>
        <w:t>Philologisch</w:t>
      </w:r>
      <w:r>
        <w:t>: Den Text präzise verstehen (Was sagt er?)</w:t>
      </w:r>
    </w:p>
    <w:p w14:paraId="70303C3B" w14:textId="77777777" w:rsidR="009C6F3B" w:rsidRDefault="009C6F3B" w:rsidP="00C15C06">
      <w:pPr>
        <w:pStyle w:val="whitespace-normal"/>
        <w:numPr>
          <w:ilvl w:val="0"/>
          <w:numId w:val="52"/>
        </w:numPr>
      </w:pPr>
      <w:r>
        <w:rPr>
          <w:rStyle w:val="Fett"/>
        </w:rPr>
        <w:t>Historisch</w:t>
      </w:r>
      <w:r>
        <w:t>: Den Kontext rekonstruieren (Warum sagt er es?)</w:t>
      </w:r>
    </w:p>
    <w:p w14:paraId="05839913" w14:textId="77777777" w:rsidR="009C6F3B" w:rsidRDefault="009C6F3B" w:rsidP="00C15C06">
      <w:pPr>
        <w:pStyle w:val="whitespace-normal"/>
        <w:numPr>
          <w:ilvl w:val="0"/>
          <w:numId w:val="52"/>
        </w:numPr>
      </w:pPr>
      <w:r>
        <w:rPr>
          <w:rStyle w:val="Fett"/>
        </w:rPr>
        <w:t>Ethisch</w:t>
      </w:r>
      <w:r>
        <w:t>: Die Problematik benennen (Darf er das sagen?)</w:t>
      </w:r>
    </w:p>
    <w:p w14:paraId="6C8193BA" w14:textId="73E5FF23" w:rsidR="009C6F3B" w:rsidRPr="00F102FE" w:rsidRDefault="009C6F3B" w:rsidP="009C6F3B">
      <w:pPr>
        <w:pStyle w:val="whitespace-normal"/>
      </w:pPr>
      <w:r>
        <w:rPr>
          <w:rStyle w:val="Fett"/>
        </w:rPr>
        <w:t>Apologetische Harmonisierungen</w:t>
      </w:r>
      <w:r>
        <w:t xml:space="preserve"> (z. B. "Es schützte Frauen vor Gewalt") verschleiern die </w:t>
      </w:r>
      <w:r>
        <w:rPr>
          <w:rStyle w:val="Fett"/>
        </w:rPr>
        <w:t>textimmanente Problematik</w:t>
      </w:r>
      <w:r>
        <w:t xml:space="preserve"> und sind methodisch unredlich.</w:t>
      </w:r>
    </w:p>
    <w:p w14:paraId="30528DF3" w14:textId="77777777" w:rsidR="00EC7F0D" w:rsidRPr="00EC7F0D" w:rsidRDefault="00EC7F0D" w:rsidP="00EC7F0D">
      <w:pPr>
        <w:spacing w:before="100" w:beforeAutospacing="1" w:after="100" w:afterAutospacing="1" w:line="240" w:lineRule="auto"/>
        <w:outlineLvl w:val="0"/>
        <w:rPr>
          <w:rFonts w:eastAsia="Times New Roman" w:cs="Times New Roman"/>
          <w:b/>
          <w:bCs/>
          <w:kern w:val="36"/>
          <w:sz w:val="48"/>
          <w:szCs w:val="48"/>
          <w:lang w:eastAsia="de-DE"/>
        </w:rPr>
      </w:pPr>
      <w:r w:rsidRPr="00EC7F0D">
        <w:rPr>
          <w:rFonts w:eastAsia="Times New Roman" w:cs="Times New Roman"/>
          <w:b/>
          <w:bCs/>
          <w:kern w:val="36"/>
          <w:sz w:val="48"/>
          <w:szCs w:val="48"/>
          <w:lang w:eastAsia="de-DE"/>
        </w:rPr>
        <w:t>Numeri 6,1</w:t>
      </w:r>
    </w:p>
    <w:p w14:paraId="6A1C6B48"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Hebräisch:</w:t>
      </w:r>
      <w:r w:rsidRPr="00EC7F0D">
        <w:rPr>
          <w:rFonts w:eastAsia="Times New Roman" w:cs="Times New Roman"/>
          <w:lang w:eastAsia="de-DE"/>
        </w:rPr>
        <w:t xml:space="preserve"> </w:t>
      </w:r>
      <w:r w:rsidRPr="00EC7F0D">
        <w:rPr>
          <w:rFonts w:eastAsia="Times New Roman" w:cs="Times New Roman"/>
          <w:rtl/>
          <w:lang w:eastAsia="de-DE"/>
        </w:rPr>
        <w:t>וַיְדַבֵּ֥ר יְהוָ֖ה אֶל־מֹשֶׁ֥ה לֵּאמֹֽר׃</w:t>
      </w:r>
    </w:p>
    <w:p w14:paraId="5F4C9859"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Deutsch:</w:t>
      </w:r>
      <w:r w:rsidRPr="00EC7F0D">
        <w:rPr>
          <w:rFonts w:eastAsia="Times New Roman" w:cs="Times New Roman"/>
          <w:lang w:eastAsia="de-DE"/>
        </w:rPr>
        <w:t xml:space="preserve"> Und der Ewige redete zu Mosche, sagend:</w:t>
      </w:r>
    </w:p>
    <w:p w14:paraId="187D7D74" w14:textId="77777777" w:rsidR="00EC7F0D" w:rsidRPr="00EC7F0D" w:rsidRDefault="00F329DD" w:rsidP="00EC7F0D">
      <w:pPr>
        <w:spacing w:after="0" w:line="240" w:lineRule="auto"/>
        <w:rPr>
          <w:rFonts w:eastAsia="Times New Roman" w:cs="Times New Roman"/>
          <w:lang w:eastAsia="de-DE"/>
        </w:rPr>
      </w:pPr>
      <w:r>
        <w:rPr>
          <w:rFonts w:eastAsia="Times New Roman" w:cs="Times New Roman"/>
          <w:noProof/>
          <w:lang w:eastAsia="de-DE"/>
        </w:rPr>
        <w:pict w14:anchorId="673328A5">
          <v:rect id="_x0000_i1244" style="width:0;height:1.5pt" o:hralign="center" o:hrstd="t" o:hr="t" fillcolor="#a0a0a0" stroked="f"/>
        </w:pict>
      </w:r>
    </w:p>
    <w:p w14:paraId="21428CEE"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Kommentar:</w:t>
      </w:r>
      <w:r w:rsidRPr="00EC7F0D">
        <w:rPr>
          <w:rFonts w:eastAsia="Times New Roman" w:cs="Times New Roman"/>
          <w:lang w:eastAsia="de-DE"/>
        </w:rPr>
        <w:t xml:space="preserve"> Das Verb </w:t>
      </w:r>
      <w:r w:rsidRPr="00EC7F0D">
        <w:rPr>
          <w:rFonts w:eastAsia="Times New Roman" w:cs="Times New Roman"/>
          <w:b/>
          <w:bCs/>
          <w:rtl/>
          <w:lang w:eastAsia="de-DE"/>
        </w:rPr>
        <w:t>וַיְדַבֵּר</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דבר</w:t>
      </w:r>
      <w:r w:rsidRPr="00EC7F0D">
        <w:rPr>
          <w:rFonts w:eastAsia="Times New Roman" w:cs="Times New Roman"/>
          <w:rtl/>
          <w:lang w:eastAsia="de-DE"/>
        </w:rPr>
        <w:t xml:space="preserve"> </w:t>
      </w:r>
      <w:r w:rsidRPr="00EC7F0D">
        <w:rPr>
          <w:rFonts w:eastAsia="Times New Roman" w:cs="Times New Roman"/>
          <w:lang w:eastAsia="de-DE"/>
        </w:rPr>
        <w:t xml:space="preserve">(reden/sprechen) im Qal-Imperfekt 3. maskulin Singular mit Waw consecutivum leitet ein neues Kapitel mit göttlichen Anweisungen ein. Das Subjekt </w:t>
      </w:r>
      <w:r w:rsidRPr="00EC7F0D">
        <w:rPr>
          <w:rFonts w:eastAsia="Times New Roman" w:cs="Times New Roman"/>
          <w:b/>
          <w:bCs/>
          <w:rtl/>
          <w:lang w:eastAsia="de-DE"/>
        </w:rPr>
        <w:t>יְהוָה</w:t>
      </w:r>
      <w:r w:rsidRPr="00EC7F0D">
        <w:rPr>
          <w:rFonts w:eastAsia="Times New Roman" w:cs="Times New Roman"/>
          <w:rtl/>
          <w:lang w:eastAsia="de-DE"/>
        </w:rPr>
        <w:t xml:space="preserve"> </w:t>
      </w:r>
      <w:r w:rsidRPr="00EC7F0D">
        <w:rPr>
          <w:rFonts w:eastAsia="Times New Roman" w:cs="Times New Roman"/>
          <w:lang w:eastAsia="de-DE"/>
        </w:rPr>
        <w:t xml:space="preserve">mit der präpositionalen Phrase </w:t>
      </w:r>
      <w:r w:rsidRPr="00EC7F0D">
        <w:rPr>
          <w:rFonts w:eastAsia="Times New Roman" w:cs="Times New Roman"/>
          <w:b/>
          <w:bCs/>
          <w:rtl/>
          <w:lang w:eastAsia="de-DE"/>
        </w:rPr>
        <w:t>אֶל־מֹשֶׁה</w:t>
      </w:r>
      <w:r w:rsidRPr="00EC7F0D">
        <w:rPr>
          <w:rFonts w:eastAsia="Times New Roman" w:cs="Times New Roman"/>
          <w:rtl/>
          <w:lang w:eastAsia="de-DE"/>
        </w:rPr>
        <w:t xml:space="preserve"> </w:t>
      </w:r>
      <w:r w:rsidRPr="00EC7F0D">
        <w:rPr>
          <w:rFonts w:eastAsia="Times New Roman" w:cs="Times New Roman"/>
          <w:lang w:eastAsia="de-DE"/>
        </w:rPr>
        <w:t>(zu Mosche) zeigt die direkte göttliche Kommunikation nur an Mose.</w:t>
      </w:r>
    </w:p>
    <w:p w14:paraId="11254C5F" w14:textId="224E2674"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Das abschließende </w:t>
      </w:r>
      <w:r w:rsidRPr="00EC7F0D">
        <w:rPr>
          <w:rFonts w:eastAsia="Times New Roman" w:cs="Times New Roman"/>
          <w:b/>
          <w:bCs/>
          <w:rtl/>
          <w:lang w:eastAsia="de-DE"/>
        </w:rPr>
        <w:t>לֵאמֹר</w:t>
      </w:r>
      <w:r w:rsidRPr="00EC7F0D">
        <w:rPr>
          <w:rFonts w:eastAsia="Times New Roman" w:cs="Times New Roman"/>
          <w:rtl/>
          <w:lang w:eastAsia="de-DE"/>
        </w:rPr>
        <w:t xml:space="preserve"> </w:t>
      </w:r>
      <w:r w:rsidRPr="00EC7F0D">
        <w:rPr>
          <w:rFonts w:eastAsia="Times New Roman" w:cs="Times New Roman"/>
          <w:lang w:eastAsia="de-DE"/>
        </w:rPr>
        <w:t>ist der Infinitiv-</w:t>
      </w:r>
      <w:r w:rsidR="00F133EC">
        <w:rPr>
          <w:rFonts w:eastAsia="Times New Roman" w:cs="Times New Roman"/>
          <w:lang w:eastAsia="de-DE"/>
        </w:rPr>
        <w:t>Construct</w:t>
      </w:r>
      <w:r w:rsidRPr="00EC7F0D">
        <w:rPr>
          <w:rFonts w:eastAsia="Times New Roman" w:cs="Times New Roman"/>
          <w:lang w:eastAsia="de-DE"/>
        </w:rPr>
        <w:t xml:space="preserve"> von </w:t>
      </w:r>
      <w:r w:rsidRPr="00EC7F0D">
        <w:rPr>
          <w:rFonts w:eastAsia="Times New Roman" w:cs="Times New Roman"/>
          <w:b/>
          <w:bCs/>
          <w:rtl/>
          <w:lang w:eastAsia="de-DE"/>
        </w:rPr>
        <w:t>אמר</w:t>
      </w:r>
      <w:r w:rsidRPr="00EC7F0D">
        <w:rPr>
          <w:rFonts w:eastAsia="Times New Roman" w:cs="Times New Roman"/>
          <w:rtl/>
          <w:lang w:eastAsia="de-DE"/>
        </w:rPr>
        <w:t xml:space="preserve"> </w:t>
      </w:r>
      <w:r w:rsidRPr="00EC7F0D">
        <w:rPr>
          <w:rFonts w:eastAsia="Times New Roman" w:cs="Times New Roman"/>
          <w:lang w:eastAsia="de-DE"/>
        </w:rPr>
        <w:t>(sagen) und fungiert als Redeeinleitung für die folgenden Bestimmungen zum Nasiräat.</w:t>
      </w:r>
    </w:p>
    <w:p w14:paraId="5EEF9E0B"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Die LXX</w:t>
      </w:r>
      <w:r w:rsidRPr="00EC7F0D">
        <w:rPr>
          <w:rFonts w:eastAsia="Times New Roman" w:cs="Times New Roman"/>
          <w:lang w:eastAsia="de-DE"/>
        </w:rPr>
        <w:t xml:space="preserve"> übersetzt καὶ ἐλάλησεν κύριος πρὸς Μωυσῆν λέγων und behält die Standardformel bei.</w:t>
      </w:r>
    </w:p>
    <w:p w14:paraId="298EFB6B"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 Satzstruktur zeigt die charakteristische Offenbarungsformel mit alleiniger Adressierung an Mose.</w:t>
      </w:r>
    </w:p>
    <w:p w14:paraId="6D4FEF2A"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Dieser Vers leitet Kapitel 6 ein, das sich mit dem Nasiräatsgelübde als besonderer Form religiöser Hingabe beschäftigt.</w:t>
      </w:r>
    </w:p>
    <w:p w14:paraId="2E972069" w14:textId="77777777" w:rsidR="00EC7F0D" w:rsidRPr="00EC7F0D" w:rsidRDefault="00EC7F0D" w:rsidP="00EC7F0D">
      <w:pPr>
        <w:spacing w:before="100" w:beforeAutospacing="1" w:after="100" w:afterAutospacing="1" w:line="240" w:lineRule="auto"/>
        <w:outlineLvl w:val="0"/>
        <w:rPr>
          <w:rFonts w:eastAsia="Times New Roman" w:cs="Times New Roman"/>
          <w:b/>
          <w:bCs/>
          <w:kern w:val="36"/>
          <w:sz w:val="48"/>
          <w:szCs w:val="48"/>
          <w:lang w:eastAsia="de-DE"/>
        </w:rPr>
      </w:pPr>
      <w:r w:rsidRPr="00EC7F0D">
        <w:rPr>
          <w:rFonts w:eastAsia="Times New Roman" w:cs="Times New Roman"/>
          <w:b/>
          <w:bCs/>
          <w:kern w:val="36"/>
          <w:sz w:val="48"/>
          <w:szCs w:val="48"/>
          <w:lang w:eastAsia="de-DE"/>
        </w:rPr>
        <w:t>Numeri 6,2</w:t>
      </w:r>
    </w:p>
    <w:p w14:paraId="76C32340"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lastRenderedPageBreak/>
        <w:t>Hebräisch:</w:t>
      </w:r>
      <w:r w:rsidRPr="00EC7F0D">
        <w:rPr>
          <w:rFonts w:eastAsia="Times New Roman" w:cs="Times New Roman"/>
          <w:lang w:eastAsia="de-DE"/>
        </w:rPr>
        <w:t xml:space="preserve"> </w:t>
      </w:r>
      <w:r w:rsidRPr="00EC7F0D">
        <w:rPr>
          <w:rFonts w:eastAsia="Times New Roman" w:cs="Times New Roman"/>
          <w:rtl/>
          <w:lang w:eastAsia="de-DE"/>
        </w:rPr>
        <w:t>דַּבֵּר֙ אֶל־בְּנֵ֣י יִשְׂרָאֵ֔ל וְאָמַרְתָּ֖ אֲלֵהֶ֑ם אִ֣ישׁ אֽוֹ־אִשָּׁ֗ה כִּ֤י יַפְלִא֙ לִנְדֹּר֙ נֶ֣דֶר נָזִ֔יר לְהַזִּ֖יר לַֽיהוָֽה׃</w:t>
      </w:r>
    </w:p>
    <w:p w14:paraId="372C368D"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Deutsch:</w:t>
      </w:r>
      <w:r w:rsidRPr="00EC7F0D">
        <w:rPr>
          <w:rFonts w:eastAsia="Times New Roman" w:cs="Times New Roman"/>
          <w:lang w:eastAsia="de-DE"/>
        </w:rPr>
        <w:t xml:space="preserve"> Rede zu den Söhnen Jisra'el und sage zu ihnen: Wenn ein Mann oder eine Frau sich absondert, das Gelübde eines Nasir abzulegen, um sich dem Ewigen zu weihen,</w:t>
      </w:r>
    </w:p>
    <w:p w14:paraId="36359311" w14:textId="77777777" w:rsidR="00EC7F0D" w:rsidRPr="00EC7F0D" w:rsidRDefault="00F329DD" w:rsidP="00EC7F0D">
      <w:pPr>
        <w:spacing w:after="0" w:line="240" w:lineRule="auto"/>
        <w:rPr>
          <w:rFonts w:eastAsia="Times New Roman" w:cs="Times New Roman"/>
          <w:lang w:eastAsia="de-DE"/>
        </w:rPr>
      </w:pPr>
      <w:r>
        <w:rPr>
          <w:rFonts w:eastAsia="Times New Roman" w:cs="Times New Roman"/>
          <w:noProof/>
          <w:lang w:eastAsia="de-DE"/>
        </w:rPr>
        <w:pict w14:anchorId="30AB2260">
          <v:rect id="_x0000_i1245" style="width:0;height:1.5pt" o:hralign="center" o:hrstd="t" o:hr="t" fillcolor="#a0a0a0" stroked="f"/>
        </w:pict>
      </w:r>
    </w:p>
    <w:p w14:paraId="4057D6D5"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Kommentar:</w:t>
      </w:r>
      <w:r w:rsidRPr="00EC7F0D">
        <w:rPr>
          <w:rFonts w:eastAsia="Times New Roman" w:cs="Times New Roman"/>
          <w:lang w:eastAsia="de-DE"/>
        </w:rPr>
        <w:t xml:space="preserve"> Das Verb </w:t>
      </w:r>
      <w:r w:rsidRPr="00EC7F0D">
        <w:rPr>
          <w:rFonts w:eastAsia="Times New Roman" w:cs="Times New Roman"/>
          <w:b/>
          <w:bCs/>
          <w:rtl/>
          <w:lang w:eastAsia="de-DE"/>
        </w:rPr>
        <w:t>דַּבֵּר</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דבר</w:t>
      </w:r>
      <w:r w:rsidRPr="00EC7F0D">
        <w:rPr>
          <w:rFonts w:eastAsia="Times New Roman" w:cs="Times New Roman"/>
          <w:rtl/>
          <w:lang w:eastAsia="de-DE"/>
        </w:rPr>
        <w:t xml:space="preserve"> </w:t>
      </w:r>
      <w:r w:rsidRPr="00EC7F0D">
        <w:rPr>
          <w:rFonts w:eastAsia="Times New Roman" w:cs="Times New Roman"/>
          <w:lang w:eastAsia="de-DE"/>
        </w:rPr>
        <w:t xml:space="preserve">(reden) im Pi'el-Imperativ maskulin Singular mit </w:t>
      </w:r>
      <w:r w:rsidRPr="00EC7F0D">
        <w:rPr>
          <w:rFonts w:eastAsia="Times New Roman" w:cs="Times New Roman"/>
          <w:b/>
          <w:bCs/>
          <w:rtl/>
          <w:lang w:eastAsia="de-DE"/>
        </w:rPr>
        <w:t>אֶל־בְּנֵי יִשְׂרָאֵל</w:t>
      </w:r>
      <w:r w:rsidRPr="00EC7F0D">
        <w:rPr>
          <w:rFonts w:eastAsia="Times New Roman" w:cs="Times New Roman"/>
          <w:rtl/>
          <w:lang w:eastAsia="de-DE"/>
        </w:rPr>
        <w:t xml:space="preserve"> </w:t>
      </w:r>
      <w:r w:rsidRPr="00EC7F0D">
        <w:rPr>
          <w:rFonts w:eastAsia="Times New Roman" w:cs="Times New Roman"/>
          <w:lang w:eastAsia="de-DE"/>
        </w:rPr>
        <w:t xml:space="preserve">zeigt die Verkündigungsanweisung. Das koordinierte Verb </w:t>
      </w:r>
      <w:r w:rsidRPr="00EC7F0D">
        <w:rPr>
          <w:rFonts w:eastAsia="Times New Roman" w:cs="Times New Roman"/>
          <w:b/>
          <w:bCs/>
          <w:rtl/>
          <w:lang w:eastAsia="de-DE"/>
        </w:rPr>
        <w:t>וְאָמַרְתָּ אֲלֵהֶם</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אָמַרְתָּ</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אמר</w:t>
      </w:r>
      <w:r w:rsidRPr="00EC7F0D">
        <w:rPr>
          <w:rFonts w:eastAsia="Times New Roman" w:cs="Times New Roman"/>
          <w:rtl/>
          <w:lang w:eastAsia="de-DE"/>
        </w:rPr>
        <w:t xml:space="preserve"> </w:t>
      </w:r>
      <w:r w:rsidRPr="00EC7F0D">
        <w:rPr>
          <w:rFonts w:eastAsia="Times New Roman" w:cs="Times New Roman"/>
          <w:lang w:eastAsia="de-DE"/>
        </w:rPr>
        <w:t>(sagen) im Qal-Perfekt 2. maskulin Singular verstärkt die Kommunikationsanweisung.</w:t>
      </w:r>
    </w:p>
    <w:p w14:paraId="04D97330"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universelle Formulierung </w:t>
      </w:r>
      <w:r w:rsidRPr="00EC7F0D">
        <w:rPr>
          <w:rFonts w:eastAsia="Times New Roman" w:cs="Times New Roman"/>
          <w:b/>
          <w:bCs/>
          <w:rtl/>
          <w:lang w:eastAsia="de-DE"/>
        </w:rPr>
        <w:t>אִישׁ אוֹ־אִשָּׁה</w:t>
      </w:r>
      <w:r w:rsidRPr="00EC7F0D">
        <w:rPr>
          <w:rFonts w:eastAsia="Times New Roman" w:cs="Times New Roman"/>
          <w:rtl/>
          <w:lang w:eastAsia="de-DE"/>
        </w:rPr>
        <w:t xml:space="preserve"> </w:t>
      </w:r>
      <w:r w:rsidRPr="00EC7F0D">
        <w:rPr>
          <w:rFonts w:eastAsia="Times New Roman" w:cs="Times New Roman"/>
          <w:lang w:eastAsia="de-DE"/>
        </w:rPr>
        <w:t>(Mann oder Frau) betont die geschlechtslose Zugänglichkeit des Nasiräatsgelübdes, im Gegensatz zu vielen anderen religiösen Ämtern.</w:t>
      </w:r>
    </w:p>
    <w:p w14:paraId="6A89A3BF" w14:textId="77777777" w:rsidR="009C6F3B" w:rsidRDefault="009C6F3B" w:rsidP="009C6F3B">
      <w:pPr>
        <w:pStyle w:val="whitespace-normal"/>
      </w:pPr>
      <w:r>
        <w:t xml:space="preserve">Die temporale Bedingung </w:t>
      </w:r>
      <w:r>
        <w:rPr>
          <w:rtl/>
        </w:rPr>
        <w:t>כִּי יַפְלִא לִנְדֹּר נֶדֶר נָזִיר</w:t>
      </w:r>
      <w:r>
        <w:t xml:space="preserve"> mit </w:t>
      </w:r>
      <w:r>
        <w:rPr>
          <w:rtl/>
        </w:rPr>
        <w:t>כִּי</w:t>
      </w:r>
      <w:r>
        <w:t xml:space="preserve"> (wenn), </w:t>
      </w:r>
      <w:r>
        <w:rPr>
          <w:rtl/>
        </w:rPr>
        <w:t>יַפְלִא</w:t>
      </w:r>
      <w:r>
        <w:t xml:space="preserve"> von </w:t>
      </w:r>
      <w:r>
        <w:rPr>
          <w:rtl/>
        </w:rPr>
        <w:t>פלא</w:t>
      </w:r>
      <w:r>
        <w:t xml:space="preserve"> (wunderbar/außergewöhnlich machen) im Hiph'il-Imperfekt 3. maskulin Singular zeigt die </w:t>
      </w:r>
      <w:r>
        <w:rPr>
          <w:rStyle w:val="Fett"/>
        </w:rPr>
        <w:t>besondere Natur</w:t>
      </w:r>
      <w:r>
        <w:t xml:space="preserve"> dieses Gelübdes. Das Hiph'il von </w:t>
      </w:r>
      <w:r>
        <w:rPr>
          <w:rtl/>
        </w:rPr>
        <w:t>פלא</w:t>
      </w:r>
      <w:r>
        <w:t xml:space="preserve"> bedeutet wörtlich </w:t>
      </w:r>
      <w:r>
        <w:rPr>
          <w:rStyle w:val="Fett"/>
        </w:rPr>
        <w:t>'etwas Außergewöhnliches tun/sich besonders verpflichten'</w:t>
      </w:r>
      <w:r>
        <w:t>. Mögliche Übersetzungen:</w:t>
      </w:r>
    </w:p>
    <w:p w14:paraId="3D5BBE63" w14:textId="77777777" w:rsidR="009C6F3B" w:rsidRDefault="009C6F3B" w:rsidP="00C15C06">
      <w:pPr>
        <w:pStyle w:val="whitespace-normal"/>
        <w:numPr>
          <w:ilvl w:val="0"/>
          <w:numId w:val="53"/>
        </w:numPr>
      </w:pPr>
      <w:r>
        <w:rPr>
          <w:rStyle w:val="Fett"/>
        </w:rPr>
        <w:t>'Sich besonders verpflichten'</w:t>
      </w:r>
      <w:r>
        <w:t xml:space="preserve"> (bevorzugt): Betonung der freiwilligen Selbstverpflichtung</w:t>
      </w:r>
    </w:p>
    <w:p w14:paraId="03A3BA4E" w14:textId="77777777" w:rsidR="009C6F3B" w:rsidRDefault="009C6F3B" w:rsidP="00C15C06">
      <w:pPr>
        <w:pStyle w:val="whitespace-normal"/>
        <w:numPr>
          <w:ilvl w:val="0"/>
          <w:numId w:val="53"/>
        </w:numPr>
      </w:pPr>
      <w:r>
        <w:rPr>
          <w:rStyle w:val="Fett"/>
        </w:rPr>
        <w:t>'Ein außergewöhnliches Gelübde tun'</w:t>
      </w:r>
      <w:r>
        <w:t>: Betonung der Sonderstellung des Nasiräats</w:t>
      </w:r>
    </w:p>
    <w:p w14:paraId="3B2EE9C0" w14:textId="77777777" w:rsidR="009C6F3B" w:rsidRDefault="009C6F3B" w:rsidP="00C15C06">
      <w:pPr>
        <w:pStyle w:val="whitespace-normal"/>
        <w:numPr>
          <w:ilvl w:val="0"/>
          <w:numId w:val="53"/>
        </w:numPr>
      </w:pPr>
      <w:r>
        <w:rPr>
          <w:rStyle w:val="Fett"/>
        </w:rPr>
        <w:t>'Sich absondern'</w:t>
      </w:r>
      <w:r>
        <w:t xml:space="preserve">: Funktionale Äquivalenz zur Bedeutung von </w:t>
      </w:r>
      <w:r>
        <w:rPr>
          <w:rtl/>
        </w:rPr>
        <w:t>נזר</w:t>
      </w:r>
    </w:p>
    <w:p w14:paraId="11CA330F" w14:textId="77777777" w:rsidR="009C6F3B" w:rsidRDefault="009C6F3B" w:rsidP="009C6F3B">
      <w:pPr>
        <w:pStyle w:val="whitespace-normal"/>
      </w:pPr>
      <w:r>
        <w:t xml:space="preserve">Die LXX übersetzt mit </w:t>
      </w:r>
      <w:r>
        <w:rPr>
          <w:rStyle w:val="Fett"/>
        </w:rPr>
        <w:t>μεγάλως εὔξηται</w:t>
      </w:r>
      <w:r>
        <w:t xml:space="preserve"> (großartig geloben), was die Außergewöhnlichkeit betont. Das Verb </w:t>
      </w:r>
      <w:r>
        <w:rPr>
          <w:rtl/>
        </w:rPr>
        <w:t>פלא</w:t>
      </w:r>
      <w:r>
        <w:t xml:space="preserve"> kennzeichnet das Nasiräat als </w:t>
      </w:r>
      <w:r>
        <w:rPr>
          <w:rStyle w:val="Fett"/>
        </w:rPr>
        <w:t>über die normale Frömmigkeit hinausgehende Hingabe</w:t>
      </w:r>
      <w:r>
        <w:t xml:space="preserve"> – vergleichbar mit dem 'heroischen Gelübde' im antiken Judentum (vgl. Josephus, Ant. 4.72-73).</w:t>
      </w:r>
    </w:p>
    <w:p w14:paraId="0A68673F" w14:textId="67C23442"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finale Bestimmung </w:t>
      </w:r>
      <w:r w:rsidRPr="00EC7F0D">
        <w:rPr>
          <w:rFonts w:eastAsia="Times New Roman" w:cs="Times New Roman"/>
          <w:b/>
          <w:bCs/>
          <w:rtl/>
          <w:lang w:eastAsia="de-DE"/>
        </w:rPr>
        <w:t>לְהַזִּיר לַיהוָה</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לְהַזִּיר</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נזר</w:t>
      </w:r>
      <w:r w:rsidRPr="00EC7F0D">
        <w:rPr>
          <w:rFonts w:eastAsia="Times New Roman" w:cs="Times New Roman"/>
          <w:rtl/>
          <w:lang w:eastAsia="de-DE"/>
        </w:rPr>
        <w:t xml:space="preserve"> </w:t>
      </w:r>
      <w:r w:rsidRPr="00EC7F0D">
        <w:rPr>
          <w:rFonts w:eastAsia="Times New Roman" w:cs="Times New Roman"/>
          <w:lang w:eastAsia="de-DE"/>
        </w:rPr>
        <w:t>(sich weihen/absondern) im Hiph'il-Infinitiv-</w:t>
      </w:r>
      <w:r w:rsidR="00F133EC">
        <w:rPr>
          <w:rFonts w:eastAsia="Times New Roman" w:cs="Times New Roman"/>
          <w:lang w:eastAsia="de-DE"/>
        </w:rPr>
        <w:t>Construct</w:t>
      </w:r>
      <w:r w:rsidRPr="00EC7F0D">
        <w:rPr>
          <w:rFonts w:eastAsia="Times New Roman" w:cs="Times New Roman"/>
          <w:lang w:eastAsia="de-DE"/>
        </w:rPr>
        <w:t xml:space="preserve"> und </w:t>
      </w:r>
      <w:r w:rsidRPr="00EC7F0D">
        <w:rPr>
          <w:rFonts w:eastAsia="Times New Roman" w:cs="Times New Roman"/>
          <w:b/>
          <w:bCs/>
          <w:rtl/>
          <w:lang w:eastAsia="de-DE"/>
        </w:rPr>
        <w:t>לַיהוָה</w:t>
      </w:r>
      <w:r w:rsidRPr="00EC7F0D">
        <w:rPr>
          <w:rFonts w:eastAsia="Times New Roman" w:cs="Times New Roman"/>
          <w:rtl/>
          <w:lang w:eastAsia="de-DE"/>
        </w:rPr>
        <w:t xml:space="preserve"> </w:t>
      </w:r>
      <w:r w:rsidRPr="00EC7F0D">
        <w:rPr>
          <w:rFonts w:eastAsia="Times New Roman" w:cs="Times New Roman"/>
          <w:lang w:eastAsia="de-DE"/>
        </w:rPr>
        <w:t>(dem Ewigen) zeigt den Zweck der Absonderung für Gott.</w:t>
      </w:r>
    </w:p>
    <w:p w14:paraId="08727721" w14:textId="77777777" w:rsidR="006B48FB" w:rsidRDefault="006B48FB" w:rsidP="00EC7F0D">
      <w:pPr>
        <w:spacing w:before="100" w:beforeAutospacing="1" w:after="100" w:afterAutospacing="1" w:line="240" w:lineRule="auto"/>
      </w:pPr>
      <w:r>
        <w:rPr>
          <w:rStyle w:val="Fett"/>
        </w:rPr>
        <w:t>Die LXX</w:t>
      </w:r>
      <w:r>
        <w:t xml:space="preserve"> übersetzt </w:t>
      </w:r>
      <w:r w:rsidRPr="006B48FB">
        <w:rPr>
          <w:b/>
          <w:bCs/>
          <w:rtl/>
        </w:rPr>
        <w:t>יפליא לנדר נדר נזיר</w:t>
      </w:r>
      <w:r>
        <w:t xml:space="preserve"> (yafli lindor neder nazir - "ein besonderes Gelübde ablegt, ein Nasiräatsgelübde") als μεγάλως εὔξηται εὐχὴν ἀφαγνίσασθαι ἁγνείαν (großartig ein Gelübde ablegt, sich zu weihen zur Reinheit). </w:t>
      </w:r>
      <w:r w:rsidRPr="006B48FB">
        <w:rPr>
          <w:b/>
          <w:bCs/>
          <w:rtl/>
        </w:rPr>
        <w:t>להזיר</w:t>
      </w:r>
      <w:r>
        <w:t xml:space="preserve"> (lehazzir - "sich zu weihen") wird als ἀφαγνίσασθαι (sich reinigen/heiligen) übersetzt, was die kultische Reinheit betont.</w:t>
      </w:r>
    </w:p>
    <w:p w14:paraId="523FEE73" w14:textId="76A08DF2"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 Satzstruktur zeigt eine doppelte Verkündigungsanweisung mit universeller Geschlechtsinklusion, konditionaler Einleitung und finaler Zweckbestimmung der göttlichen Weihe.</w:t>
      </w:r>
    </w:p>
    <w:p w14:paraId="79ABA1DE"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Dieser Vers etabliert das Nasiräat als freiwilliges, außergewöhnliches Gelübde, das sowohl Männern als auch Frauen offensteht und eine besondere Form der Gottesweihe darstellt.</w:t>
      </w:r>
    </w:p>
    <w:p w14:paraId="3745E004" w14:textId="77777777" w:rsidR="00EC7F0D" w:rsidRPr="00EC7F0D" w:rsidRDefault="00EC7F0D" w:rsidP="00EC7F0D">
      <w:pPr>
        <w:spacing w:before="100" w:beforeAutospacing="1" w:after="100" w:afterAutospacing="1" w:line="240" w:lineRule="auto"/>
        <w:outlineLvl w:val="0"/>
        <w:rPr>
          <w:rFonts w:eastAsia="Times New Roman" w:cs="Times New Roman"/>
          <w:b/>
          <w:bCs/>
          <w:kern w:val="36"/>
          <w:sz w:val="48"/>
          <w:szCs w:val="48"/>
          <w:lang w:eastAsia="de-DE"/>
        </w:rPr>
      </w:pPr>
      <w:r w:rsidRPr="00EC7F0D">
        <w:rPr>
          <w:rFonts w:eastAsia="Times New Roman" w:cs="Times New Roman"/>
          <w:b/>
          <w:bCs/>
          <w:kern w:val="36"/>
          <w:sz w:val="48"/>
          <w:szCs w:val="48"/>
          <w:lang w:eastAsia="de-DE"/>
        </w:rPr>
        <w:t>Numeri 6,3</w:t>
      </w:r>
    </w:p>
    <w:p w14:paraId="0EAFB95F"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Hebräisch:</w:t>
      </w:r>
      <w:r w:rsidRPr="00EC7F0D">
        <w:rPr>
          <w:rFonts w:eastAsia="Times New Roman" w:cs="Times New Roman"/>
          <w:lang w:eastAsia="de-DE"/>
        </w:rPr>
        <w:t xml:space="preserve"> </w:t>
      </w:r>
      <w:r w:rsidRPr="00EC7F0D">
        <w:rPr>
          <w:rFonts w:eastAsia="Times New Roman" w:cs="Times New Roman"/>
          <w:rtl/>
          <w:lang w:eastAsia="de-DE"/>
        </w:rPr>
        <w:t>מִיַּ֤יִן וְשֵׁכָר֙ יַזִּ֔יר חֹ֥מֶץ יַ֛יִן וְחֹ֥מֶץ שֵׁכָ֖ר לֹ֣א יִשְׁתֶּ֑ה וְכָל־מִשְׁרַ֤ת עֲנָבִים֙ לֹ֣א יִשְׁתֶּ֔ה וַעֲנָבִ֛ים לַחִ֥ים וִיבֵשִׁ֖ים לֹ֥א יֹאכֵֽל׃</w:t>
      </w:r>
    </w:p>
    <w:p w14:paraId="066722AB"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lastRenderedPageBreak/>
        <w:t>Deutsch:</w:t>
      </w:r>
      <w:r w:rsidRPr="00EC7F0D">
        <w:rPr>
          <w:rFonts w:eastAsia="Times New Roman" w:cs="Times New Roman"/>
          <w:lang w:eastAsia="de-DE"/>
        </w:rPr>
        <w:t xml:space="preserve"> so soll er sich des Weines und des Rauschtranks enthalten; Essig von Wein und Essig von Rauschtrank soll er nicht trinken; und keinerlei Traubensaft soll er trinken, und Trauben, frische oder getrocknete, soll er nicht essen.</w:t>
      </w:r>
    </w:p>
    <w:p w14:paraId="3DA9B397" w14:textId="77777777" w:rsidR="00EC7F0D" w:rsidRPr="00EC7F0D" w:rsidRDefault="00F329DD" w:rsidP="00EC7F0D">
      <w:pPr>
        <w:spacing w:after="0" w:line="240" w:lineRule="auto"/>
        <w:rPr>
          <w:rFonts w:eastAsia="Times New Roman" w:cs="Times New Roman"/>
          <w:lang w:eastAsia="de-DE"/>
        </w:rPr>
      </w:pPr>
      <w:r>
        <w:rPr>
          <w:rFonts w:eastAsia="Times New Roman" w:cs="Times New Roman"/>
          <w:noProof/>
          <w:lang w:eastAsia="de-DE"/>
        </w:rPr>
        <w:pict w14:anchorId="08E8EB26">
          <v:rect id="_x0000_i1246" style="width:0;height:1.5pt" o:hralign="center" o:hrstd="t" o:hr="t" fillcolor="#a0a0a0" stroked="f"/>
        </w:pict>
      </w:r>
    </w:p>
    <w:p w14:paraId="325B8DE9"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Kommentar:</w:t>
      </w:r>
      <w:r w:rsidRPr="00EC7F0D">
        <w:rPr>
          <w:rFonts w:eastAsia="Times New Roman" w:cs="Times New Roman"/>
          <w:lang w:eastAsia="de-DE"/>
        </w:rPr>
        <w:t xml:space="preserve"> Das Verb </w:t>
      </w:r>
      <w:r w:rsidRPr="00EC7F0D">
        <w:rPr>
          <w:rFonts w:eastAsia="Times New Roman" w:cs="Times New Roman"/>
          <w:b/>
          <w:bCs/>
          <w:rtl/>
          <w:lang w:eastAsia="de-DE"/>
        </w:rPr>
        <w:t>יַזִּיר</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נזר</w:t>
      </w:r>
      <w:r w:rsidRPr="00EC7F0D">
        <w:rPr>
          <w:rFonts w:eastAsia="Times New Roman" w:cs="Times New Roman"/>
          <w:rtl/>
          <w:lang w:eastAsia="de-DE"/>
        </w:rPr>
        <w:t xml:space="preserve"> </w:t>
      </w:r>
      <w:r w:rsidRPr="00EC7F0D">
        <w:rPr>
          <w:rFonts w:eastAsia="Times New Roman" w:cs="Times New Roman"/>
          <w:lang w:eastAsia="de-DE"/>
        </w:rPr>
        <w:t xml:space="preserve">(sich absondern/sich enthalten) im Hiph'il-Imperfekt 3. maskulin Singular zeigt die erste und grundlegendste Einschränkung des Nasiräats. Die koordinierte Aufzählung </w:t>
      </w:r>
      <w:r w:rsidRPr="00EC7F0D">
        <w:rPr>
          <w:rFonts w:eastAsia="Times New Roman" w:cs="Times New Roman"/>
          <w:b/>
          <w:bCs/>
          <w:rtl/>
          <w:lang w:eastAsia="de-DE"/>
        </w:rPr>
        <w:t>מִיַּיִן וְשֵׁכָר</w:t>
      </w:r>
      <w:r w:rsidRPr="00EC7F0D">
        <w:rPr>
          <w:rFonts w:eastAsia="Times New Roman" w:cs="Times New Roman"/>
          <w:rtl/>
          <w:lang w:eastAsia="de-DE"/>
        </w:rPr>
        <w:t xml:space="preserve"> </w:t>
      </w:r>
      <w:r w:rsidRPr="00EC7F0D">
        <w:rPr>
          <w:rFonts w:eastAsia="Times New Roman" w:cs="Times New Roman"/>
          <w:lang w:eastAsia="de-DE"/>
        </w:rPr>
        <w:t xml:space="preserve">(von Wein und Rauschtrank) mit </w:t>
      </w:r>
      <w:r w:rsidRPr="00EC7F0D">
        <w:rPr>
          <w:rFonts w:eastAsia="Times New Roman" w:cs="Times New Roman"/>
          <w:b/>
          <w:bCs/>
          <w:rtl/>
          <w:lang w:eastAsia="de-DE"/>
        </w:rPr>
        <w:t>יַיִן</w:t>
      </w:r>
      <w:r w:rsidRPr="00EC7F0D">
        <w:rPr>
          <w:rFonts w:eastAsia="Times New Roman" w:cs="Times New Roman"/>
          <w:rtl/>
          <w:lang w:eastAsia="de-DE"/>
        </w:rPr>
        <w:t xml:space="preserve"> </w:t>
      </w:r>
      <w:r w:rsidRPr="00EC7F0D">
        <w:rPr>
          <w:rFonts w:eastAsia="Times New Roman" w:cs="Times New Roman"/>
          <w:lang w:eastAsia="de-DE"/>
        </w:rPr>
        <w:t xml:space="preserve">(Wein) und </w:t>
      </w:r>
      <w:r w:rsidRPr="00EC7F0D">
        <w:rPr>
          <w:rFonts w:eastAsia="Times New Roman" w:cs="Times New Roman"/>
          <w:b/>
          <w:bCs/>
          <w:rtl/>
          <w:lang w:eastAsia="de-DE"/>
        </w:rPr>
        <w:t>שֵׁכָר</w:t>
      </w:r>
      <w:r w:rsidRPr="00EC7F0D">
        <w:rPr>
          <w:rFonts w:eastAsia="Times New Roman" w:cs="Times New Roman"/>
          <w:rtl/>
          <w:lang w:eastAsia="de-DE"/>
        </w:rPr>
        <w:t xml:space="preserve"> </w:t>
      </w:r>
      <w:r w:rsidRPr="00EC7F0D">
        <w:rPr>
          <w:rFonts w:eastAsia="Times New Roman" w:cs="Times New Roman"/>
          <w:lang w:eastAsia="de-DE"/>
        </w:rPr>
        <w:t>(berauschender Trunk/Bier) umfasst alle alkoholischen Getränke.</w:t>
      </w:r>
    </w:p>
    <w:p w14:paraId="7D5FE641" w14:textId="79248086"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erweiternde Bestimmung </w:t>
      </w:r>
      <w:r w:rsidRPr="00EC7F0D">
        <w:rPr>
          <w:rFonts w:eastAsia="Times New Roman" w:cs="Times New Roman"/>
          <w:b/>
          <w:bCs/>
          <w:rtl/>
          <w:lang w:eastAsia="de-DE"/>
        </w:rPr>
        <w:t>חֹמֶץ יַיִן וְחֹמֶץ שֵׁכָר לֹא יִשְׁתֶּה</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חֹמֶץ</w:t>
      </w:r>
      <w:r w:rsidRPr="00EC7F0D">
        <w:rPr>
          <w:rFonts w:eastAsia="Times New Roman" w:cs="Times New Roman"/>
          <w:rtl/>
          <w:lang w:eastAsia="de-DE"/>
        </w:rPr>
        <w:t xml:space="preserve"> </w:t>
      </w:r>
      <w:r w:rsidRPr="00EC7F0D">
        <w:rPr>
          <w:rFonts w:eastAsia="Times New Roman" w:cs="Times New Roman"/>
          <w:lang w:eastAsia="de-DE"/>
        </w:rPr>
        <w:t xml:space="preserve">(Essig) im </w:t>
      </w:r>
      <w:r w:rsidR="00F133EC">
        <w:rPr>
          <w:rFonts w:eastAsia="Times New Roman" w:cs="Times New Roman"/>
          <w:lang w:eastAsia="de-DE"/>
        </w:rPr>
        <w:t>Construct</w:t>
      </w:r>
      <w:r w:rsidRPr="00EC7F0D">
        <w:rPr>
          <w:rFonts w:eastAsia="Times New Roman" w:cs="Times New Roman"/>
          <w:lang w:eastAsia="de-DE"/>
        </w:rPr>
        <w:t xml:space="preserve"> und der Negation </w:t>
      </w:r>
      <w:r w:rsidRPr="00EC7F0D">
        <w:rPr>
          <w:rFonts w:eastAsia="Times New Roman" w:cs="Times New Roman"/>
          <w:b/>
          <w:bCs/>
          <w:rtl/>
          <w:lang w:eastAsia="de-DE"/>
        </w:rPr>
        <w:t>לֹא יִשְׁתֶּה</w:t>
      </w:r>
      <w:r w:rsidRPr="00EC7F0D">
        <w:rPr>
          <w:rFonts w:eastAsia="Times New Roman" w:cs="Times New Roman"/>
          <w:rtl/>
          <w:lang w:eastAsia="de-DE"/>
        </w:rPr>
        <w:t xml:space="preserve"> </w:t>
      </w:r>
      <w:r w:rsidRPr="00EC7F0D">
        <w:rPr>
          <w:rFonts w:eastAsia="Times New Roman" w:cs="Times New Roman"/>
          <w:lang w:eastAsia="de-DE"/>
        </w:rPr>
        <w:t xml:space="preserve">(er soll nicht trinken) von </w:t>
      </w:r>
      <w:r w:rsidRPr="00EC7F0D">
        <w:rPr>
          <w:rFonts w:eastAsia="Times New Roman" w:cs="Times New Roman"/>
          <w:b/>
          <w:bCs/>
          <w:rtl/>
          <w:lang w:eastAsia="de-DE"/>
        </w:rPr>
        <w:t>שתה</w:t>
      </w:r>
      <w:r w:rsidRPr="00EC7F0D">
        <w:rPr>
          <w:rFonts w:eastAsia="Times New Roman" w:cs="Times New Roman"/>
          <w:rtl/>
          <w:lang w:eastAsia="de-DE"/>
        </w:rPr>
        <w:t xml:space="preserve"> </w:t>
      </w:r>
      <w:r w:rsidRPr="00EC7F0D">
        <w:rPr>
          <w:rFonts w:eastAsia="Times New Roman" w:cs="Times New Roman"/>
          <w:lang w:eastAsia="de-DE"/>
        </w:rPr>
        <w:t>(trinken) schließt auch fermentierte Essigprodukte ein, die keinen Alkohol mehr enthalten.</w:t>
      </w:r>
    </w:p>
    <w:p w14:paraId="631137CF" w14:textId="6B935F0A"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weitere Ausdehnung </w:t>
      </w:r>
      <w:r w:rsidRPr="00EC7F0D">
        <w:rPr>
          <w:rFonts w:eastAsia="Times New Roman" w:cs="Times New Roman"/>
          <w:b/>
          <w:bCs/>
          <w:rtl/>
          <w:lang w:eastAsia="de-DE"/>
        </w:rPr>
        <w:t>וְכָל־מִשְׁרַת עֲנָבִים לֹא יִשְׁתֶּה</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מִשְׁרַת עֲנָבִים</w:t>
      </w:r>
      <w:r w:rsidRPr="00EC7F0D">
        <w:rPr>
          <w:rFonts w:eastAsia="Times New Roman" w:cs="Times New Roman"/>
          <w:rtl/>
          <w:lang w:eastAsia="de-DE"/>
        </w:rPr>
        <w:t xml:space="preserve"> </w:t>
      </w:r>
      <w:r w:rsidRPr="00EC7F0D">
        <w:rPr>
          <w:rFonts w:eastAsia="Times New Roman" w:cs="Times New Roman"/>
          <w:lang w:eastAsia="de-DE"/>
        </w:rPr>
        <w:t xml:space="preserve">(Getränk/Einweichung von Trauben) im </w:t>
      </w:r>
      <w:r w:rsidR="00F133EC">
        <w:rPr>
          <w:rFonts w:eastAsia="Times New Roman" w:cs="Times New Roman"/>
          <w:lang w:eastAsia="de-DE"/>
        </w:rPr>
        <w:t>Construct</w:t>
      </w:r>
      <w:r w:rsidRPr="00EC7F0D">
        <w:rPr>
          <w:rFonts w:eastAsia="Times New Roman" w:cs="Times New Roman"/>
          <w:lang w:eastAsia="de-DE"/>
        </w:rPr>
        <w:t xml:space="preserve"> verbietet sogar alkoholfreien Traubensaft.</w:t>
      </w:r>
    </w:p>
    <w:p w14:paraId="2696E521"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abschließende Bestimmung </w:t>
      </w:r>
      <w:r w:rsidRPr="00EC7F0D">
        <w:rPr>
          <w:rFonts w:eastAsia="Times New Roman" w:cs="Times New Roman"/>
          <w:b/>
          <w:bCs/>
          <w:rtl/>
          <w:lang w:eastAsia="de-DE"/>
        </w:rPr>
        <w:t>וַעֲנָבִים לַחִים וִיבֵשִׁים לֹא יֹאכֵל</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עֲנָבִים</w:t>
      </w:r>
      <w:r w:rsidRPr="00EC7F0D">
        <w:rPr>
          <w:rFonts w:eastAsia="Times New Roman" w:cs="Times New Roman"/>
          <w:rtl/>
          <w:lang w:eastAsia="de-DE"/>
        </w:rPr>
        <w:t xml:space="preserve"> </w:t>
      </w:r>
      <w:r w:rsidRPr="00EC7F0D">
        <w:rPr>
          <w:rFonts w:eastAsia="Times New Roman" w:cs="Times New Roman"/>
          <w:lang w:eastAsia="de-DE"/>
        </w:rPr>
        <w:t xml:space="preserve">(Trauben), </w:t>
      </w:r>
      <w:r w:rsidRPr="00EC7F0D">
        <w:rPr>
          <w:rFonts w:eastAsia="Times New Roman" w:cs="Times New Roman"/>
          <w:b/>
          <w:bCs/>
          <w:rtl/>
          <w:lang w:eastAsia="de-DE"/>
        </w:rPr>
        <w:t>לַחִים</w:t>
      </w:r>
      <w:r w:rsidRPr="00EC7F0D">
        <w:rPr>
          <w:rFonts w:eastAsia="Times New Roman" w:cs="Times New Roman"/>
          <w:rtl/>
          <w:lang w:eastAsia="de-DE"/>
        </w:rPr>
        <w:t xml:space="preserve"> </w:t>
      </w:r>
      <w:r w:rsidRPr="00EC7F0D">
        <w:rPr>
          <w:rFonts w:eastAsia="Times New Roman" w:cs="Times New Roman"/>
          <w:lang w:eastAsia="de-DE"/>
        </w:rPr>
        <w:t xml:space="preserve">(frische), </w:t>
      </w:r>
      <w:r w:rsidRPr="00EC7F0D">
        <w:rPr>
          <w:rFonts w:eastAsia="Times New Roman" w:cs="Times New Roman"/>
          <w:b/>
          <w:bCs/>
          <w:rtl/>
          <w:lang w:eastAsia="de-DE"/>
        </w:rPr>
        <w:t>יְבֵשִׁים</w:t>
      </w:r>
      <w:r w:rsidRPr="00EC7F0D">
        <w:rPr>
          <w:rFonts w:eastAsia="Times New Roman" w:cs="Times New Roman"/>
          <w:rtl/>
          <w:lang w:eastAsia="de-DE"/>
        </w:rPr>
        <w:t xml:space="preserve"> </w:t>
      </w:r>
      <w:r w:rsidRPr="00EC7F0D">
        <w:rPr>
          <w:rFonts w:eastAsia="Times New Roman" w:cs="Times New Roman"/>
          <w:lang w:eastAsia="de-DE"/>
        </w:rPr>
        <w:t xml:space="preserve">(getrocknete) und </w:t>
      </w:r>
      <w:r w:rsidRPr="00EC7F0D">
        <w:rPr>
          <w:rFonts w:eastAsia="Times New Roman" w:cs="Times New Roman"/>
          <w:b/>
          <w:bCs/>
          <w:rtl/>
          <w:lang w:eastAsia="de-DE"/>
        </w:rPr>
        <w:t>לֹא יֹאכֵל</w:t>
      </w:r>
      <w:r w:rsidRPr="00EC7F0D">
        <w:rPr>
          <w:rFonts w:eastAsia="Times New Roman" w:cs="Times New Roman"/>
          <w:rtl/>
          <w:lang w:eastAsia="de-DE"/>
        </w:rPr>
        <w:t xml:space="preserve"> </w:t>
      </w:r>
      <w:r w:rsidRPr="00EC7F0D">
        <w:rPr>
          <w:rFonts w:eastAsia="Times New Roman" w:cs="Times New Roman"/>
          <w:lang w:eastAsia="de-DE"/>
        </w:rPr>
        <w:t xml:space="preserve">(er soll nicht essen) von </w:t>
      </w:r>
      <w:r w:rsidRPr="00EC7F0D">
        <w:rPr>
          <w:rFonts w:eastAsia="Times New Roman" w:cs="Times New Roman"/>
          <w:b/>
          <w:bCs/>
          <w:rtl/>
          <w:lang w:eastAsia="de-DE"/>
        </w:rPr>
        <w:t>אכל</w:t>
      </w:r>
      <w:r w:rsidRPr="00EC7F0D">
        <w:rPr>
          <w:rFonts w:eastAsia="Times New Roman" w:cs="Times New Roman"/>
          <w:rtl/>
          <w:lang w:eastAsia="de-DE"/>
        </w:rPr>
        <w:t xml:space="preserve"> </w:t>
      </w:r>
      <w:r w:rsidRPr="00EC7F0D">
        <w:rPr>
          <w:rFonts w:eastAsia="Times New Roman" w:cs="Times New Roman"/>
          <w:lang w:eastAsia="de-DE"/>
        </w:rPr>
        <w:t>(essen) verbietet selbst den Verzehr von Trauben in jeder Form.</w:t>
      </w:r>
    </w:p>
    <w:p w14:paraId="5B8CC900" w14:textId="77777777" w:rsidR="006B48FB" w:rsidRDefault="006B48FB" w:rsidP="00EC7F0D">
      <w:pPr>
        <w:spacing w:before="100" w:beforeAutospacing="1" w:after="100" w:afterAutospacing="1" w:line="240" w:lineRule="auto"/>
      </w:pPr>
      <w:r>
        <w:rPr>
          <w:rStyle w:val="Fett"/>
        </w:rPr>
        <w:t>Die LXX</w:t>
      </w:r>
      <w:r>
        <w:t xml:space="preserve"> übersetzt </w:t>
      </w:r>
      <w:r>
        <w:rPr>
          <w:rtl/>
        </w:rPr>
        <w:t>שכר</w:t>
      </w:r>
      <w:r>
        <w:t xml:space="preserve"> (shechar - "berauschendes Getränk") als σίκερα (Sikera), eine Transliteration. </w:t>
      </w:r>
      <w:r>
        <w:rPr>
          <w:rtl/>
        </w:rPr>
        <w:t>מִשְׁרַת עֲנָבִים</w:t>
      </w:r>
      <w:r>
        <w:t xml:space="preserve"> (mishrat anavim - "Traubensaft/Getränk") wird als ὅσα κατεργάζεται ἐκ σταφυλῆς (alles, was aus Trauben hergestellt wird) übersetzt.</w:t>
      </w:r>
    </w:p>
    <w:p w14:paraId="216A588C" w14:textId="050CEA7F"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 Satzstruktur zeigt eine systematische Steigerung der Verbote: von alkoholischen Getränken über deren Derivate zu allen Traubenprodukten und schließlich zu den Trauben selbst.</w:t>
      </w:r>
    </w:p>
    <w:p w14:paraId="07D3ABCF"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Dieser Vers etabliert die umfassendste Nahrungseinschränkung des Nasiräats, die jeglichen Kontakt mit der Weinrebe und ihren Produkten verbietet.</w:t>
      </w:r>
    </w:p>
    <w:p w14:paraId="5E72D979" w14:textId="77777777" w:rsidR="00EC7F0D" w:rsidRPr="00EC7F0D" w:rsidRDefault="00EC7F0D" w:rsidP="00EC7F0D">
      <w:pPr>
        <w:spacing w:before="100" w:beforeAutospacing="1" w:after="100" w:afterAutospacing="1" w:line="240" w:lineRule="auto"/>
        <w:outlineLvl w:val="0"/>
        <w:rPr>
          <w:rFonts w:eastAsia="Times New Roman" w:cs="Times New Roman"/>
          <w:b/>
          <w:bCs/>
          <w:kern w:val="36"/>
          <w:sz w:val="48"/>
          <w:szCs w:val="48"/>
          <w:lang w:eastAsia="de-DE"/>
        </w:rPr>
      </w:pPr>
      <w:r w:rsidRPr="00EC7F0D">
        <w:rPr>
          <w:rFonts w:eastAsia="Times New Roman" w:cs="Times New Roman"/>
          <w:b/>
          <w:bCs/>
          <w:kern w:val="36"/>
          <w:sz w:val="48"/>
          <w:szCs w:val="48"/>
          <w:lang w:eastAsia="de-DE"/>
        </w:rPr>
        <w:t>Numeri 6,4</w:t>
      </w:r>
    </w:p>
    <w:p w14:paraId="770DD66A"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Hebräisch:</w:t>
      </w:r>
      <w:r w:rsidRPr="00EC7F0D">
        <w:rPr>
          <w:rFonts w:eastAsia="Times New Roman" w:cs="Times New Roman"/>
          <w:lang w:eastAsia="de-DE"/>
        </w:rPr>
        <w:t xml:space="preserve"> </w:t>
      </w:r>
      <w:r w:rsidRPr="00EC7F0D">
        <w:rPr>
          <w:rFonts w:eastAsia="Times New Roman" w:cs="Times New Roman"/>
          <w:rtl/>
          <w:lang w:eastAsia="de-DE"/>
        </w:rPr>
        <w:t>כֹּ֖ל יְמֵ֣י נִזְרֹ֑ו מִכֹּל֩ אֲשֶׁר֨ יֵעָשֶׂ֜ה מִגֶּ֣פֶן הַיַּ֗יִן מֵחַרְצַנִּ֛ים וְעַד־זָ֖ג לֹ֥א יֹאכֵֽל׃</w:t>
      </w:r>
    </w:p>
    <w:p w14:paraId="68E78A14"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Deutsch:</w:t>
      </w:r>
      <w:r w:rsidRPr="00EC7F0D">
        <w:rPr>
          <w:rFonts w:eastAsia="Times New Roman" w:cs="Times New Roman"/>
          <w:lang w:eastAsia="de-DE"/>
        </w:rPr>
        <w:t xml:space="preserve"> Alle Tage seiner Absonderung soll er von allem, was vom Weinstock bereitet wird, und zwar von den Kernen bis zur Hülse, nicht essen.</w:t>
      </w:r>
    </w:p>
    <w:p w14:paraId="15A91EEC" w14:textId="77777777" w:rsidR="00EC7F0D" w:rsidRPr="00EC7F0D" w:rsidRDefault="00F329DD" w:rsidP="00EC7F0D">
      <w:pPr>
        <w:spacing w:after="0" w:line="240" w:lineRule="auto"/>
        <w:rPr>
          <w:rFonts w:eastAsia="Times New Roman" w:cs="Times New Roman"/>
          <w:lang w:eastAsia="de-DE"/>
        </w:rPr>
      </w:pPr>
      <w:r>
        <w:rPr>
          <w:rFonts w:eastAsia="Times New Roman" w:cs="Times New Roman"/>
          <w:noProof/>
          <w:lang w:eastAsia="de-DE"/>
        </w:rPr>
        <w:pict w14:anchorId="6A91CB8C">
          <v:rect id="_x0000_i1247" style="width:0;height:1.5pt" o:hralign="center" o:hrstd="t" o:hr="t" fillcolor="#a0a0a0" stroked="f"/>
        </w:pict>
      </w:r>
    </w:p>
    <w:p w14:paraId="14140EAA"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Kommentar:</w:t>
      </w:r>
      <w:r w:rsidRPr="00EC7F0D">
        <w:rPr>
          <w:rFonts w:eastAsia="Times New Roman" w:cs="Times New Roman"/>
          <w:lang w:eastAsia="de-DE"/>
        </w:rPr>
        <w:t xml:space="preserve"> Die temporale Bestimmung </w:t>
      </w:r>
      <w:r w:rsidRPr="00EC7F0D">
        <w:rPr>
          <w:rFonts w:eastAsia="Times New Roman" w:cs="Times New Roman"/>
          <w:b/>
          <w:bCs/>
          <w:rtl/>
          <w:lang w:eastAsia="de-DE"/>
        </w:rPr>
        <w:t>כֹּל יְמֵי נִזְרוֹ</w:t>
      </w:r>
      <w:r w:rsidRPr="00EC7F0D">
        <w:rPr>
          <w:rFonts w:eastAsia="Times New Roman" w:cs="Times New Roman"/>
          <w:rtl/>
          <w:lang w:eastAsia="de-DE"/>
        </w:rPr>
        <w:t xml:space="preserve"> </w:t>
      </w:r>
      <w:r w:rsidRPr="00EC7F0D">
        <w:rPr>
          <w:rFonts w:eastAsia="Times New Roman" w:cs="Times New Roman"/>
          <w:lang w:eastAsia="de-DE"/>
        </w:rPr>
        <w:t xml:space="preserve">(alle Tage seiner Absonderung) mit </w:t>
      </w:r>
      <w:r w:rsidRPr="00EC7F0D">
        <w:rPr>
          <w:rFonts w:eastAsia="Times New Roman" w:cs="Times New Roman"/>
          <w:b/>
          <w:bCs/>
          <w:rtl/>
          <w:lang w:eastAsia="de-DE"/>
        </w:rPr>
        <w:t>כֹּל</w:t>
      </w:r>
      <w:r w:rsidRPr="00EC7F0D">
        <w:rPr>
          <w:rFonts w:eastAsia="Times New Roman" w:cs="Times New Roman"/>
          <w:rtl/>
          <w:lang w:eastAsia="de-DE"/>
        </w:rPr>
        <w:t xml:space="preserve"> </w:t>
      </w:r>
      <w:r w:rsidRPr="00EC7F0D">
        <w:rPr>
          <w:rFonts w:eastAsia="Times New Roman" w:cs="Times New Roman"/>
          <w:lang w:eastAsia="de-DE"/>
        </w:rPr>
        <w:t xml:space="preserve">(alle) und </w:t>
      </w:r>
      <w:r w:rsidRPr="00EC7F0D">
        <w:rPr>
          <w:rFonts w:eastAsia="Times New Roman" w:cs="Times New Roman"/>
          <w:b/>
          <w:bCs/>
          <w:rtl/>
          <w:lang w:eastAsia="de-DE"/>
        </w:rPr>
        <w:t>נִזְרוֹ</w:t>
      </w:r>
      <w:r w:rsidRPr="00EC7F0D">
        <w:rPr>
          <w:rFonts w:eastAsia="Times New Roman" w:cs="Times New Roman"/>
          <w:rtl/>
          <w:lang w:eastAsia="de-DE"/>
        </w:rPr>
        <w:t xml:space="preserve"> </w:t>
      </w:r>
      <w:r w:rsidRPr="00EC7F0D">
        <w:rPr>
          <w:rFonts w:eastAsia="Times New Roman" w:cs="Times New Roman"/>
          <w:lang w:eastAsia="de-DE"/>
        </w:rPr>
        <w:t xml:space="preserve">(seiner Absonderung) von </w:t>
      </w:r>
      <w:r w:rsidRPr="00EC7F0D">
        <w:rPr>
          <w:rFonts w:eastAsia="Times New Roman" w:cs="Times New Roman"/>
          <w:b/>
          <w:bCs/>
          <w:rtl/>
          <w:lang w:eastAsia="de-DE"/>
        </w:rPr>
        <w:t>נֵזֶר</w:t>
      </w:r>
      <w:r w:rsidRPr="00EC7F0D">
        <w:rPr>
          <w:rFonts w:eastAsia="Times New Roman" w:cs="Times New Roman"/>
          <w:rtl/>
          <w:lang w:eastAsia="de-DE"/>
        </w:rPr>
        <w:t xml:space="preserve"> </w:t>
      </w:r>
      <w:r w:rsidRPr="00EC7F0D">
        <w:rPr>
          <w:rFonts w:eastAsia="Times New Roman" w:cs="Times New Roman"/>
          <w:lang w:eastAsia="de-DE"/>
        </w:rPr>
        <w:t>(Absonderung/Weihe) mit Possessivsuffix 3. maskulin Singular betont die Dauer der Einschränkung.</w:t>
      </w:r>
    </w:p>
    <w:p w14:paraId="60835BCF" w14:textId="3B6B7A2E"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umfassende Formulierung </w:t>
      </w:r>
      <w:r w:rsidRPr="00EC7F0D">
        <w:rPr>
          <w:rFonts w:eastAsia="Times New Roman" w:cs="Times New Roman"/>
          <w:b/>
          <w:bCs/>
          <w:rtl/>
          <w:lang w:eastAsia="de-DE"/>
        </w:rPr>
        <w:t>מִכֹּל אֲשֶׁר יֵעָשֶׂה מִגֶּפֶן הַיַּיִן</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מִכֹּל</w:t>
      </w:r>
      <w:r w:rsidRPr="00EC7F0D">
        <w:rPr>
          <w:rFonts w:eastAsia="Times New Roman" w:cs="Times New Roman"/>
          <w:rtl/>
          <w:lang w:eastAsia="de-DE"/>
        </w:rPr>
        <w:t xml:space="preserve"> </w:t>
      </w:r>
      <w:r w:rsidRPr="00EC7F0D">
        <w:rPr>
          <w:rFonts w:eastAsia="Times New Roman" w:cs="Times New Roman"/>
          <w:lang w:eastAsia="de-DE"/>
        </w:rPr>
        <w:t xml:space="preserve">(von allem), </w:t>
      </w:r>
      <w:r w:rsidRPr="00EC7F0D">
        <w:rPr>
          <w:rFonts w:eastAsia="Times New Roman" w:cs="Times New Roman"/>
          <w:b/>
          <w:bCs/>
          <w:rtl/>
          <w:lang w:eastAsia="de-DE"/>
        </w:rPr>
        <w:t>אֲשֶׁר יֵעָשֶׂה</w:t>
      </w:r>
      <w:r w:rsidRPr="00EC7F0D">
        <w:rPr>
          <w:rFonts w:eastAsia="Times New Roman" w:cs="Times New Roman"/>
          <w:rtl/>
          <w:lang w:eastAsia="de-DE"/>
        </w:rPr>
        <w:t xml:space="preserve"> </w:t>
      </w:r>
      <w:r w:rsidRPr="00EC7F0D">
        <w:rPr>
          <w:rFonts w:eastAsia="Times New Roman" w:cs="Times New Roman"/>
          <w:lang w:eastAsia="de-DE"/>
        </w:rPr>
        <w:t xml:space="preserve">(was gemacht wird) im Niph'al-Imperfekt 3. maskulin Singular und </w:t>
      </w:r>
      <w:r w:rsidRPr="00EC7F0D">
        <w:rPr>
          <w:rFonts w:eastAsia="Times New Roman" w:cs="Times New Roman"/>
          <w:b/>
          <w:bCs/>
          <w:rtl/>
          <w:lang w:eastAsia="de-DE"/>
        </w:rPr>
        <w:t>מִגֶּפֶן הַיַּיִן</w:t>
      </w:r>
      <w:r w:rsidRPr="00EC7F0D">
        <w:rPr>
          <w:rFonts w:eastAsia="Times New Roman" w:cs="Times New Roman"/>
          <w:rtl/>
          <w:lang w:eastAsia="de-DE"/>
        </w:rPr>
        <w:t xml:space="preserve"> </w:t>
      </w:r>
      <w:r w:rsidRPr="00EC7F0D">
        <w:rPr>
          <w:rFonts w:eastAsia="Times New Roman" w:cs="Times New Roman"/>
          <w:lang w:eastAsia="de-DE"/>
        </w:rPr>
        <w:t xml:space="preserve">(vom Weinstock) im </w:t>
      </w:r>
      <w:r w:rsidR="00F133EC">
        <w:rPr>
          <w:rFonts w:eastAsia="Times New Roman" w:cs="Times New Roman"/>
          <w:lang w:eastAsia="de-DE"/>
        </w:rPr>
        <w:t>Construct</w:t>
      </w:r>
      <w:r w:rsidRPr="00EC7F0D">
        <w:rPr>
          <w:rFonts w:eastAsia="Times New Roman" w:cs="Times New Roman"/>
          <w:lang w:eastAsia="de-DE"/>
        </w:rPr>
        <w:t xml:space="preserve"> zeigt die vollständige Reichweite des Verbots.</w:t>
      </w:r>
    </w:p>
    <w:p w14:paraId="2A65FC0D"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lastRenderedPageBreak/>
        <w:t xml:space="preserve">Die spezifizierende Phrase </w:t>
      </w:r>
      <w:r w:rsidRPr="00EC7F0D">
        <w:rPr>
          <w:rFonts w:eastAsia="Times New Roman" w:cs="Times New Roman"/>
          <w:b/>
          <w:bCs/>
          <w:rtl/>
          <w:lang w:eastAsia="de-DE"/>
        </w:rPr>
        <w:t>מֵחַרְצַנִּים וְעַד־זָג</w:t>
      </w:r>
      <w:r w:rsidRPr="00EC7F0D">
        <w:rPr>
          <w:rFonts w:eastAsia="Times New Roman" w:cs="Times New Roman"/>
          <w:rtl/>
          <w:lang w:eastAsia="de-DE"/>
        </w:rPr>
        <w:t xml:space="preserve"> </w:t>
      </w:r>
      <w:r w:rsidRPr="00EC7F0D">
        <w:rPr>
          <w:rFonts w:eastAsia="Times New Roman" w:cs="Times New Roman"/>
          <w:lang w:eastAsia="de-DE"/>
        </w:rPr>
        <w:t xml:space="preserve">(von den Kernen bis zur Hülse) mit </w:t>
      </w:r>
      <w:r w:rsidRPr="00EC7F0D">
        <w:rPr>
          <w:rFonts w:eastAsia="Times New Roman" w:cs="Times New Roman"/>
          <w:b/>
          <w:bCs/>
          <w:rtl/>
          <w:lang w:eastAsia="de-DE"/>
        </w:rPr>
        <w:t>מֵחַרְצַנִּים</w:t>
      </w:r>
      <w:r w:rsidRPr="00EC7F0D">
        <w:rPr>
          <w:rFonts w:eastAsia="Times New Roman" w:cs="Times New Roman"/>
          <w:rtl/>
          <w:lang w:eastAsia="de-DE"/>
        </w:rPr>
        <w:t xml:space="preserve"> </w:t>
      </w:r>
      <w:r w:rsidRPr="00EC7F0D">
        <w:rPr>
          <w:rFonts w:eastAsia="Times New Roman" w:cs="Times New Roman"/>
          <w:lang w:eastAsia="de-DE"/>
        </w:rPr>
        <w:t xml:space="preserve">(von den Kernen) von </w:t>
      </w:r>
      <w:r w:rsidRPr="00EC7F0D">
        <w:rPr>
          <w:rFonts w:eastAsia="Times New Roman" w:cs="Times New Roman"/>
          <w:b/>
          <w:bCs/>
          <w:rtl/>
          <w:lang w:eastAsia="de-DE"/>
        </w:rPr>
        <w:t>חַרְצַן</w:t>
      </w:r>
      <w:r w:rsidRPr="00EC7F0D">
        <w:rPr>
          <w:rFonts w:eastAsia="Times New Roman" w:cs="Times New Roman"/>
          <w:rtl/>
          <w:lang w:eastAsia="de-DE"/>
        </w:rPr>
        <w:t xml:space="preserve"> </w:t>
      </w:r>
      <w:r w:rsidRPr="00EC7F0D">
        <w:rPr>
          <w:rFonts w:eastAsia="Times New Roman" w:cs="Times New Roman"/>
          <w:lang w:eastAsia="de-DE"/>
        </w:rPr>
        <w:t xml:space="preserve">(Kern/Stein) und </w:t>
      </w:r>
      <w:r w:rsidRPr="00EC7F0D">
        <w:rPr>
          <w:rFonts w:eastAsia="Times New Roman" w:cs="Times New Roman"/>
          <w:b/>
          <w:bCs/>
          <w:rtl/>
          <w:lang w:eastAsia="de-DE"/>
        </w:rPr>
        <w:t>זָג</w:t>
      </w:r>
      <w:r w:rsidRPr="00EC7F0D">
        <w:rPr>
          <w:rFonts w:eastAsia="Times New Roman" w:cs="Times New Roman"/>
          <w:rtl/>
          <w:lang w:eastAsia="de-DE"/>
        </w:rPr>
        <w:t xml:space="preserve"> </w:t>
      </w:r>
      <w:r w:rsidRPr="00EC7F0D">
        <w:rPr>
          <w:rFonts w:eastAsia="Times New Roman" w:cs="Times New Roman"/>
          <w:lang w:eastAsia="de-DE"/>
        </w:rPr>
        <w:t xml:space="preserve">(Hülse/Schale) mit </w:t>
      </w:r>
      <w:r w:rsidRPr="00EC7F0D">
        <w:rPr>
          <w:rFonts w:eastAsia="Times New Roman" w:cs="Times New Roman"/>
          <w:b/>
          <w:bCs/>
          <w:rtl/>
          <w:lang w:eastAsia="de-DE"/>
        </w:rPr>
        <w:t>עַד</w:t>
      </w:r>
      <w:r w:rsidRPr="00EC7F0D">
        <w:rPr>
          <w:rFonts w:eastAsia="Times New Roman" w:cs="Times New Roman"/>
          <w:rtl/>
          <w:lang w:eastAsia="de-DE"/>
        </w:rPr>
        <w:t xml:space="preserve"> </w:t>
      </w:r>
      <w:r w:rsidRPr="00EC7F0D">
        <w:rPr>
          <w:rFonts w:eastAsia="Times New Roman" w:cs="Times New Roman"/>
          <w:lang w:eastAsia="de-DE"/>
        </w:rPr>
        <w:t>(bis) zeigt die absolute Vollständigkeit: selbst die normalerweise nicht essbaren Teile der Traube sind verboten.</w:t>
      </w:r>
    </w:p>
    <w:p w14:paraId="25834F1F"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Die LXX</w:t>
      </w:r>
      <w:r w:rsidRPr="00EC7F0D">
        <w:rPr>
          <w:rFonts w:eastAsia="Times New Roman" w:cs="Times New Roman"/>
          <w:lang w:eastAsia="de-DE"/>
        </w:rPr>
        <w:t xml:space="preserve"> übersetzt </w:t>
      </w:r>
      <w:r w:rsidRPr="006B48FB">
        <w:rPr>
          <w:rFonts w:eastAsia="Times New Roman" w:cs="Times New Roman"/>
          <w:b/>
          <w:bCs/>
          <w:rtl/>
          <w:lang w:eastAsia="de-DE"/>
        </w:rPr>
        <w:t>זָג</w:t>
      </w:r>
      <w:r w:rsidRPr="00EC7F0D">
        <w:rPr>
          <w:rFonts w:eastAsia="Times New Roman" w:cs="Times New Roman"/>
          <w:lang w:eastAsia="de-DE"/>
        </w:rPr>
        <w:t xml:space="preserve"> mit ἕως γιγάρτου (bis zum Kern), was eine andere Reihenfolge zeigt als das Hebräische und möglicherweise ein anderes Verständnis der Traubenteile reflektiert. Die Septuaginta betont stärker den Aspekt der Verarbeitung (κατεργάζεται) gegenüber dem hebräischen </w:t>
      </w:r>
      <w:r w:rsidRPr="006B48FB">
        <w:rPr>
          <w:rFonts w:eastAsia="Times New Roman" w:cs="Times New Roman"/>
          <w:b/>
          <w:bCs/>
          <w:rtl/>
          <w:lang w:eastAsia="de-DE"/>
        </w:rPr>
        <w:t>יֵעָשֶׂה</w:t>
      </w:r>
      <w:r w:rsidRPr="00EC7F0D">
        <w:rPr>
          <w:rFonts w:eastAsia="Times New Roman" w:cs="Times New Roman"/>
          <w:lang w:eastAsia="de-DE"/>
        </w:rPr>
        <w:t>.</w:t>
      </w:r>
    </w:p>
    <w:p w14:paraId="397F2E48"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 Satzstruktur zeigt eine temporale Einleitung mit einer umfassenden negativen Bestimmung, die durch eine spezifizierende Phrase von Teil zu Teil absolute Vollständigkeit etabliert.</w:t>
      </w:r>
    </w:p>
    <w:p w14:paraId="5F1F47B6" w14:textId="49D4B961" w:rsid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Dieser Vers verstärkt und präzisiert das Traubenverbot durch die Formel "von den Kernen bis zur Hülse", die sprichwörtlich absolute Vollständigkeit ausdrückt.</w:t>
      </w:r>
    </w:p>
    <w:p w14:paraId="2A3C5CBA" w14:textId="5490ADF7" w:rsidR="007C0E82" w:rsidRDefault="007C0E82" w:rsidP="00F06C27">
      <w:pPr>
        <w:pStyle w:val="berschrift4"/>
        <w:rPr>
          <w:rStyle w:val="Fett"/>
          <w:rFonts w:ascii="Times New Roman" w:hAnsi="Times New Roman" w:cs="Times New Roman"/>
        </w:rPr>
      </w:pPr>
      <w:r w:rsidRPr="007C0E82">
        <w:rPr>
          <w:rStyle w:val="Fett"/>
          <w:rFonts w:ascii="Times New Roman" w:hAnsi="Times New Roman" w:cs="Times New Roman"/>
        </w:rPr>
        <w:t>Exkurs: Steigerungslogik des Traubenverbots (V. 3-4)</w:t>
      </w:r>
    </w:p>
    <w:p w14:paraId="4D6EB811" w14:textId="77777777" w:rsidR="007C0E82" w:rsidRPr="007C0E82" w:rsidRDefault="007C0E82" w:rsidP="007C0E82"/>
    <w:tbl>
      <w:tblPr>
        <w:tblStyle w:val="Tabellenraster"/>
        <w:tblW w:w="5238" w:type="pct"/>
        <w:tblLook w:val="04A0" w:firstRow="1" w:lastRow="0" w:firstColumn="1" w:lastColumn="0" w:noHBand="0" w:noVBand="1"/>
      </w:tblPr>
      <w:tblGrid>
        <w:gridCol w:w="737"/>
        <w:gridCol w:w="2182"/>
        <w:gridCol w:w="1371"/>
        <w:gridCol w:w="1077"/>
        <w:gridCol w:w="4126"/>
      </w:tblGrid>
      <w:tr w:rsidR="007C0E82" w14:paraId="51F4F690" w14:textId="77777777" w:rsidTr="007C0E82">
        <w:tc>
          <w:tcPr>
            <w:tcW w:w="388" w:type="pct"/>
          </w:tcPr>
          <w:p w14:paraId="489CDC99" w14:textId="5EB081A2" w:rsidR="007C0E82" w:rsidRPr="007C0E82" w:rsidRDefault="007C0E82" w:rsidP="007C0E82">
            <w:pPr>
              <w:rPr>
                <w:b/>
                <w:bCs/>
              </w:rPr>
            </w:pPr>
            <w:r w:rsidRPr="007C0E82">
              <w:rPr>
                <w:rFonts w:ascii="Segoe UI" w:hAnsi="Segoe UI" w:cs="Segoe UI"/>
                <w:b/>
                <w:bCs/>
                <w:color w:val="141413"/>
                <w:sz w:val="21"/>
                <w:szCs w:val="21"/>
                <w:shd w:val="clear" w:color="auto" w:fill="FAF9F5"/>
              </w:rPr>
              <w:t>Stufe</w:t>
            </w:r>
          </w:p>
        </w:tc>
        <w:tc>
          <w:tcPr>
            <w:tcW w:w="1150" w:type="pct"/>
          </w:tcPr>
          <w:p w14:paraId="44C7C508" w14:textId="7E7478A9" w:rsidR="007C0E82" w:rsidRDefault="007C0E82" w:rsidP="007C0E82">
            <w:r>
              <w:rPr>
                <w:rFonts w:ascii="Segoe UI" w:hAnsi="Segoe UI" w:cs="Segoe UI"/>
                <w:b/>
                <w:bCs/>
                <w:color w:val="141413"/>
                <w:sz w:val="21"/>
                <w:szCs w:val="21"/>
                <w:shd w:val="clear" w:color="auto" w:fill="FAF9F5"/>
              </w:rPr>
              <w:t>Verbotenes Produkt</w:t>
            </w:r>
          </w:p>
        </w:tc>
        <w:tc>
          <w:tcPr>
            <w:tcW w:w="722" w:type="pct"/>
          </w:tcPr>
          <w:p w14:paraId="3EDE9727" w14:textId="4A9EDDDE" w:rsidR="007C0E82" w:rsidRDefault="007C0E82" w:rsidP="007C0E82">
            <w:r>
              <w:rPr>
                <w:rFonts w:ascii="Segoe UI" w:hAnsi="Segoe UI" w:cs="Segoe UI"/>
                <w:b/>
                <w:bCs/>
                <w:color w:val="141413"/>
                <w:sz w:val="21"/>
                <w:szCs w:val="21"/>
                <w:shd w:val="clear" w:color="auto" w:fill="FAF9F5"/>
              </w:rPr>
              <w:t>Hebräisch</w:t>
            </w:r>
          </w:p>
        </w:tc>
        <w:tc>
          <w:tcPr>
            <w:tcW w:w="567" w:type="pct"/>
          </w:tcPr>
          <w:p w14:paraId="7C598570" w14:textId="6E43934A" w:rsidR="007C0E82" w:rsidRDefault="007C0E82" w:rsidP="007C0E82">
            <w:r>
              <w:rPr>
                <w:rFonts w:ascii="Segoe UI" w:hAnsi="Segoe UI" w:cs="Segoe UI"/>
                <w:b/>
                <w:bCs/>
                <w:color w:val="141413"/>
                <w:sz w:val="21"/>
                <w:szCs w:val="21"/>
                <w:shd w:val="clear" w:color="auto" w:fill="FAF9F5"/>
              </w:rPr>
              <w:t>Alkohol?</w:t>
            </w:r>
          </w:p>
        </w:tc>
        <w:tc>
          <w:tcPr>
            <w:tcW w:w="2173" w:type="pct"/>
          </w:tcPr>
          <w:p w14:paraId="11610477" w14:textId="7345A88A" w:rsidR="007C0E82" w:rsidRDefault="007C0E82" w:rsidP="007C0E82">
            <w:r>
              <w:rPr>
                <w:rFonts w:ascii="Segoe UI" w:hAnsi="Segoe UI" w:cs="Segoe UI"/>
                <w:b/>
                <w:bCs/>
                <w:color w:val="141413"/>
                <w:sz w:val="21"/>
                <w:szCs w:val="21"/>
                <w:shd w:val="clear" w:color="auto" w:fill="FAF9F5"/>
              </w:rPr>
              <w:t>Begründung</w:t>
            </w:r>
          </w:p>
        </w:tc>
      </w:tr>
      <w:tr w:rsidR="007C0E82" w14:paraId="53763941" w14:textId="77777777" w:rsidTr="007C0E82">
        <w:tc>
          <w:tcPr>
            <w:tcW w:w="388" w:type="pct"/>
          </w:tcPr>
          <w:p w14:paraId="3DA3C808" w14:textId="026D69BE" w:rsidR="007C0E82" w:rsidRPr="007C0E82" w:rsidRDefault="007C0E82" w:rsidP="007C0E82">
            <w:pPr>
              <w:rPr>
                <w:b/>
                <w:bCs/>
              </w:rPr>
            </w:pPr>
            <w:r w:rsidRPr="007C0E82">
              <w:rPr>
                <w:b/>
                <w:bCs/>
              </w:rPr>
              <w:t>1</w:t>
            </w:r>
          </w:p>
        </w:tc>
        <w:tc>
          <w:tcPr>
            <w:tcW w:w="1150" w:type="pct"/>
          </w:tcPr>
          <w:p w14:paraId="4F3DACF4" w14:textId="2DD046A0" w:rsidR="007C0E82" w:rsidRDefault="007C0E82" w:rsidP="007C0E82">
            <w:r>
              <w:rPr>
                <w:rFonts w:ascii="Segoe UI" w:hAnsi="Segoe UI" w:cs="Segoe UI"/>
                <w:color w:val="141413"/>
                <w:sz w:val="21"/>
                <w:szCs w:val="21"/>
              </w:rPr>
              <w:t>Wein</w:t>
            </w:r>
          </w:p>
        </w:tc>
        <w:tc>
          <w:tcPr>
            <w:tcW w:w="722" w:type="pct"/>
          </w:tcPr>
          <w:p w14:paraId="0C20E283" w14:textId="79DB7534" w:rsidR="007C0E82" w:rsidRPr="007C0E82" w:rsidRDefault="007C0E82" w:rsidP="007C0E82">
            <w:pPr>
              <w:rPr>
                <w:rFonts w:cs="Times New Roman"/>
                <w:b/>
                <w:bCs/>
              </w:rPr>
            </w:pPr>
            <w:r w:rsidRPr="007C0E82">
              <w:rPr>
                <w:rFonts w:cs="Times New Roman"/>
                <w:b/>
                <w:bCs/>
                <w:color w:val="141413"/>
                <w:rtl/>
              </w:rPr>
              <w:t>יַיִן</w:t>
            </w:r>
          </w:p>
        </w:tc>
        <w:tc>
          <w:tcPr>
            <w:tcW w:w="567" w:type="pct"/>
          </w:tcPr>
          <w:p w14:paraId="649E7535" w14:textId="04C6B9AB" w:rsidR="007C0E82" w:rsidRDefault="007C0E82" w:rsidP="007C0E82">
            <w:r>
              <w:t>Ja</w:t>
            </w:r>
          </w:p>
        </w:tc>
        <w:tc>
          <w:tcPr>
            <w:tcW w:w="2173" w:type="pct"/>
          </w:tcPr>
          <w:p w14:paraId="2E03663F" w14:textId="3D66B4CB" w:rsidR="007C0E82" w:rsidRDefault="007C0E82" w:rsidP="007C0E82">
            <w:r>
              <w:rPr>
                <w:rFonts w:ascii="Segoe UI" w:hAnsi="Segoe UI" w:cs="Segoe UI"/>
                <w:color w:val="141413"/>
                <w:sz w:val="21"/>
                <w:szCs w:val="21"/>
              </w:rPr>
              <w:t>Alkoholisches Hauptgetränk</w:t>
            </w:r>
          </w:p>
        </w:tc>
      </w:tr>
      <w:tr w:rsidR="007C0E82" w14:paraId="605BE1BD" w14:textId="77777777" w:rsidTr="007C0E82">
        <w:tc>
          <w:tcPr>
            <w:tcW w:w="388" w:type="pct"/>
          </w:tcPr>
          <w:p w14:paraId="797F5F8E" w14:textId="3A7E5146" w:rsidR="007C0E82" w:rsidRPr="007C0E82" w:rsidRDefault="007C0E82" w:rsidP="007C0E82">
            <w:pPr>
              <w:rPr>
                <w:b/>
                <w:bCs/>
              </w:rPr>
            </w:pPr>
            <w:r w:rsidRPr="007C0E82">
              <w:rPr>
                <w:b/>
                <w:bCs/>
              </w:rPr>
              <w:t>2</w:t>
            </w:r>
          </w:p>
        </w:tc>
        <w:tc>
          <w:tcPr>
            <w:tcW w:w="1150" w:type="pct"/>
          </w:tcPr>
          <w:p w14:paraId="2681CED6" w14:textId="0592FD64" w:rsidR="007C0E82" w:rsidRDefault="007C0E82" w:rsidP="007C0E82">
            <w:r>
              <w:rPr>
                <w:rFonts w:ascii="Segoe UI" w:hAnsi="Segoe UI" w:cs="Segoe UI"/>
                <w:color w:val="141413"/>
                <w:sz w:val="21"/>
                <w:szCs w:val="21"/>
                <w:shd w:val="clear" w:color="auto" w:fill="FAF9F5"/>
              </w:rPr>
              <w:t>Rauschtrank</w:t>
            </w:r>
          </w:p>
        </w:tc>
        <w:tc>
          <w:tcPr>
            <w:tcW w:w="722" w:type="pct"/>
          </w:tcPr>
          <w:p w14:paraId="5CE8B225" w14:textId="1921EB8B" w:rsidR="007C0E82" w:rsidRPr="007C0E82" w:rsidRDefault="007C0E82" w:rsidP="007C0E82">
            <w:pPr>
              <w:rPr>
                <w:rFonts w:cs="Times New Roman"/>
                <w:b/>
                <w:bCs/>
              </w:rPr>
            </w:pPr>
            <w:r w:rsidRPr="007C0E82">
              <w:rPr>
                <w:rFonts w:cs="Times New Roman"/>
                <w:b/>
                <w:bCs/>
                <w:color w:val="141413"/>
                <w:shd w:val="clear" w:color="auto" w:fill="FAF9F5"/>
                <w:rtl/>
              </w:rPr>
              <w:t>שֵׁכָר</w:t>
            </w:r>
          </w:p>
        </w:tc>
        <w:tc>
          <w:tcPr>
            <w:tcW w:w="567" w:type="pct"/>
          </w:tcPr>
          <w:p w14:paraId="66071D71" w14:textId="2690C0A9" w:rsidR="007C0E82" w:rsidRDefault="007C0E82" w:rsidP="007C0E82">
            <w:r>
              <w:t>Ja</w:t>
            </w:r>
          </w:p>
        </w:tc>
        <w:tc>
          <w:tcPr>
            <w:tcW w:w="2173" w:type="pct"/>
          </w:tcPr>
          <w:p w14:paraId="3A015663" w14:textId="79AD9724" w:rsidR="007C0E82" w:rsidRDefault="007C0E82" w:rsidP="007C0E82">
            <w:r>
              <w:rPr>
                <w:rFonts w:ascii="Segoe UI" w:hAnsi="Segoe UI" w:cs="Segoe UI"/>
                <w:color w:val="141413"/>
                <w:sz w:val="21"/>
                <w:szCs w:val="21"/>
                <w:shd w:val="clear" w:color="auto" w:fill="FAF9F5"/>
              </w:rPr>
              <w:t>Andere alkoholische Getränke (Bier, Met)</w:t>
            </w:r>
          </w:p>
        </w:tc>
      </w:tr>
      <w:tr w:rsidR="007C0E82" w14:paraId="00443264" w14:textId="77777777" w:rsidTr="007C0E82">
        <w:tc>
          <w:tcPr>
            <w:tcW w:w="388" w:type="pct"/>
          </w:tcPr>
          <w:p w14:paraId="3FEFFE54" w14:textId="1B00CD91" w:rsidR="007C0E82" w:rsidRPr="007C0E82" w:rsidRDefault="007C0E82" w:rsidP="007C0E82">
            <w:pPr>
              <w:rPr>
                <w:b/>
                <w:bCs/>
              </w:rPr>
            </w:pPr>
            <w:r w:rsidRPr="007C0E82">
              <w:rPr>
                <w:b/>
                <w:bCs/>
              </w:rPr>
              <w:t>3</w:t>
            </w:r>
          </w:p>
        </w:tc>
        <w:tc>
          <w:tcPr>
            <w:tcW w:w="1150" w:type="pct"/>
          </w:tcPr>
          <w:p w14:paraId="74FCC137" w14:textId="3C1DAEF3" w:rsidR="007C0E82" w:rsidRDefault="007C0E82" w:rsidP="007C0E82">
            <w:r>
              <w:rPr>
                <w:rFonts w:ascii="Segoe UI" w:hAnsi="Segoe UI" w:cs="Segoe UI"/>
                <w:color w:val="141413"/>
                <w:sz w:val="21"/>
                <w:szCs w:val="21"/>
              </w:rPr>
              <w:t>Weinessig</w:t>
            </w:r>
          </w:p>
        </w:tc>
        <w:tc>
          <w:tcPr>
            <w:tcW w:w="722" w:type="pct"/>
          </w:tcPr>
          <w:p w14:paraId="1F8D5FFB" w14:textId="3D5F4ABA" w:rsidR="007C0E82" w:rsidRPr="007C0E82" w:rsidRDefault="007C0E82" w:rsidP="007C0E82">
            <w:pPr>
              <w:rPr>
                <w:rFonts w:cs="Times New Roman"/>
                <w:b/>
                <w:bCs/>
              </w:rPr>
            </w:pPr>
            <w:r w:rsidRPr="007C0E82">
              <w:rPr>
                <w:rFonts w:cs="Times New Roman"/>
                <w:b/>
                <w:bCs/>
                <w:color w:val="141413"/>
                <w:rtl/>
              </w:rPr>
              <w:t>חֹמֶץ יַיִן</w:t>
            </w:r>
          </w:p>
        </w:tc>
        <w:tc>
          <w:tcPr>
            <w:tcW w:w="567" w:type="pct"/>
          </w:tcPr>
          <w:p w14:paraId="0DA7E38C" w14:textId="27930C09" w:rsidR="007C0E82" w:rsidRDefault="007C0E82" w:rsidP="007C0E82">
            <w:r>
              <w:t>Nein</w:t>
            </w:r>
          </w:p>
        </w:tc>
        <w:tc>
          <w:tcPr>
            <w:tcW w:w="2173" w:type="pct"/>
          </w:tcPr>
          <w:p w14:paraId="7CD130A5" w14:textId="12AEE20F" w:rsidR="007C0E82" w:rsidRDefault="007C0E82" w:rsidP="007C0E82">
            <w:r>
              <w:rPr>
                <w:rFonts w:ascii="Segoe UI" w:hAnsi="Segoe UI" w:cs="Segoe UI"/>
                <w:color w:val="141413"/>
                <w:sz w:val="21"/>
                <w:szCs w:val="21"/>
              </w:rPr>
              <w:t>Fermentiertes Derivat (kein Alkohol mehr)</w:t>
            </w:r>
          </w:p>
        </w:tc>
      </w:tr>
      <w:tr w:rsidR="007C0E82" w14:paraId="08C59ABB" w14:textId="77777777" w:rsidTr="007C0E82">
        <w:tc>
          <w:tcPr>
            <w:tcW w:w="388" w:type="pct"/>
          </w:tcPr>
          <w:p w14:paraId="534DD0F6" w14:textId="08DAE3B5" w:rsidR="007C0E82" w:rsidRPr="007C0E82" w:rsidRDefault="007C0E82" w:rsidP="007C0E82">
            <w:pPr>
              <w:rPr>
                <w:b/>
                <w:bCs/>
              </w:rPr>
            </w:pPr>
            <w:r w:rsidRPr="007C0E82">
              <w:rPr>
                <w:b/>
                <w:bCs/>
              </w:rPr>
              <w:t>4</w:t>
            </w:r>
          </w:p>
        </w:tc>
        <w:tc>
          <w:tcPr>
            <w:tcW w:w="1150" w:type="pct"/>
          </w:tcPr>
          <w:p w14:paraId="6B5654C4" w14:textId="65BE6ADB" w:rsidR="007C0E82" w:rsidRDefault="007C0E82" w:rsidP="007C0E82">
            <w:r>
              <w:rPr>
                <w:rFonts w:ascii="Segoe UI" w:hAnsi="Segoe UI" w:cs="Segoe UI"/>
                <w:color w:val="141413"/>
                <w:sz w:val="21"/>
                <w:szCs w:val="21"/>
                <w:shd w:val="clear" w:color="auto" w:fill="FAF9F5"/>
              </w:rPr>
              <w:t>Traubensaft</w:t>
            </w:r>
          </w:p>
        </w:tc>
        <w:tc>
          <w:tcPr>
            <w:tcW w:w="722" w:type="pct"/>
          </w:tcPr>
          <w:p w14:paraId="69FEE4E7" w14:textId="6BD54C13" w:rsidR="007C0E82" w:rsidRPr="007C0E82" w:rsidRDefault="007C0E82" w:rsidP="007C0E82">
            <w:pPr>
              <w:rPr>
                <w:rFonts w:cs="Times New Roman"/>
                <w:b/>
                <w:bCs/>
              </w:rPr>
            </w:pPr>
            <w:r w:rsidRPr="007C0E82">
              <w:rPr>
                <w:rFonts w:cs="Times New Roman"/>
                <w:b/>
                <w:bCs/>
                <w:color w:val="141413"/>
                <w:shd w:val="clear" w:color="auto" w:fill="FAF9F5"/>
                <w:rtl/>
              </w:rPr>
              <w:t>מִשְׁרַת עֲנָבִים</w:t>
            </w:r>
          </w:p>
        </w:tc>
        <w:tc>
          <w:tcPr>
            <w:tcW w:w="567" w:type="pct"/>
          </w:tcPr>
          <w:p w14:paraId="72A05BF0" w14:textId="7613D5A8" w:rsidR="007C0E82" w:rsidRDefault="007C0E82" w:rsidP="007C0E82">
            <w:r>
              <w:t>Nein</w:t>
            </w:r>
          </w:p>
        </w:tc>
        <w:tc>
          <w:tcPr>
            <w:tcW w:w="2173" w:type="pct"/>
          </w:tcPr>
          <w:p w14:paraId="0CF40738" w14:textId="3AD071B3" w:rsidR="007C0E82" w:rsidRDefault="007C0E82" w:rsidP="007C0E82">
            <w:r>
              <w:rPr>
                <w:rFonts w:ascii="Segoe UI" w:hAnsi="Segoe UI" w:cs="Segoe UI"/>
                <w:color w:val="141413"/>
                <w:sz w:val="21"/>
                <w:szCs w:val="21"/>
                <w:shd w:val="clear" w:color="auto" w:fill="FAF9F5"/>
              </w:rPr>
              <w:t>Alkoholfreies Traubenprodukt</w:t>
            </w:r>
          </w:p>
        </w:tc>
      </w:tr>
      <w:tr w:rsidR="007C0E82" w14:paraId="1DC37E39" w14:textId="77777777" w:rsidTr="007C0E82">
        <w:tc>
          <w:tcPr>
            <w:tcW w:w="388" w:type="pct"/>
          </w:tcPr>
          <w:p w14:paraId="1FCDB1EE" w14:textId="505E5ACA" w:rsidR="007C0E82" w:rsidRPr="007C0E82" w:rsidRDefault="007C0E82" w:rsidP="007C0E82">
            <w:pPr>
              <w:rPr>
                <w:b/>
                <w:bCs/>
              </w:rPr>
            </w:pPr>
            <w:r w:rsidRPr="007C0E82">
              <w:rPr>
                <w:b/>
                <w:bCs/>
              </w:rPr>
              <w:t>5</w:t>
            </w:r>
          </w:p>
        </w:tc>
        <w:tc>
          <w:tcPr>
            <w:tcW w:w="1150" w:type="pct"/>
          </w:tcPr>
          <w:p w14:paraId="312FC191" w14:textId="593DF23C" w:rsidR="007C0E82" w:rsidRDefault="007C0E82" w:rsidP="007C0E82">
            <w:r>
              <w:rPr>
                <w:rFonts w:ascii="Segoe UI" w:hAnsi="Segoe UI" w:cs="Segoe UI"/>
                <w:color w:val="141413"/>
                <w:sz w:val="21"/>
                <w:szCs w:val="21"/>
              </w:rPr>
              <w:t>Frische Trauben</w:t>
            </w:r>
          </w:p>
        </w:tc>
        <w:tc>
          <w:tcPr>
            <w:tcW w:w="722" w:type="pct"/>
          </w:tcPr>
          <w:p w14:paraId="1021A3CE" w14:textId="7E18D4AB" w:rsidR="007C0E82" w:rsidRPr="007C0E82" w:rsidRDefault="007C0E82" w:rsidP="007C0E82">
            <w:pPr>
              <w:rPr>
                <w:rFonts w:cs="Times New Roman"/>
                <w:b/>
                <w:bCs/>
              </w:rPr>
            </w:pPr>
            <w:r w:rsidRPr="007C0E82">
              <w:rPr>
                <w:rFonts w:cs="Times New Roman"/>
                <w:b/>
                <w:bCs/>
                <w:color w:val="141413"/>
                <w:rtl/>
              </w:rPr>
              <w:t>עֲנָבִים לַחִים</w:t>
            </w:r>
          </w:p>
        </w:tc>
        <w:tc>
          <w:tcPr>
            <w:tcW w:w="567" w:type="pct"/>
          </w:tcPr>
          <w:p w14:paraId="7595DE4A" w14:textId="76C2ABCB" w:rsidR="007C0E82" w:rsidRDefault="007C0E82" w:rsidP="007C0E82">
            <w:r>
              <w:t>Nein</w:t>
            </w:r>
          </w:p>
        </w:tc>
        <w:tc>
          <w:tcPr>
            <w:tcW w:w="2173" w:type="pct"/>
          </w:tcPr>
          <w:p w14:paraId="117DAF87" w14:textId="470A35DB" w:rsidR="007C0E82" w:rsidRDefault="007C0E82" w:rsidP="007C0E82">
            <w:r>
              <w:rPr>
                <w:rFonts w:ascii="Segoe UI" w:hAnsi="Segoe UI" w:cs="Segoe UI"/>
                <w:color w:val="141413"/>
                <w:sz w:val="21"/>
                <w:szCs w:val="21"/>
              </w:rPr>
              <w:t>Rohe Frucht</w:t>
            </w:r>
          </w:p>
        </w:tc>
      </w:tr>
      <w:tr w:rsidR="007C0E82" w14:paraId="0EFB07A5" w14:textId="77777777" w:rsidTr="007C0E82">
        <w:tc>
          <w:tcPr>
            <w:tcW w:w="388" w:type="pct"/>
          </w:tcPr>
          <w:p w14:paraId="6FCE22AD" w14:textId="4ECDCE86" w:rsidR="007C0E82" w:rsidRPr="007C0E82" w:rsidRDefault="007C0E82" w:rsidP="007C0E82">
            <w:pPr>
              <w:rPr>
                <w:b/>
                <w:bCs/>
              </w:rPr>
            </w:pPr>
            <w:r w:rsidRPr="007C0E82">
              <w:rPr>
                <w:b/>
                <w:bCs/>
              </w:rPr>
              <w:t>6</w:t>
            </w:r>
          </w:p>
        </w:tc>
        <w:tc>
          <w:tcPr>
            <w:tcW w:w="1150" w:type="pct"/>
          </w:tcPr>
          <w:p w14:paraId="52153C1C" w14:textId="4BBE3B26" w:rsidR="007C0E82" w:rsidRDefault="007C0E82" w:rsidP="007C0E82">
            <w:r>
              <w:rPr>
                <w:rFonts w:ascii="Segoe UI" w:hAnsi="Segoe UI" w:cs="Segoe UI"/>
                <w:color w:val="141413"/>
                <w:sz w:val="21"/>
                <w:szCs w:val="21"/>
                <w:shd w:val="clear" w:color="auto" w:fill="FAF9F5"/>
              </w:rPr>
              <w:t>Getrocknete Trauben</w:t>
            </w:r>
          </w:p>
        </w:tc>
        <w:tc>
          <w:tcPr>
            <w:tcW w:w="722" w:type="pct"/>
          </w:tcPr>
          <w:p w14:paraId="13AFE25B" w14:textId="640AD656" w:rsidR="007C0E82" w:rsidRPr="007C0E82" w:rsidRDefault="007C0E82" w:rsidP="007C0E82">
            <w:pPr>
              <w:rPr>
                <w:rFonts w:cs="Times New Roman"/>
                <w:b/>
                <w:bCs/>
              </w:rPr>
            </w:pPr>
            <w:r w:rsidRPr="007C0E82">
              <w:rPr>
                <w:rFonts w:cs="Times New Roman"/>
                <w:b/>
                <w:bCs/>
                <w:color w:val="141413"/>
                <w:shd w:val="clear" w:color="auto" w:fill="FAF9F5"/>
                <w:rtl/>
              </w:rPr>
              <w:t>עֲנָבִים יְבֵשִׁים</w:t>
            </w:r>
          </w:p>
        </w:tc>
        <w:tc>
          <w:tcPr>
            <w:tcW w:w="567" w:type="pct"/>
          </w:tcPr>
          <w:p w14:paraId="5D8B6AEA" w14:textId="4BC25493" w:rsidR="007C0E82" w:rsidRDefault="007C0E82" w:rsidP="007C0E82">
            <w:r>
              <w:t>Nein</w:t>
            </w:r>
          </w:p>
        </w:tc>
        <w:tc>
          <w:tcPr>
            <w:tcW w:w="2173" w:type="pct"/>
          </w:tcPr>
          <w:p w14:paraId="48917324" w14:textId="0A258FDC" w:rsidR="007C0E82" w:rsidRDefault="007C0E82" w:rsidP="007C0E82">
            <w:r>
              <w:rPr>
                <w:rFonts w:ascii="Segoe UI" w:hAnsi="Segoe UI" w:cs="Segoe UI"/>
                <w:color w:val="141413"/>
                <w:sz w:val="21"/>
                <w:szCs w:val="21"/>
                <w:shd w:val="clear" w:color="auto" w:fill="FAF9F5"/>
              </w:rPr>
              <w:t>Konservierte Frucht</w:t>
            </w:r>
          </w:p>
        </w:tc>
      </w:tr>
      <w:tr w:rsidR="007C0E82" w14:paraId="7D1F8F7C" w14:textId="77777777" w:rsidTr="007C0E82">
        <w:tc>
          <w:tcPr>
            <w:tcW w:w="388" w:type="pct"/>
          </w:tcPr>
          <w:p w14:paraId="4F60F711" w14:textId="4878CE09" w:rsidR="007C0E82" w:rsidRPr="007C0E82" w:rsidRDefault="007C0E82" w:rsidP="007C0E82">
            <w:pPr>
              <w:rPr>
                <w:b/>
                <w:bCs/>
              </w:rPr>
            </w:pPr>
            <w:r w:rsidRPr="007C0E82">
              <w:rPr>
                <w:b/>
                <w:bCs/>
              </w:rPr>
              <w:t>7</w:t>
            </w:r>
          </w:p>
        </w:tc>
        <w:tc>
          <w:tcPr>
            <w:tcW w:w="1150" w:type="pct"/>
          </w:tcPr>
          <w:p w14:paraId="55F334DF" w14:textId="2096BB13" w:rsidR="007C0E82" w:rsidRDefault="007C0E82" w:rsidP="007C0E82">
            <w:r>
              <w:rPr>
                <w:rFonts w:ascii="Segoe UI" w:hAnsi="Segoe UI" w:cs="Segoe UI"/>
                <w:color w:val="141413"/>
                <w:sz w:val="21"/>
                <w:szCs w:val="21"/>
              </w:rPr>
              <w:t>Traubenkerne</w:t>
            </w:r>
          </w:p>
        </w:tc>
        <w:tc>
          <w:tcPr>
            <w:tcW w:w="722" w:type="pct"/>
          </w:tcPr>
          <w:p w14:paraId="6E4025DA" w14:textId="4A41FBB4" w:rsidR="007C0E82" w:rsidRPr="007C0E82" w:rsidRDefault="007C0E82" w:rsidP="007C0E82">
            <w:pPr>
              <w:rPr>
                <w:rFonts w:cs="Times New Roman"/>
                <w:b/>
                <w:bCs/>
              </w:rPr>
            </w:pPr>
            <w:r w:rsidRPr="007C0E82">
              <w:rPr>
                <w:rFonts w:cs="Times New Roman"/>
                <w:b/>
                <w:bCs/>
                <w:color w:val="141413"/>
                <w:rtl/>
              </w:rPr>
              <w:t>חַרְצַנִּים</w:t>
            </w:r>
          </w:p>
        </w:tc>
        <w:tc>
          <w:tcPr>
            <w:tcW w:w="567" w:type="pct"/>
          </w:tcPr>
          <w:p w14:paraId="2DF90A0B" w14:textId="79337B6B" w:rsidR="007C0E82" w:rsidRDefault="007C0E82" w:rsidP="007C0E82">
            <w:r>
              <w:t>Nein</w:t>
            </w:r>
          </w:p>
        </w:tc>
        <w:tc>
          <w:tcPr>
            <w:tcW w:w="2173" w:type="pct"/>
          </w:tcPr>
          <w:p w14:paraId="46030690" w14:textId="2D579815" w:rsidR="007C0E82" w:rsidRDefault="007C0E82" w:rsidP="007C0E82">
            <w:r>
              <w:rPr>
                <w:rFonts w:ascii="Segoe UI" w:hAnsi="Segoe UI" w:cs="Segoe UI"/>
                <w:color w:val="141413"/>
                <w:sz w:val="21"/>
                <w:szCs w:val="21"/>
              </w:rPr>
              <w:t>Nicht-essbare Teile</w:t>
            </w:r>
          </w:p>
        </w:tc>
      </w:tr>
      <w:tr w:rsidR="007C0E82" w14:paraId="59D35727" w14:textId="77777777" w:rsidTr="007C0E82">
        <w:tc>
          <w:tcPr>
            <w:tcW w:w="388" w:type="pct"/>
          </w:tcPr>
          <w:p w14:paraId="7F755F76" w14:textId="5D850390" w:rsidR="007C0E82" w:rsidRPr="007C0E82" w:rsidRDefault="007C0E82" w:rsidP="007C0E82">
            <w:pPr>
              <w:rPr>
                <w:b/>
                <w:bCs/>
              </w:rPr>
            </w:pPr>
            <w:r w:rsidRPr="007C0E82">
              <w:rPr>
                <w:b/>
                <w:bCs/>
              </w:rPr>
              <w:t>8</w:t>
            </w:r>
          </w:p>
        </w:tc>
        <w:tc>
          <w:tcPr>
            <w:tcW w:w="1150" w:type="pct"/>
          </w:tcPr>
          <w:p w14:paraId="54DC21BC" w14:textId="61A32D70" w:rsidR="007C0E82" w:rsidRDefault="007C0E82" w:rsidP="007C0E82">
            <w:r>
              <w:rPr>
                <w:rFonts w:ascii="Segoe UI" w:hAnsi="Segoe UI" w:cs="Segoe UI"/>
                <w:color w:val="141413"/>
                <w:sz w:val="21"/>
                <w:szCs w:val="21"/>
                <w:shd w:val="clear" w:color="auto" w:fill="FAF9F5"/>
              </w:rPr>
              <w:t>Traubenschalen</w:t>
            </w:r>
          </w:p>
        </w:tc>
        <w:tc>
          <w:tcPr>
            <w:tcW w:w="722" w:type="pct"/>
          </w:tcPr>
          <w:p w14:paraId="1C070A7B" w14:textId="7FB35B5F" w:rsidR="007C0E82" w:rsidRPr="007C0E82" w:rsidRDefault="007C0E82" w:rsidP="007C0E82">
            <w:pPr>
              <w:rPr>
                <w:rFonts w:cs="Times New Roman"/>
                <w:b/>
                <w:bCs/>
              </w:rPr>
            </w:pPr>
            <w:r w:rsidRPr="007C0E82">
              <w:rPr>
                <w:rFonts w:cs="Times New Roman"/>
                <w:b/>
                <w:bCs/>
                <w:color w:val="141413"/>
                <w:shd w:val="clear" w:color="auto" w:fill="FAF9F5"/>
                <w:rtl/>
              </w:rPr>
              <w:t>זָג</w:t>
            </w:r>
          </w:p>
        </w:tc>
        <w:tc>
          <w:tcPr>
            <w:tcW w:w="567" w:type="pct"/>
          </w:tcPr>
          <w:p w14:paraId="5529DAB6" w14:textId="4712A6EA" w:rsidR="007C0E82" w:rsidRDefault="007C0E82" w:rsidP="007C0E82">
            <w:r>
              <w:t>Nein</w:t>
            </w:r>
          </w:p>
        </w:tc>
        <w:tc>
          <w:tcPr>
            <w:tcW w:w="2173" w:type="pct"/>
          </w:tcPr>
          <w:p w14:paraId="41B863A4" w14:textId="76247697" w:rsidR="007C0E82" w:rsidRDefault="007C0E82" w:rsidP="007C0E82">
            <w:r>
              <w:rPr>
                <w:rFonts w:ascii="Segoe UI" w:hAnsi="Segoe UI" w:cs="Segoe UI"/>
                <w:color w:val="141413"/>
                <w:sz w:val="21"/>
                <w:szCs w:val="21"/>
                <w:shd w:val="clear" w:color="auto" w:fill="FAF9F5"/>
              </w:rPr>
              <w:t>Nicht-essbare Teile</w:t>
            </w:r>
          </w:p>
        </w:tc>
      </w:tr>
    </w:tbl>
    <w:p w14:paraId="48904C66" w14:textId="3FA60836" w:rsidR="007C0E82" w:rsidRDefault="007C0E82" w:rsidP="007C0E82"/>
    <w:p w14:paraId="54521A38" w14:textId="77777777" w:rsidR="007C0E82" w:rsidRDefault="007C0E82" w:rsidP="007C0E82">
      <w:pPr>
        <w:pStyle w:val="whitespace-normal"/>
      </w:pPr>
      <w:r>
        <w:rPr>
          <w:rStyle w:val="Fett"/>
        </w:rPr>
        <w:t>Interpretationen der Steigerung:</w:t>
      </w:r>
    </w:p>
    <w:p w14:paraId="6CC4BAE5" w14:textId="77777777" w:rsidR="007C0E82" w:rsidRDefault="007C0E82" w:rsidP="007C0E82">
      <w:pPr>
        <w:pStyle w:val="whitespace-normal"/>
      </w:pPr>
      <w:r>
        <w:rPr>
          <w:rStyle w:val="Fett"/>
        </w:rPr>
        <w:t>1. Radikale Absonderung (bevorzugt):</w:t>
      </w:r>
    </w:p>
    <w:p w14:paraId="5242DA40" w14:textId="77777777" w:rsidR="007C0E82" w:rsidRDefault="007C0E82" w:rsidP="00C15C06">
      <w:pPr>
        <w:pStyle w:val="whitespace-normal"/>
        <w:numPr>
          <w:ilvl w:val="0"/>
          <w:numId w:val="54"/>
        </w:numPr>
      </w:pPr>
      <w:r>
        <w:t xml:space="preserve">Das Verbot geht </w:t>
      </w:r>
      <w:r>
        <w:rPr>
          <w:rStyle w:val="Fett"/>
        </w:rPr>
        <w:t>weit über Alkoholvermeidung hinaus</w:t>
      </w:r>
    </w:p>
    <w:p w14:paraId="69BBBB37" w14:textId="77777777" w:rsidR="007C0E82" w:rsidRDefault="007C0E82" w:rsidP="00C15C06">
      <w:pPr>
        <w:pStyle w:val="whitespace-normal"/>
        <w:numPr>
          <w:ilvl w:val="0"/>
          <w:numId w:val="54"/>
        </w:numPr>
      </w:pPr>
      <w:r>
        <w:t xml:space="preserve">Selbst </w:t>
      </w:r>
      <w:r>
        <w:rPr>
          <w:rStyle w:val="Fett"/>
        </w:rPr>
        <w:t>nicht-essbare Teile</w:t>
      </w:r>
      <w:r>
        <w:t xml:space="preserve"> sind verboten (</w:t>
      </w:r>
      <w:r>
        <w:rPr>
          <w:rtl/>
        </w:rPr>
        <w:t>חַרְצַנִּים, זָג</w:t>
      </w:r>
      <w:r>
        <w:t>)</w:t>
      </w:r>
    </w:p>
    <w:p w14:paraId="620A1162" w14:textId="77777777" w:rsidR="007C0E82" w:rsidRDefault="007C0E82" w:rsidP="00C15C06">
      <w:pPr>
        <w:pStyle w:val="whitespace-normal"/>
        <w:numPr>
          <w:ilvl w:val="0"/>
          <w:numId w:val="54"/>
        </w:numPr>
      </w:pPr>
      <w:r>
        <w:t xml:space="preserve">Die </w:t>
      </w:r>
      <w:r>
        <w:rPr>
          <w:rStyle w:val="Fett"/>
        </w:rPr>
        <w:t>Weinrebe selbst</w:t>
      </w:r>
      <w:r>
        <w:t xml:space="preserve"> wird zum Symbol der weltlichen Freude, die gemieden wird</w:t>
      </w:r>
    </w:p>
    <w:p w14:paraId="3749C5BA" w14:textId="77777777" w:rsidR="007C0E82" w:rsidRDefault="007C0E82" w:rsidP="00C15C06">
      <w:pPr>
        <w:pStyle w:val="whitespace-normal"/>
        <w:numPr>
          <w:ilvl w:val="0"/>
          <w:numId w:val="54"/>
        </w:numPr>
      </w:pPr>
      <w:r>
        <w:t xml:space="preserve">Vergleichbar mit der </w:t>
      </w:r>
      <w:r>
        <w:rPr>
          <w:rStyle w:val="Fett"/>
        </w:rPr>
        <w:t>totalen Meidung</w:t>
      </w:r>
      <w:r>
        <w:t xml:space="preserve"> unreiner Tiere (Lev 11: nicht essen, nicht berühren, nicht tragen)</w:t>
      </w:r>
    </w:p>
    <w:p w14:paraId="24334458" w14:textId="77777777" w:rsidR="007C0E82" w:rsidRDefault="007C0E82" w:rsidP="007C0E82">
      <w:pPr>
        <w:pStyle w:val="whitespace-normal"/>
      </w:pPr>
      <w:r>
        <w:rPr>
          <w:rStyle w:val="Fett"/>
        </w:rPr>
        <w:t>2. Kultische Reinheit:</w:t>
      </w:r>
    </w:p>
    <w:p w14:paraId="5DD19A4A" w14:textId="77777777" w:rsidR="007C0E82" w:rsidRDefault="007C0E82" w:rsidP="00C15C06">
      <w:pPr>
        <w:pStyle w:val="whitespace-normal"/>
        <w:numPr>
          <w:ilvl w:val="0"/>
          <w:numId w:val="55"/>
        </w:numPr>
      </w:pPr>
      <w:r>
        <w:t xml:space="preserve">Weinprodukte könnten </w:t>
      </w:r>
      <w:r>
        <w:rPr>
          <w:rStyle w:val="Fett"/>
        </w:rPr>
        <w:t>rituell verunreinigt</w:t>
      </w:r>
      <w:r>
        <w:t xml:space="preserve"> sein</w:t>
      </w:r>
    </w:p>
    <w:p w14:paraId="4D18FD2C" w14:textId="77777777" w:rsidR="007C0E82" w:rsidRDefault="007C0E82" w:rsidP="00C15C06">
      <w:pPr>
        <w:pStyle w:val="whitespace-normal"/>
        <w:numPr>
          <w:ilvl w:val="0"/>
          <w:numId w:val="55"/>
        </w:numPr>
      </w:pPr>
      <w:r>
        <w:t xml:space="preserve">Vollständiges Verbot verhindert </w:t>
      </w:r>
      <w:r>
        <w:rPr>
          <w:rStyle w:val="Fett"/>
        </w:rPr>
        <w:t>versehentliche Kontamination</w:t>
      </w:r>
    </w:p>
    <w:p w14:paraId="52B5573A" w14:textId="77777777" w:rsidR="007C0E82" w:rsidRDefault="007C0E82" w:rsidP="007C0E82">
      <w:pPr>
        <w:pStyle w:val="whitespace-normal"/>
      </w:pPr>
      <w:r>
        <w:rPr>
          <w:rStyle w:val="Fett"/>
        </w:rPr>
        <w:t>3. Symbolische Absonderung:</w:t>
      </w:r>
    </w:p>
    <w:p w14:paraId="11E02889" w14:textId="77777777" w:rsidR="007C0E82" w:rsidRDefault="007C0E82" w:rsidP="00C15C06">
      <w:pPr>
        <w:pStyle w:val="whitespace-normal"/>
        <w:numPr>
          <w:ilvl w:val="0"/>
          <w:numId w:val="56"/>
        </w:numPr>
      </w:pPr>
      <w:r>
        <w:t xml:space="preserve">Der </w:t>
      </w:r>
      <w:r>
        <w:rPr>
          <w:rStyle w:val="Fett"/>
        </w:rPr>
        <w:t>Weinstock</w:t>
      </w:r>
      <w:r>
        <w:t xml:space="preserve"> symbolisiert im AT oft </w:t>
      </w:r>
      <w:r>
        <w:rPr>
          <w:rStyle w:val="Fett"/>
        </w:rPr>
        <w:t>Israel</w:t>
      </w:r>
      <w:r>
        <w:t xml:space="preserve"> (Ps 80,9-17; Jes 5,1-7)</w:t>
      </w:r>
    </w:p>
    <w:p w14:paraId="5F7FC8CA" w14:textId="77777777" w:rsidR="007C0E82" w:rsidRDefault="007C0E82" w:rsidP="00C15C06">
      <w:pPr>
        <w:pStyle w:val="whitespace-normal"/>
        <w:numPr>
          <w:ilvl w:val="0"/>
          <w:numId w:val="56"/>
        </w:numPr>
      </w:pPr>
      <w:r>
        <w:lastRenderedPageBreak/>
        <w:t xml:space="preserve">Meidung könnte </w:t>
      </w:r>
      <w:r>
        <w:rPr>
          <w:rStyle w:val="Fett"/>
        </w:rPr>
        <w:t>Absonderung vom Volk</w:t>
      </w:r>
      <w:r>
        <w:t xml:space="preserve"> symbolisieren</w:t>
      </w:r>
    </w:p>
    <w:p w14:paraId="4446CFFD" w14:textId="77777777" w:rsidR="007C0E82" w:rsidRDefault="007C0E82" w:rsidP="00C15C06">
      <w:pPr>
        <w:pStyle w:val="whitespace-normal"/>
        <w:numPr>
          <w:ilvl w:val="0"/>
          <w:numId w:val="56"/>
        </w:numPr>
      </w:pPr>
      <w:r>
        <w:t xml:space="preserve">Allerdings problematisch, da Nasiräer </w:t>
      </w:r>
      <w:r>
        <w:rPr>
          <w:rStyle w:val="Fett"/>
        </w:rPr>
        <w:t>für</w:t>
      </w:r>
      <w:r>
        <w:t xml:space="preserve"> Israel handeln (V. 27)</w:t>
      </w:r>
    </w:p>
    <w:p w14:paraId="5F95E871" w14:textId="0C4C3F4B" w:rsidR="007C0E82" w:rsidRPr="007C0E82" w:rsidRDefault="007C0E82" w:rsidP="007C0E82">
      <w:pPr>
        <w:pStyle w:val="whitespace-normal"/>
      </w:pPr>
      <w:r>
        <w:rPr>
          <w:rStyle w:val="Fett"/>
        </w:rPr>
        <w:t>Methodischer Hinweis:</w:t>
      </w:r>
      <w:r>
        <w:t xml:space="preserve"> Die </w:t>
      </w:r>
      <w:r>
        <w:rPr>
          <w:rStyle w:val="Fett"/>
        </w:rPr>
        <w:t>extreme Ausweitung</w:t>
      </w:r>
      <w:r>
        <w:t xml:space="preserve"> (bis zu nicht-essbaren Teilen) zeigt, dass es </w:t>
      </w:r>
      <w:r>
        <w:rPr>
          <w:rStyle w:val="Fett"/>
        </w:rPr>
        <w:t>nicht um Alkoholvermeidung</w:t>
      </w:r>
      <w:r>
        <w:t xml:space="preserve"> geht, sondern um </w:t>
      </w:r>
      <w:r>
        <w:rPr>
          <w:rStyle w:val="Fett"/>
        </w:rPr>
        <w:t>totale Meidung der Weinrebe</w:t>
      </w:r>
      <w:r>
        <w:t xml:space="preserve"> als Symbol weltlicher Freude (vgl. Ps 104,15: "Wein erfreut des Menschen Herz").</w:t>
      </w:r>
    </w:p>
    <w:p w14:paraId="68BE14A0" w14:textId="77777777" w:rsidR="007C0E82" w:rsidRDefault="007C0E82" w:rsidP="007C0E82">
      <w:pPr>
        <w:pStyle w:val="whitespace-normal"/>
      </w:pPr>
      <w:r>
        <w:t xml:space="preserve">Das Nasiräatsgesetz zeigt eine </w:t>
      </w:r>
      <w:r>
        <w:rPr>
          <w:rStyle w:val="Fett"/>
        </w:rPr>
        <w:t>systematische Ausweitung</w:t>
      </w:r>
      <w:r>
        <w:t xml:space="preserve"> des Weinverbots in konzentrischen Kreisen:</w:t>
      </w:r>
    </w:p>
    <w:p w14:paraId="00D89562" w14:textId="77777777" w:rsidR="007C0E82" w:rsidRPr="00EC7F0D" w:rsidRDefault="007C0E82" w:rsidP="00EC7F0D">
      <w:pPr>
        <w:spacing w:before="100" w:beforeAutospacing="1" w:after="100" w:afterAutospacing="1" w:line="240" w:lineRule="auto"/>
        <w:rPr>
          <w:rFonts w:eastAsia="Times New Roman" w:cs="Times New Roman"/>
          <w:lang w:eastAsia="de-DE"/>
        </w:rPr>
      </w:pPr>
    </w:p>
    <w:p w14:paraId="4E0EFCDD" w14:textId="77777777" w:rsidR="00EC7F0D" w:rsidRPr="00EC7F0D" w:rsidRDefault="00EC7F0D" w:rsidP="00EC7F0D">
      <w:pPr>
        <w:spacing w:before="100" w:beforeAutospacing="1" w:after="100" w:afterAutospacing="1" w:line="240" w:lineRule="auto"/>
        <w:outlineLvl w:val="0"/>
        <w:rPr>
          <w:rFonts w:eastAsia="Times New Roman" w:cs="Times New Roman"/>
          <w:b/>
          <w:bCs/>
          <w:kern w:val="36"/>
          <w:sz w:val="48"/>
          <w:szCs w:val="48"/>
          <w:lang w:eastAsia="de-DE"/>
        </w:rPr>
      </w:pPr>
      <w:r w:rsidRPr="00EC7F0D">
        <w:rPr>
          <w:rFonts w:eastAsia="Times New Roman" w:cs="Times New Roman"/>
          <w:b/>
          <w:bCs/>
          <w:kern w:val="36"/>
          <w:sz w:val="48"/>
          <w:szCs w:val="48"/>
          <w:lang w:eastAsia="de-DE"/>
        </w:rPr>
        <w:t>Numeri 6,5</w:t>
      </w:r>
    </w:p>
    <w:p w14:paraId="30078BC5"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Hebräisch:</w:t>
      </w:r>
      <w:r w:rsidRPr="00EC7F0D">
        <w:rPr>
          <w:rFonts w:eastAsia="Times New Roman" w:cs="Times New Roman"/>
          <w:lang w:eastAsia="de-DE"/>
        </w:rPr>
        <w:t xml:space="preserve"> </w:t>
      </w:r>
      <w:r w:rsidRPr="00EC7F0D">
        <w:rPr>
          <w:rFonts w:eastAsia="Times New Roman" w:cs="Times New Roman"/>
          <w:rtl/>
          <w:lang w:eastAsia="de-DE"/>
        </w:rPr>
        <w:t>כָּל־יְמֵי֙ נֶ֣דֶר נִזְרֹ֔ו תַּ֖עַר לֹא־יַעֲבֹ֣ר עַל־רֹאשֹׁ֑ו עַד־מְלֹ֨את הַיָּמִ֜ם אֲשֶׁר־יַזִּ֤יר לַיהוָה֙ קָדֹ֣שׁ יִהְיֶ֔ה גַּדֵּ֥ל פֶּ֖רַע שְׂעַ֥ר רֹאשֹֽׁו׃</w:t>
      </w:r>
    </w:p>
    <w:p w14:paraId="2C89C41B"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Deutsch:</w:t>
      </w:r>
      <w:r w:rsidRPr="00EC7F0D">
        <w:rPr>
          <w:rFonts w:eastAsia="Times New Roman" w:cs="Times New Roman"/>
          <w:lang w:eastAsia="de-DE"/>
        </w:rPr>
        <w:t xml:space="preserve"> Alle Tage des Gelübdes seiner Absonderung soll kein Schermesser über sein Haupt gehen; bis die Tage erfüllt sind, die er sich dem Ewigen geweiht hat, soll er heilig sein; er soll das Haar seines Hauptes frei wachsen lassen.</w:t>
      </w:r>
    </w:p>
    <w:p w14:paraId="3C351AD9" w14:textId="77777777" w:rsidR="00EC7F0D" w:rsidRPr="00EC7F0D" w:rsidRDefault="00F329DD" w:rsidP="00EC7F0D">
      <w:pPr>
        <w:spacing w:after="0" w:line="240" w:lineRule="auto"/>
        <w:rPr>
          <w:rFonts w:eastAsia="Times New Roman" w:cs="Times New Roman"/>
          <w:lang w:eastAsia="de-DE"/>
        </w:rPr>
      </w:pPr>
      <w:r>
        <w:rPr>
          <w:rFonts w:eastAsia="Times New Roman" w:cs="Times New Roman"/>
          <w:noProof/>
          <w:lang w:eastAsia="de-DE"/>
        </w:rPr>
        <w:pict w14:anchorId="763AA348">
          <v:rect id="_x0000_i1248" style="width:0;height:1.5pt" o:hralign="center" o:hrstd="t" o:hr="t" fillcolor="#a0a0a0" stroked="f"/>
        </w:pict>
      </w:r>
    </w:p>
    <w:p w14:paraId="5C53C4E8" w14:textId="67B44ED9"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Kommentar:</w:t>
      </w:r>
      <w:r w:rsidRPr="00EC7F0D">
        <w:rPr>
          <w:rFonts w:eastAsia="Times New Roman" w:cs="Times New Roman"/>
          <w:lang w:eastAsia="de-DE"/>
        </w:rPr>
        <w:t xml:space="preserve"> Die erweiterte temporale Bestimmung </w:t>
      </w:r>
      <w:r w:rsidRPr="00EC7F0D">
        <w:rPr>
          <w:rFonts w:eastAsia="Times New Roman" w:cs="Times New Roman"/>
          <w:b/>
          <w:bCs/>
          <w:rtl/>
          <w:lang w:eastAsia="de-DE"/>
        </w:rPr>
        <w:t>כָּל־יְמֵי נֶדֶר נִזְרוֹ</w:t>
      </w:r>
      <w:r w:rsidRPr="00EC7F0D">
        <w:rPr>
          <w:rFonts w:eastAsia="Times New Roman" w:cs="Times New Roman"/>
          <w:rtl/>
          <w:lang w:eastAsia="de-DE"/>
        </w:rPr>
        <w:t xml:space="preserve"> </w:t>
      </w:r>
      <w:r w:rsidRPr="00EC7F0D">
        <w:rPr>
          <w:rFonts w:eastAsia="Times New Roman" w:cs="Times New Roman"/>
          <w:lang w:eastAsia="de-DE"/>
        </w:rPr>
        <w:t xml:space="preserve">(alle Tage des Gelübdes seiner Absonderung) mit der </w:t>
      </w:r>
      <w:r w:rsidR="00F133EC">
        <w:rPr>
          <w:rFonts w:eastAsia="Times New Roman" w:cs="Times New Roman"/>
          <w:lang w:eastAsia="de-DE"/>
        </w:rPr>
        <w:t>Construct</w:t>
      </w:r>
      <w:r w:rsidRPr="00EC7F0D">
        <w:rPr>
          <w:rFonts w:eastAsia="Times New Roman" w:cs="Times New Roman"/>
          <w:lang w:eastAsia="de-DE"/>
        </w:rPr>
        <w:t xml:space="preserve">kette </w:t>
      </w:r>
      <w:r w:rsidRPr="00EC7F0D">
        <w:rPr>
          <w:rFonts w:eastAsia="Times New Roman" w:cs="Times New Roman"/>
          <w:b/>
          <w:bCs/>
          <w:rtl/>
          <w:lang w:eastAsia="de-DE"/>
        </w:rPr>
        <w:t>נֶדֶר נִזְרוֹ</w:t>
      </w:r>
      <w:r w:rsidRPr="00EC7F0D">
        <w:rPr>
          <w:rFonts w:eastAsia="Times New Roman" w:cs="Times New Roman"/>
          <w:rtl/>
          <w:lang w:eastAsia="de-DE"/>
        </w:rPr>
        <w:t xml:space="preserve"> </w:t>
      </w:r>
      <w:r w:rsidRPr="00EC7F0D">
        <w:rPr>
          <w:rFonts w:eastAsia="Times New Roman" w:cs="Times New Roman"/>
          <w:lang w:eastAsia="de-DE"/>
        </w:rPr>
        <w:t>(Gelübde seiner Absonderung) betont die freiwillige Natur und Dauer der zweiten Haupteinschränkung.</w:t>
      </w:r>
    </w:p>
    <w:p w14:paraId="14B5DC77"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Das Subjekt </w:t>
      </w:r>
      <w:r w:rsidRPr="00EC7F0D">
        <w:rPr>
          <w:rFonts w:eastAsia="Times New Roman" w:cs="Times New Roman"/>
          <w:b/>
          <w:bCs/>
          <w:rtl/>
          <w:lang w:eastAsia="de-DE"/>
        </w:rPr>
        <w:t>תַּעַר</w:t>
      </w:r>
      <w:r w:rsidRPr="00EC7F0D">
        <w:rPr>
          <w:rFonts w:eastAsia="Times New Roman" w:cs="Times New Roman"/>
          <w:rtl/>
          <w:lang w:eastAsia="de-DE"/>
        </w:rPr>
        <w:t xml:space="preserve"> </w:t>
      </w:r>
      <w:r w:rsidRPr="00EC7F0D">
        <w:rPr>
          <w:rFonts w:eastAsia="Times New Roman" w:cs="Times New Roman"/>
          <w:lang w:eastAsia="de-DE"/>
        </w:rPr>
        <w:t xml:space="preserve">(Schermesser) mit der Negation </w:t>
      </w:r>
      <w:r w:rsidRPr="00EC7F0D">
        <w:rPr>
          <w:rFonts w:eastAsia="Times New Roman" w:cs="Times New Roman"/>
          <w:b/>
          <w:bCs/>
          <w:rtl/>
          <w:lang w:eastAsia="de-DE"/>
        </w:rPr>
        <w:t>לֹא־יַעֲבֹר עַל־רֹאשׁוֹ</w:t>
      </w:r>
      <w:r w:rsidRPr="00EC7F0D">
        <w:rPr>
          <w:rFonts w:eastAsia="Times New Roman" w:cs="Times New Roman"/>
          <w:rtl/>
          <w:lang w:eastAsia="de-DE"/>
        </w:rPr>
        <w:t xml:space="preserve"> </w:t>
      </w:r>
      <w:r w:rsidRPr="00EC7F0D">
        <w:rPr>
          <w:rFonts w:eastAsia="Times New Roman" w:cs="Times New Roman"/>
          <w:lang w:eastAsia="de-DE"/>
        </w:rPr>
        <w:t xml:space="preserve">(soll nicht über sein Haupt gehen) mit </w:t>
      </w:r>
      <w:r w:rsidRPr="00EC7F0D">
        <w:rPr>
          <w:rFonts w:eastAsia="Times New Roman" w:cs="Times New Roman"/>
          <w:b/>
          <w:bCs/>
          <w:rtl/>
          <w:lang w:eastAsia="de-DE"/>
        </w:rPr>
        <w:t>יַעֲבֹר</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עבר</w:t>
      </w:r>
      <w:r w:rsidRPr="00EC7F0D">
        <w:rPr>
          <w:rFonts w:eastAsia="Times New Roman" w:cs="Times New Roman"/>
          <w:rtl/>
          <w:lang w:eastAsia="de-DE"/>
        </w:rPr>
        <w:t xml:space="preserve"> </w:t>
      </w:r>
      <w:r w:rsidRPr="00EC7F0D">
        <w:rPr>
          <w:rFonts w:eastAsia="Times New Roman" w:cs="Times New Roman"/>
          <w:lang w:eastAsia="de-DE"/>
        </w:rPr>
        <w:t>(vorübergehen) im Qal-Imperfekt 3. maskulin Singular etabliert das Schurverbot als physisches Nicht-Berühren.</w:t>
      </w:r>
    </w:p>
    <w:p w14:paraId="1FD76F17" w14:textId="74AE45C8"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verstärkende temporale Bestimmung </w:t>
      </w:r>
      <w:r w:rsidRPr="00EC7F0D">
        <w:rPr>
          <w:rFonts w:eastAsia="Times New Roman" w:cs="Times New Roman"/>
          <w:b/>
          <w:bCs/>
          <w:rtl/>
          <w:lang w:eastAsia="de-DE"/>
        </w:rPr>
        <w:t>עַד־מְלֹאת הַיָּמִים אֲשֶׁר־יַזִּיר לַיהוָה</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עַד־מְלֹאת</w:t>
      </w:r>
      <w:r w:rsidRPr="00EC7F0D">
        <w:rPr>
          <w:rFonts w:eastAsia="Times New Roman" w:cs="Times New Roman"/>
          <w:rtl/>
          <w:lang w:eastAsia="de-DE"/>
        </w:rPr>
        <w:t xml:space="preserve"> </w:t>
      </w:r>
      <w:r w:rsidRPr="00EC7F0D">
        <w:rPr>
          <w:rFonts w:eastAsia="Times New Roman" w:cs="Times New Roman"/>
          <w:lang w:eastAsia="de-DE"/>
        </w:rPr>
        <w:t>(bis zur Erfüllung) und dem Qal-Infinitiv-</w:t>
      </w:r>
      <w:r w:rsidR="00F133EC">
        <w:rPr>
          <w:rFonts w:eastAsia="Times New Roman" w:cs="Times New Roman"/>
          <w:lang w:eastAsia="de-DE"/>
        </w:rPr>
        <w:t>Construct</w:t>
      </w:r>
      <w:r w:rsidRPr="00EC7F0D">
        <w:rPr>
          <w:rFonts w:eastAsia="Times New Roman" w:cs="Times New Roman"/>
          <w:lang w:eastAsia="de-DE"/>
        </w:rPr>
        <w:t xml:space="preserve"> </w:t>
      </w:r>
      <w:r w:rsidRPr="00EC7F0D">
        <w:rPr>
          <w:rFonts w:eastAsia="Times New Roman" w:cs="Times New Roman"/>
          <w:b/>
          <w:bCs/>
          <w:rtl/>
          <w:lang w:eastAsia="de-DE"/>
        </w:rPr>
        <w:t>מְלֹאת</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מלא</w:t>
      </w:r>
      <w:r w:rsidRPr="00EC7F0D">
        <w:rPr>
          <w:rFonts w:eastAsia="Times New Roman" w:cs="Times New Roman"/>
          <w:rtl/>
          <w:lang w:eastAsia="de-DE"/>
        </w:rPr>
        <w:t xml:space="preserve"> </w:t>
      </w:r>
      <w:r w:rsidRPr="00EC7F0D">
        <w:rPr>
          <w:rFonts w:eastAsia="Times New Roman" w:cs="Times New Roman"/>
          <w:lang w:eastAsia="de-DE"/>
        </w:rPr>
        <w:t xml:space="preserve">(erfüllen), </w:t>
      </w:r>
      <w:r w:rsidRPr="00EC7F0D">
        <w:rPr>
          <w:rFonts w:eastAsia="Times New Roman" w:cs="Times New Roman"/>
          <w:b/>
          <w:bCs/>
          <w:rtl/>
          <w:lang w:eastAsia="de-DE"/>
        </w:rPr>
        <w:t>הַיָּמִים</w:t>
      </w:r>
      <w:r w:rsidRPr="00EC7F0D">
        <w:rPr>
          <w:rFonts w:eastAsia="Times New Roman" w:cs="Times New Roman"/>
          <w:rtl/>
          <w:lang w:eastAsia="de-DE"/>
        </w:rPr>
        <w:t xml:space="preserve"> </w:t>
      </w:r>
      <w:r w:rsidRPr="00EC7F0D">
        <w:rPr>
          <w:rFonts w:eastAsia="Times New Roman" w:cs="Times New Roman"/>
          <w:lang w:eastAsia="de-DE"/>
        </w:rPr>
        <w:t xml:space="preserve">(die Tage) und dem Relativsatz </w:t>
      </w:r>
      <w:r w:rsidRPr="00EC7F0D">
        <w:rPr>
          <w:rFonts w:eastAsia="Times New Roman" w:cs="Times New Roman"/>
          <w:b/>
          <w:bCs/>
          <w:rtl/>
          <w:lang w:eastAsia="de-DE"/>
        </w:rPr>
        <w:t>אֲשֶׁר־יַזִּיר לַיהוָה</w:t>
      </w:r>
      <w:r w:rsidRPr="00EC7F0D">
        <w:rPr>
          <w:rFonts w:eastAsia="Times New Roman" w:cs="Times New Roman"/>
          <w:rtl/>
          <w:lang w:eastAsia="de-DE"/>
        </w:rPr>
        <w:t xml:space="preserve"> </w:t>
      </w:r>
      <w:r w:rsidRPr="00EC7F0D">
        <w:rPr>
          <w:rFonts w:eastAsia="Times New Roman" w:cs="Times New Roman"/>
          <w:lang w:eastAsia="de-DE"/>
        </w:rPr>
        <w:t>(die er sich dem Ewigen weiht) wiederholt die gottgeweihte Natur der Zeitspanne.</w:t>
      </w:r>
    </w:p>
    <w:p w14:paraId="26CD7F21"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charakterisierende Bestimmung </w:t>
      </w:r>
      <w:r w:rsidRPr="00EC7F0D">
        <w:rPr>
          <w:rFonts w:eastAsia="Times New Roman" w:cs="Times New Roman"/>
          <w:b/>
          <w:bCs/>
          <w:rtl/>
          <w:lang w:eastAsia="de-DE"/>
        </w:rPr>
        <w:t>קָדֹשׁ יִהְיֶה</w:t>
      </w:r>
      <w:r w:rsidRPr="00EC7F0D">
        <w:rPr>
          <w:rFonts w:eastAsia="Times New Roman" w:cs="Times New Roman"/>
          <w:rtl/>
          <w:lang w:eastAsia="de-DE"/>
        </w:rPr>
        <w:t xml:space="preserve"> </w:t>
      </w:r>
      <w:r w:rsidRPr="00EC7F0D">
        <w:rPr>
          <w:rFonts w:eastAsia="Times New Roman" w:cs="Times New Roman"/>
          <w:lang w:eastAsia="de-DE"/>
        </w:rPr>
        <w:t xml:space="preserve">(heilig soll er sein) mit </w:t>
      </w:r>
      <w:r w:rsidRPr="00EC7F0D">
        <w:rPr>
          <w:rFonts w:eastAsia="Times New Roman" w:cs="Times New Roman"/>
          <w:b/>
          <w:bCs/>
          <w:rtl/>
          <w:lang w:eastAsia="de-DE"/>
        </w:rPr>
        <w:t>קָדֹשׁ</w:t>
      </w:r>
      <w:r w:rsidRPr="00EC7F0D">
        <w:rPr>
          <w:rFonts w:eastAsia="Times New Roman" w:cs="Times New Roman"/>
          <w:rtl/>
          <w:lang w:eastAsia="de-DE"/>
        </w:rPr>
        <w:t xml:space="preserve"> </w:t>
      </w:r>
      <w:r w:rsidRPr="00EC7F0D">
        <w:rPr>
          <w:rFonts w:eastAsia="Times New Roman" w:cs="Times New Roman"/>
          <w:lang w:eastAsia="de-DE"/>
        </w:rPr>
        <w:t xml:space="preserve">(heilig) und </w:t>
      </w:r>
      <w:r w:rsidRPr="00EC7F0D">
        <w:rPr>
          <w:rFonts w:eastAsia="Times New Roman" w:cs="Times New Roman"/>
          <w:b/>
          <w:bCs/>
          <w:rtl/>
          <w:lang w:eastAsia="de-DE"/>
        </w:rPr>
        <w:t>יִהְיֶה</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היה</w:t>
      </w:r>
      <w:r w:rsidRPr="00EC7F0D">
        <w:rPr>
          <w:rFonts w:eastAsia="Times New Roman" w:cs="Times New Roman"/>
          <w:rtl/>
          <w:lang w:eastAsia="de-DE"/>
        </w:rPr>
        <w:t xml:space="preserve"> </w:t>
      </w:r>
      <w:r w:rsidRPr="00EC7F0D">
        <w:rPr>
          <w:rFonts w:eastAsia="Times New Roman" w:cs="Times New Roman"/>
          <w:lang w:eastAsia="de-DE"/>
        </w:rPr>
        <w:t>(sein) im Qal-Imperfekt 3. maskulin Singular zeigt den besonderen Status des Nasiräers.</w:t>
      </w:r>
    </w:p>
    <w:p w14:paraId="3492CA30"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Der abschließende Imperativ </w:t>
      </w:r>
      <w:r w:rsidRPr="00EC7F0D">
        <w:rPr>
          <w:rFonts w:eastAsia="Times New Roman" w:cs="Times New Roman"/>
          <w:b/>
          <w:bCs/>
          <w:rtl/>
          <w:lang w:eastAsia="de-DE"/>
        </w:rPr>
        <w:t>גַּדֵּל פֶּרַע שְׂעַר רֹאשׁוֹ</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גַּדֵּל</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גדל</w:t>
      </w:r>
      <w:r w:rsidRPr="00EC7F0D">
        <w:rPr>
          <w:rFonts w:eastAsia="Times New Roman" w:cs="Times New Roman"/>
          <w:rtl/>
          <w:lang w:eastAsia="de-DE"/>
        </w:rPr>
        <w:t xml:space="preserve"> </w:t>
      </w:r>
      <w:r w:rsidRPr="00EC7F0D">
        <w:rPr>
          <w:rFonts w:eastAsia="Times New Roman" w:cs="Times New Roman"/>
          <w:lang w:eastAsia="de-DE"/>
        </w:rPr>
        <w:t xml:space="preserve">(wachsen lassen) im Pi'el-Imperativ, </w:t>
      </w:r>
      <w:r w:rsidRPr="00EC7F0D">
        <w:rPr>
          <w:rFonts w:eastAsia="Times New Roman" w:cs="Times New Roman"/>
          <w:b/>
          <w:bCs/>
          <w:rtl/>
          <w:lang w:eastAsia="de-DE"/>
        </w:rPr>
        <w:t>פֶּרַע</w:t>
      </w:r>
      <w:r w:rsidRPr="00EC7F0D">
        <w:rPr>
          <w:rFonts w:eastAsia="Times New Roman" w:cs="Times New Roman"/>
          <w:rtl/>
          <w:lang w:eastAsia="de-DE"/>
        </w:rPr>
        <w:t xml:space="preserve"> </w:t>
      </w:r>
      <w:r w:rsidRPr="00EC7F0D">
        <w:rPr>
          <w:rFonts w:eastAsia="Times New Roman" w:cs="Times New Roman"/>
          <w:lang w:eastAsia="de-DE"/>
        </w:rPr>
        <w:t xml:space="preserve">(frei wachsen/wild wuchern) und </w:t>
      </w:r>
      <w:r w:rsidRPr="00EC7F0D">
        <w:rPr>
          <w:rFonts w:eastAsia="Times New Roman" w:cs="Times New Roman"/>
          <w:b/>
          <w:bCs/>
          <w:rtl/>
          <w:lang w:eastAsia="de-DE"/>
        </w:rPr>
        <w:t>שְׂעַר רֹאשׁוֹ</w:t>
      </w:r>
      <w:r w:rsidRPr="00EC7F0D">
        <w:rPr>
          <w:rFonts w:eastAsia="Times New Roman" w:cs="Times New Roman"/>
          <w:rtl/>
          <w:lang w:eastAsia="de-DE"/>
        </w:rPr>
        <w:t xml:space="preserve"> </w:t>
      </w:r>
      <w:r w:rsidRPr="00EC7F0D">
        <w:rPr>
          <w:rFonts w:eastAsia="Times New Roman" w:cs="Times New Roman"/>
          <w:lang w:eastAsia="de-DE"/>
        </w:rPr>
        <w:t>(Haar seines Hauptes) zeigt die positive Seite des Schurverbots.</w:t>
      </w:r>
    </w:p>
    <w:p w14:paraId="7E636BED"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Die LXX</w:t>
      </w:r>
      <w:r w:rsidRPr="00EC7F0D">
        <w:rPr>
          <w:rFonts w:eastAsia="Times New Roman" w:cs="Times New Roman"/>
          <w:lang w:eastAsia="de-DE"/>
        </w:rPr>
        <w:t xml:space="preserve"> übersetzt </w:t>
      </w:r>
      <w:r w:rsidRPr="00EC7F0D">
        <w:rPr>
          <w:rFonts w:eastAsia="Times New Roman" w:cs="Times New Roman"/>
          <w:b/>
          <w:bCs/>
          <w:rtl/>
          <w:lang w:eastAsia="de-DE"/>
        </w:rPr>
        <w:t>פֶּרַע</w:t>
      </w:r>
      <w:r w:rsidRPr="00EC7F0D">
        <w:rPr>
          <w:rFonts w:eastAsia="Times New Roman" w:cs="Times New Roman"/>
          <w:rtl/>
          <w:lang w:eastAsia="de-DE"/>
        </w:rPr>
        <w:t xml:space="preserve"> </w:t>
      </w:r>
      <w:r w:rsidRPr="00EC7F0D">
        <w:rPr>
          <w:rFonts w:eastAsia="Times New Roman" w:cs="Times New Roman"/>
          <w:lang w:eastAsia="de-DE"/>
        </w:rPr>
        <w:t>mit κόμην (Haupthaar), was weniger die wilde, ungepflegte Natur betont als das hebräische Wort. Sie verwendet ἅγιος ἔσται (heilig wird er sein) und betont damit stärker den zukünftigen Heiligkeitsstatus.</w:t>
      </w:r>
    </w:p>
    <w:p w14:paraId="473050CB"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lastRenderedPageBreak/>
        <w:t>Die Satzstruktur zeigt eine temporale Einleitung, ein negatives Verbot, eine verstärkende Zeitbestimmung, eine Statusdeklaration und einen positiven Imperativ.</w:t>
      </w:r>
    </w:p>
    <w:p w14:paraId="23985297"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Dieser Vers etabliert die zweite Haupteinschränkung des Nasiräats: das Schurverbot als sichtbares Zeichen der Heiligkeit und Gottesweihung.</w:t>
      </w:r>
    </w:p>
    <w:p w14:paraId="25A53257" w14:textId="77777777" w:rsidR="00EC7F0D" w:rsidRPr="00EC7F0D" w:rsidRDefault="00EC7F0D" w:rsidP="00EC7F0D">
      <w:pPr>
        <w:spacing w:before="100" w:beforeAutospacing="1" w:after="100" w:afterAutospacing="1" w:line="240" w:lineRule="auto"/>
        <w:outlineLvl w:val="0"/>
        <w:rPr>
          <w:rFonts w:eastAsia="Times New Roman" w:cs="Times New Roman"/>
          <w:b/>
          <w:bCs/>
          <w:kern w:val="36"/>
          <w:sz w:val="48"/>
          <w:szCs w:val="48"/>
          <w:lang w:eastAsia="de-DE"/>
        </w:rPr>
      </w:pPr>
      <w:r w:rsidRPr="00EC7F0D">
        <w:rPr>
          <w:rFonts w:eastAsia="Times New Roman" w:cs="Times New Roman"/>
          <w:b/>
          <w:bCs/>
          <w:kern w:val="36"/>
          <w:sz w:val="48"/>
          <w:szCs w:val="48"/>
          <w:lang w:eastAsia="de-DE"/>
        </w:rPr>
        <w:t>Numeri 6,6</w:t>
      </w:r>
    </w:p>
    <w:p w14:paraId="4D88F205"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Hebräisch:</w:t>
      </w:r>
      <w:r w:rsidRPr="00EC7F0D">
        <w:rPr>
          <w:rFonts w:eastAsia="Times New Roman" w:cs="Times New Roman"/>
          <w:lang w:eastAsia="de-DE"/>
        </w:rPr>
        <w:t xml:space="preserve"> </w:t>
      </w:r>
      <w:r w:rsidRPr="00EC7F0D">
        <w:rPr>
          <w:rFonts w:eastAsia="Times New Roman" w:cs="Times New Roman"/>
          <w:rtl/>
          <w:lang w:eastAsia="de-DE"/>
        </w:rPr>
        <w:t>כָּל־יְמֵ֥י הַזִּירֹ֖ו לַיהוָ֑ה עַל־נֶ֥פֶשׁ מֵ֖ת לֹ֥א יָבֹֽא׃</w:t>
      </w:r>
    </w:p>
    <w:p w14:paraId="19B98F6C"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Deutsch:</w:t>
      </w:r>
      <w:r w:rsidRPr="00EC7F0D">
        <w:rPr>
          <w:rFonts w:eastAsia="Times New Roman" w:cs="Times New Roman"/>
          <w:lang w:eastAsia="de-DE"/>
        </w:rPr>
        <w:t xml:space="preserve"> Alle Tage, die er sich dem Ewigen geweiht hat, soll er zu keiner Leiche kommen.</w:t>
      </w:r>
    </w:p>
    <w:p w14:paraId="7EBFE165" w14:textId="77777777" w:rsidR="00EC7F0D" w:rsidRPr="00EC7F0D" w:rsidRDefault="00F329DD" w:rsidP="00EC7F0D">
      <w:pPr>
        <w:spacing w:after="0" w:line="240" w:lineRule="auto"/>
        <w:rPr>
          <w:rFonts w:eastAsia="Times New Roman" w:cs="Times New Roman"/>
          <w:lang w:eastAsia="de-DE"/>
        </w:rPr>
      </w:pPr>
      <w:r>
        <w:rPr>
          <w:rFonts w:eastAsia="Times New Roman" w:cs="Times New Roman"/>
          <w:noProof/>
          <w:lang w:eastAsia="de-DE"/>
        </w:rPr>
        <w:pict w14:anchorId="4296F0CD">
          <v:rect id="_x0000_i1249" style="width:0;height:1.5pt" o:hralign="center" o:hrstd="t" o:hr="t" fillcolor="#a0a0a0" stroked="f"/>
        </w:pict>
      </w:r>
    </w:p>
    <w:p w14:paraId="2236E49E" w14:textId="17F25631"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Kommentar:</w:t>
      </w:r>
      <w:r w:rsidRPr="00EC7F0D">
        <w:rPr>
          <w:rFonts w:eastAsia="Times New Roman" w:cs="Times New Roman"/>
          <w:lang w:eastAsia="de-DE"/>
        </w:rPr>
        <w:t xml:space="preserve"> Die temporale Bestimmung </w:t>
      </w:r>
      <w:r w:rsidRPr="00EC7F0D">
        <w:rPr>
          <w:rFonts w:eastAsia="Times New Roman" w:cs="Times New Roman"/>
          <w:b/>
          <w:bCs/>
          <w:rtl/>
          <w:lang w:eastAsia="de-DE"/>
        </w:rPr>
        <w:t>כָּל־יְמֵי הַזִּירוֹ לַיהוָה</w:t>
      </w:r>
      <w:r w:rsidRPr="00EC7F0D">
        <w:rPr>
          <w:rFonts w:eastAsia="Times New Roman" w:cs="Times New Roman"/>
          <w:rtl/>
          <w:lang w:eastAsia="de-DE"/>
        </w:rPr>
        <w:t xml:space="preserve"> </w:t>
      </w:r>
      <w:r w:rsidRPr="00EC7F0D">
        <w:rPr>
          <w:rFonts w:eastAsia="Times New Roman" w:cs="Times New Roman"/>
          <w:lang w:eastAsia="de-DE"/>
        </w:rPr>
        <w:t xml:space="preserve">(alle Tage, die er sich dem Ewigen geweiht hat) mit </w:t>
      </w:r>
      <w:r w:rsidRPr="00EC7F0D">
        <w:rPr>
          <w:rFonts w:eastAsia="Times New Roman" w:cs="Times New Roman"/>
          <w:b/>
          <w:bCs/>
          <w:rtl/>
          <w:lang w:eastAsia="de-DE"/>
        </w:rPr>
        <w:t>הַזִּירוֹ</w:t>
      </w:r>
      <w:r w:rsidRPr="00EC7F0D">
        <w:rPr>
          <w:rFonts w:eastAsia="Times New Roman" w:cs="Times New Roman"/>
          <w:rtl/>
          <w:lang w:eastAsia="de-DE"/>
        </w:rPr>
        <w:t xml:space="preserve"> </w:t>
      </w:r>
      <w:r w:rsidRPr="00EC7F0D">
        <w:rPr>
          <w:rFonts w:eastAsia="Times New Roman" w:cs="Times New Roman"/>
          <w:lang w:eastAsia="de-DE"/>
        </w:rPr>
        <w:t>(seines Sich-Weihens) als Hiph'il-Infinitiv-</w:t>
      </w:r>
      <w:r w:rsidR="00F133EC">
        <w:rPr>
          <w:rFonts w:eastAsia="Times New Roman" w:cs="Times New Roman"/>
          <w:lang w:eastAsia="de-DE"/>
        </w:rPr>
        <w:t>Construct</w:t>
      </w:r>
      <w:r w:rsidRPr="00EC7F0D">
        <w:rPr>
          <w:rFonts w:eastAsia="Times New Roman" w:cs="Times New Roman"/>
          <w:lang w:eastAsia="de-DE"/>
        </w:rPr>
        <w:t xml:space="preserve"> von </w:t>
      </w:r>
      <w:r w:rsidRPr="00EC7F0D">
        <w:rPr>
          <w:rFonts w:eastAsia="Times New Roman" w:cs="Times New Roman"/>
          <w:b/>
          <w:bCs/>
          <w:rtl/>
          <w:lang w:eastAsia="de-DE"/>
        </w:rPr>
        <w:t>נזר</w:t>
      </w:r>
      <w:r w:rsidRPr="00EC7F0D">
        <w:rPr>
          <w:rFonts w:eastAsia="Times New Roman" w:cs="Times New Roman"/>
          <w:rtl/>
          <w:lang w:eastAsia="de-DE"/>
        </w:rPr>
        <w:t xml:space="preserve"> </w:t>
      </w:r>
      <w:r w:rsidRPr="00EC7F0D">
        <w:rPr>
          <w:rFonts w:eastAsia="Times New Roman" w:cs="Times New Roman"/>
          <w:lang w:eastAsia="de-DE"/>
        </w:rPr>
        <w:t xml:space="preserve">(sich weihen) mit Possessivsuffix und </w:t>
      </w:r>
      <w:r w:rsidRPr="00EC7F0D">
        <w:rPr>
          <w:rFonts w:eastAsia="Times New Roman" w:cs="Times New Roman"/>
          <w:b/>
          <w:bCs/>
          <w:rtl/>
          <w:lang w:eastAsia="de-DE"/>
        </w:rPr>
        <w:t>לַיהוָה</w:t>
      </w:r>
      <w:r w:rsidRPr="00EC7F0D">
        <w:rPr>
          <w:rFonts w:eastAsia="Times New Roman" w:cs="Times New Roman"/>
          <w:rtl/>
          <w:lang w:eastAsia="de-DE"/>
        </w:rPr>
        <w:t xml:space="preserve"> </w:t>
      </w:r>
      <w:r w:rsidRPr="00EC7F0D">
        <w:rPr>
          <w:rFonts w:eastAsia="Times New Roman" w:cs="Times New Roman"/>
          <w:lang w:eastAsia="de-DE"/>
        </w:rPr>
        <w:t>(dem Ewigen) betont die theozentrische Ausrichtung der Weihe.</w:t>
      </w:r>
    </w:p>
    <w:p w14:paraId="2EED3DDE"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präpositionale Phrase </w:t>
      </w:r>
      <w:r w:rsidRPr="00EC7F0D">
        <w:rPr>
          <w:rFonts w:eastAsia="Times New Roman" w:cs="Times New Roman"/>
          <w:b/>
          <w:bCs/>
          <w:rtl/>
          <w:lang w:eastAsia="de-DE"/>
        </w:rPr>
        <w:t>עַל־נֶפֶשׁ מֵת</w:t>
      </w:r>
      <w:r w:rsidRPr="00EC7F0D">
        <w:rPr>
          <w:rFonts w:eastAsia="Times New Roman" w:cs="Times New Roman"/>
          <w:rtl/>
          <w:lang w:eastAsia="de-DE"/>
        </w:rPr>
        <w:t xml:space="preserve"> </w:t>
      </w:r>
      <w:r w:rsidRPr="00EC7F0D">
        <w:rPr>
          <w:rFonts w:eastAsia="Times New Roman" w:cs="Times New Roman"/>
          <w:lang w:eastAsia="de-DE"/>
        </w:rPr>
        <w:t xml:space="preserve">(zu einer Leiche) mit </w:t>
      </w:r>
      <w:r w:rsidRPr="00EC7F0D">
        <w:rPr>
          <w:rFonts w:eastAsia="Times New Roman" w:cs="Times New Roman"/>
          <w:b/>
          <w:bCs/>
          <w:rtl/>
          <w:lang w:eastAsia="de-DE"/>
        </w:rPr>
        <w:t>עַל</w:t>
      </w:r>
      <w:r w:rsidRPr="00EC7F0D">
        <w:rPr>
          <w:rFonts w:eastAsia="Times New Roman" w:cs="Times New Roman"/>
          <w:rtl/>
          <w:lang w:eastAsia="de-DE"/>
        </w:rPr>
        <w:t xml:space="preserve"> </w:t>
      </w:r>
      <w:r w:rsidRPr="00EC7F0D">
        <w:rPr>
          <w:rFonts w:eastAsia="Times New Roman" w:cs="Times New Roman"/>
          <w:lang w:eastAsia="de-DE"/>
        </w:rPr>
        <w:t xml:space="preserve">(zu/über), </w:t>
      </w:r>
      <w:r w:rsidRPr="00EC7F0D">
        <w:rPr>
          <w:rFonts w:eastAsia="Times New Roman" w:cs="Times New Roman"/>
          <w:b/>
          <w:bCs/>
          <w:rtl/>
          <w:lang w:eastAsia="de-DE"/>
        </w:rPr>
        <w:t>נֶפֶשׁ</w:t>
      </w:r>
      <w:r w:rsidRPr="00EC7F0D">
        <w:rPr>
          <w:rFonts w:eastAsia="Times New Roman" w:cs="Times New Roman"/>
          <w:rtl/>
          <w:lang w:eastAsia="de-DE"/>
        </w:rPr>
        <w:t xml:space="preserve"> </w:t>
      </w:r>
      <w:r w:rsidRPr="00EC7F0D">
        <w:rPr>
          <w:rFonts w:eastAsia="Times New Roman" w:cs="Times New Roman"/>
          <w:lang w:eastAsia="de-DE"/>
        </w:rPr>
        <w:t xml:space="preserve">(Seele/Person) und </w:t>
      </w:r>
      <w:r w:rsidRPr="00EC7F0D">
        <w:rPr>
          <w:rFonts w:eastAsia="Times New Roman" w:cs="Times New Roman"/>
          <w:b/>
          <w:bCs/>
          <w:rtl/>
          <w:lang w:eastAsia="de-DE"/>
        </w:rPr>
        <w:t>מֵת</w:t>
      </w:r>
      <w:r w:rsidRPr="00EC7F0D">
        <w:rPr>
          <w:rFonts w:eastAsia="Times New Roman" w:cs="Times New Roman"/>
          <w:rtl/>
          <w:lang w:eastAsia="de-DE"/>
        </w:rPr>
        <w:t xml:space="preserve"> </w:t>
      </w:r>
      <w:r w:rsidRPr="00EC7F0D">
        <w:rPr>
          <w:rFonts w:eastAsia="Times New Roman" w:cs="Times New Roman"/>
          <w:lang w:eastAsia="de-DE"/>
        </w:rPr>
        <w:t>(tot) bezeichnet euphemistisch eine Leiche durch das hebräische Konzept der "toten Seele".</w:t>
      </w:r>
    </w:p>
    <w:p w14:paraId="5E6B3787"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Negation </w:t>
      </w:r>
      <w:r w:rsidRPr="00EC7F0D">
        <w:rPr>
          <w:rFonts w:eastAsia="Times New Roman" w:cs="Times New Roman"/>
          <w:b/>
          <w:bCs/>
          <w:rtl/>
          <w:lang w:eastAsia="de-DE"/>
        </w:rPr>
        <w:t>לֹא יָבֹא</w:t>
      </w:r>
      <w:r w:rsidRPr="00EC7F0D">
        <w:rPr>
          <w:rFonts w:eastAsia="Times New Roman" w:cs="Times New Roman"/>
          <w:rtl/>
          <w:lang w:eastAsia="de-DE"/>
        </w:rPr>
        <w:t xml:space="preserve"> </w:t>
      </w:r>
      <w:r w:rsidRPr="00EC7F0D">
        <w:rPr>
          <w:rFonts w:eastAsia="Times New Roman" w:cs="Times New Roman"/>
          <w:lang w:eastAsia="de-DE"/>
        </w:rPr>
        <w:t xml:space="preserve">(er soll nicht kommen) mit </w:t>
      </w:r>
      <w:r w:rsidRPr="00EC7F0D">
        <w:rPr>
          <w:rFonts w:eastAsia="Times New Roman" w:cs="Times New Roman"/>
          <w:b/>
          <w:bCs/>
          <w:rtl/>
          <w:lang w:eastAsia="de-DE"/>
        </w:rPr>
        <w:t>יָבֹא</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בוא</w:t>
      </w:r>
      <w:r w:rsidRPr="00EC7F0D">
        <w:rPr>
          <w:rFonts w:eastAsia="Times New Roman" w:cs="Times New Roman"/>
          <w:rtl/>
          <w:lang w:eastAsia="de-DE"/>
        </w:rPr>
        <w:t xml:space="preserve"> </w:t>
      </w:r>
      <w:r w:rsidRPr="00EC7F0D">
        <w:rPr>
          <w:rFonts w:eastAsia="Times New Roman" w:cs="Times New Roman"/>
          <w:lang w:eastAsia="de-DE"/>
        </w:rPr>
        <w:t>(kommen) im Qal-Imperfekt 3. maskulin Singular etabliert das absolute Leichenunreinheitsverbot.</w:t>
      </w:r>
    </w:p>
    <w:p w14:paraId="523E13A1"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Die LXX</w:t>
      </w:r>
      <w:r w:rsidRPr="00EC7F0D">
        <w:rPr>
          <w:rFonts w:eastAsia="Times New Roman" w:cs="Times New Roman"/>
          <w:lang w:eastAsia="de-DE"/>
        </w:rPr>
        <w:t xml:space="preserve"> übersetzt </w:t>
      </w:r>
      <w:r w:rsidRPr="00EC7F0D">
        <w:rPr>
          <w:rFonts w:eastAsia="Times New Roman" w:cs="Times New Roman"/>
          <w:rtl/>
          <w:lang w:eastAsia="de-DE"/>
        </w:rPr>
        <w:t>נֶפֶשׁ מֵת</w:t>
      </w:r>
      <w:r w:rsidRPr="00EC7F0D">
        <w:rPr>
          <w:rFonts w:eastAsia="Times New Roman" w:cs="Times New Roman"/>
          <w:lang w:eastAsia="de-DE"/>
        </w:rPr>
        <w:t xml:space="preserve"> mit ψυχῇ τετελευτηκυίᾳ (zu einer verstorbenen Seele), was philosophischer klingt als das hebräische Euphemismus und stärker die Seele als vom Körper getrennt darstellt.</w:t>
      </w:r>
    </w:p>
    <w:p w14:paraId="3283DC4F"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 Satzstruktur zeigt eine temporale Bestimmung mit theozentrischem Fokus und ein absolutes Verbot des Leichenkonakts.</w:t>
      </w:r>
    </w:p>
    <w:p w14:paraId="07A78DDB"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Dieser Vers etabliert die dritte Haupteinschränkung des Nasiräats: absolute Leichenunreinheitsvermeidung, die sogar über priesterliche Standards hinausgeht.</w:t>
      </w:r>
    </w:p>
    <w:p w14:paraId="41F9C527" w14:textId="77777777" w:rsidR="00EC7F0D" w:rsidRPr="00EC7F0D" w:rsidRDefault="00EC7F0D" w:rsidP="00EC7F0D">
      <w:pPr>
        <w:spacing w:before="100" w:beforeAutospacing="1" w:after="100" w:afterAutospacing="1" w:line="240" w:lineRule="auto"/>
        <w:outlineLvl w:val="0"/>
        <w:rPr>
          <w:rFonts w:eastAsia="Times New Roman" w:cs="Times New Roman"/>
          <w:b/>
          <w:bCs/>
          <w:kern w:val="36"/>
          <w:sz w:val="48"/>
          <w:szCs w:val="48"/>
          <w:lang w:eastAsia="de-DE"/>
        </w:rPr>
      </w:pPr>
      <w:r w:rsidRPr="00EC7F0D">
        <w:rPr>
          <w:rFonts w:eastAsia="Times New Roman" w:cs="Times New Roman"/>
          <w:b/>
          <w:bCs/>
          <w:kern w:val="36"/>
          <w:sz w:val="48"/>
          <w:szCs w:val="48"/>
          <w:lang w:eastAsia="de-DE"/>
        </w:rPr>
        <w:t>Numeri 6,7</w:t>
      </w:r>
    </w:p>
    <w:p w14:paraId="260D44A8"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Hebräisch:</w:t>
      </w:r>
      <w:r w:rsidRPr="00EC7F0D">
        <w:rPr>
          <w:rFonts w:eastAsia="Times New Roman" w:cs="Times New Roman"/>
          <w:lang w:eastAsia="de-DE"/>
        </w:rPr>
        <w:t xml:space="preserve"> </w:t>
      </w:r>
      <w:r w:rsidRPr="00EC7F0D">
        <w:rPr>
          <w:rFonts w:eastAsia="Times New Roman" w:cs="Times New Roman"/>
          <w:rtl/>
          <w:lang w:eastAsia="de-DE"/>
        </w:rPr>
        <w:t>לְאָבִ֣יו וּלְאִמֹּ֗ו לְאָחִיו֙ וּלְאַ֣חֹתוֹ֔ לֹא־יִטַּמָּ֥א לָהֶ֖ם בְּמֹתָ֑ם כִּ֛י נֵ֥זֶר אֱלֹהָ֖יו עַל־רֹאשֹֽׁו׃</w:t>
      </w:r>
    </w:p>
    <w:p w14:paraId="660FB28D"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Deutsch:</w:t>
      </w:r>
      <w:r w:rsidRPr="00EC7F0D">
        <w:rPr>
          <w:rFonts w:eastAsia="Times New Roman" w:cs="Times New Roman"/>
          <w:lang w:eastAsia="de-DE"/>
        </w:rPr>
        <w:t xml:space="preserve"> Wegen seines Vaters und wegen seiner Mutter, wegen seines Bruders und wegen seiner Schwester - ihretwegen soll er sich nicht verunreinigen, wenn sie sterben; denn die Weihe seines Gottes ist auf seinem Haupt.</w:t>
      </w:r>
    </w:p>
    <w:p w14:paraId="0341BD0B" w14:textId="77777777" w:rsidR="00EC7F0D" w:rsidRPr="00EC7F0D" w:rsidRDefault="00F329DD" w:rsidP="00EC7F0D">
      <w:pPr>
        <w:spacing w:after="0" w:line="240" w:lineRule="auto"/>
        <w:rPr>
          <w:rFonts w:eastAsia="Times New Roman" w:cs="Times New Roman"/>
          <w:lang w:eastAsia="de-DE"/>
        </w:rPr>
      </w:pPr>
      <w:r>
        <w:rPr>
          <w:rFonts w:eastAsia="Times New Roman" w:cs="Times New Roman"/>
          <w:noProof/>
          <w:lang w:eastAsia="de-DE"/>
        </w:rPr>
        <w:pict w14:anchorId="33A0B4D3">
          <v:rect id="_x0000_i1250" style="width:0;height:1.5pt" o:hralign="center" o:hrstd="t" o:hr="t" fillcolor="#a0a0a0" stroked="f"/>
        </w:pict>
      </w:r>
    </w:p>
    <w:p w14:paraId="0BFDFF1B"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b/>
          <w:bCs/>
          <w:lang w:eastAsia="de-DE"/>
        </w:rPr>
        <w:t>Kommentar:</w:t>
      </w:r>
      <w:r w:rsidRPr="00EC7F0D">
        <w:rPr>
          <w:rFonts w:eastAsia="Times New Roman" w:cs="Times New Roman"/>
          <w:lang w:eastAsia="de-DE"/>
        </w:rPr>
        <w:t xml:space="preserve"> Die systematische Aufzählung </w:t>
      </w:r>
      <w:r w:rsidRPr="00EC7F0D">
        <w:rPr>
          <w:rFonts w:eastAsia="Times New Roman" w:cs="Times New Roman"/>
          <w:b/>
          <w:bCs/>
          <w:rtl/>
          <w:lang w:eastAsia="de-DE"/>
        </w:rPr>
        <w:t>לְאָבִיו וּלְאִמּוֹ לְאָחִיו וּלְאַחֹתוֹ</w:t>
      </w:r>
      <w:r w:rsidRPr="00EC7F0D">
        <w:rPr>
          <w:rFonts w:eastAsia="Times New Roman" w:cs="Times New Roman"/>
          <w:rtl/>
          <w:lang w:eastAsia="de-DE"/>
        </w:rPr>
        <w:t xml:space="preserve"> </w:t>
      </w:r>
      <w:r w:rsidRPr="00EC7F0D">
        <w:rPr>
          <w:rFonts w:eastAsia="Times New Roman" w:cs="Times New Roman"/>
          <w:lang w:eastAsia="de-DE"/>
        </w:rPr>
        <w:t xml:space="preserve">(für seinen Vater und für seine Mutter, für seinen Bruder und für seine Schwester) mit der präpositionalen Reihe </w:t>
      </w:r>
      <w:r w:rsidRPr="00EC7F0D">
        <w:rPr>
          <w:rFonts w:eastAsia="Times New Roman" w:cs="Times New Roman"/>
          <w:b/>
          <w:bCs/>
          <w:rtl/>
          <w:lang w:eastAsia="de-DE"/>
        </w:rPr>
        <w:t>לְ</w:t>
      </w:r>
      <w:r w:rsidRPr="00EC7F0D">
        <w:rPr>
          <w:rFonts w:eastAsia="Times New Roman" w:cs="Times New Roman"/>
          <w:rtl/>
          <w:lang w:eastAsia="de-DE"/>
        </w:rPr>
        <w:t xml:space="preserve"> </w:t>
      </w:r>
      <w:r w:rsidRPr="00EC7F0D">
        <w:rPr>
          <w:rFonts w:eastAsia="Times New Roman" w:cs="Times New Roman"/>
          <w:lang w:eastAsia="de-DE"/>
        </w:rPr>
        <w:lastRenderedPageBreak/>
        <w:t>(für/wegen) und entsprechenden Possessivsuffixen 3. maskulin Singular zeigt die engsten Familienbeziehungen.</w:t>
      </w:r>
    </w:p>
    <w:p w14:paraId="2A305374"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emphatische Negation </w:t>
      </w:r>
      <w:r w:rsidRPr="00EC7F0D">
        <w:rPr>
          <w:rFonts w:eastAsia="Times New Roman" w:cs="Times New Roman"/>
          <w:b/>
          <w:bCs/>
          <w:rtl/>
          <w:lang w:eastAsia="de-DE"/>
        </w:rPr>
        <w:t>לֹא־יִטַּמָּא לָהֶם בְּמֹתָם</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לֹא</w:t>
      </w:r>
      <w:r w:rsidRPr="00EC7F0D">
        <w:rPr>
          <w:rFonts w:eastAsia="Times New Roman" w:cs="Times New Roman"/>
          <w:rtl/>
          <w:lang w:eastAsia="de-DE"/>
        </w:rPr>
        <w:t xml:space="preserve"> </w:t>
      </w:r>
      <w:r w:rsidRPr="00EC7F0D">
        <w:rPr>
          <w:rFonts w:eastAsia="Times New Roman" w:cs="Times New Roman"/>
          <w:lang w:eastAsia="de-DE"/>
        </w:rPr>
        <w:t xml:space="preserve">(nicht), </w:t>
      </w:r>
      <w:r w:rsidRPr="00EC7F0D">
        <w:rPr>
          <w:rFonts w:eastAsia="Times New Roman" w:cs="Times New Roman"/>
          <w:b/>
          <w:bCs/>
          <w:rtl/>
          <w:lang w:eastAsia="de-DE"/>
        </w:rPr>
        <w:t>יִטַּמָּא</w:t>
      </w:r>
      <w:r w:rsidRPr="00EC7F0D">
        <w:rPr>
          <w:rFonts w:eastAsia="Times New Roman" w:cs="Times New Roman"/>
          <w:rtl/>
          <w:lang w:eastAsia="de-DE"/>
        </w:rPr>
        <w:t xml:space="preserve"> </w:t>
      </w:r>
      <w:r w:rsidRPr="00EC7F0D">
        <w:rPr>
          <w:rFonts w:eastAsia="Times New Roman" w:cs="Times New Roman"/>
          <w:lang w:eastAsia="de-DE"/>
        </w:rPr>
        <w:t xml:space="preserve">von </w:t>
      </w:r>
      <w:r w:rsidRPr="00EC7F0D">
        <w:rPr>
          <w:rFonts w:eastAsia="Times New Roman" w:cs="Times New Roman"/>
          <w:b/>
          <w:bCs/>
          <w:rtl/>
          <w:lang w:eastAsia="de-DE"/>
        </w:rPr>
        <w:t>טמא</w:t>
      </w:r>
      <w:r w:rsidRPr="00EC7F0D">
        <w:rPr>
          <w:rFonts w:eastAsia="Times New Roman" w:cs="Times New Roman"/>
          <w:rtl/>
          <w:lang w:eastAsia="de-DE"/>
        </w:rPr>
        <w:t xml:space="preserve"> </w:t>
      </w:r>
      <w:r w:rsidRPr="00EC7F0D">
        <w:rPr>
          <w:rFonts w:eastAsia="Times New Roman" w:cs="Times New Roman"/>
          <w:lang w:eastAsia="de-DE"/>
        </w:rPr>
        <w:t xml:space="preserve">(unrein werden) im Niph'al-Imperfekt 3. maskulin Singular, </w:t>
      </w:r>
      <w:r w:rsidRPr="00EC7F0D">
        <w:rPr>
          <w:rFonts w:eastAsia="Times New Roman" w:cs="Times New Roman"/>
          <w:b/>
          <w:bCs/>
          <w:rtl/>
          <w:lang w:eastAsia="de-DE"/>
        </w:rPr>
        <w:t>לָהֶם</w:t>
      </w:r>
      <w:r w:rsidRPr="00EC7F0D">
        <w:rPr>
          <w:rFonts w:eastAsia="Times New Roman" w:cs="Times New Roman"/>
          <w:rtl/>
          <w:lang w:eastAsia="de-DE"/>
        </w:rPr>
        <w:t xml:space="preserve"> </w:t>
      </w:r>
      <w:r w:rsidRPr="00EC7F0D">
        <w:rPr>
          <w:rFonts w:eastAsia="Times New Roman" w:cs="Times New Roman"/>
          <w:lang w:eastAsia="de-DE"/>
        </w:rPr>
        <w:t xml:space="preserve">(für sie) und </w:t>
      </w:r>
      <w:r w:rsidRPr="00EC7F0D">
        <w:rPr>
          <w:rFonts w:eastAsia="Times New Roman" w:cs="Times New Roman"/>
          <w:b/>
          <w:bCs/>
          <w:rtl/>
          <w:lang w:eastAsia="de-DE"/>
        </w:rPr>
        <w:t>בְּמֹתָם</w:t>
      </w:r>
      <w:r w:rsidRPr="00EC7F0D">
        <w:rPr>
          <w:rFonts w:eastAsia="Times New Roman" w:cs="Times New Roman"/>
          <w:rtl/>
          <w:lang w:eastAsia="de-DE"/>
        </w:rPr>
        <w:t xml:space="preserve"> </w:t>
      </w:r>
      <w:r w:rsidRPr="00EC7F0D">
        <w:rPr>
          <w:rFonts w:eastAsia="Times New Roman" w:cs="Times New Roman"/>
          <w:lang w:eastAsia="de-DE"/>
        </w:rPr>
        <w:t xml:space="preserve">(in ihrem Tod) mit </w:t>
      </w:r>
      <w:r w:rsidRPr="00EC7F0D">
        <w:rPr>
          <w:rFonts w:eastAsia="Times New Roman" w:cs="Times New Roman"/>
          <w:b/>
          <w:bCs/>
          <w:rtl/>
          <w:lang w:eastAsia="de-DE"/>
        </w:rPr>
        <w:t>מוֹת</w:t>
      </w:r>
      <w:r w:rsidRPr="00EC7F0D">
        <w:rPr>
          <w:rFonts w:eastAsia="Times New Roman" w:cs="Times New Roman"/>
          <w:rtl/>
          <w:lang w:eastAsia="de-DE"/>
        </w:rPr>
        <w:t xml:space="preserve"> </w:t>
      </w:r>
      <w:r w:rsidRPr="00EC7F0D">
        <w:rPr>
          <w:rFonts w:eastAsia="Times New Roman" w:cs="Times New Roman"/>
          <w:lang w:eastAsia="de-DE"/>
        </w:rPr>
        <w:t>(Tod) plus Possessivsuffix 3. maskulin Plural zeigt das Ausmaß des Verbots: selbst bei den nächsten Angehörigen.</w:t>
      </w:r>
    </w:p>
    <w:p w14:paraId="1AFE4CCB" w14:textId="4C6E92D6"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 xml:space="preserve">Die theologische Begründung </w:t>
      </w:r>
      <w:r w:rsidRPr="00EC7F0D">
        <w:rPr>
          <w:rFonts w:eastAsia="Times New Roman" w:cs="Times New Roman"/>
          <w:b/>
          <w:bCs/>
          <w:rtl/>
          <w:lang w:eastAsia="de-DE"/>
        </w:rPr>
        <w:t>כִּי נֵזֶר אֱלֹהָיו עַל־רֹאשׁוֹ</w:t>
      </w:r>
      <w:r w:rsidRPr="00EC7F0D">
        <w:rPr>
          <w:rFonts w:eastAsia="Times New Roman" w:cs="Times New Roman"/>
          <w:rtl/>
          <w:lang w:eastAsia="de-DE"/>
        </w:rPr>
        <w:t xml:space="preserve"> </w:t>
      </w:r>
      <w:r w:rsidRPr="00EC7F0D">
        <w:rPr>
          <w:rFonts w:eastAsia="Times New Roman" w:cs="Times New Roman"/>
          <w:lang w:eastAsia="de-DE"/>
        </w:rPr>
        <w:t xml:space="preserve">mit </w:t>
      </w:r>
      <w:r w:rsidRPr="00EC7F0D">
        <w:rPr>
          <w:rFonts w:eastAsia="Times New Roman" w:cs="Times New Roman"/>
          <w:b/>
          <w:bCs/>
          <w:rtl/>
          <w:lang w:eastAsia="de-DE"/>
        </w:rPr>
        <w:t>כִּי</w:t>
      </w:r>
      <w:r w:rsidRPr="00EC7F0D">
        <w:rPr>
          <w:rFonts w:eastAsia="Times New Roman" w:cs="Times New Roman"/>
          <w:rtl/>
          <w:lang w:eastAsia="de-DE"/>
        </w:rPr>
        <w:t xml:space="preserve"> </w:t>
      </w:r>
      <w:r w:rsidRPr="00EC7F0D">
        <w:rPr>
          <w:rFonts w:eastAsia="Times New Roman" w:cs="Times New Roman"/>
          <w:lang w:eastAsia="de-DE"/>
        </w:rPr>
        <w:t xml:space="preserve">(denn), </w:t>
      </w:r>
      <w:r w:rsidRPr="00EC7F0D">
        <w:rPr>
          <w:rFonts w:eastAsia="Times New Roman" w:cs="Times New Roman"/>
          <w:b/>
          <w:bCs/>
          <w:rtl/>
          <w:lang w:eastAsia="de-DE"/>
        </w:rPr>
        <w:t>נֵזֶר אֱלֹהָיו</w:t>
      </w:r>
      <w:r w:rsidRPr="00EC7F0D">
        <w:rPr>
          <w:rFonts w:eastAsia="Times New Roman" w:cs="Times New Roman"/>
          <w:rtl/>
          <w:lang w:eastAsia="de-DE"/>
        </w:rPr>
        <w:t xml:space="preserve"> </w:t>
      </w:r>
      <w:r w:rsidRPr="00EC7F0D">
        <w:rPr>
          <w:rFonts w:eastAsia="Times New Roman" w:cs="Times New Roman"/>
          <w:lang w:eastAsia="de-DE"/>
        </w:rPr>
        <w:t xml:space="preserve">(Weihe seines Gottes) im </w:t>
      </w:r>
      <w:r w:rsidR="00F133EC">
        <w:rPr>
          <w:rFonts w:eastAsia="Times New Roman" w:cs="Times New Roman"/>
          <w:lang w:eastAsia="de-DE"/>
        </w:rPr>
        <w:t>Construct</w:t>
      </w:r>
      <w:r w:rsidRPr="00EC7F0D">
        <w:rPr>
          <w:rFonts w:eastAsia="Times New Roman" w:cs="Times New Roman"/>
          <w:lang w:eastAsia="de-DE"/>
        </w:rPr>
        <w:t xml:space="preserve"> und </w:t>
      </w:r>
      <w:r w:rsidRPr="00EC7F0D">
        <w:rPr>
          <w:rFonts w:eastAsia="Times New Roman" w:cs="Times New Roman"/>
          <w:b/>
          <w:bCs/>
          <w:rtl/>
          <w:lang w:eastAsia="de-DE"/>
        </w:rPr>
        <w:t>עַל־רֹאשׁוֹ</w:t>
      </w:r>
      <w:r w:rsidRPr="00EC7F0D">
        <w:rPr>
          <w:rFonts w:eastAsia="Times New Roman" w:cs="Times New Roman"/>
          <w:rtl/>
          <w:lang w:eastAsia="de-DE"/>
        </w:rPr>
        <w:t xml:space="preserve"> </w:t>
      </w:r>
      <w:r w:rsidRPr="00EC7F0D">
        <w:rPr>
          <w:rFonts w:eastAsia="Times New Roman" w:cs="Times New Roman"/>
          <w:lang w:eastAsia="de-DE"/>
        </w:rPr>
        <w:t>(auf seinem Haupt) zeigt die physisch-sichtbare Präsenz der göttlichen Weihe durch das ungeschnittene Haar.</w:t>
      </w:r>
    </w:p>
    <w:p w14:paraId="28D4D32A" w14:textId="2747ED6F" w:rsidR="00EC7F0D" w:rsidRPr="00EC7F0D" w:rsidRDefault="006B48FB" w:rsidP="00EC7F0D">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נזר אלהיו על־ראשו</w:t>
      </w:r>
      <w:r>
        <w:t xml:space="preserve"> (nezer elohav al-rosho - "die Weihe seines Gottes ist auf seinem Haupt") als εὐχὴ θεοῦ αὐτοῦ ἐπʼ αὐτῷ ἐπὶ κεφαλῆς αὐτοῦ (das Gelübde seines Gottes ist auf ihm, auf seinem Haupt).</w:t>
      </w:r>
    </w:p>
    <w:p w14:paraId="07B5B210"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 Satzstruktur zeigt eine systematische Familienliste, ein emphatisches Verbot mit temporaler Spezifikation und eine theologische Begründung durch die physische Präsenz der Gottesweihe.</w:t>
      </w:r>
    </w:p>
    <w:p w14:paraId="607CC9B1" w14:textId="77777777" w:rsidR="00EC7F0D" w:rsidRPr="00EC7F0D" w:rsidRDefault="00EC7F0D" w:rsidP="00EC7F0D">
      <w:pPr>
        <w:spacing w:before="100" w:beforeAutospacing="1" w:after="100" w:afterAutospacing="1" w:line="240" w:lineRule="auto"/>
        <w:rPr>
          <w:rFonts w:eastAsia="Times New Roman" w:cs="Times New Roman"/>
          <w:lang w:eastAsia="de-DE"/>
        </w:rPr>
      </w:pPr>
      <w:r w:rsidRPr="00EC7F0D">
        <w:rPr>
          <w:rFonts w:eastAsia="Times New Roman" w:cs="Times New Roman"/>
          <w:lang w:eastAsia="de-DE"/>
        </w:rPr>
        <w:t>Dieser Vers zeigt die radikale Natur des Nasiräatsgelübdes: Es übertrifft sogar familiale Verpflichtungen und macht religiöse Hingabe absolut prioritär.</w:t>
      </w:r>
    </w:p>
    <w:p w14:paraId="09D6B939"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6,8</w:t>
      </w:r>
    </w:p>
    <w:p w14:paraId="0D8C847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כֹּ֖ל יְמֵ֣י נִזְרֹ֑ו קָדֹ֥שׁ ה֖וּא לַֽיהוָֽה׃</w:t>
      </w:r>
    </w:p>
    <w:p w14:paraId="62C3A5D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Alle Tage seiner Absonderung ist er dem Ewigen heilig.</w:t>
      </w:r>
    </w:p>
    <w:p w14:paraId="06BF3C86"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050440A0">
          <v:rect id="_x0000_i1251" style="width:0;height:1.5pt" o:hralign="center" o:hrstd="t" o:hr="t" fillcolor="#a0a0a0" stroked="f"/>
        </w:pict>
      </w:r>
    </w:p>
    <w:p w14:paraId="7181925B"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Die temporale Bestimmung </w:t>
      </w:r>
      <w:r w:rsidRPr="00DD7028">
        <w:rPr>
          <w:rFonts w:eastAsia="Times New Roman" w:cs="Times New Roman"/>
          <w:b/>
          <w:bCs/>
          <w:rtl/>
          <w:lang w:eastAsia="de-DE"/>
        </w:rPr>
        <w:t>כֹּל יְמֵי נִזְרוֹ</w:t>
      </w:r>
      <w:r w:rsidRPr="00DD7028">
        <w:rPr>
          <w:rFonts w:eastAsia="Times New Roman" w:cs="Times New Roman"/>
          <w:rtl/>
          <w:lang w:eastAsia="de-DE"/>
        </w:rPr>
        <w:t xml:space="preserve"> </w:t>
      </w:r>
      <w:r w:rsidRPr="00DD7028">
        <w:rPr>
          <w:rFonts w:eastAsia="Times New Roman" w:cs="Times New Roman"/>
          <w:lang w:eastAsia="de-DE"/>
        </w:rPr>
        <w:t xml:space="preserve">(alle Tage seiner Absonderung) mit </w:t>
      </w:r>
      <w:r w:rsidRPr="00DD7028">
        <w:rPr>
          <w:rFonts w:eastAsia="Times New Roman" w:cs="Times New Roman"/>
          <w:b/>
          <w:bCs/>
          <w:rtl/>
          <w:lang w:eastAsia="de-DE"/>
        </w:rPr>
        <w:t>כֹּל</w:t>
      </w:r>
      <w:r w:rsidRPr="00DD7028">
        <w:rPr>
          <w:rFonts w:eastAsia="Times New Roman" w:cs="Times New Roman"/>
          <w:rtl/>
          <w:lang w:eastAsia="de-DE"/>
        </w:rPr>
        <w:t xml:space="preserve"> </w:t>
      </w:r>
      <w:r w:rsidRPr="00DD7028">
        <w:rPr>
          <w:rFonts w:eastAsia="Times New Roman" w:cs="Times New Roman"/>
          <w:lang w:eastAsia="de-DE"/>
        </w:rPr>
        <w:t xml:space="preserve">(alle) wiederholt die Dauer der Weihe. Das Prädikat </w:t>
      </w:r>
      <w:r w:rsidRPr="00DD7028">
        <w:rPr>
          <w:rFonts w:eastAsia="Times New Roman" w:cs="Times New Roman"/>
          <w:b/>
          <w:bCs/>
          <w:rtl/>
          <w:lang w:eastAsia="de-DE"/>
        </w:rPr>
        <w:t>קָדֹשׁ הוּא לַיהוָה</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קָדֹשׁ</w:t>
      </w:r>
      <w:r w:rsidRPr="00DD7028">
        <w:rPr>
          <w:rFonts w:eastAsia="Times New Roman" w:cs="Times New Roman"/>
          <w:rtl/>
          <w:lang w:eastAsia="de-DE"/>
        </w:rPr>
        <w:t xml:space="preserve"> </w:t>
      </w:r>
      <w:r w:rsidRPr="00DD7028">
        <w:rPr>
          <w:rFonts w:eastAsia="Times New Roman" w:cs="Times New Roman"/>
          <w:lang w:eastAsia="de-DE"/>
        </w:rPr>
        <w:t xml:space="preserve">(heilig), </w:t>
      </w:r>
      <w:r w:rsidRPr="00DD7028">
        <w:rPr>
          <w:rFonts w:eastAsia="Times New Roman" w:cs="Times New Roman"/>
          <w:b/>
          <w:bCs/>
          <w:rtl/>
          <w:lang w:eastAsia="de-DE"/>
        </w:rPr>
        <w:t>הוּא</w:t>
      </w:r>
      <w:r w:rsidRPr="00DD7028">
        <w:rPr>
          <w:rFonts w:eastAsia="Times New Roman" w:cs="Times New Roman"/>
          <w:rtl/>
          <w:lang w:eastAsia="de-DE"/>
        </w:rPr>
        <w:t xml:space="preserve"> </w:t>
      </w:r>
      <w:r w:rsidRPr="00DD7028">
        <w:rPr>
          <w:rFonts w:eastAsia="Times New Roman" w:cs="Times New Roman"/>
          <w:lang w:eastAsia="de-DE"/>
        </w:rPr>
        <w:t xml:space="preserve">(er) als emphatischem Pronomen und </w:t>
      </w:r>
      <w:r w:rsidRPr="00DD7028">
        <w:rPr>
          <w:rFonts w:eastAsia="Times New Roman" w:cs="Times New Roman"/>
          <w:b/>
          <w:bCs/>
          <w:rtl/>
          <w:lang w:eastAsia="de-DE"/>
        </w:rPr>
        <w:t>לַיהוָה</w:t>
      </w:r>
      <w:r w:rsidRPr="00DD7028">
        <w:rPr>
          <w:rFonts w:eastAsia="Times New Roman" w:cs="Times New Roman"/>
          <w:rtl/>
          <w:lang w:eastAsia="de-DE"/>
        </w:rPr>
        <w:t xml:space="preserve"> </w:t>
      </w:r>
      <w:r w:rsidRPr="00DD7028">
        <w:rPr>
          <w:rFonts w:eastAsia="Times New Roman" w:cs="Times New Roman"/>
          <w:lang w:eastAsia="de-DE"/>
        </w:rPr>
        <w:t>(dem Ewigen) etabliert den besonderen Status des Nasiräers als gottgeweiht.</w:t>
      </w:r>
    </w:p>
    <w:p w14:paraId="12D8974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übersetzt mit ἅγιος ἔσται κυρίῳ (heilig wird er dem Herrn sein), wobei das Futur stärker den andauernden Prozess betont als das hebräische Präsens der Zustandsbeschreibung.</w:t>
      </w:r>
    </w:p>
    <w:p w14:paraId="1A317B0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eine einfache, aber feierliche Zustandsdeklaration, die als Zusammenfassung der drei Haupteinschränkungen dient.</w:t>
      </w:r>
    </w:p>
    <w:p w14:paraId="774A9B41"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kurze Vers fungiert als theologische Zentrale des Nasiräatsgesetzes und definiert das Ergebnis der drei Absonderungen: vollständige Heiligkeit für Gott.</w:t>
      </w:r>
    </w:p>
    <w:p w14:paraId="0432FE49"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6,9</w:t>
      </w:r>
    </w:p>
    <w:p w14:paraId="3351D8C3"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וְכִֽי־יָמ֨וּת מֵ֤ת עָלָיו֙ בְּפֶ֣תַע פִּתְאֹ֔ם וְטִמֵּ֖א רֹ֣אשׁ נִזְרֹ֑ו וְגִלַּ֤ח רֹאשׁוֹ֙ בְּי֣וֹם טָהֳרָתוֹ֔ בַּיּ֥וֹם הַשְּׁבִיעִ֖י יְגַלְּחֶֽנּוּ׃</w:t>
      </w:r>
    </w:p>
    <w:p w14:paraId="65F58B0D"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lastRenderedPageBreak/>
        <w:t>Deutsch:</w:t>
      </w:r>
      <w:r w:rsidRPr="00DD7028">
        <w:rPr>
          <w:rFonts w:eastAsia="Times New Roman" w:cs="Times New Roman"/>
          <w:lang w:eastAsia="de-DE"/>
        </w:rPr>
        <w:t xml:space="preserve"> Und wenn jemand neben ihm plötzlich, unversehens stirbt und er das Haupt seiner Weihe verunreinigt, so soll er sein Haupt an dem Tag seiner Reinigung scheren; am siebten Tag soll er es scheren.</w:t>
      </w:r>
    </w:p>
    <w:p w14:paraId="17E4663D"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0F2FE8A9">
          <v:rect id="_x0000_i1252" style="width:0;height:1.5pt" o:hralign="center" o:hrstd="t" o:hr="t" fillcolor="#a0a0a0" stroked="f"/>
        </w:pict>
      </w:r>
    </w:p>
    <w:p w14:paraId="3032F6F2"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Die konditionalen Einleitung </w:t>
      </w:r>
      <w:r w:rsidRPr="00DD7028">
        <w:rPr>
          <w:rFonts w:eastAsia="Times New Roman" w:cs="Times New Roman"/>
          <w:b/>
          <w:bCs/>
          <w:rtl/>
          <w:lang w:eastAsia="de-DE"/>
        </w:rPr>
        <w:t>וְכִי־יָמוּת מֵת עָלָיו בְּפֶתַע פִּתְאֹם</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כִי</w:t>
      </w:r>
      <w:r w:rsidRPr="00DD7028">
        <w:rPr>
          <w:rFonts w:eastAsia="Times New Roman" w:cs="Times New Roman"/>
          <w:rtl/>
          <w:lang w:eastAsia="de-DE"/>
        </w:rPr>
        <w:t xml:space="preserve"> </w:t>
      </w:r>
      <w:r w:rsidRPr="00DD7028">
        <w:rPr>
          <w:rFonts w:eastAsia="Times New Roman" w:cs="Times New Roman"/>
          <w:lang w:eastAsia="de-DE"/>
        </w:rPr>
        <w:t xml:space="preserve">(wenn), </w:t>
      </w:r>
      <w:r w:rsidRPr="00DD7028">
        <w:rPr>
          <w:rFonts w:eastAsia="Times New Roman" w:cs="Times New Roman"/>
          <w:b/>
          <w:bCs/>
          <w:rtl/>
          <w:lang w:eastAsia="de-DE"/>
        </w:rPr>
        <w:t>יָמוּת מֵת</w:t>
      </w:r>
      <w:r w:rsidRPr="00DD7028">
        <w:rPr>
          <w:rFonts w:eastAsia="Times New Roman" w:cs="Times New Roman"/>
          <w:rtl/>
          <w:lang w:eastAsia="de-DE"/>
        </w:rPr>
        <w:t xml:space="preserve"> </w:t>
      </w:r>
      <w:r w:rsidRPr="00DD7028">
        <w:rPr>
          <w:rFonts w:eastAsia="Times New Roman" w:cs="Times New Roman"/>
          <w:lang w:eastAsia="de-DE"/>
        </w:rPr>
        <w:t xml:space="preserve">(er stirbt Tod) mit cognate Accusativ für Verstärkung, </w:t>
      </w:r>
      <w:r w:rsidRPr="00DD7028">
        <w:rPr>
          <w:rFonts w:eastAsia="Times New Roman" w:cs="Times New Roman"/>
          <w:b/>
          <w:bCs/>
          <w:rtl/>
          <w:lang w:eastAsia="de-DE"/>
        </w:rPr>
        <w:t>עָלָיו</w:t>
      </w:r>
      <w:r w:rsidRPr="00DD7028">
        <w:rPr>
          <w:rFonts w:eastAsia="Times New Roman" w:cs="Times New Roman"/>
          <w:rtl/>
          <w:lang w:eastAsia="de-DE"/>
        </w:rPr>
        <w:t xml:space="preserve"> </w:t>
      </w:r>
      <w:r w:rsidRPr="00DD7028">
        <w:rPr>
          <w:rFonts w:eastAsia="Times New Roman" w:cs="Times New Roman"/>
          <w:lang w:eastAsia="de-DE"/>
        </w:rPr>
        <w:t xml:space="preserve">(über ihm/neben ihm) und der doppelten Adverbkonstruktion </w:t>
      </w:r>
      <w:r w:rsidRPr="00DD7028">
        <w:rPr>
          <w:rFonts w:eastAsia="Times New Roman" w:cs="Times New Roman"/>
          <w:b/>
          <w:bCs/>
          <w:rtl/>
          <w:lang w:eastAsia="de-DE"/>
        </w:rPr>
        <w:t>בְּפֶתַע פִּתְאֹם</w:t>
      </w:r>
      <w:r w:rsidRPr="00DD7028">
        <w:rPr>
          <w:rFonts w:eastAsia="Times New Roman" w:cs="Times New Roman"/>
          <w:rtl/>
          <w:lang w:eastAsia="de-DE"/>
        </w:rPr>
        <w:t xml:space="preserve"> </w:t>
      </w:r>
      <w:r w:rsidRPr="00DD7028">
        <w:rPr>
          <w:rFonts w:eastAsia="Times New Roman" w:cs="Times New Roman"/>
          <w:lang w:eastAsia="de-DE"/>
        </w:rPr>
        <w:t>(plötzlich unversehens) betont die Unvorhersehenheit und Unkontrollierbarkeit des Ereignisses.</w:t>
      </w:r>
    </w:p>
    <w:p w14:paraId="2E387204" w14:textId="35EE9DF3"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Folge </w:t>
      </w:r>
      <w:r w:rsidRPr="00DD7028">
        <w:rPr>
          <w:rFonts w:eastAsia="Times New Roman" w:cs="Times New Roman"/>
          <w:b/>
          <w:bCs/>
          <w:rtl/>
          <w:lang w:eastAsia="de-DE"/>
        </w:rPr>
        <w:t>וְטִמֵּא רֹאשׁ נִזְרוֹ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טִמֵּא</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טמא</w:t>
      </w:r>
      <w:r w:rsidRPr="00DD7028">
        <w:rPr>
          <w:rFonts w:eastAsia="Times New Roman" w:cs="Times New Roman"/>
          <w:rtl/>
          <w:lang w:eastAsia="de-DE"/>
        </w:rPr>
        <w:t xml:space="preserve"> </w:t>
      </w:r>
      <w:r w:rsidRPr="00DD7028">
        <w:rPr>
          <w:rFonts w:eastAsia="Times New Roman" w:cs="Times New Roman"/>
          <w:lang w:eastAsia="de-DE"/>
        </w:rPr>
        <w:t xml:space="preserve">(unrein machen/werden) im Pi'el-Perfekt 3. maskulin Singular und </w:t>
      </w:r>
      <w:r w:rsidRPr="00DD7028">
        <w:rPr>
          <w:rFonts w:eastAsia="Times New Roman" w:cs="Times New Roman"/>
          <w:b/>
          <w:bCs/>
          <w:rtl/>
          <w:lang w:eastAsia="de-DE"/>
        </w:rPr>
        <w:t>רֹאשׁ נִזְרוֹ</w:t>
      </w:r>
      <w:r w:rsidRPr="00DD7028">
        <w:rPr>
          <w:rFonts w:eastAsia="Times New Roman" w:cs="Times New Roman"/>
          <w:rtl/>
          <w:lang w:eastAsia="de-DE"/>
        </w:rPr>
        <w:t xml:space="preserve"> </w:t>
      </w:r>
      <w:r w:rsidRPr="00DD7028">
        <w:rPr>
          <w:rFonts w:eastAsia="Times New Roman" w:cs="Times New Roman"/>
          <w:lang w:eastAsia="de-DE"/>
        </w:rPr>
        <w:t xml:space="preserve">(Haupt seiner Weihe) im </w:t>
      </w:r>
      <w:r w:rsidR="00F133EC">
        <w:rPr>
          <w:rFonts w:eastAsia="Times New Roman" w:cs="Times New Roman"/>
          <w:lang w:eastAsia="de-DE"/>
        </w:rPr>
        <w:t>Construct</w:t>
      </w:r>
      <w:r w:rsidRPr="00DD7028">
        <w:rPr>
          <w:rFonts w:eastAsia="Times New Roman" w:cs="Times New Roman"/>
          <w:lang w:eastAsia="de-DE"/>
        </w:rPr>
        <w:t xml:space="preserve"> zeigt die Kontamination des Symbols der Heiligkeit.</w:t>
      </w:r>
    </w:p>
    <w:p w14:paraId="467ABD99" w14:textId="72905B36"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Reinigungsanweisung </w:t>
      </w:r>
      <w:r w:rsidRPr="00DD7028">
        <w:rPr>
          <w:rFonts w:eastAsia="Times New Roman" w:cs="Times New Roman"/>
          <w:b/>
          <w:bCs/>
          <w:rtl/>
          <w:lang w:eastAsia="de-DE"/>
        </w:rPr>
        <w:t>וְגִלַּח רֹאשׁוֹ בְּיוֹם טָהֳרָתוֹ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גִלַּח</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גלח</w:t>
      </w:r>
      <w:r w:rsidRPr="00DD7028">
        <w:rPr>
          <w:rFonts w:eastAsia="Times New Roman" w:cs="Times New Roman"/>
          <w:rtl/>
          <w:lang w:eastAsia="de-DE"/>
        </w:rPr>
        <w:t xml:space="preserve"> </w:t>
      </w:r>
      <w:r w:rsidRPr="00DD7028">
        <w:rPr>
          <w:rFonts w:eastAsia="Times New Roman" w:cs="Times New Roman"/>
          <w:lang w:eastAsia="de-DE"/>
        </w:rPr>
        <w:t xml:space="preserve">(scheren) im Pi'el-Perfekt 3. maskulin Singular und </w:t>
      </w:r>
      <w:r w:rsidRPr="00DD7028">
        <w:rPr>
          <w:rFonts w:eastAsia="Times New Roman" w:cs="Times New Roman"/>
          <w:b/>
          <w:bCs/>
          <w:rtl/>
          <w:lang w:eastAsia="de-DE"/>
        </w:rPr>
        <w:t>בְּיוֹם טָהֳרָתוֹ</w:t>
      </w:r>
      <w:r w:rsidRPr="00DD7028">
        <w:rPr>
          <w:rFonts w:eastAsia="Times New Roman" w:cs="Times New Roman"/>
          <w:rtl/>
          <w:lang w:eastAsia="de-DE"/>
        </w:rPr>
        <w:t xml:space="preserve"> </w:t>
      </w:r>
      <w:r w:rsidRPr="00DD7028">
        <w:rPr>
          <w:rFonts w:eastAsia="Times New Roman" w:cs="Times New Roman"/>
          <w:lang w:eastAsia="de-DE"/>
        </w:rPr>
        <w:t xml:space="preserve">(am Tag seiner Reinigung) im </w:t>
      </w:r>
      <w:r w:rsidR="00F133EC">
        <w:rPr>
          <w:rFonts w:eastAsia="Times New Roman" w:cs="Times New Roman"/>
          <w:lang w:eastAsia="de-DE"/>
        </w:rPr>
        <w:t>Construct</w:t>
      </w:r>
      <w:r w:rsidRPr="00DD7028">
        <w:rPr>
          <w:rFonts w:eastAsia="Times New Roman" w:cs="Times New Roman"/>
          <w:lang w:eastAsia="de-DE"/>
        </w:rPr>
        <w:t xml:space="preserve"> zeigt die rituelle Antwort.</w:t>
      </w:r>
    </w:p>
    <w:p w14:paraId="6DC86E9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zeitliche Spezifikation </w:t>
      </w:r>
      <w:r w:rsidRPr="00DD7028">
        <w:rPr>
          <w:rFonts w:eastAsia="Times New Roman" w:cs="Times New Roman"/>
          <w:b/>
          <w:bCs/>
          <w:rtl/>
          <w:lang w:eastAsia="de-DE"/>
        </w:rPr>
        <w:t>בַּיּוֹם הַשְּׁבִיעִי יְגַלְּחֶנּוּ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הַשְּׁבִיעִי</w:t>
      </w:r>
      <w:r w:rsidRPr="00DD7028">
        <w:rPr>
          <w:rFonts w:eastAsia="Times New Roman" w:cs="Times New Roman"/>
          <w:rtl/>
          <w:lang w:eastAsia="de-DE"/>
        </w:rPr>
        <w:t xml:space="preserve"> </w:t>
      </w:r>
      <w:r w:rsidRPr="00DD7028">
        <w:rPr>
          <w:rFonts w:eastAsia="Times New Roman" w:cs="Times New Roman"/>
          <w:lang w:eastAsia="de-DE"/>
        </w:rPr>
        <w:t xml:space="preserve">(der siebte) und </w:t>
      </w:r>
      <w:r w:rsidRPr="00DD7028">
        <w:rPr>
          <w:rFonts w:eastAsia="Times New Roman" w:cs="Times New Roman"/>
          <w:b/>
          <w:bCs/>
          <w:rtl/>
          <w:lang w:eastAsia="de-DE"/>
        </w:rPr>
        <w:t>יְגַלְּחֶנּוּ</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גלח</w:t>
      </w:r>
      <w:r w:rsidRPr="00DD7028">
        <w:rPr>
          <w:rFonts w:eastAsia="Times New Roman" w:cs="Times New Roman"/>
          <w:rtl/>
          <w:lang w:eastAsia="de-DE"/>
        </w:rPr>
        <w:t xml:space="preserve"> </w:t>
      </w:r>
      <w:r w:rsidRPr="00DD7028">
        <w:rPr>
          <w:rFonts w:eastAsia="Times New Roman" w:cs="Times New Roman"/>
          <w:lang w:eastAsia="de-DE"/>
        </w:rPr>
        <w:t>(scheren) mit Objektsuffix 3. maskulin Singular entspricht den allgemeinen Leichenunreinheitsgesetzen.</w:t>
      </w:r>
    </w:p>
    <w:p w14:paraId="3D48B403"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verwendet παραχρῆμα ἐξαίφνης (sofort plötzlich) für </w:t>
      </w:r>
      <w:r w:rsidRPr="00DD7028">
        <w:rPr>
          <w:rFonts w:eastAsia="Times New Roman" w:cs="Times New Roman"/>
          <w:rtl/>
          <w:lang w:eastAsia="de-DE"/>
        </w:rPr>
        <w:t>בְּפֶתַע פִּתְאֹם</w:t>
      </w:r>
      <w:r w:rsidRPr="00DD7028">
        <w:rPr>
          <w:rFonts w:eastAsia="Times New Roman" w:cs="Times New Roman"/>
          <w:lang w:eastAsia="de-DE"/>
        </w:rPr>
        <w:t xml:space="preserve">, was stärker die zeitliche Unmittelbarkeit betont. Sie übersetzt </w:t>
      </w:r>
      <w:r w:rsidRPr="00DD7028">
        <w:rPr>
          <w:rFonts w:eastAsia="Times New Roman" w:cs="Times New Roman"/>
          <w:rtl/>
          <w:lang w:eastAsia="de-DE"/>
        </w:rPr>
        <w:t>טָהֳרָה</w:t>
      </w:r>
      <w:r w:rsidRPr="00DD7028">
        <w:rPr>
          <w:rFonts w:eastAsia="Times New Roman" w:cs="Times New Roman"/>
          <w:lang w:eastAsia="de-DE"/>
        </w:rPr>
        <w:t xml:space="preserve"> mit καθαρισμός (Reinigung), was medizinischer klingt als das hebräische Reinheitskonzept.</w:t>
      </w:r>
    </w:p>
    <w:p w14:paraId="292EA072"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eine konditionelle Problemstellung mit doppelter Betonung der Unvorhersehbarkeit, resultierende Kontamination und präzise zeitgebundene Reinigungsanweisung.</w:t>
      </w:r>
    </w:p>
    <w:p w14:paraId="7CCE0895"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behandelt den Notfall unvorhersehbarer Leichenunreinheit und zeigt, dass selbst die heiligste Weihe durch äußere Umstände kompromittiert werden kann.</w:t>
      </w:r>
    </w:p>
    <w:p w14:paraId="072C2DCD"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6,10</w:t>
      </w:r>
    </w:p>
    <w:p w14:paraId="44E5B3B7"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וּבַיּ֣וֹם הַשְּׁמִינִ֗י יָבִא֙ שְׁתֵּ֣י תֹרִ֔ים א֥וֹ שְׁנֵ֖י בְּנֵ֣י יוֹנָ֑ה אֶל־הַכֹּהֵ֔ן אֶל־פֶּ֖תַח אֹ֥הֶל מוֹעֵֽד׃</w:t>
      </w:r>
    </w:p>
    <w:p w14:paraId="3B2C4DB2"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Und am achten Tag soll er zwei Turteltauben oder zwei junge Tauben zum Priester bringen an den Eingang des Zeltes der Begegnung.</w:t>
      </w:r>
    </w:p>
    <w:p w14:paraId="2DAD73D1"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3BFD4727">
          <v:rect id="_x0000_i1253" style="width:0;height:1.5pt" o:hralign="center" o:hrstd="t" o:hr="t" fillcolor="#a0a0a0" stroked="f"/>
        </w:pict>
      </w:r>
    </w:p>
    <w:p w14:paraId="7240DDB5"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Die zeitliche Bestimmung </w:t>
      </w:r>
      <w:r w:rsidRPr="00DD7028">
        <w:rPr>
          <w:rFonts w:eastAsia="Times New Roman" w:cs="Times New Roman"/>
          <w:b/>
          <w:bCs/>
          <w:rtl/>
          <w:lang w:eastAsia="de-DE"/>
        </w:rPr>
        <w:t>וּבַיּוֹם הַשְּׁמִינִי</w:t>
      </w:r>
      <w:r w:rsidRPr="00DD7028">
        <w:rPr>
          <w:rFonts w:eastAsia="Times New Roman" w:cs="Times New Roman"/>
          <w:rtl/>
          <w:lang w:eastAsia="de-DE"/>
        </w:rPr>
        <w:t xml:space="preserve"> </w:t>
      </w:r>
      <w:r w:rsidRPr="00DD7028">
        <w:rPr>
          <w:rFonts w:eastAsia="Times New Roman" w:cs="Times New Roman"/>
          <w:lang w:eastAsia="de-DE"/>
        </w:rPr>
        <w:t>(und am achten Tag) folgt der standardmäßigen Reinigungssequenz: sieben Tage Unreinheit, Schur am siebten Tag, Opfer am achten Tag.</w:t>
      </w:r>
    </w:p>
    <w:p w14:paraId="3D865F37"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Verb </w:t>
      </w:r>
      <w:r w:rsidRPr="00DD7028">
        <w:rPr>
          <w:rFonts w:eastAsia="Times New Roman" w:cs="Times New Roman"/>
          <w:b/>
          <w:bCs/>
          <w:rtl/>
          <w:lang w:eastAsia="de-DE"/>
        </w:rPr>
        <w:t>יָבִא</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בוא</w:t>
      </w:r>
      <w:r w:rsidRPr="00DD7028">
        <w:rPr>
          <w:rFonts w:eastAsia="Times New Roman" w:cs="Times New Roman"/>
          <w:rtl/>
          <w:lang w:eastAsia="de-DE"/>
        </w:rPr>
        <w:t xml:space="preserve"> </w:t>
      </w:r>
      <w:r w:rsidRPr="00DD7028">
        <w:rPr>
          <w:rFonts w:eastAsia="Times New Roman" w:cs="Times New Roman"/>
          <w:lang w:eastAsia="de-DE"/>
        </w:rPr>
        <w:t xml:space="preserve">(bringen) im Hiph'il-Imperfekt 3. maskulin Singular zeigt die Bringungsverpflichtung. Die alternative Opfergabe </w:t>
      </w:r>
      <w:r w:rsidRPr="00DD7028">
        <w:rPr>
          <w:rFonts w:eastAsia="Times New Roman" w:cs="Times New Roman"/>
          <w:b/>
          <w:bCs/>
          <w:rtl/>
          <w:lang w:eastAsia="de-DE"/>
        </w:rPr>
        <w:t>שְׁתֵּי תֹרִים אוֹ שְׁנֵי בְּנֵי יוֹנָה</w:t>
      </w:r>
      <w:r w:rsidRPr="00DD7028">
        <w:rPr>
          <w:rFonts w:eastAsia="Times New Roman" w:cs="Times New Roman"/>
          <w:rtl/>
          <w:lang w:eastAsia="de-DE"/>
        </w:rPr>
        <w:t xml:space="preserve"> </w:t>
      </w:r>
      <w:r w:rsidRPr="00DD7028">
        <w:rPr>
          <w:rFonts w:eastAsia="Times New Roman" w:cs="Times New Roman"/>
          <w:lang w:eastAsia="de-DE"/>
        </w:rPr>
        <w:t xml:space="preserve">(zwei Turteltauben </w:t>
      </w:r>
      <w:r w:rsidRPr="00DD7028">
        <w:rPr>
          <w:rFonts w:eastAsia="Times New Roman" w:cs="Times New Roman"/>
          <w:lang w:eastAsia="de-DE"/>
        </w:rPr>
        <w:lastRenderedPageBreak/>
        <w:t xml:space="preserve">oder zwei junge Tauben) mit </w:t>
      </w:r>
      <w:r w:rsidRPr="00DD7028">
        <w:rPr>
          <w:rFonts w:eastAsia="Times New Roman" w:cs="Times New Roman"/>
          <w:b/>
          <w:bCs/>
          <w:rtl/>
          <w:lang w:eastAsia="de-DE"/>
        </w:rPr>
        <w:t>תֹּרִים</w:t>
      </w:r>
      <w:r w:rsidRPr="00DD7028">
        <w:rPr>
          <w:rFonts w:eastAsia="Times New Roman" w:cs="Times New Roman"/>
          <w:rtl/>
          <w:lang w:eastAsia="de-DE"/>
        </w:rPr>
        <w:t xml:space="preserve"> </w:t>
      </w:r>
      <w:r w:rsidRPr="00DD7028">
        <w:rPr>
          <w:rFonts w:eastAsia="Times New Roman" w:cs="Times New Roman"/>
          <w:lang w:eastAsia="de-DE"/>
        </w:rPr>
        <w:t xml:space="preserve">(Turteltauben) und </w:t>
      </w:r>
      <w:r w:rsidRPr="00DD7028">
        <w:rPr>
          <w:rFonts w:eastAsia="Times New Roman" w:cs="Times New Roman"/>
          <w:b/>
          <w:bCs/>
          <w:rtl/>
          <w:lang w:eastAsia="de-DE"/>
        </w:rPr>
        <w:t>בְּנֵי יוֹנָה</w:t>
      </w:r>
      <w:r w:rsidRPr="00DD7028">
        <w:rPr>
          <w:rFonts w:eastAsia="Times New Roman" w:cs="Times New Roman"/>
          <w:rtl/>
          <w:lang w:eastAsia="de-DE"/>
        </w:rPr>
        <w:t xml:space="preserve"> </w:t>
      </w:r>
      <w:r w:rsidRPr="00DD7028">
        <w:rPr>
          <w:rFonts w:eastAsia="Times New Roman" w:cs="Times New Roman"/>
          <w:lang w:eastAsia="de-DE"/>
        </w:rPr>
        <w:t>(Söhne der Taube = junge Tauben) entspricht den Armen-Opferbestimmungen und zeigt, dass Nasiräat nicht an Wohlstand gebunden ist.</w:t>
      </w:r>
    </w:p>
    <w:p w14:paraId="66FFA190"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doppelte Ortsangabe </w:t>
      </w:r>
      <w:r w:rsidRPr="00DD7028">
        <w:rPr>
          <w:rFonts w:eastAsia="Times New Roman" w:cs="Times New Roman"/>
          <w:b/>
          <w:bCs/>
          <w:rtl/>
          <w:lang w:eastAsia="de-DE"/>
        </w:rPr>
        <w:t>אֶל־הַכֹּהֵן אֶל־פֶּתַח אֹהֶל מוֹעֵד</w:t>
      </w:r>
      <w:r w:rsidRPr="00DD7028">
        <w:rPr>
          <w:rFonts w:eastAsia="Times New Roman" w:cs="Times New Roman"/>
          <w:rtl/>
          <w:lang w:eastAsia="de-DE"/>
        </w:rPr>
        <w:t xml:space="preserve"> </w:t>
      </w:r>
      <w:r w:rsidRPr="00DD7028">
        <w:rPr>
          <w:rFonts w:eastAsia="Times New Roman" w:cs="Times New Roman"/>
          <w:lang w:eastAsia="de-DE"/>
        </w:rPr>
        <w:t>(zum Priester, zum Eingang des Zeltes der Begegnung) betont sowohl die priesterliche Vermittlung als auch den heiligen Ort.</w:t>
      </w:r>
    </w:p>
    <w:p w14:paraId="77E5F052"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übersetzt </w:t>
      </w:r>
      <w:r w:rsidRPr="00DD7028">
        <w:rPr>
          <w:rFonts w:eastAsia="Times New Roman" w:cs="Times New Roman"/>
          <w:rtl/>
          <w:lang w:eastAsia="de-DE"/>
        </w:rPr>
        <w:t>בְּנֵי יוֹנָה</w:t>
      </w:r>
      <w:r w:rsidRPr="00DD7028">
        <w:rPr>
          <w:rFonts w:eastAsia="Times New Roman" w:cs="Times New Roman"/>
          <w:lang w:eastAsia="de-DE"/>
        </w:rPr>
        <w:t xml:space="preserve"> mit νεοσσοὺς περιστερῶν (Taubenjunge), was biologisch präziser ist als die hebräische "Söhne der Taube"-Metapher.</w:t>
      </w:r>
    </w:p>
    <w:p w14:paraId="4B415FEA"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eine zeitliche Einleitung, Opferverpflichtung mit alternativer Spezifikation und doppelte Ortsbestimmung.</w:t>
      </w:r>
    </w:p>
    <w:p w14:paraId="26098407"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beginnt das Reinigungsritual nach unvorhergesehener Leichenunreinheit und zeigt die Zugänglichkeit durch alternative, kostengünstigere Opfergaben.</w:t>
      </w:r>
    </w:p>
    <w:p w14:paraId="561AC939"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6,11</w:t>
      </w:r>
    </w:p>
    <w:p w14:paraId="5CA670E3"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וְעָשָׂ֣ה הַכֹּהֵ֗ן אֶחָ֤ד לְחַטָּאת֙ וְאֶחָ֣ד לְעֹלָ֔ה וְכִפֶּ֣ר עָלָ֔יו מֵאֲשֶׁ֥ר חָטָ֖א עַל־הַנָּ֑פֶשׁ וְקִדַּ֥שׁ אֶת־רֹאשֹׁ֖ו בַּיּ֥וֹם הַהֽוּא׃</w:t>
      </w:r>
    </w:p>
    <w:p w14:paraId="7845A4DB"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Und der Priester soll eine zum Sündopfer und eine zum Aufsteigeopfer herrichten und Sühne für ihn schaffen wegen dessen, was er sich an der Leiche versündigt hat; und er soll sein Haupt an diesem Tag heiligen.</w:t>
      </w:r>
    </w:p>
    <w:p w14:paraId="22D25115"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7E9F8000">
          <v:rect id="_x0000_i1254" style="width:0;height:1.5pt" o:hralign="center" o:hrstd="t" o:hr="t" fillcolor="#a0a0a0" stroked="f"/>
        </w:pict>
      </w:r>
    </w:p>
    <w:p w14:paraId="797D5F47" w14:textId="35E40B51"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Verb </w:t>
      </w:r>
      <w:r w:rsidRPr="00DD7028">
        <w:rPr>
          <w:rFonts w:eastAsia="Times New Roman" w:cs="Times New Roman"/>
          <w:b/>
          <w:bCs/>
          <w:rtl/>
          <w:lang w:eastAsia="de-DE"/>
        </w:rPr>
        <w:t>וְעָשָׂה הַכֹּהֵן</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עשה</w:t>
      </w:r>
      <w:r w:rsidRPr="00DD7028">
        <w:rPr>
          <w:rFonts w:eastAsia="Times New Roman" w:cs="Times New Roman"/>
          <w:rtl/>
          <w:lang w:eastAsia="de-DE"/>
        </w:rPr>
        <w:t xml:space="preserve"> </w:t>
      </w:r>
      <w:r w:rsidRPr="00DD7028">
        <w:rPr>
          <w:rFonts w:eastAsia="Times New Roman" w:cs="Times New Roman"/>
          <w:lang w:eastAsia="de-DE"/>
        </w:rPr>
        <w:t xml:space="preserve">(machen/herrichten) im Qal-Perfekt 3. maskulin Singular zeigt die priesterliche Ausführung. Die Aufteilung </w:t>
      </w:r>
      <w:r w:rsidRPr="00DD7028">
        <w:rPr>
          <w:rFonts w:eastAsia="Times New Roman" w:cs="Times New Roman"/>
          <w:b/>
          <w:bCs/>
          <w:rtl/>
          <w:lang w:eastAsia="de-DE"/>
        </w:rPr>
        <w:t>אֶחָד לְחַטָּאת וְאֶחָד לְעֹלָה</w:t>
      </w:r>
      <w:r w:rsidRPr="00DD7028">
        <w:rPr>
          <w:rFonts w:eastAsia="Times New Roman" w:cs="Times New Roman"/>
          <w:rtl/>
          <w:lang w:eastAsia="de-DE"/>
        </w:rPr>
        <w:t xml:space="preserve"> </w:t>
      </w:r>
      <w:r w:rsidRPr="00DD7028">
        <w:rPr>
          <w:rFonts w:eastAsia="Times New Roman" w:cs="Times New Roman"/>
          <w:lang w:eastAsia="de-DE"/>
        </w:rPr>
        <w:t xml:space="preserve">(eine zum Sündopfer und eine zum Aufsteigeopfer) mit </w:t>
      </w:r>
      <w:r w:rsidRPr="00DD7028">
        <w:rPr>
          <w:rFonts w:eastAsia="Times New Roman" w:cs="Times New Roman"/>
          <w:b/>
          <w:bCs/>
          <w:rtl/>
          <w:lang w:eastAsia="de-DE"/>
        </w:rPr>
        <w:t>חַטָּאת</w:t>
      </w:r>
      <w:r w:rsidRPr="00DD7028">
        <w:rPr>
          <w:rFonts w:eastAsia="Times New Roman" w:cs="Times New Roman"/>
          <w:rtl/>
          <w:lang w:eastAsia="de-DE"/>
        </w:rPr>
        <w:t xml:space="preserve"> </w:t>
      </w:r>
      <w:r w:rsidRPr="00DD7028">
        <w:rPr>
          <w:rFonts w:eastAsia="Times New Roman" w:cs="Times New Roman"/>
          <w:lang w:eastAsia="de-DE"/>
        </w:rPr>
        <w:t xml:space="preserve">(Sündopfer) und </w:t>
      </w:r>
      <w:r w:rsidRPr="00DD7028">
        <w:rPr>
          <w:rFonts w:eastAsia="Times New Roman" w:cs="Times New Roman"/>
          <w:b/>
          <w:bCs/>
          <w:rtl/>
          <w:lang w:eastAsia="de-DE"/>
        </w:rPr>
        <w:t>עֹלָה</w:t>
      </w:r>
      <w:r w:rsidRPr="00DD7028">
        <w:rPr>
          <w:rFonts w:eastAsia="Times New Roman" w:cs="Times New Roman"/>
          <w:rtl/>
          <w:lang w:eastAsia="de-DE"/>
        </w:rPr>
        <w:t xml:space="preserve"> </w:t>
      </w:r>
      <w:r w:rsidRPr="00DD7028">
        <w:rPr>
          <w:rFonts w:eastAsia="Times New Roman" w:cs="Times New Roman"/>
          <w:lang w:eastAsia="de-DE"/>
        </w:rPr>
        <w:t>(Aufsteigeopfer) zeigt die doppelte Sühnfunktion.</w:t>
      </w:r>
    </w:p>
    <w:p w14:paraId="59BD2007"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koordinierte Verb </w:t>
      </w:r>
      <w:r w:rsidRPr="00DD7028">
        <w:rPr>
          <w:rFonts w:eastAsia="Times New Roman" w:cs="Times New Roman"/>
          <w:b/>
          <w:bCs/>
          <w:rtl/>
          <w:lang w:eastAsia="de-DE"/>
        </w:rPr>
        <w:t>וְכִפֶּר עָלָיו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כִפֶּר</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כפר</w:t>
      </w:r>
      <w:r w:rsidRPr="00DD7028">
        <w:rPr>
          <w:rFonts w:eastAsia="Times New Roman" w:cs="Times New Roman"/>
          <w:rtl/>
          <w:lang w:eastAsia="de-DE"/>
        </w:rPr>
        <w:t xml:space="preserve"> </w:t>
      </w:r>
      <w:r w:rsidRPr="00DD7028">
        <w:rPr>
          <w:rFonts w:eastAsia="Times New Roman" w:cs="Times New Roman"/>
          <w:lang w:eastAsia="de-DE"/>
        </w:rPr>
        <w:t xml:space="preserve">(sühnen) im Pi'el-Perfekt 3. maskulin Singular und </w:t>
      </w:r>
      <w:r w:rsidRPr="00DD7028">
        <w:rPr>
          <w:rFonts w:eastAsia="Times New Roman" w:cs="Times New Roman"/>
          <w:b/>
          <w:bCs/>
          <w:rtl/>
          <w:lang w:eastAsia="de-DE"/>
        </w:rPr>
        <w:t>עָלָיו</w:t>
      </w:r>
      <w:r w:rsidRPr="00DD7028">
        <w:rPr>
          <w:rFonts w:eastAsia="Times New Roman" w:cs="Times New Roman"/>
          <w:rtl/>
          <w:lang w:eastAsia="de-DE"/>
        </w:rPr>
        <w:t xml:space="preserve"> </w:t>
      </w:r>
      <w:r w:rsidRPr="00DD7028">
        <w:rPr>
          <w:rFonts w:eastAsia="Times New Roman" w:cs="Times New Roman"/>
          <w:lang w:eastAsia="de-DE"/>
        </w:rPr>
        <w:t>(für ihn) zeigt den Sühnvorgang.</w:t>
      </w:r>
    </w:p>
    <w:p w14:paraId="4782827C"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kausale Bestimmung </w:t>
      </w:r>
      <w:r w:rsidRPr="00DD7028">
        <w:rPr>
          <w:rFonts w:eastAsia="Times New Roman" w:cs="Times New Roman"/>
          <w:b/>
          <w:bCs/>
          <w:rtl/>
          <w:lang w:eastAsia="de-DE"/>
        </w:rPr>
        <w:t>מֵאֲשֶׁר חָטָא עַל־הַנֶּפֶשׁ</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מֵאֲשֶׁר</w:t>
      </w:r>
      <w:r w:rsidRPr="00DD7028">
        <w:rPr>
          <w:rFonts w:eastAsia="Times New Roman" w:cs="Times New Roman"/>
          <w:rtl/>
          <w:lang w:eastAsia="de-DE"/>
        </w:rPr>
        <w:t xml:space="preserve"> </w:t>
      </w:r>
      <w:r w:rsidRPr="00DD7028">
        <w:rPr>
          <w:rFonts w:eastAsia="Times New Roman" w:cs="Times New Roman"/>
          <w:lang w:eastAsia="de-DE"/>
        </w:rPr>
        <w:t xml:space="preserve">(von dem, was), </w:t>
      </w:r>
      <w:r w:rsidRPr="00DD7028">
        <w:rPr>
          <w:rFonts w:eastAsia="Times New Roman" w:cs="Times New Roman"/>
          <w:b/>
          <w:bCs/>
          <w:rtl/>
          <w:lang w:eastAsia="de-DE"/>
        </w:rPr>
        <w:t>חָטָא</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חטא</w:t>
      </w:r>
      <w:r w:rsidRPr="00DD7028">
        <w:rPr>
          <w:rFonts w:eastAsia="Times New Roman" w:cs="Times New Roman"/>
          <w:rtl/>
          <w:lang w:eastAsia="de-DE"/>
        </w:rPr>
        <w:t xml:space="preserve"> </w:t>
      </w:r>
      <w:r w:rsidRPr="00DD7028">
        <w:rPr>
          <w:rFonts w:eastAsia="Times New Roman" w:cs="Times New Roman"/>
          <w:lang w:eastAsia="de-DE"/>
        </w:rPr>
        <w:t xml:space="preserve">(sündigen) im Qal-Perfekt 3. maskulin Singular und </w:t>
      </w:r>
      <w:r w:rsidRPr="00DD7028">
        <w:rPr>
          <w:rFonts w:eastAsia="Times New Roman" w:cs="Times New Roman"/>
          <w:b/>
          <w:bCs/>
          <w:rtl/>
          <w:lang w:eastAsia="de-DE"/>
        </w:rPr>
        <w:t>עַל־הַנֶּפֶשׁ</w:t>
      </w:r>
      <w:r w:rsidRPr="00DD7028">
        <w:rPr>
          <w:rFonts w:eastAsia="Times New Roman" w:cs="Times New Roman"/>
          <w:rtl/>
          <w:lang w:eastAsia="de-DE"/>
        </w:rPr>
        <w:t xml:space="preserve"> </w:t>
      </w:r>
      <w:r w:rsidRPr="00DD7028">
        <w:rPr>
          <w:rFonts w:eastAsia="Times New Roman" w:cs="Times New Roman"/>
          <w:lang w:eastAsia="de-DE"/>
        </w:rPr>
        <w:t>(an der Leiche) zeigt die paradoxe Formulierung: Sünde durch unverschuldete Leichenberührung.</w:t>
      </w:r>
    </w:p>
    <w:p w14:paraId="74D4B5F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weitere koordinierte Verb </w:t>
      </w:r>
      <w:r w:rsidRPr="00DD7028">
        <w:rPr>
          <w:rFonts w:eastAsia="Times New Roman" w:cs="Times New Roman"/>
          <w:b/>
          <w:bCs/>
          <w:rtl/>
          <w:lang w:eastAsia="de-DE"/>
        </w:rPr>
        <w:t>וְקִדַּשׁ אֶת־רֹאשׁוֹ בַּיּוֹם הַהוּא</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קִדַּשׁ</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קדש</w:t>
      </w:r>
      <w:r w:rsidRPr="00DD7028">
        <w:rPr>
          <w:rFonts w:eastAsia="Times New Roman" w:cs="Times New Roman"/>
          <w:rtl/>
          <w:lang w:eastAsia="de-DE"/>
        </w:rPr>
        <w:t xml:space="preserve"> </w:t>
      </w:r>
      <w:r w:rsidRPr="00DD7028">
        <w:rPr>
          <w:rFonts w:eastAsia="Times New Roman" w:cs="Times New Roman"/>
          <w:lang w:eastAsia="de-DE"/>
        </w:rPr>
        <w:t>(heiligen) im Pi'el-Perfekt 3. maskulin Singular zeigt die Wiederherstellung der Kopfheiligkeit am selben Tag.</w:t>
      </w:r>
    </w:p>
    <w:p w14:paraId="1F56E782"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übersetzt </w:t>
      </w:r>
      <w:r w:rsidRPr="00DD7028">
        <w:rPr>
          <w:rFonts w:eastAsia="Times New Roman" w:cs="Times New Roman"/>
          <w:rtl/>
          <w:lang w:eastAsia="de-DE"/>
        </w:rPr>
        <w:t>חָטָא עַל־הַנֶּפֶשׁ</w:t>
      </w:r>
      <w:r w:rsidRPr="00DD7028">
        <w:rPr>
          <w:rFonts w:eastAsia="Times New Roman" w:cs="Times New Roman"/>
          <w:lang w:eastAsia="de-DE"/>
        </w:rPr>
        <w:t xml:space="preserve"> mit ἥμαρτεν περὶ τῆς ψυχῆς (er sündigte bezüglich der Seele), was weniger die physische Leichenberührung und mehr die spirituelle Dimension betont.</w:t>
      </w:r>
    </w:p>
    <w:p w14:paraId="63FC210B"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priesterliche Opferausführung, Sühnvorgang mit paradoxer Sündencharakterisierung und Wiederherstellung der Kopfheiligkeit.</w:t>
      </w:r>
    </w:p>
    <w:p w14:paraId="5A8C9363"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zeigt die theologische Komplexität: Selbst unverschuldete Unreinheit erfordert Sühne, da sie die Heiligkeit kompromittiert.</w:t>
      </w:r>
    </w:p>
    <w:p w14:paraId="5DFF287C"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lastRenderedPageBreak/>
        <w:t>Numeri 6,12</w:t>
      </w:r>
    </w:p>
    <w:p w14:paraId="20C10FFD"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וְהִזִּ֤יר לַֽיהוָה֙ אֶת־יְמֵ֣י נִזְרֹ֔ו וְהֵבִ֛יא כֶּ֥בֶשׂ בֶּן־שְׁנָתוֹ֖ לְאָשָׁ֑ם וְהַיָּמִ֤ים הָרִאשֹׁנִים֙ יִפְּל֔וּ כִּ֥י טָמֵ֖א נִזְרֹֽו׃</w:t>
      </w:r>
    </w:p>
    <w:p w14:paraId="298F28D0"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Und er soll die Tage seiner Absonderung dem Ewigen weihen und ein einjähriges Lamm zum Schuldopfer bringen; die früheren Tage aber sollen verfallen, weil seine Weihe verunreinigt wurde.</w:t>
      </w:r>
    </w:p>
    <w:p w14:paraId="741D8D79"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47FE823A">
          <v:rect id="_x0000_i1255" style="width:0;height:1.5pt" o:hralign="center" o:hrstd="t" o:hr="t" fillcolor="#a0a0a0" stroked="f"/>
        </w:pict>
      </w:r>
    </w:p>
    <w:p w14:paraId="2CC959F6"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Verb </w:t>
      </w:r>
      <w:r w:rsidRPr="00DD7028">
        <w:rPr>
          <w:rFonts w:eastAsia="Times New Roman" w:cs="Times New Roman"/>
          <w:b/>
          <w:bCs/>
          <w:rtl/>
          <w:lang w:eastAsia="de-DE"/>
        </w:rPr>
        <w:t>וְהִזִּיר לַיהוָה אֶת־יְמֵי נִזְרוֹ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הִזִּיר</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נזר</w:t>
      </w:r>
      <w:r w:rsidRPr="00DD7028">
        <w:rPr>
          <w:rFonts w:eastAsia="Times New Roman" w:cs="Times New Roman"/>
          <w:rtl/>
          <w:lang w:eastAsia="de-DE"/>
        </w:rPr>
        <w:t xml:space="preserve"> </w:t>
      </w:r>
      <w:r w:rsidRPr="00DD7028">
        <w:rPr>
          <w:rFonts w:eastAsia="Times New Roman" w:cs="Times New Roman"/>
          <w:lang w:eastAsia="de-DE"/>
        </w:rPr>
        <w:t xml:space="preserve">(weihen) im Hiph'il-Perfekt 3. maskulin Singular zeigt die komplette Neuweihe. </w:t>
      </w:r>
      <w:r w:rsidRPr="00DD7028">
        <w:rPr>
          <w:rFonts w:eastAsia="Times New Roman" w:cs="Times New Roman"/>
          <w:b/>
          <w:bCs/>
          <w:rtl/>
          <w:lang w:eastAsia="de-DE"/>
        </w:rPr>
        <w:t>אֶת־יְמֵי נִזְרוֹ</w:t>
      </w:r>
      <w:r w:rsidRPr="00DD7028">
        <w:rPr>
          <w:rFonts w:eastAsia="Times New Roman" w:cs="Times New Roman"/>
          <w:rtl/>
          <w:lang w:eastAsia="de-DE"/>
        </w:rPr>
        <w:t xml:space="preserve"> </w:t>
      </w:r>
      <w:r w:rsidRPr="00DD7028">
        <w:rPr>
          <w:rFonts w:eastAsia="Times New Roman" w:cs="Times New Roman"/>
          <w:lang w:eastAsia="de-DE"/>
        </w:rPr>
        <w:t>(die Tage seiner Absonderung) als direktes Objekt betont, dass die gesamte Zeitspanne neu geweiht werden muss.</w:t>
      </w:r>
    </w:p>
    <w:p w14:paraId="438D07B6" w14:textId="7F24F3B1"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koordinierte Verb </w:t>
      </w:r>
      <w:r w:rsidRPr="00DD7028">
        <w:rPr>
          <w:rFonts w:eastAsia="Times New Roman" w:cs="Times New Roman"/>
          <w:b/>
          <w:bCs/>
          <w:rtl/>
          <w:lang w:eastAsia="de-DE"/>
        </w:rPr>
        <w:t>וְהֵבִיא כֶּבֶשׂ בֶּן־שְׁנָתוֹ לְאָשָׁם</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הֵבִיא</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בוא</w:t>
      </w:r>
      <w:r w:rsidRPr="00DD7028">
        <w:rPr>
          <w:rFonts w:eastAsia="Times New Roman" w:cs="Times New Roman"/>
          <w:rtl/>
          <w:lang w:eastAsia="de-DE"/>
        </w:rPr>
        <w:t xml:space="preserve"> </w:t>
      </w:r>
      <w:r w:rsidRPr="00DD7028">
        <w:rPr>
          <w:rFonts w:eastAsia="Times New Roman" w:cs="Times New Roman"/>
          <w:lang w:eastAsia="de-DE"/>
        </w:rPr>
        <w:t xml:space="preserve">(bringen) im Hiph'il-Perfekt, </w:t>
      </w:r>
      <w:r w:rsidRPr="00DD7028">
        <w:rPr>
          <w:rFonts w:eastAsia="Times New Roman" w:cs="Times New Roman"/>
          <w:b/>
          <w:bCs/>
          <w:rtl/>
          <w:lang w:eastAsia="de-DE"/>
        </w:rPr>
        <w:t>כֶּבֶשׂ בֶּן־שְׁנָתוֹ</w:t>
      </w:r>
      <w:r w:rsidRPr="00DD7028">
        <w:rPr>
          <w:rFonts w:eastAsia="Times New Roman" w:cs="Times New Roman"/>
          <w:rtl/>
          <w:lang w:eastAsia="de-DE"/>
        </w:rPr>
        <w:t xml:space="preserve"> </w:t>
      </w:r>
      <w:r w:rsidRPr="00DD7028">
        <w:rPr>
          <w:rFonts w:eastAsia="Times New Roman" w:cs="Times New Roman"/>
          <w:lang w:eastAsia="de-DE"/>
        </w:rPr>
        <w:t xml:space="preserve">(einjähriges Lamm) im </w:t>
      </w:r>
      <w:r w:rsidR="00F133EC">
        <w:rPr>
          <w:rFonts w:eastAsia="Times New Roman" w:cs="Times New Roman"/>
          <w:lang w:eastAsia="de-DE"/>
        </w:rPr>
        <w:t>Construct</w:t>
      </w:r>
      <w:r w:rsidRPr="00DD7028">
        <w:rPr>
          <w:rFonts w:eastAsia="Times New Roman" w:cs="Times New Roman"/>
          <w:lang w:eastAsia="de-DE"/>
        </w:rPr>
        <w:t xml:space="preserve"> und </w:t>
      </w:r>
      <w:r w:rsidRPr="00DD7028">
        <w:rPr>
          <w:rFonts w:eastAsia="Times New Roman" w:cs="Times New Roman"/>
          <w:b/>
          <w:bCs/>
          <w:rtl/>
          <w:lang w:eastAsia="de-DE"/>
        </w:rPr>
        <w:t>לְאָשָׁם</w:t>
      </w:r>
      <w:r w:rsidRPr="00DD7028">
        <w:rPr>
          <w:rFonts w:eastAsia="Times New Roman" w:cs="Times New Roman"/>
          <w:rtl/>
          <w:lang w:eastAsia="de-DE"/>
        </w:rPr>
        <w:t xml:space="preserve"> </w:t>
      </w:r>
      <w:r w:rsidRPr="00DD7028">
        <w:rPr>
          <w:rFonts w:eastAsia="Times New Roman" w:cs="Times New Roman"/>
          <w:lang w:eastAsia="de-DE"/>
        </w:rPr>
        <w:t>(zum Schuldopfer) zeigt ein zusätzliches, wertvolleres Opfer als die Tauben.</w:t>
      </w:r>
    </w:p>
    <w:p w14:paraId="146DA6B0"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drastische Konsequenz </w:t>
      </w:r>
      <w:r w:rsidRPr="00DD7028">
        <w:rPr>
          <w:rFonts w:eastAsia="Times New Roman" w:cs="Times New Roman"/>
          <w:b/>
          <w:bCs/>
          <w:rtl/>
          <w:lang w:eastAsia="de-DE"/>
        </w:rPr>
        <w:t>וְהַיָּמִים הָרִאשֹׁנִים יִפְּלוּ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הַיָּמִים הָרִאשֹׁנִים</w:t>
      </w:r>
      <w:r w:rsidRPr="00DD7028">
        <w:rPr>
          <w:rFonts w:eastAsia="Times New Roman" w:cs="Times New Roman"/>
          <w:rtl/>
          <w:lang w:eastAsia="de-DE"/>
        </w:rPr>
        <w:t xml:space="preserve"> </w:t>
      </w:r>
      <w:r w:rsidRPr="00DD7028">
        <w:rPr>
          <w:rFonts w:eastAsia="Times New Roman" w:cs="Times New Roman"/>
          <w:lang w:eastAsia="de-DE"/>
        </w:rPr>
        <w:t xml:space="preserve">(die früheren Tage) und </w:t>
      </w:r>
      <w:r w:rsidRPr="00DD7028">
        <w:rPr>
          <w:rFonts w:eastAsia="Times New Roman" w:cs="Times New Roman"/>
          <w:b/>
          <w:bCs/>
          <w:rtl/>
          <w:lang w:eastAsia="de-DE"/>
        </w:rPr>
        <w:t>יִפְּלוּ</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נפל</w:t>
      </w:r>
      <w:r w:rsidRPr="00DD7028">
        <w:rPr>
          <w:rFonts w:eastAsia="Times New Roman" w:cs="Times New Roman"/>
          <w:rtl/>
          <w:lang w:eastAsia="de-DE"/>
        </w:rPr>
        <w:t xml:space="preserve"> </w:t>
      </w:r>
      <w:r w:rsidRPr="00DD7028">
        <w:rPr>
          <w:rFonts w:eastAsia="Times New Roman" w:cs="Times New Roman"/>
          <w:lang w:eastAsia="de-DE"/>
        </w:rPr>
        <w:t>(fallen) im Qal-Imperfekt 3. maskulin Plural zeigt den vollständigen Verlust der bisherigen Weihezeit.</w:t>
      </w:r>
    </w:p>
    <w:p w14:paraId="4DA0720C"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kausale Begründung </w:t>
      </w:r>
      <w:r w:rsidRPr="00DD7028">
        <w:rPr>
          <w:rFonts w:eastAsia="Times New Roman" w:cs="Times New Roman"/>
          <w:b/>
          <w:bCs/>
          <w:rtl/>
          <w:lang w:eastAsia="de-DE"/>
        </w:rPr>
        <w:t>כִּי טָמֵא נִזְרוֹ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כִּי</w:t>
      </w:r>
      <w:r w:rsidRPr="00DD7028">
        <w:rPr>
          <w:rFonts w:eastAsia="Times New Roman" w:cs="Times New Roman"/>
          <w:rtl/>
          <w:lang w:eastAsia="de-DE"/>
        </w:rPr>
        <w:t xml:space="preserve"> </w:t>
      </w:r>
      <w:r w:rsidRPr="00DD7028">
        <w:rPr>
          <w:rFonts w:eastAsia="Times New Roman" w:cs="Times New Roman"/>
          <w:lang w:eastAsia="de-DE"/>
        </w:rPr>
        <w:t xml:space="preserve">(weil), </w:t>
      </w:r>
      <w:r w:rsidRPr="00DD7028">
        <w:rPr>
          <w:rFonts w:eastAsia="Times New Roman" w:cs="Times New Roman"/>
          <w:b/>
          <w:bCs/>
          <w:rtl/>
          <w:lang w:eastAsia="de-DE"/>
        </w:rPr>
        <w:t>טָמֵא</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טמא</w:t>
      </w:r>
      <w:r w:rsidRPr="00DD7028">
        <w:rPr>
          <w:rFonts w:eastAsia="Times New Roman" w:cs="Times New Roman"/>
          <w:rtl/>
          <w:lang w:eastAsia="de-DE"/>
        </w:rPr>
        <w:t xml:space="preserve"> </w:t>
      </w:r>
      <w:r w:rsidRPr="00DD7028">
        <w:rPr>
          <w:rFonts w:eastAsia="Times New Roman" w:cs="Times New Roman"/>
          <w:lang w:eastAsia="de-DE"/>
        </w:rPr>
        <w:t xml:space="preserve">(unrein werden) im Niph'al-Perfekt 3. maskulin Singular und </w:t>
      </w:r>
      <w:r w:rsidRPr="00DD7028">
        <w:rPr>
          <w:rFonts w:eastAsia="Times New Roman" w:cs="Times New Roman"/>
          <w:b/>
          <w:bCs/>
          <w:rtl/>
          <w:lang w:eastAsia="de-DE"/>
        </w:rPr>
        <w:t>נִזְרוֹ</w:t>
      </w:r>
      <w:r w:rsidRPr="00DD7028">
        <w:rPr>
          <w:rFonts w:eastAsia="Times New Roman" w:cs="Times New Roman"/>
          <w:rtl/>
          <w:lang w:eastAsia="de-DE"/>
        </w:rPr>
        <w:t xml:space="preserve"> </w:t>
      </w:r>
      <w:r w:rsidRPr="00DD7028">
        <w:rPr>
          <w:rFonts w:eastAsia="Times New Roman" w:cs="Times New Roman"/>
          <w:lang w:eastAsia="de-DE"/>
        </w:rPr>
        <w:t>(seine Weihe) zeigt die Kontamination der gesamten Weihe.</w:t>
      </w:r>
    </w:p>
    <w:p w14:paraId="24CF8AFF" w14:textId="77777777" w:rsidR="006B48FB" w:rsidRDefault="006B48FB" w:rsidP="00DD7028">
      <w:pPr>
        <w:spacing w:before="100" w:beforeAutospacing="1" w:after="100" w:afterAutospacing="1" w:line="240" w:lineRule="auto"/>
      </w:pPr>
      <w:r>
        <w:rPr>
          <w:rStyle w:val="Fett"/>
        </w:rPr>
        <w:t>Die LXX</w:t>
      </w:r>
      <w:r>
        <w:t xml:space="preserve"> übersetzt </w:t>
      </w:r>
      <w:r w:rsidRPr="006B48FB">
        <w:rPr>
          <w:b/>
          <w:bCs/>
          <w:rtl/>
        </w:rPr>
        <w:t>והימים הראשנים יפלו</w:t>
      </w:r>
      <w:r>
        <w:t xml:space="preserve"> (vehayamim harishonim yippelu - "die ersten Tage fallen weg") als αἱ ἡμέραι αἱ πρότεραι ἄλογοι ἔσονται (die früheren Tage werden ungültig/nicht gezählt sein), wobei ἄλογος (unvernünftig/nicht gezählt) eine interpretative Übersetzung darstellt.</w:t>
      </w:r>
    </w:p>
    <w:p w14:paraId="11D21ED5" w14:textId="5FA3AA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Neuweihe, zusätzliches Schuldopfer, drastischen Zeitverlust und kausale Begründung durch Weihekontamination.</w:t>
      </w:r>
    </w:p>
    <w:p w14:paraId="44F57FAF" w14:textId="0FAD5F2E" w:rsid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zeigt die harten Konsequenzen unvorhergesehener Leichenunreinheit: kompletter Neustart des Nasiräats mit Verlust aller bisherigen Zeit.</w:t>
      </w:r>
    </w:p>
    <w:p w14:paraId="35C9E20F" w14:textId="77777777" w:rsidR="00C81634" w:rsidRPr="00F06C27" w:rsidRDefault="00C81634" w:rsidP="00F06C27">
      <w:pPr>
        <w:pStyle w:val="berschrift4"/>
      </w:pPr>
      <w:r w:rsidRPr="00F06C27">
        <w:rPr>
          <w:rStyle w:val="Fett"/>
          <w:b w:val="0"/>
          <w:bCs w:val="0"/>
        </w:rPr>
        <w:t>Exkurs: Paradoxie der unverschuldeten Sünde (V. 9-12)</w:t>
      </w:r>
    </w:p>
    <w:p w14:paraId="1CF219E4" w14:textId="77777777" w:rsidR="00C81634" w:rsidRDefault="00C81634" w:rsidP="00C81634">
      <w:pPr>
        <w:pStyle w:val="whitespace-normal"/>
      </w:pPr>
      <w:r>
        <w:t xml:space="preserve">Die Formulierung </w:t>
      </w:r>
      <w:r>
        <w:rPr>
          <w:rStyle w:val="Fett"/>
          <w:rtl/>
        </w:rPr>
        <w:t>חָטָא עַל־הַנֶּפֶשׁ</w:t>
      </w:r>
      <w:r>
        <w:rPr>
          <w:rtl/>
        </w:rPr>
        <w:t xml:space="preserve"> </w:t>
      </w:r>
      <w:r>
        <w:t xml:space="preserve">("er sündigte an der Leiche", V. 11) wirft eine </w:t>
      </w:r>
      <w:r>
        <w:rPr>
          <w:rStyle w:val="Fett"/>
        </w:rPr>
        <w:t>theologische Spannung</w:t>
      </w:r>
      <w:r>
        <w:t xml:space="preserve"> auf:</w:t>
      </w:r>
    </w:p>
    <w:p w14:paraId="0ED7FB66" w14:textId="77777777" w:rsidR="00C81634" w:rsidRDefault="00C81634" w:rsidP="00C81634">
      <w:pPr>
        <w:pStyle w:val="berschrift4"/>
      </w:pPr>
      <w:r>
        <w:rPr>
          <w:rStyle w:val="Fett"/>
          <w:b w:val="0"/>
          <w:bCs w:val="0"/>
        </w:rPr>
        <w:t>Das Problem:</w:t>
      </w:r>
    </w:p>
    <w:p w14:paraId="0ED43B0B" w14:textId="77777777" w:rsidR="00C81634" w:rsidRDefault="00C81634" w:rsidP="00C15C06">
      <w:pPr>
        <w:pStyle w:val="whitespace-normal"/>
        <w:numPr>
          <w:ilvl w:val="0"/>
          <w:numId w:val="57"/>
        </w:numPr>
      </w:pPr>
      <w:r>
        <w:t xml:space="preserve">Die Leichenberührung geschah </w:t>
      </w:r>
      <w:r>
        <w:rPr>
          <w:rStyle w:val="Fett"/>
          <w:rtl/>
        </w:rPr>
        <w:t>בְּפֶתַע פִּתְאֹם</w:t>
      </w:r>
      <w:r>
        <w:rPr>
          <w:rtl/>
        </w:rPr>
        <w:t xml:space="preserve"> </w:t>
      </w:r>
      <w:r>
        <w:t>(plötzlich, unversehens, V. 9)</w:t>
      </w:r>
    </w:p>
    <w:p w14:paraId="7EE9D74E" w14:textId="77777777" w:rsidR="00C81634" w:rsidRDefault="00C81634" w:rsidP="00C15C06">
      <w:pPr>
        <w:pStyle w:val="whitespace-normal"/>
        <w:numPr>
          <w:ilvl w:val="0"/>
          <w:numId w:val="57"/>
        </w:numPr>
      </w:pPr>
      <w:r>
        <w:t xml:space="preserve">Der Nasiräer hatte </w:t>
      </w:r>
      <w:r>
        <w:rPr>
          <w:rStyle w:val="Fett"/>
        </w:rPr>
        <w:t>keine Kontrolle</w:t>
      </w:r>
      <w:r>
        <w:t xml:space="preserve"> über das Ereignis</w:t>
      </w:r>
    </w:p>
    <w:p w14:paraId="6BF5C205" w14:textId="77777777" w:rsidR="00C81634" w:rsidRDefault="00C81634" w:rsidP="00C15C06">
      <w:pPr>
        <w:pStyle w:val="whitespace-normal"/>
        <w:numPr>
          <w:ilvl w:val="0"/>
          <w:numId w:val="57"/>
        </w:numPr>
      </w:pPr>
      <w:r>
        <w:t xml:space="preserve">Dennoch wird es als </w:t>
      </w:r>
      <w:r>
        <w:rPr>
          <w:rStyle w:val="Fett"/>
          <w:rtl/>
        </w:rPr>
        <w:t>חָטָא</w:t>
      </w:r>
      <w:r>
        <w:rPr>
          <w:rtl/>
        </w:rPr>
        <w:t xml:space="preserve"> </w:t>
      </w:r>
      <w:r>
        <w:t xml:space="preserve">(Sünde) bezeichnet, die </w:t>
      </w:r>
      <w:r>
        <w:rPr>
          <w:rStyle w:val="Fett"/>
        </w:rPr>
        <w:t>Sühne</w:t>
      </w:r>
      <w:r>
        <w:t xml:space="preserve"> (</w:t>
      </w:r>
      <w:r>
        <w:rPr>
          <w:rtl/>
        </w:rPr>
        <w:t>כִּפֶּר</w:t>
      </w:r>
      <w:r>
        <w:t>, V. 11) erfordert</w:t>
      </w:r>
    </w:p>
    <w:p w14:paraId="4E212F3A" w14:textId="77777777" w:rsidR="00C81634" w:rsidRDefault="00C81634" w:rsidP="00C81634">
      <w:pPr>
        <w:pStyle w:val="berschrift4"/>
      </w:pPr>
      <w:r>
        <w:rPr>
          <w:rStyle w:val="Fett"/>
          <w:b w:val="0"/>
          <w:bCs w:val="0"/>
        </w:rPr>
        <w:lastRenderedPageBreak/>
        <w:t>Lösungsansätze:</w:t>
      </w:r>
    </w:p>
    <w:p w14:paraId="6A1DB62F" w14:textId="77777777" w:rsidR="00C81634" w:rsidRDefault="00C81634" w:rsidP="00C81634">
      <w:pPr>
        <w:pStyle w:val="whitespace-normal"/>
      </w:pPr>
      <w:r>
        <w:rPr>
          <w:rStyle w:val="Fett"/>
        </w:rPr>
        <w:t>1. Objektive Unreinheit (bevorzugt):</w:t>
      </w:r>
    </w:p>
    <w:p w14:paraId="10E31B6B" w14:textId="77777777" w:rsidR="00C81634" w:rsidRDefault="00C81634" w:rsidP="00C15C06">
      <w:pPr>
        <w:pStyle w:val="whitespace-normal"/>
        <w:numPr>
          <w:ilvl w:val="0"/>
          <w:numId w:val="58"/>
        </w:numPr>
      </w:pPr>
      <w:r>
        <w:rPr>
          <w:rStyle w:val="Fett"/>
          <w:rtl/>
        </w:rPr>
        <w:t>חֵטְא</w:t>
      </w:r>
      <w:r>
        <w:rPr>
          <w:rtl/>
        </w:rPr>
        <w:t xml:space="preserve"> </w:t>
      </w:r>
      <w:r>
        <w:t xml:space="preserve">bezeichnet hier </w:t>
      </w:r>
      <w:r>
        <w:rPr>
          <w:rStyle w:val="Fett"/>
        </w:rPr>
        <w:t>nicht</w:t>
      </w:r>
      <w:r>
        <w:t xml:space="preserve"> moralische Schuld, sondern </w:t>
      </w:r>
      <w:r>
        <w:rPr>
          <w:rStyle w:val="Fett"/>
        </w:rPr>
        <w:t>objektive Unreinheit</w:t>
      </w:r>
    </w:p>
    <w:p w14:paraId="739F9263" w14:textId="77777777" w:rsidR="00C81634" w:rsidRDefault="00C81634" w:rsidP="00C15C06">
      <w:pPr>
        <w:pStyle w:val="whitespace-normal"/>
        <w:numPr>
          <w:ilvl w:val="0"/>
          <w:numId w:val="58"/>
        </w:numPr>
      </w:pPr>
      <w:r>
        <w:t xml:space="preserve">Die Sünde liegt </w:t>
      </w:r>
      <w:r>
        <w:rPr>
          <w:rStyle w:val="Fett"/>
        </w:rPr>
        <w:t>nicht in der Handlung</w:t>
      </w:r>
      <w:r>
        <w:t xml:space="preserve">, sondern im </w:t>
      </w:r>
      <w:r>
        <w:rPr>
          <w:rStyle w:val="Fett"/>
        </w:rPr>
        <w:t>Zustand der Verunreinigung</w:t>
      </w:r>
    </w:p>
    <w:p w14:paraId="4BBFDAD9" w14:textId="77777777" w:rsidR="00C81634" w:rsidRDefault="00C81634" w:rsidP="00C15C06">
      <w:pPr>
        <w:pStyle w:val="whitespace-normal"/>
        <w:numPr>
          <w:ilvl w:val="0"/>
          <w:numId w:val="58"/>
        </w:numPr>
      </w:pPr>
      <w:r>
        <w:t xml:space="preserve">Vergleichbar mit </w:t>
      </w:r>
      <w:r>
        <w:rPr>
          <w:rStyle w:val="Fett"/>
        </w:rPr>
        <w:t>Lev 4,2-3</w:t>
      </w:r>
      <w:r>
        <w:t xml:space="preserve">: </w:t>
      </w:r>
      <w:r>
        <w:rPr>
          <w:rtl/>
        </w:rPr>
        <w:t>חֵטְא בִשְׁגָגָה</w:t>
      </w:r>
      <w:r>
        <w:t xml:space="preserve"> (unabsichtliche Sünde) erfordert trotzdem Sühne</w:t>
      </w:r>
    </w:p>
    <w:p w14:paraId="1A3B8C7A" w14:textId="77777777" w:rsidR="00C81634" w:rsidRDefault="00C81634" w:rsidP="00C15C06">
      <w:pPr>
        <w:pStyle w:val="whitespace-normal"/>
        <w:numPr>
          <w:ilvl w:val="0"/>
          <w:numId w:val="58"/>
        </w:numPr>
      </w:pPr>
      <w:r>
        <w:rPr>
          <w:rStyle w:val="Fett"/>
        </w:rPr>
        <w:t>Heiligkeit</w:t>
      </w:r>
      <w:r>
        <w:t xml:space="preserve"> und </w:t>
      </w:r>
      <w:r>
        <w:rPr>
          <w:rStyle w:val="Fett"/>
        </w:rPr>
        <w:t>Unreinheit</w:t>
      </w:r>
      <w:r>
        <w:t xml:space="preserve"> sind </w:t>
      </w:r>
      <w:r>
        <w:rPr>
          <w:rStyle w:val="Fett"/>
        </w:rPr>
        <w:t>objektive Kategorien</w:t>
      </w:r>
      <w:r>
        <w:t>, unabhängig von Intention</w:t>
      </w:r>
    </w:p>
    <w:p w14:paraId="7988EF65" w14:textId="77777777" w:rsidR="00C81634" w:rsidRDefault="00C81634" w:rsidP="00C81634">
      <w:pPr>
        <w:pStyle w:val="whitespace-normal"/>
      </w:pPr>
      <w:r>
        <w:rPr>
          <w:rStyle w:val="Fett"/>
        </w:rPr>
        <w:t>2. Verletzung der Heiligkeit:</w:t>
      </w:r>
    </w:p>
    <w:p w14:paraId="1554F60C" w14:textId="77777777" w:rsidR="00C81634" w:rsidRDefault="00C81634" w:rsidP="00C15C06">
      <w:pPr>
        <w:pStyle w:val="whitespace-normal"/>
        <w:numPr>
          <w:ilvl w:val="0"/>
          <w:numId w:val="59"/>
        </w:numPr>
      </w:pPr>
      <w:r>
        <w:t xml:space="preserve">Die </w:t>
      </w:r>
      <w:r>
        <w:rPr>
          <w:rStyle w:val="Fett"/>
          <w:rtl/>
        </w:rPr>
        <w:t>נֵזֶר</w:t>
      </w:r>
      <w:r>
        <w:rPr>
          <w:rtl/>
        </w:rPr>
        <w:t xml:space="preserve"> </w:t>
      </w:r>
      <w:r>
        <w:t xml:space="preserve">(Weihe) ist ein </w:t>
      </w:r>
      <w:r>
        <w:rPr>
          <w:rStyle w:val="Fett"/>
        </w:rPr>
        <w:t>objektiver Zustand</w:t>
      </w:r>
      <w:r>
        <w:t xml:space="preserve">, der durch Kontakt mit Tod </w:t>
      </w:r>
      <w:r>
        <w:rPr>
          <w:rStyle w:val="Fett"/>
        </w:rPr>
        <w:t>automatisch</w:t>
      </w:r>
      <w:r>
        <w:t xml:space="preserve"> kontaminiert wird</w:t>
      </w:r>
    </w:p>
    <w:p w14:paraId="776FE3AD" w14:textId="77777777" w:rsidR="00C81634" w:rsidRDefault="00C81634" w:rsidP="00C15C06">
      <w:pPr>
        <w:pStyle w:val="whitespace-normal"/>
        <w:numPr>
          <w:ilvl w:val="0"/>
          <w:numId w:val="59"/>
        </w:numPr>
      </w:pPr>
      <w:r>
        <w:t xml:space="preserve">Die "Sünde" besteht in der </w:t>
      </w:r>
      <w:r>
        <w:rPr>
          <w:rStyle w:val="Fett"/>
        </w:rPr>
        <w:t>Unterbrechung der Heiligkeit</w:t>
      </w:r>
      <w:r>
        <w:t>, nicht in Schuld</w:t>
      </w:r>
    </w:p>
    <w:p w14:paraId="1A7E6254" w14:textId="77777777" w:rsidR="00C81634" w:rsidRDefault="00C81634" w:rsidP="00C15C06">
      <w:pPr>
        <w:pStyle w:val="whitespace-normal"/>
        <w:numPr>
          <w:ilvl w:val="0"/>
          <w:numId w:val="59"/>
        </w:numPr>
      </w:pPr>
      <w:r>
        <w:t xml:space="preserve">Vergleichbar mit dem </w:t>
      </w:r>
      <w:r>
        <w:rPr>
          <w:rStyle w:val="Fett"/>
        </w:rPr>
        <w:t>Hohepriester</w:t>
      </w:r>
      <w:r>
        <w:t xml:space="preserve"> (Lev 21,11): Selbst bei </w:t>
      </w:r>
      <w:r>
        <w:rPr>
          <w:rStyle w:val="Fett"/>
        </w:rPr>
        <w:t>engsten Verwandten</w:t>
      </w:r>
      <w:r>
        <w:t xml:space="preserve"> keine Leichenberührung</w:t>
      </w:r>
    </w:p>
    <w:p w14:paraId="7D8EFB5E" w14:textId="77777777" w:rsidR="00C81634" w:rsidRDefault="00C81634" w:rsidP="00C81634">
      <w:pPr>
        <w:pStyle w:val="whitespace-normal"/>
      </w:pPr>
      <w:r>
        <w:rPr>
          <w:rStyle w:val="Fett"/>
        </w:rPr>
        <w:t>3. Rituelle Logik statt moralische Logik:</w:t>
      </w:r>
    </w:p>
    <w:p w14:paraId="714E3098" w14:textId="77777777" w:rsidR="00C81634" w:rsidRDefault="00C81634" w:rsidP="00C15C06">
      <w:pPr>
        <w:pStyle w:val="whitespace-normal"/>
        <w:numPr>
          <w:ilvl w:val="0"/>
          <w:numId w:val="60"/>
        </w:numPr>
      </w:pPr>
      <w:r>
        <w:t xml:space="preserve">Das </w:t>
      </w:r>
      <w:r>
        <w:rPr>
          <w:rStyle w:val="Fett"/>
        </w:rPr>
        <w:t>Opfersystem</w:t>
      </w:r>
      <w:r>
        <w:t xml:space="preserve"> folgt </w:t>
      </w:r>
      <w:r>
        <w:rPr>
          <w:rStyle w:val="Fett"/>
        </w:rPr>
        <w:t>ritueller</w:t>
      </w:r>
      <w:r>
        <w:t xml:space="preserve"> Logik, nicht </w:t>
      </w:r>
      <w:r>
        <w:rPr>
          <w:rStyle w:val="Fett"/>
        </w:rPr>
        <w:t>juridischer</w:t>
      </w:r>
      <w:r>
        <w:t xml:space="preserve"> Logik</w:t>
      </w:r>
    </w:p>
    <w:p w14:paraId="5FAB2357" w14:textId="77777777" w:rsidR="00C81634" w:rsidRDefault="00C81634" w:rsidP="00C15C06">
      <w:pPr>
        <w:pStyle w:val="whitespace-normal"/>
        <w:numPr>
          <w:ilvl w:val="0"/>
          <w:numId w:val="60"/>
        </w:numPr>
      </w:pPr>
      <w:r>
        <w:rPr>
          <w:rStyle w:val="Fett"/>
        </w:rPr>
        <w:t>Sünde</w:t>
      </w:r>
      <w:r>
        <w:t xml:space="preserve"> (</w:t>
      </w:r>
      <w:r>
        <w:rPr>
          <w:rtl/>
        </w:rPr>
        <w:t>חֵטְא</w:t>
      </w:r>
      <w:r>
        <w:t>) = Abweichung vom gottgeweihten Zustand</w:t>
      </w:r>
    </w:p>
    <w:p w14:paraId="43779EA4" w14:textId="77777777" w:rsidR="00C81634" w:rsidRDefault="00C81634" w:rsidP="00C15C06">
      <w:pPr>
        <w:pStyle w:val="whitespace-normal"/>
        <w:numPr>
          <w:ilvl w:val="0"/>
          <w:numId w:val="60"/>
        </w:numPr>
      </w:pPr>
      <w:r>
        <w:rPr>
          <w:rStyle w:val="Fett"/>
        </w:rPr>
        <w:t>Sühne</w:t>
      </w:r>
      <w:r>
        <w:t xml:space="preserve"> (</w:t>
      </w:r>
      <w:r>
        <w:rPr>
          <w:rtl/>
        </w:rPr>
        <w:t>כִּפֶּר</w:t>
      </w:r>
      <w:r>
        <w:t>) = Wiederherstellung der Gottesbeziehung</w:t>
      </w:r>
    </w:p>
    <w:p w14:paraId="5F0DD1D8" w14:textId="77777777" w:rsidR="00C81634" w:rsidRDefault="00C81634" w:rsidP="00C15C06">
      <w:pPr>
        <w:pStyle w:val="whitespace-normal"/>
        <w:numPr>
          <w:ilvl w:val="0"/>
          <w:numId w:val="60"/>
        </w:numPr>
      </w:pPr>
      <w:r>
        <w:t xml:space="preserve">Keine </w:t>
      </w:r>
      <w:r>
        <w:rPr>
          <w:rStyle w:val="Fett"/>
        </w:rPr>
        <w:t>Schuldzuweisung</w:t>
      </w:r>
      <w:r>
        <w:t xml:space="preserve"> impliziert</w:t>
      </w:r>
    </w:p>
    <w:p w14:paraId="30382443" w14:textId="77777777" w:rsidR="00C81634" w:rsidRPr="00C81634" w:rsidRDefault="00C81634" w:rsidP="00C81634">
      <w:pPr>
        <w:pStyle w:val="berschrift4"/>
        <w:rPr>
          <w:rFonts w:ascii="Times New Roman" w:hAnsi="Times New Roman" w:cs="Times New Roman"/>
          <w:i w:val="0"/>
          <w:iCs w:val="0"/>
        </w:rPr>
      </w:pPr>
      <w:r w:rsidRPr="00C81634">
        <w:rPr>
          <w:rStyle w:val="Fett"/>
          <w:rFonts w:ascii="Times New Roman" w:hAnsi="Times New Roman" w:cs="Times New Roman"/>
          <w:i w:val="0"/>
          <w:iCs w:val="0"/>
        </w:rPr>
        <w:t>Theologische Konsequenz:</w:t>
      </w:r>
    </w:p>
    <w:p w14:paraId="74D3DB2E" w14:textId="77777777" w:rsidR="00C81634" w:rsidRDefault="00C81634" w:rsidP="00C81634">
      <w:pPr>
        <w:pStyle w:val="whitespace-normal"/>
      </w:pPr>
      <w:r>
        <w:t xml:space="preserve">Das </w:t>
      </w:r>
      <w:r>
        <w:rPr>
          <w:rStyle w:val="Fett"/>
        </w:rPr>
        <w:t>Sündopfer</w:t>
      </w:r>
      <w:r>
        <w:t xml:space="preserve"> (</w:t>
      </w:r>
      <w:r>
        <w:rPr>
          <w:rtl/>
        </w:rPr>
        <w:t>חַטָּאת</w:t>
      </w:r>
      <w:r>
        <w:t xml:space="preserve">, V. 11) reinigt </w:t>
      </w:r>
      <w:r>
        <w:rPr>
          <w:rStyle w:val="Fett"/>
        </w:rPr>
        <w:t>nicht</w:t>
      </w:r>
      <w:r>
        <w:t xml:space="preserve"> von moralischer Schuld, sondern von </w:t>
      </w:r>
      <w:r>
        <w:rPr>
          <w:rStyle w:val="Fett"/>
        </w:rPr>
        <w:t>ritueller Verunreinigung</w:t>
      </w:r>
      <w:r>
        <w:t xml:space="preserve">. Die </w:t>
      </w:r>
      <w:r>
        <w:rPr>
          <w:rStyle w:val="Fett"/>
        </w:rPr>
        <w:t>Unterscheidung</w:t>
      </w:r>
      <w:r>
        <w:t xml:space="preserve"> zwischen:</w:t>
      </w:r>
    </w:p>
    <w:p w14:paraId="7E8C606E" w14:textId="77777777" w:rsidR="00C81634" w:rsidRDefault="00C81634" w:rsidP="00C15C06">
      <w:pPr>
        <w:pStyle w:val="whitespace-normal"/>
        <w:numPr>
          <w:ilvl w:val="0"/>
          <w:numId w:val="61"/>
        </w:numPr>
      </w:pPr>
      <w:r>
        <w:rPr>
          <w:rStyle w:val="Fett"/>
          <w:rtl/>
        </w:rPr>
        <w:t>חֵטְא בְּיָד רָמָה</w:t>
      </w:r>
      <w:r>
        <w:rPr>
          <w:rtl/>
        </w:rPr>
        <w:t xml:space="preserve"> </w:t>
      </w:r>
      <w:r>
        <w:t xml:space="preserve">(Sünde mit erhobener Hand = Vorsatz, Num 15,30) → </w:t>
      </w:r>
      <w:r>
        <w:rPr>
          <w:rStyle w:val="Fett"/>
        </w:rPr>
        <w:t>keine Sühne möglich</w:t>
      </w:r>
    </w:p>
    <w:p w14:paraId="6A5C4B61" w14:textId="77777777" w:rsidR="00C81634" w:rsidRDefault="00C81634" w:rsidP="00C15C06">
      <w:pPr>
        <w:pStyle w:val="whitespace-normal"/>
        <w:numPr>
          <w:ilvl w:val="0"/>
          <w:numId w:val="61"/>
        </w:numPr>
      </w:pPr>
      <w:r>
        <w:rPr>
          <w:rStyle w:val="Fett"/>
          <w:rtl/>
        </w:rPr>
        <w:t>חֵטְא בִשְׁגָגָה</w:t>
      </w:r>
      <w:r>
        <w:rPr>
          <w:rtl/>
        </w:rPr>
        <w:t xml:space="preserve"> </w:t>
      </w:r>
      <w:r>
        <w:t xml:space="preserve">(unabsichtliche Sünde/Verunreinigung, Lev 4,2) → </w:t>
      </w:r>
      <w:r>
        <w:rPr>
          <w:rStyle w:val="Fett"/>
        </w:rPr>
        <w:t>Sühne durch Opfer</w:t>
      </w:r>
    </w:p>
    <w:p w14:paraId="20202437" w14:textId="0125C977" w:rsidR="00C81634" w:rsidRDefault="00C81634" w:rsidP="00C81634">
      <w:pPr>
        <w:pStyle w:val="whitespace-normal"/>
      </w:pPr>
      <w:r>
        <w:t xml:space="preserve">...zeigt, dass das AT </w:t>
      </w:r>
      <w:r>
        <w:rPr>
          <w:rStyle w:val="Fett"/>
        </w:rPr>
        <w:t>differenziert</w:t>
      </w:r>
      <w:r>
        <w:t xml:space="preserve"> zwischen </w:t>
      </w:r>
      <w:r>
        <w:rPr>
          <w:rStyle w:val="Fett"/>
        </w:rPr>
        <w:t>moralischer Schuld</w:t>
      </w:r>
      <w:r>
        <w:t xml:space="preserve"> und </w:t>
      </w:r>
      <w:r>
        <w:rPr>
          <w:rStyle w:val="Fett"/>
        </w:rPr>
        <w:t>ritueller Unreinheit</w:t>
      </w:r>
      <w:r>
        <w:t>.</w:t>
      </w:r>
    </w:p>
    <w:p w14:paraId="09291A4B" w14:textId="21AE97C0" w:rsidR="00C81634" w:rsidRPr="00DD7028" w:rsidRDefault="00C81634" w:rsidP="00C81634">
      <w:pPr>
        <w:pStyle w:val="whitespace-normal"/>
      </w:pPr>
      <w:r>
        <w:rPr>
          <w:rStyle w:val="Fett"/>
        </w:rPr>
        <w:t>Methodischer Hinweis:</w:t>
      </w:r>
      <w:r>
        <w:t xml:space="preserve"> Die paradoxe Formulierung "er sündigte an der Leiche" zeigt die </w:t>
      </w:r>
      <w:r>
        <w:rPr>
          <w:rStyle w:val="Fett"/>
        </w:rPr>
        <w:t>Grenzen moderner ethischer Kategorien</w:t>
      </w:r>
      <w:r>
        <w:t xml:space="preserve"> beim Verständnis altorientalischer Reinheitssysteme. Das AT kennt </w:t>
      </w:r>
      <w:r>
        <w:rPr>
          <w:rStyle w:val="Fett"/>
        </w:rPr>
        <w:t>kein modernes Schuldprinzip</w:t>
      </w:r>
      <w:r>
        <w:t xml:space="preserve">, sondern ein </w:t>
      </w:r>
      <w:r>
        <w:rPr>
          <w:rStyle w:val="Fett"/>
        </w:rPr>
        <w:t>Heiligkeitssystem</w:t>
      </w:r>
      <w:r>
        <w:t xml:space="preserve">, in dem </w:t>
      </w:r>
      <w:r>
        <w:rPr>
          <w:rStyle w:val="Fett"/>
        </w:rPr>
        <w:t>objektive Zustände</w:t>
      </w:r>
      <w:r>
        <w:t xml:space="preserve"> wichtiger sind als </w:t>
      </w:r>
      <w:r>
        <w:rPr>
          <w:rStyle w:val="Fett"/>
        </w:rPr>
        <w:t>subjektive Intentionen</w:t>
      </w:r>
      <w:r>
        <w:t>.</w:t>
      </w:r>
    </w:p>
    <w:p w14:paraId="77BA73F8"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6,13</w:t>
      </w:r>
    </w:p>
    <w:p w14:paraId="46FFE8C1"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וְזֹ֥את תּוֹרַ֖ת הַנָּזִ֑יר בְּי֗וֹם מְלֹאת֙ יְמֵ֣י נִזְרֹ֔ו יָבִ֣יא אֹתוֹ֔ אֶל־פֶּ֖תַח אֹ֥הֶל מוֹעֵֽד׃</w:t>
      </w:r>
    </w:p>
    <w:p w14:paraId="62911119"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Und dies ist das Gesetz des Nasir: An dem Tag, an dem die Tage seiner Absonderung erfüllt sind, soll man ihn an den Eingang des Zeltes der Begegnung bringen.</w:t>
      </w:r>
    </w:p>
    <w:p w14:paraId="7249D5E1"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lastRenderedPageBreak/>
        <w:pict w14:anchorId="59CE3E28">
          <v:rect id="_x0000_i1256" style="width:0;height:1.5pt" o:hralign="center" o:hrstd="t" o:hr="t" fillcolor="#a0a0a0" stroked="f"/>
        </w:pict>
      </w:r>
    </w:p>
    <w:p w14:paraId="159F04DD" w14:textId="3B96648B"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Demonstrativpronomen </w:t>
      </w:r>
      <w:r w:rsidRPr="00DD7028">
        <w:rPr>
          <w:rFonts w:eastAsia="Times New Roman" w:cs="Times New Roman"/>
          <w:b/>
          <w:bCs/>
          <w:rtl/>
          <w:lang w:eastAsia="de-DE"/>
        </w:rPr>
        <w:t>וְזֹאת</w:t>
      </w:r>
      <w:r w:rsidRPr="00DD7028">
        <w:rPr>
          <w:rFonts w:eastAsia="Times New Roman" w:cs="Times New Roman"/>
          <w:rtl/>
          <w:lang w:eastAsia="de-DE"/>
        </w:rPr>
        <w:t xml:space="preserve"> </w:t>
      </w:r>
      <w:r w:rsidRPr="00DD7028">
        <w:rPr>
          <w:rFonts w:eastAsia="Times New Roman" w:cs="Times New Roman"/>
          <w:lang w:eastAsia="de-DE"/>
        </w:rPr>
        <w:t xml:space="preserve">(und dies) mit der </w:t>
      </w:r>
      <w:r w:rsidR="00F133EC">
        <w:rPr>
          <w:rFonts w:eastAsia="Times New Roman" w:cs="Times New Roman"/>
          <w:lang w:eastAsia="de-DE"/>
        </w:rPr>
        <w:t>Construct</w:t>
      </w:r>
      <w:r w:rsidRPr="00DD7028">
        <w:rPr>
          <w:rFonts w:eastAsia="Times New Roman" w:cs="Times New Roman"/>
          <w:lang w:eastAsia="de-DE"/>
        </w:rPr>
        <w:t xml:space="preserve">verbindung </w:t>
      </w:r>
      <w:r w:rsidRPr="00DD7028">
        <w:rPr>
          <w:rFonts w:eastAsia="Times New Roman" w:cs="Times New Roman"/>
          <w:b/>
          <w:bCs/>
          <w:rtl/>
          <w:lang w:eastAsia="de-DE"/>
        </w:rPr>
        <w:t>תּוֹרַת הַנָּזִיר</w:t>
      </w:r>
      <w:r w:rsidRPr="00DD7028">
        <w:rPr>
          <w:rFonts w:eastAsia="Times New Roman" w:cs="Times New Roman"/>
          <w:rtl/>
          <w:lang w:eastAsia="de-DE"/>
        </w:rPr>
        <w:t xml:space="preserve"> </w:t>
      </w:r>
      <w:r w:rsidRPr="00DD7028">
        <w:rPr>
          <w:rFonts w:eastAsia="Times New Roman" w:cs="Times New Roman"/>
          <w:lang w:eastAsia="de-DE"/>
        </w:rPr>
        <w:t>(Gesetz des Nasir) leitet die Bestimmungen für die erfolgreiche Beendigung des Nasiräatsgelübdes ein.</w:t>
      </w:r>
    </w:p>
    <w:p w14:paraId="108A49F6" w14:textId="56DD23D5"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temporale Bestimmung </w:t>
      </w:r>
      <w:r w:rsidRPr="00DD7028">
        <w:rPr>
          <w:rFonts w:eastAsia="Times New Roman" w:cs="Times New Roman"/>
          <w:b/>
          <w:bCs/>
          <w:rtl/>
          <w:lang w:eastAsia="de-DE"/>
        </w:rPr>
        <w:t>בְּיוֹם מְלֹאת יְמֵי נִזְרוֹ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בְּיוֹם</w:t>
      </w:r>
      <w:r w:rsidRPr="00DD7028">
        <w:rPr>
          <w:rFonts w:eastAsia="Times New Roman" w:cs="Times New Roman"/>
          <w:rtl/>
          <w:lang w:eastAsia="de-DE"/>
        </w:rPr>
        <w:t xml:space="preserve"> </w:t>
      </w:r>
      <w:r w:rsidRPr="00DD7028">
        <w:rPr>
          <w:rFonts w:eastAsia="Times New Roman" w:cs="Times New Roman"/>
          <w:lang w:eastAsia="de-DE"/>
        </w:rPr>
        <w:t xml:space="preserve">(am Tag), </w:t>
      </w:r>
      <w:r w:rsidRPr="00DD7028">
        <w:rPr>
          <w:rFonts w:eastAsia="Times New Roman" w:cs="Times New Roman"/>
          <w:b/>
          <w:bCs/>
          <w:rtl/>
          <w:lang w:eastAsia="de-DE"/>
        </w:rPr>
        <w:t>מְלֹאת</w:t>
      </w:r>
      <w:r w:rsidRPr="00DD7028">
        <w:rPr>
          <w:rFonts w:eastAsia="Times New Roman" w:cs="Times New Roman"/>
          <w:rtl/>
          <w:lang w:eastAsia="de-DE"/>
        </w:rPr>
        <w:t xml:space="preserve"> </w:t>
      </w:r>
      <w:r w:rsidRPr="00DD7028">
        <w:rPr>
          <w:rFonts w:eastAsia="Times New Roman" w:cs="Times New Roman"/>
          <w:lang w:eastAsia="de-DE"/>
        </w:rPr>
        <w:t>als Qal-Infinitiv-</w:t>
      </w:r>
      <w:r w:rsidR="00F133EC">
        <w:rPr>
          <w:rFonts w:eastAsia="Times New Roman" w:cs="Times New Roman"/>
          <w:lang w:eastAsia="de-DE"/>
        </w:rPr>
        <w:t>Construct</w:t>
      </w:r>
      <w:r w:rsidRPr="00DD7028">
        <w:rPr>
          <w:rFonts w:eastAsia="Times New Roman" w:cs="Times New Roman"/>
          <w:lang w:eastAsia="de-DE"/>
        </w:rPr>
        <w:t xml:space="preserve"> von </w:t>
      </w:r>
      <w:r w:rsidRPr="00DD7028">
        <w:rPr>
          <w:rFonts w:eastAsia="Times New Roman" w:cs="Times New Roman"/>
          <w:b/>
          <w:bCs/>
          <w:rtl/>
          <w:lang w:eastAsia="de-DE"/>
        </w:rPr>
        <w:t>מלא</w:t>
      </w:r>
      <w:r w:rsidRPr="00DD7028">
        <w:rPr>
          <w:rFonts w:eastAsia="Times New Roman" w:cs="Times New Roman"/>
          <w:rtl/>
          <w:lang w:eastAsia="de-DE"/>
        </w:rPr>
        <w:t xml:space="preserve"> </w:t>
      </w:r>
      <w:r w:rsidRPr="00DD7028">
        <w:rPr>
          <w:rFonts w:eastAsia="Times New Roman" w:cs="Times New Roman"/>
          <w:lang w:eastAsia="de-DE"/>
        </w:rPr>
        <w:t xml:space="preserve">(erfüllen) und </w:t>
      </w:r>
      <w:r w:rsidRPr="00DD7028">
        <w:rPr>
          <w:rFonts w:eastAsia="Times New Roman" w:cs="Times New Roman"/>
          <w:b/>
          <w:bCs/>
          <w:rtl/>
          <w:lang w:eastAsia="de-DE"/>
        </w:rPr>
        <w:t>יְמֵי נִזְרוֹ</w:t>
      </w:r>
      <w:r w:rsidRPr="00DD7028">
        <w:rPr>
          <w:rFonts w:eastAsia="Times New Roman" w:cs="Times New Roman"/>
          <w:rtl/>
          <w:lang w:eastAsia="de-DE"/>
        </w:rPr>
        <w:t xml:space="preserve"> </w:t>
      </w:r>
      <w:r w:rsidRPr="00DD7028">
        <w:rPr>
          <w:rFonts w:eastAsia="Times New Roman" w:cs="Times New Roman"/>
          <w:lang w:eastAsia="de-DE"/>
        </w:rPr>
        <w:t xml:space="preserve">(Tage seiner Absonderung) im </w:t>
      </w:r>
      <w:r w:rsidR="00F133EC">
        <w:rPr>
          <w:rFonts w:eastAsia="Times New Roman" w:cs="Times New Roman"/>
          <w:lang w:eastAsia="de-DE"/>
        </w:rPr>
        <w:t>Construct</w:t>
      </w:r>
      <w:r w:rsidRPr="00DD7028">
        <w:rPr>
          <w:rFonts w:eastAsia="Times New Roman" w:cs="Times New Roman"/>
          <w:lang w:eastAsia="de-DE"/>
        </w:rPr>
        <w:t xml:space="preserve"> zeigt den Zeitpunkt der Vollendung.</w:t>
      </w:r>
    </w:p>
    <w:p w14:paraId="24441445"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Verb </w:t>
      </w:r>
      <w:r w:rsidRPr="00DD7028">
        <w:rPr>
          <w:rFonts w:eastAsia="Times New Roman" w:cs="Times New Roman"/>
          <w:b/>
          <w:bCs/>
          <w:rtl/>
          <w:lang w:eastAsia="de-DE"/>
        </w:rPr>
        <w:t>יָבִיא אֹתוֹ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יָבִיא</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בוא</w:t>
      </w:r>
      <w:r w:rsidRPr="00DD7028">
        <w:rPr>
          <w:rFonts w:eastAsia="Times New Roman" w:cs="Times New Roman"/>
          <w:rtl/>
          <w:lang w:eastAsia="de-DE"/>
        </w:rPr>
        <w:t xml:space="preserve"> </w:t>
      </w:r>
      <w:r w:rsidRPr="00DD7028">
        <w:rPr>
          <w:rFonts w:eastAsia="Times New Roman" w:cs="Times New Roman"/>
          <w:lang w:eastAsia="de-DE"/>
        </w:rPr>
        <w:t xml:space="preserve">(bringen) im Hiph'il-Imperfekt 3. maskulin Singular und </w:t>
      </w:r>
      <w:r w:rsidRPr="00DD7028">
        <w:rPr>
          <w:rFonts w:eastAsia="Times New Roman" w:cs="Times New Roman"/>
          <w:b/>
          <w:bCs/>
          <w:rtl/>
          <w:lang w:eastAsia="de-DE"/>
        </w:rPr>
        <w:t>אֹתוֹ</w:t>
      </w:r>
      <w:r w:rsidRPr="00DD7028">
        <w:rPr>
          <w:rFonts w:eastAsia="Times New Roman" w:cs="Times New Roman"/>
          <w:rtl/>
          <w:lang w:eastAsia="de-DE"/>
        </w:rPr>
        <w:t xml:space="preserve"> </w:t>
      </w:r>
      <w:r w:rsidRPr="00DD7028">
        <w:rPr>
          <w:rFonts w:eastAsia="Times New Roman" w:cs="Times New Roman"/>
          <w:lang w:eastAsia="de-DE"/>
        </w:rPr>
        <w:t xml:space="preserve">(ihn) mit der Ortsangabe </w:t>
      </w:r>
      <w:r w:rsidRPr="00DD7028">
        <w:rPr>
          <w:rFonts w:eastAsia="Times New Roman" w:cs="Times New Roman"/>
          <w:b/>
          <w:bCs/>
          <w:rtl/>
          <w:lang w:eastAsia="de-DE"/>
        </w:rPr>
        <w:t>אֶל־פֶּתַח אֹהֶל מוֹעֵד</w:t>
      </w:r>
      <w:r w:rsidRPr="00DD7028">
        <w:rPr>
          <w:rFonts w:eastAsia="Times New Roman" w:cs="Times New Roman"/>
          <w:rtl/>
          <w:lang w:eastAsia="de-DE"/>
        </w:rPr>
        <w:t xml:space="preserve"> </w:t>
      </w:r>
      <w:r w:rsidRPr="00DD7028">
        <w:rPr>
          <w:rFonts w:eastAsia="Times New Roman" w:cs="Times New Roman"/>
          <w:lang w:eastAsia="de-DE"/>
        </w:rPr>
        <w:t>(zum Eingang des Zeltes der Begegnung) zeigt den rituellen Abschluss am heiligen Ort.</w:t>
      </w:r>
    </w:p>
    <w:p w14:paraId="62CA73DB"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übersetzt </w:t>
      </w:r>
      <w:r w:rsidRPr="00DD7028">
        <w:rPr>
          <w:rFonts w:eastAsia="Times New Roman" w:cs="Times New Roman"/>
          <w:b/>
          <w:bCs/>
          <w:rtl/>
          <w:lang w:eastAsia="de-DE"/>
        </w:rPr>
        <w:t>יָבִיא אֹתוֹ</w:t>
      </w:r>
      <w:r w:rsidRPr="00DD7028">
        <w:rPr>
          <w:rFonts w:eastAsia="Times New Roman" w:cs="Times New Roman"/>
          <w:rtl/>
          <w:lang w:eastAsia="de-DE"/>
        </w:rPr>
        <w:t xml:space="preserve"> </w:t>
      </w:r>
      <w:r w:rsidRPr="00DD7028">
        <w:rPr>
          <w:rFonts w:eastAsia="Times New Roman" w:cs="Times New Roman"/>
          <w:lang w:eastAsia="de-DE"/>
        </w:rPr>
        <w:t xml:space="preserve">mit προσάξει αὐτόν (er soll ihn heranführen), was stärker die formelle Präsentation betont. Das passive </w:t>
      </w:r>
      <w:r w:rsidRPr="00DD7028">
        <w:rPr>
          <w:rFonts w:eastAsia="Times New Roman" w:cs="Times New Roman"/>
          <w:b/>
          <w:bCs/>
          <w:rtl/>
          <w:lang w:eastAsia="de-DE"/>
        </w:rPr>
        <w:t>יָבִיא</w:t>
      </w:r>
      <w:r w:rsidRPr="00DD7028">
        <w:rPr>
          <w:rFonts w:eastAsia="Times New Roman" w:cs="Times New Roman"/>
          <w:rtl/>
          <w:lang w:eastAsia="de-DE"/>
        </w:rPr>
        <w:t xml:space="preserve"> </w:t>
      </w:r>
      <w:r w:rsidRPr="00DD7028">
        <w:rPr>
          <w:rFonts w:eastAsia="Times New Roman" w:cs="Times New Roman"/>
          <w:lang w:eastAsia="de-DE"/>
        </w:rPr>
        <w:t>wird als aktive priesterliche Handlung verstanden.</w:t>
      </w:r>
    </w:p>
    <w:p w14:paraId="0BCB7BC4"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eine zusammenfassende Gesetzeseinleitung mit präziser temporaler Vollendungsangabe und Ortsbestimmung für den Abschlussritus.</w:t>
      </w:r>
    </w:p>
    <w:p w14:paraId="1857D490"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leitet die Bestimmungen für die erfolgreiche Vollendung des Nasiräatsgelübdes ein und betont den formellen, öffentlichen Charakter des Abschlusses.</w:t>
      </w:r>
    </w:p>
    <w:p w14:paraId="7C82614A"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6,14</w:t>
      </w:r>
    </w:p>
    <w:p w14:paraId="30DB50F0"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וְהִקְרִ֣יב אֶת־קָרְבָּנֹ֣ו לַיהוָ֡ה כֶּבֶשׂ֩ בֶּן־שְׁנָתוֹ֨ תָמִ֤ים אֶחָד֙ לְעֹלָ֔ה וְכַבְשָׂ֨ה אַחַ֧ת בַּת־שְׁנָתָ֛הּ תְּמִימָ֖ה לְחַטָּ֑את וְאַֽיִל־אֶחָ֥ד תָּמִ֖ים לִשְׁלָמִֽים׃</w:t>
      </w:r>
    </w:p>
    <w:p w14:paraId="68BCE72B"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Und er soll dem Ewigen seine Opfergabe darbringen: ein einjähriges, makelloses männliches Lamm zum Aufsteigeopfer, und ein einjähriges, makelloses weibliches Lamm zum Sündopfer, und einen makellosen Widder zum Friedensopfer,</w:t>
      </w:r>
    </w:p>
    <w:p w14:paraId="31FD509C"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58336184">
          <v:rect id="_x0000_i1257" style="width:0;height:1.5pt" o:hralign="center" o:hrstd="t" o:hr="t" fillcolor="#a0a0a0" stroked="f"/>
        </w:pict>
      </w:r>
    </w:p>
    <w:p w14:paraId="5E0A5167"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Verb </w:t>
      </w:r>
      <w:r w:rsidRPr="00DD7028">
        <w:rPr>
          <w:rFonts w:eastAsia="Times New Roman" w:cs="Times New Roman"/>
          <w:b/>
          <w:bCs/>
          <w:rtl/>
          <w:lang w:eastAsia="de-DE"/>
        </w:rPr>
        <w:t>וְהִקְרִיב אֶת־קָרְבָּנוֹ לַיהוָה</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הִקְרִיב</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קרב</w:t>
      </w:r>
      <w:r w:rsidRPr="00DD7028">
        <w:rPr>
          <w:rFonts w:eastAsia="Times New Roman" w:cs="Times New Roman"/>
          <w:rtl/>
          <w:lang w:eastAsia="de-DE"/>
        </w:rPr>
        <w:t xml:space="preserve"> </w:t>
      </w:r>
      <w:r w:rsidRPr="00DD7028">
        <w:rPr>
          <w:rFonts w:eastAsia="Times New Roman" w:cs="Times New Roman"/>
          <w:lang w:eastAsia="de-DE"/>
        </w:rPr>
        <w:t xml:space="preserve">(nahen/darbringen) im Hiph'il-Perfekt 3. maskulin Singular zeigt die formelle Opferdarbringung. </w:t>
      </w:r>
      <w:r w:rsidRPr="00DD7028">
        <w:rPr>
          <w:rFonts w:eastAsia="Times New Roman" w:cs="Times New Roman"/>
          <w:b/>
          <w:bCs/>
          <w:rtl/>
          <w:lang w:eastAsia="de-DE"/>
        </w:rPr>
        <w:t>קָרְבָּנוֹ</w:t>
      </w:r>
      <w:r w:rsidRPr="00DD7028">
        <w:rPr>
          <w:rFonts w:eastAsia="Times New Roman" w:cs="Times New Roman"/>
          <w:rtl/>
          <w:lang w:eastAsia="de-DE"/>
        </w:rPr>
        <w:t xml:space="preserve"> </w:t>
      </w:r>
      <w:r w:rsidRPr="00DD7028">
        <w:rPr>
          <w:rFonts w:eastAsia="Times New Roman" w:cs="Times New Roman"/>
          <w:lang w:eastAsia="de-DE"/>
        </w:rPr>
        <w:t>(seine Opfergabe) mit Possessivsuffix betont die persönliche Verpflichtung.</w:t>
      </w:r>
    </w:p>
    <w:p w14:paraId="4CE1C95D" w14:textId="342AEC3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dreifache Opferaufzählung beginnt mit </w:t>
      </w:r>
      <w:r w:rsidRPr="00DD7028">
        <w:rPr>
          <w:rFonts w:eastAsia="Times New Roman" w:cs="Times New Roman"/>
          <w:b/>
          <w:bCs/>
          <w:rtl/>
          <w:lang w:eastAsia="de-DE"/>
        </w:rPr>
        <w:t>כֶּבֶשׂ בֶּן־שְׁנָתוֹ תָמִים אֶחָד לְעֹלָה</w:t>
      </w:r>
      <w:r w:rsidRPr="00DD7028">
        <w:rPr>
          <w:rFonts w:eastAsia="Times New Roman" w:cs="Times New Roman"/>
          <w:rtl/>
          <w:lang w:eastAsia="de-DE"/>
        </w:rPr>
        <w:t xml:space="preserve"> </w:t>
      </w:r>
      <w:r w:rsidRPr="00DD7028">
        <w:rPr>
          <w:rFonts w:eastAsia="Times New Roman" w:cs="Times New Roman"/>
          <w:lang w:eastAsia="de-DE"/>
        </w:rPr>
        <w:t xml:space="preserve">(ein einjähriges, makelloses männliches Lamm zum Aufsteigeopfer) mit der </w:t>
      </w:r>
      <w:r w:rsidR="00F133EC">
        <w:rPr>
          <w:rFonts w:eastAsia="Times New Roman" w:cs="Times New Roman"/>
          <w:lang w:eastAsia="de-DE"/>
        </w:rPr>
        <w:t>Construct</w:t>
      </w:r>
      <w:r w:rsidRPr="00DD7028">
        <w:rPr>
          <w:rFonts w:eastAsia="Times New Roman" w:cs="Times New Roman"/>
          <w:lang w:eastAsia="de-DE"/>
        </w:rPr>
        <w:t xml:space="preserve">kette </w:t>
      </w:r>
      <w:r w:rsidRPr="00DD7028">
        <w:rPr>
          <w:rFonts w:eastAsia="Times New Roman" w:cs="Times New Roman"/>
          <w:b/>
          <w:bCs/>
          <w:rtl/>
          <w:lang w:eastAsia="de-DE"/>
        </w:rPr>
        <w:t>בֶּן־שְׁנָתוֹ</w:t>
      </w:r>
      <w:r w:rsidRPr="00DD7028">
        <w:rPr>
          <w:rFonts w:eastAsia="Times New Roman" w:cs="Times New Roman"/>
          <w:rtl/>
          <w:lang w:eastAsia="de-DE"/>
        </w:rPr>
        <w:t xml:space="preserve"> </w:t>
      </w:r>
      <w:r w:rsidRPr="00DD7028">
        <w:rPr>
          <w:rFonts w:eastAsia="Times New Roman" w:cs="Times New Roman"/>
          <w:lang w:eastAsia="de-DE"/>
        </w:rPr>
        <w:t xml:space="preserve">(Sohn seines Jahres = einjährig), </w:t>
      </w:r>
      <w:r w:rsidRPr="00DD7028">
        <w:rPr>
          <w:rFonts w:eastAsia="Times New Roman" w:cs="Times New Roman"/>
          <w:b/>
          <w:bCs/>
          <w:rtl/>
          <w:lang w:eastAsia="de-DE"/>
        </w:rPr>
        <w:t>תָמִים</w:t>
      </w:r>
      <w:r w:rsidRPr="00DD7028">
        <w:rPr>
          <w:rFonts w:eastAsia="Times New Roman" w:cs="Times New Roman"/>
          <w:rtl/>
          <w:lang w:eastAsia="de-DE"/>
        </w:rPr>
        <w:t xml:space="preserve"> </w:t>
      </w:r>
      <w:r w:rsidRPr="00DD7028">
        <w:rPr>
          <w:rFonts w:eastAsia="Times New Roman" w:cs="Times New Roman"/>
          <w:lang w:eastAsia="de-DE"/>
        </w:rPr>
        <w:t xml:space="preserve">(makellos) und </w:t>
      </w:r>
      <w:r w:rsidRPr="00DD7028">
        <w:rPr>
          <w:rFonts w:eastAsia="Times New Roman" w:cs="Times New Roman"/>
          <w:b/>
          <w:bCs/>
          <w:rtl/>
          <w:lang w:eastAsia="de-DE"/>
        </w:rPr>
        <w:t>לְעֹלָה</w:t>
      </w:r>
      <w:r w:rsidRPr="00DD7028">
        <w:rPr>
          <w:rFonts w:eastAsia="Times New Roman" w:cs="Times New Roman"/>
          <w:rtl/>
          <w:lang w:eastAsia="de-DE"/>
        </w:rPr>
        <w:t xml:space="preserve"> </w:t>
      </w:r>
      <w:r w:rsidRPr="00DD7028">
        <w:rPr>
          <w:rFonts w:eastAsia="Times New Roman" w:cs="Times New Roman"/>
          <w:lang w:eastAsia="de-DE"/>
        </w:rPr>
        <w:t>(zum Aufsteigeopfer).</w:t>
      </w:r>
    </w:p>
    <w:p w14:paraId="0CF6D2AC"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zweite Opfer </w:t>
      </w:r>
      <w:r w:rsidRPr="00DD7028">
        <w:rPr>
          <w:rFonts w:eastAsia="Times New Roman" w:cs="Times New Roman"/>
          <w:b/>
          <w:bCs/>
          <w:rtl/>
          <w:lang w:eastAsia="de-DE"/>
        </w:rPr>
        <w:t>וְכַבְשָׂה אַחַת בַּת־שְׁנָתָהּ תְּמִימָה לְחַטָּאת</w:t>
      </w:r>
      <w:r w:rsidRPr="00DD7028">
        <w:rPr>
          <w:rFonts w:eastAsia="Times New Roman" w:cs="Times New Roman"/>
          <w:rtl/>
          <w:lang w:eastAsia="de-DE"/>
        </w:rPr>
        <w:t xml:space="preserve"> </w:t>
      </w:r>
      <w:r w:rsidRPr="00DD7028">
        <w:rPr>
          <w:rFonts w:eastAsia="Times New Roman" w:cs="Times New Roman"/>
          <w:lang w:eastAsia="de-DE"/>
        </w:rPr>
        <w:t xml:space="preserve">zeigt die feminine Form </w:t>
      </w:r>
      <w:r w:rsidRPr="00DD7028">
        <w:rPr>
          <w:rFonts w:eastAsia="Times New Roman" w:cs="Times New Roman"/>
          <w:b/>
          <w:bCs/>
          <w:rtl/>
          <w:lang w:eastAsia="de-DE"/>
        </w:rPr>
        <w:t>כַבְשָׂה</w:t>
      </w:r>
      <w:r w:rsidRPr="00DD7028">
        <w:rPr>
          <w:rFonts w:eastAsia="Times New Roman" w:cs="Times New Roman"/>
          <w:rtl/>
          <w:lang w:eastAsia="de-DE"/>
        </w:rPr>
        <w:t xml:space="preserve"> </w:t>
      </w:r>
      <w:r w:rsidRPr="00DD7028">
        <w:rPr>
          <w:rFonts w:eastAsia="Times New Roman" w:cs="Times New Roman"/>
          <w:lang w:eastAsia="de-DE"/>
        </w:rPr>
        <w:t xml:space="preserve">(weibliches Lamm), </w:t>
      </w:r>
      <w:r w:rsidRPr="00DD7028">
        <w:rPr>
          <w:rFonts w:eastAsia="Times New Roman" w:cs="Times New Roman"/>
          <w:b/>
          <w:bCs/>
          <w:rtl/>
          <w:lang w:eastAsia="de-DE"/>
        </w:rPr>
        <w:t>בַּת־שְׁנָתָהּ</w:t>
      </w:r>
      <w:r w:rsidRPr="00DD7028">
        <w:rPr>
          <w:rFonts w:eastAsia="Times New Roman" w:cs="Times New Roman"/>
          <w:rtl/>
          <w:lang w:eastAsia="de-DE"/>
        </w:rPr>
        <w:t xml:space="preserve"> </w:t>
      </w:r>
      <w:r w:rsidRPr="00DD7028">
        <w:rPr>
          <w:rFonts w:eastAsia="Times New Roman" w:cs="Times New Roman"/>
          <w:lang w:eastAsia="de-DE"/>
        </w:rPr>
        <w:t xml:space="preserve">(Tochter ihres Jahres) mit femininem Possessivsuffix und </w:t>
      </w:r>
      <w:r w:rsidRPr="00DD7028">
        <w:rPr>
          <w:rFonts w:eastAsia="Times New Roman" w:cs="Times New Roman"/>
          <w:b/>
          <w:bCs/>
          <w:rtl/>
          <w:lang w:eastAsia="de-DE"/>
        </w:rPr>
        <w:t>לְחַטָּאת</w:t>
      </w:r>
      <w:r w:rsidRPr="00DD7028">
        <w:rPr>
          <w:rFonts w:eastAsia="Times New Roman" w:cs="Times New Roman"/>
          <w:rtl/>
          <w:lang w:eastAsia="de-DE"/>
        </w:rPr>
        <w:t xml:space="preserve"> </w:t>
      </w:r>
      <w:r w:rsidRPr="00DD7028">
        <w:rPr>
          <w:rFonts w:eastAsia="Times New Roman" w:cs="Times New Roman"/>
          <w:lang w:eastAsia="de-DE"/>
        </w:rPr>
        <w:t>(zum Sündopfer).</w:t>
      </w:r>
    </w:p>
    <w:p w14:paraId="73FCDAC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dritte Opfer </w:t>
      </w:r>
      <w:r w:rsidRPr="00DD7028">
        <w:rPr>
          <w:rFonts w:eastAsia="Times New Roman" w:cs="Times New Roman"/>
          <w:b/>
          <w:bCs/>
          <w:rtl/>
          <w:lang w:eastAsia="de-DE"/>
        </w:rPr>
        <w:t>וְאַיִל־אֶחָד תָמִים לִשְׁלָמִים</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אַיִל</w:t>
      </w:r>
      <w:r w:rsidRPr="00DD7028">
        <w:rPr>
          <w:rFonts w:eastAsia="Times New Roman" w:cs="Times New Roman"/>
          <w:rtl/>
          <w:lang w:eastAsia="de-DE"/>
        </w:rPr>
        <w:t xml:space="preserve"> </w:t>
      </w:r>
      <w:r w:rsidRPr="00DD7028">
        <w:rPr>
          <w:rFonts w:eastAsia="Times New Roman" w:cs="Times New Roman"/>
          <w:lang w:eastAsia="de-DE"/>
        </w:rPr>
        <w:t xml:space="preserve">(Widder), </w:t>
      </w:r>
      <w:r w:rsidRPr="00DD7028">
        <w:rPr>
          <w:rFonts w:eastAsia="Times New Roman" w:cs="Times New Roman"/>
          <w:b/>
          <w:bCs/>
          <w:rtl/>
          <w:lang w:eastAsia="de-DE"/>
        </w:rPr>
        <w:t>אֶחָד</w:t>
      </w:r>
      <w:r w:rsidRPr="00DD7028">
        <w:rPr>
          <w:rFonts w:eastAsia="Times New Roman" w:cs="Times New Roman"/>
          <w:rtl/>
          <w:lang w:eastAsia="de-DE"/>
        </w:rPr>
        <w:t xml:space="preserve"> </w:t>
      </w:r>
      <w:r w:rsidRPr="00DD7028">
        <w:rPr>
          <w:rFonts w:eastAsia="Times New Roman" w:cs="Times New Roman"/>
          <w:lang w:eastAsia="de-DE"/>
        </w:rPr>
        <w:t xml:space="preserve">(einer) und </w:t>
      </w:r>
      <w:r w:rsidRPr="00DD7028">
        <w:rPr>
          <w:rFonts w:eastAsia="Times New Roman" w:cs="Times New Roman"/>
          <w:b/>
          <w:bCs/>
          <w:rtl/>
          <w:lang w:eastAsia="de-DE"/>
        </w:rPr>
        <w:t>לִשְׁלָמִים</w:t>
      </w:r>
      <w:r w:rsidRPr="00DD7028">
        <w:rPr>
          <w:rFonts w:eastAsia="Times New Roman" w:cs="Times New Roman"/>
          <w:rtl/>
          <w:lang w:eastAsia="de-DE"/>
        </w:rPr>
        <w:t xml:space="preserve"> </w:t>
      </w:r>
      <w:r w:rsidRPr="00DD7028">
        <w:rPr>
          <w:rFonts w:eastAsia="Times New Roman" w:cs="Times New Roman"/>
          <w:lang w:eastAsia="de-DE"/>
        </w:rPr>
        <w:t>(zum Friedensopfer) komplettiert die drei Hauptopfertypen.</w:t>
      </w:r>
    </w:p>
    <w:p w14:paraId="46633E98" w14:textId="6AC72DA8"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lastRenderedPageBreak/>
        <w:t>Die LXX</w:t>
      </w:r>
      <w:r w:rsidRPr="00DD7028">
        <w:rPr>
          <w:rFonts w:eastAsia="Times New Roman" w:cs="Times New Roman"/>
          <w:lang w:eastAsia="de-DE"/>
        </w:rPr>
        <w:t xml:space="preserve"> übersetzt die Opfersequenz mit präzisen griechischen Entsprechungen und betont stärker die Geschlechtsunterschiede der Tiere durch ἀμνὸς ἄρσην (männliches Lamm) und ἀμνὰς θήλεια (weibliches Lamm).</w:t>
      </w:r>
      <w:r w:rsidR="008A74D0">
        <w:rPr>
          <w:rFonts w:eastAsia="Times New Roman" w:cs="Times New Roman"/>
          <w:lang w:eastAsia="de-DE"/>
        </w:rPr>
        <w:t xml:space="preserve"> </w:t>
      </w:r>
      <w:r w:rsidR="008A74D0" w:rsidRPr="008A74D0">
        <w:rPr>
          <w:rStyle w:val="Fett"/>
          <w:b w:val="0"/>
          <w:bCs w:val="0"/>
        </w:rPr>
        <w:t>Die Septuaginta</w:t>
      </w:r>
      <w:r w:rsidR="008A74D0">
        <w:t xml:space="preserve"> übersetzt </w:t>
      </w:r>
      <w:r w:rsidR="008A74D0" w:rsidRPr="008A74D0">
        <w:rPr>
          <w:b/>
          <w:bCs/>
          <w:rtl/>
        </w:rPr>
        <w:t>שלמים</w:t>
      </w:r>
      <w:r w:rsidR="008A74D0">
        <w:t xml:space="preserve"> (shelamim - "Friedensopfer") als σωτήριον (Heilsopfer), was eine theologische Interpretation des Opferzwecks darstellt.</w:t>
      </w:r>
    </w:p>
    <w:p w14:paraId="68652FB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eine formelle Darbringungseinleitung mit systematischer dreifacher Opferaufzählung, die alle Hauptopfertypen umfasst.</w:t>
      </w:r>
    </w:p>
    <w:p w14:paraId="0CE5AD1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etabliert das umfassende Opferprogramm für den Nasiräatsabschluss mit den drei Grundtypen: Aufsteigeopfer, Sündopfer und Friedensopfer.</w:t>
      </w:r>
    </w:p>
    <w:p w14:paraId="622F45F7"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6,15</w:t>
      </w:r>
    </w:p>
    <w:p w14:paraId="4A9C0E6A"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וְסַ֣ל מַצּ֗וֹת סֹ֤לֶת חַלֹּת֙ בְּלוּלֹ֣ת בַּשֶּׁ֔מֶן וּרְקִיקֵ֥י מַצּ֖וֹת מְשֻׁחִ֣ים בַּשָּׁ֑מֶן וּמִנְחָתָ֖ם וְנִסְכֵּיהֶֽם׃</w:t>
      </w:r>
    </w:p>
    <w:p w14:paraId="5FE1D1B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und einen Korb mit Ungesäuertem: Feinmehlkuchen, mit Öl gemengt, und ungesäuerte Fladen, mit Öl gesalbt, und ihr Speisopfer und ihre Trankopfer.</w:t>
      </w:r>
    </w:p>
    <w:p w14:paraId="75387309"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4630EEC0">
          <v:rect id="_x0000_i1258" style="width:0;height:1.5pt" o:hralign="center" o:hrstd="t" o:hr="t" fillcolor="#a0a0a0" stroked="f"/>
        </w:pict>
      </w:r>
    </w:p>
    <w:p w14:paraId="11A21AA1"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Substantiv </w:t>
      </w:r>
      <w:r w:rsidRPr="00DD7028">
        <w:rPr>
          <w:rFonts w:eastAsia="Times New Roman" w:cs="Times New Roman"/>
          <w:b/>
          <w:bCs/>
          <w:rtl/>
          <w:lang w:eastAsia="de-DE"/>
        </w:rPr>
        <w:t>וְסַל מַצּוֹת</w:t>
      </w:r>
      <w:r w:rsidRPr="00DD7028">
        <w:rPr>
          <w:rFonts w:eastAsia="Times New Roman" w:cs="Times New Roman"/>
          <w:rtl/>
          <w:lang w:eastAsia="de-DE"/>
        </w:rPr>
        <w:t xml:space="preserve"> </w:t>
      </w:r>
      <w:r w:rsidRPr="00DD7028">
        <w:rPr>
          <w:rFonts w:eastAsia="Times New Roman" w:cs="Times New Roman"/>
          <w:lang w:eastAsia="de-DE"/>
        </w:rPr>
        <w:t xml:space="preserve">(und einen Korb mit Ungesäuertem) mit </w:t>
      </w:r>
      <w:r w:rsidRPr="00DD7028">
        <w:rPr>
          <w:rFonts w:eastAsia="Times New Roman" w:cs="Times New Roman"/>
          <w:b/>
          <w:bCs/>
          <w:rtl/>
          <w:lang w:eastAsia="de-DE"/>
        </w:rPr>
        <w:t>סַל</w:t>
      </w:r>
      <w:r w:rsidRPr="00DD7028">
        <w:rPr>
          <w:rFonts w:eastAsia="Times New Roman" w:cs="Times New Roman"/>
          <w:rtl/>
          <w:lang w:eastAsia="de-DE"/>
        </w:rPr>
        <w:t xml:space="preserve"> </w:t>
      </w:r>
      <w:r w:rsidRPr="00DD7028">
        <w:rPr>
          <w:rFonts w:eastAsia="Times New Roman" w:cs="Times New Roman"/>
          <w:lang w:eastAsia="de-DE"/>
        </w:rPr>
        <w:t xml:space="preserve">(Korb) und </w:t>
      </w:r>
      <w:r w:rsidRPr="00DD7028">
        <w:rPr>
          <w:rFonts w:eastAsia="Times New Roman" w:cs="Times New Roman"/>
          <w:b/>
          <w:bCs/>
          <w:rtl/>
          <w:lang w:eastAsia="de-DE"/>
        </w:rPr>
        <w:t>מַצּוֹת</w:t>
      </w:r>
      <w:r w:rsidRPr="00DD7028">
        <w:rPr>
          <w:rFonts w:eastAsia="Times New Roman" w:cs="Times New Roman"/>
          <w:rtl/>
          <w:lang w:eastAsia="de-DE"/>
        </w:rPr>
        <w:t xml:space="preserve"> </w:t>
      </w:r>
      <w:r w:rsidRPr="00DD7028">
        <w:rPr>
          <w:rFonts w:eastAsia="Times New Roman" w:cs="Times New Roman"/>
          <w:lang w:eastAsia="de-DE"/>
        </w:rPr>
        <w:t xml:space="preserve">(Ungesäuertes) Plural von </w:t>
      </w:r>
      <w:r w:rsidRPr="00DD7028">
        <w:rPr>
          <w:rFonts w:eastAsia="Times New Roman" w:cs="Times New Roman"/>
          <w:b/>
          <w:bCs/>
          <w:rtl/>
          <w:lang w:eastAsia="de-DE"/>
        </w:rPr>
        <w:t>מַצָּה</w:t>
      </w:r>
      <w:r w:rsidRPr="00DD7028">
        <w:rPr>
          <w:rFonts w:eastAsia="Times New Roman" w:cs="Times New Roman"/>
          <w:rtl/>
          <w:lang w:eastAsia="de-DE"/>
        </w:rPr>
        <w:t xml:space="preserve"> </w:t>
      </w:r>
      <w:r w:rsidRPr="00DD7028">
        <w:rPr>
          <w:rFonts w:eastAsia="Times New Roman" w:cs="Times New Roman"/>
          <w:lang w:eastAsia="de-DE"/>
        </w:rPr>
        <w:t>zeigt die Sammlung ungesäuerter Backwaren.</w:t>
      </w:r>
    </w:p>
    <w:p w14:paraId="12E45DCB"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erste Kategorie </w:t>
      </w:r>
      <w:r w:rsidRPr="00DD7028">
        <w:rPr>
          <w:rFonts w:eastAsia="Times New Roman" w:cs="Times New Roman"/>
          <w:b/>
          <w:bCs/>
          <w:rtl/>
          <w:lang w:eastAsia="de-DE"/>
        </w:rPr>
        <w:t>סֹלֶת חַלֹּת בְּלוּלֹת בַּשֶּׁמֶן</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סֹלֶת</w:t>
      </w:r>
      <w:r w:rsidRPr="00DD7028">
        <w:rPr>
          <w:rFonts w:eastAsia="Times New Roman" w:cs="Times New Roman"/>
          <w:rtl/>
          <w:lang w:eastAsia="de-DE"/>
        </w:rPr>
        <w:t xml:space="preserve"> </w:t>
      </w:r>
      <w:r w:rsidRPr="00DD7028">
        <w:rPr>
          <w:rFonts w:eastAsia="Times New Roman" w:cs="Times New Roman"/>
          <w:lang w:eastAsia="de-DE"/>
        </w:rPr>
        <w:t xml:space="preserve">(Feinmehl), </w:t>
      </w:r>
      <w:r w:rsidRPr="00DD7028">
        <w:rPr>
          <w:rFonts w:eastAsia="Times New Roman" w:cs="Times New Roman"/>
          <w:b/>
          <w:bCs/>
          <w:rtl/>
          <w:lang w:eastAsia="de-DE"/>
        </w:rPr>
        <w:t>חַלֹּת</w:t>
      </w:r>
      <w:r w:rsidRPr="00DD7028">
        <w:rPr>
          <w:rFonts w:eastAsia="Times New Roman" w:cs="Times New Roman"/>
          <w:rtl/>
          <w:lang w:eastAsia="de-DE"/>
        </w:rPr>
        <w:t xml:space="preserve"> </w:t>
      </w:r>
      <w:r w:rsidRPr="00DD7028">
        <w:rPr>
          <w:rFonts w:eastAsia="Times New Roman" w:cs="Times New Roman"/>
          <w:lang w:eastAsia="de-DE"/>
        </w:rPr>
        <w:t xml:space="preserve">(Kuchen/Brote) Plural von </w:t>
      </w:r>
      <w:r w:rsidRPr="00DD7028">
        <w:rPr>
          <w:rFonts w:eastAsia="Times New Roman" w:cs="Times New Roman"/>
          <w:b/>
          <w:bCs/>
          <w:rtl/>
          <w:lang w:eastAsia="de-DE"/>
        </w:rPr>
        <w:t>חַלָּה</w:t>
      </w:r>
      <w:r w:rsidRPr="00DD7028">
        <w:rPr>
          <w:rFonts w:eastAsia="Times New Roman" w:cs="Times New Roman"/>
          <w:lang w:eastAsia="de-DE"/>
        </w:rPr>
        <w:t xml:space="preserve">, </w:t>
      </w:r>
      <w:r w:rsidRPr="00DD7028">
        <w:rPr>
          <w:rFonts w:eastAsia="Times New Roman" w:cs="Times New Roman"/>
          <w:b/>
          <w:bCs/>
          <w:rtl/>
          <w:lang w:eastAsia="de-DE"/>
        </w:rPr>
        <w:t>בְּלוּלֹת</w:t>
      </w:r>
      <w:r w:rsidRPr="00DD7028">
        <w:rPr>
          <w:rFonts w:eastAsia="Times New Roman" w:cs="Times New Roman"/>
          <w:rtl/>
          <w:lang w:eastAsia="de-DE"/>
        </w:rPr>
        <w:t xml:space="preserve"> </w:t>
      </w:r>
      <w:r w:rsidRPr="00DD7028">
        <w:rPr>
          <w:rFonts w:eastAsia="Times New Roman" w:cs="Times New Roman"/>
          <w:lang w:eastAsia="de-DE"/>
        </w:rPr>
        <w:t xml:space="preserve">(vermischt/gemengt) als Pu'al-Partizip Plural feminin von </w:t>
      </w:r>
      <w:r w:rsidRPr="00DD7028">
        <w:rPr>
          <w:rFonts w:eastAsia="Times New Roman" w:cs="Times New Roman"/>
          <w:b/>
          <w:bCs/>
          <w:rtl/>
          <w:lang w:eastAsia="de-DE"/>
        </w:rPr>
        <w:t>בלל</w:t>
      </w:r>
      <w:r w:rsidRPr="00DD7028">
        <w:rPr>
          <w:rFonts w:eastAsia="Times New Roman" w:cs="Times New Roman"/>
          <w:rtl/>
          <w:lang w:eastAsia="de-DE"/>
        </w:rPr>
        <w:t xml:space="preserve"> </w:t>
      </w:r>
      <w:r w:rsidRPr="00DD7028">
        <w:rPr>
          <w:rFonts w:eastAsia="Times New Roman" w:cs="Times New Roman"/>
          <w:lang w:eastAsia="de-DE"/>
        </w:rPr>
        <w:t xml:space="preserve">(vermischen) und </w:t>
      </w:r>
      <w:r w:rsidRPr="00DD7028">
        <w:rPr>
          <w:rFonts w:eastAsia="Times New Roman" w:cs="Times New Roman"/>
          <w:b/>
          <w:bCs/>
          <w:rtl/>
          <w:lang w:eastAsia="de-DE"/>
        </w:rPr>
        <w:t>בַּשֶּׁמֶן</w:t>
      </w:r>
      <w:r w:rsidRPr="00DD7028">
        <w:rPr>
          <w:rFonts w:eastAsia="Times New Roman" w:cs="Times New Roman"/>
          <w:rtl/>
          <w:lang w:eastAsia="de-DE"/>
        </w:rPr>
        <w:t xml:space="preserve"> </w:t>
      </w:r>
      <w:r w:rsidRPr="00DD7028">
        <w:rPr>
          <w:rFonts w:eastAsia="Times New Roman" w:cs="Times New Roman"/>
          <w:lang w:eastAsia="de-DE"/>
        </w:rPr>
        <w:t>(mit Öl) zeigt ölhaltige Kuchen.</w:t>
      </w:r>
    </w:p>
    <w:p w14:paraId="5DEEFD46" w14:textId="4DDB6933"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zweite Kategorie </w:t>
      </w:r>
      <w:r w:rsidRPr="00DD7028">
        <w:rPr>
          <w:rFonts w:eastAsia="Times New Roman" w:cs="Times New Roman"/>
          <w:b/>
          <w:bCs/>
          <w:rtl/>
          <w:lang w:eastAsia="de-DE"/>
        </w:rPr>
        <w:t>וּרְקִיקֵי מַצּוֹת מְשֻׁחִים בַּשָּׁמֶן</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רְקִיקֵי</w:t>
      </w:r>
      <w:r w:rsidRPr="00DD7028">
        <w:rPr>
          <w:rFonts w:eastAsia="Times New Roman" w:cs="Times New Roman"/>
          <w:rtl/>
          <w:lang w:eastAsia="de-DE"/>
        </w:rPr>
        <w:t xml:space="preserve"> </w:t>
      </w:r>
      <w:r w:rsidRPr="00DD7028">
        <w:rPr>
          <w:rFonts w:eastAsia="Times New Roman" w:cs="Times New Roman"/>
          <w:lang w:eastAsia="de-DE"/>
        </w:rPr>
        <w:t xml:space="preserve">(Fladen von) im </w:t>
      </w:r>
      <w:r w:rsidR="00F133EC">
        <w:rPr>
          <w:rFonts w:eastAsia="Times New Roman" w:cs="Times New Roman"/>
          <w:lang w:eastAsia="de-DE"/>
        </w:rPr>
        <w:t>Construct</w:t>
      </w:r>
      <w:r w:rsidRPr="00DD7028">
        <w:rPr>
          <w:rFonts w:eastAsia="Times New Roman" w:cs="Times New Roman"/>
          <w:lang w:eastAsia="de-DE"/>
        </w:rPr>
        <w:t xml:space="preserve">, </w:t>
      </w:r>
      <w:r w:rsidRPr="00DD7028">
        <w:rPr>
          <w:rFonts w:eastAsia="Times New Roman" w:cs="Times New Roman"/>
          <w:b/>
          <w:bCs/>
          <w:rtl/>
          <w:lang w:eastAsia="de-DE"/>
        </w:rPr>
        <w:t>מַצּוֹת</w:t>
      </w:r>
      <w:r w:rsidRPr="00DD7028">
        <w:rPr>
          <w:rFonts w:eastAsia="Times New Roman" w:cs="Times New Roman"/>
          <w:rtl/>
          <w:lang w:eastAsia="de-DE"/>
        </w:rPr>
        <w:t xml:space="preserve"> </w:t>
      </w:r>
      <w:r w:rsidRPr="00DD7028">
        <w:rPr>
          <w:rFonts w:eastAsia="Times New Roman" w:cs="Times New Roman"/>
          <w:lang w:eastAsia="de-DE"/>
        </w:rPr>
        <w:t xml:space="preserve">(Ungesäuertem), </w:t>
      </w:r>
      <w:r w:rsidRPr="00DD7028">
        <w:rPr>
          <w:rFonts w:eastAsia="Times New Roman" w:cs="Times New Roman"/>
          <w:b/>
          <w:bCs/>
          <w:rtl/>
          <w:lang w:eastAsia="de-DE"/>
        </w:rPr>
        <w:t>מְשֻׁחִים</w:t>
      </w:r>
      <w:r w:rsidRPr="00DD7028">
        <w:rPr>
          <w:rFonts w:eastAsia="Times New Roman" w:cs="Times New Roman"/>
          <w:rtl/>
          <w:lang w:eastAsia="de-DE"/>
        </w:rPr>
        <w:t xml:space="preserve"> </w:t>
      </w:r>
      <w:r w:rsidRPr="00DD7028">
        <w:rPr>
          <w:rFonts w:eastAsia="Times New Roman" w:cs="Times New Roman"/>
          <w:lang w:eastAsia="de-DE"/>
        </w:rPr>
        <w:t xml:space="preserve">(gesalbt) als Pu'al-Partizip Plural maskulin von </w:t>
      </w:r>
      <w:r w:rsidRPr="00DD7028">
        <w:rPr>
          <w:rFonts w:eastAsia="Times New Roman" w:cs="Times New Roman"/>
          <w:b/>
          <w:bCs/>
          <w:rtl/>
          <w:lang w:eastAsia="de-DE"/>
        </w:rPr>
        <w:t>משח</w:t>
      </w:r>
      <w:r w:rsidRPr="00DD7028">
        <w:rPr>
          <w:rFonts w:eastAsia="Times New Roman" w:cs="Times New Roman"/>
          <w:rtl/>
          <w:lang w:eastAsia="de-DE"/>
        </w:rPr>
        <w:t xml:space="preserve"> </w:t>
      </w:r>
      <w:r w:rsidRPr="00DD7028">
        <w:rPr>
          <w:rFonts w:eastAsia="Times New Roman" w:cs="Times New Roman"/>
          <w:lang w:eastAsia="de-DE"/>
        </w:rPr>
        <w:t xml:space="preserve">(salben) und </w:t>
      </w:r>
      <w:r w:rsidRPr="00DD7028">
        <w:rPr>
          <w:rFonts w:eastAsia="Times New Roman" w:cs="Times New Roman"/>
          <w:b/>
          <w:bCs/>
          <w:rtl/>
          <w:lang w:eastAsia="de-DE"/>
        </w:rPr>
        <w:t>בַּשָּׁמֶן</w:t>
      </w:r>
      <w:r w:rsidRPr="00DD7028">
        <w:rPr>
          <w:rFonts w:eastAsia="Times New Roman" w:cs="Times New Roman"/>
          <w:rtl/>
          <w:lang w:eastAsia="de-DE"/>
        </w:rPr>
        <w:t xml:space="preserve"> </w:t>
      </w:r>
      <w:r w:rsidRPr="00DD7028">
        <w:rPr>
          <w:rFonts w:eastAsia="Times New Roman" w:cs="Times New Roman"/>
          <w:lang w:eastAsia="de-DE"/>
        </w:rPr>
        <w:t>(mit Öl) zeigt oberflächlich geölte Fladen.</w:t>
      </w:r>
    </w:p>
    <w:p w14:paraId="3477600A"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abschließende Ergänzung </w:t>
      </w:r>
      <w:r w:rsidRPr="00DD7028">
        <w:rPr>
          <w:rFonts w:eastAsia="Times New Roman" w:cs="Times New Roman"/>
          <w:b/>
          <w:bCs/>
          <w:rtl/>
          <w:lang w:eastAsia="de-DE"/>
        </w:rPr>
        <w:t>וּמִנְחָתָם וְנִסְכֵּיהֶם</w:t>
      </w:r>
      <w:r w:rsidRPr="00DD7028">
        <w:rPr>
          <w:rFonts w:eastAsia="Times New Roman" w:cs="Times New Roman"/>
          <w:rtl/>
          <w:lang w:eastAsia="de-DE"/>
        </w:rPr>
        <w:t xml:space="preserve"> </w:t>
      </w:r>
      <w:r w:rsidRPr="00DD7028">
        <w:rPr>
          <w:rFonts w:eastAsia="Times New Roman" w:cs="Times New Roman"/>
          <w:lang w:eastAsia="de-DE"/>
        </w:rPr>
        <w:t xml:space="preserve">(und ihr Speisopfer und ihre Trankopfer) mit </w:t>
      </w:r>
      <w:r w:rsidRPr="00DD7028">
        <w:rPr>
          <w:rFonts w:eastAsia="Times New Roman" w:cs="Times New Roman"/>
          <w:b/>
          <w:bCs/>
          <w:rtl/>
          <w:lang w:eastAsia="de-DE"/>
        </w:rPr>
        <w:t>מִנְחָה</w:t>
      </w:r>
      <w:r w:rsidRPr="00DD7028">
        <w:rPr>
          <w:rFonts w:eastAsia="Times New Roman" w:cs="Times New Roman"/>
          <w:rtl/>
          <w:lang w:eastAsia="de-DE"/>
        </w:rPr>
        <w:t xml:space="preserve"> </w:t>
      </w:r>
      <w:r w:rsidRPr="00DD7028">
        <w:rPr>
          <w:rFonts w:eastAsia="Times New Roman" w:cs="Times New Roman"/>
          <w:lang w:eastAsia="de-DE"/>
        </w:rPr>
        <w:t xml:space="preserve">(Speisopfer) und </w:t>
      </w:r>
      <w:r w:rsidRPr="00DD7028">
        <w:rPr>
          <w:rFonts w:eastAsia="Times New Roman" w:cs="Times New Roman"/>
          <w:b/>
          <w:bCs/>
          <w:rtl/>
          <w:lang w:eastAsia="de-DE"/>
        </w:rPr>
        <w:t>נֶסֶךְ</w:t>
      </w:r>
      <w:r w:rsidRPr="00DD7028">
        <w:rPr>
          <w:rFonts w:eastAsia="Times New Roman" w:cs="Times New Roman"/>
          <w:rtl/>
          <w:lang w:eastAsia="de-DE"/>
        </w:rPr>
        <w:t xml:space="preserve"> </w:t>
      </w:r>
      <w:r w:rsidRPr="00DD7028">
        <w:rPr>
          <w:rFonts w:eastAsia="Times New Roman" w:cs="Times New Roman"/>
          <w:lang w:eastAsia="de-DE"/>
        </w:rPr>
        <w:t>(Trankopfer) mit entsprechenden Possessivsuffixen zeigt die begleitenden Opfer.</w:t>
      </w:r>
    </w:p>
    <w:p w14:paraId="62AC31E7"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unterscheidet präziser zwischen κολλυρίδας (Kuchen) für </w:t>
      </w:r>
      <w:r w:rsidRPr="008A74D0">
        <w:rPr>
          <w:rFonts w:eastAsia="Times New Roman" w:cs="Times New Roman"/>
          <w:b/>
          <w:bCs/>
          <w:rtl/>
          <w:lang w:eastAsia="de-DE"/>
        </w:rPr>
        <w:t>חַלֹּת</w:t>
      </w:r>
      <w:r w:rsidRPr="00DD7028">
        <w:rPr>
          <w:rFonts w:eastAsia="Times New Roman" w:cs="Times New Roman"/>
          <w:lang w:eastAsia="de-DE"/>
        </w:rPr>
        <w:t xml:space="preserve"> und λάγανα (Fladen) für </w:t>
      </w:r>
      <w:r w:rsidRPr="008A74D0">
        <w:rPr>
          <w:rFonts w:eastAsia="Times New Roman" w:cs="Times New Roman"/>
          <w:b/>
          <w:bCs/>
          <w:rtl/>
          <w:lang w:eastAsia="de-DE"/>
        </w:rPr>
        <w:t>רְקִיקֵי</w:t>
      </w:r>
      <w:r w:rsidRPr="00DD7028">
        <w:rPr>
          <w:rFonts w:eastAsia="Times New Roman" w:cs="Times New Roman"/>
          <w:lang w:eastAsia="de-DE"/>
        </w:rPr>
        <w:t xml:space="preserve"> und zeigt damit ein klareres Verständnis der unterschiedlichen Backformen.</w:t>
      </w:r>
    </w:p>
    <w:p w14:paraId="030355B2"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eine Korbsammlung mit zwei spezifizierten Backwarentypen und ergänzenden Opferbestandteilen.</w:t>
      </w:r>
    </w:p>
    <w:p w14:paraId="31FB3AEC"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erweitert das Opferprogramm um eine umfassende Sammlung ungesäuerter Backwaren mit unterschiedlichen Ölbehandlungen.</w:t>
      </w:r>
    </w:p>
    <w:p w14:paraId="0E103E7D"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6,16</w:t>
      </w:r>
    </w:p>
    <w:p w14:paraId="203A0838"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וְהִקְרִ֥יב הַכֹּהֵ֖ן לִפְנֵ֣י יְהוָ֑ה וְעָשָׂ֥ה אֶת־חַטָּאתוֹ֖ וְאֶת־עֹלָתוֹֽ׃</w:t>
      </w:r>
    </w:p>
    <w:p w14:paraId="6D5A18C5"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lastRenderedPageBreak/>
        <w:t>Deutsch:</w:t>
      </w:r>
      <w:r w:rsidRPr="00DD7028">
        <w:rPr>
          <w:rFonts w:eastAsia="Times New Roman" w:cs="Times New Roman"/>
          <w:lang w:eastAsia="de-DE"/>
        </w:rPr>
        <w:t xml:space="preserve"> Und der Priester soll es vor den Ewigen bringen und sein Sündopfer und sein Aufsteigeopfer herrichten.</w:t>
      </w:r>
    </w:p>
    <w:p w14:paraId="347521E5"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5E4427DF">
          <v:rect id="_x0000_i1259" style="width:0;height:1.5pt" o:hralign="center" o:hrstd="t" o:hr="t" fillcolor="#a0a0a0" stroked="f"/>
        </w:pict>
      </w:r>
    </w:p>
    <w:p w14:paraId="0CA2306D"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Verb </w:t>
      </w:r>
      <w:r w:rsidRPr="00DD7028">
        <w:rPr>
          <w:rFonts w:eastAsia="Times New Roman" w:cs="Times New Roman"/>
          <w:b/>
          <w:bCs/>
          <w:rtl/>
          <w:lang w:eastAsia="de-DE"/>
        </w:rPr>
        <w:t>וְהִקְרִיב הַכֹּהֵן לִפְנֵי יְהוָה</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הִקְרִיב</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קרב</w:t>
      </w:r>
      <w:r w:rsidRPr="00DD7028">
        <w:rPr>
          <w:rFonts w:eastAsia="Times New Roman" w:cs="Times New Roman"/>
          <w:rtl/>
          <w:lang w:eastAsia="de-DE"/>
        </w:rPr>
        <w:t xml:space="preserve"> </w:t>
      </w:r>
      <w:r w:rsidRPr="00DD7028">
        <w:rPr>
          <w:rFonts w:eastAsia="Times New Roman" w:cs="Times New Roman"/>
          <w:lang w:eastAsia="de-DE"/>
        </w:rPr>
        <w:t xml:space="preserve">(nahen/darbringen) im Hiph'il-Perfekt 3. maskulin Singular zeigt die priesterliche Übernahme der Opferdarbringung </w:t>
      </w:r>
      <w:r w:rsidRPr="00DD7028">
        <w:rPr>
          <w:rFonts w:eastAsia="Times New Roman" w:cs="Times New Roman"/>
          <w:b/>
          <w:bCs/>
          <w:rtl/>
          <w:lang w:eastAsia="de-DE"/>
        </w:rPr>
        <w:t>לִפְנֵי יְהוָה</w:t>
      </w:r>
      <w:r w:rsidRPr="00DD7028">
        <w:rPr>
          <w:rFonts w:eastAsia="Times New Roman" w:cs="Times New Roman"/>
          <w:rtl/>
          <w:lang w:eastAsia="de-DE"/>
        </w:rPr>
        <w:t xml:space="preserve"> </w:t>
      </w:r>
      <w:r w:rsidRPr="00DD7028">
        <w:rPr>
          <w:rFonts w:eastAsia="Times New Roman" w:cs="Times New Roman"/>
          <w:lang w:eastAsia="de-DE"/>
        </w:rPr>
        <w:t>(vor dem Ewigen).</w:t>
      </w:r>
    </w:p>
    <w:p w14:paraId="45287E18"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koordinierte Verb </w:t>
      </w:r>
      <w:r w:rsidRPr="00DD7028">
        <w:rPr>
          <w:rFonts w:eastAsia="Times New Roman" w:cs="Times New Roman"/>
          <w:b/>
          <w:bCs/>
          <w:rtl/>
          <w:lang w:eastAsia="de-DE"/>
        </w:rPr>
        <w:t>וְעָשָׂה אֶת־חַטָּאתוֹ וְאֶת־עֹלָתוֹ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עָשָׂה</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עשה</w:t>
      </w:r>
      <w:r w:rsidRPr="00DD7028">
        <w:rPr>
          <w:rFonts w:eastAsia="Times New Roman" w:cs="Times New Roman"/>
          <w:rtl/>
          <w:lang w:eastAsia="de-DE"/>
        </w:rPr>
        <w:t xml:space="preserve"> </w:t>
      </w:r>
      <w:r w:rsidRPr="00DD7028">
        <w:rPr>
          <w:rFonts w:eastAsia="Times New Roman" w:cs="Times New Roman"/>
          <w:lang w:eastAsia="de-DE"/>
        </w:rPr>
        <w:t xml:space="preserve">(machen/herrichten) und den koordinierten direkten Objekten </w:t>
      </w:r>
      <w:r w:rsidRPr="00DD7028">
        <w:rPr>
          <w:rFonts w:eastAsia="Times New Roman" w:cs="Times New Roman"/>
          <w:b/>
          <w:bCs/>
          <w:rtl/>
          <w:lang w:eastAsia="de-DE"/>
        </w:rPr>
        <w:t>חַטָּאתוֹ</w:t>
      </w:r>
      <w:r w:rsidRPr="00DD7028">
        <w:rPr>
          <w:rFonts w:eastAsia="Times New Roman" w:cs="Times New Roman"/>
          <w:rtl/>
          <w:lang w:eastAsia="de-DE"/>
        </w:rPr>
        <w:t xml:space="preserve"> </w:t>
      </w:r>
      <w:r w:rsidRPr="00DD7028">
        <w:rPr>
          <w:rFonts w:eastAsia="Times New Roman" w:cs="Times New Roman"/>
          <w:lang w:eastAsia="de-DE"/>
        </w:rPr>
        <w:t xml:space="preserve">(sein Sündopfer) und </w:t>
      </w:r>
      <w:r w:rsidRPr="00DD7028">
        <w:rPr>
          <w:rFonts w:eastAsia="Times New Roman" w:cs="Times New Roman"/>
          <w:b/>
          <w:bCs/>
          <w:rtl/>
          <w:lang w:eastAsia="de-DE"/>
        </w:rPr>
        <w:t>עֹלָתוֹ</w:t>
      </w:r>
      <w:r w:rsidRPr="00DD7028">
        <w:rPr>
          <w:rFonts w:eastAsia="Times New Roman" w:cs="Times New Roman"/>
          <w:rtl/>
          <w:lang w:eastAsia="de-DE"/>
        </w:rPr>
        <w:t xml:space="preserve"> </w:t>
      </w:r>
      <w:r w:rsidRPr="00DD7028">
        <w:rPr>
          <w:rFonts w:eastAsia="Times New Roman" w:cs="Times New Roman"/>
          <w:lang w:eastAsia="de-DE"/>
        </w:rPr>
        <w:t>(sein Aufsteigeopfer) mit entsprechenden Possessivsuffixen zeigt die ersten beiden Opferausführungen.</w:t>
      </w:r>
    </w:p>
    <w:p w14:paraId="3D7A36E9"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übersetzt mit προσοίσει (er wird darbringen) und ποιήσει (er wird machen/herrichten), was die Zukunftsdimension stärker betont als das hebräische perfektive System.</w:t>
      </w:r>
    </w:p>
    <w:p w14:paraId="14995A78"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priesterliche Übernahme mit gottgerichteter Darbringung und spezifische Ausführung der ersten beiden Hauptopfer.</w:t>
      </w:r>
    </w:p>
    <w:p w14:paraId="5A306E8E"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beginnt die praktische Opferausführung durch den Priester und etabliert die Reihenfolge: Sünd- und Aufsteigeopfer zuerst.</w:t>
      </w:r>
    </w:p>
    <w:p w14:paraId="554EC968"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6,17</w:t>
      </w:r>
    </w:p>
    <w:p w14:paraId="4A9178BE"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וְאֶת־הָאַ֜יִל יַעֲשֶׂ֨ה זֶ֤בַח שְׁלָמִים֙ לַֽיהוָ֔ה עַ֖ל סַ֣ל הַמַּצּ֑וֹת וְעָשָׂה֙ הַכֹּהֵ֔ן אֶת־מִנְחָתוֹ֖ וְאֶת־נִסְכֹּֽו׃</w:t>
      </w:r>
    </w:p>
    <w:p w14:paraId="49D1E252"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Und den Widder soll er als Friedensopfer dem Ewigen herrichten samt dem Korb des Ungesäuerten; und der Priester soll sein Speisopfer und sein Trankopfer herrichten.</w:t>
      </w:r>
    </w:p>
    <w:p w14:paraId="13E440B4"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02FAAAEA">
          <v:rect id="_x0000_i1260" style="width:0;height:1.5pt" o:hralign="center" o:hrstd="t" o:hr="t" fillcolor="#a0a0a0" stroked="f"/>
        </w:pict>
      </w:r>
    </w:p>
    <w:p w14:paraId="3692F5DC"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direkte Objekt </w:t>
      </w:r>
      <w:r w:rsidRPr="00DD7028">
        <w:rPr>
          <w:rFonts w:eastAsia="Times New Roman" w:cs="Times New Roman"/>
          <w:b/>
          <w:bCs/>
          <w:rtl/>
          <w:lang w:eastAsia="de-DE"/>
        </w:rPr>
        <w:t>וְאֶת־הָאַיִל</w:t>
      </w:r>
      <w:r w:rsidRPr="00DD7028">
        <w:rPr>
          <w:rFonts w:eastAsia="Times New Roman" w:cs="Times New Roman"/>
          <w:rtl/>
          <w:lang w:eastAsia="de-DE"/>
        </w:rPr>
        <w:t xml:space="preserve"> </w:t>
      </w:r>
      <w:r w:rsidRPr="00DD7028">
        <w:rPr>
          <w:rFonts w:eastAsia="Times New Roman" w:cs="Times New Roman"/>
          <w:lang w:eastAsia="de-DE"/>
        </w:rPr>
        <w:t xml:space="preserve">(und den Widder) mit nota accusativi zeigt das dritte Hauptopfer. Das Verb </w:t>
      </w:r>
      <w:r w:rsidRPr="00DD7028">
        <w:rPr>
          <w:rFonts w:eastAsia="Times New Roman" w:cs="Times New Roman"/>
          <w:b/>
          <w:bCs/>
          <w:rtl/>
          <w:lang w:eastAsia="de-DE"/>
        </w:rPr>
        <w:t>יַעֲשֶׂה זֶבַח שְׁלָמִים לַיהוָה</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יַעֲשֶׂה</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עשה</w:t>
      </w:r>
      <w:r w:rsidRPr="00DD7028">
        <w:rPr>
          <w:rFonts w:eastAsia="Times New Roman" w:cs="Times New Roman"/>
          <w:rtl/>
          <w:lang w:eastAsia="de-DE"/>
        </w:rPr>
        <w:t xml:space="preserve"> </w:t>
      </w:r>
      <w:r w:rsidRPr="00DD7028">
        <w:rPr>
          <w:rFonts w:eastAsia="Times New Roman" w:cs="Times New Roman"/>
          <w:lang w:eastAsia="de-DE"/>
        </w:rPr>
        <w:t xml:space="preserve">(machen/herrichten) im Qal-Imperfekt 3. maskulin Singular, </w:t>
      </w:r>
      <w:r w:rsidRPr="00DD7028">
        <w:rPr>
          <w:rFonts w:eastAsia="Times New Roman" w:cs="Times New Roman"/>
          <w:b/>
          <w:bCs/>
          <w:rtl/>
          <w:lang w:eastAsia="de-DE"/>
        </w:rPr>
        <w:t>זֶבַח שְׁלָמִים</w:t>
      </w:r>
      <w:r w:rsidRPr="00DD7028">
        <w:rPr>
          <w:rFonts w:eastAsia="Times New Roman" w:cs="Times New Roman"/>
          <w:rtl/>
          <w:lang w:eastAsia="de-DE"/>
        </w:rPr>
        <w:t xml:space="preserve"> </w:t>
      </w:r>
      <w:r w:rsidRPr="00DD7028">
        <w:rPr>
          <w:rFonts w:eastAsia="Times New Roman" w:cs="Times New Roman"/>
          <w:lang w:eastAsia="de-DE"/>
        </w:rPr>
        <w:t xml:space="preserve">(Friedensopfer) und </w:t>
      </w:r>
      <w:r w:rsidRPr="00DD7028">
        <w:rPr>
          <w:rFonts w:eastAsia="Times New Roman" w:cs="Times New Roman"/>
          <w:b/>
          <w:bCs/>
          <w:rtl/>
          <w:lang w:eastAsia="de-DE"/>
        </w:rPr>
        <w:t>לַיהוָה</w:t>
      </w:r>
      <w:r w:rsidRPr="00DD7028">
        <w:rPr>
          <w:rFonts w:eastAsia="Times New Roman" w:cs="Times New Roman"/>
          <w:rtl/>
          <w:lang w:eastAsia="de-DE"/>
        </w:rPr>
        <w:t xml:space="preserve"> </w:t>
      </w:r>
      <w:r w:rsidRPr="00DD7028">
        <w:rPr>
          <w:rFonts w:eastAsia="Times New Roman" w:cs="Times New Roman"/>
          <w:lang w:eastAsia="de-DE"/>
        </w:rPr>
        <w:t>(dem Ewigen) zeigt die spezifische Opferart.</w:t>
      </w:r>
    </w:p>
    <w:p w14:paraId="3EEEC2CD"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präpositionale Bestimmung </w:t>
      </w:r>
      <w:r w:rsidRPr="00DD7028">
        <w:rPr>
          <w:rFonts w:eastAsia="Times New Roman" w:cs="Times New Roman"/>
          <w:b/>
          <w:bCs/>
          <w:rtl/>
          <w:lang w:eastAsia="de-DE"/>
        </w:rPr>
        <w:t>עַל סַל הַמַּצּוֹת</w:t>
      </w:r>
      <w:r w:rsidRPr="00DD7028">
        <w:rPr>
          <w:rFonts w:eastAsia="Times New Roman" w:cs="Times New Roman"/>
          <w:rtl/>
          <w:lang w:eastAsia="de-DE"/>
        </w:rPr>
        <w:t xml:space="preserve"> </w:t>
      </w:r>
      <w:r w:rsidRPr="00DD7028">
        <w:rPr>
          <w:rFonts w:eastAsia="Times New Roman" w:cs="Times New Roman"/>
          <w:lang w:eastAsia="de-DE"/>
        </w:rPr>
        <w:t xml:space="preserve">(mit dem Korb des Ungesäuerten) mit </w:t>
      </w:r>
      <w:r w:rsidRPr="00DD7028">
        <w:rPr>
          <w:rFonts w:eastAsia="Times New Roman" w:cs="Times New Roman"/>
          <w:b/>
          <w:bCs/>
          <w:rtl/>
          <w:lang w:eastAsia="de-DE"/>
        </w:rPr>
        <w:t>עַל</w:t>
      </w:r>
      <w:r w:rsidRPr="00DD7028">
        <w:rPr>
          <w:rFonts w:eastAsia="Times New Roman" w:cs="Times New Roman"/>
          <w:rtl/>
          <w:lang w:eastAsia="de-DE"/>
        </w:rPr>
        <w:t xml:space="preserve"> </w:t>
      </w:r>
      <w:r w:rsidRPr="00DD7028">
        <w:rPr>
          <w:rFonts w:eastAsia="Times New Roman" w:cs="Times New Roman"/>
          <w:lang w:eastAsia="de-DE"/>
        </w:rPr>
        <w:t>(mit/zusätzlich zu) verbindet das Tieropfer mit den Backwaren aus Vers 15.</w:t>
      </w:r>
    </w:p>
    <w:p w14:paraId="68B4100E"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koordinierte Verb </w:t>
      </w:r>
      <w:r w:rsidRPr="00DD7028">
        <w:rPr>
          <w:rFonts w:eastAsia="Times New Roman" w:cs="Times New Roman"/>
          <w:b/>
          <w:bCs/>
          <w:rtl/>
          <w:lang w:eastAsia="de-DE"/>
        </w:rPr>
        <w:t>וְעָשָׂה הַכֹּהֵן אֶת־מִנְחָתוֹ וְאֶת־נִסְכּוֹ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עָשָׂה</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עשה</w:t>
      </w:r>
      <w:r w:rsidRPr="00DD7028">
        <w:rPr>
          <w:rFonts w:eastAsia="Times New Roman" w:cs="Times New Roman"/>
          <w:rtl/>
          <w:lang w:eastAsia="de-DE"/>
        </w:rPr>
        <w:t xml:space="preserve"> </w:t>
      </w:r>
      <w:r w:rsidRPr="00DD7028">
        <w:rPr>
          <w:rFonts w:eastAsia="Times New Roman" w:cs="Times New Roman"/>
          <w:lang w:eastAsia="de-DE"/>
        </w:rPr>
        <w:t xml:space="preserve">(herrichten), </w:t>
      </w:r>
      <w:r w:rsidRPr="00DD7028">
        <w:rPr>
          <w:rFonts w:eastAsia="Times New Roman" w:cs="Times New Roman"/>
          <w:b/>
          <w:bCs/>
          <w:rtl/>
          <w:lang w:eastAsia="de-DE"/>
        </w:rPr>
        <w:t>מִנְחָתוֹ</w:t>
      </w:r>
      <w:r w:rsidRPr="00DD7028">
        <w:rPr>
          <w:rFonts w:eastAsia="Times New Roman" w:cs="Times New Roman"/>
          <w:rtl/>
          <w:lang w:eastAsia="de-DE"/>
        </w:rPr>
        <w:t xml:space="preserve"> </w:t>
      </w:r>
      <w:r w:rsidRPr="00DD7028">
        <w:rPr>
          <w:rFonts w:eastAsia="Times New Roman" w:cs="Times New Roman"/>
          <w:lang w:eastAsia="de-DE"/>
        </w:rPr>
        <w:t xml:space="preserve">(sein Speisopfer) und </w:t>
      </w:r>
      <w:r w:rsidRPr="00DD7028">
        <w:rPr>
          <w:rFonts w:eastAsia="Times New Roman" w:cs="Times New Roman"/>
          <w:b/>
          <w:bCs/>
          <w:rtl/>
          <w:lang w:eastAsia="de-DE"/>
        </w:rPr>
        <w:t>נִסְכּוֹ</w:t>
      </w:r>
      <w:r w:rsidRPr="00DD7028">
        <w:rPr>
          <w:rFonts w:eastAsia="Times New Roman" w:cs="Times New Roman"/>
          <w:rtl/>
          <w:lang w:eastAsia="de-DE"/>
        </w:rPr>
        <w:t xml:space="preserve"> </w:t>
      </w:r>
      <w:r w:rsidRPr="00DD7028">
        <w:rPr>
          <w:rFonts w:eastAsia="Times New Roman" w:cs="Times New Roman"/>
          <w:lang w:eastAsia="de-DE"/>
        </w:rPr>
        <w:t>(sein Trankopfer) mit entsprechenden Possessivsuffixen komplettiert die begleitenden Opfer.</w:t>
      </w:r>
    </w:p>
    <w:p w14:paraId="5ED8E444"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übersetzt </w:t>
      </w:r>
      <w:r w:rsidRPr="00DD7028">
        <w:rPr>
          <w:rFonts w:eastAsia="Times New Roman" w:cs="Times New Roman"/>
          <w:rtl/>
          <w:lang w:eastAsia="de-DE"/>
        </w:rPr>
        <w:t>עַל</w:t>
      </w:r>
      <w:r w:rsidRPr="00DD7028">
        <w:rPr>
          <w:rFonts w:eastAsia="Times New Roman" w:cs="Times New Roman"/>
          <w:lang w:eastAsia="de-DE"/>
        </w:rPr>
        <w:t xml:space="preserve"> mit σὺν (mit), was die Begleitung der Backwaren deutlicher macht als das vieldeutige hebräische </w:t>
      </w:r>
      <w:r w:rsidRPr="00DD7028">
        <w:rPr>
          <w:rFonts w:eastAsia="Times New Roman" w:cs="Times New Roman"/>
          <w:rtl/>
          <w:lang w:eastAsia="de-DE"/>
        </w:rPr>
        <w:t>עַל</w:t>
      </w:r>
      <w:r w:rsidRPr="00DD7028">
        <w:rPr>
          <w:rFonts w:eastAsia="Times New Roman" w:cs="Times New Roman"/>
          <w:lang w:eastAsia="de-DE"/>
        </w:rPr>
        <w:t xml:space="preserve">. Sie verwendet θυσίαν σωτηρίου (Heilsopfer) für </w:t>
      </w:r>
      <w:r w:rsidRPr="00DD7028">
        <w:rPr>
          <w:rFonts w:eastAsia="Times New Roman" w:cs="Times New Roman"/>
          <w:rtl/>
          <w:lang w:eastAsia="de-DE"/>
        </w:rPr>
        <w:t>זֶבַח שְׁלָמִים</w:t>
      </w:r>
      <w:r w:rsidRPr="00DD7028">
        <w:rPr>
          <w:rFonts w:eastAsia="Times New Roman" w:cs="Times New Roman"/>
          <w:lang w:eastAsia="de-DE"/>
        </w:rPr>
        <w:t>, was theologischer klingt.</w:t>
      </w:r>
    </w:p>
    <w:p w14:paraId="41B9F638"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lastRenderedPageBreak/>
        <w:t>Die Satzstruktur zeigt die Ausführung des dritten Hauptopfers mit begleitenden Backwaren und die Ergänzung der zugehörigen Speise- und Trankopfer.</w:t>
      </w:r>
    </w:p>
    <w:p w14:paraId="1627A34E"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komplettiert die drei Hauptopfer und verbindet das Friedensopfer mit den ungesäuerten Backwaren als integrierten Opferkomplex.</w:t>
      </w:r>
    </w:p>
    <w:p w14:paraId="09B09C77"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6,18</w:t>
      </w:r>
    </w:p>
    <w:p w14:paraId="576F2C63"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וְגִלַּ֣ח הַנָּזִ֗יר פֶּ֛תַח אֹ֥הֶל מוֹעֵ֖ד אֶת־רֹ֣אשׁ נִזְרֹ֑ו וְלָקַ֗ח אֶת־שְׂעַר֙ רֹ֣אשׁ נִזְרֹ֔ו וְנָתַן֙ עַל־הָאֵ֔שׁ אֲשֶׁר־תַּ֖חַת זֶ֥בַח הַשְּׁלָמִֽים׃</w:t>
      </w:r>
    </w:p>
    <w:p w14:paraId="5F06C3C8"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Und der Nasir soll am Eingang des Zeltes der Begegnung das Haupt seiner Weihe scheren und das Haar des Hauptes seiner Weihe nehmen und es auf das Feuer legen, das unter dem Friedensopfer ist.</w:t>
      </w:r>
    </w:p>
    <w:p w14:paraId="2191A620"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657B8E46">
          <v:rect id="_x0000_i1261" style="width:0;height:1.5pt" o:hralign="center" o:hrstd="t" o:hr="t" fillcolor="#a0a0a0" stroked="f"/>
        </w:pict>
      </w:r>
    </w:p>
    <w:p w14:paraId="6B9EE4A0"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Verb </w:t>
      </w:r>
      <w:r w:rsidRPr="00DD7028">
        <w:rPr>
          <w:rFonts w:eastAsia="Times New Roman" w:cs="Times New Roman"/>
          <w:b/>
          <w:bCs/>
          <w:rtl/>
          <w:lang w:eastAsia="de-DE"/>
        </w:rPr>
        <w:t>וְגִלַּח הַנָּזִיר</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גִלַּח</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גלח</w:t>
      </w:r>
      <w:r w:rsidRPr="00DD7028">
        <w:rPr>
          <w:rFonts w:eastAsia="Times New Roman" w:cs="Times New Roman"/>
          <w:rtl/>
          <w:lang w:eastAsia="de-DE"/>
        </w:rPr>
        <w:t xml:space="preserve"> </w:t>
      </w:r>
      <w:r w:rsidRPr="00DD7028">
        <w:rPr>
          <w:rFonts w:eastAsia="Times New Roman" w:cs="Times New Roman"/>
          <w:lang w:eastAsia="de-DE"/>
        </w:rPr>
        <w:t xml:space="preserve">(scheren) im Pi'el-Perfekt 3. maskulin Singular zeigt die zentrale Handlung des Nasiräatsabschlusses. Die Ortsangabe </w:t>
      </w:r>
      <w:r w:rsidRPr="00DD7028">
        <w:rPr>
          <w:rFonts w:eastAsia="Times New Roman" w:cs="Times New Roman"/>
          <w:b/>
          <w:bCs/>
          <w:rtl/>
          <w:lang w:eastAsia="de-DE"/>
        </w:rPr>
        <w:t>פֶּתַח אֹהֶל מוֹעֵד</w:t>
      </w:r>
      <w:r w:rsidRPr="00DD7028">
        <w:rPr>
          <w:rFonts w:eastAsia="Times New Roman" w:cs="Times New Roman"/>
          <w:rtl/>
          <w:lang w:eastAsia="de-DE"/>
        </w:rPr>
        <w:t xml:space="preserve"> </w:t>
      </w:r>
      <w:r w:rsidRPr="00DD7028">
        <w:rPr>
          <w:rFonts w:eastAsia="Times New Roman" w:cs="Times New Roman"/>
          <w:lang w:eastAsia="de-DE"/>
        </w:rPr>
        <w:t>(am Eingang des Zeltes der Begegnung) betont die Öffentlichkeit und Heiligkeit des Aktes.</w:t>
      </w:r>
    </w:p>
    <w:p w14:paraId="49B5C782" w14:textId="742FFA9B"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direkte Objekt </w:t>
      </w:r>
      <w:r w:rsidRPr="00DD7028">
        <w:rPr>
          <w:rFonts w:eastAsia="Times New Roman" w:cs="Times New Roman"/>
          <w:b/>
          <w:bCs/>
          <w:rtl/>
          <w:lang w:eastAsia="de-DE"/>
        </w:rPr>
        <w:t>אֶת־רֹאשׁ נִזְרוֹ</w:t>
      </w:r>
      <w:r w:rsidRPr="00DD7028">
        <w:rPr>
          <w:rFonts w:eastAsia="Times New Roman" w:cs="Times New Roman"/>
          <w:rtl/>
          <w:lang w:eastAsia="de-DE"/>
        </w:rPr>
        <w:t xml:space="preserve"> </w:t>
      </w:r>
      <w:r w:rsidRPr="00DD7028">
        <w:rPr>
          <w:rFonts w:eastAsia="Times New Roman" w:cs="Times New Roman"/>
          <w:lang w:eastAsia="de-DE"/>
        </w:rPr>
        <w:t xml:space="preserve">(das Haupt seiner Weihe) mit </w:t>
      </w:r>
      <w:r w:rsidRPr="00DD7028">
        <w:rPr>
          <w:rFonts w:eastAsia="Times New Roman" w:cs="Times New Roman"/>
          <w:b/>
          <w:bCs/>
          <w:rtl/>
          <w:lang w:eastAsia="de-DE"/>
        </w:rPr>
        <w:t>רֹאשׁ נִזְרוֹ</w:t>
      </w:r>
      <w:r w:rsidRPr="00DD7028">
        <w:rPr>
          <w:rFonts w:eastAsia="Times New Roman" w:cs="Times New Roman"/>
          <w:rtl/>
          <w:lang w:eastAsia="de-DE"/>
        </w:rPr>
        <w:t xml:space="preserve"> </w:t>
      </w:r>
      <w:r w:rsidRPr="00DD7028">
        <w:rPr>
          <w:rFonts w:eastAsia="Times New Roman" w:cs="Times New Roman"/>
          <w:lang w:eastAsia="de-DE"/>
        </w:rPr>
        <w:t xml:space="preserve">im </w:t>
      </w:r>
      <w:r w:rsidR="00F133EC">
        <w:rPr>
          <w:rFonts w:eastAsia="Times New Roman" w:cs="Times New Roman"/>
          <w:lang w:eastAsia="de-DE"/>
        </w:rPr>
        <w:t>Construct</w:t>
      </w:r>
      <w:r w:rsidRPr="00DD7028">
        <w:rPr>
          <w:rFonts w:eastAsia="Times New Roman" w:cs="Times New Roman"/>
          <w:lang w:eastAsia="de-DE"/>
        </w:rPr>
        <w:t xml:space="preserve"> zeigt das Symbol der gesamten Weihezeit.</w:t>
      </w:r>
    </w:p>
    <w:p w14:paraId="5DB3A9F4" w14:textId="02A45508"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koordinierte Verb </w:t>
      </w:r>
      <w:r w:rsidRPr="00DD7028">
        <w:rPr>
          <w:rFonts w:eastAsia="Times New Roman" w:cs="Times New Roman"/>
          <w:b/>
          <w:bCs/>
          <w:rtl/>
          <w:lang w:eastAsia="de-DE"/>
        </w:rPr>
        <w:t>וְלָקַח אֶת־שְׂעַר רֹאשׁ נִזְרוֹ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לָקַח</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לקח</w:t>
      </w:r>
      <w:r w:rsidRPr="00DD7028">
        <w:rPr>
          <w:rFonts w:eastAsia="Times New Roman" w:cs="Times New Roman"/>
          <w:rtl/>
          <w:lang w:eastAsia="de-DE"/>
        </w:rPr>
        <w:t xml:space="preserve"> </w:t>
      </w:r>
      <w:r w:rsidRPr="00DD7028">
        <w:rPr>
          <w:rFonts w:eastAsia="Times New Roman" w:cs="Times New Roman"/>
          <w:lang w:eastAsia="de-DE"/>
        </w:rPr>
        <w:t xml:space="preserve">(nehmen) und </w:t>
      </w:r>
      <w:r w:rsidRPr="00DD7028">
        <w:rPr>
          <w:rFonts w:eastAsia="Times New Roman" w:cs="Times New Roman"/>
          <w:b/>
          <w:bCs/>
          <w:rtl/>
          <w:lang w:eastAsia="de-DE"/>
        </w:rPr>
        <w:t>שְׂעַר רֹאשׁ נִזְרוֹ</w:t>
      </w:r>
      <w:r w:rsidRPr="00DD7028">
        <w:rPr>
          <w:rFonts w:eastAsia="Times New Roman" w:cs="Times New Roman"/>
          <w:rtl/>
          <w:lang w:eastAsia="de-DE"/>
        </w:rPr>
        <w:t xml:space="preserve"> </w:t>
      </w:r>
      <w:r w:rsidRPr="00DD7028">
        <w:rPr>
          <w:rFonts w:eastAsia="Times New Roman" w:cs="Times New Roman"/>
          <w:lang w:eastAsia="de-DE"/>
        </w:rPr>
        <w:t xml:space="preserve">(Haar des Hauptes seiner Weihe) in der </w:t>
      </w:r>
      <w:r w:rsidR="00F133EC">
        <w:rPr>
          <w:rFonts w:eastAsia="Times New Roman" w:cs="Times New Roman"/>
          <w:lang w:eastAsia="de-DE"/>
        </w:rPr>
        <w:t>Construct</w:t>
      </w:r>
      <w:r w:rsidRPr="00DD7028">
        <w:rPr>
          <w:rFonts w:eastAsia="Times New Roman" w:cs="Times New Roman"/>
          <w:lang w:eastAsia="de-DE"/>
        </w:rPr>
        <w:t>kette zeigt die sorgfältige Sammlung des geweihten Haares.</w:t>
      </w:r>
    </w:p>
    <w:p w14:paraId="508BECC7"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weitere koordinierte Verb </w:t>
      </w:r>
      <w:r w:rsidRPr="00DD7028">
        <w:rPr>
          <w:rFonts w:eastAsia="Times New Roman" w:cs="Times New Roman"/>
          <w:b/>
          <w:bCs/>
          <w:rtl/>
          <w:lang w:eastAsia="de-DE"/>
        </w:rPr>
        <w:t>וְנָתַן עַל־הָאֵשׁ אֲשֶׁר־תַּחַת זֶבַח הַשְּׁלָמִים</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נָתַן</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נתן</w:t>
      </w:r>
      <w:r w:rsidRPr="00DD7028">
        <w:rPr>
          <w:rFonts w:eastAsia="Times New Roman" w:cs="Times New Roman"/>
          <w:rtl/>
          <w:lang w:eastAsia="de-DE"/>
        </w:rPr>
        <w:t xml:space="preserve"> </w:t>
      </w:r>
      <w:r w:rsidRPr="00DD7028">
        <w:rPr>
          <w:rFonts w:eastAsia="Times New Roman" w:cs="Times New Roman"/>
          <w:lang w:eastAsia="de-DE"/>
        </w:rPr>
        <w:t xml:space="preserve">(geben/legen), </w:t>
      </w:r>
      <w:r w:rsidRPr="00DD7028">
        <w:rPr>
          <w:rFonts w:eastAsia="Times New Roman" w:cs="Times New Roman"/>
          <w:b/>
          <w:bCs/>
          <w:rtl/>
          <w:lang w:eastAsia="de-DE"/>
        </w:rPr>
        <w:t>עַל־הָאֵשׁ</w:t>
      </w:r>
      <w:r w:rsidRPr="00DD7028">
        <w:rPr>
          <w:rFonts w:eastAsia="Times New Roman" w:cs="Times New Roman"/>
          <w:rtl/>
          <w:lang w:eastAsia="de-DE"/>
        </w:rPr>
        <w:t xml:space="preserve"> </w:t>
      </w:r>
      <w:r w:rsidRPr="00DD7028">
        <w:rPr>
          <w:rFonts w:eastAsia="Times New Roman" w:cs="Times New Roman"/>
          <w:lang w:eastAsia="de-DE"/>
        </w:rPr>
        <w:t xml:space="preserve">(auf das Feuer) und dem Relativsatz </w:t>
      </w:r>
      <w:r w:rsidRPr="00DD7028">
        <w:rPr>
          <w:rFonts w:eastAsia="Times New Roman" w:cs="Times New Roman"/>
          <w:b/>
          <w:bCs/>
          <w:rtl/>
          <w:lang w:eastAsia="de-DE"/>
        </w:rPr>
        <w:t>אֲשֶׁר־תַּחַת זֶבַח הַשְּׁלָמִים</w:t>
      </w:r>
      <w:r w:rsidRPr="00DD7028">
        <w:rPr>
          <w:rFonts w:eastAsia="Times New Roman" w:cs="Times New Roman"/>
          <w:rtl/>
          <w:lang w:eastAsia="de-DE"/>
        </w:rPr>
        <w:t xml:space="preserve"> </w:t>
      </w:r>
      <w:r w:rsidRPr="00DD7028">
        <w:rPr>
          <w:rFonts w:eastAsia="Times New Roman" w:cs="Times New Roman"/>
          <w:lang w:eastAsia="de-DE"/>
        </w:rPr>
        <w:t>(das unter dem Friedensopfer ist) zeigt die rituelle Verbrennung des geweihten Haares zusammen mit dem Opfer.</w:t>
      </w:r>
    </w:p>
    <w:p w14:paraId="230760CB" w14:textId="05EE47FF"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übersetzt </w:t>
      </w:r>
      <w:r w:rsidRPr="008A74D0">
        <w:rPr>
          <w:rFonts w:eastAsia="Times New Roman" w:cs="Times New Roman"/>
          <w:b/>
          <w:bCs/>
          <w:rtl/>
          <w:lang w:eastAsia="de-DE"/>
        </w:rPr>
        <w:t>גִלַּח</w:t>
      </w:r>
      <w:r w:rsidRPr="00DD7028">
        <w:rPr>
          <w:rFonts w:eastAsia="Times New Roman" w:cs="Times New Roman"/>
          <w:lang w:eastAsia="de-DE"/>
        </w:rPr>
        <w:t xml:space="preserve"> mit ξυρήσεται (er wird sich rasieren), was reflexiver ist als das hebräische Aktiv. Sie verwendet κόμην (Haupthaar) für </w:t>
      </w:r>
      <w:r w:rsidRPr="008A74D0">
        <w:rPr>
          <w:rFonts w:eastAsia="Times New Roman" w:cs="Times New Roman"/>
          <w:b/>
          <w:bCs/>
          <w:rtl/>
          <w:lang w:eastAsia="de-DE"/>
        </w:rPr>
        <w:t>שְׂעַר</w:t>
      </w:r>
      <w:r w:rsidRPr="00DD7028">
        <w:rPr>
          <w:rFonts w:eastAsia="Times New Roman" w:cs="Times New Roman"/>
          <w:lang w:eastAsia="de-DE"/>
        </w:rPr>
        <w:t>, was ästhetischer klingt als das neutral-technische hebräische Wort.</w:t>
      </w:r>
      <w:r w:rsidR="008A74D0" w:rsidRPr="008A74D0">
        <w:rPr>
          <w:rStyle w:val="berschrift1Zchn"/>
          <w:rFonts w:eastAsiaTheme="minorHAnsi"/>
        </w:rPr>
        <w:t xml:space="preserve"> </w:t>
      </w:r>
      <w:r w:rsidR="008A74D0" w:rsidRPr="008A74D0">
        <w:rPr>
          <w:rStyle w:val="Fett"/>
          <w:b w:val="0"/>
          <w:bCs w:val="0"/>
        </w:rPr>
        <w:t>Die LXX</w:t>
      </w:r>
      <w:r w:rsidR="008A74D0">
        <w:t xml:space="preserve"> verwendet durchgehend ὁ ηὐγμένος (der Geweihte) für </w:t>
      </w:r>
      <w:r w:rsidR="008A74D0">
        <w:rPr>
          <w:rtl/>
        </w:rPr>
        <w:t>הנזיר</w:t>
      </w:r>
      <w:r w:rsidR="008A74D0">
        <w:t xml:space="preserve"> (hannazir - "der Nasiräer"), was die religiöse Bedeutung der Weihe betont.</w:t>
      </w:r>
    </w:p>
    <w:p w14:paraId="6D18FEB2"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eine dreifache Handlungssequenz: Scheren, Sammeln und rituelles Verbrennen des geweihten Haares als Abschluss der Weihe.</w:t>
      </w:r>
    </w:p>
    <w:p w14:paraId="72EFE048"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beschreibt den symbolischen Höhepunkt des Nasiräatsabschlusses: die Rückgabe der sichtbaren Weihe an Gott durch Verbrennung.</w:t>
      </w:r>
    </w:p>
    <w:p w14:paraId="777C2077"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6,19</w:t>
      </w:r>
    </w:p>
    <w:p w14:paraId="6FF66E3D"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וְלָקַ֨ח הַכֹּהֵ֜ן אֶת־הַזְּרֹ֣עַ בְּשֵׁלָה֮ מִן־הָאַיִל֒ וְֽחַלַּ֨ת מַצָּ֤ה אַחַת֙ מִן־הַסַּ֔ל וּרְקִ֥יק מַצָּ֖ה אֶחָ֑ד וְנָתַן֙ עַל־כַּפֵּ֣י הַנָּזִ֔יר אַחַ֖ר הִֽתְגַּלְּחֹ֥ו אֶת־נִזְרֹֽו׃</w:t>
      </w:r>
    </w:p>
    <w:p w14:paraId="5BF0017C"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lastRenderedPageBreak/>
        <w:t>Deutsch:</w:t>
      </w:r>
      <w:r w:rsidRPr="00DD7028">
        <w:rPr>
          <w:rFonts w:eastAsia="Times New Roman" w:cs="Times New Roman"/>
          <w:lang w:eastAsia="de-DE"/>
        </w:rPr>
        <w:t xml:space="preserve"> Und der Priester nehme das gekochte Schulterstück von dem Widder und einen ungesäuerten Kuchen aus dem Korb und einen ungesäuerten Fladen und lege sie auf die Hände des Nasir, nachdem er (das Zeichen) seiner Weihe geschoren hat.</w:t>
      </w:r>
    </w:p>
    <w:p w14:paraId="2175DE78"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500E0745">
          <v:rect id="_x0000_i1262" style="width:0;height:1.5pt" o:hralign="center" o:hrstd="t" o:hr="t" fillcolor="#a0a0a0" stroked="f"/>
        </w:pict>
      </w:r>
    </w:p>
    <w:p w14:paraId="41E47510"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Verb </w:t>
      </w:r>
      <w:r w:rsidRPr="00DD7028">
        <w:rPr>
          <w:rFonts w:eastAsia="Times New Roman" w:cs="Times New Roman"/>
          <w:b/>
          <w:bCs/>
          <w:rtl/>
          <w:lang w:eastAsia="de-DE"/>
        </w:rPr>
        <w:t>וְלָקַח הַכֹּהֵן</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לָקַח</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לקח</w:t>
      </w:r>
      <w:r w:rsidRPr="00DD7028">
        <w:rPr>
          <w:rFonts w:eastAsia="Times New Roman" w:cs="Times New Roman"/>
          <w:rtl/>
          <w:lang w:eastAsia="de-DE"/>
        </w:rPr>
        <w:t xml:space="preserve"> </w:t>
      </w:r>
      <w:r w:rsidRPr="00DD7028">
        <w:rPr>
          <w:rFonts w:eastAsia="Times New Roman" w:cs="Times New Roman"/>
          <w:lang w:eastAsia="de-DE"/>
        </w:rPr>
        <w:t>(nehmen) im Qal-Perfekt 3. maskulin Singular zeigt die priesterliche Übernahme spezifischer Opferteile.</w:t>
      </w:r>
    </w:p>
    <w:p w14:paraId="746BCDFC"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erste Komponente </w:t>
      </w:r>
      <w:r w:rsidRPr="00DD7028">
        <w:rPr>
          <w:rFonts w:eastAsia="Times New Roman" w:cs="Times New Roman"/>
          <w:b/>
          <w:bCs/>
          <w:rtl/>
          <w:lang w:eastAsia="de-DE"/>
        </w:rPr>
        <w:t>אֶת־הַזְּרֹעַ בְּשֵׁלָה מִן־הָאַיִל</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הַזְּרֹעַ</w:t>
      </w:r>
      <w:r w:rsidRPr="00DD7028">
        <w:rPr>
          <w:rFonts w:eastAsia="Times New Roman" w:cs="Times New Roman"/>
          <w:rtl/>
          <w:lang w:eastAsia="de-DE"/>
        </w:rPr>
        <w:t xml:space="preserve"> </w:t>
      </w:r>
      <w:r w:rsidRPr="00DD7028">
        <w:rPr>
          <w:rFonts w:eastAsia="Times New Roman" w:cs="Times New Roman"/>
          <w:lang w:eastAsia="de-DE"/>
        </w:rPr>
        <w:t xml:space="preserve">(das Schulterstück), </w:t>
      </w:r>
      <w:r w:rsidRPr="00DD7028">
        <w:rPr>
          <w:rFonts w:eastAsia="Times New Roman" w:cs="Times New Roman"/>
          <w:b/>
          <w:bCs/>
          <w:rtl/>
          <w:lang w:eastAsia="de-DE"/>
        </w:rPr>
        <w:t>בְּשֵׁלָה</w:t>
      </w:r>
      <w:r w:rsidRPr="00DD7028">
        <w:rPr>
          <w:rFonts w:eastAsia="Times New Roman" w:cs="Times New Roman"/>
          <w:rtl/>
          <w:lang w:eastAsia="de-DE"/>
        </w:rPr>
        <w:t xml:space="preserve"> </w:t>
      </w:r>
      <w:r w:rsidRPr="00DD7028">
        <w:rPr>
          <w:rFonts w:eastAsia="Times New Roman" w:cs="Times New Roman"/>
          <w:lang w:eastAsia="de-DE"/>
        </w:rPr>
        <w:t xml:space="preserve">(gekocht) als Pu'al-Partizip feminin Singular von </w:t>
      </w:r>
      <w:r w:rsidRPr="00DD7028">
        <w:rPr>
          <w:rFonts w:eastAsia="Times New Roman" w:cs="Times New Roman"/>
          <w:b/>
          <w:bCs/>
          <w:rtl/>
          <w:lang w:eastAsia="de-DE"/>
        </w:rPr>
        <w:t>בשל</w:t>
      </w:r>
      <w:r w:rsidRPr="00DD7028">
        <w:rPr>
          <w:rFonts w:eastAsia="Times New Roman" w:cs="Times New Roman"/>
          <w:rtl/>
          <w:lang w:eastAsia="de-DE"/>
        </w:rPr>
        <w:t xml:space="preserve"> </w:t>
      </w:r>
      <w:r w:rsidRPr="00DD7028">
        <w:rPr>
          <w:rFonts w:eastAsia="Times New Roman" w:cs="Times New Roman"/>
          <w:lang w:eastAsia="de-DE"/>
        </w:rPr>
        <w:t xml:space="preserve">(kochen) und </w:t>
      </w:r>
      <w:r w:rsidRPr="00DD7028">
        <w:rPr>
          <w:rFonts w:eastAsia="Times New Roman" w:cs="Times New Roman"/>
          <w:b/>
          <w:bCs/>
          <w:rtl/>
          <w:lang w:eastAsia="de-DE"/>
        </w:rPr>
        <w:t>מִן־הָאַיִל</w:t>
      </w:r>
      <w:r w:rsidRPr="00DD7028">
        <w:rPr>
          <w:rFonts w:eastAsia="Times New Roman" w:cs="Times New Roman"/>
          <w:rtl/>
          <w:lang w:eastAsia="de-DE"/>
        </w:rPr>
        <w:t xml:space="preserve"> </w:t>
      </w:r>
      <w:r w:rsidRPr="00DD7028">
        <w:rPr>
          <w:rFonts w:eastAsia="Times New Roman" w:cs="Times New Roman"/>
          <w:lang w:eastAsia="de-DE"/>
        </w:rPr>
        <w:t>(von dem Widder) zeigt einen spezifischen, zubereiteten Fleischteil.</w:t>
      </w:r>
    </w:p>
    <w:p w14:paraId="66CA4151"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koordinierten Backwaren </w:t>
      </w:r>
      <w:r w:rsidRPr="00DD7028">
        <w:rPr>
          <w:rFonts w:eastAsia="Times New Roman" w:cs="Times New Roman"/>
          <w:b/>
          <w:bCs/>
          <w:rtl/>
          <w:lang w:eastAsia="de-DE"/>
        </w:rPr>
        <w:t>וְחַלַּת מַצָּה אַחַת מִן־הַסַּל וּרְקִיק מַצָּה אֶחָד</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חַלַּת מַצָּה</w:t>
      </w:r>
      <w:r w:rsidRPr="00DD7028">
        <w:rPr>
          <w:rFonts w:eastAsia="Times New Roman" w:cs="Times New Roman"/>
          <w:rtl/>
          <w:lang w:eastAsia="de-DE"/>
        </w:rPr>
        <w:t xml:space="preserve"> </w:t>
      </w:r>
      <w:r w:rsidRPr="00DD7028">
        <w:rPr>
          <w:rFonts w:eastAsia="Times New Roman" w:cs="Times New Roman"/>
          <w:lang w:eastAsia="de-DE"/>
        </w:rPr>
        <w:t xml:space="preserve">(ungesäuerter Kuchen), </w:t>
      </w:r>
      <w:r w:rsidRPr="00DD7028">
        <w:rPr>
          <w:rFonts w:eastAsia="Times New Roman" w:cs="Times New Roman"/>
          <w:b/>
          <w:bCs/>
          <w:rtl/>
          <w:lang w:eastAsia="de-DE"/>
        </w:rPr>
        <w:t>אַחַת</w:t>
      </w:r>
      <w:r w:rsidRPr="00DD7028">
        <w:rPr>
          <w:rFonts w:eastAsia="Times New Roman" w:cs="Times New Roman"/>
          <w:rtl/>
          <w:lang w:eastAsia="de-DE"/>
        </w:rPr>
        <w:t xml:space="preserve"> </w:t>
      </w:r>
      <w:r w:rsidRPr="00DD7028">
        <w:rPr>
          <w:rFonts w:eastAsia="Times New Roman" w:cs="Times New Roman"/>
          <w:lang w:eastAsia="de-DE"/>
        </w:rPr>
        <w:t xml:space="preserve">(eine), </w:t>
      </w:r>
      <w:r w:rsidRPr="00DD7028">
        <w:rPr>
          <w:rFonts w:eastAsia="Times New Roman" w:cs="Times New Roman"/>
          <w:b/>
          <w:bCs/>
          <w:rtl/>
          <w:lang w:eastAsia="de-DE"/>
        </w:rPr>
        <w:t>מִן־הַסַּל</w:t>
      </w:r>
      <w:r w:rsidRPr="00DD7028">
        <w:rPr>
          <w:rFonts w:eastAsia="Times New Roman" w:cs="Times New Roman"/>
          <w:rtl/>
          <w:lang w:eastAsia="de-DE"/>
        </w:rPr>
        <w:t xml:space="preserve"> </w:t>
      </w:r>
      <w:r w:rsidRPr="00DD7028">
        <w:rPr>
          <w:rFonts w:eastAsia="Times New Roman" w:cs="Times New Roman"/>
          <w:lang w:eastAsia="de-DE"/>
        </w:rPr>
        <w:t xml:space="preserve">(aus dem Korb) und </w:t>
      </w:r>
      <w:r w:rsidRPr="00DD7028">
        <w:rPr>
          <w:rFonts w:eastAsia="Times New Roman" w:cs="Times New Roman"/>
          <w:b/>
          <w:bCs/>
          <w:rtl/>
          <w:lang w:eastAsia="de-DE"/>
        </w:rPr>
        <w:t>רְקִיק מַצָּה אֶחָד</w:t>
      </w:r>
      <w:r w:rsidRPr="00DD7028">
        <w:rPr>
          <w:rFonts w:eastAsia="Times New Roman" w:cs="Times New Roman"/>
          <w:rtl/>
          <w:lang w:eastAsia="de-DE"/>
        </w:rPr>
        <w:t xml:space="preserve"> </w:t>
      </w:r>
      <w:r w:rsidRPr="00DD7028">
        <w:rPr>
          <w:rFonts w:eastAsia="Times New Roman" w:cs="Times New Roman"/>
          <w:lang w:eastAsia="de-DE"/>
        </w:rPr>
        <w:t>(einen ungesäuerten Fladen) zeigen je einen Vertreter der beiden Backwarentypen.</w:t>
      </w:r>
    </w:p>
    <w:p w14:paraId="7838BB88"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Das koordinierte Verb </w:t>
      </w:r>
      <w:r w:rsidRPr="00DD7028">
        <w:rPr>
          <w:rFonts w:eastAsia="Times New Roman" w:cs="Times New Roman"/>
          <w:b/>
          <w:bCs/>
          <w:rtl/>
          <w:lang w:eastAsia="de-DE"/>
        </w:rPr>
        <w:t>וְנָתַן עַל־כַּפֵּי הַנָּזִיר</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נָתַן</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נתן</w:t>
      </w:r>
      <w:r w:rsidRPr="00DD7028">
        <w:rPr>
          <w:rFonts w:eastAsia="Times New Roman" w:cs="Times New Roman"/>
          <w:rtl/>
          <w:lang w:eastAsia="de-DE"/>
        </w:rPr>
        <w:t xml:space="preserve"> </w:t>
      </w:r>
      <w:r w:rsidRPr="00DD7028">
        <w:rPr>
          <w:rFonts w:eastAsia="Times New Roman" w:cs="Times New Roman"/>
          <w:lang w:eastAsia="de-DE"/>
        </w:rPr>
        <w:t xml:space="preserve">(geben/legen), </w:t>
      </w:r>
      <w:r w:rsidRPr="00DD7028">
        <w:rPr>
          <w:rFonts w:eastAsia="Times New Roman" w:cs="Times New Roman"/>
          <w:b/>
          <w:bCs/>
          <w:rtl/>
          <w:lang w:eastAsia="de-DE"/>
        </w:rPr>
        <w:t>עַל־כַּפֵּי</w:t>
      </w:r>
      <w:r w:rsidRPr="00DD7028">
        <w:rPr>
          <w:rFonts w:eastAsia="Times New Roman" w:cs="Times New Roman"/>
          <w:rtl/>
          <w:lang w:eastAsia="de-DE"/>
        </w:rPr>
        <w:t xml:space="preserve"> </w:t>
      </w:r>
      <w:r w:rsidRPr="00DD7028">
        <w:rPr>
          <w:rFonts w:eastAsia="Times New Roman" w:cs="Times New Roman"/>
          <w:lang w:eastAsia="de-DE"/>
        </w:rPr>
        <w:t xml:space="preserve">(auf die Handflächen von) und </w:t>
      </w:r>
      <w:r w:rsidRPr="00DD7028">
        <w:rPr>
          <w:rFonts w:eastAsia="Times New Roman" w:cs="Times New Roman"/>
          <w:b/>
          <w:bCs/>
          <w:rtl/>
          <w:lang w:eastAsia="de-DE"/>
        </w:rPr>
        <w:t>הַנָּזִיר</w:t>
      </w:r>
      <w:r w:rsidRPr="00DD7028">
        <w:rPr>
          <w:rFonts w:eastAsia="Times New Roman" w:cs="Times New Roman"/>
          <w:rtl/>
          <w:lang w:eastAsia="de-DE"/>
        </w:rPr>
        <w:t xml:space="preserve"> </w:t>
      </w:r>
      <w:r w:rsidRPr="00DD7028">
        <w:rPr>
          <w:rFonts w:eastAsia="Times New Roman" w:cs="Times New Roman"/>
          <w:lang w:eastAsia="de-DE"/>
        </w:rPr>
        <w:t>(der Nasir) zeigt die symbolische Übertragung.</w:t>
      </w:r>
    </w:p>
    <w:p w14:paraId="337F3AF5" w14:textId="4F7E5300"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temporale Bestimmung </w:t>
      </w:r>
      <w:r w:rsidRPr="00DD7028">
        <w:rPr>
          <w:rFonts w:eastAsia="Times New Roman" w:cs="Times New Roman"/>
          <w:b/>
          <w:bCs/>
          <w:rtl/>
          <w:lang w:eastAsia="de-DE"/>
        </w:rPr>
        <w:t>אַחַר הִתְגַּלְּחוֹ אֶת־נִזְרוֹ</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אַחַר</w:t>
      </w:r>
      <w:r w:rsidRPr="00DD7028">
        <w:rPr>
          <w:rFonts w:eastAsia="Times New Roman" w:cs="Times New Roman"/>
          <w:rtl/>
          <w:lang w:eastAsia="de-DE"/>
        </w:rPr>
        <w:t xml:space="preserve"> </w:t>
      </w:r>
      <w:r w:rsidRPr="00DD7028">
        <w:rPr>
          <w:rFonts w:eastAsia="Times New Roman" w:cs="Times New Roman"/>
          <w:lang w:eastAsia="de-DE"/>
        </w:rPr>
        <w:t xml:space="preserve">(nachdem), </w:t>
      </w:r>
      <w:r w:rsidRPr="00DD7028">
        <w:rPr>
          <w:rFonts w:eastAsia="Times New Roman" w:cs="Times New Roman"/>
          <w:b/>
          <w:bCs/>
          <w:rtl/>
          <w:lang w:eastAsia="de-DE"/>
        </w:rPr>
        <w:t>הִתְגַּלְּחוֹ</w:t>
      </w:r>
      <w:r w:rsidRPr="00DD7028">
        <w:rPr>
          <w:rFonts w:eastAsia="Times New Roman" w:cs="Times New Roman"/>
          <w:rtl/>
          <w:lang w:eastAsia="de-DE"/>
        </w:rPr>
        <w:t xml:space="preserve"> </w:t>
      </w:r>
      <w:r w:rsidRPr="00DD7028">
        <w:rPr>
          <w:rFonts w:eastAsia="Times New Roman" w:cs="Times New Roman"/>
          <w:lang w:eastAsia="de-DE"/>
        </w:rPr>
        <w:t>als Hithpa'el-Infinitiv-</w:t>
      </w:r>
      <w:r w:rsidR="00F133EC">
        <w:rPr>
          <w:rFonts w:eastAsia="Times New Roman" w:cs="Times New Roman"/>
          <w:lang w:eastAsia="de-DE"/>
        </w:rPr>
        <w:t>Construct</w:t>
      </w:r>
      <w:r w:rsidRPr="00DD7028">
        <w:rPr>
          <w:rFonts w:eastAsia="Times New Roman" w:cs="Times New Roman"/>
          <w:lang w:eastAsia="de-DE"/>
        </w:rPr>
        <w:t xml:space="preserve"> von </w:t>
      </w:r>
      <w:r w:rsidRPr="00DD7028">
        <w:rPr>
          <w:rFonts w:eastAsia="Times New Roman" w:cs="Times New Roman"/>
          <w:b/>
          <w:bCs/>
          <w:rtl/>
          <w:lang w:eastAsia="de-DE"/>
        </w:rPr>
        <w:t>גלח</w:t>
      </w:r>
      <w:r w:rsidRPr="00DD7028">
        <w:rPr>
          <w:rFonts w:eastAsia="Times New Roman" w:cs="Times New Roman"/>
          <w:rtl/>
          <w:lang w:eastAsia="de-DE"/>
        </w:rPr>
        <w:t xml:space="preserve"> </w:t>
      </w:r>
      <w:r w:rsidRPr="00DD7028">
        <w:rPr>
          <w:rFonts w:eastAsia="Times New Roman" w:cs="Times New Roman"/>
          <w:lang w:eastAsia="de-DE"/>
        </w:rPr>
        <w:t xml:space="preserve">(sich scheren) mit Possessivsuffix 3. maskulin Singular und </w:t>
      </w:r>
      <w:r w:rsidRPr="00DD7028">
        <w:rPr>
          <w:rFonts w:eastAsia="Times New Roman" w:cs="Times New Roman"/>
          <w:b/>
          <w:bCs/>
          <w:rtl/>
          <w:lang w:eastAsia="de-DE"/>
        </w:rPr>
        <w:t>אֶת־נִזְרוֹ</w:t>
      </w:r>
      <w:r w:rsidRPr="00DD7028">
        <w:rPr>
          <w:rFonts w:eastAsia="Times New Roman" w:cs="Times New Roman"/>
          <w:rtl/>
          <w:lang w:eastAsia="de-DE"/>
        </w:rPr>
        <w:t xml:space="preserve"> </w:t>
      </w:r>
      <w:r w:rsidRPr="00DD7028">
        <w:rPr>
          <w:rFonts w:eastAsia="Times New Roman" w:cs="Times New Roman"/>
          <w:lang w:eastAsia="de-DE"/>
        </w:rPr>
        <w:t>(seine Weihe) zeigt die Reihenfolge: erst Schur, dann Übertragung.</w:t>
      </w:r>
    </w:p>
    <w:p w14:paraId="330587DF"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Die LXX</w:t>
      </w:r>
      <w:r w:rsidRPr="00DD7028">
        <w:rPr>
          <w:rFonts w:eastAsia="Times New Roman" w:cs="Times New Roman"/>
          <w:lang w:eastAsia="de-DE"/>
        </w:rPr>
        <w:t xml:space="preserve"> übersetzt </w:t>
      </w:r>
      <w:r w:rsidRPr="00DD7028">
        <w:rPr>
          <w:rFonts w:eastAsia="Times New Roman" w:cs="Times New Roman"/>
          <w:rtl/>
          <w:lang w:eastAsia="de-DE"/>
        </w:rPr>
        <w:t>בְּשֵׁלָה</w:t>
      </w:r>
      <w:r w:rsidRPr="00DD7028">
        <w:rPr>
          <w:rFonts w:eastAsia="Times New Roman" w:cs="Times New Roman"/>
          <w:lang w:eastAsia="de-DE"/>
        </w:rPr>
        <w:t xml:space="preserve"> mit ἑφθόν (gekocht), was medizinisch-kulinarischer ist als das hebräische Partizip. Sie verwendet βραχίονα (Oberarm) für </w:t>
      </w:r>
      <w:r w:rsidRPr="00DD7028">
        <w:rPr>
          <w:rFonts w:eastAsia="Times New Roman" w:cs="Times New Roman"/>
          <w:rtl/>
          <w:lang w:eastAsia="de-DE"/>
        </w:rPr>
        <w:t>זְרֹעַ</w:t>
      </w:r>
      <w:r w:rsidRPr="00DD7028">
        <w:rPr>
          <w:rFonts w:eastAsia="Times New Roman" w:cs="Times New Roman"/>
          <w:lang w:eastAsia="de-DE"/>
        </w:rPr>
        <w:t>, was anatomisch spezifischer ist.</w:t>
      </w:r>
    </w:p>
    <w:p w14:paraId="763A38B2"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priesterliche Auswahl spezifischer Opferteile, symbolische Übertragung auf den Nasir und präzise zeitliche Sequenzierung nach der Schur.</w:t>
      </w:r>
    </w:p>
    <w:p w14:paraId="329DF7D4"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beschreibt die symbolische Rückübertragung geweihter Opferteile an den nun entweihten ehemaligen Nasir.</w:t>
      </w:r>
    </w:p>
    <w:p w14:paraId="713960E5" w14:textId="77777777" w:rsidR="00DD7028" w:rsidRPr="00DD7028" w:rsidRDefault="00DD7028" w:rsidP="00DD7028">
      <w:pPr>
        <w:spacing w:before="100" w:beforeAutospacing="1" w:after="100" w:afterAutospacing="1" w:line="240" w:lineRule="auto"/>
        <w:outlineLvl w:val="0"/>
        <w:rPr>
          <w:rFonts w:eastAsia="Times New Roman" w:cs="Times New Roman"/>
          <w:b/>
          <w:bCs/>
          <w:kern w:val="36"/>
          <w:sz w:val="48"/>
          <w:szCs w:val="48"/>
          <w:lang w:eastAsia="de-DE"/>
        </w:rPr>
      </w:pPr>
      <w:r w:rsidRPr="00DD7028">
        <w:rPr>
          <w:rFonts w:eastAsia="Times New Roman" w:cs="Times New Roman"/>
          <w:b/>
          <w:bCs/>
          <w:kern w:val="36"/>
          <w:sz w:val="48"/>
          <w:szCs w:val="48"/>
          <w:lang w:eastAsia="de-DE"/>
        </w:rPr>
        <w:t>Numeri 6,20</w:t>
      </w:r>
    </w:p>
    <w:p w14:paraId="41472C13"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Hebräisch:</w:t>
      </w:r>
      <w:r w:rsidRPr="00DD7028">
        <w:rPr>
          <w:rFonts w:eastAsia="Times New Roman" w:cs="Times New Roman"/>
          <w:lang w:eastAsia="de-DE"/>
        </w:rPr>
        <w:t xml:space="preserve"> </w:t>
      </w:r>
      <w:r w:rsidRPr="00DD7028">
        <w:rPr>
          <w:rFonts w:eastAsia="Times New Roman" w:cs="Times New Roman"/>
          <w:rtl/>
          <w:lang w:eastAsia="de-DE"/>
        </w:rPr>
        <w:t>וְהֵנִיף֩ אוֹתָ֨ם הַכֹּהֵ֥ן׀ תְּנוּפָה֮ לִפְנֵ֣י יְהוָה֒ קֹ֤דֶשׁ הוּא֙ לַכֹּהֵ֔ן עַ֚ל חֲזֵ֣ה הַתְּנוּפָ֔ה וְעַ֖ל שׁ֣וֹק הַתְּרוּמָ֑ה וְאַחַ֛ר יִשְׁתֶּ֥ה הַנָּזִ֖יר יָֽיִן׃</w:t>
      </w:r>
    </w:p>
    <w:p w14:paraId="6272AA8B"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Deutsch:</w:t>
      </w:r>
      <w:r w:rsidRPr="00DD7028">
        <w:rPr>
          <w:rFonts w:eastAsia="Times New Roman" w:cs="Times New Roman"/>
          <w:lang w:eastAsia="de-DE"/>
        </w:rPr>
        <w:t xml:space="preserve"> Und der Priester soll sie als Schwingopfer vor dem Ewigen schwingen; es ist dem Priester heilig nebst der Brust des Schwingopfer und nebst der Keule des Hebeopfers. Und danach kann der Nasir Wein trinken.</w:t>
      </w:r>
    </w:p>
    <w:p w14:paraId="640587F0" w14:textId="77777777" w:rsidR="00DD7028" w:rsidRPr="00DD7028" w:rsidRDefault="00F329DD" w:rsidP="00DD7028">
      <w:pPr>
        <w:spacing w:after="0" w:line="240" w:lineRule="auto"/>
        <w:rPr>
          <w:rFonts w:eastAsia="Times New Roman" w:cs="Times New Roman"/>
          <w:lang w:eastAsia="de-DE"/>
        </w:rPr>
      </w:pPr>
      <w:r>
        <w:rPr>
          <w:rFonts w:eastAsia="Times New Roman" w:cs="Times New Roman"/>
          <w:noProof/>
          <w:lang w:eastAsia="de-DE"/>
        </w:rPr>
        <w:pict w14:anchorId="4539CBDD">
          <v:rect id="_x0000_i1263" style="width:0;height:1.5pt" o:hralign="center" o:hrstd="t" o:hr="t" fillcolor="#a0a0a0" stroked="f"/>
        </w:pict>
      </w:r>
    </w:p>
    <w:p w14:paraId="433CDC2D"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b/>
          <w:bCs/>
          <w:lang w:eastAsia="de-DE"/>
        </w:rPr>
        <w:t>Kommentar:</w:t>
      </w:r>
      <w:r w:rsidRPr="00DD7028">
        <w:rPr>
          <w:rFonts w:eastAsia="Times New Roman" w:cs="Times New Roman"/>
          <w:lang w:eastAsia="de-DE"/>
        </w:rPr>
        <w:t xml:space="preserve"> Das Verb </w:t>
      </w:r>
      <w:r w:rsidRPr="00DD7028">
        <w:rPr>
          <w:rFonts w:eastAsia="Times New Roman" w:cs="Times New Roman"/>
          <w:b/>
          <w:bCs/>
          <w:rtl/>
          <w:lang w:eastAsia="de-DE"/>
        </w:rPr>
        <w:t>וְהֵנִיף אוֹתָם הַכֹּהֵן תְּנוּפָה לִפְנֵי יְהוָה</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הֵנִיף</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נוף</w:t>
      </w:r>
      <w:r w:rsidRPr="00DD7028">
        <w:rPr>
          <w:rFonts w:eastAsia="Times New Roman" w:cs="Times New Roman"/>
          <w:rtl/>
          <w:lang w:eastAsia="de-DE"/>
        </w:rPr>
        <w:t xml:space="preserve"> </w:t>
      </w:r>
      <w:r w:rsidRPr="00DD7028">
        <w:rPr>
          <w:rFonts w:eastAsia="Times New Roman" w:cs="Times New Roman"/>
          <w:lang w:eastAsia="de-DE"/>
        </w:rPr>
        <w:t xml:space="preserve">(schwingen) im Hiph'il-Perfekt 3. maskulin Singular, </w:t>
      </w:r>
      <w:r w:rsidRPr="00DD7028">
        <w:rPr>
          <w:rFonts w:eastAsia="Times New Roman" w:cs="Times New Roman"/>
          <w:b/>
          <w:bCs/>
          <w:rtl/>
          <w:lang w:eastAsia="de-DE"/>
        </w:rPr>
        <w:t>אוֹתָם</w:t>
      </w:r>
      <w:r w:rsidRPr="00DD7028">
        <w:rPr>
          <w:rFonts w:eastAsia="Times New Roman" w:cs="Times New Roman"/>
          <w:rtl/>
          <w:lang w:eastAsia="de-DE"/>
        </w:rPr>
        <w:t xml:space="preserve"> </w:t>
      </w:r>
      <w:r w:rsidRPr="00DD7028">
        <w:rPr>
          <w:rFonts w:eastAsia="Times New Roman" w:cs="Times New Roman"/>
          <w:lang w:eastAsia="de-DE"/>
        </w:rPr>
        <w:t xml:space="preserve">(sie), </w:t>
      </w:r>
      <w:r w:rsidRPr="00DD7028">
        <w:rPr>
          <w:rFonts w:eastAsia="Times New Roman" w:cs="Times New Roman"/>
          <w:b/>
          <w:bCs/>
          <w:rtl/>
          <w:lang w:eastAsia="de-DE"/>
        </w:rPr>
        <w:t>תְּנוּפָה</w:t>
      </w:r>
      <w:r w:rsidRPr="00DD7028">
        <w:rPr>
          <w:rFonts w:eastAsia="Times New Roman" w:cs="Times New Roman"/>
          <w:rtl/>
          <w:lang w:eastAsia="de-DE"/>
        </w:rPr>
        <w:t xml:space="preserve"> </w:t>
      </w:r>
      <w:r w:rsidRPr="00DD7028">
        <w:rPr>
          <w:rFonts w:eastAsia="Times New Roman" w:cs="Times New Roman"/>
          <w:lang w:eastAsia="de-DE"/>
        </w:rPr>
        <w:t xml:space="preserve">(Schwingung) als cognate Accusativ und </w:t>
      </w:r>
      <w:r w:rsidRPr="00DD7028">
        <w:rPr>
          <w:rFonts w:eastAsia="Times New Roman" w:cs="Times New Roman"/>
          <w:b/>
          <w:bCs/>
          <w:rtl/>
          <w:lang w:eastAsia="de-DE"/>
        </w:rPr>
        <w:t>לִפְנֵי יְהוָה</w:t>
      </w:r>
      <w:r w:rsidRPr="00DD7028">
        <w:rPr>
          <w:rFonts w:eastAsia="Times New Roman" w:cs="Times New Roman"/>
          <w:rtl/>
          <w:lang w:eastAsia="de-DE"/>
        </w:rPr>
        <w:t xml:space="preserve"> </w:t>
      </w:r>
      <w:r w:rsidRPr="00DD7028">
        <w:rPr>
          <w:rFonts w:eastAsia="Times New Roman" w:cs="Times New Roman"/>
          <w:lang w:eastAsia="de-DE"/>
        </w:rPr>
        <w:t>(vor dem Ewigen) zeigt die rituelle Schwingbewegung.</w:t>
      </w:r>
    </w:p>
    <w:p w14:paraId="10D789F6"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lastRenderedPageBreak/>
        <w:t xml:space="preserve">Die Eigentumsdeklaration </w:t>
      </w:r>
      <w:r w:rsidRPr="00DD7028">
        <w:rPr>
          <w:rFonts w:eastAsia="Times New Roman" w:cs="Times New Roman"/>
          <w:b/>
          <w:bCs/>
          <w:rtl/>
          <w:lang w:eastAsia="de-DE"/>
        </w:rPr>
        <w:t>קֹדֶשׁ הוּא לַכֹּהֵן</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קֹדֶשׁ</w:t>
      </w:r>
      <w:r w:rsidRPr="00DD7028">
        <w:rPr>
          <w:rFonts w:eastAsia="Times New Roman" w:cs="Times New Roman"/>
          <w:rtl/>
          <w:lang w:eastAsia="de-DE"/>
        </w:rPr>
        <w:t xml:space="preserve"> </w:t>
      </w:r>
      <w:r w:rsidRPr="00DD7028">
        <w:rPr>
          <w:rFonts w:eastAsia="Times New Roman" w:cs="Times New Roman"/>
          <w:lang w:eastAsia="de-DE"/>
        </w:rPr>
        <w:t xml:space="preserve">(heilig), </w:t>
      </w:r>
      <w:r w:rsidRPr="00DD7028">
        <w:rPr>
          <w:rFonts w:eastAsia="Times New Roman" w:cs="Times New Roman"/>
          <w:b/>
          <w:bCs/>
          <w:rtl/>
          <w:lang w:eastAsia="de-DE"/>
        </w:rPr>
        <w:t>הוּא</w:t>
      </w:r>
      <w:r w:rsidRPr="00DD7028">
        <w:rPr>
          <w:rFonts w:eastAsia="Times New Roman" w:cs="Times New Roman"/>
          <w:rtl/>
          <w:lang w:eastAsia="de-DE"/>
        </w:rPr>
        <w:t xml:space="preserve"> </w:t>
      </w:r>
      <w:r w:rsidRPr="00DD7028">
        <w:rPr>
          <w:rFonts w:eastAsia="Times New Roman" w:cs="Times New Roman"/>
          <w:lang w:eastAsia="de-DE"/>
        </w:rPr>
        <w:t xml:space="preserve">(es) und </w:t>
      </w:r>
      <w:r w:rsidRPr="00DD7028">
        <w:rPr>
          <w:rFonts w:eastAsia="Times New Roman" w:cs="Times New Roman"/>
          <w:b/>
          <w:bCs/>
          <w:rtl/>
          <w:lang w:eastAsia="de-DE"/>
        </w:rPr>
        <w:t>לַכֹּהֵן</w:t>
      </w:r>
      <w:r w:rsidRPr="00DD7028">
        <w:rPr>
          <w:rFonts w:eastAsia="Times New Roman" w:cs="Times New Roman"/>
          <w:rtl/>
          <w:lang w:eastAsia="de-DE"/>
        </w:rPr>
        <w:t xml:space="preserve"> </w:t>
      </w:r>
      <w:r w:rsidRPr="00DD7028">
        <w:rPr>
          <w:rFonts w:eastAsia="Times New Roman" w:cs="Times New Roman"/>
          <w:lang w:eastAsia="de-DE"/>
        </w:rPr>
        <w:t>(dem Priester) etabliert das priesterliche Eigentumsrecht.</w:t>
      </w:r>
    </w:p>
    <w:p w14:paraId="37D44D27" w14:textId="4A2D6A1F"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Die erweiternde Bestimmung </w:t>
      </w:r>
      <w:r w:rsidRPr="00DD7028">
        <w:rPr>
          <w:rFonts w:eastAsia="Times New Roman" w:cs="Times New Roman"/>
          <w:b/>
          <w:bCs/>
          <w:rtl/>
          <w:lang w:eastAsia="de-DE"/>
        </w:rPr>
        <w:t>עַל חֲזֵה הַתְּנוּפָה וְעַל שׁוֹק הַתְּרוּמָה</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עַל</w:t>
      </w:r>
      <w:r w:rsidRPr="00DD7028">
        <w:rPr>
          <w:rFonts w:eastAsia="Times New Roman" w:cs="Times New Roman"/>
          <w:rtl/>
          <w:lang w:eastAsia="de-DE"/>
        </w:rPr>
        <w:t xml:space="preserve"> </w:t>
      </w:r>
      <w:r w:rsidRPr="00DD7028">
        <w:rPr>
          <w:rFonts w:eastAsia="Times New Roman" w:cs="Times New Roman"/>
          <w:lang w:eastAsia="de-DE"/>
        </w:rPr>
        <w:t xml:space="preserve">(zusätzlich zu), </w:t>
      </w:r>
      <w:r w:rsidRPr="00DD7028">
        <w:rPr>
          <w:rFonts w:eastAsia="Times New Roman" w:cs="Times New Roman"/>
          <w:b/>
          <w:bCs/>
          <w:rtl/>
          <w:lang w:eastAsia="de-DE"/>
        </w:rPr>
        <w:t>חֲזֵה הַתְּנוּפָה</w:t>
      </w:r>
      <w:r w:rsidRPr="00DD7028">
        <w:rPr>
          <w:rFonts w:eastAsia="Times New Roman" w:cs="Times New Roman"/>
          <w:rtl/>
          <w:lang w:eastAsia="de-DE"/>
        </w:rPr>
        <w:t xml:space="preserve"> </w:t>
      </w:r>
      <w:r w:rsidRPr="00DD7028">
        <w:rPr>
          <w:rFonts w:eastAsia="Times New Roman" w:cs="Times New Roman"/>
          <w:lang w:eastAsia="de-DE"/>
        </w:rPr>
        <w:t xml:space="preserve">(Brust des Schwingopfers) im </w:t>
      </w:r>
      <w:r w:rsidR="00F133EC">
        <w:rPr>
          <w:rFonts w:eastAsia="Times New Roman" w:cs="Times New Roman"/>
          <w:lang w:eastAsia="de-DE"/>
        </w:rPr>
        <w:t>Construct</w:t>
      </w:r>
      <w:r w:rsidRPr="00DD7028">
        <w:rPr>
          <w:rFonts w:eastAsia="Times New Roman" w:cs="Times New Roman"/>
          <w:lang w:eastAsia="de-DE"/>
        </w:rPr>
        <w:t xml:space="preserve"> und </w:t>
      </w:r>
      <w:r w:rsidRPr="00DD7028">
        <w:rPr>
          <w:rFonts w:eastAsia="Times New Roman" w:cs="Times New Roman"/>
          <w:b/>
          <w:bCs/>
          <w:rtl/>
          <w:lang w:eastAsia="de-DE"/>
        </w:rPr>
        <w:t>שׁוֹק הַתְּרוּמָה</w:t>
      </w:r>
      <w:r w:rsidRPr="00DD7028">
        <w:rPr>
          <w:rFonts w:eastAsia="Times New Roman" w:cs="Times New Roman"/>
          <w:rtl/>
          <w:lang w:eastAsia="de-DE"/>
        </w:rPr>
        <w:t xml:space="preserve"> </w:t>
      </w:r>
      <w:r w:rsidRPr="00DD7028">
        <w:rPr>
          <w:rFonts w:eastAsia="Times New Roman" w:cs="Times New Roman"/>
          <w:lang w:eastAsia="de-DE"/>
        </w:rPr>
        <w:t xml:space="preserve">(Keule des Hebeopfers) im </w:t>
      </w:r>
      <w:r w:rsidR="00F133EC">
        <w:rPr>
          <w:rFonts w:eastAsia="Times New Roman" w:cs="Times New Roman"/>
          <w:lang w:eastAsia="de-DE"/>
        </w:rPr>
        <w:t>Construct</w:t>
      </w:r>
      <w:r w:rsidRPr="00DD7028">
        <w:rPr>
          <w:rFonts w:eastAsia="Times New Roman" w:cs="Times New Roman"/>
          <w:lang w:eastAsia="de-DE"/>
        </w:rPr>
        <w:t xml:space="preserve"> zeigt die regulären priesterlichen Anteile.</w:t>
      </w:r>
    </w:p>
    <w:p w14:paraId="66A0A024"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 xml:space="preserve">Der abschließende Satz </w:t>
      </w:r>
      <w:r w:rsidRPr="00DD7028">
        <w:rPr>
          <w:rFonts w:eastAsia="Times New Roman" w:cs="Times New Roman"/>
          <w:b/>
          <w:bCs/>
          <w:rtl/>
          <w:lang w:eastAsia="de-DE"/>
        </w:rPr>
        <w:t>וְאַחַר יִשְׁתֶּה הַנָּזִיר יָיִן</w:t>
      </w:r>
      <w:r w:rsidRPr="00DD7028">
        <w:rPr>
          <w:rFonts w:eastAsia="Times New Roman" w:cs="Times New Roman"/>
          <w:rtl/>
          <w:lang w:eastAsia="de-DE"/>
        </w:rPr>
        <w:t xml:space="preserve"> </w:t>
      </w:r>
      <w:r w:rsidRPr="00DD7028">
        <w:rPr>
          <w:rFonts w:eastAsia="Times New Roman" w:cs="Times New Roman"/>
          <w:lang w:eastAsia="de-DE"/>
        </w:rPr>
        <w:t xml:space="preserve">mit </w:t>
      </w:r>
      <w:r w:rsidRPr="00DD7028">
        <w:rPr>
          <w:rFonts w:eastAsia="Times New Roman" w:cs="Times New Roman"/>
          <w:b/>
          <w:bCs/>
          <w:rtl/>
          <w:lang w:eastAsia="de-DE"/>
        </w:rPr>
        <w:t>אַחַר</w:t>
      </w:r>
      <w:r w:rsidRPr="00DD7028">
        <w:rPr>
          <w:rFonts w:eastAsia="Times New Roman" w:cs="Times New Roman"/>
          <w:rtl/>
          <w:lang w:eastAsia="de-DE"/>
        </w:rPr>
        <w:t xml:space="preserve"> </w:t>
      </w:r>
      <w:r w:rsidRPr="00DD7028">
        <w:rPr>
          <w:rFonts w:eastAsia="Times New Roman" w:cs="Times New Roman"/>
          <w:lang w:eastAsia="de-DE"/>
        </w:rPr>
        <w:t xml:space="preserve">(danach), </w:t>
      </w:r>
      <w:r w:rsidRPr="00DD7028">
        <w:rPr>
          <w:rFonts w:eastAsia="Times New Roman" w:cs="Times New Roman"/>
          <w:b/>
          <w:bCs/>
          <w:rtl/>
          <w:lang w:eastAsia="de-DE"/>
        </w:rPr>
        <w:t>יִשְׁתֶּה</w:t>
      </w:r>
      <w:r w:rsidRPr="00DD7028">
        <w:rPr>
          <w:rFonts w:eastAsia="Times New Roman" w:cs="Times New Roman"/>
          <w:rtl/>
          <w:lang w:eastAsia="de-DE"/>
        </w:rPr>
        <w:t xml:space="preserve"> </w:t>
      </w:r>
      <w:r w:rsidRPr="00DD7028">
        <w:rPr>
          <w:rFonts w:eastAsia="Times New Roman" w:cs="Times New Roman"/>
          <w:lang w:eastAsia="de-DE"/>
        </w:rPr>
        <w:t xml:space="preserve">von </w:t>
      </w:r>
      <w:r w:rsidRPr="00DD7028">
        <w:rPr>
          <w:rFonts w:eastAsia="Times New Roman" w:cs="Times New Roman"/>
          <w:b/>
          <w:bCs/>
          <w:rtl/>
          <w:lang w:eastAsia="de-DE"/>
        </w:rPr>
        <w:t>שתה</w:t>
      </w:r>
      <w:r w:rsidRPr="00DD7028">
        <w:rPr>
          <w:rFonts w:eastAsia="Times New Roman" w:cs="Times New Roman"/>
          <w:rtl/>
          <w:lang w:eastAsia="de-DE"/>
        </w:rPr>
        <w:t xml:space="preserve"> </w:t>
      </w:r>
      <w:r w:rsidRPr="00DD7028">
        <w:rPr>
          <w:rFonts w:eastAsia="Times New Roman" w:cs="Times New Roman"/>
          <w:lang w:eastAsia="de-DE"/>
        </w:rPr>
        <w:t xml:space="preserve">(trinken) im Qal-Imperfekt 3. maskulin Singular, </w:t>
      </w:r>
      <w:r w:rsidRPr="00DD7028">
        <w:rPr>
          <w:rFonts w:eastAsia="Times New Roman" w:cs="Times New Roman"/>
          <w:b/>
          <w:bCs/>
          <w:rtl/>
          <w:lang w:eastAsia="de-DE"/>
        </w:rPr>
        <w:t>הַנָּזִיר</w:t>
      </w:r>
      <w:r w:rsidRPr="00DD7028">
        <w:rPr>
          <w:rFonts w:eastAsia="Times New Roman" w:cs="Times New Roman"/>
          <w:rtl/>
          <w:lang w:eastAsia="de-DE"/>
        </w:rPr>
        <w:t xml:space="preserve"> </w:t>
      </w:r>
      <w:r w:rsidRPr="00DD7028">
        <w:rPr>
          <w:rFonts w:eastAsia="Times New Roman" w:cs="Times New Roman"/>
          <w:lang w:eastAsia="de-DE"/>
        </w:rPr>
        <w:t xml:space="preserve">(der Nasir) und </w:t>
      </w:r>
      <w:r w:rsidRPr="00DD7028">
        <w:rPr>
          <w:rFonts w:eastAsia="Times New Roman" w:cs="Times New Roman"/>
          <w:b/>
          <w:bCs/>
          <w:rtl/>
          <w:lang w:eastAsia="de-DE"/>
        </w:rPr>
        <w:t>יָיִן</w:t>
      </w:r>
      <w:r w:rsidRPr="00DD7028">
        <w:rPr>
          <w:rFonts w:eastAsia="Times New Roman" w:cs="Times New Roman"/>
          <w:rtl/>
          <w:lang w:eastAsia="de-DE"/>
        </w:rPr>
        <w:t xml:space="preserve"> </w:t>
      </w:r>
      <w:r w:rsidRPr="00DD7028">
        <w:rPr>
          <w:rFonts w:eastAsia="Times New Roman" w:cs="Times New Roman"/>
          <w:lang w:eastAsia="de-DE"/>
        </w:rPr>
        <w:t>(Wein) markiert das Ende aller Nasiräatseinschränkungen.</w:t>
      </w:r>
    </w:p>
    <w:p w14:paraId="306C7F9E" w14:textId="77777777" w:rsidR="008A74D0" w:rsidRDefault="008A74D0" w:rsidP="00DD7028">
      <w:pPr>
        <w:spacing w:before="100" w:beforeAutospacing="1" w:after="100" w:afterAutospacing="1" w:line="240" w:lineRule="auto"/>
      </w:pPr>
      <w:r>
        <w:rPr>
          <w:rStyle w:val="Fett"/>
        </w:rPr>
        <w:t>Die LXX</w:t>
      </w:r>
      <w:r>
        <w:t xml:space="preserve"> übersetzt </w:t>
      </w:r>
      <w:r>
        <w:rPr>
          <w:rtl/>
        </w:rPr>
        <w:t>תנופה</w:t>
      </w:r>
      <w:r>
        <w:t xml:space="preserve"> (tenuphah - "Schwingopfer") als ἐπίθεμα (Auflegung/Erhebung) und </w:t>
      </w:r>
      <w:r>
        <w:rPr>
          <w:rtl/>
        </w:rPr>
        <w:t>תרומה</w:t>
      </w:r>
      <w:r>
        <w:t xml:space="preserve"> (terumah - "Hebeopfer") als ἀφαίρεμα (Wegnahme/Abhebung), was die rituellen Bewegungen beschreibt.</w:t>
      </w:r>
    </w:p>
    <w:p w14:paraId="32D7514D" w14:textId="65CACECD"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 Satzstruktur zeigt rituelle Schwingung, priesterliche Eigentumsdeklaration mit Ergänzungsangabe und die symbolische Rückkehr zur Normalität durch Weingenuss.</w:t>
      </w:r>
    </w:p>
    <w:p w14:paraId="0956B53E" w14:textId="77777777" w:rsidR="00DD7028" w:rsidRPr="00DD7028" w:rsidRDefault="00DD7028" w:rsidP="00DD7028">
      <w:pPr>
        <w:spacing w:before="100" w:beforeAutospacing="1" w:after="100" w:afterAutospacing="1" w:line="240" w:lineRule="auto"/>
        <w:rPr>
          <w:rFonts w:eastAsia="Times New Roman" w:cs="Times New Roman"/>
          <w:lang w:eastAsia="de-DE"/>
        </w:rPr>
      </w:pPr>
      <w:r w:rsidRPr="00DD7028">
        <w:rPr>
          <w:rFonts w:eastAsia="Times New Roman" w:cs="Times New Roman"/>
          <w:lang w:eastAsia="de-DE"/>
        </w:rPr>
        <w:t>Dieser Vers komplettiert das Nasiräatsritual und markiert durch die Weinerlaubnis die vollständige Rückkehr zur normalen Lebensweise.</w:t>
      </w:r>
    </w:p>
    <w:p w14:paraId="3E2DB1B5" w14:textId="77777777" w:rsidR="00551BCC" w:rsidRPr="00551BCC" w:rsidRDefault="00551BCC" w:rsidP="00551BCC">
      <w:pPr>
        <w:spacing w:before="100" w:beforeAutospacing="1" w:after="100" w:afterAutospacing="1" w:line="240" w:lineRule="auto"/>
        <w:outlineLvl w:val="0"/>
        <w:rPr>
          <w:rFonts w:eastAsia="Times New Roman" w:cs="Times New Roman"/>
          <w:b/>
          <w:bCs/>
          <w:kern w:val="36"/>
          <w:sz w:val="48"/>
          <w:szCs w:val="48"/>
          <w:lang w:eastAsia="de-DE"/>
        </w:rPr>
      </w:pPr>
      <w:r w:rsidRPr="00551BCC">
        <w:rPr>
          <w:rFonts w:eastAsia="Times New Roman" w:cs="Times New Roman"/>
          <w:b/>
          <w:bCs/>
          <w:kern w:val="36"/>
          <w:sz w:val="48"/>
          <w:szCs w:val="48"/>
          <w:lang w:eastAsia="de-DE"/>
        </w:rPr>
        <w:t>Numeri 6,21</w:t>
      </w:r>
    </w:p>
    <w:p w14:paraId="7A073415"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Hebräisch:</w:t>
      </w:r>
      <w:r w:rsidRPr="00551BCC">
        <w:rPr>
          <w:rFonts w:eastAsia="Times New Roman" w:cs="Times New Roman"/>
          <w:lang w:eastAsia="de-DE"/>
        </w:rPr>
        <w:t xml:space="preserve"> </w:t>
      </w:r>
      <w:r w:rsidRPr="00551BCC">
        <w:rPr>
          <w:rFonts w:eastAsia="Times New Roman" w:cs="Times New Roman"/>
          <w:rtl/>
          <w:lang w:eastAsia="de-DE"/>
        </w:rPr>
        <w:t>זֹ֣את תּוֹרַ֣ת הַנָּזִיר֮ אֲשֶׁ֣ר יִדֹּר֒ קָרְבָּנֹ֤ו לַֽיהוָה֙ עַל־נִזְרֹ֔ו מִלְּבַ֖ד אֲשֶׁר־תַּשִּׂ֣יג יָדֹ֑ו כְּפִ֤י נִדְרוֹ֙ אֲשֶׁ֣ר יִדֹּ֔ר כֵּ֣ן יַעֲשֶׂ֔ה עַ֖ל תּוֹרַ֥ת נִזְרֹֽו׃</w:t>
      </w:r>
    </w:p>
    <w:p w14:paraId="016606D7"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Deutsch:</w:t>
      </w:r>
      <w:r w:rsidRPr="00551BCC">
        <w:rPr>
          <w:rFonts w:eastAsia="Times New Roman" w:cs="Times New Roman"/>
          <w:lang w:eastAsia="de-DE"/>
        </w:rPr>
        <w:t xml:space="preserve"> Das ist das Gesetz des Nasir, der ein Gelübde tut, seine Opfergabe dem Ewigen wegen seiner Weihe, außer dem, was seine Hand aufbringen kann. Gemäß seinem Gelübde, das er getan hat, so soll er tun nach dem Gesetz seiner Weihe.</w:t>
      </w:r>
    </w:p>
    <w:p w14:paraId="4221074D" w14:textId="77777777" w:rsidR="00551BCC" w:rsidRPr="00551BCC" w:rsidRDefault="00F329DD" w:rsidP="00551BCC">
      <w:pPr>
        <w:spacing w:after="0" w:line="240" w:lineRule="auto"/>
        <w:rPr>
          <w:rFonts w:eastAsia="Times New Roman" w:cs="Times New Roman"/>
          <w:lang w:eastAsia="de-DE"/>
        </w:rPr>
      </w:pPr>
      <w:r>
        <w:rPr>
          <w:rFonts w:eastAsia="Times New Roman" w:cs="Times New Roman"/>
          <w:noProof/>
          <w:lang w:eastAsia="de-DE"/>
        </w:rPr>
        <w:pict w14:anchorId="171C1C87">
          <v:rect id="_x0000_i1264" style="width:0;height:1.5pt" o:hralign="center" o:hrstd="t" o:hr="t" fillcolor="#a0a0a0" stroked="f"/>
        </w:pict>
      </w:r>
    </w:p>
    <w:p w14:paraId="0821DA5C" w14:textId="675D8F84"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Kommentar:</w:t>
      </w:r>
      <w:r w:rsidRPr="00551BCC">
        <w:rPr>
          <w:rFonts w:eastAsia="Times New Roman" w:cs="Times New Roman"/>
          <w:lang w:eastAsia="de-DE"/>
        </w:rPr>
        <w:t xml:space="preserve"> Das Demonstrativpronomen </w:t>
      </w:r>
      <w:r w:rsidRPr="00551BCC">
        <w:rPr>
          <w:rFonts w:eastAsia="Times New Roman" w:cs="Times New Roman"/>
          <w:b/>
          <w:bCs/>
          <w:rtl/>
          <w:lang w:eastAsia="de-DE"/>
        </w:rPr>
        <w:t>זֹאת</w:t>
      </w:r>
      <w:r w:rsidRPr="00551BCC">
        <w:rPr>
          <w:rFonts w:eastAsia="Times New Roman" w:cs="Times New Roman"/>
          <w:rtl/>
          <w:lang w:eastAsia="de-DE"/>
        </w:rPr>
        <w:t xml:space="preserve"> </w:t>
      </w:r>
      <w:r w:rsidRPr="00551BCC">
        <w:rPr>
          <w:rFonts w:eastAsia="Times New Roman" w:cs="Times New Roman"/>
          <w:lang w:eastAsia="de-DE"/>
        </w:rPr>
        <w:t xml:space="preserve">(das) mit der </w:t>
      </w:r>
      <w:r w:rsidR="00F133EC">
        <w:rPr>
          <w:rFonts w:eastAsia="Times New Roman" w:cs="Times New Roman"/>
          <w:lang w:eastAsia="de-DE"/>
        </w:rPr>
        <w:t>Construct</w:t>
      </w:r>
      <w:r w:rsidRPr="00551BCC">
        <w:rPr>
          <w:rFonts w:eastAsia="Times New Roman" w:cs="Times New Roman"/>
          <w:lang w:eastAsia="de-DE"/>
        </w:rPr>
        <w:t xml:space="preserve">verbindung </w:t>
      </w:r>
      <w:r w:rsidRPr="00551BCC">
        <w:rPr>
          <w:rFonts w:eastAsia="Times New Roman" w:cs="Times New Roman"/>
          <w:b/>
          <w:bCs/>
          <w:rtl/>
          <w:lang w:eastAsia="de-DE"/>
        </w:rPr>
        <w:t>תּוֹרַת הַנָּזִיר</w:t>
      </w:r>
      <w:r w:rsidRPr="00551BCC">
        <w:rPr>
          <w:rFonts w:eastAsia="Times New Roman" w:cs="Times New Roman"/>
          <w:rtl/>
          <w:lang w:eastAsia="de-DE"/>
        </w:rPr>
        <w:t xml:space="preserve"> </w:t>
      </w:r>
      <w:r w:rsidRPr="00551BCC">
        <w:rPr>
          <w:rFonts w:eastAsia="Times New Roman" w:cs="Times New Roman"/>
          <w:lang w:eastAsia="de-DE"/>
        </w:rPr>
        <w:t xml:space="preserve">(Gesetz des Nasir) leitet die abschließende Zusammenfassung ein. Der Relativsatz </w:t>
      </w:r>
      <w:r w:rsidRPr="00551BCC">
        <w:rPr>
          <w:rFonts w:eastAsia="Times New Roman" w:cs="Times New Roman"/>
          <w:b/>
          <w:bCs/>
          <w:rtl/>
          <w:lang w:eastAsia="de-DE"/>
        </w:rPr>
        <w:t>אֲשֶׁר יִדֹּר</w:t>
      </w:r>
      <w:r w:rsidRPr="00551BCC">
        <w:rPr>
          <w:rFonts w:eastAsia="Times New Roman" w:cs="Times New Roman"/>
          <w:rtl/>
          <w:lang w:eastAsia="de-DE"/>
        </w:rPr>
        <w:t xml:space="preserve"> </w:t>
      </w:r>
      <w:r w:rsidRPr="00551BCC">
        <w:rPr>
          <w:rFonts w:eastAsia="Times New Roman" w:cs="Times New Roman"/>
          <w:lang w:eastAsia="de-DE"/>
        </w:rPr>
        <w:t xml:space="preserve">mit </w:t>
      </w:r>
      <w:r w:rsidRPr="00551BCC">
        <w:rPr>
          <w:rFonts w:eastAsia="Times New Roman" w:cs="Times New Roman"/>
          <w:b/>
          <w:bCs/>
          <w:rtl/>
          <w:lang w:eastAsia="de-DE"/>
        </w:rPr>
        <w:t>יִדֹּר</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נדר</w:t>
      </w:r>
      <w:r w:rsidRPr="00551BCC">
        <w:rPr>
          <w:rFonts w:eastAsia="Times New Roman" w:cs="Times New Roman"/>
          <w:rtl/>
          <w:lang w:eastAsia="de-DE"/>
        </w:rPr>
        <w:t xml:space="preserve"> </w:t>
      </w:r>
      <w:r w:rsidRPr="00551BCC">
        <w:rPr>
          <w:rFonts w:eastAsia="Times New Roman" w:cs="Times New Roman"/>
          <w:lang w:eastAsia="de-DE"/>
        </w:rPr>
        <w:t>(geloben) im Qal-Imperfekt 3. maskulin Singular zeigt die freiwillige Natur des Gelübdes.</w:t>
      </w:r>
    </w:p>
    <w:p w14:paraId="15C2C202" w14:textId="3D553A7E"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Die Opferverpflichtung </w:t>
      </w:r>
      <w:r w:rsidRPr="00551BCC">
        <w:rPr>
          <w:rFonts w:eastAsia="Times New Roman" w:cs="Times New Roman"/>
          <w:b/>
          <w:bCs/>
          <w:rtl/>
          <w:lang w:eastAsia="de-DE"/>
        </w:rPr>
        <w:t>קָרְבָּנוֹ לַיהוָה עַל־נִזְרוֹ</w:t>
      </w:r>
      <w:r w:rsidRPr="00551BCC">
        <w:rPr>
          <w:rFonts w:eastAsia="Times New Roman" w:cs="Times New Roman"/>
          <w:rtl/>
          <w:lang w:eastAsia="de-DE"/>
        </w:rPr>
        <w:t xml:space="preserve"> </w:t>
      </w:r>
      <w:r w:rsidRPr="00551BCC">
        <w:rPr>
          <w:rFonts w:eastAsia="Times New Roman" w:cs="Times New Roman"/>
          <w:lang w:eastAsia="de-DE"/>
        </w:rPr>
        <w:t xml:space="preserve">mit </w:t>
      </w:r>
      <w:r w:rsidRPr="00551BCC">
        <w:rPr>
          <w:rFonts w:eastAsia="Times New Roman" w:cs="Times New Roman"/>
          <w:b/>
          <w:bCs/>
          <w:rtl/>
          <w:lang w:eastAsia="de-DE"/>
        </w:rPr>
        <w:t>קָרְבָּן</w:t>
      </w:r>
      <w:r w:rsidRPr="00551BCC">
        <w:rPr>
          <w:rFonts w:eastAsia="Times New Roman" w:cs="Times New Roman"/>
          <w:rtl/>
          <w:lang w:eastAsia="de-DE"/>
        </w:rPr>
        <w:t xml:space="preserve"> </w:t>
      </w:r>
      <w:r w:rsidRPr="00551BCC">
        <w:rPr>
          <w:rFonts w:eastAsia="Times New Roman" w:cs="Times New Roman"/>
          <w:lang w:eastAsia="de-DE"/>
        </w:rPr>
        <w:t xml:space="preserve">(Opfergabe) im </w:t>
      </w:r>
      <w:r w:rsidR="00F133EC">
        <w:rPr>
          <w:rFonts w:eastAsia="Times New Roman" w:cs="Times New Roman"/>
          <w:lang w:eastAsia="de-DE"/>
        </w:rPr>
        <w:t>Construct</w:t>
      </w:r>
      <w:r w:rsidRPr="00551BCC">
        <w:rPr>
          <w:rFonts w:eastAsia="Times New Roman" w:cs="Times New Roman"/>
          <w:lang w:eastAsia="de-DE"/>
        </w:rPr>
        <w:t xml:space="preserve"> mit Possessivsuffix, </w:t>
      </w:r>
      <w:r w:rsidRPr="00551BCC">
        <w:rPr>
          <w:rFonts w:eastAsia="Times New Roman" w:cs="Times New Roman"/>
          <w:b/>
          <w:bCs/>
          <w:rtl/>
          <w:lang w:eastAsia="de-DE"/>
        </w:rPr>
        <w:t>לַיהוָה</w:t>
      </w:r>
      <w:r w:rsidRPr="00551BCC">
        <w:rPr>
          <w:rFonts w:eastAsia="Times New Roman" w:cs="Times New Roman"/>
          <w:rtl/>
          <w:lang w:eastAsia="de-DE"/>
        </w:rPr>
        <w:t xml:space="preserve"> </w:t>
      </w:r>
      <w:r w:rsidRPr="00551BCC">
        <w:rPr>
          <w:rFonts w:eastAsia="Times New Roman" w:cs="Times New Roman"/>
          <w:lang w:eastAsia="de-DE"/>
        </w:rPr>
        <w:t xml:space="preserve">(dem Ewigen) und </w:t>
      </w:r>
      <w:r w:rsidRPr="00551BCC">
        <w:rPr>
          <w:rFonts w:eastAsia="Times New Roman" w:cs="Times New Roman"/>
          <w:b/>
          <w:bCs/>
          <w:rtl/>
          <w:lang w:eastAsia="de-DE"/>
        </w:rPr>
        <w:t>עַל־נִזְרוֹ</w:t>
      </w:r>
      <w:r w:rsidRPr="00551BCC">
        <w:rPr>
          <w:rFonts w:eastAsia="Times New Roman" w:cs="Times New Roman"/>
          <w:rtl/>
          <w:lang w:eastAsia="de-DE"/>
        </w:rPr>
        <w:t xml:space="preserve"> </w:t>
      </w:r>
      <w:r w:rsidRPr="00551BCC">
        <w:rPr>
          <w:rFonts w:eastAsia="Times New Roman" w:cs="Times New Roman"/>
          <w:lang w:eastAsia="de-DE"/>
        </w:rPr>
        <w:t>(wegen seiner Weihe) zeigt die grundlegende Mindestverpflichtung.</w:t>
      </w:r>
    </w:p>
    <w:p w14:paraId="6B997E3F"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Die Erweiterungsklausel </w:t>
      </w:r>
      <w:r w:rsidRPr="00551BCC">
        <w:rPr>
          <w:rFonts w:eastAsia="Times New Roman" w:cs="Times New Roman"/>
          <w:b/>
          <w:bCs/>
          <w:rtl/>
          <w:lang w:eastAsia="de-DE"/>
        </w:rPr>
        <w:t>מִלְּבַד אֲשֶׁר־תַּשִּׂיג יָדוֹ</w:t>
      </w:r>
      <w:r w:rsidRPr="00551BCC">
        <w:rPr>
          <w:rFonts w:eastAsia="Times New Roman" w:cs="Times New Roman"/>
          <w:rtl/>
          <w:lang w:eastAsia="de-DE"/>
        </w:rPr>
        <w:t xml:space="preserve"> </w:t>
      </w:r>
      <w:r w:rsidRPr="00551BCC">
        <w:rPr>
          <w:rFonts w:eastAsia="Times New Roman" w:cs="Times New Roman"/>
          <w:lang w:eastAsia="de-DE"/>
        </w:rPr>
        <w:t xml:space="preserve">mit </w:t>
      </w:r>
      <w:r w:rsidRPr="00551BCC">
        <w:rPr>
          <w:rFonts w:eastAsia="Times New Roman" w:cs="Times New Roman"/>
          <w:b/>
          <w:bCs/>
          <w:rtl/>
          <w:lang w:eastAsia="de-DE"/>
        </w:rPr>
        <w:t>מִלְּבַד</w:t>
      </w:r>
      <w:r w:rsidRPr="00551BCC">
        <w:rPr>
          <w:rFonts w:eastAsia="Times New Roman" w:cs="Times New Roman"/>
          <w:rtl/>
          <w:lang w:eastAsia="de-DE"/>
        </w:rPr>
        <w:t xml:space="preserve"> </w:t>
      </w:r>
      <w:r w:rsidRPr="00551BCC">
        <w:rPr>
          <w:rFonts w:eastAsia="Times New Roman" w:cs="Times New Roman"/>
          <w:lang w:eastAsia="de-DE"/>
        </w:rPr>
        <w:t xml:space="preserve">(außer/zusätzlich zu), </w:t>
      </w:r>
      <w:r w:rsidRPr="00551BCC">
        <w:rPr>
          <w:rFonts w:eastAsia="Times New Roman" w:cs="Times New Roman"/>
          <w:b/>
          <w:bCs/>
          <w:rtl/>
          <w:lang w:eastAsia="de-DE"/>
        </w:rPr>
        <w:t>אֲשֶׁר־תַּשִּׂיג</w:t>
      </w:r>
      <w:r w:rsidRPr="00551BCC">
        <w:rPr>
          <w:rFonts w:eastAsia="Times New Roman" w:cs="Times New Roman"/>
          <w:rtl/>
          <w:lang w:eastAsia="de-DE"/>
        </w:rPr>
        <w:t xml:space="preserve"> </w:t>
      </w:r>
      <w:r w:rsidRPr="00551BCC">
        <w:rPr>
          <w:rFonts w:eastAsia="Times New Roman" w:cs="Times New Roman"/>
          <w:lang w:eastAsia="de-DE"/>
        </w:rPr>
        <w:t xml:space="preserve">(was erreichen kann) mit </w:t>
      </w:r>
      <w:r w:rsidRPr="00551BCC">
        <w:rPr>
          <w:rFonts w:eastAsia="Times New Roman" w:cs="Times New Roman"/>
          <w:b/>
          <w:bCs/>
          <w:rtl/>
          <w:lang w:eastAsia="de-DE"/>
        </w:rPr>
        <w:t>תַּשִּׂיג</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נשג</w:t>
      </w:r>
      <w:r w:rsidRPr="00551BCC">
        <w:rPr>
          <w:rFonts w:eastAsia="Times New Roman" w:cs="Times New Roman"/>
          <w:rtl/>
          <w:lang w:eastAsia="de-DE"/>
        </w:rPr>
        <w:t xml:space="preserve"> </w:t>
      </w:r>
      <w:r w:rsidRPr="00551BCC">
        <w:rPr>
          <w:rFonts w:eastAsia="Times New Roman" w:cs="Times New Roman"/>
          <w:lang w:eastAsia="de-DE"/>
        </w:rPr>
        <w:t xml:space="preserve">(erreichen/erlangen) im Hiph'il-Imperfekt 3. feminin Singular und </w:t>
      </w:r>
      <w:r w:rsidRPr="00551BCC">
        <w:rPr>
          <w:rFonts w:eastAsia="Times New Roman" w:cs="Times New Roman"/>
          <w:b/>
          <w:bCs/>
          <w:rtl/>
          <w:lang w:eastAsia="de-DE"/>
        </w:rPr>
        <w:t>יָדוֹ</w:t>
      </w:r>
      <w:r w:rsidRPr="00551BCC">
        <w:rPr>
          <w:rFonts w:eastAsia="Times New Roman" w:cs="Times New Roman"/>
          <w:rtl/>
          <w:lang w:eastAsia="de-DE"/>
        </w:rPr>
        <w:t xml:space="preserve"> </w:t>
      </w:r>
      <w:r w:rsidRPr="00551BCC">
        <w:rPr>
          <w:rFonts w:eastAsia="Times New Roman" w:cs="Times New Roman"/>
          <w:lang w:eastAsia="de-DE"/>
        </w:rPr>
        <w:t>(seine Hand) zeigt zusätzliche freiwillige Gaben entsprechend den finanziellen Möglichkeiten.</w:t>
      </w:r>
    </w:p>
    <w:p w14:paraId="7A8D2793"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Die verstärkende Schlussformel </w:t>
      </w:r>
      <w:r w:rsidRPr="00551BCC">
        <w:rPr>
          <w:rFonts w:eastAsia="Times New Roman" w:cs="Times New Roman"/>
          <w:b/>
          <w:bCs/>
          <w:rtl/>
          <w:lang w:eastAsia="de-DE"/>
        </w:rPr>
        <w:t>כְּפִי נִדְרוֹ אֲשֶׁר יִדֹּר כֵּן יַעֲשֶׂה עַל תּוֹרַת נִזְרוֹ</w:t>
      </w:r>
      <w:r w:rsidRPr="00551BCC">
        <w:rPr>
          <w:rFonts w:eastAsia="Times New Roman" w:cs="Times New Roman"/>
          <w:rtl/>
          <w:lang w:eastAsia="de-DE"/>
        </w:rPr>
        <w:t xml:space="preserve"> </w:t>
      </w:r>
      <w:r w:rsidRPr="00551BCC">
        <w:rPr>
          <w:rFonts w:eastAsia="Times New Roman" w:cs="Times New Roman"/>
          <w:lang w:eastAsia="de-DE"/>
        </w:rPr>
        <w:t xml:space="preserve">mit </w:t>
      </w:r>
      <w:r w:rsidRPr="00551BCC">
        <w:rPr>
          <w:rFonts w:eastAsia="Times New Roman" w:cs="Times New Roman"/>
          <w:b/>
          <w:bCs/>
          <w:rtl/>
          <w:lang w:eastAsia="de-DE"/>
        </w:rPr>
        <w:t>כְּפִי</w:t>
      </w:r>
      <w:r w:rsidRPr="00551BCC">
        <w:rPr>
          <w:rFonts w:eastAsia="Times New Roman" w:cs="Times New Roman"/>
          <w:rtl/>
          <w:lang w:eastAsia="de-DE"/>
        </w:rPr>
        <w:t xml:space="preserve"> </w:t>
      </w:r>
      <w:r w:rsidRPr="00551BCC">
        <w:rPr>
          <w:rFonts w:eastAsia="Times New Roman" w:cs="Times New Roman"/>
          <w:lang w:eastAsia="de-DE"/>
        </w:rPr>
        <w:t xml:space="preserve">(gemäß), </w:t>
      </w:r>
      <w:r w:rsidRPr="00551BCC">
        <w:rPr>
          <w:rFonts w:eastAsia="Times New Roman" w:cs="Times New Roman"/>
          <w:b/>
          <w:bCs/>
          <w:rtl/>
          <w:lang w:eastAsia="de-DE"/>
        </w:rPr>
        <w:t>נִדְרוֹ</w:t>
      </w:r>
      <w:r w:rsidRPr="00551BCC">
        <w:rPr>
          <w:rFonts w:eastAsia="Times New Roman" w:cs="Times New Roman"/>
          <w:rtl/>
          <w:lang w:eastAsia="de-DE"/>
        </w:rPr>
        <w:t xml:space="preserve"> </w:t>
      </w:r>
      <w:r w:rsidRPr="00551BCC">
        <w:rPr>
          <w:rFonts w:eastAsia="Times New Roman" w:cs="Times New Roman"/>
          <w:lang w:eastAsia="de-DE"/>
        </w:rPr>
        <w:t xml:space="preserve">(seinem Gelübde), </w:t>
      </w:r>
      <w:r w:rsidRPr="00551BCC">
        <w:rPr>
          <w:rFonts w:eastAsia="Times New Roman" w:cs="Times New Roman"/>
          <w:b/>
          <w:bCs/>
          <w:rtl/>
          <w:lang w:eastAsia="de-DE"/>
        </w:rPr>
        <w:t>כֵּן יַעֲשֶׂה</w:t>
      </w:r>
      <w:r w:rsidRPr="00551BCC">
        <w:rPr>
          <w:rFonts w:eastAsia="Times New Roman" w:cs="Times New Roman"/>
          <w:rtl/>
          <w:lang w:eastAsia="de-DE"/>
        </w:rPr>
        <w:t xml:space="preserve"> </w:t>
      </w:r>
      <w:r w:rsidRPr="00551BCC">
        <w:rPr>
          <w:rFonts w:eastAsia="Times New Roman" w:cs="Times New Roman"/>
          <w:lang w:eastAsia="de-DE"/>
        </w:rPr>
        <w:t xml:space="preserve">(so soll er tun) und </w:t>
      </w:r>
      <w:r w:rsidRPr="00551BCC">
        <w:rPr>
          <w:rFonts w:eastAsia="Times New Roman" w:cs="Times New Roman"/>
          <w:b/>
          <w:bCs/>
          <w:rtl/>
          <w:lang w:eastAsia="de-DE"/>
        </w:rPr>
        <w:t>עַל תּוֹרַת נִזְרוֹ</w:t>
      </w:r>
      <w:r w:rsidRPr="00551BCC">
        <w:rPr>
          <w:rFonts w:eastAsia="Times New Roman" w:cs="Times New Roman"/>
          <w:rtl/>
          <w:lang w:eastAsia="de-DE"/>
        </w:rPr>
        <w:t xml:space="preserve"> </w:t>
      </w:r>
      <w:r w:rsidRPr="00551BCC">
        <w:rPr>
          <w:rFonts w:eastAsia="Times New Roman" w:cs="Times New Roman"/>
          <w:lang w:eastAsia="de-DE"/>
        </w:rPr>
        <w:t>(nach dem Gesetz seiner Weihe) betont die strikte Bindung an das individuelle Gelübde.</w:t>
      </w:r>
    </w:p>
    <w:p w14:paraId="143439CD"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lastRenderedPageBreak/>
        <w:t>Die LXX</w:t>
      </w:r>
      <w:r w:rsidRPr="00551BCC">
        <w:rPr>
          <w:rFonts w:eastAsia="Times New Roman" w:cs="Times New Roman"/>
          <w:lang w:eastAsia="de-DE"/>
        </w:rPr>
        <w:t xml:space="preserve"> übersetzt </w:t>
      </w:r>
      <w:r w:rsidRPr="00551BCC">
        <w:rPr>
          <w:rFonts w:eastAsia="Times New Roman" w:cs="Times New Roman"/>
          <w:rtl/>
          <w:lang w:eastAsia="de-DE"/>
        </w:rPr>
        <w:t>תַּשִּׂיג יָדוֹ</w:t>
      </w:r>
      <w:r w:rsidRPr="00551BCC">
        <w:rPr>
          <w:rFonts w:eastAsia="Times New Roman" w:cs="Times New Roman"/>
          <w:lang w:eastAsia="de-DE"/>
        </w:rPr>
        <w:t xml:space="preserve"> mit εὕρῃ ἡ χεὶρ αὐτοῦ (seine Hand findet), was stärker die Suche und das Finden betont als das hebräische "Erreichen". Sie verwendet κατὰ δύναμιν (nach Vermögen) interpretierend für die finanzielle Möglichkeit.</w:t>
      </w:r>
    </w:p>
    <w:p w14:paraId="329A29A4"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Die Satzstruktur zeigt eine zusammenfassende Gesetzesdeklaration mit relativischer Spezifikation, Mindestverpflichtung, Erweiterungsklausel und verstärkender Bindungsformel.</w:t>
      </w:r>
    </w:p>
    <w:p w14:paraId="5F3C4CF2"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Dieser Vers schließt die Nasiräatsbestimmungen ab und betont sowohl die Verbindlichkeit der Mindestverpflichtung als auch die Möglichkeit zusätzlicher freiwilliger Gaben.</w:t>
      </w:r>
    </w:p>
    <w:p w14:paraId="2760CDFC" w14:textId="77777777" w:rsidR="00551BCC" w:rsidRPr="00551BCC" w:rsidRDefault="00551BCC" w:rsidP="00551BCC">
      <w:pPr>
        <w:spacing w:before="100" w:beforeAutospacing="1" w:after="100" w:afterAutospacing="1" w:line="240" w:lineRule="auto"/>
        <w:outlineLvl w:val="0"/>
        <w:rPr>
          <w:rFonts w:eastAsia="Times New Roman" w:cs="Times New Roman"/>
          <w:b/>
          <w:bCs/>
          <w:kern w:val="36"/>
          <w:sz w:val="48"/>
          <w:szCs w:val="48"/>
          <w:lang w:eastAsia="de-DE"/>
        </w:rPr>
      </w:pPr>
      <w:r w:rsidRPr="00551BCC">
        <w:rPr>
          <w:rFonts w:eastAsia="Times New Roman" w:cs="Times New Roman"/>
          <w:b/>
          <w:bCs/>
          <w:kern w:val="36"/>
          <w:sz w:val="48"/>
          <w:szCs w:val="48"/>
          <w:lang w:eastAsia="de-DE"/>
        </w:rPr>
        <w:t>Numeri 6,22</w:t>
      </w:r>
    </w:p>
    <w:p w14:paraId="47CB0FDE"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Hebräisch:</w:t>
      </w:r>
      <w:r w:rsidRPr="00551BCC">
        <w:rPr>
          <w:rFonts w:eastAsia="Times New Roman" w:cs="Times New Roman"/>
          <w:lang w:eastAsia="de-DE"/>
        </w:rPr>
        <w:t xml:space="preserve"> </w:t>
      </w:r>
      <w:r w:rsidRPr="00551BCC">
        <w:rPr>
          <w:rFonts w:eastAsia="Times New Roman" w:cs="Times New Roman"/>
          <w:rtl/>
          <w:lang w:eastAsia="de-DE"/>
        </w:rPr>
        <w:t>וַיְדַבֵּ֥ר יְהוָ֖ה אֶל־מֹשֶׁ֥ה לֵּאמֹֽר׃</w:t>
      </w:r>
    </w:p>
    <w:p w14:paraId="542C90E3"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Deutsch:</w:t>
      </w:r>
      <w:r w:rsidRPr="00551BCC">
        <w:rPr>
          <w:rFonts w:eastAsia="Times New Roman" w:cs="Times New Roman"/>
          <w:lang w:eastAsia="de-DE"/>
        </w:rPr>
        <w:t xml:space="preserve"> Und der Ewige redete zu Mosche, sagend:</w:t>
      </w:r>
    </w:p>
    <w:p w14:paraId="4CBF3B1E" w14:textId="77777777" w:rsidR="00551BCC" w:rsidRPr="00551BCC" w:rsidRDefault="00F329DD" w:rsidP="00551BCC">
      <w:pPr>
        <w:spacing w:after="0" w:line="240" w:lineRule="auto"/>
        <w:rPr>
          <w:rFonts w:eastAsia="Times New Roman" w:cs="Times New Roman"/>
          <w:lang w:eastAsia="de-DE"/>
        </w:rPr>
      </w:pPr>
      <w:r>
        <w:rPr>
          <w:rFonts w:eastAsia="Times New Roman" w:cs="Times New Roman"/>
          <w:noProof/>
          <w:lang w:eastAsia="de-DE"/>
        </w:rPr>
        <w:pict w14:anchorId="2C7F1BB8">
          <v:rect id="_x0000_i1265" style="width:0;height:1.5pt" o:hralign="center" o:hrstd="t" o:hr="t" fillcolor="#a0a0a0" stroked="f"/>
        </w:pict>
      </w:r>
    </w:p>
    <w:p w14:paraId="5F4BC1E4"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Kommentar:</w:t>
      </w:r>
      <w:r w:rsidRPr="00551BCC">
        <w:rPr>
          <w:rFonts w:eastAsia="Times New Roman" w:cs="Times New Roman"/>
          <w:lang w:eastAsia="de-DE"/>
        </w:rPr>
        <w:t xml:space="preserve"> Das Verb </w:t>
      </w:r>
      <w:r w:rsidRPr="00551BCC">
        <w:rPr>
          <w:rFonts w:eastAsia="Times New Roman" w:cs="Times New Roman"/>
          <w:b/>
          <w:bCs/>
          <w:rtl/>
          <w:lang w:eastAsia="de-DE"/>
        </w:rPr>
        <w:t>וַיְדַבֵּר</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דבר</w:t>
      </w:r>
      <w:r w:rsidRPr="00551BCC">
        <w:rPr>
          <w:rFonts w:eastAsia="Times New Roman" w:cs="Times New Roman"/>
          <w:rtl/>
          <w:lang w:eastAsia="de-DE"/>
        </w:rPr>
        <w:t xml:space="preserve"> </w:t>
      </w:r>
      <w:r w:rsidRPr="00551BCC">
        <w:rPr>
          <w:rFonts w:eastAsia="Times New Roman" w:cs="Times New Roman"/>
          <w:lang w:eastAsia="de-DE"/>
        </w:rPr>
        <w:t>(reden/sprechen) im Qal-Imperfekt 3. maskulin Singular mit Waw consecutivum leitet eine neue göttliche Rede ein, die einen bedeutsamen thematischen Übergang vom Nasiräat zum priesterlichen Segen markiert.</w:t>
      </w:r>
    </w:p>
    <w:p w14:paraId="785A396B"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Das Subjekt </w:t>
      </w:r>
      <w:r w:rsidRPr="00551BCC">
        <w:rPr>
          <w:rFonts w:eastAsia="Times New Roman" w:cs="Times New Roman"/>
          <w:b/>
          <w:bCs/>
          <w:rtl/>
          <w:lang w:eastAsia="de-DE"/>
        </w:rPr>
        <w:t>יְהוָה</w:t>
      </w:r>
      <w:r w:rsidRPr="00551BCC">
        <w:rPr>
          <w:rFonts w:eastAsia="Times New Roman" w:cs="Times New Roman"/>
          <w:rtl/>
          <w:lang w:eastAsia="de-DE"/>
        </w:rPr>
        <w:t xml:space="preserve"> </w:t>
      </w:r>
      <w:r w:rsidRPr="00551BCC">
        <w:rPr>
          <w:rFonts w:eastAsia="Times New Roman" w:cs="Times New Roman"/>
          <w:lang w:eastAsia="de-DE"/>
        </w:rPr>
        <w:t xml:space="preserve">mit der präpositionalen Phrase </w:t>
      </w:r>
      <w:r w:rsidRPr="00551BCC">
        <w:rPr>
          <w:rFonts w:eastAsia="Times New Roman" w:cs="Times New Roman"/>
          <w:b/>
          <w:bCs/>
          <w:rtl/>
          <w:lang w:eastAsia="de-DE"/>
        </w:rPr>
        <w:t>אֶל־מֹשֶׁה</w:t>
      </w:r>
      <w:r w:rsidRPr="00551BCC">
        <w:rPr>
          <w:rFonts w:eastAsia="Times New Roman" w:cs="Times New Roman"/>
          <w:rtl/>
          <w:lang w:eastAsia="de-DE"/>
        </w:rPr>
        <w:t xml:space="preserve"> </w:t>
      </w:r>
      <w:r w:rsidRPr="00551BCC">
        <w:rPr>
          <w:rFonts w:eastAsia="Times New Roman" w:cs="Times New Roman"/>
          <w:lang w:eastAsia="de-DE"/>
        </w:rPr>
        <w:t>(zu Mosche) zeigt die direkte göttliche Kommunikation nur an Mose.</w:t>
      </w:r>
    </w:p>
    <w:p w14:paraId="3859A5CC" w14:textId="032D089A"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Das abschließende </w:t>
      </w:r>
      <w:r w:rsidRPr="00551BCC">
        <w:rPr>
          <w:rFonts w:eastAsia="Times New Roman" w:cs="Times New Roman"/>
          <w:b/>
          <w:bCs/>
          <w:rtl/>
          <w:lang w:eastAsia="de-DE"/>
        </w:rPr>
        <w:t>לֵאמֹר</w:t>
      </w:r>
      <w:r w:rsidRPr="00551BCC">
        <w:rPr>
          <w:rFonts w:eastAsia="Times New Roman" w:cs="Times New Roman"/>
          <w:rtl/>
          <w:lang w:eastAsia="de-DE"/>
        </w:rPr>
        <w:t xml:space="preserve"> </w:t>
      </w:r>
      <w:r w:rsidRPr="00551BCC">
        <w:rPr>
          <w:rFonts w:eastAsia="Times New Roman" w:cs="Times New Roman"/>
          <w:lang w:eastAsia="de-DE"/>
        </w:rPr>
        <w:t>als Infinitiv-</w:t>
      </w:r>
      <w:r w:rsidR="00F133EC">
        <w:rPr>
          <w:rFonts w:eastAsia="Times New Roman" w:cs="Times New Roman"/>
          <w:lang w:eastAsia="de-DE"/>
        </w:rPr>
        <w:t>Construct</w:t>
      </w:r>
      <w:r w:rsidRPr="00551BCC">
        <w:rPr>
          <w:rFonts w:eastAsia="Times New Roman" w:cs="Times New Roman"/>
          <w:lang w:eastAsia="de-DE"/>
        </w:rPr>
        <w:t xml:space="preserve"> von </w:t>
      </w:r>
      <w:r w:rsidRPr="00551BCC">
        <w:rPr>
          <w:rFonts w:eastAsia="Times New Roman" w:cs="Times New Roman"/>
          <w:b/>
          <w:bCs/>
          <w:rtl/>
          <w:lang w:eastAsia="de-DE"/>
        </w:rPr>
        <w:t>אמר</w:t>
      </w:r>
      <w:r w:rsidRPr="00551BCC">
        <w:rPr>
          <w:rFonts w:eastAsia="Times New Roman" w:cs="Times New Roman"/>
          <w:rtl/>
          <w:lang w:eastAsia="de-DE"/>
        </w:rPr>
        <w:t xml:space="preserve"> </w:t>
      </w:r>
      <w:r w:rsidRPr="00551BCC">
        <w:rPr>
          <w:rFonts w:eastAsia="Times New Roman" w:cs="Times New Roman"/>
          <w:lang w:eastAsia="de-DE"/>
        </w:rPr>
        <w:t>(sagen) fungiert als Redeeinleitung für die folgende berühmte Segensformel.</w:t>
      </w:r>
    </w:p>
    <w:p w14:paraId="623A5A8D" w14:textId="17B5E9E7" w:rsidR="00551BCC" w:rsidRPr="00551BCC" w:rsidRDefault="008A74D0" w:rsidP="00551BCC">
      <w:pPr>
        <w:spacing w:before="100" w:beforeAutospacing="1" w:after="100" w:afterAutospacing="1" w:line="240" w:lineRule="auto"/>
        <w:rPr>
          <w:rFonts w:eastAsia="Times New Roman" w:cs="Times New Roman"/>
          <w:lang w:eastAsia="de-DE"/>
        </w:rPr>
      </w:pPr>
      <w:r>
        <w:rPr>
          <w:rStyle w:val="Fett"/>
        </w:rPr>
        <w:t>Die LXX hat andere Reihenfolge in Vers 22-27 (Aaronitischer Segen)</w:t>
      </w:r>
      <w:r>
        <w:t xml:space="preserve">: </w:t>
      </w:r>
      <w:r>
        <w:rPr>
          <w:rStyle w:val="Fett"/>
        </w:rPr>
        <w:t>Textkritisch bedeutsam</w:t>
      </w:r>
      <w:r>
        <w:t>: Die Versreihenfolge ist in der LXX anders als im MT. Die LXX stellt Vers 27 (über das Auflegen des Namens) VOR die Segensformeln (Verse 24-26), während der MT die Segensformeln zuerst gibt und dann Vers 27 folgt. Die LXX-Anordnung lautet: V. 22-23, V. 27, V. 24-26.</w:t>
      </w:r>
    </w:p>
    <w:p w14:paraId="73B0AC16"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Die Satzstruktur zeigt die charakteristische Offenbarungsformel für einen neuen, bedeutsamen thematischen Abschnitt.</w:t>
      </w:r>
    </w:p>
    <w:p w14:paraId="5BC6B22A"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Dieser Vers leitet die berühmte aaronitische Segensformel ein, die einen der wichtigsten liturgischen Texte des Judentums und Christentums darstellt.</w:t>
      </w:r>
    </w:p>
    <w:p w14:paraId="70ADDDEE" w14:textId="77777777" w:rsidR="00551BCC" w:rsidRPr="00551BCC" w:rsidRDefault="00551BCC" w:rsidP="00551BCC">
      <w:pPr>
        <w:spacing w:before="100" w:beforeAutospacing="1" w:after="100" w:afterAutospacing="1" w:line="240" w:lineRule="auto"/>
        <w:outlineLvl w:val="0"/>
        <w:rPr>
          <w:rFonts w:eastAsia="Times New Roman" w:cs="Times New Roman"/>
          <w:b/>
          <w:bCs/>
          <w:kern w:val="36"/>
          <w:sz w:val="48"/>
          <w:szCs w:val="48"/>
          <w:lang w:eastAsia="de-DE"/>
        </w:rPr>
      </w:pPr>
      <w:r w:rsidRPr="00551BCC">
        <w:rPr>
          <w:rFonts w:eastAsia="Times New Roman" w:cs="Times New Roman"/>
          <w:b/>
          <w:bCs/>
          <w:kern w:val="36"/>
          <w:sz w:val="48"/>
          <w:szCs w:val="48"/>
          <w:lang w:eastAsia="de-DE"/>
        </w:rPr>
        <w:t>Numeri 6,23</w:t>
      </w:r>
    </w:p>
    <w:p w14:paraId="5927EA25"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Hebräisch:</w:t>
      </w:r>
      <w:r w:rsidRPr="00551BCC">
        <w:rPr>
          <w:rFonts w:eastAsia="Times New Roman" w:cs="Times New Roman"/>
          <w:lang w:eastAsia="de-DE"/>
        </w:rPr>
        <w:t xml:space="preserve"> </w:t>
      </w:r>
      <w:r w:rsidRPr="00551BCC">
        <w:rPr>
          <w:rFonts w:eastAsia="Times New Roman" w:cs="Times New Roman"/>
          <w:rtl/>
          <w:lang w:eastAsia="de-DE"/>
        </w:rPr>
        <w:t>דַּבֵּ֤ר אֶֽל־אַהֲרֹן֙ וְאֶל־בָּנָ֣יו לֵאמֹ֔ר כֹּ֥ה תְבָרֲכ֖וּ אֶת־בְּנֵ֣י יִשְׂרָאֵ֑ל אָמ֖וֹר לָהֶֽם׃</w:t>
      </w:r>
    </w:p>
    <w:p w14:paraId="6B4E82DA"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Deutsch:</w:t>
      </w:r>
      <w:r w:rsidRPr="00551BCC">
        <w:rPr>
          <w:rFonts w:eastAsia="Times New Roman" w:cs="Times New Roman"/>
          <w:lang w:eastAsia="de-DE"/>
        </w:rPr>
        <w:t xml:space="preserve"> Rede zu 'Aharon und seinen Söhnen und sprich: So sollt ihr die Söhne Jisra'el segnen; sprecht zu ihnen:</w:t>
      </w:r>
    </w:p>
    <w:p w14:paraId="3DFED73D" w14:textId="77777777" w:rsidR="00551BCC" w:rsidRPr="00551BCC" w:rsidRDefault="00F329DD" w:rsidP="00551BCC">
      <w:pPr>
        <w:spacing w:after="0" w:line="240" w:lineRule="auto"/>
        <w:rPr>
          <w:rFonts w:eastAsia="Times New Roman" w:cs="Times New Roman"/>
          <w:lang w:eastAsia="de-DE"/>
        </w:rPr>
      </w:pPr>
      <w:r>
        <w:rPr>
          <w:rFonts w:eastAsia="Times New Roman" w:cs="Times New Roman"/>
          <w:noProof/>
          <w:lang w:eastAsia="de-DE"/>
        </w:rPr>
        <w:pict w14:anchorId="23572FEC">
          <v:rect id="_x0000_i1266" style="width:0;height:1.5pt" o:hralign="center" o:hrstd="t" o:hr="t" fillcolor="#a0a0a0" stroked="f"/>
        </w:pict>
      </w:r>
    </w:p>
    <w:p w14:paraId="74940451"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lastRenderedPageBreak/>
        <w:t>Kommentar:</w:t>
      </w:r>
      <w:r w:rsidRPr="00551BCC">
        <w:rPr>
          <w:rFonts w:eastAsia="Times New Roman" w:cs="Times New Roman"/>
          <w:lang w:eastAsia="de-DE"/>
        </w:rPr>
        <w:t xml:space="preserve"> Das Verb </w:t>
      </w:r>
      <w:r w:rsidRPr="00551BCC">
        <w:rPr>
          <w:rFonts w:eastAsia="Times New Roman" w:cs="Times New Roman"/>
          <w:b/>
          <w:bCs/>
          <w:rtl/>
          <w:lang w:eastAsia="de-DE"/>
        </w:rPr>
        <w:t>דַּבֵּר</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דבר</w:t>
      </w:r>
      <w:r w:rsidRPr="00551BCC">
        <w:rPr>
          <w:rFonts w:eastAsia="Times New Roman" w:cs="Times New Roman"/>
          <w:rtl/>
          <w:lang w:eastAsia="de-DE"/>
        </w:rPr>
        <w:t xml:space="preserve"> </w:t>
      </w:r>
      <w:r w:rsidRPr="00551BCC">
        <w:rPr>
          <w:rFonts w:eastAsia="Times New Roman" w:cs="Times New Roman"/>
          <w:lang w:eastAsia="de-DE"/>
        </w:rPr>
        <w:t xml:space="preserve">(reden) im Pi'el-Imperativ maskulin Singular mit der koordinierten präpositionalen Phrase </w:t>
      </w:r>
      <w:r w:rsidRPr="00551BCC">
        <w:rPr>
          <w:rFonts w:eastAsia="Times New Roman" w:cs="Times New Roman"/>
          <w:b/>
          <w:bCs/>
          <w:rtl/>
          <w:lang w:eastAsia="de-DE"/>
        </w:rPr>
        <w:t>אֶל־אַהֲרֹן וְאֶל־בָּנָיו</w:t>
      </w:r>
      <w:r w:rsidRPr="00551BCC">
        <w:rPr>
          <w:rFonts w:eastAsia="Times New Roman" w:cs="Times New Roman"/>
          <w:rtl/>
          <w:lang w:eastAsia="de-DE"/>
        </w:rPr>
        <w:t xml:space="preserve"> </w:t>
      </w:r>
      <w:r w:rsidRPr="00551BCC">
        <w:rPr>
          <w:rFonts w:eastAsia="Times New Roman" w:cs="Times New Roman"/>
          <w:lang w:eastAsia="de-DE"/>
        </w:rPr>
        <w:t>(zu Aaron und zu seinen Söhnen) zeigt die Adressierung an die gesamte Priesterschaft.</w:t>
      </w:r>
    </w:p>
    <w:p w14:paraId="6D768A5D" w14:textId="7BEC73C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Das abschließende </w:t>
      </w:r>
      <w:r w:rsidRPr="00551BCC">
        <w:rPr>
          <w:rFonts w:eastAsia="Times New Roman" w:cs="Times New Roman"/>
          <w:b/>
          <w:bCs/>
          <w:rtl/>
          <w:lang w:eastAsia="de-DE"/>
        </w:rPr>
        <w:t>לֵאמֹר</w:t>
      </w:r>
      <w:r w:rsidRPr="00551BCC">
        <w:rPr>
          <w:rFonts w:eastAsia="Times New Roman" w:cs="Times New Roman"/>
          <w:rtl/>
          <w:lang w:eastAsia="de-DE"/>
        </w:rPr>
        <w:t xml:space="preserve"> </w:t>
      </w:r>
      <w:r w:rsidRPr="00551BCC">
        <w:rPr>
          <w:rFonts w:eastAsia="Times New Roman" w:cs="Times New Roman"/>
          <w:lang w:eastAsia="de-DE"/>
        </w:rPr>
        <w:t>als Infinitiv-</w:t>
      </w:r>
      <w:r w:rsidR="00F133EC">
        <w:rPr>
          <w:rFonts w:eastAsia="Times New Roman" w:cs="Times New Roman"/>
          <w:lang w:eastAsia="de-DE"/>
        </w:rPr>
        <w:t>Construct</w:t>
      </w:r>
      <w:r w:rsidRPr="00551BCC">
        <w:rPr>
          <w:rFonts w:eastAsia="Times New Roman" w:cs="Times New Roman"/>
          <w:lang w:eastAsia="de-DE"/>
        </w:rPr>
        <w:t xml:space="preserve"> von </w:t>
      </w:r>
      <w:r w:rsidRPr="00551BCC">
        <w:rPr>
          <w:rFonts w:eastAsia="Times New Roman" w:cs="Times New Roman"/>
          <w:b/>
          <w:bCs/>
          <w:rtl/>
          <w:lang w:eastAsia="de-DE"/>
        </w:rPr>
        <w:t>אמר</w:t>
      </w:r>
      <w:r w:rsidRPr="00551BCC">
        <w:rPr>
          <w:rFonts w:eastAsia="Times New Roman" w:cs="Times New Roman"/>
          <w:rtl/>
          <w:lang w:eastAsia="de-DE"/>
        </w:rPr>
        <w:t xml:space="preserve"> </w:t>
      </w:r>
      <w:r w:rsidRPr="00551BCC">
        <w:rPr>
          <w:rFonts w:eastAsia="Times New Roman" w:cs="Times New Roman"/>
          <w:lang w:eastAsia="de-DE"/>
        </w:rPr>
        <w:t>(sagen) leitet die spezifische Anweisung ein.</w:t>
      </w:r>
    </w:p>
    <w:p w14:paraId="77A70433"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Die Segensanweisung </w:t>
      </w:r>
      <w:r w:rsidRPr="00551BCC">
        <w:rPr>
          <w:rFonts w:eastAsia="Times New Roman" w:cs="Times New Roman"/>
          <w:b/>
          <w:bCs/>
          <w:rtl/>
          <w:lang w:eastAsia="de-DE"/>
        </w:rPr>
        <w:t>כֹּה תְבָרֲכוּ אֶת־בְּנֵי יִשְׂרָאֵל</w:t>
      </w:r>
      <w:r w:rsidRPr="00551BCC">
        <w:rPr>
          <w:rFonts w:eastAsia="Times New Roman" w:cs="Times New Roman"/>
          <w:rtl/>
          <w:lang w:eastAsia="de-DE"/>
        </w:rPr>
        <w:t xml:space="preserve"> </w:t>
      </w:r>
      <w:r w:rsidRPr="00551BCC">
        <w:rPr>
          <w:rFonts w:eastAsia="Times New Roman" w:cs="Times New Roman"/>
          <w:lang w:eastAsia="de-DE"/>
        </w:rPr>
        <w:t xml:space="preserve">mit </w:t>
      </w:r>
      <w:r w:rsidRPr="00551BCC">
        <w:rPr>
          <w:rFonts w:eastAsia="Times New Roman" w:cs="Times New Roman"/>
          <w:b/>
          <w:bCs/>
          <w:rtl/>
          <w:lang w:eastAsia="de-DE"/>
        </w:rPr>
        <w:t>כֹּה</w:t>
      </w:r>
      <w:r w:rsidRPr="00551BCC">
        <w:rPr>
          <w:rFonts w:eastAsia="Times New Roman" w:cs="Times New Roman"/>
          <w:rtl/>
          <w:lang w:eastAsia="de-DE"/>
        </w:rPr>
        <w:t xml:space="preserve"> </w:t>
      </w:r>
      <w:r w:rsidRPr="00551BCC">
        <w:rPr>
          <w:rFonts w:eastAsia="Times New Roman" w:cs="Times New Roman"/>
          <w:lang w:eastAsia="de-DE"/>
        </w:rPr>
        <w:t xml:space="preserve">(so), </w:t>
      </w:r>
      <w:r w:rsidRPr="00551BCC">
        <w:rPr>
          <w:rFonts w:eastAsia="Times New Roman" w:cs="Times New Roman"/>
          <w:b/>
          <w:bCs/>
          <w:rtl/>
          <w:lang w:eastAsia="de-DE"/>
        </w:rPr>
        <w:t>תְבָרֲכוּ</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ברך</w:t>
      </w:r>
      <w:r w:rsidRPr="00551BCC">
        <w:rPr>
          <w:rFonts w:eastAsia="Times New Roman" w:cs="Times New Roman"/>
          <w:rtl/>
          <w:lang w:eastAsia="de-DE"/>
        </w:rPr>
        <w:t xml:space="preserve"> </w:t>
      </w:r>
      <w:r w:rsidRPr="00551BCC">
        <w:rPr>
          <w:rFonts w:eastAsia="Times New Roman" w:cs="Times New Roman"/>
          <w:lang w:eastAsia="de-DE"/>
        </w:rPr>
        <w:t xml:space="preserve">(segnen) im Pi'el-Imperfekt 2. maskulin Plural und </w:t>
      </w:r>
      <w:r w:rsidRPr="00551BCC">
        <w:rPr>
          <w:rFonts w:eastAsia="Times New Roman" w:cs="Times New Roman"/>
          <w:b/>
          <w:bCs/>
          <w:rtl/>
          <w:lang w:eastAsia="de-DE"/>
        </w:rPr>
        <w:t>אֶת־בְּנֵי יִשְׂרָאֵל</w:t>
      </w:r>
      <w:r w:rsidRPr="00551BCC">
        <w:rPr>
          <w:rFonts w:eastAsia="Times New Roman" w:cs="Times New Roman"/>
          <w:rtl/>
          <w:lang w:eastAsia="de-DE"/>
        </w:rPr>
        <w:t xml:space="preserve"> </w:t>
      </w:r>
      <w:r w:rsidRPr="00551BCC">
        <w:rPr>
          <w:rFonts w:eastAsia="Times New Roman" w:cs="Times New Roman"/>
          <w:lang w:eastAsia="de-DE"/>
        </w:rPr>
        <w:t>(die Söhne Israels) etabliert die priesterliche Segnungsfunktion.</w:t>
      </w:r>
    </w:p>
    <w:p w14:paraId="5D590074"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Die verstärkende Redeeinleitung </w:t>
      </w:r>
      <w:r w:rsidRPr="00551BCC">
        <w:rPr>
          <w:rFonts w:eastAsia="Times New Roman" w:cs="Times New Roman"/>
          <w:b/>
          <w:bCs/>
          <w:rtl/>
          <w:lang w:eastAsia="de-DE"/>
        </w:rPr>
        <w:t>אָמוֹר לָהֶם</w:t>
      </w:r>
      <w:r w:rsidRPr="00551BCC">
        <w:rPr>
          <w:rFonts w:eastAsia="Times New Roman" w:cs="Times New Roman"/>
          <w:rtl/>
          <w:lang w:eastAsia="de-DE"/>
        </w:rPr>
        <w:t xml:space="preserve"> </w:t>
      </w:r>
      <w:r w:rsidRPr="00551BCC">
        <w:rPr>
          <w:rFonts w:eastAsia="Times New Roman" w:cs="Times New Roman"/>
          <w:lang w:eastAsia="de-DE"/>
        </w:rPr>
        <w:t xml:space="preserve">mit </w:t>
      </w:r>
      <w:r w:rsidRPr="00551BCC">
        <w:rPr>
          <w:rFonts w:eastAsia="Times New Roman" w:cs="Times New Roman"/>
          <w:b/>
          <w:bCs/>
          <w:rtl/>
          <w:lang w:eastAsia="de-DE"/>
        </w:rPr>
        <w:t>אָמוֹר</w:t>
      </w:r>
      <w:r w:rsidRPr="00551BCC">
        <w:rPr>
          <w:rFonts w:eastAsia="Times New Roman" w:cs="Times New Roman"/>
          <w:rtl/>
          <w:lang w:eastAsia="de-DE"/>
        </w:rPr>
        <w:t xml:space="preserve"> </w:t>
      </w:r>
      <w:r w:rsidRPr="00551BCC">
        <w:rPr>
          <w:rFonts w:eastAsia="Times New Roman" w:cs="Times New Roman"/>
          <w:lang w:eastAsia="de-DE"/>
        </w:rPr>
        <w:t xml:space="preserve">als Qal-Infinitiv absolut von </w:t>
      </w:r>
      <w:r w:rsidRPr="00551BCC">
        <w:rPr>
          <w:rFonts w:eastAsia="Times New Roman" w:cs="Times New Roman"/>
          <w:b/>
          <w:bCs/>
          <w:rtl/>
          <w:lang w:eastAsia="de-DE"/>
        </w:rPr>
        <w:t>אמר</w:t>
      </w:r>
      <w:r w:rsidRPr="00551BCC">
        <w:rPr>
          <w:rFonts w:eastAsia="Times New Roman" w:cs="Times New Roman"/>
          <w:rtl/>
          <w:lang w:eastAsia="de-DE"/>
        </w:rPr>
        <w:t xml:space="preserve"> </w:t>
      </w:r>
      <w:r w:rsidRPr="00551BCC">
        <w:rPr>
          <w:rFonts w:eastAsia="Times New Roman" w:cs="Times New Roman"/>
          <w:lang w:eastAsia="de-DE"/>
        </w:rPr>
        <w:t xml:space="preserve">(sagen) und </w:t>
      </w:r>
      <w:r w:rsidRPr="00551BCC">
        <w:rPr>
          <w:rFonts w:eastAsia="Times New Roman" w:cs="Times New Roman"/>
          <w:b/>
          <w:bCs/>
          <w:rtl/>
          <w:lang w:eastAsia="de-DE"/>
        </w:rPr>
        <w:t>לָהֶם</w:t>
      </w:r>
      <w:r w:rsidRPr="00551BCC">
        <w:rPr>
          <w:rFonts w:eastAsia="Times New Roman" w:cs="Times New Roman"/>
          <w:rtl/>
          <w:lang w:eastAsia="de-DE"/>
        </w:rPr>
        <w:t xml:space="preserve"> </w:t>
      </w:r>
      <w:r w:rsidRPr="00551BCC">
        <w:rPr>
          <w:rFonts w:eastAsia="Times New Roman" w:cs="Times New Roman"/>
          <w:lang w:eastAsia="de-DE"/>
        </w:rPr>
        <w:t>(zu ihnen) betont die direkte Kommunikation der Segensworte.</w:t>
      </w:r>
    </w:p>
    <w:p w14:paraId="3A733995"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Die LXX</w:t>
      </w:r>
      <w:r w:rsidRPr="00551BCC">
        <w:rPr>
          <w:rFonts w:eastAsia="Times New Roman" w:cs="Times New Roman"/>
          <w:lang w:eastAsia="de-DE"/>
        </w:rPr>
        <w:t xml:space="preserve"> übersetzt </w:t>
      </w:r>
      <w:r w:rsidRPr="00551BCC">
        <w:rPr>
          <w:rFonts w:eastAsia="Times New Roman" w:cs="Times New Roman"/>
          <w:b/>
          <w:bCs/>
          <w:rtl/>
          <w:lang w:eastAsia="de-DE"/>
        </w:rPr>
        <w:t>כֹּה</w:t>
      </w:r>
      <w:r w:rsidRPr="00551BCC">
        <w:rPr>
          <w:rFonts w:eastAsia="Times New Roman" w:cs="Times New Roman"/>
          <w:rtl/>
          <w:lang w:eastAsia="de-DE"/>
        </w:rPr>
        <w:t xml:space="preserve"> </w:t>
      </w:r>
      <w:r w:rsidRPr="00551BCC">
        <w:rPr>
          <w:rFonts w:eastAsia="Times New Roman" w:cs="Times New Roman"/>
          <w:lang w:eastAsia="de-DE"/>
        </w:rPr>
        <w:t xml:space="preserve">mit οὕτως (so/auf diese Weise) und </w:t>
      </w:r>
      <w:r w:rsidRPr="00551BCC">
        <w:rPr>
          <w:rFonts w:eastAsia="Times New Roman" w:cs="Times New Roman"/>
          <w:b/>
          <w:bCs/>
          <w:rtl/>
          <w:lang w:eastAsia="de-DE"/>
        </w:rPr>
        <w:t>אָמוֹר</w:t>
      </w:r>
      <w:r w:rsidRPr="00551BCC">
        <w:rPr>
          <w:rFonts w:eastAsia="Times New Roman" w:cs="Times New Roman"/>
          <w:rtl/>
          <w:lang w:eastAsia="de-DE"/>
        </w:rPr>
        <w:t xml:space="preserve"> </w:t>
      </w:r>
      <w:r w:rsidRPr="00551BCC">
        <w:rPr>
          <w:rFonts w:eastAsia="Times New Roman" w:cs="Times New Roman"/>
          <w:lang w:eastAsia="de-DE"/>
        </w:rPr>
        <w:t>mit λέγοντες (sagend), was die Art der Segensübertragung präzisiert.</w:t>
      </w:r>
    </w:p>
    <w:p w14:paraId="7174E1FE"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Die Satzstruktur zeigt eine Verkündigungsanweisung mit priesterlicher Adressierung, spezifischer Segensanweisung und verstärkender Kommunikationsformel.</w:t>
      </w:r>
    </w:p>
    <w:p w14:paraId="2C0EB773"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Dieser Vers etabliert die priesterliche Autorität und Verantwortung für den Volkssegen und bereitet die folgende dreigliedrige Segensformel vor.</w:t>
      </w:r>
    </w:p>
    <w:p w14:paraId="2582185E" w14:textId="77777777" w:rsidR="00063C07" w:rsidRDefault="00551BCC" w:rsidP="00551BCC">
      <w:pPr>
        <w:spacing w:before="100" w:beforeAutospacing="1" w:after="100" w:afterAutospacing="1" w:line="240" w:lineRule="auto"/>
        <w:outlineLvl w:val="0"/>
        <w:rPr>
          <w:rFonts w:eastAsia="Times New Roman" w:cs="Times New Roman"/>
          <w:b/>
          <w:bCs/>
          <w:kern w:val="36"/>
          <w:sz w:val="48"/>
          <w:szCs w:val="48"/>
          <w:lang w:eastAsia="de-DE"/>
        </w:rPr>
      </w:pPr>
      <w:r w:rsidRPr="00551BCC">
        <w:rPr>
          <w:rFonts w:eastAsia="Times New Roman" w:cs="Times New Roman"/>
          <w:b/>
          <w:bCs/>
          <w:kern w:val="36"/>
          <w:sz w:val="48"/>
          <w:szCs w:val="48"/>
          <w:lang w:eastAsia="de-DE"/>
        </w:rPr>
        <w:t xml:space="preserve">Numeri 6,24-26 </w:t>
      </w:r>
    </w:p>
    <w:p w14:paraId="4BA07917" w14:textId="0C3D44B9" w:rsidR="00551BCC" w:rsidRPr="00551BCC" w:rsidRDefault="00551BCC" w:rsidP="00551BCC">
      <w:pPr>
        <w:spacing w:before="100" w:beforeAutospacing="1" w:after="100" w:afterAutospacing="1" w:line="240" w:lineRule="auto"/>
        <w:outlineLvl w:val="0"/>
        <w:rPr>
          <w:rFonts w:eastAsia="Times New Roman" w:cs="Times New Roman"/>
          <w:b/>
          <w:bCs/>
          <w:kern w:val="36"/>
          <w:sz w:val="48"/>
          <w:szCs w:val="48"/>
          <w:lang w:eastAsia="de-DE"/>
        </w:rPr>
      </w:pPr>
      <w:r w:rsidRPr="00551BCC">
        <w:rPr>
          <w:rFonts w:eastAsia="Times New Roman" w:cs="Times New Roman"/>
          <w:b/>
          <w:bCs/>
          <w:kern w:val="36"/>
          <w:sz w:val="48"/>
          <w:szCs w:val="48"/>
          <w:lang w:eastAsia="de-DE"/>
        </w:rPr>
        <w:t>(Die dreigliedrige Segensformel)</w:t>
      </w:r>
    </w:p>
    <w:p w14:paraId="7B2EDD42" w14:textId="77777777" w:rsidR="00551BCC" w:rsidRPr="00551BCC" w:rsidRDefault="00551BCC" w:rsidP="00551BCC">
      <w:pPr>
        <w:spacing w:before="100" w:beforeAutospacing="1" w:after="100" w:afterAutospacing="1" w:line="240" w:lineRule="auto"/>
        <w:outlineLvl w:val="0"/>
        <w:rPr>
          <w:rFonts w:eastAsia="Times New Roman" w:cs="Times New Roman"/>
          <w:b/>
          <w:bCs/>
          <w:kern w:val="36"/>
          <w:sz w:val="48"/>
          <w:szCs w:val="48"/>
          <w:lang w:eastAsia="de-DE"/>
        </w:rPr>
      </w:pPr>
      <w:r w:rsidRPr="00551BCC">
        <w:rPr>
          <w:rFonts w:eastAsia="Times New Roman" w:cs="Times New Roman"/>
          <w:b/>
          <w:bCs/>
          <w:kern w:val="36"/>
          <w:sz w:val="48"/>
          <w:szCs w:val="48"/>
          <w:lang w:eastAsia="de-DE"/>
        </w:rPr>
        <w:t>Numeri 6,24</w:t>
      </w:r>
    </w:p>
    <w:p w14:paraId="4FEB1F04"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Hebräisch:</w:t>
      </w:r>
      <w:r w:rsidRPr="00551BCC">
        <w:rPr>
          <w:rFonts w:eastAsia="Times New Roman" w:cs="Times New Roman"/>
          <w:lang w:eastAsia="de-DE"/>
        </w:rPr>
        <w:t xml:space="preserve"> </w:t>
      </w:r>
      <w:r w:rsidRPr="00551BCC">
        <w:rPr>
          <w:rFonts w:eastAsia="Times New Roman" w:cs="Times New Roman"/>
          <w:rtl/>
          <w:lang w:eastAsia="de-DE"/>
        </w:rPr>
        <w:t>יְבָרֶכְךָ֥ יְהוָ֖ה וְיִשְׁמְרֶֽךָ׃</w:t>
      </w:r>
    </w:p>
    <w:p w14:paraId="0A11C7FB"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Deutsch:</w:t>
      </w:r>
      <w:r w:rsidRPr="00551BCC">
        <w:rPr>
          <w:rFonts w:eastAsia="Times New Roman" w:cs="Times New Roman"/>
          <w:lang w:eastAsia="de-DE"/>
        </w:rPr>
        <w:t xml:space="preserve"> Der Ewige segne dich und behüte dich!</w:t>
      </w:r>
    </w:p>
    <w:p w14:paraId="67318E65" w14:textId="77777777" w:rsidR="00551BCC" w:rsidRPr="00551BCC" w:rsidRDefault="00F329DD" w:rsidP="00551BCC">
      <w:pPr>
        <w:spacing w:after="0" w:line="240" w:lineRule="auto"/>
        <w:rPr>
          <w:rFonts w:eastAsia="Times New Roman" w:cs="Times New Roman"/>
          <w:lang w:eastAsia="de-DE"/>
        </w:rPr>
      </w:pPr>
      <w:r>
        <w:rPr>
          <w:rFonts w:eastAsia="Times New Roman" w:cs="Times New Roman"/>
          <w:noProof/>
          <w:lang w:eastAsia="de-DE"/>
        </w:rPr>
        <w:pict w14:anchorId="62D62E8C">
          <v:rect id="_x0000_i1267" style="width:0;height:1.5pt" o:hralign="center" o:hrstd="t" o:hr="t" fillcolor="#a0a0a0" stroked="f"/>
        </w:pict>
      </w:r>
    </w:p>
    <w:p w14:paraId="7330AAF4"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Kommentar:</w:t>
      </w:r>
      <w:r w:rsidRPr="00551BCC">
        <w:rPr>
          <w:rFonts w:eastAsia="Times New Roman" w:cs="Times New Roman"/>
          <w:lang w:eastAsia="de-DE"/>
        </w:rPr>
        <w:t xml:space="preserve"> Das Verb </w:t>
      </w:r>
      <w:r w:rsidRPr="00551BCC">
        <w:rPr>
          <w:rFonts w:eastAsia="Times New Roman" w:cs="Times New Roman"/>
          <w:b/>
          <w:bCs/>
          <w:rtl/>
          <w:lang w:eastAsia="de-DE"/>
        </w:rPr>
        <w:t>יְבָרֶכְךָ</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ברך</w:t>
      </w:r>
      <w:r w:rsidRPr="00551BCC">
        <w:rPr>
          <w:rFonts w:eastAsia="Times New Roman" w:cs="Times New Roman"/>
          <w:rtl/>
          <w:lang w:eastAsia="de-DE"/>
        </w:rPr>
        <w:t xml:space="preserve"> </w:t>
      </w:r>
      <w:r w:rsidRPr="00551BCC">
        <w:rPr>
          <w:rFonts w:eastAsia="Times New Roman" w:cs="Times New Roman"/>
          <w:lang w:eastAsia="de-DE"/>
        </w:rPr>
        <w:t xml:space="preserve">(segnen) im Pi'el-Imperfekt 3. maskulin Singular mit Objektsuffix 2. maskulin Singular zeigt den ersten Segensaspekt. Das Subjekt </w:t>
      </w:r>
      <w:r w:rsidRPr="00551BCC">
        <w:rPr>
          <w:rFonts w:eastAsia="Times New Roman" w:cs="Times New Roman"/>
          <w:b/>
          <w:bCs/>
          <w:rtl/>
          <w:lang w:eastAsia="de-DE"/>
        </w:rPr>
        <w:t>יְהוָה</w:t>
      </w:r>
      <w:r w:rsidRPr="00551BCC">
        <w:rPr>
          <w:rFonts w:eastAsia="Times New Roman" w:cs="Times New Roman"/>
          <w:rtl/>
          <w:lang w:eastAsia="de-DE"/>
        </w:rPr>
        <w:t xml:space="preserve"> </w:t>
      </w:r>
      <w:r w:rsidRPr="00551BCC">
        <w:rPr>
          <w:rFonts w:eastAsia="Times New Roman" w:cs="Times New Roman"/>
          <w:lang w:eastAsia="de-DE"/>
        </w:rPr>
        <w:t>(der Ewige) etabliert Gott als alleinigen Segensspender.</w:t>
      </w:r>
    </w:p>
    <w:p w14:paraId="2D1B52EB"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Das koordinierte Verb </w:t>
      </w:r>
      <w:r w:rsidRPr="00551BCC">
        <w:rPr>
          <w:rFonts w:eastAsia="Times New Roman" w:cs="Times New Roman"/>
          <w:b/>
          <w:bCs/>
          <w:rtl/>
          <w:lang w:eastAsia="de-DE"/>
        </w:rPr>
        <w:t>וְיִשְׁמְרֶךָ</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שמר</w:t>
      </w:r>
      <w:r w:rsidRPr="00551BCC">
        <w:rPr>
          <w:rFonts w:eastAsia="Times New Roman" w:cs="Times New Roman"/>
          <w:rtl/>
          <w:lang w:eastAsia="de-DE"/>
        </w:rPr>
        <w:t xml:space="preserve"> </w:t>
      </w:r>
      <w:r w:rsidRPr="00551BCC">
        <w:rPr>
          <w:rFonts w:eastAsia="Times New Roman" w:cs="Times New Roman"/>
          <w:lang w:eastAsia="de-DE"/>
        </w:rPr>
        <w:t>(hüten/bewahren) im Qal-Imperfekt 3. maskulin Singular mit Objektsuffix 2. maskulin Singular zeigt den zweiten Aspekt: göttlichen Schutz.</w:t>
      </w:r>
    </w:p>
    <w:p w14:paraId="0C48DA04" w14:textId="1E562FEF" w:rsidR="00551BCC" w:rsidRPr="00551BCC" w:rsidRDefault="008A74D0" w:rsidP="00551BCC">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8A74D0">
        <w:rPr>
          <w:b/>
          <w:bCs/>
          <w:rtl/>
        </w:rPr>
        <w:t>יברכך יהוה וישמרך</w:t>
      </w:r>
      <w:r>
        <w:t xml:space="preserve"> (yevarechecha YHWH veyishmerecha - "JHWH segne dich und behüte dich") als Εὐλογήσαι σε κύριος καὶ φυλάξαι σε (segne dich der Herr und behüte dich).</w:t>
      </w:r>
    </w:p>
    <w:p w14:paraId="61E07A5B"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lastRenderedPageBreak/>
        <w:t>Die Satzstruktur zeigt zwei koordinierte Verben mit identischen Suffixen in direkter, einfacher Wunschform.</w:t>
      </w:r>
    </w:p>
    <w:p w14:paraId="7BC2EA05"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Der erste Segensvers kombiniert grundlegende Wohltat (Segen) mit grundlegendem Schutz (Bewahrung) als fundamentale göttliche Fürsorge.</w:t>
      </w:r>
    </w:p>
    <w:p w14:paraId="7F98B068" w14:textId="77777777" w:rsidR="00551BCC" w:rsidRPr="00551BCC" w:rsidRDefault="00551BCC" w:rsidP="00551BCC">
      <w:pPr>
        <w:spacing w:before="100" w:beforeAutospacing="1" w:after="100" w:afterAutospacing="1" w:line="240" w:lineRule="auto"/>
        <w:outlineLvl w:val="0"/>
        <w:rPr>
          <w:rFonts w:eastAsia="Times New Roman" w:cs="Times New Roman"/>
          <w:b/>
          <w:bCs/>
          <w:kern w:val="36"/>
          <w:sz w:val="48"/>
          <w:szCs w:val="48"/>
          <w:lang w:eastAsia="de-DE"/>
        </w:rPr>
      </w:pPr>
      <w:r w:rsidRPr="00551BCC">
        <w:rPr>
          <w:rFonts w:eastAsia="Times New Roman" w:cs="Times New Roman"/>
          <w:b/>
          <w:bCs/>
          <w:kern w:val="36"/>
          <w:sz w:val="48"/>
          <w:szCs w:val="48"/>
          <w:lang w:eastAsia="de-DE"/>
        </w:rPr>
        <w:t>Numeri 6,25</w:t>
      </w:r>
    </w:p>
    <w:p w14:paraId="1FB489E2"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Hebräisch:</w:t>
      </w:r>
      <w:r w:rsidRPr="00551BCC">
        <w:rPr>
          <w:rFonts w:eastAsia="Times New Roman" w:cs="Times New Roman"/>
          <w:lang w:eastAsia="de-DE"/>
        </w:rPr>
        <w:t xml:space="preserve"> </w:t>
      </w:r>
      <w:r w:rsidRPr="00551BCC">
        <w:rPr>
          <w:rFonts w:eastAsia="Times New Roman" w:cs="Times New Roman"/>
          <w:rtl/>
          <w:lang w:eastAsia="de-DE"/>
        </w:rPr>
        <w:t>יָאֵ֨ר יְהוָ֧ה׀ פָּנָ֛יו אֵלֶ֖יךָ וִֽיחֻנֶּֽךָּ׃</w:t>
      </w:r>
    </w:p>
    <w:p w14:paraId="6C1A5F91"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Deutsch:</w:t>
      </w:r>
      <w:r w:rsidRPr="00551BCC">
        <w:rPr>
          <w:rFonts w:eastAsia="Times New Roman" w:cs="Times New Roman"/>
          <w:lang w:eastAsia="de-DE"/>
        </w:rPr>
        <w:t xml:space="preserve"> Der Ewige lasse sein Angesicht leuchten über dir und sei dir gnädig!</w:t>
      </w:r>
    </w:p>
    <w:p w14:paraId="4AD12DEB" w14:textId="77777777" w:rsidR="00551BCC" w:rsidRPr="00551BCC" w:rsidRDefault="00F329DD" w:rsidP="00551BCC">
      <w:pPr>
        <w:spacing w:after="0" w:line="240" w:lineRule="auto"/>
        <w:rPr>
          <w:rFonts w:eastAsia="Times New Roman" w:cs="Times New Roman"/>
          <w:lang w:eastAsia="de-DE"/>
        </w:rPr>
      </w:pPr>
      <w:r>
        <w:rPr>
          <w:rFonts w:eastAsia="Times New Roman" w:cs="Times New Roman"/>
          <w:noProof/>
          <w:lang w:eastAsia="de-DE"/>
        </w:rPr>
        <w:pict w14:anchorId="4DC4AB71">
          <v:rect id="_x0000_i1268" style="width:0;height:1.5pt" o:hralign="center" o:hrstd="t" o:hr="t" fillcolor="#a0a0a0" stroked="f"/>
        </w:pict>
      </w:r>
    </w:p>
    <w:p w14:paraId="55DB6E1B"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Kommentar:</w:t>
      </w:r>
      <w:r w:rsidRPr="00551BCC">
        <w:rPr>
          <w:rFonts w:eastAsia="Times New Roman" w:cs="Times New Roman"/>
          <w:lang w:eastAsia="de-DE"/>
        </w:rPr>
        <w:t xml:space="preserve"> Das Verb </w:t>
      </w:r>
      <w:r w:rsidRPr="00551BCC">
        <w:rPr>
          <w:rFonts w:eastAsia="Times New Roman" w:cs="Times New Roman"/>
          <w:b/>
          <w:bCs/>
          <w:rtl/>
          <w:lang w:eastAsia="de-DE"/>
        </w:rPr>
        <w:t>יָאֵר</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אור</w:t>
      </w:r>
      <w:r w:rsidRPr="00551BCC">
        <w:rPr>
          <w:rFonts w:eastAsia="Times New Roman" w:cs="Times New Roman"/>
          <w:rtl/>
          <w:lang w:eastAsia="de-DE"/>
        </w:rPr>
        <w:t xml:space="preserve"> </w:t>
      </w:r>
      <w:r w:rsidRPr="00551BCC">
        <w:rPr>
          <w:rFonts w:eastAsia="Times New Roman" w:cs="Times New Roman"/>
          <w:lang w:eastAsia="de-DE"/>
        </w:rPr>
        <w:t xml:space="preserve">(leuchten) im Hiph'il-Imperfekt 3. maskulin Singular zeigt die kausative Bedeutung "leuchten lassen". Das Subjekt </w:t>
      </w:r>
      <w:r w:rsidRPr="00551BCC">
        <w:rPr>
          <w:rFonts w:eastAsia="Times New Roman" w:cs="Times New Roman"/>
          <w:b/>
          <w:bCs/>
          <w:rtl/>
          <w:lang w:eastAsia="de-DE"/>
        </w:rPr>
        <w:t>יְהוָה</w:t>
      </w:r>
      <w:r w:rsidRPr="00551BCC">
        <w:rPr>
          <w:rFonts w:eastAsia="Times New Roman" w:cs="Times New Roman"/>
          <w:rtl/>
          <w:lang w:eastAsia="de-DE"/>
        </w:rPr>
        <w:t xml:space="preserve"> </w:t>
      </w:r>
      <w:r w:rsidRPr="00551BCC">
        <w:rPr>
          <w:rFonts w:eastAsia="Times New Roman" w:cs="Times New Roman"/>
          <w:lang w:eastAsia="de-DE"/>
        </w:rPr>
        <w:t xml:space="preserve">mit dem direkten Objekt </w:t>
      </w:r>
      <w:r w:rsidRPr="00551BCC">
        <w:rPr>
          <w:rFonts w:eastAsia="Times New Roman" w:cs="Times New Roman"/>
          <w:b/>
          <w:bCs/>
          <w:rtl/>
          <w:lang w:eastAsia="de-DE"/>
        </w:rPr>
        <w:t>פָּנָיו</w:t>
      </w:r>
      <w:r w:rsidRPr="00551BCC">
        <w:rPr>
          <w:rFonts w:eastAsia="Times New Roman" w:cs="Times New Roman"/>
          <w:rtl/>
          <w:lang w:eastAsia="de-DE"/>
        </w:rPr>
        <w:t xml:space="preserve"> </w:t>
      </w:r>
      <w:r w:rsidRPr="00551BCC">
        <w:rPr>
          <w:rFonts w:eastAsia="Times New Roman" w:cs="Times New Roman"/>
          <w:lang w:eastAsia="de-DE"/>
        </w:rPr>
        <w:t xml:space="preserve">(sein Angesicht) und der präpositionalen Phrase </w:t>
      </w:r>
      <w:r w:rsidRPr="00551BCC">
        <w:rPr>
          <w:rFonts w:eastAsia="Times New Roman" w:cs="Times New Roman"/>
          <w:b/>
          <w:bCs/>
          <w:rtl/>
          <w:lang w:eastAsia="de-DE"/>
        </w:rPr>
        <w:t>אֵלֶיךָ</w:t>
      </w:r>
      <w:r w:rsidRPr="00551BCC">
        <w:rPr>
          <w:rFonts w:eastAsia="Times New Roman" w:cs="Times New Roman"/>
          <w:rtl/>
          <w:lang w:eastAsia="de-DE"/>
        </w:rPr>
        <w:t xml:space="preserve"> </w:t>
      </w:r>
      <w:r w:rsidRPr="00551BCC">
        <w:rPr>
          <w:rFonts w:eastAsia="Times New Roman" w:cs="Times New Roman"/>
          <w:lang w:eastAsia="de-DE"/>
        </w:rPr>
        <w:t>(zu dir) beschreibt die göttliche Zuwendung durch das Metapher des leuchtenden Angesichts.</w:t>
      </w:r>
    </w:p>
    <w:p w14:paraId="5E1BE490"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Das koordinierte Verb </w:t>
      </w:r>
      <w:r w:rsidRPr="00551BCC">
        <w:rPr>
          <w:rFonts w:eastAsia="Times New Roman" w:cs="Times New Roman"/>
          <w:b/>
          <w:bCs/>
          <w:rtl/>
          <w:lang w:eastAsia="de-DE"/>
        </w:rPr>
        <w:t>וִיחֻנֶּךָּ</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חנן</w:t>
      </w:r>
      <w:r w:rsidRPr="00551BCC">
        <w:rPr>
          <w:rFonts w:eastAsia="Times New Roman" w:cs="Times New Roman"/>
          <w:rtl/>
          <w:lang w:eastAsia="de-DE"/>
        </w:rPr>
        <w:t xml:space="preserve"> </w:t>
      </w:r>
      <w:r w:rsidRPr="00551BCC">
        <w:rPr>
          <w:rFonts w:eastAsia="Times New Roman" w:cs="Times New Roman"/>
          <w:lang w:eastAsia="de-DE"/>
        </w:rPr>
        <w:t>(gnädig sein) im Qal-Imperfekt 3. maskulin Singular mit Objektsuffix 2. maskulin Singular zeigt den zweiten Aspekt: göttliche Gnade.</w:t>
      </w:r>
    </w:p>
    <w:p w14:paraId="6F1C5196"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Die LXX</w:t>
      </w:r>
      <w:r w:rsidRPr="00551BCC">
        <w:rPr>
          <w:rFonts w:eastAsia="Times New Roman" w:cs="Times New Roman"/>
          <w:lang w:eastAsia="de-DE"/>
        </w:rPr>
        <w:t xml:space="preserve"> übersetzt </w:t>
      </w:r>
      <w:r w:rsidRPr="008A74D0">
        <w:rPr>
          <w:rFonts w:eastAsia="Times New Roman" w:cs="Times New Roman"/>
          <w:b/>
          <w:bCs/>
          <w:rtl/>
          <w:lang w:eastAsia="de-DE"/>
        </w:rPr>
        <w:t>יָאֵר</w:t>
      </w:r>
      <w:r w:rsidRPr="00551BCC">
        <w:rPr>
          <w:rFonts w:eastAsia="Times New Roman" w:cs="Times New Roman"/>
          <w:lang w:eastAsia="de-DE"/>
        </w:rPr>
        <w:t xml:space="preserve"> mit ἐπιφάναι (erscheinen lassen), was weniger die Helligkeit und mehr die Sichtbarkeit betont. Sie verwendet ἐλεήσαι (erbarmen) für </w:t>
      </w:r>
      <w:r w:rsidRPr="008A74D0">
        <w:rPr>
          <w:rFonts w:eastAsia="Times New Roman" w:cs="Times New Roman"/>
          <w:b/>
          <w:bCs/>
          <w:rtl/>
          <w:lang w:eastAsia="de-DE"/>
        </w:rPr>
        <w:t>חנן</w:t>
      </w:r>
      <w:r w:rsidRPr="00551BCC">
        <w:rPr>
          <w:rFonts w:eastAsia="Times New Roman" w:cs="Times New Roman"/>
          <w:lang w:eastAsia="de-DE"/>
        </w:rPr>
        <w:t>, was emotionaler ist als das hebräische Gnadenkonzept.</w:t>
      </w:r>
    </w:p>
    <w:p w14:paraId="2C72C933" w14:textId="7C6AD148"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Die Satzstruktur zeigt eine metaphorische </w:t>
      </w:r>
      <w:r w:rsidR="00F133EC">
        <w:rPr>
          <w:rFonts w:eastAsia="Times New Roman" w:cs="Times New Roman"/>
          <w:lang w:eastAsia="de-DE"/>
        </w:rPr>
        <w:t>Construct</w:t>
      </w:r>
      <w:r w:rsidRPr="00551BCC">
        <w:rPr>
          <w:rFonts w:eastAsia="Times New Roman" w:cs="Times New Roman"/>
          <w:lang w:eastAsia="de-DE"/>
        </w:rPr>
        <w:t>ion mit direktem Objekt und präpositionaler Richtungsangabe, gefolgt von einem einfachen transitiven Verb.</w:t>
      </w:r>
    </w:p>
    <w:p w14:paraId="4A9D7DF9"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Der zweite Segensvers intensiviert die göttliche Zuwendung durch das Bild des leuchtenden Angesichts und fügt die Dimension der Gnade hinzu.</w:t>
      </w:r>
    </w:p>
    <w:p w14:paraId="16F68822" w14:textId="77777777" w:rsidR="00551BCC" w:rsidRPr="00551BCC" w:rsidRDefault="00551BCC" w:rsidP="00551BCC">
      <w:pPr>
        <w:spacing w:before="100" w:beforeAutospacing="1" w:after="100" w:afterAutospacing="1" w:line="240" w:lineRule="auto"/>
        <w:outlineLvl w:val="0"/>
        <w:rPr>
          <w:rFonts w:eastAsia="Times New Roman" w:cs="Times New Roman"/>
          <w:b/>
          <w:bCs/>
          <w:kern w:val="36"/>
          <w:sz w:val="48"/>
          <w:szCs w:val="48"/>
          <w:lang w:eastAsia="de-DE"/>
        </w:rPr>
      </w:pPr>
      <w:r w:rsidRPr="00551BCC">
        <w:rPr>
          <w:rFonts w:eastAsia="Times New Roman" w:cs="Times New Roman"/>
          <w:b/>
          <w:bCs/>
          <w:kern w:val="36"/>
          <w:sz w:val="48"/>
          <w:szCs w:val="48"/>
          <w:lang w:eastAsia="de-DE"/>
        </w:rPr>
        <w:t>Numeri 6,26</w:t>
      </w:r>
    </w:p>
    <w:p w14:paraId="0AD14F8E"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Hebräisch:</w:t>
      </w:r>
      <w:r w:rsidRPr="00551BCC">
        <w:rPr>
          <w:rFonts w:eastAsia="Times New Roman" w:cs="Times New Roman"/>
          <w:lang w:eastAsia="de-DE"/>
        </w:rPr>
        <w:t xml:space="preserve"> </w:t>
      </w:r>
      <w:r w:rsidRPr="00551BCC">
        <w:rPr>
          <w:rFonts w:eastAsia="Times New Roman" w:cs="Times New Roman"/>
          <w:rtl/>
          <w:lang w:eastAsia="de-DE"/>
        </w:rPr>
        <w:t>יִשָּׂ֨א יְהוָ֤ה׀ פָּנָיו֙ אֵלֶ֔יךָ וְיָשֵׂ֥ם לְךָ֖ שָׁלֽוֹם׃</w:t>
      </w:r>
    </w:p>
    <w:p w14:paraId="1AE5ADD7"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Deutsch:</w:t>
      </w:r>
      <w:r w:rsidRPr="00551BCC">
        <w:rPr>
          <w:rFonts w:eastAsia="Times New Roman" w:cs="Times New Roman"/>
          <w:lang w:eastAsia="de-DE"/>
        </w:rPr>
        <w:t xml:space="preserve"> Der Ewige erhebe sein Angesicht zu dir und gebe dir Frieden!</w:t>
      </w:r>
    </w:p>
    <w:p w14:paraId="784ACDDF" w14:textId="77777777" w:rsidR="00551BCC" w:rsidRPr="00551BCC" w:rsidRDefault="00F329DD" w:rsidP="00551BCC">
      <w:pPr>
        <w:spacing w:after="0" w:line="240" w:lineRule="auto"/>
        <w:rPr>
          <w:rFonts w:eastAsia="Times New Roman" w:cs="Times New Roman"/>
          <w:lang w:eastAsia="de-DE"/>
        </w:rPr>
      </w:pPr>
      <w:r>
        <w:rPr>
          <w:rFonts w:eastAsia="Times New Roman" w:cs="Times New Roman"/>
          <w:noProof/>
          <w:lang w:eastAsia="de-DE"/>
        </w:rPr>
        <w:pict w14:anchorId="0CF1EE30">
          <v:rect id="_x0000_i1269" style="width:0;height:1.5pt" o:hralign="center" o:hrstd="t" o:hr="t" fillcolor="#a0a0a0" stroked="f"/>
        </w:pict>
      </w:r>
    </w:p>
    <w:p w14:paraId="68C8C9C3" w14:textId="783B1BBE"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Kommentar:</w:t>
      </w:r>
      <w:r w:rsidRPr="00551BCC">
        <w:rPr>
          <w:rFonts w:eastAsia="Times New Roman" w:cs="Times New Roman"/>
          <w:lang w:eastAsia="de-DE"/>
        </w:rPr>
        <w:t xml:space="preserve"> Das Verb </w:t>
      </w:r>
      <w:r w:rsidRPr="00551BCC">
        <w:rPr>
          <w:rFonts w:eastAsia="Times New Roman" w:cs="Times New Roman"/>
          <w:b/>
          <w:bCs/>
          <w:rtl/>
          <w:lang w:eastAsia="de-DE"/>
        </w:rPr>
        <w:t>יִשָּׂא</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נשא</w:t>
      </w:r>
      <w:r w:rsidRPr="00551BCC">
        <w:rPr>
          <w:rFonts w:eastAsia="Times New Roman" w:cs="Times New Roman"/>
          <w:rtl/>
          <w:lang w:eastAsia="de-DE"/>
        </w:rPr>
        <w:t xml:space="preserve"> </w:t>
      </w:r>
      <w:r w:rsidRPr="00551BCC">
        <w:rPr>
          <w:rFonts w:eastAsia="Times New Roman" w:cs="Times New Roman"/>
          <w:lang w:eastAsia="de-DE"/>
        </w:rPr>
        <w:t xml:space="preserve">(erheben/tragen) im Qal-Imperfekt 3. maskulin Singular mit </w:t>
      </w:r>
      <w:r w:rsidRPr="00551BCC">
        <w:rPr>
          <w:rFonts w:eastAsia="Times New Roman" w:cs="Times New Roman"/>
          <w:b/>
          <w:bCs/>
          <w:rtl/>
          <w:lang w:eastAsia="de-DE"/>
        </w:rPr>
        <w:t>פָּנָיו אֵלֶיךָ</w:t>
      </w:r>
      <w:r w:rsidRPr="00551BCC">
        <w:rPr>
          <w:rFonts w:eastAsia="Times New Roman" w:cs="Times New Roman"/>
          <w:rtl/>
          <w:lang w:eastAsia="de-DE"/>
        </w:rPr>
        <w:t xml:space="preserve"> </w:t>
      </w:r>
      <w:r w:rsidRPr="00551BCC">
        <w:rPr>
          <w:rFonts w:eastAsia="Times New Roman" w:cs="Times New Roman"/>
          <w:lang w:eastAsia="de-DE"/>
        </w:rPr>
        <w:t xml:space="preserve">(sein Angesicht zu dir) steigert die Zuwendungsmetaphorik: von Leuchten zu </w:t>
      </w:r>
      <w:r w:rsidR="008A74D0">
        <w:rPr>
          <w:rFonts w:eastAsia="Times New Roman" w:cs="Times New Roman"/>
          <w:lang w:eastAsia="de-DE"/>
        </w:rPr>
        <w:t>E</w:t>
      </w:r>
      <w:r w:rsidR="008A74D0" w:rsidRPr="00551BCC">
        <w:rPr>
          <w:rFonts w:eastAsia="Times New Roman" w:cs="Times New Roman"/>
          <w:lang w:eastAsia="de-DE"/>
        </w:rPr>
        <w:t>rheben</w:t>
      </w:r>
      <w:r w:rsidRPr="00551BCC">
        <w:rPr>
          <w:rFonts w:eastAsia="Times New Roman" w:cs="Times New Roman"/>
          <w:lang w:eastAsia="de-DE"/>
        </w:rPr>
        <w:t xml:space="preserve"> des Angesichts.</w:t>
      </w:r>
    </w:p>
    <w:p w14:paraId="79F13173"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Das koordinierte Verb </w:t>
      </w:r>
      <w:r w:rsidRPr="00551BCC">
        <w:rPr>
          <w:rFonts w:eastAsia="Times New Roman" w:cs="Times New Roman"/>
          <w:b/>
          <w:bCs/>
          <w:rtl/>
          <w:lang w:eastAsia="de-DE"/>
        </w:rPr>
        <w:t>וְיָשֵׂם לְךָ שָׁלוֹם</w:t>
      </w:r>
      <w:r w:rsidRPr="00551BCC">
        <w:rPr>
          <w:rFonts w:eastAsia="Times New Roman" w:cs="Times New Roman"/>
          <w:rtl/>
          <w:lang w:eastAsia="de-DE"/>
        </w:rPr>
        <w:t xml:space="preserve"> </w:t>
      </w:r>
      <w:r w:rsidRPr="00551BCC">
        <w:rPr>
          <w:rFonts w:eastAsia="Times New Roman" w:cs="Times New Roman"/>
          <w:lang w:eastAsia="de-DE"/>
        </w:rPr>
        <w:t xml:space="preserve">mit </w:t>
      </w:r>
      <w:r w:rsidRPr="00551BCC">
        <w:rPr>
          <w:rFonts w:eastAsia="Times New Roman" w:cs="Times New Roman"/>
          <w:b/>
          <w:bCs/>
          <w:rtl/>
          <w:lang w:eastAsia="de-DE"/>
        </w:rPr>
        <w:t>יָשֵׂם</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שים</w:t>
      </w:r>
      <w:r w:rsidRPr="00551BCC">
        <w:rPr>
          <w:rFonts w:eastAsia="Times New Roman" w:cs="Times New Roman"/>
          <w:rtl/>
          <w:lang w:eastAsia="de-DE"/>
        </w:rPr>
        <w:t xml:space="preserve"> </w:t>
      </w:r>
      <w:r w:rsidRPr="00551BCC">
        <w:rPr>
          <w:rFonts w:eastAsia="Times New Roman" w:cs="Times New Roman"/>
          <w:lang w:eastAsia="de-DE"/>
        </w:rPr>
        <w:t xml:space="preserve">(setzen/geben) im Qal-Imperfekt 3. maskulin Singular, </w:t>
      </w:r>
      <w:r w:rsidRPr="00551BCC">
        <w:rPr>
          <w:rFonts w:eastAsia="Times New Roman" w:cs="Times New Roman"/>
          <w:b/>
          <w:bCs/>
          <w:rtl/>
          <w:lang w:eastAsia="de-DE"/>
        </w:rPr>
        <w:t>לְךָ</w:t>
      </w:r>
      <w:r w:rsidRPr="00551BCC">
        <w:rPr>
          <w:rFonts w:eastAsia="Times New Roman" w:cs="Times New Roman"/>
          <w:rtl/>
          <w:lang w:eastAsia="de-DE"/>
        </w:rPr>
        <w:t xml:space="preserve"> </w:t>
      </w:r>
      <w:r w:rsidRPr="00551BCC">
        <w:rPr>
          <w:rFonts w:eastAsia="Times New Roman" w:cs="Times New Roman"/>
          <w:lang w:eastAsia="de-DE"/>
        </w:rPr>
        <w:t xml:space="preserve">(dir) und </w:t>
      </w:r>
      <w:r w:rsidRPr="00551BCC">
        <w:rPr>
          <w:rFonts w:eastAsia="Times New Roman" w:cs="Times New Roman"/>
          <w:b/>
          <w:bCs/>
          <w:rtl/>
          <w:lang w:eastAsia="de-DE"/>
        </w:rPr>
        <w:t>שָׁלוֹם</w:t>
      </w:r>
      <w:r w:rsidRPr="00551BCC">
        <w:rPr>
          <w:rFonts w:eastAsia="Times New Roman" w:cs="Times New Roman"/>
          <w:rtl/>
          <w:lang w:eastAsia="de-DE"/>
        </w:rPr>
        <w:t xml:space="preserve"> </w:t>
      </w:r>
      <w:r w:rsidRPr="00551BCC">
        <w:rPr>
          <w:rFonts w:eastAsia="Times New Roman" w:cs="Times New Roman"/>
          <w:lang w:eastAsia="de-DE"/>
        </w:rPr>
        <w:t>(Frieden) als direktem Objekt zeigt das höchste Segensgut: umfassender Frieden.</w:t>
      </w:r>
    </w:p>
    <w:p w14:paraId="35031365"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lastRenderedPageBreak/>
        <w:t>Die LXX</w:t>
      </w:r>
      <w:r w:rsidRPr="00551BCC">
        <w:rPr>
          <w:rFonts w:eastAsia="Times New Roman" w:cs="Times New Roman"/>
          <w:lang w:eastAsia="de-DE"/>
        </w:rPr>
        <w:t xml:space="preserve"> übersetzt </w:t>
      </w:r>
      <w:r w:rsidRPr="008A74D0">
        <w:rPr>
          <w:rFonts w:eastAsia="Times New Roman" w:cs="Times New Roman"/>
          <w:b/>
          <w:bCs/>
          <w:rtl/>
          <w:lang w:eastAsia="de-DE"/>
        </w:rPr>
        <w:t>יִשָּׂא</w:t>
      </w:r>
      <w:r w:rsidRPr="00551BCC">
        <w:rPr>
          <w:rFonts w:eastAsia="Times New Roman" w:cs="Times New Roman"/>
          <w:lang w:eastAsia="de-DE"/>
        </w:rPr>
        <w:t xml:space="preserve"> mit ἐπάραι (erheben) und </w:t>
      </w:r>
      <w:r w:rsidRPr="008A74D0">
        <w:rPr>
          <w:rFonts w:eastAsia="Times New Roman" w:cs="Times New Roman"/>
          <w:b/>
          <w:bCs/>
          <w:rtl/>
          <w:lang w:eastAsia="de-DE"/>
        </w:rPr>
        <w:t>שָׁלוֹם</w:t>
      </w:r>
      <w:r w:rsidRPr="00551BCC">
        <w:rPr>
          <w:rFonts w:eastAsia="Times New Roman" w:cs="Times New Roman"/>
          <w:lang w:eastAsia="de-DE"/>
        </w:rPr>
        <w:t xml:space="preserve"> mit εἰρήνην (Frieden), wobei das griechische Friedenskonzept politischer und weniger umfassend ist als das hebräische </w:t>
      </w:r>
      <w:r w:rsidRPr="008A74D0">
        <w:rPr>
          <w:rFonts w:eastAsia="Times New Roman" w:cs="Times New Roman"/>
          <w:b/>
          <w:bCs/>
          <w:rtl/>
          <w:lang w:eastAsia="de-DE"/>
        </w:rPr>
        <w:t>שָׁלוֹם</w:t>
      </w:r>
      <w:r w:rsidRPr="00551BCC">
        <w:rPr>
          <w:rFonts w:eastAsia="Times New Roman" w:cs="Times New Roman"/>
          <w:lang w:eastAsia="de-DE"/>
        </w:rPr>
        <w:t>.</w:t>
      </w:r>
    </w:p>
    <w:p w14:paraId="520BE507"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Die Satzstruktur zeigt eine Steigerung der Angesichtsmetaphorik und die Krönung mit dem umfassendsten Segensgut.</w:t>
      </w:r>
    </w:p>
    <w:p w14:paraId="2D5E277E"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Der dritte Segensvers steigert die göttliche Zuwendung zum Maximum und gipfelt im umfassenden </w:t>
      </w:r>
      <w:r w:rsidRPr="00551BCC">
        <w:rPr>
          <w:rFonts w:eastAsia="Times New Roman" w:cs="Times New Roman"/>
          <w:rtl/>
          <w:lang w:eastAsia="de-DE"/>
        </w:rPr>
        <w:t>שָׁלוֹם</w:t>
      </w:r>
      <w:r w:rsidRPr="00551BCC">
        <w:rPr>
          <w:rFonts w:eastAsia="Times New Roman" w:cs="Times New Roman"/>
          <w:lang w:eastAsia="de-DE"/>
        </w:rPr>
        <w:t xml:space="preserve"> als Inbegriff allen Heils.</w:t>
      </w:r>
    </w:p>
    <w:p w14:paraId="101DE079" w14:textId="77777777" w:rsidR="00551BCC" w:rsidRPr="00551BCC" w:rsidRDefault="00551BCC" w:rsidP="00551BCC">
      <w:pPr>
        <w:spacing w:before="100" w:beforeAutospacing="1" w:after="100" w:afterAutospacing="1" w:line="240" w:lineRule="auto"/>
        <w:outlineLvl w:val="0"/>
        <w:rPr>
          <w:rFonts w:eastAsia="Times New Roman" w:cs="Times New Roman"/>
          <w:b/>
          <w:bCs/>
          <w:kern w:val="36"/>
          <w:sz w:val="48"/>
          <w:szCs w:val="48"/>
          <w:lang w:eastAsia="de-DE"/>
        </w:rPr>
      </w:pPr>
      <w:r w:rsidRPr="00551BCC">
        <w:rPr>
          <w:rFonts w:eastAsia="Times New Roman" w:cs="Times New Roman"/>
          <w:b/>
          <w:bCs/>
          <w:kern w:val="36"/>
          <w:sz w:val="48"/>
          <w:szCs w:val="48"/>
          <w:lang w:eastAsia="de-DE"/>
        </w:rPr>
        <w:t>Numeri 6,27</w:t>
      </w:r>
    </w:p>
    <w:p w14:paraId="6539314F"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Hebräisch:</w:t>
      </w:r>
      <w:r w:rsidRPr="00551BCC">
        <w:rPr>
          <w:rFonts w:eastAsia="Times New Roman" w:cs="Times New Roman"/>
          <w:lang w:eastAsia="de-DE"/>
        </w:rPr>
        <w:t xml:space="preserve"> </w:t>
      </w:r>
      <w:r w:rsidRPr="00551BCC">
        <w:rPr>
          <w:rFonts w:eastAsia="Times New Roman" w:cs="Times New Roman"/>
          <w:rtl/>
          <w:lang w:eastAsia="de-DE"/>
        </w:rPr>
        <w:t>וְשָׂמ֥וּ אֶת־שְׁמִ֖י עַל־בְּנֵ֣י יִשְׂרָאֵ֑ל וַאֲנִ֖י אֲבָרֲכֵֽם׃</w:t>
      </w:r>
    </w:p>
    <w:p w14:paraId="5E259C1C"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Deutsch:</w:t>
      </w:r>
      <w:r w:rsidRPr="00551BCC">
        <w:rPr>
          <w:rFonts w:eastAsia="Times New Roman" w:cs="Times New Roman"/>
          <w:lang w:eastAsia="de-DE"/>
        </w:rPr>
        <w:t xml:space="preserve"> Und sie sollen meinen Namen auf die Söhne Jisra'els legen, und ich werde sie segnen.</w:t>
      </w:r>
    </w:p>
    <w:p w14:paraId="63E2B40A" w14:textId="77777777" w:rsidR="00551BCC" w:rsidRPr="00551BCC" w:rsidRDefault="00F329DD" w:rsidP="00551BCC">
      <w:pPr>
        <w:spacing w:after="0" w:line="240" w:lineRule="auto"/>
        <w:rPr>
          <w:rFonts w:eastAsia="Times New Roman" w:cs="Times New Roman"/>
          <w:lang w:eastAsia="de-DE"/>
        </w:rPr>
      </w:pPr>
      <w:r>
        <w:rPr>
          <w:rFonts w:eastAsia="Times New Roman" w:cs="Times New Roman"/>
          <w:noProof/>
          <w:lang w:eastAsia="de-DE"/>
        </w:rPr>
        <w:pict w14:anchorId="384B5CA3">
          <v:rect id="_x0000_i1270" style="width:0;height:1.5pt" o:hralign="center" o:hrstd="t" o:hr="t" fillcolor="#a0a0a0" stroked="f"/>
        </w:pict>
      </w:r>
    </w:p>
    <w:p w14:paraId="0B21C39F"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Kommentar:</w:t>
      </w:r>
      <w:r w:rsidRPr="00551BCC">
        <w:rPr>
          <w:rFonts w:eastAsia="Times New Roman" w:cs="Times New Roman"/>
          <w:lang w:eastAsia="de-DE"/>
        </w:rPr>
        <w:t xml:space="preserve"> Das Verb </w:t>
      </w:r>
      <w:r w:rsidRPr="00551BCC">
        <w:rPr>
          <w:rFonts w:eastAsia="Times New Roman" w:cs="Times New Roman"/>
          <w:b/>
          <w:bCs/>
          <w:rtl/>
          <w:lang w:eastAsia="de-DE"/>
        </w:rPr>
        <w:t>וְשָׂמוּ</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שים</w:t>
      </w:r>
      <w:r w:rsidRPr="00551BCC">
        <w:rPr>
          <w:rFonts w:eastAsia="Times New Roman" w:cs="Times New Roman"/>
          <w:rtl/>
          <w:lang w:eastAsia="de-DE"/>
        </w:rPr>
        <w:t xml:space="preserve"> </w:t>
      </w:r>
      <w:r w:rsidRPr="00551BCC">
        <w:rPr>
          <w:rFonts w:eastAsia="Times New Roman" w:cs="Times New Roman"/>
          <w:lang w:eastAsia="de-DE"/>
        </w:rPr>
        <w:t xml:space="preserve">(setzen/legen) im Qal-Perfekt 3. maskulin Plural mit </w:t>
      </w:r>
      <w:r w:rsidRPr="00551BCC">
        <w:rPr>
          <w:rFonts w:eastAsia="Times New Roman" w:cs="Times New Roman"/>
          <w:b/>
          <w:bCs/>
          <w:rtl/>
          <w:lang w:eastAsia="de-DE"/>
        </w:rPr>
        <w:t>אֶת־שְׁמִי</w:t>
      </w:r>
      <w:r w:rsidRPr="00551BCC">
        <w:rPr>
          <w:rFonts w:eastAsia="Times New Roman" w:cs="Times New Roman"/>
          <w:rtl/>
          <w:lang w:eastAsia="de-DE"/>
        </w:rPr>
        <w:t xml:space="preserve"> </w:t>
      </w:r>
      <w:r w:rsidRPr="00551BCC">
        <w:rPr>
          <w:rFonts w:eastAsia="Times New Roman" w:cs="Times New Roman"/>
          <w:lang w:eastAsia="de-DE"/>
        </w:rPr>
        <w:t xml:space="preserve">(meinen Namen) als direktes Objekt und </w:t>
      </w:r>
      <w:r w:rsidRPr="00551BCC">
        <w:rPr>
          <w:rFonts w:eastAsia="Times New Roman" w:cs="Times New Roman"/>
          <w:b/>
          <w:bCs/>
          <w:rtl/>
          <w:lang w:eastAsia="de-DE"/>
        </w:rPr>
        <w:t>עַל־בְּנֵי יִשְׂרָאֵל</w:t>
      </w:r>
      <w:r w:rsidRPr="00551BCC">
        <w:rPr>
          <w:rFonts w:eastAsia="Times New Roman" w:cs="Times New Roman"/>
          <w:rtl/>
          <w:lang w:eastAsia="de-DE"/>
        </w:rPr>
        <w:t xml:space="preserve"> </w:t>
      </w:r>
      <w:r w:rsidRPr="00551BCC">
        <w:rPr>
          <w:rFonts w:eastAsia="Times New Roman" w:cs="Times New Roman"/>
          <w:lang w:eastAsia="de-DE"/>
        </w:rPr>
        <w:t>(auf die Söhne Israels) zeigt die Auflegung des Gottesnamens als priesterliche Funktion.</w:t>
      </w:r>
    </w:p>
    <w:p w14:paraId="295A5207"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 xml:space="preserve">Das koordinierte, emphatische </w:t>
      </w:r>
      <w:r w:rsidRPr="00551BCC">
        <w:rPr>
          <w:rFonts w:eastAsia="Times New Roman" w:cs="Times New Roman"/>
          <w:b/>
          <w:bCs/>
          <w:rtl/>
          <w:lang w:eastAsia="de-DE"/>
        </w:rPr>
        <w:t>וַאֲנִי אֲבָרֲכֵם</w:t>
      </w:r>
      <w:r w:rsidRPr="00551BCC">
        <w:rPr>
          <w:rFonts w:eastAsia="Times New Roman" w:cs="Times New Roman"/>
          <w:rtl/>
          <w:lang w:eastAsia="de-DE"/>
        </w:rPr>
        <w:t xml:space="preserve"> </w:t>
      </w:r>
      <w:r w:rsidRPr="00551BCC">
        <w:rPr>
          <w:rFonts w:eastAsia="Times New Roman" w:cs="Times New Roman"/>
          <w:lang w:eastAsia="de-DE"/>
        </w:rPr>
        <w:t xml:space="preserve">mit </w:t>
      </w:r>
      <w:r w:rsidRPr="00551BCC">
        <w:rPr>
          <w:rFonts w:eastAsia="Times New Roman" w:cs="Times New Roman"/>
          <w:b/>
          <w:bCs/>
          <w:rtl/>
          <w:lang w:eastAsia="de-DE"/>
        </w:rPr>
        <w:t>אֲנִי</w:t>
      </w:r>
      <w:r w:rsidRPr="00551BCC">
        <w:rPr>
          <w:rFonts w:eastAsia="Times New Roman" w:cs="Times New Roman"/>
          <w:rtl/>
          <w:lang w:eastAsia="de-DE"/>
        </w:rPr>
        <w:t xml:space="preserve"> </w:t>
      </w:r>
      <w:r w:rsidRPr="00551BCC">
        <w:rPr>
          <w:rFonts w:eastAsia="Times New Roman" w:cs="Times New Roman"/>
          <w:lang w:eastAsia="de-DE"/>
        </w:rPr>
        <w:t xml:space="preserve">(ich) als betonendem Subjekt und </w:t>
      </w:r>
      <w:r w:rsidRPr="00551BCC">
        <w:rPr>
          <w:rFonts w:eastAsia="Times New Roman" w:cs="Times New Roman"/>
          <w:b/>
          <w:bCs/>
          <w:rtl/>
          <w:lang w:eastAsia="de-DE"/>
        </w:rPr>
        <w:t>אֲבָרֲכֵם</w:t>
      </w:r>
      <w:r w:rsidRPr="00551BCC">
        <w:rPr>
          <w:rFonts w:eastAsia="Times New Roman" w:cs="Times New Roman"/>
          <w:rtl/>
          <w:lang w:eastAsia="de-DE"/>
        </w:rPr>
        <w:t xml:space="preserve"> </w:t>
      </w:r>
      <w:r w:rsidRPr="00551BCC">
        <w:rPr>
          <w:rFonts w:eastAsia="Times New Roman" w:cs="Times New Roman"/>
          <w:lang w:eastAsia="de-DE"/>
        </w:rPr>
        <w:t xml:space="preserve">von </w:t>
      </w:r>
      <w:r w:rsidRPr="00551BCC">
        <w:rPr>
          <w:rFonts w:eastAsia="Times New Roman" w:cs="Times New Roman"/>
          <w:b/>
          <w:bCs/>
          <w:rtl/>
          <w:lang w:eastAsia="de-DE"/>
        </w:rPr>
        <w:t>ברך</w:t>
      </w:r>
      <w:r w:rsidRPr="00551BCC">
        <w:rPr>
          <w:rFonts w:eastAsia="Times New Roman" w:cs="Times New Roman"/>
          <w:rtl/>
          <w:lang w:eastAsia="de-DE"/>
        </w:rPr>
        <w:t xml:space="preserve"> </w:t>
      </w:r>
      <w:r w:rsidRPr="00551BCC">
        <w:rPr>
          <w:rFonts w:eastAsia="Times New Roman" w:cs="Times New Roman"/>
          <w:lang w:eastAsia="de-DE"/>
        </w:rPr>
        <w:t>(segnen) im Pi'el-Imperfekt 1. Person Singular mit Objektsuffix 3. maskulin Plural zeigt Gottes persönliche Segensgarantie.</w:t>
      </w:r>
    </w:p>
    <w:p w14:paraId="090990EA"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b/>
          <w:bCs/>
          <w:lang w:eastAsia="de-DE"/>
        </w:rPr>
        <w:t>Die LXX</w:t>
      </w:r>
      <w:r w:rsidRPr="00551BCC">
        <w:rPr>
          <w:rFonts w:eastAsia="Times New Roman" w:cs="Times New Roman"/>
          <w:lang w:eastAsia="de-DE"/>
        </w:rPr>
        <w:t xml:space="preserve"> übersetzt </w:t>
      </w:r>
      <w:r w:rsidRPr="00551BCC">
        <w:rPr>
          <w:rFonts w:eastAsia="Times New Roman" w:cs="Times New Roman"/>
          <w:rtl/>
          <w:lang w:eastAsia="de-DE"/>
        </w:rPr>
        <w:t>שָׂמוּ אֶת־שְׁמִי</w:t>
      </w:r>
      <w:r w:rsidRPr="00551BCC">
        <w:rPr>
          <w:rFonts w:eastAsia="Times New Roman" w:cs="Times New Roman"/>
          <w:lang w:eastAsia="de-DE"/>
        </w:rPr>
        <w:t xml:space="preserve"> mit ἐπιθήσουσιν τὸ ὄνομά μου (sie werden meinen Namen auflegen) und κἀγὼ εὐλογήσω (und ich werde segnen), was die kausale Verbindung zwischen priesterlicher Namensauflegung und göttlicher Segensantwort verdeutlicht.</w:t>
      </w:r>
    </w:p>
    <w:p w14:paraId="4F092797" w14:textId="77777777" w:rsidR="00551BCC" w:rsidRP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Die Satzstruktur zeigt priesterliche Namensinvokation und göttliche Segensgarantie als zweiseitigen Vorgang.</w:t>
      </w:r>
    </w:p>
    <w:p w14:paraId="2D40A9BE" w14:textId="42005919" w:rsidR="00551BCC" w:rsidRDefault="00551BCC" w:rsidP="00551BCC">
      <w:pPr>
        <w:spacing w:before="100" w:beforeAutospacing="1" w:after="100" w:afterAutospacing="1" w:line="240" w:lineRule="auto"/>
        <w:rPr>
          <w:rFonts w:eastAsia="Times New Roman" w:cs="Times New Roman"/>
          <w:lang w:eastAsia="de-DE"/>
        </w:rPr>
      </w:pPr>
      <w:r w:rsidRPr="00551BCC">
        <w:rPr>
          <w:rFonts w:eastAsia="Times New Roman" w:cs="Times New Roman"/>
          <w:lang w:eastAsia="de-DE"/>
        </w:rPr>
        <w:t>Dieser abschließende Vers etabliert die theologische Grundlage des priesterlichen Segens: Die Priester legen Gottes Namen auf das Volk, und Gott selbst antwortet mit seinem Segen.</w:t>
      </w:r>
    </w:p>
    <w:p w14:paraId="6A527053" w14:textId="77777777" w:rsidR="00C81634" w:rsidRPr="00F06C27" w:rsidRDefault="00C81634" w:rsidP="00F06C27">
      <w:pPr>
        <w:pStyle w:val="berschrift4"/>
      </w:pPr>
      <w:r w:rsidRPr="00F06C27">
        <w:rPr>
          <w:rStyle w:val="Fett"/>
          <w:b w:val="0"/>
          <w:bCs w:val="0"/>
        </w:rPr>
        <w:t>Exkurs: Steigerungslogik des Aaronitischen Segens (V. 24-26)</w:t>
      </w:r>
    </w:p>
    <w:p w14:paraId="77AC0BE5" w14:textId="77777777" w:rsidR="00C81634" w:rsidRDefault="00C81634" w:rsidP="00C81634">
      <w:pPr>
        <w:pStyle w:val="whitespace-normal"/>
      </w:pPr>
      <w:r>
        <w:t xml:space="preserve">Der dreigliedrige Segen zeigt eine </w:t>
      </w:r>
      <w:r>
        <w:rPr>
          <w:rStyle w:val="Fett"/>
        </w:rPr>
        <w:t>systematische Steigerung</w:t>
      </w:r>
      <w:r>
        <w:t xml:space="preserve"> in drei Dimensionen:</w:t>
      </w:r>
    </w:p>
    <w:p w14:paraId="1E51580A" w14:textId="77777777" w:rsidR="00C81634" w:rsidRPr="00380A50" w:rsidRDefault="00C81634" w:rsidP="00C81634">
      <w:pPr>
        <w:pStyle w:val="berschrift4"/>
        <w:rPr>
          <w:rFonts w:ascii="Times New Roman" w:hAnsi="Times New Roman" w:cs="Times New Roman"/>
          <w:color w:val="0070C0"/>
        </w:rPr>
      </w:pPr>
      <w:r w:rsidRPr="00380A50">
        <w:rPr>
          <w:rStyle w:val="Fett"/>
          <w:rFonts w:ascii="Times New Roman" w:hAnsi="Times New Roman" w:cs="Times New Roman"/>
          <w:color w:val="0070C0"/>
        </w:rPr>
        <w:t>1. Quantitative Steigerung (Wortanzahl):</w:t>
      </w:r>
    </w:p>
    <w:tbl>
      <w:tblPr>
        <w:tblStyle w:val="Tabellenraster"/>
        <w:tblW w:w="5003" w:type="pct"/>
        <w:tblLook w:val="04A0" w:firstRow="1" w:lastRow="0" w:firstColumn="1" w:lastColumn="0" w:noHBand="0" w:noVBand="1"/>
      </w:tblPr>
      <w:tblGrid>
        <w:gridCol w:w="809"/>
        <w:gridCol w:w="1739"/>
        <w:gridCol w:w="2693"/>
        <w:gridCol w:w="3826"/>
      </w:tblGrid>
      <w:tr w:rsidR="00C81634" w14:paraId="2ADA9874" w14:textId="77777777" w:rsidTr="00380A50">
        <w:tc>
          <w:tcPr>
            <w:tcW w:w="446" w:type="pct"/>
          </w:tcPr>
          <w:p w14:paraId="2EDBBB6C" w14:textId="5CF8B38F"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b/>
                <w:bCs/>
                <w:color w:val="141413"/>
                <w:shd w:val="clear" w:color="auto" w:fill="FAF9F5"/>
              </w:rPr>
              <w:t>Vers</w:t>
            </w:r>
          </w:p>
        </w:tc>
        <w:tc>
          <w:tcPr>
            <w:tcW w:w="959" w:type="pct"/>
          </w:tcPr>
          <w:p w14:paraId="3EB1DF1F" w14:textId="50DAF236"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b/>
                <w:bCs/>
                <w:color w:val="141413"/>
                <w:shd w:val="clear" w:color="auto" w:fill="FAF9F5"/>
              </w:rPr>
              <w:t>Hebräische Wörter</w:t>
            </w:r>
          </w:p>
        </w:tc>
        <w:tc>
          <w:tcPr>
            <w:tcW w:w="1485" w:type="pct"/>
          </w:tcPr>
          <w:p w14:paraId="48C98DA4" w14:textId="6157AE8D"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b/>
                <w:bCs/>
                <w:color w:val="141413"/>
                <w:shd w:val="clear" w:color="auto" w:fill="FAF9F5"/>
              </w:rPr>
              <w:t>Silben</w:t>
            </w:r>
          </w:p>
        </w:tc>
        <w:tc>
          <w:tcPr>
            <w:tcW w:w="2110" w:type="pct"/>
          </w:tcPr>
          <w:p w14:paraId="774B9D33" w14:textId="20D0E34C"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b/>
                <w:bCs/>
                <w:color w:val="141413"/>
                <w:shd w:val="clear" w:color="auto" w:fill="FAF9F5"/>
              </w:rPr>
              <w:t>Struktur</w:t>
            </w:r>
          </w:p>
        </w:tc>
      </w:tr>
      <w:tr w:rsidR="00C81634" w14:paraId="66ACBD10" w14:textId="77777777" w:rsidTr="00380A50">
        <w:tc>
          <w:tcPr>
            <w:tcW w:w="446" w:type="pct"/>
          </w:tcPr>
          <w:p w14:paraId="1F175569" w14:textId="43D7431E"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eastAsia="Times New Roman" w:cs="Times New Roman"/>
                <w:lang w:eastAsia="de-DE"/>
              </w:rPr>
              <w:t>V. 24</w:t>
            </w:r>
          </w:p>
        </w:tc>
        <w:tc>
          <w:tcPr>
            <w:tcW w:w="959" w:type="pct"/>
          </w:tcPr>
          <w:p w14:paraId="5D346A9E" w14:textId="4D079B7C"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color w:val="141413"/>
              </w:rPr>
              <w:t>3 Wörter</w:t>
            </w:r>
          </w:p>
        </w:tc>
        <w:tc>
          <w:tcPr>
            <w:tcW w:w="1485" w:type="pct"/>
          </w:tcPr>
          <w:p w14:paraId="3EEB288F" w14:textId="417B71AC" w:rsidR="00C81634" w:rsidRPr="00380A50" w:rsidRDefault="00C81634" w:rsidP="00551BCC">
            <w:pPr>
              <w:spacing w:before="100" w:beforeAutospacing="1" w:after="100" w:afterAutospacing="1" w:line="240" w:lineRule="auto"/>
              <w:rPr>
                <w:rFonts w:eastAsia="Times New Roman" w:cs="Times New Roman"/>
                <w:b/>
                <w:bCs/>
                <w:lang w:eastAsia="de-DE"/>
              </w:rPr>
            </w:pPr>
            <w:r w:rsidRPr="00380A50">
              <w:rPr>
                <w:rFonts w:cs="Times New Roman"/>
                <w:b/>
                <w:bCs/>
                <w:color w:val="141413"/>
                <w:rtl/>
              </w:rPr>
              <w:t>יְבָרֶכְךָ יְהוָה וְיִשְׁמְרֶךָ</w:t>
            </w:r>
          </w:p>
        </w:tc>
        <w:tc>
          <w:tcPr>
            <w:tcW w:w="2110" w:type="pct"/>
          </w:tcPr>
          <w:p w14:paraId="5E7FC4C6" w14:textId="37B3AD9B"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color w:val="141413"/>
              </w:rPr>
              <w:t>2+2 Verben</w:t>
            </w:r>
          </w:p>
        </w:tc>
      </w:tr>
      <w:tr w:rsidR="00C81634" w14:paraId="7E2A1C43" w14:textId="77777777" w:rsidTr="00380A50">
        <w:tc>
          <w:tcPr>
            <w:tcW w:w="446" w:type="pct"/>
          </w:tcPr>
          <w:p w14:paraId="0BDE068D" w14:textId="584931B6"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eastAsia="Times New Roman" w:cs="Times New Roman"/>
                <w:lang w:eastAsia="de-DE"/>
              </w:rPr>
              <w:t>V. 25</w:t>
            </w:r>
          </w:p>
        </w:tc>
        <w:tc>
          <w:tcPr>
            <w:tcW w:w="959" w:type="pct"/>
          </w:tcPr>
          <w:p w14:paraId="5FAE0CBD" w14:textId="164EE781"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color w:val="141413"/>
                <w:shd w:val="clear" w:color="auto" w:fill="FAF9F5"/>
              </w:rPr>
              <w:t>5 Wörter</w:t>
            </w:r>
          </w:p>
        </w:tc>
        <w:tc>
          <w:tcPr>
            <w:tcW w:w="1485" w:type="pct"/>
          </w:tcPr>
          <w:p w14:paraId="332B8D5F" w14:textId="4982C0B2" w:rsidR="00C81634" w:rsidRPr="00380A50" w:rsidRDefault="00C81634" w:rsidP="00551BCC">
            <w:pPr>
              <w:spacing w:before="100" w:beforeAutospacing="1" w:after="100" w:afterAutospacing="1" w:line="240" w:lineRule="auto"/>
              <w:rPr>
                <w:rFonts w:eastAsia="Times New Roman" w:cs="Times New Roman"/>
                <w:b/>
                <w:bCs/>
                <w:lang w:eastAsia="de-DE"/>
              </w:rPr>
            </w:pPr>
            <w:r w:rsidRPr="00380A50">
              <w:rPr>
                <w:rFonts w:cs="Times New Roman"/>
                <w:b/>
                <w:bCs/>
                <w:color w:val="141413"/>
                <w:shd w:val="clear" w:color="auto" w:fill="FAF9F5"/>
                <w:rtl/>
              </w:rPr>
              <w:t>יָאֵר יְהוָה פָּנָיו אֵלֶיךָ וִיחֻנֶּךָּ</w:t>
            </w:r>
          </w:p>
        </w:tc>
        <w:tc>
          <w:tcPr>
            <w:tcW w:w="2110" w:type="pct"/>
          </w:tcPr>
          <w:p w14:paraId="28DB3FC4" w14:textId="236352CE"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color w:val="141413"/>
                <w:shd w:val="clear" w:color="auto" w:fill="FAF9F5"/>
              </w:rPr>
              <w:t>2+3+2 Verben + Objekt</w:t>
            </w:r>
          </w:p>
        </w:tc>
      </w:tr>
      <w:tr w:rsidR="00C81634" w14:paraId="4DE9181C" w14:textId="77777777" w:rsidTr="00380A50">
        <w:tc>
          <w:tcPr>
            <w:tcW w:w="446" w:type="pct"/>
          </w:tcPr>
          <w:p w14:paraId="308B4348" w14:textId="5D95D640"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eastAsia="Times New Roman" w:cs="Times New Roman"/>
                <w:lang w:eastAsia="de-DE"/>
              </w:rPr>
              <w:t>V. 26</w:t>
            </w:r>
          </w:p>
        </w:tc>
        <w:tc>
          <w:tcPr>
            <w:tcW w:w="959" w:type="pct"/>
          </w:tcPr>
          <w:p w14:paraId="69A0EE41" w14:textId="58EDC1F9"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color w:val="141413"/>
              </w:rPr>
              <w:t>7 Wörter</w:t>
            </w:r>
          </w:p>
        </w:tc>
        <w:tc>
          <w:tcPr>
            <w:tcW w:w="1485" w:type="pct"/>
          </w:tcPr>
          <w:p w14:paraId="5DE1304B" w14:textId="4F645FF3" w:rsidR="00C81634" w:rsidRPr="00380A50" w:rsidRDefault="00C81634" w:rsidP="00551BCC">
            <w:pPr>
              <w:spacing w:before="100" w:beforeAutospacing="1" w:after="100" w:afterAutospacing="1" w:line="240" w:lineRule="auto"/>
              <w:rPr>
                <w:rFonts w:eastAsia="Times New Roman" w:cs="Times New Roman"/>
                <w:b/>
                <w:bCs/>
                <w:lang w:eastAsia="de-DE"/>
              </w:rPr>
            </w:pPr>
            <w:r w:rsidRPr="00380A50">
              <w:rPr>
                <w:rFonts w:cs="Times New Roman"/>
                <w:b/>
                <w:bCs/>
                <w:color w:val="141413"/>
                <w:rtl/>
              </w:rPr>
              <w:t>יִשָּׂא יְהוָה פָּנָיו אֵלֶיךָ וְיָשֵׂם לְךָ שָׁלוֹם</w:t>
            </w:r>
          </w:p>
        </w:tc>
        <w:tc>
          <w:tcPr>
            <w:tcW w:w="2110" w:type="pct"/>
          </w:tcPr>
          <w:p w14:paraId="230690AE" w14:textId="641A73CC" w:rsidR="00C81634" w:rsidRPr="00380A50" w:rsidRDefault="00C81634" w:rsidP="00551BCC">
            <w:pPr>
              <w:spacing w:before="100" w:beforeAutospacing="1" w:after="100" w:afterAutospacing="1" w:line="240" w:lineRule="auto"/>
              <w:rPr>
                <w:rFonts w:eastAsia="Times New Roman" w:cs="Times New Roman"/>
                <w:lang w:eastAsia="de-DE"/>
              </w:rPr>
            </w:pPr>
            <w:r w:rsidRPr="00380A50">
              <w:rPr>
                <w:rFonts w:cs="Times New Roman"/>
                <w:color w:val="141413"/>
              </w:rPr>
              <w:t>2+3+2+3 Verben + Objekt + Gabe</w:t>
            </w:r>
          </w:p>
        </w:tc>
      </w:tr>
    </w:tbl>
    <w:p w14:paraId="2F9C5494" w14:textId="0D766854" w:rsidR="00380A50" w:rsidRDefault="00C81634" w:rsidP="00380A50">
      <w:pPr>
        <w:spacing w:before="100" w:beforeAutospacing="1" w:after="100" w:afterAutospacing="1" w:line="240" w:lineRule="auto"/>
      </w:pPr>
      <w:r>
        <w:rPr>
          <w:rStyle w:val="Fett"/>
        </w:rPr>
        <w:lastRenderedPageBreak/>
        <w:t>Beobachtung:</w:t>
      </w:r>
      <w:r>
        <w:t xml:space="preserve"> Die </w:t>
      </w:r>
      <w:r>
        <w:rPr>
          <w:rStyle w:val="Fett"/>
        </w:rPr>
        <w:t>Wortanzahl steigt</w:t>
      </w:r>
      <w:r>
        <w:t xml:space="preserve"> (3 → 5 → 7), was die </w:t>
      </w:r>
      <w:r>
        <w:rPr>
          <w:rStyle w:val="Fett"/>
        </w:rPr>
        <w:t>wachsende Intensität</w:t>
      </w:r>
      <w:r>
        <w:t xml:space="preserve"> des Segens symbolisiert.</w:t>
      </w:r>
    </w:p>
    <w:p w14:paraId="044F36FC" w14:textId="7F4741C0" w:rsidR="00C81634" w:rsidRPr="00380A50" w:rsidRDefault="00C81634" w:rsidP="00C81634">
      <w:pPr>
        <w:pStyle w:val="KeinLeerraum"/>
        <w:rPr>
          <w:b/>
          <w:bCs/>
          <w:i/>
          <w:iCs/>
          <w:color w:val="0070C0"/>
        </w:rPr>
      </w:pPr>
      <w:r w:rsidRPr="00380A50">
        <w:rPr>
          <w:b/>
          <w:bCs/>
          <w:i/>
          <w:iCs/>
          <w:color w:val="0070C0"/>
        </w:rPr>
        <w:t>2. Qualitative Steigerung (Inhalt):</w:t>
      </w:r>
    </w:p>
    <w:tbl>
      <w:tblPr>
        <w:tblStyle w:val="Tabellenraster"/>
        <w:tblW w:w="4994" w:type="pct"/>
        <w:tblLook w:val="04A0" w:firstRow="1" w:lastRow="0" w:firstColumn="1" w:lastColumn="0" w:noHBand="0" w:noVBand="1"/>
      </w:tblPr>
      <w:tblGrid>
        <w:gridCol w:w="845"/>
        <w:gridCol w:w="1702"/>
        <w:gridCol w:w="2694"/>
        <w:gridCol w:w="3810"/>
      </w:tblGrid>
      <w:tr w:rsidR="00C81634" w14:paraId="15643DBB" w14:textId="77777777" w:rsidTr="00380A50">
        <w:tc>
          <w:tcPr>
            <w:tcW w:w="467" w:type="pct"/>
          </w:tcPr>
          <w:p w14:paraId="62FF61C6" w14:textId="6CCBC9D4" w:rsidR="00C81634" w:rsidRPr="00380A50" w:rsidRDefault="00C81634" w:rsidP="00C81634">
            <w:pPr>
              <w:pStyle w:val="KeinLeerraum"/>
              <w:rPr>
                <w:rFonts w:eastAsia="Times New Roman" w:cs="Times New Roman"/>
                <w:lang w:eastAsia="de-DE"/>
              </w:rPr>
            </w:pPr>
            <w:r w:rsidRPr="00380A50">
              <w:rPr>
                <w:rFonts w:cs="Times New Roman"/>
                <w:b/>
                <w:bCs/>
                <w:color w:val="141413"/>
                <w:shd w:val="clear" w:color="auto" w:fill="FAF9F5"/>
              </w:rPr>
              <w:t>Vers</w:t>
            </w:r>
          </w:p>
        </w:tc>
        <w:tc>
          <w:tcPr>
            <w:tcW w:w="940" w:type="pct"/>
          </w:tcPr>
          <w:p w14:paraId="7A56D31A" w14:textId="78D595E6" w:rsidR="00C81634" w:rsidRPr="00380A50" w:rsidRDefault="00380A50" w:rsidP="00C81634">
            <w:pPr>
              <w:pStyle w:val="KeinLeerraum"/>
              <w:rPr>
                <w:rFonts w:eastAsia="Times New Roman" w:cs="Times New Roman"/>
                <w:lang w:eastAsia="de-DE"/>
              </w:rPr>
            </w:pPr>
            <w:r w:rsidRPr="00380A50">
              <w:rPr>
                <w:rFonts w:cs="Times New Roman"/>
                <w:b/>
                <w:bCs/>
                <w:color w:val="141413"/>
                <w:shd w:val="clear" w:color="auto" w:fill="FAF9F5"/>
              </w:rPr>
              <w:t>Segensaspekt</w:t>
            </w:r>
          </w:p>
        </w:tc>
        <w:tc>
          <w:tcPr>
            <w:tcW w:w="1488" w:type="pct"/>
          </w:tcPr>
          <w:p w14:paraId="6FED750B" w14:textId="3D75C961" w:rsidR="00C81634" w:rsidRPr="00380A50" w:rsidRDefault="00380A50" w:rsidP="00C81634">
            <w:pPr>
              <w:pStyle w:val="KeinLeerraum"/>
              <w:rPr>
                <w:rFonts w:eastAsia="Times New Roman" w:cs="Times New Roman"/>
                <w:lang w:eastAsia="de-DE"/>
              </w:rPr>
            </w:pPr>
            <w:r w:rsidRPr="00380A50">
              <w:rPr>
                <w:rFonts w:cs="Times New Roman"/>
                <w:b/>
                <w:bCs/>
                <w:color w:val="141413"/>
                <w:shd w:val="clear" w:color="auto" w:fill="FAF9F5"/>
              </w:rPr>
              <w:t>Metapher</w:t>
            </w:r>
          </w:p>
        </w:tc>
        <w:tc>
          <w:tcPr>
            <w:tcW w:w="2105" w:type="pct"/>
          </w:tcPr>
          <w:p w14:paraId="03B016B8" w14:textId="036DB020" w:rsidR="00C81634" w:rsidRPr="00380A50" w:rsidRDefault="00380A50" w:rsidP="00C81634">
            <w:pPr>
              <w:pStyle w:val="KeinLeerraum"/>
              <w:rPr>
                <w:rFonts w:eastAsia="Times New Roman" w:cs="Times New Roman"/>
                <w:lang w:eastAsia="de-DE"/>
              </w:rPr>
            </w:pPr>
            <w:r w:rsidRPr="00380A50">
              <w:rPr>
                <w:rFonts w:cs="Times New Roman"/>
                <w:b/>
                <w:bCs/>
                <w:color w:val="141413"/>
                <w:shd w:val="clear" w:color="auto" w:fill="FAF9F5"/>
              </w:rPr>
              <w:t>Höhepunkt</w:t>
            </w:r>
          </w:p>
        </w:tc>
      </w:tr>
      <w:tr w:rsidR="00C81634" w14:paraId="2BF06D27" w14:textId="77777777" w:rsidTr="00380A50">
        <w:tc>
          <w:tcPr>
            <w:tcW w:w="467" w:type="pct"/>
          </w:tcPr>
          <w:p w14:paraId="41A0DAD8" w14:textId="594AA398" w:rsidR="00C81634" w:rsidRPr="00380A50" w:rsidRDefault="00380A50" w:rsidP="00C81634">
            <w:pPr>
              <w:pStyle w:val="KeinLeerraum"/>
              <w:rPr>
                <w:rFonts w:eastAsia="Times New Roman" w:cs="Times New Roman"/>
                <w:lang w:eastAsia="de-DE"/>
              </w:rPr>
            </w:pPr>
            <w:r w:rsidRPr="00380A50">
              <w:rPr>
                <w:rFonts w:cs="Times New Roman"/>
                <w:color w:val="141413"/>
              </w:rPr>
              <w:t>V. 24</w:t>
            </w:r>
          </w:p>
        </w:tc>
        <w:tc>
          <w:tcPr>
            <w:tcW w:w="940" w:type="pct"/>
          </w:tcPr>
          <w:p w14:paraId="52F854E1" w14:textId="605D30F0" w:rsidR="00C81634" w:rsidRPr="00380A50" w:rsidRDefault="00380A50" w:rsidP="00C81634">
            <w:pPr>
              <w:pStyle w:val="KeinLeerraum"/>
              <w:rPr>
                <w:rFonts w:eastAsia="Times New Roman" w:cs="Times New Roman"/>
                <w:b/>
                <w:bCs/>
                <w:lang w:eastAsia="de-DE"/>
              </w:rPr>
            </w:pPr>
            <w:r w:rsidRPr="00380A50">
              <w:rPr>
                <w:rFonts w:eastAsia="Times New Roman" w:cs="Times New Roman"/>
                <w:b/>
                <w:bCs/>
                <w:lang w:eastAsia="de-DE"/>
              </w:rPr>
              <w:t>Grundsegen</w:t>
            </w:r>
          </w:p>
        </w:tc>
        <w:tc>
          <w:tcPr>
            <w:tcW w:w="1488" w:type="pct"/>
          </w:tcPr>
          <w:p w14:paraId="1BDD0F5C" w14:textId="7250FEFD" w:rsidR="00C81634" w:rsidRPr="00380A50" w:rsidRDefault="00380A50" w:rsidP="00C81634">
            <w:pPr>
              <w:pStyle w:val="KeinLeerraum"/>
              <w:rPr>
                <w:rFonts w:eastAsia="Times New Roman" w:cs="Times New Roman"/>
                <w:lang w:eastAsia="de-DE"/>
              </w:rPr>
            </w:pPr>
            <w:r w:rsidRPr="00380A50">
              <w:rPr>
                <w:rFonts w:cs="Times New Roman"/>
                <w:color w:val="141413"/>
              </w:rPr>
              <w:t>–</w:t>
            </w:r>
          </w:p>
        </w:tc>
        <w:tc>
          <w:tcPr>
            <w:tcW w:w="2105" w:type="pct"/>
          </w:tcPr>
          <w:p w14:paraId="0AA30B2D" w14:textId="0E018281" w:rsidR="00C81634" w:rsidRPr="00380A50" w:rsidRDefault="00380A50" w:rsidP="00C81634">
            <w:pPr>
              <w:pStyle w:val="KeinLeerraum"/>
              <w:rPr>
                <w:rFonts w:eastAsia="Times New Roman" w:cs="Times New Roman"/>
                <w:lang w:eastAsia="de-DE"/>
              </w:rPr>
            </w:pPr>
            <w:r w:rsidRPr="00380A50">
              <w:rPr>
                <w:rFonts w:cs="Times New Roman"/>
                <w:color w:val="141413"/>
              </w:rPr>
              <w:t>Segen + Schutz</w:t>
            </w:r>
          </w:p>
        </w:tc>
      </w:tr>
      <w:tr w:rsidR="00C81634" w14:paraId="04A68DEF" w14:textId="77777777" w:rsidTr="00380A50">
        <w:tc>
          <w:tcPr>
            <w:tcW w:w="467" w:type="pct"/>
          </w:tcPr>
          <w:p w14:paraId="419846A9" w14:textId="25F0A2F5" w:rsidR="00C81634" w:rsidRPr="00380A50" w:rsidRDefault="00380A50" w:rsidP="00C81634">
            <w:pPr>
              <w:pStyle w:val="KeinLeerraum"/>
              <w:rPr>
                <w:rFonts w:eastAsia="Times New Roman" w:cs="Times New Roman"/>
                <w:lang w:eastAsia="de-DE"/>
              </w:rPr>
            </w:pPr>
            <w:r w:rsidRPr="00380A50">
              <w:rPr>
                <w:rFonts w:cs="Times New Roman"/>
                <w:color w:val="141413"/>
                <w:shd w:val="clear" w:color="auto" w:fill="FAF9F5"/>
              </w:rPr>
              <w:t>V. 25</w:t>
            </w:r>
          </w:p>
        </w:tc>
        <w:tc>
          <w:tcPr>
            <w:tcW w:w="940" w:type="pct"/>
          </w:tcPr>
          <w:p w14:paraId="09DBA4E7" w14:textId="70A4F04F" w:rsidR="00C81634" w:rsidRPr="00380A50" w:rsidRDefault="00380A50" w:rsidP="00C81634">
            <w:pPr>
              <w:pStyle w:val="KeinLeerraum"/>
              <w:rPr>
                <w:rFonts w:eastAsia="Times New Roman" w:cs="Times New Roman"/>
                <w:b/>
                <w:bCs/>
                <w:lang w:eastAsia="de-DE"/>
              </w:rPr>
            </w:pPr>
            <w:r w:rsidRPr="00380A50">
              <w:rPr>
                <w:rFonts w:eastAsia="Times New Roman" w:cs="Times New Roman"/>
                <w:b/>
                <w:bCs/>
                <w:lang w:eastAsia="de-DE"/>
              </w:rPr>
              <w:t>Zuwendung</w:t>
            </w:r>
          </w:p>
        </w:tc>
        <w:tc>
          <w:tcPr>
            <w:tcW w:w="1488" w:type="pct"/>
          </w:tcPr>
          <w:p w14:paraId="4A51EDC9" w14:textId="14A0C316" w:rsidR="00C81634" w:rsidRPr="00380A50" w:rsidRDefault="00380A50" w:rsidP="00C81634">
            <w:pPr>
              <w:pStyle w:val="KeinLeerraum"/>
              <w:rPr>
                <w:rFonts w:eastAsia="Times New Roman" w:cs="Times New Roman"/>
                <w:lang w:eastAsia="de-DE"/>
              </w:rPr>
            </w:pPr>
            <w:r w:rsidRPr="00380A50">
              <w:rPr>
                <w:rFonts w:cs="Times New Roman"/>
                <w:color w:val="141413"/>
                <w:shd w:val="clear" w:color="auto" w:fill="FAF9F5"/>
              </w:rPr>
              <w:t>Leuchtendes Angesicht</w:t>
            </w:r>
          </w:p>
        </w:tc>
        <w:tc>
          <w:tcPr>
            <w:tcW w:w="2105" w:type="pct"/>
          </w:tcPr>
          <w:p w14:paraId="441C16E1" w14:textId="746081BE" w:rsidR="00C81634" w:rsidRPr="00380A50" w:rsidRDefault="00380A50" w:rsidP="00C81634">
            <w:pPr>
              <w:pStyle w:val="KeinLeerraum"/>
              <w:rPr>
                <w:rFonts w:eastAsia="Times New Roman" w:cs="Times New Roman"/>
                <w:lang w:eastAsia="de-DE"/>
              </w:rPr>
            </w:pPr>
            <w:r w:rsidRPr="00380A50">
              <w:rPr>
                <w:rFonts w:cs="Times New Roman"/>
                <w:color w:val="141413"/>
                <w:shd w:val="clear" w:color="auto" w:fill="FAF9F5"/>
              </w:rPr>
              <w:t>Gnade</w:t>
            </w:r>
          </w:p>
        </w:tc>
      </w:tr>
      <w:tr w:rsidR="00C81634" w14:paraId="6ED390D1" w14:textId="77777777" w:rsidTr="00380A50">
        <w:tc>
          <w:tcPr>
            <w:tcW w:w="467" w:type="pct"/>
          </w:tcPr>
          <w:p w14:paraId="049FB549" w14:textId="6D414248" w:rsidR="00C81634" w:rsidRPr="00380A50" w:rsidRDefault="00380A50" w:rsidP="00C81634">
            <w:pPr>
              <w:pStyle w:val="KeinLeerraum"/>
              <w:rPr>
                <w:rFonts w:eastAsia="Times New Roman" w:cs="Times New Roman"/>
                <w:lang w:eastAsia="de-DE"/>
              </w:rPr>
            </w:pPr>
            <w:r w:rsidRPr="00380A50">
              <w:rPr>
                <w:rFonts w:cs="Times New Roman"/>
                <w:color w:val="141413"/>
              </w:rPr>
              <w:t>V. 26</w:t>
            </w:r>
          </w:p>
        </w:tc>
        <w:tc>
          <w:tcPr>
            <w:tcW w:w="940" w:type="pct"/>
          </w:tcPr>
          <w:p w14:paraId="7DFA727B" w14:textId="72E866DE" w:rsidR="00C81634" w:rsidRPr="00380A50" w:rsidRDefault="00380A50" w:rsidP="00C81634">
            <w:pPr>
              <w:pStyle w:val="KeinLeerraum"/>
              <w:rPr>
                <w:rFonts w:eastAsia="Times New Roman" w:cs="Times New Roman"/>
                <w:b/>
                <w:bCs/>
                <w:lang w:eastAsia="de-DE"/>
              </w:rPr>
            </w:pPr>
            <w:r w:rsidRPr="00380A50">
              <w:rPr>
                <w:rFonts w:eastAsia="Times New Roman" w:cs="Times New Roman"/>
                <w:b/>
                <w:bCs/>
                <w:lang w:eastAsia="de-DE"/>
              </w:rPr>
              <w:t>Erhebung</w:t>
            </w:r>
          </w:p>
        </w:tc>
        <w:tc>
          <w:tcPr>
            <w:tcW w:w="1488" w:type="pct"/>
          </w:tcPr>
          <w:p w14:paraId="0C06C509" w14:textId="06B47B71" w:rsidR="00C81634" w:rsidRPr="00380A50" w:rsidRDefault="00380A50" w:rsidP="00C81634">
            <w:pPr>
              <w:pStyle w:val="KeinLeerraum"/>
              <w:rPr>
                <w:rFonts w:eastAsia="Times New Roman" w:cs="Times New Roman"/>
                <w:lang w:eastAsia="de-DE"/>
              </w:rPr>
            </w:pPr>
            <w:r w:rsidRPr="00380A50">
              <w:rPr>
                <w:rFonts w:cs="Times New Roman"/>
                <w:color w:val="141413"/>
              </w:rPr>
              <w:t>Erhobenes Angesicht</w:t>
            </w:r>
          </w:p>
        </w:tc>
        <w:tc>
          <w:tcPr>
            <w:tcW w:w="2105" w:type="pct"/>
          </w:tcPr>
          <w:p w14:paraId="7AC1908E" w14:textId="280075A1" w:rsidR="00C81634" w:rsidRPr="00380A50" w:rsidRDefault="00380A50" w:rsidP="00C81634">
            <w:pPr>
              <w:pStyle w:val="KeinLeerraum"/>
              <w:rPr>
                <w:rFonts w:eastAsia="Times New Roman" w:cs="Times New Roman"/>
                <w:b/>
                <w:bCs/>
                <w:lang w:eastAsia="de-DE"/>
              </w:rPr>
            </w:pPr>
            <w:r w:rsidRPr="00380A50">
              <w:rPr>
                <w:rFonts w:eastAsia="Times New Roman" w:cs="Times New Roman"/>
                <w:b/>
                <w:bCs/>
                <w:lang w:eastAsia="de-DE"/>
              </w:rPr>
              <w:t>Schalom</w:t>
            </w:r>
          </w:p>
        </w:tc>
      </w:tr>
    </w:tbl>
    <w:p w14:paraId="6BB25BC2" w14:textId="77777777" w:rsidR="00C81634" w:rsidRPr="00551BCC" w:rsidRDefault="00C81634" w:rsidP="00C81634">
      <w:pPr>
        <w:pStyle w:val="KeinLeerraum"/>
        <w:rPr>
          <w:rFonts w:eastAsia="Times New Roman" w:cs="Times New Roman"/>
          <w:lang w:eastAsia="de-DE"/>
        </w:rPr>
      </w:pPr>
    </w:p>
    <w:p w14:paraId="55096A36" w14:textId="77777777" w:rsidR="00380A50" w:rsidRDefault="00380A50" w:rsidP="00380A50">
      <w:pPr>
        <w:pStyle w:val="whitespace-normal"/>
      </w:pPr>
      <w:r>
        <w:rPr>
          <w:rStyle w:val="Fett"/>
        </w:rPr>
        <w:t>Beobachtung:</w:t>
      </w:r>
      <w:r>
        <w:t xml:space="preserve"> Die </w:t>
      </w:r>
      <w:r>
        <w:rPr>
          <w:rStyle w:val="Fett"/>
        </w:rPr>
        <w:t>Angesichtsmetaphorik steigert sich</w:t>
      </w:r>
      <w:r>
        <w:t xml:space="preserve"> (Leuchten → Erheben), und der </w:t>
      </w:r>
      <w:r>
        <w:rPr>
          <w:rStyle w:val="Fett"/>
        </w:rPr>
        <w:t>Segensinhalt intensiviert sich</w:t>
      </w:r>
      <w:r>
        <w:t xml:space="preserve"> (Schutz → Gnade → umfassender Frieden).</w:t>
      </w:r>
    </w:p>
    <w:p w14:paraId="653C8D9B" w14:textId="77777777" w:rsidR="00380A50" w:rsidRPr="00380A50" w:rsidRDefault="00380A50" w:rsidP="00380A50">
      <w:pPr>
        <w:pStyle w:val="KeinLeerraum"/>
        <w:rPr>
          <w:i/>
          <w:iCs/>
          <w:color w:val="0070C0"/>
        </w:rPr>
      </w:pPr>
      <w:r w:rsidRPr="00380A50">
        <w:rPr>
          <w:rStyle w:val="Fett"/>
          <w:b w:val="0"/>
          <w:bCs w:val="0"/>
          <w:i/>
          <w:iCs/>
          <w:color w:val="0070C0"/>
        </w:rPr>
        <w:t>3. Theologische Steigerung (Gottesbeziehung):</w:t>
      </w:r>
    </w:p>
    <w:tbl>
      <w:tblPr>
        <w:tblStyle w:val="Tabellenraster"/>
        <w:tblW w:w="4994" w:type="pct"/>
        <w:tblLook w:val="04A0" w:firstRow="1" w:lastRow="0" w:firstColumn="1" w:lastColumn="0" w:noHBand="0" w:noVBand="1"/>
      </w:tblPr>
      <w:tblGrid>
        <w:gridCol w:w="846"/>
        <w:gridCol w:w="2410"/>
        <w:gridCol w:w="3118"/>
        <w:gridCol w:w="2677"/>
      </w:tblGrid>
      <w:tr w:rsidR="00380A50" w14:paraId="7F021A48" w14:textId="77777777" w:rsidTr="00380A50">
        <w:tc>
          <w:tcPr>
            <w:tcW w:w="467" w:type="pct"/>
          </w:tcPr>
          <w:p w14:paraId="4231C3AB" w14:textId="36D74ADC" w:rsidR="00380A50" w:rsidRPr="00C41F4F" w:rsidRDefault="00380A50" w:rsidP="00380A50">
            <w:pPr>
              <w:pStyle w:val="KeinLeerraum"/>
              <w:rPr>
                <w:rFonts w:cs="Times New Roman"/>
              </w:rPr>
            </w:pPr>
            <w:r w:rsidRPr="00C41F4F">
              <w:rPr>
                <w:rFonts w:cs="Times New Roman"/>
                <w:b/>
                <w:bCs/>
                <w:color w:val="141413"/>
                <w:shd w:val="clear" w:color="auto" w:fill="FAF9F5"/>
              </w:rPr>
              <w:t>Vers</w:t>
            </w:r>
          </w:p>
        </w:tc>
        <w:tc>
          <w:tcPr>
            <w:tcW w:w="1331" w:type="pct"/>
          </w:tcPr>
          <w:p w14:paraId="0A2C42E1" w14:textId="7F2EEADF" w:rsidR="00380A50" w:rsidRPr="00C41F4F" w:rsidRDefault="00380A50" w:rsidP="00380A50">
            <w:pPr>
              <w:pStyle w:val="KeinLeerraum"/>
              <w:rPr>
                <w:rFonts w:cs="Times New Roman"/>
              </w:rPr>
            </w:pPr>
            <w:r w:rsidRPr="00C41F4F">
              <w:rPr>
                <w:rFonts w:cs="Times New Roman"/>
                <w:b/>
                <w:bCs/>
                <w:color w:val="141413"/>
                <w:shd w:val="clear" w:color="auto" w:fill="FAF9F5"/>
              </w:rPr>
              <w:t>Gotteshandeln</w:t>
            </w:r>
          </w:p>
        </w:tc>
        <w:tc>
          <w:tcPr>
            <w:tcW w:w="1722" w:type="pct"/>
          </w:tcPr>
          <w:p w14:paraId="5F0E575A" w14:textId="333365BF" w:rsidR="00380A50" w:rsidRPr="00C41F4F" w:rsidRDefault="00380A50" w:rsidP="00380A50">
            <w:pPr>
              <w:pStyle w:val="KeinLeerraum"/>
              <w:rPr>
                <w:rFonts w:cs="Times New Roman"/>
              </w:rPr>
            </w:pPr>
            <w:r w:rsidRPr="00C41F4F">
              <w:rPr>
                <w:rFonts w:cs="Times New Roman"/>
                <w:b/>
                <w:bCs/>
                <w:color w:val="141413"/>
                <w:shd w:val="clear" w:color="auto" w:fill="FAF9F5"/>
              </w:rPr>
              <w:t>Dimension</w:t>
            </w:r>
          </w:p>
        </w:tc>
        <w:tc>
          <w:tcPr>
            <w:tcW w:w="1479" w:type="pct"/>
          </w:tcPr>
          <w:p w14:paraId="4439F894" w14:textId="0AF986A9" w:rsidR="00380A50" w:rsidRPr="00C41F4F" w:rsidRDefault="00380A50" w:rsidP="00380A50">
            <w:pPr>
              <w:pStyle w:val="KeinLeerraum"/>
              <w:rPr>
                <w:rFonts w:cs="Times New Roman"/>
              </w:rPr>
            </w:pPr>
            <w:r w:rsidRPr="00C41F4F">
              <w:rPr>
                <w:rFonts w:cs="Times New Roman"/>
                <w:b/>
                <w:bCs/>
                <w:color w:val="141413"/>
                <w:shd w:val="clear" w:color="auto" w:fill="FAF9F5"/>
              </w:rPr>
              <w:t>Menschliche Antwort</w:t>
            </w:r>
          </w:p>
        </w:tc>
      </w:tr>
      <w:tr w:rsidR="00380A50" w14:paraId="46D2CD59" w14:textId="77777777" w:rsidTr="00380A50">
        <w:tc>
          <w:tcPr>
            <w:tcW w:w="467" w:type="pct"/>
          </w:tcPr>
          <w:p w14:paraId="0EB7382A" w14:textId="6964F0A0" w:rsidR="00380A50" w:rsidRPr="00C41F4F" w:rsidRDefault="00380A50" w:rsidP="00380A50">
            <w:pPr>
              <w:pStyle w:val="KeinLeerraum"/>
              <w:rPr>
                <w:rFonts w:cs="Times New Roman"/>
              </w:rPr>
            </w:pPr>
            <w:r w:rsidRPr="00C41F4F">
              <w:rPr>
                <w:rFonts w:cs="Times New Roman"/>
                <w:color w:val="141413"/>
              </w:rPr>
              <w:t>V. 24</w:t>
            </w:r>
          </w:p>
        </w:tc>
        <w:tc>
          <w:tcPr>
            <w:tcW w:w="1331" w:type="pct"/>
          </w:tcPr>
          <w:p w14:paraId="25F26E6A" w14:textId="02DB2F6D" w:rsidR="00380A50" w:rsidRPr="00C41F4F" w:rsidRDefault="00380A50" w:rsidP="00380A50">
            <w:pPr>
              <w:pStyle w:val="KeinLeerraum"/>
              <w:rPr>
                <w:rFonts w:cs="Times New Roman"/>
              </w:rPr>
            </w:pPr>
            <w:r w:rsidRPr="00C41F4F">
              <w:rPr>
                <w:rFonts w:cs="Times New Roman"/>
              </w:rPr>
              <w:t>Segen + Bewahrung</w:t>
            </w:r>
          </w:p>
        </w:tc>
        <w:tc>
          <w:tcPr>
            <w:tcW w:w="1722" w:type="pct"/>
          </w:tcPr>
          <w:p w14:paraId="6082931A" w14:textId="327D11C8" w:rsidR="00380A50" w:rsidRPr="00C41F4F" w:rsidRDefault="00380A50" w:rsidP="00380A50">
            <w:pPr>
              <w:pStyle w:val="KeinLeerraum"/>
              <w:rPr>
                <w:rFonts w:cs="Times New Roman"/>
              </w:rPr>
            </w:pPr>
            <w:r w:rsidRPr="00C41F4F">
              <w:rPr>
                <w:rFonts w:cs="Times New Roman"/>
                <w:color w:val="141413"/>
              </w:rPr>
              <w:t>Allgemeine Fürsorge</w:t>
            </w:r>
          </w:p>
        </w:tc>
        <w:tc>
          <w:tcPr>
            <w:tcW w:w="1479" w:type="pct"/>
          </w:tcPr>
          <w:p w14:paraId="0C5227F0" w14:textId="7F167A80" w:rsidR="00380A50" w:rsidRPr="00C41F4F" w:rsidRDefault="00380A50" w:rsidP="00380A50">
            <w:pPr>
              <w:pStyle w:val="KeinLeerraum"/>
              <w:rPr>
                <w:rFonts w:cs="Times New Roman"/>
              </w:rPr>
            </w:pPr>
            <w:r w:rsidRPr="00C41F4F">
              <w:rPr>
                <w:rFonts w:cs="Times New Roman"/>
                <w:color w:val="141413"/>
              </w:rPr>
              <w:t>Sicherheit</w:t>
            </w:r>
          </w:p>
        </w:tc>
      </w:tr>
      <w:tr w:rsidR="00380A50" w14:paraId="42A998C6" w14:textId="77777777" w:rsidTr="00380A50">
        <w:tc>
          <w:tcPr>
            <w:tcW w:w="467" w:type="pct"/>
          </w:tcPr>
          <w:p w14:paraId="201C9AC9" w14:textId="447CF2CB" w:rsidR="00380A50" w:rsidRPr="00C41F4F" w:rsidRDefault="00380A50" w:rsidP="00380A50">
            <w:pPr>
              <w:pStyle w:val="KeinLeerraum"/>
              <w:rPr>
                <w:rFonts w:cs="Times New Roman"/>
              </w:rPr>
            </w:pPr>
            <w:r w:rsidRPr="00C41F4F">
              <w:rPr>
                <w:rFonts w:cs="Times New Roman"/>
                <w:color w:val="141413"/>
                <w:shd w:val="clear" w:color="auto" w:fill="FAF9F5"/>
              </w:rPr>
              <w:t>V. 25</w:t>
            </w:r>
          </w:p>
        </w:tc>
        <w:tc>
          <w:tcPr>
            <w:tcW w:w="1331" w:type="pct"/>
          </w:tcPr>
          <w:p w14:paraId="046AE77E" w14:textId="2B71C29D" w:rsidR="00380A50" w:rsidRPr="00C41F4F" w:rsidRDefault="00380A50" w:rsidP="00380A50">
            <w:pPr>
              <w:pStyle w:val="KeinLeerraum"/>
              <w:rPr>
                <w:rFonts w:cs="Times New Roman"/>
              </w:rPr>
            </w:pPr>
            <w:r w:rsidRPr="00C41F4F">
              <w:rPr>
                <w:rFonts w:cs="Times New Roman"/>
              </w:rPr>
              <w:t>Leuchten + Gnade</w:t>
            </w:r>
          </w:p>
        </w:tc>
        <w:tc>
          <w:tcPr>
            <w:tcW w:w="1722" w:type="pct"/>
          </w:tcPr>
          <w:p w14:paraId="143F716B" w14:textId="475CA5A9" w:rsidR="00380A50" w:rsidRPr="00C41F4F" w:rsidRDefault="00380A50" w:rsidP="00380A50">
            <w:pPr>
              <w:pStyle w:val="KeinLeerraum"/>
              <w:rPr>
                <w:rFonts w:cs="Times New Roman"/>
              </w:rPr>
            </w:pPr>
            <w:r w:rsidRPr="00C41F4F">
              <w:rPr>
                <w:rFonts w:cs="Times New Roman"/>
                <w:color w:val="141413"/>
                <w:shd w:val="clear" w:color="auto" w:fill="FAF9F5"/>
              </w:rPr>
              <w:t>Persönliche Zuwendung</w:t>
            </w:r>
          </w:p>
        </w:tc>
        <w:tc>
          <w:tcPr>
            <w:tcW w:w="1479" w:type="pct"/>
          </w:tcPr>
          <w:p w14:paraId="60EEC287" w14:textId="5D44B3C7" w:rsidR="00380A50" w:rsidRPr="00C41F4F" w:rsidRDefault="00380A50" w:rsidP="00380A50">
            <w:pPr>
              <w:pStyle w:val="KeinLeerraum"/>
              <w:rPr>
                <w:rFonts w:cs="Times New Roman"/>
              </w:rPr>
            </w:pPr>
            <w:r w:rsidRPr="00C41F4F">
              <w:rPr>
                <w:rFonts w:cs="Times New Roman"/>
                <w:color w:val="141413"/>
                <w:shd w:val="clear" w:color="auto" w:fill="FAF9F5"/>
              </w:rPr>
              <w:t>Begnadigung</w:t>
            </w:r>
          </w:p>
        </w:tc>
      </w:tr>
      <w:tr w:rsidR="00380A50" w14:paraId="5BE01DC5" w14:textId="77777777" w:rsidTr="00380A50">
        <w:tc>
          <w:tcPr>
            <w:tcW w:w="467" w:type="pct"/>
          </w:tcPr>
          <w:p w14:paraId="7F56B4B3" w14:textId="4B446037" w:rsidR="00380A50" w:rsidRPr="00C41F4F" w:rsidRDefault="00380A50" w:rsidP="00380A50">
            <w:pPr>
              <w:pStyle w:val="KeinLeerraum"/>
              <w:rPr>
                <w:rFonts w:cs="Times New Roman"/>
              </w:rPr>
            </w:pPr>
            <w:r w:rsidRPr="00C41F4F">
              <w:rPr>
                <w:rFonts w:cs="Times New Roman"/>
                <w:color w:val="141413"/>
              </w:rPr>
              <w:t>V. 26</w:t>
            </w:r>
          </w:p>
        </w:tc>
        <w:tc>
          <w:tcPr>
            <w:tcW w:w="1331" w:type="pct"/>
          </w:tcPr>
          <w:p w14:paraId="3C5F2FE3" w14:textId="2DA8C8E6" w:rsidR="00380A50" w:rsidRPr="00C41F4F" w:rsidRDefault="00380A50" w:rsidP="00380A50">
            <w:pPr>
              <w:pStyle w:val="KeinLeerraum"/>
              <w:rPr>
                <w:rFonts w:cs="Times New Roman"/>
              </w:rPr>
            </w:pPr>
            <w:r w:rsidRPr="00C41F4F">
              <w:rPr>
                <w:rFonts w:cs="Times New Roman"/>
              </w:rPr>
              <w:t>Erheben + Frieden</w:t>
            </w:r>
          </w:p>
        </w:tc>
        <w:tc>
          <w:tcPr>
            <w:tcW w:w="1722" w:type="pct"/>
          </w:tcPr>
          <w:p w14:paraId="2ABCF0DB" w14:textId="251BB3C5" w:rsidR="00380A50" w:rsidRPr="00C41F4F" w:rsidRDefault="00380A50" w:rsidP="00380A50">
            <w:pPr>
              <w:pStyle w:val="KeinLeerraum"/>
              <w:rPr>
                <w:rFonts w:cs="Times New Roman"/>
              </w:rPr>
            </w:pPr>
            <w:r w:rsidRPr="00C41F4F">
              <w:rPr>
                <w:rFonts w:cs="Times New Roman"/>
              </w:rPr>
              <w:t>Vollkommene Gemeinschaft</w:t>
            </w:r>
          </w:p>
        </w:tc>
        <w:tc>
          <w:tcPr>
            <w:tcW w:w="1479" w:type="pct"/>
          </w:tcPr>
          <w:p w14:paraId="2D70CFC9" w14:textId="705A550D" w:rsidR="00380A50" w:rsidRPr="00C41F4F" w:rsidRDefault="00380A50" w:rsidP="00380A50">
            <w:pPr>
              <w:pStyle w:val="KeinLeerraum"/>
              <w:rPr>
                <w:rFonts w:cs="Times New Roman"/>
              </w:rPr>
            </w:pPr>
            <w:r w:rsidRPr="00C41F4F">
              <w:rPr>
                <w:rStyle w:val="Fett"/>
                <w:rFonts w:cs="Times New Roman"/>
              </w:rPr>
              <w:t>Schalom</w:t>
            </w:r>
            <w:r w:rsidRPr="00C41F4F">
              <w:rPr>
                <w:rFonts w:cs="Times New Roman"/>
              </w:rPr>
              <w:t xml:space="preserve"> (= Heil)</w:t>
            </w:r>
          </w:p>
        </w:tc>
      </w:tr>
    </w:tbl>
    <w:p w14:paraId="44296182" w14:textId="70D3BAC6" w:rsidR="00380A50" w:rsidRDefault="00380A50" w:rsidP="00380A50">
      <w:pPr>
        <w:pStyle w:val="KeinLeerraum"/>
      </w:pPr>
    </w:p>
    <w:p w14:paraId="388D3C79" w14:textId="77777777" w:rsidR="00C41F4F" w:rsidRDefault="00C41F4F" w:rsidP="00C41F4F">
      <w:pPr>
        <w:pStyle w:val="whitespace-normal"/>
      </w:pPr>
      <w:r>
        <w:rPr>
          <w:rStyle w:val="Fett"/>
        </w:rPr>
        <w:t>Beobachtung:</w:t>
      </w:r>
      <w:r>
        <w:t xml:space="preserve"> Von </w:t>
      </w:r>
      <w:r>
        <w:rPr>
          <w:rStyle w:val="Fett"/>
        </w:rPr>
        <w:t>allgemeiner Fürsorge</w:t>
      </w:r>
      <w:r>
        <w:t xml:space="preserve"> über </w:t>
      </w:r>
      <w:r>
        <w:rPr>
          <w:rStyle w:val="Fett"/>
        </w:rPr>
        <w:t>persönliche Zuwendung</w:t>
      </w:r>
      <w:r>
        <w:t xml:space="preserve"> zu </w:t>
      </w:r>
      <w:r>
        <w:rPr>
          <w:rStyle w:val="Fett"/>
        </w:rPr>
        <w:t>vollkommener Gemeinschaft</w:t>
      </w:r>
      <w:r>
        <w:t>.</w:t>
      </w:r>
    </w:p>
    <w:p w14:paraId="1D55BB10" w14:textId="77777777" w:rsidR="00C41F4F" w:rsidRDefault="00C41F4F" w:rsidP="00C41F4F">
      <w:pPr>
        <w:pStyle w:val="berschrift4"/>
      </w:pPr>
      <w:r>
        <w:rPr>
          <w:rStyle w:val="Fett"/>
          <w:b w:val="0"/>
          <w:bCs w:val="0"/>
        </w:rPr>
        <w:t>4. Literarische Form:</w:t>
      </w:r>
    </w:p>
    <w:p w14:paraId="7CF604C3" w14:textId="77777777" w:rsidR="00C41F4F" w:rsidRDefault="00C41F4F" w:rsidP="00C41F4F">
      <w:pPr>
        <w:pStyle w:val="whitespace-normal"/>
      </w:pPr>
      <w:r>
        <w:t xml:space="preserve">Die </w:t>
      </w:r>
      <w:r>
        <w:rPr>
          <w:rStyle w:val="Fett"/>
        </w:rPr>
        <w:t>dreigliedrige Struktur</w:t>
      </w:r>
      <w:r>
        <w:t xml:space="preserve"> entspricht der </w:t>
      </w:r>
      <w:r>
        <w:rPr>
          <w:rStyle w:val="Fett"/>
        </w:rPr>
        <w:t>semitischen Rhetorik der Steigerung</w:t>
      </w:r>
      <w:r>
        <w:t xml:space="preserve"> (vgl. Spr 30,15-31; Am 1-2). Die Zahl </w:t>
      </w:r>
      <w:r>
        <w:rPr>
          <w:rStyle w:val="Fett"/>
        </w:rPr>
        <w:t>3</w:t>
      </w:r>
      <w:r>
        <w:t xml:space="preserve"> symbolisiert </w:t>
      </w:r>
      <w:r>
        <w:rPr>
          <w:rStyle w:val="Fett"/>
        </w:rPr>
        <w:t>Vollkommenheit</w:t>
      </w:r>
      <w:r>
        <w:t xml:space="preserve"> im AT.</w:t>
      </w:r>
    </w:p>
    <w:p w14:paraId="0521B6A3" w14:textId="77777777" w:rsidR="00C41F4F" w:rsidRDefault="00C41F4F" w:rsidP="00C41F4F">
      <w:pPr>
        <w:pStyle w:val="berschrift4"/>
      </w:pPr>
      <w:r>
        <w:rPr>
          <w:rStyle w:val="Fett"/>
          <w:b w:val="0"/>
          <w:bCs w:val="0"/>
        </w:rPr>
        <w:t>5. Rezeptionsgeschichte:</w:t>
      </w:r>
    </w:p>
    <w:p w14:paraId="79684030" w14:textId="77777777" w:rsidR="00C41F4F" w:rsidRDefault="00C41F4F" w:rsidP="00C41F4F">
      <w:pPr>
        <w:pStyle w:val="whitespace-normal"/>
      </w:pPr>
      <w:r>
        <w:rPr>
          <w:rStyle w:val="Fett"/>
        </w:rPr>
        <w:t>a) Archäologischer Befund:</w:t>
      </w:r>
    </w:p>
    <w:p w14:paraId="2F735B63" w14:textId="77777777" w:rsidR="00C41F4F" w:rsidRDefault="00C41F4F" w:rsidP="00C15C06">
      <w:pPr>
        <w:pStyle w:val="whitespace-normal"/>
        <w:numPr>
          <w:ilvl w:val="0"/>
          <w:numId w:val="62"/>
        </w:numPr>
      </w:pPr>
      <w:r>
        <w:rPr>
          <w:rStyle w:val="Fett"/>
        </w:rPr>
        <w:t>Ketef Hinnom-Amulette</w:t>
      </w:r>
      <w:r>
        <w:t xml:space="preserve"> (7. Jh. v.Chr.): Älteste bekannte biblische Texte</w:t>
      </w:r>
    </w:p>
    <w:p w14:paraId="7785B8CE" w14:textId="77777777" w:rsidR="00C41F4F" w:rsidRDefault="00C41F4F" w:rsidP="00C15C06">
      <w:pPr>
        <w:pStyle w:val="whitespace-normal"/>
        <w:numPr>
          <w:ilvl w:val="0"/>
          <w:numId w:val="62"/>
        </w:numPr>
      </w:pPr>
      <w:r>
        <w:t xml:space="preserve">Enthalten </w:t>
      </w:r>
      <w:r>
        <w:rPr>
          <w:rStyle w:val="Fett"/>
        </w:rPr>
        <w:t>Num 6,24-26</w:t>
      </w:r>
      <w:r>
        <w:t xml:space="preserve"> auf Silberamuletten</w:t>
      </w:r>
    </w:p>
    <w:p w14:paraId="600FC0DA" w14:textId="77777777" w:rsidR="00C41F4F" w:rsidRDefault="00C41F4F" w:rsidP="00C15C06">
      <w:pPr>
        <w:pStyle w:val="whitespace-normal"/>
        <w:numPr>
          <w:ilvl w:val="0"/>
          <w:numId w:val="62"/>
        </w:numPr>
      </w:pPr>
      <w:r>
        <w:t xml:space="preserve">Zeigen </w:t>
      </w:r>
      <w:r>
        <w:rPr>
          <w:rStyle w:val="Fett"/>
        </w:rPr>
        <w:t>frühe liturgische Verwendung</w:t>
      </w:r>
    </w:p>
    <w:p w14:paraId="57665B83" w14:textId="77777777" w:rsidR="00C41F4F" w:rsidRDefault="00C41F4F" w:rsidP="00C41F4F">
      <w:pPr>
        <w:pStyle w:val="whitespace-normal"/>
      </w:pPr>
      <w:r>
        <w:rPr>
          <w:rStyle w:val="Fett"/>
        </w:rPr>
        <w:t>b) Jüdische Tradition:</w:t>
      </w:r>
    </w:p>
    <w:p w14:paraId="0CD19526" w14:textId="77777777" w:rsidR="00C41F4F" w:rsidRDefault="00C41F4F" w:rsidP="00C15C06">
      <w:pPr>
        <w:pStyle w:val="whitespace-normal"/>
        <w:numPr>
          <w:ilvl w:val="0"/>
          <w:numId w:val="63"/>
        </w:numPr>
      </w:pPr>
      <w:r>
        <w:rPr>
          <w:rStyle w:val="Fett"/>
        </w:rPr>
        <w:t>Birkat Kohanim</w:t>
      </w:r>
      <w:r>
        <w:t xml:space="preserve"> (Priesterlicher Segen) in der Synagoge</w:t>
      </w:r>
    </w:p>
    <w:p w14:paraId="5F537D23" w14:textId="1224C53F" w:rsidR="00C41F4F" w:rsidRDefault="00C41F4F" w:rsidP="00C15C06">
      <w:pPr>
        <w:pStyle w:val="whitespace-normal"/>
        <w:numPr>
          <w:ilvl w:val="0"/>
          <w:numId w:val="63"/>
        </w:numPr>
      </w:pPr>
      <w:r>
        <w:t xml:space="preserve">Täglich im Tempel, </w:t>
      </w:r>
      <w:r>
        <w:rPr>
          <w:rStyle w:val="Fett"/>
        </w:rPr>
        <w:t>dreimal jährlich</w:t>
      </w:r>
      <w:r>
        <w:t xml:space="preserve"> in der Synagoge (</w:t>
      </w:r>
      <w:r w:rsidR="00E136DC">
        <w:t>Pesach</w:t>
      </w:r>
      <w:r>
        <w:t>, Schawuot, Sukkot)</w:t>
      </w:r>
    </w:p>
    <w:p w14:paraId="20F4999C" w14:textId="77777777" w:rsidR="00C41F4F" w:rsidRDefault="00C41F4F" w:rsidP="00C15C06">
      <w:pPr>
        <w:pStyle w:val="whitespace-normal"/>
        <w:numPr>
          <w:ilvl w:val="0"/>
          <w:numId w:val="63"/>
        </w:numPr>
      </w:pPr>
      <w:r>
        <w:t xml:space="preserve">Mit </w:t>
      </w:r>
      <w:r>
        <w:rPr>
          <w:rStyle w:val="Fett"/>
        </w:rPr>
        <w:t>erhobenen Händen</w:t>
      </w:r>
      <w:r>
        <w:t xml:space="preserve"> (V-Form der Finger: Schin = Schaddai)</w:t>
      </w:r>
    </w:p>
    <w:p w14:paraId="62B5ACBE" w14:textId="77777777" w:rsidR="00C41F4F" w:rsidRDefault="00C41F4F" w:rsidP="00C41F4F">
      <w:pPr>
        <w:pStyle w:val="whitespace-normal"/>
      </w:pPr>
      <w:r>
        <w:rPr>
          <w:rStyle w:val="Fett"/>
        </w:rPr>
        <w:t>c) Christliche Tradition:</w:t>
      </w:r>
    </w:p>
    <w:p w14:paraId="6EB0E244" w14:textId="77777777" w:rsidR="00C41F4F" w:rsidRDefault="00C41F4F" w:rsidP="00C15C06">
      <w:pPr>
        <w:pStyle w:val="whitespace-normal"/>
        <w:numPr>
          <w:ilvl w:val="0"/>
          <w:numId w:val="64"/>
        </w:numPr>
      </w:pPr>
      <w:r>
        <w:rPr>
          <w:rStyle w:val="Fett"/>
        </w:rPr>
        <w:t>Trinitarische Deutung</w:t>
      </w:r>
      <w:r>
        <w:t xml:space="preserve"> (3 Segensverse = Trinität)</w:t>
      </w:r>
    </w:p>
    <w:p w14:paraId="12E54477" w14:textId="77777777" w:rsidR="00C41F4F" w:rsidRDefault="00C41F4F" w:rsidP="00C15C06">
      <w:pPr>
        <w:pStyle w:val="whitespace-normal"/>
        <w:numPr>
          <w:ilvl w:val="0"/>
          <w:numId w:val="64"/>
        </w:numPr>
      </w:pPr>
      <w:r>
        <w:rPr>
          <w:rStyle w:val="Fett"/>
        </w:rPr>
        <w:t>Aaronitischer Segen</w:t>
      </w:r>
      <w:r>
        <w:t xml:space="preserve"> als liturgischer Schlusssegen</w:t>
      </w:r>
    </w:p>
    <w:p w14:paraId="00804327" w14:textId="77777777" w:rsidR="00C41F4F" w:rsidRDefault="00C41F4F" w:rsidP="00C15C06">
      <w:pPr>
        <w:pStyle w:val="whitespace-normal"/>
        <w:numPr>
          <w:ilvl w:val="0"/>
          <w:numId w:val="64"/>
        </w:numPr>
      </w:pPr>
      <w:r>
        <w:rPr>
          <w:rStyle w:val="Fett"/>
        </w:rPr>
        <w:t>Keine biblische Basis</w:t>
      </w:r>
      <w:r>
        <w:t xml:space="preserve"> für trinitarische Deutung (AT kennt keine Trinität)</w:t>
      </w:r>
    </w:p>
    <w:p w14:paraId="539CF24E" w14:textId="77777777" w:rsidR="00C41F4F" w:rsidRDefault="00F329DD" w:rsidP="00C41F4F">
      <w:r>
        <w:rPr>
          <w:noProof/>
        </w:rPr>
        <w:pict w14:anchorId="6667D618">
          <v:rect id="_x0000_i1271" style="width:0;height:1.5pt" o:hralign="center" o:hrstd="t" o:hr="t" fillcolor="#a0a0a0" stroked="f"/>
        </w:pict>
      </w:r>
    </w:p>
    <w:p w14:paraId="47086A96" w14:textId="77777777" w:rsidR="00C41F4F" w:rsidRDefault="00C41F4F" w:rsidP="00C41F4F">
      <w:pPr>
        <w:pStyle w:val="whitespace-normal"/>
      </w:pPr>
      <w:r>
        <w:rPr>
          <w:rStyle w:val="Fett"/>
        </w:rPr>
        <w:lastRenderedPageBreak/>
        <w:t>Abschließende Bewertung:</w:t>
      </w:r>
      <w:r>
        <w:t xml:space="preserve"> Der Aaronitische Segen ist ein </w:t>
      </w:r>
      <w:r>
        <w:rPr>
          <w:rStyle w:val="Fett"/>
        </w:rPr>
        <w:t>Meisterwerk semitischer Poesie</w:t>
      </w:r>
      <w:r>
        <w:t xml:space="preserve"> mit systematischer Steigerung in Form und Inhalt. Die </w:t>
      </w:r>
      <w:r>
        <w:rPr>
          <w:rStyle w:val="Fett"/>
        </w:rPr>
        <w:t>Einfachheit</w:t>
      </w:r>
      <w:r>
        <w:t xml:space="preserve"> der Sprache steht im Kontrast zur </w:t>
      </w:r>
      <w:r>
        <w:rPr>
          <w:rStyle w:val="Fett"/>
        </w:rPr>
        <w:t>Tiefe</w:t>
      </w:r>
      <w:r>
        <w:t xml:space="preserve"> der Theologie.</w:t>
      </w:r>
    </w:p>
    <w:p w14:paraId="04F13743" w14:textId="77777777" w:rsidR="00C45636" w:rsidRPr="00C45636" w:rsidRDefault="00C45636" w:rsidP="00C45636">
      <w:pPr>
        <w:spacing w:before="100" w:beforeAutospacing="1" w:after="100" w:afterAutospacing="1" w:line="240" w:lineRule="auto"/>
        <w:outlineLvl w:val="0"/>
        <w:rPr>
          <w:rFonts w:eastAsia="Times New Roman" w:cs="Times New Roman"/>
          <w:b/>
          <w:bCs/>
          <w:kern w:val="36"/>
          <w:sz w:val="48"/>
          <w:szCs w:val="48"/>
          <w:lang w:eastAsia="de-DE"/>
        </w:rPr>
      </w:pPr>
      <w:r w:rsidRPr="00C45636">
        <w:rPr>
          <w:rFonts w:eastAsia="Times New Roman" w:cs="Times New Roman"/>
          <w:b/>
          <w:bCs/>
          <w:kern w:val="36"/>
          <w:sz w:val="48"/>
          <w:szCs w:val="48"/>
          <w:lang w:eastAsia="de-DE"/>
        </w:rPr>
        <w:t>Numeri 7,1</w:t>
      </w:r>
    </w:p>
    <w:p w14:paraId="34E1C3E8"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Hebräisch:</w:t>
      </w:r>
      <w:r w:rsidRPr="00C45636">
        <w:rPr>
          <w:rFonts w:eastAsia="Times New Roman" w:cs="Times New Roman"/>
          <w:lang w:eastAsia="de-DE"/>
        </w:rPr>
        <w:t xml:space="preserve"> </w:t>
      </w:r>
      <w:r w:rsidRPr="00C45636">
        <w:rPr>
          <w:rFonts w:eastAsia="Times New Roman" w:cs="Times New Roman"/>
          <w:rtl/>
          <w:lang w:eastAsia="de-DE"/>
        </w:rPr>
        <w:t>וַיְהִ֡י בְּיוֹם֩ כַּלּ֨וֹת מֹשֶׁ֜ה לְהָקִ֣ים אֶת־הַמִּשְׁכָּ֗ן וַיִּמְשַׁ֨ח אֹת֜וֹ וַיְקַדֵּ֤שׁ אֹתוֹ֙ וְאֶת־כָּל־כֵּלָ֔יו וְאֶת־הַמִּזְבֵּ֖חַ וְאֶת־כָּל־כֵּלָ֑יו וַיִּמְשָׁחֵ֥ם וַיְקַדֵּ֖שׁ אֹתָֽם׃</w:t>
      </w:r>
    </w:p>
    <w:p w14:paraId="54256875"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Deutsch:</w:t>
      </w:r>
      <w:r w:rsidRPr="00C45636">
        <w:rPr>
          <w:rFonts w:eastAsia="Times New Roman" w:cs="Times New Roman"/>
          <w:lang w:eastAsia="de-DE"/>
        </w:rPr>
        <w:t xml:space="preserve"> Und es geschah an dem Tag, als Mosche die Aufrichtung der Wohnung vollendet hatte, da salbte er sie und heiligte sie und all ihre Geräte und den Altar und all seine Geräte; und er salbte sie und heiligte sie.</w:t>
      </w:r>
    </w:p>
    <w:p w14:paraId="3A252DCA" w14:textId="77777777" w:rsidR="00C45636" w:rsidRPr="00C45636" w:rsidRDefault="00F329DD" w:rsidP="00C45636">
      <w:pPr>
        <w:spacing w:after="0" w:line="240" w:lineRule="auto"/>
        <w:rPr>
          <w:rFonts w:eastAsia="Times New Roman" w:cs="Times New Roman"/>
          <w:lang w:eastAsia="de-DE"/>
        </w:rPr>
      </w:pPr>
      <w:r>
        <w:rPr>
          <w:rFonts w:eastAsia="Times New Roman" w:cs="Times New Roman"/>
          <w:noProof/>
          <w:lang w:eastAsia="de-DE"/>
        </w:rPr>
        <w:pict w14:anchorId="0168D685">
          <v:rect id="_x0000_i1272" style="width:0;height:1.5pt" o:hralign="center" o:hrstd="t" o:hr="t" fillcolor="#a0a0a0" stroked="f"/>
        </w:pict>
      </w:r>
    </w:p>
    <w:p w14:paraId="3F5A7DB1" w14:textId="49232A9B"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Kommentar:</w:t>
      </w:r>
      <w:r w:rsidRPr="00C45636">
        <w:rPr>
          <w:rFonts w:eastAsia="Times New Roman" w:cs="Times New Roman"/>
          <w:lang w:eastAsia="de-DE"/>
        </w:rPr>
        <w:t xml:space="preserve"> Der Vers leitet das längste Kapitel des Pentateuch ein und verbindet es zeitlich mit der Vollendung der Stiftshütte. </w:t>
      </w:r>
      <w:r w:rsidRPr="00C45636">
        <w:rPr>
          <w:rFonts w:eastAsia="Times New Roman" w:cs="Times New Roman"/>
          <w:b/>
          <w:bCs/>
          <w:rtl/>
          <w:lang w:eastAsia="de-DE"/>
        </w:rPr>
        <w:t>וַיְהִי בְּיוֹם כַּלּוֹת מֹשֶׁה לְהָקִים אֶת־הַמִּשְׁכָּן</w:t>
      </w:r>
      <w:r w:rsidRPr="00C45636">
        <w:rPr>
          <w:rFonts w:eastAsia="Times New Roman" w:cs="Times New Roman"/>
          <w:rtl/>
          <w:lang w:eastAsia="de-DE"/>
        </w:rPr>
        <w:t xml:space="preserve"> </w:t>
      </w:r>
      <w:r w:rsidRPr="00C45636">
        <w:rPr>
          <w:rFonts w:eastAsia="Times New Roman" w:cs="Times New Roman"/>
          <w:lang w:eastAsia="de-DE"/>
        </w:rPr>
        <w:t xml:space="preserve">ist die temporale Einleitung. </w:t>
      </w:r>
      <w:r w:rsidRPr="00C45636">
        <w:rPr>
          <w:rFonts w:eastAsia="Times New Roman" w:cs="Times New Roman"/>
          <w:b/>
          <w:bCs/>
          <w:rtl/>
          <w:lang w:eastAsia="de-DE"/>
        </w:rPr>
        <w:t>וַיְהִי</w:t>
      </w:r>
      <w:r w:rsidRPr="00C45636">
        <w:rPr>
          <w:rFonts w:eastAsia="Times New Roman" w:cs="Times New Roman"/>
          <w:rtl/>
          <w:lang w:eastAsia="de-DE"/>
        </w:rPr>
        <w:t xml:space="preserve"> </w:t>
      </w:r>
      <w:r w:rsidRPr="00C45636">
        <w:rPr>
          <w:rFonts w:eastAsia="Times New Roman" w:cs="Times New Roman"/>
          <w:lang w:eastAsia="de-DE"/>
        </w:rPr>
        <w:t xml:space="preserve">(Qal Wayyiqtol 3. Person maskulin Singular von </w:t>
      </w:r>
      <w:r w:rsidRPr="00C45636">
        <w:rPr>
          <w:rFonts w:eastAsia="Times New Roman" w:cs="Times New Roman"/>
          <w:b/>
          <w:bCs/>
          <w:rtl/>
          <w:lang w:eastAsia="de-DE"/>
        </w:rPr>
        <w:t>היה</w:t>
      </w:r>
      <w:r w:rsidRPr="00C45636">
        <w:rPr>
          <w:rFonts w:eastAsia="Times New Roman" w:cs="Times New Roman"/>
          <w:rtl/>
          <w:lang w:eastAsia="de-DE"/>
        </w:rPr>
        <w:t xml:space="preserve"> </w:t>
      </w:r>
      <w:r w:rsidRPr="00C45636">
        <w:rPr>
          <w:rFonts w:eastAsia="Times New Roman" w:cs="Times New Roman"/>
          <w:lang w:eastAsia="de-DE"/>
        </w:rPr>
        <w:t xml:space="preserve">„sein, geschehen" - die klassische Erzähleinleitung „und es geschah"), </w:t>
      </w:r>
      <w:r w:rsidRPr="00C45636">
        <w:rPr>
          <w:rFonts w:eastAsia="Times New Roman" w:cs="Times New Roman"/>
          <w:b/>
          <w:bCs/>
          <w:rtl/>
          <w:lang w:eastAsia="de-DE"/>
        </w:rPr>
        <w:t>בְּיוֹם</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בְ</w:t>
      </w:r>
      <w:r w:rsidRPr="00C45636">
        <w:rPr>
          <w:rFonts w:eastAsia="Times New Roman" w:cs="Times New Roman"/>
          <w:rtl/>
          <w:lang w:eastAsia="de-DE"/>
        </w:rPr>
        <w:t xml:space="preserve"> </w:t>
      </w:r>
      <w:r w:rsidRPr="00C45636">
        <w:rPr>
          <w:rFonts w:eastAsia="Times New Roman" w:cs="Times New Roman"/>
          <w:lang w:eastAsia="de-DE"/>
        </w:rPr>
        <w:t xml:space="preserve">mit </w:t>
      </w:r>
      <w:r w:rsidRPr="00C45636">
        <w:rPr>
          <w:rFonts w:eastAsia="Times New Roman" w:cs="Times New Roman"/>
          <w:b/>
          <w:bCs/>
          <w:rtl/>
          <w:lang w:eastAsia="de-DE"/>
        </w:rPr>
        <w:t>יוֹם</w:t>
      </w:r>
      <w:r w:rsidRPr="00C45636">
        <w:rPr>
          <w:rFonts w:eastAsia="Times New Roman" w:cs="Times New Roman"/>
          <w:rtl/>
          <w:lang w:eastAsia="de-DE"/>
        </w:rPr>
        <w:t xml:space="preserve"> </w:t>
      </w:r>
      <w:r w:rsidRPr="00C45636">
        <w:rPr>
          <w:rFonts w:eastAsia="Times New Roman" w:cs="Times New Roman"/>
          <w:lang w:eastAsia="de-DE"/>
        </w:rPr>
        <w:t xml:space="preserve">„Tag" „an dem Tag"), </w:t>
      </w:r>
      <w:r w:rsidRPr="00C45636">
        <w:rPr>
          <w:rFonts w:eastAsia="Times New Roman" w:cs="Times New Roman"/>
          <w:b/>
          <w:bCs/>
          <w:rtl/>
          <w:lang w:eastAsia="de-DE"/>
        </w:rPr>
        <w:t>כַּלּוֹת מֹשֶׁה</w:t>
      </w:r>
      <w:r w:rsidRPr="00C45636">
        <w:rPr>
          <w:rFonts w:eastAsia="Times New Roman" w:cs="Times New Roman"/>
          <w:rtl/>
          <w:lang w:eastAsia="de-DE"/>
        </w:rPr>
        <w:t xml:space="preserve"> </w:t>
      </w:r>
      <w:r w:rsidRPr="00C45636">
        <w:rPr>
          <w:rFonts w:eastAsia="Times New Roman" w:cs="Times New Roman"/>
          <w:lang w:eastAsia="de-DE"/>
        </w:rPr>
        <w:t xml:space="preserve">(Piel Infinitiv </w:t>
      </w:r>
      <w:r w:rsidR="00F133EC">
        <w:rPr>
          <w:rFonts w:eastAsia="Times New Roman" w:cs="Times New Roman"/>
          <w:lang w:eastAsia="de-DE"/>
        </w:rPr>
        <w:t>Constructus</w:t>
      </w:r>
      <w:r w:rsidRPr="00C45636">
        <w:rPr>
          <w:rFonts w:eastAsia="Times New Roman" w:cs="Times New Roman"/>
          <w:lang w:eastAsia="de-DE"/>
        </w:rPr>
        <w:t xml:space="preserve"> von </w:t>
      </w:r>
      <w:r w:rsidRPr="00C45636">
        <w:rPr>
          <w:rFonts w:eastAsia="Times New Roman" w:cs="Times New Roman"/>
          <w:b/>
          <w:bCs/>
          <w:rtl/>
          <w:lang w:eastAsia="de-DE"/>
        </w:rPr>
        <w:t>כלה</w:t>
      </w:r>
      <w:r w:rsidRPr="00C45636">
        <w:rPr>
          <w:rFonts w:eastAsia="Times New Roman" w:cs="Times New Roman"/>
          <w:rtl/>
          <w:lang w:eastAsia="de-DE"/>
        </w:rPr>
        <w:t xml:space="preserve"> </w:t>
      </w:r>
      <w:r w:rsidRPr="00C45636">
        <w:rPr>
          <w:rFonts w:eastAsia="Times New Roman" w:cs="Times New Roman"/>
          <w:lang w:eastAsia="de-DE"/>
        </w:rPr>
        <w:t xml:space="preserve">„vollenden, beenden" mit </w:t>
      </w:r>
      <w:r w:rsidRPr="00C45636">
        <w:rPr>
          <w:rFonts w:eastAsia="Times New Roman" w:cs="Times New Roman"/>
          <w:b/>
          <w:bCs/>
          <w:rtl/>
          <w:lang w:eastAsia="de-DE"/>
        </w:rPr>
        <w:t>מֹשֶׁה</w:t>
      </w:r>
      <w:r w:rsidRPr="00C45636">
        <w:rPr>
          <w:rFonts w:eastAsia="Times New Roman" w:cs="Times New Roman"/>
          <w:rtl/>
          <w:lang w:eastAsia="de-DE"/>
        </w:rPr>
        <w:t xml:space="preserve"> </w:t>
      </w:r>
      <w:r w:rsidRPr="00C45636">
        <w:rPr>
          <w:rFonts w:eastAsia="Times New Roman" w:cs="Times New Roman"/>
          <w:lang w:eastAsia="de-DE"/>
        </w:rPr>
        <w:t xml:space="preserve">als Subjekt im Genitiv „als Mosche vollendet hatte"), </w:t>
      </w:r>
      <w:r w:rsidRPr="00C45636">
        <w:rPr>
          <w:rFonts w:eastAsia="Times New Roman" w:cs="Times New Roman"/>
          <w:b/>
          <w:bCs/>
          <w:rtl/>
          <w:lang w:eastAsia="de-DE"/>
        </w:rPr>
        <w:t>לְהָקִים אֶת־הַמִּשְׁכָּן</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לְ</w:t>
      </w:r>
      <w:r w:rsidRPr="00C45636">
        <w:rPr>
          <w:rFonts w:eastAsia="Times New Roman" w:cs="Times New Roman"/>
          <w:rtl/>
          <w:lang w:eastAsia="de-DE"/>
        </w:rPr>
        <w:t xml:space="preserve"> </w:t>
      </w:r>
      <w:r w:rsidRPr="00C45636">
        <w:rPr>
          <w:rFonts w:eastAsia="Times New Roman" w:cs="Times New Roman"/>
          <w:lang w:eastAsia="de-DE"/>
        </w:rPr>
        <w:t xml:space="preserve">mit Hiphil Infinitiv </w:t>
      </w:r>
      <w:r w:rsidR="00F133EC">
        <w:rPr>
          <w:rFonts w:eastAsia="Times New Roman" w:cs="Times New Roman"/>
          <w:lang w:eastAsia="de-DE"/>
        </w:rPr>
        <w:t>Constructus</w:t>
      </w:r>
      <w:r w:rsidRPr="00C45636">
        <w:rPr>
          <w:rFonts w:eastAsia="Times New Roman" w:cs="Times New Roman"/>
          <w:lang w:eastAsia="de-DE"/>
        </w:rPr>
        <w:t xml:space="preserve"> von </w:t>
      </w:r>
      <w:r w:rsidRPr="00C45636">
        <w:rPr>
          <w:rFonts w:eastAsia="Times New Roman" w:cs="Times New Roman"/>
          <w:b/>
          <w:bCs/>
          <w:rtl/>
          <w:lang w:eastAsia="de-DE"/>
        </w:rPr>
        <w:t>קום</w:t>
      </w:r>
      <w:r w:rsidRPr="00C45636">
        <w:rPr>
          <w:rFonts w:eastAsia="Times New Roman" w:cs="Times New Roman"/>
          <w:rtl/>
          <w:lang w:eastAsia="de-DE"/>
        </w:rPr>
        <w:t xml:space="preserve"> </w:t>
      </w:r>
      <w:r w:rsidRPr="00C45636">
        <w:rPr>
          <w:rFonts w:eastAsia="Times New Roman" w:cs="Times New Roman"/>
          <w:lang w:eastAsia="de-DE"/>
        </w:rPr>
        <w:t xml:space="preserve">„aufrichten, aufstellen" und Akkusativpartikel mit </w:t>
      </w:r>
      <w:r w:rsidRPr="00C45636">
        <w:rPr>
          <w:rFonts w:eastAsia="Times New Roman" w:cs="Times New Roman"/>
          <w:b/>
          <w:bCs/>
          <w:rtl/>
          <w:lang w:eastAsia="de-DE"/>
        </w:rPr>
        <w:t>מִשְׁכָּן</w:t>
      </w:r>
      <w:r w:rsidRPr="00C45636">
        <w:rPr>
          <w:rFonts w:eastAsia="Times New Roman" w:cs="Times New Roman"/>
          <w:rtl/>
          <w:lang w:eastAsia="de-DE"/>
        </w:rPr>
        <w:t xml:space="preserve"> </w:t>
      </w:r>
      <w:r w:rsidRPr="00C45636">
        <w:rPr>
          <w:rFonts w:eastAsia="Times New Roman" w:cs="Times New Roman"/>
          <w:lang w:eastAsia="de-DE"/>
        </w:rPr>
        <w:t>„Wohnung, Stiftshütte" mit Artikel „die Aufrichtung der Wohnung").</w:t>
      </w:r>
    </w:p>
    <w:p w14:paraId="0D94CAF1"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rtl/>
          <w:lang w:eastAsia="de-DE"/>
        </w:rPr>
        <w:t>וַיִּמְשַׁח אֹתוֹ וַיְקַדֵּשׁ אֹתוֹ וְאֶת־כָּל־כֵּלָיו</w:t>
      </w:r>
      <w:r w:rsidRPr="00C45636">
        <w:rPr>
          <w:rFonts w:eastAsia="Times New Roman" w:cs="Times New Roman"/>
          <w:rtl/>
          <w:lang w:eastAsia="de-DE"/>
        </w:rPr>
        <w:t xml:space="preserve"> </w:t>
      </w:r>
      <w:r w:rsidRPr="00C45636">
        <w:rPr>
          <w:rFonts w:eastAsia="Times New Roman" w:cs="Times New Roman"/>
          <w:lang w:eastAsia="de-DE"/>
        </w:rPr>
        <w:t xml:space="preserve">sind die ersten rituellen Handlungen. </w:t>
      </w:r>
      <w:r w:rsidRPr="00C45636">
        <w:rPr>
          <w:rFonts w:eastAsia="Times New Roman" w:cs="Times New Roman"/>
          <w:b/>
          <w:bCs/>
          <w:rtl/>
          <w:lang w:eastAsia="de-DE"/>
        </w:rPr>
        <w:t>וַיִּמְשַׁח אֹתוֹ</w:t>
      </w:r>
      <w:r w:rsidRPr="00C45636">
        <w:rPr>
          <w:rFonts w:eastAsia="Times New Roman" w:cs="Times New Roman"/>
          <w:rtl/>
          <w:lang w:eastAsia="de-DE"/>
        </w:rPr>
        <w:t xml:space="preserve"> </w:t>
      </w:r>
      <w:r w:rsidRPr="00C45636">
        <w:rPr>
          <w:rFonts w:eastAsia="Times New Roman" w:cs="Times New Roman"/>
          <w:lang w:eastAsia="de-DE"/>
        </w:rPr>
        <w:t xml:space="preserve">(Qal Wayyiqtol 3. Person maskulin Singular von </w:t>
      </w:r>
      <w:r w:rsidRPr="00C45636">
        <w:rPr>
          <w:rFonts w:eastAsia="Times New Roman" w:cs="Times New Roman"/>
          <w:b/>
          <w:bCs/>
          <w:rtl/>
          <w:lang w:eastAsia="de-DE"/>
        </w:rPr>
        <w:t>משׁח</w:t>
      </w:r>
      <w:r w:rsidRPr="00C45636">
        <w:rPr>
          <w:rFonts w:eastAsia="Times New Roman" w:cs="Times New Roman"/>
          <w:rtl/>
          <w:lang w:eastAsia="de-DE"/>
        </w:rPr>
        <w:t xml:space="preserve"> </w:t>
      </w:r>
      <w:r w:rsidRPr="00C45636">
        <w:rPr>
          <w:rFonts w:eastAsia="Times New Roman" w:cs="Times New Roman"/>
          <w:lang w:eastAsia="de-DE"/>
        </w:rPr>
        <w:t xml:space="preserve">„salben" mit Akkusativpartikel und Suffix 3. Person maskulin Singular „und er salbte sie"), </w:t>
      </w:r>
      <w:r w:rsidRPr="00C45636">
        <w:rPr>
          <w:rFonts w:eastAsia="Times New Roman" w:cs="Times New Roman"/>
          <w:b/>
          <w:bCs/>
          <w:rtl/>
          <w:lang w:eastAsia="de-DE"/>
        </w:rPr>
        <w:t>וַיְקַדֵּשׁ אֹתוֹ</w:t>
      </w:r>
      <w:r w:rsidRPr="00C45636">
        <w:rPr>
          <w:rFonts w:eastAsia="Times New Roman" w:cs="Times New Roman"/>
          <w:rtl/>
          <w:lang w:eastAsia="de-DE"/>
        </w:rPr>
        <w:t xml:space="preserve"> </w:t>
      </w:r>
      <w:r w:rsidRPr="00C45636">
        <w:rPr>
          <w:rFonts w:eastAsia="Times New Roman" w:cs="Times New Roman"/>
          <w:lang w:eastAsia="de-DE"/>
        </w:rPr>
        <w:t xml:space="preserve">(Piel Wayyiqtol von </w:t>
      </w:r>
      <w:r w:rsidRPr="00C45636">
        <w:rPr>
          <w:rFonts w:eastAsia="Times New Roman" w:cs="Times New Roman"/>
          <w:b/>
          <w:bCs/>
          <w:rtl/>
          <w:lang w:eastAsia="de-DE"/>
        </w:rPr>
        <w:t>קדשׁ</w:t>
      </w:r>
      <w:r w:rsidRPr="00C45636">
        <w:rPr>
          <w:rFonts w:eastAsia="Times New Roman" w:cs="Times New Roman"/>
          <w:rtl/>
          <w:lang w:eastAsia="de-DE"/>
        </w:rPr>
        <w:t xml:space="preserve"> </w:t>
      </w:r>
      <w:r w:rsidRPr="00C45636">
        <w:rPr>
          <w:rFonts w:eastAsia="Times New Roman" w:cs="Times New Roman"/>
          <w:lang w:eastAsia="de-DE"/>
        </w:rPr>
        <w:t xml:space="preserve">„heiligen, weihen" mit Akkusativpartikel und Suffix „und heiligte sie"), </w:t>
      </w:r>
      <w:r w:rsidRPr="00C45636">
        <w:rPr>
          <w:rFonts w:eastAsia="Times New Roman" w:cs="Times New Roman"/>
          <w:b/>
          <w:bCs/>
          <w:rtl/>
          <w:lang w:eastAsia="de-DE"/>
        </w:rPr>
        <w:t>וְאֶת־כָּל־כֵּלָיו</w:t>
      </w:r>
      <w:r w:rsidRPr="00C45636">
        <w:rPr>
          <w:rFonts w:eastAsia="Times New Roman" w:cs="Times New Roman"/>
          <w:rtl/>
          <w:lang w:eastAsia="de-DE"/>
        </w:rPr>
        <w:t xml:space="preserve"> </w:t>
      </w:r>
      <w:r w:rsidRPr="00C45636">
        <w:rPr>
          <w:rFonts w:eastAsia="Times New Roman" w:cs="Times New Roman"/>
          <w:lang w:eastAsia="de-DE"/>
        </w:rPr>
        <w:t xml:space="preserve">(Konjunktion mit Akkusativpartikel, </w:t>
      </w:r>
      <w:r w:rsidRPr="00C45636">
        <w:rPr>
          <w:rFonts w:eastAsia="Times New Roman" w:cs="Times New Roman"/>
          <w:b/>
          <w:bCs/>
          <w:rtl/>
          <w:lang w:eastAsia="de-DE"/>
        </w:rPr>
        <w:t>כֹּל</w:t>
      </w:r>
      <w:r w:rsidRPr="00C45636">
        <w:rPr>
          <w:rFonts w:eastAsia="Times New Roman" w:cs="Times New Roman"/>
          <w:rtl/>
          <w:lang w:eastAsia="de-DE"/>
        </w:rPr>
        <w:t xml:space="preserve"> </w:t>
      </w:r>
      <w:r w:rsidRPr="00C45636">
        <w:rPr>
          <w:rFonts w:eastAsia="Times New Roman" w:cs="Times New Roman"/>
          <w:lang w:eastAsia="de-DE"/>
        </w:rPr>
        <w:t xml:space="preserve">„alles" und Plural von </w:t>
      </w:r>
      <w:r w:rsidRPr="00C45636">
        <w:rPr>
          <w:rFonts w:eastAsia="Times New Roman" w:cs="Times New Roman"/>
          <w:b/>
          <w:bCs/>
          <w:rtl/>
          <w:lang w:eastAsia="de-DE"/>
        </w:rPr>
        <w:t>כְּלִי</w:t>
      </w:r>
      <w:r w:rsidRPr="00C45636">
        <w:rPr>
          <w:rFonts w:eastAsia="Times New Roman" w:cs="Times New Roman"/>
          <w:rtl/>
          <w:lang w:eastAsia="de-DE"/>
        </w:rPr>
        <w:t xml:space="preserve"> </w:t>
      </w:r>
      <w:r w:rsidRPr="00C45636">
        <w:rPr>
          <w:rFonts w:eastAsia="Times New Roman" w:cs="Times New Roman"/>
          <w:lang w:eastAsia="de-DE"/>
        </w:rPr>
        <w:t>„Gerät, Gefäß" mit Suffix 3. Person maskulin Singular „und all ihre Geräte").</w:t>
      </w:r>
    </w:p>
    <w:p w14:paraId="203A38A6"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rtl/>
          <w:lang w:eastAsia="de-DE"/>
        </w:rPr>
        <w:t>וְאֶת־הַמִּזְבֵּחַ וְאֶת־כָּל־כֵּלָיו</w:t>
      </w:r>
      <w:r w:rsidRPr="00C45636">
        <w:rPr>
          <w:rFonts w:eastAsia="Times New Roman" w:cs="Times New Roman"/>
          <w:rtl/>
          <w:lang w:eastAsia="de-DE"/>
        </w:rPr>
        <w:t xml:space="preserve"> </w:t>
      </w:r>
      <w:r w:rsidRPr="00C45636">
        <w:rPr>
          <w:rFonts w:eastAsia="Times New Roman" w:cs="Times New Roman"/>
          <w:lang w:eastAsia="de-DE"/>
        </w:rPr>
        <w:t xml:space="preserve">erweitert auf den Altar. </w:t>
      </w:r>
      <w:r w:rsidRPr="00C45636">
        <w:rPr>
          <w:rFonts w:eastAsia="Times New Roman" w:cs="Times New Roman"/>
          <w:b/>
          <w:bCs/>
          <w:rtl/>
          <w:lang w:eastAsia="de-DE"/>
        </w:rPr>
        <w:t>וְאֶת־הַמִּזְבֵּחַ</w:t>
      </w:r>
      <w:r w:rsidRPr="00C45636">
        <w:rPr>
          <w:rFonts w:eastAsia="Times New Roman" w:cs="Times New Roman"/>
          <w:rtl/>
          <w:lang w:eastAsia="de-DE"/>
        </w:rPr>
        <w:t xml:space="preserve"> </w:t>
      </w:r>
      <w:r w:rsidRPr="00C45636">
        <w:rPr>
          <w:rFonts w:eastAsia="Times New Roman" w:cs="Times New Roman"/>
          <w:lang w:eastAsia="de-DE"/>
        </w:rPr>
        <w:t xml:space="preserve">(Konjunktion mit Akkusativpartikel und </w:t>
      </w:r>
      <w:r w:rsidRPr="00C45636">
        <w:rPr>
          <w:rFonts w:eastAsia="Times New Roman" w:cs="Times New Roman"/>
          <w:b/>
          <w:bCs/>
          <w:rtl/>
          <w:lang w:eastAsia="de-DE"/>
        </w:rPr>
        <w:t>מִזְבֵּחַ</w:t>
      </w:r>
      <w:r w:rsidRPr="00C45636">
        <w:rPr>
          <w:rFonts w:eastAsia="Times New Roman" w:cs="Times New Roman"/>
          <w:rtl/>
          <w:lang w:eastAsia="de-DE"/>
        </w:rPr>
        <w:t xml:space="preserve"> </w:t>
      </w:r>
      <w:r w:rsidRPr="00C45636">
        <w:rPr>
          <w:rFonts w:eastAsia="Times New Roman" w:cs="Times New Roman"/>
          <w:lang w:eastAsia="de-DE"/>
        </w:rPr>
        <w:t xml:space="preserve">„Altar" mit Artikel „und den Altar"), </w:t>
      </w:r>
      <w:r w:rsidRPr="00C45636">
        <w:rPr>
          <w:rFonts w:eastAsia="Times New Roman" w:cs="Times New Roman"/>
          <w:b/>
          <w:bCs/>
          <w:rtl/>
          <w:lang w:eastAsia="de-DE"/>
        </w:rPr>
        <w:t>וְאֶת־כָּל־כֵּלָיו</w:t>
      </w:r>
      <w:r w:rsidRPr="00C45636">
        <w:rPr>
          <w:rFonts w:eastAsia="Times New Roman" w:cs="Times New Roman"/>
          <w:rtl/>
          <w:lang w:eastAsia="de-DE"/>
        </w:rPr>
        <w:t xml:space="preserve"> </w:t>
      </w:r>
      <w:r w:rsidRPr="00C45636">
        <w:rPr>
          <w:rFonts w:eastAsia="Times New Roman" w:cs="Times New Roman"/>
          <w:lang w:eastAsia="de-DE"/>
        </w:rPr>
        <w:t xml:space="preserve">(parallel „und all seine Geräte"). </w:t>
      </w:r>
      <w:r w:rsidRPr="00C45636">
        <w:rPr>
          <w:rFonts w:eastAsia="Times New Roman" w:cs="Times New Roman"/>
          <w:b/>
          <w:bCs/>
          <w:rtl/>
          <w:lang w:eastAsia="de-DE"/>
        </w:rPr>
        <w:t>וַיִּמְשָׁחֵם וַיְקַדֵּשׁ אֹתָם</w:t>
      </w:r>
      <w:r w:rsidRPr="00C45636">
        <w:rPr>
          <w:rFonts w:eastAsia="Times New Roman" w:cs="Times New Roman"/>
          <w:rtl/>
          <w:lang w:eastAsia="de-DE"/>
        </w:rPr>
        <w:t xml:space="preserve"> </w:t>
      </w:r>
      <w:r w:rsidRPr="00C45636">
        <w:rPr>
          <w:rFonts w:eastAsia="Times New Roman" w:cs="Times New Roman"/>
          <w:lang w:eastAsia="de-DE"/>
        </w:rPr>
        <w:t xml:space="preserve">wiederholt die rituellen Handlungen. </w:t>
      </w:r>
      <w:r w:rsidRPr="00C45636">
        <w:rPr>
          <w:rFonts w:eastAsia="Times New Roman" w:cs="Times New Roman"/>
          <w:b/>
          <w:bCs/>
          <w:rtl/>
          <w:lang w:eastAsia="de-DE"/>
        </w:rPr>
        <w:t>וַיִּמְשָׁחֵם</w:t>
      </w:r>
      <w:r w:rsidRPr="00C45636">
        <w:rPr>
          <w:rFonts w:eastAsia="Times New Roman" w:cs="Times New Roman"/>
          <w:rtl/>
          <w:lang w:eastAsia="de-DE"/>
        </w:rPr>
        <w:t xml:space="preserve"> </w:t>
      </w:r>
      <w:r w:rsidRPr="00C45636">
        <w:rPr>
          <w:rFonts w:eastAsia="Times New Roman" w:cs="Times New Roman"/>
          <w:lang w:eastAsia="de-DE"/>
        </w:rPr>
        <w:t xml:space="preserve">(Qal Wayyiqtol von </w:t>
      </w:r>
      <w:r w:rsidRPr="00C45636">
        <w:rPr>
          <w:rFonts w:eastAsia="Times New Roman" w:cs="Times New Roman"/>
          <w:b/>
          <w:bCs/>
          <w:rtl/>
          <w:lang w:eastAsia="de-DE"/>
        </w:rPr>
        <w:t>משׁח</w:t>
      </w:r>
      <w:r w:rsidRPr="00C45636">
        <w:rPr>
          <w:rFonts w:eastAsia="Times New Roman" w:cs="Times New Roman"/>
          <w:rtl/>
          <w:lang w:eastAsia="de-DE"/>
        </w:rPr>
        <w:t xml:space="preserve"> </w:t>
      </w:r>
      <w:r w:rsidRPr="00C45636">
        <w:rPr>
          <w:rFonts w:eastAsia="Times New Roman" w:cs="Times New Roman"/>
          <w:lang w:eastAsia="de-DE"/>
        </w:rPr>
        <w:t xml:space="preserve">mit Suffix 3. Person maskulin Plural - bezieht sich auf Altar und Geräte „und er salbte sie"), </w:t>
      </w:r>
      <w:r w:rsidRPr="00C45636">
        <w:rPr>
          <w:rFonts w:eastAsia="Times New Roman" w:cs="Times New Roman"/>
          <w:b/>
          <w:bCs/>
          <w:rtl/>
          <w:lang w:eastAsia="de-DE"/>
        </w:rPr>
        <w:t>וַיְקַדֵּשׁ אֹתָם</w:t>
      </w:r>
      <w:r w:rsidRPr="00C45636">
        <w:rPr>
          <w:rFonts w:eastAsia="Times New Roman" w:cs="Times New Roman"/>
          <w:rtl/>
          <w:lang w:eastAsia="de-DE"/>
        </w:rPr>
        <w:t xml:space="preserve"> </w:t>
      </w:r>
      <w:r w:rsidRPr="00C45636">
        <w:rPr>
          <w:rFonts w:eastAsia="Times New Roman" w:cs="Times New Roman"/>
          <w:lang w:eastAsia="de-DE"/>
        </w:rPr>
        <w:t xml:space="preserve">(Piel Wayyiqtol von </w:t>
      </w:r>
      <w:r w:rsidRPr="00C45636">
        <w:rPr>
          <w:rFonts w:eastAsia="Times New Roman" w:cs="Times New Roman"/>
          <w:b/>
          <w:bCs/>
          <w:rtl/>
          <w:lang w:eastAsia="de-DE"/>
        </w:rPr>
        <w:t>קדשׁ</w:t>
      </w:r>
      <w:r w:rsidRPr="00C45636">
        <w:rPr>
          <w:rFonts w:eastAsia="Times New Roman" w:cs="Times New Roman"/>
          <w:rtl/>
          <w:lang w:eastAsia="de-DE"/>
        </w:rPr>
        <w:t xml:space="preserve"> </w:t>
      </w:r>
      <w:r w:rsidRPr="00C45636">
        <w:rPr>
          <w:rFonts w:eastAsia="Times New Roman" w:cs="Times New Roman"/>
          <w:lang w:eastAsia="de-DE"/>
        </w:rPr>
        <w:t>mit Akkusativpartikel und Suffix Plural „und heiligte sie").</w:t>
      </w:r>
    </w:p>
    <w:p w14:paraId="749BFB83"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Die LXX</w:t>
      </w:r>
      <w:r w:rsidRPr="00C45636">
        <w:rPr>
          <w:rFonts w:eastAsia="Times New Roman" w:cs="Times New Roman"/>
          <w:lang w:eastAsia="de-DE"/>
        </w:rPr>
        <w:t xml:space="preserve"> gibt keine wesentlichen Abweichungen vom hebräischen Text.</w:t>
      </w:r>
    </w:p>
    <w:p w14:paraId="1F0CCE2C" w14:textId="095991C6"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 xml:space="preserve">Die Satzstruktur zeigt eine temporale Einleitung mit </w:t>
      </w:r>
      <w:r w:rsidRPr="00C45636">
        <w:rPr>
          <w:rFonts w:eastAsia="Times New Roman" w:cs="Times New Roman"/>
          <w:b/>
          <w:bCs/>
          <w:rtl/>
          <w:lang w:eastAsia="de-DE"/>
        </w:rPr>
        <w:t>וַיְהִי</w:t>
      </w:r>
      <w:r w:rsidRPr="00C45636">
        <w:rPr>
          <w:rFonts w:eastAsia="Times New Roman" w:cs="Times New Roman"/>
          <w:rtl/>
          <w:lang w:eastAsia="de-DE"/>
        </w:rPr>
        <w:t xml:space="preserve"> </w:t>
      </w:r>
      <w:r w:rsidRPr="00C45636">
        <w:rPr>
          <w:rFonts w:eastAsia="Times New Roman" w:cs="Times New Roman"/>
          <w:lang w:eastAsia="de-DE"/>
        </w:rPr>
        <w:t xml:space="preserve">und doppeltem Infinitiv </w:t>
      </w:r>
      <w:r w:rsidR="00F133EC">
        <w:rPr>
          <w:rFonts w:eastAsia="Times New Roman" w:cs="Times New Roman"/>
          <w:lang w:eastAsia="de-DE"/>
        </w:rPr>
        <w:t>Constructus</w:t>
      </w:r>
      <w:r w:rsidRPr="00C45636">
        <w:rPr>
          <w:rFonts w:eastAsia="Times New Roman" w:cs="Times New Roman"/>
          <w:lang w:eastAsia="de-DE"/>
        </w:rPr>
        <w:t>, gefolgt von vier koordinierten Verbalhandlungen (salben, heiligen, salben, heiligen) mit zwei Objektgruppen (Stiftshütte + Geräte, Altar + Geräte).</w:t>
      </w:r>
    </w:p>
    <w:p w14:paraId="494E31F2"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Der Vers datiert die folgenden Ereignisse auf den Tag der Vollendung und Weihe der Stiftshütte - laut Exodus 40,17 war dies der erste Tag des ersten Monats im zweiten Jahr nach dem Auszug. Die zweifache Erwähnung von Salbung (</w:t>
      </w:r>
      <w:r w:rsidRPr="00C45636">
        <w:rPr>
          <w:rFonts w:eastAsia="Times New Roman" w:cs="Times New Roman"/>
          <w:b/>
          <w:bCs/>
          <w:rtl/>
          <w:lang w:eastAsia="de-DE"/>
        </w:rPr>
        <w:t>משׁח</w:t>
      </w:r>
      <w:r w:rsidRPr="00C45636">
        <w:rPr>
          <w:rFonts w:eastAsia="Times New Roman" w:cs="Times New Roman"/>
          <w:lang w:eastAsia="de-DE"/>
        </w:rPr>
        <w:t>) und Heiligung (</w:t>
      </w:r>
      <w:r w:rsidRPr="00C45636">
        <w:rPr>
          <w:rFonts w:eastAsia="Times New Roman" w:cs="Times New Roman"/>
          <w:b/>
          <w:bCs/>
          <w:rtl/>
          <w:lang w:eastAsia="de-DE"/>
        </w:rPr>
        <w:t>קדשׁ</w:t>
      </w:r>
      <w:r w:rsidRPr="00C45636">
        <w:rPr>
          <w:rFonts w:eastAsia="Times New Roman" w:cs="Times New Roman"/>
          <w:lang w:eastAsia="de-DE"/>
        </w:rPr>
        <w:t xml:space="preserve">) unterstreicht die rituelle Bedeutung: Die Stiftshütte und ihre Geräte werden durch Salbung mit heiligem Öl für den göttlichen Dienst geweiht und aus dem profanen Bereich </w:t>
      </w:r>
      <w:r w:rsidRPr="00C45636">
        <w:rPr>
          <w:rFonts w:eastAsia="Times New Roman" w:cs="Times New Roman"/>
          <w:lang w:eastAsia="de-DE"/>
        </w:rPr>
        <w:lastRenderedPageBreak/>
        <w:t>herausgenommen. Die Struktur (Stiftshütte + Geräte, Altar + Geräte) betont beide Hauptelemente des Heiligtums.</w:t>
      </w:r>
    </w:p>
    <w:p w14:paraId="57DEE116" w14:textId="77777777" w:rsidR="00C45636" w:rsidRPr="00C45636" w:rsidRDefault="00C45636" w:rsidP="00C45636">
      <w:pPr>
        <w:spacing w:before="100" w:beforeAutospacing="1" w:after="100" w:afterAutospacing="1" w:line="240" w:lineRule="auto"/>
        <w:outlineLvl w:val="0"/>
        <w:rPr>
          <w:rFonts w:eastAsia="Times New Roman" w:cs="Times New Roman"/>
          <w:b/>
          <w:bCs/>
          <w:kern w:val="36"/>
          <w:sz w:val="48"/>
          <w:szCs w:val="48"/>
          <w:lang w:eastAsia="de-DE"/>
        </w:rPr>
      </w:pPr>
      <w:r w:rsidRPr="00C45636">
        <w:rPr>
          <w:rFonts w:eastAsia="Times New Roman" w:cs="Times New Roman"/>
          <w:b/>
          <w:bCs/>
          <w:kern w:val="36"/>
          <w:sz w:val="48"/>
          <w:szCs w:val="48"/>
          <w:lang w:eastAsia="de-DE"/>
        </w:rPr>
        <w:t>Numeri 7,2</w:t>
      </w:r>
    </w:p>
    <w:p w14:paraId="1C6DF078"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Hebräisch:</w:t>
      </w:r>
      <w:r w:rsidRPr="00C45636">
        <w:rPr>
          <w:rFonts w:eastAsia="Times New Roman" w:cs="Times New Roman"/>
          <w:lang w:eastAsia="de-DE"/>
        </w:rPr>
        <w:t xml:space="preserve"> </w:t>
      </w:r>
      <w:r w:rsidRPr="00C45636">
        <w:rPr>
          <w:rFonts w:eastAsia="Times New Roman" w:cs="Times New Roman"/>
          <w:rtl/>
          <w:lang w:eastAsia="de-DE"/>
        </w:rPr>
        <w:t>וַיַּקְרִ֙יבוּ֙ נְשִׂיאֵ֣י יִשְׂרָאֵ֔ל רָאשֵׁ֖י בֵּ֣ית אֲבֹתָ֑ם הֵ֚ם נְשִׂיאֵ֣י הַמַּטֹּ֔ת הֵ֥ם הָעֹמְדִ֖ים עַל־הַפְּקֻדִֽים׃</w:t>
      </w:r>
    </w:p>
    <w:p w14:paraId="40AEFF84"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Deutsch:</w:t>
      </w:r>
      <w:r w:rsidRPr="00C45636">
        <w:rPr>
          <w:rFonts w:eastAsia="Times New Roman" w:cs="Times New Roman"/>
          <w:lang w:eastAsia="de-DE"/>
        </w:rPr>
        <w:t xml:space="preserve"> Da brachten die Fürsten Jisra'els dar, die Häupter ihrer Vaterhäuser; das sind die Fürsten der Stämme, das sind die, die über den Gemusterten standen.</w:t>
      </w:r>
    </w:p>
    <w:p w14:paraId="148D2F37" w14:textId="77777777" w:rsidR="00C45636" w:rsidRPr="00C45636" w:rsidRDefault="00F329DD" w:rsidP="00C45636">
      <w:pPr>
        <w:spacing w:after="0" w:line="240" w:lineRule="auto"/>
        <w:rPr>
          <w:rFonts w:eastAsia="Times New Roman" w:cs="Times New Roman"/>
          <w:lang w:eastAsia="de-DE"/>
        </w:rPr>
      </w:pPr>
      <w:r>
        <w:rPr>
          <w:rFonts w:eastAsia="Times New Roman" w:cs="Times New Roman"/>
          <w:noProof/>
          <w:lang w:eastAsia="de-DE"/>
        </w:rPr>
        <w:pict w14:anchorId="2DFA4BF0">
          <v:rect id="_x0000_i1273" style="width:0;height:1.5pt" o:hralign="center" o:hrstd="t" o:hr="t" fillcolor="#a0a0a0" stroked="f"/>
        </w:pict>
      </w:r>
    </w:p>
    <w:p w14:paraId="075916AB" w14:textId="7B9128B2"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Kommentar:</w:t>
      </w:r>
      <w:r w:rsidRPr="00C45636">
        <w:rPr>
          <w:rFonts w:eastAsia="Times New Roman" w:cs="Times New Roman"/>
          <w:lang w:eastAsia="de-DE"/>
        </w:rPr>
        <w:t xml:space="preserve"> Der Vers identifiziert die Darbringenden dreifach. </w:t>
      </w:r>
      <w:r w:rsidRPr="00C45636">
        <w:rPr>
          <w:rFonts w:eastAsia="Times New Roman" w:cs="Times New Roman"/>
          <w:b/>
          <w:bCs/>
          <w:rtl/>
          <w:lang w:eastAsia="de-DE"/>
        </w:rPr>
        <w:t>וַיַּקְרִיבוּ נְשִׂיאֵי יִשְׂרָאֵל</w:t>
      </w:r>
      <w:r w:rsidRPr="00C45636">
        <w:rPr>
          <w:rFonts w:eastAsia="Times New Roman" w:cs="Times New Roman"/>
          <w:rtl/>
          <w:lang w:eastAsia="de-DE"/>
        </w:rPr>
        <w:t xml:space="preserve"> </w:t>
      </w:r>
      <w:r w:rsidRPr="00C45636">
        <w:rPr>
          <w:rFonts w:eastAsia="Times New Roman" w:cs="Times New Roman"/>
          <w:lang w:eastAsia="de-DE"/>
        </w:rPr>
        <w:t xml:space="preserve">ist die Hauptaussage. </w:t>
      </w:r>
      <w:r w:rsidRPr="00C45636">
        <w:rPr>
          <w:rFonts w:eastAsia="Times New Roman" w:cs="Times New Roman"/>
          <w:b/>
          <w:bCs/>
          <w:rtl/>
          <w:lang w:eastAsia="de-DE"/>
        </w:rPr>
        <w:t>וַיַּקְרִיבוּ</w:t>
      </w:r>
      <w:r w:rsidRPr="00C45636">
        <w:rPr>
          <w:rFonts w:eastAsia="Times New Roman" w:cs="Times New Roman"/>
          <w:rtl/>
          <w:lang w:eastAsia="de-DE"/>
        </w:rPr>
        <w:t xml:space="preserve"> </w:t>
      </w:r>
      <w:r w:rsidRPr="00C45636">
        <w:rPr>
          <w:rFonts w:eastAsia="Times New Roman" w:cs="Times New Roman"/>
          <w:lang w:eastAsia="de-DE"/>
        </w:rPr>
        <w:t xml:space="preserve">(Hiphil Wayyiqtol 3. Person Plural von </w:t>
      </w:r>
      <w:r w:rsidRPr="00C45636">
        <w:rPr>
          <w:rFonts w:eastAsia="Times New Roman" w:cs="Times New Roman"/>
          <w:b/>
          <w:bCs/>
          <w:rtl/>
          <w:lang w:eastAsia="de-DE"/>
        </w:rPr>
        <w:t>קרב</w:t>
      </w:r>
      <w:r w:rsidRPr="00C45636">
        <w:rPr>
          <w:rFonts w:eastAsia="Times New Roman" w:cs="Times New Roman"/>
          <w:rtl/>
          <w:lang w:eastAsia="de-DE"/>
        </w:rPr>
        <w:t xml:space="preserve"> </w:t>
      </w:r>
      <w:r w:rsidRPr="00C45636">
        <w:rPr>
          <w:rFonts w:eastAsia="Times New Roman" w:cs="Times New Roman"/>
          <w:lang w:eastAsia="de-DE"/>
        </w:rPr>
        <w:t xml:space="preserve">„nahen" - im Hiphil „darbringen, opfern"), </w:t>
      </w:r>
      <w:r w:rsidRPr="00C45636">
        <w:rPr>
          <w:rFonts w:eastAsia="Times New Roman" w:cs="Times New Roman"/>
          <w:b/>
          <w:bCs/>
          <w:rtl/>
          <w:lang w:eastAsia="de-DE"/>
        </w:rPr>
        <w:t>נְשִׂיאֵי יִשְׂרָאֵל</w:t>
      </w:r>
      <w:r w:rsidRPr="00C45636">
        <w:rPr>
          <w:rFonts w:eastAsia="Times New Roman" w:cs="Times New Roman"/>
          <w:rtl/>
          <w:lang w:eastAsia="de-DE"/>
        </w:rPr>
        <w:t xml:space="preserve"> </w:t>
      </w:r>
      <w:r w:rsidRPr="00C45636">
        <w:rPr>
          <w:rFonts w:eastAsia="Times New Roman" w:cs="Times New Roman"/>
          <w:lang w:eastAsia="de-DE"/>
        </w:rPr>
        <w:t xml:space="preserve">(Plural </w:t>
      </w:r>
      <w:r w:rsidR="00F133EC">
        <w:rPr>
          <w:rFonts w:eastAsia="Times New Roman" w:cs="Times New Roman"/>
          <w:lang w:eastAsia="de-DE"/>
        </w:rPr>
        <w:t>Constructus</w:t>
      </w:r>
      <w:r w:rsidRPr="00C45636">
        <w:rPr>
          <w:rFonts w:eastAsia="Times New Roman" w:cs="Times New Roman"/>
          <w:lang w:eastAsia="de-DE"/>
        </w:rPr>
        <w:t xml:space="preserve"> von </w:t>
      </w:r>
      <w:r w:rsidRPr="00C45636">
        <w:rPr>
          <w:rFonts w:eastAsia="Times New Roman" w:cs="Times New Roman"/>
          <w:b/>
          <w:bCs/>
          <w:rtl/>
          <w:lang w:eastAsia="de-DE"/>
        </w:rPr>
        <w:t>נָשִׂיא</w:t>
      </w:r>
      <w:r w:rsidRPr="00C45636">
        <w:rPr>
          <w:rFonts w:eastAsia="Times New Roman" w:cs="Times New Roman"/>
          <w:rtl/>
          <w:lang w:eastAsia="de-DE"/>
        </w:rPr>
        <w:t xml:space="preserve"> </w:t>
      </w:r>
      <w:r w:rsidRPr="00C45636">
        <w:rPr>
          <w:rFonts w:eastAsia="Times New Roman" w:cs="Times New Roman"/>
          <w:lang w:eastAsia="de-DE"/>
        </w:rPr>
        <w:t xml:space="preserve">„Fürst, Anführer" mit </w:t>
      </w:r>
      <w:r w:rsidRPr="00C45636">
        <w:rPr>
          <w:rFonts w:eastAsia="Times New Roman" w:cs="Times New Roman"/>
          <w:b/>
          <w:bCs/>
          <w:rtl/>
          <w:lang w:eastAsia="de-DE"/>
        </w:rPr>
        <w:t>יִשְׂרָאֵל</w:t>
      </w:r>
      <w:r w:rsidRPr="00C45636">
        <w:rPr>
          <w:rFonts w:eastAsia="Times New Roman" w:cs="Times New Roman"/>
          <w:rtl/>
          <w:lang w:eastAsia="de-DE"/>
        </w:rPr>
        <w:t xml:space="preserve"> </w:t>
      </w:r>
      <w:r w:rsidRPr="00C45636">
        <w:rPr>
          <w:rFonts w:eastAsia="Times New Roman" w:cs="Times New Roman"/>
          <w:lang w:eastAsia="de-DE"/>
        </w:rPr>
        <w:t xml:space="preserve">„die Fürsten Israels"). </w:t>
      </w:r>
      <w:r w:rsidRPr="00C45636">
        <w:rPr>
          <w:rFonts w:eastAsia="Times New Roman" w:cs="Times New Roman"/>
          <w:b/>
          <w:bCs/>
          <w:rtl/>
          <w:lang w:eastAsia="de-DE"/>
        </w:rPr>
        <w:t>רָאשֵׁי בֵּית אֲבֹתָם</w:t>
      </w:r>
      <w:r w:rsidRPr="00C45636">
        <w:rPr>
          <w:rFonts w:eastAsia="Times New Roman" w:cs="Times New Roman"/>
          <w:rtl/>
          <w:lang w:eastAsia="de-DE"/>
        </w:rPr>
        <w:t xml:space="preserve"> </w:t>
      </w:r>
      <w:r w:rsidRPr="00C45636">
        <w:rPr>
          <w:rFonts w:eastAsia="Times New Roman" w:cs="Times New Roman"/>
          <w:lang w:eastAsia="de-DE"/>
        </w:rPr>
        <w:t xml:space="preserve">ist die erste Apposition. </w:t>
      </w:r>
      <w:r w:rsidRPr="00C45636">
        <w:rPr>
          <w:rFonts w:eastAsia="Times New Roman" w:cs="Times New Roman"/>
          <w:b/>
          <w:bCs/>
          <w:rtl/>
          <w:lang w:eastAsia="de-DE"/>
        </w:rPr>
        <w:t>רָאשֵׁי</w:t>
      </w:r>
      <w:r w:rsidRPr="00C45636">
        <w:rPr>
          <w:rFonts w:eastAsia="Times New Roman" w:cs="Times New Roman"/>
          <w:rtl/>
          <w:lang w:eastAsia="de-DE"/>
        </w:rPr>
        <w:t xml:space="preserve"> </w:t>
      </w:r>
      <w:r w:rsidRPr="00C45636">
        <w:rPr>
          <w:rFonts w:eastAsia="Times New Roman" w:cs="Times New Roman"/>
          <w:lang w:eastAsia="de-DE"/>
        </w:rPr>
        <w:t xml:space="preserve">(Plural </w:t>
      </w:r>
      <w:r w:rsidR="00F133EC">
        <w:rPr>
          <w:rFonts w:eastAsia="Times New Roman" w:cs="Times New Roman"/>
          <w:lang w:eastAsia="de-DE"/>
        </w:rPr>
        <w:t>Constructus</w:t>
      </w:r>
      <w:r w:rsidRPr="00C45636">
        <w:rPr>
          <w:rFonts w:eastAsia="Times New Roman" w:cs="Times New Roman"/>
          <w:lang w:eastAsia="de-DE"/>
        </w:rPr>
        <w:t xml:space="preserve"> von </w:t>
      </w:r>
      <w:r w:rsidRPr="00C45636">
        <w:rPr>
          <w:rFonts w:eastAsia="Times New Roman" w:cs="Times New Roman"/>
          <w:b/>
          <w:bCs/>
          <w:rtl/>
          <w:lang w:eastAsia="de-DE"/>
        </w:rPr>
        <w:t>רֹאשׁ</w:t>
      </w:r>
      <w:r w:rsidRPr="00C45636">
        <w:rPr>
          <w:rFonts w:eastAsia="Times New Roman" w:cs="Times New Roman"/>
          <w:rtl/>
          <w:lang w:eastAsia="de-DE"/>
        </w:rPr>
        <w:t xml:space="preserve"> </w:t>
      </w:r>
      <w:r w:rsidRPr="00C45636">
        <w:rPr>
          <w:rFonts w:eastAsia="Times New Roman" w:cs="Times New Roman"/>
          <w:lang w:eastAsia="de-DE"/>
        </w:rPr>
        <w:t xml:space="preserve">„Haupt, Oberhaupt"), </w:t>
      </w:r>
      <w:r w:rsidRPr="00C45636">
        <w:rPr>
          <w:rFonts w:eastAsia="Times New Roman" w:cs="Times New Roman"/>
          <w:b/>
          <w:bCs/>
          <w:rtl/>
          <w:lang w:eastAsia="de-DE"/>
        </w:rPr>
        <w:t>בֵּית אֲבֹתָם</w:t>
      </w:r>
      <w:r w:rsidRPr="00C45636">
        <w:rPr>
          <w:rFonts w:eastAsia="Times New Roman" w:cs="Times New Roman"/>
          <w:rtl/>
          <w:lang w:eastAsia="de-DE"/>
        </w:rPr>
        <w:t xml:space="preserve"> </w:t>
      </w:r>
      <w:r w:rsidRPr="00C45636">
        <w:rPr>
          <w:rFonts w:eastAsia="Times New Roman" w:cs="Times New Roman"/>
          <w:lang w:eastAsia="de-DE"/>
        </w:rPr>
        <w:t>(</w:t>
      </w:r>
      <w:r w:rsidR="00F133EC">
        <w:rPr>
          <w:rFonts w:eastAsia="Times New Roman" w:cs="Times New Roman"/>
          <w:lang w:eastAsia="de-DE"/>
        </w:rPr>
        <w:t>Constructus</w:t>
      </w:r>
      <w:r w:rsidRPr="00C45636">
        <w:rPr>
          <w:rFonts w:eastAsia="Times New Roman" w:cs="Times New Roman"/>
          <w:lang w:eastAsia="de-DE"/>
        </w:rPr>
        <w:t xml:space="preserve">verbindung: </w:t>
      </w:r>
      <w:r w:rsidRPr="00C45636">
        <w:rPr>
          <w:rFonts w:eastAsia="Times New Roman" w:cs="Times New Roman"/>
          <w:b/>
          <w:bCs/>
          <w:rtl/>
          <w:lang w:eastAsia="de-DE"/>
        </w:rPr>
        <w:t>בַּיִת</w:t>
      </w:r>
      <w:r w:rsidRPr="00C45636">
        <w:rPr>
          <w:rFonts w:eastAsia="Times New Roman" w:cs="Times New Roman"/>
          <w:rtl/>
          <w:lang w:eastAsia="de-DE"/>
        </w:rPr>
        <w:t xml:space="preserve"> </w:t>
      </w:r>
      <w:r w:rsidRPr="00C45636">
        <w:rPr>
          <w:rFonts w:eastAsia="Times New Roman" w:cs="Times New Roman"/>
          <w:lang w:eastAsia="de-DE"/>
        </w:rPr>
        <w:t xml:space="preserve">„Haus" im </w:t>
      </w:r>
      <w:r w:rsidR="00F133EC">
        <w:rPr>
          <w:rFonts w:eastAsia="Times New Roman" w:cs="Times New Roman"/>
          <w:lang w:eastAsia="de-DE"/>
        </w:rPr>
        <w:t>Constructus</w:t>
      </w:r>
      <w:r w:rsidRPr="00C45636">
        <w:rPr>
          <w:rFonts w:eastAsia="Times New Roman" w:cs="Times New Roman"/>
          <w:lang w:eastAsia="de-DE"/>
        </w:rPr>
        <w:t xml:space="preserve"> mit Plural von </w:t>
      </w:r>
      <w:r w:rsidRPr="00C45636">
        <w:rPr>
          <w:rFonts w:eastAsia="Times New Roman" w:cs="Times New Roman"/>
          <w:b/>
          <w:bCs/>
          <w:rtl/>
          <w:lang w:eastAsia="de-DE"/>
        </w:rPr>
        <w:t>אָב</w:t>
      </w:r>
      <w:r w:rsidRPr="00C45636">
        <w:rPr>
          <w:rFonts w:eastAsia="Times New Roman" w:cs="Times New Roman"/>
          <w:rtl/>
          <w:lang w:eastAsia="de-DE"/>
        </w:rPr>
        <w:t xml:space="preserve"> </w:t>
      </w:r>
      <w:r w:rsidRPr="00C45636">
        <w:rPr>
          <w:rFonts w:eastAsia="Times New Roman" w:cs="Times New Roman"/>
          <w:lang w:eastAsia="de-DE"/>
        </w:rPr>
        <w:t>„Vater" und Suffix 3. Person Plural „die Häupter ihrer Vaterhäuser").</w:t>
      </w:r>
    </w:p>
    <w:p w14:paraId="7FC74EBF" w14:textId="617DD2F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rtl/>
          <w:lang w:eastAsia="de-DE"/>
        </w:rPr>
        <w:t>הֵם נְשִׂיאֵי הַמַּטֹּת</w:t>
      </w:r>
      <w:r w:rsidRPr="00C45636">
        <w:rPr>
          <w:rFonts w:eastAsia="Times New Roman" w:cs="Times New Roman"/>
          <w:rtl/>
          <w:lang w:eastAsia="de-DE"/>
        </w:rPr>
        <w:t xml:space="preserve"> </w:t>
      </w:r>
      <w:r w:rsidRPr="00C45636">
        <w:rPr>
          <w:rFonts w:eastAsia="Times New Roman" w:cs="Times New Roman"/>
          <w:lang w:eastAsia="de-DE"/>
        </w:rPr>
        <w:t xml:space="preserve">ist die zweite identifizierende Aussage. </w:t>
      </w:r>
      <w:r w:rsidRPr="00C45636">
        <w:rPr>
          <w:rFonts w:eastAsia="Times New Roman" w:cs="Times New Roman"/>
          <w:b/>
          <w:bCs/>
          <w:rtl/>
          <w:lang w:eastAsia="de-DE"/>
        </w:rPr>
        <w:t>הֵם</w:t>
      </w:r>
      <w:r w:rsidRPr="00C45636">
        <w:rPr>
          <w:rFonts w:eastAsia="Times New Roman" w:cs="Times New Roman"/>
          <w:rtl/>
          <w:lang w:eastAsia="de-DE"/>
        </w:rPr>
        <w:t xml:space="preserve"> </w:t>
      </w:r>
      <w:r w:rsidRPr="00C45636">
        <w:rPr>
          <w:rFonts w:eastAsia="Times New Roman" w:cs="Times New Roman"/>
          <w:lang w:eastAsia="de-DE"/>
        </w:rPr>
        <w:t xml:space="preserve">(emphatisches Pronomen 3. Person Plural „sie, das sind"), </w:t>
      </w:r>
      <w:r w:rsidRPr="00C45636">
        <w:rPr>
          <w:rFonts w:eastAsia="Times New Roman" w:cs="Times New Roman"/>
          <w:b/>
          <w:bCs/>
          <w:rtl/>
          <w:lang w:eastAsia="de-DE"/>
        </w:rPr>
        <w:t>נְשִׂיאֵי הַמַּטֹּת</w:t>
      </w:r>
      <w:r w:rsidRPr="00C45636">
        <w:rPr>
          <w:rFonts w:eastAsia="Times New Roman" w:cs="Times New Roman"/>
          <w:rtl/>
          <w:lang w:eastAsia="de-DE"/>
        </w:rPr>
        <w:t xml:space="preserve"> </w:t>
      </w:r>
      <w:r w:rsidRPr="00C45636">
        <w:rPr>
          <w:rFonts w:eastAsia="Times New Roman" w:cs="Times New Roman"/>
          <w:lang w:eastAsia="de-DE"/>
        </w:rPr>
        <w:t xml:space="preserve">(Plural </w:t>
      </w:r>
      <w:r w:rsidR="00F133EC">
        <w:rPr>
          <w:rFonts w:eastAsia="Times New Roman" w:cs="Times New Roman"/>
          <w:lang w:eastAsia="de-DE"/>
        </w:rPr>
        <w:t>Constructus</w:t>
      </w:r>
      <w:r w:rsidRPr="00C45636">
        <w:rPr>
          <w:rFonts w:eastAsia="Times New Roman" w:cs="Times New Roman"/>
          <w:lang w:eastAsia="de-DE"/>
        </w:rPr>
        <w:t xml:space="preserve"> von </w:t>
      </w:r>
      <w:r w:rsidRPr="00C45636">
        <w:rPr>
          <w:rFonts w:eastAsia="Times New Roman" w:cs="Times New Roman"/>
          <w:b/>
          <w:bCs/>
          <w:rtl/>
          <w:lang w:eastAsia="de-DE"/>
        </w:rPr>
        <w:t>נָשִׂיא</w:t>
      </w:r>
      <w:r w:rsidRPr="00C45636">
        <w:rPr>
          <w:rFonts w:eastAsia="Times New Roman" w:cs="Times New Roman"/>
          <w:rtl/>
          <w:lang w:eastAsia="de-DE"/>
        </w:rPr>
        <w:t xml:space="preserve"> </w:t>
      </w:r>
      <w:r w:rsidRPr="00C45636">
        <w:rPr>
          <w:rFonts w:eastAsia="Times New Roman" w:cs="Times New Roman"/>
          <w:lang w:eastAsia="de-DE"/>
        </w:rPr>
        <w:t xml:space="preserve">mit Plural von </w:t>
      </w:r>
      <w:r w:rsidRPr="00C45636">
        <w:rPr>
          <w:rFonts w:eastAsia="Times New Roman" w:cs="Times New Roman"/>
          <w:b/>
          <w:bCs/>
          <w:rtl/>
          <w:lang w:eastAsia="de-DE"/>
        </w:rPr>
        <w:t>מַטֶּה</w:t>
      </w:r>
      <w:r w:rsidRPr="00C45636">
        <w:rPr>
          <w:rFonts w:eastAsia="Times New Roman" w:cs="Times New Roman"/>
          <w:rtl/>
          <w:lang w:eastAsia="de-DE"/>
        </w:rPr>
        <w:t xml:space="preserve"> </w:t>
      </w:r>
      <w:r w:rsidRPr="00C45636">
        <w:rPr>
          <w:rFonts w:eastAsia="Times New Roman" w:cs="Times New Roman"/>
          <w:lang w:eastAsia="de-DE"/>
        </w:rPr>
        <w:t xml:space="preserve">„Stamm" mit Artikel „die Fürsten der Stämme"). </w:t>
      </w:r>
      <w:r w:rsidRPr="00C45636">
        <w:rPr>
          <w:rFonts w:eastAsia="Times New Roman" w:cs="Times New Roman"/>
          <w:b/>
          <w:bCs/>
          <w:rtl/>
          <w:lang w:eastAsia="de-DE"/>
        </w:rPr>
        <w:t>הֵם הָעֹמְדִים עַל־הַפְּקֻדִים</w:t>
      </w:r>
      <w:r w:rsidRPr="00C45636">
        <w:rPr>
          <w:rFonts w:eastAsia="Times New Roman" w:cs="Times New Roman"/>
          <w:rtl/>
          <w:lang w:eastAsia="de-DE"/>
        </w:rPr>
        <w:t xml:space="preserve"> </w:t>
      </w:r>
      <w:r w:rsidRPr="00C45636">
        <w:rPr>
          <w:rFonts w:eastAsia="Times New Roman" w:cs="Times New Roman"/>
          <w:lang w:eastAsia="de-DE"/>
        </w:rPr>
        <w:t xml:space="preserve">ist die dritte Identifikation. </w:t>
      </w:r>
      <w:r w:rsidRPr="00C45636">
        <w:rPr>
          <w:rFonts w:eastAsia="Times New Roman" w:cs="Times New Roman"/>
          <w:b/>
          <w:bCs/>
          <w:rtl/>
          <w:lang w:eastAsia="de-DE"/>
        </w:rPr>
        <w:t>הֵם</w:t>
      </w:r>
      <w:r w:rsidRPr="00C45636">
        <w:rPr>
          <w:rFonts w:eastAsia="Times New Roman" w:cs="Times New Roman"/>
          <w:rtl/>
          <w:lang w:eastAsia="de-DE"/>
        </w:rPr>
        <w:t xml:space="preserve"> </w:t>
      </w:r>
      <w:r w:rsidRPr="00C45636">
        <w:rPr>
          <w:rFonts w:eastAsia="Times New Roman" w:cs="Times New Roman"/>
          <w:lang w:eastAsia="de-DE"/>
        </w:rPr>
        <w:t xml:space="preserve">(wiederholt), </w:t>
      </w:r>
      <w:r w:rsidRPr="00C45636">
        <w:rPr>
          <w:rFonts w:eastAsia="Times New Roman" w:cs="Times New Roman"/>
          <w:b/>
          <w:bCs/>
          <w:rtl/>
          <w:lang w:eastAsia="de-DE"/>
        </w:rPr>
        <w:t>הָעֹמְדִים</w:t>
      </w:r>
      <w:r w:rsidRPr="00C45636">
        <w:rPr>
          <w:rFonts w:eastAsia="Times New Roman" w:cs="Times New Roman"/>
          <w:rtl/>
          <w:lang w:eastAsia="de-DE"/>
        </w:rPr>
        <w:t xml:space="preserve"> </w:t>
      </w:r>
      <w:r w:rsidRPr="00C45636">
        <w:rPr>
          <w:rFonts w:eastAsia="Times New Roman" w:cs="Times New Roman"/>
          <w:lang w:eastAsia="de-DE"/>
        </w:rPr>
        <w:t xml:space="preserve">(Qal-Partizip Plural maskulin von </w:t>
      </w:r>
      <w:r w:rsidRPr="00C45636">
        <w:rPr>
          <w:rFonts w:eastAsia="Times New Roman" w:cs="Times New Roman"/>
          <w:b/>
          <w:bCs/>
          <w:rtl/>
          <w:lang w:eastAsia="de-DE"/>
        </w:rPr>
        <w:t>עמד</w:t>
      </w:r>
      <w:r w:rsidRPr="00C45636">
        <w:rPr>
          <w:rFonts w:eastAsia="Times New Roman" w:cs="Times New Roman"/>
          <w:rtl/>
          <w:lang w:eastAsia="de-DE"/>
        </w:rPr>
        <w:t xml:space="preserve"> </w:t>
      </w:r>
      <w:r w:rsidRPr="00C45636">
        <w:rPr>
          <w:rFonts w:eastAsia="Times New Roman" w:cs="Times New Roman"/>
          <w:lang w:eastAsia="de-DE"/>
        </w:rPr>
        <w:t xml:space="preserve">„stehen" mit Artikel „die Stehenden"), </w:t>
      </w:r>
      <w:r w:rsidRPr="00C45636">
        <w:rPr>
          <w:rFonts w:eastAsia="Times New Roman" w:cs="Times New Roman"/>
          <w:b/>
          <w:bCs/>
          <w:rtl/>
          <w:lang w:eastAsia="de-DE"/>
        </w:rPr>
        <w:t>עַל־הַפְּקֻדִים</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עַל</w:t>
      </w:r>
      <w:r w:rsidRPr="00C45636">
        <w:rPr>
          <w:rFonts w:eastAsia="Times New Roman" w:cs="Times New Roman"/>
          <w:rtl/>
          <w:lang w:eastAsia="de-DE"/>
        </w:rPr>
        <w:t xml:space="preserve"> </w:t>
      </w:r>
      <w:r w:rsidRPr="00C45636">
        <w:rPr>
          <w:rFonts w:eastAsia="Times New Roman" w:cs="Times New Roman"/>
          <w:lang w:eastAsia="de-DE"/>
        </w:rPr>
        <w:t xml:space="preserve">„über" mit Qal-Partizip Plural passiv von </w:t>
      </w:r>
      <w:r w:rsidRPr="00C45636">
        <w:rPr>
          <w:rFonts w:eastAsia="Times New Roman" w:cs="Times New Roman"/>
          <w:b/>
          <w:bCs/>
          <w:rtl/>
          <w:lang w:eastAsia="de-DE"/>
        </w:rPr>
        <w:t>פקד</w:t>
      </w:r>
      <w:r w:rsidRPr="00C45636">
        <w:rPr>
          <w:rFonts w:eastAsia="Times New Roman" w:cs="Times New Roman"/>
          <w:rtl/>
          <w:lang w:eastAsia="de-DE"/>
        </w:rPr>
        <w:t xml:space="preserve"> </w:t>
      </w:r>
      <w:r w:rsidRPr="00C45636">
        <w:rPr>
          <w:rFonts w:eastAsia="Times New Roman" w:cs="Times New Roman"/>
          <w:lang w:eastAsia="de-DE"/>
        </w:rPr>
        <w:t>„mustern, zählen" mit Artikel „die über den Gemusterten standen" - Bezug auf die Volkszählung in Kapitel 1-2).</w:t>
      </w:r>
    </w:p>
    <w:p w14:paraId="1C24F12C"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Die LXX</w:t>
      </w:r>
      <w:r w:rsidRPr="00C45636">
        <w:rPr>
          <w:rFonts w:eastAsia="Times New Roman" w:cs="Times New Roman"/>
          <w:lang w:eastAsia="de-DE"/>
        </w:rPr>
        <w:t xml:space="preserve"> gibt keine wesentlichen Abweichungen vom hebräischen Text.</w:t>
      </w:r>
    </w:p>
    <w:p w14:paraId="5044DB28"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Die Satzstruktur zeigt ein Hauptverb mit Subjekt, gefolgt von drei identifizierenden Appositionen/Aussagen, die das Subjekt präzisieren.</w:t>
      </w:r>
    </w:p>
    <w:p w14:paraId="7C9873E1"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 xml:space="preserve">Der Vers identifiziert die Darbringenden mit dreifacher Präzision: (1) </w:t>
      </w:r>
      <w:r w:rsidRPr="00C45636">
        <w:rPr>
          <w:rFonts w:eastAsia="Times New Roman" w:cs="Times New Roman"/>
          <w:b/>
          <w:bCs/>
          <w:rtl/>
          <w:lang w:eastAsia="de-DE"/>
        </w:rPr>
        <w:t>נְשִׂיאֵי יִשְׂרָאֵל</w:t>
      </w:r>
      <w:r w:rsidRPr="00C45636">
        <w:rPr>
          <w:rFonts w:eastAsia="Times New Roman" w:cs="Times New Roman"/>
          <w:rtl/>
          <w:lang w:eastAsia="de-DE"/>
        </w:rPr>
        <w:t xml:space="preserve"> </w:t>
      </w:r>
      <w:r w:rsidRPr="00C45636">
        <w:rPr>
          <w:rFonts w:eastAsia="Times New Roman" w:cs="Times New Roman"/>
          <w:lang w:eastAsia="de-DE"/>
        </w:rPr>
        <w:t xml:space="preserve">- nationale Ebene, (2) </w:t>
      </w:r>
      <w:r w:rsidRPr="00C45636">
        <w:rPr>
          <w:rFonts w:eastAsia="Times New Roman" w:cs="Times New Roman"/>
          <w:b/>
          <w:bCs/>
          <w:rtl/>
          <w:lang w:eastAsia="de-DE"/>
        </w:rPr>
        <w:t>רָאשֵׁי בֵּית אֲבֹתָם</w:t>
      </w:r>
      <w:r w:rsidRPr="00C45636">
        <w:rPr>
          <w:rFonts w:eastAsia="Times New Roman" w:cs="Times New Roman"/>
          <w:rtl/>
          <w:lang w:eastAsia="de-DE"/>
        </w:rPr>
        <w:t xml:space="preserve"> </w:t>
      </w:r>
      <w:r w:rsidRPr="00C45636">
        <w:rPr>
          <w:rFonts w:eastAsia="Times New Roman" w:cs="Times New Roman"/>
          <w:lang w:eastAsia="de-DE"/>
        </w:rPr>
        <w:t xml:space="preserve">- familiäre/klantische Ebene, (3) </w:t>
      </w:r>
      <w:r w:rsidRPr="00C45636">
        <w:rPr>
          <w:rFonts w:eastAsia="Times New Roman" w:cs="Times New Roman"/>
          <w:b/>
          <w:bCs/>
          <w:rtl/>
          <w:lang w:eastAsia="de-DE"/>
        </w:rPr>
        <w:t>נְשִׂיאֵי הַמַּטֹּת</w:t>
      </w:r>
      <w:r w:rsidRPr="00C45636">
        <w:rPr>
          <w:rFonts w:eastAsia="Times New Roman" w:cs="Times New Roman"/>
          <w:rtl/>
          <w:lang w:eastAsia="de-DE"/>
        </w:rPr>
        <w:t xml:space="preserve"> </w:t>
      </w:r>
      <w:r w:rsidRPr="00C45636">
        <w:rPr>
          <w:rFonts w:eastAsia="Times New Roman" w:cs="Times New Roman"/>
          <w:lang w:eastAsia="de-DE"/>
        </w:rPr>
        <w:t xml:space="preserve">- Stammesebene. Die dritte Identifikation </w:t>
      </w:r>
      <w:r w:rsidRPr="00C45636">
        <w:rPr>
          <w:rFonts w:eastAsia="Times New Roman" w:cs="Times New Roman"/>
          <w:b/>
          <w:bCs/>
          <w:rtl/>
          <w:lang w:eastAsia="de-DE"/>
        </w:rPr>
        <w:t>הָעֹמְדִים עַל־הַפְּקֻדִים</w:t>
      </w:r>
      <w:r w:rsidRPr="00C45636">
        <w:rPr>
          <w:rFonts w:eastAsia="Times New Roman" w:cs="Times New Roman"/>
          <w:rtl/>
          <w:lang w:eastAsia="de-DE"/>
        </w:rPr>
        <w:t xml:space="preserve"> </w:t>
      </w:r>
      <w:r w:rsidRPr="00C45636">
        <w:rPr>
          <w:rFonts w:eastAsia="Times New Roman" w:cs="Times New Roman"/>
          <w:lang w:eastAsia="de-DE"/>
        </w:rPr>
        <w:t>verknüpft mit Kapitel 1-2: Dies sind dieselben zwölf Stammesführer, die bei der Volkszählung mitgewirkt haben. Die mehrfache Identifikation unterstreicht ihre Autorität und Repräsentativität - sie handeln nicht als Privatpersonen, sondern als offizielle Vertreter ihrer Stämme.</w:t>
      </w:r>
    </w:p>
    <w:p w14:paraId="7FA28395" w14:textId="77777777" w:rsidR="00C45636" w:rsidRPr="00C45636" w:rsidRDefault="00C45636" w:rsidP="00C45636">
      <w:pPr>
        <w:spacing w:before="100" w:beforeAutospacing="1" w:after="100" w:afterAutospacing="1" w:line="240" w:lineRule="auto"/>
        <w:outlineLvl w:val="0"/>
        <w:rPr>
          <w:rFonts w:eastAsia="Times New Roman" w:cs="Times New Roman"/>
          <w:b/>
          <w:bCs/>
          <w:kern w:val="36"/>
          <w:sz w:val="48"/>
          <w:szCs w:val="48"/>
          <w:lang w:eastAsia="de-DE"/>
        </w:rPr>
      </w:pPr>
      <w:r w:rsidRPr="00C45636">
        <w:rPr>
          <w:rFonts w:eastAsia="Times New Roman" w:cs="Times New Roman"/>
          <w:b/>
          <w:bCs/>
          <w:kern w:val="36"/>
          <w:sz w:val="48"/>
          <w:szCs w:val="48"/>
          <w:lang w:eastAsia="de-DE"/>
        </w:rPr>
        <w:t>Numeri 7,3</w:t>
      </w:r>
    </w:p>
    <w:p w14:paraId="189EED48"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Hebräisch:</w:t>
      </w:r>
      <w:r w:rsidRPr="00C45636">
        <w:rPr>
          <w:rFonts w:eastAsia="Times New Roman" w:cs="Times New Roman"/>
          <w:lang w:eastAsia="de-DE"/>
        </w:rPr>
        <w:t xml:space="preserve"> </w:t>
      </w:r>
      <w:r w:rsidRPr="00C45636">
        <w:rPr>
          <w:rFonts w:eastAsia="Times New Roman" w:cs="Times New Roman"/>
          <w:rtl/>
          <w:lang w:eastAsia="de-DE"/>
        </w:rPr>
        <w:t>וַיָּבִ֨יאוּ אֶת־קָרְבָּנָ֜ם לִפְנֵ֣י יְהוָ֗ה שֵׁשׁ־עֶגְלֹ֥ת צָב֙ וּשְׁנֵ֣י עָשָׂ֣ר בָּקָ֔ר עֲגָלָ֛ה עַל־שְׁנֵ֥י הַנְּשִׂאִ֖ים וְשׁ֣וֹר לְאֶחָ֑ד וַיַּקְרִ֥יבוּ אוֹתָ֖ם לִפְנֵ֥י הַמִּשְׁכָּֽן׃</w:t>
      </w:r>
    </w:p>
    <w:p w14:paraId="2401AA44"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Deutsch:</w:t>
      </w:r>
      <w:r w:rsidRPr="00C45636">
        <w:rPr>
          <w:rFonts w:eastAsia="Times New Roman" w:cs="Times New Roman"/>
          <w:lang w:eastAsia="de-DE"/>
        </w:rPr>
        <w:t xml:space="preserve"> Und sie brachten ihre Opfergabe vor den Ewigen: sechs bedeckte Wagen und zwölf Rinder, einen Wagen für je zwei Fürsten und ein Rind für jeden; und sie brachten sie dar vor die Wohnung.</w:t>
      </w:r>
    </w:p>
    <w:p w14:paraId="6EEDB4A3" w14:textId="77777777" w:rsidR="00C45636" w:rsidRPr="00C45636" w:rsidRDefault="00F329DD" w:rsidP="00C45636">
      <w:pPr>
        <w:spacing w:after="0" w:line="240" w:lineRule="auto"/>
        <w:rPr>
          <w:rFonts w:eastAsia="Times New Roman" w:cs="Times New Roman"/>
          <w:lang w:eastAsia="de-DE"/>
        </w:rPr>
      </w:pPr>
      <w:r>
        <w:rPr>
          <w:rFonts w:eastAsia="Times New Roman" w:cs="Times New Roman"/>
          <w:noProof/>
          <w:lang w:eastAsia="de-DE"/>
        </w:rPr>
        <w:lastRenderedPageBreak/>
        <w:pict w14:anchorId="764002B0">
          <v:rect id="_x0000_i1274" style="width:0;height:1.5pt" o:hralign="center" o:hrstd="t" o:hr="t" fillcolor="#a0a0a0" stroked="f"/>
        </w:pict>
      </w:r>
    </w:p>
    <w:p w14:paraId="3037CB6D"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Kommentar:</w:t>
      </w:r>
      <w:r w:rsidRPr="00C45636">
        <w:rPr>
          <w:rFonts w:eastAsia="Times New Roman" w:cs="Times New Roman"/>
          <w:lang w:eastAsia="de-DE"/>
        </w:rPr>
        <w:t xml:space="preserve"> Der Vers beschreibt die erste gemeinsame Gabe der Stammesführer. </w:t>
      </w:r>
      <w:r w:rsidRPr="00C45636">
        <w:rPr>
          <w:rFonts w:eastAsia="Times New Roman" w:cs="Times New Roman"/>
          <w:b/>
          <w:bCs/>
          <w:rtl/>
          <w:lang w:eastAsia="de-DE"/>
        </w:rPr>
        <w:t>וַיָּבִיאוּ אֶת־קָרְבָּנָם לִפְנֵי יהוה</w:t>
      </w:r>
      <w:r w:rsidRPr="00C45636">
        <w:rPr>
          <w:rFonts w:eastAsia="Times New Roman" w:cs="Times New Roman"/>
          <w:rtl/>
          <w:lang w:eastAsia="de-DE"/>
        </w:rPr>
        <w:t xml:space="preserve"> </w:t>
      </w:r>
      <w:r w:rsidRPr="00C45636">
        <w:rPr>
          <w:rFonts w:eastAsia="Times New Roman" w:cs="Times New Roman"/>
          <w:lang w:eastAsia="de-DE"/>
        </w:rPr>
        <w:t xml:space="preserve">ist die Haupthandlung. </w:t>
      </w:r>
      <w:r w:rsidRPr="00C45636">
        <w:rPr>
          <w:rFonts w:eastAsia="Times New Roman" w:cs="Times New Roman"/>
          <w:b/>
          <w:bCs/>
          <w:rtl/>
          <w:lang w:eastAsia="de-DE"/>
        </w:rPr>
        <w:t>וַיָּבִיאוּ</w:t>
      </w:r>
      <w:r w:rsidRPr="00C45636">
        <w:rPr>
          <w:rFonts w:eastAsia="Times New Roman" w:cs="Times New Roman"/>
          <w:rtl/>
          <w:lang w:eastAsia="de-DE"/>
        </w:rPr>
        <w:t xml:space="preserve"> </w:t>
      </w:r>
      <w:r w:rsidRPr="00C45636">
        <w:rPr>
          <w:rFonts w:eastAsia="Times New Roman" w:cs="Times New Roman"/>
          <w:lang w:eastAsia="de-DE"/>
        </w:rPr>
        <w:t xml:space="preserve">(Hiphil Wayyiqtol 3. Person Plural von </w:t>
      </w:r>
      <w:r w:rsidRPr="00C45636">
        <w:rPr>
          <w:rFonts w:eastAsia="Times New Roman" w:cs="Times New Roman"/>
          <w:b/>
          <w:bCs/>
          <w:rtl/>
          <w:lang w:eastAsia="de-DE"/>
        </w:rPr>
        <w:t>בוא</w:t>
      </w:r>
      <w:r w:rsidRPr="00C45636">
        <w:rPr>
          <w:rFonts w:eastAsia="Times New Roman" w:cs="Times New Roman"/>
          <w:rtl/>
          <w:lang w:eastAsia="de-DE"/>
        </w:rPr>
        <w:t xml:space="preserve"> </w:t>
      </w:r>
      <w:r w:rsidRPr="00C45636">
        <w:rPr>
          <w:rFonts w:eastAsia="Times New Roman" w:cs="Times New Roman"/>
          <w:lang w:eastAsia="de-DE"/>
        </w:rPr>
        <w:t xml:space="preserve">„kommen" - im Hiphil „bringen"), </w:t>
      </w:r>
      <w:r w:rsidRPr="00C45636">
        <w:rPr>
          <w:rFonts w:eastAsia="Times New Roman" w:cs="Times New Roman"/>
          <w:b/>
          <w:bCs/>
          <w:rtl/>
          <w:lang w:eastAsia="de-DE"/>
        </w:rPr>
        <w:t>אֶת־קָרְבָּנָם</w:t>
      </w:r>
      <w:r w:rsidRPr="00C45636">
        <w:rPr>
          <w:rFonts w:eastAsia="Times New Roman" w:cs="Times New Roman"/>
          <w:rtl/>
          <w:lang w:eastAsia="de-DE"/>
        </w:rPr>
        <w:t xml:space="preserve"> </w:t>
      </w:r>
      <w:r w:rsidRPr="00C45636">
        <w:rPr>
          <w:rFonts w:eastAsia="Times New Roman" w:cs="Times New Roman"/>
          <w:lang w:eastAsia="de-DE"/>
        </w:rPr>
        <w:t xml:space="preserve">(Akkusativpartikel mit </w:t>
      </w:r>
      <w:r w:rsidRPr="00C45636">
        <w:rPr>
          <w:rFonts w:eastAsia="Times New Roman" w:cs="Times New Roman"/>
          <w:b/>
          <w:bCs/>
          <w:rtl/>
          <w:lang w:eastAsia="de-DE"/>
        </w:rPr>
        <w:t>קָרְבָּן</w:t>
      </w:r>
      <w:r w:rsidRPr="00C45636">
        <w:rPr>
          <w:rFonts w:eastAsia="Times New Roman" w:cs="Times New Roman"/>
          <w:rtl/>
          <w:lang w:eastAsia="de-DE"/>
        </w:rPr>
        <w:t xml:space="preserve"> </w:t>
      </w:r>
      <w:r w:rsidRPr="00C45636">
        <w:rPr>
          <w:rFonts w:eastAsia="Times New Roman" w:cs="Times New Roman"/>
          <w:lang w:eastAsia="de-DE"/>
        </w:rPr>
        <w:t xml:space="preserve">„Opfergabe, Darbringung" mit Suffix 3. Person Plural „ihre Opfergabe"), </w:t>
      </w:r>
      <w:r w:rsidRPr="00C45636">
        <w:rPr>
          <w:rFonts w:eastAsia="Times New Roman" w:cs="Times New Roman"/>
          <w:b/>
          <w:bCs/>
          <w:rtl/>
          <w:lang w:eastAsia="de-DE"/>
        </w:rPr>
        <w:t>לִפְנֵי יהוה</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לִפְנֵי</w:t>
      </w:r>
      <w:r w:rsidRPr="00C45636">
        <w:rPr>
          <w:rFonts w:eastAsia="Times New Roman" w:cs="Times New Roman"/>
          <w:rtl/>
          <w:lang w:eastAsia="de-DE"/>
        </w:rPr>
        <w:t xml:space="preserve"> </w:t>
      </w:r>
      <w:r w:rsidRPr="00C45636">
        <w:rPr>
          <w:rFonts w:eastAsia="Times New Roman" w:cs="Times New Roman"/>
          <w:lang w:eastAsia="de-DE"/>
        </w:rPr>
        <w:t>„vor" mit Tetragramm „vor den Ewigen").</w:t>
      </w:r>
    </w:p>
    <w:p w14:paraId="6783D1F6" w14:textId="15561DAD"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rtl/>
          <w:lang w:eastAsia="de-DE"/>
        </w:rPr>
        <w:t>שֵׁשׁ־עֶגְלֹת צָב וּשְׁנֵי עָשָׂר בָּקָר</w:t>
      </w:r>
      <w:r w:rsidRPr="00C45636">
        <w:rPr>
          <w:rFonts w:eastAsia="Times New Roman" w:cs="Times New Roman"/>
          <w:rtl/>
          <w:lang w:eastAsia="de-DE"/>
        </w:rPr>
        <w:t xml:space="preserve"> </w:t>
      </w:r>
      <w:r w:rsidRPr="00C45636">
        <w:rPr>
          <w:rFonts w:eastAsia="Times New Roman" w:cs="Times New Roman"/>
          <w:lang w:eastAsia="de-DE"/>
        </w:rPr>
        <w:t xml:space="preserve">spezifiziert die Gabe. </w:t>
      </w:r>
      <w:r w:rsidRPr="00C45636">
        <w:rPr>
          <w:rFonts w:eastAsia="Times New Roman" w:cs="Times New Roman"/>
          <w:b/>
          <w:bCs/>
          <w:rtl/>
          <w:lang w:eastAsia="de-DE"/>
        </w:rPr>
        <w:t>שֵׁשׁ־עֶגְלֹת צָב</w:t>
      </w:r>
      <w:r w:rsidRPr="00C45636">
        <w:rPr>
          <w:rFonts w:eastAsia="Times New Roman" w:cs="Times New Roman"/>
          <w:rtl/>
          <w:lang w:eastAsia="de-DE"/>
        </w:rPr>
        <w:t xml:space="preserve"> </w:t>
      </w:r>
      <w:r w:rsidRPr="00C45636">
        <w:rPr>
          <w:rFonts w:eastAsia="Times New Roman" w:cs="Times New Roman"/>
          <w:lang w:eastAsia="de-DE"/>
        </w:rPr>
        <w:t xml:space="preserve">(Kardinalzahl </w:t>
      </w:r>
      <w:r w:rsidRPr="00C45636">
        <w:rPr>
          <w:rFonts w:eastAsia="Times New Roman" w:cs="Times New Roman"/>
          <w:b/>
          <w:bCs/>
          <w:rtl/>
          <w:lang w:eastAsia="de-DE"/>
        </w:rPr>
        <w:t>שֵׁשׁ</w:t>
      </w:r>
      <w:r w:rsidRPr="00C45636">
        <w:rPr>
          <w:rFonts w:eastAsia="Times New Roman" w:cs="Times New Roman"/>
          <w:rtl/>
          <w:lang w:eastAsia="de-DE"/>
        </w:rPr>
        <w:t xml:space="preserve"> </w:t>
      </w:r>
      <w:r w:rsidRPr="00C45636">
        <w:rPr>
          <w:rFonts w:eastAsia="Times New Roman" w:cs="Times New Roman"/>
          <w:lang w:eastAsia="de-DE"/>
        </w:rPr>
        <w:t xml:space="preserve">„sechs" im </w:t>
      </w:r>
      <w:r w:rsidR="00F133EC">
        <w:rPr>
          <w:rFonts w:eastAsia="Times New Roman" w:cs="Times New Roman"/>
          <w:lang w:eastAsia="de-DE"/>
        </w:rPr>
        <w:t>Constructus</w:t>
      </w:r>
      <w:r w:rsidRPr="00C45636">
        <w:rPr>
          <w:rFonts w:eastAsia="Times New Roman" w:cs="Times New Roman"/>
          <w:lang w:eastAsia="de-DE"/>
        </w:rPr>
        <w:t xml:space="preserve"> mit Plural von </w:t>
      </w:r>
      <w:r w:rsidRPr="00C45636">
        <w:rPr>
          <w:rFonts w:eastAsia="Times New Roman" w:cs="Times New Roman"/>
          <w:b/>
          <w:bCs/>
          <w:rtl/>
          <w:lang w:eastAsia="de-DE"/>
        </w:rPr>
        <w:t>עֲגָלָה</w:t>
      </w:r>
      <w:r w:rsidRPr="00C45636">
        <w:rPr>
          <w:rFonts w:eastAsia="Times New Roman" w:cs="Times New Roman"/>
          <w:rtl/>
          <w:lang w:eastAsia="de-DE"/>
        </w:rPr>
        <w:t xml:space="preserve"> </w:t>
      </w:r>
      <w:r w:rsidRPr="00C45636">
        <w:rPr>
          <w:rFonts w:eastAsia="Times New Roman" w:cs="Times New Roman"/>
          <w:lang w:eastAsia="de-DE"/>
        </w:rPr>
        <w:t xml:space="preserve">„Wagen" und </w:t>
      </w:r>
      <w:r w:rsidRPr="00C45636">
        <w:rPr>
          <w:rFonts w:eastAsia="Times New Roman" w:cs="Times New Roman"/>
          <w:b/>
          <w:bCs/>
          <w:rtl/>
          <w:lang w:eastAsia="de-DE"/>
        </w:rPr>
        <w:t>צָב</w:t>
      </w:r>
      <w:r w:rsidRPr="00C45636">
        <w:rPr>
          <w:rFonts w:eastAsia="Times New Roman" w:cs="Times New Roman"/>
          <w:rtl/>
          <w:lang w:eastAsia="de-DE"/>
        </w:rPr>
        <w:t xml:space="preserve"> </w:t>
      </w:r>
      <w:r w:rsidRPr="00C45636">
        <w:rPr>
          <w:rFonts w:eastAsia="Times New Roman" w:cs="Times New Roman"/>
          <w:lang w:eastAsia="de-DE"/>
        </w:rPr>
        <w:t xml:space="preserve">„bedeckt" - </w:t>
      </w:r>
      <w:r w:rsidRPr="00C45636">
        <w:rPr>
          <w:rFonts w:eastAsia="Times New Roman" w:cs="Times New Roman"/>
          <w:b/>
          <w:bCs/>
          <w:rtl/>
          <w:lang w:eastAsia="de-DE"/>
        </w:rPr>
        <w:t>עֶגְלֹת צָב</w:t>
      </w:r>
      <w:r w:rsidRPr="00C45636">
        <w:rPr>
          <w:rFonts w:eastAsia="Times New Roman" w:cs="Times New Roman"/>
          <w:rtl/>
          <w:lang w:eastAsia="de-DE"/>
        </w:rPr>
        <w:t xml:space="preserve"> </w:t>
      </w:r>
      <w:r w:rsidRPr="00C45636">
        <w:rPr>
          <w:rFonts w:eastAsia="Times New Roman" w:cs="Times New Roman"/>
          <w:lang w:eastAsia="de-DE"/>
        </w:rPr>
        <w:t xml:space="preserve">„bedeckte Wagen"), </w:t>
      </w:r>
      <w:r w:rsidRPr="00C45636">
        <w:rPr>
          <w:rFonts w:eastAsia="Times New Roman" w:cs="Times New Roman"/>
          <w:b/>
          <w:bCs/>
          <w:rtl/>
          <w:lang w:eastAsia="de-DE"/>
        </w:rPr>
        <w:t>וּשְׁנֵי עָשָׂר בָּקָר</w:t>
      </w:r>
      <w:r w:rsidRPr="00C45636">
        <w:rPr>
          <w:rFonts w:eastAsia="Times New Roman" w:cs="Times New Roman"/>
          <w:rtl/>
          <w:lang w:eastAsia="de-DE"/>
        </w:rPr>
        <w:t xml:space="preserve"> </w:t>
      </w:r>
      <w:r w:rsidRPr="00C45636">
        <w:rPr>
          <w:rFonts w:eastAsia="Times New Roman" w:cs="Times New Roman"/>
          <w:lang w:eastAsia="de-DE"/>
        </w:rPr>
        <w:t xml:space="preserve">(Konjunktion mit zusammengesetzter Kardinalzahl „zwölf" - </w:t>
      </w:r>
      <w:r w:rsidRPr="00C45636">
        <w:rPr>
          <w:rFonts w:eastAsia="Times New Roman" w:cs="Times New Roman"/>
          <w:b/>
          <w:bCs/>
          <w:rtl/>
          <w:lang w:eastAsia="de-DE"/>
        </w:rPr>
        <w:t>שְׁנֵי עָשָׂר</w:t>
      </w:r>
      <w:r w:rsidRPr="00C45636">
        <w:rPr>
          <w:rFonts w:eastAsia="Times New Roman" w:cs="Times New Roman"/>
          <w:rtl/>
          <w:lang w:eastAsia="de-DE"/>
        </w:rPr>
        <w:t xml:space="preserve"> </w:t>
      </w:r>
      <w:r w:rsidRPr="00C45636">
        <w:rPr>
          <w:rFonts w:eastAsia="Times New Roman" w:cs="Times New Roman"/>
          <w:lang w:eastAsia="de-DE"/>
        </w:rPr>
        <w:t xml:space="preserve">- und </w:t>
      </w:r>
      <w:r w:rsidRPr="00C45636">
        <w:rPr>
          <w:rFonts w:eastAsia="Times New Roman" w:cs="Times New Roman"/>
          <w:b/>
          <w:bCs/>
          <w:rtl/>
          <w:lang w:eastAsia="de-DE"/>
        </w:rPr>
        <w:t>בָּקָר</w:t>
      </w:r>
      <w:r w:rsidRPr="00C45636">
        <w:rPr>
          <w:rFonts w:eastAsia="Times New Roman" w:cs="Times New Roman"/>
          <w:rtl/>
          <w:lang w:eastAsia="de-DE"/>
        </w:rPr>
        <w:t xml:space="preserve"> </w:t>
      </w:r>
      <w:r w:rsidRPr="00C45636">
        <w:rPr>
          <w:rFonts w:eastAsia="Times New Roman" w:cs="Times New Roman"/>
          <w:lang w:eastAsia="de-DE"/>
        </w:rPr>
        <w:t xml:space="preserve">„Rind" Singular kollektiv „und zwölf Rinder"). </w:t>
      </w:r>
      <w:r w:rsidRPr="00C45636">
        <w:rPr>
          <w:rFonts w:eastAsia="Times New Roman" w:cs="Times New Roman"/>
          <w:b/>
          <w:bCs/>
          <w:rtl/>
          <w:lang w:eastAsia="de-DE"/>
        </w:rPr>
        <w:t>עֲגָלָה עַל־שְׁנֵי הַנְּשִׂאִים וְשׁוֹר לְאֶחָד</w:t>
      </w:r>
      <w:r w:rsidRPr="00C45636">
        <w:rPr>
          <w:rFonts w:eastAsia="Times New Roman" w:cs="Times New Roman"/>
          <w:rtl/>
          <w:lang w:eastAsia="de-DE"/>
        </w:rPr>
        <w:t xml:space="preserve"> </w:t>
      </w:r>
      <w:r w:rsidRPr="00C45636">
        <w:rPr>
          <w:rFonts w:eastAsia="Times New Roman" w:cs="Times New Roman"/>
          <w:lang w:eastAsia="de-DE"/>
        </w:rPr>
        <w:t xml:space="preserve">gibt das Verhältnis an. </w:t>
      </w:r>
      <w:r w:rsidRPr="00C45636">
        <w:rPr>
          <w:rFonts w:eastAsia="Times New Roman" w:cs="Times New Roman"/>
          <w:b/>
          <w:bCs/>
          <w:rtl/>
          <w:lang w:eastAsia="de-DE"/>
        </w:rPr>
        <w:t>עֲגָלָה עַל־שְׁנֵי הַנְּשִׂאִים</w:t>
      </w:r>
      <w:r w:rsidRPr="00C45636">
        <w:rPr>
          <w:rFonts w:eastAsia="Times New Roman" w:cs="Times New Roman"/>
          <w:rtl/>
          <w:lang w:eastAsia="de-DE"/>
        </w:rPr>
        <w:t xml:space="preserve"> </w:t>
      </w:r>
      <w:r w:rsidRPr="00C45636">
        <w:rPr>
          <w:rFonts w:eastAsia="Times New Roman" w:cs="Times New Roman"/>
          <w:lang w:eastAsia="de-DE"/>
        </w:rPr>
        <w:t xml:space="preserve">(Singular </w:t>
      </w:r>
      <w:r w:rsidRPr="00C45636">
        <w:rPr>
          <w:rFonts w:eastAsia="Times New Roman" w:cs="Times New Roman"/>
          <w:b/>
          <w:bCs/>
          <w:rtl/>
          <w:lang w:eastAsia="de-DE"/>
        </w:rPr>
        <w:t>עֲגָלָה</w:t>
      </w:r>
      <w:r w:rsidRPr="00C45636">
        <w:rPr>
          <w:rFonts w:eastAsia="Times New Roman" w:cs="Times New Roman"/>
          <w:rtl/>
          <w:lang w:eastAsia="de-DE"/>
        </w:rPr>
        <w:t xml:space="preserve"> </w:t>
      </w:r>
      <w:r w:rsidRPr="00C45636">
        <w:rPr>
          <w:rFonts w:eastAsia="Times New Roman" w:cs="Times New Roman"/>
          <w:lang w:eastAsia="de-DE"/>
        </w:rPr>
        <w:t xml:space="preserve">„ein Wagen" mit Präposition </w:t>
      </w:r>
      <w:r w:rsidRPr="00C45636">
        <w:rPr>
          <w:rFonts w:eastAsia="Times New Roman" w:cs="Times New Roman"/>
          <w:b/>
          <w:bCs/>
          <w:rtl/>
          <w:lang w:eastAsia="de-DE"/>
        </w:rPr>
        <w:t>עַל</w:t>
      </w:r>
      <w:r w:rsidRPr="00C45636">
        <w:rPr>
          <w:rFonts w:eastAsia="Times New Roman" w:cs="Times New Roman"/>
          <w:rtl/>
          <w:lang w:eastAsia="de-DE"/>
        </w:rPr>
        <w:t xml:space="preserve"> </w:t>
      </w:r>
      <w:r w:rsidRPr="00C45636">
        <w:rPr>
          <w:rFonts w:eastAsia="Times New Roman" w:cs="Times New Roman"/>
          <w:lang w:eastAsia="de-DE"/>
        </w:rPr>
        <w:t xml:space="preserve">„auf, für" und Kardinalzahl </w:t>
      </w:r>
      <w:r w:rsidRPr="00C45636">
        <w:rPr>
          <w:rFonts w:eastAsia="Times New Roman" w:cs="Times New Roman"/>
          <w:b/>
          <w:bCs/>
          <w:rtl/>
          <w:lang w:eastAsia="de-DE"/>
        </w:rPr>
        <w:t>שְׁנַיִם</w:t>
      </w:r>
      <w:r w:rsidRPr="00C45636">
        <w:rPr>
          <w:rFonts w:eastAsia="Times New Roman" w:cs="Times New Roman"/>
          <w:rtl/>
          <w:lang w:eastAsia="de-DE"/>
        </w:rPr>
        <w:t xml:space="preserve"> </w:t>
      </w:r>
      <w:r w:rsidRPr="00C45636">
        <w:rPr>
          <w:rFonts w:eastAsia="Times New Roman" w:cs="Times New Roman"/>
          <w:lang w:eastAsia="de-DE"/>
        </w:rPr>
        <w:t xml:space="preserve">„zwei" im </w:t>
      </w:r>
      <w:r w:rsidR="00F133EC">
        <w:rPr>
          <w:rFonts w:eastAsia="Times New Roman" w:cs="Times New Roman"/>
          <w:lang w:eastAsia="de-DE"/>
        </w:rPr>
        <w:t>Constructus</w:t>
      </w:r>
      <w:r w:rsidRPr="00C45636">
        <w:rPr>
          <w:rFonts w:eastAsia="Times New Roman" w:cs="Times New Roman"/>
          <w:lang w:eastAsia="de-DE"/>
        </w:rPr>
        <w:t xml:space="preserve"> mit Plural </w:t>
      </w:r>
      <w:r w:rsidRPr="00C45636">
        <w:rPr>
          <w:rFonts w:eastAsia="Times New Roman" w:cs="Times New Roman"/>
          <w:b/>
          <w:bCs/>
          <w:rtl/>
          <w:lang w:eastAsia="de-DE"/>
        </w:rPr>
        <w:t>נָשִׂיא</w:t>
      </w:r>
      <w:r w:rsidRPr="00C45636">
        <w:rPr>
          <w:rFonts w:eastAsia="Times New Roman" w:cs="Times New Roman"/>
          <w:rtl/>
          <w:lang w:eastAsia="de-DE"/>
        </w:rPr>
        <w:t xml:space="preserve"> </w:t>
      </w:r>
      <w:r w:rsidRPr="00C45636">
        <w:rPr>
          <w:rFonts w:eastAsia="Times New Roman" w:cs="Times New Roman"/>
          <w:lang w:eastAsia="de-DE"/>
        </w:rPr>
        <w:t xml:space="preserve">mit Artikel „ein Wagen für zwei Fürsten"), </w:t>
      </w:r>
      <w:r w:rsidRPr="00C45636">
        <w:rPr>
          <w:rFonts w:eastAsia="Times New Roman" w:cs="Times New Roman"/>
          <w:b/>
          <w:bCs/>
          <w:rtl/>
          <w:lang w:eastAsia="de-DE"/>
        </w:rPr>
        <w:t>וְשׁוֹר לְאֶחָד</w:t>
      </w:r>
      <w:r w:rsidRPr="00C45636">
        <w:rPr>
          <w:rFonts w:eastAsia="Times New Roman" w:cs="Times New Roman"/>
          <w:rtl/>
          <w:lang w:eastAsia="de-DE"/>
        </w:rPr>
        <w:t xml:space="preserve"> </w:t>
      </w:r>
      <w:r w:rsidRPr="00C45636">
        <w:rPr>
          <w:rFonts w:eastAsia="Times New Roman" w:cs="Times New Roman"/>
          <w:lang w:eastAsia="de-DE"/>
        </w:rPr>
        <w:t xml:space="preserve">(Konjunktion mit </w:t>
      </w:r>
      <w:r w:rsidRPr="00C45636">
        <w:rPr>
          <w:rFonts w:eastAsia="Times New Roman" w:cs="Times New Roman"/>
          <w:b/>
          <w:bCs/>
          <w:rtl/>
          <w:lang w:eastAsia="de-DE"/>
        </w:rPr>
        <w:t>שׁוֹר</w:t>
      </w:r>
      <w:r w:rsidRPr="00C45636">
        <w:rPr>
          <w:rFonts w:eastAsia="Times New Roman" w:cs="Times New Roman"/>
          <w:rtl/>
          <w:lang w:eastAsia="de-DE"/>
        </w:rPr>
        <w:t xml:space="preserve"> </w:t>
      </w:r>
      <w:r w:rsidRPr="00C45636">
        <w:rPr>
          <w:rFonts w:eastAsia="Times New Roman" w:cs="Times New Roman"/>
          <w:lang w:eastAsia="de-DE"/>
        </w:rPr>
        <w:t xml:space="preserve">„Ochse, Rind" und Präposition </w:t>
      </w:r>
      <w:r w:rsidRPr="00C45636">
        <w:rPr>
          <w:rFonts w:eastAsia="Times New Roman" w:cs="Times New Roman"/>
          <w:b/>
          <w:bCs/>
          <w:rtl/>
          <w:lang w:eastAsia="de-DE"/>
        </w:rPr>
        <w:t>לְ</w:t>
      </w:r>
      <w:r w:rsidRPr="00C45636">
        <w:rPr>
          <w:rFonts w:eastAsia="Times New Roman" w:cs="Times New Roman"/>
          <w:rtl/>
          <w:lang w:eastAsia="de-DE"/>
        </w:rPr>
        <w:t xml:space="preserve"> </w:t>
      </w:r>
      <w:r w:rsidRPr="00C45636">
        <w:rPr>
          <w:rFonts w:eastAsia="Times New Roman" w:cs="Times New Roman"/>
          <w:lang w:eastAsia="de-DE"/>
        </w:rPr>
        <w:t xml:space="preserve">mit </w:t>
      </w:r>
      <w:r w:rsidRPr="00C45636">
        <w:rPr>
          <w:rFonts w:eastAsia="Times New Roman" w:cs="Times New Roman"/>
          <w:b/>
          <w:bCs/>
          <w:rtl/>
          <w:lang w:eastAsia="de-DE"/>
        </w:rPr>
        <w:t>אֶחָד</w:t>
      </w:r>
      <w:r w:rsidRPr="00C45636">
        <w:rPr>
          <w:rFonts w:eastAsia="Times New Roman" w:cs="Times New Roman"/>
          <w:rtl/>
          <w:lang w:eastAsia="de-DE"/>
        </w:rPr>
        <w:t xml:space="preserve"> </w:t>
      </w:r>
      <w:r w:rsidRPr="00C45636">
        <w:rPr>
          <w:rFonts w:eastAsia="Times New Roman" w:cs="Times New Roman"/>
          <w:lang w:eastAsia="de-DE"/>
        </w:rPr>
        <w:t>„einer" „und ein Rind für einen").</w:t>
      </w:r>
    </w:p>
    <w:p w14:paraId="471AC181"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rtl/>
          <w:lang w:eastAsia="de-DE"/>
        </w:rPr>
        <w:t>וַיַּקְרִיבוּ אוֹתָם לִפְנֵי הַמִּשְׁכָּן</w:t>
      </w:r>
      <w:r w:rsidRPr="00C45636">
        <w:rPr>
          <w:rFonts w:eastAsia="Times New Roman" w:cs="Times New Roman"/>
          <w:rtl/>
          <w:lang w:eastAsia="de-DE"/>
        </w:rPr>
        <w:t xml:space="preserve"> </w:t>
      </w:r>
      <w:r w:rsidRPr="00C45636">
        <w:rPr>
          <w:rFonts w:eastAsia="Times New Roman" w:cs="Times New Roman"/>
          <w:lang w:eastAsia="de-DE"/>
        </w:rPr>
        <w:t xml:space="preserve">wiederholt die Darbringung. </w:t>
      </w:r>
      <w:r w:rsidRPr="00C45636">
        <w:rPr>
          <w:rFonts w:eastAsia="Times New Roman" w:cs="Times New Roman"/>
          <w:b/>
          <w:bCs/>
          <w:rtl/>
          <w:lang w:eastAsia="de-DE"/>
        </w:rPr>
        <w:t>וַיַּקְרִיבוּ אוֹתָם</w:t>
      </w:r>
      <w:r w:rsidRPr="00C45636">
        <w:rPr>
          <w:rFonts w:eastAsia="Times New Roman" w:cs="Times New Roman"/>
          <w:rtl/>
          <w:lang w:eastAsia="de-DE"/>
        </w:rPr>
        <w:t xml:space="preserve"> </w:t>
      </w:r>
      <w:r w:rsidRPr="00C45636">
        <w:rPr>
          <w:rFonts w:eastAsia="Times New Roman" w:cs="Times New Roman"/>
          <w:lang w:eastAsia="de-DE"/>
        </w:rPr>
        <w:t xml:space="preserve">(Hiphil Wayyiqtol von </w:t>
      </w:r>
      <w:r w:rsidRPr="00C45636">
        <w:rPr>
          <w:rFonts w:eastAsia="Times New Roman" w:cs="Times New Roman"/>
          <w:b/>
          <w:bCs/>
          <w:rtl/>
          <w:lang w:eastAsia="de-DE"/>
        </w:rPr>
        <w:t>קרב</w:t>
      </w:r>
      <w:r w:rsidRPr="00C45636">
        <w:rPr>
          <w:rFonts w:eastAsia="Times New Roman" w:cs="Times New Roman"/>
          <w:rtl/>
          <w:lang w:eastAsia="de-DE"/>
        </w:rPr>
        <w:t xml:space="preserve"> </w:t>
      </w:r>
      <w:r w:rsidRPr="00C45636">
        <w:rPr>
          <w:rFonts w:eastAsia="Times New Roman" w:cs="Times New Roman"/>
          <w:lang w:eastAsia="de-DE"/>
        </w:rPr>
        <w:t xml:space="preserve">mit Akkusativpartikel und Suffix 3. Person Plural „und sie brachten sie dar"), </w:t>
      </w:r>
      <w:r w:rsidRPr="00C45636">
        <w:rPr>
          <w:rFonts w:eastAsia="Times New Roman" w:cs="Times New Roman"/>
          <w:b/>
          <w:bCs/>
          <w:rtl/>
          <w:lang w:eastAsia="de-DE"/>
        </w:rPr>
        <w:t>לִפְנֵי הַמִּשְׁכָּן</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לִפְנֵי</w:t>
      </w:r>
      <w:r w:rsidRPr="00C45636">
        <w:rPr>
          <w:rFonts w:eastAsia="Times New Roman" w:cs="Times New Roman"/>
          <w:rtl/>
          <w:lang w:eastAsia="de-DE"/>
        </w:rPr>
        <w:t xml:space="preserve"> </w:t>
      </w:r>
      <w:r w:rsidRPr="00C45636">
        <w:rPr>
          <w:rFonts w:eastAsia="Times New Roman" w:cs="Times New Roman"/>
          <w:lang w:eastAsia="de-DE"/>
        </w:rPr>
        <w:t xml:space="preserve">mit </w:t>
      </w:r>
      <w:r w:rsidRPr="00C45636">
        <w:rPr>
          <w:rFonts w:eastAsia="Times New Roman" w:cs="Times New Roman"/>
          <w:b/>
          <w:bCs/>
          <w:rtl/>
          <w:lang w:eastAsia="de-DE"/>
        </w:rPr>
        <w:t>מִשְׁכָּן</w:t>
      </w:r>
      <w:r w:rsidRPr="00C45636">
        <w:rPr>
          <w:rFonts w:eastAsia="Times New Roman" w:cs="Times New Roman"/>
          <w:rtl/>
          <w:lang w:eastAsia="de-DE"/>
        </w:rPr>
        <w:t xml:space="preserve"> </w:t>
      </w:r>
      <w:r w:rsidRPr="00C45636">
        <w:rPr>
          <w:rFonts w:eastAsia="Times New Roman" w:cs="Times New Roman"/>
          <w:lang w:eastAsia="de-DE"/>
        </w:rPr>
        <w:t>mit Artikel „vor die Wohnung").</w:t>
      </w:r>
    </w:p>
    <w:p w14:paraId="687E445B"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Die LXX</w:t>
      </w:r>
      <w:r w:rsidRPr="00C45636">
        <w:rPr>
          <w:rFonts w:eastAsia="Times New Roman" w:cs="Times New Roman"/>
          <w:lang w:eastAsia="de-DE"/>
        </w:rPr>
        <w:t xml:space="preserve"> übersetzt </w:t>
      </w:r>
      <w:r w:rsidRPr="00C45636">
        <w:rPr>
          <w:rFonts w:eastAsia="Times New Roman" w:cs="Times New Roman"/>
          <w:b/>
          <w:bCs/>
          <w:rtl/>
          <w:lang w:eastAsia="de-DE"/>
        </w:rPr>
        <w:t>עֶגְלֹת צָב</w:t>
      </w:r>
      <w:r w:rsidRPr="00C45636">
        <w:rPr>
          <w:rFonts w:eastAsia="Times New Roman" w:cs="Times New Roman"/>
          <w:rtl/>
          <w:lang w:eastAsia="de-DE"/>
        </w:rPr>
        <w:t xml:space="preserve"> </w:t>
      </w:r>
      <w:r w:rsidRPr="00C45636">
        <w:rPr>
          <w:rFonts w:eastAsia="Times New Roman" w:cs="Times New Roman"/>
          <w:lang w:eastAsia="de-DE"/>
        </w:rPr>
        <w:t xml:space="preserve">mit ἁμάξας λαμπηνικάς („Lampenwagen") oder ἁμάξας καλύπτρας („bedeckte Wagen"), was die Unsicherheit über die genaue Bedeutung von </w:t>
      </w:r>
      <w:r w:rsidRPr="00C45636">
        <w:rPr>
          <w:rFonts w:eastAsia="Times New Roman" w:cs="Times New Roman"/>
          <w:b/>
          <w:bCs/>
          <w:rtl/>
          <w:lang w:eastAsia="de-DE"/>
        </w:rPr>
        <w:t>צָב</w:t>
      </w:r>
      <w:r w:rsidRPr="00C45636">
        <w:rPr>
          <w:rFonts w:eastAsia="Times New Roman" w:cs="Times New Roman"/>
          <w:rtl/>
          <w:lang w:eastAsia="de-DE"/>
        </w:rPr>
        <w:t xml:space="preserve"> </w:t>
      </w:r>
      <w:r w:rsidRPr="00C45636">
        <w:rPr>
          <w:rFonts w:eastAsia="Times New Roman" w:cs="Times New Roman"/>
          <w:lang w:eastAsia="de-DE"/>
        </w:rPr>
        <w:t>zeigt.</w:t>
      </w:r>
    </w:p>
    <w:p w14:paraId="4F1156BC"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Die Satzstruktur zeigt zwei parallele Darbringungsaussagen, dazwischen die detaillierte Spezifikation der Gabe mit Verhältnisangaben.</w:t>
      </w:r>
    </w:p>
    <w:p w14:paraId="673957EA"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 xml:space="preserve">Der Vers beschreibt eine kollektive Gabe: sechs bedeckte Wagen und zwölf Rinder - je ein Wagen für zwei Fürsten, je ein Rind pro Fürst. Die </w:t>
      </w:r>
      <w:r w:rsidRPr="00C45636">
        <w:rPr>
          <w:rFonts w:eastAsia="Times New Roman" w:cs="Times New Roman"/>
          <w:b/>
          <w:bCs/>
          <w:rtl/>
          <w:lang w:eastAsia="de-DE"/>
        </w:rPr>
        <w:t>עֶגְלֹת צָב</w:t>
      </w:r>
      <w:r w:rsidRPr="00C45636">
        <w:rPr>
          <w:rFonts w:eastAsia="Times New Roman" w:cs="Times New Roman"/>
          <w:rtl/>
          <w:lang w:eastAsia="de-DE"/>
        </w:rPr>
        <w:t xml:space="preserve"> </w:t>
      </w:r>
      <w:r w:rsidRPr="00C45636">
        <w:rPr>
          <w:rFonts w:eastAsia="Times New Roman" w:cs="Times New Roman"/>
          <w:lang w:eastAsia="de-DE"/>
        </w:rPr>
        <w:t>(bedeckte Wagen) sind wahrscheinlich überdachte Transportwagen für den Transport der heiligen Geräte. Die Verteilung zeigt Kooperation: Je zwei Stämme teilen sich einen Wagen, aber jeder Stamm gibt ein eigenes Rind. Die zweifache Erwähnung der Darbringung (</w:t>
      </w:r>
      <w:r w:rsidRPr="00C45636">
        <w:rPr>
          <w:rFonts w:eastAsia="Times New Roman" w:cs="Times New Roman"/>
          <w:b/>
          <w:bCs/>
          <w:rtl/>
          <w:lang w:eastAsia="de-DE"/>
        </w:rPr>
        <w:t>וַיָּבִיאוּ</w:t>
      </w:r>
      <w:r w:rsidRPr="00C45636">
        <w:rPr>
          <w:rFonts w:eastAsia="Times New Roman" w:cs="Times New Roman"/>
          <w:rtl/>
          <w:lang w:eastAsia="de-DE"/>
        </w:rPr>
        <w:t xml:space="preserve"> </w:t>
      </w:r>
      <w:r w:rsidRPr="00C45636">
        <w:rPr>
          <w:rFonts w:eastAsia="Times New Roman" w:cs="Times New Roman"/>
          <w:lang w:eastAsia="de-DE"/>
        </w:rPr>
        <w:t xml:space="preserve">... </w:t>
      </w:r>
      <w:r w:rsidRPr="00C45636">
        <w:rPr>
          <w:rFonts w:eastAsia="Times New Roman" w:cs="Times New Roman"/>
          <w:b/>
          <w:bCs/>
          <w:rtl/>
          <w:lang w:eastAsia="de-DE"/>
        </w:rPr>
        <w:t>וַיַּקְרִיבוּ</w:t>
      </w:r>
      <w:r w:rsidRPr="00C45636">
        <w:rPr>
          <w:rFonts w:eastAsia="Times New Roman" w:cs="Times New Roman"/>
          <w:lang w:eastAsia="de-DE"/>
        </w:rPr>
        <w:t>) mit verschiedenen Ortsangaben (</w:t>
      </w:r>
      <w:r w:rsidRPr="00C45636">
        <w:rPr>
          <w:rFonts w:eastAsia="Times New Roman" w:cs="Times New Roman"/>
          <w:b/>
          <w:bCs/>
          <w:rtl/>
          <w:lang w:eastAsia="de-DE"/>
        </w:rPr>
        <w:t>לִפְנֵי יהוה</w:t>
      </w:r>
      <w:r w:rsidRPr="00C45636">
        <w:rPr>
          <w:rFonts w:eastAsia="Times New Roman" w:cs="Times New Roman"/>
          <w:rtl/>
          <w:lang w:eastAsia="de-DE"/>
        </w:rPr>
        <w:t xml:space="preserve"> </w:t>
      </w:r>
      <w:r w:rsidRPr="00C45636">
        <w:rPr>
          <w:rFonts w:eastAsia="Times New Roman" w:cs="Times New Roman"/>
          <w:lang w:eastAsia="de-DE"/>
        </w:rPr>
        <w:t xml:space="preserve">... </w:t>
      </w:r>
      <w:r w:rsidRPr="00C45636">
        <w:rPr>
          <w:rFonts w:eastAsia="Times New Roman" w:cs="Times New Roman"/>
          <w:b/>
          <w:bCs/>
          <w:rtl/>
          <w:lang w:eastAsia="de-DE"/>
        </w:rPr>
        <w:t>לִפְנֵי הַמִּשְׁכָּן</w:t>
      </w:r>
      <w:r w:rsidRPr="00C45636">
        <w:rPr>
          <w:rFonts w:eastAsia="Times New Roman" w:cs="Times New Roman"/>
          <w:lang w:eastAsia="de-DE"/>
        </w:rPr>
        <w:t>) betont sowohl die theologische (vor Gott) als auch die praktische (vor der Stiftshütte) Dimension.</w:t>
      </w:r>
    </w:p>
    <w:p w14:paraId="1DEEA23F" w14:textId="77777777" w:rsidR="00C45636" w:rsidRPr="00C45636" w:rsidRDefault="00C45636" w:rsidP="00C45636">
      <w:pPr>
        <w:spacing w:before="100" w:beforeAutospacing="1" w:after="100" w:afterAutospacing="1" w:line="240" w:lineRule="auto"/>
        <w:outlineLvl w:val="0"/>
        <w:rPr>
          <w:rFonts w:eastAsia="Times New Roman" w:cs="Times New Roman"/>
          <w:b/>
          <w:bCs/>
          <w:kern w:val="36"/>
          <w:sz w:val="48"/>
          <w:szCs w:val="48"/>
          <w:lang w:eastAsia="de-DE"/>
        </w:rPr>
      </w:pPr>
      <w:r w:rsidRPr="00C45636">
        <w:rPr>
          <w:rFonts w:eastAsia="Times New Roman" w:cs="Times New Roman"/>
          <w:b/>
          <w:bCs/>
          <w:kern w:val="36"/>
          <w:sz w:val="48"/>
          <w:szCs w:val="48"/>
          <w:lang w:eastAsia="de-DE"/>
        </w:rPr>
        <w:t>Numeri 7,4</w:t>
      </w:r>
    </w:p>
    <w:p w14:paraId="66D3167D"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Hebräisch:</w:t>
      </w:r>
      <w:r w:rsidRPr="00C45636">
        <w:rPr>
          <w:rFonts w:eastAsia="Times New Roman" w:cs="Times New Roman"/>
          <w:lang w:eastAsia="de-DE"/>
        </w:rPr>
        <w:t xml:space="preserve"> </w:t>
      </w:r>
      <w:r w:rsidRPr="00C45636">
        <w:rPr>
          <w:rFonts w:eastAsia="Times New Roman" w:cs="Times New Roman"/>
          <w:rtl/>
          <w:lang w:eastAsia="de-DE"/>
        </w:rPr>
        <w:t>וַיֹּ֥אמֶר יְהוָ֖ה אֶל־מֹשֶׁ֥ה לֵּאמֹֽר׃</w:t>
      </w:r>
    </w:p>
    <w:p w14:paraId="4B129DD0"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Deutsch:</w:t>
      </w:r>
      <w:r w:rsidRPr="00C45636">
        <w:rPr>
          <w:rFonts w:eastAsia="Times New Roman" w:cs="Times New Roman"/>
          <w:lang w:eastAsia="de-DE"/>
        </w:rPr>
        <w:t xml:space="preserve"> Und der Ewige redete zu Mosche, sagend:</w:t>
      </w:r>
    </w:p>
    <w:p w14:paraId="243D1DB0" w14:textId="77777777" w:rsidR="00C45636" w:rsidRPr="00C45636" w:rsidRDefault="00F329DD" w:rsidP="00C45636">
      <w:pPr>
        <w:spacing w:after="0" w:line="240" w:lineRule="auto"/>
        <w:rPr>
          <w:rFonts w:eastAsia="Times New Roman" w:cs="Times New Roman"/>
          <w:lang w:eastAsia="de-DE"/>
        </w:rPr>
      </w:pPr>
      <w:r>
        <w:rPr>
          <w:rFonts w:eastAsia="Times New Roman" w:cs="Times New Roman"/>
          <w:noProof/>
          <w:lang w:eastAsia="de-DE"/>
        </w:rPr>
        <w:pict w14:anchorId="10B410BD">
          <v:rect id="_x0000_i1275" style="width:0;height:1.5pt" o:hralign="center" o:hrstd="t" o:hr="t" fillcolor="#a0a0a0" stroked="f"/>
        </w:pict>
      </w:r>
    </w:p>
    <w:p w14:paraId="57A8BCB5"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Kommentar:</w:t>
      </w:r>
      <w:r w:rsidRPr="00C45636">
        <w:rPr>
          <w:rFonts w:eastAsia="Times New Roman" w:cs="Times New Roman"/>
          <w:lang w:eastAsia="de-DE"/>
        </w:rPr>
        <w:t xml:space="preserve"> Standard-Redeeinleitung. </w:t>
      </w:r>
      <w:r w:rsidRPr="00C45636">
        <w:rPr>
          <w:rFonts w:eastAsia="Times New Roman" w:cs="Times New Roman"/>
          <w:b/>
          <w:bCs/>
          <w:rtl/>
          <w:lang w:eastAsia="de-DE"/>
        </w:rPr>
        <w:t>וַיֹּאמֶר יהוה אֶל־מֹשֶׁה לֵּאמֹר</w:t>
      </w:r>
      <w:r w:rsidRPr="00C45636">
        <w:rPr>
          <w:rFonts w:eastAsia="Times New Roman" w:cs="Times New Roman"/>
          <w:rtl/>
          <w:lang w:eastAsia="de-DE"/>
        </w:rPr>
        <w:t xml:space="preserve"> </w:t>
      </w:r>
      <w:r w:rsidRPr="00C45636">
        <w:rPr>
          <w:rFonts w:eastAsia="Times New Roman" w:cs="Times New Roman"/>
          <w:lang w:eastAsia="de-DE"/>
        </w:rPr>
        <w:t xml:space="preserve">- die klassische Formel für göttliche Rede (Qal Wayyiqtol von </w:t>
      </w:r>
      <w:r w:rsidRPr="00C45636">
        <w:rPr>
          <w:rFonts w:eastAsia="Times New Roman" w:cs="Times New Roman"/>
          <w:b/>
          <w:bCs/>
          <w:rtl/>
          <w:lang w:eastAsia="de-DE"/>
        </w:rPr>
        <w:t>אמר</w:t>
      </w:r>
      <w:r w:rsidRPr="00C45636">
        <w:rPr>
          <w:rFonts w:eastAsia="Times New Roman" w:cs="Times New Roman"/>
          <w:rtl/>
          <w:lang w:eastAsia="de-DE"/>
        </w:rPr>
        <w:t xml:space="preserve"> </w:t>
      </w:r>
      <w:r w:rsidRPr="00C45636">
        <w:rPr>
          <w:rFonts w:eastAsia="Times New Roman" w:cs="Times New Roman"/>
          <w:lang w:eastAsia="de-DE"/>
        </w:rPr>
        <w:t xml:space="preserve">„sagen" mit Tetragramm als Subjekt, Präposition </w:t>
      </w:r>
      <w:r w:rsidRPr="00C45636">
        <w:rPr>
          <w:rFonts w:eastAsia="Times New Roman" w:cs="Times New Roman"/>
          <w:b/>
          <w:bCs/>
          <w:rtl/>
          <w:lang w:eastAsia="de-DE"/>
        </w:rPr>
        <w:t>אֶל</w:t>
      </w:r>
      <w:r w:rsidRPr="00C45636">
        <w:rPr>
          <w:rFonts w:eastAsia="Times New Roman" w:cs="Times New Roman"/>
          <w:rtl/>
          <w:lang w:eastAsia="de-DE"/>
        </w:rPr>
        <w:t xml:space="preserve"> </w:t>
      </w:r>
      <w:r w:rsidRPr="00C45636">
        <w:rPr>
          <w:rFonts w:eastAsia="Times New Roman" w:cs="Times New Roman"/>
          <w:lang w:eastAsia="de-DE"/>
        </w:rPr>
        <w:t xml:space="preserve">„zu" mit </w:t>
      </w:r>
      <w:r w:rsidRPr="00C45636">
        <w:rPr>
          <w:rFonts w:eastAsia="Times New Roman" w:cs="Times New Roman"/>
          <w:b/>
          <w:bCs/>
          <w:rtl/>
          <w:lang w:eastAsia="de-DE"/>
        </w:rPr>
        <w:t>מֹשֶׁה</w:t>
      </w:r>
      <w:r w:rsidRPr="00C45636">
        <w:rPr>
          <w:rFonts w:eastAsia="Times New Roman" w:cs="Times New Roman"/>
          <w:rtl/>
          <w:lang w:eastAsia="de-DE"/>
        </w:rPr>
        <w:t xml:space="preserve"> </w:t>
      </w:r>
      <w:r w:rsidRPr="00C45636">
        <w:rPr>
          <w:rFonts w:eastAsia="Times New Roman" w:cs="Times New Roman"/>
          <w:lang w:eastAsia="de-DE"/>
        </w:rPr>
        <w:t xml:space="preserve">und Infinitiv </w:t>
      </w:r>
      <w:r w:rsidRPr="00C45636">
        <w:rPr>
          <w:rFonts w:eastAsia="Times New Roman" w:cs="Times New Roman"/>
          <w:b/>
          <w:bCs/>
          <w:rtl/>
          <w:lang w:eastAsia="de-DE"/>
        </w:rPr>
        <w:t>לֵאמֹר</w:t>
      </w:r>
      <w:r w:rsidRPr="00C45636">
        <w:rPr>
          <w:rFonts w:eastAsia="Times New Roman" w:cs="Times New Roman"/>
          <w:rtl/>
          <w:lang w:eastAsia="de-DE"/>
        </w:rPr>
        <w:t xml:space="preserve"> </w:t>
      </w:r>
      <w:r w:rsidRPr="00C45636">
        <w:rPr>
          <w:rFonts w:eastAsia="Times New Roman" w:cs="Times New Roman"/>
          <w:lang w:eastAsia="de-DE"/>
        </w:rPr>
        <w:t>„sagend" - leitet die direkte Rede ein).</w:t>
      </w:r>
    </w:p>
    <w:p w14:paraId="7F5C4870"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Die LXX</w:t>
      </w:r>
      <w:r w:rsidRPr="00C45636">
        <w:rPr>
          <w:rFonts w:eastAsia="Times New Roman" w:cs="Times New Roman"/>
          <w:lang w:eastAsia="de-DE"/>
        </w:rPr>
        <w:t xml:space="preserve"> gibt keine Abweichungen.</w:t>
      </w:r>
    </w:p>
    <w:p w14:paraId="1253E4FB"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lastRenderedPageBreak/>
        <w:t>Der Vers leitet Gottes Anweisung zum Umgang mit den Wagen und Rindern ein.</w:t>
      </w:r>
    </w:p>
    <w:p w14:paraId="37842110" w14:textId="77777777" w:rsidR="00C45636" w:rsidRPr="00C45636" w:rsidRDefault="00C45636" w:rsidP="00C45636">
      <w:pPr>
        <w:spacing w:before="100" w:beforeAutospacing="1" w:after="100" w:afterAutospacing="1" w:line="240" w:lineRule="auto"/>
        <w:outlineLvl w:val="0"/>
        <w:rPr>
          <w:rFonts w:eastAsia="Times New Roman" w:cs="Times New Roman"/>
          <w:b/>
          <w:bCs/>
          <w:kern w:val="36"/>
          <w:sz w:val="48"/>
          <w:szCs w:val="48"/>
          <w:lang w:eastAsia="de-DE"/>
        </w:rPr>
      </w:pPr>
      <w:r w:rsidRPr="00C45636">
        <w:rPr>
          <w:rFonts w:eastAsia="Times New Roman" w:cs="Times New Roman"/>
          <w:b/>
          <w:bCs/>
          <w:kern w:val="36"/>
          <w:sz w:val="48"/>
          <w:szCs w:val="48"/>
          <w:lang w:eastAsia="de-DE"/>
        </w:rPr>
        <w:t>Numeri 7,5</w:t>
      </w:r>
    </w:p>
    <w:p w14:paraId="62F53F46"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Hebräisch:</w:t>
      </w:r>
      <w:r w:rsidRPr="00C45636">
        <w:rPr>
          <w:rFonts w:eastAsia="Times New Roman" w:cs="Times New Roman"/>
          <w:lang w:eastAsia="de-DE"/>
        </w:rPr>
        <w:t xml:space="preserve"> </w:t>
      </w:r>
      <w:r w:rsidRPr="00C45636">
        <w:rPr>
          <w:rFonts w:eastAsia="Times New Roman" w:cs="Times New Roman"/>
          <w:rtl/>
          <w:lang w:eastAsia="de-DE"/>
        </w:rPr>
        <w:t>קַ֚ח מֵֽאִתָּ֔ם וְהָי֕וּ לַעֲבֹ֕ד אֶת־עֲבֹדַ֖ת אֹ֣הֶל מוֹעֵ֑ד וְנָתַתָּ֤ה אוֹתָם֙ אֶל־הַלְוִיִּ֔ם אִ֖ישׁ כְּפִ֥י עֲבֹדָתֽוֹ׃</w:t>
      </w:r>
    </w:p>
    <w:p w14:paraId="75893FCF"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Deutsch:</w:t>
      </w:r>
      <w:r w:rsidRPr="00C45636">
        <w:rPr>
          <w:rFonts w:eastAsia="Times New Roman" w:cs="Times New Roman"/>
          <w:lang w:eastAsia="de-DE"/>
        </w:rPr>
        <w:t xml:space="preserve"> Nimm von ihnen, und sie sollen zum Dienst für den Dienst des Zeltes der Begegnung sein; und gib sie den Levijim, jedem nach seinem Dienst.</w:t>
      </w:r>
    </w:p>
    <w:p w14:paraId="2D61F12B" w14:textId="77777777" w:rsidR="00C45636" w:rsidRPr="00C45636" w:rsidRDefault="00F329DD" w:rsidP="00C45636">
      <w:pPr>
        <w:spacing w:after="0" w:line="240" w:lineRule="auto"/>
        <w:rPr>
          <w:rFonts w:eastAsia="Times New Roman" w:cs="Times New Roman"/>
          <w:lang w:eastAsia="de-DE"/>
        </w:rPr>
      </w:pPr>
      <w:r>
        <w:rPr>
          <w:rFonts w:eastAsia="Times New Roman" w:cs="Times New Roman"/>
          <w:noProof/>
          <w:lang w:eastAsia="de-DE"/>
        </w:rPr>
        <w:pict w14:anchorId="66F2E904">
          <v:rect id="_x0000_i1276" style="width:0;height:1.5pt" o:hralign="center" o:hrstd="t" o:hr="t" fillcolor="#a0a0a0" stroked="f"/>
        </w:pict>
      </w:r>
    </w:p>
    <w:p w14:paraId="216DD9F6" w14:textId="33E8188C"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Kommentar:</w:t>
      </w:r>
      <w:r w:rsidRPr="00C45636">
        <w:rPr>
          <w:rFonts w:eastAsia="Times New Roman" w:cs="Times New Roman"/>
          <w:lang w:eastAsia="de-DE"/>
        </w:rPr>
        <w:t xml:space="preserve"> Der Vers enthält Gottes Anweisung zur Verwendung der Gaben. </w:t>
      </w:r>
      <w:r w:rsidRPr="00C45636">
        <w:rPr>
          <w:rFonts w:eastAsia="Times New Roman" w:cs="Times New Roman"/>
          <w:b/>
          <w:bCs/>
          <w:rtl/>
          <w:lang w:eastAsia="de-DE"/>
        </w:rPr>
        <w:t>קַח מֵאִתָּם</w:t>
      </w:r>
      <w:r w:rsidRPr="00C45636">
        <w:rPr>
          <w:rFonts w:eastAsia="Times New Roman" w:cs="Times New Roman"/>
          <w:rtl/>
          <w:lang w:eastAsia="de-DE"/>
        </w:rPr>
        <w:t xml:space="preserve"> </w:t>
      </w:r>
      <w:r w:rsidRPr="00C45636">
        <w:rPr>
          <w:rFonts w:eastAsia="Times New Roman" w:cs="Times New Roman"/>
          <w:lang w:eastAsia="de-DE"/>
        </w:rPr>
        <w:t xml:space="preserve">ist der Befehl. </w:t>
      </w:r>
      <w:r w:rsidRPr="00C45636">
        <w:rPr>
          <w:rFonts w:eastAsia="Times New Roman" w:cs="Times New Roman"/>
          <w:b/>
          <w:bCs/>
          <w:rtl/>
          <w:lang w:eastAsia="de-DE"/>
        </w:rPr>
        <w:t>קַח</w:t>
      </w:r>
      <w:r w:rsidRPr="00C45636">
        <w:rPr>
          <w:rFonts w:eastAsia="Times New Roman" w:cs="Times New Roman"/>
          <w:rtl/>
          <w:lang w:eastAsia="de-DE"/>
        </w:rPr>
        <w:t xml:space="preserve"> </w:t>
      </w:r>
      <w:r w:rsidRPr="00C45636">
        <w:rPr>
          <w:rFonts w:eastAsia="Times New Roman" w:cs="Times New Roman"/>
          <w:lang w:eastAsia="de-DE"/>
        </w:rPr>
        <w:t xml:space="preserve">(Qal Imperativ maskulin Singular von </w:t>
      </w:r>
      <w:r w:rsidRPr="00C45636">
        <w:rPr>
          <w:rFonts w:eastAsia="Times New Roman" w:cs="Times New Roman"/>
          <w:b/>
          <w:bCs/>
          <w:rtl/>
          <w:lang w:eastAsia="de-DE"/>
        </w:rPr>
        <w:t>לקח</w:t>
      </w:r>
      <w:r w:rsidRPr="00C45636">
        <w:rPr>
          <w:rFonts w:eastAsia="Times New Roman" w:cs="Times New Roman"/>
          <w:rtl/>
          <w:lang w:eastAsia="de-DE"/>
        </w:rPr>
        <w:t xml:space="preserve"> </w:t>
      </w:r>
      <w:r w:rsidRPr="00C45636">
        <w:rPr>
          <w:rFonts w:eastAsia="Times New Roman" w:cs="Times New Roman"/>
          <w:lang w:eastAsia="de-DE"/>
        </w:rPr>
        <w:t xml:space="preserve">„nehmen"), </w:t>
      </w:r>
      <w:r w:rsidRPr="00C45636">
        <w:rPr>
          <w:rFonts w:eastAsia="Times New Roman" w:cs="Times New Roman"/>
          <w:b/>
          <w:bCs/>
          <w:rtl/>
          <w:lang w:eastAsia="de-DE"/>
        </w:rPr>
        <w:t>מֵאִתָּם</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מִן</w:t>
      </w:r>
      <w:r w:rsidRPr="00C45636">
        <w:rPr>
          <w:rFonts w:eastAsia="Times New Roman" w:cs="Times New Roman"/>
          <w:rtl/>
          <w:lang w:eastAsia="de-DE"/>
        </w:rPr>
        <w:t xml:space="preserve"> </w:t>
      </w:r>
      <w:r w:rsidRPr="00C45636">
        <w:rPr>
          <w:rFonts w:eastAsia="Times New Roman" w:cs="Times New Roman"/>
          <w:lang w:eastAsia="de-DE"/>
        </w:rPr>
        <w:t xml:space="preserve">mit </w:t>
      </w:r>
      <w:r w:rsidRPr="00C45636">
        <w:rPr>
          <w:rFonts w:eastAsia="Times New Roman" w:cs="Times New Roman"/>
          <w:b/>
          <w:bCs/>
          <w:rtl/>
          <w:lang w:eastAsia="de-DE"/>
        </w:rPr>
        <w:t>אֵת</w:t>
      </w:r>
      <w:r w:rsidRPr="00C45636">
        <w:rPr>
          <w:rFonts w:eastAsia="Times New Roman" w:cs="Times New Roman"/>
          <w:rtl/>
          <w:lang w:eastAsia="de-DE"/>
        </w:rPr>
        <w:t xml:space="preserve"> </w:t>
      </w:r>
      <w:r w:rsidRPr="00C45636">
        <w:rPr>
          <w:rFonts w:eastAsia="Times New Roman" w:cs="Times New Roman"/>
          <w:lang w:eastAsia="de-DE"/>
        </w:rPr>
        <w:t xml:space="preserve">- hier nicht Akkusativpartikel, sondern Präposition „bei, von" - und Suffix 3. Person Plural „von ihnen"). </w:t>
      </w:r>
      <w:r w:rsidRPr="00C45636">
        <w:rPr>
          <w:rFonts w:eastAsia="Times New Roman" w:cs="Times New Roman"/>
          <w:b/>
          <w:bCs/>
          <w:rtl/>
          <w:lang w:eastAsia="de-DE"/>
        </w:rPr>
        <w:t>וְהָיוּ לַעֲבֹד אֶת־עֲבֹדַת אֹהֶל מוֹעֵד</w:t>
      </w:r>
      <w:r w:rsidRPr="00C45636">
        <w:rPr>
          <w:rFonts w:eastAsia="Times New Roman" w:cs="Times New Roman"/>
          <w:rtl/>
          <w:lang w:eastAsia="de-DE"/>
        </w:rPr>
        <w:t xml:space="preserve"> </w:t>
      </w:r>
      <w:r w:rsidRPr="00C45636">
        <w:rPr>
          <w:rFonts w:eastAsia="Times New Roman" w:cs="Times New Roman"/>
          <w:lang w:eastAsia="de-DE"/>
        </w:rPr>
        <w:t xml:space="preserve">gibt den Zweck an. </w:t>
      </w:r>
      <w:r w:rsidRPr="00C45636">
        <w:rPr>
          <w:rFonts w:eastAsia="Times New Roman" w:cs="Times New Roman"/>
          <w:b/>
          <w:bCs/>
          <w:rtl/>
          <w:lang w:eastAsia="de-DE"/>
        </w:rPr>
        <w:t>וְהָיוּ</w:t>
      </w:r>
      <w:r w:rsidRPr="00C45636">
        <w:rPr>
          <w:rFonts w:eastAsia="Times New Roman" w:cs="Times New Roman"/>
          <w:rtl/>
          <w:lang w:eastAsia="de-DE"/>
        </w:rPr>
        <w:t xml:space="preserve"> </w:t>
      </w:r>
      <w:r w:rsidRPr="00C45636">
        <w:rPr>
          <w:rFonts w:eastAsia="Times New Roman" w:cs="Times New Roman"/>
          <w:lang w:eastAsia="de-DE"/>
        </w:rPr>
        <w:t xml:space="preserve">(Qal Perfekt 3. Person Plural mit Waw consecutivum von </w:t>
      </w:r>
      <w:r w:rsidRPr="00C45636">
        <w:rPr>
          <w:rFonts w:eastAsia="Times New Roman" w:cs="Times New Roman"/>
          <w:b/>
          <w:bCs/>
          <w:rtl/>
          <w:lang w:eastAsia="de-DE"/>
        </w:rPr>
        <w:t>היה</w:t>
      </w:r>
      <w:r w:rsidRPr="00C45636">
        <w:rPr>
          <w:rFonts w:eastAsia="Times New Roman" w:cs="Times New Roman"/>
          <w:rtl/>
          <w:lang w:eastAsia="de-DE"/>
        </w:rPr>
        <w:t xml:space="preserve"> </w:t>
      </w:r>
      <w:r w:rsidRPr="00C45636">
        <w:rPr>
          <w:rFonts w:eastAsia="Times New Roman" w:cs="Times New Roman"/>
          <w:lang w:eastAsia="de-DE"/>
        </w:rPr>
        <w:t xml:space="preserve">„sein"), </w:t>
      </w:r>
      <w:r w:rsidRPr="00C45636">
        <w:rPr>
          <w:rFonts w:eastAsia="Times New Roman" w:cs="Times New Roman"/>
          <w:b/>
          <w:bCs/>
          <w:rtl/>
          <w:lang w:eastAsia="de-DE"/>
        </w:rPr>
        <w:t>לַעֲבֹד</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לְ</w:t>
      </w:r>
      <w:r w:rsidRPr="00C45636">
        <w:rPr>
          <w:rFonts w:eastAsia="Times New Roman" w:cs="Times New Roman"/>
          <w:rtl/>
          <w:lang w:eastAsia="de-DE"/>
        </w:rPr>
        <w:t xml:space="preserve"> </w:t>
      </w:r>
      <w:r w:rsidRPr="00C45636">
        <w:rPr>
          <w:rFonts w:eastAsia="Times New Roman" w:cs="Times New Roman"/>
          <w:lang w:eastAsia="de-DE"/>
        </w:rPr>
        <w:t xml:space="preserve">mit Qal Infinitiv </w:t>
      </w:r>
      <w:r w:rsidR="00F133EC">
        <w:rPr>
          <w:rFonts w:eastAsia="Times New Roman" w:cs="Times New Roman"/>
          <w:lang w:eastAsia="de-DE"/>
        </w:rPr>
        <w:t>Constructus</w:t>
      </w:r>
      <w:r w:rsidRPr="00C45636">
        <w:rPr>
          <w:rFonts w:eastAsia="Times New Roman" w:cs="Times New Roman"/>
          <w:lang w:eastAsia="de-DE"/>
        </w:rPr>
        <w:t xml:space="preserve"> von </w:t>
      </w:r>
      <w:r w:rsidRPr="00C45636">
        <w:rPr>
          <w:rFonts w:eastAsia="Times New Roman" w:cs="Times New Roman"/>
          <w:b/>
          <w:bCs/>
          <w:rtl/>
          <w:lang w:eastAsia="de-DE"/>
        </w:rPr>
        <w:t>עבד</w:t>
      </w:r>
      <w:r w:rsidRPr="00C45636">
        <w:rPr>
          <w:rFonts w:eastAsia="Times New Roman" w:cs="Times New Roman"/>
          <w:rtl/>
          <w:lang w:eastAsia="de-DE"/>
        </w:rPr>
        <w:t xml:space="preserve"> </w:t>
      </w:r>
      <w:r w:rsidRPr="00C45636">
        <w:rPr>
          <w:rFonts w:eastAsia="Times New Roman" w:cs="Times New Roman"/>
          <w:lang w:eastAsia="de-DE"/>
        </w:rPr>
        <w:t xml:space="preserve">„dienen, arbeiten"), </w:t>
      </w:r>
      <w:r w:rsidRPr="00C45636">
        <w:rPr>
          <w:rFonts w:eastAsia="Times New Roman" w:cs="Times New Roman"/>
          <w:b/>
          <w:bCs/>
          <w:rtl/>
          <w:lang w:eastAsia="de-DE"/>
        </w:rPr>
        <w:t>אֶת־עֲבֹדַת אֹהֶל מוֹעֵד</w:t>
      </w:r>
      <w:r w:rsidRPr="00C45636">
        <w:rPr>
          <w:rFonts w:eastAsia="Times New Roman" w:cs="Times New Roman"/>
          <w:rtl/>
          <w:lang w:eastAsia="de-DE"/>
        </w:rPr>
        <w:t xml:space="preserve"> </w:t>
      </w:r>
      <w:r w:rsidRPr="00C45636">
        <w:rPr>
          <w:rFonts w:eastAsia="Times New Roman" w:cs="Times New Roman"/>
          <w:lang w:eastAsia="de-DE"/>
        </w:rPr>
        <w:t xml:space="preserve">(Akkusativpartikel mit </w:t>
      </w:r>
      <w:r w:rsidRPr="00C45636">
        <w:rPr>
          <w:rFonts w:eastAsia="Times New Roman" w:cs="Times New Roman"/>
          <w:b/>
          <w:bCs/>
          <w:rtl/>
          <w:lang w:eastAsia="de-DE"/>
        </w:rPr>
        <w:t>עֲבֹדָה</w:t>
      </w:r>
      <w:r w:rsidRPr="00C45636">
        <w:rPr>
          <w:rFonts w:eastAsia="Times New Roman" w:cs="Times New Roman"/>
          <w:rtl/>
          <w:lang w:eastAsia="de-DE"/>
        </w:rPr>
        <w:t xml:space="preserve"> </w:t>
      </w:r>
      <w:r w:rsidRPr="00C45636">
        <w:rPr>
          <w:rFonts w:eastAsia="Times New Roman" w:cs="Times New Roman"/>
          <w:lang w:eastAsia="de-DE"/>
        </w:rPr>
        <w:t xml:space="preserve">„Dienst, Arbeit" im </w:t>
      </w:r>
      <w:r w:rsidR="00F133EC">
        <w:rPr>
          <w:rFonts w:eastAsia="Times New Roman" w:cs="Times New Roman"/>
          <w:lang w:eastAsia="de-DE"/>
        </w:rPr>
        <w:t>Constructus</w:t>
      </w:r>
      <w:r w:rsidRPr="00C45636">
        <w:rPr>
          <w:rFonts w:eastAsia="Times New Roman" w:cs="Times New Roman"/>
          <w:lang w:eastAsia="de-DE"/>
        </w:rPr>
        <w:t xml:space="preserve"> und </w:t>
      </w:r>
      <w:r w:rsidRPr="00C45636">
        <w:rPr>
          <w:rFonts w:eastAsia="Times New Roman" w:cs="Times New Roman"/>
          <w:b/>
          <w:bCs/>
          <w:rtl/>
          <w:lang w:eastAsia="de-DE"/>
        </w:rPr>
        <w:t>אֹהֶל מוֹעֵד</w:t>
      </w:r>
      <w:r w:rsidRPr="00C45636">
        <w:rPr>
          <w:rFonts w:eastAsia="Times New Roman" w:cs="Times New Roman"/>
          <w:rtl/>
          <w:lang w:eastAsia="de-DE"/>
        </w:rPr>
        <w:t xml:space="preserve"> </w:t>
      </w:r>
      <w:r w:rsidRPr="00C45636">
        <w:rPr>
          <w:rFonts w:eastAsia="Times New Roman" w:cs="Times New Roman"/>
          <w:lang w:eastAsia="de-DE"/>
        </w:rPr>
        <w:t xml:space="preserve">„Zelt der Begegnung" „für den Dienst des Zeltes der Begegnung"). Die Paronomasie </w:t>
      </w:r>
      <w:r w:rsidRPr="00C45636">
        <w:rPr>
          <w:rFonts w:eastAsia="Times New Roman" w:cs="Times New Roman"/>
          <w:b/>
          <w:bCs/>
          <w:rtl/>
          <w:lang w:eastAsia="de-DE"/>
        </w:rPr>
        <w:t>לַעֲבֹד אֶת־עֲבֹדַת</w:t>
      </w:r>
      <w:r w:rsidRPr="00C45636">
        <w:rPr>
          <w:rFonts w:eastAsia="Times New Roman" w:cs="Times New Roman"/>
          <w:rtl/>
          <w:lang w:eastAsia="de-DE"/>
        </w:rPr>
        <w:t xml:space="preserve"> </w:t>
      </w:r>
      <w:r w:rsidRPr="00C45636">
        <w:rPr>
          <w:rFonts w:eastAsia="Times New Roman" w:cs="Times New Roman"/>
          <w:lang w:eastAsia="de-DE"/>
        </w:rPr>
        <w:t>(Verb und verwandtes Nomen) betont die Dienstfunktion.</w:t>
      </w:r>
    </w:p>
    <w:p w14:paraId="0E4F75F5" w14:textId="7AC0700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rtl/>
          <w:lang w:eastAsia="de-DE"/>
        </w:rPr>
        <w:t>וְנָתַתָּה אוֹתָם אֶל־הַלְוִיִּם</w:t>
      </w:r>
      <w:r w:rsidRPr="00C45636">
        <w:rPr>
          <w:rFonts w:eastAsia="Times New Roman" w:cs="Times New Roman"/>
          <w:rtl/>
          <w:lang w:eastAsia="de-DE"/>
        </w:rPr>
        <w:t xml:space="preserve"> </w:t>
      </w:r>
      <w:r w:rsidRPr="00C45636">
        <w:rPr>
          <w:rFonts w:eastAsia="Times New Roman" w:cs="Times New Roman"/>
          <w:lang w:eastAsia="de-DE"/>
        </w:rPr>
        <w:t xml:space="preserve">ist die zweite Anweisung. </w:t>
      </w:r>
      <w:r w:rsidRPr="00C45636">
        <w:rPr>
          <w:rFonts w:eastAsia="Times New Roman" w:cs="Times New Roman"/>
          <w:b/>
          <w:bCs/>
          <w:rtl/>
          <w:lang w:eastAsia="de-DE"/>
        </w:rPr>
        <w:t>וְנָתַתָּה</w:t>
      </w:r>
      <w:r w:rsidRPr="00C45636">
        <w:rPr>
          <w:rFonts w:eastAsia="Times New Roman" w:cs="Times New Roman"/>
          <w:rtl/>
          <w:lang w:eastAsia="de-DE"/>
        </w:rPr>
        <w:t xml:space="preserve"> </w:t>
      </w:r>
      <w:r w:rsidRPr="00C45636">
        <w:rPr>
          <w:rFonts w:eastAsia="Times New Roman" w:cs="Times New Roman"/>
          <w:lang w:eastAsia="de-DE"/>
        </w:rPr>
        <w:t xml:space="preserve">(Qal Perfekt 2. Person maskulin Singular mit Waw consecutivum von </w:t>
      </w:r>
      <w:r w:rsidRPr="00C45636">
        <w:rPr>
          <w:rFonts w:eastAsia="Times New Roman" w:cs="Times New Roman"/>
          <w:b/>
          <w:bCs/>
          <w:rtl/>
          <w:lang w:eastAsia="de-DE"/>
        </w:rPr>
        <w:t>נתן</w:t>
      </w:r>
      <w:r w:rsidRPr="00C45636">
        <w:rPr>
          <w:rFonts w:eastAsia="Times New Roman" w:cs="Times New Roman"/>
          <w:rtl/>
          <w:lang w:eastAsia="de-DE"/>
        </w:rPr>
        <w:t xml:space="preserve"> </w:t>
      </w:r>
      <w:r w:rsidRPr="00C45636">
        <w:rPr>
          <w:rFonts w:eastAsia="Times New Roman" w:cs="Times New Roman"/>
          <w:lang w:eastAsia="de-DE"/>
        </w:rPr>
        <w:t xml:space="preserve">„geben"), </w:t>
      </w:r>
      <w:r w:rsidRPr="00C45636">
        <w:rPr>
          <w:rFonts w:eastAsia="Times New Roman" w:cs="Times New Roman"/>
          <w:b/>
          <w:bCs/>
          <w:rtl/>
          <w:lang w:eastAsia="de-DE"/>
        </w:rPr>
        <w:t>אוֹתָם</w:t>
      </w:r>
      <w:r w:rsidRPr="00C45636">
        <w:rPr>
          <w:rFonts w:eastAsia="Times New Roman" w:cs="Times New Roman"/>
          <w:rtl/>
          <w:lang w:eastAsia="de-DE"/>
        </w:rPr>
        <w:t xml:space="preserve"> </w:t>
      </w:r>
      <w:r w:rsidRPr="00C45636">
        <w:rPr>
          <w:rFonts w:eastAsia="Times New Roman" w:cs="Times New Roman"/>
          <w:lang w:eastAsia="de-DE"/>
        </w:rPr>
        <w:t xml:space="preserve">(Akkusativpartikel mit Suffix 3. Person Plural „sie"), </w:t>
      </w:r>
      <w:r w:rsidRPr="00C45636">
        <w:rPr>
          <w:rFonts w:eastAsia="Times New Roman" w:cs="Times New Roman"/>
          <w:b/>
          <w:bCs/>
          <w:rtl/>
          <w:lang w:eastAsia="de-DE"/>
        </w:rPr>
        <w:t>אֶל־הַלְוִיִּם</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אֶל</w:t>
      </w:r>
      <w:r w:rsidRPr="00C45636">
        <w:rPr>
          <w:rFonts w:eastAsia="Times New Roman" w:cs="Times New Roman"/>
          <w:rtl/>
          <w:lang w:eastAsia="de-DE"/>
        </w:rPr>
        <w:t xml:space="preserve"> </w:t>
      </w:r>
      <w:r w:rsidRPr="00C45636">
        <w:rPr>
          <w:rFonts w:eastAsia="Times New Roman" w:cs="Times New Roman"/>
          <w:lang w:eastAsia="de-DE"/>
        </w:rPr>
        <w:t xml:space="preserve">mit </w:t>
      </w:r>
      <w:r w:rsidRPr="00C45636">
        <w:rPr>
          <w:rFonts w:eastAsia="Times New Roman" w:cs="Times New Roman"/>
          <w:b/>
          <w:bCs/>
          <w:rtl/>
          <w:lang w:eastAsia="de-DE"/>
        </w:rPr>
        <w:t>לְוִיִּם</w:t>
      </w:r>
      <w:r w:rsidRPr="00C45636">
        <w:rPr>
          <w:rFonts w:eastAsia="Times New Roman" w:cs="Times New Roman"/>
          <w:rtl/>
          <w:lang w:eastAsia="de-DE"/>
        </w:rPr>
        <w:t xml:space="preserve"> </w:t>
      </w:r>
      <w:r w:rsidRPr="00C45636">
        <w:rPr>
          <w:rFonts w:eastAsia="Times New Roman" w:cs="Times New Roman"/>
          <w:lang w:eastAsia="de-DE"/>
        </w:rPr>
        <w:t xml:space="preserve">mit Artikel „den Leviten"). </w:t>
      </w:r>
      <w:r w:rsidRPr="00C45636">
        <w:rPr>
          <w:rFonts w:eastAsia="Times New Roman" w:cs="Times New Roman"/>
          <w:b/>
          <w:bCs/>
          <w:rtl/>
          <w:lang w:eastAsia="de-DE"/>
        </w:rPr>
        <w:t>אִישׁ כְּפִי עֲבֹדָתוֹ</w:t>
      </w:r>
      <w:r w:rsidRPr="00C45636">
        <w:rPr>
          <w:rFonts w:eastAsia="Times New Roman" w:cs="Times New Roman"/>
          <w:rtl/>
          <w:lang w:eastAsia="de-DE"/>
        </w:rPr>
        <w:t xml:space="preserve"> </w:t>
      </w:r>
      <w:r w:rsidRPr="00C45636">
        <w:rPr>
          <w:rFonts w:eastAsia="Times New Roman" w:cs="Times New Roman"/>
          <w:lang w:eastAsia="de-DE"/>
        </w:rPr>
        <w:t xml:space="preserve">gibt das Verteilungsprinzip an. </w:t>
      </w:r>
      <w:r w:rsidRPr="00C45636">
        <w:rPr>
          <w:rFonts w:eastAsia="Times New Roman" w:cs="Times New Roman"/>
          <w:b/>
          <w:bCs/>
          <w:rtl/>
          <w:lang w:eastAsia="de-DE"/>
        </w:rPr>
        <w:t>אִישׁ</w:t>
      </w:r>
      <w:r w:rsidRPr="00C45636">
        <w:rPr>
          <w:rFonts w:eastAsia="Times New Roman" w:cs="Times New Roman"/>
          <w:rtl/>
          <w:lang w:eastAsia="de-DE"/>
        </w:rPr>
        <w:t xml:space="preserve"> </w:t>
      </w:r>
      <w:r w:rsidRPr="00C45636">
        <w:rPr>
          <w:rFonts w:eastAsia="Times New Roman" w:cs="Times New Roman"/>
          <w:lang w:eastAsia="de-DE"/>
        </w:rPr>
        <w:t xml:space="preserve">(distributiv „jeder, jedem"), </w:t>
      </w:r>
      <w:r w:rsidRPr="00C45636">
        <w:rPr>
          <w:rFonts w:eastAsia="Times New Roman" w:cs="Times New Roman"/>
          <w:b/>
          <w:bCs/>
          <w:rtl/>
          <w:lang w:eastAsia="de-DE"/>
        </w:rPr>
        <w:t>כְּפִי עֲבֹדָתוֹ</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כְּ</w:t>
      </w:r>
      <w:r w:rsidRPr="00C45636">
        <w:rPr>
          <w:rFonts w:eastAsia="Times New Roman" w:cs="Times New Roman"/>
          <w:rtl/>
          <w:lang w:eastAsia="de-DE"/>
        </w:rPr>
        <w:t xml:space="preserve"> </w:t>
      </w:r>
      <w:r w:rsidRPr="00C45636">
        <w:rPr>
          <w:rFonts w:eastAsia="Times New Roman" w:cs="Times New Roman"/>
          <w:lang w:eastAsia="de-DE"/>
        </w:rPr>
        <w:t xml:space="preserve">„wie, gemäß" mit </w:t>
      </w:r>
      <w:r w:rsidRPr="00C45636">
        <w:rPr>
          <w:rFonts w:eastAsia="Times New Roman" w:cs="Times New Roman"/>
          <w:b/>
          <w:bCs/>
          <w:rtl/>
          <w:lang w:eastAsia="de-DE"/>
        </w:rPr>
        <w:t>פֶּה</w:t>
      </w:r>
      <w:r w:rsidRPr="00C45636">
        <w:rPr>
          <w:rFonts w:eastAsia="Times New Roman" w:cs="Times New Roman"/>
          <w:rtl/>
          <w:lang w:eastAsia="de-DE"/>
        </w:rPr>
        <w:t xml:space="preserve"> </w:t>
      </w:r>
      <w:r w:rsidRPr="00C45636">
        <w:rPr>
          <w:rFonts w:eastAsia="Times New Roman" w:cs="Times New Roman"/>
          <w:lang w:eastAsia="de-DE"/>
        </w:rPr>
        <w:t xml:space="preserve">„Mund" im </w:t>
      </w:r>
      <w:r w:rsidR="00F133EC">
        <w:rPr>
          <w:rFonts w:eastAsia="Times New Roman" w:cs="Times New Roman"/>
          <w:lang w:eastAsia="de-DE"/>
        </w:rPr>
        <w:t>Constructus</w:t>
      </w:r>
      <w:r w:rsidRPr="00C45636">
        <w:rPr>
          <w:rFonts w:eastAsia="Times New Roman" w:cs="Times New Roman"/>
          <w:lang w:eastAsia="de-DE"/>
        </w:rPr>
        <w:t xml:space="preserve"> - idiomatisch </w:t>
      </w:r>
      <w:r w:rsidRPr="00C45636">
        <w:rPr>
          <w:rFonts w:eastAsia="Times New Roman" w:cs="Times New Roman"/>
          <w:b/>
          <w:bCs/>
          <w:rtl/>
          <w:lang w:eastAsia="de-DE"/>
        </w:rPr>
        <w:t>כְּפִי</w:t>
      </w:r>
      <w:r w:rsidRPr="00C45636">
        <w:rPr>
          <w:rFonts w:eastAsia="Times New Roman" w:cs="Times New Roman"/>
          <w:rtl/>
          <w:lang w:eastAsia="de-DE"/>
        </w:rPr>
        <w:t xml:space="preserve"> </w:t>
      </w:r>
      <w:r w:rsidRPr="00C45636">
        <w:rPr>
          <w:rFonts w:eastAsia="Times New Roman" w:cs="Times New Roman"/>
          <w:lang w:eastAsia="de-DE"/>
        </w:rPr>
        <w:t xml:space="preserve">„entsprechend, nach Maßgabe" - und </w:t>
      </w:r>
      <w:r w:rsidRPr="00C45636">
        <w:rPr>
          <w:rFonts w:eastAsia="Times New Roman" w:cs="Times New Roman"/>
          <w:b/>
          <w:bCs/>
          <w:rtl/>
          <w:lang w:eastAsia="de-DE"/>
        </w:rPr>
        <w:t>עֲבֹדָה</w:t>
      </w:r>
      <w:r w:rsidRPr="00C45636">
        <w:rPr>
          <w:rFonts w:eastAsia="Times New Roman" w:cs="Times New Roman"/>
          <w:rtl/>
          <w:lang w:eastAsia="de-DE"/>
        </w:rPr>
        <w:t xml:space="preserve"> </w:t>
      </w:r>
      <w:r w:rsidRPr="00C45636">
        <w:rPr>
          <w:rFonts w:eastAsia="Times New Roman" w:cs="Times New Roman"/>
          <w:lang w:eastAsia="de-DE"/>
        </w:rPr>
        <w:t>„Dienst" mit Suffix 3. Person maskulin Singular „nach seinem Dienst").</w:t>
      </w:r>
    </w:p>
    <w:p w14:paraId="196CE557"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Die LXX</w:t>
      </w:r>
      <w:r w:rsidRPr="00C45636">
        <w:rPr>
          <w:rFonts w:eastAsia="Times New Roman" w:cs="Times New Roman"/>
          <w:lang w:eastAsia="de-DE"/>
        </w:rPr>
        <w:t xml:space="preserve"> gibt keine wesentlichen Abweichungen.</w:t>
      </w:r>
    </w:p>
    <w:p w14:paraId="01A6E9F7"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 xml:space="preserve">Die Satzstruktur zeigt einen Imperativ, gefolgt von zwei koordinierten Zweckangaben (finales </w:t>
      </w:r>
      <w:r w:rsidRPr="00C45636">
        <w:rPr>
          <w:rFonts w:eastAsia="Times New Roman" w:cs="Times New Roman"/>
          <w:b/>
          <w:bCs/>
          <w:rtl/>
          <w:lang w:eastAsia="de-DE"/>
        </w:rPr>
        <w:t>וְהָיוּ</w:t>
      </w:r>
      <w:r w:rsidRPr="00C45636">
        <w:rPr>
          <w:rFonts w:eastAsia="Times New Roman" w:cs="Times New Roman"/>
          <w:rtl/>
          <w:lang w:eastAsia="de-DE"/>
        </w:rPr>
        <w:t xml:space="preserve"> </w:t>
      </w:r>
      <w:r w:rsidRPr="00C45636">
        <w:rPr>
          <w:rFonts w:eastAsia="Times New Roman" w:cs="Times New Roman"/>
          <w:lang w:eastAsia="de-DE"/>
        </w:rPr>
        <w:t xml:space="preserve">und zweiter Imperativ </w:t>
      </w:r>
      <w:r w:rsidRPr="00C45636">
        <w:rPr>
          <w:rFonts w:eastAsia="Times New Roman" w:cs="Times New Roman"/>
          <w:b/>
          <w:bCs/>
          <w:rtl/>
          <w:lang w:eastAsia="de-DE"/>
        </w:rPr>
        <w:t>וְנָתַתָּה</w:t>
      </w:r>
      <w:r w:rsidRPr="00C45636">
        <w:rPr>
          <w:rFonts w:eastAsia="Times New Roman" w:cs="Times New Roman"/>
          <w:lang w:eastAsia="de-DE"/>
        </w:rPr>
        <w:t>) mit abschließendem Verteilungsprinzip.</w:t>
      </w:r>
    </w:p>
    <w:p w14:paraId="7B6A5469"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 xml:space="preserve">Der Vers ordnet an: Mose soll die Wagen und Rinder entgegennehmen und an die Leviten verteilen - </w:t>
      </w:r>
      <w:r w:rsidRPr="00C45636">
        <w:rPr>
          <w:rFonts w:eastAsia="Times New Roman" w:cs="Times New Roman"/>
          <w:b/>
          <w:bCs/>
          <w:rtl/>
          <w:lang w:eastAsia="de-DE"/>
        </w:rPr>
        <w:t>אִישׁ כְּפִי עֲבֹדָתוֹ</w:t>
      </w:r>
      <w:r w:rsidRPr="00C45636">
        <w:rPr>
          <w:rFonts w:eastAsia="Times New Roman" w:cs="Times New Roman"/>
          <w:rtl/>
          <w:lang w:eastAsia="de-DE"/>
        </w:rPr>
        <w:t xml:space="preserve"> </w:t>
      </w:r>
      <w:r w:rsidRPr="00C45636">
        <w:rPr>
          <w:rFonts w:eastAsia="Times New Roman" w:cs="Times New Roman"/>
          <w:lang w:eastAsia="de-DE"/>
        </w:rPr>
        <w:t xml:space="preserve">(„jedem nach seinem Dienst"). Dies bedeutet: nicht gleichmäßig, sondern entsprechend den unterschiedlichen Transportbedürfnissen der drei Levitensippen. Die Paronomasie </w:t>
      </w:r>
      <w:r w:rsidRPr="00C45636">
        <w:rPr>
          <w:rFonts w:eastAsia="Times New Roman" w:cs="Times New Roman"/>
          <w:b/>
          <w:bCs/>
          <w:rtl/>
          <w:lang w:eastAsia="de-DE"/>
        </w:rPr>
        <w:t>לַעֲבֹד ... עֲבֹדַת ... עֲבֹדָתוֹ</w:t>
      </w:r>
      <w:r w:rsidRPr="00C45636">
        <w:rPr>
          <w:rFonts w:eastAsia="Times New Roman" w:cs="Times New Roman"/>
          <w:rtl/>
          <w:lang w:eastAsia="de-DE"/>
        </w:rPr>
        <w:t xml:space="preserve"> </w:t>
      </w:r>
      <w:r w:rsidRPr="00C45636">
        <w:rPr>
          <w:rFonts w:eastAsia="Times New Roman" w:cs="Times New Roman"/>
          <w:lang w:eastAsia="de-DE"/>
        </w:rPr>
        <w:t xml:space="preserve">(dreimal die Wurzel </w:t>
      </w:r>
      <w:r w:rsidRPr="00C45636">
        <w:rPr>
          <w:rFonts w:eastAsia="Times New Roman" w:cs="Times New Roman"/>
          <w:b/>
          <w:bCs/>
          <w:rtl/>
          <w:lang w:eastAsia="de-DE"/>
        </w:rPr>
        <w:t>עבד</w:t>
      </w:r>
      <w:r w:rsidRPr="00C45636">
        <w:rPr>
          <w:rFonts w:eastAsia="Times New Roman" w:cs="Times New Roman"/>
          <w:lang w:eastAsia="de-DE"/>
        </w:rPr>
        <w:t>) unterstreicht: Die Gaben dienen ausschließlich dem heiligen Dienst.</w:t>
      </w:r>
    </w:p>
    <w:p w14:paraId="39353C61" w14:textId="77777777" w:rsidR="00C45636" w:rsidRPr="00C45636" w:rsidRDefault="00C45636" w:rsidP="00C45636">
      <w:pPr>
        <w:spacing w:before="100" w:beforeAutospacing="1" w:after="100" w:afterAutospacing="1" w:line="240" w:lineRule="auto"/>
        <w:outlineLvl w:val="0"/>
        <w:rPr>
          <w:rFonts w:eastAsia="Times New Roman" w:cs="Times New Roman"/>
          <w:b/>
          <w:bCs/>
          <w:kern w:val="36"/>
          <w:sz w:val="48"/>
          <w:szCs w:val="48"/>
          <w:lang w:eastAsia="de-DE"/>
        </w:rPr>
      </w:pPr>
      <w:r w:rsidRPr="00C45636">
        <w:rPr>
          <w:rFonts w:eastAsia="Times New Roman" w:cs="Times New Roman"/>
          <w:b/>
          <w:bCs/>
          <w:kern w:val="36"/>
          <w:sz w:val="48"/>
          <w:szCs w:val="48"/>
          <w:lang w:eastAsia="de-DE"/>
        </w:rPr>
        <w:t>Numeri 7,6</w:t>
      </w:r>
    </w:p>
    <w:p w14:paraId="4A5A1A66"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Hebräisch:</w:t>
      </w:r>
      <w:r w:rsidRPr="00C45636">
        <w:rPr>
          <w:rFonts w:eastAsia="Times New Roman" w:cs="Times New Roman"/>
          <w:lang w:eastAsia="de-DE"/>
        </w:rPr>
        <w:t xml:space="preserve"> </w:t>
      </w:r>
      <w:r w:rsidRPr="00C45636">
        <w:rPr>
          <w:rFonts w:eastAsia="Times New Roman" w:cs="Times New Roman"/>
          <w:rtl/>
          <w:lang w:eastAsia="de-DE"/>
        </w:rPr>
        <w:t>וַיִּקַּ֣ח מֹשֶׁ֔ה אֶת־הָעֲגָלֹ֖ת וְאֶת־הַבָּקָ֑ר וַיִּתֵּ֥ן אוֹתָ֖ם אֶל־הַלְוִיִּֽם׃</w:t>
      </w:r>
    </w:p>
    <w:p w14:paraId="7DB387A1"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Deutsch:</w:t>
      </w:r>
      <w:r w:rsidRPr="00C45636">
        <w:rPr>
          <w:rFonts w:eastAsia="Times New Roman" w:cs="Times New Roman"/>
          <w:lang w:eastAsia="de-DE"/>
        </w:rPr>
        <w:t xml:space="preserve"> Und Mosche nahm die Wagen und die Rinder und gab sie den Levijim.</w:t>
      </w:r>
    </w:p>
    <w:p w14:paraId="6B671DC0" w14:textId="77777777" w:rsidR="00C45636" w:rsidRPr="00C45636" w:rsidRDefault="00F329DD" w:rsidP="00C45636">
      <w:pPr>
        <w:spacing w:after="0" w:line="240" w:lineRule="auto"/>
        <w:rPr>
          <w:rFonts w:eastAsia="Times New Roman" w:cs="Times New Roman"/>
          <w:lang w:eastAsia="de-DE"/>
        </w:rPr>
      </w:pPr>
      <w:r>
        <w:rPr>
          <w:rFonts w:eastAsia="Times New Roman" w:cs="Times New Roman"/>
          <w:noProof/>
          <w:lang w:eastAsia="de-DE"/>
        </w:rPr>
        <w:pict w14:anchorId="0FE22DCD">
          <v:rect id="_x0000_i1277" style="width:0;height:1.5pt" o:hralign="center" o:hrstd="t" o:hr="t" fillcolor="#a0a0a0" stroked="f"/>
        </w:pict>
      </w:r>
    </w:p>
    <w:p w14:paraId="6DED4F1A"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lastRenderedPageBreak/>
        <w:t>Kommentar:</w:t>
      </w:r>
      <w:r w:rsidRPr="00C45636">
        <w:rPr>
          <w:rFonts w:eastAsia="Times New Roman" w:cs="Times New Roman"/>
          <w:lang w:eastAsia="de-DE"/>
        </w:rPr>
        <w:t xml:space="preserve"> Der Vers berichtet Moses Ausführung des Befehls. </w:t>
      </w:r>
      <w:r w:rsidRPr="00C45636">
        <w:rPr>
          <w:rFonts w:eastAsia="Times New Roman" w:cs="Times New Roman"/>
          <w:b/>
          <w:bCs/>
          <w:rtl/>
          <w:lang w:eastAsia="de-DE"/>
        </w:rPr>
        <w:t>וַיִּקַּח מֹשֶׁה אֶת־הָעֲגָלֹת וְאֶת־הַבָּקָר</w:t>
      </w:r>
      <w:r w:rsidRPr="00C45636">
        <w:rPr>
          <w:rFonts w:eastAsia="Times New Roman" w:cs="Times New Roman"/>
          <w:rtl/>
          <w:lang w:eastAsia="de-DE"/>
        </w:rPr>
        <w:t xml:space="preserve"> </w:t>
      </w:r>
      <w:r w:rsidRPr="00C45636">
        <w:rPr>
          <w:rFonts w:eastAsia="Times New Roman" w:cs="Times New Roman"/>
          <w:lang w:eastAsia="de-DE"/>
        </w:rPr>
        <w:t xml:space="preserve">ist die erste Handlung. </w:t>
      </w:r>
      <w:r w:rsidRPr="00C45636">
        <w:rPr>
          <w:rFonts w:eastAsia="Times New Roman" w:cs="Times New Roman"/>
          <w:b/>
          <w:bCs/>
          <w:rtl/>
          <w:lang w:eastAsia="de-DE"/>
        </w:rPr>
        <w:t>וַיִּקַּח מֹשֶׁה</w:t>
      </w:r>
      <w:r w:rsidRPr="00C45636">
        <w:rPr>
          <w:rFonts w:eastAsia="Times New Roman" w:cs="Times New Roman"/>
          <w:rtl/>
          <w:lang w:eastAsia="de-DE"/>
        </w:rPr>
        <w:t xml:space="preserve"> </w:t>
      </w:r>
      <w:r w:rsidRPr="00C45636">
        <w:rPr>
          <w:rFonts w:eastAsia="Times New Roman" w:cs="Times New Roman"/>
          <w:lang w:eastAsia="de-DE"/>
        </w:rPr>
        <w:t xml:space="preserve">(Qal Wayyiqtol 3. Person maskulin Singular von </w:t>
      </w:r>
      <w:r w:rsidRPr="00C45636">
        <w:rPr>
          <w:rFonts w:eastAsia="Times New Roman" w:cs="Times New Roman"/>
          <w:b/>
          <w:bCs/>
          <w:rtl/>
          <w:lang w:eastAsia="de-DE"/>
        </w:rPr>
        <w:t>לקח</w:t>
      </w:r>
      <w:r w:rsidRPr="00C45636">
        <w:rPr>
          <w:rFonts w:eastAsia="Times New Roman" w:cs="Times New Roman"/>
          <w:rtl/>
          <w:lang w:eastAsia="de-DE"/>
        </w:rPr>
        <w:t xml:space="preserve"> </w:t>
      </w:r>
      <w:r w:rsidRPr="00C45636">
        <w:rPr>
          <w:rFonts w:eastAsia="Times New Roman" w:cs="Times New Roman"/>
          <w:lang w:eastAsia="de-DE"/>
        </w:rPr>
        <w:t xml:space="preserve">„nehmen" mit </w:t>
      </w:r>
      <w:r w:rsidRPr="00C45636">
        <w:rPr>
          <w:rFonts w:eastAsia="Times New Roman" w:cs="Times New Roman"/>
          <w:b/>
          <w:bCs/>
          <w:rtl/>
          <w:lang w:eastAsia="de-DE"/>
        </w:rPr>
        <w:t>מֹשֶׁה</w:t>
      </w:r>
      <w:r w:rsidRPr="00C45636">
        <w:rPr>
          <w:rFonts w:eastAsia="Times New Roman" w:cs="Times New Roman"/>
          <w:rtl/>
          <w:lang w:eastAsia="de-DE"/>
        </w:rPr>
        <w:t xml:space="preserve"> </w:t>
      </w:r>
      <w:r w:rsidRPr="00C45636">
        <w:rPr>
          <w:rFonts w:eastAsia="Times New Roman" w:cs="Times New Roman"/>
          <w:lang w:eastAsia="de-DE"/>
        </w:rPr>
        <w:t xml:space="preserve">als Subjekt „und Mosche nahm"), </w:t>
      </w:r>
      <w:r w:rsidRPr="00C45636">
        <w:rPr>
          <w:rFonts w:eastAsia="Times New Roman" w:cs="Times New Roman"/>
          <w:b/>
          <w:bCs/>
          <w:rtl/>
          <w:lang w:eastAsia="de-DE"/>
        </w:rPr>
        <w:t>אֶת־הָעֲגָלֹת וְאֶת־הַבָּקָר</w:t>
      </w:r>
      <w:r w:rsidRPr="00C45636">
        <w:rPr>
          <w:rFonts w:eastAsia="Times New Roman" w:cs="Times New Roman"/>
          <w:rtl/>
          <w:lang w:eastAsia="de-DE"/>
        </w:rPr>
        <w:t xml:space="preserve"> </w:t>
      </w:r>
      <w:r w:rsidRPr="00C45636">
        <w:rPr>
          <w:rFonts w:eastAsia="Times New Roman" w:cs="Times New Roman"/>
          <w:lang w:eastAsia="de-DE"/>
        </w:rPr>
        <w:t xml:space="preserve">(zweimal Akkusativpartikel mit Plural </w:t>
      </w:r>
      <w:r w:rsidRPr="00C45636">
        <w:rPr>
          <w:rFonts w:eastAsia="Times New Roman" w:cs="Times New Roman"/>
          <w:b/>
          <w:bCs/>
          <w:rtl/>
          <w:lang w:eastAsia="de-DE"/>
        </w:rPr>
        <w:t>עֲגָלָה</w:t>
      </w:r>
      <w:r w:rsidRPr="00C45636">
        <w:rPr>
          <w:rFonts w:eastAsia="Times New Roman" w:cs="Times New Roman"/>
          <w:rtl/>
          <w:lang w:eastAsia="de-DE"/>
        </w:rPr>
        <w:t xml:space="preserve"> </w:t>
      </w:r>
      <w:r w:rsidRPr="00C45636">
        <w:rPr>
          <w:rFonts w:eastAsia="Times New Roman" w:cs="Times New Roman"/>
          <w:lang w:eastAsia="de-DE"/>
        </w:rPr>
        <w:t xml:space="preserve">mit Artikel und </w:t>
      </w:r>
      <w:r w:rsidRPr="00C45636">
        <w:rPr>
          <w:rFonts w:eastAsia="Times New Roman" w:cs="Times New Roman"/>
          <w:b/>
          <w:bCs/>
          <w:rtl/>
          <w:lang w:eastAsia="de-DE"/>
        </w:rPr>
        <w:t>בָּקָר</w:t>
      </w:r>
      <w:r w:rsidRPr="00C45636">
        <w:rPr>
          <w:rFonts w:eastAsia="Times New Roman" w:cs="Times New Roman"/>
          <w:rtl/>
          <w:lang w:eastAsia="de-DE"/>
        </w:rPr>
        <w:t xml:space="preserve"> </w:t>
      </w:r>
      <w:r w:rsidRPr="00C45636">
        <w:rPr>
          <w:rFonts w:eastAsia="Times New Roman" w:cs="Times New Roman"/>
          <w:lang w:eastAsia="de-DE"/>
        </w:rPr>
        <w:t xml:space="preserve">mit Artikel „die Wagen und die Rinder"). </w:t>
      </w:r>
      <w:r w:rsidRPr="00C45636">
        <w:rPr>
          <w:rFonts w:eastAsia="Times New Roman" w:cs="Times New Roman"/>
          <w:b/>
          <w:bCs/>
          <w:rtl/>
          <w:lang w:eastAsia="de-DE"/>
        </w:rPr>
        <w:t>וַיִּתֵּן אוֹתָם אֶל־הַלְוִיִּם</w:t>
      </w:r>
      <w:r w:rsidRPr="00C45636">
        <w:rPr>
          <w:rFonts w:eastAsia="Times New Roman" w:cs="Times New Roman"/>
          <w:rtl/>
          <w:lang w:eastAsia="de-DE"/>
        </w:rPr>
        <w:t xml:space="preserve"> </w:t>
      </w:r>
      <w:r w:rsidRPr="00C45636">
        <w:rPr>
          <w:rFonts w:eastAsia="Times New Roman" w:cs="Times New Roman"/>
          <w:lang w:eastAsia="de-DE"/>
        </w:rPr>
        <w:t xml:space="preserve">ist die zweite Handlung. </w:t>
      </w:r>
      <w:r w:rsidRPr="00C45636">
        <w:rPr>
          <w:rFonts w:eastAsia="Times New Roman" w:cs="Times New Roman"/>
          <w:b/>
          <w:bCs/>
          <w:rtl/>
          <w:lang w:eastAsia="de-DE"/>
        </w:rPr>
        <w:t>וַיִּתֵּן</w:t>
      </w:r>
      <w:r w:rsidRPr="00C45636">
        <w:rPr>
          <w:rFonts w:eastAsia="Times New Roman" w:cs="Times New Roman"/>
          <w:rtl/>
          <w:lang w:eastAsia="de-DE"/>
        </w:rPr>
        <w:t xml:space="preserve"> </w:t>
      </w:r>
      <w:r w:rsidRPr="00C45636">
        <w:rPr>
          <w:rFonts w:eastAsia="Times New Roman" w:cs="Times New Roman"/>
          <w:lang w:eastAsia="de-DE"/>
        </w:rPr>
        <w:t xml:space="preserve">(Qal Wayyiqtol von </w:t>
      </w:r>
      <w:r w:rsidRPr="00C45636">
        <w:rPr>
          <w:rFonts w:eastAsia="Times New Roman" w:cs="Times New Roman"/>
          <w:b/>
          <w:bCs/>
          <w:rtl/>
          <w:lang w:eastAsia="de-DE"/>
        </w:rPr>
        <w:t>נתן</w:t>
      </w:r>
      <w:r w:rsidRPr="00C45636">
        <w:rPr>
          <w:rFonts w:eastAsia="Times New Roman" w:cs="Times New Roman"/>
          <w:rtl/>
          <w:lang w:eastAsia="de-DE"/>
        </w:rPr>
        <w:t xml:space="preserve"> </w:t>
      </w:r>
      <w:r w:rsidRPr="00C45636">
        <w:rPr>
          <w:rFonts w:eastAsia="Times New Roman" w:cs="Times New Roman"/>
          <w:lang w:eastAsia="de-DE"/>
        </w:rPr>
        <w:t xml:space="preserve">„geben"), </w:t>
      </w:r>
      <w:r w:rsidRPr="00C45636">
        <w:rPr>
          <w:rFonts w:eastAsia="Times New Roman" w:cs="Times New Roman"/>
          <w:b/>
          <w:bCs/>
          <w:rtl/>
          <w:lang w:eastAsia="de-DE"/>
        </w:rPr>
        <w:t>אוֹתָם</w:t>
      </w:r>
      <w:r w:rsidRPr="00C45636">
        <w:rPr>
          <w:rFonts w:eastAsia="Times New Roman" w:cs="Times New Roman"/>
          <w:rtl/>
          <w:lang w:eastAsia="de-DE"/>
        </w:rPr>
        <w:t xml:space="preserve"> </w:t>
      </w:r>
      <w:r w:rsidRPr="00C45636">
        <w:rPr>
          <w:rFonts w:eastAsia="Times New Roman" w:cs="Times New Roman"/>
          <w:lang w:eastAsia="de-DE"/>
        </w:rPr>
        <w:t xml:space="preserve">(Akkusativpartikel mit Suffix Plural), </w:t>
      </w:r>
      <w:r w:rsidRPr="00C45636">
        <w:rPr>
          <w:rFonts w:eastAsia="Times New Roman" w:cs="Times New Roman"/>
          <w:b/>
          <w:bCs/>
          <w:rtl/>
          <w:lang w:eastAsia="de-DE"/>
        </w:rPr>
        <w:t>אֶל־הַלְוִיִּם</w:t>
      </w:r>
      <w:r w:rsidRPr="00C45636">
        <w:rPr>
          <w:rFonts w:eastAsia="Times New Roman" w:cs="Times New Roman"/>
          <w:rtl/>
          <w:lang w:eastAsia="de-DE"/>
        </w:rPr>
        <w:t xml:space="preserve"> </w:t>
      </w:r>
      <w:r w:rsidRPr="00C45636">
        <w:rPr>
          <w:rFonts w:eastAsia="Times New Roman" w:cs="Times New Roman"/>
          <w:lang w:eastAsia="de-DE"/>
        </w:rPr>
        <w:t>(wie V. 5).</w:t>
      </w:r>
    </w:p>
    <w:p w14:paraId="44007821"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Die LXX</w:t>
      </w:r>
      <w:r w:rsidRPr="00C45636">
        <w:rPr>
          <w:rFonts w:eastAsia="Times New Roman" w:cs="Times New Roman"/>
          <w:lang w:eastAsia="de-DE"/>
        </w:rPr>
        <w:t xml:space="preserve"> gibt keine Abweichungen.</w:t>
      </w:r>
    </w:p>
    <w:p w14:paraId="610D622D"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Die Satzstruktur zeigt zwei koordinierte Verbalhandlungen (nehmen, geben) mit demselben Objekt.</w:t>
      </w:r>
    </w:p>
    <w:p w14:paraId="597C5088"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Der Vers berichtet knapp Moses Gehorsam - die detaillierte Verteilung folgt in den nächsten Versen.</w:t>
      </w:r>
    </w:p>
    <w:p w14:paraId="112A58BC" w14:textId="77777777" w:rsidR="00C45636" w:rsidRPr="00C45636" w:rsidRDefault="00C45636" w:rsidP="00C45636">
      <w:pPr>
        <w:spacing w:before="100" w:beforeAutospacing="1" w:after="100" w:afterAutospacing="1" w:line="240" w:lineRule="auto"/>
        <w:outlineLvl w:val="0"/>
        <w:rPr>
          <w:rFonts w:eastAsia="Times New Roman" w:cs="Times New Roman"/>
          <w:b/>
          <w:bCs/>
          <w:kern w:val="36"/>
          <w:sz w:val="48"/>
          <w:szCs w:val="48"/>
          <w:lang w:eastAsia="de-DE"/>
        </w:rPr>
      </w:pPr>
      <w:r w:rsidRPr="00C45636">
        <w:rPr>
          <w:rFonts w:eastAsia="Times New Roman" w:cs="Times New Roman"/>
          <w:b/>
          <w:bCs/>
          <w:kern w:val="36"/>
          <w:sz w:val="48"/>
          <w:szCs w:val="48"/>
          <w:lang w:eastAsia="de-DE"/>
        </w:rPr>
        <w:t>Numeri 7,7</w:t>
      </w:r>
    </w:p>
    <w:p w14:paraId="209AEA48"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Hebräisch:</w:t>
      </w:r>
      <w:r w:rsidRPr="00C45636">
        <w:rPr>
          <w:rFonts w:eastAsia="Times New Roman" w:cs="Times New Roman"/>
          <w:lang w:eastAsia="de-DE"/>
        </w:rPr>
        <w:t xml:space="preserve"> </w:t>
      </w:r>
      <w:r w:rsidRPr="00C45636">
        <w:rPr>
          <w:rFonts w:eastAsia="Times New Roman" w:cs="Times New Roman"/>
          <w:rtl/>
          <w:lang w:eastAsia="de-DE"/>
        </w:rPr>
        <w:t>אֵ֣ת׀ שְׁתֵּ֣י הָעֲגָלֹ֗ת וְאֵת֙ אַרְבַּעַ֣ת הַבָּקָ֔ר נָתַ֖ן לִבְנֵ֣י גֵרְשׁ֑וֹן כְּפִ֖י עֲבֹדָתָֽם׃</w:t>
      </w:r>
    </w:p>
    <w:p w14:paraId="721A98A8"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Deutsch:</w:t>
      </w:r>
      <w:r w:rsidRPr="00C45636">
        <w:rPr>
          <w:rFonts w:eastAsia="Times New Roman" w:cs="Times New Roman"/>
          <w:lang w:eastAsia="de-DE"/>
        </w:rPr>
        <w:t xml:space="preserve"> Die zwei Wagen und die vier Rinder gab er den Söhnen Gerschons, nach ihrem Dienst.</w:t>
      </w:r>
    </w:p>
    <w:p w14:paraId="015F5055" w14:textId="77777777" w:rsidR="00C45636" w:rsidRPr="00C45636" w:rsidRDefault="00F329DD" w:rsidP="00C45636">
      <w:pPr>
        <w:spacing w:after="0" w:line="240" w:lineRule="auto"/>
        <w:rPr>
          <w:rFonts w:eastAsia="Times New Roman" w:cs="Times New Roman"/>
          <w:lang w:eastAsia="de-DE"/>
        </w:rPr>
      </w:pPr>
      <w:r>
        <w:rPr>
          <w:rFonts w:eastAsia="Times New Roman" w:cs="Times New Roman"/>
          <w:noProof/>
          <w:lang w:eastAsia="de-DE"/>
        </w:rPr>
        <w:pict w14:anchorId="7303C1CC">
          <v:rect id="_x0000_i1278" style="width:0;height:1.5pt" o:hralign="center" o:hrstd="t" o:hr="t" fillcolor="#a0a0a0" stroked="f"/>
        </w:pict>
      </w:r>
    </w:p>
    <w:p w14:paraId="4099848D" w14:textId="104B727A"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Kommentar:</w:t>
      </w:r>
      <w:r w:rsidRPr="00C45636">
        <w:rPr>
          <w:rFonts w:eastAsia="Times New Roman" w:cs="Times New Roman"/>
          <w:lang w:eastAsia="de-DE"/>
        </w:rPr>
        <w:t xml:space="preserve"> Der Vers spezifiziert die Zuteilung an die Gerschoniter. </w:t>
      </w:r>
      <w:r w:rsidRPr="00C45636">
        <w:rPr>
          <w:rFonts w:eastAsia="Times New Roman" w:cs="Times New Roman"/>
          <w:b/>
          <w:bCs/>
          <w:rtl/>
          <w:lang w:eastAsia="de-DE"/>
        </w:rPr>
        <w:t>אֵת שְׁתֵּי הָעֲגָלֹת וְאֵת אַרְבַּעַת הַבָּקָר נָתַן לִבְנֵי גֵרְשׁוֹן</w:t>
      </w:r>
      <w:r w:rsidRPr="00C45636">
        <w:rPr>
          <w:rFonts w:eastAsia="Times New Roman" w:cs="Times New Roman"/>
          <w:rtl/>
          <w:lang w:eastAsia="de-DE"/>
        </w:rPr>
        <w:t xml:space="preserve"> </w:t>
      </w:r>
      <w:r w:rsidRPr="00C45636">
        <w:rPr>
          <w:rFonts w:eastAsia="Times New Roman" w:cs="Times New Roman"/>
          <w:lang w:eastAsia="de-DE"/>
        </w:rPr>
        <w:t xml:space="preserve">ist die Hauptaussage. </w:t>
      </w:r>
      <w:r w:rsidRPr="00C45636">
        <w:rPr>
          <w:rFonts w:eastAsia="Times New Roman" w:cs="Times New Roman"/>
          <w:b/>
          <w:bCs/>
          <w:rtl/>
          <w:lang w:eastAsia="de-DE"/>
        </w:rPr>
        <w:t>אֵת שְׁתֵּי הָעֲגָלֹת</w:t>
      </w:r>
      <w:r w:rsidRPr="00C45636">
        <w:rPr>
          <w:rFonts w:eastAsia="Times New Roman" w:cs="Times New Roman"/>
          <w:rtl/>
          <w:lang w:eastAsia="de-DE"/>
        </w:rPr>
        <w:t xml:space="preserve"> </w:t>
      </w:r>
      <w:r w:rsidRPr="00C45636">
        <w:rPr>
          <w:rFonts w:eastAsia="Times New Roman" w:cs="Times New Roman"/>
          <w:lang w:eastAsia="de-DE"/>
        </w:rPr>
        <w:t xml:space="preserve">(Akkusativpartikel mit Kardinalzahl </w:t>
      </w:r>
      <w:r w:rsidRPr="00C45636">
        <w:rPr>
          <w:rFonts w:eastAsia="Times New Roman" w:cs="Times New Roman"/>
          <w:b/>
          <w:bCs/>
          <w:rtl/>
          <w:lang w:eastAsia="de-DE"/>
        </w:rPr>
        <w:t>שְׁתַּיִם</w:t>
      </w:r>
      <w:r w:rsidRPr="00C45636">
        <w:rPr>
          <w:rFonts w:eastAsia="Times New Roman" w:cs="Times New Roman"/>
          <w:rtl/>
          <w:lang w:eastAsia="de-DE"/>
        </w:rPr>
        <w:t xml:space="preserve"> </w:t>
      </w:r>
      <w:r w:rsidRPr="00C45636">
        <w:rPr>
          <w:rFonts w:eastAsia="Times New Roman" w:cs="Times New Roman"/>
          <w:lang w:eastAsia="de-DE"/>
        </w:rPr>
        <w:t xml:space="preserve">„zwei" im </w:t>
      </w:r>
      <w:r w:rsidR="00F133EC">
        <w:rPr>
          <w:rFonts w:eastAsia="Times New Roman" w:cs="Times New Roman"/>
          <w:lang w:eastAsia="de-DE"/>
        </w:rPr>
        <w:t>Constructus</w:t>
      </w:r>
      <w:r w:rsidRPr="00C45636">
        <w:rPr>
          <w:rFonts w:eastAsia="Times New Roman" w:cs="Times New Roman"/>
          <w:lang w:eastAsia="de-DE"/>
        </w:rPr>
        <w:t xml:space="preserve"> Dual feminin und Plural </w:t>
      </w:r>
      <w:r w:rsidRPr="00C45636">
        <w:rPr>
          <w:rFonts w:eastAsia="Times New Roman" w:cs="Times New Roman"/>
          <w:b/>
          <w:bCs/>
          <w:rtl/>
          <w:lang w:eastAsia="de-DE"/>
        </w:rPr>
        <w:t>עֲגָלָה</w:t>
      </w:r>
      <w:r w:rsidRPr="00C45636">
        <w:rPr>
          <w:rFonts w:eastAsia="Times New Roman" w:cs="Times New Roman"/>
          <w:rtl/>
          <w:lang w:eastAsia="de-DE"/>
        </w:rPr>
        <w:t xml:space="preserve"> </w:t>
      </w:r>
      <w:r w:rsidRPr="00C45636">
        <w:rPr>
          <w:rFonts w:eastAsia="Times New Roman" w:cs="Times New Roman"/>
          <w:lang w:eastAsia="de-DE"/>
        </w:rPr>
        <w:t xml:space="preserve">mit Artikel „die zwei Wagen"), </w:t>
      </w:r>
      <w:r w:rsidRPr="00C45636">
        <w:rPr>
          <w:rFonts w:eastAsia="Times New Roman" w:cs="Times New Roman"/>
          <w:b/>
          <w:bCs/>
          <w:rtl/>
          <w:lang w:eastAsia="de-DE"/>
        </w:rPr>
        <w:t>וְאֵת אַרְבַּעַת הַבָּקָר</w:t>
      </w:r>
      <w:r w:rsidRPr="00C45636">
        <w:rPr>
          <w:rFonts w:eastAsia="Times New Roman" w:cs="Times New Roman"/>
          <w:rtl/>
          <w:lang w:eastAsia="de-DE"/>
        </w:rPr>
        <w:t xml:space="preserve"> </w:t>
      </w:r>
      <w:r w:rsidRPr="00C45636">
        <w:rPr>
          <w:rFonts w:eastAsia="Times New Roman" w:cs="Times New Roman"/>
          <w:lang w:eastAsia="de-DE"/>
        </w:rPr>
        <w:t xml:space="preserve">(Konjunktion mit Akkusativpartikel, Kardinalzahl </w:t>
      </w:r>
      <w:r w:rsidRPr="00C45636">
        <w:rPr>
          <w:rFonts w:eastAsia="Times New Roman" w:cs="Times New Roman"/>
          <w:b/>
          <w:bCs/>
          <w:rtl/>
          <w:lang w:eastAsia="de-DE"/>
        </w:rPr>
        <w:t>אַרְבַּע</w:t>
      </w:r>
      <w:r w:rsidRPr="00C45636">
        <w:rPr>
          <w:rFonts w:eastAsia="Times New Roman" w:cs="Times New Roman"/>
          <w:rtl/>
          <w:lang w:eastAsia="de-DE"/>
        </w:rPr>
        <w:t xml:space="preserve"> </w:t>
      </w:r>
      <w:r w:rsidRPr="00C45636">
        <w:rPr>
          <w:rFonts w:eastAsia="Times New Roman" w:cs="Times New Roman"/>
          <w:lang w:eastAsia="de-DE"/>
        </w:rPr>
        <w:t xml:space="preserve">„vier" im </w:t>
      </w:r>
      <w:r w:rsidR="00F133EC">
        <w:rPr>
          <w:rFonts w:eastAsia="Times New Roman" w:cs="Times New Roman"/>
          <w:lang w:eastAsia="de-DE"/>
        </w:rPr>
        <w:t>Constructus</w:t>
      </w:r>
      <w:r w:rsidRPr="00C45636">
        <w:rPr>
          <w:rFonts w:eastAsia="Times New Roman" w:cs="Times New Roman"/>
          <w:lang w:eastAsia="de-DE"/>
        </w:rPr>
        <w:t xml:space="preserve"> und </w:t>
      </w:r>
      <w:r w:rsidRPr="00C45636">
        <w:rPr>
          <w:rFonts w:eastAsia="Times New Roman" w:cs="Times New Roman"/>
          <w:b/>
          <w:bCs/>
          <w:rtl/>
          <w:lang w:eastAsia="de-DE"/>
        </w:rPr>
        <w:t>בָּקָר</w:t>
      </w:r>
      <w:r w:rsidRPr="00C45636">
        <w:rPr>
          <w:rFonts w:eastAsia="Times New Roman" w:cs="Times New Roman"/>
          <w:rtl/>
          <w:lang w:eastAsia="de-DE"/>
        </w:rPr>
        <w:t xml:space="preserve"> </w:t>
      </w:r>
      <w:r w:rsidRPr="00C45636">
        <w:rPr>
          <w:rFonts w:eastAsia="Times New Roman" w:cs="Times New Roman"/>
          <w:lang w:eastAsia="de-DE"/>
        </w:rPr>
        <w:t xml:space="preserve">mit Artikel „und die vier Rinder"), </w:t>
      </w:r>
      <w:r w:rsidRPr="00C45636">
        <w:rPr>
          <w:rFonts w:eastAsia="Times New Roman" w:cs="Times New Roman"/>
          <w:b/>
          <w:bCs/>
          <w:rtl/>
          <w:lang w:eastAsia="de-DE"/>
        </w:rPr>
        <w:t>נָתַן</w:t>
      </w:r>
      <w:r w:rsidRPr="00C45636">
        <w:rPr>
          <w:rFonts w:eastAsia="Times New Roman" w:cs="Times New Roman"/>
          <w:rtl/>
          <w:lang w:eastAsia="de-DE"/>
        </w:rPr>
        <w:t xml:space="preserve"> </w:t>
      </w:r>
      <w:r w:rsidRPr="00C45636">
        <w:rPr>
          <w:rFonts w:eastAsia="Times New Roman" w:cs="Times New Roman"/>
          <w:lang w:eastAsia="de-DE"/>
        </w:rPr>
        <w:t xml:space="preserve">(Qal Perfekt 3. Person maskulin Singular von </w:t>
      </w:r>
      <w:r w:rsidRPr="00C45636">
        <w:rPr>
          <w:rFonts w:eastAsia="Times New Roman" w:cs="Times New Roman"/>
          <w:b/>
          <w:bCs/>
          <w:rtl/>
          <w:lang w:eastAsia="de-DE"/>
        </w:rPr>
        <w:t>נתן</w:t>
      </w:r>
      <w:r w:rsidRPr="00C45636">
        <w:rPr>
          <w:rFonts w:eastAsia="Times New Roman" w:cs="Times New Roman"/>
          <w:rtl/>
          <w:lang w:eastAsia="de-DE"/>
        </w:rPr>
        <w:t xml:space="preserve"> </w:t>
      </w:r>
      <w:r w:rsidRPr="00C45636">
        <w:rPr>
          <w:rFonts w:eastAsia="Times New Roman" w:cs="Times New Roman"/>
          <w:lang w:eastAsia="de-DE"/>
        </w:rPr>
        <w:t xml:space="preserve">„geben" - Subjekt Mose aus V. 6), </w:t>
      </w:r>
      <w:r w:rsidRPr="00C45636">
        <w:rPr>
          <w:rFonts w:eastAsia="Times New Roman" w:cs="Times New Roman"/>
          <w:b/>
          <w:bCs/>
          <w:rtl/>
          <w:lang w:eastAsia="de-DE"/>
        </w:rPr>
        <w:t>לִבְנֵי גֵרְשׁוֹן</w:t>
      </w:r>
      <w:r w:rsidRPr="00C45636">
        <w:rPr>
          <w:rFonts w:eastAsia="Times New Roman" w:cs="Times New Roman"/>
          <w:rtl/>
          <w:lang w:eastAsia="de-DE"/>
        </w:rPr>
        <w:t xml:space="preserve"> </w:t>
      </w:r>
      <w:r w:rsidRPr="00C45636">
        <w:rPr>
          <w:rFonts w:eastAsia="Times New Roman" w:cs="Times New Roman"/>
          <w:lang w:eastAsia="de-DE"/>
        </w:rPr>
        <w:t xml:space="preserve">(Präposition </w:t>
      </w:r>
      <w:r w:rsidRPr="00C45636">
        <w:rPr>
          <w:rFonts w:eastAsia="Times New Roman" w:cs="Times New Roman"/>
          <w:b/>
          <w:bCs/>
          <w:rtl/>
          <w:lang w:eastAsia="de-DE"/>
        </w:rPr>
        <w:t>לְ</w:t>
      </w:r>
      <w:r w:rsidRPr="00C45636">
        <w:rPr>
          <w:rFonts w:eastAsia="Times New Roman" w:cs="Times New Roman"/>
          <w:rtl/>
          <w:lang w:eastAsia="de-DE"/>
        </w:rPr>
        <w:t xml:space="preserve"> </w:t>
      </w:r>
      <w:r w:rsidRPr="00C45636">
        <w:rPr>
          <w:rFonts w:eastAsia="Times New Roman" w:cs="Times New Roman"/>
          <w:lang w:eastAsia="de-DE"/>
        </w:rPr>
        <w:t xml:space="preserve">mit Plural </w:t>
      </w:r>
      <w:r w:rsidR="00F133EC">
        <w:rPr>
          <w:rFonts w:eastAsia="Times New Roman" w:cs="Times New Roman"/>
          <w:lang w:eastAsia="de-DE"/>
        </w:rPr>
        <w:t>Constructus</w:t>
      </w:r>
      <w:r w:rsidRPr="00C45636">
        <w:rPr>
          <w:rFonts w:eastAsia="Times New Roman" w:cs="Times New Roman"/>
          <w:lang w:eastAsia="de-DE"/>
        </w:rPr>
        <w:t xml:space="preserve"> </w:t>
      </w:r>
      <w:r w:rsidRPr="00C45636">
        <w:rPr>
          <w:rFonts w:eastAsia="Times New Roman" w:cs="Times New Roman"/>
          <w:b/>
          <w:bCs/>
          <w:rtl/>
          <w:lang w:eastAsia="de-DE"/>
        </w:rPr>
        <w:t>בֵּן</w:t>
      </w:r>
      <w:r w:rsidRPr="00C45636">
        <w:rPr>
          <w:rFonts w:eastAsia="Times New Roman" w:cs="Times New Roman"/>
          <w:rtl/>
          <w:lang w:eastAsia="de-DE"/>
        </w:rPr>
        <w:t xml:space="preserve"> </w:t>
      </w:r>
      <w:r w:rsidRPr="00C45636">
        <w:rPr>
          <w:rFonts w:eastAsia="Times New Roman" w:cs="Times New Roman"/>
          <w:lang w:eastAsia="de-DE"/>
        </w:rPr>
        <w:t xml:space="preserve">und </w:t>
      </w:r>
      <w:r w:rsidRPr="00C45636">
        <w:rPr>
          <w:rFonts w:eastAsia="Times New Roman" w:cs="Times New Roman"/>
          <w:b/>
          <w:bCs/>
          <w:rtl/>
          <w:lang w:eastAsia="de-DE"/>
        </w:rPr>
        <w:t>גֵּרְשׁוֹן</w:t>
      </w:r>
      <w:r w:rsidRPr="00C45636">
        <w:rPr>
          <w:rFonts w:eastAsia="Times New Roman" w:cs="Times New Roman"/>
          <w:rtl/>
          <w:lang w:eastAsia="de-DE"/>
        </w:rPr>
        <w:t xml:space="preserve"> </w:t>
      </w:r>
      <w:r w:rsidRPr="00C45636">
        <w:rPr>
          <w:rFonts w:eastAsia="Times New Roman" w:cs="Times New Roman"/>
          <w:lang w:eastAsia="de-DE"/>
        </w:rPr>
        <w:t xml:space="preserve">„den Söhnen Gerschons"). </w:t>
      </w:r>
      <w:r w:rsidRPr="00C45636">
        <w:rPr>
          <w:rFonts w:eastAsia="Times New Roman" w:cs="Times New Roman"/>
          <w:b/>
          <w:bCs/>
          <w:rtl/>
          <w:lang w:eastAsia="de-DE"/>
        </w:rPr>
        <w:t>כְּפִי עֲבֹדָתָם</w:t>
      </w:r>
      <w:r w:rsidRPr="00C45636">
        <w:rPr>
          <w:rFonts w:eastAsia="Times New Roman" w:cs="Times New Roman"/>
          <w:rtl/>
          <w:lang w:eastAsia="de-DE"/>
        </w:rPr>
        <w:t xml:space="preserve"> </w:t>
      </w:r>
      <w:r w:rsidRPr="00C45636">
        <w:rPr>
          <w:rFonts w:eastAsia="Times New Roman" w:cs="Times New Roman"/>
          <w:lang w:eastAsia="de-DE"/>
        </w:rPr>
        <w:t xml:space="preserve">begründet die Zuteilung. </w:t>
      </w:r>
      <w:r w:rsidRPr="00C45636">
        <w:rPr>
          <w:rFonts w:eastAsia="Times New Roman" w:cs="Times New Roman"/>
          <w:b/>
          <w:bCs/>
          <w:rtl/>
          <w:lang w:eastAsia="de-DE"/>
        </w:rPr>
        <w:t>כְּפִי עֲבֹדָתָם</w:t>
      </w:r>
      <w:r w:rsidRPr="00C45636">
        <w:rPr>
          <w:rFonts w:eastAsia="Times New Roman" w:cs="Times New Roman"/>
          <w:rtl/>
          <w:lang w:eastAsia="de-DE"/>
        </w:rPr>
        <w:t xml:space="preserve"> </w:t>
      </w:r>
      <w:r w:rsidRPr="00C45636">
        <w:rPr>
          <w:rFonts w:eastAsia="Times New Roman" w:cs="Times New Roman"/>
          <w:lang w:eastAsia="de-DE"/>
        </w:rPr>
        <w:t>(wie V. 5, jetzt Suffix 3. Person Plural „nach ihrem Dienst").</w:t>
      </w:r>
    </w:p>
    <w:p w14:paraId="5C7EED7D"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Die LXX</w:t>
      </w:r>
      <w:r w:rsidRPr="00C45636">
        <w:rPr>
          <w:rFonts w:eastAsia="Times New Roman" w:cs="Times New Roman"/>
          <w:lang w:eastAsia="de-DE"/>
        </w:rPr>
        <w:t xml:space="preserve"> gibt keine Abweichungen.</w:t>
      </w:r>
    </w:p>
    <w:p w14:paraId="0C69B8AB"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Die Satzstruktur zeigt ein doppeltes Akkusativobjekt, Verb und Dativ-Empfänger mit begründender Phrase.</w:t>
      </w:r>
    </w:p>
    <w:p w14:paraId="4EDE2CF2"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lang w:eastAsia="de-DE"/>
        </w:rPr>
        <w:t>Die Gerschoniter erhalten zwei Wagen und vier Rinder - ihre Aufgabe ist der Transport der Zeltteppiche, Decken und Vorhänge der Stiftshütte (vgl. Num 4,24-26), die weniger schwer sind als die Gegenstände der Merariter.</w:t>
      </w:r>
    </w:p>
    <w:p w14:paraId="3C6F1BED" w14:textId="77777777" w:rsidR="00C45636" w:rsidRPr="00C45636" w:rsidRDefault="00C45636" w:rsidP="00C45636">
      <w:pPr>
        <w:spacing w:before="100" w:beforeAutospacing="1" w:after="100" w:afterAutospacing="1" w:line="240" w:lineRule="auto"/>
        <w:outlineLvl w:val="0"/>
        <w:rPr>
          <w:rFonts w:eastAsia="Times New Roman" w:cs="Times New Roman"/>
          <w:b/>
          <w:bCs/>
          <w:kern w:val="36"/>
          <w:sz w:val="48"/>
          <w:szCs w:val="48"/>
          <w:lang w:eastAsia="de-DE"/>
        </w:rPr>
      </w:pPr>
      <w:r w:rsidRPr="00C45636">
        <w:rPr>
          <w:rFonts w:eastAsia="Times New Roman" w:cs="Times New Roman"/>
          <w:b/>
          <w:bCs/>
          <w:kern w:val="36"/>
          <w:sz w:val="48"/>
          <w:szCs w:val="48"/>
          <w:lang w:eastAsia="de-DE"/>
        </w:rPr>
        <w:t>Numeri 7,8</w:t>
      </w:r>
    </w:p>
    <w:p w14:paraId="0D8F2F0A"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Hebräisch:</w:t>
      </w:r>
      <w:r w:rsidRPr="00C45636">
        <w:rPr>
          <w:rFonts w:eastAsia="Times New Roman" w:cs="Times New Roman"/>
          <w:lang w:eastAsia="de-DE"/>
        </w:rPr>
        <w:t xml:space="preserve"> </w:t>
      </w:r>
      <w:r w:rsidRPr="00C45636">
        <w:rPr>
          <w:rFonts w:eastAsia="Times New Roman" w:cs="Times New Roman"/>
          <w:rtl/>
          <w:lang w:eastAsia="de-DE"/>
        </w:rPr>
        <w:t>וְאֵ֣ת׀ אַרְבַּ֣ע הָעֲגָלֹ֗ת וְאֵת֙ שְׁמֹנַ֣ת הַבָּקָ֔ר נָתַ֖ן לִבְנֵ֣י מְרָרִ֑י כְּפִי֙ עֲבֹ֣דָתָ֔ם בְּיַד֙ אִֽיתָמָ֔ר בֶּֽן־אַהֲרֹ֖ן הַכֹּהֵֽן׃</w:t>
      </w:r>
    </w:p>
    <w:p w14:paraId="490C413D" w14:textId="77777777" w:rsidR="00C45636" w:rsidRPr="00C45636" w:rsidRDefault="00C45636" w:rsidP="00C45636">
      <w:pPr>
        <w:spacing w:before="100" w:beforeAutospacing="1" w:after="100" w:afterAutospacing="1" w:line="240" w:lineRule="auto"/>
        <w:rPr>
          <w:rFonts w:eastAsia="Times New Roman" w:cs="Times New Roman"/>
          <w:lang w:eastAsia="de-DE"/>
        </w:rPr>
      </w:pPr>
      <w:r w:rsidRPr="00C45636">
        <w:rPr>
          <w:rFonts w:eastAsia="Times New Roman" w:cs="Times New Roman"/>
          <w:b/>
          <w:bCs/>
          <w:lang w:eastAsia="de-DE"/>
        </w:rPr>
        <w:t>Deutsch:</w:t>
      </w:r>
      <w:r w:rsidRPr="00C45636">
        <w:rPr>
          <w:rFonts w:eastAsia="Times New Roman" w:cs="Times New Roman"/>
          <w:lang w:eastAsia="de-DE"/>
        </w:rPr>
        <w:t xml:space="preserve"> Und die vier Wagen und die acht Rinder gab er den Söhnen Meraris, nach ihrem Dienst, unter der Aufsicht Ijtamars, des Sohnes Aharons, des Priesters.</w:t>
      </w:r>
    </w:p>
    <w:p w14:paraId="762F9A3F" w14:textId="77777777" w:rsidR="00C45636" w:rsidRPr="00C45636" w:rsidRDefault="00F329DD" w:rsidP="00C45636">
      <w:pPr>
        <w:spacing w:after="0" w:line="240" w:lineRule="auto"/>
        <w:rPr>
          <w:rFonts w:eastAsia="Times New Roman" w:cs="Times New Roman"/>
          <w:lang w:eastAsia="de-DE"/>
        </w:rPr>
      </w:pPr>
      <w:r>
        <w:rPr>
          <w:rFonts w:eastAsia="Times New Roman" w:cs="Times New Roman"/>
          <w:noProof/>
          <w:lang w:eastAsia="de-DE"/>
        </w:rPr>
        <w:lastRenderedPageBreak/>
        <w:pict w14:anchorId="722EB561">
          <v:rect id="_x0000_i1279" style="width:0;height:1.5pt" o:hralign="center" o:hrstd="t" o:hr="t" fillcolor="#a0a0a0" stroked="f"/>
        </w:pict>
      </w:r>
    </w:p>
    <w:p w14:paraId="399DD33D" w14:textId="1BF2A8CF" w:rsidR="006F4EAF" w:rsidRDefault="00C45636" w:rsidP="006F4EAF">
      <w:pPr>
        <w:pStyle w:val="whitespace-normal"/>
      </w:pPr>
      <w:r w:rsidRPr="00C45636">
        <w:rPr>
          <w:b/>
          <w:bCs/>
        </w:rPr>
        <w:t>Kommentar:</w:t>
      </w:r>
      <w:r w:rsidRPr="00C45636">
        <w:t xml:space="preserve"> Der Vers spezifiziert die Zuteilung an die Merariter. </w:t>
      </w:r>
      <w:r w:rsidRPr="00C45636">
        <w:rPr>
          <w:b/>
          <w:bCs/>
          <w:rtl/>
        </w:rPr>
        <w:t>וְאֵת אַרְבַּע הָעֲגָלֹת וְאֵת שְׁמֹנַת הַבָּקָר נָתַן לִבְנֵי מְרָרִי</w:t>
      </w:r>
      <w:r w:rsidRPr="00C45636">
        <w:rPr>
          <w:rtl/>
        </w:rPr>
        <w:t xml:space="preserve"> </w:t>
      </w:r>
      <w:r w:rsidRPr="00C45636">
        <w:t xml:space="preserve">folgt dem Muster von V. 7. </w:t>
      </w:r>
      <w:r w:rsidRPr="00C45636">
        <w:rPr>
          <w:b/>
          <w:bCs/>
          <w:rtl/>
        </w:rPr>
        <w:t>אַרְבַּע הָעֲגָלֹת</w:t>
      </w:r>
      <w:r w:rsidRPr="00C45636">
        <w:rPr>
          <w:rtl/>
        </w:rPr>
        <w:t xml:space="preserve"> </w:t>
      </w:r>
      <w:r w:rsidRPr="00C45636">
        <w:t xml:space="preserve">(„vier Wagen"), </w:t>
      </w:r>
      <w:r w:rsidRPr="00C45636">
        <w:rPr>
          <w:b/>
          <w:bCs/>
          <w:rtl/>
        </w:rPr>
        <w:t>שְׁמֹנַת הַבָּקָר</w:t>
      </w:r>
      <w:r w:rsidRPr="00C45636">
        <w:rPr>
          <w:rtl/>
        </w:rPr>
        <w:t xml:space="preserve"> </w:t>
      </w:r>
      <w:r w:rsidRPr="00C45636">
        <w:t xml:space="preserve">(Kardinalzahl </w:t>
      </w:r>
      <w:r w:rsidRPr="00C45636">
        <w:rPr>
          <w:b/>
          <w:bCs/>
          <w:rtl/>
        </w:rPr>
        <w:t>שְׁמֹנֶה</w:t>
      </w:r>
      <w:r w:rsidRPr="00C45636">
        <w:rPr>
          <w:rtl/>
        </w:rPr>
        <w:t xml:space="preserve"> </w:t>
      </w:r>
      <w:r w:rsidRPr="00C45636">
        <w:t xml:space="preserve">„acht" im </w:t>
      </w:r>
      <w:r w:rsidR="00F133EC">
        <w:t>Constructus</w:t>
      </w:r>
      <w:r w:rsidRPr="00C45636">
        <w:t xml:space="preserve"> mit </w:t>
      </w:r>
      <w:r w:rsidRPr="00C45636">
        <w:rPr>
          <w:b/>
          <w:bCs/>
          <w:rtl/>
        </w:rPr>
        <w:t>בָּקָר</w:t>
      </w:r>
      <w:r w:rsidRPr="00C45636">
        <w:rPr>
          <w:rtl/>
        </w:rPr>
        <w:t xml:space="preserve"> </w:t>
      </w:r>
      <w:r w:rsidRPr="00C45636">
        <w:t xml:space="preserve">„acht Rinder"), </w:t>
      </w:r>
      <w:r w:rsidRPr="00C45636">
        <w:rPr>
          <w:b/>
          <w:bCs/>
          <w:rtl/>
        </w:rPr>
        <w:t>לִבְנֵי מְרָרִי</w:t>
      </w:r>
      <w:r w:rsidRPr="00C45636">
        <w:rPr>
          <w:rtl/>
        </w:rPr>
        <w:t xml:space="preserve"> </w:t>
      </w:r>
      <w:r w:rsidRPr="00C45636">
        <w:t xml:space="preserve">(„den Söhnen Meraris"). </w:t>
      </w:r>
      <w:r w:rsidRPr="00C45636">
        <w:rPr>
          <w:b/>
          <w:bCs/>
          <w:rtl/>
        </w:rPr>
        <w:t>כְּפִי עֲבֹדָתָם</w:t>
      </w:r>
      <w:r w:rsidRPr="00C45636">
        <w:rPr>
          <w:rtl/>
        </w:rPr>
        <w:t xml:space="preserve"> </w:t>
      </w:r>
      <w:r w:rsidRPr="00C45636">
        <w:t xml:space="preserve">begründet wieder die Zuteilung. </w:t>
      </w:r>
      <w:r w:rsidRPr="00C45636">
        <w:rPr>
          <w:b/>
          <w:bCs/>
          <w:rtl/>
        </w:rPr>
        <w:t>בְּיַד אִיתָמָר בֶּן־אַהֲרֹן הַכֹּהֵן</w:t>
      </w:r>
      <w:r w:rsidRPr="00C45636">
        <w:rPr>
          <w:rtl/>
        </w:rPr>
        <w:t xml:space="preserve"> </w:t>
      </w:r>
      <w:r w:rsidRPr="00C45636">
        <w:t xml:space="preserve">fügt die Aufsichtsperson hinzu. </w:t>
      </w:r>
      <w:r w:rsidRPr="00C45636">
        <w:rPr>
          <w:b/>
          <w:bCs/>
          <w:rtl/>
        </w:rPr>
        <w:t>בְּיַד</w:t>
      </w:r>
      <w:r w:rsidRPr="00C45636">
        <w:rPr>
          <w:rtl/>
        </w:rPr>
        <w:t xml:space="preserve"> </w:t>
      </w:r>
      <w:r w:rsidRPr="00C45636">
        <w:t xml:space="preserve">(Präposition </w:t>
      </w:r>
      <w:r w:rsidRPr="00C45636">
        <w:rPr>
          <w:b/>
          <w:bCs/>
          <w:rtl/>
        </w:rPr>
        <w:t>בְ</w:t>
      </w:r>
      <w:r w:rsidRPr="00C45636">
        <w:rPr>
          <w:rtl/>
        </w:rPr>
        <w:t xml:space="preserve"> </w:t>
      </w:r>
      <w:r w:rsidR="006F4EAF">
        <w:t xml:space="preserve">mit </w:t>
      </w:r>
      <w:r w:rsidR="006F4EAF">
        <w:rPr>
          <w:rStyle w:val="Fett"/>
          <w:rtl/>
        </w:rPr>
        <w:t>יָד</w:t>
      </w:r>
      <w:r w:rsidR="006F4EAF">
        <w:rPr>
          <w:rtl/>
        </w:rPr>
        <w:t xml:space="preserve"> </w:t>
      </w:r>
      <w:r w:rsidR="006F4EAF">
        <w:t xml:space="preserve">„Hand" - idiomatisch „unter der Hand/Aufsicht von"), </w:t>
      </w:r>
      <w:r w:rsidR="006F4EAF">
        <w:rPr>
          <w:rStyle w:val="Fett"/>
          <w:rtl/>
        </w:rPr>
        <w:t>אִיתָמָר בֶּן־אַהֲרֹן הַכֹּהֵן</w:t>
      </w:r>
      <w:r w:rsidR="006F4EAF">
        <w:rPr>
          <w:rtl/>
        </w:rPr>
        <w:t xml:space="preserve"> </w:t>
      </w:r>
      <w:r w:rsidR="006F4EAF">
        <w:t xml:space="preserve">(Eigenname </w:t>
      </w:r>
      <w:r w:rsidR="006F4EAF">
        <w:rPr>
          <w:rStyle w:val="Fett"/>
          <w:rtl/>
        </w:rPr>
        <w:t>אִיתָמָר</w:t>
      </w:r>
      <w:r w:rsidR="006F4EAF">
        <w:rPr>
          <w:rtl/>
        </w:rPr>
        <w:t xml:space="preserve"> </w:t>
      </w:r>
      <w:r w:rsidR="006F4EAF">
        <w:t xml:space="preserve">im </w:t>
      </w:r>
      <w:r w:rsidR="00F133EC">
        <w:t>Constructus</w:t>
      </w:r>
      <w:r w:rsidR="006F4EAF">
        <w:t xml:space="preserve"> mit </w:t>
      </w:r>
      <w:r w:rsidR="006F4EAF">
        <w:rPr>
          <w:rStyle w:val="Fett"/>
          <w:rtl/>
        </w:rPr>
        <w:t>בֵּן</w:t>
      </w:r>
      <w:r w:rsidR="006F4EAF">
        <w:rPr>
          <w:rtl/>
        </w:rPr>
        <w:t xml:space="preserve"> </w:t>
      </w:r>
      <w:r w:rsidR="006F4EAF">
        <w:t xml:space="preserve">„Sohn" und </w:t>
      </w:r>
      <w:r w:rsidR="006F4EAF">
        <w:rPr>
          <w:rStyle w:val="Fett"/>
          <w:rtl/>
        </w:rPr>
        <w:t>אַהֲרֹן</w:t>
      </w:r>
      <w:r w:rsidR="006F4EAF">
        <w:rPr>
          <w:rtl/>
        </w:rPr>
        <w:t xml:space="preserve"> </w:t>
      </w:r>
      <w:r w:rsidR="006F4EAF">
        <w:t xml:space="preserve">mit Apposition </w:t>
      </w:r>
      <w:r w:rsidR="006F4EAF">
        <w:rPr>
          <w:rStyle w:val="Fett"/>
          <w:rtl/>
        </w:rPr>
        <w:t>כֹּהֵן</w:t>
      </w:r>
      <w:r w:rsidR="006F4EAF">
        <w:rPr>
          <w:rtl/>
        </w:rPr>
        <w:t xml:space="preserve"> </w:t>
      </w:r>
      <w:r w:rsidR="006F4EAF">
        <w:t>„Priester" mit Artikel „Itamar, Sohn Aarons, des Priesters").</w:t>
      </w:r>
    </w:p>
    <w:p w14:paraId="76BDA00D" w14:textId="77777777" w:rsidR="006F4EAF" w:rsidRDefault="006F4EAF" w:rsidP="006F4EAF">
      <w:pPr>
        <w:pStyle w:val="whitespace-normal"/>
      </w:pPr>
      <w:r>
        <w:t>Die Satzstruktur entspricht V. 7 mit zusätzlicher Aufsichtsangabe am Ende.</w:t>
      </w:r>
    </w:p>
    <w:p w14:paraId="63B20B35" w14:textId="77777777" w:rsidR="006F4EAF" w:rsidRDefault="006F4EAF" w:rsidP="006F4EAF">
      <w:pPr>
        <w:pStyle w:val="whitespace-normal"/>
      </w:pPr>
      <w:r>
        <w:t xml:space="preserve">Die Merariter erhalten vier Wagen und acht Rinder - doppelt so viel wie die Gerschoniter - weil sie die schwersten Teile transportieren: Bretter, Riegel, Säulen und Sockel der Stiftshütte (vgl. Num 4,29-33). Die Erwähnung von </w:t>
      </w:r>
      <w:r>
        <w:rPr>
          <w:rStyle w:val="Fett"/>
          <w:rtl/>
        </w:rPr>
        <w:t>אִיתָמָר בֶּן־אַהֲרֹן הַכֹּהֵן</w:t>
      </w:r>
      <w:r>
        <w:rPr>
          <w:rtl/>
        </w:rPr>
        <w:t xml:space="preserve"> </w:t>
      </w:r>
      <w:r>
        <w:t>als Aufseher zeigt die priesterliche Aufsicht über den Levitendienst. Die Verteilung ist proportional: zwei Wagen für leichtere Lasten (Gerschon), vier für schwerere (Merari).</w:t>
      </w:r>
    </w:p>
    <w:p w14:paraId="06C3CA3C"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7,9</w:t>
      </w:r>
    </w:p>
    <w:p w14:paraId="203217C5"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וְלִבְנֵ֥י קְהָ֖ת לֹ֣א נָתָ֑ן כִּֽי־עֲבֹדַ֤ת הַקֹּ֙דֶשׁ֙ עֲלֵהֶ֔ם בַּכָּתֵ֖ף יִשָּֽׂאוּ׃</w:t>
      </w:r>
    </w:p>
    <w:p w14:paraId="3CC6AE58"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Aber den Söhnen Kehats gab er nicht, denn der Dienst des Heiligtums lag auf ihnen; auf der Schulter trugen sie.</w:t>
      </w:r>
    </w:p>
    <w:p w14:paraId="2D1B2E47"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3300C362">
          <v:rect id="_x0000_i1280" style="width:0;height:1.5pt" o:hralign="center" o:hrstd="t" o:hr="t" fillcolor="#a0a0a0" stroked="f"/>
        </w:pict>
      </w:r>
    </w:p>
    <w:p w14:paraId="06CB1823" w14:textId="33B784FD"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erklärt, warum die Kehatiter keine Wagen erhalten. </w:t>
      </w:r>
      <w:r w:rsidRPr="006F4EAF">
        <w:rPr>
          <w:rFonts w:eastAsia="Times New Roman" w:cs="Times New Roman"/>
          <w:b/>
          <w:bCs/>
          <w:rtl/>
          <w:lang w:eastAsia="de-DE"/>
        </w:rPr>
        <w:t>וְלִבְנֵי קְהָת לֹא נָתָן</w:t>
      </w:r>
      <w:r w:rsidRPr="006F4EAF">
        <w:rPr>
          <w:rFonts w:eastAsia="Times New Roman" w:cs="Times New Roman"/>
          <w:rtl/>
          <w:lang w:eastAsia="de-DE"/>
        </w:rPr>
        <w:t xml:space="preserve"> </w:t>
      </w:r>
      <w:r w:rsidRPr="006F4EAF">
        <w:rPr>
          <w:rFonts w:eastAsia="Times New Roman" w:cs="Times New Roman"/>
          <w:lang w:eastAsia="de-DE"/>
        </w:rPr>
        <w:t xml:space="preserve">ist die negative Aussage. </w:t>
      </w:r>
      <w:r w:rsidRPr="006F4EAF">
        <w:rPr>
          <w:rFonts w:eastAsia="Times New Roman" w:cs="Times New Roman"/>
          <w:b/>
          <w:bCs/>
          <w:rtl/>
          <w:lang w:eastAsia="de-DE"/>
        </w:rPr>
        <w:t>וְלִבְנֵי קְהָת</w:t>
      </w:r>
      <w:r w:rsidRPr="006F4EAF">
        <w:rPr>
          <w:rFonts w:eastAsia="Times New Roman" w:cs="Times New Roman"/>
          <w:rtl/>
          <w:lang w:eastAsia="de-DE"/>
        </w:rPr>
        <w:t xml:space="preserve"> </w:t>
      </w:r>
      <w:r w:rsidRPr="006F4EAF">
        <w:rPr>
          <w:rFonts w:eastAsia="Times New Roman" w:cs="Times New Roman"/>
          <w:lang w:eastAsia="de-DE"/>
        </w:rPr>
        <w:t xml:space="preserve">(Konjunktion mit 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und Plural </w:t>
      </w:r>
      <w:r w:rsidR="00F133EC">
        <w:rPr>
          <w:rFonts w:eastAsia="Times New Roman" w:cs="Times New Roman"/>
          <w:lang w:eastAsia="de-DE"/>
        </w:rPr>
        <w:t>Constructus</w:t>
      </w:r>
      <w:r w:rsidRPr="006F4EAF">
        <w:rPr>
          <w:rFonts w:eastAsia="Times New Roman" w:cs="Times New Roman"/>
          <w:lang w:eastAsia="de-DE"/>
        </w:rPr>
        <w:t xml:space="preserve"> </w:t>
      </w:r>
      <w:r w:rsidRPr="006F4EAF">
        <w:rPr>
          <w:rFonts w:eastAsia="Times New Roman" w:cs="Times New Roman"/>
          <w:b/>
          <w:bCs/>
          <w:rtl/>
          <w:lang w:eastAsia="de-DE"/>
        </w:rPr>
        <w:t>בֵּן</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קְהָת</w:t>
      </w:r>
      <w:r w:rsidRPr="006F4EAF">
        <w:rPr>
          <w:rFonts w:eastAsia="Times New Roman" w:cs="Times New Roman"/>
          <w:rtl/>
          <w:lang w:eastAsia="de-DE"/>
        </w:rPr>
        <w:t xml:space="preserve"> </w:t>
      </w:r>
      <w:r w:rsidRPr="006F4EAF">
        <w:rPr>
          <w:rFonts w:eastAsia="Times New Roman" w:cs="Times New Roman"/>
          <w:lang w:eastAsia="de-DE"/>
        </w:rPr>
        <w:t xml:space="preserve">„und den Söhnen Kehats"), </w:t>
      </w:r>
      <w:r w:rsidRPr="006F4EAF">
        <w:rPr>
          <w:rFonts w:eastAsia="Times New Roman" w:cs="Times New Roman"/>
          <w:b/>
          <w:bCs/>
          <w:rtl/>
          <w:lang w:eastAsia="de-DE"/>
        </w:rPr>
        <w:t>לֹא נָתָן</w:t>
      </w:r>
      <w:r w:rsidRPr="006F4EAF">
        <w:rPr>
          <w:rFonts w:eastAsia="Times New Roman" w:cs="Times New Roman"/>
          <w:rtl/>
          <w:lang w:eastAsia="de-DE"/>
        </w:rPr>
        <w:t xml:space="preserve"> </w:t>
      </w:r>
      <w:r w:rsidRPr="006F4EAF">
        <w:rPr>
          <w:rFonts w:eastAsia="Times New Roman" w:cs="Times New Roman"/>
          <w:lang w:eastAsia="de-DE"/>
        </w:rPr>
        <w:t xml:space="preserve">(Negation </w:t>
      </w:r>
      <w:r w:rsidRPr="006F4EAF">
        <w:rPr>
          <w:rFonts w:eastAsia="Times New Roman" w:cs="Times New Roman"/>
          <w:b/>
          <w:bCs/>
          <w:rtl/>
          <w:lang w:eastAsia="de-DE"/>
        </w:rPr>
        <w:t>לֹא</w:t>
      </w:r>
      <w:r w:rsidRPr="006F4EAF">
        <w:rPr>
          <w:rFonts w:eastAsia="Times New Roman" w:cs="Times New Roman"/>
          <w:rtl/>
          <w:lang w:eastAsia="de-DE"/>
        </w:rPr>
        <w:t xml:space="preserve"> </w:t>
      </w:r>
      <w:r w:rsidRPr="006F4EAF">
        <w:rPr>
          <w:rFonts w:eastAsia="Times New Roman" w:cs="Times New Roman"/>
          <w:lang w:eastAsia="de-DE"/>
        </w:rPr>
        <w:t xml:space="preserve">mit Qal Perfekt 3. Person maskulin Singular von </w:t>
      </w:r>
      <w:r w:rsidRPr="006F4EAF">
        <w:rPr>
          <w:rFonts w:eastAsia="Times New Roman" w:cs="Times New Roman"/>
          <w:b/>
          <w:bCs/>
          <w:rtl/>
          <w:lang w:eastAsia="de-DE"/>
        </w:rPr>
        <w:t>נתן</w:t>
      </w:r>
      <w:r w:rsidRPr="006F4EAF">
        <w:rPr>
          <w:rFonts w:eastAsia="Times New Roman" w:cs="Times New Roman"/>
          <w:rtl/>
          <w:lang w:eastAsia="de-DE"/>
        </w:rPr>
        <w:t xml:space="preserve"> </w:t>
      </w:r>
      <w:r w:rsidRPr="006F4EAF">
        <w:rPr>
          <w:rFonts w:eastAsia="Times New Roman" w:cs="Times New Roman"/>
          <w:lang w:eastAsia="de-DE"/>
        </w:rPr>
        <w:t xml:space="preserve">„geben" - Subjekt Mose „gab er nicht"). </w:t>
      </w:r>
      <w:r w:rsidRPr="006F4EAF">
        <w:rPr>
          <w:rFonts w:eastAsia="Times New Roman" w:cs="Times New Roman"/>
          <w:b/>
          <w:bCs/>
          <w:rtl/>
          <w:lang w:eastAsia="de-DE"/>
        </w:rPr>
        <w:t>כִּי־עֲבֹדַת הַקֹּדֶשׁ עֲלֵהֶם</w:t>
      </w:r>
      <w:r w:rsidRPr="006F4EAF">
        <w:rPr>
          <w:rFonts w:eastAsia="Times New Roman" w:cs="Times New Roman"/>
          <w:rtl/>
          <w:lang w:eastAsia="de-DE"/>
        </w:rPr>
        <w:t xml:space="preserve"> </w:t>
      </w:r>
      <w:r w:rsidRPr="006F4EAF">
        <w:rPr>
          <w:rFonts w:eastAsia="Times New Roman" w:cs="Times New Roman"/>
          <w:lang w:eastAsia="de-DE"/>
        </w:rPr>
        <w:t xml:space="preserve">ist die erste Begründung. </w:t>
      </w:r>
      <w:r w:rsidRPr="006F4EAF">
        <w:rPr>
          <w:rFonts w:eastAsia="Times New Roman" w:cs="Times New Roman"/>
          <w:b/>
          <w:bCs/>
          <w:rtl/>
          <w:lang w:eastAsia="de-DE"/>
        </w:rPr>
        <w:t>כִּי</w:t>
      </w:r>
      <w:r w:rsidRPr="006F4EAF">
        <w:rPr>
          <w:rFonts w:eastAsia="Times New Roman" w:cs="Times New Roman"/>
          <w:rtl/>
          <w:lang w:eastAsia="de-DE"/>
        </w:rPr>
        <w:t xml:space="preserve"> </w:t>
      </w:r>
      <w:r w:rsidRPr="006F4EAF">
        <w:rPr>
          <w:rFonts w:eastAsia="Times New Roman" w:cs="Times New Roman"/>
          <w:lang w:eastAsia="de-DE"/>
        </w:rPr>
        <w:t xml:space="preserve">(kausale Konjunktion „denn"), </w:t>
      </w:r>
      <w:r w:rsidRPr="006F4EAF">
        <w:rPr>
          <w:rFonts w:eastAsia="Times New Roman" w:cs="Times New Roman"/>
          <w:b/>
          <w:bCs/>
          <w:rtl/>
          <w:lang w:eastAsia="de-DE"/>
        </w:rPr>
        <w:t>עֲבֹדַת הַקֹּדֶשׁ</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verbindung: </w:t>
      </w:r>
      <w:r w:rsidRPr="006F4EAF">
        <w:rPr>
          <w:rFonts w:eastAsia="Times New Roman" w:cs="Times New Roman"/>
          <w:b/>
          <w:bCs/>
          <w:rtl/>
          <w:lang w:eastAsia="de-DE"/>
        </w:rPr>
        <w:t>עֲבֹדָה</w:t>
      </w:r>
      <w:r w:rsidRPr="006F4EAF">
        <w:rPr>
          <w:rFonts w:eastAsia="Times New Roman" w:cs="Times New Roman"/>
          <w:rtl/>
          <w:lang w:eastAsia="de-DE"/>
        </w:rPr>
        <w:t xml:space="preserve"> </w:t>
      </w:r>
      <w:r w:rsidRPr="006F4EAF">
        <w:rPr>
          <w:rFonts w:eastAsia="Times New Roman" w:cs="Times New Roman"/>
          <w:lang w:eastAsia="de-DE"/>
        </w:rPr>
        <w:t xml:space="preserve">„Dienst" mit </w:t>
      </w:r>
      <w:r w:rsidRPr="006F4EAF">
        <w:rPr>
          <w:rFonts w:eastAsia="Times New Roman" w:cs="Times New Roman"/>
          <w:b/>
          <w:bCs/>
          <w:rtl/>
          <w:lang w:eastAsia="de-DE"/>
        </w:rPr>
        <w:t>קֹדֶשׁ</w:t>
      </w:r>
      <w:r w:rsidRPr="006F4EAF">
        <w:rPr>
          <w:rFonts w:eastAsia="Times New Roman" w:cs="Times New Roman"/>
          <w:rtl/>
          <w:lang w:eastAsia="de-DE"/>
        </w:rPr>
        <w:t xml:space="preserve"> </w:t>
      </w:r>
      <w:r w:rsidRPr="006F4EAF">
        <w:rPr>
          <w:rFonts w:eastAsia="Times New Roman" w:cs="Times New Roman"/>
          <w:lang w:eastAsia="de-DE"/>
        </w:rPr>
        <w:t xml:space="preserve">„Heiligtum, Heiligkeit" mit Artikel „der Dienst des Heiligtums"), </w:t>
      </w:r>
      <w:r w:rsidRPr="006F4EAF">
        <w:rPr>
          <w:rFonts w:eastAsia="Times New Roman" w:cs="Times New Roman"/>
          <w:b/>
          <w:bCs/>
          <w:rtl/>
          <w:lang w:eastAsia="de-DE"/>
        </w:rPr>
        <w:t>עֲלֵהֶם</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עַל</w:t>
      </w:r>
      <w:r w:rsidRPr="006F4EAF">
        <w:rPr>
          <w:rFonts w:eastAsia="Times New Roman" w:cs="Times New Roman"/>
          <w:rtl/>
          <w:lang w:eastAsia="de-DE"/>
        </w:rPr>
        <w:t xml:space="preserve"> </w:t>
      </w:r>
      <w:r w:rsidRPr="006F4EAF">
        <w:rPr>
          <w:rFonts w:eastAsia="Times New Roman" w:cs="Times New Roman"/>
          <w:lang w:eastAsia="de-DE"/>
        </w:rPr>
        <w:t>„auf" mit Suffix 3. Person Plural „auf ihnen", idiomatisch „lag auf ihnen, war ihre Aufgabe").</w:t>
      </w:r>
    </w:p>
    <w:p w14:paraId="3869AEFD"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בַּכָּתֵף יִשָּׂאוּ</w:t>
      </w:r>
      <w:r w:rsidRPr="006F4EAF">
        <w:rPr>
          <w:rFonts w:eastAsia="Times New Roman" w:cs="Times New Roman"/>
          <w:rtl/>
          <w:lang w:eastAsia="de-DE"/>
        </w:rPr>
        <w:t xml:space="preserve"> </w:t>
      </w:r>
      <w:r w:rsidRPr="006F4EAF">
        <w:rPr>
          <w:rFonts w:eastAsia="Times New Roman" w:cs="Times New Roman"/>
          <w:lang w:eastAsia="de-DE"/>
        </w:rPr>
        <w:t xml:space="preserve">gibt die Art des Transports an. </w:t>
      </w:r>
      <w:r w:rsidRPr="006F4EAF">
        <w:rPr>
          <w:rFonts w:eastAsia="Times New Roman" w:cs="Times New Roman"/>
          <w:b/>
          <w:bCs/>
          <w:rtl/>
          <w:lang w:eastAsia="de-DE"/>
        </w:rPr>
        <w:t>בַּכָּתֵף</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בְ</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כָּתֵף</w:t>
      </w:r>
      <w:r w:rsidRPr="006F4EAF">
        <w:rPr>
          <w:rFonts w:eastAsia="Times New Roman" w:cs="Times New Roman"/>
          <w:rtl/>
          <w:lang w:eastAsia="de-DE"/>
        </w:rPr>
        <w:t xml:space="preserve"> </w:t>
      </w:r>
      <w:r w:rsidRPr="006F4EAF">
        <w:rPr>
          <w:rFonts w:eastAsia="Times New Roman" w:cs="Times New Roman"/>
          <w:lang w:eastAsia="de-DE"/>
        </w:rPr>
        <w:t xml:space="preserve">„Schulter" mit Artikel „auf der Schulter"), </w:t>
      </w:r>
      <w:r w:rsidRPr="006F4EAF">
        <w:rPr>
          <w:rFonts w:eastAsia="Times New Roman" w:cs="Times New Roman"/>
          <w:b/>
          <w:bCs/>
          <w:rtl/>
          <w:lang w:eastAsia="de-DE"/>
        </w:rPr>
        <w:t>יִשָּׂאוּ</w:t>
      </w:r>
      <w:r w:rsidRPr="006F4EAF">
        <w:rPr>
          <w:rFonts w:eastAsia="Times New Roman" w:cs="Times New Roman"/>
          <w:rtl/>
          <w:lang w:eastAsia="de-DE"/>
        </w:rPr>
        <w:t xml:space="preserve"> </w:t>
      </w:r>
      <w:r w:rsidRPr="006F4EAF">
        <w:rPr>
          <w:rFonts w:eastAsia="Times New Roman" w:cs="Times New Roman"/>
          <w:lang w:eastAsia="de-DE"/>
        </w:rPr>
        <w:t xml:space="preserve">(Qal Imperfekt 3. Person Plural von </w:t>
      </w:r>
      <w:r w:rsidRPr="006F4EAF">
        <w:rPr>
          <w:rFonts w:eastAsia="Times New Roman" w:cs="Times New Roman"/>
          <w:b/>
          <w:bCs/>
          <w:rtl/>
          <w:lang w:eastAsia="de-DE"/>
        </w:rPr>
        <w:t>נשׂא</w:t>
      </w:r>
      <w:r w:rsidRPr="006F4EAF">
        <w:rPr>
          <w:rFonts w:eastAsia="Times New Roman" w:cs="Times New Roman"/>
          <w:rtl/>
          <w:lang w:eastAsia="de-DE"/>
        </w:rPr>
        <w:t xml:space="preserve"> </w:t>
      </w:r>
      <w:r w:rsidRPr="006F4EAF">
        <w:rPr>
          <w:rFonts w:eastAsia="Times New Roman" w:cs="Times New Roman"/>
          <w:lang w:eastAsia="de-DE"/>
        </w:rPr>
        <w:t>„tragen, heben" „trugen sie, sollten sie tragen").</w:t>
      </w:r>
    </w:p>
    <w:p w14:paraId="496AE332"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eine negative Hauptaussage mit zweigliedriger kausaler Begründung (nominale Aussage + verbale Aussage).</w:t>
      </w:r>
    </w:p>
    <w:p w14:paraId="249AD35A"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erklärt eine bedeutende Ausnahme: Die Kehatiter erhalten keine Wagen, obwohl sie die heiligsten Gegenstände transportieren - Bundeslade, Tisch, Leuchter, Altäre (vgl. Num 4,4-15). Gerade weil </w:t>
      </w:r>
      <w:r w:rsidRPr="006F4EAF">
        <w:rPr>
          <w:rFonts w:eastAsia="Times New Roman" w:cs="Times New Roman"/>
          <w:b/>
          <w:bCs/>
          <w:rtl/>
          <w:lang w:eastAsia="de-DE"/>
        </w:rPr>
        <w:t>עֲבֹדַת הַקֹּדֶשׁ עֲלֵהֶם</w:t>
      </w:r>
      <w:r w:rsidRPr="006F4EAF">
        <w:rPr>
          <w:rFonts w:eastAsia="Times New Roman" w:cs="Times New Roman"/>
          <w:rtl/>
          <w:lang w:eastAsia="de-DE"/>
        </w:rPr>
        <w:t xml:space="preserve"> </w:t>
      </w:r>
      <w:r w:rsidRPr="006F4EAF">
        <w:rPr>
          <w:rFonts w:eastAsia="Times New Roman" w:cs="Times New Roman"/>
          <w:lang w:eastAsia="de-DE"/>
        </w:rPr>
        <w:t xml:space="preserve">(„der Dienst des Heiligtums auf ihnen lag"), müssen sie </w:t>
      </w:r>
      <w:r w:rsidRPr="006F4EAF">
        <w:rPr>
          <w:rFonts w:eastAsia="Times New Roman" w:cs="Times New Roman"/>
          <w:b/>
          <w:bCs/>
          <w:rtl/>
          <w:lang w:eastAsia="de-DE"/>
        </w:rPr>
        <w:t>בַּכָּתֵף</w:t>
      </w:r>
      <w:r w:rsidRPr="006F4EAF">
        <w:rPr>
          <w:rFonts w:eastAsia="Times New Roman" w:cs="Times New Roman"/>
          <w:rtl/>
          <w:lang w:eastAsia="de-DE"/>
        </w:rPr>
        <w:t xml:space="preserve"> </w:t>
      </w:r>
      <w:r w:rsidRPr="006F4EAF">
        <w:rPr>
          <w:rFonts w:eastAsia="Times New Roman" w:cs="Times New Roman"/>
          <w:lang w:eastAsia="de-DE"/>
        </w:rPr>
        <w:t xml:space="preserve">(„auf der Schulter") tragen. Die heiligsten Gegenstände dürfen nicht auf Wagen gelegt werden, sondern erfordern direkten körperlichen Kontakt - eine größere Ehrerbietung und </w:t>
      </w:r>
      <w:r w:rsidRPr="006F4EAF">
        <w:rPr>
          <w:rFonts w:eastAsia="Times New Roman" w:cs="Times New Roman"/>
          <w:lang w:eastAsia="de-DE"/>
        </w:rPr>
        <w:lastRenderedPageBreak/>
        <w:t>Verantwortung. Dies wird später in 2 Sam 6,6-7 dramatisch bestätigt, als Usa stirbt, weil die Bundeslade auf einem Wagen transportiert wurde statt auf Schultern.</w:t>
      </w:r>
    </w:p>
    <w:p w14:paraId="62AAE388"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7,10</w:t>
      </w:r>
    </w:p>
    <w:p w14:paraId="50E7CF51"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וַיַּקְרִ֣יבוּ הַנְּשִׂאִ֗ים אֵ֚ת חֲנֻכַּ֣ת הַמִּזְבֵּ֔חַ בְּי֖וֹם הִמָּשַׁ֣ח אֹת֑וֹ וַיַּקְרִ֧יבוּ הַנְּשִׂיאִ֛ם אֶת־קָרְבָּנָ֖ם לִפְנֵ֥י הַמִּזְבֵּֽחַ׃</w:t>
      </w:r>
    </w:p>
    <w:p w14:paraId="68093A61"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Und die Fürsten brachten die Einweihung des Altars dar an dem Tag, als man ihn salbte; und die Fürsten brachten ihre Opfergabe dar vor dem Altar.</w:t>
      </w:r>
    </w:p>
    <w:p w14:paraId="451180EA"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3F545640">
          <v:rect id="_x0000_i1281" style="width:0;height:1.5pt" o:hralign="center" o:hrstd="t" o:hr="t" fillcolor="#a0a0a0" stroked="f"/>
        </w:pict>
      </w:r>
    </w:p>
    <w:p w14:paraId="4B8B7D81" w14:textId="3C6F5738"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leitet die individuellen Stammesopfer ein. </w:t>
      </w:r>
      <w:r w:rsidRPr="006F4EAF">
        <w:rPr>
          <w:rFonts w:eastAsia="Times New Roman" w:cs="Times New Roman"/>
          <w:b/>
          <w:bCs/>
          <w:rtl/>
          <w:lang w:eastAsia="de-DE"/>
        </w:rPr>
        <w:t>וַיַּקְרִיבוּ הַנְּשִׂאִים אֵת חֲנֻכַּת הַמִּזְבֵּחַ</w:t>
      </w:r>
      <w:r w:rsidRPr="006F4EAF">
        <w:rPr>
          <w:rFonts w:eastAsia="Times New Roman" w:cs="Times New Roman"/>
          <w:rtl/>
          <w:lang w:eastAsia="de-DE"/>
        </w:rPr>
        <w:t xml:space="preserve"> </w:t>
      </w:r>
      <w:r w:rsidRPr="006F4EAF">
        <w:rPr>
          <w:rFonts w:eastAsia="Times New Roman" w:cs="Times New Roman"/>
          <w:lang w:eastAsia="de-DE"/>
        </w:rPr>
        <w:t xml:space="preserve">ist die Hauptaussage. </w:t>
      </w:r>
      <w:r w:rsidRPr="006F4EAF">
        <w:rPr>
          <w:rFonts w:eastAsia="Times New Roman" w:cs="Times New Roman"/>
          <w:b/>
          <w:bCs/>
          <w:rtl/>
          <w:lang w:eastAsia="de-DE"/>
        </w:rPr>
        <w:t>וַיַּקְרִיבוּ</w:t>
      </w:r>
      <w:r w:rsidRPr="006F4EAF">
        <w:rPr>
          <w:rFonts w:eastAsia="Times New Roman" w:cs="Times New Roman"/>
          <w:rtl/>
          <w:lang w:eastAsia="de-DE"/>
        </w:rPr>
        <w:t xml:space="preserve"> </w:t>
      </w:r>
      <w:r w:rsidRPr="006F4EAF">
        <w:rPr>
          <w:rFonts w:eastAsia="Times New Roman" w:cs="Times New Roman"/>
          <w:lang w:eastAsia="de-DE"/>
        </w:rPr>
        <w:t xml:space="preserve">(Hiphil Wayyiqtol 3. Person Plural von </w:t>
      </w:r>
      <w:r w:rsidRPr="006F4EAF">
        <w:rPr>
          <w:rFonts w:eastAsia="Times New Roman" w:cs="Times New Roman"/>
          <w:b/>
          <w:bCs/>
          <w:rtl/>
          <w:lang w:eastAsia="de-DE"/>
        </w:rPr>
        <w:t>קרב</w:t>
      </w:r>
      <w:r w:rsidRPr="006F4EAF">
        <w:rPr>
          <w:rFonts w:eastAsia="Times New Roman" w:cs="Times New Roman"/>
          <w:rtl/>
          <w:lang w:eastAsia="de-DE"/>
        </w:rPr>
        <w:t xml:space="preserve"> </w:t>
      </w:r>
      <w:r w:rsidRPr="006F4EAF">
        <w:rPr>
          <w:rFonts w:eastAsia="Times New Roman" w:cs="Times New Roman"/>
          <w:lang w:eastAsia="de-DE"/>
        </w:rPr>
        <w:t xml:space="preserve">„darbringen"), </w:t>
      </w:r>
      <w:r w:rsidRPr="006F4EAF">
        <w:rPr>
          <w:rFonts w:eastAsia="Times New Roman" w:cs="Times New Roman"/>
          <w:b/>
          <w:bCs/>
          <w:rtl/>
          <w:lang w:eastAsia="de-DE"/>
        </w:rPr>
        <w:t>הַנְּשִׂאִים</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Pr="006F4EAF">
        <w:rPr>
          <w:rFonts w:eastAsia="Times New Roman" w:cs="Times New Roman"/>
          <w:b/>
          <w:bCs/>
          <w:rtl/>
          <w:lang w:eastAsia="de-DE"/>
        </w:rPr>
        <w:t>נָשִׂיא</w:t>
      </w:r>
      <w:r w:rsidRPr="006F4EAF">
        <w:rPr>
          <w:rFonts w:eastAsia="Times New Roman" w:cs="Times New Roman"/>
          <w:rtl/>
          <w:lang w:eastAsia="de-DE"/>
        </w:rPr>
        <w:t xml:space="preserve"> </w:t>
      </w:r>
      <w:r w:rsidRPr="006F4EAF">
        <w:rPr>
          <w:rFonts w:eastAsia="Times New Roman" w:cs="Times New Roman"/>
          <w:lang w:eastAsia="de-DE"/>
        </w:rPr>
        <w:t xml:space="preserve">„Fürst" mit Artikel - Subjekt), </w:t>
      </w:r>
      <w:r w:rsidRPr="006F4EAF">
        <w:rPr>
          <w:rFonts w:eastAsia="Times New Roman" w:cs="Times New Roman"/>
          <w:b/>
          <w:bCs/>
          <w:rtl/>
          <w:lang w:eastAsia="de-DE"/>
        </w:rPr>
        <w:t>אֵת חֲנֻכַּת הַמִּזְבֵּחַ</w:t>
      </w:r>
      <w:r w:rsidRPr="006F4EAF">
        <w:rPr>
          <w:rFonts w:eastAsia="Times New Roman" w:cs="Times New Roman"/>
          <w:rtl/>
          <w:lang w:eastAsia="de-DE"/>
        </w:rPr>
        <w:t xml:space="preserve"> </w:t>
      </w:r>
      <w:r w:rsidRPr="006F4EAF">
        <w:rPr>
          <w:rFonts w:eastAsia="Times New Roman" w:cs="Times New Roman"/>
          <w:lang w:eastAsia="de-DE"/>
        </w:rPr>
        <w:t xml:space="preserve">(Akkusativpartikel mit </w:t>
      </w:r>
      <w:r w:rsidRPr="006F4EAF">
        <w:rPr>
          <w:rFonts w:eastAsia="Times New Roman" w:cs="Times New Roman"/>
          <w:b/>
          <w:bCs/>
          <w:rtl/>
          <w:lang w:eastAsia="de-DE"/>
        </w:rPr>
        <w:t>חֲנֻכָּה</w:t>
      </w:r>
      <w:r w:rsidRPr="006F4EAF">
        <w:rPr>
          <w:rFonts w:eastAsia="Times New Roman" w:cs="Times New Roman"/>
          <w:rtl/>
          <w:lang w:eastAsia="de-DE"/>
        </w:rPr>
        <w:t xml:space="preserve"> </w:t>
      </w:r>
      <w:r w:rsidRPr="006F4EAF">
        <w:rPr>
          <w:rFonts w:eastAsia="Times New Roman" w:cs="Times New Roman"/>
          <w:lang w:eastAsia="de-DE"/>
        </w:rPr>
        <w:t xml:space="preserve">„Einweihung, Weihegabe" - von </w:t>
      </w:r>
      <w:r w:rsidRPr="006F4EAF">
        <w:rPr>
          <w:rFonts w:eastAsia="Times New Roman" w:cs="Times New Roman"/>
          <w:b/>
          <w:bCs/>
          <w:rtl/>
          <w:lang w:eastAsia="de-DE"/>
        </w:rPr>
        <w:t>חנך</w:t>
      </w:r>
      <w:r w:rsidRPr="006F4EAF">
        <w:rPr>
          <w:rFonts w:eastAsia="Times New Roman" w:cs="Times New Roman"/>
          <w:rtl/>
          <w:lang w:eastAsia="de-DE"/>
        </w:rPr>
        <w:t xml:space="preserve"> </w:t>
      </w:r>
      <w:r w:rsidRPr="006F4EAF">
        <w:rPr>
          <w:rFonts w:eastAsia="Times New Roman" w:cs="Times New Roman"/>
          <w:lang w:eastAsia="de-DE"/>
        </w:rPr>
        <w:t xml:space="preserve">„einweihen, weihen" - im </w:t>
      </w:r>
      <w:r w:rsidR="00F133EC">
        <w:rPr>
          <w:rFonts w:eastAsia="Times New Roman" w:cs="Times New Roman"/>
          <w:lang w:eastAsia="de-DE"/>
        </w:rPr>
        <w:t>Constructus</w:t>
      </w:r>
      <w:r w:rsidRPr="006F4EAF">
        <w:rPr>
          <w:rFonts w:eastAsia="Times New Roman" w:cs="Times New Roman"/>
          <w:lang w:eastAsia="de-DE"/>
        </w:rPr>
        <w:t xml:space="preserve"> mit </w:t>
      </w:r>
      <w:r w:rsidRPr="006F4EAF">
        <w:rPr>
          <w:rFonts w:eastAsia="Times New Roman" w:cs="Times New Roman"/>
          <w:b/>
          <w:bCs/>
          <w:rtl/>
          <w:lang w:eastAsia="de-DE"/>
        </w:rPr>
        <w:t>מִזְבֵּחַ</w:t>
      </w:r>
      <w:r w:rsidRPr="006F4EAF">
        <w:rPr>
          <w:rFonts w:eastAsia="Times New Roman" w:cs="Times New Roman"/>
          <w:rtl/>
          <w:lang w:eastAsia="de-DE"/>
        </w:rPr>
        <w:t xml:space="preserve"> </w:t>
      </w:r>
      <w:r w:rsidRPr="006F4EAF">
        <w:rPr>
          <w:rFonts w:eastAsia="Times New Roman" w:cs="Times New Roman"/>
          <w:lang w:eastAsia="de-DE"/>
        </w:rPr>
        <w:t xml:space="preserve">„Altar" mit Artikel „die Einweihung des Altars"). </w:t>
      </w:r>
      <w:r w:rsidRPr="006F4EAF">
        <w:rPr>
          <w:rFonts w:eastAsia="Times New Roman" w:cs="Times New Roman"/>
          <w:b/>
          <w:bCs/>
          <w:rtl/>
          <w:lang w:eastAsia="de-DE"/>
        </w:rPr>
        <w:t>בְּיוֹם הִמָּשַׁח אֹתוֹ</w:t>
      </w:r>
      <w:r w:rsidRPr="006F4EAF">
        <w:rPr>
          <w:rFonts w:eastAsia="Times New Roman" w:cs="Times New Roman"/>
          <w:rtl/>
          <w:lang w:eastAsia="de-DE"/>
        </w:rPr>
        <w:t xml:space="preserve"> </w:t>
      </w:r>
      <w:r w:rsidRPr="006F4EAF">
        <w:rPr>
          <w:rFonts w:eastAsia="Times New Roman" w:cs="Times New Roman"/>
          <w:lang w:eastAsia="de-DE"/>
        </w:rPr>
        <w:t xml:space="preserve">gibt die Zeit an. </w:t>
      </w:r>
      <w:r w:rsidRPr="006F4EAF">
        <w:rPr>
          <w:rFonts w:eastAsia="Times New Roman" w:cs="Times New Roman"/>
          <w:b/>
          <w:bCs/>
          <w:rtl/>
          <w:lang w:eastAsia="de-DE"/>
        </w:rPr>
        <w:t>בְּיוֹם</w:t>
      </w:r>
      <w:r w:rsidRPr="006F4EAF">
        <w:rPr>
          <w:rFonts w:eastAsia="Times New Roman" w:cs="Times New Roman"/>
          <w:rtl/>
          <w:lang w:eastAsia="de-DE"/>
        </w:rPr>
        <w:t xml:space="preserve"> </w:t>
      </w:r>
      <w:r w:rsidRPr="006F4EAF">
        <w:rPr>
          <w:rFonts w:eastAsia="Times New Roman" w:cs="Times New Roman"/>
          <w:lang w:eastAsia="de-DE"/>
        </w:rPr>
        <w:t xml:space="preserve">(Präposition mit </w:t>
      </w:r>
      <w:r w:rsidRPr="006F4EAF">
        <w:rPr>
          <w:rFonts w:eastAsia="Times New Roman" w:cs="Times New Roman"/>
          <w:b/>
          <w:bCs/>
          <w:rtl/>
          <w:lang w:eastAsia="de-DE"/>
        </w:rPr>
        <w:t>יוֹם</w:t>
      </w:r>
      <w:r w:rsidRPr="006F4EAF">
        <w:rPr>
          <w:rFonts w:eastAsia="Times New Roman" w:cs="Times New Roman"/>
          <w:rtl/>
          <w:lang w:eastAsia="de-DE"/>
        </w:rPr>
        <w:t xml:space="preserve"> </w:t>
      </w:r>
      <w:r w:rsidRPr="006F4EAF">
        <w:rPr>
          <w:rFonts w:eastAsia="Times New Roman" w:cs="Times New Roman"/>
          <w:lang w:eastAsia="de-DE"/>
        </w:rPr>
        <w:t xml:space="preserve">„an dem Tag"), </w:t>
      </w:r>
      <w:r w:rsidRPr="006F4EAF">
        <w:rPr>
          <w:rFonts w:eastAsia="Times New Roman" w:cs="Times New Roman"/>
          <w:b/>
          <w:bCs/>
          <w:rtl/>
          <w:lang w:eastAsia="de-DE"/>
        </w:rPr>
        <w:t>הִמָּשַׁח אֹתוֹ</w:t>
      </w:r>
      <w:r w:rsidRPr="006F4EAF">
        <w:rPr>
          <w:rFonts w:eastAsia="Times New Roman" w:cs="Times New Roman"/>
          <w:rtl/>
          <w:lang w:eastAsia="de-DE"/>
        </w:rPr>
        <w:t xml:space="preserve"> </w:t>
      </w:r>
      <w:r w:rsidRPr="006F4EAF">
        <w:rPr>
          <w:rFonts w:eastAsia="Times New Roman" w:cs="Times New Roman"/>
          <w:lang w:eastAsia="de-DE"/>
        </w:rPr>
        <w:t xml:space="preserve">(Niphal Infinitiv </w:t>
      </w:r>
      <w:r w:rsidR="00F133EC">
        <w:rPr>
          <w:rFonts w:eastAsia="Times New Roman" w:cs="Times New Roman"/>
          <w:lang w:eastAsia="de-DE"/>
        </w:rPr>
        <w:t>Constructus</w:t>
      </w:r>
      <w:r w:rsidRPr="006F4EAF">
        <w:rPr>
          <w:rFonts w:eastAsia="Times New Roman" w:cs="Times New Roman"/>
          <w:lang w:eastAsia="de-DE"/>
        </w:rPr>
        <w:t xml:space="preserve"> von </w:t>
      </w:r>
      <w:r w:rsidRPr="006F4EAF">
        <w:rPr>
          <w:rFonts w:eastAsia="Times New Roman" w:cs="Times New Roman"/>
          <w:b/>
          <w:bCs/>
          <w:rtl/>
          <w:lang w:eastAsia="de-DE"/>
        </w:rPr>
        <w:t>משׁח</w:t>
      </w:r>
      <w:r w:rsidRPr="006F4EAF">
        <w:rPr>
          <w:rFonts w:eastAsia="Times New Roman" w:cs="Times New Roman"/>
          <w:rtl/>
          <w:lang w:eastAsia="de-DE"/>
        </w:rPr>
        <w:t xml:space="preserve"> </w:t>
      </w:r>
      <w:r w:rsidRPr="006F4EAF">
        <w:rPr>
          <w:rFonts w:eastAsia="Times New Roman" w:cs="Times New Roman"/>
          <w:lang w:eastAsia="de-DE"/>
        </w:rPr>
        <w:t>„salben" mit Artikel und Akkusativpartikel mit Suffix 3. Person maskulin Singular „als man ihn salbte" - Bezug auf V. 1).</w:t>
      </w:r>
    </w:p>
    <w:p w14:paraId="415A984D"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וַיַּקְרִיבוּ הַנְּשִׂיאִם אֶת־קָרְבָּנָם לִפְנֵי הַמִּזְבֵּחַ</w:t>
      </w:r>
      <w:r w:rsidRPr="006F4EAF">
        <w:rPr>
          <w:rFonts w:eastAsia="Times New Roman" w:cs="Times New Roman"/>
          <w:rtl/>
          <w:lang w:eastAsia="de-DE"/>
        </w:rPr>
        <w:t xml:space="preserve"> </w:t>
      </w:r>
      <w:r w:rsidRPr="006F4EAF">
        <w:rPr>
          <w:rFonts w:eastAsia="Times New Roman" w:cs="Times New Roman"/>
          <w:lang w:eastAsia="de-DE"/>
        </w:rPr>
        <w:t xml:space="preserve">wiederholt die Aussage. </w:t>
      </w:r>
      <w:r w:rsidRPr="006F4EAF">
        <w:rPr>
          <w:rFonts w:eastAsia="Times New Roman" w:cs="Times New Roman"/>
          <w:b/>
          <w:bCs/>
          <w:rtl/>
          <w:lang w:eastAsia="de-DE"/>
        </w:rPr>
        <w:t>וַיַּקְרִיבוּ הַנְּשִׂיאִם</w:t>
      </w:r>
      <w:r w:rsidRPr="006F4EAF">
        <w:rPr>
          <w:rFonts w:eastAsia="Times New Roman" w:cs="Times New Roman"/>
          <w:rtl/>
          <w:lang w:eastAsia="de-DE"/>
        </w:rPr>
        <w:t xml:space="preserve"> </w:t>
      </w:r>
      <w:r w:rsidRPr="006F4EAF">
        <w:rPr>
          <w:rFonts w:eastAsia="Times New Roman" w:cs="Times New Roman"/>
          <w:lang w:eastAsia="de-DE"/>
        </w:rPr>
        <w:t xml:space="preserve">(wie oben, jetzt mit Pausalform </w:t>
      </w:r>
      <w:r w:rsidRPr="006F4EAF">
        <w:rPr>
          <w:rFonts w:eastAsia="Times New Roman" w:cs="Times New Roman"/>
          <w:b/>
          <w:bCs/>
          <w:rtl/>
          <w:lang w:eastAsia="de-DE"/>
        </w:rPr>
        <w:t>הַנְּשִׂיאִם</w:t>
      </w:r>
      <w:r w:rsidRPr="006F4EAF">
        <w:rPr>
          <w:rFonts w:eastAsia="Times New Roman" w:cs="Times New Roman"/>
          <w:lang w:eastAsia="de-DE"/>
        </w:rPr>
        <w:t xml:space="preserve">), </w:t>
      </w:r>
      <w:r w:rsidRPr="006F4EAF">
        <w:rPr>
          <w:rFonts w:eastAsia="Times New Roman" w:cs="Times New Roman"/>
          <w:b/>
          <w:bCs/>
          <w:rtl/>
          <w:lang w:eastAsia="de-DE"/>
        </w:rPr>
        <w:t>אֶת־קָרְבָּנָם</w:t>
      </w:r>
      <w:r w:rsidRPr="006F4EAF">
        <w:rPr>
          <w:rFonts w:eastAsia="Times New Roman" w:cs="Times New Roman"/>
          <w:rtl/>
          <w:lang w:eastAsia="de-DE"/>
        </w:rPr>
        <w:t xml:space="preserve"> </w:t>
      </w:r>
      <w:r w:rsidRPr="006F4EAF">
        <w:rPr>
          <w:rFonts w:eastAsia="Times New Roman" w:cs="Times New Roman"/>
          <w:lang w:eastAsia="de-DE"/>
        </w:rPr>
        <w:t xml:space="preserve">(Akkusativpartikel mit </w:t>
      </w:r>
      <w:r w:rsidRPr="006F4EAF">
        <w:rPr>
          <w:rFonts w:eastAsia="Times New Roman" w:cs="Times New Roman"/>
          <w:b/>
          <w:bCs/>
          <w:rtl/>
          <w:lang w:eastAsia="de-DE"/>
        </w:rPr>
        <w:t>קָרְבָּן</w:t>
      </w:r>
      <w:r w:rsidRPr="006F4EAF">
        <w:rPr>
          <w:rFonts w:eastAsia="Times New Roman" w:cs="Times New Roman"/>
          <w:rtl/>
          <w:lang w:eastAsia="de-DE"/>
        </w:rPr>
        <w:t xml:space="preserve"> </w:t>
      </w:r>
      <w:r w:rsidRPr="006F4EAF">
        <w:rPr>
          <w:rFonts w:eastAsia="Times New Roman" w:cs="Times New Roman"/>
          <w:lang w:eastAsia="de-DE"/>
        </w:rPr>
        <w:t xml:space="preserve">„Opfergabe" und Suffix Plural „ihre Opfergabe"), </w:t>
      </w:r>
      <w:r w:rsidRPr="006F4EAF">
        <w:rPr>
          <w:rFonts w:eastAsia="Times New Roman" w:cs="Times New Roman"/>
          <w:b/>
          <w:bCs/>
          <w:rtl/>
          <w:lang w:eastAsia="de-DE"/>
        </w:rPr>
        <w:t>לִפְנֵי הַמִּזְבֵּחַ</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לִפְנֵי</w:t>
      </w:r>
      <w:r w:rsidRPr="006F4EAF">
        <w:rPr>
          <w:rFonts w:eastAsia="Times New Roman" w:cs="Times New Roman"/>
          <w:rtl/>
          <w:lang w:eastAsia="de-DE"/>
        </w:rPr>
        <w:t xml:space="preserve"> </w:t>
      </w:r>
      <w:r w:rsidRPr="006F4EAF">
        <w:rPr>
          <w:rFonts w:eastAsia="Times New Roman" w:cs="Times New Roman"/>
          <w:lang w:eastAsia="de-DE"/>
        </w:rPr>
        <w:t xml:space="preserve">„vor" mit </w:t>
      </w:r>
      <w:r w:rsidRPr="006F4EAF">
        <w:rPr>
          <w:rFonts w:eastAsia="Times New Roman" w:cs="Times New Roman"/>
          <w:b/>
          <w:bCs/>
          <w:rtl/>
          <w:lang w:eastAsia="de-DE"/>
        </w:rPr>
        <w:t>מִזְבֵּחַ</w:t>
      </w:r>
      <w:r w:rsidRPr="006F4EAF">
        <w:rPr>
          <w:rFonts w:eastAsia="Times New Roman" w:cs="Times New Roman"/>
          <w:rtl/>
          <w:lang w:eastAsia="de-DE"/>
        </w:rPr>
        <w:t xml:space="preserve"> </w:t>
      </w:r>
      <w:r w:rsidRPr="006F4EAF">
        <w:rPr>
          <w:rFonts w:eastAsia="Times New Roman" w:cs="Times New Roman"/>
          <w:lang w:eastAsia="de-DE"/>
        </w:rPr>
        <w:t>mit Artikel „vor dem Altar").</w:t>
      </w:r>
    </w:p>
    <w:p w14:paraId="4B91A507"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zwei parallele Darbringungsaussagen mit verschiedenen Objekten (</w:t>
      </w:r>
      <w:r w:rsidRPr="006F4EAF">
        <w:rPr>
          <w:rFonts w:eastAsia="Times New Roman" w:cs="Times New Roman"/>
          <w:b/>
          <w:bCs/>
          <w:rtl/>
          <w:lang w:eastAsia="de-DE"/>
        </w:rPr>
        <w:t>חֲנֻכַּת הַמִּזְבֵּחַ</w:t>
      </w:r>
      <w:r w:rsidRPr="006F4EAF">
        <w:rPr>
          <w:rFonts w:eastAsia="Times New Roman" w:cs="Times New Roman"/>
          <w:rtl/>
          <w:lang w:eastAsia="de-DE"/>
        </w:rPr>
        <w:t xml:space="preserve"> </w:t>
      </w:r>
      <w:r w:rsidRPr="006F4EAF">
        <w:rPr>
          <w:rFonts w:eastAsia="Times New Roman" w:cs="Times New Roman"/>
          <w:lang w:eastAsia="de-DE"/>
        </w:rPr>
        <w:t xml:space="preserve">vs. </w:t>
      </w:r>
      <w:r w:rsidRPr="006F4EAF">
        <w:rPr>
          <w:rFonts w:eastAsia="Times New Roman" w:cs="Times New Roman"/>
          <w:b/>
          <w:bCs/>
          <w:rtl/>
          <w:lang w:eastAsia="de-DE"/>
        </w:rPr>
        <w:t>קָרְבָּנָם</w:t>
      </w:r>
      <w:r w:rsidRPr="006F4EAF">
        <w:rPr>
          <w:rFonts w:eastAsia="Times New Roman" w:cs="Times New Roman"/>
          <w:lang w:eastAsia="de-DE"/>
        </w:rPr>
        <w:t xml:space="preserve">) und verschiedenen Ortsangaben (temporale Angabe vs. </w:t>
      </w:r>
      <w:r w:rsidRPr="006F4EAF">
        <w:rPr>
          <w:rFonts w:eastAsia="Times New Roman" w:cs="Times New Roman"/>
          <w:b/>
          <w:bCs/>
          <w:rtl/>
          <w:lang w:eastAsia="de-DE"/>
        </w:rPr>
        <w:t>לִפְנֵי הַמִּזְבֵּחַ</w:t>
      </w:r>
      <w:r w:rsidRPr="006F4EAF">
        <w:rPr>
          <w:rFonts w:eastAsia="Times New Roman" w:cs="Times New Roman"/>
          <w:lang w:eastAsia="de-DE"/>
        </w:rPr>
        <w:t>).</w:t>
      </w:r>
    </w:p>
    <w:p w14:paraId="2D74DC54"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verbindet die Altarweihe mit den Opfergaben der Stammesführer - </w:t>
      </w:r>
      <w:r w:rsidRPr="006F4EAF">
        <w:rPr>
          <w:rFonts w:eastAsia="Times New Roman" w:cs="Times New Roman"/>
          <w:b/>
          <w:bCs/>
          <w:rtl/>
          <w:lang w:eastAsia="de-DE"/>
        </w:rPr>
        <w:t>חֲנֻכַּת הַמִּזְבֵּחַ</w:t>
      </w:r>
      <w:r w:rsidRPr="006F4EAF">
        <w:rPr>
          <w:rFonts w:eastAsia="Times New Roman" w:cs="Times New Roman"/>
          <w:rtl/>
          <w:lang w:eastAsia="de-DE"/>
        </w:rPr>
        <w:t xml:space="preserve"> </w:t>
      </w:r>
      <w:r w:rsidRPr="006F4EAF">
        <w:rPr>
          <w:rFonts w:eastAsia="Times New Roman" w:cs="Times New Roman"/>
          <w:lang w:eastAsia="de-DE"/>
        </w:rPr>
        <w:t xml:space="preserve">bezeichnet sowohl die Weihungshandlung als auch die dafür dargebrachten Gaben. Die Wiederholung </w:t>
      </w:r>
      <w:r w:rsidRPr="006F4EAF">
        <w:rPr>
          <w:rFonts w:eastAsia="Times New Roman" w:cs="Times New Roman"/>
          <w:b/>
          <w:bCs/>
          <w:rtl/>
          <w:lang w:eastAsia="de-DE"/>
        </w:rPr>
        <w:t>וַיַּקְרִיבוּ</w:t>
      </w:r>
      <w:r w:rsidRPr="006F4EAF">
        <w:rPr>
          <w:rFonts w:eastAsia="Times New Roman" w:cs="Times New Roman"/>
          <w:rtl/>
          <w:lang w:eastAsia="de-DE"/>
        </w:rPr>
        <w:t xml:space="preserve"> </w:t>
      </w:r>
      <w:r w:rsidRPr="006F4EAF">
        <w:rPr>
          <w:rFonts w:eastAsia="Times New Roman" w:cs="Times New Roman"/>
          <w:lang w:eastAsia="de-DE"/>
        </w:rPr>
        <w:t xml:space="preserve">... </w:t>
      </w:r>
      <w:r w:rsidRPr="006F4EAF">
        <w:rPr>
          <w:rFonts w:eastAsia="Times New Roman" w:cs="Times New Roman"/>
          <w:b/>
          <w:bCs/>
          <w:rtl/>
          <w:lang w:eastAsia="de-DE"/>
        </w:rPr>
        <w:t>וַיַּקְרִיבוּ</w:t>
      </w:r>
      <w:r w:rsidRPr="006F4EAF">
        <w:rPr>
          <w:rFonts w:eastAsia="Times New Roman" w:cs="Times New Roman"/>
          <w:rtl/>
          <w:lang w:eastAsia="de-DE"/>
        </w:rPr>
        <w:t xml:space="preserve"> </w:t>
      </w:r>
      <w:r w:rsidRPr="006F4EAF">
        <w:rPr>
          <w:rFonts w:eastAsia="Times New Roman" w:cs="Times New Roman"/>
          <w:lang w:eastAsia="de-DE"/>
        </w:rPr>
        <w:t xml:space="preserve">betont die feierliche Darbringung. Die Datierung </w:t>
      </w:r>
      <w:r w:rsidRPr="006F4EAF">
        <w:rPr>
          <w:rFonts w:eastAsia="Times New Roman" w:cs="Times New Roman"/>
          <w:b/>
          <w:bCs/>
          <w:rtl/>
          <w:lang w:eastAsia="de-DE"/>
        </w:rPr>
        <w:t>בְּיוֹם הִמָּשַׁח אֹתוֹ</w:t>
      </w:r>
      <w:r w:rsidRPr="006F4EAF">
        <w:rPr>
          <w:rFonts w:eastAsia="Times New Roman" w:cs="Times New Roman"/>
          <w:rtl/>
          <w:lang w:eastAsia="de-DE"/>
        </w:rPr>
        <w:t xml:space="preserve"> </w:t>
      </w:r>
      <w:r w:rsidRPr="006F4EAF">
        <w:rPr>
          <w:rFonts w:eastAsia="Times New Roman" w:cs="Times New Roman"/>
          <w:lang w:eastAsia="de-DE"/>
        </w:rPr>
        <w:t>verknüpft mit V. 1 - alles geschieht am Tag der Vollendung und Salbung der Stiftshütte.</w:t>
      </w:r>
    </w:p>
    <w:p w14:paraId="773553BC"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7,11</w:t>
      </w:r>
    </w:p>
    <w:p w14:paraId="53DA4F9A"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וַיֹּ֥אמֶר יְהוָ֖ה אֶל־מֹשֶׁ֑ה נָשִׂ֨יא אֶחָ֜ד לַיּ֗וֹם נָשִׂ֤יא אֶחָד֙ לַיּ֔וֹם יַקְרִ֙יבוּ֙ אֶת־קָרְבָּנָ֔ם לַחֲנֻכַּ֖ת הַמִּזְבֵּֽחַ׃</w:t>
      </w:r>
    </w:p>
    <w:p w14:paraId="792CADF8"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Und der Ewige sprach zu Mosche: Je ein Fürst an einem Tag, je ein Fürst an einem Tag sollen sie ihre Opfergabe darbringen zur Einweihung des Altars.</w:t>
      </w:r>
    </w:p>
    <w:p w14:paraId="421AF9EE"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217DB250">
          <v:rect id="_x0000_i1282" style="width:0;height:1.5pt" o:hralign="center" o:hrstd="t" o:hr="t" fillcolor="#a0a0a0" stroked="f"/>
        </w:pict>
      </w:r>
    </w:p>
    <w:p w14:paraId="1FF2FC99" w14:textId="255E5783"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ordnet die zeitliche Staffelung der Opfer an. </w:t>
      </w:r>
      <w:r w:rsidRPr="006F4EAF">
        <w:rPr>
          <w:rFonts w:eastAsia="Times New Roman" w:cs="Times New Roman"/>
          <w:b/>
          <w:bCs/>
          <w:rtl/>
          <w:lang w:eastAsia="de-DE"/>
        </w:rPr>
        <w:t>וַיֹּאמֶר יהוה אֶל־מֹשֶׁה</w:t>
      </w:r>
      <w:r w:rsidRPr="006F4EAF">
        <w:rPr>
          <w:rFonts w:eastAsia="Times New Roman" w:cs="Times New Roman"/>
          <w:rtl/>
          <w:lang w:eastAsia="de-DE"/>
        </w:rPr>
        <w:t xml:space="preserve"> </w:t>
      </w:r>
      <w:r w:rsidRPr="006F4EAF">
        <w:rPr>
          <w:rFonts w:eastAsia="Times New Roman" w:cs="Times New Roman"/>
          <w:lang w:eastAsia="de-DE"/>
        </w:rPr>
        <w:t xml:space="preserve">ist die Redeeinleitung (Standard-Formel). </w:t>
      </w:r>
      <w:r w:rsidRPr="006F4EAF">
        <w:rPr>
          <w:rFonts w:eastAsia="Times New Roman" w:cs="Times New Roman"/>
          <w:b/>
          <w:bCs/>
          <w:rtl/>
          <w:lang w:eastAsia="de-DE"/>
        </w:rPr>
        <w:t>נָשִׂיא אֶחָד לַיּוֹם נָשִׂיא אֶחָד לַיּוֹם</w:t>
      </w:r>
      <w:r w:rsidRPr="006F4EAF">
        <w:rPr>
          <w:rFonts w:eastAsia="Times New Roman" w:cs="Times New Roman"/>
          <w:rtl/>
          <w:lang w:eastAsia="de-DE"/>
        </w:rPr>
        <w:t xml:space="preserve"> </w:t>
      </w:r>
      <w:r w:rsidRPr="006F4EAF">
        <w:rPr>
          <w:rFonts w:eastAsia="Times New Roman" w:cs="Times New Roman"/>
          <w:lang w:eastAsia="de-DE"/>
        </w:rPr>
        <w:t xml:space="preserve">ist die doppelte Anordnung. </w:t>
      </w:r>
      <w:r w:rsidRPr="006F4EAF">
        <w:rPr>
          <w:rFonts w:eastAsia="Times New Roman" w:cs="Times New Roman"/>
          <w:b/>
          <w:bCs/>
          <w:rtl/>
          <w:lang w:eastAsia="de-DE"/>
        </w:rPr>
        <w:t>נָשִׂיא אֶחָד</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verbindung: </w:t>
      </w:r>
      <w:r w:rsidRPr="006F4EAF">
        <w:rPr>
          <w:rFonts w:eastAsia="Times New Roman" w:cs="Times New Roman"/>
          <w:b/>
          <w:bCs/>
          <w:rtl/>
          <w:lang w:eastAsia="de-DE"/>
        </w:rPr>
        <w:t>נָשִׂיא</w:t>
      </w:r>
      <w:r w:rsidRPr="006F4EAF">
        <w:rPr>
          <w:rFonts w:eastAsia="Times New Roman" w:cs="Times New Roman"/>
          <w:rtl/>
          <w:lang w:eastAsia="de-DE"/>
        </w:rPr>
        <w:t xml:space="preserve"> </w:t>
      </w:r>
      <w:r w:rsidRPr="006F4EAF">
        <w:rPr>
          <w:rFonts w:eastAsia="Times New Roman" w:cs="Times New Roman"/>
          <w:lang w:eastAsia="de-DE"/>
        </w:rPr>
        <w:t xml:space="preserve">„Fürst" mit </w:t>
      </w:r>
      <w:r w:rsidRPr="006F4EAF">
        <w:rPr>
          <w:rFonts w:eastAsia="Times New Roman" w:cs="Times New Roman"/>
          <w:b/>
          <w:bCs/>
          <w:rtl/>
          <w:lang w:eastAsia="de-DE"/>
        </w:rPr>
        <w:t>אֶחָד</w:t>
      </w:r>
      <w:r w:rsidRPr="006F4EAF">
        <w:rPr>
          <w:rFonts w:eastAsia="Times New Roman" w:cs="Times New Roman"/>
          <w:rtl/>
          <w:lang w:eastAsia="de-DE"/>
        </w:rPr>
        <w:t xml:space="preserve"> </w:t>
      </w:r>
      <w:r w:rsidRPr="006F4EAF">
        <w:rPr>
          <w:rFonts w:eastAsia="Times New Roman" w:cs="Times New Roman"/>
          <w:lang w:eastAsia="de-DE"/>
        </w:rPr>
        <w:t xml:space="preserve">„einer" „ein Fürst"), </w:t>
      </w:r>
      <w:r w:rsidRPr="006F4EAF">
        <w:rPr>
          <w:rFonts w:eastAsia="Times New Roman" w:cs="Times New Roman"/>
          <w:b/>
          <w:bCs/>
          <w:rtl/>
          <w:lang w:eastAsia="de-DE"/>
        </w:rPr>
        <w:t>לַיּוֹם</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יוֹם</w:t>
      </w:r>
      <w:r w:rsidRPr="006F4EAF">
        <w:rPr>
          <w:rFonts w:eastAsia="Times New Roman" w:cs="Times New Roman"/>
          <w:rtl/>
          <w:lang w:eastAsia="de-DE"/>
        </w:rPr>
        <w:t xml:space="preserve"> </w:t>
      </w:r>
      <w:r w:rsidRPr="006F4EAF">
        <w:rPr>
          <w:rFonts w:eastAsia="Times New Roman" w:cs="Times New Roman"/>
          <w:lang w:eastAsia="de-DE"/>
        </w:rPr>
        <w:t xml:space="preserve">„Tag" mit Artikel „an einem Tag, pro Tag"). Die vollständige Doppelung </w:t>
      </w:r>
      <w:r w:rsidRPr="006F4EAF">
        <w:rPr>
          <w:rFonts w:eastAsia="Times New Roman" w:cs="Times New Roman"/>
          <w:b/>
          <w:bCs/>
          <w:rtl/>
          <w:lang w:eastAsia="de-DE"/>
        </w:rPr>
        <w:t>נָשִׂיא אֶחָד לַיּוֹם נָשִׂיא אֶחָד לַיּוֹם</w:t>
      </w:r>
      <w:r w:rsidRPr="006F4EAF">
        <w:rPr>
          <w:rFonts w:eastAsia="Times New Roman" w:cs="Times New Roman"/>
          <w:rtl/>
          <w:lang w:eastAsia="de-DE"/>
        </w:rPr>
        <w:t xml:space="preserve"> </w:t>
      </w:r>
      <w:r w:rsidRPr="006F4EAF">
        <w:rPr>
          <w:rFonts w:eastAsia="Times New Roman" w:cs="Times New Roman"/>
          <w:lang w:eastAsia="de-DE"/>
        </w:rPr>
        <w:t>betont die strikte zeitliche Ordnung - nicht alle auf einmal, sondern nacheinander.</w:t>
      </w:r>
    </w:p>
    <w:p w14:paraId="47D14AF4" w14:textId="2AC4B650"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lastRenderedPageBreak/>
        <w:t>יַקְרִיבוּ אֶת־קָרְבָּנָם לַחֲנֻכַּת הַמִּזְבֵּחַ</w:t>
      </w:r>
      <w:r w:rsidRPr="006F4EAF">
        <w:rPr>
          <w:rFonts w:eastAsia="Times New Roman" w:cs="Times New Roman"/>
          <w:rtl/>
          <w:lang w:eastAsia="de-DE"/>
        </w:rPr>
        <w:t xml:space="preserve"> </w:t>
      </w:r>
      <w:r w:rsidRPr="006F4EAF">
        <w:rPr>
          <w:rFonts w:eastAsia="Times New Roman" w:cs="Times New Roman"/>
          <w:lang w:eastAsia="de-DE"/>
        </w:rPr>
        <w:t xml:space="preserve">ist die Hauptaussage. </w:t>
      </w:r>
      <w:r w:rsidRPr="006F4EAF">
        <w:rPr>
          <w:rFonts w:eastAsia="Times New Roman" w:cs="Times New Roman"/>
          <w:b/>
          <w:bCs/>
          <w:rtl/>
          <w:lang w:eastAsia="de-DE"/>
        </w:rPr>
        <w:t>יַקְרִיבוּ</w:t>
      </w:r>
      <w:r w:rsidRPr="006F4EAF">
        <w:rPr>
          <w:rFonts w:eastAsia="Times New Roman" w:cs="Times New Roman"/>
          <w:rtl/>
          <w:lang w:eastAsia="de-DE"/>
        </w:rPr>
        <w:t xml:space="preserve"> </w:t>
      </w:r>
      <w:r w:rsidRPr="006F4EAF">
        <w:rPr>
          <w:rFonts w:eastAsia="Times New Roman" w:cs="Times New Roman"/>
          <w:lang w:eastAsia="de-DE"/>
        </w:rPr>
        <w:t xml:space="preserve">(Hiphil Imperfekt 3. Person Plural von </w:t>
      </w:r>
      <w:r w:rsidRPr="006F4EAF">
        <w:rPr>
          <w:rFonts w:eastAsia="Times New Roman" w:cs="Times New Roman"/>
          <w:b/>
          <w:bCs/>
          <w:rtl/>
          <w:lang w:eastAsia="de-DE"/>
        </w:rPr>
        <w:t>קרב</w:t>
      </w:r>
      <w:r w:rsidRPr="006F4EAF">
        <w:rPr>
          <w:rFonts w:eastAsia="Times New Roman" w:cs="Times New Roman"/>
          <w:rtl/>
          <w:lang w:eastAsia="de-DE"/>
        </w:rPr>
        <w:t xml:space="preserve"> </w:t>
      </w:r>
      <w:r w:rsidRPr="006F4EAF">
        <w:rPr>
          <w:rFonts w:eastAsia="Times New Roman" w:cs="Times New Roman"/>
          <w:lang w:eastAsia="de-DE"/>
        </w:rPr>
        <w:t xml:space="preserve">„darbringen" - jussivisch „sollen sie darbringen"), </w:t>
      </w:r>
      <w:r w:rsidRPr="006F4EAF">
        <w:rPr>
          <w:rFonts w:eastAsia="Times New Roman" w:cs="Times New Roman"/>
          <w:b/>
          <w:bCs/>
          <w:rtl/>
          <w:lang w:eastAsia="de-DE"/>
        </w:rPr>
        <w:t>אֶת־קָרְבָּנָם</w:t>
      </w:r>
      <w:r w:rsidRPr="006F4EAF">
        <w:rPr>
          <w:rFonts w:eastAsia="Times New Roman" w:cs="Times New Roman"/>
          <w:rtl/>
          <w:lang w:eastAsia="de-DE"/>
        </w:rPr>
        <w:t xml:space="preserve"> </w:t>
      </w:r>
      <w:r w:rsidRPr="006F4EAF">
        <w:rPr>
          <w:rFonts w:eastAsia="Times New Roman" w:cs="Times New Roman"/>
          <w:lang w:eastAsia="de-DE"/>
        </w:rPr>
        <w:t xml:space="preserve">(Akkusativpartikel mit </w:t>
      </w:r>
      <w:r w:rsidRPr="006F4EAF">
        <w:rPr>
          <w:rFonts w:eastAsia="Times New Roman" w:cs="Times New Roman"/>
          <w:b/>
          <w:bCs/>
          <w:rtl/>
          <w:lang w:eastAsia="de-DE"/>
        </w:rPr>
        <w:t>קָרְבָּן</w:t>
      </w:r>
      <w:r w:rsidRPr="006F4EAF">
        <w:rPr>
          <w:rFonts w:eastAsia="Times New Roman" w:cs="Times New Roman"/>
          <w:rtl/>
          <w:lang w:eastAsia="de-DE"/>
        </w:rPr>
        <w:t xml:space="preserve"> </w:t>
      </w:r>
      <w:r w:rsidRPr="006F4EAF">
        <w:rPr>
          <w:rFonts w:eastAsia="Times New Roman" w:cs="Times New Roman"/>
          <w:lang w:eastAsia="de-DE"/>
        </w:rPr>
        <w:t xml:space="preserve">und Suffix Plural), </w:t>
      </w:r>
      <w:r w:rsidRPr="006F4EAF">
        <w:rPr>
          <w:rFonts w:eastAsia="Times New Roman" w:cs="Times New Roman"/>
          <w:b/>
          <w:bCs/>
          <w:rtl/>
          <w:lang w:eastAsia="de-DE"/>
        </w:rPr>
        <w:t>לַחֲנֻכַּת הַמִּזְבֵּחַ</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חֲנֻכָּה</w:t>
      </w:r>
      <w:r w:rsidRPr="006F4EAF">
        <w:rPr>
          <w:rFonts w:eastAsia="Times New Roman" w:cs="Times New Roman"/>
          <w:rtl/>
          <w:lang w:eastAsia="de-DE"/>
        </w:rPr>
        <w:t xml:space="preserve"> </w:t>
      </w:r>
      <w:r w:rsidRPr="006F4EAF">
        <w:rPr>
          <w:rFonts w:eastAsia="Times New Roman" w:cs="Times New Roman"/>
          <w:lang w:eastAsia="de-DE"/>
        </w:rPr>
        <w:t xml:space="preserve">im </w:t>
      </w:r>
      <w:r w:rsidR="00F133EC">
        <w:rPr>
          <w:rFonts w:eastAsia="Times New Roman" w:cs="Times New Roman"/>
          <w:lang w:eastAsia="de-DE"/>
        </w:rPr>
        <w:t>Constructus</w:t>
      </w:r>
      <w:r w:rsidRPr="006F4EAF">
        <w:rPr>
          <w:rFonts w:eastAsia="Times New Roman" w:cs="Times New Roman"/>
          <w:lang w:eastAsia="de-DE"/>
        </w:rPr>
        <w:t xml:space="preserve"> und </w:t>
      </w:r>
      <w:r w:rsidRPr="006F4EAF">
        <w:rPr>
          <w:rFonts w:eastAsia="Times New Roman" w:cs="Times New Roman"/>
          <w:b/>
          <w:bCs/>
          <w:rtl/>
          <w:lang w:eastAsia="de-DE"/>
        </w:rPr>
        <w:t>מִזְבֵּחַ</w:t>
      </w:r>
      <w:r w:rsidRPr="006F4EAF">
        <w:rPr>
          <w:rFonts w:eastAsia="Times New Roman" w:cs="Times New Roman"/>
          <w:rtl/>
          <w:lang w:eastAsia="de-DE"/>
        </w:rPr>
        <w:t xml:space="preserve"> </w:t>
      </w:r>
      <w:r w:rsidRPr="006F4EAF">
        <w:rPr>
          <w:rFonts w:eastAsia="Times New Roman" w:cs="Times New Roman"/>
          <w:lang w:eastAsia="de-DE"/>
        </w:rPr>
        <w:t>mit Artikel „zur Einweihung des Altars").</w:t>
      </w:r>
    </w:p>
    <w:p w14:paraId="43355685"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eine Redeeinleitung, gefolgt von einer doppelt wiederholten distributiven Formel und der jussivischen Hauptaussage mit finalem Zweck.</w:t>
      </w:r>
    </w:p>
    <w:p w14:paraId="70450B06"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ordnet eine zwölftägige Einweihungsfeier an: Je ein Stammesführer pro Tag bringt seine Opfergabe dar. Die emphatische Doppelung </w:t>
      </w:r>
      <w:r w:rsidRPr="006F4EAF">
        <w:rPr>
          <w:rFonts w:eastAsia="Times New Roman" w:cs="Times New Roman"/>
          <w:b/>
          <w:bCs/>
          <w:rtl/>
          <w:lang w:eastAsia="de-DE"/>
        </w:rPr>
        <w:t>נָשִׂיא אֶחָד לַיּוֹם נָשִׂיא אֶחָד לַיּוֹם</w:t>
      </w:r>
      <w:r w:rsidRPr="006F4EAF">
        <w:rPr>
          <w:rFonts w:eastAsia="Times New Roman" w:cs="Times New Roman"/>
          <w:rtl/>
          <w:lang w:eastAsia="de-DE"/>
        </w:rPr>
        <w:t xml:space="preserve"> </w:t>
      </w:r>
      <w:r w:rsidRPr="006F4EAF">
        <w:rPr>
          <w:rFonts w:eastAsia="Times New Roman" w:cs="Times New Roman"/>
          <w:lang w:eastAsia="de-DE"/>
        </w:rPr>
        <w:t>unterstreicht: keine Gleichzeitigkeit, sondern nacheinander - jeder Stamm erhält seinen eigenen Tag, seine eigene Aufmerksamkeit. Dies verlängert die Feier über zwölf Tage und gibt jedem Stamm gleiche Würde. Die folgende lange Liste (V. 12-83) wird diese Anordnung umsetzen.</w:t>
      </w:r>
    </w:p>
    <w:p w14:paraId="23C4D5CD"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7,12</w:t>
      </w:r>
    </w:p>
    <w:p w14:paraId="514ACD3F"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וַיְהִ֗י הַמַּקְרִ֛יב בַּיּ֥וֹם הָרִאשׁ֖וֹן אֶת־קָרְבָּנ֑וֹ נַחְשׁ֥וֹן בֶּן־עַמִּינָדָ֖ב לְמַטֵּ֥ה יְהוּדָֽה׃</w:t>
      </w:r>
    </w:p>
    <w:p w14:paraId="3DB0D76F"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Und es war der Darbringende am ersten Tag seine Opfergabe: Nachschon, Sohn des Amminadav, vom Stamm Jehuda.</w:t>
      </w:r>
    </w:p>
    <w:p w14:paraId="4445863B"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6E2E7177">
          <v:rect id="_x0000_i1283" style="width:0;height:1.5pt" o:hralign="center" o:hrstd="t" o:hr="t" fillcolor="#a0a0a0" stroked="f"/>
        </w:pict>
      </w:r>
    </w:p>
    <w:p w14:paraId="3A3B5528"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nennt den ersten Darbringenden. </w:t>
      </w:r>
      <w:r w:rsidRPr="006F4EAF">
        <w:rPr>
          <w:rFonts w:eastAsia="Times New Roman" w:cs="Times New Roman"/>
          <w:b/>
          <w:bCs/>
          <w:rtl/>
          <w:lang w:eastAsia="de-DE"/>
        </w:rPr>
        <w:t>וַיְהִי הַמַּקְרִיב בַּיּוֹם הָרִאשׁוֹן אֶת־קָרְבָּנוֹ</w:t>
      </w:r>
      <w:r w:rsidRPr="006F4EAF">
        <w:rPr>
          <w:rFonts w:eastAsia="Times New Roman" w:cs="Times New Roman"/>
          <w:rtl/>
          <w:lang w:eastAsia="de-DE"/>
        </w:rPr>
        <w:t xml:space="preserve"> </w:t>
      </w:r>
      <w:r w:rsidRPr="006F4EAF">
        <w:rPr>
          <w:rFonts w:eastAsia="Times New Roman" w:cs="Times New Roman"/>
          <w:lang w:eastAsia="de-DE"/>
        </w:rPr>
        <w:t xml:space="preserve">ist die Einleitung. </w:t>
      </w:r>
      <w:r w:rsidRPr="006F4EAF">
        <w:rPr>
          <w:rFonts w:eastAsia="Times New Roman" w:cs="Times New Roman"/>
          <w:b/>
          <w:bCs/>
          <w:rtl/>
          <w:lang w:eastAsia="de-DE"/>
        </w:rPr>
        <w:t>וַיְהִי</w:t>
      </w:r>
      <w:r w:rsidRPr="006F4EAF">
        <w:rPr>
          <w:rFonts w:eastAsia="Times New Roman" w:cs="Times New Roman"/>
          <w:rtl/>
          <w:lang w:eastAsia="de-DE"/>
        </w:rPr>
        <w:t xml:space="preserve"> </w:t>
      </w:r>
      <w:r w:rsidRPr="006F4EAF">
        <w:rPr>
          <w:rFonts w:eastAsia="Times New Roman" w:cs="Times New Roman"/>
          <w:lang w:eastAsia="de-DE"/>
        </w:rPr>
        <w:t xml:space="preserve">(Qal Wayyiqtol von </w:t>
      </w:r>
      <w:r w:rsidRPr="006F4EAF">
        <w:rPr>
          <w:rFonts w:eastAsia="Times New Roman" w:cs="Times New Roman"/>
          <w:b/>
          <w:bCs/>
          <w:rtl/>
          <w:lang w:eastAsia="de-DE"/>
        </w:rPr>
        <w:t>היה</w:t>
      </w:r>
      <w:r w:rsidRPr="006F4EAF">
        <w:rPr>
          <w:rFonts w:eastAsia="Times New Roman" w:cs="Times New Roman"/>
          <w:rtl/>
          <w:lang w:eastAsia="de-DE"/>
        </w:rPr>
        <w:t xml:space="preserve"> </w:t>
      </w:r>
      <w:r w:rsidRPr="006F4EAF">
        <w:rPr>
          <w:rFonts w:eastAsia="Times New Roman" w:cs="Times New Roman"/>
          <w:lang w:eastAsia="de-DE"/>
        </w:rPr>
        <w:t xml:space="preserve">- Erzähleinleitung), </w:t>
      </w:r>
      <w:r w:rsidRPr="006F4EAF">
        <w:rPr>
          <w:rFonts w:eastAsia="Times New Roman" w:cs="Times New Roman"/>
          <w:b/>
          <w:bCs/>
          <w:rtl/>
          <w:lang w:eastAsia="de-DE"/>
        </w:rPr>
        <w:t>הַמַּקְרִיב</w:t>
      </w:r>
      <w:r w:rsidRPr="006F4EAF">
        <w:rPr>
          <w:rFonts w:eastAsia="Times New Roman" w:cs="Times New Roman"/>
          <w:rtl/>
          <w:lang w:eastAsia="de-DE"/>
        </w:rPr>
        <w:t xml:space="preserve"> </w:t>
      </w:r>
      <w:r w:rsidRPr="006F4EAF">
        <w:rPr>
          <w:rFonts w:eastAsia="Times New Roman" w:cs="Times New Roman"/>
          <w:lang w:eastAsia="de-DE"/>
        </w:rPr>
        <w:t xml:space="preserve">(Hiphil-Partizip maskulin Singular von </w:t>
      </w:r>
      <w:r w:rsidRPr="006F4EAF">
        <w:rPr>
          <w:rFonts w:eastAsia="Times New Roman" w:cs="Times New Roman"/>
          <w:b/>
          <w:bCs/>
          <w:rtl/>
          <w:lang w:eastAsia="de-DE"/>
        </w:rPr>
        <w:t>קרב</w:t>
      </w:r>
      <w:r w:rsidRPr="006F4EAF">
        <w:rPr>
          <w:rFonts w:eastAsia="Times New Roman" w:cs="Times New Roman"/>
          <w:rtl/>
          <w:lang w:eastAsia="de-DE"/>
        </w:rPr>
        <w:t xml:space="preserve"> </w:t>
      </w:r>
      <w:r w:rsidRPr="006F4EAF">
        <w:rPr>
          <w:rFonts w:eastAsia="Times New Roman" w:cs="Times New Roman"/>
          <w:lang w:eastAsia="de-DE"/>
        </w:rPr>
        <w:t xml:space="preserve">„darbringen" mit Artikel „der Darbringende"), </w:t>
      </w:r>
      <w:r w:rsidRPr="006F4EAF">
        <w:rPr>
          <w:rFonts w:eastAsia="Times New Roman" w:cs="Times New Roman"/>
          <w:b/>
          <w:bCs/>
          <w:rtl/>
          <w:lang w:eastAsia="de-DE"/>
        </w:rPr>
        <w:t>בַּיּוֹם הָרִאשׁוֹן</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בְ</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יוֹם</w:t>
      </w:r>
      <w:r w:rsidRPr="006F4EAF">
        <w:rPr>
          <w:rFonts w:eastAsia="Times New Roman" w:cs="Times New Roman"/>
          <w:rtl/>
          <w:lang w:eastAsia="de-DE"/>
        </w:rPr>
        <w:t xml:space="preserve"> </w:t>
      </w:r>
      <w:r w:rsidRPr="006F4EAF">
        <w:rPr>
          <w:rFonts w:eastAsia="Times New Roman" w:cs="Times New Roman"/>
          <w:lang w:eastAsia="de-DE"/>
        </w:rPr>
        <w:t xml:space="preserve">mit Artikel und Ordinalzahl </w:t>
      </w:r>
      <w:r w:rsidRPr="006F4EAF">
        <w:rPr>
          <w:rFonts w:eastAsia="Times New Roman" w:cs="Times New Roman"/>
          <w:b/>
          <w:bCs/>
          <w:rtl/>
          <w:lang w:eastAsia="de-DE"/>
        </w:rPr>
        <w:t>רִאשׁוֹן</w:t>
      </w:r>
      <w:r w:rsidRPr="006F4EAF">
        <w:rPr>
          <w:rFonts w:eastAsia="Times New Roman" w:cs="Times New Roman"/>
          <w:rtl/>
          <w:lang w:eastAsia="de-DE"/>
        </w:rPr>
        <w:t xml:space="preserve"> </w:t>
      </w:r>
      <w:r w:rsidRPr="006F4EAF">
        <w:rPr>
          <w:rFonts w:eastAsia="Times New Roman" w:cs="Times New Roman"/>
          <w:lang w:eastAsia="de-DE"/>
        </w:rPr>
        <w:t xml:space="preserve">„erster" „am ersten Tag"), </w:t>
      </w:r>
      <w:r w:rsidRPr="006F4EAF">
        <w:rPr>
          <w:rFonts w:eastAsia="Times New Roman" w:cs="Times New Roman"/>
          <w:b/>
          <w:bCs/>
          <w:rtl/>
          <w:lang w:eastAsia="de-DE"/>
        </w:rPr>
        <w:t>אֶת־קָרְבָּנוֹ</w:t>
      </w:r>
      <w:r w:rsidRPr="006F4EAF">
        <w:rPr>
          <w:rFonts w:eastAsia="Times New Roman" w:cs="Times New Roman"/>
          <w:rtl/>
          <w:lang w:eastAsia="de-DE"/>
        </w:rPr>
        <w:t xml:space="preserve"> </w:t>
      </w:r>
      <w:r w:rsidRPr="006F4EAF">
        <w:rPr>
          <w:rFonts w:eastAsia="Times New Roman" w:cs="Times New Roman"/>
          <w:lang w:eastAsia="de-DE"/>
        </w:rPr>
        <w:t xml:space="preserve">(Akkusativpartikel mit </w:t>
      </w:r>
      <w:r w:rsidRPr="006F4EAF">
        <w:rPr>
          <w:rFonts w:eastAsia="Times New Roman" w:cs="Times New Roman"/>
          <w:b/>
          <w:bCs/>
          <w:rtl/>
          <w:lang w:eastAsia="de-DE"/>
        </w:rPr>
        <w:t>קָרְבָּן</w:t>
      </w:r>
      <w:r w:rsidRPr="006F4EAF">
        <w:rPr>
          <w:rFonts w:eastAsia="Times New Roman" w:cs="Times New Roman"/>
          <w:rtl/>
          <w:lang w:eastAsia="de-DE"/>
        </w:rPr>
        <w:t xml:space="preserve"> </w:t>
      </w:r>
      <w:r w:rsidRPr="006F4EAF">
        <w:rPr>
          <w:rFonts w:eastAsia="Times New Roman" w:cs="Times New Roman"/>
          <w:lang w:eastAsia="de-DE"/>
        </w:rPr>
        <w:t>und Suffix 3. Person maskulin Singular „seine Opfergabe").</w:t>
      </w:r>
    </w:p>
    <w:p w14:paraId="113EC390" w14:textId="53EB41B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נַחְשׁוֹן בֶּן־עַמִּינָדָב לְמַטֵּה יְהוּדָה</w:t>
      </w:r>
      <w:r w:rsidRPr="006F4EAF">
        <w:rPr>
          <w:rFonts w:eastAsia="Times New Roman" w:cs="Times New Roman"/>
          <w:rtl/>
          <w:lang w:eastAsia="de-DE"/>
        </w:rPr>
        <w:t xml:space="preserve"> </w:t>
      </w:r>
      <w:r w:rsidRPr="006F4EAF">
        <w:rPr>
          <w:rFonts w:eastAsia="Times New Roman" w:cs="Times New Roman"/>
          <w:lang w:eastAsia="de-DE"/>
        </w:rPr>
        <w:t xml:space="preserve">identifiziert den Darbringenden. </w:t>
      </w:r>
      <w:r w:rsidRPr="006F4EAF">
        <w:rPr>
          <w:rFonts w:eastAsia="Times New Roman" w:cs="Times New Roman"/>
          <w:b/>
          <w:bCs/>
          <w:rtl/>
          <w:lang w:eastAsia="de-DE"/>
        </w:rPr>
        <w:t>נַחְשׁוֹן בֶּן־עַמִּינָדָב</w:t>
      </w:r>
      <w:r w:rsidRPr="006F4EAF">
        <w:rPr>
          <w:rFonts w:eastAsia="Times New Roman" w:cs="Times New Roman"/>
          <w:rtl/>
          <w:lang w:eastAsia="de-DE"/>
        </w:rPr>
        <w:t xml:space="preserve"> </w:t>
      </w:r>
      <w:r w:rsidRPr="006F4EAF">
        <w:rPr>
          <w:rFonts w:eastAsia="Times New Roman" w:cs="Times New Roman"/>
          <w:lang w:eastAsia="de-DE"/>
        </w:rPr>
        <w:t xml:space="preserve">(Eigenname </w:t>
      </w:r>
      <w:r w:rsidRPr="006F4EAF">
        <w:rPr>
          <w:rFonts w:eastAsia="Times New Roman" w:cs="Times New Roman"/>
          <w:b/>
          <w:bCs/>
          <w:rtl/>
          <w:lang w:eastAsia="de-DE"/>
        </w:rPr>
        <w:t>נַחְשׁוֹן</w:t>
      </w:r>
      <w:r w:rsidRPr="006F4EAF">
        <w:rPr>
          <w:rFonts w:eastAsia="Times New Roman" w:cs="Times New Roman"/>
          <w:rtl/>
          <w:lang w:eastAsia="de-DE"/>
        </w:rPr>
        <w:t xml:space="preserve"> </w:t>
      </w:r>
      <w:r w:rsidRPr="006F4EAF">
        <w:rPr>
          <w:rFonts w:eastAsia="Times New Roman" w:cs="Times New Roman"/>
          <w:lang w:eastAsia="de-DE"/>
        </w:rPr>
        <w:t xml:space="preserve">im </w:t>
      </w:r>
      <w:r w:rsidR="00F133EC">
        <w:rPr>
          <w:rFonts w:eastAsia="Times New Roman" w:cs="Times New Roman"/>
          <w:lang w:eastAsia="de-DE"/>
        </w:rPr>
        <w:t>Constructus</w:t>
      </w:r>
      <w:r w:rsidRPr="006F4EAF">
        <w:rPr>
          <w:rFonts w:eastAsia="Times New Roman" w:cs="Times New Roman"/>
          <w:lang w:eastAsia="de-DE"/>
        </w:rPr>
        <w:t xml:space="preserve"> mit </w:t>
      </w:r>
      <w:r w:rsidRPr="006F4EAF">
        <w:rPr>
          <w:rFonts w:eastAsia="Times New Roman" w:cs="Times New Roman"/>
          <w:b/>
          <w:bCs/>
          <w:rtl/>
          <w:lang w:eastAsia="de-DE"/>
        </w:rPr>
        <w:t>בֵּן</w:t>
      </w:r>
      <w:r w:rsidRPr="006F4EAF">
        <w:rPr>
          <w:rFonts w:eastAsia="Times New Roman" w:cs="Times New Roman"/>
          <w:rtl/>
          <w:lang w:eastAsia="de-DE"/>
        </w:rPr>
        <w:t xml:space="preserve"> </w:t>
      </w:r>
      <w:r w:rsidRPr="006F4EAF">
        <w:rPr>
          <w:rFonts w:eastAsia="Times New Roman" w:cs="Times New Roman"/>
          <w:lang w:eastAsia="de-DE"/>
        </w:rPr>
        <w:t xml:space="preserve">„Sohn" und Eigenname </w:t>
      </w:r>
      <w:r w:rsidRPr="006F4EAF">
        <w:rPr>
          <w:rFonts w:eastAsia="Times New Roman" w:cs="Times New Roman"/>
          <w:b/>
          <w:bCs/>
          <w:rtl/>
          <w:lang w:eastAsia="de-DE"/>
        </w:rPr>
        <w:t>עַמִּינָדָב</w:t>
      </w:r>
      <w:r w:rsidRPr="006F4EAF">
        <w:rPr>
          <w:rFonts w:eastAsia="Times New Roman" w:cs="Times New Roman"/>
          <w:rtl/>
          <w:lang w:eastAsia="de-DE"/>
        </w:rPr>
        <w:t xml:space="preserve"> </w:t>
      </w:r>
      <w:r w:rsidRPr="006F4EAF">
        <w:rPr>
          <w:rFonts w:eastAsia="Times New Roman" w:cs="Times New Roman"/>
          <w:lang w:eastAsia="de-DE"/>
        </w:rPr>
        <w:t xml:space="preserve">„Nachschon, Sohn des Amminadav"), </w:t>
      </w:r>
      <w:r w:rsidRPr="006F4EAF">
        <w:rPr>
          <w:rFonts w:eastAsia="Times New Roman" w:cs="Times New Roman"/>
          <w:b/>
          <w:bCs/>
          <w:rtl/>
          <w:lang w:eastAsia="de-DE"/>
        </w:rPr>
        <w:t>לְמַטֵּה יְהוּדָה</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מַטֶּה</w:t>
      </w:r>
      <w:r w:rsidRPr="006F4EAF">
        <w:rPr>
          <w:rFonts w:eastAsia="Times New Roman" w:cs="Times New Roman"/>
          <w:rtl/>
          <w:lang w:eastAsia="de-DE"/>
        </w:rPr>
        <w:t xml:space="preserve"> </w:t>
      </w:r>
      <w:r w:rsidRPr="006F4EAF">
        <w:rPr>
          <w:rFonts w:eastAsia="Times New Roman" w:cs="Times New Roman"/>
          <w:lang w:eastAsia="de-DE"/>
        </w:rPr>
        <w:t xml:space="preserve">„Stamm" im </w:t>
      </w:r>
      <w:r w:rsidR="00F133EC">
        <w:rPr>
          <w:rFonts w:eastAsia="Times New Roman" w:cs="Times New Roman"/>
          <w:lang w:eastAsia="de-DE"/>
        </w:rPr>
        <w:t>Constructus</w:t>
      </w:r>
      <w:r w:rsidRPr="006F4EAF">
        <w:rPr>
          <w:rFonts w:eastAsia="Times New Roman" w:cs="Times New Roman"/>
          <w:lang w:eastAsia="de-DE"/>
        </w:rPr>
        <w:t xml:space="preserve"> und </w:t>
      </w:r>
      <w:r w:rsidRPr="006F4EAF">
        <w:rPr>
          <w:rFonts w:eastAsia="Times New Roman" w:cs="Times New Roman"/>
          <w:b/>
          <w:bCs/>
          <w:rtl/>
          <w:lang w:eastAsia="de-DE"/>
        </w:rPr>
        <w:t>יְהוּדָה</w:t>
      </w:r>
      <w:r w:rsidRPr="006F4EAF">
        <w:rPr>
          <w:rFonts w:eastAsia="Times New Roman" w:cs="Times New Roman"/>
          <w:rtl/>
          <w:lang w:eastAsia="de-DE"/>
        </w:rPr>
        <w:t xml:space="preserve"> </w:t>
      </w:r>
      <w:r w:rsidRPr="006F4EAF">
        <w:rPr>
          <w:rFonts w:eastAsia="Times New Roman" w:cs="Times New Roman"/>
          <w:lang w:eastAsia="de-DE"/>
        </w:rPr>
        <w:t>„Juda" „vom Stamm Juda").</w:t>
      </w:r>
    </w:p>
    <w:p w14:paraId="2FE13199"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Die Satzstruktur zeigt eine </w:t>
      </w:r>
      <w:r w:rsidRPr="006F4EAF">
        <w:rPr>
          <w:rFonts w:eastAsia="Times New Roman" w:cs="Times New Roman"/>
          <w:b/>
          <w:bCs/>
          <w:rtl/>
          <w:lang w:eastAsia="de-DE"/>
        </w:rPr>
        <w:t>וַיְהִי</w:t>
      </w:r>
      <w:r w:rsidRPr="006F4EAF">
        <w:rPr>
          <w:rFonts w:eastAsia="Times New Roman" w:cs="Times New Roman"/>
          <w:lang w:eastAsia="de-DE"/>
        </w:rPr>
        <w:t>-Einleitung mit Partizip als Subjekt, temporaler und akkusativischer Ergänzung, gefolgt von der nominalen Identifikation.</w:t>
      </w:r>
    </w:p>
    <w:p w14:paraId="6D387C97"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ehrt Juda mit dem ersten Platz - </w:t>
      </w:r>
      <w:r w:rsidRPr="006F4EAF">
        <w:rPr>
          <w:rFonts w:eastAsia="Times New Roman" w:cs="Times New Roman"/>
          <w:b/>
          <w:bCs/>
          <w:rtl/>
          <w:lang w:eastAsia="de-DE"/>
        </w:rPr>
        <w:t>נַחְשׁוֹן בֶּן־עַמִּינָדָב</w:t>
      </w:r>
      <w:r w:rsidRPr="006F4EAF">
        <w:rPr>
          <w:rFonts w:eastAsia="Times New Roman" w:cs="Times New Roman"/>
          <w:rtl/>
          <w:lang w:eastAsia="de-DE"/>
        </w:rPr>
        <w:t xml:space="preserve"> </w:t>
      </w:r>
      <w:r w:rsidRPr="006F4EAF">
        <w:rPr>
          <w:rFonts w:eastAsia="Times New Roman" w:cs="Times New Roman"/>
          <w:lang w:eastAsia="de-DE"/>
        </w:rPr>
        <w:t>ist derselbe Stammesführer aus der Volkszählung (1,7) und der Lagerordnung (2,3). Juda erhält die Erstlingsposition, was seine führende Stellung unter den Stämmen widerspiegelt. Die folgende detaillierte Beschreibung seiner Opfergabe (V. 13-17) dient als Muster für alle folgenden elf Stämme.</w:t>
      </w:r>
    </w:p>
    <w:p w14:paraId="099F3A87"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7,13</w:t>
      </w:r>
    </w:p>
    <w:p w14:paraId="3C951400"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וְקָרְבָּנ֞וֹ קַֽעֲרַת־כֶּ֣סֶף אַחַ֗ת שְׁלֹשִׁ֣ים וּמֵאָה֮ מִשְׁקָלָהּ֒ מִזְרָ֤ק אֶחָד֙ כֶּ֔סֶף שִׁבְעִ֥ים שֶׁ֖קֶל בְּשֶׁ֣קֶל הַקֹּ֑דֶשׁ שְׁנֵיהֶ֣ם׀ מְלֵאִ֗ים סֹ֛לֶת בְּלוּלָ֥ה בַשֶּׁ֖מֶן לְמִנְחָֽה׃</w:t>
      </w:r>
    </w:p>
    <w:p w14:paraId="3E2D1E5D"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lastRenderedPageBreak/>
        <w:t>Deutsch:</w:t>
      </w:r>
      <w:r w:rsidRPr="006F4EAF">
        <w:rPr>
          <w:rFonts w:eastAsia="Times New Roman" w:cs="Times New Roman"/>
          <w:lang w:eastAsia="de-DE"/>
        </w:rPr>
        <w:t xml:space="preserve"> Und seine Opfergabe: eine silberne Schüssel, 130 Schekel ihr Gewicht, eine silberne Sprengschale, 70 Schekel nach dem Schekel des Heiligtums; beide gefüllt mit Feinmehl, gemengt mit Öl, zum Speisopfer.</w:t>
      </w:r>
    </w:p>
    <w:p w14:paraId="63F2B1DF"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7E24D5DB">
          <v:rect id="_x0000_i1284" style="width:0;height:1.5pt" o:hralign="center" o:hrstd="t" o:hr="t" fillcolor="#a0a0a0" stroked="f"/>
        </w:pict>
      </w:r>
    </w:p>
    <w:p w14:paraId="709E9AEA" w14:textId="05390DCF"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beschreibt die ersten Gegenstände von Nachschons Opfergabe. </w:t>
      </w:r>
      <w:r w:rsidRPr="006F4EAF">
        <w:rPr>
          <w:rFonts w:eastAsia="Times New Roman" w:cs="Times New Roman"/>
          <w:b/>
          <w:bCs/>
          <w:rtl/>
          <w:lang w:eastAsia="de-DE"/>
        </w:rPr>
        <w:t>וְקָרְבָּנוֹ</w:t>
      </w:r>
      <w:r w:rsidRPr="006F4EAF">
        <w:rPr>
          <w:rFonts w:eastAsia="Times New Roman" w:cs="Times New Roman"/>
          <w:rtl/>
          <w:lang w:eastAsia="de-DE"/>
        </w:rPr>
        <w:t xml:space="preserve"> </w:t>
      </w:r>
      <w:r w:rsidRPr="006F4EAF">
        <w:rPr>
          <w:rFonts w:eastAsia="Times New Roman" w:cs="Times New Roman"/>
          <w:lang w:eastAsia="de-DE"/>
        </w:rPr>
        <w:t xml:space="preserve">ist die Überschrift. </w:t>
      </w:r>
      <w:r w:rsidRPr="006F4EAF">
        <w:rPr>
          <w:rFonts w:eastAsia="Times New Roman" w:cs="Times New Roman"/>
          <w:b/>
          <w:bCs/>
          <w:rtl/>
          <w:lang w:eastAsia="de-DE"/>
        </w:rPr>
        <w:t>וְקָרְבָּנוֹ</w:t>
      </w:r>
      <w:r w:rsidRPr="006F4EAF">
        <w:rPr>
          <w:rFonts w:eastAsia="Times New Roman" w:cs="Times New Roman"/>
          <w:rtl/>
          <w:lang w:eastAsia="de-DE"/>
        </w:rPr>
        <w:t xml:space="preserve"> </w:t>
      </w:r>
      <w:r w:rsidRPr="006F4EAF">
        <w:rPr>
          <w:rFonts w:eastAsia="Times New Roman" w:cs="Times New Roman"/>
          <w:lang w:eastAsia="de-DE"/>
        </w:rPr>
        <w:t xml:space="preserve">(Konjunktion mit </w:t>
      </w:r>
      <w:r w:rsidRPr="006F4EAF">
        <w:rPr>
          <w:rFonts w:eastAsia="Times New Roman" w:cs="Times New Roman"/>
          <w:b/>
          <w:bCs/>
          <w:rtl/>
          <w:lang w:eastAsia="de-DE"/>
        </w:rPr>
        <w:t>קָרְבָּן</w:t>
      </w:r>
      <w:r w:rsidRPr="006F4EAF">
        <w:rPr>
          <w:rFonts w:eastAsia="Times New Roman" w:cs="Times New Roman"/>
          <w:rtl/>
          <w:lang w:eastAsia="de-DE"/>
        </w:rPr>
        <w:t xml:space="preserve"> </w:t>
      </w:r>
      <w:r w:rsidRPr="006F4EAF">
        <w:rPr>
          <w:rFonts w:eastAsia="Times New Roman" w:cs="Times New Roman"/>
          <w:lang w:eastAsia="de-DE"/>
        </w:rPr>
        <w:t xml:space="preserve">„Opfergabe" und Suffix 3. Person maskulin Singular „und seine Opfergabe"). </w:t>
      </w:r>
      <w:r w:rsidRPr="006F4EAF">
        <w:rPr>
          <w:rFonts w:eastAsia="Times New Roman" w:cs="Times New Roman"/>
          <w:b/>
          <w:bCs/>
          <w:rtl/>
          <w:lang w:eastAsia="de-DE"/>
        </w:rPr>
        <w:t>קַעֲרַת־כֶּסֶף אַחַת שְׁלֹשִׁים וּמֵאָה מִשְׁקָלָהּ</w:t>
      </w:r>
      <w:r w:rsidRPr="006F4EAF">
        <w:rPr>
          <w:rFonts w:eastAsia="Times New Roman" w:cs="Times New Roman"/>
          <w:rtl/>
          <w:lang w:eastAsia="de-DE"/>
        </w:rPr>
        <w:t xml:space="preserve"> </w:t>
      </w:r>
      <w:r w:rsidRPr="006F4EAF">
        <w:rPr>
          <w:rFonts w:eastAsia="Times New Roman" w:cs="Times New Roman"/>
          <w:lang w:eastAsia="de-DE"/>
        </w:rPr>
        <w:t xml:space="preserve">ist das erste Gefäß. </w:t>
      </w:r>
      <w:r w:rsidRPr="006F4EAF">
        <w:rPr>
          <w:rFonts w:eastAsia="Times New Roman" w:cs="Times New Roman"/>
          <w:b/>
          <w:bCs/>
          <w:rtl/>
          <w:lang w:eastAsia="de-DE"/>
        </w:rPr>
        <w:t>קַעֲרַת־כֶּסֶף אַחַת</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verbindung: </w:t>
      </w:r>
      <w:r w:rsidRPr="006F4EAF">
        <w:rPr>
          <w:rFonts w:eastAsia="Times New Roman" w:cs="Times New Roman"/>
          <w:b/>
          <w:bCs/>
          <w:rtl/>
          <w:lang w:eastAsia="de-DE"/>
        </w:rPr>
        <w:t>קְעָרָה</w:t>
      </w:r>
      <w:r w:rsidRPr="006F4EAF">
        <w:rPr>
          <w:rFonts w:eastAsia="Times New Roman" w:cs="Times New Roman"/>
          <w:rtl/>
          <w:lang w:eastAsia="de-DE"/>
        </w:rPr>
        <w:t xml:space="preserve"> </w:t>
      </w:r>
      <w:r w:rsidRPr="006F4EAF">
        <w:rPr>
          <w:rFonts w:eastAsia="Times New Roman" w:cs="Times New Roman"/>
          <w:lang w:eastAsia="de-DE"/>
        </w:rPr>
        <w:t xml:space="preserve">„Schüssel, Schale" mit </w:t>
      </w:r>
      <w:r w:rsidRPr="006F4EAF">
        <w:rPr>
          <w:rFonts w:eastAsia="Times New Roman" w:cs="Times New Roman"/>
          <w:b/>
          <w:bCs/>
          <w:rtl/>
          <w:lang w:eastAsia="de-DE"/>
        </w:rPr>
        <w:t>כֶּסֶף</w:t>
      </w:r>
      <w:r w:rsidRPr="006F4EAF">
        <w:rPr>
          <w:rFonts w:eastAsia="Times New Roman" w:cs="Times New Roman"/>
          <w:rtl/>
          <w:lang w:eastAsia="de-DE"/>
        </w:rPr>
        <w:t xml:space="preserve"> </w:t>
      </w:r>
      <w:r w:rsidRPr="006F4EAF">
        <w:rPr>
          <w:rFonts w:eastAsia="Times New Roman" w:cs="Times New Roman"/>
          <w:lang w:eastAsia="de-DE"/>
        </w:rPr>
        <w:t xml:space="preserve">„Silber" und Kardinalzahl </w:t>
      </w:r>
      <w:r w:rsidRPr="006F4EAF">
        <w:rPr>
          <w:rFonts w:eastAsia="Times New Roman" w:cs="Times New Roman"/>
          <w:b/>
          <w:bCs/>
          <w:rtl/>
          <w:lang w:eastAsia="de-DE"/>
        </w:rPr>
        <w:t>אֶחָד</w:t>
      </w:r>
      <w:r w:rsidRPr="006F4EAF">
        <w:rPr>
          <w:rFonts w:eastAsia="Times New Roman" w:cs="Times New Roman"/>
          <w:rtl/>
          <w:lang w:eastAsia="de-DE"/>
        </w:rPr>
        <w:t xml:space="preserve"> </w:t>
      </w:r>
      <w:r w:rsidRPr="006F4EAF">
        <w:rPr>
          <w:rFonts w:eastAsia="Times New Roman" w:cs="Times New Roman"/>
          <w:lang w:eastAsia="de-DE"/>
        </w:rPr>
        <w:t xml:space="preserve">feminin „eine silberne Schüssel"), </w:t>
      </w:r>
      <w:r w:rsidRPr="006F4EAF">
        <w:rPr>
          <w:rFonts w:eastAsia="Times New Roman" w:cs="Times New Roman"/>
          <w:b/>
          <w:bCs/>
          <w:rtl/>
          <w:lang w:eastAsia="de-DE"/>
        </w:rPr>
        <w:t>שְׁלֹשִׁים וּמֵאָה</w:t>
      </w:r>
      <w:r w:rsidRPr="006F4EAF">
        <w:rPr>
          <w:rFonts w:eastAsia="Times New Roman" w:cs="Times New Roman"/>
          <w:rtl/>
          <w:lang w:eastAsia="de-DE"/>
        </w:rPr>
        <w:t xml:space="preserve"> </w:t>
      </w:r>
      <w:r w:rsidRPr="006F4EAF">
        <w:rPr>
          <w:rFonts w:eastAsia="Times New Roman" w:cs="Times New Roman"/>
          <w:lang w:eastAsia="de-DE"/>
        </w:rPr>
        <w:t xml:space="preserve">(Kardinalzahlen „dreißig und hundert" = 130), </w:t>
      </w:r>
      <w:r w:rsidRPr="006F4EAF">
        <w:rPr>
          <w:rFonts w:eastAsia="Times New Roman" w:cs="Times New Roman"/>
          <w:b/>
          <w:bCs/>
          <w:rtl/>
          <w:lang w:eastAsia="de-DE"/>
        </w:rPr>
        <w:t>מִשְׁקָלָהּ</w:t>
      </w:r>
      <w:r w:rsidRPr="006F4EAF">
        <w:rPr>
          <w:rFonts w:eastAsia="Times New Roman" w:cs="Times New Roman"/>
          <w:rtl/>
          <w:lang w:eastAsia="de-DE"/>
        </w:rPr>
        <w:t xml:space="preserve"> </w:t>
      </w:r>
      <w:r w:rsidRPr="006F4EAF">
        <w:rPr>
          <w:rFonts w:eastAsia="Times New Roman" w:cs="Times New Roman"/>
          <w:lang w:eastAsia="de-DE"/>
        </w:rPr>
        <w:t>(</w:t>
      </w:r>
      <w:r w:rsidRPr="006F4EAF">
        <w:rPr>
          <w:rFonts w:eastAsia="Times New Roman" w:cs="Times New Roman"/>
          <w:b/>
          <w:bCs/>
          <w:rtl/>
          <w:lang w:eastAsia="de-DE"/>
        </w:rPr>
        <w:t>מִשְׁקָל</w:t>
      </w:r>
      <w:r w:rsidRPr="006F4EAF">
        <w:rPr>
          <w:rFonts w:eastAsia="Times New Roman" w:cs="Times New Roman"/>
          <w:rtl/>
          <w:lang w:eastAsia="de-DE"/>
        </w:rPr>
        <w:t xml:space="preserve"> </w:t>
      </w:r>
      <w:r w:rsidRPr="006F4EAF">
        <w:rPr>
          <w:rFonts w:eastAsia="Times New Roman" w:cs="Times New Roman"/>
          <w:lang w:eastAsia="de-DE"/>
        </w:rPr>
        <w:t xml:space="preserve">„Gewicht" mit Suffix 3. Person feminin Singular „ihr Gewicht" - von </w:t>
      </w:r>
      <w:r w:rsidRPr="006F4EAF">
        <w:rPr>
          <w:rFonts w:eastAsia="Times New Roman" w:cs="Times New Roman"/>
          <w:b/>
          <w:bCs/>
          <w:rtl/>
          <w:lang w:eastAsia="de-DE"/>
        </w:rPr>
        <w:t>שׁקל</w:t>
      </w:r>
      <w:r w:rsidRPr="006F4EAF">
        <w:rPr>
          <w:rFonts w:eastAsia="Times New Roman" w:cs="Times New Roman"/>
          <w:rtl/>
          <w:lang w:eastAsia="de-DE"/>
        </w:rPr>
        <w:t xml:space="preserve"> </w:t>
      </w:r>
      <w:r w:rsidRPr="006F4EAF">
        <w:rPr>
          <w:rFonts w:eastAsia="Times New Roman" w:cs="Times New Roman"/>
          <w:lang w:eastAsia="de-DE"/>
        </w:rPr>
        <w:t>„wiegen, wägen").</w:t>
      </w:r>
    </w:p>
    <w:p w14:paraId="0FA9FA39" w14:textId="636F1A7E"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מִזְרָק אֶחָד כֶּסֶף שִׁבְעִים שֶׁקֶל בְּשֶׁקֶל הַקֹּדֶשׁ</w:t>
      </w:r>
      <w:r w:rsidRPr="006F4EAF">
        <w:rPr>
          <w:rFonts w:eastAsia="Times New Roman" w:cs="Times New Roman"/>
          <w:rtl/>
          <w:lang w:eastAsia="de-DE"/>
        </w:rPr>
        <w:t xml:space="preserve"> </w:t>
      </w:r>
      <w:r w:rsidRPr="006F4EAF">
        <w:rPr>
          <w:rFonts w:eastAsia="Times New Roman" w:cs="Times New Roman"/>
          <w:lang w:eastAsia="de-DE"/>
        </w:rPr>
        <w:t xml:space="preserve">ist das zweite Gefäß. </w:t>
      </w:r>
      <w:r w:rsidRPr="006F4EAF">
        <w:rPr>
          <w:rFonts w:eastAsia="Times New Roman" w:cs="Times New Roman"/>
          <w:b/>
          <w:bCs/>
          <w:rtl/>
          <w:lang w:eastAsia="de-DE"/>
        </w:rPr>
        <w:t>מִזְרָק אֶחָד כֶּסֶף</w:t>
      </w:r>
      <w:r w:rsidRPr="006F4EAF">
        <w:rPr>
          <w:rFonts w:eastAsia="Times New Roman" w:cs="Times New Roman"/>
          <w:rtl/>
          <w:lang w:eastAsia="de-DE"/>
        </w:rPr>
        <w:t xml:space="preserve"> </w:t>
      </w:r>
      <w:r w:rsidRPr="006F4EAF">
        <w:rPr>
          <w:rFonts w:eastAsia="Times New Roman" w:cs="Times New Roman"/>
          <w:lang w:eastAsia="de-DE"/>
        </w:rPr>
        <w:t>(</w:t>
      </w:r>
      <w:r w:rsidRPr="006F4EAF">
        <w:rPr>
          <w:rFonts w:eastAsia="Times New Roman" w:cs="Times New Roman"/>
          <w:b/>
          <w:bCs/>
          <w:rtl/>
          <w:lang w:eastAsia="de-DE"/>
        </w:rPr>
        <w:t>מִזְרָק</w:t>
      </w:r>
      <w:r w:rsidRPr="006F4EAF">
        <w:rPr>
          <w:rFonts w:eastAsia="Times New Roman" w:cs="Times New Roman"/>
          <w:rtl/>
          <w:lang w:eastAsia="de-DE"/>
        </w:rPr>
        <w:t xml:space="preserve"> </w:t>
      </w:r>
      <w:r w:rsidRPr="006F4EAF">
        <w:rPr>
          <w:rFonts w:eastAsia="Times New Roman" w:cs="Times New Roman"/>
          <w:lang w:eastAsia="de-DE"/>
        </w:rPr>
        <w:t xml:space="preserve">„Sprengschale, Opferschale" - von </w:t>
      </w:r>
      <w:r w:rsidRPr="006F4EAF">
        <w:rPr>
          <w:rFonts w:eastAsia="Times New Roman" w:cs="Times New Roman"/>
          <w:b/>
          <w:bCs/>
          <w:rtl/>
          <w:lang w:eastAsia="de-DE"/>
        </w:rPr>
        <w:t>זרק</w:t>
      </w:r>
      <w:r w:rsidRPr="006F4EAF">
        <w:rPr>
          <w:rFonts w:eastAsia="Times New Roman" w:cs="Times New Roman"/>
          <w:rtl/>
          <w:lang w:eastAsia="de-DE"/>
        </w:rPr>
        <w:t xml:space="preserve"> </w:t>
      </w:r>
      <w:r w:rsidRPr="006F4EAF">
        <w:rPr>
          <w:rFonts w:eastAsia="Times New Roman" w:cs="Times New Roman"/>
          <w:lang w:eastAsia="de-DE"/>
        </w:rPr>
        <w:t xml:space="preserve">„sprengen, spritzen" - mit </w:t>
      </w:r>
      <w:r w:rsidRPr="006F4EAF">
        <w:rPr>
          <w:rFonts w:eastAsia="Times New Roman" w:cs="Times New Roman"/>
          <w:b/>
          <w:bCs/>
          <w:rtl/>
          <w:lang w:eastAsia="de-DE"/>
        </w:rPr>
        <w:t>אֶחָד</w:t>
      </w:r>
      <w:r w:rsidRPr="006F4EAF">
        <w:rPr>
          <w:rFonts w:eastAsia="Times New Roman" w:cs="Times New Roman"/>
          <w:rtl/>
          <w:lang w:eastAsia="de-DE"/>
        </w:rPr>
        <w:t xml:space="preserve"> </w:t>
      </w:r>
      <w:r w:rsidRPr="006F4EAF">
        <w:rPr>
          <w:rFonts w:eastAsia="Times New Roman" w:cs="Times New Roman"/>
          <w:lang w:eastAsia="de-DE"/>
        </w:rPr>
        <w:t xml:space="preserve">und </w:t>
      </w:r>
      <w:r w:rsidRPr="006F4EAF">
        <w:rPr>
          <w:rFonts w:eastAsia="Times New Roman" w:cs="Times New Roman"/>
          <w:b/>
          <w:bCs/>
          <w:rtl/>
          <w:lang w:eastAsia="de-DE"/>
        </w:rPr>
        <w:t>כֶּסֶף</w:t>
      </w:r>
      <w:r w:rsidRPr="006F4EAF">
        <w:rPr>
          <w:rFonts w:eastAsia="Times New Roman" w:cs="Times New Roman"/>
          <w:rtl/>
          <w:lang w:eastAsia="de-DE"/>
        </w:rPr>
        <w:t xml:space="preserve"> </w:t>
      </w:r>
      <w:r w:rsidRPr="006F4EAF">
        <w:rPr>
          <w:rFonts w:eastAsia="Times New Roman" w:cs="Times New Roman"/>
          <w:lang w:eastAsia="de-DE"/>
        </w:rPr>
        <w:t xml:space="preserve">„eine silberne Sprengschale"), </w:t>
      </w:r>
      <w:r w:rsidRPr="006F4EAF">
        <w:rPr>
          <w:rFonts w:eastAsia="Times New Roman" w:cs="Times New Roman"/>
          <w:b/>
          <w:bCs/>
          <w:rtl/>
          <w:lang w:eastAsia="de-DE"/>
        </w:rPr>
        <w:t>שִׁבְעִים שֶׁקֶל</w:t>
      </w:r>
      <w:r w:rsidRPr="006F4EAF">
        <w:rPr>
          <w:rFonts w:eastAsia="Times New Roman" w:cs="Times New Roman"/>
          <w:rtl/>
          <w:lang w:eastAsia="de-DE"/>
        </w:rPr>
        <w:t xml:space="preserve"> </w:t>
      </w:r>
      <w:r w:rsidRPr="006F4EAF">
        <w:rPr>
          <w:rFonts w:eastAsia="Times New Roman" w:cs="Times New Roman"/>
          <w:lang w:eastAsia="de-DE"/>
        </w:rPr>
        <w:t xml:space="preserve">(Kardinalzahl „siebzig" mit </w:t>
      </w:r>
      <w:r w:rsidRPr="006F4EAF">
        <w:rPr>
          <w:rFonts w:eastAsia="Times New Roman" w:cs="Times New Roman"/>
          <w:b/>
          <w:bCs/>
          <w:rtl/>
          <w:lang w:eastAsia="de-DE"/>
        </w:rPr>
        <w:t>שֶׁקֶל</w:t>
      </w:r>
      <w:r w:rsidRPr="006F4EAF">
        <w:rPr>
          <w:rFonts w:eastAsia="Times New Roman" w:cs="Times New Roman"/>
          <w:rtl/>
          <w:lang w:eastAsia="de-DE"/>
        </w:rPr>
        <w:t xml:space="preserve"> </w:t>
      </w:r>
      <w:r w:rsidRPr="006F4EAF">
        <w:rPr>
          <w:rFonts w:eastAsia="Times New Roman" w:cs="Times New Roman"/>
          <w:lang w:eastAsia="de-DE"/>
        </w:rPr>
        <w:t xml:space="preserve">„Schekel" „siebzig Schekel"), </w:t>
      </w:r>
      <w:r w:rsidRPr="006F4EAF">
        <w:rPr>
          <w:rFonts w:eastAsia="Times New Roman" w:cs="Times New Roman"/>
          <w:b/>
          <w:bCs/>
          <w:rtl/>
          <w:lang w:eastAsia="de-DE"/>
        </w:rPr>
        <w:t>בְּשֶׁקֶל הַקֹּדֶשׁ</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בְ</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שֶׁקֶל</w:t>
      </w:r>
      <w:r w:rsidRPr="006F4EAF">
        <w:rPr>
          <w:rFonts w:eastAsia="Times New Roman" w:cs="Times New Roman"/>
          <w:rtl/>
          <w:lang w:eastAsia="de-DE"/>
        </w:rPr>
        <w:t xml:space="preserve"> </w:t>
      </w:r>
      <w:r w:rsidRPr="006F4EAF">
        <w:rPr>
          <w:rFonts w:eastAsia="Times New Roman" w:cs="Times New Roman"/>
          <w:lang w:eastAsia="de-DE"/>
        </w:rPr>
        <w:t xml:space="preserve">im </w:t>
      </w:r>
      <w:r w:rsidR="00F133EC">
        <w:rPr>
          <w:rFonts w:eastAsia="Times New Roman" w:cs="Times New Roman"/>
          <w:lang w:eastAsia="de-DE"/>
        </w:rPr>
        <w:t>Constructus</w:t>
      </w:r>
      <w:r w:rsidRPr="006F4EAF">
        <w:rPr>
          <w:rFonts w:eastAsia="Times New Roman" w:cs="Times New Roman"/>
          <w:lang w:eastAsia="de-DE"/>
        </w:rPr>
        <w:t xml:space="preserve"> und </w:t>
      </w:r>
      <w:r w:rsidRPr="006F4EAF">
        <w:rPr>
          <w:rFonts w:eastAsia="Times New Roman" w:cs="Times New Roman"/>
          <w:b/>
          <w:bCs/>
          <w:rtl/>
          <w:lang w:eastAsia="de-DE"/>
        </w:rPr>
        <w:t>קֹדֶשׁ</w:t>
      </w:r>
      <w:r w:rsidRPr="006F4EAF">
        <w:rPr>
          <w:rFonts w:eastAsia="Times New Roman" w:cs="Times New Roman"/>
          <w:rtl/>
          <w:lang w:eastAsia="de-DE"/>
        </w:rPr>
        <w:t xml:space="preserve"> </w:t>
      </w:r>
      <w:r w:rsidRPr="006F4EAF">
        <w:rPr>
          <w:rFonts w:eastAsia="Times New Roman" w:cs="Times New Roman"/>
          <w:lang w:eastAsia="de-DE"/>
        </w:rPr>
        <w:t>„Heiligkeit, Heiligtum" mit Artikel „nach dem Schekel des Heiligtums" - der offizielle Standard-Schekel).</w:t>
      </w:r>
    </w:p>
    <w:p w14:paraId="06F10FE3"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שְׁנֵיהֶם מְלֵאִים סֹלֶת בְּלוּלָה בַשֶּׁמֶן לְמִנְחָה</w:t>
      </w:r>
      <w:r w:rsidRPr="006F4EAF">
        <w:rPr>
          <w:rFonts w:eastAsia="Times New Roman" w:cs="Times New Roman"/>
          <w:rtl/>
          <w:lang w:eastAsia="de-DE"/>
        </w:rPr>
        <w:t xml:space="preserve"> </w:t>
      </w:r>
      <w:r w:rsidRPr="006F4EAF">
        <w:rPr>
          <w:rFonts w:eastAsia="Times New Roman" w:cs="Times New Roman"/>
          <w:lang w:eastAsia="de-DE"/>
        </w:rPr>
        <w:t xml:space="preserve">beschreibt den Inhalt beider Gefäße. </w:t>
      </w:r>
      <w:r w:rsidRPr="006F4EAF">
        <w:rPr>
          <w:rFonts w:eastAsia="Times New Roman" w:cs="Times New Roman"/>
          <w:b/>
          <w:bCs/>
          <w:rtl/>
          <w:lang w:eastAsia="de-DE"/>
        </w:rPr>
        <w:t>שְׁנֵיהֶם</w:t>
      </w:r>
      <w:r w:rsidRPr="006F4EAF">
        <w:rPr>
          <w:rFonts w:eastAsia="Times New Roman" w:cs="Times New Roman"/>
          <w:rtl/>
          <w:lang w:eastAsia="de-DE"/>
        </w:rPr>
        <w:t xml:space="preserve"> </w:t>
      </w:r>
      <w:r w:rsidRPr="006F4EAF">
        <w:rPr>
          <w:rFonts w:eastAsia="Times New Roman" w:cs="Times New Roman"/>
          <w:lang w:eastAsia="de-DE"/>
        </w:rPr>
        <w:t xml:space="preserve">(Kardinalzahl </w:t>
      </w:r>
      <w:r w:rsidRPr="006F4EAF">
        <w:rPr>
          <w:rFonts w:eastAsia="Times New Roman" w:cs="Times New Roman"/>
          <w:b/>
          <w:bCs/>
          <w:rtl/>
          <w:lang w:eastAsia="de-DE"/>
        </w:rPr>
        <w:t>שְׁנַיִם</w:t>
      </w:r>
      <w:r w:rsidRPr="006F4EAF">
        <w:rPr>
          <w:rFonts w:eastAsia="Times New Roman" w:cs="Times New Roman"/>
          <w:rtl/>
          <w:lang w:eastAsia="de-DE"/>
        </w:rPr>
        <w:t xml:space="preserve"> </w:t>
      </w:r>
      <w:r w:rsidRPr="006F4EAF">
        <w:rPr>
          <w:rFonts w:eastAsia="Times New Roman" w:cs="Times New Roman"/>
          <w:lang w:eastAsia="de-DE"/>
        </w:rPr>
        <w:t xml:space="preserve">„zwei" im Dual mit Suffix 3. Person Plural „beide von ihnen"), </w:t>
      </w:r>
      <w:r w:rsidRPr="006F4EAF">
        <w:rPr>
          <w:rFonts w:eastAsia="Times New Roman" w:cs="Times New Roman"/>
          <w:b/>
          <w:bCs/>
          <w:rtl/>
          <w:lang w:eastAsia="de-DE"/>
        </w:rPr>
        <w:t>מְלֵאִים</w:t>
      </w:r>
      <w:r w:rsidRPr="006F4EAF">
        <w:rPr>
          <w:rFonts w:eastAsia="Times New Roman" w:cs="Times New Roman"/>
          <w:rtl/>
          <w:lang w:eastAsia="de-DE"/>
        </w:rPr>
        <w:t xml:space="preserve"> </w:t>
      </w:r>
      <w:r w:rsidRPr="006F4EAF">
        <w:rPr>
          <w:rFonts w:eastAsia="Times New Roman" w:cs="Times New Roman"/>
          <w:lang w:eastAsia="de-DE"/>
        </w:rPr>
        <w:t xml:space="preserve">(Qal-Partizip Plural maskulin von </w:t>
      </w:r>
      <w:r w:rsidRPr="006F4EAF">
        <w:rPr>
          <w:rFonts w:eastAsia="Times New Roman" w:cs="Times New Roman"/>
          <w:b/>
          <w:bCs/>
          <w:rtl/>
          <w:lang w:eastAsia="de-DE"/>
        </w:rPr>
        <w:t>מלא</w:t>
      </w:r>
      <w:r w:rsidRPr="006F4EAF">
        <w:rPr>
          <w:rFonts w:eastAsia="Times New Roman" w:cs="Times New Roman"/>
          <w:rtl/>
          <w:lang w:eastAsia="de-DE"/>
        </w:rPr>
        <w:t xml:space="preserve"> </w:t>
      </w:r>
      <w:r w:rsidRPr="006F4EAF">
        <w:rPr>
          <w:rFonts w:eastAsia="Times New Roman" w:cs="Times New Roman"/>
          <w:lang w:eastAsia="de-DE"/>
        </w:rPr>
        <w:t xml:space="preserve">„voll sein, füllen" „gefüllt"), </w:t>
      </w:r>
      <w:r w:rsidRPr="006F4EAF">
        <w:rPr>
          <w:rFonts w:eastAsia="Times New Roman" w:cs="Times New Roman"/>
          <w:b/>
          <w:bCs/>
          <w:rtl/>
          <w:lang w:eastAsia="de-DE"/>
        </w:rPr>
        <w:t>סֹלֶת</w:t>
      </w:r>
      <w:r w:rsidRPr="006F4EAF">
        <w:rPr>
          <w:rFonts w:eastAsia="Times New Roman" w:cs="Times New Roman"/>
          <w:rtl/>
          <w:lang w:eastAsia="de-DE"/>
        </w:rPr>
        <w:t xml:space="preserve"> </w:t>
      </w:r>
      <w:r w:rsidRPr="006F4EAF">
        <w:rPr>
          <w:rFonts w:eastAsia="Times New Roman" w:cs="Times New Roman"/>
          <w:lang w:eastAsia="de-DE"/>
        </w:rPr>
        <w:t xml:space="preserve">(Akkusativ </w:t>
      </w:r>
      <w:r w:rsidRPr="006F4EAF">
        <w:rPr>
          <w:rFonts w:eastAsia="Times New Roman" w:cs="Times New Roman"/>
          <w:b/>
          <w:bCs/>
          <w:rtl/>
          <w:lang w:eastAsia="de-DE"/>
        </w:rPr>
        <w:t>סֹלֶת</w:t>
      </w:r>
      <w:r w:rsidRPr="006F4EAF">
        <w:rPr>
          <w:rFonts w:eastAsia="Times New Roman" w:cs="Times New Roman"/>
          <w:rtl/>
          <w:lang w:eastAsia="de-DE"/>
        </w:rPr>
        <w:t xml:space="preserve"> </w:t>
      </w:r>
      <w:r w:rsidRPr="006F4EAF">
        <w:rPr>
          <w:rFonts w:eastAsia="Times New Roman" w:cs="Times New Roman"/>
          <w:lang w:eastAsia="de-DE"/>
        </w:rPr>
        <w:t xml:space="preserve">„Feinmehl, feines Weizenmehl"), </w:t>
      </w:r>
      <w:r w:rsidRPr="006F4EAF">
        <w:rPr>
          <w:rFonts w:eastAsia="Times New Roman" w:cs="Times New Roman"/>
          <w:b/>
          <w:bCs/>
          <w:rtl/>
          <w:lang w:eastAsia="de-DE"/>
        </w:rPr>
        <w:t>בְּלוּלָה בַשֶּׁמֶן</w:t>
      </w:r>
      <w:r w:rsidRPr="006F4EAF">
        <w:rPr>
          <w:rFonts w:eastAsia="Times New Roman" w:cs="Times New Roman"/>
          <w:rtl/>
          <w:lang w:eastAsia="de-DE"/>
        </w:rPr>
        <w:t xml:space="preserve"> </w:t>
      </w:r>
      <w:r w:rsidRPr="006F4EAF">
        <w:rPr>
          <w:rFonts w:eastAsia="Times New Roman" w:cs="Times New Roman"/>
          <w:lang w:eastAsia="de-DE"/>
        </w:rPr>
        <w:t xml:space="preserve">(Qal-Partizip feminin Singular passiv von </w:t>
      </w:r>
      <w:r w:rsidRPr="006F4EAF">
        <w:rPr>
          <w:rFonts w:eastAsia="Times New Roman" w:cs="Times New Roman"/>
          <w:b/>
          <w:bCs/>
          <w:rtl/>
          <w:lang w:eastAsia="de-DE"/>
        </w:rPr>
        <w:t>בלל</w:t>
      </w:r>
      <w:r w:rsidRPr="006F4EAF">
        <w:rPr>
          <w:rFonts w:eastAsia="Times New Roman" w:cs="Times New Roman"/>
          <w:rtl/>
          <w:lang w:eastAsia="de-DE"/>
        </w:rPr>
        <w:t xml:space="preserve"> </w:t>
      </w:r>
      <w:r w:rsidRPr="006F4EAF">
        <w:rPr>
          <w:rFonts w:eastAsia="Times New Roman" w:cs="Times New Roman"/>
          <w:lang w:eastAsia="de-DE"/>
        </w:rPr>
        <w:t xml:space="preserve">„mischen, mengen" mit Präposition </w:t>
      </w:r>
      <w:r w:rsidRPr="006F4EAF">
        <w:rPr>
          <w:rFonts w:eastAsia="Times New Roman" w:cs="Times New Roman"/>
          <w:b/>
          <w:bCs/>
          <w:rtl/>
          <w:lang w:eastAsia="de-DE"/>
        </w:rPr>
        <w:t>בְ</w:t>
      </w:r>
      <w:r w:rsidRPr="006F4EAF">
        <w:rPr>
          <w:rFonts w:eastAsia="Times New Roman" w:cs="Times New Roman"/>
          <w:rtl/>
          <w:lang w:eastAsia="de-DE"/>
        </w:rPr>
        <w:t xml:space="preserve"> </w:t>
      </w:r>
      <w:r w:rsidRPr="006F4EAF">
        <w:rPr>
          <w:rFonts w:eastAsia="Times New Roman" w:cs="Times New Roman"/>
          <w:lang w:eastAsia="de-DE"/>
        </w:rPr>
        <w:t xml:space="preserve">und </w:t>
      </w:r>
      <w:r w:rsidRPr="006F4EAF">
        <w:rPr>
          <w:rFonts w:eastAsia="Times New Roman" w:cs="Times New Roman"/>
          <w:b/>
          <w:bCs/>
          <w:rtl/>
          <w:lang w:eastAsia="de-DE"/>
        </w:rPr>
        <w:t>שֶׁמֶן</w:t>
      </w:r>
      <w:r w:rsidRPr="006F4EAF">
        <w:rPr>
          <w:rFonts w:eastAsia="Times New Roman" w:cs="Times New Roman"/>
          <w:rtl/>
          <w:lang w:eastAsia="de-DE"/>
        </w:rPr>
        <w:t xml:space="preserve"> </w:t>
      </w:r>
      <w:r w:rsidRPr="006F4EAF">
        <w:rPr>
          <w:rFonts w:eastAsia="Times New Roman" w:cs="Times New Roman"/>
          <w:lang w:eastAsia="de-DE"/>
        </w:rPr>
        <w:t xml:space="preserve">„Öl" mit Artikel „gemengt mit dem Öl"), </w:t>
      </w:r>
      <w:r w:rsidRPr="006F4EAF">
        <w:rPr>
          <w:rFonts w:eastAsia="Times New Roman" w:cs="Times New Roman"/>
          <w:b/>
          <w:bCs/>
          <w:rtl/>
          <w:lang w:eastAsia="de-DE"/>
        </w:rPr>
        <w:t>לְמִנְחָה</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מִנְחָה</w:t>
      </w:r>
      <w:r w:rsidRPr="006F4EAF">
        <w:rPr>
          <w:rFonts w:eastAsia="Times New Roman" w:cs="Times New Roman"/>
          <w:rtl/>
          <w:lang w:eastAsia="de-DE"/>
        </w:rPr>
        <w:t xml:space="preserve"> </w:t>
      </w:r>
      <w:r w:rsidRPr="006F4EAF">
        <w:rPr>
          <w:rFonts w:eastAsia="Times New Roman" w:cs="Times New Roman"/>
          <w:lang w:eastAsia="de-DE"/>
        </w:rPr>
        <w:t>„Speisopfer, Gabe" „zum Speisopfer").</w:t>
      </w:r>
    </w:p>
    <w:p w14:paraId="68FB2D43"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eine Überschrift, gefolgt von zwei nominalen Aufzählungen (Gefäß 1 mit Gewicht, Gefäß 2 mit Gewicht und Standard), abgeschlossen mit einer nominalen Aussage über den gemeinsamen Inhalt.</w:t>
      </w:r>
    </w:p>
    <w:p w14:paraId="07044D38"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listet die ersten Opfergegenstände detailliert auf: Eine schwere silberne Schüssel (130 Schekel = ca. 1,5 kg) und eine Sprengschale (70 Schekel = ca. 800 g), beide nach dem offiziellen </w:t>
      </w:r>
      <w:r w:rsidRPr="006F4EAF">
        <w:rPr>
          <w:rFonts w:eastAsia="Times New Roman" w:cs="Times New Roman"/>
          <w:b/>
          <w:bCs/>
          <w:rtl/>
          <w:lang w:eastAsia="de-DE"/>
        </w:rPr>
        <w:t>שֶׁקֶל הַקֹּדֶשׁ</w:t>
      </w:r>
      <w:r w:rsidRPr="006F4EAF">
        <w:rPr>
          <w:rFonts w:eastAsia="Times New Roman" w:cs="Times New Roman"/>
          <w:rtl/>
          <w:lang w:eastAsia="de-DE"/>
        </w:rPr>
        <w:t xml:space="preserve"> </w:t>
      </w:r>
      <w:r w:rsidRPr="006F4EAF">
        <w:rPr>
          <w:rFonts w:eastAsia="Times New Roman" w:cs="Times New Roman"/>
          <w:lang w:eastAsia="de-DE"/>
        </w:rPr>
        <w:t xml:space="preserve">gewogen. Die Gefäße sind mit </w:t>
      </w:r>
      <w:r w:rsidRPr="006F4EAF">
        <w:rPr>
          <w:rFonts w:eastAsia="Times New Roman" w:cs="Times New Roman"/>
          <w:b/>
          <w:bCs/>
          <w:rtl/>
          <w:lang w:eastAsia="de-DE"/>
        </w:rPr>
        <w:t>סֹלֶת בְּלוּלָה בַשֶּׁמֶן</w:t>
      </w:r>
      <w:r w:rsidRPr="006F4EAF">
        <w:rPr>
          <w:rFonts w:eastAsia="Times New Roman" w:cs="Times New Roman"/>
          <w:rtl/>
          <w:lang w:eastAsia="de-DE"/>
        </w:rPr>
        <w:t xml:space="preserve"> </w:t>
      </w:r>
      <w:r w:rsidRPr="006F4EAF">
        <w:rPr>
          <w:rFonts w:eastAsia="Times New Roman" w:cs="Times New Roman"/>
          <w:lang w:eastAsia="de-DE"/>
        </w:rPr>
        <w:t>gefüllt - dem klassischen Speisopfer aus Lev 2. Der Reichtum der Gabe (Silbergefäße, Feinmehl, Öl) zeigt die Großzügigkeit und Ehrerbietung Judas.</w:t>
      </w:r>
    </w:p>
    <w:p w14:paraId="4B1303B5"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7,14</w:t>
      </w:r>
    </w:p>
    <w:p w14:paraId="33821098"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כַּ֥ף אַחַ֛ת עֲשָׂרָ֥ה זָהָ֖ב מְלֵאָ֥ה קְטֹֽרֶת׃</w:t>
      </w:r>
    </w:p>
    <w:p w14:paraId="1FC368E5"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Eine Schale, zehn Schekel Gold, gefüllt mit Räucherwerk.</w:t>
      </w:r>
    </w:p>
    <w:p w14:paraId="269BCC38"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662D3E4C">
          <v:rect id="_x0000_i1285" style="width:0;height:1.5pt" o:hralign="center" o:hrstd="t" o:hr="t" fillcolor="#a0a0a0" stroked="f"/>
        </w:pict>
      </w:r>
    </w:p>
    <w:p w14:paraId="41F64E92"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fügt ein drittes, kostbares Gefäß hinzu. </w:t>
      </w:r>
      <w:r w:rsidRPr="006F4EAF">
        <w:rPr>
          <w:rFonts w:eastAsia="Times New Roman" w:cs="Times New Roman"/>
          <w:b/>
          <w:bCs/>
          <w:rtl/>
          <w:lang w:eastAsia="de-DE"/>
        </w:rPr>
        <w:t>כַּף אַחַת עֲשָׂרָה זָהָב</w:t>
      </w:r>
      <w:r w:rsidRPr="006F4EAF">
        <w:rPr>
          <w:rFonts w:eastAsia="Times New Roman" w:cs="Times New Roman"/>
          <w:rtl/>
          <w:lang w:eastAsia="de-DE"/>
        </w:rPr>
        <w:t xml:space="preserve"> </w:t>
      </w:r>
      <w:r w:rsidRPr="006F4EAF">
        <w:rPr>
          <w:rFonts w:eastAsia="Times New Roman" w:cs="Times New Roman"/>
          <w:lang w:eastAsia="de-DE"/>
        </w:rPr>
        <w:t xml:space="preserve">beschreibt das Gefäß. </w:t>
      </w:r>
      <w:r w:rsidRPr="006F4EAF">
        <w:rPr>
          <w:rFonts w:eastAsia="Times New Roman" w:cs="Times New Roman"/>
          <w:b/>
          <w:bCs/>
          <w:rtl/>
          <w:lang w:eastAsia="de-DE"/>
        </w:rPr>
        <w:t>כַּף אַחַת</w:t>
      </w:r>
      <w:r w:rsidRPr="006F4EAF">
        <w:rPr>
          <w:rFonts w:eastAsia="Times New Roman" w:cs="Times New Roman"/>
          <w:rtl/>
          <w:lang w:eastAsia="de-DE"/>
        </w:rPr>
        <w:t xml:space="preserve"> </w:t>
      </w:r>
      <w:r w:rsidRPr="006F4EAF">
        <w:rPr>
          <w:rFonts w:eastAsia="Times New Roman" w:cs="Times New Roman"/>
          <w:lang w:eastAsia="de-DE"/>
        </w:rPr>
        <w:t>(</w:t>
      </w:r>
      <w:r w:rsidRPr="006F4EAF">
        <w:rPr>
          <w:rFonts w:eastAsia="Times New Roman" w:cs="Times New Roman"/>
          <w:b/>
          <w:bCs/>
          <w:rtl/>
          <w:lang w:eastAsia="de-DE"/>
        </w:rPr>
        <w:t>כַּף</w:t>
      </w:r>
      <w:r w:rsidRPr="006F4EAF">
        <w:rPr>
          <w:rFonts w:eastAsia="Times New Roman" w:cs="Times New Roman"/>
          <w:rtl/>
          <w:lang w:eastAsia="de-DE"/>
        </w:rPr>
        <w:t xml:space="preserve"> </w:t>
      </w:r>
      <w:r w:rsidRPr="006F4EAF">
        <w:rPr>
          <w:rFonts w:eastAsia="Times New Roman" w:cs="Times New Roman"/>
          <w:lang w:eastAsia="de-DE"/>
        </w:rPr>
        <w:t xml:space="preserve">„Schale, Löffel" - eigentlich „Handfläche" - mit </w:t>
      </w:r>
      <w:r w:rsidRPr="006F4EAF">
        <w:rPr>
          <w:rFonts w:eastAsia="Times New Roman" w:cs="Times New Roman"/>
          <w:b/>
          <w:bCs/>
          <w:rtl/>
          <w:lang w:eastAsia="de-DE"/>
        </w:rPr>
        <w:t>אֶחָד</w:t>
      </w:r>
      <w:r w:rsidRPr="006F4EAF">
        <w:rPr>
          <w:rFonts w:eastAsia="Times New Roman" w:cs="Times New Roman"/>
          <w:rtl/>
          <w:lang w:eastAsia="de-DE"/>
        </w:rPr>
        <w:t xml:space="preserve"> </w:t>
      </w:r>
      <w:r w:rsidRPr="006F4EAF">
        <w:rPr>
          <w:rFonts w:eastAsia="Times New Roman" w:cs="Times New Roman"/>
          <w:lang w:eastAsia="de-DE"/>
        </w:rPr>
        <w:t xml:space="preserve">feminin „eine Schale"), </w:t>
      </w:r>
      <w:r w:rsidRPr="006F4EAF">
        <w:rPr>
          <w:rFonts w:eastAsia="Times New Roman" w:cs="Times New Roman"/>
          <w:b/>
          <w:bCs/>
          <w:rtl/>
          <w:lang w:eastAsia="de-DE"/>
        </w:rPr>
        <w:t>עֲשָׂרָה</w:t>
      </w:r>
      <w:r w:rsidRPr="006F4EAF">
        <w:rPr>
          <w:rFonts w:eastAsia="Times New Roman" w:cs="Times New Roman"/>
          <w:rtl/>
          <w:lang w:eastAsia="de-DE"/>
        </w:rPr>
        <w:t xml:space="preserve"> </w:t>
      </w:r>
      <w:r w:rsidRPr="006F4EAF">
        <w:rPr>
          <w:rFonts w:eastAsia="Times New Roman" w:cs="Times New Roman"/>
          <w:lang w:eastAsia="de-DE"/>
        </w:rPr>
        <w:t xml:space="preserve">(Kardinalzahl „zehn"), </w:t>
      </w:r>
      <w:r w:rsidRPr="006F4EAF">
        <w:rPr>
          <w:rFonts w:eastAsia="Times New Roman" w:cs="Times New Roman"/>
          <w:b/>
          <w:bCs/>
          <w:rtl/>
          <w:lang w:eastAsia="de-DE"/>
        </w:rPr>
        <w:t>זָהָב</w:t>
      </w:r>
      <w:r w:rsidRPr="006F4EAF">
        <w:rPr>
          <w:rFonts w:eastAsia="Times New Roman" w:cs="Times New Roman"/>
          <w:rtl/>
          <w:lang w:eastAsia="de-DE"/>
        </w:rPr>
        <w:t xml:space="preserve"> </w:t>
      </w:r>
      <w:r w:rsidRPr="006F4EAF">
        <w:rPr>
          <w:rFonts w:eastAsia="Times New Roman" w:cs="Times New Roman"/>
          <w:lang w:eastAsia="de-DE"/>
        </w:rPr>
        <w:t>(</w:t>
      </w:r>
      <w:r w:rsidRPr="006F4EAF">
        <w:rPr>
          <w:rFonts w:eastAsia="Times New Roman" w:cs="Times New Roman"/>
          <w:b/>
          <w:bCs/>
          <w:rtl/>
          <w:lang w:eastAsia="de-DE"/>
        </w:rPr>
        <w:t>זָהָב</w:t>
      </w:r>
      <w:r w:rsidRPr="006F4EAF">
        <w:rPr>
          <w:rFonts w:eastAsia="Times New Roman" w:cs="Times New Roman"/>
          <w:rtl/>
          <w:lang w:eastAsia="de-DE"/>
        </w:rPr>
        <w:t xml:space="preserve"> </w:t>
      </w:r>
      <w:r w:rsidRPr="006F4EAF">
        <w:rPr>
          <w:rFonts w:eastAsia="Times New Roman" w:cs="Times New Roman"/>
          <w:lang w:eastAsia="de-DE"/>
        </w:rPr>
        <w:t xml:space="preserve">„Gold" „zehn Gold", d.h. zehn Schekel Gold - die Gewichtseinheit ist aus dem Kontext zu ergänzen). </w:t>
      </w:r>
      <w:r w:rsidRPr="006F4EAF">
        <w:rPr>
          <w:rFonts w:eastAsia="Times New Roman" w:cs="Times New Roman"/>
          <w:b/>
          <w:bCs/>
          <w:rtl/>
          <w:lang w:eastAsia="de-DE"/>
        </w:rPr>
        <w:t>מְלֵאָה קְטֹרֶת</w:t>
      </w:r>
      <w:r w:rsidRPr="006F4EAF">
        <w:rPr>
          <w:rFonts w:eastAsia="Times New Roman" w:cs="Times New Roman"/>
          <w:rtl/>
          <w:lang w:eastAsia="de-DE"/>
        </w:rPr>
        <w:t xml:space="preserve"> </w:t>
      </w:r>
      <w:r w:rsidRPr="006F4EAF">
        <w:rPr>
          <w:rFonts w:eastAsia="Times New Roman" w:cs="Times New Roman"/>
          <w:lang w:eastAsia="de-DE"/>
        </w:rPr>
        <w:t xml:space="preserve">gibt den Inhalt an. </w:t>
      </w:r>
      <w:r w:rsidRPr="006F4EAF">
        <w:rPr>
          <w:rFonts w:eastAsia="Times New Roman" w:cs="Times New Roman"/>
          <w:b/>
          <w:bCs/>
          <w:rtl/>
          <w:lang w:eastAsia="de-DE"/>
        </w:rPr>
        <w:t>מְלֵאָה</w:t>
      </w:r>
      <w:r w:rsidRPr="006F4EAF">
        <w:rPr>
          <w:rFonts w:eastAsia="Times New Roman" w:cs="Times New Roman"/>
          <w:rtl/>
          <w:lang w:eastAsia="de-DE"/>
        </w:rPr>
        <w:t xml:space="preserve"> </w:t>
      </w:r>
      <w:r w:rsidRPr="006F4EAF">
        <w:rPr>
          <w:rFonts w:eastAsia="Times New Roman" w:cs="Times New Roman"/>
          <w:lang w:eastAsia="de-DE"/>
        </w:rPr>
        <w:lastRenderedPageBreak/>
        <w:t xml:space="preserve">(Qal-Partizip feminin Singular von </w:t>
      </w:r>
      <w:r w:rsidRPr="006F4EAF">
        <w:rPr>
          <w:rFonts w:eastAsia="Times New Roman" w:cs="Times New Roman"/>
          <w:b/>
          <w:bCs/>
          <w:rtl/>
          <w:lang w:eastAsia="de-DE"/>
        </w:rPr>
        <w:t>מלא</w:t>
      </w:r>
      <w:r w:rsidRPr="006F4EAF">
        <w:rPr>
          <w:rFonts w:eastAsia="Times New Roman" w:cs="Times New Roman"/>
          <w:rtl/>
          <w:lang w:eastAsia="de-DE"/>
        </w:rPr>
        <w:t xml:space="preserve"> </w:t>
      </w:r>
      <w:r w:rsidRPr="006F4EAF">
        <w:rPr>
          <w:rFonts w:eastAsia="Times New Roman" w:cs="Times New Roman"/>
          <w:lang w:eastAsia="de-DE"/>
        </w:rPr>
        <w:t xml:space="preserve">„gefüllt"), </w:t>
      </w:r>
      <w:r w:rsidRPr="006F4EAF">
        <w:rPr>
          <w:rFonts w:eastAsia="Times New Roman" w:cs="Times New Roman"/>
          <w:b/>
          <w:bCs/>
          <w:rtl/>
          <w:lang w:eastAsia="de-DE"/>
        </w:rPr>
        <w:t>קְטֹרֶת</w:t>
      </w:r>
      <w:r w:rsidRPr="006F4EAF">
        <w:rPr>
          <w:rFonts w:eastAsia="Times New Roman" w:cs="Times New Roman"/>
          <w:rtl/>
          <w:lang w:eastAsia="de-DE"/>
        </w:rPr>
        <w:t xml:space="preserve"> </w:t>
      </w:r>
      <w:r w:rsidRPr="006F4EAF">
        <w:rPr>
          <w:rFonts w:eastAsia="Times New Roman" w:cs="Times New Roman"/>
          <w:lang w:eastAsia="de-DE"/>
        </w:rPr>
        <w:t xml:space="preserve">(Akkusativ </w:t>
      </w:r>
      <w:r w:rsidRPr="006F4EAF">
        <w:rPr>
          <w:rFonts w:eastAsia="Times New Roman" w:cs="Times New Roman"/>
          <w:b/>
          <w:bCs/>
          <w:rtl/>
          <w:lang w:eastAsia="de-DE"/>
        </w:rPr>
        <w:t>קְטֹרֶת</w:t>
      </w:r>
      <w:r w:rsidRPr="006F4EAF">
        <w:rPr>
          <w:rFonts w:eastAsia="Times New Roman" w:cs="Times New Roman"/>
          <w:rtl/>
          <w:lang w:eastAsia="de-DE"/>
        </w:rPr>
        <w:t xml:space="preserve"> </w:t>
      </w:r>
      <w:r w:rsidRPr="006F4EAF">
        <w:rPr>
          <w:rFonts w:eastAsia="Times New Roman" w:cs="Times New Roman"/>
          <w:lang w:eastAsia="de-DE"/>
        </w:rPr>
        <w:t xml:space="preserve">„Räucherwerk, Weihrauch" - von </w:t>
      </w:r>
      <w:r w:rsidRPr="006F4EAF">
        <w:rPr>
          <w:rFonts w:eastAsia="Times New Roman" w:cs="Times New Roman"/>
          <w:b/>
          <w:bCs/>
          <w:rtl/>
          <w:lang w:eastAsia="de-DE"/>
        </w:rPr>
        <w:t>קטר</w:t>
      </w:r>
      <w:r w:rsidRPr="006F4EAF">
        <w:rPr>
          <w:rFonts w:eastAsia="Times New Roman" w:cs="Times New Roman"/>
          <w:rtl/>
          <w:lang w:eastAsia="de-DE"/>
        </w:rPr>
        <w:t xml:space="preserve"> </w:t>
      </w:r>
      <w:r w:rsidRPr="006F4EAF">
        <w:rPr>
          <w:rFonts w:eastAsia="Times New Roman" w:cs="Times New Roman"/>
          <w:lang w:eastAsia="de-DE"/>
        </w:rPr>
        <w:t>„räuchern, in Rauch aufgehen lassen").</w:t>
      </w:r>
    </w:p>
    <w:p w14:paraId="213102CB"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eine nominale Aufzählung: Objekt mit Material und Gewicht, gefolgt von partizipialer Inhaltsangabe.</w:t>
      </w:r>
    </w:p>
    <w:p w14:paraId="7044F1B9"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fügt eine goldene Schale hinzu (zehn Schekel Gold = ca. 115 g) - kleiner als die Silbergefäße, aber wertvoller durch das Material. Sie enthält </w:t>
      </w:r>
      <w:r w:rsidRPr="006F4EAF">
        <w:rPr>
          <w:rFonts w:eastAsia="Times New Roman" w:cs="Times New Roman"/>
          <w:b/>
          <w:bCs/>
          <w:rtl/>
          <w:lang w:eastAsia="de-DE"/>
        </w:rPr>
        <w:t>קְטֹרֶת</w:t>
      </w:r>
      <w:r w:rsidRPr="006F4EAF">
        <w:rPr>
          <w:rFonts w:eastAsia="Times New Roman" w:cs="Times New Roman"/>
          <w:rtl/>
          <w:lang w:eastAsia="de-DE"/>
        </w:rPr>
        <w:t xml:space="preserve"> </w:t>
      </w:r>
      <w:r w:rsidRPr="006F4EAF">
        <w:rPr>
          <w:rFonts w:eastAsia="Times New Roman" w:cs="Times New Roman"/>
          <w:lang w:eastAsia="de-DE"/>
        </w:rPr>
        <w:t>- das heilige Räucherwerk, dessen Rezept in Ex 30,34-38 gegeben ist. Räucherwerk war besonders kostbar und diente dem Wohlgeruch vor Gott. Die Kombination von Speisopfer (V. 13) und Räucherwerk zeigt die Vollständigkeit der Gabe.</w:t>
      </w:r>
    </w:p>
    <w:p w14:paraId="1FFA2717"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7,15</w:t>
      </w:r>
    </w:p>
    <w:p w14:paraId="5ABA71F3"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פַּ֣ר אֶחָ֞ד בֶּן־בָּקָ֗ר אַ֧יִל אֶחָ֛ד כֶּֽבֶשׂ־אֶחָ֥ד בֶּן־שְׁנָת֖וֹ לְעֹלָֽה׃</w:t>
      </w:r>
    </w:p>
    <w:p w14:paraId="3DB253E4" w14:textId="0A559FAE"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Ein Stier, ein Jungrind, ein Widder, ein einjähriges Lamm zum </w:t>
      </w:r>
      <w:r w:rsidR="00F133EC">
        <w:rPr>
          <w:rFonts w:eastAsia="Times New Roman" w:cs="Times New Roman"/>
          <w:lang w:eastAsia="de-DE"/>
        </w:rPr>
        <w:t>Aufsteigeopfer</w:t>
      </w:r>
      <w:r w:rsidRPr="006F4EAF">
        <w:rPr>
          <w:rFonts w:eastAsia="Times New Roman" w:cs="Times New Roman"/>
          <w:lang w:eastAsia="de-DE"/>
        </w:rPr>
        <w:t>.</w:t>
      </w:r>
    </w:p>
    <w:p w14:paraId="7D4918C8"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70BBE0AB">
          <v:rect id="_x0000_i1286" style="width:0;height:1.5pt" o:hralign="center" o:hrstd="t" o:hr="t" fillcolor="#a0a0a0" stroked="f"/>
        </w:pict>
      </w:r>
    </w:p>
    <w:p w14:paraId="7848B161" w14:textId="5E0F4FDA"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listet die </w:t>
      </w:r>
      <w:r w:rsidR="00F133EC">
        <w:rPr>
          <w:rFonts w:eastAsia="Times New Roman" w:cs="Times New Roman"/>
          <w:lang w:eastAsia="de-DE"/>
        </w:rPr>
        <w:t>Aufsteigeopfer</w:t>
      </w:r>
      <w:r w:rsidRPr="006F4EAF">
        <w:rPr>
          <w:rFonts w:eastAsia="Times New Roman" w:cs="Times New Roman"/>
          <w:lang w:eastAsia="de-DE"/>
        </w:rPr>
        <w:t xml:space="preserve">tiere auf. </w:t>
      </w:r>
      <w:r w:rsidRPr="006F4EAF">
        <w:rPr>
          <w:rFonts w:eastAsia="Times New Roman" w:cs="Times New Roman"/>
          <w:b/>
          <w:bCs/>
          <w:rtl/>
          <w:lang w:eastAsia="de-DE"/>
        </w:rPr>
        <w:t>פַּר אֶחָד בֶּן־בָּקָר</w:t>
      </w:r>
      <w:r w:rsidRPr="006F4EAF">
        <w:rPr>
          <w:rFonts w:eastAsia="Times New Roman" w:cs="Times New Roman"/>
          <w:rtl/>
          <w:lang w:eastAsia="de-DE"/>
        </w:rPr>
        <w:t xml:space="preserve"> </w:t>
      </w:r>
      <w:r w:rsidRPr="006F4EAF">
        <w:rPr>
          <w:rFonts w:eastAsia="Times New Roman" w:cs="Times New Roman"/>
          <w:lang w:eastAsia="de-DE"/>
        </w:rPr>
        <w:t xml:space="preserve">ist das erste Tier. </w:t>
      </w:r>
      <w:r w:rsidRPr="006F4EAF">
        <w:rPr>
          <w:rFonts w:eastAsia="Times New Roman" w:cs="Times New Roman"/>
          <w:b/>
          <w:bCs/>
          <w:rtl/>
          <w:lang w:eastAsia="de-DE"/>
        </w:rPr>
        <w:t>פַּר אֶחָד</w:t>
      </w:r>
      <w:r w:rsidRPr="006F4EAF">
        <w:rPr>
          <w:rFonts w:eastAsia="Times New Roman" w:cs="Times New Roman"/>
          <w:rtl/>
          <w:lang w:eastAsia="de-DE"/>
        </w:rPr>
        <w:t xml:space="preserve"> </w:t>
      </w:r>
      <w:r w:rsidRPr="006F4EAF">
        <w:rPr>
          <w:rFonts w:eastAsia="Times New Roman" w:cs="Times New Roman"/>
          <w:lang w:eastAsia="de-DE"/>
        </w:rPr>
        <w:t>(</w:t>
      </w:r>
      <w:r w:rsidRPr="006F4EAF">
        <w:rPr>
          <w:rFonts w:eastAsia="Times New Roman" w:cs="Times New Roman"/>
          <w:b/>
          <w:bCs/>
          <w:rtl/>
          <w:lang w:eastAsia="de-DE"/>
        </w:rPr>
        <w:t>פַּר</w:t>
      </w:r>
      <w:r w:rsidRPr="006F4EAF">
        <w:rPr>
          <w:rFonts w:eastAsia="Times New Roman" w:cs="Times New Roman"/>
          <w:rtl/>
          <w:lang w:eastAsia="de-DE"/>
        </w:rPr>
        <w:t xml:space="preserve"> </w:t>
      </w:r>
      <w:r w:rsidRPr="006F4EAF">
        <w:rPr>
          <w:rFonts w:eastAsia="Times New Roman" w:cs="Times New Roman"/>
          <w:lang w:eastAsia="de-DE"/>
        </w:rPr>
        <w:t xml:space="preserve">„Stier, junger Stier" mit </w:t>
      </w:r>
      <w:r w:rsidRPr="006F4EAF">
        <w:rPr>
          <w:rFonts w:eastAsia="Times New Roman" w:cs="Times New Roman"/>
          <w:b/>
          <w:bCs/>
          <w:rtl/>
          <w:lang w:eastAsia="de-DE"/>
        </w:rPr>
        <w:t>אֶחָד</w:t>
      </w:r>
      <w:r w:rsidRPr="006F4EAF">
        <w:rPr>
          <w:rFonts w:eastAsia="Times New Roman" w:cs="Times New Roman"/>
          <w:rtl/>
          <w:lang w:eastAsia="de-DE"/>
        </w:rPr>
        <w:t xml:space="preserve"> </w:t>
      </w:r>
      <w:r w:rsidRPr="006F4EAF">
        <w:rPr>
          <w:rFonts w:eastAsia="Times New Roman" w:cs="Times New Roman"/>
          <w:lang w:eastAsia="de-DE"/>
        </w:rPr>
        <w:t xml:space="preserve">„ein Stier"), </w:t>
      </w:r>
      <w:r w:rsidRPr="006F4EAF">
        <w:rPr>
          <w:rFonts w:eastAsia="Times New Roman" w:cs="Times New Roman"/>
          <w:b/>
          <w:bCs/>
          <w:rtl/>
          <w:lang w:eastAsia="de-DE"/>
        </w:rPr>
        <w:t>בֶּן־בָּקָר</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verbindung: </w:t>
      </w:r>
      <w:r w:rsidRPr="006F4EAF">
        <w:rPr>
          <w:rFonts w:eastAsia="Times New Roman" w:cs="Times New Roman"/>
          <w:b/>
          <w:bCs/>
          <w:rtl/>
          <w:lang w:eastAsia="de-DE"/>
        </w:rPr>
        <w:t>בֵּן</w:t>
      </w:r>
      <w:r w:rsidRPr="006F4EAF">
        <w:rPr>
          <w:rFonts w:eastAsia="Times New Roman" w:cs="Times New Roman"/>
          <w:rtl/>
          <w:lang w:eastAsia="de-DE"/>
        </w:rPr>
        <w:t xml:space="preserve"> </w:t>
      </w:r>
      <w:r w:rsidRPr="006F4EAF">
        <w:rPr>
          <w:rFonts w:eastAsia="Times New Roman" w:cs="Times New Roman"/>
          <w:lang w:eastAsia="de-DE"/>
        </w:rPr>
        <w:t xml:space="preserve">„Sohn" mit </w:t>
      </w:r>
      <w:r w:rsidRPr="006F4EAF">
        <w:rPr>
          <w:rFonts w:eastAsia="Times New Roman" w:cs="Times New Roman"/>
          <w:b/>
          <w:bCs/>
          <w:rtl/>
          <w:lang w:eastAsia="de-DE"/>
        </w:rPr>
        <w:t>בָּקָר</w:t>
      </w:r>
      <w:r w:rsidRPr="006F4EAF">
        <w:rPr>
          <w:rFonts w:eastAsia="Times New Roman" w:cs="Times New Roman"/>
          <w:rtl/>
          <w:lang w:eastAsia="de-DE"/>
        </w:rPr>
        <w:t xml:space="preserve"> </w:t>
      </w:r>
      <w:r w:rsidRPr="006F4EAF">
        <w:rPr>
          <w:rFonts w:eastAsia="Times New Roman" w:cs="Times New Roman"/>
          <w:lang w:eastAsia="de-DE"/>
        </w:rPr>
        <w:t xml:space="preserve">„Rind" „ein Sohn des Rindes", d.h. ein Jungrind - eine appositionelle Erklärung). </w:t>
      </w:r>
      <w:r w:rsidRPr="006F4EAF">
        <w:rPr>
          <w:rFonts w:eastAsia="Times New Roman" w:cs="Times New Roman"/>
          <w:b/>
          <w:bCs/>
          <w:rtl/>
          <w:lang w:eastAsia="de-DE"/>
        </w:rPr>
        <w:t>אַיִל אֶחָד</w:t>
      </w:r>
      <w:r w:rsidRPr="006F4EAF">
        <w:rPr>
          <w:rFonts w:eastAsia="Times New Roman" w:cs="Times New Roman"/>
          <w:rtl/>
          <w:lang w:eastAsia="de-DE"/>
        </w:rPr>
        <w:t xml:space="preserve"> </w:t>
      </w:r>
      <w:r w:rsidRPr="006F4EAF">
        <w:rPr>
          <w:rFonts w:eastAsia="Times New Roman" w:cs="Times New Roman"/>
          <w:lang w:eastAsia="de-DE"/>
        </w:rPr>
        <w:t xml:space="preserve">ist das zweite Tier. </w:t>
      </w:r>
      <w:r w:rsidRPr="006F4EAF">
        <w:rPr>
          <w:rFonts w:eastAsia="Times New Roman" w:cs="Times New Roman"/>
          <w:b/>
          <w:bCs/>
          <w:rtl/>
          <w:lang w:eastAsia="de-DE"/>
        </w:rPr>
        <w:t>אַיִל אֶחָד</w:t>
      </w:r>
      <w:r w:rsidRPr="006F4EAF">
        <w:rPr>
          <w:rFonts w:eastAsia="Times New Roman" w:cs="Times New Roman"/>
          <w:rtl/>
          <w:lang w:eastAsia="de-DE"/>
        </w:rPr>
        <w:t xml:space="preserve"> </w:t>
      </w:r>
      <w:r w:rsidRPr="006F4EAF">
        <w:rPr>
          <w:rFonts w:eastAsia="Times New Roman" w:cs="Times New Roman"/>
          <w:lang w:eastAsia="de-DE"/>
        </w:rPr>
        <w:t>(</w:t>
      </w:r>
      <w:r w:rsidRPr="006F4EAF">
        <w:rPr>
          <w:rFonts w:eastAsia="Times New Roman" w:cs="Times New Roman"/>
          <w:b/>
          <w:bCs/>
          <w:rtl/>
          <w:lang w:eastAsia="de-DE"/>
        </w:rPr>
        <w:t>אַיִל</w:t>
      </w:r>
      <w:r w:rsidRPr="006F4EAF">
        <w:rPr>
          <w:rFonts w:eastAsia="Times New Roman" w:cs="Times New Roman"/>
          <w:rtl/>
          <w:lang w:eastAsia="de-DE"/>
        </w:rPr>
        <w:t xml:space="preserve"> </w:t>
      </w:r>
      <w:r w:rsidRPr="006F4EAF">
        <w:rPr>
          <w:rFonts w:eastAsia="Times New Roman" w:cs="Times New Roman"/>
          <w:lang w:eastAsia="de-DE"/>
        </w:rPr>
        <w:t xml:space="preserve">„Widder" mit </w:t>
      </w:r>
      <w:r w:rsidRPr="006F4EAF">
        <w:rPr>
          <w:rFonts w:eastAsia="Times New Roman" w:cs="Times New Roman"/>
          <w:b/>
          <w:bCs/>
          <w:rtl/>
          <w:lang w:eastAsia="de-DE"/>
        </w:rPr>
        <w:t>אֶחָד</w:t>
      </w:r>
      <w:r w:rsidRPr="006F4EAF">
        <w:rPr>
          <w:rFonts w:eastAsia="Times New Roman" w:cs="Times New Roman"/>
          <w:rtl/>
          <w:lang w:eastAsia="de-DE"/>
        </w:rPr>
        <w:t xml:space="preserve"> </w:t>
      </w:r>
      <w:r w:rsidRPr="006F4EAF">
        <w:rPr>
          <w:rFonts w:eastAsia="Times New Roman" w:cs="Times New Roman"/>
          <w:lang w:eastAsia="de-DE"/>
        </w:rPr>
        <w:t xml:space="preserve">„ein Widder"). </w:t>
      </w:r>
      <w:r w:rsidRPr="006F4EAF">
        <w:rPr>
          <w:rFonts w:eastAsia="Times New Roman" w:cs="Times New Roman"/>
          <w:b/>
          <w:bCs/>
          <w:rtl/>
          <w:lang w:eastAsia="de-DE"/>
        </w:rPr>
        <w:t>כֶּבֶשׂ־אֶחָד בֶּן־שְׁנָתוֹ</w:t>
      </w:r>
      <w:r w:rsidRPr="006F4EAF">
        <w:rPr>
          <w:rFonts w:eastAsia="Times New Roman" w:cs="Times New Roman"/>
          <w:rtl/>
          <w:lang w:eastAsia="de-DE"/>
        </w:rPr>
        <w:t xml:space="preserve"> </w:t>
      </w:r>
      <w:r w:rsidRPr="006F4EAF">
        <w:rPr>
          <w:rFonts w:eastAsia="Times New Roman" w:cs="Times New Roman"/>
          <w:lang w:eastAsia="de-DE"/>
        </w:rPr>
        <w:t xml:space="preserve">ist das dritte Tier. </w:t>
      </w:r>
      <w:r w:rsidRPr="006F4EAF">
        <w:rPr>
          <w:rFonts w:eastAsia="Times New Roman" w:cs="Times New Roman"/>
          <w:b/>
          <w:bCs/>
          <w:rtl/>
          <w:lang w:eastAsia="de-DE"/>
        </w:rPr>
        <w:t>כֶּבֶשׂ־אֶחָד</w:t>
      </w:r>
      <w:r w:rsidRPr="006F4EAF">
        <w:rPr>
          <w:rFonts w:eastAsia="Times New Roman" w:cs="Times New Roman"/>
          <w:rtl/>
          <w:lang w:eastAsia="de-DE"/>
        </w:rPr>
        <w:t xml:space="preserve"> </w:t>
      </w:r>
      <w:r w:rsidRPr="006F4EAF">
        <w:rPr>
          <w:rFonts w:eastAsia="Times New Roman" w:cs="Times New Roman"/>
          <w:lang w:eastAsia="de-DE"/>
        </w:rPr>
        <w:t>(</w:t>
      </w:r>
      <w:r w:rsidRPr="006F4EAF">
        <w:rPr>
          <w:rFonts w:eastAsia="Times New Roman" w:cs="Times New Roman"/>
          <w:b/>
          <w:bCs/>
          <w:rtl/>
          <w:lang w:eastAsia="de-DE"/>
        </w:rPr>
        <w:t>כֶּבֶשׂ</w:t>
      </w:r>
      <w:r w:rsidRPr="006F4EAF">
        <w:rPr>
          <w:rFonts w:eastAsia="Times New Roman" w:cs="Times New Roman"/>
          <w:rtl/>
          <w:lang w:eastAsia="de-DE"/>
        </w:rPr>
        <w:t xml:space="preserve"> </w:t>
      </w:r>
      <w:r w:rsidRPr="006F4EAF">
        <w:rPr>
          <w:rFonts w:eastAsia="Times New Roman" w:cs="Times New Roman"/>
          <w:lang w:eastAsia="de-DE"/>
        </w:rPr>
        <w:t xml:space="preserve">„Lamm" mit </w:t>
      </w:r>
      <w:r w:rsidRPr="006F4EAF">
        <w:rPr>
          <w:rFonts w:eastAsia="Times New Roman" w:cs="Times New Roman"/>
          <w:b/>
          <w:bCs/>
          <w:rtl/>
          <w:lang w:eastAsia="de-DE"/>
        </w:rPr>
        <w:t>אֶחָד</w:t>
      </w:r>
      <w:r w:rsidRPr="006F4EAF">
        <w:rPr>
          <w:rFonts w:eastAsia="Times New Roman" w:cs="Times New Roman"/>
          <w:rtl/>
          <w:lang w:eastAsia="de-DE"/>
        </w:rPr>
        <w:t xml:space="preserve"> </w:t>
      </w:r>
      <w:r w:rsidRPr="006F4EAF">
        <w:rPr>
          <w:rFonts w:eastAsia="Times New Roman" w:cs="Times New Roman"/>
          <w:lang w:eastAsia="de-DE"/>
        </w:rPr>
        <w:t xml:space="preserve">„ein Lamm"), </w:t>
      </w:r>
      <w:r w:rsidRPr="006F4EAF">
        <w:rPr>
          <w:rFonts w:eastAsia="Times New Roman" w:cs="Times New Roman"/>
          <w:b/>
          <w:bCs/>
          <w:rtl/>
          <w:lang w:eastAsia="de-DE"/>
        </w:rPr>
        <w:t>בֶּן־שְׁנָתוֹ</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verbindung: </w:t>
      </w:r>
      <w:r w:rsidRPr="006F4EAF">
        <w:rPr>
          <w:rFonts w:eastAsia="Times New Roman" w:cs="Times New Roman"/>
          <w:b/>
          <w:bCs/>
          <w:rtl/>
          <w:lang w:eastAsia="de-DE"/>
        </w:rPr>
        <w:t>בֵּן</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שָׁנָה</w:t>
      </w:r>
      <w:r w:rsidRPr="006F4EAF">
        <w:rPr>
          <w:rFonts w:eastAsia="Times New Roman" w:cs="Times New Roman"/>
          <w:rtl/>
          <w:lang w:eastAsia="de-DE"/>
        </w:rPr>
        <w:t xml:space="preserve"> </w:t>
      </w:r>
      <w:r w:rsidRPr="006F4EAF">
        <w:rPr>
          <w:rFonts w:eastAsia="Times New Roman" w:cs="Times New Roman"/>
          <w:lang w:eastAsia="de-DE"/>
        </w:rPr>
        <w:t xml:space="preserve">„Jahr" und Suffix 3. Person maskulin Singular „Sohn seines Jahres", d.h. einjährig). </w:t>
      </w:r>
      <w:r w:rsidRPr="006F4EAF">
        <w:rPr>
          <w:rFonts w:eastAsia="Times New Roman" w:cs="Times New Roman"/>
          <w:b/>
          <w:bCs/>
          <w:rtl/>
          <w:lang w:eastAsia="de-DE"/>
        </w:rPr>
        <w:t>לְעֹלָה</w:t>
      </w:r>
      <w:r w:rsidRPr="006F4EAF">
        <w:rPr>
          <w:rFonts w:eastAsia="Times New Roman" w:cs="Times New Roman"/>
          <w:rtl/>
          <w:lang w:eastAsia="de-DE"/>
        </w:rPr>
        <w:t xml:space="preserve"> </w:t>
      </w:r>
      <w:r w:rsidRPr="006F4EAF">
        <w:rPr>
          <w:rFonts w:eastAsia="Times New Roman" w:cs="Times New Roman"/>
          <w:lang w:eastAsia="de-DE"/>
        </w:rPr>
        <w:t xml:space="preserve">gibt den Zweck an. </w:t>
      </w:r>
      <w:r w:rsidRPr="006F4EAF">
        <w:rPr>
          <w:rFonts w:eastAsia="Times New Roman" w:cs="Times New Roman"/>
          <w:b/>
          <w:bCs/>
          <w:rtl/>
          <w:lang w:eastAsia="de-DE"/>
        </w:rPr>
        <w:t>לְעֹלָה</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עֹלָה</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Aufsteigeopfer</w:t>
      </w:r>
      <w:r w:rsidRPr="006F4EAF">
        <w:rPr>
          <w:rFonts w:eastAsia="Times New Roman" w:cs="Times New Roman"/>
          <w:lang w:eastAsia="de-DE"/>
        </w:rPr>
        <w:t xml:space="preserve">" - von </w:t>
      </w:r>
      <w:r w:rsidRPr="006F4EAF">
        <w:rPr>
          <w:rFonts w:eastAsia="Times New Roman" w:cs="Times New Roman"/>
          <w:b/>
          <w:bCs/>
          <w:rtl/>
          <w:lang w:eastAsia="de-DE"/>
        </w:rPr>
        <w:t>עלה</w:t>
      </w:r>
      <w:r w:rsidRPr="006F4EAF">
        <w:rPr>
          <w:rFonts w:eastAsia="Times New Roman" w:cs="Times New Roman"/>
          <w:rtl/>
          <w:lang w:eastAsia="de-DE"/>
        </w:rPr>
        <w:t xml:space="preserve"> </w:t>
      </w:r>
      <w:r w:rsidRPr="006F4EAF">
        <w:rPr>
          <w:rFonts w:eastAsia="Times New Roman" w:cs="Times New Roman"/>
          <w:lang w:eastAsia="de-DE"/>
        </w:rPr>
        <w:t xml:space="preserve">„hinaufsteigen" - „zum </w:t>
      </w:r>
      <w:r w:rsidR="00F133EC">
        <w:rPr>
          <w:rFonts w:eastAsia="Times New Roman" w:cs="Times New Roman"/>
          <w:lang w:eastAsia="de-DE"/>
        </w:rPr>
        <w:t>Aufsteigeopfer</w:t>
      </w:r>
      <w:r w:rsidRPr="006F4EAF">
        <w:rPr>
          <w:rFonts w:eastAsia="Times New Roman" w:cs="Times New Roman"/>
          <w:lang w:eastAsia="de-DE"/>
        </w:rPr>
        <w:t>").</w:t>
      </w:r>
    </w:p>
    <w:p w14:paraId="17C9D8D7"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eine dreigliedrige nominale Aufzählung mit finaler Zweckangabe.</w:t>
      </w:r>
    </w:p>
    <w:p w14:paraId="35907AA9" w14:textId="13C8403A"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nennt drei Tiere für das </w:t>
      </w:r>
      <w:r w:rsidRPr="006F4EAF">
        <w:rPr>
          <w:rFonts w:eastAsia="Times New Roman" w:cs="Times New Roman"/>
          <w:b/>
          <w:bCs/>
          <w:rtl/>
          <w:lang w:eastAsia="de-DE"/>
        </w:rPr>
        <w:t>עֹלָה</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Aufsteigeopfer</w:t>
      </w:r>
      <w:r w:rsidRPr="006F4EAF">
        <w:rPr>
          <w:rFonts w:eastAsia="Times New Roman" w:cs="Times New Roman"/>
          <w:lang w:eastAsia="de-DE"/>
        </w:rPr>
        <w:t xml:space="preserve">): ein Jungrind, ein Widder, ein einjähriges Lamm - eine aufsteigende Reihe von groß zu klein. Das </w:t>
      </w:r>
      <w:r w:rsidR="00F133EC">
        <w:rPr>
          <w:rFonts w:eastAsia="Times New Roman" w:cs="Times New Roman"/>
          <w:lang w:eastAsia="de-DE"/>
        </w:rPr>
        <w:t>Aufsteigeopfer</w:t>
      </w:r>
      <w:r w:rsidRPr="006F4EAF">
        <w:rPr>
          <w:rFonts w:eastAsia="Times New Roman" w:cs="Times New Roman"/>
          <w:lang w:eastAsia="de-DE"/>
        </w:rPr>
        <w:t xml:space="preserve"> wird vollständig auf dem Altar verbrannt (daher </w:t>
      </w:r>
      <w:r w:rsidRPr="006F4EAF">
        <w:rPr>
          <w:rFonts w:eastAsia="Times New Roman" w:cs="Times New Roman"/>
          <w:b/>
          <w:bCs/>
          <w:rtl/>
          <w:lang w:eastAsia="de-DE"/>
        </w:rPr>
        <w:t>עֹלָה</w:t>
      </w:r>
      <w:r w:rsidRPr="006F4EAF">
        <w:rPr>
          <w:rFonts w:eastAsia="Times New Roman" w:cs="Times New Roman"/>
          <w:rtl/>
          <w:lang w:eastAsia="de-DE"/>
        </w:rPr>
        <w:t xml:space="preserve"> </w:t>
      </w:r>
      <w:r w:rsidRPr="006F4EAF">
        <w:rPr>
          <w:rFonts w:eastAsia="Times New Roman" w:cs="Times New Roman"/>
          <w:lang w:eastAsia="de-DE"/>
        </w:rPr>
        <w:t>„das Hinaufsteigende" - der Rauch steigt zu Gott auf). Die Dreizahl und Varietät zeigt die Großzügigkeit der Opfergabe.</w:t>
      </w:r>
    </w:p>
    <w:p w14:paraId="02BE74F9"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7,16</w:t>
      </w:r>
    </w:p>
    <w:p w14:paraId="5F9A242F"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שְׂעִיר־עִזִּ֥ים אֶחָ֖ד לְחַטָּֽאת׃</w:t>
      </w:r>
    </w:p>
    <w:p w14:paraId="376B13F7"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Ein Ziegenbock zum Sündopfer.</w:t>
      </w:r>
    </w:p>
    <w:p w14:paraId="21E9C300"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72A6F202">
          <v:rect id="_x0000_i1287" style="width:0;height:1.5pt" o:hralign="center" o:hrstd="t" o:hr="t" fillcolor="#a0a0a0" stroked="f"/>
        </w:pict>
      </w:r>
    </w:p>
    <w:p w14:paraId="1FEA896E" w14:textId="5468860B"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fügt das Sündopfer hinzu. </w:t>
      </w:r>
      <w:r w:rsidRPr="006F4EAF">
        <w:rPr>
          <w:rFonts w:eastAsia="Times New Roman" w:cs="Times New Roman"/>
          <w:b/>
          <w:bCs/>
          <w:rtl/>
          <w:lang w:eastAsia="de-DE"/>
        </w:rPr>
        <w:t>שְׂעִיר־עִזִּים אֶחָד</w:t>
      </w:r>
      <w:r w:rsidRPr="006F4EAF">
        <w:rPr>
          <w:rFonts w:eastAsia="Times New Roman" w:cs="Times New Roman"/>
          <w:rtl/>
          <w:lang w:eastAsia="de-DE"/>
        </w:rPr>
        <w:t xml:space="preserve"> </w:t>
      </w:r>
      <w:r w:rsidRPr="006F4EAF">
        <w:rPr>
          <w:rFonts w:eastAsia="Times New Roman" w:cs="Times New Roman"/>
          <w:lang w:eastAsia="de-DE"/>
        </w:rPr>
        <w:t xml:space="preserve">beschreibt das Tier. </w:t>
      </w:r>
      <w:r w:rsidRPr="006F4EAF">
        <w:rPr>
          <w:rFonts w:eastAsia="Times New Roman" w:cs="Times New Roman"/>
          <w:b/>
          <w:bCs/>
          <w:rtl/>
          <w:lang w:eastAsia="de-DE"/>
        </w:rPr>
        <w:t>שְׂעִיר־עִזִּים</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verbindung: </w:t>
      </w:r>
      <w:r w:rsidRPr="006F4EAF">
        <w:rPr>
          <w:rFonts w:eastAsia="Times New Roman" w:cs="Times New Roman"/>
          <w:b/>
          <w:bCs/>
          <w:rtl/>
          <w:lang w:eastAsia="de-DE"/>
        </w:rPr>
        <w:t>שָׂעִיר</w:t>
      </w:r>
      <w:r w:rsidRPr="006F4EAF">
        <w:rPr>
          <w:rFonts w:eastAsia="Times New Roman" w:cs="Times New Roman"/>
          <w:rtl/>
          <w:lang w:eastAsia="de-DE"/>
        </w:rPr>
        <w:t xml:space="preserve"> </w:t>
      </w:r>
      <w:r w:rsidRPr="006F4EAF">
        <w:rPr>
          <w:rFonts w:eastAsia="Times New Roman" w:cs="Times New Roman"/>
          <w:lang w:eastAsia="de-DE"/>
        </w:rPr>
        <w:t xml:space="preserve">„Bock, männliche Ziege" mit Plural </w:t>
      </w:r>
      <w:r w:rsidRPr="006F4EAF">
        <w:rPr>
          <w:rFonts w:eastAsia="Times New Roman" w:cs="Times New Roman"/>
          <w:b/>
          <w:bCs/>
          <w:rtl/>
          <w:lang w:eastAsia="de-DE"/>
        </w:rPr>
        <w:t>עֵז</w:t>
      </w:r>
      <w:r w:rsidRPr="006F4EAF">
        <w:rPr>
          <w:rFonts w:eastAsia="Times New Roman" w:cs="Times New Roman"/>
          <w:rtl/>
          <w:lang w:eastAsia="de-DE"/>
        </w:rPr>
        <w:t xml:space="preserve"> </w:t>
      </w:r>
      <w:r w:rsidRPr="006F4EAF">
        <w:rPr>
          <w:rFonts w:eastAsia="Times New Roman" w:cs="Times New Roman"/>
          <w:lang w:eastAsia="de-DE"/>
        </w:rPr>
        <w:t xml:space="preserve">„Ziege" „ein Ziegenbock"), </w:t>
      </w:r>
      <w:r w:rsidRPr="006F4EAF">
        <w:rPr>
          <w:rFonts w:eastAsia="Times New Roman" w:cs="Times New Roman"/>
          <w:b/>
          <w:bCs/>
          <w:rtl/>
          <w:lang w:eastAsia="de-DE"/>
        </w:rPr>
        <w:t>אֶחָד</w:t>
      </w:r>
      <w:r w:rsidRPr="006F4EAF">
        <w:rPr>
          <w:rFonts w:eastAsia="Times New Roman" w:cs="Times New Roman"/>
          <w:rtl/>
          <w:lang w:eastAsia="de-DE"/>
        </w:rPr>
        <w:t xml:space="preserve"> </w:t>
      </w:r>
      <w:r w:rsidRPr="006F4EAF">
        <w:rPr>
          <w:rFonts w:eastAsia="Times New Roman" w:cs="Times New Roman"/>
          <w:lang w:eastAsia="de-DE"/>
        </w:rPr>
        <w:t xml:space="preserve">(„einer"). </w:t>
      </w:r>
      <w:r w:rsidRPr="006F4EAF">
        <w:rPr>
          <w:rFonts w:eastAsia="Times New Roman" w:cs="Times New Roman"/>
          <w:b/>
          <w:bCs/>
          <w:rtl/>
          <w:lang w:eastAsia="de-DE"/>
        </w:rPr>
        <w:t>לְחַטָּאת</w:t>
      </w:r>
      <w:r w:rsidRPr="006F4EAF">
        <w:rPr>
          <w:rFonts w:eastAsia="Times New Roman" w:cs="Times New Roman"/>
          <w:rtl/>
          <w:lang w:eastAsia="de-DE"/>
        </w:rPr>
        <w:t xml:space="preserve"> </w:t>
      </w:r>
      <w:r w:rsidRPr="006F4EAF">
        <w:rPr>
          <w:rFonts w:eastAsia="Times New Roman" w:cs="Times New Roman"/>
          <w:lang w:eastAsia="de-DE"/>
        </w:rPr>
        <w:t xml:space="preserve">gibt den Zweck an. </w:t>
      </w:r>
      <w:r w:rsidRPr="006F4EAF">
        <w:rPr>
          <w:rFonts w:eastAsia="Times New Roman" w:cs="Times New Roman"/>
          <w:b/>
          <w:bCs/>
          <w:rtl/>
          <w:lang w:eastAsia="de-DE"/>
        </w:rPr>
        <w:t>לְחַטָּאת</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חַטָּאת</w:t>
      </w:r>
      <w:r w:rsidRPr="006F4EAF">
        <w:rPr>
          <w:rFonts w:eastAsia="Times New Roman" w:cs="Times New Roman"/>
          <w:rtl/>
          <w:lang w:eastAsia="de-DE"/>
        </w:rPr>
        <w:t xml:space="preserve"> </w:t>
      </w:r>
      <w:r w:rsidRPr="006F4EAF">
        <w:rPr>
          <w:rFonts w:eastAsia="Times New Roman" w:cs="Times New Roman"/>
          <w:lang w:eastAsia="de-DE"/>
        </w:rPr>
        <w:t xml:space="preserve">„Sündopfer" - von </w:t>
      </w:r>
      <w:r w:rsidRPr="006F4EAF">
        <w:rPr>
          <w:rFonts w:eastAsia="Times New Roman" w:cs="Times New Roman"/>
          <w:b/>
          <w:bCs/>
          <w:rtl/>
          <w:lang w:eastAsia="de-DE"/>
        </w:rPr>
        <w:t>חטא</w:t>
      </w:r>
      <w:r w:rsidRPr="006F4EAF">
        <w:rPr>
          <w:rFonts w:eastAsia="Times New Roman" w:cs="Times New Roman"/>
          <w:rtl/>
          <w:lang w:eastAsia="de-DE"/>
        </w:rPr>
        <w:t xml:space="preserve"> </w:t>
      </w:r>
      <w:r w:rsidRPr="006F4EAF">
        <w:rPr>
          <w:rFonts w:eastAsia="Times New Roman" w:cs="Times New Roman"/>
          <w:lang w:eastAsia="de-DE"/>
        </w:rPr>
        <w:t>„sündigen, verfehlen" - „zum Sündopfer").</w:t>
      </w:r>
    </w:p>
    <w:p w14:paraId="03A6FDCF"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lastRenderedPageBreak/>
        <w:t>Die Satzstruktur zeigt eine nominale Aufzählung mit finaler Zweckangabe.</w:t>
      </w:r>
    </w:p>
    <w:p w14:paraId="1B3D61F8" w14:textId="7F692730" w:rsidR="00C45636" w:rsidRDefault="006F4EAF" w:rsidP="00C45636">
      <w:pPr>
        <w:spacing w:before="100" w:beforeAutospacing="1" w:after="100" w:afterAutospacing="1" w:line="240" w:lineRule="auto"/>
      </w:pPr>
      <w:r>
        <w:t xml:space="preserve">Der Vers ergänzt das </w:t>
      </w:r>
      <w:r w:rsidR="00F133EC">
        <w:t>Aufsteigeopfer</w:t>
      </w:r>
      <w:r>
        <w:t xml:space="preserve"> (V. 15) mit einem </w:t>
      </w:r>
      <w:r>
        <w:rPr>
          <w:rStyle w:val="Fett"/>
          <w:rtl/>
        </w:rPr>
        <w:t>חַטָּאת</w:t>
      </w:r>
      <w:r>
        <w:rPr>
          <w:rtl/>
        </w:rPr>
        <w:t xml:space="preserve"> </w:t>
      </w:r>
      <w:r>
        <w:t xml:space="preserve">(Sündopfer) - ein Ziegenbock. Das Sündopfer dient der Sühne und Reinigung von Sünde und Unreinheit, während das </w:t>
      </w:r>
      <w:r w:rsidR="00F133EC">
        <w:t>Aufsteigeopfer</w:t>
      </w:r>
      <w:r>
        <w:t xml:space="preserve"> die völlige Hingabe an Gott symbolisiert. Die Kombination beider Opferarten zeigt: Erst Sühne und Reinigung, dann völlige Hingabe - die richtige theologische Reihenfolge.</w:t>
      </w:r>
    </w:p>
    <w:p w14:paraId="133A49E2"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7,17</w:t>
      </w:r>
    </w:p>
    <w:p w14:paraId="3E3121F8"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וּלְזֶ֣בַח הַשְּׁלָמִים֮ בָּקָ֣ר שְׁנַיִם֒ אֵילִ֤ם חֲמִשָּׁה֙ עַתּוּדִ֣ים חֲמִשָּׁ֔ה כְּבָשִׂ֥ים בְּנֵי־שָׁנָ֖ה חֲמִשָּׁ֑ה זֶ֛ה קָרְבַּ֥ן נַחְשׁ֖וֹן בֶּן־עַמִּינָדָֽב׃</w:t>
      </w:r>
    </w:p>
    <w:p w14:paraId="7DF0E9C7"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Und zum Friedensopfer: zwei Rinder, fünf Widder, fünf Böcke, fünf einjährige Lämmer. Das war die Opfergabe Nachschons, des Sohnes Amminadavs.</w:t>
      </w:r>
    </w:p>
    <w:p w14:paraId="1E456A76"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4DC17F37">
          <v:rect id="_x0000_i1288" style="width:0;height:1.5pt" o:hralign="center" o:hrstd="t" o:hr="t" fillcolor="#a0a0a0" stroked="f"/>
        </w:pict>
      </w:r>
    </w:p>
    <w:p w14:paraId="6811EB62" w14:textId="048BD6EA"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schließt Nachschons Opfergabe mit dem Friedensopfer ab. </w:t>
      </w:r>
      <w:r w:rsidRPr="006F4EAF">
        <w:rPr>
          <w:rFonts w:eastAsia="Times New Roman" w:cs="Times New Roman"/>
          <w:b/>
          <w:bCs/>
          <w:rtl/>
          <w:lang w:eastAsia="de-DE"/>
        </w:rPr>
        <w:t>וּלְזֶבַח הַשְּׁלָמִים</w:t>
      </w:r>
      <w:r w:rsidRPr="006F4EAF">
        <w:rPr>
          <w:rFonts w:eastAsia="Times New Roman" w:cs="Times New Roman"/>
          <w:rtl/>
          <w:lang w:eastAsia="de-DE"/>
        </w:rPr>
        <w:t xml:space="preserve"> </w:t>
      </w:r>
      <w:r w:rsidRPr="006F4EAF">
        <w:rPr>
          <w:rFonts w:eastAsia="Times New Roman" w:cs="Times New Roman"/>
          <w:lang w:eastAsia="de-DE"/>
        </w:rPr>
        <w:t xml:space="preserve">ist die Überschrift. </w:t>
      </w:r>
      <w:r w:rsidRPr="006F4EAF">
        <w:rPr>
          <w:rFonts w:eastAsia="Times New Roman" w:cs="Times New Roman"/>
          <w:b/>
          <w:bCs/>
          <w:rtl/>
          <w:lang w:eastAsia="de-DE"/>
        </w:rPr>
        <w:t>וּלְזֶבַח הַשְּׁלָמִים</w:t>
      </w:r>
      <w:r w:rsidRPr="006F4EAF">
        <w:rPr>
          <w:rFonts w:eastAsia="Times New Roman" w:cs="Times New Roman"/>
          <w:rtl/>
          <w:lang w:eastAsia="de-DE"/>
        </w:rPr>
        <w:t xml:space="preserve"> </w:t>
      </w:r>
      <w:r w:rsidRPr="006F4EAF">
        <w:rPr>
          <w:rFonts w:eastAsia="Times New Roman" w:cs="Times New Roman"/>
          <w:lang w:eastAsia="de-DE"/>
        </w:rPr>
        <w:t xml:space="preserve">(Konjunktion mit 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und </w:t>
      </w:r>
      <w:r w:rsidRPr="006F4EAF">
        <w:rPr>
          <w:rFonts w:eastAsia="Times New Roman" w:cs="Times New Roman"/>
          <w:b/>
          <w:bCs/>
          <w:rtl/>
          <w:lang w:eastAsia="de-DE"/>
        </w:rPr>
        <w:t>זֶבַח</w:t>
      </w:r>
      <w:r w:rsidRPr="006F4EAF">
        <w:rPr>
          <w:rFonts w:eastAsia="Times New Roman" w:cs="Times New Roman"/>
          <w:rtl/>
          <w:lang w:eastAsia="de-DE"/>
        </w:rPr>
        <w:t xml:space="preserve"> </w:t>
      </w:r>
      <w:r w:rsidRPr="006F4EAF">
        <w:rPr>
          <w:rFonts w:eastAsia="Times New Roman" w:cs="Times New Roman"/>
          <w:lang w:eastAsia="de-DE"/>
        </w:rPr>
        <w:t xml:space="preserve">„Schlachtopfer" im </w:t>
      </w:r>
      <w:r w:rsidR="00F133EC">
        <w:rPr>
          <w:rFonts w:eastAsia="Times New Roman" w:cs="Times New Roman"/>
          <w:lang w:eastAsia="de-DE"/>
        </w:rPr>
        <w:t>Constructus</w:t>
      </w:r>
      <w:r w:rsidRPr="006F4EAF">
        <w:rPr>
          <w:rFonts w:eastAsia="Times New Roman" w:cs="Times New Roman"/>
          <w:lang w:eastAsia="de-DE"/>
        </w:rPr>
        <w:t xml:space="preserve"> mit Plural </w:t>
      </w:r>
      <w:r w:rsidRPr="006F4EAF">
        <w:rPr>
          <w:rFonts w:eastAsia="Times New Roman" w:cs="Times New Roman"/>
          <w:b/>
          <w:bCs/>
          <w:rtl/>
          <w:lang w:eastAsia="de-DE"/>
        </w:rPr>
        <w:t>שָׁלֵם</w:t>
      </w:r>
      <w:r w:rsidRPr="006F4EAF">
        <w:rPr>
          <w:rFonts w:eastAsia="Times New Roman" w:cs="Times New Roman"/>
          <w:rtl/>
          <w:lang w:eastAsia="de-DE"/>
        </w:rPr>
        <w:t xml:space="preserve"> </w:t>
      </w:r>
      <w:r w:rsidRPr="006F4EAF">
        <w:rPr>
          <w:rFonts w:eastAsia="Times New Roman" w:cs="Times New Roman"/>
          <w:lang w:eastAsia="de-DE"/>
        </w:rPr>
        <w:t xml:space="preserve">oder </w:t>
      </w:r>
      <w:r w:rsidRPr="006F4EAF">
        <w:rPr>
          <w:rFonts w:eastAsia="Times New Roman" w:cs="Times New Roman"/>
          <w:b/>
          <w:bCs/>
          <w:rtl/>
          <w:lang w:eastAsia="de-DE"/>
        </w:rPr>
        <w:t>שֶׁלֶם</w:t>
      </w:r>
      <w:r w:rsidRPr="006F4EAF">
        <w:rPr>
          <w:rFonts w:eastAsia="Times New Roman" w:cs="Times New Roman"/>
          <w:rtl/>
          <w:lang w:eastAsia="de-DE"/>
        </w:rPr>
        <w:t xml:space="preserve"> </w:t>
      </w:r>
      <w:r w:rsidRPr="006F4EAF">
        <w:rPr>
          <w:rFonts w:eastAsia="Times New Roman" w:cs="Times New Roman"/>
          <w:lang w:eastAsia="de-DE"/>
        </w:rPr>
        <w:t xml:space="preserve">„Friedensopfer, Heilsopfer" mit Artikel „und zum Friedensopfer"). </w:t>
      </w:r>
      <w:r w:rsidRPr="006F4EAF">
        <w:rPr>
          <w:rFonts w:eastAsia="Times New Roman" w:cs="Times New Roman"/>
          <w:b/>
          <w:bCs/>
          <w:rtl/>
          <w:lang w:eastAsia="de-DE"/>
        </w:rPr>
        <w:t>בָּקָר שְׁנַיִם</w:t>
      </w:r>
      <w:r w:rsidRPr="006F4EAF">
        <w:rPr>
          <w:rFonts w:eastAsia="Times New Roman" w:cs="Times New Roman"/>
          <w:rtl/>
          <w:lang w:eastAsia="de-DE"/>
        </w:rPr>
        <w:t xml:space="preserve"> </w:t>
      </w:r>
      <w:r w:rsidRPr="006F4EAF">
        <w:rPr>
          <w:rFonts w:eastAsia="Times New Roman" w:cs="Times New Roman"/>
          <w:lang w:eastAsia="de-DE"/>
        </w:rPr>
        <w:t xml:space="preserve">ist die erste Tiergruppe. </w:t>
      </w:r>
      <w:r w:rsidRPr="006F4EAF">
        <w:rPr>
          <w:rFonts w:eastAsia="Times New Roman" w:cs="Times New Roman"/>
          <w:b/>
          <w:bCs/>
          <w:rtl/>
          <w:lang w:eastAsia="de-DE"/>
        </w:rPr>
        <w:t>בָּקָר שְׁנַיִם</w:t>
      </w:r>
      <w:r w:rsidRPr="006F4EAF">
        <w:rPr>
          <w:rFonts w:eastAsia="Times New Roman" w:cs="Times New Roman"/>
          <w:rtl/>
          <w:lang w:eastAsia="de-DE"/>
        </w:rPr>
        <w:t xml:space="preserve"> </w:t>
      </w:r>
      <w:r w:rsidRPr="006F4EAF">
        <w:rPr>
          <w:rFonts w:eastAsia="Times New Roman" w:cs="Times New Roman"/>
          <w:lang w:eastAsia="de-DE"/>
        </w:rPr>
        <w:t>(</w:t>
      </w:r>
      <w:r w:rsidRPr="006F4EAF">
        <w:rPr>
          <w:rFonts w:eastAsia="Times New Roman" w:cs="Times New Roman"/>
          <w:b/>
          <w:bCs/>
          <w:rtl/>
          <w:lang w:eastAsia="de-DE"/>
        </w:rPr>
        <w:t>בָּקָר</w:t>
      </w:r>
      <w:r w:rsidRPr="006F4EAF">
        <w:rPr>
          <w:rFonts w:eastAsia="Times New Roman" w:cs="Times New Roman"/>
          <w:rtl/>
          <w:lang w:eastAsia="de-DE"/>
        </w:rPr>
        <w:t xml:space="preserve"> </w:t>
      </w:r>
      <w:r w:rsidRPr="006F4EAF">
        <w:rPr>
          <w:rFonts w:eastAsia="Times New Roman" w:cs="Times New Roman"/>
          <w:lang w:eastAsia="de-DE"/>
        </w:rPr>
        <w:t xml:space="preserve">„Rind" Singular kollektiv mit Kardinalzahl </w:t>
      </w:r>
      <w:r w:rsidRPr="006F4EAF">
        <w:rPr>
          <w:rFonts w:eastAsia="Times New Roman" w:cs="Times New Roman"/>
          <w:b/>
          <w:bCs/>
          <w:rtl/>
          <w:lang w:eastAsia="de-DE"/>
        </w:rPr>
        <w:t>שְׁנַיִם</w:t>
      </w:r>
      <w:r w:rsidRPr="006F4EAF">
        <w:rPr>
          <w:rFonts w:eastAsia="Times New Roman" w:cs="Times New Roman"/>
          <w:rtl/>
          <w:lang w:eastAsia="de-DE"/>
        </w:rPr>
        <w:t xml:space="preserve"> </w:t>
      </w:r>
      <w:r w:rsidRPr="006F4EAF">
        <w:rPr>
          <w:rFonts w:eastAsia="Times New Roman" w:cs="Times New Roman"/>
          <w:lang w:eastAsia="de-DE"/>
        </w:rPr>
        <w:t>Dual „zwei Rinder").</w:t>
      </w:r>
    </w:p>
    <w:p w14:paraId="1280097D" w14:textId="2121DDAA"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אֵילִם חֲמִשָּׁה עַתּוּדִים חֲמִשָּׁה כְּבָשִׂים בְּנֵי־שָׁנָה חֲמִשָּׁה</w:t>
      </w:r>
      <w:r w:rsidRPr="006F4EAF">
        <w:rPr>
          <w:rFonts w:eastAsia="Times New Roman" w:cs="Times New Roman"/>
          <w:rtl/>
          <w:lang w:eastAsia="de-DE"/>
        </w:rPr>
        <w:t xml:space="preserve"> </w:t>
      </w:r>
      <w:r w:rsidRPr="006F4EAF">
        <w:rPr>
          <w:rFonts w:eastAsia="Times New Roman" w:cs="Times New Roman"/>
          <w:lang w:eastAsia="de-DE"/>
        </w:rPr>
        <w:t xml:space="preserve">sind die weiteren Tiergruppen. </w:t>
      </w:r>
      <w:r w:rsidRPr="006F4EAF">
        <w:rPr>
          <w:rFonts w:eastAsia="Times New Roman" w:cs="Times New Roman"/>
          <w:b/>
          <w:bCs/>
          <w:rtl/>
          <w:lang w:eastAsia="de-DE"/>
        </w:rPr>
        <w:t>אֵילִם חֲמִשָּׁה</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Pr="006F4EAF">
        <w:rPr>
          <w:rFonts w:eastAsia="Times New Roman" w:cs="Times New Roman"/>
          <w:b/>
          <w:bCs/>
          <w:rtl/>
          <w:lang w:eastAsia="de-DE"/>
        </w:rPr>
        <w:t>אַיִל</w:t>
      </w:r>
      <w:r w:rsidRPr="006F4EAF">
        <w:rPr>
          <w:rFonts w:eastAsia="Times New Roman" w:cs="Times New Roman"/>
          <w:rtl/>
          <w:lang w:eastAsia="de-DE"/>
        </w:rPr>
        <w:t xml:space="preserve"> </w:t>
      </w:r>
      <w:r w:rsidRPr="006F4EAF">
        <w:rPr>
          <w:rFonts w:eastAsia="Times New Roman" w:cs="Times New Roman"/>
          <w:lang w:eastAsia="de-DE"/>
        </w:rPr>
        <w:t xml:space="preserve">„Widder" mit Kardinalzahl </w:t>
      </w:r>
      <w:r w:rsidRPr="006F4EAF">
        <w:rPr>
          <w:rFonts w:eastAsia="Times New Roman" w:cs="Times New Roman"/>
          <w:b/>
          <w:bCs/>
          <w:rtl/>
          <w:lang w:eastAsia="de-DE"/>
        </w:rPr>
        <w:t>חֲמִשָּׁה</w:t>
      </w:r>
      <w:r w:rsidRPr="006F4EAF">
        <w:rPr>
          <w:rFonts w:eastAsia="Times New Roman" w:cs="Times New Roman"/>
          <w:rtl/>
          <w:lang w:eastAsia="de-DE"/>
        </w:rPr>
        <w:t xml:space="preserve"> </w:t>
      </w:r>
      <w:r w:rsidRPr="006F4EAF">
        <w:rPr>
          <w:rFonts w:eastAsia="Times New Roman" w:cs="Times New Roman"/>
          <w:lang w:eastAsia="de-DE"/>
        </w:rPr>
        <w:t xml:space="preserve">„fünf" „fünf Widder"), </w:t>
      </w:r>
      <w:r w:rsidRPr="006F4EAF">
        <w:rPr>
          <w:rFonts w:eastAsia="Times New Roman" w:cs="Times New Roman"/>
          <w:b/>
          <w:bCs/>
          <w:rtl/>
          <w:lang w:eastAsia="de-DE"/>
        </w:rPr>
        <w:t>עַתּוּדִים חֲמִשָּׁה</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Pr="006F4EAF">
        <w:rPr>
          <w:rFonts w:eastAsia="Times New Roman" w:cs="Times New Roman"/>
          <w:b/>
          <w:bCs/>
          <w:rtl/>
          <w:lang w:eastAsia="de-DE"/>
        </w:rPr>
        <w:t>עַתּוּד</w:t>
      </w:r>
      <w:r w:rsidRPr="006F4EAF">
        <w:rPr>
          <w:rFonts w:eastAsia="Times New Roman" w:cs="Times New Roman"/>
          <w:rtl/>
          <w:lang w:eastAsia="de-DE"/>
        </w:rPr>
        <w:t xml:space="preserve"> </w:t>
      </w:r>
      <w:r w:rsidRPr="006F4EAF">
        <w:rPr>
          <w:rFonts w:eastAsia="Times New Roman" w:cs="Times New Roman"/>
          <w:lang w:eastAsia="de-DE"/>
        </w:rPr>
        <w:t xml:space="preserve">„Bock, männliche Ziege" mit </w:t>
      </w:r>
      <w:r w:rsidRPr="006F4EAF">
        <w:rPr>
          <w:rFonts w:eastAsia="Times New Roman" w:cs="Times New Roman"/>
          <w:b/>
          <w:bCs/>
          <w:rtl/>
          <w:lang w:eastAsia="de-DE"/>
        </w:rPr>
        <w:t>חֲמִשָּׁה</w:t>
      </w:r>
      <w:r w:rsidRPr="006F4EAF">
        <w:rPr>
          <w:rFonts w:eastAsia="Times New Roman" w:cs="Times New Roman"/>
          <w:rtl/>
          <w:lang w:eastAsia="de-DE"/>
        </w:rPr>
        <w:t xml:space="preserve"> </w:t>
      </w:r>
      <w:r w:rsidRPr="006F4EAF">
        <w:rPr>
          <w:rFonts w:eastAsia="Times New Roman" w:cs="Times New Roman"/>
          <w:lang w:eastAsia="de-DE"/>
        </w:rPr>
        <w:t xml:space="preserve">„fünf Böcke"), </w:t>
      </w:r>
      <w:r w:rsidRPr="006F4EAF">
        <w:rPr>
          <w:rFonts w:eastAsia="Times New Roman" w:cs="Times New Roman"/>
          <w:b/>
          <w:bCs/>
          <w:rtl/>
          <w:lang w:eastAsia="de-DE"/>
        </w:rPr>
        <w:t>כְּבָשִׂים בְּנֵי־שָׁנָה חֲמִשָּׁה</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Pr="006F4EAF">
        <w:rPr>
          <w:rFonts w:eastAsia="Times New Roman" w:cs="Times New Roman"/>
          <w:b/>
          <w:bCs/>
          <w:rtl/>
          <w:lang w:eastAsia="de-DE"/>
        </w:rPr>
        <w:t>כֶּבֶשׂ</w:t>
      </w:r>
      <w:r w:rsidRPr="006F4EAF">
        <w:rPr>
          <w:rFonts w:eastAsia="Times New Roman" w:cs="Times New Roman"/>
          <w:rtl/>
          <w:lang w:eastAsia="de-DE"/>
        </w:rPr>
        <w:t xml:space="preserve"> </w:t>
      </w:r>
      <w:r w:rsidRPr="006F4EAF">
        <w:rPr>
          <w:rFonts w:eastAsia="Times New Roman" w:cs="Times New Roman"/>
          <w:lang w:eastAsia="de-DE"/>
        </w:rPr>
        <w:t xml:space="preserve">„Lamm" mit Plural </w:t>
      </w:r>
      <w:r w:rsidR="00F133EC">
        <w:rPr>
          <w:rFonts w:eastAsia="Times New Roman" w:cs="Times New Roman"/>
          <w:lang w:eastAsia="de-DE"/>
        </w:rPr>
        <w:t>Constructus</w:t>
      </w:r>
      <w:r w:rsidRPr="006F4EAF">
        <w:rPr>
          <w:rFonts w:eastAsia="Times New Roman" w:cs="Times New Roman"/>
          <w:lang w:eastAsia="de-DE"/>
        </w:rPr>
        <w:t xml:space="preserve"> </w:t>
      </w:r>
      <w:r w:rsidRPr="006F4EAF">
        <w:rPr>
          <w:rFonts w:eastAsia="Times New Roman" w:cs="Times New Roman"/>
          <w:b/>
          <w:bCs/>
          <w:rtl/>
          <w:lang w:eastAsia="de-DE"/>
        </w:rPr>
        <w:t>בֵּן</w:t>
      </w:r>
      <w:r w:rsidRPr="006F4EAF">
        <w:rPr>
          <w:rFonts w:eastAsia="Times New Roman" w:cs="Times New Roman"/>
          <w:rtl/>
          <w:lang w:eastAsia="de-DE"/>
        </w:rPr>
        <w:t xml:space="preserve"> </w:t>
      </w:r>
      <w:r w:rsidRPr="006F4EAF">
        <w:rPr>
          <w:rFonts w:eastAsia="Times New Roman" w:cs="Times New Roman"/>
          <w:lang w:eastAsia="de-DE"/>
        </w:rPr>
        <w:t xml:space="preserve">„Söhne" und </w:t>
      </w:r>
      <w:r w:rsidRPr="006F4EAF">
        <w:rPr>
          <w:rFonts w:eastAsia="Times New Roman" w:cs="Times New Roman"/>
          <w:b/>
          <w:bCs/>
          <w:rtl/>
          <w:lang w:eastAsia="de-DE"/>
        </w:rPr>
        <w:t>שָׁנָה</w:t>
      </w:r>
      <w:r w:rsidRPr="006F4EAF">
        <w:rPr>
          <w:rFonts w:eastAsia="Times New Roman" w:cs="Times New Roman"/>
          <w:rtl/>
          <w:lang w:eastAsia="de-DE"/>
        </w:rPr>
        <w:t xml:space="preserve"> </w:t>
      </w:r>
      <w:r w:rsidRPr="006F4EAF">
        <w:rPr>
          <w:rFonts w:eastAsia="Times New Roman" w:cs="Times New Roman"/>
          <w:lang w:eastAsia="de-DE"/>
        </w:rPr>
        <w:t xml:space="preserve">„Jahr" und </w:t>
      </w:r>
      <w:r w:rsidRPr="006F4EAF">
        <w:rPr>
          <w:rFonts w:eastAsia="Times New Roman" w:cs="Times New Roman"/>
          <w:b/>
          <w:bCs/>
          <w:rtl/>
          <w:lang w:eastAsia="de-DE"/>
        </w:rPr>
        <w:t>חֲמִשָּׁה</w:t>
      </w:r>
      <w:r w:rsidRPr="006F4EAF">
        <w:rPr>
          <w:rFonts w:eastAsia="Times New Roman" w:cs="Times New Roman"/>
          <w:rtl/>
          <w:lang w:eastAsia="de-DE"/>
        </w:rPr>
        <w:t xml:space="preserve"> </w:t>
      </w:r>
      <w:r w:rsidRPr="006F4EAF">
        <w:rPr>
          <w:rFonts w:eastAsia="Times New Roman" w:cs="Times New Roman"/>
          <w:lang w:eastAsia="de-DE"/>
        </w:rPr>
        <w:t xml:space="preserve">„fünf einjährige Lämmer"). </w:t>
      </w:r>
      <w:r w:rsidRPr="006F4EAF">
        <w:rPr>
          <w:rFonts w:eastAsia="Times New Roman" w:cs="Times New Roman"/>
          <w:b/>
          <w:bCs/>
          <w:rtl/>
          <w:lang w:eastAsia="de-DE"/>
        </w:rPr>
        <w:t>זֶה קָרְבַּן נַחְשׁוֹן בֶּן־עַמִּינָדָב</w:t>
      </w:r>
      <w:r w:rsidRPr="006F4EAF">
        <w:rPr>
          <w:rFonts w:eastAsia="Times New Roman" w:cs="Times New Roman"/>
          <w:rtl/>
          <w:lang w:eastAsia="de-DE"/>
        </w:rPr>
        <w:t xml:space="preserve"> </w:t>
      </w:r>
      <w:r w:rsidRPr="006F4EAF">
        <w:rPr>
          <w:rFonts w:eastAsia="Times New Roman" w:cs="Times New Roman"/>
          <w:lang w:eastAsia="de-DE"/>
        </w:rPr>
        <w:t xml:space="preserve">ist die Schlussformel. </w:t>
      </w:r>
      <w:r w:rsidRPr="006F4EAF">
        <w:rPr>
          <w:rFonts w:eastAsia="Times New Roman" w:cs="Times New Roman"/>
          <w:b/>
          <w:bCs/>
          <w:rtl/>
          <w:lang w:eastAsia="de-DE"/>
        </w:rPr>
        <w:t>זֶה</w:t>
      </w:r>
      <w:r w:rsidRPr="006F4EAF">
        <w:rPr>
          <w:rFonts w:eastAsia="Times New Roman" w:cs="Times New Roman"/>
          <w:rtl/>
          <w:lang w:eastAsia="de-DE"/>
        </w:rPr>
        <w:t xml:space="preserve"> </w:t>
      </w:r>
      <w:r w:rsidRPr="006F4EAF">
        <w:rPr>
          <w:rFonts w:eastAsia="Times New Roman" w:cs="Times New Roman"/>
          <w:lang w:eastAsia="de-DE"/>
        </w:rPr>
        <w:t xml:space="preserve">(Demonstrativpronomen maskulin Singular „dies"), </w:t>
      </w:r>
      <w:r w:rsidRPr="006F4EAF">
        <w:rPr>
          <w:rFonts w:eastAsia="Times New Roman" w:cs="Times New Roman"/>
          <w:b/>
          <w:bCs/>
          <w:rtl/>
          <w:lang w:eastAsia="de-DE"/>
        </w:rPr>
        <w:t>קָרְבַּן נַחְשׁוֹן בֶּן־עַמִּינָדָב</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kette: </w:t>
      </w:r>
      <w:r w:rsidRPr="006F4EAF">
        <w:rPr>
          <w:rFonts w:eastAsia="Times New Roman" w:cs="Times New Roman"/>
          <w:b/>
          <w:bCs/>
          <w:rtl/>
          <w:lang w:eastAsia="de-DE"/>
        </w:rPr>
        <w:t>קָרְבָּן</w:t>
      </w:r>
      <w:r w:rsidRPr="006F4EAF">
        <w:rPr>
          <w:rFonts w:eastAsia="Times New Roman" w:cs="Times New Roman"/>
          <w:rtl/>
          <w:lang w:eastAsia="de-DE"/>
        </w:rPr>
        <w:t xml:space="preserve"> </w:t>
      </w:r>
      <w:r w:rsidRPr="006F4EAF">
        <w:rPr>
          <w:rFonts w:eastAsia="Times New Roman" w:cs="Times New Roman"/>
          <w:lang w:eastAsia="de-DE"/>
        </w:rPr>
        <w:t xml:space="preserve">„Opfergabe" im </w:t>
      </w:r>
      <w:r w:rsidR="00F133EC">
        <w:rPr>
          <w:rFonts w:eastAsia="Times New Roman" w:cs="Times New Roman"/>
          <w:lang w:eastAsia="de-DE"/>
        </w:rPr>
        <w:t>Constructus</w:t>
      </w:r>
      <w:r w:rsidRPr="006F4EAF">
        <w:rPr>
          <w:rFonts w:eastAsia="Times New Roman" w:cs="Times New Roman"/>
          <w:lang w:eastAsia="de-DE"/>
        </w:rPr>
        <w:t xml:space="preserve"> mit </w:t>
      </w:r>
      <w:r w:rsidRPr="006F4EAF">
        <w:rPr>
          <w:rFonts w:eastAsia="Times New Roman" w:cs="Times New Roman"/>
          <w:b/>
          <w:bCs/>
          <w:rtl/>
          <w:lang w:eastAsia="de-DE"/>
        </w:rPr>
        <w:t>נַחְשׁוֹן בֶּן־עַמִּינָדָב</w:t>
      </w:r>
      <w:r w:rsidRPr="006F4EAF">
        <w:rPr>
          <w:rFonts w:eastAsia="Times New Roman" w:cs="Times New Roman"/>
          <w:rtl/>
          <w:lang w:eastAsia="de-DE"/>
        </w:rPr>
        <w:t xml:space="preserve"> </w:t>
      </w:r>
      <w:r w:rsidRPr="006F4EAF">
        <w:rPr>
          <w:rFonts w:eastAsia="Times New Roman" w:cs="Times New Roman"/>
          <w:lang w:eastAsia="de-DE"/>
        </w:rPr>
        <w:t>„die Opfergabe Nachschons, des Sohnes Amminadavs").</w:t>
      </w:r>
    </w:p>
    <w:p w14:paraId="54F8AFB0"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eine Überschrift, gefolgt von vier nominalen Tieraufzählungen mit Zahlenangaben und einer abschließenden Identifikationsformel.</w:t>
      </w:r>
    </w:p>
    <w:p w14:paraId="6378E461"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vollendet Nachschons Opfergabe mit dem </w:t>
      </w:r>
      <w:r w:rsidRPr="006F4EAF">
        <w:rPr>
          <w:rFonts w:eastAsia="Times New Roman" w:cs="Times New Roman"/>
          <w:b/>
          <w:bCs/>
          <w:rtl/>
          <w:lang w:eastAsia="de-DE"/>
        </w:rPr>
        <w:t>זֶבַח הַשְּׁלָמִים</w:t>
      </w:r>
      <w:r w:rsidRPr="006F4EAF">
        <w:rPr>
          <w:rFonts w:eastAsia="Times New Roman" w:cs="Times New Roman"/>
          <w:rtl/>
          <w:lang w:eastAsia="de-DE"/>
        </w:rPr>
        <w:t xml:space="preserve"> </w:t>
      </w:r>
      <w:r w:rsidRPr="006F4EAF">
        <w:rPr>
          <w:rFonts w:eastAsia="Times New Roman" w:cs="Times New Roman"/>
          <w:lang w:eastAsia="de-DE"/>
        </w:rPr>
        <w:t xml:space="preserve">(Friedensopfer): zwei Rinder, fünf Widder, fünf Böcke, fünf einjährige Lämmer - insgesamt 17 Tiere! Das Friedensopfer unterscheidet sich von Brand- und Sündopfer: Nur Teile werden auf dem Altar verbrannt, der Rest wird von den Opfernden und Priestern gegessen - ein Gemeinschaftsmahl, das Frieden und Gemeinschaft mit Gott symbolisiert. Die großzügige Zahl (besonders die dreifache Fünfzahl) zeigt überfließende Dankbarkeit und Freude. Die Schlussformel </w:t>
      </w:r>
      <w:r w:rsidRPr="006F4EAF">
        <w:rPr>
          <w:rFonts w:eastAsia="Times New Roman" w:cs="Times New Roman"/>
          <w:b/>
          <w:bCs/>
          <w:rtl/>
          <w:lang w:eastAsia="de-DE"/>
        </w:rPr>
        <w:t>זֶה קָרְבַּן נַחְשׁוֹן</w:t>
      </w:r>
      <w:r w:rsidRPr="006F4EAF">
        <w:rPr>
          <w:rFonts w:eastAsia="Times New Roman" w:cs="Times New Roman"/>
          <w:rtl/>
          <w:lang w:eastAsia="de-DE"/>
        </w:rPr>
        <w:t xml:space="preserve"> </w:t>
      </w:r>
      <w:r w:rsidRPr="006F4EAF">
        <w:rPr>
          <w:rFonts w:eastAsia="Times New Roman" w:cs="Times New Roman"/>
          <w:lang w:eastAsia="de-DE"/>
        </w:rPr>
        <w:t>markiert das Ende der ersten, vollständigen Opfergabe - sie dient als Muster für alle folgenden elf Stämme.</w:t>
      </w:r>
    </w:p>
    <w:p w14:paraId="029FC7BC"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7,18-83</w:t>
      </w:r>
    </w:p>
    <w:p w14:paraId="46BE344A"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Die identischen Opfergaben der elf weiteren Stämme</w:t>
      </w:r>
    </w:p>
    <w:p w14:paraId="09E8CF2F"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lastRenderedPageBreak/>
        <w:t>Die Verse 18-83 (66 Verse!) wiederholen exakt dieselbe Opfergabe wie V. 12-17 für die elf weiteren Stammesführer, Tag für Tag. Jeder Abschnitt folgt demselben Muster:</w:t>
      </w:r>
    </w:p>
    <w:p w14:paraId="4360EF74" w14:textId="376BF6AF"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Tag X:</w:t>
      </w:r>
      <w:r w:rsidRPr="006F4EAF">
        <w:rPr>
          <w:rFonts w:eastAsia="Times New Roman" w:cs="Times New Roman"/>
          <w:lang w:eastAsia="de-DE"/>
        </w:rPr>
        <w:t xml:space="preserve"> Name des Stammesführers mit Vater und Stamm </w:t>
      </w:r>
      <w:r w:rsidRPr="006F4EAF">
        <w:rPr>
          <w:rFonts w:eastAsia="Times New Roman" w:cs="Times New Roman"/>
          <w:b/>
          <w:bCs/>
          <w:lang w:eastAsia="de-DE"/>
        </w:rPr>
        <w:t>V. 1 (= V. 13):</w:t>
      </w:r>
      <w:r w:rsidRPr="006F4EAF">
        <w:rPr>
          <w:rFonts w:eastAsia="Times New Roman" w:cs="Times New Roman"/>
          <w:lang w:eastAsia="de-DE"/>
        </w:rPr>
        <w:t xml:space="preserve"> Eine silberne Schüssel (130 Schekel), eine silberne Sprengschale (70 Schekel), beide gefüllt mit Feinmehl, gemengt mit Öl, zum Speisopfer </w:t>
      </w:r>
      <w:r w:rsidRPr="006F4EAF">
        <w:rPr>
          <w:rFonts w:eastAsia="Times New Roman" w:cs="Times New Roman"/>
          <w:b/>
          <w:bCs/>
          <w:lang w:eastAsia="de-DE"/>
        </w:rPr>
        <w:t>V. 2 (= V. 14):</w:t>
      </w:r>
      <w:r w:rsidRPr="006F4EAF">
        <w:rPr>
          <w:rFonts w:eastAsia="Times New Roman" w:cs="Times New Roman"/>
          <w:lang w:eastAsia="de-DE"/>
        </w:rPr>
        <w:t xml:space="preserve"> Eine goldene Schale (10 Schekel), gefüllt mit Räucherwerk </w:t>
      </w:r>
      <w:r w:rsidRPr="006F4EAF">
        <w:rPr>
          <w:rFonts w:eastAsia="Times New Roman" w:cs="Times New Roman"/>
          <w:b/>
          <w:bCs/>
          <w:lang w:eastAsia="de-DE"/>
        </w:rPr>
        <w:t>V. 3 (= V. 15):</w:t>
      </w:r>
      <w:r w:rsidRPr="006F4EAF">
        <w:rPr>
          <w:rFonts w:eastAsia="Times New Roman" w:cs="Times New Roman"/>
          <w:lang w:eastAsia="de-DE"/>
        </w:rPr>
        <w:t xml:space="preserve"> Ein Jungrind, ein Widder, ein einjähriges Lamm zum </w:t>
      </w:r>
      <w:r w:rsidR="00F133EC">
        <w:rPr>
          <w:rFonts w:eastAsia="Times New Roman" w:cs="Times New Roman"/>
          <w:lang w:eastAsia="de-DE"/>
        </w:rPr>
        <w:t>Aufsteigeopfer</w:t>
      </w:r>
      <w:r w:rsidRPr="006F4EAF">
        <w:rPr>
          <w:rFonts w:eastAsia="Times New Roman" w:cs="Times New Roman"/>
          <w:lang w:eastAsia="de-DE"/>
        </w:rPr>
        <w:t xml:space="preserve"> </w:t>
      </w:r>
      <w:r w:rsidRPr="006F4EAF">
        <w:rPr>
          <w:rFonts w:eastAsia="Times New Roman" w:cs="Times New Roman"/>
          <w:b/>
          <w:bCs/>
          <w:lang w:eastAsia="de-DE"/>
        </w:rPr>
        <w:t>V. 4 (= V. 16):</w:t>
      </w:r>
      <w:r w:rsidRPr="006F4EAF">
        <w:rPr>
          <w:rFonts w:eastAsia="Times New Roman" w:cs="Times New Roman"/>
          <w:lang w:eastAsia="de-DE"/>
        </w:rPr>
        <w:t xml:space="preserve"> Ein Ziegenbock zum Sündopfer </w:t>
      </w:r>
      <w:r w:rsidRPr="006F4EAF">
        <w:rPr>
          <w:rFonts w:eastAsia="Times New Roman" w:cs="Times New Roman"/>
          <w:b/>
          <w:bCs/>
          <w:lang w:eastAsia="de-DE"/>
        </w:rPr>
        <w:t>V. 5 (= V. 17):</w:t>
      </w:r>
      <w:r w:rsidRPr="006F4EAF">
        <w:rPr>
          <w:rFonts w:eastAsia="Times New Roman" w:cs="Times New Roman"/>
          <w:lang w:eastAsia="de-DE"/>
        </w:rPr>
        <w:t xml:space="preserve"> Zwei Rinder, fünf Widder, fünf Böcke, fünf einjährige Lämmer zum Friedensopfer </w:t>
      </w:r>
      <w:r w:rsidRPr="006F4EAF">
        <w:rPr>
          <w:rFonts w:eastAsia="Times New Roman" w:cs="Times New Roman"/>
          <w:b/>
          <w:bCs/>
          <w:lang w:eastAsia="de-DE"/>
        </w:rPr>
        <w:t>Schlussformel:</w:t>
      </w:r>
      <w:r w:rsidRPr="006F4EAF">
        <w:rPr>
          <w:rFonts w:eastAsia="Times New Roman" w:cs="Times New Roman"/>
          <w:lang w:eastAsia="de-DE"/>
        </w:rPr>
        <w:t xml:space="preserve"> "Das war die Opfergabe des [Name]"</w:t>
      </w:r>
    </w:p>
    <w:p w14:paraId="78CF0383"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Die zwölf Stammesführer in ihrer Reihenfolge:</w:t>
      </w:r>
    </w:p>
    <w:p w14:paraId="38C6B8A5"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Tag 1 (V. 12-17):</w:t>
      </w:r>
      <w:r w:rsidRPr="006F4EAF">
        <w:rPr>
          <w:rFonts w:eastAsia="Times New Roman" w:cs="Times New Roman"/>
          <w:lang w:eastAsia="de-DE"/>
        </w:rPr>
        <w:t xml:space="preserve"> Nachschon ben Amminadav - </w:t>
      </w:r>
      <w:r w:rsidRPr="006F4EAF">
        <w:rPr>
          <w:rFonts w:eastAsia="Times New Roman" w:cs="Times New Roman"/>
          <w:b/>
          <w:bCs/>
          <w:lang w:eastAsia="de-DE"/>
        </w:rPr>
        <w:t>Juda</w:t>
      </w:r>
      <w:r w:rsidRPr="006F4EAF">
        <w:rPr>
          <w:rFonts w:eastAsia="Times New Roman" w:cs="Times New Roman"/>
          <w:lang w:eastAsia="de-DE"/>
        </w:rPr>
        <w:t xml:space="preserve"> </w:t>
      </w:r>
      <w:r w:rsidRPr="006F4EAF">
        <w:rPr>
          <w:rFonts w:eastAsia="Times New Roman" w:cs="Times New Roman"/>
          <w:b/>
          <w:bCs/>
          <w:lang w:eastAsia="de-DE"/>
        </w:rPr>
        <w:t>Tag 2 (V. 18-23):</w:t>
      </w:r>
      <w:r w:rsidRPr="006F4EAF">
        <w:rPr>
          <w:rFonts w:eastAsia="Times New Roman" w:cs="Times New Roman"/>
          <w:lang w:eastAsia="de-DE"/>
        </w:rPr>
        <w:t xml:space="preserve"> Netanel ben Zuar - </w:t>
      </w:r>
      <w:r w:rsidRPr="006F4EAF">
        <w:rPr>
          <w:rFonts w:eastAsia="Times New Roman" w:cs="Times New Roman"/>
          <w:b/>
          <w:bCs/>
          <w:lang w:eastAsia="de-DE"/>
        </w:rPr>
        <w:t>Issachar</w:t>
      </w:r>
      <w:r w:rsidRPr="006F4EAF">
        <w:rPr>
          <w:rFonts w:eastAsia="Times New Roman" w:cs="Times New Roman"/>
          <w:lang w:eastAsia="de-DE"/>
        </w:rPr>
        <w:t xml:space="preserve"> </w:t>
      </w:r>
      <w:r w:rsidRPr="006F4EAF">
        <w:rPr>
          <w:rFonts w:eastAsia="Times New Roman" w:cs="Times New Roman"/>
          <w:b/>
          <w:bCs/>
          <w:lang w:eastAsia="de-DE"/>
        </w:rPr>
        <w:t>Tag 3 (V. 24-29):</w:t>
      </w:r>
      <w:r w:rsidRPr="006F4EAF">
        <w:rPr>
          <w:rFonts w:eastAsia="Times New Roman" w:cs="Times New Roman"/>
          <w:lang w:eastAsia="de-DE"/>
        </w:rPr>
        <w:t xml:space="preserve"> Eliav ben Chelon - </w:t>
      </w:r>
      <w:r w:rsidRPr="006F4EAF">
        <w:rPr>
          <w:rFonts w:eastAsia="Times New Roman" w:cs="Times New Roman"/>
          <w:b/>
          <w:bCs/>
          <w:lang w:eastAsia="de-DE"/>
        </w:rPr>
        <w:t>Sebulon</w:t>
      </w:r>
      <w:r w:rsidRPr="006F4EAF">
        <w:rPr>
          <w:rFonts w:eastAsia="Times New Roman" w:cs="Times New Roman"/>
          <w:lang w:eastAsia="de-DE"/>
        </w:rPr>
        <w:t xml:space="preserve"> </w:t>
      </w:r>
      <w:r w:rsidRPr="006F4EAF">
        <w:rPr>
          <w:rFonts w:eastAsia="Times New Roman" w:cs="Times New Roman"/>
          <w:b/>
          <w:bCs/>
          <w:lang w:eastAsia="de-DE"/>
        </w:rPr>
        <w:t>Tag 4 (V. 30-35):</w:t>
      </w:r>
      <w:r w:rsidRPr="006F4EAF">
        <w:rPr>
          <w:rFonts w:eastAsia="Times New Roman" w:cs="Times New Roman"/>
          <w:lang w:eastAsia="de-DE"/>
        </w:rPr>
        <w:t xml:space="preserve"> Elizur ben Schedeur - </w:t>
      </w:r>
      <w:r w:rsidRPr="006F4EAF">
        <w:rPr>
          <w:rFonts w:eastAsia="Times New Roman" w:cs="Times New Roman"/>
          <w:b/>
          <w:bCs/>
          <w:lang w:eastAsia="de-DE"/>
        </w:rPr>
        <w:t>Ruben</w:t>
      </w:r>
      <w:r w:rsidRPr="006F4EAF">
        <w:rPr>
          <w:rFonts w:eastAsia="Times New Roman" w:cs="Times New Roman"/>
          <w:lang w:eastAsia="de-DE"/>
        </w:rPr>
        <w:t xml:space="preserve"> </w:t>
      </w:r>
      <w:r w:rsidRPr="006F4EAF">
        <w:rPr>
          <w:rFonts w:eastAsia="Times New Roman" w:cs="Times New Roman"/>
          <w:b/>
          <w:bCs/>
          <w:lang w:eastAsia="de-DE"/>
        </w:rPr>
        <w:t>Tag 5 (V. 36-41):</w:t>
      </w:r>
      <w:r w:rsidRPr="006F4EAF">
        <w:rPr>
          <w:rFonts w:eastAsia="Times New Roman" w:cs="Times New Roman"/>
          <w:lang w:eastAsia="de-DE"/>
        </w:rPr>
        <w:t xml:space="preserve"> Schelumiël ben Zurischaddai - </w:t>
      </w:r>
      <w:r w:rsidRPr="006F4EAF">
        <w:rPr>
          <w:rFonts w:eastAsia="Times New Roman" w:cs="Times New Roman"/>
          <w:b/>
          <w:bCs/>
          <w:lang w:eastAsia="de-DE"/>
        </w:rPr>
        <w:t>Simeon</w:t>
      </w:r>
      <w:r w:rsidRPr="006F4EAF">
        <w:rPr>
          <w:rFonts w:eastAsia="Times New Roman" w:cs="Times New Roman"/>
          <w:lang w:eastAsia="de-DE"/>
        </w:rPr>
        <w:t xml:space="preserve"> </w:t>
      </w:r>
      <w:r w:rsidRPr="006F4EAF">
        <w:rPr>
          <w:rFonts w:eastAsia="Times New Roman" w:cs="Times New Roman"/>
          <w:b/>
          <w:bCs/>
          <w:lang w:eastAsia="de-DE"/>
        </w:rPr>
        <w:t>Tag 6 (V. 42-47):</w:t>
      </w:r>
      <w:r w:rsidRPr="006F4EAF">
        <w:rPr>
          <w:rFonts w:eastAsia="Times New Roman" w:cs="Times New Roman"/>
          <w:lang w:eastAsia="de-DE"/>
        </w:rPr>
        <w:t xml:space="preserve"> Eljasaf ben Deuel - </w:t>
      </w:r>
      <w:r w:rsidRPr="006F4EAF">
        <w:rPr>
          <w:rFonts w:eastAsia="Times New Roman" w:cs="Times New Roman"/>
          <w:b/>
          <w:bCs/>
          <w:lang w:eastAsia="de-DE"/>
        </w:rPr>
        <w:t>Gad</w:t>
      </w:r>
      <w:r w:rsidRPr="006F4EAF">
        <w:rPr>
          <w:rFonts w:eastAsia="Times New Roman" w:cs="Times New Roman"/>
          <w:lang w:eastAsia="de-DE"/>
        </w:rPr>
        <w:t xml:space="preserve"> </w:t>
      </w:r>
      <w:r w:rsidRPr="006F4EAF">
        <w:rPr>
          <w:rFonts w:eastAsia="Times New Roman" w:cs="Times New Roman"/>
          <w:b/>
          <w:bCs/>
          <w:lang w:eastAsia="de-DE"/>
        </w:rPr>
        <w:t>Tag 7 (V. 48-53):</w:t>
      </w:r>
      <w:r w:rsidRPr="006F4EAF">
        <w:rPr>
          <w:rFonts w:eastAsia="Times New Roman" w:cs="Times New Roman"/>
          <w:lang w:eastAsia="de-DE"/>
        </w:rPr>
        <w:t xml:space="preserve"> Elischama ben Ammihud - </w:t>
      </w:r>
      <w:r w:rsidRPr="006F4EAF">
        <w:rPr>
          <w:rFonts w:eastAsia="Times New Roman" w:cs="Times New Roman"/>
          <w:b/>
          <w:bCs/>
          <w:lang w:eastAsia="de-DE"/>
        </w:rPr>
        <w:t>Efraim</w:t>
      </w:r>
      <w:r w:rsidRPr="006F4EAF">
        <w:rPr>
          <w:rFonts w:eastAsia="Times New Roman" w:cs="Times New Roman"/>
          <w:lang w:eastAsia="de-DE"/>
        </w:rPr>
        <w:t xml:space="preserve"> </w:t>
      </w:r>
      <w:r w:rsidRPr="006F4EAF">
        <w:rPr>
          <w:rFonts w:eastAsia="Times New Roman" w:cs="Times New Roman"/>
          <w:b/>
          <w:bCs/>
          <w:lang w:eastAsia="de-DE"/>
        </w:rPr>
        <w:t>Tag 8 (V. 54-59):</w:t>
      </w:r>
      <w:r w:rsidRPr="006F4EAF">
        <w:rPr>
          <w:rFonts w:eastAsia="Times New Roman" w:cs="Times New Roman"/>
          <w:lang w:eastAsia="de-DE"/>
        </w:rPr>
        <w:t xml:space="preserve"> Gamliël ben Pedazur - </w:t>
      </w:r>
      <w:r w:rsidRPr="006F4EAF">
        <w:rPr>
          <w:rFonts w:eastAsia="Times New Roman" w:cs="Times New Roman"/>
          <w:b/>
          <w:bCs/>
          <w:lang w:eastAsia="de-DE"/>
        </w:rPr>
        <w:t>Manasse</w:t>
      </w:r>
      <w:r w:rsidRPr="006F4EAF">
        <w:rPr>
          <w:rFonts w:eastAsia="Times New Roman" w:cs="Times New Roman"/>
          <w:lang w:eastAsia="de-DE"/>
        </w:rPr>
        <w:t xml:space="preserve"> </w:t>
      </w:r>
      <w:r w:rsidRPr="006F4EAF">
        <w:rPr>
          <w:rFonts w:eastAsia="Times New Roman" w:cs="Times New Roman"/>
          <w:b/>
          <w:bCs/>
          <w:lang w:eastAsia="de-DE"/>
        </w:rPr>
        <w:t>Tag 9 (V. 60-65):</w:t>
      </w:r>
      <w:r w:rsidRPr="006F4EAF">
        <w:rPr>
          <w:rFonts w:eastAsia="Times New Roman" w:cs="Times New Roman"/>
          <w:lang w:eastAsia="de-DE"/>
        </w:rPr>
        <w:t xml:space="preserve"> Avidan ben Gideoni - </w:t>
      </w:r>
      <w:r w:rsidRPr="006F4EAF">
        <w:rPr>
          <w:rFonts w:eastAsia="Times New Roman" w:cs="Times New Roman"/>
          <w:b/>
          <w:bCs/>
          <w:lang w:eastAsia="de-DE"/>
        </w:rPr>
        <w:t>Benjamin</w:t>
      </w:r>
      <w:r w:rsidRPr="006F4EAF">
        <w:rPr>
          <w:rFonts w:eastAsia="Times New Roman" w:cs="Times New Roman"/>
          <w:lang w:eastAsia="de-DE"/>
        </w:rPr>
        <w:t xml:space="preserve"> </w:t>
      </w:r>
      <w:r w:rsidRPr="006F4EAF">
        <w:rPr>
          <w:rFonts w:eastAsia="Times New Roman" w:cs="Times New Roman"/>
          <w:b/>
          <w:bCs/>
          <w:lang w:eastAsia="de-DE"/>
        </w:rPr>
        <w:t>Tag 10 (V. 66-71):</w:t>
      </w:r>
      <w:r w:rsidRPr="006F4EAF">
        <w:rPr>
          <w:rFonts w:eastAsia="Times New Roman" w:cs="Times New Roman"/>
          <w:lang w:eastAsia="de-DE"/>
        </w:rPr>
        <w:t xml:space="preserve"> Achieser ben Ammischaddai - </w:t>
      </w:r>
      <w:r w:rsidRPr="006F4EAF">
        <w:rPr>
          <w:rFonts w:eastAsia="Times New Roman" w:cs="Times New Roman"/>
          <w:b/>
          <w:bCs/>
          <w:lang w:eastAsia="de-DE"/>
        </w:rPr>
        <w:t>Dan</w:t>
      </w:r>
      <w:r w:rsidRPr="006F4EAF">
        <w:rPr>
          <w:rFonts w:eastAsia="Times New Roman" w:cs="Times New Roman"/>
          <w:lang w:eastAsia="de-DE"/>
        </w:rPr>
        <w:t xml:space="preserve"> </w:t>
      </w:r>
      <w:r w:rsidRPr="006F4EAF">
        <w:rPr>
          <w:rFonts w:eastAsia="Times New Roman" w:cs="Times New Roman"/>
          <w:b/>
          <w:bCs/>
          <w:lang w:eastAsia="de-DE"/>
        </w:rPr>
        <w:t>Tag 11 (V. 72-77):</w:t>
      </w:r>
      <w:r w:rsidRPr="006F4EAF">
        <w:rPr>
          <w:rFonts w:eastAsia="Times New Roman" w:cs="Times New Roman"/>
          <w:lang w:eastAsia="de-DE"/>
        </w:rPr>
        <w:t xml:space="preserve"> Pagiël ben Ochran - </w:t>
      </w:r>
      <w:r w:rsidRPr="006F4EAF">
        <w:rPr>
          <w:rFonts w:eastAsia="Times New Roman" w:cs="Times New Roman"/>
          <w:b/>
          <w:bCs/>
          <w:lang w:eastAsia="de-DE"/>
        </w:rPr>
        <w:t>Ascher</w:t>
      </w:r>
      <w:r w:rsidRPr="006F4EAF">
        <w:rPr>
          <w:rFonts w:eastAsia="Times New Roman" w:cs="Times New Roman"/>
          <w:lang w:eastAsia="de-DE"/>
        </w:rPr>
        <w:t xml:space="preserve"> </w:t>
      </w:r>
      <w:r w:rsidRPr="006F4EAF">
        <w:rPr>
          <w:rFonts w:eastAsia="Times New Roman" w:cs="Times New Roman"/>
          <w:b/>
          <w:bCs/>
          <w:lang w:eastAsia="de-DE"/>
        </w:rPr>
        <w:t>Tag 12 (V. 78-83):</w:t>
      </w:r>
      <w:r w:rsidRPr="006F4EAF">
        <w:rPr>
          <w:rFonts w:eastAsia="Times New Roman" w:cs="Times New Roman"/>
          <w:lang w:eastAsia="de-DE"/>
        </w:rPr>
        <w:t xml:space="preserve"> Achira ben Enan - </w:t>
      </w:r>
      <w:r w:rsidRPr="006F4EAF">
        <w:rPr>
          <w:rFonts w:eastAsia="Times New Roman" w:cs="Times New Roman"/>
          <w:b/>
          <w:bCs/>
          <w:lang w:eastAsia="de-DE"/>
        </w:rPr>
        <w:t>Naftali</w:t>
      </w:r>
    </w:p>
    <w:p w14:paraId="3AA655C1"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Theologische Bedeutung der vollkommenen Gleichheit:</w:t>
      </w:r>
    </w:p>
    <w:p w14:paraId="1A348F5A"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massive Wiederholung ist kein literarischer Fehler, sondern theologisches Programm. Die absolute Identität aller zwölf Opfergaben verkündet fundamentale Wahrheiten:</w:t>
      </w:r>
    </w:p>
    <w:p w14:paraId="6D6C390C" w14:textId="77777777" w:rsidR="006F4EAF" w:rsidRPr="006F4EAF" w:rsidRDefault="006F4EAF" w:rsidP="00C15C06">
      <w:pPr>
        <w:numPr>
          <w:ilvl w:val="0"/>
          <w:numId w:val="65"/>
        </w:num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Gleichheit vor Gott:</w:t>
      </w:r>
      <w:r w:rsidRPr="006F4EAF">
        <w:rPr>
          <w:rFonts w:eastAsia="Times New Roman" w:cs="Times New Roman"/>
          <w:lang w:eastAsia="de-DE"/>
        </w:rPr>
        <w:t xml:space="preserve"> Jeder Stamm - groß oder klein, reich oder arm, erstgeboren oder nachgeboren - bringt exakt dieselbe Gabe dar. Es gibt keine Hierarchie in der Opfergabe, keine Bevorzugung, keine Benachteiligung. Vor Gott sind alle Stämme Israels völlig gleich.</w:t>
      </w:r>
    </w:p>
    <w:p w14:paraId="6BD57AE4" w14:textId="77777777" w:rsidR="006F4EAF" w:rsidRPr="006F4EAF" w:rsidRDefault="006F4EAF" w:rsidP="00C15C06">
      <w:pPr>
        <w:numPr>
          <w:ilvl w:val="0"/>
          <w:numId w:val="65"/>
        </w:num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Individuelle Würdigung:</w:t>
      </w:r>
      <w:r w:rsidRPr="006F4EAF">
        <w:rPr>
          <w:rFonts w:eastAsia="Times New Roman" w:cs="Times New Roman"/>
          <w:lang w:eastAsia="de-DE"/>
        </w:rPr>
        <w:t xml:space="preserve"> Obwohl die Gaben identisch sind, erhält jeder Stamm seinen eigenen Tag, seine eigene vollständige Nennung, seine eigene Aufmerksamkeit. Die Wiederholung ehrt jeden Stamm einzeln - niemand wird übergangen oder in einer Gruppe zusammengefasst.</w:t>
      </w:r>
    </w:p>
    <w:p w14:paraId="77D86EA4" w14:textId="77777777" w:rsidR="006F4EAF" w:rsidRPr="006F4EAF" w:rsidRDefault="006F4EAF" w:rsidP="00C15C06">
      <w:pPr>
        <w:numPr>
          <w:ilvl w:val="0"/>
          <w:numId w:val="65"/>
        </w:num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Einheit in Vielfalt:</w:t>
      </w:r>
      <w:r w:rsidRPr="006F4EAF">
        <w:rPr>
          <w:rFonts w:eastAsia="Times New Roman" w:cs="Times New Roman"/>
          <w:lang w:eastAsia="de-DE"/>
        </w:rPr>
        <w:t xml:space="preserve"> Die zwölf Stämme sind verschieden (verschiedene Namen, verschiedene Väter, verschiedene Territorien), aber sie sind eins in ihrer Hingabe an Gott. Die identische Opfergabe symbolisiert die Einheit Israels trotz seiner Vielfalt.</w:t>
      </w:r>
    </w:p>
    <w:p w14:paraId="4519867C" w14:textId="77777777" w:rsidR="006F4EAF" w:rsidRPr="006F4EAF" w:rsidRDefault="006F4EAF" w:rsidP="00C15C06">
      <w:pPr>
        <w:numPr>
          <w:ilvl w:val="0"/>
          <w:numId w:val="65"/>
        </w:num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Vollständigkeit:</w:t>
      </w:r>
      <w:r w:rsidRPr="006F4EAF">
        <w:rPr>
          <w:rFonts w:eastAsia="Times New Roman" w:cs="Times New Roman"/>
          <w:lang w:eastAsia="de-DE"/>
        </w:rPr>
        <w:t xml:space="preserve"> Die Zwölfzahl mit zwölf vollständigen Wiederholungen unterstreicht die Vollständigkeit Israels - alle Stämme sind dabei, keiner fehlt, keiner wird vergessen. Israel als Ganzes weiht den Altar ein.</w:t>
      </w:r>
    </w:p>
    <w:p w14:paraId="7F491517" w14:textId="77777777" w:rsidR="006F4EAF" w:rsidRPr="006F4EAF" w:rsidRDefault="006F4EAF" w:rsidP="00C15C06">
      <w:pPr>
        <w:numPr>
          <w:ilvl w:val="0"/>
          <w:numId w:val="65"/>
        </w:num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Geduld und Ausdauer:</w:t>
      </w:r>
      <w:r w:rsidRPr="006F4EAF">
        <w:rPr>
          <w:rFonts w:eastAsia="Times New Roman" w:cs="Times New Roman"/>
          <w:lang w:eastAsia="de-DE"/>
        </w:rPr>
        <w:t xml:space="preserve"> Die zwölftägige Zeremonie erfordert Geduld - sowohl von den wartenden Stämmen als auch von den Lesern/Hörern des Textes. Diese literarische "Langsamkeit" spiegelt die rituelle Langsamkeit wider und lehrt: Heilige Handlungen erfordern Zeit, Aufmerksamkeit, Geduld.</w:t>
      </w:r>
    </w:p>
    <w:p w14:paraId="31BB0F96" w14:textId="77777777" w:rsidR="006F4EAF" w:rsidRPr="006F4EAF" w:rsidRDefault="006F4EAF" w:rsidP="00C15C06">
      <w:pPr>
        <w:numPr>
          <w:ilvl w:val="0"/>
          <w:numId w:val="65"/>
        </w:num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Gleichförmigkeit des Kultes:</w:t>
      </w:r>
      <w:r w:rsidRPr="006F4EAF">
        <w:rPr>
          <w:rFonts w:eastAsia="Times New Roman" w:cs="Times New Roman"/>
          <w:lang w:eastAsia="de-DE"/>
        </w:rPr>
        <w:t xml:space="preserve"> Die identischen Opfergaben etablieren einen Standard - so sollen Einweihungsopfer aussehen. Dies schafft kultische Ordnung und Einheitlichkeit.</w:t>
      </w:r>
    </w:p>
    <w:p w14:paraId="7051CD9F"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lastRenderedPageBreak/>
        <w:t>Die scheinbar ermüdende Wiederholung ist also bewusste Theologie: Jeder Stamm zählt, jeder ist gleich wichtig, jeder verdient seine eigene vollständige Nennung. Die Länge des Textes spiegelt die Länge der Zeremonie - zwölf Tage feierlicher, gleichförmiger Hingabe.</w:t>
      </w:r>
    </w:p>
    <w:p w14:paraId="0D4A4EB1"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7,84</w:t>
      </w:r>
    </w:p>
    <w:p w14:paraId="76B98E93"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זֹ֣את׀ חֲנֻכַּ֣ת הַמִּזְבֵּ֗חַ בְּיוֹם֙ הִמָּשַׁ֣ח אֹת֔וֹ מֵאֵ֖ת נְשִׂיאֵ֣י יִשְׂרָאֵ֑ל קְעָרֹ֨ת כֶּ֜סֶף שְׁתֵּ֣ים עֶשְׂרֵ֗ה מִֽזְרְקֵי־כֶ֙סֶף֙ שְׁנֵ֣ים עָשָׂ֔ר כַּפּ֥וֹת זָהָ֖ב שְׁתֵּ֥ים עֶשְׂרֵֽה׃</w:t>
      </w:r>
    </w:p>
    <w:p w14:paraId="479F9909"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Dies war die Einweihung des Altars an dem Tag, als man ihn salbte, von den Fürsten Israels: zwölf silberne Schüsseln, zwölf silberne Sprengschalen, zwölf goldene Schalen.</w:t>
      </w:r>
    </w:p>
    <w:p w14:paraId="50BEBD05"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6F928858">
          <v:rect id="_x0000_i1289" style="width:0;height:1.5pt" o:hralign="center" o:hrstd="t" o:hr="t" fillcolor="#a0a0a0" stroked="f"/>
        </w:pict>
      </w:r>
    </w:p>
    <w:p w14:paraId="40663EFC" w14:textId="7559749E"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leitet die Gesamtzusammenfassung ein. </w:t>
      </w:r>
      <w:r w:rsidRPr="006F4EAF">
        <w:rPr>
          <w:rFonts w:eastAsia="Times New Roman" w:cs="Times New Roman"/>
          <w:b/>
          <w:bCs/>
          <w:rtl/>
          <w:lang w:eastAsia="de-DE"/>
        </w:rPr>
        <w:t>זֹאת חֲנֻכַּת הַמִּזְבֵּחַ בְּיוֹם הִמָּשַׁח אֹתוֹ מֵאֵת נְשִׂיאֵי יִשְׂרָאֵל</w:t>
      </w:r>
      <w:r w:rsidRPr="006F4EAF">
        <w:rPr>
          <w:rFonts w:eastAsia="Times New Roman" w:cs="Times New Roman"/>
          <w:rtl/>
          <w:lang w:eastAsia="de-DE"/>
        </w:rPr>
        <w:t xml:space="preserve"> </w:t>
      </w:r>
      <w:r w:rsidRPr="006F4EAF">
        <w:rPr>
          <w:rFonts w:eastAsia="Times New Roman" w:cs="Times New Roman"/>
          <w:lang w:eastAsia="de-DE"/>
        </w:rPr>
        <w:t xml:space="preserve">ist die Überschrift. </w:t>
      </w:r>
      <w:r w:rsidRPr="006F4EAF">
        <w:rPr>
          <w:rFonts w:eastAsia="Times New Roman" w:cs="Times New Roman"/>
          <w:b/>
          <w:bCs/>
          <w:rtl/>
          <w:lang w:eastAsia="de-DE"/>
        </w:rPr>
        <w:t>זֹאת</w:t>
      </w:r>
      <w:r w:rsidRPr="006F4EAF">
        <w:rPr>
          <w:rFonts w:eastAsia="Times New Roman" w:cs="Times New Roman"/>
          <w:rtl/>
          <w:lang w:eastAsia="de-DE"/>
        </w:rPr>
        <w:t xml:space="preserve"> </w:t>
      </w:r>
      <w:r w:rsidRPr="006F4EAF">
        <w:rPr>
          <w:rFonts w:eastAsia="Times New Roman" w:cs="Times New Roman"/>
          <w:lang w:eastAsia="de-DE"/>
        </w:rPr>
        <w:t xml:space="preserve">(Demonstrativpronomen feminin Singular „dies"), </w:t>
      </w:r>
      <w:r w:rsidRPr="006F4EAF">
        <w:rPr>
          <w:rFonts w:eastAsia="Times New Roman" w:cs="Times New Roman"/>
          <w:b/>
          <w:bCs/>
          <w:rtl/>
          <w:lang w:eastAsia="de-DE"/>
        </w:rPr>
        <w:t>חֲנֻכַּת הַמִּזְבֵּחַ</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 </w:t>
      </w:r>
      <w:r w:rsidRPr="006F4EAF">
        <w:rPr>
          <w:rFonts w:eastAsia="Times New Roman" w:cs="Times New Roman"/>
          <w:b/>
          <w:bCs/>
          <w:rtl/>
          <w:lang w:eastAsia="de-DE"/>
        </w:rPr>
        <w:t>חֲנֻכָּה</w:t>
      </w:r>
      <w:r w:rsidRPr="006F4EAF">
        <w:rPr>
          <w:rFonts w:eastAsia="Times New Roman" w:cs="Times New Roman"/>
          <w:rtl/>
          <w:lang w:eastAsia="de-DE"/>
        </w:rPr>
        <w:t xml:space="preserve"> </w:t>
      </w:r>
      <w:r w:rsidRPr="006F4EAF">
        <w:rPr>
          <w:rFonts w:eastAsia="Times New Roman" w:cs="Times New Roman"/>
          <w:lang w:eastAsia="de-DE"/>
        </w:rPr>
        <w:t xml:space="preserve">„Einweihung" mit </w:t>
      </w:r>
      <w:r w:rsidRPr="006F4EAF">
        <w:rPr>
          <w:rFonts w:eastAsia="Times New Roman" w:cs="Times New Roman"/>
          <w:b/>
          <w:bCs/>
          <w:rtl/>
          <w:lang w:eastAsia="de-DE"/>
        </w:rPr>
        <w:t>מִזְבֵּחַ</w:t>
      </w:r>
      <w:r w:rsidRPr="006F4EAF">
        <w:rPr>
          <w:rFonts w:eastAsia="Times New Roman" w:cs="Times New Roman"/>
          <w:rtl/>
          <w:lang w:eastAsia="de-DE"/>
        </w:rPr>
        <w:t xml:space="preserve"> </w:t>
      </w:r>
      <w:r w:rsidRPr="006F4EAF">
        <w:rPr>
          <w:rFonts w:eastAsia="Times New Roman" w:cs="Times New Roman"/>
          <w:lang w:eastAsia="de-DE"/>
        </w:rPr>
        <w:t xml:space="preserve">mit Artikel „die Einweihung des Altars"), </w:t>
      </w:r>
      <w:r w:rsidRPr="006F4EAF">
        <w:rPr>
          <w:rFonts w:eastAsia="Times New Roman" w:cs="Times New Roman"/>
          <w:b/>
          <w:bCs/>
          <w:rtl/>
          <w:lang w:eastAsia="de-DE"/>
        </w:rPr>
        <w:t>בְּיוֹם הִמָּשַׁח אֹתוֹ</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בְ</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יוֹם</w:t>
      </w:r>
      <w:r w:rsidRPr="006F4EAF">
        <w:rPr>
          <w:rFonts w:eastAsia="Times New Roman" w:cs="Times New Roman"/>
          <w:lang w:eastAsia="de-DE"/>
        </w:rPr>
        <w:t xml:space="preserve">, Niphal Infinitiv </w:t>
      </w:r>
      <w:r w:rsidR="00F133EC">
        <w:rPr>
          <w:rFonts w:eastAsia="Times New Roman" w:cs="Times New Roman"/>
          <w:lang w:eastAsia="de-DE"/>
        </w:rPr>
        <w:t>Constructus</w:t>
      </w:r>
      <w:r w:rsidRPr="006F4EAF">
        <w:rPr>
          <w:rFonts w:eastAsia="Times New Roman" w:cs="Times New Roman"/>
          <w:lang w:eastAsia="de-DE"/>
        </w:rPr>
        <w:t xml:space="preserve"> von </w:t>
      </w:r>
      <w:r w:rsidRPr="006F4EAF">
        <w:rPr>
          <w:rFonts w:eastAsia="Times New Roman" w:cs="Times New Roman"/>
          <w:b/>
          <w:bCs/>
          <w:rtl/>
          <w:lang w:eastAsia="de-DE"/>
        </w:rPr>
        <w:t>משׁח</w:t>
      </w:r>
      <w:r w:rsidRPr="006F4EAF">
        <w:rPr>
          <w:rFonts w:eastAsia="Times New Roman" w:cs="Times New Roman"/>
          <w:rtl/>
          <w:lang w:eastAsia="de-DE"/>
        </w:rPr>
        <w:t xml:space="preserve"> </w:t>
      </w:r>
      <w:r w:rsidRPr="006F4EAF">
        <w:rPr>
          <w:rFonts w:eastAsia="Times New Roman" w:cs="Times New Roman"/>
          <w:lang w:eastAsia="de-DE"/>
        </w:rPr>
        <w:t xml:space="preserve">mit Artikel und Akkusativpartikel mit Suffix „an dem Tag, als man ihn salbte"), </w:t>
      </w:r>
      <w:r w:rsidRPr="006F4EAF">
        <w:rPr>
          <w:rFonts w:eastAsia="Times New Roman" w:cs="Times New Roman"/>
          <w:b/>
          <w:bCs/>
          <w:rtl/>
          <w:lang w:eastAsia="de-DE"/>
        </w:rPr>
        <w:t>מֵאֵת נְשִׂיאֵי יִשְׂרָאֵל</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מִן</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אֵת</w:t>
      </w:r>
      <w:r w:rsidRPr="006F4EAF">
        <w:rPr>
          <w:rFonts w:eastAsia="Times New Roman" w:cs="Times New Roman"/>
          <w:rtl/>
          <w:lang w:eastAsia="de-DE"/>
        </w:rPr>
        <w:t xml:space="preserve"> </w:t>
      </w:r>
      <w:r w:rsidRPr="006F4EAF">
        <w:rPr>
          <w:rFonts w:eastAsia="Times New Roman" w:cs="Times New Roman"/>
          <w:lang w:eastAsia="de-DE"/>
        </w:rPr>
        <w:t xml:space="preserve">und Plural </w:t>
      </w:r>
      <w:r w:rsidR="00F133EC">
        <w:rPr>
          <w:rFonts w:eastAsia="Times New Roman" w:cs="Times New Roman"/>
          <w:lang w:eastAsia="de-DE"/>
        </w:rPr>
        <w:t>Constructus</w:t>
      </w:r>
      <w:r w:rsidRPr="006F4EAF">
        <w:rPr>
          <w:rFonts w:eastAsia="Times New Roman" w:cs="Times New Roman"/>
          <w:lang w:eastAsia="de-DE"/>
        </w:rPr>
        <w:t xml:space="preserve"> </w:t>
      </w:r>
      <w:r w:rsidRPr="006F4EAF">
        <w:rPr>
          <w:rFonts w:eastAsia="Times New Roman" w:cs="Times New Roman"/>
          <w:b/>
          <w:bCs/>
          <w:rtl/>
          <w:lang w:eastAsia="de-DE"/>
        </w:rPr>
        <w:t>נָשִׂיא</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יִשְׂרָאֵל</w:t>
      </w:r>
      <w:r w:rsidRPr="006F4EAF">
        <w:rPr>
          <w:rFonts w:eastAsia="Times New Roman" w:cs="Times New Roman"/>
          <w:rtl/>
          <w:lang w:eastAsia="de-DE"/>
        </w:rPr>
        <w:t xml:space="preserve"> </w:t>
      </w:r>
      <w:r w:rsidRPr="006F4EAF">
        <w:rPr>
          <w:rFonts w:eastAsia="Times New Roman" w:cs="Times New Roman"/>
          <w:lang w:eastAsia="de-DE"/>
        </w:rPr>
        <w:t>„von den Fürsten Israels").</w:t>
      </w:r>
    </w:p>
    <w:p w14:paraId="2D8B1F0B" w14:textId="65064CB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קְעָרֹת כֶּסֶף שְׁתֵּים עֶשְׂרֵה מִזְרְקֵי־כֶסֶף שְׁנֵים עָשָׂר כַּפּוֹת זָהָב שְׁתֵּים עֶשְׂרֵה</w:t>
      </w:r>
      <w:r w:rsidRPr="006F4EAF">
        <w:rPr>
          <w:rFonts w:eastAsia="Times New Roman" w:cs="Times New Roman"/>
          <w:rtl/>
          <w:lang w:eastAsia="de-DE"/>
        </w:rPr>
        <w:t xml:space="preserve"> </w:t>
      </w:r>
      <w:r w:rsidRPr="006F4EAF">
        <w:rPr>
          <w:rFonts w:eastAsia="Times New Roman" w:cs="Times New Roman"/>
          <w:lang w:eastAsia="de-DE"/>
        </w:rPr>
        <w:t xml:space="preserve">ist die erste Aufzählung. </w:t>
      </w:r>
      <w:r w:rsidRPr="006F4EAF">
        <w:rPr>
          <w:rFonts w:eastAsia="Times New Roman" w:cs="Times New Roman"/>
          <w:b/>
          <w:bCs/>
          <w:rtl/>
          <w:lang w:eastAsia="de-DE"/>
        </w:rPr>
        <w:t>קְעָרֹת כֶּסֶף שְׁתֵּים עֶשְׂרֵה</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00F133EC">
        <w:rPr>
          <w:rFonts w:eastAsia="Times New Roman" w:cs="Times New Roman"/>
          <w:lang w:eastAsia="de-DE"/>
        </w:rPr>
        <w:t>Constructus</w:t>
      </w:r>
      <w:r w:rsidRPr="006F4EAF">
        <w:rPr>
          <w:rFonts w:eastAsia="Times New Roman" w:cs="Times New Roman"/>
          <w:lang w:eastAsia="de-DE"/>
        </w:rPr>
        <w:t xml:space="preserve"> </w:t>
      </w:r>
      <w:r w:rsidRPr="006F4EAF">
        <w:rPr>
          <w:rFonts w:eastAsia="Times New Roman" w:cs="Times New Roman"/>
          <w:b/>
          <w:bCs/>
          <w:rtl/>
          <w:lang w:eastAsia="de-DE"/>
        </w:rPr>
        <w:t>קְעָרָה</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כֶּסֶף</w:t>
      </w:r>
      <w:r w:rsidRPr="006F4EAF">
        <w:rPr>
          <w:rFonts w:eastAsia="Times New Roman" w:cs="Times New Roman"/>
          <w:rtl/>
          <w:lang w:eastAsia="de-DE"/>
        </w:rPr>
        <w:t xml:space="preserve"> </w:t>
      </w:r>
      <w:r w:rsidRPr="006F4EAF">
        <w:rPr>
          <w:rFonts w:eastAsia="Times New Roman" w:cs="Times New Roman"/>
          <w:lang w:eastAsia="de-DE"/>
        </w:rPr>
        <w:t xml:space="preserve">und zusammengesetzte Kardinalzahl feminin „zwölf silberne Schüsseln"), </w:t>
      </w:r>
      <w:r w:rsidRPr="006F4EAF">
        <w:rPr>
          <w:rFonts w:eastAsia="Times New Roman" w:cs="Times New Roman"/>
          <w:b/>
          <w:bCs/>
          <w:rtl/>
          <w:lang w:eastAsia="de-DE"/>
        </w:rPr>
        <w:t>מִזְרְקֵי־כֶסֶף שְׁנֵים עָשָׂר</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00F133EC">
        <w:rPr>
          <w:rFonts w:eastAsia="Times New Roman" w:cs="Times New Roman"/>
          <w:lang w:eastAsia="de-DE"/>
        </w:rPr>
        <w:t>Constructus</w:t>
      </w:r>
      <w:r w:rsidRPr="006F4EAF">
        <w:rPr>
          <w:rFonts w:eastAsia="Times New Roman" w:cs="Times New Roman"/>
          <w:lang w:eastAsia="de-DE"/>
        </w:rPr>
        <w:t xml:space="preserve"> </w:t>
      </w:r>
      <w:r w:rsidRPr="006F4EAF">
        <w:rPr>
          <w:rFonts w:eastAsia="Times New Roman" w:cs="Times New Roman"/>
          <w:b/>
          <w:bCs/>
          <w:rtl/>
          <w:lang w:eastAsia="de-DE"/>
        </w:rPr>
        <w:t>מִזְרָק</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כֶּסֶף</w:t>
      </w:r>
      <w:r w:rsidRPr="006F4EAF">
        <w:rPr>
          <w:rFonts w:eastAsia="Times New Roman" w:cs="Times New Roman"/>
          <w:rtl/>
          <w:lang w:eastAsia="de-DE"/>
        </w:rPr>
        <w:t xml:space="preserve"> </w:t>
      </w:r>
      <w:r w:rsidRPr="006F4EAF">
        <w:rPr>
          <w:rFonts w:eastAsia="Times New Roman" w:cs="Times New Roman"/>
          <w:lang w:eastAsia="de-DE"/>
        </w:rPr>
        <w:t xml:space="preserve">und zusammengesetzte Kardinalzahl maskulin „zwölf silberne Sprengschalen"), </w:t>
      </w:r>
      <w:r w:rsidRPr="006F4EAF">
        <w:rPr>
          <w:rFonts w:eastAsia="Times New Roman" w:cs="Times New Roman"/>
          <w:b/>
          <w:bCs/>
          <w:rtl/>
          <w:lang w:eastAsia="de-DE"/>
        </w:rPr>
        <w:t>כַּפּוֹת זָהָב שְׁתֵּים עֶשְׂרֵה</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Pr="006F4EAF">
        <w:rPr>
          <w:rFonts w:eastAsia="Times New Roman" w:cs="Times New Roman"/>
          <w:b/>
          <w:bCs/>
          <w:rtl/>
          <w:lang w:eastAsia="de-DE"/>
        </w:rPr>
        <w:t>כַּף</w:t>
      </w:r>
      <w:r w:rsidRPr="006F4EAF">
        <w:rPr>
          <w:rFonts w:eastAsia="Times New Roman" w:cs="Times New Roman"/>
          <w:rtl/>
          <w:lang w:eastAsia="de-DE"/>
        </w:rPr>
        <w:t xml:space="preserve"> </w:t>
      </w:r>
      <w:r w:rsidRPr="006F4EAF">
        <w:rPr>
          <w:rFonts w:eastAsia="Times New Roman" w:cs="Times New Roman"/>
          <w:lang w:eastAsia="de-DE"/>
        </w:rPr>
        <w:t xml:space="preserve">im </w:t>
      </w:r>
      <w:r w:rsidR="00F133EC">
        <w:rPr>
          <w:rFonts w:eastAsia="Times New Roman" w:cs="Times New Roman"/>
          <w:lang w:eastAsia="de-DE"/>
        </w:rPr>
        <w:t>Constructus</w:t>
      </w:r>
      <w:r w:rsidRPr="006F4EAF">
        <w:rPr>
          <w:rFonts w:eastAsia="Times New Roman" w:cs="Times New Roman"/>
          <w:lang w:eastAsia="de-DE"/>
        </w:rPr>
        <w:t xml:space="preserve"> mit </w:t>
      </w:r>
      <w:r w:rsidRPr="006F4EAF">
        <w:rPr>
          <w:rFonts w:eastAsia="Times New Roman" w:cs="Times New Roman"/>
          <w:b/>
          <w:bCs/>
          <w:rtl/>
          <w:lang w:eastAsia="de-DE"/>
        </w:rPr>
        <w:t>זָהָב</w:t>
      </w:r>
      <w:r w:rsidRPr="006F4EAF">
        <w:rPr>
          <w:rFonts w:eastAsia="Times New Roman" w:cs="Times New Roman"/>
          <w:rtl/>
          <w:lang w:eastAsia="de-DE"/>
        </w:rPr>
        <w:t xml:space="preserve"> </w:t>
      </w:r>
      <w:r w:rsidRPr="006F4EAF">
        <w:rPr>
          <w:rFonts w:eastAsia="Times New Roman" w:cs="Times New Roman"/>
          <w:lang w:eastAsia="de-DE"/>
        </w:rPr>
        <w:t>und Kardinalzahl feminin „zwölf goldene Schalen").</w:t>
      </w:r>
    </w:p>
    <w:p w14:paraId="4D32A623"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eine demonstrative Überschrift mit temporaler und agentiver Bestimmung, gefolgt von einer dreigliedrigen nominalen Aufzählung.</w:t>
      </w:r>
    </w:p>
    <w:p w14:paraId="2B1C6EF3"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Der Vers beginnt die Gesamtbilanz: Nach zwölf Tagen identischer Opfergaben summiert der Text die Gefäße - zwölf von jeder Art. Die Wiederholung der Zwölfzahl unterstreicht die Vollständigkeit: jeder Stamm hat beigetragen.</w:t>
      </w:r>
    </w:p>
    <w:p w14:paraId="7CD918C5"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7,85</w:t>
      </w:r>
    </w:p>
    <w:p w14:paraId="2F983C1F"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שְׁלֹשִׁ֣ים וּמֵאָה֮ הַקְּעָרָ֣ה הָאַחַ֣ת׀ כֶּסֶף֒ וְשִׁבְעִ֗ים הַמִּזְרָ֤ק הָאֶחָד֙ כֹּ֚ל כֶּ֣סֶף הַכֵּלִ֔ים אַלְפַּ֥יִם וְאַרְבַּע־מֵא֖וֹת בְּשֶׁ֥קֶל הַקֹּֽדֶשׁ׃</w:t>
      </w:r>
    </w:p>
    <w:p w14:paraId="7E474328"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130 Schekel die eine Schüssel an Silber und 70 die eine Sprengschale; alles Silber der Gefäße: 2.400 Schekel nach dem Schekel des Heiligtums.</w:t>
      </w:r>
    </w:p>
    <w:p w14:paraId="0EE843D4"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6385971F">
          <v:rect id="_x0000_i1290" style="width:0;height:1.5pt" o:hralign="center" o:hrstd="t" o:hr="t" fillcolor="#a0a0a0" stroked="f"/>
        </w:pict>
      </w:r>
    </w:p>
    <w:p w14:paraId="7F7EDDE0"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gibt die Gewichte der Silbergefäße an. </w:t>
      </w:r>
      <w:r w:rsidRPr="006F4EAF">
        <w:rPr>
          <w:rFonts w:eastAsia="Times New Roman" w:cs="Times New Roman"/>
          <w:b/>
          <w:bCs/>
          <w:rtl/>
          <w:lang w:eastAsia="de-DE"/>
        </w:rPr>
        <w:t>שְׁלֹשִׁים וּמֵאָה הַקְּעָרָה הָאַחַת כֶּסֶף</w:t>
      </w:r>
      <w:r w:rsidRPr="006F4EAF">
        <w:rPr>
          <w:rFonts w:eastAsia="Times New Roman" w:cs="Times New Roman"/>
          <w:rtl/>
          <w:lang w:eastAsia="de-DE"/>
        </w:rPr>
        <w:t xml:space="preserve"> </w:t>
      </w:r>
      <w:r w:rsidRPr="006F4EAF">
        <w:rPr>
          <w:rFonts w:eastAsia="Times New Roman" w:cs="Times New Roman"/>
          <w:lang w:eastAsia="de-DE"/>
        </w:rPr>
        <w:t xml:space="preserve">ist das Gewicht einer Schüssel. </w:t>
      </w:r>
      <w:r w:rsidRPr="006F4EAF">
        <w:rPr>
          <w:rFonts w:eastAsia="Times New Roman" w:cs="Times New Roman"/>
          <w:b/>
          <w:bCs/>
          <w:rtl/>
          <w:lang w:eastAsia="de-DE"/>
        </w:rPr>
        <w:t>שְׁלֹשִׁים וּמֵאָה</w:t>
      </w:r>
      <w:r w:rsidRPr="006F4EAF">
        <w:rPr>
          <w:rFonts w:eastAsia="Times New Roman" w:cs="Times New Roman"/>
          <w:rtl/>
          <w:lang w:eastAsia="de-DE"/>
        </w:rPr>
        <w:t xml:space="preserve"> </w:t>
      </w:r>
      <w:r w:rsidRPr="006F4EAF">
        <w:rPr>
          <w:rFonts w:eastAsia="Times New Roman" w:cs="Times New Roman"/>
          <w:lang w:eastAsia="de-DE"/>
        </w:rPr>
        <w:t xml:space="preserve">(Kardinalzahlen „dreißig und hundert" = 130), </w:t>
      </w:r>
      <w:r w:rsidRPr="006F4EAF">
        <w:rPr>
          <w:rFonts w:eastAsia="Times New Roman" w:cs="Times New Roman"/>
          <w:b/>
          <w:bCs/>
          <w:rtl/>
          <w:lang w:eastAsia="de-DE"/>
        </w:rPr>
        <w:lastRenderedPageBreak/>
        <w:t>הַקְּעָרָה הָאַחַת</w:t>
      </w:r>
      <w:r w:rsidRPr="006F4EAF">
        <w:rPr>
          <w:rFonts w:eastAsia="Times New Roman" w:cs="Times New Roman"/>
          <w:rtl/>
          <w:lang w:eastAsia="de-DE"/>
        </w:rPr>
        <w:t xml:space="preserve"> </w:t>
      </w:r>
      <w:r w:rsidRPr="006F4EAF">
        <w:rPr>
          <w:rFonts w:eastAsia="Times New Roman" w:cs="Times New Roman"/>
          <w:lang w:eastAsia="de-DE"/>
        </w:rPr>
        <w:t xml:space="preserve">(Artikel mit </w:t>
      </w:r>
      <w:r w:rsidRPr="006F4EAF">
        <w:rPr>
          <w:rFonts w:eastAsia="Times New Roman" w:cs="Times New Roman"/>
          <w:b/>
          <w:bCs/>
          <w:rtl/>
          <w:lang w:eastAsia="de-DE"/>
        </w:rPr>
        <w:t>קְעָרָה</w:t>
      </w:r>
      <w:r w:rsidRPr="006F4EAF">
        <w:rPr>
          <w:rFonts w:eastAsia="Times New Roman" w:cs="Times New Roman"/>
          <w:rtl/>
          <w:lang w:eastAsia="de-DE"/>
        </w:rPr>
        <w:t xml:space="preserve"> </w:t>
      </w:r>
      <w:r w:rsidRPr="006F4EAF">
        <w:rPr>
          <w:rFonts w:eastAsia="Times New Roman" w:cs="Times New Roman"/>
          <w:lang w:eastAsia="de-DE"/>
        </w:rPr>
        <w:t xml:space="preserve">und </w:t>
      </w:r>
      <w:r w:rsidRPr="006F4EAF">
        <w:rPr>
          <w:rFonts w:eastAsia="Times New Roman" w:cs="Times New Roman"/>
          <w:b/>
          <w:bCs/>
          <w:rtl/>
          <w:lang w:eastAsia="de-DE"/>
        </w:rPr>
        <w:t>אֶחָד</w:t>
      </w:r>
      <w:r w:rsidRPr="006F4EAF">
        <w:rPr>
          <w:rFonts w:eastAsia="Times New Roman" w:cs="Times New Roman"/>
          <w:rtl/>
          <w:lang w:eastAsia="de-DE"/>
        </w:rPr>
        <w:t xml:space="preserve"> </w:t>
      </w:r>
      <w:r w:rsidRPr="006F4EAF">
        <w:rPr>
          <w:rFonts w:eastAsia="Times New Roman" w:cs="Times New Roman"/>
          <w:lang w:eastAsia="de-DE"/>
        </w:rPr>
        <w:t xml:space="preserve">feminin mit Artikel „die eine Schüssel"), </w:t>
      </w:r>
      <w:r w:rsidRPr="006F4EAF">
        <w:rPr>
          <w:rFonts w:eastAsia="Times New Roman" w:cs="Times New Roman"/>
          <w:b/>
          <w:bCs/>
          <w:rtl/>
          <w:lang w:eastAsia="de-DE"/>
        </w:rPr>
        <w:t>כֶּסֶף</w:t>
      </w:r>
      <w:r w:rsidRPr="006F4EAF">
        <w:rPr>
          <w:rFonts w:eastAsia="Times New Roman" w:cs="Times New Roman"/>
          <w:rtl/>
          <w:lang w:eastAsia="de-DE"/>
        </w:rPr>
        <w:t xml:space="preserve"> </w:t>
      </w:r>
      <w:r w:rsidRPr="006F4EAF">
        <w:rPr>
          <w:rFonts w:eastAsia="Times New Roman" w:cs="Times New Roman"/>
          <w:lang w:eastAsia="de-DE"/>
        </w:rPr>
        <w:t xml:space="preserve">(Akkusativ oder Genitivus materiae „an Silber"). </w:t>
      </w:r>
      <w:r w:rsidRPr="006F4EAF">
        <w:rPr>
          <w:rFonts w:eastAsia="Times New Roman" w:cs="Times New Roman"/>
          <w:b/>
          <w:bCs/>
          <w:rtl/>
          <w:lang w:eastAsia="de-DE"/>
        </w:rPr>
        <w:t>וְשִׁבְעִים הַמִּזְרָק הָאֶחָד</w:t>
      </w:r>
      <w:r w:rsidRPr="006F4EAF">
        <w:rPr>
          <w:rFonts w:eastAsia="Times New Roman" w:cs="Times New Roman"/>
          <w:rtl/>
          <w:lang w:eastAsia="de-DE"/>
        </w:rPr>
        <w:t xml:space="preserve"> </w:t>
      </w:r>
      <w:r w:rsidRPr="006F4EAF">
        <w:rPr>
          <w:rFonts w:eastAsia="Times New Roman" w:cs="Times New Roman"/>
          <w:lang w:eastAsia="de-DE"/>
        </w:rPr>
        <w:t xml:space="preserve">ist das Gewicht einer Sprengschale. </w:t>
      </w:r>
      <w:r w:rsidRPr="006F4EAF">
        <w:rPr>
          <w:rFonts w:eastAsia="Times New Roman" w:cs="Times New Roman"/>
          <w:b/>
          <w:bCs/>
          <w:rtl/>
          <w:lang w:eastAsia="de-DE"/>
        </w:rPr>
        <w:t>וְשִׁבְעִים</w:t>
      </w:r>
      <w:r w:rsidRPr="006F4EAF">
        <w:rPr>
          <w:rFonts w:eastAsia="Times New Roman" w:cs="Times New Roman"/>
          <w:rtl/>
          <w:lang w:eastAsia="de-DE"/>
        </w:rPr>
        <w:t xml:space="preserve"> </w:t>
      </w:r>
      <w:r w:rsidRPr="006F4EAF">
        <w:rPr>
          <w:rFonts w:eastAsia="Times New Roman" w:cs="Times New Roman"/>
          <w:lang w:eastAsia="de-DE"/>
        </w:rPr>
        <w:t xml:space="preserve">(Konjunktion mit Kardinalzahl „und siebzig"), </w:t>
      </w:r>
      <w:r w:rsidRPr="006F4EAF">
        <w:rPr>
          <w:rFonts w:eastAsia="Times New Roman" w:cs="Times New Roman"/>
          <w:b/>
          <w:bCs/>
          <w:rtl/>
          <w:lang w:eastAsia="de-DE"/>
        </w:rPr>
        <w:t>הַמִּזְרָק הָאֶחָד</w:t>
      </w:r>
      <w:r w:rsidRPr="006F4EAF">
        <w:rPr>
          <w:rFonts w:eastAsia="Times New Roman" w:cs="Times New Roman"/>
          <w:rtl/>
          <w:lang w:eastAsia="de-DE"/>
        </w:rPr>
        <w:t xml:space="preserve"> </w:t>
      </w:r>
      <w:r w:rsidRPr="006F4EAF">
        <w:rPr>
          <w:rFonts w:eastAsia="Times New Roman" w:cs="Times New Roman"/>
          <w:lang w:eastAsia="de-DE"/>
        </w:rPr>
        <w:t>(„die eine Sprengschale").</w:t>
      </w:r>
    </w:p>
    <w:p w14:paraId="4112CD9D" w14:textId="69D863D6"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כֹּל כֶּסֶף הַכֵּלִים אַלְפַּיִם וְאַרְבַּע־מֵאוֹת בְּשֶׁקֶל הַקֹּדֶשׁ</w:t>
      </w:r>
      <w:r w:rsidRPr="006F4EAF">
        <w:rPr>
          <w:rFonts w:eastAsia="Times New Roman" w:cs="Times New Roman"/>
          <w:rtl/>
          <w:lang w:eastAsia="de-DE"/>
        </w:rPr>
        <w:t xml:space="preserve"> </w:t>
      </w:r>
      <w:r w:rsidRPr="006F4EAF">
        <w:rPr>
          <w:rFonts w:eastAsia="Times New Roman" w:cs="Times New Roman"/>
          <w:lang w:eastAsia="de-DE"/>
        </w:rPr>
        <w:t xml:space="preserve">gibt die Gesamtsumme an. </w:t>
      </w:r>
      <w:r w:rsidRPr="006F4EAF">
        <w:rPr>
          <w:rFonts w:eastAsia="Times New Roman" w:cs="Times New Roman"/>
          <w:b/>
          <w:bCs/>
          <w:rtl/>
          <w:lang w:eastAsia="de-DE"/>
        </w:rPr>
        <w:t>כֹּל כֶּסֶף הַכֵּלִים</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kette: </w:t>
      </w:r>
      <w:r w:rsidRPr="006F4EAF">
        <w:rPr>
          <w:rFonts w:eastAsia="Times New Roman" w:cs="Times New Roman"/>
          <w:b/>
          <w:bCs/>
          <w:rtl/>
          <w:lang w:eastAsia="de-DE"/>
        </w:rPr>
        <w:t>כֹּל</w:t>
      </w:r>
      <w:r w:rsidRPr="006F4EAF">
        <w:rPr>
          <w:rFonts w:eastAsia="Times New Roman" w:cs="Times New Roman"/>
          <w:rtl/>
          <w:lang w:eastAsia="de-DE"/>
        </w:rPr>
        <w:t xml:space="preserve"> </w:t>
      </w:r>
      <w:r w:rsidRPr="006F4EAF">
        <w:rPr>
          <w:rFonts w:eastAsia="Times New Roman" w:cs="Times New Roman"/>
          <w:lang w:eastAsia="de-DE"/>
        </w:rPr>
        <w:t xml:space="preserve">„alles" im </w:t>
      </w:r>
      <w:r w:rsidR="00F133EC">
        <w:rPr>
          <w:rFonts w:eastAsia="Times New Roman" w:cs="Times New Roman"/>
          <w:lang w:eastAsia="de-DE"/>
        </w:rPr>
        <w:t>Constructus</w:t>
      </w:r>
      <w:r w:rsidRPr="006F4EAF">
        <w:rPr>
          <w:rFonts w:eastAsia="Times New Roman" w:cs="Times New Roman"/>
          <w:lang w:eastAsia="de-DE"/>
        </w:rPr>
        <w:t xml:space="preserve"> mit </w:t>
      </w:r>
      <w:r w:rsidRPr="006F4EAF">
        <w:rPr>
          <w:rFonts w:eastAsia="Times New Roman" w:cs="Times New Roman"/>
          <w:b/>
          <w:bCs/>
          <w:rtl/>
          <w:lang w:eastAsia="de-DE"/>
        </w:rPr>
        <w:t>כֶּסֶף</w:t>
      </w:r>
      <w:r w:rsidRPr="006F4EAF">
        <w:rPr>
          <w:rFonts w:eastAsia="Times New Roman" w:cs="Times New Roman"/>
          <w:rtl/>
          <w:lang w:eastAsia="de-DE"/>
        </w:rPr>
        <w:t xml:space="preserve"> </w:t>
      </w:r>
      <w:r w:rsidRPr="006F4EAF">
        <w:rPr>
          <w:rFonts w:eastAsia="Times New Roman" w:cs="Times New Roman"/>
          <w:lang w:eastAsia="de-DE"/>
        </w:rPr>
        <w:t xml:space="preserve">„Silber" im </w:t>
      </w:r>
      <w:r w:rsidR="00F133EC">
        <w:rPr>
          <w:rFonts w:eastAsia="Times New Roman" w:cs="Times New Roman"/>
          <w:lang w:eastAsia="de-DE"/>
        </w:rPr>
        <w:t>Constructus</w:t>
      </w:r>
      <w:r w:rsidRPr="006F4EAF">
        <w:rPr>
          <w:rFonts w:eastAsia="Times New Roman" w:cs="Times New Roman"/>
          <w:lang w:eastAsia="de-DE"/>
        </w:rPr>
        <w:t xml:space="preserve"> mit Plural </w:t>
      </w:r>
      <w:r w:rsidRPr="006F4EAF">
        <w:rPr>
          <w:rFonts w:eastAsia="Times New Roman" w:cs="Times New Roman"/>
          <w:b/>
          <w:bCs/>
          <w:rtl/>
          <w:lang w:eastAsia="de-DE"/>
        </w:rPr>
        <w:t>כְּלִי</w:t>
      </w:r>
      <w:r w:rsidRPr="006F4EAF">
        <w:rPr>
          <w:rFonts w:eastAsia="Times New Roman" w:cs="Times New Roman"/>
          <w:rtl/>
          <w:lang w:eastAsia="de-DE"/>
        </w:rPr>
        <w:t xml:space="preserve"> </w:t>
      </w:r>
      <w:r w:rsidRPr="006F4EAF">
        <w:rPr>
          <w:rFonts w:eastAsia="Times New Roman" w:cs="Times New Roman"/>
          <w:lang w:eastAsia="de-DE"/>
        </w:rPr>
        <w:t xml:space="preserve">mit Artikel „alles Silber der Gefäße"), </w:t>
      </w:r>
      <w:r w:rsidRPr="006F4EAF">
        <w:rPr>
          <w:rFonts w:eastAsia="Times New Roman" w:cs="Times New Roman"/>
          <w:b/>
          <w:bCs/>
          <w:rtl/>
          <w:lang w:eastAsia="de-DE"/>
        </w:rPr>
        <w:t>אַלְפַּיִם וְאַרְבַּע־מֵאוֹת</w:t>
      </w:r>
      <w:r w:rsidRPr="006F4EAF">
        <w:rPr>
          <w:rFonts w:eastAsia="Times New Roman" w:cs="Times New Roman"/>
          <w:rtl/>
          <w:lang w:eastAsia="de-DE"/>
        </w:rPr>
        <w:t xml:space="preserve"> </w:t>
      </w:r>
      <w:r w:rsidRPr="006F4EAF">
        <w:rPr>
          <w:rFonts w:eastAsia="Times New Roman" w:cs="Times New Roman"/>
          <w:lang w:eastAsia="de-DE"/>
        </w:rPr>
        <w:t xml:space="preserve">(Kardinalzahlen: Dual </w:t>
      </w:r>
      <w:r w:rsidRPr="006F4EAF">
        <w:rPr>
          <w:rFonts w:eastAsia="Times New Roman" w:cs="Times New Roman"/>
          <w:b/>
          <w:bCs/>
          <w:rtl/>
          <w:lang w:eastAsia="de-DE"/>
        </w:rPr>
        <w:t>אֶלֶף</w:t>
      </w:r>
      <w:r w:rsidRPr="006F4EAF">
        <w:rPr>
          <w:rFonts w:eastAsia="Times New Roman" w:cs="Times New Roman"/>
          <w:rtl/>
          <w:lang w:eastAsia="de-DE"/>
        </w:rPr>
        <w:t xml:space="preserve"> </w:t>
      </w:r>
      <w:r w:rsidRPr="006F4EAF">
        <w:rPr>
          <w:rFonts w:eastAsia="Times New Roman" w:cs="Times New Roman"/>
          <w:lang w:eastAsia="de-DE"/>
        </w:rPr>
        <w:t xml:space="preserve">„zwei tausend" und </w:t>
      </w:r>
      <w:r w:rsidRPr="006F4EAF">
        <w:rPr>
          <w:rFonts w:eastAsia="Times New Roman" w:cs="Times New Roman"/>
          <w:b/>
          <w:bCs/>
          <w:rtl/>
          <w:lang w:eastAsia="de-DE"/>
        </w:rPr>
        <w:t>אַרְבַּע מֵאוֹת</w:t>
      </w:r>
      <w:r w:rsidRPr="006F4EAF">
        <w:rPr>
          <w:rFonts w:eastAsia="Times New Roman" w:cs="Times New Roman"/>
          <w:rtl/>
          <w:lang w:eastAsia="de-DE"/>
        </w:rPr>
        <w:t xml:space="preserve"> </w:t>
      </w:r>
      <w:r w:rsidRPr="006F4EAF">
        <w:rPr>
          <w:rFonts w:eastAsia="Times New Roman" w:cs="Times New Roman"/>
          <w:lang w:eastAsia="de-DE"/>
        </w:rPr>
        <w:t xml:space="preserve">„vier hundert" = 2.400), </w:t>
      </w:r>
      <w:r w:rsidRPr="006F4EAF">
        <w:rPr>
          <w:rFonts w:eastAsia="Times New Roman" w:cs="Times New Roman"/>
          <w:b/>
          <w:bCs/>
          <w:rtl/>
          <w:lang w:eastAsia="de-DE"/>
        </w:rPr>
        <w:t>בְּשֶׁקֶל הַקֹּדֶשׁ</w:t>
      </w:r>
      <w:r w:rsidRPr="006F4EAF">
        <w:rPr>
          <w:rFonts w:eastAsia="Times New Roman" w:cs="Times New Roman"/>
          <w:rtl/>
          <w:lang w:eastAsia="de-DE"/>
        </w:rPr>
        <w:t xml:space="preserve"> </w:t>
      </w:r>
      <w:r w:rsidRPr="006F4EAF">
        <w:rPr>
          <w:rFonts w:eastAsia="Times New Roman" w:cs="Times New Roman"/>
          <w:lang w:eastAsia="de-DE"/>
        </w:rPr>
        <w:t>(„nach dem Schekel des Heiligtums").</w:t>
      </w:r>
    </w:p>
    <w:p w14:paraId="0966E7F7"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zwei nominale Gewichtsangaben pro Gefäßtyp, gefolgt von einer Gesamtsummenangabe.</w:t>
      </w:r>
    </w:p>
    <w:p w14:paraId="4BDD9FBC"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Der Vers berechnet: 12 Schüsseln à 130 Schekel = 1.560 Schekel, 12 Sprengschalen à 70 Schekel = 840 Schekel, zusammen 2.400 Schekel Silber (ca. 27,6 kg). Die präzise Buchhaltung zeigt: Jede Gabe wurde gewogen und registriert - Transparenz und Ordnung im Heiligtumsdienst.</w:t>
      </w:r>
    </w:p>
    <w:p w14:paraId="1045C132"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7,86</w:t>
      </w:r>
    </w:p>
    <w:p w14:paraId="5F116318"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כַּפּ֨וֹת זָהָ֤ב שְׁתֵּים־עֶשְׂרֵה֙ מְלֵאֹ֣ת קְטֹ֔רֶת עֲשָׂרָ֧ה עֲשָׂרָ֛ה הַכַּ֖ף בְּשֶׁ֣קֶל הַקֹּ֑דֶשׁ כָּל־זְהַ֥ב הַכַּפּ֖וֹת עֶשְׂרִ֥ים וּמֵאָֽה׃</w:t>
      </w:r>
    </w:p>
    <w:p w14:paraId="391377F2"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Zwölf goldene Schalen, gefüllt mit Räucherwerk, je zehn, zehn Schekel die Schale nach dem Schekel des Heiligtums; alles Gold der Schalen: 120 Schekel.</w:t>
      </w:r>
    </w:p>
    <w:p w14:paraId="3AED4BCB"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1703638B">
          <v:rect id="_x0000_i1291" style="width:0;height:1.5pt" o:hralign="center" o:hrstd="t" o:hr="t" fillcolor="#a0a0a0" stroked="f"/>
        </w:pict>
      </w:r>
    </w:p>
    <w:p w14:paraId="3C816C29" w14:textId="5F6FD2FF"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gibt die Gewichte der Goldschalen an. </w:t>
      </w:r>
      <w:r w:rsidRPr="006F4EAF">
        <w:rPr>
          <w:rFonts w:eastAsia="Times New Roman" w:cs="Times New Roman"/>
          <w:b/>
          <w:bCs/>
          <w:rtl/>
          <w:lang w:eastAsia="de-DE"/>
        </w:rPr>
        <w:t>כַּפּוֹת זָהָב שְׁתֵּים־עֶשְׂרֵה מְלֵאֹת קְטֹרֶת</w:t>
      </w:r>
      <w:r w:rsidRPr="006F4EAF">
        <w:rPr>
          <w:rFonts w:eastAsia="Times New Roman" w:cs="Times New Roman"/>
          <w:rtl/>
          <w:lang w:eastAsia="de-DE"/>
        </w:rPr>
        <w:t xml:space="preserve"> </w:t>
      </w:r>
      <w:r w:rsidRPr="006F4EAF">
        <w:rPr>
          <w:rFonts w:eastAsia="Times New Roman" w:cs="Times New Roman"/>
          <w:lang w:eastAsia="de-DE"/>
        </w:rPr>
        <w:t xml:space="preserve">wiederholt die Zahl und den Inhalt. </w:t>
      </w:r>
      <w:r w:rsidRPr="006F4EAF">
        <w:rPr>
          <w:rFonts w:eastAsia="Times New Roman" w:cs="Times New Roman"/>
          <w:b/>
          <w:bCs/>
          <w:rtl/>
          <w:lang w:eastAsia="de-DE"/>
        </w:rPr>
        <w:t>כַּפּוֹת זָהָב שְׁתֵּים־עֶשְׂרֵה</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Pr="006F4EAF">
        <w:rPr>
          <w:rFonts w:eastAsia="Times New Roman" w:cs="Times New Roman"/>
          <w:b/>
          <w:bCs/>
          <w:rtl/>
          <w:lang w:eastAsia="de-DE"/>
        </w:rPr>
        <w:t>כַּף</w:t>
      </w:r>
      <w:r w:rsidRPr="006F4EAF">
        <w:rPr>
          <w:rFonts w:eastAsia="Times New Roman" w:cs="Times New Roman"/>
          <w:rtl/>
          <w:lang w:eastAsia="de-DE"/>
        </w:rPr>
        <w:t xml:space="preserve"> </w:t>
      </w:r>
      <w:r w:rsidRPr="006F4EAF">
        <w:rPr>
          <w:rFonts w:eastAsia="Times New Roman" w:cs="Times New Roman"/>
          <w:lang w:eastAsia="de-DE"/>
        </w:rPr>
        <w:t xml:space="preserve">im </w:t>
      </w:r>
      <w:r w:rsidR="00F133EC">
        <w:rPr>
          <w:rFonts w:eastAsia="Times New Roman" w:cs="Times New Roman"/>
          <w:lang w:eastAsia="de-DE"/>
        </w:rPr>
        <w:t>Constructus</w:t>
      </w:r>
      <w:r w:rsidRPr="006F4EAF">
        <w:rPr>
          <w:rFonts w:eastAsia="Times New Roman" w:cs="Times New Roman"/>
          <w:lang w:eastAsia="de-DE"/>
        </w:rPr>
        <w:t xml:space="preserve"> mit </w:t>
      </w:r>
      <w:r w:rsidRPr="006F4EAF">
        <w:rPr>
          <w:rFonts w:eastAsia="Times New Roman" w:cs="Times New Roman"/>
          <w:b/>
          <w:bCs/>
          <w:rtl/>
          <w:lang w:eastAsia="de-DE"/>
        </w:rPr>
        <w:t>זָהָב</w:t>
      </w:r>
      <w:r w:rsidRPr="006F4EAF">
        <w:rPr>
          <w:rFonts w:eastAsia="Times New Roman" w:cs="Times New Roman"/>
          <w:rtl/>
          <w:lang w:eastAsia="de-DE"/>
        </w:rPr>
        <w:t xml:space="preserve"> </w:t>
      </w:r>
      <w:r w:rsidRPr="006F4EAF">
        <w:rPr>
          <w:rFonts w:eastAsia="Times New Roman" w:cs="Times New Roman"/>
          <w:lang w:eastAsia="de-DE"/>
        </w:rPr>
        <w:t xml:space="preserve">und Kardinalzahl „zwölf goldene Schalen"), </w:t>
      </w:r>
      <w:r w:rsidRPr="006F4EAF">
        <w:rPr>
          <w:rFonts w:eastAsia="Times New Roman" w:cs="Times New Roman"/>
          <w:b/>
          <w:bCs/>
          <w:rtl/>
          <w:lang w:eastAsia="de-DE"/>
        </w:rPr>
        <w:t>מְלֵאֹת קְטֹרֶת</w:t>
      </w:r>
      <w:r w:rsidRPr="006F4EAF">
        <w:rPr>
          <w:rFonts w:eastAsia="Times New Roman" w:cs="Times New Roman"/>
          <w:rtl/>
          <w:lang w:eastAsia="de-DE"/>
        </w:rPr>
        <w:t xml:space="preserve"> </w:t>
      </w:r>
      <w:r w:rsidRPr="006F4EAF">
        <w:rPr>
          <w:rFonts w:eastAsia="Times New Roman" w:cs="Times New Roman"/>
          <w:lang w:eastAsia="de-DE"/>
        </w:rPr>
        <w:t xml:space="preserve">(Qal-Partizip feminin Plural von </w:t>
      </w:r>
      <w:r w:rsidRPr="006F4EAF">
        <w:rPr>
          <w:rFonts w:eastAsia="Times New Roman" w:cs="Times New Roman"/>
          <w:b/>
          <w:bCs/>
          <w:rtl/>
          <w:lang w:eastAsia="de-DE"/>
        </w:rPr>
        <w:t>מלא</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קְטֹרֶת</w:t>
      </w:r>
      <w:r w:rsidRPr="006F4EAF">
        <w:rPr>
          <w:rFonts w:eastAsia="Times New Roman" w:cs="Times New Roman"/>
          <w:rtl/>
          <w:lang w:eastAsia="de-DE"/>
        </w:rPr>
        <w:t xml:space="preserve"> </w:t>
      </w:r>
      <w:r w:rsidRPr="006F4EAF">
        <w:rPr>
          <w:rFonts w:eastAsia="Times New Roman" w:cs="Times New Roman"/>
          <w:lang w:eastAsia="de-DE"/>
        </w:rPr>
        <w:t xml:space="preserve">„gefüllt mit Räucherwerk"). </w:t>
      </w:r>
      <w:r w:rsidRPr="006F4EAF">
        <w:rPr>
          <w:rFonts w:eastAsia="Times New Roman" w:cs="Times New Roman"/>
          <w:b/>
          <w:bCs/>
          <w:rtl/>
          <w:lang w:eastAsia="de-DE"/>
        </w:rPr>
        <w:t>עֲשָׂרָה עֲשָׂרָה הַכַּף בְּשֶׁקֶל הַקֹּדֶשׁ</w:t>
      </w:r>
      <w:r w:rsidRPr="006F4EAF">
        <w:rPr>
          <w:rFonts w:eastAsia="Times New Roman" w:cs="Times New Roman"/>
          <w:rtl/>
          <w:lang w:eastAsia="de-DE"/>
        </w:rPr>
        <w:t xml:space="preserve"> </w:t>
      </w:r>
      <w:r w:rsidRPr="006F4EAF">
        <w:rPr>
          <w:rFonts w:eastAsia="Times New Roman" w:cs="Times New Roman"/>
          <w:lang w:eastAsia="de-DE"/>
        </w:rPr>
        <w:t xml:space="preserve">gibt das Gewicht an. </w:t>
      </w:r>
      <w:r w:rsidRPr="006F4EAF">
        <w:rPr>
          <w:rFonts w:eastAsia="Times New Roman" w:cs="Times New Roman"/>
          <w:b/>
          <w:bCs/>
          <w:rtl/>
          <w:lang w:eastAsia="de-DE"/>
        </w:rPr>
        <w:t>עֲשָׂרָה עֲשָׂרָה</w:t>
      </w:r>
      <w:r w:rsidRPr="006F4EAF">
        <w:rPr>
          <w:rFonts w:eastAsia="Times New Roman" w:cs="Times New Roman"/>
          <w:rtl/>
          <w:lang w:eastAsia="de-DE"/>
        </w:rPr>
        <w:t xml:space="preserve"> </w:t>
      </w:r>
      <w:r w:rsidRPr="006F4EAF">
        <w:rPr>
          <w:rFonts w:eastAsia="Times New Roman" w:cs="Times New Roman"/>
          <w:lang w:eastAsia="de-DE"/>
        </w:rPr>
        <w:t xml:space="preserve">(distributive Wiederholung der Kardinalzahl „je zehn, zehn"), </w:t>
      </w:r>
      <w:r w:rsidRPr="006F4EAF">
        <w:rPr>
          <w:rFonts w:eastAsia="Times New Roman" w:cs="Times New Roman"/>
          <w:b/>
          <w:bCs/>
          <w:rtl/>
          <w:lang w:eastAsia="de-DE"/>
        </w:rPr>
        <w:t>הַכַּף</w:t>
      </w:r>
      <w:r w:rsidRPr="006F4EAF">
        <w:rPr>
          <w:rFonts w:eastAsia="Times New Roman" w:cs="Times New Roman"/>
          <w:rtl/>
          <w:lang w:eastAsia="de-DE"/>
        </w:rPr>
        <w:t xml:space="preserve"> </w:t>
      </w:r>
      <w:r w:rsidRPr="006F4EAF">
        <w:rPr>
          <w:rFonts w:eastAsia="Times New Roman" w:cs="Times New Roman"/>
          <w:lang w:eastAsia="de-DE"/>
        </w:rPr>
        <w:t>(</w:t>
      </w:r>
      <w:r w:rsidRPr="006F4EAF">
        <w:rPr>
          <w:rFonts w:eastAsia="Times New Roman" w:cs="Times New Roman"/>
          <w:b/>
          <w:bCs/>
          <w:rtl/>
          <w:lang w:eastAsia="de-DE"/>
        </w:rPr>
        <w:t>כַּף</w:t>
      </w:r>
      <w:r w:rsidRPr="006F4EAF">
        <w:rPr>
          <w:rFonts w:eastAsia="Times New Roman" w:cs="Times New Roman"/>
          <w:rtl/>
          <w:lang w:eastAsia="de-DE"/>
        </w:rPr>
        <w:t xml:space="preserve"> </w:t>
      </w:r>
      <w:r w:rsidRPr="006F4EAF">
        <w:rPr>
          <w:rFonts w:eastAsia="Times New Roman" w:cs="Times New Roman"/>
          <w:lang w:eastAsia="de-DE"/>
        </w:rPr>
        <w:t xml:space="preserve">mit Artikel „die Schale"), </w:t>
      </w:r>
      <w:r w:rsidRPr="006F4EAF">
        <w:rPr>
          <w:rFonts w:eastAsia="Times New Roman" w:cs="Times New Roman"/>
          <w:b/>
          <w:bCs/>
          <w:rtl/>
          <w:lang w:eastAsia="de-DE"/>
        </w:rPr>
        <w:t>בְּשֶׁקֶל הַקֹּדֶשׁ</w:t>
      </w:r>
      <w:r w:rsidRPr="006F4EAF">
        <w:rPr>
          <w:rFonts w:eastAsia="Times New Roman" w:cs="Times New Roman"/>
          <w:rtl/>
          <w:lang w:eastAsia="de-DE"/>
        </w:rPr>
        <w:t xml:space="preserve"> </w:t>
      </w:r>
      <w:r w:rsidRPr="006F4EAF">
        <w:rPr>
          <w:rFonts w:eastAsia="Times New Roman" w:cs="Times New Roman"/>
          <w:lang w:eastAsia="de-DE"/>
        </w:rPr>
        <w:t>(„nach dem Schekel des Heiligtums").</w:t>
      </w:r>
    </w:p>
    <w:p w14:paraId="4C1F2A53" w14:textId="0C5704B0"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כָּל־זְהַב הַכַּפּוֹת עֶשְׂרִים וּמֵאָה</w:t>
      </w:r>
      <w:r w:rsidRPr="006F4EAF">
        <w:rPr>
          <w:rFonts w:eastAsia="Times New Roman" w:cs="Times New Roman"/>
          <w:rtl/>
          <w:lang w:eastAsia="de-DE"/>
        </w:rPr>
        <w:t xml:space="preserve"> </w:t>
      </w:r>
      <w:r w:rsidRPr="006F4EAF">
        <w:rPr>
          <w:rFonts w:eastAsia="Times New Roman" w:cs="Times New Roman"/>
          <w:lang w:eastAsia="de-DE"/>
        </w:rPr>
        <w:t xml:space="preserve">gibt die Gesamtsumme an. </w:t>
      </w:r>
      <w:r w:rsidRPr="006F4EAF">
        <w:rPr>
          <w:rFonts w:eastAsia="Times New Roman" w:cs="Times New Roman"/>
          <w:b/>
          <w:bCs/>
          <w:rtl/>
          <w:lang w:eastAsia="de-DE"/>
        </w:rPr>
        <w:t>כָּל־זְהַב הַכַּפּוֹת</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kette: </w:t>
      </w:r>
      <w:r w:rsidRPr="006F4EAF">
        <w:rPr>
          <w:rFonts w:eastAsia="Times New Roman" w:cs="Times New Roman"/>
          <w:b/>
          <w:bCs/>
          <w:rtl/>
          <w:lang w:eastAsia="de-DE"/>
        </w:rPr>
        <w:t>כֹּל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זָהָב</w:t>
      </w:r>
      <w:r w:rsidRPr="006F4EAF">
        <w:rPr>
          <w:rFonts w:eastAsia="Times New Roman" w:cs="Times New Roman"/>
          <w:rtl/>
          <w:lang w:eastAsia="de-DE"/>
        </w:rPr>
        <w:t xml:space="preserve"> </w:t>
      </w:r>
      <w:r w:rsidRPr="006F4EAF">
        <w:rPr>
          <w:rFonts w:eastAsia="Times New Roman" w:cs="Times New Roman"/>
          <w:lang w:eastAsia="de-DE"/>
        </w:rPr>
        <w:t xml:space="preserve">im </w:t>
      </w:r>
      <w:r w:rsidR="00F133EC">
        <w:rPr>
          <w:rFonts w:eastAsia="Times New Roman" w:cs="Times New Roman"/>
          <w:lang w:eastAsia="de-DE"/>
        </w:rPr>
        <w:t>Constructus</w:t>
      </w:r>
      <w:r w:rsidRPr="006F4EAF">
        <w:rPr>
          <w:rFonts w:eastAsia="Times New Roman" w:cs="Times New Roman"/>
          <w:lang w:eastAsia="de-DE"/>
        </w:rPr>
        <w:t xml:space="preserve"> mit Plural </w:t>
      </w:r>
      <w:r w:rsidRPr="006F4EAF">
        <w:rPr>
          <w:rFonts w:eastAsia="Times New Roman" w:cs="Times New Roman"/>
          <w:b/>
          <w:bCs/>
          <w:rtl/>
          <w:lang w:eastAsia="de-DE"/>
        </w:rPr>
        <w:t>כַּף</w:t>
      </w:r>
      <w:r w:rsidRPr="006F4EAF">
        <w:rPr>
          <w:rFonts w:eastAsia="Times New Roman" w:cs="Times New Roman"/>
          <w:rtl/>
          <w:lang w:eastAsia="de-DE"/>
        </w:rPr>
        <w:t xml:space="preserve"> </w:t>
      </w:r>
      <w:r w:rsidRPr="006F4EAF">
        <w:rPr>
          <w:rFonts w:eastAsia="Times New Roman" w:cs="Times New Roman"/>
          <w:lang w:eastAsia="de-DE"/>
        </w:rPr>
        <w:t xml:space="preserve">mit Artikel „alles Gold der Schalen"), </w:t>
      </w:r>
      <w:r w:rsidRPr="006F4EAF">
        <w:rPr>
          <w:rFonts w:eastAsia="Times New Roman" w:cs="Times New Roman"/>
          <w:b/>
          <w:bCs/>
          <w:rtl/>
          <w:lang w:eastAsia="de-DE"/>
        </w:rPr>
        <w:t>עֶשְׂרִים וּמֵאָה</w:t>
      </w:r>
      <w:r w:rsidRPr="006F4EAF">
        <w:rPr>
          <w:rFonts w:eastAsia="Times New Roman" w:cs="Times New Roman"/>
          <w:rtl/>
          <w:lang w:eastAsia="de-DE"/>
        </w:rPr>
        <w:t xml:space="preserve"> </w:t>
      </w:r>
      <w:r w:rsidRPr="006F4EAF">
        <w:rPr>
          <w:rFonts w:eastAsia="Times New Roman" w:cs="Times New Roman"/>
          <w:lang w:eastAsia="de-DE"/>
        </w:rPr>
        <w:t>(Kardinalzahlen „zwanzig und hundert" = 120).</w:t>
      </w:r>
    </w:p>
    <w:p w14:paraId="62A78C4A"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eine Wiederholungsangabe mit Inhalt, eine distributive Gewichtsangabe und eine Gesamtsumme.</w:t>
      </w:r>
    </w:p>
    <w:p w14:paraId="50BDE06D"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berechnet: 12 Goldschalen à 10 Schekel = 120 Schekel Gold (ca. 1,38 kg). Das Gold ist weniger in der Masse, aber wertvoller im Material. Die </w:t>
      </w:r>
      <w:r w:rsidRPr="006F4EAF">
        <w:rPr>
          <w:rFonts w:eastAsia="Times New Roman" w:cs="Times New Roman"/>
          <w:b/>
          <w:bCs/>
          <w:rtl/>
          <w:lang w:eastAsia="de-DE"/>
        </w:rPr>
        <w:t>קְטֹרֶת</w:t>
      </w:r>
      <w:r w:rsidRPr="006F4EAF">
        <w:rPr>
          <w:rFonts w:eastAsia="Times New Roman" w:cs="Times New Roman"/>
          <w:rtl/>
          <w:lang w:eastAsia="de-DE"/>
        </w:rPr>
        <w:t xml:space="preserve"> </w:t>
      </w:r>
      <w:r w:rsidRPr="006F4EAF">
        <w:rPr>
          <w:rFonts w:eastAsia="Times New Roman" w:cs="Times New Roman"/>
          <w:lang w:eastAsia="de-DE"/>
        </w:rPr>
        <w:t>(Räucherwerk) in den Goldschalen symbolisiert das Gebet, das zu Gott aufsteigt (vgl. Ps 141,2; Offb 5,8).</w:t>
      </w:r>
    </w:p>
    <w:p w14:paraId="1F57A4DE"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7,87</w:t>
      </w:r>
    </w:p>
    <w:p w14:paraId="005CA860"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lastRenderedPageBreak/>
        <w:t>Hebräisch:</w:t>
      </w:r>
      <w:r w:rsidRPr="006F4EAF">
        <w:rPr>
          <w:rFonts w:eastAsia="Times New Roman" w:cs="Times New Roman"/>
          <w:lang w:eastAsia="de-DE"/>
        </w:rPr>
        <w:t xml:space="preserve"> </w:t>
      </w:r>
      <w:r w:rsidRPr="006F4EAF">
        <w:rPr>
          <w:rFonts w:eastAsia="Times New Roman" w:cs="Times New Roman"/>
          <w:rtl/>
          <w:lang w:eastAsia="de-DE"/>
        </w:rPr>
        <w:t>כָּל־הַבָּקָ֨ר לָעֹלָ֜ה שְׁנֵ֧ים עָשָׂ֣ר פָּרִ֗ים אֵילִ֤ם שְׁנֵים־עָשָׂר֙ כְּבָשִׂ֧ים בְּנֵי־שָׁנָ֛ה שְׁנֵ֥ים עָשָׂ֖ר וּמִנְחָתָ֑ם וּשְׂעִירֵ֥י עִזִּ֛ים שְׁנֵ֥ים עָשָׂ֖ר לְחַטָּֽאת׃</w:t>
      </w:r>
    </w:p>
    <w:p w14:paraId="7DB4288A" w14:textId="07BF2C1B"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Alle Rinder zum </w:t>
      </w:r>
      <w:r w:rsidR="00F133EC">
        <w:rPr>
          <w:rFonts w:eastAsia="Times New Roman" w:cs="Times New Roman"/>
          <w:lang w:eastAsia="de-DE"/>
        </w:rPr>
        <w:t>Aufsteigeopfer</w:t>
      </w:r>
      <w:r w:rsidRPr="006F4EAF">
        <w:rPr>
          <w:rFonts w:eastAsia="Times New Roman" w:cs="Times New Roman"/>
          <w:lang w:eastAsia="de-DE"/>
        </w:rPr>
        <w:t>: zwölf Stiere, zwölf Widder, zwölf einjährige Lämmer und ihr Speisopfer; und zwölf Ziegenböcke zum Sündopfer.</w:t>
      </w:r>
    </w:p>
    <w:p w14:paraId="038422C9"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780E98D2">
          <v:rect id="_x0000_i1292" style="width:0;height:1.5pt" o:hralign="center" o:hrstd="t" o:hr="t" fillcolor="#a0a0a0" stroked="f"/>
        </w:pict>
      </w:r>
    </w:p>
    <w:p w14:paraId="7F37230D" w14:textId="649A0495"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summiert die </w:t>
      </w:r>
      <w:r w:rsidR="00F133EC">
        <w:rPr>
          <w:rFonts w:eastAsia="Times New Roman" w:cs="Times New Roman"/>
          <w:lang w:eastAsia="de-DE"/>
        </w:rPr>
        <w:t>Aufsteigeopfer</w:t>
      </w:r>
      <w:r w:rsidRPr="006F4EAF">
        <w:rPr>
          <w:rFonts w:eastAsia="Times New Roman" w:cs="Times New Roman"/>
          <w:lang w:eastAsia="de-DE"/>
        </w:rPr>
        <w:t xml:space="preserve"> und Sündopfer. </w:t>
      </w:r>
      <w:r w:rsidRPr="006F4EAF">
        <w:rPr>
          <w:rFonts w:eastAsia="Times New Roman" w:cs="Times New Roman"/>
          <w:b/>
          <w:bCs/>
          <w:rtl/>
          <w:lang w:eastAsia="de-DE"/>
        </w:rPr>
        <w:t>כָּל־הַבָּקָר לָעֹלָה שְׁנֵים עָשָׂר פָּרִים אֵילִם שְׁנֵים־עָשָׂר כְּבָשִׂים בְּנֵי־שָׁנָה שְׁנֵים עָשָׂר וּמִנְחָתָם</w:t>
      </w:r>
      <w:r w:rsidRPr="006F4EAF">
        <w:rPr>
          <w:rFonts w:eastAsia="Times New Roman" w:cs="Times New Roman"/>
          <w:rtl/>
          <w:lang w:eastAsia="de-DE"/>
        </w:rPr>
        <w:t xml:space="preserve"> </w:t>
      </w:r>
      <w:r w:rsidRPr="006F4EAF">
        <w:rPr>
          <w:rFonts w:eastAsia="Times New Roman" w:cs="Times New Roman"/>
          <w:lang w:eastAsia="de-DE"/>
        </w:rPr>
        <w:t xml:space="preserve">zählt die </w:t>
      </w:r>
      <w:r w:rsidR="00F133EC">
        <w:rPr>
          <w:rFonts w:eastAsia="Times New Roman" w:cs="Times New Roman"/>
          <w:lang w:eastAsia="de-DE"/>
        </w:rPr>
        <w:t>Aufsteigeopfer</w:t>
      </w:r>
      <w:r w:rsidRPr="006F4EAF">
        <w:rPr>
          <w:rFonts w:eastAsia="Times New Roman" w:cs="Times New Roman"/>
          <w:lang w:eastAsia="de-DE"/>
        </w:rPr>
        <w:t xml:space="preserve">tiere. </w:t>
      </w:r>
      <w:r w:rsidRPr="006F4EAF">
        <w:rPr>
          <w:rFonts w:eastAsia="Times New Roman" w:cs="Times New Roman"/>
          <w:b/>
          <w:bCs/>
          <w:rtl/>
          <w:lang w:eastAsia="de-DE"/>
        </w:rPr>
        <w:t>כָּל־הַבָּקָר לָעֹלָה</w:t>
      </w:r>
      <w:r w:rsidRPr="006F4EAF">
        <w:rPr>
          <w:rFonts w:eastAsia="Times New Roman" w:cs="Times New Roman"/>
          <w:rtl/>
          <w:lang w:eastAsia="de-DE"/>
        </w:rPr>
        <w:t xml:space="preserve"> </w:t>
      </w:r>
      <w:r w:rsidRPr="006F4EAF">
        <w:rPr>
          <w:rFonts w:eastAsia="Times New Roman" w:cs="Times New Roman"/>
          <w:lang w:eastAsia="de-DE"/>
        </w:rPr>
        <w:t>(</w:t>
      </w:r>
      <w:r w:rsidR="00F133EC">
        <w:rPr>
          <w:rFonts w:eastAsia="Times New Roman" w:cs="Times New Roman"/>
          <w:lang w:eastAsia="de-DE"/>
        </w:rPr>
        <w:t>Constructus</w:t>
      </w:r>
      <w:r w:rsidRPr="006F4EAF">
        <w:rPr>
          <w:rFonts w:eastAsia="Times New Roman" w:cs="Times New Roman"/>
          <w:lang w:eastAsia="de-DE"/>
        </w:rPr>
        <w:t xml:space="preserve">kette: </w:t>
      </w:r>
      <w:r w:rsidRPr="006F4EAF">
        <w:rPr>
          <w:rFonts w:eastAsia="Times New Roman" w:cs="Times New Roman"/>
          <w:b/>
          <w:bCs/>
          <w:rtl/>
          <w:lang w:eastAsia="de-DE"/>
        </w:rPr>
        <w:t>כֹּל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בָּקָר</w:t>
      </w:r>
      <w:r w:rsidRPr="006F4EAF">
        <w:rPr>
          <w:rFonts w:eastAsia="Times New Roman" w:cs="Times New Roman"/>
          <w:rtl/>
          <w:lang w:eastAsia="de-DE"/>
        </w:rPr>
        <w:t xml:space="preserve"> </w:t>
      </w:r>
      <w:r w:rsidRPr="006F4EAF">
        <w:rPr>
          <w:rFonts w:eastAsia="Times New Roman" w:cs="Times New Roman"/>
          <w:lang w:eastAsia="de-DE"/>
        </w:rPr>
        <w:t xml:space="preserve">mit Artikel und 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עֹלָה</w:t>
      </w:r>
      <w:r w:rsidRPr="006F4EAF">
        <w:rPr>
          <w:rFonts w:eastAsia="Times New Roman" w:cs="Times New Roman"/>
          <w:rtl/>
          <w:lang w:eastAsia="de-DE"/>
        </w:rPr>
        <w:t xml:space="preserve"> </w:t>
      </w:r>
      <w:r w:rsidRPr="006F4EAF">
        <w:rPr>
          <w:rFonts w:eastAsia="Times New Roman" w:cs="Times New Roman"/>
          <w:lang w:eastAsia="de-DE"/>
        </w:rPr>
        <w:t xml:space="preserve">„alle Rinder zum </w:t>
      </w:r>
      <w:r w:rsidR="00F133EC">
        <w:rPr>
          <w:rFonts w:eastAsia="Times New Roman" w:cs="Times New Roman"/>
          <w:lang w:eastAsia="de-DE"/>
        </w:rPr>
        <w:t>Aufsteigeopfer</w:t>
      </w:r>
      <w:r w:rsidRPr="006F4EAF">
        <w:rPr>
          <w:rFonts w:eastAsia="Times New Roman" w:cs="Times New Roman"/>
          <w:lang w:eastAsia="de-DE"/>
        </w:rPr>
        <w:t xml:space="preserve">"), </w:t>
      </w:r>
      <w:r w:rsidRPr="006F4EAF">
        <w:rPr>
          <w:rFonts w:eastAsia="Times New Roman" w:cs="Times New Roman"/>
          <w:b/>
          <w:bCs/>
          <w:rtl/>
          <w:lang w:eastAsia="de-DE"/>
        </w:rPr>
        <w:t>שְׁנֵים עָשָׂר פָּרִים</w:t>
      </w:r>
      <w:r w:rsidRPr="006F4EAF">
        <w:rPr>
          <w:rFonts w:eastAsia="Times New Roman" w:cs="Times New Roman"/>
          <w:rtl/>
          <w:lang w:eastAsia="de-DE"/>
        </w:rPr>
        <w:t xml:space="preserve"> </w:t>
      </w:r>
      <w:r w:rsidRPr="006F4EAF">
        <w:rPr>
          <w:rFonts w:eastAsia="Times New Roman" w:cs="Times New Roman"/>
          <w:lang w:eastAsia="de-DE"/>
        </w:rPr>
        <w:t xml:space="preserve">(Kardinalzahl mit Plural </w:t>
      </w:r>
      <w:r w:rsidRPr="006F4EAF">
        <w:rPr>
          <w:rFonts w:eastAsia="Times New Roman" w:cs="Times New Roman"/>
          <w:b/>
          <w:bCs/>
          <w:rtl/>
          <w:lang w:eastAsia="de-DE"/>
        </w:rPr>
        <w:t>פַּר</w:t>
      </w:r>
      <w:r w:rsidRPr="006F4EAF">
        <w:rPr>
          <w:rFonts w:eastAsia="Times New Roman" w:cs="Times New Roman"/>
          <w:rtl/>
          <w:lang w:eastAsia="de-DE"/>
        </w:rPr>
        <w:t xml:space="preserve"> </w:t>
      </w:r>
      <w:r w:rsidRPr="006F4EAF">
        <w:rPr>
          <w:rFonts w:eastAsia="Times New Roman" w:cs="Times New Roman"/>
          <w:lang w:eastAsia="de-DE"/>
        </w:rPr>
        <w:t xml:space="preserve">„zwölf Stiere"), </w:t>
      </w:r>
      <w:r w:rsidRPr="006F4EAF">
        <w:rPr>
          <w:rFonts w:eastAsia="Times New Roman" w:cs="Times New Roman"/>
          <w:b/>
          <w:bCs/>
          <w:rtl/>
          <w:lang w:eastAsia="de-DE"/>
        </w:rPr>
        <w:t>אֵילִם שְׁנֵים־עָשָׂר</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Pr="006F4EAF">
        <w:rPr>
          <w:rFonts w:eastAsia="Times New Roman" w:cs="Times New Roman"/>
          <w:b/>
          <w:bCs/>
          <w:rtl/>
          <w:lang w:eastAsia="de-DE"/>
        </w:rPr>
        <w:t>אַיִל</w:t>
      </w:r>
      <w:r w:rsidRPr="006F4EAF">
        <w:rPr>
          <w:rFonts w:eastAsia="Times New Roman" w:cs="Times New Roman"/>
          <w:rtl/>
          <w:lang w:eastAsia="de-DE"/>
        </w:rPr>
        <w:t xml:space="preserve"> </w:t>
      </w:r>
      <w:r w:rsidRPr="006F4EAF">
        <w:rPr>
          <w:rFonts w:eastAsia="Times New Roman" w:cs="Times New Roman"/>
          <w:lang w:eastAsia="de-DE"/>
        </w:rPr>
        <w:t xml:space="preserve">mit Kardinalzahl „zwölf Widder"), </w:t>
      </w:r>
      <w:r w:rsidRPr="006F4EAF">
        <w:rPr>
          <w:rFonts w:eastAsia="Times New Roman" w:cs="Times New Roman"/>
          <w:b/>
          <w:bCs/>
          <w:rtl/>
          <w:lang w:eastAsia="de-DE"/>
        </w:rPr>
        <w:t>כְּבָשִׂים בְּנֵי־שָׁנָה שְׁנֵים עָשָׂר</w:t>
      </w:r>
      <w:r w:rsidRPr="006F4EAF">
        <w:rPr>
          <w:rFonts w:eastAsia="Times New Roman" w:cs="Times New Roman"/>
          <w:rtl/>
          <w:lang w:eastAsia="de-DE"/>
        </w:rPr>
        <w:t xml:space="preserve"> </w:t>
      </w:r>
      <w:r w:rsidRPr="006F4EAF">
        <w:rPr>
          <w:rFonts w:eastAsia="Times New Roman" w:cs="Times New Roman"/>
          <w:lang w:eastAsia="de-DE"/>
        </w:rPr>
        <w:t xml:space="preserve">(Plural </w:t>
      </w:r>
      <w:r w:rsidRPr="006F4EAF">
        <w:rPr>
          <w:rFonts w:eastAsia="Times New Roman" w:cs="Times New Roman"/>
          <w:b/>
          <w:bCs/>
          <w:rtl/>
          <w:lang w:eastAsia="de-DE"/>
        </w:rPr>
        <w:t>כֶּבֶשׂ</w:t>
      </w:r>
      <w:r w:rsidRPr="006F4EAF">
        <w:rPr>
          <w:rFonts w:eastAsia="Times New Roman" w:cs="Times New Roman"/>
          <w:rtl/>
          <w:lang w:eastAsia="de-DE"/>
        </w:rPr>
        <w:t xml:space="preserve"> </w:t>
      </w:r>
      <w:r w:rsidRPr="006F4EAF">
        <w:rPr>
          <w:rFonts w:eastAsia="Times New Roman" w:cs="Times New Roman"/>
          <w:lang w:eastAsia="de-DE"/>
        </w:rPr>
        <w:t xml:space="preserve">mit Plural </w:t>
      </w:r>
      <w:r w:rsidR="00F133EC">
        <w:rPr>
          <w:rFonts w:eastAsia="Times New Roman" w:cs="Times New Roman"/>
          <w:lang w:eastAsia="de-DE"/>
        </w:rPr>
        <w:t>Constructus</w:t>
      </w:r>
      <w:r w:rsidRPr="006F4EAF">
        <w:rPr>
          <w:rFonts w:eastAsia="Times New Roman" w:cs="Times New Roman"/>
          <w:lang w:eastAsia="de-DE"/>
        </w:rPr>
        <w:t xml:space="preserve"> </w:t>
      </w:r>
      <w:r w:rsidRPr="006F4EAF">
        <w:rPr>
          <w:rFonts w:eastAsia="Times New Roman" w:cs="Times New Roman"/>
          <w:b/>
          <w:bCs/>
          <w:rtl/>
          <w:lang w:eastAsia="de-DE"/>
        </w:rPr>
        <w:t>בֵּן</w:t>
      </w:r>
      <w:r w:rsidRPr="006F4EAF">
        <w:rPr>
          <w:rFonts w:eastAsia="Times New Roman" w:cs="Times New Roman"/>
          <w:rtl/>
          <w:lang w:eastAsia="de-DE"/>
        </w:rPr>
        <w:t xml:space="preserve"> </w:t>
      </w:r>
      <w:r w:rsidRPr="006F4EAF">
        <w:rPr>
          <w:rFonts w:eastAsia="Times New Roman" w:cs="Times New Roman"/>
          <w:lang w:eastAsia="de-DE"/>
        </w:rPr>
        <w:t xml:space="preserve">und </w:t>
      </w:r>
      <w:r w:rsidRPr="006F4EAF">
        <w:rPr>
          <w:rFonts w:eastAsia="Times New Roman" w:cs="Times New Roman"/>
          <w:b/>
          <w:bCs/>
          <w:rtl/>
          <w:lang w:eastAsia="de-DE"/>
        </w:rPr>
        <w:t>שָׁנָה</w:t>
      </w:r>
      <w:r w:rsidRPr="006F4EAF">
        <w:rPr>
          <w:rFonts w:eastAsia="Times New Roman" w:cs="Times New Roman"/>
          <w:rtl/>
          <w:lang w:eastAsia="de-DE"/>
        </w:rPr>
        <w:t xml:space="preserve"> </w:t>
      </w:r>
      <w:r w:rsidRPr="006F4EAF">
        <w:rPr>
          <w:rFonts w:eastAsia="Times New Roman" w:cs="Times New Roman"/>
          <w:lang w:eastAsia="de-DE"/>
        </w:rPr>
        <w:t xml:space="preserve">und Kardinalzahl „zwölf einjährige Lämmer"), </w:t>
      </w:r>
      <w:r w:rsidRPr="006F4EAF">
        <w:rPr>
          <w:rFonts w:eastAsia="Times New Roman" w:cs="Times New Roman"/>
          <w:b/>
          <w:bCs/>
          <w:rtl/>
          <w:lang w:eastAsia="de-DE"/>
        </w:rPr>
        <w:t>וּמִנְחָתָם</w:t>
      </w:r>
      <w:r w:rsidRPr="006F4EAF">
        <w:rPr>
          <w:rFonts w:eastAsia="Times New Roman" w:cs="Times New Roman"/>
          <w:rtl/>
          <w:lang w:eastAsia="de-DE"/>
        </w:rPr>
        <w:t xml:space="preserve"> </w:t>
      </w:r>
      <w:r w:rsidRPr="006F4EAF">
        <w:rPr>
          <w:rFonts w:eastAsia="Times New Roman" w:cs="Times New Roman"/>
          <w:lang w:eastAsia="de-DE"/>
        </w:rPr>
        <w:t xml:space="preserve">(Konjunktion mit </w:t>
      </w:r>
      <w:r w:rsidRPr="006F4EAF">
        <w:rPr>
          <w:rFonts w:eastAsia="Times New Roman" w:cs="Times New Roman"/>
          <w:b/>
          <w:bCs/>
          <w:rtl/>
          <w:lang w:eastAsia="de-DE"/>
        </w:rPr>
        <w:t>מִנְחָה</w:t>
      </w:r>
      <w:r w:rsidRPr="006F4EAF">
        <w:rPr>
          <w:rFonts w:eastAsia="Times New Roman" w:cs="Times New Roman"/>
          <w:rtl/>
          <w:lang w:eastAsia="de-DE"/>
        </w:rPr>
        <w:t xml:space="preserve"> </w:t>
      </w:r>
      <w:r w:rsidRPr="006F4EAF">
        <w:rPr>
          <w:rFonts w:eastAsia="Times New Roman" w:cs="Times New Roman"/>
          <w:lang w:eastAsia="de-DE"/>
        </w:rPr>
        <w:t xml:space="preserve">„Speisopfer" und Suffix Plural „und ihr Speisopfer" - Bezug auf das Speisopfer, das die </w:t>
      </w:r>
      <w:r w:rsidR="00F133EC">
        <w:rPr>
          <w:rFonts w:eastAsia="Times New Roman" w:cs="Times New Roman"/>
          <w:lang w:eastAsia="de-DE"/>
        </w:rPr>
        <w:t>Aufsteigeopfer</w:t>
      </w:r>
      <w:r w:rsidRPr="006F4EAF">
        <w:rPr>
          <w:rFonts w:eastAsia="Times New Roman" w:cs="Times New Roman"/>
          <w:lang w:eastAsia="de-DE"/>
        </w:rPr>
        <w:t xml:space="preserve"> begleitet).</w:t>
      </w:r>
    </w:p>
    <w:p w14:paraId="0148A61C" w14:textId="5FB05FEF"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וּשְׂעִירֵי עִזִּים שְׁנֵים עָשָׂר לְחַטָּאת</w:t>
      </w:r>
      <w:r w:rsidRPr="006F4EAF">
        <w:rPr>
          <w:rFonts w:eastAsia="Times New Roman" w:cs="Times New Roman"/>
          <w:rtl/>
          <w:lang w:eastAsia="de-DE"/>
        </w:rPr>
        <w:t xml:space="preserve"> </w:t>
      </w:r>
      <w:r w:rsidRPr="006F4EAF">
        <w:rPr>
          <w:rFonts w:eastAsia="Times New Roman" w:cs="Times New Roman"/>
          <w:lang w:eastAsia="de-DE"/>
        </w:rPr>
        <w:t xml:space="preserve">zählt die Sündopfer. </w:t>
      </w:r>
      <w:r w:rsidRPr="006F4EAF">
        <w:rPr>
          <w:rFonts w:eastAsia="Times New Roman" w:cs="Times New Roman"/>
          <w:b/>
          <w:bCs/>
          <w:rtl/>
          <w:lang w:eastAsia="de-DE"/>
        </w:rPr>
        <w:t>וּשְׂעִירֵי עִזִּים</w:t>
      </w:r>
      <w:r w:rsidRPr="006F4EAF">
        <w:rPr>
          <w:rFonts w:eastAsia="Times New Roman" w:cs="Times New Roman"/>
          <w:rtl/>
          <w:lang w:eastAsia="de-DE"/>
        </w:rPr>
        <w:t xml:space="preserve"> </w:t>
      </w:r>
      <w:r w:rsidRPr="006F4EAF">
        <w:rPr>
          <w:rFonts w:eastAsia="Times New Roman" w:cs="Times New Roman"/>
          <w:lang w:eastAsia="de-DE"/>
        </w:rPr>
        <w:t xml:space="preserve">(Konjunktion mit Plural </w:t>
      </w:r>
      <w:r w:rsidR="00F133EC">
        <w:rPr>
          <w:rFonts w:eastAsia="Times New Roman" w:cs="Times New Roman"/>
          <w:lang w:eastAsia="de-DE"/>
        </w:rPr>
        <w:t>Constructus</w:t>
      </w:r>
      <w:r w:rsidRPr="006F4EAF">
        <w:rPr>
          <w:rFonts w:eastAsia="Times New Roman" w:cs="Times New Roman"/>
          <w:lang w:eastAsia="de-DE"/>
        </w:rPr>
        <w:t xml:space="preserve"> </w:t>
      </w:r>
      <w:r w:rsidRPr="006F4EAF">
        <w:rPr>
          <w:rFonts w:eastAsia="Times New Roman" w:cs="Times New Roman"/>
          <w:b/>
          <w:bCs/>
          <w:rtl/>
          <w:lang w:eastAsia="de-DE"/>
        </w:rPr>
        <w:t>שָׂעִיר</w:t>
      </w:r>
      <w:r w:rsidRPr="006F4EAF">
        <w:rPr>
          <w:rFonts w:eastAsia="Times New Roman" w:cs="Times New Roman"/>
          <w:rtl/>
          <w:lang w:eastAsia="de-DE"/>
        </w:rPr>
        <w:t xml:space="preserve"> </w:t>
      </w:r>
      <w:r w:rsidRPr="006F4EAF">
        <w:rPr>
          <w:rFonts w:eastAsia="Times New Roman" w:cs="Times New Roman"/>
          <w:lang w:eastAsia="de-DE"/>
        </w:rPr>
        <w:t xml:space="preserve">und Plural </w:t>
      </w:r>
      <w:r w:rsidRPr="006F4EAF">
        <w:rPr>
          <w:rFonts w:eastAsia="Times New Roman" w:cs="Times New Roman"/>
          <w:b/>
          <w:bCs/>
          <w:rtl/>
          <w:lang w:eastAsia="de-DE"/>
        </w:rPr>
        <w:t>עֵז</w:t>
      </w:r>
      <w:r w:rsidRPr="006F4EAF">
        <w:rPr>
          <w:rFonts w:eastAsia="Times New Roman" w:cs="Times New Roman"/>
          <w:rtl/>
          <w:lang w:eastAsia="de-DE"/>
        </w:rPr>
        <w:t xml:space="preserve"> </w:t>
      </w:r>
      <w:r w:rsidRPr="006F4EAF">
        <w:rPr>
          <w:rFonts w:eastAsia="Times New Roman" w:cs="Times New Roman"/>
          <w:lang w:eastAsia="de-DE"/>
        </w:rPr>
        <w:t xml:space="preserve">„und Ziegenböcke"), </w:t>
      </w:r>
      <w:r w:rsidRPr="006F4EAF">
        <w:rPr>
          <w:rFonts w:eastAsia="Times New Roman" w:cs="Times New Roman"/>
          <w:b/>
          <w:bCs/>
          <w:rtl/>
          <w:lang w:eastAsia="de-DE"/>
        </w:rPr>
        <w:t>שְׁנֵים עָשָׂר</w:t>
      </w:r>
      <w:r w:rsidRPr="006F4EAF">
        <w:rPr>
          <w:rFonts w:eastAsia="Times New Roman" w:cs="Times New Roman"/>
          <w:rtl/>
          <w:lang w:eastAsia="de-DE"/>
        </w:rPr>
        <w:t xml:space="preserve"> </w:t>
      </w:r>
      <w:r w:rsidRPr="006F4EAF">
        <w:rPr>
          <w:rFonts w:eastAsia="Times New Roman" w:cs="Times New Roman"/>
          <w:lang w:eastAsia="de-DE"/>
        </w:rPr>
        <w:t xml:space="preserve">(„zwölf"), </w:t>
      </w:r>
      <w:r w:rsidRPr="006F4EAF">
        <w:rPr>
          <w:rFonts w:eastAsia="Times New Roman" w:cs="Times New Roman"/>
          <w:b/>
          <w:bCs/>
          <w:rtl/>
          <w:lang w:eastAsia="de-DE"/>
        </w:rPr>
        <w:t>לְחַטָּאת</w:t>
      </w:r>
      <w:r w:rsidRPr="006F4EAF">
        <w:rPr>
          <w:rFonts w:eastAsia="Times New Roman" w:cs="Times New Roman"/>
          <w:rtl/>
          <w:lang w:eastAsia="de-DE"/>
        </w:rPr>
        <w:t xml:space="preserve"> </w:t>
      </w:r>
      <w:r w:rsidRPr="006F4EAF">
        <w:rPr>
          <w:rFonts w:eastAsia="Times New Roman" w:cs="Times New Roman"/>
          <w:lang w:eastAsia="de-DE"/>
        </w:rPr>
        <w:t>(„zum Sündopfer").</w:t>
      </w:r>
    </w:p>
    <w:p w14:paraId="5B19215D" w14:textId="043A28C4"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Die Satzstruktur zeigt eine Gesamtangabe mit drei Unterkategorien für </w:t>
      </w:r>
      <w:r w:rsidR="00F133EC">
        <w:rPr>
          <w:rFonts w:eastAsia="Times New Roman" w:cs="Times New Roman"/>
          <w:lang w:eastAsia="de-DE"/>
        </w:rPr>
        <w:t>Aufsteigeopfer</w:t>
      </w:r>
      <w:r w:rsidRPr="006F4EAF">
        <w:rPr>
          <w:rFonts w:eastAsia="Times New Roman" w:cs="Times New Roman"/>
          <w:lang w:eastAsia="de-DE"/>
        </w:rPr>
        <w:t xml:space="preserve"> (mit Ergänzung des Speisopfers) und eine separate Angabe für Sündopfer.</w:t>
      </w:r>
    </w:p>
    <w:p w14:paraId="6E21D888" w14:textId="4B532C18"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summiert: 12 Stiere + 12 Widder + 12 Lämmer = 36 </w:t>
      </w:r>
      <w:r w:rsidR="00F133EC">
        <w:rPr>
          <w:rFonts w:eastAsia="Times New Roman" w:cs="Times New Roman"/>
          <w:lang w:eastAsia="de-DE"/>
        </w:rPr>
        <w:t>Aufsteigeopfer</w:t>
      </w:r>
      <w:r w:rsidRPr="006F4EAF">
        <w:rPr>
          <w:rFonts w:eastAsia="Times New Roman" w:cs="Times New Roman"/>
          <w:lang w:eastAsia="de-DE"/>
        </w:rPr>
        <w:t xml:space="preserve">tiere, plus 12 Ziegenböcke als Sündopfer - insgesamt 48 Tiere für Brand- und Sündopfer. Die Erwähnung </w:t>
      </w:r>
      <w:r w:rsidRPr="006F4EAF">
        <w:rPr>
          <w:rFonts w:eastAsia="Times New Roman" w:cs="Times New Roman"/>
          <w:b/>
          <w:bCs/>
          <w:rtl/>
          <w:lang w:eastAsia="de-DE"/>
        </w:rPr>
        <w:t>וּמִנְחָתָם</w:t>
      </w:r>
      <w:r w:rsidRPr="006F4EAF">
        <w:rPr>
          <w:rFonts w:eastAsia="Times New Roman" w:cs="Times New Roman"/>
          <w:rtl/>
          <w:lang w:eastAsia="de-DE"/>
        </w:rPr>
        <w:t xml:space="preserve"> </w:t>
      </w:r>
      <w:r w:rsidRPr="006F4EAF">
        <w:rPr>
          <w:rFonts w:eastAsia="Times New Roman" w:cs="Times New Roman"/>
          <w:lang w:eastAsia="de-DE"/>
        </w:rPr>
        <w:t xml:space="preserve">erinnert daran, dass zu den </w:t>
      </w:r>
      <w:r w:rsidR="00F133EC">
        <w:rPr>
          <w:rFonts w:eastAsia="Times New Roman" w:cs="Times New Roman"/>
          <w:lang w:eastAsia="de-DE"/>
        </w:rPr>
        <w:t>Aufsteigeopfer</w:t>
      </w:r>
      <w:r w:rsidRPr="006F4EAF">
        <w:rPr>
          <w:rFonts w:eastAsia="Times New Roman" w:cs="Times New Roman"/>
          <w:lang w:eastAsia="de-DE"/>
        </w:rPr>
        <w:t>n auch Speisopfer (Feinmehl mit Öl) gehörten, wie in V. 13 beschrieben.</w:t>
      </w:r>
    </w:p>
    <w:p w14:paraId="237CC65B"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7,88</w:t>
      </w:r>
    </w:p>
    <w:p w14:paraId="04D248BC"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וְכֹ֞ל בְּקַ֣ר׀ זֶ֣בַח הַשְּׁלָמִים֮ עֶשְׂרִ֣ים וְאַרְבָּעָה֒ פָּרִים֙ אֵילִ֣ם שִׁשִּׁ֔ים עַתֻּדִ֖ים שִׁשִּׁ֑ים כְּבָשִׂ֥ים בְּנֵי־שָׁנָ֖ה שִׁשִּׁ֑ים זֹ֚את חֲנֻכַּ֣ת הַמִּזְבֵּ֔חַ אַחֲרֵ֖י הִמָּשַׁ֥ח אֹתֽוֹ׃</w:t>
      </w:r>
    </w:p>
    <w:p w14:paraId="123D0634"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Und alle Rinder als Friedensopfer: 24 Stiere, 60 Widder, 60 Böcke, 60 einjährige Lämmer. Das war die Einweihung des Altars, nachdem man ihn gesalbt hatte.</w:t>
      </w:r>
    </w:p>
    <w:p w14:paraId="4A23AB51"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63099B82">
          <v:rect id="_x0000_i1293" style="width:0;height:1.5pt" o:hralign="center" o:hrstd="t" o:hr="t" fillcolor="#a0a0a0" stroked="f"/>
        </w:pict>
      </w:r>
    </w:p>
    <w:p w14:paraId="431A68E9" w14:textId="794719DF" w:rsidR="006F4EAF" w:rsidRPr="006F4EAF" w:rsidRDefault="006F4EAF" w:rsidP="006F4EAF">
      <w:pPr>
        <w:pStyle w:val="whitespace-normal"/>
      </w:pPr>
      <w:r w:rsidRPr="006F4EAF">
        <w:rPr>
          <w:b/>
          <w:bCs/>
        </w:rPr>
        <w:t>Kommentar:</w:t>
      </w:r>
      <w:r w:rsidRPr="006F4EAF">
        <w:t xml:space="preserve"> Der Vers summiert die Friedensopfer und schließt die Gesamtbilanz ab. </w:t>
      </w:r>
      <w:r w:rsidRPr="006F4EAF">
        <w:rPr>
          <w:b/>
          <w:bCs/>
          <w:rtl/>
        </w:rPr>
        <w:t>וְכֹל בְּקַר זֶבַח הַשְּׁלָמִים</w:t>
      </w:r>
      <w:r w:rsidRPr="006F4EAF">
        <w:rPr>
          <w:rtl/>
        </w:rPr>
        <w:t xml:space="preserve"> </w:t>
      </w:r>
      <w:r w:rsidRPr="006F4EAF">
        <w:t xml:space="preserve">ist die Überschrift. </w:t>
      </w:r>
      <w:r w:rsidRPr="006F4EAF">
        <w:rPr>
          <w:b/>
          <w:bCs/>
          <w:rtl/>
        </w:rPr>
        <w:t>וְכֹל בְּקַר</w:t>
      </w:r>
      <w:r w:rsidRPr="006F4EAF">
        <w:rPr>
          <w:rtl/>
        </w:rPr>
        <w:t xml:space="preserve"> </w:t>
      </w:r>
      <w:r w:rsidRPr="006F4EAF">
        <w:t xml:space="preserve">(Konjunktion mit </w:t>
      </w:r>
      <w:r w:rsidRPr="006F4EAF">
        <w:rPr>
          <w:b/>
          <w:bCs/>
          <w:rtl/>
        </w:rPr>
        <w:t>כֹּל</w:t>
      </w:r>
      <w:r w:rsidRPr="006F4EAF">
        <w:rPr>
          <w:rtl/>
        </w:rPr>
        <w:t xml:space="preserve"> </w:t>
      </w:r>
      <w:r w:rsidRPr="006F4EAF">
        <w:t xml:space="preserve">„alle" im </w:t>
      </w:r>
      <w:r w:rsidR="00F133EC">
        <w:t>Constructus</w:t>
      </w:r>
      <w:r w:rsidRPr="006F4EAF">
        <w:t xml:space="preserve"> und </w:t>
      </w:r>
      <w:r w:rsidRPr="006F4EAF">
        <w:rPr>
          <w:b/>
          <w:bCs/>
          <w:rtl/>
        </w:rPr>
        <w:t>בָּקָר</w:t>
      </w:r>
      <w:r w:rsidRPr="006F4EAF">
        <w:rPr>
          <w:rtl/>
        </w:rPr>
        <w:t xml:space="preserve"> </w:t>
      </w:r>
      <w:r w:rsidRPr="006F4EAF">
        <w:t xml:space="preserve">„Rinder"), </w:t>
      </w:r>
      <w:r w:rsidRPr="006F4EAF">
        <w:rPr>
          <w:b/>
          <w:bCs/>
          <w:rtl/>
        </w:rPr>
        <w:t>זֶבַח הַשְּׁלָמִים</w:t>
      </w:r>
      <w:r w:rsidRPr="006F4EAF">
        <w:rPr>
          <w:rtl/>
        </w:rPr>
        <w:t xml:space="preserve"> </w:t>
      </w:r>
      <w:r w:rsidRPr="006F4EAF">
        <w:t>(</w:t>
      </w:r>
      <w:r w:rsidR="00F133EC">
        <w:t>Constructus</w:t>
      </w:r>
      <w:r w:rsidRPr="006F4EAF">
        <w:t xml:space="preserve">: </w:t>
      </w:r>
      <w:r w:rsidRPr="006F4EAF">
        <w:rPr>
          <w:b/>
          <w:bCs/>
          <w:rtl/>
        </w:rPr>
        <w:t>זֶבַח</w:t>
      </w:r>
      <w:r w:rsidRPr="006F4EAF">
        <w:rPr>
          <w:rtl/>
        </w:rPr>
        <w:t xml:space="preserve"> </w:t>
      </w:r>
      <w:r w:rsidRPr="006F4EAF">
        <w:t xml:space="preserve">mit Plural </w:t>
      </w:r>
      <w:r w:rsidRPr="006F4EAF">
        <w:rPr>
          <w:b/>
          <w:bCs/>
          <w:rtl/>
        </w:rPr>
        <w:t>שֶׁלֶם</w:t>
      </w:r>
      <w:r w:rsidRPr="006F4EAF">
        <w:rPr>
          <w:rtl/>
        </w:rPr>
        <w:t xml:space="preserve"> </w:t>
      </w:r>
      <w:r w:rsidRPr="006F4EAF">
        <w:t xml:space="preserve">mit Artikel „Friedensopfer"). </w:t>
      </w:r>
      <w:r w:rsidRPr="006F4EAF">
        <w:rPr>
          <w:b/>
          <w:bCs/>
          <w:rtl/>
        </w:rPr>
        <w:t>עֶשְׂרִים וְאַרְבָּעָה פָּרִים אֵילִם שִׁשִּׁים עַתֻּדִים שִׁשִּׁים כְּבָשִׂים בְּנֵי־שָׁנָה שִׁשִּׁים</w:t>
      </w:r>
      <w:r w:rsidRPr="006F4EAF">
        <w:rPr>
          <w:rtl/>
        </w:rPr>
        <w:t xml:space="preserve"> </w:t>
      </w:r>
      <w:r w:rsidRPr="006F4EAF">
        <w:t xml:space="preserve">ist die detaillierte Aufzählung. </w:t>
      </w:r>
      <w:r w:rsidRPr="006F4EAF">
        <w:rPr>
          <w:b/>
          <w:bCs/>
          <w:rtl/>
        </w:rPr>
        <w:t>עֶשְׂרִים וְאַרְבָּעָה פָּרִים</w:t>
      </w:r>
      <w:r w:rsidRPr="006F4EAF">
        <w:rPr>
          <w:rtl/>
        </w:rPr>
        <w:t xml:space="preserve"> </w:t>
      </w:r>
      <w:r w:rsidRPr="006F4EAF">
        <w:t xml:space="preserve">(Kardinalzahlen „zwanzig und vier" = 24 mit Plural </w:t>
      </w:r>
      <w:r w:rsidRPr="006F4EAF">
        <w:rPr>
          <w:b/>
          <w:bCs/>
          <w:rtl/>
        </w:rPr>
        <w:t>פַּר</w:t>
      </w:r>
      <w:r w:rsidRPr="006F4EAF">
        <w:rPr>
          <w:rtl/>
        </w:rPr>
        <w:t xml:space="preserve"> </w:t>
      </w:r>
      <w:r w:rsidRPr="006F4EAF">
        <w:t xml:space="preserve">„24 Stiere"), </w:t>
      </w:r>
      <w:r w:rsidRPr="006F4EAF">
        <w:rPr>
          <w:b/>
          <w:bCs/>
          <w:rtl/>
        </w:rPr>
        <w:t>אֵילִם שִׁשִּׁים</w:t>
      </w:r>
      <w:r w:rsidRPr="006F4EAF">
        <w:rPr>
          <w:rtl/>
        </w:rPr>
        <w:t xml:space="preserve"> </w:t>
      </w:r>
      <w:r w:rsidRPr="006F4EAF">
        <w:t xml:space="preserve">(Plural </w:t>
      </w:r>
      <w:r w:rsidRPr="006F4EAF">
        <w:rPr>
          <w:b/>
          <w:bCs/>
          <w:rtl/>
        </w:rPr>
        <w:t>אַיִל</w:t>
      </w:r>
      <w:r w:rsidRPr="006F4EAF">
        <w:rPr>
          <w:rtl/>
        </w:rPr>
        <w:t xml:space="preserve"> </w:t>
      </w:r>
      <w:r w:rsidRPr="006F4EAF">
        <w:t xml:space="preserve">mit Kardinalzahl „60 Widder"), </w:t>
      </w:r>
      <w:r w:rsidRPr="006F4EAF">
        <w:rPr>
          <w:b/>
          <w:bCs/>
          <w:rtl/>
        </w:rPr>
        <w:t>עַתֻּדִים שִׁשִּׁים</w:t>
      </w:r>
      <w:r w:rsidRPr="006F4EAF">
        <w:rPr>
          <w:rtl/>
        </w:rPr>
        <w:t xml:space="preserve"> </w:t>
      </w:r>
      <w:r w:rsidRPr="006F4EAF">
        <w:t xml:space="preserve">(Plural </w:t>
      </w:r>
      <w:r w:rsidRPr="006F4EAF">
        <w:rPr>
          <w:b/>
          <w:bCs/>
          <w:rtl/>
        </w:rPr>
        <w:t>עַתּוּד</w:t>
      </w:r>
      <w:r w:rsidRPr="006F4EAF">
        <w:rPr>
          <w:rtl/>
        </w:rPr>
        <w:t xml:space="preserve"> </w:t>
      </w:r>
      <w:r w:rsidRPr="006F4EAF">
        <w:t xml:space="preserve">mit Kardinalzahl „60 Böcke"), </w:t>
      </w:r>
      <w:r w:rsidRPr="006F4EAF">
        <w:rPr>
          <w:b/>
          <w:bCs/>
          <w:rtl/>
        </w:rPr>
        <w:t>כְּבָשִׂים בְּנֵי־שָׁנָה שִׁשִּׁים</w:t>
      </w:r>
      <w:r w:rsidRPr="006F4EAF">
        <w:rPr>
          <w:rtl/>
        </w:rPr>
        <w:t xml:space="preserve"> </w:t>
      </w:r>
      <w:r w:rsidRPr="006F4EAF">
        <w:t xml:space="preserve">(Plural </w:t>
      </w:r>
      <w:r w:rsidRPr="006F4EAF">
        <w:rPr>
          <w:b/>
          <w:bCs/>
          <w:rtl/>
        </w:rPr>
        <w:t>כֶּבֶשׂ</w:t>
      </w:r>
      <w:r w:rsidRPr="006F4EAF">
        <w:rPr>
          <w:rtl/>
        </w:rPr>
        <w:t xml:space="preserve"> </w:t>
      </w:r>
      <w:r w:rsidRPr="006F4EAF">
        <w:t xml:space="preserve">mit Plural </w:t>
      </w:r>
      <w:r w:rsidR="00F133EC">
        <w:t>Constructus</w:t>
      </w:r>
      <w:r w:rsidRPr="006F4EAF">
        <w:t xml:space="preserve"> </w:t>
      </w:r>
      <w:r w:rsidRPr="006F4EAF">
        <w:rPr>
          <w:b/>
          <w:bCs/>
          <w:rtl/>
        </w:rPr>
        <w:t>בֵּן</w:t>
      </w:r>
      <w:r w:rsidRPr="006F4EAF">
        <w:rPr>
          <w:rtl/>
        </w:rPr>
        <w:t xml:space="preserve"> </w:t>
      </w:r>
      <w:r w:rsidRPr="006F4EAF">
        <w:t xml:space="preserve">und </w:t>
      </w:r>
      <w:r w:rsidRPr="006F4EAF">
        <w:rPr>
          <w:b/>
          <w:bCs/>
          <w:rtl/>
        </w:rPr>
        <w:t>שָׁנָה</w:t>
      </w:r>
      <w:r w:rsidRPr="006F4EAF">
        <w:rPr>
          <w:rtl/>
        </w:rPr>
        <w:t xml:space="preserve"> </w:t>
      </w:r>
      <w:r w:rsidRPr="006F4EAF">
        <w:t>und Kardinalzahl „60 einjährige Lämmer").</w:t>
      </w:r>
    </w:p>
    <w:p w14:paraId="67379732" w14:textId="6AC974B4"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lastRenderedPageBreak/>
        <w:t>זֹאת חֲנֻכַּת הַמִּזְבֵּחַ אַחֲרֵי הִמָּשַׁח אֹתוֹ</w:t>
      </w:r>
      <w:r w:rsidRPr="006F4EAF">
        <w:rPr>
          <w:rFonts w:eastAsia="Times New Roman" w:cs="Times New Roman"/>
          <w:rtl/>
          <w:lang w:eastAsia="de-DE"/>
        </w:rPr>
        <w:t xml:space="preserve"> </w:t>
      </w:r>
      <w:r w:rsidRPr="006F4EAF">
        <w:rPr>
          <w:rFonts w:eastAsia="Times New Roman" w:cs="Times New Roman"/>
          <w:lang w:eastAsia="de-DE"/>
        </w:rPr>
        <w:t xml:space="preserve">ist die feierliche Schlussformel. </w:t>
      </w:r>
      <w:r w:rsidRPr="006F4EAF">
        <w:rPr>
          <w:rFonts w:eastAsia="Times New Roman" w:cs="Times New Roman"/>
          <w:b/>
          <w:bCs/>
          <w:rtl/>
          <w:lang w:eastAsia="de-DE"/>
        </w:rPr>
        <w:t>זֹאת חֲנֻכַּת הַמִּזְבֵּחַ</w:t>
      </w:r>
      <w:r w:rsidRPr="006F4EAF">
        <w:rPr>
          <w:rFonts w:eastAsia="Times New Roman" w:cs="Times New Roman"/>
          <w:rtl/>
          <w:lang w:eastAsia="de-DE"/>
        </w:rPr>
        <w:t xml:space="preserve"> </w:t>
      </w:r>
      <w:r w:rsidRPr="006F4EAF">
        <w:rPr>
          <w:rFonts w:eastAsia="Times New Roman" w:cs="Times New Roman"/>
          <w:lang w:eastAsia="de-DE"/>
        </w:rPr>
        <w:t xml:space="preserve">(Demonstrativpronomen feminin mit </w:t>
      </w:r>
      <w:r w:rsidR="00F133EC">
        <w:rPr>
          <w:rFonts w:eastAsia="Times New Roman" w:cs="Times New Roman"/>
          <w:lang w:eastAsia="de-DE"/>
        </w:rPr>
        <w:t>Constructus</w:t>
      </w:r>
      <w:r w:rsidRPr="006F4EAF">
        <w:rPr>
          <w:rFonts w:eastAsia="Times New Roman" w:cs="Times New Roman"/>
          <w:lang w:eastAsia="de-DE"/>
        </w:rPr>
        <w:t xml:space="preserve"> </w:t>
      </w:r>
      <w:r w:rsidRPr="006F4EAF">
        <w:rPr>
          <w:rFonts w:eastAsia="Times New Roman" w:cs="Times New Roman"/>
          <w:b/>
          <w:bCs/>
          <w:rtl/>
          <w:lang w:eastAsia="de-DE"/>
        </w:rPr>
        <w:t>חֲנֻכָּה</w:t>
      </w:r>
      <w:r w:rsidRPr="006F4EAF">
        <w:rPr>
          <w:rFonts w:eastAsia="Times New Roman" w:cs="Times New Roman"/>
          <w:rtl/>
          <w:lang w:eastAsia="de-DE"/>
        </w:rPr>
        <w:t xml:space="preserve"> </w:t>
      </w:r>
      <w:r w:rsidRPr="006F4EAF">
        <w:rPr>
          <w:rFonts w:eastAsia="Times New Roman" w:cs="Times New Roman"/>
          <w:lang w:eastAsia="de-DE"/>
        </w:rPr>
        <w:t xml:space="preserve">„Einweihung" und </w:t>
      </w:r>
      <w:r w:rsidRPr="006F4EAF">
        <w:rPr>
          <w:rFonts w:eastAsia="Times New Roman" w:cs="Times New Roman"/>
          <w:b/>
          <w:bCs/>
          <w:rtl/>
          <w:lang w:eastAsia="de-DE"/>
        </w:rPr>
        <w:t>מִזְבֵּחַ</w:t>
      </w:r>
      <w:r w:rsidRPr="006F4EAF">
        <w:rPr>
          <w:rFonts w:eastAsia="Times New Roman" w:cs="Times New Roman"/>
          <w:rtl/>
          <w:lang w:eastAsia="de-DE"/>
        </w:rPr>
        <w:t xml:space="preserve"> </w:t>
      </w:r>
      <w:r w:rsidRPr="006F4EAF">
        <w:rPr>
          <w:rFonts w:eastAsia="Times New Roman" w:cs="Times New Roman"/>
          <w:lang w:eastAsia="de-DE"/>
        </w:rPr>
        <w:t xml:space="preserve">mit Artikel „dies war die Einweihung des Altars"), </w:t>
      </w:r>
      <w:r w:rsidRPr="006F4EAF">
        <w:rPr>
          <w:rFonts w:eastAsia="Times New Roman" w:cs="Times New Roman"/>
          <w:b/>
          <w:bCs/>
          <w:rtl/>
          <w:lang w:eastAsia="de-DE"/>
        </w:rPr>
        <w:t>אַחֲרֵי הִמָּשַׁח אֹתוֹ</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אַחַר</w:t>
      </w:r>
      <w:r w:rsidRPr="006F4EAF">
        <w:rPr>
          <w:rFonts w:eastAsia="Times New Roman" w:cs="Times New Roman"/>
          <w:rtl/>
          <w:lang w:eastAsia="de-DE"/>
        </w:rPr>
        <w:t xml:space="preserve"> </w:t>
      </w:r>
      <w:r w:rsidRPr="006F4EAF">
        <w:rPr>
          <w:rFonts w:eastAsia="Times New Roman" w:cs="Times New Roman"/>
          <w:lang w:eastAsia="de-DE"/>
        </w:rPr>
        <w:t xml:space="preserve">Plural im </w:t>
      </w:r>
      <w:r w:rsidR="00F133EC">
        <w:rPr>
          <w:rFonts w:eastAsia="Times New Roman" w:cs="Times New Roman"/>
          <w:lang w:eastAsia="de-DE"/>
        </w:rPr>
        <w:t>Constructus</w:t>
      </w:r>
      <w:r w:rsidRPr="006F4EAF">
        <w:rPr>
          <w:rFonts w:eastAsia="Times New Roman" w:cs="Times New Roman"/>
          <w:lang w:eastAsia="de-DE"/>
        </w:rPr>
        <w:t xml:space="preserve"> - idiomatisch </w:t>
      </w:r>
      <w:r w:rsidRPr="006F4EAF">
        <w:rPr>
          <w:rFonts w:eastAsia="Times New Roman" w:cs="Times New Roman"/>
          <w:b/>
          <w:bCs/>
          <w:rtl/>
          <w:lang w:eastAsia="de-DE"/>
        </w:rPr>
        <w:t>אַחֲרֵי</w:t>
      </w:r>
      <w:r w:rsidRPr="006F4EAF">
        <w:rPr>
          <w:rFonts w:eastAsia="Times New Roman" w:cs="Times New Roman"/>
          <w:rtl/>
          <w:lang w:eastAsia="de-DE"/>
        </w:rPr>
        <w:t xml:space="preserve"> </w:t>
      </w:r>
      <w:r w:rsidRPr="006F4EAF">
        <w:rPr>
          <w:rFonts w:eastAsia="Times New Roman" w:cs="Times New Roman"/>
          <w:lang w:eastAsia="de-DE"/>
        </w:rPr>
        <w:t xml:space="preserve">„nach" - mit Niphal Infinitiv </w:t>
      </w:r>
      <w:r w:rsidR="00F133EC">
        <w:rPr>
          <w:rFonts w:eastAsia="Times New Roman" w:cs="Times New Roman"/>
          <w:lang w:eastAsia="de-DE"/>
        </w:rPr>
        <w:t>Constructus</w:t>
      </w:r>
      <w:r w:rsidRPr="006F4EAF">
        <w:rPr>
          <w:rFonts w:eastAsia="Times New Roman" w:cs="Times New Roman"/>
          <w:lang w:eastAsia="de-DE"/>
        </w:rPr>
        <w:t xml:space="preserve"> von </w:t>
      </w:r>
      <w:r w:rsidRPr="006F4EAF">
        <w:rPr>
          <w:rFonts w:eastAsia="Times New Roman" w:cs="Times New Roman"/>
          <w:b/>
          <w:bCs/>
          <w:rtl/>
          <w:lang w:eastAsia="de-DE"/>
        </w:rPr>
        <w:t>משׁח</w:t>
      </w:r>
      <w:r w:rsidRPr="006F4EAF">
        <w:rPr>
          <w:rFonts w:eastAsia="Times New Roman" w:cs="Times New Roman"/>
          <w:rtl/>
          <w:lang w:eastAsia="de-DE"/>
        </w:rPr>
        <w:t xml:space="preserve"> </w:t>
      </w:r>
      <w:r w:rsidRPr="006F4EAF">
        <w:rPr>
          <w:rFonts w:eastAsia="Times New Roman" w:cs="Times New Roman"/>
          <w:lang w:eastAsia="de-DE"/>
        </w:rPr>
        <w:t>mit Artikel und Akkusativpartikel mit Suffix „nachdem man ihn gesalbt hatte").</w:t>
      </w:r>
    </w:p>
    <w:p w14:paraId="5AB05039"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Satzstruktur zeigt eine Überschrift, eine viergliedrige Aufzählung und eine feierliche Abschlussformel mit temporaler Bestimmung.</w:t>
      </w:r>
    </w:p>
    <w:p w14:paraId="39028C99"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summiert die Friedensopfertiere: 24 Stiere + 60 Widder + 60 Böcke + 60 Lämmer = 204 Friedensopfertiere! Zusammen mit den 48 Tieren aus V. 87 ergibt dies insgesamt 252 Tiere in zwölf Tagen - ein überwältigendes Opfer. Die Dreifachheit der Sechzig (60 Widder, 60 Böcke, 60 Lämmer) unterstreicht die Fülle und Vollständigkeit. Die Schlussformel </w:t>
      </w:r>
      <w:r w:rsidRPr="006F4EAF">
        <w:rPr>
          <w:rFonts w:eastAsia="Times New Roman" w:cs="Times New Roman"/>
          <w:b/>
          <w:bCs/>
          <w:rtl/>
          <w:lang w:eastAsia="de-DE"/>
        </w:rPr>
        <w:t>זֹאת חֲנֻכַּת הַמִּזְבֵּחַ אַחֲרֵי הִמָּשַׁח אֹתוֹ</w:t>
      </w:r>
      <w:r w:rsidRPr="006F4EAF">
        <w:rPr>
          <w:rFonts w:eastAsia="Times New Roman" w:cs="Times New Roman"/>
          <w:rtl/>
          <w:lang w:eastAsia="de-DE"/>
        </w:rPr>
        <w:t xml:space="preserve"> </w:t>
      </w:r>
      <w:r w:rsidRPr="006F4EAF">
        <w:rPr>
          <w:rFonts w:eastAsia="Times New Roman" w:cs="Times New Roman"/>
          <w:lang w:eastAsia="de-DE"/>
        </w:rPr>
        <w:t>schließt den Kreis zu V. 1 und V. 10 - die Altarweihe ist vollendet.</w:t>
      </w:r>
    </w:p>
    <w:p w14:paraId="31D8A705" w14:textId="77777777" w:rsidR="006F4EAF" w:rsidRPr="006F4EAF" w:rsidRDefault="006F4EAF" w:rsidP="006F4EAF">
      <w:pPr>
        <w:spacing w:before="100" w:beforeAutospacing="1" w:after="100" w:afterAutospacing="1" w:line="240" w:lineRule="auto"/>
        <w:outlineLvl w:val="0"/>
        <w:rPr>
          <w:rFonts w:eastAsia="Times New Roman" w:cs="Times New Roman"/>
          <w:b/>
          <w:bCs/>
          <w:kern w:val="36"/>
          <w:sz w:val="48"/>
          <w:szCs w:val="48"/>
          <w:lang w:eastAsia="de-DE"/>
        </w:rPr>
      </w:pPr>
      <w:r w:rsidRPr="006F4EAF">
        <w:rPr>
          <w:rFonts w:eastAsia="Times New Roman" w:cs="Times New Roman"/>
          <w:b/>
          <w:bCs/>
          <w:kern w:val="36"/>
          <w:sz w:val="48"/>
          <w:szCs w:val="48"/>
          <w:lang w:eastAsia="de-DE"/>
        </w:rPr>
        <w:t>Numeri 7,89</w:t>
      </w:r>
    </w:p>
    <w:p w14:paraId="5F8C31B2"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Hebräisch:</w:t>
      </w:r>
      <w:r w:rsidRPr="006F4EAF">
        <w:rPr>
          <w:rFonts w:eastAsia="Times New Roman" w:cs="Times New Roman"/>
          <w:lang w:eastAsia="de-DE"/>
        </w:rPr>
        <w:t xml:space="preserve"> </w:t>
      </w:r>
      <w:r w:rsidRPr="006F4EAF">
        <w:rPr>
          <w:rFonts w:eastAsia="Times New Roman" w:cs="Times New Roman"/>
          <w:rtl/>
          <w:lang w:eastAsia="de-DE"/>
        </w:rPr>
        <w:t>וּבְבֹ֨א מֹשֶׁ֜ה אֶל־אֹ֣הֶל מוֹעֵד֮ לְדַבֵּ֣ר אִתּוֹ֒ וַיִּשְׁמַ֨ע אֶת־הַקּ֜וֹל מִדַּבֵּ֣ר אֵלָ֗יו מֵעַ֤ל הַכַּפֹּ֙רֶת֙ אֲשֶׁר֙ עַל־אֲרֹ֣ן הָעֵדֻ֔ת מִבֵּ֖ין שְׁנֵ֣י הַכְּרֻבִ֑ים וַיְדַבֵּ֖ר אֵלָֽיו׃</w:t>
      </w:r>
    </w:p>
    <w:p w14:paraId="205B736D"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Deutsch:</w:t>
      </w:r>
      <w:r w:rsidRPr="006F4EAF">
        <w:rPr>
          <w:rFonts w:eastAsia="Times New Roman" w:cs="Times New Roman"/>
          <w:lang w:eastAsia="de-DE"/>
        </w:rPr>
        <w:t xml:space="preserve"> Und wenn Mosche in das Zelt der Begegnung hineinging, um mit Ihm zu reden, da hörte er die Stimme zu ihm redend von oberhalb der Deckplatte, die auf der Lade des Zeugnisses war, zwischen den beiden Cherubim; und Er redete zu ihm.</w:t>
      </w:r>
    </w:p>
    <w:p w14:paraId="6F67D671" w14:textId="77777777" w:rsidR="006F4EAF" w:rsidRPr="006F4EAF" w:rsidRDefault="00F329DD" w:rsidP="006F4EAF">
      <w:pPr>
        <w:spacing w:after="0" w:line="240" w:lineRule="auto"/>
        <w:rPr>
          <w:rFonts w:eastAsia="Times New Roman" w:cs="Times New Roman"/>
          <w:lang w:eastAsia="de-DE"/>
        </w:rPr>
      </w:pPr>
      <w:r>
        <w:rPr>
          <w:rFonts w:eastAsia="Times New Roman" w:cs="Times New Roman"/>
          <w:noProof/>
          <w:lang w:eastAsia="de-DE"/>
        </w:rPr>
        <w:pict w14:anchorId="3B97A179">
          <v:rect id="_x0000_i1294" style="width:0;height:1.5pt" o:hralign="center" o:hrstd="t" o:hr="t" fillcolor="#a0a0a0" stroked="f"/>
        </w:pict>
      </w:r>
    </w:p>
    <w:p w14:paraId="7D9A8F94" w14:textId="2BB2F5F3"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lang w:eastAsia="de-DE"/>
        </w:rPr>
        <w:t>Kommentar:</w:t>
      </w:r>
      <w:r w:rsidRPr="006F4EAF">
        <w:rPr>
          <w:rFonts w:eastAsia="Times New Roman" w:cs="Times New Roman"/>
          <w:lang w:eastAsia="de-DE"/>
        </w:rPr>
        <w:t xml:space="preserve"> Der Vers schließt das Kapitel mit der göttlichen Gegenwart ab - ein überraschender und erhabener Abschluss nach der langen Opferliste. </w:t>
      </w:r>
      <w:r w:rsidRPr="006F4EAF">
        <w:rPr>
          <w:rFonts w:eastAsia="Times New Roman" w:cs="Times New Roman"/>
          <w:b/>
          <w:bCs/>
          <w:rtl/>
          <w:lang w:eastAsia="de-DE"/>
        </w:rPr>
        <w:t>וּבְבֹא מֹשֶׁה אֶל־אֹהֶל מוֹעֵד לְדַבֵּר אִתּוֹ</w:t>
      </w:r>
      <w:r w:rsidRPr="006F4EAF">
        <w:rPr>
          <w:rFonts w:eastAsia="Times New Roman" w:cs="Times New Roman"/>
          <w:rtl/>
          <w:lang w:eastAsia="de-DE"/>
        </w:rPr>
        <w:t xml:space="preserve"> </w:t>
      </w:r>
      <w:r w:rsidRPr="006F4EAF">
        <w:rPr>
          <w:rFonts w:eastAsia="Times New Roman" w:cs="Times New Roman"/>
          <w:lang w:eastAsia="de-DE"/>
        </w:rPr>
        <w:t xml:space="preserve">ist die temporale Einleitung. </w:t>
      </w:r>
      <w:r w:rsidRPr="006F4EAF">
        <w:rPr>
          <w:rFonts w:eastAsia="Times New Roman" w:cs="Times New Roman"/>
          <w:b/>
          <w:bCs/>
          <w:rtl/>
          <w:lang w:eastAsia="de-DE"/>
        </w:rPr>
        <w:t>וּבְבֹא מֹשֶׁה</w:t>
      </w:r>
      <w:r w:rsidRPr="006F4EAF">
        <w:rPr>
          <w:rFonts w:eastAsia="Times New Roman" w:cs="Times New Roman"/>
          <w:rtl/>
          <w:lang w:eastAsia="de-DE"/>
        </w:rPr>
        <w:t xml:space="preserve"> </w:t>
      </w:r>
      <w:r w:rsidRPr="006F4EAF">
        <w:rPr>
          <w:rFonts w:eastAsia="Times New Roman" w:cs="Times New Roman"/>
          <w:lang w:eastAsia="de-DE"/>
        </w:rPr>
        <w:t xml:space="preserve">(Konjunktion mit Präposition </w:t>
      </w:r>
      <w:r w:rsidRPr="006F4EAF">
        <w:rPr>
          <w:rFonts w:eastAsia="Times New Roman" w:cs="Times New Roman"/>
          <w:b/>
          <w:bCs/>
          <w:rtl/>
          <w:lang w:eastAsia="de-DE"/>
        </w:rPr>
        <w:t>בְ</w:t>
      </w:r>
      <w:r w:rsidRPr="006F4EAF">
        <w:rPr>
          <w:rFonts w:eastAsia="Times New Roman" w:cs="Times New Roman"/>
          <w:rtl/>
          <w:lang w:eastAsia="de-DE"/>
        </w:rPr>
        <w:t xml:space="preserve"> </w:t>
      </w:r>
      <w:r w:rsidRPr="006F4EAF">
        <w:rPr>
          <w:rFonts w:eastAsia="Times New Roman" w:cs="Times New Roman"/>
          <w:lang w:eastAsia="de-DE"/>
        </w:rPr>
        <w:t xml:space="preserve">und Qal Infinitiv </w:t>
      </w:r>
      <w:r w:rsidR="00F133EC">
        <w:rPr>
          <w:rFonts w:eastAsia="Times New Roman" w:cs="Times New Roman"/>
          <w:lang w:eastAsia="de-DE"/>
        </w:rPr>
        <w:t>Constructus</w:t>
      </w:r>
      <w:r w:rsidRPr="006F4EAF">
        <w:rPr>
          <w:rFonts w:eastAsia="Times New Roman" w:cs="Times New Roman"/>
          <w:lang w:eastAsia="de-DE"/>
        </w:rPr>
        <w:t xml:space="preserve"> von </w:t>
      </w:r>
      <w:r w:rsidRPr="006F4EAF">
        <w:rPr>
          <w:rFonts w:eastAsia="Times New Roman" w:cs="Times New Roman"/>
          <w:b/>
          <w:bCs/>
          <w:rtl/>
          <w:lang w:eastAsia="de-DE"/>
        </w:rPr>
        <w:t>בוא</w:t>
      </w:r>
      <w:r w:rsidRPr="006F4EAF">
        <w:rPr>
          <w:rFonts w:eastAsia="Times New Roman" w:cs="Times New Roman"/>
          <w:rtl/>
          <w:lang w:eastAsia="de-DE"/>
        </w:rPr>
        <w:t xml:space="preserve"> </w:t>
      </w:r>
      <w:r w:rsidRPr="006F4EAF">
        <w:rPr>
          <w:rFonts w:eastAsia="Times New Roman" w:cs="Times New Roman"/>
          <w:lang w:eastAsia="de-DE"/>
        </w:rPr>
        <w:t xml:space="preserve">„kommen" mit </w:t>
      </w:r>
      <w:r w:rsidRPr="006F4EAF">
        <w:rPr>
          <w:rFonts w:eastAsia="Times New Roman" w:cs="Times New Roman"/>
          <w:b/>
          <w:bCs/>
          <w:rtl/>
          <w:lang w:eastAsia="de-DE"/>
        </w:rPr>
        <w:t>מֹשֶׁה</w:t>
      </w:r>
      <w:r w:rsidRPr="006F4EAF">
        <w:rPr>
          <w:rFonts w:eastAsia="Times New Roman" w:cs="Times New Roman"/>
          <w:rtl/>
          <w:lang w:eastAsia="de-DE"/>
        </w:rPr>
        <w:t xml:space="preserve"> </w:t>
      </w:r>
      <w:r w:rsidRPr="006F4EAF">
        <w:rPr>
          <w:rFonts w:eastAsia="Times New Roman" w:cs="Times New Roman"/>
          <w:lang w:eastAsia="de-DE"/>
        </w:rPr>
        <w:t xml:space="preserve">als Subjekt im Genitiv „und wenn Mosche hineinging"), </w:t>
      </w:r>
      <w:r w:rsidRPr="006F4EAF">
        <w:rPr>
          <w:rFonts w:eastAsia="Times New Roman" w:cs="Times New Roman"/>
          <w:b/>
          <w:bCs/>
          <w:rtl/>
          <w:lang w:eastAsia="de-DE"/>
        </w:rPr>
        <w:t>אֶל־אֹהֶל מוֹעֵד</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אֶל</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אֹהֶל מוֹעֵד</w:t>
      </w:r>
      <w:r w:rsidRPr="006F4EAF">
        <w:rPr>
          <w:rFonts w:eastAsia="Times New Roman" w:cs="Times New Roman"/>
          <w:rtl/>
          <w:lang w:eastAsia="de-DE"/>
        </w:rPr>
        <w:t xml:space="preserve"> </w:t>
      </w:r>
      <w:r w:rsidRPr="006F4EAF">
        <w:rPr>
          <w:rFonts w:eastAsia="Times New Roman" w:cs="Times New Roman"/>
          <w:lang w:eastAsia="de-DE"/>
        </w:rPr>
        <w:t xml:space="preserve">„Zelt der Begegnung" „in das Zelt der Begegnung"), </w:t>
      </w:r>
      <w:r w:rsidRPr="006F4EAF">
        <w:rPr>
          <w:rFonts w:eastAsia="Times New Roman" w:cs="Times New Roman"/>
          <w:b/>
          <w:bCs/>
          <w:rtl/>
          <w:lang w:eastAsia="de-DE"/>
        </w:rPr>
        <w:t>לְדַבֵּר אִתּוֹ</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לְ</w:t>
      </w:r>
      <w:r w:rsidRPr="006F4EAF">
        <w:rPr>
          <w:rFonts w:eastAsia="Times New Roman" w:cs="Times New Roman"/>
          <w:rtl/>
          <w:lang w:eastAsia="de-DE"/>
        </w:rPr>
        <w:t xml:space="preserve"> </w:t>
      </w:r>
      <w:r w:rsidRPr="006F4EAF">
        <w:rPr>
          <w:rFonts w:eastAsia="Times New Roman" w:cs="Times New Roman"/>
          <w:lang w:eastAsia="de-DE"/>
        </w:rPr>
        <w:t xml:space="preserve">mit Piel Infinitiv </w:t>
      </w:r>
      <w:r w:rsidR="00F133EC">
        <w:rPr>
          <w:rFonts w:eastAsia="Times New Roman" w:cs="Times New Roman"/>
          <w:lang w:eastAsia="de-DE"/>
        </w:rPr>
        <w:t>Constructus</w:t>
      </w:r>
      <w:r w:rsidRPr="006F4EAF">
        <w:rPr>
          <w:rFonts w:eastAsia="Times New Roman" w:cs="Times New Roman"/>
          <w:lang w:eastAsia="de-DE"/>
        </w:rPr>
        <w:t xml:space="preserve"> von </w:t>
      </w:r>
      <w:r w:rsidRPr="006F4EAF">
        <w:rPr>
          <w:rFonts w:eastAsia="Times New Roman" w:cs="Times New Roman"/>
          <w:b/>
          <w:bCs/>
          <w:rtl/>
          <w:lang w:eastAsia="de-DE"/>
        </w:rPr>
        <w:t>דבר</w:t>
      </w:r>
      <w:r w:rsidRPr="006F4EAF">
        <w:rPr>
          <w:rFonts w:eastAsia="Times New Roman" w:cs="Times New Roman"/>
          <w:rtl/>
          <w:lang w:eastAsia="de-DE"/>
        </w:rPr>
        <w:t xml:space="preserve"> </w:t>
      </w:r>
      <w:r w:rsidRPr="006F4EAF">
        <w:rPr>
          <w:rFonts w:eastAsia="Times New Roman" w:cs="Times New Roman"/>
          <w:lang w:eastAsia="de-DE"/>
        </w:rPr>
        <w:t xml:space="preserve">„reden" und Präposition </w:t>
      </w:r>
      <w:r w:rsidRPr="006F4EAF">
        <w:rPr>
          <w:rFonts w:eastAsia="Times New Roman" w:cs="Times New Roman"/>
          <w:b/>
          <w:bCs/>
          <w:rtl/>
          <w:lang w:eastAsia="de-DE"/>
        </w:rPr>
        <w:t>אֵת</w:t>
      </w:r>
      <w:r w:rsidRPr="006F4EAF">
        <w:rPr>
          <w:rFonts w:eastAsia="Times New Roman" w:cs="Times New Roman"/>
          <w:rtl/>
          <w:lang w:eastAsia="de-DE"/>
        </w:rPr>
        <w:t xml:space="preserve"> </w:t>
      </w:r>
      <w:r w:rsidRPr="006F4EAF">
        <w:rPr>
          <w:rFonts w:eastAsia="Times New Roman" w:cs="Times New Roman"/>
          <w:lang w:eastAsia="de-DE"/>
        </w:rPr>
        <w:t xml:space="preserve">„mit" mit Suffix 3. Person maskulin Singular „um mit Ihm zu reden" - </w:t>
      </w:r>
      <w:r w:rsidRPr="006F4EAF">
        <w:rPr>
          <w:rFonts w:eastAsia="Times New Roman" w:cs="Times New Roman"/>
          <w:b/>
          <w:bCs/>
          <w:rtl/>
          <w:lang w:eastAsia="de-DE"/>
        </w:rPr>
        <w:t>אִתּוֹ</w:t>
      </w:r>
      <w:r w:rsidRPr="006F4EAF">
        <w:rPr>
          <w:rFonts w:eastAsia="Times New Roman" w:cs="Times New Roman"/>
          <w:rtl/>
          <w:lang w:eastAsia="de-DE"/>
        </w:rPr>
        <w:t xml:space="preserve"> </w:t>
      </w:r>
      <w:r w:rsidRPr="006F4EAF">
        <w:rPr>
          <w:rFonts w:eastAsia="Times New Roman" w:cs="Times New Roman"/>
          <w:lang w:eastAsia="de-DE"/>
        </w:rPr>
        <w:t>bezieht sich auf Gott).</w:t>
      </w:r>
    </w:p>
    <w:p w14:paraId="2D831B93" w14:textId="7A646188"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וַיִּשְׁמַע אֶת־הַקּוֹל מִדַּבֵּר אֵלָיו מֵעַל הַכַּפֹּרֶת אֲשֶׁר עַל־אֲרֹן הָעֵדֻת מִבֵּין שְׁנֵי הַכְּרֻבִים</w:t>
      </w:r>
      <w:r w:rsidRPr="006F4EAF">
        <w:rPr>
          <w:rFonts w:eastAsia="Times New Roman" w:cs="Times New Roman"/>
          <w:rtl/>
          <w:lang w:eastAsia="de-DE"/>
        </w:rPr>
        <w:t xml:space="preserve"> </w:t>
      </w:r>
      <w:r w:rsidRPr="006F4EAF">
        <w:rPr>
          <w:rFonts w:eastAsia="Times New Roman" w:cs="Times New Roman"/>
          <w:lang w:eastAsia="de-DE"/>
        </w:rPr>
        <w:t xml:space="preserve">ist die Hauptaussage. </w:t>
      </w:r>
      <w:r w:rsidRPr="006F4EAF">
        <w:rPr>
          <w:rFonts w:eastAsia="Times New Roman" w:cs="Times New Roman"/>
          <w:b/>
          <w:bCs/>
          <w:rtl/>
          <w:lang w:eastAsia="de-DE"/>
        </w:rPr>
        <w:t>וַיִּשְׁמַע</w:t>
      </w:r>
      <w:r w:rsidRPr="006F4EAF">
        <w:rPr>
          <w:rFonts w:eastAsia="Times New Roman" w:cs="Times New Roman"/>
          <w:rtl/>
          <w:lang w:eastAsia="de-DE"/>
        </w:rPr>
        <w:t xml:space="preserve"> </w:t>
      </w:r>
      <w:r w:rsidRPr="006F4EAF">
        <w:rPr>
          <w:rFonts w:eastAsia="Times New Roman" w:cs="Times New Roman"/>
          <w:lang w:eastAsia="de-DE"/>
        </w:rPr>
        <w:t xml:space="preserve">(Qal Wayyiqtol 3. Person maskulin Singular von </w:t>
      </w:r>
      <w:r w:rsidRPr="006F4EAF">
        <w:rPr>
          <w:rFonts w:eastAsia="Times New Roman" w:cs="Times New Roman"/>
          <w:b/>
          <w:bCs/>
          <w:rtl/>
          <w:lang w:eastAsia="de-DE"/>
        </w:rPr>
        <w:t>שׁמע</w:t>
      </w:r>
      <w:r w:rsidRPr="006F4EAF">
        <w:rPr>
          <w:rFonts w:eastAsia="Times New Roman" w:cs="Times New Roman"/>
          <w:rtl/>
          <w:lang w:eastAsia="de-DE"/>
        </w:rPr>
        <w:t xml:space="preserve"> </w:t>
      </w:r>
      <w:r w:rsidRPr="006F4EAF">
        <w:rPr>
          <w:rFonts w:eastAsia="Times New Roman" w:cs="Times New Roman"/>
          <w:lang w:eastAsia="de-DE"/>
        </w:rPr>
        <w:t xml:space="preserve">„hören" - Subjekt Mose), </w:t>
      </w:r>
      <w:r w:rsidRPr="006F4EAF">
        <w:rPr>
          <w:rFonts w:eastAsia="Times New Roman" w:cs="Times New Roman"/>
          <w:b/>
          <w:bCs/>
          <w:rtl/>
          <w:lang w:eastAsia="de-DE"/>
        </w:rPr>
        <w:t>אֶת־הַקּוֹל</w:t>
      </w:r>
      <w:r w:rsidRPr="006F4EAF">
        <w:rPr>
          <w:rFonts w:eastAsia="Times New Roman" w:cs="Times New Roman"/>
          <w:rtl/>
          <w:lang w:eastAsia="de-DE"/>
        </w:rPr>
        <w:t xml:space="preserve"> </w:t>
      </w:r>
      <w:r w:rsidRPr="006F4EAF">
        <w:rPr>
          <w:rFonts w:eastAsia="Times New Roman" w:cs="Times New Roman"/>
          <w:lang w:eastAsia="de-DE"/>
        </w:rPr>
        <w:t xml:space="preserve">(Akkusativpartikel mit </w:t>
      </w:r>
      <w:r w:rsidRPr="006F4EAF">
        <w:rPr>
          <w:rFonts w:eastAsia="Times New Roman" w:cs="Times New Roman"/>
          <w:b/>
          <w:bCs/>
          <w:rtl/>
          <w:lang w:eastAsia="de-DE"/>
        </w:rPr>
        <w:t>קוֹל</w:t>
      </w:r>
      <w:r w:rsidRPr="006F4EAF">
        <w:rPr>
          <w:rFonts w:eastAsia="Times New Roman" w:cs="Times New Roman"/>
          <w:rtl/>
          <w:lang w:eastAsia="de-DE"/>
        </w:rPr>
        <w:t xml:space="preserve"> </w:t>
      </w:r>
      <w:r w:rsidRPr="006F4EAF">
        <w:rPr>
          <w:rFonts w:eastAsia="Times New Roman" w:cs="Times New Roman"/>
          <w:lang w:eastAsia="de-DE"/>
        </w:rPr>
        <w:t xml:space="preserve">„Stimme" mit Artikel „die Stimme"), </w:t>
      </w:r>
      <w:r w:rsidRPr="006F4EAF">
        <w:rPr>
          <w:rFonts w:eastAsia="Times New Roman" w:cs="Times New Roman"/>
          <w:b/>
          <w:bCs/>
          <w:rtl/>
          <w:lang w:eastAsia="de-DE"/>
        </w:rPr>
        <w:t>מִדַּבֵּר אֵלָיו</w:t>
      </w:r>
      <w:r w:rsidRPr="006F4EAF">
        <w:rPr>
          <w:rFonts w:eastAsia="Times New Roman" w:cs="Times New Roman"/>
          <w:rtl/>
          <w:lang w:eastAsia="de-DE"/>
        </w:rPr>
        <w:t xml:space="preserve"> </w:t>
      </w:r>
      <w:r w:rsidRPr="006F4EAF">
        <w:rPr>
          <w:rFonts w:eastAsia="Times New Roman" w:cs="Times New Roman"/>
          <w:lang w:eastAsia="de-DE"/>
        </w:rPr>
        <w:t xml:space="preserve">(Piel-Partizip maskulin Singular von </w:t>
      </w:r>
      <w:r w:rsidRPr="006F4EAF">
        <w:rPr>
          <w:rFonts w:eastAsia="Times New Roman" w:cs="Times New Roman"/>
          <w:b/>
          <w:bCs/>
          <w:rtl/>
          <w:lang w:eastAsia="de-DE"/>
        </w:rPr>
        <w:t>דבר</w:t>
      </w:r>
      <w:r w:rsidRPr="006F4EAF">
        <w:rPr>
          <w:rFonts w:eastAsia="Times New Roman" w:cs="Times New Roman"/>
          <w:rtl/>
          <w:lang w:eastAsia="de-DE"/>
        </w:rPr>
        <w:t xml:space="preserve"> </w:t>
      </w:r>
      <w:r w:rsidRPr="006F4EAF">
        <w:rPr>
          <w:rFonts w:eastAsia="Times New Roman" w:cs="Times New Roman"/>
          <w:lang w:eastAsia="de-DE"/>
        </w:rPr>
        <w:t xml:space="preserve">„redend" mit Präposition </w:t>
      </w:r>
      <w:r w:rsidRPr="006F4EAF">
        <w:rPr>
          <w:rFonts w:eastAsia="Times New Roman" w:cs="Times New Roman"/>
          <w:b/>
          <w:bCs/>
          <w:rtl/>
          <w:lang w:eastAsia="de-DE"/>
        </w:rPr>
        <w:t>אֶל</w:t>
      </w:r>
      <w:r w:rsidRPr="006F4EAF">
        <w:rPr>
          <w:rFonts w:eastAsia="Times New Roman" w:cs="Times New Roman"/>
          <w:rtl/>
          <w:lang w:eastAsia="de-DE"/>
        </w:rPr>
        <w:t xml:space="preserve"> </w:t>
      </w:r>
      <w:r w:rsidRPr="006F4EAF">
        <w:rPr>
          <w:rFonts w:eastAsia="Times New Roman" w:cs="Times New Roman"/>
          <w:lang w:eastAsia="de-DE"/>
        </w:rPr>
        <w:t xml:space="preserve">und Suffix „zu ihm redend"), </w:t>
      </w:r>
      <w:r w:rsidRPr="006F4EAF">
        <w:rPr>
          <w:rFonts w:eastAsia="Times New Roman" w:cs="Times New Roman"/>
          <w:b/>
          <w:bCs/>
          <w:rtl/>
          <w:lang w:eastAsia="de-DE"/>
        </w:rPr>
        <w:t>מֵעַל הַכַּפֹּרֶת</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מִן</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עַל</w:t>
      </w:r>
      <w:r w:rsidRPr="006F4EAF">
        <w:rPr>
          <w:rFonts w:eastAsia="Times New Roman" w:cs="Times New Roman"/>
          <w:rtl/>
          <w:lang w:eastAsia="de-DE"/>
        </w:rPr>
        <w:t xml:space="preserve"> </w:t>
      </w:r>
      <w:r w:rsidRPr="006F4EAF">
        <w:rPr>
          <w:rFonts w:eastAsia="Times New Roman" w:cs="Times New Roman"/>
          <w:lang w:eastAsia="de-DE"/>
        </w:rPr>
        <w:t xml:space="preserve">„von oberhalb" und </w:t>
      </w:r>
      <w:r w:rsidRPr="006F4EAF">
        <w:rPr>
          <w:rFonts w:eastAsia="Times New Roman" w:cs="Times New Roman"/>
          <w:b/>
          <w:bCs/>
          <w:rtl/>
          <w:lang w:eastAsia="de-DE"/>
        </w:rPr>
        <w:t>כַּפֹּרֶת</w:t>
      </w:r>
      <w:r w:rsidRPr="006F4EAF">
        <w:rPr>
          <w:rFonts w:eastAsia="Times New Roman" w:cs="Times New Roman"/>
          <w:rtl/>
          <w:lang w:eastAsia="de-DE"/>
        </w:rPr>
        <w:t xml:space="preserve"> </w:t>
      </w:r>
      <w:r w:rsidRPr="006F4EAF">
        <w:rPr>
          <w:rFonts w:eastAsia="Times New Roman" w:cs="Times New Roman"/>
          <w:lang w:eastAsia="de-DE"/>
        </w:rPr>
        <w:t xml:space="preserve">„Deckplatte, Sühneplatte" mit Artikel - die goldene Platte auf der Bundeslade), </w:t>
      </w:r>
      <w:r w:rsidRPr="006F4EAF">
        <w:rPr>
          <w:rFonts w:eastAsia="Times New Roman" w:cs="Times New Roman"/>
          <w:b/>
          <w:bCs/>
          <w:rtl/>
          <w:lang w:eastAsia="de-DE"/>
        </w:rPr>
        <w:t>אֲשֶׁר עַל־אֲרֹן הָעֵדֻת</w:t>
      </w:r>
      <w:r w:rsidRPr="006F4EAF">
        <w:rPr>
          <w:rFonts w:eastAsia="Times New Roman" w:cs="Times New Roman"/>
          <w:rtl/>
          <w:lang w:eastAsia="de-DE"/>
        </w:rPr>
        <w:t xml:space="preserve"> </w:t>
      </w:r>
      <w:r w:rsidRPr="006F4EAF">
        <w:rPr>
          <w:rFonts w:eastAsia="Times New Roman" w:cs="Times New Roman"/>
          <w:lang w:eastAsia="de-DE"/>
        </w:rPr>
        <w:t xml:space="preserve">(Relativsatz: </w:t>
      </w:r>
      <w:r w:rsidRPr="006F4EAF">
        <w:rPr>
          <w:rFonts w:eastAsia="Times New Roman" w:cs="Times New Roman"/>
          <w:b/>
          <w:bCs/>
          <w:rtl/>
          <w:lang w:eastAsia="de-DE"/>
        </w:rPr>
        <w:t>אֲשֶׁר</w:t>
      </w:r>
      <w:r w:rsidRPr="006F4EAF">
        <w:rPr>
          <w:rFonts w:eastAsia="Times New Roman" w:cs="Times New Roman"/>
          <w:rtl/>
          <w:lang w:eastAsia="de-DE"/>
        </w:rPr>
        <w:t xml:space="preserve"> </w:t>
      </w:r>
      <w:r w:rsidRPr="006F4EAF">
        <w:rPr>
          <w:rFonts w:eastAsia="Times New Roman" w:cs="Times New Roman"/>
          <w:lang w:eastAsia="de-DE"/>
        </w:rPr>
        <w:t xml:space="preserve">mit Präposition </w:t>
      </w:r>
      <w:r w:rsidRPr="006F4EAF">
        <w:rPr>
          <w:rFonts w:eastAsia="Times New Roman" w:cs="Times New Roman"/>
          <w:b/>
          <w:bCs/>
          <w:rtl/>
          <w:lang w:eastAsia="de-DE"/>
        </w:rPr>
        <w:t>עַל</w:t>
      </w:r>
      <w:r w:rsidRPr="006F4EAF">
        <w:rPr>
          <w:rFonts w:eastAsia="Times New Roman" w:cs="Times New Roman"/>
          <w:rtl/>
          <w:lang w:eastAsia="de-DE"/>
        </w:rPr>
        <w:t xml:space="preserve"> </w:t>
      </w:r>
      <w:r w:rsidRPr="006F4EAF">
        <w:rPr>
          <w:rFonts w:eastAsia="Times New Roman" w:cs="Times New Roman"/>
          <w:lang w:eastAsia="de-DE"/>
        </w:rPr>
        <w:t xml:space="preserve">und </w:t>
      </w:r>
      <w:r w:rsidRPr="006F4EAF">
        <w:rPr>
          <w:rFonts w:eastAsia="Times New Roman" w:cs="Times New Roman"/>
          <w:b/>
          <w:bCs/>
          <w:rtl/>
          <w:lang w:eastAsia="de-DE"/>
        </w:rPr>
        <w:t>אָרוֹן</w:t>
      </w:r>
      <w:r w:rsidRPr="006F4EAF">
        <w:rPr>
          <w:rFonts w:eastAsia="Times New Roman" w:cs="Times New Roman"/>
          <w:rtl/>
          <w:lang w:eastAsia="de-DE"/>
        </w:rPr>
        <w:t xml:space="preserve"> </w:t>
      </w:r>
      <w:r w:rsidRPr="006F4EAF">
        <w:rPr>
          <w:rFonts w:eastAsia="Times New Roman" w:cs="Times New Roman"/>
          <w:lang w:eastAsia="de-DE"/>
        </w:rPr>
        <w:t xml:space="preserve">„Lade" im </w:t>
      </w:r>
      <w:r w:rsidR="00F133EC">
        <w:rPr>
          <w:rFonts w:eastAsia="Times New Roman" w:cs="Times New Roman"/>
          <w:lang w:eastAsia="de-DE"/>
        </w:rPr>
        <w:t>Constructus</w:t>
      </w:r>
      <w:r w:rsidRPr="006F4EAF">
        <w:rPr>
          <w:rFonts w:eastAsia="Times New Roman" w:cs="Times New Roman"/>
          <w:lang w:eastAsia="de-DE"/>
        </w:rPr>
        <w:t xml:space="preserve"> mit </w:t>
      </w:r>
      <w:r w:rsidRPr="006F4EAF">
        <w:rPr>
          <w:rFonts w:eastAsia="Times New Roman" w:cs="Times New Roman"/>
          <w:b/>
          <w:bCs/>
          <w:rtl/>
          <w:lang w:eastAsia="de-DE"/>
        </w:rPr>
        <w:t>עֵדוּת</w:t>
      </w:r>
      <w:r w:rsidRPr="006F4EAF">
        <w:rPr>
          <w:rFonts w:eastAsia="Times New Roman" w:cs="Times New Roman"/>
          <w:rtl/>
          <w:lang w:eastAsia="de-DE"/>
        </w:rPr>
        <w:t xml:space="preserve"> </w:t>
      </w:r>
      <w:r w:rsidRPr="006F4EAF">
        <w:rPr>
          <w:rFonts w:eastAsia="Times New Roman" w:cs="Times New Roman"/>
          <w:lang w:eastAsia="de-DE"/>
        </w:rPr>
        <w:t xml:space="preserve">„Zeugnis" mit Artikel „die auf der Lade des Zeugnisses war"), </w:t>
      </w:r>
      <w:r w:rsidRPr="006F4EAF">
        <w:rPr>
          <w:rFonts w:eastAsia="Times New Roman" w:cs="Times New Roman"/>
          <w:b/>
          <w:bCs/>
          <w:rtl/>
          <w:lang w:eastAsia="de-DE"/>
        </w:rPr>
        <w:t>מִבֵּין שְׁנֵי הַכְּרֻבִים</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מִן</w:t>
      </w:r>
      <w:r w:rsidRPr="006F4EAF">
        <w:rPr>
          <w:rFonts w:eastAsia="Times New Roman" w:cs="Times New Roman"/>
          <w:rtl/>
          <w:lang w:eastAsia="de-DE"/>
        </w:rPr>
        <w:t xml:space="preserve"> </w:t>
      </w:r>
      <w:r w:rsidRPr="006F4EAF">
        <w:rPr>
          <w:rFonts w:eastAsia="Times New Roman" w:cs="Times New Roman"/>
          <w:lang w:eastAsia="de-DE"/>
        </w:rPr>
        <w:t xml:space="preserve">mit </w:t>
      </w:r>
      <w:r w:rsidRPr="006F4EAF">
        <w:rPr>
          <w:rFonts w:eastAsia="Times New Roman" w:cs="Times New Roman"/>
          <w:b/>
          <w:bCs/>
          <w:rtl/>
          <w:lang w:eastAsia="de-DE"/>
        </w:rPr>
        <w:t>בֵּין</w:t>
      </w:r>
      <w:r w:rsidRPr="006F4EAF">
        <w:rPr>
          <w:rFonts w:eastAsia="Times New Roman" w:cs="Times New Roman"/>
          <w:rtl/>
          <w:lang w:eastAsia="de-DE"/>
        </w:rPr>
        <w:t xml:space="preserve"> </w:t>
      </w:r>
      <w:r w:rsidRPr="006F4EAF">
        <w:rPr>
          <w:rFonts w:eastAsia="Times New Roman" w:cs="Times New Roman"/>
          <w:lang w:eastAsia="de-DE"/>
        </w:rPr>
        <w:t xml:space="preserve">„zwischen" und Kardinalzahl </w:t>
      </w:r>
      <w:r w:rsidRPr="006F4EAF">
        <w:rPr>
          <w:rFonts w:eastAsia="Times New Roman" w:cs="Times New Roman"/>
          <w:b/>
          <w:bCs/>
          <w:rtl/>
          <w:lang w:eastAsia="de-DE"/>
        </w:rPr>
        <w:t>שְׁנַיִם</w:t>
      </w:r>
      <w:r w:rsidRPr="006F4EAF">
        <w:rPr>
          <w:rFonts w:eastAsia="Times New Roman" w:cs="Times New Roman"/>
          <w:rtl/>
          <w:lang w:eastAsia="de-DE"/>
        </w:rPr>
        <w:t xml:space="preserve"> </w:t>
      </w:r>
      <w:r w:rsidRPr="006F4EAF">
        <w:rPr>
          <w:rFonts w:eastAsia="Times New Roman" w:cs="Times New Roman"/>
          <w:lang w:eastAsia="de-DE"/>
        </w:rPr>
        <w:t xml:space="preserve">Dual im </w:t>
      </w:r>
      <w:r w:rsidR="00F133EC">
        <w:rPr>
          <w:rFonts w:eastAsia="Times New Roman" w:cs="Times New Roman"/>
          <w:lang w:eastAsia="de-DE"/>
        </w:rPr>
        <w:t>Constructus</w:t>
      </w:r>
      <w:r w:rsidRPr="006F4EAF">
        <w:rPr>
          <w:rFonts w:eastAsia="Times New Roman" w:cs="Times New Roman"/>
          <w:lang w:eastAsia="de-DE"/>
        </w:rPr>
        <w:t xml:space="preserve"> mit Plural </w:t>
      </w:r>
      <w:r w:rsidRPr="006F4EAF">
        <w:rPr>
          <w:rFonts w:eastAsia="Times New Roman" w:cs="Times New Roman"/>
          <w:b/>
          <w:bCs/>
          <w:rtl/>
          <w:lang w:eastAsia="de-DE"/>
        </w:rPr>
        <w:t>כְּרוּב</w:t>
      </w:r>
      <w:r w:rsidRPr="006F4EAF">
        <w:rPr>
          <w:rFonts w:eastAsia="Times New Roman" w:cs="Times New Roman"/>
          <w:rtl/>
          <w:lang w:eastAsia="de-DE"/>
        </w:rPr>
        <w:t xml:space="preserve"> </w:t>
      </w:r>
      <w:r w:rsidRPr="006F4EAF">
        <w:rPr>
          <w:rFonts w:eastAsia="Times New Roman" w:cs="Times New Roman"/>
          <w:lang w:eastAsia="de-DE"/>
        </w:rPr>
        <w:t>„Cherub" mit Artikel „zwischen den beiden Cherubim").</w:t>
      </w:r>
    </w:p>
    <w:p w14:paraId="19C5A528"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b/>
          <w:bCs/>
          <w:rtl/>
          <w:lang w:eastAsia="de-DE"/>
        </w:rPr>
        <w:t>וַיְדַבֵּר אֵלָיו</w:t>
      </w:r>
      <w:r w:rsidRPr="006F4EAF">
        <w:rPr>
          <w:rFonts w:eastAsia="Times New Roman" w:cs="Times New Roman"/>
          <w:rtl/>
          <w:lang w:eastAsia="de-DE"/>
        </w:rPr>
        <w:t xml:space="preserve"> </w:t>
      </w:r>
      <w:r w:rsidRPr="006F4EAF">
        <w:rPr>
          <w:rFonts w:eastAsia="Times New Roman" w:cs="Times New Roman"/>
          <w:lang w:eastAsia="de-DE"/>
        </w:rPr>
        <w:t xml:space="preserve">ist die abschließende Aussage. </w:t>
      </w:r>
      <w:r w:rsidRPr="006F4EAF">
        <w:rPr>
          <w:rFonts w:eastAsia="Times New Roman" w:cs="Times New Roman"/>
          <w:b/>
          <w:bCs/>
          <w:rtl/>
          <w:lang w:eastAsia="de-DE"/>
        </w:rPr>
        <w:t>וַיְדַבֵּר</w:t>
      </w:r>
      <w:r w:rsidRPr="006F4EAF">
        <w:rPr>
          <w:rFonts w:eastAsia="Times New Roman" w:cs="Times New Roman"/>
          <w:rtl/>
          <w:lang w:eastAsia="de-DE"/>
        </w:rPr>
        <w:t xml:space="preserve"> </w:t>
      </w:r>
      <w:r w:rsidRPr="006F4EAF">
        <w:rPr>
          <w:rFonts w:eastAsia="Times New Roman" w:cs="Times New Roman"/>
          <w:lang w:eastAsia="de-DE"/>
        </w:rPr>
        <w:t xml:space="preserve">(Piel Wayyiqtol 3. Person maskulin Singular von </w:t>
      </w:r>
      <w:r w:rsidRPr="006F4EAF">
        <w:rPr>
          <w:rFonts w:eastAsia="Times New Roman" w:cs="Times New Roman"/>
          <w:b/>
          <w:bCs/>
          <w:rtl/>
          <w:lang w:eastAsia="de-DE"/>
        </w:rPr>
        <w:t>דבר</w:t>
      </w:r>
      <w:r w:rsidRPr="006F4EAF">
        <w:rPr>
          <w:rFonts w:eastAsia="Times New Roman" w:cs="Times New Roman"/>
          <w:rtl/>
          <w:lang w:eastAsia="de-DE"/>
        </w:rPr>
        <w:t xml:space="preserve"> </w:t>
      </w:r>
      <w:r w:rsidRPr="006F4EAF">
        <w:rPr>
          <w:rFonts w:eastAsia="Times New Roman" w:cs="Times New Roman"/>
          <w:lang w:eastAsia="de-DE"/>
        </w:rPr>
        <w:t xml:space="preserve">„reden" - Subjekt ist Gott), </w:t>
      </w:r>
      <w:r w:rsidRPr="006F4EAF">
        <w:rPr>
          <w:rFonts w:eastAsia="Times New Roman" w:cs="Times New Roman"/>
          <w:b/>
          <w:bCs/>
          <w:rtl/>
          <w:lang w:eastAsia="de-DE"/>
        </w:rPr>
        <w:t>אֵלָיו</w:t>
      </w:r>
      <w:r w:rsidRPr="006F4EAF">
        <w:rPr>
          <w:rFonts w:eastAsia="Times New Roman" w:cs="Times New Roman"/>
          <w:rtl/>
          <w:lang w:eastAsia="de-DE"/>
        </w:rPr>
        <w:t xml:space="preserve"> </w:t>
      </w:r>
      <w:r w:rsidRPr="006F4EAF">
        <w:rPr>
          <w:rFonts w:eastAsia="Times New Roman" w:cs="Times New Roman"/>
          <w:lang w:eastAsia="de-DE"/>
        </w:rPr>
        <w:t xml:space="preserve">(Präposition </w:t>
      </w:r>
      <w:r w:rsidRPr="006F4EAF">
        <w:rPr>
          <w:rFonts w:eastAsia="Times New Roman" w:cs="Times New Roman"/>
          <w:b/>
          <w:bCs/>
          <w:rtl/>
          <w:lang w:eastAsia="de-DE"/>
        </w:rPr>
        <w:t>אֶל</w:t>
      </w:r>
      <w:r w:rsidRPr="006F4EAF">
        <w:rPr>
          <w:rFonts w:eastAsia="Times New Roman" w:cs="Times New Roman"/>
          <w:rtl/>
          <w:lang w:eastAsia="de-DE"/>
        </w:rPr>
        <w:t xml:space="preserve"> </w:t>
      </w:r>
      <w:r w:rsidRPr="006F4EAF">
        <w:rPr>
          <w:rFonts w:eastAsia="Times New Roman" w:cs="Times New Roman"/>
          <w:lang w:eastAsia="de-DE"/>
        </w:rPr>
        <w:t>mit Suffix „zu ihm").</w:t>
      </w:r>
    </w:p>
    <w:p w14:paraId="4E5D9F56"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lastRenderedPageBreak/>
        <w:t>Die Satzstruktur zeigt eine temporale Einleitung mit finalem Infinitiv, eine ausführliche Hauptaussage mit mehrfacher Ortsangabe und eine kurze abschließende Wiederaufnahme des Verbs.</w:t>
      </w:r>
    </w:p>
    <w:p w14:paraId="78B67BBB"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ist theologisch überwältigend: Nach der vollendeten Weihe und den großzügigen Opfergaben manifestiert sich Gottes Gegenwart. Mose hört </w:t>
      </w:r>
      <w:r w:rsidRPr="006F4EAF">
        <w:rPr>
          <w:rFonts w:eastAsia="Times New Roman" w:cs="Times New Roman"/>
          <w:b/>
          <w:bCs/>
          <w:rtl/>
          <w:lang w:eastAsia="de-DE"/>
        </w:rPr>
        <w:t>הַקּוֹל</w:t>
      </w:r>
      <w:r w:rsidRPr="006F4EAF">
        <w:rPr>
          <w:rFonts w:eastAsia="Times New Roman" w:cs="Times New Roman"/>
          <w:rtl/>
          <w:lang w:eastAsia="de-DE"/>
        </w:rPr>
        <w:t xml:space="preserve"> </w:t>
      </w:r>
      <w:r w:rsidRPr="006F4EAF">
        <w:rPr>
          <w:rFonts w:eastAsia="Times New Roman" w:cs="Times New Roman"/>
          <w:lang w:eastAsia="de-DE"/>
        </w:rPr>
        <w:t xml:space="preserve">(„die Stimme") - nicht irgendeine Stimme, sondern </w:t>
      </w:r>
      <w:r w:rsidRPr="006F4EAF">
        <w:rPr>
          <w:rFonts w:eastAsia="Times New Roman" w:cs="Times New Roman"/>
          <w:b/>
          <w:bCs/>
          <w:lang w:eastAsia="de-DE"/>
        </w:rPr>
        <w:t>die</w:t>
      </w:r>
      <w:r w:rsidRPr="006F4EAF">
        <w:rPr>
          <w:rFonts w:eastAsia="Times New Roman" w:cs="Times New Roman"/>
          <w:lang w:eastAsia="de-DE"/>
        </w:rPr>
        <w:t xml:space="preserve"> Stimme Gottes - </w:t>
      </w:r>
      <w:r w:rsidRPr="006F4EAF">
        <w:rPr>
          <w:rFonts w:eastAsia="Times New Roman" w:cs="Times New Roman"/>
          <w:b/>
          <w:bCs/>
          <w:rtl/>
          <w:lang w:eastAsia="de-DE"/>
        </w:rPr>
        <w:t>מִדַּבֵּר אֵלָיו</w:t>
      </w:r>
      <w:r w:rsidRPr="006F4EAF">
        <w:rPr>
          <w:rFonts w:eastAsia="Times New Roman" w:cs="Times New Roman"/>
          <w:rtl/>
          <w:lang w:eastAsia="de-DE"/>
        </w:rPr>
        <w:t xml:space="preserve"> </w:t>
      </w:r>
      <w:r w:rsidRPr="006F4EAF">
        <w:rPr>
          <w:rFonts w:eastAsia="Times New Roman" w:cs="Times New Roman"/>
          <w:lang w:eastAsia="de-DE"/>
        </w:rPr>
        <w:t xml:space="preserve">(„zu ihm redend"), kommend </w:t>
      </w:r>
      <w:r w:rsidRPr="006F4EAF">
        <w:rPr>
          <w:rFonts w:eastAsia="Times New Roman" w:cs="Times New Roman"/>
          <w:b/>
          <w:bCs/>
          <w:rtl/>
          <w:lang w:eastAsia="de-DE"/>
        </w:rPr>
        <w:t>מֵעַל הַכַּפֹּרֶת</w:t>
      </w:r>
      <w:r w:rsidRPr="006F4EAF">
        <w:rPr>
          <w:rFonts w:eastAsia="Times New Roman" w:cs="Times New Roman"/>
          <w:rtl/>
          <w:lang w:eastAsia="de-DE"/>
        </w:rPr>
        <w:t xml:space="preserve"> </w:t>
      </w:r>
      <w:r w:rsidRPr="006F4EAF">
        <w:rPr>
          <w:rFonts w:eastAsia="Times New Roman" w:cs="Times New Roman"/>
          <w:lang w:eastAsia="de-DE"/>
        </w:rPr>
        <w:t xml:space="preserve">(„von oberhalb der Deckplatte") </w:t>
      </w:r>
      <w:r w:rsidRPr="006F4EAF">
        <w:rPr>
          <w:rFonts w:eastAsia="Times New Roman" w:cs="Times New Roman"/>
          <w:b/>
          <w:bCs/>
          <w:rtl/>
          <w:lang w:eastAsia="de-DE"/>
        </w:rPr>
        <w:t>מִבֵּין שְׁנֵי הַכְּרֻבִים</w:t>
      </w:r>
      <w:r w:rsidRPr="006F4EAF">
        <w:rPr>
          <w:rFonts w:eastAsia="Times New Roman" w:cs="Times New Roman"/>
          <w:rtl/>
          <w:lang w:eastAsia="de-DE"/>
        </w:rPr>
        <w:t xml:space="preserve"> </w:t>
      </w:r>
      <w:r w:rsidRPr="006F4EAF">
        <w:rPr>
          <w:rFonts w:eastAsia="Times New Roman" w:cs="Times New Roman"/>
          <w:lang w:eastAsia="de-DE"/>
        </w:rPr>
        <w:t>(„zwischen den beiden Cherubim"). Dies ist der Ort, den Gott in Ex 25,22 als seinen Redeort bestimmt hatte: „Dort werde ich dir begegnen und mit dir reden von oberhalb der Deckplatte, zwischen den beiden Cherubim." Die Verheißung wird Wirklichkeit.</w:t>
      </w:r>
    </w:p>
    <w:p w14:paraId="0BB5BECE"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Wechsel der Verben ist bedeutsam: </w:t>
      </w:r>
      <w:r w:rsidRPr="006F4EAF">
        <w:rPr>
          <w:rFonts w:eastAsia="Times New Roman" w:cs="Times New Roman"/>
          <w:b/>
          <w:bCs/>
          <w:rtl/>
          <w:lang w:eastAsia="de-DE"/>
        </w:rPr>
        <w:t>לְדַבֵּר אִתּוֹ</w:t>
      </w:r>
      <w:r w:rsidRPr="006F4EAF">
        <w:rPr>
          <w:rFonts w:eastAsia="Times New Roman" w:cs="Times New Roman"/>
          <w:rtl/>
          <w:lang w:eastAsia="de-DE"/>
        </w:rPr>
        <w:t xml:space="preserve"> </w:t>
      </w:r>
      <w:r w:rsidRPr="006F4EAF">
        <w:rPr>
          <w:rFonts w:eastAsia="Times New Roman" w:cs="Times New Roman"/>
          <w:lang w:eastAsia="de-DE"/>
        </w:rPr>
        <w:t xml:space="preserve">(„um mit Ihm zu reden" - Mose will reden), dann </w:t>
      </w:r>
      <w:r w:rsidRPr="006F4EAF">
        <w:rPr>
          <w:rFonts w:eastAsia="Times New Roman" w:cs="Times New Roman"/>
          <w:b/>
          <w:bCs/>
          <w:rtl/>
          <w:lang w:eastAsia="de-DE"/>
        </w:rPr>
        <w:t>מִדַּבֵּר אֵלָיו</w:t>
      </w:r>
      <w:r w:rsidRPr="006F4EAF">
        <w:rPr>
          <w:rFonts w:eastAsia="Times New Roman" w:cs="Times New Roman"/>
          <w:rtl/>
          <w:lang w:eastAsia="de-DE"/>
        </w:rPr>
        <w:t xml:space="preserve"> </w:t>
      </w:r>
      <w:r w:rsidRPr="006F4EAF">
        <w:rPr>
          <w:rFonts w:eastAsia="Times New Roman" w:cs="Times New Roman"/>
          <w:lang w:eastAsia="de-DE"/>
        </w:rPr>
        <w:t xml:space="preserve">(„zu ihm redend" - Gott redet), schließlich </w:t>
      </w:r>
      <w:r w:rsidRPr="006F4EAF">
        <w:rPr>
          <w:rFonts w:eastAsia="Times New Roman" w:cs="Times New Roman"/>
          <w:b/>
          <w:bCs/>
          <w:rtl/>
          <w:lang w:eastAsia="de-DE"/>
        </w:rPr>
        <w:t>וַיְדַבֵּר אֵלָיו</w:t>
      </w:r>
      <w:r w:rsidRPr="006F4EAF">
        <w:rPr>
          <w:rFonts w:eastAsia="Times New Roman" w:cs="Times New Roman"/>
          <w:rtl/>
          <w:lang w:eastAsia="de-DE"/>
        </w:rPr>
        <w:t xml:space="preserve"> </w:t>
      </w:r>
      <w:r w:rsidRPr="006F4EAF">
        <w:rPr>
          <w:rFonts w:eastAsia="Times New Roman" w:cs="Times New Roman"/>
          <w:lang w:eastAsia="de-DE"/>
        </w:rPr>
        <w:t>(„und Er redete zu ihm" - die vollendete Kommunikation). Mose kommt, um zu reden, aber Gott spricht zuerst - Gott hat die Initiative im Dialog.</w:t>
      </w:r>
    </w:p>
    <w:p w14:paraId="5665A0B4" w14:textId="77777777" w:rsidR="006F4EAF" w:rsidRPr="006F4EAF" w:rsidRDefault="006F4EAF" w:rsidP="006F4EAF">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Die präzise Ortsangabe (</w:t>
      </w:r>
      <w:r w:rsidRPr="006F4EAF">
        <w:rPr>
          <w:rFonts w:eastAsia="Times New Roman" w:cs="Times New Roman"/>
          <w:b/>
          <w:bCs/>
          <w:rtl/>
          <w:lang w:eastAsia="de-DE"/>
        </w:rPr>
        <w:t>מֵעַל הַכַּפֹּרֶת ... מִבֵּין שְׁנֵי הַכְּרֻבִים</w:t>
      </w:r>
      <w:r w:rsidRPr="006F4EAF">
        <w:rPr>
          <w:rFonts w:eastAsia="Times New Roman" w:cs="Times New Roman"/>
          <w:lang w:eastAsia="de-DE"/>
        </w:rPr>
        <w:t xml:space="preserve">) lokalisiert Gottes Gegenwart genau: über der </w:t>
      </w:r>
      <w:r w:rsidRPr="006F4EAF">
        <w:rPr>
          <w:rFonts w:eastAsia="Times New Roman" w:cs="Times New Roman"/>
          <w:b/>
          <w:bCs/>
          <w:rtl/>
          <w:lang w:eastAsia="de-DE"/>
        </w:rPr>
        <w:t>כַּפֹּרֶת</w:t>
      </w:r>
      <w:r w:rsidRPr="006F4EAF">
        <w:rPr>
          <w:rFonts w:eastAsia="Times New Roman" w:cs="Times New Roman"/>
          <w:rtl/>
          <w:lang w:eastAsia="de-DE"/>
        </w:rPr>
        <w:t xml:space="preserve"> </w:t>
      </w:r>
      <w:r w:rsidRPr="006F4EAF">
        <w:rPr>
          <w:rFonts w:eastAsia="Times New Roman" w:cs="Times New Roman"/>
          <w:lang w:eastAsia="de-DE"/>
        </w:rPr>
        <w:t xml:space="preserve">(Sühneplatte), zwischen den beiden </w:t>
      </w:r>
      <w:r w:rsidRPr="006F4EAF">
        <w:rPr>
          <w:rFonts w:eastAsia="Times New Roman" w:cs="Times New Roman"/>
          <w:b/>
          <w:bCs/>
          <w:rtl/>
          <w:lang w:eastAsia="de-DE"/>
        </w:rPr>
        <w:t>כְּרֻבִים</w:t>
      </w:r>
      <w:r w:rsidRPr="006F4EAF">
        <w:rPr>
          <w:rFonts w:eastAsia="Times New Roman" w:cs="Times New Roman"/>
          <w:rtl/>
          <w:lang w:eastAsia="de-DE"/>
        </w:rPr>
        <w:t xml:space="preserve"> </w:t>
      </w:r>
      <w:r w:rsidRPr="006F4EAF">
        <w:rPr>
          <w:rFonts w:eastAsia="Times New Roman" w:cs="Times New Roman"/>
          <w:lang w:eastAsia="de-DE"/>
        </w:rPr>
        <w:t xml:space="preserve">(Cherubim) - dem Thron Gottes auf Erden. Die Bundeslade mit der </w:t>
      </w:r>
      <w:r w:rsidRPr="006F4EAF">
        <w:rPr>
          <w:rFonts w:eastAsia="Times New Roman" w:cs="Times New Roman"/>
          <w:b/>
          <w:bCs/>
          <w:rtl/>
          <w:lang w:eastAsia="de-DE"/>
        </w:rPr>
        <w:t>כַּפֹּרֶת</w:t>
      </w:r>
      <w:r w:rsidRPr="006F4EAF">
        <w:rPr>
          <w:rFonts w:eastAsia="Times New Roman" w:cs="Times New Roman"/>
          <w:rtl/>
          <w:lang w:eastAsia="de-DE"/>
        </w:rPr>
        <w:t xml:space="preserve"> </w:t>
      </w:r>
      <w:r w:rsidRPr="006F4EAF">
        <w:rPr>
          <w:rFonts w:eastAsia="Times New Roman" w:cs="Times New Roman"/>
          <w:lang w:eastAsia="de-DE"/>
        </w:rPr>
        <w:t>ist nicht nur ein Möbelstück, sondern der Ort der göttlichen Präsenz.</w:t>
      </w:r>
    </w:p>
    <w:p w14:paraId="05B12D21" w14:textId="699CE939" w:rsidR="00C41F4F" w:rsidRPr="00080525" w:rsidRDefault="006F4EAF" w:rsidP="00080525">
      <w:pPr>
        <w:spacing w:before="100" w:beforeAutospacing="1" w:after="100" w:afterAutospacing="1" w:line="240" w:lineRule="auto"/>
        <w:rPr>
          <w:rFonts w:eastAsia="Times New Roman" w:cs="Times New Roman"/>
          <w:lang w:eastAsia="de-DE"/>
        </w:rPr>
      </w:pPr>
      <w:r w:rsidRPr="006F4EAF">
        <w:rPr>
          <w:rFonts w:eastAsia="Times New Roman" w:cs="Times New Roman"/>
          <w:lang w:eastAsia="de-DE"/>
        </w:rPr>
        <w:t xml:space="preserve">Der Vers schließt das Kapitel nicht mit Zahlen und Statistiken, sondern mit der lebendigen Beziehung zwischen Gott und Mose - das Ziel aller Opfer und aller Weihe ist die Begegnung mit dem lebendigen Gott, der redet. Die Stiftshütte ist geweiht, der Altar eingeweiht, die Opfer dargebracht - und nun erfüllt sich der Zweck: </w:t>
      </w:r>
      <w:r w:rsidRPr="006F4EAF">
        <w:rPr>
          <w:rFonts w:eastAsia="Times New Roman" w:cs="Times New Roman"/>
          <w:b/>
          <w:bCs/>
          <w:rtl/>
          <w:lang w:eastAsia="de-DE"/>
        </w:rPr>
        <w:t>וַיְדַבֵּר אֵלָיו</w:t>
      </w:r>
      <w:r w:rsidRPr="006F4EAF">
        <w:rPr>
          <w:rFonts w:eastAsia="Times New Roman" w:cs="Times New Roman"/>
          <w:rtl/>
          <w:lang w:eastAsia="de-DE"/>
        </w:rPr>
        <w:t xml:space="preserve"> </w:t>
      </w:r>
      <w:r w:rsidRPr="006F4EAF">
        <w:rPr>
          <w:rFonts w:eastAsia="Times New Roman" w:cs="Times New Roman"/>
          <w:lang w:eastAsia="de-DE"/>
        </w:rPr>
        <w:t>- „und Er redete zu ihm". Gott wohnt inmitten seines Volkes und spricht zu seinem Knecht.</w:t>
      </w:r>
    </w:p>
    <w:p w14:paraId="259F2275" w14:textId="77777777" w:rsidR="00A9358F" w:rsidRPr="00A9358F" w:rsidRDefault="00A9358F" w:rsidP="00A9358F">
      <w:pPr>
        <w:spacing w:before="100" w:beforeAutospacing="1" w:after="100" w:afterAutospacing="1" w:line="240" w:lineRule="auto"/>
        <w:outlineLvl w:val="0"/>
        <w:rPr>
          <w:rFonts w:eastAsia="Times New Roman" w:cs="Times New Roman"/>
          <w:b/>
          <w:bCs/>
          <w:kern w:val="36"/>
          <w:sz w:val="48"/>
          <w:szCs w:val="48"/>
          <w:lang w:eastAsia="de-DE"/>
        </w:rPr>
      </w:pPr>
      <w:r w:rsidRPr="00A9358F">
        <w:rPr>
          <w:rFonts w:eastAsia="Times New Roman" w:cs="Times New Roman"/>
          <w:b/>
          <w:bCs/>
          <w:kern w:val="36"/>
          <w:sz w:val="48"/>
          <w:szCs w:val="48"/>
          <w:lang w:eastAsia="de-DE"/>
        </w:rPr>
        <w:t>Numeri 8,1</w:t>
      </w:r>
    </w:p>
    <w:p w14:paraId="64F9B440"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Hebräisch:</w:t>
      </w:r>
      <w:r w:rsidRPr="00A9358F">
        <w:rPr>
          <w:rFonts w:eastAsia="Times New Roman" w:cs="Times New Roman"/>
          <w:lang w:eastAsia="de-DE"/>
        </w:rPr>
        <w:t xml:space="preserve"> </w:t>
      </w:r>
      <w:r w:rsidRPr="00A9358F">
        <w:rPr>
          <w:rFonts w:eastAsia="Times New Roman" w:cs="Times New Roman"/>
          <w:rtl/>
          <w:lang w:eastAsia="de-DE"/>
        </w:rPr>
        <w:t>וַיְדַבֵּ֥ר יְהוָ֖ה אֶל־מֹשֶׁ֥ה לֵּאמֹֽר׃</w:t>
      </w:r>
    </w:p>
    <w:p w14:paraId="5A84DB9B"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Deutsch:</w:t>
      </w:r>
      <w:r w:rsidRPr="00A9358F">
        <w:rPr>
          <w:rFonts w:eastAsia="Times New Roman" w:cs="Times New Roman"/>
          <w:lang w:eastAsia="de-DE"/>
        </w:rPr>
        <w:t xml:space="preserve"> Und der Ewige redete zu Mosche, sagend:</w:t>
      </w:r>
    </w:p>
    <w:p w14:paraId="35E9B9C7" w14:textId="77777777" w:rsidR="00A9358F" w:rsidRPr="00A9358F" w:rsidRDefault="00F329DD" w:rsidP="00A9358F">
      <w:pPr>
        <w:spacing w:after="0" w:line="240" w:lineRule="auto"/>
        <w:rPr>
          <w:rFonts w:eastAsia="Times New Roman" w:cs="Times New Roman"/>
          <w:lang w:eastAsia="de-DE"/>
        </w:rPr>
      </w:pPr>
      <w:r>
        <w:rPr>
          <w:rFonts w:eastAsia="Times New Roman" w:cs="Times New Roman"/>
          <w:noProof/>
          <w:lang w:eastAsia="de-DE"/>
        </w:rPr>
        <w:pict w14:anchorId="17A5AC7E">
          <v:rect id="_x0000_i1295" style="width:0;height:1.5pt" o:hralign="center" o:hrstd="t" o:hr="t" fillcolor="#a0a0a0" stroked="f"/>
        </w:pict>
      </w:r>
    </w:p>
    <w:p w14:paraId="6288D36B"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Kommentar:</w:t>
      </w:r>
      <w:r w:rsidRPr="00A9358F">
        <w:rPr>
          <w:rFonts w:eastAsia="Times New Roman" w:cs="Times New Roman"/>
          <w:lang w:eastAsia="de-DE"/>
        </w:rPr>
        <w:t xml:space="preserve"> Das Verb </w:t>
      </w:r>
      <w:r w:rsidRPr="00A9358F">
        <w:rPr>
          <w:rFonts w:eastAsia="Times New Roman" w:cs="Times New Roman"/>
          <w:b/>
          <w:bCs/>
          <w:rtl/>
          <w:lang w:eastAsia="de-DE"/>
        </w:rPr>
        <w:t>וַיְדַבֵּר</w:t>
      </w:r>
      <w:r w:rsidRPr="00A9358F">
        <w:rPr>
          <w:rFonts w:eastAsia="Times New Roman" w:cs="Times New Roman"/>
          <w:rtl/>
          <w:lang w:eastAsia="de-DE"/>
        </w:rPr>
        <w:t xml:space="preserve"> </w:t>
      </w:r>
      <w:r w:rsidRPr="00A9358F">
        <w:rPr>
          <w:rFonts w:eastAsia="Times New Roman" w:cs="Times New Roman"/>
          <w:lang w:eastAsia="de-DE"/>
        </w:rPr>
        <w:t xml:space="preserve">von </w:t>
      </w:r>
      <w:r w:rsidRPr="00A9358F">
        <w:rPr>
          <w:rFonts w:eastAsia="Times New Roman" w:cs="Times New Roman"/>
          <w:b/>
          <w:bCs/>
          <w:rtl/>
          <w:lang w:eastAsia="de-DE"/>
        </w:rPr>
        <w:t>דבר</w:t>
      </w:r>
      <w:r w:rsidRPr="00A9358F">
        <w:rPr>
          <w:rFonts w:eastAsia="Times New Roman" w:cs="Times New Roman"/>
          <w:rtl/>
          <w:lang w:eastAsia="de-DE"/>
        </w:rPr>
        <w:t xml:space="preserve"> </w:t>
      </w:r>
      <w:r w:rsidRPr="00A9358F">
        <w:rPr>
          <w:rFonts w:eastAsia="Times New Roman" w:cs="Times New Roman"/>
          <w:lang w:eastAsia="de-DE"/>
        </w:rPr>
        <w:t xml:space="preserve">(reden/sprechen) im Qal-Imperfekt 3. maskulin Singular mit Waw consecutivum leitet ein neues Kapitel mit göttlichen Anweisungen ein. Das Subjekt </w:t>
      </w:r>
      <w:r w:rsidRPr="00A9358F">
        <w:rPr>
          <w:rFonts w:eastAsia="Times New Roman" w:cs="Times New Roman"/>
          <w:b/>
          <w:bCs/>
          <w:rtl/>
          <w:lang w:eastAsia="de-DE"/>
        </w:rPr>
        <w:t>יְהוָה</w:t>
      </w:r>
      <w:r w:rsidRPr="00A9358F">
        <w:rPr>
          <w:rFonts w:eastAsia="Times New Roman" w:cs="Times New Roman"/>
          <w:rtl/>
          <w:lang w:eastAsia="de-DE"/>
        </w:rPr>
        <w:t xml:space="preserve"> </w:t>
      </w:r>
      <w:r w:rsidRPr="00A9358F">
        <w:rPr>
          <w:rFonts w:eastAsia="Times New Roman" w:cs="Times New Roman"/>
          <w:lang w:eastAsia="de-DE"/>
        </w:rPr>
        <w:t xml:space="preserve">mit der präpositionalen Phrase </w:t>
      </w:r>
      <w:r w:rsidRPr="00A9358F">
        <w:rPr>
          <w:rFonts w:eastAsia="Times New Roman" w:cs="Times New Roman"/>
          <w:b/>
          <w:bCs/>
          <w:rtl/>
          <w:lang w:eastAsia="de-DE"/>
        </w:rPr>
        <w:t>אֶל־מֹשֶׁה</w:t>
      </w:r>
      <w:r w:rsidRPr="00A9358F">
        <w:rPr>
          <w:rFonts w:eastAsia="Times New Roman" w:cs="Times New Roman"/>
          <w:rtl/>
          <w:lang w:eastAsia="de-DE"/>
        </w:rPr>
        <w:t xml:space="preserve"> </w:t>
      </w:r>
      <w:r w:rsidRPr="00A9358F">
        <w:rPr>
          <w:rFonts w:eastAsia="Times New Roman" w:cs="Times New Roman"/>
          <w:lang w:eastAsia="de-DE"/>
        </w:rPr>
        <w:t>(zu Mosche) zeigt die direkte göttliche Kommunikation an Mose.</w:t>
      </w:r>
    </w:p>
    <w:p w14:paraId="36239EB1" w14:textId="2F809E04"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Das abschließende </w:t>
      </w:r>
      <w:r w:rsidRPr="00A9358F">
        <w:rPr>
          <w:rFonts w:eastAsia="Times New Roman" w:cs="Times New Roman"/>
          <w:b/>
          <w:bCs/>
          <w:rtl/>
          <w:lang w:eastAsia="de-DE"/>
        </w:rPr>
        <w:t>לֵאמֹר</w:t>
      </w:r>
      <w:r w:rsidRPr="00A9358F">
        <w:rPr>
          <w:rFonts w:eastAsia="Times New Roman" w:cs="Times New Roman"/>
          <w:rtl/>
          <w:lang w:eastAsia="de-DE"/>
        </w:rPr>
        <w:t xml:space="preserve"> </w:t>
      </w:r>
      <w:r w:rsidRPr="00A9358F">
        <w:rPr>
          <w:rFonts w:eastAsia="Times New Roman" w:cs="Times New Roman"/>
          <w:lang w:eastAsia="de-DE"/>
        </w:rPr>
        <w:t>als Infinitiv-</w:t>
      </w:r>
      <w:r w:rsidR="00F133EC">
        <w:rPr>
          <w:rFonts w:eastAsia="Times New Roman" w:cs="Times New Roman"/>
          <w:lang w:eastAsia="de-DE"/>
        </w:rPr>
        <w:t>Construct</w:t>
      </w:r>
      <w:r w:rsidRPr="00A9358F">
        <w:rPr>
          <w:rFonts w:eastAsia="Times New Roman" w:cs="Times New Roman"/>
          <w:lang w:eastAsia="de-DE"/>
        </w:rPr>
        <w:t xml:space="preserve"> von </w:t>
      </w:r>
      <w:r w:rsidRPr="00A9358F">
        <w:rPr>
          <w:rFonts w:eastAsia="Times New Roman" w:cs="Times New Roman"/>
          <w:b/>
          <w:bCs/>
          <w:rtl/>
          <w:lang w:eastAsia="de-DE"/>
        </w:rPr>
        <w:t>אמר</w:t>
      </w:r>
      <w:r w:rsidRPr="00A9358F">
        <w:rPr>
          <w:rFonts w:eastAsia="Times New Roman" w:cs="Times New Roman"/>
          <w:rtl/>
          <w:lang w:eastAsia="de-DE"/>
        </w:rPr>
        <w:t xml:space="preserve"> </w:t>
      </w:r>
      <w:r w:rsidRPr="00A9358F">
        <w:rPr>
          <w:rFonts w:eastAsia="Times New Roman" w:cs="Times New Roman"/>
          <w:lang w:eastAsia="de-DE"/>
        </w:rPr>
        <w:t>(sagen) fungiert als Redeeinleitung für die folgenden Bestimmungen zur Leuchterbeleuchtung.</w:t>
      </w:r>
    </w:p>
    <w:p w14:paraId="0F8BB895"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Die LXX</w:t>
      </w:r>
      <w:r w:rsidRPr="00A9358F">
        <w:rPr>
          <w:rFonts w:eastAsia="Times New Roman" w:cs="Times New Roman"/>
          <w:lang w:eastAsia="de-DE"/>
        </w:rPr>
        <w:t xml:space="preserve"> übersetzt mit der Standardformel καὶ ἐλάλησεν κύριος πρὸς Μωυσῆν λέγων und behält die charakteristische Offenbarungsformel bei.</w:t>
      </w:r>
    </w:p>
    <w:p w14:paraId="7E34DC28"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Die Satzstruktur zeigt die typische Einleitungsformel für göttliche Kommunikation.</w:t>
      </w:r>
    </w:p>
    <w:p w14:paraId="4CEED4EE"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lastRenderedPageBreak/>
        <w:t>Dieser Vers leitet Kapitel 8 ein, das sich mit der Beleuchtung der Menora und der levitischen Weihe beschäftigt.</w:t>
      </w:r>
    </w:p>
    <w:p w14:paraId="016B859B" w14:textId="77777777" w:rsidR="00A9358F" w:rsidRPr="00A9358F" w:rsidRDefault="00A9358F" w:rsidP="00A9358F">
      <w:pPr>
        <w:spacing w:before="100" w:beforeAutospacing="1" w:after="100" w:afterAutospacing="1" w:line="240" w:lineRule="auto"/>
        <w:outlineLvl w:val="0"/>
        <w:rPr>
          <w:rFonts w:eastAsia="Times New Roman" w:cs="Times New Roman"/>
          <w:b/>
          <w:bCs/>
          <w:kern w:val="36"/>
          <w:sz w:val="48"/>
          <w:szCs w:val="48"/>
          <w:lang w:eastAsia="de-DE"/>
        </w:rPr>
      </w:pPr>
      <w:r w:rsidRPr="00A9358F">
        <w:rPr>
          <w:rFonts w:eastAsia="Times New Roman" w:cs="Times New Roman"/>
          <w:b/>
          <w:bCs/>
          <w:kern w:val="36"/>
          <w:sz w:val="48"/>
          <w:szCs w:val="48"/>
          <w:lang w:eastAsia="de-DE"/>
        </w:rPr>
        <w:t>Numeri 8,2</w:t>
      </w:r>
    </w:p>
    <w:p w14:paraId="14F1484E"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Hebräisch:</w:t>
      </w:r>
      <w:r w:rsidRPr="00A9358F">
        <w:rPr>
          <w:rFonts w:eastAsia="Times New Roman" w:cs="Times New Roman"/>
          <w:lang w:eastAsia="de-DE"/>
        </w:rPr>
        <w:t xml:space="preserve"> </w:t>
      </w:r>
      <w:r w:rsidRPr="00A9358F">
        <w:rPr>
          <w:rFonts w:eastAsia="Times New Roman" w:cs="Times New Roman"/>
          <w:rtl/>
          <w:lang w:eastAsia="de-DE"/>
        </w:rPr>
        <w:t>דַּבֵּר֙ אֶֽל־אַהֲרֹ֔ן וְאָמַרְתָּ֖ אֵלָ֑יו בְּהַעֲלֹֽתְךָ֙ אֶת־הַנֵּרֹ֔ת אֶל־מוּל֙ פְּנֵ֣י הַמְּנוֹרָ֔ה יָאִ֖ירוּ שִׁבְעַ֥ת הַנֵּרֽוֹת׃</w:t>
      </w:r>
    </w:p>
    <w:p w14:paraId="076F8646"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Deutsch:</w:t>
      </w:r>
      <w:r w:rsidRPr="00A9358F">
        <w:rPr>
          <w:rFonts w:eastAsia="Times New Roman" w:cs="Times New Roman"/>
          <w:lang w:eastAsia="de-DE"/>
        </w:rPr>
        <w:t xml:space="preserve"> Rede zu 'Aharon und sprich zu ihm: Wenn du die Lampen aufsetzt, sollen die sieben Lampen gegenüber der Vorderseite des Leuchters leuchten.</w:t>
      </w:r>
    </w:p>
    <w:p w14:paraId="5C7ED14E" w14:textId="77777777" w:rsidR="00A9358F" w:rsidRPr="00A9358F" w:rsidRDefault="00F329DD" w:rsidP="00A9358F">
      <w:pPr>
        <w:spacing w:after="0" w:line="240" w:lineRule="auto"/>
        <w:rPr>
          <w:rFonts w:eastAsia="Times New Roman" w:cs="Times New Roman"/>
          <w:lang w:eastAsia="de-DE"/>
        </w:rPr>
      </w:pPr>
      <w:r>
        <w:rPr>
          <w:rFonts w:eastAsia="Times New Roman" w:cs="Times New Roman"/>
          <w:noProof/>
          <w:lang w:eastAsia="de-DE"/>
        </w:rPr>
        <w:pict w14:anchorId="49D72B78">
          <v:rect id="_x0000_i1296" style="width:0;height:1.5pt" o:hralign="center" o:hrstd="t" o:hr="t" fillcolor="#a0a0a0" stroked="f"/>
        </w:pict>
      </w:r>
    </w:p>
    <w:p w14:paraId="0830836E"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Kommentar:</w:t>
      </w:r>
      <w:r w:rsidRPr="00A9358F">
        <w:rPr>
          <w:rFonts w:eastAsia="Times New Roman" w:cs="Times New Roman"/>
          <w:lang w:eastAsia="de-DE"/>
        </w:rPr>
        <w:t xml:space="preserve"> Das Verb </w:t>
      </w:r>
      <w:r w:rsidRPr="00A9358F">
        <w:rPr>
          <w:rFonts w:eastAsia="Times New Roman" w:cs="Times New Roman"/>
          <w:b/>
          <w:bCs/>
          <w:rtl/>
          <w:lang w:eastAsia="de-DE"/>
        </w:rPr>
        <w:t>דַּבֵּר</w:t>
      </w:r>
      <w:r w:rsidRPr="00A9358F">
        <w:rPr>
          <w:rFonts w:eastAsia="Times New Roman" w:cs="Times New Roman"/>
          <w:rtl/>
          <w:lang w:eastAsia="de-DE"/>
        </w:rPr>
        <w:t xml:space="preserve"> </w:t>
      </w:r>
      <w:r w:rsidRPr="00A9358F">
        <w:rPr>
          <w:rFonts w:eastAsia="Times New Roman" w:cs="Times New Roman"/>
          <w:lang w:eastAsia="de-DE"/>
        </w:rPr>
        <w:t xml:space="preserve">von </w:t>
      </w:r>
      <w:r w:rsidRPr="00A9358F">
        <w:rPr>
          <w:rFonts w:eastAsia="Times New Roman" w:cs="Times New Roman"/>
          <w:b/>
          <w:bCs/>
          <w:rtl/>
          <w:lang w:eastAsia="de-DE"/>
        </w:rPr>
        <w:t>דבר</w:t>
      </w:r>
      <w:r w:rsidRPr="00A9358F">
        <w:rPr>
          <w:rFonts w:eastAsia="Times New Roman" w:cs="Times New Roman"/>
          <w:rtl/>
          <w:lang w:eastAsia="de-DE"/>
        </w:rPr>
        <w:t xml:space="preserve"> </w:t>
      </w:r>
      <w:r w:rsidRPr="00A9358F">
        <w:rPr>
          <w:rFonts w:eastAsia="Times New Roman" w:cs="Times New Roman"/>
          <w:lang w:eastAsia="de-DE"/>
        </w:rPr>
        <w:t xml:space="preserve">(reden) im Pi'el-Imperativ maskulin Singular mit </w:t>
      </w:r>
      <w:r w:rsidRPr="00A9358F">
        <w:rPr>
          <w:rFonts w:eastAsia="Times New Roman" w:cs="Times New Roman"/>
          <w:b/>
          <w:bCs/>
          <w:rtl/>
          <w:lang w:eastAsia="de-DE"/>
        </w:rPr>
        <w:t>אֶל־אַהֲרֹן</w:t>
      </w:r>
      <w:r w:rsidRPr="00A9358F">
        <w:rPr>
          <w:rFonts w:eastAsia="Times New Roman" w:cs="Times New Roman"/>
          <w:rtl/>
          <w:lang w:eastAsia="de-DE"/>
        </w:rPr>
        <w:t xml:space="preserve"> </w:t>
      </w:r>
      <w:r w:rsidRPr="00A9358F">
        <w:rPr>
          <w:rFonts w:eastAsia="Times New Roman" w:cs="Times New Roman"/>
          <w:lang w:eastAsia="de-DE"/>
        </w:rPr>
        <w:t xml:space="preserve">zeigt die Adressierung an Aaron als Hohepriester. Das koordinierte Verb </w:t>
      </w:r>
      <w:r w:rsidRPr="00A9358F">
        <w:rPr>
          <w:rFonts w:eastAsia="Times New Roman" w:cs="Times New Roman"/>
          <w:b/>
          <w:bCs/>
          <w:rtl/>
          <w:lang w:eastAsia="de-DE"/>
        </w:rPr>
        <w:t>וְאָמַרְתָּ אֵלָיו</w:t>
      </w:r>
      <w:r w:rsidRPr="00A9358F">
        <w:rPr>
          <w:rFonts w:eastAsia="Times New Roman" w:cs="Times New Roman"/>
          <w:rtl/>
          <w:lang w:eastAsia="de-DE"/>
        </w:rPr>
        <w:t xml:space="preserve"> </w:t>
      </w:r>
      <w:r w:rsidRPr="00A9358F">
        <w:rPr>
          <w:rFonts w:eastAsia="Times New Roman" w:cs="Times New Roman"/>
          <w:lang w:eastAsia="de-DE"/>
        </w:rPr>
        <w:t xml:space="preserve">mit </w:t>
      </w:r>
      <w:r w:rsidRPr="00A9358F">
        <w:rPr>
          <w:rFonts w:eastAsia="Times New Roman" w:cs="Times New Roman"/>
          <w:b/>
          <w:bCs/>
          <w:rtl/>
          <w:lang w:eastAsia="de-DE"/>
        </w:rPr>
        <w:t>אָמַרְתָּ</w:t>
      </w:r>
      <w:r w:rsidRPr="00A9358F">
        <w:rPr>
          <w:rFonts w:eastAsia="Times New Roman" w:cs="Times New Roman"/>
          <w:rtl/>
          <w:lang w:eastAsia="de-DE"/>
        </w:rPr>
        <w:t xml:space="preserve"> </w:t>
      </w:r>
      <w:r w:rsidRPr="00A9358F">
        <w:rPr>
          <w:rFonts w:eastAsia="Times New Roman" w:cs="Times New Roman"/>
          <w:lang w:eastAsia="de-DE"/>
        </w:rPr>
        <w:t xml:space="preserve">von </w:t>
      </w:r>
      <w:r w:rsidRPr="00A9358F">
        <w:rPr>
          <w:rFonts w:eastAsia="Times New Roman" w:cs="Times New Roman"/>
          <w:b/>
          <w:bCs/>
          <w:rtl/>
          <w:lang w:eastAsia="de-DE"/>
        </w:rPr>
        <w:t>אמר</w:t>
      </w:r>
      <w:r w:rsidRPr="00A9358F">
        <w:rPr>
          <w:rFonts w:eastAsia="Times New Roman" w:cs="Times New Roman"/>
          <w:rtl/>
          <w:lang w:eastAsia="de-DE"/>
        </w:rPr>
        <w:t xml:space="preserve"> </w:t>
      </w:r>
      <w:r w:rsidRPr="00A9358F">
        <w:rPr>
          <w:rFonts w:eastAsia="Times New Roman" w:cs="Times New Roman"/>
          <w:lang w:eastAsia="de-DE"/>
        </w:rPr>
        <w:t>(sagen) im Qal-Perfekt 2. maskulin Singular verstärkt die Kommunikationsanweisung.</w:t>
      </w:r>
    </w:p>
    <w:p w14:paraId="482EC5E9" w14:textId="746D8708"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Die temporale Bestimmung </w:t>
      </w:r>
      <w:r w:rsidRPr="00A9358F">
        <w:rPr>
          <w:rFonts w:eastAsia="Times New Roman" w:cs="Times New Roman"/>
          <w:b/>
          <w:bCs/>
          <w:rtl/>
          <w:lang w:eastAsia="de-DE"/>
        </w:rPr>
        <w:t>בְּהַעֲלֹתְךָ אֶת־הַנֵּרֹת</w:t>
      </w:r>
      <w:r w:rsidRPr="00A9358F">
        <w:rPr>
          <w:rFonts w:eastAsia="Times New Roman" w:cs="Times New Roman"/>
          <w:rtl/>
          <w:lang w:eastAsia="de-DE"/>
        </w:rPr>
        <w:t xml:space="preserve"> </w:t>
      </w:r>
      <w:r w:rsidRPr="00A9358F">
        <w:rPr>
          <w:rFonts w:eastAsia="Times New Roman" w:cs="Times New Roman"/>
          <w:lang w:eastAsia="de-DE"/>
        </w:rPr>
        <w:t xml:space="preserve">mit </w:t>
      </w:r>
      <w:r w:rsidRPr="00A9358F">
        <w:rPr>
          <w:rFonts w:eastAsia="Times New Roman" w:cs="Times New Roman"/>
          <w:b/>
          <w:bCs/>
          <w:rtl/>
          <w:lang w:eastAsia="de-DE"/>
        </w:rPr>
        <w:t>בְּהַעֲלֹתְךָ</w:t>
      </w:r>
      <w:r w:rsidRPr="00A9358F">
        <w:rPr>
          <w:rFonts w:eastAsia="Times New Roman" w:cs="Times New Roman"/>
          <w:rtl/>
          <w:lang w:eastAsia="de-DE"/>
        </w:rPr>
        <w:t xml:space="preserve"> </w:t>
      </w:r>
      <w:r w:rsidRPr="00A9358F">
        <w:rPr>
          <w:rFonts w:eastAsia="Times New Roman" w:cs="Times New Roman"/>
          <w:lang w:eastAsia="de-DE"/>
        </w:rPr>
        <w:t>als Hiph'il-Infinitiv-</w:t>
      </w:r>
      <w:r w:rsidR="00F133EC">
        <w:rPr>
          <w:rFonts w:eastAsia="Times New Roman" w:cs="Times New Roman"/>
          <w:lang w:eastAsia="de-DE"/>
        </w:rPr>
        <w:t>Construct</w:t>
      </w:r>
      <w:r w:rsidRPr="00A9358F">
        <w:rPr>
          <w:rFonts w:eastAsia="Times New Roman" w:cs="Times New Roman"/>
          <w:lang w:eastAsia="de-DE"/>
        </w:rPr>
        <w:t xml:space="preserve"> von </w:t>
      </w:r>
      <w:r w:rsidRPr="00A9358F">
        <w:rPr>
          <w:rFonts w:eastAsia="Times New Roman" w:cs="Times New Roman"/>
          <w:b/>
          <w:bCs/>
          <w:rtl/>
          <w:lang w:eastAsia="de-DE"/>
        </w:rPr>
        <w:t>עלה</w:t>
      </w:r>
      <w:r w:rsidRPr="00A9358F">
        <w:rPr>
          <w:rFonts w:eastAsia="Times New Roman" w:cs="Times New Roman"/>
          <w:rtl/>
          <w:lang w:eastAsia="de-DE"/>
        </w:rPr>
        <w:t xml:space="preserve"> </w:t>
      </w:r>
      <w:r w:rsidRPr="00A9358F">
        <w:rPr>
          <w:rFonts w:eastAsia="Times New Roman" w:cs="Times New Roman"/>
          <w:lang w:eastAsia="de-DE"/>
        </w:rPr>
        <w:t xml:space="preserve">(hinaufbringen/anzünden) mit Possessivsuffix 2. maskulin Singular und </w:t>
      </w:r>
      <w:r w:rsidRPr="00A9358F">
        <w:rPr>
          <w:rFonts w:eastAsia="Times New Roman" w:cs="Times New Roman"/>
          <w:b/>
          <w:bCs/>
          <w:rtl/>
          <w:lang w:eastAsia="de-DE"/>
        </w:rPr>
        <w:t>אֶת־הַנֵּרֹת</w:t>
      </w:r>
      <w:r w:rsidRPr="00A9358F">
        <w:rPr>
          <w:rFonts w:eastAsia="Times New Roman" w:cs="Times New Roman"/>
          <w:rtl/>
          <w:lang w:eastAsia="de-DE"/>
        </w:rPr>
        <w:t xml:space="preserve"> </w:t>
      </w:r>
      <w:r w:rsidRPr="00A9358F">
        <w:rPr>
          <w:rFonts w:eastAsia="Times New Roman" w:cs="Times New Roman"/>
          <w:lang w:eastAsia="de-DE"/>
        </w:rPr>
        <w:t>(die Lampen) zeigt die liturgische Handlung des Lampenzündens.</w:t>
      </w:r>
    </w:p>
    <w:p w14:paraId="456B6944"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Die Richtungsangabe </w:t>
      </w:r>
      <w:r w:rsidRPr="00A9358F">
        <w:rPr>
          <w:rFonts w:eastAsia="Times New Roman" w:cs="Times New Roman"/>
          <w:b/>
          <w:bCs/>
          <w:rtl/>
          <w:lang w:eastAsia="de-DE"/>
        </w:rPr>
        <w:t>אֶל־מוּל פְּנֵי הַמְּנוֹרָה</w:t>
      </w:r>
      <w:r w:rsidRPr="00A9358F">
        <w:rPr>
          <w:rFonts w:eastAsia="Times New Roman" w:cs="Times New Roman"/>
          <w:rtl/>
          <w:lang w:eastAsia="de-DE"/>
        </w:rPr>
        <w:t xml:space="preserve"> </w:t>
      </w:r>
      <w:r w:rsidRPr="00A9358F">
        <w:rPr>
          <w:rFonts w:eastAsia="Times New Roman" w:cs="Times New Roman"/>
          <w:lang w:eastAsia="de-DE"/>
        </w:rPr>
        <w:t xml:space="preserve">mit </w:t>
      </w:r>
      <w:r w:rsidRPr="00A9358F">
        <w:rPr>
          <w:rFonts w:eastAsia="Times New Roman" w:cs="Times New Roman"/>
          <w:b/>
          <w:bCs/>
          <w:rtl/>
          <w:lang w:eastAsia="de-DE"/>
        </w:rPr>
        <w:t>אֶל־מוּל</w:t>
      </w:r>
      <w:r w:rsidRPr="00A9358F">
        <w:rPr>
          <w:rFonts w:eastAsia="Times New Roman" w:cs="Times New Roman"/>
          <w:rtl/>
          <w:lang w:eastAsia="de-DE"/>
        </w:rPr>
        <w:t xml:space="preserve"> </w:t>
      </w:r>
      <w:r w:rsidRPr="00A9358F">
        <w:rPr>
          <w:rFonts w:eastAsia="Times New Roman" w:cs="Times New Roman"/>
          <w:lang w:eastAsia="de-DE"/>
        </w:rPr>
        <w:t xml:space="preserve">(gegenüber), </w:t>
      </w:r>
      <w:r w:rsidRPr="00A9358F">
        <w:rPr>
          <w:rFonts w:eastAsia="Times New Roman" w:cs="Times New Roman"/>
          <w:b/>
          <w:bCs/>
          <w:rtl/>
          <w:lang w:eastAsia="de-DE"/>
        </w:rPr>
        <w:t>פְּנֵי</w:t>
      </w:r>
      <w:r w:rsidRPr="00A9358F">
        <w:rPr>
          <w:rFonts w:eastAsia="Times New Roman" w:cs="Times New Roman"/>
          <w:rtl/>
          <w:lang w:eastAsia="de-DE"/>
        </w:rPr>
        <w:t xml:space="preserve"> </w:t>
      </w:r>
      <w:r w:rsidRPr="00A9358F">
        <w:rPr>
          <w:rFonts w:eastAsia="Times New Roman" w:cs="Times New Roman"/>
          <w:lang w:eastAsia="de-DE"/>
        </w:rPr>
        <w:t xml:space="preserve">(Vorderseite/Angesicht) und </w:t>
      </w:r>
      <w:r w:rsidRPr="00A9358F">
        <w:rPr>
          <w:rFonts w:eastAsia="Times New Roman" w:cs="Times New Roman"/>
          <w:b/>
          <w:bCs/>
          <w:rtl/>
          <w:lang w:eastAsia="de-DE"/>
        </w:rPr>
        <w:t>הַמְּנוֹרָה</w:t>
      </w:r>
      <w:r w:rsidRPr="00A9358F">
        <w:rPr>
          <w:rFonts w:eastAsia="Times New Roman" w:cs="Times New Roman"/>
          <w:rtl/>
          <w:lang w:eastAsia="de-DE"/>
        </w:rPr>
        <w:t xml:space="preserve"> </w:t>
      </w:r>
      <w:r w:rsidRPr="00A9358F">
        <w:rPr>
          <w:rFonts w:eastAsia="Times New Roman" w:cs="Times New Roman"/>
          <w:lang w:eastAsia="de-DE"/>
        </w:rPr>
        <w:t>(der Leuchter) spezifiziert die Ausrichtung der Beleuchtung.</w:t>
      </w:r>
    </w:p>
    <w:p w14:paraId="44B22594"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Das Prädikat </w:t>
      </w:r>
      <w:r w:rsidRPr="00A9358F">
        <w:rPr>
          <w:rFonts w:eastAsia="Times New Roman" w:cs="Times New Roman"/>
          <w:b/>
          <w:bCs/>
          <w:rtl/>
          <w:lang w:eastAsia="de-DE"/>
        </w:rPr>
        <w:t>יָאִירוּ שִׁבְעַת הַנֵּרוֹת</w:t>
      </w:r>
      <w:r w:rsidRPr="00A9358F">
        <w:rPr>
          <w:rFonts w:eastAsia="Times New Roman" w:cs="Times New Roman"/>
          <w:rtl/>
          <w:lang w:eastAsia="de-DE"/>
        </w:rPr>
        <w:t xml:space="preserve"> </w:t>
      </w:r>
      <w:r w:rsidRPr="00A9358F">
        <w:rPr>
          <w:rFonts w:eastAsia="Times New Roman" w:cs="Times New Roman"/>
          <w:lang w:eastAsia="de-DE"/>
        </w:rPr>
        <w:t xml:space="preserve">mit </w:t>
      </w:r>
      <w:r w:rsidRPr="00A9358F">
        <w:rPr>
          <w:rFonts w:eastAsia="Times New Roman" w:cs="Times New Roman"/>
          <w:b/>
          <w:bCs/>
          <w:rtl/>
          <w:lang w:eastAsia="de-DE"/>
        </w:rPr>
        <w:t>יָאִירוּ</w:t>
      </w:r>
      <w:r w:rsidRPr="00A9358F">
        <w:rPr>
          <w:rFonts w:eastAsia="Times New Roman" w:cs="Times New Roman"/>
          <w:rtl/>
          <w:lang w:eastAsia="de-DE"/>
        </w:rPr>
        <w:t xml:space="preserve"> </w:t>
      </w:r>
      <w:r w:rsidRPr="00A9358F">
        <w:rPr>
          <w:rFonts w:eastAsia="Times New Roman" w:cs="Times New Roman"/>
          <w:lang w:eastAsia="de-DE"/>
        </w:rPr>
        <w:t xml:space="preserve">von </w:t>
      </w:r>
      <w:r w:rsidRPr="00A9358F">
        <w:rPr>
          <w:rFonts w:eastAsia="Times New Roman" w:cs="Times New Roman"/>
          <w:b/>
          <w:bCs/>
          <w:rtl/>
          <w:lang w:eastAsia="de-DE"/>
        </w:rPr>
        <w:t>אור</w:t>
      </w:r>
      <w:r w:rsidRPr="00A9358F">
        <w:rPr>
          <w:rFonts w:eastAsia="Times New Roman" w:cs="Times New Roman"/>
          <w:rtl/>
          <w:lang w:eastAsia="de-DE"/>
        </w:rPr>
        <w:t xml:space="preserve"> </w:t>
      </w:r>
      <w:r w:rsidRPr="00A9358F">
        <w:rPr>
          <w:rFonts w:eastAsia="Times New Roman" w:cs="Times New Roman"/>
          <w:lang w:eastAsia="de-DE"/>
        </w:rPr>
        <w:t xml:space="preserve">(leuchten) im Hiph'il-Imperfekt 3. maskulin Plural und </w:t>
      </w:r>
      <w:r w:rsidRPr="00A9358F">
        <w:rPr>
          <w:rFonts w:eastAsia="Times New Roman" w:cs="Times New Roman"/>
          <w:b/>
          <w:bCs/>
          <w:rtl/>
          <w:lang w:eastAsia="de-DE"/>
        </w:rPr>
        <w:t>שִׁבְעַת הַנֵּרוֹת</w:t>
      </w:r>
      <w:r w:rsidRPr="00A9358F">
        <w:rPr>
          <w:rFonts w:eastAsia="Times New Roman" w:cs="Times New Roman"/>
          <w:rtl/>
          <w:lang w:eastAsia="de-DE"/>
        </w:rPr>
        <w:t xml:space="preserve"> </w:t>
      </w:r>
      <w:r w:rsidRPr="00A9358F">
        <w:rPr>
          <w:rFonts w:eastAsia="Times New Roman" w:cs="Times New Roman"/>
          <w:lang w:eastAsia="de-DE"/>
        </w:rPr>
        <w:t>(die sieben Lampen) zeigt das Ergebnis: alle sieben Lampen sollen leuchten.</w:t>
      </w:r>
    </w:p>
    <w:p w14:paraId="5416AD25" w14:textId="77777777" w:rsidR="00337D37" w:rsidRDefault="00337D37" w:rsidP="00A9358F">
      <w:pPr>
        <w:spacing w:before="100" w:beforeAutospacing="1" w:after="100" w:afterAutospacing="1" w:line="240" w:lineRule="auto"/>
      </w:pPr>
      <w:r>
        <w:rPr>
          <w:rStyle w:val="Fett"/>
        </w:rPr>
        <w:t>Die LXX</w:t>
      </w:r>
      <w:r>
        <w:t xml:space="preserve"> übersetzt </w:t>
      </w:r>
      <w:r w:rsidRPr="00337D37">
        <w:rPr>
          <w:b/>
          <w:bCs/>
          <w:rtl/>
        </w:rPr>
        <w:t>בהעלתך את־הנרת</w:t>
      </w:r>
      <w:r>
        <w:t xml:space="preserve"> (beha'alotcha et-hanerot - "wenn du die Lampen aufsteigen lässt/anzündest") als ὅταν ἐπιτιθῇς τοὺς λύχνους (wenn du die Lampen aufsetzt), was eine andere Nuance hat. </w:t>
      </w:r>
      <w:r w:rsidRPr="00337D37">
        <w:rPr>
          <w:b/>
          <w:bCs/>
          <w:rtl/>
        </w:rPr>
        <w:t>אל־מול פני המנורה</w:t>
      </w:r>
      <w:r>
        <w:t xml:space="preserve"> (el-mul penei hamenorah - "gegenüber der Vorderseite des Leuchters") wird als ἐκ μέρους κατὰ πρόσωπον τῆς λυχνίας (von einer Seite her gegenüber dem Leuchter) übersetzt, was eine räumliche Präzisierung darstellt.</w:t>
      </w:r>
    </w:p>
    <w:p w14:paraId="37F57C8E" w14:textId="1A5543CC"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Die Satzstruktur zeigt eine doppelte Verkündigungsanweisung mit temporaler Handlungsangabe, präziser Richtungsbestimmung und dem gewünschten Beleuchtungsergebnis.</w:t>
      </w:r>
    </w:p>
    <w:p w14:paraId="5FB81659"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Dieser Vers etabliert Aarons Verantwortung für die ordnungsgemäße Beleuchtung der siebenarmigen Menora im Heiligtum.</w:t>
      </w:r>
    </w:p>
    <w:p w14:paraId="343E3391" w14:textId="77777777" w:rsidR="00A9358F" w:rsidRPr="00A9358F" w:rsidRDefault="00A9358F" w:rsidP="00A9358F">
      <w:pPr>
        <w:spacing w:before="100" w:beforeAutospacing="1" w:after="100" w:afterAutospacing="1" w:line="240" w:lineRule="auto"/>
        <w:outlineLvl w:val="0"/>
        <w:rPr>
          <w:rFonts w:eastAsia="Times New Roman" w:cs="Times New Roman"/>
          <w:b/>
          <w:bCs/>
          <w:kern w:val="36"/>
          <w:sz w:val="48"/>
          <w:szCs w:val="48"/>
          <w:lang w:eastAsia="de-DE"/>
        </w:rPr>
      </w:pPr>
      <w:r w:rsidRPr="00A9358F">
        <w:rPr>
          <w:rFonts w:eastAsia="Times New Roman" w:cs="Times New Roman"/>
          <w:b/>
          <w:bCs/>
          <w:kern w:val="36"/>
          <w:sz w:val="48"/>
          <w:szCs w:val="48"/>
          <w:lang w:eastAsia="de-DE"/>
        </w:rPr>
        <w:t>Numeri 8,3</w:t>
      </w:r>
    </w:p>
    <w:p w14:paraId="514D1658"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Hebräisch:</w:t>
      </w:r>
      <w:r w:rsidRPr="00A9358F">
        <w:rPr>
          <w:rFonts w:eastAsia="Times New Roman" w:cs="Times New Roman"/>
          <w:lang w:eastAsia="de-DE"/>
        </w:rPr>
        <w:t xml:space="preserve"> </w:t>
      </w:r>
      <w:r w:rsidRPr="00A9358F">
        <w:rPr>
          <w:rFonts w:eastAsia="Times New Roman" w:cs="Times New Roman"/>
          <w:rtl/>
          <w:lang w:eastAsia="de-DE"/>
        </w:rPr>
        <w:t>וַיַּ֤עַשׂ כֵּן֙ אַהֲרֹ֔ן אֶל־מוּל֙ פְּנֵ֣י הַמְּנוֹרָ֔ה הֶעֱלָ֖ה נֵרֹתֶ֑יהָ כַּֽאֲשֶׁ֛ר צִוָּ֥ה יְהוָ֖ה אֶת־מֹשֶֽׁה׃</w:t>
      </w:r>
    </w:p>
    <w:p w14:paraId="155F118D"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Deutsch:</w:t>
      </w:r>
      <w:r w:rsidRPr="00A9358F">
        <w:rPr>
          <w:rFonts w:eastAsia="Times New Roman" w:cs="Times New Roman"/>
          <w:lang w:eastAsia="de-DE"/>
        </w:rPr>
        <w:t xml:space="preserve"> Und 'Aharon tat so: Gegenüber der Vorderseite des Leuchters setzte er seine Lampen auf, so wie der Ewige Mosche geboten hatte.</w:t>
      </w:r>
    </w:p>
    <w:p w14:paraId="7B31110E" w14:textId="77777777" w:rsidR="00A9358F" w:rsidRPr="00A9358F" w:rsidRDefault="00F329DD" w:rsidP="00A9358F">
      <w:pPr>
        <w:spacing w:after="0" w:line="240" w:lineRule="auto"/>
        <w:rPr>
          <w:rFonts w:eastAsia="Times New Roman" w:cs="Times New Roman"/>
          <w:lang w:eastAsia="de-DE"/>
        </w:rPr>
      </w:pPr>
      <w:r>
        <w:rPr>
          <w:rFonts w:eastAsia="Times New Roman" w:cs="Times New Roman"/>
          <w:noProof/>
          <w:lang w:eastAsia="de-DE"/>
        </w:rPr>
        <w:lastRenderedPageBreak/>
        <w:pict w14:anchorId="5EAB7AAB">
          <v:rect id="_x0000_i1297" style="width:0;height:1.5pt" o:hralign="center" o:hrstd="t" o:hr="t" fillcolor="#a0a0a0" stroked="f"/>
        </w:pict>
      </w:r>
    </w:p>
    <w:p w14:paraId="24684730"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Kommentar:</w:t>
      </w:r>
      <w:r w:rsidRPr="00A9358F">
        <w:rPr>
          <w:rFonts w:eastAsia="Times New Roman" w:cs="Times New Roman"/>
          <w:lang w:eastAsia="de-DE"/>
        </w:rPr>
        <w:t xml:space="preserve"> Das Verb </w:t>
      </w:r>
      <w:r w:rsidRPr="00A9358F">
        <w:rPr>
          <w:rFonts w:eastAsia="Times New Roman" w:cs="Times New Roman"/>
          <w:b/>
          <w:bCs/>
          <w:rtl/>
          <w:lang w:eastAsia="de-DE"/>
        </w:rPr>
        <w:t>וַיַּעַשׂ כֵּן אַהֲרֹן</w:t>
      </w:r>
      <w:r w:rsidRPr="00A9358F">
        <w:rPr>
          <w:rFonts w:eastAsia="Times New Roman" w:cs="Times New Roman"/>
          <w:rtl/>
          <w:lang w:eastAsia="de-DE"/>
        </w:rPr>
        <w:t xml:space="preserve"> </w:t>
      </w:r>
      <w:r w:rsidRPr="00A9358F">
        <w:rPr>
          <w:rFonts w:eastAsia="Times New Roman" w:cs="Times New Roman"/>
          <w:lang w:eastAsia="de-DE"/>
        </w:rPr>
        <w:t xml:space="preserve">mit </w:t>
      </w:r>
      <w:r w:rsidRPr="00A9358F">
        <w:rPr>
          <w:rFonts w:eastAsia="Times New Roman" w:cs="Times New Roman"/>
          <w:b/>
          <w:bCs/>
          <w:rtl/>
          <w:lang w:eastAsia="de-DE"/>
        </w:rPr>
        <w:t>יַּעַשׂ</w:t>
      </w:r>
      <w:r w:rsidRPr="00A9358F">
        <w:rPr>
          <w:rFonts w:eastAsia="Times New Roman" w:cs="Times New Roman"/>
          <w:rtl/>
          <w:lang w:eastAsia="de-DE"/>
        </w:rPr>
        <w:t xml:space="preserve"> </w:t>
      </w:r>
      <w:r w:rsidRPr="00A9358F">
        <w:rPr>
          <w:rFonts w:eastAsia="Times New Roman" w:cs="Times New Roman"/>
          <w:lang w:eastAsia="de-DE"/>
        </w:rPr>
        <w:t xml:space="preserve">von </w:t>
      </w:r>
      <w:r w:rsidRPr="00A9358F">
        <w:rPr>
          <w:rFonts w:eastAsia="Times New Roman" w:cs="Times New Roman"/>
          <w:b/>
          <w:bCs/>
          <w:rtl/>
          <w:lang w:eastAsia="de-DE"/>
        </w:rPr>
        <w:t>עשה</w:t>
      </w:r>
      <w:r w:rsidRPr="00A9358F">
        <w:rPr>
          <w:rFonts w:eastAsia="Times New Roman" w:cs="Times New Roman"/>
          <w:rtl/>
          <w:lang w:eastAsia="de-DE"/>
        </w:rPr>
        <w:t xml:space="preserve"> </w:t>
      </w:r>
      <w:r w:rsidRPr="00A9358F">
        <w:rPr>
          <w:rFonts w:eastAsia="Times New Roman" w:cs="Times New Roman"/>
          <w:lang w:eastAsia="de-DE"/>
        </w:rPr>
        <w:t xml:space="preserve">(tun/machen) im Qal-Imperfekt 3. maskulin Singular mit Waw consecutivum, </w:t>
      </w:r>
      <w:r w:rsidRPr="00A9358F">
        <w:rPr>
          <w:rFonts w:eastAsia="Times New Roman" w:cs="Times New Roman"/>
          <w:b/>
          <w:bCs/>
          <w:rtl/>
          <w:lang w:eastAsia="de-DE"/>
        </w:rPr>
        <w:t>כֵּן</w:t>
      </w:r>
      <w:r w:rsidRPr="00A9358F">
        <w:rPr>
          <w:rFonts w:eastAsia="Times New Roman" w:cs="Times New Roman"/>
          <w:rtl/>
          <w:lang w:eastAsia="de-DE"/>
        </w:rPr>
        <w:t xml:space="preserve"> </w:t>
      </w:r>
      <w:r w:rsidRPr="00A9358F">
        <w:rPr>
          <w:rFonts w:eastAsia="Times New Roman" w:cs="Times New Roman"/>
          <w:lang w:eastAsia="de-DE"/>
        </w:rPr>
        <w:t xml:space="preserve">(so) und </w:t>
      </w:r>
      <w:r w:rsidRPr="00A9358F">
        <w:rPr>
          <w:rFonts w:eastAsia="Times New Roman" w:cs="Times New Roman"/>
          <w:b/>
          <w:bCs/>
          <w:rtl/>
          <w:lang w:eastAsia="de-DE"/>
        </w:rPr>
        <w:t>אַהֲרֹן</w:t>
      </w:r>
      <w:r w:rsidRPr="00A9358F">
        <w:rPr>
          <w:rFonts w:eastAsia="Times New Roman" w:cs="Times New Roman"/>
          <w:rtl/>
          <w:lang w:eastAsia="de-DE"/>
        </w:rPr>
        <w:t xml:space="preserve"> </w:t>
      </w:r>
      <w:r w:rsidRPr="00A9358F">
        <w:rPr>
          <w:rFonts w:eastAsia="Times New Roman" w:cs="Times New Roman"/>
          <w:lang w:eastAsia="de-DE"/>
        </w:rPr>
        <w:t>(Aaron) zeigt Aarons gehorsame Ausführung der göttlichen Anweisung.</w:t>
      </w:r>
    </w:p>
    <w:p w14:paraId="4F7FD514"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Die Richtungsangabe </w:t>
      </w:r>
      <w:r w:rsidRPr="00A9358F">
        <w:rPr>
          <w:rFonts w:eastAsia="Times New Roman" w:cs="Times New Roman"/>
          <w:b/>
          <w:bCs/>
          <w:rtl/>
          <w:lang w:eastAsia="de-DE"/>
        </w:rPr>
        <w:t>אֶל־מוּל פְּנֵי הַמְּנוֹרָה</w:t>
      </w:r>
      <w:r w:rsidRPr="00A9358F">
        <w:rPr>
          <w:rFonts w:eastAsia="Times New Roman" w:cs="Times New Roman"/>
          <w:rtl/>
          <w:lang w:eastAsia="de-DE"/>
        </w:rPr>
        <w:t xml:space="preserve"> </w:t>
      </w:r>
      <w:r w:rsidRPr="00A9358F">
        <w:rPr>
          <w:rFonts w:eastAsia="Times New Roman" w:cs="Times New Roman"/>
          <w:lang w:eastAsia="de-DE"/>
        </w:rPr>
        <w:t>wiederholt exakt die Spezifikation aus Vers 2 und betont die präzise Befolgung der Anweisungen.</w:t>
      </w:r>
    </w:p>
    <w:p w14:paraId="761E3588"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Das Verb </w:t>
      </w:r>
      <w:r w:rsidRPr="00A9358F">
        <w:rPr>
          <w:rFonts w:eastAsia="Times New Roman" w:cs="Times New Roman"/>
          <w:b/>
          <w:bCs/>
          <w:rtl/>
          <w:lang w:eastAsia="de-DE"/>
        </w:rPr>
        <w:t>הֶעֱלָה נֵרֹתֶיהָ</w:t>
      </w:r>
      <w:r w:rsidRPr="00A9358F">
        <w:rPr>
          <w:rFonts w:eastAsia="Times New Roman" w:cs="Times New Roman"/>
          <w:rtl/>
          <w:lang w:eastAsia="de-DE"/>
        </w:rPr>
        <w:t xml:space="preserve"> </w:t>
      </w:r>
      <w:r w:rsidRPr="00A9358F">
        <w:rPr>
          <w:rFonts w:eastAsia="Times New Roman" w:cs="Times New Roman"/>
          <w:lang w:eastAsia="de-DE"/>
        </w:rPr>
        <w:t xml:space="preserve">mit </w:t>
      </w:r>
      <w:r w:rsidRPr="00A9358F">
        <w:rPr>
          <w:rFonts w:eastAsia="Times New Roman" w:cs="Times New Roman"/>
          <w:b/>
          <w:bCs/>
          <w:rtl/>
          <w:lang w:eastAsia="de-DE"/>
        </w:rPr>
        <w:t>הֶעֱלָה</w:t>
      </w:r>
      <w:r w:rsidRPr="00A9358F">
        <w:rPr>
          <w:rFonts w:eastAsia="Times New Roman" w:cs="Times New Roman"/>
          <w:rtl/>
          <w:lang w:eastAsia="de-DE"/>
        </w:rPr>
        <w:t xml:space="preserve"> </w:t>
      </w:r>
      <w:r w:rsidRPr="00A9358F">
        <w:rPr>
          <w:rFonts w:eastAsia="Times New Roman" w:cs="Times New Roman"/>
          <w:lang w:eastAsia="de-DE"/>
        </w:rPr>
        <w:t xml:space="preserve">von </w:t>
      </w:r>
      <w:r w:rsidRPr="00A9358F">
        <w:rPr>
          <w:rFonts w:eastAsia="Times New Roman" w:cs="Times New Roman"/>
          <w:b/>
          <w:bCs/>
          <w:rtl/>
          <w:lang w:eastAsia="de-DE"/>
        </w:rPr>
        <w:t>עלה</w:t>
      </w:r>
      <w:r w:rsidRPr="00A9358F">
        <w:rPr>
          <w:rFonts w:eastAsia="Times New Roman" w:cs="Times New Roman"/>
          <w:rtl/>
          <w:lang w:eastAsia="de-DE"/>
        </w:rPr>
        <w:t xml:space="preserve"> </w:t>
      </w:r>
      <w:r w:rsidRPr="00A9358F">
        <w:rPr>
          <w:rFonts w:eastAsia="Times New Roman" w:cs="Times New Roman"/>
          <w:lang w:eastAsia="de-DE"/>
        </w:rPr>
        <w:t xml:space="preserve">(hinaufbringen/anzünden) im Hiph'il-Perfekt 3. maskulin Singular und </w:t>
      </w:r>
      <w:r w:rsidRPr="00A9358F">
        <w:rPr>
          <w:rFonts w:eastAsia="Times New Roman" w:cs="Times New Roman"/>
          <w:b/>
          <w:bCs/>
          <w:rtl/>
          <w:lang w:eastAsia="de-DE"/>
        </w:rPr>
        <w:t>נֵרֹתֶיהָ</w:t>
      </w:r>
      <w:r w:rsidRPr="00A9358F">
        <w:rPr>
          <w:rFonts w:eastAsia="Times New Roman" w:cs="Times New Roman"/>
          <w:rtl/>
          <w:lang w:eastAsia="de-DE"/>
        </w:rPr>
        <w:t xml:space="preserve"> </w:t>
      </w:r>
      <w:r w:rsidRPr="00A9358F">
        <w:rPr>
          <w:rFonts w:eastAsia="Times New Roman" w:cs="Times New Roman"/>
          <w:lang w:eastAsia="de-DE"/>
        </w:rPr>
        <w:t>(ihre Lampen) mit femininem Possessivsuffix 3. feminin Singular zeigt die konkrete Ausführung der Lampenzündung.</w:t>
      </w:r>
    </w:p>
    <w:p w14:paraId="7FF8975E"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Die bestätigende Formel </w:t>
      </w:r>
      <w:r w:rsidRPr="00A9358F">
        <w:rPr>
          <w:rFonts w:eastAsia="Times New Roman" w:cs="Times New Roman"/>
          <w:b/>
          <w:bCs/>
          <w:rtl/>
          <w:lang w:eastAsia="de-DE"/>
        </w:rPr>
        <w:t>כַּאֲשֶׁר צִוָּה יְהוָה אֶת־מֹשֶׁה</w:t>
      </w:r>
      <w:r w:rsidRPr="00A9358F">
        <w:rPr>
          <w:rFonts w:eastAsia="Times New Roman" w:cs="Times New Roman"/>
          <w:rtl/>
          <w:lang w:eastAsia="de-DE"/>
        </w:rPr>
        <w:t xml:space="preserve"> </w:t>
      </w:r>
      <w:r w:rsidRPr="00A9358F">
        <w:rPr>
          <w:rFonts w:eastAsia="Times New Roman" w:cs="Times New Roman"/>
          <w:lang w:eastAsia="de-DE"/>
        </w:rPr>
        <w:t xml:space="preserve">mit </w:t>
      </w:r>
      <w:r w:rsidRPr="00A9358F">
        <w:rPr>
          <w:rFonts w:eastAsia="Times New Roman" w:cs="Times New Roman"/>
          <w:b/>
          <w:bCs/>
          <w:rtl/>
          <w:lang w:eastAsia="de-DE"/>
        </w:rPr>
        <w:t>כַּאֲשֶׁר</w:t>
      </w:r>
      <w:r w:rsidRPr="00A9358F">
        <w:rPr>
          <w:rFonts w:eastAsia="Times New Roman" w:cs="Times New Roman"/>
          <w:rtl/>
          <w:lang w:eastAsia="de-DE"/>
        </w:rPr>
        <w:t xml:space="preserve"> </w:t>
      </w:r>
      <w:r w:rsidRPr="00A9358F">
        <w:rPr>
          <w:rFonts w:eastAsia="Times New Roman" w:cs="Times New Roman"/>
          <w:lang w:eastAsia="de-DE"/>
        </w:rPr>
        <w:t xml:space="preserve">(wie/so wie), </w:t>
      </w:r>
      <w:r w:rsidRPr="00A9358F">
        <w:rPr>
          <w:rFonts w:eastAsia="Times New Roman" w:cs="Times New Roman"/>
          <w:b/>
          <w:bCs/>
          <w:rtl/>
          <w:lang w:eastAsia="de-DE"/>
        </w:rPr>
        <w:t>צִוָּה</w:t>
      </w:r>
      <w:r w:rsidRPr="00A9358F">
        <w:rPr>
          <w:rFonts w:eastAsia="Times New Roman" w:cs="Times New Roman"/>
          <w:rtl/>
          <w:lang w:eastAsia="de-DE"/>
        </w:rPr>
        <w:t xml:space="preserve"> </w:t>
      </w:r>
      <w:r w:rsidRPr="00A9358F">
        <w:rPr>
          <w:rFonts w:eastAsia="Times New Roman" w:cs="Times New Roman"/>
          <w:lang w:eastAsia="de-DE"/>
        </w:rPr>
        <w:t xml:space="preserve">von </w:t>
      </w:r>
      <w:r w:rsidRPr="00A9358F">
        <w:rPr>
          <w:rFonts w:eastAsia="Times New Roman" w:cs="Times New Roman"/>
          <w:b/>
          <w:bCs/>
          <w:rtl/>
          <w:lang w:eastAsia="de-DE"/>
        </w:rPr>
        <w:t>צוה</w:t>
      </w:r>
      <w:r w:rsidRPr="00A9358F">
        <w:rPr>
          <w:rFonts w:eastAsia="Times New Roman" w:cs="Times New Roman"/>
          <w:rtl/>
          <w:lang w:eastAsia="de-DE"/>
        </w:rPr>
        <w:t xml:space="preserve"> </w:t>
      </w:r>
      <w:r w:rsidRPr="00A9358F">
        <w:rPr>
          <w:rFonts w:eastAsia="Times New Roman" w:cs="Times New Roman"/>
          <w:lang w:eastAsia="de-DE"/>
        </w:rPr>
        <w:t xml:space="preserve">(befehlen) im Pi'el-Perfekt 3. maskulin Singular und </w:t>
      </w:r>
      <w:r w:rsidRPr="00A9358F">
        <w:rPr>
          <w:rFonts w:eastAsia="Times New Roman" w:cs="Times New Roman"/>
          <w:b/>
          <w:bCs/>
          <w:rtl/>
          <w:lang w:eastAsia="de-DE"/>
        </w:rPr>
        <w:t>יְהוָה אֶת־מֹשֶׁה</w:t>
      </w:r>
      <w:r w:rsidRPr="00A9358F">
        <w:rPr>
          <w:rFonts w:eastAsia="Times New Roman" w:cs="Times New Roman"/>
          <w:rtl/>
          <w:lang w:eastAsia="de-DE"/>
        </w:rPr>
        <w:t xml:space="preserve"> </w:t>
      </w:r>
      <w:r w:rsidRPr="00A9358F">
        <w:rPr>
          <w:rFonts w:eastAsia="Times New Roman" w:cs="Times New Roman"/>
          <w:lang w:eastAsia="de-DE"/>
        </w:rPr>
        <w:t>(der Ewige dem Mose) betont die Treue zur göttlichen Anweisung.</w:t>
      </w:r>
    </w:p>
    <w:p w14:paraId="7ED3DFD0" w14:textId="7B3E5E54" w:rsidR="00A9358F" w:rsidRPr="00A9358F" w:rsidRDefault="00337D37" w:rsidP="00A9358F">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337D37">
        <w:rPr>
          <w:b/>
          <w:bCs/>
          <w:rtl/>
        </w:rPr>
        <w:t>מקשה זהב</w:t>
      </w:r>
      <w:r>
        <w:t xml:space="preserve"> (miqshah zahav - "getriebenes Gold") als στερεὰ χρυσῆ (massives Gold). </w:t>
      </w:r>
      <w:r w:rsidRPr="00337D37">
        <w:rPr>
          <w:b/>
          <w:bCs/>
          <w:rtl/>
        </w:rPr>
        <w:t>ירכה</w:t>
      </w:r>
      <w:r>
        <w:t xml:space="preserve"> (yerechah - "ihr Schaft") wird als ὁ καυλός (der Stängel/Schaft) übersetzt, und </w:t>
      </w:r>
      <w:r w:rsidRPr="00337D37">
        <w:rPr>
          <w:b/>
          <w:bCs/>
          <w:rtl/>
        </w:rPr>
        <w:t>פרחה</w:t>
      </w:r>
      <w:r>
        <w:t xml:space="preserve"> (pirchah - "ihre Blüte") als τὰ κρίνα (die Lilien), was eine spezifischere botanische Beschreibung bietet.</w:t>
      </w:r>
    </w:p>
    <w:p w14:paraId="213E39B5"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Die Satzstruktur zeigt gehorsame Ausführung mit exakter Wiederholung der Anweisungen und bestätigender Gehorsamsformel.</w:t>
      </w:r>
    </w:p>
    <w:p w14:paraId="6B389411"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Dieser Vers dokumentiert Aarons vollständigen Gehorsam gegenüber den göttlichen Anweisungen für die Menorabeleuchtung.</w:t>
      </w:r>
    </w:p>
    <w:p w14:paraId="74953CAB" w14:textId="77777777" w:rsidR="00A9358F" w:rsidRPr="00A9358F" w:rsidRDefault="00A9358F" w:rsidP="00A9358F">
      <w:pPr>
        <w:spacing w:before="100" w:beforeAutospacing="1" w:after="100" w:afterAutospacing="1" w:line="240" w:lineRule="auto"/>
        <w:outlineLvl w:val="0"/>
        <w:rPr>
          <w:rFonts w:eastAsia="Times New Roman" w:cs="Times New Roman"/>
          <w:b/>
          <w:bCs/>
          <w:kern w:val="36"/>
          <w:sz w:val="48"/>
          <w:szCs w:val="48"/>
          <w:lang w:eastAsia="de-DE"/>
        </w:rPr>
      </w:pPr>
      <w:r w:rsidRPr="00A9358F">
        <w:rPr>
          <w:rFonts w:eastAsia="Times New Roman" w:cs="Times New Roman"/>
          <w:b/>
          <w:bCs/>
          <w:kern w:val="36"/>
          <w:sz w:val="48"/>
          <w:szCs w:val="48"/>
          <w:lang w:eastAsia="de-DE"/>
        </w:rPr>
        <w:t>Numeri 8,4</w:t>
      </w:r>
    </w:p>
    <w:p w14:paraId="1C456CED"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Hebräisch:</w:t>
      </w:r>
      <w:r w:rsidRPr="00A9358F">
        <w:rPr>
          <w:rFonts w:eastAsia="Times New Roman" w:cs="Times New Roman"/>
          <w:lang w:eastAsia="de-DE"/>
        </w:rPr>
        <w:t xml:space="preserve"> </w:t>
      </w:r>
      <w:r w:rsidRPr="00A9358F">
        <w:rPr>
          <w:rFonts w:eastAsia="Times New Roman" w:cs="Times New Roman"/>
          <w:rtl/>
          <w:lang w:eastAsia="de-DE"/>
        </w:rPr>
        <w:t>וְזֶ֨ה מַעֲשֵׂ֤ה הַמְּנֹרָה֙ מִקְשָׁ֣ה זָהָ֔ב עַד־יְרֵכָ֥הּ עַד־פִּרְחָ֖הּ מִקְשָׁ֣ה הִ֑וא כַּמַּרְאֶ֗ה אֲשֶׁ֨ר הֶרְאָ֤ה יְהוָה֙ אֶת־מֹשֶׁ֔ה כֵּ֥ן עָשָׂ֖ה אֶת־הַמְּנֹרָֽה׃</w:t>
      </w:r>
    </w:p>
    <w:p w14:paraId="2E707CDE"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Deutsch:</w:t>
      </w:r>
      <w:r w:rsidRPr="00A9358F">
        <w:rPr>
          <w:rFonts w:eastAsia="Times New Roman" w:cs="Times New Roman"/>
          <w:lang w:eastAsia="de-DE"/>
        </w:rPr>
        <w:t xml:space="preserve"> Und dies war die Arbeit des Leuchters: getriebene Arbeit aus Gold; von seinem Fuß bis zu seinen Blumen, alles war getriebene Arbeit; nach dem Bild, das der Ewige Mosche gezeigt hatte, so hatte er den Leuchter gemacht.</w:t>
      </w:r>
    </w:p>
    <w:p w14:paraId="2C73100A" w14:textId="77777777" w:rsidR="00A9358F" w:rsidRPr="00A9358F" w:rsidRDefault="00F329DD" w:rsidP="00A9358F">
      <w:pPr>
        <w:spacing w:after="0" w:line="240" w:lineRule="auto"/>
        <w:rPr>
          <w:rFonts w:eastAsia="Times New Roman" w:cs="Times New Roman"/>
          <w:lang w:eastAsia="de-DE"/>
        </w:rPr>
      </w:pPr>
      <w:r>
        <w:rPr>
          <w:rFonts w:eastAsia="Times New Roman" w:cs="Times New Roman"/>
          <w:noProof/>
          <w:lang w:eastAsia="de-DE"/>
        </w:rPr>
        <w:pict w14:anchorId="738DE535">
          <v:rect id="_x0000_i1298" style="width:0;height:1.5pt" o:hralign="center" o:hrstd="t" o:hr="t" fillcolor="#a0a0a0" stroked="f"/>
        </w:pict>
      </w:r>
    </w:p>
    <w:p w14:paraId="553B1CBC" w14:textId="756B5251"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Kommentar:</w:t>
      </w:r>
      <w:r w:rsidRPr="00A9358F">
        <w:rPr>
          <w:rFonts w:eastAsia="Times New Roman" w:cs="Times New Roman"/>
          <w:lang w:eastAsia="de-DE"/>
        </w:rPr>
        <w:t xml:space="preserve"> Das Demonstrativpronomen </w:t>
      </w:r>
      <w:r w:rsidRPr="00A9358F">
        <w:rPr>
          <w:rFonts w:eastAsia="Times New Roman" w:cs="Times New Roman"/>
          <w:b/>
          <w:bCs/>
          <w:rtl/>
          <w:lang w:eastAsia="de-DE"/>
        </w:rPr>
        <w:t>וְזֶה</w:t>
      </w:r>
      <w:r w:rsidRPr="00A9358F">
        <w:rPr>
          <w:rFonts w:eastAsia="Times New Roman" w:cs="Times New Roman"/>
          <w:rtl/>
          <w:lang w:eastAsia="de-DE"/>
        </w:rPr>
        <w:t xml:space="preserve"> </w:t>
      </w:r>
      <w:r w:rsidRPr="00A9358F">
        <w:rPr>
          <w:rFonts w:eastAsia="Times New Roman" w:cs="Times New Roman"/>
          <w:lang w:eastAsia="de-DE"/>
        </w:rPr>
        <w:t xml:space="preserve">(und dies) mit der </w:t>
      </w:r>
      <w:r w:rsidR="00F133EC">
        <w:rPr>
          <w:rFonts w:eastAsia="Times New Roman" w:cs="Times New Roman"/>
          <w:lang w:eastAsia="de-DE"/>
        </w:rPr>
        <w:t>Construct</w:t>
      </w:r>
      <w:r w:rsidRPr="00A9358F">
        <w:rPr>
          <w:rFonts w:eastAsia="Times New Roman" w:cs="Times New Roman"/>
          <w:lang w:eastAsia="de-DE"/>
        </w:rPr>
        <w:t xml:space="preserve">verbindung </w:t>
      </w:r>
      <w:r w:rsidRPr="00A9358F">
        <w:rPr>
          <w:rFonts w:eastAsia="Times New Roman" w:cs="Times New Roman"/>
          <w:b/>
          <w:bCs/>
          <w:rtl/>
          <w:lang w:eastAsia="de-DE"/>
        </w:rPr>
        <w:t>מַעֲשֵׂה הַמְּנֹרָה</w:t>
      </w:r>
      <w:r w:rsidRPr="00A9358F">
        <w:rPr>
          <w:rFonts w:eastAsia="Times New Roman" w:cs="Times New Roman"/>
          <w:rtl/>
          <w:lang w:eastAsia="de-DE"/>
        </w:rPr>
        <w:t xml:space="preserve"> </w:t>
      </w:r>
      <w:r w:rsidRPr="00A9358F">
        <w:rPr>
          <w:rFonts w:eastAsia="Times New Roman" w:cs="Times New Roman"/>
          <w:lang w:eastAsia="de-DE"/>
        </w:rPr>
        <w:t>(Arbeit des Leuchters) leitet eine detaillierte Beschreibung der Menora-</w:t>
      </w:r>
      <w:r w:rsidR="00F133EC">
        <w:rPr>
          <w:rFonts w:eastAsia="Times New Roman" w:cs="Times New Roman"/>
          <w:lang w:eastAsia="de-DE"/>
        </w:rPr>
        <w:t>Construct</w:t>
      </w:r>
      <w:r w:rsidRPr="00A9358F">
        <w:rPr>
          <w:rFonts w:eastAsia="Times New Roman" w:cs="Times New Roman"/>
          <w:lang w:eastAsia="de-DE"/>
        </w:rPr>
        <w:t>ion ein.</w:t>
      </w:r>
    </w:p>
    <w:p w14:paraId="57CA2E9D"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Die technische Spezifikation </w:t>
      </w:r>
      <w:r w:rsidRPr="00A9358F">
        <w:rPr>
          <w:rFonts w:eastAsia="Times New Roman" w:cs="Times New Roman"/>
          <w:b/>
          <w:bCs/>
          <w:rtl/>
          <w:lang w:eastAsia="de-DE"/>
        </w:rPr>
        <w:t>מִקְשָׁה זָהָב</w:t>
      </w:r>
      <w:r w:rsidRPr="00A9358F">
        <w:rPr>
          <w:rFonts w:eastAsia="Times New Roman" w:cs="Times New Roman"/>
          <w:rtl/>
          <w:lang w:eastAsia="de-DE"/>
        </w:rPr>
        <w:t xml:space="preserve"> </w:t>
      </w:r>
      <w:r w:rsidRPr="00A9358F">
        <w:rPr>
          <w:rFonts w:eastAsia="Times New Roman" w:cs="Times New Roman"/>
          <w:lang w:eastAsia="de-DE"/>
        </w:rPr>
        <w:t xml:space="preserve">(getriebene Arbeit aus Gold) mit </w:t>
      </w:r>
      <w:r w:rsidRPr="00A9358F">
        <w:rPr>
          <w:rFonts w:eastAsia="Times New Roman" w:cs="Times New Roman"/>
          <w:b/>
          <w:bCs/>
          <w:rtl/>
          <w:lang w:eastAsia="de-DE"/>
        </w:rPr>
        <w:t>מִקְשָׁה</w:t>
      </w:r>
      <w:r w:rsidRPr="00A9358F">
        <w:rPr>
          <w:rFonts w:eastAsia="Times New Roman" w:cs="Times New Roman"/>
          <w:rtl/>
          <w:lang w:eastAsia="de-DE"/>
        </w:rPr>
        <w:t xml:space="preserve"> </w:t>
      </w:r>
      <w:r w:rsidRPr="00A9358F">
        <w:rPr>
          <w:rFonts w:eastAsia="Times New Roman" w:cs="Times New Roman"/>
          <w:lang w:eastAsia="de-DE"/>
        </w:rPr>
        <w:t xml:space="preserve">(getrieben) als Pu'al-Partizip feminin Singular von </w:t>
      </w:r>
      <w:r w:rsidRPr="00A9358F">
        <w:rPr>
          <w:rFonts w:eastAsia="Times New Roman" w:cs="Times New Roman"/>
          <w:b/>
          <w:bCs/>
          <w:rtl/>
          <w:lang w:eastAsia="de-DE"/>
        </w:rPr>
        <w:t>קשה</w:t>
      </w:r>
      <w:r w:rsidRPr="00A9358F">
        <w:rPr>
          <w:rFonts w:eastAsia="Times New Roman" w:cs="Times New Roman"/>
          <w:rtl/>
          <w:lang w:eastAsia="de-DE"/>
        </w:rPr>
        <w:t xml:space="preserve"> </w:t>
      </w:r>
      <w:r w:rsidRPr="00A9358F">
        <w:rPr>
          <w:rFonts w:eastAsia="Times New Roman" w:cs="Times New Roman"/>
          <w:lang w:eastAsia="de-DE"/>
        </w:rPr>
        <w:t xml:space="preserve">(hart machen/treiben) und </w:t>
      </w:r>
      <w:r w:rsidRPr="00A9358F">
        <w:rPr>
          <w:rFonts w:eastAsia="Times New Roman" w:cs="Times New Roman"/>
          <w:b/>
          <w:bCs/>
          <w:rtl/>
          <w:lang w:eastAsia="de-DE"/>
        </w:rPr>
        <w:t>זָהָב</w:t>
      </w:r>
      <w:r w:rsidRPr="00A9358F">
        <w:rPr>
          <w:rFonts w:eastAsia="Times New Roman" w:cs="Times New Roman"/>
          <w:rtl/>
          <w:lang w:eastAsia="de-DE"/>
        </w:rPr>
        <w:t xml:space="preserve"> </w:t>
      </w:r>
      <w:r w:rsidRPr="00A9358F">
        <w:rPr>
          <w:rFonts w:eastAsia="Times New Roman" w:cs="Times New Roman"/>
          <w:lang w:eastAsia="de-DE"/>
        </w:rPr>
        <w:t>(Gold) zeigt die Herstellungstechnik: ein einziges Stück getriebenen Goldes.</w:t>
      </w:r>
    </w:p>
    <w:p w14:paraId="026B2078"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lastRenderedPageBreak/>
        <w:t xml:space="preserve">Die umfassende Angabe </w:t>
      </w:r>
      <w:r w:rsidRPr="00A9358F">
        <w:rPr>
          <w:rFonts w:eastAsia="Times New Roman" w:cs="Times New Roman"/>
          <w:b/>
          <w:bCs/>
          <w:rtl/>
          <w:lang w:eastAsia="de-DE"/>
        </w:rPr>
        <w:t>עַד־יְרֵכָהּ עַד־פִּרְחָהּ מִקְשָׁה הִוא</w:t>
      </w:r>
      <w:r w:rsidRPr="00A9358F">
        <w:rPr>
          <w:rFonts w:eastAsia="Times New Roman" w:cs="Times New Roman"/>
          <w:rtl/>
          <w:lang w:eastAsia="de-DE"/>
        </w:rPr>
        <w:t xml:space="preserve"> </w:t>
      </w:r>
      <w:r w:rsidRPr="00A9358F">
        <w:rPr>
          <w:rFonts w:eastAsia="Times New Roman" w:cs="Times New Roman"/>
          <w:lang w:eastAsia="de-DE"/>
        </w:rPr>
        <w:t xml:space="preserve">mit </w:t>
      </w:r>
      <w:r w:rsidRPr="00A9358F">
        <w:rPr>
          <w:rFonts w:eastAsia="Times New Roman" w:cs="Times New Roman"/>
          <w:b/>
          <w:bCs/>
          <w:rtl/>
          <w:lang w:eastAsia="de-DE"/>
        </w:rPr>
        <w:t>עַד־יְרֵכָהּ</w:t>
      </w:r>
      <w:r w:rsidRPr="00A9358F">
        <w:rPr>
          <w:rFonts w:eastAsia="Times New Roman" w:cs="Times New Roman"/>
          <w:rtl/>
          <w:lang w:eastAsia="de-DE"/>
        </w:rPr>
        <w:t xml:space="preserve"> </w:t>
      </w:r>
      <w:r w:rsidRPr="00A9358F">
        <w:rPr>
          <w:rFonts w:eastAsia="Times New Roman" w:cs="Times New Roman"/>
          <w:lang w:eastAsia="de-DE"/>
        </w:rPr>
        <w:t xml:space="preserve">(bis zu ihrem Fuß), </w:t>
      </w:r>
      <w:r w:rsidRPr="00A9358F">
        <w:rPr>
          <w:rFonts w:eastAsia="Times New Roman" w:cs="Times New Roman"/>
          <w:b/>
          <w:bCs/>
          <w:rtl/>
          <w:lang w:eastAsia="de-DE"/>
        </w:rPr>
        <w:t>עַד־פִּרְחָהּ</w:t>
      </w:r>
      <w:r w:rsidRPr="00A9358F">
        <w:rPr>
          <w:rFonts w:eastAsia="Times New Roman" w:cs="Times New Roman"/>
          <w:rtl/>
          <w:lang w:eastAsia="de-DE"/>
        </w:rPr>
        <w:t xml:space="preserve"> </w:t>
      </w:r>
      <w:r w:rsidRPr="00A9358F">
        <w:rPr>
          <w:rFonts w:eastAsia="Times New Roman" w:cs="Times New Roman"/>
          <w:lang w:eastAsia="de-DE"/>
        </w:rPr>
        <w:t xml:space="preserve">(bis zu ihrer Blume/Blüte) und </w:t>
      </w:r>
      <w:r w:rsidRPr="00A9358F">
        <w:rPr>
          <w:rFonts w:eastAsia="Times New Roman" w:cs="Times New Roman"/>
          <w:b/>
          <w:bCs/>
          <w:rtl/>
          <w:lang w:eastAsia="de-DE"/>
        </w:rPr>
        <w:t>מִקְשָׁה הִוא</w:t>
      </w:r>
      <w:r w:rsidRPr="00A9358F">
        <w:rPr>
          <w:rFonts w:eastAsia="Times New Roman" w:cs="Times New Roman"/>
          <w:rtl/>
          <w:lang w:eastAsia="de-DE"/>
        </w:rPr>
        <w:t xml:space="preserve"> </w:t>
      </w:r>
      <w:r w:rsidRPr="00A9358F">
        <w:rPr>
          <w:rFonts w:eastAsia="Times New Roman" w:cs="Times New Roman"/>
          <w:lang w:eastAsia="de-DE"/>
        </w:rPr>
        <w:t>(getrieben ist sie) mit emphatischem Pronomen zeigt, dass der gesamte Leuchter aus einem Stück getrieben ist.</w:t>
      </w:r>
    </w:p>
    <w:p w14:paraId="62C9507E"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Die Referenz </w:t>
      </w:r>
      <w:r w:rsidRPr="00A9358F">
        <w:rPr>
          <w:rFonts w:eastAsia="Times New Roman" w:cs="Times New Roman"/>
          <w:b/>
          <w:bCs/>
          <w:rtl/>
          <w:lang w:eastAsia="de-DE"/>
        </w:rPr>
        <w:t>כַּמַּרְאֶה אֲשֶׁר הֶרְאָה יְהוָה אֶת־מֹשֶׁה</w:t>
      </w:r>
      <w:r w:rsidRPr="00A9358F">
        <w:rPr>
          <w:rFonts w:eastAsia="Times New Roman" w:cs="Times New Roman"/>
          <w:rtl/>
          <w:lang w:eastAsia="de-DE"/>
        </w:rPr>
        <w:t xml:space="preserve"> </w:t>
      </w:r>
      <w:r w:rsidRPr="00A9358F">
        <w:rPr>
          <w:rFonts w:eastAsia="Times New Roman" w:cs="Times New Roman"/>
          <w:lang w:eastAsia="de-DE"/>
        </w:rPr>
        <w:t xml:space="preserve">mit </w:t>
      </w:r>
      <w:r w:rsidRPr="00A9358F">
        <w:rPr>
          <w:rFonts w:eastAsia="Times New Roman" w:cs="Times New Roman"/>
          <w:b/>
          <w:bCs/>
          <w:rtl/>
          <w:lang w:eastAsia="de-DE"/>
        </w:rPr>
        <w:t>כַּמַּרְאֶה</w:t>
      </w:r>
      <w:r w:rsidRPr="00A9358F">
        <w:rPr>
          <w:rFonts w:eastAsia="Times New Roman" w:cs="Times New Roman"/>
          <w:rtl/>
          <w:lang w:eastAsia="de-DE"/>
        </w:rPr>
        <w:t xml:space="preserve"> </w:t>
      </w:r>
      <w:r w:rsidRPr="00A9358F">
        <w:rPr>
          <w:rFonts w:eastAsia="Times New Roman" w:cs="Times New Roman"/>
          <w:lang w:eastAsia="de-DE"/>
        </w:rPr>
        <w:t xml:space="preserve">(nach dem Bild/Anblick), </w:t>
      </w:r>
      <w:r w:rsidRPr="00A9358F">
        <w:rPr>
          <w:rFonts w:eastAsia="Times New Roman" w:cs="Times New Roman"/>
          <w:b/>
          <w:bCs/>
          <w:rtl/>
          <w:lang w:eastAsia="de-DE"/>
        </w:rPr>
        <w:t>אֲשֶׁר הֶרְאָה</w:t>
      </w:r>
      <w:r w:rsidRPr="00A9358F">
        <w:rPr>
          <w:rFonts w:eastAsia="Times New Roman" w:cs="Times New Roman"/>
          <w:rtl/>
          <w:lang w:eastAsia="de-DE"/>
        </w:rPr>
        <w:t xml:space="preserve"> </w:t>
      </w:r>
      <w:r w:rsidRPr="00A9358F">
        <w:rPr>
          <w:rFonts w:eastAsia="Times New Roman" w:cs="Times New Roman"/>
          <w:lang w:eastAsia="de-DE"/>
        </w:rPr>
        <w:t xml:space="preserve">(das er zeigte) mit </w:t>
      </w:r>
      <w:r w:rsidRPr="00A9358F">
        <w:rPr>
          <w:rFonts w:eastAsia="Times New Roman" w:cs="Times New Roman"/>
          <w:b/>
          <w:bCs/>
          <w:rtl/>
          <w:lang w:eastAsia="de-DE"/>
        </w:rPr>
        <w:t>הֶרְאָה</w:t>
      </w:r>
      <w:r w:rsidRPr="00A9358F">
        <w:rPr>
          <w:rFonts w:eastAsia="Times New Roman" w:cs="Times New Roman"/>
          <w:rtl/>
          <w:lang w:eastAsia="de-DE"/>
        </w:rPr>
        <w:t xml:space="preserve"> </w:t>
      </w:r>
      <w:r w:rsidRPr="00A9358F">
        <w:rPr>
          <w:rFonts w:eastAsia="Times New Roman" w:cs="Times New Roman"/>
          <w:lang w:eastAsia="de-DE"/>
        </w:rPr>
        <w:t xml:space="preserve">von </w:t>
      </w:r>
      <w:r w:rsidRPr="00A9358F">
        <w:rPr>
          <w:rFonts w:eastAsia="Times New Roman" w:cs="Times New Roman"/>
          <w:b/>
          <w:bCs/>
          <w:rtl/>
          <w:lang w:eastAsia="de-DE"/>
        </w:rPr>
        <w:t>ראה</w:t>
      </w:r>
      <w:r w:rsidRPr="00A9358F">
        <w:rPr>
          <w:rFonts w:eastAsia="Times New Roman" w:cs="Times New Roman"/>
          <w:rtl/>
          <w:lang w:eastAsia="de-DE"/>
        </w:rPr>
        <w:t xml:space="preserve"> </w:t>
      </w:r>
      <w:r w:rsidRPr="00A9358F">
        <w:rPr>
          <w:rFonts w:eastAsia="Times New Roman" w:cs="Times New Roman"/>
          <w:lang w:eastAsia="de-DE"/>
        </w:rPr>
        <w:t xml:space="preserve">(sehen) im Hiph'il-Perfekt 3. maskulin Singular und </w:t>
      </w:r>
      <w:r w:rsidRPr="00A9358F">
        <w:rPr>
          <w:rFonts w:eastAsia="Times New Roman" w:cs="Times New Roman"/>
          <w:b/>
          <w:bCs/>
          <w:rtl/>
          <w:lang w:eastAsia="de-DE"/>
        </w:rPr>
        <w:t>יְהוָה אֶת־מֹשֶׁה</w:t>
      </w:r>
      <w:r w:rsidRPr="00A9358F">
        <w:rPr>
          <w:rFonts w:eastAsia="Times New Roman" w:cs="Times New Roman"/>
          <w:rtl/>
          <w:lang w:eastAsia="de-DE"/>
        </w:rPr>
        <w:t xml:space="preserve"> </w:t>
      </w:r>
      <w:r w:rsidRPr="00A9358F">
        <w:rPr>
          <w:rFonts w:eastAsia="Times New Roman" w:cs="Times New Roman"/>
          <w:lang w:eastAsia="de-DE"/>
        </w:rPr>
        <w:t>(der Ewige dem Mose) verweist auf die göttliche Vision.</w:t>
      </w:r>
    </w:p>
    <w:p w14:paraId="6021D4C1"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 xml:space="preserve">Die abschließende Bestätigung </w:t>
      </w:r>
      <w:r w:rsidRPr="00A9358F">
        <w:rPr>
          <w:rFonts w:eastAsia="Times New Roman" w:cs="Times New Roman"/>
          <w:b/>
          <w:bCs/>
          <w:rtl/>
          <w:lang w:eastAsia="de-DE"/>
        </w:rPr>
        <w:t>כֵּן עָשָׂה אֶת־הַמְּנֹרָה</w:t>
      </w:r>
      <w:r w:rsidRPr="00A9358F">
        <w:rPr>
          <w:rFonts w:eastAsia="Times New Roman" w:cs="Times New Roman"/>
          <w:rtl/>
          <w:lang w:eastAsia="de-DE"/>
        </w:rPr>
        <w:t xml:space="preserve"> </w:t>
      </w:r>
      <w:r w:rsidRPr="00A9358F">
        <w:rPr>
          <w:rFonts w:eastAsia="Times New Roman" w:cs="Times New Roman"/>
          <w:lang w:eastAsia="de-DE"/>
        </w:rPr>
        <w:t>(so machte er den Leuchter) betont die exakte Umsetzung der göttlichen Vorgabe.</w:t>
      </w:r>
    </w:p>
    <w:p w14:paraId="0CEBDEF0"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b/>
          <w:bCs/>
          <w:lang w:eastAsia="de-DE"/>
        </w:rPr>
        <w:t>Die LXX</w:t>
      </w:r>
      <w:r w:rsidRPr="00A9358F">
        <w:rPr>
          <w:rFonts w:eastAsia="Times New Roman" w:cs="Times New Roman"/>
          <w:lang w:eastAsia="de-DE"/>
        </w:rPr>
        <w:t xml:space="preserve"> übersetzt </w:t>
      </w:r>
      <w:r w:rsidRPr="00A9358F">
        <w:rPr>
          <w:rFonts w:eastAsia="Times New Roman" w:cs="Times New Roman"/>
          <w:b/>
          <w:bCs/>
          <w:rtl/>
          <w:lang w:eastAsia="de-DE"/>
        </w:rPr>
        <w:t>מִקְשָׁה</w:t>
      </w:r>
      <w:r w:rsidRPr="00A9358F">
        <w:rPr>
          <w:rFonts w:eastAsia="Times New Roman" w:cs="Times New Roman"/>
          <w:rtl/>
          <w:lang w:eastAsia="de-DE"/>
        </w:rPr>
        <w:t xml:space="preserve"> </w:t>
      </w:r>
      <w:r w:rsidRPr="00A9358F">
        <w:rPr>
          <w:rFonts w:eastAsia="Times New Roman" w:cs="Times New Roman"/>
          <w:lang w:eastAsia="de-DE"/>
        </w:rPr>
        <w:t xml:space="preserve">mit τορευτή (getrieben/gehämmert) und </w:t>
      </w:r>
      <w:r w:rsidRPr="00A9358F">
        <w:rPr>
          <w:rFonts w:eastAsia="Times New Roman" w:cs="Times New Roman"/>
          <w:b/>
          <w:bCs/>
          <w:rtl/>
          <w:lang w:eastAsia="de-DE"/>
        </w:rPr>
        <w:t>יְרֵכָהּ</w:t>
      </w:r>
      <w:r w:rsidRPr="00A9358F">
        <w:rPr>
          <w:rFonts w:eastAsia="Times New Roman" w:cs="Times New Roman"/>
          <w:rtl/>
          <w:lang w:eastAsia="de-DE"/>
        </w:rPr>
        <w:t xml:space="preserve"> </w:t>
      </w:r>
      <w:r w:rsidRPr="00A9358F">
        <w:rPr>
          <w:rFonts w:eastAsia="Times New Roman" w:cs="Times New Roman"/>
          <w:lang w:eastAsia="de-DE"/>
        </w:rPr>
        <w:t>mit βάσεως (Basis), was die technischen Aspekte präzisiert.</w:t>
      </w:r>
    </w:p>
    <w:p w14:paraId="4FD4431A" w14:textId="77777777" w:rsidR="00A9358F" w:rsidRP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Die Satzstruktur zeigt eine technische Beschreibung mit Herstellungsverfahren, umfassender Reichweite, göttlicher Vorlagenreferenz und Ausführungsbestätigung.</w:t>
      </w:r>
    </w:p>
    <w:p w14:paraId="1D1F12D7" w14:textId="4359B9FE" w:rsidR="00A9358F" w:rsidRDefault="00A9358F" w:rsidP="00A9358F">
      <w:pPr>
        <w:spacing w:before="100" w:beforeAutospacing="1" w:after="100" w:afterAutospacing="1" w:line="240" w:lineRule="auto"/>
        <w:rPr>
          <w:rFonts w:eastAsia="Times New Roman" w:cs="Times New Roman"/>
          <w:lang w:eastAsia="de-DE"/>
        </w:rPr>
      </w:pPr>
      <w:r w:rsidRPr="00A9358F">
        <w:rPr>
          <w:rFonts w:eastAsia="Times New Roman" w:cs="Times New Roman"/>
          <w:lang w:eastAsia="de-DE"/>
        </w:rPr>
        <w:t>Dieser Vers betont die kunsthandwerkliche Perfektion der Menora und ihre exakte Entsprechung zur göttlichen Vision, die Mose empfangen hatte.</w:t>
      </w:r>
    </w:p>
    <w:p w14:paraId="7112DB72" w14:textId="77777777" w:rsidR="005C59C9" w:rsidRPr="00F06C27" w:rsidRDefault="005C59C9" w:rsidP="00F06C27">
      <w:pPr>
        <w:pStyle w:val="berschrift4"/>
      </w:pPr>
      <w:r w:rsidRPr="00F06C27">
        <w:rPr>
          <w:rStyle w:val="Fett"/>
          <w:b w:val="0"/>
          <w:bCs w:val="0"/>
        </w:rPr>
        <w:t xml:space="preserve">Exkurs: </w:t>
      </w:r>
      <w:r w:rsidRPr="00F06C27">
        <w:rPr>
          <w:rStyle w:val="Fett"/>
          <w:b w:val="0"/>
          <w:bCs w:val="0"/>
          <w:i w:val="0"/>
          <w:iCs w:val="0"/>
          <w:rtl/>
        </w:rPr>
        <w:t>כַּמַּרְאֶה</w:t>
      </w:r>
      <w:r w:rsidRPr="00F06C27">
        <w:rPr>
          <w:rStyle w:val="Fett"/>
          <w:b w:val="0"/>
          <w:bCs w:val="0"/>
        </w:rPr>
        <w:t xml:space="preserve"> – "Nach dem Bild" (Ex 25,40)</w:t>
      </w:r>
    </w:p>
    <w:p w14:paraId="7B79A0DE" w14:textId="77777777" w:rsidR="005C59C9" w:rsidRDefault="005C59C9" w:rsidP="005C59C9">
      <w:pPr>
        <w:pStyle w:val="whitespace-normal"/>
      </w:pPr>
      <w:r>
        <w:t xml:space="preserve">Die Formulierung </w:t>
      </w:r>
      <w:r>
        <w:rPr>
          <w:rStyle w:val="Fett"/>
          <w:rtl/>
        </w:rPr>
        <w:t>כַּמַּרְאֶה אֲשֶׁר הֶרְאָה יְהוָה אֶת־מֹשֶׁה</w:t>
      </w:r>
      <w:r>
        <w:rPr>
          <w:rtl/>
        </w:rPr>
        <w:t xml:space="preserve"> </w:t>
      </w:r>
      <w:r>
        <w:t xml:space="preserve">("nach dem Bild, das JHWH dem Mose zeigte") verweist auf </w:t>
      </w:r>
      <w:r>
        <w:rPr>
          <w:rStyle w:val="Fett"/>
        </w:rPr>
        <w:t>Ex 25,40</w:t>
      </w:r>
      <w:r>
        <w:t>:</w:t>
      </w:r>
    </w:p>
    <w:p w14:paraId="041D599E" w14:textId="77777777" w:rsidR="005C59C9" w:rsidRDefault="005C59C9" w:rsidP="005C59C9">
      <w:pPr>
        <w:pStyle w:val="whitespace-normal"/>
      </w:pPr>
      <w:r>
        <w:rPr>
          <w:rStyle w:val="Fett"/>
        </w:rPr>
        <w:t>Ex 25,40:</w:t>
      </w:r>
      <w:r>
        <w:t xml:space="preserve"> </w:t>
      </w:r>
      <w:r>
        <w:rPr>
          <w:rtl/>
        </w:rPr>
        <w:t>וּרְאֵה וַעֲשֵׂה בְּתַבְנִיתָם אֲשֶׁר־אַתָּה מָרְאֶה בָּהָר</w:t>
      </w:r>
      <w:r>
        <w:br/>
        <w:t>("Und siehe zu, dass du sie nach ihrem Muster machst, das dir auf dem Berg gezeigt wird")</w:t>
      </w:r>
    </w:p>
    <w:p w14:paraId="7503A457" w14:textId="77777777" w:rsidR="005C59C9" w:rsidRDefault="005C59C9" w:rsidP="005C59C9">
      <w:pPr>
        <w:pStyle w:val="whitespace-normal"/>
      </w:pPr>
      <w:r>
        <w:rPr>
          <w:rStyle w:val="Fett"/>
        </w:rPr>
        <w:t xml:space="preserve">Bedeutung von </w:t>
      </w:r>
      <w:r>
        <w:rPr>
          <w:rStyle w:val="Fett"/>
          <w:rtl/>
        </w:rPr>
        <w:t>מַרְאֶה</w:t>
      </w:r>
      <w:r>
        <w:rPr>
          <w:rStyle w:val="Fett"/>
        </w:rPr>
        <w:t>:</w:t>
      </w:r>
    </w:p>
    <w:p w14:paraId="27C48250" w14:textId="77777777" w:rsidR="005C59C9" w:rsidRDefault="005C59C9" w:rsidP="005C59C9">
      <w:pPr>
        <w:pStyle w:val="whitespace-normal"/>
        <w:numPr>
          <w:ilvl w:val="0"/>
          <w:numId w:val="66"/>
        </w:numPr>
      </w:pPr>
      <w:r>
        <w:rPr>
          <w:rStyle w:val="Fett"/>
        </w:rPr>
        <w:t>"Vision/Anblick"</w:t>
      </w:r>
      <w:r>
        <w:t xml:space="preserve"> – Mose sah eine </w:t>
      </w:r>
      <w:r>
        <w:rPr>
          <w:rStyle w:val="Fett"/>
        </w:rPr>
        <w:t>himmlische Vision</w:t>
      </w:r>
      <w:r>
        <w:t xml:space="preserve"> der Menora</w:t>
      </w:r>
    </w:p>
    <w:p w14:paraId="38C7EF56" w14:textId="77777777" w:rsidR="005C59C9" w:rsidRDefault="005C59C9" w:rsidP="005C59C9">
      <w:pPr>
        <w:pStyle w:val="whitespace-normal"/>
        <w:numPr>
          <w:ilvl w:val="0"/>
          <w:numId w:val="66"/>
        </w:numPr>
      </w:pPr>
      <w:r>
        <w:rPr>
          <w:rStyle w:val="Fett"/>
        </w:rPr>
        <w:t>"Muster/Vorbild"</w:t>
      </w:r>
      <w:r>
        <w:t xml:space="preserve"> – Mose erhielt ein konkretes </w:t>
      </w:r>
      <w:r>
        <w:rPr>
          <w:rStyle w:val="Fett"/>
        </w:rPr>
        <w:t>Modell</w:t>
      </w:r>
    </w:p>
    <w:p w14:paraId="69357987" w14:textId="77777777" w:rsidR="005C59C9" w:rsidRDefault="005C59C9" w:rsidP="005C59C9">
      <w:pPr>
        <w:pStyle w:val="whitespace-normal"/>
      </w:pPr>
      <w:r>
        <w:rPr>
          <w:rStyle w:val="Fett"/>
        </w:rPr>
        <w:t>Theologische Spannung:</w:t>
      </w:r>
    </w:p>
    <w:p w14:paraId="43840E3A" w14:textId="77777777" w:rsidR="005C59C9" w:rsidRDefault="005C59C9" w:rsidP="005C59C9">
      <w:pPr>
        <w:pStyle w:val="whitespace-normal"/>
        <w:numPr>
          <w:ilvl w:val="0"/>
          <w:numId w:val="67"/>
        </w:numPr>
      </w:pPr>
      <w:r>
        <w:rPr>
          <w:rStyle w:val="Fett"/>
        </w:rPr>
        <w:t>Himmlisches Urbild:</w:t>
      </w:r>
      <w:r>
        <w:t xml:space="preserve"> Die irdische Menora ist </w:t>
      </w:r>
      <w:r>
        <w:rPr>
          <w:rStyle w:val="Fett"/>
        </w:rPr>
        <w:t>Abbild</w:t>
      </w:r>
      <w:r>
        <w:t xml:space="preserve"> einer himmlischen Realität (vgl. Hebr 8,5: ὑποδείγματι καὶ σκιᾷ – "Abbild und Schatten der himmlischen Dinge")</w:t>
      </w:r>
    </w:p>
    <w:p w14:paraId="3C22AD46" w14:textId="77777777" w:rsidR="005C59C9" w:rsidRDefault="005C59C9" w:rsidP="005C59C9">
      <w:pPr>
        <w:pStyle w:val="whitespace-normal"/>
        <w:numPr>
          <w:ilvl w:val="0"/>
          <w:numId w:val="67"/>
        </w:numPr>
      </w:pPr>
      <w:r>
        <w:rPr>
          <w:rStyle w:val="Fett"/>
        </w:rPr>
        <w:t>Präzise Anweisung:</w:t>
      </w:r>
      <w:r>
        <w:t xml:space="preserve"> Die detaillierten Maßangaben in Ex 25,31-40 zeigen, dass Mose </w:t>
      </w:r>
      <w:r>
        <w:rPr>
          <w:rStyle w:val="Fett"/>
        </w:rPr>
        <w:t>konkrete Vorgaben</w:t>
      </w:r>
      <w:r>
        <w:t xml:space="preserve"> erhielt</w:t>
      </w:r>
    </w:p>
    <w:p w14:paraId="64411D16" w14:textId="56A23BCE" w:rsidR="005C59C9" w:rsidRPr="00A9358F" w:rsidRDefault="005C59C9" w:rsidP="005C59C9">
      <w:pPr>
        <w:pStyle w:val="whitespace-normal"/>
      </w:pPr>
      <w:r>
        <w:rPr>
          <w:rStyle w:val="Fett"/>
        </w:rPr>
        <w:t>Num 8,4</w:t>
      </w:r>
      <w:r>
        <w:t xml:space="preserve"> betont: Die </w:t>
      </w:r>
      <w:r>
        <w:rPr>
          <w:rStyle w:val="Fett"/>
        </w:rPr>
        <w:t>ausgeführte</w:t>
      </w:r>
      <w:r>
        <w:t xml:space="preserve"> Menora entspricht </w:t>
      </w:r>
      <w:r>
        <w:rPr>
          <w:rStyle w:val="Fett"/>
        </w:rPr>
        <w:t>exakt</w:t>
      </w:r>
      <w:r>
        <w:t xml:space="preserve"> der göttlichen Vorgabe – ob Vision oder Muster, die Übereinstimmung ist vollkommen.</w:t>
      </w:r>
    </w:p>
    <w:p w14:paraId="200F8E52" w14:textId="77777777" w:rsidR="00651A08" w:rsidRPr="00651A08" w:rsidRDefault="00651A08" w:rsidP="00651A08">
      <w:pPr>
        <w:spacing w:before="100" w:beforeAutospacing="1" w:after="100" w:afterAutospacing="1" w:line="240" w:lineRule="auto"/>
        <w:outlineLvl w:val="0"/>
        <w:rPr>
          <w:rFonts w:eastAsia="Times New Roman" w:cs="Times New Roman"/>
          <w:b/>
          <w:bCs/>
          <w:kern w:val="36"/>
          <w:sz w:val="48"/>
          <w:szCs w:val="48"/>
          <w:lang w:eastAsia="de-DE"/>
        </w:rPr>
      </w:pPr>
      <w:r w:rsidRPr="00651A08">
        <w:rPr>
          <w:rFonts w:eastAsia="Times New Roman" w:cs="Times New Roman"/>
          <w:b/>
          <w:bCs/>
          <w:kern w:val="36"/>
          <w:sz w:val="48"/>
          <w:szCs w:val="48"/>
          <w:lang w:eastAsia="de-DE"/>
        </w:rPr>
        <w:t>Numeri 8,5</w:t>
      </w:r>
    </w:p>
    <w:p w14:paraId="0FD3AAF2"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Hebräisch:</w:t>
      </w:r>
      <w:r w:rsidRPr="00651A08">
        <w:rPr>
          <w:rFonts w:eastAsia="Times New Roman" w:cs="Times New Roman"/>
          <w:lang w:eastAsia="de-DE"/>
        </w:rPr>
        <w:t xml:space="preserve"> </w:t>
      </w:r>
      <w:r w:rsidRPr="00651A08">
        <w:rPr>
          <w:rFonts w:eastAsia="Times New Roman" w:cs="Times New Roman"/>
          <w:rtl/>
          <w:lang w:eastAsia="de-DE"/>
        </w:rPr>
        <w:t>וַיְדַבֵּ֥ר יְהוָ֖ה אֶל־מֹשֶׁ֥ה לֵּאמֹֽר׃</w:t>
      </w:r>
    </w:p>
    <w:p w14:paraId="4651C082"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Deutsch:</w:t>
      </w:r>
      <w:r w:rsidRPr="00651A08">
        <w:rPr>
          <w:rFonts w:eastAsia="Times New Roman" w:cs="Times New Roman"/>
          <w:lang w:eastAsia="de-DE"/>
        </w:rPr>
        <w:t xml:space="preserve"> Und der Ewige redete zu Mosche, sagend:</w:t>
      </w:r>
    </w:p>
    <w:p w14:paraId="495316B7" w14:textId="77777777" w:rsidR="00651A08" w:rsidRPr="00651A08" w:rsidRDefault="00F329DD" w:rsidP="00651A08">
      <w:pPr>
        <w:spacing w:after="0" w:line="240" w:lineRule="auto"/>
        <w:rPr>
          <w:rFonts w:eastAsia="Times New Roman" w:cs="Times New Roman"/>
          <w:lang w:eastAsia="de-DE"/>
        </w:rPr>
      </w:pPr>
      <w:r>
        <w:rPr>
          <w:rFonts w:eastAsia="Times New Roman" w:cs="Times New Roman"/>
          <w:noProof/>
          <w:lang w:eastAsia="de-DE"/>
        </w:rPr>
        <w:lastRenderedPageBreak/>
        <w:pict w14:anchorId="664FEA30">
          <v:rect id="_x0000_i1299" style="width:0;height:1.5pt" o:hralign="center" o:hrstd="t" o:hr="t" fillcolor="#a0a0a0" stroked="f"/>
        </w:pict>
      </w:r>
    </w:p>
    <w:p w14:paraId="139B3C01"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Kommentar:</w:t>
      </w:r>
      <w:r w:rsidRPr="00651A08">
        <w:rPr>
          <w:rFonts w:eastAsia="Times New Roman" w:cs="Times New Roman"/>
          <w:lang w:eastAsia="de-DE"/>
        </w:rPr>
        <w:t xml:space="preserve"> Das Verb </w:t>
      </w:r>
      <w:r w:rsidRPr="00651A08">
        <w:rPr>
          <w:rFonts w:eastAsia="Times New Roman" w:cs="Times New Roman"/>
          <w:b/>
          <w:bCs/>
          <w:rtl/>
          <w:lang w:eastAsia="de-DE"/>
        </w:rPr>
        <w:t>וַיְדַבֵּר</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דבר</w:t>
      </w:r>
      <w:r w:rsidRPr="00651A08">
        <w:rPr>
          <w:rFonts w:eastAsia="Times New Roman" w:cs="Times New Roman"/>
          <w:rtl/>
          <w:lang w:eastAsia="de-DE"/>
        </w:rPr>
        <w:t xml:space="preserve"> </w:t>
      </w:r>
      <w:r w:rsidRPr="00651A08">
        <w:rPr>
          <w:rFonts w:eastAsia="Times New Roman" w:cs="Times New Roman"/>
          <w:lang w:eastAsia="de-DE"/>
        </w:rPr>
        <w:t>(reden/sprechen) im Qal-Imperfekt 3. maskulin Singular mit Waw consecutivum leitet eine neue göttliche Anweisung ein, die thematisch von der Menorabeleuchtung zur levitischen Weihe übergeht.</w:t>
      </w:r>
    </w:p>
    <w:p w14:paraId="4559BDD1"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Das Subjekt </w:t>
      </w:r>
      <w:r w:rsidRPr="00651A08">
        <w:rPr>
          <w:rFonts w:eastAsia="Times New Roman" w:cs="Times New Roman"/>
          <w:b/>
          <w:bCs/>
          <w:rtl/>
          <w:lang w:eastAsia="de-DE"/>
        </w:rPr>
        <w:t>יְהוָה</w:t>
      </w:r>
      <w:r w:rsidRPr="00651A08">
        <w:rPr>
          <w:rFonts w:eastAsia="Times New Roman" w:cs="Times New Roman"/>
          <w:rtl/>
          <w:lang w:eastAsia="de-DE"/>
        </w:rPr>
        <w:t xml:space="preserve"> </w:t>
      </w:r>
      <w:r w:rsidRPr="00651A08">
        <w:rPr>
          <w:rFonts w:eastAsia="Times New Roman" w:cs="Times New Roman"/>
          <w:lang w:eastAsia="de-DE"/>
        </w:rPr>
        <w:t xml:space="preserve">mit der präpositionalen Phrase </w:t>
      </w:r>
      <w:r w:rsidRPr="00651A08">
        <w:rPr>
          <w:rFonts w:eastAsia="Times New Roman" w:cs="Times New Roman"/>
          <w:b/>
          <w:bCs/>
          <w:rtl/>
          <w:lang w:eastAsia="de-DE"/>
        </w:rPr>
        <w:t>אֶל־מֹשֶׁה</w:t>
      </w:r>
      <w:r w:rsidRPr="00651A08">
        <w:rPr>
          <w:rFonts w:eastAsia="Times New Roman" w:cs="Times New Roman"/>
          <w:rtl/>
          <w:lang w:eastAsia="de-DE"/>
        </w:rPr>
        <w:t xml:space="preserve"> </w:t>
      </w:r>
      <w:r w:rsidRPr="00651A08">
        <w:rPr>
          <w:rFonts w:eastAsia="Times New Roman" w:cs="Times New Roman"/>
          <w:lang w:eastAsia="de-DE"/>
        </w:rPr>
        <w:t xml:space="preserve">zeigt die fortgesetzte direkte göttliche Kommunikation an Mose. Das abschließende </w:t>
      </w:r>
      <w:r w:rsidRPr="00651A08">
        <w:rPr>
          <w:rFonts w:eastAsia="Times New Roman" w:cs="Times New Roman"/>
          <w:b/>
          <w:bCs/>
          <w:rtl/>
          <w:lang w:eastAsia="de-DE"/>
        </w:rPr>
        <w:t>לֵאמֹר</w:t>
      </w:r>
      <w:r w:rsidRPr="00651A08">
        <w:rPr>
          <w:rFonts w:eastAsia="Times New Roman" w:cs="Times New Roman"/>
          <w:rtl/>
          <w:lang w:eastAsia="de-DE"/>
        </w:rPr>
        <w:t xml:space="preserve"> </w:t>
      </w:r>
      <w:r w:rsidRPr="00651A08">
        <w:rPr>
          <w:rFonts w:eastAsia="Times New Roman" w:cs="Times New Roman"/>
          <w:lang w:eastAsia="de-DE"/>
        </w:rPr>
        <w:t>fungiert als Redeeinleitung für die folgenden Bestimmungen zur levitischen Reinigung und Weihe.</w:t>
      </w:r>
    </w:p>
    <w:p w14:paraId="1ED3D165"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Die LXX</w:t>
      </w:r>
      <w:r w:rsidRPr="00651A08">
        <w:rPr>
          <w:rFonts w:eastAsia="Times New Roman" w:cs="Times New Roman"/>
          <w:lang w:eastAsia="de-DE"/>
        </w:rPr>
        <w:t xml:space="preserve"> übersetzt mit der bekannten Formel καὶ ἐλάλησεν κύριος πρὸς Μωυσῆν λέγων.</w:t>
      </w:r>
    </w:p>
    <w:p w14:paraId="3F14DAB2"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 Satzstruktur zeigt die charakteristische Einleitungsformel für eine neue thematische Sektion innerhalb desselben Kapitels.</w:t>
      </w:r>
    </w:p>
    <w:p w14:paraId="1E16B1B0"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Dieser Vers markiert den Übergang von der Menorabeleuchtung zu den umfangreichen Bestimmungen für die levitische Weihe.</w:t>
      </w:r>
    </w:p>
    <w:p w14:paraId="67AB6A4D" w14:textId="77777777" w:rsidR="00651A08" w:rsidRPr="00651A08" w:rsidRDefault="00651A08" w:rsidP="00651A08">
      <w:pPr>
        <w:spacing w:before="100" w:beforeAutospacing="1" w:after="100" w:afterAutospacing="1" w:line="240" w:lineRule="auto"/>
        <w:outlineLvl w:val="0"/>
        <w:rPr>
          <w:rFonts w:eastAsia="Times New Roman" w:cs="Times New Roman"/>
          <w:b/>
          <w:bCs/>
          <w:kern w:val="36"/>
          <w:sz w:val="48"/>
          <w:szCs w:val="48"/>
          <w:lang w:eastAsia="de-DE"/>
        </w:rPr>
      </w:pPr>
      <w:r w:rsidRPr="00651A08">
        <w:rPr>
          <w:rFonts w:eastAsia="Times New Roman" w:cs="Times New Roman"/>
          <w:b/>
          <w:bCs/>
          <w:kern w:val="36"/>
          <w:sz w:val="48"/>
          <w:szCs w:val="48"/>
          <w:lang w:eastAsia="de-DE"/>
        </w:rPr>
        <w:t>Numeri 8,6</w:t>
      </w:r>
    </w:p>
    <w:p w14:paraId="361A031C"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Hebräisch:</w:t>
      </w:r>
      <w:r w:rsidRPr="00651A08">
        <w:rPr>
          <w:rFonts w:eastAsia="Times New Roman" w:cs="Times New Roman"/>
          <w:lang w:eastAsia="de-DE"/>
        </w:rPr>
        <w:t xml:space="preserve"> </w:t>
      </w:r>
      <w:r w:rsidRPr="00651A08">
        <w:rPr>
          <w:rFonts w:eastAsia="Times New Roman" w:cs="Times New Roman"/>
          <w:rtl/>
          <w:lang w:eastAsia="de-DE"/>
        </w:rPr>
        <w:t>קַ֚ח אֶת־הַלְוִיִּ֔ם מִתּ֖וֹךְ בְּנֵ֣י יִשְׂרָאֵ֑ל וְטִהַרְתָּ֖ אֹתָֽם׃</w:t>
      </w:r>
    </w:p>
    <w:p w14:paraId="1EF61BAC"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Deutsch:</w:t>
      </w:r>
      <w:r w:rsidRPr="00651A08">
        <w:rPr>
          <w:rFonts w:eastAsia="Times New Roman" w:cs="Times New Roman"/>
          <w:lang w:eastAsia="de-DE"/>
        </w:rPr>
        <w:t xml:space="preserve"> Nimm die Levijim aus der Mitte der Söhne Jisra'els und reinige sie.</w:t>
      </w:r>
    </w:p>
    <w:p w14:paraId="6290486F" w14:textId="77777777" w:rsidR="00651A08" w:rsidRPr="00651A08" w:rsidRDefault="00F329DD" w:rsidP="00651A08">
      <w:pPr>
        <w:spacing w:after="0" w:line="240" w:lineRule="auto"/>
        <w:rPr>
          <w:rFonts w:eastAsia="Times New Roman" w:cs="Times New Roman"/>
          <w:lang w:eastAsia="de-DE"/>
        </w:rPr>
      </w:pPr>
      <w:r>
        <w:rPr>
          <w:rFonts w:eastAsia="Times New Roman" w:cs="Times New Roman"/>
          <w:noProof/>
          <w:lang w:eastAsia="de-DE"/>
        </w:rPr>
        <w:pict w14:anchorId="22D81645">
          <v:rect id="_x0000_i1300" style="width:0;height:1.5pt" o:hralign="center" o:hrstd="t" o:hr="t" fillcolor="#a0a0a0" stroked="f"/>
        </w:pict>
      </w:r>
    </w:p>
    <w:p w14:paraId="5437B7F2"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Kommentar:</w:t>
      </w:r>
      <w:r w:rsidRPr="00651A08">
        <w:rPr>
          <w:rFonts w:eastAsia="Times New Roman" w:cs="Times New Roman"/>
          <w:lang w:eastAsia="de-DE"/>
        </w:rPr>
        <w:t xml:space="preserve"> Der Imperativ </w:t>
      </w:r>
      <w:r w:rsidRPr="00651A08">
        <w:rPr>
          <w:rFonts w:eastAsia="Times New Roman" w:cs="Times New Roman"/>
          <w:b/>
          <w:bCs/>
          <w:rtl/>
          <w:lang w:eastAsia="de-DE"/>
        </w:rPr>
        <w:t>קַח</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לקח</w:t>
      </w:r>
      <w:r w:rsidRPr="00651A08">
        <w:rPr>
          <w:rFonts w:eastAsia="Times New Roman" w:cs="Times New Roman"/>
          <w:rtl/>
          <w:lang w:eastAsia="de-DE"/>
        </w:rPr>
        <w:t xml:space="preserve"> </w:t>
      </w:r>
      <w:r w:rsidRPr="00651A08">
        <w:rPr>
          <w:rFonts w:eastAsia="Times New Roman" w:cs="Times New Roman"/>
          <w:lang w:eastAsia="de-DE"/>
        </w:rPr>
        <w:t xml:space="preserve">(nehmen) im Qal-Imperativ maskulin Singular mit dem direkten Objekt </w:t>
      </w:r>
      <w:r w:rsidRPr="00651A08">
        <w:rPr>
          <w:rFonts w:eastAsia="Times New Roman" w:cs="Times New Roman"/>
          <w:b/>
          <w:bCs/>
          <w:rtl/>
          <w:lang w:eastAsia="de-DE"/>
        </w:rPr>
        <w:t>אֶת־הַלְוִיִּם</w:t>
      </w:r>
      <w:r w:rsidRPr="00651A08">
        <w:rPr>
          <w:rFonts w:eastAsia="Times New Roman" w:cs="Times New Roman"/>
          <w:rtl/>
          <w:lang w:eastAsia="de-DE"/>
        </w:rPr>
        <w:t xml:space="preserve"> </w:t>
      </w:r>
      <w:r w:rsidRPr="00651A08">
        <w:rPr>
          <w:rFonts w:eastAsia="Times New Roman" w:cs="Times New Roman"/>
          <w:lang w:eastAsia="de-DE"/>
        </w:rPr>
        <w:t>(die Leviten) zeigt die erste Anweisung für die levitische Weihe.</w:t>
      </w:r>
    </w:p>
    <w:p w14:paraId="78988EC9"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präpositionale Bestimmung </w:t>
      </w:r>
      <w:r w:rsidRPr="00651A08">
        <w:rPr>
          <w:rFonts w:eastAsia="Times New Roman" w:cs="Times New Roman"/>
          <w:b/>
          <w:bCs/>
          <w:rtl/>
          <w:lang w:eastAsia="de-DE"/>
        </w:rPr>
        <w:t>מִתּוֹךְ בְּנֵי יִשְׂרָאֵל</w:t>
      </w:r>
      <w:r w:rsidRPr="00651A08">
        <w:rPr>
          <w:rFonts w:eastAsia="Times New Roman" w:cs="Times New Roman"/>
          <w:rtl/>
          <w:lang w:eastAsia="de-DE"/>
        </w:rPr>
        <w:t xml:space="preserve"> </w:t>
      </w:r>
      <w:r w:rsidRPr="00651A08">
        <w:rPr>
          <w:rFonts w:eastAsia="Times New Roman" w:cs="Times New Roman"/>
          <w:lang w:eastAsia="de-DE"/>
        </w:rPr>
        <w:t xml:space="preserve">(aus der Mitte der Söhne Israels) mit </w:t>
      </w:r>
      <w:r w:rsidRPr="00651A08">
        <w:rPr>
          <w:rFonts w:eastAsia="Times New Roman" w:cs="Times New Roman"/>
          <w:b/>
          <w:bCs/>
          <w:rtl/>
          <w:lang w:eastAsia="de-DE"/>
        </w:rPr>
        <w:t>מִתּוֹךְ</w:t>
      </w:r>
      <w:r w:rsidRPr="00651A08">
        <w:rPr>
          <w:rFonts w:eastAsia="Times New Roman" w:cs="Times New Roman"/>
          <w:rtl/>
          <w:lang w:eastAsia="de-DE"/>
        </w:rPr>
        <w:t xml:space="preserve"> </w:t>
      </w:r>
      <w:r w:rsidRPr="00651A08">
        <w:rPr>
          <w:rFonts w:eastAsia="Times New Roman" w:cs="Times New Roman"/>
          <w:lang w:eastAsia="de-DE"/>
        </w:rPr>
        <w:t>(aus der Mitte) betont die Aussonderung der Leviten aus der Gesamtheit des Volkes Israel.</w:t>
      </w:r>
    </w:p>
    <w:p w14:paraId="0FAAA6FD"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Das koordinierte Verb </w:t>
      </w:r>
      <w:r w:rsidRPr="00651A08">
        <w:rPr>
          <w:rFonts w:eastAsia="Times New Roman" w:cs="Times New Roman"/>
          <w:b/>
          <w:bCs/>
          <w:rtl/>
          <w:lang w:eastAsia="de-DE"/>
        </w:rPr>
        <w:t>וְטִהַרְתָּ אֹתָם</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טִהַרְתָּ</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טהר</w:t>
      </w:r>
      <w:r w:rsidRPr="00651A08">
        <w:rPr>
          <w:rFonts w:eastAsia="Times New Roman" w:cs="Times New Roman"/>
          <w:rtl/>
          <w:lang w:eastAsia="de-DE"/>
        </w:rPr>
        <w:t xml:space="preserve"> </w:t>
      </w:r>
      <w:r w:rsidRPr="00651A08">
        <w:rPr>
          <w:rFonts w:eastAsia="Times New Roman" w:cs="Times New Roman"/>
          <w:lang w:eastAsia="de-DE"/>
        </w:rPr>
        <w:t xml:space="preserve">(reinigen) im Pi'el-Perfekt 2. maskulin Singular und </w:t>
      </w:r>
      <w:r w:rsidRPr="00651A08">
        <w:rPr>
          <w:rFonts w:eastAsia="Times New Roman" w:cs="Times New Roman"/>
          <w:b/>
          <w:bCs/>
          <w:rtl/>
          <w:lang w:eastAsia="de-DE"/>
        </w:rPr>
        <w:t>אֹתָם</w:t>
      </w:r>
      <w:r w:rsidRPr="00651A08">
        <w:rPr>
          <w:rFonts w:eastAsia="Times New Roman" w:cs="Times New Roman"/>
          <w:rtl/>
          <w:lang w:eastAsia="de-DE"/>
        </w:rPr>
        <w:t xml:space="preserve"> </w:t>
      </w:r>
      <w:r w:rsidRPr="00651A08">
        <w:rPr>
          <w:rFonts w:eastAsia="Times New Roman" w:cs="Times New Roman"/>
          <w:lang w:eastAsia="de-DE"/>
        </w:rPr>
        <w:t>(sie) zeigt den zweiten Schritt: die rituelle Reinigung der ausgesonderten Leviten.</w:t>
      </w:r>
    </w:p>
    <w:p w14:paraId="0FE80279" w14:textId="77777777" w:rsidR="00337D37" w:rsidRDefault="00337D37" w:rsidP="00651A08">
      <w:pPr>
        <w:spacing w:before="100" w:beforeAutospacing="1" w:after="100" w:afterAutospacing="1" w:line="240" w:lineRule="auto"/>
      </w:pPr>
      <w:r>
        <w:rPr>
          <w:rStyle w:val="Fett"/>
        </w:rPr>
        <w:t>Die LXX</w:t>
      </w:r>
      <w:r>
        <w:t xml:space="preserve"> übersetzt </w:t>
      </w:r>
      <w:r>
        <w:rPr>
          <w:rtl/>
        </w:rPr>
        <w:t>וטהרת אתם</w:t>
      </w:r>
      <w:r>
        <w:t xml:space="preserve"> (vetiharta otam - "und du sollst sie reinigen") als καὶ ἀφαγνιεῖς αὐτούς (und du wirst sie heiligen/reinigen), wobei ἁγνίζω ein stärkerer Begriff für rituelle Reinigung ist.</w:t>
      </w:r>
    </w:p>
    <w:p w14:paraId="24EF3446" w14:textId="00F34699"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 Satzstruktur zeigt eine doppelte Imperativkonstruktion: Aussonderung aus dem Volk und anschließende Reinigung als Voraussetzung für den besonderen Dienst.</w:t>
      </w:r>
    </w:p>
    <w:p w14:paraId="07B53115"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Dieser Vers etabliert die beiden Grundschritte der levitischen Weihe: Separation und Purifikation.</w:t>
      </w:r>
    </w:p>
    <w:p w14:paraId="4D28A953" w14:textId="77777777" w:rsidR="00651A08" w:rsidRPr="00651A08" w:rsidRDefault="00651A08" w:rsidP="00651A08">
      <w:pPr>
        <w:spacing w:before="100" w:beforeAutospacing="1" w:after="100" w:afterAutospacing="1" w:line="240" w:lineRule="auto"/>
        <w:outlineLvl w:val="0"/>
        <w:rPr>
          <w:rFonts w:eastAsia="Times New Roman" w:cs="Times New Roman"/>
          <w:b/>
          <w:bCs/>
          <w:kern w:val="36"/>
          <w:sz w:val="48"/>
          <w:szCs w:val="48"/>
          <w:lang w:eastAsia="de-DE"/>
        </w:rPr>
      </w:pPr>
      <w:r w:rsidRPr="00651A08">
        <w:rPr>
          <w:rFonts w:eastAsia="Times New Roman" w:cs="Times New Roman"/>
          <w:b/>
          <w:bCs/>
          <w:kern w:val="36"/>
          <w:sz w:val="48"/>
          <w:szCs w:val="48"/>
          <w:lang w:eastAsia="de-DE"/>
        </w:rPr>
        <w:t>Numeri 8,7</w:t>
      </w:r>
    </w:p>
    <w:p w14:paraId="2BF4C5EC"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lastRenderedPageBreak/>
        <w:t>Hebräisch:</w:t>
      </w:r>
      <w:r w:rsidRPr="00651A08">
        <w:rPr>
          <w:rFonts w:eastAsia="Times New Roman" w:cs="Times New Roman"/>
          <w:lang w:eastAsia="de-DE"/>
        </w:rPr>
        <w:t xml:space="preserve"> </w:t>
      </w:r>
      <w:r w:rsidRPr="00651A08">
        <w:rPr>
          <w:rFonts w:eastAsia="Times New Roman" w:cs="Times New Roman"/>
          <w:rtl/>
          <w:lang w:eastAsia="de-DE"/>
        </w:rPr>
        <w:t>וְכֹֽה־תַעֲשֶׂ֤ה לָהֶם֙ לְטַֽהֲרָ֔ם הַזֵּ֥ה עֲלֵיהֶ֖ם מֵ֣י חַטָּ֑את וְהֶעֱבִ֤ירוּ תַ֨עַר֙ עַל־כָּל־בְּשָׂרָ֔ם וְכִבְּס֥וּ בִגְדֵיהֶ֖ם וְהִטֶּהָֽרוּ׃</w:t>
      </w:r>
    </w:p>
    <w:p w14:paraId="6859B05F"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Deutsch:</w:t>
      </w:r>
      <w:r w:rsidRPr="00651A08">
        <w:rPr>
          <w:rFonts w:eastAsia="Times New Roman" w:cs="Times New Roman"/>
          <w:lang w:eastAsia="de-DE"/>
        </w:rPr>
        <w:t xml:space="preserve"> Und so sollst du mit ihnen tun, um sie zu reinigen: Sprenge Entsündigungswasser auf sie, und sie sollen ein Schermesser über ihren ganzen Leib gehen lassen und ihre Kleider waschen und sich reinigen.</w:t>
      </w:r>
    </w:p>
    <w:p w14:paraId="53D00AD8" w14:textId="77777777" w:rsidR="00651A08" w:rsidRPr="00651A08" w:rsidRDefault="00F329DD" w:rsidP="00651A08">
      <w:pPr>
        <w:spacing w:after="0" w:line="240" w:lineRule="auto"/>
        <w:rPr>
          <w:rFonts w:eastAsia="Times New Roman" w:cs="Times New Roman"/>
          <w:lang w:eastAsia="de-DE"/>
        </w:rPr>
      </w:pPr>
      <w:r>
        <w:rPr>
          <w:rFonts w:eastAsia="Times New Roman" w:cs="Times New Roman"/>
          <w:noProof/>
          <w:lang w:eastAsia="de-DE"/>
        </w:rPr>
        <w:pict w14:anchorId="56DB1EF2">
          <v:rect id="_x0000_i1301" style="width:0;height:1.5pt" o:hralign="center" o:hrstd="t" o:hr="t" fillcolor="#a0a0a0" stroked="f"/>
        </w:pict>
      </w:r>
    </w:p>
    <w:p w14:paraId="6F3CF49B" w14:textId="462CAEEE"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Kommentar:</w:t>
      </w:r>
      <w:r w:rsidRPr="00651A08">
        <w:rPr>
          <w:rFonts w:eastAsia="Times New Roman" w:cs="Times New Roman"/>
          <w:lang w:eastAsia="de-DE"/>
        </w:rPr>
        <w:t xml:space="preserve"> Die einleitende Formel </w:t>
      </w:r>
      <w:r w:rsidRPr="00651A08">
        <w:rPr>
          <w:rFonts w:eastAsia="Times New Roman" w:cs="Times New Roman"/>
          <w:b/>
          <w:bCs/>
          <w:rtl/>
          <w:lang w:eastAsia="de-DE"/>
        </w:rPr>
        <w:t>וְכֹה־תַעֲשֶׂה לָהֶם לְטַהֲרָם</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כֹה</w:t>
      </w:r>
      <w:r w:rsidRPr="00651A08">
        <w:rPr>
          <w:rFonts w:eastAsia="Times New Roman" w:cs="Times New Roman"/>
          <w:rtl/>
          <w:lang w:eastAsia="de-DE"/>
        </w:rPr>
        <w:t xml:space="preserve"> </w:t>
      </w:r>
      <w:r w:rsidRPr="00651A08">
        <w:rPr>
          <w:rFonts w:eastAsia="Times New Roman" w:cs="Times New Roman"/>
          <w:lang w:eastAsia="de-DE"/>
        </w:rPr>
        <w:t xml:space="preserve">(so), </w:t>
      </w:r>
      <w:r w:rsidRPr="00651A08">
        <w:rPr>
          <w:rFonts w:eastAsia="Times New Roman" w:cs="Times New Roman"/>
          <w:b/>
          <w:bCs/>
          <w:rtl/>
          <w:lang w:eastAsia="de-DE"/>
        </w:rPr>
        <w:t>תַעֲשֶׂה</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עשה</w:t>
      </w:r>
      <w:r w:rsidRPr="00651A08">
        <w:rPr>
          <w:rFonts w:eastAsia="Times New Roman" w:cs="Times New Roman"/>
          <w:rtl/>
          <w:lang w:eastAsia="de-DE"/>
        </w:rPr>
        <w:t xml:space="preserve"> </w:t>
      </w:r>
      <w:r w:rsidRPr="00651A08">
        <w:rPr>
          <w:rFonts w:eastAsia="Times New Roman" w:cs="Times New Roman"/>
          <w:lang w:eastAsia="de-DE"/>
        </w:rPr>
        <w:t xml:space="preserve">(tun) im Qal-Imperfekt 2. maskulin Singular, </w:t>
      </w:r>
      <w:r w:rsidRPr="00651A08">
        <w:rPr>
          <w:rFonts w:eastAsia="Times New Roman" w:cs="Times New Roman"/>
          <w:b/>
          <w:bCs/>
          <w:rtl/>
          <w:lang w:eastAsia="de-DE"/>
        </w:rPr>
        <w:t>לָהֶם</w:t>
      </w:r>
      <w:r w:rsidRPr="00651A08">
        <w:rPr>
          <w:rFonts w:eastAsia="Times New Roman" w:cs="Times New Roman"/>
          <w:rtl/>
          <w:lang w:eastAsia="de-DE"/>
        </w:rPr>
        <w:t xml:space="preserve"> </w:t>
      </w:r>
      <w:r w:rsidRPr="00651A08">
        <w:rPr>
          <w:rFonts w:eastAsia="Times New Roman" w:cs="Times New Roman"/>
          <w:lang w:eastAsia="de-DE"/>
        </w:rPr>
        <w:t xml:space="preserve">(ihnen) und </w:t>
      </w:r>
      <w:r w:rsidRPr="00651A08">
        <w:rPr>
          <w:rFonts w:eastAsia="Times New Roman" w:cs="Times New Roman"/>
          <w:b/>
          <w:bCs/>
          <w:rtl/>
          <w:lang w:eastAsia="de-DE"/>
        </w:rPr>
        <w:t>לְטַהֲרָם</w:t>
      </w:r>
      <w:r w:rsidRPr="00651A08">
        <w:rPr>
          <w:rFonts w:eastAsia="Times New Roman" w:cs="Times New Roman"/>
          <w:rtl/>
          <w:lang w:eastAsia="de-DE"/>
        </w:rPr>
        <w:t xml:space="preserve"> </w:t>
      </w:r>
      <w:r w:rsidRPr="00651A08">
        <w:rPr>
          <w:rFonts w:eastAsia="Times New Roman" w:cs="Times New Roman"/>
          <w:lang w:eastAsia="de-DE"/>
        </w:rPr>
        <w:t>als Pi'el-Infinitiv-</w:t>
      </w:r>
      <w:r w:rsidR="00F133EC">
        <w:rPr>
          <w:rFonts w:eastAsia="Times New Roman" w:cs="Times New Roman"/>
          <w:lang w:eastAsia="de-DE"/>
        </w:rPr>
        <w:t>Construct</w:t>
      </w:r>
      <w:r w:rsidRPr="00651A08">
        <w:rPr>
          <w:rFonts w:eastAsia="Times New Roman" w:cs="Times New Roman"/>
          <w:lang w:eastAsia="de-DE"/>
        </w:rPr>
        <w:t xml:space="preserve"> von </w:t>
      </w:r>
      <w:r w:rsidRPr="00651A08">
        <w:rPr>
          <w:rFonts w:eastAsia="Times New Roman" w:cs="Times New Roman"/>
          <w:b/>
          <w:bCs/>
          <w:rtl/>
          <w:lang w:eastAsia="de-DE"/>
        </w:rPr>
        <w:t>טהר</w:t>
      </w:r>
      <w:r w:rsidRPr="00651A08">
        <w:rPr>
          <w:rFonts w:eastAsia="Times New Roman" w:cs="Times New Roman"/>
          <w:rtl/>
          <w:lang w:eastAsia="de-DE"/>
        </w:rPr>
        <w:t xml:space="preserve"> </w:t>
      </w:r>
      <w:r w:rsidRPr="00651A08">
        <w:rPr>
          <w:rFonts w:eastAsia="Times New Roman" w:cs="Times New Roman"/>
          <w:lang w:eastAsia="de-DE"/>
        </w:rPr>
        <w:t>(reinigen) mit Objektsuffix 3. maskulin Plural leitet die detaillierten Reinigungsanweisungen ein.</w:t>
      </w:r>
    </w:p>
    <w:p w14:paraId="1080CCFB" w14:textId="15CF99AD"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erste Anweisung </w:t>
      </w:r>
      <w:r w:rsidRPr="00651A08">
        <w:rPr>
          <w:rFonts w:eastAsia="Times New Roman" w:cs="Times New Roman"/>
          <w:b/>
          <w:bCs/>
          <w:rtl/>
          <w:lang w:eastAsia="de-DE"/>
        </w:rPr>
        <w:t>הַזֵּה עֲלֵיהֶם מֵי חַטָּאת</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הַזֵּה</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נזה</w:t>
      </w:r>
      <w:r w:rsidRPr="00651A08">
        <w:rPr>
          <w:rFonts w:eastAsia="Times New Roman" w:cs="Times New Roman"/>
          <w:rtl/>
          <w:lang w:eastAsia="de-DE"/>
        </w:rPr>
        <w:t xml:space="preserve"> </w:t>
      </w:r>
      <w:r w:rsidRPr="00651A08">
        <w:rPr>
          <w:rFonts w:eastAsia="Times New Roman" w:cs="Times New Roman"/>
          <w:lang w:eastAsia="de-DE"/>
        </w:rPr>
        <w:t xml:space="preserve">(sprengen) im Hiph'il-Imperativ maskulin Singular, </w:t>
      </w:r>
      <w:r w:rsidRPr="00651A08">
        <w:rPr>
          <w:rFonts w:eastAsia="Times New Roman" w:cs="Times New Roman"/>
          <w:b/>
          <w:bCs/>
          <w:rtl/>
          <w:lang w:eastAsia="de-DE"/>
        </w:rPr>
        <w:t>עֲלֵיהֶם</w:t>
      </w:r>
      <w:r w:rsidRPr="00651A08">
        <w:rPr>
          <w:rFonts w:eastAsia="Times New Roman" w:cs="Times New Roman"/>
          <w:rtl/>
          <w:lang w:eastAsia="de-DE"/>
        </w:rPr>
        <w:t xml:space="preserve"> </w:t>
      </w:r>
      <w:r w:rsidRPr="00651A08">
        <w:rPr>
          <w:rFonts w:eastAsia="Times New Roman" w:cs="Times New Roman"/>
          <w:lang w:eastAsia="de-DE"/>
        </w:rPr>
        <w:t xml:space="preserve">(auf sie) und </w:t>
      </w:r>
      <w:r w:rsidRPr="00651A08">
        <w:rPr>
          <w:rFonts w:eastAsia="Times New Roman" w:cs="Times New Roman"/>
          <w:b/>
          <w:bCs/>
          <w:rtl/>
          <w:lang w:eastAsia="de-DE"/>
        </w:rPr>
        <w:t>מֵי חַטָּאת</w:t>
      </w:r>
      <w:r w:rsidRPr="00651A08">
        <w:rPr>
          <w:rFonts w:eastAsia="Times New Roman" w:cs="Times New Roman"/>
          <w:rtl/>
          <w:lang w:eastAsia="de-DE"/>
        </w:rPr>
        <w:t xml:space="preserve"> </w:t>
      </w:r>
      <w:r w:rsidRPr="00651A08">
        <w:rPr>
          <w:rFonts w:eastAsia="Times New Roman" w:cs="Times New Roman"/>
          <w:lang w:eastAsia="de-DE"/>
        </w:rPr>
        <w:t xml:space="preserve">(Wasser der Entsündigung) im </w:t>
      </w:r>
      <w:r w:rsidR="00F133EC">
        <w:rPr>
          <w:rFonts w:eastAsia="Times New Roman" w:cs="Times New Roman"/>
          <w:lang w:eastAsia="de-DE"/>
        </w:rPr>
        <w:t>Construct</w:t>
      </w:r>
      <w:r w:rsidRPr="00651A08">
        <w:rPr>
          <w:rFonts w:eastAsia="Times New Roman" w:cs="Times New Roman"/>
          <w:lang w:eastAsia="de-DE"/>
        </w:rPr>
        <w:t xml:space="preserve"> zeigt die rituelle Besprengung mit besonderem Reinigungswasser.</w:t>
      </w:r>
    </w:p>
    <w:p w14:paraId="3844779A"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zweite Anweisung </w:t>
      </w:r>
      <w:r w:rsidRPr="00651A08">
        <w:rPr>
          <w:rFonts w:eastAsia="Times New Roman" w:cs="Times New Roman"/>
          <w:b/>
          <w:bCs/>
          <w:rtl/>
          <w:lang w:eastAsia="de-DE"/>
        </w:rPr>
        <w:t>וְהֶעֱבִירוּ תַעַר עַל־כָּל־בְּשָׂרָם</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הֶעֱבִירוּ</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עבר</w:t>
      </w:r>
      <w:r w:rsidRPr="00651A08">
        <w:rPr>
          <w:rFonts w:eastAsia="Times New Roman" w:cs="Times New Roman"/>
          <w:rtl/>
          <w:lang w:eastAsia="de-DE"/>
        </w:rPr>
        <w:t xml:space="preserve"> </w:t>
      </w:r>
      <w:r w:rsidRPr="00651A08">
        <w:rPr>
          <w:rFonts w:eastAsia="Times New Roman" w:cs="Times New Roman"/>
          <w:lang w:eastAsia="de-DE"/>
        </w:rPr>
        <w:t xml:space="preserve">(vorübergehen lassen) im Hiph'il-Perfekt 3. maskulin Plural, </w:t>
      </w:r>
      <w:r w:rsidRPr="00651A08">
        <w:rPr>
          <w:rFonts w:eastAsia="Times New Roman" w:cs="Times New Roman"/>
          <w:b/>
          <w:bCs/>
          <w:rtl/>
          <w:lang w:eastAsia="de-DE"/>
        </w:rPr>
        <w:t>תַעַר</w:t>
      </w:r>
      <w:r w:rsidRPr="00651A08">
        <w:rPr>
          <w:rFonts w:eastAsia="Times New Roman" w:cs="Times New Roman"/>
          <w:rtl/>
          <w:lang w:eastAsia="de-DE"/>
        </w:rPr>
        <w:t xml:space="preserve"> </w:t>
      </w:r>
      <w:r w:rsidRPr="00651A08">
        <w:rPr>
          <w:rFonts w:eastAsia="Times New Roman" w:cs="Times New Roman"/>
          <w:lang w:eastAsia="de-DE"/>
        </w:rPr>
        <w:t xml:space="preserve">(Schermesser) und </w:t>
      </w:r>
      <w:r w:rsidRPr="00651A08">
        <w:rPr>
          <w:rFonts w:eastAsia="Times New Roman" w:cs="Times New Roman"/>
          <w:b/>
          <w:bCs/>
          <w:rtl/>
          <w:lang w:eastAsia="de-DE"/>
        </w:rPr>
        <w:t>עַל־כָּל־בְּשָׂרָם</w:t>
      </w:r>
      <w:r w:rsidRPr="00651A08">
        <w:rPr>
          <w:rFonts w:eastAsia="Times New Roman" w:cs="Times New Roman"/>
          <w:rtl/>
          <w:lang w:eastAsia="de-DE"/>
        </w:rPr>
        <w:t xml:space="preserve"> </w:t>
      </w:r>
      <w:r w:rsidRPr="00651A08">
        <w:rPr>
          <w:rFonts w:eastAsia="Times New Roman" w:cs="Times New Roman"/>
          <w:lang w:eastAsia="de-DE"/>
        </w:rPr>
        <w:t>(über ihren ganzen Leib) zeigt die vollständige Körperrasur.</w:t>
      </w:r>
    </w:p>
    <w:p w14:paraId="35AD0E30"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koordinierten abschließenden Anweisungen </w:t>
      </w:r>
      <w:r w:rsidRPr="00651A08">
        <w:rPr>
          <w:rFonts w:eastAsia="Times New Roman" w:cs="Times New Roman"/>
          <w:b/>
          <w:bCs/>
          <w:rtl/>
          <w:lang w:eastAsia="de-DE"/>
        </w:rPr>
        <w:t>וְכִבְּסוּ בִגְדֵיהֶם וְהִטֶּהָרוּ</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כִבְּסוּ</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כבס</w:t>
      </w:r>
      <w:r w:rsidRPr="00651A08">
        <w:rPr>
          <w:rFonts w:eastAsia="Times New Roman" w:cs="Times New Roman"/>
          <w:rtl/>
          <w:lang w:eastAsia="de-DE"/>
        </w:rPr>
        <w:t xml:space="preserve"> </w:t>
      </w:r>
      <w:r w:rsidRPr="00651A08">
        <w:rPr>
          <w:rFonts w:eastAsia="Times New Roman" w:cs="Times New Roman"/>
          <w:lang w:eastAsia="de-DE"/>
        </w:rPr>
        <w:t xml:space="preserve">(waschen) im Pi'el-Perfekt 3. maskulin Plural, </w:t>
      </w:r>
      <w:r w:rsidRPr="00651A08">
        <w:rPr>
          <w:rFonts w:eastAsia="Times New Roman" w:cs="Times New Roman"/>
          <w:b/>
          <w:bCs/>
          <w:rtl/>
          <w:lang w:eastAsia="de-DE"/>
        </w:rPr>
        <w:t>בִגְדֵיהֶם</w:t>
      </w:r>
      <w:r w:rsidRPr="00651A08">
        <w:rPr>
          <w:rFonts w:eastAsia="Times New Roman" w:cs="Times New Roman"/>
          <w:rtl/>
          <w:lang w:eastAsia="de-DE"/>
        </w:rPr>
        <w:t xml:space="preserve"> </w:t>
      </w:r>
      <w:r w:rsidRPr="00651A08">
        <w:rPr>
          <w:rFonts w:eastAsia="Times New Roman" w:cs="Times New Roman"/>
          <w:lang w:eastAsia="de-DE"/>
        </w:rPr>
        <w:t xml:space="preserve">(ihre Kleider) und </w:t>
      </w:r>
      <w:r w:rsidRPr="00651A08">
        <w:rPr>
          <w:rFonts w:eastAsia="Times New Roman" w:cs="Times New Roman"/>
          <w:b/>
          <w:bCs/>
          <w:rtl/>
          <w:lang w:eastAsia="de-DE"/>
        </w:rPr>
        <w:t>הִטֶּהָרוּ</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טהר</w:t>
      </w:r>
      <w:r w:rsidRPr="00651A08">
        <w:rPr>
          <w:rFonts w:eastAsia="Times New Roman" w:cs="Times New Roman"/>
          <w:rtl/>
          <w:lang w:eastAsia="de-DE"/>
        </w:rPr>
        <w:t xml:space="preserve"> </w:t>
      </w:r>
      <w:r w:rsidRPr="00651A08">
        <w:rPr>
          <w:rFonts w:eastAsia="Times New Roman" w:cs="Times New Roman"/>
          <w:lang w:eastAsia="de-DE"/>
        </w:rPr>
        <w:t>(sich reinigen) im Hithpa'el-Perfekt 3. maskulin Plural zeigen Kleiderwäsche und abschließende Selbstreinigung.</w:t>
      </w:r>
    </w:p>
    <w:p w14:paraId="16C431E6" w14:textId="77777777" w:rsidR="00337D37" w:rsidRDefault="00337D37" w:rsidP="00651A08">
      <w:pPr>
        <w:spacing w:before="100" w:beforeAutospacing="1" w:after="100" w:afterAutospacing="1" w:line="240" w:lineRule="auto"/>
      </w:pPr>
      <w:r>
        <w:rPr>
          <w:rStyle w:val="Fett"/>
        </w:rPr>
        <w:t>Die LXX</w:t>
      </w:r>
      <w:r>
        <w:t xml:space="preserve"> übersetzt </w:t>
      </w:r>
      <w:r>
        <w:rPr>
          <w:rtl/>
        </w:rPr>
        <w:t>מי חטאת</w:t>
      </w:r>
      <w:r>
        <w:t xml:space="preserve"> (mei chattat - "Entsündigungswasser") als ὕδωρ ἁγνισμοῦ (Reinigungswasser). </w:t>
      </w:r>
      <w:r>
        <w:rPr>
          <w:rtl/>
        </w:rPr>
        <w:t>והעבירו תער על־כל־בשרם</w:t>
      </w:r>
      <w:r>
        <w:t xml:space="preserve"> (veha'eviru ta'ar al-kol-besaram - "und sie sollen ein Schermesser über ihr ganzes Fleisch gehen lassen") wird als καὶ ἐπελεύσεται ξυρὸν ἐπὶ πᾶν τὸ σῶμα αὐτῶν (und ein Rasiermesser wird über ihren ganzen Körper gehen) übersetzt.</w:t>
      </w:r>
    </w:p>
    <w:p w14:paraId="41382081" w14:textId="214CB4E3"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 Satzstruktur zeigt eine systematische vierfache Reinigungssequenz: Besprengung, Rasur, Kleiderwäsche und Selbstreinigung.</w:t>
      </w:r>
    </w:p>
    <w:p w14:paraId="2143D78C"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Dieser Vers detailliert das umfassende Reinigungsritual für die levitische Weihe mit vier spezifischen Reinigungshandlungen.</w:t>
      </w:r>
    </w:p>
    <w:p w14:paraId="42B0D1CD" w14:textId="77777777" w:rsidR="00651A08" w:rsidRPr="00651A08" w:rsidRDefault="00651A08" w:rsidP="00651A08">
      <w:pPr>
        <w:spacing w:before="100" w:beforeAutospacing="1" w:after="100" w:afterAutospacing="1" w:line="240" w:lineRule="auto"/>
        <w:outlineLvl w:val="0"/>
        <w:rPr>
          <w:rFonts w:eastAsia="Times New Roman" w:cs="Times New Roman"/>
          <w:b/>
          <w:bCs/>
          <w:kern w:val="36"/>
          <w:sz w:val="48"/>
          <w:szCs w:val="48"/>
          <w:lang w:eastAsia="de-DE"/>
        </w:rPr>
      </w:pPr>
      <w:r w:rsidRPr="00651A08">
        <w:rPr>
          <w:rFonts w:eastAsia="Times New Roman" w:cs="Times New Roman"/>
          <w:b/>
          <w:bCs/>
          <w:kern w:val="36"/>
          <w:sz w:val="48"/>
          <w:szCs w:val="48"/>
          <w:lang w:eastAsia="de-DE"/>
        </w:rPr>
        <w:t>Numeri 8,8</w:t>
      </w:r>
    </w:p>
    <w:p w14:paraId="146D8B4E"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Hebräisch:</w:t>
      </w:r>
      <w:r w:rsidRPr="00651A08">
        <w:rPr>
          <w:rFonts w:eastAsia="Times New Roman" w:cs="Times New Roman"/>
          <w:lang w:eastAsia="de-DE"/>
        </w:rPr>
        <w:t xml:space="preserve"> </w:t>
      </w:r>
      <w:r w:rsidRPr="00651A08">
        <w:rPr>
          <w:rFonts w:eastAsia="Times New Roman" w:cs="Times New Roman"/>
          <w:rtl/>
          <w:lang w:eastAsia="de-DE"/>
        </w:rPr>
        <w:t>וְלָֽקְחוּ֙ פַּ֣ר בֶּן־בָּקָ֔ר וּמִנְחָתוֹ֔ סֹ֖לֶת בְּלוּלָ֣ה בַשָּׁ֑מֶן וּפַר־שֵׁנִ֥י בֶן־בָּקָ֖ר תִּקַּ֥ח לְחַטָּֽאת׃</w:t>
      </w:r>
    </w:p>
    <w:p w14:paraId="4985DD0B"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Deutsch:</w:t>
      </w:r>
      <w:r w:rsidRPr="00651A08">
        <w:rPr>
          <w:rFonts w:eastAsia="Times New Roman" w:cs="Times New Roman"/>
          <w:lang w:eastAsia="de-DE"/>
        </w:rPr>
        <w:t xml:space="preserve"> Und sie sollen einen jungen Stier nehmen und sein Speisopfer: Feinmehl, gemengt mit Öl; und einen zweiten jungen Stier sollst du zum Sündopfer nehmen.</w:t>
      </w:r>
    </w:p>
    <w:p w14:paraId="2F7DC132" w14:textId="77777777" w:rsidR="00651A08" w:rsidRPr="00651A08" w:rsidRDefault="00F329DD" w:rsidP="00651A08">
      <w:pPr>
        <w:spacing w:after="0" w:line="240" w:lineRule="auto"/>
        <w:rPr>
          <w:rFonts w:eastAsia="Times New Roman" w:cs="Times New Roman"/>
          <w:lang w:eastAsia="de-DE"/>
        </w:rPr>
      </w:pPr>
      <w:r>
        <w:rPr>
          <w:rFonts w:eastAsia="Times New Roman" w:cs="Times New Roman"/>
          <w:noProof/>
          <w:lang w:eastAsia="de-DE"/>
        </w:rPr>
        <w:pict w14:anchorId="2F3F0780">
          <v:rect id="_x0000_i1302" style="width:0;height:1.5pt" o:hralign="center" o:hrstd="t" o:hr="t" fillcolor="#a0a0a0" stroked="f"/>
        </w:pict>
      </w:r>
    </w:p>
    <w:p w14:paraId="0669589C" w14:textId="3EB5E43F"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Kommentar:</w:t>
      </w:r>
      <w:r w:rsidRPr="00651A08">
        <w:rPr>
          <w:rFonts w:eastAsia="Times New Roman" w:cs="Times New Roman"/>
          <w:lang w:eastAsia="de-DE"/>
        </w:rPr>
        <w:t xml:space="preserve"> Das Verb </w:t>
      </w:r>
      <w:r w:rsidRPr="00651A08">
        <w:rPr>
          <w:rFonts w:eastAsia="Times New Roman" w:cs="Times New Roman"/>
          <w:b/>
          <w:bCs/>
          <w:rtl/>
          <w:lang w:eastAsia="de-DE"/>
        </w:rPr>
        <w:t>וְלָקְחוּ</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לקח</w:t>
      </w:r>
      <w:r w:rsidRPr="00651A08">
        <w:rPr>
          <w:rFonts w:eastAsia="Times New Roman" w:cs="Times New Roman"/>
          <w:rtl/>
          <w:lang w:eastAsia="de-DE"/>
        </w:rPr>
        <w:t xml:space="preserve"> </w:t>
      </w:r>
      <w:r w:rsidRPr="00651A08">
        <w:rPr>
          <w:rFonts w:eastAsia="Times New Roman" w:cs="Times New Roman"/>
          <w:lang w:eastAsia="de-DE"/>
        </w:rPr>
        <w:t xml:space="preserve">(nehmen) im Qal-Perfekt 3. maskulin Plural zeigt die levitische Verpflichtung zur Opferbeschaffung. Das erste Opfertier </w:t>
      </w:r>
      <w:r w:rsidRPr="00651A08">
        <w:rPr>
          <w:rFonts w:eastAsia="Times New Roman" w:cs="Times New Roman"/>
          <w:b/>
          <w:bCs/>
          <w:rtl/>
          <w:lang w:eastAsia="de-DE"/>
        </w:rPr>
        <w:t>פַּר בֶּן־בָּקָר</w:t>
      </w:r>
      <w:r w:rsidRPr="00651A08">
        <w:rPr>
          <w:rFonts w:eastAsia="Times New Roman" w:cs="Times New Roman"/>
          <w:rtl/>
          <w:lang w:eastAsia="de-DE"/>
        </w:rPr>
        <w:t xml:space="preserve"> </w:t>
      </w:r>
      <w:r w:rsidRPr="00651A08">
        <w:rPr>
          <w:rFonts w:eastAsia="Times New Roman" w:cs="Times New Roman"/>
          <w:lang w:eastAsia="de-DE"/>
        </w:rPr>
        <w:t xml:space="preserve">(junger Stier) mit </w:t>
      </w:r>
      <w:r w:rsidRPr="00651A08">
        <w:rPr>
          <w:rFonts w:eastAsia="Times New Roman" w:cs="Times New Roman"/>
          <w:b/>
          <w:bCs/>
          <w:rtl/>
          <w:lang w:eastAsia="de-DE"/>
        </w:rPr>
        <w:t>פַּר</w:t>
      </w:r>
      <w:r w:rsidRPr="00651A08">
        <w:rPr>
          <w:rFonts w:eastAsia="Times New Roman" w:cs="Times New Roman"/>
          <w:rtl/>
          <w:lang w:eastAsia="de-DE"/>
        </w:rPr>
        <w:t xml:space="preserve"> </w:t>
      </w:r>
      <w:r w:rsidRPr="00651A08">
        <w:rPr>
          <w:rFonts w:eastAsia="Times New Roman" w:cs="Times New Roman"/>
          <w:lang w:eastAsia="de-DE"/>
        </w:rPr>
        <w:t xml:space="preserve">(Stier) und </w:t>
      </w:r>
      <w:r w:rsidRPr="00651A08">
        <w:rPr>
          <w:rFonts w:eastAsia="Times New Roman" w:cs="Times New Roman"/>
          <w:b/>
          <w:bCs/>
          <w:rtl/>
          <w:lang w:eastAsia="de-DE"/>
        </w:rPr>
        <w:t>בֶּן־בָּקָר</w:t>
      </w:r>
      <w:r w:rsidRPr="00651A08">
        <w:rPr>
          <w:rFonts w:eastAsia="Times New Roman" w:cs="Times New Roman"/>
          <w:rtl/>
          <w:lang w:eastAsia="de-DE"/>
        </w:rPr>
        <w:t xml:space="preserve"> </w:t>
      </w:r>
      <w:r w:rsidRPr="00651A08">
        <w:rPr>
          <w:rFonts w:eastAsia="Times New Roman" w:cs="Times New Roman"/>
          <w:lang w:eastAsia="de-DE"/>
        </w:rPr>
        <w:t xml:space="preserve">(Sohn des Rindes) im </w:t>
      </w:r>
      <w:r w:rsidR="00F133EC">
        <w:rPr>
          <w:rFonts w:eastAsia="Times New Roman" w:cs="Times New Roman"/>
          <w:lang w:eastAsia="de-DE"/>
        </w:rPr>
        <w:t>Construct</w:t>
      </w:r>
      <w:r w:rsidRPr="00651A08">
        <w:rPr>
          <w:rFonts w:eastAsia="Times New Roman" w:cs="Times New Roman"/>
          <w:lang w:eastAsia="de-DE"/>
        </w:rPr>
        <w:t xml:space="preserve"> zeigt das Hauptopfertier.</w:t>
      </w:r>
    </w:p>
    <w:p w14:paraId="12790A0D"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lastRenderedPageBreak/>
        <w:t xml:space="preserve">Die Spezifikation </w:t>
      </w:r>
      <w:r w:rsidRPr="00651A08">
        <w:rPr>
          <w:rFonts w:eastAsia="Times New Roman" w:cs="Times New Roman"/>
          <w:b/>
          <w:bCs/>
          <w:rtl/>
          <w:lang w:eastAsia="de-DE"/>
        </w:rPr>
        <w:t>וּמִנְחָתוֹ סֹלֶת בְּלוּלָה בַשָּׁמֶן</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מִנְחָתוֹ</w:t>
      </w:r>
      <w:r w:rsidRPr="00651A08">
        <w:rPr>
          <w:rFonts w:eastAsia="Times New Roman" w:cs="Times New Roman"/>
          <w:rtl/>
          <w:lang w:eastAsia="de-DE"/>
        </w:rPr>
        <w:t xml:space="preserve"> </w:t>
      </w:r>
      <w:r w:rsidRPr="00651A08">
        <w:rPr>
          <w:rFonts w:eastAsia="Times New Roman" w:cs="Times New Roman"/>
          <w:lang w:eastAsia="de-DE"/>
        </w:rPr>
        <w:t xml:space="preserve">(sein Speisopfer) mit Possessivsuffix 3. maskulin Singular, </w:t>
      </w:r>
      <w:r w:rsidRPr="00651A08">
        <w:rPr>
          <w:rFonts w:eastAsia="Times New Roman" w:cs="Times New Roman"/>
          <w:b/>
          <w:bCs/>
          <w:rtl/>
          <w:lang w:eastAsia="de-DE"/>
        </w:rPr>
        <w:t>סֹלֶת</w:t>
      </w:r>
      <w:r w:rsidRPr="00651A08">
        <w:rPr>
          <w:rFonts w:eastAsia="Times New Roman" w:cs="Times New Roman"/>
          <w:rtl/>
          <w:lang w:eastAsia="de-DE"/>
        </w:rPr>
        <w:t xml:space="preserve"> </w:t>
      </w:r>
      <w:r w:rsidRPr="00651A08">
        <w:rPr>
          <w:rFonts w:eastAsia="Times New Roman" w:cs="Times New Roman"/>
          <w:lang w:eastAsia="de-DE"/>
        </w:rPr>
        <w:t xml:space="preserve">(Feinmehl), </w:t>
      </w:r>
      <w:r w:rsidRPr="00651A08">
        <w:rPr>
          <w:rFonts w:eastAsia="Times New Roman" w:cs="Times New Roman"/>
          <w:b/>
          <w:bCs/>
          <w:rtl/>
          <w:lang w:eastAsia="de-DE"/>
        </w:rPr>
        <w:t>בְּלוּלָה</w:t>
      </w:r>
      <w:r w:rsidRPr="00651A08">
        <w:rPr>
          <w:rFonts w:eastAsia="Times New Roman" w:cs="Times New Roman"/>
          <w:rtl/>
          <w:lang w:eastAsia="de-DE"/>
        </w:rPr>
        <w:t xml:space="preserve"> </w:t>
      </w:r>
      <w:r w:rsidRPr="00651A08">
        <w:rPr>
          <w:rFonts w:eastAsia="Times New Roman" w:cs="Times New Roman"/>
          <w:lang w:eastAsia="de-DE"/>
        </w:rPr>
        <w:t xml:space="preserve">(gemengt) als Pu'al-Partizip feminin Singular von </w:t>
      </w:r>
      <w:r w:rsidRPr="00651A08">
        <w:rPr>
          <w:rFonts w:eastAsia="Times New Roman" w:cs="Times New Roman"/>
          <w:b/>
          <w:bCs/>
          <w:rtl/>
          <w:lang w:eastAsia="de-DE"/>
        </w:rPr>
        <w:t>בלל</w:t>
      </w:r>
      <w:r w:rsidRPr="00651A08">
        <w:rPr>
          <w:rFonts w:eastAsia="Times New Roman" w:cs="Times New Roman"/>
          <w:rtl/>
          <w:lang w:eastAsia="de-DE"/>
        </w:rPr>
        <w:t xml:space="preserve"> </w:t>
      </w:r>
      <w:r w:rsidRPr="00651A08">
        <w:rPr>
          <w:rFonts w:eastAsia="Times New Roman" w:cs="Times New Roman"/>
          <w:lang w:eastAsia="de-DE"/>
        </w:rPr>
        <w:t xml:space="preserve">(vermischen) und </w:t>
      </w:r>
      <w:r w:rsidRPr="00651A08">
        <w:rPr>
          <w:rFonts w:eastAsia="Times New Roman" w:cs="Times New Roman"/>
          <w:b/>
          <w:bCs/>
          <w:rtl/>
          <w:lang w:eastAsia="de-DE"/>
        </w:rPr>
        <w:t>בַשָּׁמֶן</w:t>
      </w:r>
      <w:r w:rsidRPr="00651A08">
        <w:rPr>
          <w:rFonts w:eastAsia="Times New Roman" w:cs="Times New Roman"/>
          <w:rtl/>
          <w:lang w:eastAsia="de-DE"/>
        </w:rPr>
        <w:t xml:space="preserve"> </w:t>
      </w:r>
      <w:r w:rsidRPr="00651A08">
        <w:rPr>
          <w:rFonts w:eastAsia="Times New Roman" w:cs="Times New Roman"/>
          <w:lang w:eastAsia="de-DE"/>
        </w:rPr>
        <w:t>(mit Öl) zeigt das begleitende Speisopfer.</w:t>
      </w:r>
    </w:p>
    <w:p w14:paraId="48836319"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zweite Komponente </w:t>
      </w:r>
      <w:r w:rsidRPr="00651A08">
        <w:rPr>
          <w:rFonts w:eastAsia="Times New Roman" w:cs="Times New Roman"/>
          <w:b/>
          <w:bCs/>
          <w:rtl/>
          <w:lang w:eastAsia="de-DE"/>
        </w:rPr>
        <w:t>וּפַר־שֵׁנִי בֶן־בָּקָר תִּקַּח לְחַטָּאת</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פַר־שֵׁנִי</w:t>
      </w:r>
      <w:r w:rsidRPr="00651A08">
        <w:rPr>
          <w:rFonts w:eastAsia="Times New Roman" w:cs="Times New Roman"/>
          <w:rtl/>
          <w:lang w:eastAsia="de-DE"/>
        </w:rPr>
        <w:t xml:space="preserve"> </w:t>
      </w:r>
      <w:r w:rsidRPr="00651A08">
        <w:rPr>
          <w:rFonts w:eastAsia="Times New Roman" w:cs="Times New Roman"/>
          <w:lang w:eastAsia="de-DE"/>
        </w:rPr>
        <w:t xml:space="preserve">(zweiter Stier), </w:t>
      </w:r>
      <w:r w:rsidRPr="00651A08">
        <w:rPr>
          <w:rFonts w:eastAsia="Times New Roman" w:cs="Times New Roman"/>
          <w:b/>
          <w:bCs/>
          <w:rtl/>
          <w:lang w:eastAsia="de-DE"/>
        </w:rPr>
        <w:t>בֶּן־בָּקָר</w:t>
      </w:r>
      <w:r w:rsidRPr="00651A08">
        <w:rPr>
          <w:rFonts w:eastAsia="Times New Roman" w:cs="Times New Roman"/>
          <w:rtl/>
          <w:lang w:eastAsia="de-DE"/>
        </w:rPr>
        <w:t xml:space="preserve"> </w:t>
      </w:r>
      <w:r w:rsidRPr="00651A08">
        <w:rPr>
          <w:rFonts w:eastAsia="Times New Roman" w:cs="Times New Roman"/>
          <w:lang w:eastAsia="de-DE"/>
        </w:rPr>
        <w:t xml:space="preserve">(junger Stier), </w:t>
      </w:r>
      <w:r w:rsidRPr="00651A08">
        <w:rPr>
          <w:rFonts w:eastAsia="Times New Roman" w:cs="Times New Roman"/>
          <w:b/>
          <w:bCs/>
          <w:rtl/>
          <w:lang w:eastAsia="de-DE"/>
        </w:rPr>
        <w:t>תִּקַּח</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לקח</w:t>
      </w:r>
      <w:r w:rsidRPr="00651A08">
        <w:rPr>
          <w:rFonts w:eastAsia="Times New Roman" w:cs="Times New Roman"/>
          <w:rtl/>
          <w:lang w:eastAsia="de-DE"/>
        </w:rPr>
        <w:t xml:space="preserve"> </w:t>
      </w:r>
      <w:r w:rsidRPr="00651A08">
        <w:rPr>
          <w:rFonts w:eastAsia="Times New Roman" w:cs="Times New Roman"/>
          <w:lang w:eastAsia="de-DE"/>
        </w:rPr>
        <w:t xml:space="preserve">(nehmen) im Qal-Imperfekt 2. maskulin Singular und </w:t>
      </w:r>
      <w:r w:rsidRPr="00651A08">
        <w:rPr>
          <w:rFonts w:eastAsia="Times New Roman" w:cs="Times New Roman"/>
          <w:b/>
          <w:bCs/>
          <w:rtl/>
          <w:lang w:eastAsia="de-DE"/>
        </w:rPr>
        <w:t>לְחַטָּאת</w:t>
      </w:r>
      <w:r w:rsidRPr="00651A08">
        <w:rPr>
          <w:rFonts w:eastAsia="Times New Roman" w:cs="Times New Roman"/>
          <w:rtl/>
          <w:lang w:eastAsia="de-DE"/>
        </w:rPr>
        <w:t xml:space="preserve"> </w:t>
      </w:r>
      <w:r w:rsidRPr="00651A08">
        <w:rPr>
          <w:rFonts w:eastAsia="Times New Roman" w:cs="Times New Roman"/>
          <w:lang w:eastAsia="de-DE"/>
        </w:rPr>
        <w:t>(zum Sündopfer) zeigt das zweite, spezifisch für Sündopfer bestimmte Tier.</w:t>
      </w:r>
    </w:p>
    <w:p w14:paraId="0409CDBE" w14:textId="77777777" w:rsidR="00337D37" w:rsidRDefault="00337D37" w:rsidP="00651A08">
      <w:pPr>
        <w:spacing w:before="100" w:beforeAutospacing="1" w:after="100" w:afterAutospacing="1" w:line="240" w:lineRule="auto"/>
      </w:pPr>
      <w:r>
        <w:rPr>
          <w:rStyle w:val="Fett"/>
        </w:rPr>
        <w:t>Die LXX</w:t>
      </w:r>
      <w:r>
        <w:t xml:space="preserve"> fügt eine Altersangabe hinzu, die im MT fehlt: μόσχον ἐνιαύσιον (einen einjährigen Stier) für das Sündopfer, während der MT nur </w:t>
      </w:r>
      <w:r w:rsidRPr="00337D37">
        <w:rPr>
          <w:b/>
          <w:bCs/>
          <w:rtl/>
        </w:rPr>
        <w:t>פר־שני בן־בקר</w:t>
      </w:r>
      <w:r>
        <w:t xml:space="preserve"> (par-sheni ben-baqar - "einen zweiten jungen Stier") hat.</w:t>
      </w:r>
    </w:p>
    <w:p w14:paraId="330162AA" w14:textId="2B94BC55"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 Satzstruktur zeigt eine doppelte Opferbestimmung: erstes Tier mit Speisopfer, zweites Tier für Sündopfer.</w:t>
      </w:r>
    </w:p>
    <w:p w14:paraId="5732F563"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Dieser Vers etabliert die beiden erforderlichen Tieropfer für die levitische Weihe: einen Stier mit Speisopfer und einen zweiten Stier als Sündopfer.</w:t>
      </w:r>
    </w:p>
    <w:p w14:paraId="7F70F1C6" w14:textId="77777777" w:rsidR="00651A08" w:rsidRPr="00651A08" w:rsidRDefault="00651A08" w:rsidP="00651A08">
      <w:pPr>
        <w:spacing w:before="100" w:beforeAutospacing="1" w:after="100" w:afterAutospacing="1" w:line="240" w:lineRule="auto"/>
        <w:outlineLvl w:val="0"/>
        <w:rPr>
          <w:rFonts w:eastAsia="Times New Roman" w:cs="Times New Roman"/>
          <w:b/>
          <w:bCs/>
          <w:kern w:val="36"/>
          <w:sz w:val="48"/>
          <w:szCs w:val="48"/>
          <w:lang w:eastAsia="de-DE"/>
        </w:rPr>
      </w:pPr>
      <w:r w:rsidRPr="00651A08">
        <w:rPr>
          <w:rFonts w:eastAsia="Times New Roman" w:cs="Times New Roman"/>
          <w:b/>
          <w:bCs/>
          <w:kern w:val="36"/>
          <w:sz w:val="48"/>
          <w:szCs w:val="48"/>
          <w:lang w:eastAsia="de-DE"/>
        </w:rPr>
        <w:t>Numeri 8,9</w:t>
      </w:r>
    </w:p>
    <w:p w14:paraId="2AF8395C"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Hebräisch:</w:t>
      </w:r>
      <w:r w:rsidRPr="00651A08">
        <w:rPr>
          <w:rFonts w:eastAsia="Times New Roman" w:cs="Times New Roman"/>
          <w:lang w:eastAsia="de-DE"/>
        </w:rPr>
        <w:t xml:space="preserve"> </w:t>
      </w:r>
      <w:r w:rsidRPr="00651A08">
        <w:rPr>
          <w:rFonts w:eastAsia="Times New Roman" w:cs="Times New Roman"/>
          <w:rtl/>
          <w:lang w:eastAsia="de-DE"/>
        </w:rPr>
        <w:t>וְהִקְרַבְתָּ֙ אֶת־הַלְוִיִּ֔ם לִפְנֵ֖י אֹ֣הֶל מוֹעֵ֑ד וְהִ֨קְהַלְתָּ֔ אֶֽת־כָּל־עֲדַ֖ת בְּנֵ֥י יִשְׂרָאֵֽל׃</w:t>
      </w:r>
    </w:p>
    <w:p w14:paraId="0FBD3ECA"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Deutsch:</w:t>
      </w:r>
      <w:r w:rsidRPr="00651A08">
        <w:rPr>
          <w:rFonts w:eastAsia="Times New Roman" w:cs="Times New Roman"/>
          <w:lang w:eastAsia="de-DE"/>
        </w:rPr>
        <w:t xml:space="preserve"> Und du sollst die Levijim vor das Zelt der Begegnung nahen lassen und die ganze Gemeinde der Söhne Jisra'el versammeln.</w:t>
      </w:r>
    </w:p>
    <w:p w14:paraId="6A1E7FFB" w14:textId="77777777" w:rsidR="00651A08" w:rsidRPr="00651A08" w:rsidRDefault="00F329DD" w:rsidP="00651A08">
      <w:pPr>
        <w:spacing w:after="0" w:line="240" w:lineRule="auto"/>
        <w:rPr>
          <w:rFonts w:eastAsia="Times New Roman" w:cs="Times New Roman"/>
          <w:lang w:eastAsia="de-DE"/>
        </w:rPr>
      </w:pPr>
      <w:r>
        <w:rPr>
          <w:rFonts w:eastAsia="Times New Roman" w:cs="Times New Roman"/>
          <w:noProof/>
          <w:lang w:eastAsia="de-DE"/>
        </w:rPr>
        <w:pict w14:anchorId="3081D990">
          <v:rect id="_x0000_i1303" style="width:0;height:1.5pt" o:hralign="center" o:hrstd="t" o:hr="t" fillcolor="#a0a0a0" stroked="f"/>
        </w:pict>
      </w:r>
    </w:p>
    <w:p w14:paraId="2F20ADA8"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Kommentar:</w:t>
      </w:r>
      <w:r w:rsidRPr="00651A08">
        <w:rPr>
          <w:rFonts w:eastAsia="Times New Roman" w:cs="Times New Roman"/>
          <w:lang w:eastAsia="de-DE"/>
        </w:rPr>
        <w:t xml:space="preserve"> Das Verb </w:t>
      </w:r>
      <w:r w:rsidRPr="00651A08">
        <w:rPr>
          <w:rFonts w:eastAsia="Times New Roman" w:cs="Times New Roman"/>
          <w:b/>
          <w:bCs/>
          <w:rtl/>
          <w:lang w:eastAsia="de-DE"/>
        </w:rPr>
        <w:t>וְהִקְרַבְתָּ</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קרב</w:t>
      </w:r>
      <w:r w:rsidRPr="00651A08">
        <w:rPr>
          <w:rFonts w:eastAsia="Times New Roman" w:cs="Times New Roman"/>
          <w:rtl/>
          <w:lang w:eastAsia="de-DE"/>
        </w:rPr>
        <w:t xml:space="preserve"> </w:t>
      </w:r>
      <w:r w:rsidRPr="00651A08">
        <w:rPr>
          <w:rFonts w:eastAsia="Times New Roman" w:cs="Times New Roman"/>
          <w:lang w:eastAsia="de-DE"/>
        </w:rPr>
        <w:t xml:space="preserve">(nahen) im Hiph'il-Perfekt 2. maskulin Singular mit </w:t>
      </w:r>
      <w:r w:rsidRPr="00651A08">
        <w:rPr>
          <w:rFonts w:eastAsia="Times New Roman" w:cs="Times New Roman"/>
          <w:b/>
          <w:bCs/>
          <w:rtl/>
          <w:lang w:eastAsia="de-DE"/>
        </w:rPr>
        <w:t>אֶת־הַלְוִיִּם</w:t>
      </w:r>
      <w:r w:rsidRPr="00651A08">
        <w:rPr>
          <w:rFonts w:eastAsia="Times New Roman" w:cs="Times New Roman"/>
          <w:rtl/>
          <w:lang w:eastAsia="de-DE"/>
        </w:rPr>
        <w:t xml:space="preserve"> </w:t>
      </w:r>
      <w:r w:rsidRPr="00651A08">
        <w:rPr>
          <w:rFonts w:eastAsia="Times New Roman" w:cs="Times New Roman"/>
          <w:lang w:eastAsia="de-DE"/>
        </w:rPr>
        <w:t>(die Leviten) zeigt die Heranführung der gereinigten Leviten an den heiligen Ort.</w:t>
      </w:r>
    </w:p>
    <w:p w14:paraId="13B2C7F9"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Ortsangabe </w:t>
      </w:r>
      <w:r w:rsidRPr="00651A08">
        <w:rPr>
          <w:rFonts w:eastAsia="Times New Roman" w:cs="Times New Roman"/>
          <w:b/>
          <w:bCs/>
          <w:rtl/>
          <w:lang w:eastAsia="de-DE"/>
        </w:rPr>
        <w:t>לִפְנֵי אֹהֶל מוֹעֵד</w:t>
      </w:r>
      <w:r w:rsidRPr="00651A08">
        <w:rPr>
          <w:rFonts w:eastAsia="Times New Roman" w:cs="Times New Roman"/>
          <w:rtl/>
          <w:lang w:eastAsia="de-DE"/>
        </w:rPr>
        <w:t xml:space="preserve"> </w:t>
      </w:r>
      <w:r w:rsidRPr="00651A08">
        <w:rPr>
          <w:rFonts w:eastAsia="Times New Roman" w:cs="Times New Roman"/>
          <w:lang w:eastAsia="de-DE"/>
        </w:rPr>
        <w:t>(vor das Zelt der Begegnung) betont die Öffentlichkeit und Heiligkeit des Weiheortes.</w:t>
      </w:r>
    </w:p>
    <w:p w14:paraId="4CAE48F0"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Das koordinierte Verb </w:t>
      </w:r>
      <w:r w:rsidRPr="00651A08">
        <w:rPr>
          <w:rFonts w:eastAsia="Times New Roman" w:cs="Times New Roman"/>
          <w:b/>
          <w:bCs/>
          <w:rtl/>
          <w:lang w:eastAsia="de-DE"/>
        </w:rPr>
        <w:t>וְהִקְהַלְתָּ אֶת־כָּל־עֲדַת בְּנֵי יִשְׂרָאֵל</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הִקְהַלְתָּ</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קהל</w:t>
      </w:r>
      <w:r w:rsidRPr="00651A08">
        <w:rPr>
          <w:rFonts w:eastAsia="Times New Roman" w:cs="Times New Roman"/>
          <w:rtl/>
          <w:lang w:eastAsia="de-DE"/>
        </w:rPr>
        <w:t xml:space="preserve"> </w:t>
      </w:r>
      <w:r w:rsidRPr="00651A08">
        <w:rPr>
          <w:rFonts w:eastAsia="Times New Roman" w:cs="Times New Roman"/>
          <w:lang w:eastAsia="de-DE"/>
        </w:rPr>
        <w:t xml:space="preserve">(versammeln) im Hiph'il-Perfekt 2. maskulin Singular und </w:t>
      </w:r>
      <w:r w:rsidRPr="00651A08">
        <w:rPr>
          <w:rFonts w:eastAsia="Times New Roman" w:cs="Times New Roman"/>
          <w:b/>
          <w:bCs/>
          <w:rtl/>
          <w:lang w:eastAsia="de-DE"/>
        </w:rPr>
        <w:t>כָּל־עֲדַת בְּנֵי יִשְׂרָאֵל</w:t>
      </w:r>
      <w:r w:rsidRPr="00651A08">
        <w:rPr>
          <w:rFonts w:eastAsia="Times New Roman" w:cs="Times New Roman"/>
          <w:rtl/>
          <w:lang w:eastAsia="de-DE"/>
        </w:rPr>
        <w:t xml:space="preserve"> </w:t>
      </w:r>
      <w:r w:rsidRPr="00651A08">
        <w:rPr>
          <w:rFonts w:eastAsia="Times New Roman" w:cs="Times New Roman"/>
          <w:lang w:eastAsia="de-DE"/>
        </w:rPr>
        <w:t>(die ganze Gemeinde der Söhne Israels) zeigt die vollständige Volksversammlung als Zeugen der levitischen Weihe.</w:t>
      </w:r>
    </w:p>
    <w:p w14:paraId="553102D7"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Die LXX</w:t>
      </w:r>
      <w:r w:rsidRPr="00651A08">
        <w:rPr>
          <w:rFonts w:eastAsia="Times New Roman" w:cs="Times New Roman"/>
          <w:lang w:eastAsia="de-DE"/>
        </w:rPr>
        <w:t xml:space="preserve"> übersetzt </w:t>
      </w:r>
      <w:r w:rsidRPr="00651A08">
        <w:rPr>
          <w:rFonts w:eastAsia="Times New Roman" w:cs="Times New Roman"/>
          <w:b/>
          <w:bCs/>
          <w:rtl/>
          <w:lang w:eastAsia="de-DE"/>
        </w:rPr>
        <w:t>הִקְרַבְתָּ</w:t>
      </w:r>
      <w:r w:rsidRPr="00651A08">
        <w:rPr>
          <w:rFonts w:eastAsia="Times New Roman" w:cs="Times New Roman"/>
          <w:rtl/>
          <w:lang w:eastAsia="de-DE"/>
        </w:rPr>
        <w:t xml:space="preserve"> </w:t>
      </w:r>
      <w:r w:rsidRPr="00651A08">
        <w:rPr>
          <w:rFonts w:eastAsia="Times New Roman" w:cs="Times New Roman"/>
          <w:lang w:eastAsia="de-DE"/>
        </w:rPr>
        <w:t xml:space="preserve">mit προσάξεις (du wirst heranführen) und </w:t>
      </w:r>
      <w:r w:rsidRPr="00651A08">
        <w:rPr>
          <w:rFonts w:eastAsia="Times New Roman" w:cs="Times New Roman"/>
          <w:b/>
          <w:bCs/>
          <w:rtl/>
          <w:lang w:eastAsia="de-DE"/>
        </w:rPr>
        <w:t>הִקְהַלְתָּ</w:t>
      </w:r>
      <w:r w:rsidRPr="00651A08">
        <w:rPr>
          <w:rFonts w:eastAsia="Times New Roman" w:cs="Times New Roman"/>
          <w:rtl/>
          <w:lang w:eastAsia="de-DE"/>
        </w:rPr>
        <w:t xml:space="preserve"> </w:t>
      </w:r>
      <w:r w:rsidRPr="00651A08">
        <w:rPr>
          <w:rFonts w:eastAsia="Times New Roman" w:cs="Times New Roman"/>
          <w:lang w:eastAsia="de-DE"/>
        </w:rPr>
        <w:t>mit συνάξεις (du wirst versammeln).</w:t>
      </w:r>
    </w:p>
    <w:p w14:paraId="5446E246"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 Satzstruktur zeigt eine doppelte Anweisung: Heranführung der Leviten und Versammlung der gesamten Volksgemeinschaft.</w:t>
      </w:r>
    </w:p>
    <w:p w14:paraId="3E636E0C"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Dieser Vers etabliert den öffentlichen Charakter der levitischen Weihe vor der gesamten israelitischen Gemeinschaft.</w:t>
      </w:r>
    </w:p>
    <w:p w14:paraId="07819B4E" w14:textId="77777777" w:rsidR="00651A08" w:rsidRPr="00651A08" w:rsidRDefault="00651A08" w:rsidP="00651A08">
      <w:pPr>
        <w:spacing w:before="100" w:beforeAutospacing="1" w:after="100" w:afterAutospacing="1" w:line="240" w:lineRule="auto"/>
        <w:outlineLvl w:val="0"/>
        <w:rPr>
          <w:rFonts w:eastAsia="Times New Roman" w:cs="Times New Roman"/>
          <w:b/>
          <w:bCs/>
          <w:kern w:val="36"/>
          <w:sz w:val="48"/>
          <w:szCs w:val="48"/>
          <w:lang w:eastAsia="de-DE"/>
        </w:rPr>
      </w:pPr>
      <w:r w:rsidRPr="00651A08">
        <w:rPr>
          <w:rFonts w:eastAsia="Times New Roman" w:cs="Times New Roman"/>
          <w:b/>
          <w:bCs/>
          <w:kern w:val="36"/>
          <w:sz w:val="48"/>
          <w:szCs w:val="48"/>
          <w:lang w:eastAsia="de-DE"/>
        </w:rPr>
        <w:t>Numeri 8,10</w:t>
      </w:r>
    </w:p>
    <w:p w14:paraId="122FA3C1"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lastRenderedPageBreak/>
        <w:t>Hebräisch:</w:t>
      </w:r>
      <w:r w:rsidRPr="00651A08">
        <w:rPr>
          <w:rFonts w:eastAsia="Times New Roman" w:cs="Times New Roman"/>
          <w:lang w:eastAsia="de-DE"/>
        </w:rPr>
        <w:t xml:space="preserve"> </w:t>
      </w:r>
      <w:r w:rsidRPr="00651A08">
        <w:rPr>
          <w:rFonts w:eastAsia="Times New Roman" w:cs="Times New Roman"/>
          <w:rtl/>
          <w:lang w:eastAsia="de-DE"/>
        </w:rPr>
        <w:t>וְהִקְרַבְתָּ֥ אֶת־הַלְוִיִּ֖ם לִפְנֵ֣י יְהוָ֑ה וְסָמְכ֧וּ בְנֵי־יִשְׂרָאֵ֛ל אֶת־יְדֵיהֶ֖ם עַל־הַלְוִיִּֽם׃</w:t>
      </w:r>
    </w:p>
    <w:p w14:paraId="48A9E13B"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Deutsch:</w:t>
      </w:r>
      <w:r w:rsidRPr="00651A08">
        <w:rPr>
          <w:rFonts w:eastAsia="Times New Roman" w:cs="Times New Roman"/>
          <w:lang w:eastAsia="de-DE"/>
        </w:rPr>
        <w:t xml:space="preserve"> Und du sollst die Levijim vor den Ewigen nahen lassen, und die Söhne Jisra'el sollen ihre Hände auf die Levijim stützen.</w:t>
      </w:r>
    </w:p>
    <w:p w14:paraId="38325E2A" w14:textId="77777777" w:rsidR="00651A08" w:rsidRPr="00651A08" w:rsidRDefault="00F329DD" w:rsidP="00651A08">
      <w:pPr>
        <w:spacing w:after="0" w:line="240" w:lineRule="auto"/>
        <w:rPr>
          <w:rFonts w:eastAsia="Times New Roman" w:cs="Times New Roman"/>
          <w:lang w:eastAsia="de-DE"/>
        </w:rPr>
      </w:pPr>
      <w:r>
        <w:rPr>
          <w:rFonts w:eastAsia="Times New Roman" w:cs="Times New Roman"/>
          <w:noProof/>
          <w:lang w:eastAsia="de-DE"/>
        </w:rPr>
        <w:pict w14:anchorId="0084385E">
          <v:rect id="_x0000_i1304" style="width:0;height:1.5pt" o:hralign="center" o:hrstd="t" o:hr="t" fillcolor="#a0a0a0" stroked="f"/>
        </w:pict>
      </w:r>
    </w:p>
    <w:p w14:paraId="7F5340E7"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Kommentar:</w:t>
      </w:r>
      <w:r w:rsidRPr="00651A08">
        <w:rPr>
          <w:rFonts w:eastAsia="Times New Roman" w:cs="Times New Roman"/>
          <w:lang w:eastAsia="de-DE"/>
        </w:rPr>
        <w:t xml:space="preserve"> Das wiederholte Verb </w:t>
      </w:r>
      <w:r w:rsidRPr="00651A08">
        <w:rPr>
          <w:rFonts w:eastAsia="Times New Roman" w:cs="Times New Roman"/>
          <w:b/>
          <w:bCs/>
          <w:rtl/>
          <w:lang w:eastAsia="de-DE"/>
        </w:rPr>
        <w:t>וְהִקְרַבְתָּ אֶת־הַלְוִיִּם</w:t>
      </w:r>
      <w:r w:rsidRPr="00651A08">
        <w:rPr>
          <w:rFonts w:eastAsia="Times New Roman" w:cs="Times New Roman"/>
          <w:rtl/>
          <w:lang w:eastAsia="de-DE"/>
        </w:rPr>
        <w:t xml:space="preserve"> </w:t>
      </w:r>
      <w:r w:rsidRPr="00651A08">
        <w:rPr>
          <w:rFonts w:eastAsia="Times New Roman" w:cs="Times New Roman"/>
          <w:lang w:eastAsia="de-DE"/>
        </w:rPr>
        <w:t xml:space="preserve">(und du sollst die Leviten nahen lassen) verstärkt die Heranführung, diesmal mit der präziseren Ortsangabe </w:t>
      </w:r>
      <w:r w:rsidRPr="00651A08">
        <w:rPr>
          <w:rFonts w:eastAsia="Times New Roman" w:cs="Times New Roman"/>
          <w:b/>
          <w:bCs/>
          <w:rtl/>
          <w:lang w:eastAsia="de-DE"/>
        </w:rPr>
        <w:t>לִפְנֵי יְהוָה</w:t>
      </w:r>
      <w:r w:rsidRPr="00651A08">
        <w:rPr>
          <w:rFonts w:eastAsia="Times New Roman" w:cs="Times New Roman"/>
          <w:rtl/>
          <w:lang w:eastAsia="de-DE"/>
        </w:rPr>
        <w:t xml:space="preserve"> </w:t>
      </w:r>
      <w:r w:rsidRPr="00651A08">
        <w:rPr>
          <w:rFonts w:eastAsia="Times New Roman" w:cs="Times New Roman"/>
          <w:lang w:eastAsia="de-DE"/>
        </w:rPr>
        <w:t>(vor den Ewigen), was die unmittelbare göttliche Präsenz betont.</w:t>
      </w:r>
    </w:p>
    <w:p w14:paraId="37EDE158"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Das Verb </w:t>
      </w:r>
      <w:r w:rsidRPr="00651A08">
        <w:rPr>
          <w:rFonts w:eastAsia="Times New Roman" w:cs="Times New Roman"/>
          <w:b/>
          <w:bCs/>
          <w:rtl/>
          <w:lang w:eastAsia="de-DE"/>
        </w:rPr>
        <w:t>וְסָמְכוּ בְנֵי־יִשְׂרָאֵל אֶת־יְדֵיהֶם עַל־הַלְוִיִּם</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סָמְכוּ</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סמך</w:t>
      </w:r>
      <w:r w:rsidRPr="00651A08">
        <w:rPr>
          <w:rFonts w:eastAsia="Times New Roman" w:cs="Times New Roman"/>
          <w:rtl/>
          <w:lang w:eastAsia="de-DE"/>
        </w:rPr>
        <w:t xml:space="preserve"> </w:t>
      </w:r>
      <w:r w:rsidRPr="00651A08">
        <w:rPr>
          <w:rFonts w:eastAsia="Times New Roman" w:cs="Times New Roman"/>
          <w:lang w:eastAsia="de-DE"/>
        </w:rPr>
        <w:t xml:space="preserve">(stützen) im Qal-Perfekt 3. maskulin Plural, </w:t>
      </w:r>
      <w:r w:rsidRPr="00651A08">
        <w:rPr>
          <w:rFonts w:eastAsia="Times New Roman" w:cs="Times New Roman"/>
          <w:b/>
          <w:bCs/>
          <w:rtl/>
          <w:lang w:eastAsia="de-DE"/>
        </w:rPr>
        <w:t>בְנֵי־יִשְׂרָאֵל</w:t>
      </w:r>
      <w:r w:rsidRPr="00651A08">
        <w:rPr>
          <w:rFonts w:eastAsia="Times New Roman" w:cs="Times New Roman"/>
          <w:rtl/>
          <w:lang w:eastAsia="de-DE"/>
        </w:rPr>
        <w:t xml:space="preserve"> </w:t>
      </w:r>
      <w:r w:rsidRPr="00651A08">
        <w:rPr>
          <w:rFonts w:eastAsia="Times New Roman" w:cs="Times New Roman"/>
          <w:lang w:eastAsia="de-DE"/>
        </w:rPr>
        <w:t xml:space="preserve">(die Söhne Israels), </w:t>
      </w:r>
      <w:r w:rsidRPr="00651A08">
        <w:rPr>
          <w:rFonts w:eastAsia="Times New Roman" w:cs="Times New Roman"/>
          <w:b/>
          <w:bCs/>
          <w:rtl/>
          <w:lang w:eastAsia="de-DE"/>
        </w:rPr>
        <w:t>אֶת־יְדֵיהֶם</w:t>
      </w:r>
      <w:r w:rsidRPr="00651A08">
        <w:rPr>
          <w:rFonts w:eastAsia="Times New Roman" w:cs="Times New Roman"/>
          <w:rtl/>
          <w:lang w:eastAsia="de-DE"/>
        </w:rPr>
        <w:t xml:space="preserve"> </w:t>
      </w:r>
      <w:r w:rsidRPr="00651A08">
        <w:rPr>
          <w:rFonts w:eastAsia="Times New Roman" w:cs="Times New Roman"/>
          <w:lang w:eastAsia="de-DE"/>
        </w:rPr>
        <w:t xml:space="preserve">(ihre Hände) und </w:t>
      </w:r>
      <w:r w:rsidRPr="00651A08">
        <w:rPr>
          <w:rFonts w:eastAsia="Times New Roman" w:cs="Times New Roman"/>
          <w:b/>
          <w:bCs/>
          <w:rtl/>
          <w:lang w:eastAsia="de-DE"/>
        </w:rPr>
        <w:t>עַל־הַלְוִיִּם</w:t>
      </w:r>
      <w:r w:rsidRPr="00651A08">
        <w:rPr>
          <w:rFonts w:eastAsia="Times New Roman" w:cs="Times New Roman"/>
          <w:rtl/>
          <w:lang w:eastAsia="de-DE"/>
        </w:rPr>
        <w:t xml:space="preserve"> </w:t>
      </w:r>
      <w:r w:rsidRPr="00651A08">
        <w:rPr>
          <w:rFonts w:eastAsia="Times New Roman" w:cs="Times New Roman"/>
          <w:lang w:eastAsia="de-DE"/>
        </w:rPr>
        <w:t>(auf die Leviten) zeigt die rituelle Handauflegung als Übertragungsakt.</w:t>
      </w:r>
    </w:p>
    <w:p w14:paraId="3BEAB786"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Die LXX</w:t>
      </w:r>
      <w:r w:rsidRPr="00651A08">
        <w:rPr>
          <w:rFonts w:eastAsia="Times New Roman" w:cs="Times New Roman"/>
          <w:lang w:eastAsia="de-DE"/>
        </w:rPr>
        <w:t xml:space="preserve"> übersetzt </w:t>
      </w:r>
      <w:r w:rsidRPr="00651A08">
        <w:rPr>
          <w:rFonts w:eastAsia="Times New Roman" w:cs="Times New Roman"/>
          <w:b/>
          <w:bCs/>
          <w:rtl/>
          <w:lang w:eastAsia="de-DE"/>
        </w:rPr>
        <w:t>סָמְכוּ</w:t>
      </w:r>
      <w:r w:rsidRPr="00651A08">
        <w:rPr>
          <w:rFonts w:eastAsia="Times New Roman" w:cs="Times New Roman"/>
          <w:rtl/>
          <w:lang w:eastAsia="de-DE"/>
        </w:rPr>
        <w:t xml:space="preserve"> </w:t>
      </w:r>
      <w:r w:rsidRPr="00651A08">
        <w:rPr>
          <w:rFonts w:eastAsia="Times New Roman" w:cs="Times New Roman"/>
          <w:lang w:eastAsia="de-DE"/>
        </w:rPr>
        <w:t>mit ἐπιθήσουσιν (sie werden auflegen) und betont die physische Übertragungshandlung.</w:t>
      </w:r>
    </w:p>
    <w:p w14:paraId="368F5F41"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 Satzstruktur zeigt die Steigerung der Heranführung zur direkten göttlichen Präsenz und die symbolische Übertragung durch Handauflegung.</w:t>
      </w:r>
    </w:p>
    <w:p w14:paraId="354616B5"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Dieser Vers etabliert die rituelle Handauflegung als Übertragung der Volksrepräsentation auf die Leviten.</w:t>
      </w:r>
    </w:p>
    <w:p w14:paraId="5CE1EC47" w14:textId="77777777" w:rsidR="00651A08" w:rsidRPr="00651A08" w:rsidRDefault="00651A08" w:rsidP="00651A08">
      <w:pPr>
        <w:spacing w:before="100" w:beforeAutospacing="1" w:after="100" w:afterAutospacing="1" w:line="240" w:lineRule="auto"/>
        <w:outlineLvl w:val="0"/>
        <w:rPr>
          <w:rFonts w:eastAsia="Times New Roman" w:cs="Times New Roman"/>
          <w:b/>
          <w:bCs/>
          <w:kern w:val="36"/>
          <w:sz w:val="48"/>
          <w:szCs w:val="48"/>
          <w:lang w:eastAsia="de-DE"/>
        </w:rPr>
      </w:pPr>
      <w:r w:rsidRPr="00651A08">
        <w:rPr>
          <w:rFonts w:eastAsia="Times New Roman" w:cs="Times New Roman"/>
          <w:b/>
          <w:bCs/>
          <w:kern w:val="36"/>
          <w:sz w:val="48"/>
          <w:szCs w:val="48"/>
          <w:lang w:eastAsia="de-DE"/>
        </w:rPr>
        <w:t>Numeri 8,11</w:t>
      </w:r>
    </w:p>
    <w:p w14:paraId="6232476B"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Hebräisch:</w:t>
      </w:r>
      <w:r w:rsidRPr="00651A08">
        <w:rPr>
          <w:rFonts w:eastAsia="Times New Roman" w:cs="Times New Roman"/>
          <w:lang w:eastAsia="de-DE"/>
        </w:rPr>
        <w:t xml:space="preserve"> </w:t>
      </w:r>
      <w:r w:rsidRPr="00651A08">
        <w:rPr>
          <w:rFonts w:eastAsia="Times New Roman" w:cs="Times New Roman"/>
          <w:rtl/>
          <w:lang w:eastAsia="de-DE"/>
        </w:rPr>
        <w:t>וְהֵנִיף֩ אַהֲרֹ֨ן אֶת־הַלְוִיִּ֤ם תְּנוּפָה֙ לִפְנֵ֣י יְהוָ֔ה מֵאֵ֖ת בְּנֵ֣י יִשְׂרָאֵ֑ל וְהָי֕וּ לַעֲבֹ֖ד אֶת־עֲבֹדַ֥ת יְהוָֽה׃</w:t>
      </w:r>
    </w:p>
    <w:p w14:paraId="3DEAB5BA"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Deutsch:</w:t>
      </w:r>
      <w:r w:rsidRPr="00651A08">
        <w:rPr>
          <w:rFonts w:eastAsia="Times New Roman" w:cs="Times New Roman"/>
          <w:lang w:eastAsia="de-DE"/>
        </w:rPr>
        <w:t xml:space="preserve"> Und 'Aharon soll die Levijim ein Schwingopfer schwingen lassen vor dem Angesicht des Ewigen für die Söhne Jisra'el, damit sie den Dienst des Ewigen verrichten können.</w:t>
      </w:r>
    </w:p>
    <w:p w14:paraId="704A82F3" w14:textId="77777777" w:rsidR="00651A08" w:rsidRPr="00651A08" w:rsidRDefault="00F329DD" w:rsidP="00651A08">
      <w:pPr>
        <w:spacing w:after="0" w:line="240" w:lineRule="auto"/>
        <w:rPr>
          <w:rFonts w:eastAsia="Times New Roman" w:cs="Times New Roman"/>
          <w:lang w:eastAsia="de-DE"/>
        </w:rPr>
      </w:pPr>
      <w:r>
        <w:rPr>
          <w:rFonts w:eastAsia="Times New Roman" w:cs="Times New Roman"/>
          <w:noProof/>
          <w:lang w:eastAsia="de-DE"/>
        </w:rPr>
        <w:pict w14:anchorId="6B731376">
          <v:rect id="_x0000_i1305" style="width:0;height:1.5pt" o:hralign="center" o:hrstd="t" o:hr="t" fillcolor="#a0a0a0" stroked="f"/>
        </w:pict>
      </w:r>
    </w:p>
    <w:p w14:paraId="758E9112" w14:textId="6ADFF714"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Kommentar:</w:t>
      </w:r>
      <w:r w:rsidRPr="00651A08">
        <w:rPr>
          <w:rFonts w:eastAsia="Times New Roman" w:cs="Times New Roman"/>
          <w:lang w:eastAsia="de-DE"/>
        </w:rPr>
        <w:t xml:space="preserve"> Das Verb </w:t>
      </w:r>
      <w:r w:rsidRPr="00651A08">
        <w:rPr>
          <w:rFonts w:eastAsia="Times New Roman" w:cs="Times New Roman"/>
          <w:b/>
          <w:bCs/>
          <w:rtl/>
          <w:lang w:eastAsia="de-DE"/>
        </w:rPr>
        <w:t>וְהֵנִיף אַהֲרֹן אֶת־הַלְוִיִּם תְּנוּפָה</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הֵנִיף</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נוף</w:t>
      </w:r>
      <w:r w:rsidRPr="00651A08">
        <w:rPr>
          <w:rFonts w:eastAsia="Times New Roman" w:cs="Times New Roman"/>
          <w:rtl/>
          <w:lang w:eastAsia="de-DE"/>
        </w:rPr>
        <w:t xml:space="preserve"> </w:t>
      </w:r>
      <w:r w:rsidRPr="00651A08">
        <w:rPr>
          <w:rFonts w:eastAsia="Times New Roman" w:cs="Times New Roman"/>
          <w:lang w:eastAsia="de-DE"/>
        </w:rPr>
        <w:t xml:space="preserve">(schwingen) im Hiph'il-Perfekt 3. maskulin Singular, </w:t>
      </w:r>
      <w:r w:rsidRPr="00651A08">
        <w:rPr>
          <w:rFonts w:eastAsia="Times New Roman" w:cs="Times New Roman"/>
          <w:b/>
          <w:bCs/>
          <w:rtl/>
          <w:lang w:eastAsia="de-DE"/>
        </w:rPr>
        <w:t>אַהֲרֹן</w:t>
      </w:r>
      <w:r w:rsidRPr="00651A08">
        <w:rPr>
          <w:rFonts w:eastAsia="Times New Roman" w:cs="Times New Roman"/>
          <w:rtl/>
          <w:lang w:eastAsia="de-DE"/>
        </w:rPr>
        <w:t xml:space="preserve"> </w:t>
      </w:r>
      <w:r w:rsidRPr="00651A08">
        <w:rPr>
          <w:rFonts w:eastAsia="Times New Roman" w:cs="Times New Roman"/>
          <w:lang w:eastAsia="de-DE"/>
        </w:rPr>
        <w:t xml:space="preserve">(Aaron) als Subjekt, </w:t>
      </w:r>
      <w:r w:rsidRPr="00651A08">
        <w:rPr>
          <w:rFonts w:eastAsia="Times New Roman" w:cs="Times New Roman"/>
          <w:b/>
          <w:bCs/>
          <w:rtl/>
          <w:lang w:eastAsia="de-DE"/>
        </w:rPr>
        <w:t>אֶת־הַלְוִיִּם</w:t>
      </w:r>
      <w:r w:rsidRPr="00651A08">
        <w:rPr>
          <w:rFonts w:eastAsia="Times New Roman" w:cs="Times New Roman"/>
          <w:rtl/>
          <w:lang w:eastAsia="de-DE"/>
        </w:rPr>
        <w:t xml:space="preserve"> </w:t>
      </w:r>
      <w:r w:rsidRPr="00651A08">
        <w:rPr>
          <w:rFonts w:eastAsia="Times New Roman" w:cs="Times New Roman"/>
          <w:lang w:eastAsia="de-DE"/>
        </w:rPr>
        <w:t xml:space="preserve">(die Leviten) als direktes Objekt und </w:t>
      </w:r>
      <w:r w:rsidRPr="00651A08">
        <w:rPr>
          <w:rFonts w:eastAsia="Times New Roman" w:cs="Times New Roman"/>
          <w:b/>
          <w:bCs/>
          <w:rtl/>
          <w:lang w:eastAsia="de-DE"/>
        </w:rPr>
        <w:t>תְּנוּפָה</w:t>
      </w:r>
      <w:r w:rsidRPr="00651A08">
        <w:rPr>
          <w:rFonts w:eastAsia="Times New Roman" w:cs="Times New Roman"/>
          <w:rtl/>
          <w:lang w:eastAsia="de-DE"/>
        </w:rPr>
        <w:t xml:space="preserve"> </w:t>
      </w:r>
      <w:r w:rsidRPr="00651A08">
        <w:rPr>
          <w:rFonts w:eastAsia="Times New Roman" w:cs="Times New Roman"/>
          <w:lang w:eastAsia="de-DE"/>
        </w:rPr>
        <w:t>(Schwingung) als cognate Accusativ zeigt die außergewöhnliche rituelle Handlung</w:t>
      </w:r>
      <w:r w:rsidR="00C125DE">
        <w:rPr>
          <w:rFonts w:eastAsia="Times New Roman" w:cs="Times New Roman"/>
          <w:lang w:eastAsia="de-DE"/>
        </w:rPr>
        <w:t>.</w:t>
      </w:r>
    </w:p>
    <w:p w14:paraId="796055D9"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Ortsangabe </w:t>
      </w:r>
      <w:r w:rsidRPr="00651A08">
        <w:rPr>
          <w:rFonts w:eastAsia="Times New Roman" w:cs="Times New Roman"/>
          <w:b/>
          <w:bCs/>
          <w:rtl/>
          <w:lang w:eastAsia="de-DE"/>
        </w:rPr>
        <w:t>לִפְנֵי יְהוָה</w:t>
      </w:r>
      <w:r w:rsidRPr="00651A08">
        <w:rPr>
          <w:rFonts w:eastAsia="Times New Roman" w:cs="Times New Roman"/>
          <w:rtl/>
          <w:lang w:eastAsia="de-DE"/>
        </w:rPr>
        <w:t xml:space="preserve"> </w:t>
      </w:r>
      <w:r w:rsidRPr="00651A08">
        <w:rPr>
          <w:rFonts w:eastAsia="Times New Roman" w:cs="Times New Roman"/>
          <w:lang w:eastAsia="de-DE"/>
        </w:rPr>
        <w:t xml:space="preserve">(vor dem Ewigen) und die Bestimmung </w:t>
      </w:r>
      <w:r w:rsidRPr="00651A08">
        <w:rPr>
          <w:rFonts w:eastAsia="Times New Roman" w:cs="Times New Roman"/>
          <w:b/>
          <w:bCs/>
          <w:rtl/>
          <w:lang w:eastAsia="de-DE"/>
        </w:rPr>
        <w:t>מֵאֵת בְּנֵי יִשְׂרָאֵל</w:t>
      </w:r>
      <w:r w:rsidRPr="00651A08">
        <w:rPr>
          <w:rFonts w:eastAsia="Times New Roman" w:cs="Times New Roman"/>
          <w:rtl/>
          <w:lang w:eastAsia="de-DE"/>
        </w:rPr>
        <w:t xml:space="preserve"> </w:t>
      </w:r>
      <w:r w:rsidRPr="00651A08">
        <w:rPr>
          <w:rFonts w:eastAsia="Times New Roman" w:cs="Times New Roman"/>
          <w:lang w:eastAsia="de-DE"/>
        </w:rPr>
        <w:t xml:space="preserve">(von/für die Söhne Israels) mit </w:t>
      </w:r>
      <w:r w:rsidRPr="00651A08">
        <w:rPr>
          <w:rFonts w:eastAsia="Times New Roman" w:cs="Times New Roman"/>
          <w:b/>
          <w:bCs/>
          <w:rtl/>
          <w:lang w:eastAsia="de-DE"/>
        </w:rPr>
        <w:t>מֵאֵת</w:t>
      </w:r>
      <w:r w:rsidRPr="00651A08">
        <w:rPr>
          <w:rFonts w:eastAsia="Times New Roman" w:cs="Times New Roman"/>
          <w:rtl/>
          <w:lang w:eastAsia="de-DE"/>
        </w:rPr>
        <w:t xml:space="preserve"> </w:t>
      </w:r>
      <w:r w:rsidRPr="00651A08">
        <w:rPr>
          <w:rFonts w:eastAsia="Times New Roman" w:cs="Times New Roman"/>
          <w:lang w:eastAsia="de-DE"/>
        </w:rPr>
        <w:t>(von/im Namen von) zeigen die Leviten als Stellvertreter des Volkes.</w:t>
      </w:r>
    </w:p>
    <w:p w14:paraId="7FCA5ED6" w14:textId="177666E0"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finale Bestimmung </w:t>
      </w:r>
      <w:r w:rsidRPr="00651A08">
        <w:rPr>
          <w:rFonts w:eastAsia="Times New Roman" w:cs="Times New Roman"/>
          <w:b/>
          <w:bCs/>
          <w:rtl/>
          <w:lang w:eastAsia="de-DE"/>
        </w:rPr>
        <w:t>וְהָיוּ לַעֲבֹד אֶת־עֲבֹדַת יְהוָה</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הָיוּ</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היה</w:t>
      </w:r>
      <w:r w:rsidRPr="00651A08">
        <w:rPr>
          <w:rFonts w:eastAsia="Times New Roman" w:cs="Times New Roman"/>
          <w:rtl/>
          <w:lang w:eastAsia="de-DE"/>
        </w:rPr>
        <w:t xml:space="preserve"> </w:t>
      </w:r>
      <w:r w:rsidRPr="00651A08">
        <w:rPr>
          <w:rFonts w:eastAsia="Times New Roman" w:cs="Times New Roman"/>
          <w:lang w:eastAsia="de-DE"/>
        </w:rPr>
        <w:t xml:space="preserve">(sein) im Qal-Perfekt 3. maskulin Plural, </w:t>
      </w:r>
      <w:r w:rsidRPr="00651A08">
        <w:rPr>
          <w:rFonts w:eastAsia="Times New Roman" w:cs="Times New Roman"/>
          <w:b/>
          <w:bCs/>
          <w:rtl/>
          <w:lang w:eastAsia="de-DE"/>
        </w:rPr>
        <w:t>לַעֲבֹד</w:t>
      </w:r>
      <w:r w:rsidRPr="00651A08">
        <w:rPr>
          <w:rFonts w:eastAsia="Times New Roman" w:cs="Times New Roman"/>
          <w:rtl/>
          <w:lang w:eastAsia="de-DE"/>
        </w:rPr>
        <w:t xml:space="preserve"> </w:t>
      </w:r>
      <w:r w:rsidRPr="00651A08">
        <w:rPr>
          <w:rFonts w:eastAsia="Times New Roman" w:cs="Times New Roman"/>
          <w:lang w:eastAsia="de-DE"/>
        </w:rPr>
        <w:t>als Infinitiv-</w:t>
      </w:r>
      <w:r w:rsidR="00F133EC">
        <w:rPr>
          <w:rFonts w:eastAsia="Times New Roman" w:cs="Times New Roman"/>
          <w:lang w:eastAsia="de-DE"/>
        </w:rPr>
        <w:t>Construct</w:t>
      </w:r>
      <w:r w:rsidRPr="00651A08">
        <w:rPr>
          <w:rFonts w:eastAsia="Times New Roman" w:cs="Times New Roman"/>
          <w:lang w:eastAsia="de-DE"/>
        </w:rPr>
        <w:t xml:space="preserve"> von </w:t>
      </w:r>
      <w:r w:rsidRPr="00651A08">
        <w:rPr>
          <w:rFonts w:eastAsia="Times New Roman" w:cs="Times New Roman"/>
          <w:b/>
          <w:bCs/>
          <w:rtl/>
          <w:lang w:eastAsia="de-DE"/>
        </w:rPr>
        <w:t>עבד</w:t>
      </w:r>
      <w:r w:rsidRPr="00651A08">
        <w:rPr>
          <w:rFonts w:eastAsia="Times New Roman" w:cs="Times New Roman"/>
          <w:rtl/>
          <w:lang w:eastAsia="de-DE"/>
        </w:rPr>
        <w:t xml:space="preserve"> </w:t>
      </w:r>
      <w:r w:rsidRPr="00651A08">
        <w:rPr>
          <w:rFonts w:eastAsia="Times New Roman" w:cs="Times New Roman"/>
          <w:lang w:eastAsia="de-DE"/>
        </w:rPr>
        <w:t xml:space="preserve">(dienen) und der reduplikativen </w:t>
      </w:r>
      <w:r w:rsidR="00F133EC">
        <w:rPr>
          <w:rFonts w:eastAsia="Times New Roman" w:cs="Times New Roman"/>
          <w:lang w:eastAsia="de-DE"/>
        </w:rPr>
        <w:t>Construct</w:t>
      </w:r>
      <w:r w:rsidRPr="00651A08">
        <w:rPr>
          <w:rFonts w:eastAsia="Times New Roman" w:cs="Times New Roman"/>
          <w:lang w:eastAsia="de-DE"/>
        </w:rPr>
        <w:t xml:space="preserve">ion </w:t>
      </w:r>
      <w:r w:rsidRPr="00651A08">
        <w:rPr>
          <w:rFonts w:eastAsia="Times New Roman" w:cs="Times New Roman"/>
          <w:b/>
          <w:bCs/>
          <w:rtl/>
          <w:lang w:eastAsia="de-DE"/>
        </w:rPr>
        <w:t>עֲבֹדַת יְהוָה</w:t>
      </w:r>
      <w:r w:rsidRPr="00651A08">
        <w:rPr>
          <w:rFonts w:eastAsia="Times New Roman" w:cs="Times New Roman"/>
          <w:rtl/>
          <w:lang w:eastAsia="de-DE"/>
        </w:rPr>
        <w:t xml:space="preserve"> </w:t>
      </w:r>
      <w:r w:rsidRPr="00651A08">
        <w:rPr>
          <w:rFonts w:eastAsia="Times New Roman" w:cs="Times New Roman"/>
          <w:lang w:eastAsia="de-DE"/>
        </w:rPr>
        <w:t>(Dienst des Ewigen) zeigt den Zweck der Weihe.</w:t>
      </w:r>
    </w:p>
    <w:p w14:paraId="3B3F476B" w14:textId="21E8B254" w:rsidR="0066732B" w:rsidRDefault="00651A08" w:rsidP="0066732B">
      <w:pPr>
        <w:pStyle w:val="KeinLeerraum"/>
      </w:pPr>
      <w:r w:rsidRPr="00651A08">
        <w:rPr>
          <w:rFonts w:eastAsia="Times New Roman" w:cs="Times New Roman"/>
          <w:b/>
          <w:bCs/>
          <w:lang w:eastAsia="de-DE"/>
        </w:rPr>
        <w:t>Die LXX</w:t>
      </w:r>
      <w:r w:rsidRPr="00651A08">
        <w:rPr>
          <w:rFonts w:eastAsia="Times New Roman" w:cs="Times New Roman"/>
          <w:lang w:eastAsia="de-DE"/>
        </w:rPr>
        <w:t xml:space="preserve"> übersetzt </w:t>
      </w:r>
      <w:r w:rsidRPr="00651A08">
        <w:rPr>
          <w:rFonts w:eastAsia="Times New Roman" w:cs="Times New Roman"/>
          <w:b/>
          <w:bCs/>
          <w:rtl/>
          <w:lang w:eastAsia="de-DE"/>
        </w:rPr>
        <w:t>הֵנִיף</w:t>
      </w:r>
      <w:r w:rsidRPr="00651A08">
        <w:rPr>
          <w:rFonts w:eastAsia="Times New Roman" w:cs="Times New Roman"/>
          <w:rtl/>
          <w:lang w:eastAsia="de-DE"/>
        </w:rPr>
        <w:t xml:space="preserve"> </w:t>
      </w:r>
      <w:r w:rsidRPr="00651A08">
        <w:rPr>
          <w:rFonts w:eastAsia="Times New Roman" w:cs="Times New Roman"/>
          <w:lang w:eastAsia="de-DE"/>
        </w:rPr>
        <w:t>mit ἀποδώσει (er wird abgeben/weihen) und interpretiert die Schwingbewegung als Weihegabe.</w:t>
      </w:r>
      <w:r w:rsidR="00337D37">
        <w:rPr>
          <w:rFonts w:eastAsia="Times New Roman" w:cs="Times New Roman"/>
          <w:lang w:eastAsia="de-DE"/>
        </w:rPr>
        <w:t xml:space="preserve"> </w:t>
      </w:r>
      <w:r w:rsidR="0066732B">
        <w:t xml:space="preserve">Das hebräische </w:t>
      </w:r>
      <w:r w:rsidR="0066732B">
        <w:rPr>
          <w:rtl/>
        </w:rPr>
        <w:t>תנופה</w:t>
      </w:r>
      <w:r w:rsidR="0066732B">
        <w:t xml:space="preserve"> (tenūfāh – „Schwingopfer“) bezeichnet im Opferkult eine rituelle Schwingbewegung von Opfergaben (z. B. Speisen oder </w:t>
      </w:r>
      <w:r w:rsidR="0066732B">
        <w:lastRenderedPageBreak/>
        <w:t>Teile des Tieres) vor JHWH. In Numeri 8 wird diese Sprache metaphorisch auf die Leviten übertragen: Sie werden symbolisch wie ein</w:t>
      </w:r>
      <w:r w:rsidR="000D5E97">
        <w:t xml:space="preserve"> </w:t>
      </w:r>
      <w:r w:rsidR="0066732B">
        <w:t xml:space="preserve">Schwingopfer „geschwungen“, d. h. Gott geweiht. Aaron „schwingt“ sie also nicht physisch, sondern vollzieht durch symbolische Handlung und Proklamation ihre Einsetzung in den Dienst. </w:t>
      </w:r>
    </w:p>
    <w:p w14:paraId="033693F3" w14:textId="6BE7B3DF" w:rsidR="0066732B" w:rsidRDefault="0066732B" w:rsidP="0066732B">
      <w:pPr>
        <w:pStyle w:val="KeinLeerraum"/>
      </w:pPr>
      <w:r>
        <w:t xml:space="preserve">Die </w:t>
      </w:r>
      <w:r w:rsidR="00C125DE">
        <w:t>Septuaginta</w:t>
      </w:r>
      <w:r>
        <w:t xml:space="preserve"> vermeidet die wörtliche Vorstellung und übersetzt ἀπόδομα („Weihgabe, Darbringung“), wodurch der Sinn als Weihegabe für Gott deutlicher hervorgehoben wird.</w:t>
      </w:r>
    </w:p>
    <w:p w14:paraId="11A5456F" w14:textId="24530735" w:rsidR="00651A08" w:rsidRPr="00651A08" w:rsidRDefault="0066732B" w:rsidP="0066732B">
      <w:pPr>
        <w:pStyle w:val="KeinLeerraum"/>
        <w:rPr>
          <w:rFonts w:eastAsia="Times New Roman" w:cs="Times New Roman"/>
          <w:lang w:eastAsia="de-DE"/>
        </w:rPr>
      </w:pPr>
      <w:r>
        <w:t>Der Ausdruck verdeutlicht, dass die Leviten als Stellvertreter des Volkes JHWH übergeben werden, um ihren Dienst im Heiligtum zu verrichten. Damit wird ihr Status liturgisch markiert: Sie sind nicht Opfer im eigentlichen Sinn, sondern „lebendige Gabe“ für den priesterlichen Dienst.</w:t>
      </w:r>
    </w:p>
    <w:p w14:paraId="0C657963" w14:textId="63781B8D"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Satzstruktur zeigt die priesterliche Durchführung </w:t>
      </w:r>
      <w:r w:rsidR="0066732B">
        <w:rPr>
          <w:rFonts w:eastAsia="Times New Roman" w:cs="Times New Roman"/>
          <w:lang w:eastAsia="de-DE"/>
        </w:rPr>
        <w:t>einer</w:t>
      </w:r>
      <w:r w:rsidR="00462114">
        <w:rPr>
          <w:rFonts w:eastAsia="Times New Roman" w:cs="Times New Roman"/>
          <w:lang w:eastAsia="de-DE"/>
        </w:rPr>
        <w:t xml:space="preserve"> </w:t>
      </w:r>
      <w:r w:rsidRPr="00651A08">
        <w:rPr>
          <w:rFonts w:eastAsia="Times New Roman" w:cs="Times New Roman"/>
          <w:lang w:eastAsia="de-DE"/>
        </w:rPr>
        <w:t>Schwingopferung mit stellvertretender Bestimmung und finaler Zweckangabe.</w:t>
      </w:r>
    </w:p>
    <w:p w14:paraId="2BEE7813" w14:textId="28DD2847" w:rsid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Dieser Vers beschreibt die außergewöhnliche rituelle Handlung, bei der </w:t>
      </w:r>
      <w:r w:rsidR="0066732B">
        <w:rPr>
          <w:rFonts w:eastAsia="Times New Roman" w:cs="Times New Roman"/>
          <w:lang w:eastAsia="de-DE"/>
        </w:rPr>
        <w:t xml:space="preserve">die </w:t>
      </w:r>
      <w:r w:rsidR="0066732B">
        <w:t xml:space="preserve">Levijim </w:t>
      </w:r>
      <w:r w:rsidR="0066732B">
        <w:rPr>
          <w:rFonts w:eastAsia="Times New Roman" w:cs="Times New Roman"/>
          <w:lang w:eastAsia="de-DE"/>
        </w:rPr>
        <w:t>ein</w:t>
      </w:r>
      <w:r w:rsidRPr="00651A08">
        <w:rPr>
          <w:rFonts w:eastAsia="Times New Roman" w:cs="Times New Roman"/>
          <w:lang w:eastAsia="de-DE"/>
        </w:rPr>
        <w:t xml:space="preserve"> Schwingopfer </w:t>
      </w:r>
      <w:r w:rsidR="0066732B">
        <w:rPr>
          <w:rFonts w:eastAsia="Times New Roman" w:cs="Times New Roman"/>
          <w:lang w:eastAsia="de-DE"/>
        </w:rPr>
        <w:t>darbringen</w:t>
      </w:r>
      <w:r w:rsidRPr="00651A08">
        <w:rPr>
          <w:rFonts w:eastAsia="Times New Roman" w:cs="Times New Roman"/>
          <w:lang w:eastAsia="de-DE"/>
        </w:rPr>
        <w:t>, um sie für den göttlichen Dienst zu weihen.</w:t>
      </w:r>
    </w:p>
    <w:p w14:paraId="0BB6CFF5" w14:textId="77777777" w:rsidR="005C59C9" w:rsidRDefault="005C59C9" w:rsidP="005C59C9">
      <w:pPr>
        <w:pStyle w:val="whitespace-normal"/>
      </w:pPr>
      <w:r>
        <w:rPr>
          <w:rStyle w:val="Fett"/>
        </w:rPr>
        <w:t xml:space="preserve">Die "Menschen-Tenufah" – </w:t>
      </w:r>
      <w:r w:rsidRPr="005C59C9">
        <w:rPr>
          <w:rStyle w:val="Fett"/>
          <w:b w:val="0"/>
          <w:bCs w:val="0"/>
        </w:rPr>
        <w:t>Eine einzigartige Metapher</w:t>
      </w:r>
    </w:p>
    <w:p w14:paraId="7F548FD7" w14:textId="77777777" w:rsidR="005C59C9" w:rsidRDefault="005C59C9" w:rsidP="005C59C9">
      <w:pPr>
        <w:pStyle w:val="whitespace-normal"/>
      </w:pPr>
      <w:r w:rsidRPr="005C59C9">
        <w:rPr>
          <w:rStyle w:val="Fett"/>
        </w:rPr>
        <w:t>Num 8,11.13.21</w:t>
      </w:r>
      <w:r>
        <w:t xml:space="preserve"> ist die </w:t>
      </w:r>
      <w:r>
        <w:rPr>
          <w:rStyle w:val="Fett"/>
        </w:rPr>
        <w:t>einzige Stelle im AT</w:t>
      </w:r>
      <w:r>
        <w:t xml:space="preserve">, wo </w:t>
      </w:r>
      <w:r>
        <w:rPr>
          <w:rtl/>
        </w:rPr>
        <w:t>תְּנוּפָה</w:t>
      </w:r>
      <w:r>
        <w:t xml:space="preserve"> auf </w:t>
      </w:r>
      <w:r>
        <w:rPr>
          <w:rStyle w:val="Fett"/>
        </w:rPr>
        <w:t>Menschen</w:t>
      </w:r>
      <w:r>
        <w:t xml:space="preserve"> angewendet wird!</w:t>
      </w:r>
    </w:p>
    <w:p w14:paraId="6A1F20E4" w14:textId="5E4C3FF5" w:rsidR="005C59C9" w:rsidRDefault="005C59C9" w:rsidP="005C59C9">
      <w:pPr>
        <w:pStyle w:val="whitespace-normal"/>
        <w:rPr>
          <w:rStyle w:val="Fett"/>
        </w:rPr>
      </w:pPr>
      <w:r>
        <w:rPr>
          <w:rStyle w:val="Fett"/>
        </w:rPr>
        <w:t>Vergleich mit anderen Tenufah-Texten:</w:t>
      </w:r>
    </w:p>
    <w:tbl>
      <w:tblPr>
        <w:tblStyle w:val="Tabellenraster"/>
        <w:tblW w:w="4994" w:type="pct"/>
        <w:tblLook w:val="04A0" w:firstRow="1" w:lastRow="0" w:firstColumn="1" w:lastColumn="0" w:noHBand="0" w:noVBand="1"/>
      </w:tblPr>
      <w:tblGrid>
        <w:gridCol w:w="2121"/>
        <w:gridCol w:w="3912"/>
        <w:gridCol w:w="3018"/>
      </w:tblGrid>
      <w:tr w:rsidR="005C59C9" w14:paraId="18ECC853" w14:textId="77777777" w:rsidTr="005C59C9">
        <w:tc>
          <w:tcPr>
            <w:tcW w:w="1172" w:type="pct"/>
          </w:tcPr>
          <w:p w14:paraId="2D130521" w14:textId="1B527468" w:rsidR="005C59C9" w:rsidRPr="005C59C9" w:rsidRDefault="005C59C9" w:rsidP="005C59C9">
            <w:pPr>
              <w:pStyle w:val="whitespace-normal"/>
              <w:rPr>
                <w:b/>
                <w:bCs/>
              </w:rPr>
            </w:pPr>
            <w:r w:rsidRPr="005C59C9">
              <w:rPr>
                <w:rFonts w:ascii="Segoe UI" w:hAnsi="Segoe UI" w:cs="Segoe UI"/>
                <w:b/>
                <w:bCs/>
                <w:color w:val="141413"/>
                <w:sz w:val="21"/>
                <w:szCs w:val="21"/>
                <w:shd w:val="clear" w:color="auto" w:fill="FAF9F5"/>
              </w:rPr>
              <w:t>Stelle</w:t>
            </w:r>
          </w:p>
        </w:tc>
        <w:tc>
          <w:tcPr>
            <w:tcW w:w="2161" w:type="pct"/>
          </w:tcPr>
          <w:p w14:paraId="4DB88E71" w14:textId="7F65619A" w:rsidR="005C59C9" w:rsidRDefault="005C59C9" w:rsidP="005C59C9">
            <w:pPr>
              <w:pStyle w:val="whitespace-normal"/>
            </w:pPr>
            <w:r>
              <w:rPr>
                <w:rFonts w:ascii="Segoe UI" w:hAnsi="Segoe UI" w:cs="Segoe UI"/>
                <w:b/>
                <w:bCs/>
                <w:color w:val="141413"/>
                <w:sz w:val="21"/>
                <w:szCs w:val="21"/>
                <w:shd w:val="clear" w:color="auto" w:fill="FAF9F5"/>
              </w:rPr>
              <w:t xml:space="preserve">Objekt der </w:t>
            </w:r>
            <w:r>
              <w:rPr>
                <w:rFonts w:ascii="Segoe UI" w:hAnsi="Segoe UI" w:cs="Segoe UI"/>
                <w:b/>
                <w:bCs/>
                <w:color w:val="141413"/>
                <w:sz w:val="21"/>
                <w:szCs w:val="21"/>
                <w:shd w:val="clear" w:color="auto" w:fill="FAF9F5"/>
                <w:rtl/>
              </w:rPr>
              <w:t>תְּנוּפָה</w:t>
            </w:r>
          </w:p>
        </w:tc>
        <w:tc>
          <w:tcPr>
            <w:tcW w:w="1667" w:type="pct"/>
          </w:tcPr>
          <w:p w14:paraId="3C3D5B85" w14:textId="7CDC1AB5" w:rsidR="005C59C9" w:rsidRDefault="005C59C9" w:rsidP="005C59C9">
            <w:pPr>
              <w:pStyle w:val="whitespace-normal"/>
            </w:pPr>
            <w:r>
              <w:rPr>
                <w:rFonts w:ascii="Segoe UI" w:hAnsi="Segoe UI" w:cs="Segoe UI"/>
                <w:b/>
                <w:bCs/>
                <w:color w:val="141413"/>
                <w:sz w:val="21"/>
                <w:szCs w:val="21"/>
                <w:shd w:val="clear" w:color="auto" w:fill="FAF9F5"/>
              </w:rPr>
              <w:t>Zweck</w:t>
            </w:r>
          </w:p>
        </w:tc>
      </w:tr>
      <w:tr w:rsidR="005C59C9" w14:paraId="5CDA7B4B" w14:textId="77777777" w:rsidTr="005C59C9">
        <w:tc>
          <w:tcPr>
            <w:tcW w:w="1172" w:type="pct"/>
          </w:tcPr>
          <w:p w14:paraId="4ECDC4CF" w14:textId="6C8CC092" w:rsidR="005C59C9" w:rsidRPr="005C59C9" w:rsidRDefault="005C59C9" w:rsidP="005C59C9">
            <w:pPr>
              <w:pStyle w:val="whitespace-normal"/>
              <w:rPr>
                <w:b/>
                <w:bCs/>
              </w:rPr>
            </w:pPr>
            <w:r w:rsidRPr="005C59C9">
              <w:rPr>
                <w:b/>
                <w:bCs/>
              </w:rPr>
              <w:t>Ex 29,24-26</w:t>
            </w:r>
          </w:p>
        </w:tc>
        <w:tc>
          <w:tcPr>
            <w:tcW w:w="2161" w:type="pct"/>
          </w:tcPr>
          <w:p w14:paraId="47041CEE" w14:textId="0BC3FA21" w:rsidR="005C59C9" w:rsidRDefault="005C59C9" w:rsidP="005C59C9">
            <w:pPr>
              <w:pStyle w:val="whitespace-normal"/>
            </w:pPr>
            <w:r>
              <w:t>Teile des Opfertiers</w:t>
            </w:r>
          </w:p>
        </w:tc>
        <w:tc>
          <w:tcPr>
            <w:tcW w:w="1667" w:type="pct"/>
          </w:tcPr>
          <w:p w14:paraId="03D6A73D" w14:textId="0D2965AC" w:rsidR="005C59C9" w:rsidRDefault="005C59C9" w:rsidP="005C59C9">
            <w:pPr>
              <w:pStyle w:val="whitespace-normal"/>
            </w:pPr>
            <w:r>
              <w:t>Priester-Einsetzung</w:t>
            </w:r>
          </w:p>
        </w:tc>
      </w:tr>
      <w:tr w:rsidR="005C59C9" w14:paraId="3D9618C3" w14:textId="77777777" w:rsidTr="005C59C9">
        <w:tc>
          <w:tcPr>
            <w:tcW w:w="1172" w:type="pct"/>
          </w:tcPr>
          <w:p w14:paraId="44B8C590" w14:textId="5C414668" w:rsidR="005C59C9" w:rsidRPr="005C59C9" w:rsidRDefault="005C59C9" w:rsidP="005C59C9">
            <w:pPr>
              <w:pStyle w:val="whitespace-normal"/>
              <w:rPr>
                <w:b/>
                <w:bCs/>
              </w:rPr>
            </w:pPr>
            <w:r w:rsidRPr="005C59C9">
              <w:rPr>
                <w:b/>
                <w:bCs/>
              </w:rPr>
              <w:t>Lev 7,30</w:t>
            </w:r>
          </w:p>
        </w:tc>
        <w:tc>
          <w:tcPr>
            <w:tcW w:w="2161" w:type="pct"/>
          </w:tcPr>
          <w:p w14:paraId="7F7FEC91" w14:textId="698C149C" w:rsidR="005C59C9" w:rsidRDefault="005C59C9" w:rsidP="005C59C9">
            <w:pPr>
              <w:pStyle w:val="whitespace-normal"/>
            </w:pPr>
            <w:r>
              <w:t>Brust des Friedensopfers</w:t>
            </w:r>
          </w:p>
        </w:tc>
        <w:tc>
          <w:tcPr>
            <w:tcW w:w="1667" w:type="pct"/>
          </w:tcPr>
          <w:p w14:paraId="69A36CE9" w14:textId="71E1B6B5" w:rsidR="005C59C9" w:rsidRDefault="005C59C9" w:rsidP="005C59C9">
            <w:pPr>
              <w:pStyle w:val="whitespace-normal"/>
            </w:pPr>
            <w:r>
              <w:t>Gabe für Priester</w:t>
            </w:r>
          </w:p>
        </w:tc>
      </w:tr>
      <w:tr w:rsidR="005C59C9" w14:paraId="130D2B7D" w14:textId="77777777" w:rsidTr="005C59C9">
        <w:tc>
          <w:tcPr>
            <w:tcW w:w="1172" w:type="pct"/>
          </w:tcPr>
          <w:p w14:paraId="4240BCD1" w14:textId="695982CC" w:rsidR="005C59C9" w:rsidRPr="005C59C9" w:rsidRDefault="005C59C9" w:rsidP="005C59C9">
            <w:pPr>
              <w:pStyle w:val="whitespace-normal"/>
              <w:rPr>
                <w:b/>
                <w:bCs/>
              </w:rPr>
            </w:pPr>
            <w:r w:rsidRPr="005C59C9">
              <w:rPr>
                <w:b/>
                <w:bCs/>
              </w:rPr>
              <w:t>Lev 23,11</w:t>
            </w:r>
          </w:p>
        </w:tc>
        <w:tc>
          <w:tcPr>
            <w:tcW w:w="2161" w:type="pct"/>
          </w:tcPr>
          <w:p w14:paraId="48987ECF" w14:textId="6085FE0F" w:rsidR="005C59C9" w:rsidRDefault="005C59C9" w:rsidP="005C59C9">
            <w:pPr>
              <w:pStyle w:val="whitespace-normal"/>
            </w:pPr>
            <w:r>
              <w:t>Garbe Erstlingsfrüchte</w:t>
            </w:r>
          </w:p>
        </w:tc>
        <w:tc>
          <w:tcPr>
            <w:tcW w:w="1667" w:type="pct"/>
          </w:tcPr>
          <w:p w14:paraId="1D459FB9" w14:textId="7DAD9998" w:rsidR="005C59C9" w:rsidRDefault="005C59C9" w:rsidP="005C59C9">
            <w:pPr>
              <w:pStyle w:val="whitespace-normal"/>
            </w:pPr>
            <w:r>
              <w:t>Wochenfest</w:t>
            </w:r>
          </w:p>
        </w:tc>
      </w:tr>
      <w:tr w:rsidR="005C59C9" w14:paraId="3E7B68C7" w14:textId="77777777" w:rsidTr="005C59C9">
        <w:tc>
          <w:tcPr>
            <w:tcW w:w="1172" w:type="pct"/>
          </w:tcPr>
          <w:p w14:paraId="7B4A257C" w14:textId="52AB7728" w:rsidR="005C59C9" w:rsidRPr="005C59C9" w:rsidRDefault="005C59C9" w:rsidP="005C59C9">
            <w:pPr>
              <w:pStyle w:val="whitespace-normal"/>
              <w:rPr>
                <w:b/>
                <w:bCs/>
              </w:rPr>
            </w:pPr>
            <w:r w:rsidRPr="005C59C9">
              <w:rPr>
                <w:b/>
                <w:bCs/>
              </w:rPr>
              <w:t>Num 5,25</w:t>
            </w:r>
          </w:p>
        </w:tc>
        <w:tc>
          <w:tcPr>
            <w:tcW w:w="2161" w:type="pct"/>
          </w:tcPr>
          <w:p w14:paraId="668D0666" w14:textId="096FA824" w:rsidR="005C59C9" w:rsidRDefault="005C59C9" w:rsidP="005C59C9">
            <w:pPr>
              <w:pStyle w:val="whitespace-normal"/>
            </w:pPr>
            <w:r>
              <w:t>Eifersuchtsopfer (Mehl)</w:t>
            </w:r>
          </w:p>
        </w:tc>
        <w:tc>
          <w:tcPr>
            <w:tcW w:w="1667" w:type="pct"/>
          </w:tcPr>
          <w:p w14:paraId="4B3B56BD" w14:textId="07FB0323" w:rsidR="005C59C9" w:rsidRDefault="005C59C9" w:rsidP="005C59C9">
            <w:pPr>
              <w:pStyle w:val="whitespace-normal"/>
            </w:pPr>
            <w:r>
              <w:t>Eifersuchtsritual</w:t>
            </w:r>
          </w:p>
        </w:tc>
      </w:tr>
      <w:tr w:rsidR="005C59C9" w14:paraId="427C67B6" w14:textId="77777777" w:rsidTr="005C59C9">
        <w:tc>
          <w:tcPr>
            <w:tcW w:w="1172" w:type="pct"/>
          </w:tcPr>
          <w:p w14:paraId="1F6F6526" w14:textId="198D03BC" w:rsidR="005C59C9" w:rsidRPr="005C59C9" w:rsidRDefault="005C59C9" w:rsidP="005C59C9">
            <w:pPr>
              <w:pStyle w:val="whitespace-normal"/>
              <w:rPr>
                <w:b/>
                <w:bCs/>
              </w:rPr>
            </w:pPr>
            <w:r w:rsidRPr="005C59C9">
              <w:rPr>
                <w:b/>
                <w:bCs/>
              </w:rPr>
              <w:t>Num 8,11</w:t>
            </w:r>
          </w:p>
        </w:tc>
        <w:tc>
          <w:tcPr>
            <w:tcW w:w="2161" w:type="pct"/>
          </w:tcPr>
          <w:p w14:paraId="0F8827E4" w14:textId="498CE99A" w:rsidR="005C59C9" w:rsidRPr="005C59C9" w:rsidRDefault="005C59C9" w:rsidP="005C59C9">
            <w:pPr>
              <w:pStyle w:val="whitespace-normal"/>
              <w:rPr>
                <w:b/>
                <w:bCs/>
              </w:rPr>
            </w:pPr>
            <w:r w:rsidRPr="005C59C9">
              <w:rPr>
                <w:b/>
                <w:bCs/>
              </w:rPr>
              <w:t>DIE LEVITEN</w:t>
            </w:r>
          </w:p>
        </w:tc>
        <w:tc>
          <w:tcPr>
            <w:tcW w:w="1667" w:type="pct"/>
          </w:tcPr>
          <w:p w14:paraId="756F1B6F" w14:textId="64C067B6" w:rsidR="005C59C9" w:rsidRPr="00451DE6" w:rsidRDefault="00451DE6" w:rsidP="005C59C9">
            <w:pPr>
              <w:pStyle w:val="whitespace-normal"/>
              <w:rPr>
                <w:b/>
                <w:bCs/>
              </w:rPr>
            </w:pPr>
            <w:r w:rsidRPr="00451DE6">
              <w:rPr>
                <w:b/>
                <w:bCs/>
              </w:rPr>
              <w:t>Leviten-Weihe</w:t>
            </w:r>
          </w:p>
        </w:tc>
      </w:tr>
    </w:tbl>
    <w:p w14:paraId="35833605" w14:textId="77777777" w:rsidR="00451DE6" w:rsidRDefault="00451DE6" w:rsidP="00451DE6">
      <w:pPr>
        <w:pStyle w:val="whitespace-normal"/>
      </w:pPr>
      <w:r>
        <w:rPr>
          <w:rStyle w:val="Fett"/>
        </w:rPr>
        <w:t>Theologische Bedeutung:</w:t>
      </w:r>
    </w:p>
    <w:p w14:paraId="05BC32B7" w14:textId="77777777" w:rsidR="00451DE6" w:rsidRDefault="00451DE6" w:rsidP="00451DE6">
      <w:pPr>
        <w:pStyle w:val="whitespace-normal"/>
        <w:numPr>
          <w:ilvl w:val="0"/>
          <w:numId w:val="68"/>
        </w:numPr>
      </w:pPr>
      <w:r>
        <w:rPr>
          <w:rStyle w:val="Fett"/>
        </w:rPr>
        <w:t>Lebendige Gabe:</w:t>
      </w:r>
      <w:r>
        <w:t xml:space="preserve"> Die Leviten sind nicht Opfer, sondern "</w:t>
      </w:r>
      <w:r>
        <w:rPr>
          <w:rStyle w:val="Fett"/>
        </w:rPr>
        <w:t>lebendige Opfergabe</w:t>
      </w:r>
      <w:r>
        <w:t>" für den Tempeldienst</w:t>
      </w:r>
    </w:p>
    <w:p w14:paraId="1FF2423E" w14:textId="77777777" w:rsidR="00451DE6" w:rsidRDefault="00451DE6" w:rsidP="00451DE6">
      <w:pPr>
        <w:pStyle w:val="whitespace-normal"/>
        <w:numPr>
          <w:ilvl w:val="0"/>
          <w:numId w:val="68"/>
        </w:numPr>
      </w:pPr>
      <w:r>
        <w:rPr>
          <w:rStyle w:val="Fett"/>
        </w:rPr>
        <w:t>Totale Hingabe:</w:t>
      </w:r>
      <w:r>
        <w:t xml:space="preserve"> Die Metapher unterstreicht die </w:t>
      </w:r>
      <w:r>
        <w:rPr>
          <w:rStyle w:val="Fett"/>
        </w:rPr>
        <w:t>vollständige Weihung</w:t>
      </w:r>
      <w:r>
        <w:t xml:space="preserve"> der Leviten an JHWH</w:t>
      </w:r>
    </w:p>
    <w:p w14:paraId="2BE3FAFF" w14:textId="77777777" w:rsidR="00451DE6" w:rsidRDefault="00451DE6" w:rsidP="00451DE6">
      <w:pPr>
        <w:pStyle w:val="whitespace-normal"/>
        <w:numPr>
          <w:ilvl w:val="0"/>
          <w:numId w:val="68"/>
        </w:numPr>
      </w:pPr>
      <w:r>
        <w:rPr>
          <w:rStyle w:val="Fett"/>
        </w:rPr>
        <w:t>Priesterliche Vermittlung:</w:t>
      </w:r>
      <w:r>
        <w:t xml:space="preserve"> Aaron vollzieht die </w:t>
      </w:r>
      <w:r>
        <w:rPr>
          <w:rtl/>
        </w:rPr>
        <w:t>תְּנוּפָה</w:t>
      </w:r>
      <w:r>
        <w:t xml:space="preserve"> – die Leviten können sich nicht selbst weihen</w:t>
      </w:r>
    </w:p>
    <w:p w14:paraId="6420E47F" w14:textId="77777777" w:rsidR="00451DE6" w:rsidRDefault="00451DE6" w:rsidP="00451DE6">
      <w:pPr>
        <w:pStyle w:val="whitespace-normal"/>
        <w:numPr>
          <w:ilvl w:val="0"/>
          <w:numId w:val="68"/>
        </w:numPr>
      </w:pPr>
      <w:r>
        <w:rPr>
          <w:rStyle w:val="Fett"/>
        </w:rPr>
        <w:t>Öffentliche Proklamation:</w:t>
      </w:r>
      <w:r>
        <w:t xml:space="preserve"> Die Schwingbewegung ist </w:t>
      </w:r>
      <w:r>
        <w:rPr>
          <w:rStyle w:val="Fett"/>
        </w:rPr>
        <w:t>symbolisch-deklarativ</w:t>
      </w:r>
      <w:r>
        <w:t>, nicht physisch</w:t>
      </w:r>
    </w:p>
    <w:p w14:paraId="5CEAD080" w14:textId="77777777" w:rsidR="00451DE6" w:rsidRDefault="00451DE6" w:rsidP="00451DE6">
      <w:pPr>
        <w:pStyle w:val="whitespace-normal"/>
      </w:pPr>
      <w:r>
        <w:rPr>
          <w:rStyle w:val="Fett"/>
        </w:rPr>
        <w:t>Spätere Rezeption:</w:t>
      </w:r>
    </w:p>
    <w:p w14:paraId="374D9BB6" w14:textId="77777777" w:rsidR="00451DE6" w:rsidRDefault="00451DE6" w:rsidP="00451DE6">
      <w:pPr>
        <w:pStyle w:val="whitespace-normal"/>
        <w:numPr>
          <w:ilvl w:val="0"/>
          <w:numId w:val="69"/>
        </w:numPr>
      </w:pPr>
      <w:r>
        <w:rPr>
          <w:rStyle w:val="Fett"/>
        </w:rPr>
        <w:t>Röm 12,1:</w:t>
      </w:r>
      <w:r>
        <w:t xml:space="preserve"> παραστῆσαι τὰ σώματα ὑμῶν θυσίαν ζῶσαν ("eure Leiber als lebendiges Opfer darzubringen") – </w:t>
      </w:r>
      <w:r>
        <w:rPr>
          <w:rStyle w:val="Fett"/>
        </w:rPr>
        <w:t>Paulus greift diese Metapher auf!</w:t>
      </w:r>
    </w:p>
    <w:p w14:paraId="2E3E82E8" w14:textId="77777777" w:rsidR="005C59C9" w:rsidRDefault="005C59C9" w:rsidP="005C59C9">
      <w:pPr>
        <w:pStyle w:val="whitespace-normal"/>
      </w:pPr>
    </w:p>
    <w:p w14:paraId="475EE87C" w14:textId="77777777" w:rsidR="005C59C9" w:rsidRPr="00651A08" w:rsidRDefault="005C59C9" w:rsidP="00651A08">
      <w:pPr>
        <w:spacing w:before="100" w:beforeAutospacing="1" w:after="100" w:afterAutospacing="1" w:line="240" w:lineRule="auto"/>
        <w:rPr>
          <w:rFonts w:eastAsia="Times New Roman" w:cs="Times New Roman"/>
          <w:lang w:eastAsia="de-DE"/>
        </w:rPr>
      </w:pPr>
    </w:p>
    <w:p w14:paraId="768131B6" w14:textId="77777777" w:rsidR="00651A08" w:rsidRPr="00651A08" w:rsidRDefault="00651A08" w:rsidP="00651A08">
      <w:pPr>
        <w:spacing w:before="100" w:beforeAutospacing="1" w:after="100" w:afterAutospacing="1" w:line="240" w:lineRule="auto"/>
        <w:outlineLvl w:val="0"/>
        <w:rPr>
          <w:rFonts w:eastAsia="Times New Roman" w:cs="Times New Roman"/>
          <w:b/>
          <w:bCs/>
          <w:kern w:val="36"/>
          <w:sz w:val="48"/>
          <w:szCs w:val="48"/>
          <w:lang w:eastAsia="de-DE"/>
        </w:rPr>
      </w:pPr>
      <w:r w:rsidRPr="00651A08">
        <w:rPr>
          <w:rFonts w:eastAsia="Times New Roman" w:cs="Times New Roman"/>
          <w:b/>
          <w:bCs/>
          <w:kern w:val="36"/>
          <w:sz w:val="48"/>
          <w:szCs w:val="48"/>
          <w:lang w:eastAsia="de-DE"/>
        </w:rPr>
        <w:lastRenderedPageBreak/>
        <w:t>Numeri 8,12</w:t>
      </w:r>
    </w:p>
    <w:p w14:paraId="555D17E4"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Hebräisch:</w:t>
      </w:r>
      <w:r w:rsidRPr="00651A08">
        <w:rPr>
          <w:rFonts w:eastAsia="Times New Roman" w:cs="Times New Roman"/>
          <w:lang w:eastAsia="de-DE"/>
        </w:rPr>
        <w:t xml:space="preserve"> </w:t>
      </w:r>
      <w:r w:rsidRPr="00651A08">
        <w:rPr>
          <w:rFonts w:eastAsia="Times New Roman" w:cs="Times New Roman"/>
          <w:rtl/>
          <w:lang w:eastAsia="de-DE"/>
        </w:rPr>
        <w:t>וְהַלְוִיִּם֙ יִסְמְכ֣וּ אֶת־יְדֵיהֶ֔ם עַ֖ל רֹ֣אשׁ הַפָּרִ֑ים וַ֠עֲשֵׂה אֶת־הָאֶחָ֨ד חַטָּ֜את וְאֶת־הָאֶחָ֤ד עֹלָה֙ לַֽיהוָ֔ה לְכַפֵּ֖ר עַל־הַלְוִיִּֽם׃</w:t>
      </w:r>
    </w:p>
    <w:p w14:paraId="6F6A5A92"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Deutsch:</w:t>
      </w:r>
      <w:r w:rsidRPr="00651A08">
        <w:rPr>
          <w:rFonts w:eastAsia="Times New Roman" w:cs="Times New Roman"/>
          <w:lang w:eastAsia="de-DE"/>
        </w:rPr>
        <w:t xml:space="preserve"> Und die Levijim sollen ihre Hände auf den Kopf der Stiere stützen; und bereite den einen als Sündopfer und den anderen als Aufsteigeopfer für den Ewigen zu, um Sühne für die Levijim zu schaffen.</w:t>
      </w:r>
    </w:p>
    <w:p w14:paraId="5E217D96" w14:textId="77777777" w:rsidR="00651A08" w:rsidRPr="00651A08" w:rsidRDefault="00F329DD" w:rsidP="00651A08">
      <w:pPr>
        <w:spacing w:after="0" w:line="240" w:lineRule="auto"/>
        <w:rPr>
          <w:rFonts w:eastAsia="Times New Roman" w:cs="Times New Roman"/>
          <w:lang w:eastAsia="de-DE"/>
        </w:rPr>
      </w:pPr>
      <w:r>
        <w:rPr>
          <w:rFonts w:eastAsia="Times New Roman" w:cs="Times New Roman"/>
          <w:noProof/>
          <w:lang w:eastAsia="de-DE"/>
        </w:rPr>
        <w:pict w14:anchorId="38BE813E">
          <v:rect id="_x0000_i1306" style="width:0;height:1.5pt" o:hralign="center" o:hrstd="t" o:hr="t" fillcolor="#a0a0a0" stroked="f"/>
        </w:pict>
      </w:r>
    </w:p>
    <w:p w14:paraId="45DBC8B8"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Kommentar:</w:t>
      </w:r>
      <w:r w:rsidRPr="00651A08">
        <w:rPr>
          <w:rFonts w:eastAsia="Times New Roman" w:cs="Times New Roman"/>
          <w:lang w:eastAsia="de-DE"/>
        </w:rPr>
        <w:t xml:space="preserve"> Das Verb </w:t>
      </w:r>
      <w:r w:rsidRPr="00651A08">
        <w:rPr>
          <w:rFonts w:eastAsia="Times New Roman" w:cs="Times New Roman"/>
          <w:b/>
          <w:bCs/>
          <w:rtl/>
          <w:lang w:eastAsia="de-DE"/>
        </w:rPr>
        <w:t>וְהַלְוִיִּם יִסְמְכוּ אֶת־יְדֵיהֶם עַל רֹאשׁ הַפָּרִים</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יִסְמְכוּ</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סמך</w:t>
      </w:r>
      <w:r w:rsidRPr="00651A08">
        <w:rPr>
          <w:rFonts w:eastAsia="Times New Roman" w:cs="Times New Roman"/>
          <w:rtl/>
          <w:lang w:eastAsia="de-DE"/>
        </w:rPr>
        <w:t xml:space="preserve"> </w:t>
      </w:r>
      <w:r w:rsidRPr="00651A08">
        <w:rPr>
          <w:rFonts w:eastAsia="Times New Roman" w:cs="Times New Roman"/>
          <w:lang w:eastAsia="de-DE"/>
        </w:rPr>
        <w:t>(stützen) im Qal-Imperfekt 3. maskulin Plural zeigt die levitische Handauflegung auf die beiden Stiere aus Vers 8.</w:t>
      </w:r>
    </w:p>
    <w:p w14:paraId="1BB023E5"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doppelte Imperativkonstruktion </w:t>
      </w:r>
      <w:r w:rsidRPr="00651A08">
        <w:rPr>
          <w:rFonts w:eastAsia="Times New Roman" w:cs="Times New Roman"/>
          <w:b/>
          <w:bCs/>
          <w:rtl/>
          <w:lang w:eastAsia="de-DE"/>
        </w:rPr>
        <w:t>וַעֲשֵׂה אֶת־הָאֶחָד חַטָּאת וְאֶת־הָאֶחָד עֹלָה לַיהוָה</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עֲשֵׂה</w:t>
      </w:r>
      <w:r w:rsidRPr="00651A08">
        <w:rPr>
          <w:rFonts w:eastAsia="Times New Roman" w:cs="Times New Roman"/>
          <w:rtl/>
          <w:lang w:eastAsia="de-DE"/>
        </w:rPr>
        <w:t xml:space="preserve"> </w:t>
      </w:r>
      <w:r w:rsidRPr="00651A08">
        <w:rPr>
          <w:rFonts w:eastAsia="Times New Roman" w:cs="Times New Roman"/>
          <w:lang w:eastAsia="de-DE"/>
        </w:rPr>
        <w:t xml:space="preserve">von </w:t>
      </w:r>
      <w:r w:rsidRPr="00651A08">
        <w:rPr>
          <w:rFonts w:eastAsia="Times New Roman" w:cs="Times New Roman"/>
          <w:b/>
          <w:bCs/>
          <w:rtl/>
          <w:lang w:eastAsia="de-DE"/>
        </w:rPr>
        <w:t>עשה</w:t>
      </w:r>
      <w:r w:rsidRPr="00651A08">
        <w:rPr>
          <w:rFonts w:eastAsia="Times New Roman" w:cs="Times New Roman"/>
          <w:rtl/>
          <w:lang w:eastAsia="de-DE"/>
        </w:rPr>
        <w:t xml:space="preserve"> </w:t>
      </w:r>
      <w:r w:rsidRPr="00651A08">
        <w:rPr>
          <w:rFonts w:eastAsia="Times New Roman" w:cs="Times New Roman"/>
          <w:lang w:eastAsia="de-DE"/>
        </w:rPr>
        <w:t xml:space="preserve">(machen/bereiten) im Qal-Imperativ, </w:t>
      </w:r>
      <w:r w:rsidRPr="00651A08">
        <w:rPr>
          <w:rFonts w:eastAsia="Times New Roman" w:cs="Times New Roman"/>
          <w:b/>
          <w:bCs/>
          <w:rtl/>
          <w:lang w:eastAsia="de-DE"/>
        </w:rPr>
        <w:t>הָאֶחָד</w:t>
      </w:r>
      <w:r w:rsidRPr="00651A08">
        <w:rPr>
          <w:rFonts w:eastAsia="Times New Roman" w:cs="Times New Roman"/>
          <w:rtl/>
          <w:lang w:eastAsia="de-DE"/>
        </w:rPr>
        <w:t xml:space="preserve"> </w:t>
      </w:r>
      <w:r w:rsidRPr="00651A08">
        <w:rPr>
          <w:rFonts w:eastAsia="Times New Roman" w:cs="Times New Roman"/>
          <w:lang w:eastAsia="de-DE"/>
        </w:rPr>
        <w:t xml:space="preserve">(der eine), </w:t>
      </w:r>
      <w:r w:rsidRPr="00651A08">
        <w:rPr>
          <w:rFonts w:eastAsia="Times New Roman" w:cs="Times New Roman"/>
          <w:b/>
          <w:bCs/>
          <w:rtl/>
          <w:lang w:eastAsia="de-DE"/>
        </w:rPr>
        <w:t>חַטָּאת</w:t>
      </w:r>
      <w:r w:rsidRPr="00651A08">
        <w:rPr>
          <w:rFonts w:eastAsia="Times New Roman" w:cs="Times New Roman"/>
          <w:rtl/>
          <w:lang w:eastAsia="de-DE"/>
        </w:rPr>
        <w:t xml:space="preserve"> </w:t>
      </w:r>
      <w:r w:rsidRPr="00651A08">
        <w:rPr>
          <w:rFonts w:eastAsia="Times New Roman" w:cs="Times New Roman"/>
          <w:lang w:eastAsia="de-DE"/>
        </w:rPr>
        <w:t xml:space="preserve">(Sündopfer), </w:t>
      </w:r>
      <w:r w:rsidRPr="00651A08">
        <w:rPr>
          <w:rFonts w:eastAsia="Times New Roman" w:cs="Times New Roman"/>
          <w:b/>
          <w:bCs/>
          <w:rtl/>
          <w:lang w:eastAsia="de-DE"/>
        </w:rPr>
        <w:t>הָאֶחָד</w:t>
      </w:r>
      <w:r w:rsidRPr="00651A08">
        <w:rPr>
          <w:rFonts w:eastAsia="Times New Roman" w:cs="Times New Roman"/>
          <w:rtl/>
          <w:lang w:eastAsia="de-DE"/>
        </w:rPr>
        <w:t xml:space="preserve"> </w:t>
      </w:r>
      <w:r w:rsidRPr="00651A08">
        <w:rPr>
          <w:rFonts w:eastAsia="Times New Roman" w:cs="Times New Roman"/>
          <w:lang w:eastAsia="de-DE"/>
        </w:rPr>
        <w:t xml:space="preserve">(der andere) und </w:t>
      </w:r>
      <w:r w:rsidRPr="00651A08">
        <w:rPr>
          <w:rFonts w:eastAsia="Times New Roman" w:cs="Times New Roman"/>
          <w:b/>
          <w:bCs/>
          <w:rtl/>
          <w:lang w:eastAsia="de-DE"/>
        </w:rPr>
        <w:t>עֹלָה</w:t>
      </w:r>
      <w:r w:rsidRPr="00651A08">
        <w:rPr>
          <w:rFonts w:eastAsia="Times New Roman" w:cs="Times New Roman"/>
          <w:rtl/>
          <w:lang w:eastAsia="de-DE"/>
        </w:rPr>
        <w:t xml:space="preserve"> </w:t>
      </w:r>
      <w:r w:rsidRPr="00651A08">
        <w:rPr>
          <w:rFonts w:eastAsia="Times New Roman" w:cs="Times New Roman"/>
          <w:lang w:eastAsia="de-DE"/>
        </w:rPr>
        <w:t>(Aufsteigeopfer) zeigt die unterschiedliche liturgische Verwendung der beiden Stiere.</w:t>
      </w:r>
    </w:p>
    <w:p w14:paraId="4F5DD4FE" w14:textId="4C0FBC0F"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 finale Bestimmung </w:t>
      </w:r>
      <w:r w:rsidRPr="00651A08">
        <w:rPr>
          <w:rFonts w:eastAsia="Times New Roman" w:cs="Times New Roman"/>
          <w:b/>
          <w:bCs/>
          <w:rtl/>
          <w:lang w:eastAsia="de-DE"/>
        </w:rPr>
        <w:t>לְכַפֵּר עַל־הַלְוִיִּם</w:t>
      </w:r>
      <w:r w:rsidRPr="00651A08">
        <w:rPr>
          <w:rFonts w:eastAsia="Times New Roman" w:cs="Times New Roman"/>
          <w:rtl/>
          <w:lang w:eastAsia="de-DE"/>
        </w:rPr>
        <w:t xml:space="preserve"> </w:t>
      </w:r>
      <w:r w:rsidRPr="00651A08">
        <w:rPr>
          <w:rFonts w:eastAsia="Times New Roman" w:cs="Times New Roman"/>
          <w:lang w:eastAsia="de-DE"/>
        </w:rPr>
        <w:t xml:space="preserve">mit </w:t>
      </w:r>
      <w:r w:rsidRPr="00651A08">
        <w:rPr>
          <w:rFonts w:eastAsia="Times New Roman" w:cs="Times New Roman"/>
          <w:b/>
          <w:bCs/>
          <w:rtl/>
          <w:lang w:eastAsia="de-DE"/>
        </w:rPr>
        <w:t>לְכַפֵּר</w:t>
      </w:r>
      <w:r w:rsidRPr="00651A08">
        <w:rPr>
          <w:rFonts w:eastAsia="Times New Roman" w:cs="Times New Roman"/>
          <w:rtl/>
          <w:lang w:eastAsia="de-DE"/>
        </w:rPr>
        <w:t xml:space="preserve"> </w:t>
      </w:r>
      <w:r w:rsidRPr="00651A08">
        <w:rPr>
          <w:rFonts w:eastAsia="Times New Roman" w:cs="Times New Roman"/>
          <w:lang w:eastAsia="de-DE"/>
        </w:rPr>
        <w:t>als Pi'el-Infinitiv-</w:t>
      </w:r>
      <w:r w:rsidR="00F133EC">
        <w:rPr>
          <w:rFonts w:eastAsia="Times New Roman" w:cs="Times New Roman"/>
          <w:lang w:eastAsia="de-DE"/>
        </w:rPr>
        <w:t>Construct</w:t>
      </w:r>
      <w:r w:rsidRPr="00651A08">
        <w:rPr>
          <w:rFonts w:eastAsia="Times New Roman" w:cs="Times New Roman"/>
          <w:lang w:eastAsia="de-DE"/>
        </w:rPr>
        <w:t xml:space="preserve"> von </w:t>
      </w:r>
      <w:r w:rsidRPr="00651A08">
        <w:rPr>
          <w:rFonts w:eastAsia="Times New Roman" w:cs="Times New Roman"/>
          <w:b/>
          <w:bCs/>
          <w:rtl/>
          <w:lang w:eastAsia="de-DE"/>
        </w:rPr>
        <w:t>כפר</w:t>
      </w:r>
      <w:r w:rsidRPr="00651A08">
        <w:rPr>
          <w:rFonts w:eastAsia="Times New Roman" w:cs="Times New Roman"/>
          <w:rtl/>
          <w:lang w:eastAsia="de-DE"/>
        </w:rPr>
        <w:t xml:space="preserve"> </w:t>
      </w:r>
      <w:r w:rsidRPr="00651A08">
        <w:rPr>
          <w:rFonts w:eastAsia="Times New Roman" w:cs="Times New Roman"/>
          <w:lang w:eastAsia="de-DE"/>
        </w:rPr>
        <w:t xml:space="preserve">(sühnen) und </w:t>
      </w:r>
      <w:r w:rsidRPr="00651A08">
        <w:rPr>
          <w:rFonts w:eastAsia="Times New Roman" w:cs="Times New Roman"/>
          <w:b/>
          <w:bCs/>
          <w:rtl/>
          <w:lang w:eastAsia="de-DE"/>
        </w:rPr>
        <w:t>עַל־הַלְוִיִּם</w:t>
      </w:r>
      <w:r w:rsidRPr="00651A08">
        <w:rPr>
          <w:rFonts w:eastAsia="Times New Roman" w:cs="Times New Roman"/>
          <w:rtl/>
          <w:lang w:eastAsia="de-DE"/>
        </w:rPr>
        <w:t xml:space="preserve"> </w:t>
      </w:r>
      <w:r w:rsidRPr="00651A08">
        <w:rPr>
          <w:rFonts w:eastAsia="Times New Roman" w:cs="Times New Roman"/>
          <w:lang w:eastAsia="de-DE"/>
        </w:rPr>
        <w:t>(für die Leviten) zeigt den Sühnzweck der Opfer speziell für die Leviten.</w:t>
      </w:r>
    </w:p>
    <w:p w14:paraId="5DC0F514"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b/>
          <w:bCs/>
          <w:lang w:eastAsia="de-DE"/>
        </w:rPr>
        <w:t>Die LXX</w:t>
      </w:r>
      <w:r w:rsidRPr="00651A08">
        <w:rPr>
          <w:rFonts w:eastAsia="Times New Roman" w:cs="Times New Roman"/>
          <w:lang w:eastAsia="de-DE"/>
        </w:rPr>
        <w:t xml:space="preserve"> übersetzt </w:t>
      </w:r>
      <w:r w:rsidRPr="00651A08">
        <w:rPr>
          <w:rFonts w:eastAsia="Times New Roman" w:cs="Times New Roman"/>
          <w:b/>
          <w:bCs/>
          <w:rtl/>
          <w:lang w:eastAsia="de-DE"/>
        </w:rPr>
        <w:t>יִסְמְכוּ</w:t>
      </w:r>
      <w:r w:rsidRPr="00651A08">
        <w:rPr>
          <w:rFonts w:eastAsia="Times New Roman" w:cs="Times New Roman"/>
          <w:rtl/>
          <w:lang w:eastAsia="de-DE"/>
        </w:rPr>
        <w:t xml:space="preserve"> </w:t>
      </w:r>
      <w:r w:rsidRPr="00651A08">
        <w:rPr>
          <w:rFonts w:eastAsia="Times New Roman" w:cs="Times New Roman"/>
          <w:lang w:eastAsia="de-DE"/>
        </w:rPr>
        <w:t xml:space="preserve">mit ἐπιθήσουσιν (sie werden auflegen) und </w:t>
      </w:r>
      <w:r w:rsidRPr="00651A08">
        <w:rPr>
          <w:rFonts w:eastAsia="Times New Roman" w:cs="Times New Roman"/>
          <w:b/>
          <w:bCs/>
          <w:rtl/>
          <w:lang w:eastAsia="de-DE"/>
        </w:rPr>
        <w:t>לְכַפֵּר</w:t>
      </w:r>
      <w:r w:rsidRPr="00651A08">
        <w:rPr>
          <w:rFonts w:eastAsia="Times New Roman" w:cs="Times New Roman"/>
          <w:rtl/>
          <w:lang w:eastAsia="de-DE"/>
        </w:rPr>
        <w:t xml:space="preserve"> </w:t>
      </w:r>
      <w:r w:rsidRPr="00651A08">
        <w:rPr>
          <w:rFonts w:eastAsia="Times New Roman" w:cs="Times New Roman"/>
          <w:lang w:eastAsia="de-DE"/>
        </w:rPr>
        <w:t>mit ἐξιλάσασθαι (um zu sühnen).</w:t>
      </w:r>
    </w:p>
    <w:p w14:paraId="4E86F42E" w14:textId="77777777"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Die Satzstruktur zeigt levitische Handauflegung auf die Opfertiere und deren unterschiedliche liturgische Verwendung mit spezifischem Sühnzweck für die Leviten.</w:t>
      </w:r>
    </w:p>
    <w:p w14:paraId="2A52627A" w14:textId="41ADAB6C" w:rsidR="00651A08" w:rsidRPr="00651A08" w:rsidRDefault="00651A08" w:rsidP="00651A08">
      <w:pPr>
        <w:spacing w:before="100" w:beforeAutospacing="1" w:after="100" w:afterAutospacing="1" w:line="240" w:lineRule="auto"/>
        <w:rPr>
          <w:rFonts w:eastAsia="Times New Roman" w:cs="Times New Roman"/>
          <w:lang w:eastAsia="de-DE"/>
        </w:rPr>
      </w:pPr>
      <w:r w:rsidRPr="00651A08">
        <w:rPr>
          <w:rFonts w:eastAsia="Times New Roman" w:cs="Times New Roman"/>
          <w:lang w:eastAsia="de-DE"/>
        </w:rPr>
        <w:t xml:space="preserve">Dieser Vers komplettiert das Opferritual mit levitischer Handauflegung und der Bestimmung der beiden Stiere für Sünd- und </w:t>
      </w:r>
      <w:r w:rsidR="005F5A7F">
        <w:rPr>
          <w:rFonts w:eastAsia="Times New Roman" w:cs="Times New Roman"/>
          <w:lang w:eastAsia="de-DE"/>
        </w:rPr>
        <w:t>Aufsteigeopfer</w:t>
      </w:r>
      <w:r w:rsidRPr="00651A08">
        <w:rPr>
          <w:rFonts w:eastAsia="Times New Roman" w:cs="Times New Roman"/>
          <w:lang w:eastAsia="de-DE"/>
        </w:rPr>
        <w:t xml:space="preserve"> zur levitischen Sühne.</w:t>
      </w:r>
    </w:p>
    <w:p w14:paraId="747653F8"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8,13</w:t>
      </w:r>
    </w:p>
    <w:p w14:paraId="7A8038B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וְהַֽעֲמַדְתָּ֙ אֶת־הַלְוִיִּ֔ם לִפְנֵ֥י אַהֲרֹ֖ן וְלִפְנֵ֣י בָנָ֑יו וְהֵנַפְתָּ֥ אֹתָ֛ם תְּנוּפָ֖ה לַֽיהוָֽה׃</w:t>
      </w:r>
    </w:p>
    <w:p w14:paraId="240CCCC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Und du sollst die Levijim vor 'Aharon und vor seine Söhne stellen und sie Schwingopfer für den Ewigen schwingen lassen.</w:t>
      </w:r>
    </w:p>
    <w:p w14:paraId="1A18B15B"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1837BB39">
          <v:rect id="_x0000_i1307" style="width:0;height:1.5pt" o:hralign="center" o:hrstd="t" o:hr="t" fillcolor="#a0a0a0" stroked="f"/>
        </w:pict>
      </w:r>
    </w:p>
    <w:p w14:paraId="4058B95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Das Verb </w:t>
      </w:r>
      <w:r w:rsidRPr="001C4F8B">
        <w:rPr>
          <w:rFonts w:eastAsia="Times New Roman" w:cs="Times New Roman"/>
          <w:b/>
          <w:bCs/>
          <w:rtl/>
          <w:lang w:eastAsia="de-DE"/>
        </w:rPr>
        <w:t>וְהַעֲמַדְתָּ</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עמד</w:t>
      </w:r>
      <w:r w:rsidRPr="001C4F8B">
        <w:rPr>
          <w:rFonts w:eastAsia="Times New Roman" w:cs="Times New Roman"/>
          <w:rtl/>
          <w:lang w:eastAsia="de-DE"/>
        </w:rPr>
        <w:t xml:space="preserve"> </w:t>
      </w:r>
      <w:r w:rsidRPr="001C4F8B">
        <w:rPr>
          <w:rFonts w:eastAsia="Times New Roman" w:cs="Times New Roman"/>
          <w:lang w:eastAsia="de-DE"/>
        </w:rPr>
        <w:t xml:space="preserve">(stehen) im Hiph'il-Perfekt 2. maskulin Singular mit </w:t>
      </w:r>
      <w:r w:rsidRPr="001C4F8B">
        <w:rPr>
          <w:rFonts w:eastAsia="Times New Roman" w:cs="Times New Roman"/>
          <w:b/>
          <w:bCs/>
          <w:rtl/>
          <w:lang w:eastAsia="de-DE"/>
        </w:rPr>
        <w:t>אֶת־הַלְוִיִּם</w:t>
      </w:r>
      <w:r w:rsidRPr="001C4F8B">
        <w:rPr>
          <w:rFonts w:eastAsia="Times New Roman" w:cs="Times New Roman"/>
          <w:rtl/>
          <w:lang w:eastAsia="de-DE"/>
        </w:rPr>
        <w:t xml:space="preserve"> </w:t>
      </w:r>
      <w:r w:rsidRPr="001C4F8B">
        <w:rPr>
          <w:rFonts w:eastAsia="Times New Roman" w:cs="Times New Roman"/>
          <w:lang w:eastAsia="de-DE"/>
        </w:rPr>
        <w:t>(die Leviten) zeigt die Positionierung der Leviten zur priesterlichen Präsentation.</w:t>
      </w:r>
    </w:p>
    <w:p w14:paraId="26CB0ACF"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doppelte Präsentation </w:t>
      </w:r>
      <w:r w:rsidRPr="001C4F8B">
        <w:rPr>
          <w:rFonts w:eastAsia="Times New Roman" w:cs="Times New Roman"/>
          <w:b/>
          <w:bCs/>
          <w:rtl/>
          <w:lang w:eastAsia="de-DE"/>
        </w:rPr>
        <w:t>לִפְנֵי אַהֲרֹן וְלִפְנֵי בָנָיו</w:t>
      </w:r>
      <w:r w:rsidRPr="001C4F8B">
        <w:rPr>
          <w:rFonts w:eastAsia="Times New Roman" w:cs="Times New Roman"/>
          <w:rtl/>
          <w:lang w:eastAsia="de-DE"/>
        </w:rPr>
        <w:t xml:space="preserve"> </w:t>
      </w:r>
      <w:r w:rsidRPr="001C4F8B">
        <w:rPr>
          <w:rFonts w:eastAsia="Times New Roman" w:cs="Times New Roman"/>
          <w:lang w:eastAsia="de-DE"/>
        </w:rPr>
        <w:t xml:space="preserve">(vor Aaron und vor seine Söhne) mit </w:t>
      </w:r>
      <w:r w:rsidRPr="001C4F8B">
        <w:rPr>
          <w:rFonts w:eastAsia="Times New Roman" w:cs="Times New Roman"/>
          <w:b/>
          <w:bCs/>
          <w:rtl/>
          <w:lang w:eastAsia="de-DE"/>
        </w:rPr>
        <w:t>לִפְנֵי</w:t>
      </w:r>
      <w:r w:rsidRPr="001C4F8B">
        <w:rPr>
          <w:rFonts w:eastAsia="Times New Roman" w:cs="Times New Roman"/>
          <w:rtl/>
          <w:lang w:eastAsia="de-DE"/>
        </w:rPr>
        <w:t xml:space="preserve"> </w:t>
      </w:r>
      <w:r w:rsidRPr="001C4F8B">
        <w:rPr>
          <w:rFonts w:eastAsia="Times New Roman" w:cs="Times New Roman"/>
          <w:lang w:eastAsia="de-DE"/>
        </w:rPr>
        <w:t>(vor) betont die Darstellung vor der gesamten Priesterschaft: dem Hohepriester und allen anderen Priestern.</w:t>
      </w:r>
    </w:p>
    <w:p w14:paraId="566A769F"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lastRenderedPageBreak/>
        <w:t xml:space="preserve">Das koordinierte Verb </w:t>
      </w:r>
      <w:r w:rsidRPr="001C4F8B">
        <w:rPr>
          <w:rFonts w:eastAsia="Times New Roman" w:cs="Times New Roman"/>
          <w:b/>
          <w:bCs/>
          <w:rtl/>
          <w:lang w:eastAsia="de-DE"/>
        </w:rPr>
        <w:t>וְהֵנַפְתָּ אֹתָם תְּנוּפָה לַיהוָה</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הֵנַפְתָּ</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נוף</w:t>
      </w:r>
      <w:r w:rsidRPr="001C4F8B">
        <w:rPr>
          <w:rFonts w:eastAsia="Times New Roman" w:cs="Times New Roman"/>
          <w:rtl/>
          <w:lang w:eastAsia="de-DE"/>
        </w:rPr>
        <w:t xml:space="preserve"> </w:t>
      </w:r>
      <w:r w:rsidRPr="001C4F8B">
        <w:rPr>
          <w:rFonts w:eastAsia="Times New Roman" w:cs="Times New Roman"/>
          <w:lang w:eastAsia="de-DE"/>
        </w:rPr>
        <w:t xml:space="preserve">(schwingen) im Hiph'il-Perfekt 2. maskulin Singular, </w:t>
      </w:r>
      <w:r w:rsidRPr="001C4F8B">
        <w:rPr>
          <w:rFonts w:eastAsia="Times New Roman" w:cs="Times New Roman"/>
          <w:b/>
          <w:bCs/>
          <w:rtl/>
          <w:lang w:eastAsia="de-DE"/>
        </w:rPr>
        <w:t>אֹתָם</w:t>
      </w:r>
      <w:r w:rsidRPr="001C4F8B">
        <w:rPr>
          <w:rFonts w:eastAsia="Times New Roman" w:cs="Times New Roman"/>
          <w:rtl/>
          <w:lang w:eastAsia="de-DE"/>
        </w:rPr>
        <w:t xml:space="preserve"> </w:t>
      </w:r>
      <w:r w:rsidRPr="001C4F8B">
        <w:rPr>
          <w:rFonts w:eastAsia="Times New Roman" w:cs="Times New Roman"/>
          <w:lang w:eastAsia="de-DE"/>
        </w:rPr>
        <w:t xml:space="preserve">(sie), </w:t>
      </w:r>
      <w:r w:rsidRPr="001C4F8B">
        <w:rPr>
          <w:rFonts w:eastAsia="Times New Roman" w:cs="Times New Roman"/>
          <w:b/>
          <w:bCs/>
          <w:rtl/>
          <w:lang w:eastAsia="de-DE"/>
        </w:rPr>
        <w:t>תְּנוּפָה</w:t>
      </w:r>
      <w:r w:rsidRPr="001C4F8B">
        <w:rPr>
          <w:rFonts w:eastAsia="Times New Roman" w:cs="Times New Roman"/>
          <w:rtl/>
          <w:lang w:eastAsia="de-DE"/>
        </w:rPr>
        <w:t xml:space="preserve"> </w:t>
      </w:r>
      <w:r w:rsidRPr="001C4F8B">
        <w:rPr>
          <w:rFonts w:eastAsia="Times New Roman" w:cs="Times New Roman"/>
          <w:lang w:eastAsia="de-DE"/>
        </w:rPr>
        <w:t xml:space="preserve">(Schwingung) als cognate Accusativ und </w:t>
      </w:r>
      <w:r w:rsidRPr="001C4F8B">
        <w:rPr>
          <w:rFonts w:eastAsia="Times New Roman" w:cs="Times New Roman"/>
          <w:b/>
          <w:bCs/>
          <w:rtl/>
          <w:lang w:eastAsia="de-DE"/>
        </w:rPr>
        <w:t>לַיהוָה</w:t>
      </w:r>
      <w:r w:rsidRPr="001C4F8B">
        <w:rPr>
          <w:rFonts w:eastAsia="Times New Roman" w:cs="Times New Roman"/>
          <w:rtl/>
          <w:lang w:eastAsia="de-DE"/>
        </w:rPr>
        <w:t xml:space="preserve"> </w:t>
      </w:r>
      <w:r w:rsidRPr="001C4F8B">
        <w:rPr>
          <w:rFonts w:eastAsia="Times New Roman" w:cs="Times New Roman"/>
          <w:lang w:eastAsia="de-DE"/>
        </w:rPr>
        <w:t>(für den Ewigen) wiederholt die außergewöhnliche Menschen-Schwingopferung aus Vers 11.</w:t>
      </w:r>
    </w:p>
    <w:p w14:paraId="4D55A048"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w:t>
      </w:r>
      <w:r w:rsidRPr="001C4F8B">
        <w:rPr>
          <w:rFonts w:eastAsia="Times New Roman" w:cs="Times New Roman"/>
          <w:b/>
          <w:bCs/>
          <w:rtl/>
          <w:lang w:eastAsia="de-DE"/>
        </w:rPr>
        <w:t>הַעֲמַדְתָּ</w:t>
      </w:r>
      <w:r w:rsidRPr="001C4F8B">
        <w:rPr>
          <w:rFonts w:eastAsia="Times New Roman" w:cs="Times New Roman"/>
          <w:rtl/>
          <w:lang w:eastAsia="de-DE"/>
        </w:rPr>
        <w:t xml:space="preserve"> </w:t>
      </w:r>
      <w:r w:rsidRPr="001C4F8B">
        <w:rPr>
          <w:rFonts w:eastAsia="Times New Roman" w:cs="Times New Roman"/>
          <w:lang w:eastAsia="de-DE"/>
        </w:rPr>
        <w:t xml:space="preserve">mit στήσεις (du wirst stellen) und </w:t>
      </w:r>
      <w:r w:rsidRPr="001C4F8B">
        <w:rPr>
          <w:rFonts w:eastAsia="Times New Roman" w:cs="Times New Roman"/>
          <w:b/>
          <w:bCs/>
          <w:rtl/>
          <w:lang w:eastAsia="de-DE"/>
        </w:rPr>
        <w:t>הֵנַפְתָּ</w:t>
      </w:r>
      <w:r w:rsidRPr="001C4F8B">
        <w:rPr>
          <w:rFonts w:eastAsia="Times New Roman" w:cs="Times New Roman"/>
          <w:rtl/>
          <w:lang w:eastAsia="de-DE"/>
        </w:rPr>
        <w:t xml:space="preserve"> </w:t>
      </w:r>
      <w:r w:rsidRPr="001C4F8B">
        <w:rPr>
          <w:rFonts w:eastAsia="Times New Roman" w:cs="Times New Roman"/>
          <w:lang w:eastAsia="de-DE"/>
        </w:rPr>
        <w:t>mit ἀποδώσεις (du wirst abgeben/weihen).</w:t>
      </w:r>
    </w:p>
    <w:p w14:paraId="68F2C0E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 Satzstruktur zeigt die Positionierung vor der gesamten Priesterschaft und die wiederholte Schwingopferung als Verstärkung der Weihe.</w:t>
      </w:r>
    </w:p>
    <w:p w14:paraId="43E0049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verstärkt die levitische Weihe durch Präsentation vor der gesamten Priesterschaft und wiederholte Schwingopferung.</w:t>
      </w:r>
    </w:p>
    <w:p w14:paraId="041DBD93"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8,14</w:t>
      </w:r>
    </w:p>
    <w:p w14:paraId="03FE6F45"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וְהִבְדַּלְתָּ֙ אֶת־הַלְוִיִּ֔ם מִתּ֖וֹךְ בְּנֵ֣י יִשְׂרָאֵ֑ל וְהָ֥יוּ לִ֖י הַלְוִיִּֽם׃</w:t>
      </w:r>
    </w:p>
    <w:p w14:paraId="52FF6CC0"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Und du sollst die Levijim aus der Mitte der Söhne Jisra'els aussondern, damit die Levijim mir gehören.</w:t>
      </w:r>
    </w:p>
    <w:p w14:paraId="2BFBF4EB"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2D164443">
          <v:rect id="_x0000_i1308" style="width:0;height:1.5pt" o:hralign="center" o:hrstd="t" o:hr="t" fillcolor="#a0a0a0" stroked="f"/>
        </w:pict>
      </w:r>
    </w:p>
    <w:p w14:paraId="7BEF95D0"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Das Verb </w:t>
      </w:r>
      <w:r w:rsidRPr="001C4F8B">
        <w:rPr>
          <w:rFonts w:eastAsia="Times New Roman" w:cs="Times New Roman"/>
          <w:b/>
          <w:bCs/>
          <w:rtl/>
          <w:lang w:eastAsia="de-DE"/>
        </w:rPr>
        <w:t>וְהִבְדַּלְתָּ</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בדל</w:t>
      </w:r>
      <w:r w:rsidRPr="001C4F8B">
        <w:rPr>
          <w:rFonts w:eastAsia="Times New Roman" w:cs="Times New Roman"/>
          <w:rtl/>
          <w:lang w:eastAsia="de-DE"/>
        </w:rPr>
        <w:t xml:space="preserve"> </w:t>
      </w:r>
      <w:r w:rsidRPr="001C4F8B">
        <w:rPr>
          <w:rFonts w:eastAsia="Times New Roman" w:cs="Times New Roman"/>
          <w:lang w:eastAsia="de-DE"/>
        </w:rPr>
        <w:t xml:space="preserve">(trennen/aussondern) im Hiph'il-Perfekt 2. maskulin Singular mit </w:t>
      </w:r>
      <w:r w:rsidRPr="001C4F8B">
        <w:rPr>
          <w:rFonts w:eastAsia="Times New Roman" w:cs="Times New Roman"/>
          <w:b/>
          <w:bCs/>
          <w:rtl/>
          <w:lang w:eastAsia="de-DE"/>
        </w:rPr>
        <w:t>אֶת־הַלְוִיִּם</w:t>
      </w:r>
      <w:r w:rsidRPr="001C4F8B">
        <w:rPr>
          <w:rFonts w:eastAsia="Times New Roman" w:cs="Times New Roman"/>
          <w:rtl/>
          <w:lang w:eastAsia="de-DE"/>
        </w:rPr>
        <w:t xml:space="preserve"> </w:t>
      </w:r>
      <w:r w:rsidRPr="001C4F8B">
        <w:rPr>
          <w:rFonts w:eastAsia="Times New Roman" w:cs="Times New Roman"/>
          <w:lang w:eastAsia="de-DE"/>
        </w:rPr>
        <w:t>(die Leviten) zeigt die definitive Separation der Leviten.</w:t>
      </w:r>
    </w:p>
    <w:p w14:paraId="3153407A"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präpositionale Bestimmung </w:t>
      </w:r>
      <w:r w:rsidRPr="001C4F8B">
        <w:rPr>
          <w:rFonts w:eastAsia="Times New Roman" w:cs="Times New Roman"/>
          <w:b/>
          <w:bCs/>
          <w:rtl/>
          <w:lang w:eastAsia="de-DE"/>
        </w:rPr>
        <w:t>מִתּוֹךְ בְּנֵי יִשְׂרָאֵל</w:t>
      </w:r>
      <w:r w:rsidRPr="001C4F8B">
        <w:rPr>
          <w:rFonts w:eastAsia="Times New Roman" w:cs="Times New Roman"/>
          <w:rtl/>
          <w:lang w:eastAsia="de-DE"/>
        </w:rPr>
        <w:t xml:space="preserve"> </w:t>
      </w:r>
      <w:r w:rsidRPr="001C4F8B">
        <w:rPr>
          <w:rFonts w:eastAsia="Times New Roman" w:cs="Times New Roman"/>
          <w:lang w:eastAsia="de-DE"/>
        </w:rPr>
        <w:t>(aus der Mitte der Söhne Israels) wiederholt die Formulierung aus Vers 6, betont aber jetzt die vollzogene Aussonderung nach der Weihe.</w:t>
      </w:r>
    </w:p>
    <w:p w14:paraId="61DD6228"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finale Bestimmung </w:t>
      </w:r>
      <w:r w:rsidRPr="001C4F8B">
        <w:rPr>
          <w:rFonts w:eastAsia="Times New Roman" w:cs="Times New Roman"/>
          <w:b/>
          <w:bCs/>
          <w:rtl/>
          <w:lang w:eastAsia="de-DE"/>
        </w:rPr>
        <w:t>וְהָיוּ לִי הַלְוִיִּם</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הָיוּ</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היה</w:t>
      </w:r>
      <w:r w:rsidRPr="001C4F8B">
        <w:rPr>
          <w:rFonts w:eastAsia="Times New Roman" w:cs="Times New Roman"/>
          <w:rtl/>
          <w:lang w:eastAsia="de-DE"/>
        </w:rPr>
        <w:t xml:space="preserve"> </w:t>
      </w:r>
      <w:r w:rsidRPr="001C4F8B">
        <w:rPr>
          <w:rFonts w:eastAsia="Times New Roman" w:cs="Times New Roman"/>
          <w:lang w:eastAsia="de-DE"/>
        </w:rPr>
        <w:t xml:space="preserve">(sein) im Qal-Perfekt 3. maskulin Plural, </w:t>
      </w:r>
      <w:r w:rsidRPr="001C4F8B">
        <w:rPr>
          <w:rFonts w:eastAsia="Times New Roman" w:cs="Times New Roman"/>
          <w:b/>
          <w:bCs/>
          <w:rtl/>
          <w:lang w:eastAsia="de-DE"/>
        </w:rPr>
        <w:t>לִי</w:t>
      </w:r>
      <w:r w:rsidRPr="001C4F8B">
        <w:rPr>
          <w:rFonts w:eastAsia="Times New Roman" w:cs="Times New Roman"/>
          <w:rtl/>
          <w:lang w:eastAsia="de-DE"/>
        </w:rPr>
        <w:t xml:space="preserve"> </w:t>
      </w:r>
      <w:r w:rsidRPr="001C4F8B">
        <w:rPr>
          <w:rFonts w:eastAsia="Times New Roman" w:cs="Times New Roman"/>
          <w:lang w:eastAsia="de-DE"/>
        </w:rPr>
        <w:t xml:space="preserve">(mir) und </w:t>
      </w:r>
      <w:r w:rsidRPr="001C4F8B">
        <w:rPr>
          <w:rFonts w:eastAsia="Times New Roman" w:cs="Times New Roman"/>
          <w:b/>
          <w:bCs/>
          <w:rtl/>
          <w:lang w:eastAsia="de-DE"/>
        </w:rPr>
        <w:t>הַלְוִיִּם</w:t>
      </w:r>
      <w:r w:rsidRPr="001C4F8B">
        <w:rPr>
          <w:rFonts w:eastAsia="Times New Roman" w:cs="Times New Roman"/>
          <w:rtl/>
          <w:lang w:eastAsia="de-DE"/>
        </w:rPr>
        <w:t xml:space="preserve"> </w:t>
      </w:r>
      <w:r w:rsidRPr="001C4F8B">
        <w:rPr>
          <w:rFonts w:eastAsia="Times New Roman" w:cs="Times New Roman"/>
          <w:lang w:eastAsia="de-DE"/>
        </w:rPr>
        <w:t>(die Leviten) zeigt das Ergebnis: die Leviten gehören nun Gott.</w:t>
      </w:r>
    </w:p>
    <w:p w14:paraId="050B9092"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w:t>
      </w:r>
      <w:r w:rsidRPr="001C4F8B">
        <w:rPr>
          <w:rFonts w:eastAsia="Times New Roman" w:cs="Times New Roman"/>
          <w:b/>
          <w:bCs/>
          <w:rtl/>
          <w:lang w:eastAsia="de-DE"/>
        </w:rPr>
        <w:t>הִבְדַּלְתָּ</w:t>
      </w:r>
      <w:r w:rsidRPr="001C4F8B">
        <w:rPr>
          <w:rFonts w:eastAsia="Times New Roman" w:cs="Times New Roman"/>
          <w:rtl/>
          <w:lang w:eastAsia="de-DE"/>
        </w:rPr>
        <w:t xml:space="preserve"> </w:t>
      </w:r>
      <w:r w:rsidRPr="001C4F8B">
        <w:rPr>
          <w:rFonts w:eastAsia="Times New Roman" w:cs="Times New Roman"/>
          <w:lang w:eastAsia="de-DE"/>
        </w:rPr>
        <w:t xml:space="preserve">mit διαστελεῖς (du wirst unterscheiden/trennen) und </w:t>
      </w:r>
      <w:r w:rsidRPr="001C4F8B">
        <w:rPr>
          <w:rFonts w:eastAsia="Times New Roman" w:cs="Times New Roman"/>
          <w:b/>
          <w:bCs/>
          <w:rtl/>
          <w:lang w:eastAsia="de-DE"/>
        </w:rPr>
        <w:t>הָיוּ לִי</w:t>
      </w:r>
      <w:r w:rsidRPr="001C4F8B">
        <w:rPr>
          <w:rFonts w:eastAsia="Times New Roman" w:cs="Times New Roman"/>
          <w:rtl/>
          <w:lang w:eastAsia="de-DE"/>
        </w:rPr>
        <w:t xml:space="preserve"> </w:t>
      </w:r>
      <w:r w:rsidRPr="001C4F8B">
        <w:rPr>
          <w:rFonts w:eastAsia="Times New Roman" w:cs="Times New Roman"/>
          <w:lang w:eastAsia="de-DE"/>
        </w:rPr>
        <w:t>mit ἔσονταί μοι (sie werden mir gehören).</w:t>
      </w:r>
    </w:p>
    <w:p w14:paraId="27B5E411"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 Satzstruktur zeigt die vollzogene Aussonderung aus dem Volk und die resultierende exklusive göttliche Zugehörigkeit.</w:t>
      </w:r>
    </w:p>
    <w:p w14:paraId="07FB2E68"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markiert die vollzogene Separation der Leviten und ihre ausschließliche Zugehörigkeit zu Gott.</w:t>
      </w:r>
    </w:p>
    <w:p w14:paraId="4A2FF12C"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8,15</w:t>
      </w:r>
    </w:p>
    <w:p w14:paraId="2C43F0F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וְאַֽחֲרֵי־כֵן֙ יָבֹ֣אוּ הַלְוִיִּ֔ם לַעֲבֹ֖ד אֶת־אֹ֣הֶל מוֹעֵ֑ד וְטִֽהַרְתָּ֣ אֹתָ֔ם וְהֵנַפְתָּ֥ אֹתָ֖ם תְּנוּפָֽה׃</w:t>
      </w:r>
    </w:p>
    <w:p w14:paraId="457FEE40"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Und danach sollen die Levijim kommen, um am Zelt der Begegnung zu dienen. So sollst du sie reinigen und sie Schwingopfer schwingen lassen.</w:t>
      </w:r>
    </w:p>
    <w:p w14:paraId="57E3E1C5"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4A458DEA">
          <v:rect id="_x0000_i1309" style="width:0;height:1.5pt" o:hralign="center" o:hrstd="t" o:hr="t" fillcolor="#a0a0a0" stroked="f"/>
        </w:pict>
      </w:r>
    </w:p>
    <w:p w14:paraId="5C591835"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lastRenderedPageBreak/>
        <w:t>Kommentar:</w:t>
      </w:r>
      <w:r w:rsidRPr="001C4F8B">
        <w:rPr>
          <w:rFonts w:eastAsia="Times New Roman" w:cs="Times New Roman"/>
          <w:lang w:eastAsia="de-DE"/>
        </w:rPr>
        <w:t xml:space="preserve"> Die temporale Bestimmung </w:t>
      </w:r>
      <w:r w:rsidRPr="001C4F8B">
        <w:rPr>
          <w:rFonts w:eastAsia="Times New Roman" w:cs="Times New Roman"/>
          <w:b/>
          <w:bCs/>
          <w:rtl/>
          <w:lang w:eastAsia="de-DE"/>
        </w:rPr>
        <w:t>וְאַחֲרֵי־כֵן</w:t>
      </w:r>
      <w:r w:rsidRPr="001C4F8B">
        <w:rPr>
          <w:rFonts w:eastAsia="Times New Roman" w:cs="Times New Roman"/>
          <w:rtl/>
          <w:lang w:eastAsia="de-DE"/>
        </w:rPr>
        <w:t xml:space="preserve"> </w:t>
      </w:r>
      <w:r w:rsidRPr="001C4F8B">
        <w:rPr>
          <w:rFonts w:eastAsia="Times New Roman" w:cs="Times New Roman"/>
          <w:lang w:eastAsia="de-DE"/>
        </w:rPr>
        <w:t xml:space="preserve">(und danach) mit </w:t>
      </w:r>
      <w:r w:rsidRPr="001C4F8B">
        <w:rPr>
          <w:rFonts w:eastAsia="Times New Roman" w:cs="Times New Roman"/>
          <w:b/>
          <w:bCs/>
          <w:rtl/>
          <w:lang w:eastAsia="de-DE"/>
        </w:rPr>
        <w:t>אַחֲרֵי</w:t>
      </w:r>
      <w:r w:rsidRPr="001C4F8B">
        <w:rPr>
          <w:rFonts w:eastAsia="Times New Roman" w:cs="Times New Roman"/>
          <w:rtl/>
          <w:lang w:eastAsia="de-DE"/>
        </w:rPr>
        <w:t xml:space="preserve"> </w:t>
      </w:r>
      <w:r w:rsidRPr="001C4F8B">
        <w:rPr>
          <w:rFonts w:eastAsia="Times New Roman" w:cs="Times New Roman"/>
          <w:lang w:eastAsia="de-DE"/>
        </w:rPr>
        <w:t xml:space="preserve">(nach) und </w:t>
      </w:r>
      <w:r w:rsidRPr="001C4F8B">
        <w:rPr>
          <w:rFonts w:eastAsia="Times New Roman" w:cs="Times New Roman"/>
          <w:b/>
          <w:bCs/>
          <w:rtl/>
          <w:lang w:eastAsia="de-DE"/>
        </w:rPr>
        <w:t>כֵן</w:t>
      </w:r>
      <w:r w:rsidRPr="001C4F8B">
        <w:rPr>
          <w:rFonts w:eastAsia="Times New Roman" w:cs="Times New Roman"/>
          <w:rtl/>
          <w:lang w:eastAsia="de-DE"/>
        </w:rPr>
        <w:t xml:space="preserve"> </w:t>
      </w:r>
      <w:r w:rsidRPr="001C4F8B">
        <w:rPr>
          <w:rFonts w:eastAsia="Times New Roman" w:cs="Times New Roman"/>
          <w:lang w:eastAsia="de-DE"/>
        </w:rPr>
        <w:t>(so/dies) zeigt die zeitliche Sequenz nach vollzogener Weihe.</w:t>
      </w:r>
    </w:p>
    <w:p w14:paraId="61029AB2" w14:textId="49EBDCF9"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Das Verb </w:t>
      </w:r>
      <w:r w:rsidRPr="001C4F8B">
        <w:rPr>
          <w:rFonts w:eastAsia="Times New Roman" w:cs="Times New Roman"/>
          <w:b/>
          <w:bCs/>
          <w:rtl/>
          <w:lang w:eastAsia="de-DE"/>
        </w:rPr>
        <w:t>יָבֹאוּ הַלְוִיִּם לַעֲבֹד אֶת־אֹהֶל מוֹעֵד</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יָבֹאוּ</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בוא</w:t>
      </w:r>
      <w:r w:rsidRPr="001C4F8B">
        <w:rPr>
          <w:rFonts w:eastAsia="Times New Roman" w:cs="Times New Roman"/>
          <w:rtl/>
          <w:lang w:eastAsia="de-DE"/>
        </w:rPr>
        <w:t xml:space="preserve"> </w:t>
      </w:r>
      <w:r w:rsidRPr="001C4F8B">
        <w:rPr>
          <w:rFonts w:eastAsia="Times New Roman" w:cs="Times New Roman"/>
          <w:lang w:eastAsia="de-DE"/>
        </w:rPr>
        <w:t xml:space="preserve">(kommen) im Qal-Imperfekt 3. maskulin Plural, </w:t>
      </w:r>
      <w:r w:rsidRPr="001C4F8B">
        <w:rPr>
          <w:rFonts w:eastAsia="Times New Roman" w:cs="Times New Roman"/>
          <w:b/>
          <w:bCs/>
          <w:rtl/>
          <w:lang w:eastAsia="de-DE"/>
        </w:rPr>
        <w:t>לַעֲבֹד</w:t>
      </w:r>
      <w:r w:rsidRPr="001C4F8B">
        <w:rPr>
          <w:rFonts w:eastAsia="Times New Roman" w:cs="Times New Roman"/>
          <w:rtl/>
          <w:lang w:eastAsia="de-DE"/>
        </w:rPr>
        <w:t xml:space="preserve"> </w:t>
      </w:r>
      <w:r w:rsidRPr="001C4F8B">
        <w:rPr>
          <w:rFonts w:eastAsia="Times New Roman" w:cs="Times New Roman"/>
          <w:lang w:eastAsia="de-DE"/>
        </w:rPr>
        <w:t>als Infinitiv-</w:t>
      </w:r>
      <w:r w:rsidR="00F133EC">
        <w:rPr>
          <w:rFonts w:eastAsia="Times New Roman" w:cs="Times New Roman"/>
          <w:lang w:eastAsia="de-DE"/>
        </w:rPr>
        <w:t>Construct</w:t>
      </w:r>
      <w:r w:rsidRPr="001C4F8B">
        <w:rPr>
          <w:rFonts w:eastAsia="Times New Roman" w:cs="Times New Roman"/>
          <w:lang w:eastAsia="de-DE"/>
        </w:rPr>
        <w:t xml:space="preserve"> von </w:t>
      </w:r>
      <w:r w:rsidRPr="001C4F8B">
        <w:rPr>
          <w:rFonts w:eastAsia="Times New Roman" w:cs="Times New Roman"/>
          <w:b/>
          <w:bCs/>
          <w:rtl/>
          <w:lang w:eastAsia="de-DE"/>
        </w:rPr>
        <w:t>עבד</w:t>
      </w:r>
      <w:r w:rsidRPr="001C4F8B">
        <w:rPr>
          <w:rFonts w:eastAsia="Times New Roman" w:cs="Times New Roman"/>
          <w:rtl/>
          <w:lang w:eastAsia="de-DE"/>
        </w:rPr>
        <w:t xml:space="preserve"> </w:t>
      </w:r>
      <w:r w:rsidRPr="001C4F8B">
        <w:rPr>
          <w:rFonts w:eastAsia="Times New Roman" w:cs="Times New Roman"/>
          <w:lang w:eastAsia="de-DE"/>
        </w:rPr>
        <w:t xml:space="preserve">(dienen) und </w:t>
      </w:r>
      <w:r w:rsidRPr="001C4F8B">
        <w:rPr>
          <w:rFonts w:eastAsia="Times New Roman" w:cs="Times New Roman"/>
          <w:b/>
          <w:bCs/>
          <w:rtl/>
          <w:lang w:eastAsia="de-DE"/>
        </w:rPr>
        <w:t>אֶת־אֹהֶל מוֹעֵד</w:t>
      </w:r>
      <w:r w:rsidRPr="001C4F8B">
        <w:rPr>
          <w:rFonts w:eastAsia="Times New Roman" w:cs="Times New Roman"/>
          <w:rtl/>
          <w:lang w:eastAsia="de-DE"/>
        </w:rPr>
        <w:t xml:space="preserve"> </w:t>
      </w:r>
      <w:r w:rsidRPr="001C4F8B">
        <w:rPr>
          <w:rFonts w:eastAsia="Times New Roman" w:cs="Times New Roman"/>
          <w:lang w:eastAsia="de-DE"/>
        </w:rPr>
        <w:t>(das Zelt der Begegnung) zeigt den Beginn des levitischen Dienstes.</w:t>
      </w:r>
    </w:p>
    <w:p w14:paraId="3BF578A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zusammenfassende Wiederholung </w:t>
      </w:r>
      <w:r w:rsidRPr="001C4F8B">
        <w:rPr>
          <w:rFonts w:eastAsia="Times New Roman" w:cs="Times New Roman"/>
          <w:b/>
          <w:bCs/>
          <w:rtl/>
          <w:lang w:eastAsia="de-DE"/>
        </w:rPr>
        <w:t>וְטִהַרְתָּ אֹתָם וְהֵנַפְתָּ אֹתָם תְּנוּפָה</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טִהַרְתָּ</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טהר</w:t>
      </w:r>
      <w:r w:rsidRPr="001C4F8B">
        <w:rPr>
          <w:rFonts w:eastAsia="Times New Roman" w:cs="Times New Roman"/>
          <w:rtl/>
          <w:lang w:eastAsia="de-DE"/>
        </w:rPr>
        <w:t xml:space="preserve"> </w:t>
      </w:r>
      <w:r w:rsidRPr="001C4F8B">
        <w:rPr>
          <w:rFonts w:eastAsia="Times New Roman" w:cs="Times New Roman"/>
          <w:lang w:eastAsia="de-DE"/>
        </w:rPr>
        <w:t xml:space="preserve">(reinigen) und </w:t>
      </w:r>
      <w:r w:rsidRPr="001C4F8B">
        <w:rPr>
          <w:rFonts w:eastAsia="Times New Roman" w:cs="Times New Roman"/>
          <w:b/>
          <w:bCs/>
          <w:rtl/>
          <w:lang w:eastAsia="de-DE"/>
        </w:rPr>
        <w:t>הֵנַפְתָּ</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נוף</w:t>
      </w:r>
      <w:r w:rsidRPr="001C4F8B">
        <w:rPr>
          <w:rFonts w:eastAsia="Times New Roman" w:cs="Times New Roman"/>
          <w:rtl/>
          <w:lang w:eastAsia="de-DE"/>
        </w:rPr>
        <w:t xml:space="preserve"> </w:t>
      </w:r>
      <w:r w:rsidRPr="001C4F8B">
        <w:rPr>
          <w:rFonts w:eastAsia="Times New Roman" w:cs="Times New Roman"/>
          <w:lang w:eastAsia="de-DE"/>
        </w:rPr>
        <w:t>(schwingen) wiederholt die beiden Hauptelemente der Weihe als Voraussetzung für den Dienst.</w:t>
      </w:r>
    </w:p>
    <w:p w14:paraId="53227E4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w:t>
      </w:r>
      <w:r w:rsidRPr="001C4F8B">
        <w:rPr>
          <w:rFonts w:eastAsia="Times New Roman" w:cs="Times New Roman"/>
          <w:b/>
          <w:bCs/>
          <w:rtl/>
          <w:lang w:eastAsia="de-DE"/>
        </w:rPr>
        <w:t>אַחֲרֵי־כֵן</w:t>
      </w:r>
      <w:r w:rsidRPr="001C4F8B">
        <w:rPr>
          <w:rFonts w:eastAsia="Times New Roman" w:cs="Times New Roman"/>
          <w:rtl/>
          <w:lang w:eastAsia="de-DE"/>
        </w:rPr>
        <w:t xml:space="preserve"> </w:t>
      </w:r>
      <w:r w:rsidRPr="001C4F8B">
        <w:rPr>
          <w:rFonts w:eastAsia="Times New Roman" w:cs="Times New Roman"/>
          <w:lang w:eastAsia="de-DE"/>
        </w:rPr>
        <w:t>mit μετὰ ταῦτα (nach diesen Dingen) und betont die zeitliche Abfolge.</w:t>
      </w:r>
    </w:p>
    <w:p w14:paraId="6D533AF0"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 Satzstruktur zeigt die zeitliche Sequenz von Weihe zu Dienst mit zusammenfassender Wiederholung der Weiheelemente.</w:t>
      </w:r>
    </w:p>
    <w:p w14:paraId="2D08FE8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markiert den Übergang von der Weihe zum aktiven levitischen Dienst und fasst die Weihevoraussetzungen zusammen.</w:t>
      </w:r>
    </w:p>
    <w:p w14:paraId="4D1945E7"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8,16</w:t>
      </w:r>
    </w:p>
    <w:p w14:paraId="5D9B85F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כִּי֩ נְתֻנִ֨ים נְתֻנִ֥ים הֵ֨מָּה֙ לִ֔י מִתּ֖וֹךְ בְּנֵ֣י יִשְׂרָאֵ֑ל תַּחַת֩ פִּטְרַ֨ת כָּל־רֶ֜חֶם בְּכ֥וֹר כֹּל֙ מִבְּנֵ֣י יִשְׂרָאֵ֔ל לָקַ֥חְתִּי אֹתָ֖ם לִֽי׃</w:t>
      </w:r>
    </w:p>
    <w:p w14:paraId="326FF0EF"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Denn sie sind mir ganz zu eigen gegeben aus der Mitte der Söhne Jisra'el; anstelle alles Erstgeborenen, das den Mutterschoß durchbricht, aller Erstgeborenen der Söhne Jisra'el, habe ich sie mir genommen.</w:t>
      </w:r>
    </w:p>
    <w:p w14:paraId="0B7AD93E"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69622019">
          <v:rect id="_x0000_i1310" style="width:0;height:1.5pt" o:hralign="center" o:hrstd="t" o:hr="t" fillcolor="#a0a0a0" stroked="f"/>
        </w:pict>
      </w:r>
    </w:p>
    <w:p w14:paraId="02ECDFE4" w14:textId="3F9642DB"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Die emphatische reduplikative </w:t>
      </w:r>
      <w:r w:rsidR="00F133EC">
        <w:rPr>
          <w:rFonts w:eastAsia="Times New Roman" w:cs="Times New Roman"/>
          <w:lang w:eastAsia="de-DE"/>
        </w:rPr>
        <w:t>Construct</w:t>
      </w:r>
      <w:r w:rsidRPr="001C4F8B">
        <w:rPr>
          <w:rFonts w:eastAsia="Times New Roman" w:cs="Times New Roman"/>
          <w:lang w:eastAsia="de-DE"/>
        </w:rPr>
        <w:t xml:space="preserve">ion </w:t>
      </w:r>
      <w:r w:rsidRPr="001C4F8B">
        <w:rPr>
          <w:rFonts w:eastAsia="Times New Roman" w:cs="Times New Roman"/>
          <w:b/>
          <w:bCs/>
          <w:rtl/>
          <w:lang w:eastAsia="de-DE"/>
        </w:rPr>
        <w:t>כִּי נְתֻנִים נְתֻנִים הֵמָּה לִי</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כִּי</w:t>
      </w:r>
      <w:r w:rsidRPr="001C4F8B">
        <w:rPr>
          <w:rFonts w:eastAsia="Times New Roman" w:cs="Times New Roman"/>
          <w:rtl/>
          <w:lang w:eastAsia="de-DE"/>
        </w:rPr>
        <w:t xml:space="preserve"> </w:t>
      </w:r>
      <w:r w:rsidRPr="001C4F8B">
        <w:rPr>
          <w:rFonts w:eastAsia="Times New Roman" w:cs="Times New Roman"/>
          <w:lang w:eastAsia="de-DE"/>
        </w:rPr>
        <w:t xml:space="preserve">(denn), </w:t>
      </w:r>
      <w:r w:rsidRPr="001C4F8B">
        <w:rPr>
          <w:rFonts w:eastAsia="Times New Roman" w:cs="Times New Roman"/>
          <w:b/>
          <w:bCs/>
          <w:rtl/>
          <w:lang w:eastAsia="de-DE"/>
        </w:rPr>
        <w:t>נְתֻנִים נְתֻנִים</w:t>
      </w:r>
      <w:r w:rsidRPr="001C4F8B">
        <w:rPr>
          <w:rFonts w:eastAsia="Times New Roman" w:cs="Times New Roman"/>
          <w:rtl/>
          <w:lang w:eastAsia="de-DE"/>
        </w:rPr>
        <w:t xml:space="preserve"> </w:t>
      </w:r>
      <w:r w:rsidRPr="001C4F8B">
        <w:rPr>
          <w:rFonts w:eastAsia="Times New Roman" w:cs="Times New Roman"/>
          <w:lang w:eastAsia="de-DE"/>
        </w:rPr>
        <w:t xml:space="preserve">(gegeben, gegeben) als doppeltes Pu'al-Partizip Plural maskulin von </w:t>
      </w:r>
      <w:r w:rsidRPr="001C4F8B">
        <w:rPr>
          <w:rFonts w:eastAsia="Times New Roman" w:cs="Times New Roman"/>
          <w:b/>
          <w:bCs/>
          <w:rtl/>
          <w:lang w:eastAsia="de-DE"/>
        </w:rPr>
        <w:t>נתן</w:t>
      </w:r>
      <w:r w:rsidRPr="001C4F8B">
        <w:rPr>
          <w:rFonts w:eastAsia="Times New Roman" w:cs="Times New Roman"/>
          <w:rtl/>
          <w:lang w:eastAsia="de-DE"/>
        </w:rPr>
        <w:t xml:space="preserve"> </w:t>
      </w:r>
      <w:r w:rsidRPr="001C4F8B">
        <w:rPr>
          <w:rFonts w:eastAsia="Times New Roman" w:cs="Times New Roman"/>
          <w:lang w:eastAsia="de-DE"/>
        </w:rPr>
        <w:t xml:space="preserve">(geben), </w:t>
      </w:r>
      <w:r w:rsidRPr="001C4F8B">
        <w:rPr>
          <w:rFonts w:eastAsia="Times New Roman" w:cs="Times New Roman"/>
          <w:b/>
          <w:bCs/>
          <w:rtl/>
          <w:lang w:eastAsia="de-DE"/>
        </w:rPr>
        <w:t>הֵמָּה</w:t>
      </w:r>
      <w:r w:rsidRPr="001C4F8B">
        <w:rPr>
          <w:rFonts w:eastAsia="Times New Roman" w:cs="Times New Roman"/>
          <w:rtl/>
          <w:lang w:eastAsia="de-DE"/>
        </w:rPr>
        <w:t xml:space="preserve"> </w:t>
      </w:r>
      <w:r w:rsidRPr="001C4F8B">
        <w:rPr>
          <w:rFonts w:eastAsia="Times New Roman" w:cs="Times New Roman"/>
          <w:lang w:eastAsia="de-DE"/>
        </w:rPr>
        <w:t xml:space="preserve">(sie) und </w:t>
      </w:r>
      <w:r w:rsidRPr="001C4F8B">
        <w:rPr>
          <w:rFonts w:eastAsia="Times New Roman" w:cs="Times New Roman"/>
          <w:b/>
          <w:bCs/>
          <w:rtl/>
          <w:lang w:eastAsia="de-DE"/>
        </w:rPr>
        <w:t>לִי</w:t>
      </w:r>
      <w:r w:rsidRPr="001C4F8B">
        <w:rPr>
          <w:rFonts w:eastAsia="Times New Roman" w:cs="Times New Roman"/>
          <w:rtl/>
          <w:lang w:eastAsia="de-DE"/>
        </w:rPr>
        <w:t xml:space="preserve"> </w:t>
      </w:r>
      <w:r w:rsidRPr="001C4F8B">
        <w:rPr>
          <w:rFonts w:eastAsia="Times New Roman" w:cs="Times New Roman"/>
          <w:lang w:eastAsia="de-DE"/>
        </w:rPr>
        <w:t>(mir) betont die vollständige göttliche Zueignung der Leviten.</w:t>
      </w:r>
    </w:p>
    <w:p w14:paraId="5455E26D"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Herkunftsangabe </w:t>
      </w:r>
      <w:r w:rsidRPr="001C4F8B">
        <w:rPr>
          <w:rFonts w:eastAsia="Times New Roman" w:cs="Times New Roman"/>
          <w:b/>
          <w:bCs/>
          <w:rtl/>
          <w:lang w:eastAsia="de-DE"/>
        </w:rPr>
        <w:t>מִתּוֹךְ בְּנֵי יִשְׂרָאֵל</w:t>
      </w:r>
      <w:r w:rsidRPr="001C4F8B">
        <w:rPr>
          <w:rFonts w:eastAsia="Times New Roman" w:cs="Times New Roman"/>
          <w:rtl/>
          <w:lang w:eastAsia="de-DE"/>
        </w:rPr>
        <w:t xml:space="preserve"> </w:t>
      </w:r>
      <w:r w:rsidRPr="001C4F8B">
        <w:rPr>
          <w:rFonts w:eastAsia="Times New Roman" w:cs="Times New Roman"/>
          <w:lang w:eastAsia="de-DE"/>
        </w:rPr>
        <w:t>(aus der Mitte der Söhne Israels) wiederholt die Formulierung der Aussonderung.</w:t>
      </w:r>
    </w:p>
    <w:p w14:paraId="7DDC5D11" w14:textId="5DC8B4B4"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Substitutionsbestimmung </w:t>
      </w:r>
      <w:r w:rsidRPr="001C4F8B">
        <w:rPr>
          <w:rFonts w:eastAsia="Times New Roman" w:cs="Times New Roman"/>
          <w:b/>
          <w:bCs/>
          <w:rtl/>
          <w:lang w:eastAsia="de-DE"/>
        </w:rPr>
        <w:t>תַּחַת פִּטְרַת כָּל־רֶחֶם בְּכוֹר כֹּל מִבְּנֵי יִשְׂרָאֵל</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תַּחַת</w:t>
      </w:r>
      <w:r w:rsidRPr="001C4F8B">
        <w:rPr>
          <w:rFonts w:eastAsia="Times New Roman" w:cs="Times New Roman"/>
          <w:rtl/>
          <w:lang w:eastAsia="de-DE"/>
        </w:rPr>
        <w:t xml:space="preserve"> </w:t>
      </w:r>
      <w:r w:rsidRPr="001C4F8B">
        <w:rPr>
          <w:rFonts w:eastAsia="Times New Roman" w:cs="Times New Roman"/>
          <w:lang w:eastAsia="de-DE"/>
        </w:rPr>
        <w:t xml:space="preserve">(anstelle), </w:t>
      </w:r>
      <w:r w:rsidRPr="001C4F8B">
        <w:rPr>
          <w:rFonts w:eastAsia="Times New Roman" w:cs="Times New Roman"/>
          <w:b/>
          <w:bCs/>
          <w:rtl/>
          <w:lang w:eastAsia="de-DE"/>
        </w:rPr>
        <w:t>פִּטְרַת כָּל־רֶחֶם</w:t>
      </w:r>
      <w:r w:rsidRPr="001C4F8B">
        <w:rPr>
          <w:rFonts w:eastAsia="Times New Roman" w:cs="Times New Roman"/>
          <w:rtl/>
          <w:lang w:eastAsia="de-DE"/>
        </w:rPr>
        <w:t xml:space="preserve"> </w:t>
      </w:r>
      <w:r w:rsidRPr="001C4F8B">
        <w:rPr>
          <w:rFonts w:eastAsia="Times New Roman" w:cs="Times New Roman"/>
          <w:lang w:eastAsia="de-DE"/>
        </w:rPr>
        <w:t xml:space="preserve">(alles was den Mutterschoß durchbricht) im </w:t>
      </w:r>
      <w:r w:rsidR="00F133EC">
        <w:rPr>
          <w:rFonts w:eastAsia="Times New Roman" w:cs="Times New Roman"/>
          <w:lang w:eastAsia="de-DE"/>
        </w:rPr>
        <w:t>Construct</w:t>
      </w:r>
      <w:r w:rsidRPr="001C4F8B">
        <w:rPr>
          <w:rFonts w:eastAsia="Times New Roman" w:cs="Times New Roman"/>
          <w:lang w:eastAsia="de-DE"/>
        </w:rPr>
        <w:t xml:space="preserve"> und </w:t>
      </w:r>
      <w:r w:rsidRPr="001C4F8B">
        <w:rPr>
          <w:rFonts w:eastAsia="Times New Roman" w:cs="Times New Roman"/>
          <w:b/>
          <w:bCs/>
          <w:rtl/>
          <w:lang w:eastAsia="de-DE"/>
        </w:rPr>
        <w:t>בְּכוֹר כֹּל מִבְּנֵי יִשְׂרָאֵל</w:t>
      </w:r>
      <w:r w:rsidRPr="001C4F8B">
        <w:rPr>
          <w:rFonts w:eastAsia="Times New Roman" w:cs="Times New Roman"/>
          <w:rtl/>
          <w:lang w:eastAsia="de-DE"/>
        </w:rPr>
        <w:t xml:space="preserve"> </w:t>
      </w:r>
      <w:r w:rsidRPr="001C4F8B">
        <w:rPr>
          <w:rFonts w:eastAsia="Times New Roman" w:cs="Times New Roman"/>
          <w:lang w:eastAsia="de-DE"/>
        </w:rPr>
        <w:t>(alle Erstgeborenen der Söhne Israels) zeigt die theologische Grundlage: Leviten als Ersatz für alle israelitischen Erstgeborenen.</w:t>
      </w:r>
    </w:p>
    <w:p w14:paraId="09EB547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Das abschließende </w:t>
      </w:r>
      <w:r w:rsidRPr="001C4F8B">
        <w:rPr>
          <w:rFonts w:eastAsia="Times New Roman" w:cs="Times New Roman"/>
          <w:b/>
          <w:bCs/>
          <w:rtl/>
          <w:lang w:eastAsia="de-DE"/>
        </w:rPr>
        <w:t>לָקַחְתִּי אֹתָם לִי</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לָקַחְתִּי</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לקח</w:t>
      </w:r>
      <w:r w:rsidRPr="001C4F8B">
        <w:rPr>
          <w:rFonts w:eastAsia="Times New Roman" w:cs="Times New Roman"/>
          <w:rtl/>
          <w:lang w:eastAsia="de-DE"/>
        </w:rPr>
        <w:t xml:space="preserve"> </w:t>
      </w:r>
      <w:r w:rsidRPr="001C4F8B">
        <w:rPr>
          <w:rFonts w:eastAsia="Times New Roman" w:cs="Times New Roman"/>
          <w:lang w:eastAsia="de-DE"/>
        </w:rPr>
        <w:t xml:space="preserve">(nehmen) im Qal-Perfekt 1. Person Singular und </w:t>
      </w:r>
      <w:r w:rsidRPr="001C4F8B">
        <w:rPr>
          <w:rFonts w:eastAsia="Times New Roman" w:cs="Times New Roman"/>
          <w:b/>
          <w:bCs/>
          <w:rtl/>
          <w:lang w:eastAsia="de-DE"/>
        </w:rPr>
        <w:t>אֹתָם לִי</w:t>
      </w:r>
      <w:r w:rsidRPr="001C4F8B">
        <w:rPr>
          <w:rFonts w:eastAsia="Times New Roman" w:cs="Times New Roman"/>
          <w:rtl/>
          <w:lang w:eastAsia="de-DE"/>
        </w:rPr>
        <w:t xml:space="preserve"> </w:t>
      </w:r>
      <w:r w:rsidRPr="001C4F8B">
        <w:rPr>
          <w:rFonts w:eastAsia="Times New Roman" w:cs="Times New Roman"/>
          <w:lang w:eastAsia="de-DE"/>
        </w:rPr>
        <w:t>(sie für mich) betont Gottes persönliche Aneignung.</w:t>
      </w:r>
    </w:p>
    <w:p w14:paraId="2414BD8A"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die Reduplikation </w:t>
      </w:r>
      <w:r w:rsidRPr="001C4F8B">
        <w:rPr>
          <w:rFonts w:eastAsia="Times New Roman" w:cs="Times New Roman"/>
          <w:b/>
          <w:bCs/>
          <w:rtl/>
          <w:lang w:eastAsia="de-DE"/>
        </w:rPr>
        <w:t>נְתֻנִים נְתֻנִים</w:t>
      </w:r>
      <w:r w:rsidRPr="001C4F8B">
        <w:rPr>
          <w:rFonts w:eastAsia="Times New Roman" w:cs="Times New Roman"/>
          <w:rtl/>
          <w:lang w:eastAsia="de-DE"/>
        </w:rPr>
        <w:t xml:space="preserve"> </w:t>
      </w:r>
      <w:r w:rsidRPr="001C4F8B">
        <w:rPr>
          <w:rFonts w:eastAsia="Times New Roman" w:cs="Times New Roman"/>
          <w:lang w:eastAsia="de-DE"/>
        </w:rPr>
        <w:t xml:space="preserve">mit δεδομένοι δόσει (gegeben als Gabe) und </w:t>
      </w:r>
      <w:r w:rsidRPr="001C4F8B">
        <w:rPr>
          <w:rFonts w:eastAsia="Times New Roman" w:cs="Times New Roman"/>
          <w:b/>
          <w:bCs/>
          <w:rtl/>
          <w:lang w:eastAsia="de-DE"/>
        </w:rPr>
        <w:t>פִּטְרַת כָּל־רֶחֶם</w:t>
      </w:r>
      <w:r w:rsidRPr="001C4F8B">
        <w:rPr>
          <w:rFonts w:eastAsia="Times New Roman" w:cs="Times New Roman"/>
          <w:rtl/>
          <w:lang w:eastAsia="de-DE"/>
        </w:rPr>
        <w:t xml:space="preserve"> </w:t>
      </w:r>
      <w:r w:rsidRPr="001C4F8B">
        <w:rPr>
          <w:rFonts w:eastAsia="Times New Roman" w:cs="Times New Roman"/>
          <w:lang w:eastAsia="de-DE"/>
        </w:rPr>
        <w:t>mit διανοιγομένων πᾶσαν μήτραν (allem was jeden Mutterschoß öffnet).</w:t>
      </w:r>
    </w:p>
    <w:p w14:paraId="4AB81C3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lastRenderedPageBreak/>
        <w:t>Die Satzstruktur zeigt eine emphatische Zueignungsdeklaration mit Herkunftsangabe, theologischer Substitutionsbegründung und persönlicher göttlicher Aneignung.</w:t>
      </w:r>
    </w:p>
    <w:p w14:paraId="141F55F5"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etabliert die theologische Grundlage der levitischen Weihe: sie sind Gottes vollständiger Ersatz für alle israelitischen Erstgeborenen.</w:t>
      </w:r>
    </w:p>
    <w:p w14:paraId="5521844C"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8,17</w:t>
      </w:r>
    </w:p>
    <w:p w14:paraId="01DD2FCE"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כִּ֣י לִ֤י כָל־בְּכוֹר֙ בִּבְנֵ֣י יִשְׂרָאֵ֔ל בָּאָדָ֖ם וּבַבְּהֵמָ֑ה בְּי֗וֹם הַכֹּתִ֤י כָל־בְּכוֹר֙ בְּאֶ֣רֶץ מִצְרַ֔יִם הִקְדַּ֥שְׁתִּי אֹתָ֖ם לִֽי׃</w:t>
      </w:r>
    </w:p>
    <w:p w14:paraId="1D7F9D4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Denn mein ist alles Erstgeborene unter den Söhnen Jisra'el, an Menschen und an Vieh; an dem Tag, da ich alle Erstgeburt im Land Mizrajim schlug, heiligte ich sie mir.</w:t>
      </w:r>
    </w:p>
    <w:p w14:paraId="43C22D93"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1FB86737">
          <v:rect id="_x0000_i1311" style="width:0;height:1.5pt" o:hralign="center" o:hrstd="t" o:hr="t" fillcolor="#a0a0a0" stroked="f"/>
        </w:pict>
      </w:r>
    </w:p>
    <w:p w14:paraId="0B5B3D64"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Die emphatische Eigentumsdeklaration </w:t>
      </w:r>
      <w:r w:rsidRPr="001C4F8B">
        <w:rPr>
          <w:rFonts w:eastAsia="Times New Roman" w:cs="Times New Roman"/>
          <w:b/>
          <w:bCs/>
          <w:rtl/>
          <w:lang w:eastAsia="de-DE"/>
        </w:rPr>
        <w:t>כִּי לִי כָל־בְּכוֹר בִּבְנֵי יִשְׂרָאֵל</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כִּי</w:t>
      </w:r>
      <w:r w:rsidRPr="001C4F8B">
        <w:rPr>
          <w:rFonts w:eastAsia="Times New Roman" w:cs="Times New Roman"/>
          <w:rtl/>
          <w:lang w:eastAsia="de-DE"/>
        </w:rPr>
        <w:t xml:space="preserve"> </w:t>
      </w:r>
      <w:r w:rsidRPr="001C4F8B">
        <w:rPr>
          <w:rFonts w:eastAsia="Times New Roman" w:cs="Times New Roman"/>
          <w:lang w:eastAsia="de-DE"/>
        </w:rPr>
        <w:t xml:space="preserve">(denn), </w:t>
      </w:r>
      <w:r w:rsidRPr="001C4F8B">
        <w:rPr>
          <w:rFonts w:eastAsia="Times New Roman" w:cs="Times New Roman"/>
          <w:b/>
          <w:bCs/>
          <w:rtl/>
          <w:lang w:eastAsia="de-DE"/>
        </w:rPr>
        <w:t>לִי</w:t>
      </w:r>
      <w:r w:rsidRPr="001C4F8B">
        <w:rPr>
          <w:rFonts w:eastAsia="Times New Roman" w:cs="Times New Roman"/>
          <w:rtl/>
          <w:lang w:eastAsia="de-DE"/>
        </w:rPr>
        <w:t xml:space="preserve"> </w:t>
      </w:r>
      <w:r w:rsidRPr="001C4F8B">
        <w:rPr>
          <w:rFonts w:eastAsia="Times New Roman" w:cs="Times New Roman"/>
          <w:lang w:eastAsia="de-DE"/>
        </w:rPr>
        <w:t xml:space="preserve">(mir), </w:t>
      </w:r>
      <w:r w:rsidRPr="001C4F8B">
        <w:rPr>
          <w:rFonts w:eastAsia="Times New Roman" w:cs="Times New Roman"/>
          <w:b/>
          <w:bCs/>
          <w:rtl/>
          <w:lang w:eastAsia="de-DE"/>
        </w:rPr>
        <w:t>כָל־בְּכוֹר</w:t>
      </w:r>
      <w:r w:rsidRPr="001C4F8B">
        <w:rPr>
          <w:rFonts w:eastAsia="Times New Roman" w:cs="Times New Roman"/>
          <w:rtl/>
          <w:lang w:eastAsia="de-DE"/>
        </w:rPr>
        <w:t xml:space="preserve"> </w:t>
      </w:r>
      <w:r w:rsidRPr="001C4F8B">
        <w:rPr>
          <w:rFonts w:eastAsia="Times New Roman" w:cs="Times New Roman"/>
          <w:lang w:eastAsia="de-DE"/>
        </w:rPr>
        <w:t xml:space="preserve">(alles Erstgeborene) und </w:t>
      </w:r>
      <w:r w:rsidRPr="001C4F8B">
        <w:rPr>
          <w:rFonts w:eastAsia="Times New Roman" w:cs="Times New Roman"/>
          <w:b/>
          <w:bCs/>
          <w:rtl/>
          <w:lang w:eastAsia="de-DE"/>
        </w:rPr>
        <w:t>בִּבְנֵי יִשְׂרָאֵל</w:t>
      </w:r>
      <w:r w:rsidRPr="001C4F8B">
        <w:rPr>
          <w:rFonts w:eastAsia="Times New Roman" w:cs="Times New Roman"/>
          <w:rtl/>
          <w:lang w:eastAsia="de-DE"/>
        </w:rPr>
        <w:t xml:space="preserve"> </w:t>
      </w:r>
      <w:r w:rsidRPr="001C4F8B">
        <w:rPr>
          <w:rFonts w:eastAsia="Times New Roman" w:cs="Times New Roman"/>
          <w:lang w:eastAsia="de-DE"/>
        </w:rPr>
        <w:t>(unter den Söhnen Israels) etabliert Gottes grundsätzlichen Anspruch auf alle Erstgeburt.</w:t>
      </w:r>
    </w:p>
    <w:p w14:paraId="464EE8C3"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umfassende Spezifikation </w:t>
      </w:r>
      <w:r w:rsidRPr="001C4F8B">
        <w:rPr>
          <w:rFonts w:eastAsia="Times New Roman" w:cs="Times New Roman"/>
          <w:b/>
          <w:bCs/>
          <w:rtl/>
          <w:lang w:eastAsia="de-DE"/>
        </w:rPr>
        <w:t>בָּאָדָם וּבַבְּהֵמָה</w:t>
      </w:r>
      <w:r w:rsidRPr="001C4F8B">
        <w:rPr>
          <w:rFonts w:eastAsia="Times New Roman" w:cs="Times New Roman"/>
          <w:rtl/>
          <w:lang w:eastAsia="de-DE"/>
        </w:rPr>
        <w:t xml:space="preserve"> </w:t>
      </w:r>
      <w:r w:rsidRPr="001C4F8B">
        <w:rPr>
          <w:rFonts w:eastAsia="Times New Roman" w:cs="Times New Roman"/>
          <w:lang w:eastAsia="de-DE"/>
        </w:rPr>
        <w:t>(an Menschen und an Vieh) zeigt die totale Reichweite des göttlichen Anspruchs auf alle Erstgeburt.</w:t>
      </w:r>
    </w:p>
    <w:p w14:paraId="5C446CF6" w14:textId="025501B1"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historische Begründung </w:t>
      </w:r>
      <w:r w:rsidRPr="001C4F8B">
        <w:rPr>
          <w:rFonts w:eastAsia="Times New Roman" w:cs="Times New Roman"/>
          <w:b/>
          <w:bCs/>
          <w:rtl/>
          <w:lang w:eastAsia="de-DE"/>
        </w:rPr>
        <w:t>בְּיוֹם הַכֹּתִי כָל־בְּכוֹר בְּאֶרֶץ מִצְרַיִם</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בְּיוֹם</w:t>
      </w:r>
      <w:r w:rsidRPr="001C4F8B">
        <w:rPr>
          <w:rFonts w:eastAsia="Times New Roman" w:cs="Times New Roman"/>
          <w:rtl/>
          <w:lang w:eastAsia="de-DE"/>
        </w:rPr>
        <w:t xml:space="preserve"> </w:t>
      </w:r>
      <w:r w:rsidRPr="001C4F8B">
        <w:rPr>
          <w:rFonts w:eastAsia="Times New Roman" w:cs="Times New Roman"/>
          <w:lang w:eastAsia="de-DE"/>
        </w:rPr>
        <w:t xml:space="preserve">(am Tag), </w:t>
      </w:r>
      <w:r w:rsidRPr="001C4F8B">
        <w:rPr>
          <w:rFonts w:eastAsia="Times New Roman" w:cs="Times New Roman"/>
          <w:b/>
          <w:bCs/>
          <w:rtl/>
          <w:lang w:eastAsia="de-DE"/>
        </w:rPr>
        <w:t>הַכֹּתִי</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נכה</w:t>
      </w:r>
      <w:r w:rsidRPr="001C4F8B">
        <w:rPr>
          <w:rFonts w:eastAsia="Times New Roman" w:cs="Times New Roman"/>
          <w:rtl/>
          <w:lang w:eastAsia="de-DE"/>
        </w:rPr>
        <w:t xml:space="preserve"> </w:t>
      </w:r>
      <w:r w:rsidRPr="001C4F8B">
        <w:rPr>
          <w:rFonts w:eastAsia="Times New Roman" w:cs="Times New Roman"/>
          <w:lang w:eastAsia="de-DE"/>
        </w:rPr>
        <w:t>(schlagen) im Hiph'il-Infinitiv-</w:t>
      </w:r>
      <w:r w:rsidR="00F133EC">
        <w:rPr>
          <w:rFonts w:eastAsia="Times New Roman" w:cs="Times New Roman"/>
          <w:lang w:eastAsia="de-DE"/>
        </w:rPr>
        <w:t>Construct</w:t>
      </w:r>
      <w:r w:rsidRPr="001C4F8B">
        <w:rPr>
          <w:rFonts w:eastAsia="Times New Roman" w:cs="Times New Roman"/>
          <w:lang w:eastAsia="de-DE"/>
        </w:rPr>
        <w:t xml:space="preserve"> mit Possessivsuffix 1. Person Singular, </w:t>
      </w:r>
      <w:r w:rsidRPr="001C4F8B">
        <w:rPr>
          <w:rFonts w:eastAsia="Times New Roman" w:cs="Times New Roman"/>
          <w:b/>
          <w:bCs/>
          <w:rtl/>
          <w:lang w:eastAsia="de-DE"/>
        </w:rPr>
        <w:t>כָל־בְּכוֹר</w:t>
      </w:r>
      <w:r w:rsidRPr="001C4F8B">
        <w:rPr>
          <w:rFonts w:eastAsia="Times New Roman" w:cs="Times New Roman"/>
          <w:rtl/>
          <w:lang w:eastAsia="de-DE"/>
        </w:rPr>
        <w:t xml:space="preserve"> </w:t>
      </w:r>
      <w:r w:rsidRPr="001C4F8B">
        <w:rPr>
          <w:rFonts w:eastAsia="Times New Roman" w:cs="Times New Roman"/>
          <w:lang w:eastAsia="de-DE"/>
        </w:rPr>
        <w:t xml:space="preserve">(alle Erstgeburt) und </w:t>
      </w:r>
      <w:r w:rsidRPr="001C4F8B">
        <w:rPr>
          <w:rFonts w:eastAsia="Times New Roman" w:cs="Times New Roman"/>
          <w:b/>
          <w:bCs/>
          <w:rtl/>
          <w:lang w:eastAsia="de-DE"/>
        </w:rPr>
        <w:t>בְּאֶרֶץ מִצְרַיִם</w:t>
      </w:r>
      <w:r w:rsidRPr="001C4F8B">
        <w:rPr>
          <w:rFonts w:eastAsia="Times New Roman" w:cs="Times New Roman"/>
          <w:rtl/>
          <w:lang w:eastAsia="de-DE"/>
        </w:rPr>
        <w:t xml:space="preserve"> </w:t>
      </w:r>
      <w:r w:rsidRPr="001C4F8B">
        <w:rPr>
          <w:rFonts w:eastAsia="Times New Roman" w:cs="Times New Roman"/>
          <w:lang w:eastAsia="de-DE"/>
        </w:rPr>
        <w:t>(im Land Ägypten) verweist auf die zehnte Plage.</w:t>
      </w:r>
    </w:p>
    <w:p w14:paraId="4814F754"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abschließende Weiheformel </w:t>
      </w:r>
      <w:r w:rsidRPr="001C4F8B">
        <w:rPr>
          <w:rFonts w:eastAsia="Times New Roman" w:cs="Times New Roman"/>
          <w:b/>
          <w:bCs/>
          <w:rtl/>
          <w:lang w:eastAsia="de-DE"/>
        </w:rPr>
        <w:t>הִקְדַּשְׁתִּי אֹתָם לִי</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הִקְדַּשְׁתִּי</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קדש</w:t>
      </w:r>
      <w:r w:rsidRPr="001C4F8B">
        <w:rPr>
          <w:rFonts w:eastAsia="Times New Roman" w:cs="Times New Roman"/>
          <w:rtl/>
          <w:lang w:eastAsia="de-DE"/>
        </w:rPr>
        <w:t xml:space="preserve"> </w:t>
      </w:r>
      <w:r w:rsidRPr="001C4F8B">
        <w:rPr>
          <w:rFonts w:eastAsia="Times New Roman" w:cs="Times New Roman"/>
          <w:lang w:eastAsia="de-DE"/>
        </w:rPr>
        <w:t xml:space="preserve">(heiligen) im Hiph'il-Perfekt 1. Person Singular und </w:t>
      </w:r>
      <w:r w:rsidRPr="001C4F8B">
        <w:rPr>
          <w:rFonts w:eastAsia="Times New Roman" w:cs="Times New Roman"/>
          <w:b/>
          <w:bCs/>
          <w:rtl/>
          <w:lang w:eastAsia="de-DE"/>
        </w:rPr>
        <w:t>אֹתָם לִי</w:t>
      </w:r>
      <w:r w:rsidRPr="001C4F8B">
        <w:rPr>
          <w:rFonts w:eastAsia="Times New Roman" w:cs="Times New Roman"/>
          <w:rtl/>
          <w:lang w:eastAsia="de-DE"/>
        </w:rPr>
        <w:t xml:space="preserve"> </w:t>
      </w:r>
      <w:r w:rsidRPr="001C4F8B">
        <w:rPr>
          <w:rFonts w:eastAsia="Times New Roman" w:cs="Times New Roman"/>
          <w:lang w:eastAsia="de-DE"/>
        </w:rPr>
        <w:t>(sie mir) zeigt die göttliche Heiligung aller israelitischen Erstgeburt als Folge der ägyptischen Erlösung.</w:t>
      </w:r>
    </w:p>
    <w:p w14:paraId="676122D0"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w:t>
      </w:r>
      <w:r w:rsidRPr="001C4F8B">
        <w:rPr>
          <w:rFonts w:eastAsia="Times New Roman" w:cs="Times New Roman"/>
          <w:b/>
          <w:bCs/>
          <w:rtl/>
          <w:lang w:eastAsia="de-DE"/>
        </w:rPr>
        <w:t>הַכֹּתִי</w:t>
      </w:r>
      <w:r w:rsidRPr="001C4F8B">
        <w:rPr>
          <w:rFonts w:eastAsia="Times New Roman" w:cs="Times New Roman"/>
          <w:rtl/>
          <w:lang w:eastAsia="de-DE"/>
        </w:rPr>
        <w:t xml:space="preserve"> </w:t>
      </w:r>
      <w:r w:rsidRPr="001C4F8B">
        <w:rPr>
          <w:rFonts w:eastAsia="Times New Roman" w:cs="Times New Roman"/>
          <w:lang w:eastAsia="de-DE"/>
        </w:rPr>
        <w:t xml:space="preserve">mit ἐπάταξα (ich schlug) und </w:t>
      </w:r>
      <w:r w:rsidRPr="001C4F8B">
        <w:rPr>
          <w:rFonts w:eastAsia="Times New Roman" w:cs="Times New Roman"/>
          <w:b/>
          <w:bCs/>
          <w:rtl/>
          <w:lang w:eastAsia="de-DE"/>
        </w:rPr>
        <w:t>הִקְדַּשְׁתִּי</w:t>
      </w:r>
      <w:r w:rsidRPr="001C4F8B">
        <w:rPr>
          <w:rFonts w:eastAsia="Times New Roman" w:cs="Times New Roman"/>
          <w:rtl/>
          <w:lang w:eastAsia="de-DE"/>
        </w:rPr>
        <w:t xml:space="preserve"> </w:t>
      </w:r>
      <w:r w:rsidRPr="001C4F8B">
        <w:rPr>
          <w:rFonts w:eastAsia="Times New Roman" w:cs="Times New Roman"/>
          <w:lang w:eastAsia="de-DE"/>
        </w:rPr>
        <w:t>mit ἡγίασα (ich heiligte).</w:t>
      </w:r>
    </w:p>
    <w:p w14:paraId="1481627A" w14:textId="1B743AF5"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Satzstruktur zeigt eine umfassende Eigentumsdeklaration mit historischer Begründung durch die </w:t>
      </w:r>
      <w:r w:rsidR="00E136DC">
        <w:rPr>
          <w:rFonts w:eastAsia="Times New Roman" w:cs="Times New Roman"/>
          <w:lang w:eastAsia="de-DE"/>
        </w:rPr>
        <w:t>Pesach</w:t>
      </w:r>
      <w:r w:rsidRPr="001C4F8B">
        <w:rPr>
          <w:rFonts w:eastAsia="Times New Roman" w:cs="Times New Roman"/>
          <w:lang w:eastAsia="de-DE"/>
        </w:rPr>
        <w:t>-Erlösung und resultierende Heiligung.</w:t>
      </w:r>
    </w:p>
    <w:p w14:paraId="42AB9ECA" w14:textId="793D9A2D"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Dieser Vers etabliert die historisch-theologische Grundlage des göttlichen Anspruchs auf alle israelitische Erstgeburt durch die </w:t>
      </w:r>
      <w:r w:rsidR="00E136DC">
        <w:rPr>
          <w:rFonts w:eastAsia="Times New Roman" w:cs="Times New Roman"/>
          <w:lang w:eastAsia="de-DE"/>
        </w:rPr>
        <w:t>Pesach</w:t>
      </w:r>
      <w:r w:rsidRPr="001C4F8B">
        <w:rPr>
          <w:rFonts w:eastAsia="Times New Roman" w:cs="Times New Roman"/>
          <w:lang w:eastAsia="de-DE"/>
        </w:rPr>
        <w:t>-Erlösung.</w:t>
      </w:r>
    </w:p>
    <w:p w14:paraId="4CF77543"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8,18</w:t>
      </w:r>
    </w:p>
    <w:p w14:paraId="4C5A68ED"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וָאֶקַּח֙ אֶת־הַלְוִיִּ֔ם תַּ֥חַת כָּל־בְּכ֖וֹר בִּבְנֵ֥י יִשְׂרָאֵֽל׃</w:t>
      </w:r>
    </w:p>
    <w:p w14:paraId="437820EB"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Und ich nahm die Levijim anstelle aller Erstgeborenen unter den Söhnen Jisra'el.</w:t>
      </w:r>
    </w:p>
    <w:p w14:paraId="7293A285"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005C70C4">
          <v:rect id="_x0000_i1312" style="width:0;height:1.5pt" o:hralign="center" o:hrstd="t" o:hr="t" fillcolor="#a0a0a0" stroked="f"/>
        </w:pict>
      </w:r>
    </w:p>
    <w:p w14:paraId="24CECFA4"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Das Verb </w:t>
      </w:r>
      <w:r w:rsidRPr="001C4F8B">
        <w:rPr>
          <w:rFonts w:eastAsia="Times New Roman" w:cs="Times New Roman"/>
          <w:b/>
          <w:bCs/>
          <w:rtl/>
          <w:lang w:eastAsia="de-DE"/>
        </w:rPr>
        <w:t>וָאֶקַּח</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לקח</w:t>
      </w:r>
      <w:r w:rsidRPr="001C4F8B">
        <w:rPr>
          <w:rFonts w:eastAsia="Times New Roman" w:cs="Times New Roman"/>
          <w:rtl/>
          <w:lang w:eastAsia="de-DE"/>
        </w:rPr>
        <w:t xml:space="preserve"> </w:t>
      </w:r>
      <w:r w:rsidRPr="001C4F8B">
        <w:rPr>
          <w:rFonts w:eastAsia="Times New Roman" w:cs="Times New Roman"/>
          <w:lang w:eastAsia="de-DE"/>
        </w:rPr>
        <w:t>(nehmen) im Qal-Imperfekt 1. Person Singular mit Waw consecutivum zeigt Gottes direkte Handlung der levitischen Aneignung.</w:t>
      </w:r>
    </w:p>
    <w:p w14:paraId="2D007BDB"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lastRenderedPageBreak/>
        <w:t xml:space="preserve">Das direkte Objekt </w:t>
      </w:r>
      <w:r w:rsidRPr="001C4F8B">
        <w:rPr>
          <w:rFonts w:eastAsia="Times New Roman" w:cs="Times New Roman"/>
          <w:b/>
          <w:bCs/>
          <w:rtl/>
          <w:lang w:eastAsia="de-DE"/>
        </w:rPr>
        <w:t>אֶת־הַלְוִיִּם</w:t>
      </w:r>
      <w:r w:rsidRPr="001C4F8B">
        <w:rPr>
          <w:rFonts w:eastAsia="Times New Roman" w:cs="Times New Roman"/>
          <w:rtl/>
          <w:lang w:eastAsia="de-DE"/>
        </w:rPr>
        <w:t xml:space="preserve"> </w:t>
      </w:r>
      <w:r w:rsidRPr="001C4F8B">
        <w:rPr>
          <w:rFonts w:eastAsia="Times New Roman" w:cs="Times New Roman"/>
          <w:lang w:eastAsia="de-DE"/>
        </w:rPr>
        <w:t>(die Leviten) mit nota accusativi zeigt die spezifische Auswahl des Stammes Levi.</w:t>
      </w:r>
    </w:p>
    <w:p w14:paraId="069C39A8"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Substitutionsbestimmung </w:t>
      </w:r>
      <w:r w:rsidRPr="001C4F8B">
        <w:rPr>
          <w:rFonts w:eastAsia="Times New Roman" w:cs="Times New Roman"/>
          <w:b/>
          <w:bCs/>
          <w:rtl/>
          <w:lang w:eastAsia="de-DE"/>
        </w:rPr>
        <w:t>תַּחַת כָּל־בְּכוֹר בִּבְנֵי יִשְׂרָאֵל</w:t>
      </w:r>
      <w:r w:rsidRPr="001C4F8B">
        <w:rPr>
          <w:rFonts w:eastAsia="Times New Roman" w:cs="Times New Roman"/>
          <w:rtl/>
          <w:lang w:eastAsia="de-DE"/>
        </w:rPr>
        <w:t xml:space="preserve"> </w:t>
      </w:r>
      <w:r w:rsidRPr="001C4F8B">
        <w:rPr>
          <w:rFonts w:eastAsia="Times New Roman" w:cs="Times New Roman"/>
          <w:lang w:eastAsia="de-DE"/>
        </w:rPr>
        <w:t xml:space="preserve">(anstelle aller Erstgeborenen unter den Söhnen Israels) mit </w:t>
      </w:r>
      <w:r w:rsidRPr="001C4F8B">
        <w:rPr>
          <w:rFonts w:eastAsia="Times New Roman" w:cs="Times New Roman"/>
          <w:b/>
          <w:bCs/>
          <w:rtl/>
          <w:lang w:eastAsia="de-DE"/>
        </w:rPr>
        <w:t>תַּחַת</w:t>
      </w:r>
      <w:r w:rsidRPr="001C4F8B">
        <w:rPr>
          <w:rFonts w:eastAsia="Times New Roman" w:cs="Times New Roman"/>
          <w:rtl/>
          <w:lang w:eastAsia="de-DE"/>
        </w:rPr>
        <w:t xml:space="preserve"> </w:t>
      </w:r>
      <w:r w:rsidRPr="001C4F8B">
        <w:rPr>
          <w:rFonts w:eastAsia="Times New Roman" w:cs="Times New Roman"/>
          <w:lang w:eastAsia="de-DE"/>
        </w:rPr>
        <w:t>(anstelle) etabliert die Leviten als vollständigen Ersatz für alle israelitischen Erstgeborenen.</w:t>
      </w:r>
    </w:p>
    <w:p w14:paraId="325CA53E"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w:t>
      </w:r>
      <w:r w:rsidRPr="001C4F8B">
        <w:rPr>
          <w:rFonts w:eastAsia="Times New Roman" w:cs="Times New Roman"/>
          <w:b/>
          <w:bCs/>
          <w:rtl/>
          <w:lang w:eastAsia="de-DE"/>
        </w:rPr>
        <w:t>וָאֶקַּח</w:t>
      </w:r>
      <w:r w:rsidRPr="001C4F8B">
        <w:rPr>
          <w:rFonts w:eastAsia="Times New Roman" w:cs="Times New Roman"/>
          <w:rtl/>
          <w:lang w:eastAsia="de-DE"/>
        </w:rPr>
        <w:t xml:space="preserve"> </w:t>
      </w:r>
      <w:r w:rsidRPr="001C4F8B">
        <w:rPr>
          <w:rFonts w:eastAsia="Times New Roman" w:cs="Times New Roman"/>
          <w:lang w:eastAsia="de-DE"/>
        </w:rPr>
        <w:t>mit καὶ ἔλαβον (und ich nahm) und behält die erste Person Singular bei.</w:t>
      </w:r>
    </w:p>
    <w:p w14:paraId="273C12BE"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 Satzstruktur zeigt eine einfache, aber theologisch fundamentale Substitutionsdeklaration.</w:t>
      </w:r>
    </w:p>
    <w:p w14:paraId="46A7C6F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kurze Vers fasst die levitische Substitution für alle israelitischen Erstgeborenen als göttliche Entscheidung zusammen.</w:t>
      </w:r>
    </w:p>
    <w:p w14:paraId="2D8981B9"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8,19</w:t>
      </w:r>
    </w:p>
    <w:p w14:paraId="0F425753"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וָאֶתְּנָ֨ה אֶת־הַלְוִיִּ֜ם נְתֻנִ֣ים׀ לְאַהֲרֹ֣ן וּלְבָנָ֗יו מִתּוֹךְ֮ בְּנֵ֣י יִשְׂרָאֵל֒ לַעֲבֹ֞ד אֶת־עֲבֹדַ֤ת בְּנֵֽי־יִשְׂרָאֵל֙ בְּאֹ֣הֶל מוֹעֵ֔ד וּלְכַפֵּ֖ר עַל־בְּנֵ֣י יִשְׂרָאֵ֑ל וְלֹ֨א יִהְיֶ֜ה בִּבְנֵ֤י יִשְׂרָאֵל֙ נֶ֔גֶף בְּגֶ֥שֶׁת בְּנֵֽי־יִשְׂרָאֵ֖ל אֶל־הַקֹּֽדֶשׁ׃</w:t>
      </w:r>
    </w:p>
    <w:p w14:paraId="7F1CB8B5"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Und ich gab die Levijim als Gegebene an 'Aharon und seine Söhne aus der Mitte der Söhne Jisra'el, um den Dienst der Söhne Jisra'el am Zelt der Begegnung zu verrichten und um für die Söhne Jisra'el Sühne zu erwirken, damit nicht unter den Söhnen Jisra'el eine Plage sei, wenn die Söhne Jisra'el dem Heiligtum nahen.</w:t>
      </w:r>
    </w:p>
    <w:p w14:paraId="0BE6E261"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755EC320">
          <v:rect id="_x0000_i1313" style="width:0;height:1.5pt" o:hralign="center" o:hrstd="t" o:hr="t" fillcolor="#a0a0a0" stroked="f"/>
        </w:pict>
      </w:r>
    </w:p>
    <w:p w14:paraId="338768FF"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Das Verb </w:t>
      </w:r>
      <w:r w:rsidRPr="001C4F8B">
        <w:rPr>
          <w:rFonts w:eastAsia="Times New Roman" w:cs="Times New Roman"/>
          <w:b/>
          <w:bCs/>
          <w:rtl/>
          <w:lang w:eastAsia="de-DE"/>
        </w:rPr>
        <w:t>וָאֶתְּנָה</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נתן</w:t>
      </w:r>
      <w:r w:rsidRPr="001C4F8B">
        <w:rPr>
          <w:rFonts w:eastAsia="Times New Roman" w:cs="Times New Roman"/>
          <w:rtl/>
          <w:lang w:eastAsia="de-DE"/>
        </w:rPr>
        <w:t xml:space="preserve"> </w:t>
      </w:r>
      <w:r w:rsidRPr="001C4F8B">
        <w:rPr>
          <w:rFonts w:eastAsia="Times New Roman" w:cs="Times New Roman"/>
          <w:lang w:eastAsia="de-DE"/>
        </w:rPr>
        <w:t>(geben) im Qal-Imperfekt 1. Person Singular mit Waw consecutivum zeigt Gottes Weitergabe der Leviten an die Priesterschaft.</w:t>
      </w:r>
    </w:p>
    <w:p w14:paraId="6CD3DC98" w14:textId="20B15E1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reduplikative </w:t>
      </w:r>
      <w:r w:rsidR="00F133EC">
        <w:rPr>
          <w:rFonts w:eastAsia="Times New Roman" w:cs="Times New Roman"/>
          <w:lang w:eastAsia="de-DE"/>
        </w:rPr>
        <w:t>Construct</w:t>
      </w:r>
      <w:r w:rsidRPr="001C4F8B">
        <w:rPr>
          <w:rFonts w:eastAsia="Times New Roman" w:cs="Times New Roman"/>
          <w:lang w:eastAsia="de-DE"/>
        </w:rPr>
        <w:t xml:space="preserve">ion </w:t>
      </w:r>
      <w:r w:rsidRPr="001C4F8B">
        <w:rPr>
          <w:rFonts w:eastAsia="Times New Roman" w:cs="Times New Roman"/>
          <w:b/>
          <w:bCs/>
          <w:rtl/>
          <w:lang w:eastAsia="de-DE"/>
        </w:rPr>
        <w:t>אֶת־הַלְוִיִּ֣ם נְתֻנִ֣ים לְאַהֲרֹ֣ן וּלְבָנָ֗יו</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נְתֻנִים</w:t>
      </w:r>
      <w:r w:rsidRPr="001C4F8B">
        <w:rPr>
          <w:rFonts w:eastAsia="Times New Roman" w:cs="Times New Roman"/>
          <w:rtl/>
          <w:lang w:eastAsia="de-DE"/>
        </w:rPr>
        <w:t xml:space="preserve"> </w:t>
      </w:r>
      <w:r w:rsidRPr="001C4F8B">
        <w:rPr>
          <w:rFonts w:eastAsia="Times New Roman" w:cs="Times New Roman"/>
          <w:lang w:eastAsia="de-DE"/>
        </w:rPr>
        <w:t>(Gegebene) als Pu'al-Partizip betont die vollständige Übertragung an Aaron und seine Söhne.</w:t>
      </w:r>
    </w:p>
    <w:p w14:paraId="16C2AAE2" w14:textId="174A83DF"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erste Zweckbestimmung </w:t>
      </w:r>
      <w:r w:rsidRPr="001C4F8B">
        <w:rPr>
          <w:rFonts w:eastAsia="Times New Roman" w:cs="Times New Roman"/>
          <w:b/>
          <w:bCs/>
          <w:rtl/>
          <w:lang w:eastAsia="de-DE"/>
        </w:rPr>
        <w:t>לַעֲבֹד אֶת־עֲבֹדַת בְּנֵי־יִשְׂרָאֵל בְּאֹהֶל מוֹעֵד</w:t>
      </w:r>
      <w:r w:rsidRPr="001C4F8B">
        <w:rPr>
          <w:rFonts w:eastAsia="Times New Roman" w:cs="Times New Roman"/>
          <w:rtl/>
          <w:lang w:eastAsia="de-DE"/>
        </w:rPr>
        <w:t xml:space="preserve"> </w:t>
      </w:r>
      <w:r w:rsidRPr="001C4F8B">
        <w:rPr>
          <w:rFonts w:eastAsia="Times New Roman" w:cs="Times New Roman"/>
          <w:lang w:eastAsia="de-DE"/>
        </w:rPr>
        <w:t xml:space="preserve">mit der reduplikativen </w:t>
      </w:r>
      <w:r w:rsidR="00F133EC">
        <w:rPr>
          <w:rFonts w:eastAsia="Times New Roman" w:cs="Times New Roman"/>
          <w:lang w:eastAsia="de-DE"/>
        </w:rPr>
        <w:t>Construct</w:t>
      </w:r>
      <w:r w:rsidRPr="001C4F8B">
        <w:rPr>
          <w:rFonts w:eastAsia="Times New Roman" w:cs="Times New Roman"/>
          <w:lang w:eastAsia="de-DE"/>
        </w:rPr>
        <w:t xml:space="preserve">ion </w:t>
      </w:r>
      <w:r w:rsidRPr="001C4F8B">
        <w:rPr>
          <w:rFonts w:eastAsia="Times New Roman" w:cs="Times New Roman"/>
          <w:b/>
          <w:bCs/>
          <w:rtl/>
          <w:lang w:eastAsia="de-DE"/>
        </w:rPr>
        <w:t>עֲבֹדַת בְּנֵי־יִשְׂרָאֵל</w:t>
      </w:r>
      <w:r w:rsidRPr="001C4F8B">
        <w:rPr>
          <w:rFonts w:eastAsia="Times New Roman" w:cs="Times New Roman"/>
          <w:rtl/>
          <w:lang w:eastAsia="de-DE"/>
        </w:rPr>
        <w:t xml:space="preserve"> </w:t>
      </w:r>
      <w:r w:rsidRPr="001C4F8B">
        <w:rPr>
          <w:rFonts w:eastAsia="Times New Roman" w:cs="Times New Roman"/>
          <w:lang w:eastAsia="de-DE"/>
        </w:rPr>
        <w:t>(Dienst der Söhne Israels) zeigt den stellvertretenden Charakter des levitischen Dienstes.</w:t>
      </w:r>
    </w:p>
    <w:p w14:paraId="452256B9" w14:textId="5BF9B4AD"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zweite Zweckbestimmung </w:t>
      </w:r>
      <w:r w:rsidRPr="001C4F8B">
        <w:rPr>
          <w:rFonts w:eastAsia="Times New Roman" w:cs="Times New Roman"/>
          <w:b/>
          <w:bCs/>
          <w:rtl/>
          <w:lang w:eastAsia="de-DE"/>
        </w:rPr>
        <w:t>וּלְכַפֵּר עַל־בְּנֵי יִשְׂרָאֵל</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לְכַפֵּר</w:t>
      </w:r>
      <w:r w:rsidRPr="001C4F8B">
        <w:rPr>
          <w:rFonts w:eastAsia="Times New Roman" w:cs="Times New Roman"/>
          <w:rtl/>
          <w:lang w:eastAsia="de-DE"/>
        </w:rPr>
        <w:t xml:space="preserve"> </w:t>
      </w:r>
      <w:r w:rsidRPr="001C4F8B">
        <w:rPr>
          <w:rFonts w:eastAsia="Times New Roman" w:cs="Times New Roman"/>
          <w:lang w:eastAsia="de-DE"/>
        </w:rPr>
        <w:t>als Pi'el-Infinitiv-</w:t>
      </w:r>
      <w:r w:rsidR="00F133EC">
        <w:rPr>
          <w:rFonts w:eastAsia="Times New Roman" w:cs="Times New Roman"/>
          <w:lang w:eastAsia="de-DE"/>
        </w:rPr>
        <w:t>Construct</w:t>
      </w:r>
      <w:r w:rsidRPr="001C4F8B">
        <w:rPr>
          <w:rFonts w:eastAsia="Times New Roman" w:cs="Times New Roman"/>
          <w:lang w:eastAsia="de-DE"/>
        </w:rPr>
        <w:t xml:space="preserve"> von </w:t>
      </w:r>
      <w:r w:rsidRPr="001C4F8B">
        <w:rPr>
          <w:rFonts w:eastAsia="Times New Roman" w:cs="Times New Roman"/>
          <w:b/>
          <w:bCs/>
          <w:rtl/>
          <w:lang w:eastAsia="de-DE"/>
        </w:rPr>
        <w:t>כפר</w:t>
      </w:r>
      <w:r w:rsidRPr="001C4F8B">
        <w:rPr>
          <w:rFonts w:eastAsia="Times New Roman" w:cs="Times New Roman"/>
          <w:rtl/>
          <w:lang w:eastAsia="de-DE"/>
        </w:rPr>
        <w:t xml:space="preserve"> </w:t>
      </w:r>
      <w:r w:rsidRPr="001C4F8B">
        <w:rPr>
          <w:rFonts w:eastAsia="Times New Roman" w:cs="Times New Roman"/>
          <w:lang w:eastAsia="de-DE"/>
        </w:rPr>
        <w:t>(sühnen) zeigt die Sühnfunktion der Leviten für das Volk.</w:t>
      </w:r>
    </w:p>
    <w:p w14:paraId="5165E101" w14:textId="194274B4"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finale Schutzbestimmung </w:t>
      </w:r>
      <w:r w:rsidRPr="001C4F8B">
        <w:rPr>
          <w:rFonts w:eastAsia="Times New Roman" w:cs="Times New Roman"/>
          <w:b/>
          <w:bCs/>
          <w:rtl/>
          <w:lang w:eastAsia="de-DE"/>
        </w:rPr>
        <w:t>וְלֹא יִהְיֶה בִּבְנֵי יִשְׂרָאֵל נֶגֶף בְּגֶשֶׁת בְּנֵי־יִשְׂרָאֵל אֶל־הַקֹּדֶשׁ</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נֶגֶף</w:t>
      </w:r>
      <w:r w:rsidRPr="001C4F8B">
        <w:rPr>
          <w:rFonts w:eastAsia="Times New Roman" w:cs="Times New Roman"/>
          <w:rtl/>
          <w:lang w:eastAsia="de-DE"/>
        </w:rPr>
        <w:t xml:space="preserve"> </w:t>
      </w:r>
      <w:r w:rsidRPr="001C4F8B">
        <w:rPr>
          <w:rFonts w:eastAsia="Times New Roman" w:cs="Times New Roman"/>
          <w:lang w:eastAsia="de-DE"/>
        </w:rPr>
        <w:t xml:space="preserve">(Plage), </w:t>
      </w:r>
      <w:r w:rsidRPr="001C4F8B">
        <w:rPr>
          <w:rFonts w:eastAsia="Times New Roman" w:cs="Times New Roman"/>
          <w:b/>
          <w:bCs/>
          <w:rtl/>
          <w:lang w:eastAsia="de-DE"/>
        </w:rPr>
        <w:t>בְּגֶשֶׁת</w:t>
      </w:r>
      <w:r w:rsidRPr="001C4F8B">
        <w:rPr>
          <w:rFonts w:eastAsia="Times New Roman" w:cs="Times New Roman"/>
          <w:rtl/>
          <w:lang w:eastAsia="de-DE"/>
        </w:rPr>
        <w:t xml:space="preserve"> </w:t>
      </w:r>
      <w:r w:rsidRPr="001C4F8B">
        <w:rPr>
          <w:rFonts w:eastAsia="Times New Roman" w:cs="Times New Roman"/>
          <w:lang w:eastAsia="de-DE"/>
        </w:rPr>
        <w:t>als Qal-Infinitiv-</w:t>
      </w:r>
      <w:r w:rsidR="00F133EC">
        <w:rPr>
          <w:rFonts w:eastAsia="Times New Roman" w:cs="Times New Roman"/>
          <w:lang w:eastAsia="de-DE"/>
        </w:rPr>
        <w:t>Construct</w:t>
      </w:r>
      <w:r w:rsidRPr="001C4F8B">
        <w:rPr>
          <w:rFonts w:eastAsia="Times New Roman" w:cs="Times New Roman"/>
          <w:lang w:eastAsia="de-DE"/>
        </w:rPr>
        <w:t xml:space="preserve"> von </w:t>
      </w:r>
      <w:r w:rsidRPr="001C4F8B">
        <w:rPr>
          <w:rFonts w:eastAsia="Times New Roman" w:cs="Times New Roman"/>
          <w:b/>
          <w:bCs/>
          <w:rtl/>
          <w:lang w:eastAsia="de-DE"/>
        </w:rPr>
        <w:t>נגש</w:t>
      </w:r>
      <w:r w:rsidRPr="001C4F8B">
        <w:rPr>
          <w:rFonts w:eastAsia="Times New Roman" w:cs="Times New Roman"/>
          <w:rtl/>
          <w:lang w:eastAsia="de-DE"/>
        </w:rPr>
        <w:t xml:space="preserve"> </w:t>
      </w:r>
      <w:r w:rsidRPr="001C4F8B">
        <w:rPr>
          <w:rFonts w:eastAsia="Times New Roman" w:cs="Times New Roman"/>
          <w:lang w:eastAsia="de-DE"/>
        </w:rPr>
        <w:t xml:space="preserve">(nahen) und </w:t>
      </w:r>
      <w:r w:rsidRPr="001C4F8B">
        <w:rPr>
          <w:rFonts w:eastAsia="Times New Roman" w:cs="Times New Roman"/>
          <w:b/>
          <w:bCs/>
          <w:rtl/>
          <w:lang w:eastAsia="de-DE"/>
        </w:rPr>
        <w:t>אֶל־הַקֹּדֶשׁ</w:t>
      </w:r>
      <w:r w:rsidRPr="001C4F8B">
        <w:rPr>
          <w:rFonts w:eastAsia="Times New Roman" w:cs="Times New Roman"/>
          <w:rtl/>
          <w:lang w:eastAsia="de-DE"/>
        </w:rPr>
        <w:t xml:space="preserve"> </w:t>
      </w:r>
      <w:r w:rsidRPr="001C4F8B">
        <w:rPr>
          <w:rFonts w:eastAsia="Times New Roman" w:cs="Times New Roman"/>
          <w:lang w:eastAsia="de-DE"/>
        </w:rPr>
        <w:t>(zum Heiligtum) zeigt den Schutzweck: Verhinderung göttlicher Strafen bei unsachgemäßer Annäherung ans Heiligtum.</w:t>
      </w:r>
    </w:p>
    <w:p w14:paraId="6A87BDE9" w14:textId="77777777" w:rsidR="004D44DE" w:rsidRDefault="004D44DE" w:rsidP="001C4F8B">
      <w:pPr>
        <w:spacing w:before="100" w:beforeAutospacing="1" w:after="100" w:afterAutospacing="1" w:line="240" w:lineRule="auto"/>
      </w:pPr>
      <w:r>
        <w:rPr>
          <w:rStyle w:val="Fett"/>
        </w:rPr>
        <w:t>Die LXX</w:t>
      </w:r>
      <w:r>
        <w:t xml:space="preserve"> übersetzt </w:t>
      </w:r>
      <w:r w:rsidRPr="004D44DE">
        <w:rPr>
          <w:b/>
          <w:bCs/>
          <w:rtl/>
        </w:rPr>
        <w:t>ולא יהיה בבני ישראל נגף בגשת בני־ישראל אל־הקדש</w:t>
      </w:r>
      <w:r w:rsidRPr="004D44DE">
        <w:rPr>
          <w:b/>
          <w:bCs/>
        </w:rPr>
        <w:t xml:space="preserve"> </w:t>
      </w:r>
      <w:r>
        <w:t>(velo yihyeh bivnei yisra'el negef bigeshet benei-yisra'el el-haqqodesh - "damit keine Plage über die Israeliten komme, wenn sie sich dem Heiligtum nahen") als καὶ οὐκ ἔσται ἐν τοῖς υἱοῖς Ἰσραὴλ προσεγγίζων πρὸς τὰ ἅγια (und es wird nicht unter den Israeliten einen geben, der sich den heiligen Dingen nähert), was eine etwas andere Interpretation der Gefahr darstellt.</w:t>
      </w:r>
    </w:p>
    <w:p w14:paraId="5EA5A601" w14:textId="42AC6411"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lastRenderedPageBreak/>
        <w:t>Die Satzstruktur zeigt eine komplexe Zweckbestimmung mit stellvertretendem Dienst, Sühnfunktion und Schutzwirkung für das Volk.</w:t>
      </w:r>
    </w:p>
    <w:p w14:paraId="13DE6C0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umfassende Vers etabliert die dreifache Funktion der Leviten: stellvertretender Dienst, Sühnwirkung und Schutz des Volkes vor göttlichem Zorn.</w:t>
      </w:r>
    </w:p>
    <w:p w14:paraId="56E2FF17"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8,20</w:t>
      </w:r>
    </w:p>
    <w:p w14:paraId="5D60F82F"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וַיַּ֨עַשׂ מֹשֶׁ֧ה וְאַהֲרֹ֛ן וְכָל־עֲדַ֥ת בְּנֵי־יִשְׂרָאֵ֖ל לַלְוִיִּ֑ם כְּ֠כֹל אֲשֶׁר־צִוָּ֨ה יְהוָ֤ה אֶת־מֹשֶׁה֙ לַלְוִיִּ֔ם כֵּן־עָשׂ֥וּ לָהֶ֖ם בְּנֵ֥י יִשְׂרָאֵֽל׃</w:t>
      </w:r>
    </w:p>
    <w:p w14:paraId="6C1E1350"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Und Mosche und 'Aharon und die ganze Gemeinde der Söhne Jisra'el taten so mit den Levijim; gemäß allem, was der Ewige Mosche bezüglich der Levijim geboten hatte, so taten die Söhne Jisra'el mit ihnen.</w:t>
      </w:r>
    </w:p>
    <w:p w14:paraId="58D7E803"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4F709E1C">
          <v:rect id="_x0000_i1314" style="width:0;height:1.5pt" o:hralign="center" o:hrstd="t" o:hr="t" fillcolor="#a0a0a0" stroked="f"/>
        </w:pict>
      </w:r>
    </w:p>
    <w:p w14:paraId="6DEC8FFB"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Das Verb </w:t>
      </w:r>
      <w:r w:rsidRPr="001C4F8B">
        <w:rPr>
          <w:rFonts w:eastAsia="Times New Roman" w:cs="Times New Roman"/>
          <w:b/>
          <w:bCs/>
          <w:rtl/>
          <w:lang w:eastAsia="de-DE"/>
        </w:rPr>
        <w:t>וַיַּעַשׂ</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עשה</w:t>
      </w:r>
      <w:r w:rsidRPr="001C4F8B">
        <w:rPr>
          <w:rFonts w:eastAsia="Times New Roman" w:cs="Times New Roman"/>
          <w:rtl/>
          <w:lang w:eastAsia="de-DE"/>
        </w:rPr>
        <w:t xml:space="preserve"> </w:t>
      </w:r>
      <w:r w:rsidRPr="001C4F8B">
        <w:rPr>
          <w:rFonts w:eastAsia="Times New Roman" w:cs="Times New Roman"/>
          <w:lang w:eastAsia="de-DE"/>
        </w:rPr>
        <w:t xml:space="preserve">(tun) im Qal-Imperfekt 3. maskulin Singular mit Waw consecutivum zeigt die Ausführung der göttlichen Anweisungen. Das dreifache Subjekt </w:t>
      </w:r>
      <w:r w:rsidRPr="001C4F8B">
        <w:rPr>
          <w:rFonts w:eastAsia="Times New Roman" w:cs="Times New Roman"/>
          <w:b/>
          <w:bCs/>
          <w:rtl/>
          <w:lang w:eastAsia="de-DE"/>
        </w:rPr>
        <w:t>מֹשֶׁה וְאַהֲרֹן וְכָל־עֲדַת בְּנֵי־יִשְׂרָאֵל</w:t>
      </w:r>
      <w:r w:rsidRPr="001C4F8B">
        <w:rPr>
          <w:rFonts w:eastAsia="Times New Roman" w:cs="Times New Roman"/>
          <w:rtl/>
          <w:lang w:eastAsia="de-DE"/>
        </w:rPr>
        <w:t xml:space="preserve"> </w:t>
      </w:r>
      <w:r w:rsidRPr="001C4F8B">
        <w:rPr>
          <w:rFonts w:eastAsia="Times New Roman" w:cs="Times New Roman"/>
          <w:lang w:eastAsia="de-DE"/>
        </w:rPr>
        <w:t>(Mose und Aaron und die ganze Gemeinde der Söhne Israels) betont die umfassende Partizipation aller beteiligten Parteien.</w:t>
      </w:r>
    </w:p>
    <w:p w14:paraId="275C88A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Konformitätsbestimmung </w:t>
      </w:r>
      <w:r w:rsidRPr="001C4F8B">
        <w:rPr>
          <w:rFonts w:eastAsia="Times New Roman" w:cs="Times New Roman"/>
          <w:b/>
          <w:bCs/>
          <w:rtl/>
          <w:lang w:eastAsia="de-DE"/>
        </w:rPr>
        <w:t>כְּכֹל אֲשֶׁר־צִוָּה יְהוָה אֶת־מֹשֶׁה לַלְוִיִּם</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כְּכֹל</w:t>
      </w:r>
      <w:r w:rsidRPr="001C4F8B">
        <w:rPr>
          <w:rFonts w:eastAsia="Times New Roman" w:cs="Times New Roman"/>
          <w:rtl/>
          <w:lang w:eastAsia="de-DE"/>
        </w:rPr>
        <w:t xml:space="preserve"> </w:t>
      </w:r>
      <w:r w:rsidRPr="001C4F8B">
        <w:rPr>
          <w:rFonts w:eastAsia="Times New Roman" w:cs="Times New Roman"/>
          <w:lang w:eastAsia="de-DE"/>
        </w:rPr>
        <w:t xml:space="preserve">(gemäß allem), </w:t>
      </w:r>
      <w:r w:rsidRPr="001C4F8B">
        <w:rPr>
          <w:rFonts w:eastAsia="Times New Roman" w:cs="Times New Roman"/>
          <w:b/>
          <w:bCs/>
          <w:rtl/>
          <w:lang w:eastAsia="de-DE"/>
        </w:rPr>
        <w:t>אֲשֶׁר־צִוָּה</w:t>
      </w:r>
      <w:r w:rsidRPr="001C4F8B">
        <w:rPr>
          <w:rFonts w:eastAsia="Times New Roman" w:cs="Times New Roman"/>
          <w:rtl/>
          <w:lang w:eastAsia="de-DE"/>
        </w:rPr>
        <w:t xml:space="preserve"> </w:t>
      </w:r>
      <w:r w:rsidRPr="001C4F8B">
        <w:rPr>
          <w:rFonts w:eastAsia="Times New Roman" w:cs="Times New Roman"/>
          <w:lang w:eastAsia="de-DE"/>
        </w:rPr>
        <w:t xml:space="preserve">(was er befohlen hatte) und </w:t>
      </w:r>
      <w:r w:rsidRPr="001C4F8B">
        <w:rPr>
          <w:rFonts w:eastAsia="Times New Roman" w:cs="Times New Roman"/>
          <w:b/>
          <w:bCs/>
          <w:rtl/>
          <w:lang w:eastAsia="de-DE"/>
        </w:rPr>
        <w:t>יְהוָה אֶת־מֹשֶׁה</w:t>
      </w:r>
      <w:r w:rsidRPr="001C4F8B">
        <w:rPr>
          <w:rFonts w:eastAsia="Times New Roman" w:cs="Times New Roman"/>
          <w:rtl/>
          <w:lang w:eastAsia="de-DE"/>
        </w:rPr>
        <w:t xml:space="preserve"> </w:t>
      </w:r>
      <w:r w:rsidRPr="001C4F8B">
        <w:rPr>
          <w:rFonts w:eastAsia="Times New Roman" w:cs="Times New Roman"/>
          <w:lang w:eastAsia="de-DE"/>
        </w:rPr>
        <w:t>(der Ewige dem Mose) zeigt die exakte Befolgung der göttlichen Anweisungen.</w:t>
      </w:r>
    </w:p>
    <w:p w14:paraId="23F3E4F6"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verstärkende Wiederholung </w:t>
      </w:r>
      <w:r w:rsidRPr="001C4F8B">
        <w:rPr>
          <w:rFonts w:eastAsia="Times New Roman" w:cs="Times New Roman"/>
          <w:b/>
          <w:bCs/>
          <w:rtl/>
          <w:lang w:eastAsia="de-DE"/>
        </w:rPr>
        <w:t>כֵּן־עָשׂוּ לָהֶם בְּנֵי יִשְׂרָאֵל</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כֵּן</w:t>
      </w:r>
      <w:r w:rsidRPr="001C4F8B">
        <w:rPr>
          <w:rFonts w:eastAsia="Times New Roman" w:cs="Times New Roman"/>
          <w:rtl/>
          <w:lang w:eastAsia="de-DE"/>
        </w:rPr>
        <w:t xml:space="preserve"> </w:t>
      </w:r>
      <w:r w:rsidRPr="001C4F8B">
        <w:rPr>
          <w:rFonts w:eastAsia="Times New Roman" w:cs="Times New Roman"/>
          <w:lang w:eastAsia="de-DE"/>
        </w:rPr>
        <w:t xml:space="preserve">(so), </w:t>
      </w:r>
      <w:r w:rsidRPr="001C4F8B">
        <w:rPr>
          <w:rFonts w:eastAsia="Times New Roman" w:cs="Times New Roman"/>
          <w:b/>
          <w:bCs/>
          <w:rtl/>
          <w:lang w:eastAsia="de-DE"/>
        </w:rPr>
        <w:t>עָשׂוּ</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עשה</w:t>
      </w:r>
      <w:r w:rsidRPr="001C4F8B">
        <w:rPr>
          <w:rFonts w:eastAsia="Times New Roman" w:cs="Times New Roman"/>
          <w:rtl/>
          <w:lang w:eastAsia="de-DE"/>
        </w:rPr>
        <w:t xml:space="preserve"> </w:t>
      </w:r>
      <w:r w:rsidRPr="001C4F8B">
        <w:rPr>
          <w:rFonts w:eastAsia="Times New Roman" w:cs="Times New Roman"/>
          <w:lang w:eastAsia="de-DE"/>
        </w:rPr>
        <w:t xml:space="preserve">(taten) im Qal-Perfekt 3. maskulin Plural und </w:t>
      </w:r>
      <w:r w:rsidRPr="001C4F8B">
        <w:rPr>
          <w:rFonts w:eastAsia="Times New Roman" w:cs="Times New Roman"/>
          <w:b/>
          <w:bCs/>
          <w:rtl/>
          <w:lang w:eastAsia="de-DE"/>
        </w:rPr>
        <w:t>בְּנֵי יִשְׂרָאֵל</w:t>
      </w:r>
      <w:r w:rsidRPr="001C4F8B">
        <w:rPr>
          <w:rFonts w:eastAsia="Times New Roman" w:cs="Times New Roman"/>
          <w:rtl/>
          <w:lang w:eastAsia="de-DE"/>
        </w:rPr>
        <w:t xml:space="preserve"> </w:t>
      </w:r>
      <w:r w:rsidRPr="001C4F8B">
        <w:rPr>
          <w:rFonts w:eastAsia="Times New Roman" w:cs="Times New Roman"/>
          <w:lang w:eastAsia="de-DE"/>
        </w:rPr>
        <w:t>(die Söhne Israels) betont nochmals die vollständige Ausführung.</w:t>
      </w:r>
    </w:p>
    <w:p w14:paraId="5EA366DD"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mit der Betonung auf παρὰ πάντα ὅσα ἐνετείλατο (entsprechend allem was er befohlen hatte).</w:t>
      </w:r>
    </w:p>
    <w:p w14:paraId="3DAE20A6"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 Satzstruktur zeigt eine Bestätigungsformel mit dreifachem Subjekt, Konformitätsbestimmung und verstärkender Wiederholung.</w:t>
      </w:r>
    </w:p>
    <w:p w14:paraId="5C275D84"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bestätigt die vollständige und korrekte Ausführung aller göttlichen Anweisungen zur levitischen Weihe durch alle beteiligten Parteien.</w:t>
      </w:r>
    </w:p>
    <w:p w14:paraId="6D3B694B"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8,21</w:t>
      </w:r>
    </w:p>
    <w:p w14:paraId="1B434202"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וַיִּֽתְחַטְּא֣וּ הַלְוִיִּ֗ם וַֽיְכַבְּסוּ֙ בִּגְדֵיהֶ֔ם וַיָּ֨נֶף אַהֲרֹ֥ן אֹתָ֛ם תְּנוּפָ֖ה לִפְנֵ֣י יְהוָ֑ה וַיְכַפֵּ֧ר עֲלֵיהֶ֛ם אַהֲרֹ֖ן לְטַהֲרָֽם׃</w:t>
      </w:r>
    </w:p>
    <w:p w14:paraId="7E47FF98"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Und die Levijim entsündigten sich und wuschen ihre Kleider; und 'Aharon ließ sie Schwingopfer vor dem Ewigen schwingen; und 'Aharon schaffte Sühne für sie, um sie zu reinigen.</w:t>
      </w:r>
    </w:p>
    <w:p w14:paraId="2B256541"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2E6E6739">
          <v:rect id="_x0000_i1315" style="width:0;height:1.5pt" o:hralign="center" o:hrstd="t" o:hr="t" fillcolor="#a0a0a0" stroked="f"/>
        </w:pict>
      </w:r>
    </w:p>
    <w:p w14:paraId="54AA2BFB"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lastRenderedPageBreak/>
        <w:t>Kommentar:</w:t>
      </w:r>
      <w:r w:rsidRPr="001C4F8B">
        <w:rPr>
          <w:rFonts w:eastAsia="Times New Roman" w:cs="Times New Roman"/>
          <w:lang w:eastAsia="de-DE"/>
        </w:rPr>
        <w:t xml:space="preserve"> Das Verb </w:t>
      </w:r>
      <w:r w:rsidRPr="001C4F8B">
        <w:rPr>
          <w:rFonts w:eastAsia="Times New Roman" w:cs="Times New Roman"/>
          <w:b/>
          <w:bCs/>
          <w:rtl/>
          <w:lang w:eastAsia="de-DE"/>
        </w:rPr>
        <w:t>וַיִּתְחַטְּאוּ הַלְוִיִּם</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יִּתְחַטְּאוּ</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חטא</w:t>
      </w:r>
      <w:r w:rsidRPr="001C4F8B">
        <w:rPr>
          <w:rFonts w:eastAsia="Times New Roman" w:cs="Times New Roman"/>
          <w:rtl/>
          <w:lang w:eastAsia="de-DE"/>
        </w:rPr>
        <w:t xml:space="preserve"> </w:t>
      </w:r>
      <w:r w:rsidRPr="001C4F8B">
        <w:rPr>
          <w:rFonts w:eastAsia="Times New Roman" w:cs="Times New Roman"/>
          <w:lang w:eastAsia="de-DE"/>
        </w:rPr>
        <w:t>(sündigen) im Hithpa'el-Imperfekt 3. maskulin Plural zeigt die levitische Selbstentsündigung als reflexive Handlung.</w:t>
      </w:r>
    </w:p>
    <w:p w14:paraId="1F660CF5"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Das koordinierte Verb </w:t>
      </w:r>
      <w:r w:rsidRPr="001C4F8B">
        <w:rPr>
          <w:rFonts w:eastAsia="Times New Roman" w:cs="Times New Roman"/>
          <w:b/>
          <w:bCs/>
          <w:rtl/>
          <w:lang w:eastAsia="de-DE"/>
        </w:rPr>
        <w:t>וַיְכַבְּסוּ בִגְדֵיהֶם</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יְכַבְּסוּ</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כבס</w:t>
      </w:r>
      <w:r w:rsidRPr="001C4F8B">
        <w:rPr>
          <w:rFonts w:eastAsia="Times New Roman" w:cs="Times New Roman"/>
          <w:rtl/>
          <w:lang w:eastAsia="de-DE"/>
        </w:rPr>
        <w:t xml:space="preserve"> </w:t>
      </w:r>
      <w:r w:rsidRPr="001C4F8B">
        <w:rPr>
          <w:rFonts w:eastAsia="Times New Roman" w:cs="Times New Roman"/>
          <w:lang w:eastAsia="de-DE"/>
        </w:rPr>
        <w:t xml:space="preserve">(waschen) im Pi'el-Imperfekt 3. maskulin Plural und </w:t>
      </w:r>
      <w:r w:rsidRPr="001C4F8B">
        <w:rPr>
          <w:rFonts w:eastAsia="Times New Roman" w:cs="Times New Roman"/>
          <w:b/>
          <w:bCs/>
          <w:rtl/>
          <w:lang w:eastAsia="de-DE"/>
        </w:rPr>
        <w:t>בִגְדֵיהֶם</w:t>
      </w:r>
      <w:r w:rsidRPr="001C4F8B">
        <w:rPr>
          <w:rFonts w:eastAsia="Times New Roman" w:cs="Times New Roman"/>
          <w:rtl/>
          <w:lang w:eastAsia="de-DE"/>
        </w:rPr>
        <w:t xml:space="preserve"> </w:t>
      </w:r>
      <w:r w:rsidRPr="001C4F8B">
        <w:rPr>
          <w:rFonts w:eastAsia="Times New Roman" w:cs="Times New Roman"/>
          <w:lang w:eastAsia="de-DE"/>
        </w:rPr>
        <w:t>(ihre Kleider) wiederholt die Reinigungshandlung aus Vers 7.</w:t>
      </w:r>
    </w:p>
    <w:p w14:paraId="290BE580"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priesterliche Schwinghandlung </w:t>
      </w:r>
      <w:r w:rsidRPr="001C4F8B">
        <w:rPr>
          <w:rFonts w:eastAsia="Times New Roman" w:cs="Times New Roman"/>
          <w:b/>
          <w:bCs/>
          <w:rtl/>
          <w:lang w:eastAsia="de-DE"/>
        </w:rPr>
        <w:t>וַיָּנֶף אַהֲרֹן אֹתָם תְּנוּפָה לִפְנֵי יְהוָה</w:t>
      </w:r>
      <w:r w:rsidRPr="001C4F8B">
        <w:rPr>
          <w:rFonts w:eastAsia="Times New Roman" w:cs="Times New Roman"/>
          <w:rtl/>
          <w:lang w:eastAsia="de-DE"/>
        </w:rPr>
        <w:t xml:space="preserve"> </w:t>
      </w:r>
      <w:r w:rsidRPr="001C4F8B">
        <w:rPr>
          <w:rFonts w:eastAsia="Times New Roman" w:cs="Times New Roman"/>
          <w:lang w:eastAsia="de-DE"/>
        </w:rPr>
        <w:t>wiederholt die außergewöhnliche Menschen-Schwingopferung aus den Versen 11 und 13.</w:t>
      </w:r>
    </w:p>
    <w:p w14:paraId="487038D0" w14:textId="4EBF7180"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abschließende Sühnehandlung </w:t>
      </w:r>
      <w:r w:rsidRPr="001C4F8B">
        <w:rPr>
          <w:rFonts w:eastAsia="Times New Roman" w:cs="Times New Roman"/>
          <w:b/>
          <w:bCs/>
          <w:rtl/>
          <w:lang w:eastAsia="de-DE"/>
        </w:rPr>
        <w:t>וַיְכַפֵּר עֲלֵיהֶם אַהֲרֹן לְטַהֲרָם</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יְכַפֵּר</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כפר</w:t>
      </w:r>
      <w:r w:rsidRPr="001C4F8B">
        <w:rPr>
          <w:rFonts w:eastAsia="Times New Roman" w:cs="Times New Roman"/>
          <w:rtl/>
          <w:lang w:eastAsia="de-DE"/>
        </w:rPr>
        <w:t xml:space="preserve"> </w:t>
      </w:r>
      <w:r w:rsidRPr="001C4F8B">
        <w:rPr>
          <w:rFonts w:eastAsia="Times New Roman" w:cs="Times New Roman"/>
          <w:lang w:eastAsia="de-DE"/>
        </w:rPr>
        <w:t xml:space="preserve">(sühnen) im Pi'el-Imperfekt 3. maskulin Singular und </w:t>
      </w:r>
      <w:r w:rsidRPr="001C4F8B">
        <w:rPr>
          <w:rFonts w:eastAsia="Times New Roman" w:cs="Times New Roman"/>
          <w:b/>
          <w:bCs/>
          <w:rtl/>
          <w:lang w:eastAsia="de-DE"/>
        </w:rPr>
        <w:t>לְטַהֲרָם</w:t>
      </w:r>
      <w:r w:rsidRPr="001C4F8B">
        <w:rPr>
          <w:rFonts w:eastAsia="Times New Roman" w:cs="Times New Roman"/>
          <w:rtl/>
          <w:lang w:eastAsia="de-DE"/>
        </w:rPr>
        <w:t xml:space="preserve"> </w:t>
      </w:r>
      <w:r w:rsidRPr="001C4F8B">
        <w:rPr>
          <w:rFonts w:eastAsia="Times New Roman" w:cs="Times New Roman"/>
          <w:lang w:eastAsia="de-DE"/>
        </w:rPr>
        <w:t>als Pi'el-Infinitiv-</w:t>
      </w:r>
      <w:r w:rsidR="00F133EC">
        <w:rPr>
          <w:rFonts w:eastAsia="Times New Roman" w:cs="Times New Roman"/>
          <w:lang w:eastAsia="de-DE"/>
        </w:rPr>
        <w:t>Construct</w:t>
      </w:r>
      <w:r w:rsidRPr="001C4F8B">
        <w:rPr>
          <w:rFonts w:eastAsia="Times New Roman" w:cs="Times New Roman"/>
          <w:lang w:eastAsia="de-DE"/>
        </w:rPr>
        <w:t xml:space="preserve"> von </w:t>
      </w:r>
      <w:r w:rsidRPr="001C4F8B">
        <w:rPr>
          <w:rFonts w:eastAsia="Times New Roman" w:cs="Times New Roman"/>
          <w:b/>
          <w:bCs/>
          <w:rtl/>
          <w:lang w:eastAsia="de-DE"/>
        </w:rPr>
        <w:t>טהר</w:t>
      </w:r>
      <w:r w:rsidRPr="001C4F8B">
        <w:rPr>
          <w:rFonts w:eastAsia="Times New Roman" w:cs="Times New Roman"/>
          <w:rtl/>
          <w:lang w:eastAsia="de-DE"/>
        </w:rPr>
        <w:t xml:space="preserve"> </w:t>
      </w:r>
      <w:r w:rsidRPr="001C4F8B">
        <w:rPr>
          <w:rFonts w:eastAsia="Times New Roman" w:cs="Times New Roman"/>
          <w:lang w:eastAsia="de-DE"/>
        </w:rPr>
        <w:t>(reinigen) zeigt die priesterliche Sühnwirkung zur levitischen Reinigung.</w:t>
      </w:r>
    </w:p>
    <w:p w14:paraId="14407130"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w:t>
      </w:r>
      <w:r w:rsidRPr="001C4F8B">
        <w:rPr>
          <w:rFonts w:eastAsia="Times New Roman" w:cs="Times New Roman"/>
          <w:b/>
          <w:bCs/>
          <w:rtl/>
          <w:lang w:eastAsia="de-DE"/>
        </w:rPr>
        <w:t>יִּתְחַטְּאוּ</w:t>
      </w:r>
      <w:r w:rsidRPr="001C4F8B">
        <w:rPr>
          <w:rFonts w:eastAsia="Times New Roman" w:cs="Times New Roman"/>
          <w:rtl/>
          <w:lang w:eastAsia="de-DE"/>
        </w:rPr>
        <w:t xml:space="preserve"> </w:t>
      </w:r>
      <w:r w:rsidRPr="001C4F8B">
        <w:rPr>
          <w:rFonts w:eastAsia="Times New Roman" w:cs="Times New Roman"/>
          <w:lang w:eastAsia="de-DE"/>
        </w:rPr>
        <w:t>mit ἡγνίσαντο (sie reinigten sich) und betont die Reinigungsaspekte.</w:t>
      </w:r>
    </w:p>
    <w:p w14:paraId="0742E7F4"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 Satzstruktur zeigt eine vierfache Sequenz: levitische Selbstentsündigung, Kleiderwäsche, priesterliche Schwingopferung und Sühnung.</w:t>
      </w:r>
    </w:p>
    <w:p w14:paraId="2CC920E2"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dokumentiert die praktische Ausführung der levitischen Reinigung mit sowohl selbstständigen als auch priesterlich vermittelten Elementen.</w:t>
      </w:r>
    </w:p>
    <w:p w14:paraId="3AFF3C25"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8,22</w:t>
      </w:r>
    </w:p>
    <w:p w14:paraId="6CB31A33"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וְאַחֲרֵי־כֵ֞ן בָּ֣אוּ הַלְוִיִּ֗ם לַעֲבֹ֤ד אֶת־עֲבֹֽדָתָם֙ בְּאֹ֣הֶל מוֹעֵ֔ד לִפְנֵ֥י אַהֲרֹ֖ן וְלִפְנֵ֣י בָנָ֑יו כַּאֲשֶׁר֩ צִוָּ֨ה יְהוָ֤ה אֶת־מֹשֶׁה֙ עַל־הַלְוִיִּ֔ם כֵּ֖ן עָשׂ֥וּ לָהֶֽם׃</w:t>
      </w:r>
    </w:p>
    <w:p w14:paraId="2E0110A9"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Und danach kamen die Levijim, um ihren Dienst am Zelt der Begegnung zu verrichten vor 'Aharon und vor seinen Söhnen; wie der Ewige Mosche bezüglich der Levijim geboten hatte, so taten sie mit ihnen.</w:t>
      </w:r>
    </w:p>
    <w:p w14:paraId="79E9003A"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5C7AC162">
          <v:rect id="_x0000_i1316" style="width:0;height:1.5pt" o:hralign="center" o:hrstd="t" o:hr="t" fillcolor="#a0a0a0" stroked="f"/>
        </w:pict>
      </w:r>
    </w:p>
    <w:p w14:paraId="7ABAB34B"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Die temporale Bestimmung </w:t>
      </w:r>
      <w:r w:rsidRPr="001C4F8B">
        <w:rPr>
          <w:rFonts w:eastAsia="Times New Roman" w:cs="Times New Roman"/>
          <w:b/>
          <w:bCs/>
          <w:rtl/>
          <w:lang w:eastAsia="de-DE"/>
        </w:rPr>
        <w:t>וְאַחֲרֵי־כֵן</w:t>
      </w:r>
      <w:r w:rsidRPr="001C4F8B">
        <w:rPr>
          <w:rFonts w:eastAsia="Times New Roman" w:cs="Times New Roman"/>
          <w:rtl/>
          <w:lang w:eastAsia="de-DE"/>
        </w:rPr>
        <w:t xml:space="preserve"> </w:t>
      </w:r>
      <w:r w:rsidRPr="001C4F8B">
        <w:rPr>
          <w:rFonts w:eastAsia="Times New Roman" w:cs="Times New Roman"/>
          <w:lang w:eastAsia="de-DE"/>
        </w:rPr>
        <w:t>(und danach) wiederholt die Formulierung aus Vers 15 und markiert den Beginn des tatsächlichen levitischen Dienstes nach vollzogener Weihe.</w:t>
      </w:r>
    </w:p>
    <w:p w14:paraId="677D38C2" w14:textId="2EE63095"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Das Verb </w:t>
      </w:r>
      <w:r w:rsidRPr="001C4F8B">
        <w:rPr>
          <w:rFonts w:eastAsia="Times New Roman" w:cs="Times New Roman"/>
          <w:b/>
          <w:bCs/>
          <w:rtl/>
          <w:lang w:eastAsia="de-DE"/>
        </w:rPr>
        <w:t>בָּאוּ הַלְוִיִּם לַעֲבֹד אֶת־עֲבֹדָתָם בְּאֹהֶל מוֹעֵד</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בָּאוּ</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בוא</w:t>
      </w:r>
      <w:r w:rsidRPr="001C4F8B">
        <w:rPr>
          <w:rFonts w:eastAsia="Times New Roman" w:cs="Times New Roman"/>
          <w:rtl/>
          <w:lang w:eastAsia="de-DE"/>
        </w:rPr>
        <w:t xml:space="preserve"> </w:t>
      </w:r>
      <w:r w:rsidRPr="001C4F8B">
        <w:rPr>
          <w:rFonts w:eastAsia="Times New Roman" w:cs="Times New Roman"/>
          <w:lang w:eastAsia="de-DE"/>
        </w:rPr>
        <w:t xml:space="preserve">(kommen), </w:t>
      </w:r>
      <w:r w:rsidRPr="001C4F8B">
        <w:rPr>
          <w:rFonts w:eastAsia="Times New Roman" w:cs="Times New Roman"/>
          <w:b/>
          <w:bCs/>
          <w:rtl/>
          <w:lang w:eastAsia="de-DE"/>
        </w:rPr>
        <w:t>לַעֲבֹד</w:t>
      </w:r>
      <w:r w:rsidRPr="001C4F8B">
        <w:rPr>
          <w:rFonts w:eastAsia="Times New Roman" w:cs="Times New Roman"/>
          <w:rtl/>
          <w:lang w:eastAsia="de-DE"/>
        </w:rPr>
        <w:t xml:space="preserve"> </w:t>
      </w:r>
      <w:r w:rsidRPr="001C4F8B">
        <w:rPr>
          <w:rFonts w:eastAsia="Times New Roman" w:cs="Times New Roman"/>
          <w:lang w:eastAsia="de-DE"/>
        </w:rPr>
        <w:t>als Infinitiv-</w:t>
      </w:r>
      <w:r w:rsidR="00F133EC">
        <w:rPr>
          <w:rFonts w:eastAsia="Times New Roman" w:cs="Times New Roman"/>
          <w:lang w:eastAsia="de-DE"/>
        </w:rPr>
        <w:t>Construct</w:t>
      </w:r>
      <w:r w:rsidRPr="001C4F8B">
        <w:rPr>
          <w:rFonts w:eastAsia="Times New Roman" w:cs="Times New Roman"/>
          <w:lang w:eastAsia="de-DE"/>
        </w:rPr>
        <w:t xml:space="preserve"> von </w:t>
      </w:r>
      <w:r w:rsidRPr="001C4F8B">
        <w:rPr>
          <w:rFonts w:eastAsia="Times New Roman" w:cs="Times New Roman"/>
          <w:b/>
          <w:bCs/>
          <w:rtl/>
          <w:lang w:eastAsia="de-DE"/>
        </w:rPr>
        <w:t>עבד</w:t>
      </w:r>
      <w:r w:rsidRPr="001C4F8B">
        <w:rPr>
          <w:rFonts w:eastAsia="Times New Roman" w:cs="Times New Roman"/>
          <w:rtl/>
          <w:lang w:eastAsia="de-DE"/>
        </w:rPr>
        <w:t xml:space="preserve"> </w:t>
      </w:r>
      <w:r w:rsidRPr="001C4F8B">
        <w:rPr>
          <w:rFonts w:eastAsia="Times New Roman" w:cs="Times New Roman"/>
          <w:lang w:eastAsia="de-DE"/>
        </w:rPr>
        <w:t xml:space="preserve">(dienen) und </w:t>
      </w:r>
      <w:r w:rsidRPr="001C4F8B">
        <w:rPr>
          <w:rFonts w:eastAsia="Times New Roman" w:cs="Times New Roman"/>
          <w:b/>
          <w:bCs/>
          <w:rtl/>
          <w:lang w:eastAsia="de-DE"/>
        </w:rPr>
        <w:t>עֲבֹדָתָם</w:t>
      </w:r>
      <w:r w:rsidRPr="001C4F8B">
        <w:rPr>
          <w:rFonts w:eastAsia="Times New Roman" w:cs="Times New Roman"/>
          <w:rtl/>
          <w:lang w:eastAsia="de-DE"/>
        </w:rPr>
        <w:t xml:space="preserve"> </w:t>
      </w:r>
      <w:r w:rsidRPr="001C4F8B">
        <w:rPr>
          <w:rFonts w:eastAsia="Times New Roman" w:cs="Times New Roman"/>
          <w:lang w:eastAsia="de-DE"/>
        </w:rPr>
        <w:t>(ihren Dienst) mit Possessivsuffix zeigt den Beginn der spezifisch levitischen Aufgaben.</w:t>
      </w:r>
    </w:p>
    <w:p w14:paraId="49F755B3"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Autoritätsbestimmung </w:t>
      </w:r>
      <w:r w:rsidRPr="001C4F8B">
        <w:rPr>
          <w:rFonts w:eastAsia="Times New Roman" w:cs="Times New Roman"/>
          <w:b/>
          <w:bCs/>
          <w:rtl/>
          <w:lang w:eastAsia="de-DE"/>
        </w:rPr>
        <w:t>לִפְנֵי אַהֲרֹן וְלִפְנֵי בָנָיו</w:t>
      </w:r>
      <w:r w:rsidRPr="001C4F8B">
        <w:rPr>
          <w:rFonts w:eastAsia="Times New Roman" w:cs="Times New Roman"/>
          <w:rtl/>
          <w:lang w:eastAsia="de-DE"/>
        </w:rPr>
        <w:t xml:space="preserve"> </w:t>
      </w:r>
      <w:r w:rsidRPr="001C4F8B">
        <w:rPr>
          <w:rFonts w:eastAsia="Times New Roman" w:cs="Times New Roman"/>
          <w:lang w:eastAsia="de-DE"/>
        </w:rPr>
        <w:t>(vor Aaron und vor seinen Söhnen) etabliert die priesterliche Aufsicht über den levitischen Dienst.</w:t>
      </w:r>
    </w:p>
    <w:p w14:paraId="309F8B18"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abschließende Konformitätsformel </w:t>
      </w:r>
      <w:r w:rsidRPr="001C4F8B">
        <w:rPr>
          <w:rFonts w:eastAsia="Times New Roman" w:cs="Times New Roman"/>
          <w:b/>
          <w:bCs/>
          <w:rtl/>
          <w:lang w:eastAsia="de-DE"/>
        </w:rPr>
        <w:t>כַּאֲשֶׁר צִוָּה יְהוָה אֶת־מֹשֶׁה עַל־הַלְוִיִּם כֵּן עָשׂוּ לָהֶם</w:t>
      </w:r>
      <w:r w:rsidRPr="001C4F8B">
        <w:rPr>
          <w:rFonts w:eastAsia="Times New Roman" w:cs="Times New Roman"/>
          <w:rtl/>
          <w:lang w:eastAsia="de-DE"/>
        </w:rPr>
        <w:t xml:space="preserve"> </w:t>
      </w:r>
      <w:r w:rsidRPr="001C4F8B">
        <w:rPr>
          <w:rFonts w:eastAsia="Times New Roman" w:cs="Times New Roman"/>
          <w:lang w:eastAsia="de-DE"/>
        </w:rPr>
        <w:t>wiederholt die Betonung der exakten Befolgung göttlicher Anweisungen.</w:t>
      </w:r>
    </w:p>
    <w:p w14:paraId="73A7F41A"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w:t>
      </w:r>
      <w:r w:rsidRPr="001C4F8B">
        <w:rPr>
          <w:rFonts w:eastAsia="Times New Roman" w:cs="Times New Roman"/>
          <w:b/>
          <w:bCs/>
          <w:rtl/>
          <w:lang w:eastAsia="de-DE"/>
        </w:rPr>
        <w:t>עֲבֹדָתָם</w:t>
      </w:r>
      <w:r w:rsidRPr="001C4F8B">
        <w:rPr>
          <w:rFonts w:eastAsia="Times New Roman" w:cs="Times New Roman"/>
          <w:rtl/>
          <w:lang w:eastAsia="de-DE"/>
        </w:rPr>
        <w:t xml:space="preserve"> </w:t>
      </w:r>
      <w:r w:rsidRPr="001C4F8B">
        <w:rPr>
          <w:rFonts w:eastAsia="Times New Roman" w:cs="Times New Roman"/>
          <w:lang w:eastAsia="de-DE"/>
        </w:rPr>
        <w:t xml:space="preserve">mit τὰ ἔργα αὐτῶν (ihre Arbeiten) und </w:t>
      </w:r>
      <w:r w:rsidRPr="001C4F8B">
        <w:rPr>
          <w:rFonts w:eastAsia="Times New Roman" w:cs="Times New Roman"/>
          <w:b/>
          <w:bCs/>
          <w:rtl/>
          <w:lang w:eastAsia="de-DE"/>
        </w:rPr>
        <w:t>לִפְנֵי</w:t>
      </w:r>
      <w:r w:rsidRPr="001C4F8B">
        <w:rPr>
          <w:rFonts w:eastAsia="Times New Roman" w:cs="Times New Roman"/>
          <w:rtl/>
          <w:lang w:eastAsia="de-DE"/>
        </w:rPr>
        <w:t xml:space="preserve"> </w:t>
      </w:r>
      <w:r w:rsidRPr="001C4F8B">
        <w:rPr>
          <w:rFonts w:eastAsia="Times New Roman" w:cs="Times New Roman"/>
          <w:lang w:eastAsia="de-DE"/>
        </w:rPr>
        <w:t>mit ἔναντι (vor/gegenüber).</w:t>
      </w:r>
    </w:p>
    <w:p w14:paraId="0D4C883A"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lastRenderedPageBreak/>
        <w:t>Die Satzstruktur zeigt den erfolgreichen Übergang vom Weiheritual zum praktischen Dienst unter priesterlicher Aufsicht mit bestätigender Konformitätsformel.</w:t>
      </w:r>
    </w:p>
    <w:p w14:paraId="4C12D96F"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markiert den erfolgreichen Abschluss der levitischen Weihe und den Beginn ihres ordnungsgemäßen Dienstes unter priesterlicher Aufsicht.</w:t>
      </w:r>
    </w:p>
    <w:p w14:paraId="0A2C524A"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8,23</w:t>
      </w:r>
    </w:p>
    <w:p w14:paraId="615DA7FD"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וַיְדַבֵּ֥ר יְהוָ֖ה אֶל־מֹשֶׁ֥ה לֵּאמֹֽר׃</w:t>
      </w:r>
    </w:p>
    <w:p w14:paraId="61027D35"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Und der Ewige redete zu Mosche, sagend:</w:t>
      </w:r>
    </w:p>
    <w:p w14:paraId="378A5476"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6C59B7F9">
          <v:rect id="_x0000_i1317" style="width:0;height:1.5pt" o:hralign="center" o:hrstd="t" o:hr="t" fillcolor="#a0a0a0" stroked="f"/>
        </w:pict>
      </w:r>
    </w:p>
    <w:p w14:paraId="50D71685"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Das Verb </w:t>
      </w:r>
      <w:r w:rsidRPr="001C4F8B">
        <w:rPr>
          <w:rFonts w:eastAsia="Times New Roman" w:cs="Times New Roman"/>
          <w:b/>
          <w:bCs/>
          <w:rtl/>
          <w:lang w:eastAsia="de-DE"/>
        </w:rPr>
        <w:t>וַיְדַבֵּר</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דבר</w:t>
      </w:r>
      <w:r w:rsidRPr="001C4F8B">
        <w:rPr>
          <w:rFonts w:eastAsia="Times New Roman" w:cs="Times New Roman"/>
          <w:rtl/>
          <w:lang w:eastAsia="de-DE"/>
        </w:rPr>
        <w:t xml:space="preserve"> </w:t>
      </w:r>
      <w:r w:rsidRPr="001C4F8B">
        <w:rPr>
          <w:rFonts w:eastAsia="Times New Roman" w:cs="Times New Roman"/>
          <w:lang w:eastAsia="de-DE"/>
        </w:rPr>
        <w:t>(reden) im Qal-Imperfekt 3. maskulin Singular mit Waw consecutivum leitet eine neue göttliche Anweisung ein, die das Kapitel mit Bestimmungen zum levitischen Dienstalter abschließt.</w:t>
      </w:r>
    </w:p>
    <w:p w14:paraId="6687DC7B"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charakteristische Formel </w:t>
      </w:r>
      <w:r w:rsidRPr="001C4F8B">
        <w:rPr>
          <w:rFonts w:eastAsia="Times New Roman" w:cs="Times New Roman"/>
          <w:b/>
          <w:bCs/>
          <w:rtl/>
          <w:lang w:eastAsia="de-DE"/>
        </w:rPr>
        <w:t>יְהוָה אֶל־מֹשֶׁה לֵּאמֹר</w:t>
      </w:r>
      <w:r w:rsidRPr="001C4F8B">
        <w:rPr>
          <w:rFonts w:eastAsia="Times New Roman" w:cs="Times New Roman"/>
          <w:rtl/>
          <w:lang w:eastAsia="de-DE"/>
        </w:rPr>
        <w:t xml:space="preserve"> </w:t>
      </w:r>
      <w:r w:rsidRPr="001C4F8B">
        <w:rPr>
          <w:rFonts w:eastAsia="Times New Roman" w:cs="Times New Roman"/>
          <w:lang w:eastAsia="de-DE"/>
        </w:rPr>
        <w:t>zeigt die fortgesetzte direkte göttliche Kommunikation für ergänzende Regelungen.</w:t>
      </w:r>
    </w:p>
    <w:p w14:paraId="052257AB"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mit der bekannten Standardformel.</w:t>
      </w:r>
    </w:p>
    <w:p w14:paraId="1189EDB3"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leitet die abschließenden Altersbestimmungen für den levitischen Dienst ein.</w:t>
      </w:r>
    </w:p>
    <w:p w14:paraId="7370B6CE"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8,24</w:t>
      </w:r>
    </w:p>
    <w:p w14:paraId="4621E151"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זֹ֖את אֲשֶׁ֣ר לַלְוִיִּ֑ם מִבֶּן֩ חָמֵ֨שׁ וְעֶשְׂרִ֤ים שָׁנָה֙ וָמַ֔עְלָה יָבוֹא֙ לִצְבֹ֣א צָבָ֔א בַּעֲבֹדַ֖ת אֹ֥הֶל מוֹעֵֽד׃</w:t>
      </w:r>
    </w:p>
    <w:p w14:paraId="1CCDAA3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Dies ist es, was die Levijim betrifft: Von 25 Jahren an und darüber soll er eintreten, um Dienst zu tun bei der Arbeit am Zelt der Begegnung.</w:t>
      </w:r>
    </w:p>
    <w:p w14:paraId="1908700E"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48F3B076">
          <v:rect id="_x0000_i1318" style="width:0;height:1.5pt" o:hralign="center" o:hrstd="t" o:hr="t" fillcolor="#a0a0a0" stroked="f"/>
        </w:pict>
      </w:r>
    </w:p>
    <w:p w14:paraId="73BF7BA9"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Das Demonstrativpronomen </w:t>
      </w:r>
      <w:r w:rsidRPr="001C4F8B">
        <w:rPr>
          <w:rFonts w:eastAsia="Times New Roman" w:cs="Times New Roman"/>
          <w:b/>
          <w:bCs/>
          <w:rtl/>
          <w:lang w:eastAsia="de-DE"/>
        </w:rPr>
        <w:t>זֹאת</w:t>
      </w:r>
      <w:r w:rsidRPr="001C4F8B">
        <w:rPr>
          <w:rFonts w:eastAsia="Times New Roman" w:cs="Times New Roman"/>
          <w:rtl/>
          <w:lang w:eastAsia="de-DE"/>
        </w:rPr>
        <w:t xml:space="preserve"> </w:t>
      </w:r>
      <w:r w:rsidRPr="001C4F8B">
        <w:rPr>
          <w:rFonts w:eastAsia="Times New Roman" w:cs="Times New Roman"/>
          <w:lang w:eastAsia="de-DE"/>
        </w:rPr>
        <w:t xml:space="preserve">(dies) mit der Bezugsangabe </w:t>
      </w:r>
      <w:r w:rsidRPr="001C4F8B">
        <w:rPr>
          <w:rFonts w:eastAsia="Times New Roman" w:cs="Times New Roman"/>
          <w:b/>
          <w:bCs/>
          <w:rtl/>
          <w:lang w:eastAsia="de-DE"/>
        </w:rPr>
        <w:t>אֲשֶׁר לַלְוִיִּם</w:t>
      </w:r>
      <w:r w:rsidRPr="001C4F8B">
        <w:rPr>
          <w:rFonts w:eastAsia="Times New Roman" w:cs="Times New Roman"/>
          <w:rtl/>
          <w:lang w:eastAsia="de-DE"/>
        </w:rPr>
        <w:t xml:space="preserve"> </w:t>
      </w:r>
      <w:r w:rsidRPr="001C4F8B">
        <w:rPr>
          <w:rFonts w:eastAsia="Times New Roman" w:cs="Times New Roman"/>
          <w:lang w:eastAsia="de-DE"/>
        </w:rPr>
        <w:t>(was die Leviten betrifft) leitet die spezifischen Altersbestimmungen ein.</w:t>
      </w:r>
    </w:p>
    <w:p w14:paraId="13F7F38A"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Altersangabe </w:t>
      </w:r>
      <w:r w:rsidRPr="001C4F8B">
        <w:rPr>
          <w:rFonts w:eastAsia="Times New Roman" w:cs="Times New Roman"/>
          <w:b/>
          <w:bCs/>
          <w:rtl/>
          <w:lang w:eastAsia="de-DE"/>
        </w:rPr>
        <w:t>מִבֶּן חָמֵשׁ וְעֶשְׂרִים שָׁנָה וָמַעְלָה</w:t>
      </w:r>
      <w:r w:rsidRPr="001C4F8B">
        <w:rPr>
          <w:rFonts w:eastAsia="Times New Roman" w:cs="Times New Roman"/>
          <w:rtl/>
          <w:lang w:eastAsia="de-DE"/>
        </w:rPr>
        <w:t xml:space="preserve"> </w:t>
      </w:r>
      <w:r w:rsidRPr="001C4F8B">
        <w:rPr>
          <w:rFonts w:eastAsia="Times New Roman" w:cs="Times New Roman"/>
          <w:lang w:eastAsia="de-DE"/>
        </w:rPr>
        <w:t xml:space="preserve">(von 25 Jahren und darüber) mit </w:t>
      </w:r>
      <w:r w:rsidRPr="001C4F8B">
        <w:rPr>
          <w:rFonts w:eastAsia="Times New Roman" w:cs="Times New Roman"/>
          <w:b/>
          <w:bCs/>
          <w:rtl/>
          <w:lang w:eastAsia="de-DE"/>
        </w:rPr>
        <w:t>מִבֶּן</w:t>
      </w:r>
      <w:r w:rsidRPr="001C4F8B">
        <w:rPr>
          <w:rFonts w:eastAsia="Times New Roman" w:cs="Times New Roman"/>
          <w:rtl/>
          <w:lang w:eastAsia="de-DE"/>
        </w:rPr>
        <w:t xml:space="preserve"> </w:t>
      </w:r>
      <w:r w:rsidRPr="001C4F8B">
        <w:rPr>
          <w:rFonts w:eastAsia="Times New Roman" w:cs="Times New Roman"/>
          <w:lang w:eastAsia="de-DE"/>
        </w:rPr>
        <w:t xml:space="preserve">(von...Jahren), </w:t>
      </w:r>
      <w:r w:rsidRPr="001C4F8B">
        <w:rPr>
          <w:rFonts w:eastAsia="Times New Roman" w:cs="Times New Roman"/>
          <w:b/>
          <w:bCs/>
          <w:rtl/>
          <w:lang w:eastAsia="de-DE"/>
        </w:rPr>
        <w:t>חָמֵשׁ וְעֶשְׂרִים</w:t>
      </w:r>
      <w:r w:rsidRPr="001C4F8B">
        <w:rPr>
          <w:rFonts w:eastAsia="Times New Roman" w:cs="Times New Roman"/>
          <w:rtl/>
          <w:lang w:eastAsia="de-DE"/>
        </w:rPr>
        <w:t xml:space="preserve"> </w:t>
      </w:r>
      <w:r w:rsidRPr="001C4F8B">
        <w:rPr>
          <w:rFonts w:eastAsia="Times New Roman" w:cs="Times New Roman"/>
          <w:lang w:eastAsia="de-DE"/>
        </w:rPr>
        <w:t xml:space="preserve">(fünfundzwanzig) und </w:t>
      </w:r>
      <w:r w:rsidRPr="001C4F8B">
        <w:rPr>
          <w:rFonts w:eastAsia="Times New Roman" w:cs="Times New Roman"/>
          <w:b/>
          <w:bCs/>
          <w:rtl/>
          <w:lang w:eastAsia="de-DE"/>
        </w:rPr>
        <w:t>וָמַעְלָה</w:t>
      </w:r>
      <w:r w:rsidRPr="001C4F8B">
        <w:rPr>
          <w:rFonts w:eastAsia="Times New Roman" w:cs="Times New Roman"/>
          <w:rtl/>
          <w:lang w:eastAsia="de-DE"/>
        </w:rPr>
        <w:t xml:space="preserve"> </w:t>
      </w:r>
      <w:r w:rsidRPr="001C4F8B">
        <w:rPr>
          <w:rFonts w:eastAsia="Times New Roman" w:cs="Times New Roman"/>
          <w:lang w:eastAsia="de-DE"/>
        </w:rPr>
        <w:t>(und darüber) etabliert das Mindestalter für den levitischen Dienst.</w:t>
      </w:r>
    </w:p>
    <w:p w14:paraId="2A46B366" w14:textId="42FB6E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Das Verb </w:t>
      </w:r>
      <w:r w:rsidRPr="001C4F8B">
        <w:rPr>
          <w:rFonts w:eastAsia="Times New Roman" w:cs="Times New Roman"/>
          <w:b/>
          <w:bCs/>
          <w:rtl/>
          <w:lang w:eastAsia="de-DE"/>
        </w:rPr>
        <w:t>יָבוֹא לִצְבֹא צָבָא</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יָבוֹא</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בוא</w:t>
      </w:r>
      <w:r w:rsidRPr="001C4F8B">
        <w:rPr>
          <w:rFonts w:eastAsia="Times New Roman" w:cs="Times New Roman"/>
          <w:rtl/>
          <w:lang w:eastAsia="de-DE"/>
        </w:rPr>
        <w:t xml:space="preserve"> </w:t>
      </w:r>
      <w:r w:rsidRPr="001C4F8B">
        <w:rPr>
          <w:rFonts w:eastAsia="Times New Roman" w:cs="Times New Roman"/>
          <w:lang w:eastAsia="de-DE"/>
        </w:rPr>
        <w:t xml:space="preserve">(eintreten) im Qal-Imperfekt 3. maskulin Singular und der reduplikativen </w:t>
      </w:r>
      <w:r w:rsidR="00F133EC">
        <w:rPr>
          <w:rFonts w:eastAsia="Times New Roman" w:cs="Times New Roman"/>
          <w:lang w:eastAsia="de-DE"/>
        </w:rPr>
        <w:t>Construct</w:t>
      </w:r>
      <w:r w:rsidRPr="001C4F8B">
        <w:rPr>
          <w:rFonts w:eastAsia="Times New Roman" w:cs="Times New Roman"/>
          <w:lang w:eastAsia="de-DE"/>
        </w:rPr>
        <w:t xml:space="preserve">ion </w:t>
      </w:r>
      <w:r w:rsidRPr="001C4F8B">
        <w:rPr>
          <w:rFonts w:eastAsia="Times New Roman" w:cs="Times New Roman"/>
          <w:b/>
          <w:bCs/>
          <w:rtl/>
          <w:lang w:eastAsia="de-DE"/>
        </w:rPr>
        <w:t>לִצְבֹא צָבָא</w:t>
      </w:r>
      <w:r w:rsidRPr="001C4F8B">
        <w:rPr>
          <w:rFonts w:eastAsia="Times New Roman" w:cs="Times New Roman"/>
          <w:rtl/>
          <w:lang w:eastAsia="de-DE"/>
        </w:rPr>
        <w:t xml:space="preserve"> </w:t>
      </w:r>
      <w:r w:rsidRPr="001C4F8B">
        <w:rPr>
          <w:rFonts w:eastAsia="Times New Roman" w:cs="Times New Roman"/>
          <w:lang w:eastAsia="de-DE"/>
        </w:rPr>
        <w:t>(Dienst zu tun) mit militärischer Terminologie zeigt den ernsten, disziplinierten Charakter des levitischen Dienstes.</w:t>
      </w:r>
    </w:p>
    <w:p w14:paraId="755D27B8" w14:textId="4D10923C"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Spezifikation </w:t>
      </w:r>
      <w:r w:rsidRPr="001C4F8B">
        <w:rPr>
          <w:rFonts w:eastAsia="Times New Roman" w:cs="Times New Roman"/>
          <w:b/>
          <w:bCs/>
          <w:rtl/>
          <w:lang w:eastAsia="de-DE"/>
        </w:rPr>
        <w:t>בַּעֲבֹדַת אֹהֶל מוֹעֵד</w:t>
      </w:r>
      <w:r w:rsidRPr="001C4F8B">
        <w:rPr>
          <w:rFonts w:eastAsia="Times New Roman" w:cs="Times New Roman"/>
          <w:rtl/>
          <w:lang w:eastAsia="de-DE"/>
        </w:rPr>
        <w:t xml:space="preserve"> </w:t>
      </w:r>
      <w:r w:rsidRPr="001C4F8B">
        <w:rPr>
          <w:rFonts w:eastAsia="Times New Roman" w:cs="Times New Roman"/>
          <w:lang w:eastAsia="de-DE"/>
        </w:rPr>
        <w:t xml:space="preserve">(bei der Arbeit am Zelt der Begegnung) im </w:t>
      </w:r>
      <w:r w:rsidR="00F133EC">
        <w:rPr>
          <w:rFonts w:eastAsia="Times New Roman" w:cs="Times New Roman"/>
          <w:lang w:eastAsia="de-DE"/>
        </w:rPr>
        <w:t>Construct</w:t>
      </w:r>
      <w:r w:rsidRPr="001C4F8B">
        <w:rPr>
          <w:rFonts w:eastAsia="Times New Roman" w:cs="Times New Roman"/>
          <w:lang w:eastAsia="de-DE"/>
        </w:rPr>
        <w:t xml:space="preserve"> präzisiert den Dienstort.</w:t>
      </w:r>
    </w:p>
    <w:p w14:paraId="11C9AB9E" w14:textId="2C19F5E3"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lastRenderedPageBreak/>
        <w:t>Die LXX</w:t>
      </w:r>
      <w:r w:rsidRPr="001C4F8B">
        <w:rPr>
          <w:rFonts w:eastAsia="Times New Roman" w:cs="Times New Roman"/>
          <w:lang w:eastAsia="de-DE"/>
        </w:rPr>
        <w:t xml:space="preserve"> </w:t>
      </w:r>
      <w:r w:rsidR="004D44DE" w:rsidRPr="004D44DE">
        <w:rPr>
          <w:rFonts w:eastAsia="Times New Roman" w:cs="Times New Roman"/>
          <w:b/>
          <w:bCs/>
          <w:lang w:eastAsia="de-DE"/>
        </w:rPr>
        <w:t>ist hier</w:t>
      </w:r>
      <w:r w:rsidR="004D44DE">
        <w:rPr>
          <w:rFonts w:eastAsia="Times New Roman" w:cs="Times New Roman"/>
          <w:lang w:eastAsia="de-DE"/>
        </w:rPr>
        <w:t xml:space="preserve"> </w:t>
      </w:r>
      <w:r w:rsidR="00A1074A">
        <w:rPr>
          <w:rStyle w:val="Fett"/>
        </w:rPr>
        <w:t>Textkritisch</w:t>
      </w:r>
      <w:r w:rsidR="004D44DE">
        <w:rPr>
          <w:rStyle w:val="Fett"/>
        </w:rPr>
        <w:t>bedeutsam</w:t>
      </w:r>
      <w:r w:rsidR="004D44DE">
        <w:t xml:space="preserve">: Der MT hat </w:t>
      </w:r>
      <w:r w:rsidR="004D44DE" w:rsidRPr="004D44DE">
        <w:rPr>
          <w:b/>
          <w:bCs/>
          <w:rtl/>
        </w:rPr>
        <w:t>מבן חמש ועשרים שנה</w:t>
      </w:r>
      <w:r w:rsidR="004D44DE">
        <w:t xml:space="preserve"> (miben chamesh ve'esrim shanah - "von 25 Jahren an"), während in Numeri 4:3 das Dienstalter mit 30 Jahren angegeben wird. </w:t>
      </w:r>
      <w:r w:rsidR="004D44DE">
        <w:rPr>
          <w:rStyle w:val="Fett"/>
        </w:rPr>
        <w:t>Die LXX</w:t>
      </w:r>
      <w:r w:rsidR="004D44DE">
        <w:t xml:space="preserve"> hat hier ἀπὸ πεντεκαιεικοσαετοῦς (von 25 Jahren an), stimmt also mit dem MT von Kap. 8 überein, während sie in Kap. 4 ebenfalls 25 Jahre hatte (dort im Widerspruch zum MT). Dies deutet auf unterschiedliche Traditionen über das levitische Dienstalter hin.</w:t>
      </w:r>
    </w:p>
    <w:p w14:paraId="00C983ED"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 Satzstruktur zeigt eine formelle Altersregelung mit militärischer Terminologie und Dienstortspezifikation.</w:t>
      </w:r>
    </w:p>
    <w:p w14:paraId="4DD6BF10" w14:textId="41D4466D" w:rsid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etabliert das Mindestalter von 25 Jahren für den aktiven levitischen Dienst mit militärischer Terminologie.</w:t>
      </w:r>
    </w:p>
    <w:p w14:paraId="4FEE4812" w14:textId="77777777" w:rsidR="00451DE6" w:rsidRPr="00F06C27" w:rsidRDefault="00451DE6" w:rsidP="00F06C27">
      <w:pPr>
        <w:pStyle w:val="berschrift4"/>
      </w:pPr>
      <w:r w:rsidRPr="00F06C27">
        <w:rPr>
          <w:rStyle w:val="Fett"/>
          <w:b w:val="0"/>
          <w:bCs w:val="0"/>
        </w:rPr>
        <w:t>Exkurs: Dienstalter-Spannung – 25 oder 30 Jahre?</w:t>
      </w:r>
    </w:p>
    <w:p w14:paraId="034FCB4F" w14:textId="77777777" w:rsidR="00451DE6" w:rsidRDefault="00451DE6" w:rsidP="00451DE6">
      <w:pPr>
        <w:pStyle w:val="whitespace-normal"/>
      </w:pPr>
      <w:r>
        <w:rPr>
          <w:rStyle w:val="Fett"/>
        </w:rPr>
        <w:t>Das Problem:</w:t>
      </w:r>
    </w:p>
    <w:tbl>
      <w:tblPr>
        <w:tblStyle w:val="Tabellenraster"/>
        <w:tblW w:w="4994" w:type="pct"/>
        <w:tblLook w:val="04A0" w:firstRow="1" w:lastRow="0" w:firstColumn="1" w:lastColumn="0" w:noHBand="0" w:noVBand="1"/>
      </w:tblPr>
      <w:tblGrid>
        <w:gridCol w:w="2405"/>
        <w:gridCol w:w="2694"/>
        <w:gridCol w:w="3952"/>
      </w:tblGrid>
      <w:tr w:rsidR="00451DE6" w14:paraId="5710A01E" w14:textId="77777777" w:rsidTr="00451DE6">
        <w:tc>
          <w:tcPr>
            <w:tcW w:w="1329" w:type="pct"/>
          </w:tcPr>
          <w:p w14:paraId="00EA277A" w14:textId="14779D31" w:rsidR="00451DE6" w:rsidRDefault="00451DE6" w:rsidP="001C4F8B">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Stelle</w:t>
            </w:r>
          </w:p>
        </w:tc>
        <w:tc>
          <w:tcPr>
            <w:tcW w:w="1488" w:type="pct"/>
          </w:tcPr>
          <w:p w14:paraId="31F91963" w14:textId="4441184E" w:rsidR="00451DE6" w:rsidRDefault="00451DE6" w:rsidP="001C4F8B">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Dienstalter</w:t>
            </w:r>
          </w:p>
        </w:tc>
        <w:tc>
          <w:tcPr>
            <w:tcW w:w="2183" w:type="pct"/>
          </w:tcPr>
          <w:p w14:paraId="3C4FA8EF" w14:textId="0FB87B08" w:rsidR="00451DE6" w:rsidRDefault="00451DE6" w:rsidP="001C4F8B">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Text</w:t>
            </w:r>
          </w:p>
        </w:tc>
      </w:tr>
      <w:tr w:rsidR="00451DE6" w14:paraId="5CF2318F" w14:textId="77777777" w:rsidTr="00451DE6">
        <w:tc>
          <w:tcPr>
            <w:tcW w:w="1329" w:type="pct"/>
          </w:tcPr>
          <w:p w14:paraId="33DB8567" w14:textId="388F2C09" w:rsidR="00451DE6" w:rsidRPr="00451DE6" w:rsidRDefault="00451DE6" w:rsidP="001C4F8B">
            <w:pPr>
              <w:spacing w:before="100" w:beforeAutospacing="1" w:after="100" w:afterAutospacing="1" w:line="240" w:lineRule="auto"/>
              <w:rPr>
                <w:rFonts w:eastAsia="Times New Roman" w:cs="Times New Roman"/>
                <w:b/>
                <w:bCs/>
                <w:lang w:eastAsia="de-DE"/>
              </w:rPr>
            </w:pPr>
            <w:r w:rsidRPr="00451DE6">
              <w:rPr>
                <w:b/>
                <w:bCs/>
              </w:rPr>
              <w:t>Num 4,3</w:t>
            </w:r>
          </w:p>
        </w:tc>
        <w:tc>
          <w:tcPr>
            <w:tcW w:w="1488" w:type="pct"/>
          </w:tcPr>
          <w:p w14:paraId="0799867B" w14:textId="4706BF9E" w:rsidR="00451DE6" w:rsidRPr="00451DE6" w:rsidRDefault="00451DE6" w:rsidP="001C4F8B">
            <w:pPr>
              <w:spacing w:before="100" w:beforeAutospacing="1" w:after="100" w:afterAutospacing="1" w:line="240" w:lineRule="auto"/>
              <w:rPr>
                <w:rFonts w:eastAsia="Times New Roman" w:cs="Times New Roman"/>
                <w:b/>
                <w:bCs/>
                <w:lang w:eastAsia="de-DE"/>
              </w:rPr>
            </w:pPr>
            <w:r w:rsidRPr="00451DE6">
              <w:rPr>
                <w:b/>
                <w:bCs/>
              </w:rPr>
              <w:t>30 Jahre</w:t>
            </w:r>
          </w:p>
        </w:tc>
        <w:tc>
          <w:tcPr>
            <w:tcW w:w="2183" w:type="pct"/>
          </w:tcPr>
          <w:p w14:paraId="27C8C9CB" w14:textId="0DAE1FF2" w:rsidR="00451DE6" w:rsidRDefault="00451DE6" w:rsidP="00451DE6">
            <w:pPr>
              <w:spacing w:before="100" w:beforeAutospacing="1" w:after="100" w:afterAutospacing="1" w:line="240" w:lineRule="auto"/>
              <w:jc w:val="right"/>
              <w:rPr>
                <w:rFonts w:eastAsia="Times New Roman" w:cs="Times New Roman"/>
                <w:lang w:eastAsia="de-DE"/>
              </w:rPr>
            </w:pPr>
            <w:r>
              <w:rPr>
                <w:rtl/>
              </w:rPr>
              <w:t>מִבֶּן שְׁלֹשִׁים שָׁנָה וָמַעְלָה</w:t>
            </w:r>
          </w:p>
        </w:tc>
      </w:tr>
      <w:tr w:rsidR="00451DE6" w14:paraId="060C8FEB" w14:textId="77777777" w:rsidTr="00451DE6">
        <w:tc>
          <w:tcPr>
            <w:tcW w:w="1329" w:type="pct"/>
          </w:tcPr>
          <w:p w14:paraId="5264195C" w14:textId="317F03B2" w:rsidR="00451DE6" w:rsidRPr="00451DE6" w:rsidRDefault="00451DE6" w:rsidP="001C4F8B">
            <w:pPr>
              <w:spacing w:before="100" w:beforeAutospacing="1" w:after="100" w:afterAutospacing="1" w:line="240" w:lineRule="auto"/>
              <w:rPr>
                <w:rFonts w:eastAsia="Times New Roman" w:cs="Times New Roman"/>
                <w:b/>
                <w:bCs/>
                <w:lang w:eastAsia="de-DE"/>
              </w:rPr>
            </w:pPr>
            <w:r w:rsidRPr="00451DE6">
              <w:rPr>
                <w:b/>
                <w:bCs/>
              </w:rPr>
              <w:t>Num 8,24</w:t>
            </w:r>
          </w:p>
        </w:tc>
        <w:tc>
          <w:tcPr>
            <w:tcW w:w="1488" w:type="pct"/>
          </w:tcPr>
          <w:p w14:paraId="652DB32A" w14:textId="48E95415" w:rsidR="00451DE6" w:rsidRPr="00451DE6" w:rsidRDefault="00451DE6" w:rsidP="001C4F8B">
            <w:pPr>
              <w:spacing w:before="100" w:beforeAutospacing="1" w:after="100" w:afterAutospacing="1" w:line="240" w:lineRule="auto"/>
              <w:rPr>
                <w:rFonts w:eastAsia="Times New Roman" w:cs="Times New Roman"/>
                <w:b/>
                <w:bCs/>
                <w:lang w:eastAsia="de-DE"/>
              </w:rPr>
            </w:pPr>
            <w:r w:rsidRPr="00451DE6">
              <w:rPr>
                <w:b/>
                <w:bCs/>
              </w:rPr>
              <w:t>25 Jahre</w:t>
            </w:r>
          </w:p>
        </w:tc>
        <w:tc>
          <w:tcPr>
            <w:tcW w:w="2183" w:type="pct"/>
          </w:tcPr>
          <w:p w14:paraId="253F3CCF" w14:textId="4AFCC146" w:rsidR="00451DE6" w:rsidRDefault="00451DE6" w:rsidP="00451DE6">
            <w:pPr>
              <w:spacing w:before="100" w:beforeAutospacing="1" w:after="100" w:afterAutospacing="1" w:line="240" w:lineRule="auto"/>
              <w:jc w:val="right"/>
              <w:rPr>
                <w:rFonts w:eastAsia="Times New Roman" w:cs="Times New Roman"/>
                <w:lang w:eastAsia="de-DE"/>
              </w:rPr>
            </w:pPr>
            <w:r>
              <w:rPr>
                <w:rtl/>
              </w:rPr>
              <w:t>מִבֶּן חָמֵשׁ וְעֶשְׂרִים שָׁנָה</w:t>
            </w:r>
          </w:p>
        </w:tc>
      </w:tr>
      <w:tr w:rsidR="00451DE6" w14:paraId="204C6C4A" w14:textId="77777777" w:rsidTr="00451DE6">
        <w:tc>
          <w:tcPr>
            <w:tcW w:w="1329" w:type="pct"/>
          </w:tcPr>
          <w:p w14:paraId="2AF9DF1F" w14:textId="0D32509F" w:rsidR="00451DE6" w:rsidRPr="00451DE6" w:rsidRDefault="00451DE6" w:rsidP="001C4F8B">
            <w:pPr>
              <w:spacing w:before="100" w:beforeAutospacing="1" w:after="100" w:afterAutospacing="1" w:line="240" w:lineRule="auto"/>
              <w:rPr>
                <w:rFonts w:eastAsia="Times New Roman" w:cs="Times New Roman"/>
                <w:b/>
                <w:bCs/>
                <w:lang w:eastAsia="de-DE"/>
              </w:rPr>
            </w:pPr>
            <w:r w:rsidRPr="00451DE6">
              <w:rPr>
                <w:b/>
                <w:bCs/>
              </w:rPr>
              <w:t>1 Chr 23,24</w:t>
            </w:r>
          </w:p>
        </w:tc>
        <w:tc>
          <w:tcPr>
            <w:tcW w:w="1488" w:type="pct"/>
          </w:tcPr>
          <w:p w14:paraId="4EF17D4E" w14:textId="50804B2F" w:rsidR="00451DE6" w:rsidRPr="00451DE6" w:rsidRDefault="00451DE6" w:rsidP="001C4F8B">
            <w:pPr>
              <w:spacing w:before="100" w:beforeAutospacing="1" w:after="100" w:afterAutospacing="1" w:line="240" w:lineRule="auto"/>
              <w:rPr>
                <w:rFonts w:eastAsia="Times New Roman" w:cs="Times New Roman"/>
                <w:b/>
                <w:bCs/>
                <w:lang w:eastAsia="de-DE"/>
              </w:rPr>
            </w:pPr>
            <w:r w:rsidRPr="00451DE6">
              <w:rPr>
                <w:b/>
                <w:bCs/>
              </w:rPr>
              <w:t>20 Jahre</w:t>
            </w:r>
          </w:p>
        </w:tc>
        <w:tc>
          <w:tcPr>
            <w:tcW w:w="2183" w:type="pct"/>
          </w:tcPr>
          <w:p w14:paraId="2160F965" w14:textId="45DEE506" w:rsidR="00451DE6" w:rsidRDefault="00451DE6" w:rsidP="00451DE6">
            <w:pPr>
              <w:spacing w:before="100" w:beforeAutospacing="1" w:after="100" w:afterAutospacing="1" w:line="240" w:lineRule="auto"/>
              <w:jc w:val="right"/>
              <w:rPr>
                <w:rFonts w:eastAsia="Times New Roman" w:cs="Times New Roman"/>
                <w:lang w:eastAsia="de-DE"/>
              </w:rPr>
            </w:pPr>
            <w:r>
              <w:rPr>
                <w:rtl/>
              </w:rPr>
              <w:t>מִבֶּן עֶשְׂרִים שָׁנָה</w:t>
            </w:r>
          </w:p>
        </w:tc>
      </w:tr>
    </w:tbl>
    <w:p w14:paraId="565716E9" w14:textId="77777777" w:rsidR="00451DE6" w:rsidRDefault="00451DE6" w:rsidP="00451DE6">
      <w:pPr>
        <w:pStyle w:val="whitespace-normal"/>
      </w:pPr>
      <w:r>
        <w:rPr>
          <w:rStyle w:val="Fett"/>
        </w:rPr>
        <w:t>Mögliche Erklärungen:</w:t>
      </w:r>
    </w:p>
    <w:p w14:paraId="6616CC39" w14:textId="77777777" w:rsidR="00451DE6" w:rsidRDefault="00451DE6" w:rsidP="00451DE6">
      <w:pPr>
        <w:pStyle w:val="whitespace-normal"/>
      </w:pPr>
      <w:r>
        <w:rPr>
          <w:rStyle w:val="Fett"/>
        </w:rPr>
        <w:t>1. Unterschiedliche Dienstarten:</w:t>
      </w:r>
    </w:p>
    <w:p w14:paraId="13A58FE9" w14:textId="77777777" w:rsidR="00451DE6" w:rsidRDefault="00451DE6" w:rsidP="00451DE6">
      <w:pPr>
        <w:pStyle w:val="whitespace-normal"/>
        <w:numPr>
          <w:ilvl w:val="0"/>
          <w:numId w:val="70"/>
        </w:numPr>
      </w:pPr>
      <w:r>
        <w:rPr>
          <w:rStyle w:val="Fett"/>
        </w:rPr>
        <w:t>25 Jahre</w:t>
      </w:r>
      <w:r>
        <w:t xml:space="preserve"> (Num 8): Beginn der </w:t>
      </w:r>
      <w:r>
        <w:rPr>
          <w:rStyle w:val="Fett"/>
        </w:rPr>
        <w:t>Ausbildung/Vorbereitung</w:t>
      </w:r>
      <w:r>
        <w:t xml:space="preserve"> (</w:t>
      </w:r>
      <w:r>
        <w:rPr>
          <w:rtl/>
        </w:rPr>
        <w:t>לִצְבֹא צָבָא</w:t>
      </w:r>
      <w:r>
        <w:t>)</w:t>
      </w:r>
    </w:p>
    <w:p w14:paraId="518E9205" w14:textId="77777777" w:rsidR="00451DE6" w:rsidRDefault="00451DE6" w:rsidP="00451DE6">
      <w:pPr>
        <w:pStyle w:val="whitespace-normal"/>
        <w:numPr>
          <w:ilvl w:val="0"/>
          <w:numId w:val="70"/>
        </w:numPr>
      </w:pPr>
      <w:r>
        <w:rPr>
          <w:rStyle w:val="Fett"/>
        </w:rPr>
        <w:t>30 Jahre</w:t>
      </w:r>
      <w:r>
        <w:t xml:space="preserve"> (Num 4): Beginn des </w:t>
      </w:r>
      <w:r>
        <w:rPr>
          <w:rStyle w:val="Fett"/>
        </w:rPr>
        <w:t>vollen Dienstes</w:t>
      </w:r>
      <w:r>
        <w:t xml:space="preserve"> (</w:t>
      </w:r>
      <w:r>
        <w:rPr>
          <w:rtl/>
        </w:rPr>
        <w:t>עֲבֹדַת עֲבֹדָה וַעֲבֹדַת מַשָּׂא</w:t>
      </w:r>
      <w:r>
        <w:t>)</w:t>
      </w:r>
    </w:p>
    <w:p w14:paraId="6584A261" w14:textId="77777777" w:rsidR="00451DE6" w:rsidRDefault="00451DE6" w:rsidP="00451DE6">
      <w:pPr>
        <w:pStyle w:val="whitespace-normal"/>
        <w:numPr>
          <w:ilvl w:val="0"/>
          <w:numId w:val="70"/>
        </w:numPr>
      </w:pPr>
      <w:r>
        <w:rPr>
          <w:rStyle w:val="Fett"/>
        </w:rPr>
        <w:t>→ 5 Jahre Ausbildungszeit</w:t>
      </w:r>
      <w:r>
        <w:t xml:space="preserve"> (ähnlich wie bei Priestern: Lev 21,13-14)</w:t>
      </w:r>
    </w:p>
    <w:p w14:paraId="2C5657E7" w14:textId="77777777" w:rsidR="00451DE6" w:rsidRDefault="00451DE6" w:rsidP="00451DE6">
      <w:pPr>
        <w:pStyle w:val="whitespace-normal"/>
      </w:pPr>
      <w:r>
        <w:rPr>
          <w:rStyle w:val="Fett"/>
        </w:rPr>
        <w:t>2. Historische Entwicklung:</w:t>
      </w:r>
    </w:p>
    <w:p w14:paraId="07770BA5" w14:textId="77777777" w:rsidR="00451DE6" w:rsidRDefault="00451DE6" w:rsidP="00451DE6">
      <w:pPr>
        <w:pStyle w:val="whitespace-normal"/>
        <w:numPr>
          <w:ilvl w:val="0"/>
          <w:numId w:val="71"/>
        </w:numPr>
      </w:pPr>
      <w:r>
        <w:rPr>
          <w:rStyle w:val="Fett"/>
        </w:rPr>
        <w:t>Frühe Periode</w:t>
      </w:r>
      <w:r>
        <w:t xml:space="preserve"> (Wüste): 30 Jahre (schwere Transportarbeit)</w:t>
      </w:r>
    </w:p>
    <w:p w14:paraId="7D065A6E" w14:textId="77777777" w:rsidR="00451DE6" w:rsidRDefault="00451DE6" w:rsidP="00451DE6">
      <w:pPr>
        <w:pStyle w:val="whitespace-normal"/>
        <w:numPr>
          <w:ilvl w:val="0"/>
          <w:numId w:val="71"/>
        </w:numPr>
      </w:pPr>
      <w:r>
        <w:rPr>
          <w:rStyle w:val="Fett"/>
        </w:rPr>
        <w:t>Spätere Periode</w:t>
      </w:r>
      <w:r>
        <w:t xml:space="preserve"> (Tempel): 25 Jahre (leichtere liturgische Aufgaben)</w:t>
      </w:r>
    </w:p>
    <w:p w14:paraId="77C83594" w14:textId="77777777" w:rsidR="00451DE6" w:rsidRDefault="00451DE6" w:rsidP="00451DE6">
      <w:pPr>
        <w:pStyle w:val="whitespace-normal"/>
        <w:numPr>
          <w:ilvl w:val="0"/>
          <w:numId w:val="71"/>
        </w:numPr>
      </w:pPr>
      <w:r>
        <w:rPr>
          <w:rStyle w:val="Fett"/>
        </w:rPr>
        <w:t>Chronistische Periode</w:t>
      </w:r>
      <w:r>
        <w:t>: 20 Jahre (größerer Personalbedarf)</w:t>
      </w:r>
    </w:p>
    <w:p w14:paraId="56BC6646" w14:textId="77777777" w:rsidR="00451DE6" w:rsidRDefault="00451DE6" w:rsidP="00451DE6">
      <w:pPr>
        <w:pStyle w:val="whitespace-normal"/>
      </w:pPr>
      <w:r>
        <w:rPr>
          <w:rStyle w:val="Fett"/>
        </w:rPr>
        <w:t>3. Textkritische Erwägung:</w:t>
      </w:r>
    </w:p>
    <w:p w14:paraId="14AC80D8" w14:textId="77777777" w:rsidR="00451DE6" w:rsidRDefault="00451DE6" w:rsidP="00451DE6">
      <w:pPr>
        <w:pStyle w:val="whitespace-normal"/>
        <w:numPr>
          <w:ilvl w:val="0"/>
          <w:numId w:val="72"/>
        </w:numPr>
      </w:pPr>
      <w:r>
        <w:t xml:space="preserve">Die LXX hat in </w:t>
      </w:r>
      <w:r>
        <w:rPr>
          <w:rStyle w:val="Fett"/>
        </w:rPr>
        <w:t>Num 4,3</w:t>
      </w:r>
      <w:r>
        <w:t xml:space="preserve"> ebenfalls "25 Jahre" (gegen MT "30 Jahre")</w:t>
      </w:r>
    </w:p>
    <w:p w14:paraId="38D7AA26" w14:textId="77777777" w:rsidR="00451DE6" w:rsidRDefault="00451DE6" w:rsidP="00451DE6">
      <w:pPr>
        <w:pStyle w:val="whitespace-normal"/>
        <w:numPr>
          <w:ilvl w:val="0"/>
          <w:numId w:val="72"/>
        </w:numPr>
      </w:pPr>
      <w:r>
        <w:t xml:space="preserve">Möglicherweise </w:t>
      </w:r>
      <w:r>
        <w:rPr>
          <w:rStyle w:val="Fett"/>
        </w:rPr>
        <w:t>Angleichung</w:t>
      </w:r>
      <w:r>
        <w:t xml:space="preserve"> an Num 8,24</w:t>
      </w:r>
    </w:p>
    <w:p w14:paraId="079E8A55" w14:textId="083A8F75" w:rsidR="00451DE6" w:rsidRPr="001C4F8B" w:rsidRDefault="00451DE6" w:rsidP="00451DE6">
      <w:pPr>
        <w:pStyle w:val="whitespace-normal"/>
      </w:pPr>
      <w:r>
        <w:rPr>
          <w:rStyle w:val="Fett"/>
        </w:rPr>
        <w:t>Bevorzugte Lösung:</w:t>
      </w:r>
      <w:r>
        <w:t xml:space="preserve"> </w:t>
      </w:r>
      <w:r>
        <w:rPr>
          <w:rStyle w:val="Fett"/>
        </w:rPr>
        <w:t>Option 1</w:t>
      </w:r>
      <w:r>
        <w:t xml:space="preserve"> (Ausbildung ab 25, voller Dienst ab 30) erklärt beide Angaben am besten, ohne Widerspruch anzunehmen.</w:t>
      </w:r>
    </w:p>
    <w:p w14:paraId="426CA9D9"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8,25</w:t>
      </w:r>
    </w:p>
    <w:p w14:paraId="5DBCB163"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וּמִבֶּן֙ חֲמִשִּׁ֣ים שָׁנָ֔ה יָשׁ֖וּב מִצְּבָ֣א הָעֲבֹדָ֑ה וְלֹ֥א יַעֲבֹ֖ד עֽוֹד׃</w:t>
      </w:r>
    </w:p>
    <w:p w14:paraId="2AEE0EB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lastRenderedPageBreak/>
        <w:t>Deutsch:</w:t>
      </w:r>
      <w:r w:rsidRPr="001C4F8B">
        <w:rPr>
          <w:rFonts w:eastAsia="Times New Roman" w:cs="Times New Roman"/>
          <w:lang w:eastAsia="de-DE"/>
        </w:rPr>
        <w:t xml:space="preserve"> Aber von 50 Jahren an soll er aus der Dienstschar austreten und nicht mehr dienen.</w:t>
      </w:r>
    </w:p>
    <w:p w14:paraId="09B73D9A"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47C57303">
          <v:rect id="_x0000_i1319" style="width:0;height:1.5pt" o:hralign="center" o:hrstd="t" o:hr="t" fillcolor="#a0a0a0" stroked="f"/>
        </w:pict>
      </w:r>
    </w:p>
    <w:p w14:paraId="55C2FC7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Die adversative Altersangabe </w:t>
      </w:r>
      <w:r w:rsidRPr="001C4F8B">
        <w:rPr>
          <w:rFonts w:eastAsia="Times New Roman" w:cs="Times New Roman"/>
          <w:b/>
          <w:bCs/>
          <w:rtl/>
          <w:lang w:eastAsia="de-DE"/>
        </w:rPr>
        <w:t>וּמִבֶּן חֲמִשִּׁים שָׁנָה</w:t>
      </w:r>
      <w:r w:rsidRPr="001C4F8B">
        <w:rPr>
          <w:rFonts w:eastAsia="Times New Roman" w:cs="Times New Roman"/>
          <w:rtl/>
          <w:lang w:eastAsia="de-DE"/>
        </w:rPr>
        <w:t xml:space="preserve"> </w:t>
      </w:r>
      <w:r w:rsidRPr="001C4F8B">
        <w:rPr>
          <w:rFonts w:eastAsia="Times New Roman" w:cs="Times New Roman"/>
          <w:lang w:eastAsia="de-DE"/>
        </w:rPr>
        <w:t>(und von 50 Jahren an) etabliert das Höchstalter für den aktiven Dienst.</w:t>
      </w:r>
    </w:p>
    <w:p w14:paraId="345CFC16" w14:textId="5EC4B99D"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Das Verb </w:t>
      </w:r>
      <w:r w:rsidRPr="001C4F8B">
        <w:rPr>
          <w:rFonts w:eastAsia="Times New Roman" w:cs="Times New Roman"/>
          <w:b/>
          <w:bCs/>
          <w:rtl/>
          <w:lang w:eastAsia="de-DE"/>
        </w:rPr>
        <w:t>יָשׁוּב מִצְּבָא הָעֲבֹדָה</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יָשׁוּב</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שוב</w:t>
      </w:r>
      <w:r w:rsidRPr="001C4F8B">
        <w:rPr>
          <w:rFonts w:eastAsia="Times New Roman" w:cs="Times New Roman"/>
          <w:rtl/>
          <w:lang w:eastAsia="de-DE"/>
        </w:rPr>
        <w:t xml:space="preserve"> </w:t>
      </w:r>
      <w:r w:rsidRPr="001C4F8B">
        <w:rPr>
          <w:rFonts w:eastAsia="Times New Roman" w:cs="Times New Roman"/>
          <w:lang w:eastAsia="de-DE"/>
        </w:rPr>
        <w:t xml:space="preserve">(zurückkehren/ausscheiden) im Qal-Imperfekt 3. maskulin Singular und </w:t>
      </w:r>
      <w:r w:rsidRPr="001C4F8B">
        <w:rPr>
          <w:rFonts w:eastAsia="Times New Roman" w:cs="Times New Roman"/>
          <w:b/>
          <w:bCs/>
          <w:rtl/>
          <w:lang w:eastAsia="de-DE"/>
        </w:rPr>
        <w:t>מִצְּבָא הָעֲבֹדָה</w:t>
      </w:r>
      <w:r w:rsidRPr="001C4F8B">
        <w:rPr>
          <w:rFonts w:eastAsia="Times New Roman" w:cs="Times New Roman"/>
          <w:rtl/>
          <w:lang w:eastAsia="de-DE"/>
        </w:rPr>
        <w:t xml:space="preserve"> </w:t>
      </w:r>
      <w:r w:rsidRPr="001C4F8B">
        <w:rPr>
          <w:rFonts w:eastAsia="Times New Roman" w:cs="Times New Roman"/>
          <w:lang w:eastAsia="de-DE"/>
        </w:rPr>
        <w:t xml:space="preserve">(aus der Dienstschar der Arbeit) im </w:t>
      </w:r>
      <w:r w:rsidR="00F133EC">
        <w:rPr>
          <w:rFonts w:eastAsia="Times New Roman" w:cs="Times New Roman"/>
          <w:lang w:eastAsia="de-DE"/>
        </w:rPr>
        <w:t>Construct</w:t>
      </w:r>
      <w:r w:rsidRPr="001C4F8B">
        <w:rPr>
          <w:rFonts w:eastAsia="Times New Roman" w:cs="Times New Roman"/>
          <w:lang w:eastAsia="de-DE"/>
        </w:rPr>
        <w:t xml:space="preserve"> zeigt den formellen Austritt aus dem aktiven Dienst.</w:t>
      </w:r>
    </w:p>
    <w:p w14:paraId="6E3FA611"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verstärkende Negation </w:t>
      </w:r>
      <w:r w:rsidRPr="001C4F8B">
        <w:rPr>
          <w:rFonts w:eastAsia="Times New Roman" w:cs="Times New Roman"/>
          <w:b/>
          <w:bCs/>
          <w:rtl/>
          <w:lang w:eastAsia="de-DE"/>
        </w:rPr>
        <w:t>וְלֹא יַעֲבֹד עוֹד</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לֹא</w:t>
      </w:r>
      <w:r w:rsidRPr="001C4F8B">
        <w:rPr>
          <w:rFonts w:eastAsia="Times New Roman" w:cs="Times New Roman"/>
          <w:rtl/>
          <w:lang w:eastAsia="de-DE"/>
        </w:rPr>
        <w:t xml:space="preserve"> </w:t>
      </w:r>
      <w:r w:rsidRPr="001C4F8B">
        <w:rPr>
          <w:rFonts w:eastAsia="Times New Roman" w:cs="Times New Roman"/>
          <w:lang w:eastAsia="de-DE"/>
        </w:rPr>
        <w:t xml:space="preserve">(nicht), </w:t>
      </w:r>
      <w:r w:rsidRPr="001C4F8B">
        <w:rPr>
          <w:rFonts w:eastAsia="Times New Roman" w:cs="Times New Roman"/>
          <w:b/>
          <w:bCs/>
          <w:rtl/>
          <w:lang w:eastAsia="de-DE"/>
        </w:rPr>
        <w:t>יַעֲבֹד</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עבד</w:t>
      </w:r>
      <w:r w:rsidRPr="001C4F8B">
        <w:rPr>
          <w:rFonts w:eastAsia="Times New Roman" w:cs="Times New Roman"/>
          <w:rtl/>
          <w:lang w:eastAsia="de-DE"/>
        </w:rPr>
        <w:t xml:space="preserve"> </w:t>
      </w:r>
      <w:r w:rsidRPr="001C4F8B">
        <w:rPr>
          <w:rFonts w:eastAsia="Times New Roman" w:cs="Times New Roman"/>
          <w:lang w:eastAsia="de-DE"/>
        </w:rPr>
        <w:t xml:space="preserve">(dienen) im Qal-Imperfekt 3. maskulin Singular und </w:t>
      </w:r>
      <w:r w:rsidRPr="001C4F8B">
        <w:rPr>
          <w:rFonts w:eastAsia="Times New Roman" w:cs="Times New Roman"/>
          <w:b/>
          <w:bCs/>
          <w:rtl/>
          <w:lang w:eastAsia="de-DE"/>
        </w:rPr>
        <w:t>עוֹד</w:t>
      </w:r>
      <w:r w:rsidRPr="001C4F8B">
        <w:rPr>
          <w:rFonts w:eastAsia="Times New Roman" w:cs="Times New Roman"/>
          <w:rtl/>
          <w:lang w:eastAsia="de-DE"/>
        </w:rPr>
        <w:t xml:space="preserve"> </w:t>
      </w:r>
      <w:r w:rsidRPr="001C4F8B">
        <w:rPr>
          <w:rFonts w:eastAsia="Times New Roman" w:cs="Times New Roman"/>
          <w:lang w:eastAsia="de-DE"/>
        </w:rPr>
        <w:t>(mehr/noch) betont das vollständige Ende des aktiven Dienstes.</w:t>
      </w:r>
    </w:p>
    <w:p w14:paraId="1AD2BE5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Die LXX</w:t>
      </w:r>
      <w:r w:rsidRPr="001C4F8B">
        <w:rPr>
          <w:rFonts w:eastAsia="Times New Roman" w:cs="Times New Roman"/>
          <w:lang w:eastAsia="de-DE"/>
        </w:rPr>
        <w:t xml:space="preserve"> übersetzt </w:t>
      </w:r>
      <w:r w:rsidRPr="001C4F8B">
        <w:rPr>
          <w:rFonts w:eastAsia="Times New Roman" w:cs="Times New Roman"/>
          <w:b/>
          <w:bCs/>
          <w:rtl/>
          <w:lang w:eastAsia="de-DE"/>
        </w:rPr>
        <w:t>יָשׁוּב</w:t>
      </w:r>
      <w:r w:rsidRPr="001C4F8B">
        <w:rPr>
          <w:rFonts w:eastAsia="Times New Roman" w:cs="Times New Roman"/>
          <w:rtl/>
          <w:lang w:eastAsia="de-DE"/>
        </w:rPr>
        <w:t xml:space="preserve"> </w:t>
      </w:r>
      <w:r w:rsidRPr="001C4F8B">
        <w:rPr>
          <w:rFonts w:eastAsia="Times New Roman" w:cs="Times New Roman"/>
          <w:lang w:eastAsia="de-DE"/>
        </w:rPr>
        <w:t xml:space="preserve">mit ἀποστήσεται (er wird sich entfernen) und </w:t>
      </w:r>
      <w:r w:rsidRPr="001C4F8B">
        <w:rPr>
          <w:rFonts w:eastAsia="Times New Roman" w:cs="Times New Roman"/>
          <w:b/>
          <w:bCs/>
          <w:rtl/>
          <w:lang w:eastAsia="de-DE"/>
        </w:rPr>
        <w:t>עוֹד</w:t>
      </w:r>
      <w:r w:rsidRPr="001C4F8B">
        <w:rPr>
          <w:rFonts w:eastAsia="Times New Roman" w:cs="Times New Roman"/>
          <w:rtl/>
          <w:lang w:eastAsia="de-DE"/>
        </w:rPr>
        <w:t xml:space="preserve"> </w:t>
      </w:r>
      <w:r w:rsidRPr="001C4F8B">
        <w:rPr>
          <w:rFonts w:eastAsia="Times New Roman" w:cs="Times New Roman"/>
          <w:lang w:eastAsia="de-DE"/>
        </w:rPr>
        <w:t>mit ἔτι (noch).</w:t>
      </w:r>
    </w:p>
    <w:p w14:paraId="21DD7D5B"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 Satzstruktur zeigt eine klare Altersgrenze mit doppelter Betonung des Dienstendes.</w:t>
      </w:r>
    </w:p>
    <w:p w14:paraId="491ECCC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Dieser Vers etabliert die Altersgrenze von 50 Jahren für das Ende des aktiven levitischen Dienstes.</w:t>
      </w:r>
    </w:p>
    <w:p w14:paraId="3DA3858D" w14:textId="77777777" w:rsidR="001C4F8B" w:rsidRPr="001C4F8B" w:rsidRDefault="001C4F8B" w:rsidP="001C4F8B">
      <w:pPr>
        <w:spacing w:before="100" w:beforeAutospacing="1" w:after="100" w:afterAutospacing="1" w:line="240" w:lineRule="auto"/>
        <w:outlineLvl w:val="0"/>
        <w:rPr>
          <w:rFonts w:eastAsia="Times New Roman" w:cs="Times New Roman"/>
          <w:b/>
          <w:bCs/>
          <w:kern w:val="36"/>
          <w:sz w:val="48"/>
          <w:szCs w:val="48"/>
          <w:lang w:eastAsia="de-DE"/>
        </w:rPr>
      </w:pPr>
      <w:r w:rsidRPr="001C4F8B">
        <w:rPr>
          <w:rFonts w:eastAsia="Times New Roman" w:cs="Times New Roman"/>
          <w:b/>
          <w:bCs/>
          <w:kern w:val="36"/>
          <w:sz w:val="48"/>
          <w:szCs w:val="48"/>
          <w:lang w:eastAsia="de-DE"/>
        </w:rPr>
        <w:t>Numeri 8,26</w:t>
      </w:r>
    </w:p>
    <w:p w14:paraId="45474B16"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Hebräisch:</w:t>
      </w:r>
      <w:r w:rsidRPr="001C4F8B">
        <w:rPr>
          <w:rFonts w:eastAsia="Times New Roman" w:cs="Times New Roman"/>
          <w:lang w:eastAsia="de-DE"/>
        </w:rPr>
        <w:t xml:space="preserve"> </w:t>
      </w:r>
      <w:r w:rsidRPr="001C4F8B">
        <w:rPr>
          <w:rFonts w:eastAsia="Times New Roman" w:cs="Times New Roman"/>
          <w:rtl/>
          <w:lang w:eastAsia="de-DE"/>
        </w:rPr>
        <w:t>וְשֵׁרֵ֨ת אֶת־אֶחָ֜יו בְּאֹ֤הֶל מוֹעֵד֙ לִשְׁמֹ֣ר מִשְׁמֶ֔רֶת וַעֲבֹדָ֖ה לֹ֣א יַעֲבֹ֑ד כָּ֛כָה תַּעֲשֶׂ֥ה לַלְוִיִּ֖ם בְּמִשְׁמְרֹתָֽם׃</w:t>
      </w:r>
    </w:p>
    <w:p w14:paraId="5B18752A"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Deutsch:</w:t>
      </w:r>
      <w:r w:rsidRPr="001C4F8B">
        <w:rPr>
          <w:rFonts w:eastAsia="Times New Roman" w:cs="Times New Roman"/>
          <w:lang w:eastAsia="de-DE"/>
        </w:rPr>
        <w:t xml:space="preserve"> Er mag seinen Brüdern im Zelt der Begegnung behilflich sein, um die Aufgaben wahrzunehmen; aber Dienst soll er nicht tun. So sollst du mit den Levijim bezüglich ihrer Aufgaben vorgehen.</w:t>
      </w:r>
    </w:p>
    <w:p w14:paraId="5453B4DB" w14:textId="77777777" w:rsidR="001C4F8B" w:rsidRPr="001C4F8B" w:rsidRDefault="00F329DD" w:rsidP="001C4F8B">
      <w:pPr>
        <w:spacing w:after="0" w:line="240" w:lineRule="auto"/>
        <w:rPr>
          <w:rFonts w:eastAsia="Times New Roman" w:cs="Times New Roman"/>
          <w:lang w:eastAsia="de-DE"/>
        </w:rPr>
      </w:pPr>
      <w:r>
        <w:rPr>
          <w:rFonts w:eastAsia="Times New Roman" w:cs="Times New Roman"/>
          <w:noProof/>
          <w:lang w:eastAsia="de-DE"/>
        </w:rPr>
        <w:pict w14:anchorId="7CDA1340">
          <v:rect id="_x0000_i1320" style="width:0;height:1.5pt" o:hralign="center" o:hrstd="t" o:hr="t" fillcolor="#a0a0a0" stroked="f"/>
        </w:pict>
      </w:r>
    </w:p>
    <w:p w14:paraId="2A4E2547"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b/>
          <w:bCs/>
          <w:lang w:eastAsia="de-DE"/>
        </w:rPr>
        <w:t>Kommentar:</w:t>
      </w:r>
      <w:r w:rsidRPr="001C4F8B">
        <w:rPr>
          <w:rFonts w:eastAsia="Times New Roman" w:cs="Times New Roman"/>
          <w:lang w:eastAsia="de-DE"/>
        </w:rPr>
        <w:t xml:space="preserve"> Das Verb </w:t>
      </w:r>
      <w:r w:rsidRPr="001C4F8B">
        <w:rPr>
          <w:rFonts w:eastAsia="Times New Roman" w:cs="Times New Roman"/>
          <w:b/>
          <w:bCs/>
          <w:rtl/>
          <w:lang w:eastAsia="de-DE"/>
        </w:rPr>
        <w:t>וְשֵׁרֵת אֶת־אֶחָיו בְּאֹהֶל מוֹעֵד</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שֵׁרֵת</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שרת</w:t>
      </w:r>
      <w:r w:rsidRPr="001C4F8B">
        <w:rPr>
          <w:rFonts w:eastAsia="Times New Roman" w:cs="Times New Roman"/>
          <w:rtl/>
          <w:lang w:eastAsia="de-DE"/>
        </w:rPr>
        <w:t xml:space="preserve"> </w:t>
      </w:r>
      <w:r w:rsidRPr="001C4F8B">
        <w:rPr>
          <w:rFonts w:eastAsia="Times New Roman" w:cs="Times New Roman"/>
          <w:lang w:eastAsia="de-DE"/>
        </w:rPr>
        <w:t xml:space="preserve">(dienen/behilflich sein) im Pi'el-Perfekt 3. maskulin Singular und </w:t>
      </w:r>
      <w:r w:rsidRPr="001C4F8B">
        <w:rPr>
          <w:rFonts w:eastAsia="Times New Roman" w:cs="Times New Roman"/>
          <w:b/>
          <w:bCs/>
          <w:rtl/>
          <w:lang w:eastAsia="de-DE"/>
        </w:rPr>
        <w:t>אֶת־אֶחָיו</w:t>
      </w:r>
      <w:r w:rsidRPr="001C4F8B">
        <w:rPr>
          <w:rFonts w:eastAsia="Times New Roman" w:cs="Times New Roman"/>
          <w:rtl/>
          <w:lang w:eastAsia="de-DE"/>
        </w:rPr>
        <w:t xml:space="preserve"> </w:t>
      </w:r>
      <w:r w:rsidRPr="001C4F8B">
        <w:rPr>
          <w:rFonts w:eastAsia="Times New Roman" w:cs="Times New Roman"/>
          <w:lang w:eastAsia="de-DE"/>
        </w:rPr>
        <w:t>(seinen Brüdern) zeigt die erlaubte Hilfstätigkeit für ältere Leviten.</w:t>
      </w:r>
    </w:p>
    <w:p w14:paraId="12F8E7F7" w14:textId="0CAF0185"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Zweckbestimmung </w:t>
      </w:r>
      <w:r w:rsidRPr="001C4F8B">
        <w:rPr>
          <w:rFonts w:eastAsia="Times New Roman" w:cs="Times New Roman"/>
          <w:b/>
          <w:bCs/>
          <w:rtl/>
          <w:lang w:eastAsia="de-DE"/>
        </w:rPr>
        <w:t>לִשְׁמֹר מִשְׁמֶרֶת</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לִשְׁמֹר</w:t>
      </w:r>
      <w:r w:rsidRPr="001C4F8B">
        <w:rPr>
          <w:rFonts w:eastAsia="Times New Roman" w:cs="Times New Roman"/>
          <w:rtl/>
          <w:lang w:eastAsia="de-DE"/>
        </w:rPr>
        <w:t xml:space="preserve"> </w:t>
      </w:r>
      <w:r w:rsidRPr="001C4F8B">
        <w:rPr>
          <w:rFonts w:eastAsia="Times New Roman" w:cs="Times New Roman"/>
          <w:lang w:eastAsia="de-DE"/>
        </w:rPr>
        <w:t>als Qal-Infinitiv-</w:t>
      </w:r>
      <w:r w:rsidR="00F133EC">
        <w:rPr>
          <w:rFonts w:eastAsia="Times New Roman" w:cs="Times New Roman"/>
          <w:lang w:eastAsia="de-DE"/>
        </w:rPr>
        <w:t>Construct</w:t>
      </w:r>
      <w:r w:rsidRPr="001C4F8B">
        <w:rPr>
          <w:rFonts w:eastAsia="Times New Roman" w:cs="Times New Roman"/>
          <w:lang w:eastAsia="de-DE"/>
        </w:rPr>
        <w:t xml:space="preserve"> von </w:t>
      </w:r>
      <w:r w:rsidRPr="001C4F8B">
        <w:rPr>
          <w:rFonts w:eastAsia="Times New Roman" w:cs="Times New Roman"/>
          <w:b/>
          <w:bCs/>
          <w:rtl/>
          <w:lang w:eastAsia="de-DE"/>
        </w:rPr>
        <w:t>שמר</w:t>
      </w:r>
      <w:r w:rsidRPr="001C4F8B">
        <w:rPr>
          <w:rFonts w:eastAsia="Times New Roman" w:cs="Times New Roman"/>
          <w:rtl/>
          <w:lang w:eastAsia="de-DE"/>
        </w:rPr>
        <w:t xml:space="preserve"> </w:t>
      </w:r>
      <w:r w:rsidRPr="001C4F8B">
        <w:rPr>
          <w:rFonts w:eastAsia="Times New Roman" w:cs="Times New Roman"/>
          <w:lang w:eastAsia="de-DE"/>
        </w:rPr>
        <w:t xml:space="preserve">(hüten/bewachen) und </w:t>
      </w:r>
      <w:r w:rsidRPr="001C4F8B">
        <w:rPr>
          <w:rFonts w:eastAsia="Times New Roman" w:cs="Times New Roman"/>
          <w:b/>
          <w:bCs/>
          <w:rtl/>
          <w:lang w:eastAsia="de-DE"/>
        </w:rPr>
        <w:t>מִשְׁמֶרֶת</w:t>
      </w:r>
      <w:r w:rsidRPr="001C4F8B">
        <w:rPr>
          <w:rFonts w:eastAsia="Times New Roman" w:cs="Times New Roman"/>
          <w:rtl/>
          <w:lang w:eastAsia="de-DE"/>
        </w:rPr>
        <w:t xml:space="preserve"> </w:t>
      </w:r>
      <w:r w:rsidRPr="001C4F8B">
        <w:rPr>
          <w:rFonts w:eastAsia="Times New Roman" w:cs="Times New Roman"/>
          <w:lang w:eastAsia="de-DE"/>
        </w:rPr>
        <w:t>(Aufgabe/Wache) zeigt die Art der erlaubten Tätigkeit: Aufsichts- und Beratungsfunktionen.</w:t>
      </w:r>
    </w:p>
    <w:p w14:paraId="71E7BA08"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klare Einschränkung </w:t>
      </w:r>
      <w:r w:rsidRPr="001C4F8B">
        <w:rPr>
          <w:rFonts w:eastAsia="Times New Roman" w:cs="Times New Roman"/>
          <w:b/>
          <w:bCs/>
          <w:rtl/>
          <w:lang w:eastAsia="de-DE"/>
        </w:rPr>
        <w:t>וַעֲבֹדָה לֹא יַעֲבֹד</w:t>
      </w:r>
      <w:r w:rsidRPr="001C4F8B">
        <w:rPr>
          <w:rFonts w:eastAsia="Times New Roman" w:cs="Times New Roman"/>
          <w:rtl/>
          <w:lang w:eastAsia="de-DE"/>
        </w:rPr>
        <w:t xml:space="preserve"> </w:t>
      </w:r>
      <w:r w:rsidRPr="001C4F8B">
        <w:rPr>
          <w:rFonts w:eastAsia="Times New Roman" w:cs="Times New Roman"/>
          <w:lang w:eastAsia="de-DE"/>
        </w:rPr>
        <w:t xml:space="preserve">mit der reduplikativen Negation </w:t>
      </w:r>
      <w:r w:rsidRPr="001C4F8B">
        <w:rPr>
          <w:rFonts w:eastAsia="Times New Roman" w:cs="Times New Roman"/>
          <w:b/>
          <w:bCs/>
          <w:rtl/>
          <w:lang w:eastAsia="de-DE"/>
        </w:rPr>
        <w:t>עֲבֹדָה לֹא יַעֲבֹד</w:t>
      </w:r>
      <w:r w:rsidRPr="001C4F8B">
        <w:rPr>
          <w:rFonts w:eastAsia="Times New Roman" w:cs="Times New Roman"/>
          <w:rtl/>
          <w:lang w:eastAsia="de-DE"/>
        </w:rPr>
        <w:t xml:space="preserve"> </w:t>
      </w:r>
      <w:r w:rsidRPr="001C4F8B">
        <w:rPr>
          <w:rFonts w:eastAsia="Times New Roman" w:cs="Times New Roman"/>
          <w:lang w:eastAsia="de-DE"/>
        </w:rPr>
        <w:t>(Dienst soll er nicht dienen) betont das Verbot aktiver Arbeit.</w:t>
      </w:r>
    </w:p>
    <w:p w14:paraId="61D8B3CC" w14:textId="77777777" w:rsidR="001C4F8B" w:rsidRPr="001C4F8B" w:rsidRDefault="001C4F8B" w:rsidP="001C4F8B">
      <w:pPr>
        <w:spacing w:before="100" w:beforeAutospacing="1" w:after="100" w:afterAutospacing="1" w:line="240" w:lineRule="auto"/>
        <w:rPr>
          <w:rFonts w:eastAsia="Times New Roman" w:cs="Times New Roman"/>
          <w:lang w:eastAsia="de-DE"/>
        </w:rPr>
      </w:pPr>
      <w:r w:rsidRPr="001C4F8B">
        <w:rPr>
          <w:rFonts w:eastAsia="Times New Roman" w:cs="Times New Roman"/>
          <w:lang w:eastAsia="de-DE"/>
        </w:rPr>
        <w:t xml:space="preserve">Die abschließende Anwendungsformel </w:t>
      </w:r>
      <w:r w:rsidRPr="001C4F8B">
        <w:rPr>
          <w:rFonts w:eastAsia="Times New Roman" w:cs="Times New Roman"/>
          <w:b/>
          <w:bCs/>
          <w:rtl/>
          <w:lang w:eastAsia="de-DE"/>
        </w:rPr>
        <w:t>כָּכָה תַּעֲשֶׂה לַלְוִיִּם בְּמִשְׁמְרֹתָם</w:t>
      </w:r>
      <w:r w:rsidRPr="001C4F8B">
        <w:rPr>
          <w:rFonts w:eastAsia="Times New Roman" w:cs="Times New Roman"/>
          <w:rtl/>
          <w:lang w:eastAsia="de-DE"/>
        </w:rPr>
        <w:t xml:space="preserve"> </w:t>
      </w:r>
      <w:r w:rsidRPr="001C4F8B">
        <w:rPr>
          <w:rFonts w:eastAsia="Times New Roman" w:cs="Times New Roman"/>
          <w:lang w:eastAsia="de-DE"/>
        </w:rPr>
        <w:t xml:space="preserve">mit </w:t>
      </w:r>
      <w:r w:rsidRPr="001C4F8B">
        <w:rPr>
          <w:rFonts w:eastAsia="Times New Roman" w:cs="Times New Roman"/>
          <w:b/>
          <w:bCs/>
          <w:rtl/>
          <w:lang w:eastAsia="de-DE"/>
        </w:rPr>
        <w:t>כָּכָה</w:t>
      </w:r>
      <w:r w:rsidRPr="001C4F8B">
        <w:rPr>
          <w:rFonts w:eastAsia="Times New Roman" w:cs="Times New Roman"/>
          <w:rtl/>
          <w:lang w:eastAsia="de-DE"/>
        </w:rPr>
        <w:t xml:space="preserve"> </w:t>
      </w:r>
      <w:r w:rsidRPr="001C4F8B">
        <w:rPr>
          <w:rFonts w:eastAsia="Times New Roman" w:cs="Times New Roman"/>
          <w:lang w:eastAsia="de-DE"/>
        </w:rPr>
        <w:t xml:space="preserve">(so), </w:t>
      </w:r>
      <w:r w:rsidRPr="001C4F8B">
        <w:rPr>
          <w:rFonts w:eastAsia="Times New Roman" w:cs="Times New Roman"/>
          <w:b/>
          <w:bCs/>
          <w:rtl/>
          <w:lang w:eastAsia="de-DE"/>
        </w:rPr>
        <w:t>תַּעֲשֶׂה</w:t>
      </w:r>
      <w:r w:rsidRPr="001C4F8B">
        <w:rPr>
          <w:rFonts w:eastAsia="Times New Roman" w:cs="Times New Roman"/>
          <w:rtl/>
          <w:lang w:eastAsia="de-DE"/>
        </w:rPr>
        <w:t xml:space="preserve"> </w:t>
      </w:r>
      <w:r w:rsidRPr="001C4F8B">
        <w:rPr>
          <w:rFonts w:eastAsia="Times New Roman" w:cs="Times New Roman"/>
          <w:lang w:eastAsia="de-DE"/>
        </w:rPr>
        <w:t xml:space="preserve">von </w:t>
      </w:r>
      <w:r w:rsidRPr="001C4F8B">
        <w:rPr>
          <w:rFonts w:eastAsia="Times New Roman" w:cs="Times New Roman"/>
          <w:b/>
          <w:bCs/>
          <w:rtl/>
          <w:lang w:eastAsia="de-DE"/>
        </w:rPr>
        <w:t>עשה</w:t>
      </w:r>
      <w:r w:rsidRPr="001C4F8B">
        <w:rPr>
          <w:rFonts w:eastAsia="Times New Roman" w:cs="Times New Roman"/>
          <w:rtl/>
          <w:lang w:eastAsia="de-DE"/>
        </w:rPr>
        <w:t xml:space="preserve"> </w:t>
      </w:r>
      <w:r w:rsidRPr="001C4F8B">
        <w:rPr>
          <w:rFonts w:eastAsia="Times New Roman" w:cs="Times New Roman"/>
          <w:lang w:eastAsia="de-DE"/>
        </w:rPr>
        <w:t xml:space="preserve">(tun) im Qal-Imperfekt 2. maskulin Singular und </w:t>
      </w:r>
      <w:r w:rsidRPr="001C4F8B">
        <w:rPr>
          <w:rFonts w:eastAsia="Times New Roman" w:cs="Times New Roman"/>
          <w:b/>
          <w:bCs/>
          <w:rtl/>
          <w:lang w:eastAsia="de-DE"/>
        </w:rPr>
        <w:t>בְּמִשְׁמְרֹתָם</w:t>
      </w:r>
      <w:r w:rsidRPr="001C4F8B">
        <w:rPr>
          <w:rFonts w:eastAsia="Times New Roman" w:cs="Times New Roman"/>
          <w:rtl/>
          <w:lang w:eastAsia="de-DE"/>
        </w:rPr>
        <w:t xml:space="preserve"> </w:t>
      </w:r>
      <w:r w:rsidRPr="001C4F8B">
        <w:rPr>
          <w:rFonts w:eastAsia="Times New Roman" w:cs="Times New Roman"/>
          <w:lang w:eastAsia="de-DE"/>
        </w:rPr>
        <w:t>(bezüglich ihrer Aufgaben) etabliert die allgemeine Gültigkeit dieser Regelung.</w:t>
      </w:r>
    </w:p>
    <w:p w14:paraId="303F69BC" w14:textId="77777777" w:rsidR="004D44DE" w:rsidRDefault="004D44DE" w:rsidP="001C4F8B">
      <w:pPr>
        <w:pStyle w:val="whitespace-normal"/>
      </w:pPr>
      <w:r>
        <w:rPr>
          <w:rStyle w:val="Fett"/>
        </w:rPr>
        <w:t>Die LXX</w:t>
      </w:r>
      <w:r>
        <w:t xml:space="preserve"> übersetzt </w:t>
      </w:r>
      <w:r w:rsidRPr="004D44DE">
        <w:rPr>
          <w:b/>
          <w:bCs/>
          <w:rtl/>
        </w:rPr>
        <w:t>ושרת את־אחיו באהל מועד לשמר משמרת</w:t>
      </w:r>
      <w:r>
        <w:t xml:space="preserve"> (vesheret et-echav be'ohel mo'ed lishmor mishmereth - "er soll seinen Brüdern im Zelt der Begegnung dienen, um Wache zu </w:t>
      </w:r>
      <w:r>
        <w:lastRenderedPageBreak/>
        <w:t>halten") als καὶ λειτουργήσει ὁ ἀδελφὸς αὐτοῦ ἐν τῇ σκηνῇ τοῦ μαρτυρίου φυλάσσειν φυλακάς (und sein Bruder wird im Zelt des Zeugnisses dienen, um Wachen zu halten), wobei unklar ist, ob "sein Bruder" sich auf den pensionierten Leviten oder seine jüngeren Kollegen bezieht.</w:t>
      </w:r>
    </w:p>
    <w:p w14:paraId="5619808B" w14:textId="68F59419" w:rsidR="001C4F8B" w:rsidRDefault="001C4F8B" w:rsidP="001C4F8B">
      <w:pPr>
        <w:pStyle w:val="whitespace-normal"/>
      </w:pPr>
      <w:r>
        <w:t>Die Satzstruktur zeigt eine Differenzierung zwischen erlaubter Hilfstätigkeit und verbotener aktiver Arbeit mit abschließender Anwendungsformel für alle Leviten.</w:t>
      </w:r>
    </w:p>
    <w:p w14:paraId="616D3234" w14:textId="24A01EDB" w:rsidR="00F13306" w:rsidRPr="003006FE" w:rsidRDefault="001C4F8B" w:rsidP="008052D2">
      <w:pPr>
        <w:pStyle w:val="whitespace-normal"/>
      </w:pPr>
      <w:r>
        <w:t>Dieser abschließende Vers des Kapitels etabliert eine nuancierte Regelung für ältere Leviten: sie dürfen beratend und aufsichtführend tätig sein, aber keine schwere körperliche Arbeit mehr verrichten. Dies zeigt eine weise Berücksichtigung der altersbedingten Fähigkeiten und ermöglicht die Nutzung der Erfahrung älterer Leviten, ohne sie zu überlasten.</w:t>
      </w:r>
    </w:p>
    <w:p w14:paraId="352BD2B4"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Der Relativsatz </w:t>
      </w:r>
      <w:r w:rsidRPr="00F13306">
        <w:rPr>
          <w:rFonts w:eastAsia="Times New Roman" w:cs="Times New Roman"/>
          <w:b/>
          <w:bCs/>
          <w:rtl/>
          <w:lang w:eastAsia="de-DE"/>
        </w:rPr>
        <w:t>אֲשֶׁר הָיוּ טְמֵאִים לְנֶפֶשׁ אָדָם</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הָיוּ</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היה</w:t>
      </w:r>
      <w:r w:rsidRPr="00F13306">
        <w:rPr>
          <w:rFonts w:eastAsia="Times New Roman" w:cs="Times New Roman"/>
          <w:rtl/>
          <w:lang w:eastAsia="de-DE"/>
        </w:rPr>
        <w:t xml:space="preserve"> </w:t>
      </w:r>
      <w:r w:rsidRPr="00F13306">
        <w:rPr>
          <w:rFonts w:eastAsia="Times New Roman" w:cs="Times New Roman"/>
          <w:lang w:eastAsia="de-DE"/>
        </w:rPr>
        <w:t xml:space="preserve">(sein), </w:t>
      </w:r>
      <w:r w:rsidRPr="00F13306">
        <w:rPr>
          <w:rFonts w:eastAsia="Times New Roman" w:cs="Times New Roman"/>
          <w:b/>
          <w:bCs/>
          <w:rtl/>
          <w:lang w:eastAsia="de-DE"/>
        </w:rPr>
        <w:t>טְמֵאִים</w:t>
      </w:r>
      <w:r w:rsidRPr="00F13306">
        <w:rPr>
          <w:rFonts w:eastAsia="Times New Roman" w:cs="Times New Roman"/>
          <w:rtl/>
          <w:lang w:eastAsia="de-DE"/>
        </w:rPr>
        <w:t xml:space="preserve"> </w:t>
      </w:r>
      <w:r w:rsidRPr="00F13306">
        <w:rPr>
          <w:rFonts w:eastAsia="Times New Roman" w:cs="Times New Roman"/>
          <w:lang w:eastAsia="de-DE"/>
        </w:rPr>
        <w:t xml:space="preserve">(unrein) und </w:t>
      </w:r>
      <w:r w:rsidRPr="00F13306">
        <w:rPr>
          <w:rFonts w:eastAsia="Times New Roman" w:cs="Times New Roman"/>
          <w:b/>
          <w:bCs/>
          <w:rtl/>
          <w:lang w:eastAsia="de-DE"/>
        </w:rPr>
        <w:t>לְנֶפֶשׁ אָדָם</w:t>
      </w:r>
      <w:r w:rsidRPr="00F13306">
        <w:rPr>
          <w:rFonts w:eastAsia="Times New Roman" w:cs="Times New Roman"/>
          <w:rtl/>
          <w:lang w:eastAsia="de-DE"/>
        </w:rPr>
        <w:t xml:space="preserve"> </w:t>
      </w:r>
      <w:r w:rsidRPr="00F13306">
        <w:rPr>
          <w:rFonts w:eastAsia="Times New Roman" w:cs="Times New Roman"/>
          <w:lang w:eastAsia="de-DE"/>
        </w:rPr>
        <w:t>(durch eine Menschenleiche) zeigt die spezifische Unreinheit durch Leichenkontakt.</w:t>
      </w:r>
    </w:p>
    <w:p w14:paraId="6D3F06C0" w14:textId="37D3CF1D"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 Unfähigkeitsbestimmung </w:t>
      </w:r>
      <w:r w:rsidRPr="00F13306">
        <w:rPr>
          <w:rFonts w:eastAsia="Times New Roman" w:cs="Times New Roman"/>
          <w:b/>
          <w:bCs/>
          <w:rtl/>
          <w:lang w:eastAsia="de-DE"/>
        </w:rPr>
        <w:t>וְלֹא־יָכְלוּ לַעֲשֹׂת־הַפֶּסַח בַּיּוֹם הַהוּא</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לֹא־יָכְלוּ</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יכל</w:t>
      </w:r>
      <w:r w:rsidRPr="00F13306">
        <w:rPr>
          <w:rFonts w:eastAsia="Times New Roman" w:cs="Times New Roman"/>
          <w:rtl/>
          <w:lang w:eastAsia="de-DE"/>
        </w:rPr>
        <w:t xml:space="preserve"> </w:t>
      </w:r>
      <w:r w:rsidRPr="00F13306">
        <w:rPr>
          <w:rFonts w:eastAsia="Times New Roman" w:cs="Times New Roman"/>
          <w:lang w:eastAsia="de-DE"/>
        </w:rPr>
        <w:t xml:space="preserve">(können) im Qal-Perfekt 3. maskulin Plural, </w:t>
      </w:r>
      <w:r w:rsidRPr="00F13306">
        <w:rPr>
          <w:rFonts w:eastAsia="Times New Roman" w:cs="Times New Roman"/>
          <w:b/>
          <w:bCs/>
          <w:rtl/>
          <w:lang w:eastAsia="de-DE"/>
        </w:rPr>
        <w:t>לַעֲשֹׂת</w:t>
      </w:r>
      <w:r w:rsidRPr="00F13306">
        <w:rPr>
          <w:rFonts w:eastAsia="Times New Roman" w:cs="Times New Roman"/>
          <w:rtl/>
          <w:lang w:eastAsia="de-DE"/>
        </w:rPr>
        <w:t xml:space="preserve"> </w:t>
      </w:r>
      <w:r w:rsidRPr="00F13306">
        <w:rPr>
          <w:rFonts w:eastAsia="Times New Roman" w:cs="Times New Roman"/>
          <w:lang w:eastAsia="de-DE"/>
        </w:rPr>
        <w:t>als Infinitiv-</w:t>
      </w:r>
      <w:r w:rsidR="00F133EC">
        <w:rPr>
          <w:rFonts w:eastAsia="Times New Roman" w:cs="Times New Roman"/>
          <w:lang w:eastAsia="de-DE"/>
        </w:rPr>
        <w:t>Construct</w:t>
      </w:r>
      <w:r w:rsidRPr="00F13306">
        <w:rPr>
          <w:rFonts w:eastAsia="Times New Roman" w:cs="Times New Roman"/>
          <w:lang w:eastAsia="de-DE"/>
        </w:rPr>
        <w:t xml:space="preserve"> von </w:t>
      </w:r>
      <w:r w:rsidRPr="00F13306">
        <w:rPr>
          <w:rFonts w:eastAsia="Times New Roman" w:cs="Times New Roman"/>
          <w:b/>
          <w:bCs/>
          <w:rtl/>
          <w:lang w:eastAsia="de-DE"/>
        </w:rPr>
        <w:t>עשה</w:t>
      </w:r>
      <w:r w:rsidRPr="00F13306">
        <w:rPr>
          <w:rFonts w:eastAsia="Times New Roman" w:cs="Times New Roman"/>
          <w:rtl/>
          <w:lang w:eastAsia="de-DE"/>
        </w:rPr>
        <w:t xml:space="preserve"> </w:t>
      </w:r>
      <w:r w:rsidRPr="00F13306">
        <w:rPr>
          <w:rFonts w:eastAsia="Times New Roman" w:cs="Times New Roman"/>
          <w:lang w:eastAsia="de-DE"/>
        </w:rPr>
        <w:t xml:space="preserve">und </w:t>
      </w:r>
      <w:r w:rsidRPr="00F13306">
        <w:rPr>
          <w:rFonts w:eastAsia="Times New Roman" w:cs="Times New Roman"/>
          <w:b/>
          <w:bCs/>
          <w:rtl/>
          <w:lang w:eastAsia="de-DE"/>
        </w:rPr>
        <w:t>בַּיּוֹם הַהוּא</w:t>
      </w:r>
      <w:r w:rsidRPr="00F13306">
        <w:rPr>
          <w:rFonts w:eastAsia="Times New Roman" w:cs="Times New Roman"/>
          <w:rtl/>
          <w:lang w:eastAsia="de-DE"/>
        </w:rPr>
        <w:t xml:space="preserve"> </w:t>
      </w:r>
      <w:r w:rsidRPr="00F13306">
        <w:rPr>
          <w:rFonts w:eastAsia="Times New Roman" w:cs="Times New Roman"/>
          <w:lang w:eastAsia="de-DE"/>
        </w:rPr>
        <w:t>(an jenem Tag) zeigt ihre liturgische Ausgeschlossenheit.</w:t>
      </w:r>
    </w:p>
    <w:p w14:paraId="25F2D8E8"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Das Verb </w:t>
      </w:r>
      <w:r w:rsidRPr="00F13306">
        <w:rPr>
          <w:rFonts w:eastAsia="Times New Roman" w:cs="Times New Roman"/>
          <w:b/>
          <w:bCs/>
          <w:rtl/>
          <w:lang w:eastAsia="de-DE"/>
        </w:rPr>
        <w:t>וַיִּקְרְבוּ לִפְנֵי מֹשֶׁה וְלִפְנֵי אַהֲרֹן</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יִּקְרְבוּ</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קרב</w:t>
      </w:r>
      <w:r w:rsidRPr="00F13306">
        <w:rPr>
          <w:rFonts w:eastAsia="Times New Roman" w:cs="Times New Roman"/>
          <w:rtl/>
          <w:lang w:eastAsia="de-DE"/>
        </w:rPr>
        <w:t xml:space="preserve"> </w:t>
      </w:r>
      <w:r w:rsidRPr="00F13306">
        <w:rPr>
          <w:rFonts w:eastAsia="Times New Roman" w:cs="Times New Roman"/>
          <w:lang w:eastAsia="de-DE"/>
        </w:rPr>
        <w:t>(nahen) zeigt ihre Bittstellung vor den Autoritäten.</w:t>
      </w:r>
    </w:p>
    <w:p w14:paraId="185D08C4" w14:textId="77777777" w:rsidR="004D44DE" w:rsidRDefault="004D44DE" w:rsidP="00F13306">
      <w:pPr>
        <w:spacing w:before="100" w:beforeAutospacing="1" w:after="100" w:afterAutospacing="1" w:line="240" w:lineRule="auto"/>
      </w:pPr>
      <w:r>
        <w:rPr>
          <w:rStyle w:val="Fett"/>
        </w:rPr>
        <w:t>Die LXX</w:t>
      </w:r>
      <w:r>
        <w:t xml:space="preserve"> übersetzt </w:t>
      </w:r>
      <w:r w:rsidRPr="004D44DE">
        <w:rPr>
          <w:b/>
          <w:bCs/>
          <w:rtl/>
        </w:rPr>
        <w:t>טמאים לנפש אדם</w:t>
      </w:r>
      <w:r>
        <w:t xml:space="preserve"> (teme'im lenephesh adam - "unrein durch eine menschliche Leiche") als ἀκάθαρτοι ἐπὶ ψυχῇ ἀνθρώπου (unrein durch eine menschliche Seele/Person), wobei ψυχή sowohl "Seele" als auch "Person/Leben" bedeuten kann.</w:t>
      </w:r>
    </w:p>
    <w:p w14:paraId="4577A8AA" w14:textId="255065C5"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Die Satzstruktur zeigt ein existentielles Problem mit relativischer Problemspezifikation, Unfähigkeitskonsequenz und autoritärer Bittstellung.</w:t>
      </w:r>
    </w:p>
    <w:p w14:paraId="1A8E5A1A" w14:textId="6D9850C0" w:rsid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Dieser Vers führt das zentrale Problem des Kapitels ein: Menschen, die durch Leichenunreinheit von der </w:t>
      </w:r>
      <w:r w:rsidR="00E136DC">
        <w:rPr>
          <w:rFonts w:eastAsia="Times New Roman" w:cs="Times New Roman"/>
          <w:lang w:eastAsia="de-DE"/>
        </w:rPr>
        <w:t>Pesach</w:t>
      </w:r>
      <w:r w:rsidRPr="00F13306">
        <w:rPr>
          <w:rFonts w:eastAsia="Times New Roman" w:cs="Times New Roman"/>
          <w:lang w:eastAsia="de-DE"/>
        </w:rPr>
        <w:t>-Feier ausgeschlossen sind.</w:t>
      </w:r>
    </w:p>
    <w:p w14:paraId="23E0A445" w14:textId="77777777" w:rsidR="003006FE" w:rsidRPr="003006FE" w:rsidRDefault="003006FE" w:rsidP="003006FE">
      <w:pPr>
        <w:spacing w:before="100" w:beforeAutospacing="1" w:after="100" w:afterAutospacing="1" w:line="240" w:lineRule="auto"/>
        <w:outlineLvl w:val="0"/>
        <w:rPr>
          <w:rFonts w:eastAsia="Times New Roman" w:cs="Times New Roman"/>
          <w:b/>
          <w:bCs/>
          <w:kern w:val="36"/>
          <w:sz w:val="48"/>
          <w:szCs w:val="48"/>
          <w:lang w:eastAsia="de-DE"/>
        </w:rPr>
      </w:pPr>
      <w:r w:rsidRPr="003006FE">
        <w:rPr>
          <w:rFonts w:eastAsia="Times New Roman" w:cs="Times New Roman"/>
          <w:b/>
          <w:bCs/>
          <w:kern w:val="36"/>
          <w:sz w:val="48"/>
          <w:szCs w:val="48"/>
          <w:lang w:eastAsia="de-DE"/>
        </w:rPr>
        <w:t>Numeri 9,1</w:t>
      </w:r>
    </w:p>
    <w:p w14:paraId="7C0AB11F"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Hebräisch:</w:t>
      </w:r>
      <w:r w:rsidRPr="003006FE">
        <w:rPr>
          <w:rFonts w:eastAsia="Times New Roman" w:cs="Times New Roman"/>
          <w:lang w:eastAsia="de-DE"/>
        </w:rPr>
        <w:t xml:space="preserve"> </w:t>
      </w:r>
      <w:r w:rsidRPr="003006FE">
        <w:rPr>
          <w:rFonts w:eastAsia="Times New Roman" w:cs="Times New Roman"/>
          <w:rtl/>
          <w:lang w:eastAsia="de-DE"/>
        </w:rPr>
        <w:t>וַיְדַבֵּ֣ר יְהוָ֣ה אֶל־מֹשֶׁ֣ה בְמִדְבַּר־סִ֠ינַי בַּשָּׁנָ֨ה הַשֵּׁנִ֜ית לְצֵאתָ֨ם מֵאֶ֧רֶץ מִצְרַ֛יִם בַּחֹ֥דֶשׁ הָרִאשׁ֖וֹן לֵאמֹֽר׃</w:t>
      </w:r>
    </w:p>
    <w:p w14:paraId="4139EC18"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Deutsch:</w:t>
      </w:r>
      <w:r w:rsidRPr="003006FE">
        <w:rPr>
          <w:rFonts w:eastAsia="Times New Roman" w:cs="Times New Roman"/>
          <w:lang w:eastAsia="de-DE"/>
        </w:rPr>
        <w:t xml:space="preserve"> Und der Ewige redete zu Mosche in der Wüste Sinai, im zweiten Jahr nach ihrem Auszug aus dem Land Mizrajim, im ersten Monat, sagend:</w:t>
      </w:r>
    </w:p>
    <w:p w14:paraId="66233C0B" w14:textId="77777777" w:rsidR="003006FE" w:rsidRPr="003006FE" w:rsidRDefault="00F329DD" w:rsidP="003006FE">
      <w:pPr>
        <w:spacing w:after="0" w:line="240" w:lineRule="auto"/>
        <w:rPr>
          <w:rFonts w:eastAsia="Times New Roman" w:cs="Times New Roman"/>
          <w:lang w:eastAsia="de-DE"/>
        </w:rPr>
      </w:pPr>
      <w:r>
        <w:rPr>
          <w:rFonts w:eastAsia="Times New Roman" w:cs="Times New Roman"/>
          <w:lang w:eastAsia="de-DE"/>
        </w:rPr>
        <w:pict w14:anchorId="79E049FB">
          <v:rect id="_x0000_i1321" style="width:0;height:1.5pt" o:hralign="center" o:hrstd="t" o:hr="t" fillcolor="#a0a0a0" stroked="f"/>
        </w:pict>
      </w:r>
    </w:p>
    <w:p w14:paraId="70C35E57" w14:textId="7FBB4589"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Kommentar:</w:t>
      </w:r>
      <w:r w:rsidRPr="003006FE">
        <w:rPr>
          <w:rFonts w:eastAsia="Times New Roman" w:cs="Times New Roman"/>
          <w:lang w:eastAsia="de-DE"/>
        </w:rPr>
        <w:t xml:space="preserve"> Der Vers leitet eine neue göttliche Anweisung ein mit präziser zeitlicher und örtlicher Verortung. </w:t>
      </w:r>
      <w:r w:rsidRPr="003006FE">
        <w:rPr>
          <w:rFonts w:eastAsia="Times New Roman" w:cs="Times New Roman"/>
          <w:b/>
          <w:bCs/>
          <w:rtl/>
          <w:lang w:eastAsia="de-DE"/>
        </w:rPr>
        <w:t>וַיְדַבֵּר יהוה אֶל־מֹשֶׁה</w:t>
      </w:r>
      <w:r w:rsidRPr="003006FE">
        <w:rPr>
          <w:rFonts w:eastAsia="Times New Roman" w:cs="Times New Roman"/>
          <w:rtl/>
          <w:lang w:eastAsia="de-DE"/>
        </w:rPr>
        <w:t xml:space="preserve"> </w:t>
      </w:r>
      <w:r w:rsidRPr="003006FE">
        <w:rPr>
          <w:rFonts w:eastAsia="Times New Roman" w:cs="Times New Roman"/>
          <w:lang w:eastAsia="de-DE"/>
        </w:rPr>
        <w:t xml:space="preserve">ist die Standard-Redeeinleitung (Piel Wayyiqtol 3. Person maskulin Singular von </w:t>
      </w:r>
      <w:r w:rsidRPr="003006FE">
        <w:rPr>
          <w:rFonts w:eastAsia="Times New Roman" w:cs="Times New Roman"/>
          <w:b/>
          <w:bCs/>
          <w:rtl/>
          <w:lang w:eastAsia="de-DE"/>
        </w:rPr>
        <w:t>דבר</w:t>
      </w:r>
      <w:r w:rsidRPr="003006FE">
        <w:rPr>
          <w:rFonts w:eastAsia="Times New Roman" w:cs="Times New Roman"/>
          <w:rtl/>
          <w:lang w:eastAsia="de-DE"/>
        </w:rPr>
        <w:t xml:space="preserve"> </w:t>
      </w:r>
      <w:r w:rsidRPr="003006FE">
        <w:rPr>
          <w:rFonts w:eastAsia="Times New Roman" w:cs="Times New Roman"/>
          <w:lang w:eastAsia="de-DE"/>
        </w:rPr>
        <w:t xml:space="preserve">„reden" mit Tetragramm als Subjekt und Präposition </w:t>
      </w:r>
      <w:r w:rsidRPr="003006FE">
        <w:rPr>
          <w:rFonts w:eastAsia="Times New Roman" w:cs="Times New Roman"/>
          <w:b/>
          <w:bCs/>
          <w:rtl/>
          <w:lang w:eastAsia="de-DE"/>
        </w:rPr>
        <w:t>אֶל</w:t>
      </w:r>
      <w:r w:rsidRPr="003006FE">
        <w:rPr>
          <w:rFonts w:eastAsia="Times New Roman" w:cs="Times New Roman"/>
          <w:rtl/>
          <w:lang w:eastAsia="de-DE"/>
        </w:rPr>
        <w:t xml:space="preserve"> </w:t>
      </w:r>
      <w:r w:rsidRPr="003006FE">
        <w:rPr>
          <w:rFonts w:eastAsia="Times New Roman" w:cs="Times New Roman"/>
          <w:lang w:eastAsia="de-DE"/>
        </w:rPr>
        <w:t xml:space="preserve">„zu" mit </w:t>
      </w:r>
      <w:r w:rsidRPr="003006FE">
        <w:rPr>
          <w:rFonts w:eastAsia="Times New Roman" w:cs="Times New Roman"/>
          <w:b/>
          <w:bCs/>
          <w:rtl/>
          <w:lang w:eastAsia="de-DE"/>
        </w:rPr>
        <w:t>מֹשֶׁה</w:t>
      </w:r>
      <w:r w:rsidRPr="003006FE">
        <w:rPr>
          <w:rFonts w:eastAsia="Times New Roman" w:cs="Times New Roman"/>
          <w:lang w:eastAsia="de-DE"/>
        </w:rPr>
        <w:t xml:space="preserve">). </w:t>
      </w:r>
      <w:r w:rsidRPr="003006FE">
        <w:rPr>
          <w:rFonts w:eastAsia="Times New Roman" w:cs="Times New Roman"/>
          <w:b/>
          <w:bCs/>
          <w:rtl/>
          <w:lang w:eastAsia="de-DE"/>
        </w:rPr>
        <w:t>בְמִדְבַּר־סִינַי</w:t>
      </w:r>
      <w:r w:rsidRPr="003006FE">
        <w:rPr>
          <w:rFonts w:eastAsia="Times New Roman" w:cs="Times New Roman"/>
          <w:rtl/>
          <w:lang w:eastAsia="de-DE"/>
        </w:rPr>
        <w:t xml:space="preserve"> </w:t>
      </w:r>
      <w:r w:rsidRPr="003006FE">
        <w:rPr>
          <w:rFonts w:eastAsia="Times New Roman" w:cs="Times New Roman"/>
          <w:lang w:eastAsia="de-DE"/>
        </w:rPr>
        <w:t xml:space="preserve">gibt den Ort an. </w:t>
      </w:r>
      <w:r w:rsidRPr="003006FE">
        <w:rPr>
          <w:rFonts w:eastAsia="Times New Roman" w:cs="Times New Roman"/>
          <w:b/>
          <w:bCs/>
          <w:rtl/>
          <w:lang w:eastAsia="de-DE"/>
        </w:rPr>
        <w:t>בְמִדְבַּר־סִינַי</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בְ</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מִדְבָּר</w:t>
      </w:r>
      <w:r w:rsidRPr="003006FE">
        <w:rPr>
          <w:rFonts w:eastAsia="Times New Roman" w:cs="Times New Roman"/>
          <w:rtl/>
          <w:lang w:eastAsia="de-DE"/>
        </w:rPr>
        <w:t xml:space="preserve"> </w:t>
      </w:r>
      <w:r w:rsidRPr="003006FE">
        <w:rPr>
          <w:rFonts w:eastAsia="Times New Roman" w:cs="Times New Roman"/>
          <w:lang w:eastAsia="de-DE"/>
        </w:rPr>
        <w:t xml:space="preserve">„Wüste" im </w:t>
      </w:r>
      <w:r w:rsidR="00F133EC">
        <w:rPr>
          <w:rFonts w:eastAsia="Times New Roman" w:cs="Times New Roman"/>
          <w:lang w:eastAsia="de-DE"/>
        </w:rPr>
        <w:t>Constructus</w:t>
      </w:r>
      <w:r w:rsidRPr="003006FE">
        <w:rPr>
          <w:rFonts w:eastAsia="Times New Roman" w:cs="Times New Roman"/>
          <w:lang w:eastAsia="de-DE"/>
        </w:rPr>
        <w:t xml:space="preserve"> und </w:t>
      </w:r>
      <w:r w:rsidRPr="003006FE">
        <w:rPr>
          <w:rFonts w:eastAsia="Times New Roman" w:cs="Times New Roman"/>
          <w:b/>
          <w:bCs/>
          <w:rtl/>
          <w:lang w:eastAsia="de-DE"/>
        </w:rPr>
        <w:t>סִינַי</w:t>
      </w:r>
      <w:r w:rsidRPr="003006FE">
        <w:rPr>
          <w:rFonts w:eastAsia="Times New Roman" w:cs="Times New Roman"/>
          <w:rtl/>
          <w:lang w:eastAsia="de-DE"/>
        </w:rPr>
        <w:t xml:space="preserve"> </w:t>
      </w:r>
      <w:r w:rsidRPr="003006FE">
        <w:rPr>
          <w:rFonts w:eastAsia="Times New Roman" w:cs="Times New Roman"/>
          <w:lang w:eastAsia="de-DE"/>
        </w:rPr>
        <w:t>„Sinai" „in der Wüste Sinai").</w:t>
      </w:r>
    </w:p>
    <w:p w14:paraId="12072279" w14:textId="74733C16"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rtl/>
          <w:lang w:eastAsia="de-DE"/>
        </w:rPr>
        <w:lastRenderedPageBreak/>
        <w:t>בַּשָּׁנָה הַשֵּׁנִית לְצֵאתָם מֵאֶרֶץ מִצְרַיִם בַּחֹדֶשׁ הָרִאשׁוֹן</w:t>
      </w:r>
      <w:r w:rsidRPr="003006FE">
        <w:rPr>
          <w:rFonts w:eastAsia="Times New Roman" w:cs="Times New Roman"/>
          <w:rtl/>
          <w:lang w:eastAsia="de-DE"/>
        </w:rPr>
        <w:t xml:space="preserve"> </w:t>
      </w:r>
      <w:r w:rsidRPr="003006FE">
        <w:rPr>
          <w:rFonts w:eastAsia="Times New Roman" w:cs="Times New Roman"/>
          <w:lang w:eastAsia="de-DE"/>
        </w:rPr>
        <w:t xml:space="preserve">ist die dreifache Zeitangabe. </w:t>
      </w:r>
      <w:r w:rsidRPr="003006FE">
        <w:rPr>
          <w:rFonts w:eastAsia="Times New Roman" w:cs="Times New Roman"/>
          <w:b/>
          <w:bCs/>
          <w:rtl/>
          <w:lang w:eastAsia="de-DE"/>
        </w:rPr>
        <w:t>בַּשָּׁנָה הַשֵּׁנִית</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בְ</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שָׁנָה</w:t>
      </w:r>
      <w:r w:rsidRPr="003006FE">
        <w:rPr>
          <w:rFonts w:eastAsia="Times New Roman" w:cs="Times New Roman"/>
          <w:rtl/>
          <w:lang w:eastAsia="de-DE"/>
        </w:rPr>
        <w:t xml:space="preserve"> </w:t>
      </w:r>
      <w:r w:rsidRPr="003006FE">
        <w:rPr>
          <w:rFonts w:eastAsia="Times New Roman" w:cs="Times New Roman"/>
          <w:lang w:eastAsia="de-DE"/>
        </w:rPr>
        <w:t xml:space="preserve">„Jahr" mit Artikel und Ordinalzahl </w:t>
      </w:r>
      <w:r w:rsidRPr="003006FE">
        <w:rPr>
          <w:rFonts w:eastAsia="Times New Roman" w:cs="Times New Roman"/>
          <w:b/>
          <w:bCs/>
          <w:rtl/>
          <w:lang w:eastAsia="de-DE"/>
        </w:rPr>
        <w:t>שֵׁנִי</w:t>
      </w:r>
      <w:r w:rsidRPr="003006FE">
        <w:rPr>
          <w:rFonts w:eastAsia="Times New Roman" w:cs="Times New Roman"/>
          <w:rtl/>
          <w:lang w:eastAsia="de-DE"/>
        </w:rPr>
        <w:t xml:space="preserve"> </w:t>
      </w:r>
      <w:r w:rsidRPr="003006FE">
        <w:rPr>
          <w:rFonts w:eastAsia="Times New Roman" w:cs="Times New Roman"/>
          <w:lang w:eastAsia="de-DE"/>
        </w:rPr>
        <w:t xml:space="preserve">„zweiter" feminin mit Artikel „im zweiten Jahr"), </w:t>
      </w:r>
      <w:r w:rsidRPr="003006FE">
        <w:rPr>
          <w:rFonts w:eastAsia="Times New Roman" w:cs="Times New Roman"/>
          <w:b/>
          <w:bCs/>
          <w:rtl/>
          <w:lang w:eastAsia="de-DE"/>
        </w:rPr>
        <w:t>לְצֵאתָם מֵאֶרֶץ מִצְרַיִם</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לְ</w:t>
      </w:r>
      <w:r w:rsidRPr="003006FE">
        <w:rPr>
          <w:rFonts w:eastAsia="Times New Roman" w:cs="Times New Roman"/>
          <w:rtl/>
          <w:lang w:eastAsia="de-DE"/>
        </w:rPr>
        <w:t xml:space="preserve"> </w:t>
      </w:r>
      <w:r w:rsidRPr="003006FE">
        <w:rPr>
          <w:rFonts w:eastAsia="Times New Roman" w:cs="Times New Roman"/>
          <w:lang w:eastAsia="de-DE"/>
        </w:rPr>
        <w:t xml:space="preserve">mit Qal Infinitiv </w:t>
      </w:r>
      <w:r w:rsidR="00F133EC">
        <w:rPr>
          <w:rFonts w:eastAsia="Times New Roman" w:cs="Times New Roman"/>
          <w:lang w:eastAsia="de-DE"/>
        </w:rPr>
        <w:t>Constructus</w:t>
      </w:r>
      <w:r w:rsidRPr="003006FE">
        <w:rPr>
          <w:rFonts w:eastAsia="Times New Roman" w:cs="Times New Roman"/>
          <w:lang w:eastAsia="de-DE"/>
        </w:rPr>
        <w:t xml:space="preserve"> von </w:t>
      </w:r>
      <w:r w:rsidRPr="003006FE">
        <w:rPr>
          <w:rFonts w:eastAsia="Times New Roman" w:cs="Times New Roman"/>
          <w:b/>
          <w:bCs/>
          <w:rtl/>
          <w:lang w:eastAsia="de-DE"/>
        </w:rPr>
        <w:t>יצא</w:t>
      </w:r>
      <w:r w:rsidRPr="003006FE">
        <w:rPr>
          <w:rFonts w:eastAsia="Times New Roman" w:cs="Times New Roman"/>
          <w:rtl/>
          <w:lang w:eastAsia="de-DE"/>
        </w:rPr>
        <w:t xml:space="preserve"> </w:t>
      </w:r>
      <w:r w:rsidRPr="003006FE">
        <w:rPr>
          <w:rFonts w:eastAsia="Times New Roman" w:cs="Times New Roman"/>
          <w:lang w:eastAsia="de-DE"/>
        </w:rPr>
        <w:t xml:space="preserve">„hinausgehen, ausziehen" mit Suffix 3. Person Plural und Präposition </w:t>
      </w:r>
      <w:r w:rsidRPr="003006FE">
        <w:rPr>
          <w:rFonts w:eastAsia="Times New Roman" w:cs="Times New Roman"/>
          <w:b/>
          <w:bCs/>
          <w:rtl/>
          <w:lang w:eastAsia="de-DE"/>
        </w:rPr>
        <w:t>מִן</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אֶרֶץ מִצְרַיִם</w:t>
      </w:r>
      <w:r w:rsidRPr="003006FE">
        <w:rPr>
          <w:rFonts w:eastAsia="Times New Roman" w:cs="Times New Roman"/>
          <w:rtl/>
          <w:lang w:eastAsia="de-DE"/>
        </w:rPr>
        <w:t xml:space="preserve"> </w:t>
      </w:r>
      <w:r w:rsidRPr="003006FE">
        <w:rPr>
          <w:rFonts w:eastAsia="Times New Roman" w:cs="Times New Roman"/>
          <w:lang w:eastAsia="de-DE"/>
        </w:rPr>
        <w:t xml:space="preserve">„nach ihrem Auszug aus dem Land Ägypten"), </w:t>
      </w:r>
      <w:r w:rsidRPr="003006FE">
        <w:rPr>
          <w:rFonts w:eastAsia="Times New Roman" w:cs="Times New Roman"/>
          <w:b/>
          <w:bCs/>
          <w:rtl/>
          <w:lang w:eastAsia="de-DE"/>
        </w:rPr>
        <w:t>בַּחֹדֶשׁ הָרִאשׁוֹן</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בְ</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חֹדֶשׁ</w:t>
      </w:r>
      <w:r w:rsidRPr="003006FE">
        <w:rPr>
          <w:rFonts w:eastAsia="Times New Roman" w:cs="Times New Roman"/>
          <w:rtl/>
          <w:lang w:eastAsia="de-DE"/>
        </w:rPr>
        <w:t xml:space="preserve"> </w:t>
      </w:r>
      <w:r w:rsidRPr="003006FE">
        <w:rPr>
          <w:rFonts w:eastAsia="Times New Roman" w:cs="Times New Roman"/>
          <w:lang w:eastAsia="de-DE"/>
        </w:rPr>
        <w:t xml:space="preserve">„Monat" mit Artikel und Ordinalzahl </w:t>
      </w:r>
      <w:r w:rsidRPr="003006FE">
        <w:rPr>
          <w:rFonts w:eastAsia="Times New Roman" w:cs="Times New Roman"/>
          <w:b/>
          <w:bCs/>
          <w:rtl/>
          <w:lang w:eastAsia="de-DE"/>
        </w:rPr>
        <w:t>רִאשׁוֹן</w:t>
      </w:r>
      <w:r w:rsidRPr="003006FE">
        <w:rPr>
          <w:rFonts w:eastAsia="Times New Roman" w:cs="Times New Roman"/>
          <w:rtl/>
          <w:lang w:eastAsia="de-DE"/>
        </w:rPr>
        <w:t xml:space="preserve"> </w:t>
      </w:r>
      <w:r w:rsidRPr="003006FE">
        <w:rPr>
          <w:rFonts w:eastAsia="Times New Roman" w:cs="Times New Roman"/>
          <w:lang w:eastAsia="de-DE"/>
        </w:rPr>
        <w:t xml:space="preserve">„erster" mit Artikel „im ersten Monat"). </w:t>
      </w:r>
      <w:r w:rsidRPr="003006FE">
        <w:rPr>
          <w:rFonts w:eastAsia="Times New Roman" w:cs="Times New Roman"/>
          <w:b/>
          <w:bCs/>
          <w:rtl/>
          <w:lang w:eastAsia="de-DE"/>
        </w:rPr>
        <w:t>לֵאמֹר</w:t>
      </w:r>
      <w:r w:rsidRPr="003006FE">
        <w:rPr>
          <w:rFonts w:eastAsia="Times New Roman" w:cs="Times New Roman"/>
          <w:rtl/>
          <w:lang w:eastAsia="de-DE"/>
        </w:rPr>
        <w:t xml:space="preserve"> </w:t>
      </w:r>
      <w:r w:rsidRPr="003006FE">
        <w:rPr>
          <w:rFonts w:eastAsia="Times New Roman" w:cs="Times New Roman"/>
          <w:lang w:eastAsia="de-DE"/>
        </w:rPr>
        <w:t xml:space="preserve">leitet die direkte Rede ein (Infinitiv mit </w:t>
      </w:r>
      <w:r w:rsidRPr="003006FE">
        <w:rPr>
          <w:rFonts w:eastAsia="Times New Roman" w:cs="Times New Roman"/>
          <w:b/>
          <w:bCs/>
          <w:rtl/>
          <w:lang w:eastAsia="de-DE"/>
        </w:rPr>
        <w:t>לְ</w:t>
      </w:r>
      <w:r w:rsidRPr="003006FE">
        <w:rPr>
          <w:rFonts w:eastAsia="Times New Roman" w:cs="Times New Roman"/>
          <w:rtl/>
          <w:lang w:eastAsia="de-DE"/>
        </w:rPr>
        <w:t xml:space="preserve"> </w:t>
      </w:r>
      <w:r w:rsidRPr="003006FE">
        <w:rPr>
          <w:rFonts w:eastAsia="Times New Roman" w:cs="Times New Roman"/>
          <w:lang w:eastAsia="de-DE"/>
        </w:rPr>
        <w:t>„sagend").</w:t>
      </w:r>
    </w:p>
    <w:p w14:paraId="36C240F8"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Die Satzstruktur zeigt eine Redeeinleitung mit dreifacher adverbialer Bestimmung (Ort, Jahr, Monat) und finalem Infinitiv.</w:t>
      </w:r>
    </w:p>
    <w:p w14:paraId="554328BC" w14:textId="1B3B84D4" w:rsid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 xml:space="preserve">Der Vers datiert präzise: im zweiten Jahr nach dem Exodus, im ersten Monat (Abib/Nisan) - dies ist ein Monat vor der Volkszählung in Num 1,1 (die im zweiten Monat stattfand). Das Kapitel kehrt also chronologisch zurück. Der erste Monat ist der Monat des </w:t>
      </w:r>
      <w:r w:rsidR="00E136DC">
        <w:rPr>
          <w:rFonts w:eastAsia="Times New Roman" w:cs="Times New Roman"/>
          <w:lang w:eastAsia="de-DE"/>
        </w:rPr>
        <w:t>Pesach</w:t>
      </w:r>
      <w:r w:rsidRPr="003006FE">
        <w:rPr>
          <w:rFonts w:eastAsia="Times New Roman" w:cs="Times New Roman"/>
          <w:lang w:eastAsia="de-DE"/>
        </w:rPr>
        <w:t xml:space="preserve"> (vgl. Ex 12,2) - die folgende Anweisung betrifft genau dieses Fest.</w:t>
      </w:r>
    </w:p>
    <w:p w14:paraId="7E696BE5" w14:textId="77777777" w:rsidR="00E136DC" w:rsidRDefault="00E136DC" w:rsidP="00E136DC">
      <w:pPr>
        <w:pStyle w:val="whitespace-normal"/>
      </w:pPr>
      <w:r>
        <w:rPr>
          <w:rStyle w:val="Fett"/>
        </w:rPr>
        <w:t>Chronologische Einordnung: Analepse in Numeri</w:t>
      </w:r>
    </w:p>
    <w:p w14:paraId="2D5D35CA" w14:textId="77777777" w:rsidR="00E136DC" w:rsidRDefault="00E136DC" w:rsidP="00E136DC">
      <w:pPr>
        <w:pStyle w:val="whitespace-normal"/>
      </w:pPr>
      <w:r>
        <w:rPr>
          <w:rStyle w:val="Fett"/>
        </w:rPr>
        <w:t>Das Problem:</w:t>
      </w:r>
    </w:p>
    <w:tbl>
      <w:tblPr>
        <w:tblStyle w:val="Tabellenraster"/>
        <w:tblW w:w="4994" w:type="pct"/>
        <w:tblLook w:val="04A0" w:firstRow="1" w:lastRow="0" w:firstColumn="1" w:lastColumn="0" w:noHBand="0" w:noVBand="1"/>
      </w:tblPr>
      <w:tblGrid>
        <w:gridCol w:w="1838"/>
        <w:gridCol w:w="3402"/>
        <w:gridCol w:w="3811"/>
      </w:tblGrid>
      <w:tr w:rsidR="00E136DC" w14:paraId="7C625A5A" w14:textId="77777777" w:rsidTr="00E136DC">
        <w:tc>
          <w:tcPr>
            <w:tcW w:w="1015" w:type="pct"/>
          </w:tcPr>
          <w:p w14:paraId="521C30EE" w14:textId="5EED11C5"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b/>
                <w:bCs/>
                <w:color w:val="141413"/>
                <w:shd w:val="clear" w:color="auto" w:fill="FAF9F5"/>
              </w:rPr>
              <w:t>Stelle</w:t>
            </w:r>
          </w:p>
        </w:tc>
        <w:tc>
          <w:tcPr>
            <w:tcW w:w="1879" w:type="pct"/>
          </w:tcPr>
          <w:p w14:paraId="1E8E035D" w14:textId="1159571D"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b/>
                <w:bCs/>
                <w:color w:val="141413"/>
                <w:shd w:val="clear" w:color="auto" w:fill="FAF9F5"/>
              </w:rPr>
              <w:t>Datum</w:t>
            </w:r>
          </w:p>
        </w:tc>
        <w:tc>
          <w:tcPr>
            <w:tcW w:w="2105" w:type="pct"/>
          </w:tcPr>
          <w:p w14:paraId="4923C5A6" w14:textId="176D5878"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b/>
                <w:bCs/>
                <w:color w:val="141413"/>
                <w:shd w:val="clear" w:color="auto" w:fill="FAF9F5"/>
              </w:rPr>
              <w:t>Ereignis</w:t>
            </w:r>
          </w:p>
        </w:tc>
      </w:tr>
      <w:tr w:rsidR="00E136DC" w14:paraId="57C0BCB3" w14:textId="77777777" w:rsidTr="00E136DC">
        <w:tc>
          <w:tcPr>
            <w:tcW w:w="1015" w:type="pct"/>
          </w:tcPr>
          <w:p w14:paraId="643121DC" w14:textId="4A0CCFE3"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Num 1,1</w:t>
            </w:r>
          </w:p>
        </w:tc>
        <w:tc>
          <w:tcPr>
            <w:tcW w:w="1879" w:type="pct"/>
          </w:tcPr>
          <w:p w14:paraId="4BECD5CE" w14:textId="27AE155D"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 xml:space="preserve">1. Tag, </w:t>
            </w:r>
            <w:r w:rsidRPr="00300FB1">
              <w:rPr>
                <w:rStyle w:val="Fett"/>
                <w:rFonts w:cs="Times New Roman"/>
              </w:rPr>
              <w:t>2. Monat</w:t>
            </w:r>
            <w:r w:rsidRPr="00300FB1">
              <w:rPr>
                <w:rFonts w:cs="Times New Roman"/>
              </w:rPr>
              <w:t>, 2. Jahr</w:t>
            </w:r>
          </w:p>
        </w:tc>
        <w:tc>
          <w:tcPr>
            <w:tcW w:w="2105" w:type="pct"/>
          </w:tcPr>
          <w:p w14:paraId="57D3145B" w14:textId="24EC6B0A"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Volkszählung</w:t>
            </w:r>
          </w:p>
        </w:tc>
      </w:tr>
      <w:tr w:rsidR="00E136DC" w14:paraId="7EDF37CE" w14:textId="77777777" w:rsidTr="00E136DC">
        <w:tc>
          <w:tcPr>
            <w:tcW w:w="1015" w:type="pct"/>
          </w:tcPr>
          <w:p w14:paraId="18141079" w14:textId="539A970C"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Num 7,1</w:t>
            </w:r>
          </w:p>
        </w:tc>
        <w:tc>
          <w:tcPr>
            <w:tcW w:w="1879" w:type="pct"/>
          </w:tcPr>
          <w:p w14:paraId="54C8A595" w14:textId="5144DCFE"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 xml:space="preserve">1. Tag, </w:t>
            </w:r>
            <w:r w:rsidRPr="00300FB1">
              <w:rPr>
                <w:rStyle w:val="Fett"/>
                <w:rFonts w:cs="Times New Roman"/>
              </w:rPr>
              <w:t>1. Monat</w:t>
            </w:r>
            <w:r w:rsidRPr="00300FB1">
              <w:rPr>
                <w:rFonts w:cs="Times New Roman"/>
              </w:rPr>
              <w:t>, 2. Jahr</w:t>
            </w:r>
          </w:p>
        </w:tc>
        <w:tc>
          <w:tcPr>
            <w:tcW w:w="2105" w:type="pct"/>
          </w:tcPr>
          <w:p w14:paraId="308524BD" w14:textId="7335BE1A"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Altarweihe (Rückblende!)</w:t>
            </w:r>
          </w:p>
        </w:tc>
      </w:tr>
      <w:tr w:rsidR="00E136DC" w14:paraId="3336B454" w14:textId="77777777" w:rsidTr="00E136DC">
        <w:tc>
          <w:tcPr>
            <w:tcW w:w="1015" w:type="pct"/>
          </w:tcPr>
          <w:p w14:paraId="546CCF2C" w14:textId="32986F79"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Num 9,1</w:t>
            </w:r>
          </w:p>
        </w:tc>
        <w:tc>
          <w:tcPr>
            <w:tcW w:w="1879" w:type="pct"/>
          </w:tcPr>
          <w:p w14:paraId="6D54B634" w14:textId="1F8F4DDF"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Style w:val="Fett"/>
                <w:rFonts w:cs="Times New Roman"/>
              </w:rPr>
              <w:t>1. Monat</w:t>
            </w:r>
            <w:r w:rsidRPr="00300FB1">
              <w:rPr>
                <w:rFonts w:cs="Times New Roman"/>
              </w:rPr>
              <w:t>, 2. Jahr</w:t>
            </w:r>
          </w:p>
        </w:tc>
        <w:tc>
          <w:tcPr>
            <w:tcW w:w="2105" w:type="pct"/>
          </w:tcPr>
          <w:p w14:paraId="65DEE652" w14:textId="37AD6B12"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Zweites Pesach (Rückblende!)</w:t>
            </w:r>
          </w:p>
        </w:tc>
      </w:tr>
      <w:tr w:rsidR="00E136DC" w14:paraId="7CB1636B" w14:textId="77777777" w:rsidTr="00E136DC">
        <w:tc>
          <w:tcPr>
            <w:tcW w:w="1015" w:type="pct"/>
          </w:tcPr>
          <w:p w14:paraId="54B0BA81" w14:textId="3B77A711"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Num 10,11</w:t>
            </w:r>
          </w:p>
        </w:tc>
        <w:tc>
          <w:tcPr>
            <w:tcW w:w="1879" w:type="pct"/>
          </w:tcPr>
          <w:p w14:paraId="1AEFC55A" w14:textId="7B6AC221"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 xml:space="preserve">20. Tag, </w:t>
            </w:r>
            <w:r w:rsidRPr="00300FB1">
              <w:rPr>
                <w:rStyle w:val="Fett"/>
                <w:rFonts w:cs="Times New Roman"/>
              </w:rPr>
              <w:t>2. Monat</w:t>
            </w:r>
            <w:r w:rsidRPr="00300FB1">
              <w:rPr>
                <w:rFonts w:cs="Times New Roman"/>
              </w:rPr>
              <w:t>, 2. Jahr</w:t>
            </w:r>
          </w:p>
        </w:tc>
        <w:tc>
          <w:tcPr>
            <w:tcW w:w="2105" w:type="pct"/>
          </w:tcPr>
          <w:p w14:paraId="7B72C30A" w14:textId="2A2B670B" w:rsidR="00E136DC" w:rsidRPr="00300FB1" w:rsidRDefault="00E136DC" w:rsidP="003006FE">
            <w:pPr>
              <w:spacing w:before="100" w:beforeAutospacing="1" w:after="100" w:afterAutospacing="1" w:line="240" w:lineRule="auto"/>
              <w:rPr>
                <w:rFonts w:eastAsia="Times New Roman" w:cs="Times New Roman"/>
                <w:lang w:eastAsia="de-DE"/>
              </w:rPr>
            </w:pPr>
            <w:r w:rsidRPr="00300FB1">
              <w:rPr>
                <w:rFonts w:cs="Times New Roman"/>
              </w:rPr>
              <w:t>Aufbruch vom Sinai</w:t>
            </w:r>
          </w:p>
        </w:tc>
      </w:tr>
    </w:tbl>
    <w:p w14:paraId="77B98F75" w14:textId="77777777" w:rsidR="00E136DC" w:rsidRDefault="00E136DC" w:rsidP="00E136DC">
      <w:pPr>
        <w:pStyle w:val="whitespace-normal"/>
      </w:pPr>
      <w:r>
        <w:rPr>
          <w:rStyle w:val="Fett"/>
        </w:rPr>
        <w:t>Chronologische Reihenfolge:</w:t>
      </w:r>
    </w:p>
    <w:p w14:paraId="24C170FE" w14:textId="77777777" w:rsidR="00E136DC" w:rsidRDefault="00E136DC" w:rsidP="00E136DC">
      <w:pPr>
        <w:pStyle w:val="whitespace-normal"/>
        <w:numPr>
          <w:ilvl w:val="0"/>
          <w:numId w:val="73"/>
        </w:numPr>
      </w:pPr>
      <w:r>
        <w:rPr>
          <w:rStyle w:val="Fett"/>
        </w:rPr>
        <w:t>Ex 40,17</w:t>
      </w:r>
      <w:r>
        <w:t xml:space="preserve"> (1. Nisan, Jahr 2): Vollendung der Stiftshütte</w:t>
      </w:r>
    </w:p>
    <w:p w14:paraId="2C1892EC" w14:textId="77777777" w:rsidR="00E136DC" w:rsidRDefault="00E136DC" w:rsidP="00E136DC">
      <w:pPr>
        <w:pStyle w:val="whitespace-normal"/>
        <w:numPr>
          <w:ilvl w:val="0"/>
          <w:numId w:val="73"/>
        </w:numPr>
      </w:pPr>
      <w:r>
        <w:rPr>
          <w:rStyle w:val="Fett"/>
        </w:rPr>
        <w:t>Num 7,1-88</w:t>
      </w:r>
      <w:r>
        <w:t xml:space="preserve"> (1.-12. Nisan, Jahr 2): Altarweihe (erzählt in Num 7)</w:t>
      </w:r>
    </w:p>
    <w:p w14:paraId="45C9289F" w14:textId="6CCD0507" w:rsidR="00E136DC" w:rsidRDefault="00E136DC" w:rsidP="00E136DC">
      <w:pPr>
        <w:pStyle w:val="whitespace-normal"/>
        <w:numPr>
          <w:ilvl w:val="0"/>
          <w:numId w:val="73"/>
        </w:numPr>
      </w:pPr>
      <w:r>
        <w:rPr>
          <w:rStyle w:val="Fett"/>
        </w:rPr>
        <w:t>Num 9,1-14</w:t>
      </w:r>
      <w:r>
        <w:t xml:space="preserve"> (14. Nisan, Jahr 2): Pesach + Pesach-Scheni-Regelung (erzählt in Num 9)</w:t>
      </w:r>
    </w:p>
    <w:p w14:paraId="51284124" w14:textId="77777777" w:rsidR="00E136DC" w:rsidRDefault="00E136DC" w:rsidP="00E136DC">
      <w:pPr>
        <w:pStyle w:val="whitespace-normal"/>
        <w:numPr>
          <w:ilvl w:val="0"/>
          <w:numId w:val="73"/>
        </w:numPr>
      </w:pPr>
      <w:r>
        <w:rPr>
          <w:rStyle w:val="Fett"/>
        </w:rPr>
        <w:t>Num 1,1</w:t>
      </w:r>
      <w:r>
        <w:t xml:space="preserve"> (1. Ijjar, Jahr 2): Volkszählung (erzählt in Num 1-4)</w:t>
      </w:r>
    </w:p>
    <w:p w14:paraId="1057D2B4" w14:textId="77777777" w:rsidR="00E136DC" w:rsidRDefault="00E136DC" w:rsidP="00E136DC">
      <w:pPr>
        <w:pStyle w:val="whitespace-normal"/>
        <w:numPr>
          <w:ilvl w:val="0"/>
          <w:numId w:val="73"/>
        </w:numPr>
      </w:pPr>
      <w:r>
        <w:rPr>
          <w:rStyle w:val="Fett"/>
        </w:rPr>
        <w:t>Num 9,15-23</w:t>
      </w:r>
      <w:r>
        <w:t xml:space="preserve"> (ab 1. Ijjar, Jahr 2): Wolkensäule (erzählt in Num 9)</w:t>
      </w:r>
    </w:p>
    <w:p w14:paraId="143B07F4" w14:textId="77777777" w:rsidR="00E136DC" w:rsidRDefault="00E136DC" w:rsidP="00E136DC">
      <w:pPr>
        <w:pStyle w:val="whitespace-normal"/>
        <w:numPr>
          <w:ilvl w:val="0"/>
          <w:numId w:val="73"/>
        </w:numPr>
      </w:pPr>
      <w:r>
        <w:rPr>
          <w:rStyle w:val="Fett"/>
        </w:rPr>
        <w:t>Num 10,11</w:t>
      </w:r>
      <w:r>
        <w:t xml:space="preserve"> (20. Ijjar, Jahr 2): Aufbruch vom Sinai</w:t>
      </w:r>
    </w:p>
    <w:p w14:paraId="37ACD6D6" w14:textId="77777777" w:rsidR="00E136DC" w:rsidRDefault="00E136DC" w:rsidP="00E136DC">
      <w:pPr>
        <w:pStyle w:val="whitespace-normal"/>
      </w:pPr>
      <w:r>
        <w:rPr>
          <w:rStyle w:val="Fett"/>
        </w:rPr>
        <w:t>Erzählte Reihenfolge in Numeri:</w:t>
      </w:r>
    </w:p>
    <w:p w14:paraId="7CBA963F" w14:textId="77777777" w:rsidR="00E136DC" w:rsidRDefault="00E136DC" w:rsidP="00E136DC">
      <w:pPr>
        <w:pStyle w:val="whitespace-normal"/>
        <w:numPr>
          <w:ilvl w:val="0"/>
          <w:numId w:val="74"/>
        </w:numPr>
      </w:pPr>
      <w:r>
        <w:t>Num 1-6: Volkszählung + Gesetze (2. Monat)</w:t>
      </w:r>
    </w:p>
    <w:p w14:paraId="1D22EC2B" w14:textId="77777777" w:rsidR="00E136DC" w:rsidRDefault="00E136DC" w:rsidP="00E136DC">
      <w:pPr>
        <w:pStyle w:val="whitespace-normal"/>
        <w:numPr>
          <w:ilvl w:val="0"/>
          <w:numId w:val="74"/>
        </w:numPr>
      </w:pPr>
      <w:r>
        <w:t xml:space="preserve">Num 7: </w:t>
      </w:r>
      <w:r>
        <w:rPr>
          <w:rStyle w:val="Fett"/>
        </w:rPr>
        <w:t>Rückblende</w:t>
      </w:r>
      <w:r>
        <w:t xml:space="preserve"> auf Altarweihe (1. Monat)</w:t>
      </w:r>
    </w:p>
    <w:p w14:paraId="5FCAFC12" w14:textId="77777777" w:rsidR="00E136DC" w:rsidRDefault="00E136DC" w:rsidP="00E136DC">
      <w:pPr>
        <w:pStyle w:val="whitespace-normal"/>
        <w:numPr>
          <w:ilvl w:val="0"/>
          <w:numId w:val="74"/>
        </w:numPr>
      </w:pPr>
      <w:r>
        <w:t>Num 8: Levitenweihe (2. Monat?)</w:t>
      </w:r>
    </w:p>
    <w:p w14:paraId="09351F33" w14:textId="06FB397D" w:rsidR="00E136DC" w:rsidRDefault="00E136DC" w:rsidP="00E136DC">
      <w:pPr>
        <w:pStyle w:val="whitespace-normal"/>
        <w:numPr>
          <w:ilvl w:val="0"/>
          <w:numId w:val="74"/>
        </w:numPr>
      </w:pPr>
      <w:r>
        <w:t xml:space="preserve">Num 9,1-14: </w:t>
      </w:r>
      <w:r>
        <w:rPr>
          <w:rStyle w:val="Fett"/>
        </w:rPr>
        <w:t>Rückblende</w:t>
      </w:r>
      <w:r>
        <w:t xml:space="preserve"> auf Pesach (1. Monat)</w:t>
      </w:r>
    </w:p>
    <w:p w14:paraId="55FAA724" w14:textId="77777777" w:rsidR="00E136DC" w:rsidRDefault="00E136DC" w:rsidP="00E136DC">
      <w:pPr>
        <w:pStyle w:val="whitespace-normal"/>
        <w:numPr>
          <w:ilvl w:val="0"/>
          <w:numId w:val="74"/>
        </w:numPr>
      </w:pPr>
      <w:r>
        <w:t>Num 9,15-23: Wolkensäule (2. Monat)</w:t>
      </w:r>
    </w:p>
    <w:p w14:paraId="0BEAF216" w14:textId="77777777" w:rsidR="00E136DC" w:rsidRDefault="00E136DC" w:rsidP="00E136DC">
      <w:pPr>
        <w:pStyle w:val="whitespace-normal"/>
        <w:numPr>
          <w:ilvl w:val="0"/>
          <w:numId w:val="74"/>
        </w:numPr>
      </w:pPr>
      <w:r>
        <w:t>Num 10,11: Aufbruch (20. Tag, 2. Monat)</w:t>
      </w:r>
    </w:p>
    <w:p w14:paraId="4F55FFF2" w14:textId="77777777" w:rsidR="00E136DC" w:rsidRDefault="00E136DC" w:rsidP="00E136DC">
      <w:pPr>
        <w:pStyle w:val="whitespace-normal"/>
      </w:pPr>
      <w:r>
        <w:rPr>
          <w:rStyle w:val="Fett"/>
        </w:rPr>
        <w:t>Theologische Bedeutung:</w:t>
      </w:r>
    </w:p>
    <w:p w14:paraId="3148CB78" w14:textId="1BC9A710" w:rsidR="00E136DC" w:rsidRDefault="00E136DC" w:rsidP="00E136DC">
      <w:pPr>
        <w:pStyle w:val="whitespace-normal"/>
        <w:numPr>
          <w:ilvl w:val="0"/>
          <w:numId w:val="75"/>
        </w:numPr>
      </w:pPr>
      <w:r>
        <w:rPr>
          <w:rStyle w:val="Fett"/>
        </w:rPr>
        <w:t>Liturgische Priorität:</w:t>
      </w:r>
      <w:r>
        <w:t xml:space="preserve"> Die </w:t>
      </w:r>
      <w:r>
        <w:rPr>
          <w:rStyle w:val="Fett"/>
        </w:rPr>
        <w:t>Altarweihe</w:t>
      </w:r>
      <w:r>
        <w:t xml:space="preserve"> (Num 7) und </w:t>
      </w:r>
      <w:r>
        <w:rPr>
          <w:rStyle w:val="Fett"/>
        </w:rPr>
        <w:t>Pesach</w:t>
      </w:r>
      <w:r>
        <w:t xml:space="preserve"> (Num 9) werden </w:t>
      </w:r>
      <w:r>
        <w:rPr>
          <w:rStyle w:val="Fett"/>
        </w:rPr>
        <w:t>erzählerisch nachgetragen</w:t>
      </w:r>
      <w:r>
        <w:t xml:space="preserve">, obwohl sie </w:t>
      </w:r>
      <w:r>
        <w:rPr>
          <w:rStyle w:val="Fett"/>
        </w:rPr>
        <w:t>chronologisch vor</w:t>
      </w:r>
      <w:r>
        <w:t xml:space="preserve"> der Volkszählung (Num 1) stattfanden</w:t>
      </w:r>
    </w:p>
    <w:p w14:paraId="50B28B4A" w14:textId="77777777" w:rsidR="00E136DC" w:rsidRDefault="00E136DC" w:rsidP="00E136DC">
      <w:pPr>
        <w:pStyle w:val="whitespace-normal"/>
        <w:numPr>
          <w:ilvl w:val="0"/>
          <w:numId w:val="75"/>
        </w:numPr>
      </w:pPr>
      <w:r>
        <w:rPr>
          <w:rStyle w:val="Fett"/>
        </w:rPr>
        <w:lastRenderedPageBreak/>
        <w:t>Heiligkeit vor Organisation:</w:t>
      </w:r>
      <w:r>
        <w:t xml:space="preserve"> Die </w:t>
      </w:r>
      <w:r>
        <w:rPr>
          <w:rStyle w:val="Fett"/>
        </w:rPr>
        <w:t>Weihe</w:t>
      </w:r>
      <w:r>
        <w:t xml:space="preserve"> und das </w:t>
      </w:r>
      <w:r>
        <w:rPr>
          <w:rStyle w:val="Fett"/>
        </w:rPr>
        <w:t>Fest</w:t>
      </w:r>
      <w:r>
        <w:t xml:space="preserve"> haben theologischen Vorrang vor der </w:t>
      </w:r>
      <w:r>
        <w:rPr>
          <w:rStyle w:val="Fett"/>
        </w:rPr>
        <w:t>militärischen Musterung</w:t>
      </w:r>
    </w:p>
    <w:p w14:paraId="55637615" w14:textId="3EE09836" w:rsidR="00E136DC" w:rsidRPr="00E136DC" w:rsidRDefault="00E136DC" w:rsidP="00E136DC">
      <w:pPr>
        <w:pStyle w:val="whitespace-normal"/>
        <w:numPr>
          <w:ilvl w:val="0"/>
          <w:numId w:val="75"/>
        </w:numPr>
      </w:pPr>
      <w:r>
        <w:rPr>
          <w:rStyle w:val="Fett"/>
        </w:rPr>
        <w:t>Narrativer Aufbau:</w:t>
      </w:r>
      <w:r>
        <w:t xml:space="preserve"> Numeri </w:t>
      </w:r>
      <w:r>
        <w:rPr>
          <w:rStyle w:val="Fett"/>
        </w:rPr>
        <w:t>verzichtet</w:t>
      </w:r>
      <w:r>
        <w:t xml:space="preserve"> auf strenge Chronologie zugunsten </w:t>
      </w:r>
      <w:r>
        <w:rPr>
          <w:rStyle w:val="Fett"/>
        </w:rPr>
        <w:t>thematischer Gruppierung</w:t>
      </w:r>
    </w:p>
    <w:p w14:paraId="0C7E8872" w14:textId="77777777" w:rsidR="003006FE" w:rsidRPr="003006FE" w:rsidRDefault="003006FE" w:rsidP="003006FE">
      <w:pPr>
        <w:spacing w:before="100" w:beforeAutospacing="1" w:after="100" w:afterAutospacing="1" w:line="240" w:lineRule="auto"/>
        <w:outlineLvl w:val="0"/>
        <w:rPr>
          <w:rFonts w:eastAsia="Times New Roman" w:cs="Times New Roman"/>
          <w:b/>
          <w:bCs/>
          <w:kern w:val="36"/>
          <w:sz w:val="48"/>
          <w:szCs w:val="48"/>
          <w:lang w:eastAsia="de-DE"/>
        </w:rPr>
      </w:pPr>
      <w:r w:rsidRPr="003006FE">
        <w:rPr>
          <w:rFonts w:eastAsia="Times New Roman" w:cs="Times New Roman"/>
          <w:b/>
          <w:bCs/>
          <w:kern w:val="36"/>
          <w:sz w:val="48"/>
          <w:szCs w:val="48"/>
          <w:lang w:eastAsia="de-DE"/>
        </w:rPr>
        <w:t>Numeri 9,2</w:t>
      </w:r>
    </w:p>
    <w:p w14:paraId="6D453037"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Hebräisch:</w:t>
      </w:r>
      <w:r w:rsidRPr="003006FE">
        <w:rPr>
          <w:rFonts w:eastAsia="Times New Roman" w:cs="Times New Roman"/>
          <w:lang w:eastAsia="de-DE"/>
        </w:rPr>
        <w:t xml:space="preserve"> </w:t>
      </w:r>
      <w:r w:rsidRPr="003006FE">
        <w:rPr>
          <w:rFonts w:eastAsia="Times New Roman" w:cs="Times New Roman"/>
          <w:rtl/>
          <w:lang w:eastAsia="de-DE"/>
        </w:rPr>
        <w:t>וְיַעֲשׂ֧וּ בְנֵי־יִשְׂרָאֵ֛ל אֶת־הַפָּ֖סַח בְּמוֹעֲדֹֽו׃</w:t>
      </w:r>
    </w:p>
    <w:p w14:paraId="12578DAB" w14:textId="0EC54608"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Deutsch:</w:t>
      </w:r>
      <w:r w:rsidRPr="003006FE">
        <w:rPr>
          <w:rFonts w:eastAsia="Times New Roman" w:cs="Times New Roman"/>
          <w:lang w:eastAsia="de-DE"/>
        </w:rPr>
        <w:t xml:space="preserve"> Und die Söhne Jisra'el sollen das </w:t>
      </w:r>
      <w:r w:rsidR="00E136DC">
        <w:rPr>
          <w:rFonts w:eastAsia="Times New Roman" w:cs="Times New Roman"/>
          <w:lang w:eastAsia="de-DE"/>
        </w:rPr>
        <w:t>Pesach</w:t>
      </w:r>
      <w:r w:rsidRPr="003006FE">
        <w:rPr>
          <w:rFonts w:eastAsia="Times New Roman" w:cs="Times New Roman"/>
          <w:lang w:eastAsia="de-DE"/>
        </w:rPr>
        <w:t xml:space="preserve"> zu seiner bestimmten Zeit feiern.</w:t>
      </w:r>
    </w:p>
    <w:p w14:paraId="43E28AF3" w14:textId="77777777" w:rsidR="003006FE" w:rsidRPr="003006FE" w:rsidRDefault="00F329DD" w:rsidP="003006FE">
      <w:pPr>
        <w:spacing w:after="0" w:line="240" w:lineRule="auto"/>
        <w:rPr>
          <w:rFonts w:eastAsia="Times New Roman" w:cs="Times New Roman"/>
          <w:lang w:eastAsia="de-DE"/>
        </w:rPr>
      </w:pPr>
      <w:r>
        <w:rPr>
          <w:rFonts w:eastAsia="Times New Roman" w:cs="Times New Roman"/>
          <w:lang w:eastAsia="de-DE"/>
        </w:rPr>
        <w:pict w14:anchorId="2C832DB4">
          <v:rect id="_x0000_i1322" style="width:0;height:1.5pt" o:hralign="center" o:hrstd="t" o:hr="t" fillcolor="#a0a0a0" stroked="f"/>
        </w:pict>
      </w:r>
    </w:p>
    <w:p w14:paraId="64F95E19" w14:textId="1D1D153B" w:rsid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Kommentar:</w:t>
      </w:r>
      <w:r w:rsidRPr="003006FE">
        <w:rPr>
          <w:rFonts w:eastAsia="Times New Roman" w:cs="Times New Roman"/>
          <w:lang w:eastAsia="de-DE"/>
        </w:rPr>
        <w:t xml:space="preserve"> Der Vers enthält den göttlichen Befehl zur </w:t>
      </w:r>
      <w:r w:rsidR="00E136DC">
        <w:rPr>
          <w:rFonts w:eastAsia="Times New Roman" w:cs="Times New Roman"/>
          <w:lang w:eastAsia="de-DE"/>
        </w:rPr>
        <w:t>Pesach</w:t>
      </w:r>
      <w:r w:rsidRPr="003006FE">
        <w:rPr>
          <w:rFonts w:eastAsia="Times New Roman" w:cs="Times New Roman"/>
          <w:lang w:eastAsia="de-DE"/>
        </w:rPr>
        <w:t xml:space="preserve">feier. </w:t>
      </w:r>
      <w:r w:rsidRPr="003006FE">
        <w:rPr>
          <w:rFonts w:eastAsia="Times New Roman" w:cs="Times New Roman"/>
          <w:b/>
          <w:bCs/>
          <w:rtl/>
          <w:lang w:eastAsia="de-DE"/>
        </w:rPr>
        <w:t>וְיַעֲשׂוּ בְנֵי־יִשְׂרָאֵל אֶת־הַפָּסַח בְּמוֹעֲדוֹ</w:t>
      </w:r>
      <w:r w:rsidRPr="003006FE">
        <w:rPr>
          <w:rFonts w:eastAsia="Times New Roman" w:cs="Times New Roman"/>
          <w:rtl/>
          <w:lang w:eastAsia="de-DE"/>
        </w:rPr>
        <w:t xml:space="preserve"> </w:t>
      </w:r>
      <w:r w:rsidRPr="003006FE">
        <w:rPr>
          <w:rFonts w:eastAsia="Times New Roman" w:cs="Times New Roman"/>
          <w:lang w:eastAsia="de-DE"/>
        </w:rPr>
        <w:t xml:space="preserve">ist die gesamte Anweisung. </w:t>
      </w:r>
      <w:r w:rsidRPr="003006FE">
        <w:rPr>
          <w:rFonts w:eastAsia="Times New Roman" w:cs="Times New Roman"/>
          <w:b/>
          <w:bCs/>
          <w:rtl/>
          <w:lang w:eastAsia="de-DE"/>
        </w:rPr>
        <w:t>וְיַעֲשׂוּ</w:t>
      </w:r>
      <w:r w:rsidRPr="003006FE">
        <w:rPr>
          <w:rFonts w:eastAsia="Times New Roman" w:cs="Times New Roman"/>
          <w:rtl/>
          <w:lang w:eastAsia="de-DE"/>
        </w:rPr>
        <w:t xml:space="preserve"> </w:t>
      </w:r>
      <w:r w:rsidRPr="003006FE">
        <w:rPr>
          <w:rFonts w:eastAsia="Times New Roman" w:cs="Times New Roman"/>
          <w:lang w:eastAsia="de-DE"/>
        </w:rPr>
        <w:t xml:space="preserve">(Qal Imperfekt 3. Person Plural mit Waw consecutivum von </w:t>
      </w:r>
      <w:r w:rsidRPr="003006FE">
        <w:rPr>
          <w:rFonts w:eastAsia="Times New Roman" w:cs="Times New Roman"/>
          <w:b/>
          <w:bCs/>
          <w:rtl/>
          <w:lang w:eastAsia="de-DE"/>
        </w:rPr>
        <w:t>עשׂה</w:t>
      </w:r>
      <w:r w:rsidRPr="003006FE">
        <w:rPr>
          <w:rFonts w:eastAsia="Times New Roman" w:cs="Times New Roman"/>
          <w:rtl/>
          <w:lang w:eastAsia="de-DE"/>
        </w:rPr>
        <w:t xml:space="preserve"> </w:t>
      </w:r>
      <w:r w:rsidRPr="003006FE">
        <w:rPr>
          <w:rFonts w:eastAsia="Times New Roman" w:cs="Times New Roman"/>
          <w:lang w:eastAsia="de-DE"/>
        </w:rPr>
        <w:t xml:space="preserve">„tun, machen, feiern" - hier jussivisch „und sie sollen feiern"), </w:t>
      </w:r>
      <w:r w:rsidRPr="003006FE">
        <w:rPr>
          <w:rFonts w:eastAsia="Times New Roman" w:cs="Times New Roman"/>
          <w:b/>
          <w:bCs/>
          <w:rtl/>
          <w:lang w:eastAsia="de-DE"/>
        </w:rPr>
        <w:t>בְנֵי־יִשְׂרָאֵל</w:t>
      </w:r>
      <w:r w:rsidRPr="003006FE">
        <w:rPr>
          <w:rFonts w:eastAsia="Times New Roman" w:cs="Times New Roman"/>
          <w:rtl/>
          <w:lang w:eastAsia="de-DE"/>
        </w:rPr>
        <w:t xml:space="preserve"> </w:t>
      </w:r>
      <w:r w:rsidRPr="003006FE">
        <w:rPr>
          <w:rFonts w:eastAsia="Times New Roman" w:cs="Times New Roman"/>
          <w:lang w:eastAsia="de-DE"/>
        </w:rPr>
        <w:t xml:space="preserve">(Plural </w:t>
      </w:r>
      <w:r w:rsidR="00F133EC">
        <w:rPr>
          <w:rFonts w:eastAsia="Times New Roman" w:cs="Times New Roman"/>
          <w:lang w:eastAsia="de-DE"/>
        </w:rPr>
        <w:t>Constructus</w:t>
      </w:r>
      <w:r w:rsidRPr="003006FE">
        <w:rPr>
          <w:rFonts w:eastAsia="Times New Roman" w:cs="Times New Roman"/>
          <w:lang w:eastAsia="de-DE"/>
        </w:rPr>
        <w:t xml:space="preserve"> </w:t>
      </w:r>
      <w:r w:rsidRPr="003006FE">
        <w:rPr>
          <w:rFonts w:eastAsia="Times New Roman" w:cs="Times New Roman"/>
          <w:b/>
          <w:bCs/>
          <w:rtl/>
          <w:lang w:eastAsia="de-DE"/>
        </w:rPr>
        <w:t>בֵּן</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יִשְׂרָאֵל</w:t>
      </w:r>
      <w:r w:rsidRPr="003006FE">
        <w:rPr>
          <w:rFonts w:eastAsia="Times New Roman" w:cs="Times New Roman"/>
          <w:rtl/>
          <w:lang w:eastAsia="de-DE"/>
        </w:rPr>
        <w:t xml:space="preserve"> </w:t>
      </w:r>
      <w:r w:rsidRPr="003006FE">
        <w:rPr>
          <w:rFonts w:eastAsia="Times New Roman" w:cs="Times New Roman"/>
          <w:lang w:eastAsia="de-DE"/>
        </w:rPr>
        <w:t xml:space="preserve">„die Söhne Israels" - Subjekt), </w:t>
      </w:r>
      <w:r w:rsidRPr="003006FE">
        <w:rPr>
          <w:rFonts w:eastAsia="Times New Roman" w:cs="Times New Roman"/>
          <w:b/>
          <w:bCs/>
          <w:rtl/>
          <w:lang w:eastAsia="de-DE"/>
        </w:rPr>
        <w:t>אֶת־הַפָּסַח</w:t>
      </w:r>
      <w:r w:rsidRPr="003006FE">
        <w:rPr>
          <w:rFonts w:eastAsia="Times New Roman" w:cs="Times New Roman"/>
          <w:rtl/>
          <w:lang w:eastAsia="de-DE"/>
        </w:rPr>
        <w:t xml:space="preserve"> </w:t>
      </w:r>
      <w:r w:rsidRPr="003006FE">
        <w:rPr>
          <w:rFonts w:eastAsia="Times New Roman" w:cs="Times New Roman"/>
          <w:lang w:eastAsia="de-DE"/>
        </w:rPr>
        <w:t xml:space="preserve">(Akkusativpartikel mit </w:t>
      </w:r>
      <w:r w:rsidRPr="003006FE">
        <w:rPr>
          <w:rFonts w:eastAsia="Times New Roman" w:cs="Times New Roman"/>
          <w:b/>
          <w:bCs/>
          <w:rtl/>
          <w:lang w:eastAsia="de-DE"/>
        </w:rPr>
        <w:t>פֶּסַח</w:t>
      </w:r>
      <w:r w:rsidRPr="003006FE">
        <w:rPr>
          <w:rFonts w:eastAsia="Times New Roman" w:cs="Times New Roman"/>
          <w:rtl/>
          <w:lang w:eastAsia="de-DE"/>
        </w:rPr>
        <w:t xml:space="preserve"> </w:t>
      </w:r>
      <w:r w:rsidRPr="003006FE">
        <w:rPr>
          <w:rFonts w:eastAsia="Times New Roman" w:cs="Times New Roman"/>
          <w:lang w:eastAsia="de-DE"/>
        </w:rPr>
        <w:t>„</w:t>
      </w:r>
      <w:r w:rsidR="00E136DC">
        <w:rPr>
          <w:rFonts w:eastAsia="Times New Roman" w:cs="Times New Roman"/>
          <w:lang w:eastAsia="de-DE"/>
        </w:rPr>
        <w:t>Pesach</w:t>
      </w:r>
      <w:r w:rsidRPr="003006FE">
        <w:rPr>
          <w:rFonts w:eastAsia="Times New Roman" w:cs="Times New Roman"/>
          <w:lang w:eastAsia="de-DE"/>
        </w:rPr>
        <w:t xml:space="preserve">, Passa" mit Artikel „das </w:t>
      </w:r>
      <w:r w:rsidR="00E136DC">
        <w:rPr>
          <w:rFonts w:eastAsia="Times New Roman" w:cs="Times New Roman"/>
          <w:lang w:eastAsia="de-DE"/>
        </w:rPr>
        <w:t>Pesach</w:t>
      </w:r>
      <w:r w:rsidRPr="003006FE">
        <w:rPr>
          <w:rFonts w:eastAsia="Times New Roman" w:cs="Times New Roman"/>
          <w:lang w:eastAsia="de-DE"/>
        </w:rPr>
        <w:t xml:space="preserve">"), </w:t>
      </w:r>
      <w:r w:rsidRPr="003006FE">
        <w:rPr>
          <w:rFonts w:eastAsia="Times New Roman" w:cs="Times New Roman"/>
          <w:b/>
          <w:bCs/>
          <w:rtl/>
          <w:lang w:eastAsia="de-DE"/>
        </w:rPr>
        <w:t>בְּמוֹעֲדוֹ</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בְ</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מוֹעֵד</w:t>
      </w:r>
      <w:r w:rsidRPr="003006FE">
        <w:rPr>
          <w:rFonts w:eastAsia="Times New Roman" w:cs="Times New Roman"/>
          <w:rtl/>
          <w:lang w:eastAsia="de-DE"/>
        </w:rPr>
        <w:t xml:space="preserve"> </w:t>
      </w:r>
      <w:r w:rsidRPr="003006FE">
        <w:rPr>
          <w:rFonts w:eastAsia="Times New Roman" w:cs="Times New Roman"/>
          <w:lang w:eastAsia="de-DE"/>
        </w:rPr>
        <w:t>„bestimmte Zeit, Festzeit" und Suffix 3. Person maskulin Singular „zu seiner bestimmten Zeit").</w:t>
      </w:r>
    </w:p>
    <w:p w14:paraId="4227B7BA" w14:textId="12CB6B3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b/>
          <w:bCs/>
        </w:rPr>
        <w:t>Die LXX</w:t>
      </w:r>
      <w:r>
        <w:t xml:space="preserve"> fügt hinzu „Εἶπον καί" (Sprich und...), was im MT nicht erscheint, der nur „</w:t>
      </w:r>
      <w:r>
        <w:rPr>
          <w:rtl/>
        </w:rPr>
        <w:t>וְיַעֲשׂוּ</w:t>
      </w:r>
      <w:r>
        <w:t>" (und sie sollen tun) hat.</w:t>
      </w:r>
    </w:p>
    <w:p w14:paraId="4D9BCC68"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Die Satzstruktur zeigt einen jussivischen Hauptsatz mit Subjekt, Objekt und adverbialer Zeitbestimmung.</w:t>
      </w:r>
    </w:p>
    <w:p w14:paraId="6CFD9E20" w14:textId="12D75950"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 xml:space="preserve">Der Vers befiehlt die zweite </w:t>
      </w:r>
      <w:r w:rsidR="00E136DC">
        <w:rPr>
          <w:rFonts w:eastAsia="Times New Roman" w:cs="Times New Roman"/>
          <w:lang w:eastAsia="de-DE"/>
        </w:rPr>
        <w:t>Pesach</w:t>
      </w:r>
      <w:r w:rsidRPr="003006FE">
        <w:rPr>
          <w:rFonts w:eastAsia="Times New Roman" w:cs="Times New Roman"/>
          <w:lang w:eastAsia="de-DE"/>
        </w:rPr>
        <w:t xml:space="preserve">feier - die erste war in Ägypten (Ex 12), nun soll Israel das Fest erneut begehen </w:t>
      </w:r>
      <w:r w:rsidRPr="003006FE">
        <w:rPr>
          <w:rFonts w:eastAsia="Times New Roman" w:cs="Times New Roman"/>
          <w:b/>
          <w:bCs/>
          <w:rtl/>
          <w:lang w:eastAsia="de-DE"/>
        </w:rPr>
        <w:t>בְּמוֹעֲדוֹ</w:t>
      </w:r>
      <w:r w:rsidRPr="003006FE">
        <w:rPr>
          <w:rFonts w:eastAsia="Times New Roman" w:cs="Times New Roman"/>
          <w:rtl/>
          <w:lang w:eastAsia="de-DE"/>
        </w:rPr>
        <w:t xml:space="preserve"> </w:t>
      </w:r>
      <w:r w:rsidRPr="003006FE">
        <w:rPr>
          <w:rFonts w:eastAsia="Times New Roman" w:cs="Times New Roman"/>
          <w:lang w:eastAsia="de-DE"/>
        </w:rPr>
        <w:t xml:space="preserve">(„zu seiner bestimmten Zeit"). Der Begriff </w:t>
      </w:r>
      <w:r w:rsidRPr="003006FE">
        <w:rPr>
          <w:rFonts w:eastAsia="Times New Roman" w:cs="Times New Roman"/>
          <w:b/>
          <w:bCs/>
          <w:rtl/>
          <w:lang w:eastAsia="de-DE"/>
        </w:rPr>
        <w:t>מוֹעֵד</w:t>
      </w:r>
      <w:r w:rsidRPr="003006FE">
        <w:rPr>
          <w:rFonts w:eastAsia="Times New Roman" w:cs="Times New Roman"/>
          <w:rtl/>
          <w:lang w:eastAsia="de-DE"/>
        </w:rPr>
        <w:t xml:space="preserve"> </w:t>
      </w:r>
      <w:r w:rsidRPr="003006FE">
        <w:rPr>
          <w:rFonts w:eastAsia="Times New Roman" w:cs="Times New Roman"/>
          <w:lang w:eastAsia="de-DE"/>
        </w:rPr>
        <w:t xml:space="preserve">betont: </w:t>
      </w:r>
      <w:r w:rsidR="00E136DC">
        <w:rPr>
          <w:rFonts w:eastAsia="Times New Roman" w:cs="Times New Roman"/>
          <w:lang w:eastAsia="de-DE"/>
        </w:rPr>
        <w:t>Pesach</w:t>
      </w:r>
      <w:r w:rsidRPr="003006FE">
        <w:rPr>
          <w:rFonts w:eastAsia="Times New Roman" w:cs="Times New Roman"/>
          <w:lang w:eastAsia="de-DE"/>
        </w:rPr>
        <w:t xml:space="preserve"> ist nicht beliebig, sondern hat eine von Gott festgesetzte Zeit. Das Verb </w:t>
      </w:r>
      <w:r w:rsidRPr="003006FE">
        <w:rPr>
          <w:rFonts w:eastAsia="Times New Roman" w:cs="Times New Roman"/>
          <w:b/>
          <w:bCs/>
          <w:rtl/>
          <w:lang w:eastAsia="de-DE"/>
        </w:rPr>
        <w:t>עשׂה</w:t>
      </w:r>
      <w:r w:rsidRPr="003006FE">
        <w:rPr>
          <w:rFonts w:eastAsia="Times New Roman" w:cs="Times New Roman"/>
          <w:rtl/>
          <w:lang w:eastAsia="de-DE"/>
        </w:rPr>
        <w:t xml:space="preserve"> </w:t>
      </w:r>
      <w:r w:rsidRPr="003006FE">
        <w:rPr>
          <w:rFonts w:eastAsia="Times New Roman" w:cs="Times New Roman"/>
          <w:lang w:eastAsia="de-DE"/>
        </w:rPr>
        <w:t>(„machen, tun") bezeichnet hier die rituelle Durchführung des Festes.</w:t>
      </w:r>
    </w:p>
    <w:p w14:paraId="58A8247D" w14:textId="77777777" w:rsidR="003006FE" w:rsidRPr="003006FE" w:rsidRDefault="003006FE" w:rsidP="003006FE">
      <w:pPr>
        <w:spacing w:before="100" w:beforeAutospacing="1" w:after="100" w:afterAutospacing="1" w:line="240" w:lineRule="auto"/>
        <w:outlineLvl w:val="0"/>
        <w:rPr>
          <w:rFonts w:eastAsia="Times New Roman" w:cs="Times New Roman"/>
          <w:b/>
          <w:bCs/>
          <w:kern w:val="36"/>
          <w:sz w:val="48"/>
          <w:szCs w:val="48"/>
          <w:lang w:eastAsia="de-DE"/>
        </w:rPr>
      </w:pPr>
      <w:r w:rsidRPr="003006FE">
        <w:rPr>
          <w:rFonts w:eastAsia="Times New Roman" w:cs="Times New Roman"/>
          <w:b/>
          <w:bCs/>
          <w:kern w:val="36"/>
          <w:sz w:val="48"/>
          <w:szCs w:val="48"/>
          <w:lang w:eastAsia="de-DE"/>
        </w:rPr>
        <w:t>Numeri 9,3</w:t>
      </w:r>
    </w:p>
    <w:p w14:paraId="458CBAC8"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Hebräisch:</w:t>
      </w:r>
      <w:r w:rsidRPr="003006FE">
        <w:rPr>
          <w:rFonts w:eastAsia="Times New Roman" w:cs="Times New Roman"/>
          <w:lang w:eastAsia="de-DE"/>
        </w:rPr>
        <w:t xml:space="preserve"> </w:t>
      </w:r>
      <w:r w:rsidRPr="003006FE">
        <w:rPr>
          <w:rFonts w:eastAsia="Times New Roman" w:cs="Times New Roman"/>
          <w:rtl/>
          <w:lang w:eastAsia="de-DE"/>
        </w:rPr>
        <w:t>בְּאַרְבָּעָ֣ה עָשָֽׂר־י֠וֹם בַּחֹ֨דֶשׁ הַזֶּ֜ה בֵּ֧ין הָֽעֲרְבַּ֛יִם תַּעֲשׂ֥וּ אֹתוֹ֖ בְּמוֹעֲדֹ֑ו כְּכָל־חֻקֹּתָ֥יו וּכְכָל־מִשְׁפָּטָ֖יו תַּעֲשׂ֥וּ אֹתוֹֽ׃</w:t>
      </w:r>
    </w:p>
    <w:p w14:paraId="42E66FA9"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Deutsch:</w:t>
      </w:r>
      <w:r w:rsidRPr="003006FE">
        <w:rPr>
          <w:rFonts w:eastAsia="Times New Roman" w:cs="Times New Roman"/>
          <w:lang w:eastAsia="de-DE"/>
        </w:rPr>
        <w:t xml:space="preserve"> Am 14. Tag in diesem Monat, zwischen den beiden Abenden, sollt ihr es feiern zu seiner bestimmten Zeit; nach allen seinen Satzungen und nach allen seinen Vorschriften sollt ihr es feiern.</w:t>
      </w:r>
    </w:p>
    <w:p w14:paraId="1D567A8B" w14:textId="77777777" w:rsidR="003006FE" w:rsidRPr="003006FE" w:rsidRDefault="00F329DD" w:rsidP="003006FE">
      <w:pPr>
        <w:spacing w:after="0" w:line="240" w:lineRule="auto"/>
        <w:rPr>
          <w:rFonts w:eastAsia="Times New Roman" w:cs="Times New Roman"/>
          <w:lang w:eastAsia="de-DE"/>
        </w:rPr>
      </w:pPr>
      <w:r>
        <w:rPr>
          <w:rFonts w:eastAsia="Times New Roman" w:cs="Times New Roman"/>
          <w:lang w:eastAsia="de-DE"/>
        </w:rPr>
        <w:pict w14:anchorId="3F7D0E42">
          <v:rect id="_x0000_i1323" style="width:0;height:1.5pt" o:hralign="center" o:hrstd="t" o:hr="t" fillcolor="#a0a0a0" stroked="f"/>
        </w:pict>
      </w:r>
    </w:p>
    <w:p w14:paraId="19A7D94D" w14:textId="4F72E93B"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Kommentar:</w:t>
      </w:r>
      <w:r w:rsidRPr="003006FE">
        <w:rPr>
          <w:rFonts w:eastAsia="Times New Roman" w:cs="Times New Roman"/>
          <w:lang w:eastAsia="de-DE"/>
        </w:rPr>
        <w:t xml:space="preserve"> Der Vers präzisiert Zeit und Art der </w:t>
      </w:r>
      <w:r w:rsidR="00E136DC">
        <w:rPr>
          <w:rFonts w:eastAsia="Times New Roman" w:cs="Times New Roman"/>
          <w:lang w:eastAsia="de-DE"/>
        </w:rPr>
        <w:t>Pesach</w:t>
      </w:r>
      <w:r w:rsidRPr="003006FE">
        <w:rPr>
          <w:rFonts w:eastAsia="Times New Roman" w:cs="Times New Roman"/>
          <w:lang w:eastAsia="de-DE"/>
        </w:rPr>
        <w:t xml:space="preserve">feier. </w:t>
      </w:r>
      <w:r w:rsidRPr="003006FE">
        <w:rPr>
          <w:rFonts w:eastAsia="Times New Roman" w:cs="Times New Roman"/>
          <w:b/>
          <w:bCs/>
          <w:rtl/>
          <w:lang w:eastAsia="de-DE"/>
        </w:rPr>
        <w:t>בְּאַרְבָּעָה עָשָׂר־יוֹם בַּחֹדֶשׁ הַזֶּה בֵּין הָעֲרְבַיִם</w:t>
      </w:r>
      <w:r w:rsidRPr="003006FE">
        <w:rPr>
          <w:rFonts w:eastAsia="Times New Roman" w:cs="Times New Roman"/>
          <w:rtl/>
          <w:lang w:eastAsia="de-DE"/>
        </w:rPr>
        <w:t xml:space="preserve"> </w:t>
      </w:r>
      <w:r w:rsidRPr="003006FE">
        <w:rPr>
          <w:rFonts w:eastAsia="Times New Roman" w:cs="Times New Roman"/>
          <w:lang w:eastAsia="de-DE"/>
        </w:rPr>
        <w:t xml:space="preserve">gibt die genaue Zeit an. </w:t>
      </w:r>
      <w:r w:rsidRPr="003006FE">
        <w:rPr>
          <w:rFonts w:eastAsia="Times New Roman" w:cs="Times New Roman"/>
          <w:b/>
          <w:bCs/>
          <w:rtl/>
          <w:lang w:eastAsia="de-DE"/>
        </w:rPr>
        <w:t>בְּאַרְבָּעָה עָשָׂר־יוֹם</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בְ</w:t>
      </w:r>
      <w:r w:rsidRPr="003006FE">
        <w:rPr>
          <w:rFonts w:eastAsia="Times New Roman" w:cs="Times New Roman"/>
          <w:rtl/>
          <w:lang w:eastAsia="de-DE"/>
        </w:rPr>
        <w:t xml:space="preserve"> </w:t>
      </w:r>
      <w:r w:rsidRPr="003006FE">
        <w:rPr>
          <w:rFonts w:eastAsia="Times New Roman" w:cs="Times New Roman"/>
          <w:lang w:eastAsia="de-DE"/>
        </w:rPr>
        <w:t xml:space="preserve">mit zusammengesetzter Kardinalzahl „vier zehn" = 14 und </w:t>
      </w:r>
      <w:r w:rsidRPr="003006FE">
        <w:rPr>
          <w:rFonts w:eastAsia="Times New Roman" w:cs="Times New Roman"/>
          <w:b/>
          <w:bCs/>
          <w:rtl/>
          <w:lang w:eastAsia="de-DE"/>
        </w:rPr>
        <w:t>יוֹם</w:t>
      </w:r>
      <w:r w:rsidRPr="003006FE">
        <w:rPr>
          <w:rFonts w:eastAsia="Times New Roman" w:cs="Times New Roman"/>
          <w:rtl/>
          <w:lang w:eastAsia="de-DE"/>
        </w:rPr>
        <w:t xml:space="preserve"> </w:t>
      </w:r>
      <w:r w:rsidRPr="003006FE">
        <w:rPr>
          <w:rFonts w:eastAsia="Times New Roman" w:cs="Times New Roman"/>
          <w:lang w:eastAsia="de-DE"/>
        </w:rPr>
        <w:t xml:space="preserve">„Tag" „am vierzehnten Tag"), </w:t>
      </w:r>
      <w:r w:rsidRPr="003006FE">
        <w:rPr>
          <w:rFonts w:eastAsia="Times New Roman" w:cs="Times New Roman"/>
          <w:b/>
          <w:bCs/>
          <w:rtl/>
          <w:lang w:eastAsia="de-DE"/>
        </w:rPr>
        <w:t>בַּחֹדֶשׁ הַזֶּה</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בְ</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חֹדֶשׁ</w:t>
      </w:r>
      <w:r w:rsidRPr="003006FE">
        <w:rPr>
          <w:rFonts w:eastAsia="Times New Roman" w:cs="Times New Roman"/>
          <w:rtl/>
          <w:lang w:eastAsia="de-DE"/>
        </w:rPr>
        <w:t xml:space="preserve"> </w:t>
      </w:r>
      <w:r w:rsidRPr="003006FE">
        <w:rPr>
          <w:rFonts w:eastAsia="Times New Roman" w:cs="Times New Roman"/>
          <w:lang w:eastAsia="de-DE"/>
        </w:rPr>
        <w:t xml:space="preserve">mit Artikel und Demonstrativpronomen </w:t>
      </w:r>
      <w:r w:rsidRPr="003006FE">
        <w:rPr>
          <w:rFonts w:eastAsia="Times New Roman" w:cs="Times New Roman"/>
          <w:b/>
          <w:bCs/>
          <w:rtl/>
          <w:lang w:eastAsia="de-DE"/>
        </w:rPr>
        <w:t>זֶה</w:t>
      </w:r>
      <w:r w:rsidRPr="003006FE">
        <w:rPr>
          <w:rFonts w:eastAsia="Times New Roman" w:cs="Times New Roman"/>
          <w:rtl/>
          <w:lang w:eastAsia="de-DE"/>
        </w:rPr>
        <w:t xml:space="preserve"> </w:t>
      </w:r>
      <w:r w:rsidRPr="003006FE">
        <w:rPr>
          <w:rFonts w:eastAsia="Times New Roman" w:cs="Times New Roman"/>
          <w:lang w:eastAsia="de-DE"/>
        </w:rPr>
        <w:t xml:space="preserve">„dieser" „in diesem Monat"), </w:t>
      </w:r>
      <w:r w:rsidRPr="003006FE">
        <w:rPr>
          <w:rFonts w:eastAsia="Times New Roman" w:cs="Times New Roman"/>
          <w:b/>
          <w:bCs/>
          <w:rtl/>
          <w:lang w:eastAsia="de-DE"/>
        </w:rPr>
        <w:t>בֵּין הָעֲרְבַיִם</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בֵּין</w:t>
      </w:r>
      <w:r w:rsidRPr="003006FE">
        <w:rPr>
          <w:rFonts w:eastAsia="Times New Roman" w:cs="Times New Roman"/>
          <w:rtl/>
          <w:lang w:eastAsia="de-DE"/>
        </w:rPr>
        <w:t xml:space="preserve"> </w:t>
      </w:r>
      <w:r w:rsidRPr="003006FE">
        <w:rPr>
          <w:rFonts w:eastAsia="Times New Roman" w:cs="Times New Roman"/>
          <w:lang w:eastAsia="de-DE"/>
        </w:rPr>
        <w:t xml:space="preserve">„zwischen" mit Dual </w:t>
      </w:r>
      <w:r w:rsidRPr="003006FE">
        <w:rPr>
          <w:rFonts w:eastAsia="Times New Roman" w:cs="Times New Roman"/>
          <w:b/>
          <w:bCs/>
          <w:rtl/>
          <w:lang w:eastAsia="de-DE"/>
        </w:rPr>
        <w:t>עֶרֶב</w:t>
      </w:r>
      <w:r w:rsidRPr="003006FE">
        <w:rPr>
          <w:rFonts w:eastAsia="Times New Roman" w:cs="Times New Roman"/>
          <w:rtl/>
          <w:lang w:eastAsia="de-DE"/>
        </w:rPr>
        <w:t xml:space="preserve"> </w:t>
      </w:r>
      <w:r w:rsidRPr="003006FE">
        <w:rPr>
          <w:rFonts w:eastAsia="Times New Roman" w:cs="Times New Roman"/>
          <w:lang w:eastAsia="de-DE"/>
        </w:rPr>
        <w:t>„Abend" mit Artikel „zwischen den beiden Abenden" - die Zeit zwischen Sonnenuntergang und Dunkelheit).</w:t>
      </w:r>
    </w:p>
    <w:p w14:paraId="5748184B" w14:textId="20DCE942" w:rsid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rtl/>
          <w:lang w:eastAsia="de-DE"/>
        </w:rPr>
        <w:lastRenderedPageBreak/>
        <w:t>תַּעֲשׂוּ אֹתוֹ בְּמוֹעֲדוֹ</w:t>
      </w:r>
      <w:r w:rsidRPr="003006FE">
        <w:rPr>
          <w:rFonts w:eastAsia="Times New Roman" w:cs="Times New Roman"/>
          <w:rtl/>
          <w:lang w:eastAsia="de-DE"/>
        </w:rPr>
        <w:t xml:space="preserve"> </w:t>
      </w:r>
      <w:r w:rsidRPr="003006FE">
        <w:rPr>
          <w:rFonts w:eastAsia="Times New Roman" w:cs="Times New Roman"/>
          <w:lang w:eastAsia="de-DE"/>
        </w:rPr>
        <w:t xml:space="preserve">ist der erste Befehl. </w:t>
      </w:r>
      <w:r w:rsidRPr="003006FE">
        <w:rPr>
          <w:rFonts w:eastAsia="Times New Roman" w:cs="Times New Roman"/>
          <w:b/>
          <w:bCs/>
          <w:rtl/>
          <w:lang w:eastAsia="de-DE"/>
        </w:rPr>
        <w:t>תַּעֲשׂוּ</w:t>
      </w:r>
      <w:r w:rsidRPr="003006FE">
        <w:rPr>
          <w:rFonts w:eastAsia="Times New Roman" w:cs="Times New Roman"/>
          <w:rtl/>
          <w:lang w:eastAsia="de-DE"/>
        </w:rPr>
        <w:t xml:space="preserve"> </w:t>
      </w:r>
      <w:r w:rsidRPr="003006FE">
        <w:rPr>
          <w:rFonts w:eastAsia="Times New Roman" w:cs="Times New Roman"/>
          <w:lang w:eastAsia="de-DE"/>
        </w:rPr>
        <w:t xml:space="preserve">(Qal Imperfekt 2. Person Plural von </w:t>
      </w:r>
      <w:r w:rsidRPr="003006FE">
        <w:rPr>
          <w:rFonts w:eastAsia="Times New Roman" w:cs="Times New Roman"/>
          <w:b/>
          <w:bCs/>
          <w:rtl/>
          <w:lang w:eastAsia="de-DE"/>
        </w:rPr>
        <w:t>עשׂה</w:t>
      </w:r>
      <w:r w:rsidRPr="003006FE">
        <w:rPr>
          <w:rFonts w:eastAsia="Times New Roman" w:cs="Times New Roman"/>
          <w:rtl/>
          <w:lang w:eastAsia="de-DE"/>
        </w:rPr>
        <w:t xml:space="preserve"> </w:t>
      </w:r>
      <w:r w:rsidRPr="003006FE">
        <w:rPr>
          <w:rFonts w:eastAsia="Times New Roman" w:cs="Times New Roman"/>
          <w:lang w:eastAsia="de-DE"/>
        </w:rPr>
        <w:t xml:space="preserve">„sollt ihr feiern"), </w:t>
      </w:r>
      <w:r w:rsidRPr="003006FE">
        <w:rPr>
          <w:rFonts w:eastAsia="Times New Roman" w:cs="Times New Roman"/>
          <w:b/>
          <w:bCs/>
          <w:rtl/>
          <w:lang w:eastAsia="de-DE"/>
        </w:rPr>
        <w:t>אֹתוֹ</w:t>
      </w:r>
      <w:r w:rsidRPr="003006FE">
        <w:rPr>
          <w:rFonts w:eastAsia="Times New Roman" w:cs="Times New Roman"/>
          <w:rtl/>
          <w:lang w:eastAsia="de-DE"/>
        </w:rPr>
        <w:t xml:space="preserve"> </w:t>
      </w:r>
      <w:r w:rsidRPr="003006FE">
        <w:rPr>
          <w:rFonts w:eastAsia="Times New Roman" w:cs="Times New Roman"/>
          <w:lang w:eastAsia="de-DE"/>
        </w:rPr>
        <w:t xml:space="preserve">(Akkusativpartikel mit Suffix 3. Person maskulin Singular „es"), </w:t>
      </w:r>
      <w:r w:rsidRPr="003006FE">
        <w:rPr>
          <w:rFonts w:eastAsia="Times New Roman" w:cs="Times New Roman"/>
          <w:b/>
          <w:bCs/>
          <w:rtl/>
          <w:lang w:eastAsia="de-DE"/>
        </w:rPr>
        <w:t>בְּמוֹעֲדוֹ</w:t>
      </w:r>
      <w:r w:rsidRPr="003006FE">
        <w:rPr>
          <w:rFonts w:eastAsia="Times New Roman" w:cs="Times New Roman"/>
          <w:rtl/>
          <w:lang w:eastAsia="de-DE"/>
        </w:rPr>
        <w:t xml:space="preserve"> </w:t>
      </w:r>
      <w:r w:rsidRPr="003006FE">
        <w:rPr>
          <w:rFonts w:eastAsia="Times New Roman" w:cs="Times New Roman"/>
          <w:lang w:eastAsia="de-DE"/>
        </w:rPr>
        <w:t xml:space="preserve">(wie V. 2). </w:t>
      </w:r>
      <w:r w:rsidRPr="003006FE">
        <w:rPr>
          <w:rFonts w:eastAsia="Times New Roman" w:cs="Times New Roman"/>
          <w:b/>
          <w:bCs/>
          <w:rtl/>
          <w:lang w:eastAsia="de-DE"/>
        </w:rPr>
        <w:t>כְּכָל־חֻקֹּתָיו וּכְכָל־מִשְׁפָּטָיו תַּעֲשׂוּ אֹתוֹ</w:t>
      </w:r>
      <w:r w:rsidRPr="003006FE">
        <w:rPr>
          <w:rFonts w:eastAsia="Times New Roman" w:cs="Times New Roman"/>
          <w:rtl/>
          <w:lang w:eastAsia="de-DE"/>
        </w:rPr>
        <w:t xml:space="preserve"> </w:t>
      </w:r>
      <w:r w:rsidRPr="003006FE">
        <w:rPr>
          <w:rFonts w:eastAsia="Times New Roman" w:cs="Times New Roman"/>
          <w:lang w:eastAsia="de-DE"/>
        </w:rPr>
        <w:t xml:space="preserve">ist der zweite Befehl. </w:t>
      </w:r>
      <w:r w:rsidRPr="003006FE">
        <w:rPr>
          <w:rFonts w:eastAsia="Times New Roman" w:cs="Times New Roman"/>
          <w:b/>
          <w:bCs/>
          <w:rtl/>
          <w:lang w:eastAsia="de-DE"/>
        </w:rPr>
        <w:t>כְּכָל־חֻקֹּתָיו</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כְּ</w:t>
      </w:r>
      <w:r w:rsidRPr="003006FE">
        <w:rPr>
          <w:rFonts w:eastAsia="Times New Roman" w:cs="Times New Roman"/>
          <w:rtl/>
          <w:lang w:eastAsia="de-DE"/>
        </w:rPr>
        <w:t xml:space="preserve"> </w:t>
      </w:r>
      <w:r w:rsidRPr="003006FE">
        <w:rPr>
          <w:rFonts w:eastAsia="Times New Roman" w:cs="Times New Roman"/>
          <w:lang w:eastAsia="de-DE"/>
        </w:rPr>
        <w:t xml:space="preserve">„wie, gemäß" mit </w:t>
      </w:r>
      <w:r w:rsidRPr="003006FE">
        <w:rPr>
          <w:rFonts w:eastAsia="Times New Roman" w:cs="Times New Roman"/>
          <w:b/>
          <w:bCs/>
          <w:rtl/>
          <w:lang w:eastAsia="de-DE"/>
        </w:rPr>
        <w:t>כֹּל</w:t>
      </w:r>
      <w:r w:rsidRPr="003006FE">
        <w:rPr>
          <w:rFonts w:eastAsia="Times New Roman" w:cs="Times New Roman"/>
          <w:rtl/>
          <w:lang w:eastAsia="de-DE"/>
        </w:rPr>
        <w:t xml:space="preserve"> </w:t>
      </w:r>
      <w:r w:rsidRPr="003006FE">
        <w:rPr>
          <w:rFonts w:eastAsia="Times New Roman" w:cs="Times New Roman"/>
          <w:lang w:eastAsia="de-DE"/>
        </w:rPr>
        <w:t xml:space="preserve">„alles" und Plural </w:t>
      </w:r>
      <w:r w:rsidRPr="003006FE">
        <w:rPr>
          <w:rFonts w:eastAsia="Times New Roman" w:cs="Times New Roman"/>
          <w:b/>
          <w:bCs/>
          <w:rtl/>
          <w:lang w:eastAsia="de-DE"/>
        </w:rPr>
        <w:t>חֻקָּה</w:t>
      </w:r>
      <w:r w:rsidRPr="003006FE">
        <w:rPr>
          <w:rFonts w:eastAsia="Times New Roman" w:cs="Times New Roman"/>
          <w:rtl/>
          <w:lang w:eastAsia="de-DE"/>
        </w:rPr>
        <w:t xml:space="preserve"> </w:t>
      </w:r>
      <w:r w:rsidRPr="003006FE">
        <w:rPr>
          <w:rFonts w:eastAsia="Times New Roman" w:cs="Times New Roman"/>
          <w:lang w:eastAsia="de-DE"/>
        </w:rPr>
        <w:t xml:space="preserve">„Satzung" mit Suffix 3. Person maskulin Singular „nach allen seinen Satzungen"), </w:t>
      </w:r>
      <w:r w:rsidRPr="003006FE">
        <w:rPr>
          <w:rFonts w:eastAsia="Times New Roman" w:cs="Times New Roman"/>
          <w:b/>
          <w:bCs/>
          <w:rtl/>
          <w:lang w:eastAsia="de-DE"/>
        </w:rPr>
        <w:t>וּכְכָל־מִשְׁפָּטָיו</w:t>
      </w:r>
      <w:r w:rsidRPr="003006FE">
        <w:rPr>
          <w:rFonts w:eastAsia="Times New Roman" w:cs="Times New Roman"/>
          <w:rtl/>
          <w:lang w:eastAsia="de-DE"/>
        </w:rPr>
        <w:t xml:space="preserve"> </w:t>
      </w:r>
      <w:r w:rsidRPr="003006FE">
        <w:rPr>
          <w:rFonts w:eastAsia="Times New Roman" w:cs="Times New Roman"/>
          <w:lang w:eastAsia="de-DE"/>
        </w:rPr>
        <w:t xml:space="preserve">(Konjunktion mit </w:t>
      </w:r>
      <w:r w:rsidRPr="003006FE">
        <w:rPr>
          <w:rFonts w:eastAsia="Times New Roman" w:cs="Times New Roman"/>
          <w:b/>
          <w:bCs/>
          <w:rtl/>
          <w:lang w:eastAsia="de-DE"/>
        </w:rPr>
        <w:t>כְּ</w:t>
      </w:r>
      <w:r w:rsidRPr="003006FE">
        <w:rPr>
          <w:rFonts w:eastAsia="Times New Roman" w:cs="Times New Roman"/>
          <w:lang w:eastAsia="de-DE"/>
        </w:rPr>
        <w:t xml:space="preserve">, </w:t>
      </w:r>
      <w:r w:rsidRPr="003006FE">
        <w:rPr>
          <w:rFonts w:eastAsia="Times New Roman" w:cs="Times New Roman"/>
          <w:b/>
          <w:bCs/>
          <w:rtl/>
          <w:lang w:eastAsia="de-DE"/>
        </w:rPr>
        <w:t>כֹּל</w:t>
      </w:r>
      <w:r w:rsidRPr="003006FE">
        <w:rPr>
          <w:rFonts w:eastAsia="Times New Roman" w:cs="Times New Roman"/>
          <w:rtl/>
          <w:lang w:eastAsia="de-DE"/>
        </w:rPr>
        <w:t xml:space="preserve"> </w:t>
      </w:r>
      <w:r w:rsidRPr="003006FE">
        <w:rPr>
          <w:rFonts w:eastAsia="Times New Roman" w:cs="Times New Roman"/>
          <w:lang w:eastAsia="de-DE"/>
        </w:rPr>
        <w:t xml:space="preserve">und Plural </w:t>
      </w:r>
      <w:r w:rsidRPr="003006FE">
        <w:rPr>
          <w:rFonts w:eastAsia="Times New Roman" w:cs="Times New Roman"/>
          <w:b/>
          <w:bCs/>
          <w:rtl/>
          <w:lang w:eastAsia="de-DE"/>
        </w:rPr>
        <w:t>מִשְׁפָּט</w:t>
      </w:r>
      <w:r w:rsidRPr="003006FE">
        <w:rPr>
          <w:rFonts w:eastAsia="Times New Roman" w:cs="Times New Roman"/>
          <w:rtl/>
          <w:lang w:eastAsia="de-DE"/>
        </w:rPr>
        <w:t xml:space="preserve"> </w:t>
      </w:r>
      <w:r w:rsidRPr="003006FE">
        <w:rPr>
          <w:rFonts w:eastAsia="Times New Roman" w:cs="Times New Roman"/>
          <w:lang w:eastAsia="de-DE"/>
        </w:rPr>
        <w:t xml:space="preserve">„Vorschrift, Rechtssatz" mit Suffix „und nach allen seinen Vorschriften"), </w:t>
      </w:r>
      <w:r w:rsidRPr="003006FE">
        <w:rPr>
          <w:rFonts w:eastAsia="Times New Roman" w:cs="Times New Roman"/>
          <w:b/>
          <w:bCs/>
          <w:rtl/>
          <w:lang w:eastAsia="de-DE"/>
        </w:rPr>
        <w:t>תַּעֲשׂוּ אֹתוֹ</w:t>
      </w:r>
      <w:r w:rsidRPr="003006FE">
        <w:rPr>
          <w:rFonts w:eastAsia="Times New Roman" w:cs="Times New Roman"/>
          <w:rtl/>
          <w:lang w:eastAsia="de-DE"/>
        </w:rPr>
        <w:t xml:space="preserve"> </w:t>
      </w:r>
      <w:r w:rsidRPr="003006FE">
        <w:rPr>
          <w:rFonts w:eastAsia="Times New Roman" w:cs="Times New Roman"/>
          <w:lang w:eastAsia="de-DE"/>
        </w:rPr>
        <w:t>(wiederholt den Befehl).</w:t>
      </w:r>
    </w:p>
    <w:p w14:paraId="55ED5F5E" w14:textId="0C96B52A" w:rsidR="003006FE" w:rsidRPr="003006FE" w:rsidRDefault="003006FE" w:rsidP="003006FE">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בֵּין הָעַרְבָּיִם</w:t>
      </w:r>
      <w:r>
        <w:t>" (zwischen den Abenden) mit „πρὸς ἑσπέραν" (gegen Abend), was weniger präzise ist, und übersetzt „</w:t>
      </w:r>
      <w:r>
        <w:rPr>
          <w:rtl/>
        </w:rPr>
        <w:t>כְּכָל־חֻקֹּתָיו וּכְכָל־מִשְׁפָּטָיו</w:t>
      </w:r>
      <w:r>
        <w:t>" (nach allen seinen Satzungen und nach allen seinen Rechtsbestimmungen) mit „κατὰ τὸν νόμον αὐτοῦ καὶ κατὰ τὴν σύγκρισιν αὐτοῦ" (nach seinem Gesetz und nach seiner Anordnung/seinem Vergleich).</w:t>
      </w:r>
    </w:p>
    <w:p w14:paraId="03D8CD5E"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Die Satzstruktur zeigt eine dreifache temporale Bestimmung, gefolgt von zwei parallel strukturierten Imperativen mit verschiedenen modalen Ergänzungen.</w:t>
      </w:r>
    </w:p>
    <w:p w14:paraId="2F4B33A4" w14:textId="39290558"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 xml:space="preserve">Der Vers spezifiziert: am 14. Abib/Nisan, </w:t>
      </w:r>
      <w:r w:rsidRPr="003006FE">
        <w:rPr>
          <w:rFonts w:eastAsia="Times New Roman" w:cs="Times New Roman"/>
          <w:b/>
          <w:bCs/>
          <w:rtl/>
          <w:lang w:eastAsia="de-DE"/>
        </w:rPr>
        <w:t>בֵּין הָעֲרְבַיִם</w:t>
      </w:r>
      <w:r w:rsidRPr="003006FE">
        <w:rPr>
          <w:rFonts w:eastAsia="Times New Roman" w:cs="Times New Roman"/>
          <w:rtl/>
          <w:lang w:eastAsia="de-DE"/>
        </w:rPr>
        <w:t xml:space="preserve"> </w:t>
      </w:r>
      <w:r w:rsidRPr="003006FE">
        <w:rPr>
          <w:rFonts w:eastAsia="Times New Roman" w:cs="Times New Roman"/>
          <w:lang w:eastAsia="de-DE"/>
        </w:rPr>
        <w:t xml:space="preserve">(„zwischen den beiden Abenden" - traditionell die Zeit zwischen ca. 15:00 und 18:00 Uhr). Die Doppelung </w:t>
      </w:r>
      <w:r w:rsidRPr="003006FE">
        <w:rPr>
          <w:rFonts w:eastAsia="Times New Roman" w:cs="Times New Roman"/>
          <w:b/>
          <w:bCs/>
          <w:rtl/>
          <w:lang w:eastAsia="de-DE"/>
        </w:rPr>
        <w:t>כְּכָל־חֻקֹּתָיו וּכְכָל־מִשְׁפָּטָיו</w:t>
      </w:r>
      <w:r w:rsidRPr="003006FE">
        <w:rPr>
          <w:rFonts w:eastAsia="Times New Roman" w:cs="Times New Roman"/>
          <w:rtl/>
          <w:lang w:eastAsia="de-DE"/>
        </w:rPr>
        <w:t xml:space="preserve"> </w:t>
      </w:r>
      <w:r w:rsidRPr="003006FE">
        <w:rPr>
          <w:rFonts w:eastAsia="Times New Roman" w:cs="Times New Roman"/>
          <w:lang w:eastAsia="de-DE"/>
        </w:rPr>
        <w:t xml:space="preserve">betont: Alle Details müssen beachtet werden - </w:t>
      </w:r>
      <w:r w:rsidRPr="003006FE">
        <w:rPr>
          <w:rFonts w:eastAsia="Times New Roman" w:cs="Times New Roman"/>
          <w:b/>
          <w:bCs/>
          <w:rtl/>
          <w:lang w:eastAsia="de-DE"/>
        </w:rPr>
        <w:t>חֻקּוֹת</w:t>
      </w:r>
      <w:r w:rsidRPr="003006FE">
        <w:rPr>
          <w:rFonts w:eastAsia="Times New Roman" w:cs="Times New Roman"/>
          <w:rtl/>
          <w:lang w:eastAsia="de-DE"/>
        </w:rPr>
        <w:t xml:space="preserve"> </w:t>
      </w:r>
      <w:r w:rsidRPr="003006FE">
        <w:rPr>
          <w:rFonts w:eastAsia="Times New Roman" w:cs="Times New Roman"/>
          <w:lang w:eastAsia="de-DE"/>
        </w:rPr>
        <w:t xml:space="preserve">(Satzungen - von Gott gesetzte rituelle Bestimmungen) und </w:t>
      </w:r>
      <w:r w:rsidRPr="003006FE">
        <w:rPr>
          <w:rFonts w:eastAsia="Times New Roman" w:cs="Times New Roman"/>
          <w:b/>
          <w:bCs/>
          <w:rtl/>
          <w:lang w:eastAsia="de-DE"/>
        </w:rPr>
        <w:t>מִשְׁפָּטִים</w:t>
      </w:r>
      <w:r w:rsidRPr="003006FE">
        <w:rPr>
          <w:rFonts w:eastAsia="Times New Roman" w:cs="Times New Roman"/>
          <w:rtl/>
          <w:lang w:eastAsia="de-DE"/>
        </w:rPr>
        <w:t xml:space="preserve"> </w:t>
      </w:r>
      <w:r w:rsidRPr="003006FE">
        <w:rPr>
          <w:rFonts w:eastAsia="Times New Roman" w:cs="Times New Roman"/>
          <w:lang w:eastAsia="de-DE"/>
        </w:rPr>
        <w:t xml:space="preserve">(Vorschriften - praktische Durchführungsregeln). Das </w:t>
      </w:r>
      <w:r w:rsidR="00E136DC">
        <w:rPr>
          <w:rFonts w:eastAsia="Times New Roman" w:cs="Times New Roman"/>
          <w:lang w:eastAsia="de-DE"/>
        </w:rPr>
        <w:t>Pesach</w:t>
      </w:r>
      <w:r w:rsidRPr="003006FE">
        <w:rPr>
          <w:rFonts w:eastAsia="Times New Roman" w:cs="Times New Roman"/>
          <w:lang w:eastAsia="de-DE"/>
        </w:rPr>
        <w:t xml:space="preserve"> ist nicht verhandelbar oder anpassbar.</w:t>
      </w:r>
    </w:p>
    <w:p w14:paraId="7308DFA9" w14:textId="77777777" w:rsidR="003006FE" w:rsidRPr="003006FE" w:rsidRDefault="003006FE" w:rsidP="003006FE">
      <w:pPr>
        <w:spacing w:before="100" w:beforeAutospacing="1" w:after="100" w:afterAutospacing="1" w:line="240" w:lineRule="auto"/>
        <w:outlineLvl w:val="0"/>
        <w:rPr>
          <w:rFonts w:eastAsia="Times New Roman" w:cs="Times New Roman"/>
          <w:b/>
          <w:bCs/>
          <w:kern w:val="36"/>
          <w:sz w:val="48"/>
          <w:szCs w:val="48"/>
          <w:lang w:eastAsia="de-DE"/>
        </w:rPr>
      </w:pPr>
      <w:r w:rsidRPr="003006FE">
        <w:rPr>
          <w:rFonts w:eastAsia="Times New Roman" w:cs="Times New Roman"/>
          <w:b/>
          <w:bCs/>
          <w:kern w:val="36"/>
          <w:sz w:val="48"/>
          <w:szCs w:val="48"/>
          <w:lang w:eastAsia="de-DE"/>
        </w:rPr>
        <w:t>Numeri 9,4</w:t>
      </w:r>
    </w:p>
    <w:p w14:paraId="3679425E"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Hebräisch:</w:t>
      </w:r>
      <w:r w:rsidRPr="003006FE">
        <w:rPr>
          <w:rFonts w:eastAsia="Times New Roman" w:cs="Times New Roman"/>
          <w:lang w:eastAsia="de-DE"/>
        </w:rPr>
        <w:t xml:space="preserve"> </w:t>
      </w:r>
      <w:r w:rsidRPr="003006FE">
        <w:rPr>
          <w:rFonts w:eastAsia="Times New Roman" w:cs="Times New Roman"/>
          <w:rtl/>
          <w:lang w:eastAsia="de-DE"/>
        </w:rPr>
        <w:t>וַיְדַבֵּ֥ר מֹשֶׁ֛ה אֶל־בְּנֵ֥י יִשְׂרָאֵ֖ל לַעֲשֹׂ֥ת הַפָּֽסַח׃</w:t>
      </w:r>
    </w:p>
    <w:p w14:paraId="64F3E03F" w14:textId="333C6722"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Deutsch:</w:t>
      </w:r>
      <w:r w:rsidRPr="003006FE">
        <w:rPr>
          <w:rFonts w:eastAsia="Times New Roman" w:cs="Times New Roman"/>
          <w:lang w:eastAsia="de-DE"/>
        </w:rPr>
        <w:t xml:space="preserve"> Und Mosche redete zu den Söhnen Jisra'els, dass sie das </w:t>
      </w:r>
      <w:r w:rsidR="00E136DC">
        <w:rPr>
          <w:rFonts w:eastAsia="Times New Roman" w:cs="Times New Roman"/>
          <w:lang w:eastAsia="de-DE"/>
        </w:rPr>
        <w:t>Pesach</w:t>
      </w:r>
      <w:r w:rsidRPr="003006FE">
        <w:rPr>
          <w:rFonts w:eastAsia="Times New Roman" w:cs="Times New Roman"/>
          <w:lang w:eastAsia="de-DE"/>
        </w:rPr>
        <w:t xml:space="preserve"> feiern sollten.</w:t>
      </w:r>
    </w:p>
    <w:p w14:paraId="7AEEB164" w14:textId="77777777" w:rsidR="003006FE" w:rsidRPr="003006FE" w:rsidRDefault="00F329DD" w:rsidP="003006FE">
      <w:pPr>
        <w:spacing w:after="0" w:line="240" w:lineRule="auto"/>
        <w:rPr>
          <w:rFonts w:eastAsia="Times New Roman" w:cs="Times New Roman"/>
          <w:lang w:eastAsia="de-DE"/>
        </w:rPr>
      </w:pPr>
      <w:r>
        <w:rPr>
          <w:rFonts w:eastAsia="Times New Roman" w:cs="Times New Roman"/>
          <w:lang w:eastAsia="de-DE"/>
        </w:rPr>
        <w:pict w14:anchorId="3B98D8D6">
          <v:rect id="_x0000_i1324" style="width:0;height:1.5pt" o:hralign="center" o:hrstd="t" o:hr="t" fillcolor="#a0a0a0" stroked="f"/>
        </w:pict>
      </w:r>
    </w:p>
    <w:p w14:paraId="321847BC" w14:textId="27D1CD68"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Kommentar:</w:t>
      </w:r>
      <w:r w:rsidRPr="003006FE">
        <w:rPr>
          <w:rFonts w:eastAsia="Times New Roman" w:cs="Times New Roman"/>
          <w:lang w:eastAsia="de-DE"/>
        </w:rPr>
        <w:t xml:space="preserve"> Der Vers berichtet Moses Weitergabe des Befehls. </w:t>
      </w:r>
      <w:r w:rsidRPr="003006FE">
        <w:rPr>
          <w:rFonts w:eastAsia="Times New Roman" w:cs="Times New Roman"/>
          <w:b/>
          <w:bCs/>
          <w:rtl/>
          <w:lang w:eastAsia="de-DE"/>
        </w:rPr>
        <w:t>וַיְדַבֵּר מֹשֶׁה אֶל־בְּנֵי יִשְׂרָאֵל לַעֲשֹׂת הַפָּסַח</w:t>
      </w:r>
      <w:r w:rsidRPr="003006FE">
        <w:rPr>
          <w:rFonts w:eastAsia="Times New Roman" w:cs="Times New Roman"/>
          <w:rtl/>
          <w:lang w:eastAsia="de-DE"/>
        </w:rPr>
        <w:t xml:space="preserve"> </w:t>
      </w:r>
      <w:r w:rsidRPr="003006FE">
        <w:rPr>
          <w:rFonts w:eastAsia="Times New Roman" w:cs="Times New Roman"/>
          <w:lang w:eastAsia="de-DE"/>
        </w:rPr>
        <w:t xml:space="preserve">ist die gesamte Aussage. </w:t>
      </w:r>
      <w:r w:rsidRPr="003006FE">
        <w:rPr>
          <w:rFonts w:eastAsia="Times New Roman" w:cs="Times New Roman"/>
          <w:b/>
          <w:bCs/>
          <w:rtl/>
          <w:lang w:eastAsia="de-DE"/>
        </w:rPr>
        <w:t>וַיְדַבֵּר מֹשֶׁה</w:t>
      </w:r>
      <w:r w:rsidRPr="003006FE">
        <w:rPr>
          <w:rFonts w:eastAsia="Times New Roman" w:cs="Times New Roman"/>
          <w:rtl/>
          <w:lang w:eastAsia="de-DE"/>
        </w:rPr>
        <w:t xml:space="preserve"> </w:t>
      </w:r>
      <w:r w:rsidRPr="003006FE">
        <w:rPr>
          <w:rFonts w:eastAsia="Times New Roman" w:cs="Times New Roman"/>
          <w:lang w:eastAsia="de-DE"/>
        </w:rPr>
        <w:t xml:space="preserve">(Piel Wayyiqtol von </w:t>
      </w:r>
      <w:r w:rsidRPr="003006FE">
        <w:rPr>
          <w:rFonts w:eastAsia="Times New Roman" w:cs="Times New Roman"/>
          <w:b/>
          <w:bCs/>
          <w:rtl/>
          <w:lang w:eastAsia="de-DE"/>
        </w:rPr>
        <w:t>דבר</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מֹשֶׁה</w:t>
      </w:r>
      <w:r w:rsidRPr="003006FE">
        <w:rPr>
          <w:rFonts w:eastAsia="Times New Roman" w:cs="Times New Roman"/>
          <w:rtl/>
          <w:lang w:eastAsia="de-DE"/>
        </w:rPr>
        <w:t xml:space="preserve"> </w:t>
      </w:r>
      <w:r w:rsidRPr="003006FE">
        <w:rPr>
          <w:rFonts w:eastAsia="Times New Roman" w:cs="Times New Roman"/>
          <w:lang w:eastAsia="de-DE"/>
        </w:rPr>
        <w:t xml:space="preserve">als Subjekt), </w:t>
      </w:r>
      <w:r w:rsidRPr="003006FE">
        <w:rPr>
          <w:rFonts w:eastAsia="Times New Roman" w:cs="Times New Roman"/>
          <w:b/>
          <w:bCs/>
          <w:rtl/>
          <w:lang w:eastAsia="de-DE"/>
        </w:rPr>
        <w:t>אֶל־בְּנֵי יִשְׂרָאֵל</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אֶל</w:t>
      </w:r>
      <w:r w:rsidRPr="003006FE">
        <w:rPr>
          <w:rFonts w:eastAsia="Times New Roman" w:cs="Times New Roman"/>
          <w:rtl/>
          <w:lang w:eastAsia="de-DE"/>
        </w:rPr>
        <w:t xml:space="preserve"> </w:t>
      </w:r>
      <w:r w:rsidRPr="003006FE">
        <w:rPr>
          <w:rFonts w:eastAsia="Times New Roman" w:cs="Times New Roman"/>
          <w:lang w:eastAsia="de-DE"/>
        </w:rPr>
        <w:t xml:space="preserve">mit „Söhne Israels"), </w:t>
      </w:r>
      <w:r w:rsidRPr="003006FE">
        <w:rPr>
          <w:rFonts w:eastAsia="Times New Roman" w:cs="Times New Roman"/>
          <w:b/>
          <w:bCs/>
          <w:rtl/>
          <w:lang w:eastAsia="de-DE"/>
        </w:rPr>
        <w:t>לַעֲשֹׂת הַפָּסַח</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לְ</w:t>
      </w:r>
      <w:r w:rsidRPr="003006FE">
        <w:rPr>
          <w:rFonts w:eastAsia="Times New Roman" w:cs="Times New Roman"/>
          <w:rtl/>
          <w:lang w:eastAsia="de-DE"/>
        </w:rPr>
        <w:t xml:space="preserve"> </w:t>
      </w:r>
      <w:r w:rsidRPr="003006FE">
        <w:rPr>
          <w:rFonts w:eastAsia="Times New Roman" w:cs="Times New Roman"/>
          <w:lang w:eastAsia="de-DE"/>
        </w:rPr>
        <w:t xml:space="preserve">mit Qal Infinitiv </w:t>
      </w:r>
      <w:r w:rsidR="00F133EC">
        <w:rPr>
          <w:rFonts w:eastAsia="Times New Roman" w:cs="Times New Roman"/>
          <w:lang w:eastAsia="de-DE"/>
        </w:rPr>
        <w:t>Constructus</w:t>
      </w:r>
      <w:r w:rsidRPr="003006FE">
        <w:rPr>
          <w:rFonts w:eastAsia="Times New Roman" w:cs="Times New Roman"/>
          <w:lang w:eastAsia="de-DE"/>
        </w:rPr>
        <w:t xml:space="preserve"> von </w:t>
      </w:r>
      <w:r w:rsidRPr="003006FE">
        <w:rPr>
          <w:rFonts w:eastAsia="Times New Roman" w:cs="Times New Roman"/>
          <w:b/>
          <w:bCs/>
          <w:rtl/>
          <w:lang w:eastAsia="de-DE"/>
        </w:rPr>
        <w:t>עשׂה</w:t>
      </w:r>
      <w:r w:rsidRPr="003006FE">
        <w:rPr>
          <w:rFonts w:eastAsia="Times New Roman" w:cs="Times New Roman"/>
          <w:rtl/>
          <w:lang w:eastAsia="de-DE"/>
        </w:rPr>
        <w:t xml:space="preserve"> </w:t>
      </w:r>
      <w:r w:rsidRPr="003006FE">
        <w:rPr>
          <w:rFonts w:eastAsia="Times New Roman" w:cs="Times New Roman"/>
          <w:lang w:eastAsia="de-DE"/>
        </w:rPr>
        <w:t xml:space="preserve">und </w:t>
      </w:r>
      <w:r w:rsidRPr="003006FE">
        <w:rPr>
          <w:rFonts w:eastAsia="Times New Roman" w:cs="Times New Roman"/>
          <w:b/>
          <w:bCs/>
          <w:rtl/>
          <w:lang w:eastAsia="de-DE"/>
        </w:rPr>
        <w:t>פֶּסַח</w:t>
      </w:r>
      <w:r w:rsidRPr="003006FE">
        <w:rPr>
          <w:rFonts w:eastAsia="Times New Roman" w:cs="Times New Roman"/>
          <w:rtl/>
          <w:lang w:eastAsia="de-DE"/>
        </w:rPr>
        <w:t xml:space="preserve"> </w:t>
      </w:r>
      <w:r w:rsidRPr="003006FE">
        <w:rPr>
          <w:rFonts w:eastAsia="Times New Roman" w:cs="Times New Roman"/>
          <w:lang w:eastAsia="de-DE"/>
        </w:rPr>
        <w:t xml:space="preserve">mit Artikel „dass sie das </w:t>
      </w:r>
      <w:r w:rsidR="00E136DC">
        <w:rPr>
          <w:rFonts w:eastAsia="Times New Roman" w:cs="Times New Roman"/>
          <w:lang w:eastAsia="de-DE"/>
        </w:rPr>
        <w:t>Pesach</w:t>
      </w:r>
      <w:r w:rsidRPr="003006FE">
        <w:rPr>
          <w:rFonts w:eastAsia="Times New Roman" w:cs="Times New Roman"/>
          <w:lang w:eastAsia="de-DE"/>
        </w:rPr>
        <w:t xml:space="preserve"> feiern sollten" - finaler Infinitiv gibt den Inhalt der Rede an).</w:t>
      </w:r>
    </w:p>
    <w:p w14:paraId="6884BB41"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Die Satzstruktur zeigt ein Verb mit Subjekt, Adressat und finalem Infinitiv als Redeinhalt.</w:t>
      </w:r>
    </w:p>
    <w:p w14:paraId="4710A326"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Der Vers berichtet knapp Moses Gehorsam - er gibt Gottes Befehl weiter. Die Kürze signalisiert: selbstverständlicher Gehorsam ohne Verzögerung.</w:t>
      </w:r>
    </w:p>
    <w:p w14:paraId="644FD047" w14:textId="77777777" w:rsidR="003006FE" w:rsidRPr="003006FE" w:rsidRDefault="003006FE" w:rsidP="003006FE">
      <w:pPr>
        <w:spacing w:before="100" w:beforeAutospacing="1" w:after="100" w:afterAutospacing="1" w:line="240" w:lineRule="auto"/>
        <w:outlineLvl w:val="0"/>
        <w:rPr>
          <w:rFonts w:eastAsia="Times New Roman" w:cs="Times New Roman"/>
          <w:b/>
          <w:bCs/>
          <w:kern w:val="36"/>
          <w:sz w:val="48"/>
          <w:szCs w:val="48"/>
          <w:lang w:eastAsia="de-DE"/>
        </w:rPr>
      </w:pPr>
      <w:r w:rsidRPr="003006FE">
        <w:rPr>
          <w:rFonts w:eastAsia="Times New Roman" w:cs="Times New Roman"/>
          <w:b/>
          <w:bCs/>
          <w:kern w:val="36"/>
          <w:sz w:val="48"/>
          <w:szCs w:val="48"/>
          <w:lang w:eastAsia="de-DE"/>
        </w:rPr>
        <w:t>Numeri 9,5</w:t>
      </w:r>
    </w:p>
    <w:p w14:paraId="64F62E13"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Hebräisch:</w:t>
      </w:r>
      <w:r w:rsidRPr="003006FE">
        <w:rPr>
          <w:rFonts w:eastAsia="Times New Roman" w:cs="Times New Roman"/>
          <w:lang w:eastAsia="de-DE"/>
        </w:rPr>
        <w:t xml:space="preserve"> </w:t>
      </w:r>
      <w:r w:rsidRPr="003006FE">
        <w:rPr>
          <w:rFonts w:eastAsia="Times New Roman" w:cs="Times New Roman"/>
          <w:rtl/>
          <w:lang w:eastAsia="de-DE"/>
        </w:rPr>
        <w:t>וַיַּעֲשׂ֣וּ אֶת־הַפֶּ֡סַח בָּרִאשׁ֡וֹן בְּאַרְבָּעָה֩ עָשָׂ֨ר י֥וֹם לַחֹ֛דֶשׁ בֵּ֥ין הָעַרְבַּ֖יִם בְּמִדְבַּ֣ר סִינָ֑י כְּ֠כֹל אֲשֶׁ֨ר צִוָּ֤ה יְהוָה֙ אֶת־מֹשֶׁ֔ה כֵּ֥ן עָשׂ֖וּ בְּנֵ֥י יִשְׂרָאֵֽל׃</w:t>
      </w:r>
    </w:p>
    <w:p w14:paraId="53527986" w14:textId="21F56289"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lastRenderedPageBreak/>
        <w:t>Deutsch:</w:t>
      </w:r>
      <w:r w:rsidRPr="003006FE">
        <w:rPr>
          <w:rFonts w:eastAsia="Times New Roman" w:cs="Times New Roman"/>
          <w:lang w:eastAsia="de-DE"/>
        </w:rPr>
        <w:t xml:space="preserve"> Und sie feierten das </w:t>
      </w:r>
      <w:r w:rsidR="00E136DC">
        <w:rPr>
          <w:rFonts w:eastAsia="Times New Roman" w:cs="Times New Roman"/>
          <w:lang w:eastAsia="de-DE"/>
        </w:rPr>
        <w:t>Pesach</w:t>
      </w:r>
      <w:r w:rsidRPr="003006FE">
        <w:rPr>
          <w:rFonts w:eastAsia="Times New Roman" w:cs="Times New Roman"/>
          <w:lang w:eastAsia="de-DE"/>
        </w:rPr>
        <w:t xml:space="preserve"> im ersten Monat, am 14. Tag des Monats, zwischen den beiden Abenden, in der Wüste Sinai; nach allem, was der Ewige Mosche geboten hatte, so taten die Söhne Jisra'el.</w:t>
      </w:r>
    </w:p>
    <w:p w14:paraId="1E0CF5BB" w14:textId="77777777" w:rsidR="003006FE" w:rsidRPr="003006FE" w:rsidRDefault="00F329DD" w:rsidP="003006FE">
      <w:pPr>
        <w:spacing w:after="0" w:line="240" w:lineRule="auto"/>
        <w:rPr>
          <w:rFonts w:eastAsia="Times New Roman" w:cs="Times New Roman"/>
          <w:lang w:eastAsia="de-DE"/>
        </w:rPr>
      </w:pPr>
      <w:r>
        <w:rPr>
          <w:rFonts w:eastAsia="Times New Roman" w:cs="Times New Roman"/>
          <w:lang w:eastAsia="de-DE"/>
        </w:rPr>
        <w:pict w14:anchorId="71C361EE">
          <v:rect id="_x0000_i1325" style="width:0;height:1.5pt" o:hralign="center" o:hrstd="t" o:hr="t" fillcolor="#a0a0a0" stroked="f"/>
        </w:pict>
      </w:r>
    </w:p>
    <w:p w14:paraId="723BB78F"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Kommentar:</w:t>
      </w:r>
      <w:r w:rsidRPr="003006FE">
        <w:rPr>
          <w:rFonts w:eastAsia="Times New Roman" w:cs="Times New Roman"/>
          <w:lang w:eastAsia="de-DE"/>
        </w:rPr>
        <w:t xml:space="preserve"> Der Vers berichtet die gehorsame Ausführung des Befehls. </w:t>
      </w:r>
      <w:r w:rsidRPr="003006FE">
        <w:rPr>
          <w:rFonts w:eastAsia="Times New Roman" w:cs="Times New Roman"/>
          <w:b/>
          <w:bCs/>
          <w:rtl/>
          <w:lang w:eastAsia="de-DE"/>
        </w:rPr>
        <w:t>וַיַּעֲשׂוּ אֶת־הַפֶּסַח בָּרִאשׁוֹן בְּאַרְבָּעָה עָשָׂר יוֹם לַחֹדֶשׁ בֵּין הָעַרְבַיִם בְּמִדְבַּר סִינָי</w:t>
      </w:r>
      <w:r w:rsidRPr="003006FE">
        <w:rPr>
          <w:rFonts w:eastAsia="Times New Roman" w:cs="Times New Roman"/>
          <w:rtl/>
          <w:lang w:eastAsia="de-DE"/>
        </w:rPr>
        <w:t xml:space="preserve"> </w:t>
      </w:r>
      <w:r w:rsidRPr="003006FE">
        <w:rPr>
          <w:rFonts w:eastAsia="Times New Roman" w:cs="Times New Roman"/>
          <w:lang w:eastAsia="de-DE"/>
        </w:rPr>
        <w:t xml:space="preserve">ist die Hauptaussage. </w:t>
      </w:r>
      <w:r w:rsidRPr="003006FE">
        <w:rPr>
          <w:rFonts w:eastAsia="Times New Roman" w:cs="Times New Roman"/>
          <w:b/>
          <w:bCs/>
          <w:rtl/>
          <w:lang w:eastAsia="de-DE"/>
        </w:rPr>
        <w:t>וַיַּעֲשׂוּ</w:t>
      </w:r>
      <w:r w:rsidRPr="003006FE">
        <w:rPr>
          <w:rFonts w:eastAsia="Times New Roman" w:cs="Times New Roman"/>
          <w:rtl/>
          <w:lang w:eastAsia="de-DE"/>
        </w:rPr>
        <w:t xml:space="preserve"> </w:t>
      </w:r>
      <w:r w:rsidRPr="003006FE">
        <w:rPr>
          <w:rFonts w:eastAsia="Times New Roman" w:cs="Times New Roman"/>
          <w:lang w:eastAsia="de-DE"/>
        </w:rPr>
        <w:t xml:space="preserve">(Qal Wayyiqtol 3. Person Plural von </w:t>
      </w:r>
      <w:r w:rsidRPr="003006FE">
        <w:rPr>
          <w:rFonts w:eastAsia="Times New Roman" w:cs="Times New Roman"/>
          <w:b/>
          <w:bCs/>
          <w:rtl/>
          <w:lang w:eastAsia="de-DE"/>
        </w:rPr>
        <w:t>עשׂה</w:t>
      </w:r>
      <w:r w:rsidRPr="003006FE">
        <w:rPr>
          <w:rFonts w:eastAsia="Times New Roman" w:cs="Times New Roman"/>
          <w:rtl/>
          <w:lang w:eastAsia="de-DE"/>
        </w:rPr>
        <w:t xml:space="preserve"> </w:t>
      </w:r>
      <w:r w:rsidRPr="003006FE">
        <w:rPr>
          <w:rFonts w:eastAsia="Times New Roman" w:cs="Times New Roman"/>
          <w:lang w:eastAsia="de-DE"/>
        </w:rPr>
        <w:t xml:space="preserve">„und sie feierten"), </w:t>
      </w:r>
      <w:r w:rsidRPr="003006FE">
        <w:rPr>
          <w:rFonts w:eastAsia="Times New Roman" w:cs="Times New Roman"/>
          <w:b/>
          <w:bCs/>
          <w:rtl/>
          <w:lang w:eastAsia="de-DE"/>
        </w:rPr>
        <w:t>אֶת־הַפֶּסַח</w:t>
      </w:r>
      <w:r w:rsidRPr="003006FE">
        <w:rPr>
          <w:rFonts w:eastAsia="Times New Roman" w:cs="Times New Roman"/>
          <w:rtl/>
          <w:lang w:eastAsia="de-DE"/>
        </w:rPr>
        <w:t xml:space="preserve"> </w:t>
      </w:r>
      <w:r w:rsidRPr="003006FE">
        <w:rPr>
          <w:rFonts w:eastAsia="Times New Roman" w:cs="Times New Roman"/>
          <w:lang w:eastAsia="de-DE"/>
        </w:rPr>
        <w:t xml:space="preserve">(Akkusativpartikel mit </w:t>
      </w:r>
      <w:r w:rsidRPr="003006FE">
        <w:rPr>
          <w:rFonts w:eastAsia="Times New Roman" w:cs="Times New Roman"/>
          <w:b/>
          <w:bCs/>
          <w:rtl/>
          <w:lang w:eastAsia="de-DE"/>
        </w:rPr>
        <w:t>פֶּסַח</w:t>
      </w:r>
      <w:r w:rsidRPr="003006FE">
        <w:rPr>
          <w:rFonts w:eastAsia="Times New Roman" w:cs="Times New Roman"/>
          <w:rtl/>
          <w:lang w:eastAsia="de-DE"/>
        </w:rPr>
        <w:t xml:space="preserve"> </w:t>
      </w:r>
      <w:r w:rsidRPr="003006FE">
        <w:rPr>
          <w:rFonts w:eastAsia="Times New Roman" w:cs="Times New Roman"/>
          <w:lang w:eastAsia="de-DE"/>
        </w:rPr>
        <w:t xml:space="preserve">mit Artikel), </w:t>
      </w:r>
      <w:r w:rsidRPr="003006FE">
        <w:rPr>
          <w:rFonts w:eastAsia="Times New Roman" w:cs="Times New Roman"/>
          <w:b/>
          <w:bCs/>
          <w:rtl/>
          <w:lang w:eastAsia="de-DE"/>
        </w:rPr>
        <w:t>בָּרִאשׁוֹן</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בְ</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רִאשׁוֹן</w:t>
      </w:r>
      <w:r w:rsidRPr="003006FE">
        <w:rPr>
          <w:rFonts w:eastAsia="Times New Roman" w:cs="Times New Roman"/>
          <w:rtl/>
          <w:lang w:eastAsia="de-DE"/>
        </w:rPr>
        <w:t xml:space="preserve"> </w:t>
      </w:r>
      <w:r w:rsidRPr="003006FE">
        <w:rPr>
          <w:rFonts w:eastAsia="Times New Roman" w:cs="Times New Roman"/>
          <w:lang w:eastAsia="de-DE"/>
        </w:rPr>
        <w:t xml:space="preserve">mit Artikel „im ersten" - </w:t>
      </w:r>
      <w:r w:rsidRPr="003006FE">
        <w:rPr>
          <w:rFonts w:eastAsia="Times New Roman" w:cs="Times New Roman"/>
          <w:b/>
          <w:bCs/>
          <w:rtl/>
          <w:lang w:eastAsia="de-DE"/>
        </w:rPr>
        <w:t>חֹדֶשׁ</w:t>
      </w:r>
      <w:r w:rsidRPr="003006FE">
        <w:rPr>
          <w:rFonts w:eastAsia="Times New Roman" w:cs="Times New Roman"/>
          <w:rtl/>
          <w:lang w:eastAsia="de-DE"/>
        </w:rPr>
        <w:t xml:space="preserve"> </w:t>
      </w:r>
      <w:r w:rsidRPr="003006FE">
        <w:rPr>
          <w:rFonts w:eastAsia="Times New Roman" w:cs="Times New Roman"/>
          <w:lang w:eastAsia="de-DE"/>
        </w:rPr>
        <w:t xml:space="preserve">ist aus dem Kontext zu ergänzen), </w:t>
      </w:r>
      <w:r w:rsidRPr="003006FE">
        <w:rPr>
          <w:rFonts w:eastAsia="Times New Roman" w:cs="Times New Roman"/>
          <w:b/>
          <w:bCs/>
          <w:rtl/>
          <w:lang w:eastAsia="de-DE"/>
        </w:rPr>
        <w:t>בְּאַרְבָּעָה עָשָׂר יוֹם לַחֹדֶשׁ</w:t>
      </w:r>
      <w:r w:rsidRPr="003006FE">
        <w:rPr>
          <w:rFonts w:eastAsia="Times New Roman" w:cs="Times New Roman"/>
          <w:rtl/>
          <w:lang w:eastAsia="de-DE"/>
        </w:rPr>
        <w:t xml:space="preserve"> </w:t>
      </w:r>
      <w:r w:rsidRPr="003006FE">
        <w:rPr>
          <w:rFonts w:eastAsia="Times New Roman" w:cs="Times New Roman"/>
          <w:lang w:eastAsia="de-DE"/>
        </w:rPr>
        <w:t xml:space="preserve">(wie V. 3, mit Präposition </w:t>
      </w:r>
      <w:r w:rsidRPr="003006FE">
        <w:rPr>
          <w:rFonts w:eastAsia="Times New Roman" w:cs="Times New Roman"/>
          <w:b/>
          <w:bCs/>
          <w:rtl/>
          <w:lang w:eastAsia="de-DE"/>
        </w:rPr>
        <w:t>לְ</w:t>
      </w:r>
      <w:r w:rsidRPr="003006FE">
        <w:rPr>
          <w:rFonts w:eastAsia="Times New Roman" w:cs="Times New Roman"/>
          <w:rtl/>
          <w:lang w:eastAsia="de-DE"/>
        </w:rPr>
        <w:t xml:space="preserve"> </w:t>
      </w:r>
      <w:r w:rsidRPr="003006FE">
        <w:rPr>
          <w:rFonts w:eastAsia="Times New Roman" w:cs="Times New Roman"/>
          <w:lang w:eastAsia="de-DE"/>
        </w:rPr>
        <w:t xml:space="preserve">statt </w:t>
      </w:r>
      <w:r w:rsidRPr="003006FE">
        <w:rPr>
          <w:rFonts w:eastAsia="Times New Roman" w:cs="Times New Roman"/>
          <w:b/>
          <w:bCs/>
          <w:rtl/>
          <w:lang w:eastAsia="de-DE"/>
        </w:rPr>
        <w:t>בְ</w:t>
      </w:r>
      <w:r w:rsidRPr="003006FE">
        <w:rPr>
          <w:rFonts w:eastAsia="Times New Roman" w:cs="Times New Roman"/>
          <w:rtl/>
          <w:lang w:eastAsia="de-DE"/>
        </w:rPr>
        <w:t xml:space="preserve"> </w:t>
      </w:r>
      <w:r w:rsidRPr="003006FE">
        <w:rPr>
          <w:rFonts w:eastAsia="Times New Roman" w:cs="Times New Roman"/>
          <w:lang w:eastAsia="de-DE"/>
        </w:rPr>
        <w:t xml:space="preserve">vor </w:t>
      </w:r>
      <w:r w:rsidRPr="003006FE">
        <w:rPr>
          <w:rFonts w:eastAsia="Times New Roman" w:cs="Times New Roman"/>
          <w:b/>
          <w:bCs/>
          <w:rtl/>
          <w:lang w:eastAsia="de-DE"/>
        </w:rPr>
        <w:t>חֹדֶשׁ</w:t>
      </w:r>
      <w:r w:rsidRPr="003006FE">
        <w:rPr>
          <w:rFonts w:eastAsia="Times New Roman" w:cs="Times New Roman"/>
          <w:lang w:eastAsia="de-DE"/>
        </w:rPr>
        <w:t xml:space="preserve">), </w:t>
      </w:r>
      <w:r w:rsidRPr="003006FE">
        <w:rPr>
          <w:rFonts w:eastAsia="Times New Roman" w:cs="Times New Roman"/>
          <w:b/>
          <w:bCs/>
          <w:rtl/>
          <w:lang w:eastAsia="de-DE"/>
        </w:rPr>
        <w:t>בֵּין הָעַרְבַיִם</w:t>
      </w:r>
      <w:r w:rsidRPr="003006FE">
        <w:rPr>
          <w:rFonts w:eastAsia="Times New Roman" w:cs="Times New Roman"/>
          <w:rtl/>
          <w:lang w:eastAsia="de-DE"/>
        </w:rPr>
        <w:t xml:space="preserve"> </w:t>
      </w:r>
      <w:r w:rsidRPr="003006FE">
        <w:rPr>
          <w:rFonts w:eastAsia="Times New Roman" w:cs="Times New Roman"/>
          <w:lang w:eastAsia="de-DE"/>
        </w:rPr>
        <w:t xml:space="preserve">(wie V. 3), </w:t>
      </w:r>
      <w:r w:rsidRPr="003006FE">
        <w:rPr>
          <w:rFonts w:eastAsia="Times New Roman" w:cs="Times New Roman"/>
          <w:b/>
          <w:bCs/>
          <w:rtl/>
          <w:lang w:eastAsia="de-DE"/>
        </w:rPr>
        <w:t>בְּמִדְבַּר סִינָי</w:t>
      </w:r>
      <w:r w:rsidRPr="003006FE">
        <w:rPr>
          <w:rFonts w:eastAsia="Times New Roman" w:cs="Times New Roman"/>
          <w:rtl/>
          <w:lang w:eastAsia="de-DE"/>
        </w:rPr>
        <w:t xml:space="preserve"> </w:t>
      </w:r>
      <w:r w:rsidRPr="003006FE">
        <w:rPr>
          <w:rFonts w:eastAsia="Times New Roman" w:cs="Times New Roman"/>
          <w:lang w:eastAsia="de-DE"/>
        </w:rPr>
        <w:t>(Ortsangabe wie V. 1).</w:t>
      </w:r>
    </w:p>
    <w:p w14:paraId="77FDE4BA" w14:textId="7AF7877A" w:rsid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rtl/>
          <w:lang w:eastAsia="de-DE"/>
        </w:rPr>
        <w:t>כְּכֹל אֲשֶׁר צִוָּה יהוה אֶת־מֹשֶׁה כֵּן עָשׂוּ בְּנֵי יִשְׂרָאֵל</w:t>
      </w:r>
      <w:r w:rsidRPr="003006FE">
        <w:rPr>
          <w:rFonts w:eastAsia="Times New Roman" w:cs="Times New Roman"/>
          <w:rtl/>
          <w:lang w:eastAsia="de-DE"/>
        </w:rPr>
        <w:t xml:space="preserve"> </w:t>
      </w:r>
      <w:r w:rsidRPr="003006FE">
        <w:rPr>
          <w:rFonts w:eastAsia="Times New Roman" w:cs="Times New Roman"/>
          <w:lang w:eastAsia="de-DE"/>
        </w:rPr>
        <w:t xml:space="preserve">ist die Gehorsamsformel. </w:t>
      </w:r>
      <w:r w:rsidRPr="003006FE">
        <w:rPr>
          <w:rFonts w:eastAsia="Times New Roman" w:cs="Times New Roman"/>
          <w:b/>
          <w:bCs/>
          <w:rtl/>
          <w:lang w:eastAsia="de-DE"/>
        </w:rPr>
        <w:t>כְּכֹל אֲשֶׁר צִוָּה יהוה אֶת־מֹשֶׁה</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כְּ</w:t>
      </w:r>
      <w:r w:rsidRPr="003006FE">
        <w:rPr>
          <w:rFonts w:eastAsia="Times New Roman" w:cs="Times New Roman"/>
          <w:rtl/>
          <w:lang w:eastAsia="de-DE"/>
        </w:rPr>
        <w:t xml:space="preserve"> </w:t>
      </w:r>
      <w:r w:rsidRPr="003006FE">
        <w:rPr>
          <w:rFonts w:eastAsia="Times New Roman" w:cs="Times New Roman"/>
          <w:lang w:eastAsia="de-DE"/>
        </w:rPr>
        <w:t xml:space="preserve">„wie, gemäß" mit </w:t>
      </w:r>
      <w:r w:rsidRPr="003006FE">
        <w:rPr>
          <w:rFonts w:eastAsia="Times New Roman" w:cs="Times New Roman"/>
          <w:b/>
          <w:bCs/>
          <w:rtl/>
          <w:lang w:eastAsia="de-DE"/>
        </w:rPr>
        <w:t>כֹּל</w:t>
      </w:r>
      <w:r w:rsidRPr="003006FE">
        <w:rPr>
          <w:rFonts w:eastAsia="Times New Roman" w:cs="Times New Roman"/>
          <w:rtl/>
          <w:lang w:eastAsia="de-DE"/>
        </w:rPr>
        <w:t xml:space="preserve"> </w:t>
      </w:r>
      <w:r w:rsidRPr="003006FE">
        <w:rPr>
          <w:rFonts w:eastAsia="Times New Roman" w:cs="Times New Roman"/>
          <w:lang w:eastAsia="de-DE"/>
        </w:rPr>
        <w:t xml:space="preserve">und Relativsatz: Piel Perfekt von </w:t>
      </w:r>
      <w:r w:rsidRPr="003006FE">
        <w:rPr>
          <w:rFonts w:eastAsia="Times New Roman" w:cs="Times New Roman"/>
          <w:b/>
          <w:bCs/>
          <w:rtl/>
          <w:lang w:eastAsia="de-DE"/>
        </w:rPr>
        <w:t>צוה</w:t>
      </w:r>
      <w:r w:rsidRPr="003006FE">
        <w:rPr>
          <w:rFonts w:eastAsia="Times New Roman" w:cs="Times New Roman"/>
          <w:rtl/>
          <w:lang w:eastAsia="de-DE"/>
        </w:rPr>
        <w:t xml:space="preserve"> </w:t>
      </w:r>
      <w:r w:rsidRPr="003006FE">
        <w:rPr>
          <w:rFonts w:eastAsia="Times New Roman" w:cs="Times New Roman"/>
          <w:lang w:eastAsia="de-DE"/>
        </w:rPr>
        <w:t xml:space="preserve">„befehlen" mit Tetragramm als Subjekt und Akkusativ </w:t>
      </w:r>
      <w:r w:rsidRPr="003006FE">
        <w:rPr>
          <w:rFonts w:eastAsia="Times New Roman" w:cs="Times New Roman"/>
          <w:b/>
          <w:bCs/>
          <w:rtl/>
          <w:lang w:eastAsia="de-DE"/>
        </w:rPr>
        <w:t>מֹשֶׁה</w:t>
      </w:r>
      <w:r w:rsidRPr="003006FE">
        <w:rPr>
          <w:rFonts w:eastAsia="Times New Roman" w:cs="Times New Roman"/>
          <w:rtl/>
          <w:lang w:eastAsia="de-DE"/>
        </w:rPr>
        <w:t xml:space="preserve"> </w:t>
      </w:r>
      <w:r w:rsidRPr="003006FE">
        <w:rPr>
          <w:rFonts w:eastAsia="Times New Roman" w:cs="Times New Roman"/>
          <w:lang w:eastAsia="de-DE"/>
        </w:rPr>
        <w:t xml:space="preserve">„nach allem, was der Ewige Mosche geboten hatte"), </w:t>
      </w:r>
      <w:r w:rsidRPr="003006FE">
        <w:rPr>
          <w:rFonts w:eastAsia="Times New Roman" w:cs="Times New Roman"/>
          <w:b/>
          <w:bCs/>
          <w:rtl/>
          <w:lang w:eastAsia="de-DE"/>
        </w:rPr>
        <w:t>כֵּן עָשׂוּ בְּנֵי יִשְׂרָאֵל</w:t>
      </w:r>
      <w:r w:rsidRPr="003006FE">
        <w:rPr>
          <w:rFonts w:eastAsia="Times New Roman" w:cs="Times New Roman"/>
          <w:rtl/>
          <w:lang w:eastAsia="de-DE"/>
        </w:rPr>
        <w:t xml:space="preserve"> </w:t>
      </w:r>
      <w:r w:rsidRPr="003006FE">
        <w:rPr>
          <w:rFonts w:eastAsia="Times New Roman" w:cs="Times New Roman"/>
          <w:lang w:eastAsia="de-DE"/>
        </w:rPr>
        <w:t xml:space="preserve">(Adverb </w:t>
      </w:r>
      <w:r w:rsidRPr="003006FE">
        <w:rPr>
          <w:rFonts w:eastAsia="Times New Roman" w:cs="Times New Roman"/>
          <w:b/>
          <w:bCs/>
          <w:rtl/>
          <w:lang w:eastAsia="de-DE"/>
        </w:rPr>
        <w:t>כֵּן</w:t>
      </w:r>
      <w:r w:rsidRPr="003006FE">
        <w:rPr>
          <w:rFonts w:eastAsia="Times New Roman" w:cs="Times New Roman"/>
          <w:rtl/>
          <w:lang w:eastAsia="de-DE"/>
        </w:rPr>
        <w:t xml:space="preserve"> </w:t>
      </w:r>
      <w:r w:rsidRPr="003006FE">
        <w:rPr>
          <w:rFonts w:eastAsia="Times New Roman" w:cs="Times New Roman"/>
          <w:lang w:eastAsia="de-DE"/>
        </w:rPr>
        <w:t xml:space="preserve">„so" mit Qal Perfekt 3. Person Plural von </w:t>
      </w:r>
      <w:r w:rsidRPr="003006FE">
        <w:rPr>
          <w:rFonts w:eastAsia="Times New Roman" w:cs="Times New Roman"/>
          <w:b/>
          <w:bCs/>
          <w:rtl/>
          <w:lang w:eastAsia="de-DE"/>
        </w:rPr>
        <w:t>עשׂה</w:t>
      </w:r>
      <w:r w:rsidRPr="003006FE">
        <w:rPr>
          <w:rFonts w:eastAsia="Times New Roman" w:cs="Times New Roman"/>
          <w:rtl/>
          <w:lang w:eastAsia="de-DE"/>
        </w:rPr>
        <w:t xml:space="preserve"> </w:t>
      </w:r>
      <w:r w:rsidRPr="003006FE">
        <w:rPr>
          <w:rFonts w:eastAsia="Times New Roman" w:cs="Times New Roman"/>
          <w:lang w:eastAsia="de-DE"/>
        </w:rPr>
        <w:t>und Subjekt „so taten die Söhne Israels").</w:t>
      </w:r>
    </w:p>
    <w:p w14:paraId="05154956" w14:textId="30839437" w:rsidR="003006FE" w:rsidRPr="003006FE" w:rsidRDefault="003006FE" w:rsidP="003006FE">
      <w:pPr>
        <w:spacing w:before="100" w:beforeAutospacing="1" w:after="100" w:afterAutospacing="1" w:line="240" w:lineRule="auto"/>
        <w:rPr>
          <w:rFonts w:eastAsia="Times New Roman" w:cs="Times New Roman"/>
          <w:lang w:eastAsia="de-DE"/>
        </w:rPr>
      </w:pPr>
      <w:r>
        <w:rPr>
          <w:rStyle w:val="Fett"/>
        </w:rPr>
        <w:t>Die LXX</w:t>
      </w:r>
      <w:r>
        <w:t xml:space="preserve"> hat „ἐναρχομένου τῇ τεσσαρεσκαιδεκάτῃ ἡμέρᾳ" (beginnend am vierzehnten Tag), während der MT „</w:t>
      </w:r>
      <w:r>
        <w:rPr>
          <w:rtl/>
        </w:rPr>
        <w:t>בָּרִאשׁוֹן בְּאַרְבָּעָה עָשָׂר יוֹם</w:t>
      </w:r>
      <w:r>
        <w:t>" (im ersten [Monat], am vierzehnten Tag) hat. Die LXX lässt „</w:t>
      </w:r>
      <w:r>
        <w:rPr>
          <w:rtl/>
        </w:rPr>
        <w:t>בָּרִאשׁוֹן</w:t>
      </w:r>
      <w:r>
        <w:t>" (im ersten [Monat]) aus und fügt stattdessen ein Partizip „ἐναρχομένου" (beginnend) hinzu, und lässt auch „</w:t>
      </w:r>
      <w:r>
        <w:rPr>
          <w:rtl/>
        </w:rPr>
        <w:t>בֵּין הָעַרְבָּיִם</w:t>
      </w:r>
      <w:r>
        <w:t>" (zwischen den Abenden) vollständig aus.</w:t>
      </w:r>
    </w:p>
    <w:p w14:paraId="623CB678"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Die Satzstruktur zeigt eine Hauptaussage mit vierfacher adverbialer Bestimmung (Monat, Tag, Tageszeit, Ort), gefolgt von einer vergleichenden Gehorsamsformel.</w:t>
      </w:r>
    </w:p>
    <w:p w14:paraId="4E310005"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 xml:space="preserve">Der Vers spiegelt V. 3 in der Ausführung: Die präzisen Zeitangaben aus dem Befehl werden in der Ausführung wiederholt - vollständiger Gehorsam. Die Formel </w:t>
      </w:r>
      <w:r w:rsidRPr="003006FE">
        <w:rPr>
          <w:rFonts w:eastAsia="Times New Roman" w:cs="Times New Roman"/>
          <w:b/>
          <w:bCs/>
          <w:rtl/>
          <w:lang w:eastAsia="de-DE"/>
        </w:rPr>
        <w:t>כְּכֹל אֲשֶׁר צִוָּה יהוה ... כֵּן עָשׂוּ</w:t>
      </w:r>
      <w:r w:rsidRPr="003006FE">
        <w:rPr>
          <w:rFonts w:eastAsia="Times New Roman" w:cs="Times New Roman"/>
          <w:rtl/>
          <w:lang w:eastAsia="de-DE"/>
        </w:rPr>
        <w:t xml:space="preserve"> </w:t>
      </w:r>
      <w:r w:rsidRPr="003006FE">
        <w:rPr>
          <w:rFonts w:eastAsia="Times New Roman" w:cs="Times New Roman"/>
          <w:lang w:eastAsia="de-DE"/>
        </w:rPr>
        <w:t>(„wie der Ewige geboten hatte ... so taten sie") ist die klassische Gehorsamsformel des Pentateuch - sie betont die exakte Übereinstimmung zwischen Befehl und Ausführung.</w:t>
      </w:r>
    </w:p>
    <w:p w14:paraId="48DAA545" w14:textId="77777777" w:rsidR="003006FE" w:rsidRPr="003006FE" w:rsidRDefault="003006FE" w:rsidP="003006FE">
      <w:pPr>
        <w:spacing w:before="100" w:beforeAutospacing="1" w:after="100" w:afterAutospacing="1" w:line="240" w:lineRule="auto"/>
        <w:outlineLvl w:val="0"/>
        <w:rPr>
          <w:rFonts w:eastAsia="Times New Roman" w:cs="Times New Roman"/>
          <w:b/>
          <w:bCs/>
          <w:kern w:val="36"/>
          <w:sz w:val="48"/>
          <w:szCs w:val="48"/>
          <w:lang w:eastAsia="de-DE"/>
        </w:rPr>
      </w:pPr>
      <w:r w:rsidRPr="003006FE">
        <w:rPr>
          <w:rFonts w:eastAsia="Times New Roman" w:cs="Times New Roman"/>
          <w:b/>
          <w:bCs/>
          <w:kern w:val="36"/>
          <w:sz w:val="48"/>
          <w:szCs w:val="48"/>
          <w:lang w:eastAsia="de-DE"/>
        </w:rPr>
        <w:t>Numeri 9,6</w:t>
      </w:r>
    </w:p>
    <w:p w14:paraId="07031FA9"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Hebräisch:</w:t>
      </w:r>
      <w:r w:rsidRPr="003006FE">
        <w:rPr>
          <w:rFonts w:eastAsia="Times New Roman" w:cs="Times New Roman"/>
          <w:lang w:eastAsia="de-DE"/>
        </w:rPr>
        <w:t xml:space="preserve"> </w:t>
      </w:r>
      <w:r w:rsidRPr="003006FE">
        <w:rPr>
          <w:rFonts w:eastAsia="Times New Roman" w:cs="Times New Roman"/>
          <w:rtl/>
          <w:lang w:eastAsia="de-DE"/>
        </w:rPr>
        <w:t>וַיְהִ֣י אֲנָשִׁ֗ים אֲשֶׁ֨ר הָי֤וּ טְמֵאִים֙ לְנֶ֣פֶשׁ אָדָ֔ם וְלֹא־יָכְל֥וּ לַעֲשֹׂת־הַפֶּ֖סַח בַּיּ֣וֹם הַה֑וּא וַֽיִּקְרְב֞וּ לִפְנֵ֥י מֹשֶׁ֛ה וְלִפְנֵ֥י אַהֲרֹ֖ן בַּיּ֥וֹם הַהֽוּא׃</w:t>
      </w:r>
    </w:p>
    <w:p w14:paraId="1DE256D6" w14:textId="5A49F161"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Deutsch:</w:t>
      </w:r>
      <w:r w:rsidRPr="003006FE">
        <w:rPr>
          <w:rFonts w:eastAsia="Times New Roman" w:cs="Times New Roman"/>
          <w:lang w:eastAsia="de-DE"/>
        </w:rPr>
        <w:t xml:space="preserve"> Und es waren Männer da, die unrein waren durch eine Menschenleiche und das </w:t>
      </w:r>
      <w:r w:rsidR="00E136DC">
        <w:rPr>
          <w:rFonts w:eastAsia="Times New Roman" w:cs="Times New Roman"/>
          <w:lang w:eastAsia="de-DE"/>
        </w:rPr>
        <w:t>Pesach</w:t>
      </w:r>
      <w:r w:rsidRPr="003006FE">
        <w:rPr>
          <w:rFonts w:eastAsia="Times New Roman" w:cs="Times New Roman"/>
          <w:lang w:eastAsia="de-DE"/>
        </w:rPr>
        <w:t xml:space="preserve"> an jenem Tag nicht feiern konnten; und sie traten vor Mosche und vor Aharon an jenem Tag.</w:t>
      </w:r>
    </w:p>
    <w:p w14:paraId="0F2A0B50" w14:textId="77777777" w:rsidR="003006FE" w:rsidRPr="003006FE" w:rsidRDefault="00F329DD" w:rsidP="003006FE">
      <w:pPr>
        <w:spacing w:after="0" w:line="240" w:lineRule="auto"/>
        <w:rPr>
          <w:rFonts w:eastAsia="Times New Roman" w:cs="Times New Roman"/>
          <w:lang w:eastAsia="de-DE"/>
        </w:rPr>
      </w:pPr>
      <w:r>
        <w:rPr>
          <w:rFonts w:eastAsia="Times New Roman" w:cs="Times New Roman"/>
          <w:lang w:eastAsia="de-DE"/>
        </w:rPr>
        <w:pict w14:anchorId="6F90DFA5">
          <v:rect id="_x0000_i1326" style="width:0;height:1.5pt" o:hralign="center" o:hrstd="t" o:hr="t" fillcolor="#a0a0a0" stroked="f"/>
        </w:pict>
      </w:r>
    </w:p>
    <w:p w14:paraId="5B00BF0C" w14:textId="47313701"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lang w:eastAsia="de-DE"/>
        </w:rPr>
        <w:t>Kommentar:</w:t>
      </w:r>
      <w:r w:rsidRPr="003006FE">
        <w:rPr>
          <w:rFonts w:eastAsia="Times New Roman" w:cs="Times New Roman"/>
          <w:lang w:eastAsia="de-DE"/>
        </w:rPr>
        <w:t xml:space="preserve"> Der Vers führt einen Konfliktfall ein. </w:t>
      </w:r>
      <w:r w:rsidRPr="003006FE">
        <w:rPr>
          <w:rFonts w:eastAsia="Times New Roman" w:cs="Times New Roman"/>
          <w:b/>
          <w:bCs/>
          <w:rtl/>
          <w:lang w:eastAsia="de-DE"/>
        </w:rPr>
        <w:t>וַיְהִי אֲנָשִׁים אֲשֶׁר הָיוּ טְמֵאִים לְנֶפֶשׁ אָדָם</w:t>
      </w:r>
      <w:r w:rsidRPr="003006FE">
        <w:rPr>
          <w:rFonts w:eastAsia="Times New Roman" w:cs="Times New Roman"/>
          <w:rtl/>
          <w:lang w:eastAsia="de-DE"/>
        </w:rPr>
        <w:t xml:space="preserve"> </w:t>
      </w:r>
      <w:r w:rsidRPr="003006FE">
        <w:rPr>
          <w:rFonts w:eastAsia="Times New Roman" w:cs="Times New Roman"/>
          <w:lang w:eastAsia="de-DE"/>
        </w:rPr>
        <w:t xml:space="preserve">ist die Exposition. </w:t>
      </w:r>
      <w:r w:rsidRPr="003006FE">
        <w:rPr>
          <w:rFonts w:eastAsia="Times New Roman" w:cs="Times New Roman"/>
          <w:b/>
          <w:bCs/>
          <w:rtl/>
          <w:lang w:eastAsia="de-DE"/>
        </w:rPr>
        <w:t>וַיְהִי אֲנָשִׁים</w:t>
      </w:r>
      <w:r w:rsidRPr="003006FE">
        <w:rPr>
          <w:rFonts w:eastAsia="Times New Roman" w:cs="Times New Roman"/>
          <w:rtl/>
          <w:lang w:eastAsia="de-DE"/>
        </w:rPr>
        <w:t xml:space="preserve"> </w:t>
      </w:r>
      <w:r w:rsidRPr="003006FE">
        <w:rPr>
          <w:rFonts w:eastAsia="Times New Roman" w:cs="Times New Roman"/>
          <w:lang w:eastAsia="de-DE"/>
        </w:rPr>
        <w:t xml:space="preserve">(Qal Wayyiqtol von </w:t>
      </w:r>
      <w:r w:rsidRPr="003006FE">
        <w:rPr>
          <w:rFonts w:eastAsia="Times New Roman" w:cs="Times New Roman"/>
          <w:b/>
          <w:bCs/>
          <w:rtl/>
          <w:lang w:eastAsia="de-DE"/>
        </w:rPr>
        <w:t>היה</w:t>
      </w:r>
      <w:r w:rsidRPr="003006FE">
        <w:rPr>
          <w:rFonts w:eastAsia="Times New Roman" w:cs="Times New Roman"/>
          <w:rtl/>
          <w:lang w:eastAsia="de-DE"/>
        </w:rPr>
        <w:t xml:space="preserve"> </w:t>
      </w:r>
      <w:r w:rsidRPr="003006FE">
        <w:rPr>
          <w:rFonts w:eastAsia="Times New Roman" w:cs="Times New Roman"/>
          <w:lang w:eastAsia="de-DE"/>
        </w:rPr>
        <w:t xml:space="preserve">„sein" mit Plural </w:t>
      </w:r>
      <w:r w:rsidRPr="003006FE">
        <w:rPr>
          <w:rFonts w:eastAsia="Times New Roman" w:cs="Times New Roman"/>
          <w:b/>
          <w:bCs/>
          <w:rtl/>
          <w:lang w:eastAsia="de-DE"/>
        </w:rPr>
        <w:t>אִישׁ</w:t>
      </w:r>
      <w:r w:rsidRPr="003006FE">
        <w:rPr>
          <w:rFonts w:eastAsia="Times New Roman" w:cs="Times New Roman"/>
          <w:rtl/>
          <w:lang w:eastAsia="de-DE"/>
        </w:rPr>
        <w:t xml:space="preserve"> </w:t>
      </w:r>
      <w:r w:rsidRPr="003006FE">
        <w:rPr>
          <w:rFonts w:eastAsia="Times New Roman" w:cs="Times New Roman"/>
          <w:lang w:eastAsia="de-DE"/>
        </w:rPr>
        <w:t xml:space="preserve">„Männer" „und es waren Männer da"), </w:t>
      </w:r>
      <w:r w:rsidRPr="003006FE">
        <w:rPr>
          <w:rFonts w:eastAsia="Times New Roman" w:cs="Times New Roman"/>
          <w:b/>
          <w:bCs/>
          <w:rtl/>
          <w:lang w:eastAsia="de-DE"/>
        </w:rPr>
        <w:t>אֲשֶׁר הָיוּ טְמֵאִים</w:t>
      </w:r>
      <w:r w:rsidRPr="003006FE">
        <w:rPr>
          <w:rFonts w:eastAsia="Times New Roman" w:cs="Times New Roman"/>
          <w:rtl/>
          <w:lang w:eastAsia="de-DE"/>
        </w:rPr>
        <w:t xml:space="preserve"> </w:t>
      </w:r>
      <w:r w:rsidRPr="003006FE">
        <w:rPr>
          <w:rFonts w:eastAsia="Times New Roman" w:cs="Times New Roman"/>
          <w:lang w:eastAsia="de-DE"/>
        </w:rPr>
        <w:t xml:space="preserve">(Relativsatz: Qal Perfekt 3. Person Plural von </w:t>
      </w:r>
      <w:r w:rsidRPr="003006FE">
        <w:rPr>
          <w:rFonts w:eastAsia="Times New Roman" w:cs="Times New Roman"/>
          <w:b/>
          <w:bCs/>
          <w:rtl/>
          <w:lang w:eastAsia="de-DE"/>
        </w:rPr>
        <w:t>היה</w:t>
      </w:r>
      <w:r w:rsidRPr="003006FE">
        <w:rPr>
          <w:rFonts w:eastAsia="Times New Roman" w:cs="Times New Roman"/>
          <w:rtl/>
          <w:lang w:eastAsia="de-DE"/>
        </w:rPr>
        <w:t xml:space="preserve"> </w:t>
      </w:r>
      <w:r w:rsidRPr="003006FE">
        <w:rPr>
          <w:rFonts w:eastAsia="Times New Roman" w:cs="Times New Roman"/>
          <w:lang w:eastAsia="de-DE"/>
        </w:rPr>
        <w:t xml:space="preserve">mit Adjektiv Plural </w:t>
      </w:r>
      <w:r w:rsidRPr="003006FE">
        <w:rPr>
          <w:rFonts w:eastAsia="Times New Roman" w:cs="Times New Roman"/>
          <w:b/>
          <w:bCs/>
          <w:rtl/>
          <w:lang w:eastAsia="de-DE"/>
        </w:rPr>
        <w:t>טָמֵא</w:t>
      </w:r>
      <w:r w:rsidRPr="003006FE">
        <w:rPr>
          <w:rFonts w:eastAsia="Times New Roman" w:cs="Times New Roman"/>
          <w:rtl/>
          <w:lang w:eastAsia="de-DE"/>
        </w:rPr>
        <w:t xml:space="preserve"> </w:t>
      </w:r>
      <w:r w:rsidRPr="003006FE">
        <w:rPr>
          <w:rFonts w:eastAsia="Times New Roman" w:cs="Times New Roman"/>
          <w:lang w:eastAsia="de-DE"/>
        </w:rPr>
        <w:t xml:space="preserve">„unrein" „die unrein waren"), </w:t>
      </w:r>
      <w:r w:rsidRPr="003006FE">
        <w:rPr>
          <w:rFonts w:eastAsia="Times New Roman" w:cs="Times New Roman"/>
          <w:b/>
          <w:bCs/>
          <w:rtl/>
          <w:lang w:eastAsia="de-DE"/>
        </w:rPr>
        <w:t>לְנֶפֶשׁ אָדָם</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לְ</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נֶפֶשׁ</w:t>
      </w:r>
      <w:r w:rsidRPr="003006FE">
        <w:rPr>
          <w:rFonts w:eastAsia="Times New Roman" w:cs="Times New Roman"/>
          <w:rtl/>
          <w:lang w:eastAsia="de-DE"/>
        </w:rPr>
        <w:t xml:space="preserve"> </w:t>
      </w:r>
      <w:r w:rsidRPr="003006FE">
        <w:rPr>
          <w:rFonts w:eastAsia="Times New Roman" w:cs="Times New Roman"/>
          <w:lang w:eastAsia="de-DE"/>
        </w:rPr>
        <w:t xml:space="preserve">„Seele, Person" im </w:t>
      </w:r>
      <w:r w:rsidR="00F133EC">
        <w:rPr>
          <w:rFonts w:eastAsia="Times New Roman" w:cs="Times New Roman"/>
          <w:lang w:eastAsia="de-DE"/>
        </w:rPr>
        <w:t>Constructus</w:t>
      </w:r>
      <w:r w:rsidRPr="003006FE">
        <w:rPr>
          <w:rFonts w:eastAsia="Times New Roman" w:cs="Times New Roman"/>
          <w:lang w:eastAsia="de-DE"/>
        </w:rPr>
        <w:t xml:space="preserve"> und </w:t>
      </w:r>
      <w:r w:rsidRPr="003006FE">
        <w:rPr>
          <w:rFonts w:eastAsia="Times New Roman" w:cs="Times New Roman"/>
          <w:b/>
          <w:bCs/>
          <w:rtl/>
          <w:lang w:eastAsia="de-DE"/>
        </w:rPr>
        <w:t>אָדָם</w:t>
      </w:r>
      <w:r w:rsidRPr="003006FE">
        <w:rPr>
          <w:rFonts w:eastAsia="Times New Roman" w:cs="Times New Roman"/>
          <w:rtl/>
          <w:lang w:eastAsia="de-DE"/>
        </w:rPr>
        <w:t xml:space="preserve"> </w:t>
      </w:r>
      <w:r w:rsidRPr="003006FE">
        <w:rPr>
          <w:rFonts w:eastAsia="Times New Roman" w:cs="Times New Roman"/>
          <w:lang w:eastAsia="de-DE"/>
        </w:rPr>
        <w:t xml:space="preserve">„Mensch" „durch eine Menschenleiche" - </w:t>
      </w:r>
      <w:r w:rsidRPr="003006FE">
        <w:rPr>
          <w:rFonts w:eastAsia="Times New Roman" w:cs="Times New Roman"/>
          <w:b/>
          <w:bCs/>
          <w:rtl/>
          <w:lang w:eastAsia="de-DE"/>
        </w:rPr>
        <w:t>לְ</w:t>
      </w:r>
      <w:r w:rsidRPr="003006FE">
        <w:rPr>
          <w:rFonts w:eastAsia="Times New Roman" w:cs="Times New Roman"/>
          <w:rtl/>
          <w:lang w:eastAsia="de-DE"/>
        </w:rPr>
        <w:t xml:space="preserve"> </w:t>
      </w:r>
      <w:r w:rsidRPr="003006FE">
        <w:rPr>
          <w:rFonts w:eastAsia="Times New Roman" w:cs="Times New Roman"/>
          <w:lang w:eastAsia="de-DE"/>
        </w:rPr>
        <w:t>gibt hier die Ursache an).</w:t>
      </w:r>
    </w:p>
    <w:p w14:paraId="46AE1809" w14:textId="20B0CFB4"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rtl/>
          <w:lang w:eastAsia="de-DE"/>
        </w:rPr>
        <w:lastRenderedPageBreak/>
        <w:t>וְלֹא־יָכְלוּ לַעֲשֹׂת־הַפֶּסַח בַּיּוֹם הַהוּא</w:t>
      </w:r>
      <w:r w:rsidRPr="003006FE">
        <w:rPr>
          <w:rFonts w:eastAsia="Times New Roman" w:cs="Times New Roman"/>
          <w:rtl/>
          <w:lang w:eastAsia="de-DE"/>
        </w:rPr>
        <w:t xml:space="preserve"> </w:t>
      </w:r>
      <w:r w:rsidRPr="003006FE">
        <w:rPr>
          <w:rFonts w:eastAsia="Times New Roman" w:cs="Times New Roman"/>
          <w:lang w:eastAsia="de-DE"/>
        </w:rPr>
        <w:t xml:space="preserve">ist die Konsequenz. </w:t>
      </w:r>
      <w:r w:rsidRPr="003006FE">
        <w:rPr>
          <w:rFonts w:eastAsia="Times New Roman" w:cs="Times New Roman"/>
          <w:b/>
          <w:bCs/>
          <w:rtl/>
          <w:lang w:eastAsia="de-DE"/>
        </w:rPr>
        <w:t>וְלֹא־יָכְלוּ</w:t>
      </w:r>
      <w:r w:rsidRPr="003006FE">
        <w:rPr>
          <w:rFonts w:eastAsia="Times New Roman" w:cs="Times New Roman"/>
          <w:rtl/>
          <w:lang w:eastAsia="de-DE"/>
        </w:rPr>
        <w:t xml:space="preserve"> </w:t>
      </w:r>
      <w:r w:rsidRPr="003006FE">
        <w:rPr>
          <w:rFonts w:eastAsia="Times New Roman" w:cs="Times New Roman"/>
          <w:lang w:eastAsia="de-DE"/>
        </w:rPr>
        <w:t xml:space="preserve">(Konjunktion mit Negation und Qal Perfekt 3. Person Plural von </w:t>
      </w:r>
      <w:r w:rsidRPr="003006FE">
        <w:rPr>
          <w:rFonts w:eastAsia="Times New Roman" w:cs="Times New Roman"/>
          <w:b/>
          <w:bCs/>
          <w:rtl/>
          <w:lang w:eastAsia="de-DE"/>
        </w:rPr>
        <w:t>יכל</w:t>
      </w:r>
      <w:r w:rsidRPr="003006FE">
        <w:rPr>
          <w:rFonts w:eastAsia="Times New Roman" w:cs="Times New Roman"/>
          <w:rtl/>
          <w:lang w:eastAsia="de-DE"/>
        </w:rPr>
        <w:t xml:space="preserve"> </w:t>
      </w:r>
      <w:r w:rsidRPr="003006FE">
        <w:rPr>
          <w:rFonts w:eastAsia="Times New Roman" w:cs="Times New Roman"/>
          <w:lang w:eastAsia="de-DE"/>
        </w:rPr>
        <w:t xml:space="preserve">„können, vermögen" „und sie konnten nicht"), </w:t>
      </w:r>
      <w:r w:rsidRPr="003006FE">
        <w:rPr>
          <w:rFonts w:eastAsia="Times New Roman" w:cs="Times New Roman"/>
          <w:b/>
          <w:bCs/>
          <w:rtl/>
          <w:lang w:eastAsia="de-DE"/>
        </w:rPr>
        <w:t>לַעֲשֹׂת־הַפֶּסַח</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לְ</w:t>
      </w:r>
      <w:r w:rsidRPr="003006FE">
        <w:rPr>
          <w:rFonts w:eastAsia="Times New Roman" w:cs="Times New Roman"/>
          <w:rtl/>
          <w:lang w:eastAsia="de-DE"/>
        </w:rPr>
        <w:t xml:space="preserve"> </w:t>
      </w:r>
      <w:r w:rsidRPr="003006FE">
        <w:rPr>
          <w:rFonts w:eastAsia="Times New Roman" w:cs="Times New Roman"/>
          <w:lang w:eastAsia="de-DE"/>
        </w:rPr>
        <w:t xml:space="preserve">mit Qal Infinitiv </w:t>
      </w:r>
      <w:r w:rsidR="00F133EC">
        <w:rPr>
          <w:rFonts w:eastAsia="Times New Roman" w:cs="Times New Roman"/>
          <w:lang w:eastAsia="de-DE"/>
        </w:rPr>
        <w:t>Constructus</w:t>
      </w:r>
      <w:r w:rsidRPr="003006FE">
        <w:rPr>
          <w:rFonts w:eastAsia="Times New Roman" w:cs="Times New Roman"/>
          <w:lang w:eastAsia="de-DE"/>
        </w:rPr>
        <w:t xml:space="preserve"> von </w:t>
      </w:r>
      <w:r w:rsidRPr="003006FE">
        <w:rPr>
          <w:rFonts w:eastAsia="Times New Roman" w:cs="Times New Roman"/>
          <w:b/>
          <w:bCs/>
          <w:rtl/>
          <w:lang w:eastAsia="de-DE"/>
        </w:rPr>
        <w:t>עשׂה</w:t>
      </w:r>
      <w:r w:rsidRPr="003006FE">
        <w:rPr>
          <w:rFonts w:eastAsia="Times New Roman" w:cs="Times New Roman"/>
          <w:rtl/>
          <w:lang w:eastAsia="de-DE"/>
        </w:rPr>
        <w:t xml:space="preserve"> </w:t>
      </w:r>
      <w:r w:rsidRPr="003006FE">
        <w:rPr>
          <w:rFonts w:eastAsia="Times New Roman" w:cs="Times New Roman"/>
          <w:lang w:eastAsia="de-DE"/>
        </w:rPr>
        <w:t xml:space="preserve">und </w:t>
      </w:r>
      <w:r w:rsidRPr="003006FE">
        <w:rPr>
          <w:rFonts w:eastAsia="Times New Roman" w:cs="Times New Roman"/>
          <w:b/>
          <w:bCs/>
          <w:rtl/>
          <w:lang w:eastAsia="de-DE"/>
        </w:rPr>
        <w:t>פֶּסַח</w:t>
      </w:r>
      <w:r w:rsidRPr="003006FE">
        <w:rPr>
          <w:rFonts w:eastAsia="Times New Roman" w:cs="Times New Roman"/>
          <w:rtl/>
          <w:lang w:eastAsia="de-DE"/>
        </w:rPr>
        <w:t xml:space="preserve"> </w:t>
      </w:r>
      <w:r w:rsidRPr="003006FE">
        <w:rPr>
          <w:rFonts w:eastAsia="Times New Roman" w:cs="Times New Roman"/>
          <w:lang w:eastAsia="de-DE"/>
        </w:rPr>
        <w:t xml:space="preserve">mit Artikel „das </w:t>
      </w:r>
      <w:r w:rsidR="00E136DC">
        <w:rPr>
          <w:rFonts w:eastAsia="Times New Roman" w:cs="Times New Roman"/>
          <w:lang w:eastAsia="de-DE"/>
        </w:rPr>
        <w:t>Pesach</w:t>
      </w:r>
      <w:r w:rsidRPr="003006FE">
        <w:rPr>
          <w:rFonts w:eastAsia="Times New Roman" w:cs="Times New Roman"/>
          <w:lang w:eastAsia="de-DE"/>
        </w:rPr>
        <w:t xml:space="preserve"> feiern"), </w:t>
      </w:r>
      <w:r w:rsidRPr="003006FE">
        <w:rPr>
          <w:rFonts w:eastAsia="Times New Roman" w:cs="Times New Roman"/>
          <w:b/>
          <w:bCs/>
          <w:rtl/>
          <w:lang w:eastAsia="de-DE"/>
        </w:rPr>
        <w:t>בַּיּוֹם הַהוּא</w:t>
      </w:r>
      <w:r w:rsidRPr="003006FE">
        <w:rPr>
          <w:rFonts w:eastAsia="Times New Roman" w:cs="Times New Roman"/>
          <w:rtl/>
          <w:lang w:eastAsia="de-DE"/>
        </w:rPr>
        <w:t xml:space="preserve"> </w:t>
      </w:r>
      <w:r w:rsidRPr="003006FE">
        <w:rPr>
          <w:rFonts w:eastAsia="Times New Roman" w:cs="Times New Roman"/>
          <w:lang w:eastAsia="de-DE"/>
        </w:rPr>
        <w:t xml:space="preserve">(Präposition </w:t>
      </w:r>
      <w:r w:rsidRPr="003006FE">
        <w:rPr>
          <w:rFonts w:eastAsia="Times New Roman" w:cs="Times New Roman"/>
          <w:b/>
          <w:bCs/>
          <w:rtl/>
          <w:lang w:eastAsia="de-DE"/>
        </w:rPr>
        <w:t>בְ</w:t>
      </w:r>
      <w:r w:rsidRPr="003006FE">
        <w:rPr>
          <w:rFonts w:eastAsia="Times New Roman" w:cs="Times New Roman"/>
          <w:rtl/>
          <w:lang w:eastAsia="de-DE"/>
        </w:rPr>
        <w:t xml:space="preserve"> </w:t>
      </w:r>
      <w:r w:rsidRPr="003006FE">
        <w:rPr>
          <w:rFonts w:eastAsia="Times New Roman" w:cs="Times New Roman"/>
          <w:lang w:eastAsia="de-DE"/>
        </w:rPr>
        <w:t xml:space="preserve">mit </w:t>
      </w:r>
      <w:r w:rsidRPr="003006FE">
        <w:rPr>
          <w:rFonts w:eastAsia="Times New Roman" w:cs="Times New Roman"/>
          <w:b/>
          <w:bCs/>
          <w:rtl/>
          <w:lang w:eastAsia="de-DE"/>
        </w:rPr>
        <w:t>יוֹם</w:t>
      </w:r>
      <w:r w:rsidRPr="003006FE">
        <w:rPr>
          <w:rFonts w:eastAsia="Times New Roman" w:cs="Times New Roman"/>
          <w:rtl/>
          <w:lang w:eastAsia="de-DE"/>
        </w:rPr>
        <w:t xml:space="preserve"> </w:t>
      </w:r>
      <w:r w:rsidRPr="003006FE">
        <w:rPr>
          <w:rFonts w:eastAsia="Times New Roman" w:cs="Times New Roman"/>
          <w:lang w:eastAsia="de-DE"/>
        </w:rPr>
        <w:t xml:space="preserve">mit Artikel und Demonstrativpronomen </w:t>
      </w:r>
      <w:r w:rsidRPr="003006FE">
        <w:rPr>
          <w:rFonts w:eastAsia="Times New Roman" w:cs="Times New Roman"/>
          <w:b/>
          <w:bCs/>
          <w:rtl/>
          <w:lang w:eastAsia="de-DE"/>
        </w:rPr>
        <w:t>הוּא</w:t>
      </w:r>
      <w:r w:rsidRPr="003006FE">
        <w:rPr>
          <w:rFonts w:eastAsia="Times New Roman" w:cs="Times New Roman"/>
          <w:rtl/>
          <w:lang w:eastAsia="de-DE"/>
        </w:rPr>
        <w:t xml:space="preserve"> </w:t>
      </w:r>
      <w:r w:rsidRPr="003006FE">
        <w:rPr>
          <w:rFonts w:eastAsia="Times New Roman" w:cs="Times New Roman"/>
          <w:lang w:eastAsia="de-DE"/>
        </w:rPr>
        <w:t>„an jenem Tag").</w:t>
      </w:r>
    </w:p>
    <w:p w14:paraId="1FDCE198"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b/>
          <w:bCs/>
          <w:rtl/>
          <w:lang w:eastAsia="de-DE"/>
        </w:rPr>
        <w:t>וַיִּקְרְבוּ לִפְנֵי מֹשֶׁה וְלִפְנֵי אַהֲרֹן בַּיּוֹם הַהוּא</w:t>
      </w:r>
      <w:r w:rsidRPr="003006FE">
        <w:rPr>
          <w:rFonts w:eastAsia="Times New Roman" w:cs="Times New Roman"/>
          <w:rtl/>
          <w:lang w:eastAsia="de-DE"/>
        </w:rPr>
        <w:t xml:space="preserve"> </w:t>
      </w:r>
      <w:r w:rsidRPr="003006FE">
        <w:rPr>
          <w:rFonts w:eastAsia="Times New Roman" w:cs="Times New Roman"/>
          <w:lang w:eastAsia="de-DE"/>
        </w:rPr>
        <w:t xml:space="preserve">ist ihre Reaktion. </w:t>
      </w:r>
      <w:r w:rsidRPr="003006FE">
        <w:rPr>
          <w:rFonts w:eastAsia="Times New Roman" w:cs="Times New Roman"/>
          <w:b/>
          <w:bCs/>
          <w:rtl/>
          <w:lang w:eastAsia="de-DE"/>
        </w:rPr>
        <w:t>וַיִּקְרְבוּ</w:t>
      </w:r>
      <w:r w:rsidRPr="003006FE">
        <w:rPr>
          <w:rFonts w:eastAsia="Times New Roman" w:cs="Times New Roman"/>
          <w:rtl/>
          <w:lang w:eastAsia="de-DE"/>
        </w:rPr>
        <w:t xml:space="preserve"> </w:t>
      </w:r>
      <w:r w:rsidRPr="003006FE">
        <w:rPr>
          <w:rFonts w:eastAsia="Times New Roman" w:cs="Times New Roman"/>
          <w:lang w:eastAsia="de-DE"/>
        </w:rPr>
        <w:t xml:space="preserve">(Qal Wayyiqtol 3. Person Plural von </w:t>
      </w:r>
      <w:r w:rsidRPr="003006FE">
        <w:rPr>
          <w:rFonts w:eastAsia="Times New Roman" w:cs="Times New Roman"/>
          <w:b/>
          <w:bCs/>
          <w:rtl/>
          <w:lang w:eastAsia="de-DE"/>
        </w:rPr>
        <w:t>קרב</w:t>
      </w:r>
      <w:r w:rsidRPr="003006FE">
        <w:rPr>
          <w:rFonts w:eastAsia="Times New Roman" w:cs="Times New Roman"/>
          <w:rtl/>
          <w:lang w:eastAsia="de-DE"/>
        </w:rPr>
        <w:t xml:space="preserve"> </w:t>
      </w:r>
      <w:r w:rsidRPr="003006FE">
        <w:rPr>
          <w:rFonts w:eastAsia="Times New Roman" w:cs="Times New Roman"/>
          <w:lang w:eastAsia="de-DE"/>
        </w:rPr>
        <w:t xml:space="preserve">„nahen, herantreten"), </w:t>
      </w:r>
      <w:r w:rsidRPr="003006FE">
        <w:rPr>
          <w:rFonts w:eastAsia="Times New Roman" w:cs="Times New Roman"/>
          <w:b/>
          <w:bCs/>
          <w:rtl/>
          <w:lang w:eastAsia="de-DE"/>
        </w:rPr>
        <w:t>לִפְנֵי מֹשֶׁה וְלִפְנֵי אַהֲרֹן</w:t>
      </w:r>
      <w:r w:rsidRPr="003006FE">
        <w:rPr>
          <w:rFonts w:eastAsia="Times New Roman" w:cs="Times New Roman"/>
          <w:rtl/>
          <w:lang w:eastAsia="de-DE"/>
        </w:rPr>
        <w:t xml:space="preserve"> </w:t>
      </w:r>
      <w:r w:rsidRPr="003006FE">
        <w:rPr>
          <w:rFonts w:eastAsia="Times New Roman" w:cs="Times New Roman"/>
          <w:lang w:eastAsia="de-DE"/>
        </w:rPr>
        <w:t xml:space="preserve">(doppelte Präposition </w:t>
      </w:r>
      <w:r w:rsidRPr="003006FE">
        <w:rPr>
          <w:rFonts w:eastAsia="Times New Roman" w:cs="Times New Roman"/>
          <w:b/>
          <w:bCs/>
          <w:rtl/>
          <w:lang w:eastAsia="de-DE"/>
        </w:rPr>
        <w:t>לִפְנֵי</w:t>
      </w:r>
      <w:r w:rsidRPr="003006FE">
        <w:rPr>
          <w:rFonts w:eastAsia="Times New Roman" w:cs="Times New Roman"/>
          <w:rtl/>
          <w:lang w:eastAsia="de-DE"/>
        </w:rPr>
        <w:t xml:space="preserve"> </w:t>
      </w:r>
      <w:r w:rsidRPr="003006FE">
        <w:rPr>
          <w:rFonts w:eastAsia="Times New Roman" w:cs="Times New Roman"/>
          <w:lang w:eastAsia="de-DE"/>
        </w:rPr>
        <w:t xml:space="preserve">„vor" mit </w:t>
      </w:r>
      <w:r w:rsidRPr="003006FE">
        <w:rPr>
          <w:rFonts w:eastAsia="Times New Roman" w:cs="Times New Roman"/>
          <w:b/>
          <w:bCs/>
          <w:rtl/>
          <w:lang w:eastAsia="de-DE"/>
        </w:rPr>
        <w:t>מֹשֶׁה</w:t>
      </w:r>
      <w:r w:rsidRPr="003006FE">
        <w:rPr>
          <w:rFonts w:eastAsia="Times New Roman" w:cs="Times New Roman"/>
          <w:rtl/>
          <w:lang w:eastAsia="de-DE"/>
        </w:rPr>
        <w:t xml:space="preserve"> </w:t>
      </w:r>
      <w:r w:rsidRPr="003006FE">
        <w:rPr>
          <w:rFonts w:eastAsia="Times New Roman" w:cs="Times New Roman"/>
          <w:lang w:eastAsia="de-DE"/>
        </w:rPr>
        <w:t xml:space="preserve">und </w:t>
      </w:r>
      <w:r w:rsidRPr="003006FE">
        <w:rPr>
          <w:rFonts w:eastAsia="Times New Roman" w:cs="Times New Roman"/>
          <w:b/>
          <w:bCs/>
          <w:rtl/>
          <w:lang w:eastAsia="de-DE"/>
        </w:rPr>
        <w:t>אַהֲרֹן</w:t>
      </w:r>
      <w:r w:rsidRPr="003006FE">
        <w:rPr>
          <w:rFonts w:eastAsia="Times New Roman" w:cs="Times New Roman"/>
          <w:rtl/>
          <w:lang w:eastAsia="de-DE"/>
        </w:rPr>
        <w:t xml:space="preserve"> </w:t>
      </w:r>
      <w:r w:rsidRPr="003006FE">
        <w:rPr>
          <w:rFonts w:eastAsia="Times New Roman" w:cs="Times New Roman"/>
          <w:lang w:eastAsia="de-DE"/>
        </w:rPr>
        <w:t xml:space="preserve">„vor Mose und vor Aaron"), </w:t>
      </w:r>
      <w:r w:rsidRPr="003006FE">
        <w:rPr>
          <w:rFonts w:eastAsia="Times New Roman" w:cs="Times New Roman"/>
          <w:b/>
          <w:bCs/>
          <w:rtl/>
          <w:lang w:eastAsia="de-DE"/>
        </w:rPr>
        <w:t>בַּיּוֹם הַהוּא</w:t>
      </w:r>
      <w:r w:rsidRPr="003006FE">
        <w:rPr>
          <w:rFonts w:eastAsia="Times New Roman" w:cs="Times New Roman"/>
          <w:rtl/>
          <w:lang w:eastAsia="de-DE"/>
        </w:rPr>
        <w:t xml:space="preserve"> </w:t>
      </w:r>
      <w:r w:rsidRPr="003006FE">
        <w:rPr>
          <w:rFonts w:eastAsia="Times New Roman" w:cs="Times New Roman"/>
          <w:lang w:eastAsia="de-DE"/>
        </w:rPr>
        <w:t>(wiederholt).</w:t>
      </w:r>
    </w:p>
    <w:p w14:paraId="77C75344" w14:textId="77777777" w:rsidR="003006FE" w:rsidRPr="003006FE"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 xml:space="preserve">Die Satzstruktur zeigt eine </w:t>
      </w:r>
      <w:r w:rsidRPr="003006FE">
        <w:rPr>
          <w:rFonts w:eastAsia="Times New Roman" w:cs="Times New Roman"/>
          <w:b/>
          <w:bCs/>
          <w:rtl/>
          <w:lang w:eastAsia="de-DE"/>
        </w:rPr>
        <w:t>וַיְהִי</w:t>
      </w:r>
      <w:r w:rsidRPr="003006FE">
        <w:rPr>
          <w:rFonts w:eastAsia="Times New Roman" w:cs="Times New Roman"/>
          <w:lang w:eastAsia="de-DE"/>
        </w:rPr>
        <w:t>-Einleitung mit Relativsatz, eine negative Folgeaussage und eine Reaktionshandlung.</w:t>
      </w:r>
    </w:p>
    <w:p w14:paraId="4C5C74DC" w14:textId="7B8E2EC9" w:rsidR="00F054AD" w:rsidRPr="00F054AD" w:rsidRDefault="003006FE" w:rsidP="003006FE">
      <w:pPr>
        <w:spacing w:before="100" w:beforeAutospacing="1" w:after="100" w:afterAutospacing="1" w:line="240" w:lineRule="auto"/>
        <w:rPr>
          <w:rFonts w:eastAsia="Times New Roman" w:cs="Times New Roman"/>
          <w:lang w:eastAsia="de-DE"/>
        </w:rPr>
      </w:pPr>
      <w:r w:rsidRPr="003006FE">
        <w:rPr>
          <w:rFonts w:eastAsia="Times New Roman" w:cs="Times New Roman"/>
          <w:lang w:eastAsia="de-DE"/>
        </w:rPr>
        <w:t xml:space="preserve">Der Vers präsentiert ein rechtliches Dilemma: Einige Männer sind </w:t>
      </w:r>
      <w:r w:rsidRPr="003006FE">
        <w:rPr>
          <w:rFonts w:eastAsia="Times New Roman" w:cs="Times New Roman"/>
          <w:b/>
          <w:bCs/>
          <w:rtl/>
          <w:lang w:eastAsia="de-DE"/>
        </w:rPr>
        <w:t>טְמֵאִים לְנֶפֶשׁ אָדָם</w:t>
      </w:r>
      <w:r w:rsidRPr="003006FE">
        <w:rPr>
          <w:rFonts w:eastAsia="Times New Roman" w:cs="Times New Roman"/>
          <w:rtl/>
          <w:lang w:eastAsia="de-DE"/>
        </w:rPr>
        <w:t xml:space="preserve"> </w:t>
      </w:r>
      <w:r w:rsidRPr="003006FE">
        <w:rPr>
          <w:rFonts w:eastAsia="Times New Roman" w:cs="Times New Roman"/>
          <w:lang w:eastAsia="de-DE"/>
        </w:rPr>
        <w:t xml:space="preserve">(„unrein durch eine Menschenleiche") - </w:t>
      </w:r>
      <w:r>
        <w:rPr>
          <w:rFonts w:eastAsia="Times New Roman" w:cs="Times New Roman"/>
          <w:lang w:eastAsia="de-DE"/>
        </w:rPr>
        <w:t>nach</w:t>
      </w:r>
      <w:r w:rsidRPr="003006FE">
        <w:rPr>
          <w:rFonts w:eastAsia="Times New Roman" w:cs="Times New Roman"/>
          <w:lang w:eastAsia="de-DE"/>
        </w:rPr>
        <w:t xml:space="preserve"> Num 5,2 und 19,11-22 macht Kontakt mit einem Toten für sieben Tage unrein. Diese Unreinheit schließt von der </w:t>
      </w:r>
      <w:r w:rsidR="00E136DC">
        <w:rPr>
          <w:rFonts w:eastAsia="Times New Roman" w:cs="Times New Roman"/>
          <w:lang w:eastAsia="de-DE"/>
        </w:rPr>
        <w:t>Pesach</w:t>
      </w:r>
      <w:r w:rsidRPr="003006FE">
        <w:rPr>
          <w:rFonts w:eastAsia="Times New Roman" w:cs="Times New Roman"/>
          <w:lang w:eastAsia="de-DE"/>
        </w:rPr>
        <w:t xml:space="preserve">feier aus (vgl. Num 5,2), aber </w:t>
      </w:r>
      <w:r w:rsidR="00E136DC">
        <w:rPr>
          <w:rFonts w:eastAsia="Times New Roman" w:cs="Times New Roman"/>
          <w:lang w:eastAsia="de-DE"/>
        </w:rPr>
        <w:t>Pesach</w:t>
      </w:r>
      <w:r w:rsidRPr="003006FE">
        <w:rPr>
          <w:rFonts w:eastAsia="Times New Roman" w:cs="Times New Roman"/>
          <w:lang w:eastAsia="de-DE"/>
        </w:rPr>
        <w:t xml:space="preserve"> ist Pflicht für ganz Israel. Die Männer treten </w:t>
      </w:r>
      <w:r w:rsidRPr="003006FE">
        <w:rPr>
          <w:rFonts w:eastAsia="Times New Roman" w:cs="Times New Roman"/>
          <w:b/>
          <w:bCs/>
          <w:rtl/>
          <w:lang w:eastAsia="de-DE"/>
        </w:rPr>
        <w:t>לִפְנֵי מֹשֶׁה וְלִפְנֵי אַהֲרֹן</w:t>
      </w:r>
      <w:r w:rsidRPr="003006FE">
        <w:rPr>
          <w:rFonts w:eastAsia="Times New Roman" w:cs="Times New Roman"/>
          <w:rtl/>
          <w:lang w:eastAsia="de-DE"/>
        </w:rPr>
        <w:t xml:space="preserve"> </w:t>
      </w:r>
      <w:r w:rsidRPr="003006FE">
        <w:rPr>
          <w:rFonts w:eastAsia="Times New Roman" w:cs="Times New Roman"/>
          <w:lang w:eastAsia="de-DE"/>
        </w:rPr>
        <w:t xml:space="preserve">- sie suchen eine Lösung bei den beiden Autoritäten. Die Wiederholung </w:t>
      </w:r>
      <w:r w:rsidRPr="003006FE">
        <w:rPr>
          <w:rFonts w:eastAsia="Times New Roman" w:cs="Times New Roman"/>
          <w:b/>
          <w:bCs/>
          <w:rtl/>
          <w:lang w:eastAsia="de-DE"/>
        </w:rPr>
        <w:t>בַּיּוֹם הַהוּא</w:t>
      </w:r>
      <w:r w:rsidRPr="003006FE">
        <w:rPr>
          <w:rFonts w:eastAsia="Times New Roman" w:cs="Times New Roman"/>
          <w:rtl/>
          <w:lang w:eastAsia="de-DE"/>
        </w:rPr>
        <w:t xml:space="preserve"> </w:t>
      </w:r>
      <w:r w:rsidRPr="003006FE">
        <w:rPr>
          <w:rFonts w:eastAsia="Times New Roman" w:cs="Times New Roman"/>
          <w:lang w:eastAsia="de-DE"/>
        </w:rPr>
        <w:t xml:space="preserve">betont die Dringlichkeit - es ist der </w:t>
      </w:r>
      <w:r w:rsidR="00E136DC">
        <w:rPr>
          <w:rFonts w:eastAsia="Times New Roman" w:cs="Times New Roman"/>
          <w:lang w:eastAsia="de-DE"/>
        </w:rPr>
        <w:t>Pesach</w:t>
      </w:r>
      <w:r w:rsidRPr="003006FE">
        <w:rPr>
          <w:rFonts w:eastAsia="Times New Roman" w:cs="Times New Roman"/>
          <w:lang w:eastAsia="de-DE"/>
        </w:rPr>
        <w:t>tag selbst!</w:t>
      </w:r>
    </w:p>
    <w:p w14:paraId="622350D7" w14:textId="77777777" w:rsidR="00F13306" w:rsidRPr="00F13306" w:rsidRDefault="00F13306" w:rsidP="00F13306">
      <w:pPr>
        <w:spacing w:before="100" w:beforeAutospacing="1" w:after="100" w:afterAutospacing="1" w:line="240" w:lineRule="auto"/>
        <w:outlineLvl w:val="0"/>
        <w:rPr>
          <w:rFonts w:eastAsia="Times New Roman" w:cs="Times New Roman"/>
          <w:b/>
          <w:bCs/>
          <w:kern w:val="36"/>
          <w:sz w:val="48"/>
          <w:szCs w:val="48"/>
          <w:lang w:eastAsia="de-DE"/>
        </w:rPr>
      </w:pPr>
      <w:r w:rsidRPr="00F13306">
        <w:rPr>
          <w:rFonts w:eastAsia="Times New Roman" w:cs="Times New Roman"/>
          <w:b/>
          <w:bCs/>
          <w:kern w:val="36"/>
          <w:sz w:val="48"/>
          <w:szCs w:val="48"/>
          <w:lang w:eastAsia="de-DE"/>
        </w:rPr>
        <w:t>Numeri 9,7</w:t>
      </w:r>
    </w:p>
    <w:p w14:paraId="7FE12730"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Hebräisch:</w:t>
      </w:r>
      <w:r w:rsidRPr="00F13306">
        <w:rPr>
          <w:rFonts w:eastAsia="Times New Roman" w:cs="Times New Roman"/>
          <w:lang w:eastAsia="de-DE"/>
        </w:rPr>
        <w:t xml:space="preserve"> </w:t>
      </w:r>
      <w:r w:rsidRPr="00F13306">
        <w:rPr>
          <w:rFonts w:eastAsia="Times New Roman" w:cs="Times New Roman"/>
          <w:rtl/>
          <w:lang w:eastAsia="de-DE"/>
        </w:rPr>
        <w:t>וַ֠יֹּאמְרוּ הָאֲנָשִׁ֤ים הָהֵ֨מָּה֙ אֵלָ֔יו אֲנַ֥חְנוּ טְמֵאִ֖ים לְנֶ֣פֶשׁ אָדָ֑ם לָ֣מָּה נִגָּרַ֗ע לְבִלְתִּ֨י הַקְרִ֜ב אֶת־קָרְבַּ֤ן יְהוָה֙ בְּמֹ֣עֲדֹ֔ו בְּת֖וֹךְ בְּנֵ֥י יִשְׂרָאֵֽל׃</w:t>
      </w:r>
    </w:p>
    <w:p w14:paraId="7BA94988"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Deutsch:</w:t>
      </w:r>
      <w:r w:rsidRPr="00F13306">
        <w:rPr>
          <w:rFonts w:eastAsia="Times New Roman" w:cs="Times New Roman"/>
          <w:lang w:eastAsia="de-DE"/>
        </w:rPr>
        <w:t xml:space="preserve"> Und diese Männer sprachen zu ihm: Wir sind unrein durch eine Menschenleiche; warum sollen wir verkürzt werden, dass wir die Opfergabe des Ewigen nicht zur bestimmten Zeit in der Mitte der Söhne Jisra'el darbringen dürfen?</w:t>
      </w:r>
    </w:p>
    <w:p w14:paraId="2876D23B" w14:textId="77777777" w:rsidR="00F13306" w:rsidRPr="00F13306" w:rsidRDefault="00F329DD" w:rsidP="00F13306">
      <w:pPr>
        <w:spacing w:after="0" w:line="240" w:lineRule="auto"/>
        <w:rPr>
          <w:rFonts w:eastAsia="Times New Roman" w:cs="Times New Roman"/>
          <w:lang w:eastAsia="de-DE"/>
        </w:rPr>
      </w:pPr>
      <w:r>
        <w:rPr>
          <w:rFonts w:eastAsia="Times New Roman" w:cs="Times New Roman"/>
          <w:noProof/>
          <w:lang w:eastAsia="de-DE"/>
        </w:rPr>
        <w:pict w14:anchorId="32311444">
          <v:rect id="_x0000_i1327" style="width:0;height:1.5pt" o:hralign="center" o:hrstd="t" o:hr="t" fillcolor="#a0a0a0" stroked="f"/>
        </w:pict>
      </w:r>
    </w:p>
    <w:p w14:paraId="716BE398"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Kommentar:</w:t>
      </w:r>
      <w:r w:rsidRPr="00F13306">
        <w:rPr>
          <w:rFonts w:eastAsia="Times New Roman" w:cs="Times New Roman"/>
          <w:lang w:eastAsia="de-DE"/>
        </w:rPr>
        <w:t xml:space="preserve"> Das Verb </w:t>
      </w:r>
      <w:r w:rsidRPr="00F13306">
        <w:rPr>
          <w:rFonts w:eastAsia="Times New Roman" w:cs="Times New Roman"/>
          <w:b/>
          <w:bCs/>
          <w:rtl/>
          <w:lang w:eastAsia="de-DE"/>
        </w:rPr>
        <w:t>וַיֹּאמְרוּ הָאֲנָשִׁים הָהֵמָּה אֵלָיו</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יֹּאמְרוּ</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אמר</w:t>
      </w:r>
      <w:r w:rsidRPr="00F13306">
        <w:rPr>
          <w:rFonts w:eastAsia="Times New Roman" w:cs="Times New Roman"/>
          <w:rtl/>
          <w:lang w:eastAsia="de-DE"/>
        </w:rPr>
        <w:t xml:space="preserve"> </w:t>
      </w:r>
      <w:r w:rsidRPr="00F13306">
        <w:rPr>
          <w:rFonts w:eastAsia="Times New Roman" w:cs="Times New Roman"/>
          <w:lang w:eastAsia="de-DE"/>
        </w:rPr>
        <w:t xml:space="preserve">(sagen), </w:t>
      </w:r>
      <w:r w:rsidRPr="00F13306">
        <w:rPr>
          <w:rFonts w:eastAsia="Times New Roman" w:cs="Times New Roman"/>
          <w:b/>
          <w:bCs/>
          <w:rtl/>
          <w:lang w:eastAsia="de-DE"/>
        </w:rPr>
        <w:t>הָאֲנָשִׁים הָהֵמָּה</w:t>
      </w:r>
      <w:r w:rsidRPr="00F13306">
        <w:rPr>
          <w:rFonts w:eastAsia="Times New Roman" w:cs="Times New Roman"/>
          <w:rtl/>
          <w:lang w:eastAsia="de-DE"/>
        </w:rPr>
        <w:t xml:space="preserve"> </w:t>
      </w:r>
      <w:r w:rsidRPr="00F13306">
        <w:rPr>
          <w:rFonts w:eastAsia="Times New Roman" w:cs="Times New Roman"/>
          <w:lang w:eastAsia="de-DE"/>
        </w:rPr>
        <w:t xml:space="preserve">(jene Männer) als emphatisches Subjekt und </w:t>
      </w:r>
      <w:r w:rsidRPr="00F13306">
        <w:rPr>
          <w:rFonts w:eastAsia="Times New Roman" w:cs="Times New Roman"/>
          <w:b/>
          <w:bCs/>
          <w:rtl/>
          <w:lang w:eastAsia="de-DE"/>
        </w:rPr>
        <w:t>אֵלָיו</w:t>
      </w:r>
      <w:r w:rsidRPr="00F13306">
        <w:rPr>
          <w:rFonts w:eastAsia="Times New Roman" w:cs="Times New Roman"/>
          <w:rtl/>
          <w:lang w:eastAsia="de-DE"/>
        </w:rPr>
        <w:t xml:space="preserve"> </w:t>
      </w:r>
      <w:r w:rsidRPr="00F13306">
        <w:rPr>
          <w:rFonts w:eastAsia="Times New Roman" w:cs="Times New Roman"/>
          <w:lang w:eastAsia="de-DE"/>
        </w:rPr>
        <w:t>(zu ihm) leitet ihre Bittrede ein.</w:t>
      </w:r>
    </w:p>
    <w:p w14:paraId="530726F8"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 Selbstcharakterisierung </w:t>
      </w:r>
      <w:r w:rsidRPr="00F13306">
        <w:rPr>
          <w:rFonts w:eastAsia="Times New Roman" w:cs="Times New Roman"/>
          <w:b/>
          <w:bCs/>
          <w:rtl/>
          <w:lang w:eastAsia="de-DE"/>
        </w:rPr>
        <w:t>אֲנַחְנוּ טְמֵאִים לְנֶפֶשׁ אָדָם</w:t>
      </w:r>
      <w:r w:rsidRPr="00F13306">
        <w:rPr>
          <w:rFonts w:eastAsia="Times New Roman" w:cs="Times New Roman"/>
          <w:rtl/>
          <w:lang w:eastAsia="de-DE"/>
        </w:rPr>
        <w:t xml:space="preserve"> </w:t>
      </w:r>
      <w:r w:rsidRPr="00F13306">
        <w:rPr>
          <w:rFonts w:eastAsia="Times New Roman" w:cs="Times New Roman"/>
          <w:lang w:eastAsia="de-DE"/>
        </w:rPr>
        <w:t xml:space="preserve">mit dem emphatischen Pronomen </w:t>
      </w:r>
      <w:r w:rsidRPr="00F13306">
        <w:rPr>
          <w:rFonts w:eastAsia="Times New Roman" w:cs="Times New Roman"/>
          <w:b/>
          <w:bCs/>
          <w:rtl/>
          <w:lang w:eastAsia="de-DE"/>
        </w:rPr>
        <w:t>אֲנַחְנוּ</w:t>
      </w:r>
      <w:r w:rsidRPr="00F13306">
        <w:rPr>
          <w:rFonts w:eastAsia="Times New Roman" w:cs="Times New Roman"/>
          <w:rtl/>
          <w:lang w:eastAsia="de-DE"/>
        </w:rPr>
        <w:t xml:space="preserve"> </w:t>
      </w:r>
      <w:r w:rsidRPr="00F13306">
        <w:rPr>
          <w:rFonts w:eastAsia="Times New Roman" w:cs="Times New Roman"/>
          <w:lang w:eastAsia="de-DE"/>
        </w:rPr>
        <w:t>(wir) wiederholt ihre Unreinheit durch Leichenberührung.</w:t>
      </w:r>
    </w:p>
    <w:p w14:paraId="546ECF89"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 rhetorische Frage </w:t>
      </w:r>
      <w:r w:rsidRPr="00F13306">
        <w:rPr>
          <w:rFonts w:eastAsia="Times New Roman" w:cs="Times New Roman"/>
          <w:b/>
          <w:bCs/>
          <w:rtl/>
          <w:lang w:eastAsia="de-DE"/>
        </w:rPr>
        <w:t>לָמָּה נִגָּרַע</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לָמָּה</w:t>
      </w:r>
      <w:r w:rsidRPr="00F13306">
        <w:rPr>
          <w:rFonts w:eastAsia="Times New Roman" w:cs="Times New Roman"/>
          <w:rtl/>
          <w:lang w:eastAsia="de-DE"/>
        </w:rPr>
        <w:t xml:space="preserve"> </w:t>
      </w:r>
      <w:r w:rsidRPr="00F13306">
        <w:rPr>
          <w:rFonts w:eastAsia="Times New Roman" w:cs="Times New Roman"/>
          <w:lang w:eastAsia="de-DE"/>
        </w:rPr>
        <w:t xml:space="preserve">(warum) und </w:t>
      </w:r>
      <w:r w:rsidRPr="00F13306">
        <w:rPr>
          <w:rFonts w:eastAsia="Times New Roman" w:cs="Times New Roman"/>
          <w:b/>
          <w:bCs/>
          <w:rtl/>
          <w:lang w:eastAsia="de-DE"/>
        </w:rPr>
        <w:t>נִגָּרַע</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גרע</w:t>
      </w:r>
      <w:r w:rsidRPr="00F13306">
        <w:rPr>
          <w:rFonts w:eastAsia="Times New Roman" w:cs="Times New Roman"/>
          <w:rtl/>
          <w:lang w:eastAsia="de-DE"/>
        </w:rPr>
        <w:t xml:space="preserve"> </w:t>
      </w:r>
      <w:r w:rsidRPr="00F13306">
        <w:rPr>
          <w:rFonts w:eastAsia="Times New Roman" w:cs="Times New Roman"/>
          <w:lang w:eastAsia="de-DE"/>
        </w:rPr>
        <w:t>(verkürzen/mindern) im Niph'al-Imperfekt 1. Person Plural zeigt ihre Klage über Benachteiligung.</w:t>
      </w:r>
    </w:p>
    <w:p w14:paraId="3A1C93A3" w14:textId="249BFD6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 finale Bestimmung </w:t>
      </w:r>
      <w:r w:rsidRPr="00F13306">
        <w:rPr>
          <w:rFonts w:eastAsia="Times New Roman" w:cs="Times New Roman"/>
          <w:b/>
          <w:bCs/>
          <w:rtl/>
          <w:lang w:eastAsia="de-DE"/>
        </w:rPr>
        <w:t>לְבִלְתִּי הַקְרִב אֶת־קָרְבַּן יְהוָה בְּמֹעֲדוֹ בְּתוֹךְ בְּנֵי יִשְׂרָאֵל</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לְבִלְתִּי</w:t>
      </w:r>
      <w:r w:rsidRPr="00F13306">
        <w:rPr>
          <w:rFonts w:eastAsia="Times New Roman" w:cs="Times New Roman"/>
          <w:rtl/>
          <w:lang w:eastAsia="de-DE"/>
        </w:rPr>
        <w:t xml:space="preserve"> </w:t>
      </w:r>
      <w:r w:rsidRPr="00F13306">
        <w:rPr>
          <w:rFonts w:eastAsia="Times New Roman" w:cs="Times New Roman"/>
          <w:lang w:eastAsia="de-DE"/>
        </w:rPr>
        <w:t xml:space="preserve">(dass nicht), </w:t>
      </w:r>
      <w:r w:rsidRPr="00F13306">
        <w:rPr>
          <w:rFonts w:eastAsia="Times New Roman" w:cs="Times New Roman"/>
          <w:b/>
          <w:bCs/>
          <w:rtl/>
          <w:lang w:eastAsia="de-DE"/>
        </w:rPr>
        <w:t>הַקְרִב</w:t>
      </w:r>
      <w:r w:rsidRPr="00F13306">
        <w:rPr>
          <w:rFonts w:eastAsia="Times New Roman" w:cs="Times New Roman"/>
          <w:rtl/>
          <w:lang w:eastAsia="de-DE"/>
        </w:rPr>
        <w:t xml:space="preserve"> </w:t>
      </w:r>
      <w:r w:rsidRPr="00F13306">
        <w:rPr>
          <w:rFonts w:eastAsia="Times New Roman" w:cs="Times New Roman"/>
          <w:lang w:eastAsia="de-DE"/>
        </w:rPr>
        <w:t>als Hiph'il-Infinitiv-</w:t>
      </w:r>
      <w:r w:rsidR="00F133EC">
        <w:rPr>
          <w:rFonts w:eastAsia="Times New Roman" w:cs="Times New Roman"/>
          <w:lang w:eastAsia="de-DE"/>
        </w:rPr>
        <w:t>Construct</w:t>
      </w:r>
      <w:r w:rsidRPr="00F13306">
        <w:rPr>
          <w:rFonts w:eastAsia="Times New Roman" w:cs="Times New Roman"/>
          <w:lang w:eastAsia="de-DE"/>
        </w:rPr>
        <w:t xml:space="preserve"> von </w:t>
      </w:r>
      <w:r w:rsidRPr="00F13306">
        <w:rPr>
          <w:rFonts w:eastAsia="Times New Roman" w:cs="Times New Roman"/>
          <w:b/>
          <w:bCs/>
          <w:rtl/>
          <w:lang w:eastAsia="de-DE"/>
        </w:rPr>
        <w:t>קרב</w:t>
      </w:r>
      <w:r w:rsidRPr="00F13306">
        <w:rPr>
          <w:rFonts w:eastAsia="Times New Roman" w:cs="Times New Roman"/>
          <w:rtl/>
          <w:lang w:eastAsia="de-DE"/>
        </w:rPr>
        <w:t xml:space="preserve"> </w:t>
      </w:r>
      <w:r w:rsidRPr="00F13306">
        <w:rPr>
          <w:rFonts w:eastAsia="Times New Roman" w:cs="Times New Roman"/>
          <w:lang w:eastAsia="de-DE"/>
        </w:rPr>
        <w:t xml:space="preserve">(darbringen), </w:t>
      </w:r>
      <w:r w:rsidRPr="00F13306">
        <w:rPr>
          <w:rFonts w:eastAsia="Times New Roman" w:cs="Times New Roman"/>
          <w:b/>
          <w:bCs/>
          <w:rtl/>
          <w:lang w:eastAsia="de-DE"/>
        </w:rPr>
        <w:t>קָרְבַּן יְהוָה</w:t>
      </w:r>
      <w:r w:rsidRPr="00F13306">
        <w:rPr>
          <w:rFonts w:eastAsia="Times New Roman" w:cs="Times New Roman"/>
          <w:rtl/>
          <w:lang w:eastAsia="de-DE"/>
        </w:rPr>
        <w:t xml:space="preserve"> </w:t>
      </w:r>
      <w:r w:rsidRPr="00F13306">
        <w:rPr>
          <w:rFonts w:eastAsia="Times New Roman" w:cs="Times New Roman"/>
          <w:lang w:eastAsia="de-DE"/>
        </w:rPr>
        <w:t xml:space="preserve">(Opfergabe des Ewigen), </w:t>
      </w:r>
      <w:r w:rsidRPr="00F13306">
        <w:rPr>
          <w:rFonts w:eastAsia="Times New Roman" w:cs="Times New Roman"/>
          <w:b/>
          <w:bCs/>
          <w:rtl/>
          <w:lang w:eastAsia="de-DE"/>
        </w:rPr>
        <w:t>בְּמֹעֲדוֹ</w:t>
      </w:r>
      <w:r w:rsidRPr="00F13306">
        <w:rPr>
          <w:rFonts w:eastAsia="Times New Roman" w:cs="Times New Roman"/>
          <w:rtl/>
          <w:lang w:eastAsia="de-DE"/>
        </w:rPr>
        <w:t xml:space="preserve"> </w:t>
      </w:r>
      <w:r w:rsidRPr="00F13306">
        <w:rPr>
          <w:rFonts w:eastAsia="Times New Roman" w:cs="Times New Roman"/>
          <w:lang w:eastAsia="de-DE"/>
        </w:rPr>
        <w:t xml:space="preserve">(zu seiner bestimmten Zeit) und </w:t>
      </w:r>
      <w:r w:rsidRPr="00F13306">
        <w:rPr>
          <w:rFonts w:eastAsia="Times New Roman" w:cs="Times New Roman"/>
          <w:b/>
          <w:bCs/>
          <w:rtl/>
          <w:lang w:eastAsia="de-DE"/>
        </w:rPr>
        <w:t>בְּתוֹךְ בְּנֵי יִשְׂרָאֵל</w:t>
      </w:r>
      <w:r w:rsidRPr="00F13306">
        <w:rPr>
          <w:rFonts w:eastAsia="Times New Roman" w:cs="Times New Roman"/>
          <w:rtl/>
          <w:lang w:eastAsia="de-DE"/>
        </w:rPr>
        <w:t xml:space="preserve"> </w:t>
      </w:r>
      <w:r w:rsidRPr="00F13306">
        <w:rPr>
          <w:rFonts w:eastAsia="Times New Roman" w:cs="Times New Roman"/>
          <w:lang w:eastAsia="de-DE"/>
        </w:rPr>
        <w:t>(in der Mitte der Söhne Israels) zeigt ihre spezifische Benachteiligung.</w:t>
      </w:r>
    </w:p>
    <w:p w14:paraId="7D1DDA2F" w14:textId="05963C15" w:rsidR="004D44DE" w:rsidRDefault="003006FE" w:rsidP="003006FE">
      <w:pPr>
        <w:spacing w:before="100" w:beforeAutospacing="1" w:after="100" w:afterAutospacing="1" w:line="240" w:lineRule="auto"/>
      </w:pPr>
      <w:r>
        <w:rPr>
          <w:rStyle w:val="Fett"/>
        </w:rPr>
        <w:t>Die LXX</w:t>
      </w:r>
      <w:r>
        <w:t xml:space="preserve"> übersetzt „</w:t>
      </w:r>
      <w:r>
        <w:rPr>
          <w:rtl/>
        </w:rPr>
        <w:t>לָמָּה נִגָּרַע</w:t>
      </w:r>
      <w:r>
        <w:t>" (warum sollen wir zurückgesetzt/benachteiligt werden) mit „μὴ οὖν ὑστερήσωμεν" (sollen wir also nicht zurückstehen), was eine rhetorische Frage in eine negative Aussage umwandelt, und übersetzt „</w:t>
      </w:r>
      <w:r>
        <w:rPr>
          <w:rtl/>
        </w:rPr>
        <w:t>הַקְרִיב אֶת־קָרְבַּן יְהוָה</w:t>
      </w:r>
      <w:r>
        <w:t xml:space="preserve">" (die Opfergabe des </w:t>
      </w:r>
      <w:r w:rsidR="00095BF0">
        <w:t>Ewigen</w:t>
      </w:r>
      <w:r>
        <w:t xml:space="preserve"> darzubringen) mit „προσενέγκαι τὸ δῶρον κυρίῳ" (die Gabe dem Herrn darzubringen).</w:t>
      </w:r>
    </w:p>
    <w:p w14:paraId="62CD06C7" w14:textId="4028ED21"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lastRenderedPageBreak/>
        <w:t>Die Satzstruktur zeigt eine emphatische Selbstcharakterisierung, rhetorische Klage und detaillierte Benachteiligungsbeschreibung.</w:t>
      </w:r>
    </w:p>
    <w:p w14:paraId="6E89F002"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Dieser Vers artikuliert das Dilemma zwischen ritueller Unreinheit und dem Wunsch nach vollständiger Gemeinschaftspartizipation.</w:t>
      </w:r>
    </w:p>
    <w:p w14:paraId="3CC97643" w14:textId="77777777" w:rsidR="00F13306" w:rsidRPr="00F13306" w:rsidRDefault="00F13306" w:rsidP="00F13306">
      <w:pPr>
        <w:spacing w:before="100" w:beforeAutospacing="1" w:after="100" w:afterAutospacing="1" w:line="240" w:lineRule="auto"/>
        <w:outlineLvl w:val="0"/>
        <w:rPr>
          <w:rFonts w:eastAsia="Times New Roman" w:cs="Times New Roman"/>
          <w:b/>
          <w:bCs/>
          <w:kern w:val="36"/>
          <w:sz w:val="48"/>
          <w:szCs w:val="48"/>
          <w:lang w:eastAsia="de-DE"/>
        </w:rPr>
      </w:pPr>
      <w:r w:rsidRPr="00F13306">
        <w:rPr>
          <w:rFonts w:eastAsia="Times New Roman" w:cs="Times New Roman"/>
          <w:b/>
          <w:bCs/>
          <w:kern w:val="36"/>
          <w:sz w:val="48"/>
          <w:szCs w:val="48"/>
          <w:lang w:eastAsia="de-DE"/>
        </w:rPr>
        <w:t>Numeri 9,8</w:t>
      </w:r>
    </w:p>
    <w:p w14:paraId="17CAB3CC"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Hebräisch:</w:t>
      </w:r>
      <w:r w:rsidRPr="00F13306">
        <w:rPr>
          <w:rFonts w:eastAsia="Times New Roman" w:cs="Times New Roman"/>
          <w:lang w:eastAsia="de-DE"/>
        </w:rPr>
        <w:t xml:space="preserve"> </w:t>
      </w:r>
      <w:r w:rsidRPr="00F13306">
        <w:rPr>
          <w:rFonts w:eastAsia="Times New Roman" w:cs="Times New Roman"/>
          <w:rtl/>
          <w:lang w:eastAsia="de-DE"/>
        </w:rPr>
        <w:t>וַיֹּ֥אמֶר אֲלֵהֶ֖ם מֹשֶׁ֑ה עִמְד֣וּ וְאֶשְׁמְעָ֔ה מַה־יְצַוֶּ֥ה יְהוָ֖ה לָכֶֽם׃</w:t>
      </w:r>
    </w:p>
    <w:p w14:paraId="56604936"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Deutsch:</w:t>
      </w:r>
      <w:r w:rsidRPr="00F13306">
        <w:rPr>
          <w:rFonts w:eastAsia="Times New Roman" w:cs="Times New Roman"/>
          <w:lang w:eastAsia="de-DE"/>
        </w:rPr>
        <w:t xml:space="preserve"> Und Mosche sprach zu ihnen: Bleibt stehen, und ich will hören, was der Ewige euretwegen gebieten wird.</w:t>
      </w:r>
    </w:p>
    <w:p w14:paraId="46E58DFC" w14:textId="77777777" w:rsidR="00F13306" w:rsidRPr="00F13306" w:rsidRDefault="00F329DD" w:rsidP="00F13306">
      <w:pPr>
        <w:spacing w:after="0" w:line="240" w:lineRule="auto"/>
        <w:rPr>
          <w:rFonts w:eastAsia="Times New Roman" w:cs="Times New Roman"/>
          <w:lang w:eastAsia="de-DE"/>
        </w:rPr>
      </w:pPr>
      <w:r>
        <w:rPr>
          <w:rFonts w:eastAsia="Times New Roman" w:cs="Times New Roman"/>
          <w:noProof/>
          <w:lang w:eastAsia="de-DE"/>
        </w:rPr>
        <w:pict w14:anchorId="1FE34088">
          <v:rect id="_x0000_i1328" style="width:0;height:1.5pt" o:hralign="center" o:hrstd="t" o:hr="t" fillcolor="#a0a0a0" stroked="f"/>
        </w:pict>
      </w:r>
    </w:p>
    <w:p w14:paraId="6F84CF91"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Kommentar:</w:t>
      </w:r>
      <w:r w:rsidRPr="00F13306">
        <w:rPr>
          <w:rFonts w:eastAsia="Times New Roman" w:cs="Times New Roman"/>
          <w:lang w:eastAsia="de-DE"/>
        </w:rPr>
        <w:t xml:space="preserve"> Das Verb </w:t>
      </w:r>
      <w:r w:rsidRPr="00F13306">
        <w:rPr>
          <w:rFonts w:eastAsia="Times New Roman" w:cs="Times New Roman"/>
          <w:b/>
          <w:bCs/>
          <w:rtl/>
          <w:lang w:eastAsia="de-DE"/>
        </w:rPr>
        <w:t>וַיֹּאמֶר אֲלֵהֶם מֹשֶׁה</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יֹּאמֶר</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אמר</w:t>
      </w:r>
      <w:r w:rsidRPr="00F13306">
        <w:rPr>
          <w:rFonts w:eastAsia="Times New Roman" w:cs="Times New Roman"/>
          <w:rtl/>
          <w:lang w:eastAsia="de-DE"/>
        </w:rPr>
        <w:t xml:space="preserve"> </w:t>
      </w:r>
      <w:r w:rsidRPr="00F13306">
        <w:rPr>
          <w:rFonts w:eastAsia="Times New Roman" w:cs="Times New Roman"/>
          <w:lang w:eastAsia="de-DE"/>
        </w:rPr>
        <w:t>(sagen) zeigt Moses Antwort auf ihre Bitte.</w:t>
      </w:r>
    </w:p>
    <w:p w14:paraId="551BD168"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Der Imperativ </w:t>
      </w:r>
      <w:r w:rsidRPr="00F13306">
        <w:rPr>
          <w:rFonts w:eastAsia="Times New Roman" w:cs="Times New Roman"/>
          <w:b/>
          <w:bCs/>
          <w:rtl/>
          <w:lang w:eastAsia="de-DE"/>
        </w:rPr>
        <w:t>עִמְדוּ</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עמד</w:t>
      </w:r>
      <w:r w:rsidRPr="00F13306">
        <w:rPr>
          <w:rFonts w:eastAsia="Times New Roman" w:cs="Times New Roman"/>
          <w:rtl/>
          <w:lang w:eastAsia="de-DE"/>
        </w:rPr>
        <w:t xml:space="preserve"> </w:t>
      </w:r>
      <w:r w:rsidRPr="00F13306">
        <w:rPr>
          <w:rFonts w:eastAsia="Times New Roman" w:cs="Times New Roman"/>
          <w:lang w:eastAsia="de-DE"/>
        </w:rPr>
        <w:t>(stehen) im Qal-Imperativ maskulin Plural zeigt Moses Anweisung zum Warten.</w:t>
      </w:r>
    </w:p>
    <w:p w14:paraId="273D53A1"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Das koordinierte Verb </w:t>
      </w:r>
      <w:r w:rsidRPr="00F13306">
        <w:rPr>
          <w:rFonts w:eastAsia="Times New Roman" w:cs="Times New Roman"/>
          <w:b/>
          <w:bCs/>
          <w:rtl/>
          <w:lang w:eastAsia="de-DE"/>
        </w:rPr>
        <w:t>וְאֶשְׁמְעָה</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שמע</w:t>
      </w:r>
      <w:r w:rsidRPr="00F13306">
        <w:rPr>
          <w:rFonts w:eastAsia="Times New Roman" w:cs="Times New Roman"/>
          <w:rtl/>
          <w:lang w:eastAsia="de-DE"/>
        </w:rPr>
        <w:t xml:space="preserve"> </w:t>
      </w:r>
      <w:r w:rsidRPr="00F13306">
        <w:rPr>
          <w:rFonts w:eastAsia="Times New Roman" w:cs="Times New Roman"/>
          <w:lang w:eastAsia="de-DE"/>
        </w:rPr>
        <w:t>(hören) im Qal-Imperfekt 1. Person Singular mit Waw zeigt Moses Absicht, göttliche Anweisung zu erfragen.</w:t>
      </w:r>
    </w:p>
    <w:p w14:paraId="76BE20F3"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 indirekte Frage </w:t>
      </w:r>
      <w:r w:rsidRPr="00F13306">
        <w:rPr>
          <w:rFonts w:eastAsia="Times New Roman" w:cs="Times New Roman"/>
          <w:b/>
          <w:bCs/>
          <w:rtl/>
          <w:lang w:eastAsia="de-DE"/>
        </w:rPr>
        <w:t>מַה־יְצַוֶּה יְהוָה לָכֶם</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מַה</w:t>
      </w:r>
      <w:r w:rsidRPr="00F13306">
        <w:rPr>
          <w:rFonts w:eastAsia="Times New Roman" w:cs="Times New Roman"/>
          <w:rtl/>
          <w:lang w:eastAsia="de-DE"/>
        </w:rPr>
        <w:t xml:space="preserve"> </w:t>
      </w:r>
      <w:r w:rsidRPr="00F13306">
        <w:rPr>
          <w:rFonts w:eastAsia="Times New Roman" w:cs="Times New Roman"/>
          <w:lang w:eastAsia="de-DE"/>
        </w:rPr>
        <w:t xml:space="preserve">(was), </w:t>
      </w:r>
      <w:r w:rsidRPr="00F13306">
        <w:rPr>
          <w:rFonts w:eastAsia="Times New Roman" w:cs="Times New Roman"/>
          <w:b/>
          <w:bCs/>
          <w:rtl/>
          <w:lang w:eastAsia="de-DE"/>
        </w:rPr>
        <w:t>יְצַוֶּה</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צוה</w:t>
      </w:r>
      <w:r w:rsidRPr="00F13306">
        <w:rPr>
          <w:rFonts w:eastAsia="Times New Roman" w:cs="Times New Roman"/>
          <w:rtl/>
          <w:lang w:eastAsia="de-DE"/>
        </w:rPr>
        <w:t xml:space="preserve"> </w:t>
      </w:r>
      <w:r w:rsidRPr="00F13306">
        <w:rPr>
          <w:rFonts w:eastAsia="Times New Roman" w:cs="Times New Roman"/>
          <w:lang w:eastAsia="de-DE"/>
        </w:rPr>
        <w:t xml:space="preserve">(befehlen) im Pi'el-Imperfekt 3. maskulin Singular, </w:t>
      </w:r>
      <w:r w:rsidRPr="00F13306">
        <w:rPr>
          <w:rFonts w:eastAsia="Times New Roman" w:cs="Times New Roman"/>
          <w:b/>
          <w:bCs/>
          <w:rtl/>
          <w:lang w:eastAsia="de-DE"/>
        </w:rPr>
        <w:t>יְהוָה</w:t>
      </w:r>
      <w:r w:rsidRPr="00F13306">
        <w:rPr>
          <w:rFonts w:eastAsia="Times New Roman" w:cs="Times New Roman"/>
          <w:rtl/>
          <w:lang w:eastAsia="de-DE"/>
        </w:rPr>
        <w:t xml:space="preserve"> </w:t>
      </w:r>
      <w:r w:rsidRPr="00F13306">
        <w:rPr>
          <w:rFonts w:eastAsia="Times New Roman" w:cs="Times New Roman"/>
          <w:lang w:eastAsia="de-DE"/>
        </w:rPr>
        <w:t xml:space="preserve">(der Ewige) und </w:t>
      </w:r>
      <w:r w:rsidRPr="00F13306">
        <w:rPr>
          <w:rFonts w:eastAsia="Times New Roman" w:cs="Times New Roman"/>
          <w:b/>
          <w:bCs/>
          <w:rtl/>
          <w:lang w:eastAsia="de-DE"/>
        </w:rPr>
        <w:t>לָכֶם</w:t>
      </w:r>
      <w:r w:rsidRPr="00F13306">
        <w:rPr>
          <w:rFonts w:eastAsia="Times New Roman" w:cs="Times New Roman"/>
          <w:rtl/>
          <w:lang w:eastAsia="de-DE"/>
        </w:rPr>
        <w:t xml:space="preserve"> </w:t>
      </w:r>
      <w:r w:rsidRPr="00F13306">
        <w:rPr>
          <w:rFonts w:eastAsia="Times New Roman" w:cs="Times New Roman"/>
          <w:lang w:eastAsia="de-DE"/>
        </w:rPr>
        <w:t>(euretwegen/für euch) zeigt Moses Bereitschaft, göttliche Weisung für diesen spezifischen Fall zu erfragen.</w:t>
      </w:r>
    </w:p>
    <w:p w14:paraId="7126BD82" w14:textId="77777777" w:rsidR="004D44DE" w:rsidRDefault="004D44DE" w:rsidP="00F13306">
      <w:pPr>
        <w:spacing w:before="100" w:beforeAutospacing="1" w:after="100" w:afterAutospacing="1" w:line="240" w:lineRule="auto"/>
      </w:pPr>
      <w:r>
        <w:rPr>
          <w:rStyle w:val="Fett"/>
        </w:rPr>
        <w:t>Die LXX</w:t>
      </w:r>
      <w:r>
        <w:t xml:space="preserve"> übersetzt </w:t>
      </w:r>
      <w:r w:rsidRPr="004D44DE">
        <w:rPr>
          <w:b/>
          <w:bCs/>
          <w:rtl/>
        </w:rPr>
        <w:t>ואשמעה מה־יצוה יהוה לכם</w:t>
      </w:r>
      <w:r>
        <w:t xml:space="preserve"> (ve'eshme'ah mah-yetzawweh YHWH lachem - "und ich will hören, was JHWH euch gebieten wird") als καὶ ἀκούσομαι τί ἐντελεῖται κύριος περὶ ὑμῶν (und ich werde hören, was der Herr über euch anordnen wird).</w:t>
      </w:r>
    </w:p>
    <w:p w14:paraId="4A03AA73" w14:textId="66449C22"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Die Satzstruktur zeigt Moses demütige Antwort mit Warteanweisung und göttlicher Konsultationsabsicht.</w:t>
      </w:r>
    </w:p>
    <w:p w14:paraId="09AED12D"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Dieser Vers zeigt Moses als weisen Führer, der bei unklaren Rechtsfällen direkt göttliche Weisung erfrägt.</w:t>
      </w:r>
    </w:p>
    <w:p w14:paraId="129B6532" w14:textId="77777777" w:rsidR="00F13306" w:rsidRPr="00F13306" w:rsidRDefault="00F13306" w:rsidP="00F13306">
      <w:pPr>
        <w:spacing w:before="100" w:beforeAutospacing="1" w:after="100" w:afterAutospacing="1" w:line="240" w:lineRule="auto"/>
        <w:outlineLvl w:val="0"/>
        <w:rPr>
          <w:rFonts w:eastAsia="Times New Roman" w:cs="Times New Roman"/>
          <w:b/>
          <w:bCs/>
          <w:kern w:val="36"/>
          <w:sz w:val="48"/>
          <w:szCs w:val="48"/>
          <w:lang w:eastAsia="de-DE"/>
        </w:rPr>
      </w:pPr>
      <w:r w:rsidRPr="00F13306">
        <w:rPr>
          <w:rFonts w:eastAsia="Times New Roman" w:cs="Times New Roman"/>
          <w:b/>
          <w:bCs/>
          <w:kern w:val="36"/>
          <w:sz w:val="48"/>
          <w:szCs w:val="48"/>
          <w:lang w:eastAsia="de-DE"/>
        </w:rPr>
        <w:t>Numeri 9,9</w:t>
      </w:r>
    </w:p>
    <w:p w14:paraId="6E85EB54"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Hebräisch:</w:t>
      </w:r>
      <w:r w:rsidRPr="00F13306">
        <w:rPr>
          <w:rFonts w:eastAsia="Times New Roman" w:cs="Times New Roman"/>
          <w:lang w:eastAsia="de-DE"/>
        </w:rPr>
        <w:t xml:space="preserve"> </w:t>
      </w:r>
      <w:r w:rsidRPr="00F13306">
        <w:rPr>
          <w:rFonts w:eastAsia="Times New Roman" w:cs="Times New Roman"/>
          <w:rtl/>
          <w:lang w:eastAsia="de-DE"/>
        </w:rPr>
        <w:t>וַיְדַבֵּ֥ר יְהוָ֖ה אֶל־מֹשֶׁ֥ה לֵּאמֹֽר׃</w:t>
      </w:r>
    </w:p>
    <w:p w14:paraId="22A1F040"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Deutsch:</w:t>
      </w:r>
      <w:r w:rsidRPr="00F13306">
        <w:rPr>
          <w:rFonts w:eastAsia="Times New Roman" w:cs="Times New Roman"/>
          <w:lang w:eastAsia="de-DE"/>
        </w:rPr>
        <w:t xml:space="preserve"> Und der Ewige redete zu Mosche, sagend:</w:t>
      </w:r>
    </w:p>
    <w:p w14:paraId="398A8F1B" w14:textId="77777777" w:rsidR="00F13306" w:rsidRPr="00F13306" w:rsidRDefault="00F329DD" w:rsidP="00F13306">
      <w:pPr>
        <w:spacing w:after="0" w:line="240" w:lineRule="auto"/>
        <w:rPr>
          <w:rFonts w:eastAsia="Times New Roman" w:cs="Times New Roman"/>
          <w:lang w:eastAsia="de-DE"/>
        </w:rPr>
      </w:pPr>
      <w:r>
        <w:rPr>
          <w:rFonts w:eastAsia="Times New Roman" w:cs="Times New Roman"/>
          <w:noProof/>
          <w:lang w:eastAsia="de-DE"/>
        </w:rPr>
        <w:pict w14:anchorId="6C2F7459">
          <v:rect id="_x0000_i1329" style="width:0;height:1.5pt" o:hralign="center" o:hrstd="t" o:hr="t" fillcolor="#a0a0a0" stroked="f"/>
        </w:pict>
      </w:r>
    </w:p>
    <w:p w14:paraId="13A0E012"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Kommentar:</w:t>
      </w:r>
      <w:r w:rsidRPr="00F13306">
        <w:rPr>
          <w:rFonts w:eastAsia="Times New Roman" w:cs="Times New Roman"/>
          <w:lang w:eastAsia="de-DE"/>
        </w:rPr>
        <w:t xml:space="preserve"> Das Verb </w:t>
      </w:r>
      <w:r w:rsidRPr="00F13306">
        <w:rPr>
          <w:rFonts w:eastAsia="Times New Roman" w:cs="Times New Roman"/>
          <w:b/>
          <w:bCs/>
          <w:rtl/>
          <w:lang w:eastAsia="de-DE"/>
        </w:rPr>
        <w:t>וַיְדַבֵּר</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דבר</w:t>
      </w:r>
      <w:r w:rsidRPr="00F13306">
        <w:rPr>
          <w:rFonts w:eastAsia="Times New Roman" w:cs="Times New Roman"/>
          <w:rtl/>
          <w:lang w:eastAsia="de-DE"/>
        </w:rPr>
        <w:t xml:space="preserve"> </w:t>
      </w:r>
      <w:r w:rsidRPr="00F13306">
        <w:rPr>
          <w:rFonts w:eastAsia="Times New Roman" w:cs="Times New Roman"/>
          <w:lang w:eastAsia="de-DE"/>
        </w:rPr>
        <w:t>(reden) im Qal-Imperfekt 3. maskulin Singular mit Waw consecutivum zeigt Gottes unmittelbare Antwort auf Moses Anfrage.</w:t>
      </w:r>
    </w:p>
    <w:p w14:paraId="1DC0BD2D"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lastRenderedPageBreak/>
        <w:t xml:space="preserve">Die charakteristische Formel </w:t>
      </w:r>
      <w:r w:rsidRPr="00F13306">
        <w:rPr>
          <w:rFonts w:eastAsia="Times New Roman" w:cs="Times New Roman"/>
          <w:b/>
          <w:bCs/>
          <w:rtl/>
          <w:lang w:eastAsia="de-DE"/>
        </w:rPr>
        <w:t>יְהוָה אֶל־מֹשֶׁה לֵּאמֹר</w:t>
      </w:r>
      <w:r w:rsidRPr="00F13306">
        <w:rPr>
          <w:rFonts w:eastAsia="Times New Roman" w:cs="Times New Roman"/>
          <w:rtl/>
          <w:lang w:eastAsia="de-DE"/>
        </w:rPr>
        <w:t xml:space="preserve"> </w:t>
      </w:r>
      <w:r w:rsidRPr="00F13306">
        <w:rPr>
          <w:rFonts w:eastAsia="Times New Roman" w:cs="Times New Roman"/>
          <w:lang w:eastAsia="de-DE"/>
        </w:rPr>
        <w:t>etabliert die direkte göttliche Kommunikation als Antwort auf das aufgeworfene Problem.</w:t>
      </w:r>
    </w:p>
    <w:p w14:paraId="06262864"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Die LXX</w:t>
      </w:r>
      <w:r w:rsidRPr="00F13306">
        <w:rPr>
          <w:rFonts w:eastAsia="Times New Roman" w:cs="Times New Roman"/>
          <w:lang w:eastAsia="de-DE"/>
        </w:rPr>
        <w:t xml:space="preserve"> übersetzt mit der Standardformel καὶ ἐλάλησεν κύριος πρὸς Μωυσῆν λέγων.</w:t>
      </w:r>
    </w:p>
    <w:p w14:paraId="00E82AEC"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Dieser kurze Vers zeigt Gottes sofortige Bereitschaft, auf praktische Rechtsfragen zu antworten und neue Regelungen zu etablieren.</w:t>
      </w:r>
    </w:p>
    <w:p w14:paraId="65C341C0" w14:textId="77777777" w:rsidR="00F13306" w:rsidRPr="00F13306" w:rsidRDefault="00F13306" w:rsidP="00F13306">
      <w:pPr>
        <w:spacing w:before="100" w:beforeAutospacing="1" w:after="100" w:afterAutospacing="1" w:line="240" w:lineRule="auto"/>
        <w:outlineLvl w:val="0"/>
        <w:rPr>
          <w:rFonts w:eastAsia="Times New Roman" w:cs="Times New Roman"/>
          <w:b/>
          <w:bCs/>
          <w:kern w:val="36"/>
          <w:sz w:val="48"/>
          <w:szCs w:val="48"/>
          <w:lang w:eastAsia="de-DE"/>
        </w:rPr>
      </w:pPr>
      <w:r w:rsidRPr="00F13306">
        <w:rPr>
          <w:rFonts w:eastAsia="Times New Roman" w:cs="Times New Roman"/>
          <w:b/>
          <w:bCs/>
          <w:kern w:val="36"/>
          <w:sz w:val="48"/>
          <w:szCs w:val="48"/>
          <w:lang w:eastAsia="de-DE"/>
        </w:rPr>
        <w:t>Numeri 9,10</w:t>
      </w:r>
    </w:p>
    <w:p w14:paraId="0EBE4E6D"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Hebräisch:</w:t>
      </w:r>
      <w:r w:rsidRPr="00F13306">
        <w:rPr>
          <w:rFonts w:eastAsia="Times New Roman" w:cs="Times New Roman"/>
          <w:lang w:eastAsia="de-DE"/>
        </w:rPr>
        <w:t xml:space="preserve"> </w:t>
      </w:r>
      <w:r w:rsidRPr="00F13306">
        <w:rPr>
          <w:rFonts w:eastAsia="Times New Roman" w:cs="Times New Roman"/>
          <w:rtl/>
          <w:lang w:eastAsia="de-DE"/>
        </w:rPr>
        <w:t>דַּבֵּ֛ר אֶל־בְּנֵ֥י יִשְׂרָאֵ֖ל לֵאמֹ֑ר אִ֣ישׁ אִ֣ישׁ כִּי־יִהְיֶֽה־טָמֵ֣א׀ לָנֶ֡פֶשׁ אוֹ֩ בְדֶ֨רֶךְ רְחֹקָ֜ה לָכֶ֗ם א֚וֹ לְדֹרֹ֣תֵיכֶ֔ם וְעָ֥שָׂה פֶ֖סַח לַיהוָֽה׃</w:t>
      </w:r>
    </w:p>
    <w:p w14:paraId="35D36B36" w14:textId="2A8D7914"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Deutsch:</w:t>
      </w:r>
      <w:r w:rsidRPr="00F13306">
        <w:rPr>
          <w:rFonts w:eastAsia="Times New Roman" w:cs="Times New Roman"/>
          <w:lang w:eastAsia="de-DE"/>
        </w:rPr>
        <w:t xml:space="preserve"> Rede zu den Söhnen Jisra'el und sprich: Wenn irgendjemand von euch oder von euren künftigen Geschlechtern unrein sein sollte durch eine Leiche oder auf einer fernen Reise ist, so soll er doch dem Ewigen das </w:t>
      </w:r>
      <w:r w:rsidR="00E136DC">
        <w:rPr>
          <w:rFonts w:eastAsia="Times New Roman" w:cs="Times New Roman"/>
          <w:lang w:eastAsia="de-DE"/>
        </w:rPr>
        <w:t>Pesach</w:t>
      </w:r>
      <w:r w:rsidRPr="00F13306">
        <w:rPr>
          <w:rFonts w:eastAsia="Times New Roman" w:cs="Times New Roman"/>
          <w:lang w:eastAsia="de-DE"/>
        </w:rPr>
        <w:t xml:space="preserve"> feiern.</w:t>
      </w:r>
    </w:p>
    <w:p w14:paraId="0AC4D8A1" w14:textId="77777777" w:rsidR="00F13306" w:rsidRPr="00F13306" w:rsidRDefault="00F329DD" w:rsidP="00F13306">
      <w:pPr>
        <w:spacing w:after="0" w:line="240" w:lineRule="auto"/>
        <w:rPr>
          <w:rFonts w:eastAsia="Times New Roman" w:cs="Times New Roman"/>
          <w:lang w:eastAsia="de-DE"/>
        </w:rPr>
      </w:pPr>
      <w:r>
        <w:rPr>
          <w:rFonts w:eastAsia="Times New Roman" w:cs="Times New Roman"/>
          <w:noProof/>
          <w:lang w:eastAsia="de-DE"/>
        </w:rPr>
        <w:pict w14:anchorId="738F7D74">
          <v:rect id="_x0000_i1330" style="width:0;height:1.5pt" o:hralign="center" o:hrstd="t" o:hr="t" fillcolor="#a0a0a0" stroked="f"/>
        </w:pict>
      </w:r>
    </w:p>
    <w:p w14:paraId="3CB73C14"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b/>
          <w:bCs/>
          <w:lang w:eastAsia="de-DE"/>
        </w:rPr>
        <w:t>Kommentar:</w:t>
      </w:r>
      <w:r w:rsidRPr="00F13306">
        <w:rPr>
          <w:rFonts w:eastAsia="Times New Roman" w:cs="Times New Roman"/>
          <w:lang w:eastAsia="de-DE"/>
        </w:rPr>
        <w:t xml:space="preserve"> Der Imperativ </w:t>
      </w:r>
      <w:r w:rsidRPr="00F13306">
        <w:rPr>
          <w:rFonts w:eastAsia="Times New Roman" w:cs="Times New Roman"/>
          <w:b/>
          <w:bCs/>
          <w:rtl/>
          <w:lang w:eastAsia="de-DE"/>
        </w:rPr>
        <w:t>דַּבֵּר אֶל־בְּנֵי יִשְׂרָאֵל לֵאמֹר</w:t>
      </w:r>
      <w:r w:rsidRPr="00F13306">
        <w:rPr>
          <w:rFonts w:eastAsia="Times New Roman" w:cs="Times New Roman"/>
          <w:rtl/>
          <w:lang w:eastAsia="de-DE"/>
        </w:rPr>
        <w:t xml:space="preserve"> </w:t>
      </w:r>
      <w:r w:rsidRPr="00F13306">
        <w:rPr>
          <w:rFonts w:eastAsia="Times New Roman" w:cs="Times New Roman"/>
          <w:lang w:eastAsia="de-DE"/>
        </w:rPr>
        <w:t>zeigt die Verkündigungsanweisung an das gesamte Volk für eine allgemeine Regelung.</w:t>
      </w:r>
    </w:p>
    <w:p w14:paraId="5C88AFD1" w14:textId="4DFAF340"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 distributive </w:t>
      </w:r>
      <w:r w:rsidR="00F133EC">
        <w:rPr>
          <w:rFonts w:eastAsia="Times New Roman" w:cs="Times New Roman"/>
          <w:lang w:eastAsia="de-DE"/>
        </w:rPr>
        <w:t>Construct</w:t>
      </w:r>
      <w:r w:rsidRPr="00F13306">
        <w:rPr>
          <w:rFonts w:eastAsia="Times New Roman" w:cs="Times New Roman"/>
          <w:lang w:eastAsia="de-DE"/>
        </w:rPr>
        <w:t xml:space="preserve">ion </w:t>
      </w:r>
      <w:r w:rsidRPr="00F13306">
        <w:rPr>
          <w:rFonts w:eastAsia="Times New Roman" w:cs="Times New Roman"/>
          <w:b/>
          <w:bCs/>
          <w:rtl/>
          <w:lang w:eastAsia="de-DE"/>
        </w:rPr>
        <w:t>אִישׁ אִישׁ</w:t>
      </w:r>
      <w:r w:rsidRPr="00F13306">
        <w:rPr>
          <w:rFonts w:eastAsia="Times New Roman" w:cs="Times New Roman"/>
          <w:rtl/>
          <w:lang w:eastAsia="de-DE"/>
        </w:rPr>
        <w:t xml:space="preserve"> </w:t>
      </w:r>
      <w:r w:rsidRPr="00F13306">
        <w:rPr>
          <w:rFonts w:eastAsia="Times New Roman" w:cs="Times New Roman"/>
          <w:lang w:eastAsia="de-DE"/>
        </w:rPr>
        <w:t>(jeder einzelne Mann) mit Reduplikation betont die individuelle Anwendbarkeit der folgenden Regelung.</w:t>
      </w:r>
    </w:p>
    <w:p w14:paraId="02CDDBFE"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 konditionelle Bestimmung </w:t>
      </w:r>
      <w:r w:rsidRPr="00F13306">
        <w:rPr>
          <w:rFonts w:eastAsia="Times New Roman" w:cs="Times New Roman"/>
          <w:b/>
          <w:bCs/>
          <w:rtl/>
          <w:lang w:eastAsia="de-DE"/>
        </w:rPr>
        <w:t>כִּי־יִהְיֶה־טָמֵא לָנֶפֶשׁ אוֹ בְדֶרֶךְ רְחֹקָה</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כִּי</w:t>
      </w:r>
      <w:r w:rsidRPr="00F13306">
        <w:rPr>
          <w:rFonts w:eastAsia="Times New Roman" w:cs="Times New Roman"/>
          <w:rtl/>
          <w:lang w:eastAsia="de-DE"/>
        </w:rPr>
        <w:t xml:space="preserve"> </w:t>
      </w:r>
      <w:r w:rsidRPr="00F13306">
        <w:rPr>
          <w:rFonts w:eastAsia="Times New Roman" w:cs="Times New Roman"/>
          <w:lang w:eastAsia="de-DE"/>
        </w:rPr>
        <w:t xml:space="preserve">(wenn), </w:t>
      </w:r>
      <w:r w:rsidRPr="00F13306">
        <w:rPr>
          <w:rFonts w:eastAsia="Times New Roman" w:cs="Times New Roman"/>
          <w:b/>
          <w:bCs/>
          <w:rtl/>
          <w:lang w:eastAsia="de-DE"/>
        </w:rPr>
        <w:t>יִהְיֶה</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היה</w:t>
      </w:r>
      <w:r w:rsidRPr="00F13306">
        <w:rPr>
          <w:rFonts w:eastAsia="Times New Roman" w:cs="Times New Roman"/>
          <w:rtl/>
          <w:lang w:eastAsia="de-DE"/>
        </w:rPr>
        <w:t xml:space="preserve"> </w:t>
      </w:r>
      <w:r w:rsidRPr="00F13306">
        <w:rPr>
          <w:rFonts w:eastAsia="Times New Roman" w:cs="Times New Roman"/>
          <w:lang w:eastAsia="de-DE"/>
        </w:rPr>
        <w:t xml:space="preserve">(sein), </w:t>
      </w:r>
      <w:r w:rsidRPr="00F13306">
        <w:rPr>
          <w:rFonts w:eastAsia="Times New Roman" w:cs="Times New Roman"/>
          <w:b/>
          <w:bCs/>
          <w:rtl/>
          <w:lang w:eastAsia="de-DE"/>
        </w:rPr>
        <w:t>טָמֵא לָנֶפֶשׁ</w:t>
      </w:r>
      <w:r w:rsidRPr="00F13306">
        <w:rPr>
          <w:rFonts w:eastAsia="Times New Roman" w:cs="Times New Roman"/>
          <w:rtl/>
          <w:lang w:eastAsia="de-DE"/>
        </w:rPr>
        <w:t xml:space="preserve"> </w:t>
      </w:r>
      <w:r w:rsidRPr="00F13306">
        <w:rPr>
          <w:rFonts w:eastAsia="Times New Roman" w:cs="Times New Roman"/>
          <w:lang w:eastAsia="de-DE"/>
        </w:rPr>
        <w:t xml:space="preserve">(unrein durch eine Leiche) und </w:t>
      </w:r>
      <w:r w:rsidRPr="00F13306">
        <w:rPr>
          <w:rFonts w:eastAsia="Times New Roman" w:cs="Times New Roman"/>
          <w:b/>
          <w:bCs/>
          <w:rtl/>
          <w:lang w:eastAsia="de-DE"/>
        </w:rPr>
        <w:t>בְדֶרֶךְ רְחֹקָה</w:t>
      </w:r>
      <w:r w:rsidRPr="00F13306">
        <w:rPr>
          <w:rFonts w:eastAsia="Times New Roman" w:cs="Times New Roman"/>
          <w:rtl/>
          <w:lang w:eastAsia="de-DE"/>
        </w:rPr>
        <w:t xml:space="preserve"> </w:t>
      </w:r>
      <w:r w:rsidRPr="00F13306">
        <w:rPr>
          <w:rFonts w:eastAsia="Times New Roman" w:cs="Times New Roman"/>
          <w:lang w:eastAsia="de-DE"/>
        </w:rPr>
        <w:t>(auf fernem Weg) etabliert zwei Ausschlussgründe: Leichenunreinheit und große Entfernung.</w:t>
      </w:r>
    </w:p>
    <w:p w14:paraId="2E7D4470" w14:textId="77777777"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 zeitliche Erweiterung </w:t>
      </w:r>
      <w:r w:rsidRPr="00F13306">
        <w:rPr>
          <w:rFonts w:eastAsia="Times New Roman" w:cs="Times New Roman"/>
          <w:b/>
          <w:bCs/>
          <w:rtl/>
          <w:lang w:eastAsia="de-DE"/>
        </w:rPr>
        <w:t>לָכֶם אוֹ לְדֹרֹתֵיכֶם</w:t>
      </w:r>
      <w:r w:rsidRPr="00F13306">
        <w:rPr>
          <w:rFonts w:eastAsia="Times New Roman" w:cs="Times New Roman"/>
          <w:rtl/>
          <w:lang w:eastAsia="de-DE"/>
        </w:rPr>
        <w:t xml:space="preserve"> </w:t>
      </w:r>
      <w:r w:rsidRPr="00F13306">
        <w:rPr>
          <w:rFonts w:eastAsia="Times New Roman" w:cs="Times New Roman"/>
          <w:lang w:eastAsia="de-DE"/>
        </w:rPr>
        <w:t>(für euch oder für eure Geschlechter) zeigt die dauerhafte Gültigkeit der Regelung.</w:t>
      </w:r>
    </w:p>
    <w:p w14:paraId="16B75A21" w14:textId="6808064E"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Das Resultat </w:t>
      </w:r>
      <w:r w:rsidRPr="00F13306">
        <w:rPr>
          <w:rFonts w:eastAsia="Times New Roman" w:cs="Times New Roman"/>
          <w:b/>
          <w:bCs/>
          <w:rtl/>
          <w:lang w:eastAsia="de-DE"/>
        </w:rPr>
        <w:t>וְעָשָׂה פֶסַח לַיהוָה</w:t>
      </w:r>
      <w:r w:rsidRPr="00F13306">
        <w:rPr>
          <w:rFonts w:eastAsia="Times New Roman" w:cs="Times New Roman"/>
          <w:rtl/>
          <w:lang w:eastAsia="de-DE"/>
        </w:rPr>
        <w:t xml:space="preserve"> </w:t>
      </w:r>
      <w:r w:rsidRPr="00F13306">
        <w:rPr>
          <w:rFonts w:eastAsia="Times New Roman" w:cs="Times New Roman"/>
          <w:lang w:eastAsia="de-DE"/>
        </w:rPr>
        <w:t xml:space="preserve">mit </w:t>
      </w:r>
      <w:r w:rsidRPr="00F13306">
        <w:rPr>
          <w:rFonts w:eastAsia="Times New Roman" w:cs="Times New Roman"/>
          <w:b/>
          <w:bCs/>
          <w:rtl/>
          <w:lang w:eastAsia="de-DE"/>
        </w:rPr>
        <w:t>עָשָׂה</w:t>
      </w:r>
      <w:r w:rsidRPr="00F13306">
        <w:rPr>
          <w:rFonts w:eastAsia="Times New Roman" w:cs="Times New Roman"/>
          <w:rtl/>
          <w:lang w:eastAsia="de-DE"/>
        </w:rPr>
        <w:t xml:space="preserve"> </w:t>
      </w:r>
      <w:r w:rsidRPr="00F13306">
        <w:rPr>
          <w:rFonts w:eastAsia="Times New Roman" w:cs="Times New Roman"/>
          <w:lang w:eastAsia="de-DE"/>
        </w:rPr>
        <w:t xml:space="preserve">von </w:t>
      </w:r>
      <w:r w:rsidRPr="00F13306">
        <w:rPr>
          <w:rFonts w:eastAsia="Times New Roman" w:cs="Times New Roman"/>
          <w:b/>
          <w:bCs/>
          <w:rtl/>
          <w:lang w:eastAsia="de-DE"/>
        </w:rPr>
        <w:t>עשה</w:t>
      </w:r>
      <w:r w:rsidRPr="00F13306">
        <w:rPr>
          <w:rFonts w:eastAsia="Times New Roman" w:cs="Times New Roman"/>
          <w:rtl/>
          <w:lang w:eastAsia="de-DE"/>
        </w:rPr>
        <w:t xml:space="preserve"> </w:t>
      </w:r>
      <w:r w:rsidRPr="00F13306">
        <w:rPr>
          <w:rFonts w:eastAsia="Times New Roman" w:cs="Times New Roman"/>
          <w:lang w:eastAsia="de-DE"/>
        </w:rPr>
        <w:t xml:space="preserve">(feiern) zeigt trotz der Hinderungsgründe die Möglichkeit der </w:t>
      </w:r>
      <w:r w:rsidR="00E136DC">
        <w:rPr>
          <w:rFonts w:eastAsia="Times New Roman" w:cs="Times New Roman"/>
          <w:lang w:eastAsia="de-DE"/>
        </w:rPr>
        <w:t>Pesach</w:t>
      </w:r>
      <w:r w:rsidRPr="00F13306">
        <w:rPr>
          <w:rFonts w:eastAsia="Times New Roman" w:cs="Times New Roman"/>
          <w:lang w:eastAsia="de-DE"/>
        </w:rPr>
        <w:t>-Feier.</w:t>
      </w:r>
    </w:p>
    <w:p w14:paraId="008F732F" w14:textId="77777777" w:rsidR="004D44DE" w:rsidRDefault="004D44DE" w:rsidP="00F13306">
      <w:pPr>
        <w:spacing w:before="100" w:beforeAutospacing="1" w:after="100" w:afterAutospacing="1" w:line="240" w:lineRule="auto"/>
      </w:pPr>
      <w:r>
        <w:rPr>
          <w:rStyle w:val="Fett"/>
        </w:rPr>
        <w:t>Die LXX</w:t>
      </w:r>
      <w:r>
        <w:t xml:space="preserve"> verdoppelt ἄνθρωπος ἄνθρωπος für </w:t>
      </w:r>
      <w:r w:rsidRPr="004D44DE">
        <w:rPr>
          <w:b/>
          <w:bCs/>
          <w:rtl/>
        </w:rPr>
        <w:t>איש איש</w:t>
      </w:r>
      <w:r>
        <w:t xml:space="preserve"> (ish ish), um die distributive Bedeutung ("jeder einzelne Mann") zu erfassen. </w:t>
      </w:r>
      <w:r w:rsidRPr="004D44DE">
        <w:rPr>
          <w:b/>
          <w:bCs/>
          <w:rtl/>
        </w:rPr>
        <w:t>בדרך רחקה</w:t>
      </w:r>
      <w:r>
        <w:t xml:space="preserve"> (bederech rechoquah - "auf ferner Reise") wird als ἐν ὁδῷ μακρὰν (auf weitem Weg) übersetzt.</w:t>
      </w:r>
    </w:p>
    <w:p w14:paraId="69087AEB" w14:textId="536FBC16"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Die Satzstruktur zeigt eine allgemeine Verkündigungsanweisung mit distributiver Individualisierung, doppelter konditioneller Bestimmung, zeitlicher Erweiterung und positivem Resultat trotz Hinderungen.</w:t>
      </w:r>
    </w:p>
    <w:p w14:paraId="05606A68" w14:textId="2D623A71" w:rsidR="00F13306" w:rsidRPr="00F13306" w:rsidRDefault="00F13306" w:rsidP="00F13306">
      <w:pPr>
        <w:spacing w:before="100" w:beforeAutospacing="1" w:after="100" w:afterAutospacing="1" w:line="240" w:lineRule="auto"/>
        <w:rPr>
          <w:rFonts w:eastAsia="Times New Roman" w:cs="Times New Roman"/>
          <w:lang w:eastAsia="de-DE"/>
        </w:rPr>
      </w:pPr>
      <w:r w:rsidRPr="00F13306">
        <w:rPr>
          <w:rFonts w:eastAsia="Times New Roman" w:cs="Times New Roman"/>
          <w:lang w:eastAsia="de-DE"/>
        </w:rPr>
        <w:t xml:space="preserve">Dieser Vers etabliert die beiden Hauptgründe für eine alternative </w:t>
      </w:r>
      <w:r w:rsidR="00E136DC">
        <w:rPr>
          <w:rFonts w:eastAsia="Times New Roman" w:cs="Times New Roman"/>
          <w:lang w:eastAsia="de-DE"/>
        </w:rPr>
        <w:t>Pesach</w:t>
      </w:r>
      <w:r w:rsidRPr="00F13306">
        <w:rPr>
          <w:rFonts w:eastAsia="Times New Roman" w:cs="Times New Roman"/>
          <w:lang w:eastAsia="de-DE"/>
        </w:rPr>
        <w:t>-Feier: rituelle Unreinheit und geographische Unmöglichkeit.</w:t>
      </w:r>
    </w:p>
    <w:p w14:paraId="2087E847" w14:textId="77777777" w:rsidR="00315907" w:rsidRPr="00315907" w:rsidRDefault="00315907" w:rsidP="00315907">
      <w:pPr>
        <w:spacing w:before="100" w:beforeAutospacing="1" w:after="100" w:afterAutospacing="1" w:line="240" w:lineRule="auto"/>
        <w:outlineLvl w:val="0"/>
        <w:rPr>
          <w:rFonts w:eastAsia="Times New Roman" w:cs="Times New Roman"/>
          <w:b/>
          <w:bCs/>
          <w:kern w:val="36"/>
          <w:sz w:val="48"/>
          <w:szCs w:val="48"/>
          <w:lang w:eastAsia="de-DE"/>
        </w:rPr>
      </w:pPr>
      <w:r w:rsidRPr="00315907">
        <w:rPr>
          <w:rFonts w:eastAsia="Times New Roman" w:cs="Times New Roman"/>
          <w:b/>
          <w:bCs/>
          <w:kern w:val="36"/>
          <w:sz w:val="48"/>
          <w:szCs w:val="48"/>
          <w:lang w:eastAsia="de-DE"/>
        </w:rPr>
        <w:t>Numeri 9,11</w:t>
      </w:r>
    </w:p>
    <w:p w14:paraId="18E6B6CD"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lastRenderedPageBreak/>
        <w:t>Hebräisch:</w:t>
      </w:r>
      <w:r w:rsidRPr="00315907">
        <w:rPr>
          <w:rFonts w:eastAsia="Times New Roman" w:cs="Times New Roman"/>
          <w:lang w:eastAsia="de-DE"/>
        </w:rPr>
        <w:t xml:space="preserve"> </w:t>
      </w:r>
      <w:r w:rsidRPr="00315907">
        <w:rPr>
          <w:rFonts w:eastAsia="Times New Roman" w:cs="Times New Roman"/>
          <w:rtl/>
          <w:lang w:eastAsia="de-DE"/>
        </w:rPr>
        <w:t>בַּחֹ֨דֶשׁ הַשֵּׁנִ֜י בְּאַרְבָּעָ֨ה עָשָׂ֥ר י֛וֹם בֵּ֥ין הָעַרְבַּ֖יִם יַעֲשׂ֣וּ אֹתוֹ֑ עַל־מַצּ֥וֹת וּמְרֹרִ֖ים יֹאכְלֻֽהוּ׃</w:t>
      </w:r>
    </w:p>
    <w:p w14:paraId="65FF8321"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Deutsch:</w:t>
      </w:r>
      <w:r w:rsidRPr="00315907">
        <w:rPr>
          <w:rFonts w:eastAsia="Times New Roman" w:cs="Times New Roman"/>
          <w:lang w:eastAsia="de-DE"/>
        </w:rPr>
        <w:t xml:space="preserve"> Im zweiten Monat, am 14. Tag, zwischen den beiden Abenden, sollen sie es feiern; mit ungesäuertem Brot und bitteren Kräutern sollen sie es essen.</w:t>
      </w:r>
    </w:p>
    <w:p w14:paraId="16566CB9" w14:textId="77777777" w:rsidR="00315907" w:rsidRPr="00315907" w:rsidRDefault="00F329DD" w:rsidP="00315907">
      <w:pPr>
        <w:spacing w:after="0" w:line="240" w:lineRule="auto"/>
        <w:rPr>
          <w:rFonts w:eastAsia="Times New Roman" w:cs="Times New Roman"/>
          <w:lang w:eastAsia="de-DE"/>
        </w:rPr>
      </w:pPr>
      <w:r>
        <w:rPr>
          <w:rFonts w:eastAsia="Times New Roman" w:cs="Times New Roman"/>
          <w:noProof/>
          <w:lang w:eastAsia="de-DE"/>
        </w:rPr>
        <w:pict w14:anchorId="234A164E">
          <v:rect id="_x0000_i1331" style="width:0;height:1.5pt" o:hralign="center" o:hrstd="t" o:hr="t" fillcolor="#a0a0a0" stroked="f"/>
        </w:pict>
      </w:r>
    </w:p>
    <w:p w14:paraId="0C959F9F" w14:textId="4DBCF3D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Kommentar:</w:t>
      </w:r>
      <w:r w:rsidRPr="00315907">
        <w:rPr>
          <w:rFonts w:eastAsia="Times New Roman" w:cs="Times New Roman"/>
          <w:lang w:eastAsia="de-DE"/>
        </w:rPr>
        <w:t xml:space="preserve"> Die Zeitangabe </w:t>
      </w:r>
      <w:r w:rsidRPr="00315907">
        <w:rPr>
          <w:rFonts w:eastAsia="Times New Roman" w:cs="Times New Roman"/>
          <w:b/>
          <w:bCs/>
          <w:rtl/>
          <w:lang w:eastAsia="de-DE"/>
        </w:rPr>
        <w:t>בַּחֹדֶשׁ הַשֵּׁנִי בְּאַרְבָּעָה עָשָׂר יוֹם בֵּין הָעַרְבַּיִם</w:t>
      </w:r>
      <w:r w:rsidRPr="00315907">
        <w:rPr>
          <w:rFonts w:eastAsia="Times New Roman" w:cs="Times New Roman"/>
          <w:rtl/>
          <w:lang w:eastAsia="de-DE"/>
        </w:rPr>
        <w:t xml:space="preserve"> </w:t>
      </w:r>
      <w:r w:rsidRPr="00315907">
        <w:rPr>
          <w:rFonts w:eastAsia="Times New Roman" w:cs="Times New Roman"/>
          <w:lang w:eastAsia="de-DE"/>
        </w:rPr>
        <w:t xml:space="preserve">(im zweiten Monat, am 14. Tag, zwischen den beiden Abenden) etabliert das alternative </w:t>
      </w:r>
      <w:r w:rsidR="00E136DC">
        <w:rPr>
          <w:rFonts w:eastAsia="Times New Roman" w:cs="Times New Roman"/>
          <w:lang w:eastAsia="de-DE"/>
        </w:rPr>
        <w:t>Pesach</w:t>
      </w:r>
      <w:r w:rsidRPr="00315907">
        <w:rPr>
          <w:rFonts w:eastAsia="Times New Roman" w:cs="Times New Roman"/>
          <w:lang w:eastAsia="de-DE"/>
        </w:rPr>
        <w:t xml:space="preserve">-Datum: der 14. Ijjar, exakt einen Monat nach dem regulären </w:t>
      </w:r>
      <w:r w:rsidR="00E136DC">
        <w:rPr>
          <w:rFonts w:eastAsia="Times New Roman" w:cs="Times New Roman"/>
          <w:lang w:eastAsia="de-DE"/>
        </w:rPr>
        <w:t>Pesach</w:t>
      </w:r>
      <w:r w:rsidRPr="00315907">
        <w:rPr>
          <w:rFonts w:eastAsia="Times New Roman" w:cs="Times New Roman"/>
          <w:lang w:eastAsia="de-DE"/>
        </w:rPr>
        <w:t>.</w:t>
      </w:r>
    </w:p>
    <w:p w14:paraId="631942E5" w14:textId="1FF6D892"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Das Verb </w:t>
      </w:r>
      <w:r w:rsidRPr="00315907">
        <w:rPr>
          <w:rFonts w:eastAsia="Times New Roman" w:cs="Times New Roman"/>
          <w:b/>
          <w:bCs/>
          <w:rtl/>
          <w:lang w:eastAsia="de-DE"/>
        </w:rPr>
        <w:t>יַעֲשׂוּ אֹתוֹ</w:t>
      </w:r>
      <w:r w:rsidRPr="00315907">
        <w:rPr>
          <w:rFonts w:eastAsia="Times New Roman" w:cs="Times New Roman"/>
          <w:rtl/>
          <w:lang w:eastAsia="de-DE"/>
        </w:rPr>
        <w:t xml:space="preserve"> </w:t>
      </w:r>
      <w:r w:rsidRPr="00315907">
        <w:rPr>
          <w:rFonts w:eastAsia="Times New Roman" w:cs="Times New Roman"/>
          <w:lang w:eastAsia="de-DE"/>
        </w:rPr>
        <w:t xml:space="preserve">von </w:t>
      </w:r>
      <w:r w:rsidRPr="00315907">
        <w:rPr>
          <w:rFonts w:eastAsia="Times New Roman" w:cs="Times New Roman"/>
          <w:b/>
          <w:bCs/>
          <w:rtl/>
          <w:lang w:eastAsia="de-DE"/>
        </w:rPr>
        <w:t>עשה</w:t>
      </w:r>
      <w:r w:rsidRPr="00315907">
        <w:rPr>
          <w:rFonts w:eastAsia="Times New Roman" w:cs="Times New Roman"/>
          <w:rtl/>
          <w:lang w:eastAsia="de-DE"/>
        </w:rPr>
        <w:t xml:space="preserve"> </w:t>
      </w:r>
      <w:r w:rsidRPr="00315907">
        <w:rPr>
          <w:rFonts w:eastAsia="Times New Roman" w:cs="Times New Roman"/>
          <w:lang w:eastAsia="de-DE"/>
        </w:rPr>
        <w:t>(machen/feiern) im Qal-Imperfekt 3. maskulin Plural zeigt die Feieranweisung für das "</w:t>
      </w:r>
      <w:r w:rsidR="00E136DC">
        <w:rPr>
          <w:rFonts w:eastAsia="Times New Roman" w:cs="Times New Roman"/>
          <w:lang w:eastAsia="de-DE"/>
        </w:rPr>
        <w:t>Pesach</w:t>
      </w:r>
      <w:r w:rsidRPr="00315907">
        <w:rPr>
          <w:rFonts w:eastAsia="Times New Roman" w:cs="Times New Roman"/>
          <w:lang w:eastAsia="de-DE"/>
        </w:rPr>
        <w:t xml:space="preserve"> scheni" (zweites </w:t>
      </w:r>
      <w:r w:rsidR="00E136DC">
        <w:rPr>
          <w:rFonts w:eastAsia="Times New Roman" w:cs="Times New Roman"/>
          <w:lang w:eastAsia="de-DE"/>
        </w:rPr>
        <w:t>Pesach</w:t>
      </w:r>
      <w:r w:rsidRPr="00315907">
        <w:rPr>
          <w:rFonts w:eastAsia="Times New Roman" w:cs="Times New Roman"/>
          <w:lang w:eastAsia="de-DE"/>
        </w:rPr>
        <w:t>).</w:t>
      </w:r>
    </w:p>
    <w:p w14:paraId="5B282481" w14:textId="1A990B78"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 rituellen Bestimmungen </w:t>
      </w:r>
      <w:r w:rsidRPr="00315907">
        <w:rPr>
          <w:rFonts w:eastAsia="Times New Roman" w:cs="Times New Roman"/>
          <w:b/>
          <w:bCs/>
          <w:rtl/>
          <w:lang w:eastAsia="de-DE"/>
        </w:rPr>
        <w:t>עַל־מַצּוֹת וּמְרֹרִים יֹאכְלֻהוּ</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עַל־מַצּוֹת</w:t>
      </w:r>
      <w:r w:rsidRPr="00315907">
        <w:rPr>
          <w:rFonts w:eastAsia="Times New Roman" w:cs="Times New Roman"/>
          <w:rtl/>
          <w:lang w:eastAsia="de-DE"/>
        </w:rPr>
        <w:t xml:space="preserve"> </w:t>
      </w:r>
      <w:r w:rsidRPr="00315907">
        <w:rPr>
          <w:rFonts w:eastAsia="Times New Roman" w:cs="Times New Roman"/>
          <w:lang w:eastAsia="de-DE"/>
        </w:rPr>
        <w:t xml:space="preserve">(mit ungesäuertem Brot), </w:t>
      </w:r>
      <w:r w:rsidRPr="00315907">
        <w:rPr>
          <w:rFonts w:eastAsia="Times New Roman" w:cs="Times New Roman"/>
          <w:b/>
          <w:bCs/>
          <w:rtl/>
          <w:lang w:eastAsia="de-DE"/>
        </w:rPr>
        <w:t>מְרֹרִים</w:t>
      </w:r>
      <w:r w:rsidRPr="00315907">
        <w:rPr>
          <w:rFonts w:eastAsia="Times New Roman" w:cs="Times New Roman"/>
          <w:rtl/>
          <w:lang w:eastAsia="de-DE"/>
        </w:rPr>
        <w:t xml:space="preserve"> </w:t>
      </w:r>
      <w:r w:rsidRPr="00315907">
        <w:rPr>
          <w:rFonts w:eastAsia="Times New Roman" w:cs="Times New Roman"/>
          <w:lang w:eastAsia="de-DE"/>
        </w:rPr>
        <w:t xml:space="preserve">(bitteren Kräutern) und </w:t>
      </w:r>
      <w:r w:rsidRPr="00315907">
        <w:rPr>
          <w:rFonts w:eastAsia="Times New Roman" w:cs="Times New Roman"/>
          <w:b/>
          <w:bCs/>
          <w:rtl/>
          <w:lang w:eastAsia="de-DE"/>
        </w:rPr>
        <w:t>יֹאכְלֻהוּ</w:t>
      </w:r>
      <w:r w:rsidRPr="00315907">
        <w:rPr>
          <w:rFonts w:eastAsia="Times New Roman" w:cs="Times New Roman"/>
          <w:rtl/>
          <w:lang w:eastAsia="de-DE"/>
        </w:rPr>
        <w:t xml:space="preserve"> </w:t>
      </w:r>
      <w:r w:rsidRPr="00315907">
        <w:rPr>
          <w:rFonts w:eastAsia="Times New Roman" w:cs="Times New Roman"/>
          <w:lang w:eastAsia="de-DE"/>
        </w:rPr>
        <w:t xml:space="preserve">von </w:t>
      </w:r>
      <w:r w:rsidRPr="00315907">
        <w:rPr>
          <w:rFonts w:eastAsia="Times New Roman" w:cs="Times New Roman"/>
          <w:b/>
          <w:bCs/>
          <w:rtl/>
          <w:lang w:eastAsia="de-DE"/>
        </w:rPr>
        <w:t>אכל</w:t>
      </w:r>
      <w:r w:rsidRPr="00315907">
        <w:rPr>
          <w:rFonts w:eastAsia="Times New Roman" w:cs="Times New Roman"/>
          <w:rtl/>
          <w:lang w:eastAsia="de-DE"/>
        </w:rPr>
        <w:t xml:space="preserve"> </w:t>
      </w:r>
      <w:r w:rsidRPr="00315907">
        <w:rPr>
          <w:rFonts w:eastAsia="Times New Roman" w:cs="Times New Roman"/>
          <w:lang w:eastAsia="de-DE"/>
        </w:rPr>
        <w:t xml:space="preserve">(essen) im Qal-Imperfekt 3. maskulin Plural mit Objektsuffix 3. maskulin Singular zeigen die identischen liturgischen Elemente wie beim regulären </w:t>
      </w:r>
      <w:r w:rsidR="00E136DC">
        <w:rPr>
          <w:rFonts w:eastAsia="Times New Roman" w:cs="Times New Roman"/>
          <w:lang w:eastAsia="de-DE"/>
        </w:rPr>
        <w:t>Pesach</w:t>
      </w:r>
      <w:r w:rsidRPr="00315907">
        <w:rPr>
          <w:rFonts w:eastAsia="Times New Roman" w:cs="Times New Roman"/>
          <w:lang w:eastAsia="de-DE"/>
        </w:rPr>
        <w:t>.</w:t>
      </w:r>
    </w:p>
    <w:p w14:paraId="5945EB1B" w14:textId="77777777" w:rsidR="004D44DE" w:rsidRDefault="004D44DE" w:rsidP="00315907">
      <w:pPr>
        <w:spacing w:before="100" w:beforeAutospacing="1" w:after="100" w:afterAutospacing="1" w:line="240" w:lineRule="auto"/>
      </w:pPr>
      <w:r>
        <w:rPr>
          <w:rStyle w:val="Fett"/>
        </w:rPr>
        <w:t>Die LXX</w:t>
      </w:r>
      <w:r>
        <w:t xml:space="preserve"> übersetzt </w:t>
      </w:r>
      <w:r w:rsidRPr="004D44DE">
        <w:rPr>
          <w:b/>
          <w:bCs/>
          <w:rtl/>
        </w:rPr>
        <w:t>על־מצות ומררים יאכלהו</w:t>
      </w:r>
      <w:r>
        <w:t xml:space="preserve"> (al-matzot umerorim yochluhu - "mit ungesäuertem Brot und bitteren Kräutern sollen sie es essen") als ἐπʼ ἀζύμων καὶ πικρίδων φάγονται αὐτό (auf Ungesäuertem und Bitterstoffen werden sie es essen), wobei πικρίδες ein botanischer Terminus für Bitterkräuter ist.</w:t>
      </w:r>
    </w:p>
    <w:p w14:paraId="50BBA2EB" w14:textId="12AEDC4B"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Die Satzstruktur zeigt eine präzise alternative Zeitfestlegung mit identischen rituellen Elementen zum Hauptfest.</w:t>
      </w:r>
    </w:p>
    <w:p w14:paraId="49660356" w14:textId="70026E72"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Dieser Vers etabliert das "</w:t>
      </w:r>
      <w:r w:rsidR="00E136DC">
        <w:rPr>
          <w:rFonts w:eastAsia="Times New Roman" w:cs="Times New Roman"/>
          <w:lang w:eastAsia="de-DE"/>
        </w:rPr>
        <w:t>Pesach</w:t>
      </w:r>
      <w:r w:rsidRPr="00315907">
        <w:rPr>
          <w:rFonts w:eastAsia="Times New Roman" w:cs="Times New Roman"/>
          <w:lang w:eastAsia="de-DE"/>
        </w:rPr>
        <w:t xml:space="preserve"> scheni" als vollwertiges alternatives </w:t>
      </w:r>
      <w:r w:rsidR="00E136DC">
        <w:rPr>
          <w:rFonts w:eastAsia="Times New Roman" w:cs="Times New Roman"/>
          <w:lang w:eastAsia="de-DE"/>
        </w:rPr>
        <w:t>Pesach</w:t>
      </w:r>
      <w:r w:rsidRPr="00315907">
        <w:rPr>
          <w:rFonts w:eastAsia="Times New Roman" w:cs="Times New Roman"/>
          <w:lang w:eastAsia="de-DE"/>
        </w:rPr>
        <w:t xml:space="preserve"> mit denselben rituellen Elementen, nur einen Monat später.</w:t>
      </w:r>
    </w:p>
    <w:p w14:paraId="699ADEA5" w14:textId="77777777" w:rsidR="00315907" w:rsidRPr="00315907" w:rsidRDefault="00315907" w:rsidP="00315907">
      <w:pPr>
        <w:spacing w:before="100" w:beforeAutospacing="1" w:after="100" w:afterAutospacing="1" w:line="240" w:lineRule="auto"/>
        <w:outlineLvl w:val="0"/>
        <w:rPr>
          <w:rFonts w:eastAsia="Times New Roman" w:cs="Times New Roman"/>
          <w:b/>
          <w:bCs/>
          <w:kern w:val="36"/>
          <w:sz w:val="48"/>
          <w:szCs w:val="48"/>
          <w:lang w:eastAsia="de-DE"/>
        </w:rPr>
      </w:pPr>
      <w:r w:rsidRPr="00315907">
        <w:rPr>
          <w:rFonts w:eastAsia="Times New Roman" w:cs="Times New Roman"/>
          <w:b/>
          <w:bCs/>
          <w:kern w:val="36"/>
          <w:sz w:val="48"/>
          <w:szCs w:val="48"/>
          <w:lang w:eastAsia="de-DE"/>
        </w:rPr>
        <w:t>Numeri 9,12</w:t>
      </w:r>
    </w:p>
    <w:p w14:paraId="755C4910"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Hebräisch:</w:t>
      </w:r>
      <w:r w:rsidRPr="00315907">
        <w:rPr>
          <w:rFonts w:eastAsia="Times New Roman" w:cs="Times New Roman"/>
          <w:lang w:eastAsia="de-DE"/>
        </w:rPr>
        <w:t xml:space="preserve"> </w:t>
      </w:r>
      <w:r w:rsidRPr="00315907">
        <w:rPr>
          <w:rFonts w:eastAsia="Times New Roman" w:cs="Times New Roman"/>
          <w:rtl/>
          <w:lang w:eastAsia="de-DE"/>
        </w:rPr>
        <w:t>לֹֽא־יַשְׁאִ֤ירוּ מִמֶּ֨נּוּ֙ עַד־בֹּ֔קֶר וְעֶ֖צֶם לֹ֣א יִשְׁבְּרוּ־בוֹ֑ כְּכָל־חֻקַּ֥ת הַפֶּ֖סַח יַעֲשׂ֥וּ אֹתוֹֽ׃</w:t>
      </w:r>
    </w:p>
    <w:p w14:paraId="706BE4F1" w14:textId="3AA7DC93"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Deutsch:</w:t>
      </w:r>
      <w:r w:rsidRPr="00315907">
        <w:rPr>
          <w:rFonts w:eastAsia="Times New Roman" w:cs="Times New Roman"/>
          <w:lang w:eastAsia="de-DE"/>
        </w:rPr>
        <w:t xml:space="preserve"> Sie sollen nichts davon übrig lassen bis zum Morgen und sollen kein Bein an ihm zerbrechen; nach der ganzen Satzung des </w:t>
      </w:r>
      <w:r w:rsidR="00E136DC">
        <w:rPr>
          <w:rFonts w:eastAsia="Times New Roman" w:cs="Times New Roman"/>
          <w:lang w:eastAsia="de-DE"/>
        </w:rPr>
        <w:t>Pesach</w:t>
      </w:r>
      <w:r w:rsidRPr="00315907">
        <w:rPr>
          <w:rFonts w:eastAsia="Times New Roman" w:cs="Times New Roman"/>
          <w:lang w:eastAsia="de-DE"/>
        </w:rPr>
        <w:t>s sollen sie es feiern.</w:t>
      </w:r>
    </w:p>
    <w:p w14:paraId="763AF4BF" w14:textId="77777777" w:rsidR="00315907" w:rsidRPr="00315907" w:rsidRDefault="00F329DD" w:rsidP="00315907">
      <w:pPr>
        <w:spacing w:after="0" w:line="240" w:lineRule="auto"/>
        <w:rPr>
          <w:rFonts w:eastAsia="Times New Roman" w:cs="Times New Roman"/>
          <w:lang w:eastAsia="de-DE"/>
        </w:rPr>
      </w:pPr>
      <w:r>
        <w:rPr>
          <w:rFonts w:eastAsia="Times New Roman" w:cs="Times New Roman"/>
          <w:noProof/>
          <w:lang w:eastAsia="de-DE"/>
        </w:rPr>
        <w:pict w14:anchorId="6C4680C1">
          <v:rect id="_x0000_i1332" style="width:0;height:1.5pt" o:hralign="center" o:hrstd="t" o:hr="t" fillcolor="#a0a0a0" stroked="f"/>
        </w:pict>
      </w:r>
    </w:p>
    <w:p w14:paraId="4ECC45B0" w14:textId="4345B65C"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Kommentar:</w:t>
      </w:r>
      <w:r w:rsidRPr="00315907">
        <w:rPr>
          <w:rFonts w:eastAsia="Times New Roman" w:cs="Times New Roman"/>
          <w:lang w:eastAsia="de-DE"/>
        </w:rPr>
        <w:t xml:space="preserve"> Die erste Einschränkung </w:t>
      </w:r>
      <w:r w:rsidRPr="00315907">
        <w:rPr>
          <w:rFonts w:eastAsia="Times New Roman" w:cs="Times New Roman"/>
          <w:b/>
          <w:bCs/>
          <w:rtl/>
          <w:lang w:eastAsia="de-DE"/>
        </w:rPr>
        <w:t>לֹא־יַשְׁאִירוּ מִמֶּנּוּ עַד־בֹּקֶר</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לֹא</w:t>
      </w:r>
      <w:r w:rsidRPr="00315907">
        <w:rPr>
          <w:rFonts w:eastAsia="Times New Roman" w:cs="Times New Roman"/>
          <w:rtl/>
          <w:lang w:eastAsia="de-DE"/>
        </w:rPr>
        <w:t xml:space="preserve"> </w:t>
      </w:r>
      <w:r w:rsidRPr="00315907">
        <w:rPr>
          <w:rFonts w:eastAsia="Times New Roman" w:cs="Times New Roman"/>
          <w:lang w:eastAsia="de-DE"/>
        </w:rPr>
        <w:t xml:space="preserve">(nicht), </w:t>
      </w:r>
      <w:r w:rsidRPr="00315907">
        <w:rPr>
          <w:rFonts w:eastAsia="Times New Roman" w:cs="Times New Roman"/>
          <w:b/>
          <w:bCs/>
          <w:rtl/>
          <w:lang w:eastAsia="de-DE"/>
        </w:rPr>
        <w:t>יַשְׁאִירוּ</w:t>
      </w:r>
      <w:r w:rsidRPr="00315907">
        <w:rPr>
          <w:rFonts w:eastAsia="Times New Roman" w:cs="Times New Roman"/>
          <w:rtl/>
          <w:lang w:eastAsia="de-DE"/>
        </w:rPr>
        <w:t xml:space="preserve"> </w:t>
      </w:r>
      <w:r w:rsidRPr="00315907">
        <w:rPr>
          <w:rFonts w:eastAsia="Times New Roman" w:cs="Times New Roman"/>
          <w:lang w:eastAsia="de-DE"/>
        </w:rPr>
        <w:t xml:space="preserve">von </w:t>
      </w:r>
      <w:r w:rsidRPr="00315907">
        <w:rPr>
          <w:rFonts w:eastAsia="Times New Roman" w:cs="Times New Roman"/>
          <w:b/>
          <w:bCs/>
          <w:rtl/>
          <w:lang w:eastAsia="de-DE"/>
        </w:rPr>
        <w:t>שאר</w:t>
      </w:r>
      <w:r w:rsidRPr="00315907">
        <w:rPr>
          <w:rFonts w:eastAsia="Times New Roman" w:cs="Times New Roman"/>
          <w:rtl/>
          <w:lang w:eastAsia="de-DE"/>
        </w:rPr>
        <w:t xml:space="preserve"> </w:t>
      </w:r>
      <w:r w:rsidRPr="00315907">
        <w:rPr>
          <w:rFonts w:eastAsia="Times New Roman" w:cs="Times New Roman"/>
          <w:lang w:eastAsia="de-DE"/>
        </w:rPr>
        <w:t xml:space="preserve">(übrig lassen) im Hiph'il-Imperfekt 3. maskulin Plural, </w:t>
      </w:r>
      <w:r w:rsidRPr="00315907">
        <w:rPr>
          <w:rFonts w:eastAsia="Times New Roman" w:cs="Times New Roman"/>
          <w:b/>
          <w:bCs/>
          <w:rtl/>
          <w:lang w:eastAsia="de-DE"/>
        </w:rPr>
        <w:t>מִמֶּנּוּ</w:t>
      </w:r>
      <w:r w:rsidRPr="00315907">
        <w:rPr>
          <w:rFonts w:eastAsia="Times New Roman" w:cs="Times New Roman"/>
          <w:rtl/>
          <w:lang w:eastAsia="de-DE"/>
        </w:rPr>
        <w:t xml:space="preserve"> </w:t>
      </w:r>
      <w:r w:rsidRPr="00315907">
        <w:rPr>
          <w:rFonts w:eastAsia="Times New Roman" w:cs="Times New Roman"/>
          <w:lang w:eastAsia="de-DE"/>
        </w:rPr>
        <w:t xml:space="preserve">(von ihm) und </w:t>
      </w:r>
      <w:r w:rsidRPr="00315907">
        <w:rPr>
          <w:rFonts w:eastAsia="Times New Roman" w:cs="Times New Roman"/>
          <w:b/>
          <w:bCs/>
          <w:rtl/>
          <w:lang w:eastAsia="de-DE"/>
        </w:rPr>
        <w:t>עַד־בֹּקֶר</w:t>
      </w:r>
      <w:r w:rsidRPr="00315907">
        <w:rPr>
          <w:rFonts w:eastAsia="Times New Roman" w:cs="Times New Roman"/>
          <w:rtl/>
          <w:lang w:eastAsia="de-DE"/>
        </w:rPr>
        <w:t xml:space="preserve"> </w:t>
      </w:r>
      <w:r w:rsidRPr="00315907">
        <w:rPr>
          <w:rFonts w:eastAsia="Times New Roman" w:cs="Times New Roman"/>
          <w:lang w:eastAsia="de-DE"/>
        </w:rPr>
        <w:t xml:space="preserve">(bis zum Morgen) verbietet das Aufbewahren von </w:t>
      </w:r>
      <w:r w:rsidR="00E136DC">
        <w:rPr>
          <w:rFonts w:eastAsia="Times New Roman" w:cs="Times New Roman"/>
          <w:lang w:eastAsia="de-DE"/>
        </w:rPr>
        <w:t>Pesach</w:t>
      </w:r>
      <w:r w:rsidRPr="00315907">
        <w:rPr>
          <w:rFonts w:eastAsia="Times New Roman" w:cs="Times New Roman"/>
          <w:lang w:eastAsia="de-DE"/>
        </w:rPr>
        <w:t>-Resten.</w:t>
      </w:r>
    </w:p>
    <w:p w14:paraId="0D9A45FC" w14:textId="7ACDDBFC"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 zweite Einschränkung </w:t>
      </w:r>
      <w:r w:rsidRPr="00315907">
        <w:rPr>
          <w:rFonts w:eastAsia="Times New Roman" w:cs="Times New Roman"/>
          <w:b/>
          <w:bCs/>
          <w:rtl/>
          <w:lang w:eastAsia="de-DE"/>
        </w:rPr>
        <w:t>וְעֶצֶם לֹא יִשְׁבְּרוּ־בוֹ</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עֶצֶם</w:t>
      </w:r>
      <w:r w:rsidRPr="00315907">
        <w:rPr>
          <w:rFonts w:eastAsia="Times New Roman" w:cs="Times New Roman"/>
          <w:rtl/>
          <w:lang w:eastAsia="de-DE"/>
        </w:rPr>
        <w:t xml:space="preserve"> </w:t>
      </w:r>
      <w:r w:rsidRPr="00315907">
        <w:rPr>
          <w:rFonts w:eastAsia="Times New Roman" w:cs="Times New Roman"/>
          <w:lang w:eastAsia="de-DE"/>
        </w:rPr>
        <w:t xml:space="preserve">(Knochen), </w:t>
      </w:r>
      <w:r w:rsidRPr="00315907">
        <w:rPr>
          <w:rFonts w:eastAsia="Times New Roman" w:cs="Times New Roman"/>
          <w:b/>
          <w:bCs/>
          <w:rtl/>
          <w:lang w:eastAsia="de-DE"/>
        </w:rPr>
        <w:t>לֹא</w:t>
      </w:r>
      <w:r w:rsidRPr="00315907">
        <w:rPr>
          <w:rFonts w:eastAsia="Times New Roman" w:cs="Times New Roman"/>
          <w:rtl/>
          <w:lang w:eastAsia="de-DE"/>
        </w:rPr>
        <w:t xml:space="preserve"> </w:t>
      </w:r>
      <w:r w:rsidRPr="00315907">
        <w:rPr>
          <w:rFonts w:eastAsia="Times New Roman" w:cs="Times New Roman"/>
          <w:lang w:eastAsia="de-DE"/>
        </w:rPr>
        <w:t xml:space="preserve">(nicht), </w:t>
      </w:r>
      <w:r w:rsidRPr="00315907">
        <w:rPr>
          <w:rFonts w:eastAsia="Times New Roman" w:cs="Times New Roman"/>
          <w:b/>
          <w:bCs/>
          <w:rtl/>
          <w:lang w:eastAsia="de-DE"/>
        </w:rPr>
        <w:t>יִשְׁבְּרוּ</w:t>
      </w:r>
      <w:r w:rsidRPr="00315907">
        <w:rPr>
          <w:rFonts w:eastAsia="Times New Roman" w:cs="Times New Roman"/>
          <w:rtl/>
          <w:lang w:eastAsia="de-DE"/>
        </w:rPr>
        <w:t xml:space="preserve"> </w:t>
      </w:r>
      <w:r w:rsidRPr="00315907">
        <w:rPr>
          <w:rFonts w:eastAsia="Times New Roman" w:cs="Times New Roman"/>
          <w:lang w:eastAsia="de-DE"/>
        </w:rPr>
        <w:t xml:space="preserve">von </w:t>
      </w:r>
      <w:r w:rsidRPr="00315907">
        <w:rPr>
          <w:rFonts w:eastAsia="Times New Roman" w:cs="Times New Roman"/>
          <w:b/>
          <w:bCs/>
          <w:rtl/>
          <w:lang w:eastAsia="de-DE"/>
        </w:rPr>
        <w:t>שבר</w:t>
      </w:r>
      <w:r w:rsidRPr="00315907">
        <w:rPr>
          <w:rFonts w:eastAsia="Times New Roman" w:cs="Times New Roman"/>
          <w:rtl/>
          <w:lang w:eastAsia="de-DE"/>
        </w:rPr>
        <w:t xml:space="preserve"> </w:t>
      </w:r>
      <w:r w:rsidRPr="00315907">
        <w:rPr>
          <w:rFonts w:eastAsia="Times New Roman" w:cs="Times New Roman"/>
          <w:lang w:eastAsia="de-DE"/>
        </w:rPr>
        <w:t xml:space="preserve">(zerbrechen) im Qal-Imperfekt 3. maskulin Plural und </w:t>
      </w:r>
      <w:r w:rsidRPr="00315907">
        <w:rPr>
          <w:rFonts w:eastAsia="Times New Roman" w:cs="Times New Roman"/>
          <w:b/>
          <w:bCs/>
          <w:rtl/>
          <w:lang w:eastAsia="de-DE"/>
        </w:rPr>
        <w:t>בוֹ</w:t>
      </w:r>
      <w:r w:rsidRPr="00315907">
        <w:rPr>
          <w:rFonts w:eastAsia="Times New Roman" w:cs="Times New Roman"/>
          <w:rtl/>
          <w:lang w:eastAsia="de-DE"/>
        </w:rPr>
        <w:t xml:space="preserve"> </w:t>
      </w:r>
      <w:r w:rsidRPr="00315907">
        <w:rPr>
          <w:rFonts w:eastAsia="Times New Roman" w:cs="Times New Roman"/>
          <w:lang w:eastAsia="de-DE"/>
        </w:rPr>
        <w:t xml:space="preserve">(an ihm) verbietet das Knochenbrechen des </w:t>
      </w:r>
      <w:r w:rsidR="00E136DC">
        <w:rPr>
          <w:rFonts w:eastAsia="Times New Roman" w:cs="Times New Roman"/>
          <w:lang w:eastAsia="de-DE"/>
        </w:rPr>
        <w:t>Pesach</w:t>
      </w:r>
      <w:r w:rsidRPr="00315907">
        <w:rPr>
          <w:rFonts w:eastAsia="Times New Roman" w:cs="Times New Roman"/>
          <w:lang w:eastAsia="de-DE"/>
        </w:rPr>
        <w:t>-Lammes.</w:t>
      </w:r>
    </w:p>
    <w:p w14:paraId="727B8E3D" w14:textId="128FC5FD"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lastRenderedPageBreak/>
        <w:t xml:space="preserve">Die umfassende Konformitätsanweisung </w:t>
      </w:r>
      <w:r w:rsidRPr="00315907">
        <w:rPr>
          <w:rFonts w:eastAsia="Times New Roman" w:cs="Times New Roman"/>
          <w:b/>
          <w:bCs/>
          <w:rtl/>
          <w:lang w:eastAsia="de-DE"/>
        </w:rPr>
        <w:t>כְּכָל־חֻקַּת הַפֶּסַח יַעֲשׂוּ אֹתוֹ</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כְּכָל</w:t>
      </w:r>
      <w:r w:rsidRPr="00315907">
        <w:rPr>
          <w:rFonts w:eastAsia="Times New Roman" w:cs="Times New Roman"/>
          <w:rtl/>
          <w:lang w:eastAsia="de-DE"/>
        </w:rPr>
        <w:t xml:space="preserve"> </w:t>
      </w:r>
      <w:r w:rsidRPr="00315907">
        <w:rPr>
          <w:rFonts w:eastAsia="Times New Roman" w:cs="Times New Roman"/>
          <w:lang w:eastAsia="de-DE"/>
        </w:rPr>
        <w:t xml:space="preserve">(nach allen), </w:t>
      </w:r>
      <w:r w:rsidRPr="00315907">
        <w:rPr>
          <w:rFonts w:eastAsia="Times New Roman" w:cs="Times New Roman"/>
          <w:b/>
          <w:bCs/>
          <w:rtl/>
          <w:lang w:eastAsia="de-DE"/>
        </w:rPr>
        <w:t>חֻקַּת הַפֶּסַח</w:t>
      </w:r>
      <w:r w:rsidRPr="00315907">
        <w:rPr>
          <w:rFonts w:eastAsia="Times New Roman" w:cs="Times New Roman"/>
          <w:rtl/>
          <w:lang w:eastAsia="de-DE"/>
        </w:rPr>
        <w:t xml:space="preserve"> </w:t>
      </w:r>
      <w:r w:rsidRPr="00315907">
        <w:rPr>
          <w:rFonts w:eastAsia="Times New Roman" w:cs="Times New Roman"/>
          <w:lang w:eastAsia="de-DE"/>
        </w:rPr>
        <w:t xml:space="preserve">(Satzungen des </w:t>
      </w:r>
      <w:r w:rsidR="00E136DC">
        <w:rPr>
          <w:rFonts w:eastAsia="Times New Roman" w:cs="Times New Roman"/>
          <w:lang w:eastAsia="de-DE"/>
        </w:rPr>
        <w:t>Pesach</w:t>
      </w:r>
      <w:r w:rsidRPr="00315907">
        <w:rPr>
          <w:rFonts w:eastAsia="Times New Roman" w:cs="Times New Roman"/>
          <w:lang w:eastAsia="de-DE"/>
        </w:rPr>
        <w:t xml:space="preserve">) im </w:t>
      </w:r>
      <w:r w:rsidR="00F133EC">
        <w:rPr>
          <w:rFonts w:eastAsia="Times New Roman" w:cs="Times New Roman"/>
          <w:lang w:eastAsia="de-DE"/>
        </w:rPr>
        <w:t>Construct</w:t>
      </w:r>
      <w:r w:rsidRPr="00315907">
        <w:rPr>
          <w:rFonts w:eastAsia="Times New Roman" w:cs="Times New Roman"/>
          <w:lang w:eastAsia="de-DE"/>
        </w:rPr>
        <w:t xml:space="preserve"> und </w:t>
      </w:r>
      <w:r w:rsidRPr="00315907">
        <w:rPr>
          <w:rFonts w:eastAsia="Times New Roman" w:cs="Times New Roman"/>
          <w:b/>
          <w:bCs/>
          <w:rtl/>
          <w:lang w:eastAsia="de-DE"/>
        </w:rPr>
        <w:t>יַעֲשׂוּ אֹתוֹ</w:t>
      </w:r>
      <w:r w:rsidRPr="00315907">
        <w:rPr>
          <w:rFonts w:eastAsia="Times New Roman" w:cs="Times New Roman"/>
          <w:rtl/>
          <w:lang w:eastAsia="de-DE"/>
        </w:rPr>
        <w:t xml:space="preserve"> </w:t>
      </w:r>
      <w:r w:rsidRPr="00315907">
        <w:rPr>
          <w:rFonts w:eastAsia="Times New Roman" w:cs="Times New Roman"/>
          <w:lang w:eastAsia="de-DE"/>
        </w:rPr>
        <w:t>(sie sollen es feiern) etabliert die vollständige rituelle Identität mit dem Haupt</w:t>
      </w:r>
      <w:r w:rsidR="00E136DC">
        <w:rPr>
          <w:rFonts w:eastAsia="Times New Roman" w:cs="Times New Roman"/>
          <w:lang w:eastAsia="de-DE"/>
        </w:rPr>
        <w:t>Pesach</w:t>
      </w:r>
      <w:r w:rsidRPr="00315907">
        <w:rPr>
          <w:rFonts w:eastAsia="Times New Roman" w:cs="Times New Roman"/>
          <w:lang w:eastAsia="de-DE"/>
        </w:rPr>
        <w:t>.</w:t>
      </w:r>
    </w:p>
    <w:p w14:paraId="090CB51F" w14:textId="66CFF4FA" w:rsidR="00315907" w:rsidRPr="00315907" w:rsidRDefault="004D44DE" w:rsidP="00315907">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4D44DE">
        <w:rPr>
          <w:b/>
          <w:bCs/>
          <w:rtl/>
        </w:rPr>
        <w:t>ועצם לא ישברו־בו</w:t>
      </w:r>
      <w:r>
        <w:t xml:space="preserve"> (ve'etzem lo yishberu-vo - "und keinen Knochen sollen sie an ihm brechen") als καὶ ὀστοῦν οὐ συντρίψουσιν ἀπʼ αὐτοῦ (und einen Knochen werden sie nicht von ihm zerbrechen). Diese Formulierung wird später im Neuen Testament (Johannes 19:36) als Erfüllung der messianischen Prophetie zitiert.</w:t>
      </w:r>
    </w:p>
    <w:p w14:paraId="478D1C96"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Die Satzstruktur zeigt zwei spezifische Verbote mit umfassender Konformitätsanweisung zur vollständigen rituellen Gleichstellung.</w:t>
      </w:r>
    </w:p>
    <w:p w14:paraId="0B8E746C" w14:textId="5D41DA68"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Dieser Vers etabliert die vollständige rituelle Identität des alternativen </w:t>
      </w:r>
      <w:r w:rsidR="00E136DC">
        <w:rPr>
          <w:rFonts w:eastAsia="Times New Roman" w:cs="Times New Roman"/>
          <w:lang w:eastAsia="de-DE"/>
        </w:rPr>
        <w:t>Pesach</w:t>
      </w:r>
      <w:r w:rsidRPr="00315907">
        <w:rPr>
          <w:rFonts w:eastAsia="Times New Roman" w:cs="Times New Roman"/>
          <w:lang w:eastAsia="de-DE"/>
        </w:rPr>
        <w:t xml:space="preserve"> mit dem Hauptfest, einschließlich aller Details.</w:t>
      </w:r>
    </w:p>
    <w:p w14:paraId="7315031C" w14:textId="77777777" w:rsidR="00315907" w:rsidRPr="00315907" w:rsidRDefault="00315907" w:rsidP="00315907">
      <w:pPr>
        <w:spacing w:before="100" w:beforeAutospacing="1" w:after="100" w:afterAutospacing="1" w:line="240" w:lineRule="auto"/>
        <w:outlineLvl w:val="0"/>
        <w:rPr>
          <w:rFonts w:eastAsia="Times New Roman" w:cs="Times New Roman"/>
          <w:b/>
          <w:bCs/>
          <w:kern w:val="36"/>
          <w:sz w:val="48"/>
          <w:szCs w:val="48"/>
          <w:lang w:eastAsia="de-DE"/>
        </w:rPr>
      </w:pPr>
      <w:r w:rsidRPr="00315907">
        <w:rPr>
          <w:rFonts w:eastAsia="Times New Roman" w:cs="Times New Roman"/>
          <w:b/>
          <w:bCs/>
          <w:kern w:val="36"/>
          <w:sz w:val="48"/>
          <w:szCs w:val="48"/>
          <w:lang w:eastAsia="de-DE"/>
        </w:rPr>
        <w:t>Numeri 9,13</w:t>
      </w:r>
    </w:p>
    <w:p w14:paraId="08254C00"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Hebräisch:</w:t>
      </w:r>
      <w:r w:rsidRPr="00315907">
        <w:rPr>
          <w:rFonts w:eastAsia="Times New Roman" w:cs="Times New Roman"/>
          <w:lang w:eastAsia="de-DE"/>
        </w:rPr>
        <w:t xml:space="preserve"> </w:t>
      </w:r>
      <w:r w:rsidRPr="00315907">
        <w:rPr>
          <w:rFonts w:eastAsia="Times New Roman" w:cs="Times New Roman"/>
          <w:rtl/>
          <w:lang w:eastAsia="de-DE"/>
        </w:rPr>
        <w:t>וְהָאִישׁ֩ אֲשֶׁר־ה֨וּא טָה֜וֹר וּבְדֶ֣רֶךְ לֹא־הָיָ֗ה וְחָדַל֙ לַעֲשׂ֣וֹת הַפֶּ֔סַח וְנִכְרְתָ֛ה הַנֶּ֥פֶשׁ הַהִ֖וא מֵֽעַמֶּ֑יהָ כִּ֣י׀ קָרְבַּ֣ן יְהוָ֗ה לֹ֤א הִקְרִיב֙ בְּמֹ֣עֲדֹ֔ו חֶטְאֹ֥ו יִשָּׂ֖א הָאִ֥ישׁ הַהֽוּא׃</w:t>
      </w:r>
    </w:p>
    <w:p w14:paraId="19E1552C" w14:textId="2CF49BC4"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Deutsch:</w:t>
      </w:r>
      <w:r w:rsidRPr="00315907">
        <w:rPr>
          <w:rFonts w:eastAsia="Times New Roman" w:cs="Times New Roman"/>
          <w:lang w:eastAsia="de-DE"/>
        </w:rPr>
        <w:t xml:space="preserve"> Der Mann aber, der rein und nicht auf einer Reise ist und es unterlässt, das </w:t>
      </w:r>
      <w:r w:rsidR="00E136DC">
        <w:rPr>
          <w:rFonts w:eastAsia="Times New Roman" w:cs="Times New Roman"/>
          <w:lang w:eastAsia="de-DE"/>
        </w:rPr>
        <w:t>Pesach</w:t>
      </w:r>
      <w:r w:rsidRPr="00315907">
        <w:rPr>
          <w:rFonts w:eastAsia="Times New Roman" w:cs="Times New Roman"/>
          <w:lang w:eastAsia="de-DE"/>
        </w:rPr>
        <w:t xml:space="preserve"> zu feiern, diese Seele soll aus ihren Volksgenossen ausgerottet werden; denn er hat die Opfergabe des Ewigen nicht zur bestimmten Zeit dargebracht, die Sünde dieses Mannes, er soll sie tragen.</w:t>
      </w:r>
    </w:p>
    <w:p w14:paraId="748D4329" w14:textId="77777777" w:rsidR="00315907" w:rsidRPr="00315907" w:rsidRDefault="00F329DD" w:rsidP="00315907">
      <w:pPr>
        <w:spacing w:after="0" w:line="240" w:lineRule="auto"/>
        <w:rPr>
          <w:rFonts w:eastAsia="Times New Roman" w:cs="Times New Roman"/>
          <w:lang w:eastAsia="de-DE"/>
        </w:rPr>
      </w:pPr>
      <w:r>
        <w:rPr>
          <w:rFonts w:eastAsia="Times New Roman" w:cs="Times New Roman"/>
          <w:noProof/>
          <w:lang w:eastAsia="de-DE"/>
        </w:rPr>
        <w:pict w14:anchorId="67C664D2">
          <v:rect id="_x0000_i1333" style="width:0;height:1.5pt" o:hralign="center" o:hrstd="t" o:hr="t" fillcolor="#a0a0a0" stroked="f"/>
        </w:pict>
      </w:r>
    </w:p>
    <w:p w14:paraId="6A56755A"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Kommentar:</w:t>
      </w:r>
      <w:r w:rsidRPr="00315907">
        <w:rPr>
          <w:rFonts w:eastAsia="Times New Roman" w:cs="Times New Roman"/>
          <w:lang w:eastAsia="de-DE"/>
        </w:rPr>
        <w:t xml:space="preserve"> Das Subjekt </w:t>
      </w:r>
      <w:r w:rsidRPr="00315907">
        <w:rPr>
          <w:rFonts w:eastAsia="Times New Roman" w:cs="Times New Roman"/>
          <w:b/>
          <w:bCs/>
          <w:rtl/>
          <w:lang w:eastAsia="de-DE"/>
        </w:rPr>
        <w:t>וְהָאִישׁ אֲשֶׁר־הוּא טָהוֹר וּבְדֶרֶךְ לֹא־הָיָה</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הָאִישׁ</w:t>
      </w:r>
      <w:r w:rsidRPr="00315907">
        <w:rPr>
          <w:rFonts w:eastAsia="Times New Roman" w:cs="Times New Roman"/>
          <w:rtl/>
          <w:lang w:eastAsia="de-DE"/>
        </w:rPr>
        <w:t xml:space="preserve"> </w:t>
      </w:r>
      <w:r w:rsidRPr="00315907">
        <w:rPr>
          <w:rFonts w:eastAsia="Times New Roman" w:cs="Times New Roman"/>
          <w:lang w:eastAsia="de-DE"/>
        </w:rPr>
        <w:t xml:space="preserve">(der Mann), dem Relativsatz </w:t>
      </w:r>
      <w:r w:rsidRPr="00315907">
        <w:rPr>
          <w:rFonts w:eastAsia="Times New Roman" w:cs="Times New Roman"/>
          <w:b/>
          <w:bCs/>
          <w:rtl/>
          <w:lang w:eastAsia="de-DE"/>
        </w:rPr>
        <w:t>אֲשֶׁר־הוּא טָהוֹר</w:t>
      </w:r>
      <w:r w:rsidRPr="00315907">
        <w:rPr>
          <w:rFonts w:eastAsia="Times New Roman" w:cs="Times New Roman"/>
          <w:rtl/>
          <w:lang w:eastAsia="de-DE"/>
        </w:rPr>
        <w:t xml:space="preserve"> </w:t>
      </w:r>
      <w:r w:rsidRPr="00315907">
        <w:rPr>
          <w:rFonts w:eastAsia="Times New Roman" w:cs="Times New Roman"/>
          <w:lang w:eastAsia="de-DE"/>
        </w:rPr>
        <w:t xml:space="preserve">(der rein ist) und </w:t>
      </w:r>
      <w:r w:rsidRPr="00315907">
        <w:rPr>
          <w:rFonts w:eastAsia="Times New Roman" w:cs="Times New Roman"/>
          <w:b/>
          <w:bCs/>
          <w:rtl/>
          <w:lang w:eastAsia="de-DE"/>
        </w:rPr>
        <w:t>וּבְדֶרֶךְ לֹא־הָיָה</w:t>
      </w:r>
      <w:r w:rsidRPr="00315907">
        <w:rPr>
          <w:rFonts w:eastAsia="Times New Roman" w:cs="Times New Roman"/>
          <w:rtl/>
          <w:lang w:eastAsia="de-DE"/>
        </w:rPr>
        <w:t xml:space="preserve"> </w:t>
      </w:r>
      <w:r w:rsidRPr="00315907">
        <w:rPr>
          <w:rFonts w:eastAsia="Times New Roman" w:cs="Times New Roman"/>
          <w:lang w:eastAsia="de-DE"/>
        </w:rPr>
        <w:t>(und nicht auf einer Reise war) zeigt Menschen ohne legitime Ausschlussgründe.</w:t>
      </w:r>
    </w:p>
    <w:p w14:paraId="11E0E879" w14:textId="03B87E3C"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Das Vergehen </w:t>
      </w:r>
      <w:r w:rsidRPr="00315907">
        <w:rPr>
          <w:rFonts w:eastAsia="Times New Roman" w:cs="Times New Roman"/>
          <w:b/>
          <w:bCs/>
          <w:rtl/>
          <w:lang w:eastAsia="de-DE"/>
        </w:rPr>
        <w:t>וְחָדַל לַעֲשׂוֹת הַפֶּסַח</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חָדַל</w:t>
      </w:r>
      <w:r w:rsidRPr="00315907">
        <w:rPr>
          <w:rFonts w:eastAsia="Times New Roman" w:cs="Times New Roman"/>
          <w:rtl/>
          <w:lang w:eastAsia="de-DE"/>
        </w:rPr>
        <w:t xml:space="preserve"> </w:t>
      </w:r>
      <w:r w:rsidRPr="00315907">
        <w:rPr>
          <w:rFonts w:eastAsia="Times New Roman" w:cs="Times New Roman"/>
          <w:lang w:eastAsia="de-DE"/>
        </w:rPr>
        <w:t xml:space="preserve">von </w:t>
      </w:r>
      <w:r w:rsidRPr="00315907">
        <w:rPr>
          <w:rFonts w:eastAsia="Times New Roman" w:cs="Times New Roman"/>
          <w:b/>
          <w:bCs/>
          <w:rtl/>
          <w:lang w:eastAsia="de-DE"/>
        </w:rPr>
        <w:t>חדל</w:t>
      </w:r>
      <w:r w:rsidRPr="00315907">
        <w:rPr>
          <w:rFonts w:eastAsia="Times New Roman" w:cs="Times New Roman"/>
          <w:rtl/>
          <w:lang w:eastAsia="de-DE"/>
        </w:rPr>
        <w:t xml:space="preserve"> </w:t>
      </w:r>
      <w:r w:rsidRPr="00315907">
        <w:rPr>
          <w:rFonts w:eastAsia="Times New Roman" w:cs="Times New Roman"/>
          <w:lang w:eastAsia="de-DE"/>
        </w:rPr>
        <w:t xml:space="preserve">(aufhören/unterlassen) im Qal-Perfekt 3. maskulin Singular und </w:t>
      </w:r>
      <w:r w:rsidRPr="00315907">
        <w:rPr>
          <w:rFonts w:eastAsia="Times New Roman" w:cs="Times New Roman"/>
          <w:b/>
          <w:bCs/>
          <w:rtl/>
          <w:lang w:eastAsia="de-DE"/>
        </w:rPr>
        <w:t>לַעֲשׂוֹת הַפֶּסַח</w:t>
      </w:r>
      <w:r w:rsidRPr="00315907">
        <w:rPr>
          <w:rFonts w:eastAsia="Times New Roman" w:cs="Times New Roman"/>
          <w:rtl/>
          <w:lang w:eastAsia="de-DE"/>
        </w:rPr>
        <w:t xml:space="preserve"> </w:t>
      </w:r>
      <w:r w:rsidRPr="00315907">
        <w:rPr>
          <w:rFonts w:eastAsia="Times New Roman" w:cs="Times New Roman"/>
          <w:lang w:eastAsia="de-DE"/>
        </w:rPr>
        <w:t xml:space="preserve">(das </w:t>
      </w:r>
      <w:r w:rsidR="00E136DC">
        <w:rPr>
          <w:rFonts w:eastAsia="Times New Roman" w:cs="Times New Roman"/>
          <w:lang w:eastAsia="de-DE"/>
        </w:rPr>
        <w:t>Pesach</w:t>
      </w:r>
      <w:r w:rsidRPr="00315907">
        <w:rPr>
          <w:rFonts w:eastAsia="Times New Roman" w:cs="Times New Roman"/>
          <w:lang w:eastAsia="de-DE"/>
        </w:rPr>
        <w:t xml:space="preserve"> zu feiern) zeigt die bewusste Verweigerung der </w:t>
      </w:r>
      <w:r w:rsidR="00E136DC">
        <w:rPr>
          <w:rFonts w:eastAsia="Times New Roman" w:cs="Times New Roman"/>
          <w:lang w:eastAsia="de-DE"/>
        </w:rPr>
        <w:t>Pesach</w:t>
      </w:r>
      <w:r w:rsidRPr="00315907">
        <w:rPr>
          <w:rFonts w:eastAsia="Times New Roman" w:cs="Times New Roman"/>
          <w:lang w:eastAsia="de-DE"/>
        </w:rPr>
        <w:t>-Teilnahme.</w:t>
      </w:r>
    </w:p>
    <w:p w14:paraId="7C431736"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 drastische Strafe </w:t>
      </w:r>
      <w:r w:rsidRPr="00315907">
        <w:rPr>
          <w:rFonts w:eastAsia="Times New Roman" w:cs="Times New Roman"/>
          <w:b/>
          <w:bCs/>
          <w:rtl/>
          <w:lang w:eastAsia="de-DE"/>
        </w:rPr>
        <w:t>וְנִכְרְתָה הַנֶּפֶשׁ הַהִוא מֵעַמֶּיהָ</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נִכְרְתָה</w:t>
      </w:r>
      <w:r w:rsidRPr="00315907">
        <w:rPr>
          <w:rFonts w:eastAsia="Times New Roman" w:cs="Times New Roman"/>
          <w:rtl/>
          <w:lang w:eastAsia="de-DE"/>
        </w:rPr>
        <w:t xml:space="preserve"> </w:t>
      </w:r>
      <w:r w:rsidRPr="00315907">
        <w:rPr>
          <w:rFonts w:eastAsia="Times New Roman" w:cs="Times New Roman"/>
          <w:lang w:eastAsia="de-DE"/>
        </w:rPr>
        <w:t xml:space="preserve">von </w:t>
      </w:r>
      <w:r w:rsidRPr="00315907">
        <w:rPr>
          <w:rFonts w:eastAsia="Times New Roman" w:cs="Times New Roman"/>
          <w:b/>
          <w:bCs/>
          <w:rtl/>
          <w:lang w:eastAsia="de-DE"/>
        </w:rPr>
        <w:t>כרת</w:t>
      </w:r>
      <w:r w:rsidRPr="00315907">
        <w:rPr>
          <w:rFonts w:eastAsia="Times New Roman" w:cs="Times New Roman"/>
          <w:rtl/>
          <w:lang w:eastAsia="de-DE"/>
        </w:rPr>
        <w:t xml:space="preserve"> </w:t>
      </w:r>
      <w:r w:rsidRPr="00315907">
        <w:rPr>
          <w:rFonts w:eastAsia="Times New Roman" w:cs="Times New Roman"/>
          <w:lang w:eastAsia="de-DE"/>
        </w:rPr>
        <w:t xml:space="preserve">(ausrotten) im Niph'al-Perfekt 3. feminin Singular, </w:t>
      </w:r>
      <w:r w:rsidRPr="00315907">
        <w:rPr>
          <w:rFonts w:eastAsia="Times New Roman" w:cs="Times New Roman"/>
          <w:b/>
          <w:bCs/>
          <w:rtl/>
          <w:lang w:eastAsia="de-DE"/>
        </w:rPr>
        <w:t>הַנֶּפֶשׁ הַהִוא</w:t>
      </w:r>
      <w:r w:rsidRPr="00315907">
        <w:rPr>
          <w:rFonts w:eastAsia="Times New Roman" w:cs="Times New Roman"/>
          <w:rtl/>
          <w:lang w:eastAsia="de-DE"/>
        </w:rPr>
        <w:t xml:space="preserve"> </w:t>
      </w:r>
      <w:r w:rsidRPr="00315907">
        <w:rPr>
          <w:rFonts w:eastAsia="Times New Roman" w:cs="Times New Roman"/>
          <w:lang w:eastAsia="de-DE"/>
        </w:rPr>
        <w:t xml:space="preserve">(jene Seele) und </w:t>
      </w:r>
      <w:r w:rsidRPr="00315907">
        <w:rPr>
          <w:rFonts w:eastAsia="Times New Roman" w:cs="Times New Roman"/>
          <w:b/>
          <w:bCs/>
          <w:rtl/>
          <w:lang w:eastAsia="de-DE"/>
        </w:rPr>
        <w:t>מֵעַמֶּיהָ</w:t>
      </w:r>
      <w:r w:rsidRPr="00315907">
        <w:rPr>
          <w:rFonts w:eastAsia="Times New Roman" w:cs="Times New Roman"/>
          <w:rtl/>
          <w:lang w:eastAsia="de-DE"/>
        </w:rPr>
        <w:t xml:space="preserve"> </w:t>
      </w:r>
      <w:r w:rsidRPr="00315907">
        <w:rPr>
          <w:rFonts w:eastAsia="Times New Roman" w:cs="Times New Roman"/>
          <w:lang w:eastAsia="de-DE"/>
        </w:rPr>
        <w:t>(von ihren Völkern) zeigt die Exkommunikation.</w:t>
      </w:r>
    </w:p>
    <w:p w14:paraId="34DE67BB"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 kausale Begründung </w:t>
      </w:r>
      <w:r w:rsidRPr="00315907">
        <w:rPr>
          <w:rFonts w:eastAsia="Times New Roman" w:cs="Times New Roman"/>
          <w:b/>
          <w:bCs/>
          <w:rtl/>
          <w:lang w:eastAsia="de-DE"/>
        </w:rPr>
        <w:t>כִּי קָרְבַּן יְהוָה לֹא הִקְרִיב בְּמֹעֲדוֹ</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קָרְבַּן יְהוָה</w:t>
      </w:r>
      <w:r w:rsidRPr="00315907">
        <w:rPr>
          <w:rFonts w:eastAsia="Times New Roman" w:cs="Times New Roman"/>
          <w:rtl/>
          <w:lang w:eastAsia="de-DE"/>
        </w:rPr>
        <w:t xml:space="preserve"> </w:t>
      </w:r>
      <w:r w:rsidRPr="00315907">
        <w:rPr>
          <w:rFonts w:eastAsia="Times New Roman" w:cs="Times New Roman"/>
          <w:lang w:eastAsia="de-DE"/>
        </w:rPr>
        <w:t xml:space="preserve">(Opfergabe des Ewigen), </w:t>
      </w:r>
      <w:r w:rsidRPr="00315907">
        <w:rPr>
          <w:rFonts w:eastAsia="Times New Roman" w:cs="Times New Roman"/>
          <w:b/>
          <w:bCs/>
          <w:rtl/>
          <w:lang w:eastAsia="de-DE"/>
        </w:rPr>
        <w:t>לֹא הִקְרִיב</w:t>
      </w:r>
      <w:r w:rsidRPr="00315907">
        <w:rPr>
          <w:rFonts w:eastAsia="Times New Roman" w:cs="Times New Roman"/>
          <w:rtl/>
          <w:lang w:eastAsia="de-DE"/>
        </w:rPr>
        <w:t xml:space="preserve"> </w:t>
      </w:r>
      <w:r w:rsidRPr="00315907">
        <w:rPr>
          <w:rFonts w:eastAsia="Times New Roman" w:cs="Times New Roman"/>
          <w:lang w:eastAsia="de-DE"/>
        </w:rPr>
        <w:t xml:space="preserve">(er brachte nicht dar) und </w:t>
      </w:r>
      <w:r w:rsidRPr="00315907">
        <w:rPr>
          <w:rFonts w:eastAsia="Times New Roman" w:cs="Times New Roman"/>
          <w:b/>
          <w:bCs/>
          <w:rtl/>
          <w:lang w:eastAsia="de-DE"/>
        </w:rPr>
        <w:t>בְּמֹעֲדוֹ</w:t>
      </w:r>
      <w:r w:rsidRPr="00315907">
        <w:rPr>
          <w:rFonts w:eastAsia="Times New Roman" w:cs="Times New Roman"/>
          <w:rtl/>
          <w:lang w:eastAsia="de-DE"/>
        </w:rPr>
        <w:t xml:space="preserve"> </w:t>
      </w:r>
      <w:r w:rsidRPr="00315907">
        <w:rPr>
          <w:rFonts w:eastAsia="Times New Roman" w:cs="Times New Roman"/>
          <w:lang w:eastAsia="de-DE"/>
        </w:rPr>
        <w:t>(zu seiner bestimmten Zeit) spezifiziert das Vergehen.</w:t>
      </w:r>
    </w:p>
    <w:p w14:paraId="533E472D"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 persönliche Konsequenz </w:t>
      </w:r>
      <w:r w:rsidRPr="00315907">
        <w:rPr>
          <w:rFonts w:eastAsia="Times New Roman" w:cs="Times New Roman"/>
          <w:b/>
          <w:bCs/>
          <w:rtl/>
          <w:lang w:eastAsia="de-DE"/>
        </w:rPr>
        <w:t>חֶטְאוֹ יִשָּׂא הָאִישׁ הַהוּא</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חֶטְאוֹ</w:t>
      </w:r>
      <w:r w:rsidRPr="00315907">
        <w:rPr>
          <w:rFonts w:eastAsia="Times New Roman" w:cs="Times New Roman"/>
          <w:rtl/>
          <w:lang w:eastAsia="de-DE"/>
        </w:rPr>
        <w:t xml:space="preserve"> </w:t>
      </w:r>
      <w:r w:rsidRPr="00315907">
        <w:rPr>
          <w:rFonts w:eastAsia="Times New Roman" w:cs="Times New Roman"/>
          <w:lang w:eastAsia="de-DE"/>
        </w:rPr>
        <w:t xml:space="preserve">(seine Sünde), </w:t>
      </w:r>
      <w:r w:rsidRPr="00315907">
        <w:rPr>
          <w:rFonts w:eastAsia="Times New Roman" w:cs="Times New Roman"/>
          <w:b/>
          <w:bCs/>
          <w:rtl/>
          <w:lang w:eastAsia="de-DE"/>
        </w:rPr>
        <w:t>יִשָּׂא</w:t>
      </w:r>
      <w:r w:rsidRPr="00315907">
        <w:rPr>
          <w:rFonts w:eastAsia="Times New Roman" w:cs="Times New Roman"/>
          <w:rtl/>
          <w:lang w:eastAsia="de-DE"/>
        </w:rPr>
        <w:t xml:space="preserve"> </w:t>
      </w:r>
      <w:r w:rsidRPr="00315907">
        <w:rPr>
          <w:rFonts w:eastAsia="Times New Roman" w:cs="Times New Roman"/>
          <w:lang w:eastAsia="de-DE"/>
        </w:rPr>
        <w:t xml:space="preserve">von </w:t>
      </w:r>
      <w:r w:rsidRPr="00315907">
        <w:rPr>
          <w:rFonts w:eastAsia="Times New Roman" w:cs="Times New Roman"/>
          <w:b/>
          <w:bCs/>
          <w:rtl/>
          <w:lang w:eastAsia="de-DE"/>
        </w:rPr>
        <w:t>נשא</w:t>
      </w:r>
      <w:r w:rsidRPr="00315907">
        <w:rPr>
          <w:rFonts w:eastAsia="Times New Roman" w:cs="Times New Roman"/>
          <w:rtl/>
          <w:lang w:eastAsia="de-DE"/>
        </w:rPr>
        <w:t xml:space="preserve"> </w:t>
      </w:r>
      <w:r w:rsidRPr="00315907">
        <w:rPr>
          <w:rFonts w:eastAsia="Times New Roman" w:cs="Times New Roman"/>
          <w:lang w:eastAsia="de-DE"/>
        </w:rPr>
        <w:t xml:space="preserve">(tragen) und </w:t>
      </w:r>
      <w:r w:rsidRPr="00315907">
        <w:rPr>
          <w:rFonts w:eastAsia="Times New Roman" w:cs="Times New Roman"/>
          <w:b/>
          <w:bCs/>
          <w:rtl/>
          <w:lang w:eastAsia="de-DE"/>
        </w:rPr>
        <w:t>הָאִישׁ הַהוּא</w:t>
      </w:r>
      <w:r w:rsidRPr="00315907">
        <w:rPr>
          <w:rFonts w:eastAsia="Times New Roman" w:cs="Times New Roman"/>
          <w:rtl/>
          <w:lang w:eastAsia="de-DE"/>
        </w:rPr>
        <w:t xml:space="preserve"> </w:t>
      </w:r>
      <w:r w:rsidRPr="00315907">
        <w:rPr>
          <w:rFonts w:eastAsia="Times New Roman" w:cs="Times New Roman"/>
          <w:lang w:eastAsia="de-DE"/>
        </w:rPr>
        <w:t>(jener Mann) zeigt die individuelle Verantwortung.</w:t>
      </w:r>
    </w:p>
    <w:p w14:paraId="2C9AA846" w14:textId="77777777" w:rsidR="004D44DE" w:rsidRDefault="004D44DE" w:rsidP="00315907">
      <w:pPr>
        <w:spacing w:before="100" w:beforeAutospacing="1" w:after="100" w:afterAutospacing="1" w:line="240" w:lineRule="auto"/>
      </w:pPr>
      <w:r>
        <w:rPr>
          <w:rStyle w:val="Fett"/>
        </w:rPr>
        <w:t>Die LXX</w:t>
      </w:r>
      <w:r>
        <w:t xml:space="preserve"> übersetzt </w:t>
      </w:r>
      <w:r w:rsidRPr="004D44DE">
        <w:rPr>
          <w:b/>
          <w:bCs/>
          <w:rtl/>
        </w:rPr>
        <w:t>ונכרתה הנפש ההוא מעמיה</w:t>
      </w:r>
      <w:r>
        <w:t xml:space="preserve"> (venichrethah hannephesh hahi me'ammeyha - "diese Person soll ausgerottet werden aus ihrem Volk") als ἐξολεθρευθήσεται ἡ ψυχὴ ἐκείνη ἐκ τοῦ λαοῦ αὐτῆς (diese Seele wird ausgerottet werden aus ihrem Volk). </w:t>
      </w:r>
      <w:r w:rsidRPr="004D44DE">
        <w:rPr>
          <w:b/>
          <w:bCs/>
          <w:rtl/>
        </w:rPr>
        <w:t>חטאו ישא</w:t>
      </w:r>
      <w:r>
        <w:t xml:space="preserve"> (chet'o </w:t>
      </w:r>
      <w:r>
        <w:lastRenderedPageBreak/>
        <w:t>yissa - "seine Sünde soll er tragen") wird als ἁμαρτίαν αὐτοῦ λήμψεται (seine Sünde wird er empfangen/tragen) übersetzt.</w:t>
      </w:r>
    </w:p>
    <w:p w14:paraId="29779596" w14:textId="029516DC"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Die Satzstruktur zeigt eine konditionelle Charakterisierung ohne Ausschlussgründe, spezifisches Vergehen, drastische Strafe, kausale Begründung und persönliche Verantwortungsübernahme.</w:t>
      </w:r>
    </w:p>
    <w:p w14:paraId="6BB257BB" w14:textId="4BE35854"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Dieser Vers etabliert die schwere Strafe für vorsätzliche </w:t>
      </w:r>
      <w:r w:rsidR="00E136DC">
        <w:rPr>
          <w:rFonts w:eastAsia="Times New Roman" w:cs="Times New Roman"/>
          <w:lang w:eastAsia="de-DE"/>
        </w:rPr>
        <w:t>Pesach</w:t>
      </w:r>
      <w:r w:rsidRPr="00315907">
        <w:rPr>
          <w:rFonts w:eastAsia="Times New Roman" w:cs="Times New Roman"/>
          <w:lang w:eastAsia="de-DE"/>
        </w:rPr>
        <w:t>-Verweigerung ohne legitime Gründe.</w:t>
      </w:r>
    </w:p>
    <w:p w14:paraId="33DCA2A3" w14:textId="77777777" w:rsidR="00315907" w:rsidRPr="00315907" w:rsidRDefault="00315907" w:rsidP="00315907">
      <w:pPr>
        <w:spacing w:before="100" w:beforeAutospacing="1" w:after="100" w:afterAutospacing="1" w:line="240" w:lineRule="auto"/>
        <w:outlineLvl w:val="0"/>
        <w:rPr>
          <w:rFonts w:eastAsia="Times New Roman" w:cs="Times New Roman"/>
          <w:b/>
          <w:bCs/>
          <w:kern w:val="36"/>
          <w:sz w:val="48"/>
          <w:szCs w:val="48"/>
          <w:lang w:eastAsia="de-DE"/>
        </w:rPr>
      </w:pPr>
      <w:r w:rsidRPr="00315907">
        <w:rPr>
          <w:rFonts w:eastAsia="Times New Roman" w:cs="Times New Roman"/>
          <w:b/>
          <w:bCs/>
          <w:kern w:val="36"/>
          <w:sz w:val="48"/>
          <w:szCs w:val="48"/>
          <w:lang w:eastAsia="de-DE"/>
        </w:rPr>
        <w:t>Numeri 9,14</w:t>
      </w:r>
    </w:p>
    <w:p w14:paraId="32580AE0"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Hebräisch:</w:t>
      </w:r>
      <w:r w:rsidRPr="00315907">
        <w:rPr>
          <w:rFonts w:eastAsia="Times New Roman" w:cs="Times New Roman"/>
          <w:lang w:eastAsia="de-DE"/>
        </w:rPr>
        <w:t xml:space="preserve"> </w:t>
      </w:r>
      <w:r w:rsidRPr="00315907">
        <w:rPr>
          <w:rFonts w:eastAsia="Times New Roman" w:cs="Times New Roman"/>
          <w:rtl/>
          <w:lang w:eastAsia="de-DE"/>
        </w:rPr>
        <w:t>וְכִֽי־יָג֨וּר אִתְּכֶ֜ם גֵּ֗ר וְעָ֤שָֽׂה פֶ֨סַח֙ לַֽיהוָ֔ה כְּחֻקַּ֥ת הַפֶּ֛סַח וּכְמִשְׁפָּטֹ֖ו כֵּ֣ן יַעֲשֶׂ֑ה חֻקָּ֤ה אַחַת֙ יִהְיֶ֣ה לָכֶ֔ם וְלַגֵּ֖ר וּלְאֶזְרַ֥ח הָאָֽרֶץ׃</w:t>
      </w:r>
    </w:p>
    <w:p w14:paraId="76A60E09" w14:textId="3FADC8D8"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Deutsch:</w:t>
      </w:r>
      <w:r w:rsidRPr="00315907">
        <w:rPr>
          <w:rFonts w:eastAsia="Times New Roman" w:cs="Times New Roman"/>
          <w:lang w:eastAsia="de-DE"/>
        </w:rPr>
        <w:t xml:space="preserve"> Und wenn ein Fremder bei euch weilt und dem Ewigen </w:t>
      </w:r>
      <w:r w:rsidR="00E136DC">
        <w:rPr>
          <w:rFonts w:eastAsia="Times New Roman" w:cs="Times New Roman"/>
          <w:lang w:eastAsia="de-DE"/>
        </w:rPr>
        <w:t>Pesach</w:t>
      </w:r>
      <w:r w:rsidRPr="00315907">
        <w:rPr>
          <w:rFonts w:eastAsia="Times New Roman" w:cs="Times New Roman"/>
          <w:lang w:eastAsia="de-DE"/>
        </w:rPr>
        <w:t xml:space="preserve"> feiert, nach der Satzung des </w:t>
      </w:r>
      <w:r w:rsidR="00E136DC">
        <w:rPr>
          <w:rFonts w:eastAsia="Times New Roman" w:cs="Times New Roman"/>
          <w:lang w:eastAsia="de-DE"/>
        </w:rPr>
        <w:t>Pesach</w:t>
      </w:r>
      <w:r w:rsidRPr="00315907">
        <w:rPr>
          <w:rFonts w:eastAsia="Times New Roman" w:cs="Times New Roman"/>
          <w:lang w:eastAsia="de-DE"/>
        </w:rPr>
        <w:t>s und nach seiner Vorschrift soll er es feiern. Einerlei Satzung soll für euch sein, sowohl für den Fremden als auch für den Einheimischen des Landes.</w:t>
      </w:r>
    </w:p>
    <w:p w14:paraId="5B75673A" w14:textId="77777777" w:rsidR="00315907" w:rsidRPr="00315907" w:rsidRDefault="00F329DD" w:rsidP="00315907">
      <w:pPr>
        <w:spacing w:after="0" w:line="240" w:lineRule="auto"/>
        <w:rPr>
          <w:rFonts w:eastAsia="Times New Roman" w:cs="Times New Roman"/>
          <w:lang w:eastAsia="de-DE"/>
        </w:rPr>
      </w:pPr>
      <w:r>
        <w:rPr>
          <w:rFonts w:eastAsia="Times New Roman" w:cs="Times New Roman"/>
          <w:noProof/>
          <w:lang w:eastAsia="de-DE"/>
        </w:rPr>
        <w:pict w14:anchorId="4116BE1B">
          <v:rect id="_x0000_i1334" style="width:0;height:1.5pt" o:hralign="center" o:hrstd="t" o:hr="t" fillcolor="#a0a0a0" stroked="f"/>
        </w:pict>
      </w:r>
    </w:p>
    <w:p w14:paraId="420614EE"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b/>
          <w:bCs/>
          <w:lang w:eastAsia="de-DE"/>
        </w:rPr>
        <w:t>Kommentar:</w:t>
      </w:r>
      <w:r w:rsidRPr="00315907">
        <w:rPr>
          <w:rFonts w:eastAsia="Times New Roman" w:cs="Times New Roman"/>
          <w:lang w:eastAsia="de-DE"/>
        </w:rPr>
        <w:t xml:space="preserve"> Die konditionelle Einleitung </w:t>
      </w:r>
      <w:r w:rsidRPr="00315907">
        <w:rPr>
          <w:rFonts w:eastAsia="Times New Roman" w:cs="Times New Roman"/>
          <w:b/>
          <w:bCs/>
          <w:rtl/>
          <w:lang w:eastAsia="de-DE"/>
        </w:rPr>
        <w:t>וְכִי־יָגוּר אִתְּכֶם גֵּר</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כִי</w:t>
      </w:r>
      <w:r w:rsidRPr="00315907">
        <w:rPr>
          <w:rFonts w:eastAsia="Times New Roman" w:cs="Times New Roman"/>
          <w:rtl/>
          <w:lang w:eastAsia="de-DE"/>
        </w:rPr>
        <w:t xml:space="preserve"> </w:t>
      </w:r>
      <w:r w:rsidRPr="00315907">
        <w:rPr>
          <w:rFonts w:eastAsia="Times New Roman" w:cs="Times New Roman"/>
          <w:lang w:eastAsia="de-DE"/>
        </w:rPr>
        <w:t xml:space="preserve">(wenn), </w:t>
      </w:r>
      <w:r w:rsidRPr="00315907">
        <w:rPr>
          <w:rFonts w:eastAsia="Times New Roman" w:cs="Times New Roman"/>
          <w:b/>
          <w:bCs/>
          <w:rtl/>
          <w:lang w:eastAsia="de-DE"/>
        </w:rPr>
        <w:t>יָגוּר</w:t>
      </w:r>
      <w:r w:rsidRPr="00315907">
        <w:rPr>
          <w:rFonts w:eastAsia="Times New Roman" w:cs="Times New Roman"/>
          <w:rtl/>
          <w:lang w:eastAsia="de-DE"/>
        </w:rPr>
        <w:t xml:space="preserve"> </w:t>
      </w:r>
      <w:r w:rsidRPr="00315907">
        <w:rPr>
          <w:rFonts w:eastAsia="Times New Roman" w:cs="Times New Roman"/>
          <w:lang w:eastAsia="de-DE"/>
        </w:rPr>
        <w:t xml:space="preserve">von </w:t>
      </w:r>
      <w:r w:rsidRPr="00315907">
        <w:rPr>
          <w:rFonts w:eastAsia="Times New Roman" w:cs="Times New Roman"/>
          <w:b/>
          <w:bCs/>
          <w:rtl/>
          <w:lang w:eastAsia="de-DE"/>
        </w:rPr>
        <w:t>גור</w:t>
      </w:r>
      <w:r w:rsidRPr="00315907">
        <w:rPr>
          <w:rFonts w:eastAsia="Times New Roman" w:cs="Times New Roman"/>
          <w:rtl/>
          <w:lang w:eastAsia="de-DE"/>
        </w:rPr>
        <w:t xml:space="preserve"> </w:t>
      </w:r>
      <w:r w:rsidRPr="00315907">
        <w:rPr>
          <w:rFonts w:eastAsia="Times New Roman" w:cs="Times New Roman"/>
          <w:lang w:eastAsia="de-DE"/>
        </w:rPr>
        <w:t xml:space="preserve">(weilen) im Qal-Imperfekt 3. maskulin Singular, </w:t>
      </w:r>
      <w:r w:rsidRPr="00315907">
        <w:rPr>
          <w:rFonts w:eastAsia="Times New Roman" w:cs="Times New Roman"/>
          <w:b/>
          <w:bCs/>
          <w:rtl/>
          <w:lang w:eastAsia="de-DE"/>
        </w:rPr>
        <w:t>אִתְּכֶם</w:t>
      </w:r>
      <w:r w:rsidRPr="00315907">
        <w:rPr>
          <w:rFonts w:eastAsia="Times New Roman" w:cs="Times New Roman"/>
          <w:rtl/>
          <w:lang w:eastAsia="de-DE"/>
        </w:rPr>
        <w:t xml:space="preserve"> </w:t>
      </w:r>
      <w:r w:rsidRPr="00315907">
        <w:rPr>
          <w:rFonts w:eastAsia="Times New Roman" w:cs="Times New Roman"/>
          <w:lang w:eastAsia="de-DE"/>
        </w:rPr>
        <w:t xml:space="preserve">(bei euch) und </w:t>
      </w:r>
      <w:r w:rsidRPr="00315907">
        <w:rPr>
          <w:rFonts w:eastAsia="Times New Roman" w:cs="Times New Roman"/>
          <w:b/>
          <w:bCs/>
          <w:rtl/>
          <w:lang w:eastAsia="de-DE"/>
        </w:rPr>
        <w:t>גֵּר</w:t>
      </w:r>
      <w:r w:rsidRPr="00315907">
        <w:rPr>
          <w:rFonts w:eastAsia="Times New Roman" w:cs="Times New Roman"/>
          <w:rtl/>
          <w:lang w:eastAsia="de-DE"/>
        </w:rPr>
        <w:t xml:space="preserve"> </w:t>
      </w:r>
      <w:r w:rsidRPr="00315907">
        <w:rPr>
          <w:rFonts w:eastAsia="Times New Roman" w:cs="Times New Roman"/>
          <w:lang w:eastAsia="de-DE"/>
        </w:rPr>
        <w:t>(Fremder/Proselyt) zeigt die Inklusion von Nicht-Israeliten.</w:t>
      </w:r>
    </w:p>
    <w:p w14:paraId="7E5DC7C6" w14:textId="1019CB60"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 Teilnahmebedingung </w:t>
      </w:r>
      <w:r w:rsidRPr="00315907">
        <w:rPr>
          <w:rFonts w:eastAsia="Times New Roman" w:cs="Times New Roman"/>
          <w:b/>
          <w:bCs/>
          <w:rtl/>
          <w:lang w:eastAsia="de-DE"/>
        </w:rPr>
        <w:t>וְעָשָׂה פֶסַח לַיהוָה כְּחֻקַּת הַפֶּסַח וּכְמִשְׁפָּטוֹ כֵּן יַעֲשֶׂה</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עָשָׂה פֶסַח</w:t>
      </w:r>
      <w:r w:rsidRPr="00315907">
        <w:rPr>
          <w:rFonts w:eastAsia="Times New Roman" w:cs="Times New Roman"/>
          <w:rtl/>
          <w:lang w:eastAsia="de-DE"/>
        </w:rPr>
        <w:t xml:space="preserve"> </w:t>
      </w:r>
      <w:r w:rsidRPr="00315907">
        <w:rPr>
          <w:rFonts w:eastAsia="Times New Roman" w:cs="Times New Roman"/>
          <w:lang w:eastAsia="de-DE"/>
        </w:rPr>
        <w:t>(</w:t>
      </w:r>
      <w:r w:rsidR="00E136DC">
        <w:rPr>
          <w:rFonts w:eastAsia="Times New Roman" w:cs="Times New Roman"/>
          <w:lang w:eastAsia="de-DE"/>
        </w:rPr>
        <w:t>Pesach</w:t>
      </w:r>
      <w:r w:rsidRPr="00315907">
        <w:rPr>
          <w:rFonts w:eastAsia="Times New Roman" w:cs="Times New Roman"/>
          <w:lang w:eastAsia="de-DE"/>
        </w:rPr>
        <w:t xml:space="preserve"> feiern), </w:t>
      </w:r>
      <w:r w:rsidRPr="00315907">
        <w:rPr>
          <w:rFonts w:eastAsia="Times New Roman" w:cs="Times New Roman"/>
          <w:b/>
          <w:bCs/>
          <w:rtl/>
          <w:lang w:eastAsia="de-DE"/>
        </w:rPr>
        <w:t>כְּחֻקַּת הַפֶּסַח</w:t>
      </w:r>
      <w:r w:rsidRPr="00315907">
        <w:rPr>
          <w:rFonts w:eastAsia="Times New Roman" w:cs="Times New Roman"/>
          <w:rtl/>
          <w:lang w:eastAsia="de-DE"/>
        </w:rPr>
        <w:t xml:space="preserve"> </w:t>
      </w:r>
      <w:r w:rsidRPr="00315907">
        <w:rPr>
          <w:rFonts w:eastAsia="Times New Roman" w:cs="Times New Roman"/>
          <w:lang w:eastAsia="de-DE"/>
        </w:rPr>
        <w:t xml:space="preserve">(nach der Satzung des </w:t>
      </w:r>
      <w:r w:rsidR="00E136DC">
        <w:rPr>
          <w:rFonts w:eastAsia="Times New Roman" w:cs="Times New Roman"/>
          <w:lang w:eastAsia="de-DE"/>
        </w:rPr>
        <w:t>Pesach</w:t>
      </w:r>
      <w:r w:rsidRPr="00315907">
        <w:rPr>
          <w:rFonts w:eastAsia="Times New Roman" w:cs="Times New Roman"/>
          <w:lang w:eastAsia="de-DE"/>
        </w:rPr>
        <w:t xml:space="preserve">), </w:t>
      </w:r>
      <w:r w:rsidRPr="00315907">
        <w:rPr>
          <w:rFonts w:eastAsia="Times New Roman" w:cs="Times New Roman"/>
          <w:b/>
          <w:bCs/>
          <w:rtl/>
          <w:lang w:eastAsia="de-DE"/>
        </w:rPr>
        <w:t>וּכְמִשְׁפָּטוֹ</w:t>
      </w:r>
      <w:r w:rsidRPr="00315907">
        <w:rPr>
          <w:rFonts w:eastAsia="Times New Roman" w:cs="Times New Roman"/>
          <w:rtl/>
          <w:lang w:eastAsia="de-DE"/>
        </w:rPr>
        <w:t xml:space="preserve"> </w:t>
      </w:r>
      <w:r w:rsidRPr="00315907">
        <w:rPr>
          <w:rFonts w:eastAsia="Times New Roman" w:cs="Times New Roman"/>
          <w:lang w:eastAsia="de-DE"/>
        </w:rPr>
        <w:t xml:space="preserve">(und nach seiner Vorschrift) und </w:t>
      </w:r>
      <w:r w:rsidRPr="00315907">
        <w:rPr>
          <w:rFonts w:eastAsia="Times New Roman" w:cs="Times New Roman"/>
          <w:b/>
          <w:bCs/>
          <w:rtl/>
          <w:lang w:eastAsia="de-DE"/>
        </w:rPr>
        <w:t>כֵּן יַעֲשֶׂה</w:t>
      </w:r>
      <w:r w:rsidRPr="00315907">
        <w:rPr>
          <w:rFonts w:eastAsia="Times New Roman" w:cs="Times New Roman"/>
          <w:rtl/>
          <w:lang w:eastAsia="de-DE"/>
        </w:rPr>
        <w:t xml:space="preserve"> </w:t>
      </w:r>
      <w:r w:rsidRPr="00315907">
        <w:rPr>
          <w:rFonts w:eastAsia="Times New Roman" w:cs="Times New Roman"/>
          <w:lang w:eastAsia="de-DE"/>
        </w:rPr>
        <w:t>(so soll er es feiern) zeigt die vollständige rituelle Konformität als Voraussetzung.</w:t>
      </w:r>
    </w:p>
    <w:p w14:paraId="6EC5E48C" w14:textId="77777777"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 Gleichheitserklärung </w:t>
      </w:r>
      <w:r w:rsidRPr="00315907">
        <w:rPr>
          <w:rFonts w:eastAsia="Times New Roman" w:cs="Times New Roman"/>
          <w:b/>
          <w:bCs/>
          <w:rtl/>
          <w:lang w:eastAsia="de-DE"/>
        </w:rPr>
        <w:t>חֻקָּה אַחַת יִהְיֶה לָכֶם וְלַגֵּר וּלְאֶזְרַח הָאָרֶץ</w:t>
      </w:r>
      <w:r w:rsidRPr="00315907">
        <w:rPr>
          <w:rFonts w:eastAsia="Times New Roman" w:cs="Times New Roman"/>
          <w:rtl/>
          <w:lang w:eastAsia="de-DE"/>
        </w:rPr>
        <w:t xml:space="preserve"> </w:t>
      </w:r>
      <w:r w:rsidRPr="00315907">
        <w:rPr>
          <w:rFonts w:eastAsia="Times New Roman" w:cs="Times New Roman"/>
          <w:lang w:eastAsia="de-DE"/>
        </w:rPr>
        <w:t xml:space="preserve">mit </w:t>
      </w:r>
      <w:r w:rsidRPr="00315907">
        <w:rPr>
          <w:rFonts w:eastAsia="Times New Roman" w:cs="Times New Roman"/>
          <w:b/>
          <w:bCs/>
          <w:rtl/>
          <w:lang w:eastAsia="de-DE"/>
        </w:rPr>
        <w:t>חֻקָּה אַחַת</w:t>
      </w:r>
      <w:r w:rsidRPr="00315907">
        <w:rPr>
          <w:rFonts w:eastAsia="Times New Roman" w:cs="Times New Roman"/>
          <w:rtl/>
          <w:lang w:eastAsia="de-DE"/>
        </w:rPr>
        <w:t xml:space="preserve"> </w:t>
      </w:r>
      <w:r w:rsidRPr="00315907">
        <w:rPr>
          <w:rFonts w:eastAsia="Times New Roman" w:cs="Times New Roman"/>
          <w:lang w:eastAsia="de-DE"/>
        </w:rPr>
        <w:t xml:space="preserve">(eine Satzung), </w:t>
      </w:r>
      <w:r w:rsidRPr="00315907">
        <w:rPr>
          <w:rFonts w:eastAsia="Times New Roman" w:cs="Times New Roman"/>
          <w:b/>
          <w:bCs/>
          <w:rtl/>
          <w:lang w:eastAsia="de-DE"/>
        </w:rPr>
        <w:t>יִהְיֶה</w:t>
      </w:r>
      <w:r w:rsidRPr="00315907">
        <w:rPr>
          <w:rFonts w:eastAsia="Times New Roman" w:cs="Times New Roman"/>
          <w:rtl/>
          <w:lang w:eastAsia="de-DE"/>
        </w:rPr>
        <w:t xml:space="preserve"> </w:t>
      </w:r>
      <w:r w:rsidRPr="00315907">
        <w:rPr>
          <w:rFonts w:eastAsia="Times New Roman" w:cs="Times New Roman"/>
          <w:lang w:eastAsia="de-DE"/>
        </w:rPr>
        <w:t xml:space="preserve">von </w:t>
      </w:r>
      <w:r w:rsidRPr="00315907">
        <w:rPr>
          <w:rFonts w:eastAsia="Times New Roman" w:cs="Times New Roman"/>
          <w:b/>
          <w:bCs/>
          <w:rtl/>
          <w:lang w:eastAsia="de-DE"/>
        </w:rPr>
        <w:t>היה</w:t>
      </w:r>
      <w:r w:rsidRPr="00315907">
        <w:rPr>
          <w:rFonts w:eastAsia="Times New Roman" w:cs="Times New Roman"/>
          <w:rtl/>
          <w:lang w:eastAsia="de-DE"/>
        </w:rPr>
        <w:t xml:space="preserve"> </w:t>
      </w:r>
      <w:r w:rsidRPr="00315907">
        <w:rPr>
          <w:rFonts w:eastAsia="Times New Roman" w:cs="Times New Roman"/>
          <w:lang w:eastAsia="de-DE"/>
        </w:rPr>
        <w:t xml:space="preserve">(sein), </w:t>
      </w:r>
      <w:r w:rsidRPr="00315907">
        <w:rPr>
          <w:rFonts w:eastAsia="Times New Roman" w:cs="Times New Roman"/>
          <w:b/>
          <w:bCs/>
          <w:rtl/>
          <w:lang w:eastAsia="de-DE"/>
        </w:rPr>
        <w:t>לָכֶם</w:t>
      </w:r>
      <w:r w:rsidRPr="00315907">
        <w:rPr>
          <w:rFonts w:eastAsia="Times New Roman" w:cs="Times New Roman"/>
          <w:rtl/>
          <w:lang w:eastAsia="de-DE"/>
        </w:rPr>
        <w:t xml:space="preserve"> </w:t>
      </w:r>
      <w:r w:rsidRPr="00315907">
        <w:rPr>
          <w:rFonts w:eastAsia="Times New Roman" w:cs="Times New Roman"/>
          <w:lang w:eastAsia="de-DE"/>
        </w:rPr>
        <w:t xml:space="preserve">(für euch), </w:t>
      </w:r>
      <w:r w:rsidRPr="00315907">
        <w:rPr>
          <w:rFonts w:eastAsia="Times New Roman" w:cs="Times New Roman"/>
          <w:b/>
          <w:bCs/>
          <w:rtl/>
          <w:lang w:eastAsia="de-DE"/>
        </w:rPr>
        <w:t>וְלַגֵּר</w:t>
      </w:r>
      <w:r w:rsidRPr="00315907">
        <w:rPr>
          <w:rFonts w:eastAsia="Times New Roman" w:cs="Times New Roman"/>
          <w:rtl/>
          <w:lang w:eastAsia="de-DE"/>
        </w:rPr>
        <w:t xml:space="preserve"> </w:t>
      </w:r>
      <w:r w:rsidRPr="00315907">
        <w:rPr>
          <w:rFonts w:eastAsia="Times New Roman" w:cs="Times New Roman"/>
          <w:lang w:eastAsia="de-DE"/>
        </w:rPr>
        <w:t xml:space="preserve">(und für den Fremden) und </w:t>
      </w:r>
      <w:r w:rsidRPr="00315907">
        <w:rPr>
          <w:rFonts w:eastAsia="Times New Roman" w:cs="Times New Roman"/>
          <w:b/>
          <w:bCs/>
          <w:rtl/>
          <w:lang w:eastAsia="de-DE"/>
        </w:rPr>
        <w:t>וּלְאֶזְרַח הָאָרֶץ</w:t>
      </w:r>
      <w:r w:rsidRPr="00315907">
        <w:rPr>
          <w:rFonts w:eastAsia="Times New Roman" w:cs="Times New Roman"/>
          <w:rtl/>
          <w:lang w:eastAsia="de-DE"/>
        </w:rPr>
        <w:t xml:space="preserve"> </w:t>
      </w:r>
      <w:r w:rsidRPr="00315907">
        <w:rPr>
          <w:rFonts w:eastAsia="Times New Roman" w:cs="Times New Roman"/>
          <w:lang w:eastAsia="de-DE"/>
        </w:rPr>
        <w:t>(und für den Einheimischen des Landes) etabliert vollständige rechtliche Gleichstellung.</w:t>
      </w:r>
    </w:p>
    <w:p w14:paraId="1343CD6D" w14:textId="77777777" w:rsidR="004D44DE" w:rsidRDefault="004D44DE" w:rsidP="00315907">
      <w:pPr>
        <w:spacing w:before="100" w:beforeAutospacing="1" w:after="100" w:afterAutospacing="1" w:line="240" w:lineRule="auto"/>
      </w:pPr>
      <w:r>
        <w:rPr>
          <w:rStyle w:val="Fett"/>
        </w:rPr>
        <w:t>Die LXX</w:t>
      </w:r>
      <w:r>
        <w:t xml:space="preserve"> übersetzt </w:t>
      </w:r>
      <w:r w:rsidRPr="004D44DE">
        <w:rPr>
          <w:b/>
          <w:bCs/>
          <w:rtl/>
        </w:rPr>
        <w:t>גר</w:t>
      </w:r>
      <w:r>
        <w:t xml:space="preserve"> (ger - "Fremdling") als προσήλυτος (Proselyt), ein technischer Begriff für einen Konvertiten zum Judentum. </w:t>
      </w:r>
      <w:r w:rsidRPr="004D44DE">
        <w:rPr>
          <w:b/>
          <w:bCs/>
          <w:rtl/>
        </w:rPr>
        <w:t>אזרח הארץ</w:t>
      </w:r>
      <w:r>
        <w:t xml:space="preserve"> (ezrach ha'aretz - "Einheimischer des Landes") wird als αὐτόχθων τῆς γῆς (Eingeborener des Landes) übersetzt.</w:t>
      </w:r>
    </w:p>
    <w:p w14:paraId="2EE1FBA2" w14:textId="211A9145" w:rsidR="00315907" w:rsidRP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Die Satzstruktur zeigt konditionelle Inklusion von Fremden, vollständige rituelle Konformitätsanforderung und rechtliche Gleichstellungserklärung.</w:t>
      </w:r>
    </w:p>
    <w:p w14:paraId="2E7F36BE" w14:textId="493C1F0A" w:rsidR="00315907" w:rsidRDefault="00315907" w:rsidP="00315907">
      <w:pPr>
        <w:spacing w:before="100" w:beforeAutospacing="1" w:after="100" w:afterAutospacing="1" w:line="240" w:lineRule="auto"/>
        <w:rPr>
          <w:rFonts w:eastAsia="Times New Roman" w:cs="Times New Roman"/>
          <w:lang w:eastAsia="de-DE"/>
        </w:rPr>
      </w:pPr>
      <w:r w:rsidRPr="00315907">
        <w:rPr>
          <w:rFonts w:eastAsia="Times New Roman" w:cs="Times New Roman"/>
          <w:lang w:eastAsia="de-DE"/>
        </w:rPr>
        <w:t xml:space="preserve">Dieser Vers etabliert die universelle Zugänglichkeit des </w:t>
      </w:r>
      <w:r w:rsidR="00E136DC">
        <w:rPr>
          <w:rFonts w:eastAsia="Times New Roman" w:cs="Times New Roman"/>
          <w:lang w:eastAsia="de-DE"/>
        </w:rPr>
        <w:t>Pesach</w:t>
      </w:r>
      <w:r w:rsidRPr="00315907">
        <w:rPr>
          <w:rFonts w:eastAsia="Times New Roman" w:cs="Times New Roman"/>
          <w:lang w:eastAsia="de-DE"/>
        </w:rPr>
        <w:t xml:space="preserve"> für alle Gottesfürchtigen unabhängig von ethnischer Herkunft bei vollständiger ritueller Konformität.</w:t>
      </w:r>
    </w:p>
    <w:p w14:paraId="7FD9A760" w14:textId="712AFCD1" w:rsidR="00E136DC" w:rsidRPr="00F06C27" w:rsidRDefault="00E136DC" w:rsidP="00F06C27">
      <w:pPr>
        <w:pStyle w:val="berschrift4"/>
      </w:pPr>
      <w:r w:rsidRPr="00F06C27">
        <w:rPr>
          <w:rStyle w:val="Fett"/>
          <w:b w:val="0"/>
          <w:bCs w:val="0"/>
        </w:rPr>
        <w:t xml:space="preserve">Exkurs: </w:t>
      </w:r>
      <w:r w:rsidR="00300FB1" w:rsidRPr="00F06C27">
        <w:rPr>
          <w:rStyle w:val="Fett"/>
          <w:b w:val="0"/>
          <w:bCs w:val="0"/>
        </w:rPr>
        <w:t>Pesach</w:t>
      </w:r>
      <w:r w:rsidRPr="00F06C27">
        <w:rPr>
          <w:rStyle w:val="Fett"/>
          <w:b w:val="0"/>
          <w:bCs w:val="0"/>
        </w:rPr>
        <w:t xml:space="preserve"> Scheni – Theologische und halakhische Bedeutung</w:t>
      </w:r>
    </w:p>
    <w:p w14:paraId="5BF6F7E6" w14:textId="77777777" w:rsidR="00E136DC" w:rsidRDefault="00E136DC" w:rsidP="00E136DC">
      <w:pPr>
        <w:pStyle w:val="whitespace-normal"/>
      </w:pPr>
      <w:r>
        <w:rPr>
          <w:rStyle w:val="Fett"/>
        </w:rPr>
        <w:t>Die Innovation:</w:t>
      </w:r>
    </w:p>
    <w:p w14:paraId="2C910D4B" w14:textId="77777777" w:rsidR="00E136DC" w:rsidRDefault="00E136DC" w:rsidP="00E136DC">
      <w:pPr>
        <w:pStyle w:val="whitespace-normal"/>
      </w:pPr>
      <w:r>
        <w:rPr>
          <w:rStyle w:val="Fett"/>
        </w:rPr>
        <w:lastRenderedPageBreak/>
        <w:t>Num 9,10-13</w:t>
      </w:r>
      <w:r>
        <w:t xml:space="preserve"> etabliert eine </w:t>
      </w:r>
      <w:r>
        <w:rPr>
          <w:rStyle w:val="Fett"/>
        </w:rPr>
        <w:t>einzigartige</w:t>
      </w:r>
      <w:r>
        <w:t xml:space="preserve"> Institution im biblischen Festkalender: ein </w:t>
      </w:r>
      <w:r>
        <w:rPr>
          <w:rStyle w:val="Fett"/>
        </w:rPr>
        <w:t>Ersatztermin</w:t>
      </w:r>
      <w:r>
        <w:t xml:space="preserve"> für ein Pflichtfest!</w:t>
      </w:r>
    </w:p>
    <w:p w14:paraId="53B7CECF" w14:textId="77777777" w:rsidR="00E136DC" w:rsidRDefault="00E136DC" w:rsidP="00E136DC">
      <w:pPr>
        <w:pStyle w:val="whitespace-normal"/>
      </w:pPr>
      <w:r>
        <w:rPr>
          <w:rStyle w:val="Fett"/>
        </w:rPr>
        <w:t>Keine anderen Feste haben einen solchen Ersatztermin:</w:t>
      </w:r>
    </w:p>
    <w:tbl>
      <w:tblPr>
        <w:tblStyle w:val="Tabellenraster"/>
        <w:tblW w:w="4994" w:type="pct"/>
        <w:tblLook w:val="04A0" w:firstRow="1" w:lastRow="0" w:firstColumn="1" w:lastColumn="0" w:noHBand="0" w:noVBand="1"/>
      </w:tblPr>
      <w:tblGrid>
        <w:gridCol w:w="2972"/>
        <w:gridCol w:w="6079"/>
      </w:tblGrid>
      <w:tr w:rsidR="00300FB1" w14:paraId="5C0FA4F2" w14:textId="77777777" w:rsidTr="00300FB1">
        <w:tc>
          <w:tcPr>
            <w:tcW w:w="1642" w:type="pct"/>
          </w:tcPr>
          <w:p w14:paraId="1BAAD2B3" w14:textId="36DEC2D2" w:rsidR="00300FB1" w:rsidRPr="00300FB1" w:rsidRDefault="00300FB1" w:rsidP="00315907">
            <w:pPr>
              <w:spacing w:before="100" w:beforeAutospacing="1" w:after="100" w:afterAutospacing="1" w:line="240" w:lineRule="auto"/>
              <w:rPr>
                <w:rFonts w:eastAsia="Times New Roman" w:cs="Times New Roman"/>
                <w:lang w:eastAsia="de-DE"/>
              </w:rPr>
            </w:pPr>
            <w:r w:rsidRPr="00300FB1">
              <w:rPr>
                <w:rFonts w:cs="Times New Roman"/>
                <w:b/>
                <w:bCs/>
                <w:color w:val="141413"/>
                <w:shd w:val="clear" w:color="auto" w:fill="FAF9F5"/>
              </w:rPr>
              <w:t>Fest</w:t>
            </w:r>
          </w:p>
        </w:tc>
        <w:tc>
          <w:tcPr>
            <w:tcW w:w="3358" w:type="pct"/>
          </w:tcPr>
          <w:p w14:paraId="0361DAB3" w14:textId="3C2D84F5" w:rsidR="00300FB1" w:rsidRPr="00300FB1" w:rsidRDefault="00300FB1" w:rsidP="00315907">
            <w:pPr>
              <w:spacing w:before="100" w:beforeAutospacing="1" w:after="100" w:afterAutospacing="1" w:line="240" w:lineRule="auto"/>
              <w:rPr>
                <w:rFonts w:eastAsia="Times New Roman" w:cs="Times New Roman"/>
                <w:b/>
                <w:bCs/>
                <w:lang w:eastAsia="de-DE"/>
              </w:rPr>
            </w:pPr>
            <w:r w:rsidRPr="00300FB1">
              <w:rPr>
                <w:rFonts w:cs="Times New Roman"/>
                <w:b/>
                <w:bCs/>
              </w:rPr>
              <w:t>Ersatztermin?</w:t>
            </w:r>
          </w:p>
        </w:tc>
      </w:tr>
      <w:tr w:rsidR="00300FB1" w14:paraId="2C25D933" w14:textId="77777777" w:rsidTr="00300FB1">
        <w:tc>
          <w:tcPr>
            <w:tcW w:w="1642" w:type="pct"/>
          </w:tcPr>
          <w:p w14:paraId="5F37C04A" w14:textId="29EF80A1" w:rsidR="00300FB1" w:rsidRDefault="00300FB1" w:rsidP="00315907">
            <w:pPr>
              <w:spacing w:before="100" w:beforeAutospacing="1" w:after="100" w:afterAutospacing="1" w:line="240" w:lineRule="auto"/>
              <w:rPr>
                <w:rFonts w:eastAsia="Times New Roman" w:cs="Times New Roman"/>
                <w:lang w:eastAsia="de-DE"/>
              </w:rPr>
            </w:pPr>
            <w:r>
              <w:t>Pesach</w:t>
            </w:r>
          </w:p>
        </w:tc>
        <w:tc>
          <w:tcPr>
            <w:tcW w:w="3358" w:type="pct"/>
          </w:tcPr>
          <w:p w14:paraId="78D8B1B1" w14:textId="319A6C6C" w:rsidR="00300FB1" w:rsidRPr="00300FB1" w:rsidRDefault="00300FB1" w:rsidP="00315907">
            <w:pPr>
              <w:spacing w:before="100" w:beforeAutospacing="1" w:after="100" w:afterAutospacing="1" w:line="240" w:lineRule="auto"/>
              <w:rPr>
                <w:rFonts w:eastAsia="Times New Roman" w:cs="Times New Roman"/>
                <w:lang w:eastAsia="de-DE"/>
              </w:rPr>
            </w:pPr>
            <w:r w:rsidRPr="00300FB1">
              <w:rPr>
                <w:rFonts w:ascii="Segoe UI Emoji" w:hAnsi="Segoe UI Emoji" w:cs="Segoe UI Emoji"/>
              </w:rPr>
              <w:t>✅</w:t>
            </w:r>
            <w:r w:rsidRPr="00300FB1">
              <w:rPr>
                <w:rFonts w:cs="Times New Roman"/>
              </w:rPr>
              <w:t xml:space="preserve"> Ja – </w:t>
            </w:r>
            <w:r>
              <w:rPr>
                <w:rFonts w:cs="Times New Roman"/>
              </w:rPr>
              <w:t>Pesach</w:t>
            </w:r>
            <w:r w:rsidRPr="00300FB1">
              <w:rPr>
                <w:rFonts w:cs="Times New Roman"/>
              </w:rPr>
              <w:t xml:space="preserve"> Scheni (14. Ijjar)</w:t>
            </w:r>
          </w:p>
        </w:tc>
      </w:tr>
      <w:tr w:rsidR="00300FB1" w14:paraId="08685E6D" w14:textId="77777777" w:rsidTr="00300FB1">
        <w:tc>
          <w:tcPr>
            <w:tcW w:w="1642" w:type="pct"/>
          </w:tcPr>
          <w:p w14:paraId="430A43C8" w14:textId="435D1A89" w:rsidR="00300FB1" w:rsidRDefault="00300FB1" w:rsidP="00315907">
            <w:pPr>
              <w:spacing w:before="100" w:beforeAutospacing="1" w:after="100" w:afterAutospacing="1" w:line="240" w:lineRule="auto"/>
              <w:rPr>
                <w:rFonts w:eastAsia="Times New Roman" w:cs="Times New Roman"/>
                <w:lang w:eastAsia="de-DE"/>
              </w:rPr>
            </w:pPr>
            <w:r>
              <w:t>Schawuot</w:t>
            </w:r>
          </w:p>
        </w:tc>
        <w:tc>
          <w:tcPr>
            <w:tcW w:w="3358" w:type="pct"/>
          </w:tcPr>
          <w:p w14:paraId="7BD729B7" w14:textId="5EC09A3F" w:rsidR="00300FB1" w:rsidRPr="00300FB1" w:rsidRDefault="00300FB1" w:rsidP="00315907">
            <w:pPr>
              <w:spacing w:before="100" w:beforeAutospacing="1" w:after="100" w:afterAutospacing="1" w:line="240" w:lineRule="auto"/>
              <w:rPr>
                <w:rFonts w:eastAsia="Times New Roman" w:cs="Times New Roman"/>
                <w:lang w:eastAsia="de-DE"/>
              </w:rPr>
            </w:pPr>
            <w:r w:rsidRPr="00300FB1">
              <w:rPr>
                <w:rFonts w:ascii="Segoe UI Emoji" w:hAnsi="Segoe UI Emoji" w:cs="Segoe UI Emoji"/>
              </w:rPr>
              <w:t>❌</w:t>
            </w:r>
            <w:r w:rsidRPr="00300FB1">
              <w:rPr>
                <w:rFonts w:cs="Times New Roman"/>
              </w:rPr>
              <w:t xml:space="preserve"> Nein</w:t>
            </w:r>
          </w:p>
        </w:tc>
      </w:tr>
      <w:tr w:rsidR="00300FB1" w14:paraId="26383862" w14:textId="77777777" w:rsidTr="00300FB1">
        <w:tc>
          <w:tcPr>
            <w:tcW w:w="1642" w:type="pct"/>
          </w:tcPr>
          <w:p w14:paraId="26FB2256" w14:textId="16C44B2C" w:rsidR="00300FB1" w:rsidRDefault="00300FB1" w:rsidP="00315907">
            <w:pPr>
              <w:spacing w:before="100" w:beforeAutospacing="1" w:after="100" w:afterAutospacing="1" w:line="240" w:lineRule="auto"/>
              <w:rPr>
                <w:rFonts w:eastAsia="Times New Roman" w:cs="Times New Roman"/>
                <w:lang w:eastAsia="de-DE"/>
              </w:rPr>
            </w:pPr>
            <w:r>
              <w:t>Rosch ha-Schana</w:t>
            </w:r>
          </w:p>
        </w:tc>
        <w:tc>
          <w:tcPr>
            <w:tcW w:w="3358" w:type="pct"/>
          </w:tcPr>
          <w:p w14:paraId="0B611390" w14:textId="3E51850E" w:rsidR="00300FB1" w:rsidRPr="00300FB1" w:rsidRDefault="00300FB1" w:rsidP="00315907">
            <w:pPr>
              <w:spacing w:before="100" w:beforeAutospacing="1" w:after="100" w:afterAutospacing="1" w:line="240" w:lineRule="auto"/>
              <w:rPr>
                <w:rFonts w:eastAsia="Times New Roman" w:cs="Times New Roman"/>
                <w:lang w:eastAsia="de-DE"/>
              </w:rPr>
            </w:pPr>
            <w:r w:rsidRPr="00300FB1">
              <w:rPr>
                <w:rFonts w:ascii="Segoe UI Emoji" w:hAnsi="Segoe UI Emoji" w:cs="Segoe UI Emoji"/>
              </w:rPr>
              <w:t>❌</w:t>
            </w:r>
            <w:r w:rsidRPr="00300FB1">
              <w:rPr>
                <w:rFonts w:cs="Times New Roman"/>
              </w:rPr>
              <w:t xml:space="preserve"> Nein</w:t>
            </w:r>
          </w:p>
        </w:tc>
      </w:tr>
      <w:tr w:rsidR="00300FB1" w14:paraId="287A0F80" w14:textId="77777777" w:rsidTr="00300FB1">
        <w:tc>
          <w:tcPr>
            <w:tcW w:w="1642" w:type="pct"/>
          </w:tcPr>
          <w:p w14:paraId="55D7BC80" w14:textId="6D4E5737" w:rsidR="00300FB1" w:rsidRDefault="00300FB1" w:rsidP="00315907">
            <w:pPr>
              <w:spacing w:before="100" w:beforeAutospacing="1" w:after="100" w:afterAutospacing="1" w:line="240" w:lineRule="auto"/>
              <w:rPr>
                <w:rFonts w:eastAsia="Times New Roman" w:cs="Times New Roman"/>
                <w:lang w:eastAsia="de-DE"/>
              </w:rPr>
            </w:pPr>
            <w:r>
              <w:t>Jom Kippur</w:t>
            </w:r>
          </w:p>
        </w:tc>
        <w:tc>
          <w:tcPr>
            <w:tcW w:w="3358" w:type="pct"/>
          </w:tcPr>
          <w:p w14:paraId="50675D7B" w14:textId="31E4E2DB" w:rsidR="00300FB1" w:rsidRPr="00300FB1" w:rsidRDefault="00300FB1" w:rsidP="00315907">
            <w:pPr>
              <w:spacing w:before="100" w:beforeAutospacing="1" w:after="100" w:afterAutospacing="1" w:line="240" w:lineRule="auto"/>
              <w:rPr>
                <w:rFonts w:eastAsia="Times New Roman" w:cs="Times New Roman"/>
                <w:lang w:eastAsia="de-DE"/>
              </w:rPr>
            </w:pPr>
            <w:r w:rsidRPr="00300FB1">
              <w:rPr>
                <w:rFonts w:ascii="Segoe UI Emoji" w:hAnsi="Segoe UI Emoji" w:cs="Segoe UI Emoji"/>
              </w:rPr>
              <w:t>❌</w:t>
            </w:r>
            <w:r w:rsidRPr="00300FB1">
              <w:rPr>
                <w:rFonts w:cs="Times New Roman"/>
              </w:rPr>
              <w:t xml:space="preserve"> Nein</w:t>
            </w:r>
          </w:p>
        </w:tc>
      </w:tr>
      <w:tr w:rsidR="00300FB1" w14:paraId="5EA5CDE4" w14:textId="77777777" w:rsidTr="00300FB1">
        <w:tc>
          <w:tcPr>
            <w:tcW w:w="1642" w:type="pct"/>
          </w:tcPr>
          <w:p w14:paraId="6DB176D7" w14:textId="0F8CFBEB" w:rsidR="00300FB1" w:rsidRDefault="00300FB1" w:rsidP="00315907">
            <w:pPr>
              <w:spacing w:before="100" w:beforeAutospacing="1" w:after="100" w:afterAutospacing="1" w:line="240" w:lineRule="auto"/>
              <w:rPr>
                <w:rFonts w:eastAsia="Times New Roman" w:cs="Times New Roman"/>
                <w:lang w:eastAsia="de-DE"/>
              </w:rPr>
            </w:pPr>
            <w:r>
              <w:t>Sukkot</w:t>
            </w:r>
          </w:p>
        </w:tc>
        <w:tc>
          <w:tcPr>
            <w:tcW w:w="3358" w:type="pct"/>
          </w:tcPr>
          <w:p w14:paraId="4C291209" w14:textId="3EA1F347" w:rsidR="00300FB1" w:rsidRPr="00300FB1" w:rsidRDefault="00300FB1" w:rsidP="00315907">
            <w:pPr>
              <w:spacing w:before="100" w:beforeAutospacing="1" w:after="100" w:afterAutospacing="1" w:line="240" w:lineRule="auto"/>
              <w:rPr>
                <w:rFonts w:eastAsia="Times New Roman" w:cs="Times New Roman"/>
                <w:lang w:eastAsia="de-DE"/>
              </w:rPr>
            </w:pPr>
            <w:r w:rsidRPr="00300FB1">
              <w:rPr>
                <w:rFonts w:ascii="Segoe UI Emoji" w:hAnsi="Segoe UI Emoji" w:cs="Segoe UI Emoji"/>
              </w:rPr>
              <w:t>❌</w:t>
            </w:r>
            <w:r w:rsidRPr="00300FB1">
              <w:rPr>
                <w:rFonts w:cs="Times New Roman"/>
              </w:rPr>
              <w:t xml:space="preserve"> Nein</w:t>
            </w:r>
          </w:p>
        </w:tc>
      </w:tr>
    </w:tbl>
    <w:p w14:paraId="309BFDAA" w14:textId="4CB312A6" w:rsidR="00300FB1" w:rsidRDefault="00300FB1" w:rsidP="00300FB1">
      <w:pPr>
        <w:pStyle w:val="whitespace-normal"/>
      </w:pPr>
      <w:r>
        <w:rPr>
          <w:rStyle w:val="Fett"/>
        </w:rPr>
        <w:t>Warum nur Pesach?</w:t>
      </w:r>
    </w:p>
    <w:p w14:paraId="6B5F1CFA" w14:textId="6F960AF6" w:rsidR="00300FB1" w:rsidRDefault="00300FB1" w:rsidP="00300FB1">
      <w:pPr>
        <w:pStyle w:val="whitespace-normal"/>
        <w:numPr>
          <w:ilvl w:val="0"/>
          <w:numId w:val="76"/>
        </w:numPr>
      </w:pPr>
      <w:r>
        <w:rPr>
          <w:rStyle w:val="Fett"/>
        </w:rPr>
        <w:t>Bundeserneuerung:</w:t>
      </w:r>
      <w:r>
        <w:t xml:space="preserve"> Pesach ist das </w:t>
      </w:r>
      <w:r>
        <w:rPr>
          <w:rStyle w:val="Fett"/>
        </w:rPr>
        <w:t>Bundesmahl</w:t>
      </w:r>
      <w:r>
        <w:t xml:space="preserve"> (Ex 12,14: </w:t>
      </w:r>
      <w:r>
        <w:rPr>
          <w:rtl/>
        </w:rPr>
        <w:t>חֻקַּת עוֹלָם</w:t>
      </w:r>
      <w:r>
        <w:t xml:space="preserve"> – "ewige Satzung"). Niemand darf </w:t>
      </w:r>
      <w:r>
        <w:rPr>
          <w:rStyle w:val="Fett"/>
        </w:rPr>
        <w:t>ausgeschlossen</w:t>
      </w:r>
      <w:r>
        <w:t xml:space="preserve"> werden!</w:t>
      </w:r>
    </w:p>
    <w:p w14:paraId="3AE781D4" w14:textId="3735E424" w:rsidR="00300FB1" w:rsidRDefault="00300FB1" w:rsidP="00300FB1">
      <w:pPr>
        <w:pStyle w:val="whitespace-normal"/>
        <w:numPr>
          <w:ilvl w:val="0"/>
          <w:numId w:val="76"/>
        </w:numPr>
      </w:pPr>
      <w:r>
        <w:rPr>
          <w:rStyle w:val="Fett"/>
        </w:rPr>
        <w:t>Gemeinschaftssolidarität:</w:t>
      </w:r>
      <w:r>
        <w:t xml:space="preserve"> Die Bitte der unreinen Männer (V. 7: "Warum sollen wir </w:t>
      </w:r>
      <w:r>
        <w:rPr>
          <w:rStyle w:val="Fett"/>
        </w:rPr>
        <w:t>verkürzt</w:t>
      </w:r>
      <w:r>
        <w:t xml:space="preserve"> werden?") zeigt: Pesach ist nicht nur </w:t>
      </w:r>
      <w:r>
        <w:rPr>
          <w:rStyle w:val="Fett"/>
        </w:rPr>
        <w:t>Pflicht</w:t>
      </w:r>
      <w:r>
        <w:t xml:space="preserve">, sondern </w:t>
      </w:r>
      <w:r>
        <w:rPr>
          <w:rStyle w:val="Fett"/>
        </w:rPr>
        <w:t>Privileg</w:t>
      </w:r>
    </w:p>
    <w:p w14:paraId="5E6C8824" w14:textId="77777777" w:rsidR="00300FB1" w:rsidRDefault="00300FB1" w:rsidP="00300FB1">
      <w:pPr>
        <w:pStyle w:val="whitespace-normal"/>
        <w:numPr>
          <w:ilvl w:val="0"/>
          <w:numId w:val="76"/>
        </w:numPr>
      </w:pPr>
      <w:r>
        <w:rPr>
          <w:rStyle w:val="Fett"/>
        </w:rPr>
        <w:t>Göttliche Barmherzigkeit:</w:t>
      </w:r>
      <w:r>
        <w:t xml:space="preserve"> Gott schafft einen </w:t>
      </w:r>
      <w:r>
        <w:rPr>
          <w:rStyle w:val="Fett"/>
        </w:rPr>
        <w:t>Ausweg</w:t>
      </w:r>
      <w:r>
        <w:t xml:space="preserve"> für die </w:t>
      </w:r>
      <w:r>
        <w:rPr>
          <w:rStyle w:val="Fett"/>
        </w:rPr>
        <w:t>unverschuldet</w:t>
      </w:r>
      <w:r>
        <w:t xml:space="preserve"> Verhinderten (Unreinheit durch Totenberührung ist </w:t>
      </w:r>
      <w:r>
        <w:rPr>
          <w:rStyle w:val="Fett"/>
        </w:rPr>
        <w:t>Pflicht</w:t>
      </w:r>
      <w:r>
        <w:t xml:space="preserve"> bei nahen Verwandten!)</w:t>
      </w:r>
    </w:p>
    <w:p w14:paraId="04AFBD06" w14:textId="77777777" w:rsidR="00300FB1" w:rsidRDefault="00300FB1" w:rsidP="00300FB1">
      <w:pPr>
        <w:pStyle w:val="whitespace-normal"/>
      </w:pPr>
      <w:r>
        <w:rPr>
          <w:rStyle w:val="Fett"/>
        </w:rPr>
        <w:t>Spätere halakhische Entwicklung:</w:t>
      </w:r>
    </w:p>
    <w:p w14:paraId="64F350E4" w14:textId="621650A8" w:rsidR="00300FB1" w:rsidRDefault="00300FB1" w:rsidP="00300FB1">
      <w:pPr>
        <w:pStyle w:val="whitespace-normal"/>
      </w:pPr>
      <w:r>
        <w:rPr>
          <w:rStyle w:val="Fett"/>
        </w:rPr>
        <w:t>Mischna Pesachim 9:</w:t>
      </w:r>
    </w:p>
    <w:p w14:paraId="65732021" w14:textId="4CD873C2" w:rsidR="00300FB1" w:rsidRDefault="00300FB1" w:rsidP="00300FB1">
      <w:pPr>
        <w:pStyle w:val="whitespace-normal"/>
        <w:numPr>
          <w:ilvl w:val="0"/>
          <w:numId w:val="77"/>
        </w:numPr>
      </w:pPr>
      <w:r>
        <w:t xml:space="preserve">Pesach Scheni gilt für </w:t>
      </w:r>
      <w:r>
        <w:rPr>
          <w:rStyle w:val="Fett"/>
          <w:rtl/>
        </w:rPr>
        <w:t>טְמֵא לָנֶפֶשׁ</w:t>
      </w:r>
      <w:r>
        <w:rPr>
          <w:rtl/>
        </w:rPr>
        <w:t xml:space="preserve"> </w:t>
      </w:r>
      <w:r>
        <w:t xml:space="preserve">(Unreine durch Leiche) und </w:t>
      </w:r>
      <w:r>
        <w:rPr>
          <w:rStyle w:val="Fett"/>
          <w:rtl/>
        </w:rPr>
        <w:t>בְּדֶרֶךְ רְחוֹקָה</w:t>
      </w:r>
      <w:r>
        <w:rPr>
          <w:rtl/>
        </w:rPr>
        <w:t xml:space="preserve"> </w:t>
      </w:r>
      <w:r>
        <w:t>(auf ferner Reise)</w:t>
      </w:r>
    </w:p>
    <w:p w14:paraId="0CA48202" w14:textId="77777777" w:rsidR="00300FB1" w:rsidRDefault="00300FB1" w:rsidP="00300FB1">
      <w:pPr>
        <w:pStyle w:val="whitespace-normal"/>
        <w:numPr>
          <w:ilvl w:val="0"/>
          <w:numId w:val="77"/>
        </w:numPr>
      </w:pPr>
      <w:r>
        <w:t xml:space="preserve">Definition von </w:t>
      </w:r>
      <w:r>
        <w:rPr>
          <w:rStyle w:val="Fett"/>
        </w:rPr>
        <w:t>"ferner Reise"</w:t>
      </w:r>
      <w:r>
        <w:t>: 15 Mil (ca. 25 km) von Jerusalem entfernt</w:t>
      </w:r>
    </w:p>
    <w:p w14:paraId="1E1C4F69" w14:textId="77777777" w:rsidR="00300FB1" w:rsidRDefault="00300FB1" w:rsidP="00300FB1">
      <w:pPr>
        <w:pStyle w:val="whitespace-normal"/>
        <w:numPr>
          <w:ilvl w:val="0"/>
          <w:numId w:val="77"/>
        </w:numPr>
      </w:pPr>
      <w:r>
        <w:rPr>
          <w:rStyle w:val="Fett"/>
        </w:rPr>
        <w:t>Kein Chametz-Verbot</w:t>
      </w:r>
      <w:r>
        <w:t xml:space="preserve"> am 14. Ijjar (nur am 14. Nisan!)</w:t>
      </w:r>
    </w:p>
    <w:p w14:paraId="3F1F29F7" w14:textId="203832FE" w:rsidR="00300FB1" w:rsidRDefault="00300FB1" w:rsidP="00300FB1">
      <w:pPr>
        <w:pStyle w:val="whitespace-normal"/>
        <w:numPr>
          <w:ilvl w:val="0"/>
          <w:numId w:val="77"/>
        </w:numPr>
      </w:pPr>
      <w:r>
        <w:rPr>
          <w:rStyle w:val="Fett"/>
        </w:rPr>
        <w:t>Hallel</w:t>
      </w:r>
      <w:r>
        <w:t xml:space="preserve"> wird beim Essen gesungen (wie am HauptPesach)</w:t>
      </w:r>
    </w:p>
    <w:p w14:paraId="2999B2C3" w14:textId="77777777" w:rsidR="00300FB1" w:rsidRDefault="00300FB1" w:rsidP="00300FB1">
      <w:pPr>
        <w:pStyle w:val="whitespace-normal"/>
      </w:pPr>
      <w:r>
        <w:rPr>
          <w:rStyle w:val="Fett"/>
        </w:rPr>
        <w:t>Theologische Bedeutung:</w:t>
      </w:r>
    </w:p>
    <w:p w14:paraId="086BA801" w14:textId="1C98904C" w:rsidR="00300FB1" w:rsidRDefault="00300FB1" w:rsidP="00300FB1">
      <w:pPr>
        <w:pStyle w:val="whitespace-normal"/>
        <w:numPr>
          <w:ilvl w:val="0"/>
          <w:numId w:val="78"/>
        </w:numPr>
      </w:pPr>
      <w:r>
        <w:rPr>
          <w:rStyle w:val="Fett"/>
        </w:rPr>
        <w:t>"Zweite Chance":</w:t>
      </w:r>
      <w:r>
        <w:t xml:space="preserve"> Pesach Scheni zeigt: Bei Gott gibt es </w:t>
      </w:r>
      <w:r>
        <w:rPr>
          <w:rStyle w:val="Fett"/>
        </w:rPr>
        <w:t>immer</w:t>
      </w:r>
      <w:r>
        <w:t xml:space="preserve"> eine zweite Chance für die </w:t>
      </w:r>
      <w:r>
        <w:rPr>
          <w:rStyle w:val="Fett"/>
        </w:rPr>
        <w:t>Aufrichtigen</w:t>
      </w:r>
    </w:p>
    <w:p w14:paraId="2518D494" w14:textId="77777777" w:rsidR="00300FB1" w:rsidRDefault="00300FB1" w:rsidP="00300FB1">
      <w:pPr>
        <w:pStyle w:val="whitespace-normal"/>
        <w:numPr>
          <w:ilvl w:val="0"/>
          <w:numId w:val="78"/>
        </w:numPr>
      </w:pPr>
      <w:r>
        <w:rPr>
          <w:rStyle w:val="Fett"/>
        </w:rPr>
        <w:t>Gerechtigkeit und Barmherzigkeit:</w:t>
      </w:r>
      <w:r>
        <w:t xml:space="preserve"> V. 13 (Strafe für </w:t>
      </w:r>
      <w:r>
        <w:rPr>
          <w:rStyle w:val="Fett"/>
        </w:rPr>
        <w:t>vorsätzliche</w:t>
      </w:r>
      <w:r>
        <w:t xml:space="preserve"> Verweigerung) + V. 10-12 (Ausweg für </w:t>
      </w:r>
      <w:r>
        <w:rPr>
          <w:rStyle w:val="Fett"/>
        </w:rPr>
        <w:t>unverschuldete</w:t>
      </w:r>
      <w:r>
        <w:t xml:space="preserve"> Verhinderung) zeigen die Balance</w:t>
      </w:r>
    </w:p>
    <w:p w14:paraId="449FFDAB" w14:textId="77777777" w:rsidR="00300FB1" w:rsidRDefault="00300FB1" w:rsidP="00300FB1">
      <w:pPr>
        <w:pStyle w:val="whitespace-normal"/>
        <w:numPr>
          <w:ilvl w:val="0"/>
          <w:numId w:val="78"/>
        </w:numPr>
      </w:pPr>
      <w:r>
        <w:rPr>
          <w:rStyle w:val="Fett"/>
        </w:rPr>
        <w:t>Inklusion statt Exklusion:</w:t>
      </w:r>
      <w:r>
        <w:t xml:space="preserve"> V. 14 (Fremde dürfen teilnehmen) betont: Gottes Bund ist </w:t>
      </w:r>
      <w:r>
        <w:rPr>
          <w:rStyle w:val="Fett"/>
        </w:rPr>
        <w:t>offen</w:t>
      </w:r>
      <w:r>
        <w:t xml:space="preserve"> für alle, die sich ihm </w:t>
      </w:r>
      <w:r>
        <w:rPr>
          <w:rStyle w:val="Fett"/>
        </w:rPr>
        <w:t>verpflichten</w:t>
      </w:r>
    </w:p>
    <w:p w14:paraId="48D36309" w14:textId="77777777" w:rsidR="00300FB1" w:rsidRDefault="00300FB1" w:rsidP="00300FB1">
      <w:pPr>
        <w:pStyle w:val="whitespace-normal"/>
      </w:pPr>
      <w:r>
        <w:rPr>
          <w:rStyle w:val="Fett"/>
        </w:rPr>
        <w:t>Messianische Dimension:</w:t>
      </w:r>
    </w:p>
    <w:p w14:paraId="708B28E8" w14:textId="0BA4308E" w:rsidR="00300FB1" w:rsidRDefault="00300FB1" w:rsidP="00300FB1">
      <w:pPr>
        <w:pStyle w:val="whitespace-normal"/>
      </w:pPr>
      <w:r>
        <w:rPr>
          <w:rStyle w:val="Fett"/>
        </w:rPr>
        <w:t>2 Chr 30:</w:t>
      </w:r>
      <w:r>
        <w:t xml:space="preserve"> König Hiskia feiert Pesach </w:t>
      </w:r>
      <w:r>
        <w:rPr>
          <w:rStyle w:val="Fett"/>
        </w:rPr>
        <w:t>im zweiten Monat</w:t>
      </w:r>
      <w:r>
        <w:t xml:space="preserve"> (V. 2-3), weil:</w:t>
      </w:r>
    </w:p>
    <w:p w14:paraId="25AD47EA" w14:textId="77777777" w:rsidR="00300FB1" w:rsidRDefault="00300FB1" w:rsidP="00300FB1">
      <w:pPr>
        <w:pStyle w:val="whitespace-normal"/>
        <w:numPr>
          <w:ilvl w:val="0"/>
          <w:numId w:val="79"/>
        </w:numPr>
      </w:pPr>
      <w:r>
        <w:t>Priester nicht rechtzeitig gereinigt</w:t>
      </w:r>
    </w:p>
    <w:p w14:paraId="03ACAAC3" w14:textId="77777777" w:rsidR="00300FB1" w:rsidRDefault="00300FB1" w:rsidP="00300FB1">
      <w:pPr>
        <w:pStyle w:val="whitespace-normal"/>
        <w:numPr>
          <w:ilvl w:val="0"/>
          <w:numId w:val="79"/>
        </w:numPr>
      </w:pPr>
      <w:r>
        <w:t>Volk nicht rechtzeitig versammelt</w:t>
      </w:r>
    </w:p>
    <w:p w14:paraId="227FB127" w14:textId="3CB30027" w:rsidR="00E136DC" w:rsidRPr="00315907" w:rsidRDefault="00300FB1" w:rsidP="00300FB1">
      <w:pPr>
        <w:pStyle w:val="whitespace-normal"/>
      </w:pPr>
      <w:r>
        <w:rPr>
          <w:rStyle w:val="Fett"/>
        </w:rPr>
        <w:t>→ Pesach Scheni als Modell für Umkehr und Erneuerung nach Abfall!</w:t>
      </w:r>
    </w:p>
    <w:p w14:paraId="0A593032" w14:textId="77777777" w:rsidR="00F253E0" w:rsidRPr="00F253E0" w:rsidRDefault="00F253E0" w:rsidP="00F253E0">
      <w:pPr>
        <w:spacing w:before="100" w:beforeAutospacing="1" w:after="100" w:afterAutospacing="1" w:line="240" w:lineRule="auto"/>
        <w:outlineLvl w:val="0"/>
        <w:rPr>
          <w:rFonts w:eastAsia="Times New Roman" w:cs="Times New Roman"/>
          <w:b/>
          <w:bCs/>
          <w:kern w:val="36"/>
          <w:sz w:val="48"/>
          <w:szCs w:val="48"/>
          <w:lang w:eastAsia="de-DE"/>
        </w:rPr>
      </w:pPr>
      <w:r w:rsidRPr="00F253E0">
        <w:rPr>
          <w:rFonts w:eastAsia="Times New Roman" w:cs="Times New Roman"/>
          <w:b/>
          <w:bCs/>
          <w:kern w:val="36"/>
          <w:sz w:val="48"/>
          <w:szCs w:val="48"/>
          <w:lang w:eastAsia="de-DE"/>
        </w:rPr>
        <w:lastRenderedPageBreak/>
        <w:t>Numeri 9,15</w:t>
      </w:r>
    </w:p>
    <w:p w14:paraId="1A9AA431"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Hebräisch:</w:t>
      </w:r>
      <w:r w:rsidRPr="00F253E0">
        <w:rPr>
          <w:rFonts w:eastAsia="Times New Roman" w:cs="Times New Roman"/>
          <w:lang w:eastAsia="de-DE"/>
        </w:rPr>
        <w:t xml:space="preserve"> </w:t>
      </w:r>
      <w:r w:rsidRPr="00F253E0">
        <w:rPr>
          <w:rFonts w:eastAsia="Times New Roman" w:cs="Times New Roman"/>
          <w:rtl/>
          <w:lang w:eastAsia="de-DE"/>
        </w:rPr>
        <w:t>וּבְיוֹם֙ הָקִ֣ים אֶת־הַמִּשְׁכָּ֔ן כִּסָּ֤ה הֶֽעָנָן֙ אֶת־הַמִּשְׁכָּ֔ן לְאֹ֖הֶל הָעֵדֻ֑ת וּבָעֶ֜רֶב יִהְיֶ֧ה עַֽל־הַמִּשְׁכָּ֛ן כְּמַרְאֵה־אֵ֖שׁ עַד־בֹּֽקֶר׃</w:t>
      </w:r>
    </w:p>
    <w:p w14:paraId="39999DDB"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Deutsch:</w:t>
      </w:r>
      <w:r w:rsidRPr="00F253E0">
        <w:rPr>
          <w:rFonts w:eastAsia="Times New Roman" w:cs="Times New Roman"/>
          <w:lang w:eastAsia="de-DE"/>
        </w:rPr>
        <w:t xml:space="preserve"> Und an dem Tag, da die Wohnung aufgerichtet wurde, bedeckte die Wolke die Wohnung, das Zelt des Zeugnisses; und am Abend war es über der Wohnung wie das Aussehen eines Feuers bis zum Morgen.</w:t>
      </w:r>
    </w:p>
    <w:p w14:paraId="55499AEC" w14:textId="77777777" w:rsidR="00F253E0" w:rsidRPr="00F253E0" w:rsidRDefault="00F329DD" w:rsidP="00F253E0">
      <w:pPr>
        <w:spacing w:after="0" w:line="240" w:lineRule="auto"/>
        <w:rPr>
          <w:rFonts w:eastAsia="Times New Roman" w:cs="Times New Roman"/>
          <w:lang w:eastAsia="de-DE"/>
        </w:rPr>
      </w:pPr>
      <w:r>
        <w:rPr>
          <w:rFonts w:eastAsia="Times New Roman" w:cs="Times New Roman"/>
          <w:noProof/>
          <w:lang w:eastAsia="de-DE"/>
        </w:rPr>
        <w:pict w14:anchorId="5E3070AF">
          <v:rect id="_x0000_i1335" style="width:0;height:1.5pt" o:hralign="center" o:hrstd="t" o:hr="t" fillcolor="#a0a0a0" stroked="f"/>
        </w:pict>
      </w:r>
    </w:p>
    <w:p w14:paraId="03C92AB4" w14:textId="339DAC70"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Kommentar:</w:t>
      </w:r>
      <w:r w:rsidRPr="00F253E0">
        <w:rPr>
          <w:rFonts w:eastAsia="Times New Roman" w:cs="Times New Roman"/>
          <w:lang w:eastAsia="de-DE"/>
        </w:rPr>
        <w:t xml:space="preserve"> Die temporale Bestimmung </w:t>
      </w:r>
      <w:r w:rsidRPr="00F253E0">
        <w:rPr>
          <w:rFonts w:eastAsia="Times New Roman" w:cs="Times New Roman"/>
          <w:b/>
          <w:bCs/>
          <w:rtl/>
          <w:lang w:eastAsia="de-DE"/>
        </w:rPr>
        <w:t>וּבְיוֹם הָקִים אֶת־הַמִּשְׁכָּן</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בְּיוֹם</w:t>
      </w:r>
      <w:r w:rsidRPr="00F253E0">
        <w:rPr>
          <w:rFonts w:eastAsia="Times New Roman" w:cs="Times New Roman"/>
          <w:rtl/>
          <w:lang w:eastAsia="de-DE"/>
        </w:rPr>
        <w:t xml:space="preserve"> </w:t>
      </w:r>
      <w:r w:rsidRPr="00F253E0">
        <w:rPr>
          <w:rFonts w:eastAsia="Times New Roman" w:cs="Times New Roman"/>
          <w:lang w:eastAsia="de-DE"/>
        </w:rPr>
        <w:t xml:space="preserve">(am Tag), </w:t>
      </w:r>
      <w:r w:rsidRPr="00F253E0">
        <w:rPr>
          <w:rFonts w:eastAsia="Times New Roman" w:cs="Times New Roman"/>
          <w:b/>
          <w:bCs/>
          <w:rtl/>
          <w:lang w:eastAsia="de-DE"/>
        </w:rPr>
        <w:t>הָקִים</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קום</w:t>
      </w:r>
      <w:r w:rsidRPr="00F253E0">
        <w:rPr>
          <w:rFonts w:eastAsia="Times New Roman" w:cs="Times New Roman"/>
          <w:rtl/>
          <w:lang w:eastAsia="de-DE"/>
        </w:rPr>
        <w:t xml:space="preserve"> </w:t>
      </w:r>
      <w:r w:rsidRPr="00F253E0">
        <w:rPr>
          <w:rFonts w:eastAsia="Times New Roman" w:cs="Times New Roman"/>
          <w:lang w:eastAsia="de-DE"/>
        </w:rPr>
        <w:t>(aufrichten) im Hiph'il-Infinitiv-</w:t>
      </w:r>
      <w:r w:rsidR="00F133EC">
        <w:rPr>
          <w:rFonts w:eastAsia="Times New Roman" w:cs="Times New Roman"/>
          <w:lang w:eastAsia="de-DE"/>
        </w:rPr>
        <w:t>Construct</w:t>
      </w:r>
      <w:r w:rsidRPr="00F253E0">
        <w:rPr>
          <w:rFonts w:eastAsia="Times New Roman" w:cs="Times New Roman"/>
          <w:lang w:eastAsia="de-DE"/>
        </w:rPr>
        <w:t xml:space="preserve"> und </w:t>
      </w:r>
      <w:r w:rsidRPr="00F253E0">
        <w:rPr>
          <w:rFonts w:eastAsia="Times New Roman" w:cs="Times New Roman"/>
          <w:b/>
          <w:bCs/>
          <w:rtl/>
          <w:lang w:eastAsia="de-DE"/>
        </w:rPr>
        <w:t>אֶת־הַמִּשְׁכָּן</w:t>
      </w:r>
      <w:r w:rsidRPr="00F253E0">
        <w:rPr>
          <w:rFonts w:eastAsia="Times New Roman" w:cs="Times New Roman"/>
          <w:rtl/>
          <w:lang w:eastAsia="de-DE"/>
        </w:rPr>
        <w:t xml:space="preserve"> </w:t>
      </w:r>
      <w:r w:rsidRPr="00F253E0">
        <w:rPr>
          <w:rFonts w:eastAsia="Times New Roman" w:cs="Times New Roman"/>
          <w:lang w:eastAsia="de-DE"/>
        </w:rPr>
        <w:t>(die Wohnung) verweist auf den Tag der Stiftshüttenaufrichtung (vgl. Exodus 40,17).</w:t>
      </w:r>
    </w:p>
    <w:p w14:paraId="5777DC22"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Das Verb </w:t>
      </w:r>
      <w:r w:rsidRPr="00F253E0">
        <w:rPr>
          <w:rFonts w:eastAsia="Times New Roman" w:cs="Times New Roman"/>
          <w:b/>
          <w:bCs/>
          <w:rtl/>
          <w:lang w:eastAsia="de-DE"/>
        </w:rPr>
        <w:t>כִּסָּה הֶעָנָן אֶת־הַמִּשְׁכָּן לְאֹהֶל הָעֵדֻת</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כִּסָּה</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כסה</w:t>
      </w:r>
      <w:r w:rsidRPr="00F253E0">
        <w:rPr>
          <w:rFonts w:eastAsia="Times New Roman" w:cs="Times New Roman"/>
          <w:rtl/>
          <w:lang w:eastAsia="de-DE"/>
        </w:rPr>
        <w:t xml:space="preserve"> </w:t>
      </w:r>
      <w:r w:rsidRPr="00F253E0">
        <w:rPr>
          <w:rFonts w:eastAsia="Times New Roman" w:cs="Times New Roman"/>
          <w:lang w:eastAsia="de-DE"/>
        </w:rPr>
        <w:t xml:space="preserve">(bedecken) im Pi'el-Perfekt 3. maskulin Singular, </w:t>
      </w:r>
      <w:r w:rsidRPr="00F253E0">
        <w:rPr>
          <w:rFonts w:eastAsia="Times New Roman" w:cs="Times New Roman"/>
          <w:b/>
          <w:bCs/>
          <w:rtl/>
          <w:lang w:eastAsia="de-DE"/>
        </w:rPr>
        <w:t>הֶעָנָן</w:t>
      </w:r>
      <w:r w:rsidRPr="00F253E0">
        <w:rPr>
          <w:rFonts w:eastAsia="Times New Roman" w:cs="Times New Roman"/>
          <w:rtl/>
          <w:lang w:eastAsia="de-DE"/>
        </w:rPr>
        <w:t xml:space="preserve"> </w:t>
      </w:r>
      <w:r w:rsidRPr="00F253E0">
        <w:rPr>
          <w:rFonts w:eastAsia="Times New Roman" w:cs="Times New Roman"/>
          <w:lang w:eastAsia="de-DE"/>
        </w:rPr>
        <w:t xml:space="preserve">(die Wolke) als Subjekt und der appositiven Bestimmung </w:t>
      </w:r>
      <w:r w:rsidRPr="00F253E0">
        <w:rPr>
          <w:rFonts w:eastAsia="Times New Roman" w:cs="Times New Roman"/>
          <w:b/>
          <w:bCs/>
          <w:rtl/>
          <w:lang w:eastAsia="de-DE"/>
        </w:rPr>
        <w:t>לְאֹהֶל הָעֵדֻת</w:t>
      </w:r>
      <w:r w:rsidRPr="00F253E0">
        <w:rPr>
          <w:rFonts w:eastAsia="Times New Roman" w:cs="Times New Roman"/>
          <w:rtl/>
          <w:lang w:eastAsia="de-DE"/>
        </w:rPr>
        <w:t xml:space="preserve"> </w:t>
      </w:r>
      <w:r w:rsidRPr="00F253E0">
        <w:rPr>
          <w:rFonts w:eastAsia="Times New Roman" w:cs="Times New Roman"/>
          <w:lang w:eastAsia="de-DE"/>
        </w:rPr>
        <w:t>(das Zelt des Zeugnisses) zeigt die göttliche Inbesitznahme der Stiftshütte.</w:t>
      </w:r>
    </w:p>
    <w:p w14:paraId="2C44ECA7"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nächtliche Transformation </w:t>
      </w:r>
      <w:r w:rsidRPr="00F253E0">
        <w:rPr>
          <w:rFonts w:eastAsia="Times New Roman" w:cs="Times New Roman"/>
          <w:b/>
          <w:bCs/>
          <w:rtl/>
          <w:lang w:eastAsia="de-DE"/>
        </w:rPr>
        <w:t>וּבָעֶרֶב יִהְיֶה עַל־הַמִּשְׁכָּן כְּמַרְאֵה־אֵשׁ עַד־בֹּקֶר</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בָעֶרֶב</w:t>
      </w:r>
      <w:r w:rsidRPr="00F253E0">
        <w:rPr>
          <w:rFonts w:eastAsia="Times New Roman" w:cs="Times New Roman"/>
          <w:rtl/>
          <w:lang w:eastAsia="de-DE"/>
        </w:rPr>
        <w:t xml:space="preserve"> </w:t>
      </w:r>
      <w:r w:rsidRPr="00F253E0">
        <w:rPr>
          <w:rFonts w:eastAsia="Times New Roman" w:cs="Times New Roman"/>
          <w:lang w:eastAsia="de-DE"/>
        </w:rPr>
        <w:t xml:space="preserve">(am Abend), </w:t>
      </w:r>
      <w:r w:rsidRPr="00F253E0">
        <w:rPr>
          <w:rFonts w:eastAsia="Times New Roman" w:cs="Times New Roman"/>
          <w:b/>
          <w:bCs/>
          <w:rtl/>
          <w:lang w:eastAsia="de-DE"/>
        </w:rPr>
        <w:t>יִהְיֶה</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היה</w:t>
      </w:r>
      <w:r w:rsidRPr="00F253E0">
        <w:rPr>
          <w:rFonts w:eastAsia="Times New Roman" w:cs="Times New Roman"/>
          <w:rtl/>
          <w:lang w:eastAsia="de-DE"/>
        </w:rPr>
        <w:t xml:space="preserve"> </w:t>
      </w:r>
      <w:r w:rsidRPr="00F253E0">
        <w:rPr>
          <w:rFonts w:eastAsia="Times New Roman" w:cs="Times New Roman"/>
          <w:lang w:eastAsia="de-DE"/>
        </w:rPr>
        <w:t xml:space="preserve">(sein), </w:t>
      </w:r>
      <w:r w:rsidRPr="00F253E0">
        <w:rPr>
          <w:rFonts w:eastAsia="Times New Roman" w:cs="Times New Roman"/>
          <w:b/>
          <w:bCs/>
          <w:rtl/>
          <w:lang w:eastAsia="de-DE"/>
        </w:rPr>
        <w:t>כְּמַרְאֵה־אֵשׁ</w:t>
      </w:r>
      <w:r w:rsidRPr="00F253E0">
        <w:rPr>
          <w:rFonts w:eastAsia="Times New Roman" w:cs="Times New Roman"/>
          <w:rtl/>
          <w:lang w:eastAsia="de-DE"/>
        </w:rPr>
        <w:t xml:space="preserve"> </w:t>
      </w:r>
      <w:r w:rsidRPr="00F253E0">
        <w:rPr>
          <w:rFonts w:eastAsia="Times New Roman" w:cs="Times New Roman"/>
          <w:lang w:eastAsia="de-DE"/>
        </w:rPr>
        <w:t xml:space="preserve">(wie das Aussehen eines Feuers) und </w:t>
      </w:r>
      <w:r w:rsidRPr="00F253E0">
        <w:rPr>
          <w:rFonts w:eastAsia="Times New Roman" w:cs="Times New Roman"/>
          <w:b/>
          <w:bCs/>
          <w:rtl/>
          <w:lang w:eastAsia="de-DE"/>
        </w:rPr>
        <w:t>עַד־בֹּקֶר</w:t>
      </w:r>
      <w:r w:rsidRPr="00F253E0">
        <w:rPr>
          <w:rFonts w:eastAsia="Times New Roman" w:cs="Times New Roman"/>
          <w:rtl/>
          <w:lang w:eastAsia="de-DE"/>
        </w:rPr>
        <w:t xml:space="preserve"> </w:t>
      </w:r>
      <w:r w:rsidRPr="00F253E0">
        <w:rPr>
          <w:rFonts w:eastAsia="Times New Roman" w:cs="Times New Roman"/>
          <w:lang w:eastAsia="de-DE"/>
        </w:rPr>
        <w:t>(bis zum Morgen) zeigt die nächtliche Feuererscheinung der göttlichen Präsenz.</w:t>
      </w:r>
    </w:p>
    <w:p w14:paraId="67A4D526" w14:textId="77777777" w:rsidR="004D44DE" w:rsidRDefault="004D44DE" w:rsidP="00F253E0">
      <w:pPr>
        <w:spacing w:before="100" w:beforeAutospacing="1" w:after="100" w:afterAutospacing="1" w:line="240" w:lineRule="auto"/>
      </w:pPr>
      <w:r>
        <w:rPr>
          <w:rStyle w:val="Fett"/>
        </w:rPr>
        <w:t>Die LXX</w:t>
      </w:r>
      <w:r>
        <w:t xml:space="preserve"> übersetzt </w:t>
      </w:r>
      <w:r w:rsidRPr="004D44DE">
        <w:rPr>
          <w:b/>
          <w:bCs/>
          <w:rtl/>
        </w:rPr>
        <w:t>ביום הקים את־המשכן</w:t>
      </w:r>
      <w:r>
        <w:t xml:space="preserve"> (beyom haqim et-hammishkan - "am Tag, als man die Wohnstätte aufrichtete") als τῇ ἡμέρᾳ, ᾗ ἐστάθη ἡ σκηνή (am Tag, an dem das Zelt aufgerichtet wurde). </w:t>
      </w:r>
      <w:r w:rsidRPr="004D44DE">
        <w:rPr>
          <w:b/>
          <w:bCs/>
          <w:rtl/>
        </w:rPr>
        <w:t>כמראה־אש</w:t>
      </w:r>
      <w:r>
        <w:t xml:space="preserve"> (kemarʼeh-esh - "wie das Aussehen von Feuer") wird als ὡς εἶδος πυρός (wie die Gestalt von Feuer) übersetzt.</w:t>
      </w:r>
    </w:p>
    <w:p w14:paraId="4E96033E" w14:textId="7FEAA40F"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 Satzstruktur zeigt eine temporale Verknüpfung mit der Stiftshüttenaufrichtung, göttliche Inbesitznahme durch die Wolke und nächtliche Feuertransformation.</w:t>
      </w:r>
    </w:p>
    <w:p w14:paraId="6C0751D7" w14:textId="25F3CEBB"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Dieser Vers leitet den thematischen Übergang von </w:t>
      </w:r>
      <w:r w:rsidR="00E136DC">
        <w:rPr>
          <w:rFonts w:eastAsia="Times New Roman" w:cs="Times New Roman"/>
          <w:lang w:eastAsia="de-DE"/>
        </w:rPr>
        <w:t>Pesach</w:t>
      </w:r>
      <w:r w:rsidRPr="00F253E0">
        <w:rPr>
          <w:rFonts w:eastAsia="Times New Roman" w:cs="Times New Roman"/>
          <w:lang w:eastAsia="de-DE"/>
        </w:rPr>
        <w:t>-Bestimmungen zur göttlichen Führung durch Wolken- und Feuersäule ein.</w:t>
      </w:r>
    </w:p>
    <w:p w14:paraId="6FDB89A8" w14:textId="77777777" w:rsidR="00F253E0" w:rsidRPr="00F253E0" w:rsidRDefault="00F253E0" w:rsidP="00F253E0">
      <w:pPr>
        <w:spacing w:before="100" w:beforeAutospacing="1" w:after="100" w:afterAutospacing="1" w:line="240" w:lineRule="auto"/>
        <w:outlineLvl w:val="0"/>
        <w:rPr>
          <w:rFonts w:eastAsia="Times New Roman" w:cs="Times New Roman"/>
          <w:b/>
          <w:bCs/>
          <w:kern w:val="36"/>
          <w:sz w:val="48"/>
          <w:szCs w:val="48"/>
          <w:lang w:eastAsia="de-DE"/>
        </w:rPr>
      </w:pPr>
      <w:r w:rsidRPr="00F253E0">
        <w:rPr>
          <w:rFonts w:eastAsia="Times New Roman" w:cs="Times New Roman"/>
          <w:b/>
          <w:bCs/>
          <w:kern w:val="36"/>
          <w:sz w:val="48"/>
          <w:szCs w:val="48"/>
          <w:lang w:eastAsia="de-DE"/>
        </w:rPr>
        <w:t>Numeri 9,16</w:t>
      </w:r>
    </w:p>
    <w:p w14:paraId="543CE93E"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Hebräisch:</w:t>
      </w:r>
      <w:r w:rsidRPr="00F253E0">
        <w:rPr>
          <w:rFonts w:eastAsia="Times New Roman" w:cs="Times New Roman"/>
          <w:lang w:eastAsia="de-DE"/>
        </w:rPr>
        <w:t xml:space="preserve"> </w:t>
      </w:r>
      <w:r w:rsidRPr="00F253E0">
        <w:rPr>
          <w:rFonts w:eastAsia="Times New Roman" w:cs="Times New Roman"/>
          <w:rtl/>
          <w:lang w:eastAsia="de-DE"/>
        </w:rPr>
        <w:t>כֵּ֚ן יִהְיֶ֣ה תָמִ֔יד הֶעָנָ֖ן יְכַסֶּ֑נּוּ וּמַרְאֵה־אֵ֖שׁ לָֽיְלָה׃</w:t>
      </w:r>
    </w:p>
    <w:p w14:paraId="3FCCC910"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Deutsch:</w:t>
      </w:r>
      <w:r w:rsidRPr="00F253E0">
        <w:rPr>
          <w:rFonts w:eastAsia="Times New Roman" w:cs="Times New Roman"/>
          <w:lang w:eastAsia="de-DE"/>
        </w:rPr>
        <w:t xml:space="preserve"> So war es beständig: Die Wolke bedeckte sie des Tages, und das Aussehen eines Feuers bei Nacht.</w:t>
      </w:r>
    </w:p>
    <w:p w14:paraId="2E4A46FA" w14:textId="77777777" w:rsidR="00F253E0" w:rsidRPr="00F253E0" w:rsidRDefault="00F329DD" w:rsidP="00F253E0">
      <w:pPr>
        <w:spacing w:after="0" w:line="240" w:lineRule="auto"/>
        <w:rPr>
          <w:rFonts w:eastAsia="Times New Roman" w:cs="Times New Roman"/>
          <w:lang w:eastAsia="de-DE"/>
        </w:rPr>
      </w:pPr>
      <w:r>
        <w:rPr>
          <w:rFonts w:eastAsia="Times New Roman" w:cs="Times New Roman"/>
          <w:noProof/>
          <w:lang w:eastAsia="de-DE"/>
        </w:rPr>
        <w:pict w14:anchorId="035FDC5E">
          <v:rect id="_x0000_i1336" style="width:0;height:1.5pt" o:hralign="center" o:hrstd="t" o:hr="t" fillcolor="#a0a0a0" stroked="f"/>
        </w:pict>
      </w:r>
    </w:p>
    <w:p w14:paraId="7291A854"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Kommentar:</w:t>
      </w:r>
      <w:r w:rsidRPr="00F253E0">
        <w:rPr>
          <w:rFonts w:eastAsia="Times New Roman" w:cs="Times New Roman"/>
          <w:lang w:eastAsia="de-DE"/>
        </w:rPr>
        <w:t xml:space="preserve"> Das einleitende </w:t>
      </w:r>
      <w:r w:rsidRPr="00F253E0">
        <w:rPr>
          <w:rFonts w:eastAsia="Times New Roman" w:cs="Times New Roman"/>
          <w:b/>
          <w:bCs/>
          <w:rtl/>
          <w:lang w:eastAsia="de-DE"/>
        </w:rPr>
        <w:t>כֵּן יִהְיֶה תָמִיד</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כֵּן</w:t>
      </w:r>
      <w:r w:rsidRPr="00F253E0">
        <w:rPr>
          <w:rFonts w:eastAsia="Times New Roman" w:cs="Times New Roman"/>
          <w:rtl/>
          <w:lang w:eastAsia="de-DE"/>
        </w:rPr>
        <w:t xml:space="preserve"> </w:t>
      </w:r>
      <w:r w:rsidRPr="00F253E0">
        <w:rPr>
          <w:rFonts w:eastAsia="Times New Roman" w:cs="Times New Roman"/>
          <w:lang w:eastAsia="de-DE"/>
        </w:rPr>
        <w:t xml:space="preserve">(so), </w:t>
      </w:r>
      <w:r w:rsidRPr="00F253E0">
        <w:rPr>
          <w:rFonts w:eastAsia="Times New Roman" w:cs="Times New Roman"/>
          <w:b/>
          <w:bCs/>
          <w:rtl/>
          <w:lang w:eastAsia="de-DE"/>
        </w:rPr>
        <w:t>יִהְיֶה</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היה</w:t>
      </w:r>
      <w:r w:rsidRPr="00F253E0">
        <w:rPr>
          <w:rFonts w:eastAsia="Times New Roman" w:cs="Times New Roman"/>
          <w:rtl/>
          <w:lang w:eastAsia="de-DE"/>
        </w:rPr>
        <w:t xml:space="preserve"> </w:t>
      </w:r>
      <w:r w:rsidRPr="00F253E0">
        <w:rPr>
          <w:rFonts w:eastAsia="Times New Roman" w:cs="Times New Roman"/>
          <w:lang w:eastAsia="de-DE"/>
        </w:rPr>
        <w:t xml:space="preserve">(sein) und </w:t>
      </w:r>
      <w:r w:rsidRPr="00F253E0">
        <w:rPr>
          <w:rFonts w:eastAsia="Times New Roman" w:cs="Times New Roman"/>
          <w:b/>
          <w:bCs/>
          <w:rtl/>
          <w:lang w:eastAsia="de-DE"/>
        </w:rPr>
        <w:t>תָמִיד</w:t>
      </w:r>
      <w:r w:rsidRPr="00F253E0">
        <w:rPr>
          <w:rFonts w:eastAsia="Times New Roman" w:cs="Times New Roman"/>
          <w:rtl/>
          <w:lang w:eastAsia="de-DE"/>
        </w:rPr>
        <w:t xml:space="preserve"> </w:t>
      </w:r>
      <w:r w:rsidRPr="00F253E0">
        <w:rPr>
          <w:rFonts w:eastAsia="Times New Roman" w:cs="Times New Roman"/>
          <w:lang w:eastAsia="de-DE"/>
        </w:rPr>
        <w:t>(beständig/immer) etabliert die Kontinuität des Phänomens.</w:t>
      </w:r>
    </w:p>
    <w:p w14:paraId="58F3919B"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lastRenderedPageBreak/>
        <w:t xml:space="preserve">Die tägliche Bedeckung </w:t>
      </w:r>
      <w:r w:rsidRPr="00F253E0">
        <w:rPr>
          <w:rFonts w:eastAsia="Times New Roman" w:cs="Times New Roman"/>
          <w:b/>
          <w:bCs/>
          <w:rtl/>
          <w:lang w:eastAsia="de-DE"/>
        </w:rPr>
        <w:t>הֶעָנָן יְכַסֶּנּוּ</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הֶעָנָן</w:t>
      </w:r>
      <w:r w:rsidRPr="00F253E0">
        <w:rPr>
          <w:rFonts w:eastAsia="Times New Roman" w:cs="Times New Roman"/>
          <w:rtl/>
          <w:lang w:eastAsia="de-DE"/>
        </w:rPr>
        <w:t xml:space="preserve"> </w:t>
      </w:r>
      <w:r w:rsidRPr="00F253E0">
        <w:rPr>
          <w:rFonts w:eastAsia="Times New Roman" w:cs="Times New Roman"/>
          <w:lang w:eastAsia="de-DE"/>
        </w:rPr>
        <w:t xml:space="preserve">(die Wolke) als Subjekt und </w:t>
      </w:r>
      <w:r w:rsidRPr="00F253E0">
        <w:rPr>
          <w:rFonts w:eastAsia="Times New Roman" w:cs="Times New Roman"/>
          <w:b/>
          <w:bCs/>
          <w:rtl/>
          <w:lang w:eastAsia="de-DE"/>
        </w:rPr>
        <w:t>יְכַסֶּנּוּ</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כסה</w:t>
      </w:r>
      <w:r w:rsidRPr="00F253E0">
        <w:rPr>
          <w:rFonts w:eastAsia="Times New Roman" w:cs="Times New Roman"/>
          <w:rtl/>
          <w:lang w:eastAsia="de-DE"/>
        </w:rPr>
        <w:t xml:space="preserve"> </w:t>
      </w:r>
      <w:r w:rsidRPr="00F253E0">
        <w:rPr>
          <w:rFonts w:eastAsia="Times New Roman" w:cs="Times New Roman"/>
          <w:lang w:eastAsia="de-DE"/>
        </w:rPr>
        <w:t>(bedecken) im Pi'el-Imperfekt 3. maskulin Singular mit Objektsuffix 3. maskulin Singular zeigt die permanente göttliche Präsenz.</w:t>
      </w:r>
    </w:p>
    <w:p w14:paraId="1325C127"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nächtliche Erscheinung </w:t>
      </w:r>
      <w:r w:rsidRPr="00F253E0">
        <w:rPr>
          <w:rFonts w:eastAsia="Times New Roman" w:cs="Times New Roman"/>
          <w:b/>
          <w:bCs/>
          <w:rtl/>
          <w:lang w:eastAsia="de-DE"/>
        </w:rPr>
        <w:t>וּמַרְאֵה־אֵשׁ לָיְלָה</w:t>
      </w:r>
      <w:r w:rsidRPr="00F253E0">
        <w:rPr>
          <w:rFonts w:eastAsia="Times New Roman" w:cs="Times New Roman"/>
          <w:rtl/>
          <w:lang w:eastAsia="de-DE"/>
        </w:rPr>
        <w:t xml:space="preserve"> </w:t>
      </w:r>
      <w:r w:rsidRPr="00F253E0">
        <w:rPr>
          <w:rFonts w:eastAsia="Times New Roman" w:cs="Times New Roman"/>
          <w:lang w:eastAsia="de-DE"/>
        </w:rPr>
        <w:t xml:space="preserve">(und das Aussehen von Feuer bei Nacht) mit </w:t>
      </w:r>
      <w:r w:rsidRPr="00F253E0">
        <w:rPr>
          <w:rFonts w:eastAsia="Times New Roman" w:cs="Times New Roman"/>
          <w:b/>
          <w:bCs/>
          <w:rtl/>
          <w:lang w:eastAsia="de-DE"/>
        </w:rPr>
        <w:t>מַרְאֵה־אֵשׁ</w:t>
      </w:r>
      <w:r w:rsidRPr="00F253E0">
        <w:rPr>
          <w:rFonts w:eastAsia="Times New Roman" w:cs="Times New Roman"/>
          <w:rtl/>
          <w:lang w:eastAsia="de-DE"/>
        </w:rPr>
        <w:t xml:space="preserve"> </w:t>
      </w:r>
      <w:r w:rsidRPr="00F253E0">
        <w:rPr>
          <w:rFonts w:eastAsia="Times New Roman" w:cs="Times New Roman"/>
          <w:lang w:eastAsia="de-DE"/>
        </w:rPr>
        <w:t xml:space="preserve">(Aussehen von Feuer) und </w:t>
      </w:r>
      <w:r w:rsidRPr="00F253E0">
        <w:rPr>
          <w:rFonts w:eastAsia="Times New Roman" w:cs="Times New Roman"/>
          <w:b/>
          <w:bCs/>
          <w:rtl/>
          <w:lang w:eastAsia="de-DE"/>
        </w:rPr>
        <w:t>לָיְלָה</w:t>
      </w:r>
      <w:r w:rsidRPr="00F253E0">
        <w:rPr>
          <w:rFonts w:eastAsia="Times New Roman" w:cs="Times New Roman"/>
          <w:rtl/>
          <w:lang w:eastAsia="de-DE"/>
        </w:rPr>
        <w:t xml:space="preserve"> </w:t>
      </w:r>
      <w:r w:rsidRPr="00F253E0">
        <w:rPr>
          <w:rFonts w:eastAsia="Times New Roman" w:cs="Times New Roman"/>
          <w:lang w:eastAsia="de-DE"/>
        </w:rPr>
        <w:t>(bei Nacht) zeigt die regelmäßige nächtliche Transformation.</w:t>
      </w:r>
    </w:p>
    <w:p w14:paraId="2A6FA07A"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Die LXX</w:t>
      </w:r>
      <w:r w:rsidRPr="00F253E0">
        <w:rPr>
          <w:rFonts w:eastAsia="Times New Roman" w:cs="Times New Roman"/>
          <w:lang w:eastAsia="de-DE"/>
        </w:rPr>
        <w:t xml:space="preserve"> übersetzt </w:t>
      </w:r>
      <w:r w:rsidRPr="00F253E0">
        <w:rPr>
          <w:rFonts w:eastAsia="Times New Roman" w:cs="Times New Roman"/>
          <w:b/>
          <w:bCs/>
          <w:rtl/>
          <w:lang w:eastAsia="de-DE"/>
        </w:rPr>
        <w:t>תָמִיד</w:t>
      </w:r>
      <w:r w:rsidRPr="00F253E0">
        <w:rPr>
          <w:rFonts w:eastAsia="Times New Roman" w:cs="Times New Roman"/>
          <w:rtl/>
          <w:lang w:eastAsia="de-DE"/>
        </w:rPr>
        <w:t xml:space="preserve"> </w:t>
      </w:r>
      <w:r w:rsidRPr="00F253E0">
        <w:rPr>
          <w:rFonts w:eastAsia="Times New Roman" w:cs="Times New Roman"/>
          <w:lang w:eastAsia="de-DE"/>
        </w:rPr>
        <w:t xml:space="preserve">mit διὰ παντός (fortwährend) und </w:t>
      </w:r>
      <w:r w:rsidRPr="00F253E0">
        <w:rPr>
          <w:rFonts w:eastAsia="Times New Roman" w:cs="Times New Roman"/>
          <w:b/>
          <w:bCs/>
          <w:rtl/>
          <w:lang w:eastAsia="de-DE"/>
        </w:rPr>
        <w:t>לָיְלָה</w:t>
      </w:r>
      <w:r w:rsidRPr="00F253E0">
        <w:rPr>
          <w:rFonts w:eastAsia="Times New Roman" w:cs="Times New Roman"/>
          <w:rtl/>
          <w:lang w:eastAsia="de-DE"/>
        </w:rPr>
        <w:t xml:space="preserve"> </w:t>
      </w:r>
      <w:r w:rsidRPr="00F253E0">
        <w:rPr>
          <w:rFonts w:eastAsia="Times New Roman" w:cs="Times New Roman"/>
          <w:lang w:eastAsia="de-DE"/>
        </w:rPr>
        <w:t>mit τὴν νύκτα (in der Nacht).</w:t>
      </w:r>
    </w:p>
    <w:p w14:paraId="176C41B6"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 Satzstruktur zeigt eine zusammenfassende Kontinuitätserklärung mit täglicher und nächtlicher Spezifikation.</w:t>
      </w:r>
    </w:p>
    <w:p w14:paraId="2F21B158"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Dieser Vers etabliert das regelmäßige Muster der göttlichen Präsenzzeichen: Wolke am Tag, Feuer bei Nacht.</w:t>
      </w:r>
    </w:p>
    <w:p w14:paraId="3A9D48B9" w14:textId="77777777" w:rsidR="00F253E0" w:rsidRPr="00F253E0" w:rsidRDefault="00F253E0" w:rsidP="00F253E0">
      <w:pPr>
        <w:spacing w:before="100" w:beforeAutospacing="1" w:after="100" w:afterAutospacing="1" w:line="240" w:lineRule="auto"/>
        <w:outlineLvl w:val="0"/>
        <w:rPr>
          <w:rFonts w:eastAsia="Times New Roman" w:cs="Times New Roman"/>
          <w:b/>
          <w:bCs/>
          <w:kern w:val="36"/>
          <w:sz w:val="48"/>
          <w:szCs w:val="48"/>
          <w:lang w:eastAsia="de-DE"/>
        </w:rPr>
      </w:pPr>
      <w:r w:rsidRPr="00F253E0">
        <w:rPr>
          <w:rFonts w:eastAsia="Times New Roman" w:cs="Times New Roman"/>
          <w:b/>
          <w:bCs/>
          <w:kern w:val="36"/>
          <w:sz w:val="48"/>
          <w:szCs w:val="48"/>
          <w:lang w:eastAsia="de-DE"/>
        </w:rPr>
        <w:t>Numeri 9,17</w:t>
      </w:r>
    </w:p>
    <w:p w14:paraId="3EFBAD2F"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Hebräisch:</w:t>
      </w:r>
      <w:r w:rsidRPr="00F253E0">
        <w:rPr>
          <w:rFonts w:eastAsia="Times New Roman" w:cs="Times New Roman"/>
          <w:lang w:eastAsia="de-DE"/>
        </w:rPr>
        <w:t xml:space="preserve"> </w:t>
      </w:r>
      <w:r w:rsidRPr="00F253E0">
        <w:rPr>
          <w:rFonts w:eastAsia="Times New Roman" w:cs="Times New Roman"/>
          <w:rtl/>
          <w:lang w:eastAsia="de-DE"/>
        </w:rPr>
        <w:t>וּלְפִ֞י הֵעָלֹ֤ת הֶֽעָנָן֙ מֵעַ֣ל הָאֹ֔הֶל וְאַ֣חֲרֵי־כֵ֔ן יִסְע֖וּ בְּנֵ֣י יִשְׂרָאֵ֑ל וּבִמְק֗וֹם אֲשֶׁ֤ר יִשְׁכָּן־שָׁם֙ הֶֽעָנָ֔ן שָׁ֥ם יַחֲנ֖וּ בְּנֵ֥י יִשְׂרָאֵֽל׃</w:t>
      </w:r>
    </w:p>
    <w:p w14:paraId="582FC4F5"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Deutsch:</w:t>
      </w:r>
      <w:r w:rsidRPr="00F253E0">
        <w:rPr>
          <w:rFonts w:eastAsia="Times New Roman" w:cs="Times New Roman"/>
          <w:lang w:eastAsia="de-DE"/>
        </w:rPr>
        <w:t xml:space="preserve"> Und sooft sich die Wolke von dem Zelt erhob, brachen danach die Söhne Jisra'el auf; und an dem Ort, wo die Wolke sich niederließ, dort lagerten die Söhne Jisra'el.</w:t>
      </w:r>
    </w:p>
    <w:p w14:paraId="3BA3BF86" w14:textId="77777777" w:rsidR="00F253E0" w:rsidRPr="00F253E0" w:rsidRDefault="00F329DD" w:rsidP="00F253E0">
      <w:pPr>
        <w:spacing w:after="0" w:line="240" w:lineRule="auto"/>
        <w:rPr>
          <w:rFonts w:eastAsia="Times New Roman" w:cs="Times New Roman"/>
          <w:lang w:eastAsia="de-DE"/>
        </w:rPr>
      </w:pPr>
      <w:r>
        <w:rPr>
          <w:rFonts w:eastAsia="Times New Roman" w:cs="Times New Roman"/>
          <w:noProof/>
          <w:lang w:eastAsia="de-DE"/>
        </w:rPr>
        <w:pict w14:anchorId="0F95C01E">
          <v:rect id="_x0000_i1337" style="width:0;height:1.5pt" o:hralign="center" o:hrstd="t" o:hr="t" fillcolor="#a0a0a0" stroked="f"/>
        </w:pict>
      </w:r>
    </w:p>
    <w:p w14:paraId="13F74D53" w14:textId="1C012681"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Kommentar:</w:t>
      </w:r>
      <w:r w:rsidRPr="00F253E0">
        <w:rPr>
          <w:rFonts w:eastAsia="Times New Roman" w:cs="Times New Roman"/>
          <w:lang w:eastAsia="de-DE"/>
        </w:rPr>
        <w:t xml:space="preserve"> Die temporale Bestimmung </w:t>
      </w:r>
      <w:r w:rsidRPr="00F253E0">
        <w:rPr>
          <w:rFonts w:eastAsia="Times New Roman" w:cs="Times New Roman"/>
          <w:b/>
          <w:bCs/>
          <w:rtl/>
          <w:lang w:eastAsia="de-DE"/>
        </w:rPr>
        <w:t>וּלְפִי הֵעָלֹת הֶעָנָן מֵעַל הָאֹהֶל</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לְפִי</w:t>
      </w:r>
      <w:r w:rsidRPr="00F253E0">
        <w:rPr>
          <w:rFonts w:eastAsia="Times New Roman" w:cs="Times New Roman"/>
          <w:rtl/>
          <w:lang w:eastAsia="de-DE"/>
        </w:rPr>
        <w:t xml:space="preserve"> </w:t>
      </w:r>
      <w:r w:rsidRPr="00F253E0">
        <w:rPr>
          <w:rFonts w:eastAsia="Times New Roman" w:cs="Times New Roman"/>
          <w:lang w:eastAsia="de-DE"/>
        </w:rPr>
        <w:t xml:space="preserve">(entsprechend/sooft), </w:t>
      </w:r>
      <w:r w:rsidRPr="00F253E0">
        <w:rPr>
          <w:rFonts w:eastAsia="Times New Roman" w:cs="Times New Roman"/>
          <w:b/>
          <w:bCs/>
          <w:rtl/>
          <w:lang w:eastAsia="de-DE"/>
        </w:rPr>
        <w:t>הֵעָלֹת</w:t>
      </w:r>
      <w:r w:rsidRPr="00F253E0">
        <w:rPr>
          <w:rFonts w:eastAsia="Times New Roman" w:cs="Times New Roman"/>
          <w:rtl/>
          <w:lang w:eastAsia="de-DE"/>
        </w:rPr>
        <w:t xml:space="preserve"> </w:t>
      </w:r>
      <w:r w:rsidRPr="00F253E0">
        <w:rPr>
          <w:rFonts w:eastAsia="Times New Roman" w:cs="Times New Roman"/>
          <w:lang w:eastAsia="de-DE"/>
        </w:rPr>
        <w:t>als Niph'al-Infinitiv-</w:t>
      </w:r>
      <w:r w:rsidR="00F133EC">
        <w:rPr>
          <w:rFonts w:eastAsia="Times New Roman" w:cs="Times New Roman"/>
          <w:lang w:eastAsia="de-DE"/>
        </w:rPr>
        <w:t>Construct</w:t>
      </w:r>
      <w:r w:rsidRPr="00F253E0">
        <w:rPr>
          <w:rFonts w:eastAsia="Times New Roman" w:cs="Times New Roman"/>
          <w:lang w:eastAsia="de-DE"/>
        </w:rPr>
        <w:t xml:space="preserve"> von </w:t>
      </w:r>
      <w:r w:rsidRPr="00F253E0">
        <w:rPr>
          <w:rFonts w:eastAsia="Times New Roman" w:cs="Times New Roman"/>
          <w:b/>
          <w:bCs/>
          <w:rtl/>
          <w:lang w:eastAsia="de-DE"/>
        </w:rPr>
        <w:t>עלה</w:t>
      </w:r>
      <w:r w:rsidRPr="00F253E0">
        <w:rPr>
          <w:rFonts w:eastAsia="Times New Roman" w:cs="Times New Roman"/>
          <w:rtl/>
          <w:lang w:eastAsia="de-DE"/>
        </w:rPr>
        <w:t xml:space="preserve"> </w:t>
      </w:r>
      <w:r w:rsidRPr="00F253E0">
        <w:rPr>
          <w:rFonts w:eastAsia="Times New Roman" w:cs="Times New Roman"/>
          <w:lang w:eastAsia="de-DE"/>
        </w:rPr>
        <w:t xml:space="preserve">(sich erheben), </w:t>
      </w:r>
      <w:r w:rsidRPr="00F253E0">
        <w:rPr>
          <w:rFonts w:eastAsia="Times New Roman" w:cs="Times New Roman"/>
          <w:b/>
          <w:bCs/>
          <w:rtl/>
          <w:lang w:eastAsia="de-DE"/>
        </w:rPr>
        <w:t>הֶעָנָן</w:t>
      </w:r>
      <w:r w:rsidRPr="00F253E0">
        <w:rPr>
          <w:rFonts w:eastAsia="Times New Roman" w:cs="Times New Roman"/>
          <w:rtl/>
          <w:lang w:eastAsia="de-DE"/>
        </w:rPr>
        <w:t xml:space="preserve"> </w:t>
      </w:r>
      <w:r w:rsidRPr="00F253E0">
        <w:rPr>
          <w:rFonts w:eastAsia="Times New Roman" w:cs="Times New Roman"/>
          <w:lang w:eastAsia="de-DE"/>
        </w:rPr>
        <w:t xml:space="preserve">(die Wolke) und </w:t>
      </w:r>
      <w:r w:rsidRPr="00F253E0">
        <w:rPr>
          <w:rFonts w:eastAsia="Times New Roman" w:cs="Times New Roman"/>
          <w:b/>
          <w:bCs/>
          <w:rtl/>
          <w:lang w:eastAsia="de-DE"/>
        </w:rPr>
        <w:t>מֵעַל הָאֹהֶל</w:t>
      </w:r>
      <w:r w:rsidRPr="00F253E0">
        <w:rPr>
          <w:rFonts w:eastAsia="Times New Roman" w:cs="Times New Roman"/>
          <w:rtl/>
          <w:lang w:eastAsia="de-DE"/>
        </w:rPr>
        <w:t xml:space="preserve"> </w:t>
      </w:r>
      <w:r w:rsidRPr="00F253E0">
        <w:rPr>
          <w:rFonts w:eastAsia="Times New Roman" w:cs="Times New Roman"/>
          <w:lang w:eastAsia="de-DE"/>
        </w:rPr>
        <w:t>(von über dem Zelt) zeigt das Aufbruchssignal.</w:t>
      </w:r>
    </w:p>
    <w:p w14:paraId="115E343C"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Aufbruchssequenz </w:t>
      </w:r>
      <w:r w:rsidRPr="00F253E0">
        <w:rPr>
          <w:rFonts w:eastAsia="Times New Roman" w:cs="Times New Roman"/>
          <w:b/>
          <w:bCs/>
          <w:rtl/>
          <w:lang w:eastAsia="de-DE"/>
        </w:rPr>
        <w:t>וְאַחֲרֵי־כֵן יִסְעוּ בְּנֵי יִשְׂרָאֵל</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אַחֲרֵי־כֵן</w:t>
      </w:r>
      <w:r w:rsidRPr="00F253E0">
        <w:rPr>
          <w:rFonts w:eastAsia="Times New Roman" w:cs="Times New Roman"/>
          <w:rtl/>
          <w:lang w:eastAsia="de-DE"/>
        </w:rPr>
        <w:t xml:space="preserve"> </w:t>
      </w:r>
      <w:r w:rsidRPr="00F253E0">
        <w:rPr>
          <w:rFonts w:eastAsia="Times New Roman" w:cs="Times New Roman"/>
          <w:lang w:eastAsia="de-DE"/>
        </w:rPr>
        <w:t xml:space="preserve">(danach) und </w:t>
      </w:r>
      <w:r w:rsidRPr="00F253E0">
        <w:rPr>
          <w:rFonts w:eastAsia="Times New Roman" w:cs="Times New Roman"/>
          <w:b/>
          <w:bCs/>
          <w:rtl/>
          <w:lang w:eastAsia="de-DE"/>
        </w:rPr>
        <w:t>יִסְעוּ</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נסע</w:t>
      </w:r>
      <w:r w:rsidRPr="00F253E0">
        <w:rPr>
          <w:rFonts w:eastAsia="Times New Roman" w:cs="Times New Roman"/>
          <w:rtl/>
          <w:lang w:eastAsia="de-DE"/>
        </w:rPr>
        <w:t xml:space="preserve"> </w:t>
      </w:r>
      <w:r w:rsidRPr="00F253E0">
        <w:rPr>
          <w:rFonts w:eastAsia="Times New Roman" w:cs="Times New Roman"/>
          <w:lang w:eastAsia="de-DE"/>
        </w:rPr>
        <w:t>(aufbrechen) im Qal-Imperfekt 3. maskulin Plural zeigt die israelitische Reaktion auf das göttliche Signal.</w:t>
      </w:r>
    </w:p>
    <w:p w14:paraId="6606956C"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Lagerungsbestimmung </w:t>
      </w:r>
      <w:r w:rsidRPr="00F253E0">
        <w:rPr>
          <w:rFonts w:eastAsia="Times New Roman" w:cs="Times New Roman"/>
          <w:b/>
          <w:bCs/>
          <w:rtl/>
          <w:lang w:eastAsia="de-DE"/>
        </w:rPr>
        <w:t>וּבִמְקוֹם אֲשֶׁר יִשְׁכָּן־שָׁם הֶעָנָן שָׁם יַחֲנוּ בְּנֵי יִשְׂרָאֵל</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בִמְקוֹם</w:t>
      </w:r>
      <w:r w:rsidRPr="00F253E0">
        <w:rPr>
          <w:rFonts w:eastAsia="Times New Roman" w:cs="Times New Roman"/>
          <w:rtl/>
          <w:lang w:eastAsia="de-DE"/>
        </w:rPr>
        <w:t xml:space="preserve"> </w:t>
      </w:r>
      <w:r w:rsidRPr="00F253E0">
        <w:rPr>
          <w:rFonts w:eastAsia="Times New Roman" w:cs="Times New Roman"/>
          <w:lang w:eastAsia="de-DE"/>
        </w:rPr>
        <w:t xml:space="preserve">(an dem Ort), dem Relativsatz </w:t>
      </w:r>
      <w:r w:rsidRPr="00F253E0">
        <w:rPr>
          <w:rFonts w:eastAsia="Times New Roman" w:cs="Times New Roman"/>
          <w:b/>
          <w:bCs/>
          <w:rtl/>
          <w:lang w:eastAsia="de-DE"/>
        </w:rPr>
        <w:t>אֲשֶׁר יִשְׁכָּן־שָׁם הֶעָנָן</w:t>
      </w:r>
      <w:r w:rsidRPr="00F253E0">
        <w:rPr>
          <w:rFonts w:eastAsia="Times New Roman" w:cs="Times New Roman"/>
          <w:rtl/>
          <w:lang w:eastAsia="de-DE"/>
        </w:rPr>
        <w:t xml:space="preserve"> </w:t>
      </w:r>
      <w:r w:rsidRPr="00F253E0">
        <w:rPr>
          <w:rFonts w:eastAsia="Times New Roman" w:cs="Times New Roman"/>
          <w:lang w:eastAsia="de-DE"/>
        </w:rPr>
        <w:t xml:space="preserve">(wo die Wolke sich niederlässt) mit </w:t>
      </w:r>
      <w:r w:rsidRPr="00F253E0">
        <w:rPr>
          <w:rFonts w:eastAsia="Times New Roman" w:cs="Times New Roman"/>
          <w:b/>
          <w:bCs/>
          <w:rtl/>
          <w:lang w:eastAsia="de-DE"/>
        </w:rPr>
        <w:t>יִשְׁכָּן</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שכן</w:t>
      </w:r>
      <w:r w:rsidRPr="00F253E0">
        <w:rPr>
          <w:rFonts w:eastAsia="Times New Roman" w:cs="Times New Roman"/>
          <w:rtl/>
          <w:lang w:eastAsia="de-DE"/>
        </w:rPr>
        <w:t xml:space="preserve"> </w:t>
      </w:r>
      <w:r w:rsidRPr="00F253E0">
        <w:rPr>
          <w:rFonts w:eastAsia="Times New Roman" w:cs="Times New Roman"/>
          <w:lang w:eastAsia="de-DE"/>
        </w:rPr>
        <w:t xml:space="preserve">(wohnen/sich niederlassen), </w:t>
      </w:r>
      <w:r w:rsidRPr="00F253E0">
        <w:rPr>
          <w:rFonts w:eastAsia="Times New Roman" w:cs="Times New Roman"/>
          <w:b/>
          <w:bCs/>
          <w:rtl/>
          <w:lang w:eastAsia="de-DE"/>
        </w:rPr>
        <w:t>שָׁם</w:t>
      </w:r>
      <w:r w:rsidRPr="00F253E0">
        <w:rPr>
          <w:rFonts w:eastAsia="Times New Roman" w:cs="Times New Roman"/>
          <w:rtl/>
          <w:lang w:eastAsia="de-DE"/>
        </w:rPr>
        <w:t xml:space="preserve"> </w:t>
      </w:r>
      <w:r w:rsidRPr="00F253E0">
        <w:rPr>
          <w:rFonts w:eastAsia="Times New Roman" w:cs="Times New Roman"/>
          <w:lang w:eastAsia="de-DE"/>
        </w:rPr>
        <w:t xml:space="preserve">(dort) als emphatischer Wiederholung und </w:t>
      </w:r>
      <w:r w:rsidRPr="00F253E0">
        <w:rPr>
          <w:rFonts w:eastAsia="Times New Roman" w:cs="Times New Roman"/>
          <w:b/>
          <w:bCs/>
          <w:rtl/>
          <w:lang w:eastAsia="de-DE"/>
        </w:rPr>
        <w:t>יַחֲנוּ</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חנה</w:t>
      </w:r>
      <w:r w:rsidRPr="00F253E0">
        <w:rPr>
          <w:rFonts w:eastAsia="Times New Roman" w:cs="Times New Roman"/>
          <w:rtl/>
          <w:lang w:eastAsia="de-DE"/>
        </w:rPr>
        <w:t xml:space="preserve"> </w:t>
      </w:r>
      <w:r w:rsidRPr="00F253E0">
        <w:rPr>
          <w:rFonts w:eastAsia="Times New Roman" w:cs="Times New Roman"/>
          <w:lang w:eastAsia="de-DE"/>
        </w:rPr>
        <w:t>(lagern) zeigt die Lagerplatzbestimmung durch göttliche Führung.</w:t>
      </w:r>
    </w:p>
    <w:p w14:paraId="259F2FD8"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Die LXX</w:t>
      </w:r>
      <w:r w:rsidRPr="00F253E0">
        <w:rPr>
          <w:rFonts w:eastAsia="Times New Roman" w:cs="Times New Roman"/>
          <w:lang w:eastAsia="de-DE"/>
        </w:rPr>
        <w:t xml:space="preserve"> übersetzt </w:t>
      </w:r>
      <w:r w:rsidRPr="00F253E0">
        <w:rPr>
          <w:rFonts w:eastAsia="Times New Roman" w:cs="Times New Roman"/>
          <w:b/>
          <w:bCs/>
          <w:rtl/>
          <w:lang w:eastAsia="de-DE"/>
        </w:rPr>
        <w:t>לְפִי</w:t>
      </w:r>
      <w:r w:rsidRPr="00F253E0">
        <w:rPr>
          <w:rFonts w:eastAsia="Times New Roman" w:cs="Times New Roman"/>
          <w:rtl/>
          <w:lang w:eastAsia="de-DE"/>
        </w:rPr>
        <w:t xml:space="preserve"> </w:t>
      </w:r>
      <w:r w:rsidRPr="00F253E0">
        <w:rPr>
          <w:rFonts w:eastAsia="Times New Roman" w:cs="Times New Roman"/>
          <w:lang w:eastAsia="de-DE"/>
        </w:rPr>
        <w:t xml:space="preserve">mit κατὰ (entsprechend) und </w:t>
      </w:r>
      <w:r w:rsidRPr="00F253E0">
        <w:rPr>
          <w:rFonts w:eastAsia="Times New Roman" w:cs="Times New Roman"/>
          <w:b/>
          <w:bCs/>
          <w:rtl/>
          <w:lang w:eastAsia="de-DE"/>
        </w:rPr>
        <w:t>יִשְׁכָּן</w:t>
      </w:r>
      <w:r w:rsidRPr="00F253E0">
        <w:rPr>
          <w:rFonts w:eastAsia="Times New Roman" w:cs="Times New Roman"/>
          <w:rtl/>
          <w:lang w:eastAsia="de-DE"/>
        </w:rPr>
        <w:t xml:space="preserve"> </w:t>
      </w:r>
      <w:r w:rsidRPr="00F253E0">
        <w:rPr>
          <w:rFonts w:eastAsia="Times New Roman" w:cs="Times New Roman"/>
          <w:lang w:eastAsia="de-DE"/>
        </w:rPr>
        <w:t>mit κατασκηνώσῃ (sich niederlassen wird).</w:t>
      </w:r>
    </w:p>
    <w:p w14:paraId="66FB429D"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 Satzstruktur zeigt die doppelte göttliche Führung: Aufbruchssignal durch Wolkenerhebung und Lagerplatzbestimmung durch Wolkenniederlassung.</w:t>
      </w:r>
    </w:p>
    <w:p w14:paraId="5037765F"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Dieser Vers etabliert das grundlegende Prinzip der göttlichen Wanderungsführung durch die Wolken- und Feuersäule.</w:t>
      </w:r>
    </w:p>
    <w:p w14:paraId="7AC50595" w14:textId="77777777" w:rsidR="00F253E0" w:rsidRPr="00F253E0" w:rsidRDefault="00F253E0" w:rsidP="00F253E0">
      <w:pPr>
        <w:spacing w:before="100" w:beforeAutospacing="1" w:after="100" w:afterAutospacing="1" w:line="240" w:lineRule="auto"/>
        <w:outlineLvl w:val="0"/>
        <w:rPr>
          <w:rFonts w:eastAsia="Times New Roman" w:cs="Times New Roman"/>
          <w:b/>
          <w:bCs/>
          <w:kern w:val="36"/>
          <w:sz w:val="48"/>
          <w:szCs w:val="48"/>
          <w:lang w:eastAsia="de-DE"/>
        </w:rPr>
      </w:pPr>
      <w:r w:rsidRPr="00F253E0">
        <w:rPr>
          <w:rFonts w:eastAsia="Times New Roman" w:cs="Times New Roman"/>
          <w:b/>
          <w:bCs/>
          <w:kern w:val="36"/>
          <w:sz w:val="48"/>
          <w:szCs w:val="48"/>
          <w:lang w:eastAsia="de-DE"/>
        </w:rPr>
        <w:lastRenderedPageBreak/>
        <w:t>Numeri 9,18</w:t>
      </w:r>
    </w:p>
    <w:p w14:paraId="7374149F"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Hebräisch:</w:t>
      </w:r>
      <w:r w:rsidRPr="00F253E0">
        <w:rPr>
          <w:rFonts w:eastAsia="Times New Roman" w:cs="Times New Roman"/>
          <w:lang w:eastAsia="de-DE"/>
        </w:rPr>
        <w:t xml:space="preserve"> </w:t>
      </w:r>
      <w:r w:rsidRPr="00F253E0">
        <w:rPr>
          <w:rFonts w:eastAsia="Times New Roman" w:cs="Times New Roman"/>
          <w:rtl/>
          <w:lang w:eastAsia="de-DE"/>
        </w:rPr>
        <w:t>עַל־פִּ֣י יְהוָ֗ה יִסְעוּ֙ בְּנֵ֣י יִשְׂרָאֵ֔ל וְעַל־פִּ֥י יְהוָ֖ה יַחֲנ֑וּ כָּל־יְמֵ֗י אֲשֶׁ֨ר יִשְׁכֹּ֧ן הֶעָנָ֛ן עַל־הַמִּשְׁכָּ֖ן יַחֲנֽוּ׃</w:t>
      </w:r>
    </w:p>
    <w:p w14:paraId="4747FC64"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Deutsch:</w:t>
      </w:r>
      <w:r w:rsidRPr="00F253E0">
        <w:rPr>
          <w:rFonts w:eastAsia="Times New Roman" w:cs="Times New Roman"/>
          <w:lang w:eastAsia="de-DE"/>
        </w:rPr>
        <w:t xml:space="preserve"> Nach dem Befehl des Ewigen brachen die Söhne Jisra'el auf, und nach dem Befehl des Ewigen lagerten sie; alle Tage, da die Wolke auf der Wohnung ruhte, lagerten sie.</w:t>
      </w:r>
    </w:p>
    <w:p w14:paraId="2FAA6012" w14:textId="77777777" w:rsidR="00F253E0" w:rsidRPr="00F253E0" w:rsidRDefault="00F329DD" w:rsidP="00F253E0">
      <w:pPr>
        <w:spacing w:after="0" w:line="240" w:lineRule="auto"/>
        <w:rPr>
          <w:rFonts w:eastAsia="Times New Roman" w:cs="Times New Roman"/>
          <w:lang w:eastAsia="de-DE"/>
        </w:rPr>
      </w:pPr>
      <w:r>
        <w:rPr>
          <w:rFonts w:eastAsia="Times New Roman" w:cs="Times New Roman"/>
          <w:noProof/>
          <w:lang w:eastAsia="de-DE"/>
        </w:rPr>
        <w:pict w14:anchorId="7EF7FAB0">
          <v:rect id="_x0000_i1338" style="width:0;height:1.5pt" o:hralign="center" o:hrstd="t" o:hr="t" fillcolor="#a0a0a0" stroked="f"/>
        </w:pict>
      </w:r>
    </w:p>
    <w:p w14:paraId="363460EA" w14:textId="69515D36"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Kommentar:</w:t>
      </w:r>
      <w:r w:rsidRPr="00F253E0">
        <w:rPr>
          <w:rFonts w:eastAsia="Times New Roman" w:cs="Times New Roman"/>
          <w:lang w:eastAsia="de-DE"/>
        </w:rPr>
        <w:t xml:space="preserve"> Die parallele </w:t>
      </w:r>
      <w:r w:rsidR="00F133EC">
        <w:rPr>
          <w:rFonts w:eastAsia="Times New Roman" w:cs="Times New Roman"/>
          <w:lang w:eastAsia="de-DE"/>
        </w:rPr>
        <w:t>Construct</w:t>
      </w:r>
      <w:r w:rsidRPr="00F253E0">
        <w:rPr>
          <w:rFonts w:eastAsia="Times New Roman" w:cs="Times New Roman"/>
          <w:lang w:eastAsia="de-DE"/>
        </w:rPr>
        <w:t xml:space="preserve">ion </w:t>
      </w:r>
      <w:r w:rsidRPr="00F253E0">
        <w:rPr>
          <w:rFonts w:eastAsia="Times New Roman" w:cs="Times New Roman"/>
          <w:b/>
          <w:bCs/>
          <w:rtl/>
          <w:lang w:eastAsia="de-DE"/>
        </w:rPr>
        <w:t>עַל־פִּי יְהוָה יִסְעוּ בְּנֵי יִשְׂרָאֵל וְעַל־פִּי יְהוָה יַחֲנוּ</w:t>
      </w:r>
      <w:r w:rsidRPr="00F253E0">
        <w:rPr>
          <w:rFonts w:eastAsia="Times New Roman" w:cs="Times New Roman"/>
          <w:rtl/>
          <w:lang w:eastAsia="de-DE"/>
        </w:rPr>
        <w:t xml:space="preserve"> </w:t>
      </w:r>
      <w:r w:rsidRPr="00F253E0">
        <w:rPr>
          <w:rFonts w:eastAsia="Times New Roman" w:cs="Times New Roman"/>
          <w:lang w:eastAsia="de-DE"/>
        </w:rPr>
        <w:t xml:space="preserve">mit der Reduplikation </w:t>
      </w:r>
      <w:r w:rsidRPr="00F253E0">
        <w:rPr>
          <w:rFonts w:eastAsia="Times New Roman" w:cs="Times New Roman"/>
          <w:b/>
          <w:bCs/>
          <w:rtl/>
          <w:lang w:eastAsia="de-DE"/>
        </w:rPr>
        <w:t>עַל־פִּי יְהוָה</w:t>
      </w:r>
      <w:r w:rsidRPr="00F253E0">
        <w:rPr>
          <w:rFonts w:eastAsia="Times New Roman" w:cs="Times New Roman"/>
          <w:rtl/>
          <w:lang w:eastAsia="de-DE"/>
        </w:rPr>
        <w:t xml:space="preserve"> </w:t>
      </w:r>
      <w:r w:rsidRPr="00F253E0">
        <w:rPr>
          <w:rFonts w:eastAsia="Times New Roman" w:cs="Times New Roman"/>
          <w:lang w:eastAsia="de-DE"/>
        </w:rPr>
        <w:t xml:space="preserve">(nach dem Befehl des Ewigen) und den koordinierten Verben </w:t>
      </w:r>
      <w:r w:rsidRPr="00F253E0">
        <w:rPr>
          <w:rFonts w:eastAsia="Times New Roman" w:cs="Times New Roman"/>
          <w:b/>
          <w:bCs/>
          <w:rtl/>
          <w:lang w:eastAsia="de-DE"/>
        </w:rPr>
        <w:t>יִסְעוּ</w:t>
      </w:r>
      <w:r w:rsidRPr="00F253E0">
        <w:rPr>
          <w:rFonts w:eastAsia="Times New Roman" w:cs="Times New Roman"/>
          <w:rtl/>
          <w:lang w:eastAsia="de-DE"/>
        </w:rPr>
        <w:t xml:space="preserve"> </w:t>
      </w:r>
      <w:r w:rsidRPr="00F253E0">
        <w:rPr>
          <w:rFonts w:eastAsia="Times New Roman" w:cs="Times New Roman"/>
          <w:lang w:eastAsia="de-DE"/>
        </w:rPr>
        <w:t xml:space="preserve">(sie brachen auf) und </w:t>
      </w:r>
      <w:r w:rsidRPr="00F253E0">
        <w:rPr>
          <w:rFonts w:eastAsia="Times New Roman" w:cs="Times New Roman"/>
          <w:b/>
          <w:bCs/>
          <w:rtl/>
          <w:lang w:eastAsia="de-DE"/>
        </w:rPr>
        <w:t>יַחֲנוּ</w:t>
      </w:r>
      <w:r w:rsidRPr="00F253E0">
        <w:rPr>
          <w:rFonts w:eastAsia="Times New Roman" w:cs="Times New Roman"/>
          <w:rtl/>
          <w:lang w:eastAsia="de-DE"/>
        </w:rPr>
        <w:t xml:space="preserve"> </w:t>
      </w:r>
      <w:r w:rsidRPr="00F253E0">
        <w:rPr>
          <w:rFonts w:eastAsia="Times New Roman" w:cs="Times New Roman"/>
          <w:lang w:eastAsia="de-DE"/>
        </w:rPr>
        <w:t>(sie lagerten) betont die vollständige göttliche Kontrolle über beide Bewegungsrichtungen.</w:t>
      </w:r>
    </w:p>
    <w:p w14:paraId="1276CAB3"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verstärkende Bestimmung </w:t>
      </w:r>
      <w:r w:rsidRPr="00F253E0">
        <w:rPr>
          <w:rFonts w:eastAsia="Times New Roman" w:cs="Times New Roman"/>
          <w:b/>
          <w:bCs/>
          <w:rtl/>
          <w:lang w:eastAsia="de-DE"/>
        </w:rPr>
        <w:t>כָּל־יְמֵי אֲשֶׁר יִשְׁכֹּן הֶעָנָן עַל־הַמִּשְׁכָּן יַחֲנוּ</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כָּל־יְמֵי</w:t>
      </w:r>
      <w:r w:rsidRPr="00F253E0">
        <w:rPr>
          <w:rFonts w:eastAsia="Times New Roman" w:cs="Times New Roman"/>
          <w:rtl/>
          <w:lang w:eastAsia="de-DE"/>
        </w:rPr>
        <w:t xml:space="preserve"> </w:t>
      </w:r>
      <w:r w:rsidRPr="00F253E0">
        <w:rPr>
          <w:rFonts w:eastAsia="Times New Roman" w:cs="Times New Roman"/>
          <w:lang w:eastAsia="de-DE"/>
        </w:rPr>
        <w:t xml:space="preserve">(alle Tage), dem Relativsatz </w:t>
      </w:r>
      <w:r w:rsidRPr="00F253E0">
        <w:rPr>
          <w:rFonts w:eastAsia="Times New Roman" w:cs="Times New Roman"/>
          <w:b/>
          <w:bCs/>
          <w:rtl/>
          <w:lang w:eastAsia="de-DE"/>
        </w:rPr>
        <w:t>אֲשֶׁר יִשְׁכֹּן הֶעָנָן עַל־הַמִּשְׁכָּן</w:t>
      </w:r>
      <w:r w:rsidRPr="00F253E0">
        <w:rPr>
          <w:rFonts w:eastAsia="Times New Roman" w:cs="Times New Roman"/>
          <w:rtl/>
          <w:lang w:eastAsia="de-DE"/>
        </w:rPr>
        <w:t xml:space="preserve"> </w:t>
      </w:r>
      <w:r w:rsidRPr="00F253E0">
        <w:rPr>
          <w:rFonts w:eastAsia="Times New Roman" w:cs="Times New Roman"/>
          <w:lang w:eastAsia="de-DE"/>
        </w:rPr>
        <w:t xml:space="preserve">(da die Wolke auf der Wohnung ruhte) und </w:t>
      </w:r>
      <w:r w:rsidRPr="00F253E0">
        <w:rPr>
          <w:rFonts w:eastAsia="Times New Roman" w:cs="Times New Roman"/>
          <w:b/>
          <w:bCs/>
          <w:rtl/>
          <w:lang w:eastAsia="de-DE"/>
        </w:rPr>
        <w:t>יַחֲנוּ</w:t>
      </w:r>
      <w:r w:rsidRPr="00F253E0">
        <w:rPr>
          <w:rFonts w:eastAsia="Times New Roman" w:cs="Times New Roman"/>
          <w:rtl/>
          <w:lang w:eastAsia="de-DE"/>
        </w:rPr>
        <w:t xml:space="preserve"> </w:t>
      </w:r>
      <w:r w:rsidRPr="00F253E0">
        <w:rPr>
          <w:rFonts w:eastAsia="Times New Roman" w:cs="Times New Roman"/>
          <w:lang w:eastAsia="de-DE"/>
        </w:rPr>
        <w:t>(sie lagerten) zeigt die Dauer der Lagerung entsprechend der Wolkenpräsenz.</w:t>
      </w:r>
    </w:p>
    <w:p w14:paraId="3A7FE68D" w14:textId="77777777" w:rsidR="00A1074A" w:rsidRDefault="00A1074A" w:rsidP="00F253E0">
      <w:pPr>
        <w:spacing w:before="100" w:beforeAutospacing="1" w:after="100" w:afterAutospacing="1" w:line="240" w:lineRule="auto"/>
      </w:pPr>
      <w:r>
        <w:rPr>
          <w:rStyle w:val="Fett"/>
        </w:rPr>
        <w:t>Die LXX</w:t>
      </w:r>
      <w:r>
        <w:t xml:space="preserve"> übersetzt </w:t>
      </w:r>
      <w:r w:rsidRPr="00A1074A">
        <w:rPr>
          <w:b/>
          <w:bCs/>
          <w:rtl/>
        </w:rPr>
        <w:t>על־פי יהוה</w:t>
      </w:r>
      <w:r>
        <w:t xml:space="preserve"> (al-pi YHWH - "nach dem Befehl JHWHs") als διὰ προστάγματος κυρίου (durch Anordnung des Herrn). </w:t>
      </w:r>
      <w:r w:rsidRPr="00A1074A">
        <w:rPr>
          <w:b/>
          <w:bCs/>
          <w:rtl/>
        </w:rPr>
        <w:t>ישכן</w:t>
      </w:r>
      <w:r>
        <w:rPr>
          <w:rtl/>
        </w:rPr>
        <w:t xml:space="preserve"> </w:t>
      </w:r>
      <w:r w:rsidRPr="00A1074A">
        <w:rPr>
          <w:b/>
          <w:bCs/>
          <w:rtl/>
        </w:rPr>
        <w:t>הענן</w:t>
      </w:r>
      <w:r>
        <w:t xml:space="preserve"> (yishkon he'anan - "die Wolke verweilt") wird als σκιάζει ἡ νεφέλη (die Wolke beschattet) übersetzt, was eine interpretative Übersetzung darstellt.</w:t>
      </w:r>
    </w:p>
    <w:p w14:paraId="41363279" w14:textId="11CE82E3"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 Satzstruktur zeigt eine emphatische Parallelkonstruktion göttlicher Befehlsautorität mit verstärkender Dauerbestimmung.</w:t>
      </w:r>
    </w:p>
    <w:p w14:paraId="573B1982" w14:textId="244945BB" w:rsid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Dieser Vers verstärkt die absolute göttliche Autorität über alle israelitischen Bewegungen in der Wüste.</w:t>
      </w:r>
    </w:p>
    <w:p w14:paraId="33DF4F34" w14:textId="77777777" w:rsidR="00F253E0" w:rsidRPr="00F253E0" w:rsidRDefault="00F253E0" w:rsidP="00F253E0">
      <w:pPr>
        <w:spacing w:before="100" w:beforeAutospacing="1" w:after="100" w:afterAutospacing="1" w:line="240" w:lineRule="auto"/>
        <w:outlineLvl w:val="0"/>
        <w:rPr>
          <w:rFonts w:eastAsia="Times New Roman" w:cs="Times New Roman"/>
          <w:b/>
          <w:bCs/>
          <w:kern w:val="36"/>
          <w:sz w:val="48"/>
          <w:szCs w:val="48"/>
          <w:lang w:eastAsia="de-DE"/>
        </w:rPr>
      </w:pPr>
      <w:r w:rsidRPr="00F253E0">
        <w:rPr>
          <w:rFonts w:eastAsia="Times New Roman" w:cs="Times New Roman"/>
          <w:b/>
          <w:bCs/>
          <w:kern w:val="36"/>
          <w:sz w:val="48"/>
          <w:szCs w:val="48"/>
          <w:lang w:eastAsia="de-DE"/>
        </w:rPr>
        <w:t>Numeri 9,19</w:t>
      </w:r>
    </w:p>
    <w:p w14:paraId="18EE5C3A"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Hebräisch:</w:t>
      </w:r>
      <w:r w:rsidRPr="00F253E0">
        <w:rPr>
          <w:rFonts w:eastAsia="Times New Roman" w:cs="Times New Roman"/>
          <w:lang w:eastAsia="de-DE"/>
        </w:rPr>
        <w:t xml:space="preserve"> </w:t>
      </w:r>
      <w:r w:rsidRPr="00F253E0">
        <w:rPr>
          <w:rFonts w:eastAsia="Times New Roman" w:cs="Times New Roman"/>
          <w:rtl/>
          <w:lang w:eastAsia="de-DE"/>
        </w:rPr>
        <w:t>וּבְהַאֲרִ֧יךְ הֶֽעָנָ֛ן עַל־הַמִּשְׁכָּ֖ן יָמִ֣ים רַבִּ֑ים וְשָׁמְר֧וּ בְנֵי־יִשְׂרָאֵ֛ל אֶת־מִשְׁמֶ֥רֶת יְהוָ֖ה וְלֹ֥א יִסָּֽעוּ׃</w:t>
      </w:r>
    </w:p>
    <w:p w14:paraId="0B54EAD9"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Deutsch:</w:t>
      </w:r>
      <w:r w:rsidRPr="00F253E0">
        <w:rPr>
          <w:rFonts w:eastAsia="Times New Roman" w:cs="Times New Roman"/>
          <w:lang w:eastAsia="de-DE"/>
        </w:rPr>
        <w:t xml:space="preserve"> Und wenn die Wolke viele Tage auf der Wohnung verweilte, so bewahrten die Söhne Jisra'el die Anordnung des Ewigen und brachen nicht auf.</w:t>
      </w:r>
    </w:p>
    <w:p w14:paraId="53C24F23" w14:textId="77777777" w:rsidR="00F253E0" w:rsidRPr="00F253E0" w:rsidRDefault="00F329DD" w:rsidP="00F253E0">
      <w:pPr>
        <w:spacing w:after="0" w:line="240" w:lineRule="auto"/>
        <w:rPr>
          <w:rFonts w:eastAsia="Times New Roman" w:cs="Times New Roman"/>
          <w:lang w:eastAsia="de-DE"/>
        </w:rPr>
      </w:pPr>
      <w:r>
        <w:rPr>
          <w:rFonts w:eastAsia="Times New Roman" w:cs="Times New Roman"/>
          <w:noProof/>
          <w:lang w:eastAsia="de-DE"/>
        </w:rPr>
        <w:pict w14:anchorId="6CEB19A0">
          <v:rect id="_x0000_i1339" style="width:0;height:1.5pt" o:hralign="center" o:hrstd="t" o:hr="t" fillcolor="#a0a0a0" stroked="f"/>
        </w:pict>
      </w:r>
    </w:p>
    <w:p w14:paraId="6062D66B" w14:textId="36F33F2C"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Kommentar:</w:t>
      </w:r>
      <w:r w:rsidRPr="00F253E0">
        <w:rPr>
          <w:rFonts w:eastAsia="Times New Roman" w:cs="Times New Roman"/>
          <w:lang w:eastAsia="de-DE"/>
        </w:rPr>
        <w:t xml:space="preserve"> Die temporale Bestimmung </w:t>
      </w:r>
      <w:r w:rsidRPr="00F253E0">
        <w:rPr>
          <w:rFonts w:eastAsia="Times New Roman" w:cs="Times New Roman"/>
          <w:b/>
          <w:bCs/>
          <w:rtl/>
          <w:lang w:eastAsia="de-DE"/>
        </w:rPr>
        <w:t>וּבְהַאֲרִיךְ הֶעָנָן עַל־הַמִּשְׁכָּן יָמִים רַבִּים</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בְהַאֲרִיךְ</w:t>
      </w:r>
      <w:r w:rsidRPr="00F253E0">
        <w:rPr>
          <w:rFonts w:eastAsia="Times New Roman" w:cs="Times New Roman"/>
          <w:rtl/>
          <w:lang w:eastAsia="de-DE"/>
        </w:rPr>
        <w:t xml:space="preserve"> </w:t>
      </w:r>
      <w:r w:rsidRPr="00F253E0">
        <w:rPr>
          <w:rFonts w:eastAsia="Times New Roman" w:cs="Times New Roman"/>
          <w:lang w:eastAsia="de-DE"/>
        </w:rPr>
        <w:t>als Hiph'il-Infinitiv-</w:t>
      </w:r>
      <w:r w:rsidR="00F133EC">
        <w:rPr>
          <w:rFonts w:eastAsia="Times New Roman" w:cs="Times New Roman"/>
          <w:lang w:eastAsia="de-DE"/>
        </w:rPr>
        <w:t>Construct</w:t>
      </w:r>
      <w:r w:rsidRPr="00F253E0">
        <w:rPr>
          <w:rFonts w:eastAsia="Times New Roman" w:cs="Times New Roman"/>
          <w:lang w:eastAsia="de-DE"/>
        </w:rPr>
        <w:t xml:space="preserve"> von </w:t>
      </w:r>
      <w:r w:rsidRPr="00F253E0">
        <w:rPr>
          <w:rFonts w:eastAsia="Times New Roman" w:cs="Times New Roman"/>
          <w:b/>
          <w:bCs/>
          <w:rtl/>
          <w:lang w:eastAsia="de-DE"/>
        </w:rPr>
        <w:t>ארך</w:t>
      </w:r>
      <w:r w:rsidRPr="00F253E0">
        <w:rPr>
          <w:rFonts w:eastAsia="Times New Roman" w:cs="Times New Roman"/>
          <w:rtl/>
          <w:lang w:eastAsia="de-DE"/>
        </w:rPr>
        <w:t xml:space="preserve"> </w:t>
      </w:r>
      <w:r w:rsidRPr="00F253E0">
        <w:rPr>
          <w:rFonts w:eastAsia="Times New Roman" w:cs="Times New Roman"/>
          <w:lang w:eastAsia="de-DE"/>
        </w:rPr>
        <w:t xml:space="preserve">(verlängern/verweilen), </w:t>
      </w:r>
      <w:r w:rsidRPr="00F253E0">
        <w:rPr>
          <w:rFonts w:eastAsia="Times New Roman" w:cs="Times New Roman"/>
          <w:b/>
          <w:bCs/>
          <w:rtl/>
          <w:lang w:eastAsia="de-DE"/>
        </w:rPr>
        <w:t>הֶעָנָן</w:t>
      </w:r>
      <w:r w:rsidRPr="00F253E0">
        <w:rPr>
          <w:rFonts w:eastAsia="Times New Roman" w:cs="Times New Roman"/>
          <w:rtl/>
          <w:lang w:eastAsia="de-DE"/>
        </w:rPr>
        <w:t xml:space="preserve"> </w:t>
      </w:r>
      <w:r w:rsidRPr="00F253E0">
        <w:rPr>
          <w:rFonts w:eastAsia="Times New Roman" w:cs="Times New Roman"/>
          <w:lang w:eastAsia="de-DE"/>
        </w:rPr>
        <w:t xml:space="preserve">(die Wolke), </w:t>
      </w:r>
      <w:r w:rsidRPr="00F253E0">
        <w:rPr>
          <w:rFonts w:eastAsia="Times New Roman" w:cs="Times New Roman"/>
          <w:b/>
          <w:bCs/>
          <w:rtl/>
          <w:lang w:eastAsia="de-DE"/>
        </w:rPr>
        <w:t>עַל־הַמִּשְׁכָּן</w:t>
      </w:r>
      <w:r w:rsidRPr="00F253E0">
        <w:rPr>
          <w:rFonts w:eastAsia="Times New Roman" w:cs="Times New Roman"/>
          <w:rtl/>
          <w:lang w:eastAsia="de-DE"/>
        </w:rPr>
        <w:t xml:space="preserve"> </w:t>
      </w:r>
      <w:r w:rsidRPr="00F253E0">
        <w:rPr>
          <w:rFonts w:eastAsia="Times New Roman" w:cs="Times New Roman"/>
          <w:lang w:eastAsia="de-DE"/>
        </w:rPr>
        <w:t xml:space="preserve">(auf der Wohnung) und </w:t>
      </w:r>
      <w:r w:rsidRPr="00F253E0">
        <w:rPr>
          <w:rFonts w:eastAsia="Times New Roman" w:cs="Times New Roman"/>
          <w:b/>
          <w:bCs/>
          <w:rtl/>
          <w:lang w:eastAsia="de-DE"/>
        </w:rPr>
        <w:t>יָמִים רַבִּים</w:t>
      </w:r>
      <w:r w:rsidRPr="00F253E0">
        <w:rPr>
          <w:rFonts w:eastAsia="Times New Roman" w:cs="Times New Roman"/>
          <w:rtl/>
          <w:lang w:eastAsia="de-DE"/>
        </w:rPr>
        <w:t xml:space="preserve"> </w:t>
      </w:r>
      <w:r w:rsidRPr="00F253E0">
        <w:rPr>
          <w:rFonts w:eastAsia="Times New Roman" w:cs="Times New Roman"/>
          <w:lang w:eastAsia="de-DE"/>
        </w:rPr>
        <w:t>(viele Tage) zeigt längere Verweilperioden der göttlichen Präsenz.</w:t>
      </w:r>
    </w:p>
    <w:p w14:paraId="4AC8A581"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Das Verb </w:t>
      </w:r>
      <w:r w:rsidRPr="00F253E0">
        <w:rPr>
          <w:rFonts w:eastAsia="Times New Roman" w:cs="Times New Roman"/>
          <w:b/>
          <w:bCs/>
          <w:rtl/>
          <w:lang w:eastAsia="de-DE"/>
        </w:rPr>
        <w:t>וְשָׁמְרוּ בְנֵי־יִשְׂרָאֵל אֶת־מִשְׁמֶרֶת יְהוָה</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שָׁמְרוּ</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שמר</w:t>
      </w:r>
      <w:r w:rsidRPr="00F253E0">
        <w:rPr>
          <w:rFonts w:eastAsia="Times New Roman" w:cs="Times New Roman"/>
          <w:rtl/>
          <w:lang w:eastAsia="de-DE"/>
        </w:rPr>
        <w:t xml:space="preserve"> </w:t>
      </w:r>
      <w:r w:rsidRPr="00F253E0">
        <w:rPr>
          <w:rFonts w:eastAsia="Times New Roman" w:cs="Times New Roman"/>
          <w:lang w:eastAsia="de-DE"/>
        </w:rPr>
        <w:t xml:space="preserve">(bewahren/hüten) im Qal-Perfekt 3. maskulin Plural und </w:t>
      </w:r>
      <w:r w:rsidRPr="00F253E0">
        <w:rPr>
          <w:rFonts w:eastAsia="Times New Roman" w:cs="Times New Roman"/>
          <w:b/>
          <w:bCs/>
          <w:rtl/>
          <w:lang w:eastAsia="de-DE"/>
        </w:rPr>
        <w:t>מִשְׁמֶרֶת יְהוָה</w:t>
      </w:r>
      <w:r w:rsidRPr="00F253E0">
        <w:rPr>
          <w:rFonts w:eastAsia="Times New Roman" w:cs="Times New Roman"/>
          <w:rtl/>
          <w:lang w:eastAsia="de-DE"/>
        </w:rPr>
        <w:t xml:space="preserve"> </w:t>
      </w:r>
      <w:r w:rsidRPr="00F253E0">
        <w:rPr>
          <w:rFonts w:eastAsia="Times New Roman" w:cs="Times New Roman"/>
          <w:lang w:eastAsia="de-DE"/>
        </w:rPr>
        <w:t>(Anordnung des Ewigen) zeigt die israelitische Treue zu göttlichen Anweisungen.</w:t>
      </w:r>
    </w:p>
    <w:p w14:paraId="0E822F84"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lastRenderedPageBreak/>
        <w:t xml:space="preserve">Die negative Konsequenz </w:t>
      </w:r>
      <w:r w:rsidRPr="00F253E0">
        <w:rPr>
          <w:rFonts w:eastAsia="Times New Roman" w:cs="Times New Roman"/>
          <w:b/>
          <w:bCs/>
          <w:rtl/>
          <w:lang w:eastAsia="de-DE"/>
        </w:rPr>
        <w:t>וְלֹא יִסָּעוּ</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לֹא</w:t>
      </w:r>
      <w:r w:rsidRPr="00F253E0">
        <w:rPr>
          <w:rFonts w:eastAsia="Times New Roman" w:cs="Times New Roman"/>
          <w:rtl/>
          <w:lang w:eastAsia="de-DE"/>
        </w:rPr>
        <w:t xml:space="preserve"> </w:t>
      </w:r>
      <w:r w:rsidRPr="00F253E0">
        <w:rPr>
          <w:rFonts w:eastAsia="Times New Roman" w:cs="Times New Roman"/>
          <w:lang w:eastAsia="de-DE"/>
        </w:rPr>
        <w:t xml:space="preserve">(nicht) und </w:t>
      </w:r>
      <w:r w:rsidRPr="00F253E0">
        <w:rPr>
          <w:rFonts w:eastAsia="Times New Roman" w:cs="Times New Roman"/>
          <w:b/>
          <w:bCs/>
          <w:rtl/>
          <w:lang w:eastAsia="de-DE"/>
        </w:rPr>
        <w:t>יִסָּעוּ</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נסע</w:t>
      </w:r>
      <w:r w:rsidRPr="00F253E0">
        <w:rPr>
          <w:rFonts w:eastAsia="Times New Roman" w:cs="Times New Roman"/>
          <w:rtl/>
          <w:lang w:eastAsia="de-DE"/>
        </w:rPr>
        <w:t xml:space="preserve"> </w:t>
      </w:r>
      <w:r w:rsidRPr="00F253E0">
        <w:rPr>
          <w:rFonts w:eastAsia="Times New Roman" w:cs="Times New Roman"/>
          <w:lang w:eastAsia="de-DE"/>
        </w:rPr>
        <w:t>(aufbrechen) im Qal-Imperfekt 3. maskulin Plural betont die disziplinierte Untätigkeit trotz möglicher Ungeduld.</w:t>
      </w:r>
    </w:p>
    <w:p w14:paraId="116E2F5F" w14:textId="77777777" w:rsidR="00A1074A" w:rsidRDefault="00A1074A" w:rsidP="00F253E0">
      <w:pPr>
        <w:spacing w:before="100" w:beforeAutospacing="1" w:after="100" w:afterAutospacing="1" w:line="240" w:lineRule="auto"/>
      </w:pPr>
      <w:r>
        <w:rPr>
          <w:rStyle w:val="Fett"/>
        </w:rPr>
        <w:t>Die LXX</w:t>
      </w:r>
      <w:r>
        <w:t xml:space="preserve"> übersetzt </w:t>
      </w:r>
      <w:r w:rsidRPr="00A1074A">
        <w:rPr>
          <w:b/>
          <w:bCs/>
          <w:rtl/>
        </w:rPr>
        <w:t>משמרת</w:t>
      </w:r>
      <w:r>
        <w:rPr>
          <w:rtl/>
        </w:rPr>
        <w:t xml:space="preserve"> </w:t>
      </w:r>
      <w:r w:rsidRPr="00A1074A">
        <w:rPr>
          <w:b/>
          <w:bCs/>
          <w:rtl/>
        </w:rPr>
        <w:t>יהוה</w:t>
      </w:r>
      <w:r>
        <w:t xml:space="preserve"> (mishmereth YHWH - "die Wache/Anordnung JHWHs") als φυλακὴ τοῦ θεοῦ (die Wache Gottes), wobei θεός statt κύριος verwendet wird.</w:t>
      </w:r>
    </w:p>
    <w:p w14:paraId="5ABC9C21" w14:textId="4F33CDE2"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 Satzstruktur zeigt eine temporale Verlängerungsbestimmung mit positiver israelitischer Treue und negativer Bewegungsunterlassung.</w:t>
      </w:r>
    </w:p>
    <w:p w14:paraId="10BE94E7"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Dieser Vers betont die israelitische Geduld und Disziplin bei längeren Lagerzeiten entsprechend göttlicher Führung.</w:t>
      </w:r>
    </w:p>
    <w:p w14:paraId="7A631F81" w14:textId="77777777" w:rsidR="00F253E0" w:rsidRPr="00F253E0" w:rsidRDefault="00F253E0" w:rsidP="00F253E0">
      <w:pPr>
        <w:spacing w:before="100" w:beforeAutospacing="1" w:after="100" w:afterAutospacing="1" w:line="240" w:lineRule="auto"/>
        <w:outlineLvl w:val="0"/>
        <w:rPr>
          <w:rFonts w:eastAsia="Times New Roman" w:cs="Times New Roman"/>
          <w:b/>
          <w:bCs/>
          <w:kern w:val="36"/>
          <w:sz w:val="48"/>
          <w:szCs w:val="48"/>
          <w:lang w:eastAsia="de-DE"/>
        </w:rPr>
      </w:pPr>
      <w:r w:rsidRPr="00F253E0">
        <w:rPr>
          <w:rFonts w:eastAsia="Times New Roman" w:cs="Times New Roman"/>
          <w:b/>
          <w:bCs/>
          <w:kern w:val="36"/>
          <w:sz w:val="48"/>
          <w:szCs w:val="48"/>
          <w:lang w:eastAsia="de-DE"/>
        </w:rPr>
        <w:t>Numeri 9,20</w:t>
      </w:r>
    </w:p>
    <w:p w14:paraId="47BCA3E7"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Hebräisch:</w:t>
      </w:r>
      <w:r w:rsidRPr="00F253E0">
        <w:rPr>
          <w:rFonts w:eastAsia="Times New Roman" w:cs="Times New Roman"/>
          <w:lang w:eastAsia="de-DE"/>
        </w:rPr>
        <w:t xml:space="preserve"> </w:t>
      </w:r>
      <w:r w:rsidRPr="00F253E0">
        <w:rPr>
          <w:rFonts w:eastAsia="Times New Roman" w:cs="Times New Roman"/>
          <w:rtl/>
          <w:lang w:eastAsia="de-DE"/>
        </w:rPr>
        <w:t>וְיֵ֞שׁ אֲשֶׁ֨ר יִהְיֶ֧ה הֶֽעָנָ֛ן יָמִ֥ים מִסְפָּ֖ר עַל־הַמִּשְׁכָּ֑ן עַל־פִּ֤י יְהוָה֙ יַחֲנ֔וּ וְעַל־פִּ֥י יְהוָ֖ה יִסָּֽעוּ׃</w:t>
      </w:r>
    </w:p>
    <w:p w14:paraId="2AE8C17E"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Deutsch:</w:t>
      </w:r>
      <w:r w:rsidRPr="00F253E0">
        <w:rPr>
          <w:rFonts w:eastAsia="Times New Roman" w:cs="Times New Roman"/>
          <w:lang w:eastAsia="de-DE"/>
        </w:rPr>
        <w:t xml:space="preserve"> Und geschah es, dass die Wolke wenige Tage auf der Wohnung war - nach dem Befehl des Ewigen lagerten sie, und nach dem Befehl des Ewigen brachen sie auf.</w:t>
      </w:r>
    </w:p>
    <w:p w14:paraId="3E53B9D1" w14:textId="77777777" w:rsidR="00F253E0" w:rsidRPr="00F253E0" w:rsidRDefault="00F329DD" w:rsidP="00F253E0">
      <w:pPr>
        <w:spacing w:after="0" w:line="240" w:lineRule="auto"/>
        <w:rPr>
          <w:rFonts w:eastAsia="Times New Roman" w:cs="Times New Roman"/>
          <w:lang w:eastAsia="de-DE"/>
        </w:rPr>
      </w:pPr>
      <w:r>
        <w:rPr>
          <w:rFonts w:eastAsia="Times New Roman" w:cs="Times New Roman"/>
          <w:noProof/>
          <w:lang w:eastAsia="de-DE"/>
        </w:rPr>
        <w:pict w14:anchorId="1243000C">
          <v:rect id="_x0000_i1340" style="width:0;height:1.5pt" o:hralign="center" o:hrstd="t" o:hr="t" fillcolor="#a0a0a0" stroked="f"/>
        </w:pict>
      </w:r>
    </w:p>
    <w:p w14:paraId="2D0C65DD" w14:textId="0D430E31"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Kommentar:</w:t>
      </w:r>
      <w:r w:rsidRPr="00F253E0">
        <w:rPr>
          <w:rFonts w:eastAsia="Times New Roman" w:cs="Times New Roman"/>
          <w:lang w:eastAsia="de-DE"/>
        </w:rPr>
        <w:t xml:space="preserve"> Die existentielle </w:t>
      </w:r>
      <w:r w:rsidR="00F133EC">
        <w:rPr>
          <w:rFonts w:eastAsia="Times New Roman" w:cs="Times New Roman"/>
          <w:lang w:eastAsia="de-DE"/>
        </w:rPr>
        <w:t>Construct</w:t>
      </w:r>
      <w:r w:rsidRPr="00F253E0">
        <w:rPr>
          <w:rFonts w:eastAsia="Times New Roman" w:cs="Times New Roman"/>
          <w:lang w:eastAsia="de-DE"/>
        </w:rPr>
        <w:t xml:space="preserve">ion </w:t>
      </w:r>
      <w:r w:rsidRPr="00F253E0">
        <w:rPr>
          <w:rFonts w:eastAsia="Times New Roman" w:cs="Times New Roman"/>
          <w:b/>
          <w:bCs/>
          <w:rtl/>
          <w:lang w:eastAsia="de-DE"/>
        </w:rPr>
        <w:t>וְיֵשׁ אֲשֶׁר יִהְיֶה הֶעָנָן יָמִים מִסְפָּר עַל־הַמִּשְׁכָּן</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יֵשׁ</w:t>
      </w:r>
      <w:r w:rsidRPr="00F253E0">
        <w:rPr>
          <w:rFonts w:eastAsia="Times New Roman" w:cs="Times New Roman"/>
          <w:rtl/>
          <w:lang w:eastAsia="de-DE"/>
        </w:rPr>
        <w:t xml:space="preserve"> </w:t>
      </w:r>
      <w:r w:rsidRPr="00F253E0">
        <w:rPr>
          <w:rFonts w:eastAsia="Times New Roman" w:cs="Times New Roman"/>
          <w:lang w:eastAsia="de-DE"/>
        </w:rPr>
        <w:t xml:space="preserve">(es gibt/es geschieht), </w:t>
      </w:r>
      <w:r w:rsidRPr="00F253E0">
        <w:rPr>
          <w:rFonts w:eastAsia="Times New Roman" w:cs="Times New Roman"/>
          <w:b/>
          <w:bCs/>
          <w:rtl/>
          <w:lang w:eastAsia="de-DE"/>
        </w:rPr>
        <w:t>אֲשֶׁר יִהְיֶה</w:t>
      </w:r>
      <w:r w:rsidRPr="00F253E0">
        <w:rPr>
          <w:rFonts w:eastAsia="Times New Roman" w:cs="Times New Roman"/>
          <w:rtl/>
          <w:lang w:eastAsia="de-DE"/>
        </w:rPr>
        <w:t xml:space="preserve"> </w:t>
      </w:r>
      <w:r w:rsidRPr="00F253E0">
        <w:rPr>
          <w:rFonts w:eastAsia="Times New Roman" w:cs="Times New Roman"/>
          <w:lang w:eastAsia="de-DE"/>
        </w:rPr>
        <w:t xml:space="preserve">(dass sein wird), </w:t>
      </w:r>
      <w:r w:rsidRPr="00F253E0">
        <w:rPr>
          <w:rFonts w:eastAsia="Times New Roman" w:cs="Times New Roman"/>
          <w:b/>
          <w:bCs/>
          <w:rtl/>
          <w:lang w:eastAsia="de-DE"/>
        </w:rPr>
        <w:t>הֶעָנָן</w:t>
      </w:r>
      <w:r w:rsidRPr="00F253E0">
        <w:rPr>
          <w:rFonts w:eastAsia="Times New Roman" w:cs="Times New Roman"/>
          <w:rtl/>
          <w:lang w:eastAsia="de-DE"/>
        </w:rPr>
        <w:t xml:space="preserve"> </w:t>
      </w:r>
      <w:r w:rsidRPr="00F253E0">
        <w:rPr>
          <w:rFonts w:eastAsia="Times New Roman" w:cs="Times New Roman"/>
          <w:lang w:eastAsia="de-DE"/>
        </w:rPr>
        <w:t xml:space="preserve">(die Wolke), </w:t>
      </w:r>
      <w:r w:rsidRPr="00F253E0">
        <w:rPr>
          <w:rFonts w:eastAsia="Times New Roman" w:cs="Times New Roman"/>
          <w:b/>
          <w:bCs/>
          <w:rtl/>
          <w:lang w:eastAsia="de-DE"/>
        </w:rPr>
        <w:t>יָמִים מִסְפָּר</w:t>
      </w:r>
      <w:r w:rsidRPr="00F253E0">
        <w:rPr>
          <w:rFonts w:eastAsia="Times New Roman" w:cs="Times New Roman"/>
          <w:rtl/>
          <w:lang w:eastAsia="de-DE"/>
        </w:rPr>
        <w:t xml:space="preserve"> </w:t>
      </w:r>
      <w:r w:rsidRPr="00F253E0">
        <w:rPr>
          <w:rFonts w:eastAsia="Times New Roman" w:cs="Times New Roman"/>
          <w:lang w:eastAsia="de-DE"/>
        </w:rPr>
        <w:t xml:space="preserve">(wenige/gezählte Tage) und </w:t>
      </w:r>
      <w:r w:rsidRPr="00F253E0">
        <w:rPr>
          <w:rFonts w:eastAsia="Times New Roman" w:cs="Times New Roman"/>
          <w:b/>
          <w:bCs/>
          <w:rtl/>
          <w:lang w:eastAsia="de-DE"/>
        </w:rPr>
        <w:t>עַל־הַמִּשְׁכָּן</w:t>
      </w:r>
      <w:r w:rsidRPr="00F253E0">
        <w:rPr>
          <w:rFonts w:eastAsia="Times New Roman" w:cs="Times New Roman"/>
          <w:rtl/>
          <w:lang w:eastAsia="de-DE"/>
        </w:rPr>
        <w:t xml:space="preserve"> </w:t>
      </w:r>
      <w:r w:rsidRPr="00F253E0">
        <w:rPr>
          <w:rFonts w:eastAsia="Times New Roman" w:cs="Times New Roman"/>
          <w:lang w:eastAsia="de-DE"/>
        </w:rPr>
        <w:t>(auf der Wohnung) zeigt kürzere Verweilperioden.</w:t>
      </w:r>
    </w:p>
    <w:p w14:paraId="4FAC8815" w14:textId="4AB5132B"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wiederholte parallele </w:t>
      </w:r>
      <w:r w:rsidR="00F133EC">
        <w:rPr>
          <w:rFonts w:eastAsia="Times New Roman" w:cs="Times New Roman"/>
          <w:lang w:eastAsia="de-DE"/>
        </w:rPr>
        <w:t>Construct</w:t>
      </w:r>
      <w:r w:rsidRPr="00F253E0">
        <w:rPr>
          <w:rFonts w:eastAsia="Times New Roman" w:cs="Times New Roman"/>
          <w:lang w:eastAsia="de-DE"/>
        </w:rPr>
        <w:t xml:space="preserve">ion </w:t>
      </w:r>
      <w:r w:rsidRPr="00F253E0">
        <w:rPr>
          <w:rFonts w:eastAsia="Times New Roman" w:cs="Times New Roman"/>
          <w:b/>
          <w:bCs/>
          <w:rtl/>
          <w:lang w:eastAsia="de-DE"/>
        </w:rPr>
        <w:t>עַל־פִּי יְהוָה יַחֲנוּ וְעַל־פִּי יְהוָה יִסָּעוּ</w:t>
      </w:r>
      <w:r w:rsidRPr="00F253E0">
        <w:rPr>
          <w:rFonts w:eastAsia="Times New Roman" w:cs="Times New Roman"/>
          <w:rtl/>
          <w:lang w:eastAsia="de-DE"/>
        </w:rPr>
        <w:t xml:space="preserve"> </w:t>
      </w:r>
      <w:r w:rsidRPr="00F253E0">
        <w:rPr>
          <w:rFonts w:eastAsia="Times New Roman" w:cs="Times New Roman"/>
          <w:lang w:eastAsia="de-DE"/>
        </w:rPr>
        <w:t>(nach dem Befehl des Ewigen lagerten sie, und nach dem Befehl des Ewigen brachen sie auf) aus Vers 18 verstärkt die konstante göttliche Autorität unabhängig von der Zeitdauer.</w:t>
      </w:r>
    </w:p>
    <w:p w14:paraId="28ED5B55"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Die LXX</w:t>
      </w:r>
      <w:r w:rsidRPr="00F253E0">
        <w:rPr>
          <w:rFonts w:eastAsia="Times New Roman" w:cs="Times New Roman"/>
          <w:lang w:eastAsia="de-DE"/>
        </w:rPr>
        <w:t xml:space="preserve"> übersetzt </w:t>
      </w:r>
      <w:r w:rsidRPr="00F253E0">
        <w:rPr>
          <w:rFonts w:eastAsia="Times New Roman" w:cs="Times New Roman"/>
          <w:b/>
          <w:bCs/>
          <w:rtl/>
          <w:lang w:eastAsia="de-DE"/>
        </w:rPr>
        <w:t>יָמִים מִסְפָּר</w:t>
      </w:r>
      <w:r w:rsidRPr="00F253E0">
        <w:rPr>
          <w:rFonts w:eastAsia="Times New Roman" w:cs="Times New Roman"/>
          <w:rtl/>
          <w:lang w:eastAsia="de-DE"/>
        </w:rPr>
        <w:t xml:space="preserve"> </w:t>
      </w:r>
      <w:r w:rsidRPr="00F253E0">
        <w:rPr>
          <w:rFonts w:eastAsia="Times New Roman" w:cs="Times New Roman"/>
          <w:lang w:eastAsia="de-DE"/>
        </w:rPr>
        <w:t>mit ἡμέρας ἀριθμῷ (Tage der Zahl nach) und betont die Begrenztheit.</w:t>
      </w:r>
    </w:p>
    <w:p w14:paraId="34D58D38"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 Satzstruktur zeigt eine alternative temporale Möglichkeit mit identischer göttlicher Befehlsautorität.</w:t>
      </w:r>
    </w:p>
    <w:p w14:paraId="7F975FCD"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Dieser Vers zeigt die Variabilität der Verweilzeiten bei konstanter göttlicher Führungsautorität.</w:t>
      </w:r>
    </w:p>
    <w:p w14:paraId="6D434018" w14:textId="77777777" w:rsidR="00F253E0" w:rsidRPr="00F253E0" w:rsidRDefault="00F253E0" w:rsidP="00F253E0">
      <w:pPr>
        <w:spacing w:before="100" w:beforeAutospacing="1" w:after="100" w:afterAutospacing="1" w:line="240" w:lineRule="auto"/>
        <w:outlineLvl w:val="0"/>
        <w:rPr>
          <w:rFonts w:eastAsia="Times New Roman" w:cs="Times New Roman"/>
          <w:b/>
          <w:bCs/>
          <w:kern w:val="36"/>
          <w:sz w:val="48"/>
          <w:szCs w:val="48"/>
          <w:lang w:eastAsia="de-DE"/>
        </w:rPr>
      </w:pPr>
      <w:r w:rsidRPr="00F253E0">
        <w:rPr>
          <w:rFonts w:eastAsia="Times New Roman" w:cs="Times New Roman"/>
          <w:b/>
          <w:bCs/>
          <w:kern w:val="36"/>
          <w:sz w:val="48"/>
          <w:szCs w:val="48"/>
          <w:lang w:eastAsia="de-DE"/>
        </w:rPr>
        <w:t>Numeri 9,21</w:t>
      </w:r>
    </w:p>
    <w:p w14:paraId="47FEC60A"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Hebräisch:</w:t>
      </w:r>
      <w:r w:rsidRPr="00F253E0">
        <w:rPr>
          <w:rFonts w:eastAsia="Times New Roman" w:cs="Times New Roman"/>
          <w:lang w:eastAsia="de-DE"/>
        </w:rPr>
        <w:t xml:space="preserve"> </w:t>
      </w:r>
      <w:r w:rsidRPr="00F253E0">
        <w:rPr>
          <w:rFonts w:eastAsia="Times New Roman" w:cs="Times New Roman"/>
          <w:rtl/>
          <w:lang w:eastAsia="de-DE"/>
        </w:rPr>
        <w:t>וְיֵ֞שׁ אֲשֶׁ֨ר יִהְיֶ֤ה הֶֽעָנָן֙ מֵעֶ֣רֶב עַד־בֹּ֔קֶר וְנַעֲלָ֧ה הֶֽעָנָ֛ן בַּבֹּ֖קֶר וְנָסָ֑עוּ א֚וֹ יוֹמָ֣ם וָלַ֔יְלָה וְנַעֲלָ֥ה הֶעָנָ֖ן וְנָסָֽעוּ׃</w:t>
      </w:r>
    </w:p>
    <w:p w14:paraId="14004813"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Deutsch:</w:t>
      </w:r>
      <w:r w:rsidRPr="00F253E0">
        <w:rPr>
          <w:rFonts w:eastAsia="Times New Roman" w:cs="Times New Roman"/>
          <w:lang w:eastAsia="de-DE"/>
        </w:rPr>
        <w:t xml:space="preserve"> Und geschah es, dass die Wolke vom Abend bis zum Morgen da war, und die Wolke erhob sich am Morgen, so brachen sie auf; oder einen Tag und eine Nacht, und die Wolke erhob sich, so brachen sie auf.</w:t>
      </w:r>
    </w:p>
    <w:p w14:paraId="69D9BD98" w14:textId="77777777" w:rsidR="00F253E0" w:rsidRPr="00F253E0" w:rsidRDefault="00F329DD" w:rsidP="00F253E0">
      <w:pPr>
        <w:spacing w:after="0" w:line="240" w:lineRule="auto"/>
        <w:rPr>
          <w:rFonts w:eastAsia="Times New Roman" w:cs="Times New Roman"/>
          <w:lang w:eastAsia="de-DE"/>
        </w:rPr>
      </w:pPr>
      <w:r>
        <w:rPr>
          <w:rFonts w:eastAsia="Times New Roman" w:cs="Times New Roman"/>
          <w:noProof/>
          <w:lang w:eastAsia="de-DE"/>
        </w:rPr>
        <w:pict w14:anchorId="2F6575A5">
          <v:rect id="_x0000_i1341" style="width:0;height:1.5pt" o:hralign="center" o:hrstd="t" o:hr="t" fillcolor="#a0a0a0" stroked="f"/>
        </w:pict>
      </w:r>
    </w:p>
    <w:p w14:paraId="614B4F00"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lastRenderedPageBreak/>
        <w:t>Kommentar:</w:t>
      </w:r>
      <w:r w:rsidRPr="00F253E0">
        <w:rPr>
          <w:rFonts w:eastAsia="Times New Roman" w:cs="Times New Roman"/>
          <w:lang w:eastAsia="de-DE"/>
        </w:rPr>
        <w:t xml:space="preserve"> Die erste zeitliche Möglichkeit </w:t>
      </w:r>
      <w:r w:rsidRPr="00F253E0">
        <w:rPr>
          <w:rFonts w:eastAsia="Times New Roman" w:cs="Times New Roman"/>
          <w:b/>
          <w:bCs/>
          <w:rtl/>
          <w:lang w:eastAsia="de-DE"/>
        </w:rPr>
        <w:t>וְיֵשׁ אֲשֶׁר יִהְיֶה הֶעָנָן מֵעֶרֶב עַד־בֹּקֶר</w:t>
      </w:r>
      <w:r w:rsidRPr="00F253E0">
        <w:rPr>
          <w:rFonts w:eastAsia="Times New Roman" w:cs="Times New Roman"/>
          <w:rtl/>
          <w:lang w:eastAsia="de-DE"/>
        </w:rPr>
        <w:t xml:space="preserve"> </w:t>
      </w:r>
      <w:r w:rsidRPr="00F253E0">
        <w:rPr>
          <w:rFonts w:eastAsia="Times New Roman" w:cs="Times New Roman"/>
          <w:lang w:eastAsia="de-DE"/>
        </w:rPr>
        <w:t xml:space="preserve">zeigt die kürzeste Verweilzeit: nur eine Nacht von </w:t>
      </w:r>
      <w:r w:rsidRPr="00F253E0">
        <w:rPr>
          <w:rFonts w:eastAsia="Times New Roman" w:cs="Times New Roman"/>
          <w:b/>
          <w:bCs/>
          <w:rtl/>
          <w:lang w:eastAsia="de-DE"/>
        </w:rPr>
        <w:t>מֵעֶרֶב עַד־בֹּקֶר</w:t>
      </w:r>
      <w:r w:rsidRPr="00F253E0">
        <w:rPr>
          <w:rFonts w:eastAsia="Times New Roman" w:cs="Times New Roman"/>
          <w:rtl/>
          <w:lang w:eastAsia="de-DE"/>
        </w:rPr>
        <w:t xml:space="preserve"> </w:t>
      </w:r>
      <w:r w:rsidRPr="00F253E0">
        <w:rPr>
          <w:rFonts w:eastAsia="Times New Roman" w:cs="Times New Roman"/>
          <w:lang w:eastAsia="de-DE"/>
        </w:rPr>
        <w:t>(vom Abend bis zum Morgen).</w:t>
      </w:r>
    </w:p>
    <w:p w14:paraId="2122AA96"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Aufbruchssequenz </w:t>
      </w:r>
      <w:r w:rsidRPr="00F253E0">
        <w:rPr>
          <w:rFonts w:eastAsia="Times New Roman" w:cs="Times New Roman"/>
          <w:b/>
          <w:bCs/>
          <w:rtl/>
          <w:lang w:eastAsia="de-DE"/>
        </w:rPr>
        <w:t>וְנַעֲלָה הֶעָנָן בַּבֹּקֶר וְנָסָעוּ</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נַעֲלָה</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עלה</w:t>
      </w:r>
      <w:r w:rsidRPr="00F253E0">
        <w:rPr>
          <w:rFonts w:eastAsia="Times New Roman" w:cs="Times New Roman"/>
          <w:rtl/>
          <w:lang w:eastAsia="de-DE"/>
        </w:rPr>
        <w:t xml:space="preserve"> </w:t>
      </w:r>
      <w:r w:rsidRPr="00F253E0">
        <w:rPr>
          <w:rFonts w:eastAsia="Times New Roman" w:cs="Times New Roman"/>
          <w:lang w:eastAsia="de-DE"/>
        </w:rPr>
        <w:t xml:space="preserve">(sich erheben) im Niph'al-Perfekt 3. maskulin Singular und </w:t>
      </w:r>
      <w:r w:rsidRPr="00F253E0">
        <w:rPr>
          <w:rFonts w:eastAsia="Times New Roman" w:cs="Times New Roman"/>
          <w:b/>
          <w:bCs/>
          <w:rtl/>
          <w:lang w:eastAsia="de-DE"/>
        </w:rPr>
        <w:t>נָסָעוּ</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נסע</w:t>
      </w:r>
      <w:r w:rsidRPr="00F253E0">
        <w:rPr>
          <w:rFonts w:eastAsia="Times New Roman" w:cs="Times New Roman"/>
          <w:rtl/>
          <w:lang w:eastAsia="de-DE"/>
        </w:rPr>
        <w:t xml:space="preserve"> </w:t>
      </w:r>
      <w:r w:rsidRPr="00F253E0">
        <w:rPr>
          <w:rFonts w:eastAsia="Times New Roman" w:cs="Times New Roman"/>
          <w:lang w:eastAsia="de-DE"/>
        </w:rPr>
        <w:t>(aufbrechen) zeigt die sofortige Reaktion auf das göttliche Signal.</w:t>
      </w:r>
    </w:p>
    <w:p w14:paraId="49F7126F"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alternative Zeitangabe </w:t>
      </w:r>
      <w:r w:rsidRPr="00F253E0">
        <w:rPr>
          <w:rFonts w:eastAsia="Times New Roman" w:cs="Times New Roman"/>
          <w:b/>
          <w:bCs/>
          <w:rtl/>
          <w:lang w:eastAsia="de-DE"/>
        </w:rPr>
        <w:t>אוֹ יוֹמָם וָלַיְלָה וְנַעֲלָה הֶעָנָן וְנָסָעוּ</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אוֹ</w:t>
      </w:r>
      <w:r w:rsidRPr="00F253E0">
        <w:rPr>
          <w:rFonts w:eastAsia="Times New Roman" w:cs="Times New Roman"/>
          <w:rtl/>
          <w:lang w:eastAsia="de-DE"/>
        </w:rPr>
        <w:t xml:space="preserve"> </w:t>
      </w:r>
      <w:r w:rsidRPr="00F253E0">
        <w:rPr>
          <w:rFonts w:eastAsia="Times New Roman" w:cs="Times New Roman"/>
          <w:lang w:eastAsia="de-DE"/>
        </w:rPr>
        <w:t xml:space="preserve">(oder), </w:t>
      </w:r>
      <w:r w:rsidRPr="00F253E0">
        <w:rPr>
          <w:rFonts w:eastAsia="Times New Roman" w:cs="Times New Roman"/>
          <w:b/>
          <w:bCs/>
          <w:rtl/>
          <w:lang w:eastAsia="de-DE"/>
        </w:rPr>
        <w:t>יוֹמָם וָלַיְלָה</w:t>
      </w:r>
      <w:r w:rsidRPr="00F253E0">
        <w:rPr>
          <w:rFonts w:eastAsia="Times New Roman" w:cs="Times New Roman"/>
          <w:rtl/>
          <w:lang w:eastAsia="de-DE"/>
        </w:rPr>
        <w:t xml:space="preserve"> </w:t>
      </w:r>
      <w:r w:rsidRPr="00F253E0">
        <w:rPr>
          <w:rFonts w:eastAsia="Times New Roman" w:cs="Times New Roman"/>
          <w:lang w:eastAsia="de-DE"/>
        </w:rPr>
        <w:t>(Tag und Nacht = 24 Stunden) und der wiederholten Aufbruchssequenz zeigt eine weitere kurze Verweilmöglichkeit.</w:t>
      </w:r>
    </w:p>
    <w:p w14:paraId="268B1347"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Die LXX</w:t>
      </w:r>
      <w:r w:rsidRPr="00F253E0">
        <w:rPr>
          <w:rFonts w:eastAsia="Times New Roman" w:cs="Times New Roman"/>
          <w:lang w:eastAsia="de-DE"/>
        </w:rPr>
        <w:t xml:space="preserve"> übersetzt </w:t>
      </w:r>
      <w:r w:rsidRPr="00F253E0">
        <w:rPr>
          <w:rFonts w:eastAsia="Times New Roman" w:cs="Times New Roman"/>
          <w:b/>
          <w:bCs/>
          <w:rtl/>
          <w:lang w:eastAsia="de-DE"/>
        </w:rPr>
        <w:t>מֵעֶרֶב עַד־בֹּקֶר</w:t>
      </w:r>
      <w:r w:rsidRPr="00F253E0">
        <w:rPr>
          <w:rFonts w:eastAsia="Times New Roman" w:cs="Times New Roman"/>
          <w:rtl/>
          <w:lang w:eastAsia="de-DE"/>
        </w:rPr>
        <w:t xml:space="preserve"> </w:t>
      </w:r>
      <w:r w:rsidRPr="00F253E0">
        <w:rPr>
          <w:rFonts w:eastAsia="Times New Roman" w:cs="Times New Roman"/>
          <w:lang w:eastAsia="de-DE"/>
        </w:rPr>
        <w:t xml:space="preserve">mit ἀπὸ ἑσπέρας ἕως πρωί (von Abend bis Morgen) und </w:t>
      </w:r>
      <w:r w:rsidRPr="00F253E0">
        <w:rPr>
          <w:rFonts w:eastAsia="Times New Roman" w:cs="Times New Roman"/>
          <w:b/>
          <w:bCs/>
          <w:rtl/>
          <w:lang w:eastAsia="de-DE"/>
        </w:rPr>
        <w:t>יוֹמָם וָלַיְלָה</w:t>
      </w:r>
      <w:r w:rsidRPr="00F253E0">
        <w:rPr>
          <w:rFonts w:eastAsia="Times New Roman" w:cs="Times New Roman"/>
          <w:rtl/>
          <w:lang w:eastAsia="de-DE"/>
        </w:rPr>
        <w:t xml:space="preserve"> </w:t>
      </w:r>
      <w:r w:rsidRPr="00F253E0">
        <w:rPr>
          <w:rFonts w:eastAsia="Times New Roman" w:cs="Times New Roman"/>
          <w:lang w:eastAsia="de-DE"/>
        </w:rPr>
        <w:t>mit ἡμέραν καὶ νύκτα.</w:t>
      </w:r>
    </w:p>
    <w:p w14:paraId="406F544C"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 Satzstruktur zeigt zwei kurze Verweilmöglichkeiten mit identischen Aufbruchsreaktionen.</w:t>
      </w:r>
    </w:p>
    <w:p w14:paraId="0A01C8B8"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Dieser Vers zeigt die kürzesten möglichen Verweilzeiten und die sofortige israelitische Bereitschaft zum Aufbruch.</w:t>
      </w:r>
    </w:p>
    <w:p w14:paraId="017DFDE9" w14:textId="77777777" w:rsidR="00F253E0" w:rsidRPr="00F253E0" w:rsidRDefault="00F253E0" w:rsidP="00F253E0">
      <w:pPr>
        <w:spacing w:before="100" w:beforeAutospacing="1" w:after="100" w:afterAutospacing="1" w:line="240" w:lineRule="auto"/>
        <w:outlineLvl w:val="0"/>
        <w:rPr>
          <w:rFonts w:eastAsia="Times New Roman" w:cs="Times New Roman"/>
          <w:b/>
          <w:bCs/>
          <w:kern w:val="36"/>
          <w:sz w:val="48"/>
          <w:szCs w:val="48"/>
          <w:lang w:eastAsia="de-DE"/>
        </w:rPr>
      </w:pPr>
      <w:r w:rsidRPr="00F253E0">
        <w:rPr>
          <w:rFonts w:eastAsia="Times New Roman" w:cs="Times New Roman"/>
          <w:b/>
          <w:bCs/>
          <w:kern w:val="36"/>
          <w:sz w:val="48"/>
          <w:szCs w:val="48"/>
          <w:lang w:eastAsia="de-DE"/>
        </w:rPr>
        <w:t>Numeri 9,22</w:t>
      </w:r>
    </w:p>
    <w:p w14:paraId="5982768F"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Hebräisch:</w:t>
      </w:r>
      <w:r w:rsidRPr="00F253E0">
        <w:rPr>
          <w:rFonts w:eastAsia="Times New Roman" w:cs="Times New Roman"/>
          <w:lang w:eastAsia="de-DE"/>
        </w:rPr>
        <w:t xml:space="preserve"> </w:t>
      </w:r>
      <w:r w:rsidRPr="00F253E0">
        <w:rPr>
          <w:rFonts w:eastAsia="Times New Roman" w:cs="Times New Roman"/>
          <w:rtl/>
          <w:lang w:eastAsia="de-DE"/>
        </w:rPr>
        <w:t>אֽוֹ־יֹמַ֜יִם אוֹ־חֹ֣דֶשׁ אוֹ־יָמִ֗ים בְּהַאֲרִ֨יךְ הֶעָנָ֤ן עַל־הַמִּשְׁכָּן֙ לִשְׁכֹּ֣ן עָלָ֔יו יַחֲנ֥וּ בְנֵֽי־יִשְׂרָאֵ֖ל וְלֹ֣א יִסָּ֑עוּ וּבְהֵעָלֹתוֹ֖ יִסָּֽעוּ׃</w:t>
      </w:r>
    </w:p>
    <w:p w14:paraId="7D0B3E83"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Deutsch:</w:t>
      </w:r>
      <w:r w:rsidRPr="00F253E0">
        <w:rPr>
          <w:rFonts w:eastAsia="Times New Roman" w:cs="Times New Roman"/>
          <w:lang w:eastAsia="de-DE"/>
        </w:rPr>
        <w:t xml:space="preserve"> Oder zwei Tage oder einen Monat oder eine längere Zeit - wenn die Wolke auf der Wohnung verweilte, indem sie darauf ruhte, so lagerten die Söhne Jisra'els und brachen nicht auf; und wenn sie sich erhob, so brachen sie auf.</w:t>
      </w:r>
    </w:p>
    <w:p w14:paraId="336A28D8" w14:textId="77777777" w:rsidR="00F253E0" w:rsidRPr="00F253E0" w:rsidRDefault="00F329DD" w:rsidP="00F253E0">
      <w:pPr>
        <w:spacing w:after="0" w:line="240" w:lineRule="auto"/>
        <w:rPr>
          <w:rFonts w:eastAsia="Times New Roman" w:cs="Times New Roman"/>
          <w:lang w:eastAsia="de-DE"/>
        </w:rPr>
      </w:pPr>
      <w:r>
        <w:rPr>
          <w:rFonts w:eastAsia="Times New Roman" w:cs="Times New Roman"/>
          <w:noProof/>
          <w:lang w:eastAsia="de-DE"/>
        </w:rPr>
        <w:pict w14:anchorId="625F1800">
          <v:rect id="_x0000_i1342" style="width:0;height:1.5pt" o:hralign="center" o:hrstd="t" o:hr="t" fillcolor="#a0a0a0" stroked="f"/>
        </w:pict>
      </w:r>
    </w:p>
    <w:p w14:paraId="0AADA6B0"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Kommentar:</w:t>
      </w:r>
      <w:r w:rsidRPr="00F253E0">
        <w:rPr>
          <w:rFonts w:eastAsia="Times New Roman" w:cs="Times New Roman"/>
          <w:lang w:eastAsia="de-DE"/>
        </w:rPr>
        <w:t xml:space="preserve"> Die gestaffelte Zeitreihe </w:t>
      </w:r>
      <w:r w:rsidRPr="00F253E0">
        <w:rPr>
          <w:rFonts w:eastAsia="Times New Roman" w:cs="Times New Roman"/>
          <w:b/>
          <w:bCs/>
          <w:rtl/>
          <w:lang w:eastAsia="de-DE"/>
        </w:rPr>
        <w:t>אוֹ־יֹמַיִם אוֹ־חֹדֶשׁ אוֹ־יָמִים</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אוֹ</w:t>
      </w:r>
      <w:r w:rsidRPr="00F253E0">
        <w:rPr>
          <w:rFonts w:eastAsia="Times New Roman" w:cs="Times New Roman"/>
          <w:rtl/>
          <w:lang w:eastAsia="de-DE"/>
        </w:rPr>
        <w:t xml:space="preserve"> </w:t>
      </w:r>
      <w:r w:rsidRPr="00F253E0">
        <w:rPr>
          <w:rFonts w:eastAsia="Times New Roman" w:cs="Times New Roman"/>
          <w:lang w:eastAsia="de-DE"/>
        </w:rPr>
        <w:t xml:space="preserve">(oder), </w:t>
      </w:r>
      <w:r w:rsidRPr="00F253E0">
        <w:rPr>
          <w:rFonts w:eastAsia="Times New Roman" w:cs="Times New Roman"/>
          <w:b/>
          <w:bCs/>
          <w:rtl/>
          <w:lang w:eastAsia="de-DE"/>
        </w:rPr>
        <w:t>יֹמַיִם</w:t>
      </w:r>
      <w:r w:rsidRPr="00F253E0">
        <w:rPr>
          <w:rFonts w:eastAsia="Times New Roman" w:cs="Times New Roman"/>
          <w:rtl/>
          <w:lang w:eastAsia="de-DE"/>
        </w:rPr>
        <w:t xml:space="preserve"> </w:t>
      </w:r>
      <w:r w:rsidRPr="00F253E0">
        <w:rPr>
          <w:rFonts w:eastAsia="Times New Roman" w:cs="Times New Roman"/>
          <w:lang w:eastAsia="de-DE"/>
        </w:rPr>
        <w:t xml:space="preserve">(zwei Tage), </w:t>
      </w:r>
      <w:r w:rsidRPr="00F253E0">
        <w:rPr>
          <w:rFonts w:eastAsia="Times New Roman" w:cs="Times New Roman"/>
          <w:b/>
          <w:bCs/>
          <w:rtl/>
          <w:lang w:eastAsia="de-DE"/>
        </w:rPr>
        <w:t>חֹדֶשׁ</w:t>
      </w:r>
      <w:r w:rsidRPr="00F253E0">
        <w:rPr>
          <w:rFonts w:eastAsia="Times New Roman" w:cs="Times New Roman"/>
          <w:rtl/>
          <w:lang w:eastAsia="de-DE"/>
        </w:rPr>
        <w:t xml:space="preserve"> </w:t>
      </w:r>
      <w:r w:rsidRPr="00F253E0">
        <w:rPr>
          <w:rFonts w:eastAsia="Times New Roman" w:cs="Times New Roman"/>
          <w:lang w:eastAsia="de-DE"/>
        </w:rPr>
        <w:t xml:space="preserve">(Monat) und </w:t>
      </w:r>
      <w:r w:rsidRPr="00F253E0">
        <w:rPr>
          <w:rFonts w:eastAsia="Times New Roman" w:cs="Times New Roman"/>
          <w:b/>
          <w:bCs/>
          <w:rtl/>
          <w:lang w:eastAsia="de-DE"/>
        </w:rPr>
        <w:t>יָמִים</w:t>
      </w:r>
      <w:r w:rsidRPr="00F253E0">
        <w:rPr>
          <w:rFonts w:eastAsia="Times New Roman" w:cs="Times New Roman"/>
          <w:rtl/>
          <w:lang w:eastAsia="de-DE"/>
        </w:rPr>
        <w:t xml:space="preserve"> </w:t>
      </w:r>
      <w:r w:rsidRPr="00F253E0">
        <w:rPr>
          <w:rFonts w:eastAsia="Times New Roman" w:cs="Times New Roman"/>
          <w:lang w:eastAsia="de-DE"/>
        </w:rPr>
        <w:t>(Tage = längere Zeit) zeigt die Steigerung möglicher Verweilzeiten.</w:t>
      </w:r>
    </w:p>
    <w:p w14:paraId="42E0549A"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kausale Bestimmung </w:t>
      </w:r>
      <w:r w:rsidRPr="00F253E0">
        <w:rPr>
          <w:rFonts w:eastAsia="Times New Roman" w:cs="Times New Roman"/>
          <w:b/>
          <w:bCs/>
          <w:rtl/>
          <w:lang w:eastAsia="de-DE"/>
        </w:rPr>
        <w:t>בְּהַאֲרִיךְ הֶעָנָן עַל־הַמִּשְׁכָּן לִשְׁכֹּן עָלָיו</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בְהַאֲרִיךְ</w:t>
      </w:r>
      <w:r w:rsidRPr="00F253E0">
        <w:rPr>
          <w:rFonts w:eastAsia="Times New Roman" w:cs="Times New Roman"/>
          <w:rtl/>
          <w:lang w:eastAsia="de-DE"/>
        </w:rPr>
        <w:t xml:space="preserve"> </w:t>
      </w:r>
      <w:r w:rsidRPr="00F253E0">
        <w:rPr>
          <w:rFonts w:eastAsia="Times New Roman" w:cs="Times New Roman"/>
          <w:lang w:eastAsia="de-DE"/>
        </w:rPr>
        <w:t xml:space="preserve">(beim Verweilen), </w:t>
      </w:r>
      <w:r w:rsidRPr="00F253E0">
        <w:rPr>
          <w:rFonts w:eastAsia="Times New Roman" w:cs="Times New Roman"/>
          <w:b/>
          <w:bCs/>
          <w:rtl/>
          <w:lang w:eastAsia="de-DE"/>
        </w:rPr>
        <w:t>הֶעָנָן</w:t>
      </w:r>
      <w:r w:rsidRPr="00F253E0">
        <w:rPr>
          <w:rFonts w:eastAsia="Times New Roman" w:cs="Times New Roman"/>
          <w:rtl/>
          <w:lang w:eastAsia="de-DE"/>
        </w:rPr>
        <w:t xml:space="preserve"> </w:t>
      </w:r>
      <w:r w:rsidRPr="00F253E0">
        <w:rPr>
          <w:rFonts w:eastAsia="Times New Roman" w:cs="Times New Roman"/>
          <w:lang w:eastAsia="de-DE"/>
        </w:rPr>
        <w:t xml:space="preserve">(die Wolke), </w:t>
      </w:r>
      <w:r w:rsidRPr="00F253E0">
        <w:rPr>
          <w:rFonts w:eastAsia="Times New Roman" w:cs="Times New Roman"/>
          <w:b/>
          <w:bCs/>
          <w:rtl/>
          <w:lang w:eastAsia="de-DE"/>
        </w:rPr>
        <w:t>עַל־הַמִּשְׁכָּן</w:t>
      </w:r>
      <w:r w:rsidRPr="00F253E0">
        <w:rPr>
          <w:rFonts w:eastAsia="Times New Roman" w:cs="Times New Roman"/>
          <w:rtl/>
          <w:lang w:eastAsia="de-DE"/>
        </w:rPr>
        <w:t xml:space="preserve"> </w:t>
      </w:r>
      <w:r w:rsidRPr="00F253E0">
        <w:rPr>
          <w:rFonts w:eastAsia="Times New Roman" w:cs="Times New Roman"/>
          <w:lang w:eastAsia="de-DE"/>
        </w:rPr>
        <w:t xml:space="preserve">(auf der Wohnung) und </w:t>
      </w:r>
      <w:r w:rsidRPr="00F253E0">
        <w:rPr>
          <w:rFonts w:eastAsia="Times New Roman" w:cs="Times New Roman"/>
          <w:b/>
          <w:bCs/>
          <w:rtl/>
          <w:lang w:eastAsia="de-DE"/>
        </w:rPr>
        <w:t>לִשְׁכֹּן עָלָיו</w:t>
      </w:r>
      <w:r w:rsidRPr="00F253E0">
        <w:rPr>
          <w:rFonts w:eastAsia="Times New Roman" w:cs="Times New Roman"/>
          <w:rtl/>
          <w:lang w:eastAsia="de-DE"/>
        </w:rPr>
        <w:t xml:space="preserve"> </w:t>
      </w:r>
      <w:r w:rsidRPr="00F253E0">
        <w:rPr>
          <w:rFonts w:eastAsia="Times New Roman" w:cs="Times New Roman"/>
          <w:lang w:eastAsia="de-DE"/>
        </w:rPr>
        <w:t>(um darauf zu ruhen) betont die aktive göttliche Präsenz.</w:t>
      </w:r>
    </w:p>
    <w:p w14:paraId="331A674C"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israelitische Reaktion </w:t>
      </w:r>
      <w:r w:rsidRPr="00F253E0">
        <w:rPr>
          <w:rFonts w:eastAsia="Times New Roman" w:cs="Times New Roman"/>
          <w:b/>
          <w:bCs/>
          <w:rtl/>
          <w:lang w:eastAsia="de-DE"/>
        </w:rPr>
        <w:t>יַחֲנוּ בְנֵי־יִשְׂרָאֵל וְלֹא יִסָּעוּ</w:t>
      </w:r>
      <w:r w:rsidRPr="00F253E0">
        <w:rPr>
          <w:rFonts w:eastAsia="Times New Roman" w:cs="Times New Roman"/>
          <w:rtl/>
          <w:lang w:eastAsia="de-DE"/>
        </w:rPr>
        <w:t xml:space="preserve"> </w:t>
      </w:r>
      <w:r w:rsidRPr="00F253E0">
        <w:rPr>
          <w:rFonts w:eastAsia="Times New Roman" w:cs="Times New Roman"/>
          <w:lang w:eastAsia="de-DE"/>
        </w:rPr>
        <w:t>(die Söhne Israels lagerten und brachen nicht auf) zeigt disziplinierte Geduld bei jeder Zeitdauer.</w:t>
      </w:r>
    </w:p>
    <w:p w14:paraId="16F98FCD"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Aufbruchsbedingung </w:t>
      </w:r>
      <w:r w:rsidRPr="00F253E0">
        <w:rPr>
          <w:rFonts w:eastAsia="Times New Roman" w:cs="Times New Roman"/>
          <w:b/>
          <w:bCs/>
          <w:rtl/>
          <w:lang w:eastAsia="de-DE"/>
        </w:rPr>
        <w:t>וּבְהֵעָלֹתוֹ יִסָּעוּ</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בְהֵעָלֹתוֹ</w:t>
      </w:r>
      <w:r w:rsidRPr="00F253E0">
        <w:rPr>
          <w:rFonts w:eastAsia="Times New Roman" w:cs="Times New Roman"/>
          <w:rtl/>
          <w:lang w:eastAsia="de-DE"/>
        </w:rPr>
        <w:t xml:space="preserve"> </w:t>
      </w:r>
      <w:r w:rsidRPr="00F253E0">
        <w:rPr>
          <w:rFonts w:eastAsia="Times New Roman" w:cs="Times New Roman"/>
          <w:lang w:eastAsia="de-DE"/>
        </w:rPr>
        <w:t xml:space="preserve">(bei seinem Sich-Erheben) und </w:t>
      </w:r>
      <w:r w:rsidRPr="00F253E0">
        <w:rPr>
          <w:rFonts w:eastAsia="Times New Roman" w:cs="Times New Roman"/>
          <w:b/>
          <w:bCs/>
          <w:rtl/>
          <w:lang w:eastAsia="de-DE"/>
        </w:rPr>
        <w:t>יִסָּעוּ</w:t>
      </w:r>
      <w:r w:rsidRPr="00F253E0">
        <w:rPr>
          <w:rFonts w:eastAsia="Times New Roman" w:cs="Times New Roman"/>
          <w:rtl/>
          <w:lang w:eastAsia="de-DE"/>
        </w:rPr>
        <w:t xml:space="preserve"> </w:t>
      </w:r>
      <w:r w:rsidRPr="00F253E0">
        <w:rPr>
          <w:rFonts w:eastAsia="Times New Roman" w:cs="Times New Roman"/>
          <w:lang w:eastAsia="de-DE"/>
        </w:rPr>
        <w:t>(sie brachen auf) zeigt die konstante Bereitschaft zur Bewegung.</w:t>
      </w:r>
    </w:p>
    <w:p w14:paraId="7B088405" w14:textId="77777777" w:rsidR="00A1074A" w:rsidRDefault="00A1074A" w:rsidP="00F253E0">
      <w:pPr>
        <w:spacing w:before="100" w:beforeAutospacing="1" w:after="100" w:afterAutospacing="1" w:line="240" w:lineRule="auto"/>
      </w:pPr>
      <w:r>
        <w:rPr>
          <w:rStyle w:val="Fett"/>
        </w:rPr>
        <w:t>Die LXX</w:t>
      </w:r>
      <w:r>
        <w:t xml:space="preserve"> übersetzt </w:t>
      </w:r>
      <w:r w:rsidRPr="00A1074A">
        <w:rPr>
          <w:b/>
          <w:bCs/>
          <w:rtl/>
        </w:rPr>
        <w:t>או־ימים או־חדש או־ימים</w:t>
      </w:r>
      <w:r>
        <w:t xml:space="preserve"> (o-yomayim o-chodesh o-yamim - "oder zwei Tage oder einen Monat oder Tage") als ἡμέρας ἢ μηνός (Tage oder einen Monat), wobei sie die redundante Formulierung vereinfacht. Die Phrase </w:t>
      </w:r>
      <w:r w:rsidRPr="00A1074A">
        <w:rPr>
          <w:b/>
          <w:bCs/>
          <w:rtl/>
        </w:rPr>
        <w:t>בהאריך</w:t>
      </w:r>
      <w:r>
        <w:rPr>
          <w:rtl/>
        </w:rPr>
        <w:t xml:space="preserve"> </w:t>
      </w:r>
      <w:r w:rsidRPr="00A1074A">
        <w:rPr>
          <w:b/>
          <w:bCs/>
          <w:rtl/>
        </w:rPr>
        <w:t>הענן</w:t>
      </w:r>
      <w:r>
        <w:t xml:space="preserve"> (beha'arich he'anan - "wenn die Wolke sich verlängerte/verweilte") wird als πλεοναζούσης τῆς νεφέλης (während die Wolke sich vermehrt/verlängert) übersetzt.</w:t>
      </w:r>
    </w:p>
    <w:p w14:paraId="6585A023" w14:textId="7C5C4679"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lastRenderedPageBreak/>
        <w:t>Die Satzstruktur zeigt eine umfassende Zeitstaffelung mit kausaler Verweilbestimmung, disziplinierter Lagerung und konditionellem Aufbruch.</w:t>
      </w:r>
    </w:p>
    <w:p w14:paraId="525D4B23"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Dieser Vers komplettiert die möglichen Verweilzeiten von einer Nacht bis zu Monaten bei konstanter israelitischer Disziplin.</w:t>
      </w:r>
    </w:p>
    <w:p w14:paraId="6018512F" w14:textId="77777777" w:rsidR="00F253E0" w:rsidRPr="00F253E0" w:rsidRDefault="00F253E0" w:rsidP="00F253E0">
      <w:pPr>
        <w:spacing w:before="100" w:beforeAutospacing="1" w:after="100" w:afterAutospacing="1" w:line="240" w:lineRule="auto"/>
        <w:outlineLvl w:val="0"/>
        <w:rPr>
          <w:rFonts w:eastAsia="Times New Roman" w:cs="Times New Roman"/>
          <w:b/>
          <w:bCs/>
          <w:kern w:val="36"/>
          <w:sz w:val="48"/>
          <w:szCs w:val="48"/>
          <w:lang w:eastAsia="de-DE"/>
        </w:rPr>
      </w:pPr>
      <w:r w:rsidRPr="00F253E0">
        <w:rPr>
          <w:rFonts w:eastAsia="Times New Roman" w:cs="Times New Roman"/>
          <w:b/>
          <w:bCs/>
          <w:kern w:val="36"/>
          <w:sz w:val="48"/>
          <w:szCs w:val="48"/>
          <w:lang w:eastAsia="de-DE"/>
        </w:rPr>
        <w:t>Numeri 9,23</w:t>
      </w:r>
    </w:p>
    <w:p w14:paraId="1FEF5F41"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Hebräisch:</w:t>
      </w:r>
      <w:r w:rsidRPr="00F253E0">
        <w:rPr>
          <w:rFonts w:eastAsia="Times New Roman" w:cs="Times New Roman"/>
          <w:lang w:eastAsia="de-DE"/>
        </w:rPr>
        <w:t xml:space="preserve"> </w:t>
      </w:r>
      <w:r w:rsidRPr="00F253E0">
        <w:rPr>
          <w:rFonts w:eastAsia="Times New Roman" w:cs="Times New Roman"/>
          <w:rtl/>
          <w:lang w:eastAsia="de-DE"/>
        </w:rPr>
        <w:t>עַל־פִּ֤י יְהוָה֙ יַחֲנ֔וּ וְעַל־פִּ֥י יְהוָ֖ה יִסָּ֑עוּ אֶת־מִשְׁמֶ֤רֶת יְהוָה֙ שָׁמָ֔רוּ עַל־פִּ֥י יְהוָ֖ה בְּיַד־מֹשֶֽׁה׃</w:t>
      </w:r>
    </w:p>
    <w:p w14:paraId="3D25F8A9"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Deutsch:</w:t>
      </w:r>
      <w:r w:rsidRPr="00F253E0">
        <w:rPr>
          <w:rFonts w:eastAsia="Times New Roman" w:cs="Times New Roman"/>
          <w:lang w:eastAsia="de-DE"/>
        </w:rPr>
        <w:t xml:space="preserve"> Nach dem Befehl des Ewigen lagerten sie, und nach dem Befehl des Ewigen brachen sie auf; sie bewahrten die Anordnung des Ewigen nach dem Befehl des Ewigen durch Mosche.</w:t>
      </w:r>
    </w:p>
    <w:p w14:paraId="74C14023" w14:textId="77777777" w:rsidR="00F253E0" w:rsidRPr="00F253E0" w:rsidRDefault="00F329DD" w:rsidP="00F253E0">
      <w:pPr>
        <w:spacing w:after="0" w:line="240" w:lineRule="auto"/>
        <w:rPr>
          <w:rFonts w:eastAsia="Times New Roman" w:cs="Times New Roman"/>
          <w:lang w:eastAsia="de-DE"/>
        </w:rPr>
      </w:pPr>
      <w:r>
        <w:rPr>
          <w:rFonts w:eastAsia="Times New Roman" w:cs="Times New Roman"/>
          <w:noProof/>
          <w:lang w:eastAsia="de-DE"/>
        </w:rPr>
        <w:pict w14:anchorId="7528A8C4">
          <v:rect id="_x0000_i1343" style="width:0;height:1.5pt" o:hralign="center" o:hrstd="t" o:hr="t" fillcolor="#a0a0a0" stroked="f"/>
        </w:pict>
      </w:r>
    </w:p>
    <w:p w14:paraId="34C66944" w14:textId="526A2B0E"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b/>
          <w:bCs/>
          <w:lang w:eastAsia="de-DE"/>
        </w:rPr>
        <w:t>Kommentar:</w:t>
      </w:r>
      <w:r w:rsidRPr="00F253E0">
        <w:rPr>
          <w:rFonts w:eastAsia="Times New Roman" w:cs="Times New Roman"/>
          <w:lang w:eastAsia="de-DE"/>
        </w:rPr>
        <w:t xml:space="preserve"> Die abschließende Wiederholung </w:t>
      </w:r>
      <w:r w:rsidRPr="00F253E0">
        <w:rPr>
          <w:rFonts w:eastAsia="Times New Roman" w:cs="Times New Roman"/>
          <w:b/>
          <w:bCs/>
          <w:rtl/>
          <w:lang w:eastAsia="de-DE"/>
        </w:rPr>
        <w:t>עַל־פִּי יְהוָה יַחֲנוּ וְעַל־פִּי יְהוָה יִסָּעוּ</w:t>
      </w:r>
      <w:r w:rsidRPr="00F253E0">
        <w:rPr>
          <w:rFonts w:eastAsia="Times New Roman" w:cs="Times New Roman"/>
          <w:rtl/>
          <w:lang w:eastAsia="de-DE"/>
        </w:rPr>
        <w:t xml:space="preserve"> </w:t>
      </w:r>
      <w:r w:rsidRPr="00F253E0">
        <w:rPr>
          <w:rFonts w:eastAsia="Times New Roman" w:cs="Times New Roman"/>
          <w:lang w:eastAsia="de-DE"/>
        </w:rPr>
        <w:t xml:space="preserve">der parallelen </w:t>
      </w:r>
      <w:r w:rsidR="00F133EC">
        <w:rPr>
          <w:rFonts w:eastAsia="Times New Roman" w:cs="Times New Roman"/>
          <w:lang w:eastAsia="de-DE"/>
        </w:rPr>
        <w:t>Construct</w:t>
      </w:r>
      <w:r w:rsidRPr="00F253E0">
        <w:rPr>
          <w:rFonts w:eastAsia="Times New Roman" w:cs="Times New Roman"/>
          <w:lang w:eastAsia="de-DE"/>
        </w:rPr>
        <w:t>ion aus den Versen 18 und 20 verstärkt die absolute göttliche Autorität über alle israelitischen Bewegungen.</w:t>
      </w:r>
    </w:p>
    <w:p w14:paraId="3AC11492"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zusammenfassende Treuebekundung </w:t>
      </w:r>
      <w:r w:rsidRPr="00F253E0">
        <w:rPr>
          <w:rFonts w:eastAsia="Times New Roman" w:cs="Times New Roman"/>
          <w:b/>
          <w:bCs/>
          <w:rtl/>
          <w:lang w:eastAsia="de-DE"/>
        </w:rPr>
        <w:t>אֶת־מִשְׁמֶרֶת יְהוָה שָׁמָרוּ</w:t>
      </w:r>
      <w:r w:rsidRPr="00F253E0">
        <w:rPr>
          <w:rFonts w:eastAsia="Times New Roman" w:cs="Times New Roman"/>
          <w:rtl/>
          <w:lang w:eastAsia="de-DE"/>
        </w:rPr>
        <w:t xml:space="preserve"> </w:t>
      </w:r>
      <w:r w:rsidRPr="00F253E0">
        <w:rPr>
          <w:rFonts w:eastAsia="Times New Roman" w:cs="Times New Roman"/>
          <w:lang w:eastAsia="de-DE"/>
        </w:rPr>
        <w:t xml:space="preserve">mit </w:t>
      </w:r>
      <w:r w:rsidRPr="00F253E0">
        <w:rPr>
          <w:rFonts w:eastAsia="Times New Roman" w:cs="Times New Roman"/>
          <w:b/>
          <w:bCs/>
          <w:rtl/>
          <w:lang w:eastAsia="de-DE"/>
        </w:rPr>
        <w:t>מִשְׁמֶרֶת יְהוָה</w:t>
      </w:r>
      <w:r w:rsidRPr="00F253E0">
        <w:rPr>
          <w:rFonts w:eastAsia="Times New Roman" w:cs="Times New Roman"/>
          <w:rtl/>
          <w:lang w:eastAsia="de-DE"/>
        </w:rPr>
        <w:t xml:space="preserve"> </w:t>
      </w:r>
      <w:r w:rsidRPr="00F253E0">
        <w:rPr>
          <w:rFonts w:eastAsia="Times New Roman" w:cs="Times New Roman"/>
          <w:lang w:eastAsia="de-DE"/>
        </w:rPr>
        <w:t xml:space="preserve">(Anordnung des Ewigen) und </w:t>
      </w:r>
      <w:r w:rsidRPr="00F253E0">
        <w:rPr>
          <w:rFonts w:eastAsia="Times New Roman" w:cs="Times New Roman"/>
          <w:b/>
          <w:bCs/>
          <w:rtl/>
          <w:lang w:eastAsia="de-DE"/>
        </w:rPr>
        <w:t>שָׁמָרוּ</w:t>
      </w:r>
      <w:r w:rsidRPr="00F253E0">
        <w:rPr>
          <w:rFonts w:eastAsia="Times New Roman" w:cs="Times New Roman"/>
          <w:rtl/>
          <w:lang w:eastAsia="de-DE"/>
        </w:rPr>
        <w:t xml:space="preserve"> </w:t>
      </w:r>
      <w:r w:rsidRPr="00F253E0">
        <w:rPr>
          <w:rFonts w:eastAsia="Times New Roman" w:cs="Times New Roman"/>
          <w:lang w:eastAsia="de-DE"/>
        </w:rPr>
        <w:t xml:space="preserve">von </w:t>
      </w:r>
      <w:r w:rsidRPr="00F253E0">
        <w:rPr>
          <w:rFonts w:eastAsia="Times New Roman" w:cs="Times New Roman"/>
          <w:b/>
          <w:bCs/>
          <w:rtl/>
          <w:lang w:eastAsia="de-DE"/>
        </w:rPr>
        <w:t>שמר</w:t>
      </w:r>
      <w:r w:rsidRPr="00F253E0">
        <w:rPr>
          <w:rFonts w:eastAsia="Times New Roman" w:cs="Times New Roman"/>
          <w:rtl/>
          <w:lang w:eastAsia="de-DE"/>
        </w:rPr>
        <w:t xml:space="preserve"> </w:t>
      </w:r>
      <w:r w:rsidRPr="00F253E0">
        <w:rPr>
          <w:rFonts w:eastAsia="Times New Roman" w:cs="Times New Roman"/>
          <w:lang w:eastAsia="de-DE"/>
        </w:rPr>
        <w:t>(bewahren) zeigt die israelitische Treue zu göttlichen Anweisungen.</w:t>
      </w:r>
    </w:p>
    <w:p w14:paraId="1C3EE7BA"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 xml:space="preserve">Die verstärkende Schlussformel </w:t>
      </w:r>
      <w:r w:rsidRPr="00F253E0">
        <w:rPr>
          <w:rFonts w:eastAsia="Times New Roman" w:cs="Times New Roman"/>
          <w:b/>
          <w:bCs/>
          <w:rtl/>
          <w:lang w:eastAsia="de-DE"/>
        </w:rPr>
        <w:t>עַל־פִּי יְהוָה בְּיַד־מֹשֶׁה</w:t>
      </w:r>
      <w:r w:rsidRPr="00F253E0">
        <w:rPr>
          <w:rFonts w:eastAsia="Times New Roman" w:cs="Times New Roman"/>
          <w:rtl/>
          <w:lang w:eastAsia="de-DE"/>
        </w:rPr>
        <w:t xml:space="preserve"> </w:t>
      </w:r>
      <w:r w:rsidRPr="00F253E0">
        <w:rPr>
          <w:rFonts w:eastAsia="Times New Roman" w:cs="Times New Roman"/>
          <w:lang w:eastAsia="de-DE"/>
        </w:rPr>
        <w:t xml:space="preserve">mit der dritten Wiederholung </w:t>
      </w:r>
      <w:r w:rsidRPr="00F253E0">
        <w:rPr>
          <w:rFonts w:eastAsia="Times New Roman" w:cs="Times New Roman"/>
          <w:b/>
          <w:bCs/>
          <w:rtl/>
          <w:lang w:eastAsia="de-DE"/>
        </w:rPr>
        <w:t>עַל־פִּי יְהוָה</w:t>
      </w:r>
      <w:r w:rsidRPr="00F253E0">
        <w:rPr>
          <w:rFonts w:eastAsia="Times New Roman" w:cs="Times New Roman"/>
          <w:rtl/>
          <w:lang w:eastAsia="de-DE"/>
        </w:rPr>
        <w:t xml:space="preserve"> </w:t>
      </w:r>
      <w:r w:rsidRPr="00F253E0">
        <w:rPr>
          <w:rFonts w:eastAsia="Times New Roman" w:cs="Times New Roman"/>
          <w:lang w:eastAsia="de-DE"/>
        </w:rPr>
        <w:t xml:space="preserve">(nach dem Befehl des Ewigen) und </w:t>
      </w:r>
      <w:r w:rsidRPr="00F253E0">
        <w:rPr>
          <w:rFonts w:eastAsia="Times New Roman" w:cs="Times New Roman"/>
          <w:b/>
          <w:bCs/>
          <w:rtl/>
          <w:lang w:eastAsia="de-DE"/>
        </w:rPr>
        <w:t>בְּיַד־מֹשֶׁה</w:t>
      </w:r>
      <w:r w:rsidRPr="00F253E0">
        <w:rPr>
          <w:rFonts w:eastAsia="Times New Roman" w:cs="Times New Roman"/>
          <w:rtl/>
          <w:lang w:eastAsia="de-DE"/>
        </w:rPr>
        <w:t xml:space="preserve"> </w:t>
      </w:r>
      <w:r w:rsidRPr="00F253E0">
        <w:rPr>
          <w:rFonts w:eastAsia="Times New Roman" w:cs="Times New Roman"/>
          <w:lang w:eastAsia="de-DE"/>
        </w:rPr>
        <w:t>(durch Mosche) etabliert Moses als göttlichen Vermittler der Führungsanweisungen.</w:t>
      </w:r>
    </w:p>
    <w:p w14:paraId="344C975F" w14:textId="78AC0809" w:rsidR="00F253E0" w:rsidRPr="00F253E0" w:rsidRDefault="00A1074A" w:rsidP="00F253E0">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A1074A">
        <w:rPr>
          <w:b/>
          <w:bCs/>
          <w:rtl/>
        </w:rPr>
        <w:t>ביד־משה</w:t>
      </w:r>
      <w:r>
        <w:t xml:space="preserve"> (beyad-mosheh - "durch die Hand des Mose") als ἐν χειρὶ Μωυσῆ (in der Hand des Mose), was die vermittelnde Rolle des Mose betont.</w:t>
      </w:r>
    </w:p>
    <w:p w14:paraId="7957F851"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 Satzstruktur zeigt eine dreifache Wiederholung göttlicher Befehlsautorität mit zusammenfassender Treuebekundung und mosaischer Vermittlungsbestätigung.</w:t>
      </w:r>
    </w:p>
    <w:p w14:paraId="3EDE2F57" w14:textId="77777777" w:rsidR="00F253E0" w:rsidRPr="00F253E0" w:rsidRDefault="00F253E0" w:rsidP="00F253E0">
      <w:pPr>
        <w:spacing w:before="100" w:beforeAutospacing="1" w:after="100" w:afterAutospacing="1" w:line="240" w:lineRule="auto"/>
        <w:rPr>
          <w:rFonts w:eastAsia="Times New Roman" w:cs="Times New Roman"/>
          <w:lang w:eastAsia="de-DE"/>
        </w:rPr>
      </w:pPr>
      <w:r w:rsidRPr="00F253E0">
        <w:rPr>
          <w:rFonts w:eastAsia="Times New Roman" w:cs="Times New Roman"/>
          <w:lang w:eastAsia="de-DE"/>
        </w:rPr>
        <w:t>Dieser abschließende Vers des Kapitels fasst die absolute göttliche Führungsautorität über Israel zusammen und etabliert Moses als den vermittelnden Führungsagenten Gottes in der Wüstenwanderung.</w:t>
      </w:r>
    </w:p>
    <w:p w14:paraId="7B5F43C6" w14:textId="77777777" w:rsidR="009356DC" w:rsidRPr="009356DC" w:rsidRDefault="009356DC" w:rsidP="009356DC">
      <w:pPr>
        <w:spacing w:before="100" w:beforeAutospacing="1" w:after="100" w:afterAutospacing="1" w:line="240" w:lineRule="auto"/>
        <w:outlineLvl w:val="0"/>
        <w:rPr>
          <w:rFonts w:eastAsia="Times New Roman" w:cs="Times New Roman"/>
          <w:b/>
          <w:bCs/>
          <w:kern w:val="36"/>
          <w:sz w:val="48"/>
          <w:szCs w:val="48"/>
          <w:lang w:eastAsia="de-DE"/>
        </w:rPr>
      </w:pPr>
      <w:r w:rsidRPr="009356DC">
        <w:rPr>
          <w:rFonts w:eastAsia="Times New Roman" w:cs="Times New Roman"/>
          <w:b/>
          <w:bCs/>
          <w:kern w:val="36"/>
          <w:sz w:val="48"/>
          <w:szCs w:val="48"/>
          <w:lang w:eastAsia="de-DE"/>
        </w:rPr>
        <w:t>Numeri 10,1</w:t>
      </w:r>
    </w:p>
    <w:p w14:paraId="10B80A67"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Hebräisch:</w:t>
      </w:r>
      <w:r w:rsidRPr="009356DC">
        <w:rPr>
          <w:rFonts w:eastAsia="Times New Roman" w:cs="Times New Roman"/>
          <w:lang w:eastAsia="de-DE"/>
        </w:rPr>
        <w:t xml:space="preserve"> </w:t>
      </w:r>
      <w:r w:rsidRPr="009356DC">
        <w:rPr>
          <w:rFonts w:eastAsia="Times New Roman" w:cs="Times New Roman"/>
          <w:rtl/>
          <w:lang w:eastAsia="de-DE"/>
        </w:rPr>
        <w:t>וַיְדַבֵּ֥ר יְהוָ֖ה אֶל־מֹשֶׁ֥ה לֵּאמֹֽר׃</w:t>
      </w:r>
    </w:p>
    <w:p w14:paraId="7F73D47A"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Deutsch:</w:t>
      </w:r>
      <w:r w:rsidRPr="009356DC">
        <w:rPr>
          <w:rFonts w:eastAsia="Times New Roman" w:cs="Times New Roman"/>
          <w:lang w:eastAsia="de-DE"/>
        </w:rPr>
        <w:t xml:space="preserve"> Und der Ewige redete zu Mosche, sagend:</w:t>
      </w:r>
    </w:p>
    <w:p w14:paraId="19AB3BF7" w14:textId="77777777" w:rsidR="009356DC" w:rsidRPr="009356DC" w:rsidRDefault="00F329DD" w:rsidP="009356DC">
      <w:pPr>
        <w:spacing w:after="0" w:line="240" w:lineRule="auto"/>
        <w:rPr>
          <w:rFonts w:eastAsia="Times New Roman" w:cs="Times New Roman"/>
          <w:lang w:eastAsia="de-DE"/>
        </w:rPr>
      </w:pPr>
      <w:r>
        <w:rPr>
          <w:rFonts w:eastAsia="Times New Roman" w:cs="Times New Roman"/>
          <w:noProof/>
          <w:lang w:eastAsia="de-DE"/>
        </w:rPr>
        <w:pict w14:anchorId="45A2A792">
          <v:rect id="_x0000_i1344" style="width:0;height:1.5pt" o:hralign="center" o:hrstd="t" o:hr="t" fillcolor="#a0a0a0" stroked="f"/>
        </w:pict>
      </w:r>
    </w:p>
    <w:p w14:paraId="59283F15"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Kommentar:</w:t>
      </w:r>
      <w:r w:rsidRPr="009356DC">
        <w:rPr>
          <w:rFonts w:eastAsia="Times New Roman" w:cs="Times New Roman"/>
          <w:lang w:eastAsia="de-DE"/>
        </w:rPr>
        <w:t xml:space="preserve"> Das Verb </w:t>
      </w:r>
      <w:r w:rsidRPr="009356DC">
        <w:rPr>
          <w:rFonts w:eastAsia="Times New Roman" w:cs="Times New Roman"/>
          <w:b/>
          <w:bCs/>
          <w:rtl/>
          <w:lang w:eastAsia="de-DE"/>
        </w:rPr>
        <w:t>וַיְדַבֵּר</w:t>
      </w:r>
      <w:r w:rsidRPr="009356DC">
        <w:rPr>
          <w:rFonts w:eastAsia="Times New Roman" w:cs="Times New Roman"/>
          <w:rtl/>
          <w:lang w:eastAsia="de-DE"/>
        </w:rPr>
        <w:t xml:space="preserve"> </w:t>
      </w:r>
      <w:r w:rsidRPr="009356DC">
        <w:rPr>
          <w:rFonts w:eastAsia="Times New Roman" w:cs="Times New Roman"/>
          <w:lang w:eastAsia="de-DE"/>
        </w:rPr>
        <w:t xml:space="preserve">von der Wurzel </w:t>
      </w:r>
      <w:r w:rsidRPr="009356DC">
        <w:rPr>
          <w:rFonts w:eastAsia="Times New Roman" w:cs="Times New Roman"/>
          <w:b/>
          <w:bCs/>
          <w:rtl/>
          <w:lang w:eastAsia="de-DE"/>
        </w:rPr>
        <w:t>דבר</w:t>
      </w:r>
      <w:r w:rsidRPr="009356DC">
        <w:rPr>
          <w:rFonts w:eastAsia="Times New Roman" w:cs="Times New Roman"/>
          <w:rtl/>
          <w:lang w:eastAsia="de-DE"/>
        </w:rPr>
        <w:t xml:space="preserve"> </w:t>
      </w:r>
      <w:r w:rsidRPr="009356DC">
        <w:rPr>
          <w:rFonts w:eastAsia="Times New Roman" w:cs="Times New Roman"/>
          <w:lang w:eastAsia="de-DE"/>
        </w:rPr>
        <w:t xml:space="preserve">(reden/sprechen) im Qal-Imperfekt 3. maskulin Singular mit Waw consecutivum leitet eine neue göttliche Anweisung ein. Das Waw </w:t>
      </w:r>
      <w:r w:rsidRPr="009356DC">
        <w:rPr>
          <w:rFonts w:eastAsia="Times New Roman" w:cs="Times New Roman"/>
          <w:lang w:eastAsia="de-DE"/>
        </w:rPr>
        <w:lastRenderedPageBreak/>
        <w:t>consecutivum zeigt die narrative Fortsetzung von den vorherigen Kapiteln an, wobei chronologisch und thematisch eine neue Phase der göttlichen Offenbarung beginnt.</w:t>
      </w:r>
    </w:p>
    <w:p w14:paraId="7808E5FD"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Das Subjekt </w:t>
      </w:r>
      <w:r w:rsidRPr="009356DC">
        <w:rPr>
          <w:rFonts w:eastAsia="Times New Roman" w:cs="Times New Roman"/>
          <w:b/>
          <w:bCs/>
          <w:rtl/>
          <w:lang w:eastAsia="de-DE"/>
        </w:rPr>
        <w:t>יְהוָ֖ה</w:t>
      </w:r>
      <w:r w:rsidRPr="009356DC">
        <w:rPr>
          <w:rFonts w:eastAsia="Times New Roman" w:cs="Times New Roman"/>
          <w:rtl/>
          <w:lang w:eastAsia="de-DE"/>
        </w:rPr>
        <w:t xml:space="preserve"> </w:t>
      </w:r>
      <w:r w:rsidRPr="009356DC">
        <w:rPr>
          <w:rFonts w:eastAsia="Times New Roman" w:cs="Times New Roman"/>
          <w:lang w:eastAsia="de-DE"/>
        </w:rPr>
        <w:t xml:space="preserve">(der Ewige) mit der präpositionalen Phrase </w:t>
      </w:r>
      <w:r w:rsidRPr="009356DC">
        <w:rPr>
          <w:rFonts w:eastAsia="Times New Roman" w:cs="Times New Roman"/>
          <w:b/>
          <w:bCs/>
          <w:rtl/>
          <w:lang w:eastAsia="de-DE"/>
        </w:rPr>
        <w:t>אֶל־מֹשֶׁ֥ה</w:t>
      </w:r>
      <w:r w:rsidRPr="009356DC">
        <w:rPr>
          <w:rFonts w:eastAsia="Times New Roman" w:cs="Times New Roman"/>
          <w:rtl/>
          <w:lang w:eastAsia="de-DE"/>
        </w:rPr>
        <w:t xml:space="preserve"> </w:t>
      </w:r>
      <w:r w:rsidRPr="009356DC">
        <w:rPr>
          <w:rFonts w:eastAsia="Times New Roman" w:cs="Times New Roman"/>
          <w:lang w:eastAsia="de-DE"/>
        </w:rPr>
        <w:t xml:space="preserve">(zu Mosche) etabliert die direkte, unvermittelte göttliche Kommunikation an Moses als den einzigen Empfänger dieser spezifischen Anweisungen. Die Präposition </w:t>
      </w:r>
      <w:r w:rsidRPr="009356DC">
        <w:rPr>
          <w:rFonts w:eastAsia="Times New Roman" w:cs="Times New Roman"/>
          <w:b/>
          <w:bCs/>
          <w:rtl/>
          <w:lang w:eastAsia="de-DE"/>
        </w:rPr>
        <w:t>אֶל</w:t>
      </w:r>
      <w:r w:rsidRPr="009356DC">
        <w:rPr>
          <w:rFonts w:eastAsia="Times New Roman" w:cs="Times New Roman"/>
          <w:rtl/>
          <w:lang w:eastAsia="de-DE"/>
        </w:rPr>
        <w:t xml:space="preserve"> </w:t>
      </w:r>
      <w:r w:rsidRPr="009356DC">
        <w:rPr>
          <w:rFonts w:eastAsia="Times New Roman" w:cs="Times New Roman"/>
          <w:lang w:eastAsia="de-DE"/>
        </w:rPr>
        <w:t>zeigt Richtung und Absicht an - Gott wendet sich bewusst und direkt an Moses als seinen auserwählten Vermittler.</w:t>
      </w:r>
    </w:p>
    <w:p w14:paraId="086C0131" w14:textId="24AFB655" w:rsidR="009356DC" w:rsidRPr="009356DC" w:rsidRDefault="009356DC" w:rsidP="00525AC4">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Das abschließende </w:t>
      </w:r>
      <w:r w:rsidRPr="009356DC">
        <w:rPr>
          <w:rFonts w:eastAsia="Times New Roman" w:cs="Times New Roman"/>
          <w:b/>
          <w:bCs/>
          <w:rtl/>
          <w:lang w:eastAsia="de-DE"/>
        </w:rPr>
        <w:t>לֵּאמֹֽר</w:t>
      </w:r>
      <w:r w:rsidRPr="009356DC">
        <w:rPr>
          <w:rFonts w:eastAsia="Times New Roman" w:cs="Times New Roman"/>
          <w:rtl/>
          <w:lang w:eastAsia="de-DE"/>
        </w:rPr>
        <w:t xml:space="preserve"> </w:t>
      </w:r>
      <w:r w:rsidRPr="009356DC">
        <w:rPr>
          <w:rFonts w:eastAsia="Times New Roman" w:cs="Times New Roman"/>
          <w:lang w:eastAsia="de-DE"/>
        </w:rPr>
        <w:t>als Infinitiv-</w:t>
      </w:r>
      <w:r w:rsidR="00F133EC">
        <w:rPr>
          <w:rFonts w:eastAsia="Times New Roman" w:cs="Times New Roman"/>
          <w:lang w:eastAsia="de-DE"/>
        </w:rPr>
        <w:t>Construct</w:t>
      </w:r>
      <w:r w:rsidRPr="009356DC">
        <w:rPr>
          <w:rFonts w:eastAsia="Times New Roman" w:cs="Times New Roman"/>
          <w:lang w:eastAsia="de-DE"/>
        </w:rPr>
        <w:t xml:space="preserve"> von </w:t>
      </w:r>
      <w:r w:rsidRPr="009356DC">
        <w:rPr>
          <w:rFonts w:eastAsia="Times New Roman" w:cs="Times New Roman"/>
          <w:b/>
          <w:bCs/>
          <w:rtl/>
          <w:lang w:eastAsia="de-DE"/>
        </w:rPr>
        <w:t>אמר</w:t>
      </w:r>
      <w:r w:rsidRPr="009356DC">
        <w:rPr>
          <w:rFonts w:eastAsia="Times New Roman" w:cs="Times New Roman"/>
          <w:rtl/>
          <w:lang w:eastAsia="de-DE"/>
        </w:rPr>
        <w:t xml:space="preserve"> </w:t>
      </w:r>
      <w:r w:rsidRPr="009356DC">
        <w:rPr>
          <w:rFonts w:eastAsia="Times New Roman" w:cs="Times New Roman"/>
          <w:lang w:eastAsia="de-DE"/>
        </w:rPr>
        <w:t xml:space="preserve">(sagen) fungiert als charakteristische biblische Redeeinleitung und bereitet den Inhalt der folgenden göttlichen Anweisungen vor. Diese Formel </w:t>
      </w:r>
      <w:r w:rsidRPr="009356DC">
        <w:rPr>
          <w:rFonts w:eastAsia="Times New Roman" w:cs="Times New Roman"/>
          <w:b/>
          <w:bCs/>
          <w:rtl/>
          <w:lang w:eastAsia="de-DE"/>
        </w:rPr>
        <w:t>דבר יהוה אל־משה לאמר</w:t>
      </w:r>
      <w:r w:rsidRPr="009356DC">
        <w:rPr>
          <w:rFonts w:eastAsia="Times New Roman" w:cs="Times New Roman"/>
          <w:rtl/>
          <w:lang w:eastAsia="de-DE"/>
        </w:rPr>
        <w:t xml:space="preserve"> </w:t>
      </w:r>
      <w:r w:rsidRPr="009356DC">
        <w:rPr>
          <w:rFonts w:eastAsia="Times New Roman" w:cs="Times New Roman"/>
          <w:lang w:eastAsia="de-DE"/>
        </w:rPr>
        <w:t xml:space="preserve">ist eine der häufigsten Offenbarungsformeln in der </w:t>
      </w:r>
      <w:r w:rsidR="00525AC4">
        <w:rPr>
          <w:rFonts w:eastAsia="Times New Roman" w:cs="Times New Roman"/>
          <w:lang w:eastAsia="de-DE"/>
        </w:rPr>
        <w:t>Torah</w:t>
      </w:r>
      <w:r w:rsidRPr="009356DC">
        <w:rPr>
          <w:rFonts w:eastAsia="Times New Roman" w:cs="Times New Roman"/>
          <w:lang w:eastAsia="de-DE"/>
        </w:rPr>
        <w:t xml:space="preserve"> und markiert oft bedeutsame neue Gesetzgebungen oder Anweisungen.</w:t>
      </w:r>
    </w:p>
    <w:p w14:paraId="32766608"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Der Masoretische Text zeigt durch die Akzente (Ta'ame HaMikra) eine klare Gliederung: </w:t>
      </w:r>
      <w:r w:rsidRPr="009356DC">
        <w:rPr>
          <w:rFonts w:eastAsia="Times New Roman" w:cs="Times New Roman"/>
          <w:b/>
          <w:bCs/>
          <w:rtl/>
          <w:lang w:eastAsia="de-DE"/>
        </w:rPr>
        <w:t>וַיְדַבֵּ֥ר יְהוָ֖ה</w:t>
      </w:r>
      <w:r w:rsidRPr="009356DC">
        <w:rPr>
          <w:rFonts w:eastAsia="Times New Roman" w:cs="Times New Roman"/>
          <w:rtl/>
          <w:lang w:eastAsia="de-DE"/>
        </w:rPr>
        <w:t xml:space="preserve"> </w:t>
      </w:r>
      <w:r w:rsidRPr="009356DC">
        <w:rPr>
          <w:rFonts w:eastAsia="Times New Roman" w:cs="Times New Roman"/>
          <w:lang w:eastAsia="de-DE"/>
        </w:rPr>
        <w:t xml:space="preserve">bildet eine syntaktische Einheit, </w:t>
      </w:r>
      <w:r w:rsidRPr="009356DC">
        <w:rPr>
          <w:rFonts w:eastAsia="Times New Roman" w:cs="Times New Roman"/>
          <w:b/>
          <w:bCs/>
          <w:rtl/>
          <w:lang w:eastAsia="de-DE"/>
        </w:rPr>
        <w:t>אֶל־מֹשֶׁ֥ה</w:t>
      </w:r>
      <w:r w:rsidRPr="009356DC">
        <w:rPr>
          <w:rFonts w:eastAsia="Times New Roman" w:cs="Times New Roman"/>
          <w:rtl/>
          <w:lang w:eastAsia="de-DE"/>
        </w:rPr>
        <w:t xml:space="preserve"> </w:t>
      </w:r>
      <w:r w:rsidRPr="009356DC">
        <w:rPr>
          <w:rFonts w:eastAsia="Times New Roman" w:cs="Times New Roman"/>
          <w:lang w:eastAsia="de-DE"/>
        </w:rPr>
        <w:t xml:space="preserve">eine zweite, und </w:t>
      </w:r>
      <w:r w:rsidRPr="009356DC">
        <w:rPr>
          <w:rFonts w:eastAsia="Times New Roman" w:cs="Times New Roman"/>
          <w:b/>
          <w:bCs/>
          <w:rtl/>
          <w:lang w:eastAsia="de-DE"/>
        </w:rPr>
        <w:t>לֵּאמֹֽר</w:t>
      </w:r>
      <w:r w:rsidRPr="009356DC">
        <w:rPr>
          <w:rFonts w:eastAsia="Times New Roman" w:cs="Times New Roman"/>
          <w:rtl/>
          <w:lang w:eastAsia="de-DE"/>
        </w:rPr>
        <w:t xml:space="preserve"> </w:t>
      </w:r>
      <w:r w:rsidRPr="009356DC">
        <w:rPr>
          <w:rFonts w:eastAsia="Times New Roman" w:cs="Times New Roman"/>
          <w:lang w:eastAsia="de-DE"/>
        </w:rPr>
        <w:t>steht als finale Überleitung. Diese Akzentuierung unterstreicht die Wichtigkeit jedes Elements: das göttliche Sprechen, der spezifische Adressat und die Redeankündigung.</w:t>
      </w:r>
    </w:p>
    <w:p w14:paraId="03350159"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Die LXX</w:t>
      </w:r>
      <w:r w:rsidRPr="009356DC">
        <w:rPr>
          <w:rFonts w:eastAsia="Times New Roman" w:cs="Times New Roman"/>
          <w:lang w:eastAsia="de-DE"/>
        </w:rPr>
        <w:t xml:space="preserve"> übersetzt mit der Standardformel καὶ ἐλάλησεν κύριος πρὸς Μωυσῆν λέγων. Das griechische λαλέω (sprechen) ist weniger formal als das klassische φημί, was den direkten, persönlichen Charakter der göttlichen Kommunikation betont. Die LXX verwendet durchgehend κύριος (Herr) für das Tetragramm, was die hellenistische Adaption der Gottesbezeichnung zeigt.</w:t>
      </w:r>
    </w:p>
    <w:p w14:paraId="23816EE7"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Satzstruktur ist charakteristisch einfach, aber theologisch fundamental: Gott als Subjekt, Sprechen als Verb, Moses als Objekt, und die Ankündigung kommender Rede. Diese Struktur etabliert die Autorität, den Übertragungsweg und die Erwartung des folgenden Inhalts.</w:t>
      </w:r>
    </w:p>
    <w:p w14:paraId="378856E8"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Im weiteren Kontext von Numeri steht dieser Vers am Beginn der praktischen Vorbereitungen für den Aufbruch vom Sinai. Nach den kultischen Bestimmungen der vorherigen Kapitel folgen nun logistische und organisatorische Anweisungen für die Wüstenwanderung. Die Timing dieser Offenbarung ist bedeutsam - sie kommt unmittelbar vor dem historischen ersten Aufbruch vom Sinai.</w:t>
      </w:r>
    </w:p>
    <w:p w14:paraId="047ADB9A"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Dieser Vers leitet somit Kapitel 10 ein, das sich mit den silbernen Signaltrompeten und dem ersten großen Aufbruch der Israeliten vom Sinai beschäftigt, wodurch eine neue Phase der Wüstenwanderung beginnt.</w:t>
      </w:r>
    </w:p>
    <w:p w14:paraId="784743D6" w14:textId="77777777" w:rsidR="009356DC" w:rsidRPr="009356DC" w:rsidRDefault="009356DC" w:rsidP="009356DC">
      <w:pPr>
        <w:spacing w:before="100" w:beforeAutospacing="1" w:after="100" w:afterAutospacing="1" w:line="240" w:lineRule="auto"/>
        <w:outlineLvl w:val="0"/>
        <w:rPr>
          <w:rFonts w:eastAsia="Times New Roman" w:cs="Times New Roman"/>
          <w:b/>
          <w:bCs/>
          <w:kern w:val="36"/>
          <w:sz w:val="48"/>
          <w:szCs w:val="48"/>
          <w:lang w:eastAsia="de-DE"/>
        </w:rPr>
      </w:pPr>
      <w:r w:rsidRPr="009356DC">
        <w:rPr>
          <w:rFonts w:eastAsia="Times New Roman" w:cs="Times New Roman"/>
          <w:b/>
          <w:bCs/>
          <w:kern w:val="36"/>
          <w:sz w:val="48"/>
          <w:szCs w:val="48"/>
          <w:lang w:eastAsia="de-DE"/>
        </w:rPr>
        <w:t>Numeri 10,2</w:t>
      </w:r>
    </w:p>
    <w:p w14:paraId="61025EFA"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Hebräisch:</w:t>
      </w:r>
      <w:r w:rsidRPr="009356DC">
        <w:rPr>
          <w:rFonts w:eastAsia="Times New Roman" w:cs="Times New Roman"/>
          <w:lang w:eastAsia="de-DE"/>
        </w:rPr>
        <w:t xml:space="preserve"> </w:t>
      </w:r>
      <w:r w:rsidRPr="009356DC">
        <w:rPr>
          <w:rFonts w:eastAsia="Times New Roman" w:cs="Times New Roman"/>
          <w:rtl/>
          <w:lang w:eastAsia="de-DE"/>
        </w:rPr>
        <w:t>עֲשֵׂ֣ה לְךָ֗ שְׁתֵּי֙ חֲצֽוֹצְרֹ֣ת כֶּ֔סֶף מִקְשָׁ֖ה תַּעֲשֶׂ֣ה אֹתָ֑ם וְהָי֤וּ לְךָ֙ לְמִקְרָ֣א הָֽעֵדָ֔ה וּלְמַסַּ֖ע אֶת־הַֽמַּחֲנֽוֹת׃</w:t>
      </w:r>
    </w:p>
    <w:p w14:paraId="33028EF0"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Deutsch:</w:t>
      </w:r>
      <w:r w:rsidRPr="009356DC">
        <w:rPr>
          <w:rFonts w:eastAsia="Times New Roman" w:cs="Times New Roman"/>
          <w:lang w:eastAsia="de-DE"/>
        </w:rPr>
        <w:t xml:space="preserve"> Mache dir zwei Trompeten aus Silber; in getriebener Arbeit sollst du sie machen; und sie sollen dir zum Einberufen der Gemeinde und zum Aufbruch der Heerlager dienen.</w:t>
      </w:r>
    </w:p>
    <w:p w14:paraId="0432592B" w14:textId="77777777" w:rsidR="009356DC" w:rsidRPr="009356DC" w:rsidRDefault="00F329DD" w:rsidP="009356DC">
      <w:pPr>
        <w:spacing w:after="0" w:line="240" w:lineRule="auto"/>
        <w:rPr>
          <w:rFonts w:eastAsia="Times New Roman" w:cs="Times New Roman"/>
          <w:lang w:eastAsia="de-DE"/>
        </w:rPr>
      </w:pPr>
      <w:r>
        <w:rPr>
          <w:rFonts w:eastAsia="Times New Roman" w:cs="Times New Roman"/>
          <w:noProof/>
          <w:lang w:eastAsia="de-DE"/>
        </w:rPr>
        <w:pict w14:anchorId="0C0372FE">
          <v:rect id="_x0000_i1345" style="width:0;height:1.5pt" o:hralign="center" o:hrstd="t" o:hr="t" fillcolor="#a0a0a0" stroked="f"/>
        </w:pict>
      </w:r>
    </w:p>
    <w:p w14:paraId="1A938125"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Kommentar:</w:t>
      </w:r>
      <w:r w:rsidRPr="009356DC">
        <w:rPr>
          <w:rFonts w:eastAsia="Times New Roman" w:cs="Times New Roman"/>
          <w:lang w:eastAsia="de-DE"/>
        </w:rPr>
        <w:t xml:space="preserve"> Der Imperativ </w:t>
      </w:r>
      <w:r w:rsidRPr="009356DC">
        <w:rPr>
          <w:rFonts w:eastAsia="Times New Roman" w:cs="Times New Roman"/>
          <w:b/>
          <w:bCs/>
          <w:rtl/>
          <w:lang w:eastAsia="de-DE"/>
        </w:rPr>
        <w:t>עֲשֵׂ֣ה לְךָ֗</w:t>
      </w:r>
      <w:r w:rsidRPr="009356DC">
        <w:rPr>
          <w:rFonts w:eastAsia="Times New Roman" w:cs="Times New Roman"/>
          <w:rtl/>
          <w:lang w:eastAsia="de-DE"/>
        </w:rPr>
        <w:t xml:space="preserve"> </w:t>
      </w:r>
      <w:r w:rsidRPr="009356DC">
        <w:rPr>
          <w:rFonts w:eastAsia="Times New Roman" w:cs="Times New Roman"/>
          <w:lang w:eastAsia="de-DE"/>
        </w:rPr>
        <w:t xml:space="preserve">von der Wurzel </w:t>
      </w:r>
      <w:r w:rsidRPr="009356DC">
        <w:rPr>
          <w:rFonts w:eastAsia="Times New Roman" w:cs="Times New Roman"/>
          <w:b/>
          <w:bCs/>
          <w:rtl/>
          <w:lang w:eastAsia="de-DE"/>
        </w:rPr>
        <w:t>עשה</w:t>
      </w:r>
      <w:r w:rsidRPr="009356DC">
        <w:rPr>
          <w:rFonts w:eastAsia="Times New Roman" w:cs="Times New Roman"/>
          <w:rtl/>
          <w:lang w:eastAsia="de-DE"/>
        </w:rPr>
        <w:t xml:space="preserve"> </w:t>
      </w:r>
      <w:r w:rsidRPr="009356DC">
        <w:rPr>
          <w:rFonts w:eastAsia="Times New Roman" w:cs="Times New Roman"/>
          <w:lang w:eastAsia="de-DE"/>
        </w:rPr>
        <w:t xml:space="preserve">(machen/herstellen) im Qal-Imperativ maskulin Singular mit der präpositionalen Phrase </w:t>
      </w:r>
      <w:r w:rsidRPr="009356DC">
        <w:rPr>
          <w:rFonts w:eastAsia="Times New Roman" w:cs="Times New Roman"/>
          <w:b/>
          <w:bCs/>
          <w:rtl/>
          <w:lang w:eastAsia="de-DE"/>
        </w:rPr>
        <w:t>לְךָ֗</w:t>
      </w:r>
      <w:r w:rsidRPr="009356DC">
        <w:rPr>
          <w:rFonts w:eastAsia="Times New Roman" w:cs="Times New Roman"/>
          <w:rtl/>
          <w:lang w:eastAsia="de-DE"/>
        </w:rPr>
        <w:t xml:space="preserve"> </w:t>
      </w:r>
      <w:r w:rsidRPr="009356DC">
        <w:rPr>
          <w:rFonts w:eastAsia="Times New Roman" w:cs="Times New Roman"/>
          <w:lang w:eastAsia="de-DE"/>
        </w:rPr>
        <w:t xml:space="preserve">(für dich) zeigt Moses </w:t>
      </w:r>
      <w:r w:rsidRPr="009356DC">
        <w:rPr>
          <w:rFonts w:eastAsia="Times New Roman" w:cs="Times New Roman"/>
          <w:lang w:eastAsia="de-DE"/>
        </w:rPr>
        <w:lastRenderedPageBreak/>
        <w:t xml:space="preserve">persönliche Verantwortung und Autorität über diese Instrumente. Das </w:t>
      </w:r>
      <w:r w:rsidRPr="009356DC">
        <w:rPr>
          <w:rFonts w:eastAsia="Times New Roman" w:cs="Times New Roman"/>
          <w:b/>
          <w:bCs/>
          <w:rtl/>
          <w:lang w:eastAsia="de-DE"/>
        </w:rPr>
        <w:t>לְךָ</w:t>
      </w:r>
      <w:r w:rsidRPr="009356DC">
        <w:rPr>
          <w:rFonts w:eastAsia="Times New Roman" w:cs="Times New Roman"/>
          <w:rtl/>
          <w:lang w:eastAsia="de-DE"/>
        </w:rPr>
        <w:t xml:space="preserve"> </w:t>
      </w:r>
      <w:r w:rsidRPr="009356DC">
        <w:rPr>
          <w:rFonts w:eastAsia="Times New Roman" w:cs="Times New Roman"/>
          <w:lang w:eastAsia="de-DE"/>
        </w:rPr>
        <w:t>ist nicht nur ein ethischer Dativ, sondern betont Moses exklusive Verfügungsgewalt über diese Signalgeräte - sie sind seine persönlichen Amtsinsignien als Führer Israels.</w:t>
      </w:r>
    </w:p>
    <w:p w14:paraId="27CE1699"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Spezifikation </w:t>
      </w:r>
      <w:r w:rsidRPr="009356DC">
        <w:rPr>
          <w:rFonts w:eastAsia="Times New Roman" w:cs="Times New Roman"/>
          <w:b/>
          <w:bCs/>
          <w:rtl/>
          <w:lang w:eastAsia="de-DE"/>
        </w:rPr>
        <w:t>שְׁתֵּי֙ חֲצֽוֹצְרֹ֣ת כֶּ֔סֶף</w:t>
      </w:r>
      <w:r w:rsidRPr="009356DC">
        <w:rPr>
          <w:rFonts w:eastAsia="Times New Roman" w:cs="Times New Roman"/>
          <w:rtl/>
          <w:lang w:eastAsia="de-DE"/>
        </w:rPr>
        <w:t xml:space="preserve"> </w:t>
      </w:r>
      <w:r w:rsidRPr="009356DC">
        <w:rPr>
          <w:rFonts w:eastAsia="Times New Roman" w:cs="Times New Roman"/>
          <w:lang w:eastAsia="de-DE"/>
        </w:rPr>
        <w:t xml:space="preserve">etabliert drei wichtige Parameter: </w:t>
      </w:r>
      <w:r w:rsidRPr="009356DC">
        <w:rPr>
          <w:rFonts w:eastAsia="Times New Roman" w:cs="Times New Roman"/>
          <w:b/>
          <w:bCs/>
          <w:rtl/>
          <w:lang w:eastAsia="de-DE"/>
        </w:rPr>
        <w:t>שְׁתֵּי</w:t>
      </w:r>
      <w:r w:rsidRPr="009356DC">
        <w:rPr>
          <w:rFonts w:eastAsia="Times New Roman" w:cs="Times New Roman"/>
          <w:rtl/>
          <w:lang w:eastAsia="de-DE"/>
        </w:rPr>
        <w:t xml:space="preserve"> </w:t>
      </w:r>
      <w:r w:rsidRPr="009356DC">
        <w:rPr>
          <w:rFonts w:eastAsia="Times New Roman" w:cs="Times New Roman"/>
          <w:lang w:eastAsia="de-DE"/>
        </w:rPr>
        <w:t xml:space="preserve">(zwei) zeigt die genaue Anzahl, </w:t>
      </w:r>
      <w:r w:rsidRPr="009356DC">
        <w:rPr>
          <w:rFonts w:eastAsia="Times New Roman" w:cs="Times New Roman"/>
          <w:b/>
          <w:bCs/>
          <w:rtl/>
          <w:lang w:eastAsia="de-DE"/>
        </w:rPr>
        <w:t>חֲצֽוֹצְרֹ֣ת</w:t>
      </w:r>
      <w:r w:rsidRPr="009356DC">
        <w:rPr>
          <w:rFonts w:eastAsia="Times New Roman" w:cs="Times New Roman"/>
          <w:rtl/>
          <w:lang w:eastAsia="de-DE"/>
        </w:rPr>
        <w:t xml:space="preserve"> </w:t>
      </w:r>
      <w:r w:rsidRPr="009356DC">
        <w:rPr>
          <w:rFonts w:eastAsia="Times New Roman" w:cs="Times New Roman"/>
          <w:lang w:eastAsia="de-DE"/>
        </w:rPr>
        <w:t xml:space="preserve">(Trompeten) von der Wurzel </w:t>
      </w:r>
      <w:r w:rsidRPr="009356DC">
        <w:rPr>
          <w:rFonts w:eastAsia="Times New Roman" w:cs="Times New Roman"/>
          <w:b/>
          <w:bCs/>
          <w:rtl/>
          <w:lang w:eastAsia="de-DE"/>
        </w:rPr>
        <w:t>חצצר</w:t>
      </w:r>
      <w:r w:rsidRPr="009356DC">
        <w:rPr>
          <w:rFonts w:eastAsia="Times New Roman" w:cs="Times New Roman"/>
          <w:rtl/>
          <w:lang w:eastAsia="de-DE"/>
        </w:rPr>
        <w:t xml:space="preserve"> </w:t>
      </w:r>
      <w:r w:rsidRPr="009356DC">
        <w:rPr>
          <w:rFonts w:eastAsia="Times New Roman" w:cs="Times New Roman"/>
          <w:lang w:eastAsia="de-DE"/>
        </w:rPr>
        <w:t xml:space="preserve">bezeichnet spezifische Signalinstrumente (nicht das Schofar oder andere Hörner), und </w:t>
      </w:r>
      <w:r w:rsidRPr="009356DC">
        <w:rPr>
          <w:rFonts w:eastAsia="Times New Roman" w:cs="Times New Roman"/>
          <w:b/>
          <w:bCs/>
          <w:rtl/>
          <w:lang w:eastAsia="de-DE"/>
        </w:rPr>
        <w:t>כֶּ֔סֶף</w:t>
      </w:r>
      <w:r w:rsidRPr="009356DC">
        <w:rPr>
          <w:rFonts w:eastAsia="Times New Roman" w:cs="Times New Roman"/>
          <w:rtl/>
          <w:lang w:eastAsia="de-DE"/>
        </w:rPr>
        <w:t xml:space="preserve"> </w:t>
      </w:r>
      <w:r w:rsidRPr="009356DC">
        <w:rPr>
          <w:rFonts w:eastAsia="Times New Roman" w:cs="Times New Roman"/>
          <w:lang w:eastAsia="de-DE"/>
        </w:rPr>
        <w:t>(Silber) bestimmt das kostbare Material. Die Wahl von Silber ist bedeutsam: es ist rein, edel, aber weniger wertvoll als Gold, was auf funktionale Schönheit bei praktischer Verwendung hindeutet.</w:t>
      </w:r>
    </w:p>
    <w:p w14:paraId="17129927"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technische Anweisung </w:t>
      </w:r>
      <w:r w:rsidRPr="009356DC">
        <w:rPr>
          <w:rFonts w:eastAsia="Times New Roman" w:cs="Times New Roman"/>
          <w:b/>
          <w:bCs/>
          <w:rtl/>
          <w:lang w:eastAsia="de-DE"/>
        </w:rPr>
        <w:t>מִקְשָׁ֖ה תַּעֲשֶׂ֣ה אֹתָ֑ם</w:t>
      </w:r>
      <w:r w:rsidRPr="009356DC">
        <w:rPr>
          <w:rFonts w:eastAsia="Times New Roman" w:cs="Times New Roman"/>
          <w:rtl/>
          <w:lang w:eastAsia="de-DE"/>
        </w:rPr>
        <w:t xml:space="preserve"> </w:t>
      </w:r>
      <w:r w:rsidRPr="009356DC">
        <w:rPr>
          <w:rFonts w:eastAsia="Times New Roman" w:cs="Times New Roman"/>
          <w:lang w:eastAsia="de-DE"/>
        </w:rPr>
        <w:t xml:space="preserve">zeigt die Herstellungsmethode. </w:t>
      </w:r>
      <w:r w:rsidRPr="009356DC">
        <w:rPr>
          <w:rFonts w:eastAsia="Times New Roman" w:cs="Times New Roman"/>
          <w:b/>
          <w:bCs/>
          <w:rtl/>
          <w:lang w:eastAsia="de-DE"/>
        </w:rPr>
        <w:t>מִקְשָׁ֖ה</w:t>
      </w:r>
      <w:r w:rsidRPr="009356DC">
        <w:rPr>
          <w:rFonts w:eastAsia="Times New Roman" w:cs="Times New Roman"/>
          <w:rtl/>
          <w:lang w:eastAsia="de-DE"/>
        </w:rPr>
        <w:t xml:space="preserve"> </w:t>
      </w:r>
      <w:r w:rsidRPr="009356DC">
        <w:rPr>
          <w:rFonts w:eastAsia="Times New Roman" w:cs="Times New Roman"/>
          <w:lang w:eastAsia="de-DE"/>
        </w:rPr>
        <w:t xml:space="preserve">ist ein Pu'al-Partizip feminin Singular von der Wurzel </w:t>
      </w:r>
      <w:r w:rsidRPr="009356DC">
        <w:rPr>
          <w:rFonts w:eastAsia="Times New Roman" w:cs="Times New Roman"/>
          <w:b/>
          <w:bCs/>
          <w:rtl/>
          <w:lang w:eastAsia="de-DE"/>
        </w:rPr>
        <w:t>קשה</w:t>
      </w:r>
      <w:r w:rsidRPr="009356DC">
        <w:rPr>
          <w:rFonts w:eastAsia="Times New Roman" w:cs="Times New Roman"/>
          <w:rtl/>
          <w:lang w:eastAsia="de-DE"/>
        </w:rPr>
        <w:t xml:space="preserve"> </w:t>
      </w:r>
      <w:r w:rsidRPr="009356DC">
        <w:rPr>
          <w:rFonts w:eastAsia="Times New Roman" w:cs="Times New Roman"/>
          <w:lang w:eastAsia="de-DE"/>
        </w:rPr>
        <w:t>(hart machen/treiben), was die Technik des Treibens/Hämmerns aus einem einzigen Silberstück beschreibt. Dies unterscheidet sich von gegossenen oder zusammengesetzten Instrumenten - jede Trompete soll aus einem einheitlichen Stück getriebenen Silbers bestehen, was sowohl akustische Reinheit als auch symbolische Einheit gewährleistet.</w:t>
      </w:r>
    </w:p>
    <w:p w14:paraId="3F8A20CB" w14:textId="025D48A0"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reduplikative </w:t>
      </w:r>
      <w:r w:rsidR="00F133EC">
        <w:rPr>
          <w:rFonts w:eastAsia="Times New Roman" w:cs="Times New Roman"/>
          <w:lang w:eastAsia="de-DE"/>
        </w:rPr>
        <w:t>Construct</w:t>
      </w:r>
      <w:r w:rsidRPr="009356DC">
        <w:rPr>
          <w:rFonts w:eastAsia="Times New Roman" w:cs="Times New Roman"/>
          <w:lang w:eastAsia="de-DE"/>
        </w:rPr>
        <w:t xml:space="preserve">ion </w:t>
      </w:r>
      <w:r w:rsidRPr="009356DC">
        <w:rPr>
          <w:rFonts w:eastAsia="Times New Roman" w:cs="Times New Roman"/>
          <w:b/>
          <w:bCs/>
          <w:rtl/>
          <w:lang w:eastAsia="de-DE"/>
        </w:rPr>
        <w:t>תַּעֲשֶׂ֣ה אֹתָ֑ם</w:t>
      </w:r>
      <w:r w:rsidRPr="009356DC">
        <w:rPr>
          <w:rFonts w:eastAsia="Times New Roman" w:cs="Times New Roman"/>
          <w:rtl/>
          <w:lang w:eastAsia="de-DE"/>
        </w:rPr>
        <w:t xml:space="preserve"> </w:t>
      </w:r>
      <w:r w:rsidRPr="009356DC">
        <w:rPr>
          <w:rFonts w:eastAsia="Times New Roman" w:cs="Times New Roman"/>
          <w:lang w:eastAsia="de-DE"/>
        </w:rPr>
        <w:t xml:space="preserve">(du sollst sie machen) verstärkt die persönliche Verantwortung Moses und betont die sorgfältige Ausführung. Das Pronomen </w:t>
      </w:r>
      <w:r w:rsidRPr="009356DC">
        <w:rPr>
          <w:rFonts w:eastAsia="Times New Roman" w:cs="Times New Roman"/>
          <w:b/>
          <w:bCs/>
          <w:rtl/>
          <w:lang w:eastAsia="de-DE"/>
        </w:rPr>
        <w:t>אֹתָ֑ם</w:t>
      </w:r>
      <w:r w:rsidRPr="009356DC">
        <w:rPr>
          <w:rFonts w:eastAsia="Times New Roman" w:cs="Times New Roman"/>
          <w:rtl/>
          <w:lang w:eastAsia="de-DE"/>
        </w:rPr>
        <w:t xml:space="preserve"> </w:t>
      </w:r>
      <w:r w:rsidRPr="009356DC">
        <w:rPr>
          <w:rFonts w:eastAsia="Times New Roman" w:cs="Times New Roman"/>
          <w:lang w:eastAsia="de-DE"/>
        </w:rPr>
        <w:t>(sie) bezieht sich spezifisch auf die beiden Trompeten zurück.</w:t>
      </w:r>
    </w:p>
    <w:p w14:paraId="3118EB5B"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doppelte Zweckbestimmung </w:t>
      </w:r>
      <w:r w:rsidRPr="009356DC">
        <w:rPr>
          <w:rFonts w:eastAsia="Times New Roman" w:cs="Times New Roman"/>
          <w:b/>
          <w:bCs/>
          <w:rtl/>
          <w:lang w:eastAsia="de-DE"/>
        </w:rPr>
        <w:t>וְהָי֤וּ לְךָ֙ לְמִקְרָ֣א הָֽעֵדָ֔ה וּלְמַסַּ֖ע אֶת־הַֽמַּחֲנֽוֹת</w:t>
      </w:r>
      <w:r w:rsidRPr="009356DC">
        <w:rPr>
          <w:rFonts w:eastAsia="Times New Roman" w:cs="Times New Roman"/>
          <w:rtl/>
          <w:lang w:eastAsia="de-DE"/>
        </w:rPr>
        <w:t xml:space="preserve"> </w:t>
      </w:r>
      <w:r w:rsidRPr="009356DC">
        <w:rPr>
          <w:rFonts w:eastAsia="Times New Roman" w:cs="Times New Roman"/>
          <w:lang w:eastAsia="de-DE"/>
        </w:rPr>
        <w:t xml:space="preserve">etabliert die beiden Hauptfunktionen dieser Instrumente. </w:t>
      </w:r>
      <w:r w:rsidRPr="009356DC">
        <w:rPr>
          <w:rFonts w:eastAsia="Times New Roman" w:cs="Times New Roman"/>
          <w:b/>
          <w:bCs/>
          <w:rtl/>
          <w:lang w:eastAsia="de-DE"/>
        </w:rPr>
        <w:t>וְהָי֤וּ לְךָ֙</w:t>
      </w:r>
      <w:r w:rsidRPr="009356DC">
        <w:rPr>
          <w:rFonts w:eastAsia="Times New Roman" w:cs="Times New Roman"/>
          <w:rtl/>
          <w:lang w:eastAsia="de-DE"/>
        </w:rPr>
        <w:t xml:space="preserve"> </w:t>
      </w:r>
      <w:r w:rsidRPr="009356DC">
        <w:rPr>
          <w:rFonts w:eastAsia="Times New Roman" w:cs="Times New Roman"/>
          <w:lang w:eastAsia="de-DE"/>
        </w:rPr>
        <w:t>(und sie sollen dir sein) betont erneut Moses persönliche Kontrolle über diese Signalfunktionen.</w:t>
      </w:r>
    </w:p>
    <w:p w14:paraId="2409D335" w14:textId="5A790765"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rtl/>
          <w:lang w:eastAsia="de-DE"/>
        </w:rPr>
        <w:t>לְמִקְרָ֣א הָֽעֵדָ֔ה</w:t>
      </w:r>
      <w:r w:rsidRPr="009356DC">
        <w:rPr>
          <w:rFonts w:eastAsia="Times New Roman" w:cs="Times New Roman"/>
          <w:rtl/>
          <w:lang w:eastAsia="de-DE"/>
        </w:rPr>
        <w:t xml:space="preserve"> </w:t>
      </w:r>
      <w:r w:rsidRPr="009356DC">
        <w:rPr>
          <w:rFonts w:eastAsia="Times New Roman" w:cs="Times New Roman"/>
          <w:lang w:eastAsia="de-DE"/>
        </w:rPr>
        <w:t xml:space="preserve">(zum Einberufen der Gemeinde) zeigt die erste Funktion. </w:t>
      </w:r>
      <w:r w:rsidRPr="009356DC">
        <w:rPr>
          <w:rFonts w:eastAsia="Times New Roman" w:cs="Times New Roman"/>
          <w:b/>
          <w:bCs/>
          <w:rtl/>
          <w:lang w:eastAsia="de-DE"/>
        </w:rPr>
        <w:t>מִקְרָא</w:t>
      </w:r>
      <w:r w:rsidRPr="009356DC">
        <w:rPr>
          <w:rFonts w:eastAsia="Times New Roman" w:cs="Times New Roman"/>
          <w:rtl/>
          <w:lang w:eastAsia="de-DE"/>
        </w:rPr>
        <w:t xml:space="preserve"> </w:t>
      </w:r>
      <w:r w:rsidRPr="009356DC">
        <w:rPr>
          <w:rFonts w:eastAsia="Times New Roman" w:cs="Times New Roman"/>
          <w:lang w:eastAsia="de-DE"/>
        </w:rPr>
        <w:t xml:space="preserve">von der Wurzel </w:t>
      </w:r>
      <w:r w:rsidRPr="009356DC">
        <w:rPr>
          <w:rFonts w:eastAsia="Times New Roman" w:cs="Times New Roman"/>
          <w:b/>
          <w:bCs/>
          <w:rtl/>
          <w:lang w:eastAsia="de-DE"/>
        </w:rPr>
        <w:t>קרא</w:t>
      </w:r>
      <w:r w:rsidRPr="009356DC">
        <w:rPr>
          <w:rFonts w:eastAsia="Times New Roman" w:cs="Times New Roman"/>
          <w:rtl/>
          <w:lang w:eastAsia="de-DE"/>
        </w:rPr>
        <w:t xml:space="preserve"> </w:t>
      </w:r>
      <w:r w:rsidRPr="009356DC">
        <w:rPr>
          <w:rFonts w:eastAsia="Times New Roman" w:cs="Times New Roman"/>
          <w:lang w:eastAsia="de-DE"/>
        </w:rPr>
        <w:t>(rufen) ist hier ein Infinitiv-</w:t>
      </w:r>
      <w:r w:rsidR="00F133EC">
        <w:rPr>
          <w:rFonts w:eastAsia="Times New Roman" w:cs="Times New Roman"/>
          <w:lang w:eastAsia="de-DE"/>
        </w:rPr>
        <w:t>Construct</w:t>
      </w:r>
      <w:r w:rsidRPr="009356DC">
        <w:rPr>
          <w:rFonts w:eastAsia="Times New Roman" w:cs="Times New Roman"/>
          <w:lang w:eastAsia="de-DE"/>
        </w:rPr>
        <w:t xml:space="preserve">, der den Akt des Zusammenrufens bezeichnet. </w:t>
      </w:r>
      <w:r w:rsidRPr="009356DC">
        <w:rPr>
          <w:rFonts w:eastAsia="Times New Roman" w:cs="Times New Roman"/>
          <w:b/>
          <w:bCs/>
          <w:rtl/>
          <w:lang w:eastAsia="de-DE"/>
        </w:rPr>
        <w:t>הָֽעֵדָ֔ה</w:t>
      </w:r>
      <w:r w:rsidRPr="009356DC">
        <w:rPr>
          <w:rFonts w:eastAsia="Times New Roman" w:cs="Times New Roman"/>
          <w:rtl/>
          <w:lang w:eastAsia="de-DE"/>
        </w:rPr>
        <w:t xml:space="preserve"> </w:t>
      </w:r>
      <w:r w:rsidRPr="009356DC">
        <w:rPr>
          <w:rFonts w:eastAsia="Times New Roman" w:cs="Times New Roman"/>
          <w:lang w:eastAsia="de-DE"/>
        </w:rPr>
        <w:t>(die Gemeinde) bezeichnet die gesamte israelitische Volksversammlung als religiöse und politische Einheit.</w:t>
      </w:r>
    </w:p>
    <w:p w14:paraId="27F8673B"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rtl/>
          <w:lang w:eastAsia="de-DE"/>
        </w:rPr>
        <w:t>וּלְמַסַּ֖ע אֶת־הַֽמַּחֲנֽוֹת</w:t>
      </w:r>
      <w:r w:rsidRPr="009356DC">
        <w:rPr>
          <w:rFonts w:eastAsia="Times New Roman" w:cs="Times New Roman"/>
          <w:rtl/>
          <w:lang w:eastAsia="de-DE"/>
        </w:rPr>
        <w:t xml:space="preserve"> </w:t>
      </w:r>
      <w:r w:rsidRPr="009356DC">
        <w:rPr>
          <w:rFonts w:eastAsia="Times New Roman" w:cs="Times New Roman"/>
          <w:lang w:eastAsia="de-DE"/>
        </w:rPr>
        <w:t xml:space="preserve">(und zum Aufbruch der Heerlager) zeigt die zweite, militärische Funktion. </w:t>
      </w:r>
      <w:r w:rsidRPr="009356DC">
        <w:rPr>
          <w:rFonts w:eastAsia="Times New Roman" w:cs="Times New Roman"/>
          <w:b/>
          <w:bCs/>
          <w:rtl/>
          <w:lang w:eastAsia="de-DE"/>
        </w:rPr>
        <w:t>מַסַּ֖ע</w:t>
      </w:r>
      <w:r w:rsidRPr="009356DC">
        <w:rPr>
          <w:rFonts w:eastAsia="Times New Roman" w:cs="Times New Roman"/>
          <w:rtl/>
          <w:lang w:eastAsia="de-DE"/>
        </w:rPr>
        <w:t xml:space="preserve"> </w:t>
      </w:r>
      <w:r w:rsidRPr="009356DC">
        <w:rPr>
          <w:rFonts w:eastAsia="Times New Roman" w:cs="Times New Roman"/>
          <w:lang w:eastAsia="de-DE"/>
        </w:rPr>
        <w:t xml:space="preserve">von der Wurzel </w:t>
      </w:r>
      <w:r w:rsidRPr="009356DC">
        <w:rPr>
          <w:rFonts w:eastAsia="Times New Roman" w:cs="Times New Roman"/>
          <w:b/>
          <w:bCs/>
          <w:rtl/>
          <w:lang w:eastAsia="de-DE"/>
        </w:rPr>
        <w:t>נסע</w:t>
      </w:r>
      <w:r w:rsidRPr="009356DC">
        <w:rPr>
          <w:rFonts w:eastAsia="Times New Roman" w:cs="Times New Roman"/>
          <w:rtl/>
          <w:lang w:eastAsia="de-DE"/>
        </w:rPr>
        <w:t xml:space="preserve"> </w:t>
      </w:r>
      <w:r w:rsidRPr="009356DC">
        <w:rPr>
          <w:rFonts w:eastAsia="Times New Roman" w:cs="Times New Roman"/>
          <w:lang w:eastAsia="de-DE"/>
        </w:rPr>
        <w:t xml:space="preserve">(aufbrechen/reisen) bezeichnet organisierte Wanderungsbewegungen. </w:t>
      </w:r>
      <w:r w:rsidRPr="009356DC">
        <w:rPr>
          <w:rFonts w:eastAsia="Times New Roman" w:cs="Times New Roman"/>
          <w:b/>
          <w:bCs/>
          <w:rtl/>
          <w:lang w:eastAsia="de-DE"/>
        </w:rPr>
        <w:t>הַֽמַּחֲנֽוֹת</w:t>
      </w:r>
      <w:r w:rsidRPr="009356DC">
        <w:rPr>
          <w:rFonts w:eastAsia="Times New Roman" w:cs="Times New Roman"/>
          <w:rtl/>
          <w:lang w:eastAsia="de-DE"/>
        </w:rPr>
        <w:t xml:space="preserve"> </w:t>
      </w:r>
      <w:r w:rsidRPr="009356DC">
        <w:rPr>
          <w:rFonts w:eastAsia="Times New Roman" w:cs="Times New Roman"/>
          <w:lang w:eastAsia="de-DE"/>
        </w:rPr>
        <w:t xml:space="preserve">(die Lager) Plural von </w:t>
      </w:r>
      <w:r w:rsidRPr="009356DC">
        <w:rPr>
          <w:rFonts w:eastAsia="Times New Roman" w:cs="Times New Roman"/>
          <w:b/>
          <w:bCs/>
          <w:rtl/>
          <w:lang w:eastAsia="de-DE"/>
        </w:rPr>
        <w:t>מַחֲנֶה</w:t>
      </w:r>
      <w:r w:rsidRPr="009356DC">
        <w:rPr>
          <w:rFonts w:eastAsia="Times New Roman" w:cs="Times New Roman"/>
          <w:rtl/>
          <w:lang w:eastAsia="de-DE"/>
        </w:rPr>
        <w:t xml:space="preserve"> </w:t>
      </w:r>
      <w:r w:rsidRPr="009356DC">
        <w:rPr>
          <w:rFonts w:eastAsia="Times New Roman" w:cs="Times New Roman"/>
          <w:lang w:eastAsia="de-DE"/>
        </w:rPr>
        <w:t>zeigt die militärische Organisation Israels in der Wüste.</w:t>
      </w:r>
    </w:p>
    <w:p w14:paraId="26F56B6E" w14:textId="77777777" w:rsidR="00A1074A" w:rsidRDefault="00A1074A" w:rsidP="009356DC">
      <w:pPr>
        <w:spacing w:before="100" w:beforeAutospacing="1" w:after="100" w:afterAutospacing="1" w:line="240" w:lineRule="auto"/>
      </w:pPr>
      <w:r>
        <w:rPr>
          <w:rStyle w:val="Fett"/>
        </w:rPr>
        <w:t>Die LXX</w:t>
      </w:r>
      <w:r>
        <w:t xml:space="preserve"> übersetzt </w:t>
      </w:r>
      <w:r w:rsidRPr="00A1074A">
        <w:rPr>
          <w:b/>
          <w:bCs/>
          <w:rtl/>
        </w:rPr>
        <w:t>מקשה</w:t>
      </w:r>
      <w:r>
        <w:t xml:space="preserve"> (miqshah - "getrieben/aus einem Stück gehämmert") als ἐλατάς (gehämmert/getrieben). </w:t>
      </w:r>
      <w:r w:rsidRPr="00A1074A">
        <w:rPr>
          <w:b/>
          <w:bCs/>
          <w:rtl/>
        </w:rPr>
        <w:t>למקרא</w:t>
      </w:r>
      <w:r>
        <w:rPr>
          <w:rtl/>
        </w:rPr>
        <w:t xml:space="preserve"> </w:t>
      </w:r>
      <w:r w:rsidRPr="00A1074A">
        <w:rPr>
          <w:b/>
          <w:bCs/>
          <w:rtl/>
        </w:rPr>
        <w:t>העדה</w:t>
      </w:r>
      <w:r>
        <w:t xml:space="preserve"> (lemiqra ha'edah - "zum Zusammenrufen der Gemeinde") wird als ἀνακαλεῖν τὴν συναγωγήν (zum Zurückrufen der Versammlung) übersetzt, und </w:t>
      </w:r>
      <w:r w:rsidRPr="00A1074A">
        <w:rPr>
          <w:b/>
          <w:bCs/>
          <w:rtl/>
        </w:rPr>
        <w:t>למסע</w:t>
      </w:r>
      <w:r>
        <w:rPr>
          <w:rtl/>
        </w:rPr>
        <w:t xml:space="preserve"> </w:t>
      </w:r>
      <w:r w:rsidRPr="00A1074A">
        <w:rPr>
          <w:b/>
          <w:bCs/>
          <w:rtl/>
        </w:rPr>
        <w:t>את־המחנות</w:t>
      </w:r>
      <w:r>
        <w:t xml:space="preserve"> (lemassa' et-hammachanot - "zum Aufbrechen der Lager") als ἐξαίρειν τὰς παρεμβολάς (zum Aufheben der Lager).</w:t>
      </w:r>
    </w:p>
    <w:p w14:paraId="4627DF92" w14:textId="2B20DE1B"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Satzstruktur zeigt eine vollständige Anweisung mit persönlicher Zuordnung, materieller und technischer Spezifikation und doppelter funktionaler Bestimmung. Die sorgfältige Balance zwischen zivilem (Gemeindeversammlung) und militärischem (Lageraufbruch) Gebrauch zeigt Moses doppelte Rolle als religiöser und militärischer Führer.</w:t>
      </w:r>
    </w:p>
    <w:p w14:paraId="02B8C8AC"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Diese Trompeten stellen somit Moses wichtigste Kommunikationsmittel für die Führung der großen israelitischen Wandergemeinschaft dar - sie ermöglichen ihm die effektive Kontrolle über eine Bevölkerung von mehreren hunderttausend Menschen in der Wüste.</w:t>
      </w:r>
    </w:p>
    <w:p w14:paraId="084C9051" w14:textId="77777777" w:rsidR="009356DC" w:rsidRPr="009356DC" w:rsidRDefault="009356DC" w:rsidP="009356DC">
      <w:pPr>
        <w:spacing w:before="100" w:beforeAutospacing="1" w:after="100" w:afterAutospacing="1" w:line="240" w:lineRule="auto"/>
        <w:outlineLvl w:val="0"/>
        <w:rPr>
          <w:rFonts w:eastAsia="Times New Roman" w:cs="Times New Roman"/>
          <w:b/>
          <w:bCs/>
          <w:kern w:val="36"/>
          <w:sz w:val="48"/>
          <w:szCs w:val="48"/>
          <w:lang w:eastAsia="de-DE"/>
        </w:rPr>
      </w:pPr>
      <w:r w:rsidRPr="009356DC">
        <w:rPr>
          <w:rFonts w:eastAsia="Times New Roman" w:cs="Times New Roman"/>
          <w:b/>
          <w:bCs/>
          <w:kern w:val="36"/>
          <w:sz w:val="48"/>
          <w:szCs w:val="48"/>
          <w:lang w:eastAsia="de-DE"/>
        </w:rPr>
        <w:lastRenderedPageBreak/>
        <w:t>Numeri 10,3</w:t>
      </w:r>
    </w:p>
    <w:p w14:paraId="7C4937D5"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Hebräisch:</w:t>
      </w:r>
      <w:r w:rsidRPr="009356DC">
        <w:rPr>
          <w:rFonts w:eastAsia="Times New Roman" w:cs="Times New Roman"/>
          <w:lang w:eastAsia="de-DE"/>
        </w:rPr>
        <w:t xml:space="preserve"> </w:t>
      </w:r>
      <w:r w:rsidRPr="009356DC">
        <w:rPr>
          <w:rFonts w:eastAsia="Times New Roman" w:cs="Times New Roman"/>
          <w:rtl/>
          <w:lang w:eastAsia="de-DE"/>
        </w:rPr>
        <w:t>וְתָקְע֖וּ בָּהֵ֑ן וְנֽוֹעֲד֤וּ אֵלֶ֨יךָ֙ כָּל־הָ֣עֵדָ֔ה אֶל־פֶּ֖תַח אֹ֥הֶל מוֹעֵֽד׃</w:t>
      </w:r>
    </w:p>
    <w:p w14:paraId="1FEFE05D"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Deutsch:</w:t>
      </w:r>
      <w:r w:rsidRPr="009356DC">
        <w:rPr>
          <w:rFonts w:eastAsia="Times New Roman" w:cs="Times New Roman"/>
          <w:lang w:eastAsia="de-DE"/>
        </w:rPr>
        <w:t xml:space="preserve"> Und wenn man in sie stößt, so soll sich die ganze Gemeinde zu dir versammeln an den Eingang des Zeltes der Begegnung.</w:t>
      </w:r>
    </w:p>
    <w:p w14:paraId="507F1E89" w14:textId="77777777" w:rsidR="009356DC" w:rsidRPr="009356DC" w:rsidRDefault="00F329DD" w:rsidP="009356DC">
      <w:pPr>
        <w:spacing w:after="0" w:line="240" w:lineRule="auto"/>
        <w:rPr>
          <w:rFonts w:eastAsia="Times New Roman" w:cs="Times New Roman"/>
          <w:lang w:eastAsia="de-DE"/>
        </w:rPr>
      </w:pPr>
      <w:r>
        <w:rPr>
          <w:rFonts w:eastAsia="Times New Roman" w:cs="Times New Roman"/>
          <w:noProof/>
          <w:lang w:eastAsia="de-DE"/>
        </w:rPr>
        <w:pict w14:anchorId="3198E6B6">
          <v:rect id="_x0000_i1346" style="width:0;height:1.5pt" o:hralign="center" o:hrstd="t" o:hr="t" fillcolor="#a0a0a0" stroked="f"/>
        </w:pict>
      </w:r>
    </w:p>
    <w:p w14:paraId="37C343F0"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Kommentar:</w:t>
      </w:r>
      <w:r w:rsidRPr="009356DC">
        <w:rPr>
          <w:rFonts w:eastAsia="Times New Roman" w:cs="Times New Roman"/>
          <w:lang w:eastAsia="de-DE"/>
        </w:rPr>
        <w:t xml:space="preserve"> Das Verb </w:t>
      </w:r>
      <w:r w:rsidRPr="009356DC">
        <w:rPr>
          <w:rFonts w:eastAsia="Times New Roman" w:cs="Times New Roman"/>
          <w:b/>
          <w:bCs/>
          <w:rtl/>
          <w:lang w:eastAsia="de-DE"/>
        </w:rPr>
        <w:t>וְתָקְע֖וּ בָּהֵ֑ן</w:t>
      </w:r>
      <w:r w:rsidRPr="009356DC">
        <w:rPr>
          <w:rFonts w:eastAsia="Times New Roman" w:cs="Times New Roman"/>
          <w:rtl/>
          <w:lang w:eastAsia="de-DE"/>
        </w:rPr>
        <w:t xml:space="preserve"> </w:t>
      </w:r>
      <w:r w:rsidRPr="009356DC">
        <w:rPr>
          <w:rFonts w:eastAsia="Times New Roman" w:cs="Times New Roman"/>
          <w:lang w:eastAsia="de-DE"/>
        </w:rPr>
        <w:t xml:space="preserve">zeigt eine konditionelle Handlung mit dauerhafter Gültigkeit. </w:t>
      </w:r>
      <w:r w:rsidRPr="009356DC">
        <w:rPr>
          <w:rFonts w:eastAsia="Times New Roman" w:cs="Times New Roman"/>
          <w:b/>
          <w:bCs/>
          <w:rtl/>
          <w:lang w:eastAsia="de-DE"/>
        </w:rPr>
        <w:t>תָקְע֖וּ</w:t>
      </w:r>
      <w:r w:rsidRPr="009356DC">
        <w:rPr>
          <w:rFonts w:eastAsia="Times New Roman" w:cs="Times New Roman"/>
          <w:rtl/>
          <w:lang w:eastAsia="de-DE"/>
        </w:rPr>
        <w:t xml:space="preserve"> </w:t>
      </w:r>
      <w:r w:rsidRPr="009356DC">
        <w:rPr>
          <w:rFonts w:eastAsia="Times New Roman" w:cs="Times New Roman"/>
          <w:lang w:eastAsia="de-DE"/>
        </w:rPr>
        <w:t xml:space="preserve">von der Wurzel </w:t>
      </w:r>
      <w:r w:rsidRPr="009356DC">
        <w:rPr>
          <w:rFonts w:eastAsia="Times New Roman" w:cs="Times New Roman"/>
          <w:b/>
          <w:bCs/>
          <w:rtl/>
          <w:lang w:eastAsia="de-DE"/>
        </w:rPr>
        <w:t>תקע</w:t>
      </w:r>
      <w:r w:rsidRPr="009356DC">
        <w:rPr>
          <w:rFonts w:eastAsia="Times New Roman" w:cs="Times New Roman"/>
          <w:rtl/>
          <w:lang w:eastAsia="de-DE"/>
        </w:rPr>
        <w:t xml:space="preserve"> </w:t>
      </w:r>
      <w:r w:rsidRPr="009356DC">
        <w:rPr>
          <w:rFonts w:eastAsia="Times New Roman" w:cs="Times New Roman"/>
          <w:lang w:eastAsia="de-DE"/>
        </w:rPr>
        <w:t xml:space="preserve">(stoßen/blasen) im Qal-Perfekt 3. maskulin Plural wird hier in konditionellem Sinne verwendet ("wenn sie blasen werden"). </w:t>
      </w:r>
      <w:r w:rsidRPr="009356DC">
        <w:rPr>
          <w:rFonts w:eastAsia="Times New Roman" w:cs="Times New Roman"/>
          <w:b/>
          <w:bCs/>
          <w:rtl/>
          <w:lang w:eastAsia="de-DE"/>
        </w:rPr>
        <w:t>בָּהֵ֑ן</w:t>
      </w:r>
      <w:r w:rsidRPr="009356DC">
        <w:rPr>
          <w:rFonts w:eastAsia="Times New Roman" w:cs="Times New Roman"/>
          <w:rtl/>
          <w:lang w:eastAsia="de-DE"/>
        </w:rPr>
        <w:t xml:space="preserve"> </w:t>
      </w:r>
      <w:r w:rsidRPr="009356DC">
        <w:rPr>
          <w:rFonts w:eastAsia="Times New Roman" w:cs="Times New Roman"/>
          <w:lang w:eastAsia="de-DE"/>
        </w:rPr>
        <w:t>(in sie) bezieht sich auf beide Trompeten aus Vers 2 - das simultanee Blasen beider Instrumente wird als Signal für die Vollversammlung etabliert.</w:t>
      </w:r>
    </w:p>
    <w:p w14:paraId="591223AE"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grammatische Form des Perfekts in konditionellem Kontext (</w:t>
      </w:r>
      <w:r w:rsidRPr="009356DC">
        <w:rPr>
          <w:rFonts w:eastAsia="Times New Roman" w:cs="Times New Roman"/>
          <w:b/>
          <w:bCs/>
          <w:rtl/>
          <w:lang w:eastAsia="de-DE"/>
        </w:rPr>
        <w:t>וְתָקְעוּ</w:t>
      </w:r>
      <w:r w:rsidRPr="009356DC">
        <w:rPr>
          <w:rFonts w:eastAsia="Times New Roman" w:cs="Times New Roman"/>
          <w:lang w:eastAsia="de-DE"/>
        </w:rPr>
        <w:t>) ist charakteristisch für biblisches Hebräisch bei allgemeinen Regeln oder wiederholbaren Handlungen. Dies unterscheidet sich von einmaligen narrativen Ereignissen und zeigt, dass diese Anweisung als dauerhafte Prozedur gedacht ist.</w:t>
      </w:r>
    </w:p>
    <w:p w14:paraId="27EFADB8"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Das Resultat </w:t>
      </w:r>
      <w:r w:rsidRPr="009356DC">
        <w:rPr>
          <w:rFonts w:eastAsia="Times New Roman" w:cs="Times New Roman"/>
          <w:b/>
          <w:bCs/>
          <w:rtl/>
          <w:lang w:eastAsia="de-DE"/>
        </w:rPr>
        <w:t>וְנֽוֹעֲד֤וּ אֵלֶ֨יךָ֙ כָּל־הָ֣עֵדָ֔ה</w:t>
      </w:r>
      <w:r w:rsidRPr="009356DC">
        <w:rPr>
          <w:rFonts w:eastAsia="Times New Roman" w:cs="Times New Roman"/>
          <w:rtl/>
          <w:lang w:eastAsia="de-DE"/>
        </w:rPr>
        <w:t xml:space="preserve"> </w:t>
      </w:r>
      <w:r w:rsidRPr="009356DC">
        <w:rPr>
          <w:rFonts w:eastAsia="Times New Roman" w:cs="Times New Roman"/>
          <w:lang w:eastAsia="de-DE"/>
        </w:rPr>
        <w:t xml:space="preserve">zeigt die erwartete Reaktion auf das Doppeltrompetensignal. </w:t>
      </w:r>
      <w:r w:rsidRPr="009356DC">
        <w:rPr>
          <w:rFonts w:eastAsia="Times New Roman" w:cs="Times New Roman"/>
          <w:b/>
          <w:bCs/>
          <w:rtl/>
          <w:lang w:eastAsia="de-DE"/>
        </w:rPr>
        <w:t>נֽוֹעֲד֤וּ</w:t>
      </w:r>
      <w:r w:rsidRPr="009356DC">
        <w:rPr>
          <w:rFonts w:eastAsia="Times New Roman" w:cs="Times New Roman"/>
          <w:rtl/>
          <w:lang w:eastAsia="de-DE"/>
        </w:rPr>
        <w:t xml:space="preserve"> </w:t>
      </w:r>
      <w:r w:rsidRPr="009356DC">
        <w:rPr>
          <w:rFonts w:eastAsia="Times New Roman" w:cs="Times New Roman"/>
          <w:lang w:eastAsia="de-DE"/>
        </w:rPr>
        <w:t xml:space="preserve">von der Wurzel </w:t>
      </w:r>
      <w:r w:rsidRPr="009356DC">
        <w:rPr>
          <w:rFonts w:eastAsia="Times New Roman" w:cs="Times New Roman"/>
          <w:b/>
          <w:bCs/>
          <w:rtl/>
          <w:lang w:eastAsia="de-DE"/>
        </w:rPr>
        <w:t>יעד</w:t>
      </w:r>
      <w:r w:rsidRPr="009356DC">
        <w:rPr>
          <w:rFonts w:eastAsia="Times New Roman" w:cs="Times New Roman"/>
          <w:rtl/>
          <w:lang w:eastAsia="de-DE"/>
        </w:rPr>
        <w:t xml:space="preserve"> </w:t>
      </w:r>
      <w:r w:rsidRPr="009356DC">
        <w:rPr>
          <w:rFonts w:eastAsia="Times New Roman" w:cs="Times New Roman"/>
          <w:lang w:eastAsia="de-DE"/>
        </w:rPr>
        <w:t>(sich versammeln/zusammenkommen) im Niph'al-Perfekt 3. maskulin Plural hat hier futurischen Charakter im konditionellen Kontext ("sie werden sich versammeln"). Das Niph'al zeigt die reflexive Natur der Handlung - das Volk versammelt sich selbst als Reaktion auf das Signal.</w:t>
      </w:r>
    </w:p>
    <w:p w14:paraId="30E827B6"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rtl/>
          <w:lang w:eastAsia="de-DE"/>
        </w:rPr>
        <w:t>אֵלֶ֨יךָ֙</w:t>
      </w:r>
      <w:r w:rsidRPr="009356DC">
        <w:rPr>
          <w:rFonts w:eastAsia="Times New Roman" w:cs="Times New Roman"/>
          <w:rtl/>
          <w:lang w:eastAsia="de-DE"/>
        </w:rPr>
        <w:t xml:space="preserve"> </w:t>
      </w:r>
      <w:r w:rsidRPr="009356DC">
        <w:rPr>
          <w:rFonts w:eastAsia="Times New Roman" w:cs="Times New Roman"/>
          <w:lang w:eastAsia="de-DE"/>
        </w:rPr>
        <w:t xml:space="preserve">(zu dir) betont Moses zentrale Autorität - die Versammlung kommt nicht nur zusammen, sondern speziell zu Moses als ihrem Führer. </w:t>
      </w:r>
      <w:r w:rsidRPr="009356DC">
        <w:rPr>
          <w:rFonts w:eastAsia="Times New Roman" w:cs="Times New Roman"/>
          <w:b/>
          <w:bCs/>
          <w:rtl/>
          <w:lang w:eastAsia="de-DE"/>
        </w:rPr>
        <w:t>כָּל־הָ֣עֵדָ֔ה</w:t>
      </w:r>
      <w:r w:rsidRPr="009356DC">
        <w:rPr>
          <w:rFonts w:eastAsia="Times New Roman" w:cs="Times New Roman"/>
          <w:rtl/>
          <w:lang w:eastAsia="de-DE"/>
        </w:rPr>
        <w:t xml:space="preserve"> </w:t>
      </w:r>
      <w:r w:rsidRPr="009356DC">
        <w:rPr>
          <w:rFonts w:eastAsia="Times New Roman" w:cs="Times New Roman"/>
          <w:lang w:eastAsia="de-DE"/>
        </w:rPr>
        <w:t xml:space="preserve">(die ganze Gemeinde) mit </w:t>
      </w:r>
      <w:r w:rsidRPr="009356DC">
        <w:rPr>
          <w:rFonts w:eastAsia="Times New Roman" w:cs="Times New Roman"/>
          <w:b/>
          <w:bCs/>
          <w:rtl/>
          <w:lang w:eastAsia="de-DE"/>
        </w:rPr>
        <w:t>כָּל</w:t>
      </w:r>
      <w:r w:rsidRPr="009356DC">
        <w:rPr>
          <w:rFonts w:eastAsia="Times New Roman" w:cs="Times New Roman"/>
          <w:rtl/>
          <w:lang w:eastAsia="de-DE"/>
        </w:rPr>
        <w:t xml:space="preserve"> </w:t>
      </w:r>
      <w:r w:rsidRPr="009356DC">
        <w:rPr>
          <w:rFonts w:eastAsia="Times New Roman" w:cs="Times New Roman"/>
          <w:lang w:eastAsia="de-DE"/>
        </w:rPr>
        <w:t xml:space="preserve">(ganze/alle) unterstreicht die Vollständigkeit der erwarteten Teilnahme. </w:t>
      </w:r>
      <w:r w:rsidRPr="009356DC">
        <w:rPr>
          <w:rFonts w:eastAsia="Times New Roman" w:cs="Times New Roman"/>
          <w:b/>
          <w:bCs/>
          <w:rtl/>
          <w:lang w:eastAsia="de-DE"/>
        </w:rPr>
        <w:t>עֵדָה</w:t>
      </w:r>
      <w:r w:rsidRPr="009356DC">
        <w:rPr>
          <w:rFonts w:eastAsia="Times New Roman" w:cs="Times New Roman"/>
          <w:rtl/>
          <w:lang w:eastAsia="de-DE"/>
        </w:rPr>
        <w:t xml:space="preserve"> </w:t>
      </w:r>
      <w:r w:rsidRPr="009356DC">
        <w:rPr>
          <w:rFonts w:eastAsia="Times New Roman" w:cs="Times New Roman"/>
          <w:lang w:eastAsia="de-DE"/>
        </w:rPr>
        <w:t>bezeichnet die israelitische Volksgemeinschaft als organisierte religiöse und politische Einheit.</w:t>
      </w:r>
    </w:p>
    <w:p w14:paraId="55484FFA"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Ortsangabe </w:t>
      </w:r>
      <w:r w:rsidRPr="009356DC">
        <w:rPr>
          <w:rFonts w:eastAsia="Times New Roman" w:cs="Times New Roman"/>
          <w:b/>
          <w:bCs/>
          <w:rtl/>
          <w:lang w:eastAsia="de-DE"/>
        </w:rPr>
        <w:t>אֶל־פֶּ֖תַח אֹ֥הֶל מוֹעֵֽד</w:t>
      </w:r>
      <w:r w:rsidRPr="009356DC">
        <w:rPr>
          <w:rFonts w:eastAsia="Times New Roman" w:cs="Times New Roman"/>
          <w:rtl/>
          <w:lang w:eastAsia="de-DE"/>
        </w:rPr>
        <w:t xml:space="preserve"> </w:t>
      </w:r>
      <w:r w:rsidRPr="009356DC">
        <w:rPr>
          <w:rFonts w:eastAsia="Times New Roman" w:cs="Times New Roman"/>
          <w:lang w:eastAsia="de-DE"/>
        </w:rPr>
        <w:t xml:space="preserve">(zum Eingang des Zeltes der Begegnung) spezifiziert den heiligen Versammlungsort. </w:t>
      </w:r>
      <w:r w:rsidRPr="009356DC">
        <w:rPr>
          <w:rFonts w:eastAsia="Times New Roman" w:cs="Times New Roman"/>
          <w:b/>
          <w:bCs/>
          <w:rtl/>
          <w:lang w:eastAsia="de-DE"/>
        </w:rPr>
        <w:t>פֶּ֖תַח</w:t>
      </w:r>
      <w:r w:rsidRPr="009356DC">
        <w:rPr>
          <w:rFonts w:eastAsia="Times New Roman" w:cs="Times New Roman"/>
          <w:rtl/>
          <w:lang w:eastAsia="de-DE"/>
        </w:rPr>
        <w:t xml:space="preserve"> </w:t>
      </w:r>
      <w:r w:rsidRPr="009356DC">
        <w:rPr>
          <w:rFonts w:eastAsia="Times New Roman" w:cs="Times New Roman"/>
          <w:lang w:eastAsia="de-DE"/>
        </w:rPr>
        <w:t xml:space="preserve">(Eingang/Öffnung) bezeichnet nicht nur den physischen Zugang, sondern den rituell bedeutsamen Schwellenbereich zwischen dem profanen Lagerbereich und dem heiligen Zeltbereich. </w:t>
      </w:r>
      <w:r w:rsidRPr="009356DC">
        <w:rPr>
          <w:rFonts w:eastAsia="Times New Roman" w:cs="Times New Roman"/>
          <w:b/>
          <w:bCs/>
          <w:rtl/>
          <w:lang w:eastAsia="de-DE"/>
        </w:rPr>
        <w:t>אֹ֥הֶל מוֹעֵֽד</w:t>
      </w:r>
      <w:r w:rsidRPr="009356DC">
        <w:rPr>
          <w:rFonts w:eastAsia="Times New Roman" w:cs="Times New Roman"/>
          <w:rtl/>
          <w:lang w:eastAsia="de-DE"/>
        </w:rPr>
        <w:t xml:space="preserve"> </w:t>
      </w:r>
      <w:r w:rsidRPr="009356DC">
        <w:rPr>
          <w:rFonts w:eastAsia="Times New Roman" w:cs="Times New Roman"/>
          <w:lang w:eastAsia="de-DE"/>
        </w:rPr>
        <w:t xml:space="preserve">(Zelt der Begegnung) von der Wurzel </w:t>
      </w:r>
      <w:r w:rsidRPr="009356DC">
        <w:rPr>
          <w:rFonts w:eastAsia="Times New Roman" w:cs="Times New Roman"/>
          <w:b/>
          <w:bCs/>
          <w:rtl/>
          <w:lang w:eastAsia="de-DE"/>
        </w:rPr>
        <w:t>יעד</w:t>
      </w:r>
      <w:r w:rsidRPr="009356DC">
        <w:rPr>
          <w:rFonts w:eastAsia="Times New Roman" w:cs="Times New Roman"/>
          <w:rtl/>
          <w:lang w:eastAsia="de-DE"/>
        </w:rPr>
        <w:t xml:space="preserve"> </w:t>
      </w:r>
      <w:r w:rsidRPr="009356DC">
        <w:rPr>
          <w:rFonts w:eastAsia="Times New Roman" w:cs="Times New Roman"/>
          <w:lang w:eastAsia="de-DE"/>
        </w:rPr>
        <w:t>(bestimmen/treffen) bezeichnet den Ort der göttlichen Begegnung mit Moses und dem Volk.</w:t>
      </w:r>
    </w:p>
    <w:p w14:paraId="52310203"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topographische Logik ist wichtig: das gesamte Volk (mehrere hunderttausend Menschen) kann nicht physisch in das Zelt hinein, aber sie können sich am Eingang versammeln, von wo aus Moses zu ihnen sprechen kann. Diese Anordnung respektiert sowohl die Heiligkeit des Zeltes als auch die praktischen Notwendigkeiten der Massenkommunikation.</w:t>
      </w:r>
    </w:p>
    <w:p w14:paraId="3D26FEE9"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Die LXX</w:t>
      </w:r>
      <w:r w:rsidRPr="009356DC">
        <w:rPr>
          <w:rFonts w:eastAsia="Times New Roman" w:cs="Times New Roman"/>
          <w:lang w:eastAsia="de-DE"/>
        </w:rPr>
        <w:t xml:space="preserve"> übersetzt </w:t>
      </w:r>
      <w:r w:rsidRPr="009356DC">
        <w:rPr>
          <w:rFonts w:eastAsia="Times New Roman" w:cs="Times New Roman"/>
          <w:b/>
          <w:bCs/>
          <w:rtl/>
          <w:lang w:eastAsia="de-DE"/>
        </w:rPr>
        <w:t>תָקְעוּ</w:t>
      </w:r>
      <w:r w:rsidRPr="009356DC">
        <w:rPr>
          <w:rFonts w:eastAsia="Times New Roman" w:cs="Times New Roman"/>
          <w:rtl/>
          <w:lang w:eastAsia="de-DE"/>
        </w:rPr>
        <w:t xml:space="preserve"> </w:t>
      </w:r>
      <w:r w:rsidRPr="009356DC">
        <w:rPr>
          <w:rFonts w:eastAsia="Times New Roman" w:cs="Times New Roman"/>
          <w:lang w:eastAsia="de-DE"/>
        </w:rPr>
        <w:t xml:space="preserve">mit σαλπίσητε (ihr sollt trompeten), was den imperativen Charakter betont, und </w:t>
      </w:r>
      <w:r w:rsidRPr="009356DC">
        <w:rPr>
          <w:rFonts w:eastAsia="Times New Roman" w:cs="Times New Roman"/>
          <w:b/>
          <w:bCs/>
          <w:rtl/>
          <w:lang w:eastAsia="de-DE"/>
        </w:rPr>
        <w:t>נוֹעֲדוּ</w:t>
      </w:r>
      <w:r w:rsidRPr="009356DC">
        <w:rPr>
          <w:rFonts w:eastAsia="Times New Roman" w:cs="Times New Roman"/>
          <w:rtl/>
          <w:lang w:eastAsia="de-DE"/>
        </w:rPr>
        <w:t xml:space="preserve"> </w:t>
      </w:r>
      <w:r w:rsidRPr="009356DC">
        <w:rPr>
          <w:rFonts w:eastAsia="Times New Roman" w:cs="Times New Roman"/>
          <w:lang w:eastAsia="de-DE"/>
        </w:rPr>
        <w:t xml:space="preserve">mit συναχθήσεται (es wird sich versammeln), wobei das griechische Passiv die kollektive Natur der Versammlungsreaktion ausdrückt. </w:t>
      </w:r>
      <w:r w:rsidRPr="009356DC">
        <w:rPr>
          <w:rFonts w:eastAsia="Times New Roman" w:cs="Times New Roman"/>
          <w:b/>
          <w:bCs/>
          <w:rtl/>
          <w:lang w:eastAsia="de-DE"/>
        </w:rPr>
        <w:t>עֵדָה</w:t>
      </w:r>
      <w:r w:rsidRPr="009356DC">
        <w:rPr>
          <w:rFonts w:eastAsia="Times New Roman" w:cs="Times New Roman"/>
          <w:rtl/>
          <w:lang w:eastAsia="de-DE"/>
        </w:rPr>
        <w:t xml:space="preserve"> </w:t>
      </w:r>
      <w:r w:rsidRPr="009356DC">
        <w:rPr>
          <w:rFonts w:eastAsia="Times New Roman" w:cs="Times New Roman"/>
          <w:lang w:eastAsia="de-DE"/>
        </w:rPr>
        <w:t>wird mit συναγωγή (Versammlung) übersetzt, was später zur technischen Bezeichnung für jüdische Gemeinden wird.</w:t>
      </w:r>
    </w:p>
    <w:p w14:paraId="1C0E17F9" w14:textId="54679804" w:rsid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lastRenderedPageBreak/>
        <w:t>Die Satzstruktur zeigt eine präzise Wenn-Dann-Beziehung zwischen Signalgebung und Gemeinschaftsreaktion, mit klarer räumlicher und autoritativer Spezifikation. Diese Anordnung etabliert Moses als den zentralen Kommunikator zwischen Gott und Volk, wobei die Trompeten als seine primären Mittel zur Volksführung dienen.</w:t>
      </w:r>
    </w:p>
    <w:p w14:paraId="253FA73F" w14:textId="6136E5B5" w:rsidR="00497CF8" w:rsidRPr="009356DC" w:rsidRDefault="00497CF8" w:rsidP="009356DC">
      <w:pPr>
        <w:spacing w:before="100" w:beforeAutospacing="1" w:after="100" w:afterAutospacing="1" w:line="240" w:lineRule="auto"/>
        <w:rPr>
          <w:rFonts w:eastAsia="Times New Roman" w:cs="Times New Roman"/>
          <w:lang w:eastAsia="de-DE"/>
        </w:rPr>
      </w:pPr>
      <w:r>
        <w:t>Wenn beide Trompeten geblasen werden, soll sich die ganze Gemeinde am Eingang des Zeltes der Begegnung versammeln.</w:t>
      </w:r>
    </w:p>
    <w:p w14:paraId="63BA7170" w14:textId="77777777" w:rsidR="009356DC" w:rsidRPr="009356DC" w:rsidRDefault="009356DC" w:rsidP="009356DC">
      <w:pPr>
        <w:spacing w:before="100" w:beforeAutospacing="1" w:after="100" w:afterAutospacing="1" w:line="240" w:lineRule="auto"/>
        <w:outlineLvl w:val="0"/>
        <w:rPr>
          <w:rFonts w:eastAsia="Times New Roman" w:cs="Times New Roman"/>
          <w:b/>
          <w:bCs/>
          <w:kern w:val="36"/>
          <w:sz w:val="48"/>
          <w:szCs w:val="48"/>
          <w:lang w:eastAsia="de-DE"/>
        </w:rPr>
      </w:pPr>
      <w:r w:rsidRPr="009356DC">
        <w:rPr>
          <w:rFonts w:eastAsia="Times New Roman" w:cs="Times New Roman"/>
          <w:b/>
          <w:bCs/>
          <w:kern w:val="36"/>
          <w:sz w:val="48"/>
          <w:szCs w:val="48"/>
          <w:lang w:eastAsia="de-DE"/>
        </w:rPr>
        <w:t>Numeri 10,4</w:t>
      </w:r>
    </w:p>
    <w:p w14:paraId="029EC88F"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Hebräisch:</w:t>
      </w:r>
      <w:r w:rsidRPr="009356DC">
        <w:rPr>
          <w:rFonts w:eastAsia="Times New Roman" w:cs="Times New Roman"/>
          <w:lang w:eastAsia="de-DE"/>
        </w:rPr>
        <w:t xml:space="preserve"> </w:t>
      </w:r>
      <w:r w:rsidRPr="009356DC">
        <w:rPr>
          <w:rFonts w:eastAsia="Times New Roman" w:cs="Times New Roman"/>
          <w:rtl/>
          <w:lang w:eastAsia="de-DE"/>
        </w:rPr>
        <w:t>וְאִם־בְּאַחַ֖ת יִתְקָ֑עוּ וְנוֹעֲד֤וּ אֵלֶ֨יךָ֙ הַנְּשִׂיאִ֔ים רָאשֵׁ֖י אַלְפֵ֥י יִשְׂרָאֵֽל׃</w:t>
      </w:r>
    </w:p>
    <w:p w14:paraId="2080B486"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Deutsch:</w:t>
      </w:r>
      <w:r w:rsidRPr="009356DC">
        <w:rPr>
          <w:rFonts w:eastAsia="Times New Roman" w:cs="Times New Roman"/>
          <w:lang w:eastAsia="de-DE"/>
        </w:rPr>
        <w:t xml:space="preserve"> Und wenn man in eine stößt, so sollen sich die Fürsten zu dir versammeln, die Häupter der Tausende Jisra'els.</w:t>
      </w:r>
    </w:p>
    <w:p w14:paraId="049A305C" w14:textId="77777777" w:rsidR="009356DC" w:rsidRPr="009356DC" w:rsidRDefault="00F329DD" w:rsidP="009356DC">
      <w:pPr>
        <w:spacing w:after="0" w:line="240" w:lineRule="auto"/>
        <w:rPr>
          <w:rFonts w:eastAsia="Times New Roman" w:cs="Times New Roman"/>
          <w:lang w:eastAsia="de-DE"/>
        </w:rPr>
      </w:pPr>
      <w:r>
        <w:rPr>
          <w:rFonts w:eastAsia="Times New Roman" w:cs="Times New Roman"/>
          <w:noProof/>
          <w:lang w:eastAsia="de-DE"/>
        </w:rPr>
        <w:pict w14:anchorId="51D79621">
          <v:rect id="_x0000_i1347" style="width:0;height:1.5pt" o:hralign="center" o:hrstd="t" o:hr="t" fillcolor="#a0a0a0" stroked="f"/>
        </w:pict>
      </w:r>
    </w:p>
    <w:p w14:paraId="2A3DDBF7"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Kommentar:</w:t>
      </w:r>
      <w:r w:rsidRPr="009356DC">
        <w:rPr>
          <w:rFonts w:eastAsia="Times New Roman" w:cs="Times New Roman"/>
          <w:lang w:eastAsia="de-DE"/>
        </w:rPr>
        <w:t xml:space="preserve"> Die konditionelle Bestimmung </w:t>
      </w:r>
      <w:r w:rsidRPr="009356DC">
        <w:rPr>
          <w:rFonts w:eastAsia="Times New Roman" w:cs="Times New Roman"/>
          <w:b/>
          <w:bCs/>
          <w:rtl/>
          <w:lang w:eastAsia="de-DE"/>
        </w:rPr>
        <w:t>וְאִם־בְּאַחַ֖ת יִתְקָ֑עוּ</w:t>
      </w:r>
      <w:r w:rsidRPr="009356DC">
        <w:rPr>
          <w:rFonts w:eastAsia="Times New Roman" w:cs="Times New Roman"/>
          <w:rtl/>
          <w:lang w:eastAsia="de-DE"/>
        </w:rPr>
        <w:t xml:space="preserve"> </w:t>
      </w:r>
      <w:r w:rsidRPr="009356DC">
        <w:rPr>
          <w:rFonts w:eastAsia="Times New Roman" w:cs="Times New Roman"/>
          <w:lang w:eastAsia="de-DE"/>
        </w:rPr>
        <w:t xml:space="preserve">etabliert ein alternatives Signalsystem. </w:t>
      </w:r>
      <w:r w:rsidRPr="009356DC">
        <w:rPr>
          <w:rFonts w:eastAsia="Times New Roman" w:cs="Times New Roman"/>
          <w:b/>
          <w:bCs/>
          <w:rtl/>
          <w:lang w:eastAsia="de-DE"/>
        </w:rPr>
        <w:t>אִם</w:t>
      </w:r>
      <w:r w:rsidRPr="009356DC">
        <w:rPr>
          <w:rFonts w:eastAsia="Times New Roman" w:cs="Times New Roman"/>
          <w:rtl/>
          <w:lang w:eastAsia="de-DE"/>
        </w:rPr>
        <w:t xml:space="preserve"> </w:t>
      </w:r>
      <w:r w:rsidRPr="009356DC">
        <w:rPr>
          <w:rFonts w:eastAsia="Times New Roman" w:cs="Times New Roman"/>
          <w:lang w:eastAsia="de-DE"/>
        </w:rPr>
        <w:t xml:space="preserve">(wenn) zeigt die konditionelle Natur, </w:t>
      </w:r>
      <w:r w:rsidRPr="009356DC">
        <w:rPr>
          <w:rFonts w:eastAsia="Times New Roman" w:cs="Times New Roman"/>
          <w:b/>
          <w:bCs/>
          <w:rtl/>
          <w:lang w:eastAsia="de-DE"/>
        </w:rPr>
        <w:t>בְּאַחַ֖ת</w:t>
      </w:r>
      <w:r w:rsidRPr="009356DC">
        <w:rPr>
          <w:rFonts w:eastAsia="Times New Roman" w:cs="Times New Roman"/>
          <w:rtl/>
          <w:lang w:eastAsia="de-DE"/>
        </w:rPr>
        <w:t xml:space="preserve"> </w:t>
      </w:r>
      <w:r w:rsidRPr="009356DC">
        <w:rPr>
          <w:rFonts w:eastAsia="Times New Roman" w:cs="Times New Roman"/>
          <w:lang w:eastAsia="de-DE"/>
        </w:rPr>
        <w:t xml:space="preserve">(in eine) spezifiziert das Blasen nur einer Trompete anstatt beider, und </w:t>
      </w:r>
      <w:r w:rsidRPr="009356DC">
        <w:rPr>
          <w:rFonts w:eastAsia="Times New Roman" w:cs="Times New Roman"/>
          <w:b/>
          <w:bCs/>
          <w:rtl/>
          <w:lang w:eastAsia="de-DE"/>
        </w:rPr>
        <w:t>יִתְקָ֑עוּ</w:t>
      </w:r>
      <w:r w:rsidRPr="009356DC">
        <w:rPr>
          <w:rFonts w:eastAsia="Times New Roman" w:cs="Times New Roman"/>
          <w:rtl/>
          <w:lang w:eastAsia="de-DE"/>
        </w:rPr>
        <w:t xml:space="preserve"> </w:t>
      </w:r>
      <w:r w:rsidRPr="009356DC">
        <w:rPr>
          <w:rFonts w:eastAsia="Times New Roman" w:cs="Times New Roman"/>
          <w:lang w:eastAsia="de-DE"/>
        </w:rPr>
        <w:t xml:space="preserve">von </w:t>
      </w:r>
      <w:r w:rsidRPr="009356DC">
        <w:rPr>
          <w:rFonts w:eastAsia="Times New Roman" w:cs="Times New Roman"/>
          <w:b/>
          <w:bCs/>
          <w:rtl/>
          <w:lang w:eastAsia="de-DE"/>
        </w:rPr>
        <w:t>תקע</w:t>
      </w:r>
      <w:r w:rsidRPr="009356DC">
        <w:rPr>
          <w:rFonts w:eastAsia="Times New Roman" w:cs="Times New Roman"/>
          <w:rtl/>
          <w:lang w:eastAsia="de-DE"/>
        </w:rPr>
        <w:t xml:space="preserve"> </w:t>
      </w:r>
      <w:r w:rsidRPr="009356DC">
        <w:rPr>
          <w:rFonts w:eastAsia="Times New Roman" w:cs="Times New Roman"/>
          <w:lang w:eastAsia="de-DE"/>
        </w:rPr>
        <w:t>(blasen) im Qal-Imperfekt 3. maskulin Plural zeigt die Handlung. Diese grammatische Form des Imperfekts in konditionellem Kontext hat habituelle oder generelle Gültigkeit.</w:t>
      </w:r>
    </w:p>
    <w:p w14:paraId="222C6275"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mathematische Logik des Signalsystems wird hier deutlich: zwei Trompeten = Vollversammlung, eine Trompete = Führungsversammlung. Dies ermöglicht eine effiziente Kommunikationsdifferenzierung in einer großen Wandergemeinschaft, wo unnötige Vollversammlungen Zeitverschwendung und Verwirrung bedeuten würden.</w:t>
      </w:r>
    </w:p>
    <w:p w14:paraId="1BC9E02C"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Das Resultat </w:t>
      </w:r>
      <w:r w:rsidRPr="009356DC">
        <w:rPr>
          <w:rFonts w:eastAsia="Times New Roman" w:cs="Times New Roman"/>
          <w:b/>
          <w:bCs/>
          <w:rtl/>
          <w:lang w:eastAsia="de-DE"/>
        </w:rPr>
        <w:t>וְנוֹעֲד֤וּ אֵלֶ֨יךָ֙ הַנְּשִׂיאִ֔ים</w:t>
      </w:r>
      <w:r w:rsidRPr="009356DC">
        <w:rPr>
          <w:rFonts w:eastAsia="Times New Roman" w:cs="Times New Roman"/>
          <w:rtl/>
          <w:lang w:eastAsia="de-DE"/>
        </w:rPr>
        <w:t xml:space="preserve"> </w:t>
      </w:r>
      <w:r w:rsidRPr="009356DC">
        <w:rPr>
          <w:rFonts w:eastAsia="Times New Roman" w:cs="Times New Roman"/>
          <w:lang w:eastAsia="de-DE"/>
        </w:rPr>
        <w:t xml:space="preserve">zeigt die spezifische Zielgruppe des Einfachtrompetensignals. </w:t>
      </w:r>
      <w:r w:rsidRPr="009356DC">
        <w:rPr>
          <w:rFonts w:eastAsia="Times New Roman" w:cs="Times New Roman"/>
          <w:b/>
          <w:bCs/>
          <w:rtl/>
          <w:lang w:eastAsia="de-DE"/>
        </w:rPr>
        <w:t>נוֹעֲד֤וּ</w:t>
      </w:r>
      <w:r w:rsidRPr="009356DC">
        <w:rPr>
          <w:rFonts w:eastAsia="Times New Roman" w:cs="Times New Roman"/>
          <w:rtl/>
          <w:lang w:eastAsia="de-DE"/>
        </w:rPr>
        <w:t xml:space="preserve"> </w:t>
      </w:r>
      <w:r w:rsidRPr="009356DC">
        <w:rPr>
          <w:rFonts w:eastAsia="Times New Roman" w:cs="Times New Roman"/>
          <w:lang w:eastAsia="de-DE"/>
        </w:rPr>
        <w:t xml:space="preserve">von </w:t>
      </w:r>
      <w:r w:rsidRPr="009356DC">
        <w:rPr>
          <w:rFonts w:eastAsia="Times New Roman" w:cs="Times New Roman"/>
          <w:b/>
          <w:bCs/>
          <w:rtl/>
          <w:lang w:eastAsia="de-DE"/>
        </w:rPr>
        <w:t>יעד</w:t>
      </w:r>
      <w:r w:rsidRPr="009356DC">
        <w:rPr>
          <w:rFonts w:eastAsia="Times New Roman" w:cs="Times New Roman"/>
          <w:rtl/>
          <w:lang w:eastAsia="de-DE"/>
        </w:rPr>
        <w:t xml:space="preserve"> </w:t>
      </w:r>
      <w:r w:rsidRPr="009356DC">
        <w:rPr>
          <w:rFonts w:eastAsia="Times New Roman" w:cs="Times New Roman"/>
          <w:lang w:eastAsia="de-DE"/>
        </w:rPr>
        <w:t xml:space="preserve">(sich versammeln) im Niph'al-Perfekt 3. maskulin Plural mit futurischem Charakter zeigt die erwartete Reaktion. </w:t>
      </w:r>
      <w:r w:rsidRPr="009356DC">
        <w:rPr>
          <w:rFonts w:eastAsia="Times New Roman" w:cs="Times New Roman"/>
          <w:b/>
          <w:bCs/>
          <w:rtl/>
          <w:lang w:eastAsia="de-DE"/>
        </w:rPr>
        <w:t>אֵלֶ֨יךָ֙</w:t>
      </w:r>
      <w:r w:rsidRPr="009356DC">
        <w:rPr>
          <w:rFonts w:eastAsia="Times New Roman" w:cs="Times New Roman"/>
          <w:rtl/>
          <w:lang w:eastAsia="de-DE"/>
        </w:rPr>
        <w:t xml:space="preserve"> </w:t>
      </w:r>
      <w:r w:rsidRPr="009356DC">
        <w:rPr>
          <w:rFonts w:eastAsia="Times New Roman" w:cs="Times New Roman"/>
          <w:lang w:eastAsia="de-DE"/>
        </w:rPr>
        <w:t xml:space="preserve">(zu dir) wiederholt Moses zentrale Autorität. </w:t>
      </w:r>
      <w:r w:rsidRPr="009356DC">
        <w:rPr>
          <w:rFonts w:eastAsia="Times New Roman" w:cs="Times New Roman"/>
          <w:b/>
          <w:bCs/>
          <w:rtl/>
          <w:lang w:eastAsia="de-DE"/>
        </w:rPr>
        <w:t>הַנְּשִׂיאִ֔ים</w:t>
      </w:r>
      <w:r w:rsidRPr="009356DC">
        <w:rPr>
          <w:rFonts w:eastAsia="Times New Roman" w:cs="Times New Roman"/>
          <w:rtl/>
          <w:lang w:eastAsia="de-DE"/>
        </w:rPr>
        <w:t xml:space="preserve"> </w:t>
      </w:r>
      <w:r w:rsidRPr="009356DC">
        <w:rPr>
          <w:rFonts w:eastAsia="Times New Roman" w:cs="Times New Roman"/>
          <w:lang w:eastAsia="de-DE"/>
        </w:rPr>
        <w:t xml:space="preserve">(die Fürsten) von der Wurzel </w:t>
      </w:r>
      <w:r w:rsidRPr="009356DC">
        <w:rPr>
          <w:rFonts w:eastAsia="Times New Roman" w:cs="Times New Roman"/>
          <w:b/>
          <w:bCs/>
          <w:rtl/>
          <w:lang w:eastAsia="de-DE"/>
        </w:rPr>
        <w:t>נשא</w:t>
      </w:r>
      <w:r w:rsidRPr="009356DC">
        <w:rPr>
          <w:rFonts w:eastAsia="Times New Roman" w:cs="Times New Roman"/>
          <w:rtl/>
          <w:lang w:eastAsia="de-DE"/>
        </w:rPr>
        <w:t xml:space="preserve"> </w:t>
      </w:r>
      <w:r w:rsidRPr="009356DC">
        <w:rPr>
          <w:rFonts w:eastAsia="Times New Roman" w:cs="Times New Roman"/>
          <w:lang w:eastAsia="de-DE"/>
        </w:rPr>
        <w:t>(erheben/tragen) bezeichnet die Stammesführer als "Erhobene" oder "Tragende der Verantwortung".</w:t>
      </w:r>
    </w:p>
    <w:p w14:paraId="2AA9BE45" w14:textId="393B4EB0"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appositive Erweiterung </w:t>
      </w:r>
      <w:r w:rsidRPr="009356DC">
        <w:rPr>
          <w:rFonts w:eastAsia="Times New Roman" w:cs="Times New Roman"/>
          <w:b/>
          <w:bCs/>
          <w:rtl/>
          <w:lang w:eastAsia="de-DE"/>
        </w:rPr>
        <w:t>רָאשֵׁ֖י אַלְפֵ֥י יִשְׂרָאֵֽל</w:t>
      </w:r>
      <w:r w:rsidRPr="009356DC">
        <w:rPr>
          <w:rFonts w:eastAsia="Times New Roman" w:cs="Times New Roman"/>
          <w:rtl/>
          <w:lang w:eastAsia="de-DE"/>
        </w:rPr>
        <w:t xml:space="preserve"> </w:t>
      </w:r>
      <w:r w:rsidRPr="009356DC">
        <w:rPr>
          <w:rFonts w:eastAsia="Times New Roman" w:cs="Times New Roman"/>
          <w:lang w:eastAsia="de-DE"/>
        </w:rPr>
        <w:t xml:space="preserve">(Häupter der Tausende Israels) präzisiert die Identität der </w:t>
      </w:r>
      <w:r w:rsidRPr="009356DC">
        <w:rPr>
          <w:rFonts w:eastAsia="Times New Roman" w:cs="Times New Roman"/>
          <w:b/>
          <w:bCs/>
          <w:rtl/>
          <w:lang w:eastAsia="de-DE"/>
        </w:rPr>
        <w:t>נְּשִׂיאִ֔ים</w:t>
      </w:r>
      <w:r w:rsidRPr="009356DC">
        <w:rPr>
          <w:rFonts w:eastAsia="Times New Roman" w:cs="Times New Roman"/>
          <w:lang w:eastAsia="de-DE"/>
        </w:rPr>
        <w:t xml:space="preserve">. </w:t>
      </w:r>
      <w:r w:rsidRPr="009356DC">
        <w:rPr>
          <w:rFonts w:eastAsia="Times New Roman" w:cs="Times New Roman"/>
          <w:b/>
          <w:bCs/>
          <w:rtl/>
          <w:lang w:eastAsia="de-DE"/>
        </w:rPr>
        <w:t>רָאשֵׁ֖י</w:t>
      </w:r>
      <w:r w:rsidRPr="009356DC">
        <w:rPr>
          <w:rFonts w:eastAsia="Times New Roman" w:cs="Times New Roman"/>
          <w:rtl/>
          <w:lang w:eastAsia="de-DE"/>
        </w:rPr>
        <w:t xml:space="preserve"> </w:t>
      </w:r>
      <w:r w:rsidRPr="009356DC">
        <w:rPr>
          <w:rFonts w:eastAsia="Times New Roman" w:cs="Times New Roman"/>
          <w:lang w:eastAsia="de-DE"/>
        </w:rPr>
        <w:t xml:space="preserve">(Häupter) Plural von </w:t>
      </w:r>
      <w:r w:rsidRPr="009356DC">
        <w:rPr>
          <w:rFonts w:eastAsia="Times New Roman" w:cs="Times New Roman"/>
          <w:b/>
          <w:bCs/>
          <w:rtl/>
          <w:lang w:eastAsia="de-DE"/>
        </w:rPr>
        <w:t>רֹאשׁ</w:t>
      </w:r>
      <w:r w:rsidRPr="009356DC">
        <w:rPr>
          <w:rFonts w:eastAsia="Times New Roman" w:cs="Times New Roman"/>
          <w:rtl/>
          <w:lang w:eastAsia="de-DE"/>
        </w:rPr>
        <w:t xml:space="preserve"> </w:t>
      </w:r>
      <w:r w:rsidRPr="009356DC">
        <w:rPr>
          <w:rFonts w:eastAsia="Times New Roman" w:cs="Times New Roman"/>
          <w:lang w:eastAsia="de-DE"/>
        </w:rPr>
        <w:t xml:space="preserve">(Kopf/Haupt) im </w:t>
      </w:r>
      <w:r w:rsidR="00F133EC">
        <w:rPr>
          <w:rFonts w:eastAsia="Times New Roman" w:cs="Times New Roman"/>
          <w:lang w:eastAsia="de-DE"/>
        </w:rPr>
        <w:t>Construct</w:t>
      </w:r>
      <w:r w:rsidRPr="009356DC">
        <w:rPr>
          <w:rFonts w:eastAsia="Times New Roman" w:cs="Times New Roman"/>
          <w:lang w:eastAsia="de-DE"/>
        </w:rPr>
        <w:t xml:space="preserve"> mit </w:t>
      </w:r>
      <w:r w:rsidRPr="009356DC">
        <w:rPr>
          <w:rFonts w:eastAsia="Times New Roman" w:cs="Times New Roman"/>
          <w:b/>
          <w:bCs/>
          <w:rtl/>
          <w:lang w:eastAsia="de-DE"/>
        </w:rPr>
        <w:t>אַלְפֵ֥י</w:t>
      </w:r>
      <w:r w:rsidRPr="009356DC">
        <w:rPr>
          <w:rFonts w:eastAsia="Times New Roman" w:cs="Times New Roman"/>
          <w:rtl/>
          <w:lang w:eastAsia="de-DE"/>
        </w:rPr>
        <w:t xml:space="preserve"> </w:t>
      </w:r>
      <w:r w:rsidRPr="009356DC">
        <w:rPr>
          <w:rFonts w:eastAsia="Times New Roman" w:cs="Times New Roman"/>
          <w:lang w:eastAsia="de-DE"/>
        </w:rPr>
        <w:t xml:space="preserve">(Tausende) Plural von </w:t>
      </w:r>
      <w:r w:rsidRPr="009356DC">
        <w:rPr>
          <w:rFonts w:eastAsia="Times New Roman" w:cs="Times New Roman"/>
          <w:b/>
          <w:bCs/>
          <w:rtl/>
          <w:lang w:eastAsia="de-DE"/>
        </w:rPr>
        <w:t>אֶלֶף</w:t>
      </w:r>
      <w:r w:rsidRPr="009356DC">
        <w:rPr>
          <w:rFonts w:eastAsia="Times New Roman" w:cs="Times New Roman"/>
          <w:rtl/>
          <w:lang w:eastAsia="de-DE"/>
        </w:rPr>
        <w:t xml:space="preserve"> </w:t>
      </w:r>
      <w:r w:rsidRPr="009356DC">
        <w:rPr>
          <w:rFonts w:eastAsia="Times New Roman" w:cs="Times New Roman"/>
          <w:lang w:eastAsia="de-DE"/>
        </w:rPr>
        <w:t xml:space="preserve">zeigt die militärische Organisationsstruktur. </w:t>
      </w:r>
      <w:r w:rsidRPr="009356DC">
        <w:rPr>
          <w:rFonts w:eastAsia="Times New Roman" w:cs="Times New Roman"/>
          <w:b/>
          <w:bCs/>
          <w:rtl/>
          <w:lang w:eastAsia="de-DE"/>
        </w:rPr>
        <w:t>יִשְׂרָאֵֽל</w:t>
      </w:r>
      <w:r w:rsidRPr="009356DC">
        <w:rPr>
          <w:rFonts w:eastAsia="Times New Roman" w:cs="Times New Roman"/>
          <w:rtl/>
          <w:lang w:eastAsia="de-DE"/>
        </w:rPr>
        <w:t xml:space="preserve"> </w:t>
      </w:r>
      <w:r w:rsidRPr="009356DC">
        <w:rPr>
          <w:rFonts w:eastAsia="Times New Roman" w:cs="Times New Roman"/>
          <w:lang w:eastAsia="de-DE"/>
        </w:rPr>
        <w:t>als Genitiv zeigt die nationale Zugehörigkeit.</w:t>
      </w:r>
    </w:p>
    <w:p w14:paraId="4CF51F14"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Diese </w:t>
      </w:r>
      <w:r w:rsidRPr="009356DC">
        <w:rPr>
          <w:rFonts w:eastAsia="Times New Roman" w:cs="Times New Roman"/>
          <w:b/>
          <w:bCs/>
          <w:rtl/>
          <w:lang w:eastAsia="de-DE"/>
        </w:rPr>
        <w:t>אַלְפֵ֥י</w:t>
      </w:r>
      <w:r w:rsidRPr="009356DC">
        <w:rPr>
          <w:rFonts w:eastAsia="Times New Roman" w:cs="Times New Roman"/>
          <w:rtl/>
          <w:lang w:eastAsia="de-DE"/>
        </w:rPr>
        <w:t xml:space="preserve"> </w:t>
      </w:r>
      <w:r w:rsidRPr="009356DC">
        <w:rPr>
          <w:rFonts w:eastAsia="Times New Roman" w:cs="Times New Roman"/>
          <w:lang w:eastAsia="de-DE"/>
        </w:rPr>
        <w:t xml:space="preserve">(Tausende) sind nicht nur numerische Einheiten, sondern Verwaltungs- und Militäreinheiten der israelitischen Stammesorganisation. Jeder </w:t>
      </w:r>
      <w:r w:rsidRPr="009356DC">
        <w:rPr>
          <w:rFonts w:eastAsia="Times New Roman" w:cs="Times New Roman"/>
          <w:b/>
          <w:bCs/>
          <w:rtl/>
          <w:lang w:eastAsia="de-DE"/>
        </w:rPr>
        <w:t>נָשִׂיא</w:t>
      </w:r>
      <w:r w:rsidRPr="009356DC">
        <w:rPr>
          <w:rFonts w:eastAsia="Times New Roman" w:cs="Times New Roman"/>
          <w:rtl/>
          <w:lang w:eastAsia="de-DE"/>
        </w:rPr>
        <w:t xml:space="preserve"> </w:t>
      </w:r>
      <w:r w:rsidRPr="009356DC">
        <w:rPr>
          <w:rFonts w:eastAsia="Times New Roman" w:cs="Times New Roman"/>
          <w:lang w:eastAsia="de-DE"/>
        </w:rPr>
        <w:t xml:space="preserve">(Fürst) führt eine </w:t>
      </w:r>
      <w:r w:rsidRPr="009356DC">
        <w:rPr>
          <w:rFonts w:eastAsia="Times New Roman" w:cs="Times New Roman"/>
          <w:b/>
          <w:bCs/>
          <w:rtl/>
          <w:lang w:eastAsia="de-DE"/>
        </w:rPr>
        <w:t>אֶלֶף</w:t>
      </w:r>
      <w:r w:rsidRPr="009356DC">
        <w:rPr>
          <w:rFonts w:eastAsia="Times New Roman" w:cs="Times New Roman"/>
          <w:rtl/>
          <w:lang w:eastAsia="de-DE"/>
        </w:rPr>
        <w:t xml:space="preserve"> </w:t>
      </w:r>
      <w:r w:rsidRPr="009356DC">
        <w:rPr>
          <w:rFonts w:eastAsia="Times New Roman" w:cs="Times New Roman"/>
          <w:lang w:eastAsia="de-DE"/>
        </w:rPr>
        <w:t>(Tausend-Einheit) seines Stammes, was sowohl zivile als auch militärische Verantwortung umfasst.</w:t>
      </w:r>
    </w:p>
    <w:p w14:paraId="72B61D13"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Differenzierung zwischen Vollversammlung (Vers 3) und Führungsversammlung (Vers 4) zeigt Moses administrative Weisheit. Nicht alle Entscheidungen erfordern die Beteiligung des gesamten Volkes - viele können effektiv auf Führungsebene getroffen werden. Dies entspricht modernen Prinzipien der Organisationsführung und Delegation.</w:t>
      </w:r>
    </w:p>
    <w:p w14:paraId="4F8667CC"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lastRenderedPageBreak/>
        <w:t>Die LXX</w:t>
      </w:r>
      <w:r w:rsidRPr="009356DC">
        <w:rPr>
          <w:rFonts w:eastAsia="Times New Roman" w:cs="Times New Roman"/>
          <w:lang w:eastAsia="de-DE"/>
        </w:rPr>
        <w:t xml:space="preserve"> übersetzt </w:t>
      </w:r>
      <w:r w:rsidRPr="009356DC">
        <w:rPr>
          <w:rFonts w:eastAsia="Times New Roman" w:cs="Times New Roman"/>
          <w:b/>
          <w:bCs/>
          <w:rtl/>
          <w:lang w:eastAsia="de-DE"/>
        </w:rPr>
        <w:t>בְּאַחַ֖ת</w:t>
      </w:r>
      <w:r w:rsidRPr="009356DC">
        <w:rPr>
          <w:rFonts w:eastAsia="Times New Roman" w:cs="Times New Roman"/>
          <w:rtl/>
          <w:lang w:eastAsia="de-DE"/>
        </w:rPr>
        <w:t xml:space="preserve"> </w:t>
      </w:r>
      <w:r w:rsidRPr="009356DC">
        <w:rPr>
          <w:rFonts w:eastAsia="Times New Roman" w:cs="Times New Roman"/>
          <w:lang w:eastAsia="de-DE"/>
        </w:rPr>
        <w:t xml:space="preserve">mit μιᾷ (mit einer), </w:t>
      </w:r>
      <w:r w:rsidRPr="009356DC">
        <w:rPr>
          <w:rFonts w:eastAsia="Times New Roman" w:cs="Times New Roman"/>
          <w:b/>
          <w:bCs/>
          <w:rtl/>
          <w:lang w:eastAsia="de-DE"/>
        </w:rPr>
        <w:t>נְּשִׂיאִ֔ים</w:t>
      </w:r>
      <w:r w:rsidRPr="009356DC">
        <w:rPr>
          <w:rFonts w:eastAsia="Times New Roman" w:cs="Times New Roman"/>
          <w:rtl/>
          <w:lang w:eastAsia="de-DE"/>
        </w:rPr>
        <w:t xml:space="preserve"> </w:t>
      </w:r>
      <w:r w:rsidRPr="009356DC">
        <w:rPr>
          <w:rFonts w:eastAsia="Times New Roman" w:cs="Times New Roman"/>
          <w:lang w:eastAsia="de-DE"/>
        </w:rPr>
        <w:t xml:space="preserve">mit ἄρχοντες (Herrscher/Oberste) und </w:t>
      </w:r>
      <w:r w:rsidRPr="009356DC">
        <w:rPr>
          <w:rFonts w:eastAsia="Times New Roman" w:cs="Times New Roman"/>
          <w:b/>
          <w:bCs/>
          <w:rtl/>
          <w:lang w:eastAsia="de-DE"/>
        </w:rPr>
        <w:t>רָאשֵׁ֖י אַלְפֵ֥י</w:t>
      </w:r>
      <w:r w:rsidRPr="009356DC">
        <w:rPr>
          <w:rFonts w:eastAsia="Times New Roman" w:cs="Times New Roman"/>
          <w:rtl/>
          <w:lang w:eastAsia="de-DE"/>
        </w:rPr>
        <w:t xml:space="preserve"> </w:t>
      </w:r>
      <w:r w:rsidRPr="009356DC">
        <w:rPr>
          <w:rFonts w:eastAsia="Times New Roman" w:cs="Times New Roman"/>
          <w:lang w:eastAsia="de-DE"/>
        </w:rPr>
        <w:t>mit ἄρχοντες χιλιάρχοι (Oberste der Tausende), was die militärische Hierarchie betont. Das griechische χιλίαρχος (Chilliarch) war ein römischer Militärrang für Tausendschaftsführer.</w:t>
      </w:r>
    </w:p>
    <w:p w14:paraId="7248EDB9"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Satzstruktur zeigt eine präzise Alternative zur Vollversammlung mit spezifischer Zielgruppe und doppelter Identifikation der Führungsschicht. Diese Anordnung etabliert ein effizientes System der gestuften Kommunikation, das sowohl demokratische Vollversammlungen als auch oligarchische Führungsberatungen ermöglicht.</w:t>
      </w:r>
    </w:p>
    <w:p w14:paraId="72D4D2A2"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praktische Weisheit dieser Anordnung zeigt sich in der Wüstensituation: eine Vollversammlung von mehreren hunderttausend Menschen erfordert erhebliche Zeit und Organisation, während eine Führungsversammlung von zwölf Stammesführern schnell und effizient durchgeführt werden kann.</w:t>
      </w:r>
    </w:p>
    <w:p w14:paraId="69A17793" w14:textId="77777777" w:rsidR="009356DC" w:rsidRPr="009356DC" w:rsidRDefault="009356DC" w:rsidP="009356DC">
      <w:pPr>
        <w:spacing w:before="100" w:beforeAutospacing="1" w:after="100" w:afterAutospacing="1" w:line="240" w:lineRule="auto"/>
        <w:outlineLvl w:val="0"/>
        <w:rPr>
          <w:rFonts w:eastAsia="Times New Roman" w:cs="Times New Roman"/>
          <w:b/>
          <w:bCs/>
          <w:kern w:val="36"/>
          <w:sz w:val="48"/>
          <w:szCs w:val="48"/>
          <w:lang w:eastAsia="de-DE"/>
        </w:rPr>
      </w:pPr>
      <w:r w:rsidRPr="009356DC">
        <w:rPr>
          <w:rFonts w:eastAsia="Times New Roman" w:cs="Times New Roman"/>
          <w:b/>
          <w:bCs/>
          <w:kern w:val="36"/>
          <w:sz w:val="48"/>
          <w:szCs w:val="48"/>
          <w:lang w:eastAsia="de-DE"/>
        </w:rPr>
        <w:t>Numeri 10,5</w:t>
      </w:r>
    </w:p>
    <w:p w14:paraId="727543CD"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Hebräisch:</w:t>
      </w:r>
      <w:r w:rsidRPr="009356DC">
        <w:rPr>
          <w:rFonts w:eastAsia="Times New Roman" w:cs="Times New Roman"/>
          <w:lang w:eastAsia="de-DE"/>
        </w:rPr>
        <w:t xml:space="preserve"> </w:t>
      </w:r>
      <w:r w:rsidRPr="009356DC">
        <w:rPr>
          <w:rFonts w:eastAsia="Times New Roman" w:cs="Times New Roman"/>
          <w:rtl/>
          <w:lang w:eastAsia="de-DE"/>
        </w:rPr>
        <w:t>וּתְקַעְתֶּ֖ם תְּרוּעָ֑ה וְנָֽסְעוּ֙ הַֽמַּחֲנ֔וֹת הַחֹנִ֖ים קֵֽדְמָה׃</w:t>
      </w:r>
    </w:p>
    <w:p w14:paraId="17B703EA"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Deutsch:</w:t>
      </w:r>
      <w:r w:rsidRPr="009356DC">
        <w:rPr>
          <w:rFonts w:eastAsia="Times New Roman" w:cs="Times New Roman"/>
          <w:lang w:eastAsia="de-DE"/>
        </w:rPr>
        <w:t xml:space="preserve"> Und wenn ihr Lärm blast, so sollen die Lager aufbrechen, die im Osten lagern.</w:t>
      </w:r>
    </w:p>
    <w:p w14:paraId="631DE5F9" w14:textId="77777777" w:rsidR="009356DC" w:rsidRPr="009356DC" w:rsidRDefault="00F329DD" w:rsidP="009356DC">
      <w:pPr>
        <w:spacing w:after="0" w:line="240" w:lineRule="auto"/>
        <w:rPr>
          <w:rFonts w:eastAsia="Times New Roman" w:cs="Times New Roman"/>
          <w:lang w:eastAsia="de-DE"/>
        </w:rPr>
      </w:pPr>
      <w:r>
        <w:rPr>
          <w:rFonts w:eastAsia="Times New Roman" w:cs="Times New Roman"/>
          <w:noProof/>
          <w:lang w:eastAsia="de-DE"/>
        </w:rPr>
        <w:pict w14:anchorId="56A74ACD">
          <v:rect id="_x0000_i1348" style="width:0;height:1.5pt" o:hralign="center" o:hrstd="t" o:hr="t" fillcolor="#a0a0a0" stroked="f"/>
        </w:pict>
      </w:r>
    </w:p>
    <w:p w14:paraId="0D0C639E"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Kommentar:</w:t>
      </w:r>
      <w:r w:rsidRPr="009356DC">
        <w:rPr>
          <w:rFonts w:eastAsia="Times New Roman" w:cs="Times New Roman"/>
          <w:lang w:eastAsia="de-DE"/>
        </w:rPr>
        <w:t xml:space="preserve"> Das Verb </w:t>
      </w:r>
      <w:r w:rsidRPr="009356DC">
        <w:rPr>
          <w:rFonts w:eastAsia="Times New Roman" w:cs="Times New Roman"/>
          <w:b/>
          <w:bCs/>
          <w:rtl/>
          <w:lang w:eastAsia="de-DE"/>
        </w:rPr>
        <w:t>וּתְקַעְתֶּ֖ם תְּרוּעָ֑ה</w:t>
      </w:r>
      <w:r w:rsidRPr="009356DC">
        <w:rPr>
          <w:rFonts w:eastAsia="Times New Roman" w:cs="Times New Roman"/>
          <w:rtl/>
          <w:lang w:eastAsia="de-DE"/>
        </w:rPr>
        <w:t xml:space="preserve"> </w:t>
      </w:r>
      <w:r w:rsidRPr="009356DC">
        <w:rPr>
          <w:rFonts w:eastAsia="Times New Roman" w:cs="Times New Roman"/>
          <w:lang w:eastAsia="de-DE"/>
        </w:rPr>
        <w:t xml:space="preserve">führt eine dritte, völlig verschiedene Art des Trompetenblasens ein. </w:t>
      </w:r>
      <w:r w:rsidRPr="009356DC">
        <w:rPr>
          <w:rFonts w:eastAsia="Times New Roman" w:cs="Times New Roman"/>
          <w:b/>
          <w:bCs/>
          <w:rtl/>
          <w:lang w:eastAsia="de-DE"/>
        </w:rPr>
        <w:t>תְקַעְתֶּ֖ם</w:t>
      </w:r>
      <w:r w:rsidRPr="009356DC">
        <w:rPr>
          <w:rFonts w:eastAsia="Times New Roman" w:cs="Times New Roman"/>
          <w:rtl/>
          <w:lang w:eastAsia="de-DE"/>
        </w:rPr>
        <w:t xml:space="preserve"> </w:t>
      </w:r>
      <w:r w:rsidRPr="009356DC">
        <w:rPr>
          <w:rFonts w:eastAsia="Times New Roman" w:cs="Times New Roman"/>
          <w:lang w:eastAsia="de-DE"/>
        </w:rPr>
        <w:t xml:space="preserve">von </w:t>
      </w:r>
      <w:r w:rsidRPr="009356DC">
        <w:rPr>
          <w:rFonts w:eastAsia="Times New Roman" w:cs="Times New Roman"/>
          <w:b/>
          <w:bCs/>
          <w:rtl/>
          <w:lang w:eastAsia="de-DE"/>
        </w:rPr>
        <w:t>תקע</w:t>
      </w:r>
      <w:r w:rsidRPr="009356DC">
        <w:rPr>
          <w:rFonts w:eastAsia="Times New Roman" w:cs="Times New Roman"/>
          <w:rtl/>
          <w:lang w:eastAsia="de-DE"/>
        </w:rPr>
        <w:t xml:space="preserve"> </w:t>
      </w:r>
      <w:r w:rsidRPr="009356DC">
        <w:rPr>
          <w:rFonts w:eastAsia="Times New Roman" w:cs="Times New Roman"/>
          <w:lang w:eastAsia="de-DE"/>
        </w:rPr>
        <w:t xml:space="preserve">(blasen) im Qal-Perfekt 2. maskulin Plural zeigt die direkte Ansprache an die Trompeter (die aaronitischen Priester, wie Vers 8 klarstellt).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 xml:space="preserve">(Lärm/Fanfare) als cognate Accusativ von der Wurzel </w:t>
      </w:r>
      <w:r w:rsidRPr="009356DC">
        <w:rPr>
          <w:rFonts w:eastAsia="Times New Roman" w:cs="Times New Roman"/>
          <w:b/>
          <w:bCs/>
          <w:rtl/>
          <w:lang w:eastAsia="de-DE"/>
        </w:rPr>
        <w:t>רוע</w:t>
      </w:r>
      <w:r w:rsidRPr="009356DC">
        <w:rPr>
          <w:rFonts w:eastAsia="Times New Roman" w:cs="Times New Roman"/>
          <w:rtl/>
          <w:lang w:eastAsia="de-DE"/>
        </w:rPr>
        <w:t xml:space="preserve"> </w:t>
      </w:r>
      <w:r w:rsidRPr="009356DC">
        <w:rPr>
          <w:rFonts w:eastAsia="Times New Roman" w:cs="Times New Roman"/>
          <w:lang w:eastAsia="de-DE"/>
        </w:rPr>
        <w:t>(lärmen/jubeln) bezeichnet eine spezielle Blasart: kurze, unterbrochene, lärmende Stöße statt anhaltender Töne.</w:t>
      </w:r>
    </w:p>
    <w:p w14:paraId="2F5655ED"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Diese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 xml:space="preserve">unterscheidet sich fundamental von der </w:t>
      </w:r>
      <w:r w:rsidRPr="009356DC">
        <w:rPr>
          <w:rFonts w:eastAsia="Times New Roman" w:cs="Times New Roman"/>
          <w:b/>
          <w:bCs/>
          <w:rtl/>
          <w:lang w:eastAsia="de-DE"/>
        </w:rPr>
        <w:t>תְּקִיעָה</w:t>
      </w:r>
      <w:r w:rsidRPr="009356DC">
        <w:rPr>
          <w:rFonts w:eastAsia="Times New Roman" w:cs="Times New Roman"/>
          <w:rtl/>
          <w:lang w:eastAsia="de-DE"/>
        </w:rPr>
        <w:t xml:space="preserve"> </w:t>
      </w:r>
      <w:r w:rsidRPr="009356DC">
        <w:rPr>
          <w:rFonts w:eastAsia="Times New Roman" w:cs="Times New Roman"/>
          <w:lang w:eastAsia="de-DE"/>
        </w:rPr>
        <w:t xml:space="preserve">(einfaches Blasen) der Verse 3-4. Während </w:t>
      </w:r>
      <w:r w:rsidRPr="009356DC">
        <w:rPr>
          <w:rFonts w:eastAsia="Times New Roman" w:cs="Times New Roman"/>
          <w:b/>
          <w:bCs/>
          <w:rtl/>
          <w:lang w:eastAsia="de-DE"/>
        </w:rPr>
        <w:t>תְּקִיעָה</w:t>
      </w:r>
      <w:r w:rsidRPr="009356DC">
        <w:rPr>
          <w:rFonts w:eastAsia="Times New Roman" w:cs="Times New Roman"/>
          <w:rtl/>
          <w:lang w:eastAsia="de-DE"/>
        </w:rPr>
        <w:t xml:space="preserve"> </w:t>
      </w:r>
      <w:r w:rsidRPr="009356DC">
        <w:rPr>
          <w:rFonts w:eastAsia="Times New Roman" w:cs="Times New Roman"/>
          <w:lang w:eastAsia="de-DE"/>
        </w:rPr>
        <w:t xml:space="preserve">ein klarer, anhaltender, friedlicher Ton für Versammlungen ist, ist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ein militärischer Alarmton - kurz, durchdringend, dringend, der sofortige Aktion fordert. Diese Unterscheidung hat sich in der jüdischen Liturgie bis heute erhalten, besonders beim Schofar-Blasen.</w:t>
      </w:r>
    </w:p>
    <w:p w14:paraId="1E2B4169"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Das Resultat </w:t>
      </w:r>
      <w:r w:rsidRPr="009356DC">
        <w:rPr>
          <w:rFonts w:eastAsia="Times New Roman" w:cs="Times New Roman"/>
          <w:b/>
          <w:bCs/>
          <w:rtl/>
          <w:lang w:eastAsia="de-DE"/>
        </w:rPr>
        <w:t>וְנָֽסְעוּ֙ הַֽמַּחֲנ֔וֹת הַחֹנִ֖ים קֵֽדְמָה</w:t>
      </w:r>
      <w:r w:rsidRPr="009356DC">
        <w:rPr>
          <w:rFonts w:eastAsia="Times New Roman" w:cs="Times New Roman"/>
          <w:rtl/>
          <w:lang w:eastAsia="de-DE"/>
        </w:rPr>
        <w:t xml:space="preserve"> </w:t>
      </w:r>
      <w:r w:rsidRPr="009356DC">
        <w:rPr>
          <w:rFonts w:eastAsia="Times New Roman" w:cs="Times New Roman"/>
          <w:lang w:eastAsia="de-DE"/>
        </w:rPr>
        <w:t xml:space="preserve">zeigt die spezifische militärische Reaktion auf das </w:t>
      </w:r>
      <w:r w:rsidRPr="009356DC">
        <w:rPr>
          <w:rFonts w:eastAsia="Times New Roman" w:cs="Times New Roman"/>
          <w:b/>
          <w:bCs/>
          <w:rtl/>
          <w:lang w:eastAsia="de-DE"/>
        </w:rPr>
        <w:t>תְּרוּעָ֑ה</w:t>
      </w:r>
      <w:r w:rsidRPr="009356DC">
        <w:rPr>
          <w:rFonts w:eastAsia="Times New Roman" w:cs="Times New Roman"/>
          <w:lang w:eastAsia="de-DE"/>
        </w:rPr>
        <w:t xml:space="preserve">-Signal. </w:t>
      </w:r>
      <w:r w:rsidRPr="009356DC">
        <w:rPr>
          <w:rFonts w:eastAsia="Times New Roman" w:cs="Times New Roman"/>
          <w:b/>
          <w:bCs/>
          <w:rtl/>
          <w:lang w:eastAsia="de-DE"/>
        </w:rPr>
        <w:t>נָֽסְעוּ֙</w:t>
      </w:r>
      <w:r w:rsidRPr="009356DC">
        <w:rPr>
          <w:rFonts w:eastAsia="Times New Roman" w:cs="Times New Roman"/>
          <w:rtl/>
          <w:lang w:eastAsia="de-DE"/>
        </w:rPr>
        <w:t xml:space="preserve"> </w:t>
      </w:r>
      <w:r w:rsidRPr="009356DC">
        <w:rPr>
          <w:rFonts w:eastAsia="Times New Roman" w:cs="Times New Roman"/>
          <w:lang w:eastAsia="de-DE"/>
        </w:rPr>
        <w:t xml:space="preserve">von </w:t>
      </w:r>
      <w:r w:rsidRPr="009356DC">
        <w:rPr>
          <w:rFonts w:eastAsia="Times New Roman" w:cs="Times New Roman"/>
          <w:b/>
          <w:bCs/>
          <w:rtl/>
          <w:lang w:eastAsia="de-DE"/>
        </w:rPr>
        <w:t>נסע</w:t>
      </w:r>
      <w:r w:rsidRPr="009356DC">
        <w:rPr>
          <w:rFonts w:eastAsia="Times New Roman" w:cs="Times New Roman"/>
          <w:rtl/>
          <w:lang w:eastAsia="de-DE"/>
        </w:rPr>
        <w:t xml:space="preserve"> </w:t>
      </w:r>
      <w:r w:rsidRPr="009356DC">
        <w:rPr>
          <w:rFonts w:eastAsia="Times New Roman" w:cs="Times New Roman"/>
          <w:lang w:eastAsia="de-DE"/>
        </w:rPr>
        <w:t xml:space="preserve">(aufbrechen/marschieren) im Qal-Perfekt 3. maskulin Plural mit futurischem Charakter zeigt die erwartete Bewegungsreaktion. </w:t>
      </w:r>
      <w:r w:rsidRPr="009356DC">
        <w:rPr>
          <w:rFonts w:eastAsia="Times New Roman" w:cs="Times New Roman"/>
          <w:b/>
          <w:bCs/>
          <w:rtl/>
          <w:lang w:eastAsia="de-DE"/>
        </w:rPr>
        <w:t>הַֽמַּחֲנ֔וֹת</w:t>
      </w:r>
      <w:r w:rsidRPr="009356DC">
        <w:rPr>
          <w:rFonts w:eastAsia="Times New Roman" w:cs="Times New Roman"/>
          <w:rtl/>
          <w:lang w:eastAsia="de-DE"/>
        </w:rPr>
        <w:t xml:space="preserve"> </w:t>
      </w:r>
      <w:r w:rsidRPr="009356DC">
        <w:rPr>
          <w:rFonts w:eastAsia="Times New Roman" w:cs="Times New Roman"/>
          <w:lang w:eastAsia="de-DE"/>
        </w:rPr>
        <w:t xml:space="preserve">(die Lager) Plural von </w:t>
      </w:r>
      <w:r w:rsidRPr="009356DC">
        <w:rPr>
          <w:rFonts w:eastAsia="Times New Roman" w:cs="Times New Roman"/>
          <w:b/>
          <w:bCs/>
          <w:rtl/>
          <w:lang w:eastAsia="de-DE"/>
        </w:rPr>
        <w:t>מַחֲנֶה</w:t>
      </w:r>
      <w:r w:rsidRPr="009356DC">
        <w:rPr>
          <w:rFonts w:eastAsia="Times New Roman" w:cs="Times New Roman"/>
          <w:rtl/>
          <w:lang w:eastAsia="de-DE"/>
        </w:rPr>
        <w:t xml:space="preserve"> </w:t>
      </w:r>
      <w:r w:rsidRPr="009356DC">
        <w:rPr>
          <w:rFonts w:eastAsia="Times New Roman" w:cs="Times New Roman"/>
          <w:lang w:eastAsia="de-DE"/>
        </w:rPr>
        <w:t>zeigt die militärische Organisation der israelitischen Stämme.</w:t>
      </w:r>
    </w:p>
    <w:p w14:paraId="7C792A97"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rtl/>
          <w:lang w:eastAsia="de-DE"/>
        </w:rPr>
        <w:t>הַחֹנִ֖ים קֵֽדְמָה</w:t>
      </w:r>
      <w:r w:rsidRPr="009356DC">
        <w:rPr>
          <w:rFonts w:eastAsia="Times New Roman" w:cs="Times New Roman"/>
          <w:rtl/>
          <w:lang w:eastAsia="de-DE"/>
        </w:rPr>
        <w:t xml:space="preserve"> </w:t>
      </w:r>
      <w:r w:rsidRPr="009356DC">
        <w:rPr>
          <w:rFonts w:eastAsia="Times New Roman" w:cs="Times New Roman"/>
          <w:lang w:eastAsia="de-DE"/>
        </w:rPr>
        <w:t xml:space="preserve">(die im Osten lagern) spezifiziert genau, welche Lager auf das erste </w:t>
      </w:r>
      <w:r w:rsidRPr="009356DC">
        <w:rPr>
          <w:rFonts w:eastAsia="Times New Roman" w:cs="Times New Roman"/>
          <w:b/>
          <w:bCs/>
          <w:rtl/>
          <w:lang w:eastAsia="de-DE"/>
        </w:rPr>
        <w:t>תְּרוּעָ֑ה</w:t>
      </w:r>
      <w:r w:rsidRPr="009356DC">
        <w:rPr>
          <w:rFonts w:eastAsia="Times New Roman" w:cs="Times New Roman"/>
          <w:lang w:eastAsia="de-DE"/>
        </w:rPr>
        <w:t xml:space="preserve">-Signal reagieren sollen. </w:t>
      </w:r>
      <w:r w:rsidRPr="009356DC">
        <w:rPr>
          <w:rFonts w:eastAsia="Times New Roman" w:cs="Times New Roman"/>
          <w:b/>
          <w:bCs/>
          <w:rtl/>
          <w:lang w:eastAsia="de-DE"/>
        </w:rPr>
        <w:t>חֹנִ֖ים</w:t>
      </w:r>
      <w:r w:rsidRPr="009356DC">
        <w:rPr>
          <w:rFonts w:eastAsia="Times New Roman" w:cs="Times New Roman"/>
          <w:rtl/>
          <w:lang w:eastAsia="de-DE"/>
        </w:rPr>
        <w:t xml:space="preserve"> </w:t>
      </w:r>
      <w:r w:rsidRPr="009356DC">
        <w:rPr>
          <w:rFonts w:eastAsia="Times New Roman" w:cs="Times New Roman"/>
          <w:lang w:eastAsia="de-DE"/>
        </w:rPr>
        <w:t xml:space="preserve">ist das Qal-Partizip Plural maskulin von </w:t>
      </w:r>
      <w:r w:rsidRPr="009356DC">
        <w:rPr>
          <w:rFonts w:eastAsia="Times New Roman" w:cs="Times New Roman"/>
          <w:b/>
          <w:bCs/>
          <w:rtl/>
          <w:lang w:eastAsia="de-DE"/>
        </w:rPr>
        <w:t>חנה</w:t>
      </w:r>
      <w:r w:rsidRPr="009356DC">
        <w:rPr>
          <w:rFonts w:eastAsia="Times New Roman" w:cs="Times New Roman"/>
          <w:rtl/>
          <w:lang w:eastAsia="de-DE"/>
        </w:rPr>
        <w:t xml:space="preserve"> </w:t>
      </w:r>
      <w:r w:rsidRPr="009356DC">
        <w:rPr>
          <w:rFonts w:eastAsia="Times New Roman" w:cs="Times New Roman"/>
          <w:lang w:eastAsia="de-DE"/>
        </w:rPr>
        <w:t xml:space="preserve">(lagern) mit Artikel, was "die Lagernden" bedeutet. </w:t>
      </w:r>
      <w:r w:rsidRPr="009356DC">
        <w:rPr>
          <w:rFonts w:eastAsia="Times New Roman" w:cs="Times New Roman"/>
          <w:b/>
          <w:bCs/>
          <w:rtl/>
          <w:lang w:eastAsia="de-DE"/>
        </w:rPr>
        <w:t>קֵֽדְמָה</w:t>
      </w:r>
      <w:r w:rsidRPr="009356DC">
        <w:rPr>
          <w:rFonts w:eastAsia="Times New Roman" w:cs="Times New Roman"/>
          <w:rtl/>
          <w:lang w:eastAsia="de-DE"/>
        </w:rPr>
        <w:t xml:space="preserve"> </w:t>
      </w:r>
      <w:r w:rsidRPr="009356DC">
        <w:rPr>
          <w:rFonts w:eastAsia="Times New Roman" w:cs="Times New Roman"/>
          <w:lang w:eastAsia="de-DE"/>
        </w:rPr>
        <w:t xml:space="preserve">(östlich/nach Osten) von der Wurzel </w:t>
      </w:r>
      <w:r w:rsidRPr="009356DC">
        <w:rPr>
          <w:rFonts w:eastAsia="Times New Roman" w:cs="Times New Roman"/>
          <w:b/>
          <w:bCs/>
          <w:rtl/>
          <w:lang w:eastAsia="de-DE"/>
        </w:rPr>
        <w:t>קדם</w:t>
      </w:r>
      <w:r w:rsidRPr="009356DC">
        <w:rPr>
          <w:rFonts w:eastAsia="Times New Roman" w:cs="Times New Roman"/>
          <w:rtl/>
          <w:lang w:eastAsia="de-DE"/>
        </w:rPr>
        <w:t xml:space="preserve"> </w:t>
      </w:r>
      <w:r w:rsidRPr="009356DC">
        <w:rPr>
          <w:rFonts w:eastAsia="Times New Roman" w:cs="Times New Roman"/>
          <w:lang w:eastAsia="de-DE"/>
        </w:rPr>
        <w:t>(vorangehen/Osten) zeigt die Himmelsrichtung.</w:t>
      </w:r>
    </w:p>
    <w:p w14:paraId="4F63CDB4"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Diese geografische Spezifikation verweist auf die in Numeri 2 etablierte Lagerordnung: die Ostseite wird von den Stämmen Juda, Issachar und Sebulon unter Judas Führung besetzt. Diese drei Stämme bilden die erste Marscheinheit und haben daher das Privileg und die Verantwortung, als erste aufzubrechen.</w:t>
      </w:r>
    </w:p>
    <w:p w14:paraId="42D74D21"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lastRenderedPageBreak/>
        <w:t xml:space="preserve">Die militärische Logik ist klar: ein geordneter Aufbruch einer großen Wandergemeinschaft erfordert sequenzielle, nicht simultane Bewegung. Wenn alle Lager gleichzeitig aufbrechen würden, entstünde Chaos. Stattdessen etabliert das </w:t>
      </w:r>
      <w:r w:rsidRPr="009356DC">
        <w:rPr>
          <w:rFonts w:eastAsia="Times New Roman" w:cs="Times New Roman"/>
          <w:b/>
          <w:bCs/>
          <w:rtl/>
          <w:lang w:eastAsia="de-DE"/>
        </w:rPr>
        <w:t>תְּרוּעָ֑ה</w:t>
      </w:r>
      <w:r w:rsidRPr="009356DC">
        <w:rPr>
          <w:rFonts w:eastAsia="Times New Roman" w:cs="Times New Roman"/>
          <w:lang w:eastAsia="de-DE"/>
        </w:rPr>
        <w:t>-System eine geordnete Sequenz, die Verwirrung verhindert und militärische Disziplin gewährleistet.</w:t>
      </w:r>
    </w:p>
    <w:p w14:paraId="58B6C38D"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Die LXX</w:t>
      </w:r>
      <w:r w:rsidRPr="009356DC">
        <w:rPr>
          <w:rFonts w:eastAsia="Times New Roman" w:cs="Times New Roman"/>
          <w:lang w:eastAsia="de-DE"/>
        </w:rPr>
        <w:t xml:space="preserve"> übersetzt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 xml:space="preserve">mit σημασίαν (Signal), was weniger den Lärmcharakter als die Signalfunktion betont, und </w:t>
      </w:r>
      <w:r w:rsidRPr="009356DC">
        <w:rPr>
          <w:rFonts w:eastAsia="Times New Roman" w:cs="Times New Roman"/>
          <w:b/>
          <w:bCs/>
          <w:rtl/>
          <w:lang w:eastAsia="de-DE"/>
        </w:rPr>
        <w:t>קֵֽדְמָה</w:t>
      </w:r>
      <w:r w:rsidRPr="009356DC">
        <w:rPr>
          <w:rFonts w:eastAsia="Times New Roman" w:cs="Times New Roman"/>
          <w:rtl/>
          <w:lang w:eastAsia="de-DE"/>
        </w:rPr>
        <w:t xml:space="preserve"> </w:t>
      </w:r>
      <w:r w:rsidRPr="009356DC">
        <w:rPr>
          <w:rFonts w:eastAsia="Times New Roman" w:cs="Times New Roman"/>
          <w:lang w:eastAsia="de-DE"/>
        </w:rPr>
        <w:t xml:space="preserve">mit κατὰ ἀνατολάς (nach Osten), was astronomisch präzise ist. </w:t>
      </w:r>
      <w:r w:rsidRPr="009356DC">
        <w:rPr>
          <w:rFonts w:eastAsia="Times New Roman" w:cs="Times New Roman"/>
          <w:b/>
          <w:bCs/>
          <w:rtl/>
          <w:lang w:eastAsia="de-DE"/>
        </w:rPr>
        <w:t>נָֽסְעוּ֙</w:t>
      </w:r>
      <w:r w:rsidRPr="009356DC">
        <w:rPr>
          <w:rFonts w:eastAsia="Times New Roman" w:cs="Times New Roman"/>
          <w:rtl/>
          <w:lang w:eastAsia="de-DE"/>
        </w:rPr>
        <w:t xml:space="preserve"> </w:t>
      </w:r>
      <w:r w:rsidRPr="009356DC">
        <w:rPr>
          <w:rFonts w:eastAsia="Times New Roman" w:cs="Times New Roman"/>
          <w:lang w:eastAsia="de-DE"/>
        </w:rPr>
        <w:t>wird mit ἐξαροῦσιν (sie werden aufbrechen) übersetzt.</w:t>
      </w:r>
    </w:p>
    <w:p w14:paraId="7678ECE2"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Satzstruktur zeigt eine neue Signalkategorie mit spezifischer geografischer Zielgruppe und militärischer Aktionserwartung. Diese Anordnung beginnt die systematische Etablierung der Marschordnung, die für die erfolgreiche Wüstenwanderung einer großen Bevölkerung essentiell ist.</w:t>
      </w:r>
    </w:p>
    <w:p w14:paraId="18249330"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Betonung auf die Ostlager (Juda's Gruppe) als erste Aufbrechende unterstreicht Judas führende Position unter den Stämmen, die sich später in Davids Königtum und der messianischen Tradition manifestieren wird.</w:t>
      </w:r>
    </w:p>
    <w:p w14:paraId="4E2F604B" w14:textId="77777777" w:rsidR="009356DC" w:rsidRPr="009356DC" w:rsidRDefault="009356DC" w:rsidP="009356DC">
      <w:pPr>
        <w:spacing w:before="100" w:beforeAutospacing="1" w:after="100" w:afterAutospacing="1" w:line="240" w:lineRule="auto"/>
        <w:outlineLvl w:val="0"/>
        <w:rPr>
          <w:rFonts w:eastAsia="Times New Roman" w:cs="Times New Roman"/>
          <w:b/>
          <w:bCs/>
          <w:kern w:val="36"/>
          <w:sz w:val="48"/>
          <w:szCs w:val="48"/>
          <w:lang w:eastAsia="de-DE"/>
        </w:rPr>
      </w:pPr>
      <w:r w:rsidRPr="009356DC">
        <w:rPr>
          <w:rFonts w:eastAsia="Times New Roman" w:cs="Times New Roman"/>
          <w:b/>
          <w:bCs/>
          <w:kern w:val="36"/>
          <w:sz w:val="48"/>
          <w:szCs w:val="48"/>
          <w:lang w:eastAsia="de-DE"/>
        </w:rPr>
        <w:t>Numeri 10,6</w:t>
      </w:r>
    </w:p>
    <w:p w14:paraId="0A8DFE82"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Hebräisch:</w:t>
      </w:r>
      <w:r w:rsidRPr="009356DC">
        <w:rPr>
          <w:rFonts w:eastAsia="Times New Roman" w:cs="Times New Roman"/>
          <w:lang w:eastAsia="de-DE"/>
        </w:rPr>
        <w:t xml:space="preserve"> </w:t>
      </w:r>
      <w:r w:rsidRPr="009356DC">
        <w:rPr>
          <w:rFonts w:eastAsia="Times New Roman" w:cs="Times New Roman"/>
          <w:rtl/>
          <w:lang w:eastAsia="de-DE"/>
        </w:rPr>
        <w:t>וּתְקַעְתֶּ֤ם תְּרוּעָה֙ שֵׁנִ֔ית וְנָֽסְעוּ֙ הַֽמַּחֲנ֔וֹת הַחֹנִ֖ים תֵּימָ֑נָה תְּרוּעָ֥ה יִתְקְע֖וּ לְמַסְעֵיהֶֽם׃</w:t>
      </w:r>
    </w:p>
    <w:p w14:paraId="04696BDD"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Deutsch:</w:t>
      </w:r>
      <w:r w:rsidRPr="009356DC">
        <w:rPr>
          <w:rFonts w:eastAsia="Times New Roman" w:cs="Times New Roman"/>
          <w:lang w:eastAsia="de-DE"/>
        </w:rPr>
        <w:t xml:space="preserve"> Und wenn ihr zum zweiten Mal Lärm blast, so sollen die Lager aufbrechen, die im Süden lagern; Lärm sollen sie gewiss zu ihrem Aufbruch blasen.</w:t>
      </w:r>
    </w:p>
    <w:p w14:paraId="5B5BBE52" w14:textId="77777777" w:rsidR="009356DC" w:rsidRPr="009356DC" w:rsidRDefault="00F329DD" w:rsidP="009356DC">
      <w:pPr>
        <w:spacing w:after="0" w:line="240" w:lineRule="auto"/>
        <w:rPr>
          <w:rFonts w:eastAsia="Times New Roman" w:cs="Times New Roman"/>
          <w:lang w:eastAsia="de-DE"/>
        </w:rPr>
      </w:pPr>
      <w:r>
        <w:rPr>
          <w:rFonts w:eastAsia="Times New Roman" w:cs="Times New Roman"/>
          <w:noProof/>
          <w:lang w:eastAsia="de-DE"/>
        </w:rPr>
        <w:pict w14:anchorId="6AED7A01">
          <v:rect id="_x0000_i1349" style="width:0;height:1.5pt" o:hralign="center" o:hrstd="t" o:hr="t" fillcolor="#a0a0a0" stroked="f"/>
        </w:pict>
      </w:r>
    </w:p>
    <w:p w14:paraId="69A1431A"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Kommentar:</w:t>
      </w:r>
      <w:r w:rsidRPr="009356DC">
        <w:rPr>
          <w:rFonts w:eastAsia="Times New Roman" w:cs="Times New Roman"/>
          <w:lang w:eastAsia="de-DE"/>
        </w:rPr>
        <w:t xml:space="preserve"> Die sequenzielle Bestimmung </w:t>
      </w:r>
      <w:r w:rsidRPr="009356DC">
        <w:rPr>
          <w:rFonts w:eastAsia="Times New Roman" w:cs="Times New Roman"/>
          <w:b/>
          <w:bCs/>
          <w:rtl/>
          <w:lang w:eastAsia="de-DE"/>
        </w:rPr>
        <w:t>וּתְקַעְתֶּ֤ם תְּרוּעָה֙ שֵׁנִ֔ית</w:t>
      </w:r>
      <w:r w:rsidRPr="009356DC">
        <w:rPr>
          <w:rFonts w:eastAsia="Times New Roman" w:cs="Times New Roman"/>
          <w:rtl/>
          <w:lang w:eastAsia="de-DE"/>
        </w:rPr>
        <w:t xml:space="preserve"> </w:t>
      </w:r>
      <w:r w:rsidRPr="009356DC">
        <w:rPr>
          <w:rFonts w:eastAsia="Times New Roman" w:cs="Times New Roman"/>
          <w:lang w:eastAsia="de-DE"/>
        </w:rPr>
        <w:t xml:space="preserve">etabliert die chronologische Ordnung der Aufbruchssignale. </w:t>
      </w:r>
      <w:r w:rsidRPr="009356DC">
        <w:rPr>
          <w:rFonts w:eastAsia="Times New Roman" w:cs="Times New Roman"/>
          <w:b/>
          <w:bCs/>
          <w:rtl/>
          <w:lang w:eastAsia="de-DE"/>
        </w:rPr>
        <w:t>תְקַעְתֶּ֤ם</w:t>
      </w:r>
      <w:r w:rsidRPr="009356DC">
        <w:rPr>
          <w:rFonts w:eastAsia="Times New Roman" w:cs="Times New Roman"/>
          <w:rtl/>
          <w:lang w:eastAsia="de-DE"/>
        </w:rPr>
        <w:t xml:space="preserve"> </w:t>
      </w:r>
      <w:r w:rsidRPr="009356DC">
        <w:rPr>
          <w:rFonts w:eastAsia="Times New Roman" w:cs="Times New Roman"/>
          <w:lang w:eastAsia="de-DE"/>
        </w:rPr>
        <w:t xml:space="preserve">wiederholt das Verb aus Vers 5,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 xml:space="preserve">wiederholt die Signalart, und </w:t>
      </w:r>
      <w:r w:rsidRPr="009356DC">
        <w:rPr>
          <w:rFonts w:eastAsia="Times New Roman" w:cs="Times New Roman"/>
          <w:b/>
          <w:bCs/>
          <w:rtl/>
          <w:lang w:eastAsia="de-DE"/>
        </w:rPr>
        <w:t>שֵׁנִ֔ית</w:t>
      </w:r>
      <w:r w:rsidRPr="009356DC">
        <w:rPr>
          <w:rFonts w:eastAsia="Times New Roman" w:cs="Times New Roman"/>
          <w:rtl/>
          <w:lang w:eastAsia="de-DE"/>
        </w:rPr>
        <w:t xml:space="preserve"> </w:t>
      </w:r>
      <w:r w:rsidRPr="009356DC">
        <w:rPr>
          <w:rFonts w:eastAsia="Times New Roman" w:cs="Times New Roman"/>
          <w:lang w:eastAsia="de-DE"/>
        </w:rPr>
        <w:t xml:space="preserve">(zweite) von der Wurzel </w:t>
      </w:r>
      <w:r w:rsidRPr="009356DC">
        <w:rPr>
          <w:rFonts w:eastAsia="Times New Roman" w:cs="Times New Roman"/>
          <w:b/>
          <w:bCs/>
          <w:rtl/>
          <w:lang w:eastAsia="de-DE"/>
        </w:rPr>
        <w:t>שנה</w:t>
      </w:r>
      <w:r w:rsidRPr="009356DC">
        <w:rPr>
          <w:rFonts w:eastAsia="Times New Roman" w:cs="Times New Roman"/>
          <w:rtl/>
          <w:lang w:eastAsia="de-DE"/>
        </w:rPr>
        <w:t xml:space="preserve"> </w:t>
      </w:r>
      <w:r w:rsidRPr="009356DC">
        <w:rPr>
          <w:rFonts w:eastAsia="Times New Roman" w:cs="Times New Roman"/>
          <w:lang w:eastAsia="de-DE"/>
        </w:rPr>
        <w:t>(wiederholen/ändern) zeigt die zeitliche Abfolge. Diese systematische Nummerierung (</w:t>
      </w:r>
      <w:r w:rsidRPr="009356DC">
        <w:rPr>
          <w:rFonts w:eastAsia="Times New Roman" w:cs="Times New Roman"/>
          <w:b/>
          <w:bCs/>
          <w:rtl/>
          <w:lang w:eastAsia="de-DE"/>
        </w:rPr>
        <w:t>שֵׁנִ֔ית</w:t>
      </w:r>
      <w:r w:rsidRPr="009356DC">
        <w:rPr>
          <w:rFonts w:eastAsia="Times New Roman" w:cs="Times New Roman"/>
          <w:lang w:eastAsia="de-DE"/>
        </w:rPr>
        <w:t xml:space="preserve">) deutet darauf hin, dass ursprünglich vier </w:t>
      </w:r>
      <w:r w:rsidRPr="009356DC">
        <w:rPr>
          <w:rFonts w:eastAsia="Times New Roman" w:cs="Times New Roman"/>
          <w:b/>
          <w:bCs/>
          <w:rtl/>
          <w:lang w:eastAsia="de-DE"/>
        </w:rPr>
        <w:t>תְּרוּעָ֑ה</w:t>
      </w:r>
      <w:r w:rsidRPr="009356DC">
        <w:rPr>
          <w:rFonts w:eastAsia="Times New Roman" w:cs="Times New Roman"/>
          <w:lang w:eastAsia="de-DE"/>
        </w:rPr>
        <w:t>-Signale für alle vier Lagerseiten geplant waren, obwohl die dritte und vierte nicht explizit im Masoretischen Text erwähnt werden.</w:t>
      </w:r>
    </w:p>
    <w:p w14:paraId="6A982B30"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Das Resultat </w:t>
      </w:r>
      <w:r w:rsidRPr="009356DC">
        <w:rPr>
          <w:rFonts w:eastAsia="Times New Roman" w:cs="Times New Roman"/>
          <w:b/>
          <w:bCs/>
          <w:rtl/>
          <w:lang w:eastAsia="de-DE"/>
        </w:rPr>
        <w:t>וְנָֽסְעוּ֙ הַֽמַּחֲנ֔וֹת הַחֹנִ֖ים תֵּימָ֑נָה</w:t>
      </w:r>
      <w:r w:rsidRPr="009356DC">
        <w:rPr>
          <w:rFonts w:eastAsia="Times New Roman" w:cs="Times New Roman"/>
          <w:rtl/>
          <w:lang w:eastAsia="de-DE"/>
        </w:rPr>
        <w:t xml:space="preserve"> </w:t>
      </w:r>
      <w:r w:rsidRPr="009356DC">
        <w:rPr>
          <w:rFonts w:eastAsia="Times New Roman" w:cs="Times New Roman"/>
          <w:lang w:eastAsia="de-DE"/>
        </w:rPr>
        <w:t xml:space="preserve">folgt derselben Struktur wie Vers 5, aber mit unterschiedlicher geografischer Spezifikation. </w:t>
      </w:r>
      <w:r w:rsidRPr="009356DC">
        <w:rPr>
          <w:rFonts w:eastAsia="Times New Roman" w:cs="Times New Roman"/>
          <w:b/>
          <w:bCs/>
          <w:rtl/>
          <w:lang w:eastAsia="de-DE"/>
        </w:rPr>
        <w:t>נָֽסְעוּ֙</w:t>
      </w:r>
      <w:r w:rsidRPr="009356DC">
        <w:rPr>
          <w:rFonts w:eastAsia="Times New Roman" w:cs="Times New Roman"/>
          <w:rtl/>
          <w:lang w:eastAsia="de-DE"/>
        </w:rPr>
        <w:t xml:space="preserve"> </w:t>
      </w:r>
      <w:r w:rsidRPr="009356DC">
        <w:rPr>
          <w:rFonts w:eastAsia="Times New Roman" w:cs="Times New Roman"/>
          <w:lang w:eastAsia="de-DE"/>
        </w:rPr>
        <w:t xml:space="preserve">von </w:t>
      </w:r>
      <w:r w:rsidRPr="009356DC">
        <w:rPr>
          <w:rFonts w:eastAsia="Times New Roman" w:cs="Times New Roman"/>
          <w:b/>
          <w:bCs/>
          <w:rtl/>
          <w:lang w:eastAsia="de-DE"/>
        </w:rPr>
        <w:t>נסע</w:t>
      </w:r>
      <w:r w:rsidRPr="009356DC">
        <w:rPr>
          <w:rFonts w:eastAsia="Times New Roman" w:cs="Times New Roman"/>
          <w:rtl/>
          <w:lang w:eastAsia="de-DE"/>
        </w:rPr>
        <w:t xml:space="preserve"> </w:t>
      </w:r>
      <w:r w:rsidRPr="009356DC">
        <w:rPr>
          <w:rFonts w:eastAsia="Times New Roman" w:cs="Times New Roman"/>
          <w:lang w:eastAsia="de-DE"/>
        </w:rPr>
        <w:t xml:space="preserve">(aufbrechen), </w:t>
      </w:r>
      <w:r w:rsidRPr="009356DC">
        <w:rPr>
          <w:rFonts w:eastAsia="Times New Roman" w:cs="Times New Roman"/>
          <w:b/>
          <w:bCs/>
          <w:rtl/>
          <w:lang w:eastAsia="de-DE"/>
        </w:rPr>
        <w:t>הַֽמַּחֲנ֔וֹת</w:t>
      </w:r>
      <w:r w:rsidRPr="009356DC">
        <w:rPr>
          <w:rFonts w:eastAsia="Times New Roman" w:cs="Times New Roman"/>
          <w:rtl/>
          <w:lang w:eastAsia="de-DE"/>
        </w:rPr>
        <w:t xml:space="preserve"> </w:t>
      </w:r>
      <w:r w:rsidRPr="009356DC">
        <w:rPr>
          <w:rFonts w:eastAsia="Times New Roman" w:cs="Times New Roman"/>
          <w:lang w:eastAsia="de-DE"/>
        </w:rPr>
        <w:t xml:space="preserve">(die Lager), </w:t>
      </w:r>
      <w:r w:rsidRPr="009356DC">
        <w:rPr>
          <w:rFonts w:eastAsia="Times New Roman" w:cs="Times New Roman"/>
          <w:b/>
          <w:bCs/>
          <w:rtl/>
          <w:lang w:eastAsia="de-DE"/>
        </w:rPr>
        <w:t>הַחֹנִ֖ים</w:t>
      </w:r>
      <w:r w:rsidRPr="009356DC">
        <w:rPr>
          <w:rFonts w:eastAsia="Times New Roman" w:cs="Times New Roman"/>
          <w:rtl/>
          <w:lang w:eastAsia="de-DE"/>
        </w:rPr>
        <w:t xml:space="preserve"> </w:t>
      </w:r>
      <w:r w:rsidRPr="009356DC">
        <w:rPr>
          <w:rFonts w:eastAsia="Times New Roman" w:cs="Times New Roman"/>
          <w:lang w:eastAsia="de-DE"/>
        </w:rPr>
        <w:t xml:space="preserve">(die Lagernden), aber </w:t>
      </w:r>
      <w:r w:rsidRPr="009356DC">
        <w:rPr>
          <w:rFonts w:eastAsia="Times New Roman" w:cs="Times New Roman"/>
          <w:b/>
          <w:bCs/>
          <w:rtl/>
          <w:lang w:eastAsia="de-DE"/>
        </w:rPr>
        <w:t>תֵּימָ֑נָה</w:t>
      </w:r>
      <w:r w:rsidRPr="009356DC">
        <w:rPr>
          <w:rFonts w:eastAsia="Times New Roman" w:cs="Times New Roman"/>
          <w:rtl/>
          <w:lang w:eastAsia="de-DE"/>
        </w:rPr>
        <w:t xml:space="preserve"> </w:t>
      </w:r>
      <w:r w:rsidRPr="009356DC">
        <w:rPr>
          <w:rFonts w:eastAsia="Times New Roman" w:cs="Times New Roman"/>
          <w:lang w:eastAsia="de-DE"/>
        </w:rPr>
        <w:t xml:space="preserve">(südlich) von der Wurzel </w:t>
      </w:r>
      <w:r w:rsidRPr="009356DC">
        <w:rPr>
          <w:rFonts w:eastAsia="Times New Roman" w:cs="Times New Roman"/>
          <w:b/>
          <w:bCs/>
          <w:rtl/>
          <w:lang w:eastAsia="de-DE"/>
        </w:rPr>
        <w:t>ימן</w:t>
      </w:r>
      <w:r w:rsidRPr="009356DC">
        <w:rPr>
          <w:rFonts w:eastAsia="Times New Roman" w:cs="Times New Roman"/>
          <w:rtl/>
          <w:lang w:eastAsia="de-DE"/>
        </w:rPr>
        <w:t xml:space="preserve"> </w:t>
      </w:r>
      <w:r w:rsidRPr="009356DC">
        <w:rPr>
          <w:rFonts w:eastAsia="Times New Roman" w:cs="Times New Roman"/>
          <w:lang w:eastAsia="de-DE"/>
        </w:rPr>
        <w:t xml:space="preserve">(rechts/Süden) statt </w:t>
      </w:r>
      <w:r w:rsidRPr="009356DC">
        <w:rPr>
          <w:rFonts w:eastAsia="Times New Roman" w:cs="Times New Roman"/>
          <w:b/>
          <w:bCs/>
          <w:rtl/>
          <w:lang w:eastAsia="de-DE"/>
        </w:rPr>
        <w:t>קֵֽדְמָה</w:t>
      </w:r>
      <w:r w:rsidRPr="009356DC">
        <w:rPr>
          <w:rFonts w:eastAsia="Times New Roman" w:cs="Times New Roman"/>
          <w:rtl/>
          <w:lang w:eastAsia="de-DE"/>
        </w:rPr>
        <w:t xml:space="preserve"> </w:t>
      </w:r>
      <w:r w:rsidRPr="009356DC">
        <w:rPr>
          <w:rFonts w:eastAsia="Times New Roman" w:cs="Times New Roman"/>
          <w:lang w:eastAsia="de-DE"/>
        </w:rPr>
        <w:t>(östlich).</w:t>
      </w:r>
    </w:p>
    <w:p w14:paraId="6ABDBC1B"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rtl/>
          <w:lang w:eastAsia="de-DE"/>
        </w:rPr>
        <w:t>תֵּימָ֑נָה</w:t>
      </w:r>
      <w:r w:rsidRPr="009356DC">
        <w:rPr>
          <w:rFonts w:eastAsia="Times New Roman" w:cs="Times New Roman"/>
          <w:rtl/>
          <w:lang w:eastAsia="de-DE"/>
        </w:rPr>
        <w:t xml:space="preserve"> </w:t>
      </w:r>
      <w:r w:rsidRPr="009356DC">
        <w:rPr>
          <w:rFonts w:eastAsia="Times New Roman" w:cs="Times New Roman"/>
          <w:lang w:eastAsia="de-DE"/>
        </w:rPr>
        <w:t>bezieht sich auf die Südseite der Lagerordnung aus Numeri 2, wo die Stämme Ruben, Simeon und Gad unter Rubens Führung lagern. Diese bilden die zweite Marscheinheit in der etablierten Aufbruchssequenz.</w:t>
      </w:r>
    </w:p>
    <w:p w14:paraId="0BE658B0"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verstärkende Schlussformel </w:t>
      </w:r>
      <w:r w:rsidRPr="009356DC">
        <w:rPr>
          <w:rFonts w:eastAsia="Times New Roman" w:cs="Times New Roman"/>
          <w:b/>
          <w:bCs/>
          <w:rtl/>
          <w:lang w:eastAsia="de-DE"/>
        </w:rPr>
        <w:t>תְּרוּעָ֥ה יִתְקְע֖וּ לְמַסְעֵיהֶֽם</w:t>
      </w:r>
      <w:r w:rsidRPr="009356DC">
        <w:rPr>
          <w:rFonts w:eastAsia="Times New Roman" w:cs="Times New Roman"/>
          <w:rtl/>
          <w:lang w:eastAsia="de-DE"/>
        </w:rPr>
        <w:t xml:space="preserve"> </w:t>
      </w:r>
      <w:r w:rsidRPr="009356DC">
        <w:rPr>
          <w:rFonts w:eastAsia="Times New Roman" w:cs="Times New Roman"/>
          <w:lang w:eastAsia="de-DE"/>
        </w:rPr>
        <w:t xml:space="preserve">bietet eine wichtige theologische und praktische Zusammenfassung. </w:t>
      </w:r>
      <w:r w:rsidRPr="009356DC">
        <w:rPr>
          <w:rFonts w:eastAsia="Times New Roman" w:cs="Times New Roman"/>
          <w:b/>
          <w:bCs/>
          <w:rtl/>
          <w:lang w:eastAsia="de-DE"/>
        </w:rPr>
        <w:t>תְּרוּעָ֥ה יִתְקְע֖וּ</w:t>
      </w:r>
      <w:r w:rsidRPr="009356DC">
        <w:rPr>
          <w:rFonts w:eastAsia="Times New Roman" w:cs="Times New Roman"/>
          <w:rtl/>
          <w:lang w:eastAsia="de-DE"/>
        </w:rPr>
        <w:t xml:space="preserve"> </w:t>
      </w:r>
      <w:r w:rsidRPr="009356DC">
        <w:rPr>
          <w:rFonts w:eastAsia="Times New Roman" w:cs="Times New Roman"/>
          <w:lang w:eastAsia="de-DE"/>
        </w:rPr>
        <w:t xml:space="preserve">mit </w:t>
      </w:r>
      <w:r w:rsidRPr="009356DC">
        <w:rPr>
          <w:rFonts w:eastAsia="Times New Roman" w:cs="Times New Roman"/>
          <w:b/>
          <w:bCs/>
          <w:rtl/>
          <w:lang w:eastAsia="de-DE"/>
        </w:rPr>
        <w:t>יִתְקְע֖וּ</w:t>
      </w:r>
      <w:r w:rsidRPr="009356DC">
        <w:rPr>
          <w:rFonts w:eastAsia="Times New Roman" w:cs="Times New Roman"/>
          <w:rtl/>
          <w:lang w:eastAsia="de-DE"/>
        </w:rPr>
        <w:t xml:space="preserve"> </w:t>
      </w:r>
      <w:r w:rsidRPr="009356DC">
        <w:rPr>
          <w:rFonts w:eastAsia="Times New Roman" w:cs="Times New Roman"/>
          <w:lang w:eastAsia="de-DE"/>
        </w:rPr>
        <w:t xml:space="preserve">von </w:t>
      </w:r>
      <w:r w:rsidRPr="009356DC">
        <w:rPr>
          <w:rFonts w:eastAsia="Times New Roman" w:cs="Times New Roman"/>
          <w:b/>
          <w:bCs/>
          <w:rtl/>
          <w:lang w:eastAsia="de-DE"/>
        </w:rPr>
        <w:t>תקע</w:t>
      </w:r>
      <w:r w:rsidRPr="009356DC">
        <w:rPr>
          <w:rFonts w:eastAsia="Times New Roman" w:cs="Times New Roman"/>
          <w:rtl/>
          <w:lang w:eastAsia="de-DE"/>
        </w:rPr>
        <w:t xml:space="preserve"> </w:t>
      </w:r>
      <w:r w:rsidRPr="009356DC">
        <w:rPr>
          <w:rFonts w:eastAsia="Times New Roman" w:cs="Times New Roman"/>
          <w:lang w:eastAsia="de-DE"/>
        </w:rPr>
        <w:t xml:space="preserve">(blasen) im Qal-Imperfekt 3. maskulin Plural zeigt die generelle Regel: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 xml:space="preserve">(Lärmsignale) sind spezifisch </w:t>
      </w:r>
      <w:r w:rsidRPr="009356DC">
        <w:rPr>
          <w:rFonts w:eastAsia="Times New Roman" w:cs="Times New Roman"/>
          <w:b/>
          <w:bCs/>
          <w:rtl/>
          <w:lang w:eastAsia="de-DE"/>
        </w:rPr>
        <w:t>לְמַסְעֵיהֶֽם</w:t>
      </w:r>
      <w:r w:rsidRPr="009356DC">
        <w:rPr>
          <w:rFonts w:eastAsia="Times New Roman" w:cs="Times New Roman"/>
          <w:rtl/>
          <w:lang w:eastAsia="de-DE"/>
        </w:rPr>
        <w:t xml:space="preserve"> </w:t>
      </w:r>
      <w:r w:rsidRPr="009356DC">
        <w:rPr>
          <w:rFonts w:eastAsia="Times New Roman" w:cs="Times New Roman"/>
          <w:lang w:eastAsia="de-DE"/>
        </w:rPr>
        <w:t>(für ihre Aufbrüche) bestimmt.</w:t>
      </w:r>
    </w:p>
    <w:p w14:paraId="1EE51B9A"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rtl/>
          <w:lang w:eastAsia="de-DE"/>
        </w:rPr>
        <w:lastRenderedPageBreak/>
        <w:t>לְמַסְעֵיהֶֽם</w:t>
      </w:r>
      <w:r w:rsidRPr="009356DC">
        <w:rPr>
          <w:rFonts w:eastAsia="Times New Roman" w:cs="Times New Roman"/>
          <w:rtl/>
          <w:lang w:eastAsia="de-DE"/>
        </w:rPr>
        <w:t xml:space="preserve"> </w:t>
      </w:r>
      <w:r w:rsidRPr="009356DC">
        <w:rPr>
          <w:rFonts w:eastAsia="Times New Roman" w:cs="Times New Roman"/>
          <w:lang w:eastAsia="de-DE"/>
        </w:rPr>
        <w:t xml:space="preserve">(für ihre Aufbrüche) ist ein Plural von </w:t>
      </w:r>
      <w:r w:rsidRPr="009356DC">
        <w:rPr>
          <w:rFonts w:eastAsia="Times New Roman" w:cs="Times New Roman"/>
          <w:b/>
          <w:bCs/>
          <w:rtl/>
          <w:lang w:eastAsia="de-DE"/>
        </w:rPr>
        <w:t>מַסַּע</w:t>
      </w:r>
      <w:r w:rsidRPr="009356DC">
        <w:rPr>
          <w:rFonts w:eastAsia="Times New Roman" w:cs="Times New Roman"/>
          <w:rtl/>
          <w:lang w:eastAsia="de-DE"/>
        </w:rPr>
        <w:t xml:space="preserve"> </w:t>
      </w:r>
      <w:r w:rsidRPr="009356DC">
        <w:rPr>
          <w:rFonts w:eastAsia="Times New Roman" w:cs="Times New Roman"/>
          <w:lang w:eastAsia="de-DE"/>
        </w:rPr>
        <w:t xml:space="preserve">(Aufbruch/Wanderung) von der Wurzel </w:t>
      </w:r>
      <w:r w:rsidRPr="009356DC">
        <w:rPr>
          <w:rFonts w:eastAsia="Times New Roman" w:cs="Times New Roman"/>
          <w:b/>
          <w:bCs/>
          <w:rtl/>
          <w:lang w:eastAsia="de-DE"/>
        </w:rPr>
        <w:t>נסע</w:t>
      </w:r>
      <w:r w:rsidRPr="009356DC">
        <w:rPr>
          <w:rFonts w:eastAsia="Times New Roman" w:cs="Times New Roman"/>
          <w:rtl/>
          <w:lang w:eastAsia="de-DE"/>
        </w:rPr>
        <w:t xml:space="preserve"> </w:t>
      </w:r>
      <w:r w:rsidRPr="009356DC">
        <w:rPr>
          <w:rFonts w:eastAsia="Times New Roman" w:cs="Times New Roman"/>
          <w:lang w:eastAsia="de-DE"/>
        </w:rPr>
        <w:t xml:space="preserve">mit Possessivsuffix 3. maskulin Plural. Der Plural </w:t>
      </w:r>
      <w:r w:rsidRPr="009356DC">
        <w:rPr>
          <w:rFonts w:eastAsia="Times New Roman" w:cs="Times New Roman"/>
          <w:b/>
          <w:bCs/>
          <w:rtl/>
          <w:lang w:eastAsia="de-DE"/>
        </w:rPr>
        <w:t>מַסְעֵי</w:t>
      </w:r>
      <w:r w:rsidRPr="009356DC">
        <w:rPr>
          <w:rFonts w:eastAsia="Times New Roman" w:cs="Times New Roman"/>
          <w:rtl/>
          <w:lang w:eastAsia="de-DE"/>
        </w:rPr>
        <w:t xml:space="preserve"> </w:t>
      </w:r>
      <w:r w:rsidRPr="009356DC">
        <w:rPr>
          <w:rFonts w:eastAsia="Times New Roman" w:cs="Times New Roman"/>
          <w:lang w:eastAsia="de-DE"/>
        </w:rPr>
        <w:t>kann sowohl "ihre (verschiedenen) Aufbrüche" als auch "ihre (verschiedenen) Wanderungen" bedeuten, was die wiederholte Natur dieser Signale während der gesamten Wüstenzeit betont.</w:t>
      </w:r>
    </w:p>
    <w:p w14:paraId="5660973F"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Diese Schlussformel ist legislativ wichtig: sie etabliert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 xml:space="preserve">als die standardmäßige Signalart für alle militärischen Bewegungsbefehle, nicht nur für diese ersten beiden spezifischen Fälle. Dies unterscheidet klar zwischen den friedlichen </w:t>
      </w:r>
      <w:r w:rsidRPr="009356DC">
        <w:rPr>
          <w:rFonts w:eastAsia="Times New Roman" w:cs="Times New Roman"/>
          <w:b/>
          <w:bCs/>
          <w:rtl/>
          <w:lang w:eastAsia="de-DE"/>
        </w:rPr>
        <w:t>תְּקִיעוֹת</w:t>
      </w:r>
      <w:r w:rsidRPr="009356DC">
        <w:rPr>
          <w:rFonts w:eastAsia="Times New Roman" w:cs="Times New Roman"/>
          <w:rtl/>
          <w:lang w:eastAsia="de-DE"/>
        </w:rPr>
        <w:t xml:space="preserve"> </w:t>
      </w:r>
      <w:r w:rsidRPr="009356DC">
        <w:rPr>
          <w:rFonts w:eastAsia="Times New Roman" w:cs="Times New Roman"/>
          <w:lang w:eastAsia="de-DE"/>
        </w:rPr>
        <w:t xml:space="preserve">(einfachen Blasereien) für Versammlungen und den militärischen </w:t>
      </w:r>
      <w:r w:rsidRPr="009356DC">
        <w:rPr>
          <w:rFonts w:eastAsia="Times New Roman" w:cs="Times New Roman"/>
          <w:b/>
          <w:bCs/>
          <w:rtl/>
          <w:lang w:eastAsia="de-DE"/>
        </w:rPr>
        <w:t>תְּרוּעוֹת</w:t>
      </w:r>
      <w:r w:rsidRPr="009356DC">
        <w:rPr>
          <w:rFonts w:eastAsia="Times New Roman" w:cs="Times New Roman"/>
          <w:rtl/>
          <w:lang w:eastAsia="de-DE"/>
        </w:rPr>
        <w:t xml:space="preserve"> </w:t>
      </w:r>
      <w:r w:rsidRPr="009356DC">
        <w:rPr>
          <w:rFonts w:eastAsia="Times New Roman" w:cs="Times New Roman"/>
          <w:lang w:eastAsia="de-DE"/>
        </w:rPr>
        <w:t>(Lärmsignalen) für Bewegungen.</w:t>
      </w:r>
    </w:p>
    <w:p w14:paraId="52971D7C" w14:textId="4126B3D2"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Die LXX</w:t>
      </w:r>
      <w:r w:rsidR="00A1074A">
        <w:rPr>
          <w:rFonts w:eastAsia="Times New Roman" w:cs="Times New Roman"/>
          <w:b/>
          <w:bCs/>
          <w:lang w:eastAsia="de-DE"/>
        </w:rPr>
        <w:t xml:space="preserve"> ist</w:t>
      </w:r>
      <w:r w:rsidRPr="009356DC">
        <w:rPr>
          <w:rFonts w:eastAsia="Times New Roman" w:cs="Times New Roman"/>
          <w:lang w:eastAsia="de-DE"/>
        </w:rPr>
        <w:t xml:space="preserve"> </w:t>
      </w:r>
      <w:r w:rsidR="00A1074A">
        <w:rPr>
          <w:rStyle w:val="Fett"/>
        </w:rPr>
        <w:t>textkritisch bedeutsam</w:t>
      </w:r>
      <w:r w:rsidR="00A1074A">
        <w:t xml:space="preserve">: </w:t>
      </w:r>
      <w:r w:rsidR="00A1074A">
        <w:rPr>
          <w:rStyle w:val="Fett"/>
        </w:rPr>
        <w:t>Die LXX</w:t>
      </w:r>
      <w:r w:rsidR="00A1074A">
        <w:t xml:space="preserve"> fügt hier Material hinzu, das im MT fehlt: Sie erwähnt explizit das dritte Signal für die westlichen Lager (παρὰ θάλασσαν - "beim Meer") und das vierte Signal für die nördlichen Lager (πρὸς βορρᾶν - "nach Norden"), während der MT nur das zweite Signal für die südlichen Lager erwähnt. Dies könnte eine Ergänzung zur Vervollständigung der vier Himmelsrichtungen sein oder auf eine vollständigere hebräische Vorlage hinweisen.</w:t>
      </w:r>
    </w:p>
    <w:p w14:paraId="0A52F079"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Satzstruktur zeigt sequenzielle Signalgebung mit geografischer Spezifikation und abschließender genereller Regel. Die mathematische Präzision (erste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 xml:space="preserve">für Osten, zweite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für Süden) etabliert ein klares, verwechslungsfreies System für die Koordination einer großen Wandergemeinschaft.</w:t>
      </w:r>
    </w:p>
    <w:p w14:paraId="2ADFFDF1"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Betonung auf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 xml:space="preserve">als spezifisches Signal für </w:t>
      </w:r>
      <w:r w:rsidRPr="009356DC">
        <w:rPr>
          <w:rFonts w:eastAsia="Times New Roman" w:cs="Times New Roman"/>
          <w:b/>
          <w:bCs/>
          <w:rtl/>
          <w:lang w:eastAsia="de-DE"/>
        </w:rPr>
        <w:t>מַסְעֵי</w:t>
      </w:r>
      <w:r w:rsidRPr="009356DC">
        <w:rPr>
          <w:rFonts w:eastAsia="Times New Roman" w:cs="Times New Roman"/>
          <w:rtl/>
          <w:lang w:eastAsia="de-DE"/>
        </w:rPr>
        <w:t xml:space="preserve"> </w:t>
      </w:r>
      <w:r w:rsidRPr="009356DC">
        <w:rPr>
          <w:rFonts w:eastAsia="Times New Roman" w:cs="Times New Roman"/>
          <w:lang w:eastAsia="de-DE"/>
        </w:rPr>
        <w:t xml:space="preserve">(Aufbrüche) wird später in der jüdischen Tradition wichtig, wo </w:t>
      </w:r>
      <w:r w:rsidRPr="009356DC">
        <w:rPr>
          <w:rFonts w:eastAsia="Times New Roman" w:cs="Times New Roman"/>
          <w:b/>
          <w:bCs/>
          <w:rtl/>
          <w:lang w:eastAsia="de-DE"/>
        </w:rPr>
        <w:t>תְּרוּעָ֥ה</w:t>
      </w:r>
      <w:r w:rsidRPr="009356DC">
        <w:rPr>
          <w:rFonts w:eastAsia="Times New Roman" w:cs="Times New Roman"/>
          <w:lang w:eastAsia="de-DE"/>
        </w:rPr>
        <w:t>-Töne an Rosch Haschana den "Aufbruch" vom alten Jahr zum neuen Jahr signalisieren.</w:t>
      </w:r>
    </w:p>
    <w:p w14:paraId="6E1DD1ED" w14:textId="77777777" w:rsidR="009356DC" w:rsidRPr="009356DC" w:rsidRDefault="009356DC" w:rsidP="009356DC">
      <w:pPr>
        <w:spacing w:before="100" w:beforeAutospacing="1" w:after="100" w:afterAutospacing="1" w:line="240" w:lineRule="auto"/>
        <w:outlineLvl w:val="0"/>
        <w:rPr>
          <w:rFonts w:eastAsia="Times New Roman" w:cs="Times New Roman"/>
          <w:b/>
          <w:bCs/>
          <w:kern w:val="36"/>
          <w:sz w:val="48"/>
          <w:szCs w:val="48"/>
          <w:lang w:eastAsia="de-DE"/>
        </w:rPr>
      </w:pPr>
      <w:r w:rsidRPr="009356DC">
        <w:rPr>
          <w:rFonts w:eastAsia="Times New Roman" w:cs="Times New Roman"/>
          <w:b/>
          <w:bCs/>
          <w:kern w:val="36"/>
          <w:sz w:val="48"/>
          <w:szCs w:val="48"/>
          <w:lang w:eastAsia="de-DE"/>
        </w:rPr>
        <w:t>Numeri 10,7</w:t>
      </w:r>
    </w:p>
    <w:p w14:paraId="090B66F7"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Hebräisch:</w:t>
      </w:r>
      <w:r w:rsidRPr="009356DC">
        <w:rPr>
          <w:rFonts w:eastAsia="Times New Roman" w:cs="Times New Roman"/>
          <w:lang w:eastAsia="de-DE"/>
        </w:rPr>
        <w:t xml:space="preserve"> </w:t>
      </w:r>
      <w:r w:rsidRPr="009356DC">
        <w:rPr>
          <w:rFonts w:eastAsia="Times New Roman" w:cs="Times New Roman"/>
          <w:rtl/>
          <w:lang w:eastAsia="de-DE"/>
        </w:rPr>
        <w:t>וּבְהַקְהִ֖יל אֶת־הַקָּהָ֑ל תִּתְקְע֖וּ וְלֹ֥א תָרִֽיעוּ׃</w:t>
      </w:r>
    </w:p>
    <w:p w14:paraId="1579BA92"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Deutsch:</w:t>
      </w:r>
      <w:r w:rsidRPr="009356DC">
        <w:rPr>
          <w:rFonts w:eastAsia="Times New Roman" w:cs="Times New Roman"/>
          <w:lang w:eastAsia="de-DE"/>
        </w:rPr>
        <w:t xml:space="preserve"> Aber um die Versammlung zu versammeln, sollt ihr blasen und nicht Lärm blasen.</w:t>
      </w:r>
    </w:p>
    <w:p w14:paraId="79F72649" w14:textId="77777777" w:rsidR="009356DC" w:rsidRPr="009356DC" w:rsidRDefault="00F329DD" w:rsidP="009356DC">
      <w:pPr>
        <w:spacing w:after="0" w:line="240" w:lineRule="auto"/>
        <w:rPr>
          <w:rFonts w:eastAsia="Times New Roman" w:cs="Times New Roman"/>
          <w:lang w:eastAsia="de-DE"/>
        </w:rPr>
      </w:pPr>
      <w:r>
        <w:rPr>
          <w:rFonts w:eastAsia="Times New Roman" w:cs="Times New Roman"/>
          <w:noProof/>
          <w:lang w:eastAsia="de-DE"/>
        </w:rPr>
        <w:pict w14:anchorId="336E68E8">
          <v:rect id="_x0000_i1350" style="width:0;height:1.5pt" o:hralign="center" o:hrstd="t" o:hr="t" fillcolor="#a0a0a0" stroked="f"/>
        </w:pict>
      </w:r>
    </w:p>
    <w:p w14:paraId="1984C804" w14:textId="36374942"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Kommentar:</w:t>
      </w:r>
      <w:r w:rsidRPr="009356DC">
        <w:rPr>
          <w:rFonts w:eastAsia="Times New Roman" w:cs="Times New Roman"/>
          <w:lang w:eastAsia="de-DE"/>
        </w:rPr>
        <w:t xml:space="preserve"> Die temporale Bestimmung </w:t>
      </w:r>
      <w:r w:rsidRPr="009356DC">
        <w:rPr>
          <w:rFonts w:eastAsia="Times New Roman" w:cs="Times New Roman"/>
          <w:b/>
          <w:bCs/>
          <w:rtl/>
          <w:lang w:eastAsia="de-DE"/>
        </w:rPr>
        <w:t>וּבְהַקְהִ֖יל אֶת־הַקָּהָ֑ל</w:t>
      </w:r>
      <w:r w:rsidRPr="009356DC">
        <w:rPr>
          <w:rFonts w:eastAsia="Times New Roman" w:cs="Times New Roman"/>
          <w:rtl/>
          <w:lang w:eastAsia="de-DE"/>
        </w:rPr>
        <w:t xml:space="preserve"> </w:t>
      </w:r>
      <w:r w:rsidRPr="009356DC">
        <w:rPr>
          <w:rFonts w:eastAsia="Times New Roman" w:cs="Times New Roman"/>
          <w:lang w:eastAsia="de-DE"/>
        </w:rPr>
        <w:t xml:space="preserve">zeigt eine bedeutsame stilistische und liturgische Differenzierung. </w:t>
      </w:r>
      <w:r w:rsidRPr="009356DC">
        <w:rPr>
          <w:rFonts w:eastAsia="Times New Roman" w:cs="Times New Roman"/>
          <w:b/>
          <w:bCs/>
          <w:rtl/>
          <w:lang w:eastAsia="de-DE"/>
        </w:rPr>
        <w:t>בְהַקְהִ֖יל</w:t>
      </w:r>
      <w:r w:rsidRPr="009356DC">
        <w:rPr>
          <w:rFonts w:eastAsia="Times New Roman" w:cs="Times New Roman"/>
          <w:rtl/>
          <w:lang w:eastAsia="de-DE"/>
        </w:rPr>
        <w:t xml:space="preserve"> </w:t>
      </w:r>
      <w:r w:rsidRPr="009356DC">
        <w:rPr>
          <w:rFonts w:eastAsia="Times New Roman" w:cs="Times New Roman"/>
          <w:lang w:eastAsia="de-DE"/>
        </w:rPr>
        <w:t>ist der Hiph'il-Infinitiv-</w:t>
      </w:r>
      <w:r w:rsidR="00F133EC">
        <w:rPr>
          <w:rFonts w:eastAsia="Times New Roman" w:cs="Times New Roman"/>
          <w:lang w:eastAsia="de-DE"/>
        </w:rPr>
        <w:t>Construct</w:t>
      </w:r>
      <w:r w:rsidRPr="009356DC">
        <w:rPr>
          <w:rFonts w:eastAsia="Times New Roman" w:cs="Times New Roman"/>
          <w:lang w:eastAsia="de-DE"/>
        </w:rPr>
        <w:t xml:space="preserve"> von der Wurzel </w:t>
      </w:r>
      <w:r w:rsidRPr="009356DC">
        <w:rPr>
          <w:rFonts w:eastAsia="Times New Roman" w:cs="Times New Roman"/>
          <w:b/>
          <w:bCs/>
          <w:rtl/>
          <w:lang w:eastAsia="de-DE"/>
        </w:rPr>
        <w:t>קהל</w:t>
      </w:r>
      <w:r w:rsidRPr="009356DC">
        <w:rPr>
          <w:rFonts w:eastAsia="Times New Roman" w:cs="Times New Roman"/>
          <w:rtl/>
          <w:lang w:eastAsia="de-DE"/>
        </w:rPr>
        <w:t xml:space="preserve"> </w:t>
      </w:r>
      <w:r w:rsidRPr="009356DC">
        <w:rPr>
          <w:rFonts w:eastAsia="Times New Roman" w:cs="Times New Roman"/>
          <w:lang w:eastAsia="de-DE"/>
        </w:rPr>
        <w:t xml:space="preserve">(versammeln), während </w:t>
      </w:r>
      <w:r w:rsidRPr="009356DC">
        <w:rPr>
          <w:rFonts w:eastAsia="Times New Roman" w:cs="Times New Roman"/>
          <w:b/>
          <w:bCs/>
          <w:rtl/>
          <w:lang w:eastAsia="de-DE"/>
        </w:rPr>
        <w:t>הַקָּהָ֑ל</w:t>
      </w:r>
      <w:r w:rsidRPr="009356DC">
        <w:rPr>
          <w:rFonts w:eastAsia="Times New Roman" w:cs="Times New Roman"/>
          <w:rtl/>
          <w:lang w:eastAsia="de-DE"/>
        </w:rPr>
        <w:t xml:space="preserve"> </w:t>
      </w:r>
      <w:r w:rsidRPr="009356DC">
        <w:rPr>
          <w:rFonts w:eastAsia="Times New Roman" w:cs="Times New Roman"/>
          <w:lang w:eastAsia="de-DE"/>
        </w:rPr>
        <w:t>(die Versammlung/Gemeinde) von derselben Wurzel stammt. Diese figura etymologica (</w:t>
      </w:r>
      <w:r w:rsidRPr="009356DC">
        <w:rPr>
          <w:rFonts w:eastAsia="Times New Roman" w:cs="Times New Roman"/>
          <w:b/>
          <w:bCs/>
          <w:rtl/>
          <w:lang w:eastAsia="de-DE"/>
        </w:rPr>
        <w:t>קהל</w:t>
      </w:r>
      <w:r w:rsidRPr="009356DC">
        <w:rPr>
          <w:rFonts w:eastAsia="Times New Roman" w:cs="Times New Roman"/>
          <w:rtl/>
          <w:lang w:eastAsia="de-DE"/>
        </w:rPr>
        <w:t xml:space="preserve"> </w:t>
      </w:r>
      <w:r w:rsidRPr="009356DC">
        <w:rPr>
          <w:rFonts w:eastAsia="Times New Roman" w:cs="Times New Roman"/>
          <w:lang w:eastAsia="de-DE"/>
        </w:rPr>
        <w:t xml:space="preserve">/ </w:t>
      </w:r>
      <w:r w:rsidRPr="009356DC">
        <w:rPr>
          <w:rFonts w:eastAsia="Times New Roman" w:cs="Times New Roman"/>
          <w:b/>
          <w:bCs/>
          <w:rtl/>
          <w:lang w:eastAsia="de-DE"/>
        </w:rPr>
        <w:t>קהל</w:t>
      </w:r>
      <w:r w:rsidRPr="009356DC">
        <w:rPr>
          <w:rFonts w:eastAsia="Times New Roman" w:cs="Times New Roman"/>
          <w:lang w:eastAsia="de-DE"/>
        </w:rPr>
        <w:t>) - "beim Versammeln der Versammlung" - verstärkt durch Wortspiel die spezifische Funktion und Wichtigkeit der ordnungsgemäßen Gemeindeversammlung.</w:t>
      </w:r>
    </w:p>
    <w:p w14:paraId="15FA00EC"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Das </w:t>
      </w:r>
      <w:r w:rsidRPr="009356DC">
        <w:rPr>
          <w:rFonts w:eastAsia="Times New Roman" w:cs="Times New Roman"/>
          <w:b/>
          <w:bCs/>
          <w:rtl/>
          <w:lang w:eastAsia="de-DE"/>
        </w:rPr>
        <w:t>ו</w:t>
      </w:r>
      <w:r w:rsidRPr="009356DC">
        <w:rPr>
          <w:rFonts w:eastAsia="Times New Roman" w:cs="Times New Roman"/>
          <w:rtl/>
          <w:lang w:eastAsia="de-DE"/>
        </w:rPr>
        <w:t xml:space="preserve"> </w:t>
      </w:r>
      <w:r w:rsidRPr="009356DC">
        <w:rPr>
          <w:rFonts w:eastAsia="Times New Roman" w:cs="Times New Roman"/>
          <w:lang w:eastAsia="de-DE"/>
        </w:rPr>
        <w:t>am Beginn ist hier adversativ ("aber/jedoch") und schafft einen bewussten Kontrast zu den militärischen Aufbruchsignalen der Verse 5-6. Dieser Vers soll Verwirrung zwischen verschiedenen Trompetensignalen verhindern.</w:t>
      </w:r>
    </w:p>
    <w:p w14:paraId="33020B71"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kontrastive Anweisung </w:t>
      </w:r>
      <w:r w:rsidRPr="009356DC">
        <w:rPr>
          <w:rFonts w:eastAsia="Times New Roman" w:cs="Times New Roman"/>
          <w:b/>
          <w:bCs/>
          <w:rtl/>
          <w:lang w:eastAsia="de-DE"/>
        </w:rPr>
        <w:t>תִּתְקְע֖וּ וְלֹ֥א תָרִֽיעוּ</w:t>
      </w:r>
      <w:r w:rsidRPr="009356DC">
        <w:rPr>
          <w:rFonts w:eastAsia="Times New Roman" w:cs="Times New Roman"/>
          <w:rtl/>
          <w:lang w:eastAsia="de-DE"/>
        </w:rPr>
        <w:t xml:space="preserve"> </w:t>
      </w:r>
      <w:r w:rsidRPr="009356DC">
        <w:rPr>
          <w:rFonts w:eastAsia="Times New Roman" w:cs="Times New Roman"/>
          <w:lang w:eastAsia="de-DE"/>
        </w:rPr>
        <w:t xml:space="preserve">etabliert den entscheidenden technischen Unterschied zwischen zwei fundamental verschiedenen Arten des Trompetenblasens. </w:t>
      </w:r>
      <w:r w:rsidRPr="009356DC">
        <w:rPr>
          <w:rFonts w:eastAsia="Times New Roman" w:cs="Times New Roman"/>
          <w:b/>
          <w:bCs/>
          <w:rtl/>
          <w:lang w:eastAsia="de-DE"/>
        </w:rPr>
        <w:t>תִּתְקְע֖וּ</w:t>
      </w:r>
      <w:r w:rsidRPr="009356DC">
        <w:rPr>
          <w:rFonts w:eastAsia="Times New Roman" w:cs="Times New Roman"/>
          <w:rtl/>
          <w:lang w:eastAsia="de-DE"/>
        </w:rPr>
        <w:t xml:space="preserve"> </w:t>
      </w:r>
      <w:r w:rsidRPr="009356DC">
        <w:rPr>
          <w:rFonts w:eastAsia="Times New Roman" w:cs="Times New Roman"/>
          <w:lang w:eastAsia="de-DE"/>
        </w:rPr>
        <w:t xml:space="preserve">von </w:t>
      </w:r>
      <w:r w:rsidRPr="009356DC">
        <w:rPr>
          <w:rFonts w:eastAsia="Times New Roman" w:cs="Times New Roman"/>
          <w:b/>
          <w:bCs/>
          <w:rtl/>
          <w:lang w:eastAsia="de-DE"/>
        </w:rPr>
        <w:t>תקע</w:t>
      </w:r>
      <w:r w:rsidRPr="009356DC">
        <w:rPr>
          <w:rFonts w:eastAsia="Times New Roman" w:cs="Times New Roman"/>
          <w:rtl/>
          <w:lang w:eastAsia="de-DE"/>
        </w:rPr>
        <w:t xml:space="preserve"> </w:t>
      </w:r>
      <w:r w:rsidRPr="009356DC">
        <w:rPr>
          <w:rFonts w:eastAsia="Times New Roman" w:cs="Times New Roman"/>
          <w:lang w:eastAsia="de-DE"/>
        </w:rPr>
        <w:t xml:space="preserve">(blasen/stoßen) im Qal-Imperfekt 2. maskulin Plural bezeichnet das normale, </w:t>
      </w:r>
      <w:r w:rsidRPr="009356DC">
        <w:rPr>
          <w:rFonts w:eastAsia="Times New Roman" w:cs="Times New Roman"/>
          <w:lang w:eastAsia="de-DE"/>
        </w:rPr>
        <w:lastRenderedPageBreak/>
        <w:t>gleichmäßige, anhaltende Trompetenblasen - ein klarer, ruhiger, anhaltender Ton ohne Unterbrechung.</w:t>
      </w:r>
    </w:p>
    <w:p w14:paraId="707DC03F"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rtl/>
          <w:lang w:eastAsia="de-DE"/>
        </w:rPr>
        <w:t>וְלֹ֥א תָרִֽיעוּ</w:t>
      </w:r>
      <w:r w:rsidRPr="009356DC">
        <w:rPr>
          <w:rFonts w:eastAsia="Times New Roman" w:cs="Times New Roman"/>
          <w:rtl/>
          <w:lang w:eastAsia="de-DE"/>
        </w:rPr>
        <w:t xml:space="preserve"> </w:t>
      </w:r>
      <w:r w:rsidRPr="009356DC">
        <w:rPr>
          <w:rFonts w:eastAsia="Times New Roman" w:cs="Times New Roman"/>
          <w:lang w:eastAsia="de-DE"/>
        </w:rPr>
        <w:t xml:space="preserve">mit der Negation </w:t>
      </w:r>
      <w:r w:rsidRPr="009356DC">
        <w:rPr>
          <w:rFonts w:eastAsia="Times New Roman" w:cs="Times New Roman"/>
          <w:b/>
          <w:bCs/>
          <w:rtl/>
          <w:lang w:eastAsia="de-DE"/>
        </w:rPr>
        <w:t>לֹ֥א</w:t>
      </w:r>
      <w:r w:rsidRPr="009356DC">
        <w:rPr>
          <w:rFonts w:eastAsia="Times New Roman" w:cs="Times New Roman"/>
          <w:rtl/>
          <w:lang w:eastAsia="de-DE"/>
        </w:rPr>
        <w:t xml:space="preserve"> </w:t>
      </w:r>
      <w:r w:rsidRPr="009356DC">
        <w:rPr>
          <w:rFonts w:eastAsia="Times New Roman" w:cs="Times New Roman"/>
          <w:lang w:eastAsia="de-DE"/>
        </w:rPr>
        <w:t xml:space="preserve">und </w:t>
      </w:r>
      <w:r w:rsidRPr="009356DC">
        <w:rPr>
          <w:rFonts w:eastAsia="Times New Roman" w:cs="Times New Roman"/>
          <w:b/>
          <w:bCs/>
          <w:rtl/>
          <w:lang w:eastAsia="de-DE"/>
        </w:rPr>
        <w:t>תָרִֽיעוּ</w:t>
      </w:r>
      <w:r w:rsidRPr="009356DC">
        <w:rPr>
          <w:rFonts w:eastAsia="Times New Roman" w:cs="Times New Roman"/>
          <w:rtl/>
          <w:lang w:eastAsia="de-DE"/>
        </w:rPr>
        <w:t xml:space="preserve"> </w:t>
      </w:r>
      <w:r w:rsidRPr="009356DC">
        <w:rPr>
          <w:rFonts w:eastAsia="Times New Roman" w:cs="Times New Roman"/>
          <w:lang w:eastAsia="de-DE"/>
        </w:rPr>
        <w:t xml:space="preserve">von </w:t>
      </w:r>
      <w:r w:rsidRPr="009356DC">
        <w:rPr>
          <w:rFonts w:eastAsia="Times New Roman" w:cs="Times New Roman"/>
          <w:b/>
          <w:bCs/>
          <w:rtl/>
          <w:lang w:eastAsia="de-DE"/>
        </w:rPr>
        <w:t>רוע</w:t>
      </w:r>
      <w:r w:rsidRPr="009356DC">
        <w:rPr>
          <w:rFonts w:eastAsia="Times New Roman" w:cs="Times New Roman"/>
          <w:rtl/>
          <w:lang w:eastAsia="de-DE"/>
        </w:rPr>
        <w:t xml:space="preserve"> </w:t>
      </w:r>
      <w:r w:rsidRPr="009356DC">
        <w:rPr>
          <w:rFonts w:eastAsia="Times New Roman" w:cs="Times New Roman"/>
          <w:lang w:eastAsia="de-DE"/>
        </w:rPr>
        <w:t xml:space="preserve">(Lärm machen/jubeln) im Hiph'il-Imperfekt 2. maskulin Plural verbietet explizit das </w:t>
      </w:r>
      <w:r w:rsidRPr="009356DC">
        <w:rPr>
          <w:rFonts w:eastAsia="Times New Roman" w:cs="Times New Roman"/>
          <w:b/>
          <w:bCs/>
          <w:rtl/>
          <w:lang w:eastAsia="de-DE"/>
        </w:rPr>
        <w:t>תְּרוּעָ֥ה</w:t>
      </w:r>
      <w:r w:rsidRPr="009356DC">
        <w:rPr>
          <w:rFonts w:eastAsia="Times New Roman" w:cs="Times New Roman"/>
          <w:lang w:eastAsia="de-DE"/>
        </w:rPr>
        <w:t xml:space="preserve">-Blasen für Versammlungszwecke.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sind kurze, unterbrochene, lärmende, dringende Stöße, die Alarm oder sofortige Aktion signalisieren.</w:t>
      </w:r>
    </w:p>
    <w:p w14:paraId="234514B1"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Diese technische Unterscheidung ist sowohl liturgisch als auch militärisch von enormer Bedeutung:</w:t>
      </w:r>
    </w:p>
    <w:p w14:paraId="2C37A20B" w14:textId="77777777" w:rsidR="009356DC" w:rsidRPr="009356DC" w:rsidRDefault="009356DC" w:rsidP="00C15C06">
      <w:pPr>
        <w:numPr>
          <w:ilvl w:val="0"/>
          <w:numId w:val="2"/>
        </w:numPr>
        <w:spacing w:before="100" w:beforeAutospacing="1" w:after="100" w:afterAutospacing="1" w:line="240" w:lineRule="auto"/>
        <w:rPr>
          <w:rFonts w:eastAsia="Times New Roman" w:cs="Times New Roman"/>
          <w:lang w:eastAsia="de-DE"/>
        </w:rPr>
      </w:pPr>
      <w:r w:rsidRPr="009356DC">
        <w:rPr>
          <w:rFonts w:eastAsia="Times New Roman" w:cs="Times New Roman"/>
          <w:b/>
          <w:bCs/>
          <w:rtl/>
          <w:lang w:eastAsia="de-DE"/>
        </w:rPr>
        <w:t>תְּקִיעָה</w:t>
      </w:r>
      <w:r w:rsidRPr="009356DC">
        <w:rPr>
          <w:rFonts w:eastAsia="Times New Roman" w:cs="Times New Roman"/>
          <w:rtl/>
          <w:lang w:eastAsia="de-DE"/>
        </w:rPr>
        <w:t xml:space="preserve"> </w:t>
      </w:r>
      <w:r w:rsidRPr="009356DC">
        <w:rPr>
          <w:rFonts w:eastAsia="Times New Roman" w:cs="Times New Roman"/>
          <w:lang w:eastAsia="de-DE"/>
        </w:rPr>
        <w:t>(anhaltende Töne) = friedliche, religiöse, zivile Signale für Versammlungen</w:t>
      </w:r>
    </w:p>
    <w:p w14:paraId="6D504E5E" w14:textId="77777777" w:rsidR="009356DC" w:rsidRPr="009356DC" w:rsidRDefault="009356DC" w:rsidP="00C15C06">
      <w:pPr>
        <w:numPr>
          <w:ilvl w:val="0"/>
          <w:numId w:val="2"/>
        </w:numPr>
        <w:spacing w:before="100" w:beforeAutospacing="1" w:after="100" w:afterAutospacing="1" w:line="240" w:lineRule="auto"/>
        <w:rPr>
          <w:rFonts w:eastAsia="Times New Roman" w:cs="Times New Roman"/>
          <w:lang w:eastAsia="de-DE"/>
        </w:rPr>
      </w:pP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(unterbrochene Lärmtöne) = militärische, dringende Signale für Bewegungsbefehle</w:t>
      </w:r>
    </w:p>
    <w:p w14:paraId="3CDB6C34"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psychologische Wirkung ist wichtig: </w:t>
      </w:r>
      <w:r w:rsidRPr="009356DC">
        <w:rPr>
          <w:rFonts w:eastAsia="Times New Roman" w:cs="Times New Roman"/>
          <w:b/>
          <w:bCs/>
          <w:rtl/>
          <w:lang w:eastAsia="de-DE"/>
        </w:rPr>
        <w:t>תְּקִיעוֹת</w:t>
      </w:r>
      <w:r w:rsidRPr="009356DC">
        <w:rPr>
          <w:rFonts w:eastAsia="Times New Roman" w:cs="Times New Roman"/>
          <w:rtl/>
          <w:lang w:eastAsia="de-DE"/>
        </w:rPr>
        <w:t xml:space="preserve"> </w:t>
      </w:r>
      <w:r w:rsidRPr="009356DC">
        <w:rPr>
          <w:rFonts w:eastAsia="Times New Roman" w:cs="Times New Roman"/>
          <w:lang w:eastAsia="de-DE"/>
        </w:rPr>
        <w:t xml:space="preserve">(anhaltende Töne) schaffen eine ruhige, besinnliche Atmosphäre, die für religiöse Versammlungen und Gemeinschaftsberatungen geeignet ist. </w:t>
      </w:r>
      <w:r w:rsidRPr="009356DC">
        <w:rPr>
          <w:rFonts w:eastAsia="Times New Roman" w:cs="Times New Roman"/>
          <w:b/>
          <w:bCs/>
          <w:rtl/>
          <w:lang w:eastAsia="de-DE"/>
        </w:rPr>
        <w:t>תְּרוּעוֹת</w:t>
      </w:r>
      <w:r w:rsidRPr="009356DC">
        <w:rPr>
          <w:rFonts w:eastAsia="Times New Roman" w:cs="Times New Roman"/>
          <w:rtl/>
          <w:lang w:eastAsia="de-DE"/>
        </w:rPr>
        <w:t xml:space="preserve"> </w:t>
      </w:r>
      <w:r w:rsidRPr="009356DC">
        <w:rPr>
          <w:rFonts w:eastAsia="Times New Roman" w:cs="Times New Roman"/>
          <w:lang w:eastAsia="de-DE"/>
        </w:rPr>
        <w:t>(Lärmsignale) schaffen Dringlichkeit und Bereitschaft zur sofortigen Aktion, was für militärische Aufbrüche erforderlich ist.</w:t>
      </w:r>
    </w:p>
    <w:p w14:paraId="48D2CAB3"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Diese Unterscheidung verhindert gefährliche Verwirrung: wenn das Volk </w:t>
      </w:r>
      <w:r w:rsidRPr="009356DC">
        <w:rPr>
          <w:rFonts w:eastAsia="Times New Roman" w:cs="Times New Roman"/>
          <w:b/>
          <w:bCs/>
          <w:rtl/>
          <w:lang w:eastAsia="de-DE"/>
        </w:rPr>
        <w:t>תְּרוּעָ֥ה</w:t>
      </w:r>
      <w:r w:rsidRPr="009356DC">
        <w:rPr>
          <w:rFonts w:eastAsia="Times New Roman" w:cs="Times New Roman"/>
          <w:lang w:eastAsia="de-DE"/>
        </w:rPr>
        <w:t xml:space="preserve">-Signale hört, weiß es, dass Bewegungsbefehle folgen und bereitet sich auf Aufbruch vor. Wenn es </w:t>
      </w:r>
      <w:r w:rsidRPr="009356DC">
        <w:rPr>
          <w:rFonts w:eastAsia="Times New Roman" w:cs="Times New Roman"/>
          <w:b/>
          <w:bCs/>
          <w:rtl/>
          <w:lang w:eastAsia="de-DE"/>
        </w:rPr>
        <w:t>תְּקִיעָה</w:t>
      </w:r>
      <w:r w:rsidRPr="009356DC">
        <w:rPr>
          <w:rFonts w:eastAsia="Times New Roman" w:cs="Times New Roman"/>
          <w:lang w:eastAsia="de-DE"/>
        </w:rPr>
        <w:t>-Signale hört, weiß es, dass Versammlungen stattfinden und bereitet sich auf zivile/religiöse Aktivitäten vor.</w:t>
      </w:r>
    </w:p>
    <w:p w14:paraId="59B71DA0"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Die LXX</w:t>
      </w:r>
      <w:r w:rsidRPr="009356DC">
        <w:rPr>
          <w:rFonts w:eastAsia="Times New Roman" w:cs="Times New Roman"/>
          <w:lang w:eastAsia="de-DE"/>
        </w:rPr>
        <w:t xml:space="preserve"> übersetzt </w:t>
      </w:r>
      <w:r w:rsidRPr="009356DC">
        <w:rPr>
          <w:rFonts w:eastAsia="Times New Roman" w:cs="Times New Roman"/>
          <w:b/>
          <w:bCs/>
          <w:rtl/>
          <w:lang w:eastAsia="de-DE"/>
        </w:rPr>
        <w:t>הַקְהִ֖יל</w:t>
      </w:r>
      <w:r w:rsidRPr="009356DC">
        <w:rPr>
          <w:rFonts w:eastAsia="Times New Roman" w:cs="Times New Roman"/>
          <w:rtl/>
          <w:lang w:eastAsia="de-DE"/>
        </w:rPr>
        <w:t xml:space="preserve"> </w:t>
      </w:r>
      <w:r w:rsidRPr="009356DC">
        <w:rPr>
          <w:rFonts w:eastAsia="Times New Roman" w:cs="Times New Roman"/>
          <w:lang w:eastAsia="de-DE"/>
        </w:rPr>
        <w:t xml:space="preserve">mit ἐκκλησιάσαι (eine Versammlung einberufen), was später zur technischen Bezeichnung </w:t>
      </w:r>
      <w:r w:rsidRPr="009356DC">
        <w:rPr>
          <w:rFonts w:eastAsia="Times New Roman" w:cs="Times New Roman"/>
          <w:b/>
          <w:bCs/>
          <w:lang w:eastAsia="de-DE"/>
        </w:rPr>
        <w:t>ἐκκλησία</w:t>
      </w:r>
      <w:r w:rsidRPr="009356DC">
        <w:rPr>
          <w:rFonts w:eastAsia="Times New Roman" w:cs="Times New Roman"/>
          <w:lang w:eastAsia="de-DE"/>
        </w:rPr>
        <w:t xml:space="preserve"> (Kirche/Gemeinde) im Neuen Testament führt. </w:t>
      </w:r>
      <w:r w:rsidRPr="009356DC">
        <w:rPr>
          <w:rFonts w:eastAsia="Times New Roman" w:cs="Times New Roman"/>
          <w:b/>
          <w:bCs/>
          <w:rtl/>
          <w:lang w:eastAsia="de-DE"/>
        </w:rPr>
        <w:t>תָרִֽיעוּ</w:t>
      </w:r>
      <w:r w:rsidRPr="009356DC">
        <w:rPr>
          <w:rFonts w:eastAsia="Times New Roman" w:cs="Times New Roman"/>
          <w:rtl/>
          <w:lang w:eastAsia="de-DE"/>
        </w:rPr>
        <w:t xml:space="preserve"> </w:t>
      </w:r>
      <w:r w:rsidRPr="009356DC">
        <w:rPr>
          <w:rFonts w:eastAsia="Times New Roman" w:cs="Times New Roman"/>
          <w:lang w:eastAsia="de-DE"/>
        </w:rPr>
        <w:t>wird mit σημαντεῖτε (ihr sollt Signale geben) übersetzt, was weniger den Lärmcharakter als die Signalfunktion betont.</w:t>
      </w:r>
    </w:p>
    <w:p w14:paraId="60F872D7"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 Satzstruktur zeigt eine präzise liturgische Differenzierung mit expliziter Kontrastierung durch Negation. Diese Anweisung ist fundamental für die Verhinderung von Kommunikationsmissverständnissen in einer großen, organisierten Gemeinschaft.</w:t>
      </w:r>
    </w:p>
    <w:p w14:paraId="365A9BA4" w14:textId="41E135A6" w:rsid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Die Weisheit dieser Unterscheidung hat sich in der jüdischen liturgischen Tradition erhalten, wo verschiedene </w:t>
      </w:r>
      <w:r w:rsidRPr="009356DC">
        <w:rPr>
          <w:rFonts w:eastAsia="Times New Roman" w:cs="Times New Roman"/>
          <w:b/>
          <w:bCs/>
          <w:rtl/>
          <w:lang w:eastAsia="de-DE"/>
        </w:rPr>
        <w:t>שופר</w:t>
      </w:r>
      <w:r w:rsidRPr="009356DC">
        <w:rPr>
          <w:rFonts w:eastAsia="Times New Roman" w:cs="Times New Roman"/>
          <w:lang w:eastAsia="de-DE"/>
        </w:rPr>
        <w:t xml:space="preserve">-Töne (Schofar-Töne) an Rosch Haschana verschiedene spirituelle Bedeutungen haben: </w:t>
      </w:r>
      <w:r w:rsidRPr="009356DC">
        <w:rPr>
          <w:rFonts w:eastAsia="Times New Roman" w:cs="Times New Roman"/>
          <w:b/>
          <w:bCs/>
          <w:rtl/>
          <w:lang w:eastAsia="de-DE"/>
        </w:rPr>
        <w:t>תְּקִיעָה</w:t>
      </w:r>
      <w:r w:rsidRPr="009356DC">
        <w:rPr>
          <w:rFonts w:eastAsia="Times New Roman" w:cs="Times New Roman"/>
          <w:rtl/>
          <w:lang w:eastAsia="de-DE"/>
        </w:rPr>
        <w:t xml:space="preserve"> </w:t>
      </w:r>
      <w:r w:rsidRPr="009356DC">
        <w:rPr>
          <w:rFonts w:eastAsia="Times New Roman" w:cs="Times New Roman"/>
          <w:lang w:eastAsia="de-DE"/>
        </w:rPr>
        <w:t xml:space="preserve">(anhaltend), </w:t>
      </w:r>
      <w:r w:rsidRPr="009356DC">
        <w:rPr>
          <w:rFonts w:eastAsia="Times New Roman" w:cs="Times New Roman"/>
          <w:b/>
          <w:bCs/>
          <w:rtl/>
          <w:lang w:eastAsia="de-DE"/>
        </w:rPr>
        <w:t>שְׁבָרִים</w:t>
      </w:r>
      <w:r w:rsidRPr="009356DC">
        <w:rPr>
          <w:rFonts w:eastAsia="Times New Roman" w:cs="Times New Roman"/>
          <w:rtl/>
          <w:lang w:eastAsia="de-DE"/>
        </w:rPr>
        <w:t xml:space="preserve"> </w:t>
      </w:r>
      <w:r w:rsidRPr="009356DC">
        <w:rPr>
          <w:rFonts w:eastAsia="Times New Roman" w:cs="Times New Roman"/>
          <w:lang w:eastAsia="de-DE"/>
        </w:rPr>
        <w:t xml:space="preserve">(gebrochen), und </w:t>
      </w:r>
      <w:r w:rsidRPr="009356DC">
        <w:rPr>
          <w:rFonts w:eastAsia="Times New Roman" w:cs="Times New Roman"/>
          <w:b/>
          <w:bCs/>
          <w:rtl/>
          <w:lang w:eastAsia="de-DE"/>
        </w:rPr>
        <w:t>תְּרוּעָ֥ה</w:t>
      </w:r>
      <w:r w:rsidRPr="009356DC">
        <w:rPr>
          <w:rFonts w:eastAsia="Times New Roman" w:cs="Times New Roman"/>
          <w:rtl/>
          <w:lang w:eastAsia="de-DE"/>
        </w:rPr>
        <w:t xml:space="preserve"> </w:t>
      </w:r>
      <w:r w:rsidRPr="009356DC">
        <w:rPr>
          <w:rFonts w:eastAsia="Times New Roman" w:cs="Times New Roman"/>
          <w:lang w:eastAsia="de-DE"/>
        </w:rPr>
        <w:t>(sehr schnell unterbrochen). Diese Traditionen gehen direkt auf die hier etablierten Unterscheidungen zurück.</w:t>
      </w:r>
    </w:p>
    <w:p w14:paraId="4163F899" w14:textId="7EF398A3" w:rsidR="00652178" w:rsidRDefault="00652178" w:rsidP="00F06C27">
      <w:pPr>
        <w:pStyle w:val="berschrift4"/>
        <w:rPr>
          <w:rStyle w:val="Fett"/>
          <w:b w:val="0"/>
          <w:bCs w:val="0"/>
        </w:rPr>
      </w:pPr>
      <w:r w:rsidRPr="00F06C27">
        <w:rPr>
          <w:rStyle w:val="Fett"/>
          <w:b w:val="0"/>
          <w:bCs w:val="0"/>
        </w:rPr>
        <w:t xml:space="preserve">Exkurs: </w:t>
      </w:r>
      <w:r w:rsidRPr="00F06C27">
        <w:rPr>
          <w:rStyle w:val="Fett"/>
          <w:b w:val="0"/>
          <w:bCs w:val="0"/>
          <w:i w:val="0"/>
          <w:iCs w:val="0"/>
          <w:rtl/>
        </w:rPr>
        <w:t>תְּקִיעָה</w:t>
      </w:r>
      <w:r w:rsidRPr="00F06C27">
        <w:rPr>
          <w:rStyle w:val="Fett"/>
          <w:b w:val="0"/>
          <w:bCs w:val="0"/>
        </w:rPr>
        <w:t xml:space="preserve"> und </w:t>
      </w:r>
      <w:r w:rsidRPr="00F06C27">
        <w:rPr>
          <w:rStyle w:val="Fett"/>
          <w:b w:val="0"/>
          <w:bCs w:val="0"/>
          <w:i w:val="0"/>
          <w:iCs w:val="0"/>
          <w:rtl/>
        </w:rPr>
        <w:t>תְּרוּעָה</w:t>
      </w:r>
      <w:r w:rsidRPr="00F06C27">
        <w:rPr>
          <w:rStyle w:val="Fett"/>
          <w:b w:val="0"/>
          <w:bCs w:val="0"/>
        </w:rPr>
        <w:t xml:space="preserve"> in der jüdischen Liturgie</w:t>
      </w:r>
    </w:p>
    <w:p w14:paraId="6233924F" w14:textId="77777777" w:rsidR="00F06C27" w:rsidRPr="00F06C27" w:rsidRDefault="00F06C27" w:rsidP="00F06C27"/>
    <w:p w14:paraId="3344D096" w14:textId="3A19C1E2" w:rsidR="00652178" w:rsidRDefault="00652178" w:rsidP="003B44ED">
      <w:pPr>
        <w:pStyle w:val="KeinLeerraum"/>
        <w:rPr>
          <w:rFonts w:ascii="Segoe UI" w:hAnsi="Segoe UI" w:cs="Segoe UI"/>
          <w:color w:val="141413"/>
          <w:sz w:val="21"/>
          <w:szCs w:val="21"/>
          <w:shd w:val="clear" w:color="auto" w:fill="FAF9F5"/>
        </w:rPr>
      </w:pPr>
      <w:r>
        <w:rPr>
          <w:rStyle w:val="Fett"/>
        </w:rPr>
        <w:t>Die Unterscheidung in Numeri 10:</w:t>
      </w:r>
      <w:r w:rsidRPr="00652178">
        <w:rPr>
          <w:rFonts w:ascii="Segoe UI" w:hAnsi="Segoe UI" w:cs="Segoe UI"/>
          <w:color w:val="141413"/>
          <w:sz w:val="21"/>
          <w:szCs w:val="21"/>
          <w:shd w:val="clear" w:color="auto" w:fill="FAF9F5"/>
        </w:rPr>
        <w:t xml:space="preserve"> </w:t>
      </w:r>
    </w:p>
    <w:p w14:paraId="092FC177" w14:textId="77777777" w:rsidR="003B44ED" w:rsidRDefault="003B44ED" w:rsidP="003B44ED">
      <w:pPr>
        <w:pStyle w:val="KeinLeerraum"/>
      </w:pPr>
    </w:p>
    <w:tbl>
      <w:tblPr>
        <w:tblStyle w:val="Tabellenraster"/>
        <w:tblW w:w="4994" w:type="pct"/>
        <w:tblLook w:val="04A0" w:firstRow="1" w:lastRow="0" w:firstColumn="1" w:lastColumn="0" w:noHBand="0" w:noVBand="1"/>
      </w:tblPr>
      <w:tblGrid>
        <w:gridCol w:w="1791"/>
        <w:gridCol w:w="1270"/>
        <w:gridCol w:w="2911"/>
        <w:gridCol w:w="3079"/>
      </w:tblGrid>
      <w:tr w:rsidR="00652178" w14:paraId="2531EF09" w14:textId="77777777" w:rsidTr="00652178">
        <w:tc>
          <w:tcPr>
            <w:tcW w:w="1003" w:type="pct"/>
          </w:tcPr>
          <w:p w14:paraId="16F2CAA7" w14:textId="3ED6EB63"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b/>
                <w:bCs/>
                <w:color w:val="141413"/>
                <w:shd w:val="clear" w:color="auto" w:fill="FAF9F5"/>
              </w:rPr>
              <w:t>Signal</w:t>
            </w:r>
          </w:p>
        </w:tc>
        <w:tc>
          <w:tcPr>
            <w:tcW w:w="661" w:type="pct"/>
          </w:tcPr>
          <w:p w14:paraId="7B552D73" w14:textId="631C71FC"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b/>
                <w:bCs/>
                <w:color w:val="141413"/>
                <w:shd w:val="clear" w:color="auto" w:fill="FAF9F5"/>
              </w:rPr>
              <w:t>Hebräisch</w:t>
            </w:r>
          </w:p>
        </w:tc>
        <w:tc>
          <w:tcPr>
            <w:tcW w:w="1622" w:type="pct"/>
          </w:tcPr>
          <w:p w14:paraId="0DBD8B3E" w14:textId="34191722"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b/>
                <w:bCs/>
                <w:color w:val="141413"/>
                <w:shd w:val="clear" w:color="auto" w:fill="FAF9F5"/>
              </w:rPr>
              <w:t>Charakteristik</w:t>
            </w:r>
          </w:p>
        </w:tc>
        <w:tc>
          <w:tcPr>
            <w:tcW w:w="1714" w:type="pct"/>
          </w:tcPr>
          <w:p w14:paraId="3B9383BE" w14:textId="72FF2A80"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b/>
                <w:bCs/>
                <w:color w:val="141413"/>
                <w:shd w:val="clear" w:color="auto" w:fill="FAF9F5"/>
              </w:rPr>
              <w:t>Zweck</w:t>
            </w:r>
          </w:p>
        </w:tc>
      </w:tr>
      <w:tr w:rsidR="00652178" w14:paraId="0915CB26" w14:textId="77777777" w:rsidTr="00652178">
        <w:tc>
          <w:tcPr>
            <w:tcW w:w="1003" w:type="pct"/>
          </w:tcPr>
          <w:p w14:paraId="07ABEC0A" w14:textId="1981C76A"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Style w:val="Fett"/>
                <w:rFonts w:cs="Times New Roman"/>
                <w:rtl/>
              </w:rPr>
              <w:t>תְּקִיעָה</w:t>
            </w:r>
            <w:r w:rsidRPr="00652178">
              <w:rPr>
                <w:rFonts w:cs="Times New Roman"/>
                <w:rtl/>
              </w:rPr>
              <w:t xml:space="preserve"> </w:t>
            </w:r>
            <w:r w:rsidRPr="00652178">
              <w:rPr>
                <w:rFonts w:cs="Times New Roman"/>
              </w:rPr>
              <w:t xml:space="preserve"> (Teqi'ah)</w:t>
            </w:r>
          </w:p>
        </w:tc>
        <w:tc>
          <w:tcPr>
            <w:tcW w:w="661" w:type="pct"/>
          </w:tcPr>
          <w:p w14:paraId="698ADED9" w14:textId="44DE64F1"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color w:val="141413"/>
              </w:rPr>
              <w:t>V. 3-4, 7</w:t>
            </w:r>
          </w:p>
        </w:tc>
        <w:tc>
          <w:tcPr>
            <w:tcW w:w="1622" w:type="pct"/>
          </w:tcPr>
          <w:p w14:paraId="0F9412E9" w14:textId="4543B138"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rPr>
              <w:t xml:space="preserve">Langer, gleichmäßiger, </w:t>
            </w:r>
            <w:r w:rsidRPr="00652178">
              <w:rPr>
                <w:rStyle w:val="Fett"/>
                <w:rFonts w:cs="Times New Roman"/>
              </w:rPr>
              <w:t>friedlicher</w:t>
            </w:r>
            <w:r w:rsidRPr="00652178">
              <w:rPr>
                <w:rFonts w:cs="Times New Roman"/>
              </w:rPr>
              <w:t xml:space="preserve"> Ton</w:t>
            </w:r>
          </w:p>
        </w:tc>
        <w:tc>
          <w:tcPr>
            <w:tcW w:w="1714" w:type="pct"/>
          </w:tcPr>
          <w:p w14:paraId="3EA63396" w14:textId="25C613FB"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rPr>
              <w:t>Versammlungen (Vollversammlung / Führer)</w:t>
            </w:r>
          </w:p>
        </w:tc>
      </w:tr>
      <w:tr w:rsidR="00652178" w14:paraId="6627FAE7" w14:textId="77777777" w:rsidTr="00652178">
        <w:tc>
          <w:tcPr>
            <w:tcW w:w="1003" w:type="pct"/>
          </w:tcPr>
          <w:p w14:paraId="241F397D" w14:textId="11C49CCB"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Style w:val="Fett"/>
                <w:rFonts w:cs="Times New Roman"/>
              </w:rPr>
              <w:t xml:space="preserve"> </w:t>
            </w:r>
            <w:r w:rsidRPr="00652178">
              <w:rPr>
                <w:rStyle w:val="Fett"/>
                <w:rFonts w:cs="Times New Roman"/>
                <w:rtl/>
              </w:rPr>
              <w:t>תְּרוּעָה</w:t>
            </w:r>
            <w:r w:rsidRPr="00652178">
              <w:rPr>
                <w:rFonts w:cs="Times New Roman"/>
                <w:rtl/>
              </w:rPr>
              <w:t xml:space="preserve"> </w:t>
            </w:r>
            <w:r w:rsidRPr="00652178">
              <w:rPr>
                <w:rFonts w:cs="Times New Roman"/>
              </w:rPr>
              <w:t>(Teru'ah)</w:t>
            </w:r>
          </w:p>
        </w:tc>
        <w:tc>
          <w:tcPr>
            <w:tcW w:w="661" w:type="pct"/>
          </w:tcPr>
          <w:p w14:paraId="5CED2B3A" w14:textId="6B456E53"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color w:val="141413"/>
                <w:shd w:val="clear" w:color="auto" w:fill="FAF9F5"/>
              </w:rPr>
              <w:t>V. 5-6</w:t>
            </w:r>
          </w:p>
        </w:tc>
        <w:tc>
          <w:tcPr>
            <w:tcW w:w="1622" w:type="pct"/>
          </w:tcPr>
          <w:p w14:paraId="11A04077" w14:textId="48CC755E"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rPr>
              <w:t xml:space="preserve">Kurze, unterbrochene, </w:t>
            </w:r>
            <w:r w:rsidRPr="00652178">
              <w:rPr>
                <w:rStyle w:val="Fett"/>
                <w:rFonts w:cs="Times New Roman"/>
              </w:rPr>
              <w:t>alarmierende</w:t>
            </w:r>
            <w:r w:rsidRPr="00652178">
              <w:rPr>
                <w:rFonts w:cs="Times New Roman"/>
              </w:rPr>
              <w:t xml:space="preserve"> Stöße</w:t>
            </w:r>
          </w:p>
        </w:tc>
        <w:tc>
          <w:tcPr>
            <w:tcW w:w="1714" w:type="pct"/>
          </w:tcPr>
          <w:p w14:paraId="4BD5DA64" w14:textId="14E76C57" w:rsidR="00652178" w:rsidRPr="00652178" w:rsidRDefault="00652178" w:rsidP="009356DC">
            <w:pPr>
              <w:spacing w:before="100" w:beforeAutospacing="1" w:after="100" w:afterAutospacing="1" w:line="240" w:lineRule="auto"/>
              <w:rPr>
                <w:rFonts w:eastAsia="Times New Roman" w:cs="Times New Roman"/>
                <w:lang w:eastAsia="de-DE"/>
              </w:rPr>
            </w:pPr>
            <w:r w:rsidRPr="00652178">
              <w:rPr>
                <w:rFonts w:cs="Times New Roman"/>
              </w:rPr>
              <w:t>Militärische Aufbruchssignale</w:t>
            </w:r>
          </w:p>
        </w:tc>
      </w:tr>
    </w:tbl>
    <w:p w14:paraId="0D586CCC" w14:textId="77777777" w:rsidR="00652178" w:rsidRDefault="00652178" w:rsidP="00652178">
      <w:pPr>
        <w:pStyle w:val="whitespace-normal"/>
      </w:pPr>
      <w:r>
        <w:rPr>
          <w:rStyle w:val="Fett"/>
        </w:rPr>
        <w:lastRenderedPageBreak/>
        <w:t>Spätere liturgische Entwicklung:</w:t>
      </w:r>
    </w:p>
    <w:p w14:paraId="14528B1B" w14:textId="77777777" w:rsidR="00652178" w:rsidRDefault="00652178" w:rsidP="003B44ED">
      <w:pPr>
        <w:pStyle w:val="KeinLeerraum"/>
      </w:pPr>
      <w:r>
        <w:rPr>
          <w:rStyle w:val="Fett"/>
        </w:rPr>
        <w:t>1. Schofar-Töne an Rosch Haschana:</w:t>
      </w:r>
    </w:p>
    <w:p w14:paraId="3DAF38BD" w14:textId="20F2E074" w:rsidR="00652178" w:rsidRDefault="00652178" w:rsidP="003B44ED">
      <w:pPr>
        <w:pStyle w:val="KeinLeerraum"/>
      </w:pPr>
      <w:r>
        <w:t>Die drei Schofar-Töne basieren direkt auf Num 10:</w:t>
      </w:r>
    </w:p>
    <w:p w14:paraId="20997492" w14:textId="77777777" w:rsidR="003B44ED" w:rsidRDefault="003B44ED" w:rsidP="003B44ED">
      <w:pPr>
        <w:pStyle w:val="KeinLeerraum"/>
      </w:pPr>
    </w:p>
    <w:tbl>
      <w:tblPr>
        <w:tblStyle w:val="Tabellenraster"/>
        <w:tblW w:w="4994" w:type="pct"/>
        <w:tblLook w:val="04A0" w:firstRow="1" w:lastRow="0" w:firstColumn="1" w:lastColumn="0" w:noHBand="0" w:noVBand="1"/>
      </w:tblPr>
      <w:tblGrid>
        <w:gridCol w:w="2122"/>
        <w:gridCol w:w="4395"/>
        <w:gridCol w:w="2534"/>
      </w:tblGrid>
      <w:tr w:rsidR="00652178" w14:paraId="6872E679" w14:textId="77777777" w:rsidTr="00652178">
        <w:tc>
          <w:tcPr>
            <w:tcW w:w="1172" w:type="pct"/>
          </w:tcPr>
          <w:p w14:paraId="03CD0015" w14:textId="7A20DDF6"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rPr>
                <w:rFonts w:ascii="Segoe UI" w:hAnsi="Segoe UI" w:cs="Segoe UI"/>
                <w:b/>
                <w:bCs/>
                <w:color w:val="141413"/>
                <w:sz w:val="21"/>
                <w:szCs w:val="21"/>
                <w:shd w:val="clear" w:color="auto" w:fill="FAF9F5"/>
              </w:rPr>
              <w:t>Ton</w:t>
            </w:r>
          </w:p>
        </w:tc>
        <w:tc>
          <w:tcPr>
            <w:tcW w:w="2428" w:type="pct"/>
          </w:tcPr>
          <w:p w14:paraId="6A88CDDD" w14:textId="2BFFB703"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rPr>
                <w:rFonts w:ascii="Segoe UI" w:hAnsi="Segoe UI" w:cs="Segoe UI"/>
                <w:b/>
                <w:bCs/>
                <w:color w:val="141413"/>
                <w:sz w:val="21"/>
                <w:szCs w:val="21"/>
                <w:shd w:val="clear" w:color="auto" w:fill="FAF9F5"/>
              </w:rPr>
              <w:t>Beschreibung</w:t>
            </w:r>
          </w:p>
        </w:tc>
        <w:tc>
          <w:tcPr>
            <w:tcW w:w="1400" w:type="pct"/>
          </w:tcPr>
          <w:p w14:paraId="1D4E85E2" w14:textId="5D28B999"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rPr>
                <w:rFonts w:ascii="Segoe UI" w:hAnsi="Segoe UI" w:cs="Segoe UI"/>
                <w:b/>
                <w:bCs/>
                <w:color w:val="141413"/>
                <w:sz w:val="21"/>
                <w:szCs w:val="21"/>
                <w:shd w:val="clear" w:color="auto" w:fill="FAF9F5"/>
              </w:rPr>
              <w:t>Biblische Wurzel</w:t>
            </w:r>
          </w:p>
        </w:tc>
      </w:tr>
      <w:tr w:rsidR="00652178" w14:paraId="747494B6" w14:textId="77777777" w:rsidTr="00652178">
        <w:tc>
          <w:tcPr>
            <w:tcW w:w="1172" w:type="pct"/>
          </w:tcPr>
          <w:p w14:paraId="1B0092B7" w14:textId="33382F70"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rPr>
                <w:rStyle w:val="Fett"/>
                <w:rtl/>
              </w:rPr>
              <w:t>תְּקִיעָה</w:t>
            </w:r>
            <w:r>
              <w:rPr>
                <w:rtl/>
              </w:rPr>
              <w:t xml:space="preserve"> </w:t>
            </w:r>
            <w:r>
              <w:t xml:space="preserve"> (Teqi'ah)</w:t>
            </w:r>
          </w:p>
        </w:tc>
        <w:tc>
          <w:tcPr>
            <w:tcW w:w="2428" w:type="pct"/>
          </w:tcPr>
          <w:p w14:paraId="00093965" w14:textId="0A37F5AC"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t>Langer, anhaltender Ton (9 Schläge)</w:t>
            </w:r>
          </w:p>
        </w:tc>
        <w:tc>
          <w:tcPr>
            <w:tcW w:w="1400" w:type="pct"/>
          </w:tcPr>
          <w:p w14:paraId="7CEB9308" w14:textId="3779A4F0"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t>Num 10,3-4 (Versammlungssignal)</w:t>
            </w:r>
          </w:p>
        </w:tc>
      </w:tr>
      <w:tr w:rsidR="00652178" w14:paraId="7B9E8FFC" w14:textId="77777777" w:rsidTr="00652178">
        <w:tc>
          <w:tcPr>
            <w:tcW w:w="1172" w:type="pct"/>
          </w:tcPr>
          <w:p w14:paraId="377A0CDE" w14:textId="576F0A07"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rPr>
                <w:rStyle w:val="Fett"/>
                <w:rtl/>
              </w:rPr>
              <w:t>שְׁבָרִים</w:t>
            </w:r>
            <w:r>
              <w:rPr>
                <w:rtl/>
              </w:rPr>
              <w:t xml:space="preserve"> </w:t>
            </w:r>
            <w:r>
              <w:t xml:space="preserve"> (Schevarim)</w:t>
            </w:r>
          </w:p>
        </w:tc>
        <w:tc>
          <w:tcPr>
            <w:tcW w:w="2428" w:type="pct"/>
          </w:tcPr>
          <w:p w14:paraId="604C7923" w14:textId="429E0D64"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t>3 mittlere, gebrochene Töne (je 3 Schläge)</w:t>
            </w:r>
          </w:p>
        </w:tc>
        <w:tc>
          <w:tcPr>
            <w:tcW w:w="1400" w:type="pct"/>
          </w:tcPr>
          <w:p w14:paraId="70D02168" w14:textId="6D157ED4"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t xml:space="preserve">Möglicherweise aus </w:t>
            </w:r>
            <w:r>
              <w:rPr>
                <w:rtl/>
              </w:rPr>
              <w:t>תְּרוּעָה</w:t>
            </w:r>
            <w:r>
              <w:t xml:space="preserve"> abgeleitet</w:t>
            </w:r>
          </w:p>
        </w:tc>
      </w:tr>
      <w:tr w:rsidR="00652178" w14:paraId="3FDEC5C4" w14:textId="77777777" w:rsidTr="00652178">
        <w:tc>
          <w:tcPr>
            <w:tcW w:w="1172" w:type="pct"/>
          </w:tcPr>
          <w:p w14:paraId="0D06A478" w14:textId="42663A56"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rPr>
                <w:rStyle w:val="Fett"/>
                <w:rtl/>
              </w:rPr>
              <w:t>תְּרוּעָה</w:t>
            </w:r>
            <w:r>
              <w:rPr>
                <w:rtl/>
              </w:rPr>
              <w:t xml:space="preserve"> </w:t>
            </w:r>
            <w:r>
              <w:t xml:space="preserve"> (Teru'ah)</w:t>
            </w:r>
          </w:p>
        </w:tc>
        <w:tc>
          <w:tcPr>
            <w:tcW w:w="2428" w:type="pct"/>
          </w:tcPr>
          <w:p w14:paraId="52E0550D" w14:textId="59B03BF9"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t>9 sehr kurze, staccato-artige Töne</w:t>
            </w:r>
          </w:p>
        </w:tc>
        <w:tc>
          <w:tcPr>
            <w:tcW w:w="1400" w:type="pct"/>
          </w:tcPr>
          <w:p w14:paraId="032BBC2D" w14:textId="1EE6E44F" w:rsidR="00652178" w:rsidRDefault="00652178" w:rsidP="009356DC">
            <w:pPr>
              <w:spacing w:before="100" w:beforeAutospacing="1" w:after="100" w:afterAutospacing="1" w:line="240" w:lineRule="auto"/>
              <w:outlineLvl w:val="0"/>
              <w:rPr>
                <w:rFonts w:eastAsia="Times New Roman" w:cs="Times New Roman"/>
                <w:b/>
                <w:bCs/>
                <w:kern w:val="36"/>
                <w:lang w:eastAsia="de-DE"/>
              </w:rPr>
            </w:pPr>
            <w:r>
              <w:t>Num 10,5-6 (Aufbruchssignal)</w:t>
            </w:r>
          </w:p>
        </w:tc>
      </w:tr>
    </w:tbl>
    <w:p w14:paraId="0516722D" w14:textId="77777777" w:rsidR="00652178" w:rsidRDefault="00652178" w:rsidP="00652178">
      <w:pPr>
        <w:pStyle w:val="whitespace-normal"/>
      </w:pPr>
      <w:r>
        <w:rPr>
          <w:rStyle w:val="Fett"/>
        </w:rPr>
        <w:t>Standard-Sequenz:</w:t>
      </w:r>
      <w:r>
        <w:t xml:space="preserve"> </w:t>
      </w:r>
      <w:r>
        <w:rPr>
          <w:rtl/>
        </w:rPr>
        <w:t>תְּקִיעָה – שְׁבָרִים – תְּרוּעָה – תְּקִיעָה</w:t>
      </w:r>
      <w:r>
        <w:t xml:space="preserve"> (Teki'ah-Schevarim-Teru'ah-Teki'ah)</w:t>
      </w:r>
    </w:p>
    <w:p w14:paraId="4926E87C" w14:textId="77777777" w:rsidR="00652178" w:rsidRDefault="00652178" w:rsidP="00652178">
      <w:pPr>
        <w:pStyle w:val="whitespace-normal"/>
      </w:pPr>
      <w:r>
        <w:rPr>
          <w:rStyle w:val="Fett"/>
        </w:rPr>
        <w:t>2. Theologische Bedeutung (Mischna Rosch Haschana 4:9):</w:t>
      </w:r>
    </w:p>
    <w:p w14:paraId="74B1C977" w14:textId="77777777" w:rsidR="00652178" w:rsidRDefault="00652178" w:rsidP="00652178">
      <w:pPr>
        <w:pStyle w:val="whitespace-normal"/>
        <w:numPr>
          <w:ilvl w:val="0"/>
          <w:numId w:val="80"/>
        </w:numPr>
      </w:pPr>
      <w:r>
        <w:rPr>
          <w:rStyle w:val="Fett"/>
          <w:rtl/>
        </w:rPr>
        <w:t>תְּקִיעָה</w:t>
      </w:r>
      <w:r>
        <w:rPr>
          <w:rStyle w:val="Fett"/>
        </w:rPr>
        <w:t>:</w:t>
      </w:r>
      <w:r>
        <w:t xml:space="preserve"> Symbol für </w:t>
      </w:r>
      <w:r>
        <w:rPr>
          <w:rStyle w:val="Fett"/>
        </w:rPr>
        <w:t>Stabilität, Gottvertrauen, Frieden</w:t>
      </w:r>
    </w:p>
    <w:p w14:paraId="638AD410" w14:textId="77777777" w:rsidR="00652178" w:rsidRDefault="00652178" w:rsidP="00652178">
      <w:pPr>
        <w:pStyle w:val="whitespace-normal"/>
        <w:numPr>
          <w:ilvl w:val="0"/>
          <w:numId w:val="80"/>
        </w:numPr>
      </w:pPr>
      <w:r>
        <w:rPr>
          <w:rStyle w:val="Fett"/>
          <w:rtl/>
        </w:rPr>
        <w:t>תְּרוּעָה</w:t>
      </w:r>
      <w:r>
        <w:rPr>
          <w:rStyle w:val="Fett"/>
        </w:rPr>
        <w:t>:</w:t>
      </w:r>
      <w:r>
        <w:t xml:space="preserve"> Symbol für </w:t>
      </w:r>
      <w:r>
        <w:rPr>
          <w:rStyle w:val="Fett"/>
        </w:rPr>
        <w:t>Umkehr, Zerbrochenes Herz, Aufbruch aus Sünde</w:t>
      </w:r>
    </w:p>
    <w:p w14:paraId="5FF65123" w14:textId="77777777" w:rsidR="00652178" w:rsidRDefault="00652178" w:rsidP="00652178">
      <w:pPr>
        <w:pStyle w:val="whitespace-normal"/>
      </w:pPr>
      <w:r>
        <w:rPr>
          <w:rStyle w:val="Fett"/>
        </w:rPr>
        <w:t>3. Messianische Dimension:</w:t>
      </w:r>
    </w:p>
    <w:p w14:paraId="07939811" w14:textId="77777777" w:rsidR="00652178" w:rsidRDefault="00652178" w:rsidP="00652178">
      <w:pPr>
        <w:pStyle w:val="whitespace-normal"/>
        <w:numPr>
          <w:ilvl w:val="0"/>
          <w:numId w:val="81"/>
        </w:numPr>
      </w:pPr>
      <w:r>
        <w:rPr>
          <w:rStyle w:val="Fett"/>
        </w:rPr>
        <w:t>Jes 27,13:</w:t>
      </w:r>
      <w:r>
        <w:t xml:space="preserve"> "An jenem Tag wird die </w:t>
      </w:r>
      <w:r>
        <w:rPr>
          <w:rStyle w:val="Fett"/>
        </w:rPr>
        <w:t>große Trompete</w:t>
      </w:r>
      <w:r>
        <w:t xml:space="preserve"> (</w:t>
      </w:r>
      <w:r>
        <w:rPr>
          <w:rtl/>
        </w:rPr>
        <w:t>שׁוֹפָר גָּדוֹל</w:t>
      </w:r>
      <w:r>
        <w:t>) geblasen"</w:t>
      </w:r>
    </w:p>
    <w:p w14:paraId="443D6A50" w14:textId="77777777" w:rsidR="00652178" w:rsidRDefault="00652178" w:rsidP="00652178">
      <w:pPr>
        <w:pStyle w:val="whitespace-normal"/>
        <w:numPr>
          <w:ilvl w:val="0"/>
          <w:numId w:val="81"/>
        </w:numPr>
      </w:pPr>
      <w:r>
        <w:rPr>
          <w:rStyle w:val="Fett"/>
        </w:rPr>
        <w:t>1 Thess 4,16:</w:t>
      </w:r>
      <w:r>
        <w:t xml:space="preserve"> "Der Herr wird herabkommen mit... der </w:t>
      </w:r>
      <w:r>
        <w:rPr>
          <w:rStyle w:val="Fett"/>
        </w:rPr>
        <w:t>Posaune Gottes</w:t>
      </w:r>
      <w:r>
        <w:t xml:space="preserve"> (ἐν σάλπιγγι θεοῦ)"</w:t>
      </w:r>
    </w:p>
    <w:p w14:paraId="03246A5D" w14:textId="77777777" w:rsidR="00652178" w:rsidRDefault="00652178" w:rsidP="00652178">
      <w:pPr>
        <w:pStyle w:val="whitespace-normal"/>
        <w:numPr>
          <w:ilvl w:val="0"/>
          <w:numId w:val="81"/>
        </w:numPr>
      </w:pPr>
      <w:r>
        <w:rPr>
          <w:rStyle w:val="Fett"/>
        </w:rPr>
        <w:t>1 Kor 15,52:</w:t>
      </w:r>
      <w:r>
        <w:t xml:space="preserve"> "Bei der </w:t>
      </w:r>
      <w:r>
        <w:rPr>
          <w:rStyle w:val="Fett"/>
        </w:rPr>
        <w:t>letzten Posaune</w:t>
      </w:r>
      <w:r>
        <w:t xml:space="preserve"> (ἐν τῇ ἐσχάτῃ σάλπιγγι)"</w:t>
      </w:r>
    </w:p>
    <w:p w14:paraId="27112975" w14:textId="77777777" w:rsidR="00652178" w:rsidRDefault="00652178" w:rsidP="00652178">
      <w:pPr>
        <w:pStyle w:val="whitespace-normal"/>
      </w:pPr>
      <w:r>
        <w:rPr>
          <w:rStyle w:val="Fett"/>
        </w:rPr>
        <w:t>→ Die Trompeten-/Schofar-Signale werden eschatologisch als Zeichen der messianischen Erlösung gedeutet!</w:t>
      </w:r>
    </w:p>
    <w:p w14:paraId="587045C5" w14:textId="77777777" w:rsidR="00652178" w:rsidRDefault="00652178" w:rsidP="00652178">
      <w:pPr>
        <w:pStyle w:val="whitespace-normal"/>
      </w:pPr>
      <w:r>
        <w:rPr>
          <w:rStyle w:val="Fett"/>
        </w:rPr>
        <w:t>4. Historische Kontinuität:</w:t>
      </w:r>
    </w:p>
    <w:tbl>
      <w:tblPr>
        <w:tblStyle w:val="Tabellenraster"/>
        <w:tblW w:w="4994" w:type="pct"/>
        <w:tblLook w:val="04A0" w:firstRow="1" w:lastRow="0" w:firstColumn="1" w:lastColumn="0" w:noHBand="0" w:noVBand="1"/>
      </w:tblPr>
      <w:tblGrid>
        <w:gridCol w:w="1837"/>
        <w:gridCol w:w="7214"/>
      </w:tblGrid>
      <w:tr w:rsidR="00652178" w14:paraId="5D0A7384" w14:textId="77777777" w:rsidTr="00652178">
        <w:tc>
          <w:tcPr>
            <w:tcW w:w="1015" w:type="pct"/>
          </w:tcPr>
          <w:p w14:paraId="6E33ACF5" w14:textId="3A10EB7D" w:rsidR="00652178" w:rsidRPr="003B44ED" w:rsidRDefault="00652178" w:rsidP="009356DC">
            <w:pPr>
              <w:spacing w:before="100" w:beforeAutospacing="1" w:after="100" w:afterAutospacing="1" w:line="240" w:lineRule="auto"/>
              <w:outlineLvl w:val="0"/>
              <w:rPr>
                <w:rFonts w:eastAsia="Times New Roman" w:cs="Times New Roman"/>
                <w:b/>
                <w:bCs/>
                <w:kern w:val="36"/>
                <w:lang w:eastAsia="de-DE"/>
              </w:rPr>
            </w:pPr>
            <w:r w:rsidRPr="003B44ED">
              <w:rPr>
                <w:rFonts w:cs="Times New Roman"/>
                <w:b/>
                <w:bCs/>
                <w:color w:val="141413"/>
                <w:sz w:val="21"/>
                <w:szCs w:val="21"/>
                <w:shd w:val="clear" w:color="auto" w:fill="FAF9F5"/>
              </w:rPr>
              <w:t>Epoche</w:t>
            </w:r>
          </w:p>
        </w:tc>
        <w:tc>
          <w:tcPr>
            <w:tcW w:w="3985" w:type="pct"/>
          </w:tcPr>
          <w:p w14:paraId="4F7F2DBC" w14:textId="42D3CA98" w:rsidR="00652178" w:rsidRPr="003B44ED" w:rsidRDefault="00652178" w:rsidP="009356DC">
            <w:pPr>
              <w:spacing w:before="100" w:beforeAutospacing="1" w:after="100" w:afterAutospacing="1" w:line="240" w:lineRule="auto"/>
              <w:outlineLvl w:val="0"/>
              <w:rPr>
                <w:rFonts w:eastAsia="Times New Roman" w:cs="Times New Roman"/>
                <w:b/>
                <w:bCs/>
                <w:kern w:val="36"/>
                <w:lang w:eastAsia="de-DE"/>
              </w:rPr>
            </w:pPr>
            <w:r w:rsidRPr="003B44ED">
              <w:rPr>
                <w:rFonts w:cs="Times New Roman"/>
                <w:b/>
                <w:bCs/>
                <w:color w:val="141413"/>
                <w:sz w:val="21"/>
                <w:szCs w:val="21"/>
                <w:shd w:val="clear" w:color="auto" w:fill="FAF9F5"/>
              </w:rPr>
              <w:t>Verwendung</w:t>
            </w:r>
          </w:p>
        </w:tc>
      </w:tr>
      <w:tr w:rsidR="00652178" w14:paraId="50A2A683" w14:textId="77777777" w:rsidTr="00652178">
        <w:tc>
          <w:tcPr>
            <w:tcW w:w="1015" w:type="pct"/>
          </w:tcPr>
          <w:p w14:paraId="74FE7035" w14:textId="4F995115" w:rsidR="00652178" w:rsidRPr="003B44ED" w:rsidRDefault="003B44ED" w:rsidP="009356DC">
            <w:pPr>
              <w:spacing w:before="100" w:beforeAutospacing="1" w:after="100" w:afterAutospacing="1" w:line="240" w:lineRule="auto"/>
              <w:outlineLvl w:val="0"/>
              <w:rPr>
                <w:rFonts w:eastAsia="Times New Roman" w:cs="Times New Roman"/>
                <w:b/>
                <w:bCs/>
                <w:kern w:val="36"/>
                <w:lang w:eastAsia="de-DE"/>
              </w:rPr>
            </w:pPr>
            <w:r>
              <w:t>Wüstenzeit</w:t>
            </w:r>
          </w:p>
        </w:tc>
        <w:tc>
          <w:tcPr>
            <w:tcW w:w="3985" w:type="pct"/>
          </w:tcPr>
          <w:p w14:paraId="6023989D" w14:textId="64C74ECC" w:rsidR="00652178" w:rsidRPr="003B44ED" w:rsidRDefault="003B44ED" w:rsidP="009356DC">
            <w:pPr>
              <w:spacing w:before="100" w:beforeAutospacing="1" w:after="100" w:afterAutospacing="1" w:line="240" w:lineRule="auto"/>
              <w:outlineLvl w:val="0"/>
              <w:rPr>
                <w:rFonts w:eastAsia="Times New Roman" w:cs="Times New Roman"/>
                <w:kern w:val="36"/>
                <w:lang w:eastAsia="de-DE"/>
              </w:rPr>
            </w:pPr>
            <w:r>
              <w:t>Silbertrompeten (</w:t>
            </w:r>
            <w:r>
              <w:rPr>
                <w:rtl/>
              </w:rPr>
              <w:t>חֲצֹצְרוֹת</w:t>
            </w:r>
            <w:r>
              <w:t>) für Kommunikation (Num 10)</w:t>
            </w:r>
          </w:p>
        </w:tc>
      </w:tr>
      <w:tr w:rsidR="00652178" w14:paraId="49AA3CE1" w14:textId="77777777" w:rsidTr="00652178">
        <w:tc>
          <w:tcPr>
            <w:tcW w:w="1015" w:type="pct"/>
          </w:tcPr>
          <w:p w14:paraId="0ADAC383" w14:textId="06F8072B" w:rsidR="00652178" w:rsidRPr="003B44ED" w:rsidRDefault="003B44ED" w:rsidP="009356DC">
            <w:pPr>
              <w:spacing w:before="100" w:beforeAutospacing="1" w:after="100" w:afterAutospacing="1" w:line="240" w:lineRule="auto"/>
              <w:outlineLvl w:val="0"/>
              <w:rPr>
                <w:rFonts w:eastAsia="Times New Roman" w:cs="Times New Roman"/>
                <w:b/>
                <w:bCs/>
                <w:kern w:val="36"/>
                <w:lang w:eastAsia="de-DE"/>
              </w:rPr>
            </w:pPr>
            <w:r>
              <w:t>Königszeit</w:t>
            </w:r>
          </w:p>
        </w:tc>
        <w:tc>
          <w:tcPr>
            <w:tcW w:w="3985" w:type="pct"/>
          </w:tcPr>
          <w:p w14:paraId="058B3CDA" w14:textId="7876BD4F" w:rsidR="00652178" w:rsidRDefault="003B44ED" w:rsidP="009356DC">
            <w:pPr>
              <w:spacing w:before="100" w:beforeAutospacing="1" w:after="100" w:afterAutospacing="1" w:line="240" w:lineRule="auto"/>
              <w:outlineLvl w:val="0"/>
              <w:rPr>
                <w:rFonts w:eastAsia="Times New Roman" w:cs="Times New Roman"/>
                <w:b/>
                <w:bCs/>
                <w:kern w:val="36"/>
                <w:lang w:eastAsia="de-DE"/>
              </w:rPr>
            </w:pPr>
            <w:r>
              <w:t>Trompeten bei Kriegszügen (2 Chr 13,12-15)</w:t>
            </w:r>
          </w:p>
        </w:tc>
      </w:tr>
      <w:tr w:rsidR="00652178" w14:paraId="150A923C" w14:textId="77777777" w:rsidTr="00652178">
        <w:tc>
          <w:tcPr>
            <w:tcW w:w="1015" w:type="pct"/>
          </w:tcPr>
          <w:p w14:paraId="22EE5ABB" w14:textId="037B7E0B" w:rsidR="00652178" w:rsidRPr="003B44ED" w:rsidRDefault="003B44ED" w:rsidP="009356DC">
            <w:pPr>
              <w:spacing w:before="100" w:beforeAutospacing="1" w:after="100" w:afterAutospacing="1" w:line="240" w:lineRule="auto"/>
              <w:outlineLvl w:val="0"/>
              <w:rPr>
                <w:rFonts w:eastAsia="Times New Roman" w:cs="Times New Roman"/>
                <w:b/>
                <w:bCs/>
                <w:kern w:val="36"/>
                <w:lang w:eastAsia="de-DE"/>
              </w:rPr>
            </w:pPr>
            <w:r>
              <w:t>Zweiter Tempel</w:t>
            </w:r>
          </w:p>
        </w:tc>
        <w:tc>
          <w:tcPr>
            <w:tcW w:w="3985" w:type="pct"/>
          </w:tcPr>
          <w:p w14:paraId="2D1B8D5A" w14:textId="6F406DD8" w:rsidR="00652178" w:rsidRDefault="003B44ED" w:rsidP="009356DC">
            <w:pPr>
              <w:spacing w:before="100" w:beforeAutospacing="1" w:after="100" w:afterAutospacing="1" w:line="240" w:lineRule="auto"/>
              <w:outlineLvl w:val="0"/>
              <w:rPr>
                <w:rFonts w:eastAsia="Times New Roman" w:cs="Times New Roman"/>
                <w:b/>
                <w:bCs/>
                <w:kern w:val="36"/>
                <w:lang w:eastAsia="de-DE"/>
              </w:rPr>
            </w:pPr>
            <w:r>
              <w:t>Trompeten bei täglichen Opfern (Josephus, Ant. 3.291)</w:t>
            </w:r>
          </w:p>
        </w:tc>
      </w:tr>
      <w:tr w:rsidR="00652178" w14:paraId="302B5894" w14:textId="77777777" w:rsidTr="003B44ED">
        <w:tc>
          <w:tcPr>
            <w:tcW w:w="1015" w:type="pct"/>
            <w:tcBorders>
              <w:bottom w:val="single" w:sz="4" w:space="0" w:color="auto"/>
            </w:tcBorders>
          </w:tcPr>
          <w:p w14:paraId="5198C7C9" w14:textId="0AB12909" w:rsidR="00652178" w:rsidRPr="003B44ED" w:rsidRDefault="003B44ED" w:rsidP="009356DC">
            <w:pPr>
              <w:spacing w:before="100" w:beforeAutospacing="1" w:after="100" w:afterAutospacing="1" w:line="240" w:lineRule="auto"/>
              <w:outlineLvl w:val="0"/>
              <w:rPr>
                <w:rFonts w:eastAsia="Times New Roman" w:cs="Times New Roman"/>
                <w:b/>
                <w:bCs/>
                <w:kern w:val="36"/>
                <w:lang w:eastAsia="de-DE"/>
              </w:rPr>
            </w:pPr>
            <w:r>
              <w:t>Post-70 n.Chr.</w:t>
            </w:r>
          </w:p>
        </w:tc>
        <w:tc>
          <w:tcPr>
            <w:tcW w:w="3985" w:type="pct"/>
            <w:tcBorders>
              <w:bottom w:val="single" w:sz="4" w:space="0" w:color="auto"/>
            </w:tcBorders>
          </w:tcPr>
          <w:p w14:paraId="6D354880" w14:textId="20B49A58" w:rsidR="00652178" w:rsidRDefault="003B44ED" w:rsidP="009356DC">
            <w:pPr>
              <w:spacing w:before="100" w:beforeAutospacing="1" w:after="100" w:afterAutospacing="1" w:line="240" w:lineRule="auto"/>
              <w:outlineLvl w:val="0"/>
              <w:rPr>
                <w:rFonts w:eastAsia="Times New Roman" w:cs="Times New Roman"/>
                <w:b/>
                <w:bCs/>
                <w:kern w:val="36"/>
                <w:lang w:eastAsia="de-DE"/>
              </w:rPr>
            </w:pPr>
            <w:r>
              <w:t>Schofar (</w:t>
            </w:r>
            <w:r>
              <w:rPr>
                <w:rtl/>
              </w:rPr>
              <w:t>שׁוֹפָר</w:t>
            </w:r>
            <w:r>
              <w:t>) ersetzt Trompeten (kein Tempel mehr)</w:t>
            </w:r>
          </w:p>
        </w:tc>
      </w:tr>
      <w:tr w:rsidR="00652178" w14:paraId="5B92622F" w14:textId="77777777" w:rsidTr="003B44ED">
        <w:tc>
          <w:tcPr>
            <w:tcW w:w="1015" w:type="pct"/>
            <w:tcBorders>
              <w:bottom w:val="single" w:sz="4" w:space="0" w:color="auto"/>
            </w:tcBorders>
          </w:tcPr>
          <w:p w14:paraId="09F1E5D5" w14:textId="7603E388" w:rsidR="00652178" w:rsidRPr="003B44ED" w:rsidRDefault="003B44ED" w:rsidP="009356DC">
            <w:pPr>
              <w:spacing w:before="100" w:beforeAutospacing="1" w:after="100" w:afterAutospacing="1" w:line="240" w:lineRule="auto"/>
              <w:outlineLvl w:val="0"/>
              <w:rPr>
                <w:rFonts w:eastAsia="Times New Roman" w:cs="Times New Roman"/>
                <w:b/>
                <w:bCs/>
                <w:kern w:val="36"/>
                <w:lang w:eastAsia="de-DE"/>
              </w:rPr>
            </w:pPr>
            <w:r>
              <w:t>Heute</w:t>
            </w:r>
          </w:p>
        </w:tc>
        <w:tc>
          <w:tcPr>
            <w:tcW w:w="3985" w:type="pct"/>
            <w:tcBorders>
              <w:bottom w:val="single" w:sz="4" w:space="0" w:color="auto"/>
            </w:tcBorders>
          </w:tcPr>
          <w:p w14:paraId="200ADB79" w14:textId="2714AA34" w:rsidR="00652178" w:rsidRDefault="003B44ED" w:rsidP="009356DC">
            <w:pPr>
              <w:spacing w:before="100" w:beforeAutospacing="1" w:after="100" w:afterAutospacing="1" w:line="240" w:lineRule="auto"/>
              <w:outlineLvl w:val="0"/>
              <w:rPr>
                <w:rFonts w:eastAsia="Times New Roman" w:cs="Times New Roman"/>
                <w:b/>
                <w:bCs/>
                <w:kern w:val="36"/>
                <w:lang w:eastAsia="de-DE"/>
              </w:rPr>
            </w:pPr>
            <w:r>
              <w:t>Schofar an Rosch Haschana + Jom Kippur</w:t>
            </w:r>
          </w:p>
        </w:tc>
      </w:tr>
    </w:tbl>
    <w:p w14:paraId="68A2E2F4" w14:textId="25ADB2DB" w:rsidR="00652178" w:rsidRPr="00652178" w:rsidRDefault="003B44ED" w:rsidP="009356DC">
      <w:pPr>
        <w:spacing w:before="100" w:beforeAutospacing="1" w:after="100" w:afterAutospacing="1" w:line="240" w:lineRule="auto"/>
        <w:outlineLvl w:val="0"/>
        <w:rPr>
          <w:rFonts w:eastAsia="Times New Roman" w:cs="Times New Roman"/>
          <w:b/>
          <w:bCs/>
          <w:kern w:val="36"/>
          <w:lang w:eastAsia="de-DE"/>
        </w:rPr>
      </w:pPr>
      <w:r>
        <w:rPr>
          <w:rStyle w:val="Fett"/>
        </w:rPr>
        <w:t>Fazit:</w:t>
      </w:r>
      <w:r>
        <w:t xml:space="preserve"> Numeri 10 etabliert die </w:t>
      </w:r>
      <w:r w:rsidRPr="003B44ED">
        <w:rPr>
          <w:rStyle w:val="Fett"/>
          <w:b w:val="0"/>
          <w:bCs w:val="0"/>
        </w:rPr>
        <w:t>Grundlage</w:t>
      </w:r>
      <w:r>
        <w:t xml:space="preserve"> für die liturgische Unterscheidung zwischen friedlichen (</w:t>
      </w:r>
      <w:r w:rsidRPr="003B44ED">
        <w:rPr>
          <w:b/>
          <w:bCs/>
          <w:rtl/>
        </w:rPr>
        <w:t>תְּקִיעָה</w:t>
      </w:r>
      <w:r>
        <w:t>) und alarmierenden (</w:t>
      </w:r>
      <w:r w:rsidRPr="003B44ED">
        <w:rPr>
          <w:b/>
          <w:bCs/>
          <w:rtl/>
        </w:rPr>
        <w:t>תְּרוּעָה</w:t>
      </w:r>
      <w:r>
        <w:t>) Tönen, die sich in der jüdischen Liturgie bis heute erhalten hat.</w:t>
      </w:r>
    </w:p>
    <w:p w14:paraId="4D11ADE1" w14:textId="6C252900" w:rsidR="009356DC" w:rsidRPr="009356DC" w:rsidRDefault="009356DC" w:rsidP="009356DC">
      <w:pPr>
        <w:spacing w:before="100" w:beforeAutospacing="1" w:after="100" w:afterAutospacing="1" w:line="240" w:lineRule="auto"/>
        <w:outlineLvl w:val="0"/>
        <w:rPr>
          <w:rFonts w:eastAsia="Times New Roman" w:cs="Times New Roman"/>
          <w:b/>
          <w:bCs/>
          <w:kern w:val="36"/>
          <w:sz w:val="48"/>
          <w:szCs w:val="48"/>
          <w:lang w:eastAsia="de-DE"/>
        </w:rPr>
      </w:pPr>
      <w:r w:rsidRPr="009356DC">
        <w:rPr>
          <w:rFonts w:eastAsia="Times New Roman" w:cs="Times New Roman"/>
          <w:b/>
          <w:bCs/>
          <w:kern w:val="36"/>
          <w:sz w:val="48"/>
          <w:szCs w:val="48"/>
          <w:lang w:eastAsia="de-DE"/>
        </w:rPr>
        <w:t>Numeri 10,8</w:t>
      </w:r>
    </w:p>
    <w:p w14:paraId="3A487FA2"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Hebräisch:</w:t>
      </w:r>
      <w:r w:rsidRPr="009356DC">
        <w:rPr>
          <w:rFonts w:eastAsia="Times New Roman" w:cs="Times New Roman"/>
          <w:lang w:eastAsia="de-DE"/>
        </w:rPr>
        <w:t xml:space="preserve"> </w:t>
      </w:r>
      <w:r w:rsidRPr="009356DC">
        <w:rPr>
          <w:rFonts w:eastAsia="Times New Roman" w:cs="Times New Roman"/>
          <w:rtl/>
          <w:lang w:eastAsia="de-DE"/>
        </w:rPr>
        <w:t>וּבְנֵ֤י אַהֲרֹן֙ הַכֹּ֣הֲנִ֔ים יִתְקְע֖וּ בַּֽחֲצֹצְר֑וֹת וְהָי֥וּ לָכֶ֛ם לְחֻקַּ֥ת עוֹלָ֖ם לְדֹרֹתֵיכֶֽם׃</w:t>
      </w:r>
    </w:p>
    <w:p w14:paraId="0A553D1A"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lastRenderedPageBreak/>
        <w:t>Deutsch:</w:t>
      </w:r>
      <w:r w:rsidRPr="009356DC">
        <w:rPr>
          <w:rFonts w:eastAsia="Times New Roman" w:cs="Times New Roman"/>
          <w:lang w:eastAsia="de-DE"/>
        </w:rPr>
        <w:t xml:space="preserve"> Und die Söhne 'Aharons, die Priester, sollen in die Trompeten stoßen. Und sie soll euch zu einer ewigen Satzung sein bei euren Geschlechtern.</w:t>
      </w:r>
    </w:p>
    <w:p w14:paraId="0315BA5B" w14:textId="77777777" w:rsidR="009356DC" w:rsidRPr="009356DC" w:rsidRDefault="00F329DD" w:rsidP="009356DC">
      <w:pPr>
        <w:spacing w:after="0" w:line="240" w:lineRule="auto"/>
        <w:rPr>
          <w:rFonts w:eastAsia="Times New Roman" w:cs="Times New Roman"/>
          <w:lang w:eastAsia="de-DE"/>
        </w:rPr>
      </w:pPr>
      <w:r>
        <w:rPr>
          <w:rFonts w:eastAsia="Times New Roman" w:cs="Times New Roman"/>
          <w:noProof/>
          <w:lang w:eastAsia="de-DE"/>
        </w:rPr>
        <w:pict w14:anchorId="2DBB5F87">
          <v:rect id="_x0000_i1351" style="width:0;height:1.5pt" o:hralign="center" o:hrstd="t" o:hr="t" fillcolor="#a0a0a0" stroked="f"/>
        </w:pict>
      </w:r>
    </w:p>
    <w:p w14:paraId="739AF977"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b/>
          <w:bCs/>
          <w:lang w:eastAsia="de-DE"/>
        </w:rPr>
        <w:t>Kommentar:</w:t>
      </w:r>
      <w:r w:rsidRPr="009356DC">
        <w:rPr>
          <w:rFonts w:eastAsia="Times New Roman" w:cs="Times New Roman"/>
          <w:lang w:eastAsia="de-DE"/>
        </w:rPr>
        <w:t xml:space="preserve"> Das Subjekt </w:t>
      </w:r>
      <w:r w:rsidRPr="009356DC">
        <w:rPr>
          <w:rFonts w:eastAsia="Times New Roman" w:cs="Times New Roman"/>
          <w:b/>
          <w:bCs/>
          <w:rtl/>
          <w:lang w:eastAsia="de-DE"/>
        </w:rPr>
        <w:t>וּבְנֵ֤י אַהֲרֹן֙ הַכֹּ֣הֲנִ֔ים</w:t>
      </w:r>
      <w:r w:rsidRPr="009356DC">
        <w:rPr>
          <w:rFonts w:eastAsia="Times New Roman" w:cs="Times New Roman"/>
          <w:rtl/>
          <w:lang w:eastAsia="de-DE"/>
        </w:rPr>
        <w:t xml:space="preserve"> </w:t>
      </w:r>
      <w:r w:rsidRPr="009356DC">
        <w:rPr>
          <w:rFonts w:eastAsia="Times New Roman" w:cs="Times New Roman"/>
          <w:lang w:eastAsia="de-DE"/>
        </w:rPr>
        <w:t xml:space="preserve">etabliert die exklusive priesterliche Autorität über die Trompetenbedienung. </w:t>
      </w:r>
      <w:r w:rsidRPr="009356DC">
        <w:rPr>
          <w:rFonts w:eastAsia="Times New Roman" w:cs="Times New Roman"/>
          <w:b/>
          <w:bCs/>
          <w:rtl/>
          <w:lang w:eastAsia="de-DE"/>
        </w:rPr>
        <w:t>בְנֵ֤י אַהֲרֹן֙</w:t>
      </w:r>
      <w:r w:rsidRPr="009356DC">
        <w:rPr>
          <w:rFonts w:eastAsia="Times New Roman" w:cs="Times New Roman"/>
          <w:rtl/>
          <w:lang w:eastAsia="de-DE"/>
        </w:rPr>
        <w:t xml:space="preserve"> </w:t>
      </w:r>
      <w:r w:rsidRPr="009356DC">
        <w:rPr>
          <w:rFonts w:eastAsia="Times New Roman" w:cs="Times New Roman"/>
          <w:lang w:eastAsia="de-DE"/>
        </w:rPr>
        <w:t xml:space="preserve">(Söhne Aarons) bezeichnet die aaronitische Priesterlinie, </w:t>
      </w:r>
      <w:r w:rsidRPr="009356DC">
        <w:rPr>
          <w:rFonts w:eastAsia="Times New Roman" w:cs="Times New Roman"/>
          <w:b/>
          <w:bCs/>
          <w:rtl/>
          <w:lang w:eastAsia="de-DE"/>
        </w:rPr>
        <w:t>הַכֹּ֣הֲנִ֔ים</w:t>
      </w:r>
      <w:r w:rsidRPr="009356DC">
        <w:rPr>
          <w:rFonts w:eastAsia="Times New Roman" w:cs="Times New Roman"/>
          <w:rtl/>
          <w:lang w:eastAsia="de-DE"/>
        </w:rPr>
        <w:t xml:space="preserve"> </w:t>
      </w:r>
      <w:r w:rsidRPr="009356DC">
        <w:rPr>
          <w:rFonts w:eastAsia="Times New Roman" w:cs="Times New Roman"/>
          <w:lang w:eastAsia="de-DE"/>
        </w:rPr>
        <w:t>(die Priester) ist eine appositive Verstärkung, die ihre liturgische Funktion betont. Diese doppelte Bezeichnung unterstreicht sowohl ihre genealogische Berechtigung als auch ihre funktionale Rolle.</w:t>
      </w:r>
    </w:p>
    <w:p w14:paraId="1B614438" w14:textId="77777777" w:rsidR="009356DC" w:rsidRP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Diese priesterliche Exklusivität ist theologisch und praktisch bedeutsam. Die Trompeten sind nicht nur Kommunikationsmittel, sondern heilige Instrumente, die göttliche Autorität vermitteln. Nur die geweihten Priester haben das Recht und die Kompetenz, diese heiligen Signale zu geben, die sowohl zivile als auch militärische Autorität über ganz Israel ausüben.</w:t>
      </w:r>
    </w:p>
    <w:p w14:paraId="7D82D7CE" w14:textId="19B50C7C" w:rsidR="009356DC" w:rsidRDefault="009356DC" w:rsidP="009356DC">
      <w:pPr>
        <w:spacing w:before="100" w:beforeAutospacing="1" w:after="100" w:afterAutospacing="1" w:line="240" w:lineRule="auto"/>
        <w:rPr>
          <w:rFonts w:eastAsia="Times New Roman" w:cs="Times New Roman"/>
          <w:lang w:eastAsia="de-DE"/>
        </w:rPr>
      </w:pPr>
      <w:r w:rsidRPr="009356DC">
        <w:rPr>
          <w:rFonts w:eastAsia="Times New Roman" w:cs="Times New Roman"/>
          <w:lang w:eastAsia="de-DE"/>
        </w:rPr>
        <w:t xml:space="preserve">Das Verb </w:t>
      </w:r>
      <w:r w:rsidRPr="009356DC">
        <w:rPr>
          <w:rFonts w:eastAsia="Times New Roman" w:cs="Times New Roman"/>
          <w:b/>
          <w:bCs/>
          <w:rtl/>
          <w:lang w:eastAsia="de-DE"/>
        </w:rPr>
        <w:t>יִתְקְע֖וּ בַּֽחֲצֹצְר֑וֹת</w:t>
      </w:r>
      <w:r w:rsidRPr="009356DC">
        <w:rPr>
          <w:rFonts w:eastAsia="Times New Roman" w:cs="Times New Roman"/>
          <w:rtl/>
          <w:lang w:eastAsia="de-DE"/>
        </w:rPr>
        <w:t xml:space="preserve"> </w:t>
      </w:r>
      <w:r w:rsidRPr="009356DC">
        <w:rPr>
          <w:rFonts w:eastAsia="Times New Roman" w:cs="Times New Roman"/>
          <w:lang w:eastAsia="de-DE"/>
        </w:rPr>
        <w:t xml:space="preserve">zeigt die spezifische priesterliche Handlung. </w:t>
      </w:r>
      <w:r w:rsidRPr="009356DC">
        <w:rPr>
          <w:rFonts w:eastAsia="Times New Roman" w:cs="Times New Roman"/>
          <w:b/>
          <w:bCs/>
          <w:rtl/>
          <w:lang w:eastAsia="de-DE"/>
        </w:rPr>
        <w:t>יִתְקְע֖וּ</w:t>
      </w:r>
      <w:r w:rsidRPr="009356DC">
        <w:rPr>
          <w:rFonts w:eastAsia="Times New Roman" w:cs="Times New Roman"/>
          <w:rtl/>
          <w:lang w:eastAsia="de-DE"/>
        </w:rPr>
        <w:t xml:space="preserve"> </w:t>
      </w:r>
      <w:r w:rsidRPr="009356DC">
        <w:rPr>
          <w:rFonts w:eastAsia="Times New Roman" w:cs="Times New Roman"/>
          <w:lang w:eastAsia="de-DE"/>
        </w:rPr>
        <w:t xml:space="preserve">von </w:t>
      </w:r>
      <w:r w:rsidRPr="009356DC">
        <w:rPr>
          <w:rFonts w:eastAsia="Times New Roman" w:cs="Times New Roman"/>
          <w:b/>
          <w:bCs/>
          <w:rtl/>
          <w:lang w:eastAsia="de-DE"/>
        </w:rPr>
        <w:t>תקע</w:t>
      </w:r>
      <w:r w:rsidRPr="009356DC">
        <w:rPr>
          <w:rFonts w:eastAsia="Times New Roman" w:cs="Times New Roman"/>
          <w:rtl/>
          <w:lang w:eastAsia="de-DE"/>
        </w:rPr>
        <w:t xml:space="preserve"> </w:t>
      </w:r>
      <w:r w:rsidRPr="009356DC">
        <w:rPr>
          <w:rFonts w:eastAsia="Times New Roman" w:cs="Times New Roman"/>
          <w:lang w:eastAsia="de-DE"/>
        </w:rPr>
        <w:t xml:space="preserve">(blasen/stoßen) im Qal-Imperfekt 3. maskulin Plural mit habituellem Charakter zeigt dies als wiederkehrende, dauernde Verpflichtung. </w:t>
      </w:r>
      <w:r w:rsidRPr="009356DC">
        <w:rPr>
          <w:rFonts w:eastAsia="Times New Roman" w:cs="Times New Roman"/>
          <w:b/>
          <w:bCs/>
          <w:rtl/>
          <w:lang w:eastAsia="de-DE"/>
        </w:rPr>
        <w:t>בַּֽחֲצֹצְר֑וֹת</w:t>
      </w:r>
      <w:r w:rsidRPr="009356DC">
        <w:rPr>
          <w:rFonts w:eastAsia="Times New Roman" w:cs="Times New Roman"/>
          <w:rtl/>
          <w:lang w:eastAsia="de-DE"/>
        </w:rPr>
        <w:t xml:space="preserve"> </w:t>
      </w:r>
      <w:r w:rsidRPr="009356DC">
        <w:rPr>
          <w:rFonts w:eastAsia="Times New Roman" w:cs="Times New Roman"/>
          <w:lang w:eastAsia="de-DE"/>
        </w:rPr>
        <w:t>(in die Trompeten) verweist auf die in Vers 2 befohlenen silbernen Instrumente</w:t>
      </w:r>
      <w:r w:rsidR="005E6986">
        <w:rPr>
          <w:rFonts w:eastAsia="Times New Roman" w:cs="Times New Roman"/>
          <w:lang w:eastAsia="de-DE"/>
        </w:rPr>
        <w:t>.</w:t>
      </w:r>
    </w:p>
    <w:p w14:paraId="38B1BBED" w14:textId="77777777" w:rsidR="00FB4661" w:rsidRDefault="00FB4661" w:rsidP="00FB4661">
      <w:pPr>
        <w:pStyle w:val="whitespace-normal"/>
      </w:pPr>
      <w:r>
        <w:t xml:space="preserve">Die permanente Bestimmung </w:t>
      </w:r>
      <w:r>
        <w:rPr>
          <w:rStyle w:val="Fett"/>
          <w:rtl/>
        </w:rPr>
        <w:t>וְהָי֥וּ לָכֶ֛ם לְחֻקַּ֥ת עוֹלָ֖ם לְדֹרֹתֵיכֶֽם</w:t>
      </w:r>
      <w:r>
        <w:rPr>
          <w:rtl/>
        </w:rPr>
        <w:t xml:space="preserve"> </w:t>
      </w:r>
      <w:r>
        <w:t xml:space="preserve">etabliert die dauerhafte Gültigkeit dieser priesterlichen Anordnung. </w:t>
      </w:r>
      <w:r>
        <w:rPr>
          <w:rStyle w:val="Fett"/>
          <w:rtl/>
        </w:rPr>
        <w:t>הָי֥וּ</w:t>
      </w:r>
      <w:r>
        <w:rPr>
          <w:rtl/>
        </w:rPr>
        <w:t xml:space="preserve"> </w:t>
      </w:r>
      <w:r>
        <w:t xml:space="preserve">von </w:t>
      </w:r>
      <w:r>
        <w:rPr>
          <w:rStyle w:val="Fett"/>
          <w:rtl/>
        </w:rPr>
        <w:t>היה</w:t>
      </w:r>
      <w:r>
        <w:rPr>
          <w:rtl/>
        </w:rPr>
        <w:t xml:space="preserve"> </w:t>
      </w:r>
      <w:r>
        <w:t xml:space="preserve">(sein) im Qal-Perfekt 3. maskulin Plural mit futurischem Charakter zeigt die bleibende Natur. </w:t>
      </w:r>
      <w:r>
        <w:rPr>
          <w:rStyle w:val="Fett"/>
          <w:rtl/>
        </w:rPr>
        <w:t>לָכֶ֛ם</w:t>
      </w:r>
      <w:r>
        <w:rPr>
          <w:rtl/>
        </w:rPr>
        <w:t xml:space="preserve"> </w:t>
      </w:r>
      <w:r>
        <w:t>(für euch) wendet sich an ganz Israel als Empfänger dieser Institution.</w:t>
      </w:r>
    </w:p>
    <w:p w14:paraId="15834838" w14:textId="77777777" w:rsidR="00FB4661" w:rsidRDefault="00FB4661" w:rsidP="00FB4661">
      <w:pPr>
        <w:pStyle w:val="whitespace-normal"/>
      </w:pPr>
      <w:r>
        <w:rPr>
          <w:rStyle w:val="Fett"/>
          <w:rtl/>
        </w:rPr>
        <w:t>לְחֻקַּ֥ת עוֹלָ֖ם</w:t>
      </w:r>
      <w:r>
        <w:rPr>
          <w:rtl/>
        </w:rPr>
        <w:t xml:space="preserve"> </w:t>
      </w:r>
      <w:r>
        <w:t xml:space="preserve">(zu einer ewigen Satzung) mit </w:t>
      </w:r>
      <w:r>
        <w:rPr>
          <w:rStyle w:val="Fett"/>
          <w:rtl/>
        </w:rPr>
        <w:t>חֻקָּה</w:t>
      </w:r>
      <w:r>
        <w:rPr>
          <w:rtl/>
        </w:rPr>
        <w:t xml:space="preserve"> </w:t>
      </w:r>
      <w:r>
        <w:t xml:space="preserve">(Satzung/Statute) von der Wurzel </w:t>
      </w:r>
      <w:r>
        <w:rPr>
          <w:rStyle w:val="Fett"/>
          <w:rtl/>
        </w:rPr>
        <w:t>חקק</w:t>
      </w:r>
      <w:r>
        <w:rPr>
          <w:rtl/>
        </w:rPr>
        <w:t xml:space="preserve"> </w:t>
      </w:r>
      <w:r>
        <w:t xml:space="preserve">(eingraben/festsetzen) und </w:t>
      </w:r>
      <w:r>
        <w:rPr>
          <w:rStyle w:val="Fett"/>
          <w:rtl/>
        </w:rPr>
        <w:t>עוֹלָ֖ם</w:t>
      </w:r>
      <w:r>
        <w:rPr>
          <w:rtl/>
        </w:rPr>
        <w:t xml:space="preserve"> </w:t>
      </w:r>
      <w:r>
        <w:t xml:space="preserve">(Ewigkeit/dauernde Zeit) zeigt dies als unveränderliches göttliches Gesetz. </w:t>
      </w:r>
      <w:r>
        <w:rPr>
          <w:rStyle w:val="Fett"/>
          <w:rtl/>
        </w:rPr>
        <w:t>לְדֹרֹתֵיכֶֽם</w:t>
      </w:r>
      <w:r>
        <w:rPr>
          <w:rtl/>
        </w:rPr>
        <w:t xml:space="preserve"> </w:t>
      </w:r>
      <w:r>
        <w:t xml:space="preserve">(für eure Geschlechter) mit </w:t>
      </w:r>
      <w:r>
        <w:rPr>
          <w:rStyle w:val="Fett"/>
          <w:rtl/>
        </w:rPr>
        <w:t>דֹּרוֹת</w:t>
      </w:r>
      <w:r>
        <w:rPr>
          <w:rtl/>
        </w:rPr>
        <w:t xml:space="preserve"> </w:t>
      </w:r>
      <w:r>
        <w:t xml:space="preserve">Plural von </w:t>
      </w:r>
      <w:r>
        <w:rPr>
          <w:rStyle w:val="Fett"/>
          <w:rtl/>
        </w:rPr>
        <w:t>דּוֹר</w:t>
      </w:r>
      <w:r>
        <w:rPr>
          <w:rtl/>
        </w:rPr>
        <w:t xml:space="preserve"> </w:t>
      </w:r>
      <w:r>
        <w:t>(Generation) betont die transgenerationelle Gültigkeit.</w:t>
      </w:r>
    </w:p>
    <w:p w14:paraId="68764D01" w14:textId="77777777" w:rsidR="00FB4661" w:rsidRDefault="00FB4661" w:rsidP="00FB4661">
      <w:pPr>
        <w:pStyle w:val="whitespace-normal"/>
      </w:pPr>
      <w:r>
        <w:t xml:space="preserve">Diese </w:t>
      </w:r>
      <w:r>
        <w:rPr>
          <w:rStyle w:val="Fett"/>
          <w:rtl/>
        </w:rPr>
        <w:t>חֻקַּ֥ת עוֹלָ֖ם</w:t>
      </w:r>
      <w:r>
        <w:t>-Formel ist legislativ bedeutsam - sie macht diese Anordnung zu einem permanenten Element der israelitischen Verfassung, nicht nur zu einer temporären Wüstenregelung. Die priesterliche Kontrolle über die heiligen Trompeten wird damit zu einem dauerhaften Element des theokratischen Systems.</w:t>
      </w:r>
    </w:p>
    <w:p w14:paraId="1D751634" w14:textId="65DADA42" w:rsidR="00FB4661" w:rsidRDefault="00FB4661" w:rsidP="00FB4661">
      <w:pPr>
        <w:pStyle w:val="whitespace-normal"/>
      </w:pPr>
      <w:r>
        <w:rPr>
          <w:rStyle w:val="Fett"/>
        </w:rPr>
        <w:t>Die LXX</w:t>
      </w:r>
      <w:r>
        <w:t xml:space="preserve"> übersetzt </w:t>
      </w:r>
      <w:r>
        <w:rPr>
          <w:rStyle w:val="Fett"/>
          <w:rtl/>
        </w:rPr>
        <w:t>חֻקַּ֥ת עוֹלָ֖ם</w:t>
      </w:r>
      <w:r>
        <w:rPr>
          <w:rtl/>
        </w:rPr>
        <w:t xml:space="preserve"> </w:t>
      </w:r>
      <w:r>
        <w:t xml:space="preserve">mit νόμιμον αἰώνιον (ewiges Gesetz) und </w:t>
      </w:r>
      <w:r>
        <w:rPr>
          <w:rStyle w:val="Fett"/>
          <w:rtl/>
        </w:rPr>
        <w:t>לְדֹרֹתֵיכֶֽם</w:t>
      </w:r>
      <w:r>
        <w:rPr>
          <w:rtl/>
        </w:rPr>
        <w:t xml:space="preserve"> </w:t>
      </w:r>
      <w:r>
        <w:t>mit εἰς τὰς γενεὰς ὑμῶν (für eure Generationen).</w:t>
      </w:r>
    </w:p>
    <w:p w14:paraId="17F41103" w14:textId="2B10C0D8" w:rsidR="00593666" w:rsidRDefault="00593666" w:rsidP="00FB4661">
      <w:pPr>
        <w:pStyle w:val="whitespace-normal"/>
      </w:pPr>
      <w:r>
        <w:t>Die Satzstruktur besteht aus zwei koordinierten Sätzen. Der erste ist ein Verbalsatz mit dem Subjekt "die Söhne Aarons, die Priester", dem Prädikat "sollen blasen" (Imperfekt) und dem Objekt "mit den Trompeten". Der zweite Satz wird mit Waw angeschlossen und enthält "es soll sein" (Perfekt consecutivum) mit der Bestimmung "für euch zur ewigen Ordnung für eure Generationen".</w:t>
      </w:r>
    </w:p>
    <w:p w14:paraId="51ACB5D5" w14:textId="6A81FBAD" w:rsidR="00FB4661" w:rsidRPr="009356DC" w:rsidRDefault="00497CF8" w:rsidP="009356DC">
      <w:pPr>
        <w:spacing w:before="100" w:beforeAutospacing="1" w:after="100" w:afterAutospacing="1" w:line="240" w:lineRule="auto"/>
        <w:rPr>
          <w:rFonts w:eastAsia="Times New Roman" w:cs="Times New Roman"/>
          <w:lang w:eastAsia="de-DE"/>
        </w:rPr>
      </w:pPr>
      <w:r>
        <w:t>Die Söhne Aarons, die Priester, sollen die Trompeten blasen - dies ist eine ewige Ordnung für alle Generationen.</w:t>
      </w:r>
    </w:p>
    <w:p w14:paraId="184A905A" w14:textId="77777777" w:rsidR="00FB4661" w:rsidRPr="00FB4661" w:rsidRDefault="00FB4661" w:rsidP="00FB4661">
      <w:pPr>
        <w:spacing w:before="100" w:beforeAutospacing="1" w:after="100" w:afterAutospacing="1" w:line="240" w:lineRule="auto"/>
        <w:outlineLvl w:val="0"/>
        <w:rPr>
          <w:rFonts w:eastAsia="Times New Roman" w:cs="Times New Roman"/>
          <w:b/>
          <w:bCs/>
          <w:kern w:val="36"/>
          <w:sz w:val="48"/>
          <w:szCs w:val="48"/>
          <w:lang w:eastAsia="de-DE"/>
        </w:rPr>
      </w:pPr>
      <w:r w:rsidRPr="00FB4661">
        <w:rPr>
          <w:rFonts w:eastAsia="Times New Roman" w:cs="Times New Roman"/>
          <w:b/>
          <w:bCs/>
          <w:kern w:val="36"/>
          <w:sz w:val="48"/>
          <w:szCs w:val="48"/>
          <w:lang w:eastAsia="de-DE"/>
        </w:rPr>
        <w:t>Numeri 10,9</w:t>
      </w:r>
    </w:p>
    <w:p w14:paraId="7F90820A"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lastRenderedPageBreak/>
        <w:t>Hebräisch:</w:t>
      </w:r>
      <w:r w:rsidRPr="00FB4661">
        <w:rPr>
          <w:rFonts w:eastAsia="Times New Roman" w:cs="Times New Roman"/>
          <w:lang w:eastAsia="de-DE"/>
        </w:rPr>
        <w:t xml:space="preserve"> </w:t>
      </w:r>
      <w:r w:rsidRPr="00FB4661">
        <w:rPr>
          <w:rFonts w:eastAsia="Times New Roman" w:cs="Times New Roman"/>
          <w:rtl/>
          <w:lang w:eastAsia="de-DE"/>
        </w:rPr>
        <w:t>וְכִֽי־תָבֹ֨אוּ מִלְחָמָ֜ה בְּאַרְצְכֶ֗ם עַל־הַצַּר֙ הַצֹּרֵ֣ר אֶתְכֶ֔ם וַהֲרֵעֹתֶ֖ם בַּחֲצֹצְר֑וֹת וֲנִזְכַּרְתֶּ֗ם לִפְנֵי֙ יְהוָ֣ה אֱלֹֽהֵיכֶ֔ם וְנוֹשַׁעְתֶּ֖ם מֵאֹיְבֵיכֶֽם׃</w:t>
      </w:r>
    </w:p>
    <w:p w14:paraId="65D9C66C"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Deutsch:</w:t>
      </w:r>
      <w:r w:rsidRPr="00FB4661">
        <w:rPr>
          <w:rFonts w:eastAsia="Times New Roman" w:cs="Times New Roman"/>
          <w:lang w:eastAsia="de-DE"/>
        </w:rPr>
        <w:t xml:space="preserve"> Und wenn ihr in eurem Land in den Krieg zieht gegen den Bedränger, der euch bedrängt, so sollt ihr mit den Trompeten Lärm blasen; und ihr werdet vor dem Angesicht des Ewigen, eures Gottes, gedacht werden, und ihr werdet von euren Feinden gerettet werden.</w:t>
      </w:r>
    </w:p>
    <w:p w14:paraId="6E9E02C2" w14:textId="77777777" w:rsidR="00FB4661" w:rsidRPr="00FB4661" w:rsidRDefault="00F329DD" w:rsidP="00FB4661">
      <w:pPr>
        <w:spacing w:after="0" w:line="240" w:lineRule="auto"/>
        <w:rPr>
          <w:rFonts w:eastAsia="Times New Roman" w:cs="Times New Roman"/>
          <w:lang w:eastAsia="de-DE"/>
        </w:rPr>
      </w:pPr>
      <w:r>
        <w:rPr>
          <w:rFonts w:eastAsia="Times New Roman" w:cs="Times New Roman"/>
          <w:noProof/>
          <w:lang w:eastAsia="de-DE"/>
        </w:rPr>
        <w:pict w14:anchorId="18D40182">
          <v:rect id="_x0000_i1352" style="width:0;height:1.5pt" o:hralign="center" o:hrstd="t" o:hr="t" fillcolor="#a0a0a0" stroked="f"/>
        </w:pict>
      </w:r>
    </w:p>
    <w:p w14:paraId="3EDCD166"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Kommentar:</w:t>
      </w:r>
      <w:r w:rsidRPr="00FB4661">
        <w:rPr>
          <w:rFonts w:eastAsia="Times New Roman" w:cs="Times New Roman"/>
          <w:lang w:eastAsia="de-DE"/>
        </w:rPr>
        <w:t xml:space="preserve"> Die konditionelle Bestimmung </w:t>
      </w:r>
      <w:r w:rsidRPr="00FB4661">
        <w:rPr>
          <w:rFonts w:eastAsia="Times New Roman" w:cs="Times New Roman"/>
          <w:b/>
          <w:bCs/>
          <w:rtl/>
          <w:lang w:eastAsia="de-DE"/>
        </w:rPr>
        <w:t>וְכִֽי־תָבֹ֨אוּ מִלְחָמָ֜ה בְּאַרְצְכֶ֗ם</w:t>
      </w:r>
      <w:r w:rsidRPr="00FB4661">
        <w:rPr>
          <w:rFonts w:eastAsia="Times New Roman" w:cs="Times New Roman"/>
          <w:rtl/>
          <w:lang w:eastAsia="de-DE"/>
        </w:rPr>
        <w:t xml:space="preserve"> </w:t>
      </w:r>
      <w:r w:rsidRPr="00FB4661">
        <w:rPr>
          <w:rFonts w:eastAsia="Times New Roman" w:cs="Times New Roman"/>
          <w:lang w:eastAsia="de-DE"/>
        </w:rPr>
        <w:t xml:space="preserve">zeigt einen Sprung in die Zeit nach der Landnahme. </w:t>
      </w:r>
      <w:r w:rsidRPr="00FB4661">
        <w:rPr>
          <w:rFonts w:eastAsia="Times New Roman" w:cs="Times New Roman"/>
          <w:b/>
          <w:bCs/>
          <w:rtl/>
          <w:lang w:eastAsia="de-DE"/>
        </w:rPr>
        <w:t>כִֽי־תָבֹ֨אוּ</w:t>
      </w:r>
      <w:r w:rsidRPr="00FB4661">
        <w:rPr>
          <w:rFonts w:eastAsia="Times New Roman" w:cs="Times New Roman"/>
          <w:rtl/>
          <w:lang w:eastAsia="de-DE"/>
        </w:rPr>
        <w:t xml:space="preserve"> </w:t>
      </w:r>
      <w:r w:rsidRPr="00FB4661">
        <w:rPr>
          <w:rFonts w:eastAsia="Times New Roman" w:cs="Times New Roman"/>
          <w:lang w:eastAsia="de-DE"/>
        </w:rPr>
        <w:t xml:space="preserve">mit </w:t>
      </w:r>
      <w:r w:rsidRPr="00FB4661">
        <w:rPr>
          <w:rFonts w:eastAsia="Times New Roman" w:cs="Times New Roman"/>
          <w:b/>
          <w:bCs/>
          <w:rtl/>
          <w:lang w:eastAsia="de-DE"/>
        </w:rPr>
        <w:t>כִי</w:t>
      </w:r>
      <w:r w:rsidRPr="00FB4661">
        <w:rPr>
          <w:rFonts w:eastAsia="Times New Roman" w:cs="Times New Roman"/>
          <w:rtl/>
          <w:lang w:eastAsia="de-DE"/>
        </w:rPr>
        <w:t xml:space="preserve"> </w:t>
      </w:r>
      <w:r w:rsidRPr="00FB4661">
        <w:rPr>
          <w:rFonts w:eastAsia="Times New Roman" w:cs="Times New Roman"/>
          <w:lang w:eastAsia="de-DE"/>
        </w:rPr>
        <w:t xml:space="preserve">(wenn) und </w:t>
      </w:r>
      <w:r w:rsidRPr="00FB4661">
        <w:rPr>
          <w:rFonts w:eastAsia="Times New Roman" w:cs="Times New Roman"/>
          <w:b/>
          <w:bCs/>
          <w:rtl/>
          <w:lang w:eastAsia="de-DE"/>
        </w:rPr>
        <w:t>תָבֹ֨אוּ</w:t>
      </w:r>
      <w:r w:rsidRPr="00FB4661">
        <w:rPr>
          <w:rFonts w:eastAsia="Times New Roman" w:cs="Times New Roman"/>
          <w:rtl/>
          <w:lang w:eastAsia="de-DE"/>
        </w:rPr>
        <w:t xml:space="preserve"> </w:t>
      </w:r>
      <w:r w:rsidRPr="00FB4661">
        <w:rPr>
          <w:rFonts w:eastAsia="Times New Roman" w:cs="Times New Roman"/>
          <w:lang w:eastAsia="de-DE"/>
        </w:rPr>
        <w:t xml:space="preserve">von </w:t>
      </w:r>
      <w:r w:rsidRPr="00FB4661">
        <w:rPr>
          <w:rFonts w:eastAsia="Times New Roman" w:cs="Times New Roman"/>
          <w:b/>
          <w:bCs/>
          <w:rtl/>
          <w:lang w:eastAsia="de-DE"/>
        </w:rPr>
        <w:t>בוא</w:t>
      </w:r>
      <w:r w:rsidRPr="00FB4661">
        <w:rPr>
          <w:rFonts w:eastAsia="Times New Roman" w:cs="Times New Roman"/>
          <w:rtl/>
          <w:lang w:eastAsia="de-DE"/>
        </w:rPr>
        <w:t xml:space="preserve"> </w:t>
      </w:r>
      <w:r w:rsidRPr="00FB4661">
        <w:rPr>
          <w:rFonts w:eastAsia="Times New Roman" w:cs="Times New Roman"/>
          <w:lang w:eastAsia="de-DE"/>
        </w:rPr>
        <w:t xml:space="preserve">(kommen) im Qal-Imperfekt 2. maskulin Plural zeigt zukünftige Situationen. </w:t>
      </w:r>
      <w:r w:rsidRPr="00FB4661">
        <w:rPr>
          <w:rFonts w:eastAsia="Times New Roman" w:cs="Times New Roman"/>
          <w:b/>
          <w:bCs/>
          <w:rtl/>
          <w:lang w:eastAsia="de-DE"/>
        </w:rPr>
        <w:t>מִלְחָמָ֜ה</w:t>
      </w:r>
      <w:r w:rsidRPr="00FB4661">
        <w:rPr>
          <w:rFonts w:eastAsia="Times New Roman" w:cs="Times New Roman"/>
          <w:rtl/>
          <w:lang w:eastAsia="de-DE"/>
        </w:rPr>
        <w:t xml:space="preserve"> </w:t>
      </w:r>
      <w:r w:rsidRPr="00FB4661">
        <w:rPr>
          <w:rFonts w:eastAsia="Times New Roman" w:cs="Times New Roman"/>
          <w:lang w:eastAsia="de-DE"/>
        </w:rPr>
        <w:t xml:space="preserve">(in den Krieg) von </w:t>
      </w:r>
      <w:r w:rsidRPr="00FB4661">
        <w:rPr>
          <w:rFonts w:eastAsia="Times New Roman" w:cs="Times New Roman"/>
          <w:b/>
          <w:bCs/>
          <w:rtl/>
          <w:lang w:eastAsia="de-DE"/>
        </w:rPr>
        <w:t>לחם</w:t>
      </w:r>
      <w:r w:rsidRPr="00FB4661">
        <w:rPr>
          <w:rFonts w:eastAsia="Times New Roman" w:cs="Times New Roman"/>
          <w:rtl/>
          <w:lang w:eastAsia="de-DE"/>
        </w:rPr>
        <w:t xml:space="preserve"> </w:t>
      </w:r>
      <w:r w:rsidRPr="00FB4661">
        <w:rPr>
          <w:rFonts w:eastAsia="Times New Roman" w:cs="Times New Roman"/>
          <w:lang w:eastAsia="de-DE"/>
        </w:rPr>
        <w:t xml:space="preserve">(kämpfen) zeigt den militärischen Kontext. </w:t>
      </w:r>
      <w:r w:rsidRPr="00FB4661">
        <w:rPr>
          <w:rFonts w:eastAsia="Times New Roman" w:cs="Times New Roman"/>
          <w:b/>
          <w:bCs/>
          <w:rtl/>
          <w:lang w:eastAsia="de-DE"/>
        </w:rPr>
        <w:t>בְּאַרְצְכֶ֗ם</w:t>
      </w:r>
      <w:r w:rsidRPr="00FB4661">
        <w:rPr>
          <w:rFonts w:eastAsia="Times New Roman" w:cs="Times New Roman"/>
          <w:rtl/>
          <w:lang w:eastAsia="de-DE"/>
        </w:rPr>
        <w:t xml:space="preserve"> </w:t>
      </w:r>
      <w:r w:rsidRPr="00FB4661">
        <w:rPr>
          <w:rFonts w:eastAsia="Times New Roman" w:cs="Times New Roman"/>
          <w:lang w:eastAsia="de-DE"/>
        </w:rPr>
        <w:t>(in eurem Land) mit Possessivsuffix 2. maskulin Plural impliziert die erfolgreiche Landnahme und Besiedlung.</w:t>
      </w:r>
    </w:p>
    <w:p w14:paraId="385A18E3"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Spezifikation </w:t>
      </w:r>
      <w:r w:rsidRPr="00FB4661">
        <w:rPr>
          <w:rFonts w:eastAsia="Times New Roman" w:cs="Times New Roman"/>
          <w:b/>
          <w:bCs/>
          <w:rtl/>
          <w:lang w:eastAsia="de-DE"/>
        </w:rPr>
        <w:t>עַל־הַצַּר֙ הַצֹּרֵ֣ר אֶתְכֶ֔ם</w:t>
      </w:r>
      <w:r w:rsidRPr="00FB4661">
        <w:rPr>
          <w:rFonts w:eastAsia="Times New Roman" w:cs="Times New Roman"/>
          <w:rtl/>
          <w:lang w:eastAsia="de-DE"/>
        </w:rPr>
        <w:t xml:space="preserve"> </w:t>
      </w:r>
      <w:r w:rsidRPr="00FB4661">
        <w:rPr>
          <w:rFonts w:eastAsia="Times New Roman" w:cs="Times New Roman"/>
          <w:lang w:eastAsia="de-DE"/>
        </w:rPr>
        <w:t xml:space="preserve">definiert den Kriegstyp. </w:t>
      </w:r>
      <w:r w:rsidRPr="00FB4661">
        <w:rPr>
          <w:rFonts w:eastAsia="Times New Roman" w:cs="Times New Roman"/>
          <w:b/>
          <w:bCs/>
          <w:rtl/>
          <w:lang w:eastAsia="de-DE"/>
        </w:rPr>
        <w:t>הַצַּר֙</w:t>
      </w:r>
      <w:r w:rsidRPr="00FB4661">
        <w:rPr>
          <w:rFonts w:eastAsia="Times New Roman" w:cs="Times New Roman"/>
          <w:rtl/>
          <w:lang w:eastAsia="de-DE"/>
        </w:rPr>
        <w:t xml:space="preserve"> </w:t>
      </w:r>
      <w:r w:rsidRPr="00FB4661">
        <w:rPr>
          <w:rFonts w:eastAsia="Times New Roman" w:cs="Times New Roman"/>
          <w:lang w:eastAsia="de-DE"/>
        </w:rPr>
        <w:t xml:space="preserve">(der Bedränger) von </w:t>
      </w:r>
      <w:r w:rsidRPr="00FB4661">
        <w:rPr>
          <w:rFonts w:eastAsia="Times New Roman" w:cs="Times New Roman"/>
          <w:b/>
          <w:bCs/>
          <w:rtl/>
          <w:lang w:eastAsia="de-DE"/>
        </w:rPr>
        <w:t>צרר</w:t>
      </w:r>
      <w:r w:rsidRPr="00FB4661">
        <w:rPr>
          <w:rFonts w:eastAsia="Times New Roman" w:cs="Times New Roman"/>
          <w:rtl/>
          <w:lang w:eastAsia="de-DE"/>
        </w:rPr>
        <w:t xml:space="preserve"> </w:t>
      </w:r>
      <w:r w:rsidRPr="00FB4661">
        <w:rPr>
          <w:rFonts w:eastAsia="Times New Roman" w:cs="Times New Roman"/>
          <w:lang w:eastAsia="de-DE"/>
        </w:rPr>
        <w:t xml:space="preserve">(bedrängen/feindlich sein) mit </w:t>
      </w:r>
      <w:r w:rsidRPr="00FB4661">
        <w:rPr>
          <w:rFonts w:eastAsia="Times New Roman" w:cs="Times New Roman"/>
          <w:b/>
          <w:bCs/>
          <w:rtl/>
          <w:lang w:eastAsia="de-DE"/>
        </w:rPr>
        <w:t>הַצֹּרֵ֣ר אֶתְכֶ֔ם</w:t>
      </w:r>
      <w:r w:rsidRPr="00FB4661">
        <w:rPr>
          <w:rFonts w:eastAsia="Times New Roman" w:cs="Times New Roman"/>
          <w:rtl/>
          <w:lang w:eastAsia="de-DE"/>
        </w:rPr>
        <w:t xml:space="preserve"> </w:t>
      </w:r>
      <w:r w:rsidRPr="00FB4661">
        <w:rPr>
          <w:rFonts w:eastAsia="Times New Roman" w:cs="Times New Roman"/>
          <w:lang w:eastAsia="de-DE"/>
        </w:rPr>
        <w:t>(der euch bedrängt) als Partizip mit Objektsuffix zeigt aktive Bedrängnis. Dies bezeichnet Defensivkriege gegen Angreifer, nicht Eroberungskriege.</w:t>
      </w:r>
    </w:p>
    <w:p w14:paraId="73798657"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Anweisung </w:t>
      </w:r>
      <w:r w:rsidRPr="00FB4661">
        <w:rPr>
          <w:rFonts w:eastAsia="Times New Roman" w:cs="Times New Roman"/>
          <w:b/>
          <w:bCs/>
          <w:rtl/>
          <w:lang w:eastAsia="de-DE"/>
        </w:rPr>
        <w:t>וַהֲרֵעֹתֶ֖ם בַּחֲצֹצְר֑וֹת</w:t>
      </w:r>
      <w:r w:rsidRPr="00FB4661">
        <w:rPr>
          <w:rFonts w:eastAsia="Times New Roman" w:cs="Times New Roman"/>
          <w:rtl/>
          <w:lang w:eastAsia="de-DE"/>
        </w:rPr>
        <w:t xml:space="preserve"> </w:t>
      </w:r>
      <w:r w:rsidRPr="00FB4661">
        <w:rPr>
          <w:rFonts w:eastAsia="Times New Roman" w:cs="Times New Roman"/>
          <w:lang w:eastAsia="de-DE"/>
        </w:rPr>
        <w:t xml:space="preserve">führt eine neue Trompetenfunktion ein. </w:t>
      </w:r>
      <w:r w:rsidRPr="00FB4661">
        <w:rPr>
          <w:rFonts w:eastAsia="Times New Roman" w:cs="Times New Roman"/>
          <w:b/>
          <w:bCs/>
          <w:rtl/>
          <w:lang w:eastAsia="de-DE"/>
        </w:rPr>
        <w:t>הֲרֵעֹתֶ֖ם</w:t>
      </w:r>
      <w:r w:rsidRPr="00FB4661">
        <w:rPr>
          <w:rFonts w:eastAsia="Times New Roman" w:cs="Times New Roman"/>
          <w:rtl/>
          <w:lang w:eastAsia="de-DE"/>
        </w:rPr>
        <w:t xml:space="preserve"> </w:t>
      </w:r>
      <w:r w:rsidRPr="00FB4661">
        <w:rPr>
          <w:rFonts w:eastAsia="Times New Roman" w:cs="Times New Roman"/>
          <w:lang w:eastAsia="de-DE"/>
        </w:rPr>
        <w:t xml:space="preserve">von </w:t>
      </w:r>
      <w:r w:rsidRPr="00FB4661">
        <w:rPr>
          <w:rFonts w:eastAsia="Times New Roman" w:cs="Times New Roman"/>
          <w:b/>
          <w:bCs/>
          <w:rtl/>
          <w:lang w:eastAsia="de-DE"/>
        </w:rPr>
        <w:t>רוע</w:t>
      </w:r>
      <w:r w:rsidRPr="00FB4661">
        <w:rPr>
          <w:rFonts w:eastAsia="Times New Roman" w:cs="Times New Roman"/>
          <w:rtl/>
          <w:lang w:eastAsia="de-DE"/>
        </w:rPr>
        <w:t xml:space="preserve"> </w:t>
      </w:r>
      <w:r w:rsidRPr="00FB4661">
        <w:rPr>
          <w:rFonts w:eastAsia="Times New Roman" w:cs="Times New Roman"/>
          <w:lang w:eastAsia="de-DE"/>
        </w:rPr>
        <w:t xml:space="preserve">(Lärm machen) im Hiph'il-Perfekt 2. maskulin Plural zeigt das </w:t>
      </w:r>
      <w:r w:rsidRPr="00FB4661">
        <w:rPr>
          <w:rFonts w:eastAsia="Times New Roman" w:cs="Times New Roman"/>
          <w:b/>
          <w:bCs/>
          <w:rtl/>
          <w:lang w:eastAsia="de-DE"/>
        </w:rPr>
        <w:t>תְּרוּעָ֥ה</w:t>
      </w:r>
      <w:r w:rsidRPr="00FB4661">
        <w:rPr>
          <w:rFonts w:eastAsia="Times New Roman" w:cs="Times New Roman"/>
          <w:lang w:eastAsia="de-DE"/>
        </w:rPr>
        <w:t xml:space="preserve">-Blasen im Kriegskontext. </w:t>
      </w:r>
      <w:r w:rsidRPr="00FB4661">
        <w:rPr>
          <w:rFonts w:eastAsia="Times New Roman" w:cs="Times New Roman"/>
          <w:b/>
          <w:bCs/>
          <w:rtl/>
          <w:lang w:eastAsia="de-DE"/>
        </w:rPr>
        <w:t>בַּחֲצֹצְר֑וֹת</w:t>
      </w:r>
      <w:r w:rsidRPr="00FB4661">
        <w:rPr>
          <w:rFonts w:eastAsia="Times New Roman" w:cs="Times New Roman"/>
          <w:rtl/>
          <w:lang w:eastAsia="de-DE"/>
        </w:rPr>
        <w:t xml:space="preserve"> </w:t>
      </w:r>
      <w:r w:rsidRPr="00FB4661">
        <w:rPr>
          <w:rFonts w:eastAsia="Times New Roman" w:cs="Times New Roman"/>
          <w:lang w:eastAsia="de-DE"/>
        </w:rPr>
        <w:t>(mit den Trompeten) verweist auf dieselben heiligen Instrumente.</w:t>
      </w:r>
    </w:p>
    <w:p w14:paraId="1823BB8F"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theologische Verheißung </w:t>
      </w:r>
      <w:r w:rsidRPr="00FB4661">
        <w:rPr>
          <w:rFonts w:eastAsia="Times New Roman" w:cs="Times New Roman"/>
          <w:b/>
          <w:bCs/>
          <w:rtl/>
          <w:lang w:eastAsia="de-DE"/>
        </w:rPr>
        <w:t>וֲנִזְכַּרְתֶּ֗ם לִפְנֵי֙ יְהוָ֣ה אֱלֹֽהֵיכֶ֔ם</w:t>
      </w:r>
      <w:r w:rsidRPr="00FB4661">
        <w:rPr>
          <w:rFonts w:eastAsia="Times New Roman" w:cs="Times New Roman"/>
          <w:rtl/>
          <w:lang w:eastAsia="de-DE"/>
        </w:rPr>
        <w:t xml:space="preserve"> </w:t>
      </w:r>
      <w:r w:rsidRPr="00FB4661">
        <w:rPr>
          <w:rFonts w:eastAsia="Times New Roman" w:cs="Times New Roman"/>
          <w:lang w:eastAsia="de-DE"/>
        </w:rPr>
        <w:t xml:space="preserve">zeigt die spirituelle Wirkung des Trompetenblasens. </w:t>
      </w:r>
      <w:r w:rsidRPr="00FB4661">
        <w:rPr>
          <w:rFonts w:eastAsia="Times New Roman" w:cs="Times New Roman"/>
          <w:b/>
          <w:bCs/>
          <w:rtl/>
          <w:lang w:eastAsia="de-DE"/>
        </w:rPr>
        <w:t>נִזְכַּרְתֶּ֗ם</w:t>
      </w:r>
      <w:r w:rsidRPr="00FB4661">
        <w:rPr>
          <w:rFonts w:eastAsia="Times New Roman" w:cs="Times New Roman"/>
          <w:rtl/>
          <w:lang w:eastAsia="de-DE"/>
        </w:rPr>
        <w:t xml:space="preserve"> </w:t>
      </w:r>
      <w:r w:rsidRPr="00FB4661">
        <w:rPr>
          <w:rFonts w:eastAsia="Times New Roman" w:cs="Times New Roman"/>
          <w:lang w:eastAsia="de-DE"/>
        </w:rPr>
        <w:t xml:space="preserve">von </w:t>
      </w:r>
      <w:r w:rsidRPr="00FB4661">
        <w:rPr>
          <w:rFonts w:eastAsia="Times New Roman" w:cs="Times New Roman"/>
          <w:b/>
          <w:bCs/>
          <w:rtl/>
          <w:lang w:eastAsia="de-DE"/>
        </w:rPr>
        <w:t>זכר</w:t>
      </w:r>
      <w:r w:rsidRPr="00FB4661">
        <w:rPr>
          <w:rFonts w:eastAsia="Times New Roman" w:cs="Times New Roman"/>
          <w:rtl/>
          <w:lang w:eastAsia="de-DE"/>
        </w:rPr>
        <w:t xml:space="preserve"> </w:t>
      </w:r>
      <w:r w:rsidRPr="00FB4661">
        <w:rPr>
          <w:rFonts w:eastAsia="Times New Roman" w:cs="Times New Roman"/>
          <w:lang w:eastAsia="de-DE"/>
        </w:rPr>
        <w:t xml:space="preserve">(gedenken) im Niph'al-Perfekt 2. maskulin Plural bedeutet "ihr werdet gedacht werden" - das Trompetenblasen bewirkt göttliches Gedenken. </w:t>
      </w:r>
      <w:r w:rsidRPr="00FB4661">
        <w:rPr>
          <w:rFonts w:eastAsia="Times New Roman" w:cs="Times New Roman"/>
          <w:b/>
          <w:bCs/>
          <w:rtl/>
          <w:lang w:eastAsia="de-DE"/>
        </w:rPr>
        <w:t>לִפְנֵי֙ יְהוָ֣ה אֱלֹֽהֵיכֶ֔ם</w:t>
      </w:r>
      <w:r w:rsidRPr="00FB4661">
        <w:rPr>
          <w:rFonts w:eastAsia="Times New Roman" w:cs="Times New Roman"/>
          <w:rtl/>
          <w:lang w:eastAsia="de-DE"/>
        </w:rPr>
        <w:t xml:space="preserve"> </w:t>
      </w:r>
      <w:r w:rsidRPr="00FB4661">
        <w:rPr>
          <w:rFonts w:eastAsia="Times New Roman" w:cs="Times New Roman"/>
          <w:lang w:eastAsia="de-DE"/>
        </w:rPr>
        <w:t>(vor dem Angesicht des Ewigen eures Gottes) zeigt die göttliche Aufmerksamkeit.</w:t>
      </w:r>
    </w:p>
    <w:p w14:paraId="2DDF0B7B"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Das Resultat </w:t>
      </w:r>
      <w:r w:rsidRPr="00FB4661">
        <w:rPr>
          <w:rFonts w:eastAsia="Times New Roman" w:cs="Times New Roman"/>
          <w:b/>
          <w:bCs/>
          <w:rtl/>
          <w:lang w:eastAsia="de-DE"/>
        </w:rPr>
        <w:t>וְנוֹשַׁעְתֶּ֖ם מֵאֹיְבֵיכֶֽם</w:t>
      </w:r>
      <w:r w:rsidRPr="00FB4661">
        <w:rPr>
          <w:rFonts w:eastAsia="Times New Roman" w:cs="Times New Roman"/>
          <w:rtl/>
          <w:lang w:eastAsia="de-DE"/>
        </w:rPr>
        <w:t xml:space="preserve"> </w:t>
      </w:r>
      <w:r w:rsidRPr="00FB4661">
        <w:rPr>
          <w:rFonts w:eastAsia="Times New Roman" w:cs="Times New Roman"/>
          <w:lang w:eastAsia="de-DE"/>
        </w:rPr>
        <w:t xml:space="preserve">verheißt göttliche Rettung. </w:t>
      </w:r>
      <w:r w:rsidRPr="00FB4661">
        <w:rPr>
          <w:rFonts w:eastAsia="Times New Roman" w:cs="Times New Roman"/>
          <w:b/>
          <w:bCs/>
          <w:rtl/>
          <w:lang w:eastAsia="de-DE"/>
        </w:rPr>
        <w:t>נוֹשַׁעְתֶּ֖ם</w:t>
      </w:r>
      <w:r w:rsidRPr="00FB4661">
        <w:rPr>
          <w:rFonts w:eastAsia="Times New Roman" w:cs="Times New Roman"/>
          <w:rtl/>
          <w:lang w:eastAsia="de-DE"/>
        </w:rPr>
        <w:t xml:space="preserve"> </w:t>
      </w:r>
      <w:r w:rsidRPr="00FB4661">
        <w:rPr>
          <w:rFonts w:eastAsia="Times New Roman" w:cs="Times New Roman"/>
          <w:lang w:eastAsia="de-DE"/>
        </w:rPr>
        <w:t xml:space="preserve">von </w:t>
      </w:r>
      <w:r w:rsidRPr="00FB4661">
        <w:rPr>
          <w:rFonts w:eastAsia="Times New Roman" w:cs="Times New Roman"/>
          <w:b/>
          <w:bCs/>
          <w:rtl/>
          <w:lang w:eastAsia="de-DE"/>
        </w:rPr>
        <w:t>ישע</w:t>
      </w:r>
      <w:r w:rsidRPr="00FB4661">
        <w:rPr>
          <w:rFonts w:eastAsia="Times New Roman" w:cs="Times New Roman"/>
          <w:rtl/>
          <w:lang w:eastAsia="de-DE"/>
        </w:rPr>
        <w:t xml:space="preserve"> </w:t>
      </w:r>
      <w:r w:rsidRPr="00FB4661">
        <w:rPr>
          <w:rFonts w:eastAsia="Times New Roman" w:cs="Times New Roman"/>
          <w:lang w:eastAsia="de-DE"/>
        </w:rPr>
        <w:t xml:space="preserve">(retten) im Niph'al-Perfekt 2. maskulin Plural zeigt göttliche Rettungshandlung. </w:t>
      </w:r>
      <w:r w:rsidRPr="00FB4661">
        <w:rPr>
          <w:rFonts w:eastAsia="Times New Roman" w:cs="Times New Roman"/>
          <w:b/>
          <w:bCs/>
          <w:rtl/>
          <w:lang w:eastAsia="de-DE"/>
        </w:rPr>
        <w:t>מֵאֹיְבֵיכֶֽם</w:t>
      </w:r>
      <w:r w:rsidRPr="00FB4661">
        <w:rPr>
          <w:rFonts w:eastAsia="Times New Roman" w:cs="Times New Roman"/>
          <w:rtl/>
          <w:lang w:eastAsia="de-DE"/>
        </w:rPr>
        <w:t xml:space="preserve"> </w:t>
      </w:r>
      <w:r w:rsidRPr="00FB4661">
        <w:rPr>
          <w:rFonts w:eastAsia="Times New Roman" w:cs="Times New Roman"/>
          <w:lang w:eastAsia="de-DE"/>
        </w:rPr>
        <w:t>(von euren Feinden) mit Possessivsuffix zeigt die Befreiung von Bedrängern.</w:t>
      </w:r>
    </w:p>
    <w:p w14:paraId="60C83FCE" w14:textId="3AF5B564" w:rsid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Die LXX</w:t>
      </w:r>
      <w:r w:rsidRPr="00FB4661">
        <w:rPr>
          <w:rFonts w:eastAsia="Times New Roman" w:cs="Times New Roman"/>
          <w:lang w:eastAsia="de-DE"/>
        </w:rPr>
        <w:t xml:space="preserve"> übersetzt </w:t>
      </w:r>
      <w:r w:rsidRPr="00FB4661">
        <w:rPr>
          <w:rFonts w:eastAsia="Times New Roman" w:cs="Times New Roman"/>
          <w:b/>
          <w:bCs/>
          <w:rtl/>
          <w:lang w:eastAsia="de-DE"/>
        </w:rPr>
        <w:t>הַצַּר֙ הַצֹּרֵ֣ר</w:t>
      </w:r>
      <w:r w:rsidRPr="00FB4661">
        <w:rPr>
          <w:rFonts w:eastAsia="Times New Roman" w:cs="Times New Roman"/>
          <w:rtl/>
          <w:lang w:eastAsia="de-DE"/>
        </w:rPr>
        <w:t xml:space="preserve"> </w:t>
      </w:r>
      <w:r w:rsidRPr="00FB4661">
        <w:rPr>
          <w:rFonts w:eastAsia="Times New Roman" w:cs="Times New Roman"/>
          <w:lang w:eastAsia="de-DE"/>
        </w:rPr>
        <w:t xml:space="preserve">mit τὸν ἐχθρὸν τὸν ἐφεστηκότα (der Feind, der darüber steht) und </w:t>
      </w:r>
      <w:r w:rsidRPr="00FB4661">
        <w:rPr>
          <w:rFonts w:eastAsia="Times New Roman" w:cs="Times New Roman"/>
          <w:b/>
          <w:bCs/>
          <w:rtl/>
          <w:lang w:eastAsia="de-DE"/>
        </w:rPr>
        <w:t>הֲרֵעֹתֶ֖ם</w:t>
      </w:r>
      <w:r w:rsidRPr="00FB4661">
        <w:rPr>
          <w:rFonts w:eastAsia="Times New Roman" w:cs="Times New Roman"/>
          <w:rtl/>
          <w:lang w:eastAsia="de-DE"/>
        </w:rPr>
        <w:t xml:space="preserve"> </w:t>
      </w:r>
      <w:r w:rsidRPr="00FB4661">
        <w:rPr>
          <w:rFonts w:eastAsia="Times New Roman" w:cs="Times New Roman"/>
          <w:lang w:eastAsia="de-DE"/>
        </w:rPr>
        <w:t>mit σημανεῖτε (ihr sollt signalisieren).</w:t>
      </w:r>
    </w:p>
    <w:p w14:paraId="7F3C92BE" w14:textId="744AB9AC" w:rsidR="00593666" w:rsidRDefault="00593666" w:rsidP="00FB4661">
      <w:pPr>
        <w:spacing w:before="100" w:beforeAutospacing="1" w:after="100" w:afterAutospacing="1" w:line="240" w:lineRule="auto"/>
        <w:rPr>
          <w:rFonts w:eastAsia="Times New Roman" w:cs="Times New Roman"/>
          <w:lang w:eastAsia="de-DE"/>
        </w:rPr>
      </w:pPr>
      <w:r>
        <w:t>Die Satzstruktur von Vers 9 ist ein Konditionalgefüge. Die Protasis enthält "wenn ihr in den Krieg geht gegen den Bedränger" (Imperfekt). Die Apodosis besteht aus drei durch Perfekta consecutiva verbundenen Folgen: "ihr sollt blasen", "ihr werdet erinnert" und "ihr werdet gerettet".</w:t>
      </w:r>
    </w:p>
    <w:p w14:paraId="20A804D5" w14:textId="226652AE" w:rsidR="00497CF8" w:rsidRPr="00FB4661" w:rsidRDefault="00497CF8" w:rsidP="00FB4661">
      <w:pPr>
        <w:spacing w:before="100" w:beforeAutospacing="1" w:after="100" w:afterAutospacing="1" w:line="240" w:lineRule="auto"/>
        <w:rPr>
          <w:rFonts w:eastAsia="Times New Roman" w:cs="Times New Roman"/>
          <w:lang w:eastAsia="de-DE"/>
        </w:rPr>
      </w:pPr>
      <w:r>
        <w:t>Wenn Israel in den Krieg zieht gegen Feinde, die es bedrängen, soll mit den Trompeten Alarm geblasen werden, damit Gott sich an sie erinnert und sie rettet.</w:t>
      </w:r>
    </w:p>
    <w:p w14:paraId="49EA1775" w14:textId="77777777" w:rsidR="00FB4661" w:rsidRPr="00FB4661" w:rsidRDefault="00FB4661" w:rsidP="00FB4661">
      <w:pPr>
        <w:spacing w:before="100" w:beforeAutospacing="1" w:after="100" w:afterAutospacing="1" w:line="240" w:lineRule="auto"/>
        <w:outlineLvl w:val="0"/>
        <w:rPr>
          <w:rFonts w:eastAsia="Times New Roman" w:cs="Times New Roman"/>
          <w:b/>
          <w:bCs/>
          <w:kern w:val="36"/>
          <w:sz w:val="48"/>
          <w:szCs w:val="48"/>
          <w:lang w:eastAsia="de-DE"/>
        </w:rPr>
      </w:pPr>
      <w:r w:rsidRPr="00FB4661">
        <w:rPr>
          <w:rFonts w:eastAsia="Times New Roman" w:cs="Times New Roman"/>
          <w:b/>
          <w:bCs/>
          <w:kern w:val="36"/>
          <w:sz w:val="48"/>
          <w:szCs w:val="48"/>
          <w:lang w:eastAsia="de-DE"/>
        </w:rPr>
        <w:t>Numeri 10,10</w:t>
      </w:r>
    </w:p>
    <w:p w14:paraId="3492B4A7"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Hebräisch:</w:t>
      </w:r>
      <w:r w:rsidRPr="00FB4661">
        <w:rPr>
          <w:rFonts w:eastAsia="Times New Roman" w:cs="Times New Roman"/>
          <w:lang w:eastAsia="de-DE"/>
        </w:rPr>
        <w:t xml:space="preserve"> </w:t>
      </w:r>
      <w:r w:rsidRPr="00FB4661">
        <w:rPr>
          <w:rFonts w:eastAsia="Times New Roman" w:cs="Times New Roman"/>
          <w:rtl/>
          <w:lang w:eastAsia="de-DE"/>
        </w:rPr>
        <w:t>וּבְי֨וֹם שִׂמְחַתְכֶ֥ם וּֽבְמוֹעֲדֵיכֶם֮ וּבְרָאשֵׁ֣י חָדְשֵׁיכֶם֒ וּתְקַעְתֶּ֣ם בַּחֲצֹֽצְרֹ֗ת עַ֚ל עֹלֹ֣תֵיכֶ֔ם וְעַ֖ל זִבְחֵ֣י שַׁלְמֵיכֶ֑ם וְהָי֨וּ לָכֶ֤ם לְזִכָּרוֹן֙ לִפְנֵ֣י אֱלֹֽהֵיכֶ֔ם אֲנִ֖י יְהוָ֥ה אֱלֹהֵיכֶֽם׃</w:t>
      </w:r>
    </w:p>
    <w:p w14:paraId="7B2939A4"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lastRenderedPageBreak/>
        <w:t>Deutsch:</w:t>
      </w:r>
      <w:r w:rsidRPr="00FB4661">
        <w:rPr>
          <w:rFonts w:eastAsia="Times New Roman" w:cs="Times New Roman"/>
          <w:lang w:eastAsia="de-DE"/>
        </w:rPr>
        <w:t xml:space="preserve"> Und an euren Freudentagen und an euren Festen und an euren Neumonden, da sollt ihr in die Trompeten stoßen bei euren Aufsteigeopfern und bei euren Friedensopfern; und sie sollen euch zum Gedächtnis sein vor dem Angesicht eures Gottes. Ich bin der Ewige, euer Gott.</w:t>
      </w:r>
    </w:p>
    <w:p w14:paraId="779533A6" w14:textId="77777777" w:rsidR="00FB4661" w:rsidRPr="00FB4661" w:rsidRDefault="00F329DD" w:rsidP="00FB4661">
      <w:pPr>
        <w:spacing w:after="0" w:line="240" w:lineRule="auto"/>
        <w:rPr>
          <w:rFonts w:eastAsia="Times New Roman" w:cs="Times New Roman"/>
          <w:lang w:eastAsia="de-DE"/>
        </w:rPr>
      </w:pPr>
      <w:r>
        <w:rPr>
          <w:rFonts w:eastAsia="Times New Roman" w:cs="Times New Roman"/>
          <w:noProof/>
          <w:lang w:eastAsia="de-DE"/>
        </w:rPr>
        <w:pict w14:anchorId="573C6970">
          <v:rect id="_x0000_i1353" style="width:0;height:1.5pt" o:hralign="center" o:hrstd="t" o:hr="t" fillcolor="#a0a0a0" stroked="f"/>
        </w:pict>
      </w:r>
    </w:p>
    <w:p w14:paraId="31EB56E0"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Kommentar:</w:t>
      </w:r>
      <w:r w:rsidRPr="00FB4661">
        <w:rPr>
          <w:rFonts w:eastAsia="Times New Roman" w:cs="Times New Roman"/>
          <w:lang w:eastAsia="de-DE"/>
        </w:rPr>
        <w:t xml:space="preserve"> Die dreifache liturgische Zeitangabe </w:t>
      </w:r>
      <w:r w:rsidRPr="00FB4661">
        <w:rPr>
          <w:rFonts w:eastAsia="Times New Roman" w:cs="Times New Roman"/>
          <w:b/>
          <w:bCs/>
          <w:rtl/>
          <w:lang w:eastAsia="de-DE"/>
        </w:rPr>
        <w:t>וּבְי֨וֹם שִׂמְחַתְכֶ֥ם וּֽבְמוֹעֲדֵיכֶם֮ וּבְרָאשֵׁ֣י חָדְשֵׁיכֶם֒</w:t>
      </w:r>
      <w:r w:rsidRPr="00FB4661">
        <w:rPr>
          <w:rFonts w:eastAsia="Times New Roman" w:cs="Times New Roman"/>
          <w:rtl/>
          <w:lang w:eastAsia="de-DE"/>
        </w:rPr>
        <w:t xml:space="preserve"> </w:t>
      </w:r>
      <w:r w:rsidRPr="00FB4661">
        <w:rPr>
          <w:rFonts w:eastAsia="Times New Roman" w:cs="Times New Roman"/>
          <w:lang w:eastAsia="de-DE"/>
        </w:rPr>
        <w:t xml:space="preserve">etabliert verschiedene kategorien festlicher Anlässe für das Trompetenblasen. </w:t>
      </w:r>
      <w:r w:rsidRPr="00FB4661">
        <w:rPr>
          <w:rFonts w:eastAsia="Times New Roman" w:cs="Times New Roman"/>
          <w:b/>
          <w:bCs/>
          <w:rtl/>
          <w:lang w:eastAsia="de-DE"/>
        </w:rPr>
        <w:t>יוֹם שִׂמְחַתְכֶ֥ם</w:t>
      </w:r>
      <w:r w:rsidRPr="00FB4661">
        <w:rPr>
          <w:rFonts w:eastAsia="Times New Roman" w:cs="Times New Roman"/>
          <w:rtl/>
          <w:lang w:eastAsia="de-DE"/>
        </w:rPr>
        <w:t xml:space="preserve"> </w:t>
      </w:r>
      <w:r w:rsidRPr="00FB4661">
        <w:rPr>
          <w:rFonts w:eastAsia="Times New Roman" w:cs="Times New Roman"/>
          <w:lang w:eastAsia="de-DE"/>
        </w:rPr>
        <w:t xml:space="preserve">(Tag eurer Freude) mit </w:t>
      </w:r>
      <w:r w:rsidRPr="00FB4661">
        <w:rPr>
          <w:rFonts w:eastAsia="Times New Roman" w:cs="Times New Roman"/>
          <w:b/>
          <w:bCs/>
          <w:rtl/>
          <w:lang w:eastAsia="de-DE"/>
        </w:rPr>
        <w:t>שִׂמְחָה</w:t>
      </w:r>
      <w:r w:rsidRPr="00FB4661">
        <w:rPr>
          <w:rFonts w:eastAsia="Times New Roman" w:cs="Times New Roman"/>
          <w:rtl/>
          <w:lang w:eastAsia="de-DE"/>
        </w:rPr>
        <w:t xml:space="preserve"> </w:t>
      </w:r>
      <w:r w:rsidRPr="00FB4661">
        <w:rPr>
          <w:rFonts w:eastAsia="Times New Roman" w:cs="Times New Roman"/>
          <w:lang w:eastAsia="de-DE"/>
        </w:rPr>
        <w:t xml:space="preserve">von der Wurzel </w:t>
      </w:r>
      <w:r w:rsidRPr="00FB4661">
        <w:rPr>
          <w:rFonts w:eastAsia="Times New Roman" w:cs="Times New Roman"/>
          <w:b/>
          <w:bCs/>
          <w:rtl/>
          <w:lang w:eastAsia="de-DE"/>
        </w:rPr>
        <w:t>שמח</w:t>
      </w:r>
      <w:r w:rsidRPr="00FB4661">
        <w:rPr>
          <w:rFonts w:eastAsia="Times New Roman" w:cs="Times New Roman"/>
          <w:rtl/>
          <w:lang w:eastAsia="de-DE"/>
        </w:rPr>
        <w:t xml:space="preserve"> </w:t>
      </w:r>
      <w:r w:rsidRPr="00FB4661">
        <w:rPr>
          <w:rFonts w:eastAsia="Times New Roman" w:cs="Times New Roman"/>
          <w:lang w:eastAsia="de-DE"/>
        </w:rPr>
        <w:t>(freuen) und Possessivsuffix 2. maskulin Plural bezeichnet allgemeine Freudentage, die nicht notwendigerweise zu den etablierten religiösen Feiertagen gehören - private oder gemeinschaftliche Feiern wie Hochzeiten, Geburten, Siege oder andere freudige Ereignisse.</w:t>
      </w:r>
    </w:p>
    <w:p w14:paraId="2C7094AF" w14:textId="297FB7FB"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מוֹעֲדֵיכֶם֮</w:t>
      </w:r>
      <w:r w:rsidRPr="00FB4661">
        <w:rPr>
          <w:rFonts w:eastAsia="Times New Roman" w:cs="Times New Roman"/>
          <w:rtl/>
          <w:lang w:eastAsia="de-DE"/>
        </w:rPr>
        <w:t xml:space="preserve"> </w:t>
      </w:r>
      <w:r w:rsidRPr="00FB4661">
        <w:rPr>
          <w:rFonts w:eastAsia="Times New Roman" w:cs="Times New Roman"/>
          <w:lang w:eastAsia="de-DE"/>
        </w:rPr>
        <w:t xml:space="preserve">(eure Feste) von der Wurzel </w:t>
      </w:r>
      <w:r w:rsidRPr="00FB4661">
        <w:rPr>
          <w:rFonts w:eastAsia="Times New Roman" w:cs="Times New Roman"/>
          <w:b/>
          <w:bCs/>
          <w:rtl/>
          <w:lang w:eastAsia="de-DE"/>
        </w:rPr>
        <w:t>יעד</w:t>
      </w:r>
      <w:r w:rsidRPr="00FB4661">
        <w:rPr>
          <w:rFonts w:eastAsia="Times New Roman" w:cs="Times New Roman"/>
          <w:rtl/>
          <w:lang w:eastAsia="de-DE"/>
        </w:rPr>
        <w:t xml:space="preserve"> </w:t>
      </w:r>
      <w:r w:rsidRPr="00FB4661">
        <w:rPr>
          <w:rFonts w:eastAsia="Times New Roman" w:cs="Times New Roman"/>
          <w:lang w:eastAsia="de-DE"/>
        </w:rPr>
        <w:t xml:space="preserve">(bestimmen/festsetzen) im </w:t>
      </w:r>
      <w:r w:rsidR="00F133EC">
        <w:rPr>
          <w:rFonts w:eastAsia="Times New Roman" w:cs="Times New Roman"/>
          <w:lang w:eastAsia="de-DE"/>
        </w:rPr>
        <w:t>Construct</w:t>
      </w:r>
      <w:r w:rsidRPr="00FB4661">
        <w:rPr>
          <w:rFonts w:eastAsia="Times New Roman" w:cs="Times New Roman"/>
          <w:lang w:eastAsia="de-DE"/>
        </w:rPr>
        <w:t xml:space="preserve"> mit Possessivsuffix bezeichnet die etablierten, gottgesetzten Feiertage wie </w:t>
      </w:r>
      <w:r w:rsidR="00E136DC">
        <w:rPr>
          <w:rFonts w:eastAsia="Times New Roman" w:cs="Times New Roman"/>
          <w:lang w:eastAsia="de-DE"/>
        </w:rPr>
        <w:t>Pesach</w:t>
      </w:r>
      <w:r w:rsidRPr="00FB4661">
        <w:rPr>
          <w:rFonts w:eastAsia="Times New Roman" w:cs="Times New Roman"/>
          <w:lang w:eastAsia="de-DE"/>
        </w:rPr>
        <w:t>, Schawuot, Sukkot, Rosch Haschana und Jom Kippur - die großen liturgischen Zyklen des jüdischen Kalenders.</w:t>
      </w:r>
    </w:p>
    <w:p w14:paraId="7604D816" w14:textId="61DEFF52"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רָאשֵׁ֣י חָדְשֵׁיכֶם֒</w:t>
      </w:r>
      <w:r w:rsidRPr="00FB4661">
        <w:rPr>
          <w:rFonts w:eastAsia="Times New Roman" w:cs="Times New Roman"/>
          <w:rtl/>
          <w:lang w:eastAsia="de-DE"/>
        </w:rPr>
        <w:t xml:space="preserve"> </w:t>
      </w:r>
      <w:r w:rsidRPr="00FB4661">
        <w:rPr>
          <w:rFonts w:eastAsia="Times New Roman" w:cs="Times New Roman"/>
          <w:lang w:eastAsia="de-DE"/>
        </w:rPr>
        <w:t xml:space="preserve">(eure Neumonde) als </w:t>
      </w:r>
      <w:r w:rsidR="00F133EC">
        <w:rPr>
          <w:rFonts w:eastAsia="Times New Roman" w:cs="Times New Roman"/>
          <w:lang w:eastAsia="de-DE"/>
        </w:rPr>
        <w:t>Construct</w:t>
      </w:r>
      <w:r w:rsidRPr="00FB4661">
        <w:rPr>
          <w:rFonts w:eastAsia="Times New Roman" w:cs="Times New Roman"/>
          <w:lang w:eastAsia="de-DE"/>
        </w:rPr>
        <w:t xml:space="preserve">verbindung von </w:t>
      </w:r>
      <w:r w:rsidRPr="00FB4661">
        <w:rPr>
          <w:rFonts w:eastAsia="Times New Roman" w:cs="Times New Roman"/>
          <w:b/>
          <w:bCs/>
          <w:rtl/>
          <w:lang w:eastAsia="de-DE"/>
        </w:rPr>
        <w:t>רֹאשׁ</w:t>
      </w:r>
      <w:r w:rsidRPr="00FB4661">
        <w:rPr>
          <w:rFonts w:eastAsia="Times New Roman" w:cs="Times New Roman"/>
          <w:rtl/>
          <w:lang w:eastAsia="de-DE"/>
        </w:rPr>
        <w:t xml:space="preserve"> </w:t>
      </w:r>
      <w:r w:rsidRPr="00FB4661">
        <w:rPr>
          <w:rFonts w:eastAsia="Times New Roman" w:cs="Times New Roman"/>
          <w:lang w:eastAsia="de-DE"/>
        </w:rPr>
        <w:t xml:space="preserve">(Kopf/Anfang) mit </w:t>
      </w:r>
      <w:r w:rsidRPr="00FB4661">
        <w:rPr>
          <w:rFonts w:eastAsia="Times New Roman" w:cs="Times New Roman"/>
          <w:b/>
          <w:bCs/>
          <w:rtl/>
          <w:lang w:eastAsia="de-DE"/>
        </w:rPr>
        <w:t>חֹדֶשׁ</w:t>
      </w:r>
      <w:r w:rsidRPr="00FB4661">
        <w:rPr>
          <w:rFonts w:eastAsia="Times New Roman" w:cs="Times New Roman"/>
          <w:rtl/>
          <w:lang w:eastAsia="de-DE"/>
        </w:rPr>
        <w:t xml:space="preserve"> </w:t>
      </w:r>
      <w:r w:rsidRPr="00FB4661">
        <w:rPr>
          <w:rFonts w:eastAsia="Times New Roman" w:cs="Times New Roman"/>
          <w:lang w:eastAsia="de-DE"/>
        </w:rPr>
        <w:t>(Monat/Neumond) bezeichnet die monatlichen Neumondfeiern, die wichtige Elemente des israelitischen liturgischen Kalenders waren. Der Neumond markierte nicht nur den Monatsanfang, sondern war auch ein Opfertag mit besonderen Zeremonien.</w:t>
      </w:r>
    </w:p>
    <w:p w14:paraId="32E2AE04"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Diese dreiteilige Kategorisierung zeigt die umfassende Rolle der Trompeten im liturgischen Leben: sie begleiten alle Formen religiöser Feier, von privaten Freuden über große Feiertage bis zu regelmäßigen monatlichen Observanzen.</w:t>
      </w:r>
    </w:p>
    <w:p w14:paraId="3D3AAA31"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Anweisung </w:t>
      </w:r>
      <w:r w:rsidRPr="00FB4661">
        <w:rPr>
          <w:rFonts w:eastAsia="Times New Roman" w:cs="Times New Roman"/>
          <w:b/>
          <w:bCs/>
          <w:rtl/>
          <w:lang w:eastAsia="de-DE"/>
        </w:rPr>
        <w:t>וּתְקַעְתֶּ֣ם בַּחֲצֹֽצְרֹ֗ת</w:t>
      </w:r>
      <w:r w:rsidRPr="00FB4661">
        <w:rPr>
          <w:rFonts w:eastAsia="Times New Roman" w:cs="Times New Roman"/>
          <w:rtl/>
          <w:lang w:eastAsia="de-DE"/>
        </w:rPr>
        <w:t xml:space="preserve"> </w:t>
      </w:r>
      <w:r w:rsidRPr="00FB4661">
        <w:rPr>
          <w:rFonts w:eastAsia="Times New Roman" w:cs="Times New Roman"/>
          <w:lang w:eastAsia="de-DE"/>
        </w:rPr>
        <w:t xml:space="preserve">mit </w:t>
      </w:r>
      <w:r w:rsidRPr="00FB4661">
        <w:rPr>
          <w:rFonts w:eastAsia="Times New Roman" w:cs="Times New Roman"/>
          <w:b/>
          <w:bCs/>
          <w:rtl/>
          <w:lang w:eastAsia="de-DE"/>
        </w:rPr>
        <w:t>תְקַעְתֶּ֣ם</w:t>
      </w:r>
      <w:r w:rsidRPr="00FB4661">
        <w:rPr>
          <w:rFonts w:eastAsia="Times New Roman" w:cs="Times New Roman"/>
          <w:rtl/>
          <w:lang w:eastAsia="de-DE"/>
        </w:rPr>
        <w:t xml:space="preserve"> </w:t>
      </w:r>
      <w:r w:rsidRPr="00FB4661">
        <w:rPr>
          <w:rFonts w:eastAsia="Times New Roman" w:cs="Times New Roman"/>
          <w:lang w:eastAsia="de-DE"/>
        </w:rPr>
        <w:t xml:space="preserve">von </w:t>
      </w:r>
      <w:r w:rsidRPr="00FB4661">
        <w:rPr>
          <w:rFonts w:eastAsia="Times New Roman" w:cs="Times New Roman"/>
          <w:b/>
          <w:bCs/>
          <w:rtl/>
          <w:lang w:eastAsia="de-DE"/>
        </w:rPr>
        <w:t>תקע</w:t>
      </w:r>
      <w:r w:rsidRPr="00FB4661">
        <w:rPr>
          <w:rFonts w:eastAsia="Times New Roman" w:cs="Times New Roman"/>
          <w:rtl/>
          <w:lang w:eastAsia="de-DE"/>
        </w:rPr>
        <w:t xml:space="preserve"> </w:t>
      </w:r>
      <w:r w:rsidRPr="00FB4661">
        <w:rPr>
          <w:rFonts w:eastAsia="Times New Roman" w:cs="Times New Roman"/>
          <w:lang w:eastAsia="de-DE"/>
        </w:rPr>
        <w:t xml:space="preserve">(blasen) im Qal-Perfekt 2. maskulin Plural zeigt </w:t>
      </w:r>
      <w:r w:rsidRPr="00FB4661">
        <w:rPr>
          <w:rFonts w:eastAsia="Times New Roman" w:cs="Times New Roman"/>
          <w:b/>
          <w:bCs/>
          <w:rtl/>
          <w:lang w:eastAsia="de-DE"/>
        </w:rPr>
        <w:t>תְּקִיעָה</w:t>
      </w:r>
      <w:r w:rsidRPr="00FB4661">
        <w:rPr>
          <w:rFonts w:eastAsia="Times New Roman" w:cs="Times New Roman"/>
          <w:rtl/>
          <w:lang w:eastAsia="de-DE"/>
        </w:rPr>
        <w:t xml:space="preserve"> </w:t>
      </w:r>
      <w:r w:rsidRPr="00FB4661">
        <w:rPr>
          <w:rFonts w:eastAsia="Times New Roman" w:cs="Times New Roman"/>
          <w:lang w:eastAsia="de-DE"/>
        </w:rPr>
        <w:t xml:space="preserve">(einfaches, anhaltendes Blasen) statt </w:t>
      </w:r>
      <w:r w:rsidRPr="00FB4661">
        <w:rPr>
          <w:rFonts w:eastAsia="Times New Roman" w:cs="Times New Roman"/>
          <w:b/>
          <w:bCs/>
          <w:rtl/>
          <w:lang w:eastAsia="de-DE"/>
        </w:rPr>
        <w:t>תְּרוּעָ֥ה</w:t>
      </w:r>
      <w:r w:rsidRPr="00FB4661">
        <w:rPr>
          <w:rFonts w:eastAsia="Times New Roman" w:cs="Times New Roman"/>
          <w:rtl/>
          <w:lang w:eastAsia="de-DE"/>
        </w:rPr>
        <w:t xml:space="preserve"> </w:t>
      </w:r>
      <w:r w:rsidRPr="00FB4661">
        <w:rPr>
          <w:rFonts w:eastAsia="Times New Roman" w:cs="Times New Roman"/>
          <w:lang w:eastAsia="de-DE"/>
        </w:rPr>
        <w:t>(unterbrochenes Lärmblasen) für liturgische Anlässe. Dies unterstreicht den Unterschied zwischen friedlichen religiösen Signalen und militärischen Alarmsignalen, der in Vers 7 etabliert wurde.</w:t>
      </w:r>
    </w:p>
    <w:p w14:paraId="0E9FF25F" w14:textId="6A86F803"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Opferbegleitung </w:t>
      </w:r>
      <w:r w:rsidRPr="00FB4661">
        <w:rPr>
          <w:rFonts w:eastAsia="Times New Roman" w:cs="Times New Roman"/>
          <w:b/>
          <w:bCs/>
          <w:rtl/>
          <w:lang w:eastAsia="de-DE"/>
        </w:rPr>
        <w:t>עַ֚ל עֹלֹ֣תֵיכֶ֔ם וְעַ֖ל זִבְחֵ֣י שַׁלְמֵיכֶ֑ם</w:t>
      </w:r>
      <w:r w:rsidRPr="00FB4661">
        <w:rPr>
          <w:rFonts w:eastAsia="Times New Roman" w:cs="Times New Roman"/>
          <w:rtl/>
          <w:lang w:eastAsia="de-DE"/>
        </w:rPr>
        <w:t xml:space="preserve"> </w:t>
      </w:r>
      <w:r w:rsidRPr="00FB4661">
        <w:rPr>
          <w:rFonts w:eastAsia="Times New Roman" w:cs="Times New Roman"/>
          <w:lang w:eastAsia="de-DE"/>
        </w:rPr>
        <w:t xml:space="preserve">mit </w:t>
      </w:r>
      <w:r w:rsidRPr="00FB4661">
        <w:rPr>
          <w:rFonts w:eastAsia="Times New Roman" w:cs="Times New Roman"/>
          <w:b/>
          <w:bCs/>
          <w:rtl/>
          <w:lang w:eastAsia="de-DE"/>
        </w:rPr>
        <w:t>עַל</w:t>
      </w:r>
      <w:r w:rsidRPr="00FB4661">
        <w:rPr>
          <w:rFonts w:eastAsia="Times New Roman" w:cs="Times New Roman"/>
          <w:rtl/>
          <w:lang w:eastAsia="de-DE"/>
        </w:rPr>
        <w:t xml:space="preserve"> </w:t>
      </w:r>
      <w:r w:rsidRPr="00FB4661">
        <w:rPr>
          <w:rFonts w:eastAsia="Times New Roman" w:cs="Times New Roman"/>
          <w:lang w:eastAsia="de-DE"/>
        </w:rPr>
        <w:t xml:space="preserve">(bei/über) zeigt den liturgischen Kontext des Trompetenblasens. </w:t>
      </w:r>
      <w:r w:rsidRPr="00FB4661">
        <w:rPr>
          <w:rFonts w:eastAsia="Times New Roman" w:cs="Times New Roman"/>
          <w:b/>
          <w:bCs/>
          <w:rtl/>
          <w:lang w:eastAsia="de-DE"/>
        </w:rPr>
        <w:t>עֹלֹ֣תֵיכֶ֔ם</w:t>
      </w:r>
      <w:r w:rsidRPr="00FB4661">
        <w:rPr>
          <w:rFonts w:eastAsia="Times New Roman" w:cs="Times New Roman"/>
          <w:rtl/>
          <w:lang w:eastAsia="de-DE"/>
        </w:rPr>
        <w:t xml:space="preserve"> </w:t>
      </w:r>
      <w:r w:rsidRPr="00FB4661">
        <w:rPr>
          <w:rFonts w:eastAsia="Times New Roman" w:cs="Times New Roman"/>
          <w:lang w:eastAsia="de-DE"/>
        </w:rPr>
        <w:t xml:space="preserve">(eure </w:t>
      </w:r>
      <w:r w:rsidR="00FF7EC2">
        <w:rPr>
          <w:rFonts w:eastAsia="Times New Roman" w:cs="Times New Roman"/>
          <w:lang w:eastAsia="de-DE"/>
        </w:rPr>
        <w:t>Aufsteigeopfer</w:t>
      </w:r>
      <w:r w:rsidRPr="00FB4661">
        <w:rPr>
          <w:rFonts w:eastAsia="Times New Roman" w:cs="Times New Roman"/>
          <w:lang w:eastAsia="de-DE"/>
        </w:rPr>
        <w:t xml:space="preserve">) Plural von </w:t>
      </w:r>
      <w:r w:rsidRPr="00FB4661">
        <w:rPr>
          <w:rFonts w:eastAsia="Times New Roman" w:cs="Times New Roman"/>
          <w:b/>
          <w:bCs/>
          <w:rtl/>
          <w:lang w:eastAsia="de-DE"/>
        </w:rPr>
        <w:t>עֹלָה</w:t>
      </w:r>
      <w:r w:rsidRPr="00FB4661">
        <w:rPr>
          <w:rFonts w:eastAsia="Times New Roman" w:cs="Times New Roman"/>
          <w:rtl/>
          <w:lang w:eastAsia="de-DE"/>
        </w:rPr>
        <w:t xml:space="preserve"> </w:t>
      </w:r>
      <w:r w:rsidRPr="00FB4661">
        <w:rPr>
          <w:rFonts w:eastAsia="Times New Roman" w:cs="Times New Roman"/>
          <w:lang w:eastAsia="de-DE"/>
        </w:rPr>
        <w:t xml:space="preserve">mit Possessivsuffix sind die vollständig verbrannten Opfer, die Gott ganz gewidmet sind. </w:t>
      </w:r>
      <w:r w:rsidRPr="00FB4661">
        <w:rPr>
          <w:rFonts w:eastAsia="Times New Roman" w:cs="Times New Roman"/>
          <w:b/>
          <w:bCs/>
          <w:rtl/>
          <w:lang w:eastAsia="de-DE"/>
        </w:rPr>
        <w:t>זִבְחֵ֣י שַׁלְמֵיכֶ֑ם</w:t>
      </w:r>
      <w:r w:rsidRPr="00FB4661">
        <w:rPr>
          <w:rFonts w:eastAsia="Times New Roman" w:cs="Times New Roman"/>
          <w:rtl/>
          <w:lang w:eastAsia="de-DE"/>
        </w:rPr>
        <w:t xml:space="preserve"> </w:t>
      </w:r>
      <w:r w:rsidRPr="00FB4661">
        <w:rPr>
          <w:rFonts w:eastAsia="Times New Roman" w:cs="Times New Roman"/>
          <w:lang w:eastAsia="de-DE"/>
        </w:rPr>
        <w:t xml:space="preserve">(eure Friedensopfer) als </w:t>
      </w:r>
      <w:r w:rsidR="00F133EC">
        <w:rPr>
          <w:rFonts w:eastAsia="Times New Roman" w:cs="Times New Roman"/>
          <w:lang w:eastAsia="de-DE"/>
        </w:rPr>
        <w:t>Construct</w:t>
      </w:r>
      <w:r w:rsidRPr="00FB4661">
        <w:rPr>
          <w:rFonts w:eastAsia="Times New Roman" w:cs="Times New Roman"/>
          <w:lang w:eastAsia="de-DE"/>
        </w:rPr>
        <w:t xml:space="preserve">verbindung von </w:t>
      </w:r>
      <w:r w:rsidRPr="00FB4661">
        <w:rPr>
          <w:rFonts w:eastAsia="Times New Roman" w:cs="Times New Roman"/>
          <w:b/>
          <w:bCs/>
          <w:rtl/>
          <w:lang w:eastAsia="de-DE"/>
        </w:rPr>
        <w:t>זֶבַח</w:t>
      </w:r>
      <w:r w:rsidRPr="00FB4661">
        <w:rPr>
          <w:rFonts w:eastAsia="Times New Roman" w:cs="Times New Roman"/>
          <w:rtl/>
          <w:lang w:eastAsia="de-DE"/>
        </w:rPr>
        <w:t xml:space="preserve"> </w:t>
      </w:r>
      <w:r w:rsidRPr="00FB4661">
        <w:rPr>
          <w:rFonts w:eastAsia="Times New Roman" w:cs="Times New Roman"/>
          <w:lang w:eastAsia="de-DE"/>
        </w:rPr>
        <w:t xml:space="preserve">(Opfer) mit </w:t>
      </w:r>
      <w:r w:rsidRPr="00FB4661">
        <w:rPr>
          <w:rFonts w:eastAsia="Times New Roman" w:cs="Times New Roman"/>
          <w:b/>
          <w:bCs/>
          <w:rtl/>
          <w:lang w:eastAsia="de-DE"/>
        </w:rPr>
        <w:t>שְׁלָמִים</w:t>
      </w:r>
      <w:r w:rsidRPr="00FB4661">
        <w:rPr>
          <w:rFonts w:eastAsia="Times New Roman" w:cs="Times New Roman"/>
          <w:rtl/>
          <w:lang w:eastAsia="de-DE"/>
        </w:rPr>
        <w:t xml:space="preserve"> </w:t>
      </w:r>
      <w:r w:rsidRPr="00FB4661">
        <w:rPr>
          <w:rFonts w:eastAsia="Times New Roman" w:cs="Times New Roman"/>
          <w:lang w:eastAsia="de-DE"/>
        </w:rPr>
        <w:t>(Friedensopfer) bezeichnet die Gemeinschaftsopfer, von denen Teile gegessen wurden.</w:t>
      </w:r>
    </w:p>
    <w:p w14:paraId="2921CE73"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Diese beiden Opfertypen repräsentieren die Hauptkategorien israelitischer Opfer: </w:t>
      </w:r>
      <w:r w:rsidRPr="00FB4661">
        <w:rPr>
          <w:rFonts w:eastAsia="Times New Roman" w:cs="Times New Roman"/>
          <w:b/>
          <w:bCs/>
          <w:rtl/>
          <w:lang w:eastAsia="de-DE"/>
        </w:rPr>
        <w:t>עֹלוֹת</w:t>
      </w:r>
      <w:r w:rsidRPr="00FB4661">
        <w:rPr>
          <w:rFonts w:eastAsia="Times New Roman" w:cs="Times New Roman"/>
          <w:rtl/>
          <w:lang w:eastAsia="de-DE"/>
        </w:rPr>
        <w:t xml:space="preserve"> </w:t>
      </w:r>
      <w:r w:rsidRPr="00FB4661">
        <w:rPr>
          <w:rFonts w:eastAsia="Times New Roman" w:cs="Times New Roman"/>
          <w:lang w:eastAsia="de-DE"/>
        </w:rPr>
        <w:t xml:space="preserve">für vollständige Hingabe an Gott, </w:t>
      </w:r>
      <w:r w:rsidRPr="00FB4661">
        <w:rPr>
          <w:rFonts w:eastAsia="Times New Roman" w:cs="Times New Roman"/>
          <w:b/>
          <w:bCs/>
          <w:rtl/>
          <w:lang w:eastAsia="de-DE"/>
        </w:rPr>
        <w:t>שְׁלָמִים</w:t>
      </w:r>
      <w:r w:rsidRPr="00FB4661">
        <w:rPr>
          <w:rFonts w:eastAsia="Times New Roman" w:cs="Times New Roman"/>
          <w:rtl/>
          <w:lang w:eastAsia="de-DE"/>
        </w:rPr>
        <w:t xml:space="preserve"> </w:t>
      </w:r>
      <w:r w:rsidRPr="00FB4661">
        <w:rPr>
          <w:rFonts w:eastAsia="Times New Roman" w:cs="Times New Roman"/>
          <w:lang w:eastAsia="de-DE"/>
        </w:rPr>
        <w:t>für Gemeinschaft zwischen Gott und Mensch. Das Trompetenblasen begleitet beide Arten und verleiht ihnen zusätzliche liturgische Feierlichkeit.</w:t>
      </w:r>
    </w:p>
    <w:p w14:paraId="10F9E480"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theologische Funktion </w:t>
      </w:r>
      <w:r w:rsidRPr="00FB4661">
        <w:rPr>
          <w:rFonts w:eastAsia="Times New Roman" w:cs="Times New Roman"/>
          <w:b/>
          <w:bCs/>
          <w:rtl/>
          <w:lang w:eastAsia="de-DE"/>
        </w:rPr>
        <w:t>וְהָי֨וּ לָכֶ֤ם לְזִכָּרוֹן֙ לִפְנֵ֣י אֱלֹֽהֵיכֶ֔ם</w:t>
      </w:r>
      <w:r w:rsidRPr="00FB4661">
        <w:rPr>
          <w:rFonts w:eastAsia="Times New Roman" w:cs="Times New Roman"/>
          <w:rtl/>
          <w:lang w:eastAsia="de-DE"/>
        </w:rPr>
        <w:t xml:space="preserve"> </w:t>
      </w:r>
      <w:r w:rsidRPr="00FB4661">
        <w:rPr>
          <w:rFonts w:eastAsia="Times New Roman" w:cs="Times New Roman"/>
          <w:lang w:eastAsia="de-DE"/>
        </w:rPr>
        <w:t xml:space="preserve">etabliert die Trompeten als </w:t>
      </w:r>
      <w:r w:rsidRPr="00FB4661">
        <w:rPr>
          <w:rFonts w:eastAsia="Times New Roman" w:cs="Times New Roman"/>
          <w:b/>
          <w:bCs/>
          <w:rtl/>
          <w:lang w:eastAsia="de-DE"/>
        </w:rPr>
        <w:t>זִכָּרוֹן</w:t>
      </w:r>
      <w:r w:rsidRPr="00FB4661">
        <w:rPr>
          <w:rFonts w:eastAsia="Times New Roman" w:cs="Times New Roman"/>
          <w:rtl/>
          <w:lang w:eastAsia="de-DE"/>
        </w:rPr>
        <w:t xml:space="preserve"> </w:t>
      </w:r>
      <w:r w:rsidRPr="00FB4661">
        <w:rPr>
          <w:rFonts w:eastAsia="Times New Roman" w:cs="Times New Roman"/>
          <w:lang w:eastAsia="de-DE"/>
        </w:rPr>
        <w:t xml:space="preserve">(Gedächtnis/Erinnerung) vor Gott. </w:t>
      </w:r>
      <w:r w:rsidRPr="00FB4661">
        <w:rPr>
          <w:rFonts w:eastAsia="Times New Roman" w:cs="Times New Roman"/>
          <w:b/>
          <w:bCs/>
          <w:rtl/>
          <w:lang w:eastAsia="de-DE"/>
        </w:rPr>
        <w:t>הָי֨וּ</w:t>
      </w:r>
      <w:r w:rsidRPr="00FB4661">
        <w:rPr>
          <w:rFonts w:eastAsia="Times New Roman" w:cs="Times New Roman"/>
          <w:rtl/>
          <w:lang w:eastAsia="de-DE"/>
        </w:rPr>
        <w:t xml:space="preserve"> </w:t>
      </w:r>
      <w:r w:rsidRPr="00FB4661">
        <w:rPr>
          <w:rFonts w:eastAsia="Times New Roman" w:cs="Times New Roman"/>
          <w:lang w:eastAsia="de-DE"/>
        </w:rPr>
        <w:t xml:space="preserve">von </w:t>
      </w:r>
      <w:r w:rsidRPr="00FB4661">
        <w:rPr>
          <w:rFonts w:eastAsia="Times New Roman" w:cs="Times New Roman"/>
          <w:b/>
          <w:bCs/>
          <w:rtl/>
          <w:lang w:eastAsia="de-DE"/>
        </w:rPr>
        <w:t>היה</w:t>
      </w:r>
      <w:r w:rsidRPr="00FB4661">
        <w:rPr>
          <w:rFonts w:eastAsia="Times New Roman" w:cs="Times New Roman"/>
          <w:rtl/>
          <w:lang w:eastAsia="de-DE"/>
        </w:rPr>
        <w:t xml:space="preserve"> </w:t>
      </w:r>
      <w:r w:rsidRPr="00FB4661">
        <w:rPr>
          <w:rFonts w:eastAsia="Times New Roman" w:cs="Times New Roman"/>
          <w:lang w:eastAsia="de-DE"/>
        </w:rPr>
        <w:t xml:space="preserve">(sein) mit futurischem Charakter, </w:t>
      </w:r>
      <w:r w:rsidRPr="00FB4661">
        <w:rPr>
          <w:rFonts w:eastAsia="Times New Roman" w:cs="Times New Roman"/>
          <w:b/>
          <w:bCs/>
          <w:rtl/>
          <w:lang w:eastAsia="de-DE"/>
        </w:rPr>
        <w:t>לָכֶ֤ם</w:t>
      </w:r>
      <w:r w:rsidRPr="00FB4661">
        <w:rPr>
          <w:rFonts w:eastAsia="Times New Roman" w:cs="Times New Roman"/>
          <w:rtl/>
          <w:lang w:eastAsia="de-DE"/>
        </w:rPr>
        <w:t xml:space="preserve"> </w:t>
      </w:r>
      <w:r w:rsidRPr="00FB4661">
        <w:rPr>
          <w:rFonts w:eastAsia="Times New Roman" w:cs="Times New Roman"/>
          <w:lang w:eastAsia="de-DE"/>
        </w:rPr>
        <w:t xml:space="preserve">(für euch), </w:t>
      </w:r>
      <w:r w:rsidRPr="00FB4661">
        <w:rPr>
          <w:rFonts w:eastAsia="Times New Roman" w:cs="Times New Roman"/>
          <w:b/>
          <w:bCs/>
          <w:rtl/>
          <w:lang w:eastAsia="de-DE"/>
        </w:rPr>
        <w:t>לְזִכָּרוֹן֙</w:t>
      </w:r>
      <w:r w:rsidRPr="00FB4661">
        <w:rPr>
          <w:rFonts w:eastAsia="Times New Roman" w:cs="Times New Roman"/>
          <w:rtl/>
          <w:lang w:eastAsia="de-DE"/>
        </w:rPr>
        <w:t xml:space="preserve"> </w:t>
      </w:r>
      <w:r w:rsidRPr="00FB4661">
        <w:rPr>
          <w:rFonts w:eastAsia="Times New Roman" w:cs="Times New Roman"/>
          <w:lang w:eastAsia="de-DE"/>
        </w:rPr>
        <w:t xml:space="preserve">(zum Gedächtnis) von der Wurzel </w:t>
      </w:r>
      <w:r w:rsidRPr="00FB4661">
        <w:rPr>
          <w:rFonts w:eastAsia="Times New Roman" w:cs="Times New Roman"/>
          <w:b/>
          <w:bCs/>
          <w:rtl/>
          <w:lang w:eastAsia="de-DE"/>
        </w:rPr>
        <w:t>זכר</w:t>
      </w:r>
      <w:r w:rsidRPr="00FB4661">
        <w:rPr>
          <w:rFonts w:eastAsia="Times New Roman" w:cs="Times New Roman"/>
          <w:rtl/>
          <w:lang w:eastAsia="de-DE"/>
        </w:rPr>
        <w:t xml:space="preserve"> </w:t>
      </w:r>
      <w:r w:rsidRPr="00FB4661">
        <w:rPr>
          <w:rFonts w:eastAsia="Times New Roman" w:cs="Times New Roman"/>
          <w:lang w:eastAsia="de-DE"/>
        </w:rPr>
        <w:t xml:space="preserve">(gedenken) und </w:t>
      </w:r>
      <w:r w:rsidRPr="00FB4661">
        <w:rPr>
          <w:rFonts w:eastAsia="Times New Roman" w:cs="Times New Roman"/>
          <w:b/>
          <w:bCs/>
          <w:rtl/>
          <w:lang w:eastAsia="de-DE"/>
        </w:rPr>
        <w:t>לִפְנֵ֣י אֱלֹֽהֵיכֶ֔ם</w:t>
      </w:r>
      <w:r w:rsidRPr="00FB4661">
        <w:rPr>
          <w:rFonts w:eastAsia="Times New Roman" w:cs="Times New Roman"/>
          <w:rtl/>
          <w:lang w:eastAsia="de-DE"/>
        </w:rPr>
        <w:t xml:space="preserve"> </w:t>
      </w:r>
      <w:r w:rsidRPr="00FB4661">
        <w:rPr>
          <w:rFonts w:eastAsia="Times New Roman" w:cs="Times New Roman"/>
          <w:lang w:eastAsia="de-DE"/>
        </w:rPr>
        <w:t>(vor dem Angesicht eures Gottes) zeigen, dass das Trompetenblasen bewirkt, dass Gott seiner Menschen gedenkt.</w:t>
      </w:r>
    </w:p>
    <w:p w14:paraId="5DBFCA5B"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lastRenderedPageBreak/>
        <w:t xml:space="preserve">Dieses </w:t>
      </w:r>
      <w:r w:rsidRPr="00FB4661">
        <w:rPr>
          <w:rFonts w:eastAsia="Times New Roman" w:cs="Times New Roman"/>
          <w:b/>
          <w:bCs/>
          <w:rtl/>
          <w:lang w:eastAsia="de-DE"/>
        </w:rPr>
        <w:t>זִכָּרוֹן</w:t>
      </w:r>
      <w:r w:rsidRPr="00FB4661">
        <w:rPr>
          <w:rFonts w:eastAsia="Times New Roman" w:cs="Times New Roman"/>
          <w:lang w:eastAsia="de-DE"/>
        </w:rPr>
        <w:t>-Konzept ist theologisch fundamental: die Trompeten sind nicht nur akustische Instrumente, sondern spirituelle Mittel, die göttliche Aufmerksamkeit und Gunst bewirken. Sie fungieren als auditive Gebete, die Gottes Gedächtnis an sein Volk aktivieren.</w:t>
      </w:r>
    </w:p>
    <w:p w14:paraId="21C2E651"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abschließende Selbstvorstellungsformel </w:t>
      </w:r>
      <w:r w:rsidRPr="00FB4661">
        <w:rPr>
          <w:rFonts w:eastAsia="Times New Roman" w:cs="Times New Roman"/>
          <w:b/>
          <w:bCs/>
          <w:rtl/>
          <w:lang w:eastAsia="de-DE"/>
        </w:rPr>
        <w:t>אֲנִ֖י יְהוָ֥ה אֱלֹהֵיכֶֽם</w:t>
      </w:r>
      <w:r w:rsidRPr="00FB4661">
        <w:rPr>
          <w:rFonts w:eastAsia="Times New Roman" w:cs="Times New Roman"/>
          <w:rtl/>
          <w:lang w:eastAsia="de-DE"/>
        </w:rPr>
        <w:t xml:space="preserve"> </w:t>
      </w:r>
      <w:r w:rsidRPr="00FB4661">
        <w:rPr>
          <w:rFonts w:eastAsia="Times New Roman" w:cs="Times New Roman"/>
          <w:lang w:eastAsia="de-DE"/>
        </w:rPr>
        <w:t xml:space="preserve">(Ich bin der Ewige euer Gott) mit dem emphatischen Pronomen </w:t>
      </w:r>
      <w:r w:rsidRPr="00FB4661">
        <w:rPr>
          <w:rFonts w:eastAsia="Times New Roman" w:cs="Times New Roman"/>
          <w:b/>
          <w:bCs/>
          <w:rtl/>
          <w:lang w:eastAsia="de-DE"/>
        </w:rPr>
        <w:t>אֲנִ֖י</w:t>
      </w:r>
      <w:r w:rsidRPr="00FB4661">
        <w:rPr>
          <w:rFonts w:eastAsia="Times New Roman" w:cs="Times New Roman"/>
          <w:rtl/>
          <w:lang w:eastAsia="de-DE"/>
        </w:rPr>
        <w:t xml:space="preserve"> </w:t>
      </w:r>
      <w:r w:rsidRPr="00FB4661">
        <w:rPr>
          <w:rFonts w:eastAsia="Times New Roman" w:cs="Times New Roman"/>
          <w:lang w:eastAsia="de-DE"/>
        </w:rPr>
        <w:t xml:space="preserve">(ich), dem Tetragramm </w:t>
      </w:r>
      <w:r w:rsidRPr="00FB4661">
        <w:rPr>
          <w:rFonts w:eastAsia="Times New Roman" w:cs="Times New Roman"/>
          <w:b/>
          <w:bCs/>
          <w:rtl/>
          <w:lang w:eastAsia="de-DE"/>
        </w:rPr>
        <w:t>יְהוָ֥ה</w:t>
      </w:r>
      <w:r w:rsidRPr="00FB4661">
        <w:rPr>
          <w:rFonts w:eastAsia="Times New Roman" w:cs="Times New Roman"/>
          <w:rtl/>
          <w:lang w:eastAsia="de-DE"/>
        </w:rPr>
        <w:t xml:space="preserve"> </w:t>
      </w:r>
      <w:r w:rsidRPr="00FB4661">
        <w:rPr>
          <w:rFonts w:eastAsia="Times New Roman" w:cs="Times New Roman"/>
          <w:lang w:eastAsia="de-DE"/>
        </w:rPr>
        <w:t xml:space="preserve">und </w:t>
      </w:r>
      <w:r w:rsidRPr="00FB4661">
        <w:rPr>
          <w:rFonts w:eastAsia="Times New Roman" w:cs="Times New Roman"/>
          <w:b/>
          <w:bCs/>
          <w:rtl/>
          <w:lang w:eastAsia="de-DE"/>
        </w:rPr>
        <w:t>אֱלֹהֵיכֶֽם</w:t>
      </w:r>
      <w:r w:rsidRPr="00FB4661">
        <w:rPr>
          <w:rFonts w:eastAsia="Times New Roman" w:cs="Times New Roman"/>
          <w:rtl/>
          <w:lang w:eastAsia="de-DE"/>
        </w:rPr>
        <w:t xml:space="preserve"> </w:t>
      </w:r>
      <w:r w:rsidRPr="00FB4661">
        <w:rPr>
          <w:rFonts w:eastAsia="Times New Roman" w:cs="Times New Roman"/>
          <w:lang w:eastAsia="de-DE"/>
        </w:rPr>
        <w:t>(euer Gott) mit Possessivsuffix 2. maskulin Plural verleiht der gesamten Trompetenanordnung göttliche Autorität und persönliche Verbindlichkeit. Diese Formel macht deutlich, dass die Trompetenanweisungen nicht nur praktische Kommunikationsmittel sind, sondern direkte göttliche Gebote.</w:t>
      </w:r>
    </w:p>
    <w:p w14:paraId="4D0A826C"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Die LXX</w:t>
      </w:r>
      <w:r w:rsidRPr="00FB4661">
        <w:rPr>
          <w:rFonts w:eastAsia="Times New Roman" w:cs="Times New Roman"/>
          <w:lang w:eastAsia="de-DE"/>
        </w:rPr>
        <w:t xml:space="preserve"> übersetzt </w:t>
      </w:r>
      <w:r w:rsidRPr="00FB4661">
        <w:rPr>
          <w:rFonts w:eastAsia="Times New Roman" w:cs="Times New Roman"/>
          <w:b/>
          <w:bCs/>
          <w:rtl/>
          <w:lang w:eastAsia="de-DE"/>
        </w:rPr>
        <w:t>שִׂמְחַתְכֶ֥ם</w:t>
      </w:r>
      <w:r w:rsidRPr="00FB4661">
        <w:rPr>
          <w:rFonts w:eastAsia="Times New Roman" w:cs="Times New Roman"/>
          <w:rtl/>
          <w:lang w:eastAsia="de-DE"/>
        </w:rPr>
        <w:t xml:space="preserve"> </w:t>
      </w:r>
      <w:r w:rsidRPr="00FB4661">
        <w:rPr>
          <w:rFonts w:eastAsia="Times New Roman" w:cs="Times New Roman"/>
          <w:lang w:eastAsia="de-DE"/>
        </w:rPr>
        <w:t xml:space="preserve">mit εὐφροσύνης ὑμῶν (eurer Freude), </w:t>
      </w:r>
      <w:r w:rsidRPr="00FB4661">
        <w:rPr>
          <w:rFonts w:eastAsia="Times New Roman" w:cs="Times New Roman"/>
          <w:b/>
          <w:bCs/>
          <w:rtl/>
          <w:lang w:eastAsia="de-DE"/>
        </w:rPr>
        <w:t>מוֹעֲדֵיכֶם֮</w:t>
      </w:r>
      <w:r w:rsidRPr="00FB4661">
        <w:rPr>
          <w:rFonts w:eastAsia="Times New Roman" w:cs="Times New Roman"/>
          <w:rtl/>
          <w:lang w:eastAsia="de-DE"/>
        </w:rPr>
        <w:t xml:space="preserve"> </w:t>
      </w:r>
      <w:r w:rsidRPr="00FB4661">
        <w:rPr>
          <w:rFonts w:eastAsia="Times New Roman" w:cs="Times New Roman"/>
          <w:lang w:eastAsia="de-DE"/>
        </w:rPr>
        <w:t xml:space="preserve">mit ἑορταῖς ὑμῶν (euren Festen), </w:t>
      </w:r>
      <w:r w:rsidRPr="00FB4661">
        <w:rPr>
          <w:rFonts w:eastAsia="Times New Roman" w:cs="Times New Roman"/>
          <w:b/>
          <w:bCs/>
          <w:rtl/>
          <w:lang w:eastAsia="de-DE"/>
        </w:rPr>
        <w:t>רָאשֵׁ֣י חָדְשֵׁיכֶם֒</w:t>
      </w:r>
      <w:r w:rsidRPr="00FB4661">
        <w:rPr>
          <w:rFonts w:eastAsia="Times New Roman" w:cs="Times New Roman"/>
          <w:rtl/>
          <w:lang w:eastAsia="de-DE"/>
        </w:rPr>
        <w:t xml:space="preserve"> </w:t>
      </w:r>
      <w:r w:rsidRPr="00FB4661">
        <w:rPr>
          <w:rFonts w:eastAsia="Times New Roman" w:cs="Times New Roman"/>
          <w:lang w:eastAsia="de-DE"/>
        </w:rPr>
        <w:t xml:space="preserve">mit νουμηνίαις ὑμῶν (euren Neumonden), </w:t>
      </w:r>
      <w:r w:rsidRPr="00FB4661">
        <w:rPr>
          <w:rFonts w:eastAsia="Times New Roman" w:cs="Times New Roman"/>
          <w:b/>
          <w:bCs/>
          <w:rtl/>
          <w:lang w:eastAsia="de-DE"/>
        </w:rPr>
        <w:t>זִכָּרוֹן֙</w:t>
      </w:r>
      <w:r w:rsidRPr="00FB4661">
        <w:rPr>
          <w:rFonts w:eastAsia="Times New Roman" w:cs="Times New Roman"/>
          <w:rtl/>
          <w:lang w:eastAsia="de-DE"/>
        </w:rPr>
        <w:t xml:space="preserve"> </w:t>
      </w:r>
      <w:r w:rsidRPr="00FB4661">
        <w:rPr>
          <w:rFonts w:eastAsia="Times New Roman" w:cs="Times New Roman"/>
          <w:lang w:eastAsia="de-DE"/>
        </w:rPr>
        <w:t>mit μνημόσυνον (Gedächtnis) und die Selbstvorstellungsformel mit ἐγώ εἰμι κύριος ὁ θεὸς ὑμῶν.</w:t>
      </w:r>
    </w:p>
    <w:p w14:paraId="273A50A3" w14:textId="5A1F80E6" w:rsid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 Satzstruktur zeigt eine umfassende liturgische Anweisung mit dreifacher Zeitkategorisierung, doppelter Opferspezifikation, theologischer Funktionsbestimmung und göttlicher Autoritätsbeglaubigung. Diese Anordnung macht die Trompeten zu einem permanenten Element des israelitischen Gottesdienstes und etabliert sie als Mittel der göttlich-menschlichen Kommunikation.</w:t>
      </w:r>
    </w:p>
    <w:p w14:paraId="05A0CC01" w14:textId="221D4D1F" w:rsidR="00497CF8" w:rsidRPr="00FB4661" w:rsidRDefault="00497CF8" w:rsidP="00497CF8">
      <w:pPr>
        <w:spacing w:before="100" w:beforeAutospacing="1" w:after="100" w:afterAutospacing="1" w:line="240" w:lineRule="auto"/>
        <w:rPr>
          <w:rFonts w:eastAsia="Times New Roman" w:cs="Times New Roman"/>
          <w:lang w:eastAsia="de-DE"/>
        </w:rPr>
      </w:pPr>
      <w:r>
        <w:t>An Freudentagen, Festen und Neumonden sollen die Trompeten bei Brand- und Friedensopfern geblasen werden als Erinnerung vor Gott.</w:t>
      </w:r>
    </w:p>
    <w:p w14:paraId="03344A2C" w14:textId="77777777" w:rsidR="00FB4661" w:rsidRPr="00FB4661" w:rsidRDefault="00FB4661" w:rsidP="00FB4661">
      <w:pPr>
        <w:spacing w:before="100" w:beforeAutospacing="1" w:after="100" w:afterAutospacing="1" w:line="240" w:lineRule="auto"/>
        <w:outlineLvl w:val="0"/>
        <w:rPr>
          <w:rFonts w:eastAsia="Times New Roman" w:cs="Times New Roman"/>
          <w:b/>
          <w:bCs/>
          <w:kern w:val="36"/>
          <w:sz w:val="48"/>
          <w:szCs w:val="48"/>
          <w:lang w:eastAsia="de-DE"/>
        </w:rPr>
      </w:pPr>
      <w:r w:rsidRPr="00FB4661">
        <w:rPr>
          <w:rFonts w:eastAsia="Times New Roman" w:cs="Times New Roman"/>
          <w:b/>
          <w:bCs/>
          <w:kern w:val="36"/>
          <w:sz w:val="48"/>
          <w:szCs w:val="48"/>
          <w:lang w:eastAsia="de-DE"/>
        </w:rPr>
        <w:t>Numeri 10,11</w:t>
      </w:r>
    </w:p>
    <w:p w14:paraId="080E1C01"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Hebräisch:</w:t>
      </w:r>
      <w:r w:rsidRPr="00FB4661">
        <w:rPr>
          <w:rFonts w:eastAsia="Times New Roman" w:cs="Times New Roman"/>
          <w:lang w:eastAsia="de-DE"/>
        </w:rPr>
        <w:t xml:space="preserve"> </w:t>
      </w:r>
      <w:r w:rsidRPr="00FB4661">
        <w:rPr>
          <w:rFonts w:eastAsia="Times New Roman" w:cs="Times New Roman"/>
          <w:rtl/>
          <w:lang w:eastAsia="de-DE"/>
        </w:rPr>
        <w:t>וַיְהִ֞י בַּשָּׁנָ֧ה הַשֵּׁנִ֛ית בַּחֹ֥דֶשׁ הַשֵּׁנִ֖י בְּעֶשְׂרִ֣ין בַּחֹ֑דֶשׁ נַעֲלָה֙ הֶֽעָנָ֔ן מֵעַ֖ל מִשְׁכַּ֥ן הָעֵדֻֽת׃</w:t>
      </w:r>
    </w:p>
    <w:p w14:paraId="205517AD"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Deutsch:</w:t>
      </w:r>
      <w:r w:rsidRPr="00FB4661">
        <w:rPr>
          <w:rFonts w:eastAsia="Times New Roman" w:cs="Times New Roman"/>
          <w:lang w:eastAsia="de-DE"/>
        </w:rPr>
        <w:t xml:space="preserve"> Und es geschah im zweiten Jahr, im zweiten Monat, am Zwanzigsten des Monats, da erhob sich die Wolke von der Wohnung des Zeugnisses.</w:t>
      </w:r>
    </w:p>
    <w:p w14:paraId="7B7A12FD" w14:textId="77777777" w:rsidR="00FB4661" w:rsidRPr="00FB4661" w:rsidRDefault="00F329DD" w:rsidP="00FB4661">
      <w:pPr>
        <w:spacing w:after="0" w:line="240" w:lineRule="auto"/>
        <w:rPr>
          <w:rFonts w:eastAsia="Times New Roman" w:cs="Times New Roman"/>
          <w:lang w:eastAsia="de-DE"/>
        </w:rPr>
      </w:pPr>
      <w:r>
        <w:rPr>
          <w:rFonts w:eastAsia="Times New Roman" w:cs="Times New Roman"/>
          <w:noProof/>
          <w:lang w:eastAsia="de-DE"/>
        </w:rPr>
        <w:pict w14:anchorId="43A5C7AD">
          <v:rect id="_x0000_i1354" style="width:0;height:1.5pt" o:hralign="center" o:hrstd="t" o:hr="t" fillcolor="#a0a0a0" stroked="f"/>
        </w:pict>
      </w:r>
    </w:p>
    <w:p w14:paraId="15376BFC"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Kommentar:</w:t>
      </w:r>
      <w:r w:rsidRPr="00FB4661">
        <w:rPr>
          <w:rFonts w:eastAsia="Times New Roman" w:cs="Times New Roman"/>
          <w:lang w:eastAsia="de-DE"/>
        </w:rPr>
        <w:t xml:space="preserve"> Das Verb </w:t>
      </w:r>
      <w:r w:rsidRPr="00FB4661">
        <w:rPr>
          <w:rFonts w:eastAsia="Times New Roman" w:cs="Times New Roman"/>
          <w:b/>
          <w:bCs/>
          <w:rtl/>
          <w:lang w:eastAsia="de-DE"/>
        </w:rPr>
        <w:t>וַיְהִ֞י</w:t>
      </w:r>
      <w:r w:rsidRPr="00FB4661">
        <w:rPr>
          <w:rFonts w:eastAsia="Times New Roman" w:cs="Times New Roman"/>
          <w:rtl/>
          <w:lang w:eastAsia="de-DE"/>
        </w:rPr>
        <w:t xml:space="preserve"> </w:t>
      </w:r>
      <w:r w:rsidRPr="00FB4661">
        <w:rPr>
          <w:rFonts w:eastAsia="Times New Roman" w:cs="Times New Roman"/>
          <w:lang w:eastAsia="de-DE"/>
        </w:rPr>
        <w:t xml:space="preserve">von </w:t>
      </w:r>
      <w:r w:rsidRPr="00FB4661">
        <w:rPr>
          <w:rFonts w:eastAsia="Times New Roman" w:cs="Times New Roman"/>
          <w:b/>
          <w:bCs/>
          <w:rtl/>
          <w:lang w:eastAsia="de-DE"/>
        </w:rPr>
        <w:t>היה</w:t>
      </w:r>
      <w:r w:rsidRPr="00FB4661">
        <w:rPr>
          <w:rFonts w:eastAsia="Times New Roman" w:cs="Times New Roman"/>
          <w:rtl/>
          <w:lang w:eastAsia="de-DE"/>
        </w:rPr>
        <w:t xml:space="preserve"> </w:t>
      </w:r>
      <w:r w:rsidRPr="00FB4661">
        <w:rPr>
          <w:rFonts w:eastAsia="Times New Roman" w:cs="Times New Roman"/>
          <w:lang w:eastAsia="de-DE"/>
        </w:rPr>
        <w:t>(sein/geschehen) im Qal-Imperfekt 3. maskulin Singular mit Waw consecutivum markiert einen bedeutsamen narrativen Wendepunkt und leitet von den legislativen Anweisungen der Verse 1-10 zu dem historischen Ereignis des ersten Aufbruchs vom Sinai über.</w:t>
      </w:r>
    </w:p>
    <w:p w14:paraId="0A366C5B"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präzise chronologische Bestimmung </w:t>
      </w:r>
      <w:r w:rsidRPr="00FB4661">
        <w:rPr>
          <w:rFonts w:eastAsia="Times New Roman" w:cs="Times New Roman"/>
          <w:b/>
          <w:bCs/>
          <w:rtl/>
          <w:lang w:eastAsia="de-DE"/>
        </w:rPr>
        <w:t>בַּשָּׁנָ֧ה הַשֵּׁנִ֛ית בַּחֹ֥דֶשׁ הַשֵּׁנִ֖י בְּעֶשְׂרִ֣ין בַּחֹ֑דֶשׁ</w:t>
      </w:r>
      <w:r w:rsidRPr="00FB4661">
        <w:rPr>
          <w:rFonts w:eastAsia="Times New Roman" w:cs="Times New Roman"/>
          <w:rtl/>
          <w:lang w:eastAsia="de-DE"/>
        </w:rPr>
        <w:t xml:space="preserve"> </w:t>
      </w:r>
      <w:r w:rsidRPr="00FB4661">
        <w:rPr>
          <w:rFonts w:eastAsia="Times New Roman" w:cs="Times New Roman"/>
          <w:lang w:eastAsia="de-DE"/>
        </w:rPr>
        <w:t>(im zweiten Jahr, im zweiten Monat, am zwanzigsten des Monats) etabliert den 20. Ijjar des zweiten Jahres nach dem Exodus als den historischen Moment des Aufbruchs vom Sinai. Diese Datierung ist außerordentlich bedeutsam, da sie den Abschluss der fast einjährigen Gesetzgebungsperiode am Sinai markiert.</w:t>
      </w:r>
    </w:p>
    <w:p w14:paraId="64E78F4F"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בַּשָּׁנָ֧ה הַשֵּׁנִ֛ית</w:t>
      </w:r>
      <w:r w:rsidRPr="00FB4661">
        <w:rPr>
          <w:rFonts w:eastAsia="Times New Roman" w:cs="Times New Roman"/>
          <w:rtl/>
          <w:lang w:eastAsia="de-DE"/>
        </w:rPr>
        <w:t xml:space="preserve"> </w:t>
      </w:r>
      <w:r w:rsidRPr="00FB4661">
        <w:rPr>
          <w:rFonts w:eastAsia="Times New Roman" w:cs="Times New Roman"/>
          <w:lang w:eastAsia="de-DE"/>
        </w:rPr>
        <w:t>(im zweiten Jahr) zeigt, dass die Israeliten das erste vollständige Jahr ihrer Befreiung am Sinai verbracht haben, wo sie von einer befreiten Sklavenmenge zu einer organisierten theokratischen Nation unter göttlicher Gesetzgebung wurden.</w:t>
      </w:r>
    </w:p>
    <w:p w14:paraId="2271C901" w14:textId="7F953C69"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lastRenderedPageBreak/>
        <w:t>בַּחֹ֥דֶשׁ הַשֵּׁנִ֖י</w:t>
      </w:r>
      <w:r w:rsidRPr="00FB4661">
        <w:rPr>
          <w:rFonts w:eastAsia="Times New Roman" w:cs="Times New Roman"/>
          <w:rtl/>
          <w:lang w:eastAsia="de-DE"/>
        </w:rPr>
        <w:t xml:space="preserve"> </w:t>
      </w:r>
      <w:r w:rsidRPr="00FB4661">
        <w:rPr>
          <w:rFonts w:eastAsia="Times New Roman" w:cs="Times New Roman"/>
          <w:lang w:eastAsia="de-DE"/>
        </w:rPr>
        <w:t xml:space="preserve">(im zweiten Monat) bezeichnet den Ijjar, der dem Nissan (dem Monat des Exodus und des </w:t>
      </w:r>
      <w:r w:rsidR="00E136DC">
        <w:rPr>
          <w:rFonts w:eastAsia="Times New Roman" w:cs="Times New Roman"/>
          <w:lang w:eastAsia="de-DE"/>
        </w:rPr>
        <w:t>Pesach</w:t>
      </w:r>
      <w:r w:rsidRPr="00FB4661">
        <w:rPr>
          <w:rFonts w:eastAsia="Times New Roman" w:cs="Times New Roman"/>
          <w:lang w:eastAsia="de-DE"/>
        </w:rPr>
        <w:t>) folgt. Die chronologische Nähe zum Jahrestag der Befreiung ist symbolisch bedeutsam.</w:t>
      </w:r>
    </w:p>
    <w:p w14:paraId="0238F625"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בְּעֶשְׂרִ֣ין</w:t>
      </w:r>
      <w:r w:rsidRPr="00FB4661">
        <w:rPr>
          <w:rFonts w:eastAsia="Times New Roman" w:cs="Times New Roman"/>
          <w:rtl/>
          <w:lang w:eastAsia="de-DE"/>
        </w:rPr>
        <w:t xml:space="preserve"> </w:t>
      </w:r>
      <w:r w:rsidRPr="00FB4661">
        <w:rPr>
          <w:rFonts w:eastAsia="Times New Roman" w:cs="Times New Roman"/>
          <w:lang w:eastAsia="de-DE"/>
        </w:rPr>
        <w:t xml:space="preserve">(am zwanzigsten) mit der konstrukt-Form von </w:t>
      </w:r>
      <w:r w:rsidRPr="00FB4661">
        <w:rPr>
          <w:rFonts w:eastAsia="Times New Roman" w:cs="Times New Roman"/>
          <w:b/>
          <w:bCs/>
          <w:rtl/>
          <w:lang w:eastAsia="de-DE"/>
        </w:rPr>
        <w:t>עֶשְׂרִים</w:t>
      </w:r>
      <w:r w:rsidRPr="00FB4661">
        <w:rPr>
          <w:rFonts w:eastAsia="Times New Roman" w:cs="Times New Roman"/>
          <w:rtl/>
          <w:lang w:eastAsia="de-DE"/>
        </w:rPr>
        <w:t xml:space="preserve"> </w:t>
      </w:r>
      <w:r w:rsidRPr="00FB4661">
        <w:rPr>
          <w:rFonts w:eastAsia="Times New Roman" w:cs="Times New Roman"/>
          <w:lang w:eastAsia="de-DE"/>
        </w:rPr>
        <w:t>(zwanzig) zeigt die genaue Tagesangabe. Diese Präzision unterstreicht die historische Bedeutung des Ereignisses als dokumentierter Wendepunkt in Israels früher Geschichte.</w:t>
      </w:r>
    </w:p>
    <w:p w14:paraId="5E47A78E"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Das Subjekt und Prädikat </w:t>
      </w:r>
      <w:r w:rsidRPr="00FB4661">
        <w:rPr>
          <w:rFonts w:eastAsia="Times New Roman" w:cs="Times New Roman"/>
          <w:b/>
          <w:bCs/>
          <w:rtl/>
          <w:lang w:eastAsia="de-DE"/>
        </w:rPr>
        <w:t>נַעֲלָה֙ הֶֽעָנָ֔ן מֵעַ֖ל מִשְׁכַּ֥ן הָעֵדֻֽת</w:t>
      </w:r>
      <w:r w:rsidRPr="00FB4661">
        <w:rPr>
          <w:rFonts w:eastAsia="Times New Roman" w:cs="Times New Roman"/>
          <w:rtl/>
          <w:lang w:eastAsia="de-DE"/>
        </w:rPr>
        <w:t xml:space="preserve"> </w:t>
      </w:r>
      <w:r w:rsidRPr="00FB4661">
        <w:rPr>
          <w:rFonts w:eastAsia="Times New Roman" w:cs="Times New Roman"/>
          <w:lang w:eastAsia="de-DE"/>
        </w:rPr>
        <w:t xml:space="preserve">zeigen das göttliche Signal zum Aufbruch. </w:t>
      </w:r>
      <w:r w:rsidRPr="00FB4661">
        <w:rPr>
          <w:rFonts w:eastAsia="Times New Roman" w:cs="Times New Roman"/>
          <w:b/>
          <w:bCs/>
          <w:rtl/>
          <w:lang w:eastAsia="de-DE"/>
        </w:rPr>
        <w:t>נַעֲלָה֙</w:t>
      </w:r>
      <w:r w:rsidRPr="00FB4661">
        <w:rPr>
          <w:rFonts w:eastAsia="Times New Roman" w:cs="Times New Roman"/>
          <w:rtl/>
          <w:lang w:eastAsia="de-DE"/>
        </w:rPr>
        <w:t xml:space="preserve"> </w:t>
      </w:r>
      <w:r w:rsidRPr="00FB4661">
        <w:rPr>
          <w:rFonts w:eastAsia="Times New Roman" w:cs="Times New Roman"/>
          <w:lang w:eastAsia="de-DE"/>
        </w:rPr>
        <w:t xml:space="preserve">von der Wurzel </w:t>
      </w:r>
      <w:r w:rsidRPr="00FB4661">
        <w:rPr>
          <w:rFonts w:eastAsia="Times New Roman" w:cs="Times New Roman"/>
          <w:b/>
          <w:bCs/>
          <w:rtl/>
          <w:lang w:eastAsia="de-DE"/>
        </w:rPr>
        <w:t>עלה</w:t>
      </w:r>
      <w:r w:rsidRPr="00FB4661">
        <w:rPr>
          <w:rFonts w:eastAsia="Times New Roman" w:cs="Times New Roman"/>
          <w:rtl/>
          <w:lang w:eastAsia="de-DE"/>
        </w:rPr>
        <w:t xml:space="preserve"> </w:t>
      </w:r>
      <w:r w:rsidRPr="00FB4661">
        <w:rPr>
          <w:rFonts w:eastAsia="Times New Roman" w:cs="Times New Roman"/>
          <w:lang w:eastAsia="de-DE"/>
        </w:rPr>
        <w:t>(hinaufgehen/sich erheben) im Niph'al-Perfekt 3. maskulin Singular zeigt die spontane, göttlich bewirkte Bewegung der Wolke. Das Niph'al betont, dass dies nicht durch menschliche Aktion geschieht, sondern durch göttliche Initiative.</w:t>
      </w:r>
    </w:p>
    <w:p w14:paraId="7DF3E2AD"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הֶֽעָנָ֔ן</w:t>
      </w:r>
      <w:r w:rsidRPr="00FB4661">
        <w:rPr>
          <w:rFonts w:eastAsia="Times New Roman" w:cs="Times New Roman"/>
          <w:rtl/>
          <w:lang w:eastAsia="de-DE"/>
        </w:rPr>
        <w:t xml:space="preserve"> </w:t>
      </w:r>
      <w:r w:rsidRPr="00FB4661">
        <w:rPr>
          <w:rFonts w:eastAsia="Times New Roman" w:cs="Times New Roman"/>
          <w:lang w:eastAsia="de-DE"/>
        </w:rPr>
        <w:t xml:space="preserve">(die Wolke) ist das sichtbare Zeichen der göttlichen Präsenz, das seit Exodus 13,21-22 die Israeliten geführt hat. </w:t>
      </w:r>
      <w:r w:rsidRPr="00FB4661">
        <w:rPr>
          <w:rFonts w:eastAsia="Times New Roman" w:cs="Times New Roman"/>
          <w:b/>
          <w:bCs/>
          <w:rtl/>
          <w:lang w:eastAsia="de-DE"/>
        </w:rPr>
        <w:t>מֵעַ֖ל</w:t>
      </w:r>
      <w:r w:rsidRPr="00FB4661">
        <w:rPr>
          <w:rFonts w:eastAsia="Times New Roman" w:cs="Times New Roman"/>
          <w:rtl/>
          <w:lang w:eastAsia="de-DE"/>
        </w:rPr>
        <w:t xml:space="preserve"> </w:t>
      </w:r>
      <w:r w:rsidRPr="00FB4661">
        <w:rPr>
          <w:rFonts w:eastAsia="Times New Roman" w:cs="Times New Roman"/>
          <w:lang w:eastAsia="de-DE"/>
        </w:rPr>
        <w:t xml:space="preserve">(von über) mit </w:t>
      </w:r>
      <w:r w:rsidRPr="00FB4661">
        <w:rPr>
          <w:rFonts w:eastAsia="Times New Roman" w:cs="Times New Roman"/>
          <w:b/>
          <w:bCs/>
          <w:rtl/>
          <w:lang w:eastAsia="de-DE"/>
        </w:rPr>
        <w:t>מִשְׁכַּ֥ן הָעֵדֻֽת</w:t>
      </w:r>
      <w:r w:rsidRPr="00FB4661">
        <w:rPr>
          <w:rFonts w:eastAsia="Times New Roman" w:cs="Times New Roman"/>
          <w:rtl/>
          <w:lang w:eastAsia="de-DE"/>
        </w:rPr>
        <w:t xml:space="preserve"> </w:t>
      </w:r>
      <w:r w:rsidRPr="00FB4661">
        <w:rPr>
          <w:rFonts w:eastAsia="Times New Roman" w:cs="Times New Roman"/>
          <w:lang w:eastAsia="de-DE"/>
        </w:rPr>
        <w:t>(der Wohnung des Zeugnisses) zeigt die Bewegung der Wolke weg von ihrer bisherigen Position über der Stiftshütte.</w:t>
      </w:r>
    </w:p>
    <w:p w14:paraId="104C13DE" w14:textId="3AA2A185"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מִשְׁכַּ֥ן הָעֵדֻֽת</w:t>
      </w:r>
      <w:r w:rsidRPr="00FB4661">
        <w:rPr>
          <w:rFonts w:eastAsia="Times New Roman" w:cs="Times New Roman"/>
          <w:rtl/>
          <w:lang w:eastAsia="de-DE"/>
        </w:rPr>
        <w:t xml:space="preserve"> </w:t>
      </w:r>
      <w:r w:rsidRPr="00FB4661">
        <w:rPr>
          <w:rFonts w:eastAsia="Times New Roman" w:cs="Times New Roman"/>
          <w:lang w:eastAsia="de-DE"/>
        </w:rPr>
        <w:t xml:space="preserve">(Wohnung des Zeugnisses) als </w:t>
      </w:r>
      <w:r w:rsidR="00F133EC">
        <w:rPr>
          <w:rFonts w:eastAsia="Times New Roman" w:cs="Times New Roman"/>
          <w:lang w:eastAsia="de-DE"/>
        </w:rPr>
        <w:t>Construct</w:t>
      </w:r>
      <w:r w:rsidRPr="00FB4661">
        <w:rPr>
          <w:rFonts w:eastAsia="Times New Roman" w:cs="Times New Roman"/>
          <w:lang w:eastAsia="de-DE"/>
        </w:rPr>
        <w:t xml:space="preserve">verbindung von </w:t>
      </w:r>
      <w:r w:rsidRPr="00FB4661">
        <w:rPr>
          <w:rFonts w:eastAsia="Times New Roman" w:cs="Times New Roman"/>
          <w:b/>
          <w:bCs/>
          <w:rtl/>
          <w:lang w:eastAsia="de-DE"/>
        </w:rPr>
        <w:t>מִשְׁכָּן</w:t>
      </w:r>
      <w:r w:rsidRPr="00FB4661">
        <w:rPr>
          <w:rFonts w:eastAsia="Times New Roman" w:cs="Times New Roman"/>
          <w:rtl/>
          <w:lang w:eastAsia="de-DE"/>
        </w:rPr>
        <w:t xml:space="preserve"> </w:t>
      </w:r>
      <w:r w:rsidRPr="00FB4661">
        <w:rPr>
          <w:rFonts w:eastAsia="Times New Roman" w:cs="Times New Roman"/>
          <w:lang w:eastAsia="de-DE"/>
        </w:rPr>
        <w:t xml:space="preserve">(Wohnung) mit </w:t>
      </w:r>
      <w:r w:rsidRPr="00FB4661">
        <w:rPr>
          <w:rFonts w:eastAsia="Times New Roman" w:cs="Times New Roman"/>
          <w:b/>
          <w:bCs/>
          <w:rtl/>
          <w:lang w:eastAsia="de-DE"/>
        </w:rPr>
        <w:t>עֵדֻת</w:t>
      </w:r>
      <w:r w:rsidRPr="00FB4661">
        <w:rPr>
          <w:rFonts w:eastAsia="Times New Roman" w:cs="Times New Roman"/>
          <w:rtl/>
          <w:lang w:eastAsia="de-DE"/>
        </w:rPr>
        <w:t xml:space="preserve"> </w:t>
      </w:r>
      <w:r w:rsidRPr="00FB4661">
        <w:rPr>
          <w:rFonts w:eastAsia="Times New Roman" w:cs="Times New Roman"/>
          <w:lang w:eastAsia="de-DE"/>
        </w:rPr>
        <w:t>(Zeugnis) bezeichnet die Stiftshütte durch ihre Funktion als Aufbewahrungsort der Bundeslade mit den Gesetzestafeln. Diese Bezeichnung betont den legislativen Charakter der Sinai-Periode: hier wurde das "Zeugnis" (die Torah) gegeben und niedergelegt.</w:t>
      </w:r>
    </w:p>
    <w:p w14:paraId="51A2D96E"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 implizite Verbindung zu Kapitel 9,15-23 ist wichtig: dort wurde das System der göttlichen Führung durch Wolkenbewegung etabliert, und hier wird es zum ersten Mal in der Praxis angewandt. Die Erhebung der Wolke ist das erwartete Signal für den Aufbruch, entsprechend den in Kapitel 9 gegebenen Anweisungen.</w:t>
      </w:r>
    </w:p>
    <w:p w14:paraId="6F7C2A1F"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Der Moment ist historisch bedeutsam: Nach fast einem Jahr der Gesetzgebung, des Bundesschlusses, der Stiftshüttenerrichtung, der Priesterweihe, der Opfergesetze, der Volkszählung, der Lagerordnung und aller kultischen und zivilen Bestimmungen gibt Gott das Signal zum Aufbruch in Richtung des verheißenen Landes.</w:t>
      </w:r>
    </w:p>
    <w:p w14:paraId="0968ED50"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Die LXX</w:t>
      </w:r>
      <w:r w:rsidRPr="00FB4661">
        <w:rPr>
          <w:rFonts w:eastAsia="Times New Roman" w:cs="Times New Roman"/>
          <w:lang w:eastAsia="de-DE"/>
        </w:rPr>
        <w:t xml:space="preserve"> übersetzt </w:t>
      </w:r>
      <w:r w:rsidRPr="00FB4661">
        <w:rPr>
          <w:rFonts w:eastAsia="Times New Roman" w:cs="Times New Roman"/>
          <w:b/>
          <w:bCs/>
          <w:rtl/>
          <w:lang w:eastAsia="de-DE"/>
        </w:rPr>
        <w:t>בַּשָּׁנָ֧ה הַשֵּׁנִ֛ית</w:t>
      </w:r>
      <w:r w:rsidRPr="00FB4661">
        <w:rPr>
          <w:rFonts w:eastAsia="Times New Roman" w:cs="Times New Roman"/>
          <w:rtl/>
          <w:lang w:eastAsia="de-DE"/>
        </w:rPr>
        <w:t xml:space="preserve"> </w:t>
      </w:r>
      <w:r w:rsidRPr="00FB4661">
        <w:rPr>
          <w:rFonts w:eastAsia="Times New Roman" w:cs="Times New Roman"/>
          <w:lang w:eastAsia="de-DE"/>
        </w:rPr>
        <w:t xml:space="preserve">mit ἐν τῷ ἔτει τῷ δευτέρῳ (im zweiten Jahr), </w:t>
      </w:r>
      <w:r w:rsidRPr="00FB4661">
        <w:rPr>
          <w:rFonts w:eastAsia="Times New Roman" w:cs="Times New Roman"/>
          <w:b/>
          <w:bCs/>
          <w:rtl/>
          <w:lang w:eastAsia="de-DE"/>
        </w:rPr>
        <w:t>בַּחֹ֥דֶשׁ הַשֵּׁנִ֖י</w:t>
      </w:r>
      <w:r w:rsidRPr="00FB4661">
        <w:rPr>
          <w:rFonts w:eastAsia="Times New Roman" w:cs="Times New Roman"/>
          <w:rtl/>
          <w:lang w:eastAsia="de-DE"/>
        </w:rPr>
        <w:t xml:space="preserve"> </w:t>
      </w:r>
      <w:r w:rsidRPr="00FB4661">
        <w:rPr>
          <w:rFonts w:eastAsia="Times New Roman" w:cs="Times New Roman"/>
          <w:lang w:eastAsia="de-DE"/>
        </w:rPr>
        <w:t xml:space="preserve">mit ἐν τῷ μηνὶ τῷ δευτέρῳ (im zweiten Monat), </w:t>
      </w:r>
      <w:r w:rsidRPr="00FB4661">
        <w:rPr>
          <w:rFonts w:eastAsia="Times New Roman" w:cs="Times New Roman"/>
          <w:b/>
          <w:bCs/>
          <w:rtl/>
          <w:lang w:eastAsia="de-DE"/>
        </w:rPr>
        <w:t>בְּעֶשְׂרִ֣ין</w:t>
      </w:r>
      <w:r w:rsidRPr="00FB4661">
        <w:rPr>
          <w:rFonts w:eastAsia="Times New Roman" w:cs="Times New Roman"/>
          <w:rtl/>
          <w:lang w:eastAsia="de-DE"/>
        </w:rPr>
        <w:t xml:space="preserve"> </w:t>
      </w:r>
      <w:r w:rsidRPr="00FB4661">
        <w:rPr>
          <w:rFonts w:eastAsia="Times New Roman" w:cs="Times New Roman"/>
          <w:lang w:eastAsia="de-DE"/>
        </w:rPr>
        <w:t xml:space="preserve">mit εἰκάδι (am zwanzigsten), </w:t>
      </w:r>
      <w:r w:rsidRPr="00FB4661">
        <w:rPr>
          <w:rFonts w:eastAsia="Times New Roman" w:cs="Times New Roman"/>
          <w:b/>
          <w:bCs/>
          <w:rtl/>
          <w:lang w:eastAsia="de-DE"/>
        </w:rPr>
        <w:t>נַעֲלָה֙</w:t>
      </w:r>
      <w:r w:rsidRPr="00FB4661">
        <w:rPr>
          <w:rFonts w:eastAsia="Times New Roman" w:cs="Times New Roman"/>
          <w:rtl/>
          <w:lang w:eastAsia="de-DE"/>
        </w:rPr>
        <w:t xml:space="preserve"> </w:t>
      </w:r>
      <w:r w:rsidRPr="00FB4661">
        <w:rPr>
          <w:rFonts w:eastAsia="Times New Roman" w:cs="Times New Roman"/>
          <w:lang w:eastAsia="de-DE"/>
        </w:rPr>
        <w:t xml:space="preserve">mit ἀνέβη (stieg hinauf) und </w:t>
      </w:r>
      <w:r w:rsidRPr="00FB4661">
        <w:rPr>
          <w:rFonts w:eastAsia="Times New Roman" w:cs="Times New Roman"/>
          <w:b/>
          <w:bCs/>
          <w:rtl/>
          <w:lang w:eastAsia="de-DE"/>
        </w:rPr>
        <w:t>מִשְׁכַּ֥ן הָעֵדֻֽת</w:t>
      </w:r>
      <w:r w:rsidRPr="00FB4661">
        <w:rPr>
          <w:rFonts w:eastAsia="Times New Roman" w:cs="Times New Roman"/>
          <w:rtl/>
          <w:lang w:eastAsia="de-DE"/>
        </w:rPr>
        <w:t xml:space="preserve"> </w:t>
      </w:r>
      <w:r w:rsidRPr="00FB4661">
        <w:rPr>
          <w:rFonts w:eastAsia="Times New Roman" w:cs="Times New Roman"/>
          <w:lang w:eastAsia="de-DE"/>
        </w:rPr>
        <w:t>mit σκηνῆς τοῦ μαρτυρίου (Zelt des Zeugnisses).</w:t>
      </w:r>
    </w:p>
    <w:p w14:paraId="1964C7E4" w14:textId="1B4946BB" w:rsid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 Satzstruktur zeigt eine präzise chronologische Einleitung mit dramatischem theophanen Ereignis als Wendepunkt von der Gesetzgebungszeit zur Wanderungszeit. Dieser Vers markiert damit den Beginn der eigentlichen Wüstenwanderung nach der konstitutiven Periode am Sinai.</w:t>
      </w:r>
    </w:p>
    <w:p w14:paraId="652B2742" w14:textId="67048D2D" w:rsidR="00497CF8" w:rsidRPr="00FB4661" w:rsidRDefault="00497CF8" w:rsidP="00FB4661">
      <w:pPr>
        <w:spacing w:before="100" w:beforeAutospacing="1" w:after="100" w:afterAutospacing="1" w:line="240" w:lineRule="auto"/>
        <w:rPr>
          <w:rFonts w:eastAsia="Times New Roman" w:cs="Times New Roman"/>
          <w:lang w:eastAsia="de-DE"/>
        </w:rPr>
      </w:pPr>
      <w:r>
        <w:t>Am zwanzigsten Tag des zweiten Monats im zweiten Jahr erhob sich die Wolke von der Wohnung des Zeugnisses.</w:t>
      </w:r>
    </w:p>
    <w:p w14:paraId="402248E2" w14:textId="77777777" w:rsidR="00FB4661" w:rsidRPr="00FB4661" w:rsidRDefault="00FB4661" w:rsidP="00FB4661">
      <w:pPr>
        <w:spacing w:before="100" w:beforeAutospacing="1" w:after="100" w:afterAutospacing="1" w:line="240" w:lineRule="auto"/>
        <w:outlineLvl w:val="0"/>
        <w:rPr>
          <w:rFonts w:eastAsia="Times New Roman" w:cs="Times New Roman"/>
          <w:b/>
          <w:bCs/>
          <w:kern w:val="36"/>
          <w:sz w:val="48"/>
          <w:szCs w:val="48"/>
          <w:lang w:eastAsia="de-DE"/>
        </w:rPr>
      </w:pPr>
      <w:r w:rsidRPr="00FB4661">
        <w:rPr>
          <w:rFonts w:eastAsia="Times New Roman" w:cs="Times New Roman"/>
          <w:b/>
          <w:bCs/>
          <w:kern w:val="36"/>
          <w:sz w:val="48"/>
          <w:szCs w:val="48"/>
          <w:lang w:eastAsia="de-DE"/>
        </w:rPr>
        <w:t>Numeri 10,12</w:t>
      </w:r>
    </w:p>
    <w:p w14:paraId="7E52D260"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Hebräisch:</w:t>
      </w:r>
      <w:r w:rsidRPr="00FB4661">
        <w:rPr>
          <w:rFonts w:eastAsia="Times New Roman" w:cs="Times New Roman"/>
          <w:lang w:eastAsia="de-DE"/>
        </w:rPr>
        <w:t xml:space="preserve"> </w:t>
      </w:r>
      <w:r w:rsidRPr="00FB4661">
        <w:rPr>
          <w:rFonts w:eastAsia="Times New Roman" w:cs="Times New Roman"/>
          <w:rtl/>
          <w:lang w:eastAsia="de-DE"/>
        </w:rPr>
        <w:t>וַיִּסְע֧וּ בְנֵֽי־יִשְׂרָאֵ֛ל לְמַסְעֵיהֶ֖ם מִמִּדְבַּ֣ר סִינָ֑י וַיִּשְׁכֹּ֥ן הֶעָנָ֖ן בְּמִדְבַּ֥ר פָּארָֽן׃</w:t>
      </w:r>
    </w:p>
    <w:p w14:paraId="4A5DA9A1"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lastRenderedPageBreak/>
        <w:t>Deutsch:</w:t>
      </w:r>
      <w:r w:rsidRPr="00FB4661">
        <w:rPr>
          <w:rFonts w:eastAsia="Times New Roman" w:cs="Times New Roman"/>
          <w:lang w:eastAsia="de-DE"/>
        </w:rPr>
        <w:t xml:space="preserve"> Und die Söhne Jisra'el brachen auf zu ihren Zügen aus der Wüste Sinai; und die Wolke ließ sich nieder in der Wüste Paran.</w:t>
      </w:r>
    </w:p>
    <w:p w14:paraId="06416FF7" w14:textId="77777777" w:rsidR="00FB4661" w:rsidRPr="00FB4661" w:rsidRDefault="00F329DD" w:rsidP="00FB4661">
      <w:pPr>
        <w:spacing w:after="0" w:line="240" w:lineRule="auto"/>
        <w:rPr>
          <w:rFonts w:eastAsia="Times New Roman" w:cs="Times New Roman"/>
          <w:lang w:eastAsia="de-DE"/>
        </w:rPr>
      </w:pPr>
      <w:r>
        <w:rPr>
          <w:rFonts w:eastAsia="Times New Roman" w:cs="Times New Roman"/>
          <w:noProof/>
          <w:lang w:eastAsia="de-DE"/>
        </w:rPr>
        <w:pict w14:anchorId="02BC54BC">
          <v:rect id="_x0000_i1355" style="width:0;height:1.5pt" o:hralign="center" o:hrstd="t" o:hr="t" fillcolor="#a0a0a0" stroked="f"/>
        </w:pict>
      </w:r>
    </w:p>
    <w:p w14:paraId="17710E7B"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Kommentar:</w:t>
      </w:r>
      <w:r w:rsidRPr="00FB4661">
        <w:rPr>
          <w:rFonts w:eastAsia="Times New Roman" w:cs="Times New Roman"/>
          <w:lang w:eastAsia="de-DE"/>
        </w:rPr>
        <w:t xml:space="preserve"> Das Verb </w:t>
      </w:r>
      <w:r w:rsidRPr="00FB4661">
        <w:rPr>
          <w:rFonts w:eastAsia="Times New Roman" w:cs="Times New Roman"/>
          <w:b/>
          <w:bCs/>
          <w:rtl/>
          <w:lang w:eastAsia="de-DE"/>
        </w:rPr>
        <w:t>וַיִּסְע֧וּ בְנֵֽי־יִשְׂרָאֵ֛ל</w:t>
      </w:r>
      <w:r w:rsidRPr="00FB4661">
        <w:rPr>
          <w:rFonts w:eastAsia="Times New Roman" w:cs="Times New Roman"/>
          <w:rtl/>
          <w:lang w:eastAsia="de-DE"/>
        </w:rPr>
        <w:t xml:space="preserve"> </w:t>
      </w:r>
      <w:r w:rsidRPr="00FB4661">
        <w:rPr>
          <w:rFonts w:eastAsia="Times New Roman" w:cs="Times New Roman"/>
          <w:lang w:eastAsia="de-DE"/>
        </w:rPr>
        <w:t xml:space="preserve">mit </w:t>
      </w:r>
      <w:r w:rsidRPr="00FB4661">
        <w:rPr>
          <w:rFonts w:eastAsia="Times New Roman" w:cs="Times New Roman"/>
          <w:b/>
          <w:bCs/>
          <w:rtl/>
          <w:lang w:eastAsia="de-DE"/>
        </w:rPr>
        <w:t>יִּסְעוּ</w:t>
      </w:r>
      <w:r w:rsidRPr="00FB4661">
        <w:rPr>
          <w:rFonts w:eastAsia="Times New Roman" w:cs="Times New Roman"/>
          <w:rtl/>
          <w:lang w:eastAsia="de-DE"/>
        </w:rPr>
        <w:t xml:space="preserve"> </w:t>
      </w:r>
      <w:r w:rsidRPr="00FB4661">
        <w:rPr>
          <w:rFonts w:eastAsia="Times New Roman" w:cs="Times New Roman"/>
          <w:lang w:eastAsia="de-DE"/>
        </w:rPr>
        <w:t xml:space="preserve">von der Wurzel </w:t>
      </w:r>
      <w:r w:rsidRPr="00FB4661">
        <w:rPr>
          <w:rFonts w:eastAsia="Times New Roman" w:cs="Times New Roman"/>
          <w:b/>
          <w:bCs/>
          <w:rtl/>
          <w:lang w:eastAsia="de-DE"/>
        </w:rPr>
        <w:t>נסע</w:t>
      </w:r>
      <w:r w:rsidRPr="00FB4661">
        <w:rPr>
          <w:rFonts w:eastAsia="Times New Roman" w:cs="Times New Roman"/>
          <w:rtl/>
          <w:lang w:eastAsia="de-DE"/>
        </w:rPr>
        <w:t xml:space="preserve"> </w:t>
      </w:r>
      <w:r w:rsidRPr="00FB4661">
        <w:rPr>
          <w:rFonts w:eastAsia="Times New Roman" w:cs="Times New Roman"/>
          <w:lang w:eastAsia="de-DE"/>
        </w:rPr>
        <w:t xml:space="preserve">(aufbrechen/reisen) im Qal-Imperfekt 3. maskulin Plural mit Waw consecutivum zeigt die israelitische Reaktion auf das göttliche Wolkensignal aus Vers 11. Das Subjekt </w:t>
      </w:r>
      <w:r w:rsidRPr="00FB4661">
        <w:rPr>
          <w:rFonts w:eastAsia="Times New Roman" w:cs="Times New Roman"/>
          <w:b/>
          <w:bCs/>
          <w:rtl/>
          <w:lang w:eastAsia="de-DE"/>
        </w:rPr>
        <w:t>בְנֵֽי־יִשְׂרָאֵ֛ל</w:t>
      </w:r>
      <w:r w:rsidRPr="00FB4661">
        <w:rPr>
          <w:rFonts w:eastAsia="Times New Roman" w:cs="Times New Roman"/>
          <w:rtl/>
          <w:lang w:eastAsia="de-DE"/>
        </w:rPr>
        <w:t xml:space="preserve"> </w:t>
      </w:r>
      <w:r w:rsidRPr="00FB4661">
        <w:rPr>
          <w:rFonts w:eastAsia="Times New Roman" w:cs="Times New Roman"/>
          <w:lang w:eastAsia="de-DE"/>
        </w:rPr>
        <w:t>(die Söhne Israels) betont die kollektive, nationale Dimension dieses historischen Aufbruchs.</w:t>
      </w:r>
    </w:p>
    <w:p w14:paraId="67453D8D"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präpositionale Bestimmung </w:t>
      </w:r>
      <w:r w:rsidRPr="00FB4661">
        <w:rPr>
          <w:rFonts w:eastAsia="Times New Roman" w:cs="Times New Roman"/>
          <w:b/>
          <w:bCs/>
          <w:rtl/>
          <w:lang w:eastAsia="de-DE"/>
        </w:rPr>
        <w:t>לְמַסְעֵיהֶ֖ם</w:t>
      </w:r>
      <w:r w:rsidRPr="00FB4661">
        <w:rPr>
          <w:rFonts w:eastAsia="Times New Roman" w:cs="Times New Roman"/>
          <w:rtl/>
          <w:lang w:eastAsia="de-DE"/>
        </w:rPr>
        <w:t xml:space="preserve"> </w:t>
      </w:r>
      <w:r w:rsidRPr="00FB4661">
        <w:rPr>
          <w:rFonts w:eastAsia="Times New Roman" w:cs="Times New Roman"/>
          <w:lang w:eastAsia="de-DE"/>
        </w:rPr>
        <w:t xml:space="preserve">(zu ihren Zügen/Wanderungen) mit </w:t>
      </w:r>
      <w:r w:rsidRPr="00FB4661">
        <w:rPr>
          <w:rFonts w:eastAsia="Times New Roman" w:cs="Times New Roman"/>
          <w:b/>
          <w:bCs/>
          <w:rtl/>
          <w:lang w:eastAsia="de-DE"/>
        </w:rPr>
        <w:t>מַסְעֵי</w:t>
      </w:r>
      <w:r w:rsidRPr="00FB4661">
        <w:rPr>
          <w:rFonts w:eastAsia="Times New Roman" w:cs="Times New Roman"/>
          <w:rtl/>
          <w:lang w:eastAsia="de-DE"/>
        </w:rPr>
        <w:t xml:space="preserve"> </w:t>
      </w:r>
      <w:r w:rsidRPr="00FB4661">
        <w:rPr>
          <w:rFonts w:eastAsia="Times New Roman" w:cs="Times New Roman"/>
          <w:lang w:eastAsia="de-DE"/>
        </w:rPr>
        <w:t xml:space="preserve">als Plural von </w:t>
      </w:r>
      <w:r w:rsidRPr="00FB4661">
        <w:rPr>
          <w:rFonts w:eastAsia="Times New Roman" w:cs="Times New Roman"/>
          <w:b/>
          <w:bCs/>
          <w:rtl/>
          <w:lang w:eastAsia="de-DE"/>
        </w:rPr>
        <w:t>מַסַּע</w:t>
      </w:r>
      <w:r w:rsidRPr="00FB4661">
        <w:rPr>
          <w:rFonts w:eastAsia="Times New Roman" w:cs="Times New Roman"/>
          <w:rtl/>
          <w:lang w:eastAsia="de-DE"/>
        </w:rPr>
        <w:t xml:space="preserve"> </w:t>
      </w:r>
      <w:r w:rsidRPr="00FB4661">
        <w:rPr>
          <w:rFonts w:eastAsia="Times New Roman" w:cs="Times New Roman"/>
          <w:lang w:eastAsia="de-DE"/>
        </w:rPr>
        <w:t xml:space="preserve">(Wanderung/Etappe) mit Possessivsuffix 3. maskulin Plural zeigt dies als den Beginn einer Serie organisierter Wanderungsetappen. Der Plural </w:t>
      </w:r>
      <w:r w:rsidRPr="00FB4661">
        <w:rPr>
          <w:rFonts w:eastAsia="Times New Roman" w:cs="Times New Roman"/>
          <w:b/>
          <w:bCs/>
          <w:rtl/>
          <w:lang w:eastAsia="de-DE"/>
        </w:rPr>
        <w:t>מַסְעֵי</w:t>
      </w:r>
      <w:r w:rsidRPr="00FB4661">
        <w:rPr>
          <w:rFonts w:eastAsia="Times New Roman" w:cs="Times New Roman"/>
          <w:rtl/>
          <w:lang w:eastAsia="de-DE"/>
        </w:rPr>
        <w:t xml:space="preserve"> </w:t>
      </w:r>
      <w:r w:rsidRPr="00FB4661">
        <w:rPr>
          <w:rFonts w:eastAsia="Times New Roman" w:cs="Times New Roman"/>
          <w:lang w:eastAsia="de-DE"/>
        </w:rPr>
        <w:t>impliziert, dass dies nicht eine einmalige Reise ist, sondern der Beginn eines systematischen Wanderungsunternehmens mit vielen Stationen.</w:t>
      </w:r>
    </w:p>
    <w:p w14:paraId="66574541" w14:textId="0C5B8B2A"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Herkunftsangabe </w:t>
      </w:r>
      <w:r w:rsidRPr="00FB4661">
        <w:rPr>
          <w:rFonts w:eastAsia="Times New Roman" w:cs="Times New Roman"/>
          <w:b/>
          <w:bCs/>
          <w:rtl/>
          <w:lang w:eastAsia="de-DE"/>
        </w:rPr>
        <w:t>מִמִּדְבַּ֣ר סִינָ֑י</w:t>
      </w:r>
      <w:r w:rsidRPr="00FB4661">
        <w:rPr>
          <w:rFonts w:eastAsia="Times New Roman" w:cs="Times New Roman"/>
          <w:rtl/>
          <w:lang w:eastAsia="de-DE"/>
        </w:rPr>
        <w:t xml:space="preserve"> </w:t>
      </w:r>
      <w:r w:rsidRPr="00FB4661">
        <w:rPr>
          <w:rFonts w:eastAsia="Times New Roman" w:cs="Times New Roman"/>
          <w:lang w:eastAsia="de-DE"/>
        </w:rPr>
        <w:t xml:space="preserve">(aus der Wüste Sinai) mit der Präposition </w:t>
      </w:r>
      <w:r w:rsidRPr="00FB4661">
        <w:rPr>
          <w:rFonts w:eastAsia="Times New Roman" w:cs="Times New Roman"/>
          <w:b/>
          <w:bCs/>
          <w:rtl/>
          <w:lang w:eastAsia="de-DE"/>
        </w:rPr>
        <w:t>מִן</w:t>
      </w:r>
      <w:r w:rsidRPr="00FB4661">
        <w:rPr>
          <w:rFonts w:eastAsia="Times New Roman" w:cs="Times New Roman"/>
          <w:rtl/>
          <w:lang w:eastAsia="de-DE"/>
        </w:rPr>
        <w:t xml:space="preserve"> </w:t>
      </w:r>
      <w:r w:rsidRPr="00FB4661">
        <w:rPr>
          <w:rFonts w:eastAsia="Times New Roman" w:cs="Times New Roman"/>
          <w:lang w:eastAsia="de-DE"/>
        </w:rPr>
        <w:t xml:space="preserve">(von/aus) markiert den Abschied von dem Ort der Gesetzgebung. </w:t>
      </w:r>
      <w:r w:rsidRPr="00FB4661">
        <w:rPr>
          <w:rFonts w:eastAsia="Times New Roman" w:cs="Times New Roman"/>
          <w:b/>
          <w:bCs/>
          <w:rtl/>
          <w:lang w:eastAsia="de-DE"/>
        </w:rPr>
        <w:t>מִדְבַּר סִינַי</w:t>
      </w:r>
      <w:r w:rsidRPr="00FB4661">
        <w:rPr>
          <w:rFonts w:eastAsia="Times New Roman" w:cs="Times New Roman"/>
          <w:rtl/>
          <w:lang w:eastAsia="de-DE"/>
        </w:rPr>
        <w:t xml:space="preserve"> </w:t>
      </w:r>
      <w:r w:rsidRPr="00FB4661">
        <w:rPr>
          <w:rFonts w:eastAsia="Times New Roman" w:cs="Times New Roman"/>
          <w:lang w:eastAsia="de-DE"/>
        </w:rPr>
        <w:t xml:space="preserve">(Wüste Sinai) als </w:t>
      </w:r>
      <w:r w:rsidR="00F133EC">
        <w:rPr>
          <w:rFonts w:eastAsia="Times New Roman" w:cs="Times New Roman"/>
          <w:lang w:eastAsia="de-DE"/>
        </w:rPr>
        <w:t>Construct</w:t>
      </w:r>
      <w:r w:rsidRPr="00FB4661">
        <w:rPr>
          <w:rFonts w:eastAsia="Times New Roman" w:cs="Times New Roman"/>
          <w:lang w:eastAsia="de-DE"/>
        </w:rPr>
        <w:t>verbindung bezeichnet nicht nur den geografischen Ort, sondern symbolisch die gesamte Periode der Konstituierung Israels als Gottesvolk unter göttlicher Gesetzgebung.</w:t>
      </w:r>
    </w:p>
    <w:p w14:paraId="3D08B232"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Das koordinierte Verb </w:t>
      </w:r>
      <w:r w:rsidRPr="00FB4661">
        <w:rPr>
          <w:rFonts w:eastAsia="Times New Roman" w:cs="Times New Roman"/>
          <w:b/>
          <w:bCs/>
          <w:rtl/>
          <w:lang w:eastAsia="de-DE"/>
        </w:rPr>
        <w:t>וַיִּשְׁכֹּ֥ן הֶעָנָ֖ן בְּמִדְבַּ֥ר פָּארָֽן</w:t>
      </w:r>
      <w:r w:rsidRPr="00FB4661">
        <w:rPr>
          <w:rFonts w:eastAsia="Times New Roman" w:cs="Times New Roman"/>
          <w:rtl/>
          <w:lang w:eastAsia="de-DE"/>
        </w:rPr>
        <w:t xml:space="preserve"> </w:t>
      </w:r>
      <w:r w:rsidRPr="00FB4661">
        <w:rPr>
          <w:rFonts w:eastAsia="Times New Roman" w:cs="Times New Roman"/>
          <w:lang w:eastAsia="de-DE"/>
        </w:rPr>
        <w:t xml:space="preserve">zeigt das göttliche Führungsende dieser ersten Wanderungsetappe. </w:t>
      </w:r>
      <w:r w:rsidRPr="00FB4661">
        <w:rPr>
          <w:rFonts w:eastAsia="Times New Roman" w:cs="Times New Roman"/>
          <w:b/>
          <w:bCs/>
          <w:rtl/>
          <w:lang w:eastAsia="de-DE"/>
        </w:rPr>
        <w:t>יִּשְׁכֹּן</w:t>
      </w:r>
      <w:r w:rsidRPr="00FB4661">
        <w:rPr>
          <w:rFonts w:eastAsia="Times New Roman" w:cs="Times New Roman"/>
          <w:rtl/>
          <w:lang w:eastAsia="de-DE"/>
        </w:rPr>
        <w:t xml:space="preserve"> </w:t>
      </w:r>
      <w:r w:rsidRPr="00FB4661">
        <w:rPr>
          <w:rFonts w:eastAsia="Times New Roman" w:cs="Times New Roman"/>
          <w:lang w:eastAsia="de-DE"/>
        </w:rPr>
        <w:t xml:space="preserve">von der Wurzel </w:t>
      </w:r>
      <w:r w:rsidRPr="00FB4661">
        <w:rPr>
          <w:rFonts w:eastAsia="Times New Roman" w:cs="Times New Roman"/>
          <w:b/>
          <w:bCs/>
          <w:rtl/>
          <w:lang w:eastAsia="de-DE"/>
        </w:rPr>
        <w:t>שכן</w:t>
      </w:r>
      <w:r w:rsidRPr="00FB4661">
        <w:rPr>
          <w:rFonts w:eastAsia="Times New Roman" w:cs="Times New Roman"/>
          <w:rtl/>
          <w:lang w:eastAsia="de-DE"/>
        </w:rPr>
        <w:t xml:space="preserve"> </w:t>
      </w:r>
      <w:r w:rsidRPr="00FB4661">
        <w:rPr>
          <w:rFonts w:eastAsia="Times New Roman" w:cs="Times New Roman"/>
          <w:lang w:eastAsia="de-DE"/>
        </w:rPr>
        <w:t xml:space="preserve">(wohnen/sich niederlassen) im Qal-Imperfekt 3. maskulin Singular mit Waw consecutivum zeigt die göttliche Entscheidung zum Verweilen. </w:t>
      </w:r>
      <w:r w:rsidRPr="00FB4661">
        <w:rPr>
          <w:rFonts w:eastAsia="Times New Roman" w:cs="Times New Roman"/>
          <w:b/>
          <w:bCs/>
          <w:rtl/>
          <w:lang w:eastAsia="de-DE"/>
        </w:rPr>
        <w:t>הֶעָנָ֖ן</w:t>
      </w:r>
      <w:r w:rsidRPr="00FB4661">
        <w:rPr>
          <w:rFonts w:eastAsia="Times New Roman" w:cs="Times New Roman"/>
          <w:rtl/>
          <w:lang w:eastAsia="de-DE"/>
        </w:rPr>
        <w:t xml:space="preserve"> </w:t>
      </w:r>
      <w:r w:rsidRPr="00FB4661">
        <w:rPr>
          <w:rFonts w:eastAsia="Times New Roman" w:cs="Times New Roman"/>
          <w:lang w:eastAsia="de-DE"/>
        </w:rPr>
        <w:t>(die Wolke) ist wieder das sichtbare Zeichen der göttlichen Präsenz und Führung.</w:t>
      </w:r>
    </w:p>
    <w:p w14:paraId="11A8EB01"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בְּמִדְבַּ֥ר פָּארָֽן</w:t>
      </w:r>
      <w:r w:rsidRPr="00FB4661">
        <w:rPr>
          <w:rFonts w:eastAsia="Times New Roman" w:cs="Times New Roman"/>
          <w:rtl/>
          <w:lang w:eastAsia="de-DE"/>
        </w:rPr>
        <w:t xml:space="preserve"> </w:t>
      </w:r>
      <w:r w:rsidRPr="00FB4661">
        <w:rPr>
          <w:rFonts w:eastAsia="Times New Roman" w:cs="Times New Roman"/>
          <w:lang w:eastAsia="de-DE"/>
        </w:rPr>
        <w:t xml:space="preserve">(in der Wüste Paran) als neues Ziel bezeichnet eine große Wüstenregion südlich von Kanaan, zwischen der Sinai-Halbinsel und dem verheißenen Land. </w:t>
      </w:r>
      <w:r w:rsidRPr="00FB4661">
        <w:rPr>
          <w:rFonts w:eastAsia="Times New Roman" w:cs="Times New Roman"/>
          <w:b/>
          <w:bCs/>
          <w:rtl/>
          <w:lang w:eastAsia="de-DE"/>
        </w:rPr>
        <w:t>מִדְבַּר פָּארָן</w:t>
      </w:r>
      <w:r w:rsidRPr="00FB4661">
        <w:rPr>
          <w:rFonts w:eastAsia="Times New Roman" w:cs="Times New Roman"/>
          <w:rtl/>
          <w:lang w:eastAsia="de-DE"/>
        </w:rPr>
        <w:t xml:space="preserve"> </w:t>
      </w:r>
      <w:r w:rsidRPr="00FB4661">
        <w:rPr>
          <w:rFonts w:eastAsia="Times New Roman" w:cs="Times New Roman"/>
          <w:lang w:eastAsia="de-DE"/>
        </w:rPr>
        <w:t>wird später in der Kundschaftergeschichte (Numeri 13) eine wichtige Rolle spielen als Ausgangspunkt für die Erkundung des verheißenen Landes.</w:t>
      </w:r>
    </w:p>
    <w:p w14:paraId="184C39BE"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geografische Bewegung von </w:t>
      </w:r>
      <w:r w:rsidRPr="00FB4661">
        <w:rPr>
          <w:rFonts w:eastAsia="Times New Roman" w:cs="Times New Roman"/>
          <w:b/>
          <w:bCs/>
          <w:rtl/>
          <w:lang w:eastAsia="de-DE"/>
        </w:rPr>
        <w:t>מִדְבַּר סִינַי</w:t>
      </w:r>
      <w:r w:rsidRPr="00FB4661">
        <w:rPr>
          <w:rFonts w:eastAsia="Times New Roman" w:cs="Times New Roman"/>
          <w:rtl/>
          <w:lang w:eastAsia="de-DE"/>
        </w:rPr>
        <w:t xml:space="preserve"> </w:t>
      </w:r>
      <w:r w:rsidRPr="00FB4661">
        <w:rPr>
          <w:rFonts w:eastAsia="Times New Roman" w:cs="Times New Roman"/>
          <w:lang w:eastAsia="de-DE"/>
        </w:rPr>
        <w:t xml:space="preserve">zu </w:t>
      </w:r>
      <w:r w:rsidRPr="00FB4661">
        <w:rPr>
          <w:rFonts w:eastAsia="Times New Roman" w:cs="Times New Roman"/>
          <w:b/>
          <w:bCs/>
          <w:rtl/>
          <w:lang w:eastAsia="de-DE"/>
        </w:rPr>
        <w:t>מִדְבַּר פָּארָן</w:t>
      </w:r>
      <w:r w:rsidRPr="00FB4661">
        <w:rPr>
          <w:rFonts w:eastAsia="Times New Roman" w:cs="Times New Roman"/>
          <w:rtl/>
          <w:lang w:eastAsia="de-DE"/>
        </w:rPr>
        <w:t xml:space="preserve"> </w:t>
      </w:r>
      <w:r w:rsidRPr="00FB4661">
        <w:rPr>
          <w:rFonts w:eastAsia="Times New Roman" w:cs="Times New Roman"/>
          <w:lang w:eastAsia="de-DE"/>
        </w:rPr>
        <w:t>repräsentiert symbolisch den Übergang von der Gesetzgebungsphase zur Annäherungsphase an das verheißene Land. Sinai war der Ort der Offenbarung und Konstituierung, Paran wird der Ort der Vorbereitung und letztendlich der gescheiterten ersten Landnahme werden.</w:t>
      </w:r>
    </w:p>
    <w:p w14:paraId="3F4FE03A"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 Struktur des Verses zeigt die doppelte Bewegung: menschlicher Aufbruch (</w:t>
      </w:r>
      <w:r w:rsidRPr="00FB4661">
        <w:rPr>
          <w:rFonts w:eastAsia="Times New Roman" w:cs="Times New Roman"/>
          <w:b/>
          <w:bCs/>
          <w:rtl/>
          <w:lang w:eastAsia="de-DE"/>
        </w:rPr>
        <w:t>יִּסְעוּ</w:t>
      </w:r>
      <w:r w:rsidRPr="00FB4661">
        <w:rPr>
          <w:rFonts w:eastAsia="Times New Roman" w:cs="Times New Roman"/>
          <w:lang w:eastAsia="de-DE"/>
        </w:rPr>
        <w:t>) und göttliche Niederlasung (</w:t>
      </w:r>
      <w:r w:rsidRPr="00FB4661">
        <w:rPr>
          <w:rFonts w:eastAsia="Times New Roman" w:cs="Times New Roman"/>
          <w:b/>
          <w:bCs/>
          <w:rtl/>
          <w:lang w:eastAsia="de-DE"/>
        </w:rPr>
        <w:t>יִּשְׁכֹּן</w:t>
      </w:r>
      <w:r w:rsidRPr="00FB4661">
        <w:rPr>
          <w:rFonts w:eastAsia="Times New Roman" w:cs="Times New Roman"/>
          <w:lang w:eastAsia="de-DE"/>
        </w:rPr>
        <w:t>), was die ständige Korrelation zwischen israelitischer Bewegung und göttlicher Führung unterstreicht. Das Volk folgt der Wolke, aber die Wolke bestimmt auch die Rastplätze.</w:t>
      </w:r>
    </w:p>
    <w:p w14:paraId="7659DF5E"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Die LXX</w:t>
      </w:r>
      <w:r w:rsidRPr="00FB4661">
        <w:rPr>
          <w:rFonts w:eastAsia="Times New Roman" w:cs="Times New Roman"/>
          <w:lang w:eastAsia="de-DE"/>
        </w:rPr>
        <w:t xml:space="preserve"> übersetzt </w:t>
      </w:r>
      <w:r w:rsidRPr="00FB4661">
        <w:rPr>
          <w:rFonts w:eastAsia="Times New Roman" w:cs="Times New Roman"/>
          <w:b/>
          <w:bCs/>
          <w:rtl/>
          <w:lang w:eastAsia="de-DE"/>
        </w:rPr>
        <w:t>יִּסְעוּ</w:t>
      </w:r>
      <w:r w:rsidRPr="00FB4661">
        <w:rPr>
          <w:rFonts w:eastAsia="Times New Roman" w:cs="Times New Roman"/>
          <w:rtl/>
          <w:lang w:eastAsia="de-DE"/>
        </w:rPr>
        <w:t xml:space="preserve"> </w:t>
      </w:r>
      <w:r w:rsidRPr="00FB4661">
        <w:rPr>
          <w:rFonts w:eastAsia="Times New Roman" w:cs="Times New Roman"/>
          <w:lang w:eastAsia="de-DE"/>
        </w:rPr>
        <w:t xml:space="preserve">mit ἀπῆραν (sie brachen auf), </w:t>
      </w:r>
      <w:r w:rsidRPr="00FB4661">
        <w:rPr>
          <w:rFonts w:eastAsia="Times New Roman" w:cs="Times New Roman"/>
          <w:b/>
          <w:bCs/>
          <w:rtl/>
          <w:lang w:eastAsia="de-DE"/>
        </w:rPr>
        <w:t>לְמַסְעֵיהֶ֖ם</w:t>
      </w:r>
      <w:r w:rsidRPr="00FB4661">
        <w:rPr>
          <w:rFonts w:eastAsia="Times New Roman" w:cs="Times New Roman"/>
          <w:rtl/>
          <w:lang w:eastAsia="de-DE"/>
        </w:rPr>
        <w:t xml:space="preserve"> </w:t>
      </w:r>
      <w:r w:rsidRPr="00FB4661">
        <w:rPr>
          <w:rFonts w:eastAsia="Times New Roman" w:cs="Times New Roman"/>
          <w:lang w:eastAsia="de-DE"/>
        </w:rPr>
        <w:t xml:space="preserve">mit κατὰ παρεμβολὰς αὐτῶν (entsprechend ihren Lagern), </w:t>
      </w:r>
      <w:r w:rsidRPr="00FB4661">
        <w:rPr>
          <w:rFonts w:eastAsia="Times New Roman" w:cs="Times New Roman"/>
          <w:b/>
          <w:bCs/>
          <w:rtl/>
          <w:lang w:eastAsia="de-DE"/>
        </w:rPr>
        <w:t>מִמִּדְבַּ֣ר סִינָ֑י</w:t>
      </w:r>
      <w:r w:rsidRPr="00FB4661">
        <w:rPr>
          <w:rFonts w:eastAsia="Times New Roman" w:cs="Times New Roman"/>
          <w:rtl/>
          <w:lang w:eastAsia="de-DE"/>
        </w:rPr>
        <w:t xml:space="preserve"> </w:t>
      </w:r>
      <w:r w:rsidRPr="00FB4661">
        <w:rPr>
          <w:rFonts w:eastAsia="Times New Roman" w:cs="Times New Roman"/>
          <w:lang w:eastAsia="de-DE"/>
        </w:rPr>
        <w:t xml:space="preserve">mit ἐκ τῆς ἐρήμου Σινα (aus der Wüste Sinai), </w:t>
      </w:r>
      <w:r w:rsidRPr="00FB4661">
        <w:rPr>
          <w:rFonts w:eastAsia="Times New Roman" w:cs="Times New Roman"/>
          <w:b/>
          <w:bCs/>
          <w:rtl/>
          <w:lang w:eastAsia="de-DE"/>
        </w:rPr>
        <w:t>יִּשְׁכֹּן</w:t>
      </w:r>
      <w:r w:rsidRPr="00FB4661">
        <w:rPr>
          <w:rFonts w:eastAsia="Times New Roman" w:cs="Times New Roman"/>
          <w:rtl/>
          <w:lang w:eastAsia="de-DE"/>
        </w:rPr>
        <w:t xml:space="preserve"> </w:t>
      </w:r>
      <w:r w:rsidRPr="00FB4661">
        <w:rPr>
          <w:rFonts w:eastAsia="Times New Roman" w:cs="Times New Roman"/>
          <w:lang w:eastAsia="de-DE"/>
        </w:rPr>
        <w:t xml:space="preserve">mit κατέπαυσεν (es ruhte) und </w:t>
      </w:r>
      <w:r w:rsidRPr="00FB4661">
        <w:rPr>
          <w:rFonts w:eastAsia="Times New Roman" w:cs="Times New Roman"/>
          <w:b/>
          <w:bCs/>
          <w:rtl/>
          <w:lang w:eastAsia="de-DE"/>
        </w:rPr>
        <w:t>בְּמִדְבַּ֥ר פָּארָֽן</w:t>
      </w:r>
      <w:r w:rsidRPr="00FB4661">
        <w:rPr>
          <w:rFonts w:eastAsia="Times New Roman" w:cs="Times New Roman"/>
          <w:rtl/>
          <w:lang w:eastAsia="de-DE"/>
        </w:rPr>
        <w:t xml:space="preserve"> </w:t>
      </w:r>
      <w:r w:rsidRPr="00FB4661">
        <w:rPr>
          <w:rFonts w:eastAsia="Times New Roman" w:cs="Times New Roman"/>
          <w:lang w:eastAsia="de-DE"/>
        </w:rPr>
        <w:t>mit ἐν τῇ ἐρήμῳ Φαραν (in der Wüste Pharan).</w:t>
      </w:r>
    </w:p>
    <w:p w14:paraId="1E7C56C2" w14:textId="23192419" w:rsidR="00497CF8" w:rsidRDefault="00FB4661" w:rsidP="00497CF8">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 Satzstruktur zeigt koordinierte Bewegungen von Volk und göttlicher Präsenz mit geografischen Markierungen, die den Übergang von der Konstituierungsphase zur Wanderungsphase dokumentieren. Dieser Vers markiert somit das Ende der Sinai-Periode und den Beginn der eigentlichen Wüstenwanderung in Richtung des verheißenen Landes.</w:t>
      </w:r>
    </w:p>
    <w:p w14:paraId="168AA1D6" w14:textId="5B9D3825" w:rsidR="00497CF8" w:rsidRDefault="00497CF8" w:rsidP="00497CF8">
      <w:pPr>
        <w:spacing w:before="100" w:beforeAutospacing="1" w:after="100" w:afterAutospacing="1" w:line="240" w:lineRule="auto"/>
        <w:rPr>
          <w:rFonts w:eastAsia="Times New Roman" w:cs="Times New Roman"/>
          <w:lang w:eastAsia="de-DE"/>
        </w:rPr>
      </w:pPr>
      <w:r>
        <w:lastRenderedPageBreak/>
        <w:t>Die Israeliten brachen auf von der Wüste Sinai nach ihrer Ordnung, und die Wolke ließ sich in der Wüste Paran nieder.</w:t>
      </w:r>
    </w:p>
    <w:p w14:paraId="1F574FA8" w14:textId="1656E42D" w:rsidR="00FB4661" w:rsidRPr="00FB4661" w:rsidRDefault="00FB4661" w:rsidP="00497CF8">
      <w:pPr>
        <w:spacing w:before="100" w:beforeAutospacing="1" w:after="100" w:afterAutospacing="1" w:line="240" w:lineRule="auto"/>
        <w:rPr>
          <w:rFonts w:eastAsia="Times New Roman" w:cs="Times New Roman"/>
          <w:b/>
          <w:bCs/>
          <w:kern w:val="36"/>
          <w:sz w:val="48"/>
          <w:szCs w:val="48"/>
          <w:lang w:eastAsia="de-DE"/>
        </w:rPr>
      </w:pPr>
      <w:r w:rsidRPr="00FB4661">
        <w:rPr>
          <w:rFonts w:eastAsia="Times New Roman" w:cs="Times New Roman"/>
          <w:b/>
          <w:bCs/>
          <w:kern w:val="36"/>
          <w:sz w:val="48"/>
          <w:szCs w:val="48"/>
          <w:lang w:eastAsia="de-DE"/>
        </w:rPr>
        <w:t>Numeri 10,13</w:t>
      </w:r>
    </w:p>
    <w:p w14:paraId="73979AFF"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Hebräisch:</w:t>
      </w:r>
      <w:r w:rsidRPr="00FB4661">
        <w:rPr>
          <w:rFonts w:eastAsia="Times New Roman" w:cs="Times New Roman"/>
          <w:lang w:eastAsia="de-DE"/>
        </w:rPr>
        <w:t xml:space="preserve"> </w:t>
      </w:r>
      <w:r w:rsidRPr="00FB4661">
        <w:rPr>
          <w:rFonts w:eastAsia="Times New Roman" w:cs="Times New Roman"/>
          <w:rtl/>
          <w:lang w:eastAsia="de-DE"/>
        </w:rPr>
        <w:t>וַיִּסְע֖וּ בָּרִאשֹׁנָ֑ה עַל־פִּ֥י יְהוָ֖ה בְּיַד־מֹשֶֽׁה׃</w:t>
      </w:r>
    </w:p>
    <w:p w14:paraId="1A2226F8"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Deutsch:</w:t>
      </w:r>
      <w:r w:rsidRPr="00FB4661">
        <w:rPr>
          <w:rFonts w:eastAsia="Times New Roman" w:cs="Times New Roman"/>
          <w:lang w:eastAsia="de-DE"/>
        </w:rPr>
        <w:t xml:space="preserve"> Und sie brachen zum ersten Mal auf nach dem Befehl des Ewigen durch die Hand Mosches.</w:t>
      </w:r>
    </w:p>
    <w:p w14:paraId="2B3DB529" w14:textId="77777777" w:rsidR="00FB4661" w:rsidRPr="00FB4661" w:rsidRDefault="00F329DD" w:rsidP="00FB4661">
      <w:pPr>
        <w:spacing w:after="0" w:line="240" w:lineRule="auto"/>
        <w:rPr>
          <w:rFonts w:eastAsia="Times New Roman" w:cs="Times New Roman"/>
          <w:lang w:eastAsia="de-DE"/>
        </w:rPr>
      </w:pPr>
      <w:r>
        <w:rPr>
          <w:rFonts w:eastAsia="Times New Roman" w:cs="Times New Roman"/>
          <w:noProof/>
          <w:lang w:eastAsia="de-DE"/>
        </w:rPr>
        <w:pict w14:anchorId="0E0B5C48">
          <v:rect id="_x0000_i1356" style="width:0;height:1.5pt" o:hralign="center" o:hrstd="t" o:hr="t" fillcolor="#a0a0a0" stroked="f"/>
        </w:pict>
      </w:r>
    </w:p>
    <w:p w14:paraId="795BC127"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Kommentar:</w:t>
      </w:r>
      <w:r w:rsidRPr="00FB4661">
        <w:rPr>
          <w:rFonts w:eastAsia="Times New Roman" w:cs="Times New Roman"/>
          <w:lang w:eastAsia="de-DE"/>
        </w:rPr>
        <w:t xml:space="preserve"> Das Verb </w:t>
      </w:r>
      <w:r w:rsidRPr="00FB4661">
        <w:rPr>
          <w:rFonts w:eastAsia="Times New Roman" w:cs="Times New Roman"/>
          <w:b/>
          <w:bCs/>
          <w:rtl/>
          <w:lang w:eastAsia="de-DE"/>
        </w:rPr>
        <w:t>וַיִּסְע֖וּ</w:t>
      </w:r>
      <w:r w:rsidRPr="00FB4661">
        <w:rPr>
          <w:rFonts w:eastAsia="Times New Roman" w:cs="Times New Roman"/>
          <w:rtl/>
          <w:lang w:eastAsia="de-DE"/>
        </w:rPr>
        <w:t xml:space="preserve"> </w:t>
      </w:r>
      <w:r w:rsidRPr="00FB4661">
        <w:rPr>
          <w:rFonts w:eastAsia="Times New Roman" w:cs="Times New Roman"/>
          <w:lang w:eastAsia="de-DE"/>
        </w:rPr>
        <w:t xml:space="preserve">von </w:t>
      </w:r>
      <w:r w:rsidRPr="00FB4661">
        <w:rPr>
          <w:rFonts w:eastAsia="Times New Roman" w:cs="Times New Roman"/>
          <w:b/>
          <w:bCs/>
          <w:rtl/>
          <w:lang w:eastAsia="de-DE"/>
        </w:rPr>
        <w:t>נסע</w:t>
      </w:r>
      <w:r w:rsidRPr="00FB4661">
        <w:rPr>
          <w:rFonts w:eastAsia="Times New Roman" w:cs="Times New Roman"/>
          <w:rtl/>
          <w:lang w:eastAsia="de-DE"/>
        </w:rPr>
        <w:t xml:space="preserve"> </w:t>
      </w:r>
      <w:r w:rsidRPr="00FB4661">
        <w:rPr>
          <w:rFonts w:eastAsia="Times New Roman" w:cs="Times New Roman"/>
          <w:lang w:eastAsia="de-DE"/>
        </w:rPr>
        <w:t>(aufbrechen) im Qal-Imperfekt 3. maskulin Plural mit Waw consecutivum wiederholt die Aufbruchshandlung aus Vers 12, aber mit zusätzlicher temporaler und autoritativer Spezifikation.</w:t>
      </w:r>
    </w:p>
    <w:p w14:paraId="500DFE83"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temporale Bestimmung </w:t>
      </w:r>
      <w:r w:rsidRPr="00FB4661">
        <w:rPr>
          <w:rFonts w:eastAsia="Times New Roman" w:cs="Times New Roman"/>
          <w:b/>
          <w:bCs/>
          <w:rtl/>
          <w:lang w:eastAsia="de-DE"/>
        </w:rPr>
        <w:t>בָּרִאשֹׁנָ֑ה</w:t>
      </w:r>
      <w:r w:rsidRPr="00FB4661">
        <w:rPr>
          <w:rFonts w:eastAsia="Times New Roman" w:cs="Times New Roman"/>
          <w:rtl/>
          <w:lang w:eastAsia="de-DE"/>
        </w:rPr>
        <w:t xml:space="preserve"> </w:t>
      </w:r>
      <w:r w:rsidRPr="00FB4661">
        <w:rPr>
          <w:rFonts w:eastAsia="Times New Roman" w:cs="Times New Roman"/>
          <w:lang w:eastAsia="de-DE"/>
        </w:rPr>
        <w:t xml:space="preserve">(zum ersten Mal/als erste) von der Wurzel </w:t>
      </w:r>
      <w:r w:rsidRPr="00FB4661">
        <w:rPr>
          <w:rFonts w:eastAsia="Times New Roman" w:cs="Times New Roman"/>
          <w:b/>
          <w:bCs/>
          <w:rtl/>
          <w:lang w:eastAsia="de-DE"/>
        </w:rPr>
        <w:t>ראש</w:t>
      </w:r>
      <w:r w:rsidRPr="00FB4661">
        <w:rPr>
          <w:rFonts w:eastAsia="Times New Roman" w:cs="Times New Roman"/>
          <w:rtl/>
          <w:lang w:eastAsia="de-DE"/>
        </w:rPr>
        <w:t xml:space="preserve"> </w:t>
      </w:r>
      <w:r w:rsidRPr="00FB4661">
        <w:rPr>
          <w:rFonts w:eastAsia="Times New Roman" w:cs="Times New Roman"/>
          <w:lang w:eastAsia="de-DE"/>
        </w:rPr>
        <w:t xml:space="preserve">(Kopf/Anfang) betont die historische Priorität und Neuartigkeit dieses Ereignisses. Dies ist der allererste organisierte Aufbruch vom Sinai unter dem in den vorherigen Kapiteln etablierten System der göttlichen Führung und militärischen Organisation. </w:t>
      </w:r>
      <w:r w:rsidRPr="00FB4661">
        <w:rPr>
          <w:rFonts w:eastAsia="Times New Roman" w:cs="Times New Roman"/>
          <w:b/>
          <w:bCs/>
          <w:rtl/>
          <w:lang w:eastAsia="de-DE"/>
        </w:rPr>
        <w:t>בָּרִאשֹׁנָ֑ה</w:t>
      </w:r>
      <w:r w:rsidRPr="00FB4661">
        <w:rPr>
          <w:rFonts w:eastAsia="Times New Roman" w:cs="Times New Roman"/>
          <w:rtl/>
          <w:lang w:eastAsia="de-DE"/>
        </w:rPr>
        <w:t xml:space="preserve"> </w:t>
      </w:r>
      <w:r w:rsidRPr="00FB4661">
        <w:rPr>
          <w:rFonts w:eastAsia="Times New Roman" w:cs="Times New Roman"/>
          <w:lang w:eastAsia="de-DE"/>
        </w:rPr>
        <w:t>unterstreicht, dass alle vorherigen Bewegungen (wie der ursprüngliche Zug von Ägypten zum Sinai) unter anderen Umständen stattfanden, während dies der erste Aufbruch unter der neuen theokratischen Ordnung ist.</w:t>
      </w:r>
    </w:p>
    <w:p w14:paraId="43E9BF7B"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doppelte Autoritätsangabe </w:t>
      </w:r>
      <w:r w:rsidRPr="00FB4661">
        <w:rPr>
          <w:rFonts w:eastAsia="Times New Roman" w:cs="Times New Roman"/>
          <w:b/>
          <w:bCs/>
          <w:rtl/>
          <w:lang w:eastAsia="de-DE"/>
        </w:rPr>
        <w:t>עַל־פִּ֥י יְהוָ֖ה בְּיַד־מֹשֶֽׁה</w:t>
      </w:r>
      <w:r w:rsidRPr="00FB4661">
        <w:rPr>
          <w:rFonts w:eastAsia="Times New Roman" w:cs="Times New Roman"/>
          <w:rtl/>
          <w:lang w:eastAsia="de-DE"/>
        </w:rPr>
        <w:t xml:space="preserve"> </w:t>
      </w:r>
      <w:r w:rsidRPr="00FB4661">
        <w:rPr>
          <w:rFonts w:eastAsia="Times New Roman" w:cs="Times New Roman"/>
          <w:lang w:eastAsia="de-DE"/>
        </w:rPr>
        <w:t xml:space="preserve">zeigt die Befehlskette der göttlichen Führung. </w:t>
      </w:r>
      <w:r w:rsidRPr="00FB4661">
        <w:rPr>
          <w:rFonts w:eastAsia="Times New Roman" w:cs="Times New Roman"/>
          <w:b/>
          <w:bCs/>
          <w:rtl/>
          <w:lang w:eastAsia="de-DE"/>
        </w:rPr>
        <w:t>עַל־פִּ֥י יְהוָ֖ה</w:t>
      </w:r>
      <w:r w:rsidRPr="00FB4661">
        <w:rPr>
          <w:rFonts w:eastAsia="Times New Roman" w:cs="Times New Roman"/>
          <w:rtl/>
          <w:lang w:eastAsia="de-DE"/>
        </w:rPr>
        <w:t xml:space="preserve"> </w:t>
      </w:r>
      <w:r w:rsidRPr="00FB4661">
        <w:rPr>
          <w:rFonts w:eastAsia="Times New Roman" w:cs="Times New Roman"/>
          <w:lang w:eastAsia="de-DE"/>
        </w:rPr>
        <w:t xml:space="preserve">(nach dem Befehl des Ewigen) mit </w:t>
      </w:r>
      <w:r w:rsidRPr="00FB4661">
        <w:rPr>
          <w:rFonts w:eastAsia="Times New Roman" w:cs="Times New Roman"/>
          <w:b/>
          <w:bCs/>
          <w:rtl/>
          <w:lang w:eastAsia="de-DE"/>
        </w:rPr>
        <w:t>עַל־פִּי</w:t>
      </w:r>
      <w:r w:rsidRPr="00FB4661">
        <w:rPr>
          <w:rFonts w:eastAsia="Times New Roman" w:cs="Times New Roman"/>
          <w:rtl/>
          <w:lang w:eastAsia="de-DE"/>
        </w:rPr>
        <w:t xml:space="preserve"> </w:t>
      </w:r>
      <w:r w:rsidRPr="00FB4661">
        <w:rPr>
          <w:rFonts w:eastAsia="Times New Roman" w:cs="Times New Roman"/>
          <w:lang w:eastAsia="de-DE"/>
        </w:rPr>
        <w:t>(nach dem Mund/Befehl von) und dem Tetragramm etabliert die ultimative göttliche Autorität als Quelle des Aufbruchsbefehls.</w:t>
      </w:r>
    </w:p>
    <w:p w14:paraId="7963ADFE"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בְּיַד־מֹשֶֽׁה</w:t>
      </w:r>
      <w:r w:rsidRPr="00FB4661">
        <w:rPr>
          <w:rFonts w:eastAsia="Times New Roman" w:cs="Times New Roman"/>
          <w:rtl/>
          <w:lang w:eastAsia="de-DE"/>
        </w:rPr>
        <w:t xml:space="preserve"> </w:t>
      </w:r>
      <w:r w:rsidRPr="00FB4661">
        <w:rPr>
          <w:rFonts w:eastAsia="Times New Roman" w:cs="Times New Roman"/>
          <w:lang w:eastAsia="de-DE"/>
        </w:rPr>
        <w:t xml:space="preserve">(durch die Hand Moses) mit </w:t>
      </w:r>
      <w:r w:rsidRPr="00FB4661">
        <w:rPr>
          <w:rFonts w:eastAsia="Times New Roman" w:cs="Times New Roman"/>
          <w:b/>
          <w:bCs/>
          <w:rtl/>
          <w:lang w:eastAsia="de-DE"/>
        </w:rPr>
        <w:t>בְּיַד</w:t>
      </w:r>
      <w:r w:rsidRPr="00FB4661">
        <w:rPr>
          <w:rFonts w:eastAsia="Times New Roman" w:cs="Times New Roman"/>
          <w:rtl/>
          <w:lang w:eastAsia="de-DE"/>
        </w:rPr>
        <w:t xml:space="preserve"> </w:t>
      </w:r>
      <w:r w:rsidRPr="00FB4661">
        <w:rPr>
          <w:rFonts w:eastAsia="Times New Roman" w:cs="Times New Roman"/>
          <w:lang w:eastAsia="de-DE"/>
        </w:rPr>
        <w:t xml:space="preserve">(durch die Hand von) zeigt Moses als den göttlichen Agenten und Vermittler dieses Befehls. Diese Formulierung </w:t>
      </w:r>
      <w:r w:rsidRPr="00FB4661">
        <w:rPr>
          <w:rFonts w:eastAsia="Times New Roman" w:cs="Times New Roman"/>
          <w:b/>
          <w:bCs/>
          <w:rtl/>
          <w:lang w:eastAsia="de-DE"/>
        </w:rPr>
        <w:t>בְּיַד</w:t>
      </w:r>
      <w:r w:rsidRPr="00FB4661">
        <w:rPr>
          <w:rFonts w:eastAsia="Times New Roman" w:cs="Times New Roman"/>
          <w:rtl/>
          <w:lang w:eastAsia="de-DE"/>
        </w:rPr>
        <w:t xml:space="preserve"> </w:t>
      </w:r>
      <w:r w:rsidRPr="00FB4661">
        <w:rPr>
          <w:rFonts w:eastAsia="Times New Roman" w:cs="Times New Roman"/>
          <w:lang w:eastAsia="de-DE"/>
        </w:rPr>
        <w:t>impliziert nicht nur Übermittlung, sondern aktive Ausführung und Verantwortung - Moses ist das Instrument göttlicher Führung.</w:t>
      </w:r>
    </w:p>
    <w:p w14:paraId="0016E117"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Kombination </w:t>
      </w:r>
      <w:r w:rsidRPr="00FB4661">
        <w:rPr>
          <w:rFonts w:eastAsia="Times New Roman" w:cs="Times New Roman"/>
          <w:b/>
          <w:bCs/>
          <w:rtl/>
          <w:lang w:eastAsia="de-DE"/>
        </w:rPr>
        <w:t>עַל־פִּי יְהוָ֖ה בְּיַד־מֹשֶֽׁה</w:t>
      </w:r>
      <w:r w:rsidRPr="00FB4661">
        <w:rPr>
          <w:rFonts w:eastAsia="Times New Roman" w:cs="Times New Roman"/>
          <w:rtl/>
          <w:lang w:eastAsia="de-DE"/>
        </w:rPr>
        <w:t xml:space="preserve"> </w:t>
      </w:r>
      <w:r w:rsidRPr="00FB4661">
        <w:rPr>
          <w:rFonts w:eastAsia="Times New Roman" w:cs="Times New Roman"/>
          <w:lang w:eastAsia="de-DE"/>
        </w:rPr>
        <w:t>etabliert die theokratische Führungsstruktur: Gott als ultimative Autorität (</w:t>
      </w:r>
      <w:r w:rsidRPr="00FB4661">
        <w:rPr>
          <w:rFonts w:eastAsia="Times New Roman" w:cs="Times New Roman"/>
          <w:b/>
          <w:bCs/>
          <w:rtl/>
          <w:lang w:eastAsia="de-DE"/>
        </w:rPr>
        <w:t>עַל־פִּי</w:t>
      </w:r>
      <w:r w:rsidRPr="00FB4661">
        <w:rPr>
          <w:rFonts w:eastAsia="Times New Roman" w:cs="Times New Roman"/>
          <w:lang w:eastAsia="de-DE"/>
        </w:rPr>
        <w:t>), Moses als ausführender Agent (</w:t>
      </w:r>
      <w:r w:rsidRPr="00FB4661">
        <w:rPr>
          <w:rFonts w:eastAsia="Times New Roman" w:cs="Times New Roman"/>
          <w:b/>
          <w:bCs/>
          <w:rtl/>
          <w:lang w:eastAsia="de-DE"/>
        </w:rPr>
        <w:t>בְּיַד</w:t>
      </w:r>
      <w:r w:rsidRPr="00FB4661">
        <w:rPr>
          <w:rFonts w:eastAsia="Times New Roman" w:cs="Times New Roman"/>
          <w:lang w:eastAsia="de-DE"/>
        </w:rPr>
        <w:t>). Diese Formel wird später in Numeri häufig wiederholt und wird zu einer charakteristischen Beschreibung der israelitischen Führungsstruktur in der Wüstenzeit.</w:t>
      </w:r>
    </w:p>
    <w:p w14:paraId="08C5CD8E"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Der Vers dient als theologische Interpretation des in Vers 12 beschriebenen Ereignisses. Während Vers 12 die faktische Bewegung beschreibt (Aufbruch und Zielort), erklärt Vers 13 die Autorität und Neuartigkeit dieser Bewegung. Dies ist kein spontaner oder menschlich geplanter Aufbruch, sondern die erste Ausführung des in Kapitel 9 etablierten Systems göttlicher Führung durch Wolkenbewegung unter Moses Vermittlung.</w:t>
      </w:r>
    </w:p>
    <w:p w14:paraId="276B7BC8"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Betonung auf </w:t>
      </w:r>
      <w:r w:rsidRPr="00FB4661">
        <w:rPr>
          <w:rFonts w:eastAsia="Times New Roman" w:cs="Times New Roman"/>
          <w:b/>
          <w:bCs/>
          <w:rtl/>
          <w:lang w:eastAsia="de-DE"/>
        </w:rPr>
        <w:t>בָּרִאשֹׁנָ֑ה</w:t>
      </w:r>
      <w:r w:rsidRPr="00FB4661">
        <w:rPr>
          <w:rFonts w:eastAsia="Times New Roman" w:cs="Times New Roman"/>
          <w:rtl/>
          <w:lang w:eastAsia="de-DE"/>
        </w:rPr>
        <w:t xml:space="preserve"> </w:t>
      </w:r>
      <w:r w:rsidRPr="00FB4661">
        <w:rPr>
          <w:rFonts w:eastAsia="Times New Roman" w:cs="Times New Roman"/>
          <w:lang w:eastAsia="de-DE"/>
        </w:rPr>
        <w:t>ist auch narrativ bedeutsam: sie markiert den Beginn einer neuen Phase in der israelitischen Geschichte. Alles was folgt - die Wanderungen, die Krisen, die Rebellionen, die Siege, die letztendliche Ankunft an den Grenzen des verheißenen Landes - beginnt mit diesem ersten organisierten Aufbruch unter göttlicher Führung.</w:t>
      </w:r>
    </w:p>
    <w:p w14:paraId="61787BD1"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lastRenderedPageBreak/>
        <w:t>Die LXX</w:t>
      </w:r>
      <w:r w:rsidRPr="00FB4661">
        <w:rPr>
          <w:rFonts w:eastAsia="Times New Roman" w:cs="Times New Roman"/>
          <w:lang w:eastAsia="de-DE"/>
        </w:rPr>
        <w:t xml:space="preserve"> übersetzt </w:t>
      </w:r>
      <w:r w:rsidRPr="00FB4661">
        <w:rPr>
          <w:rFonts w:eastAsia="Times New Roman" w:cs="Times New Roman"/>
          <w:b/>
          <w:bCs/>
          <w:rtl/>
          <w:lang w:eastAsia="de-DE"/>
        </w:rPr>
        <w:t>יִּסְעוּ</w:t>
      </w:r>
      <w:r w:rsidRPr="00FB4661">
        <w:rPr>
          <w:rFonts w:eastAsia="Times New Roman" w:cs="Times New Roman"/>
          <w:rtl/>
          <w:lang w:eastAsia="de-DE"/>
        </w:rPr>
        <w:t xml:space="preserve"> </w:t>
      </w:r>
      <w:r w:rsidRPr="00FB4661">
        <w:rPr>
          <w:rFonts w:eastAsia="Times New Roman" w:cs="Times New Roman"/>
          <w:lang w:eastAsia="de-DE"/>
        </w:rPr>
        <w:t xml:space="preserve">mit ἀπῆραν (sie brachen auf), </w:t>
      </w:r>
      <w:r w:rsidRPr="00FB4661">
        <w:rPr>
          <w:rFonts w:eastAsia="Times New Roman" w:cs="Times New Roman"/>
          <w:b/>
          <w:bCs/>
          <w:rtl/>
          <w:lang w:eastAsia="de-DE"/>
        </w:rPr>
        <w:t>בָּרִאשֹׁנָ֑ה</w:t>
      </w:r>
      <w:r w:rsidRPr="00FB4661">
        <w:rPr>
          <w:rFonts w:eastAsia="Times New Roman" w:cs="Times New Roman"/>
          <w:rtl/>
          <w:lang w:eastAsia="de-DE"/>
        </w:rPr>
        <w:t xml:space="preserve"> </w:t>
      </w:r>
      <w:r w:rsidRPr="00FB4661">
        <w:rPr>
          <w:rFonts w:eastAsia="Times New Roman" w:cs="Times New Roman"/>
          <w:lang w:eastAsia="de-DE"/>
        </w:rPr>
        <w:t xml:space="preserve">mit πρότερον (zuerst/früher), </w:t>
      </w:r>
      <w:r w:rsidRPr="00FB4661">
        <w:rPr>
          <w:rFonts w:eastAsia="Times New Roman" w:cs="Times New Roman"/>
          <w:b/>
          <w:bCs/>
          <w:rtl/>
          <w:lang w:eastAsia="de-DE"/>
        </w:rPr>
        <w:t>עַל־פִּ֥י יְהוָ֖ה</w:t>
      </w:r>
      <w:r w:rsidRPr="00FB4661">
        <w:rPr>
          <w:rFonts w:eastAsia="Times New Roman" w:cs="Times New Roman"/>
          <w:rtl/>
          <w:lang w:eastAsia="de-DE"/>
        </w:rPr>
        <w:t xml:space="preserve"> </w:t>
      </w:r>
      <w:r w:rsidRPr="00FB4661">
        <w:rPr>
          <w:rFonts w:eastAsia="Times New Roman" w:cs="Times New Roman"/>
          <w:lang w:eastAsia="de-DE"/>
        </w:rPr>
        <w:t xml:space="preserve">mit διὰ προστάγματος κυρίου (durch Anordnung des Herrn) und </w:t>
      </w:r>
      <w:r w:rsidRPr="00FB4661">
        <w:rPr>
          <w:rFonts w:eastAsia="Times New Roman" w:cs="Times New Roman"/>
          <w:b/>
          <w:bCs/>
          <w:rtl/>
          <w:lang w:eastAsia="de-DE"/>
        </w:rPr>
        <w:t>בְּיַד־מֹשֶֽׁה</w:t>
      </w:r>
      <w:r w:rsidRPr="00FB4661">
        <w:rPr>
          <w:rFonts w:eastAsia="Times New Roman" w:cs="Times New Roman"/>
          <w:rtl/>
          <w:lang w:eastAsia="de-DE"/>
        </w:rPr>
        <w:t xml:space="preserve"> </w:t>
      </w:r>
      <w:r w:rsidRPr="00FB4661">
        <w:rPr>
          <w:rFonts w:eastAsia="Times New Roman" w:cs="Times New Roman"/>
          <w:lang w:eastAsia="de-DE"/>
        </w:rPr>
        <w:t>mit διὰ χειρὸς Μωυσῆ (durch die Hand Moses).</w:t>
      </w:r>
    </w:p>
    <w:p w14:paraId="6632F896" w14:textId="7418C6B9" w:rsid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 Satzstruktur zeigt eine einfache Handlung mit doppelter Spezifikation: temporal (zum ersten Mal) und autoritativ (göttlicher Befehl durch mosaische Vermittlung). Diese Kombination macht den Vers zu einer programmatischen Aussage über die neue Phase der israelitischen Geschichte unter etablierter theokratischer Führung.</w:t>
      </w:r>
    </w:p>
    <w:p w14:paraId="758C9294" w14:textId="60B125F8" w:rsidR="00497CF8" w:rsidRPr="00FB4661" w:rsidRDefault="00497CF8" w:rsidP="00FB4661">
      <w:pPr>
        <w:spacing w:before="100" w:beforeAutospacing="1" w:after="100" w:afterAutospacing="1" w:line="240" w:lineRule="auto"/>
        <w:rPr>
          <w:rFonts w:eastAsia="Times New Roman" w:cs="Times New Roman"/>
          <w:lang w:eastAsia="de-DE"/>
        </w:rPr>
      </w:pPr>
      <w:r>
        <w:t xml:space="preserve">So brachen sie zum ersten Mal auf nach dem Befehl des </w:t>
      </w:r>
      <w:r w:rsidR="00C229FD">
        <w:t>Ewigen</w:t>
      </w:r>
      <w:r>
        <w:t xml:space="preserve"> durch Mose.</w:t>
      </w:r>
    </w:p>
    <w:p w14:paraId="4C776F67" w14:textId="77777777" w:rsidR="00FB4661" w:rsidRPr="00FB4661" w:rsidRDefault="00FB4661" w:rsidP="00FB4661">
      <w:pPr>
        <w:spacing w:before="100" w:beforeAutospacing="1" w:after="100" w:afterAutospacing="1" w:line="240" w:lineRule="auto"/>
        <w:outlineLvl w:val="0"/>
        <w:rPr>
          <w:rFonts w:eastAsia="Times New Roman" w:cs="Times New Roman"/>
          <w:b/>
          <w:bCs/>
          <w:kern w:val="36"/>
          <w:sz w:val="48"/>
          <w:szCs w:val="48"/>
          <w:lang w:eastAsia="de-DE"/>
        </w:rPr>
      </w:pPr>
      <w:r w:rsidRPr="00FB4661">
        <w:rPr>
          <w:rFonts w:eastAsia="Times New Roman" w:cs="Times New Roman"/>
          <w:b/>
          <w:bCs/>
          <w:kern w:val="36"/>
          <w:sz w:val="48"/>
          <w:szCs w:val="48"/>
          <w:lang w:eastAsia="de-DE"/>
        </w:rPr>
        <w:t>Numeri 10,14</w:t>
      </w:r>
    </w:p>
    <w:p w14:paraId="1CF9A540"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Hebräisch:</w:t>
      </w:r>
      <w:r w:rsidRPr="00FB4661">
        <w:rPr>
          <w:rFonts w:eastAsia="Times New Roman" w:cs="Times New Roman"/>
          <w:lang w:eastAsia="de-DE"/>
        </w:rPr>
        <w:t xml:space="preserve"> </w:t>
      </w:r>
      <w:r w:rsidRPr="00FB4661">
        <w:rPr>
          <w:rFonts w:eastAsia="Times New Roman" w:cs="Times New Roman"/>
          <w:rtl/>
          <w:lang w:eastAsia="de-DE"/>
        </w:rPr>
        <w:t>וַיִּסַּ֞ע דֶּ֣גֶל מַחֲנֵ֧ה בְנֵֽי־יְהוּדָ֛ה בָּרִאשֹׁנָ֖ה לְצִבְאֹתָ֑ם וְעַל־צְבָאֹ֔ו נַחְשׁ֖וֹן בֶּן־עַמִּינָדָֽב׃</w:t>
      </w:r>
    </w:p>
    <w:p w14:paraId="30455221"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Deutsch:</w:t>
      </w:r>
      <w:r w:rsidRPr="00FB4661">
        <w:rPr>
          <w:rFonts w:eastAsia="Times New Roman" w:cs="Times New Roman"/>
          <w:lang w:eastAsia="de-DE"/>
        </w:rPr>
        <w:t xml:space="preserve"> Und das Banner des Lagers der Söhne Jehudas brach zuerst auf nach ihren Heerscharen; und über seinem Heer war Nachschon, der Sohn Amminadavs.</w:t>
      </w:r>
    </w:p>
    <w:p w14:paraId="6E6C9992" w14:textId="77777777" w:rsidR="00FB4661" w:rsidRPr="00FB4661" w:rsidRDefault="00F329DD" w:rsidP="00FB4661">
      <w:pPr>
        <w:spacing w:after="0" w:line="240" w:lineRule="auto"/>
        <w:rPr>
          <w:rFonts w:eastAsia="Times New Roman" w:cs="Times New Roman"/>
          <w:lang w:eastAsia="de-DE"/>
        </w:rPr>
      </w:pPr>
      <w:r>
        <w:rPr>
          <w:rFonts w:eastAsia="Times New Roman" w:cs="Times New Roman"/>
          <w:noProof/>
          <w:lang w:eastAsia="de-DE"/>
        </w:rPr>
        <w:pict w14:anchorId="64E00189">
          <v:rect id="_x0000_i1357" style="width:0;height:1.5pt" o:hralign="center" o:hrstd="t" o:hr="t" fillcolor="#a0a0a0" stroked="f"/>
        </w:pict>
      </w:r>
    </w:p>
    <w:p w14:paraId="574C7138"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Kommentar:</w:t>
      </w:r>
      <w:r w:rsidRPr="00FB4661">
        <w:rPr>
          <w:rFonts w:eastAsia="Times New Roman" w:cs="Times New Roman"/>
          <w:lang w:eastAsia="de-DE"/>
        </w:rPr>
        <w:t xml:space="preserve"> Das Verb </w:t>
      </w:r>
      <w:r w:rsidRPr="00FB4661">
        <w:rPr>
          <w:rFonts w:eastAsia="Times New Roman" w:cs="Times New Roman"/>
          <w:b/>
          <w:bCs/>
          <w:rtl/>
          <w:lang w:eastAsia="de-DE"/>
        </w:rPr>
        <w:t>וַיִּסַּ֞ע</w:t>
      </w:r>
      <w:r w:rsidRPr="00FB4661">
        <w:rPr>
          <w:rFonts w:eastAsia="Times New Roman" w:cs="Times New Roman"/>
          <w:rtl/>
          <w:lang w:eastAsia="de-DE"/>
        </w:rPr>
        <w:t xml:space="preserve"> </w:t>
      </w:r>
      <w:r w:rsidRPr="00FB4661">
        <w:rPr>
          <w:rFonts w:eastAsia="Times New Roman" w:cs="Times New Roman"/>
          <w:lang w:eastAsia="de-DE"/>
        </w:rPr>
        <w:t xml:space="preserve">von </w:t>
      </w:r>
      <w:r w:rsidRPr="00FB4661">
        <w:rPr>
          <w:rFonts w:eastAsia="Times New Roman" w:cs="Times New Roman"/>
          <w:b/>
          <w:bCs/>
          <w:rtl/>
          <w:lang w:eastAsia="de-DE"/>
        </w:rPr>
        <w:t>נסע</w:t>
      </w:r>
      <w:r w:rsidRPr="00FB4661">
        <w:rPr>
          <w:rFonts w:eastAsia="Times New Roman" w:cs="Times New Roman"/>
          <w:rtl/>
          <w:lang w:eastAsia="de-DE"/>
        </w:rPr>
        <w:t xml:space="preserve"> </w:t>
      </w:r>
      <w:r w:rsidRPr="00FB4661">
        <w:rPr>
          <w:rFonts w:eastAsia="Times New Roman" w:cs="Times New Roman"/>
          <w:lang w:eastAsia="de-DE"/>
        </w:rPr>
        <w:t>(aufbrechen) im Qal-Imperfekt 3. maskulin Singular mit Waw consecutivum beginnt die detaillierte Beschreibung der Marschordnung, die in Numeri 2 etabliert wurde und hier zum ersten Mal praktisch umgesetzt wird.</w:t>
      </w:r>
    </w:p>
    <w:p w14:paraId="2AA062DD" w14:textId="42C0B5C5"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Das Subjekt </w:t>
      </w:r>
      <w:r w:rsidRPr="00FB4661">
        <w:rPr>
          <w:rFonts w:eastAsia="Times New Roman" w:cs="Times New Roman"/>
          <w:b/>
          <w:bCs/>
          <w:rtl/>
          <w:lang w:eastAsia="de-DE"/>
        </w:rPr>
        <w:t>דֶּ֣גֶל מַחֲנֵ֧ה בְנֵֽי־יְהוּדָ֛ה</w:t>
      </w:r>
      <w:r w:rsidRPr="00FB4661">
        <w:rPr>
          <w:rFonts w:eastAsia="Times New Roman" w:cs="Times New Roman"/>
          <w:rtl/>
          <w:lang w:eastAsia="de-DE"/>
        </w:rPr>
        <w:t xml:space="preserve"> </w:t>
      </w:r>
      <w:r w:rsidRPr="00FB4661">
        <w:rPr>
          <w:rFonts w:eastAsia="Times New Roman" w:cs="Times New Roman"/>
          <w:lang w:eastAsia="de-DE"/>
        </w:rPr>
        <w:t xml:space="preserve">zeigt die erste Marscheinheit. </w:t>
      </w:r>
      <w:r w:rsidRPr="00FB4661">
        <w:rPr>
          <w:rFonts w:eastAsia="Times New Roman" w:cs="Times New Roman"/>
          <w:b/>
          <w:bCs/>
          <w:rtl/>
          <w:lang w:eastAsia="de-DE"/>
        </w:rPr>
        <w:t>דֶּ֣גֶל</w:t>
      </w:r>
      <w:r w:rsidRPr="00FB4661">
        <w:rPr>
          <w:rFonts w:eastAsia="Times New Roman" w:cs="Times New Roman"/>
          <w:rtl/>
          <w:lang w:eastAsia="de-DE"/>
        </w:rPr>
        <w:t xml:space="preserve"> </w:t>
      </w:r>
      <w:r w:rsidRPr="00FB4661">
        <w:rPr>
          <w:rFonts w:eastAsia="Times New Roman" w:cs="Times New Roman"/>
          <w:lang w:eastAsia="de-DE"/>
        </w:rPr>
        <w:t xml:space="preserve">(Banner/Standarte) von der Wurzel </w:t>
      </w:r>
      <w:r w:rsidRPr="00FB4661">
        <w:rPr>
          <w:rFonts w:eastAsia="Times New Roman" w:cs="Times New Roman"/>
          <w:b/>
          <w:bCs/>
          <w:rtl/>
          <w:lang w:eastAsia="de-DE"/>
        </w:rPr>
        <w:t>דגל</w:t>
      </w:r>
      <w:r w:rsidRPr="00FB4661">
        <w:rPr>
          <w:rFonts w:eastAsia="Times New Roman" w:cs="Times New Roman"/>
          <w:rtl/>
          <w:lang w:eastAsia="de-DE"/>
        </w:rPr>
        <w:t xml:space="preserve"> </w:t>
      </w:r>
      <w:r w:rsidRPr="00FB4661">
        <w:rPr>
          <w:rFonts w:eastAsia="Times New Roman" w:cs="Times New Roman"/>
          <w:lang w:eastAsia="de-DE"/>
        </w:rPr>
        <w:t xml:space="preserve">(sich auszeichnen) bezeichnet das militärische Feldzeichen, das jede Stammesgruppe identifiziert und um das sie sich organisiert. </w:t>
      </w:r>
      <w:r w:rsidRPr="00FB4661">
        <w:rPr>
          <w:rFonts w:eastAsia="Times New Roman" w:cs="Times New Roman"/>
          <w:b/>
          <w:bCs/>
          <w:rtl/>
          <w:lang w:eastAsia="de-DE"/>
        </w:rPr>
        <w:t>מַחֲנֵ֧ה בְנֵֽי־יְהוּדָ֛ה</w:t>
      </w:r>
      <w:r w:rsidRPr="00FB4661">
        <w:rPr>
          <w:rFonts w:eastAsia="Times New Roman" w:cs="Times New Roman"/>
          <w:rtl/>
          <w:lang w:eastAsia="de-DE"/>
        </w:rPr>
        <w:t xml:space="preserve"> </w:t>
      </w:r>
      <w:r w:rsidRPr="00FB4661">
        <w:rPr>
          <w:rFonts w:eastAsia="Times New Roman" w:cs="Times New Roman"/>
          <w:lang w:eastAsia="de-DE"/>
        </w:rPr>
        <w:t xml:space="preserve">(Lager der Söhne Judas) als </w:t>
      </w:r>
      <w:r w:rsidR="00F133EC">
        <w:rPr>
          <w:rFonts w:eastAsia="Times New Roman" w:cs="Times New Roman"/>
          <w:lang w:eastAsia="de-DE"/>
        </w:rPr>
        <w:t>Construct</w:t>
      </w:r>
      <w:r w:rsidRPr="00FB4661">
        <w:rPr>
          <w:rFonts w:eastAsia="Times New Roman" w:cs="Times New Roman"/>
          <w:lang w:eastAsia="de-DE"/>
        </w:rPr>
        <w:t>verbindung zeigt die erste der vier großen Lagergruppen.</w:t>
      </w:r>
    </w:p>
    <w:p w14:paraId="65FD72E1"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Diese Gruppe besteht aus den drei Ostlagerstämmen: Juda, Issachar und Sebulon, wie in Numeri 2,3-9 etabliert. Juda führt als </w:t>
      </w:r>
      <w:r w:rsidRPr="00FB4661">
        <w:rPr>
          <w:rFonts w:eastAsia="Times New Roman" w:cs="Times New Roman"/>
          <w:b/>
          <w:bCs/>
          <w:rtl/>
          <w:lang w:eastAsia="de-DE"/>
        </w:rPr>
        <w:t>נָשִׂיא</w:t>
      </w:r>
      <w:r w:rsidRPr="00FB4661">
        <w:rPr>
          <w:rFonts w:eastAsia="Times New Roman" w:cs="Times New Roman"/>
          <w:rtl/>
          <w:lang w:eastAsia="de-DE"/>
        </w:rPr>
        <w:t xml:space="preserve"> </w:t>
      </w:r>
      <w:r w:rsidRPr="00FB4661">
        <w:rPr>
          <w:rFonts w:eastAsia="Times New Roman" w:cs="Times New Roman"/>
          <w:lang w:eastAsia="de-DE"/>
        </w:rPr>
        <w:t>(Fürst) der Ostseite und hat damit die Ehre und Verantwortung, den gesamten Aufbruch anzuführen.</w:t>
      </w:r>
    </w:p>
    <w:p w14:paraId="472CFD3A"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temporale Bestimmung </w:t>
      </w:r>
      <w:r w:rsidRPr="00FB4661">
        <w:rPr>
          <w:rFonts w:eastAsia="Times New Roman" w:cs="Times New Roman"/>
          <w:b/>
          <w:bCs/>
          <w:rtl/>
          <w:lang w:eastAsia="de-DE"/>
        </w:rPr>
        <w:t>בָּרִאשֹׁנָ֖ה</w:t>
      </w:r>
      <w:r w:rsidRPr="00FB4661">
        <w:rPr>
          <w:rFonts w:eastAsia="Times New Roman" w:cs="Times New Roman"/>
          <w:rtl/>
          <w:lang w:eastAsia="de-DE"/>
        </w:rPr>
        <w:t xml:space="preserve"> </w:t>
      </w:r>
      <w:r w:rsidRPr="00FB4661">
        <w:rPr>
          <w:rFonts w:eastAsia="Times New Roman" w:cs="Times New Roman"/>
          <w:lang w:eastAsia="de-DE"/>
        </w:rPr>
        <w:t>(zuerst/als erste) wiederholt die Betonung aus Vers 13, aber hier spezifisch für Judas Priorität in der Marschordnung. Diese Führungsposition Judas ist nicht zufällig, sondern reflektiert Judas besondere Rolle in der israelitischen Zukunft, die sich später in Davids Königtum und der messianischen Tradition manifestieren wird.</w:t>
      </w:r>
    </w:p>
    <w:p w14:paraId="23FB6B98"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militärische Spezifikation </w:t>
      </w:r>
      <w:r w:rsidRPr="00FB4661">
        <w:rPr>
          <w:rFonts w:eastAsia="Times New Roman" w:cs="Times New Roman"/>
          <w:b/>
          <w:bCs/>
          <w:rtl/>
          <w:lang w:eastAsia="de-DE"/>
        </w:rPr>
        <w:t>לְצִבְאֹתָ֑ם</w:t>
      </w:r>
      <w:r w:rsidRPr="00FB4661">
        <w:rPr>
          <w:rFonts w:eastAsia="Times New Roman" w:cs="Times New Roman"/>
          <w:rtl/>
          <w:lang w:eastAsia="de-DE"/>
        </w:rPr>
        <w:t xml:space="preserve"> </w:t>
      </w:r>
      <w:r w:rsidRPr="00FB4661">
        <w:rPr>
          <w:rFonts w:eastAsia="Times New Roman" w:cs="Times New Roman"/>
          <w:lang w:eastAsia="de-DE"/>
        </w:rPr>
        <w:t xml:space="preserve">(nach ihren Heerscharen) mit </w:t>
      </w:r>
      <w:r w:rsidRPr="00FB4661">
        <w:rPr>
          <w:rFonts w:eastAsia="Times New Roman" w:cs="Times New Roman"/>
          <w:b/>
          <w:bCs/>
          <w:rtl/>
          <w:lang w:eastAsia="de-DE"/>
        </w:rPr>
        <w:t>צְבָאוֹת</w:t>
      </w:r>
      <w:r w:rsidRPr="00FB4661">
        <w:rPr>
          <w:rFonts w:eastAsia="Times New Roman" w:cs="Times New Roman"/>
          <w:rtl/>
          <w:lang w:eastAsia="de-DE"/>
        </w:rPr>
        <w:t xml:space="preserve"> </w:t>
      </w:r>
      <w:r w:rsidRPr="00FB4661">
        <w:rPr>
          <w:rFonts w:eastAsia="Times New Roman" w:cs="Times New Roman"/>
          <w:lang w:eastAsia="de-DE"/>
        </w:rPr>
        <w:t xml:space="preserve">Plural von </w:t>
      </w:r>
      <w:r w:rsidRPr="00FB4661">
        <w:rPr>
          <w:rFonts w:eastAsia="Times New Roman" w:cs="Times New Roman"/>
          <w:b/>
          <w:bCs/>
          <w:rtl/>
          <w:lang w:eastAsia="de-DE"/>
        </w:rPr>
        <w:t>צָבָא</w:t>
      </w:r>
      <w:r w:rsidRPr="00FB4661">
        <w:rPr>
          <w:rFonts w:eastAsia="Times New Roman" w:cs="Times New Roman"/>
          <w:rtl/>
          <w:lang w:eastAsia="de-DE"/>
        </w:rPr>
        <w:t xml:space="preserve"> </w:t>
      </w:r>
      <w:r w:rsidRPr="00FB4661">
        <w:rPr>
          <w:rFonts w:eastAsia="Times New Roman" w:cs="Times New Roman"/>
          <w:lang w:eastAsia="de-DE"/>
        </w:rPr>
        <w:t xml:space="preserve">(Heer/Schar) zeigt die organisierte militärische Struktur. </w:t>
      </w:r>
      <w:r w:rsidRPr="00FB4661">
        <w:rPr>
          <w:rFonts w:eastAsia="Times New Roman" w:cs="Times New Roman"/>
          <w:b/>
          <w:bCs/>
          <w:rtl/>
          <w:lang w:eastAsia="de-DE"/>
        </w:rPr>
        <w:t>לְ</w:t>
      </w:r>
      <w:r w:rsidRPr="00FB4661">
        <w:rPr>
          <w:rFonts w:eastAsia="Times New Roman" w:cs="Times New Roman"/>
          <w:rtl/>
          <w:lang w:eastAsia="de-DE"/>
        </w:rPr>
        <w:t xml:space="preserve"> </w:t>
      </w:r>
      <w:r w:rsidRPr="00FB4661">
        <w:rPr>
          <w:rFonts w:eastAsia="Times New Roman" w:cs="Times New Roman"/>
          <w:lang w:eastAsia="de-DE"/>
        </w:rPr>
        <w:t>zeigt "entsprechend/nach" ihrer etablierten Organisation - sie marschieren nicht chaotisch, sondern in den vorher festgelegten militärischen Formationen.</w:t>
      </w:r>
    </w:p>
    <w:p w14:paraId="7F5B71AB"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Führungsangabe </w:t>
      </w:r>
      <w:r w:rsidRPr="00FB4661">
        <w:rPr>
          <w:rFonts w:eastAsia="Times New Roman" w:cs="Times New Roman"/>
          <w:b/>
          <w:bCs/>
          <w:rtl/>
          <w:lang w:eastAsia="de-DE"/>
        </w:rPr>
        <w:t>וְעַל־צְבָאֹ֔ו נַחְשׁ֖וֹן בֶּן־עַמִּינָדָֽב</w:t>
      </w:r>
      <w:r w:rsidRPr="00FB4661">
        <w:rPr>
          <w:rFonts w:eastAsia="Times New Roman" w:cs="Times New Roman"/>
          <w:rtl/>
          <w:lang w:eastAsia="de-DE"/>
        </w:rPr>
        <w:t xml:space="preserve"> </w:t>
      </w:r>
      <w:r w:rsidRPr="00FB4661">
        <w:rPr>
          <w:rFonts w:eastAsia="Times New Roman" w:cs="Times New Roman"/>
          <w:lang w:eastAsia="de-DE"/>
        </w:rPr>
        <w:t xml:space="preserve">spezifiziert den Befehlshaber. </w:t>
      </w:r>
      <w:r w:rsidRPr="00FB4661">
        <w:rPr>
          <w:rFonts w:eastAsia="Times New Roman" w:cs="Times New Roman"/>
          <w:b/>
          <w:bCs/>
          <w:rtl/>
          <w:lang w:eastAsia="de-DE"/>
        </w:rPr>
        <w:t>עַל־צְבָאֹ֔ו</w:t>
      </w:r>
      <w:r w:rsidRPr="00FB4661">
        <w:rPr>
          <w:rFonts w:eastAsia="Times New Roman" w:cs="Times New Roman"/>
          <w:rtl/>
          <w:lang w:eastAsia="de-DE"/>
        </w:rPr>
        <w:t xml:space="preserve"> </w:t>
      </w:r>
      <w:r w:rsidRPr="00FB4661">
        <w:rPr>
          <w:rFonts w:eastAsia="Times New Roman" w:cs="Times New Roman"/>
          <w:lang w:eastAsia="de-DE"/>
        </w:rPr>
        <w:t xml:space="preserve">(über seinem Heer) mit </w:t>
      </w:r>
      <w:r w:rsidRPr="00FB4661">
        <w:rPr>
          <w:rFonts w:eastAsia="Times New Roman" w:cs="Times New Roman"/>
          <w:b/>
          <w:bCs/>
          <w:rtl/>
          <w:lang w:eastAsia="de-DE"/>
        </w:rPr>
        <w:t>צָבָא</w:t>
      </w:r>
      <w:r w:rsidRPr="00FB4661">
        <w:rPr>
          <w:rFonts w:eastAsia="Times New Roman" w:cs="Times New Roman"/>
          <w:rtl/>
          <w:lang w:eastAsia="de-DE"/>
        </w:rPr>
        <w:t xml:space="preserve"> </w:t>
      </w:r>
      <w:r w:rsidRPr="00FB4661">
        <w:rPr>
          <w:rFonts w:eastAsia="Times New Roman" w:cs="Times New Roman"/>
          <w:lang w:eastAsia="de-DE"/>
        </w:rPr>
        <w:t>(Heer) und Possessivsuffix 3. maskulin Singular zeigt Nachschons militärische Autorität über den Stamm Juda.</w:t>
      </w:r>
    </w:p>
    <w:p w14:paraId="7224A9F3"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נַחְשׁ֖וֹן בֶּן־עַמִּינָדָֽב</w:t>
      </w:r>
      <w:r w:rsidRPr="00FB4661">
        <w:rPr>
          <w:rFonts w:eastAsia="Times New Roman" w:cs="Times New Roman"/>
          <w:rtl/>
          <w:lang w:eastAsia="de-DE"/>
        </w:rPr>
        <w:t xml:space="preserve"> </w:t>
      </w:r>
      <w:r w:rsidRPr="00FB4661">
        <w:rPr>
          <w:rFonts w:eastAsia="Times New Roman" w:cs="Times New Roman"/>
          <w:lang w:eastAsia="de-DE"/>
        </w:rPr>
        <w:t xml:space="preserve">(Nachschon, Sohn Amminadavs) gibt die vollständige genealogische Identifikation des Führers, entsprechend den Angaben in Numeri 1,7 und 2,3. Nachschon ist </w:t>
      </w:r>
      <w:r w:rsidRPr="00FB4661">
        <w:rPr>
          <w:rFonts w:eastAsia="Times New Roman" w:cs="Times New Roman"/>
          <w:lang w:eastAsia="de-DE"/>
        </w:rPr>
        <w:lastRenderedPageBreak/>
        <w:t>eine bedeutsame Figur: er ist der Schwager Aarons (Aaron heiratete Elischeba, Nachschons Schwester, Exodus 6,23) und Vorfahre Davids (Rut 4,20; 1. Chronik 2,10-11).</w:t>
      </w:r>
    </w:p>
    <w:p w14:paraId="16290CC8"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Die LXX</w:t>
      </w:r>
      <w:r w:rsidRPr="00FB4661">
        <w:rPr>
          <w:rFonts w:eastAsia="Times New Roman" w:cs="Times New Roman"/>
          <w:lang w:eastAsia="de-DE"/>
        </w:rPr>
        <w:t xml:space="preserve"> übersetzt </w:t>
      </w:r>
      <w:r w:rsidRPr="00FB4661">
        <w:rPr>
          <w:rFonts w:eastAsia="Times New Roman" w:cs="Times New Roman"/>
          <w:b/>
          <w:bCs/>
          <w:rtl/>
          <w:lang w:eastAsia="de-DE"/>
        </w:rPr>
        <w:t>דֶּ֣גֶל</w:t>
      </w:r>
      <w:r w:rsidRPr="00FB4661">
        <w:rPr>
          <w:rFonts w:eastAsia="Times New Roman" w:cs="Times New Roman"/>
          <w:rtl/>
          <w:lang w:eastAsia="de-DE"/>
        </w:rPr>
        <w:t xml:space="preserve"> </w:t>
      </w:r>
      <w:r w:rsidRPr="00FB4661">
        <w:rPr>
          <w:rFonts w:eastAsia="Times New Roman" w:cs="Times New Roman"/>
          <w:lang w:eastAsia="de-DE"/>
        </w:rPr>
        <w:t xml:space="preserve">mit τάγμα (Abteilung/Regiment), </w:t>
      </w:r>
      <w:r w:rsidRPr="00FB4661">
        <w:rPr>
          <w:rFonts w:eastAsia="Times New Roman" w:cs="Times New Roman"/>
          <w:b/>
          <w:bCs/>
          <w:rtl/>
          <w:lang w:eastAsia="de-DE"/>
        </w:rPr>
        <w:t>מַחֲנֵ֧ה</w:t>
      </w:r>
      <w:r w:rsidRPr="00FB4661">
        <w:rPr>
          <w:rFonts w:eastAsia="Times New Roman" w:cs="Times New Roman"/>
          <w:rtl/>
          <w:lang w:eastAsia="de-DE"/>
        </w:rPr>
        <w:t xml:space="preserve"> </w:t>
      </w:r>
      <w:r w:rsidRPr="00FB4661">
        <w:rPr>
          <w:rFonts w:eastAsia="Times New Roman" w:cs="Times New Roman"/>
          <w:lang w:eastAsia="de-DE"/>
        </w:rPr>
        <w:t xml:space="preserve">mit παρεμβολῆς (Lager), </w:t>
      </w:r>
      <w:r w:rsidRPr="00FB4661">
        <w:rPr>
          <w:rFonts w:eastAsia="Times New Roman" w:cs="Times New Roman"/>
          <w:b/>
          <w:bCs/>
          <w:rtl/>
          <w:lang w:eastAsia="de-DE"/>
        </w:rPr>
        <w:t>בָּרִאשֹׁנָ֖ה</w:t>
      </w:r>
      <w:r w:rsidRPr="00FB4661">
        <w:rPr>
          <w:rFonts w:eastAsia="Times New Roman" w:cs="Times New Roman"/>
          <w:rtl/>
          <w:lang w:eastAsia="de-DE"/>
        </w:rPr>
        <w:t xml:space="preserve"> </w:t>
      </w:r>
      <w:r w:rsidRPr="00FB4661">
        <w:rPr>
          <w:rFonts w:eastAsia="Times New Roman" w:cs="Times New Roman"/>
          <w:lang w:eastAsia="de-DE"/>
        </w:rPr>
        <w:t xml:space="preserve">mit πρῶτον (zuerst), </w:t>
      </w:r>
      <w:r w:rsidRPr="00FB4661">
        <w:rPr>
          <w:rFonts w:eastAsia="Times New Roman" w:cs="Times New Roman"/>
          <w:b/>
          <w:bCs/>
          <w:rtl/>
          <w:lang w:eastAsia="de-DE"/>
        </w:rPr>
        <w:t>צִבְאֹתָ֑ם</w:t>
      </w:r>
      <w:r w:rsidRPr="00FB4661">
        <w:rPr>
          <w:rFonts w:eastAsia="Times New Roman" w:cs="Times New Roman"/>
          <w:rtl/>
          <w:lang w:eastAsia="de-DE"/>
        </w:rPr>
        <w:t xml:space="preserve"> </w:t>
      </w:r>
      <w:r w:rsidRPr="00FB4661">
        <w:rPr>
          <w:rFonts w:eastAsia="Times New Roman" w:cs="Times New Roman"/>
          <w:lang w:eastAsia="de-DE"/>
        </w:rPr>
        <w:t xml:space="preserve">mit δυνάμεις αὐτῶν (ihre Streitkräfte) und </w:t>
      </w:r>
      <w:r w:rsidRPr="00FB4661">
        <w:rPr>
          <w:rFonts w:eastAsia="Times New Roman" w:cs="Times New Roman"/>
          <w:b/>
          <w:bCs/>
          <w:rtl/>
          <w:lang w:eastAsia="de-DE"/>
        </w:rPr>
        <w:t>עַל־צְבָאֹ֔ו</w:t>
      </w:r>
      <w:r w:rsidRPr="00FB4661">
        <w:rPr>
          <w:rFonts w:eastAsia="Times New Roman" w:cs="Times New Roman"/>
          <w:rtl/>
          <w:lang w:eastAsia="de-DE"/>
        </w:rPr>
        <w:t xml:space="preserve"> </w:t>
      </w:r>
      <w:r w:rsidRPr="00FB4661">
        <w:rPr>
          <w:rFonts w:eastAsia="Times New Roman" w:cs="Times New Roman"/>
          <w:lang w:eastAsia="de-DE"/>
        </w:rPr>
        <w:t>mit ἐπὶ τῆς δυνάμεως αὐτοῦ (über seiner Streitkraft).</w:t>
      </w:r>
    </w:p>
    <w:p w14:paraId="3FDC10C0" w14:textId="360AAA78" w:rsid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 Satzstruktur zeigt organisierte militärische Bewegung mit Banneridentifikation, Prioritätsangabe, Strukturspezifikation und Führungsidentifikation. Dieser Vers beginnt die systematische Dokumentation der ersten praktischen Umsetzung der israelitischen Militärorganisation in Bewegung.</w:t>
      </w:r>
    </w:p>
    <w:p w14:paraId="523A97CE" w14:textId="324A86E7" w:rsidR="00497CF8" w:rsidRPr="00FB4661" w:rsidRDefault="00593666" w:rsidP="00FB4661">
      <w:pPr>
        <w:spacing w:before="100" w:beforeAutospacing="1" w:after="100" w:afterAutospacing="1" w:line="240" w:lineRule="auto"/>
        <w:rPr>
          <w:rFonts w:eastAsia="Times New Roman" w:cs="Times New Roman"/>
          <w:lang w:eastAsia="de-DE"/>
        </w:rPr>
      </w:pPr>
      <w:r>
        <w:t>Zuerst brach das Banner des Lagers Juda auf nach seinen Heerscharen, und über sein Heer war Nachschon, der Sohn Amminadabs.</w:t>
      </w:r>
    </w:p>
    <w:p w14:paraId="787B6326" w14:textId="77777777" w:rsidR="00FB4661" w:rsidRPr="00FB4661" w:rsidRDefault="00FB4661" w:rsidP="00FB4661">
      <w:pPr>
        <w:spacing w:before="100" w:beforeAutospacing="1" w:after="100" w:afterAutospacing="1" w:line="240" w:lineRule="auto"/>
        <w:outlineLvl w:val="0"/>
        <w:rPr>
          <w:rFonts w:eastAsia="Times New Roman" w:cs="Times New Roman"/>
          <w:b/>
          <w:bCs/>
          <w:kern w:val="36"/>
          <w:sz w:val="48"/>
          <w:szCs w:val="48"/>
          <w:lang w:eastAsia="de-DE"/>
        </w:rPr>
      </w:pPr>
      <w:r w:rsidRPr="00FB4661">
        <w:rPr>
          <w:rFonts w:eastAsia="Times New Roman" w:cs="Times New Roman"/>
          <w:b/>
          <w:bCs/>
          <w:kern w:val="36"/>
          <w:sz w:val="48"/>
          <w:szCs w:val="48"/>
          <w:lang w:eastAsia="de-DE"/>
        </w:rPr>
        <w:t>Numeri 10,15</w:t>
      </w:r>
    </w:p>
    <w:p w14:paraId="30979AFF"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Hebräisch:</w:t>
      </w:r>
      <w:r w:rsidRPr="00FB4661">
        <w:rPr>
          <w:rFonts w:eastAsia="Times New Roman" w:cs="Times New Roman"/>
          <w:lang w:eastAsia="de-DE"/>
        </w:rPr>
        <w:t xml:space="preserve"> </w:t>
      </w:r>
      <w:r w:rsidRPr="00FB4661">
        <w:rPr>
          <w:rFonts w:eastAsia="Times New Roman" w:cs="Times New Roman"/>
          <w:rtl/>
          <w:lang w:eastAsia="de-DE"/>
        </w:rPr>
        <w:t>וְעַ֨ל־צְבָ֔א מַטֵּ֖ה בְּנֵ֣י יִשָׂשכָ֑ר נְתַנְאֵ֖ל בֶּן־צוּעָֽר׃</w:t>
      </w:r>
    </w:p>
    <w:p w14:paraId="4321FB95"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Deutsch:</w:t>
      </w:r>
      <w:r w:rsidRPr="00FB4661">
        <w:rPr>
          <w:rFonts w:eastAsia="Times New Roman" w:cs="Times New Roman"/>
          <w:lang w:eastAsia="de-DE"/>
        </w:rPr>
        <w:t xml:space="preserve"> Und über dem Heer des Stammes der Söhne Jissaschars war Netan'el, der Sohn Zu'ars.</w:t>
      </w:r>
    </w:p>
    <w:p w14:paraId="09BD5FE5" w14:textId="77777777" w:rsidR="00FB4661" w:rsidRPr="00FB4661" w:rsidRDefault="00F329DD" w:rsidP="00FB4661">
      <w:pPr>
        <w:spacing w:after="0" w:line="240" w:lineRule="auto"/>
        <w:rPr>
          <w:rFonts w:eastAsia="Times New Roman" w:cs="Times New Roman"/>
          <w:lang w:eastAsia="de-DE"/>
        </w:rPr>
      </w:pPr>
      <w:r>
        <w:rPr>
          <w:rFonts w:eastAsia="Times New Roman" w:cs="Times New Roman"/>
          <w:noProof/>
          <w:lang w:eastAsia="de-DE"/>
        </w:rPr>
        <w:pict w14:anchorId="00A7CB47">
          <v:rect id="_x0000_i1358" style="width:0;height:1.5pt" o:hralign="center" o:hrstd="t" o:hr="t" fillcolor="#a0a0a0" stroked="f"/>
        </w:pict>
      </w:r>
    </w:p>
    <w:p w14:paraId="411482B9" w14:textId="2AD00E8E"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Kommentar:</w:t>
      </w:r>
      <w:r w:rsidRPr="00FB4661">
        <w:rPr>
          <w:rFonts w:eastAsia="Times New Roman" w:cs="Times New Roman"/>
          <w:lang w:eastAsia="de-DE"/>
        </w:rPr>
        <w:t xml:space="preserve"> Die präpositionale </w:t>
      </w:r>
      <w:r w:rsidR="00F133EC">
        <w:rPr>
          <w:rFonts w:eastAsia="Times New Roman" w:cs="Times New Roman"/>
          <w:lang w:eastAsia="de-DE"/>
        </w:rPr>
        <w:t>Construct</w:t>
      </w:r>
      <w:r w:rsidRPr="00FB4661">
        <w:rPr>
          <w:rFonts w:eastAsia="Times New Roman" w:cs="Times New Roman"/>
          <w:lang w:eastAsia="de-DE"/>
        </w:rPr>
        <w:t xml:space="preserve">ion </w:t>
      </w:r>
      <w:r w:rsidRPr="00FB4661">
        <w:rPr>
          <w:rFonts w:eastAsia="Times New Roman" w:cs="Times New Roman"/>
          <w:b/>
          <w:bCs/>
          <w:rtl/>
          <w:lang w:eastAsia="de-DE"/>
        </w:rPr>
        <w:t>וְעַ֨ל־צְבָ֔א מַטֵּ֖ה בְּנֵ֣י יִשָׂשכָ֑ר</w:t>
      </w:r>
      <w:r w:rsidRPr="00FB4661">
        <w:rPr>
          <w:rFonts w:eastAsia="Times New Roman" w:cs="Times New Roman"/>
          <w:rtl/>
          <w:lang w:eastAsia="de-DE"/>
        </w:rPr>
        <w:t xml:space="preserve"> </w:t>
      </w:r>
      <w:r w:rsidRPr="00FB4661">
        <w:rPr>
          <w:rFonts w:eastAsia="Times New Roman" w:cs="Times New Roman"/>
          <w:lang w:eastAsia="de-DE"/>
        </w:rPr>
        <w:t xml:space="preserve">folgt derselben Struktur wie die Führungsangabe für Juda in Vers 14. </w:t>
      </w:r>
      <w:r w:rsidRPr="00FB4661">
        <w:rPr>
          <w:rFonts w:eastAsia="Times New Roman" w:cs="Times New Roman"/>
          <w:b/>
          <w:bCs/>
          <w:rtl/>
          <w:lang w:eastAsia="de-DE"/>
        </w:rPr>
        <w:t>עַל־צְבָ֔א</w:t>
      </w:r>
      <w:r w:rsidRPr="00FB4661">
        <w:rPr>
          <w:rFonts w:eastAsia="Times New Roman" w:cs="Times New Roman"/>
          <w:rtl/>
          <w:lang w:eastAsia="de-DE"/>
        </w:rPr>
        <w:t xml:space="preserve"> </w:t>
      </w:r>
      <w:r w:rsidRPr="00FB4661">
        <w:rPr>
          <w:rFonts w:eastAsia="Times New Roman" w:cs="Times New Roman"/>
          <w:lang w:eastAsia="de-DE"/>
        </w:rPr>
        <w:t xml:space="preserve">(über dem Heer) mit </w:t>
      </w:r>
      <w:r w:rsidRPr="00FB4661">
        <w:rPr>
          <w:rFonts w:eastAsia="Times New Roman" w:cs="Times New Roman"/>
          <w:b/>
          <w:bCs/>
          <w:rtl/>
          <w:lang w:eastAsia="de-DE"/>
        </w:rPr>
        <w:t>צָבָא</w:t>
      </w:r>
      <w:r w:rsidRPr="00FB4661">
        <w:rPr>
          <w:rFonts w:eastAsia="Times New Roman" w:cs="Times New Roman"/>
          <w:rtl/>
          <w:lang w:eastAsia="de-DE"/>
        </w:rPr>
        <w:t xml:space="preserve"> </w:t>
      </w:r>
      <w:r w:rsidRPr="00FB4661">
        <w:rPr>
          <w:rFonts w:eastAsia="Times New Roman" w:cs="Times New Roman"/>
          <w:lang w:eastAsia="de-DE"/>
        </w:rPr>
        <w:t xml:space="preserve">(Heer/Streitkraft) zeigt militärische Befehlsautorität. </w:t>
      </w:r>
      <w:r w:rsidRPr="00FB4661">
        <w:rPr>
          <w:rFonts w:eastAsia="Times New Roman" w:cs="Times New Roman"/>
          <w:b/>
          <w:bCs/>
          <w:rtl/>
          <w:lang w:eastAsia="de-DE"/>
        </w:rPr>
        <w:t>מַטֵּ֖ה בְּנֵ֣י יִשָׂשכָ֑ר</w:t>
      </w:r>
      <w:r w:rsidRPr="00FB4661">
        <w:rPr>
          <w:rFonts w:eastAsia="Times New Roman" w:cs="Times New Roman"/>
          <w:rtl/>
          <w:lang w:eastAsia="de-DE"/>
        </w:rPr>
        <w:t xml:space="preserve"> </w:t>
      </w:r>
      <w:r w:rsidRPr="00FB4661">
        <w:rPr>
          <w:rFonts w:eastAsia="Times New Roman" w:cs="Times New Roman"/>
          <w:lang w:eastAsia="de-DE"/>
        </w:rPr>
        <w:t xml:space="preserve">(Stamm der Söhne Issachars) als </w:t>
      </w:r>
      <w:r w:rsidR="00F133EC">
        <w:rPr>
          <w:rFonts w:eastAsia="Times New Roman" w:cs="Times New Roman"/>
          <w:lang w:eastAsia="de-DE"/>
        </w:rPr>
        <w:t>Construct</w:t>
      </w:r>
      <w:r w:rsidRPr="00FB4661">
        <w:rPr>
          <w:rFonts w:eastAsia="Times New Roman" w:cs="Times New Roman"/>
          <w:lang w:eastAsia="de-DE"/>
        </w:rPr>
        <w:t xml:space="preserve">verbindung mit </w:t>
      </w:r>
      <w:r w:rsidRPr="00FB4661">
        <w:rPr>
          <w:rFonts w:eastAsia="Times New Roman" w:cs="Times New Roman"/>
          <w:b/>
          <w:bCs/>
          <w:rtl/>
          <w:lang w:eastAsia="de-DE"/>
        </w:rPr>
        <w:t>מַטֶּה</w:t>
      </w:r>
      <w:r w:rsidRPr="00FB4661">
        <w:rPr>
          <w:rFonts w:eastAsia="Times New Roman" w:cs="Times New Roman"/>
          <w:rtl/>
          <w:lang w:eastAsia="de-DE"/>
        </w:rPr>
        <w:t xml:space="preserve"> </w:t>
      </w:r>
      <w:r w:rsidRPr="00FB4661">
        <w:rPr>
          <w:rFonts w:eastAsia="Times New Roman" w:cs="Times New Roman"/>
          <w:lang w:eastAsia="de-DE"/>
        </w:rPr>
        <w:t>(Stamm/Stab) bezeichnet die zweite Stammeseinheit in der Juda-Gruppe.</w:t>
      </w:r>
    </w:p>
    <w:p w14:paraId="4AE7C554"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נְתַנְאֵ֖ל בֶּן־צוּעָֽר</w:t>
      </w:r>
      <w:r w:rsidRPr="00FB4661">
        <w:rPr>
          <w:rFonts w:eastAsia="Times New Roman" w:cs="Times New Roman"/>
          <w:rtl/>
          <w:lang w:eastAsia="de-DE"/>
        </w:rPr>
        <w:t xml:space="preserve"> </w:t>
      </w:r>
      <w:r w:rsidRPr="00FB4661">
        <w:rPr>
          <w:rFonts w:eastAsia="Times New Roman" w:cs="Times New Roman"/>
          <w:lang w:eastAsia="de-DE"/>
        </w:rPr>
        <w:t xml:space="preserve">(Netanel, Sohn Zuars) entspricht den Angaben in Numeri 1,8 und 2,5, wo Netanel als </w:t>
      </w:r>
      <w:r w:rsidRPr="00FB4661">
        <w:rPr>
          <w:rFonts w:eastAsia="Times New Roman" w:cs="Times New Roman"/>
          <w:b/>
          <w:bCs/>
          <w:rtl/>
          <w:lang w:eastAsia="de-DE"/>
        </w:rPr>
        <w:t>נָשִׂיא</w:t>
      </w:r>
      <w:r w:rsidRPr="00FB4661">
        <w:rPr>
          <w:rFonts w:eastAsia="Times New Roman" w:cs="Times New Roman"/>
          <w:rtl/>
          <w:lang w:eastAsia="de-DE"/>
        </w:rPr>
        <w:t xml:space="preserve"> </w:t>
      </w:r>
      <w:r w:rsidRPr="00FB4661">
        <w:rPr>
          <w:rFonts w:eastAsia="Times New Roman" w:cs="Times New Roman"/>
          <w:lang w:eastAsia="de-DE"/>
        </w:rPr>
        <w:t>(Fürst) von Issachar identifiziert wird. Diese Konsistenz zwischen der theoretischen Organisation in den Kapiteln 1-2 und der praktischen Umsetzung hier zeigt die Zuverlässigkeit und Kontinuität der dokumentierten Führungsstruktur.</w:t>
      </w:r>
    </w:p>
    <w:p w14:paraId="388A045A"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Issachar als zweiter Stamm in der Ostgruppe hat eine bedeutsame biblische Charakterisierung: 1. Chronik 12,33 beschreibt die Männer Issachars als solche, "die Verständnis hatten für die Zeiten, um zu wissen, was Israel tun sollte" - sie waren bekannt für Weisheit und Zeitverständnis, was ihre Position als zweite Einheit in der Marschordnung unterstützt.</w:t>
      </w:r>
    </w:p>
    <w:p w14:paraId="21D5CC8F"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 xml:space="preserve">Die Kürze des Verses im Vergleich zu Vers 14 zeigt ein etabliertes Muster: der führende Stamm (Juda) wird ausführlicher beschrieben mit </w:t>
      </w:r>
      <w:r w:rsidRPr="00FB4661">
        <w:rPr>
          <w:rFonts w:eastAsia="Times New Roman" w:cs="Times New Roman"/>
          <w:b/>
          <w:bCs/>
          <w:rtl/>
          <w:lang w:eastAsia="de-DE"/>
        </w:rPr>
        <w:t>דֶּגֶל מַחֲנֵה</w:t>
      </w:r>
      <w:r w:rsidRPr="00FB4661">
        <w:rPr>
          <w:rFonts w:eastAsia="Times New Roman" w:cs="Times New Roman"/>
          <w:rtl/>
          <w:lang w:eastAsia="de-DE"/>
        </w:rPr>
        <w:t xml:space="preserve"> </w:t>
      </w:r>
      <w:r w:rsidRPr="00FB4661">
        <w:rPr>
          <w:rFonts w:eastAsia="Times New Roman" w:cs="Times New Roman"/>
          <w:lang w:eastAsia="de-DE"/>
        </w:rPr>
        <w:t xml:space="preserve">(Banner des Lagers) und </w:t>
      </w:r>
      <w:r w:rsidRPr="00FB4661">
        <w:rPr>
          <w:rFonts w:eastAsia="Times New Roman" w:cs="Times New Roman"/>
          <w:b/>
          <w:bCs/>
          <w:rtl/>
          <w:lang w:eastAsia="de-DE"/>
        </w:rPr>
        <w:t>לְצִבְאֹתָם</w:t>
      </w:r>
      <w:r w:rsidRPr="00FB4661">
        <w:rPr>
          <w:rFonts w:eastAsia="Times New Roman" w:cs="Times New Roman"/>
          <w:rtl/>
          <w:lang w:eastAsia="de-DE"/>
        </w:rPr>
        <w:t xml:space="preserve"> </w:t>
      </w:r>
      <w:r w:rsidRPr="00FB4661">
        <w:rPr>
          <w:rFonts w:eastAsia="Times New Roman" w:cs="Times New Roman"/>
          <w:lang w:eastAsia="de-DE"/>
        </w:rPr>
        <w:t xml:space="preserve">(nach ihren Heerscharen), während die folgenden Stämme in derselben Gruppe knapper mit der Standardformel </w:t>
      </w:r>
      <w:r w:rsidRPr="00FB4661">
        <w:rPr>
          <w:rFonts w:eastAsia="Times New Roman" w:cs="Times New Roman"/>
          <w:b/>
          <w:bCs/>
          <w:rtl/>
          <w:lang w:eastAsia="de-DE"/>
        </w:rPr>
        <w:t>עַל־צְבָא מַטֵּה</w:t>
      </w:r>
      <w:r w:rsidRPr="00FB4661">
        <w:rPr>
          <w:rFonts w:eastAsia="Times New Roman" w:cs="Times New Roman"/>
          <w:rtl/>
          <w:lang w:eastAsia="de-DE"/>
        </w:rPr>
        <w:t xml:space="preserve"> </w:t>
      </w:r>
      <w:r w:rsidRPr="00FB4661">
        <w:rPr>
          <w:rFonts w:eastAsia="Times New Roman" w:cs="Times New Roman"/>
          <w:lang w:eastAsia="de-DE"/>
        </w:rPr>
        <w:t>(über dem Heer des Stammes) aufgeführt werden.</w:t>
      </w:r>
    </w:p>
    <w:p w14:paraId="221557F4"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Die LXX</w:t>
      </w:r>
      <w:r w:rsidRPr="00FB4661">
        <w:rPr>
          <w:rFonts w:eastAsia="Times New Roman" w:cs="Times New Roman"/>
          <w:lang w:eastAsia="de-DE"/>
        </w:rPr>
        <w:t xml:space="preserve"> übersetzt mit derselben Struktur wie in Vers 14: καὶ ἐπὶ τῆς δυνάμεως φυλῆς υἱῶν Ισσαχαρ Ναθαναηλ υἱὸς Σωγαρ.</w:t>
      </w:r>
    </w:p>
    <w:p w14:paraId="27DBE27D" w14:textId="3A5AF57B" w:rsid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lastRenderedPageBreak/>
        <w:t>Die Satzstruktur folgt dem etablierten Muster für Stammesführungsangaben innerhalb einer Bannergruppe.</w:t>
      </w:r>
    </w:p>
    <w:p w14:paraId="4E883C42" w14:textId="0984EACC" w:rsidR="00593666" w:rsidRDefault="00593666" w:rsidP="00FB4661">
      <w:pPr>
        <w:spacing w:before="100" w:beforeAutospacing="1" w:after="100" w:afterAutospacing="1" w:line="240" w:lineRule="auto"/>
        <w:rPr>
          <w:rFonts w:eastAsia="Times New Roman" w:cs="Times New Roman"/>
          <w:lang w:eastAsia="de-DE"/>
        </w:rPr>
      </w:pPr>
      <w:r>
        <w:t>Über das Heer des Stammes Issachar war Netanel, der Sohn Zuars.</w:t>
      </w:r>
    </w:p>
    <w:p w14:paraId="0270192C" w14:textId="77777777" w:rsidR="00FB4661" w:rsidRPr="00FB4661" w:rsidRDefault="00FB4661" w:rsidP="00FB4661">
      <w:pPr>
        <w:spacing w:before="100" w:beforeAutospacing="1" w:after="100" w:afterAutospacing="1" w:line="240" w:lineRule="auto"/>
        <w:outlineLvl w:val="0"/>
        <w:rPr>
          <w:rFonts w:eastAsia="Times New Roman" w:cs="Times New Roman"/>
          <w:b/>
          <w:bCs/>
          <w:kern w:val="36"/>
          <w:sz w:val="48"/>
          <w:szCs w:val="48"/>
          <w:lang w:eastAsia="de-DE"/>
        </w:rPr>
      </w:pPr>
      <w:r w:rsidRPr="00FB4661">
        <w:rPr>
          <w:rFonts w:eastAsia="Times New Roman" w:cs="Times New Roman"/>
          <w:b/>
          <w:bCs/>
          <w:kern w:val="36"/>
          <w:sz w:val="48"/>
          <w:szCs w:val="48"/>
          <w:lang w:eastAsia="de-DE"/>
        </w:rPr>
        <w:t>Numeri 10,16</w:t>
      </w:r>
    </w:p>
    <w:p w14:paraId="21825F7D"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Hebräisch:</w:t>
      </w:r>
      <w:r w:rsidRPr="00FB4661">
        <w:rPr>
          <w:rFonts w:eastAsia="Times New Roman" w:cs="Times New Roman"/>
          <w:lang w:eastAsia="de-DE"/>
        </w:rPr>
        <w:t xml:space="preserve"> </w:t>
      </w:r>
      <w:r w:rsidRPr="00FB4661">
        <w:rPr>
          <w:rFonts w:eastAsia="Times New Roman" w:cs="Times New Roman"/>
          <w:rtl/>
          <w:lang w:eastAsia="de-DE"/>
        </w:rPr>
        <w:t>וְעַ֨ל־צְבָ֔א מַטֵּ֖ה בְּנֵ֣י זְבוּלֻ֑ן אֱלִיאָ֖ב בֶּן־חֵלֽוֹן׃</w:t>
      </w:r>
    </w:p>
    <w:p w14:paraId="2196023A"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Deutsch:</w:t>
      </w:r>
      <w:r w:rsidRPr="00FB4661">
        <w:rPr>
          <w:rFonts w:eastAsia="Times New Roman" w:cs="Times New Roman"/>
          <w:lang w:eastAsia="de-DE"/>
        </w:rPr>
        <w:t xml:space="preserve"> Und über dem Heer des Stammes der Söhne Sevuluns war Eli'av, der Sohn Chelons.</w:t>
      </w:r>
    </w:p>
    <w:p w14:paraId="12E01DF3" w14:textId="77777777" w:rsidR="00FB4661" w:rsidRPr="00FB4661" w:rsidRDefault="00F329DD" w:rsidP="00FB4661">
      <w:pPr>
        <w:spacing w:after="0" w:line="240" w:lineRule="auto"/>
        <w:rPr>
          <w:rFonts w:eastAsia="Times New Roman" w:cs="Times New Roman"/>
          <w:lang w:eastAsia="de-DE"/>
        </w:rPr>
      </w:pPr>
      <w:r>
        <w:rPr>
          <w:rFonts w:eastAsia="Times New Roman" w:cs="Times New Roman"/>
          <w:noProof/>
          <w:lang w:eastAsia="de-DE"/>
        </w:rPr>
        <w:pict w14:anchorId="0EB0EB09">
          <v:rect id="_x0000_i1359" style="width:0;height:1.5pt" o:hralign="center" o:hrstd="t" o:hr="t" fillcolor="#a0a0a0" stroked="f"/>
        </w:pict>
      </w:r>
    </w:p>
    <w:p w14:paraId="3AE9B391"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Kommentar:</w:t>
      </w:r>
      <w:r w:rsidRPr="00FB4661">
        <w:rPr>
          <w:rFonts w:eastAsia="Times New Roman" w:cs="Times New Roman"/>
          <w:lang w:eastAsia="de-DE"/>
        </w:rPr>
        <w:t xml:space="preserve"> Diese Führungsangabe komplettiert die erste Marschgruppe mit </w:t>
      </w:r>
      <w:r w:rsidRPr="00FB4661">
        <w:rPr>
          <w:rFonts w:eastAsia="Times New Roman" w:cs="Times New Roman"/>
          <w:b/>
          <w:bCs/>
          <w:rtl/>
          <w:lang w:eastAsia="de-DE"/>
        </w:rPr>
        <w:t>אֱלִיאָ֖ב בֶּן־חֵלֽוֹן</w:t>
      </w:r>
      <w:r w:rsidRPr="00FB4661">
        <w:rPr>
          <w:rFonts w:eastAsia="Times New Roman" w:cs="Times New Roman"/>
          <w:rtl/>
          <w:lang w:eastAsia="de-DE"/>
        </w:rPr>
        <w:t xml:space="preserve"> </w:t>
      </w:r>
      <w:r w:rsidRPr="00FB4661">
        <w:rPr>
          <w:rFonts w:eastAsia="Times New Roman" w:cs="Times New Roman"/>
          <w:lang w:eastAsia="de-DE"/>
        </w:rPr>
        <w:t xml:space="preserve">(Eliab, Sohn Chelons) als Befehlshaber von Sebulon, entsprechend den Angaben in Numeri 1,9 und 2,7. Die syntaktische Struktur </w:t>
      </w:r>
      <w:r w:rsidRPr="00FB4661">
        <w:rPr>
          <w:rFonts w:eastAsia="Times New Roman" w:cs="Times New Roman"/>
          <w:b/>
          <w:bCs/>
          <w:rtl/>
          <w:lang w:eastAsia="de-DE"/>
        </w:rPr>
        <w:t>וְעַ֨ל־צְבָ֔א מַטֵּ֖ה בְּנֵ֣י זְבוּלֻ֑ן</w:t>
      </w:r>
      <w:r w:rsidRPr="00FB4661">
        <w:rPr>
          <w:rFonts w:eastAsia="Times New Roman" w:cs="Times New Roman"/>
          <w:rtl/>
          <w:lang w:eastAsia="de-DE"/>
        </w:rPr>
        <w:t xml:space="preserve"> </w:t>
      </w:r>
      <w:r w:rsidRPr="00FB4661">
        <w:rPr>
          <w:rFonts w:eastAsia="Times New Roman" w:cs="Times New Roman"/>
          <w:lang w:eastAsia="de-DE"/>
        </w:rPr>
        <w:t>wiederholt exakt die etablierte Formel aus Vers 15, was die systematische Konsistenz der Dokumentation zeigt.</w:t>
      </w:r>
    </w:p>
    <w:p w14:paraId="329A95AC"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rtl/>
          <w:lang w:eastAsia="de-DE"/>
        </w:rPr>
        <w:t>זְבוּלֻ֑ן</w:t>
      </w:r>
      <w:r w:rsidRPr="00FB4661">
        <w:rPr>
          <w:rFonts w:eastAsia="Times New Roman" w:cs="Times New Roman"/>
          <w:rtl/>
          <w:lang w:eastAsia="de-DE"/>
        </w:rPr>
        <w:t xml:space="preserve"> </w:t>
      </w:r>
      <w:r w:rsidRPr="00FB4661">
        <w:rPr>
          <w:rFonts w:eastAsia="Times New Roman" w:cs="Times New Roman"/>
          <w:lang w:eastAsia="de-DE"/>
        </w:rPr>
        <w:t>(Sebulon) als dritter und letzter Stamm der Ostgruppe komplettiert die erste große Marscheinheit. Diese drei Stämme - Juda, Issachar, Sebulon - bilden eine koordinierte militärische und administrative Einheit unter Judas Gesamtführung, entsprechend der in Numeri 2,3-9 etablierten Organisation.</w:t>
      </w:r>
    </w:p>
    <w:p w14:paraId="6F6CB2B6"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 Reihenfolge Juda-Issachar-Sebulon entspricht mehreren strukturellen Prinzipien: erstens der geografischen Anordnung im Lager um die Stiftshütte, zweitens der genealogischen Verbindung als Söhne Leas (Genesis 29,32-35; 30,19-20), und drittens wahrscheinlich praktischen militärischen Erwägungen bezüglich Stammesgrößen und Kampffähigkeiten.</w:t>
      </w:r>
    </w:p>
    <w:p w14:paraId="3810D80B"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Eliab ben Chelon wird in den späteren Kapiteln als zuverlässiger Stammesführer charakterisiert, der an den Opfergaben in Numeri 7,24-29 teilnimmt und seine Verantwortung für die Führung Sebulons durch die Wüstenzeit hindurch aufrechterhält.</w:t>
      </w:r>
    </w:p>
    <w:p w14:paraId="793CF56F" w14:textId="77777777" w:rsidR="00FB4661" w:rsidRP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lang w:eastAsia="de-DE"/>
        </w:rPr>
        <w:t>Die Vervollständigung der Ostgruppe mit diesem Vers bereitet narrativ den Übergang zu den levitischen Transporteinheiten vor, die zwischen den großen Stammesgruppen marschieren, um die Stiftshütte und ihre heiligen Gegenstände zu transportieren.</w:t>
      </w:r>
    </w:p>
    <w:p w14:paraId="32A0A28E" w14:textId="00900C16" w:rsidR="00FB4661" w:rsidRDefault="00FB4661" w:rsidP="00FB4661">
      <w:pPr>
        <w:spacing w:before="100" w:beforeAutospacing="1" w:after="100" w:afterAutospacing="1" w:line="240" w:lineRule="auto"/>
        <w:rPr>
          <w:rFonts w:eastAsia="Times New Roman" w:cs="Times New Roman"/>
          <w:lang w:eastAsia="de-DE"/>
        </w:rPr>
      </w:pPr>
      <w:r w:rsidRPr="00FB4661">
        <w:rPr>
          <w:rFonts w:eastAsia="Times New Roman" w:cs="Times New Roman"/>
          <w:b/>
          <w:bCs/>
          <w:lang w:eastAsia="de-DE"/>
        </w:rPr>
        <w:t>Die LXX</w:t>
      </w:r>
      <w:r w:rsidRPr="00FB4661">
        <w:rPr>
          <w:rFonts w:eastAsia="Times New Roman" w:cs="Times New Roman"/>
          <w:lang w:eastAsia="de-DE"/>
        </w:rPr>
        <w:t xml:space="preserve"> folgt derselben Struktur wie in den vorherigen Versen: καὶ ἐπὶ τῆς δυνάμεως φυλῆς υἱῶν Ζαβουλων Ελιαβ υἱὸς Χαιλων, was die griechische Konsistenz in der Wiedergabe der militärischen Führungsstruktur zeigt.</w:t>
      </w:r>
    </w:p>
    <w:p w14:paraId="312C5699" w14:textId="4EFD48B3" w:rsidR="00593666" w:rsidRDefault="00593666" w:rsidP="00FB4661">
      <w:pPr>
        <w:spacing w:before="100" w:beforeAutospacing="1" w:after="100" w:afterAutospacing="1" w:line="240" w:lineRule="auto"/>
        <w:rPr>
          <w:rFonts w:eastAsia="Times New Roman" w:cs="Times New Roman"/>
          <w:lang w:eastAsia="de-DE"/>
        </w:rPr>
      </w:pPr>
      <w:r>
        <w:rPr>
          <w:rFonts w:eastAsia="Times New Roman" w:cs="Times New Roman"/>
          <w:lang w:eastAsia="de-DE"/>
        </w:rPr>
        <w:t xml:space="preserve">Bei der Satzstruktur handelt es </w:t>
      </w:r>
      <w:r>
        <w:t xml:space="preserve">sich um einen </w:t>
      </w:r>
      <w:r>
        <w:rPr>
          <w:rStyle w:val="Fett"/>
        </w:rPr>
        <w:t>Nominalsatz</w:t>
      </w:r>
      <w:r>
        <w:t xml:space="preserve"> ohne explizites Verb. Das Verb "war" wird im Deutschen ergänzt.</w:t>
      </w:r>
    </w:p>
    <w:p w14:paraId="29105327" w14:textId="0C9CD05A" w:rsidR="00593666" w:rsidRPr="00FB4661" w:rsidRDefault="00593666" w:rsidP="00FB4661">
      <w:pPr>
        <w:spacing w:before="100" w:beforeAutospacing="1" w:after="100" w:afterAutospacing="1" w:line="240" w:lineRule="auto"/>
        <w:rPr>
          <w:rFonts w:eastAsia="Times New Roman" w:cs="Times New Roman"/>
          <w:lang w:eastAsia="de-DE"/>
        </w:rPr>
      </w:pPr>
      <w:r>
        <w:t>Über das Heer des Stammes Issachar war Netanel, der Sohn Zuars.</w:t>
      </w:r>
    </w:p>
    <w:p w14:paraId="2913A3B5" w14:textId="5AB9532D" w:rsidR="00EE70D7" w:rsidRPr="00EE70D7" w:rsidRDefault="00EE70D7" w:rsidP="00EE70D7">
      <w:pPr>
        <w:pStyle w:val="berschrift1"/>
      </w:pPr>
      <w:r w:rsidRPr="00EE70D7">
        <w:t>Numeri 10,17</w:t>
      </w:r>
    </w:p>
    <w:p w14:paraId="717C2101"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וְהוּרַ֖ד הַמִּשְׁכָּ֑ן וְנָסְע֤וּ בְנֵֽי־גֵרְשׁוֹן֙ וּבְנֵ֣י מְרָרִ֔י נֹשְׂאֵ֖י הַמִּשְׁכָּֽן׃</w:t>
      </w:r>
    </w:p>
    <w:p w14:paraId="420B23CA"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lastRenderedPageBreak/>
        <w:t>Deutsch:</w:t>
      </w:r>
      <w:r w:rsidRPr="00EE70D7">
        <w:rPr>
          <w:rFonts w:eastAsia="Times New Roman" w:cs="Times New Roman"/>
          <w:lang w:eastAsia="de-DE"/>
        </w:rPr>
        <w:t xml:space="preserve"> Und die Wohnung wurde abgebaut, und die Söhne Gerschons und die Söhne Meraris brachen auf, die die Wohnung trugen.</w:t>
      </w:r>
    </w:p>
    <w:p w14:paraId="4068E31C"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727FBA1B">
          <v:rect id="_x0000_i1360" style="width:0;height:1.5pt" o:hralign="center" o:hrstd="t" o:hr="t" fillcolor="#a0a0a0" stroked="f"/>
        </w:pict>
      </w:r>
    </w:p>
    <w:p w14:paraId="12DD8423" w14:textId="2FAD12B2"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Verb </w:t>
      </w:r>
      <w:r w:rsidRPr="00EE70D7">
        <w:rPr>
          <w:rFonts w:eastAsia="Times New Roman" w:cs="Times New Roman"/>
          <w:b/>
          <w:bCs/>
          <w:rtl/>
          <w:lang w:eastAsia="de-DE"/>
        </w:rPr>
        <w:t>וְהוּרַ֖ד הַמִּשְׁכָּ֑ן</w:t>
      </w:r>
      <w:r w:rsidRPr="00EE70D7">
        <w:rPr>
          <w:rFonts w:eastAsia="Times New Roman" w:cs="Times New Roman"/>
          <w:rtl/>
          <w:lang w:eastAsia="de-DE"/>
        </w:rPr>
        <w:t xml:space="preserve"> </w:t>
      </w:r>
      <w:r w:rsidRPr="00EE70D7">
        <w:rPr>
          <w:rFonts w:eastAsia="Times New Roman" w:cs="Times New Roman"/>
          <w:lang w:eastAsia="de-DE"/>
        </w:rPr>
        <w:t xml:space="preserve">zeigt einen entscheidenden liturgischen Moment. </w:t>
      </w:r>
      <w:r w:rsidRPr="00EE70D7">
        <w:rPr>
          <w:rFonts w:eastAsia="Times New Roman" w:cs="Times New Roman"/>
          <w:b/>
          <w:bCs/>
          <w:rtl/>
          <w:lang w:eastAsia="de-DE"/>
        </w:rPr>
        <w:t>הוּרַד</w:t>
      </w:r>
      <w:r w:rsidRPr="00EE70D7">
        <w:rPr>
          <w:rFonts w:eastAsia="Times New Roman" w:cs="Times New Roman"/>
          <w:rtl/>
          <w:lang w:eastAsia="de-DE"/>
        </w:rPr>
        <w:t xml:space="preserve"> </w:t>
      </w:r>
      <w:r w:rsidRPr="00EE70D7">
        <w:rPr>
          <w:rFonts w:eastAsia="Times New Roman" w:cs="Times New Roman"/>
          <w:lang w:eastAsia="de-DE"/>
        </w:rPr>
        <w:t xml:space="preserve">von der Wurzel </w:t>
      </w:r>
      <w:r w:rsidRPr="00EE70D7">
        <w:rPr>
          <w:rFonts w:eastAsia="Times New Roman" w:cs="Times New Roman"/>
          <w:b/>
          <w:bCs/>
          <w:rtl/>
          <w:lang w:eastAsia="de-DE"/>
        </w:rPr>
        <w:t>ירד</w:t>
      </w:r>
      <w:r w:rsidRPr="00EE70D7">
        <w:rPr>
          <w:rFonts w:eastAsia="Times New Roman" w:cs="Times New Roman"/>
          <w:rtl/>
          <w:lang w:eastAsia="de-DE"/>
        </w:rPr>
        <w:t xml:space="preserve"> </w:t>
      </w:r>
      <w:r w:rsidRPr="00EE70D7">
        <w:rPr>
          <w:rFonts w:eastAsia="Times New Roman" w:cs="Times New Roman"/>
          <w:lang w:eastAsia="de-DE"/>
        </w:rPr>
        <w:t xml:space="preserve">(hinuntergehen/abbauen) im Hoph'al-Perfekt 3. maskulin Singular zeigt die passive </w:t>
      </w:r>
      <w:r w:rsidR="00F133EC">
        <w:rPr>
          <w:rFonts w:eastAsia="Times New Roman" w:cs="Times New Roman"/>
          <w:lang w:eastAsia="de-DE"/>
        </w:rPr>
        <w:t>Construct</w:t>
      </w:r>
      <w:r w:rsidRPr="00EE70D7">
        <w:rPr>
          <w:rFonts w:eastAsia="Times New Roman" w:cs="Times New Roman"/>
          <w:lang w:eastAsia="de-DE"/>
        </w:rPr>
        <w:t>ion "wurde abgebaut". Das Hoph'al betont, dass dies eine fachkundige, von den Priestern durchgeführte Handlung ist, entsprechend den Bestimmungen in Numeri 4.</w:t>
      </w:r>
    </w:p>
    <w:p w14:paraId="5722F9D2"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Das koordinierte Verb </w:t>
      </w:r>
      <w:r w:rsidRPr="00EE70D7">
        <w:rPr>
          <w:rFonts w:eastAsia="Times New Roman" w:cs="Times New Roman"/>
          <w:b/>
          <w:bCs/>
          <w:rtl/>
          <w:lang w:eastAsia="de-DE"/>
        </w:rPr>
        <w:t>וְנָסְע֤וּ בְנֵֽי־גֵרְשׁוֹן֙ וּבְנֵ֣י מְרָרִ֔י</w:t>
      </w:r>
      <w:r w:rsidRPr="00EE70D7">
        <w:rPr>
          <w:rFonts w:eastAsia="Times New Roman" w:cs="Times New Roman"/>
          <w:rtl/>
          <w:lang w:eastAsia="de-DE"/>
        </w:rPr>
        <w:t xml:space="preserve"> </w:t>
      </w:r>
      <w:r w:rsidRPr="00EE70D7">
        <w:rPr>
          <w:rFonts w:eastAsia="Times New Roman" w:cs="Times New Roman"/>
          <w:lang w:eastAsia="de-DE"/>
        </w:rPr>
        <w:t xml:space="preserve">mit </w:t>
      </w:r>
      <w:r w:rsidRPr="00EE70D7">
        <w:rPr>
          <w:rFonts w:eastAsia="Times New Roman" w:cs="Times New Roman"/>
          <w:b/>
          <w:bCs/>
          <w:rtl/>
          <w:lang w:eastAsia="de-DE"/>
        </w:rPr>
        <w:t>נָסְעוּ</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נסע</w:t>
      </w:r>
      <w:r w:rsidRPr="00EE70D7">
        <w:rPr>
          <w:rFonts w:eastAsia="Times New Roman" w:cs="Times New Roman"/>
          <w:rtl/>
          <w:lang w:eastAsia="de-DE"/>
        </w:rPr>
        <w:t xml:space="preserve"> </w:t>
      </w:r>
      <w:r w:rsidRPr="00EE70D7">
        <w:rPr>
          <w:rFonts w:eastAsia="Times New Roman" w:cs="Times New Roman"/>
          <w:lang w:eastAsia="de-DE"/>
        </w:rPr>
        <w:t xml:space="preserve">(aufbrechen) im Qal-Perfekt 3. maskulin Plural zeigt die levitischen Transporteinheiten. </w:t>
      </w:r>
      <w:r w:rsidRPr="00EE70D7">
        <w:rPr>
          <w:rFonts w:eastAsia="Times New Roman" w:cs="Times New Roman"/>
          <w:b/>
          <w:bCs/>
          <w:rtl/>
          <w:lang w:eastAsia="de-DE"/>
        </w:rPr>
        <w:t>בְנֵֽי־גֵרְשׁוֹן֙ וּבְנֵ֣י מְרָרִ֔י</w:t>
      </w:r>
      <w:r w:rsidRPr="00EE70D7">
        <w:rPr>
          <w:rFonts w:eastAsia="Times New Roman" w:cs="Times New Roman"/>
          <w:rtl/>
          <w:lang w:eastAsia="de-DE"/>
        </w:rPr>
        <w:t xml:space="preserve"> </w:t>
      </w:r>
      <w:r w:rsidRPr="00EE70D7">
        <w:rPr>
          <w:rFonts w:eastAsia="Times New Roman" w:cs="Times New Roman"/>
          <w:lang w:eastAsia="de-DE"/>
        </w:rPr>
        <w:t>bezeichnet zwei der drei levitischen Familien.</w:t>
      </w:r>
    </w:p>
    <w:p w14:paraId="73D6D596" w14:textId="776DAEFA"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Charakterisierung </w:t>
      </w:r>
      <w:r w:rsidRPr="00EE70D7">
        <w:rPr>
          <w:rFonts w:eastAsia="Times New Roman" w:cs="Times New Roman"/>
          <w:b/>
          <w:bCs/>
          <w:rtl/>
          <w:lang w:eastAsia="de-DE"/>
        </w:rPr>
        <w:t>נֹשְׂאֵ֖י הַמִּשְׁכָּֽן</w:t>
      </w:r>
      <w:r w:rsidRPr="00EE70D7">
        <w:rPr>
          <w:rFonts w:eastAsia="Times New Roman" w:cs="Times New Roman"/>
          <w:rtl/>
          <w:lang w:eastAsia="de-DE"/>
        </w:rPr>
        <w:t xml:space="preserve"> </w:t>
      </w:r>
      <w:r w:rsidRPr="00EE70D7">
        <w:rPr>
          <w:rFonts w:eastAsia="Times New Roman" w:cs="Times New Roman"/>
          <w:lang w:eastAsia="de-DE"/>
        </w:rPr>
        <w:t xml:space="preserve">(die Träger der Wohnung) mit </w:t>
      </w:r>
      <w:r w:rsidRPr="00EE70D7">
        <w:rPr>
          <w:rFonts w:eastAsia="Times New Roman" w:cs="Times New Roman"/>
          <w:b/>
          <w:bCs/>
          <w:rtl/>
          <w:lang w:eastAsia="de-DE"/>
        </w:rPr>
        <w:t>נֹשְׂאֵי</w:t>
      </w:r>
      <w:r w:rsidRPr="00EE70D7">
        <w:rPr>
          <w:rFonts w:eastAsia="Times New Roman" w:cs="Times New Roman"/>
          <w:rtl/>
          <w:lang w:eastAsia="de-DE"/>
        </w:rPr>
        <w:t xml:space="preserve"> </w:t>
      </w:r>
      <w:r w:rsidRPr="00EE70D7">
        <w:rPr>
          <w:rFonts w:eastAsia="Times New Roman" w:cs="Times New Roman"/>
          <w:lang w:eastAsia="de-DE"/>
        </w:rPr>
        <w:t xml:space="preserve">als Qal-Partizip Plural von </w:t>
      </w:r>
      <w:r w:rsidRPr="00EE70D7">
        <w:rPr>
          <w:rFonts w:eastAsia="Times New Roman" w:cs="Times New Roman"/>
          <w:b/>
          <w:bCs/>
          <w:rtl/>
          <w:lang w:eastAsia="de-DE"/>
        </w:rPr>
        <w:t>נשא</w:t>
      </w:r>
      <w:r w:rsidRPr="00EE70D7">
        <w:rPr>
          <w:rFonts w:eastAsia="Times New Roman" w:cs="Times New Roman"/>
          <w:rtl/>
          <w:lang w:eastAsia="de-DE"/>
        </w:rPr>
        <w:t xml:space="preserve"> </w:t>
      </w:r>
      <w:r w:rsidRPr="00EE70D7">
        <w:rPr>
          <w:rFonts w:eastAsia="Times New Roman" w:cs="Times New Roman"/>
          <w:lang w:eastAsia="de-DE"/>
        </w:rPr>
        <w:t xml:space="preserve">(tragen) im </w:t>
      </w:r>
      <w:r w:rsidR="00F133EC">
        <w:rPr>
          <w:rFonts w:eastAsia="Times New Roman" w:cs="Times New Roman"/>
          <w:lang w:eastAsia="de-DE"/>
        </w:rPr>
        <w:t>Construct</w:t>
      </w:r>
      <w:r w:rsidRPr="00EE70D7">
        <w:rPr>
          <w:rFonts w:eastAsia="Times New Roman" w:cs="Times New Roman"/>
          <w:lang w:eastAsia="de-DE"/>
        </w:rPr>
        <w:t xml:space="preserve"> zeigt ihre spezifische Funktion als Träger der strukturellen Stiftshüttenelemente.</w:t>
      </w:r>
    </w:p>
    <w:p w14:paraId="13CCD5B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w:t>
      </w:r>
      <w:r w:rsidRPr="00EE70D7">
        <w:rPr>
          <w:rFonts w:eastAsia="Times New Roman" w:cs="Times New Roman"/>
          <w:b/>
          <w:bCs/>
          <w:rtl/>
          <w:lang w:eastAsia="de-DE"/>
        </w:rPr>
        <w:t>הוּרַד</w:t>
      </w:r>
      <w:r w:rsidRPr="00EE70D7">
        <w:rPr>
          <w:rFonts w:eastAsia="Times New Roman" w:cs="Times New Roman"/>
          <w:rtl/>
          <w:lang w:eastAsia="de-DE"/>
        </w:rPr>
        <w:t xml:space="preserve"> </w:t>
      </w:r>
      <w:r w:rsidRPr="00EE70D7">
        <w:rPr>
          <w:rFonts w:eastAsia="Times New Roman" w:cs="Times New Roman"/>
          <w:lang w:eastAsia="de-DE"/>
        </w:rPr>
        <w:t xml:space="preserve">mit καθῃρέθη (wurde abgenommen), </w:t>
      </w:r>
      <w:r w:rsidRPr="00EE70D7">
        <w:rPr>
          <w:rFonts w:eastAsia="Times New Roman" w:cs="Times New Roman"/>
          <w:b/>
          <w:bCs/>
          <w:rtl/>
          <w:lang w:eastAsia="de-DE"/>
        </w:rPr>
        <w:t>נָסְעוּ</w:t>
      </w:r>
      <w:r w:rsidRPr="00EE70D7">
        <w:rPr>
          <w:rFonts w:eastAsia="Times New Roman" w:cs="Times New Roman"/>
          <w:rtl/>
          <w:lang w:eastAsia="de-DE"/>
        </w:rPr>
        <w:t xml:space="preserve"> </w:t>
      </w:r>
      <w:r w:rsidRPr="00EE70D7">
        <w:rPr>
          <w:rFonts w:eastAsia="Times New Roman" w:cs="Times New Roman"/>
          <w:lang w:eastAsia="de-DE"/>
        </w:rPr>
        <w:t xml:space="preserve">mit ἀπῆραν (sie brachen auf) und </w:t>
      </w:r>
      <w:r w:rsidRPr="00EE70D7">
        <w:rPr>
          <w:rFonts w:eastAsia="Times New Roman" w:cs="Times New Roman"/>
          <w:b/>
          <w:bCs/>
          <w:rtl/>
          <w:lang w:eastAsia="de-DE"/>
        </w:rPr>
        <w:t>נֹשְׂאֵי הַמִּשְׁכָּן</w:t>
      </w:r>
      <w:r w:rsidRPr="00EE70D7">
        <w:rPr>
          <w:rFonts w:eastAsia="Times New Roman" w:cs="Times New Roman"/>
          <w:rtl/>
          <w:lang w:eastAsia="de-DE"/>
        </w:rPr>
        <w:t xml:space="preserve"> </w:t>
      </w:r>
      <w:r w:rsidRPr="00EE70D7">
        <w:rPr>
          <w:rFonts w:eastAsia="Times New Roman" w:cs="Times New Roman"/>
          <w:lang w:eastAsia="de-DE"/>
        </w:rPr>
        <w:t>mit αἴροντες τὴν σκηνήν (die das Zelt tragen).</w:t>
      </w:r>
    </w:p>
    <w:p w14:paraId="342F17C2"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zeigt eine koordinierte Sequenz von liturgischem Abbau und organisiertem Transport mit passiver Abbaukonstruktion und aktiver Bewegungshandlung.</w:t>
      </w:r>
    </w:p>
    <w:p w14:paraId="5788E58B" w14:textId="67870D49" w:rsidR="00FB4661" w:rsidRDefault="00EE70D7" w:rsidP="00EE70D7">
      <w:pPr>
        <w:spacing w:before="100" w:beforeAutospacing="1" w:after="100" w:afterAutospacing="1" w:line="240" w:lineRule="auto"/>
      </w:pPr>
      <w:r>
        <w:t>Dieser Vers dokumentiert die praktische Umsetzung der levitischen Arbeitsorganisation beim ersten Aufbruch und zeigt die Mobilität der göttlichen Wohnung.</w:t>
      </w:r>
    </w:p>
    <w:p w14:paraId="0342458C"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10,18</w:t>
      </w:r>
    </w:p>
    <w:p w14:paraId="2072CEC6"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וְנָסַ֗ע דֶּ֛גֶל מַחֲנֵ֥ה רְאוּבֵ֖ן לְצִבְאֹתָ֑ם וְעַל־צְבָאֹ֔ו אֱלִיצ֖וּר בֶּן־שְׁדֵיאֽוּר׃</w:t>
      </w:r>
    </w:p>
    <w:p w14:paraId="6F733D46"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es brach auf das Banner des Lagers Re'uvens nach ihren Heerscharen; und über seinem Heer war Elizur, der Sohn Schede'urs.</w:t>
      </w:r>
    </w:p>
    <w:p w14:paraId="330291E1"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2F749FD9">
          <v:rect id="_x0000_i1361" style="width:0;height:1.5pt" o:hralign="center" o:hrstd="t" o:hr="t" fillcolor="#a0a0a0" stroked="f"/>
        </w:pict>
      </w:r>
    </w:p>
    <w:p w14:paraId="04A32A80"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Verb </w:t>
      </w:r>
      <w:r w:rsidRPr="00EE70D7">
        <w:rPr>
          <w:rFonts w:eastAsia="Times New Roman" w:cs="Times New Roman"/>
          <w:b/>
          <w:bCs/>
          <w:rtl/>
          <w:lang w:eastAsia="de-DE"/>
        </w:rPr>
        <w:t>וְנָסַ֗ע</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נסע</w:t>
      </w:r>
      <w:r w:rsidRPr="00EE70D7">
        <w:rPr>
          <w:rFonts w:eastAsia="Times New Roman" w:cs="Times New Roman"/>
          <w:rtl/>
          <w:lang w:eastAsia="de-DE"/>
        </w:rPr>
        <w:t xml:space="preserve"> </w:t>
      </w:r>
      <w:r w:rsidRPr="00EE70D7">
        <w:rPr>
          <w:rFonts w:eastAsia="Times New Roman" w:cs="Times New Roman"/>
          <w:lang w:eastAsia="de-DE"/>
        </w:rPr>
        <w:t xml:space="preserve">(aufbrechen) im Qal-Imperfekt 3. maskulin Singular mit Waw consecutivum zeigt die zweite große Marscheinheit. Das Subjekt </w:t>
      </w:r>
      <w:r w:rsidRPr="00EE70D7">
        <w:rPr>
          <w:rFonts w:eastAsia="Times New Roman" w:cs="Times New Roman"/>
          <w:b/>
          <w:bCs/>
          <w:rtl/>
          <w:lang w:eastAsia="de-DE"/>
        </w:rPr>
        <w:t>דֶּ֛גֶל מַחֲנֵ֥ה רְאוּבֵ֖ן</w:t>
      </w:r>
      <w:r w:rsidRPr="00EE70D7">
        <w:rPr>
          <w:rFonts w:eastAsia="Times New Roman" w:cs="Times New Roman"/>
          <w:rtl/>
          <w:lang w:eastAsia="de-DE"/>
        </w:rPr>
        <w:t xml:space="preserve"> </w:t>
      </w:r>
      <w:r w:rsidRPr="00EE70D7">
        <w:rPr>
          <w:rFonts w:eastAsia="Times New Roman" w:cs="Times New Roman"/>
          <w:lang w:eastAsia="de-DE"/>
        </w:rPr>
        <w:t>(Banner des Lagers Rubens) folgt derselben Struktur wie in Vers 14 für Juda, zeigt aber die südliche Lagergruppe.</w:t>
      </w:r>
    </w:p>
    <w:p w14:paraId="02A2281A"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militärische Spezifikation </w:t>
      </w:r>
      <w:r w:rsidRPr="00EE70D7">
        <w:rPr>
          <w:rFonts w:eastAsia="Times New Roman" w:cs="Times New Roman"/>
          <w:b/>
          <w:bCs/>
          <w:rtl/>
          <w:lang w:eastAsia="de-DE"/>
        </w:rPr>
        <w:t>לְצִבְאֹתָ֑ם</w:t>
      </w:r>
      <w:r w:rsidRPr="00EE70D7">
        <w:rPr>
          <w:rFonts w:eastAsia="Times New Roman" w:cs="Times New Roman"/>
          <w:rtl/>
          <w:lang w:eastAsia="de-DE"/>
        </w:rPr>
        <w:t xml:space="preserve"> </w:t>
      </w:r>
      <w:r w:rsidRPr="00EE70D7">
        <w:rPr>
          <w:rFonts w:eastAsia="Times New Roman" w:cs="Times New Roman"/>
          <w:lang w:eastAsia="de-DE"/>
        </w:rPr>
        <w:t xml:space="preserve">(nach ihren Heerscharen) mit </w:t>
      </w:r>
      <w:r w:rsidRPr="00EE70D7">
        <w:rPr>
          <w:rFonts w:eastAsia="Times New Roman" w:cs="Times New Roman"/>
          <w:b/>
          <w:bCs/>
          <w:rtl/>
          <w:lang w:eastAsia="de-DE"/>
        </w:rPr>
        <w:t>צְבָאוֹת</w:t>
      </w:r>
      <w:r w:rsidRPr="00EE70D7">
        <w:rPr>
          <w:rFonts w:eastAsia="Times New Roman" w:cs="Times New Roman"/>
          <w:rtl/>
          <w:lang w:eastAsia="de-DE"/>
        </w:rPr>
        <w:t xml:space="preserve"> </w:t>
      </w:r>
      <w:r w:rsidRPr="00EE70D7">
        <w:rPr>
          <w:rFonts w:eastAsia="Times New Roman" w:cs="Times New Roman"/>
          <w:lang w:eastAsia="de-DE"/>
        </w:rPr>
        <w:t xml:space="preserve">Plural von </w:t>
      </w:r>
      <w:r w:rsidRPr="00EE70D7">
        <w:rPr>
          <w:rFonts w:eastAsia="Times New Roman" w:cs="Times New Roman"/>
          <w:b/>
          <w:bCs/>
          <w:rtl/>
          <w:lang w:eastAsia="de-DE"/>
        </w:rPr>
        <w:t>צָבָא</w:t>
      </w:r>
      <w:r w:rsidRPr="00EE70D7">
        <w:rPr>
          <w:rFonts w:eastAsia="Times New Roman" w:cs="Times New Roman"/>
          <w:rtl/>
          <w:lang w:eastAsia="de-DE"/>
        </w:rPr>
        <w:t xml:space="preserve"> </w:t>
      </w:r>
      <w:r w:rsidRPr="00EE70D7">
        <w:rPr>
          <w:rFonts w:eastAsia="Times New Roman" w:cs="Times New Roman"/>
          <w:lang w:eastAsia="de-DE"/>
        </w:rPr>
        <w:t xml:space="preserve">wiederholt die organisierte Marschordnung. Die Führungsangabe </w:t>
      </w:r>
      <w:r w:rsidRPr="00EE70D7">
        <w:rPr>
          <w:rFonts w:eastAsia="Times New Roman" w:cs="Times New Roman"/>
          <w:b/>
          <w:bCs/>
          <w:rtl/>
          <w:lang w:eastAsia="de-DE"/>
        </w:rPr>
        <w:t>וְעַל־צְבָאֹ֔ו אֱלִיצ֖וּר בֶּן־שְׁדֵיאֽוּר</w:t>
      </w:r>
      <w:r w:rsidRPr="00EE70D7">
        <w:rPr>
          <w:rFonts w:eastAsia="Times New Roman" w:cs="Times New Roman"/>
          <w:rtl/>
          <w:lang w:eastAsia="de-DE"/>
        </w:rPr>
        <w:t xml:space="preserve"> </w:t>
      </w:r>
      <w:r w:rsidRPr="00EE70D7">
        <w:rPr>
          <w:rFonts w:eastAsia="Times New Roman" w:cs="Times New Roman"/>
          <w:lang w:eastAsia="de-DE"/>
        </w:rPr>
        <w:t xml:space="preserve">mit </w:t>
      </w:r>
      <w:r w:rsidRPr="00EE70D7">
        <w:rPr>
          <w:rFonts w:eastAsia="Times New Roman" w:cs="Times New Roman"/>
          <w:b/>
          <w:bCs/>
          <w:rtl/>
          <w:lang w:eastAsia="de-DE"/>
        </w:rPr>
        <w:t>עַל־צְבָאֹ֔ו</w:t>
      </w:r>
      <w:r w:rsidRPr="00EE70D7">
        <w:rPr>
          <w:rFonts w:eastAsia="Times New Roman" w:cs="Times New Roman"/>
          <w:rtl/>
          <w:lang w:eastAsia="de-DE"/>
        </w:rPr>
        <w:t xml:space="preserve"> </w:t>
      </w:r>
      <w:r w:rsidRPr="00EE70D7">
        <w:rPr>
          <w:rFonts w:eastAsia="Times New Roman" w:cs="Times New Roman"/>
          <w:lang w:eastAsia="de-DE"/>
        </w:rPr>
        <w:t xml:space="preserve">(über seinem Heer) und </w:t>
      </w:r>
      <w:r w:rsidRPr="00EE70D7">
        <w:rPr>
          <w:rFonts w:eastAsia="Times New Roman" w:cs="Times New Roman"/>
          <w:b/>
          <w:bCs/>
          <w:rtl/>
          <w:lang w:eastAsia="de-DE"/>
        </w:rPr>
        <w:t>אֱלִיצ֖וּר בֶּן־שְׁדֵיאֽוּר</w:t>
      </w:r>
      <w:r w:rsidRPr="00EE70D7">
        <w:rPr>
          <w:rFonts w:eastAsia="Times New Roman" w:cs="Times New Roman"/>
          <w:rtl/>
          <w:lang w:eastAsia="de-DE"/>
        </w:rPr>
        <w:t xml:space="preserve"> </w:t>
      </w:r>
      <w:r w:rsidRPr="00EE70D7">
        <w:rPr>
          <w:rFonts w:eastAsia="Times New Roman" w:cs="Times New Roman"/>
          <w:lang w:eastAsia="de-DE"/>
        </w:rPr>
        <w:t>(Elizur, Sohn Schedeurs) entspricht Numeri 1,5 und 2,10.</w:t>
      </w:r>
    </w:p>
    <w:p w14:paraId="21E91862"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w:t>
      </w:r>
      <w:r w:rsidRPr="00EE70D7">
        <w:rPr>
          <w:rFonts w:eastAsia="Times New Roman" w:cs="Times New Roman"/>
          <w:b/>
          <w:bCs/>
          <w:rtl/>
          <w:lang w:eastAsia="de-DE"/>
        </w:rPr>
        <w:t>דֶּ֛גֶל</w:t>
      </w:r>
      <w:r w:rsidRPr="00EE70D7">
        <w:rPr>
          <w:rFonts w:eastAsia="Times New Roman" w:cs="Times New Roman"/>
          <w:rtl/>
          <w:lang w:eastAsia="de-DE"/>
        </w:rPr>
        <w:t xml:space="preserve"> </w:t>
      </w:r>
      <w:r w:rsidRPr="00EE70D7">
        <w:rPr>
          <w:rFonts w:eastAsia="Times New Roman" w:cs="Times New Roman"/>
          <w:lang w:eastAsia="de-DE"/>
        </w:rPr>
        <w:t xml:space="preserve">mit τάγμα (Abteilung), </w:t>
      </w:r>
      <w:r w:rsidRPr="00EE70D7">
        <w:rPr>
          <w:rFonts w:eastAsia="Times New Roman" w:cs="Times New Roman"/>
          <w:b/>
          <w:bCs/>
          <w:rtl/>
          <w:lang w:eastAsia="de-DE"/>
        </w:rPr>
        <w:t>מַחֲנֵ֥ה</w:t>
      </w:r>
      <w:r w:rsidRPr="00EE70D7">
        <w:rPr>
          <w:rFonts w:eastAsia="Times New Roman" w:cs="Times New Roman"/>
          <w:rtl/>
          <w:lang w:eastAsia="de-DE"/>
        </w:rPr>
        <w:t xml:space="preserve"> </w:t>
      </w:r>
      <w:r w:rsidRPr="00EE70D7">
        <w:rPr>
          <w:rFonts w:eastAsia="Times New Roman" w:cs="Times New Roman"/>
          <w:lang w:eastAsia="de-DE"/>
        </w:rPr>
        <w:t xml:space="preserve">mit παρεμβολῆς (Lager) und </w:t>
      </w:r>
      <w:r w:rsidRPr="00EE70D7">
        <w:rPr>
          <w:rFonts w:eastAsia="Times New Roman" w:cs="Times New Roman"/>
          <w:b/>
          <w:bCs/>
          <w:rtl/>
          <w:lang w:eastAsia="de-DE"/>
        </w:rPr>
        <w:t>צִבְאֹתָ֑ם</w:t>
      </w:r>
      <w:r w:rsidRPr="00EE70D7">
        <w:rPr>
          <w:rFonts w:eastAsia="Times New Roman" w:cs="Times New Roman"/>
          <w:rtl/>
          <w:lang w:eastAsia="de-DE"/>
        </w:rPr>
        <w:t xml:space="preserve"> </w:t>
      </w:r>
      <w:r w:rsidRPr="00EE70D7">
        <w:rPr>
          <w:rFonts w:eastAsia="Times New Roman" w:cs="Times New Roman"/>
          <w:lang w:eastAsia="de-DE"/>
        </w:rPr>
        <w:t>mit δυνάμεις αὐτῶν (ihre Streitkräfte).</w:t>
      </w:r>
    </w:p>
    <w:p w14:paraId="06591E28"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lastRenderedPageBreak/>
        <w:t>Die Satzstruktur zeigt die zweite Marscheinheit mit Banner-Identifikation, militärischer Organisation und Führungsangabe.</w:t>
      </w:r>
    </w:p>
    <w:p w14:paraId="23E691A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beginnt die Dokumentation der südlichen Stammesgruppe (Ruben, Simeon, Gad) als zweite Marscheinheit entsprechend der etablierten Ordnung.</w:t>
      </w:r>
    </w:p>
    <w:p w14:paraId="5F6E0164"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10,19</w:t>
      </w:r>
    </w:p>
    <w:p w14:paraId="1A3837BE"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וְעַ֨ל־צְבָ֔א מַטֵּ֖ה בְּנֵ֣י שִׁמְע֑וֹן שְׁלֻֽמִיאֵ֖ל בֶּן־צוּרִֽי שַׁדָּֽי׃</w:t>
      </w:r>
    </w:p>
    <w:p w14:paraId="79BF226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über dem Heer des Stammes der Söhne Schim'ons war Schelumi'el, der Sohn Zurischaddais.</w:t>
      </w:r>
    </w:p>
    <w:p w14:paraId="3497B3F8"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2825166F">
          <v:rect id="_x0000_i1362" style="width:0;height:1.5pt" o:hralign="center" o:hrstd="t" o:hr="t" fillcolor="#a0a0a0" stroked="f"/>
        </w:pict>
      </w:r>
    </w:p>
    <w:p w14:paraId="3ADFEFF6"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Die Führungsangabe </w:t>
      </w:r>
      <w:r w:rsidRPr="00EE70D7">
        <w:rPr>
          <w:rFonts w:eastAsia="Times New Roman" w:cs="Times New Roman"/>
          <w:b/>
          <w:bCs/>
          <w:rtl/>
          <w:lang w:eastAsia="de-DE"/>
        </w:rPr>
        <w:t>וְעַ֨ל־צְבָ֔א מַטֵּ֖ה בְּנֵ֣י שִׁמְע֑וֹן</w:t>
      </w:r>
      <w:r w:rsidRPr="00EE70D7">
        <w:rPr>
          <w:rFonts w:eastAsia="Times New Roman" w:cs="Times New Roman"/>
          <w:rtl/>
          <w:lang w:eastAsia="de-DE"/>
        </w:rPr>
        <w:t xml:space="preserve"> </w:t>
      </w:r>
      <w:r w:rsidRPr="00EE70D7">
        <w:rPr>
          <w:rFonts w:eastAsia="Times New Roman" w:cs="Times New Roman"/>
          <w:lang w:eastAsia="de-DE"/>
        </w:rPr>
        <w:t xml:space="preserve">folgt der etablierten Formel für die zweiten und dritten Stämme in jeder Bannergruppe. </w:t>
      </w:r>
      <w:r w:rsidRPr="00EE70D7">
        <w:rPr>
          <w:rFonts w:eastAsia="Times New Roman" w:cs="Times New Roman"/>
          <w:b/>
          <w:bCs/>
          <w:rtl/>
          <w:lang w:eastAsia="de-DE"/>
        </w:rPr>
        <w:t>עַל־צְבָ֔א</w:t>
      </w:r>
      <w:r w:rsidRPr="00EE70D7">
        <w:rPr>
          <w:rFonts w:eastAsia="Times New Roman" w:cs="Times New Roman"/>
          <w:rtl/>
          <w:lang w:eastAsia="de-DE"/>
        </w:rPr>
        <w:t xml:space="preserve"> </w:t>
      </w:r>
      <w:r w:rsidRPr="00EE70D7">
        <w:rPr>
          <w:rFonts w:eastAsia="Times New Roman" w:cs="Times New Roman"/>
          <w:lang w:eastAsia="de-DE"/>
        </w:rPr>
        <w:t xml:space="preserve">(über dem Heer) zeigt militärische Befehlsautorität, </w:t>
      </w:r>
      <w:r w:rsidRPr="00EE70D7">
        <w:rPr>
          <w:rFonts w:eastAsia="Times New Roman" w:cs="Times New Roman"/>
          <w:b/>
          <w:bCs/>
          <w:rtl/>
          <w:lang w:eastAsia="de-DE"/>
        </w:rPr>
        <w:t>מַטֵּ֖ה בְּנֵ֣י שִׁמְע֑וֹן</w:t>
      </w:r>
      <w:r w:rsidRPr="00EE70D7">
        <w:rPr>
          <w:rFonts w:eastAsia="Times New Roman" w:cs="Times New Roman"/>
          <w:rtl/>
          <w:lang w:eastAsia="de-DE"/>
        </w:rPr>
        <w:t xml:space="preserve"> </w:t>
      </w:r>
      <w:r w:rsidRPr="00EE70D7">
        <w:rPr>
          <w:rFonts w:eastAsia="Times New Roman" w:cs="Times New Roman"/>
          <w:lang w:eastAsia="de-DE"/>
        </w:rPr>
        <w:t>(Stamm der Söhne Simeons) bezeichnet den zweiten Stamm der südlichen Gruppe.</w:t>
      </w:r>
    </w:p>
    <w:p w14:paraId="3C05730E"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rtl/>
          <w:lang w:eastAsia="de-DE"/>
        </w:rPr>
        <w:t>שְׁלֻֽמִיאֵ֖ל בֶּן־צוּרִֽי שַׁדָּֽי</w:t>
      </w:r>
      <w:r w:rsidRPr="00EE70D7">
        <w:rPr>
          <w:rFonts w:eastAsia="Times New Roman" w:cs="Times New Roman"/>
          <w:rtl/>
          <w:lang w:eastAsia="de-DE"/>
        </w:rPr>
        <w:t xml:space="preserve"> </w:t>
      </w:r>
      <w:r w:rsidRPr="00EE70D7">
        <w:rPr>
          <w:rFonts w:eastAsia="Times New Roman" w:cs="Times New Roman"/>
          <w:lang w:eastAsia="de-DE"/>
        </w:rPr>
        <w:t xml:space="preserve">(Schelumiel, Sohn Zurischaddais) entspricht den Angaben in Numeri 1,6 und 2,12. Der Name </w:t>
      </w:r>
      <w:r w:rsidRPr="00EE70D7">
        <w:rPr>
          <w:rFonts w:eastAsia="Times New Roman" w:cs="Times New Roman"/>
          <w:b/>
          <w:bCs/>
          <w:rtl/>
          <w:lang w:eastAsia="de-DE"/>
        </w:rPr>
        <w:t>שְׁלֻֽמִיאֵ֖ל</w:t>
      </w:r>
      <w:r w:rsidRPr="00EE70D7">
        <w:rPr>
          <w:rFonts w:eastAsia="Times New Roman" w:cs="Times New Roman"/>
          <w:rtl/>
          <w:lang w:eastAsia="de-DE"/>
        </w:rPr>
        <w:t xml:space="preserve"> </w:t>
      </w:r>
      <w:r w:rsidRPr="00EE70D7">
        <w:rPr>
          <w:rFonts w:eastAsia="Times New Roman" w:cs="Times New Roman"/>
          <w:lang w:eastAsia="de-DE"/>
        </w:rPr>
        <w:t xml:space="preserve">bedeutet "Gott ist mein Friede" und </w:t>
      </w:r>
      <w:r w:rsidRPr="00EE70D7">
        <w:rPr>
          <w:rFonts w:eastAsia="Times New Roman" w:cs="Times New Roman"/>
          <w:b/>
          <w:bCs/>
          <w:rtl/>
          <w:lang w:eastAsia="de-DE"/>
        </w:rPr>
        <w:t>צוּרִֽי שַׁדָּֽי</w:t>
      </w:r>
      <w:r w:rsidRPr="00EE70D7">
        <w:rPr>
          <w:rFonts w:eastAsia="Times New Roman" w:cs="Times New Roman"/>
          <w:rtl/>
          <w:lang w:eastAsia="de-DE"/>
        </w:rPr>
        <w:t xml:space="preserve"> </w:t>
      </w:r>
      <w:r w:rsidRPr="00EE70D7">
        <w:rPr>
          <w:rFonts w:eastAsia="Times New Roman" w:cs="Times New Roman"/>
          <w:lang w:eastAsia="de-DE"/>
        </w:rPr>
        <w:t>"mein Fels ist der Allmächtige".</w:t>
      </w:r>
    </w:p>
    <w:p w14:paraId="381BACE3"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mit καὶ ἐπὶ τῆς δυνάμεως φυλῆς υἱῶν Συμεων Σαλαμιηλ υἱὸς Σουρισαδαι, wobei die theophoren Namenselemente teilweise hellenisiert werden.</w:t>
      </w:r>
    </w:p>
    <w:p w14:paraId="18C46146"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wiederholt die Standardformel für Stammesführungsangaben innerhalb einer Bannergruppe.</w:t>
      </w:r>
    </w:p>
    <w:p w14:paraId="40D487FB"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dokumentiert Simeons Position als zweiter Stamm in der südlichen Marschgruppe unter Rubens Gesamtführung.</w:t>
      </w:r>
    </w:p>
    <w:p w14:paraId="347181F3"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10,20</w:t>
      </w:r>
    </w:p>
    <w:p w14:paraId="019311FC"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וְעַל־צְבָ֖א מַטֵּ֣ה בְנֵי־גָ֑ד אֶלְיָסָ֖ף בֶּן־דְּעוּאֵֽל׃</w:t>
      </w:r>
    </w:p>
    <w:p w14:paraId="0225A7B3"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über dem Heer des Stammes der Söhne Gads war Eljasaph, der Sohn De'u'els.</w:t>
      </w:r>
    </w:p>
    <w:p w14:paraId="799F2583"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31DA688E">
          <v:rect id="_x0000_i1363" style="width:0;height:1.5pt" o:hralign="center" o:hrstd="t" o:hr="t" fillcolor="#a0a0a0" stroked="f"/>
        </w:pict>
      </w:r>
    </w:p>
    <w:p w14:paraId="696F13B9"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Diese Führungsangabe komplettiert die südliche Marschgruppe mit </w:t>
      </w:r>
      <w:r w:rsidRPr="00EE70D7">
        <w:rPr>
          <w:rFonts w:eastAsia="Times New Roman" w:cs="Times New Roman"/>
          <w:b/>
          <w:bCs/>
          <w:rtl/>
          <w:lang w:eastAsia="de-DE"/>
        </w:rPr>
        <w:t>אֶלְיָסָ֖ף בֶּן־דְּעוּאֵֽל</w:t>
      </w:r>
      <w:r w:rsidRPr="00EE70D7">
        <w:rPr>
          <w:rFonts w:eastAsia="Times New Roman" w:cs="Times New Roman"/>
          <w:rtl/>
          <w:lang w:eastAsia="de-DE"/>
        </w:rPr>
        <w:t xml:space="preserve"> </w:t>
      </w:r>
      <w:r w:rsidRPr="00EE70D7">
        <w:rPr>
          <w:rFonts w:eastAsia="Times New Roman" w:cs="Times New Roman"/>
          <w:lang w:eastAsia="de-DE"/>
        </w:rPr>
        <w:t xml:space="preserve">(Eljasaph, Sohn Deuels) als Befehlshaber von Gad. Die Struktur </w:t>
      </w:r>
      <w:r w:rsidRPr="00EE70D7">
        <w:rPr>
          <w:rFonts w:eastAsia="Times New Roman" w:cs="Times New Roman"/>
          <w:b/>
          <w:bCs/>
          <w:rtl/>
          <w:lang w:eastAsia="de-DE"/>
        </w:rPr>
        <w:t>וְעַל־צְבָ֖א מַטֵּ֣ה בְנֵי־גָ֑ד</w:t>
      </w:r>
      <w:r w:rsidRPr="00EE70D7">
        <w:rPr>
          <w:rFonts w:eastAsia="Times New Roman" w:cs="Times New Roman"/>
          <w:rtl/>
          <w:lang w:eastAsia="de-DE"/>
        </w:rPr>
        <w:t xml:space="preserve"> </w:t>
      </w:r>
      <w:r w:rsidRPr="00EE70D7">
        <w:rPr>
          <w:rFonts w:eastAsia="Times New Roman" w:cs="Times New Roman"/>
          <w:lang w:eastAsia="de-DE"/>
        </w:rPr>
        <w:t>wiederholt die etablierte Formel.</w:t>
      </w:r>
    </w:p>
    <w:p w14:paraId="65549EE9"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rtl/>
          <w:lang w:eastAsia="de-DE"/>
        </w:rPr>
        <w:t>אֶלְיָסָ֖ף</w:t>
      </w:r>
      <w:r w:rsidRPr="00EE70D7">
        <w:rPr>
          <w:rFonts w:eastAsia="Times New Roman" w:cs="Times New Roman"/>
          <w:rtl/>
          <w:lang w:eastAsia="de-DE"/>
        </w:rPr>
        <w:t xml:space="preserve"> </w:t>
      </w:r>
      <w:r w:rsidRPr="00EE70D7">
        <w:rPr>
          <w:rFonts w:eastAsia="Times New Roman" w:cs="Times New Roman"/>
          <w:lang w:eastAsia="de-DE"/>
        </w:rPr>
        <w:t xml:space="preserve">bedeutet "Gott hat hinzugefügt" und </w:t>
      </w:r>
      <w:r w:rsidRPr="00EE70D7">
        <w:rPr>
          <w:rFonts w:eastAsia="Times New Roman" w:cs="Times New Roman"/>
          <w:b/>
          <w:bCs/>
          <w:rtl/>
          <w:lang w:eastAsia="de-DE"/>
        </w:rPr>
        <w:t>דְּעוּאֵֽל</w:t>
      </w:r>
      <w:r w:rsidRPr="00EE70D7">
        <w:rPr>
          <w:rFonts w:eastAsia="Times New Roman" w:cs="Times New Roman"/>
          <w:rtl/>
          <w:lang w:eastAsia="de-DE"/>
        </w:rPr>
        <w:t xml:space="preserve"> </w:t>
      </w:r>
      <w:r w:rsidRPr="00EE70D7">
        <w:rPr>
          <w:rFonts w:eastAsia="Times New Roman" w:cs="Times New Roman"/>
          <w:lang w:eastAsia="de-DE"/>
        </w:rPr>
        <w:t>"Erkenntnis Gottes", entsprechend Numeri 1,14 und 2,14. Gad als dritter Stamm der südlichen Gruppe vervollständigt die zweite große Marscheinheit.</w:t>
      </w:r>
    </w:p>
    <w:p w14:paraId="7A613066"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lastRenderedPageBreak/>
        <w:t>Die LXX</w:t>
      </w:r>
      <w:r w:rsidRPr="00EE70D7">
        <w:rPr>
          <w:rFonts w:eastAsia="Times New Roman" w:cs="Times New Roman"/>
          <w:lang w:eastAsia="de-DE"/>
        </w:rPr>
        <w:t xml:space="preserve"> übersetzt καὶ ἐπὶ τῆς δυνάμεως φυλῆς υἱῶν Γαδ Ελισαφ υἱὸς Ραγουηλ, wobei </w:t>
      </w:r>
      <w:r w:rsidRPr="00EE70D7">
        <w:rPr>
          <w:rFonts w:eastAsia="Times New Roman" w:cs="Times New Roman"/>
          <w:b/>
          <w:bCs/>
          <w:rtl/>
          <w:lang w:eastAsia="de-DE"/>
        </w:rPr>
        <w:t>דְּעוּאֵֽל</w:t>
      </w:r>
      <w:r w:rsidRPr="00EE70D7">
        <w:rPr>
          <w:rFonts w:eastAsia="Times New Roman" w:cs="Times New Roman"/>
          <w:rtl/>
          <w:lang w:eastAsia="de-DE"/>
        </w:rPr>
        <w:t xml:space="preserve"> </w:t>
      </w:r>
      <w:r w:rsidRPr="00EE70D7">
        <w:rPr>
          <w:rFonts w:eastAsia="Times New Roman" w:cs="Times New Roman"/>
          <w:lang w:eastAsia="de-DE"/>
        </w:rPr>
        <w:t>als Ραγουηλ (Raguel) wiedergegeben wird.</w:t>
      </w:r>
    </w:p>
    <w:p w14:paraId="7D8ABE80"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folgt dem etablierten Muster für die Komplettierung einer Stammesgruppe.</w:t>
      </w:r>
    </w:p>
    <w:p w14:paraId="4EBB21AC"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schließt die Dokumentation der südlichen Marscheinheit (Ruben-Simeon-Gad) ab und bereitet den Übergang zu den kehatitischen Heiligtumsträern vor.</w:t>
      </w:r>
    </w:p>
    <w:p w14:paraId="7C078FFC"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10,21</w:t>
      </w:r>
    </w:p>
    <w:p w14:paraId="492BA1D8"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וְנָסְעוּ֙ הַקְּהָתִ֔ים נֹשְׂאֵ֖י הַמִּקְדָּ֑שׁ וְהֵקִ֥ימוּ אֶת־הַמִּשְׁכָּ֖ן עַד־בֹּאָֽם׃</w:t>
      </w:r>
    </w:p>
    <w:p w14:paraId="29ECB981"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die Kehatim brachen auf, die das Heiligtum trugen, und jene richteten die Wohnung auf, bis diese kamen.</w:t>
      </w:r>
    </w:p>
    <w:p w14:paraId="79956220"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22E9ED53">
          <v:rect id="_x0000_i1364" style="width:0;height:1.5pt" o:hralign="center" o:hrstd="t" o:hr="t" fillcolor="#a0a0a0" stroked="f"/>
        </w:pict>
      </w:r>
    </w:p>
    <w:p w14:paraId="72E264C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Verb </w:t>
      </w:r>
      <w:r w:rsidRPr="00EE70D7">
        <w:rPr>
          <w:rFonts w:eastAsia="Times New Roman" w:cs="Times New Roman"/>
          <w:b/>
          <w:bCs/>
          <w:rtl/>
          <w:lang w:eastAsia="de-DE"/>
        </w:rPr>
        <w:t>וְנָסְעוּ֙ הַקְּהָתִ֔ים</w:t>
      </w:r>
      <w:r w:rsidRPr="00EE70D7">
        <w:rPr>
          <w:rFonts w:eastAsia="Times New Roman" w:cs="Times New Roman"/>
          <w:rtl/>
          <w:lang w:eastAsia="de-DE"/>
        </w:rPr>
        <w:t xml:space="preserve"> </w:t>
      </w:r>
      <w:r w:rsidRPr="00EE70D7">
        <w:rPr>
          <w:rFonts w:eastAsia="Times New Roman" w:cs="Times New Roman"/>
          <w:lang w:eastAsia="de-DE"/>
        </w:rPr>
        <w:t xml:space="preserve">mit </w:t>
      </w:r>
      <w:r w:rsidRPr="00EE70D7">
        <w:rPr>
          <w:rFonts w:eastAsia="Times New Roman" w:cs="Times New Roman"/>
          <w:b/>
          <w:bCs/>
          <w:rtl/>
          <w:lang w:eastAsia="de-DE"/>
        </w:rPr>
        <w:t>נָסְעוּ</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נסע</w:t>
      </w:r>
      <w:r w:rsidRPr="00EE70D7">
        <w:rPr>
          <w:rFonts w:eastAsia="Times New Roman" w:cs="Times New Roman"/>
          <w:rtl/>
          <w:lang w:eastAsia="de-DE"/>
        </w:rPr>
        <w:t xml:space="preserve"> </w:t>
      </w:r>
      <w:r w:rsidRPr="00EE70D7">
        <w:rPr>
          <w:rFonts w:eastAsia="Times New Roman" w:cs="Times New Roman"/>
          <w:lang w:eastAsia="de-DE"/>
        </w:rPr>
        <w:t xml:space="preserve">(aufbrechen) im Qal-Perfekt 3. maskulin Plural zeigt die dritte Transporteinheit. </w:t>
      </w:r>
      <w:r w:rsidRPr="00EE70D7">
        <w:rPr>
          <w:rFonts w:eastAsia="Times New Roman" w:cs="Times New Roman"/>
          <w:b/>
          <w:bCs/>
          <w:rtl/>
          <w:lang w:eastAsia="de-DE"/>
        </w:rPr>
        <w:t>הַקְּהָתִ֔ים</w:t>
      </w:r>
      <w:r w:rsidRPr="00EE70D7">
        <w:rPr>
          <w:rFonts w:eastAsia="Times New Roman" w:cs="Times New Roman"/>
          <w:rtl/>
          <w:lang w:eastAsia="de-DE"/>
        </w:rPr>
        <w:t xml:space="preserve"> </w:t>
      </w:r>
      <w:r w:rsidRPr="00EE70D7">
        <w:rPr>
          <w:rFonts w:eastAsia="Times New Roman" w:cs="Times New Roman"/>
          <w:lang w:eastAsia="de-DE"/>
        </w:rPr>
        <w:t>(die Kehatiter) bezeichnet die heiligste levitische Familie, die die Bundeslade und andere heilige Geräte trägt.</w:t>
      </w:r>
    </w:p>
    <w:p w14:paraId="72410992"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Charakterisierung </w:t>
      </w:r>
      <w:r w:rsidRPr="00EE70D7">
        <w:rPr>
          <w:rFonts w:eastAsia="Times New Roman" w:cs="Times New Roman"/>
          <w:b/>
          <w:bCs/>
          <w:rtl/>
          <w:lang w:eastAsia="de-DE"/>
        </w:rPr>
        <w:t>נֹשְׂאֵ֖י הַמִּקְדָּ֑שׁ</w:t>
      </w:r>
      <w:r w:rsidRPr="00EE70D7">
        <w:rPr>
          <w:rFonts w:eastAsia="Times New Roman" w:cs="Times New Roman"/>
          <w:rtl/>
          <w:lang w:eastAsia="de-DE"/>
        </w:rPr>
        <w:t xml:space="preserve"> </w:t>
      </w:r>
      <w:r w:rsidRPr="00EE70D7">
        <w:rPr>
          <w:rFonts w:eastAsia="Times New Roman" w:cs="Times New Roman"/>
          <w:lang w:eastAsia="de-DE"/>
        </w:rPr>
        <w:t xml:space="preserve">(Träger des Heiligtums) mit </w:t>
      </w:r>
      <w:r w:rsidRPr="00EE70D7">
        <w:rPr>
          <w:rFonts w:eastAsia="Times New Roman" w:cs="Times New Roman"/>
          <w:b/>
          <w:bCs/>
          <w:rtl/>
          <w:lang w:eastAsia="de-DE"/>
        </w:rPr>
        <w:t>נֹשְׂאֵי</w:t>
      </w:r>
      <w:r w:rsidRPr="00EE70D7">
        <w:rPr>
          <w:rFonts w:eastAsia="Times New Roman" w:cs="Times New Roman"/>
          <w:rtl/>
          <w:lang w:eastAsia="de-DE"/>
        </w:rPr>
        <w:t xml:space="preserve"> </w:t>
      </w:r>
      <w:r w:rsidRPr="00EE70D7">
        <w:rPr>
          <w:rFonts w:eastAsia="Times New Roman" w:cs="Times New Roman"/>
          <w:lang w:eastAsia="de-DE"/>
        </w:rPr>
        <w:t xml:space="preserve">als Qal-Partizip Plural von </w:t>
      </w:r>
      <w:r w:rsidRPr="00EE70D7">
        <w:rPr>
          <w:rFonts w:eastAsia="Times New Roman" w:cs="Times New Roman"/>
          <w:b/>
          <w:bCs/>
          <w:rtl/>
          <w:lang w:eastAsia="de-DE"/>
        </w:rPr>
        <w:t>נשא</w:t>
      </w:r>
      <w:r w:rsidRPr="00EE70D7">
        <w:rPr>
          <w:rFonts w:eastAsia="Times New Roman" w:cs="Times New Roman"/>
          <w:rtl/>
          <w:lang w:eastAsia="de-DE"/>
        </w:rPr>
        <w:t xml:space="preserve"> </w:t>
      </w:r>
      <w:r w:rsidRPr="00EE70D7">
        <w:rPr>
          <w:rFonts w:eastAsia="Times New Roman" w:cs="Times New Roman"/>
          <w:lang w:eastAsia="de-DE"/>
        </w:rPr>
        <w:t xml:space="preserve">(tragen) und </w:t>
      </w:r>
      <w:r w:rsidRPr="00EE70D7">
        <w:rPr>
          <w:rFonts w:eastAsia="Times New Roman" w:cs="Times New Roman"/>
          <w:b/>
          <w:bCs/>
          <w:rtl/>
          <w:lang w:eastAsia="de-DE"/>
        </w:rPr>
        <w:t>הַמִּקְדָּשׁ</w:t>
      </w:r>
      <w:r w:rsidRPr="00EE70D7">
        <w:rPr>
          <w:rFonts w:eastAsia="Times New Roman" w:cs="Times New Roman"/>
          <w:rtl/>
          <w:lang w:eastAsia="de-DE"/>
        </w:rPr>
        <w:t xml:space="preserve"> </w:t>
      </w:r>
      <w:r w:rsidRPr="00EE70D7">
        <w:rPr>
          <w:rFonts w:eastAsia="Times New Roman" w:cs="Times New Roman"/>
          <w:lang w:eastAsia="de-DE"/>
        </w:rPr>
        <w:t xml:space="preserve">(das Heiligtum) zeigt ihre einzigartige Funktion. </w:t>
      </w:r>
      <w:r w:rsidRPr="00EE70D7">
        <w:rPr>
          <w:rFonts w:eastAsia="Times New Roman" w:cs="Times New Roman"/>
          <w:b/>
          <w:bCs/>
          <w:rtl/>
          <w:lang w:eastAsia="de-DE"/>
        </w:rPr>
        <w:t>מִקְדָּשׁ</w:t>
      </w:r>
      <w:r w:rsidRPr="00EE70D7">
        <w:rPr>
          <w:rFonts w:eastAsia="Times New Roman" w:cs="Times New Roman"/>
          <w:rtl/>
          <w:lang w:eastAsia="de-DE"/>
        </w:rPr>
        <w:t xml:space="preserve"> </w:t>
      </w:r>
      <w:r w:rsidRPr="00EE70D7">
        <w:rPr>
          <w:rFonts w:eastAsia="Times New Roman" w:cs="Times New Roman"/>
          <w:lang w:eastAsia="de-DE"/>
        </w:rPr>
        <w:t>bezeichnet hier die heiligen Geräte selbst, nicht das Gebäude.</w:t>
      </w:r>
    </w:p>
    <w:p w14:paraId="441919CE"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logistische Erklärung </w:t>
      </w:r>
      <w:r w:rsidRPr="00EE70D7">
        <w:rPr>
          <w:rFonts w:eastAsia="Times New Roman" w:cs="Times New Roman"/>
          <w:b/>
          <w:bCs/>
          <w:rtl/>
          <w:lang w:eastAsia="de-DE"/>
        </w:rPr>
        <w:t>וְהֵקִ֥ימוּ אֶת־הַמִּשְׁכָּ֖ן עַד־בֹּאָֽם</w:t>
      </w:r>
      <w:r w:rsidRPr="00EE70D7">
        <w:rPr>
          <w:rFonts w:eastAsia="Times New Roman" w:cs="Times New Roman"/>
          <w:rtl/>
          <w:lang w:eastAsia="de-DE"/>
        </w:rPr>
        <w:t xml:space="preserve"> </w:t>
      </w:r>
      <w:r w:rsidRPr="00EE70D7">
        <w:rPr>
          <w:rFonts w:eastAsia="Times New Roman" w:cs="Times New Roman"/>
          <w:lang w:eastAsia="de-DE"/>
        </w:rPr>
        <w:t xml:space="preserve">mit </w:t>
      </w:r>
      <w:r w:rsidRPr="00EE70D7">
        <w:rPr>
          <w:rFonts w:eastAsia="Times New Roman" w:cs="Times New Roman"/>
          <w:b/>
          <w:bCs/>
          <w:rtl/>
          <w:lang w:eastAsia="de-DE"/>
        </w:rPr>
        <w:t>הֵקִ֥ימוּ</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קום</w:t>
      </w:r>
      <w:r w:rsidRPr="00EE70D7">
        <w:rPr>
          <w:rFonts w:eastAsia="Times New Roman" w:cs="Times New Roman"/>
          <w:rtl/>
          <w:lang w:eastAsia="de-DE"/>
        </w:rPr>
        <w:t xml:space="preserve"> </w:t>
      </w:r>
      <w:r w:rsidRPr="00EE70D7">
        <w:rPr>
          <w:rFonts w:eastAsia="Times New Roman" w:cs="Times New Roman"/>
          <w:lang w:eastAsia="de-DE"/>
        </w:rPr>
        <w:t xml:space="preserve">(aufrichten) im Hiph'il-Perfekt 3. maskulin Plural und </w:t>
      </w:r>
      <w:r w:rsidRPr="00EE70D7">
        <w:rPr>
          <w:rFonts w:eastAsia="Times New Roman" w:cs="Times New Roman"/>
          <w:b/>
          <w:bCs/>
          <w:rtl/>
          <w:lang w:eastAsia="de-DE"/>
        </w:rPr>
        <w:t>עַד־בֹּאָֽם</w:t>
      </w:r>
      <w:r w:rsidRPr="00EE70D7">
        <w:rPr>
          <w:rFonts w:eastAsia="Times New Roman" w:cs="Times New Roman"/>
          <w:rtl/>
          <w:lang w:eastAsia="de-DE"/>
        </w:rPr>
        <w:t xml:space="preserve"> </w:t>
      </w:r>
      <w:r w:rsidRPr="00EE70D7">
        <w:rPr>
          <w:rFonts w:eastAsia="Times New Roman" w:cs="Times New Roman"/>
          <w:lang w:eastAsia="de-DE"/>
        </w:rPr>
        <w:t>(bis sie kommen) zeigt die zeitliche Koordination: die strukturellen Elemente werden aufgebaut, bevor die heiligen Geräte ankommen.</w:t>
      </w:r>
    </w:p>
    <w:p w14:paraId="11FFBFBE" w14:textId="2EE9D134" w:rsidR="00EE70D7" w:rsidRPr="00EE70D7" w:rsidRDefault="000367D9" w:rsidP="00EE70D7">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0367D9">
        <w:rPr>
          <w:b/>
          <w:bCs/>
          <w:rtl/>
        </w:rPr>
        <w:t>נשאי המקדש</w:t>
      </w:r>
      <w:r>
        <w:t xml:space="preserve"> (nos'ei hammiqdash - "die Träger des Heiligtums") als αἴροντες τὰ ἅγια (die Tragenden der heiligen Dinge). </w:t>
      </w:r>
      <w:r w:rsidRPr="000367D9">
        <w:rPr>
          <w:b/>
          <w:bCs/>
          <w:rtl/>
        </w:rPr>
        <w:t>והקימו את־המשכן עד־באם</w:t>
      </w:r>
      <w:r>
        <w:t xml:space="preserve"> (veheqimu et-hammishkan ad-bo'am - "und sie richteten die Wohnstätte auf, bis jene ankamen") wird als καὶ στήσουσιν τὴν σκηνὴν, ἕως ἂν παραγένωνται (und sie werden das Zelt aufrichten, bis sie ankommen) übersetzt.</w:t>
      </w:r>
    </w:p>
    <w:p w14:paraId="1B6B8F9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zeigt spezielle levitische Bewegung mit funktionaler Charakterisierung und logistischer Koordinationsangabe.</w:t>
      </w:r>
    </w:p>
    <w:p w14:paraId="086FD30C"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dokumentiert die zentrale Position der Kehatiter in der Marschordnung und die praktische Weisheit der Transportsequenz.</w:t>
      </w:r>
    </w:p>
    <w:p w14:paraId="187A272E"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10,22</w:t>
      </w:r>
    </w:p>
    <w:p w14:paraId="213DC2F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וְנָסַ֗ע דֶּ֛גֶל מַחֲנֵ֥ה בְנֵֽי־אֶפְרַ֖יִם לְצִבְאֹתָ֑ם וְעַל־צְבָאֹ֔ו אֱלִישָׁמָ֖ע בֶּן־עַמִּיהֽוּד׃</w:t>
      </w:r>
    </w:p>
    <w:p w14:paraId="596D3A7F"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das Banner des Lagers der Söhne Ephrajims brach auf nach ihren Heerscharen; und über seinem Heer war Elischama, der Sohn Ammihuds.</w:t>
      </w:r>
    </w:p>
    <w:p w14:paraId="4E69FFE4"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lastRenderedPageBreak/>
        <w:pict w14:anchorId="74C79CE5">
          <v:rect id="_x0000_i1365" style="width:0;height:1.5pt" o:hralign="center" o:hrstd="t" o:hr="t" fillcolor="#a0a0a0" stroked="f"/>
        </w:pict>
      </w:r>
    </w:p>
    <w:p w14:paraId="538A9AEE"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Verb </w:t>
      </w:r>
      <w:r w:rsidRPr="00EE70D7">
        <w:rPr>
          <w:rFonts w:eastAsia="Times New Roman" w:cs="Times New Roman"/>
          <w:b/>
          <w:bCs/>
          <w:rtl/>
          <w:lang w:eastAsia="de-DE"/>
        </w:rPr>
        <w:t>וְנָסַ֗ע</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נסע</w:t>
      </w:r>
      <w:r w:rsidRPr="00EE70D7">
        <w:rPr>
          <w:rFonts w:eastAsia="Times New Roman" w:cs="Times New Roman"/>
          <w:rtl/>
          <w:lang w:eastAsia="de-DE"/>
        </w:rPr>
        <w:t xml:space="preserve"> </w:t>
      </w:r>
      <w:r w:rsidRPr="00EE70D7">
        <w:rPr>
          <w:rFonts w:eastAsia="Times New Roman" w:cs="Times New Roman"/>
          <w:lang w:eastAsia="de-DE"/>
        </w:rPr>
        <w:t xml:space="preserve">(aufbrechen) im Qal-Imperfekt 3. maskulin Singular mit Waw consecutivum zeigt die dritte große Marscheinheit. Das Subjekt </w:t>
      </w:r>
      <w:r w:rsidRPr="00EE70D7">
        <w:rPr>
          <w:rFonts w:eastAsia="Times New Roman" w:cs="Times New Roman"/>
          <w:b/>
          <w:bCs/>
          <w:rtl/>
          <w:lang w:eastAsia="de-DE"/>
        </w:rPr>
        <w:t>דֶּ֛גֶל מַחֲנֵ֥ה בְנֵֽי־אֶפְרַ֖יִם</w:t>
      </w:r>
      <w:r w:rsidRPr="00EE70D7">
        <w:rPr>
          <w:rFonts w:eastAsia="Times New Roman" w:cs="Times New Roman"/>
          <w:rtl/>
          <w:lang w:eastAsia="de-DE"/>
        </w:rPr>
        <w:t xml:space="preserve"> </w:t>
      </w:r>
      <w:r w:rsidRPr="00EE70D7">
        <w:rPr>
          <w:rFonts w:eastAsia="Times New Roman" w:cs="Times New Roman"/>
          <w:lang w:eastAsia="de-DE"/>
        </w:rPr>
        <w:t>(Banner des Lagers der Söhne Ephraims) bezeichnet die westliche Lagergruppe.</w:t>
      </w:r>
    </w:p>
    <w:p w14:paraId="076672C8"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militärische Spezifikation </w:t>
      </w:r>
      <w:r w:rsidRPr="00EE70D7">
        <w:rPr>
          <w:rFonts w:eastAsia="Times New Roman" w:cs="Times New Roman"/>
          <w:b/>
          <w:bCs/>
          <w:rtl/>
          <w:lang w:eastAsia="de-DE"/>
        </w:rPr>
        <w:t>לְצִבְאֹתָ֑ם</w:t>
      </w:r>
      <w:r w:rsidRPr="00EE70D7">
        <w:rPr>
          <w:rFonts w:eastAsia="Times New Roman" w:cs="Times New Roman"/>
          <w:rtl/>
          <w:lang w:eastAsia="de-DE"/>
        </w:rPr>
        <w:t xml:space="preserve"> </w:t>
      </w:r>
      <w:r w:rsidRPr="00EE70D7">
        <w:rPr>
          <w:rFonts w:eastAsia="Times New Roman" w:cs="Times New Roman"/>
          <w:lang w:eastAsia="de-DE"/>
        </w:rPr>
        <w:t xml:space="preserve">(nach ihren Heerscharen) wiederholt die organisierte Struktur. Die Führungsangabe </w:t>
      </w:r>
      <w:r w:rsidRPr="00EE70D7">
        <w:rPr>
          <w:rFonts w:eastAsia="Times New Roman" w:cs="Times New Roman"/>
          <w:b/>
          <w:bCs/>
          <w:rtl/>
          <w:lang w:eastAsia="de-DE"/>
        </w:rPr>
        <w:t>וְעַל־צְבָאֹ֔ו אֱלִישָׁמָ֖ע בֶּן־עַמִּיהֽוּד</w:t>
      </w:r>
      <w:r w:rsidRPr="00EE70D7">
        <w:rPr>
          <w:rFonts w:eastAsia="Times New Roman" w:cs="Times New Roman"/>
          <w:rtl/>
          <w:lang w:eastAsia="de-DE"/>
        </w:rPr>
        <w:t xml:space="preserve"> </w:t>
      </w:r>
      <w:r w:rsidRPr="00EE70D7">
        <w:rPr>
          <w:rFonts w:eastAsia="Times New Roman" w:cs="Times New Roman"/>
          <w:lang w:eastAsia="de-DE"/>
        </w:rPr>
        <w:t xml:space="preserve">mit </w:t>
      </w:r>
      <w:r w:rsidRPr="00EE70D7">
        <w:rPr>
          <w:rFonts w:eastAsia="Times New Roman" w:cs="Times New Roman"/>
          <w:b/>
          <w:bCs/>
          <w:rtl/>
          <w:lang w:eastAsia="de-DE"/>
        </w:rPr>
        <w:t>אֱלִישָׁמָ֖ע בֶּן־עַמִּיהֽוּד</w:t>
      </w:r>
      <w:r w:rsidRPr="00EE70D7">
        <w:rPr>
          <w:rFonts w:eastAsia="Times New Roman" w:cs="Times New Roman"/>
          <w:rtl/>
          <w:lang w:eastAsia="de-DE"/>
        </w:rPr>
        <w:t xml:space="preserve"> </w:t>
      </w:r>
      <w:r w:rsidRPr="00EE70D7">
        <w:rPr>
          <w:rFonts w:eastAsia="Times New Roman" w:cs="Times New Roman"/>
          <w:lang w:eastAsia="de-DE"/>
        </w:rPr>
        <w:t>(Elischama, Sohn Ammihuds) entspricht Numeri 1,10 und 2,18.</w:t>
      </w:r>
    </w:p>
    <w:p w14:paraId="004E1FBA"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w:t>
      </w:r>
      <w:r w:rsidRPr="00EE70D7">
        <w:rPr>
          <w:rFonts w:eastAsia="Times New Roman" w:cs="Times New Roman"/>
          <w:b/>
          <w:bCs/>
          <w:rtl/>
          <w:lang w:eastAsia="de-DE"/>
        </w:rPr>
        <w:t>דֶּ֛גֶל</w:t>
      </w:r>
      <w:r w:rsidRPr="00EE70D7">
        <w:rPr>
          <w:rFonts w:eastAsia="Times New Roman" w:cs="Times New Roman"/>
          <w:rtl/>
          <w:lang w:eastAsia="de-DE"/>
        </w:rPr>
        <w:t xml:space="preserve"> </w:t>
      </w:r>
      <w:r w:rsidRPr="00EE70D7">
        <w:rPr>
          <w:rFonts w:eastAsia="Times New Roman" w:cs="Times New Roman"/>
          <w:lang w:eastAsia="de-DE"/>
        </w:rPr>
        <w:t xml:space="preserve">mit τάγμα (Abteilung), </w:t>
      </w:r>
      <w:r w:rsidRPr="00EE70D7">
        <w:rPr>
          <w:rFonts w:eastAsia="Times New Roman" w:cs="Times New Roman"/>
          <w:b/>
          <w:bCs/>
          <w:rtl/>
          <w:lang w:eastAsia="de-DE"/>
        </w:rPr>
        <w:t>מַחֲנֵ֥ה</w:t>
      </w:r>
      <w:r w:rsidRPr="00EE70D7">
        <w:rPr>
          <w:rFonts w:eastAsia="Times New Roman" w:cs="Times New Roman"/>
          <w:rtl/>
          <w:lang w:eastAsia="de-DE"/>
        </w:rPr>
        <w:t xml:space="preserve"> </w:t>
      </w:r>
      <w:r w:rsidRPr="00EE70D7">
        <w:rPr>
          <w:rFonts w:eastAsia="Times New Roman" w:cs="Times New Roman"/>
          <w:lang w:eastAsia="de-DE"/>
        </w:rPr>
        <w:t xml:space="preserve">mit παρεμβολῆς (Lager) und </w:t>
      </w:r>
      <w:r w:rsidRPr="00EE70D7">
        <w:rPr>
          <w:rFonts w:eastAsia="Times New Roman" w:cs="Times New Roman"/>
          <w:b/>
          <w:bCs/>
          <w:rtl/>
          <w:lang w:eastAsia="de-DE"/>
        </w:rPr>
        <w:t>צִבְאֹתָ֑ם</w:t>
      </w:r>
      <w:r w:rsidRPr="00EE70D7">
        <w:rPr>
          <w:rFonts w:eastAsia="Times New Roman" w:cs="Times New Roman"/>
          <w:rtl/>
          <w:lang w:eastAsia="de-DE"/>
        </w:rPr>
        <w:t xml:space="preserve"> </w:t>
      </w:r>
      <w:r w:rsidRPr="00EE70D7">
        <w:rPr>
          <w:rFonts w:eastAsia="Times New Roman" w:cs="Times New Roman"/>
          <w:lang w:eastAsia="de-DE"/>
        </w:rPr>
        <w:t>mit δυνάμεις αὐτῶν (ihre Streitkräfte).</w:t>
      </w:r>
    </w:p>
    <w:p w14:paraId="5023D778"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zeigt die dritte Marscheinheit mit Banner-Identifikation und Führungsangabe entsprechend dem etablierten Muster.</w:t>
      </w:r>
    </w:p>
    <w:p w14:paraId="0A0DF99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beginnt die Dokumentation der westlichen Stammesgruppe (Ephraim, Manasse, Benjamin) als dritte Marscheinheit.</w:t>
      </w:r>
    </w:p>
    <w:p w14:paraId="552C629B"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10,23</w:t>
      </w:r>
    </w:p>
    <w:p w14:paraId="22CFA4DC"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וְעַ֨ל־צְבָ֔א מַטֵּ֖ה בְּנֵ֣י מְנַשֶּׁ֑ה גַּמְלִיאֵ֖ל בֶּן־פְּדָה־צֽוּר׃</w:t>
      </w:r>
    </w:p>
    <w:p w14:paraId="12F4498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über dem Heer des Stammes der Söhne Menasches war Gamli'el, der Sohn Pedazurs.</w:t>
      </w:r>
    </w:p>
    <w:p w14:paraId="40B50C45"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28DB02B7">
          <v:rect id="_x0000_i1366" style="width:0;height:1.5pt" o:hralign="center" o:hrstd="t" o:hr="t" fillcolor="#a0a0a0" stroked="f"/>
        </w:pict>
      </w:r>
    </w:p>
    <w:p w14:paraId="7CA47932"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Die Führungsangabe </w:t>
      </w:r>
      <w:r w:rsidRPr="00EE70D7">
        <w:rPr>
          <w:rFonts w:eastAsia="Times New Roman" w:cs="Times New Roman"/>
          <w:b/>
          <w:bCs/>
          <w:rtl/>
          <w:lang w:eastAsia="de-DE"/>
        </w:rPr>
        <w:t>וְעַ֨ל־צְבָ֔א מַטֵּ֖ה בְּנֵ֣י מְנַשֶּׁ֑ה</w:t>
      </w:r>
      <w:r w:rsidRPr="00EE70D7">
        <w:rPr>
          <w:rFonts w:eastAsia="Times New Roman" w:cs="Times New Roman"/>
          <w:rtl/>
          <w:lang w:eastAsia="de-DE"/>
        </w:rPr>
        <w:t xml:space="preserve"> </w:t>
      </w:r>
      <w:r w:rsidRPr="00EE70D7">
        <w:rPr>
          <w:rFonts w:eastAsia="Times New Roman" w:cs="Times New Roman"/>
          <w:lang w:eastAsia="de-DE"/>
        </w:rPr>
        <w:t xml:space="preserve">folgt der etablierten Formel für zweite Stämme in Bannergruppen. </w:t>
      </w:r>
      <w:r w:rsidRPr="00EE70D7">
        <w:rPr>
          <w:rFonts w:eastAsia="Times New Roman" w:cs="Times New Roman"/>
          <w:b/>
          <w:bCs/>
          <w:rtl/>
          <w:lang w:eastAsia="de-DE"/>
        </w:rPr>
        <w:t>עַל־צְבָ֔א</w:t>
      </w:r>
      <w:r w:rsidRPr="00EE70D7">
        <w:rPr>
          <w:rFonts w:eastAsia="Times New Roman" w:cs="Times New Roman"/>
          <w:rtl/>
          <w:lang w:eastAsia="de-DE"/>
        </w:rPr>
        <w:t xml:space="preserve"> </w:t>
      </w:r>
      <w:r w:rsidRPr="00EE70D7">
        <w:rPr>
          <w:rFonts w:eastAsia="Times New Roman" w:cs="Times New Roman"/>
          <w:lang w:eastAsia="de-DE"/>
        </w:rPr>
        <w:t xml:space="preserve">(über dem Heer) zeigt militärische Autorität, </w:t>
      </w:r>
      <w:r w:rsidRPr="00EE70D7">
        <w:rPr>
          <w:rFonts w:eastAsia="Times New Roman" w:cs="Times New Roman"/>
          <w:b/>
          <w:bCs/>
          <w:rtl/>
          <w:lang w:eastAsia="de-DE"/>
        </w:rPr>
        <w:t>מַטֵּ֖ה בְּנֵ֣י מְנַשֶּׁ֑ה</w:t>
      </w:r>
      <w:r w:rsidRPr="00EE70D7">
        <w:rPr>
          <w:rFonts w:eastAsia="Times New Roman" w:cs="Times New Roman"/>
          <w:rtl/>
          <w:lang w:eastAsia="de-DE"/>
        </w:rPr>
        <w:t xml:space="preserve"> </w:t>
      </w:r>
      <w:r w:rsidRPr="00EE70D7">
        <w:rPr>
          <w:rFonts w:eastAsia="Times New Roman" w:cs="Times New Roman"/>
          <w:lang w:eastAsia="de-DE"/>
        </w:rPr>
        <w:t>(Stamm der Söhne Manasses) den zweiten Stamm der westlichen Gruppe.</w:t>
      </w:r>
    </w:p>
    <w:p w14:paraId="4CCA73F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rtl/>
          <w:lang w:eastAsia="de-DE"/>
        </w:rPr>
        <w:t>גַּמְלִיאֵ֖ל בֶּן־פְּדָה־צֽוּר</w:t>
      </w:r>
      <w:r w:rsidRPr="00EE70D7">
        <w:rPr>
          <w:rFonts w:eastAsia="Times New Roman" w:cs="Times New Roman"/>
          <w:rtl/>
          <w:lang w:eastAsia="de-DE"/>
        </w:rPr>
        <w:t xml:space="preserve"> </w:t>
      </w:r>
      <w:r w:rsidRPr="00EE70D7">
        <w:rPr>
          <w:rFonts w:eastAsia="Times New Roman" w:cs="Times New Roman"/>
          <w:lang w:eastAsia="de-DE"/>
        </w:rPr>
        <w:t xml:space="preserve">(Gamliel, Sohn Pedazurs) entspricht Numeri 1,10 und 2,20. </w:t>
      </w:r>
      <w:r w:rsidRPr="00EE70D7">
        <w:rPr>
          <w:rFonts w:eastAsia="Times New Roman" w:cs="Times New Roman"/>
          <w:b/>
          <w:bCs/>
          <w:rtl/>
          <w:lang w:eastAsia="de-DE"/>
        </w:rPr>
        <w:t>גַּמְלִיאֵ֖ל</w:t>
      </w:r>
      <w:r w:rsidRPr="00EE70D7">
        <w:rPr>
          <w:rFonts w:eastAsia="Times New Roman" w:cs="Times New Roman"/>
          <w:rtl/>
          <w:lang w:eastAsia="de-DE"/>
        </w:rPr>
        <w:t xml:space="preserve"> </w:t>
      </w:r>
      <w:r w:rsidRPr="00EE70D7">
        <w:rPr>
          <w:rFonts w:eastAsia="Times New Roman" w:cs="Times New Roman"/>
          <w:lang w:eastAsia="de-DE"/>
        </w:rPr>
        <w:t xml:space="preserve">bedeutet "Gott ist mein Lohn" und </w:t>
      </w:r>
      <w:r w:rsidRPr="00EE70D7">
        <w:rPr>
          <w:rFonts w:eastAsia="Times New Roman" w:cs="Times New Roman"/>
          <w:b/>
          <w:bCs/>
          <w:rtl/>
          <w:lang w:eastAsia="de-DE"/>
        </w:rPr>
        <w:t>פְּדָה־צֽוּר</w:t>
      </w:r>
      <w:r w:rsidRPr="00EE70D7">
        <w:rPr>
          <w:rFonts w:eastAsia="Times New Roman" w:cs="Times New Roman"/>
          <w:rtl/>
          <w:lang w:eastAsia="de-DE"/>
        </w:rPr>
        <w:t xml:space="preserve"> </w:t>
      </w:r>
      <w:r w:rsidRPr="00EE70D7">
        <w:rPr>
          <w:rFonts w:eastAsia="Times New Roman" w:cs="Times New Roman"/>
          <w:lang w:eastAsia="de-DE"/>
        </w:rPr>
        <w:t>"der Fels hat erlöst".</w:t>
      </w:r>
    </w:p>
    <w:p w14:paraId="0DCFADDD"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καὶ ἐπὶ τῆς δυνάμεως φυλῆς υἱῶν Μανασση Γαμαλιηλ υἱὸς Φαδασσουρ.</w:t>
      </w:r>
    </w:p>
    <w:p w14:paraId="734DB6AC"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wiederholt die Standardformel für Stammesführungsangaben.</w:t>
      </w:r>
    </w:p>
    <w:p w14:paraId="0765D7F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dokumentiert Manasses Position als zweiter Stamm in der westlichen Marschgruppe unter Ephraims Führung.</w:t>
      </w:r>
    </w:p>
    <w:p w14:paraId="691A5BAB"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10,24</w:t>
      </w:r>
    </w:p>
    <w:p w14:paraId="333B9985"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וְעַ֨ל־צְבָ֔א מַטֵּ֖ה בְּנֵ֣י בִנְיָמִ֑ן אֲבִידָ֖ן בֶּן־גִּדְעוֹנִֽי׃</w:t>
      </w:r>
    </w:p>
    <w:p w14:paraId="107D5A76"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über dem Heer des Stammes der Söhne Binjamins war Avidan, der Sohn Gid'onis.</w:t>
      </w:r>
    </w:p>
    <w:p w14:paraId="34041DDC"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lastRenderedPageBreak/>
        <w:pict w14:anchorId="7503F454">
          <v:rect id="_x0000_i1367" style="width:0;height:1.5pt" o:hralign="center" o:hrstd="t" o:hr="t" fillcolor="#a0a0a0" stroked="f"/>
        </w:pict>
      </w:r>
    </w:p>
    <w:p w14:paraId="1CFA5538"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Diese Führungsangabe komplettiert die westliche Marschgruppe mit </w:t>
      </w:r>
      <w:r w:rsidRPr="00EE70D7">
        <w:rPr>
          <w:rFonts w:eastAsia="Times New Roman" w:cs="Times New Roman"/>
          <w:b/>
          <w:bCs/>
          <w:rtl/>
          <w:lang w:eastAsia="de-DE"/>
        </w:rPr>
        <w:t>אֲבִידָ֖ן בֶּן־גִּדְעוֹנִֽי</w:t>
      </w:r>
      <w:r w:rsidRPr="00EE70D7">
        <w:rPr>
          <w:rFonts w:eastAsia="Times New Roman" w:cs="Times New Roman"/>
          <w:rtl/>
          <w:lang w:eastAsia="de-DE"/>
        </w:rPr>
        <w:t xml:space="preserve"> </w:t>
      </w:r>
      <w:r w:rsidRPr="00EE70D7">
        <w:rPr>
          <w:rFonts w:eastAsia="Times New Roman" w:cs="Times New Roman"/>
          <w:lang w:eastAsia="de-DE"/>
        </w:rPr>
        <w:t xml:space="preserve">(Abidan, Sohn Gidonis) als Befehlshaber von Benjamin. Die Struktur </w:t>
      </w:r>
      <w:r w:rsidRPr="00EE70D7">
        <w:rPr>
          <w:rFonts w:eastAsia="Times New Roman" w:cs="Times New Roman"/>
          <w:b/>
          <w:bCs/>
          <w:rtl/>
          <w:lang w:eastAsia="de-DE"/>
        </w:rPr>
        <w:t>וְעַ֨ל־צְבָ֔א מַטֵּ֖ה בְּנֵ֣י בִנְיָמִ֑ן</w:t>
      </w:r>
      <w:r w:rsidRPr="00EE70D7">
        <w:rPr>
          <w:rFonts w:eastAsia="Times New Roman" w:cs="Times New Roman"/>
          <w:rtl/>
          <w:lang w:eastAsia="de-DE"/>
        </w:rPr>
        <w:t xml:space="preserve"> </w:t>
      </w:r>
      <w:r w:rsidRPr="00EE70D7">
        <w:rPr>
          <w:rFonts w:eastAsia="Times New Roman" w:cs="Times New Roman"/>
          <w:lang w:eastAsia="de-DE"/>
        </w:rPr>
        <w:t>folgt der etablierten Formel.</w:t>
      </w:r>
    </w:p>
    <w:p w14:paraId="4AA40615"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rtl/>
          <w:lang w:eastAsia="de-DE"/>
        </w:rPr>
        <w:t>אֲבִידָ֖ן</w:t>
      </w:r>
      <w:r w:rsidRPr="00EE70D7">
        <w:rPr>
          <w:rFonts w:eastAsia="Times New Roman" w:cs="Times New Roman"/>
          <w:rtl/>
          <w:lang w:eastAsia="de-DE"/>
        </w:rPr>
        <w:t xml:space="preserve"> </w:t>
      </w:r>
      <w:r w:rsidRPr="00EE70D7">
        <w:rPr>
          <w:rFonts w:eastAsia="Times New Roman" w:cs="Times New Roman"/>
          <w:lang w:eastAsia="de-DE"/>
        </w:rPr>
        <w:t xml:space="preserve">bedeutet "mein Vater ist Richter" und </w:t>
      </w:r>
      <w:r w:rsidRPr="00EE70D7">
        <w:rPr>
          <w:rFonts w:eastAsia="Times New Roman" w:cs="Times New Roman"/>
          <w:b/>
          <w:bCs/>
          <w:rtl/>
          <w:lang w:eastAsia="de-DE"/>
        </w:rPr>
        <w:t>גִּדְעוֹנִֽי</w:t>
      </w:r>
      <w:r w:rsidRPr="00EE70D7">
        <w:rPr>
          <w:rFonts w:eastAsia="Times New Roman" w:cs="Times New Roman"/>
          <w:rtl/>
          <w:lang w:eastAsia="de-DE"/>
        </w:rPr>
        <w:t xml:space="preserve"> </w:t>
      </w:r>
      <w:r w:rsidRPr="00EE70D7">
        <w:rPr>
          <w:rFonts w:eastAsia="Times New Roman" w:cs="Times New Roman"/>
          <w:lang w:eastAsia="de-DE"/>
        </w:rPr>
        <w:t>"mein Hauen/Fällen", entsprechend Numeri 1,11 und 2,22. Benjamin als dritter Stamm vervollständigt die westliche Gruppe.</w:t>
      </w:r>
    </w:p>
    <w:p w14:paraId="118A2B13"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καὶ ἐπὶ τῆς δυνάμεως φυλῆς υἱῶν Βενιαμιν Αβιδαν υἱὸς Γαδεωνι.</w:t>
      </w:r>
    </w:p>
    <w:p w14:paraId="7CA32A6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folgt dem etablierten Muster für Stammesgruppenvervollständigung.</w:t>
      </w:r>
    </w:p>
    <w:p w14:paraId="1A9E9B98"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schließt die westliche Marscheinheit (Ephraim-Manasse-Benjamin) ab und bereitet den Übergang zur letzten Stammesgruppe vor.</w:t>
      </w:r>
    </w:p>
    <w:p w14:paraId="51C3D888"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10,25</w:t>
      </w:r>
    </w:p>
    <w:p w14:paraId="6156A9BA"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וְנָסַ֗ע דֶּ֚גֶל מַחֲנֵ֣ה בְנֵי־דָ֔ן מְאַסֵּ֥ף לְכָל־הַֽמַּחֲנֹ֖ת לְצִבְאֹתָ֑ם וְעַל־צְבָאֹ֔ו אֲחִיעֶ֖זֶר בֶּן־עַמִּישַׁדָּֽי׃</w:t>
      </w:r>
    </w:p>
    <w:p w14:paraId="54BA39FB"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das Banner des Lagers der Söhne Dans, das die Nachhut bildete für alle Lager, brach auf nach ihren Heerscharen; und über seinem Heer war Achi'ezer, der Sohn Ammischaddais.</w:t>
      </w:r>
    </w:p>
    <w:p w14:paraId="074F443A"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33C13027">
          <v:rect id="_x0000_i1368" style="width:0;height:1.5pt" o:hralign="center" o:hrstd="t" o:hr="t" fillcolor="#a0a0a0" stroked="f"/>
        </w:pict>
      </w:r>
    </w:p>
    <w:p w14:paraId="06F92A15"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Verb </w:t>
      </w:r>
      <w:r w:rsidRPr="00EE70D7">
        <w:rPr>
          <w:rFonts w:eastAsia="Times New Roman" w:cs="Times New Roman"/>
          <w:b/>
          <w:bCs/>
          <w:rtl/>
          <w:lang w:eastAsia="de-DE"/>
        </w:rPr>
        <w:t>וְנָסַ֗ע</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נסע</w:t>
      </w:r>
      <w:r w:rsidRPr="00EE70D7">
        <w:rPr>
          <w:rFonts w:eastAsia="Times New Roman" w:cs="Times New Roman"/>
          <w:rtl/>
          <w:lang w:eastAsia="de-DE"/>
        </w:rPr>
        <w:t xml:space="preserve"> </w:t>
      </w:r>
      <w:r w:rsidRPr="00EE70D7">
        <w:rPr>
          <w:rFonts w:eastAsia="Times New Roman" w:cs="Times New Roman"/>
          <w:lang w:eastAsia="de-DE"/>
        </w:rPr>
        <w:t xml:space="preserve">(aufbrechen) leitet die vierte und letzte Marscheinheit ein. Das Subjekt </w:t>
      </w:r>
      <w:r w:rsidRPr="00EE70D7">
        <w:rPr>
          <w:rFonts w:eastAsia="Times New Roman" w:cs="Times New Roman"/>
          <w:b/>
          <w:bCs/>
          <w:rtl/>
          <w:lang w:eastAsia="de-DE"/>
        </w:rPr>
        <w:t>דֶּ֚גֶל מַחֲנֵ֣ה בְנֵי־דָ֔ן</w:t>
      </w:r>
      <w:r w:rsidRPr="00EE70D7">
        <w:rPr>
          <w:rFonts w:eastAsia="Times New Roman" w:cs="Times New Roman"/>
          <w:rtl/>
          <w:lang w:eastAsia="de-DE"/>
        </w:rPr>
        <w:t xml:space="preserve"> </w:t>
      </w:r>
      <w:r w:rsidRPr="00EE70D7">
        <w:rPr>
          <w:rFonts w:eastAsia="Times New Roman" w:cs="Times New Roman"/>
          <w:lang w:eastAsia="de-DE"/>
        </w:rPr>
        <w:t>(Banner des Lagers der Söhne Dans) bezeichnet die nördliche Lagergruppe.</w:t>
      </w:r>
    </w:p>
    <w:p w14:paraId="1FD02645"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besondere Charakterisierung </w:t>
      </w:r>
      <w:r w:rsidRPr="00EE70D7">
        <w:rPr>
          <w:rFonts w:eastAsia="Times New Roman" w:cs="Times New Roman"/>
          <w:b/>
          <w:bCs/>
          <w:rtl/>
          <w:lang w:eastAsia="de-DE"/>
        </w:rPr>
        <w:t>מְאַסֵּ֥ף לְכָל־הַֽמַּחֲנֹ֖ת</w:t>
      </w:r>
      <w:r w:rsidRPr="00EE70D7">
        <w:rPr>
          <w:rFonts w:eastAsia="Times New Roman" w:cs="Times New Roman"/>
          <w:rtl/>
          <w:lang w:eastAsia="de-DE"/>
        </w:rPr>
        <w:t xml:space="preserve"> </w:t>
      </w:r>
      <w:r w:rsidRPr="00EE70D7">
        <w:rPr>
          <w:rFonts w:eastAsia="Times New Roman" w:cs="Times New Roman"/>
          <w:lang w:eastAsia="de-DE"/>
        </w:rPr>
        <w:t xml:space="preserve">(Nachhut für alle Lager) mit </w:t>
      </w:r>
      <w:r w:rsidRPr="00EE70D7">
        <w:rPr>
          <w:rFonts w:eastAsia="Times New Roman" w:cs="Times New Roman"/>
          <w:b/>
          <w:bCs/>
          <w:rtl/>
          <w:lang w:eastAsia="de-DE"/>
        </w:rPr>
        <w:t>מְאַסֵּף</w:t>
      </w:r>
      <w:r w:rsidRPr="00EE70D7">
        <w:rPr>
          <w:rFonts w:eastAsia="Times New Roman" w:cs="Times New Roman"/>
          <w:rtl/>
          <w:lang w:eastAsia="de-DE"/>
        </w:rPr>
        <w:t xml:space="preserve"> </w:t>
      </w:r>
      <w:r w:rsidRPr="00EE70D7">
        <w:rPr>
          <w:rFonts w:eastAsia="Times New Roman" w:cs="Times New Roman"/>
          <w:lang w:eastAsia="de-DE"/>
        </w:rPr>
        <w:t xml:space="preserve">als Pi'el-Partizip von </w:t>
      </w:r>
      <w:r w:rsidRPr="00EE70D7">
        <w:rPr>
          <w:rFonts w:eastAsia="Times New Roman" w:cs="Times New Roman"/>
          <w:b/>
          <w:bCs/>
          <w:rtl/>
          <w:lang w:eastAsia="de-DE"/>
        </w:rPr>
        <w:t>אסף</w:t>
      </w:r>
      <w:r w:rsidRPr="00EE70D7">
        <w:rPr>
          <w:rFonts w:eastAsia="Times New Roman" w:cs="Times New Roman"/>
          <w:rtl/>
          <w:lang w:eastAsia="de-DE"/>
        </w:rPr>
        <w:t xml:space="preserve"> </w:t>
      </w:r>
      <w:r w:rsidRPr="00EE70D7">
        <w:rPr>
          <w:rFonts w:eastAsia="Times New Roman" w:cs="Times New Roman"/>
          <w:lang w:eastAsia="de-DE"/>
        </w:rPr>
        <w:t>(sammeln/nachsammeln) zeigt Dans einzigartige Funktion als Nachhut der gesamten Wandergemeinschaft.</w:t>
      </w:r>
    </w:p>
    <w:p w14:paraId="0F58F93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militärische Spezifikation </w:t>
      </w:r>
      <w:r w:rsidRPr="00EE70D7">
        <w:rPr>
          <w:rFonts w:eastAsia="Times New Roman" w:cs="Times New Roman"/>
          <w:b/>
          <w:bCs/>
          <w:rtl/>
          <w:lang w:eastAsia="de-DE"/>
        </w:rPr>
        <w:t>לְצִבְאֹתָ֑ם</w:t>
      </w:r>
      <w:r w:rsidRPr="00EE70D7">
        <w:rPr>
          <w:rFonts w:eastAsia="Times New Roman" w:cs="Times New Roman"/>
          <w:rtl/>
          <w:lang w:eastAsia="de-DE"/>
        </w:rPr>
        <w:t xml:space="preserve"> </w:t>
      </w:r>
      <w:r w:rsidRPr="00EE70D7">
        <w:rPr>
          <w:rFonts w:eastAsia="Times New Roman" w:cs="Times New Roman"/>
          <w:lang w:eastAsia="de-DE"/>
        </w:rPr>
        <w:t xml:space="preserve">und Führungsangabe </w:t>
      </w:r>
      <w:r w:rsidRPr="00EE70D7">
        <w:rPr>
          <w:rFonts w:eastAsia="Times New Roman" w:cs="Times New Roman"/>
          <w:b/>
          <w:bCs/>
          <w:rtl/>
          <w:lang w:eastAsia="de-DE"/>
        </w:rPr>
        <w:t>וְעַל־צְבָאֹ֔ו אֲחִיעֶ֖זֶר בֶּן־עַמִּישַׁדָּֽי</w:t>
      </w:r>
      <w:r w:rsidRPr="00EE70D7">
        <w:rPr>
          <w:rFonts w:eastAsia="Times New Roman" w:cs="Times New Roman"/>
          <w:rtl/>
          <w:lang w:eastAsia="de-DE"/>
        </w:rPr>
        <w:t xml:space="preserve"> </w:t>
      </w:r>
      <w:r w:rsidRPr="00EE70D7">
        <w:rPr>
          <w:rFonts w:eastAsia="Times New Roman" w:cs="Times New Roman"/>
          <w:lang w:eastAsia="de-DE"/>
        </w:rPr>
        <w:t>entsprechen Numeri 1,12 und 2,25.</w:t>
      </w:r>
    </w:p>
    <w:p w14:paraId="67078991" w14:textId="77777777" w:rsidR="000367D9" w:rsidRDefault="000367D9" w:rsidP="00EE70D7">
      <w:pPr>
        <w:spacing w:before="100" w:beforeAutospacing="1" w:after="100" w:afterAutospacing="1" w:line="240" w:lineRule="auto"/>
        <w:rPr>
          <w:rFonts w:eastAsia="Times New Roman" w:cs="Times New Roman"/>
          <w:lang w:eastAsia="de-DE"/>
        </w:rPr>
      </w:pPr>
      <w:r>
        <w:rPr>
          <w:rStyle w:val="Fett"/>
        </w:rPr>
        <w:t>Die LXX</w:t>
      </w:r>
      <w:r>
        <w:t xml:space="preserve"> übersetzt </w:t>
      </w:r>
      <w:r>
        <w:rPr>
          <w:rtl/>
        </w:rPr>
        <w:t>מאסף לכל־המחנת</w:t>
      </w:r>
      <w:r>
        <w:t xml:space="preserve"> (me'assef lechol-hammachanot - "Nachhut für alle Lager") als ἔσχατοι πασῶν τῶν παρεμβολῶν (die Letzten von allen Lagern).</w:t>
      </w:r>
      <w:r w:rsidRPr="00EE70D7">
        <w:rPr>
          <w:rFonts w:eastAsia="Times New Roman" w:cs="Times New Roman"/>
          <w:lang w:eastAsia="de-DE"/>
        </w:rPr>
        <w:t xml:space="preserve"> </w:t>
      </w:r>
    </w:p>
    <w:p w14:paraId="11168958" w14:textId="7B938FFB"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zeigt die letzte Marscheinheit mit spezieller Funktionsangabe als Nachhut.</w:t>
      </w:r>
    </w:p>
    <w:p w14:paraId="289FA6B9"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dokumentiert Dans besondere Verantwortung als Nachhut und Sammler aller zurückgebliebenen oder verlorenen Elemente der Wandergemeinschaft.</w:t>
      </w:r>
    </w:p>
    <w:p w14:paraId="0FCBD210"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10,26</w:t>
      </w:r>
    </w:p>
    <w:p w14:paraId="194674E6"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וְעַל־צְבָ֔א מַטֵּ֖ה בְּנֵ֣י אָשֵׁ֑ר פַּגְעִיאֵ֖ל בֶּן־עָכְרָֽן׃</w:t>
      </w:r>
    </w:p>
    <w:p w14:paraId="3EFF612A"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lastRenderedPageBreak/>
        <w:t>Deutsch:</w:t>
      </w:r>
      <w:r w:rsidRPr="00EE70D7">
        <w:rPr>
          <w:rFonts w:eastAsia="Times New Roman" w:cs="Times New Roman"/>
          <w:lang w:eastAsia="de-DE"/>
        </w:rPr>
        <w:t xml:space="preserve"> Und über dem Heer des Stammes der Söhne Aschers war Pag'i'el, der Sohn Ochrans.</w:t>
      </w:r>
    </w:p>
    <w:p w14:paraId="663F5847"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156128E7">
          <v:rect id="_x0000_i1369" style="width:0;height:1.5pt" o:hralign="center" o:hrstd="t" o:hr="t" fillcolor="#a0a0a0" stroked="f"/>
        </w:pict>
      </w:r>
    </w:p>
    <w:p w14:paraId="272A9BB3"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Die Führungsangabe </w:t>
      </w:r>
      <w:r w:rsidRPr="00EE70D7">
        <w:rPr>
          <w:rFonts w:eastAsia="Times New Roman" w:cs="Times New Roman"/>
          <w:b/>
          <w:bCs/>
          <w:rtl/>
          <w:lang w:eastAsia="de-DE"/>
        </w:rPr>
        <w:t>וְעַל־צְבָ֔א מַטֵּ֖ה בְּנֵ֣י אָשֵׁ֑ר</w:t>
      </w:r>
      <w:r w:rsidRPr="00EE70D7">
        <w:rPr>
          <w:rFonts w:eastAsia="Times New Roman" w:cs="Times New Roman"/>
          <w:rtl/>
          <w:lang w:eastAsia="de-DE"/>
        </w:rPr>
        <w:t xml:space="preserve"> </w:t>
      </w:r>
      <w:r w:rsidRPr="00EE70D7">
        <w:rPr>
          <w:rFonts w:eastAsia="Times New Roman" w:cs="Times New Roman"/>
          <w:lang w:eastAsia="de-DE"/>
        </w:rPr>
        <w:t xml:space="preserve">folgt der etablierten Formel. </w:t>
      </w:r>
      <w:r w:rsidRPr="00EE70D7">
        <w:rPr>
          <w:rFonts w:eastAsia="Times New Roman" w:cs="Times New Roman"/>
          <w:b/>
          <w:bCs/>
          <w:rtl/>
          <w:lang w:eastAsia="de-DE"/>
        </w:rPr>
        <w:t>פַּגְעִיאֵ֖ל בֶּן־עָכְרָֽן</w:t>
      </w:r>
      <w:r w:rsidRPr="00EE70D7">
        <w:rPr>
          <w:rFonts w:eastAsia="Times New Roman" w:cs="Times New Roman"/>
          <w:rtl/>
          <w:lang w:eastAsia="de-DE"/>
        </w:rPr>
        <w:t xml:space="preserve"> </w:t>
      </w:r>
      <w:r w:rsidRPr="00EE70D7">
        <w:rPr>
          <w:rFonts w:eastAsia="Times New Roman" w:cs="Times New Roman"/>
          <w:lang w:eastAsia="de-DE"/>
        </w:rPr>
        <w:t xml:space="preserve">(Pagiel, Sohn Ochrans) entspricht Numeri 1,13 und 2,27. </w:t>
      </w:r>
      <w:r w:rsidRPr="00EE70D7">
        <w:rPr>
          <w:rFonts w:eastAsia="Times New Roman" w:cs="Times New Roman"/>
          <w:b/>
          <w:bCs/>
          <w:rtl/>
          <w:lang w:eastAsia="de-DE"/>
        </w:rPr>
        <w:t>פַּגְעִיאֵ֖ל</w:t>
      </w:r>
      <w:r w:rsidRPr="00EE70D7">
        <w:rPr>
          <w:rFonts w:eastAsia="Times New Roman" w:cs="Times New Roman"/>
          <w:rtl/>
          <w:lang w:eastAsia="de-DE"/>
        </w:rPr>
        <w:t xml:space="preserve"> </w:t>
      </w:r>
      <w:r w:rsidRPr="00EE70D7">
        <w:rPr>
          <w:rFonts w:eastAsia="Times New Roman" w:cs="Times New Roman"/>
          <w:lang w:eastAsia="de-DE"/>
        </w:rPr>
        <w:t xml:space="preserve">bedeutet "Gottesbegegnung" und </w:t>
      </w:r>
      <w:r w:rsidRPr="00EE70D7">
        <w:rPr>
          <w:rFonts w:eastAsia="Times New Roman" w:cs="Times New Roman"/>
          <w:b/>
          <w:bCs/>
          <w:rtl/>
          <w:lang w:eastAsia="de-DE"/>
        </w:rPr>
        <w:t>עָכְרָֽן</w:t>
      </w:r>
      <w:r w:rsidRPr="00EE70D7">
        <w:rPr>
          <w:rFonts w:eastAsia="Times New Roman" w:cs="Times New Roman"/>
          <w:rtl/>
          <w:lang w:eastAsia="de-DE"/>
        </w:rPr>
        <w:t xml:space="preserve"> </w:t>
      </w:r>
      <w:r w:rsidRPr="00EE70D7">
        <w:rPr>
          <w:rFonts w:eastAsia="Times New Roman" w:cs="Times New Roman"/>
          <w:lang w:eastAsia="de-DE"/>
        </w:rPr>
        <w:t>"Störer".</w:t>
      </w:r>
    </w:p>
    <w:p w14:paraId="28A3D7D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καὶ ἐπὶ τῆς δυνάμεως φυλῆς υἱῶν Ασηρ Φαγαιηλ υἱὸς Εχραν.</w:t>
      </w:r>
    </w:p>
    <w:p w14:paraId="309BA38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wiederholt die Standardformel für zweite Stämme in Bannergruppen.</w:t>
      </w:r>
    </w:p>
    <w:p w14:paraId="5DDD3EC5"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dokumentiert Aschers Position als zweiter Stamm in der nördlichen Nachhutgruppe.</w:t>
      </w:r>
    </w:p>
    <w:p w14:paraId="0BBDE569"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10,27</w:t>
      </w:r>
    </w:p>
    <w:p w14:paraId="0F169875"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וְעַ֨ל־צְבָ֔א מַטֵּ֖ה בְּנֵ֣י נַפְתָּלִ֑י אֲחִירַ֖ע בֶּן־עֵינָֽן׃</w:t>
      </w:r>
    </w:p>
    <w:p w14:paraId="70E3738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über dem Heer des Stammes der Söhne Naphthalis war Achira, der Sohn Enans.</w:t>
      </w:r>
    </w:p>
    <w:p w14:paraId="60D3F6A1"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4B6AEC80">
          <v:rect id="_x0000_i1370" style="width:0;height:1.5pt" o:hralign="center" o:hrstd="t" o:hr="t" fillcolor="#a0a0a0" stroked="f"/>
        </w:pict>
      </w:r>
    </w:p>
    <w:p w14:paraId="3EA9709B"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Diese Führungsangabe komplettiert alle zwölf Stämme mit </w:t>
      </w:r>
      <w:r w:rsidRPr="00EE70D7">
        <w:rPr>
          <w:rFonts w:eastAsia="Times New Roman" w:cs="Times New Roman"/>
          <w:b/>
          <w:bCs/>
          <w:rtl/>
          <w:lang w:eastAsia="de-DE"/>
        </w:rPr>
        <w:t>אֲחִירַ֖ע בֶּן־עֵינָֽן</w:t>
      </w:r>
      <w:r w:rsidRPr="00EE70D7">
        <w:rPr>
          <w:rFonts w:eastAsia="Times New Roman" w:cs="Times New Roman"/>
          <w:rtl/>
          <w:lang w:eastAsia="de-DE"/>
        </w:rPr>
        <w:t xml:space="preserve"> </w:t>
      </w:r>
      <w:r w:rsidRPr="00EE70D7">
        <w:rPr>
          <w:rFonts w:eastAsia="Times New Roman" w:cs="Times New Roman"/>
          <w:lang w:eastAsia="de-DE"/>
        </w:rPr>
        <w:t xml:space="preserve">(Achira, Sohn Enans) als Befehlshaber von Naftali. </w:t>
      </w:r>
      <w:r w:rsidRPr="00EE70D7">
        <w:rPr>
          <w:rFonts w:eastAsia="Times New Roman" w:cs="Times New Roman"/>
          <w:b/>
          <w:bCs/>
          <w:rtl/>
          <w:lang w:eastAsia="de-DE"/>
        </w:rPr>
        <w:t>אֲחִירַ֖ע</w:t>
      </w:r>
      <w:r w:rsidRPr="00EE70D7">
        <w:rPr>
          <w:rFonts w:eastAsia="Times New Roman" w:cs="Times New Roman"/>
          <w:rtl/>
          <w:lang w:eastAsia="de-DE"/>
        </w:rPr>
        <w:t xml:space="preserve"> </w:t>
      </w:r>
      <w:r w:rsidRPr="00EE70D7">
        <w:rPr>
          <w:rFonts w:eastAsia="Times New Roman" w:cs="Times New Roman"/>
          <w:lang w:eastAsia="de-DE"/>
        </w:rPr>
        <w:t xml:space="preserve">bedeutet "mein Bruder ist böse/Freund" und </w:t>
      </w:r>
      <w:r w:rsidRPr="00EE70D7">
        <w:rPr>
          <w:rFonts w:eastAsia="Times New Roman" w:cs="Times New Roman"/>
          <w:b/>
          <w:bCs/>
          <w:rtl/>
          <w:lang w:eastAsia="de-DE"/>
        </w:rPr>
        <w:t>עֵינָֽן</w:t>
      </w:r>
      <w:r w:rsidRPr="00EE70D7">
        <w:rPr>
          <w:rFonts w:eastAsia="Times New Roman" w:cs="Times New Roman"/>
          <w:rtl/>
          <w:lang w:eastAsia="de-DE"/>
        </w:rPr>
        <w:t xml:space="preserve"> </w:t>
      </w:r>
      <w:r w:rsidRPr="00EE70D7">
        <w:rPr>
          <w:rFonts w:eastAsia="Times New Roman" w:cs="Times New Roman"/>
          <w:lang w:eastAsia="de-DE"/>
        </w:rPr>
        <w:t>"Äuglein", entsprechend Numeri 1,15 und 2,29.</w:t>
      </w:r>
    </w:p>
    <w:p w14:paraId="0551B64A"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καὶ ἐπὶ τῆς δυνάμεως φυλῆς υἱῶν Νεφθαλι Αχιρε υἱὸς Αιναν.</w:t>
      </w:r>
    </w:p>
    <w:p w14:paraId="2ACAEF6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folgt der etablierten Formel und komplettiert die Stammesliste.</w:t>
      </w:r>
    </w:p>
    <w:p w14:paraId="464F16F0"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schließt die Dokumentation aller zwölf Stammesführer in der Marschordnung ab.</w:t>
      </w:r>
    </w:p>
    <w:p w14:paraId="632FCAD4"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10,28</w:t>
      </w:r>
    </w:p>
    <w:p w14:paraId="3B851875"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אֵ֛לֶּה מַסְעֵ֥י בְנֵֽי־יִשְׂרָאֵ֖ל לְצִבְאֹתָ֑ם וַיִּסָּֽעוּ׃</w:t>
      </w:r>
    </w:p>
    <w:p w14:paraId="7C081A7D"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Dies waren die Züge der Söhne Jisra'els nach ihren Heerscharen; und so brachen sie auf.</w:t>
      </w:r>
    </w:p>
    <w:p w14:paraId="5DED3361"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5FFFC862">
          <v:rect id="_x0000_i1371" style="width:0;height:1.5pt" o:hralign="center" o:hrstd="t" o:hr="t" fillcolor="#a0a0a0" stroked="f"/>
        </w:pict>
      </w:r>
    </w:p>
    <w:p w14:paraId="6FD907BF"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Demonstrativpronomen </w:t>
      </w:r>
      <w:r w:rsidRPr="00EE70D7">
        <w:rPr>
          <w:rFonts w:eastAsia="Times New Roman" w:cs="Times New Roman"/>
          <w:b/>
          <w:bCs/>
          <w:rtl/>
          <w:lang w:eastAsia="de-DE"/>
        </w:rPr>
        <w:t>אֵ֛לֶּה</w:t>
      </w:r>
      <w:r w:rsidRPr="00EE70D7">
        <w:rPr>
          <w:rFonts w:eastAsia="Times New Roman" w:cs="Times New Roman"/>
          <w:rtl/>
          <w:lang w:eastAsia="de-DE"/>
        </w:rPr>
        <w:t xml:space="preserve"> </w:t>
      </w:r>
      <w:r w:rsidRPr="00EE70D7">
        <w:rPr>
          <w:rFonts w:eastAsia="Times New Roman" w:cs="Times New Roman"/>
          <w:lang w:eastAsia="de-DE"/>
        </w:rPr>
        <w:t xml:space="preserve">(diese) fasst die gesamte vorangegangene Marschordnung zusammen. </w:t>
      </w:r>
      <w:r w:rsidRPr="00EE70D7">
        <w:rPr>
          <w:rFonts w:eastAsia="Times New Roman" w:cs="Times New Roman"/>
          <w:b/>
          <w:bCs/>
          <w:rtl/>
          <w:lang w:eastAsia="de-DE"/>
        </w:rPr>
        <w:t>מַסְעֵ֥י בְנֵֽי־יִשְׂרָאֵ֖ל</w:t>
      </w:r>
      <w:r w:rsidRPr="00EE70D7">
        <w:rPr>
          <w:rFonts w:eastAsia="Times New Roman" w:cs="Times New Roman"/>
          <w:rtl/>
          <w:lang w:eastAsia="de-DE"/>
        </w:rPr>
        <w:t xml:space="preserve"> </w:t>
      </w:r>
      <w:r w:rsidRPr="00EE70D7">
        <w:rPr>
          <w:rFonts w:eastAsia="Times New Roman" w:cs="Times New Roman"/>
          <w:lang w:eastAsia="de-DE"/>
        </w:rPr>
        <w:t xml:space="preserve">(Züge der Söhne Israels) mit </w:t>
      </w:r>
      <w:r w:rsidRPr="00EE70D7">
        <w:rPr>
          <w:rFonts w:eastAsia="Times New Roman" w:cs="Times New Roman"/>
          <w:b/>
          <w:bCs/>
          <w:rtl/>
          <w:lang w:eastAsia="de-DE"/>
        </w:rPr>
        <w:t>מַסְעֵי</w:t>
      </w:r>
      <w:r w:rsidRPr="00EE70D7">
        <w:rPr>
          <w:rFonts w:eastAsia="Times New Roman" w:cs="Times New Roman"/>
          <w:rtl/>
          <w:lang w:eastAsia="de-DE"/>
        </w:rPr>
        <w:t xml:space="preserve"> </w:t>
      </w:r>
      <w:r w:rsidRPr="00EE70D7">
        <w:rPr>
          <w:rFonts w:eastAsia="Times New Roman" w:cs="Times New Roman"/>
          <w:lang w:eastAsia="de-DE"/>
        </w:rPr>
        <w:t xml:space="preserve">Plural von </w:t>
      </w:r>
      <w:r w:rsidRPr="00EE70D7">
        <w:rPr>
          <w:rFonts w:eastAsia="Times New Roman" w:cs="Times New Roman"/>
          <w:b/>
          <w:bCs/>
          <w:rtl/>
          <w:lang w:eastAsia="de-DE"/>
        </w:rPr>
        <w:t>מַסַּע</w:t>
      </w:r>
      <w:r w:rsidRPr="00EE70D7">
        <w:rPr>
          <w:rFonts w:eastAsia="Times New Roman" w:cs="Times New Roman"/>
          <w:rtl/>
          <w:lang w:eastAsia="de-DE"/>
        </w:rPr>
        <w:t xml:space="preserve"> </w:t>
      </w:r>
      <w:r w:rsidRPr="00EE70D7">
        <w:rPr>
          <w:rFonts w:eastAsia="Times New Roman" w:cs="Times New Roman"/>
          <w:lang w:eastAsia="de-DE"/>
        </w:rPr>
        <w:t>(Wanderung) bezeichnet die organisierte Wanderungsstruktur.</w:t>
      </w:r>
    </w:p>
    <w:p w14:paraId="740B1FB9"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lastRenderedPageBreak/>
        <w:t xml:space="preserve">Die Spezifikation </w:t>
      </w:r>
      <w:r w:rsidRPr="00EE70D7">
        <w:rPr>
          <w:rFonts w:eastAsia="Times New Roman" w:cs="Times New Roman"/>
          <w:b/>
          <w:bCs/>
          <w:rtl/>
          <w:lang w:eastAsia="de-DE"/>
        </w:rPr>
        <w:t>לְצִבְאֹתָ֑ם</w:t>
      </w:r>
      <w:r w:rsidRPr="00EE70D7">
        <w:rPr>
          <w:rFonts w:eastAsia="Times New Roman" w:cs="Times New Roman"/>
          <w:rtl/>
          <w:lang w:eastAsia="de-DE"/>
        </w:rPr>
        <w:t xml:space="preserve"> </w:t>
      </w:r>
      <w:r w:rsidRPr="00EE70D7">
        <w:rPr>
          <w:rFonts w:eastAsia="Times New Roman" w:cs="Times New Roman"/>
          <w:lang w:eastAsia="de-DE"/>
        </w:rPr>
        <w:t xml:space="preserve">(nach ihren Heerscharen) betont die militärische Disziplin. Das abschließende </w:t>
      </w:r>
      <w:r w:rsidRPr="00EE70D7">
        <w:rPr>
          <w:rFonts w:eastAsia="Times New Roman" w:cs="Times New Roman"/>
          <w:b/>
          <w:bCs/>
          <w:rtl/>
          <w:lang w:eastAsia="de-DE"/>
        </w:rPr>
        <w:t>וַיִּסָּֽעוּ</w:t>
      </w:r>
      <w:r w:rsidRPr="00EE70D7">
        <w:rPr>
          <w:rFonts w:eastAsia="Times New Roman" w:cs="Times New Roman"/>
          <w:rtl/>
          <w:lang w:eastAsia="de-DE"/>
        </w:rPr>
        <w:t xml:space="preserve"> </w:t>
      </w:r>
      <w:r w:rsidRPr="00EE70D7">
        <w:rPr>
          <w:rFonts w:eastAsia="Times New Roman" w:cs="Times New Roman"/>
          <w:lang w:eastAsia="de-DE"/>
        </w:rPr>
        <w:t xml:space="preserve">(und sie brachen auf) von </w:t>
      </w:r>
      <w:r w:rsidRPr="00EE70D7">
        <w:rPr>
          <w:rFonts w:eastAsia="Times New Roman" w:cs="Times New Roman"/>
          <w:b/>
          <w:bCs/>
          <w:rtl/>
          <w:lang w:eastAsia="de-DE"/>
        </w:rPr>
        <w:t>נסע</w:t>
      </w:r>
      <w:r w:rsidRPr="00EE70D7">
        <w:rPr>
          <w:rFonts w:eastAsia="Times New Roman" w:cs="Times New Roman"/>
          <w:rtl/>
          <w:lang w:eastAsia="de-DE"/>
        </w:rPr>
        <w:t xml:space="preserve"> </w:t>
      </w:r>
      <w:r w:rsidRPr="00EE70D7">
        <w:rPr>
          <w:rFonts w:eastAsia="Times New Roman" w:cs="Times New Roman"/>
          <w:lang w:eastAsia="de-DE"/>
        </w:rPr>
        <w:t>im Qal-Imperfekt 3. maskulin Plural mit Waw consecutivum zeigt die tatsächliche Ausführung.</w:t>
      </w:r>
    </w:p>
    <w:p w14:paraId="69CCE76D"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w:t>
      </w:r>
      <w:r w:rsidRPr="00EE70D7">
        <w:rPr>
          <w:rFonts w:eastAsia="Times New Roman" w:cs="Times New Roman"/>
          <w:b/>
          <w:bCs/>
          <w:rtl/>
          <w:lang w:eastAsia="de-DE"/>
        </w:rPr>
        <w:t>מַסְעֵ֥י</w:t>
      </w:r>
      <w:r w:rsidRPr="00EE70D7">
        <w:rPr>
          <w:rFonts w:eastAsia="Times New Roman" w:cs="Times New Roman"/>
          <w:rtl/>
          <w:lang w:eastAsia="de-DE"/>
        </w:rPr>
        <w:t xml:space="preserve"> </w:t>
      </w:r>
      <w:r w:rsidRPr="00EE70D7">
        <w:rPr>
          <w:rFonts w:eastAsia="Times New Roman" w:cs="Times New Roman"/>
          <w:lang w:eastAsia="de-DE"/>
        </w:rPr>
        <w:t xml:space="preserve">mit αἱ ἀπάρσεις (die Aufbrüche) und </w:t>
      </w:r>
      <w:r w:rsidRPr="00EE70D7">
        <w:rPr>
          <w:rFonts w:eastAsia="Times New Roman" w:cs="Times New Roman"/>
          <w:b/>
          <w:bCs/>
          <w:rtl/>
          <w:lang w:eastAsia="de-DE"/>
        </w:rPr>
        <w:t>וַיִּסָּֽעוּ</w:t>
      </w:r>
      <w:r w:rsidRPr="00EE70D7">
        <w:rPr>
          <w:rFonts w:eastAsia="Times New Roman" w:cs="Times New Roman"/>
          <w:rtl/>
          <w:lang w:eastAsia="de-DE"/>
        </w:rPr>
        <w:t xml:space="preserve"> </w:t>
      </w:r>
      <w:r w:rsidRPr="00EE70D7">
        <w:rPr>
          <w:rFonts w:eastAsia="Times New Roman" w:cs="Times New Roman"/>
          <w:lang w:eastAsia="de-DE"/>
        </w:rPr>
        <w:t>mit καὶ ἀπῆραν (und sie brachen auf).</w:t>
      </w:r>
    </w:p>
    <w:p w14:paraId="74D73E1A"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zeigt zusammenfassende Charakterisierung mit abschließender Ausführungsbestätigung.</w:t>
      </w:r>
    </w:p>
    <w:p w14:paraId="00764ECE"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bildet den formalen Abschluss der Marschordnungsdokumentation und bestätigt die erfolgreiche Implementierung.</w:t>
      </w:r>
    </w:p>
    <w:p w14:paraId="55B9E2EA"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10,29</w:t>
      </w:r>
    </w:p>
    <w:p w14:paraId="5743200C"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וַיֹּ֣אמֶר מֹשֶׁ֗ה לְ֠חֹבָב בֶּן־רְעוּאֵ֣ל הַמִּדְיָנִי֮ חֹתֵ֣ן מֹשֶׁה֒ נֹסְעִ֣ים׀ אֲנַ֗חְנוּ אֶל־הַמָּקוֹם֙ אֲשֶׁ֣ר אָמַ֣ר יְהוָ֔ה אֹתוֹ֖ אֶתֵּ֣ן לָכֶ֑ם לְכָ֤ה אִתָּ֨נוּ֙ וְהֵטַ֣בְנוּ לָ֔ךְ כִּֽי־יְהוָ֥ה דִּבֶּר־ט֖וֹב עַל־יִשְׂרָאֵֽל׃</w:t>
      </w:r>
    </w:p>
    <w:p w14:paraId="45314706"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Mosche sprach zu Chovav, dem Sohn Re'u'els, des Midjani, dem Schwiegervater Mosches: Wir sind dabei, aufzubrechen zu dem Ort, von dem der Ewige gesagt hat: Ich will ihn euch geben. Geh mit uns, so wollen wir dir Gutes tun; denn der Ewige hat Gutes über Jisra'el geredet.</w:t>
      </w:r>
    </w:p>
    <w:p w14:paraId="0E7E82C8"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72B7484A">
          <v:rect id="_x0000_i1372" style="width:0;height:1.5pt" o:hralign="center" o:hrstd="t" o:hr="t" fillcolor="#a0a0a0" stroked="f"/>
        </w:pict>
      </w:r>
    </w:p>
    <w:p w14:paraId="266BDEB7" w14:textId="73370EE2"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Verb </w:t>
      </w:r>
      <w:r w:rsidRPr="00EE70D7">
        <w:rPr>
          <w:rFonts w:eastAsia="Times New Roman" w:cs="Times New Roman"/>
          <w:b/>
          <w:bCs/>
          <w:rtl/>
          <w:lang w:eastAsia="de-DE"/>
        </w:rPr>
        <w:t>וַיֹּ֣אמֶר מֹשֶׁ֗ה</w:t>
      </w:r>
      <w:r w:rsidRPr="00EE70D7">
        <w:rPr>
          <w:rFonts w:eastAsia="Times New Roman" w:cs="Times New Roman"/>
          <w:rtl/>
          <w:lang w:eastAsia="de-DE"/>
        </w:rPr>
        <w:t xml:space="preserve"> </w:t>
      </w:r>
      <w:r w:rsidRPr="00EE70D7">
        <w:rPr>
          <w:rFonts w:eastAsia="Times New Roman" w:cs="Times New Roman"/>
          <w:lang w:eastAsia="de-DE"/>
        </w:rPr>
        <w:t xml:space="preserve">(und Mose sprach) leitet eine neue Episode ein. Die komplexe Identifikation </w:t>
      </w:r>
      <w:r w:rsidRPr="00EE70D7">
        <w:rPr>
          <w:rFonts w:eastAsia="Times New Roman" w:cs="Times New Roman"/>
          <w:b/>
          <w:bCs/>
          <w:rtl/>
          <w:lang w:eastAsia="de-DE"/>
        </w:rPr>
        <w:t>לְ֠חֹבָב בֶּן־רְעוּאֵ֣ל הַמִּדְיָנִי֮ חֹתֵ֣ן מֹשֶׁה֒</w:t>
      </w:r>
      <w:r w:rsidRPr="00EE70D7">
        <w:rPr>
          <w:rFonts w:eastAsia="Times New Roman" w:cs="Times New Roman"/>
          <w:rtl/>
          <w:lang w:eastAsia="de-DE"/>
        </w:rPr>
        <w:t xml:space="preserve"> </w:t>
      </w:r>
      <w:r w:rsidRPr="00EE70D7">
        <w:rPr>
          <w:rFonts w:eastAsia="Times New Roman" w:cs="Times New Roman"/>
          <w:lang w:eastAsia="de-DE"/>
        </w:rPr>
        <w:t xml:space="preserve">(zu </w:t>
      </w:r>
      <w:r w:rsidR="005B024E">
        <w:rPr>
          <w:rFonts w:eastAsia="Times New Roman" w:cs="Times New Roman"/>
          <w:lang w:eastAsia="de-DE"/>
        </w:rPr>
        <w:t>Chovav</w:t>
      </w:r>
      <w:r w:rsidRPr="00EE70D7">
        <w:rPr>
          <w:rFonts w:eastAsia="Times New Roman" w:cs="Times New Roman"/>
          <w:lang w:eastAsia="de-DE"/>
        </w:rPr>
        <w:t>, Sohn Reuels, dem Midianiter, dem Schwiegervater Moses) zeigt genealogische und verwandtschaftliche Beziehungen.</w:t>
      </w:r>
    </w:p>
    <w:p w14:paraId="134BE4D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Redeeinleitung </w:t>
      </w:r>
      <w:r w:rsidRPr="00EE70D7">
        <w:rPr>
          <w:rFonts w:eastAsia="Times New Roman" w:cs="Times New Roman"/>
          <w:b/>
          <w:bCs/>
          <w:rtl/>
          <w:lang w:eastAsia="de-DE"/>
        </w:rPr>
        <w:t>נֹסְעִ֣ים׀ אֲנַ֗חְנוּ אֶל־הַמָּקוֹם֙</w:t>
      </w:r>
      <w:r w:rsidRPr="00EE70D7">
        <w:rPr>
          <w:rFonts w:eastAsia="Times New Roman" w:cs="Times New Roman"/>
          <w:rtl/>
          <w:lang w:eastAsia="de-DE"/>
        </w:rPr>
        <w:t xml:space="preserve"> </w:t>
      </w:r>
      <w:r w:rsidRPr="00EE70D7">
        <w:rPr>
          <w:rFonts w:eastAsia="Times New Roman" w:cs="Times New Roman"/>
          <w:lang w:eastAsia="de-DE"/>
        </w:rPr>
        <w:t xml:space="preserve">(wir brechen auf zu dem Ort) mit </w:t>
      </w:r>
      <w:r w:rsidRPr="00EE70D7">
        <w:rPr>
          <w:rFonts w:eastAsia="Times New Roman" w:cs="Times New Roman"/>
          <w:b/>
          <w:bCs/>
          <w:rtl/>
          <w:lang w:eastAsia="de-DE"/>
        </w:rPr>
        <w:t>נֹסְעִים</w:t>
      </w:r>
      <w:r w:rsidRPr="00EE70D7">
        <w:rPr>
          <w:rFonts w:eastAsia="Times New Roman" w:cs="Times New Roman"/>
          <w:rtl/>
          <w:lang w:eastAsia="de-DE"/>
        </w:rPr>
        <w:t xml:space="preserve"> </w:t>
      </w:r>
      <w:r w:rsidRPr="00EE70D7">
        <w:rPr>
          <w:rFonts w:eastAsia="Times New Roman" w:cs="Times New Roman"/>
          <w:lang w:eastAsia="de-DE"/>
        </w:rPr>
        <w:t xml:space="preserve">als Qal-Partizip Plural von </w:t>
      </w:r>
      <w:r w:rsidRPr="00EE70D7">
        <w:rPr>
          <w:rFonts w:eastAsia="Times New Roman" w:cs="Times New Roman"/>
          <w:b/>
          <w:bCs/>
          <w:rtl/>
          <w:lang w:eastAsia="de-DE"/>
        </w:rPr>
        <w:t>נסע</w:t>
      </w:r>
      <w:r w:rsidRPr="00EE70D7">
        <w:rPr>
          <w:rFonts w:eastAsia="Times New Roman" w:cs="Times New Roman"/>
          <w:rtl/>
          <w:lang w:eastAsia="de-DE"/>
        </w:rPr>
        <w:t xml:space="preserve"> </w:t>
      </w:r>
      <w:r w:rsidRPr="00EE70D7">
        <w:rPr>
          <w:rFonts w:eastAsia="Times New Roman" w:cs="Times New Roman"/>
          <w:lang w:eastAsia="de-DE"/>
        </w:rPr>
        <w:t xml:space="preserve">zeigt die gegenwärtige Handlung. Die göttliche Verheißung </w:t>
      </w:r>
      <w:r w:rsidRPr="00EE70D7">
        <w:rPr>
          <w:rFonts w:eastAsia="Times New Roman" w:cs="Times New Roman"/>
          <w:b/>
          <w:bCs/>
          <w:rtl/>
          <w:lang w:eastAsia="de-DE"/>
        </w:rPr>
        <w:t>אֲשֶׁ֣ר אָמַ֣ר יְהוָ֔ה אֹתוֹ֖ אֶתֵּ֣ן לָכֶ֑ם</w:t>
      </w:r>
      <w:r w:rsidRPr="00EE70D7">
        <w:rPr>
          <w:rFonts w:eastAsia="Times New Roman" w:cs="Times New Roman"/>
          <w:rtl/>
          <w:lang w:eastAsia="de-DE"/>
        </w:rPr>
        <w:t xml:space="preserve"> </w:t>
      </w:r>
      <w:r w:rsidRPr="00EE70D7">
        <w:rPr>
          <w:rFonts w:eastAsia="Times New Roman" w:cs="Times New Roman"/>
          <w:lang w:eastAsia="de-DE"/>
        </w:rPr>
        <w:t>(von dem der Ewige sagte: ich will ihn euch geben) verweist auf das verheißene Land.</w:t>
      </w:r>
    </w:p>
    <w:p w14:paraId="6196646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Einladung </w:t>
      </w:r>
      <w:r w:rsidRPr="00EE70D7">
        <w:rPr>
          <w:rFonts w:eastAsia="Times New Roman" w:cs="Times New Roman"/>
          <w:b/>
          <w:bCs/>
          <w:rtl/>
          <w:lang w:eastAsia="de-DE"/>
        </w:rPr>
        <w:t>לְכָ֤ה אִתָּ֨נוּ֙ וְהֵטַ֣בְנוּ לָ֔ךְ</w:t>
      </w:r>
      <w:r w:rsidRPr="00EE70D7">
        <w:rPr>
          <w:rFonts w:eastAsia="Times New Roman" w:cs="Times New Roman"/>
          <w:rtl/>
          <w:lang w:eastAsia="de-DE"/>
        </w:rPr>
        <w:t xml:space="preserve"> </w:t>
      </w:r>
      <w:r w:rsidRPr="00EE70D7">
        <w:rPr>
          <w:rFonts w:eastAsia="Times New Roman" w:cs="Times New Roman"/>
          <w:lang w:eastAsia="de-DE"/>
        </w:rPr>
        <w:t xml:space="preserve">(geh mit uns und wir werden dir Gutes tun) mit </w:t>
      </w:r>
      <w:r w:rsidRPr="00EE70D7">
        <w:rPr>
          <w:rFonts w:eastAsia="Times New Roman" w:cs="Times New Roman"/>
          <w:b/>
          <w:bCs/>
          <w:rtl/>
          <w:lang w:eastAsia="de-DE"/>
        </w:rPr>
        <w:t>לְכָה</w:t>
      </w:r>
      <w:r w:rsidRPr="00EE70D7">
        <w:rPr>
          <w:rFonts w:eastAsia="Times New Roman" w:cs="Times New Roman"/>
          <w:rtl/>
          <w:lang w:eastAsia="de-DE"/>
        </w:rPr>
        <w:t xml:space="preserve"> </w:t>
      </w:r>
      <w:r w:rsidRPr="00EE70D7">
        <w:rPr>
          <w:rFonts w:eastAsia="Times New Roman" w:cs="Times New Roman"/>
          <w:lang w:eastAsia="de-DE"/>
        </w:rPr>
        <w:t xml:space="preserve">(geh) als Imperativ und </w:t>
      </w:r>
      <w:r w:rsidRPr="00EE70D7">
        <w:rPr>
          <w:rFonts w:eastAsia="Times New Roman" w:cs="Times New Roman"/>
          <w:b/>
          <w:bCs/>
          <w:rtl/>
          <w:lang w:eastAsia="de-DE"/>
        </w:rPr>
        <w:t>הֵטַ֣בְנוּ</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יטב</w:t>
      </w:r>
      <w:r w:rsidRPr="00EE70D7">
        <w:rPr>
          <w:rFonts w:eastAsia="Times New Roman" w:cs="Times New Roman"/>
          <w:rtl/>
          <w:lang w:eastAsia="de-DE"/>
        </w:rPr>
        <w:t xml:space="preserve"> </w:t>
      </w:r>
      <w:r w:rsidRPr="00EE70D7">
        <w:rPr>
          <w:rFonts w:eastAsia="Times New Roman" w:cs="Times New Roman"/>
          <w:lang w:eastAsia="de-DE"/>
        </w:rPr>
        <w:t>(gut tun) im Hiph'il zeigt Moses Einladung.</w:t>
      </w:r>
    </w:p>
    <w:p w14:paraId="61964630"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Begründung </w:t>
      </w:r>
      <w:r w:rsidRPr="00EE70D7">
        <w:rPr>
          <w:rFonts w:eastAsia="Times New Roman" w:cs="Times New Roman"/>
          <w:b/>
          <w:bCs/>
          <w:rtl/>
          <w:lang w:eastAsia="de-DE"/>
        </w:rPr>
        <w:t>כִּֽי־יְהוָ֥ה דִּבֶּר־ט֖וֹב עַל־יִשְׂרָאֵֽל</w:t>
      </w:r>
      <w:r w:rsidRPr="00EE70D7">
        <w:rPr>
          <w:rFonts w:eastAsia="Times New Roman" w:cs="Times New Roman"/>
          <w:rtl/>
          <w:lang w:eastAsia="de-DE"/>
        </w:rPr>
        <w:t xml:space="preserve"> </w:t>
      </w:r>
      <w:r w:rsidRPr="00EE70D7">
        <w:rPr>
          <w:rFonts w:eastAsia="Times New Roman" w:cs="Times New Roman"/>
          <w:lang w:eastAsia="de-DE"/>
        </w:rPr>
        <w:t xml:space="preserve">(denn der Ewige hat Gutes über Israel geredet) mit </w:t>
      </w:r>
      <w:r w:rsidRPr="00EE70D7">
        <w:rPr>
          <w:rFonts w:eastAsia="Times New Roman" w:cs="Times New Roman"/>
          <w:b/>
          <w:bCs/>
          <w:rtl/>
          <w:lang w:eastAsia="de-DE"/>
        </w:rPr>
        <w:t>דִּבֶּר</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דבר</w:t>
      </w:r>
      <w:r w:rsidRPr="00EE70D7">
        <w:rPr>
          <w:rFonts w:eastAsia="Times New Roman" w:cs="Times New Roman"/>
          <w:rtl/>
          <w:lang w:eastAsia="de-DE"/>
        </w:rPr>
        <w:t xml:space="preserve"> </w:t>
      </w:r>
      <w:r w:rsidRPr="00EE70D7">
        <w:rPr>
          <w:rFonts w:eastAsia="Times New Roman" w:cs="Times New Roman"/>
          <w:lang w:eastAsia="de-DE"/>
        </w:rPr>
        <w:t xml:space="preserve">(reden) und </w:t>
      </w:r>
      <w:r w:rsidRPr="00EE70D7">
        <w:rPr>
          <w:rFonts w:eastAsia="Times New Roman" w:cs="Times New Roman"/>
          <w:b/>
          <w:bCs/>
          <w:rtl/>
          <w:lang w:eastAsia="de-DE"/>
        </w:rPr>
        <w:t>טוֹב</w:t>
      </w:r>
      <w:r w:rsidRPr="00EE70D7">
        <w:rPr>
          <w:rFonts w:eastAsia="Times New Roman" w:cs="Times New Roman"/>
          <w:rtl/>
          <w:lang w:eastAsia="de-DE"/>
        </w:rPr>
        <w:t xml:space="preserve"> </w:t>
      </w:r>
      <w:r w:rsidRPr="00EE70D7">
        <w:rPr>
          <w:rFonts w:eastAsia="Times New Roman" w:cs="Times New Roman"/>
          <w:lang w:eastAsia="de-DE"/>
        </w:rPr>
        <w:t>(Gutes) zeigt göttliche Segensverheißungen.</w:t>
      </w:r>
    </w:p>
    <w:p w14:paraId="5D0F94EC" w14:textId="16ED909C"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w:t>
      </w:r>
      <w:r w:rsidR="000367D9">
        <w:rPr>
          <w:rStyle w:val="Fett"/>
        </w:rPr>
        <w:t>ist textkritisch bedeutsam</w:t>
      </w:r>
      <w:r w:rsidR="000367D9">
        <w:t xml:space="preserve">: Der MT nennt </w:t>
      </w:r>
      <w:r w:rsidR="000367D9" w:rsidRPr="000367D9">
        <w:rPr>
          <w:b/>
          <w:bCs/>
          <w:rtl/>
        </w:rPr>
        <w:t>חבב בן־רעואל המדיני</w:t>
      </w:r>
      <w:r w:rsidR="000367D9">
        <w:t xml:space="preserve"> (Chovav ben-Re'u'el haMidyani - "Hobab, Sohn des Reuel, des Midianers"), während </w:t>
      </w:r>
      <w:r w:rsidR="000367D9">
        <w:rPr>
          <w:rStyle w:val="Fett"/>
        </w:rPr>
        <w:t>die LXX</w:t>
      </w:r>
      <w:r w:rsidR="000367D9">
        <w:t xml:space="preserve"> Ὡβὰβ υἱῷ Ῥαγουὴλ τῷ Μαδιανίτῃ (Hobab, Sohn des Raguel, des Madianitischen) hat. </w:t>
      </w:r>
      <w:r w:rsidR="000367D9" w:rsidRPr="000367D9">
        <w:rPr>
          <w:b/>
          <w:bCs/>
          <w:rtl/>
        </w:rPr>
        <w:t>חתן משה</w:t>
      </w:r>
      <w:r w:rsidR="000367D9">
        <w:t xml:space="preserve"> (choten Mosheh - "Schwiegervater/Schwager des Mose") wird als γαμβρός (Schwiegersohn/Schwager) übersetzt, was die verwandtschaftliche Beziehung offenlässt.</w:t>
      </w:r>
    </w:p>
    <w:p w14:paraId="39D11ABF"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zeigt komplexe Personenidentifikation, Situationsbeschreibung, Einladung und theologische Begründung.</w:t>
      </w:r>
    </w:p>
    <w:p w14:paraId="25FBD247"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lastRenderedPageBreak/>
        <w:t>Dieser Vers beginnt die Episode mit Moses Schwager und zeigt Moses Bemühung um lokale Unterstützung für die Wüstenwanderung.</w:t>
      </w:r>
    </w:p>
    <w:p w14:paraId="48BEACCF"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10,30</w:t>
      </w:r>
    </w:p>
    <w:p w14:paraId="55F851D2"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וַיֹּ֥אמֶר אֵלָ֖יו לֹ֣א אֵלֵ֑ךְ כִּ֧י אִם־אֶל־אַרְצִ֛י וְאֶל־מוֹלַדְתִּ֖י אֵלֵֽךְ׃</w:t>
      </w:r>
    </w:p>
    <w:p w14:paraId="3267D036"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Er aber sprach zu ihm: Ich will nicht gehen, sondern in mein Land und zu meiner Verwandtschaft will ich gehen.</w:t>
      </w:r>
    </w:p>
    <w:p w14:paraId="53AB892C"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7C5D4646">
          <v:rect id="_x0000_i1373" style="width:0;height:1.5pt" o:hralign="center" o:hrstd="t" o:hr="t" fillcolor="#a0a0a0" stroked="f"/>
        </w:pict>
      </w:r>
    </w:p>
    <w:p w14:paraId="76BA49DA" w14:textId="7A98290D"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Antwortverb </w:t>
      </w:r>
      <w:r w:rsidRPr="00EE70D7">
        <w:rPr>
          <w:rFonts w:eastAsia="Times New Roman" w:cs="Times New Roman"/>
          <w:b/>
          <w:bCs/>
          <w:rtl/>
          <w:lang w:eastAsia="de-DE"/>
        </w:rPr>
        <w:t>וַיֹּ֥אמֶר אֵלָ֖יו</w:t>
      </w:r>
      <w:r w:rsidRPr="00EE70D7">
        <w:rPr>
          <w:rFonts w:eastAsia="Times New Roman" w:cs="Times New Roman"/>
          <w:rtl/>
          <w:lang w:eastAsia="de-DE"/>
        </w:rPr>
        <w:t xml:space="preserve"> </w:t>
      </w:r>
      <w:r w:rsidRPr="00EE70D7">
        <w:rPr>
          <w:rFonts w:eastAsia="Times New Roman" w:cs="Times New Roman"/>
          <w:lang w:eastAsia="de-DE"/>
        </w:rPr>
        <w:t xml:space="preserve">(er sprach zu ihm) zeigt </w:t>
      </w:r>
      <w:r w:rsidR="005B024E">
        <w:rPr>
          <w:rFonts w:eastAsia="Times New Roman" w:cs="Times New Roman"/>
          <w:lang w:eastAsia="de-DE"/>
        </w:rPr>
        <w:t>Chovav</w:t>
      </w:r>
      <w:r w:rsidRPr="00EE70D7">
        <w:rPr>
          <w:rFonts w:eastAsia="Times New Roman" w:cs="Times New Roman"/>
          <w:lang w:eastAsia="de-DE"/>
        </w:rPr>
        <w:t xml:space="preserve">s Reaktion. Die Weigerung </w:t>
      </w:r>
      <w:r w:rsidRPr="00EE70D7">
        <w:rPr>
          <w:rFonts w:eastAsia="Times New Roman" w:cs="Times New Roman"/>
          <w:b/>
          <w:bCs/>
          <w:rtl/>
          <w:lang w:eastAsia="de-DE"/>
        </w:rPr>
        <w:t>לֹ֣א אֵלֵ֑ךְ</w:t>
      </w:r>
      <w:r w:rsidRPr="00EE70D7">
        <w:rPr>
          <w:rFonts w:eastAsia="Times New Roman" w:cs="Times New Roman"/>
          <w:rtl/>
          <w:lang w:eastAsia="de-DE"/>
        </w:rPr>
        <w:t xml:space="preserve"> </w:t>
      </w:r>
      <w:r w:rsidRPr="00EE70D7">
        <w:rPr>
          <w:rFonts w:eastAsia="Times New Roman" w:cs="Times New Roman"/>
          <w:lang w:eastAsia="de-DE"/>
        </w:rPr>
        <w:t xml:space="preserve">(ich will nicht gehen) mit </w:t>
      </w:r>
      <w:r w:rsidRPr="00EE70D7">
        <w:rPr>
          <w:rFonts w:eastAsia="Times New Roman" w:cs="Times New Roman"/>
          <w:b/>
          <w:bCs/>
          <w:rtl/>
          <w:lang w:eastAsia="de-DE"/>
        </w:rPr>
        <w:t>לֹא</w:t>
      </w:r>
      <w:r w:rsidRPr="00EE70D7">
        <w:rPr>
          <w:rFonts w:eastAsia="Times New Roman" w:cs="Times New Roman"/>
          <w:rtl/>
          <w:lang w:eastAsia="de-DE"/>
        </w:rPr>
        <w:t xml:space="preserve"> </w:t>
      </w:r>
      <w:r w:rsidRPr="00EE70D7">
        <w:rPr>
          <w:rFonts w:eastAsia="Times New Roman" w:cs="Times New Roman"/>
          <w:lang w:eastAsia="de-DE"/>
        </w:rPr>
        <w:t xml:space="preserve">(nicht) und </w:t>
      </w:r>
      <w:r w:rsidRPr="00EE70D7">
        <w:rPr>
          <w:rFonts w:eastAsia="Times New Roman" w:cs="Times New Roman"/>
          <w:b/>
          <w:bCs/>
          <w:rtl/>
          <w:lang w:eastAsia="de-DE"/>
        </w:rPr>
        <w:t>אֵלֵךְ</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הלך</w:t>
      </w:r>
      <w:r w:rsidRPr="00EE70D7">
        <w:rPr>
          <w:rFonts w:eastAsia="Times New Roman" w:cs="Times New Roman"/>
          <w:rtl/>
          <w:lang w:eastAsia="de-DE"/>
        </w:rPr>
        <w:t xml:space="preserve"> </w:t>
      </w:r>
      <w:r w:rsidRPr="00EE70D7">
        <w:rPr>
          <w:rFonts w:eastAsia="Times New Roman" w:cs="Times New Roman"/>
          <w:lang w:eastAsia="de-DE"/>
        </w:rPr>
        <w:t>(gehen) im Qal-Imperfekt 1. Person Singular zeigt kategorische Ablehnung.</w:t>
      </w:r>
    </w:p>
    <w:p w14:paraId="63B02D79" w14:textId="068D1FCD"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adversative </w:t>
      </w:r>
      <w:r w:rsidR="00F133EC">
        <w:rPr>
          <w:rFonts w:eastAsia="Times New Roman" w:cs="Times New Roman"/>
          <w:lang w:eastAsia="de-DE"/>
        </w:rPr>
        <w:t>Construct</w:t>
      </w:r>
      <w:r w:rsidRPr="00EE70D7">
        <w:rPr>
          <w:rFonts w:eastAsia="Times New Roman" w:cs="Times New Roman"/>
          <w:lang w:eastAsia="de-DE"/>
        </w:rPr>
        <w:t xml:space="preserve">ion </w:t>
      </w:r>
      <w:r w:rsidRPr="00EE70D7">
        <w:rPr>
          <w:rFonts w:eastAsia="Times New Roman" w:cs="Times New Roman"/>
          <w:b/>
          <w:bCs/>
          <w:rtl/>
          <w:lang w:eastAsia="de-DE"/>
        </w:rPr>
        <w:t>כִּ֧י אִם־אֶל־אַרְצִ֛י וְאֶל־מוֹלַדְתִּ֖י אֵלֵֽךְ</w:t>
      </w:r>
      <w:r w:rsidRPr="00EE70D7">
        <w:rPr>
          <w:rFonts w:eastAsia="Times New Roman" w:cs="Times New Roman"/>
          <w:rtl/>
          <w:lang w:eastAsia="de-DE"/>
        </w:rPr>
        <w:t xml:space="preserve"> </w:t>
      </w:r>
      <w:r w:rsidRPr="00EE70D7">
        <w:rPr>
          <w:rFonts w:eastAsia="Times New Roman" w:cs="Times New Roman"/>
          <w:lang w:eastAsia="de-DE"/>
        </w:rPr>
        <w:t xml:space="preserve">(sondern in mein Land und zu meiner Verwandtschaft will ich gehen) mit </w:t>
      </w:r>
      <w:r w:rsidRPr="00EE70D7">
        <w:rPr>
          <w:rFonts w:eastAsia="Times New Roman" w:cs="Times New Roman"/>
          <w:b/>
          <w:bCs/>
          <w:rtl/>
          <w:lang w:eastAsia="de-DE"/>
        </w:rPr>
        <w:t>כִּי אִם</w:t>
      </w:r>
      <w:r w:rsidRPr="00EE70D7">
        <w:rPr>
          <w:rFonts w:eastAsia="Times New Roman" w:cs="Times New Roman"/>
          <w:rtl/>
          <w:lang w:eastAsia="de-DE"/>
        </w:rPr>
        <w:t xml:space="preserve"> </w:t>
      </w:r>
      <w:r w:rsidRPr="00EE70D7">
        <w:rPr>
          <w:rFonts w:eastAsia="Times New Roman" w:cs="Times New Roman"/>
          <w:lang w:eastAsia="de-DE"/>
        </w:rPr>
        <w:t xml:space="preserve">(sondern) zeigt die Alternative. </w:t>
      </w:r>
      <w:r w:rsidRPr="00EE70D7">
        <w:rPr>
          <w:rFonts w:eastAsia="Times New Roman" w:cs="Times New Roman"/>
          <w:b/>
          <w:bCs/>
          <w:rtl/>
          <w:lang w:eastAsia="de-DE"/>
        </w:rPr>
        <w:t>אַרְצִ֛י</w:t>
      </w:r>
      <w:r w:rsidRPr="00EE70D7">
        <w:rPr>
          <w:rFonts w:eastAsia="Times New Roman" w:cs="Times New Roman"/>
          <w:rtl/>
          <w:lang w:eastAsia="de-DE"/>
        </w:rPr>
        <w:t xml:space="preserve"> </w:t>
      </w:r>
      <w:r w:rsidRPr="00EE70D7">
        <w:rPr>
          <w:rFonts w:eastAsia="Times New Roman" w:cs="Times New Roman"/>
          <w:lang w:eastAsia="de-DE"/>
        </w:rPr>
        <w:t xml:space="preserve">(mein Land) und </w:t>
      </w:r>
      <w:r w:rsidRPr="00EE70D7">
        <w:rPr>
          <w:rFonts w:eastAsia="Times New Roman" w:cs="Times New Roman"/>
          <w:b/>
          <w:bCs/>
          <w:rtl/>
          <w:lang w:eastAsia="de-DE"/>
        </w:rPr>
        <w:t>מוֹלַדְתִּ֖י</w:t>
      </w:r>
      <w:r w:rsidRPr="00EE70D7">
        <w:rPr>
          <w:rFonts w:eastAsia="Times New Roman" w:cs="Times New Roman"/>
          <w:rtl/>
          <w:lang w:eastAsia="de-DE"/>
        </w:rPr>
        <w:t xml:space="preserve"> </w:t>
      </w:r>
      <w:r w:rsidRPr="00EE70D7">
        <w:rPr>
          <w:rFonts w:eastAsia="Times New Roman" w:cs="Times New Roman"/>
          <w:lang w:eastAsia="de-DE"/>
        </w:rPr>
        <w:t>(meine Verwandtschaft) mit Possessivsuffixen zeigen persönliche Bindungen.</w:t>
      </w:r>
    </w:p>
    <w:p w14:paraId="78CD6FC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w:t>
      </w:r>
      <w:r w:rsidRPr="00EE70D7">
        <w:rPr>
          <w:rFonts w:eastAsia="Times New Roman" w:cs="Times New Roman"/>
          <w:b/>
          <w:bCs/>
          <w:rtl/>
          <w:lang w:eastAsia="de-DE"/>
        </w:rPr>
        <w:t>לֹ֣א אֵלֵ֑ךְ</w:t>
      </w:r>
      <w:r w:rsidRPr="00EE70D7">
        <w:rPr>
          <w:rFonts w:eastAsia="Times New Roman" w:cs="Times New Roman"/>
          <w:rtl/>
          <w:lang w:eastAsia="de-DE"/>
        </w:rPr>
        <w:t xml:space="preserve"> </w:t>
      </w:r>
      <w:r w:rsidRPr="00EE70D7">
        <w:rPr>
          <w:rFonts w:eastAsia="Times New Roman" w:cs="Times New Roman"/>
          <w:lang w:eastAsia="de-DE"/>
        </w:rPr>
        <w:t xml:space="preserve">mit οὐ πορεύσομαι (ich werde nicht gehen) und </w:t>
      </w:r>
      <w:r w:rsidRPr="00EE70D7">
        <w:rPr>
          <w:rFonts w:eastAsia="Times New Roman" w:cs="Times New Roman"/>
          <w:b/>
          <w:bCs/>
          <w:rtl/>
          <w:lang w:eastAsia="de-DE"/>
        </w:rPr>
        <w:t>מוֹלַדְתִּ֖י</w:t>
      </w:r>
      <w:r w:rsidRPr="00EE70D7">
        <w:rPr>
          <w:rFonts w:eastAsia="Times New Roman" w:cs="Times New Roman"/>
          <w:rtl/>
          <w:lang w:eastAsia="de-DE"/>
        </w:rPr>
        <w:t xml:space="preserve"> </w:t>
      </w:r>
      <w:r w:rsidRPr="00EE70D7">
        <w:rPr>
          <w:rFonts w:eastAsia="Times New Roman" w:cs="Times New Roman"/>
          <w:lang w:eastAsia="de-DE"/>
        </w:rPr>
        <w:t>mit γενεάν μου (meine Sippe).</w:t>
      </w:r>
    </w:p>
    <w:p w14:paraId="7C45B938"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zeigt kategorische Weigerung mit adversativer Alternative und Begründung durch persönliche Bindungen.</w:t>
      </w:r>
    </w:p>
    <w:p w14:paraId="19DFA5D6" w14:textId="56DA0A53"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Dieser Vers dokumentiert </w:t>
      </w:r>
      <w:r w:rsidR="005B024E">
        <w:rPr>
          <w:rFonts w:eastAsia="Times New Roman" w:cs="Times New Roman"/>
          <w:lang w:eastAsia="de-DE"/>
        </w:rPr>
        <w:t>Chovav</w:t>
      </w:r>
      <w:r w:rsidRPr="00EE70D7">
        <w:rPr>
          <w:rFonts w:eastAsia="Times New Roman" w:cs="Times New Roman"/>
          <w:lang w:eastAsia="de-DE"/>
        </w:rPr>
        <w:t>s erste Weigerung und seine Motivation, zu seiner midianitischen Heimat zurückzukehren.</w:t>
      </w:r>
    </w:p>
    <w:p w14:paraId="33E9CC66"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10,31</w:t>
      </w:r>
    </w:p>
    <w:p w14:paraId="2B532DBD"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וַיֹּ֕אמֶר אַל־נָ֖א תַּעֲזֹ֣ב אֹתָ֑נוּ כִּ֣י׀ עַל־כֵּ֣ן יָדַ֗עְתָּ חֲנֹתֵ֨נוּ֙ בַּמִּדְבָּ֔ר וְהָיִ֥יתָ לָּ֖נוּ לְעֵינָֽיִם׃</w:t>
      </w:r>
    </w:p>
    <w:p w14:paraId="310E667B"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er sprach: Verlass uns doch nicht! Denn du weißt, wo wir in der Wüste lagern können, und du sollst uns zu Augen sein.</w:t>
      </w:r>
    </w:p>
    <w:p w14:paraId="107E46B7"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215DF453">
          <v:rect id="_x0000_i1374" style="width:0;height:1.5pt" o:hralign="center" o:hrstd="t" o:hr="t" fillcolor="#a0a0a0" stroked="f"/>
        </w:pict>
      </w:r>
    </w:p>
    <w:p w14:paraId="576B9FA3"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Bittverb </w:t>
      </w:r>
      <w:r w:rsidRPr="00EE70D7">
        <w:rPr>
          <w:rFonts w:eastAsia="Times New Roman" w:cs="Times New Roman"/>
          <w:b/>
          <w:bCs/>
          <w:rtl/>
          <w:lang w:eastAsia="de-DE"/>
        </w:rPr>
        <w:t>וַיֹּ֕אמֶר אַל־נָ֖א תַּעֲזֹ֣ב אֹתָ֑נוּ</w:t>
      </w:r>
      <w:r w:rsidRPr="00EE70D7">
        <w:rPr>
          <w:rFonts w:eastAsia="Times New Roman" w:cs="Times New Roman"/>
          <w:rtl/>
          <w:lang w:eastAsia="de-DE"/>
        </w:rPr>
        <w:t xml:space="preserve"> </w:t>
      </w:r>
      <w:r w:rsidRPr="00EE70D7">
        <w:rPr>
          <w:rFonts w:eastAsia="Times New Roman" w:cs="Times New Roman"/>
          <w:lang w:eastAsia="de-DE"/>
        </w:rPr>
        <w:t xml:space="preserve">(und er sprach: verlass uns doch nicht) mit </w:t>
      </w:r>
      <w:r w:rsidRPr="00EE70D7">
        <w:rPr>
          <w:rFonts w:eastAsia="Times New Roman" w:cs="Times New Roman"/>
          <w:b/>
          <w:bCs/>
          <w:rtl/>
          <w:lang w:eastAsia="de-DE"/>
        </w:rPr>
        <w:t>אַל־נָא</w:t>
      </w:r>
      <w:r w:rsidRPr="00EE70D7">
        <w:rPr>
          <w:rFonts w:eastAsia="Times New Roman" w:cs="Times New Roman"/>
          <w:rtl/>
          <w:lang w:eastAsia="de-DE"/>
        </w:rPr>
        <w:t xml:space="preserve"> </w:t>
      </w:r>
      <w:r w:rsidRPr="00EE70D7">
        <w:rPr>
          <w:rFonts w:eastAsia="Times New Roman" w:cs="Times New Roman"/>
          <w:lang w:eastAsia="de-DE"/>
        </w:rPr>
        <w:t xml:space="preserve">(bitte nicht) als höfliche Negation und </w:t>
      </w:r>
      <w:r w:rsidRPr="00EE70D7">
        <w:rPr>
          <w:rFonts w:eastAsia="Times New Roman" w:cs="Times New Roman"/>
          <w:b/>
          <w:bCs/>
          <w:rtl/>
          <w:lang w:eastAsia="de-DE"/>
        </w:rPr>
        <w:t>תַּעֲזֹב</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עזב</w:t>
      </w:r>
      <w:r w:rsidRPr="00EE70D7">
        <w:rPr>
          <w:rFonts w:eastAsia="Times New Roman" w:cs="Times New Roman"/>
          <w:rtl/>
          <w:lang w:eastAsia="de-DE"/>
        </w:rPr>
        <w:t xml:space="preserve"> </w:t>
      </w:r>
      <w:r w:rsidRPr="00EE70D7">
        <w:rPr>
          <w:rFonts w:eastAsia="Times New Roman" w:cs="Times New Roman"/>
          <w:lang w:eastAsia="de-DE"/>
        </w:rPr>
        <w:t>(verlassen) im Qal-Imperfekt zeigt Moses dringende Bitte.</w:t>
      </w:r>
    </w:p>
    <w:p w14:paraId="56D82327" w14:textId="616F931D"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kausale Begründung </w:t>
      </w:r>
      <w:r w:rsidRPr="00EE70D7">
        <w:rPr>
          <w:rFonts w:eastAsia="Times New Roman" w:cs="Times New Roman"/>
          <w:b/>
          <w:bCs/>
          <w:rtl/>
          <w:lang w:eastAsia="de-DE"/>
        </w:rPr>
        <w:t>כִּ֣י׀ עַל־כֵּ֣ן יָדַ֗עְתָּ חֲנֹתֵ֨נוּ֙ בַּמִּדְבָּ֔ר</w:t>
      </w:r>
      <w:r w:rsidRPr="00EE70D7">
        <w:rPr>
          <w:rFonts w:eastAsia="Times New Roman" w:cs="Times New Roman"/>
          <w:rtl/>
          <w:lang w:eastAsia="de-DE"/>
        </w:rPr>
        <w:t xml:space="preserve"> </w:t>
      </w:r>
      <w:r w:rsidRPr="00EE70D7">
        <w:rPr>
          <w:rFonts w:eastAsia="Times New Roman" w:cs="Times New Roman"/>
          <w:lang w:eastAsia="de-DE"/>
        </w:rPr>
        <w:t xml:space="preserve">(denn darum kennst du unser Lagern in der Wüste) mit </w:t>
      </w:r>
      <w:r w:rsidRPr="00EE70D7">
        <w:rPr>
          <w:rFonts w:eastAsia="Times New Roman" w:cs="Times New Roman"/>
          <w:b/>
          <w:bCs/>
          <w:rtl/>
          <w:lang w:eastAsia="de-DE"/>
        </w:rPr>
        <w:t>יָדַעְתָּ</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ידע</w:t>
      </w:r>
      <w:r w:rsidRPr="00EE70D7">
        <w:rPr>
          <w:rFonts w:eastAsia="Times New Roman" w:cs="Times New Roman"/>
          <w:rtl/>
          <w:lang w:eastAsia="de-DE"/>
        </w:rPr>
        <w:t xml:space="preserve"> </w:t>
      </w:r>
      <w:r w:rsidRPr="00EE70D7">
        <w:rPr>
          <w:rFonts w:eastAsia="Times New Roman" w:cs="Times New Roman"/>
          <w:lang w:eastAsia="de-DE"/>
        </w:rPr>
        <w:t xml:space="preserve">(kennen) und </w:t>
      </w:r>
      <w:r w:rsidRPr="00EE70D7">
        <w:rPr>
          <w:rFonts w:eastAsia="Times New Roman" w:cs="Times New Roman"/>
          <w:b/>
          <w:bCs/>
          <w:rtl/>
          <w:lang w:eastAsia="de-DE"/>
        </w:rPr>
        <w:t>חֲנֹתֵנוּ</w:t>
      </w:r>
      <w:r w:rsidRPr="00EE70D7">
        <w:rPr>
          <w:rFonts w:eastAsia="Times New Roman" w:cs="Times New Roman"/>
          <w:rtl/>
          <w:lang w:eastAsia="de-DE"/>
        </w:rPr>
        <w:t xml:space="preserve"> </w:t>
      </w:r>
      <w:r w:rsidRPr="00EE70D7">
        <w:rPr>
          <w:rFonts w:eastAsia="Times New Roman" w:cs="Times New Roman"/>
          <w:lang w:eastAsia="de-DE"/>
        </w:rPr>
        <w:t>als Qal-Infinitiv-</w:t>
      </w:r>
      <w:r w:rsidR="00F133EC">
        <w:rPr>
          <w:rFonts w:eastAsia="Times New Roman" w:cs="Times New Roman"/>
          <w:lang w:eastAsia="de-DE"/>
        </w:rPr>
        <w:t>Construct</w:t>
      </w:r>
      <w:r w:rsidRPr="00EE70D7">
        <w:rPr>
          <w:rFonts w:eastAsia="Times New Roman" w:cs="Times New Roman"/>
          <w:lang w:eastAsia="de-DE"/>
        </w:rPr>
        <w:t xml:space="preserve"> von </w:t>
      </w:r>
      <w:r w:rsidRPr="00EE70D7">
        <w:rPr>
          <w:rFonts w:eastAsia="Times New Roman" w:cs="Times New Roman"/>
          <w:b/>
          <w:bCs/>
          <w:rtl/>
          <w:lang w:eastAsia="de-DE"/>
        </w:rPr>
        <w:t>חנה</w:t>
      </w:r>
      <w:r w:rsidRPr="00EE70D7">
        <w:rPr>
          <w:rFonts w:eastAsia="Times New Roman" w:cs="Times New Roman"/>
          <w:rtl/>
          <w:lang w:eastAsia="de-DE"/>
        </w:rPr>
        <w:t xml:space="preserve"> </w:t>
      </w:r>
      <w:r w:rsidRPr="00EE70D7">
        <w:rPr>
          <w:rFonts w:eastAsia="Times New Roman" w:cs="Times New Roman"/>
          <w:lang w:eastAsia="de-DE"/>
        </w:rPr>
        <w:t xml:space="preserve">(lagern) zeigt </w:t>
      </w:r>
      <w:r w:rsidR="005B024E">
        <w:rPr>
          <w:rFonts w:eastAsia="Times New Roman" w:cs="Times New Roman"/>
          <w:lang w:eastAsia="de-DE"/>
        </w:rPr>
        <w:t>Chovav</w:t>
      </w:r>
      <w:r w:rsidRPr="00EE70D7">
        <w:rPr>
          <w:rFonts w:eastAsia="Times New Roman" w:cs="Times New Roman"/>
          <w:lang w:eastAsia="de-DE"/>
        </w:rPr>
        <w:t>s lokale Expertise.</w:t>
      </w:r>
    </w:p>
    <w:p w14:paraId="3CC9816F" w14:textId="0F7BEA62"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lastRenderedPageBreak/>
        <w:t xml:space="preserve">Die metaphorische Bitte </w:t>
      </w:r>
      <w:r w:rsidRPr="00EE70D7">
        <w:rPr>
          <w:rFonts w:eastAsia="Times New Roman" w:cs="Times New Roman"/>
          <w:b/>
          <w:bCs/>
          <w:rtl/>
          <w:lang w:eastAsia="de-DE"/>
        </w:rPr>
        <w:t>וְהָיִ֥יתָ לָּ֖נוּ לְעֵינָֽיִם</w:t>
      </w:r>
      <w:r w:rsidRPr="00EE70D7">
        <w:rPr>
          <w:rFonts w:eastAsia="Times New Roman" w:cs="Times New Roman"/>
          <w:rtl/>
          <w:lang w:eastAsia="de-DE"/>
        </w:rPr>
        <w:t xml:space="preserve"> </w:t>
      </w:r>
      <w:r w:rsidRPr="00EE70D7">
        <w:rPr>
          <w:rFonts w:eastAsia="Times New Roman" w:cs="Times New Roman"/>
          <w:lang w:eastAsia="de-DE"/>
        </w:rPr>
        <w:t xml:space="preserve">(und du sollst uns zu Augen sein) mit </w:t>
      </w:r>
      <w:r w:rsidRPr="00EE70D7">
        <w:rPr>
          <w:rFonts w:eastAsia="Times New Roman" w:cs="Times New Roman"/>
          <w:b/>
          <w:bCs/>
          <w:rtl/>
          <w:lang w:eastAsia="de-DE"/>
        </w:rPr>
        <w:t>הָיִיתָ</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היה</w:t>
      </w:r>
      <w:r w:rsidRPr="00EE70D7">
        <w:rPr>
          <w:rFonts w:eastAsia="Times New Roman" w:cs="Times New Roman"/>
          <w:rtl/>
          <w:lang w:eastAsia="de-DE"/>
        </w:rPr>
        <w:t xml:space="preserve"> </w:t>
      </w:r>
      <w:r w:rsidRPr="00EE70D7">
        <w:rPr>
          <w:rFonts w:eastAsia="Times New Roman" w:cs="Times New Roman"/>
          <w:lang w:eastAsia="de-DE"/>
        </w:rPr>
        <w:t xml:space="preserve">(sein) und </w:t>
      </w:r>
      <w:r w:rsidRPr="00EE70D7">
        <w:rPr>
          <w:rFonts w:eastAsia="Times New Roman" w:cs="Times New Roman"/>
          <w:b/>
          <w:bCs/>
          <w:rtl/>
          <w:lang w:eastAsia="de-DE"/>
        </w:rPr>
        <w:t>לְעֵינָֽיִם</w:t>
      </w:r>
      <w:r w:rsidRPr="00EE70D7">
        <w:rPr>
          <w:rFonts w:eastAsia="Times New Roman" w:cs="Times New Roman"/>
          <w:rtl/>
          <w:lang w:eastAsia="de-DE"/>
        </w:rPr>
        <w:t xml:space="preserve"> </w:t>
      </w:r>
      <w:r w:rsidRPr="00EE70D7">
        <w:rPr>
          <w:rFonts w:eastAsia="Times New Roman" w:cs="Times New Roman"/>
          <w:lang w:eastAsia="de-DE"/>
        </w:rPr>
        <w:t xml:space="preserve">(zu Augen) zeigt </w:t>
      </w:r>
      <w:r w:rsidR="005B024E">
        <w:rPr>
          <w:rFonts w:eastAsia="Times New Roman" w:cs="Times New Roman"/>
          <w:lang w:eastAsia="de-DE"/>
        </w:rPr>
        <w:t>Chovav</w:t>
      </w:r>
      <w:r w:rsidRPr="00EE70D7">
        <w:rPr>
          <w:rFonts w:eastAsia="Times New Roman" w:cs="Times New Roman"/>
          <w:lang w:eastAsia="de-DE"/>
        </w:rPr>
        <w:t xml:space="preserve"> als Führer und Späher.</w:t>
      </w:r>
    </w:p>
    <w:p w14:paraId="18822F49" w14:textId="77777777" w:rsidR="000367D9" w:rsidRDefault="000367D9" w:rsidP="00EE70D7">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0367D9">
        <w:rPr>
          <w:b/>
          <w:bCs/>
          <w:rtl/>
        </w:rPr>
        <w:t>והיית לנו לעינים</w:t>
      </w:r>
      <w:r>
        <w:t xml:space="preserve"> (vehayita lanu le'einayim - "und du sollst uns als Augen sein") als καὶ ἔσῃ ἐν ἡμῖν πρεσβύτης (und du wirst unter uns ein Ältester sein), was eine völlig andere Interpretation darstellt. Das hebräische "Augen" (Scout/Führer) wird zu "Ältester" (Berater).</w:t>
      </w:r>
      <w:r w:rsidRPr="00EE70D7">
        <w:rPr>
          <w:rFonts w:eastAsia="Times New Roman" w:cs="Times New Roman"/>
          <w:lang w:eastAsia="de-DE"/>
        </w:rPr>
        <w:t xml:space="preserve"> </w:t>
      </w:r>
    </w:p>
    <w:p w14:paraId="12A751CE" w14:textId="227C602C"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zeigt dringende Bitte mit kausaler Begründung und metaphorischer Funktionsbeschreibung.</w:t>
      </w:r>
    </w:p>
    <w:p w14:paraId="37F9FABE" w14:textId="4233FA3C"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Dieser Vers zeigt Moses zweiten Überredungsversuch und betont </w:t>
      </w:r>
      <w:r w:rsidR="005B024E">
        <w:rPr>
          <w:rFonts w:eastAsia="Times New Roman" w:cs="Times New Roman"/>
          <w:lang w:eastAsia="de-DE"/>
        </w:rPr>
        <w:t>Chovav</w:t>
      </w:r>
      <w:r w:rsidRPr="00EE70D7">
        <w:rPr>
          <w:rFonts w:eastAsia="Times New Roman" w:cs="Times New Roman"/>
          <w:lang w:eastAsia="de-DE"/>
        </w:rPr>
        <w:t>s praktischen Wert als Wüstenkenner.</w:t>
      </w:r>
    </w:p>
    <w:p w14:paraId="0C1519A0"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10,32</w:t>
      </w:r>
    </w:p>
    <w:p w14:paraId="2084D75C"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וְהָיָ֖ה כִּי־תֵלֵ֣ךְ עִמָּ֑נוּ וְהָיָ֣ה׀ הַטּ֣וֹב הַה֗וּא אֲשֶׁ֨ר יֵיטִ֧יב יְהוָ֛ה עִמָּ֖נוּ וְהֵטַ֥בְנוּ לָֽךְ׃</w:t>
      </w:r>
    </w:p>
    <w:p w14:paraId="23469BCC"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Deutsch:</w:t>
      </w:r>
      <w:r w:rsidRPr="00EE70D7">
        <w:rPr>
          <w:rFonts w:eastAsia="Times New Roman" w:cs="Times New Roman"/>
          <w:lang w:eastAsia="de-DE"/>
        </w:rPr>
        <w:t xml:space="preserve"> Und es wird geschehen, wenn du mit uns ziehst, und es wird geschehen, jenes Gute, das der Ewige an uns tun wird, so werden wir dir auch Gutes tun.</w:t>
      </w:r>
    </w:p>
    <w:p w14:paraId="66D39D80"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2C72E899">
          <v:rect id="_x0000_i1375" style="width:0;height:1.5pt" o:hralign="center" o:hrstd="t" o:hr="t" fillcolor="#a0a0a0" stroked="f"/>
        </w:pict>
      </w:r>
    </w:p>
    <w:p w14:paraId="5F4E20C6" w14:textId="0AA88C65"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Die konditionelle </w:t>
      </w:r>
      <w:r w:rsidR="00F133EC">
        <w:rPr>
          <w:rFonts w:eastAsia="Times New Roman" w:cs="Times New Roman"/>
          <w:lang w:eastAsia="de-DE"/>
        </w:rPr>
        <w:t>Construct</w:t>
      </w:r>
      <w:r w:rsidRPr="00EE70D7">
        <w:rPr>
          <w:rFonts w:eastAsia="Times New Roman" w:cs="Times New Roman"/>
          <w:lang w:eastAsia="de-DE"/>
        </w:rPr>
        <w:t xml:space="preserve">ion </w:t>
      </w:r>
      <w:r w:rsidRPr="00EE70D7">
        <w:rPr>
          <w:rFonts w:eastAsia="Times New Roman" w:cs="Times New Roman"/>
          <w:b/>
          <w:bCs/>
          <w:rtl/>
          <w:lang w:eastAsia="de-DE"/>
        </w:rPr>
        <w:t>וְהָיָ֖ה כִּי־תֵלֵ֣ךְ עִמָּ֑נוּ</w:t>
      </w:r>
      <w:r w:rsidRPr="00EE70D7">
        <w:rPr>
          <w:rFonts w:eastAsia="Times New Roman" w:cs="Times New Roman"/>
          <w:rtl/>
          <w:lang w:eastAsia="de-DE"/>
        </w:rPr>
        <w:t xml:space="preserve"> </w:t>
      </w:r>
      <w:r w:rsidRPr="00EE70D7">
        <w:rPr>
          <w:rFonts w:eastAsia="Times New Roman" w:cs="Times New Roman"/>
          <w:lang w:eastAsia="de-DE"/>
        </w:rPr>
        <w:t xml:space="preserve">(und es wird geschehen, wenn du mit uns gehst) mit </w:t>
      </w:r>
      <w:r w:rsidRPr="00EE70D7">
        <w:rPr>
          <w:rFonts w:eastAsia="Times New Roman" w:cs="Times New Roman"/>
          <w:b/>
          <w:bCs/>
          <w:rtl/>
          <w:lang w:eastAsia="de-DE"/>
        </w:rPr>
        <w:t>הָיָה</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היה</w:t>
      </w:r>
      <w:r w:rsidRPr="00EE70D7">
        <w:rPr>
          <w:rFonts w:eastAsia="Times New Roman" w:cs="Times New Roman"/>
          <w:rtl/>
          <w:lang w:eastAsia="de-DE"/>
        </w:rPr>
        <w:t xml:space="preserve"> </w:t>
      </w:r>
      <w:r w:rsidRPr="00EE70D7">
        <w:rPr>
          <w:rFonts w:eastAsia="Times New Roman" w:cs="Times New Roman"/>
          <w:lang w:eastAsia="de-DE"/>
        </w:rPr>
        <w:t xml:space="preserve">(sein/geschehen) und </w:t>
      </w:r>
      <w:r w:rsidRPr="00EE70D7">
        <w:rPr>
          <w:rFonts w:eastAsia="Times New Roman" w:cs="Times New Roman"/>
          <w:b/>
          <w:bCs/>
          <w:rtl/>
          <w:lang w:eastAsia="de-DE"/>
        </w:rPr>
        <w:t>תֵלֵךְ</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הלך</w:t>
      </w:r>
      <w:r w:rsidRPr="00EE70D7">
        <w:rPr>
          <w:rFonts w:eastAsia="Times New Roman" w:cs="Times New Roman"/>
          <w:rtl/>
          <w:lang w:eastAsia="de-DE"/>
        </w:rPr>
        <w:t xml:space="preserve"> </w:t>
      </w:r>
      <w:r w:rsidRPr="00EE70D7">
        <w:rPr>
          <w:rFonts w:eastAsia="Times New Roman" w:cs="Times New Roman"/>
          <w:lang w:eastAsia="de-DE"/>
        </w:rPr>
        <w:t>(gehen) zeigt die Bedingung.</w:t>
      </w:r>
    </w:p>
    <w:p w14:paraId="534C2DA3"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Verheißung </w:t>
      </w:r>
      <w:r w:rsidRPr="00EE70D7">
        <w:rPr>
          <w:rFonts w:eastAsia="Times New Roman" w:cs="Times New Roman"/>
          <w:b/>
          <w:bCs/>
          <w:rtl/>
          <w:lang w:eastAsia="de-DE"/>
        </w:rPr>
        <w:t>וְהָיָ֣ה׀ הַטּ֣וֹב הַה֗וּא אֲשֶׁ֨ר יֵיטִ֧יב יְהוָ֛ה עִמָּ֖נוּ וְהֵטַ֥בְנוּ לָֽךְ</w:t>
      </w:r>
      <w:r w:rsidRPr="00EE70D7">
        <w:rPr>
          <w:rFonts w:eastAsia="Times New Roman" w:cs="Times New Roman"/>
          <w:rtl/>
          <w:lang w:eastAsia="de-DE"/>
        </w:rPr>
        <w:t xml:space="preserve"> </w:t>
      </w:r>
      <w:r w:rsidRPr="00EE70D7">
        <w:rPr>
          <w:rFonts w:eastAsia="Times New Roman" w:cs="Times New Roman"/>
          <w:lang w:eastAsia="de-DE"/>
        </w:rPr>
        <w:t xml:space="preserve">mit </w:t>
      </w:r>
      <w:r w:rsidRPr="00EE70D7">
        <w:rPr>
          <w:rFonts w:eastAsia="Times New Roman" w:cs="Times New Roman"/>
          <w:b/>
          <w:bCs/>
          <w:rtl/>
          <w:lang w:eastAsia="de-DE"/>
        </w:rPr>
        <w:t>הַטּ֣וֹב הַה֗וּא</w:t>
      </w:r>
      <w:r w:rsidRPr="00EE70D7">
        <w:rPr>
          <w:rFonts w:eastAsia="Times New Roman" w:cs="Times New Roman"/>
          <w:rtl/>
          <w:lang w:eastAsia="de-DE"/>
        </w:rPr>
        <w:t xml:space="preserve"> </w:t>
      </w:r>
      <w:r w:rsidRPr="00EE70D7">
        <w:rPr>
          <w:rFonts w:eastAsia="Times New Roman" w:cs="Times New Roman"/>
          <w:lang w:eastAsia="de-DE"/>
        </w:rPr>
        <w:t xml:space="preserve">(jenes Gute), </w:t>
      </w:r>
      <w:r w:rsidRPr="00EE70D7">
        <w:rPr>
          <w:rFonts w:eastAsia="Times New Roman" w:cs="Times New Roman"/>
          <w:b/>
          <w:bCs/>
          <w:rtl/>
          <w:lang w:eastAsia="de-DE"/>
        </w:rPr>
        <w:t>יֵיטִ֧יב</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יטב</w:t>
      </w:r>
      <w:r w:rsidRPr="00EE70D7">
        <w:rPr>
          <w:rFonts w:eastAsia="Times New Roman" w:cs="Times New Roman"/>
          <w:rtl/>
          <w:lang w:eastAsia="de-DE"/>
        </w:rPr>
        <w:t xml:space="preserve"> </w:t>
      </w:r>
      <w:r w:rsidRPr="00EE70D7">
        <w:rPr>
          <w:rFonts w:eastAsia="Times New Roman" w:cs="Times New Roman"/>
          <w:lang w:eastAsia="de-DE"/>
        </w:rPr>
        <w:t xml:space="preserve">(gut tun) im Hiph'il und </w:t>
      </w:r>
      <w:r w:rsidRPr="00EE70D7">
        <w:rPr>
          <w:rFonts w:eastAsia="Times New Roman" w:cs="Times New Roman"/>
          <w:b/>
          <w:bCs/>
          <w:rtl/>
          <w:lang w:eastAsia="de-DE"/>
        </w:rPr>
        <w:t>הֵטַ֥בְנוּ</w:t>
      </w:r>
      <w:r w:rsidRPr="00EE70D7">
        <w:rPr>
          <w:rFonts w:eastAsia="Times New Roman" w:cs="Times New Roman"/>
          <w:rtl/>
          <w:lang w:eastAsia="de-DE"/>
        </w:rPr>
        <w:t xml:space="preserve"> </w:t>
      </w:r>
      <w:r w:rsidRPr="00EE70D7">
        <w:rPr>
          <w:rFonts w:eastAsia="Times New Roman" w:cs="Times New Roman"/>
          <w:lang w:eastAsia="de-DE"/>
        </w:rPr>
        <w:t>(wir werden gut tun) zeigt Partizipation an göttlichen Segnungen.</w:t>
      </w:r>
    </w:p>
    <w:p w14:paraId="2C7F9AA9"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Die LXX</w:t>
      </w:r>
      <w:r w:rsidRPr="00EE70D7">
        <w:rPr>
          <w:rFonts w:eastAsia="Times New Roman" w:cs="Times New Roman"/>
          <w:lang w:eastAsia="de-DE"/>
        </w:rPr>
        <w:t xml:space="preserve"> übersetzt </w:t>
      </w:r>
      <w:r w:rsidRPr="00EE70D7">
        <w:rPr>
          <w:rFonts w:eastAsia="Times New Roman" w:cs="Times New Roman"/>
          <w:b/>
          <w:bCs/>
          <w:rtl/>
          <w:lang w:eastAsia="de-DE"/>
        </w:rPr>
        <w:t>כִּי־תֵלֵ֣ךְ</w:t>
      </w:r>
      <w:r w:rsidRPr="00EE70D7">
        <w:rPr>
          <w:rFonts w:eastAsia="Times New Roman" w:cs="Times New Roman"/>
          <w:rtl/>
          <w:lang w:eastAsia="de-DE"/>
        </w:rPr>
        <w:t xml:space="preserve"> </w:t>
      </w:r>
      <w:r w:rsidRPr="00EE70D7">
        <w:rPr>
          <w:rFonts w:eastAsia="Times New Roman" w:cs="Times New Roman"/>
          <w:lang w:eastAsia="de-DE"/>
        </w:rPr>
        <w:t xml:space="preserve">mit ἐὰν πορευθῇς (wenn du gehst) und </w:t>
      </w:r>
      <w:r w:rsidRPr="00EE70D7">
        <w:rPr>
          <w:rFonts w:eastAsia="Times New Roman" w:cs="Times New Roman"/>
          <w:b/>
          <w:bCs/>
          <w:rtl/>
          <w:lang w:eastAsia="de-DE"/>
        </w:rPr>
        <w:t>יֵיטִ֧יב</w:t>
      </w:r>
      <w:r w:rsidRPr="00EE70D7">
        <w:rPr>
          <w:rFonts w:eastAsia="Times New Roman" w:cs="Times New Roman"/>
          <w:rtl/>
          <w:lang w:eastAsia="de-DE"/>
        </w:rPr>
        <w:t xml:space="preserve"> </w:t>
      </w:r>
      <w:r w:rsidRPr="00EE70D7">
        <w:rPr>
          <w:rFonts w:eastAsia="Times New Roman" w:cs="Times New Roman"/>
          <w:lang w:eastAsia="de-DE"/>
        </w:rPr>
        <w:t>mit ἀγαθοποιήσῃ (Gutes tun wird).</w:t>
      </w:r>
    </w:p>
    <w:p w14:paraId="365D1412"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 Satzstruktur zeigt konditionelle Verheißung mit Partizipationsangebot an göttlichen Segnungen.</w:t>
      </w:r>
    </w:p>
    <w:p w14:paraId="2BD7C5BD" w14:textId="3327642B" w:rsid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Dieser Vers komplettiert Moses Überredungsargument mit der Verheißung der Teilhabe an göttlichen Segnungen.</w:t>
      </w:r>
    </w:p>
    <w:p w14:paraId="6527A7E3" w14:textId="106E033E" w:rsidR="003B44ED" w:rsidRPr="00F06C27" w:rsidRDefault="003B44ED" w:rsidP="00F06C27">
      <w:pPr>
        <w:pStyle w:val="berschrift4"/>
        <w:rPr>
          <w:b/>
          <w:bCs/>
        </w:rPr>
      </w:pPr>
      <w:r w:rsidRPr="00F06C27">
        <w:rPr>
          <w:rStyle w:val="Fett"/>
          <w:b w:val="0"/>
          <w:bCs w:val="0"/>
        </w:rPr>
        <w:t xml:space="preserve">Exkurs: </w:t>
      </w:r>
      <w:r w:rsidR="005B024E" w:rsidRPr="00F06C27">
        <w:rPr>
          <w:rStyle w:val="Fett"/>
          <w:b w:val="0"/>
          <w:bCs w:val="0"/>
        </w:rPr>
        <w:t>Chovav</w:t>
      </w:r>
      <w:r w:rsidRPr="00F06C27">
        <w:rPr>
          <w:rStyle w:val="Fett"/>
          <w:b w:val="0"/>
          <w:bCs w:val="0"/>
        </w:rPr>
        <w:t>, Reuel, Jitro – Wer ist wer?</w:t>
      </w:r>
    </w:p>
    <w:p w14:paraId="3D60919F" w14:textId="77777777" w:rsidR="003B44ED" w:rsidRDefault="003B44ED" w:rsidP="003B44ED">
      <w:pPr>
        <w:pStyle w:val="whitespace-normal"/>
      </w:pPr>
      <w:r>
        <w:rPr>
          <w:rStyle w:val="Fett"/>
        </w:rPr>
        <w:t>Das Problem:</w:t>
      </w:r>
    </w:p>
    <w:tbl>
      <w:tblPr>
        <w:tblStyle w:val="Tabellenraster"/>
        <w:tblW w:w="4994" w:type="pct"/>
        <w:tblLook w:val="04A0" w:firstRow="1" w:lastRow="0" w:firstColumn="1" w:lastColumn="0" w:noHBand="0" w:noVBand="1"/>
      </w:tblPr>
      <w:tblGrid>
        <w:gridCol w:w="1847"/>
        <w:gridCol w:w="2133"/>
        <w:gridCol w:w="3042"/>
        <w:gridCol w:w="2029"/>
      </w:tblGrid>
      <w:tr w:rsidR="005B024E" w14:paraId="5CCA0153" w14:textId="77777777" w:rsidTr="005B024E">
        <w:tc>
          <w:tcPr>
            <w:tcW w:w="1020" w:type="pct"/>
          </w:tcPr>
          <w:p w14:paraId="33C472E0" w14:textId="63E04407" w:rsidR="003B44ED" w:rsidRDefault="003B44ED" w:rsidP="00EE70D7">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Stelle</w:t>
            </w:r>
          </w:p>
        </w:tc>
        <w:tc>
          <w:tcPr>
            <w:tcW w:w="1178" w:type="pct"/>
          </w:tcPr>
          <w:p w14:paraId="1277D691" w14:textId="43337FE6" w:rsidR="003B44ED" w:rsidRDefault="003B44ED" w:rsidP="00EE70D7">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Name</w:t>
            </w:r>
          </w:p>
        </w:tc>
        <w:tc>
          <w:tcPr>
            <w:tcW w:w="1680" w:type="pct"/>
          </w:tcPr>
          <w:p w14:paraId="1A6F2E54" w14:textId="409D722F" w:rsidR="003B44ED" w:rsidRDefault="003B44ED" w:rsidP="00EE70D7">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Relation zu Mose</w:t>
            </w:r>
          </w:p>
        </w:tc>
        <w:tc>
          <w:tcPr>
            <w:tcW w:w="1121" w:type="pct"/>
          </w:tcPr>
          <w:p w14:paraId="36510217" w14:textId="6656CDEE" w:rsidR="003B44ED" w:rsidRDefault="003B44ED" w:rsidP="00EE70D7">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Stamm</w:t>
            </w:r>
          </w:p>
        </w:tc>
      </w:tr>
      <w:tr w:rsidR="005B024E" w:rsidRPr="003B44ED" w14:paraId="1E76CAC4" w14:textId="77777777" w:rsidTr="005B024E">
        <w:tc>
          <w:tcPr>
            <w:tcW w:w="1020" w:type="pct"/>
            <w:hideMark/>
          </w:tcPr>
          <w:p w14:paraId="1012D440"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b/>
                <w:bCs/>
                <w:lang w:eastAsia="de-DE"/>
              </w:rPr>
              <w:t>Ex 2,18</w:t>
            </w:r>
          </w:p>
        </w:tc>
        <w:tc>
          <w:tcPr>
            <w:tcW w:w="1178" w:type="pct"/>
            <w:hideMark/>
          </w:tcPr>
          <w:p w14:paraId="3D654AD4"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b/>
                <w:bCs/>
                <w:lang w:eastAsia="de-DE"/>
              </w:rPr>
              <w:t>Reuel</w:t>
            </w:r>
          </w:p>
        </w:tc>
        <w:tc>
          <w:tcPr>
            <w:tcW w:w="1680" w:type="pct"/>
            <w:hideMark/>
          </w:tcPr>
          <w:p w14:paraId="71F48DF7"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lang w:eastAsia="de-DE"/>
              </w:rPr>
              <w:t>Schwiegervater</w:t>
            </w:r>
          </w:p>
        </w:tc>
        <w:tc>
          <w:tcPr>
            <w:tcW w:w="1121" w:type="pct"/>
            <w:hideMark/>
          </w:tcPr>
          <w:p w14:paraId="4DF72C99"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lang w:eastAsia="de-DE"/>
              </w:rPr>
              <w:t>Midianiter/Priester</w:t>
            </w:r>
          </w:p>
        </w:tc>
      </w:tr>
      <w:tr w:rsidR="005B024E" w:rsidRPr="003B44ED" w14:paraId="3F5FCCD2" w14:textId="77777777" w:rsidTr="005B024E">
        <w:tc>
          <w:tcPr>
            <w:tcW w:w="1020" w:type="pct"/>
            <w:hideMark/>
          </w:tcPr>
          <w:p w14:paraId="4E4D8B3B"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b/>
                <w:bCs/>
                <w:lang w:eastAsia="de-DE"/>
              </w:rPr>
              <w:t>Ex 3,1; 4,18; 18,1</w:t>
            </w:r>
          </w:p>
        </w:tc>
        <w:tc>
          <w:tcPr>
            <w:tcW w:w="1178" w:type="pct"/>
            <w:hideMark/>
          </w:tcPr>
          <w:p w14:paraId="0FE341F5"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b/>
                <w:bCs/>
                <w:lang w:eastAsia="de-DE"/>
              </w:rPr>
              <w:t>Jitro</w:t>
            </w:r>
          </w:p>
        </w:tc>
        <w:tc>
          <w:tcPr>
            <w:tcW w:w="1680" w:type="pct"/>
            <w:hideMark/>
          </w:tcPr>
          <w:p w14:paraId="1C662095"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lang w:eastAsia="de-DE"/>
              </w:rPr>
              <w:t>Schwiegervater</w:t>
            </w:r>
          </w:p>
        </w:tc>
        <w:tc>
          <w:tcPr>
            <w:tcW w:w="1121" w:type="pct"/>
            <w:hideMark/>
          </w:tcPr>
          <w:p w14:paraId="14FCC009"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lang w:eastAsia="de-DE"/>
              </w:rPr>
              <w:t>Midianiter/Priester</w:t>
            </w:r>
          </w:p>
        </w:tc>
      </w:tr>
      <w:tr w:rsidR="005B024E" w:rsidRPr="003B44ED" w14:paraId="54A108BC" w14:textId="77777777" w:rsidTr="005B024E">
        <w:tc>
          <w:tcPr>
            <w:tcW w:w="1020" w:type="pct"/>
            <w:hideMark/>
          </w:tcPr>
          <w:p w14:paraId="59416CEE"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b/>
                <w:bCs/>
                <w:lang w:eastAsia="de-DE"/>
              </w:rPr>
              <w:lastRenderedPageBreak/>
              <w:t>Num 10,29</w:t>
            </w:r>
          </w:p>
        </w:tc>
        <w:tc>
          <w:tcPr>
            <w:tcW w:w="1178" w:type="pct"/>
            <w:hideMark/>
          </w:tcPr>
          <w:p w14:paraId="3DFCBBBB" w14:textId="199A6A8D" w:rsidR="003B44ED" w:rsidRPr="003B44ED" w:rsidRDefault="005B024E" w:rsidP="003B44ED">
            <w:pPr>
              <w:spacing w:line="240" w:lineRule="auto"/>
              <w:rPr>
                <w:rFonts w:eastAsia="Times New Roman" w:cs="Times New Roman"/>
                <w:lang w:eastAsia="de-DE"/>
              </w:rPr>
            </w:pPr>
            <w:r>
              <w:rPr>
                <w:rFonts w:eastAsia="Times New Roman" w:cs="Times New Roman"/>
                <w:b/>
                <w:bCs/>
                <w:lang w:eastAsia="de-DE"/>
              </w:rPr>
              <w:t>Chovav</w:t>
            </w:r>
            <w:r w:rsidR="003B44ED" w:rsidRPr="003B44ED">
              <w:rPr>
                <w:rFonts w:eastAsia="Times New Roman" w:cs="Times New Roman"/>
                <w:b/>
                <w:bCs/>
                <w:lang w:eastAsia="de-DE"/>
              </w:rPr>
              <w:t xml:space="preserve"> ben Reuel</w:t>
            </w:r>
          </w:p>
        </w:tc>
        <w:tc>
          <w:tcPr>
            <w:tcW w:w="1680" w:type="pct"/>
            <w:hideMark/>
          </w:tcPr>
          <w:p w14:paraId="23BAC389"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rtl/>
                <w:lang w:eastAsia="de-DE"/>
              </w:rPr>
              <w:t>חֹתֵן</w:t>
            </w:r>
            <w:r w:rsidRPr="003B44ED">
              <w:rPr>
                <w:rFonts w:eastAsia="Times New Roman" w:cs="Times New Roman"/>
                <w:lang w:eastAsia="de-DE"/>
              </w:rPr>
              <w:t xml:space="preserve"> (Schwiegervater/</w:t>
            </w:r>
            <w:r w:rsidRPr="003B44ED">
              <w:rPr>
                <w:rFonts w:eastAsia="Times New Roman" w:cs="Times New Roman"/>
                <w:b/>
                <w:bCs/>
                <w:lang w:eastAsia="de-DE"/>
              </w:rPr>
              <w:t>Schwager</w:t>
            </w:r>
            <w:r w:rsidRPr="003B44ED">
              <w:rPr>
                <w:rFonts w:eastAsia="Times New Roman" w:cs="Times New Roman"/>
                <w:lang w:eastAsia="de-DE"/>
              </w:rPr>
              <w:t>?)</w:t>
            </w:r>
          </w:p>
        </w:tc>
        <w:tc>
          <w:tcPr>
            <w:tcW w:w="1121" w:type="pct"/>
            <w:hideMark/>
          </w:tcPr>
          <w:p w14:paraId="4EEC2700"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lang w:eastAsia="de-DE"/>
              </w:rPr>
              <w:t>Midianiter</w:t>
            </w:r>
          </w:p>
        </w:tc>
      </w:tr>
      <w:tr w:rsidR="005B024E" w:rsidRPr="003B44ED" w14:paraId="0BE2EB30" w14:textId="77777777" w:rsidTr="005B024E">
        <w:tc>
          <w:tcPr>
            <w:tcW w:w="1020" w:type="pct"/>
            <w:hideMark/>
          </w:tcPr>
          <w:p w14:paraId="40D8F70D"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b/>
                <w:bCs/>
                <w:lang w:eastAsia="de-DE"/>
              </w:rPr>
              <w:t>Ri 1,16; 4,11</w:t>
            </w:r>
          </w:p>
        </w:tc>
        <w:tc>
          <w:tcPr>
            <w:tcW w:w="1178" w:type="pct"/>
            <w:hideMark/>
          </w:tcPr>
          <w:p w14:paraId="5E8A96FF" w14:textId="2F9C1DD8" w:rsidR="003B44ED" w:rsidRPr="003B44ED" w:rsidRDefault="005B024E" w:rsidP="003B44ED">
            <w:pPr>
              <w:spacing w:line="240" w:lineRule="auto"/>
              <w:rPr>
                <w:rFonts w:eastAsia="Times New Roman" w:cs="Times New Roman"/>
                <w:lang w:eastAsia="de-DE"/>
              </w:rPr>
            </w:pPr>
            <w:r>
              <w:rPr>
                <w:rFonts w:eastAsia="Times New Roman" w:cs="Times New Roman"/>
                <w:b/>
                <w:bCs/>
                <w:lang w:eastAsia="de-DE"/>
              </w:rPr>
              <w:t>Chovav</w:t>
            </w:r>
          </w:p>
        </w:tc>
        <w:tc>
          <w:tcPr>
            <w:tcW w:w="1680" w:type="pct"/>
            <w:hideMark/>
          </w:tcPr>
          <w:p w14:paraId="05CF9659"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lang w:eastAsia="de-DE"/>
              </w:rPr>
              <w:t>Schwiegervater (?)</w:t>
            </w:r>
          </w:p>
        </w:tc>
        <w:tc>
          <w:tcPr>
            <w:tcW w:w="1121" w:type="pct"/>
            <w:hideMark/>
          </w:tcPr>
          <w:p w14:paraId="07C7826B" w14:textId="77777777" w:rsidR="003B44ED" w:rsidRPr="003B44ED" w:rsidRDefault="003B44ED" w:rsidP="003B44ED">
            <w:pPr>
              <w:spacing w:line="240" w:lineRule="auto"/>
              <w:rPr>
                <w:rFonts w:eastAsia="Times New Roman" w:cs="Times New Roman"/>
                <w:lang w:eastAsia="de-DE"/>
              </w:rPr>
            </w:pPr>
            <w:r w:rsidRPr="003B44ED">
              <w:rPr>
                <w:rFonts w:eastAsia="Times New Roman" w:cs="Times New Roman"/>
                <w:lang w:eastAsia="de-DE"/>
              </w:rPr>
              <w:t>Keniter</w:t>
            </w:r>
          </w:p>
        </w:tc>
      </w:tr>
    </w:tbl>
    <w:p w14:paraId="4E24708F" w14:textId="77777777" w:rsidR="005B024E" w:rsidRDefault="005B024E" w:rsidP="005B024E">
      <w:pPr>
        <w:pStyle w:val="whitespace-normal"/>
      </w:pPr>
      <w:r>
        <w:rPr>
          <w:rStyle w:val="Fett"/>
        </w:rPr>
        <w:t>Mögliche Lösungen:</w:t>
      </w:r>
    </w:p>
    <w:p w14:paraId="66FEF457" w14:textId="704B27EA" w:rsidR="005B024E" w:rsidRDefault="005B024E" w:rsidP="005B024E">
      <w:pPr>
        <w:pStyle w:val="whitespace-normal"/>
      </w:pPr>
      <w:r>
        <w:rPr>
          <w:rStyle w:val="Fett"/>
        </w:rPr>
        <w:t>1. Chovav = Jitro (Identität):</w:t>
      </w:r>
    </w:p>
    <w:p w14:paraId="5DF09801" w14:textId="77777777" w:rsidR="005B024E" w:rsidRDefault="005B024E" w:rsidP="005B024E">
      <w:pPr>
        <w:pStyle w:val="whitespace-normal"/>
        <w:numPr>
          <w:ilvl w:val="0"/>
          <w:numId w:val="82"/>
        </w:numPr>
      </w:pPr>
      <w:r>
        <w:rPr>
          <w:rStyle w:val="Fett"/>
        </w:rPr>
        <w:t>Reuel</w:t>
      </w:r>
      <w:r>
        <w:t xml:space="preserve"> = Großvater (Vater von Jitro)</w:t>
      </w:r>
    </w:p>
    <w:p w14:paraId="72043581" w14:textId="5E5C2FAC" w:rsidR="005B024E" w:rsidRDefault="005B024E" w:rsidP="005B024E">
      <w:pPr>
        <w:pStyle w:val="whitespace-normal"/>
        <w:numPr>
          <w:ilvl w:val="0"/>
          <w:numId w:val="82"/>
        </w:numPr>
      </w:pPr>
      <w:r>
        <w:rPr>
          <w:rStyle w:val="Fett"/>
        </w:rPr>
        <w:t>Jitro/Chovav</w:t>
      </w:r>
      <w:r>
        <w:t xml:space="preserve"> = Moses Schwiegervater (derselbe Mann, zwei Namen)</w:t>
      </w:r>
    </w:p>
    <w:p w14:paraId="26857938" w14:textId="6C81CB77" w:rsidR="005B024E" w:rsidRDefault="005B024E" w:rsidP="005B024E">
      <w:pPr>
        <w:pStyle w:val="whitespace-normal"/>
        <w:numPr>
          <w:ilvl w:val="0"/>
          <w:numId w:val="82"/>
        </w:numPr>
      </w:pPr>
      <w:r>
        <w:rPr>
          <w:rStyle w:val="Fett"/>
        </w:rPr>
        <w:t>Problem:</w:t>
      </w:r>
      <w:r>
        <w:t xml:space="preserve"> Num 10,29 nennt Chovav "ben Reuel" (Sohn Reuels), nicht Enkel</w:t>
      </w:r>
    </w:p>
    <w:p w14:paraId="69882DC9" w14:textId="006EB241" w:rsidR="005B024E" w:rsidRDefault="005B024E" w:rsidP="005B024E">
      <w:pPr>
        <w:pStyle w:val="whitespace-normal"/>
      </w:pPr>
      <w:r>
        <w:rPr>
          <w:rStyle w:val="Fett"/>
        </w:rPr>
        <w:t>2. Chovav = Schwager (Bruder der Zipora):</w:t>
      </w:r>
    </w:p>
    <w:p w14:paraId="28516D0F" w14:textId="77777777" w:rsidR="005B024E" w:rsidRDefault="005B024E" w:rsidP="005B024E">
      <w:pPr>
        <w:pStyle w:val="whitespace-normal"/>
        <w:numPr>
          <w:ilvl w:val="0"/>
          <w:numId w:val="83"/>
        </w:numPr>
      </w:pPr>
      <w:r>
        <w:rPr>
          <w:rStyle w:val="Fett"/>
        </w:rPr>
        <w:t>Reuel/Jitro</w:t>
      </w:r>
      <w:r>
        <w:t xml:space="preserve"> = Moses Schwiegervater (derselbe Mann, zwei Namen)</w:t>
      </w:r>
    </w:p>
    <w:p w14:paraId="56D1A7A6" w14:textId="2423409C" w:rsidR="005B024E" w:rsidRDefault="005B024E" w:rsidP="005B024E">
      <w:pPr>
        <w:pStyle w:val="whitespace-normal"/>
        <w:numPr>
          <w:ilvl w:val="0"/>
          <w:numId w:val="83"/>
        </w:numPr>
      </w:pPr>
      <w:r>
        <w:rPr>
          <w:rStyle w:val="Fett"/>
        </w:rPr>
        <w:t>Chovav</w:t>
      </w:r>
      <w:r>
        <w:t xml:space="preserve"> = Sohn Reuels/Jitros = Moses </w:t>
      </w:r>
      <w:r>
        <w:rPr>
          <w:rStyle w:val="Fett"/>
        </w:rPr>
        <w:t>Schwager</w:t>
      </w:r>
    </w:p>
    <w:p w14:paraId="441964EB" w14:textId="77777777" w:rsidR="005B024E" w:rsidRDefault="005B024E" w:rsidP="005B024E">
      <w:pPr>
        <w:pStyle w:val="whitespace-normal"/>
        <w:numPr>
          <w:ilvl w:val="0"/>
          <w:numId w:val="83"/>
        </w:numPr>
      </w:pPr>
      <w:r>
        <w:rPr>
          <w:rStyle w:val="Fett"/>
        </w:rPr>
        <w:t>Lösung:</w:t>
      </w:r>
      <w:r>
        <w:t xml:space="preserve"> </w:t>
      </w:r>
      <w:r>
        <w:rPr>
          <w:rtl/>
        </w:rPr>
        <w:t>חֹתֵן</w:t>
      </w:r>
      <w:r>
        <w:t xml:space="preserve"> kann sowohl "Schwiegervater" als auch "Schwager" bedeuten!</w:t>
      </w:r>
    </w:p>
    <w:p w14:paraId="1D416E81" w14:textId="77777777" w:rsidR="005B024E" w:rsidRDefault="005B024E" w:rsidP="005B024E">
      <w:pPr>
        <w:pStyle w:val="whitespace-normal"/>
        <w:numPr>
          <w:ilvl w:val="0"/>
          <w:numId w:val="83"/>
        </w:numPr>
      </w:pPr>
      <w:r>
        <w:rPr>
          <w:rStyle w:val="Fett"/>
        </w:rPr>
        <w:t>Bevorzugte Lösung</w:t>
      </w:r>
      <w:r>
        <w:t xml:space="preserve"> (LXX: γαμβρός = "Schwager")</w:t>
      </w:r>
    </w:p>
    <w:p w14:paraId="72390A40" w14:textId="77777777" w:rsidR="005B024E" w:rsidRDefault="005B024E" w:rsidP="005B024E">
      <w:pPr>
        <w:pStyle w:val="whitespace-normal"/>
      </w:pPr>
      <w:r>
        <w:rPr>
          <w:rStyle w:val="Fett"/>
        </w:rPr>
        <w:t>3. Reuel ≠ Jitro (zwei verschiedene Personen):</w:t>
      </w:r>
    </w:p>
    <w:p w14:paraId="114B2CB8" w14:textId="77777777" w:rsidR="005B024E" w:rsidRDefault="005B024E" w:rsidP="005B024E">
      <w:pPr>
        <w:pStyle w:val="whitespace-normal"/>
        <w:numPr>
          <w:ilvl w:val="0"/>
          <w:numId w:val="84"/>
        </w:numPr>
      </w:pPr>
      <w:r>
        <w:rPr>
          <w:rStyle w:val="Fett"/>
        </w:rPr>
        <w:t>Reuel</w:t>
      </w:r>
      <w:r>
        <w:t xml:space="preserve"> = erster Schwiegervater (Ex 2,18)</w:t>
      </w:r>
    </w:p>
    <w:p w14:paraId="0BFF3EE0" w14:textId="77777777" w:rsidR="005B024E" w:rsidRDefault="005B024E" w:rsidP="005B024E">
      <w:pPr>
        <w:pStyle w:val="whitespace-normal"/>
        <w:numPr>
          <w:ilvl w:val="0"/>
          <w:numId w:val="84"/>
        </w:numPr>
      </w:pPr>
      <w:r>
        <w:rPr>
          <w:rStyle w:val="Fett"/>
        </w:rPr>
        <w:t>Jitro</w:t>
      </w:r>
      <w:r>
        <w:t xml:space="preserve"> = zweiter Schwiegervater oder Ehrenname ("seine Exzellenz")</w:t>
      </w:r>
    </w:p>
    <w:p w14:paraId="5A1BDB69" w14:textId="77777777" w:rsidR="005B024E" w:rsidRDefault="005B024E" w:rsidP="005B024E">
      <w:pPr>
        <w:pStyle w:val="whitespace-normal"/>
        <w:numPr>
          <w:ilvl w:val="0"/>
          <w:numId w:val="84"/>
        </w:numPr>
      </w:pPr>
      <w:r>
        <w:rPr>
          <w:rStyle w:val="Fett"/>
        </w:rPr>
        <w:t>Problem:</w:t>
      </w:r>
      <w:r>
        <w:t xml:space="preserve"> Keine biblische Evidenz für zwei Ehen Moses</w:t>
      </w:r>
    </w:p>
    <w:p w14:paraId="79BD2248" w14:textId="77777777" w:rsidR="005B024E" w:rsidRDefault="005B024E" w:rsidP="005B024E">
      <w:pPr>
        <w:pStyle w:val="whitespace-normal"/>
      </w:pPr>
      <w:r>
        <w:rPr>
          <w:rStyle w:val="Fett"/>
        </w:rPr>
        <w:t>Spätere Tradition:</w:t>
      </w:r>
    </w:p>
    <w:p w14:paraId="67D92DDF" w14:textId="7B5611E7" w:rsidR="005B024E" w:rsidRDefault="005B024E" w:rsidP="005B024E">
      <w:pPr>
        <w:pStyle w:val="whitespace-normal"/>
        <w:numPr>
          <w:ilvl w:val="0"/>
          <w:numId w:val="85"/>
        </w:numPr>
      </w:pPr>
      <w:r>
        <w:rPr>
          <w:rStyle w:val="Fett"/>
        </w:rPr>
        <w:t>Targum Jonathan:</w:t>
      </w:r>
      <w:r>
        <w:t xml:space="preserve"> Chovav = zweiter Name für Jitro</w:t>
      </w:r>
    </w:p>
    <w:p w14:paraId="11C1BED3" w14:textId="1E95E321" w:rsidR="005B024E" w:rsidRDefault="005B024E" w:rsidP="005B024E">
      <w:pPr>
        <w:pStyle w:val="whitespace-normal"/>
        <w:numPr>
          <w:ilvl w:val="0"/>
          <w:numId w:val="85"/>
        </w:numPr>
      </w:pPr>
      <w:r>
        <w:rPr>
          <w:rStyle w:val="Fett"/>
        </w:rPr>
        <w:t>Rashi:</w:t>
      </w:r>
      <w:r>
        <w:t xml:space="preserve"> Chovav = Schwager (Bruder der Zipora)</w:t>
      </w:r>
    </w:p>
    <w:p w14:paraId="50C24CF7" w14:textId="1B1792B4" w:rsidR="005B024E" w:rsidRDefault="005B024E" w:rsidP="005B024E">
      <w:pPr>
        <w:pStyle w:val="whitespace-normal"/>
        <w:numPr>
          <w:ilvl w:val="0"/>
          <w:numId w:val="85"/>
        </w:numPr>
      </w:pPr>
      <w:r>
        <w:rPr>
          <w:rStyle w:val="Fett"/>
        </w:rPr>
        <w:t>Ibn Ezra:</w:t>
      </w:r>
      <w:r>
        <w:t xml:space="preserve"> Reuel = Großvater, Jitro = Vater, Chovav = Onkel</w:t>
      </w:r>
    </w:p>
    <w:p w14:paraId="490F6EEE" w14:textId="77777777" w:rsidR="005B024E" w:rsidRDefault="005B024E" w:rsidP="005B024E">
      <w:pPr>
        <w:pStyle w:val="whitespace-normal"/>
      </w:pPr>
      <w:r>
        <w:rPr>
          <w:rStyle w:val="Fett"/>
        </w:rPr>
        <w:t>Ri 1,16 / 4,11: "Keniter"?</w:t>
      </w:r>
    </w:p>
    <w:p w14:paraId="701F7A13" w14:textId="77CFA448" w:rsidR="005B024E" w:rsidRDefault="005B024E" w:rsidP="005B024E">
      <w:pPr>
        <w:pStyle w:val="whitespace-normal"/>
      </w:pPr>
      <w:r>
        <w:t xml:space="preserve">Ri 1,16 nennt Chovav einen </w:t>
      </w:r>
      <w:r>
        <w:rPr>
          <w:rStyle w:val="Fett"/>
        </w:rPr>
        <w:t>Keniter</w:t>
      </w:r>
      <w:r>
        <w:t xml:space="preserve"> (</w:t>
      </w:r>
      <w:r>
        <w:rPr>
          <w:rtl/>
        </w:rPr>
        <w:t>קֵינִי</w:t>
      </w:r>
      <w:r>
        <w:t>), nicht Midianiter:</w:t>
      </w:r>
    </w:p>
    <w:p w14:paraId="029B0E09" w14:textId="77777777" w:rsidR="005B024E" w:rsidRDefault="005B024E" w:rsidP="005B024E">
      <w:pPr>
        <w:pStyle w:val="whitespace-normal"/>
      </w:pPr>
      <w:r>
        <w:t xml:space="preserve">"Die Söhne des </w:t>
      </w:r>
      <w:r>
        <w:rPr>
          <w:rStyle w:val="Fett"/>
        </w:rPr>
        <w:t>Keniters</w:t>
      </w:r>
      <w:r>
        <w:t>, des Schwiegervaters Moses" (</w:t>
      </w:r>
      <w:r>
        <w:rPr>
          <w:rtl/>
        </w:rPr>
        <w:t>בְנֵי קֵינִי חֹתֵן מֹשֶׁה</w:t>
      </w:r>
      <w:r>
        <w:t>)</w:t>
      </w:r>
    </w:p>
    <w:p w14:paraId="11762EBD" w14:textId="77777777" w:rsidR="005B024E" w:rsidRDefault="005B024E" w:rsidP="005B024E">
      <w:pPr>
        <w:pStyle w:val="whitespace-normal"/>
      </w:pPr>
      <w:r>
        <w:rPr>
          <w:rStyle w:val="Fett"/>
        </w:rPr>
        <w:t>Lösung:</w:t>
      </w:r>
      <w:r>
        <w:t xml:space="preserve"> Keniter waren ein </w:t>
      </w:r>
      <w:r>
        <w:rPr>
          <w:rStyle w:val="Fett"/>
        </w:rPr>
        <w:t>Zweig</w:t>
      </w:r>
      <w:r>
        <w:t xml:space="preserve"> der Midianiter (Gen 15,19), also kein Widerspruch.</w:t>
      </w:r>
    </w:p>
    <w:p w14:paraId="093AA48F" w14:textId="4F87F16C" w:rsidR="003B44ED" w:rsidRPr="00EE70D7" w:rsidRDefault="005B024E" w:rsidP="005B024E">
      <w:pPr>
        <w:pStyle w:val="whitespace-normal"/>
      </w:pPr>
      <w:r>
        <w:rPr>
          <w:rStyle w:val="Fett"/>
        </w:rPr>
        <w:t>Fazit:</w:t>
      </w:r>
      <w:r>
        <w:t xml:space="preserve"> Wahrscheinlich war </w:t>
      </w:r>
      <w:r>
        <w:rPr>
          <w:rStyle w:val="Fett"/>
        </w:rPr>
        <w:t>Chovav</w:t>
      </w:r>
      <w:r>
        <w:t xml:space="preserve"> Moses </w:t>
      </w:r>
      <w:r>
        <w:rPr>
          <w:rStyle w:val="Fett"/>
        </w:rPr>
        <w:t>Schwager</w:t>
      </w:r>
      <w:r>
        <w:t xml:space="preserve"> (Bruder der Zipora), Sohn von </w:t>
      </w:r>
      <w:r>
        <w:rPr>
          <w:rStyle w:val="Fett"/>
        </w:rPr>
        <w:t>Reuel/Jitro</w:t>
      </w:r>
      <w:r>
        <w:t xml:space="preserve">, und </w:t>
      </w:r>
      <w:r>
        <w:rPr>
          <w:rtl/>
        </w:rPr>
        <w:t>חֹתֵן</w:t>
      </w:r>
      <w:r>
        <w:t xml:space="preserve"> bedeutet hier "Verwandter" im weiteren Sinne.</w:t>
      </w:r>
    </w:p>
    <w:p w14:paraId="0FC9BD47" w14:textId="77777777" w:rsidR="00EE70D7" w:rsidRPr="00EE70D7" w:rsidRDefault="00EE70D7" w:rsidP="00EE70D7">
      <w:pPr>
        <w:spacing w:before="100" w:beforeAutospacing="1" w:after="100" w:afterAutospacing="1" w:line="240" w:lineRule="auto"/>
        <w:outlineLvl w:val="0"/>
        <w:rPr>
          <w:rFonts w:eastAsia="Times New Roman" w:cs="Times New Roman"/>
          <w:b/>
          <w:bCs/>
          <w:kern w:val="36"/>
          <w:sz w:val="48"/>
          <w:szCs w:val="48"/>
          <w:lang w:eastAsia="de-DE"/>
        </w:rPr>
      </w:pPr>
      <w:r w:rsidRPr="00EE70D7">
        <w:rPr>
          <w:rFonts w:eastAsia="Times New Roman" w:cs="Times New Roman"/>
          <w:b/>
          <w:bCs/>
          <w:kern w:val="36"/>
          <w:sz w:val="48"/>
          <w:szCs w:val="48"/>
          <w:lang w:eastAsia="de-DE"/>
        </w:rPr>
        <w:t>Numeri 10,33</w:t>
      </w:r>
    </w:p>
    <w:p w14:paraId="496F098F"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Hebräisch:</w:t>
      </w:r>
      <w:r w:rsidRPr="00EE70D7">
        <w:rPr>
          <w:rFonts w:eastAsia="Times New Roman" w:cs="Times New Roman"/>
          <w:lang w:eastAsia="de-DE"/>
        </w:rPr>
        <w:t xml:space="preserve"> </w:t>
      </w:r>
      <w:r w:rsidRPr="00EE70D7">
        <w:rPr>
          <w:rFonts w:eastAsia="Times New Roman" w:cs="Times New Roman"/>
          <w:rtl/>
          <w:lang w:eastAsia="de-DE"/>
        </w:rPr>
        <w:t>וַיִּסְעוּ֙ מֵהַ֣ר יְהוָ֔ה דֶּ֖רֶךְ שְׁלֹ֣שֶׁת יָמִ֑ים וַאֲר֨וֹן בְּרִית־יְהוָ֜ה נֹסֵ֣עַ לִפְנֵיהֶ֗ם דֶּ֚רֶךְ שְׁלֹ֣שֶׁת יָמִ֔ים לָת֥וּר לָהֶ֖ם מְנוּחָֽה׃</w:t>
      </w:r>
    </w:p>
    <w:p w14:paraId="43CE98B4"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lastRenderedPageBreak/>
        <w:t>Deutsch:</w:t>
      </w:r>
      <w:r w:rsidRPr="00EE70D7">
        <w:rPr>
          <w:rFonts w:eastAsia="Times New Roman" w:cs="Times New Roman"/>
          <w:lang w:eastAsia="de-DE"/>
        </w:rPr>
        <w:t xml:space="preserve"> Und sie brachen auf vom Berg des Ewigen, einen Weg von drei Tagereisen, und die Lade des Bundes des Ewigen zog vor ihnen her einen Weg von drei Tagereisen, um ihnen einen Ruheplatz zu erkunden.</w:t>
      </w:r>
    </w:p>
    <w:p w14:paraId="67C4FE7D" w14:textId="77777777" w:rsidR="00EE70D7" w:rsidRPr="00EE70D7" w:rsidRDefault="00F329DD" w:rsidP="00EE70D7">
      <w:pPr>
        <w:spacing w:after="0" w:line="240" w:lineRule="auto"/>
        <w:rPr>
          <w:rFonts w:eastAsia="Times New Roman" w:cs="Times New Roman"/>
          <w:lang w:eastAsia="de-DE"/>
        </w:rPr>
      </w:pPr>
      <w:r>
        <w:rPr>
          <w:rFonts w:eastAsia="Times New Roman" w:cs="Times New Roman"/>
          <w:noProof/>
          <w:lang w:eastAsia="de-DE"/>
        </w:rPr>
        <w:pict w14:anchorId="4F520442">
          <v:rect id="_x0000_i1376" style="width:0;height:1.5pt" o:hralign="center" o:hrstd="t" o:hr="t" fillcolor="#a0a0a0" stroked="f"/>
        </w:pict>
      </w:r>
    </w:p>
    <w:p w14:paraId="0B63FE18"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b/>
          <w:bCs/>
          <w:lang w:eastAsia="de-DE"/>
        </w:rPr>
        <w:t>Kommentar:</w:t>
      </w:r>
      <w:r w:rsidRPr="00EE70D7">
        <w:rPr>
          <w:rFonts w:eastAsia="Times New Roman" w:cs="Times New Roman"/>
          <w:lang w:eastAsia="de-DE"/>
        </w:rPr>
        <w:t xml:space="preserve"> Das Verb </w:t>
      </w:r>
      <w:r w:rsidRPr="00EE70D7">
        <w:rPr>
          <w:rFonts w:eastAsia="Times New Roman" w:cs="Times New Roman"/>
          <w:b/>
          <w:bCs/>
          <w:rtl/>
          <w:lang w:eastAsia="de-DE"/>
        </w:rPr>
        <w:t>וַיִּסְעוּ֙ מֵהַ֣ר יְהוָ֔ה</w:t>
      </w:r>
      <w:r w:rsidRPr="00EE70D7">
        <w:rPr>
          <w:rFonts w:eastAsia="Times New Roman" w:cs="Times New Roman"/>
          <w:rtl/>
          <w:lang w:eastAsia="de-DE"/>
        </w:rPr>
        <w:t xml:space="preserve"> </w:t>
      </w:r>
      <w:r w:rsidRPr="00EE70D7">
        <w:rPr>
          <w:rFonts w:eastAsia="Times New Roman" w:cs="Times New Roman"/>
          <w:lang w:eastAsia="de-DE"/>
        </w:rPr>
        <w:t xml:space="preserve">(und sie brachen auf vom Berg des Ewigen) mit </w:t>
      </w:r>
      <w:r w:rsidRPr="00EE70D7">
        <w:rPr>
          <w:rFonts w:eastAsia="Times New Roman" w:cs="Times New Roman"/>
          <w:b/>
          <w:bCs/>
          <w:rtl/>
          <w:lang w:eastAsia="de-DE"/>
        </w:rPr>
        <w:t>יִּסְעוּ</w:t>
      </w:r>
      <w:r w:rsidRPr="00EE70D7">
        <w:rPr>
          <w:rFonts w:eastAsia="Times New Roman" w:cs="Times New Roman"/>
          <w:rtl/>
          <w:lang w:eastAsia="de-DE"/>
        </w:rPr>
        <w:t xml:space="preserve"> </w:t>
      </w:r>
      <w:r w:rsidRPr="00EE70D7">
        <w:rPr>
          <w:rFonts w:eastAsia="Times New Roman" w:cs="Times New Roman"/>
          <w:lang w:eastAsia="de-DE"/>
        </w:rPr>
        <w:t xml:space="preserve">von </w:t>
      </w:r>
      <w:r w:rsidRPr="00EE70D7">
        <w:rPr>
          <w:rFonts w:eastAsia="Times New Roman" w:cs="Times New Roman"/>
          <w:b/>
          <w:bCs/>
          <w:rtl/>
          <w:lang w:eastAsia="de-DE"/>
        </w:rPr>
        <w:t>נסע</w:t>
      </w:r>
      <w:r w:rsidRPr="00EE70D7">
        <w:rPr>
          <w:rFonts w:eastAsia="Times New Roman" w:cs="Times New Roman"/>
          <w:rtl/>
          <w:lang w:eastAsia="de-DE"/>
        </w:rPr>
        <w:t xml:space="preserve"> </w:t>
      </w:r>
      <w:r w:rsidRPr="00EE70D7">
        <w:rPr>
          <w:rFonts w:eastAsia="Times New Roman" w:cs="Times New Roman"/>
          <w:lang w:eastAsia="de-DE"/>
        </w:rPr>
        <w:t xml:space="preserve">(aufbrechen) zeigt den definitiven Abschied vom Sinai. </w:t>
      </w:r>
      <w:r w:rsidRPr="00EE70D7">
        <w:rPr>
          <w:rFonts w:eastAsia="Times New Roman" w:cs="Times New Roman"/>
          <w:b/>
          <w:bCs/>
          <w:rtl/>
          <w:lang w:eastAsia="de-DE"/>
        </w:rPr>
        <w:t>הַ֣ר יְהוָ֔ה</w:t>
      </w:r>
      <w:r w:rsidRPr="00EE70D7">
        <w:rPr>
          <w:rFonts w:eastAsia="Times New Roman" w:cs="Times New Roman"/>
          <w:rtl/>
          <w:lang w:eastAsia="de-DE"/>
        </w:rPr>
        <w:t xml:space="preserve"> </w:t>
      </w:r>
      <w:r w:rsidRPr="00EE70D7">
        <w:rPr>
          <w:rFonts w:eastAsia="Times New Roman" w:cs="Times New Roman"/>
          <w:lang w:eastAsia="de-DE"/>
        </w:rPr>
        <w:t>(Berg des Ewigen) ist eine feierliche Bezeichnung für den Sinai als Ort der Gottesoffenbarung.</w:t>
      </w:r>
    </w:p>
    <w:p w14:paraId="16179BCA" w14:textId="77777777" w:rsidR="00EE70D7" w:rsidRPr="00EE70D7" w:rsidRDefault="00EE70D7" w:rsidP="00EE70D7">
      <w:pPr>
        <w:spacing w:before="100" w:beforeAutospacing="1" w:after="100" w:afterAutospacing="1" w:line="240" w:lineRule="auto"/>
        <w:rPr>
          <w:rFonts w:eastAsia="Times New Roman" w:cs="Times New Roman"/>
          <w:lang w:eastAsia="de-DE"/>
        </w:rPr>
      </w:pPr>
      <w:r w:rsidRPr="00EE70D7">
        <w:rPr>
          <w:rFonts w:eastAsia="Times New Roman" w:cs="Times New Roman"/>
          <w:lang w:eastAsia="de-DE"/>
        </w:rPr>
        <w:t xml:space="preserve">Die Distanzangabe </w:t>
      </w:r>
      <w:r w:rsidRPr="00EE70D7">
        <w:rPr>
          <w:rFonts w:eastAsia="Times New Roman" w:cs="Times New Roman"/>
          <w:b/>
          <w:bCs/>
          <w:rtl/>
          <w:lang w:eastAsia="de-DE"/>
        </w:rPr>
        <w:t>דֶּ֖רֶךְ שְׁלֹ֣שֶׁת יָמִ֑ים</w:t>
      </w:r>
      <w:r w:rsidRPr="00EE70D7">
        <w:rPr>
          <w:rFonts w:eastAsia="Times New Roman" w:cs="Times New Roman"/>
          <w:rtl/>
          <w:lang w:eastAsia="de-DE"/>
        </w:rPr>
        <w:t xml:space="preserve"> </w:t>
      </w:r>
      <w:r w:rsidRPr="00EE70D7">
        <w:rPr>
          <w:rFonts w:eastAsia="Times New Roman" w:cs="Times New Roman"/>
          <w:lang w:eastAsia="de-DE"/>
        </w:rPr>
        <w:t xml:space="preserve">(einen Weg von drei Tagereisen) zeigt die erste Wanderungsetappe. Die parallele Aussage </w:t>
      </w:r>
      <w:r w:rsidRPr="00EE70D7">
        <w:rPr>
          <w:rFonts w:eastAsia="Times New Roman" w:cs="Times New Roman"/>
          <w:b/>
          <w:bCs/>
          <w:rtl/>
          <w:lang w:eastAsia="de-DE"/>
        </w:rPr>
        <w:t>וַאֲר֨וֹן בְּרִית־יְהוָ֜ה נֹסֵ֣עַ לִפְנֵיהֶ֗ם דֶּ֚רֶךְ שְׁלֹ֣שֶׁת יָמִ֔ים</w:t>
      </w:r>
      <w:r w:rsidRPr="00EE70D7">
        <w:rPr>
          <w:rFonts w:eastAsia="Times New Roman" w:cs="Times New Roman"/>
          <w:rtl/>
          <w:lang w:eastAsia="de-DE"/>
        </w:rPr>
        <w:t xml:space="preserve"> </w:t>
      </w:r>
      <w:r w:rsidRPr="00EE70D7">
        <w:rPr>
          <w:rFonts w:eastAsia="Times New Roman" w:cs="Times New Roman"/>
          <w:lang w:eastAsia="de-DE"/>
        </w:rPr>
        <w:t xml:space="preserve">mit </w:t>
      </w:r>
      <w:r w:rsidRPr="00EE70D7">
        <w:rPr>
          <w:rFonts w:eastAsia="Times New Roman" w:cs="Times New Roman"/>
          <w:b/>
          <w:bCs/>
          <w:rtl/>
          <w:lang w:eastAsia="de-DE"/>
        </w:rPr>
        <w:t>אֲרוֹן בְּרִית־יְהוָה</w:t>
      </w:r>
      <w:r w:rsidRPr="00EE70D7">
        <w:rPr>
          <w:rFonts w:eastAsia="Times New Roman" w:cs="Times New Roman"/>
          <w:rtl/>
          <w:lang w:eastAsia="de-DE"/>
        </w:rPr>
        <w:t xml:space="preserve"> </w:t>
      </w:r>
      <w:r w:rsidRPr="00EE70D7">
        <w:rPr>
          <w:rFonts w:eastAsia="Times New Roman" w:cs="Times New Roman"/>
          <w:lang w:eastAsia="de-DE"/>
        </w:rPr>
        <w:t xml:space="preserve">(Lade des Bundes des Ewigen) und </w:t>
      </w:r>
      <w:r w:rsidRPr="00EE70D7">
        <w:rPr>
          <w:rFonts w:eastAsia="Times New Roman" w:cs="Times New Roman"/>
          <w:b/>
          <w:bCs/>
          <w:rtl/>
          <w:lang w:eastAsia="de-DE"/>
        </w:rPr>
        <w:t>נֹסֵעַ לִפְנֵיהֶם</w:t>
      </w:r>
      <w:r w:rsidRPr="00EE70D7">
        <w:rPr>
          <w:rFonts w:eastAsia="Times New Roman" w:cs="Times New Roman"/>
          <w:rtl/>
          <w:lang w:eastAsia="de-DE"/>
        </w:rPr>
        <w:t xml:space="preserve"> </w:t>
      </w:r>
      <w:r w:rsidRPr="00EE70D7">
        <w:rPr>
          <w:rFonts w:eastAsia="Times New Roman" w:cs="Times New Roman"/>
          <w:lang w:eastAsia="de-DE"/>
        </w:rPr>
        <w:t>(zog vor ihnen her) zeigt die Bundeslade als Führerin.</w:t>
      </w:r>
    </w:p>
    <w:p w14:paraId="3CA4941A" w14:textId="59AB5603" w:rsidR="00EE70D7" w:rsidRDefault="00EE70D7" w:rsidP="00EE70D7">
      <w:pPr>
        <w:pStyle w:val="whitespace-normal"/>
      </w:pPr>
      <w:r>
        <w:t xml:space="preserve">Die Zweckangabe </w:t>
      </w:r>
      <w:r>
        <w:rPr>
          <w:rStyle w:val="Fett"/>
          <w:rtl/>
        </w:rPr>
        <w:t>לָת֥וּר לָהֶ֖ם מְנוּחָֽה</w:t>
      </w:r>
      <w:r>
        <w:rPr>
          <w:rtl/>
        </w:rPr>
        <w:t xml:space="preserve"> </w:t>
      </w:r>
      <w:r>
        <w:t xml:space="preserve">(um ihnen einen Ruheplatz zu erkunden) mit </w:t>
      </w:r>
      <w:r>
        <w:rPr>
          <w:rStyle w:val="Fett"/>
          <w:rtl/>
        </w:rPr>
        <w:t>לָתוּר</w:t>
      </w:r>
      <w:r>
        <w:rPr>
          <w:rtl/>
        </w:rPr>
        <w:t xml:space="preserve"> </w:t>
      </w:r>
      <w:r>
        <w:t xml:space="preserve">von </w:t>
      </w:r>
      <w:r>
        <w:rPr>
          <w:rStyle w:val="Fett"/>
          <w:rtl/>
        </w:rPr>
        <w:t>תור</w:t>
      </w:r>
      <w:r>
        <w:rPr>
          <w:rtl/>
        </w:rPr>
        <w:t xml:space="preserve"> </w:t>
      </w:r>
      <w:r>
        <w:t>(erkunden) im Qal-Infinitiv-</w:t>
      </w:r>
      <w:r w:rsidR="00F133EC">
        <w:t>Construct</w:t>
      </w:r>
      <w:r>
        <w:t xml:space="preserve"> und </w:t>
      </w:r>
      <w:r>
        <w:rPr>
          <w:rStyle w:val="Fett"/>
          <w:rtl/>
        </w:rPr>
        <w:t>מְנוּחָֽה</w:t>
      </w:r>
      <w:r>
        <w:rPr>
          <w:rtl/>
        </w:rPr>
        <w:t xml:space="preserve"> </w:t>
      </w:r>
      <w:r>
        <w:t xml:space="preserve">(Ruheplatz) von der Wurzel </w:t>
      </w:r>
      <w:r>
        <w:rPr>
          <w:rStyle w:val="Fett"/>
          <w:rtl/>
        </w:rPr>
        <w:t>נוח</w:t>
      </w:r>
      <w:r>
        <w:rPr>
          <w:rtl/>
        </w:rPr>
        <w:t xml:space="preserve"> </w:t>
      </w:r>
      <w:r>
        <w:t>(ruhen) zeigt die Bundeslade als göttlichen Späher für geeignete Rastplätze.</w:t>
      </w:r>
    </w:p>
    <w:p w14:paraId="10D2768D" w14:textId="77777777" w:rsidR="00EE70D7" w:rsidRDefault="00EE70D7" w:rsidP="00EE70D7">
      <w:pPr>
        <w:pStyle w:val="whitespace-normal"/>
      </w:pPr>
      <w:r>
        <w:rPr>
          <w:rStyle w:val="Fett"/>
        </w:rPr>
        <w:t>Die LXX</w:t>
      </w:r>
      <w:r>
        <w:t xml:space="preserve"> übersetzt </w:t>
      </w:r>
      <w:r>
        <w:rPr>
          <w:rStyle w:val="Fett"/>
          <w:rtl/>
        </w:rPr>
        <w:t>מֵהַ֣ר יְהוָ֔ה</w:t>
      </w:r>
      <w:r>
        <w:rPr>
          <w:rtl/>
        </w:rPr>
        <w:t xml:space="preserve"> </w:t>
      </w:r>
      <w:r>
        <w:t xml:space="preserve">mit ἀπὸ τοῦ ὄρους κυρίου (vom Berg des Herrn), </w:t>
      </w:r>
      <w:r>
        <w:rPr>
          <w:rStyle w:val="Fett"/>
          <w:rtl/>
        </w:rPr>
        <w:t>אֲרוֹן בְּרִית־יְהוָה</w:t>
      </w:r>
      <w:r>
        <w:rPr>
          <w:rtl/>
        </w:rPr>
        <w:t xml:space="preserve"> </w:t>
      </w:r>
      <w:r>
        <w:t xml:space="preserve">mit κιβωτὸς διαθήκης κυρίου (Lade des Bundes des Herrn) und </w:t>
      </w:r>
      <w:r>
        <w:rPr>
          <w:rStyle w:val="Fett"/>
          <w:rtl/>
        </w:rPr>
        <w:t>לָתוּר</w:t>
      </w:r>
      <w:r>
        <w:rPr>
          <w:rtl/>
        </w:rPr>
        <w:t xml:space="preserve"> </w:t>
      </w:r>
      <w:r>
        <w:t>mit κατασκέψασθαι (erkunden).</w:t>
      </w:r>
    </w:p>
    <w:p w14:paraId="751AAF2D" w14:textId="77777777" w:rsidR="00EE70D7" w:rsidRDefault="00EE70D7" w:rsidP="00EE70D7">
      <w:pPr>
        <w:pStyle w:val="whitespace-normal"/>
      </w:pPr>
      <w:r>
        <w:t>Die Satzstruktur zeigt Aufbruch mit Ortsangabe, Distanzspezifikation und parallele Bundesladenführung mit Zweckbestimmung.</w:t>
      </w:r>
    </w:p>
    <w:p w14:paraId="1BBF34C8" w14:textId="77777777" w:rsidR="00EE70D7" w:rsidRDefault="00EE70D7" w:rsidP="00EE70D7">
      <w:pPr>
        <w:pStyle w:val="whitespace-normal"/>
      </w:pPr>
      <w:r>
        <w:t>Dieser Vers dokumentiert den definitiven Abschied vom Sinai und etabliert die Bundeslade als göttlichen Führer der Wandergemeinschaft.</w:t>
      </w:r>
    </w:p>
    <w:p w14:paraId="10B37CE7" w14:textId="77777777" w:rsidR="00825204" w:rsidRPr="00825204" w:rsidRDefault="00825204" w:rsidP="00825204">
      <w:pPr>
        <w:spacing w:before="100" w:beforeAutospacing="1" w:after="100" w:afterAutospacing="1" w:line="240" w:lineRule="auto"/>
        <w:outlineLvl w:val="0"/>
        <w:rPr>
          <w:rFonts w:eastAsia="Times New Roman" w:cs="Times New Roman"/>
          <w:b/>
          <w:bCs/>
          <w:kern w:val="36"/>
          <w:sz w:val="48"/>
          <w:szCs w:val="48"/>
          <w:lang w:eastAsia="de-DE"/>
        </w:rPr>
      </w:pPr>
      <w:r w:rsidRPr="00825204">
        <w:rPr>
          <w:rFonts w:eastAsia="Times New Roman" w:cs="Times New Roman"/>
          <w:b/>
          <w:bCs/>
          <w:kern w:val="36"/>
          <w:sz w:val="48"/>
          <w:szCs w:val="48"/>
          <w:lang w:eastAsia="de-DE"/>
        </w:rPr>
        <w:t>Numeri 10,34</w:t>
      </w:r>
    </w:p>
    <w:p w14:paraId="50CB65B6"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Hebräisch:</w:t>
      </w:r>
      <w:r w:rsidRPr="00825204">
        <w:rPr>
          <w:rFonts w:eastAsia="Times New Roman" w:cs="Times New Roman"/>
          <w:lang w:eastAsia="de-DE"/>
        </w:rPr>
        <w:t xml:space="preserve"> </w:t>
      </w:r>
      <w:r w:rsidRPr="00825204">
        <w:rPr>
          <w:rFonts w:eastAsia="Times New Roman" w:cs="Times New Roman"/>
          <w:rtl/>
          <w:lang w:eastAsia="de-DE"/>
        </w:rPr>
        <w:t>וַעֲנַ֧ן יְהוָ֛ה עֲלֵיהֶ֖ם יוֹמָ֑ם בְּנָסְעָ֖ם מִן־הַֽמַּחֲנֶֽה׃</w:t>
      </w:r>
    </w:p>
    <w:p w14:paraId="2609CF03"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Deutsch:</w:t>
      </w:r>
      <w:r w:rsidRPr="00825204">
        <w:rPr>
          <w:rFonts w:eastAsia="Times New Roman" w:cs="Times New Roman"/>
          <w:lang w:eastAsia="de-DE"/>
        </w:rPr>
        <w:t xml:space="preserve"> Und die Wolke des Ewigen war über ihnen des Tages, wenn sie aus dem Lager aufbrachen.</w:t>
      </w:r>
    </w:p>
    <w:p w14:paraId="61575C09" w14:textId="77777777" w:rsidR="00825204" w:rsidRPr="00825204" w:rsidRDefault="00F329DD" w:rsidP="00825204">
      <w:pPr>
        <w:spacing w:after="0" w:line="240" w:lineRule="auto"/>
        <w:rPr>
          <w:rFonts w:eastAsia="Times New Roman" w:cs="Times New Roman"/>
          <w:lang w:eastAsia="de-DE"/>
        </w:rPr>
      </w:pPr>
      <w:r>
        <w:rPr>
          <w:rFonts w:eastAsia="Times New Roman" w:cs="Times New Roman"/>
          <w:noProof/>
          <w:lang w:eastAsia="de-DE"/>
        </w:rPr>
        <w:pict w14:anchorId="20ECE24A">
          <v:rect id="_x0000_i1377" style="width:0;height:1.5pt" o:hralign="center" o:hrstd="t" o:hr="t" fillcolor="#a0a0a0" stroked="f"/>
        </w:pict>
      </w:r>
    </w:p>
    <w:p w14:paraId="6F72BD14"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Kommentar:</w:t>
      </w:r>
      <w:r w:rsidRPr="00825204">
        <w:rPr>
          <w:rFonts w:eastAsia="Times New Roman" w:cs="Times New Roman"/>
          <w:lang w:eastAsia="de-DE"/>
        </w:rPr>
        <w:t xml:space="preserve"> Das Subjekt </w:t>
      </w:r>
      <w:r w:rsidRPr="00825204">
        <w:rPr>
          <w:rFonts w:eastAsia="Times New Roman" w:cs="Times New Roman"/>
          <w:b/>
          <w:bCs/>
          <w:rtl/>
          <w:lang w:eastAsia="de-DE"/>
        </w:rPr>
        <w:t>וַעֲנַ֧ן יְהוָ֛ה עֲלֵיהֶ֖ם יוֹמָ֑ם</w:t>
      </w:r>
      <w:r w:rsidRPr="00825204">
        <w:rPr>
          <w:rFonts w:eastAsia="Times New Roman" w:cs="Times New Roman"/>
          <w:rtl/>
          <w:lang w:eastAsia="de-DE"/>
        </w:rPr>
        <w:t xml:space="preserve"> </w:t>
      </w:r>
      <w:r w:rsidRPr="00825204">
        <w:rPr>
          <w:rFonts w:eastAsia="Times New Roman" w:cs="Times New Roman"/>
          <w:lang w:eastAsia="de-DE"/>
        </w:rPr>
        <w:t xml:space="preserve">(und die Wolke des Ewigen war über ihnen des Tages) mit </w:t>
      </w:r>
      <w:r w:rsidRPr="00825204">
        <w:rPr>
          <w:rFonts w:eastAsia="Times New Roman" w:cs="Times New Roman"/>
          <w:b/>
          <w:bCs/>
          <w:rtl/>
          <w:lang w:eastAsia="de-DE"/>
        </w:rPr>
        <w:t>עֲנַן יְהוָה</w:t>
      </w:r>
      <w:r w:rsidRPr="00825204">
        <w:rPr>
          <w:rFonts w:eastAsia="Times New Roman" w:cs="Times New Roman"/>
          <w:rtl/>
          <w:lang w:eastAsia="de-DE"/>
        </w:rPr>
        <w:t xml:space="preserve"> </w:t>
      </w:r>
      <w:r w:rsidRPr="00825204">
        <w:rPr>
          <w:rFonts w:eastAsia="Times New Roman" w:cs="Times New Roman"/>
          <w:lang w:eastAsia="de-DE"/>
        </w:rPr>
        <w:t xml:space="preserve">(Wolke des Ewigen) zeigt die göttliche Begleitung. </w:t>
      </w:r>
      <w:r w:rsidRPr="00825204">
        <w:rPr>
          <w:rFonts w:eastAsia="Times New Roman" w:cs="Times New Roman"/>
          <w:b/>
          <w:bCs/>
          <w:rtl/>
          <w:lang w:eastAsia="de-DE"/>
        </w:rPr>
        <w:t>עֲלֵיהֶ֖ם</w:t>
      </w:r>
      <w:r w:rsidRPr="00825204">
        <w:rPr>
          <w:rFonts w:eastAsia="Times New Roman" w:cs="Times New Roman"/>
          <w:rtl/>
          <w:lang w:eastAsia="de-DE"/>
        </w:rPr>
        <w:t xml:space="preserve"> </w:t>
      </w:r>
      <w:r w:rsidRPr="00825204">
        <w:rPr>
          <w:rFonts w:eastAsia="Times New Roman" w:cs="Times New Roman"/>
          <w:lang w:eastAsia="de-DE"/>
        </w:rPr>
        <w:t xml:space="preserve">(über ihnen) mit Possessivsuffix 3. maskulin Plural und </w:t>
      </w:r>
      <w:r w:rsidRPr="00825204">
        <w:rPr>
          <w:rFonts w:eastAsia="Times New Roman" w:cs="Times New Roman"/>
          <w:b/>
          <w:bCs/>
          <w:rtl/>
          <w:lang w:eastAsia="de-DE"/>
        </w:rPr>
        <w:t>יוֹמָ֑ם</w:t>
      </w:r>
      <w:r w:rsidRPr="00825204">
        <w:rPr>
          <w:rFonts w:eastAsia="Times New Roman" w:cs="Times New Roman"/>
          <w:rtl/>
          <w:lang w:eastAsia="de-DE"/>
        </w:rPr>
        <w:t xml:space="preserve"> </w:t>
      </w:r>
      <w:r w:rsidRPr="00825204">
        <w:rPr>
          <w:rFonts w:eastAsia="Times New Roman" w:cs="Times New Roman"/>
          <w:lang w:eastAsia="de-DE"/>
        </w:rPr>
        <w:t>(am Tag) zeigen Zeit und Position.</w:t>
      </w:r>
    </w:p>
    <w:p w14:paraId="1FCC931E" w14:textId="7C1772AD"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 xml:space="preserve">Die temporale Bestimmung </w:t>
      </w:r>
      <w:r w:rsidRPr="00825204">
        <w:rPr>
          <w:rFonts w:eastAsia="Times New Roman" w:cs="Times New Roman"/>
          <w:b/>
          <w:bCs/>
          <w:rtl/>
          <w:lang w:eastAsia="de-DE"/>
        </w:rPr>
        <w:t>בְּנָסְעָ֖ם מִן־הַֽמַּחֲנֶֽה</w:t>
      </w:r>
      <w:r w:rsidRPr="00825204">
        <w:rPr>
          <w:rFonts w:eastAsia="Times New Roman" w:cs="Times New Roman"/>
          <w:rtl/>
          <w:lang w:eastAsia="de-DE"/>
        </w:rPr>
        <w:t xml:space="preserve"> </w:t>
      </w:r>
      <w:r w:rsidRPr="00825204">
        <w:rPr>
          <w:rFonts w:eastAsia="Times New Roman" w:cs="Times New Roman"/>
          <w:lang w:eastAsia="de-DE"/>
        </w:rPr>
        <w:t xml:space="preserve">(wenn sie aus dem Lager aufbrachen) mit </w:t>
      </w:r>
      <w:r w:rsidRPr="00825204">
        <w:rPr>
          <w:rFonts w:eastAsia="Times New Roman" w:cs="Times New Roman"/>
          <w:b/>
          <w:bCs/>
          <w:rtl/>
          <w:lang w:eastAsia="de-DE"/>
        </w:rPr>
        <w:t>בְּנָסְעָם</w:t>
      </w:r>
      <w:r w:rsidRPr="00825204">
        <w:rPr>
          <w:rFonts w:eastAsia="Times New Roman" w:cs="Times New Roman"/>
          <w:rtl/>
          <w:lang w:eastAsia="de-DE"/>
        </w:rPr>
        <w:t xml:space="preserve"> </w:t>
      </w:r>
      <w:r w:rsidRPr="00825204">
        <w:rPr>
          <w:rFonts w:eastAsia="Times New Roman" w:cs="Times New Roman"/>
          <w:lang w:eastAsia="de-DE"/>
        </w:rPr>
        <w:t>als Qal-Infinitiv-</w:t>
      </w:r>
      <w:r w:rsidR="00F133EC">
        <w:rPr>
          <w:rFonts w:eastAsia="Times New Roman" w:cs="Times New Roman"/>
          <w:lang w:eastAsia="de-DE"/>
        </w:rPr>
        <w:t>Construct</w:t>
      </w:r>
      <w:r w:rsidRPr="00825204">
        <w:rPr>
          <w:rFonts w:eastAsia="Times New Roman" w:cs="Times New Roman"/>
          <w:lang w:eastAsia="de-DE"/>
        </w:rPr>
        <w:t xml:space="preserve"> von </w:t>
      </w:r>
      <w:r w:rsidRPr="00825204">
        <w:rPr>
          <w:rFonts w:eastAsia="Times New Roman" w:cs="Times New Roman"/>
          <w:b/>
          <w:bCs/>
          <w:rtl/>
          <w:lang w:eastAsia="de-DE"/>
        </w:rPr>
        <w:t>נסע</w:t>
      </w:r>
      <w:r w:rsidRPr="00825204">
        <w:rPr>
          <w:rFonts w:eastAsia="Times New Roman" w:cs="Times New Roman"/>
          <w:rtl/>
          <w:lang w:eastAsia="de-DE"/>
        </w:rPr>
        <w:t xml:space="preserve"> </w:t>
      </w:r>
      <w:r w:rsidRPr="00825204">
        <w:rPr>
          <w:rFonts w:eastAsia="Times New Roman" w:cs="Times New Roman"/>
          <w:lang w:eastAsia="de-DE"/>
        </w:rPr>
        <w:t xml:space="preserve">(aufbrechen) mit Possessivsuffix und </w:t>
      </w:r>
      <w:r w:rsidRPr="00825204">
        <w:rPr>
          <w:rFonts w:eastAsia="Times New Roman" w:cs="Times New Roman"/>
          <w:b/>
          <w:bCs/>
          <w:rtl/>
          <w:lang w:eastAsia="de-DE"/>
        </w:rPr>
        <w:t>מִן־הַֽמַּחֲנֶֽה</w:t>
      </w:r>
      <w:r w:rsidRPr="00825204">
        <w:rPr>
          <w:rFonts w:eastAsia="Times New Roman" w:cs="Times New Roman"/>
          <w:rtl/>
          <w:lang w:eastAsia="de-DE"/>
        </w:rPr>
        <w:t xml:space="preserve"> </w:t>
      </w:r>
      <w:r w:rsidRPr="00825204">
        <w:rPr>
          <w:rFonts w:eastAsia="Times New Roman" w:cs="Times New Roman"/>
          <w:lang w:eastAsia="de-DE"/>
        </w:rPr>
        <w:t>(aus dem Lager) zeigt die Bewegungszeit.</w:t>
      </w:r>
    </w:p>
    <w:p w14:paraId="06349A47" w14:textId="2772EB78"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Die LXX</w:t>
      </w:r>
      <w:r w:rsidRPr="00825204">
        <w:rPr>
          <w:rFonts w:eastAsia="Times New Roman" w:cs="Times New Roman"/>
          <w:lang w:eastAsia="de-DE"/>
        </w:rPr>
        <w:t xml:space="preserve"> </w:t>
      </w:r>
      <w:r w:rsidR="000367D9" w:rsidRPr="000367D9">
        <w:rPr>
          <w:rFonts w:eastAsia="Times New Roman" w:cs="Times New Roman"/>
          <w:b/>
          <w:bCs/>
          <w:lang w:eastAsia="de-DE"/>
        </w:rPr>
        <w:t>ist</w:t>
      </w:r>
      <w:r w:rsidR="000367D9">
        <w:rPr>
          <w:rFonts w:eastAsia="Times New Roman" w:cs="Times New Roman"/>
          <w:lang w:eastAsia="de-DE"/>
        </w:rPr>
        <w:t xml:space="preserve"> </w:t>
      </w:r>
      <w:r w:rsidR="000367D9">
        <w:rPr>
          <w:rStyle w:val="Fett"/>
        </w:rPr>
        <w:t>textkritisch bedeutsam</w:t>
      </w:r>
      <w:r w:rsidR="000367D9">
        <w:t xml:space="preserve">: Die Versangaben differieren zwischen MT und LXX. Im MT ist dies Vers 35, aber in der LXX ist es Vers 34. </w:t>
      </w:r>
      <w:r w:rsidR="000367D9">
        <w:rPr>
          <w:rStyle w:val="Fett"/>
        </w:rPr>
        <w:t>Die LXX</w:t>
      </w:r>
      <w:r w:rsidR="000367D9">
        <w:t xml:space="preserve"> übersetzt </w:t>
      </w:r>
      <w:r w:rsidR="000367D9" w:rsidRPr="000367D9">
        <w:rPr>
          <w:b/>
          <w:bCs/>
          <w:rtl/>
        </w:rPr>
        <w:t>קומה יהוה ויפצו</w:t>
      </w:r>
      <w:r w:rsidR="000367D9">
        <w:rPr>
          <w:rtl/>
        </w:rPr>
        <w:t xml:space="preserve"> </w:t>
      </w:r>
      <w:r w:rsidR="000367D9" w:rsidRPr="000367D9">
        <w:rPr>
          <w:b/>
          <w:bCs/>
          <w:rtl/>
        </w:rPr>
        <w:t>איביך</w:t>
      </w:r>
      <w:r w:rsidR="000367D9">
        <w:t xml:space="preserve"> (qumah YHWH veyafutzu oyevecha - "Steh auf, JHWH, und deine Feinde sollen </w:t>
      </w:r>
      <w:r w:rsidR="000367D9">
        <w:lastRenderedPageBreak/>
        <w:t xml:space="preserve">zerstreut werden") als Ἐξεγέρθητι, κύριε, διασκορπισθήτωσαν οἱ ἐχθροί σου (Erhebe dich, Herr, lass deine Feinde zerstreut werden). </w:t>
      </w:r>
      <w:r w:rsidR="000367D9" w:rsidRPr="000367D9">
        <w:rPr>
          <w:b/>
          <w:bCs/>
          <w:rtl/>
        </w:rPr>
        <w:t>וינסו משנאיך מפניך</w:t>
      </w:r>
      <w:r w:rsidR="000367D9">
        <w:t xml:space="preserve"> (veyanusu mesan'echa mippanecha - "und deine Hasser sollen vor dir fliehen") wird als φυγέτωσαν πάντες οἱ μισοῦντές σε (lass alle, die dich hassen, fliehen) übersetzt.</w:t>
      </w:r>
    </w:p>
    <w:p w14:paraId="2B0F47FF"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Die Satzstruktur zeigt göttliche Begleitung mit zeitlicher und situativer Spezifikation.</w:t>
      </w:r>
    </w:p>
    <w:p w14:paraId="0449CFF1"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Dieser Vers ergänzt die Bundesladenführung um die Wolkenbegleitung als zweites Zeichen göttlicher Präsenz.</w:t>
      </w:r>
    </w:p>
    <w:p w14:paraId="1EBAFCE9" w14:textId="77777777" w:rsidR="00825204" w:rsidRPr="00825204" w:rsidRDefault="00825204" w:rsidP="00825204">
      <w:pPr>
        <w:spacing w:before="100" w:beforeAutospacing="1" w:after="100" w:afterAutospacing="1" w:line="240" w:lineRule="auto"/>
        <w:outlineLvl w:val="0"/>
        <w:rPr>
          <w:rFonts w:eastAsia="Times New Roman" w:cs="Times New Roman"/>
          <w:b/>
          <w:bCs/>
          <w:kern w:val="36"/>
          <w:sz w:val="48"/>
          <w:szCs w:val="48"/>
          <w:lang w:eastAsia="de-DE"/>
        </w:rPr>
      </w:pPr>
      <w:r w:rsidRPr="00825204">
        <w:rPr>
          <w:rFonts w:eastAsia="Times New Roman" w:cs="Times New Roman"/>
          <w:b/>
          <w:bCs/>
          <w:kern w:val="36"/>
          <w:sz w:val="48"/>
          <w:szCs w:val="48"/>
          <w:lang w:eastAsia="de-DE"/>
        </w:rPr>
        <w:t>Numeri 10,35</w:t>
      </w:r>
    </w:p>
    <w:p w14:paraId="06853E81"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Hebräisch:</w:t>
      </w:r>
      <w:r w:rsidRPr="00825204">
        <w:rPr>
          <w:rFonts w:eastAsia="Times New Roman" w:cs="Times New Roman"/>
          <w:lang w:eastAsia="de-DE"/>
        </w:rPr>
        <w:t xml:space="preserve"> </w:t>
      </w:r>
      <w:r w:rsidRPr="00825204">
        <w:rPr>
          <w:rFonts w:eastAsia="Times New Roman" w:cs="Times New Roman"/>
          <w:rtl/>
          <w:lang w:eastAsia="de-DE"/>
        </w:rPr>
        <w:t>וַיְהִ֛י בִּנְסֹ֥עַ הָאָרֹ֖ן וַיֹּ֣אמֶר מֹשֶׁ֑ה קוּמָ֣ה׀ יְהוָ֗ה וְיָפֻ֨צוּ֙ אֹֽיְבֶ֔יךָ וְיָנֻ֥סוּ מְשַׂנְאֶ֖יךָ מִפָּנֶֽיךָ׃</w:t>
      </w:r>
    </w:p>
    <w:p w14:paraId="40BB95C2"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Deutsch:</w:t>
      </w:r>
      <w:r w:rsidRPr="00825204">
        <w:rPr>
          <w:rFonts w:eastAsia="Times New Roman" w:cs="Times New Roman"/>
          <w:lang w:eastAsia="de-DE"/>
        </w:rPr>
        <w:t xml:space="preserve"> Und es geschah, wenn die Lade aufbrach, so sprach Mosche: Stehe auf, Ewiger, dass deine Feinde sich zerstreuen und deine Hasser vor dir fliehen!</w:t>
      </w:r>
    </w:p>
    <w:p w14:paraId="776D0479" w14:textId="77777777" w:rsidR="00825204" w:rsidRPr="00825204" w:rsidRDefault="00F329DD" w:rsidP="00825204">
      <w:pPr>
        <w:spacing w:after="0" w:line="240" w:lineRule="auto"/>
        <w:rPr>
          <w:rFonts w:eastAsia="Times New Roman" w:cs="Times New Roman"/>
          <w:lang w:eastAsia="de-DE"/>
        </w:rPr>
      </w:pPr>
      <w:r>
        <w:rPr>
          <w:rFonts w:eastAsia="Times New Roman" w:cs="Times New Roman"/>
          <w:noProof/>
          <w:lang w:eastAsia="de-DE"/>
        </w:rPr>
        <w:pict w14:anchorId="3AB1F7B1">
          <v:rect id="_x0000_i1378" style="width:0;height:1.5pt" o:hralign="center" o:hrstd="t" o:hr="t" fillcolor="#a0a0a0" stroked="f"/>
        </w:pict>
      </w:r>
    </w:p>
    <w:p w14:paraId="2C517D5C" w14:textId="7F0895CB"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Kommentar:</w:t>
      </w:r>
      <w:r w:rsidRPr="00825204">
        <w:rPr>
          <w:rFonts w:eastAsia="Times New Roman" w:cs="Times New Roman"/>
          <w:lang w:eastAsia="de-DE"/>
        </w:rPr>
        <w:t xml:space="preserve"> Die temporale </w:t>
      </w:r>
      <w:r w:rsidR="00F133EC">
        <w:rPr>
          <w:rFonts w:eastAsia="Times New Roman" w:cs="Times New Roman"/>
          <w:lang w:eastAsia="de-DE"/>
        </w:rPr>
        <w:t>Construct</w:t>
      </w:r>
      <w:r w:rsidRPr="00825204">
        <w:rPr>
          <w:rFonts w:eastAsia="Times New Roman" w:cs="Times New Roman"/>
          <w:lang w:eastAsia="de-DE"/>
        </w:rPr>
        <w:t xml:space="preserve">ion </w:t>
      </w:r>
      <w:r w:rsidRPr="00825204">
        <w:rPr>
          <w:rFonts w:eastAsia="Times New Roman" w:cs="Times New Roman"/>
          <w:b/>
          <w:bCs/>
          <w:rtl/>
          <w:lang w:eastAsia="de-DE"/>
        </w:rPr>
        <w:t>וַיְהִ֛י בִּנְסֹ֥עַ הָאָרֹ֖ן</w:t>
      </w:r>
      <w:r w:rsidRPr="00825204">
        <w:rPr>
          <w:rFonts w:eastAsia="Times New Roman" w:cs="Times New Roman"/>
          <w:rtl/>
          <w:lang w:eastAsia="de-DE"/>
        </w:rPr>
        <w:t xml:space="preserve"> </w:t>
      </w:r>
      <w:r w:rsidRPr="00825204">
        <w:rPr>
          <w:rFonts w:eastAsia="Times New Roman" w:cs="Times New Roman"/>
          <w:lang w:eastAsia="de-DE"/>
        </w:rPr>
        <w:t xml:space="preserve">(und es geschah, wenn die Lade aufbrach) mit </w:t>
      </w:r>
      <w:r w:rsidRPr="00825204">
        <w:rPr>
          <w:rFonts w:eastAsia="Times New Roman" w:cs="Times New Roman"/>
          <w:b/>
          <w:bCs/>
          <w:rtl/>
          <w:lang w:eastAsia="de-DE"/>
        </w:rPr>
        <w:t>יְהִי</w:t>
      </w:r>
      <w:r w:rsidRPr="00825204">
        <w:rPr>
          <w:rFonts w:eastAsia="Times New Roman" w:cs="Times New Roman"/>
          <w:rtl/>
          <w:lang w:eastAsia="de-DE"/>
        </w:rPr>
        <w:t xml:space="preserve"> </w:t>
      </w:r>
      <w:r w:rsidRPr="00825204">
        <w:rPr>
          <w:rFonts w:eastAsia="Times New Roman" w:cs="Times New Roman"/>
          <w:lang w:eastAsia="de-DE"/>
        </w:rPr>
        <w:t xml:space="preserve">von </w:t>
      </w:r>
      <w:r w:rsidRPr="00825204">
        <w:rPr>
          <w:rFonts w:eastAsia="Times New Roman" w:cs="Times New Roman"/>
          <w:b/>
          <w:bCs/>
          <w:rtl/>
          <w:lang w:eastAsia="de-DE"/>
        </w:rPr>
        <w:t>היה</w:t>
      </w:r>
      <w:r w:rsidRPr="00825204">
        <w:rPr>
          <w:rFonts w:eastAsia="Times New Roman" w:cs="Times New Roman"/>
          <w:rtl/>
          <w:lang w:eastAsia="de-DE"/>
        </w:rPr>
        <w:t xml:space="preserve"> </w:t>
      </w:r>
      <w:r w:rsidRPr="00825204">
        <w:rPr>
          <w:rFonts w:eastAsia="Times New Roman" w:cs="Times New Roman"/>
          <w:lang w:eastAsia="de-DE"/>
        </w:rPr>
        <w:t xml:space="preserve">(sein/geschehen) und </w:t>
      </w:r>
      <w:r w:rsidRPr="00825204">
        <w:rPr>
          <w:rFonts w:eastAsia="Times New Roman" w:cs="Times New Roman"/>
          <w:b/>
          <w:bCs/>
          <w:rtl/>
          <w:lang w:eastAsia="de-DE"/>
        </w:rPr>
        <w:t>בִּנְסֹעַ</w:t>
      </w:r>
      <w:r w:rsidRPr="00825204">
        <w:rPr>
          <w:rFonts w:eastAsia="Times New Roman" w:cs="Times New Roman"/>
          <w:rtl/>
          <w:lang w:eastAsia="de-DE"/>
        </w:rPr>
        <w:t xml:space="preserve"> </w:t>
      </w:r>
      <w:r w:rsidRPr="00825204">
        <w:rPr>
          <w:rFonts w:eastAsia="Times New Roman" w:cs="Times New Roman"/>
          <w:lang w:eastAsia="de-DE"/>
        </w:rPr>
        <w:t>als Qal-Infinitiv-</w:t>
      </w:r>
      <w:r w:rsidR="00F133EC">
        <w:rPr>
          <w:rFonts w:eastAsia="Times New Roman" w:cs="Times New Roman"/>
          <w:lang w:eastAsia="de-DE"/>
        </w:rPr>
        <w:t>Construct</w:t>
      </w:r>
      <w:r w:rsidRPr="00825204">
        <w:rPr>
          <w:rFonts w:eastAsia="Times New Roman" w:cs="Times New Roman"/>
          <w:lang w:eastAsia="de-DE"/>
        </w:rPr>
        <w:t xml:space="preserve"> von </w:t>
      </w:r>
      <w:r w:rsidRPr="00825204">
        <w:rPr>
          <w:rFonts w:eastAsia="Times New Roman" w:cs="Times New Roman"/>
          <w:b/>
          <w:bCs/>
          <w:rtl/>
          <w:lang w:eastAsia="de-DE"/>
        </w:rPr>
        <w:t>נסע</w:t>
      </w:r>
      <w:r w:rsidRPr="00825204">
        <w:rPr>
          <w:rFonts w:eastAsia="Times New Roman" w:cs="Times New Roman"/>
          <w:rtl/>
          <w:lang w:eastAsia="de-DE"/>
        </w:rPr>
        <w:t xml:space="preserve"> </w:t>
      </w:r>
      <w:r w:rsidRPr="00825204">
        <w:rPr>
          <w:rFonts w:eastAsia="Times New Roman" w:cs="Times New Roman"/>
          <w:lang w:eastAsia="de-DE"/>
        </w:rPr>
        <w:t>(aufbrechen) zeigt den regelmäßigen liturgischen Moment.</w:t>
      </w:r>
    </w:p>
    <w:p w14:paraId="4D42FF5F"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 xml:space="preserve">Das Redeintroduktionsverb </w:t>
      </w:r>
      <w:r w:rsidRPr="00825204">
        <w:rPr>
          <w:rFonts w:eastAsia="Times New Roman" w:cs="Times New Roman"/>
          <w:b/>
          <w:bCs/>
          <w:rtl/>
          <w:lang w:eastAsia="de-DE"/>
        </w:rPr>
        <w:t>וַיֹּ֣אמֶר מֹשֶׁ֑ה</w:t>
      </w:r>
      <w:r w:rsidRPr="00825204">
        <w:rPr>
          <w:rFonts w:eastAsia="Times New Roman" w:cs="Times New Roman"/>
          <w:rtl/>
          <w:lang w:eastAsia="de-DE"/>
        </w:rPr>
        <w:t xml:space="preserve"> </w:t>
      </w:r>
      <w:r w:rsidRPr="00825204">
        <w:rPr>
          <w:rFonts w:eastAsia="Times New Roman" w:cs="Times New Roman"/>
          <w:lang w:eastAsia="de-DE"/>
        </w:rPr>
        <w:t xml:space="preserve">(und Mose sprach) leitet Moses rituellen Aufbruchssegen ein. Der Imperativ </w:t>
      </w:r>
      <w:r w:rsidRPr="00825204">
        <w:rPr>
          <w:rFonts w:eastAsia="Times New Roman" w:cs="Times New Roman"/>
          <w:b/>
          <w:bCs/>
          <w:rtl/>
          <w:lang w:eastAsia="de-DE"/>
        </w:rPr>
        <w:t>קוּמָ֣ה׀ יְהוָ֗ה</w:t>
      </w:r>
      <w:r w:rsidRPr="00825204">
        <w:rPr>
          <w:rFonts w:eastAsia="Times New Roman" w:cs="Times New Roman"/>
          <w:rtl/>
          <w:lang w:eastAsia="de-DE"/>
        </w:rPr>
        <w:t xml:space="preserve"> </w:t>
      </w:r>
      <w:r w:rsidRPr="00825204">
        <w:rPr>
          <w:rFonts w:eastAsia="Times New Roman" w:cs="Times New Roman"/>
          <w:lang w:eastAsia="de-DE"/>
        </w:rPr>
        <w:t xml:space="preserve">(stehe auf, Ewiger) mit </w:t>
      </w:r>
      <w:r w:rsidRPr="00825204">
        <w:rPr>
          <w:rFonts w:eastAsia="Times New Roman" w:cs="Times New Roman"/>
          <w:b/>
          <w:bCs/>
          <w:rtl/>
          <w:lang w:eastAsia="de-DE"/>
        </w:rPr>
        <w:t>קוּמָה</w:t>
      </w:r>
      <w:r w:rsidRPr="00825204">
        <w:rPr>
          <w:rFonts w:eastAsia="Times New Roman" w:cs="Times New Roman"/>
          <w:rtl/>
          <w:lang w:eastAsia="de-DE"/>
        </w:rPr>
        <w:t xml:space="preserve"> </w:t>
      </w:r>
      <w:r w:rsidRPr="00825204">
        <w:rPr>
          <w:rFonts w:eastAsia="Times New Roman" w:cs="Times New Roman"/>
          <w:lang w:eastAsia="de-DE"/>
        </w:rPr>
        <w:t xml:space="preserve">von </w:t>
      </w:r>
      <w:r w:rsidRPr="00825204">
        <w:rPr>
          <w:rFonts w:eastAsia="Times New Roman" w:cs="Times New Roman"/>
          <w:b/>
          <w:bCs/>
          <w:rtl/>
          <w:lang w:eastAsia="de-DE"/>
        </w:rPr>
        <w:t>קום</w:t>
      </w:r>
      <w:r w:rsidRPr="00825204">
        <w:rPr>
          <w:rFonts w:eastAsia="Times New Roman" w:cs="Times New Roman"/>
          <w:rtl/>
          <w:lang w:eastAsia="de-DE"/>
        </w:rPr>
        <w:t xml:space="preserve"> </w:t>
      </w:r>
      <w:r w:rsidRPr="00825204">
        <w:rPr>
          <w:rFonts w:eastAsia="Times New Roman" w:cs="Times New Roman"/>
          <w:lang w:eastAsia="de-DE"/>
        </w:rPr>
        <w:t>(aufstehen) ruft Gott zur aktiven Führung auf.</w:t>
      </w:r>
    </w:p>
    <w:p w14:paraId="1E4BCE42"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 xml:space="preserve">Die doppelte Feindvernichtung </w:t>
      </w:r>
      <w:r w:rsidRPr="00825204">
        <w:rPr>
          <w:rFonts w:eastAsia="Times New Roman" w:cs="Times New Roman"/>
          <w:b/>
          <w:bCs/>
          <w:rtl/>
          <w:lang w:eastAsia="de-DE"/>
        </w:rPr>
        <w:t>וְיָפֻ֨צוּ֙ אֹֽיְבֶ֔יךָ וְיָנֻ֥סוּ מְשַׂנְאֶ֖יךָ מִפָּנֶֽיךָ</w:t>
      </w:r>
      <w:r w:rsidRPr="00825204">
        <w:rPr>
          <w:rFonts w:eastAsia="Times New Roman" w:cs="Times New Roman"/>
          <w:rtl/>
          <w:lang w:eastAsia="de-DE"/>
        </w:rPr>
        <w:t xml:space="preserve"> </w:t>
      </w:r>
      <w:r w:rsidRPr="00825204">
        <w:rPr>
          <w:rFonts w:eastAsia="Times New Roman" w:cs="Times New Roman"/>
          <w:lang w:eastAsia="de-DE"/>
        </w:rPr>
        <w:t xml:space="preserve">mit </w:t>
      </w:r>
      <w:r w:rsidRPr="00825204">
        <w:rPr>
          <w:rFonts w:eastAsia="Times New Roman" w:cs="Times New Roman"/>
          <w:b/>
          <w:bCs/>
          <w:rtl/>
          <w:lang w:eastAsia="de-DE"/>
        </w:rPr>
        <w:t>יָפֻצוּ</w:t>
      </w:r>
      <w:r w:rsidRPr="00825204">
        <w:rPr>
          <w:rFonts w:eastAsia="Times New Roman" w:cs="Times New Roman"/>
          <w:rtl/>
          <w:lang w:eastAsia="de-DE"/>
        </w:rPr>
        <w:t xml:space="preserve"> </w:t>
      </w:r>
      <w:r w:rsidRPr="00825204">
        <w:rPr>
          <w:rFonts w:eastAsia="Times New Roman" w:cs="Times New Roman"/>
          <w:lang w:eastAsia="de-DE"/>
        </w:rPr>
        <w:t xml:space="preserve">von </w:t>
      </w:r>
      <w:r w:rsidRPr="00825204">
        <w:rPr>
          <w:rFonts w:eastAsia="Times New Roman" w:cs="Times New Roman"/>
          <w:b/>
          <w:bCs/>
          <w:rtl/>
          <w:lang w:eastAsia="de-DE"/>
        </w:rPr>
        <w:t>פוץ</w:t>
      </w:r>
      <w:r w:rsidRPr="00825204">
        <w:rPr>
          <w:rFonts w:eastAsia="Times New Roman" w:cs="Times New Roman"/>
          <w:rtl/>
          <w:lang w:eastAsia="de-DE"/>
        </w:rPr>
        <w:t xml:space="preserve"> </w:t>
      </w:r>
      <w:r w:rsidRPr="00825204">
        <w:rPr>
          <w:rFonts w:eastAsia="Times New Roman" w:cs="Times New Roman"/>
          <w:lang w:eastAsia="de-DE"/>
        </w:rPr>
        <w:t xml:space="preserve">(zerstreuen) im Qal-Imperfekt 3. maskulin Plural, </w:t>
      </w:r>
      <w:r w:rsidRPr="00825204">
        <w:rPr>
          <w:rFonts w:eastAsia="Times New Roman" w:cs="Times New Roman"/>
          <w:b/>
          <w:bCs/>
          <w:rtl/>
          <w:lang w:eastAsia="de-DE"/>
        </w:rPr>
        <w:t>אֹיְבֶיךָ</w:t>
      </w:r>
      <w:r w:rsidRPr="00825204">
        <w:rPr>
          <w:rFonts w:eastAsia="Times New Roman" w:cs="Times New Roman"/>
          <w:rtl/>
          <w:lang w:eastAsia="de-DE"/>
        </w:rPr>
        <w:t xml:space="preserve"> </w:t>
      </w:r>
      <w:r w:rsidRPr="00825204">
        <w:rPr>
          <w:rFonts w:eastAsia="Times New Roman" w:cs="Times New Roman"/>
          <w:lang w:eastAsia="de-DE"/>
        </w:rPr>
        <w:t xml:space="preserve">(deine Feinde) und </w:t>
      </w:r>
      <w:r w:rsidRPr="00825204">
        <w:rPr>
          <w:rFonts w:eastAsia="Times New Roman" w:cs="Times New Roman"/>
          <w:b/>
          <w:bCs/>
          <w:rtl/>
          <w:lang w:eastAsia="de-DE"/>
        </w:rPr>
        <w:t>יָנֻסוּ</w:t>
      </w:r>
      <w:r w:rsidRPr="00825204">
        <w:rPr>
          <w:rFonts w:eastAsia="Times New Roman" w:cs="Times New Roman"/>
          <w:rtl/>
          <w:lang w:eastAsia="de-DE"/>
        </w:rPr>
        <w:t xml:space="preserve"> </w:t>
      </w:r>
      <w:r w:rsidRPr="00825204">
        <w:rPr>
          <w:rFonts w:eastAsia="Times New Roman" w:cs="Times New Roman"/>
          <w:lang w:eastAsia="de-DE"/>
        </w:rPr>
        <w:t xml:space="preserve">von </w:t>
      </w:r>
      <w:r w:rsidRPr="00825204">
        <w:rPr>
          <w:rFonts w:eastAsia="Times New Roman" w:cs="Times New Roman"/>
          <w:b/>
          <w:bCs/>
          <w:rtl/>
          <w:lang w:eastAsia="de-DE"/>
        </w:rPr>
        <w:t>נוס</w:t>
      </w:r>
      <w:r w:rsidRPr="00825204">
        <w:rPr>
          <w:rFonts w:eastAsia="Times New Roman" w:cs="Times New Roman"/>
          <w:rtl/>
          <w:lang w:eastAsia="de-DE"/>
        </w:rPr>
        <w:t xml:space="preserve"> </w:t>
      </w:r>
      <w:r w:rsidRPr="00825204">
        <w:rPr>
          <w:rFonts w:eastAsia="Times New Roman" w:cs="Times New Roman"/>
          <w:lang w:eastAsia="de-DE"/>
        </w:rPr>
        <w:t xml:space="preserve">(fliehen), </w:t>
      </w:r>
      <w:r w:rsidRPr="00825204">
        <w:rPr>
          <w:rFonts w:eastAsia="Times New Roman" w:cs="Times New Roman"/>
          <w:b/>
          <w:bCs/>
          <w:rtl/>
          <w:lang w:eastAsia="de-DE"/>
        </w:rPr>
        <w:t>מְשַׂנְאֶיךָ</w:t>
      </w:r>
      <w:r w:rsidRPr="00825204">
        <w:rPr>
          <w:rFonts w:eastAsia="Times New Roman" w:cs="Times New Roman"/>
          <w:rtl/>
          <w:lang w:eastAsia="de-DE"/>
        </w:rPr>
        <w:t xml:space="preserve"> </w:t>
      </w:r>
      <w:r w:rsidRPr="00825204">
        <w:rPr>
          <w:rFonts w:eastAsia="Times New Roman" w:cs="Times New Roman"/>
          <w:lang w:eastAsia="de-DE"/>
        </w:rPr>
        <w:t>(deine Hasser) zeigt die Wirkung göttlicher Präsenz.</w:t>
      </w:r>
    </w:p>
    <w:p w14:paraId="696418AB" w14:textId="77777777" w:rsidR="000367D9" w:rsidRDefault="000367D9" w:rsidP="00825204">
      <w:pPr>
        <w:spacing w:before="100" w:beforeAutospacing="1" w:after="100" w:afterAutospacing="1" w:line="240" w:lineRule="auto"/>
        <w:rPr>
          <w:rFonts w:eastAsia="Times New Roman" w:cs="Times New Roman"/>
          <w:lang w:eastAsia="de-DE"/>
        </w:rPr>
      </w:pPr>
      <w:r>
        <w:t xml:space="preserve">Im MT sind dies die Verse 35-36, in der LXX Verse 35-36. </w:t>
      </w:r>
      <w:r>
        <w:rPr>
          <w:rStyle w:val="Fett"/>
        </w:rPr>
        <w:t>Die LXX</w:t>
      </w:r>
      <w:r>
        <w:t xml:space="preserve"> übersetzt </w:t>
      </w:r>
      <w:r w:rsidRPr="000367D9">
        <w:rPr>
          <w:b/>
          <w:bCs/>
          <w:rtl/>
        </w:rPr>
        <w:t>שובה יהוה רבבות אלפי ישראל</w:t>
      </w:r>
      <w:r>
        <w:t xml:space="preserve"> (shuvah YHWH rivevot alfei yisra'el - "Kehre zurück, JHWH, zu den Myriaden der Tausende Israels") als Ἐπίστρεφε, κύριε, χιλιάδας μυριάδας ἐν τῷ Ἰσραήλ (Kehre zurück, Herr, Tausende von Myriaden in Israel). Die LXX fügt dann Vers 36 hinzu: καὶ ἡ νεφέλη ἐγένετο σκιάζουσα ἐπʼ αὐτοῖς (und die Wolke wurde beschattend über ihnen), was im MT nicht als separater Vers erscheint.</w:t>
      </w:r>
      <w:r w:rsidRPr="00825204">
        <w:rPr>
          <w:rFonts w:eastAsia="Times New Roman" w:cs="Times New Roman"/>
          <w:lang w:eastAsia="de-DE"/>
        </w:rPr>
        <w:t xml:space="preserve"> </w:t>
      </w:r>
    </w:p>
    <w:p w14:paraId="4203EE08" w14:textId="75C032A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Die Satzstruktur zeigt rituellen Moment mit Gottesanrufung und doppelter Feindvernichtungsbitte.</w:t>
      </w:r>
    </w:p>
    <w:p w14:paraId="2BCF92EE"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Dieser Vers etabliert Moses berühmten Aufbruchssegen, der bis heute in der jüdischen Liturgie verwendet wird.</w:t>
      </w:r>
    </w:p>
    <w:p w14:paraId="55448F20" w14:textId="77777777" w:rsidR="00825204" w:rsidRPr="00825204" w:rsidRDefault="00825204" w:rsidP="00825204">
      <w:pPr>
        <w:spacing w:before="100" w:beforeAutospacing="1" w:after="100" w:afterAutospacing="1" w:line="240" w:lineRule="auto"/>
        <w:outlineLvl w:val="0"/>
        <w:rPr>
          <w:rFonts w:eastAsia="Times New Roman" w:cs="Times New Roman"/>
          <w:b/>
          <w:bCs/>
          <w:kern w:val="36"/>
          <w:sz w:val="48"/>
          <w:szCs w:val="48"/>
          <w:lang w:eastAsia="de-DE"/>
        </w:rPr>
      </w:pPr>
      <w:r w:rsidRPr="00825204">
        <w:rPr>
          <w:rFonts w:eastAsia="Times New Roman" w:cs="Times New Roman"/>
          <w:b/>
          <w:bCs/>
          <w:kern w:val="36"/>
          <w:sz w:val="48"/>
          <w:szCs w:val="48"/>
          <w:lang w:eastAsia="de-DE"/>
        </w:rPr>
        <w:t>Numeri 10,36</w:t>
      </w:r>
    </w:p>
    <w:p w14:paraId="42339039"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Hebräisch:</w:t>
      </w:r>
      <w:r w:rsidRPr="00825204">
        <w:rPr>
          <w:rFonts w:eastAsia="Times New Roman" w:cs="Times New Roman"/>
          <w:lang w:eastAsia="de-DE"/>
        </w:rPr>
        <w:t xml:space="preserve"> </w:t>
      </w:r>
      <w:r w:rsidRPr="00825204">
        <w:rPr>
          <w:rFonts w:eastAsia="Times New Roman" w:cs="Times New Roman"/>
          <w:rtl/>
          <w:lang w:eastAsia="de-DE"/>
        </w:rPr>
        <w:t>וּבְנֻחֹ֖ה יֹאמַ֑ר שׁוּבָ֣ה יְהוָ֔ה רִֽבְב֖וֹת אַלְפֵ֥י יִשְׂרָאֵֽל׃</w:t>
      </w:r>
    </w:p>
    <w:p w14:paraId="4F30AD21"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lastRenderedPageBreak/>
        <w:t>Deutsch:</w:t>
      </w:r>
      <w:r w:rsidRPr="00825204">
        <w:rPr>
          <w:rFonts w:eastAsia="Times New Roman" w:cs="Times New Roman"/>
          <w:lang w:eastAsia="de-DE"/>
        </w:rPr>
        <w:t xml:space="preserve"> Und wenn sie ruhte, sprach er: Kehre wieder, Ewiger, zu den Zehntausenden der Tausende Jisra'els!</w:t>
      </w:r>
    </w:p>
    <w:p w14:paraId="196E9D56" w14:textId="77777777" w:rsidR="00825204" w:rsidRPr="00825204" w:rsidRDefault="00F329DD" w:rsidP="00825204">
      <w:pPr>
        <w:spacing w:after="0" w:line="240" w:lineRule="auto"/>
        <w:rPr>
          <w:rFonts w:eastAsia="Times New Roman" w:cs="Times New Roman"/>
          <w:lang w:eastAsia="de-DE"/>
        </w:rPr>
      </w:pPr>
      <w:r>
        <w:rPr>
          <w:rFonts w:eastAsia="Times New Roman" w:cs="Times New Roman"/>
          <w:noProof/>
          <w:lang w:eastAsia="de-DE"/>
        </w:rPr>
        <w:pict w14:anchorId="58780DBA">
          <v:rect id="_x0000_i1379" style="width:0;height:1.5pt" o:hralign="center" o:hrstd="t" o:hr="t" fillcolor="#a0a0a0" stroked="f"/>
        </w:pict>
      </w:r>
    </w:p>
    <w:p w14:paraId="4396B79F" w14:textId="284CB269"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Kommentar:</w:t>
      </w:r>
      <w:r w:rsidRPr="00825204">
        <w:rPr>
          <w:rFonts w:eastAsia="Times New Roman" w:cs="Times New Roman"/>
          <w:lang w:eastAsia="de-DE"/>
        </w:rPr>
        <w:t xml:space="preserve"> Die temporale Bestimmung </w:t>
      </w:r>
      <w:r w:rsidRPr="00825204">
        <w:rPr>
          <w:rFonts w:eastAsia="Times New Roman" w:cs="Times New Roman"/>
          <w:b/>
          <w:bCs/>
          <w:rtl/>
          <w:lang w:eastAsia="de-DE"/>
        </w:rPr>
        <w:t>וּבְנֻחֹ֖ה</w:t>
      </w:r>
      <w:r w:rsidRPr="00825204">
        <w:rPr>
          <w:rFonts w:eastAsia="Times New Roman" w:cs="Times New Roman"/>
          <w:rtl/>
          <w:lang w:eastAsia="de-DE"/>
        </w:rPr>
        <w:t xml:space="preserve"> </w:t>
      </w:r>
      <w:r w:rsidRPr="00825204">
        <w:rPr>
          <w:rFonts w:eastAsia="Times New Roman" w:cs="Times New Roman"/>
          <w:lang w:eastAsia="de-DE"/>
        </w:rPr>
        <w:t xml:space="preserve">(und beim Ruhen) mit </w:t>
      </w:r>
      <w:r w:rsidRPr="00825204">
        <w:rPr>
          <w:rFonts w:eastAsia="Times New Roman" w:cs="Times New Roman"/>
          <w:b/>
          <w:bCs/>
          <w:rtl/>
          <w:lang w:eastAsia="de-DE"/>
        </w:rPr>
        <w:t>נֻחֹה</w:t>
      </w:r>
      <w:r w:rsidRPr="00825204">
        <w:rPr>
          <w:rFonts w:eastAsia="Times New Roman" w:cs="Times New Roman"/>
          <w:rtl/>
          <w:lang w:eastAsia="de-DE"/>
        </w:rPr>
        <w:t xml:space="preserve"> </w:t>
      </w:r>
      <w:r w:rsidRPr="00825204">
        <w:rPr>
          <w:rFonts w:eastAsia="Times New Roman" w:cs="Times New Roman"/>
          <w:lang w:eastAsia="de-DE"/>
        </w:rPr>
        <w:t>als Qal-Infinitiv-</w:t>
      </w:r>
      <w:r w:rsidR="00F133EC">
        <w:rPr>
          <w:rFonts w:eastAsia="Times New Roman" w:cs="Times New Roman"/>
          <w:lang w:eastAsia="de-DE"/>
        </w:rPr>
        <w:t>Construct</w:t>
      </w:r>
      <w:r w:rsidRPr="00825204">
        <w:rPr>
          <w:rFonts w:eastAsia="Times New Roman" w:cs="Times New Roman"/>
          <w:lang w:eastAsia="de-DE"/>
        </w:rPr>
        <w:t xml:space="preserve"> von </w:t>
      </w:r>
      <w:r w:rsidRPr="00825204">
        <w:rPr>
          <w:rFonts w:eastAsia="Times New Roman" w:cs="Times New Roman"/>
          <w:b/>
          <w:bCs/>
          <w:rtl/>
          <w:lang w:eastAsia="de-DE"/>
        </w:rPr>
        <w:t>נוח</w:t>
      </w:r>
      <w:r w:rsidRPr="00825204">
        <w:rPr>
          <w:rFonts w:eastAsia="Times New Roman" w:cs="Times New Roman"/>
          <w:rtl/>
          <w:lang w:eastAsia="de-DE"/>
        </w:rPr>
        <w:t xml:space="preserve"> </w:t>
      </w:r>
      <w:r w:rsidRPr="00825204">
        <w:rPr>
          <w:rFonts w:eastAsia="Times New Roman" w:cs="Times New Roman"/>
          <w:lang w:eastAsia="de-DE"/>
        </w:rPr>
        <w:t xml:space="preserve">(ruhen) zeigt den liturgischen Moment der Lagerung. Das Verb </w:t>
      </w:r>
      <w:r w:rsidRPr="00825204">
        <w:rPr>
          <w:rFonts w:eastAsia="Times New Roman" w:cs="Times New Roman"/>
          <w:b/>
          <w:bCs/>
          <w:rtl/>
          <w:lang w:eastAsia="de-DE"/>
        </w:rPr>
        <w:t>יֹאמַ֑ר</w:t>
      </w:r>
      <w:r w:rsidRPr="00825204">
        <w:rPr>
          <w:rFonts w:eastAsia="Times New Roman" w:cs="Times New Roman"/>
          <w:rtl/>
          <w:lang w:eastAsia="de-DE"/>
        </w:rPr>
        <w:t xml:space="preserve"> </w:t>
      </w:r>
      <w:r w:rsidRPr="00825204">
        <w:rPr>
          <w:rFonts w:eastAsia="Times New Roman" w:cs="Times New Roman"/>
          <w:lang w:eastAsia="de-DE"/>
        </w:rPr>
        <w:t xml:space="preserve">(er sprach) von </w:t>
      </w:r>
      <w:r w:rsidRPr="00825204">
        <w:rPr>
          <w:rFonts w:eastAsia="Times New Roman" w:cs="Times New Roman"/>
          <w:b/>
          <w:bCs/>
          <w:rtl/>
          <w:lang w:eastAsia="de-DE"/>
        </w:rPr>
        <w:t>אמר</w:t>
      </w:r>
      <w:r w:rsidRPr="00825204">
        <w:rPr>
          <w:rFonts w:eastAsia="Times New Roman" w:cs="Times New Roman"/>
          <w:rtl/>
          <w:lang w:eastAsia="de-DE"/>
        </w:rPr>
        <w:t xml:space="preserve"> </w:t>
      </w:r>
      <w:r w:rsidRPr="00825204">
        <w:rPr>
          <w:rFonts w:eastAsia="Times New Roman" w:cs="Times New Roman"/>
          <w:lang w:eastAsia="de-DE"/>
        </w:rPr>
        <w:t>(sagen) im Qal-Imperfekt 3. maskulin Singular zeigt Moses regelmäßige Praxis.</w:t>
      </w:r>
    </w:p>
    <w:p w14:paraId="080F1E44"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 xml:space="preserve">Der Imperativ </w:t>
      </w:r>
      <w:r w:rsidRPr="00825204">
        <w:rPr>
          <w:rFonts w:eastAsia="Times New Roman" w:cs="Times New Roman"/>
          <w:b/>
          <w:bCs/>
          <w:rtl/>
          <w:lang w:eastAsia="de-DE"/>
        </w:rPr>
        <w:t>שׁוּבָ֣ה יְהוָ֔ה</w:t>
      </w:r>
      <w:r w:rsidRPr="00825204">
        <w:rPr>
          <w:rFonts w:eastAsia="Times New Roman" w:cs="Times New Roman"/>
          <w:rtl/>
          <w:lang w:eastAsia="de-DE"/>
        </w:rPr>
        <w:t xml:space="preserve"> </w:t>
      </w:r>
      <w:r w:rsidRPr="00825204">
        <w:rPr>
          <w:rFonts w:eastAsia="Times New Roman" w:cs="Times New Roman"/>
          <w:lang w:eastAsia="de-DE"/>
        </w:rPr>
        <w:t xml:space="preserve">(kehre wieder, Ewiger) mit </w:t>
      </w:r>
      <w:r w:rsidRPr="00825204">
        <w:rPr>
          <w:rFonts w:eastAsia="Times New Roman" w:cs="Times New Roman"/>
          <w:b/>
          <w:bCs/>
          <w:rtl/>
          <w:lang w:eastAsia="de-DE"/>
        </w:rPr>
        <w:t>שׁוּבָה</w:t>
      </w:r>
      <w:r w:rsidRPr="00825204">
        <w:rPr>
          <w:rFonts w:eastAsia="Times New Roman" w:cs="Times New Roman"/>
          <w:rtl/>
          <w:lang w:eastAsia="de-DE"/>
        </w:rPr>
        <w:t xml:space="preserve"> </w:t>
      </w:r>
      <w:r w:rsidRPr="00825204">
        <w:rPr>
          <w:rFonts w:eastAsia="Times New Roman" w:cs="Times New Roman"/>
          <w:lang w:eastAsia="de-DE"/>
        </w:rPr>
        <w:t xml:space="preserve">von </w:t>
      </w:r>
      <w:r w:rsidRPr="00825204">
        <w:rPr>
          <w:rFonts w:eastAsia="Times New Roman" w:cs="Times New Roman"/>
          <w:b/>
          <w:bCs/>
          <w:rtl/>
          <w:lang w:eastAsia="de-DE"/>
        </w:rPr>
        <w:t>שוב</w:t>
      </w:r>
      <w:r w:rsidRPr="00825204">
        <w:rPr>
          <w:rFonts w:eastAsia="Times New Roman" w:cs="Times New Roman"/>
          <w:rtl/>
          <w:lang w:eastAsia="de-DE"/>
        </w:rPr>
        <w:t xml:space="preserve"> </w:t>
      </w:r>
      <w:r w:rsidRPr="00825204">
        <w:rPr>
          <w:rFonts w:eastAsia="Times New Roman" w:cs="Times New Roman"/>
          <w:lang w:eastAsia="de-DE"/>
        </w:rPr>
        <w:t xml:space="preserve">(zurückkehren) ruft Gott zur Rückkehr zu seinem Volk auf. Dies bildet das Gegenstück zum </w:t>
      </w:r>
      <w:r w:rsidRPr="00825204">
        <w:rPr>
          <w:rFonts w:eastAsia="Times New Roman" w:cs="Times New Roman"/>
          <w:b/>
          <w:bCs/>
          <w:rtl/>
          <w:lang w:eastAsia="de-DE"/>
        </w:rPr>
        <w:t>קוּמָה</w:t>
      </w:r>
      <w:r w:rsidRPr="00825204">
        <w:rPr>
          <w:rFonts w:eastAsia="Times New Roman" w:cs="Times New Roman"/>
          <w:rtl/>
          <w:lang w:eastAsia="de-DE"/>
        </w:rPr>
        <w:t xml:space="preserve"> </w:t>
      </w:r>
      <w:r w:rsidRPr="00825204">
        <w:rPr>
          <w:rFonts w:eastAsia="Times New Roman" w:cs="Times New Roman"/>
          <w:lang w:eastAsia="de-DE"/>
        </w:rPr>
        <w:t>(stehe auf) in Vers 35.</w:t>
      </w:r>
    </w:p>
    <w:p w14:paraId="4708BF77"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 xml:space="preserve">Die Zielangabe </w:t>
      </w:r>
      <w:r w:rsidRPr="00825204">
        <w:rPr>
          <w:rFonts w:eastAsia="Times New Roman" w:cs="Times New Roman"/>
          <w:b/>
          <w:bCs/>
          <w:rtl/>
          <w:lang w:eastAsia="de-DE"/>
        </w:rPr>
        <w:t>רִֽבְב֖וֹת אַלְפֵ֥י יִשְׂרָאֵֽל</w:t>
      </w:r>
      <w:r w:rsidRPr="00825204">
        <w:rPr>
          <w:rFonts w:eastAsia="Times New Roman" w:cs="Times New Roman"/>
          <w:rtl/>
          <w:lang w:eastAsia="de-DE"/>
        </w:rPr>
        <w:t xml:space="preserve"> </w:t>
      </w:r>
      <w:r w:rsidRPr="00825204">
        <w:rPr>
          <w:rFonts w:eastAsia="Times New Roman" w:cs="Times New Roman"/>
          <w:lang w:eastAsia="de-DE"/>
        </w:rPr>
        <w:t xml:space="preserve">(Zehntausende der Tausende Israels) mit </w:t>
      </w:r>
      <w:r w:rsidRPr="00825204">
        <w:rPr>
          <w:rFonts w:eastAsia="Times New Roman" w:cs="Times New Roman"/>
          <w:b/>
          <w:bCs/>
          <w:rtl/>
          <w:lang w:eastAsia="de-DE"/>
        </w:rPr>
        <w:t>רִבְבוֹת</w:t>
      </w:r>
      <w:r w:rsidRPr="00825204">
        <w:rPr>
          <w:rFonts w:eastAsia="Times New Roman" w:cs="Times New Roman"/>
          <w:rtl/>
          <w:lang w:eastAsia="de-DE"/>
        </w:rPr>
        <w:t xml:space="preserve"> </w:t>
      </w:r>
      <w:r w:rsidRPr="00825204">
        <w:rPr>
          <w:rFonts w:eastAsia="Times New Roman" w:cs="Times New Roman"/>
          <w:lang w:eastAsia="de-DE"/>
        </w:rPr>
        <w:t xml:space="preserve">(Zehntausende) Plural von </w:t>
      </w:r>
      <w:r w:rsidRPr="00825204">
        <w:rPr>
          <w:rFonts w:eastAsia="Times New Roman" w:cs="Times New Roman"/>
          <w:b/>
          <w:bCs/>
          <w:rtl/>
          <w:lang w:eastAsia="de-DE"/>
        </w:rPr>
        <w:t>רְבָבָה</w:t>
      </w:r>
      <w:r w:rsidRPr="00825204">
        <w:rPr>
          <w:rFonts w:eastAsia="Times New Roman" w:cs="Times New Roman"/>
          <w:rtl/>
          <w:lang w:eastAsia="de-DE"/>
        </w:rPr>
        <w:t xml:space="preserve"> </w:t>
      </w:r>
      <w:r w:rsidRPr="00825204">
        <w:rPr>
          <w:rFonts w:eastAsia="Times New Roman" w:cs="Times New Roman"/>
          <w:lang w:eastAsia="de-DE"/>
        </w:rPr>
        <w:t xml:space="preserve">und </w:t>
      </w:r>
      <w:r w:rsidRPr="00825204">
        <w:rPr>
          <w:rFonts w:eastAsia="Times New Roman" w:cs="Times New Roman"/>
          <w:b/>
          <w:bCs/>
          <w:rtl/>
          <w:lang w:eastAsia="de-DE"/>
        </w:rPr>
        <w:t>אַלְפֵי</w:t>
      </w:r>
      <w:r w:rsidRPr="00825204">
        <w:rPr>
          <w:rFonts w:eastAsia="Times New Roman" w:cs="Times New Roman"/>
          <w:rtl/>
          <w:lang w:eastAsia="de-DE"/>
        </w:rPr>
        <w:t xml:space="preserve"> </w:t>
      </w:r>
      <w:r w:rsidRPr="00825204">
        <w:rPr>
          <w:rFonts w:eastAsia="Times New Roman" w:cs="Times New Roman"/>
          <w:lang w:eastAsia="de-DE"/>
        </w:rPr>
        <w:t xml:space="preserve">(Tausende) Plural von </w:t>
      </w:r>
      <w:r w:rsidRPr="00825204">
        <w:rPr>
          <w:rFonts w:eastAsia="Times New Roman" w:cs="Times New Roman"/>
          <w:b/>
          <w:bCs/>
          <w:rtl/>
          <w:lang w:eastAsia="de-DE"/>
        </w:rPr>
        <w:t>אֶלֶף</w:t>
      </w:r>
      <w:r w:rsidRPr="00825204">
        <w:rPr>
          <w:rFonts w:eastAsia="Times New Roman" w:cs="Times New Roman"/>
          <w:rtl/>
          <w:lang w:eastAsia="de-DE"/>
        </w:rPr>
        <w:t xml:space="preserve"> </w:t>
      </w:r>
      <w:r w:rsidRPr="00825204">
        <w:rPr>
          <w:rFonts w:eastAsia="Times New Roman" w:cs="Times New Roman"/>
          <w:lang w:eastAsia="de-DE"/>
        </w:rPr>
        <w:t>zeigt die zahlreiche Volksmenge. Diese Ausdrucksweise betont die große Anzahl der Israeliten.</w:t>
      </w:r>
    </w:p>
    <w:p w14:paraId="35A60AE1"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b/>
          <w:bCs/>
          <w:lang w:eastAsia="de-DE"/>
        </w:rPr>
        <w:t>Die LXX</w:t>
      </w:r>
      <w:r w:rsidRPr="00825204">
        <w:rPr>
          <w:rFonts w:eastAsia="Times New Roman" w:cs="Times New Roman"/>
          <w:lang w:eastAsia="de-DE"/>
        </w:rPr>
        <w:t xml:space="preserve"> übersetzt </w:t>
      </w:r>
      <w:r w:rsidRPr="00825204">
        <w:rPr>
          <w:rFonts w:eastAsia="Times New Roman" w:cs="Times New Roman"/>
          <w:b/>
          <w:bCs/>
          <w:rtl/>
          <w:lang w:eastAsia="de-DE"/>
        </w:rPr>
        <w:t>שׁוּבָה</w:t>
      </w:r>
      <w:r w:rsidRPr="00825204">
        <w:rPr>
          <w:rFonts w:eastAsia="Times New Roman" w:cs="Times New Roman"/>
          <w:rtl/>
          <w:lang w:eastAsia="de-DE"/>
        </w:rPr>
        <w:t xml:space="preserve"> </w:t>
      </w:r>
      <w:r w:rsidRPr="00825204">
        <w:rPr>
          <w:rFonts w:eastAsia="Times New Roman" w:cs="Times New Roman"/>
          <w:lang w:eastAsia="de-DE"/>
        </w:rPr>
        <w:t xml:space="preserve">mit ἐπίστρεψον (kehre zurück), </w:t>
      </w:r>
      <w:r w:rsidRPr="00825204">
        <w:rPr>
          <w:rFonts w:eastAsia="Times New Roman" w:cs="Times New Roman"/>
          <w:b/>
          <w:bCs/>
          <w:rtl/>
          <w:lang w:eastAsia="de-DE"/>
        </w:rPr>
        <w:t>רִֽבְב֖וֹת</w:t>
      </w:r>
      <w:r w:rsidRPr="00825204">
        <w:rPr>
          <w:rFonts w:eastAsia="Times New Roman" w:cs="Times New Roman"/>
          <w:rtl/>
          <w:lang w:eastAsia="de-DE"/>
        </w:rPr>
        <w:t xml:space="preserve"> </w:t>
      </w:r>
      <w:r w:rsidRPr="00825204">
        <w:rPr>
          <w:rFonts w:eastAsia="Times New Roman" w:cs="Times New Roman"/>
          <w:lang w:eastAsia="de-DE"/>
        </w:rPr>
        <w:t xml:space="preserve">mit μυριάδας (Zehntausende) und </w:t>
      </w:r>
      <w:r w:rsidRPr="00825204">
        <w:rPr>
          <w:rFonts w:eastAsia="Times New Roman" w:cs="Times New Roman"/>
          <w:b/>
          <w:bCs/>
          <w:rtl/>
          <w:lang w:eastAsia="de-DE"/>
        </w:rPr>
        <w:t>אַלְפֵ֥י יִשְׂרָאֵֽל</w:t>
      </w:r>
      <w:r w:rsidRPr="00825204">
        <w:rPr>
          <w:rFonts w:eastAsia="Times New Roman" w:cs="Times New Roman"/>
          <w:rtl/>
          <w:lang w:eastAsia="de-DE"/>
        </w:rPr>
        <w:t xml:space="preserve"> </w:t>
      </w:r>
      <w:r w:rsidRPr="00825204">
        <w:rPr>
          <w:rFonts w:eastAsia="Times New Roman" w:cs="Times New Roman"/>
          <w:lang w:eastAsia="de-DE"/>
        </w:rPr>
        <w:t>mit χιλιάδας Ισραηλ (Tausende Israels).</w:t>
      </w:r>
    </w:p>
    <w:p w14:paraId="3DFC1AA0"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Die Satzstruktur zeigt rituellen Ruhemoment mit Gottesanrufung zur Rückkehr und emphatischer Volkszahlangabe.</w:t>
      </w:r>
    </w:p>
    <w:p w14:paraId="0B965182" w14:textId="77777777" w:rsidR="00825204" w:rsidRP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Dieser Vers komplettiert Moses liturgische Formel mit dem Ruhesegen, der die göttliche Rückkehr zu Israel erbitet und bis heute im jüdischen Gottesdienst beim Schließen der Torah-Rolle verwendet wird.</w:t>
      </w:r>
    </w:p>
    <w:p w14:paraId="20C1927D" w14:textId="4DA37150" w:rsidR="00825204" w:rsidRDefault="00825204" w:rsidP="00825204">
      <w:pPr>
        <w:spacing w:before="100" w:beforeAutospacing="1" w:after="100" w:afterAutospacing="1" w:line="240" w:lineRule="auto"/>
        <w:rPr>
          <w:rFonts w:eastAsia="Times New Roman" w:cs="Times New Roman"/>
          <w:lang w:eastAsia="de-DE"/>
        </w:rPr>
      </w:pPr>
      <w:r w:rsidRPr="00825204">
        <w:rPr>
          <w:rFonts w:eastAsia="Times New Roman" w:cs="Times New Roman"/>
          <w:lang w:eastAsia="de-DE"/>
        </w:rPr>
        <w:t>Die beiden Verse 35-36 bilden zusammen eine vollständige liturgische Einheit, die die Bewegung und das Ruhen der göttlichen Präsenz in der Wüstenwanderung begleitet und die kontinuierliche Verbindung zwischen Gott und seinem wandernden Volk zum Ausdruck bringt.</w:t>
      </w:r>
    </w:p>
    <w:p w14:paraId="11BA912F"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11,1</w:t>
      </w:r>
    </w:p>
    <w:p w14:paraId="3D606C6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וַיְהִ֤י הָעָם֙ כְּמִתְאֹ֣נְנִ֔ים רַ֖ע בְּאָזְנֵ֣י יְהוָ֑ה וַיִּשְׁמַ֤ע יְהוָה֙ וַיִּ֣חַר אַפֹּ֔ו וַתִּבְעַר־בָּם֙ אֵ֣שׁ יְהוָ֔ה וַתֹּ֖אכַל בִּקְצֵ֥ה הַֽמַּחֲנֶֽה׃</w:t>
      </w:r>
    </w:p>
    <w:p w14:paraId="372A707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das Volk war wie die Klage Führenden über Böses in den Ohren des Ewigen, und als der Ewige es hörte, da entbrannte sein Zorn, und ein Feuer des Ewigen brannte unter ihnen und fraß am Ende des Lagers.</w:t>
      </w:r>
    </w:p>
    <w:p w14:paraId="7229A460"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039B4C96">
          <v:rect id="_x0000_i1380" style="width:0;height:1.5pt" o:hralign="center" o:hrstd="t" o:hr="t" fillcolor="#a0a0a0" stroked="f"/>
        </w:pict>
      </w:r>
    </w:p>
    <w:p w14:paraId="4293EF9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וַיְהִ֤י הָעָם֙</w:t>
      </w:r>
      <w:r w:rsidRPr="006E39D1">
        <w:rPr>
          <w:rFonts w:eastAsia="Times New Roman" w:cs="Times New Roman"/>
          <w:rtl/>
          <w:lang w:eastAsia="de-DE"/>
        </w:rPr>
        <w:t xml:space="preserve"> </w:t>
      </w:r>
      <w:r w:rsidRPr="006E39D1">
        <w:rPr>
          <w:rFonts w:eastAsia="Times New Roman" w:cs="Times New Roman"/>
          <w:lang w:eastAsia="de-DE"/>
        </w:rPr>
        <w:t xml:space="preserve">(und das Volk war) von </w:t>
      </w:r>
      <w:r w:rsidRPr="006E39D1">
        <w:rPr>
          <w:rFonts w:eastAsia="Times New Roman" w:cs="Times New Roman"/>
          <w:b/>
          <w:bCs/>
          <w:rtl/>
          <w:lang w:eastAsia="de-DE"/>
        </w:rPr>
        <w:t>היה</w:t>
      </w:r>
      <w:r w:rsidRPr="006E39D1">
        <w:rPr>
          <w:rFonts w:eastAsia="Times New Roman" w:cs="Times New Roman"/>
          <w:rtl/>
          <w:lang w:eastAsia="de-DE"/>
        </w:rPr>
        <w:t xml:space="preserve"> </w:t>
      </w:r>
      <w:r w:rsidRPr="006E39D1">
        <w:rPr>
          <w:rFonts w:eastAsia="Times New Roman" w:cs="Times New Roman"/>
          <w:lang w:eastAsia="de-DE"/>
        </w:rPr>
        <w:t>(sein) im Qal-Imperfekt 3. maskulin Singular mit Waw consecutivum leitet eine neue Episode ein, die einen dramatischen Kontrast zur organisierten, erfolgreichen Aufbruchssequenz von Kapitel 10 bildet.</w:t>
      </w:r>
    </w:p>
    <w:p w14:paraId="405B18F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 xml:space="preserve">Die Charakterisierung </w:t>
      </w:r>
      <w:r w:rsidRPr="006E39D1">
        <w:rPr>
          <w:rFonts w:eastAsia="Times New Roman" w:cs="Times New Roman"/>
          <w:b/>
          <w:bCs/>
          <w:rtl/>
          <w:lang w:eastAsia="de-DE"/>
        </w:rPr>
        <w:t>כְּמִתְאֹ֣נְנִ֔ים רַ֖ע</w:t>
      </w:r>
      <w:r w:rsidRPr="006E39D1">
        <w:rPr>
          <w:rFonts w:eastAsia="Times New Roman" w:cs="Times New Roman"/>
          <w:rtl/>
          <w:lang w:eastAsia="de-DE"/>
        </w:rPr>
        <w:t xml:space="preserve"> </w:t>
      </w:r>
      <w:r w:rsidRPr="006E39D1">
        <w:rPr>
          <w:rFonts w:eastAsia="Times New Roman" w:cs="Times New Roman"/>
          <w:lang w:eastAsia="de-DE"/>
        </w:rPr>
        <w:t xml:space="preserve">(wie die Klage Führenden über Böses) ist syntaktisch komplex. </w:t>
      </w:r>
      <w:r w:rsidRPr="006E39D1">
        <w:rPr>
          <w:rFonts w:eastAsia="Times New Roman" w:cs="Times New Roman"/>
          <w:b/>
          <w:bCs/>
          <w:rtl/>
          <w:lang w:eastAsia="de-DE"/>
        </w:rPr>
        <w:t>כְּמִתְאֹ֣נְנִ֔ים</w:t>
      </w:r>
      <w:r w:rsidRPr="006E39D1">
        <w:rPr>
          <w:rFonts w:eastAsia="Times New Roman" w:cs="Times New Roman"/>
          <w:rtl/>
          <w:lang w:eastAsia="de-DE"/>
        </w:rPr>
        <w:t xml:space="preserve"> </w:t>
      </w:r>
      <w:r w:rsidRPr="006E39D1">
        <w:rPr>
          <w:rFonts w:eastAsia="Times New Roman" w:cs="Times New Roman"/>
          <w:lang w:eastAsia="de-DE"/>
        </w:rPr>
        <w:t xml:space="preserve">(wie die sich Beklagenden) mit </w:t>
      </w:r>
      <w:r w:rsidRPr="006E39D1">
        <w:rPr>
          <w:rFonts w:eastAsia="Times New Roman" w:cs="Times New Roman"/>
          <w:b/>
          <w:bCs/>
          <w:rtl/>
          <w:lang w:eastAsia="de-DE"/>
        </w:rPr>
        <w:t>כְּ</w:t>
      </w:r>
      <w:r w:rsidRPr="006E39D1">
        <w:rPr>
          <w:rFonts w:eastAsia="Times New Roman" w:cs="Times New Roman"/>
          <w:rtl/>
          <w:lang w:eastAsia="de-DE"/>
        </w:rPr>
        <w:t xml:space="preserve"> </w:t>
      </w:r>
      <w:r w:rsidRPr="006E39D1">
        <w:rPr>
          <w:rFonts w:eastAsia="Times New Roman" w:cs="Times New Roman"/>
          <w:lang w:eastAsia="de-DE"/>
        </w:rPr>
        <w:t xml:space="preserve">(wie) als Vergleichspartikel und </w:t>
      </w:r>
      <w:r w:rsidRPr="006E39D1">
        <w:rPr>
          <w:rFonts w:eastAsia="Times New Roman" w:cs="Times New Roman"/>
          <w:b/>
          <w:bCs/>
          <w:rtl/>
          <w:lang w:eastAsia="de-DE"/>
        </w:rPr>
        <w:t>מִתְאֹנְנִים</w:t>
      </w:r>
      <w:r w:rsidRPr="006E39D1">
        <w:rPr>
          <w:rFonts w:eastAsia="Times New Roman" w:cs="Times New Roman"/>
          <w:rtl/>
          <w:lang w:eastAsia="de-DE"/>
        </w:rPr>
        <w:t xml:space="preserve"> </w:t>
      </w:r>
      <w:r w:rsidRPr="006E39D1">
        <w:rPr>
          <w:rFonts w:eastAsia="Times New Roman" w:cs="Times New Roman"/>
          <w:lang w:eastAsia="de-DE"/>
        </w:rPr>
        <w:t xml:space="preserve">als Hitp'ael-Partizip Plural von </w:t>
      </w:r>
      <w:r w:rsidRPr="006E39D1">
        <w:rPr>
          <w:rFonts w:eastAsia="Times New Roman" w:cs="Times New Roman"/>
          <w:b/>
          <w:bCs/>
          <w:rtl/>
          <w:lang w:eastAsia="de-DE"/>
        </w:rPr>
        <w:t>אנן</w:t>
      </w:r>
      <w:r w:rsidRPr="006E39D1">
        <w:rPr>
          <w:rFonts w:eastAsia="Times New Roman" w:cs="Times New Roman"/>
          <w:rtl/>
          <w:lang w:eastAsia="de-DE"/>
        </w:rPr>
        <w:t xml:space="preserve"> </w:t>
      </w:r>
      <w:r w:rsidRPr="006E39D1">
        <w:rPr>
          <w:rFonts w:eastAsia="Times New Roman" w:cs="Times New Roman"/>
          <w:lang w:eastAsia="de-DE"/>
        </w:rPr>
        <w:t xml:space="preserve">(klagen/stöhnen) zeigt eine habituelle, andauernde Klagehandlung. </w:t>
      </w:r>
      <w:r w:rsidRPr="006E39D1">
        <w:rPr>
          <w:rFonts w:eastAsia="Times New Roman" w:cs="Times New Roman"/>
          <w:b/>
          <w:bCs/>
          <w:rtl/>
          <w:lang w:eastAsia="de-DE"/>
        </w:rPr>
        <w:t>רַ֖ע</w:t>
      </w:r>
      <w:r w:rsidRPr="006E39D1">
        <w:rPr>
          <w:rFonts w:eastAsia="Times New Roman" w:cs="Times New Roman"/>
          <w:rtl/>
          <w:lang w:eastAsia="de-DE"/>
        </w:rPr>
        <w:t xml:space="preserve"> </w:t>
      </w:r>
      <w:r w:rsidRPr="006E39D1">
        <w:rPr>
          <w:rFonts w:eastAsia="Times New Roman" w:cs="Times New Roman"/>
          <w:lang w:eastAsia="de-DE"/>
        </w:rPr>
        <w:t>(Böses) als Akkusativobjekt spezifiziert den Inhalt der Klage.</w:t>
      </w:r>
    </w:p>
    <w:p w14:paraId="01D8D26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Wendung </w:t>
      </w:r>
      <w:r w:rsidRPr="006E39D1">
        <w:rPr>
          <w:rFonts w:eastAsia="Times New Roman" w:cs="Times New Roman"/>
          <w:b/>
          <w:bCs/>
          <w:rtl/>
          <w:lang w:eastAsia="de-DE"/>
        </w:rPr>
        <w:t>בְּאָזְנֵ֣י יְהוָ֑ה</w:t>
      </w:r>
      <w:r w:rsidRPr="006E39D1">
        <w:rPr>
          <w:rFonts w:eastAsia="Times New Roman" w:cs="Times New Roman"/>
          <w:rtl/>
          <w:lang w:eastAsia="de-DE"/>
        </w:rPr>
        <w:t xml:space="preserve"> </w:t>
      </w:r>
      <w:r w:rsidRPr="006E39D1">
        <w:rPr>
          <w:rFonts w:eastAsia="Times New Roman" w:cs="Times New Roman"/>
          <w:lang w:eastAsia="de-DE"/>
        </w:rPr>
        <w:t>(in den Ohren des Ewigen) ist theologisch bedeutsam: die Klagen werden anthropomorphisch als göttlich wahrgenommen dargestellt, was sowohl die Realität göttlicher Aufmerksamkeit als auch die Schwere des Vergehens unterstreicht.</w:t>
      </w:r>
    </w:p>
    <w:p w14:paraId="760BC49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göttliche Reaktion </w:t>
      </w:r>
      <w:r w:rsidRPr="006E39D1">
        <w:rPr>
          <w:rFonts w:eastAsia="Times New Roman" w:cs="Times New Roman"/>
          <w:b/>
          <w:bCs/>
          <w:rtl/>
          <w:lang w:eastAsia="de-DE"/>
        </w:rPr>
        <w:t>וַיִּשְׁמַ֤</w:t>
      </w:r>
      <w:r w:rsidRPr="006E39D1">
        <w:rPr>
          <w:rFonts w:eastAsia="Times New Roman" w:cs="Times New Roman"/>
          <w:b/>
          <w:bCs/>
          <w:rtl/>
          <w:lang w:eastAsia="de-DE" w:bidi="ar-SA"/>
        </w:rPr>
        <w:t xml:space="preserve">ع </w:t>
      </w:r>
      <w:r w:rsidRPr="006E39D1">
        <w:rPr>
          <w:rFonts w:eastAsia="Times New Roman" w:cs="Times New Roman"/>
          <w:b/>
          <w:bCs/>
          <w:rtl/>
          <w:lang w:eastAsia="de-DE"/>
        </w:rPr>
        <w:t>יְהוָה֙ וַיִּ֣חַר אַפֹּ֔ו</w:t>
      </w:r>
      <w:r w:rsidRPr="006E39D1">
        <w:rPr>
          <w:rFonts w:eastAsia="Times New Roman" w:cs="Times New Roman"/>
          <w:rtl/>
          <w:lang w:eastAsia="de-DE"/>
        </w:rPr>
        <w:t xml:space="preserve"> </w:t>
      </w:r>
      <w:r w:rsidRPr="006E39D1">
        <w:rPr>
          <w:rFonts w:eastAsia="Times New Roman" w:cs="Times New Roman"/>
          <w:lang w:eastAsia="de-DE"/>
        </w:rPr>
        <w:t xml:space="preserve">zeigt eine zweifache Sequenz: </w:t>
      </w:r>
      <w:r w:rsidRPr="006E39D1">
        <w:rPr>
          <w:rFonts w:eastAsia="Times New Roman" w:cs="Times New Roman"/>
          <w:b/>
          <w:bCs/>
          <w:rtl/>
          <w:lang w:eastAsia="de-DE"/>
        </w:rPr>
        <w:t>יִּשְׁמַע</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שמע</w:t>
      </w:r>
      <w:r w:rsidRPr="006E39D1">
        <w:rPr>
          <w:rFonts w:eastAsia="Times New Roman" w:cs="Times New Roman"/>
          <w:rtl/>
          <w:lang w:eastAsia="de-DE"/>
        </w:rPr>
        <w:t xml:space="preserve"> </w:t>
      </w:r>
      <w:r w:rsidRPr="006E39D1">
        <w:rPr>
          <w:rFonts w:eastAsia="Times New Roman" w:cs="Times New Roman"/>
          <w:lang w:eastAsia="de-DE"/>
        </w:rPr>
        <w:t xml:space="preserve">(hören) und </w:t>
      </w:r>
      <w:r w:rsidRPr="006E39D1">
        <w:rPr>
          <w:rFonts w:eastAsia="Times New Roman" w:cs="Times New Roman"/>
          <w:b/>
          <w:bCs/>
          <w:rtl/>
          <w:lang w:eastAsia="de-DE"/>
        </w:rPr>
        <w:t>יִּחַר אַפּוֹ</w:t>
      </w:r>
      <w:r w:rsidRPr="006E39D1">
        <w:rPr>
          <w:rFonts w:eastAsia="Times New Roman" w:cs="Times New Roman"/>
          <w:rtl/>
          <w:lang w:eastAsia="de-DE"/>
        </w:rPr>
        <w:t xml:space="preserve"> </w:t>
      </w:r>
      <w:r w:rsidRPr="006E39D1">
        <w:rPr>
          <w:rFonts w:eastAsia="Times New Roman" w:cs="Times New Roman"/>
          <w:lang w:eastAsia="de-DE"/>
        </w:rPr>
        <w:t xml:space="preserve">(sein Zorn entbrannte) mit </w:t>
      </w:r>
      <w:r w:rsidRPr="006E39D1">
        <w:rPr>
          <w:rFonts w:eastAsia="Times New Roman" w:cs="Times New Roman"/>
          <w:b/>
          <w:bCs/>
          <w:rtl/>
          <w:lang w:eastAsia="de-DE"/>
        </w:rPr>
        <w:t>חרה</w:t>
      </w:r>
      <w:r w:rsidRPr="006E39D1">
        <w:rPr>
          <w:rFonts w:eastAsia="Times New Roman" w:cs="Times New Roman"/>
          <w:rtl/>
          <w:lang w:eastAsia="de-DE"/>
        </w:rPr>
        <w:t xml:space="preserve"> </w:t>
      </w:r>
      <w:r w:rsidRPr="006E39D1">
        <w:rPr>
          <w:rFonts w:eastAsia="Times New Roman" w:cs="Times New Roman"/>
          <w:lang w:eastAsia="de-DE"/>
        </w:rPr>
        <w:t xml:space="preserve">(brennen) und </w:t>
      </w:r>
      <w:r w:rsidRPr="006E39D1">
        <w:rPr>
          <w:rFonts w:eastAsia="Times New Roman" w:cs="Times New Roman"/>
          <w:b/>
          <w:bCs/>
          <w:rtl/>
          <w:lang w:eastAsia="de-DE"/>
        </w:rPr>
        <w:t>אַף</w:t>
      </w:r>
      <w:r w:rsidRPr="006E39D1">
        <w:rPr>
          <w:rFonts w:eastAsia="Times New Roman" w:cs="Times New Roman"/>
          <w:rtl/>
          <w:lang w:eastAsia="de-DE"/>
        </w:rPr>
        <w:t xml:space="preserve"> </w:t>
      </w:r>
      <w:r w:rsidRPr="006E39D1">
        <w:rPr>
          <w:rFonts w:eastAsia="Times New Roman" w:cs="Times New Roman"/>
          <w:lang w:eastAsia="de-DE"/>
        </w:rPr>
        <w:t>(Nase/Zorn). Diese Sequenz Hören→Zornentbrennen zeigt göttliche Aufmerksamkeit gefolgt von gerechter Reaktion.</w:t>
      </w:r>
    </w:p>
    <w:p w14:paraId="3C82415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Das Strafgericht </w:t>
      </w:r>
      <w:r w:rsidRPr="006E39D1">
        <w:rPr>
          <w:rFonts w:eastAsia="Times New Roman" w:cs="Times New Roman"/>
          <w:b/>
          <w:bCs/>
          <w:rtl/>
          <w:lang w:eastAsia="de-DE"/>
        </w:rPr>
        <w:t>וַתִּבְעַר־בָּם֙ אֵ֣שׁ יְהוָ֔ה וַתֹּ֖אכַל בִּקְצֵ֥ה הַֽמַּחֲנֶֽה</w:t>
      </w:r>
      <w:r w:rsidRPr="006E39D1">
        <w:rPr>
          <w:rFonts w:eastAsia="Times New Roman" w:cs="Times New Roman"/>
          <w:rtl/>
          <w:lang w:eastAsia="de-DE"/>
        </w:rPr>
        <w:t xml:space="preserve"> </w:t>
      </w:r>
      <w:r w:rsidRPr="006E39D1">
        <w:rPr>
          <w:rFonts w:eastAsia="Times New Roman" w:cs="Times New Roman"/>
          <w:lang w:eastAsia="de-DE"/>
        </w:rPr>
        <w:t xml:space="preserve">mit </w:t>
      </w:r>
      <w:r w:rsidRPr="006E39D1">
        <w:rPr>
          <w:rFonts w:eastAsia="Times New Roman" w:cs="Times New Roman"/>
          <w:b/>
          <w:bCs/>
          <w:rtl/>
          <w:lang w:eastAsia="de-DE"/>
        </w:rPr>
        <w:t>תִּבְעַר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בער</w:t>
      </w:r>
      <w:r w:rsidRPr="006E39D1">
        <w:rPr>
          <w:rFonts w:eastAsia="Times New Roman" w:cs="Times New Roman"/>
          <w:rtl/>
          <w:lang w:eastAsia="de-DE"/>
        </w:rPr>
        <w:t xml:space="preserve"> </w:t>
      </w:r>
      <w:r w:rsidRPr="006E39D1">
        <w:rPr>
          <w:rFonts w:eastAsia="Times New Roman" w:cs="Times New Roman"/>
          <w:lang w:eastAsia="de-DE"/>
        </w:rPr>
        <w:t xml:space="preserve">(brennen) im Qal-Imperfekt 3. feminin Singular, </w:t>
      </w:r>
      <w:r w:rsidRPr="006E39D1">
        <w:rPr>
          <w:rFonts w:eastAsia="Times New Roman" w:cs="Times New Roman"/>
          <w:b/>
          <w:bCs/>
          <w:rtl/>
          <w:lang w:eastAsia="de-DE"/>
        </w:rPr>
        <w:t>אֵשׁ יְהוָה</w:t>
      </w:r>
      <w:r w:rsidRPr="006E39D1">
        <w:rPr>
          <w:rFonts w:eastAsia="Times New Roman" w:cs="Times New Roman"/>
          <w:rtl/>
          <w:lang w:eastAsia="de-DE"/>
        </w:rPr>
        <w:t xml:space="preserve"> </w:t>
      </w:r>
      <w:r w:rsidRPr="006E39D1">
        <w:rPr>
          <w:rFonts w:eastAsia="Times New Roman" w:cs="Times New Roman"/>
          <w:lang w:eastAsia="de-DE"/>
        </w:rPr>
        <w:t xml:space="preserve">(Feuer des Ewigen) und </w:t>
      </w:r>
      <w:r w:rsidRPr="006E39D1">
        <w:rPr>
          <w:rFonts w:eastAsia="Times New Roman" w:cs="Times New Roman"/>
          <w:b/>
          <w:bCs/>
          <w:rtl/>
          <w:lang w:eastAsia="de-DE"/>
        </w:rPr>
        <w:t>תֹּאכַל</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אכל</w:t>
      </w:r>
      <w:r w:rsidRPr="006E39D1">
        <w:rPr>
          <w:rFonts w:eastAsia="Times New Roman" w:cs="Times New Roman"/>
          <w:rtl/>
          <w:lang w:eastAsia="de-DE"/>
        </w:rPr>
        <w:t xml:space="preserve"> </w:t>
      </w:r>
      <w:r w:rsidRPr="006E39D1">
        <w:rPr>
          <w:rFonts w:eastAsia="Times New Roman" w:cs="Times New Roman"/>
          <w:lang w:eastAsia="de-DE"/>
        </w:rPr>
        <w:t xml:space="preserve">(fressen/verzehren) zeigt göttliches Straffeuer. </w:t>
      </w:r>
      <w:r w:rsidRPr="006E39D1">
        <w:rPr>
          <w:rFonts w:eastAsia="Times New Roman" w:cs="Times New Roman"/>
          <w:b/>
          <w:bCs/>
          <w:rtl/>
          <w:lang w:eastAsia="de-DE"/>
        </w:rPr>
        <w:t>בִּקְצֵ֥ה הַֽמַּחֲנֶֽה</w:t>
      </w:r>
      <w:r w:rsidRPr="006E39D1">
        <w:rPr>
          <w:rFonts w:eastAsia="Times New Roman" w:cs="Times New Roman"/>
          <w:rtl/>
          <w:lang w:eastAsia="de-DE"/>
        </w:rPr>
        <w:t xml:space="preserve"> </w:t>
      </w:r>
      <w:r w:rsidRPr="006E39D1">
        <w:rPr>
          <w:rFonts w:eastAsia="Times New Roman" w:cs="Times New Roman"/>
          <w:lang w:eastAsia="de-DE"/>
        </w:rPr>
        <w:t>(am Ende des Lagers) zeigt die begrenzte, aber reale Auswirkung der göttlichen Strafe.</w:t>
      </w:r>
    </w:p>
    <w:p w14:paraId="6C112E5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מִתְאֹנְנִים</w:t>
      </w:r>
      <w:r w:rsidRPr="006E39D1">
        <w:rPr>
          <w:rFonts w:eastAsia="Times New Roman" w:cs="Times New Roman"/>
          <w:rtl/>
          <w:lang w:eastAsia="de-DE"/>
        </w:rPr>
        <w:t xml:space="preserve"> </w:t>
      </w:r>
      <w:r w:rsidRPr="006E39D1">
        <w:rPr>
          <w:rFonts w:eastAsia="Times New Roman" w:cs="Times New Roman"/>
          <w:lang w:eastAsia="de-DE"/>
        </w:rPr>
        <w:t xml:space="preserve">mit γογγυσταὶ (Murrende), </w:t>
      </w:r>
      <w:r w:rsidRPr="006E39D1">
        <w:rPr>
          <w:rFonts w:eastAsia="Times New Roman" w:cs="Times New Roman"/>
          <w:b/>
          <w:bCs/>
          <w:rtl/>
          <w:lang w:eastAsia="de-DE"/>
        </w:rPr>
        <w:t>רַע</w:t>
      </w:r>
      <w:r w:rsidRPr="006E39D1">
        <w:rPr>
          <w:rFonts w:eastAsia="Times New Roman" w:cs="Times New Roman"/>
          <w:rtl/>
          <w:lang w:eastAsia="de-DE"/>
        </w:rPr>
        <w:t xml:space="preserve"> </w:t>
      </w:r>
      <w:r w:rsidRPr="006E39D1">
        <w:rPr>
          <w:rFonts w:eastAsia="Times New Roman" w:cs="Times New Roman"/>
          <w:lang w:eastAsia="de-DE"/>
        </w:rPr>
        <w:t xml:space="preserve">mit πονηρὰ (böse Dinge), </w:t>
      </w:r>
      <w:r w:rsidRPr="006E39D1">
        <w:rPr>
          <w:rFonts w:eastAsia="Times New Roman" w:cs="Times New Roman"/>
          <w:b/>
          <w:bCs/>
          <w:rtl/>
          <w:lang w:eastAsia="de-DE"/>
        </w:rPr>
        <w:t>יִּחַר אַפּוֹ</w:t>
      </w:r>
      <w:r w:rsidRPr="006E39D1">
        <w:rPr>
          <w:rFonts w:eastAsia="Times New Roman" w:cs="Times New Roman"/>
          <w:rtl/>
          <w:lang w:eastAsia="de-DE"/>
        </w:rPr>
        <w:t xml:space="preserve"> </w:t>
      </w:r>
      <w:r w:rsidRPr="006E39D1">
        <w:rPr>
          <w:rFonts w:eastAsia="Times New Roman" w:cs="Times New Roman"/>
          <w:lang w:eastAsia="de-DE"/>
        </w:rPr>
        <w:t xml:space="preserve">mit ὠργίσθη θυμῷ (er zürnte mit Grimm) und </w:t>
      </w:r>
      <w:r w:rsidRPr="006E39D1">
        <w:rPr>
          <w:rFonts w:eastAsia="Times New Roman" w:cs="Times New Roman"/>
          <w:b/>
          <w:bCs/>
          <w:rtl/>
          <w:lang w:eastAsia="de-DE"/>
        </w:rPr>
        <w:t>אֵשׁ יְהוָה</w:t>
      </w:r>
      <w:r w:rsidRPr="006E39D1">
        <w:rPr>
          <w:rFonts w:eastAsia="Times New Roman" w:cs="Times New Roman"/>
          <w:rtl/>
          <w:lang w:eastAsia="de-DE"/>
        </w:rPr>
        <w:t xml:space="preserve"> </w:t>
      </w:r>
      <w:r w:rsidRPr="006E39D1">
        <w:rPr>
          <w:rFonts w:eastAsia="Times New Roman" w:cs="Times New Roman"/>
          <w:lang w:eastAsia="de-DE"/>
        </w:rPr>
        <w:t>mit πῦρ παρὰ κυρίου (Feuer vom Herrn).</w:t>
      </w:r>
    </w:p>
    <w:p w14:paraId="6A2AF4D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Volkscharakterisierung, göttliche Wahrnehmung, Zornreaktion und begrenztes Strafgericht in dramatischer Sequenz.</w:t>
      </w:r>
    </w:p>
    <w:p w14:paraId="0CFF385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markiert den Beginn der Murr- und Rebellionserzählungen, die den Kontrast zur idealisierten Ordnung der vorherigen Kapitel bilden und die menschliche Schwäche gegenüber göttlicher Führung thematisieren.</w:t>
      </w:r>
    </w:p>
    <w:p w14:paraId="36222F56"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w:t>
      </w:r>
    </w:p>
    <w:p w14:paraId="587ED12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וַיִּצְעַ֥ק הָעָ֖ם אֶל־מֹשֶׁ֑ה וַיִּתְפַּלֵּ֤ל מֹשֶׁה֙ אֶל־יְהוָ֔ה וַתִּשְׁקַ֖ע הָאֵֽשׁ׃</w:t>
      </w:r>
    </w:p>
    <w:p w14:paraId="1429C57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das Volk schrie zu Mosche; und Mosche betete zu dem Ewigen, da legte sich das Feuer.</w:t>
      </w:r>
    </w:p>
    <w:p w14:paraId="218A38D5"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77D5C9AA">
          <v:rect id="_x0000_i1381" style="width:0;height:1.5pt" o:hralign="center" o:hrstd="t" o:hr="t" fillcolor="#a0a0a0" stroked="f"/>
        </w:pict>
      </w:r>
    </w:p>
    <w:p w14:paraId="4EB316D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וַיִּצְעַ֥</w:t>
      </w:r>
      <w:r w:rsidRPr="006E39D1">
        <w:rPr>
          <w:rFonts w:eastAsia="Times New Roman" w:cs="Times New Roman"/>
          <w:b/>
          <w:bCs/>
          <w:rtl/>
          <w:lang w:eastAsia="de-DE" w:bidi="ar-SA"/>
        </w:rPr>
        <w:t xml:space="preserve">ق </w:t>
      </w:r>
      <w:r w:rsidRPr="006E39D1">
        <w:rPr>
          <w:rFonts w:eastAsia="Times New Roman" w:cs="Times New Roman"/>
          <w:b/>
          <w:bCs/>
          <w:rtl/>
          <w:lang w:eastAsia="de-DE"/>
        </w:rPr>
        <w:t>הָעָ֖ם אֶל־מֹשֶׁ֑ה</w:t>
      </w:r>
      <w:r w:rsidRPr="006E39D1">
        <w:rPr>
          <w:rFonts w:eastAsia="Times New Roman" w:cs="Times New Roman"/>
          <w:rtl/>
          <w:lang w:eastAsia="de-DE"/>
        </w:rPr>
        <w:t xml:space="preserve"> </w:t>
      </w:r>
      <w:r w:rsidRPr="006E39D1">
        <w:rPr>
          <w:rFonts w:eastAsia="Times New Roman" w:cs="Times New Roman"/>
          <w:lang w:eastAsia="de-DE"/>
        </w:rPr>
        <w:t xml:space="preserve">(und das Volk schrie zu Mose) mit </w:t>
      </w:r>
      <w:r w:rsidRPr="006E39D1">
        <w:rPr>
          <w:rFonts w:eastAsia="Times New Roman" w:cs="Times New Roman"/>
          <w:b/>
          <w:bCs/>
          <w:rtl/>
          <w:lang w:eastAsia="de-DE"/>
        </w:rPr>
        <w:t>יִּצְעַק</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צעק</w:t>
      </w:r>
      <w:r w:rsidRPr="006E39D1">
        <w:rPr>
          <w:rFonts w:eastAsia="Times New Roman" w:cs="Times New Roman"/>
          <w:rtl/>
          <w:lang w:eastAsia="de-DE"/>
        </w:rPr>
        <w:t xml:space="preserve"> </w:t>
      </w:r>
      <w:r w:rsidRPr="006E39D1">
        <w:rPr>
          <w:rFonts w:eastAsia="Times New Roman" w:cs="Times New Roman"/>
          <w:lang w:eastAsia="de-DE"/>
        </w:rPr>
        <w:t xml:space="preserve">(schreien/rufen) im Qal-Imperfekt 3. maskulin Singular zeigt die verzweifelte Reaktion des Volkes auf das göttliche Straffeuer. </w:t>
      </w:r>
      <w:r w:rsidRPr="006E39D1">
        <w:rPr>
          <w:rFonts w:eastAsia="Times New Roman" w:cs="Times New Roman"/>
          <w:b/>
          <w:bCs/>
          <w:rtl/>
          <w:lang w:eastAsia="de-DE"/>
        </w:rPr>
        <w:t>אֶל־מֹשֶׁה</w:t>
      </w:r>
      <w:r w:rsidRPr="006E39D1">
        <w:rPr>
          <w:rFonts w:eastAsia="Times New Roman" w:cs="Times New Roman"/>
          <w:rtl/>
          <w:lang w:eastAsia="de-DE"/>
        </w:rPr>
        <w:t xml:space="preserve"> </w:t>
      </w:r>
      <w:r w:rsidRPr="006E39D1">
        <w:rPr>
          <w:rFonts w:eastAsia="Times New Roman" w:cs="Times New Roman"/>
          <w:lang w:eastAsia="de-DE"/>
        </w:rPr>
        <w:t>(zu Mose) etabliert Moses als Vermittler in der Krise.</w:t>
      </w:r>
    </w:p>
    <w:p w14:paraId="47806A0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Fürbitthandlung </w:t>
      </w:r>
      <w:r w:rsidRPr="006E39D1">
        <w:rPr>
          <w:rFonts w:eastAsia="Times New Roman" w:cs="Times New Roman"/>
          <w:b/>
          <w:bCs/>
          <w:rtl/>
          <w:lang w:eastAsia="de-DE"/>
        </w:rPr>
        <w:t>וַיִּתְפַּלֵּ֤ל מֹשֶׁה֙ אֶל־יְהוָ֔ה</w:t>
      </w:r>
      <w:r w:rsidRPr="006E39D1">
        <w:rPr>
          <w:rFonts w:eastAsia="Times New Roman" w:cs="Times New Roman"/>
          <w:rtl/>
          <w:lang w:eastAsia="de-DE"/>
        </w:rPr>
        <w:t xml:space="preserve"> </w:t>
      </w:r>
      <w:r w:rsidRPr="006E39D1">
        <w:rPr>
          <w:rFonts w:eastAsia="Times New Roman" w:cs="Times New Roman"/>
          <w:lang w:eastAsia="de-DE"/>
        </w:rPr>
        <w:t xml:space="preserve">mit </w:t>
      </w:r>
      <w:r w:rsidRPr="006E39D1">
        <w:rPr>
          <w:rFonts w:eastAsia="Times New Roman" w:cs="Times New Roman"/>
          <w:b/>
          <w:bCs/>
          <w:rtl/>
          <w:lang w:eastAsia="de-DE"/>
        </w:rPr>
        <w:t>יִּתְפַּלֵּל</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פלל</w:t>
      </w:r>
      <w:r w:rsidRPr="006E39D1">
        <w:rPr>
          <w:rFonts w:eastAsia="Times New Roman" w:cs="Times New Roman"/>
          <w:rtl/>
          <w:lang w:eastAsia="de-DE"/>
        </w:rPr>
        <w:t xml:space="preserve"> </w:t>
      </w:r>
      <w:r w:rsidRPr="006E39D1">
        <w:rPr>
          <w:rFonts w:eastAsia="Times New Roman" w:cs="Times New Roman"/>
          <w:lang w:eastAsia="de-DE"/>
        </w:rPr>
        <w:t xml:space="preserve">(beten/bitten) im Hitp'ael-Imperfekt 3. maskulin Singular zeigt Moses fürbittende Reaktion. Das Hitp'ael betont die intensive, persönliche Natur der Fürbitte. </w:t>
      </w:r>
      <w:r w:rsidRPr="006E39D1">
        <w:rPr>
          <w:rFonts w:eastAsia="Times New Roman" w:cs="Times New Roman"/>
          <w:b/>
          <w:bCs/>
          <w:rtl/>
          <w:lang w:eastAsia="de-DE"/>
        </w:rPr>
        <w:t>אֶל־יְהוָ֔ה</w:t>
      </w:r>
      <w:r w:rsidRPr="006E39D1">
        <w:rPr>
          <w:rFonts w:eastAsia="Times New Roman" w:cs="Times New Roman"/>
          <w:rtl/>
          <w:lang w:eastAsia="de-DE"/>
        </w:rPr>
        <w:t xml:space="preserve"> </w:t>
      </w:r>
      <w:r w:rsidRPr="006E39D1">
        <w:rPr>
          <w:rFonts w:eastAsia="Times New Roman" w:cs="Times New Roman"/>
          <w:lang w:eastAsia="de-DE"/>
        </w:rPr>
        <w:t>(zu dem Ewigen) zeigt die Richtung der Fürbitte zum ultimativen Entscheidungsträger.</w:t>
      </w:r>
    </w:p>
    <w:p w14:paraId="246FAD2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 xml:space="preserve">Das Resultat </w:t>
      </w:r>
      <w:r w:rsidRPr="006E39D1">
        <w:rPr>
          <w:rFonts w:eastAsia="Times New Roman" w:cs="Times New Roman"/>
          <w:b/>
          <w:bCs/>
          <w:rtl/>
          <w:lang w:eastAsia="de-DE"/>
        </w:rPr>
        <w:t>וַתִּשְׁקַ֖ע הָאֵֽשׁ</w:t>
      </w:r>
      <w:r w:rsidRPr="006E39D1">
        <w:rPr>
          <w:rFonts w:eastAsia="Times New Roman" w:cs="Times New Roman"/>
          <w:rtl/>
          <w:lang w:eastAsia="de-DE"/>
        </w:rPr>
        <w:t xml:space="preserve"> </w:t>
      </w:r>
      <w:r w:rsidRPr="006E39D1">
        <w:rPr>
          <w:rFonts w:eastAsia="Times New Roman" w:cs="Times New Roman"/>
          <w:lang w:eastAsia="de-DE"/>
        </w:rPr>
        <w:t xml:space="preserve">(und das Feuer legte sich) mit </w:t>
      </w:r>
      <w:r w:rsidRPr="006E39D1">
        <w:rPr>
          <w:rFonts w:eastAsia="Times New Roman" w:cs="Times New Roman"/>
          <w:b/>
          <w:bCs/>
          <w:rtl/>
          <w:lang w:eastAsia="de-DE"/>
        </w:rPr>
        <w:t>תִּשְׁקַע</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שקע</w:t>
      </w:r>
      <w:r w:rsidRPr="006E39D1">
        <w:rPr>
          <w:rFonts w:eastAsia="Times New Roman" w:cs="Times New Roman"/>
          <w:rtl/>
          <w:lang w:eastAsia="de-DE"/>
        </w:rPr>
        <w:t xml:space="preserve"> </w:t>
      </w:r>
      <w:r w:rsidRPr="006E39D1">
        <w:rPr>
          <w:rFonts w:eastAsia="Times New Roman" w:cs="Times New Roman"/>
          <w:lang w:eastAsia="de-DE"/>
        </w:rPr>
        <w:t xml:space="preserve">(sinken/sich legen) im Qal-Imperfekt 3. feminin Singular zeigt die sofortige göttliche Reaktion auf Moses Fürbitte. </w:t>
      </w:r>
      <w:r w:rsidRPr="006E39D1">
        <w:rPr>
          <w:rFonts w:eastAsia="Times New Roman" w:cs="Times New Roman"/>
          <w:b/>
          <w:bCs/>
          <w:rtl/>
          <w:lang w:eastAsia="de-DE"/>
        </w:rPr>
        <w:t>הָאֵשׁ</w:t>
      </w:r>
      <w:r w:rsidRPr="006E39D1">
        <w:rPr>
          <w:rFonts w:eastAsia="Times New Roman" w:cs="Times New Roman"/>
          <w:rtl/>
          <w:lang w:eastAsia="de-DE"/>
        </w:rPr>
        <w:t xml:space="preserve"> </w:t>
      </w:r>
      <w:r w:rsidRPr="006E39D1">
        <w:rPr>
          <w:rFonts w:eastAsia="Times New Roman" w:cs="Times New Roman"/>
          <w:lang w:eastAsia="de-DE"/>
        </w:rPr>
        <w:t>(das Feuer) bezieht sich auf das göttliche Straffeuer aus Vers 1.</w:t>
      </w:r>
    </w:p>
    <w:p w14:paraId="6B51EC7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יִּצְעַק</w:t>
      </w:r>
      <w:r w:rsidRPr="006E39D1">
        <w:rPr>
          <w:rFonts w:eastAsia="Times New Roman" w:cs="Times New Roman"/>
          <w:rtl/>
          <w:lang w:eastAsia="de-DE"/>
        </w:rPr>
        <w:t xml:space="preserve"> </w:t>
      </w:r>
      <w:r w:rsidRPr="006E39D1">
        <w:rPr>
          <w:rFonts w:eastAsia="Times New Roman" w:cs="Times New Roman"/>
          <w:lang w:eastAsia="de-DE"/>
        </w:rPr>
        <w:t xml:space="preserve">mit ἐκέκραξεν (es schrie), </w:t>
      </w:r>
      <w:r w:rsidRPr="006E39D1">
        <w:rPr>
          <w:rFonts w:eastAsia="Times New Roman" w:cs="Times New Roman"/>
          <w:b/>
          <w:bCs/>
          <w:rtl/>
          <w:lang w:eastAsia="de-DE"/>
        </w:rPr>
        <w:t>יִּתְפַּלֵּל</w:t>
      </w:r>
      <w:r w:rsidRPr="006E39D1">
        <w:rPr>
          <w:rFonts w:eastAsia="Times New Roman" w:cs="Times New Roman"/>
          <w:rtl/>
          <w:lang w:eastAsia="de-DE"/>
        </w:rPr>
        <w:t xml:space="preserve"> </w:t>
      </w:r>
      <w:r w:rsidRPr="006E39D1">
        <w:rPr>
          <w:rFonts w:eastAsia="Times New Roman" w:cs="Times New Roman"/>
          <w:lang w:eastAsia="de-DE"/>
        </w:rPr>
        <w:t xml:space="preserve">mit ηὔξατο (er betete) und </w:t>
      </w:r>
      <w:r w:rsidRPr="006E39D1">
        <w:rPr>
          <w:rFonts w:eastAsia="Times New Roman" w:cs="Times New Roman"/>
          <w:b/>
          <w:bCs/>
          <w:rtl/>
          <w:lang w:eastAsia="de-DE"/>
        </w:rPr>
        <w:t>תִּשְׁקַע</w:t>
      </w:r>
      <w:r w:rsidRPr="006E39D1">
        <w:rPr>
          <w:rFonts w:eastAsia="Times New Roman" w:cs="Times New Roman"/>
          <w:rtl/>
          <w:lang w:eastAsia="de-DE"/>
        </w:rPr>
        <w:t xml:space="preserve"> </w:t>
      </w:r>
      <w:r w:rsidRPr="006E39D1">
        <w:rPr>
          <w:rFonts w:eastAsia="Times New Roman" w:cs="Times New Roman"/>
          <w:lang w:eastAsia="de-DE"/>
        </w:rPr>
        <w:t>mit ἐσβέσθη (es wurde gelöscht).</w:t>
      </w:r>
    </w:p>
    <w:p w14:paraId="40E92F0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eine dreifache Reaktionssequenz: Volkshilferuf, mosaische Fürbitte, göttliche Erhörung mit sofortiger Wirkung.</w:t>
      </w:r>
    </w:p>
    <w:p w14:paraId="4CBEEAF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etabliert das Muster der Vermittlerrolle Moses zwischen dem sündigen Volk und dem zürnenden Gott, ein Thema, das durch Numeri hindurch zentral bleibt.</w:t>
      </w:r>
    </w:p>
    <w:p w14:paraId="53485553"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11,3</w:t>
      </w:r>
    </w:p>
    <w:p w14:paraId="18FE445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וַיִּקְרָ֛א שֵֽׁם־הַמָּק֥וֹם הַה֖וּא תַּבְעֵרָ֑ה כִּֽי־בָעֲרָ֥ה בָ֖ם אֵ֥שׁ יְהוָֽה׃</w:t>
      </w:r>
    </w:p>
    <w:p w14:paraId="6D8FB83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man nannte den Namen dieses Ortes Tav'era, weil ein Feuer des Ewigen unter ihnen gebrannt hatte.</w:t>
      </w:r>
    </w:p>
    <w:p w14:paraId="3D9BA359"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5FA68148">
          <v:rect id="_x0000_i1382" style="width:0;height:1.5pt" o:hralign="center" o:hrstd="t" o:hr="t" fillcolor="#a0a0a0" stroked="f"/>
        </w:pict>
      </w:r>
    </w:p>
    <w:p w14:paraId="16D6672D" w14:textId="3F1054DF"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וַיִּקְרָ֛א שֵֽׁם־הַמָּק֥וֹם הַה֖וּא תַּבְעֵרָ֑ה</w:t>
      </w:r>
      <w:r w:rsidRPr="006E39D1">
        <w:rPr>
          <w:rFonts w:eastAsia="Times New Roman" w:cs="Times New Roman"/>
          <w:rtl/>
          <w:lang w:eastAsia="de-DE"/>
        </w:rPr>
        <w:t xml:space="preserve"> </w:t>
      </w:r>
      <w:r w:rsidRPr="006E39D1">
        <w:rPr>
          <w:rFonts w:eastAsia="Times New Roman" w:cs="Times New Roman"/>
          <w:lang w:eastAsia="de-DE"/>
        </w:rPr>
        <w:t xml:space="preserve">(und man nannte den Namen dieses Ortes Tabera) mit </w:t>
      </w:r>
      <w:r w:rsidRPr="006E39D1">
        <w:rPr>
          <w:rFonts w:eastAsia="Times New Roman" w:cs="Times New Roman"/>
          <w:b/>
          <w:bCs/>
          <w:rtl/>
          <w:lang w:eastAsia="de-DE"/>
        </w:rPr>
        <w:t>יִּקְרָא</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קרא</w:t>
      </w:r>
      <w:r w:rsidRPr="006E39D1">
        <w:rPr>
          <w:rFonts w:eastAsia="Times New Roman" w:cs="Times New Roman"/>
          <w:rtl/>
          <w:lang w:eastAsia="de-DE"/>
        </w:rPr>
        <w:t xml:space="preserve"> </w:t>
      </w:r>
      <w:r w:rsidRPr="006E39D1">
        <w:rPr>
          <w:rFonts w:eastAsia="Times New Roman" w:cs="Times New Roman"/>
          <w:lang w:eastAsia="de-DE"/>
        </w:rPr>
        <w:t xml:space="preserve">(rufen/nennen) im Qal-Imperfekt 3. maskulin Singular in unpersönlicher </w:t>
      </w:r>
      <w:r w:rsidR="00F133EC">
        <w:rPr>
          <w:rFonts w:eastAsia="Times New Roman" w:cs="Times New Roman"/>
          <w:lang w:eastAsia="de-DE"/>
        </w:rPr>
        <w:t>Construct</w:t>
      </w:r>
      <w:r w:rsidRPr="006E39D1">
        <w:rPr>
          <w:rFonts w:eastAsia="Times New Roman" w:cs="Times New Roman"/>
          <w:lang w:eastAsia="de-DE"/>
        </w:rPr>
        <w:t xml:space="preserve">ion zeigt die etiologische Namengebung. </w:t>
      </w:r>
      <w:r w:rsidRPr="006E39D1">
        <w:rPr>
          <w:rFonts w:eastAsia="Times New Roman" w:cs="Times New Roman"/>
          <w:b/>
          <w:bCs/>
          <w:rtl/>
          <w:lang w:eastAsia="de-DE"/>
        </w:rPr>
        <w:t>שֵׁם־הַמָּקוֹם</w:t>
      </w:r>
      <w:r w:rsidRPr="006E39D1">
        <w:rPr>
          <w:rFonts w:eastAsia="Times New Roman" w:cs="Times New Roman"/>
          <w:rtl/>
          <w:lang w:eastAsia="de-DE"/>
        </w:rPr>
        <w:t xml:space="preserve"> </w:t>
      </w:r>
      <w:r w:rsidRPr="006E39D1">
        <w:rPr>
          <w:rFonts w:eastAsia="Times New Roman" w:cs="Times New Roman"/>
          <w:lang w:eastAsia="de-DE"/>
        </w:rPr>
        <w:t xml:space="preserve">(Name des Ortes) als Akkusativobjekt und </w:t>
      </w:r>
      <w:r w:rsidRPr="006E39D1">
        <w:rPr>
          <w:rFonts w:eastAsia="Times New Roman" w:cs="Times New Roman"/>
          <w:b/>
          <w:bCs/>
          <w:rtl/>
          <w:lang w:eastAsia="de-DE"/>
        </w:rPr>
        <w:t>תַּבְעֵרָ֑ה</w:t>
      </w:r>
      <w:r w:rsidRPr="006E39D1">
        <w:rPr>
          <w:rFonts w:eastAsia="Times New Roman" w:cs="Times New Roman"/>
          <w:rtl/>
          <w:lang w:eastAsia="de-DE"/>
        </w:rPr>
        <w:t xml:space="preserve"> </w:t>
      </w:r>
      <w:r w:rsidRPr="006E39D1">
        <w:rPr>
          <w:rFonts w:eastAsia="Times New Roman" w:cs="Times New Roman"/>
          <w:lang w:eastAsia="de-DE"/>
        </w:rPr>
        <w:t>(Tabera = Brand/Brennen) als Namensgebung schaffen eine bleibende Erinnerung an das Ereignis.</w:t>
      </w:r>
    </w:p>
    <w:p w14:paraId="3A40D4A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kausale Erklärung </w:t>
      </w:r>
      <w:r w:rsidRPr="006E39D1">
        <w:rPr>
          <w:rFonts w:eastAsia="Times New Roman" w:cs="Times New Roman"/>
          <w:b/>
          <w:bCs/>
          <w:rtl/>
          <w:lang w:eastAsia="de-DE"/>
        </w:rPr>
        <w:t>כִּֽי־בָעֲרָ֥ה בָ֖ם אֵ֥שׁ יְהוָֽה</w:t>
      </w:r>
      <w:r w:rsidRPr="006E39D1">
        <w:rPr>
          <w:rFonts w:eastAsia="Times New Roman" w:cs="Times New Roman"/>
          <w:rtl/>
          <w:lang w:eastAsia="de-DE"/>
        </w:rPr>
        <w:t xml:space="preserve"> </w:t>
      </w:r>
      <w:r w:rsidRPr="006E39D1">
        <w:rPr>
          <w:rFonts w:eastAsia="Times New Roman" w:cs="Times New Roman"/>
          <w:lang w:eastAsia="de-DE"/>
        </w:rPr>
        <w:t xml:space="preserve">(denn es brannte unter ihnen Feuer des Ewigen) mit </w:t>
      </w:r>
      <w:r w:rsidRPr="006E39D1">
        <w:rPr>
          <w:rFonts w:eastAsia="Times New Roman" w:cs="Times New Roman"/>
          <w:b/>
          <w:bCs/>
          <w:rtl/>
          <w:lang w:eastAsia="de-DE"/>
        </w:rPr>
        <w:t>כִּי</w:t>
      </w:r>
      <w:r w:rsidRPr="006E39D1">
        <w:rPr>
          <w:rFonts w:eastAsia="Times New Roman" w:cs="Times New Roman"/>
          <w:rtl/>
          <w:lang w:eastAsia="de-DE"/>
        </w:rPr>
        <w:t xml:space="preserve"> </w:t>
      </w:r>
      <w:r w:rsidRPr="006E39D1">
        <w:rPr>
          <w:rFonts w:eastAsia="Times New Roman" w:cs="Times New Roman"/>
          <w:lang w:eastAsia="de-DE"/>
        </w:rPr>
        <w:t xml:space="preserve">(denn/weil), </w:t>
      </w:r>
      <w:r w:rsidRPr="006E39D1">
        <w:rPr>
          <w:rFonts w:eastAsia="Times New Roman" w:cs="Times New Roman"/>
          <w:b/>
          <w:bCs/>
          <w:rtl/>
          <w:lang w:eastAsia="de-DE"/>
        </w:rPr>
        <w:t>בָעֲרָה</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בער</w:t>
      </w:r>
      <w:r w:rsidRPr="006E39D1">
        <w:rPr>
          <w:rFonts w:eastAsia="Times New Roman" w:cs="Times New Roman"/>
          <w:rtl/>
          <w:lang w:eastAsia="de-DE"/>
        </w:rPr>
        <w:t xml:space="preserve"> </w:t>
      </w:r>
      <w:r w:rsidRPr="006E39D1">
        <w:rPr>
          <w:rFonts w:eastAsia="Times New Roman" w:cs="Times New Roman"/>
          <w:lang w:eastAsia="de-DE"/>
        </w:rPr>
        <w:t xml:space="preserve">(brennen) im Qal-Perfekt 3. feminin Singular, </w:t>
      </w:r>
      <w:r w:rsidRPr="006E39D1">
        <w:rPr>
          <w:rFonts w:eastAsia="Times New Roman" w:cs="Times New Roman"/>
          <w:b/>
          <w:bCs/>
          <w:rtl/>
          <w:lang w:eastAsia="de-DE"/>
        </w:rPr>
        <w:t>בָם</w:t>
      </w:r>
      <w:r w:rsidRPr="006E39D1">
        <w:rPr>
          <w:rFonts w:eastAsia="Times New Roman" w:cs="Times New Roman"/>
          <w:rtl/>
          <w:lang w:eastAsia="de-DE"/>
        </w:rPr>
        <w:t xml:space="preserve"> </w:t>
      </w:r>
      <w:r w:rsidRPr="006E39D1">
        <w:rPr>
          <w:rFonts w:eastAsia="Times New Roman" w:cs="Times New Roman"/>
          <w:lang w:eastAsia="de-DE"/>
        </w:rPr>
        <w:t xml:space="preserve">(unter ihnen) und </w:t>
      </w:r>
      <w:r w:rsidRPr="006E39D1">
        <w:rPr>
          <w:rFonts w:eastAsia="Times New Roman" w:cs="Times New Roman"/>
          <w:b/>
          <w:bCs/>
          <w:rtl/>
          <w:lang w:eastAsia="de-DE"/>
        </w:rPr>
        <w:t>אֵשׁ יְהוָה</w:t>
      </w:r>
      <w:r w:rsidRPr="006E39D1">
        <w:rPr>
          <w:rFonts w:eastAsia="Times New Roman" w:cs="Times New Roman"/>
          <w:rtl/>
          <w:lang w:eastAsia="de-DE"/>
        </w:rPr>
        <w:t xml:space="preserve"> </w:t>
      </w:r>
      <w:r w:rsidRPr="006E39D1">
        <w:rPr>
          <w:rFonts w:eastAsia="Times New Roman" w:cs="Times New Roman"/>
          <w:lang w:eastAsia="de-DE"/>
        </w:rPr>
        <w:t>(Feuer des Ewigen) erklärt etymologisch den Ortsnamen durch das Brandereignis.</w:t>
      </w:r>
    </w:p>
    <w:p w14:paraId="642B0A6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rtl/>
          <w:lang w:eastAsia="de-DE"/>
        </w:rPr>
        <w:t>תַּבְעֵרָ֑ה</w:t>
      </w:r>
      <w:r w:rsidRPr="006E39D1">
        <w:rPr>
          <w:rFonts w:eastAsia="Times New Roman" w:cs="Times New Roman"/>
          <w:rtl/>
          <w:lang w:eastAsia="de-DE"/>
        </w:rPr>
        <w:t xml:space="preserve"> </w:t>
      </w:r>
      <w:r w:rsidRPr="006E39D1">
        <w:rPr>
          <w:rFonts w:eastAsia="Times New Roman" w:cs="Times New Roman"/>
          <w:lang w:eastAsia="de-DE"/>
        </w:rPr>
        <w:t xml:space="preserve">von der Wurzel </w:t>
      </w:r>
      <w:r w:rsidRPr="006E39D1">
        <w:rPr>
          <w:rFonts w:eastAsia="Times New Roman" w:cs="Times New Roman"/>
          <w:b/>
          <w:bCs/>
          <w:rtl/>
          <w:lang w:eastAsia="de-DE"/>
        </w:rPr>
        <w:t>בער</w:t>
      </w:r>
      <w:r w:rsidRPr="006E39D1">
        <w:rPr>
          <w:rFonts w:eastAsia="Times New Roman" w:cs="Times New Roman"/>
          <w:rtl/>
          <w:lang w:eastAsia="de-DE"/>
        </w:rPr>
        <w:t xml:space="preserve"> </w:t>
      </w:r>
      <w:r w:rsidRPr="006E39D1">
        <w:rPr>
          <w:rFonts w:eastAsia="Times New Roman" w:cs="Times New Roman"/>
          <w:lang w:eastAsia="de-DE"/>
        </w:rPr>
        <w:t xml:space="preserve">(brennen) ist eine Nominalform, die "Brand" oder "Brennstelle" bedeutet und direkt mit dem Verb </w:t>
      </w:r>
      <w:r w:rsidRPr="006E39D1">
        <w:rPr>
          <w:rFonts w:eastAsia="Times New Roman" w:cs="Times New Roman"/>
          <w:b/>
          <w:bCs/>
          <w:rtl/>
          <w:lang w:eastAsia="de-DE"/>
        </w:rPr>
        <w:t>בָעֲרָה</w:t>
      </w:r>
      <w:r w:rsidRPr="006E39D1">
        <w:rPr>
          <w:rFonts w:eastAsia="Times New Roman" w:cs="Times New Roman"/>
          <w:rtl/>
          <w:lang w:eastAsia="de-DE"/>
        </w:rPr>
        <w:t xml:space="preserve"> </w:t>
      </w:r>
      <w:r w:rsidRPr="006E39D1">
        <w:rPr>
          <w:rFonts w:eastAsia="Times New Roman" w:cs="Times New Roman"/>
          <w:lang w:eastAsia="de-DE"/>
        </w:rPr>
        <w:t>(es brannte) korrespondiert, was die etymologische Verbindung verstärkt.</w:t>
      </w:r>
    </w:p>
    <w:p w14:paraId="623B9F7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תַּבְעֵרָ֑ה</w:t>
      </w:r>
      <w:r w:rsidRPr="006E39D1">
        <w:rPr>
          <w:rFonts w:eastAsia="Times New Roman" w:cs="Times New Roman"/>
          <w:rtl/>
          <w:lang w:eastAsia="de-DE"/>
        </w:rPr>
        <w:t xml:space="preserve"> </w:t>
      </w:r>
      <w:r w:rsidRPr="006E39D1">
        <w:rPr>
          <w:rFonts w:eastAsia="Times New Roman" w:cs="Times New Roman"/>
          <w:lang w:eastAsia="de-DE"/>
        </w:rPr>
        <w:t xml:space="preserve">mit Εμπυρισμός (Brand/Verbrennung) und </w:t>
      </w:r>
      <w:r w:rsidRPr="006E39D1">
        <w:rPr>
          <w:rFonts w:eastAsia="Times New Roman" w:cs="Times New Roman"/>
          <w:b/>
          <w:bCs/>
          <w:rtl/>
          <w:lang w:eastAsia="de-DE"/>
        </w:rPr>
        <w:t>בָעֲרָה בָם</w:t>
      </w:r>
      <w:r w:rsidRPr="006E39D1">
        <w:rPr>
          <w:rFonts w:eastAsia="Times New Roman" w:cs="Times New Roman"/>
          <w:rtl/>
          <w:lang w:eastAsia="de-DE"/>
        </w:rPr>
        <w:t xml:space="preserve"> </w:t>
      </w:r>
      <w:r w:rsidRPr="006E39D1">
        <w:rPr>
          <w:rFonts w:eastAsia="Times New Roman" w:cs="Times New Roman"/>
          <w:lang w:eastAsia="de-DE"/>
        </w:rPr>
        <w:t>mit ἐξεκαύθη ἐν αὐτοῖς (es brannte unter ihnen).</w:t>
      </w:r>
    </w:p>
    <w:p w14:paraId="24613D9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etiologische Namengebung mit kausaler etymologischer Erklärung.</w:t>
      </w:r>
    </w:p>
    <w:p w14:paraId="4185C8B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etabliert ein Muster biblischer Ortsbenennungen, die Ereignisse für nachfolgende Generationen in Erinnerung halten und als Mahnmale göttlicher Gerechtigkeit dienen.</w:t>
      </w:r>
    </w:p>
    <w:p w14:paraId="3C7D742F"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11,4</w:t>
      </w:r>
    </w:p>
    <w:p w14:paraId="33DF129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וְהָֽאסַפְסֻף֙ אֲשֶׁ֣ר בְּקִרְבֹּ֔ו הִתְאַוּ֖וּ תַּאֲוָ֑ה וַיָּשֻׁ֣בוּ וַיִּבְכּ֗וּ גַּ֚ם בְּנֵ֣י יִשְׂרָאֵ֔ל וַיֹּ֣אמְר֔וּ מִ֥י יַאֲכִלֵ֖נוּ בָּשָֽׂר׃</w:t>
      </w:r>
    </w:p>
    <w:p w14:paraId="0FD89A0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Deutsch:</w:t>
      </w:r>
      <w:r w:rsidRPr="006E39D1">
        <w:rPr>
          <w:rFonts w:eastAsia="Times New Roman" w:cs="Times New Roman"/>
          <w:lang w:eastAsia="de-DE"/>
        </w:rPr>
        <w:t xml:space="preserve"> Und das zusammengelaufene Volk, das in ihrer Mitte war, begehrte ein Begehren, und auch die Söhne Jisra'els weinten wiederum und sprachen: Wer wird uns Fleisch zu essen geben?</w:t>
      </w:r>
    </w:p>
    <w:p w14:paraId="0398AA80"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462093B5">
          <v:rect id="_x0000_i1383" style="width:0;height:1.5pt" o:hralign="center" o:hrstd="t" o:hr="t" fillcolor="#a0a0a0" stroked="f"/>
        </w:pict>
      </w:r>
    </w:p>
    <w:p w14:paraId="12D1A25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Subjekt </w:t>
      </w:r>
      <w:r w:rsidRPr="006E39D1">
        <w:rPr>
          <w:rFonts w:eastAsia="Times New Roman" w:cs="Times New Roman"/>
          <w:b/>
          <w:bCs/>
          <w:rtl/>
          <w:lang w:eastAsia="de-DE"/>
        </w:rPr>
        <w:t>וְהָֽאסַפְסֻף֙ אֲשֶׁ֣ר בְּקִרְבֹּ֔ו</w:t>
      </w:r>
      <w:r w:rsidRPr="006E39D1">
        <w:rPr>
          <w:rFonts w:eastAsia="Times New Roman" w:cs="Times New Roman"/>
          <w:rtl/>
          <w:lang w:eastAsia="de-DE"/>
        </w:rPr>
        <w:t xml:space="preserve"> </w:t>
      </w:r>
      <w:r w:rsidRPr="006E39D1">
        <w:rPr>
          <w:rFonts w:eastAsia="Times New Roman" w:cs="Times New Roman"/>
          <w:lang w:eastAsia="de-DE"/>
        </w:rPr>
        <w:t xml:space="preserve">(und das zusammengelaufene Volk, das in ihrer Mitte war) zeigt eine problematische Gruppe innerhalb Israels. </w:t>
      </w:r>
      <w:r w:rsidRPr="006E39D1">
        <w:rPr>
          <w:rFonts w:eastAsia="Times New Roman" w:cs="Times New Roman"/>
          <w:b/>
          <w:bCs/>
          <w:rtl/>
          <w:lang w:eastAsia="de-DE"/>
        </w:rPr>
        <w:t>אסַפְסֻף</w:t>
      </w:r>
      <w:r w:rsidRPr="006E39D1">
        <w:rPr>
          <w:rFonts w:eastAsia="Times New Roman" w:cs="Times New Roman"/>
          <w:rtl/>
          <w:lang w:eastAsia="de-DE"/>
        </w:rPr>
        <w:t xml:space="preserve"> </w:t>
      </w:r>
      <w:r w:rsidRPr="006E39D1">
        <w:rPr>
          <w:rFonts w:eastAsia="Times New Roman" w:cs="Times New Roman"/>
          <w:lang w:eastAsia="de-DE"/>
        </w:rPr>
        <w:t xml:space="preserve">ist ein redupliziertes Substantiv von der Wurzel </w:t>
      </w:r>
      <w:r w:rsidRPr="006E39D1">
        <w:rPr>
          <w:rFonts w:eastAsia="Times New Roman" w:cs="Times New Roman"/>
          <w:b/>
          <w:bCs/>
          <w:rtl/>
          <w:lang w:eastAsia="de-DE"/>
        </w:rPr>
        <w:t>אסף</w:t>
      </w:r>
      <w:r w:rsidRPr="006E39D1">
        <w:rPr>
          <w:rFonts w:eastAsia="Times New Roman" w:cs="Times New Roman"/>
          <w:rtl/>
          <w:lang w:eastAsia="de-DE"/>
        </w:rPr>
        <w:t xml:space="preserve"> </w:t>
      </w:r>
      <w:r w:rsidRPr="006E39D1">
        <w:rPr>
          <w:rFonts w:eastAsia="Times New Roman" w:cs="Times New Roman"/>
          <w:lang w:eastAsia="de-DE"/>
        </w:rPr>
        <w:t xml:space="preserve">(sammeln), das "Mischvolk" oder "zusammengelaufenes Gesindel" bedeutet - wahrscheinlich nicht-israelitische Mitläufer aus Ägypten. </w:t>
      </w:r>
      <w:r w:rsidRPr="006E39D1">
        <w:rPr>
          <w:rFonts w:eastAsia="Times New Roman" w:cs="Times New Roman"/>
          <w:b/>
          <w:bCs/>
          <w:rtl/>
          <w:lang w:eastAsia="de-DE"/>
        </w:rPr>
        <w:t>אֲשֶׁ֣ר בְּקִרְבֹּ֔ו</w:t>
      </w:r>
      <w:r w:rsidRPr="006E39D1">
        <w:rPr>
          <w:rFonts w:eastAsia="Times New Roman" w:cs="Times New Roman"/>
          <w:rtl/>
          <w:lang w:eastAsia="de-DE"/>
        </w:rPr>
        <w:t xml:space="preserve"> </w:t>
      </w:r>
      <w:r w:rsidRPr="006E39D1">
        <w:rPr>
          <w:rFonts w:eastAsia="Times New Roman" w:cs="Times New Roman"/>
          <w:lang w:eastAsia="de-DE"/>
        </w:rPr>
        <w:t>(das in ihrer Mitte war) zeigt ihre Integration in die israelitische Gemeinschaft.</w:t>
      </w:r>
    </w:p>
    <w:p w14:paraId="0F4D425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Das Verb </w:t>
      </w:r>
      <w:r w:rsidRPr="006E39D1">
        <w:rPr>
          <w:rFonts w:eastAsia="Times New Roman" w:cs="Times New Roman"/>
          <w:b/>
          <w:bCs/>
          <w:rtl/>
          <w:lang w:eastAsia="de-DE"/>
        </w:rPr>
        <w:t>הִתְאַוּ֖וּ תַּאֲוָ֑ה</w:t>
      </w:r>
      <w:r w:rsidRPr="006E39D1">
        <w:rPr>
          <w:rFonts w:eastAsia="Times New Roman" w:cs="Times New Roman"/>
          <w:rtl/>
          <w:lang w:eastAsia="de-DE"/>
        </w:rPr>
        <w:t xml:space="preserve"> </w:t>
      </w:r>
      <w:r w:rsidRPr="006E39D1">
        <w:rPr>
          <w:rFonts w:eastAsia="Times New Roman" w:cs="Times New Roman"/>
          <w:lang w:eastAsia="de-DE"/>
        </w:rPr>
        <w:t xml:space="preserve">(sie begehrten ein Begehren) mit </w:t>
      </w:r>
      <w:r w:rsidRPr="006E39D1">
        <w:rPr>
          <w:rFonts w:eastAsia="Times New Roman" w:cs="Times New Roman"/>
          <w:b/>
          <w:bCs/>
          <w:rtl/>
          <w:lang w:eastAsia="de-DE"/>
        </w:rPr>
        <w:t>הִתְאַוּוּ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אוה</w:t>
      </w:r>
      <w:r w:rsidRPr="006E39D1">
        <w:rPr>
          <w:rFonts w:eastAsia="Times New Roman" w:cs="Times New Roman"/>
          <w:rtl/>
          <w:lang w:eastAsia="de-DE"/>
        </w:rPr>
        <w:t xml:space="preserve"> </w:t>
      </w:r>
      <w:r w:rsidRPr="006E39D1">
        <w:rPr>
          <w:rFonts w:eastAsia="Times New Roman" w:cs="Times New Roman"/>
          <w:lang w:eastAsia="de-DE"/>
        </w:rPr>
        <w:t xml:space="preserve">(begehren) im Hitp'ael-Perfekt 3. maskulin Plural und </w:t>
      </w:r>
      <w:r w:rsidRPr="006E39D1">
        <w:rPr>
          <w:rFonts w:eastAsia="Times New Roman" w:cs="Times New Roman"/>
          <w:b/>
          <w:bCs/>
          <w:rtl/>
          <w:lang w:eastAsia="de-DE"/>
        </w:rPr>
        <w:t>תַּאֲוָ֑ה</w:t>
      </w:r>
      <w:r w:rsidRPr="006E39D1">
        <w:rPr>
          <w:rFonts w:eastAsia="Times New Roman" w:cs="Times New Roman"/>
          <w:rtl/>
          <w:lang w:eastAsia="de-DE"/>
        </w:rPr>
        <w:t xml:space="preserve"> </w:t>
      </w:r>
      <w:r w:rsidRPr="006E39D1">
        <w:rPr>
          <w:rFonts w:eastAsia="Times New Roman" w:cs="Times New Roman"/>
          <w:lang w:eastAsia="de-DE"/>
        </w:rPr>
        <w:t>(Begehren) als cognate Accusativ zeigt intensive, leidenschaftliche Gier. Das Hitp'ael betont die selbstbezogene, intensive Natur des Begehrens.</w:t>
      </w:r>
    </w:p>
    <w:p w14:paraId="21F6C49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Ansteckungswirkung </w:t>
      </w:r>
      <w:r w:rsidRPr="006E39D1">
        <w:rPr>
          <w:rFonts w:eastAsia="Times New Roman" w:cs="Times New Roman"/>
          <w:b/>
          <w:bCs/>
          <w:rtl/>
          <w:lang w:eastAsia="de-DE"/>
        </w:rPr>
        <w:t>וַיָּשֻׁ֣בוּ וַיִּבְכּ֗וּ גַּ֚ם בְּנֵ֣י יִשְׂרָאֵ֔ל</w:t>
      </w:r>
      <w:r w:rsidRPr="006E39D1">
        <w:rPr>
          <w:rFonts w:eastAsia="Times New Roman" w:cs="Times New Roman"/>
          <w:rtl/>
          <w:lang w:eastAsia="de-DE"/>
        </w:rPr>
        <w:t xml:space="preserve"> </w:t>
      </w:r>
      <w:r w:rsidRPr="006E39D1">
        <w:rPr>
          <w:rFonts w:eastAsia="Times New Roman" w:cs="Times New Roman"/>
          <w:lang w:eastAsia="de-DE"/>
        </w:rPr>
        <w:t xml:space="preserve">(und auch die Söhne Israels kehrten um und weinten) mit </w:t>
      </w:r>
      <w:r w:rsidRPr="006E39D1">
        <w:rPr>
          <w:rFonts w:eastAsia="Times New Roman" w:cs="Times New Roman"/>
          <w:b/>
          <w:bCs/>
          <w:rtl/>
          <w:lang w:eastAsia="de-DE"/>
        </w:rPr>
        <w:t>יָּשֻׁבוּ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שוב</w:t>
      </w:r>
      <w:r w:rsidRPr="006E39D1">
        <w:rPr>
          <w:rFonts w:eastAsia="Times New Roman" w:cs="Times New Roman"/>
          <w:rtl/>
          <w:lang w:eastAsia="de-DE"/>
        </w:rPr>
        <w:t xml:space="preserve"> </w:t>
      </w:r>
      <w:r w:rsidRPr="006E39D1">
        <w:rPr>
          <w:rFonts w:eastAsia="Times New Roman" w:cs="Times New Roman"/>
          <w:lang w:eastAsia="de-DE"/>
        </w:rPr>
        <w:t xml:space="preserve">(umkehren/wieder tun) und </w:t>
      </w:r>
      <w:r w:rsidRPr="006E39D1">
        <w:rPr>
          <w:rFonts w:eastAsia="Times New Roman" w:cs="Times New Roman"/>
          <w:b/>
          <w:bCs/>
          <w:rtl/>
          <w:lang w:eastAsia="de-DE"/>
        </w:rPr>
        <w:t>יִּבְכּוּ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בכה</w:t>
      </w:r>
      <w:r w:rsidRPr="006E39D1">
        <w:rPr>
          <w:rFonts w:eastAsia="Times New Roman" w:cs="Times New Roman"/>
          <w:rtl/>
          <w:lang w:eastAsia="de-DE"/>
        </w:rPr>
        <w:t xml:space="preserve"> </w:t>
      </w:r>
      <w:r w:rsidRPr="006E39D1">
        <w:rPr>
          <w:rFonts w:eastAsia="Times New Roman" w:cs="Times New Roman"/>
          <w:lang w:eastAsia="de-DE"/>
        </w:rPr>
        <w:t xml:space="preserve">(weinen) zeigt, wie die Gier des Mischvolks die Israeliten infiziert. </w:t>
      </w:r>
      <w:r w:rsidRPr="006E39D1">
        <w:rPr>
          <w:rFonts w:eastAsia="Times New Roman" w:cs="Times New Roman"/>
          <w:b/>
          <w:bCs/>
          <w:rtl/>
          <w:lang w:eastAsia="de-DE"/>
        </w:rPr>
        <w:t>גַּם</w:t>
      </w:r>
      <w:r w:rsidRPr="006E39D1">
        <w:rPr>
          <w:rFonts w:eastAsia="Times New Roman" w:cs="Times New Roman"/>
          <w:rtl/>
          <w:lang w:eastAsia="de-DE"/>
        </w:rPr>
        <w:t xml:space="preserve"> </w:t>
      </w:r>
      <w:r w:rsidRPr="006E39D1">
        <w:rPr>
          <w:rFonts w:eastAsia="Times New Roman" w:cs="Times New Roman"/>
          <w:lang w:eastAsia="de-DE"/>
        </w:rPr>
        <w:t>(auch) betont die Ausweitung der Unzufriedenheit.</w:t>
      </w:r>
    </w:p>
    <w:p w14:paraId="12DFDB0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Klage </w:t>
      </w:r>
      <w:r w:rsidRPr="006E39D1">
        <w:rPr>
          <w:rFonts w:eastAsia="Times New Roman" w:cs="Times New Roman"/>
          <w:b/>
          <w:bCs/>
          <w:rtl/>
          <w:lang w:eastAsia="de-DE"/>
        </w:rPr>
        <w:t>מִ֥י יַאֲכִלֵ֖נוּ בָּשָֽׂר</w:t>
      </w:r>
      <w:r w:rsidRPr="006E39D1">
        <w:rPr>
          <w:rFonts w:eastAsia="Times New Roman" w:cs="Times New Roman"/>
          <w:rtl/>
          <w:lang w:eastAsia="de-DE"/>
        </w:rPr>
        <w:t xml:space="preserve"> </w:t>
      </w:r>
      <w:r w:rsidRPr="006E39D1">
        <w:rPr>
          <w:rFonts w:eastAsia="Times New Roman" w:cs="Times New Roman"/>
          <w:lang w:eastAsia="de-DE"/>
        </w:rPr>
        <w:t xml:space="preserve">(wer wird uns Fleisch zu essen geben) mit </w:t>
      </w:r>
      <w:r w:rsidRPr="006E39D1">
        <w:rPr>
          <w:rFonts w:eastAsia="Times New Roman" w:cs="Times New Roman"/>
          <w:b/>
          <w:bCs/>
          <w:rtl/>
          <w:lang w:eastAsia="de-DE"/>
        </w:rPr>
        <w:t>מִי</w:t>
      </w:r>
      <w:r w:rsidRPr="006E39D1">
        <w:rPr>
          <w:rFonts w:eastAsia="Times New Roman" w:cs="Times New Roman"/>
          <w:rtl/>
          <w:lang w:eastAsia="de-DE"/>
        </w:rPr>
        <w:t xml:space="preserve"> </w:t>
      </w:r>
      <w:r w:rsidRPr="006E39D1">
        <w:rPr>
          <w:rFonts w:eastAsia="Times New Roman" w:cs="Times New Roman"/>
          <w:lang w:eastAsia="de-DE"/>
        </w:rPr>
        <w:t xml:space="preserve">(wer) als rhetorische Frage und </w:t>
      </w:r>
      <w:r w:rsidRPr="006E39D1">
        <w:rPr>
          <w:rFonts w:eastAsia="Times New Roman" w:cs="Times New Roman"/>
          <w:b/>
          <w:bCs/>
          <w:rtl/>
          <w:lang w:eastAsia="de-DE"/>
        </w:rPr>
        <w:t>יַאֲכִלֵנוּ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אכל</w:t>
      </w:r>
      <w:r w:rsidRPr="006E39D1">
        <w:rPr>
          <w:rFonts w:eastAsia="Times New Roman" w:cs="Times New Roman"/>
          <w:rtl/>
          <w:lang w:eastAsia="de-DE"/>
        </w:rPr>
        <w:t xml:space="preserve"> </w:t>
      </w:r>
      <w:r w:rsidRPr="006E39D1">
        <w:rPr>
          <w:rFonts w:eastAsia="Times New Roman" w:cs="Times New Roman"/>
          <w:lang w:eastAsia="de-DE"/>
        </w:rPr>
        <w:t>(essen) im Hiph'il-Imperfekt mit Objektsuffix 1. Person Plural zeigt die Unzufriedenheit mit der Manna-Nahrung.</w:t>
      </w:r>
    </w:p>
    <w:p w14:paraId="30E241A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אסַפְסֻף</w:t>
      </w:r>
      <w:r w:rsidRPr="006E39D1">
        <w:rPr>
          <w:rFonts w:eastAsia="Times New Roman" w:cs="Times New Roman"/>
          <w:rtl/>
          <w:lang w:eastAsia="de-DE"/>
        </w:rPr>
        <w:t xml:space="preserve"> </w:t>
      </w:r>
      <w:r w:rsidRPr="006E39D1">
        <w:rPr>
          <w:rFonts w:eastAsia="Times New Roman" w:cs="Times New Roman"/>
          <w:lang w:eastAsia="de-DE"/>
        </w:rPr>
        <w:t xml:space="preserve">mit ὁ ἐπίμικτος (das Mischvolk), </w:t>
      </w:r>
      <w:r w:rsidRPr="006E39D1">
        <w:rPr>
          <w:rFonts w:eastAsia="Times New Roman" w:cs="Times New Roman"/>
          <w:b/>
          <w:bCs/>
          <w:rtl/>
          <w:lang w:eastAsia="de-DE"/>
        </w:rPr>
        <w:t>הִתְאַוּוּ תַּאֲוָה</w:t>
      </w:r>
      <w:r w:rsidRPr="006E39D1">
        <w:rPr>
          <w:rFonts w:eastAsia="Times New Roman" w:cs="Times New Roman"/>
          <w:rtl/>
          <w:lang w:eastAsia="de-DE"/>
        </w:rPr>
        <w:t xml:space="preserve"> </w:t>
      </w:r>
      <w:r w:rsidRPr="006E39D1">
        <w:rPr>
          <w:rFonts w:eastAsia="Times New Roman" w:cs="Times New Roman"/>
          <w:lang w:eastAsia="de-DE"/>
        </w:rPr>
        <w:t xml:space="preserve">mit ἐπεθύμησαν ἐπιθυμίαν (sie begehrten ein Begehren) und </w:t>
      </w:r>
      <w:r w:rsidRPr="006E39D1">
        <w:rPr>
          <w:rFonts w:eastAsia="Times New Roman" w:cs="Times New Roman"/>
          <w:b/>
          <w:bCs/>
          <w:rtl/>
          <w:lang w:eastAsia="de-DE"/>
        </w:rPr>
        <w:t>יָּשֻׁבוּ</w:t>
      </w:r>
      <w:r w:rsidRPr="006E39D1">
        <w:rPr>
          <w:rFonts w:eastAsia="Times New Roman" w:cs="Times New Roman"/>
          <w:rtl/>
          <w:lang w:eastAsia="de-DE"/>
        </w:rPr>
        <w:t xml:space="preserve"> </w:t>
      </w:r>
      <w:r w:rsidRPr="006E39D1">
        <w:rPr>
          <w:rFonts w:eastAsia="Times New Roman" w:cs="Times New Roman"/>
          <w:lang w:eastAsia="de-DE"/>
        </w:rPr>
        <w:t>mit ἐπέστρεψαν (sie kehrten um).</w:t>
      </w:r>
    </w:p>
    <w:p w14:paraId="72FE9B8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Problemgruppe, intensive Begierdehandlung, Ansteckungseffekt und kollektive Klage.</w:t>
      </w:r>
    </w:p>
    <w:p w14:paraId="2CA0A843" w14:textId="23A42B31"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identifiziert die Ursache der Rebellion: das Mischvolk als Katalysator für israelitische Unzufriedenheit mit göttlicher Versorgung.</w:t>
      </w:r>
    </w:p>
    <w:p w14:paraId="2BB4414F" w14:textId="77777777" w:rsidR="00F81C08" w:rsidRPr="00F06C27" w:rsidRDefault="00F81C08" w:rsidP="00F06C27">
      <w:pPr>
        <w:pStyle w:val="berschrift4"/>
        <w:rPr>
          <w:b/>
          <w:bCs/>
        </w:rPr>
      </w:pPr>
      <w:r w:rsidRPr="00F06C27">
        <w:rPr>
          <w:rStyle w:val="Fett"/>
          <w:b w:val="0"/>
          <w:bCs w:val="0"/>
        </w:rPr>
        <w:t xml:space="preserve">Exkurs: </w:t>
      </w:r>
      <w:r w:rsidRPr="00F06C27">
        <w:rPr>
          <w:rStyle w:val="Fett"/>
          <w:b w:val="0"/>
          <w:bCs w:val="0"/>
          <w:i w:val="0"/>
          <w:iCs w:val="0"/>
          <w:rtl/>
        </w:rPr>
        <w:t>הָאסַפְסֻף</w:t>
      </w:r>
      <w:r w:rsidRPr="00F06C27">
        <w:rPr>
          <w:rStyle w:val="Fett"/>
          <w:b w:val="0"/>
          <w:bCs w:val="0"/>
        </w:rPr>
        <w:t xml:space="preserve"> – Das Mischvolk aus Exodus 12,38</w:t>
      </w:r>
    </w:p>
    <w:p w14:paraId="3D3A3B08" w14:textId="77777777" w:rsidR="00F81C08" w:rsidRDefault="00F81C08" w:rsidP="00F81C08">
      <w:pPr>
        <w:pStyle w:val="whitespace-normal"/>
      </w:pPr>
      <w:r>
        <w:rPr>
          <w:rStyle w:val="Fett"/>
        </w:rPr>
        <w:t>Exodus 12,38:</w:t>
      </w:r>
    </w:p>
    <w:p w14:paraId="7DF778BF" w14:textId="77777777" w:rsidR="00F81C08" w:rsidRDefault="00F81C08" w:rsidP="00F81C08">
      <w:pPr>
        <w:pStyle w:val="whitespace-normal"/>
      </w:pPr>
      <w:r>
        <w:rPr>
          <w:rtl/>
        </w:rPr>
        <w:t>וְגַם־עֵרֶב רַב עָלָה אִתָּם וְצֹאן וּבָקָר מִקְנֶה כָּבֵד מְאֹד</w:t>
      </w:r>
    </w:p>
    <w:p w14:paraId="19E0253C" w14:textId="77777777" w:rsidR="00F81C08" w:rsidRDefault="00F81C08" w:rsidP="00F81C08">
      <w:pPr>
        <w:pStyle w:val="whitespace-normal"/>
      </w:pPr>
      <w:r>
        <w:t xml:space="preserve">"Und auch ein </w:t>
      </w:r>
      <w:r>
        <w:rPr>
          <w:rStyle w:val="Fett"/>
        </w:rPr>
        <w:t>gemischtes Volk</w:t>
      </w:r>
      <w:r>
        <w:t xml:space="preserve"> (</w:t>
      </w:r>
      <w:r>
        <w:rPr>
          <w:rtl/>
        </w:rPr>
        <w:t>עֵרֶב רַב</w:t>
      </w:r>
      <w:r>
        <w:t>) zog mit ihnen hinauf, sowie Kleinvieh und Rindvieh, sehr viel Vieh."</w:t>
      </w:r>
    </w:p>
    <w:p w14:paraId="47012D5D" w14:textId="77777777" w:rsidR="00F81C08" w:rsidRDefault="00F81C08" w:rsidP="00F81C08">
      <w:pPr>
        <w:pStyle w:val="whitespace-normal"/>
      </w:pPr>
      <w:r>
        <w:rPr>
          <w:rStyle w:val="Fett"/>
        </w:rPr>
        <w:t>Vergleich:</w:t>
      </w:r>
    </w:p>
    <w:tbl>
      <w:tblPr>
        <w:tblStyle w:val="Tabellenraster"/>
        <w:tblW w:w="4994" w:type="pct"/>
        <w:tblLook w:val="04A0" w:firstRow="1" w:lastRow="0" w:firstColumn="1" w:lastColumn="0" w:noHBand="0" w:noVBand="1"/>
      </w:tblPr>
      <w:tblGrid>
        <w:gridCol w:w="1205"/>
        <w:gridCol w:w="1198"/>
        <w:gridCol w:w="3124"/>
        <w:gridCol w:w="3524"/>
      </w:tblGrid>
      <w:tr w:rsidR="00F81C08" w14:paraId="02DE7D8A" w14:textId="77777777" w:rsidTr="00F81C08">
        <w:tc>
          <w:tcPr>
            <w:tcW w:w="665" w:type="pct"/>
          </w:tcPr>
          <w:p w14:paraId="1AE1A9EF" w14:textId="7065659E" w:rsidR="00F81C08" w:rsidRDefault="00F81C08" w:rsidP="006E39D1">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Stelle</w:t>
            </w:r>
          </w:p>
        </w:tc>
        <w:tc>
          <w:tcPr>
            <w:tcW w:w="662" w:type="pct"/>
          </w:tcPr>
          <w:p w14:paraId="5E40ED7F" w14:textId="0BE73C70" w:rsidR="00F81C08" w:rsidRDefault="00F81C08" w:rsidP="006E39D1">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Hebräisch</w:t>
            </w:r>
          </w:p>
        </w:tc>
        <w:tc>
          <w:tcPr>
            <w:tcW w:w="1726" w:type="pct"/>
          </w:tcPr>
          <w:p w14:paraId="7BE3F966" w14:textId="7B0CDD36" w:rsidR="00F81C08" w:rsidRDefault="00F81C08" w:rsidP="006E39D1">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Bedeutung</w:t>
            </w:r>
          </w:p>
        </w:tc>
        <w:tc>
          <w:tcPr>
            <w:tcW w:w="1948" w:type="pct"/>
          </w:tcPr>
          <w:p w14:paraId="73E3BD35" w14:textId="04ABA335" w:rsidR="00F81C08" w:rsidRDefault="00F81C08" w:rsidP="006E39D1">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Rolle</w:t>
            </w:r>
          </w:p>
        </w:tc>
      </w:tr>
      <w:tr w:rsidR="00F81C08" w14:paraId="4A45D13D" w14:textId="77777777" w:rsidTr="00F81C08">
        <w:tc>
          <w:tcPr>
            <w:tcW w:w="665" w:type="pct"/>
          </w:tcPr>
          <w:p w14:paraId="2C82BE2C" w14:textId="660528D8" w:rsidR="00F81C08" w:rsidRDefault="00F81C08" w:rsidP="006E39D1">
            <w:pPr>
              <w:spacing w:before="100" w:beforeAutospacing="1" w:after="100" w:afterAutospacing="1" w:line="240" w:lineRule="auto"/>
              <w:rPr>
                <w:rFonts w:eastAsia="Times New Roman" w:cs="Times New Roman"/>
                <w:lang w:eastAsia="de-DE"/>
              </w:rPr>
            </w:pPr>
            <w:r>
              <w:rPr>
                <w:rStyle w:val="Fett"/>
              </w:rPr>
              <w:t>Ex 12,38</w:t>
            </w:r>
          </w:p>
        </w:tc>
        <w:tc>
          <w:tcPr>
            <w:tcW w:w="662" w:type="pct"/>
          </w:tcPr>
          <w:p w14:paraId="2EC669D1" w14:textId="180A7895" w:rsidR="00F81C08" w:rsidRDefault="00F81C08" w:rsidP="00F81C08">
            <w:pPr>
              <w:spacing w:before="100" w:beforeAutospacing="1" w:after="100" w:afterAutospacing="1" w:line="240" w:lineRule="auto"/>
              <w:jc w:val="right"/>
              <w:rPr>
                <w:rFonts w:eastAsia="Times New Roman" w:cs="Times New Roman"/>
                <w:lang w:eastAsia="de-DE"/>
              </w:rPr>
            </w:pPr>
            <w:r>
              <w:rPr>
                <w:rtl/>
              </w:rPr>
              <w:t>עֵרֶב רַב</w:t>
            </w:r>
          </w:p>
        </w:tc>
        <w:tc>
          <w:tcPr>
            <w:tcW w:w="1726" w:type="pct"/>
          </w:tcPr>
          <w:p w14:paraId="0CD63A84" w14:textId="38F6404D" w:rsidR="00F81C08" w:rsidRDefault="00F81C08" w:rsidP="006E39D1">
            <w:pPr>
              <w:spacing w:before="100" w:beforeAutospacing="1" w:after="100" w:afterAutospacing="1" w:line="240" w:lineRule="auto"/>
              <w:rPr>
                <w:rFonts w:eastAsia="Times New Roman" w:cs="Times New Roman"/>
                <w:lang w:eastAsia="de-DE"/>
              </w:rPr>
            </w:pPr>
            <w:r>
              <w:t>"großes Gemisch"</w:t>
            </w:r>
          </w:p>
        </w:tc>
        <w:tc>
          <w:tcPr>
            <w:tcW w:w="1948" w:type="pct"/>
          </w:tcPr>
          <w:p w14:paraId="118F874A" w14:textId="03453061" w:rsidR="00F81C08" w:rsidRDefault="00F81C08" w:rsidP="006E39D1">
            <w:pPr>
              <w:spacing w:before="100" w:beforeAutospacing="1" w:after="100" w:afterAutospacing="1" w:line="240" w:lineRule="auto"/>
              <w:rPr>
                <w:rFonts w:eastAsia="Times New Roman" w:cs="Times New Roman"/>
                <w:lang w:eastAsia="de-DE"/>
              </w:rPr>
            </w:pPr>
            <w:r>
              <w:t>Zieht mit Israel aus Ägypten</w:t>
            </w:r>
          </w:p>
        </w:tc>
      </w:tr>
      <w:tr w:rsidR="00F81C08" w14:paraId="17D15EFA" w14:textId="77777777" w:rsidTr="00F81C08">
        <w:tc>
          <w:tcPr>
            <w:tcW w:w="665" w:type="pct"/>
          </w:tcPr>
          <w:p w14:paraId="7378E334" w14:textId="4170AB8C" w:rsidR="00F81C08" w:rsidRDefault="00F81C08" w:rsidP="006E39D1">
            <w:pPr>
              <w:spacing w:before="100" w:beforeAutospacing="1" w:after="100" w:afterAutospacing="1" w:line="240" w:lineRule="auto"/>
              <w:rPr>
                <w:rFonts w:eastAsia="Times New Roman" w:cs="Times New Roman"/>
                <w:lang w:eastAsia="de-DE"/>
              </w:rPr>
            </w:pPr>
            <w:r>
              <w:lastRenderedPageBreak/>
              <w:t>Num 11,4</w:t>
            </w:r>
          </w:p>
        </w:tc>
        <w:tc>
          <w:tcPr>
            <w:tcW w:w="662" w:type="pct"/>
          </w:tcPr>
          <w:p w14:paraId="7FB13E1E" w14:textId="7FE3E036" w:rsidR="00F81C08" w:rsidRDefault="00F81C08" w:rsidP="00F81C08">
            <w:pPr>
              <w:spacing w:before="100" w:beforeAutospacing="1" w:after="100" w:afterAutospacing="1" w:line="240" w:lineRule="auto"/>
              <w:jc w:val="right"/>
              <w:rPr>
                <w:rFonts w:eastAsia="Times New Roman" w:cs="Times New Roman"/>
                <w:lang w:eastAsia="de-DE"/>
              </w:rPr>
            </w:pPr>
            <w:r>
              <w:rPr>
                <w:rtl/>
              </w:rPr>
              <w:t>הָאסַפְסֻף</w:t>
            </w:r>
          </w:p>
        </w:tc>
        <w:tc>
          <w:tcPr>
            <w:tcW w:w="1726" w:type="pct"/>
          </w:tcPr>
          <w:p w14:paraId="4DA90B65" w14:textId="17FB07AD" w:rsidR="00F81C08" w:rsidRDefault="00F81C08" w:rsidP="006E39D1">
            <w:pPr>
              <w:spacing w:before="100" w:beforeAutospacing="1" w:after="100" w:afterAutospacing="1" w:line="240" w:lineRule="auto"/>
              <w:rPr>
                <w:rFonts w:eastAsia="Times New Roman" w:cs="Times New Roman"/>
                <w:lang w:eastAsia="de-DE"/>
              </w:rPr>
            </w:pPr>
            <w:r>
              <w:t>"zusammengelaufenes Volk"</w:t>
            </w:r>
          </w:p>
        </w:tc>
        <w:tc>
          <w:tcPr>
            <w:tcW w:w="1948" w:type="pct"/>
          </w:tcPr>
          <w:p w14:paraId="6926FD54" w14:textId="3EFBF61F" w:rsidR="00F81C08" w:rsidRDefault="00F81C08" w:rsidP="006E39D1">
            <w:pPr>
              <w:spacing w:before="100" w:beforeAutospacing="1" w:after="100" w:afterAutospacing="1" w:line="240" w:lineRule="auto"/>
              <w:rPr>
                <w:rFonts w:eastAsia="Times New Roman" w:cs="Times New Roman"/>
                <w:lang w:eastAsia="de-DE"/>
              </w:rPr>
            </w:pPr>
            <w:r>
              <w:t>Katalysator für israelitische Rebellion</w:t>
            </w:r>
          </w:p>
        </w:tc>
      </w:tr>
    </w:tbl>
    <w:p w14:paraId="2E7F653E" w14:textId="77777777" w:rsidR="00F81C08" w:rsidRDefault="00F81C08" w:rsidP="00F81C08">
      <w:pPr>
        <w:pStyle w:val="whitespace-normal"/>
      </w:pPr>
      <w:r>
        <w:rPr>
          <w:rStyle w:val="Fett"/>
        </w:rPr>
        <w:t>Identität des Mischvolks:</w:t>
      </w:r>
    </w:p>
    <w:p w14:paraId="685BB4C4" w14:textId="7B2DC4EB" w:rsidR="00F81C08" w:rsidRDefault="00F81C08" w:rsidP="00077755">
      <w:pPr>
        <w:pStyle w:val="KeinLeerraum"/>
        <w:numPr>
          <w:ilvl w:val="0"/>
          <w:numId w:val="90"/>
        </w:numPr>
      </w:pPr>
      <w:r>
        <w:rPr>
          <w:rStyle w:val="Fett"/>
        </w:rPr>
        <w:t>Ägyptische Mitläufer:</w:t>
      </w:r>
      <w:r>
        <w:t xml:space="preserve"> Nicht-Israeliten, die bei der Pessach-Nacht </w:t>
      </w:r>
      <w:r>
        <w:rPr>
          <w:rStyle w:val="Fett"/>
        </w:rPr>
        <w:t>keine Beschneidung</w:t>
      </w:r>
      <w:r>
        <w:t xml:space="preserve"> hatten (Ex 12,43-49 erlaubt nur Beschnittenen das Pessach)</w:t>
      </w:r>
    </w:p>
    <w:p w14:paraId="25E85B77" w14:textId="77777777" w:rsidR="00F81C08" w:rsidRDefault="00F81C08" w:rsidP="00F81C08">
      <w:pPr>
        <w:pStyle w:val="KeinLeerraum"/>
      </w:pPr>
    </w:p>
    <w:p w14:paraId="2132BAB7" w14:textId="5E09B3E1" w:rsidR="00F81C08" w:rsidRDefault="00F81C08" w:rsidP="00077755">
      <w:pPr>
        <w:pStyle w:val="KeinLeerraum"/>
        <w:numPr>
          <w:ilvl w:val="0"/>
          <w:numId w:val="90"/>
        </w:numPr>
      </w:pPr>
      <w:r>
        <w:rPr>
          <w:rStyle w:val="Fett"/>
        </w:rPr>
        <w:t>Sklaven anderer Nationen:</w:t>
      </w:r>
      <w:r>
        <w:t xml:space="preserve"> Möglicherweise andere Sklavenvölker in Ägypten, die die Gelegenheit zur Flucht nutzten</w:t>
      </w:r>
    </w:p>
    <w:p w14:paraId="35469BCD" w14:textId="77777777" w:rsidR="00F81C08" w:rsidRDefault="00F81C08" w:rsidP="00F81C08">
      <w:pPr>
        <w:pStyle w:val="KeinLeerraum"/>
      </w:pPr>
    </w:p>
    <w:p w14:paraId="3231CD75" w14:textId="02B90B54" w:rsidR="00F81C08" w:rsidRDefault="00F81C08" w:rsidP="00077755">
      <w:pPr>
        <w:pStyle w:val="KeinLeerraum"/>
        <w:numPr>
          <w:ilvl w:val="0"/>
          <w:numId w:val="90"/>
        </w:numPr>
      </w:pPr>
      <w:r>
        <w:rPr>
          <w:rStyle w:val="Fett"/>
        </w:rPr>
        <w:t>Ägyptische Sympathisanten:</w:t>
      </w:r>
      <w:r>
        <w:t xml:space="preserve"> Ägypter, die nach den Plagen JHWH fürchteten</w:t>
      </w:r>
    </w:p>
    <w:p w14:paraId="0FF44C97" w14:textId="77777777" w:rsidR="00F81C08" w:rsidRDefault="00F81C08" w:rsidP="00F81C08">
      <w:pPr>
        <w:pStyle w:val="KeinLeerraum"/>
      </w:pPr>
    </w:p>
    <w:p w14:paraId="3BA3C637" w14:textId="6918F9B3" w:rsidR="00F81C08" w:rsidRDefault="00F81C08" w:rsidP="00F81C08">
      <w:pPr>
        <w:pStyle w:val="KeinLeerraum"/>
        <w:rPr>
          <w:rStyle w:val="Fett"/>
        </w:rPr>
      </w:pPr>
      <w:r>
        <w:rPr>
          <w:rStyle w:val="Fett"/>
        </w:rPr>
        <w:t>Theologische Bedeutung:</w:t>
      </w:r>
    </w:p>
    <w:p w14:paraId="7E3027C8" w14:textId="77777777" w:rsidR="00F81C08" w:rsidRDefault="00F81C08" w:rsidP="00F81C08">
      <w:pPr>
        <w:pStyle w:val="KeinLeerraum"/>
      </w:pPr>
    </w:p>
    <w:p w14:paraId="14F7F51D" w14:textId="6C32C129" w:rsidR="00F81C08" w:rsidRPr="00F81C08" w:rsidRDefault="00F81C08" w:rsidP="00077755">
      <w:pPr>
        <w:pStyle w:val="KeinLeerraum"/>
        <w:numPr>
          <w:ilvl w:val="0"/>
          <w:numId w:val="88"/>
        </w:numPr>
      </w:pPr>
      <w:r w:rsidRPr="00F81C08">
        <w:rPr>
          <w:rStyle w:val="Fett"/>
          <w:b w:val="0"/>
          <w:bCs w:val="0"/>
        </w:rPr>
        <w:t>Negative Beeinflussung:</w:t>
      </w:r>
      <w:r w:rsidRPr="00F81C08">
        <w:t xml:space="preserve"> Das Mischvolk wird als </w:t>
      </w:r>
      <w:r w:rsidRPr="00F81C08">
        <w:rPr>
          <w:rStyle w:val="Fett"/>
          <w:b w:val="0"/>
          <w:bCs w:val="0"/>
        </w:rPr>
        <w:t>Katalysator</w:t>
      </w:r>
      <w:r w:rsidRPr="00F81C08">
        <w:t xml:space="preserve"> für israelitische Unzufriedenheit dargestellt (Num 11,4: </w:t>
      </w:r>
      <w:r w:rsidRPr="00F81C08">
        <w:rPr>
          <w:rtl/>
        </w:rPr>
        <w:t>הִתְאַוּוּ תַּאֲוָה → וַיָּשֻׁבוּ וַיִּבְכּוּ גַּם בְּנֵי יִשְׂרָאֵל</w:t>
      </w:r>
      <w:r w:rsidRPr="00F81C08">
        <w:t>)</w:t>
      </w:r>
    </w:p>
    <w:p w14:paraId="72293AC0" w14:textId="77777777" w:rsidR="00F81C08" w:rsidRPr="00F81C08" w:rsidRDefault="00F81C08" w:rsidP="00F81C08">
      <w:pPr>
        <w:pStyle w:val="KeinLeerraum"/>
      </w:pPr>
    </w:p>
    <w:p w14:paraId="31BE60D1" w14:textId="1605E0D8" w:rsidR="00F81C08" w:rsidRPr="00F81C08" w:rsidRDefault="00F81C08" w:rsidP="00077755">
      <w:pPr>
        <w:pStyle w:val="KeinLeerraum"/>
        <w:numPr>
          <w:ilvl w:val="0"/>
          <w:numId w:val="88"/>
        </w:numPr>
      </w:pPr>
      <w:r w:rsidRPr="00F81C08">
        <w:rPr>
          <w:rStyle w:val="Fett"/>
          <w:b w:val="0"/>
          <w:bCs w:val="0"/>
        </w:rPr>
        <w:t>Mangelnde Bundesbindung:</w:t>
      </w:r>
      <w:r w:rsidRPr="00F81C08">
        <w:t xml:space="preserve"> Sie haben </w:t>
      </w:r>
      <w:r w:rsidRPr="00F81C08">
        <w:rPr>
          <w:rStyle w:val="Fett"/>
          <w:b w:val="0"/>
          <w:bCs w:val="0"/>
        </w:rPr>
        <w:t>keine</w:t>
      </w:r>
      <w:r w:rsidRPr="00F81C08">
        <w:t xml:space="preserve"> persönliche Bundesgeschichte mit JHWH und verstehen daher die Manna-Versorgung nicht als Bundeszeichen</w:t>
      </w:r>
    </w:p>
    <w:p w14:paraId="7A8F72C4" w14:textId="77777777" w:rsidR="00F81C08" w:rsidRPr="00F81C08" w:rsidRDefault="00F81C08" w:rsidP="00F81C08">
      <w:pPr>
        <w:pStyle w:val="KeinLeerraum"/>
        <w:rPr>
          <w:rStyle w:val="Fett"/>
          <w:b w:val="0"/>
          <w:bCs w:val="0"/>
        </w:rPr>
      </w:pPr>
    </w:p>
    <w:p w14:paraId="0A77031E" w14:textId="4DD9A5E7" w:rsidR="00F81C08" w:rsidRPr="00F81C08" w:rsidRDefault="00F81C08" w:rsidP="00077755">
      <w:pPr>
        <w:pStyle w:val="KeinLeerraum"/>
        <w:numPr>
          <w:ilvl w:val="0"/>
          <w:numId w:val="88"/>
        </w:numPr>
      </w:pPr>
      <w:r w:rsidRPr="00F81C08">
        <w:rPr>
          <w:rStyle w:val="Fett"/>
          <w:b w:val="0"/>
          <w:bCs w:val="0"/>
        </w:rPr>
        <w:t>Spätere Rezeption:</w:t>
      </w:r>
      <w:r w:rsidRPr="00F81C08">
        <w:t xml:space="preserve"> </w:t>
      </w:r>
    </w:p>
    <w:p w14:paraId="6F65455B" w14:textId="77777777" w:rsidR="00F81C08" w:rsidRPr="00F81C08" w:rsidRDefault="00F81C08" w:rsidP="00077755">
      <w:pPr>
        <w:pStyle w:val="KeinLeerraum"/>
        <w:numPr>
          <w:ilvl w:val="0"/>
          <w:numId w:val="89"/>
        </w:numPr>
      </w:pPr>
      <w:r w:rsidRPr="00F81C08">
        <w:rPr>
          <w:rStyle w:val="Fett"/>
          <w:b w:val="0"/>
          <w:bCs w:val="0"/>
        </w:rPr>
        <w:t>Neh 13,3:</w:t>
      </w:r>
      <w:r w:rsidRPr="00F81C08">
        <w:t xml:space="preserve"> </w:t>
      </w:r>
      <w:r w:rsidRPr="00F81C08">
        <w:rPr>
          <w:rtl/>
        </w:rPr>
        <w:t>עֵרֶב רַב</w:t>
      </w:r>
      <w:r w:rsidRPr="00F81C08">
        <w:t xml:space="preserve"> wird aus der Gemeinde ausgeschlossen</w:t>
      </w:r>
    </w:p>
    <w:p w14:paraId="6C19B9C9" w14:textId="1C68DAA6" w:rsidR="00F81C08" w:rsidRPr="00F81C08" w:rsidRDefault="00F81C08" w:rsidP="00077755">
      <w:pPr>
        <w:pStyle w:val="KeinLeerraum"/>
        <w:numPr>
          <w:ilvl w:val="0"/>
          <w:numId w:val="89"/>
        </w:numPr>
      </w:pPr>
      <w:r w:rsidRPr="00F81C08">
        <w:rPr>
          <w:rStyle w:val="Fett"/>
          <w:b w:val="0"/>
          <w:bCs w:val="0"/>
        </w:rPr>
        <w:t>Rabbinische Tradition:</w:t>
      </w:r>
      <w:r w:rsidRPr="00F81C08">
        <w:t xml:space="preserve"> </w:t>
      </w:r>
      <w:r w:rsidRPr="00F81C08">
        <w:rPr>
          <w:rtl/>
        </w:rPr>
        <w:t>הָאסַפְסֻף</w:t>
      </w:r>
      <w:r w:rsidRPr="00F81C08">
        <w:t xml:space="preserve"> wird zum Symbol für </w:t>
      </w:r>
      <w:r w:rsidRPr="00F81C08">
        <w:rPr>
          <w:rStyle w:val="Fett"/>
          <w:b w:val="0"/>
          <w:bCs w:val="0"/>
        </w:rPr>
        <w:t>religiöse Halbherzigkeit</w:t>
      </w:r>
    </w:p>
    <w:p w14:paraId="2A63EAAF"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11,5</w:t>
      </w:r>
    </w:p>
    <w:p w14:paraId="562EF4F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זָכַ֨רְנוּ֙ אֶת־הַדָּגָ֔ה אֲשֶׁר־נֹאכַ֥ל בְּמִצְרַ֖יִם חִנָּ֑ם אֵ֣ת הַקִּשֻּׁאִ֗ים וְאֵת֙ הָֽאֲבַטִּחִ֔ים וְאֶת־הֶחָצִ֥יר וְאֶת־הַבְּצָלִ֖ים וְאֶת־הַשּׁוּמִֽים׃</w:t>
      </w:r>
    </w:p>
    <w:p w14:paraId="6278AD2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Wir gedenken der Fische, die wir in Mizrajim umsonst aßen, der Gurken und der Melonen und des Lauchs und der Zwiebeln und des Knoblauchs.</w:t>
      </w:r>
    </w:p>
    <w:p w14:paraId="4A988471"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6ACF7186">
          <v:rect id="_x0000_i1384" style="width:0;height:1.5pt" o:hralign="center" o:hrstd="t" o:hr="t" fillcolor="#a0a0a0" stroked="f"/>
        </w:pict>
      </w:r>
    </w:p>
    <w:p w14:paraId="581DCED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זָכַ֨רְנוּ֙</w:t>
      </w:r>
      <w:r w:rsidRPr="006E39D1">
        <w:rPr>
          <w:rFonts w:eastAsia="Times New Roman" w:cs="Times New Roman"/>
          <w:rtl/>
          <w:lang w:eastAsia="de-DE"/>
        </w:rPr>
        <w:t xml:space="preserve"> </w:t>
      </w:r>
      <w:r w:rsidRPr="006E39D1">
        <w:rPr>
          <w:rFonts w:eastAsia="Times New Roman" w:cs="Times New Roman"/>
          <w:lang w:eastAsia="de-DE"/>
        </w:rPr>
        <w:t xml:space="preserve">(wir gedenken) von </w:t>
      </w:r>
      <w:r w:rsidRPr="006E39D1">
        <w:rPr>
          <w:rFonts w:eastAsia="Times New Roman" w:cs="Times New Roman"/>
          <w:b/>
          <w:bCs/>
          <w:rtl/>
          <w:lang w:eastAsia="de-DE"/>
        </w:rPr>
        <w:t>זכר</w:t>
      </w:r>
      <w:r w:rsidRPr="006E39D1">
        <w:rPr>
          <w:rFonts w:eastAsia="Times New Roman" w:cs="Times New Roman"/>
          <w:rtl/>
          <w:lang w:eastAsia="de-DE"/>
        </w:rPr>
        <w:t xml:space="preserve"> </w:t>
      </w:r>
      <w:r w:rsidRPr="006E39D1">
        <w:rPr>
          <w:rFonts w:eastAsia="Times New Roman" w:cs="Times New Roman"/>
          <w:lang w:eastAsia="de-DE"/>
        </w:rPr>
        <w:t xml:space="preserve">(gedenken/erinnern) im Qal-Perfekt 1. Person Plural zeigt nostalgische Rückerinnerung. Das direkte Objekt </w:t>
      </w:r>
      <w:r w:rsidRPr="006E39D1">
        <w:rPr>
          <w:rFonts w:eastAsia="Times New Roman" w:cs="Times New Roman"/>
          <w:b/>
          <w:bCs/>
          <w:rtl/>
          <w:lang w:eastAsia="de-DE"/>
        </w:rPr>
        <w:t>אֶת־הַדָּגָ֔ה</w:t>
      </w:r>
      <w:r w:rsidRPr="006E39D1">
        <w:rPr>
          <w:rFonts w:eastAsia="Times New Roman" w:cs="Times New Roman"/>
          <w:rtl/>
          <w:lang w:eastAsia="de-DE"/>
        </w:rPr>
        <w:t xml:space="preserve"> </w:t>
      </w:r>
      <w:r w:rsidRPr="006E39D1">
        <w:rPr>
          <w:rFonts w:eastAsia="Times New Roman" w:cs="Times New Roman"/>
          <w:lang w:eastAsia="de-DE"/>
        </w:rPr>
        <w:t xml:space="preserve">(die Fische) mit </w:t>
      </w:r>
      <w:r w:rsidRPr="006E39D1">
        <w:rPr>
          <w:rFonts w:eastAsia="Times New Roman" w:cs="Times New Roman"/>
          <w:b/>
          <w:bCs/>
          <w:rtl/>
          <w:lang w:eastAsia="de-DE"/>
        </w:rPr>
        <w:t>דָּגָה</w:t>
      </w:r>
      <w:r w:rsidRPr="006E39D1">
        <w:rPr>
          <w:rFonts w:eastAsia="Times New Roman" w:cs="Times New Roman"/>
          <w:rtl/>
          <w:lang w:eastAsia="de-DE"/>
        </w:rPr>
        <w:t xml:space="preserve"> </w:t>
      </w:r>
      <w:r w:rsidRPr="006E39D1">
        <w:rPr>
          <w:rFonts w:eastAsia="Times New Roman" w:cs="Times New Roman"/>
          <w:lang w:eastAsia="de-DE"/>
        </w:rPr>
        <w:t>(Fisch) als Kollektivum beginnt eine detaillierte Aufzählung ägyptischer Nahrungsmittel.</w:t>
      </w:r>
    </w:p>
    <w:p w14:paraId="0A96297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relativische Charakterisierung </w:t>
      </w:r>
      <w:r w:rsidRPr="006E39D1">
        <w:rPr>
          <w:rFonts w:eastAsia="Times New Roman" w:cs="Times New Roman"/>
          <w:b/>
          <w:bCs/>
          <w:rtl/>
          <w:lang w:eastAsia="de-DE"/>
        </w:rPr>
        <w:t>אֲשֶׁר־נֹאכַ֥ל בְּמִצְרַ֖יִם חִנָּ֑ם</w:t>
      </w:r>
      <w:r w:rsidRPr="006E39D1">
        <w:rPr>
          <w:rFonts w:eastAsia="Times New Roman" w:cs="Times New Roman"/>
          <w:rtl/>
          <w:lang w:eastAsia="de-DE"/>
        </w:rPr>
        <w:t xml:space="preserve"> </w:t>
      </w:r>
      <w:r w:rsidRPr="006E39D1">
        <w:rPr>
          <w:rFonts w:eastAsia="Times New Roman" w:cs="Times New Roman"/>
          <w:lang w:eastAsia="de-DE"/>
        </w:rPr>
        <w:t xml:space="preserve">(die wir in Ägypten umsonst aßen) mit </w:t>
      </w:r>
      <w:r w:rsidRPr="006E39D1">
        <w:rPr>
          <w:rFonts w:eastAsia="Times New Roman" w:cs="Times New Roman"/>
          <w:b/>
          <w:bCs/>
          <w:rtl/>
          <w:lang w:eastAsia="de-DE"/>
        </w:rPr>
        <w:t>נֹאכַל</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אכל</w:t>
      </w:r>
      <w:r w:rsidRPr="006E39D1">
        <w:rPr>
          <w:rFonts w:eastAsia="Times New Roman" w:cs="Times New Roman"/>
          <w:rtl/>
          <w:lang w:eastAsia="de-DE"/>
        </w:rPr>
        <w:t xml:space="preserve"> </w:t>
      </w:r>
      <w:r w:rsidRPr="006E39D1">
        <w:rPr>
          <w:rFonts w:eastAsia="Times New Roman" w:cs="Times New Roman"/>
          <w:lang w:eastAsia="de-DE"/>
        </w:rPr>
        <w:t xml:space="preserve">(essen) im Qal-Imperfekt 1. Person Plural, </w:t>
      </w:r>
      <w:r w:rsidRPr="006E39D1">
        <w:rPr>
          <w:rFonts w:eastAsia="Times New Roman" w:cs="Times New Roman"/>
          <w:b/>
          <w:bCs/>
          <w:rtl/>
          <w:lang w:eastAsia="de-DE"/>
        </w:rPr>
        <w:t>בְּמִצְרַיִם</w:t>
      </w:r>
      <w:r w:rsidRPr="006E39D1">
        <w:rPr>
          <w:rFonts w:eastAsia="Times New Roman" w:cs="Times New Roman"/>
          <w:rtl/>
          <w:lang w:eastAsia="de-DE"/>
        </w:rPr>
        <w:t xml:space="preserve"> </w:t>
      </w:r>
      <w:r w:rsidRPr="006E39D1">
        <w:rPr>
          <w:rFonts w:eastAsia="Times New Roman" w:cs="Times New Roman"/>
          <w:lang w:eastAsia="de-DE"/>
        </w:rPr>
        <w:t xml:space="preserve">(in Ägypten) und dem ironischen </w:t>
      </w:r>
      <w:r w:rsidRPr="006E39D1">
        <w:rPr>
          <w:rFonts w:eastAsia="Times New Roman" w:cs="Times New Roman"/>
          <w:b/>
          <w:bCs/>
          <w:rtl/>
          <w:lang w:eastAsia="de-DE"/>
        </w:rPr>
        <w:t>חִנָּ֑ם</w:t>
      </w:r>
      <w:r w:rsidRPr="006E39D1">
        <w:rPr>
          <w:rFonts w:eastAsia="Times New Roman" w:cs="Times New Roman"/>
          <w:rtl/>
          <w:lang w:eastAsia="de-DE"/>
        </w:rPr>
        <w:t xml:space="preserve"> </w:t>
      </w:r>
      <w:r w:rsidRPr="006E39D1">
        <w:rPr>
          <w:rFonts w:eastAsia="Times New Roman" w:cs="Times New Roman"/>
          <w:lang w:eastAsia="de-DE"/>
        </w:rPr>
        <w:t xml:space="preserve">(umsonst/gratis) zeigt verklärte Erinnerung. </w:t>
      </w:r>
      <w:r w:rsidRPr="006E39D1">
        <w:rPr>
          <w:rFonts w:eastAsia="Times New Roman" w:cs="Times New Roman"/>
          <w:b/>
          <w:bCs/>
          <w:rtl/>
          <w:lang w:eastAsia="de-DE"/>
        </w:rPr>
        <w:t>חִנָּם</w:t>
      </w:r>
      <w:r w:rsidRPr="006E39D1">
        <w:rPr>
          <w:rFonts w:eastAsia="Times New Roman" w:cs="Times New Roman"/>
          <w:rtl/>
          <w:lang w:eastAsia="de-DE"/>
        </w:rPr>
        <w:t xml:space="preserve"> </w:t>
      </w:r>
      <w:r w:rsidRPr="006E39D1">
        <w:rPr>
          <w:rFonts w:eastAsia="Times New Roman" w:cs="Times New Roman"/>
          <w:lang w:eastAsia="de-DE"/>
        </w:rPr>
        <w:t>ist hier tragisch ironisch - die Israeliten vergessen die Sklaverei und sehen nur die Nahrungsvielfalt.</w:t>
      </w:r>
    </w:p>
    <w:p w14:paraId="3DC175A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fünffache Aufzählung </w:t>
      </w:r>
      <w:r w:rsidRPr="006E39D1">
        <w:rPr>
          <w:rFonts w:eastAsia="Times New Roman" w:cs="Times New Roman"/>
          <w:b/>
          <w:bCs/>
          <w:rtl/>
          <w:lang w:eastAsia="de-DE"/>
        </w:rPr>
        <w:t>אֵ֣ת הַקִּשֻּׁאִ֗ים וְאֵת֙ הָֽאֲבַטִּחִ֔ים וְאֶת־הֶחָצִ֥יר וְאֶת־הַבְּצָלִ֖ים וְאֶת־הַשּׁוּמִֽים</w:t>
      </w:r>
      <w:r w:rsidRPr="006E39D1">
        <w:rPr>
          <w:rFonts w:eastAsia="Times New Roman" w:cs="Times New Roman"/>
          <w:rtl/>
          <w:lang w:eastAsia="de-DE"/>
        </w:rPr>
        <w:t xml:space="preserve"> </w:t>
      </w:r>
      <w:r w:rsidRPr="006E39D1">
        <w:rPr>
          <w:rFonts w:eastAsia="Times New Roman" w:cs="Times New Roman"/>
          <w:lang w:eastAsia="de-DE"/>
        </w:rPr>
        <w:t xml:space="preserve">zeigt die Detailliertheit der nostalgischen Erinnerung: </w:t>
      </w:r>
      <w:r w:rsidRPr="006E39D1">
        <w:rPr>
          <w:rFonts w:eastAsia="Times New Roman" w:cs="Times New Roman"/>
          <w:b/>
          <w:bCs/>
          <w:rtl/>
          <w:lang w:eastAsia="de-DE"/>
        </w:rPr>
        <w:t>קִּשֻּׁאִים</w:t>
      </w:r>
      <w:r w:rsidRPr="006E39D1">
        <w:rPr>
          <w:rFonts w:eastAsia="Times New Roman" w:cs="Times New Roman"/>
          <w:rtl/>
          <w:lang w:eastAsia="de-DE"/>
        </w:rPr>
        <w:t xml:space="preserve"> </w:t>
      </w:r>
      <w:r w:rsidRPr="006E39D1">
        <w:rPr>
          <w:rFonts w:eastAsia="Times New Roman" w:cs="Times New Roman"/>
          <w:lang w:eastAsia="de-DE"/>
        </w:rPr>
        <w:t xml:space="preserve">(Gurken), </w:t>
      </w:r>
      <w:r w:rsidRPr="006E39D1">
        <w:rPr>
          <w:rFonts w:eastAsia="Times New Roman" w:cs="Times New Roman"/>
          <w:b/>
          <w:bCs/>
          <w:rtl/>
          <w:lang w:eastAsia="de-DE"/>
        </w:rPr>
        <w:t>אֲבַטִּחִים</w:t>
      </w:r>
      <w:r w:rsidRPr="006E39D1">
        <w:rPr>
          <w:rFonts w:eastAsia="Times New Roman" w:cs="Times New Roman"/>
          <w:rtl/>
          <w:lang w:eastAsia="de-DE"/>
        </w:rPr>
        <w:t xml:space="preserve"> </w:t>
      </w:r>
      <w:r w:rsidRPr="006E39D1">
        <w:rPr>
          <w:rFonts w:eastAsia="Times New Roman" w:cs="Times New Roman"/>
          <w:lang w:eastAsia="de-DE"/>
        </w:rPr>
        <w:t xml:space="preserve">(Melonen), </w:t>
      </w:r>
      <w:r w:rsidRPr="006E39D1">
        <w:rPr>
          <w:rFonts w:eastAsia="Times New Roman" w:cs="Times New Roman"/>
          <w:b/>
          <w:bCs/>
          <w:rtl/>
          <w:lang w:eastAsia="de-DE"/>
        </w:rPr>
        <w:t>חָצִיר</w:t>
      </w:r>
      <w:r w:rsidRPr="006E39D1">
        <w:rPr>
          <w:rFonts w:eastAsia="Times New Roman" w:cs="Times New Roman"/>
          <w:rtl/>
          <w:lang w:eastAsia="de-DE"/>
        </w:rPr>
        <w:t xml:space="preserve"> </w:t>
      </w:r>
      <w:r w:rsidRPr="006E39D1">
        <w:rPr>
          <w:rFonts w:eastAsia="Times New Roman" w:cs="Times New Roman"/>
          <w:lang w:eastAsia="de-DE"/>
        </w:rPr>
        <w:t xml:space="preserve">(Lauch), </w:t>
      </w:r>
      <w:r w:rsidRPr="006E39D1">
        <w:rPr>
          <w:rFonts w:eastAsia="Times New Roman" w:cs="Times New Roman"/>
          <w:b/>
          <w:bCs/>
          <w:rtl/>
          <w:lang w:eastAsia="de-DE"/>
        </w:rPr>
        <w:t>בְּצָלִים</w:t>
      </w:r>
      <w:r w:rsidRPr="006E39D1">
        <w:rPr>
          <w:rFonts w:eastAsia="Times New Roman" w:cs="Times New Roman"/>
          <w:rtl/>
          <w:lang w:eastAsia="de-DE"/>
        </w:rPr>
        <w:t xml:space="preserve"> </w:t>
      </w:r>
      <w:r w:rsidRPr="006E39D1">
        <w:rPr>
          <w:rFonts w:eastAsia="Times New Roman" w:cs="Times New Roman"/>
          <w:lang w:eastAsia="de-DE"/>
        </w:rPr>
        <w:t xml:space="preserve">(Zwiebeln), </w:t>
      </w:r>
      <w:r w:rsidRPr="006E39D1">
        <w:rPr>
          <w:rFonts w:eastAsia="Times New Roman" w:cs="Times New Roman"/>
          <w:b/>
          <w:bCs/>
          <w:rtl/>
          <w:lang w:eastAsia="de-DE"/>
        </w:rPr>
        <w:t>שׁוּמִים</w:t>
      </w:r>
      <w:r w:rsidRPr="006E39D1">
        <w:rPr>
          <w:rFonts w:eastAsia="Times New Roman" w:cs="Times New Roman"/>
          <w:rtl/>
          <w:lang w:eastAsia="de-DE"/>
        </w:rPr>
        <w:t xml:space="preserve"> </w:t>
      </w:r>
      <w:r w:rsidRPr="006E39D1">
        <w:rPr>
          <w:rFonts w:eastAsia="Times New Roman" w:cs="Times New Roman"/>
          <w:lang w:eastAsia="de-DE"/>
        </w:rPr>
        <w:t>(Knoblauch). Diese Nahrungsmittel repräsentieren Geschmacksvielfalt gegenüber der Monotonie des Manna.</w:t>
      </w:r>
    </w:p>
    <w:p w14:paraId="41CB3CB8" w14:textId="1442C713"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Die LXX</w:t>
      </w:r>
      <w:r w:rsidRPr="006E39D1">
        <w:rPr>
          <w:rFonts w:eastAsia="Times New Roman" w:cs="Times New Roman"/>
          <w:lang w:eastAsia="de-DE"/>
        </w:rPr>
        <w:t xml:space="preserve"> </w:t>
      </w:r>
      <w:r w:rsidR="009A7693">
        <w:t>übersetzt die Gemüsesorten teilweise unterschiedlich. Besonders auffällig: Das hebräische „</w:t>
      </w:r>
      <w:r w:rsidR="009A7693">
        <w:rPr>
          <w:rtl/>
        </w:rPr>
        <w:t>קִּשֻּׁאִים</w:t>
      </w:r>
      <w:r w:rsidR="009A7693">
        <w:t>" (Gurken) wird zu „σικύους" (Kürbisgewächse) und „</w:t>
      </w:r>
      <w:r w:rsidR="009A7693">
        <w:rPr>
          <w:rtl/>
        </w:rPr>
        <w:t>אֲבַטִּחִים</w:t>
      </w:r>
      <w:r w:rsidR="009A7693">
        <w:t>" (Melonen) zu „πέπονας" (reife Melonen/Kürbisse). Die botanische Zuordnung unterscheidet sich.</w:t>
      </w:r>
    </w:p>
    <w:p w14:paraId="2CE5296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nostalgische Erinnerung mit relativischer Charakterisierung und detaillierter Aufzählung verlorener Nahrungsvielfalt.</w:t>
      </w:r>
    </w:p>
    <w:p w14:paraId="6E71FDA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illustriert die selektive Erinnerung, die die Härten der Sklaverei ausblendet und nur die vermeintlichen Vorteile der ägyptischen Zeit romantisiert.</w:t>
      </w:r>
    </w:p>
    <w:p w14:paraId="261BDF95"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11,6</w:t>
      </w:r>
    </w:p>
    <w:p w14:paraId="165D25B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וְעַתָּ֛ה נַפְשֵׁ֥נוּ יְבֵשָׁ֖ה אֵ֣ין כֹּ֑ל בִּלְתִּ֖י אֶל־הַמָּ֥ן עֵינֵֽינוּ׃</w:t>
      </w:r>
    </w:p>
    <w:p w14:paraId="0E7D3F2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nun ist unsere Seele ausgetrocknet; gar nichts ist da, nur auf das Man sind unsere Augen gerichtet.</w:t>
      </w:r>
    </w:p>
    <w:p w14:paraId="75ED0BFD"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33431BAA">
          <v:rect id="_x0000_i1385" style="width:0;height:1.5pt" o:hralign="center" o:hrstd="t" o:hr="t" fillcolor="#a0a0a0" stroked="f"/>
        </w:pict>
      </w:r>
    </w:p>
    <w:p w14:paraId="21F1F20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zeitliche Kontrastierung </w:t>
      </w:r>
      <w:r w:rsidRPr="006E39D1">
        <w:rPr>
          <w:rFonts w:eastAsia="Times New Roman" w:cs="Times New Roman"/>
          <w:b/>
          <w:bCs/>
          <w:rtl/>
          <w:lang w:eastAsia="de-DE"/>
        </w:rPr>
        <w:t>וְעַתָּ֛ה</w:t>
      </w:r>
      <w:r w:rsidRPr="006E39D1">
        <w:rPr>
          <w:rFonts w:eastAsia="Times New Roman" w:cs="Times New Roman"/>
          <w:rtl/>
          <w:lang w:eastAsia="de-DE"/>
        </w:rPr>
        <w:t xml:space="preserve"> </w:t>
      </w:r>
      <w:r w:rsidRPr="006E39D1">
        <w:rPr>
          <w:rFonts w:eastAsia="Times New Roman" w:cs="Times New Roman"/>
          <w:lang w:eastAsia="de-DE"/>
        </w:rPr>
        <w:t xml:space="preserve">(und nun) zeigt die Gegenüberstellung zwischen der verklärten Vergangenheit (Vers 5) und der empfundenen Gegenwart. Das Subjekt </w:t>
      </w:r>
      <w:r w:rsidRPr="006E39D1">
        <w:rPr>
          <w:rFonts w:eastAsia="Times New Roman" w:cs="Times New Roman"/>
          <w:b/>
          <w:bCs/>
          <w:rtl/>
          <w:lang w:eastAsia="de-DE"/>
        </w:rPr>
        <w:t>נַפְשֵׁ֥נוּ יְבֵשָׁ֖ה</w:t>
      </w:r>
      <w:r w:rsidRPr="006E39D1">
        <w:rPr>
          <w:rFonts w:eastAsia="Times New Roman" w:cs="Times New Roman"/>
          <w:rtl/>
          <w:lang w:eastAsia="de-DE"/>
        </w:rPr>
        <w:t xml:space="preserve"> </w:t>
      </w:r>
      <w:r w:rsidRPr="006E39D1">
        <w:rPr>
          <w:rFonts w:eastAsia="Times New Roman" w:cs="Times New Roman"/>
          <w:lang w:eastAsia="de-DE"/>
        </w:rPr>
        <w:t xml:space="preserve">(unsere Seele ist ausgetrocknet) mit </w:t>
      </w:r>
      <w:r w:rsidRPr="006E39D1">
        <w:rPr>
          <w:rFonts w:eastAsia="Times New Roman" w:cs="Times New Roman"/>
          <w:b/>
          <w:bCs/>
          <w:rtl/>
          <w:lang w:eastAsia="de-DE"/>
        </w:rPr>
        <w:t>נֶפֶשׁ</w:t>
      </w:r>
      <w:r w:rsidRPr="006E39D1">
        <w:rPr>
          <w:rFonts w:eastAsia="Times New Roman" w:cs="Times New Roman"/>
          <w:rtl/>
          <w:lang w:eastAsia="de-DE"/>
        </w:rPr>
        <w:t xml:space="preserve"> </w:t>
      </w:r>
      <w:r w:rsidRPr="006E39D1">
        <w:rPr>
          <w:rFonts w:eastAsia="Times New Roman" w:cs="Times New Roman"/>
          <w:lang w:eastAsia="de-DE"/>
        </w:rPr>
        <w:t xml:space="preserve">(Seele/Lebensgefühl) und </w:t>
      </w:r>
      <w:r w:rsidRPr="006E39D1">
        <w:rPr>
          <w:rFonts w:eastAsia="Times New Roman" w:cs="Times New Roman"/>
          <w:b/>
          <w:bCs/>
          <w:rtl/>
          <w:lang w:eastAsia="de-DE"/>
        </w:rPr>
        <w:t>יְבֵשָׁ֖ה</w:t>
      </w:r>
      <w:r w:rsidRPr="006E39D1">
        <w:rPr>
          <w:rFonts w:eastAsia="Times New Roman" w:cs="Times New Roman"/>
          <w:rtl/>
          <w:lang w:eastAsia="de-DE"/>
        </w:rPr>
        <w:t xml:space="preserve"> </w:t>
      </w:r>
      <w:r w:rsidRPr="006E39D1">
        <w:rPr>
          <w:rFonts w:eastAsia="Times New Roman" w:cs="Times New Roman"/>
          <w:lang w:eastAsia="de-DE"/>
        </w:rPr>
        <w:t xml:space="preserve">(ausgetrocknet) von </w:t>
      </w:r>
      <w:r w:rsidRPr="006E39D1">
        <w:rPr>
          <w:rFonts w:eastAsia="Times New Roman" w:cs="Times New Roman"/>
          <w:b/>
          <w:bCs/>
          <w:rtl/>
          <w:lang w:eastAsia="de-DE"/>
        </w:rPr>
        <w:t>יבש</w:t>
      </w:r>
      <w:r w:rsidRPr="006E39D1">
        <w:rPr>
          <w:rFonts w:eastAsia="Times New Roman" w:cs="Times New Roman"/>
          <w:rtl/>
          <w:lang w:eastAsia="de-DE"/>
        </w:rPr>
        <w:t xml:space="preserve"> </w:t>
      </w:r>
      <w:r w:rsidRPr="006E39D1">
        <w:rPr>
          <w:rFonts w:eastAsia="Times New Roman" w:cs="Times New Roman"/>
          <w:lang w:eastAsia="de-DE"/>
        </w:rPr>
        <w:t>(trocken werden) zeigt existentielle Erschöpfung und Appetitlosigkeit.</w:t>
      </w:r>
    </w:p>
    <w:p w14:paraId="59DEDFF7" w14:textId="19096C6D"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Negation </w:t>
      </w:r>
      <w:r w:rsidRPr="006E39D1">
        <w:rPr>
          <w:rFonts w:eastAsia="Times New Roman" w:cs="Times New Roman"/>
          <w:b/>
          <w:bCs/>
          <w:rtl/>
          <w:lang w:eastAsia="de-DE"/>
        </w:rPr>
        <w:t>אֵ֣ין כֹּ֑ל</w:t>
      </w:r>
      <w:r w:rsidRPr="006E39D1">
        <w:rPr>
          <w:rFonts w:eastAsia="Times New Roman" w:cs="Times New Roman"/>
          <w:rtl/>
          <w:lang w:eastAsia="de-DE"/>
        </w:rPr>
        <w:t xml:space="preserve"> </w:t>
      </w:r>
      <w:r w:rsidRPr="006E39D1">
        <w:rPr>
          <w:rFonts w:eastAsia="Times New Roman" w:cs="Times New Roman"/>
          <w:lang w:eastAsia="de-DE"/>
        </w:rPr>
        <w:t xml:space="preserve">(gar nichts ist da) mit </w:t>
      </w:r>
      <w:r w:rsidRPr="006E39D1">
        <w:rPr>
          <w:rFonts w:eastAsia="Times New Roman" w:cs="Times New Roman"/>
          <w:b/>
          <w:bCs/>
          <w:rtl/>
          <w:lang w:eastAsia="de-DE"/>
        </w:rPr>
        <w:t>אֵין</w:t>
      </w:r>
      <w:r w:rsidRPr="006E39D1">
        <w:rPr>
          <w:rFonts w:eastAsia="Times New Roman" w:cs="Times New Roman"/>
          <w:rtl/>
          <w:lang w:eastAsia="de-DE"/>
        </w:rPr>
        <w:t xml:space="preserve"> </w:t>
      </w:r>
      <w:r w:rsidRPr="006E39D1">
        <w:rPr>
          <w:rFonts w:eastAsia="Times New Roman" w:cs="Times New Roman"/>
          <w:lang w:eastAsia="de-DE"/>
        </w:rPr>
        <w:t xml:space="preserve">(ist nicht) und </w:t>
      </w:r>
      <w:r w:rsidRPr="006E39D1">
        <w:rPr>
          <w:rFonts w:eastAsia="Times New Roman" w:cs="Times New Roman"/>
          <w:b/>
          <w:bCs/>
          <w:rtl/>
          <w:lang w:eastAsia="de-DE"/>
        </w:rPr>
        <w:t>כֹּל</w:t>
      </w:r>
      <w:r w:rsidRPr="006E39D1">
        <w:rPr>
          <w:rFonts w:eastAsia="Times New Roman" w:cs="Times New Roman"/>
          <w:rtl/>
          <w:lang w:eastAsia="de-DE"/>
        </w:rPr>
        <w:t xml:space="preserve"> </w:t>
      </w:r>
      <w:r w:rsidRPr="006E39D1">
        <w:rPr>
          <w:rFonts w:eastAsia="Times New Roman" w:cs="Times New Roman"/>
          <w:lang w:eastAsia="de-DE"/>
        </w:rPr>
        <w:t xml:space="preserve">(alles) verstärkt die empfundene Leere und Monotonie. Die einschränkende Wendung </w:t>
      </w:r>
      <w:r w:rsidRPr="006E39D1">
        <w:rPr>
          <w:rFonts w:eastAsia="Times New Roman" w:cs="Times New Roman"/>
          <w:b/>
          <w:bCs/>
          <w:rtl/>
          <w:lang w:eastAsia="de-DE"/>
        </w:rPr>
        <w:t>בִּלְתִּ֖י אֶל־הַמָּ֥ן עֵינֵֽינוּ</w:t>
      </w:r>
      <w:r w:rsidRPr="006E39D1">
        <w:rPr>
          <w:rFonts w:eastAsia="Times New Roman" w:cs="Times New Roman"/>
          <w:rtl/>
          <w:lang w:eastAsia="de-DE"/>
        </w:rPr>
        <w:t xml:space="preserve"> </w:t>
      </w:r>
      <w:r w:rsidRPr="006E39D1">
        <w:rPr>
          <w:rFonts w:eastAsia="Times New Roman" w:cs="Times New Roman"/>
          <w:lang w:eastAsia="de-DE"/>
        </w:rPr>
        <w:t xml:space="preserve">(nur auf das Manna sind unsere Augen gerichtet) mit </w:t>
      </w:r>
      <w:r w:rsidRPr="006E39D1">
        <w:rPr>
          <w:rFonts w:eastAsia="Times New Roman" w:cs="Times New Roman"/>
          <w:b/>
          <w:bCs/>
          <w:rtl/>
          <w:lang w:eastAsia="de-DE"/>
        </w:rPr>
        <w:t>בִּלְתִּי</w:t>
      </w:r>
      <w:r w:rsidRPr="006E39D1">
        <w:rPr>
          <w:rFonts w:eastAsia="Times New Roman" w:cs="Times New Roman"/>
          <w:rtl/>
          <w:lang w:eastAsia="de-DE"/>
        </w:rPr>
        <w:t xml:space="preserve"> </w:t>
      </w:r>
      <w:r w:rsidRPr="006E39D1">
        <w:rPr>
          <w:rFonts w:eastAsia="Times New Roman" w:cs="Times New Roman"/>
          <w:lang w:eastAsia="de-DE"/>
        </w:rPr>
        <w:t xml:space="preserve">(außer/nur) und der metaphorischen </w:t>
      </w:r>
      <w:r w:rsidR="00F133EC">
        <w:rPr>
          <w:rFonts w:eastAsia="Times New Roman" w:cs="Times New Roman"/>
          <w:lang w:eastAsia="de-DE"/>
        </w:rPr>
        <w:t>Construct</w:t>
      </w:r>
      <w:r w:rsidRPr="006E39D1">
        <w:rPr>
          <w:rFonts w:eastAsia="Times New Roman" w:cs="Times New Roman"/>
          <w:lang w:eastAsia="de-DE"/>
        </w:rPr>
        <w:t xml:space="preserve">ion </w:t>
      </w:r>
      <w:r w:rsidRPr="006E39D1">
        <w:rPr>
          <w:rFonts w:eastAsia="Times New Roman" w:cs="Times New Roman"/>
          <w:b/>
          <w:bCs/>
          <w:rtl/>
          <w:lang w:eastAsia="de-DE"/>
        </w:rPr>
        <w:t>אֶל־הַמָּ֥ן עֵינֵֽינוּ</w:t>
      </w:r>
      <w:r w:rsidRPr="006E39D1">
        <w:rPr>
          <w:rFonts w:eastAsia="Times New Roman" w:cs="Times New Roman"/>
          <w:rtl/>
          <w:lang w:eastAsia="de-DE"/>
        </w:rPr>
        <w:t xml:space="preserve"> </w:t>
      </w:r>
      <w:r w:rsidRPr="006E39D1">
        <w:rPr>
          <w:rFonts w:eastAsia="Times New Roman" w:cs="Times New Roman"/>
          <w:lang w:eastAsia="de-DE"/>
        </w:rPr>
        <w:t>(zu dem Manna unsere Augen) zeigt die eintönige Fixierung auf das Himmelsbrot.</w:t>
      </w:r>
    </w:p>
    <w:p w14:paraId="5642F65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Metapher der "Augen auf das Manna gerichtet" ist doppelt bedeutsam: einerseits zeigt sie die ständige Abhängigkeit von dieser einen Nahrungsquelle, andererseits impliziert sie Überdruss und mangelnde Dankbarkeit für die wunderbare göttliche Versorgung.</w:t>
      </w:r>
    </w:p>
    <w:p w14:paraId="61F28D1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נַפְשֵׁנוּ</w:t>
      </w:r>
      <w:r w:rsidRPr="006E39D1">
        <w:rPr>
          <w:rFonts w:eastAsia="Times New Roman" w:cs="Times New Roman"/>
          <w:rtl/>
          <w:lang w:eastAsia="de-DE"/>
        </w:rPr>
        <w:t xml:space="preserve"> </w:t>
      </w:r>
      <w:r w:rsidRPr="006E39D1">
        <w:rPr>
          <w:rFonts w:eastAsia="Times New Roman" w:cs="Times New Roman"/>
          <w:lang w:eastAsia="de-DE"/>
        </w:rPr>
        <w:t xml:space="preserve">mit ἡ ψυχὴ ἡμῶν (unsere Seele), </w:t>
      </w:r>
      <w:r w:rsidRPr="006E39D1">
        <w:rPr>
          <w:rFonts w:eastAsia="Times New Roman" w:cs="Times New Roman"/>
          <w:b/>
          <w:bCs/>
          <w:rtl/>
          <w:lang w:eastAsia="de-DE"/>
        </w:rPr>
        <w:t>יְבֵשָׁה</w:t>
      </w:r>
      <w:r w:rsidRPr="006E39D1">
        <w:rPr>
          <w:rFonts w:eastAsia="Times New Roman" w:cs="Times New Roman"/>
          <w:rtl/>
          <w:lang w:eastAsia="de-DE"/>
        </w:rPr>
        <w:t xml:space="preserve"> </w:t>
      </w:r>
      <w:r w:rsidRPr="006E39D1">
        <w:rPr>
          <w:rFonts w:eastAsia="Times New Roman" w:cs="Times New Roman"/>
          <w:lang w:eastAsia="de-DE"/>
        </w:rPr>
        <w:t xml:space="preserve">mit κατάξηρος (völlig ausgetrocknet), </w:t>
      </w:r>
      <w:r w:rsidRPr="006E39D1">
        <w:rPr>
          <w:rFonts w:eastAsia="Times New Roman" w:cs="Times New Roman"/>
          <w:b/>
          <w:bCs/>
          <w:rtl/>
          <w:lang w:eastAsia="de-DE"/>
        </w:rPr>
        <w:t>אֵין כֹּל</w:t>
      </w:r>
      <w:r w:rsidRPr="006E39D1">
        <w:rPr>
          <w:rFonts w:eastAsia="Times New Roman" w:cs="Times New Roman"/>
          <w:rtl/>
          <w:lang w:eastAsia="de-DE"/>
        </w:rPr>
        <w:t xml:space="preserve"> </w:t>
      </w:r>
      <w:r w:rsidRPr="006E39D1">
        <w:rPr>
          <w:rFonts w:eastAsia="Times New Roman" w:cs="Times New Roman"/>
          <w:lang w:eastAsia="de-DE"/>
        </w:rPr>
        <w:t xml:space="preserve">mit οὐκ ἔστιν οὐδέν (es gibt nichts) und </w:t>
      </w:r>
      <w:r w:rsidRPr="006E39D1">
        <w:rPr>
          <w:rFonts w:eastAsia="Times New Roman" w:cs="Times New Roman"/>
          <w:b/>
          <w:bCs/>
          <w:rtl/>
          <w:lang w:eastAsia="de-DE"/>
        </w:rPr>
        <w:t>עֵינֵֽינוּ</w:t>
      </w:r>
      <w:r w:rsidRPr="006E39D1">
        <w:rPr>
          <w:rFonts w:eastAsia="Times New Roman" w:cs="Times New Roman"/>
          <w:rtl/>
          <w:lang w:eastAsia="de-DE"/>
        </w:rPr>
        <w:t xml:space="preserve"> </w:t>
      </w:r>
      <w:r w:rsidRPr="006E39D1">
        <w:rPr>
          <w:rFonts w:eastAsia="Times New Roman" w:cs="Times New Roman"/>
          <w:lang w:eastAsia="de-DE"/>
        </w:rPr>
        <w:t>mit οἱ ὀφθαλμοὶ ἡμῶν (unsere Augen).</w:t>
      </w:r>
    </w:p>
    <w:p w14:paraId="311B07B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zeitlichen Kontrast, existentielle Charakterisierung, totale Negation und einschränkende Spezifikation.</w:t>
      </w:r>
    </w:p>
    <w:p w14:paraId="7502D97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offenbart die psychologische Dimension der Rebellion: nicht Hunger, sondern Überdruss und Undankbarkeit für göttliche Wunder.</w:t>
      </w:r>
    </w:p>
    <w:p w14:paraId="095D3446"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11,7</w:t>
      </w:r>
    </w:p>
    <w:p w14:paraId="57AB221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וְהַמָּ֕ן כִּזְרַע־גַּ֖ד ה֑וּא וְעֵינֹ֖ו כְּעֵ֥ין הַבְּדֹֽלַח׃</w:t>
      </w:r>
    </w:p>
    <w:p w14:paraId="5B47C33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Deutsch:</w:t>
      </w:r>
      <w:r w:rsidRPr="006E39D1">
        <w:rPr>
          <w:rFonts w:eastAsia="Times New Roman" w:cs="Times New Roman"/>
          <w:lang w:eastAsia="de-DE"/>
        </w:rPr>
        <w:t xml:space="preserve"> Das Man aber war wie Koriandersamen und sein Aussehen wie das Aussehen des Bdelliumharzes.</w:t>
      </w:r>
    </w:p>
    <w:p w14:paraId="6B180BC9"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30891782">
          <v:rect id="_x0000_i1386" style="width:0;height:1.5pt" o:hralign="center" o:hrstd="t" o:hr="t" fillcolor="#a0a0a0" stroked="f"/>
        </w:pict>
      </w:r>
    </w:p>
    <w:p w14:paraId="148907D2" w14:textId="79078E0C"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Partikel </w:t>
      </w:r>
      <w:r w:rsidRPr="006E39D1">
        <w:rPr>
          <w:rFonts w:eastAsia="Times New Roman" w:cs="Times New Roman"/>
          <w:b/>
          <w:bCs/>
          <w:rtl/>
          <w:lang w:eastAsia="de-DE"/>
        </w:rPr>
        <w:t>וְהַמָּן</w:t>
      </w:r>
      <w:r w:rsidRPr="006E39D1">
        <w:rPr>
          <w:rFonts w:eastAsia="Times New Roman" w:cs="Times New Roman"/>
          <w:rtl/>
          <w:lang w:eastAsia="de-DE"/>
        </w:rPr>
        <w:t xml:space="preserve"> </w:t>
      </w:r>
      <w:r w:rsidRPr="006E39D1">
        <w:rPr>
          <w:rFonts w:eastAsia="Times New Roman" w:cs="Times New Roman"/>
          <w:lang w:eastAsia="de-DE"/>
        </w:rPr>
        <w:t xml:space="preserve">(und das Manna) mit Waw adversativum leitet eine objektive Beschreibung ein, die der subjektiven Klage der Verse 5-6 gegenübergestellt wird. Der erste Vergleich </w:t>
      </w:r>
      <w:r w:rsidRPr="006E39D1">
        <w:rPr>
          <w:rFonts w:eastAsia="Times New Roman" w:cs="Times New Roman"/>
          <w:b/>
          <w:bCs/>
          <w:rtl/>
          <w:lang w:eastAsia="de-DE"/>
        </w:rPr>
        <w:t>כִּזְרַע־גַּ֖ד ה֑וּא</w:t>
      </w:r>
      <w:r w:rsidRPr="006E39D1">
        <w:rPr>
          <w:rFonts w:eastAsia="Times New Roman" w:cs="Times New Roman"/>
          <w:rtl/>
          <w:lang w:eastAsia="de-DE"/>
        </w:rPr>
        <w:t xml:space="preserve"> </w:t>
      </w:r>
      <w:r w:rsidRPr="006E39D1">
        <w:rPr>
          <w:rFonts w:eastAsia="Times New Roman" w:cs="Times New Roman"/>
          <w:lang w:eastAsia="de-DE"/>
        </w:rPr>
        <w:t xml:space="preserve">(es war wie Koriandersamen) mit </w:t>
      </w:r>
      <w:r w:rsidRPr="006E39D1">
        <w:rPr>
          <w:rFonts w:eastAsia="Times New Roman" w:cs="Times New Roman"/>
          <w:b/>
          <w:bCs/>
          <w:rtl/>
          <w:lang w:eastAsia="de-DE"/>
        </w:rPr>
        <w:t>כְּ</w:t>
      </w:r>
      <w:r w:rsidRPr="006E39D1">
        <w:rPr>
          <w:rFonts w:eastAsia="Times New Roman" w:cs="Times New Roman"/>
          <w:rtl/>
          <w:lang w:eastAsia="de-DE"/>
        </w:rPr>
        <w:t xml:space="preserve"> </w:t>
      </w:r>
      <w:r w:rsidRPr="006E39D1">
        <w:rPr>
          <w:rFonts w:eastAsia="Times New Roman" w:cs="Times New Roman"/>
          <w:lang w:eastAsia="de-DE"/>
        </w:rPr>
        <w:t xml:space="preserve">(wie), </w:t>
      </w:r>
      <w:r w:rsidRPr="006E39D1">
        <w:rPr>
          <w:rFonts w:eastAsia="Times New Roman" w:cs="Times New Roman"/>
          <w:b/>
          <w:bCs/>
          <w:rtl/>
          <w:lang w:eastAsia="de-DE"/>
        </w:rPr>
        <w:t>זֶרַע־גַּד</w:t>
      </w:r>
      <w:r w:rsidRPr="006E39D1">
        <w:rPr>
          <w:rFonts w:eastAsia="Times New Roman" w:cs="Times New Roman"/>
          <w:rtl/>
          <w:lang w:eastAsia="de-DE"/>
        </w:rPr>
        <w:t xml:space="preserve"> </w:t>
      </w:r>
      <w:r w:rsidRPr="006E39D1">
        <w:rPr>
          <w:rFonts w:eastAsia="Times New Roman" w:cs="Times New Roman"/>
          <w:lang w:eastAsia="de-DE"/>
        </w:rPr>
        <w:t xml:space="preserve">(Samen von Koriander) als </w:t>
      </w:r>
      <w:r w:rsidR="00F133EC">
        <w:rPr>
          <w:rFonts w:eastAsia="Times New Roman" w:cs="Times New Roman"/>
          <w:lang w:eastAsia="de-DE"/>
        </w:rPr>
        <w:t>Construct</w:t>
      </w:r>
      <w:r w:rsidRPr="006E39D1">
        <w:rPr>
          <w:rFonts w:eastAsia="Times New Roman" w:cs="Times New Roman"/>
          <w:lang w:eastAsia="de-DE"/>
        </w:rPr>
        <w:t xml:space="preserve">verbindung und </w:t>
      </w:r>
      <w:r w:rsidRPr="006E39D1">
        <w:rPr>
          <w:rFonts w:eastAsia="Times New Roman" w:cs="Times New Roman"/>
          <w:b/>
          <w:bCs/>
          <w:rtl/>
          <w:lang w:eastAsia="de-DE"/>
        </w:rPr>
        <w:t>הוּא</w:t>
      </w:r>
      <w:r w:rsidRPr="006E39D1">
        <w:rPr>
          <w:rFonts w:eastAsia="Times New Roman" w:cs="Times New Roman"/>
          <w:rtl/>
          <w:lang w:eastAsia="de-DE"/>
        </w:rPr>
        <w:t xml:space="preserve"> </w:t>
      </w:r>
      <w:r w:rsidRPr="006E39D1">
        <w:rPr>
          <w:rFonts w:eastAsia="Times New Roman" w:cs="Times New Roman"/>
          <w:lang w:eastAsia="de-DE"/>
        </w:rPr>
        <w:t>(es) als Pronomen zeigt die Größe und Form des Manna.</w:t>
      </w:r>
    </w:p>
    <w:p w14:paraId="67FDC90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rtl/>
          <w:lang w:eastAsia="de-DE"/>
        </w:rPr>
        <w:t>זֶרַע־גַּד</w:t>
      </w:r>
      <w:r w:rsidRPr="006E39D1">
        <w:rPr>
          <w:rFonts w:eastAsia="Times New Roman" w:cs="Times New Roman"/>
          <w:rtl/>
          <w:lang w:eastAsia="de-DE"/>
        </w:rPr>
        <w:t xml:space="preserve"> </w:t>
      </w:r>
      <w:r w:rsidRPr="006E39D1">
        <w:rPr>
          <w:rFonts w:eastAsia="Times New Roman" w:cs="Times New Roman"/>
          <w:lang w:eastAsia="de-DE"/>
        </w:rPr>
        <w:t xml:space="preserve">(Koriandersamen) bezeichnet </w:t>
      </w:r>
      <w:r w:rsidRPr="006E39D1">
        <w:rPr>
          <w:rFonts w:eastAsia="Times New Roman" w:cs="Times New Roman"/>
          <w:b/>
          <w:bCs/>
          <w:lang w:eastAsia="de-DE"/>
        </w:rPr>
        <w:t>Coriandrum sativum</w:t>
      </w:r>
      <w:r w:rsidRPr="006E39D1">
        <w:rPr>
          <w:rFonts w:eastAsia="Times New Roman" w:cs="Times New Roman"/>
          <w:lang w:eastAsia="de-DE"/>
        </w:rPr>
        <w:t xml:space="preserve">, dessen kleine, runde Samen als Vergleichsgröße für das Manna dienen. Der zweite Vergleich </w:t>
      </w:r>
      <w:r w:rsidRPr="006E39D1">
        <w:rPr>
          <w:rFonts w:eastAsia="Times New Roman" w:cs="Times New Roman"/>
          <w:b/>
          <w:bCs/>
          <w:rtl/>
          <w:lang w:eastAsia="de-DE"/>
        </w:rPr>
        <w:t>וְעֵינֹ֖ו כְּעֵ֥ין הַבְּדֹֽלַח</w:t>
      </w:r>
      <w:r w:rsidRPr="006E39D1">
        <w:rPr>
          <w:rFonts w:eastAsia="Times New Roman" w:cs="Times New Roman"/>
          <w:rtl/>
          <w:lang w:eastAsia="de-DE"/>
        </w:rPr>
        <w:t xml:space="preserve"> </w:t>
      </w:r>
      <w:r w:rsidRPr="006E39D1">
        <w:rPr>
          <w:rFonts w:eastAsia="Times New Roman" w:cs="Times New Roman"/>
          <w:lang w:eastAsia="de-DE"/>
        </w:rPr>
        <w:t xml:space="preserve">(und sein Aussehen wie das Aussehen des Bdelliumharzes) mit </w:t>
      </w:r>
      <w:r w:rsidRPr="006E39D1">
        <w:rPr>
          <w:rFonts w:eastAsia="Times New Roman" w:cs="Times New Roman"/>
          <w:b/>
          <w:bCs/>
          <w:rtl/>
          <w:lang w:eastAsia="de-DE"/>
        </w:rPr>
        <w:t>עֵין</w:t>
      </w:r>
      <w:r w:rsidRPr="006E39D1">
        <w:rPr>
          <w:rFonts w:eastAsia="Times New Roman" w:cs="Times New Roman"/>
          <w:rtl/>
          <w:lang w:eastAsia="de-DE"/>
        </w:rPr>
        <w:t xml:space="preserve"> </w:t>
      </w:r>
      <w:r w:rsidRPr="006E39D1">
        <w:rPr>
          <w:rFonts w:eastAsia="Times New Roman" w:cs="Times New Roman"/>
          <w:lang w:eastAsia="de-DE"/>
        </w:rPr>
        <w:t xml:space="preserve">(Aussehen/Auge) und </w:t>
      </w:r>
      <w:r w:rsidRPr="006E39D1">
        <w:rPr>
          <w:rFonts w:eastAsia="Times New Roman" w:cs="Times New Roman"/>
          <w:b/>
          <w:bCs/>
          <w:rtl/>
          <w:lang w:eastAsia="de-DE"/>
        </w:rPr>
        <w:t>בְּדֹלַח</w:t>
      </w:r>
      <w:r w:rsidRPr="006E39D1">
        <w:rPr>
          <w:rFonts w:eastAsia="Times New Roman" w:cs="Times New Roman"/>
          <w:rtl/>
          <w:lang w:eastAsia="de-DE"/>
        </w:rPr>
        <w:t xml:space="preserve"> </w:t>
      </w:r>
      <w:r w:rsidRPr="006E39D1">
        <w:rPr>
          <w:rFonts w:eastAsia="Times New Roman" w:cs="Times New Roman"/>
          <w:lang w:eastAsia="de-DE"/>
        </w:rPr>
        <w:t>(Bdellium) zeigt die Farbe und das optische Erscheinungsbild.</w:t>
      </w:r>
    </w:p>
    <w:p w14:paraId="0E16AF5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rtl/>
          <w:lang w:eastAsia="de-DE"/>
        </w:rPr>
        <w:t>בְּדֹלַח</w:t>
      </w:r>
      <w:r w:rsidRPr="006E39D1">
        <w:rPr>
          <w:rFonts w:eastAsia="Times New Roman" w:cs="Times New Roman"/>
          <w:rtl/>
          <w:lang w:eastAsia="de-DE"/>
        </w:rPr>
        <w:t xml:space="preserve"> </w:t>
      </w:r>
      <w:r w:rsidRPr="006E39D1">
        <w:rPr>
          <w:rFonts w:eastAsia="Times New Roman" w:cs="Times New Roman"/>
          <w:lang w:eastAsia="de-DE"/>
        </w:rPr>
        <w:t xml:space="preserve">ist ein aromatisches Baumharz, wahrscheinlich von </w:t>
      </w:r>
      <w:r w:rsidRPr="006E39D1">
        <w:rPr>
          <w:rFonts w:eastAsia="Times New Roman" w:cs="Times New Roman"/>
          <w:b/>
          <w:bCs/>
          <w:lang w:eastAsia="de-DE"/>
        </w:rPr>
        <w:t>Commiphora</w:t>
      </w:r>
      <w:r w:rsidRPr="006E39D1">
        <w:rPr>
          <w:rFonts w:eastAsia="Times New Roman" w:cs="Times New Roman"/>
          <w:lang w:eastAsia="de-DE"/>
        </w:rPr>
        <w:t xml:space="preserve"> -Arten, das eine perlenartige, transluzente Erscheinung hat. Diese Beschreibung betont die Schönheit und den wertvollen Charakter des Manna als göttliche Gabe.</w:t>
      </w:r>
    </w:p>
    <w:p w14:paraId="1750AE1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Erzählerkommentierung unterbricht die Volksklage und bietet eine objektive, positive Charakterisierung des Manna als Kontrast zu den subjektiven Beschwerden.</w:t>
      </w:r>
    </w:p>
    <w:p w14:paraId="06CCA6C1" w14:textId="797E9BFA" w:rsidR="006E39D1" w:rsidRPr="006E39D1" w:rsidRDefault="006E39D1" w:rsidP="009A7693">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009A7693">
        <w:t>das hebräische „</w:t>
      </w:r>
      <w:r w:rsidR="009A7693">
        <w:rPr>
          <w:rtl/>
        </w:rPr>
        <w:t>גַּד</w:t>
      </w:r>
      <w:r w:rsidR="009A7693">
        <w:t>" (Koriandersamen) und wird in der LXX zu „κορίου" (Koriander), während „</w:t>
      </w:r>
      <w:r w:rsidR="009A7693">
        <w:rPr>
          <w:rtl/>
        </w:rPr>
        <w:t>בְּדֹלַח</w:t>
      </w:r>
      <w:r w:rsidR="009A7693">
        <w:t>" (Bedolach/Harz) zu „κρύσταλλος" (Kristall) wird – eine deutliche interpretatorische Verschiebung von einem Harz zu einem kristallinen Material.</w:t>
      </w:r>
      <w:r w:rsidR="009A7693" w:rsidRPr="006E39D1">
        <w:rPr>
          <w:rFonts w:eastAsia="Times New Roman" w:cs="Times New Roman"/>
          <w:lang w:eastAsia="de-DE"/>
        </w:rPr>
        <w:t xml:space="preserve"> </w:t>
      </w:r>
      <w:r w:rsidRPr="006E39D1">
        <w:rPr>
          <w:rFonts w:eastAsia="Times New Roman" w:cs="Times New Roman"/>
          <w:lang w:eastAsia="de-DE"/>
        </w:rPr>
        <w:t>Die Satzstruktur zeigt adversative Überleitung mit doppelter Vergleichscharakterisierung des Manna-Aussehens.</w:t>
      </w:r>
    </w:p>
    <w:p w14:paraId="7425DDA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dient als erzählerische Korrektur der völkischen Undankbarkeit durch objektive Würdigung der göttlichen Gabe.</w:t>
      </w:r>
    </w:p>
    <w:p w14:paraId="6BB44712"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11,8</w:t>
      </w:r>
    </w:p>
    <w:p w14:paraId="7E1778C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שָׁטוּ֩ הָעָ֨ם וְלָֽקְט֜וּ וְטָחֲנ֣וּ בָרֵחַ֗יִם א֤וֹ דָכוּ֙ בַּמְּדֹכָ֔ה וּבִשְּׁלוּ֙ בַּפָּר֔וּר וְעָשׂ֥וּ אֹתוֹ֖ עֻג֑וֹת וְהָיָ֣ה טַעְמֹ֔ו כְּטַ֖עַם לְשַׁ֥ד הַשָּֽׁמֶן׃</w:t>
      </w:r>
    </w:p>
    <w:p w14:paraId="6581FC4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Das Volk streifte umher und sammelte und mahlte es mit der Handmühle oder zerstieß es im Mörser; und sie kochten es in Töpfen oder machten Kuchen daraus; und sein Geschmack war wie der Geschmack von Ölkuchen.</w:t>
      </w:r>
    </w:p>
    <w:p w14:paraId="46B92037"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1657AC66">
          <v:rect id="_x0000_i1387" style="width:0;height:1.5pt" o:hralign="center" o:hrstd="t" o:hr="t" fillcolor="#a0a0a0" stroked="f"/>
        </w:pict>
      </w:r>
    </w:p>
    <w:p w14:paraId="4715BCB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Verbreihe </w:t>
      </w:r>
      <w:r w:rsidRPr="006E39D1">
        <w:rPr>
          <w:rFonts w:eastAsia="Times New Roman" w:cs="Times New Roman"/>
          <w:b/>
          <w:bCs/>
          <w:rtl/>
          <w:lang w:eastAsia="de-DE"/>
        </w:rPr>
        <w:t>שָׁטוּ֩ הָעָ֨ם וְלָֽקְט֜וּ</w:t>
      </w:r>
      <w:r w:rsidRPr="006E39D1">
        <w:rPr>
          <w:rFonts w:eastAsia="Times New Roman" w:cs="Times New Roman"/>
          <w:rtl/>
          <w:lang w:eastAsia="de-DE"/>
        </w:rPr>
        <w:t xml:space="preserve"> </w:t>
      </w:r>
      <w:r w:rsidRPr="006E39D1">
        <w:rPr>
          <w:rFonts w:eastAsia="Times New Roman" w:cs="Times New Roman"/>
          <w:lang w:eastAsia="de-DE"/>
        </w:rPr>
        <w:t xml:space="preserve">(das Volk streifte umher und sammelte) mit </w:t>
      </w:r>
      <w:r w:rsidRPr="006E39D1">
        <w:rPr>
          <w:rFonts w:eastAsia="Times New Roman" w:cs="Times New Roman"/>
          <w:b/>
          <w:bCs/>
          <w:rtl/>
          <w:lang w:eastAsia="de-DE"/>
        </w:rPr>
        <w:t>שָׁטוּ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שוט</w:t>
      </w:r>
      <w:r w:rsidRPr="006E39D1">
        <w:rPr>
          <w:rFonts w:eastAsia="Times New Roman" w:cs="Times New Roman"/>
          <w:rtl/>
          <w:lang w:eastAsia="de-DE"/>
        </w:rPr>
        <w:t xml:space="preserve"> </w:t>
      </w:r>
      <w:r w:rsidRPr="006E39D1">
        <w:rPr>
          <w:rFonts w:eastAsia="Times New Roman" w:cs="Times New Roman"/>
          <w:lang w:eastAsia="de-DE"/>
        </w:rPr>
        <w:t xml:space="preserve">(umherschweifen) und </w:t>
      </w:r>
      <w:r w:rsidRPr="006E39D1">
        <w:rPr>
          <w:rFonts w:eastAsia="Times New Roman" w:cs="Times New Roman"/>
          <w:b/>
          <w:bCs/>
          <w:rtl/>
          <w:lang w:eastAsia="de-DE"/>
        </w:rPr>
        <w:t>לָקְטוּ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לקט</w:t>
      </w:r>
      <w:r w:rsidRPr="006E39D1">
        <w:rPr>
          <w:rFonts w:eastAsia="Times New Roman" w:cs="Times New Roman"/>
          <w:rtl/>
          <w:lang w:eastAsia="de-DE"/>
        </w:rPr>
        <w:t xml:space="preserve"> </w:t>
      </w:r>
      <w:r w:rsidRPr="006E39D1">
        <w:rPr>
          <w:rFonts w:eastAsia="Times New Roman" w:cs="Times New Roman"/>
          <w:lang w:eastAsia="de-DE"/>
        </w:rPr>
        <w:t>(sammeln/auflesen) zeigt die regelmäßige Sammelaktivität. Diese detaillierte Prozessbeschreibung unterstreicht die Verfügbarkeit und Vielseitigkeit des Manna.</w:t>
      </w:r>
    </w:p>
    <w:p w14:paraId="27F49C8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 xml:space="preserve">Die alternativen Verarbeitungsmethoden </w:t>
      </w:r>
      <w:r w:rsidRPr="006E39D1">
        <w:rPr>
          <w:rFonts w:eastAsia="Times New Roman" w:cs="Times New Roman"/>
          <w:b/>
          <w:bCs/>
          <w:rtl/>
          <w:lang w:eastAsia="de-DE"/>
        </w:rPr>
        <w:t>וְטָחֲנ֣וּ בָרֵחַ֗יִם א֤וֹ דָכוּ֙ בַּמְּדֹכָ֔ה</w:t>
      </w:r>
      <w:r w:rsidRPr="006E39D1">
        <w:rPr>
          <w:rFonts w:eastAsia="Times New Roman" w:cs="Times New Roman"/>
          <w:rtl/>
          <w:lang w:eastAsia="de-DE"/>
        </w:rPr>
        <w:t xml:space="preserve"> </w:t>
      </w:r>
      <w:r w:rsidRPr="006E39D1">
        <w:rPr>
          <w:rFonts w:eastAsia="Times New Roman" w:cs="Times New Roman"/>
          <w:lang w:eastAsia="de-DE"/>
        </w:rPr>
        <w:t xml:space="preserve">mit </w:t>
      </w:r>
      <w:r w:rsidRPr="006E39D1">
        <w:rPr>
          <w:rFonts w:eastAsia="Times New Roman" w:cs="Times New Roman"/>
          <w:b/>
          <w:bCs/>
          <w:rtl/>
          <w:lang w:eastAsia="de-DE"/>
        </w:rPr>
        <w:t>טָחֲנוּ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טחן</w:t>
      </w:r>
      <w:r w:rsidRPr="006E39D1">
        <w:rPr>
          <w:rFonts w:eastAsia="Times New Roman" w:cs="Times New Roman"/>
          <w:rtl/>
          <w:lang w:eastAsia="de-DE"/>
        </w:rPr>
        <w:t xml:space="preserve"> </w:t>
      </w:r>
      <w:r w:rsidRPr="006E39D1">
        <w:rPr>
          <w:rFonts w:eastAsia="Times New Roman" w:cs="Times New Roman"/>
          <w:lang w:eastAsia="de-DE"/>
        </w:rPr>
        <w:t xml:space="preserve">(mahlen), </w:t>
      </w:r>
      <w:r w:rsidRPr="006E39D1">
        <w:rPr>
          <w:rFonts w:eastAsia="Times New Roman" w:cs="Times New Roman"/>
          <w:b/>
          <w:bCs/>
          <w:rtl/>
          <w:lang w:eastAsia="de-DE"/>
        </w:rPr>
        <w:t>רֵחַיִם</w:t>
      </w:r>
      <w:r w:rsidRPr="006E39D1">
        <w:rPr>
          <w:rFonts w:eastAsia="Times New Roman" w:cs="Times New Roman"/>
          <w:rtl/>
          <w:lang w:eastAsia="de-DE"/>
        </w:rPr>
        <w:t xml:space="preserve"> </w:t>
      </w:r>
      <w:r w:rsidRPr="006E39D1">
        <w:rPr>
          <w:rFonts w:eastAsia="Times New Roman" w:cs="Times New Roman"/>
          <w:lang w:eastAsia="de-DE"/>
        </w:rPr>
        <w:t xml:space="preserve">(Handmühle) als Dual, </w:t>
      </w:r>
      <w:r w:rsidRPr="006E39D1">
        <w:rPr>
          <w:rFonts w:eastAsia="Times New Roman" w:cs="Times New Roman"/>
          <w:b/>
          <w:bCs/>
          <w:rtl/>
          <w:lang w:eastAsia="de-DE"/>
        </w:rPr>
        <w:t>אוֹ</w:t>
      </w:r>
      <w:r w:rsidRPr="006E39D1">
        <w:rPr>
          <w:rFonts w:eastAsia="Times New Roman" w:cs="Times New Roman"/>
          <w:rtl/>
          <w:lang w:eastAsia="de-DE"/>
        </w:rPr>
        <w:t xml:space="preserve"> </w:t>
      </w:r>
      <w:r w:rsidRPr="006E39D1">
        <w:rPr>
          <w:rFonts w:eastAsia="Times New Roman" w:cs="Times New Roman"/>
          <w:lang w:eastAsia="de-DE"/>
        </w:rPr>
        <w:t xml:space="preserve">(oder) als Alternative und </w:t>
      </w:r>
      <w:r w:rsidRPr="006E39D1">
        <w:rPr>
          <w:rFonts w:eastAsia="Times New Roman" w:cs="Times New Roman"/>
          <w:b/>
          <w:bCs/>
          <w:rtl/>
          <w:lang w:eastAsia="de-DE"/>
        </w:rPr>
        <w:t>דָכוּ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דכא</w:t>
      </w:r>
      <w:r w:rsidRPr="006E39D1">
        <w:rPr>
          <w:rFonts w:eastAsia="Times New Roman" w:cs="Times New Roman"/>
          <w:rtl/>
          <w:lang w:eastAsia="de-DE"/>
        </w:rPr>
        <w:t xml:space="preserve"> </w:t>
      </w:r>
      <w:r w:rsidRPr="006E39D1">
        <w:rPr>
          <w:rFonts w:eastAsia="Times New Roman" w:cs="Times New Roman"/>
          <w:lang w:eastAsia="de-DE"/>
        </w:rPr>
        <w:t xml:space="preserve">(zerstoßen), </w:t>
      </w:r>
      <w:r w:rsidRPr="006E39D1">
        <w:rPr>
          <w:rFonts w:eastAsia="Times New Roman" w:cs="Times New Roman"/>
          <w:b/>
          <w:bCs/>
          <w:rtl/>
          <w:lang w:eastAsia="de-DE"/>
        </w:rPr>
        <w:t>מְדֹכָה</w:t>
      </w:r>
      <w:r w:rsidRPr="006E39D1">
        <w:rPr>
          <w:rFonts w:eastAsia="Times New Roman" w:cs="Times New Roman"/>
          <w:rtl/>
          <w:lang w:eastAsia="de-DE"/>
        </w:rPr>
        <w:t xml:space="preserve"> </w:t>
      </w:r>
      <w:r w:rsidRPr="006E39D1">
        <w:rPr>
          <w:rFonts w:eastAsia="Times New Roman" w:cs="Times New Roman"/>
          <w:lang w:eastAsia="de-DE"/>
        </w:rPr>
        <w:t>(Mörser) zeigen verschiedene Zubereitungsoptionen.</w:t>
      </w:r>
    </w:p>
    <w:p w14:paraId="6E26CDA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Kochmethoden </w:t>
      </w:r>
      <w:r w:rsidRPr="006E39D1">
        <w:rPr>
          <w:rFonts w:eastAsia="Times New Roman" w:cs="Times New Roman"/>
          <w:b/>
          <w:bCs/>
          <w:rtl/>
          <w:lang w:eastAsia="de-DE"/>
        </w:rPr>
        <w:t>וּבִשְּׁלוּ֙ בַּפָּר֔וּר וְעָשׂ֥וּ אֹתוֹ֖ עֻג֑וֹת</w:t>
      </w:r>
      <w:r w:rsidRPr="006E39D1">
        <w:rPr>
          <w:rFonts w:eastAsia="Times New Roman" w:cs="Times New Roman"/>
          <w:rtl/>
          <w:lang w:eastAsia="de-DE"/>
        </w:rPr>
        <w:t xml:space="preserve"> </w:t>
      </w:r>
      <w:r w:rsidRPr="006E39D1">
        <w:rPr>
          <w:rFonts w:eastAsia="Times New Roman" w:cs="Times New Roman"/>
          <w:lang w:eastAsia="de-DE"/>
        </w:rPr>
        <w:t xml:space="preserve">mit </w:t>
      </w:r>
      <w:r w:rsidRPr="006E39D1">
        <w:rPr>
          <w:rFonts w:eastAsia="Times New Roman" w:cs="Times New Roman"/>
          <w:b/>
          <w:bCs/>
          <w:rtl/>
          <w:lang w:eastAsia="de-DE"/>
        </w:rPr>
        <w:t>בִּשְּׁלוּ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בשל</w:t>
      </w:r>
      <w:r w:rsidRPr="006E39D1">
        <w:rPr>
          <w:rFonts w:eastAsia="Times New Roman" w:cs="Times New Roman"/>
          <w:rtl/>
          <w:lang w:eastAsia="de-DE"/>
        </w:rPr>
        <w:t xml:space="preserve"> </w:t>
      </w:r>
      <w:r w:rsidRPr="006E39D1">
        <w:rPr>
          <w:rFonts w:eastAsia="Times New Roman" w:cs="Times New Roman"/>
          <w:lang w:eastAsia="de-DE"/>
        </w:rPr>
        <w:t xml:space="preserve">(kochen), </w:t>
      </w:r>
      <w:r w:rsidRPr="006E39D1">
        <w:rPr>
          <w:rFonts w:eastAsia="Times New Roman" w:cs="Times New Roman"/>
          <w:b/>
          <w:bCs/>
          <w:rtl/>
          <w:lang w:eastAsia="de-DE"/>
        </w:rPr>
        <w:t>פָּרוּר</w:t>
      </w:r>
      <w:r w:rsidRPr="006E39D1">
        <w:rPr>
          <w:rFonts w:eastAsia="Times New Roman" w:cs="Times New Roman"/>
          <w:rtl/>
          <w:lang w:eastAsia="de-DE"/>
        </w:rPr>
        <w:t xml:space="preserve"> </w:t>
      </w:r>
      <w:r w:rsidRPr="006E39D1">
        <w:rPr>
          <w:rFonts w:eastAsia="Times New Roman" w:cs="Times New Roman"/>
          <w:lang w:eastAsia="de-DE"/>
        </w:rPr>
        <w:t xml:space="preserve">(Topf) und </w:t>
      </w:r>
      <w:r w:rsidRPr="006E39D1">
        <w:rPr>
          <w:rFonts w:eastAsia="Times New Roman" w:cs="Times New Roman"/>
          <w:b/>
          <w:bCs/>
          <w:rtl/>
          <w:lang w:eastAsia="de-DE"/>
        </w:rPr>
        <w:t>עָשׂוּ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עשה</w:t>
      </w:r>
      <w:r w:rsidRPr="006E39D1">
        <w:rPr>
          <w:rFonts w:eastAsia="Times New Roman" w:cs="Times New Roman"/>
          <w:rtl/>
          <w:lang w:eastAsia="de-DE"/>
        </w:rPr>
        <w:t xml:space="preserve"> </w:t>
      </w:r>
      <w:r w:rsidRPr="006E39D1">
        <w:rPr>
          <w:rFonts w:eastAsia="Times New Roman" w:cs="Times New Roman"/>
          <w:lang w:eastAsia="de-DE"/>
        </w:rPr>
        <w:t xml:space="preserve">(machen), </w:t>
      </w:r>
      <w:r w:rsidRPr="006E39D1">
        <w:rPr>
          <w:rFonts w:eastAsia="Times New Roman" w:cs="Times New Roman"/>
          <w:b/>
          <w:bCs/>
          <w:rtl/>
          <w:lang w:eastAsia="de-DE"/>
        </w:rPr>
        <w:t>עֻגוֹת</w:t>
      </w:r>
      <w:r w:rsidRPr="006E39D1">
        <w:rPr>
          <w:rFonts w:eastAsia="Times New Roman" w:cs="Times New Roman"/>
          <w:rtl/>
          <w:lang w:eastAsia="de-DE"/>
        </w:rPr>
        <w:t xml:space="preserve"> </w:t>
      </w:r>
      <w:r w:rsidRPr="006E39D1">
        <w:rPr>
          <w:rFonts w:eastAsia="Times New Roman" w:cs="Times New Roman"/>
          <w:lang w:eastAsia="de-DE"/>
        </w:rPr>
        <w:t>(Kuchen) zeigen weitere kulinarische Möglichkeiten.</w:t>
      </w:r>
    </w:p>
    <w:p w14:paraId="61AC3FE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Geschmacksbeschreibung </w:t>
      </w:r>
      <w:r w:rsidRPr="006E39D1">
        <w:rPr>
          <w:rFonts w:eastAsia="Times New Roman" w:cs="Times New Roman"/>
          <w:b/>
          <w:bCs/>
          <w:rtl/>
          <w:lang w:eastAsia="de-DE"/>
        </w:rPr>
        <w:t>וְהָיָ֣ה טַעְמֹ֔ו כְּטַ֖עַם לְשַׁ֥ד הַשָּֽׁמֶן</w:t>
      </w:r>
      <w:r w:rsidRPr="006E39D1">
        <w:rPr>
          <w:rFonts w:eastAsia="Times New Roman" w:cs="Times New Roman"/>
          <w:rtl/>
          <w:lang w:eastAsia="de-DE"/>
        </w:rPr>
        <w:t xml:space="preserve"> </w:t>
      </w:r>
      <w:r w:rsidRPr="006E39D1">
        <w:rPr>
          <w:rFonts w:eastAsia="Times New Roman" w:cs="Times New Roman"/>
          <w:lang w:eastAsia="de-DE"/>
        </w:rPr>
        <w:t xml:space="preserve">(und sein Geschmack war wie der Geschmack von Ölkuchen) mit </w:t>
      </w:r>
      <w:r w:rsidRPr="006E39D1">
        <w:rPr>
          <w:rFonts w:eastAsia="Times New Roman" w:cs="Times New Roman"/>
          <w:b/>
          <w:bCs/>
          <w:rtl/>
          <w:lang w:eastAsia="de-DE"/>
        </w:rPr>
        <w:t>טַעַם</w:t>
      </w:r>
      <w:r w:rsidRPr="006E39D1">
        <w:rPr>
          <w:rFonts w:eastAsia="Times New Roman" w:cs="Times New Roman"/>
          <w:rtl/>
          <w:lang w:eastAsia="de-DE"/>
        </w:rPr>
        <w:t xml:space="preserve"> </w:t>
      </w:r>
      <w:r w:rsidRPr="006E39D1">
        <w:rPr>
          <w:rFonts w:eastAsia="Times New Roman" w:cs="Times New Roman"/>
          <w:lang w:eastAsia="de-DE"/>
        </w:rPr>
        <w:t xml:space="preserve">(Geschmack) und </w:t>
      </w:r>
      <w:r w:rsidRPr="006E39D1">
        <w:rPr>
          <w:rFonts w:eastAsia="Times New Roman" w:cs="Times New Roman"/>
          <w:b/>
          <w:bCs/>
          <w:rtl/>
          <w:lang w:eastAsia="de-DE"/>
        </w:rPr>
        <w:t>לְשַׁד הַשָּֽׁמֶן</w:t>
      </w:r>
      <w:r w:rsidRPr="006E39D1">
        <w:rPr>
          <w:rFonts w:eastAsia="Times New Roman" w:cs="Times New Roman"/>
          <w:rtl/>
          <w:lang w:eastAsia="de-DE"/>
        </w:rPr>
        <w:t xml:space="preserve"> </w:t>
      </w:r>
      <w:r w:rsidRPr="006E39D1">
        <w:rPr>
          <w:rFonts w:eastAsia="Times New Roman" w:cs="Times New Roman"/>
          <w:lang w:eastAsia="de-DE"/>
        </w:rPr>
        <w:t>(Ölkuchen) zeigt die delikate, reichhaltige Qualität des Manna.</w:t>
      </w:r>
    </w:p>
    <w:p w14:paraId="442B3735" w14:textId="45BD0427" w:rsidR="006E39D1" w:rsidRPr="006E39D1" w:rsidRDefault="006E39D1" w:rsidP="009A7693">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009A7693">
        <w:t>den hebräischen Ausdruck „</w:t>
      </w:r>
      <w:r w:rsidR="009A7693">
        <w:rPr>
          <w:rtl/>
        </w:rPr>
        <w:t>לְשַׁד הַשָּׁמֶן</w:t>
      </w:r>
      <w:r w:rsidR="009A7693">
        <w:t>" (frisches Öl)</w:t>
      </w:r>
      <w:r w:rsidR="00497CF8">
        <w:t xml:space="preserve"> und</w:t>
      </w:r>
      <w:r w:rsidR="009A7693">
        <w:t xml:space="preserve"> wird in der LXX zu „ἐγκρὶς ἐξ ἐλαίου" (Ölkuchen), was eine andere Konsistenz beschreibt.</w:t>
      </w:r>
      <w:r w:rsidR="009A7693" w:rsidRPr="006E39D1">
        <w:rPr>
          <w:rFonts w:eastAsia="Times New Roman" w:cs="Times New Roman"/>
          <w:lang w:eastAsia="de-DE"/>
        </w:rPr>
        <w:t xml:space="preserve"> </w:t>
      </w:r>
      <w:r w:rsidRPr="006E39D1">
        <w:rPr>
          <w:rFonts w:eastAsia="Times New Roman" w:cs="Times New Roman"/>
          <w:lang w:eastAsia="de-DE"/>
        </w:rPr>
        <w:t>Die Satzstruktur zeigt Sammelaktivität, alternative Verarbeitungsmethoden, verschiedene Zubereitungsarten und positive Geschmackscharakterisierung.</w:t>
      </w:r>
    </w:p>
    <w:p w14:paraId="48F1CFA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betont die Vielseitigkeit und den Wohlgeschmack des Manna als weiteren Kontrast zur ungerechtfertigten Volksklage.</w:t>
      </w:r>
    </w:p>
    <w:p w14:paraId="2620CB93"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11,9</w:t>
      </w:r>
    </w:p>
    <w:p w14:paraId="532E87A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וּבְרֶ֧דֶת הַטַּ֛ל עַל־הַֽמַּחֲנֶ֖ה לָ֑יְלָה יֵרֵ֥ד הַמָּ֖ן עָלָֽיו׃</w:t>
      </w:r>
    </w:p>
    <w:p w14:paraId="3B17669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wenn der Tau des Nachts auf das Lager herabfiel, so fiel das Man darauf herab.</w:t>
      </w:r>
    </w:p>
    <w:p w14:paraId="0BC8776B"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0A7E59B4">
          <v:rect id="_x0000_i1388" style="width:0;height:1.5pt" o:hralign="center" o:hrstd="t" o:hr="t" fillcolor="#a0a0a0" stroked="f"/>
        </w:pict>
      </w:r>
    </w:p>
    <w:p w14:paraId="249A0A4E" w14:textId="2F91B46C"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temporale Bestimmung </w:t>
      </w:r>
      <w:r w:rsidRPr="006E39D1">
        <w:rPr>
          <w:rFonts w:eastAsia="Times New Roman" w:cs="Times New Roman"/>
          <w:b/>
          <w:bCs/>
          <w:rtl/>
          <w:lang w:eastAsia="de-DE"/>
        </w:rPr>
        <w:t>וּבְרֶ֧דֶת הַטַּ֛ל עַל־הַֽמַּחֲנֶ֖ה לָ֑יְלָה</w:t>
      </w:r>
      <w:r w:rsidRPr="006E39D1">
        <w:rPr>
          <w:rFonts w:eastAsia="Times New Roman" w:cs="Times New Roman"/>
          <w:rtl/>
          <w:lang w:eastAsia="de-DE"/>
        </w:rPr>
        <w:t xml:space="preserve"> </w:t>
      </w:r>
      <w:r w:rsidRPr="006E39D1">
        <w:rPr>
          <w:rFonts w:eastAsia="Times New Roman" w:cs="Times New Roman"/>
          <w:lang w:eastAsia="de-DE"/>
        </w:rPr>
        <w:t xml:space="preserve">(und beim Herabfallen des Taus auf das Lager bei Nacht) mit </w:t>
      </w:r>
      <w:r w:rsidRPr="006E39D1">
        <w:rPr>
          <w:rFonts w:eastAsia="Times New Roman" w:cs="Times New Roman"/>
          <w:b/>
          <w:bCs/>
          <w:rtl/>
          <w:lang w:eastAsia="de-DE"/>
        </w:rPr>
        <w:t>בְּרֶדֶת</w:t>
      </w:r>
      <w:r w:rsidRPr="006E39D1">
        <w:rPr>
          <w:rFonts w:eastAsia="Times New Roman" w:cs="Times New Roman"/>
          <w:rtl/>
          <w:lang w:eastAsia="de-DE"/>
        </w:rPr>
        <w:t xml:space="preserve"> </w:t>
      </w:r>
      <w:r w:rsidRPr="006E39D1">
        <w:rPr>
          <w:rFonts w:eastAsia="Times New Roman" w:cs="Times New Roman"/>
          <w:lang w:eastAsia="de-DE"/>
        </w:rPr>
        <w:t>als Qal-Infinitiv-</w:t>
      </w:r>
      <w:r w:rsidR="00F133EC">
        <w:rPr>
          <w:rFonts w:eastAsia="Times New Roman" w:cs="Times New Roman"/>
          <w:lang w:eastAsia="de-DE"/>
        </w:rPr>
        <w:t>Construct</w:t>
      </w:r>
      <w:r w:rsidRPr="006E39D1">
        <w:rPr>
          <w:rFonts w:eastAsia="Times New Roman" w:cs="Times New Roman"/>
          <w:lang w:eastAsia="de-DE"/>
        </w:rPr>
        <w:t xml:space="preserve"> von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(herabfallen), </w:t>
      </w:r>
      <w:r w:rsidRPr="006E39D1">
        <w:rPr>
          <w:rFonts w:eastAsia="Times New Roman" w:cs="Times New Roman"/>
          <w:b/>
          <w:bCs/>
          <w:rtl/>
          <w:lang w:eastAsia="de-DE"/>
        </w:rPr>
        <w:t>הַטַּל</w:t>
      </w:r>
      <w:r w:rsidRPr="006E39D1">
        <w:rPr>
          <w:rFonts w:eastAsia="Times New Roman" w:cs="Times New Roman"/>
          <w:rtl/>
          <w:lang w:eastAsia="de-DE"/>
        </w:rPr>
        <w:t xml:space="preserve"> </w:t>
      </w:r>
      <w:r w:rsidRPr="006E39D1">
        <w:rPr>
          <w:rFonts w:eastAsia="Times New Roman" w:cs="Times New Roman"/>
          <w:lang w:eastAsia="de-DE"/>
        </w:rPr>
        <w:t xml:space="preserve">(der Tau), </w:t>
      </w:r>
      <w:r w:rsidRPr="006E39D1">
        <w:rPr>
          <w:rFonts w:eastAsia="Times New Roman" w:cs="Times New Roman"/>
          <w:b/>
          <w:bCs/>
          <w:rtl/>
          <w:lang w:eastAsia="de-DE"/>
        </w:rPr>
        <w:t>עַל־הַֽמַּחֲנֶ֖ה</w:t>
      </w:r>
      <w:r w:rsidRPr="006E39D1">
        <w:rPr>
          <w:rFonts w:eastAsia="Times New Roman" w:cs="Times New Roman"/>
          <w:rtl/>
          <w:lang w:eastAsia="de-DE"/>
        </w:rPr>
        <w:t xml:space="preserve"> </w:t>
      </w:r>
      <w:r w:rsidRPr="006E39D1">
        <w:rPr>
          <w:rFonts w:eastAsia="Times New Roman" w:cs="Times New Roman"/>
          <w:lang w:eastAsia="de-DE"/>
        </w:rPr>
        <w:t xml:space="preserve">(auf das Lager) und </w:t>
      </w:r>
      <w:r w:rsidRPr="006E39D1">
        <w:rPr>
          <w:rFonts w:eastAsia="Times New Roman" w:cs="Times New Roman"/>
          <w:b/>
          <w:bCs/>
          <w:rtl/>
          <w:lang w:eastAsia="de-DE"/>
        </w:rPr>
        <w:t>לָיְלָה</w:t>
      </w:r>
      <w:r w:rsidRPr="006E39D1">
        <w:rPr>
          <w:rFonts w:eastAsia="Times New Roman" w:cs="Times New Roman"/>
          <w:rtl/>
          <w:lang w:eastAsia="de-DE"/>
        </w:rPr>
        <w:t xml:space="preserve"> </w:t>
      </w:r>
      <w:r w:rsidRPr="006E39D1">
        <w:rPr>
          <w:rFonts w:eastAsia="Times New Roman" w:cs="Times New Roman"/>
          <w:lang w:eastAsia="de-DE"/>
        </w:rPr>
        <w:t>(bei Nacht) zeigt den natürlichen Kontext der Manna-Versorgung.</w:t>
      </w:r>
    </w:p>
    <w:p w14:paraId="448A224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Haupthandlung </w:t>
      </w:r>
      <w:r w:rsidRPr="006E39D1">
        <w:rPr>
          <w:rFonts w:eastAsia="Times New Roman" w:cs="Times New Roman"/>
          <w:b/>
          <w:bCs/>
          <w:rtl/>
          <w:lang w:eastAsia="de-DE"/>
        </w:rPr>
        <w:t>יֵרֵ֥ד הַמָּ֖ן עָלָֽיו</w:t>
      </w:r>
      <w:r w:rsidRPr="006E39D1">
        <w:rPr>
          <w:rFonts w:eastAsia="Times New Roman" w:cs="Times New Roman"/>
          <w:rtl/>
          <w:lang w:eastAsia="de-DE"/>
        </w:rPr>
        <w:t xml:space="preserve"> </w:t>
      </w:r>
      <w:r w:rsidRPr="006E39D1">
        <w:rPr>
          <w:rFonts w:eastAsia="Times New Roman" w:cs="Times New Roman"/>
          <w:lang w:eastAsia="de-DE"/>
        </w:rPr>
        <w:t xml:space="preserve">(das Manna fiel darauf herab) mit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(herabfallen) im Qal-Imperfekt 3. maskulin Singular und </w:t>
      </w:r>
      <w:r w:rsidRPr="006E39D1">
        <w:rPr>
          <w:rFonts w:eastAsia="Times New Roman" w:cs="Times New Roman"/>
          <w:b/>
          <w:bCs/>
          <w:rtl/>
          <w:lang w:eastAsia="de-DE"/>
        </w:rPr>
        <w:t>עָלָיו</w:t>
      </w:r>
      <w:r w:rsidRPr="006E39D1">
        <w:rPr>
          <w:rFonts w:eastAsia="Times New Roman" w:cs="Times New Roman"/>
          <w:rtl/>
          <w:lang w:eastAsia="de-DE"/>
        </w:rPr>
        <w:t xml:space="preserve"> </w:t>
      </w:r>
      <w:r w:rsidRPr="006E39D1">
        <w:rPr>
          <w:rFonts w:eastAsia="Times New Roman" w:cs="Times New Roman"/>
          <w:lang w:eastAsia="de-DE"/>
        </w:rPr>
        <w:t>(darauf) zeigt die regelmäßige nächtliche Versorgung. Die Verbindung zwischen Tau und Manna zeigt die Integration des Wunders in natürliche Zyklen.</w:t>
      </w:r>
    </w:p>
    <w:p w14:paraId="02521D1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 Beschreibung betont die Zuverlässigkeit und Regelmäßigkeit der göttlichen Versorgung - jeden Morgen finden die Israeliten frische Nahrung vor, ohne eigene landwirtschaftliche Anstrengung.</w:t>
      </w:r>
    </w:p>
    <w:p w14:paraId="2332DBA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בְּרֶדֶת</w:t>
      </w:r>
      <w:r w:rsidRPr="006E39D1">
        <w:rPr>
          <w:rFonts w:eastAsia="Times New Roman" w:cs="Times New Roman"/>
          <w:rtl/>
          <w:lang w:eastAsia="de-DE"/>
        </w:rPr>
        <w:t xml:space="preserve"> </w:t>
      </w:r>
      <w:r w:rsidRPr="006E39D1">
        <w:rPr>
          <w:rFonts w:eastAsia="Times New Roman" w:cs="Times New Roman"/>
          <w:lang w:eastAsia="de-DE"/>
        </w:rPr>
        <w:t xml:space="preserve">mit ἐν τῷ καταβαίνειν (beim Herabkommen), </w:t>
      </w:r>
      <w:r w:rsidRPr="006E39D1">
        <w:rPr>
          <w:rFonts w:eastAsia="Times New Roman" w:cs="Times New Roman"/>
          <w:b/>
          <w:bCs/>
          <w:rtl/>
          <w:lang w:eastAsia="de-DE"/>
        </w:rPr>
        <w:t>הַטַּל</w:t>
      </w:r>
      <w:r w:rsidRPr="006E39D1">
        <w:rPr>
          <w:rFonts w:eastAsia="Times New Roman" w:cs="Times New Roman"/>
          <w:rtl/>
          <w:lang w:eastAsia="de-DE"/>
        </w:rPr>
        <w:t xml:space="preserve"> </w:t>
      </w:r>
      <w:r w:rsidRPr="006E39D1">
        <w:rPr>
          <w:rFonts w:eastAsia="Times New Roman" w:cs="Times New Roman"/>
          <w:lang w:eastAsia="de-DE"/>
        </w:rPr>
        <w:t xml:space="preserve">mit τὸν δρόσον (den Tau) und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mit κατέβαινεν (es kam herab).</w:t>
      </w:r>
    </w:p>
    <w:p w14:paraId="7120E5B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temporale Bedingung mit natürlichem Phänomen und koordinierte wunderhafte Versorgung.</w:t>
      </w:r>
    </w:p>
    <w:p w14:paraId="161984B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unterstreicht die wunderbare Regelmäßigkeit göttlicher Fürsorge durch die Verbindung mit natürlichen Zyklen.</w:t>
      </w:r>
    </w:p>
    <w:p w14:paraId="6C05DF76"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lastRenderedPageBreak/>
        <w:t>Numeri 11,10</w:t>
      </w:r>
    </w:p>
    <w:p w14:paraId="385A906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וַיִּשְׁמַ֨ע מֹשֶׁ֜ה אֶת־הָעָ֗ם בֹּכֶה֙ לְמִשְׁפְּחֹתָ֔יו אִ֖ישׁ לְפֶ֣תַח אָהֳלֹ֑ו וַיִּֽחַר־אַ֤ף יְהוָה֙ מְאֹ֔ד וּבְעֵינֵ֥י מֹשֶׁ֖ה רָֽע׃</w:t>
      </w:r>
    </w:p>
    <w:p w14:paraId="0563886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Mosche hörte das Volk nach seinen Familien weinen, jeden am Eingang seines Zeltes; und der Zorn des Ewigen entbrannte sehr, und in den Augen Mosches war es böse.</w:t>
      </w:r>
    </w:p>
    <w:p w14:paraId="5675ADD7"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2C43F295">
          <v:rect id="_x0000_i1389" style="width:0;height:1.5pt" o:hralign="center" o:hrstd="t" o:hr="t" fillcolor="#a0a0a0" stroked="f"/>
        </w:pict>
      </w:r>
    </w:p>
    <w:p w14:paraId="7B9AEEB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Wahrnehmungsverb </w:t>
      </w:r>
      <w:r w:rsidRPr="006E39D1">
        <w:rPr>
          <w:rFonts w:eastAsia="Times New Roman" w:cs="Times New Roman"/>
          <w:b/>
          <w:bCs/>
          <w:rtl/>
          <w:lang w:eastAsia="de-DE"/>
        </w:rPr>
        <w:t>וַיִּשְׁמַ֨ע מֹשֶׁ֜ה אֶת־הָעָ֗ם בֹּכֶה֙</w:t>
      </w:r>
      <w:r w:rsidRPr="006E39D1">
        <w:rPr>
          <w:rFonts w:eastAsia="Times New Roman" w:cs="Times New Roman"/>
          <w:rtl/>
          <w:lang w:eastAsia="de-DE"/>
        </w:rPr>
        <w:t xml:space="preserve"> </w:t>
      </w:r>
      <w:r w:rsidRPr="006E39D1">
        <w:rPr>
          <w:rFonts w:eastAsia="Times New Roman" w:cs="Times New Roman"/>
          <w:lang w:eastAsia="de-DE"/>
        </w:rPr>
        <w:t xml:space="preserve">(und Mose hörte das Volk weinen) mit </w:t>
      </w:r>
      <w:r w:rsidRPr="006E39D1">
        <w:rPr>
          <w:rFonts w:eastAsia="Times New Roman" w:cs="Times New Roman"/>
          <w:b/>
          <w:bCs/>
          <w:rtl/>
          <w:lang w:eastAsia="de-DE"/>
        </w:rPr>
        <w:t>יִּשְׁמַע</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שמע</w:t>
      </w:r>
      <w:r w:rsidRPr="006E39D1">
        <w:rPr>
          <w:rFonts w:eastAsia="Times New Roman" w:cs="Times New Roman"/>
          <w:rtl/>
          <w:lang w:eastAsia="de-DE"/>
        </w:rPr>
        <w:t xml:space="preserve"> </w:t>
      </w:r>
      <w:r w:rsidRPr="006E39D1">
        <w:rPr>
          <w:rFonts w:eastAsia="Times New Roman" w:cs="Times New Roman"/>
          <w:lang w:eastAsia="de-DE"/>
        </w:rPr>
        <w:t xml:space="preserve">(hören) und </w:t>
      </w:r>
      <w:r w:rsidRPr="006E39D1">
        <w:rPr>
          <w:rFonts w:eastAsia="Times New Roman" w:cs="Times New Roman"/>
          <w:b/>
          <w:bCs/>
          <w:rtl/>
          <w:lang w:eastAsia="de-DE"/>
        </w:rPr>
        <w:t>בֹּכֶה</w:t>
      </w:r>
      <w:r w:rsidRPr="006E39D1">
        <w:rPr>
          <w:rFonts w:eastAsia="Times New Roman" w:cs="Times New Roman"/>
          <w:rtl/>
          <w:lang w:eastAsia="de-DE"/>
        </w:rPr>
        <w:t xml:space="preserve"> </w:t>
      </w:r>
      <w:r w:rsidRPr="006E39D1">
        <w:rPr>
          <w:rFonts w:eastAsia="Times New Roman" w:cs="Times New Roman"/>
          <w:lang w:eastAsia="de-DE"/>
        </w:rPr>
        <w:t xml:space="preserve">als Qal-Partizip von </w:t>
      </w:r>
      <w:r w:rsidRPr="006E39D1">
        <w:rPr>
          <w:rFonts w:eastAsia="Times New Roman" w:cs="Times New Roman"/>
          <w:b/>
          <w:bCs/>
          <w:rtl/>
          <w:lang w:eastAsia="de-DE"/>
        </w:rPr>
        <w:t>בכה</w:t>
      </w:r>
      <w:r w:rsidRPr="006E39D1">
        <w:rPr>
          <w:rFonts w:eastAsia="Times New Roman" w:cs="Times New Roman"/>
          <w:rtl/>
          <w:lang w:eastAsia="de-DE"/>
        </w:rPr>
        <w:t xml:space="preserve"> </w:t>
      </w:r>
      <w:r w:rsidRPr="006E39D1">
        <w:rPr>
          <w:rFonts w:eastAsia="Times New Roman" w:cs="Times New Roman"/>
          <w:lang w:eastAsia="de-DE"/>
        </w:rPr>
        <w:t>(weinen) zeigt Moses Wahrnehmung der kollektiven Klage.</w:t>
      </w:r>
    </w:p>
    <w:p w14:paraId="01C3D12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Spezifikation </w:t>
      </w:r>
      <w:r w:rsidRPr="006E39D1">
        <w:rPr>
          <w:rFonts w:eastAsia="Times New Roman" w:cs="Times New Roman"/>
          <w:b/>
          <w:bCs/>
          <w:rtl/>
          <w:lang w:eastAsia="de-DE"/>
        </w:rPr>
        <w:t>לְמִשְׁפְּחֹתָ֔יו אִ֖ישׁ לְפֶ֣תַח אָהֳלֹ֑ו</w:t>
      </w:r>
      <w:r w:rsidRPr="006E39D1">
        <w:rPr>
          <w:rFonts w:eastAsia="Times New Roman" w:cs="Times New Roman"/>
          <w:rtl/>
          <w:lang w:eastAsia="de-DE"/>
        </w:rPr>
        <w:t xml:space="preserve"> </w:t>
      </w:r>
      <w:r w:rsidRPr="006E39D1">
        <w:rPr>
          <w:rFonts w:eastAsia="Times New Roman" w:cs="Times New Roman"/>
          <w:lang w:eastAsia="de-DE"/>
        </w:rPr>
        <w:t xml:space="preserve">(nach seinen Familien, jeder am Eingang seines Zeltes) mit </w:t>
      </w:r>
      <w:r w:rsidRPr="006E39D1">
        <w:rPr>
          <w:rFonts w:eastAsia="Times New Roman" w:cs="Times New Roman"/>
          <w:b/>
          <w:bCs/>
          <w:rtl/>
          <w:lang w:eastAsia="de-DE"/>
        </w:rPr>
        <w:t>לְמִשְׁפְּחֹתָיו</w:t>
      </w:r>
      <w:r w:rsidRPr="006E39D1">
        <w:rPr>
          <w:rFonts w:eastAsia="Times New Roman" w:cs="Times New Roman"/>
          <w:rtl/>
          <w:lang w:eastAsia="de-DE"/>
        </w:rPr>
        <w:t xml:space="preserve"> </w:t>
      </w:r>
      <w:r w:rsidRPr="006E39D1">
        <w:rPr>
          <w:rFonts w:eastAsia="Times New Roman" w:cs="Times New Roman"/>
          <w:lang w:eastAsia="de-DE"/>
        </w:rPr>
        <w:t xml:space="preserve">(nach seinen Familien) und </w:t>
      </w:r>
      <w:r w:rsidRPr="006E39D1">
        <w:rPr>
          <w:rFonts w:eastAsia="Times New Roman" w:cs="Times New Roman"/>
          <w:b/>
          <w:bCs/>
          <w:rtl/>
          <w:lang w:eastAsia="de-DE"/>
        </w:rPr>
        <w:t>אִישׁ לְפֶתַח אָהֳלוֹ</w:t>
      </w:r>
      <w:r w:rsidRPr="006E39D1">
        <w:rPr>
          <w:rFonts w:eastAsia="Times New Roman" w:cs="Times New Roman"/>
          <w:rtl/>
          <w:lang w:eastAsia="de-DE"/>
        </w:rPr>
        <w:t xml:space="preserve"> </w:t>
      </w:r>
      <w:r w:rsidRPr="006E39D1">
        <w:rPr>
          <w:rFonts w:eastAsia="Times New Roman" w:cs="Times New Roman"/>
          <w:lang w:eastAsia="de-DE"/>
        </w:rPr>
        <w:t>(jeder am Eingang seines Zeltes) zeigt die systematische, organisierte Natur der Rebellion - nicht spontane Unzufriedenheit, sondern strukturierte Familienproteste.</w:t>
      </w:r>
    </w:p>
    <w:p w14:paraId="503A5D6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doppelte Reaktion </w:t>
      </w:r>
      <w:r w:rsidRPr="006E39D1">
        <w:rPr>
          <w:rFonts w:eastAsia="Times New Roman" w:cs="Times New Roman"/>
          <w:b/>
          <w:bCs/>
          <w:rtl/>
          <w:lang w:eastAsia="de-DE"/>
        </w:rPr>
        <w:t>וַיִּֽחַר־אַ֤ף יְהוָה֙ מְאֹ֔ד וּבְעֵינֵ֥י מֹשֶׁ֖ה רָֽע</w:t>
      </w:r>
      <w:r w:rsidRPr="006E39D1">
        <w:rPr>
          <w:rFonts w:eastAsia="Times New Roman" w:cs="Times New Roman"/>
          <w:rtl/>
          <w:lang w:eastAsia="de-DE"/>
        </w:rPr>
        <w:t xml:space="preserve"> </w:t>
      </w:r>
      <w:r w:rsidRPr="006E39D1">
        <w:rPr>
          <w:rFonts w:eastAsia="Times New Roman" w:cs="Times New Roman"/>
          <w:lang w:eastAsia="de-DE"/>
        </w:rPr>
        <w:t xml:space="preserve">zeigt göttlichen und menschlichen Zorn. </w:t>
      </w:r>
      <w:r w:rsidRPr="006E39D1">
        <w:rPr>
          <w:rFonts w:eastAsia="Times New Roman" w:cs="Times New Roman"/>
          <w:b/>
          <w:bCs/>
          <w:rtl/>
          <w:lang w:eastAsia="de-DE"/>
        </w:rPr>
        <w:t>יִּחַר אַף יְהוָה מְאֹד</w:t>
      </w:r>
      <w:r w:rsidRPr="006E39D1">
        <w:rPr>
          <w:rFonts w:eastAsia="Times New Roman" w:cs="Times New Roman"/>
          <w:rtl/>
          <w:lang w:eastAsia="de-DE"/>
        </w:rPr>
        <w:t xml:space="preserve"> </w:t>
      </w:r>
      <w:r w:rsidRPr="006E39D1">
        <w:rPr>
          <w:rFonts w:eastAsia="Times New Roman" w:cs="Times New Roman"/>
          <w:lang w:eastAsia="de-DE"/>
        </w:rPr>
        <w:t xml:space="preserve">(der Zorn des Ewigen entbrannte sehr) mit </w:t>
      </w:r>
      <w:r w:rsidRPr="006E39D1">
        <w:rPr>
          <w:rFonts w:eastAsia="Times New Roman" w:cs="Times New Roman"/>
          <w:b/>
          <w:bCs/>
          <w:rtl/>
          <w:lang w:eastAsia="de-DE"/>
        </w:rPr>
        <w:t>חרה</w:t>
      </w:r>
      <w:r w:rsidRPr="006E39D1">
        <w:rPr>
          <w:rFonts w:eastAsia="Times New Roman" w:cs="Times New Roman"/>
          <w:rtl/>
          <w:lang w:eastAsia="de-DE"/>
        </w:rPr>
        <w:t xml:space="preserve"> </w:t>
      </w:r>
      <w:r w:rsidRPr="006E39D1">
        <w:rPr>
          <w:rFonts w:eastAsia="Times New Roman" w:cs="Times New Roman"/>
          <w:lang w:eastAsia="de-DE"/>
        </w:rPr>
        <w:t xml:space="preserve">(brennen) und </w:t>
      </w:r>
      <w:r w:rsidRPr="006E39D1">
        <w:rPr>
          <w:rFonts w:eastAsia="Times New Roman" w:cs="Times New Roman"/>
          <w:b/>
          <w:bCs/>
          <w:rtl/>
          <w:lang w:eastAsia="de-DE"/>
        </w:rPr>
        <w:t>מְאֹד</w:t>
      </w:r>
      <w:r w:rsidRPr="006E39D1">
        <w:rPr>
          <w:rFonts w:eastAsia="Times New Roman" w:cs="Times New Roman"/>
          <w:rtl/>
          <w:lang w:eastAsia="de-DE"/>
        </w:rPr>
        <w:t xml:space="preserve"> </w:t>
      </w:r>
      <w:r w:rsidRPr="006E39D1">
        <w:rPr>
          <w:rFonts w:eastAsia="Times New Roman" w:cs="Times New Roman"/>
          <w:lang w:eastAsia="de-DE"/>
        </w:rPr>
        <w:t xml:space="preserve">(sehr) zeigt intensive göttliche Reaktion. </w:t>
      </w:r>
      <w:r w:rsidRPr="006E39D1">
        <w:rPr>
          <w:rFonts w:eastAsia="Times New Roman" w:cs="Times New Roman"/>
          <w:b/>
          <w:bCs/>
          <w:rtl/>
          <w:lang w:eastAsia="de-DE"/>
        </w:rPr>
        <w:t>וּבְעֵינֵ֥י מֹשֶׁ֖ה רָע</w:t>
      </w:r>
      <w:r w:rsidRPr="006E39D1">
        <w:rPr>
          <w:rFonts w:eastAsia="Times New Roman" w:cs="Times New Roman"/>
          <w:rtl/>
          <w:lang w:eastAsia="de-DE"/>
        </w:rPr>
        <w:t xml:space="preserve"> </w:t>
      </w:r>
      <w:r w:rsidRPr="006E39D1">
        <w:rPr>
          <w:rFonts w:eastAsia="Times New Roman" w:cs="Times New Roman"/>
          <w:lang w:eastAsia="de-DE"/>
        </w:rPr>
        <w:t>(und in Moses Augen war es böse) zeigt Moses parallele Beurteilung.</w:t>
      </w:r>
    </w:p>
    <w:p w14:paraId="6A1E8C7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בֹּכֶה</w:t>
      </w:r>
      <w:r w:rsidRPr="006E39D1">
        <w:rPr>
          <w:rFonts w:eastAsia="Times New Roman" w:cs="Times New Roman"/>
          <w:rtl/>
          <w:lang w:eastAsia="de-DE"/>
        </w:rPr>
        <w:t xml:space="preserve"> </w:t>
      </w:r>
      <w:r w:rsidRPr="006E39D1">
        <w:rPr>
          <w:rFonts w:eastAsia="Times New Roman" w:cs="Times New Roman"/>
          <w:lang w:eastAsia="de-DE"/>
        </w:rPr>
        <w:t xml:space="preserve">mit κλαίοντας (weinend), </w:t>
      </w:r>
      <w:r w:rsidRPr="006E39D1">
        <w:rPr>
          <w:rFonts w:eastAsia="Times New Roman" w:cs="Times New Roman"/>
          <w:b/>
          <w:bCs/>
          <w:rtl/>
          <w:lang w:eastAsia="de-DE"/>
        </w:rPr>
        <w:t>לְמִשְׁפְּחֹתָיו</w:t>
      </w:r>
      <w:r w:rsidRPr="006E39D1">
        <w:rPr>
          <w:rFonts w:eastAsia="Times New Roman" w:cs="Times New Roman"/>
          <w:rtl/>
          <w:lang w:eastAsia="de-DE"/>
        </w:rPr>
        <w:t xml:space="preserve"> </w:t>
      </w:r>
      <w:r w:rsidRPr="006E39D1">
        <w:rPr>
          <w:rFonts w:eastAsia="Times New Roman" w:cs="Times New Roman"/>
          <w:lang w:eastAsia="de-DE"/>
        </w:rPr>
        <w:t xml:space="preserve">mit κατὰ δήμους αὐτῶν (nach ihren Gemeinden) und </w:t>
      </w:r>
      <w:r w:rsidRPr="006E39D1">
        <w:rPr>
          <w:rFonts w:eastAsia="Times New Roman" w:cs="Times New Roman"/>
          <w:b/>
          <w:bCs/>
          <w:rtl/>
          <w:lang w:eastAsia="de-DE"/>
        </w:rPr>
        <w:t>רָע</w:t>
      </w:r>
      <w:r w:rsidRPr="006E39D1">
        <w:rPr>
          <w:rFonts w:eastAsia="Times New Roman" w:cs="Times New Roman"/>
          <w:rtl/>
          <w:lang w:eastAsia="de-DE"/>
        </w:rPr>
        <w:t xml:space="preserve"> </w:t>
      </w:r>
      <w:r w:rsidRPr="006E39D1">
        <w:rPr>
          <w:rFonts w:eastAsia="Times New Roman" w:cs="Times New Roman"/>
          <w:lang w:eastAsia="de-DE"/>
        </w:rPr>
        <w:t>mit πονηρὸν (böse).</w:t>
      </w:r>
    </w:p>
    <w:p w14:paraId="30FFA3B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Wahrnehmung, detaillierte Situationsbeschreibung und doppelte negative Reaktion.</w:t>
      </w:r>
    </w:p>
    <w:p w14:paraId="5A38B8A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die Eskalation der Rebellion von individueller zu systematischer Familienunzufriedenheit und die entsprechende Verschärfung göttlicher und mosaischer Reaktion.</w:t>
      </w:r>
    </w:p>
    <w:p w14:paraId="4D111E09"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11,11</w:t>
      </w:r>
    </w:p>
    <w:p w14:paraId="24BA15A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וַיֹּ֨אמֶר מֹשֶׁ֜ה אֶל־יְהוָ֗ה לָמָ֤ה הֲרֵעֹ֨תָ֙ לְעַבְדֶּ֔ךָ וְלָ֛מָּה לֹא־מָצָ֥תִי חֵ֖ן בְּעֵינֶ֑יךָ לָשׂ֗וּם אֶת־מַשָּׂ֛א כָּל־הָעָ֥ם הַזֶּ֖ה עָלָֽי׃</w:t>
      </w:r>
    </w:p>
    <w:p w14:paraId="11DDDEC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Mosche sprach zu dem Ewigen: Warum hast du deinem Knecht übel getan, und warum habe ich nicht Gnade in deinen Augen gefunden, dass du die Last dieses ganzen Volkes auf mich legst?</w:t>
      </w:r>
    </w:p>
    <w:p w14:paraId="07B8E8E4"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45BE0DB4">
          <v:rect id="_x0000_i1390" style="width:0;height:1.5pt" o:hralign="center" o:hrstd="t" o:hr="t" fillcolor="#a0a0a0" stroked="f"/>
        </w:pict>
      </w:r>
    </w:p>
    <w:p w14:paraId="5BCB2FD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 מֹשֶׁ֜ה אֶל־יְהוָ֗ה</w:t>
      </w:r>
      <w:r w:rsidRPr="006E39D1">
        <w:rPr>
          <w:rFonts w:eastAsia="Times New Roman" w:cs="Times New Roman"/>
          <w:rtl/>
          <w:lang w:eastAsia="de-DE"/>
        </w:rPr>
        <w:t xml:space="preserve"> </w:t>
      </w:r>
      <w:r w:rsidRPr="006E39D1">
        <w:rPr>
          <w:rFonts w:eastAsia="Times New Roman" w:cs="Times New Roman"/>
          <w:lang w:eastAsia="de-DE"/>
        </w:rPr>
        <w:t xml:space="preserve">(und Mose sprach zu dem Ewigen) leitet Moses verzweifelte Klage ein. Die doppelte rhetorische Frage </w:t>
      </w:r>
      <w:r w:rsidRPr="006E39D1">
        <w:rPr>
          <w:rFonts w:eastAsia="Times New Roman" w:cs="Times New Roman"/>
          <w:b/>
          <w:bCs/>
          <w:rtl/>
          <w:lang w:eastAsia="de-DE"/>
        </w:rPr>
        <w:t>לָמָ֤ה הֲרֵעֹ֨תָ֙ לְעַבְדֶּ֔ךָ וְלָ֛מָּה לֹא־מָצָ֥תִי חֵ֖ן בְּעֵינֶ֑יךָ</w:t>
      </w:r>
      <w:r w:rsidRPr="006E39D1">
        <w:rPr>
          <w:rFonts w:eastAsia="Times New Roman" w:cs="Times New Roman"/>
          <w:rtl/>
          <w:lang w:eastAsia="de-DE"/>
        </w:rPr>
        <w:t xml:space="preserve"> </w:t>
      </w:r>
      <w:r w:rsidRPr="006E39D1">
        <w:rPr>
          <w:rFonts w:eastAsia="Times New Roman" w:cs="Times New Roman"/>
          <w:lang w:eastAsia="de-DE"/>
        </w:rPr>
        <w:t>zeigt Moses existentielle Krise.</w:t>
      </w:r>
    </w:p>
    <w:p w14:paraId="1CF65F9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rtl/>
          <w:lang w:eastAsia="de-DE"/>
        </w:rPr>
        <w:lastRenderedPageBreak/>
        <w:t>לָמָה הֲרֵעֹתָ לְעַבְדֶּךָ</w:t>
      </w:r>
      <w:r w:rsidRPr="006E39D1">
        <w:rPr>
          <w:rFonts w:eastAsia="Times New Roman" w:cs="Times New Roman"/>
          <w:rtl/>
          <w:lang w:eastAsia="de-DE"/>
        </w:rPr>
        <w:t xml:space="preserve"> </w:t>
      </w:r>
      <w:r w:rsidRPr="006E39D1">
        <w:rPr>
          <w:rFonts w:eastAsia="Times New Roman" w:cs="Times New Roman"/>
          <w:lang w:eastAsia="de-DE"/>
        </w:rPr>
        <w:t xml:space="preserve">(warum hast du deinem Knecht übel getan) mit </w:t>
      </w:r>
      <w:r w:rsidRPr="006E39D1">
        <w:rPr>
          <w:rFonts w:eastAsia="Times New Roman" w:cs="Times New Roman"/>
          <w:b/>
          <w:bCs/>
          <w:rtl/>
          <w:lang w:eastAsia="de-DE"/>
        </w:rPr>
        <w:t>לָמָה</w:t>
      </w:r>
      <w:r w:rsidRPr="006E39D1">
        <w:rPr>
          <w:rFonts w:eastAsia="Times New Roman" w:cs="Times New Roman"/>
          <w:rtl/>
          <w:lang w:eastAsia="de-DE"/>
        </w:rPr>
        <w:t xml:space="preserve"> </w:t>
      </w:r>
      <w:r w:rsidRPr="006E39D1">
        <w:rPr>
          <w:rFonts w:eastAsia="Times New Roman" w:cs="Times New Roman"/>
          <w:lang w:eastAsia="de-DE"/>
        </w:rPr>
        <w:t xml:space="preserve">(warum), </w:t>
      </w:r>
      <w:r w:rsidRPr="006E39D1">
        <w:rPr>
          <w:rFonts w:eastAsia="Times New Roman" w:cs="Times New Roman"/>
          <w:b/>
          <w:bCs/>
          <w:rtl/>
          <w:lang w:eastAsia="de-DE"/>
        </w:rPr>
        <w:t>הֲרֵעֹתָ</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רעע</w:t>
      </w:r>
      <w:r w:rsidRPr="006E39D1">
        <w:rPr>
          <w:rFonts w:eastAsia="Times New Roman" w:cs="Times New Roman"/>
          <w:rtl/>
          <w:lang w:eastAsia="de-DE"/>
        </w:rPr>
        <w:t xml:space="preserve"> </w:t>
      </w:r>
      <w:r w:rsidRPr="006E39D1">
        <w:rPr>
          <w:rFonts w:eastAsia="Times New Roman" w:cs="Times New Roman"/>
          <w:lang w:eastAsia="de-DE"/>
        </w:rPr>
        <w:t xml:space="preserve">(übel tun) im Hiph'il-Perfekt 2. maskulin Singular und </w:t>
      </w:r>
      <w:r w:rsidRPr="006E39D1">
        <w:rPr>
          <w:rFonts w:eastAsia="Times New Roman" w:cs="Times New Roman"/>
          <w:b/>
          <w:bCs/>
          <w:rtl/>
          <w:lang w:eastAsia="de-DE"/>
        </w:rPr>
        <w:t>לְעַבְדֶּךָ</w:t>
      </w:r>
      <w:r w:rsidRPr="006E39D1">
        <w:rPr>
          <w:rFonts w:eastAsia="Times New Roman" w:cs="Times New Roman"/>
          <w:rtl/>
          <w:lang w:eastAsia="de-DE"/>
        </w:rPr>
        <w:t xml:space="preserve"> </w:t>
      </w:r>
      <w:r w:rsidRPr="006E39D1">
        <w:rPr>
          <w:rFonts w:eastAsia="Times New Roman" w:cs="Times New Roman"/>
          <w:lang w:eastAsia="de-DE"/>
        </w:rPr>
        <w:t>(deinem Knecht) zeigt Moses Selbstcharakterisierung als leidender Diener.</w:t>
      </w:r>
    </w:p>
    <w:p w14:paraId="32BDBE3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rtl/>
          <w:lang w:eastAsia="de-DE"/>
        </w:rPr>
        <w:t>וְלָמָּה לֹא־מָצָ֥תִי חֵ֖ן בְּעֵינֶ֑יךָ</w:t>
      </w:r>
      <w:r w:rsidRPr="006E39D1">
        <w:rPr>
          <w:rFonts w:eastAsia="Times New Roman" w:cs="Times New Roman"/>
          <w:rtl/>
          <w:lang w:eastAsia="de-DE"/>
        </w:rPr>
        <w:t xml:space="preserve"> </w:t>
      </w:r>
      <w:r w:rsidRPr="006E39D1">
        <w:rPr>
          <w:rFonts w:eastAsia="Times New Roman" w:cs="Times New Roman"/>
          <w:lang w:eastAsia="de-DE"/>
        </w:rPr>
        <w:t xml:space="preserve">(und warum habe ich nicht Gnade in deinen Augen gefunden) mit </w:t>
      </w:r>
      <w:r w:rsidRPr="006E39D1">
        <w:rPr>
          <w:rFonts w:eastAsia="Times New Roman" w:cs="Times New Roman"/>
          <w:b/>
          <w:bCs/>
          <w:rtl/>
          <w:lang w:eastAsia="de-DE"/>
        </w:rPr>
        <w:t>מָצָתִי</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מצא</w:t>
      </w:r>
      <w:r w:rsidRPr="006E39D1">
        <w:rPr>
          <w:rFonts w:eastAsia="Times New Roman" w:cs="Times New Roman"/>
          <w:rtl/>
          <w:lang w:eastAsia="de-DE"/>
        </w:rPr>
        <w:t xml:space="preserve"> </w:t>
      </w:r>
      <w:r w:rsidRPr="006E39D1">
        <w:rPr>
          <w:rFonts w:eastAsia="Times New Roman" w:cs="Times New Roman"/>
          <w:lang w:eastAsia="de-DE"/>
        </w:rPr>
        <w:t xml:space="preserve">(finden) und </w:t>
      </w:r>
      <w:r w:rsidRPr="006E39D1">
        <w:rPr>
          <w:rFonts w:eastAsia="Times New Roman" w:cs="Times New Roman"/>
          <w:b/>
          <w:bCs/>
          <w:rtl/>
          <w:lang w:eastAsia="de-DE"/>
        </w:rPr>
        <w:t>חֵן בְּעֵינֶיךָ</w:t>
      </w:r>
      <w:r w:rsidRPr="006E39D1">
        <w:rPr>
          <w:rFonts w:eastAsia="Times New Roman" w:cs="Times New Roman"/>
          <w:rtl/>
          <w:lang w:eastAsia="de-DE"/>
        </w:rPr>
        <w:t xml:space="preserve"> </w:t>
      </w:r>
      <w:r w:rsidRPr="006E39D1">
        <w:rPr>
          <w:rFonts w:eastAsia="Times New Roman" w:cs="Times New Roman"/>
          <w:lang w:eastAsia="de-DE"/>
        </w:rPr>
        <w:t>(Gnade in deinen Augen) als idiomatische Wendung für göttliche Gunst zeigt Moses Gefühl der Zurückweisung.</w:t>
      </w:r>
    </w:p>
    <w:p w14:paraId="3437B4E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Zweckangabe </w:t>
      </w:r>
      <w:r w:rsidRPr="006E39D1">
        <w:rPr>
          <w:rFonts w:eastAsia="Times New Roman" w:cs="Times New Roman"/>
          <w:b/>
          <w:bCs/>
          <w:rtl/>
          <w:lang w:eastAsia="de-DE"/>
        </w:rPr>
        <w:t>לָשׂ֗וּם אֶת־מַשָּׂ֛א כָּל־הָעָ֥ם הַזֶּ֖ה עָלָֽי</w:t>
      </w:r>
      <w:r w:rsidRPr="006E39D1">
        <w:rPr>
          <w:rFonts w:eastAsia="Times New Roman" w:cs="Times New Roman"/>
          <w:rtl/>
          <w:lang w:eastAsia="de-DE"/>
        </w:rPr>
        <w:t xml:space="preserve"> </w:t>
      </w:r>
      <w:r w:rsidRPr="006E39D1">
        <w:rPr>
          <w:rFonts w:eastAsia="Times New Roman" w:cs="Times New Roman"/>
          <w:lang w:eastAsia="de-DE"/>
        </w:rPr>
        <w:t xml:space="preserve">(dass du die Last dieses ganzen Volkes auf mich legst) mit </w:t>
      </w:r>
      <w:r w:rsidRPr="006E39D1">
        <w:rPr>
          <w:rFonts w:eastAsia="Times New Roman" w:cs="Times New Roman"/>
          <w:b/>
          <w:bCs/>
          <w:rtl/>
          <w:lang w:eastAsia="de-DE"/>
        </w:rPr>
        <w:t>לָשׂוּם</w:t>
      </w:r>
      <w:r w:rsidRPr="006E39D1">
        <w:rPr>
          <w:rFonts w:eastAsia="Times New Roman" w:cs="Times New Roman"/>
          <w:rtl/>
          <w:lang w:eastAsia="de-DE"/>
        </w:rPr>
        <w:t xml:space="preserve"> </w:t>
      </w:r>
      <w:r w:rsidRPr="006E39D1">
        <w:rPr>
          <w:rFonts w:eastAsia="Times New Roman" w:cs="Times New Roman"/>
          <w:lang w:eastAsia="de-DE"/>
        </w:rPr>
        <w:t xml:space="preserve">(zu setzen), </w:t>
      </w:r>
      <w:r w:rsidRPr="006E39D1">
        <w:rPr>
          <w:rFonts w:eastAsia="Times New Roman" w:cs="Times New Roman"/>
          <w:b/>
          <w:bCs/>
          <w:rtl/>
          <w:lang w:eastAsia="de-DE"/>
        </w:rPr>
        <w:t>מַשָּׂא</w:t>
      </w:r>
      <w:r w:rsidRPr="006E39D1">
        <w:rPr>
          <w:rFonts w:eastAsia="Times New Roman" w:cs="Times New Roman"/>
          <w:rtl/>
          <w:lang w:eastAsia="de-DE"/>
        </w:rPr>
        <w:t xml:space="preserve"> </w:t>
      </w:r>
      <w:r w:rsidRPr="006E39D1">
        <w:rPr>
          <w:rFonts w:eastAsia="Times New Roman" w:cs="Times New Roman"/>
          <w:lang w:eastAsia="de-DE"/>
        </w:rPr>
        <w:t xml:space="preserve">(Last/Bürde) und </w:t>
      </w:r>
      <w:r w:rsidRPr="006E39D1">
        <w:rPr>
          <w:rFonts w:eastAsia="Times New Roman" w:cs="Times New Roman"/>
          <w:b/>
          <w:bCs/>
          <w:rtl/>
          <w:lang w:eastAsia="de-DE"/>
        </w:rPr>
        <w:t>עָלָי</w:t>
      </w:r>
      <w:r w:rsidRPr="006E39D1">
        <w:rPr>
          <w:rFonts w:eastAsia="Times New Roman" w:cs="Times New Roman"/>
          <w:rtl/>
          <w:lang w:eastAsia="de-DE"/>
        </w:rPr>
        <w:t xml:space="preserve"> </w:t>
      </w:r>
      <w:r w:rsidRPr="006E39D1">
        <w:rPr>
          <w:rFonts w:eastAsia="Times New Roman" w:cs="Times New Roman"/>
          <w:lang w:eastAsia="de-DE"/>
        </w:rPr>
        <w:t>(auf mich) zeigt die empfundene Überlastung.</w:t>
      </w:r>
    </w:p>
    <w:p w14:paraId="5822CE3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הֲרֵעֹתָ</w:t>
      </w:r>
      <w:r w:rsidRPr="006E39D1">
        <w:rPr>
          <w:rFonts w:eastAsia="Times New Roman" w:cs="Times New Roman"/>
          <w:rtl/>
          <w:lang w:eastAsia="de-DE"/>
        </w:rPr>
        <w:t xml:space="preserve"> </w:t>
      </w:r>
      <w:r w:rsidRPr="006E39D1">
        <w:rPr>
          <w:rFonts w:eastAsia="Times New Roman" w:cs="Times New Roman"/>
          <w:lang w:eastAsia="de-DE"/>
        </w:rPr>
        <w:t xml:space="preserve">mit κεκάκωκας (du hast schlecht behandelt), </w:t>
      </w:r>
      <w:r w:rsidRPr="006E39D1">
        <w:rPr>
          <w:rFonts w:eastAsia="Times New Roman" w:cs="Times New Roman"/>
          <w:b/>
          <w:bCs/>
          <w:rtl/>
          <w:lang w:eastAsia="de-DE"/>
        </w:rPr>
        <w:t>חֵן</w:t>
      </w:r>
      <w:r w:rsidRPr="006E39D1">
        <w:rPr>
          <w:rFonts w:eastAsia="Times New Roman" w:cs="Times New Roman"/>
          <w:rtl/>
          <w:lang w:eastAsia="de-DE"/>
        </w:rPr>
        <w:t xml:space="preserve"> </w:t>
      </w:r>
      <w:r w:rsidRPr="006E39D1">
        <w:rPr>
          <w:rFonts w:eastAsia="Times New Roman" w:cs="Times New Roman"/>
          <w:lang w:eastAsia="de-DE"/>
        </w:rPr>
        <w:t xml:space="preserve">mit χάρις (Gnade) und </w:t>
      </w:r>
      <w:r w:rsidRPr="006E39D1">
        <w:rPr>
          <w:rFonts w:eastAsia="Times New Roman" w:cs="Times New Roman"/>
          <w:b/>
          <w:bCs/>
          <w:rtl/>
          <w:lang w:eastAsia="de-DE"/>
        </w:rPr>
        <w:t>מַשָּׂא</w:t>
      </w:r>
      <w:r w:rsidRPr="006E39D1">
        <w:rPr>
          <w:rFonts w:eastAsia="Times New Roman" w:cs="Times New Roman"/>
          <w:rtl/>
          <w:lang w:eastAsia="de-DE"/>
        </w:rPr>
        <w:t xml:space="preserve"> </w:t>
      </w:r>
      <w:r w:rsidRPr="006E39D1">
        <w:rPr>
          <w:rFonts w:eastAsia="Times New Roman" w:cs="Times New Roman"/>
          <w:lang w:eastAsia="de-DE"/>
        </w:rPr>
        <w:t>mit φορτίον (Last).</w:t>
      </w:r>
    </w:p>
    <w:p w14:paraId="4A4EE45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doppelte rhetorische Frage mit Selbstcharakterisierung und Belastungsklage.</w:t>
      </w:r>
    </w:p>
    <w:p w14:paraId="4F9A797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beginnt Moses berühmte Klage, die seine menschliche Schwäche und Überforderung angesichts der Führungsverantwortung offenbart.</w:t>
      </w:r>
    </w:p>
    <w:p w14:paraId="74332D09"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11,12</w:t>
      </w:r>
    </w:p>
    <w:p w14:paraId="6A53ABC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הֶאָנֹכִ֣י הָרִ֗יתִי אֵ֚ת כָּל־הָעָ֣ם הַזֶּ֔ה אִם־אָנֹכִ֖י יְלִדְתִּ֑יהוּ כִּֽי־תֹאמַ֨ר אֵלַ֜י שָׂאֵ֣הוּ בְחֵיקֶ֗ךָ כַּאֲשֶׁ֨ר יִשָּׂ֤א הָאֹמֵן֙ אֶת־הַיֹּנֵ֔ק עַ֚ל הָֽאֲדָמָ֔ה אֲשֶׁ֥ר נִשְׁבַּ֖עְתָּ לַאֲבֹתָֽיו׃</w:t>
      </w:r>
    </w:p>
    <w:p w14:paraId="26F2C94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Bin ich mit diesem ganzen Volk schwanger geworden, oder habe ich es geboren, dass du zu mir sprichst: Trage es an deinem Gewandbausch, wie der Wärter den Säugling trägt, in das Land, das du ihren Vätern zugeschworen hast?</w:t>
      </w:r>
    </w:p>
    <w:p w14:paraId="4B20F25A"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2720887C">
          <v:rect id="_x0000_i1391" style="width:0;height:1.5pt" o:hralign="center" o:hrstd="t" o:hr="t" fillcolor="#a0a0a0" stroked="f"/>
        </w:pict>
      </w:r>
    </w:p>
    <w:p w14:paraId="49FE31B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doppelte rhetorische Frage </w:t>
      </w:r>
      <w:r w:rsidRPr="006E39D1">
        <w:rPr>
          <w:rFonts w:eastAsia="Times New Roman" w:cs="Times New Roman"/>
          <w:b/>
          <w:bCs/>
          <w:rtl/>
          <w:lang w:eastAsia="de-DE"/>
        </w:rPr>
        <w:t>הֶאָנֹכִ֣י הָרִ֗יתִי אֵ֚ת כָּל־הָעָ֣ם הַזֶּ֔ה אִם־אָנֹכִ֖י יְלִדְתִּ֑יהוּ</w:t>
      </w:r>
      <w:r w:rsidRPr="006E39D1">
        <w:rPr>
          <w:rFonts w:eastAsia="Times New Roman" w:cs="Times New Roman"/>
          <w:rtl/>
          <w:lang w:eastAsia="de-DE"/>
        </w:rPr>
        <w:t xml:space="preserve"> </w:t>
      </w:r>
      <w:r w:rsidRPr="006E39D1">
        <w:rPr>
          <w:rFonts w:eastAsia="Times New Roman" w:cs="Times New Roman"/>
          <w:lang w:eastAsia="de-DE"/>
        </w:rPr>
        <w:t xml:space="preserve">(bin ich schwanger geworden mit diesem ganzen Volk, oder habe ich es geboren) verwendet drastische Mutterschaftsmetaphorik. </w:t>
      </w:r>
      <w:r w:rsidRPr="006E39D1">
        <w:rPr>
          <w:rFonts w:eastAsia="Times New Roman" w:cs="Times New Roman"/>
          <w:b/>
          <w:bCs/>
          <w:rtl/>
          <w:lang w:eastAsia="de-DE"/>
        </w:rPr>
        <w:t>הֶאָנֹכִי הָרִיתִי</w:t>
      </w:r>
      <w:r w:rsidRPr="006E39D1">
        <w:rPr>
          <w:rFonts w:eastAsia="Times New Roman" w:cs="Times New Roman"/>
          <w:rtl/>
          <w:lang w:eastAsia="de-DE"/>
        </w:rPr>
        <w:t xml:space="preserve"> </w:t>
      </w:r>
      <w:r w:rsidRPr="006E39D1">
        <w:rPr>
          <w:rFonts w:eastAsia="Times New Roman" w:cs="Times New Roman"/>
          <w:lang w:eastAsia="de-DE"/>
        </w:rPr>
        <w:t xml:space="preserve">mit dem emphatischen Pronomen </w:t>
      </w:r>
      <w:r w:rsidRPr="006E39D1">
        <w:rPr>
          <w:rFonts w:eastAsia="Times New Roman" w:cs="Times New Roman"/>
          <w:b/>
          <w:bCs/>
          <w:rtl/>
          <w:lang w:eastAsia="de-DE"/>
        </w:rPr>
        <w:t>אָנֹכִי</w:t>
      </w:r>
      <w:r w:rsidRPr="006E39D1">
        <w:rPr>
          <w:rFonts w:eastAsia="Times New Roman" w:cs="Times New Roman"/>
          <w:rtl/>
          <w:lang w:eastAsia="de-DE"/>
        </w:rPr>
        <w:t xml:space="preserve"> </w:t>
      </w:r>
      <w:r w:rsidRPr="006E39D1">
        <w:rPr>
          <w:rFonts w:eastAsia="Times New Roman" w:cs="Times New Roman"/>
          <w:lang w:eastAsia="de-DE"/>
        </w:rPr>
        <w:t xml:space="preserve">(ich) und </w:t>
      </w:r>
      <w:r w:rsidRPr="006E39D1">
        <w:rPr>
          <w:rFonts w:eastAsia="Times New Roman" w:cs="Times New Roman"/>
          <w:b/>
          <w:bCs/>
          <w:rtl/>
          <w:lang w:eastAsia="de-DE"/>
        </w:rPr>
        <w:t>הָרִיתִי</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הרה</w:t>
      </w:r>
      <w:r w:rsidRPr="006E39D1">
        <w:rPr>
          <w:rFonts w:eastAsia="Times New Roman" w:cs="Times New Roman"/>
          <w:rtl/>
          <w:lang w:eastAsia="de-DE"/>
        </w:rPr>
        <w:t xml:space="preserve"> </w:t>
      </w:r>
      <w:r w:rsidRPr="006E39D1">
        <w:rPr>
          <w:rFonts w:eastAsia="Times New Roman" w:cs="Times New Roman"/>
          <w:lang w:eastAsia="de-DE"/>
        </w:rPr>
        <w:t xml:space="preserve">(schwanger werden) im Qal-Perfekt 1. Person Singular, sowie </w:t>
      </w:r>
      <w:r w:rsidRPr="006E39D1">
        <w:rPr>
          <w:rFonts w:eastAsia="Times New Roman" w:cs="Times New Roman"/>
          <w:b/>
          <w:bCs/>
          <w:rtl/>
          <w:lang w:eastAsia="de-DE"/>
        </w:rPr>
        <w:t>אִם־אָנֹכִי יְלִדְתִּיהוּ</w:t>
      </w:r>
      <w:r w:rsidRPr="006E39D1">
        <w:rPr>
          <w:rFonts w:eastAsia="Times New Roman" w:cs="Times New Roman"/>
          <w:rtl/>
          <w:lang w:eastAsia="de-DE"/>
        </w:rPr>
        <w:t xml:space="preserve"> </w:t>
      </w:r>
      <w:r w:rsidRPr="006E39D1">
        <w:rPr>
          <w:rFonts w:eastAsia="Times New Roman" w:cs="Times New Roman"/>
          <w:lang w:eastAsia="de-DE"/>
        </w:rPr>
        <w:t xml:space="preserve">mit </w:t>
      </w:r>
      <w:r w:rsidRPr="006E39D1">
        <w:rPr>
          <w:rFonts w:eastAsia="Times New Roman" w:cs="Times New Roman"/>
          <w:b/>
          <w:bCs/>
          <w:rtl/>
          <w:lang w:eastAsia="de-DE"/>
        </w:rPr>
        <w:t>יְלִדְתִּיהוּ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ילד</w:t>
      </w:r>
      <w:r w:rsidRPr="006E39D1">
        <w:rPr>
          <w:rFonts w:eastAsia="Times New Roman" w:cs="Times New Roman"/>
          <w:rtl/>
          <w:lang w:eastAsia="de-DE"/>
        </w:rPr>
        <w:t xml:space="preserve"> </w:t>
      </w:r>
      <w:r w:rsidRPr="006E39D1">
        <w:rPr>
          <w:rFonts w:eastAsia="Times New Roman" w:cs="Times New Roman"/>
          <w:lang w:eastAsia="de-DE"/>
        </w:rPr>
        <w:t>(gebären) zeigt Moses Frustration über die ihm auferlegte Verantwortung.</w:t>
      </w:r>
    </w:p>
    <w:p w14:paraId="37C5730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indirekte Rede </w:t>
      </w:r>
      <w:r w:rsidRPr="006E39D1">
        <w:rPr>
          <w:rFonts w:eastAsia="Times New Roman" w:cs="Times New Roman"/>
          <w:b/>
          <w:bCs/>
          <w:rtl/>
          <w:lang w:eastAsia="de-DE"/>
        </w:rPr>
        <w:t>כִּֽי־תֹאמַ֨ר אֵלַ֜י שָׂאֵ֣הוּ בְחֵיקֶ֗ךָ</w:t>
      </w:r>
      <w:r w:rsidRPr="006E39D1">
        <w:rPr>
          <w:rFonts w:eastAsia="Times New Roman" w:cs="Times New Roman"/>
          <w:rtl/>
          <w:lang w:eastAsia="de-DE"/>
        </w:rPr>
        <w:t xml:space="preserve"> </w:t>
      </w:r>
      <w:r w:rsidRPr="006E39D1">
        <w:rPr>
          <w:rFonts w:eastAsia="Times New Roman" w:cs="Times New Roman"/>
          <w:lang w:eastAsia="de-DE"/>
        </w:rPr>
        <w:t xml:space="preserve">(dass du zu mir sprichst: trage es an deinem Schoß) mit </w:t>
      </w:r>
      <w:r w:rsidRPr="006E39D1">
        <w:rPr>
          <w:rFonts w:eastAsia="Times New Roman" w:cs="Times New Roman"/>
          <w:b/>
          <w:bCs/>
          <w:rtl/>
          <w:lang w:eastAsia="de-DE"/>
        </w:rPr>
        <w:t>תֹאמַר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אמר</w:t>
      </w:r>
      <w:r w:rsidRPr="006E39D1">
        <w:rPr>
          <w:rFonts w:eastAsia="Times New Roman" w:cs="Times New Roman"/>
          <w:rtl/>
          <w:lang w:eastAsia="de-DE"/>
        </w:rPr>
        <w:t xml:space="preserve"> </w:t>
      </w:r>
      <w:r w:rsidRPr="006E39D1">
        <w:rPr>
          <w:rFonts w:eastAsia="Times New Roman" w:cs="Times New Roman"/>
          <w:lang w:eastAsia="de-DE"/>
        </w:rPr>
        <w:t xml:space="preserve">(sagen), </w:t>
      </w:r>
      <w:r w:rsidRPr="006E39D1">
        <w:rPr>
          <w:rFonts w:eastAsia="Times New Roman" w:cs="Times New Roman"/>
          <w:b/>
          <w:bCs/>
          <w:rtl/>
          <w:lang w:eastAsia="de-DE"/>
        </w:rPr>
        <w:t>שָׂאֵהוּ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נשא</w:t>
      </w:r>
      <w:r w:rsidRPr="006E39D1">
        <w:rPr>
          <w:rFonts w:eastAsia="Times New Roman" w:cs="Times New Roman"/>
          <w:rtl/>
          <w:lang w:eastAsia="de-DE"/>
        </w:rPr>
        <w:t xml:space="preserve"> </w:t>
      </w:r>
      <w:r w:rsidRPr="006E39D1">
        <w:rPr>
          <w:rFonts w:eastAsia="Times New Roman" w:cs="Times New Roman"/>
          <w:lang w:eastAsia="de-DE"/>
        </w:rPr>
        <w:t xml:space="preserve">(tragen) im Qal-Imperativ mit Objektsuffix und </w:t>
      </w:r>
      <w:r w:rsidRPr="006E39D1">
        <w:rPr>
          <w:rFonts w:eastAsia="Times New Roman" w:cs="Times New Roman"/>
          <w:b/>
          <w:bCs/>
          <w:rtl/>
          <w:lang w:eastAsia="de-DE"/>
        </w:rPr>
        <w:t>בְחֵיקֶךָ</w:t>
      </w:r>
      <w:r w:rsidRPr="006E39D1">
        <w:rPr>
          <w:rFonts w:eastAsia="Times New Roman" w:cs="Times New Roman"/>
          <w:rtl/>
          <w:lang w:eastAsia="de-DE"/>
        </w:rPr>
        <w:t xml:space="preserve"> </w:t>
      </w:r>
      <w:r w:rsidRPr="006E39D1">
        <w:rPr>
          <w:rFonts w:eastAsia="Times New Roman" w:cs="Times New Roman"/>
          <w:lang w:eastAsia="de-DE"/>
        </w:rPr>
        <w:t>(an deinem Schoß) verstärkt die Mutterschaftsmetaphorik.</w:t>
      </w:r>
    </w:p>
    <w:p w14:paraId="2CDB771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Der Vergleich </w:t>
      </w:r>
      <w:r w:rsidRPr="006E39D1">
        <w:rPr>
          <w:rFonts w:eastAsia="Times New Roman" w:cs="Times New Roman"/>
          <w:b/>
          <w:bCs/>
          <w:rtl/>
          <w:lang w:eastAsia="de-DE"/>
        </w:rPr>
        <w:t>כַּאֲשֶׁ֨ר יִשָּׂ֤א הָאֹמֵן֙ אֶת־הַיֹּנֵ֔</w:t>
      </w:r>
      <w:r w:rsidRPr="006E39D1">
        <w:rPr>
          <w:rFonts w:eastAsia="Times New Roman" w:cs="Times New Roman"/>
          <w:b/>
          <w:bCs/>
          <w:rtl/>
          <w:lang w:eastAsia="de-DE" w:bidi="ar-SA"/>
        </w:rPr>
        <w:t>ق</w:t>
      </w:r>
      <w:r w:rsidRPr="006E39D1">
        <w:rPr>
          <w:rFonts w:eastAsia="Times New Roman" w:cs="Times New Roman"/>
          <w:rtl/>
          <w:lang w:eastAsia="de-DE"/>
        </w:rPr>
        <w:t xml:space="preserve"> </w:t>
      </w:r>
      <w:r w:rsidRPr="006E39D1">
        <w:rPr>
          <w:rFonts w:eastAsia="Times New Roman" w:cs="Times New Roman"/>
          <w:lang w:eastAsia="de-DE"/>
        </w:rPr>
        <w:t xml:space="preserve">(wie der Wärter den Säugling trägt) mit </w:t>
      </w:r>
      <w:r w:rsidRPr="006E39D1">
        <w:rPr>
          <w:rFonts w:eastAsia="Times New Roman" w:cs="Times New Roman"/>
          <w:b/>
          <w:bCs/>
          <w:rtl/>
          <w:lang w:eastAsia="de-DE"/>
        </w:rPr>
        <w:t>יִשָּׂא</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נשא</w:t>
      </w:r>
      <w:r w:rsidRPr="006E39D1">
        <w:rPr>
          <w:rFonts w:eastAsia="Times New Roman" w:cs="Times New Roman"/>
          <w:rtl/>
          <w:lang w:eastAsia="de-DE"/>
        </w:rPr>
        <w:t xml:space="preserve"> </w:t>
      </w:r>
      <w:r w:rsidRPr="006E39D1">
        <w:rPr>
          <w:rFonts w:eastAsia="Times New Roman" w:cs="Times New Roman"/>
          <w:lang w:eastAsia="de-DE"/>
        </w:rPr>
        <w:t xml:space="preserve">(tragen), </w:t>
      </w:r>
      <w:r w:rsidRPr="006E39D1">
        <w:rPr>
          <w:rFonts w:eastAsia="Times New Roman" w:cs="Times New Roman"/>
          <w:b/>
          <w:bCs/>
          <w:rtl/>
          <w:lang w:eastAsia="de-DE"/>
        </w:rPr>
        <w:t>הָאֹמֵן</w:t>
      </w:r>
      <w:r w:rsidRPr="006E39D1">
        <w:rPr>
          <w:rFonts w:eastAsia="Times New Roman" w:cs="Times New Roman"/>
          <w:rtl/>
          <w:lang w:eastAsia="de-DE"/>
        </w:rPr>
        <w:t xml:space="preserve"> </w:t>
      </w:r>
      <w:r w:rsidRPr="006E39D1">
        <w:rPr>
          <w:rFonts w:eastAsia="Times New Roman" w:cs="Times New Roman"/>
          <w:lang w:eastAsia="de-DE"/>
        </w:rPr>
        <w:t xml:space="preserve">(der Wärter/Pfleger) und </w:t>
      </w:r>
      <w:r w:rsidRPr="006E39D1">
        <w:rPr>
          <w:rFonts w:eastAsia="Times New Roman" w:cs="Times New Roman"/>
          <w:b/>
          <w:bCs/>
          <w:rtl/>
          <w:lang w:eastAsia="de-DE"/>
        </w:rPr>
        <w:t>הַיֹּנֵק</w:t>
      </w:r>
      <w:r w:rsidRPr="006E39D1">
        <w:rPr>
          <w:rFonts w:eastAsia="Times New Roman" w:cs="Times New Roman"/>
          <w:rtl/>
          <w:lang w:eastAsia="de-DE"/>
        </w:rPr>
        <w:t xml:space="preserve"> </w:t>
      </w:r>
      <w:r w:rsidRPr="006E39D1">
        <w:rPr>
          <w:rFonts w:eastAsia="Times New Roman" w:cs="Times New Roman"/>
          <w:lang w:eastAsia="de-DE"/>
        </w:rPr>
        <w:t>(der Säugling) zeigt die geforderte fürsorgliche Beziehung.</w:t>
      </w:r>
    </w:p>
    <w:p w14:paraId="7A747E2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Das Ziel </w:t>
      </w:r>
      <w:r w:rsidRPr="006E39D1">
        <w:rPr>
          <w:rFonts w:eastAsia="Times New Roman" w:cs="Times New Roman"/>
          <w:b/>
          <w:bCs/>
          <w:rtl/>
          <w:lang w:eastAsia="de-DE"/>
        </w:rPr>
        <w:t>עַ֚ל הָֽאֲדָמָ֔ה אֲשֶׁ֥ר נִשְׁבַּ֖עְתָּ לַאֲבֹתָֽיו</w:t>
      </w:r>
      <w:r w:rsidRPr="006E39D1">
        <w:rPr>
          <w:rFonts w:eastAsia="Times New Roman" w:cs="Times New Roman"/>
          <w:rtl/>
          <w:lang w:eastAsia="de-DE"/>
        </w:rPr>
        <w:t xml:space="preserve"> </w:t>
      </w:r>
      <w:r w:rsidRPr="006E39D1">
        <w:rPr>
          <w:rFonts w:eastAsia="Times New Roman" w:cs="Times New Roman"/>
          <w:lang w:eastAsia="de-DE"/>
        </w:rPr>
        <w:t xml:space="preserve">(zu dem Land, das du ihren Vätern zugeschworen hast) mit </w:t>
      </w:r>
      <w:r w:rsidRPr="006E39D1">
        <w:rPr>
          <w:rFonts w:eastAsia="Times New Roman" w:cs="Times New Roman"/>
          <w:b/>
          <w:bCs/>
          <w:rtl/>
          <w:lang w:eastAsia="de-DE"/>
        </w:rPr>
        <w:t>נִשְׁבַּעְתָּ</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שבע</w:t>
      </w:r>
      <w:r w:rsidRPr="006E39D1">
        <w:rPr>
          <w:rFonts w:eastAsia="Times New Roman" w:cs="Times New Roman"/>
          <w:rtl/>
          <w:lang w:eastAsia="de-DE"/>
        </w:rPr>
        <w:t xml:space="preserve"> </w:t>
      </w:r>
      <w:r w:rsidRPr="006E39D1">
        <w:rPr>
          <w:rFonts w:eastAsia="Times New Roman" w:cs="Times New Roman"/>
          <w:lang w:eastAsia="de-DE"/>
        </w:rPr>
        <w:t>(schwören) verweist auf die Patriarchenverheißungen.</w:t>
      </w:r>
    </w:p>
    <w:p w14:paraId="62178A7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Die LXX</w:t>
      </w:r>
      <w:r w:rsidRPr="006E39D1">
        <w:rPr>
          <w:rFonts w:eastAsia="Times New Roman" w:cs="Times New Roman"/>
          <w:lang w:eastAsia="de-DE"/>
        </w:rPr>
        <w:t xml:space="preserve"> übersetzt </w:t>
      </w:r>
      <w:r w:rsidRPr="006E39D1">
        <w:rPr>
          <w:rFonts w:eastAsia="Times New Roman" w:cs="Times New Roman"/>
          <w:b/>
          <w:bCs/>
          <w:rtl/>
          <w:lang w:eastAsia="de-DE"/>
        </w:rPr>
        <w:t>הָרִיתִ</w:t>
      </w:r>
      <w:r w:rsidRPr="006E39D1">
        <w:rPr>
          <w:rFonts w:eastAsia="Times New Roman" w:cs="Times New Roman"/>
          <w:rtl/>
          <w:lang w:eastAsia="de-DE"/>
        </w:rPr>
        <w:t xml:space="preserve"> </w:t>
      </w:r>
      <w:r w:rsidRPr="006E39D1">
        <w:rPr>
          <w:rFonts w:eastAsia="Times New Roman" w:cs="Times New Roman"/>
          <w:lang w:eastAsia="de-DE"/>
        </w:rPr>
        <w:t xml:space="preserve">mit συνέλαβον (ich wurde schwanger), </w:t>
      </w:r>
      <w:r w:rsidRPr="006E39D1">
        <w:rPr>
          <w:rFonts w:eastAsia="Times New Roman" w:cs="Times New Roman"/>
          <w:b/>
          <w:bCs/>
          <w:rtl/>
          <w:lang w:eastAsia="de-DE"/>
        </w:rPr>
        <w:t>יְלִדְתִּיהוּ</w:t>
      </w:r>
      <w:r w:rsidRPr="006E39D1">
        <w:rPr>
          <w:rFonts w:eastAsia="Times New Roman" w:cs="Times New Roman"/>
          <w:rtl/>
          <w:lang w:eastAsia="de-DE"/>
        </w:rPr>
        <w:t xml:space="preserve"> </w:t>
      </w:r>
      <w:r w:rsidRPr="006E39D1">
        <w:rPr>
          <w:rFonts w:eastAsia="Times New Roman" w:cs="Times New Roman"/>
          <w:lang w:eastAsia="de-DE"/>
        </w:rPr>
        <w:t xml:space="preserve">mit ἔτεκον αὐτόν (ich gebar ihn), </w:t>
      </w:r>
      <w:r w:rsidRPr="006E39D1">
        <w:rPr>
          <w:rFonts w:eastAsia="Times New Roman" w:cs="Times New Roman"/>
          <w:b/>
          <w:bCs/>
          <w:rtl/>
          <w:lang w:eastAsia="de-DE"/>
        </w:rPr>
        <w:t>בְחֵיקֶךָ</w:t>
      </w:r>
      <w:r w:rsidRPr="006E39D1">
        <w:rPr>
          <w:rFonts w:eastAsia="Times New Roman" w:cs="Times New Roman"/>
          <w:rtl/>
          <w:lang w:eastAsia="de-DE"/>
        </w:rPr>
        <w:t xml:space="preserve"> </w:t>
      </w:r>
      <w:r w:rsidRPr="006E39D1">
        <w:rPr>
          <w:rFonts w:eastAsia="Times New Roman" w:cs="Times New Roman"/>
          <w:lang w:eastAsia="de-DE"/>
        </w:rPr>
        <w:t xml:space="preserve">mit ἐν κόλπῳ σου (an deinem Schoß) und </w:t>
      </w:r>
      <w:r w:rsidRPr="006E39D1">
        <w:rPr>
          <w:rFonts w:eastAsia="Times New Roman" w:cs="Times New Roman"/>
          <w:b/>
          <w:bCs/>
          <w:rtl/>
          <w:lang w:eastAsia="de-DE"/>
        </w:rPr>
        <w:t>הָאֹמֵן</w:t>
      </w:r>
      <w:r w:rsidRPr="006E39D1">
        <w:rPr>
          <w:rFonts w:eastAsia="Times New Roman" w:cs="Times New Roman"/>
          <w:rtl/>
          <w:lang w:eastAsia="de-DE"/>
        </w:rPr>
        <w:t xml:space="preserve"> </w:t>
      </w:r>
      <w:r w:rsidRPr="006E39D1">
        <w:rPr>
          <w:rFonts w:eastAsia="Times New Roman" w:cs="Times New Roman"/>
          <w:lang w:eastAsia="de-DE"/>
        </w:rPr>
        <w:t>mit τιθηνὸς (Amme).</w:t>
      </w:r>
    </w:p>
    <w:p w14:paraId="3C28907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doppelte rhetorische Frage mit Mutterschaftsmetaphorik, indirekte Rede, Vergleich und Zielangabe.</w:t>
      </w:r>
    </w:p>
    <w:p w14:paraId="7B39E6E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Moses emotionale Erschöpfung durch die drastische Mutterschaftsmetaphorik, die seine Überforderung mit der Volksfürsorge ausdrückt.</w:t>
      </w:r>
    </w:p>
    <w:p w14:paraId="775C6AC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Soll ich mit der Vers-für-Vers-Kommentierung von Numeri 11 fortfahren?</w:t>
      </w:r>
    </w:p>
    <w:p w14:paraId="4750CE7F"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11,13</w:t>
      </w:r>
    </w:p>
    <w:p w14:paraId="020EC43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מֵאַ֤יִן לִי֙ בָּשָׂ֔ר לָתֵ֖ת לְכָל־הָעָ֣ם הַזֶּ֑ה כִּֽי־יִבְכּ֤וּ עָלַי֙ לֵאמֹ֔ר תְּנָה־לָּ֥נוּ בָשָׂ֖ר וְנֹאכֵֽלָה׃</w:t>
      </w:r>
    </w:p>
    <w:p w14:paraId="0B894E6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Woher soll ich Fleisch nehmen, um es diesem ganzen Volk zu geben? Denn sie weinen gegen mich und sprechen: Gib uns Fleisch, dass wir essen!</w:t>
      </w:r>
    </w:p>
    <w:p w14:paraId="2D91FE58"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28FC0177">
          <v:rect id="_x0000_i1392" style="width:0;height:1.5pt" o:hralign="center" o:hrstd="t" o:hr="t" fillcolor="#a0a0a0" stroked="f"/>
        </w:pict>
      </w:r>
    </w:p>
    <w:p w14:paraId="54D74B87" w14:textId="785F448D"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rhetorische Frage </w:t>
      </w:r>
      <w:r w:rsidRPr="006E39D1">
        <w:rPr>
          <w:rFonts w:eastAsia="Times New Roman" w:cs="Times New Roman"/>
          <w:b/>
          <w:bCs/>
          <w:rtl/>
          <w:lang w:eastAsia="de-DE"/>
        </w:rPr>
        <w:t>מֵאַ֤יִן לִי֙ בָּשָׂ֔ר</w:t>
      </w:r>
      <w:r w:rsidRPr="006E39D1">
        <w:rPr>
          <w:rFonts w:eastAsia="Times New Roman" w:cs="Times New Roman"/>
          <w:rtl/>
          <w:lang w:eastAsia="de-DE"/>
        </w:rPr>
        <w:t xml:space="preserve"> </w:t>
      </w:r>
      <w:r w:rsidRPr="006E39D1">
        <w:rPr>
          <w:rFonts w:eastAsia="Times New Roman" w:cs="Times New Roman"/>
          <w:lang w:eastAsia="de-DE"/>
        </w:rPr>
        <w:t xml:space="preserve">(woher soll ich Fleisch haben) mit </w:t>
      </w:r>
      <w:r w:rsidRPr="006E39D1">
        <w:rPr>
          <w:rFonts w:eastAsia="Times New Roman" w:cs="Times New Roman"/>
          <w:b/>
          <w:bCs/>
          <w:rtl/>
          <w:lang w:eastAsia="de-DE"/>
        </w:rPr>
        <w:t>מֵאַיִן</w:t>
      </w:r>
      <w:r w:rsidRPr="006E39D1">
        <w:rPr>
          <w:rFonts w:eastAsia="Times New Roman" w:cs="Times New Roman"/>
          <w:rtl/>
          <w:lang w:eastAsia="de-DE"/>
        </w:rPr>
        <w:t xml:space="preserve"> </w:t>
      </w:r>
      <w:r w:rsidRPr="006E39D1">
        <w:rPr>
          <w:rFonts w:eastAsia="Times New Roman" w:cs="Times New Roman"/>
          <w:lang w:eastAsia="de-DE"/>
        </w:rPr>
        <w:t xml:space="preserve">(woher) als Fragewort und </w:t>
      </w:r>
      <w:r w:rsidRPr="006E39D1">
        <w:rPr>
          <w:rFonts w:eastAsia="Times New Roman" w:cs="Times New Roman"/>
          <w:b/>
          <w:bCs/>
          <w:rtl/>
          <w:lang w:eastAsia="de-DE"/>
        </w:rPr>
        <w:t>לִי</w:t>
      </w:r>
      <w:r w:rsidRPr="006E39D1">
        <w:rPr>
          <w:rFonts w:eastAsia="Times New Roman" w:cs="Times New Roman"/>
          <w:rtl/>
          <w:lang w:eastAsia="de-DE"/>
        </w:rPr>
        <w:t xml:space="preserve"> </w:t>
      </w:r>
      <w:r w:rsidRPr="006E39D1">
        <w:rPr>
          <w:rFonts w:eastAsia="Times New Roman" w:cs="Times New Roman"/>
          <w:lang w:eastAsia="de-DE"/>
        </w:rPr>
        <w:t xml:space="preserve">(für mich) zeigt Moses praktische Verzweiflung. Die Zweckbestimmung </w:t>
      </w:r>
      <w:r w:rsidRPr="006E39D1">
        <w:rPr>
          <w:rFonts w:eastAsia="Times New Roman" w:cs="Times New Roman"/>
          <w:b/>
          <w:bCs/>
          <w:rtl/>
          <w:lang w:eastAsia="de-DE"/>
        </w:rPr>
        <w:t>לָתֵ֖ת לְכָל־הָעָ֣ם הַזֶּ֑ה</w:t>
      </w:r>
      <w:r w:rsidRPr="006E39D1">
        <w:rPr>
          <w:rFonts w:eastAsia="Times New Roman" w:cs="Times New Roman"/>
          <w:rtl/>
          <w:lang w:eastAsia="de-DE"/>
        </w:rPr>
        <w:t xml:space="preserve"> </w:t>
      </w:r>
      <w:r w:rsidRPr="006E39D1">
        <w:rPr>
          <w:rFonts w:eastAsia="Times New Roman" w:cs="Times New Roman"/>
          <w:lang w:eastAsia="de-DE"/>
        </w:rPr>
        <w:t xml:space="preserve">(um zu geben diesem ganzen Volk) mit </w:t>
      </w:r>
      <w:r w:rsidRPr="006E39D1">
        <w:rPr>
          <w:rFonts w:eastAsia="Times New Roman" w:cs="Times New Roman"/>
          <w:b/>
          <w:bCs/>
          <w:rtl/>
          <w:lang w:eastAsia="de-DE"/>
        </w:rPr>
        <w:t>לָתֵת</w:t>
      </w:r>
      <w:r w:rsidRPr="006E39D1">
        <w:rPr>
          <w:rFonts w:eastAsia="Times New Roman" w:cs="Times New Roman"/>
          <w:rtl/>
          <w:lang w:eastAsia="de-DE"/>
        </w:rPr>
        <w:t xml:space="preserve"> </w:t>
      </w:r>
      <w:r w:rsidRPr="006E39D1">
        <w:rPr>
          <w:rFonts w:eastAsia="Times New Roman" w:cs="Times New Roman"/>
          <w:lang w:eastAsia="de-DE"/>
        </w:rPr>
        <w:t>als Qal-Infinitiv-</w:t>
      </w:r>
      <w:r w:rsidR="00F133EC">
        <w:rPr>
          <w:rFonts w:eastAsia="Times New Roman" w:cs="Times New Roman"/>
          <w:lang w:eastAsia="de-DE"/>
        </w:rPr>
        <w:t>Construct</w:t>
      </w:r>
      <w:r w:rsidRPr="006E39D1">
        <w:rPr>
          <w:rFonts w:eastAsia="Times New Roman" w:cs="Times New Roman"/>
          <w:lang w:eastAsia="de-DE"/>
        </w:rPr>
        <w:t xml:space="preserve"> von </w:t>
      </w:r>
      <w:r w:rsidRPr="006E39D1">
        <w:rPr>
          <w:rFonts w:eastAsia="Times New Roman" w:cs="Times New Roman"/>
          <w:b/>
          <w:bCs/>
          <w:rtl/>
          <w:lang w:eastAsia="de-DE"/>
        </w:rPr>
        <w:t>נתן</w:t>
      </w:r>
      <w:r w:rsidRPr="006E39D1">
        <w:rPr>
          <w:rFonts w:eastAsia="Times New Roman" w:cs="Times New Roman"/>
          <w:rtl/>
          <w:lang w:eastAsia="de-DE"/>
        </w:rPr>
        <w:t xml:space="preserve"> </w:t>
      </w:r>
      <w:r w:rsidRPr="006E39D1">
        <w:rPr>
          <w:rFonts w:eastAsia="Times New Roman" w:cs="Times New Roman"/>
          <w:lang w:eastAsia="de-DE"/>
        </w:rPr>
        <w:t xml:space="preserve">(geben) und </w:t>
      </w:r>
      <w:r w:rsidRPr="006E39D1">
        <w:rPr>
          <w:rFonts w:eastAsia="Times New Roman" w:cs="Times New Roman"/>
          <w:b/>
          <w:bCs/>
          <w:rtl/>
          <w:lang w:eastAsia="de-DE"/>
        </w:rPr>
        <w:t>לְכָל־הָעָ֣ם הַזֶּ֑ה</w:t>
      </w:r>
      <w:r w:rsidRPr="006E39D1">
        <w:rPr>
          <w:rFonts w:eastAsia="Times New Roman" w:cs="Times New Roman"/>
          <w:rtl/>
          <w:lang w:eastAsia="de-DE"/>
        </w:rPr>
        <w:t xml:space="preserve"> </w:t>
      </w:r>
      <w:r w:rsidRPr="006E39D1">
        <w:rPr>
          <w:rFonts w:eastAsia="Times New Roman" w:cs="Times New Roman"/>
          <w:lang w:eastAsia="de-DE"/>
        </w:rPr>
        <w:t>(diesem ganzen Volk) betont die Größe der geforderten Aufgabe.</w:t>
      </w:r>
    </w:p>
    <w:p w14:paraId="6279554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kausale Begründung </w:t>
      </w:r>
      <w:r w:rsidRPr="006E39D1">
        <w:rPr>
          <w:rFonts w:eastAsia="Times New Roman" w:cs="Times New Roman"/>
          <w:b/>
          <w:bCs/>
          <w:rtl/>
          <w:lang w:eastAsia="de-DE"/>
        </w:rPr>
        <w:t>כִּֽי־יִבְכּ֤וּ עָלַי֙ לֵאמֹ֔ר</w:t>
      </w:r>
      <w:r w:rsidRPr="006E39D1">
        <w:rPr>
          <w:rFonts w:eastAsia="Times New Roman" w:cs="Times New Roman"/>
          <w:rtl/>
          <w:lang w:eastAsia="de-DE"/>
        </w:rPr>
        <w:t xml:space="preserve"> </w:t>
      </w:r>
      <w:r w:rsidRPr="006E39D1">
        <w:rPr>
          <w:rFonts w:eastAsia="Times New Roman" w:cs="Times New Roman"/>
          <w:lang w:eastAsia="de-DE"/>
        </w:rPr>
        <w:t xml:space="preserve">(denn sie weinen gegen mich, sagend) mit </w:t>
      </w:r>
      <w:r w:rsidRPr="006E39D1">
        <w:rPr>
          <w:rFonts w:eastAsia="Times New Roman" w:cs="Times New Roman"/>
          <w:b/>
          <w:bCs/>
          <w:rtl/>
          <w:lang w:eastAsia="de-DE"/>
        </w:rPr>
        <w:t>יִבְכּוּ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בכה</w:t>
      </w:r>
      <w:r w:rsidRPr="006E39D1">
        <w:rPr>
          <w:rFonts w:eastAsia="Times New Roman" w:cs="Times New Roman"/>
          <w:rtl/>
          <w:lang w:eastAsia="de-DE"/>
        </w:rPr>
        <w:t xml:space="preserve"> </w:t>
      </w:r>
      <w:r w:rsidRPr="006E39D1">
        <w:rPr>
          <w:rFonts w:eastAsia="Times New Roman" w:cs="Times New Roman"/>
          <w:lang w:eastAsia="de-DE"/>
        </w:rPr>
        <w:t xml:space="preserve">(weinen) im Qal-Imperfekt 3. maskulin Plural und </w:t>
      </w:r>
      <w:r w:rsidRPr="006E39D1">
        <w:rPr>
          <w:rFonts w:eastAsia="Times New Roman" w:cs="Times New Roman"/>
          <w:b/>
          <w:bCs/>
          <w:rtl/>
          <w:lang w:eastAsia="de-DE"/>
        </w:rPr>
        <w:t>עָלַי</w:t>
      </w:r>
      <w:r w:rsidRPr="006E39D1">
        <w:rPr>
          <w:rFonts w:eastAsia="Times New Roman" w:cs="Times New Roman"/>
          <w:rtl/>
          <w:lang w:eastAsia="de-DE"/>
        </w:rPr>
        <w:t xml:space="preserve"> </w:t>
      </w:r>
      <w:r w:rsidRPr="006E39D1">
        <w:rPr>
          <w:rFonts w:eastAsia="Times New Roman" w:cs="Times New Roman"/>
          <w:lang w:eastAsia="de-DE"/>
        </w:rPr>
        <w:t>(gegen mich) zeigt die persönliche Belastung durch die Volksklage.</w:t>
      </w:r>
    </w:p>
    <w:p w14:paraId="63C9045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direkte Rede </w:t>
      </w:r>
      <w:r w:rsidRPr="006E39D1">
        <w:rPr>
          <w:rFonts w:eastAsia="Times New Roman" w:cs="Times New Roman"/>
          <w:b/>
          <w:bCs/>
          <w:rtl/>
          <w:lang w:eastAsia="de-DE"/>
        </w:rPr>
        <w:t>תְּנָה־לָּ֥נוּ בָשָׂ֖ר וְנֹאכֵֽלָה</w:t>
      </w:r>
      <w:r w:rsidRPr="006E39D1">
        <w:rPr>
          <w:rFonts w:eastAsia="Times New Roman" w:cs="Times New Roman"/>
          <w:rtl/>
          <w:lang w:eastAsia="de-DE"/>
        </w:rPr>
        <w:t xml:space="preserve"> </w:t>
      </w:r>
      <w:r w:rsidRPr="006E39D1">
        <w:rPr>
          <w:rFonts w:eastAsia="Times New Roman" w:cs="Times New Roman"/>
          <w:lang w:eastAsia="de-DE"/>
        </w:rPr>
        <w:t xml:space="preserve">(gib uns Fleisch, dass wir essen) mit </w:t>
      </w:r>
      <w:r w:rsidRPr="006E39D1">
        <w:rPr>
          <w:rFonts w:eastAsia="Times New Roman" w:cs="Times New Roman"/>
          <w:b/>
          <w:bCs/>
          <w:rtl/>
          <w:lang w:eastAsia="de-DE"/>
        </w:rPr>
        <w:t>תְּנָה</w:t>
      </w:r>
      <w:r w:rsidRPr="006E39D1">
        <w:rPr>
          <w:rFonts w:eastAsia="Times New Roman" w:cs="Times New Roman"/>
          <w:rtl/>
          <w:lang w:eastAsia="de-DE"/>
        </w:rPr>
        <w:t xml:space="preserve"> </w:t>
      </w:r>
      <w:r w:rsidRPr="006E39D1">
        <w:rPr>
          <w:rFonts w:eastAsia="Times New Roman" w:cs="Times New Roman"/>
          <w:lang w:eastAsia="de-DE"/>
        </w:rPr>
        <w:t xml:space="preserve">als Qal-Imperativ feminin Singular von </w:t>
      </w:r>
      <w:r w:rsidRPr="006E39D1">
        <w:rPr>
          <w:rFonts w:eastAsia="Times New Roman" w:cs="Times New Roman"/>
          <w:b/>
          <w:bCs/>
          <w:rtl/>
          <w:lang w:eastAsia="de-DE"/>
        </w:rPr>
        <w:t>נתן</w:t>
      </w:r>
      <w:r w:rsidRPr="006E39D1">
        <w:rPr>
          <w:rFonts w:eastAsia="Times New Roman" w:cs="Times New Roman"/>
          <w:rtl/>
          <w:lang w:eastAsia="de-DE"/>
        </w:rPr>
        <w:t xml:space="preserve"> </w:t>
      </w:r>
      <w:r w:rsidRPr="006E39D1">
        <w:rPr>
          <w:rFonts w:eastAsia="Times New Roman" w:cs="Times New Roman"/>
          <w:lang w:eastAsia="de-DE"/>
        </w:rPr>
        <w:t xml:space="preserve">(geben), </w:t>
      </w:r>
      <w:r w:rsidRPr="006E39D1">
        <w:rPr>
          <w:rFonts w:eastAsia="Times New Roman" w:cs="Times New Roman"/>
          <w:b/>
          <w:bCs/>
          <w:rtl/>
          <w:lang w:eastAsia="de-DE"/>
        </w:rPr>
        <w:t>לָנוּ</w:t>
      </w:r>
      <w:r w:rsidRPr="006E39D1">
        <w:rPr>
          <w:rFonts w:eastAsia="Times New Roman" w:cs="Times New Roman"/>
          <w:rtl/>
          <w:lang w:eastAsia="de-DE"/>
        </w:rPr>
        <w:t xml:space="preserve"> </w:t>
      </w:r>
      <w:r w:rsidRPr="006E39D1">
        <w:rPr>
          <w:rFonts w:eastAsia="Times New Roman" w:cs="Times New Roman"/>
          <w:lang w:eastAsia="de-DE"/>
        </w:rPr>
        <w:t xml:space="preserve">(uns), </w:t>
      </w:r>
      <w:r w:rsidRPr="006E39D1">
        <w:rPr>
          <w:rFonts w:eastAsia="Times New Roman" w:cs="Times New Roman"/>
          <w:b/>
          <w:bCs/>
          <w:rtl/>
          <w:lang w:eastAsia="de-DE"/>
        </w:rPr>
        <w:t>בָשָׂר</w:t>
      </w:r>
      <w:r w:rsidRPr="006E39D1">
        <w:rPr>
          <w:rFonts w:eastAsia="Times New Roman" w:cs="Times New Roman"/>
          <w:rtl/>
          <w:lang w:eastAsia="de-DE"/>
        </w:rPr>
        <w:t xml:space="preserve"> </w:t>
      </w:r>
      <w:r w:rsidRPr="006E39D1">
        <w:rPr>
          <w:rFonts w:eastAsia="Times New Roman" w:cs="Times New Roman"/>
          <w:lang w:eastAsia="de-DE"/>
        </w:rPr>
        <w:t xml:space="preserve">(Fleisch) und </w:t>
      </w:r>
      <w:r w:rsidRPr="006E39D1">
        <w:rPr>
          <w:rFonts w:eastAsia="Times New Roman" w:cs="Times New Roman"/>
          <w:b/>
          <w:bCs/>
          <w:rtl/>
          <w:lang w:eastAsia="de-DE"/>
        </w:rPr>
        <w:t>נֹאכֵלָה</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אכל</w:t>
      </w:r>
      <w:r w:rsidRPr="006E39D1">
        <w:rPr>
          <w:rFonts w:eastAsia="Times New Roman" w:cs="Times New Roman"/>
          <w:rtl/>
          <w:lang w:eastAsia="de-DE"/>
        </w:rPr>
        <w:t xml:space="preserve"> </w:t>
      </w:r>
      <w:r w:rsidRPr="006E39D1">
        <w:rPr>
          <w:rFonts w:eastAsia="Times New Roman" w:cs="Times New Roman"/>
          <w:lang w:eastAsia="de-DE"/>
        </w:rPr>
        <w:t>(essen) im Qal-Imperfekt 1. Person Plural mit Kohortativ-Endung zeigt die drängende Volksforderung.</w:t>
      </w:r>
    </w:p>
    <w:p w14:paraId="31B87A5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מֵאַיִן</w:t>
      </w:r>
      <w:r w:rsidRPr="006E39D1">
        <w:rPr>
          <w:rFonts w:eastAsia="Times New Roman" w:cs="Times New Roman"/>
          <w:rtl/>
          <w:lang w:eastAsia="de-DE"/>
        </w:rPr>
        <w:t xml:space="preserve"> </w:t>
      </w:r>
      <w:r w:rsidRPr="006E39D1">
        <w:rPr>
          <w:rFonts w:eastAsia="Times New Roman" w:cs="Times New Roman"/>
          <w:lang w:eastAsia="de-DE"/>
        </w:rPr>
        <w:t xml:space="preserve">mit πόθεν (woher), </w:t>
      </w:r>
      <w:r w:rsidRPr="006E39D1">
        <w:rPr>
          <w:rFonts w:eastAsia="Times New Roman" w:cs="Times New Roman"/>
          <w:b/>
          <w:bCs/>
          <w:rtl/>
          <w:lang w:eastAsia="de-DE"/>
        </w:rPr>
        <w:t>יִבְכּוּ עָלַי</w:t>
      </w:r>
      <w:r w:rsidRPr="006E39D1">
        <w:rPr>
          <w:rFonts w:eastAsia="Times New Roman" w:cs="Times New Roman"/>
          <w:rtl/>
          <w:lang w:eastAsia="de-DE"/>
        </w:rPr>
        <w:t xml:space="preserve"> </w:t>
      </w:r>
      <w:r w:rsidRPr="006E39D1">
        <w:rPr>
          <w:rFonts w:eastAsia="Times New Roman" w:cs="Times New Roman"/>
          <w:lang w:eastAsia="de-DE"/>
        </w:rPr>
        <w:t xml:space="preserve">mit κλαίουσι πρός με (sie weinen zu mir) und </w:t>
      </w:r>
      <w:r w:rsidRPr="006E39D1">
        <w:rPr>
          <w:rFonts w:eastAsia="Times New Roman" w:cs="Times New Roman"/>
          <w:b/>
          <w:bCs/>
          <w:rtl/>
          <w:lang w:eastAsia="de-DE"/>
        </w:rPr>
        <w:t>תְּנָה־לָּ֥נוּ</w:t>
      </w:r>
      <w:r w:rsidRPr="006E39D1">
        <w:rPr>
          <w:rFonts w:eastAsia="Times New Roman" w:cs="Times New Roman"/>
          <w:rtl/>
          <w:lang w:eastAsia="de-DE"/>
        </w:rPr>
        <w:t xml:space="preserve"> </w:t>
      </w:r>
      <w:r w:rsidRPr="006E39D1">
        <w:rPr>
          <w:rFonts w:eastAsia="Times New Roman" w:cs="Times New Roman"/>
          <w:lang w:eastAsia="de-DE"/>
        </w:rPr>
        <w:t>mit δὸς ἡμῖν (gib uns).</w:t>
      </w:r>
    </w:p>
    <w:p w14:paraId="0D3B05D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rhetorische Frage mit praktischer Verzweiflung, kausale Begründung und direkte Volksrede.</w:t>
      </w:r>
    </w:p>
    <w:p w14:paraId="2C5B206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Moses Gefühl der Unmöglichkeit seiner Aufgabe angesichts der praktischen Anforderungen der Volksversorgung.</w:t>
      </w:r>
    </w:p>
    <w:p w14:paraId="3EF7FF51"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11,14</w:t>
      </w:r>
    </w:p>
    <w:p w14:paraId="4B0A9AB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לֹֽא־אוּכַ֤ל אָנֹכִי֙ לְבַדִּ֔י לָשֵׂ֖את אֶת־כָּל־הָעָ֣ם הַזֶּ֑ה כִּ֥י כָבֵ֖ד מִמֶּֽנִּי׃</w:t>
      </w:r>
    </w:p>
    <w:p w14:paraId="70DE6BF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Deutsch:</w:t>
      </w:r>
      <w:r w:rsidRPr="006E39D1">
        <w:rPr>
          <w:rFonts w:eastAsia="Times New Roman" w:cs="Times New Roman"/>
          <w:lang w:eastAsia="de-DE"/>
        </w:rPr>
        <w:t xml:space="preserve"> Ich allein kann dieses ganze Volk nicht tragen, denn es ist mir zu schwer.</w:t>
      </w:r>
    </w:p>
    <w:p w14:paraId="1FDFFA5C"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66D0F0DE">
          <v:rect id="_x0000_i1393" style="width:0;height:1.5pt" o:hralign="center" o:hrstd="t" o:hr="t" fillcolor="#a0a0a0" stroked="f"/>
        </w:pict>
      </w:r>
    </w:p>
    <w:p w14:paraId="6E944DF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Negation </w:t>
      </w:r>
      <w:r w:rsidRPr="006E39D1">
        <w:rPr>
          <w:rFonts w:eastAsia="Times New Roman" w:cs="Times New Roman"/>
          <w:b/>
          <w:bCs/>
          <w:rtl/>
          <w:lang w:eastAsia="de-DE"/>
        </w:rPr>
        <w:t>לֹֽא־אוּכַ֤ל אָנֹכִי֙ לְבַדִּ֔י</w:t>
      </w:r>
      <w:r w:rsidRPr="006E39D1">
        <w:rPr>
          <w:rFonts w:eastAsia="Times New Roman" w:cs="Times New Roman"/>
          <w:rtl/>
          <w:lang w:eastAsia="de-DE"/>
        </w:rPr>
        <w:t xml:space="preserve"> </w:t>
      </w:r>
      <w:r w:rsidRPr="006E39D1">
        <w:rPr>
          <w:rFonts w:eastAsia="Times New Roman" w:cs="Times New Roman"/>
          <w:lang w:eastAsia="de-DE"/>
        </w:rPr>
        <w:t xml:space="preserve">(ich allein kann nicht) mit </w:t>
      </w:r>
      <w:r w:rsidRPr="006E39D1">
        <w:rPr>
          <w:rFonts w:eastAsia="Times New Roman" w:cs="Times New Roman"/>
          <w:b/>
          <w:bCs/>
          <w:rtl/>
          <w:lang w:eastAsia="de-DE"/>
        </w:rPr>
        <w:t>לֹא</w:t>
      </w:r>
      <w:r w:rsidRPr="006E39D1">
        <w:rPr>
          <w:rFonts w:eastAsia="Times New Roman" w:cs="Times New Roman"/>
          <w:rtl/>
          <w:lang w:eastAsia="de-DE"/>
        </w:rPr>
        <w:t xml:space="preserve"> </w:t>
      </w:r>
      <w:r w:rsidRPr="006E39D1">
        <w:rPr>
          <w:rFonts w:eastAsia="Times New Roman" w:cs="Times New Roman"/>
          <w:lang w:eastAsia="de-DE"/>
        </w:rPr>
        <w:t xml:space="preserve">(nicht), </w:t>
      </w:r>
      <w:r w:rsidRPr="006E39D1">
        <w:rPr>
          <w:rFonts w:eastAsia="Times New Roman" w:cs="Times New Roman"/>
          <w:b/>
          <w:bCs/>
          <w:rtl/>
          <w:lang w:eastAsia="de-DE"/>
        </w:rPr>
        <w:t>אוּכַל</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יכל</w:t>
      </w:r>
      <w:r w:rsidRPr="006E39D1">
        <w:rPr>
          <w:rFonts w:eastAsia="Times New Roman" w:cs="Times New Roman"/>
          <w:rtl/>
          <w:lang w:eastAsia="de-DE"/>
        </w:rPr>
        <w:t xml:space="preserve"> </w:t>
      </w:r>
      <w:r w:rsidRPr="006E39D1">
        <w:rPr>
          <w:rFonts w:eastAsia="Times New Roman" w:cs="Times New Roman"/>
          <w:lang w:eastAsia="de-DE"/>
        </w:rPr>
        <w:t xml:space="preserve">(können) im Qal-Imperfekt 1. Person Singular, dem emphatischen Pronomen </w:t>
      </w:r>
      <w:r w:rsidRPr="006E39D1">
        <w:rPr>
          <w:rFonts w:eastAsia="Times New Roman" w:cs="Times New Roman"/>
          <w:b/>
          <w:bCs/>
          <w:rtl/>
          <w:lang w:eastAsia="de-DE"/>
        </w:rPr>
        <w:t>אָנֹכִי</w:t>
      </w:r>
      <w:r w:rsidRPr="006E39D1">
        <w:rPr>
          <w:rFonts w:eastAsia="Times New Roman" w:cs="Times New Roman"/>
          <w:rtl/>
          <w:lang w:eastAsia="de-DE"/>
        </w:rPr>
        <w:t xml:space="preserve"> </w:t>
      </w:r>
      <w:r w:rsidRPr="006E39D1">
        <w:rPr>
          <w:rFonts w:eastAsia="Times New Roman" w:cs="Times New Roman"/>
          <w:lang w:eastAsia="de-DE"/>
        </w:rPr>
        <w:t xml:space="preserve">(ich) und </w:t>
      </w:r>
      <w:r w:rsidRPr="006E39D1">
        <w:rPr>
          <w:rFonts w:eastAsia="Times New Roman" w:cs="Times New Roman"/>
          <w:b/>
          <w:bCs/>
          <w:rtl/>
          <w:lang w:eastAsia="de-DE"/>
        </w:rPr>
        <w:t>לְבַדִּי</w:t>
      </w:r>
      <w:r w:rsidRPr="006E39D1">
        <w:rPr>
          <w:rFonts w:eastAsia="Times New Roman" w:cs="Times New Roman"/>
          <w:rtl/>
          <w:lang w:eastAsia="de-DE"/>
        </w:rPr>
        <w:t xml:space="preserve"> </w:t>
      </w:r>
      <w:r w:rsidRPr="006E39D1">
        <w:rPr>
          <w:rFonts w:eastAsia="Times New Roman" w:cs="Times New Roman"/>
          <w:lang w:eastAsia="de-DE"/>
        </w:rPr>
        <w:t>(allein) zeigt Moses kategorische Unfähigkeitserklärung.</w:t>
      </w:r>
    </w:p>
    <w:p w14:paraId="4A8120C7" w14:textId="17DA516B"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Das Infinitivobjekt </w:t>
      </w:r>
      <w:r w:rsidRPr="006E39D1">
        <w:rPr>
          <w:rFonts w:eastAsia="Times New Roman" w:cs="Times New Roman"/>
          <w:b/>
          <w:bCs/>
          <w:rtl/>
          <w:lang w:eastAsia="de-DE"/>
        </w:rPr>
        <w:t>לָשֵׂ֖את אֶת־כָּל־הָעָ֣ם הַזֶּ֑ה</w:t>
      </w:r>
      <w:r w:rsidRPr="006E39D1">
        <w:rPr>
          <w:rFonts w:eastAsia="Times New Roman" w:cs="Times New Roman"/>
          <w:rtl/>
          <w:lang w:eastAsia="de-DE"/>
        </w:rPr>
        <w:t xml:space="preserve"> </w:t>
      </w:r>
      <w:r w:rsidRPr="006E39D1">
        <w:rPr>
          <w:rFonts w:eastAsia="Times New Roman" w:cs="Times New Roman"/>
          <w:lang w:eastAsia="de-DE"/>
        </w:rPr>
        <w:t xml:space="preserve">(zu tragen dieses ganze Volk) mit </w:t>
      </w:r>
      <w:r w:rsidRPr="006E39D1">
        <w:rPr>
          <w:rFonts w:eastAsia="Times New Roman" w:cs="Times New Roman"/>
          <w:b/>
          <w:bCs/>
          <w:rtl/>
          <w:lang w:eastAsia="de-DE"/>
        </w:rPr>
        <w:t>לָשֵׂאת</w:t>
      </w:r>
      <w:r w:rsidRPr="006E39D1">
        <w:rPr>
          <w:rFonts w:eastAsia="Times New Roman" w:cs="Times New Roman"/>
          <w:rtl/>
          <w:lang w:eastAsia="de-DE"/>
        </w:rPr>
        <w:t xml:space="preserve"> </w:t>
      </w:r>
      <w:r w:rsidRPr="006E39D1">
        <w:rPr>
          <w:rFonts w:eastAsia="Times New Roman" w:cs="Times New Roman"/>
          <w:lang w:eastAsia="de-DE"/>
        </w:rPr>
        <w:t>als Qal-Infinitiv-</w:t>
      </w:r>
      <w:r w:rsidR="00F133EC">
        <w:rPr>
          <w:rFonts w:eastAsia="Times New Roman" w:cs="Times New Roman"/>
          <w:lang w:eastAsia="de-DE"/>
        </w:rPr>
        <w:t>Construct</w:t>
      </w:r>
      <w:r w:rsidRPr="006E39D1">
        <w:rPr>
          <w:rFonts w:eastAsia="Times New Roman" w:cs="Times New Roman"/>
          <w:lang w:eastAsia="de-DE"/>
        </w:rPr>
        <w:t xml:space="preserve"> von </w:t>
      </w:r>
      <w:r w:rsidRPr="006E39D1">
        <w:rPr>
          <w:rFonts w:eastAsia="Times New Roman" w:cs="Times New Roman"/>
          <w:b/>
          <w:bCs/>
          <w:rtl/>
          <w:lang w:eastAsia="de-DE"/>
        </w:rPr>
        <w:t>נשא</w:t>
      </w:r>
      <w:r w:rsidRPr="006E39D1">
        <w:rPr>
          <w:rFonts w:eastAsia="Times New Roman" w:cs="Times New Roman"/>
          <w:rtl/>
          <w:lang w:eastAsia="de-DE"/>
        </w:rPr>
        <w:t xml:space="preserve"> </w:t>
      </w:r>
      <w:r w:rsidRPr="006E39D1">
        <w:rPr>
          <w:rFonts w:eastAsia="Times New Roman" w:cs="Times New Roman"/>
          <w:lang w:eastAsia="de-DE"/>
        </w:rPr>
        <w:t xml:space="preserve">(tragen) und </w:t>
      </w:r>
      <w:r w:rsidRPr="006E39D1">
        <w:rPr>
          <w:rFonts w:eastAsia="Times New Roman" w:cs="Times New Roman"/>
          <w:b/>
          <w:bCs/>
          <w:rtl/>
          <w:lang w:eastAsia="de-DE"/>
        </w:rPr>
        <w:t>אֶת־כָּל־הָעָ֣ם הַזֶּ֑ה</w:t>
      </w:r>
      <w:r w:rsidRPr="006E39D1">
        <w:rPr>
          <w:rFonts w:eastAsia="Times New Roman" w:cs="Times New Roman"/>
          <w:rtl/>
          <w:lang w:eastAsia="de-DE"/>
        </w:rPr>
        <w:t xml:space="preserve"> </w:t>
      </w:r>
      <w:r w:rsidRPr="006E39D1">
        <w:rPr>
          <w:rFonts w:eastAsia="Times New Roman" w:cs="Times New Roman"/>
          <w:lang w:eastAsia="de-DE"/>
        </w:rPr>
        <w:t>(dieses ganze Volk) zeigt das Objekt der Überforderung.</w:t>
      </w:r>
    </w:p>
    <w:p w14:paraId="56D356E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kausale Begründung </w:t>
      </w:r>
      <w:r w:rsidRPr="006E39D1">
        <w:rPr>
          <w:rFonts w:eastAsia="Times New Roman" w:cs="Times New Roman"/>
          <w:b/>
          <w:bCs/>
          <w:rtl/>
          <w:lang w:eastAsia="de-DE"/>
        </w:rPr>
        <w:t>כִּ֥י כָבֵ֖ד מִמֶּֽנִּי</w:t>
      </w:r>
      <w:r w:rsidRPr="006E39D1">
        <w:rPr>
          <w:rFonts w:eastAsia="Times New Roman" w:cs="Times New Roman"/>
          <w:rtl/>
          <w:lang w:eastAsia="de-DE"/>
        </w:rPr>
        <w:t xml:space="preserve"> </w:t>
      </w:r>
      <w:r w:rsidRPr="006E39D1">
        <w:rPr>
          <w:rFonts w:eastAsia="Times New Roman" w:cs="Times New Roman"/>
          <w:lang w:eastAsia="de-DE"/>
        </w:rPr>
        <w:t xml:space="preserve">(denn es ist zu schwer für mich) mit </w:t>
      </w:r>
      <w:r w:rsidRPr="006E39D1">
        <w:rPr>
          <w:rFonts w:eastAsia="Times New Roman" w:cs="Times New Roman"/>
          <w:b/>
          <w:bCs/>
          <w:rtl/>
          <w:lang w:eastAsia="de-DE"/>
        </w:rPr>
        <w:t>כָבֵד</w:t>
      </w:r>
      <w:r w:rsidRPr="006E39D1">
        <w:rPr>
          <w:rFonts w:eastAsia="Times New Roman" w:cs="Times New Roman"/>
          <w:rtl/>
          <w:lang w:eastAsia="de-DE"/>
        </w:rPr>
        <w:t xml:space="preserve"> </w:t>
      </w:r>
      <w:r w:rsidRPr="006E39D1">
        <w:rPr>
          <w:rFonts w:eastAsia="Times New Roman" w:cs="Times New Roman"/>
          <w:lang w:eastAsia="de-DE"/>
        </w:rPr>
        <w:t xml:space="preserve">(schwer) von der Wurzel </w:t>
      </w:r>
      <w:r w:rsidRPr="006E39D1">
        <w:rPr>
          <w:rFonts w:eastAsia="Times New Roman" w:cs="Times New Roman"/>
          <w:b/>
          <w:bCs/>
          <w:rtl/>
          <w:lang w:eastAsia="de-DE"/>
        </w:rPr>
        <w:t>כבד</w:t>
      </w:r>
      <w:r w:rsidRPr="006E39D1">
        <w:rPr>
          <w:rFonts w:eastAsia="Times New Roman" w:cs="Times New Roman"/>
          <w:rtl/>
          <w:lang w:eastAsia="de-DE"/>
        </w:rPr>
        <w:t xml:space="preserve"> </w:t>
      </w:r>
      <w:r w:rsidRPr="006E39D1">
        <w:rPr>
          <w:rFonts w:eastAsia="Times New Roman" w:cs="Times New Roman"/>
          <w:lang w:eastAsia="de-DE"/>
        </w:rPr>
        <w:t xml:space="preserve">(schwer sein) und </w:t>
      </w:r>
      <w:r w:rsidRPr="006E39D1">
        <w:rPr>
          <w:rFonts w:eastAsia="Times New Roman" w:cs="Times New Roman"/>
          <w:b/>
          <w:bCs/>
          <w:rtl/>
          <w:lang w:eastAsia="de-DE"/>
        </w:rPr>
        <w:t>מִמֶּנִּי</w:t>
      </w:r>
      <w:r w:rsidRPr="006E39D1">
        <w:rPr>
          <w:rFonts w:eastAsia="Times New Roman" w:cs="Times New Roman"/>
          <w:rtl/>
          <w:lang w:eastAsia="de-DE"/>
        </w:rPr>
        <w:t xml:space="preserve"> </w:t>
      </w:r>
      <w:r w:rsidRPr="006E39D1">
        <w:rPr>
          <w:rFonts w:eastAsia="Times New Roman" w:cs="Times New Roman"/>
          <w:lang w:eastAsia="de-DE"/>
        </w:rPr>
        <w:t>(für mich/von mir aus) zeigt die persönliche Überlastung.</w:t>
      </w:r>
    </w:p>
    <w:p w14:paraId="04BA736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אוּכַל</w:t>
      </w:r>
      <w:r w:rsidRPr="006E39D1">
        <w:rPr>
          <w:rFonts w:eastAsia="Times New Roman" w:cs="Times New Roman"/>
          <w:rtl/>
          <w:lang w:eastAsia="de-DE"/>
        </w:rPr>
        <w:t xml:space="preserve"> </w:t>
      </w:r>
      <w:r w:rsidRPr="006E39D1">
        <w:rPr>
          <w:rFonts w:eastAsia="Times New Roman" w:cs="Times New Roman"/>
          <w:lang w:eastAsia="de-DE"/>
        </w:rPr>
        <w:t xml:space="preserve">mit δυνήσομαι (ich werde können), </w:t>
      </w:r>
      <w:r w:rsidRPr="006E39D1">
        <w:rPr>
          <w:rFonts w:eastAsia="Times New Roman" w:cs="Times New Roman"/>
          <w:b/>
          <w:bCs/>
          <w:rtl/>
          <w:lang w:eastAsia="de-DE"/>
        </w:rPr>
        <w:t>לְבַדִּי</w:t>
      </w:r>
      <w:r w:rsidRPr="006E39D1">
        <w:rPr>
          <w:rFonts w:eastAsia="Times New Roman" w:cs="Times New Roman"/>
          <w:rtl/>
          <w:lang w:eastAsia="de-DE"/>
        </w:rPr>
        <w:t xml:space="preserve"> </w:t>
      </w:r>
      <w:r w:rsidRPr="006E39D1">
        <w:rPr>
          <w:rFonts w:eastAsia="Times New Roman" w:cs="Times New Roman"/>
          <w:lang w:eastAsia="de-DE"/>
        </w:rPr>
        <w:t xml:space="preserve">mit μόνος (allein) und </w:t>
      </w:r>
      <w:r w:rsidRPr="006E39D1">
        <w:rPr>
          <w:rFonts w:eastAsia="Times New Roman" w:cs="Times New Roman"/>
          <w:b/>
          <w:bCs/>
          <w:rtl/>
          <w:lang w:eastAsia="de-DE"/>
        </w:rPr>
        <w:t>כָבֵד</w:t>
      </w:r>
      <w:r w:rsidRPr="006E39D1">
        <w:rPr>
          <w:rFonts w:eastAsia="Times New Roman" w:cs="Times New Roman"/>
          <w:rtl/>
          <w:lang w:eastAsia="de-DE"/>
        </w:rPr>
        <w:t xml:space="preserve"> </w:t>
      </w:r>
      <w:r w:rsidRPr="006E39D1">
        <w:rPr>
          <w:rFonts w:eastAsia="Times New Roman" w:cs="Times New Roman"/>
          <w:lang w:eastAsia="de-DE"/>
        </w:rPr>
        <w:t>mit βαρύ (schwer).</w:t>
      </w:r>
    </w:p>
    <w:p w14:paraId="7FE9FDD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kategorische Unfähigkeitserklärung mit Objektangabe und kausaler Begründung.</w:t>
      </w:r>
    </w:p>
    <w:p w14:paraId="4EBB657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bringt Moses Überforderung auf den Punkt: die Last der Volksführung übersteigt seine menschlichen Kapazitäten.</w:t>
      </w:r>
    </w:p>
    <w:p w14:paraId="06304998"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11,15</w:t>
      </w:r>
    </w:p>
    <w:p w14:paraId="05840B0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וְאִם־כָּ֣כָה׀ אַתְּ־עֹ֣שֶׂה לִּ֗י הָרְגֵ֤נִי נָא֙ הָרֹ֔ג אִם־מָצָ֥אתִי חֵ֖ן בְּעֵינֶ֑יךָ וְאַל־אֶרְאֶ֖ה בְּרָעָתִֽי׃</w:t>
      </w:r>
    </w:p>
    <w:p w14:paraId="35A72DC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wenn du so mit mir tust, so bringe mich doch um, wenn ich Gnade gefunden habe in deinen Augen, damit ich mein Übel nicht ansehe.</w:t>
      </w:r>
    </w:p>
    <w:p w14:paraId="69952F1F"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78B56F27">
          <v:rect id="_x0000_i1394" style="width:0;height:1.5pt" o:hralign="center" o:hrstd="t" o:hr="t" fillcolor="#a0a0a0" stroked="f"/>
        </w:pict>
      </w:r>
    </w:p>
    <w:p w14:paraId="1B3D98B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konditionelle Protasis </w:t>
      </w:r>
      <w:r w:rsidRPr="006E39D1">
        <w:rPr>
          <w:rFonts w:eastAsia="Times New Roman" w:cs="Times New Roman"/>
          <w:b/>
          <w:bCs/>
          <w:rtl/>
          <w:lang w:eastAsia="de-DE"/>
        </w:rPr>
        <w:t>וְאִם־כָּ֣כָה׀ אַתְּ־עֹ֣שֶׂה לִּ֗י</w:t>
      </w:r>
      <w:r w:rsidRPr="006E39D1">
        <w:rPr>
          <w:rFonts w:eastAsia="Times New Roman" w:cs="Times New Roman"/>
          <w:rtl/>
          <w:lang w:eastAsia="de-DE"/>
        </w:rPr>
        <w:t xml:space="preserve"> </w:t>
      </w:r>
      <w:r w:rsidRPr="006E39D1">
        <w:rPr>
          <w:rFonts w:eastAsia="Times New Roman" w:cs="Times New Roman"/>
          <w:lang w:eastAsia="de-DE"/>
        </w:rPr>
        <w:t xml:space="preserve">(und wenn du so mit mir tust) mit </w:t>
      </w:r>
      <w:r w:rsidRPr="006E39D1">
        <w:rPr>
          <w:rFonts w:eastAsia="Times New Roman" w:cs="Times New Roman"/>
          <w:b/>
          <w:bCs/>
          <w:rtl/>
          <w:lang w:eastAsia="de-DE"/>
        </w:rPr>
        <w:t>אִם</w:t>
      </w:r>
      <w:r w:rsidRPr="006E39D1">
        <w:rPr>
          <w:rFonts w:eastAsia="Times New Roman" w:cs="Times New Roman"/>
          <w:rtl/>
          <w:lang w:eastAsia="de-DE"/>
        </w:rPr>
        <w:t xml:space="preserve"> </w:t>
      </w:r>
      <w:r w:rsidRPr="006E39D1">
        <w:rPr>
          <w:rFonts w:eastAsia="Times New Roman" w:cs="Times New Roman"/>
          <w:lang w:eastAsia="de-DE"/>
        </w:rPr>
        <w:t xml:space="preserve">(wenn), </w:t>
      </w:r>
      <w:r w:rsidRPr="006E39D1">
        <w:rPr>
          <w:rFonts w:eastAsia="Times New Roman" w:cs="Times New Roman"/>
          <w:b/>
          <w:bCs/>
          <w:rtl/>
          <w:lang w:eastAsia="de-DE"/>
        </w:rPr>
        <w:t>כָּכָה</w:t>
      </w:r>
      <w:r w:rsidRPr="006E39D1">
        <w:rPr>
          <w:rFonts w:eastAsia="Times New Roman" w:cs="Times New Roman"/>
          <w:rtl/>
          <w:lang w:eastAsia="de-DE"/>
        </w:rPr>
        <w:t xml:space="preserve"> </w:t>
      </w:r>
      <w:r w:rsidRPr="006E39D1">
        <w:rPr>
          <w:rFonts w:eastAsia="Times New Roman" w:cs="Times New Roman"/>
          <w:lang w:eastAsia="de-DE"/>
        </w:rPr>
        <w:t xml:space="preserve">(so/auf diese Weise), dem emphatischen Pronomen </w:t>
      </w:r>
      <w:r w:rsidRPr="006E39D1">
        <w:rPr>
          <w:rFonts w:eastAsia="Times New Roman" w:cs="Times New Roman"/>
          <w:b/>
          <w:bCs/>
          <w:rtl/>
          <w:lang w:eastAsia="de-DE"/>
        </w:rPr>
        <w:t>אַתְּ</w:t>
      </w:r>
      <w:r w:rsidRPr="006E39D1">
        <w:rPr>
          <w:rFonts w:eastAsia="Times New Roman" w:cs="Times New Roman"/>
          <w:rtl/>
          <w:lang w:eastAsia="de-DE"/>
        </w:rPr>
        <w:t xml:space="preserve"> </w:t>
      </w:r>
      <w:r w:rsidRPr="006E39D1">
        <w:rPr>
          <w:rFonts w:eastAsia="Times New Roman" w:cs="Times New Roman"/>
          <w:lang w:eastAsia="de-DE"/>
        </w:rPr>
        <w:t xml:space="preserve">(du) und </w:t>
      </w:r>
      <w:r w:rsidRPr="006E39D1">
        <w:rPr>
          <w:rFonts w:eastAsia="Times New Roman" w:cs="Times New Roman"/>
          <w:b/>
          <w:bCs/>
          <w:rtl/>
          <w:lang w:eastAsia="de-DE"/>
        </w:rPr>
        <w:t>עֹשֶׂה לִּי</w:t>
      </w:r>
      <w:r w:rsidRPr="006E39D1">
        <w:rPr>
          <w:rFonts w:eastAsia="Times New Roman" w:cs="Times New Roman"/>
          <w:rtl/>
          <w:lang w:eastAsia="de-DE"/>
        </w:rPr>
        <w:t xml:space="preserve"> </w:t>
      </w:r>
      <w:r w:rsidRPr="006E39D1">
        <w:rPr>
          <w:rFonts w:eastAsia="Times New Roman" w:cs="Times New Roman"/>
          <w:lang w:eastAsia="de-DE"/>
        </w:rPr>
        <w:t>(mit mir tust) zeigt Moses Verzweiflung über seine Situation.</w:t>
      </w:r>
    </w:p>
    <w:p w14:paraId="2517B5B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drastische Bitte </w:t>
      </w:r>
      <w:r w:rsidRPr="006E39D1">
        <w:rPr>
          <w:rFonts w:eastAsia="Times New Roman" w:cs="Times New Roman"/>
          <w:b/>
          <w:bCs/>
          <w:rtl/>
          <w:lang w:eastAsia="de-DE"/>
        </w:rPr>
        <w:t>הָרְגֵ֤נִי נָא֙ הָרֹ֔ג</w:t>
      </w:r>
      <w:r w:rsidRPr="006E39D1">
        <w:rPr>
          <w:rFonts w:eastAsia="Times New Roman" w:cs="Times New Roman"/>
          <w:rtl/>
          <w:lang w:eastAsia="de-DE"/>
        </w:rPr>
        <w:t xml:space="preserve"> </w:t>
      </w:r>
      <w:r w:rsidRPr="006E39D1">
        <w:rPr>
          <w:rFonts w:eastAsia="Times New Roman" w:cs="Times New Roman"/>
          <w:lang w:eastAsia="de-DE"/>
        </w:rPr>
        <w:t xml:space="preserve">(töte mich doch, töte) mit </w:t>
      </w:r>
      <w:r w:rsidRPr="006E39D1">
        <w:rPr>
          <w:rFonts w:eastAsia="Times New Roman" w:cs="Times New Roman"/>
          <w:b/>
          <w:bCs/>
          <w:rtl/>
          <w:lang w:eastAsia="de-DE"/>
        </w:rPr>
        <w:t>הָרְגֵנִי</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הרג</w:t>
      </w:r>
      <w:r w:rsidRPr="006E39D1">
        <w:rPr>
          <w:rFonts w:eastAsia="Times New Roman" w:cs="Times New Roman"/>
          <w:rtl/>
          <w:lang w:eastAsia="de-DE"/>
        </w:rPr>
        <w:t xml:space="preserve"> </w:t>
      </w:r>
      <w:r w:rsidRPr="006E39D1">
        <w:rPr>
          <w:rFonts w:eastAsia="Times New Roman" w:cs="Times New Roman"/>
          <w:lang w:eastAsia="de-DE"/>
        </w:rPr>
        <w:t xml:space="preserve">(töten) im Qal-Imperativ mit Objektsuffix 1. Person Singular, der Bittpartikel </w:t>
      </w:r>
      <w:r w:rsidRPr="006E39D1">
        <w:rPr>
          <w:rFonts w:eastAsia="Times New Roman" w:cs="Times New Roman"/>
          <w:b/>
          <w:bCs/>
          <w:rtl/>
          <w:lang w:eastAsia="de-DE"/>
        </w:rPr>
        <w:t>נָא</w:t>
      </w:r>
      <w:r w:rsidRPr="006E39D1">
        <w:rPr>
          <w:rFonts w:eastAsia="Times New Roman" w:cs="Times New Roman"/>
          <w:rtl/>
          <w:lang w:eastAsia="de-DE"/>
        </w:rPr>
        <w:t xml:space="preserve"> </w:t>
      </w:r>
      <w:r w:rsidRPr="006E39D1">
        <w:rPr>
          <w:rFonts w:eastAsia="Times New Roman" w:cs="Times New Roman"/>
          <w:lang w:eastAsia="de-DE"/>
        </w:rPr>
        <w:t xml:space="preserve">(doch) und dem absoluten Infinitiv </w:t>
      </w:r>
      <w:r w:rsidRPr="006E39D1">
        <w:rPr>
          <w:rFonts w:eastAsia="Times New Roman" w:cs="Times New Roman"/>
          <w:b/>
          <w:bCs/>
          <w:rtl/>
          <w:lang w:eastAsia="de-DE"/>
        </w:rPr>
        <w:t>הָרֹג</w:t>
      </w:r>
      <w:r w:rsidRPr="006E39D1">
        <w:rPr>
          <w:rFonts w:eastAsia="Times New Roman" w:cs="Times New Roman"/>
          <w:rtl/>
          <w:lang w:eastAsia="de-DE"/>
        </w:rPr>
        <w:t xml:space="preserve"> </w:t>
      </w:r>
      <w:r w:rsidRPr="006E39D1">
        <w:rPr>
          <w:rFonts w:eastAsia="Times New Roman" w:cs="Times New Roman"/>
          <w:lang w:eastAsia="de-DE"/>
        </w:rPr>
        <w:t>zur Verstärkung zeigt extreme Verzweiflung.</w:t>
      </w:r>
    </w:p>
    <w:p w14:paraId="19A3DBA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konditionelle Einschränkung </w:t>
      </w:r>
      <w:r w:rsidRPr="006E39D1">
        <w:rPr>
          <w:rFonts w:eastAsia="Times New Roman" w:cs="Times New Roman"/>
          <w:b/>
          <w:bCs/>
          <w:rtl/>
          <w:lang w:eastAsia="de-DE"/>
        </w:rPr>
        <w:t>אִם־מָצָ֥אתִי חֵ֖ן בְּעֵינֶ֑יךָ</w:t>
      </w:r>
      <w:r w:rsidRPr="006E39D1">
        <w:rPr>
          <w:rFonts w:eastAsia="Times New Roman" w:cs="Times New Roman"/>
          <w:rtl/>
          <w:lang w:eastAsia="de-DE"/>
        </w:rPr>
        <w:t xml:space="preserve"> </w:t>
      </w:r>
      <w:r w:rsidRPr="006E39D1">
        <w:rPr>
          <w:rFonts w:eastAsia="Times New Roman" w:cs="Times New Roman"/>
          <w:lang w:eastAsia="de-DE"/>
        </w:rPr>
        <w:t xml:space="preserve">(wenn ich Gnade gefunden habe in deinen Augen) mit </w:t>
      </w:r>
      <w:r w:rsidRPr="006E39D1">
        <w:rPr>
          <w:rFonts w:eastAsia="Times New Roman" w:cs="Times New Roman"/>
          <w:b/>
          <w:bCs/>
          <w:rtl/>
          <w:lang w:eastAsia="de-DE"/>
        </w:rPr>
        <w:t>מָצָאתִי</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מצא</w:t>
      </w:r>
      <w:r w:rsidRPr="006E39D1">
        <w:rPr>
          <w:rFonts w:eastAsia="Times New Roman" w:cs="Times New Roman"/>
          <w:rtl/>
          <w:lang w:eastAsia="de-DE"/>
        </w:rPr>
        <w:t xml:space="preserve"> </w:t>
      </w:r>
      <w:r w:rsidRPr="006E39D1">
        <w:rPr>
          <w:rFonts w:eastAsia="Times New Roman" w:cs="Times New Roman"/>
          <w:lang w:eastAsia="de-DE"/>
        </w:rPr>
        <w:t xml:space="preserve">(finden) und der idiomatischen Wendung </w:t>
      </w:r>
      <w:r w:rsidRPr="006E39D1">
        <w:rPr>
          <w:rFonts w:eastAsia="Times New Roman" w:cs="Times New Roman"/>
          <w:b/>
          <w:bCs/>
          <w:rtl/>
          <w:lang w:eastAsia="de-DE"/>
        </w:rPr>
        <w:t>חֵן בְּעֵינֶיךָ</w:t>
      </w:r>
      <w:r w:rsidRPr="006E39D1">
        <w:rPr>
          <w:rFonts w:eastAsia="Times New Roman" w:cs="Times New Roman"/>
          <w:rtl/>
          <w:lang w:eastAsia="de-DE"/>
        </w:rPr>
        <w:t xml:space="preserve"> </w:t>
      </w:r>
      <w:r w:rsidRPr="006E39D1">
        <w:rPr>
          <w:rFonts w:eastAsia="Times New Roman" w:cs="Times New Roman"/>
          <w:lang w:eastAsia="de-DE"/>
        </w:rPr>
        <w:t>(Gnade in deinen Augen) zeigt Moses höfliche Formulierung selbst in der Verzweiflung.</w:t>
      </w:r>
    </w:p>
    <w:p w14:paraId="3E2EF7F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Zweckangabe </w:t>
      </w:r>
      <w:r w:rsidRPr="006E39D1">
        <w:rPr>
          <w:rFonts w:eastAsia="Times New Roman" w:cs="Times New Roman"/>
          <w:b/>
          <w:bCs/>
          <w:rtl/>
          <w:lang w:eastAsia="de-DE"/>
        </w:rPr>
        <w:t>וְאַל־אֶרְאֶ֖ה בְּרָעָתִֽי</w:t>
      </w:r>
      <w:r w:rsidRPr="006E39D1">
        <w:rPr>
          <w:rFonts w:eastAsia="Times New Roman" w:cs="Times New Roman"/>
          <w:rtl/>
          <w:lang w:eastAsia="de-DE"/>
        </w:rPr>
        <w:t xml:space="preserve"> </w:t>
      </w:r>
      <w:r w:rsidRPr="006E39D1">
        <w:rPr>
          <w:rFonts w:eastAsia="Times New Roman" w:cs="Times New Roman"/>
          <w:lang w:eastAsia="de-DE"/>
        </w:rPr>
        <w:t xml:space="preserve">(damit ich mein Übel nicht ansehe) mit </w:t>
      </w:r>
      <w:r w:rsidRPr="006E39D1">
        <w:rPr>
          <w:rFonts w:eastAsia="Times New Roman" w:cs="Times New Roman"/>
          <w:b/>
          <w:bCs/>
          <w:rtl/>
          <w:lang w:eastAsia="de-DE"/>
        </w:rPr>
        <w:t>אַל</w:t>
      </w:r>
      <w:r w:rsidRPr="006E39D1">
        <w:rPr>
          <w:rFonts w:eastAsia="Times New Roman" w:cs="Times New Roman"/>
          <w:rtl/>
          <w:lang w:eastAsia="de-DE"/>
        </w:rPr>
        <w:t xml:space="preserve"> </w:t>
      </w:r>
      <w:r w:rsidRPr="006E39D1">
        <w:rPr>
          <w:rFonts w:eastAsia="Times New Roman" w:cs="Times New Roman"/>
          <w:lang w:eastAsia="de-DE"/>
        </w:rPr>
        <w:t xml:space="preserve">als negativer Zweckpartikel, </w:t>
      </w:r>
      <w:r w:rsidRPr="006E39D1">
        <w:rPr>
          <w:rFonts w:eastAsia="Times New Roman" w:cs="Times New Roman"/>
          <w:b/>
          <w:bCs/>
          <w:rtl/>
          <w:lang w:eastAsia="de-DE"/>
        </w:rPr>
        <w:t>אֶרְאֶה</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ראה</w:t>
      </w:r>
      <w:r w:rsidRPr="006E39D1">
        <w:rPr>
          <w:rFonts w:eastAsia="Times New Roman" w:cs="Times New Roman"/>
          <w:rtl/>
          <w:lang w:eastAsia="de-DE"/>
        </w:rPr>
        <w:t xml:space="preserve"> </w:t>
      </w:r>
      <w:r w:rsidRPr="006E39D1">
        <w:rPr>
          <w:rFonts w:eastAsia="Times New Roman" w:cs="Times New Roman"/>
          <w:lang w:eastAsia="de-DE"/>
        </w:rPr>
        <w:t xml:space="preserve">(sehen) und </w:t>
      </w:r>
      <w:r w:rsidRPr="006E39D1">
        <w:rPr>
          <w:rFonts w:eastAsia="Times New Roman" w:cs="Times New Roman"/>
          <w:b/>
          <w:bCs/>
          <w:rtl/>
          <w:lang w:eastAsia="de-DE"/>
        </w:rPr>
        <w:t>בְּרָעָתִי</w:t>
      </w:r>
      <w:r w:rsidRPr="006E39D1">
        <w:rPr>
          <w:rFonts w:eastAsia="Times New Roman" w:cs="Times New Roman"/>
          <w:rtl/>
          <w:lang w:eastAsia="de-DE"/>
        </w:rPr>
        <w:t xml:space="preserve"> </w:t>
      </w:r>
      <w:r w:rsidRPr="006E39D1">
        <w:rPr>
          <w:rFonts w:eastAsia="Times New Roman" w:cs="Times New Roman"/>
          <w:lang w:eastAsia="de-DE"/>
        </w:rPr>
        <w:t>(mein Übel) zeigt Moses Wunsch, dem kommenden Elend zu entgehen.</w:t>
      </w:r>
    </w:p>
    <w:p w14:paraId="2AEB146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Die LXX</w:t>
      </w:r>
      <w:r w:rsidRPr="006E39D1">
        <w:rPr>
          <w:rFonts w:eastAsia="Times New Roman" w:cs="Times New Roman"/>
          <w:lang w:eastAsia="de-DE"/>
        </w:rPr>
        <w:t xml:space="preserve"> übersetzt </w:t>
      </w:r>
      <w:r w:rsidRPr="006E39D1">
        <w:rPr>
          <w:rFonts w:eastAsia="Times New Roman" w:cs="Times New Roman"/>
          <w:b/>
          <w:bCs/>
          <w:rtl/>
          <w:lang w:eastAsia="de-DE"/>
        </w:rPr>
        <w:t>הָרְגֵנִי נָא הָרֹג</w:t>
      </w:r>
      <w:r w:rsidRPr="006E39D1">
        <w:rPr>
          <w:rFonts w:eastAsia="Times New Roman" w:cs="Times New Roman"/>
          <w:rtl/>
          <w:lang w:eastAsia="de-DE"/>
        </w:rPr>
        <w:t xml:space="preserve"> </w:t>
      </w:r>
      <w:r w:rsidRPr="006E39D1">
        <w:rPr>
          <w:rFonts w:eastAsia="Times New Roman" w:cs="Times New Roman"/>
          <w:lang w:eastAsia="de-DE"/>
        </w:rPr>
        <w:t xml:space="preserve">mit ἀπόκτεινόν με ἀναιρέσει (töte mich mit Tötung), </w:t>
      </w:r>
      <w:r w:rsidRPr="006E39D1">
        <w:rPr>
          <w:rFonts w:eastAsia="Times New Roman" w:cs="Times New Roman"/>
          <w:b/>
          <w:bCs/>
          <w:rtl/>
          <w:lang w:eastAsia="de-DE"/>
        </w:rPr>
        <w:t>חֵן בְּעֵינֶיךָ</w:t>
      </w:r>
      <w:r w:rsidRPr="006E39D1">
        <w:rPr>
          <w:rFonts w:eastAsia="Times New Roman" w:cs="Times New Roman"/>
          <w:rtl/>
          <w:lang w:eastAsia="de-DE"/>
        </w:rPr>
        <w:t xml:space="preserve"> </w:t>
      </w:r>
      <w:r w:rsidRPr="006E39D1">
        <w:rPr>
          <w:rFonts w:eastAsia="Times New Roman" w:cs="Times New Roman"/>
          <w:lang w:eastAsia="de-DE"/>
        </w:rPr>
        <w:t xml:space="preserve">mit χάρις παρὰ σοί (Gnade bei dir) und </w:t>
      </w:r>
      <w:r w:rsidRPr="006E39D1">
        <w:rPr>
          <w:rFonts w:eastAsia="Times New Roman" w:cs="Times New Roman"/>
          <w:b/>
          <w:bCs/>
          <w:rtl/>
          <w:lang w:eastAsia="de-DE"/>
        </w:rPr>
        <w:t>בְּרָעָתִי</w:t>
      </w:r>
      <w:r w:rsidRPr="006E39D1">
        <w:rPr>
          <w:rFonts w:eastAsia="Times New Roman" w:cs="Times New Roman"/>
          <w:rtl/>
          <w:lang w:eastAsia="de-DE"/>
        </w:rPr>
        <w:t xml:space="preserve"> </w:t>
      </w:r>
      <w:r w:rsidRPr="006E39D1">
        <w:rPr>
          <w:rFonts w:eastAsia="Times New Roman" w:cs="Times New Roman"/>
          <w:lang w:eastAsia="de-DE"/>
        </w:rPr>
        <w:t>mit τὴν κάκωσίν μου (meine Misshandlung).</w:t>
      </w:r>
    </w:p>
    <w:p w14:paraId="177A4ED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konditionelle Verzweiflung, drastische Bitte mit Verstärkung, höfliche Einschränkung und negative Zweckangabe.</w:t>
      </w:r>
    </w:p>
    <w:p w14:paraId="4A2F7A6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den Höhepunkt von Moses Verzweiflung, der lieber sterben möchte, als weiterhin die unerträgliche Last der Volksführung zu tragen.</w:t>
      </w:r>
    </w:p>
    <w:p w14:paraId="1A76A0C6"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11,16</w:t>
      </w:r>
    </w:p>
    <w:p w14:paraId="540294F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וַיֹּ֨אמֶר יְהוָ֜ה אֶל־מֹשֶׁ֗ה אֶסְפָה־לִּ֞י שִׁבְעִ֣ים אִישׁ֮ מִזִּקְנֵ֣י יִשְׂרָאֵל֒ אֲשֶׁ֣ר יָדַ֔עְתָּ כִּי־הֵ֛ם זִקְנֵ֥י הָעָ֖ם וְשֹׁטְרָ֑יו וְלָקַחְתָּ֤ אֹתָם֙ אֶל־אֹ֣הֶל מוֹעֵ֔ד וְהִֽתְיַצְּב֥וּ שָׁ֖ם עִמָּֽךְ׃</w:t>
      </w:r>
    </w:p>
    <w:p w14:paraId="021A653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der Ewige sprach zu Mosche: Versammle mir 70 Männer aus den Ältesten Jisra'els, von denen du weißt, dass sie die Ältesten des Volkes und seine Vorsteher sind, und führe sie zu dem Zelt der Begegnung, dass sie sich dort mit dir hinstellen.</w:t>
      </w:r>
    </w:p>
    <w:p w14:paraId="49A97E0A"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63762AB2">
          <v:rect id="_x0000_i1395" style="width:0;height:1.5pt" o:hralign="center" o:hrstd="t" o:hr="t" fillcolor="#a0a0a0" stroked="f"/>
        </w:pict>
      </w:r>
    </w:p>
    <w:p w14:paraId="0655330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 יְהוָ֜ה אֶל־מֹשֶׁ֗ה</w:t>
      </w:r>
      <w:r w:rsidRPr="006E39D1">
        <w:rPr>
          <w:rFonts w:eastAsia="Times New Roman" w:cs="Times New Roman"/>
          <w:rtl/>
          <w:lang w:eastAsia="de-DE"/>
        </w:rPr>
        <w:t xml:space="preserve"> </w:t>
      </w:r>
      <w:r w:rsidRPr="006E39D1">
        <w:rPr>
          <w:rFonts w:eastAsia="Times New Roman" w:cs="Times New Roman"/>
          <w:lang w:eastAsia="de-DE"/>
        </w:rPr>
        <w:t xml:space="preserve">(und der Ewige sprach zu Mose) leitet die göttliche Antwort auf Moses Verzweiflung ein. Der Imperativ </w:t>
      </w:r>
      <w:r w:rsidRPr="006E39D1">
        <w:rPr>
          <w:rFonts w:eastAsia="Times New Roman" w:cs="Times New Roman"/>
          <w:b/>
          <w:bCs/>
          <w:rtl/>
          <w:lang w:eastAsia="de-DE"/>
        </w:rPr>
        <w:t>אֶסְפָה־לִּ֞י שִׁבְעִ֣ים אִישׁ֮</w:t>
      </w:r>
      <w:r w:rsidRPr="006E39D1">
        <w:rPr>
          <w:rFonts w:eastAsia="Times New Roman" w:cs="Times New Roman"/>
          <w:rtl/>
          <w:lang w:eastAsia="de-DE"/>
        </w:rPr>
        <w:t xml:space="preserve"> </w:t>
      </w:r>
      <w:r w:rsidRPr="006E39D1">
        <w:rPr>
          <w:rFonts w:eastAsia="Times New Roman" w:cs="Times New Roman"/>
          <w:lang w:eastAsia="de-DE"/>
        </w:rPr>
        <w:t xml:space="preserve">(versammle mir 70 Männer) mit </w:t>
      </w:r>
      <w:r w:rsidRPr="006E39D1">
        <w:rPr>
          <w:rFonts w:eastAsia="Times New Roman" w:cs="Times New Roman"/>
          <w:b/>
          <w:bCs/>
          <w:rtl/>
          <w:lang w:eastAsia="de-DE"/>
        </w:rPr>
        <w:t>אֶסְפָה</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אסף</w:t>
      </w:r>
      <w:r w:rsidRPr="006E39D1">
        <w:rPr>
          <w:rFonts w:eastAsia="Times New Roman" w:cs="Times New Roman"/>
          <w:rtl/>
          <w:lang w:eastAsia="de-DE"/>
        </w:rPr>
        <w:t xml:space="preserve"> </w:t>
      </w:r>
      <w:r w:rsidRPr="006E39D1">
        <w:rPr>
          <w:rFonts w:eastAsia="Times New Roman" w:cs="Times New Roman"/>
          <w:lang w:eastAsia="de-DE"/>
        </w:rPr>
        <w:t xml:space="preserve">(sammeln/versammeln) im Qal-Imperativ und der ethischen Dativ </w:t>
      </w:r>
      <w:r w:rsidRPr="006E39D1">
        <w:rPr>
          <w:rFonts w:eastAsia="Times New Roman" w:cs="Times New Roman"/>
          <w:b/>
          <w:bCs/>
          <w:rtl/>
          <w:lang w:eastAsia="de-DE"/>
        </w:rPr>
        <w:t>לִּי</w:t>
      </w:r>
      <w:r w:rsidRPr="006E39D1">
        <w:rPr>
          <w:rFonts w:eastAsia="Times New Roman" w:cs="Times New Roman"/>
          <w:rtl/>
          <w:lang w:eastAsia="de-DE"/>
        </w:rPr>
        <w:t xml:space="preserve"> </w:t>
      </w:r>
      <w:r w:rsidRPr="006E39D1">
        <w:rPr>
          <w:rFonts w:eastAsia="Times New Roman" w:cs="Times New Roman"/>
          <w:lang w:eastAsia="de-DE"/>
        </w:rPr>
        <w:t>(für mich) zeigt göttliche Anweisung zur Delegation.</w:t>
      </w:r>
    </w:p>
    <w:p w14:paraId="0D938BE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Spezifikation </w:t>
      </w:r>
      <w:r w:rsidRPr="006E39D1">
        <w:rPr>
          <w:rFonts w:eastAsia="Times New Roman" w:cs="Times New Roman"/>
          <w:b/>
          <w:bCs/>
          <w:rtl/>
          <w:lang w:eastAsia="de-DE"/>
        </w:rPr>
        <w:t>מִזִּקְנֵ֣י יִשְׂרָאֵל֒ אֲשֶׁ֣ר יָדַ֔עְתָּ</w:t>
      </w:r>
      <w:r w:rsidRPr="006E39D1">
        <w:rPr>
          <w:rFonts w:eastAsia="Times New Roman" w:cs="Times New Roman"/>
          <w:rtl/>
          <w:lang w:eastAsia="de-DE"/>
        </w:rPr>
        <w:t xml:space="preserve"> </w:t>
      </w:r>
      <w:r w:rsidRPr="006E39D1">
        <w:rPr>
          <w:rFonts w:eastAsia="Times New Roman" w:cs="Times New Roman"/>
          <w:lang w:eastAsia="de-DE"/>
        </w:rPr>
        <w:t xml:space="preserve">(aus den Ältesten Israels, die du kennst) mit </w:t>
      </w:r>
      <w:r w:rsidRPr="006E39D1">
        <w:rPr>
          <w:rFonts w:eastAsia="Times New Roman" w:cs="Times New Roman"/>
          <w:b/>
          <w:bCs/>
          <w:rtl/>
          <w:lang w:eastAsia="de-DE"/>
        </w:rPr>
        <w:t>מִזִּקְנֵי יִשְׂרָאֵל</w:t>
      </w:r>
      <w:r w:rsidRPr="006E39D1">
        <w:rPr>
          <w:rFonts w:eastAsia="Times New Roman" w:cs="Times New Roman"/>
          <w:rtl/>
          <w:lang w:eastAsia="de-DE"/>
        </w:rPr>
        <w:t xml:space="preserve"> </w:t>
      </w:r>
      <w:r w:rsidRPr="006E39D1">
        <w:rPr>
          <w:rFonts w:eastAsia="Times New Roman" w:cs="Times New Roman"/>
          <w:lang w:eastAsia="de-DE"/>
        </w:rPr>
        <w:t xml:space="preserve">(aus den Ältesten Israels) und </w:t>
      </w:r>
      <w:r w:rsidRPr="006E39D1">
        <w:rPr>
          <w:rFonts w:eastAsia="Times New Roman" w:cs="Times New Roman"/>
          <w:b/>
          <w:bCs/>
          <w:rtl/>
          <w:lang w:eastAsia="de-DE"/>
        </w:rPr>
        <w:t>אֲשֶׁ֣ר יָדַ֔עְתָּ</w:t>
      </w:r>
      <w:r w:rsidRPr="006E39D1">
        <w:rPr>
          <w:rFonts w:eastAsia="Times New Roman" w:cs="Times New Roman"/>
          <w:rtl/>
          <w:lang w:eastAsia="de-DE"/>
        </w:rPr>
        <w:t xml:space="preserve"> </w:t>
      </w:r>
      <w:r w:rsidRPr="006E39D1">
        <w:rPr>
          <w:rFonts w:eastAsia="Times New Roman" w:cs="Times New Roman"/>
          <w:lang w:eastAsia="de-DE"/>
        </w:rPr>
        <w:t>(die du kennst) zeigt Moses persönliche Kenntnis und Auswahl der Kandidaten.</w:t>
      </w:r>
    </w:p>
    <w:p w14:paraId="706A05A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doppelte Qualifikation </w:t>
      </w:r>
      <w:r w:rsidRPr="006E39D1">
        <w:rPr>
          <w:rFonts w:eastAsia="Times New Roman" w:cs="Times New Roman"/>
          <w:b/>
          <w:bCs/>
          <w:rtl/>
          <w:lang w:eastAsia="de-DE"/>
        </w:rPr>
        <w:t>כִּי־הֵ֛ם זִקְנֵ֥י הָעָ֖ם וְשֹׁטְרָ֑יו</w:t>
      </w:r>
      <w:r w:rsidRPr="006E39D1">
        <w:rPr>
          <w:rFonts w:eastAsia="Times New Roman" w:cs="Times New Roman"/>
          <w:rtl/>
          <w:lang w:eastAsia="de-DE"/>
        </w:rPr>
        <w:t xml:space="preserve"> </w:t>
      </w:r>
      <w:r w:rsidRPr="006E39D1">
        <w:rPr>
          <w:rFonts w:eastAsia="Times New Roman" w:cs="Times New Roman"/>
          <w:lang w:eastAsia="de-DE"/>
        </w:rPr>
        <w:t xml:space="preserve">(dass sie die Ältesten des Volkes und seine Vorsteher sind) mit </w:t>
      </w:r>
      <w:r w:rsidRPr="006E39D1">
        <w:rPr>
          <w:rFonts w:eastAsia="Times New Roman" w:cs="Times New Roman"/>
          <w:b/>
          <w:bCs/>
          <w:rtl/>
          <w:lang w:eastAsia="de-DE"/>
        </w:rPr>
        <w:t>זִקְנֵי הָעָם</w:t>
      </w:r>
      <w:r w:rsidRPr="006E39D1">
        <w:rPr>
          <w:rFonts w:eastAsia="Times New Roman" w:cs="Times New Roman"/>
          <w:rtl/>
          <w:lang w:eastAsia="de-DE"/>
        </w:rPr>
        <w:t xml:space="preserve"> </w:t>
      </w:r>
      <w:r w:rsidRPr="006E39D1">
        <w:rPr>
          <w:rFonts w:eastAsia="Times New Roman" w:cs="Times New Roman"/>
          <w:lang w:eastAsia="de-DE"/>
        </w:rPr>
        <w:t xml:space="preserve">(Älteste des Volkes) und </w:t>
      </w:r>
      <w:r w:rsidRPr="006E39D1">
        <w:rPr>
          <w:rFonts w:eastAsia="Times New Roman" w:cs="Times New Roman"/>
          <w:b/>
          <w:bCs/>
          <w:rtl/>
          <w:lang w:eastAsia="de-DE"/>
        </w:rPr>
        <w:t>שֹׁטְרָיו</w:t>
      </w:r>
      <w:r w:rsidRPr="006E39D1">
        <w:rPr>
          <w:rFonts w:eastAsia="Times New Roman" w:cs="Times New Roman"/>
          <w:rtl/>
          <w:lang w:eastAsia="de-DE"/>
        </w:rPr>
        <w:t xml:space="preserve"> </w:t>
      </w:r>
      <w:r w:rsidRPr="006E39D1">
        <w:rPr>
          <w:rFonts w:eastAsia="Times New Roman" w:cs="Times New Roman"/>
          <w:lang w:eastAsia="de-DE"/>
        </w:rPr>
        <w:t>(seine Vorsteher) zeigt die erforderlichen Qualifikationen: Alter/Weisheit und administrative Erfahrung.</w:t>
      </w:r>
    </w:p>
    <w:p w14:paraId="2E67225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Anweisung </w:t>
      </w:r>
      <w:r w:rsidRPr="006E39D1">
        <w:rPr>
          <w:rFonts w:eastAsia="Times New Roman" w:cs="Times New Roman"/>
          <w:b/>
          <w:bCs/>
          <w:rtl/>
          <w:lang w:eastAsia="de-DE"/>
        </w:rPr>
        <w:t>וְלָקַחְתָּ֤ אֹתָם֙ אֶל־אֹ֣הֶל מוֹעֵ֔ד וְהִֽתְיַצְּב֥וּ שָׁ֖ם עִמָּֽךְ</w:t>
      </w:r>
      <w:r w:rsidRPr="006E39D1">
        <w:rPr>
          <w:rFonts w:eastAsia="Times New Roman" w:cs="Times New Roman"/>
          <w:rtl/>
          <w:lang w:eastAsia="de-DE"/>
        </w:rPr>
        <w:t xml:space="preserve"> </w:t>
      </w:r>
      <w:r w:rsidRPr="006E39D1">
        <w:rPr>
          <w:rFonts w:eastAsia="Times New Roman" w:cs="Times New Roman"/>
          <w:lang w:eastAsia="de-DE"/>
        </w:rPr>
        <w:t xml:space="preserve">(und du sollst sie nehmen zum Zelt der Begegnung, und sie sollen sich dort mit dir hinstellen) mit </w:t>
      </w:r>
      <w:r w:rsidRPr="006E39D1">
        <w:rPr>
          <w:rFonts w:eastAsia="Times New Roman" w:cs="Times New Roman"/>
          <w:b/>
          <w:bCs/>
          <w:rtl/>
          <w:lang w:eastAsia="de-DE"/>
        </w:rPr>
        <w:t>לָקַחְתָּ</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לקח</w:t>
      </w:r>
      <w:r w:rsidRPr="006E39D1">
        <w:rPr>
          <w:rFonts w:eastAsia="Times New Roman" w:cs="Times New Roman"/>
          <w:rtl/>
          <w:lang w:eastAsia="de-DE"/>
        </w:rPr>
        <w:t xml:space="preserve"> </w:t>
      </w:r>
      <w:r w:rsidRPr="006E39D1">
        <w:rPr>
          <w:rFonts w:eastAsia="Times New Roman" w:cs="Times New Roman"/>
          <w:lang w:eastAsia="de-DE"/>
        </w:rPr>
        <w:t xml:space="preserve">(nehmen), </w:t>
      </w:r>
      <w:r w:rsidRPr="006E39D1">
        <w:rPr>
          <w:rFonts w:eastAsia="Times New Roman" w:cs="Times New Roman"/>
          <w:b/>
          <w:bCs/>
          <w:rtl/>
          <w:lang w:eastAsia="de-DE"/>
        </w:rPr>
        <w:t>אֶל־אֹהֶל מוֹעֵד</w:t>
      </w:r>
      <w:r w:rsidRPr="006E39D1">
        <w:rPr>
          <w:rFonts w:eastAsia="Times New Roman" w:cs="Times New Roman"/>
          <w:rtl/>
          <w:lang w:eastAsia="de-DE"/>
        </w:rPr>
        <w:t xml:space="preserve"> </w:t>
      </w:r>
      <w:r w:rsidRPr="006E39D1">
        <w:rPr>
          <w:rFonts w:eastAsia="Times New Roman" w:cs="Times New Roman"/>
          <w:lang w:eastAsia="de-DE"/>
        </w:rPr>
        <w:t xml:space="preserve">(zum Zelt der Begegnung) und </w:t>
      </w:r>
      <w:r w:rsidRPr="006E39D1">
        <w:rPr>
          <w:rFonts w:eastAsia="Times New Roman" w:cs="Times New Roman"/>
          <w:b/>
          <w:bCs/>
          <w:rtl/>
          <w:lang w:eastAsia="de-DE"/>
        </w:rPr>
        <w:t>הִתְיַצְּבוּ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יצב</w:t>
      </w:r>
      <w:r w:rsidRPr="006E39D1">
        <w:rPr>
          <w:rFonts w:eastAsia="Times New Roman" w:cs="Times New Roman"/>
          <w:rtl/>
          <w:lang w:eastAsia="de-DE"/>
        </w:rPr>
        <w:t xml:space="preserve"> </w:t>
      </w:r>
      <w:r w:rsidRPr="006E39D1">
        <w:rPr>
          <w:rFonts w:eastAsia="Times New Roman" w:cs="Times New Roman"/>
          <w:lang w:eastAsia="de-DE"/>
        </w:rPr>
        <w:t>(sich hinstellen) im Hitp'ael zeigt die liturgische Vorbereitung für die Geistesübertragung.</w:t>
      </w:r>
    </w:p>
    <w:p w14:paraId="459C710A" w14:textId="10CD6138"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übersetzt die hebräischen „</w:t>
      </w:r>
      <w:r w:rsidR="00497CF8">
        <w:rPr>
          <w:rtl/>
        </w:rPr>
        <w:t>שֹׁטְרָיו</w:t>
      </w:r>
      <w:r w:rsidR="00497CF8">
        <w:t>" (Aufseher/Vorsteher) mit „γραμματεῖς" (Schreiber), was eine andere Amtsfunktion impliziert.</w:t>
      </w:r>
    </w:p>
    <w:p w14:paraId="1DA970E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göttliche Anweisung mit Zahlangabe, Qualifikationsspezifikation, doppelter Qualifikationsangabe und liturgischer Vorbereitungsanweisung.</w:t>
      </w:r>
    </w:p>
    <w:p w14:paraId="085C8FA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beginnt Gottes Lösung für Moses Überforderung durch die Einrichtung eines Ältestenrats zur Lastenteilung.</w:t>
      </w:r>
    </w:p>
    <w:p w14:paraId="59F00DB6"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lastRenderedPageBreak/>
        <w:t>Numeri 11,17</w:t>
      </w:r>
    </w:p>
    <w:p w14:paraId="694AEBC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וְיָרַדְתִּ֗י וְדִבַּרְתִּ֣י עִמְּךָ֮ שָׁם֒ וְאָצַלְתִּ֗י מִן־הָר֛וּחַ אֲשֶׁ֥ר עָלֶ֖יךָ וְשַׂמְתִּ֣י עֲלֵיהֶ֑ם וְנָשְׂא֤וּ אִתְּךָ֙ בְּמַשָּׂ֣א הָעָ֔ם וְלֹא־תִשָּׂ֥א אַתָּ֖ה לְבַדֶּֽךָ׃</w:t>
      </w:r>
    </w:p>
    <w:p w14:paraId="7A43803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ich werde herabkommen und dort mit dir reden, und ich werde von dem Geist nehmen, der auf dir ist, und auf sie legen, dass sie mit dir an der Last des Volkes tragen und du es nicht allein trägst.</w:t>
      </w:r>
    </w:p>
    <w:p w14:paraId="0A9A98CC"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696386A9">
          <v:rect id="_x0000_i1396" style="width:0;height:1.5pt" o:hralign="center" o:hrstd="t" o:hr="t" fillcolor="#a0a0a0" stroked="f"/>
        </w:pict>
      </w:r>
    </w:p>
    <w:p w14:paraId="67E4834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וְיָרַדְתִּ֗י וְדִבַּרְתִּ֣י עִמְּךָ֮ שָׁם֒</w:t>
      </w:r>
      <w:r w:rsidRPr="006E39D1">
        <w:rPr>
          <w:rFonts w:eastAsia="Times New Roman" w:cs="Times New Roman"/>
          <w:rtl/>
          <w:lang w:eastAsia="de-DE"/>
        </w:rPr>
        <w:t xml:space="preserve"> </w:t>
      </w:r>
      <w:r w:rsidRPr="006E39D1">
        <w:rPr>
          <w:rFonts w:eastAsia="Times New Roman" w:cs="Times New Roman"/>
          <w:lang w:eastAsia="de-DE"/>
        </w:rPr>
        <w:t xml:space="preserve">(und ich werde herabkommen und dort mit dir reden) mit </w:t>
      </w:r>
      <w:r w:rsidRPr="006E39D1">
        <w:rPr>
          <w:rFonts w:eastAsia="Times New Roman" w:cs="Times New Roman"/>
          <w:b/>
          <w:bCs/>
          <w:rtl/>
          <w:lang w:eastAsia="de-DE"/>
        </w:rPr>
        <w:t>יָרַדְתִּי</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(herabkommen) im Qal-Perfekt 1. Person Singular mit Waw consecutivum und </w:t>
      </w:r>
      <w:r w:rsidRPr="006E39D1">
        <w:rPr>
          <w:rFonts w:eastAsia="Times New Roman" w:cs="Times New Roman"/>
          <w:b/>
          <w:bCs/>
          <w:rtl/>
          <w:lang w:eastAsia="de-DE"/>
        </w:rPr>
        <w:t>דִבַּרְתִּי</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דבר</w:t>
      </w:r>
      <w:r w:rsidRPr="006E39D1">
        <w:rPr>
          <w:rFonts w:eastAsia="Times New Roman" w:cs="Times New Roman"/>
          <w:rtl/>
          <w:lang w:eastAsia="de-DE"/>
        </w:rPr>
        <w:t xml:space="preserve"> </w:t>
      </w:r>
      <w:r w:rsidRPr="006E39D1">
        <w:rPr>
          <w:rFonts w:eastAsia="Times New Roman" w:cs="Times New Roman"/>
          <w:lang w:eastAsia="de-DE"/>
        </w:rPr>
        <w:t xml:space="preserve">(reden) zeigt göttliche Herabkunft für direkte Kommunikation. </w:t>
      </w:r>
      <w:r w:rsidRPr="006E39D1">
        <w:rPr>
          <w:rFonts w:eastAsia="Times New Roman" w:cs="Times New Roman"/>
          <w:b/>
          <w:bCs/>
          <w:rtl/>
          <w:lang w:eastAsia="de-DE"/>
        </w:rPr>
        <w:t>שָׁם</w:t>
      </w:r>
      <w:r w:rsidRPr="006E39D1">
        <w:rPr>
          <w:rFonts w:eastAsia="Times New Roman" w:cs="Times New Roman"/>
          <w:rtl/>
          <w:lang w:eastAsia="de-DE"/>
        </w:rPr>
        <w:t xml:space="preserve"> </w:t>
      </w:r>
      <w:r w:rsidRPr="006E39D1">
        <w:rPr>
          <w:rFonts w:eastAsia="Times New Roman" w:cs="Times New Roman"/>
          <w:lang w:eastAsia="de-DE"/>
        </w:rPr>
        <w:t>(dort) verweist auf das Zelt der Begegnung.</w:t>
      </w:r>
    </w:p>
    <w:p w14:paraId="448D2B5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Geistesübertragung </w:t>
      </w:r>
      <w:r w:rsidRPr="006E39D1">
        <w:rPr>
          <w:rFonts w:eastAsia="Times New Roman" w:cs="Times New Roman"/>
          <w:b/>
          <w:bCs/>
          <w:rtl/>
          <w:lang w:eastAsia="de-DE"/>
        </w:rPr>
        <w:t>וְאָצַלְתִּ֗י מִן־הָר֛וּחַ אֲשֶׁ֥ר עָלֶ֖יךָ וְשַׂמְתִּ֣י עֲלֵיהֶ֑ם</w:t>
      </w:r>
      <w:r w:rsidRPr="006E39D1">
        <w:rPr>
          <w:rFonts w:eastAsia="Times New Roman" w:cs="Times New Roman"/>
          <w:rtl/>
          <w:lang w:eastAsia="de-DE"/>
        </w:rPr>
        <w:t xml:space="preserve"> </w:t>
      </w:r>
      <w:r w:rsidRPr="006E39D1">
        <w:rPr>
          <w:rFonts w:eastAsia="Times New Roman" w:cs="Times New Roman"/>
          <w:lang w:eastAsia="de-DE"/>
        </w:rPr>
        <w:t xml:space="preserve">(und ich werde von dem Geist nehmen, der auf dir ist, und auf sie legen) mit </w:t>
      </w:r>
      <w:r w:rsidRPr="006E39D1">
        <w:rPr>
          <w:rFonts w:eastAsia="Times New Roman" w:cs="Times New Roman"/>
          <w:b/>
          <w:bCs/>
          <w:rtl/>
          <w:lang w:eastAsia="de-DE"/>
        </w:rPr>
        <w:t>אָצַלְתִּי</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אצל</w:t>
      </w:r>
      <w:r w:rsidRPr="006E39D1">
        <w:rPr>
          <w:rFonts w:eastAsia="Times New Roman" w:cs="Times New Roman"/>
          <w:rtl/>
          <w:lang w:eastAsia="de-DE"/>
        </w:rPr>
        <w:t xml:space="preserve"> </w:t>
      </w:r>
      <w:r w:rsidRPr="006E39D1">
        <w:rPr>
          <w:rFonts w:eastAsia="Times New Roman" w:cs="Times New Roman"/>
          <w:lang w:eastAsia="de-DE"/>
        </w:rPr>
        <w:t xml:space="preserve">(nehmen/teilen) im Qal-Perfekt 1. Person Singular, </w:t>
      </w:r>
      <w:r w:rsidRPr="006E39D1">
        <w:rPr>
          <w:rFonts w:eastAsia="Times New Roman" w:cs="Times New Roman"/>
          <w:b/>
          <w:bCs/>
          <w:rtl/>
          <w:lang w:eastAsia="de-DE"/>
        </w:rPr>
        <w:t>מִן־הָרוּחַ</w:t>
      </w:r>
      <w:r w:rsidRPr="006E39D1">
        <w:rPr>
          <w:rFonts w:eastAsia="Times New Roman" w:cs="Times New Roman"/>
          <w:rtl/>
          <w:lang w:eastAsia="de-DE"/>
        </w:rPr>
        <w:t xml:space="preserve"> </w:t>
      </w:r>
      <w:r w:rsidRPr="006E39D1">
        <w:rPr>
          <w:rFonts w:eastAsia="Times New Roman" w:cs="Times New Roman"/>
          <w:lang w:eastAsia="de-DE"/>
        </w:rPr>
        <w:t xml:space="preserve">(von dem Geist), </w:t>
      </w:r>
      <w:r w:rsidRPr="006E39D1">
        <w:rPr>
          <w:rFonts w:eastAsia="Times New Roman" w:cs="Times New Roman"/>
          <w:b/>
          <w:bCs/>
          <w:rtl/>
          <w:lang w:eastAsia="de-DE"/>
        </w:rPr>
        <w:t>אֲשֶׁר עָלֶיךָ</w:t>
      </w:r>
      <w:r w:rsidRPr="006E39D1">
        <w:rPr>
          <w:rFonts w:eastAsia="Times New Roman" w:cs="Times New Roman"/>
          <w:rtl/>
          <w:lang w:eastAsia="de-DE"/>
        </w:rPr>
        <w:t xml:space="preserve"> </w:t>
      </w:r>
      <w:r w:rsidRPr="006E39D1">
        <w:rPr>
          <w:rFonts w:eastAsia="Times New Roman" w:cs="Times New Roman"/>
          <w:lang w:eastAsia="de-DE"/>
        </w:rPr>
        <w:t xml:space="preserve">(der auf dir ist) und </w:t>
      </w:r>
      <w:r w:rsidRPr="006E39D1">
        <w:rPr>
          <w:rFonts w:eastAsia="Times New Roman" w:cs="Times New Roman"/>
          <w:b/>
          <w:bCs/>
          <w:rtl/>
          <w:lang w:eastAsia="de-DE"/>
        </w:rPr>
        <w:t>שַׂמְתִּי עֲלֵיהֶם</w:t>
      </w:r>
      <w:r w:rsidRPr="006E39D1">
        <w:rPr>
          <w:rFonts w:eastAsia="Times New Roman" w:cs="Times New Roman"/>
          <w:rtl/>
          <w:lang w:eastAsia="de-DE"/>
        </w:rPr>
        <w:t xml:space="preserve"> </w:t>
      </w:r>
      <w:r w:rsidRPr="006E39D1">
        <w:rPr>
          <w:rFonts w:eastAsia="Times New Roman" w:cs="Times New Roman"/>
          <w:lang w:eastAsia="de-DE"/>
        </w:rPr>
        <w:t>(ich werde auf sie legen) zeigt die Übertragung mosaischen Führungsgeistes.</w:t>
      </w:r>
    </w:p>
    <w:p w14:paraId="76C4555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Das Resultat </w:t>
      </w:r>
      <w:r w:rsidRPr="006E39D1">
        <w:rPr>
          <w:rFonts w:eastAsia="Times New Roman" w:cs="Times New Roman"/>
          <w:b/>
          <w:bCs/>
          <w:rtl/>
          <w:lang w:eastAsia="de-DE"/>
        </w:rPr>
        <w:t>וְנָשְׂא֤וּ אִתְּךָ֙ בְּמַשָּׂ֣א הָעָ֔ם וְלֹא־תִשָּׂ֥א אַתָּ֖ה לְבַדֶּֽךָ</w:t>
      </w:r>
      <w:r w:rsidRPr="006E39D1">
        <w:rPr>
          <w:rFonts w:eastAsia="Times New Roman" w:cs="Times New Roman"/>
          <w:rtl/>
          <w:lang w:eastAsia="de-DE"/>
        </w:rPr>
        <w:t xml:space="preserve"> </w:t>
      </w:r>
      <w:r w:rsidRPr="006E39D1">
        <w:rPr>
          <w:rFonts w:eastAsia="Times New Roman" w:cs="Times New Roman"/>
          <w:lang w:eastAsia="de-DE"/>
        </w:rPr>
        <w:t xml:space="preserve">(und sie werden mit dir die Last des Volkes tragen, und du wirst nicht allein tragen) mit </w:t>
      </w:r>
      <w:r w:rsidRPr="006E39D1">
        <w:rPr>
          <w:rFonts w:eastAsia="Times New Roman" w:cs="Times New Roman"/>
          <w:b/>
          <w:bCs/>
          <w:rtl/>
          <w:lang w:eastAsia="de-DE"/>
        </w:rPr>
        <w:t>נָשְׂאוּ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נשא</w:t>
      </w:r>
      <w:r w:rsidRPr="006E39D1">
        <w:rPr>
          <w:rFonts w:eastAsia="Times New Roman" w:cs="Times New Roman"/>
          <w:rtl/>
          <w:lang w:eastAsia="de-DE"/>
        </w:rPr>
        <w:t xml:space="preserve"> </w:t>
      </w:r>
      <w:r w:rsidRPr="006E39D1">
        <w:rPr>
          <w:rFonts w:eastAsia="Times New Roman" w:cs="Times New Roman"/>
          <w:lang w:eastAsia="de-DE"/>
        </w:rPr>
        <w:t xml:space="preserve">(tragen), </w:t>
      </w:r>
      <w:r w:rsidRPr="006E39D1">
        <w:rPr>
          <w:rFonts w:eastAsia="Times New Roman" w:cs="Times New Roman"/>
          <w:b/>
          <w:bCs/>
          <w:rtl/>
          <w:lang w:eastAsia="de-DE"/>
        </w:rPr>
        <w:t>אִתְּךָ</w:t>
      </w:r>
      <w:r w:rsidRPr="006E39D1">
        <w:rPr>
          <w:rFonts w:eastAsia="Times New Roman" w:cs="Times New Roman"/>
          <w:rtl/>
          <w:lang w:eastAsia="de-DE"/>
        </w:rPr>
        <w:t xml:space="preserve"> </w:t>
      </w:r>
      <w:r w:rsidRPr="006E39D1">
        <w:rPr>
          <w:rFonts w:eastAsia="Times New Roman" w:cs="Times New Roman"/>
          <w:lang w:eastAsia="de-DE"/>
        </w:rPr>
        <w:t xml:space="preserve">(mit dir), </w:t>
      </w:r>
      <w:r w:rsidRPr="006E39D1">
        <w:rPr>
          <w:rFonts w:eastAsia="Times New Roman" w:cs="Times New Roman"/>
          <w:b/>
          <w:bCs/>
          <w:rtl/>
          <w:lang w:eastAsia="de-DE"/>
        </w:rPr>
        <w:t>בְּמַשָּׂא הָעָם</w:t>
      </w:r>
      <w:r w:rsidRPr="006E39D1">
        <w:rPr>
          <w:rFonts w:eastAsia="Times New Roman" w:cs="Times New Roman"/>
          <w:rtl/>
          <w:lang w:eastAsia="de-DE"/>
        </w:rPr>
        <w:t xml:space="preserve"> </w:t>
      </w:r>
      <w:r w:rsidRPr="006E39D1">
        <w:rPr>
          <w:rFonts w:eastAsia="Times New Roman" w:cs="Times New Roman"/>
          <w:lang w:eastAsia="de-DE"/>
        </w:rPr>
        <w:t xml:space="preserve">(an der Last des Volkes) und der Negation </w:t>
      </w:r>
      <w:r w:rsidRPr="006E39D1">
        <w:rPr>
          <w:rFonts w:eastAsia="Times New Roman" w:cs="Times New Roman"/>
          <w:b/>
          <w:bCs/>
          <w:rtl/>
          <w:lang w:eastAsia="de-DE"/>
        </w:rPr>
        <w:t>לֹא־תִשָּׂא אַתָּה לְבַדֶּךָ</w:t>
      </w:r>
      <w:r w:rsidRPr="006E39D1">
        <w:rPr>
          <w:rFonts w:eastAsia="Times New Roman" w:cs="Times New Roman"/>
          <w:rtl/>
          <w:lang w:eastAsia="de-DE"/>
        </w:rPr>
        <w:t xml:space="preserve"> </w:t>
      </w:r>
      <w:r w:rsidRPr="006E39D1">
        <w:rPr>
          <w:rFonts w:eastAsia="Times New Roman" w:cs="Times New Roman"/>
          <w:lang w:eastAsia="de-DE"/>
        </w:rPr>
        <w:t>(du wirst nicht allein tragen) zeigt die beabsichtigte Lastenteilung.</w:t>
      </w:r>
    </w:p>
    <w:p w14:paraId="650AAEF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יָרַדְתִּי</w:t>
      </w:r>
      <w:r w:rsidRPr="006E39D1">
        <w:rPr>
          <w:rFonts w:eastAsia="Times New Roman" w:cs="Times New Roman"/>
          <w:rtl/>
          <w:lang w:eastAsia="de-DE"/>
        </w:rPr>
        <w:t xml:space="preserve"> </w:t>
      </w:r>
      <w:r w:rsidRPr="006E39D1">
        <w:rPr>
          <w:rFonts w:eastAsia="Times New Roman" w:cs="Times New Roman"/>
          <w:lang w:eastAsia="de-DE"/>
        </w:rPr>
        <w:t xml:space="preserve">mit καταβήσομαι (ich werde herabkommen), </w:t>
      </w:r>
      <w:r w:rsidRPr="006E39D1">
        <w:rPr>
          <w:rFonts w:eastAsia="Times New Roman" w:cs="Times New Roman"/>
          <w:b/>
          <w:bCs/>
          <w:rtl/>
          <w:lang w:eastAsia="de-DE"/>
        </w:rPr>
        <w:t>אָצַלְתִּי</w:t>
      </w:r>
      <w:r w:rsidRPr="006E39D1">
        <w:rPr>
          <w:rFonts w:eastAsia="Times New Roman" w:cs="Times New Roman"/>
          <w:rtl/>
          <w:lang w:eastAsia="de-DE"/>
        </w:rPr>
        <w:t xml:space="preserve"> </w:t>
      </w:r>
      <w:r w:rsidRPr="006E39D1">
        <w:rPr>
          <w:rFonts w:eastAsia="Times New Roman" w:cs="Times New Roman"/>
          <w:lang w:eastAsia="de-DE"/>
        </w:rPr>
        <w:t xml:space="preserve">mit ἀφελῶ (ich werde wegnehmen), </w:t>
      </w:r>
      <w:r w:rsidRPr="006E39D1">
        <w:rPr>
          <w:rFonts w:eastAsia="Times New Roman" w:cs="Times New Roman"/>
          <w:b/>
          <w:bCs/>
          <w:rtl/>
          <w:lang w:eastAsia="de-DE"/>
        </w:rPr>
        <w:t>הָרוּחַ</w:t>
      </w:r>
      <w:r w:rsidRPr="006E39D1">
        <w:rPr>
          <w:rFonts w:eastAsia="Times New Roman" w:cs="Times New Roman"/>
          <w:rtl/>
          <w:lang w:eastAsia="de-DE"/>
        </w:rPr>
        <w:t xml:space="preserve"> </w:t>
      </w:r>
      <w:r w:rsidRPr="006E39D1">
        <w:rPr>
          <w:rFonts w:eastAsia="Times New Roman" w:cs="Times New Roman"/>
          <w:lang w:eastAsia="de-DE"/>
        </w:rPr>
        <w:t xml:space="preserve">mit τοῦ πνεύματος (vom Geist) und </w:t>
      </w:r>
      <w:r w:rsidRPr="006E39D1">
        <w:rPr>
          <w:rFonts w:eastAsia="Times New Roman" w:cs="Times New Roman"/>
          <w:b/>
          <w:bCs/>
          <w:rtl/>
          <w:lang w:eastAsia="de-DE"/>
        </w:rPr>
        <w:t>מַשָּׂא</w:t>
      </w:r>
      <w:r w:rsidRPr="006E39D1">
        <w:rPr>
          <w:rFonts w:eastAsia="Times New Roman" w:cs="Times New Roman"/>
          <w:rtl/>
          <w:lang w:eastAsia="de-DE"/>
        </w:rPr>
        <w:t xml:space="preserve"> </w:t>
      </w:r>
      <w:r w:rsidRPr="006E39D1">
        <w:rPr>
          <w:rFonts w:eastAsia="Times New Roman" w:cs="Times New Roman"/>
          <w:lang w:eastAsia="de-DE"/>
        </w:rPr>
        <w:t>mit φορτίον (Last).</w:t>
      </w:r>
    </w:p>
    <w:p w14:paraId="65E6203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göttliche Herabkunft, Geistesübertragung und resultierende Lastenteilung.</w:t>
      </w:r>
    </w:p>
    <w:p w14:paraId="486E3DC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verspricht die Lösung von Moses Überforderung durch göttliche Geistesausstattung der Ältesten zur gemeinsamen Führung.</w:t>
      </w:r>
    </w:p>
    <w:p w14:paraId="484437A2"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11,18</w:t>
      </w:r>
    </w:p>
    <w:p w14:paraId="7C171AD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וְאֶל־הָעָ֨ם תֹּאמַ֜ר הִתְקַדְּשׁ֣וּ לְמָחָר֮ וַאֲכַלְתֶּ֣ם בָּשָׂר֒ כִּ֡י בְּכִיתֶם֩ בְּאָזְנֵ֨י יְהוָ֜ה לֵאמֹ֗ר מִ֤י יַאֲכִלֵ֨נוּ֙ בָּשָׂ֔ר כִּי־ט֥וֹב לָ֖נוּ בְּמִצְרָ֑יִם וְנָתַ֨ן יְהוָ֥ה לָכֶ֛ם בָּשָׂ֖ר וַאֲכַלְתֶּֽם׃</w:t>
      </w:r>
    </w:p>
    <w:p w14:paraId="1D6E886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zu dem Volk sollst du sagen: Heiligt euch auf morgen, und ihr werdet Fleisch essen; denn ihr habt vor den Ohren des Ewigen geweint und gesagt: Wer wird uns Fleisch zu essen geben? Denn es ging uns gut in Mizrajim. Und der Ewige wird euch Fleisch geben, und ihr werdet essen.</w:t>
      </w:r>
    </w:p>
    <w:p w14:paraId="34736B20"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2A31F77C">
          <v:rect id="_x0000_i1397" style="width:0;height:1.5pt" o:hralign="center" o:hrstd="t" o:hr="t" fillcolor="#a0a0a0" stroked="f"/>
        </w:pict>
      </w:r>
    </w:p>
    <w:p w14:paraId="4AE17BB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Kommentar:</w:t>
      </w:r>
      <w:r w:rsidRPr="006E39D1">
        <w:rPr>
          <w:rFonts w:eastAsia="Times New Roman" w:cs="Times New Roman"/>
          <w:lang w:eastAsia="de-DE"/>
        </w:rPr>
        <w:t xml:space="preserve"> Die Anweisung </w:t>
      </w:r>
      <w:r w:rsidRPr="006E39D1">
        <w:rPr>
          <w:rFonts w:eastAsia="Times New Roman" w:cs="Times New Roman"/>
          <w:b/>
          <w:bCs/>
          <w:rtl/>
          <w:lang w:eastAsia="de-DE"/>
        </w:rPr>
        <w:t>וְאֶל־הָעָ֨ם תֹּאמַ֜ר</w:t>
      </w:r>
      <w:r w:rsidRPr="006E39D1">
        <w:rPr>
          <w:rFonts w:eastAsia="Times New Roman" w:cs="Times New Roman"/>
          <w:rtl/>
          <w:lang w:eastAsia="de-DE"/>
        </w:rPr>
        <w:t xml:space="preserve"> </w:t>
      </w:r>
      <w:r w:rsidRPr="006E39D1">
        <w:rPr>
          <w:rFonts w:eastAsia="Times New Roman" w:cs="Times New Roman"/>
          <w:lang w:eastAsia="de-DE"/>
        </w:rPr>
        <w:t xml:space="preserve">(und zu dem Volk sollst du sagen) leitet Moses Verkündigung an das Volk ein. Der Imperativ </w:t>
      </w:r>
      <w:r w:rsidRPr="006E39D1">
        <w:rPr>
          <w:rFonts w:eastAsia="Times New Roman" w:cs="Times New Roman"/>
          <w:b/>
          <w:bCs/>
          <w:rtl/>
          <w:lang w:eastAsia="de-DE"/>
        </w:rPr>
        <w:t>הִתְקַדְּשׁ֣וּ לְמָחָר֮</w:t>
      </w:r>
      <w:r w:rsidRPr="006E39D1">
        <w:rPr>
          <w:rFonts w:eastAsia="Times New Roman" w:cs="Times New Roman"/>
          <w:rtl/>
          <w:lang w:eastAsia="de-DE"/>
        </w:rPr>
        <w:t xml:space="preserve"> </w:t>
      </w:r>
      <w:r w:rsidRPr="006E39D1">
        <w:rPr>
          <w:rFonts w:eastAsia="Times New Roman" w:cs="Times New Roman"/>
          <w:lang w:eastAsia="de-DE"/>
        </w:rPr>
        <w:t xml:space="preserve">(heiligt euch für morgen) mit </w:t>
      </w:r>
      <w:r w:rsidRPr="006E39D1">
        <w:rPr>
          <w:rFonts w:eastAsia="Times New Roman" w:cs="Times New Roman"/>
          <w:b/>
          <w:bCs/>
          <w:rtl/>
          <w:lang w:eastAsia="de-DE"/>
        </w:rPr>
        <w:t>הִתְקַדְּשׁוּ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קדש</w:t>
      </w:r>
      <w:r w:rsidRPr="006E39D1">
        <w:rPr>
          <w:rFonts w:eastAsia="Times New Roman" w:cs="Times New Roman"/>
          <w:rtl/>
          <w:lang w:eastAsia="de-DE"/>
        </w:rPr>
        <w:t xml:space="preserve"> </w:t>
      </w:r>
      <w:r w:rsidRPr="006E39D1">
        <w:rPr>
          <w:rFonts w:eastAsia="Times New Roman" w:cs="Times New Roman"/>
          <w:lang w:eastAsia="de-DE"/>
        </w:rPr>
        <w:t xml:space="preserve">(heilig sein) im Hitp'ael-Imperativ Plural und </w:t>
      </w:r>
      <w:r w:rsidRPr="006E39D1">
        <w:rPr>
          <w:rFonts w:eastAsia="Times New Roman" w:cs="Times New Roman"/>
          <w:b/>
          <w:bCs/>
          <w:rtl/>
          <w:lang w:eastAsia="de-DE"/>
        </w:rPr>
        <w:t>לְמָחָר</w:t>
      </w:r>
      <w:r w:rsidRPr="006E39D1">
        <w:rPr>
          <w:rFonts w:eastAsia="Times New Roman" w:cs="Times New Roman"/>
          <w:rtl/>
          <w:lang w:eastAsia="de-DE"/>
        </w:rPr>
        <w:t xml:space="preserve"> </w:t>
      </w:r>
      <w:r w:rsidRPr="006E39D1">
        <w:rPr>
          <w:rFonts w:eastAsia="Times New Roman" w:cs="Times New Roman"/>
          <w:lang w:eastAsia="de-DE"/>
        </w:rPr>
        <w:t>(für morgen) zeigt die erforderliche rituelle Vorbereitung für ein außergewöhnliches göttliches Handeln.</w:t>
      </w:r>
    </w:p>
    <w:p w14:paraId="47534A0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Verheißung </w:t>
      </w:r>
      <w:r w:rsidRPr="006E39D1">
        <w:rPr>
          <w:rFonts w:eastAsia="Times New Roman" w:cs="Times New Roman"/>
          <w:b/>
          <w:bCs/>
          <w:rtl/>
          <w:lang w:eastAsia="de-DE"/>
        </w:rPr>
        <w:t>וַאֲכַלְתֶּ֣ם בָּשָׂר֒</w:t>
      </w:r>
      <w:r w:rsidRPr="006E39D1">
        <w:rPr>
          <w:rFonts w:eastAsia="Times New Roman" w:cs="Times New Roman"/>
          <w:rtl/>
          <w:lang w:eastAsia="de-DE"/>
        </w:rPr>
        <w:t xml:space="preserve"> </w:t>
      </w:r>
      <w:r w:rsidRPr="006E39D1">
        <w:rPr>
          <w:rFonts w:eastAsia="Times New Roman" w:cs="Times New Roman"/>
          <w:lang w:eastAsia="de-DE"/>
        </w:rPr>
        <w:t xml:space="preserve">(und ihr werdet Fleisch essen) mit </w:t>
      </w:r>
      <w:r w:rsidRPr="006E39D1">
        <w:rPr>
          <w:rFonts w:eastAsia="Times New Roman" w:cs="Times New Roman"/>
          <w:b/>
          <w:bCs/>
          <w:rtl/>
          <w:lang w:eastAsia="de-DE"/>
        </w:rPr>
        <w:t>אֲכַלְתֶּם</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אכל</w:t>
      </w:r>
      <w:r w:rsidRPr="006E39D1">
        <w:rPr>
          <w:rFonts w:eastAsia="Times New Roman" w:cs="Times New Roman"/>
          <w:rtl/>
          <w:lang w:eastAsia="de-DE"/>
        </w:rPr>
        <w:t xml:space="preserve"> </w:t>
      </w:r>
      <w:r w:rsidRPr="006E39D1">
        <w:rPr>
          <w:rFonts w:eastAsia="Times New Roman" w:cs="Times New Roman"/>
          <w:lang w:eastAsia="de-DE"/>
        </w:rPr>
        <w:t>(essen) im Qal-Perfekt 2. maskulin Plural mit Waw consecutivum erfüllt ironisch die Volksforderung.</w:t>
      </w:r>
    </w:p>
    <w:p w14:paraId="614C041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kausale Begründung </w:t>
      </w:r>
      <w:r w:rsidRPr="006E39D1">
        <w:rPr>
          <w:rFonts w:eastAsia="Times New Roman" w:cs="Times New Roman"/>
          <w:b/>
          <w:bCs/>
          <w:rtl/>
          <w:lang w:eastAsia="de-DE"/>
        </w:rPr>
        <w:t>כִּ֡י בְּכִיתֶם֩ בְּאָזְנֵ֨י יְהוָ֜ה לֵאמֹ֗ר מִ֤י יַאֲכִלֵ֨נוּ֙ בָּשָׂ֔ר כִּי־ט֥וֹב לָ֖נוּ בְּמִצְרָ֑יִם</w:t>
      </w:r>
      <w:r w:rsidRPr="006E39D1">
        <w:rPr>
          <w:rFonts w:eastAsia="Times New Roman" w:cs="Times New Roman"/>
          <w:rtl/>
          <w:lang w:eastAsia="de-DE"/>
        </w:rPr>
        <w:t xml:space="preserve"> </w:t>
      </w:r>
      <w:r w:rsidRPr="006E39D1">
        <w:rPr>
          <w:rFonts w:eastAsia="Times New Roman" w:cs="Times New Roman"/>
          <w:lang w:eastAsia="de-DE"/>
        </w:rPr>
        <w:t>(denn ihr habt geweint vor den Ohren des Ewigen, sagend: wer wird uns Fleisch geben zu essen, denn es war gut für uns in Ägypten) zitiert die Volksklage zurück und zeigt göttliche Aufmerksamkeit für ihre Beschwerden.</w:t>
      </w:r>
    </w:p>
    <w:p w14:paraId="3C46223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abschließende Bekräftigung </w:t>
      </w:r>
      <w:r w:rsidRPr="006E39D1">
        <w:rPr>
          <w:rFonts w:eastAsia="Times New Roman" w:cs="Times New Roman"/>
          <w:b/>
          <w:bCs/>
          <w:rtl/>
          <w:lang w:eastAsia="de-DE"/>
        </w:rPr>
        <w:t>וְנָתַ֨ן יְהוָ֥ה לָכֶ֛ם בָּשָׂ֖ר וַאֲכַלְתֶּֽם</w:t>
      </w:r>
      <w:r w:rsidRPr="006E39D1">
        <w:rPr>
          <w:rFonts w:eastAsia="Times New Roman" w:cs="Times New Roman"/>
          <w:rtl/>
          <w:lang w:eastAsia="de-DE"/>
        </w:rPr>
        <w:t xml:space="preserve"> </w:t>
      </w:r>
      <w:r w:rsidRPr="006E39D1">
        <w:rPr>
          <w:rFonts w:eastAsia="Times New Roman" w:cs="Times New Roman"/>
          <w:lang w:eastAsia="de-DE"/>
        </w:rPr>
        <w:t xml:space="preserve">(und der Ewige wird euch Fleisch geben, und ihr werdet essen) mit </w:t>
      </w:r>
      <w:r w:rsidRPr="006E39D1">
        <w:rPr>
          <w:rFonts w:eastAsia="Times New Roman" w:cs="Times New Roman"/>
          <w:b/>
          <w:bCs/>
          <w:rtl/>
          <w:lang w:eastAsia="de-DE"/>
        </w:rPr>
        <w:t>נָתַן</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נתן</w:t>
      </w:r>
      <w:r w:rsidRPr="006E39D1">
        <w:rPr>
          <w:rFonts w:eastAsia="Times New Roman" w:cs="Times New Roman"/>
          <w:rtl/>
          <w:lang w:eastAsia="de-DE"/>
        </w:rPr>
        <w:t xml:space="preserve"> </w:t>
      </w:r>
      <w:r w:rsidRPr="006E39D1">
        <w:rPr>
          <w:rFonts w:eastAsia="Times New Roman" w:cs="Times New Roman"/>
          <w:lang w:eastAsia="de-DE"/>
        </w:rPr>
        <w:t>(geben) wiederholt die Verheißungserfüllung.</w:t>
      </w:r>
    </w:p>
    <w:p w14:paraId="699AE6A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הִתְקַדְּשׁוּ</w:t>
      </w:r>
      <w:r w:rsidRPr="006E39D1">
        <w:rPr>
          <w:rFonts w:eastAsia="Times New Roman" w:cs="Times New Roman"/>
          <w:rtl/>
          <w:lang w:eastAsia="de-DE"/>
        </w:rPr>
        <w:t xml:space="preserve"> </w:t>
      </w:r>
      <w:r w:rsidRPr="006E39D1">
        <w:rPr>
          <w:rFonts w:eastAsia="Times New Roman" w:cs="Times New Roman"/>
          <w:lang w:eastAsia="de-DE"/>
        </w:rPr>
        <w:t xml:space="preserve">mit ἁγιάσασθε (heiligt euch), </w:t>
      </w:r>
      <w:r w:rsidRPr="006E39D1">
        <w:rPr>
          <w:rFonts w:eastAsia="Times New Roman" w:cs="Times New Roman"/>
          <w:b/>
          <w:bCs/>
          <w:rtl/>
          <w:lang w:eastAsia="de-DE"/>
        </w:rPr>
        <w:t>בְּאָזְנֵי יְהוָה</w:t>
      </w:r>
      <w:r w:rsidRPr="006E39D1">
        <w:rPr>
          <w:rFonts w:eastAsia="Times New Roman" w:cs="Times New Roman"/>
          <w:rtl/>
          <w:lang w:eastAsia="de-DE"/>
        </w:rPr>
        <w:t xml:space="preserve"> </w:t>
      </w:r>
      <w:r w:rsidRPr="006E39D1">
        <w:rPr>
          <w:rFonts w:eastAsia="Times New Roman" w:cs="Times New Roman"/>
          <w:lang w:eastAsia="de-DE"/>
        </w:rPr>
        <w:t xml:space="preserve">mit εἰς τὰ ὦτα κυρίου (in die Ohren des Herrn) und </w:t>
      </w:r>
      <w:r w:rsidRPr="006E39D1">
        <w:rPr>
          <w:rFonts w:eastAsia="Times New Roman" w:cs="Times New Roman"/>
          <w:b/>
          <w:bCs/>
          <w:rtl/>
          <w:lang w:eastAsia="de-DE"/>
        </w:rPr>
        <w:t>בְּמִצְרָיִם</w:t>
      </w:r>
      <w:r w:rsidRPr="006E39D1">
        <w:rPr>
          <w:rFonts w:eastAsia="Times New Roman" w:cs="Times New Roman"/>
          <w:rtl/>
          <w:lang w:eastAsia="de-DE"/>
        </w:rPr>
        <w:t xml:space="preserve"> </w:t>
      </w:r>
      <w:r w:rsidRPr="006E39D1">
        <w:rPr>
          <w:rFonts w:eastAsia="Times New Roman" w:cs="Times New Roman"/>
          <w:lang w:eastAsia="de-DE"/>
        </w:rPr>
        <w:t>mit ἐν Αἰγύπτῳ (in Ägypten).</w:t>
      </w:r>
    </w:p>
    <w:p w14:paraId="7690671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Verkündigungsanweisung, Heiligungsbefehl, Verheißung, kausale Begründung mit Klagezitat und Bekräftigung.</w:t>
      </w:r>
    </w:p>
    <w:p w14:paraId="1CD0D5C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göttliche Ironie: das Volk wird bekommen, was es verlangt hat, aber unter Umständen, die es nicht erwartet.</w:t>
      </w:r>
    </w:p>
    <w:p w14:paraId="09347DE7"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11,19</w:t>
      </w:r>
    </w:p>
    <w:p w14:paraId="3DCEB10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לֹ֣א י֥וֹם אֶחָ֛ד תֹּאכְל֖וּן וְלֹ֣א יוֹמָ֑יִם וְלֹ֣א׀ חֲמִשָּׁ֣ה יָמִ֗ים וְלֹא֙ עֲשָׂרָ֣ה יָמִ֔ים וְלֹ֖א עֶשְׂרִ֥ים יֽוֹם׃</w:t>
      </w:r>
    </w:p>
    <w:p w14:paraId="3D6A44E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Nicht einen Tag sollt ihr essen und nicht zwei Tage und nicht fünf Tage und nicht zehn Tage und nicht 20 Tage.</w:t>
      </w:r>
    </w:p>
    <w:p w14:paraId="30E24E00"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747D25D2">
          <v:rect id="_x0000_i1398" style="width:0;height:1.5pt" o:hralign="center" o:hrstd="t" o:hr="t" fillcolor="#a0a0a0" stroked="f"/>
        </w:pict>
      </w:r>
    </w:p>
    <w:p w14:paraId="74D7280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fünffache negative Zeitreihe </w:t>
      </w:r>
      <w:r w:rsidRPr="006E39D1">
        <w:rPr>
          <w:rFonts w:eastAsia="Times New Roman" w:cs="Times New Roman"/>
          <w:b/>
          <w:bCs/>
          <w:rtl/>
          <w:lang w:eastAsia="de-DE"/>
        </w:rPr>
        <w:t>לֹ֣א י֥וֹם אֶחָ֛ד תֹּאכְל֖וּן וְלֹ֣א יוֹמָ֑יִם וְלֹ֣א׀ חֲמִשָּׁ֣ה יָמִ֗ים וְלֹא֙ עֲשָׂרָ֣ה יָמִ֔ים וְלֹ֖א עֶשְׂרִ֥ים יֽוֹם</w:t>
      </w:r>
      <w:r w:rsidRPr="006E39D1">
        <w:rPr>
          <w:rFonts w:eastAsia="Times New Roman" w:cs="Times New Roman"/>
          <w:rtl/>
          <w:lang w:eastAsia="de-DE"/>
        </w:rPr>
        <w:t xml:space="preserve"> </w:t>
      </w:r>
      <w:r w:rsidRPr="006E39D1">
        <w:rPr>
          <w:rFonts w:eastAsia="Times New Roman" w:cs="Times New Roman"/>
          <w:lang w:eastAsia="de-DE"/>
        </w:rPr>
        <w:t xml:space="preserve">zeigt eine dramatische Steigerung der Zeitangaben. Jede Negation </w:t>
      </w:r>
      <w:r w:rsidRPr="006E39D1">
        <w:rPr>
          <w:rFonts w:eastAsia="Times New Roman" w:cs="Times New Roman"/>
          <w:b/>
          <w:bCs/>
          <w:rtl/>
          <w:lang w:eastAsia="de-DE"/>
        </w:rPr>
        <w:t>לֹא</w:t>
      </w:r>
      <w:r w:rsidRPr="006E39D1">
        <w:rPr>
          <w:rFonts w:eastAsia="Times New Roman" w:cs="Times New Roman"/>
          <w:rtl/>
          <w:lang w:eastAsia="de-DE"/>
        </w:rPr>
        <w:t xml:space="preserve"> </w:t>
      </w:r>
      <w:r w:rsidRPr="006E39D1">
        <w:rPr>
          <w:rFonts w:eastAsia="Times New Roman" w:cs="Times New Roman"/>
          <w:lang w:eastAsia="de-DE"/>
        </w:rPr>
        <w:t xml:space="preserve">(nicht) mit </w:t>
      </w:r>
      <w:r w:rsidRPr="006E39D1">
        <w:rPr>
          <w:rFonts w:eastAsia="Times New Roman" w:cs="Times New Roman"/>
          <w:b/>
          <w:bCs/>
          <w:rtl/>
          <w:lang w:eastAsia="de-DE"/>
        </w:rPr>
        <w:t>תֹּאכְלוּן</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אכל</w:t>
      </w:r>
      <w:r w:rsidRPr="006E39D1">
        <w:rPr>
          <w:rFonts w:eastAsia="Times New Roman" w:cs="Times New Roman"/>
          <w:rtl/>
          <w:lang w:eastAsia="de-DE"/>
        </w:rPr>
        <w:t xml:space="preserve"> </w:t>
      </w:r>
      <w:r w:rsidRPr="006E39D1">
        <w:rPr>
          <w:rFonts w:eastAsia="Times New Roman" w:cs="Times New Roman"/>
          <w:lang w:eastAsia="de-DE"/>
        </w:rPr>
        <w:t xml:space="preserve">(essen) im Qal-Imperfekt 2. maskulin Plural verstärkt die Betonung. Die Zahlenfolge </w:t>
      </w:r>
      <w:r w:rsidRPr="006E39D1">
        <w:rPr>
          <w:rFonts w:eastAsia="Times New Roman" w:cs="Times New Roman"/>
          <w:b/>
          <w:bCs/>
          <w:rtl/>
          <w:lang w:eastAsia="de-DE"/>
        </w:rPr>
        <w:t>יוֹם אֶחָד</w:t>
      </w:r>
      <w:r w:rsidRPr="006E39D1">
        <w:rPr>
          <w:rFonts w:eastAsia="Times New Roman" w:cs="Times New Roman"/>
          <w:rtl/>
          <w:lang w:eastAsia="de-DE"/>
        </w:rPr>
        <w:t xml:space="preserve"> </w:t>
      </w:r>
      <w:r w:rsidRPr="006E39D1">
        <w:rPr>
          <w:rFonts w:eastAsia="Times New Roman" w:cs="Times New Roman"/>
          <w:lang w:eastAsia="de-DE"/>
        </w:rPr>
        <w:t xml:space="preserve">(ein Tag), </w:t>
      </w:r>
      <w:r w:rsidRPr="006E39D1">
        <w:rPr>
          <w:rFonts w:eastAsia="Times New Roman" w:cs="Times New Roman"/>
          <w:b/>
          <w:bCs/>
          <w:rtl/>
          <w:lang w:eastAsia="de-DE"/>
        </w:rPr>
        <w:t>יוֹמַיִם</w:t>
      </w:r>
      <w:r w:rsidRPr="006E39D1">
        <w:rPr>
          <w:rFonts w:eastAsia="Times New Roman" w:cs="Times New Roman"/>
          <w:rtl/>
          <w:lang w:eastAsia="de-DE"/>
        </w:rPr>
        <w:t xml:space="preserve"> </w:t>
      </w:r>
      <w:r w:rsidRPr="006E39D1">
        <w:rPr>
          <w:rFonts w:eastAsia="Times New Roman" w:cs="Times New Roman"/>
          <w:lang w:eastAsia="de-DE"/>
        </w:rPr>
        <w:t xml:space="preserve">(zwei Tage), </w:t>
      </w:r>
      <w:r w:rsidRPr="006E39D1">
        <w:rPr>
          <w:rFonts w:eastAsia="Times New Roman" w:cs="Times New Roman"/>
          <w:b/>
          <w:bCs/>
          <w:rtl/>
          <w:lang w:eastAsia="de-DE"/>
        </w:rPr>
        <w:t>חֲמִשָּׁה יָמִים</w:t>
      </w:r>
      <w:r w:rsidRPr="006E39D1">
        <w:rPr>
          <w:rFonts w:eastAsia="Times New Roman" w:cs="Times New Roman"/>
          <w:rtl/>
          <w:lang w:eastAsia="de-DE"/>
        </w:rPr>
        <w:t xml:space="preserve"> </w:t>
      </w:r>
      <w:r w:rsidRPr="006E39D1">
        <w:rPr>
          <w:rFonts w:eastAsia="Times New Roman" w:cs="Times New Roman"/>
          <w:lang w:eastAsia="de-DE"/>
        </w:rPr>
        <w:t xml:space="preserve">(fünf Tage), </w:t>
      </w:r>
      <w:r w:rsidRPr="006E39D1">
        <w:rPr>
          <w:rFonts w:eastAsia="Times New Roman" w:cs="Times New Roman"/>
          <w:b/>
          <w:bCs/>
          <w:rtl/>
          <w:lang w:eastAsia="de-DE"/>
        </w:rPr>
        <w:t>עֲשָׂרָה יָמִים</w:t>
      </w:r>
      <w:r w:rsidRPr="006E39D1">
        <w:rPr>
          <w:rFonts w:eastAsia="Times New Roman" w:cs="Times New Roman"/>
          <w:rtl/>
          <w:lang w:eastAsia="de-DE"/>
        </w:rPr>
        <w:t xml:space="preserve"> </w:t>
      </w:r>
      <w:r w:rsidRPr="006E39D1">
        <w:rPr>
          <w:rFonts w:eastAsia="Times New Roman" w:cs="Times New Roman"/>
          <w:lang w:eastAsia="de-DE"/>
        </w:rPr>
        <w:t xml:space="preserve">(zehn Tage), </w:t>
      </w:r>
      <w:r w:rsidRPr="006E39D1">
        <w:rPr>
          <w:rFonts w:eastAsia="Times New Roman" w:cs="Times New Roman"/>
          <w:b/>
          <w:bCs/>
          <w:rtl/>
          <w:lang w:eastAsia="de-DE"/>
        </w:rPr>
        <w:t>עֶשְׂרִים יוֹם</w:t>
      </w:r>
      <w:r w:rsidRPr="006E39D1">
        <w:rPr>
          <w:rFonts w:eastAsia="Times New Roman" w:cs="Times New Roman"/>
          <w:rtl/>
          <w:lang w:eastAsia="de-DE"/>
        </w:rPr>
        <w:t xml:space="preserve"> </w:t>
      </w:r>
      <w:r w:rsidRPr="006E39D1">
        <w:rPr>
          <w:rFonts w:eastAsia="Times New Roman" w:cs="Times New Roman"/>
          <w:lang w:eastAsia="de-DE"/>
        </w:rPr>
        <w:t>(zwanzig Tage) zeigt eine aufsteigende, aber unvollständige Progression.</w:t>
      </w:r>
    </w:p>
    <w:p w14:paraId="7D282A3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Diese rhetorische Struktur baut Spannung auf und bereitet die dramatische Ankündigung in Vers 20 vor. Die wiederholte Negation </w:t>
      </w:r>
      <w:r w:rsidRPr="006E39D1">
        <w:rPr>
          <w:rFonts w:eastAsia="Times New Roman" w:cs="Times New Roman"/>
          <w:b/>
          <w:bCs/>
          <w:rtl/>
          <w:lang w:eastAsia="de-DE"/>
        </w:rPr>
        <w:t>לֹא</w:t>
      </w:r>
      <w:r w:rsidRPr="006E39D1">
        <w:rPr>
          <w:rFonts w:eastAsia="Times New Roman" w:cs="Times New Roman"/>
          <w:rtl/>
          <w:lang w:eastAsia="de-DE"/>
        </w:rPr>
        <w:t xml:space="preserve"> </w:t>
      </w:r>
      <w:r w:rsidRPr="006E39D1">
        <w:rPr>
          <w:rFonts w:eastAsia="Times New Roman" w:cs="Times New Roman"/>
          <w:lang w:eastAsia="de-DE"/>
        </w:rPr>
        <w:t>schafft einen hämmernden Rhythmus, der die Intensität der göttlichen Ankündigung unterstreicht.</w:t>
      </w:r>
    </w:p>
    <w:p w14:paraId="08E8D33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mit der parallelen Struktur οὐχὶ ἡμέραν μίαν φάγεσθε οὐδὲ δύο ἡμέρας οὐδὲ πέντε ἡμέρας οὐδὲ δέκα ἡμέρας οὐδὲ εἴκοσι ἡμέρας (nicht einen Tag werdet ihr essen, noch zwei Tage, noch fünf Tage, noch zehn Tage, noch zwanzig Tage).</w:t>
      </w:r>
    </w:p>
    <w:p w14:paraId="66FB4D8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Die Satzstruktur zeigt aufsteigende negative Zeitreihe mit rhetorischer Steigerung zur Spannungserzeugung.</w:t>
      </w:r>
    </w:p>
    <w:p w14:paraId="51DA138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baut durch die Aufzählung begrenzter Zeiträume dramatische Spannung auf, bevor die wahre Dauer der Fleischversorgung offenbart wird.</w:t>
      </w:r>
    </w:p>
    <w:p w14:paraId="362AFF13"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11,20</w:t>
      </w:r>
    </w:p>
    <w:p w14:paraId="2A88531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עַ֣ד׀ חֹ֣דֶשׁ יָמִ֗ים עַ֤ד אֲשֶׁר־יֵצֵא֙ מֵֽאַפְּכֶ֔ם וְהָיָ֥ה לָכֶ֖ם לְזָרָ֑א יַ֗עַן כִּֽי־מְאַסְתֶּ֤ם אֶת־יְהוָה֙ אֲשֶׁ֣ר בְּקִרְבְּכֶ֔ם וַתִּבְכּ֤וּ לְפָנָיו֙ לֵאמֹ֔ר לָ֥מָּה זֶּ֖ה יָצָ֥אנוּ מִמִּצְרָֽיִם׃</w:t>
      </w:r>
    </w:p>
    <w:p w14:paraId="4AE9903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Sondern einen ganzen Monat lang, bis es euch zur Nase herauskommt und euch zum Ekel wird, weil ihr den Ewigen, der in eurer Mitte ist, verworfen und vor ihm geweint habt, indem ihr sagtet: Warum sind wir doch aus Mizrajim ausgezogen?</w:t>
      </w:r>
    </w:p>
    <w:p w14:paraId="7D4EAAE0"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0020E66C">
          <v:rect id="_x0000_i1399" style="width:0;height:1.5pt" o:hralign="center" o:hrstd="t" o:hr="t" fillcolor="#a0a0a0" stroked="f"/>
        </w:pict>
      </w:r>
    </w:p>
    <w:p w14:paraId="4DFE6137" w14:textId="11FEF21B"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dramatische Zeitangabe </w:t>
      </w:r>
      <w:r w:rsidRPr="006E39D1">
        <w:rPr>
          <w:rFonts w:eastAsia="Times New Roman" w:cs="Times New Roman"/>
          <w:b/>
          <w:bCs/>
          <w:rtl/>
          <w:lang w:eastAsia="de-DE"/>
        </w:rPr>
        <w:t>עַ֣ד׀ חֹ֣דֶשׁ יָמִ֗ים</w:t>
      </w:r>
      <w:r w:rsidRPr="006E39D1">
        <w:rPr>
          <w:rFonts w:eastAsia="Times New Roman" w:cs="Times New Roman"/>
          <w:rtl/>
          <w:lang w:eastAsia="de-DE"/>
        </w:rPr>
        <w:t xml:space="preserve"> </w:t>
      </w:r>
      <w:r w:rsidRPr="006E39D1">
        <w:rPr>
          <w:rFonts w:eastAsia="Times New Roman" w:cs="Times New Roman"/>
          <w:lang w:eastAsia="de-DE"/>
        </w:rPr>
        <w:t xml:space="preserve">(bis zu einem Monat von Tagen) mit </w:t>
      </w:r>
      <w:r w:rsidRPr="006E39D1">
        <w:rPr>
          <w:rFonts w:eastAsia="Times New Roman" w:cs="Times New Roman"/>
          <w:b/>
          <w:bCs/>
          <w:rtl/>
          <w:lang w:eastAsia="de-DE"/>
        </w:rPr>
        <w:t>עַד</w:t>
      </w:r>
      <w:r w:rsidRPr="006E39D1">
        <w:rPr>
          <w:rFonts w:eastAsia="Times New Roman" w:cs="Times New Roman"/>
          <w:rtl/>
          <w:lang w:eastAsia="de-DE"/>
        </w:rPr>
        <w:t xml:space="preserve"> </w:t>
      </w:r>
      <w:r w:rsidRPr="006E39D1">
        <w:rPr>
          <w:rFonts w:eastAsia="Times New Roman" w:cs="Times New Roman"/>
          <w:lang w:eastAsia="de-DE"/>
        </w:rPr>
        <w:t xml:space="preserve">(bis) und </w:t>
      </w:r>
      <w:r w:rsidRPr="006E39D1">
        <w:rPr>
          <w:rFonts w:eastAsia="Times New Roman" w:cs="Times New Roman"/>
          <w:b/>
          <w:bCs/>
          <w:rtl/>
          <w:lang w:eastAsia="de-DE"/>
        </w:rPr>
        <w:t>חֹדֶשׁ יָמִים</w:t>
      </w:r>
      <w:r w:rsidRPr="006E39D1">
        <w:rPr>
          <w:rFonts w:eastAsia="Times New Roman" w:cs="Times New Roman"/>
          <w:rtl/>
          <w:lang w:eastAsia="de-DE"/>
        </w:rPr>
        <w:t xml:space="preserve"> </w:t>
      </w:r>
      <w:r w:rsidRPr="006E39D1">
        <w:rPr>
          <w:rFonts w:eastAsia="Times New Roman" w:cs="Times New Roman"/>
          <w:lang w:eastAsia="de-DE"/>
        </w:rPr>
        <w:t xml:space="preserve">(Monat von Tagen) als emphatische </w:t>
      </w:r>
      <w:r w:rsidR="00F133EC">
        <w:rPr>
          <w:rFonts w:eastAsia="Times New Roman" w:cs="Times New Roman"/>
          <w:lang w:eastAsia="de-DE"/>
        </w:rPr>
        <w:t>Construct</w:t>
      </w:r>
      <w:r w:rsidRPr="006E39D1">
        <w:rPr>
          <w:rFonts w:eastAsia="Times New Roman" w:cs="Times New Roman"/>
          <w:lang w:eastAsia="de-DE"/>
        </w:rPr>
        <w:t>ion zeigt die außergewöhnlich lange Dauer der Fleischversorgung.</w:t>
      </w:r>
    </w:p>
    <w:p w14:paraId="32E44EF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groteske Beschreibung </w:t>
      </w:r>
      <w:r w:rsidRPr="006E39D1">
        <w:rPr>
          <w:rFonts w:eastAsia="Times New Roman" w:cs="Times New Roman"/>
          <w:b/>
          <w:bCs/>
          <w:rtl/>
          <w:lang w:eastAsia="de-DE"/>
        </w:rPr>
        <w:t>עַ֤ד אֲשֶׁר־יֵצֵא֙ מֵֽאַפְּכֶ֔ם וְהָיָ֥ה לָכֶ֖ם לְזָרָ֑א</w:t>
      </w:r>
      <w:r w:rsidRPr="006E39D1">
        <w:rPr>
          <w:rFonts w:eastAsia="Times New Roman" w:cs="Times New Roman"/>
          <w:rtl/>
          <w:lang w:eastAsia="de-DE"/>
        </w:rPr>
        <w:t xml:space="preserve"> </w:t>
      </w:r>
      <w:r w:rsidRPr="006E39D1">
        <w:rPr>
          <w:rFonts w:eastAsia="Times New Roman" w:cs="Times New Roman"/>
          <w:lang w:eastAsia="de-DE"/>
        </w:rPr>
        <w:t xml:space="preserve">(bis es aus euren Nasen herauskommt und euch zum Ekel wird) mit </w:t>
      </w:r>
      <w:r w:rsidRPr="006E39D1">
        <w:rPr>
          <w:rFonts w:eastAsia="Times New Roman" w:cs="Times New Roman"/>
          <w:b/>
          <w:bCs/>
          <w:rtl/>
          <w:lang w:eastAsia="de-DE"/>
        </w:rPr>
        <w:t>יֵצֵא מֵאַפְּכֶם</w:t>
      </w:r>
      <w:r w:rsidRPr="006E39D1">
        <w:rPr>
          <w:rFonts w:eastAsia="Times New Roman" w:cs="Times New Roman"/>
          <w:rtl/>
          <w:lang w:eastAsia="de-DE"/>
        </w:rPr>
        <w:t xml:space="preserve"> </w:t>
      </w:r>
      <w:r w:rsidRPr="006E39D1">
        <w:rPr>
          <w:rFonts w:eastAsia="Times New Roman" w:cs="Times New Roman"/>
          <w:lang w:eastAsia="de-DE"/>
        </w:rPr>
        <w:t xml:space="preserve">(es kommt aus euren Nasen heraus), </w:t>
      </w:r>
      <w:r w:rsidRPr="006E39D1">
        <w:rPr>
          <w:rFonts w:eastAsia="Times New Roman" w:cs="Times New Roman"/>
          <w:b/>
          <w:bCs/>
          <w:rtl/>
          <w:lang w:eastAsia="de-DE"/>
        </w:rPr>
        <w:t>מֵאַף</w:t>
      </w:r>
      <w:r w:rsidRPr="006E39D1">
        <w:rPr>
          <w:rFonts w:eastAsia="Times New Roman" w:cs="Times New Roman"/>
          <w:rtl/>
          <w:lang w:eastAsia="de-DE"/>
        </w:rPr>
        <w:t xml:space="preserve"> </w:t>
      </w:r>
      <w:r w:rsidRPr="006E39D1">
        <w:rPr>
          <w:rFonts w:eastAsia="Times New Roman" w:cs="Times New Roman"/>
          <w:lang w:eastAsia="de-DE"/>
        </w:rPr>
        <w:t xml:space="preserve">(aus der Nase) als Dual mit Possessivsuffix und </w:t>
      </w:r>
      <w:r w:rsidRPr="006E39D1">
        <w:rPr>
          <w:rFonts w:eastAsia="Times New Roman" w:cs="Times New Roman"/>
          <w:b/>
          <w:bCs/>
          <w:rtl/>
          <w:lang w:eastAsia="de-DE"/>
        </w:rPr>
        <w:t>הָיָה לָכֶם לְזָרָא</w:t>
      </w:r>
      <w:r w:rsidRPr="006E39D1">
        <w:rPr>
          <w:rFonts w:eastAsia="Times New Roman" w:cs="Times New Roman"/>
          <w:rtl/>
          <w:lang w:eastAsia="de-DE"/>
        </w:rPr>
        <w:t xml:space="preserve"> </w:t>
      </w:r>
      <w:r w:rsidRPr="006E39D1">
        <w:rPr>
          <w:rFonts w:eastAsia="Times New Roman" w:cs="Times New Roman"/>
          <w:lang w:eastAsia="de-DE"/>
        </w:rPr>
        <w:t xml:space="preserve">(es wird euch zum Ekel) mit </w:t>
      </w:r>
      <w:r w:rsidRPr="006E39D1">
        <w:rPr>
          <w:rFonts w:eastAsia="Times New Roman" w:cs="Times New Roman"/>
          <w:b/>
          <w:bCs/>
          <w:rtl/>
          <w:lang w:eastAsia="de-DE"/>
        </w:rPr>
        <w:t>זָרָא</w:t>
      </w:r>
      <w:r w:rsidRPr="006E39D1">
        <w:rPr>
          <w:rFonts w:eastAsia="Times New Roman" w:cs="Times New Roman"/>
          <w:rtl/>
          <w:lang w:eastAsia="de-DE"/>
        </w:rPr>
        <w:t xml:space="preserve"> </w:t>
      </w:r>
      <w:r w:rsidRPr="006E39D1">
        <w:rPr>
          <w:rFonts w:eastAsia="Times New Roman" w:cs="Times New Roman"/>
          <w:lang w:eastAsia="de-DE"/>
        </w:rPr>
        <w:t>(Ekel/Abscheu) zeigt die Übersättigung bis zur physischen Übelkeit.</w:t>
      </w:r>
    </w:p>
    <w:p w14:paraId="7BB6980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kausale Begründung </w:t>
      </w:r>
      <w:r w:rsidRPr="006E39D1">
        <w:rPr>
          <w:rFonts w:eastAsia="Times New Roman" w:cs="Times New Roman"/>
          <w:b/>
          <w:bCs/>
          <w:rtl/>
          <w:lang w:eastAsia="de-DE"/>
        </w:rPr>
        <w:t>יַ֗עַן כִּֽי־מְאַסְתֶּ֤ם אֶת־יְהוָה֙ אֲשֶׁ֣ר בְּקִרְבְּכֶ֔ם</w:t>
      </w:r>
      <w:r w:rsidRPr="006E39D1">
        <w:rPr>
          <w:rFonts w:eastAsia="Times New Roman" w:cs="Times New Roman"/>
          <w:rtl/>
          <w:lang w:eastAsia="de-DE"/>
        </w:rPr>
        <w:t xml:space="preserve"> </w:t>
      </w:r>
      <w:r w:rsidRPr="006E39D1">
        <w:rPr>
          <w:rFonts w:eastAsia="Times New Roman" w:cs="Times New Roman"/>
          <w:lang w:eastAsia="de-DE"/>
        </w:rPr>
        <w:t xml:space="preserve">(weil ihr den Ewigen verworfen habt, der in eurer Mitte ist) mit </w:t>
      </w:r>
      <w:r w:rsidRPr="006E39D1">
        <w:rPr>
          <w:rFonts w:eastAsia="Times New Roman" w:cs="Times New Roman"/>
          <w:b/>
          <w:bCs/>
          <w:rtl/>
          <w:lang w:eastAsia="de-DE"/>
        </w:rPr>
        <w:t>יַעַן כִּי</w:t>
      </w:r>
      <w:r w:rsidRPr="006E39D1">
        <w:rPr>
          <w:rFonts w:eastAsia="Times New Roman" w:cs="Times New Roman"/>
          <w:rtl/>
          <w:lang w:eastAsia="de-DE"/>
        </w:rPr>
        <w:t xml:space="preserve"> </w:t>
      </w:r>
      <w:r w:rsidRPr="006E39D1">
        <w:rPr>
          <w:rFonts w:eastAsia="Times New Roman" w:cs="Times New Roman"/>
          <w:lang w:eastAsia="de-DE"/>
        </w:rPr>
        <w:t xml:space="preserve">(weil), </w:t>
      </w:r>
      <w:r w:rsidRPr="006E39D1">
        <w:rPr>
          <w:rFonts w:eastAsia="Times New Roman" w:cs="Times New Roman"/>
          <w:b/>
          <w:bCs/>
          <w:rtl/>
          <w:lang w:eastAsia="de-DE"/>
        </w:rPr>
        <w:t>מְאַסְתֶּם</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מאס</w:t>
      </w:r>
      <w:r w:rsidRPr="006E39D1">
        <w:rPr>
          <w:rFonts w:eastAsia="Times New Roman" w:cs="Times New Roman"/>
          <w:rtl/>
          <w:lang w:eastAsia="de-DE"/>
        </w:rPr>
        <w:t xml:space="preserve"> </w:t>
      </w:r>
      <w:r w:rsidRPr="006E39D1">
        <w:rPr>
          <w:rFonts w:eastAsia="Times New Roman" w:cs="Times New Roman"/>
          <w:lang w:eastAsia="de-DE"/>
        </w:rPr>
        <w:t xml:space="preserve">(verwerfen) im Qal-Perfekt 2. maskulin Plural und </w:t>
      </w:r>
      <w:r w:rsidRPr="006E39D1">
        <w:rPr>
          <w:rFonts w:eastAsia="Times New Roman" w:cs="Times New Roman"/>
          <w:b/>
          <w:bCs/>
          <w:rtl/>
          <w:lang w:eastAsia="de-DE"/>
        </w:rPr>
        <w:t>אֲשֶׁר בְּקִרְבְּכֶם</w:t>
      </w:r>
      <w:r w:rsidRPr="006E39D1">
        <w:rPr>
          <w:rFonts w:eastAsia="Times New Roman" w:cs="Times New Roman"/>
          <w:rtl/>
          <w:lang w:eastAsia="de-DE"/>
        </w:rPr>
        <w:t xml:space="preserve"> </w:t>
      </w:r>
      <w:r w:rsidRPr="006E39D1">
        <w:rPr>
          <w:rFonts w:eastAsia="Times New Roman" w:cs="Times New Roman"/>
          <w:lang w:eastAsia="de-DE"/>
        </w:rPr>
        <w:t>(der in eurer Mitte ist) zeigt die theologische Schwere des Vergehens.</w:t>
      </w:r>
    </w:p>
    <w:p w14:paraId="26F3EC4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Klage-Zitation </w:t>
      </w:r>
      <w:r w:rsidRPr="006E39D1">
        <w:rPr>
          <w:rFonts w:eastAsia="Times New Roman" w:cs="Times New Roman"/>
          <w:b/>
          <w:bCs/>
          <w:rtl/>
          <w:lang w:eastAsia="de-DE"/>
        </w:rPr>
        <w:t>וַתִּבְכּ֤וּ לְפָנָיו֙ לֵאמֹ֔ר לָ֥מָּה זֶּ֖ה יָצָ֥אנוּ מִמִּצְרָֽיִם</w:t>
      </w:r>
      <w:r w:rsidRPr="006E39D1">
        <w:rPr>
          <w:rFonts w:eastAsia="Times New Roman" w:cs="Times New Roman"/>
          <w:rtl/>
          <w:lang w:eastAsia="de-DE"/>
        </w:rPr>
        <w:t xml:space="preserve"> </w:t>
      </w:r>
      <w:r w:rsidRPr="006E39D1">
        <w:rPr>
          <w:rFonts w:eastAsia="Times New Roman" w:cs="Times New Roman"/>
          <w:lang w:eastAsia="de-DE"/>
        </w:rPr>
        <w:t xml:space="preserve">(und ihr weintet vor ihm, sagend: warum sind wir doch aus Ägypten ausgezogen) mit </w:t>
      </w:r>
      <w:r w:rsidRPr="006E39D1">
        <w:rPr>
          <w:rFonts w:eastAsia="Times New Roman" w:cs="Times New Roman"/>
          <w:b/>
          <w:bCs/>
          <w:rtl/>
          <w:lang w:eastAsia="de-DE"/>
        </w:rPr>
        <w:t>תִּבְכּוּ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בכה</w:t>
      </w:r>
      <w:r w:rsidRPr="006E39D1">
        <w:rPr>
          <w:rFonts w:eastAsia="Times New Roman" w:cs="Times New Roman"/>
          <w:rtl/>
          <w:lang w:eastAsia="de-DE"/>
        </w:rPr>
        <w:t xml:space="preserve"> </w:t>
      </w:r>
      <w:r w:rsidRPr="006E39D1">
        <w:rPr>
          <w:rFonts w:eastAsia="Times New Roman" w:cs="Times New Roman"/>
          <w:lang w:eastAsia="de-DE"/>
        </w:rPr>
        <w:t xml:space="preserve">(weinen) und der rhetorischen Frage </w:t>
      </w:r>
      <w:r w:rsidRPr="006E39D1">
        <w:rPr>
          <w:rFonts w:eastAsia="Times New Roman" w:cs="Times New Roman"/>
          <w:b/>
          <w:bCs/>
          <w:rtl/>
          <w:lang w:eastAsia="de-DE"/>
        </w:rPr>
        <w:t>לָמָּה זֶּה יָצָאנוּ מִמִּצְרָיִם</w:t>
      </w:r>
      <w:r w:rsidRPr="006E39D1">
        <w:rPr>
          <w:rFonts w:eastAsia="Times New Roman" w:cs="Times New Roman"/>
          <w:rtl/>
          <w:lang w:eastAsia="de-DE"/>
        </w:rPr>
        <w:t xml:space="preserve"> </w:t>
      </w:r>
      <w:r w:rsidRPr="006E39D1">
        <w:rPr>
          <w:rFonts w:eastAsia="Times New Roman" w:cs="Times New Roman"/>
          <w:lang w:eastAsia="de-DE"/>
        </w:rPr>
        <w:t>zeigt den Gipfel der israelitischen Undankbarkeit.</w:t>
      </w:r>
    </w:p>
    <w:p w14:paraId="76BC83F5" w14:textId="7FC666F9"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interpretiert das hebräische „</w:t>
      </w:r>
      <w:r w:rsidR="00497CF8">
        <w:rPr>
          <w:rtl/>
        </w:rPr>
        <w:t>לְזָרָא</w:t>
      </w:r>
      <w:r w:rsidR="00497CF8">
        <w:t>" (zum Ekel) als „εἰς χολέραν" (zur Cholera/Galle), eine medizinisch-pathologische Interpretation statt einer emotionalen Beschreibung.</w:t>
      </w:r>
    </w:p>
    <w:p w14:paraId="391F4D3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dramatische Zeitangabe, groteske Beschreibung physischer Übelkeit, theologische Begründung und Klage-Zitation.</w:t>
      </w:r>
    </w:p>
    <w:p w14:paraId="00E2BAC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göttliche Ironie in ihrer härtesten Form: das Volk bekommt seine Fleischforderung erfüllt, aber als Strafe bis zur physischen Übelkeit, wegen ihrer fundamentalen Ablehnung göttlicher Führung.</w:t>
      </w:r>
    </w:p>
    <w:p w14:paraId="6836A1BC"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11,21</w:t>
      </w:r>
    </w:p>
    <w:p w14:paraId="12E787C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Hebräisch:</w:t>
      </w:r>
      <w:r w:rsidRPr="006E39D1">
        <w:rPr>
          <w:rFonts w:eastAsia="Times New Roman" w:cs="Times New Roman"/>
          <w:lang w:eastAsia="de-DE"/>
        </w:rPr>
        <w:t xml:space="preserve"> </w:t>
      </w:r>
      <w:r w:rsidRPr="006E39D1">
        <w:rPr>
          <w:rFonts w:eastAsia="Times New Roman" w:cs="Times New Roman"/>
          <w:rtl/>
          <w:lang w:eastAsia="de-DE"/>
        </w:rPr>
        <w:t>וַיֹּאמֶר֮ מֹשֶׁה֒ שֵׁשׁ־מֵא֥וֹת אֶ֨לֶף֙ רַגְלִ֔י הָעָ֕ם אֲשֶׁ֥ר אָנֹכִ֖י בְּקִרְבֹּ֑ו וְאַתָּ֣ה אָמַ֗רְתָּ בָּשָׂר֙ אֶתֵּ֣ן לָהֶ֔ם וְאָכְל֖וּ חֹ֥דֶשׁ יָמִֽים׃</w:t>
      </w:r>
    </w:p>
    <w:p w14:paraId="5750DF5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Mosche sprach: 600.000 Mann zu Fuß ist das Volk, in dessen Mitte ich bin, und du sagst: Fleisch will ich ihnen geben, dass sie einen ganzen Monat lang essen!</w:t>
      </w:r>
    </w:p>
    <w:p w14:paraId="5495FF93"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44E6EE52">
          <v:rect id="_x0000_i1400" style="width:0;height:1.5pt" o:hralign="center" o:hrstd="t" o:hr="t" fillcolor="#a0a0a0" stroked="f"/>
        </w:pict>
      </w:r>
    </w:p>
    <w:p w14:paraId="197A8FD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 מֹשֶׁה</w:t>
      </w:r>
      <w:r w:rsidRPr="006E39D1">
        <w:rPr>
          <w:rFonts w:eastAsia="Times New Roman" w:cs="Times New Roman"/>
          <w:rtl/>
          <w:lang w:eastAsia="de-DE"/>
        </w:rPr>
        <w:t xml:space="preserve"> </w:t>
      </w:r>
      <w:r w:rsidRPr="006E39D1">
        <w:rPr>
          <w:rFonts w:eastAsia="Times New Roman" w:cs="Times New Roman"/>
          <w:lang w:eastAsia="de-DE"/>
        </w:rPr>
        <w:t xml:space="preserve">(und Mose sprach) leitet Moses skeptische Rückfrage ein. Die Zahlenangabe </w:t>
      </w:r>
      <w:r w:rsidRPr="006E39D1">
        <w:rPr>
          <w:rFonts w:eastAsia="Times New Roman" w:cs="Times New Roman"/>
          <w:b/>
          <w:bCs/>
          <w:rtl/>
          <w:lang w:eastAsia="de-DE"/>
        </w:rPr>
        <w:t>שֵׁשׁ־מֵא֥וֹת אֶ֨לֶף֙ רַגְלִ֔י</w:t>
      </w:r>
      <w:r w:rsidRPr="006E39D1">
        <w:rPr>
          <w:rFonts w:eastAsia="Times New Roman" w:cs="Times New Roman"/>
          <w:rtl/>
          <w:lang w:eastAsia="de-DE"/>
        </w:rPr>
        <w:t xml:space="preserve"> </w:t>
      </w:r>
      <w:r w:rsidRPr="006E39D1">
        <w:rPr>
          <w:rFonts w:eastAsia="Times New Roman" w:cs="Times New Roman"/>
          <w:lang w:eastAsia="de-DE"/>
        </w:rPr>
        <w:t xml:space="preserve">(600.000 Mann zu Fuß) mit </w:t>
      </w:r>
      <w:r w:rsidRPr="006E39D1">
        <w:rPr>
          <w:rFonts w:eastAsia="Times New Roman" w:cs="Times New Roman"/>
          <w:b/>
          <w:bCs/>
          <w:rtl/>
          <w:lang w:eastAsia="de-DE"/>
        </w:rPr>
        <w:t>שֵׁשׁ־מֵאוֹת אֶלֶף</w:t>
      </w:r>
      <w:r w:rsidRPr="006E39D1">
        <w:rPr>
          <w:rFonts w:eastAsia="Times New Roman" w:cs="Times New Roman"/>
          <w:rtl/>
          <w:lang w:eastAsia="de-DE"/>
        </w:rPr>
        <w:t xml:space="preserve"> </w:t>
      </w:r>
      <w:r w:rsidRPr="006E39D1">
        <w:rPr>
          <w:rFonts w:eastAsia="Times New Roman" w:cs="Times New Roman"/>
          <w:lang w:eastAsia="de-DE"/>
        </w:rPr>
        <w:t xml:space="preserve">(sechshunderttausend) und </w:t>
      </w:r>
      <w:r w:rsidRPr="006E39D1">
        <w:rPr>
          <w:rFonts w:eastAsia="Times New Roman" w:cs="Times New Roman"/>
          <w:b/>
          <w:bCs/>
          <w:rtl/>
          <w:lang w:eastAsia="de-DE"/>
        </w:rPr>
        <w:t>רַגְלִי</w:t>
      </w:r>
      <w:r w:rsidRPr="006E39D1">
        <w:rPr>
          <w:rFonts w:eastAsia="Times New Roman" w:cs="Times New Roman"/>
          <w:rtl/>
          <w:lang w:eastAsia="de-DE"/>
        </w:rPr>
        <w:t xml:space="preserve"> </w:t>
      </w:r>
      <w:r w:rsidRPr="006E39D1">
        <w:rPr>
          <w:rFonts w:eastAsia="Times New Roman" w:cs="Times New Roman"/>
          <w:lang w:eastAsia="de-DE"/>
        </w:rPr>
        <w:t>(Fußvolk) zeigt die gewaltige Größe der zu versorgenden Bevölkerung, bezogen auf die wehrfähigen Männer aus der Volkszählung in Numeri 1.</w:t>
      </w:r>
    </w:p>
    <w:p w14:paraId="0DED9C2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relativische Charakterisierung </w:t>
      </w:r>
      <w:r w:rsidRPr="006E39D1">
        <w:rPr>
          <w:rFonts w:eastAsia="Times New Roman" w:cs="Times New Roman"/>
          <w:b/>
          <w:bCs/>
          <w:rtl/>
          <w:lang w:eastAsia="de-DE"/>
        </w:rPr>
        <w:t>הָעָ֕ם אֲשֶׁ֥ר אָנֹכִ֖י בְּקִרְבֹּ֑ו</w:t>
      </w:r>
      <w:r w:rsidRPr="006E39D1">
        <w:rPr>
          <w:rFonts w:eastAsia="Times New Roman" w:cs="Times New Roman"/>
          <w:rtl/>
          <w:lang w:eastAsia="de-DE"/>
        </w:rPr>
        <w:t xml:space="preserve"> </w:t>
      </w:r>
      <w:r w:rsidRPr="006E39D1">
        <w:rPr>
          <w:rFonts w:eastAsia="Times New Roman" w:cs="Times New Roman"/>
          <w:lang w:eastAsia="de-DE"/>
        </w:rPr>
        <w:t xml:space="preserve">(das Volk, in dessen Mitte ich bin) mit </w:t>
      </w:r>
      <w:r w:rsidRPr="006E39D1">
        <w:rPr>
          <w:rFonts w:eastAsia="Times New Roman" w:cs="Times New Roman"/>
          <w:b/>
          <w:bCs/>
          <w:rtl/>
          <w:lang w:eastAsia="de-DE"/>
        </w:rPr>
        <w:t>אֲשֶׁר</w:t>
      </w:r>
      <w:r w:rsidRPr="006E39D1">
        <w:rPr>
          <w:rFonts w:eastAsia="Times New Roman" w:cs="Times New Roman"/>
          <w:rtl/>
          <w:lang w:eastAsia="de-DE"/>
        </w:rPr>
        <w:t xml:space="preserve"> </w:t>
      </w:r>
      <w:r w:rsidRPr="006E39D1">
        <w:rPr>
          <w:rFonts w:eastAsia="Times New Roman" w:cs="Times New Roman"/>
          <w:lang w:eastAsia="de-DE"/>
        </w:rPr>
        <w:t xml:space="preserve">(das), dem emphatischen Pronomen </w:t>
      </w:r>
      <w:r w:rsidRPr="006E39D1">
        <w:rPr>
          <w:rFonts w:eastAsia="Times New Roman" w:cs="Times New Roman"/>
          <w:b/>
          <w:bCs/>
          <w:rtl/>
          <w:lang w:eastAsia="de-DE"/>
        </w:rPr>
        <w:t>אָנֹכִי</w:t>
      </w:r>
      <w:r w:rsidRPr="006E39D1">
        <w:rPr>
          <w:rFonts w:eastAsia="Times New Roman" w:cs="Times New Roman"/>
          <w:rtl/>
          <w:lang w:eastAsia="de-DE"/>
        </w:rPr>
        <w:t xml:space="preserve"> </w:t>
      </w:r>
      <w:r w:rsidRPr="006E39D1">
        <w:rPr>
          <w:rFonts w:eastAsia="Times New Roman" w:cs="Times New Roman"/>
          <w:lang w:eastAsia="de-DE"/>
        </w:rPr>
        <w:t xml:space="preserve">(ich) und </w:t>
      </w:r>
      <w:r w:rsidRPr="006E39D1">
        <w:rPr>
          <w:rFonts w:eastAsia="Times New Roman" w:cs="Times New Roman"/>
          <w:b/>
          <w:bCs/>
          <w:rtl/>
          <w:lang w:eastAsia="de-DE"/>
        </w:rPr>
        <w:t>בְּקִרְבּוֹ</w:t>
      </w:r>
      <w:r w:rsidRPr="006E39D1">
        <w:rPr>
          <w:rFonts w:eastAsia="Times New Roman" w:cs="Times New Roman"/>
          <w:rtl/>
          <w:lang w:eastAsia="de-DE"/>
        </w:rPr>
        <w:t xml:space="preserve"> </w:t>
      </w:r>
      <w:r w:rsidRPr="006E39D1">
        <w:rPr>
          <w:rFonts w:eastAsia="Times New Roman" w:cs="Times New Roman"/>
          <w:lang w:eastAsia="de-DE"/>
        </w:rPr>
        <w:t>(in seiner Mitte) betont Moses persönliche Verantwortung und intime Kenntnis der logistischen Herausforderung.</w:t>
      </w:r>
    </w:p>
    <w:p w14:paraId="6F8C449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indirekte Gottesrede </w:t>
      </w:r>
      <w:r w:rsidRPr="006E39D1">
        <w:rPr>
          <w:rFonts w:eastAsia="Times New Roman" w:cs="Times New Roman"/>
          <w:b/>
          <w:bCs/>
          <w:rtl/>
          <w:lang w:eastAsia="de-DE"/>
        </w:rPr>
        <w:t>וְאַתָּ֣ה אָמַ֗רְתָּ בָּשָׂר֙ אֶתֵּ֣ן לָהֶ֔ם וְאָכְל֖וּ חֹ֥דֶשׁ יָמִֽים</w:t>
      </w:r>
      <w:r w:rsidRPr="006E39D1">
        <w:rPr>
          <w:rFonts w:eastAsia="Times New Roman" w:cs="Times New Roman"/>
          <w:rtl/>
          <w:lang w:eastAsia="de-DE"/>
        </w:rPr>
        <w:t xml:space="preserve"> </w:t>
      </w:r>
      <w:r w:rsidRPr="006E39D1">
        <w:rPr>
          <w:rFonts w:eastAsia="Times New Roman" w:cs="Times New Roman"/>
          <w:lang w:eastAsia="de-DE"/>
        </w:rPr>
        <w:t xml:space="preserve">(und du sagst: Fleisch will ich ihnen geben, und sie sollen essen einen Monat von Tagen) mit dem emphatischen Pronomen </w:t>
      </w:r>
      <w:r w:rsidRPr="006E39D1">
        <w:rPr>
          <w:rFonts w:eastAsia="Times New Roman" w:cs="Times New Roman"/>
          <w:b/>
          <w:bCs/>
          <w:rtl/>
          <w:lang w:eastAsia="de-DE"/>
        </w:rPr>
        <w:t>אַתָּה</w:t>
      </w:r>
      <w:r w:rsidRPr="006E39D1">
        <w:rPr>
          <w:rFonts w:eastAsia="Times New Roman" w:cs="Times New Roman"/>
          <w:rtl/>
          <w:lang w:eastAsia="de-DE"/>
        </w:rPr>
        <w:t xml:space="preserve"> </w:t>
      </w:r>
      <w:r w:rsidRPr="006E39D1">
        <w:rPr>
          <w:rFonts w:eastAsia="Times New Roman" w:cs="Times New Roman"/>
          <w:lang w:eastAsia="de-DE"/>
        </w:rPr>
        <w:t xml:space="preserve">(du), </w:t>
      </w:r>
      <w:r w:rsidRPr="006E39D1">
        <w:rPr>
          <w:rFonts w:eastAsia="Times New Roman" w:cs="Times New Roman"/>
          <w:b/>
          <w:bCs/>
          <w:rtl/>
          <w:lang w:eastAsia="de-DE"/>
        </w:rPr>
        <w:t>אָמַרְתָּ</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אמר</w:t>
      </w:r>
      <w:r w:rsidRPr="006E39D1">
        <w:rPr>
          <w:rFonts w:eastAsia="Times New Roman" w:cs="Times New Roman"/>
          <w:rtl/>
          <w:lang w:eastAsia="de-DE"/>
        </w:rPr>
        <w:t xml:space="preserve"> </w:t>
      </w:r>
      <w:r w:rsidRPr="006E39D1">
        <w:rPr>
          <w:rFonts w:eastAsia="Times New Roman" w:cs="Times New Roman"/>
          <w:lang w:eastAsia="de-DE"/>
        </w:rPr>
        <w:t xml:space="preserve">(sagen), </w:t>
      </w:r>
      <w:r w:rsidRPr="006E39D1">
        <w:rPr>
          <w:rFonts w:eastAsia="Times New Roman" w:cs="Times New Roman"/>
          <w:b/>
          <w:bCs/>
          <w:rtl/>
          <w:lang w:eastAsia="de-DE"/>
        </w:rPr>
        <w:t>אֶתֵּן</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נתן</w:t>
      </w:r>
      <w:r w:rsidRPr="006E39D1">
        <w:rPr>
          <w:rFonts w:eastAsia="Times New Roman" w:cs="Times New Roman"/>
          <w:rtl/>
          <w:lang w:eastAsia="de-DE"/>
        </w:rPr>
        <w:t xml:space="preserve"> </w:t>
      </w:r>
      <w:r w:rsidRPr="006E39D1">
        <w:rPr>
          <w:rFonts w:eastAsia="Times New Roman" w:cs="Times New Roman"/>
          <w:lang w:eastAsia="de-DE"/>
        </w:rPr>
        <w:t xml:space="preserve">(geben) im Qal-Imperfekt 1. Person Singular und </w:t>
      </w:r>
      <w:r w:rsidRPr="006E39D1">
        <w:rPr>
          <w:rFonts w:eastAsia="Times New Roman" w:cs="Times New Roman"/>
          <w:b/>
          <w:bCs/>
          <w:rtl/>
          <w:lang w:eastAsia="de-DE"/>
        </w:rPr>
        <w:t>וְאָכְלוּ חֹדֶשׁ יָמִים</w:t>
      </w:r>
      <w:r w:rsidRPr="006E39D1">
        <w:rPr>
          <w:rFonts w:eastAsia="Times New Roman" w:cs="Times New Roman"/>
          <w:rtl/>
          <w:lang w:eastAsia="de-DE"/>
        </w:rPr>
        <w:t xml:space="preserve"> </w:t>
      </w:r>
      <w:r w:rsidRPr="006E39D1">
        <w:rPr>
          <w:rFonts w:eastAsia="Times New Roman" w:cs="Times New Roman"/>
          <w:lang w:eastAsia="de-DE"/>
        </w:rPr>
        <w:t>(sie sollen essen einen Monat von Tagen) zeigt Moses Unglauben angesichts der göttlichen Verheißung.</w:t>
      </w:r>
    </w:p>
    <w:p w14:paraId="7330D03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רַגְלִי</w:t>
      </w:r>
      <w:r w:rsidRPr="006E39D1">
        <w:rPr>
          <w:rFonts w:eastAsia="Times New Roman" w:cs="Times New Roman"/>
          <w:rtl/>
          <w:lang w:eastAsia="de-DE"/>
        </w:rPr>
        <w:t xml:space="preserve"> </w:t>
      </w:r>
      <w:r w:rsidRPr="006E39D1">
        <w:rPr>
          <w:rFonts w:eastAsia="Times New Roman" w:cs="Times New Roman"/>
          <w:lang w:eastAsia="de-DE"/>
        </w:rPr>
        <w:t xml:space="preserve">mit πεζῶν (Fußsoldaten), </w:t>
      </w:r>
      <w:r w:rsidRPr="006E39D1">
        <w:rPr>
          <w:rFonts w:eastAsia="Times New Roman" w:cs="Times New Roman"/>
          <w:b/>
          <w:bCs/>
          <w:rtl/>
          <w:lang w:eastAsia="de-DE"/>
        </w:rPr>
        <w:t>בְּקִרְבֹּו</w:t>
      </w:r>
      <w:r w:rsidRPr="006E39D1">
        <w:rPr>
          <w:rFonts w:eastAsia="Times New Roman" w:cs="Times New Roman"/>
          <w:rtl/>
          <w:lang w:eastAsia="de-DE"/>
        </w:rPr>
        <w:t xml:space="preserve"> </w:t>
      </w:r>
      <w:r w:rsidRPr="006E39D1">
        <w:rPr>
          <w:rFonts w:eastAsia="Times New Roman" w:cs="Times New Roman"/>
          <w:lang w:eastAsia="de-DE"/>
        </w:rPr>
        <w:t xml:space="preserve">mit ἐν αὐτοῖς εἰμι (ich bin unter ihnen) und </w:t>
      </w:r>
      <w:r w:rsidRPr="006E39D1">
        <w:rPr>
          <w:rFonts w:eastAsia="Times New Roman" w:cs="Times New Roman"/>
          <w:b/>
          <w:bCs/>
          <w:rtl/>
          <w:lang w:eastAsia="de-DE"/>
        </w:rPr>
        <w:t>חֹדֶשׁ יָמִים</w:t>
      </w:r>
      <w:r w:rsidRPr="006E39D1">
        <w:rPr>
          <w:rFonts w:eastAsia="Times New Roman" w:cs="Times New Roman"/>
          <w:rtl/>
          <w:lang w:eastAsia="de-DE"/>
        </w:rPr>
        <w:t xml:space="preserve"> </w:t>
      </w:r>
      <w:r w:rsidRPr="006E39D1">
        <w:rPr>
          <w:rFonts w:eastAsia="Times New Roman" w:cs="Times New Roman"/>
          <w:lang w:eastAsia="de-DE"/>
        </w:rPr>
        <w:t>mit μῆνα ἡμερῶν (einen Monat von Tagen).</w:t>
      </w:r>
    </w:p>
    <w:p w14:paraId="32B19D9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skeptische Rückfrage mit konkreter Zahlenangabe, persönlicher Situationsbeschreibung und indirekter Gottesrede-Wiedergabe.</w:t>
      </w:r>
    </w:p>
    <w:p w14:paraId="62F74CD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Moses menschliche Skepsis gegenüber göttlicher Allmacht, basierend auf praktischen logistischen Überlegungen.</w:t>
      </w:r>
    </w:p>
    <w:p w14:paraId="444BF401"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11,22</w:t>
      </w:r>
    </w:p>
    <w:p w14:paraId="30DC95A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הֲצֹ֧אן וּבָקָ֛ר יִשָּׁחֵ֥ט לָהֶ֖ם וּמָצָ֣א לָהֶ֑ם אִ֣ם אֶֽת־כָּל־דְּגֵ֥י הַיָּ֛ם יֵאָסֵ֥ף לָהֶ֖ם וּמָצָ֥א לָהֶֽם׃</w:t>
      </w:r>
    </w:p>
    <w:p w14:paraId="196689A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Soll Klein- und Rindvieh für sie geschlachtet werden, dass es für sie ausreiche? Oder sollen alle Fische des Meeres für sie gesammelt werden, dass es für sie ausreiche?</w:t>
      </w:r>
    </w:p>
    <w:p w14:paraId="0DBB9EEB"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6A519534">
          <v:rect id="_x0000_i1401" style="width:0;height:1.5pt" o:hralign="center" o:hrstd="t" o:hr="t" fillcolor="#a0a0a0" stroked="f"/>
        </w:pict>
      </w:r>
    </w:p>
    <w:p w14:paraId="71CC494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doppelte rhetorische Frage zeigt Moses praktische Berechnung der benötigten Fleischmengen. Die erste Frage </w:t>
      </w:r>
      <w:r w:rsidRPr="006E39D1">
        <w:rPr>
          <w:rFonts w:eastAsia="Times New Roman" w:cs="Times New Roman"/>
          <w:b/>
          <w:bCs/>
          <w:rtl/>
          <w:lang w:eastAsia="de-DE"/>
        </w:rPr>
        <w:t>הֲצֹ֧אן וּבָקָ֛ר יִשָּׁחֵ֥ט לָהֶ֖ם וּמָצָ֣א לָהֶ֑ם</w:t>
      </w:r>
      <w:r w:rsidRPr="006E39D1">
        <w:rPr>
          <w:rFonts w:eastAsia="Times New Roman" w:cs="Times New Roman"/>
          <w:rtl/>
          <w:lang w:eastAsia="de-DE"/>
        </w:rPr>
        <w:t xml:space="preserve"> </w:t>
      </w:r>
      <w:r w:rsidRPr="006E39D1">
        <w:rPr>
          <w:rFonts w:eastAsia="Times New Roman" w:cs="Times New Roman"/>
          <w:lang w:eastAsia="de-DE"/>
        </w:rPr>
        <w:t xml:space="preserve">(soll Kleinvieh und Rindvieh geschlachtet werden für sie, und wird es ausreichen für sie) mit </w:t>
      </w:r>
      <w:r w:rsidRPr="006E39D1">
        <w:rPr>
          <w:rFonts w:eastAsia="Times New Roman" w:cs="Times New Roman"/>
          <w:b/>
          <w:bCs/>
          <w:rtl/>
          <w:lang w:eastAsia="de-DE"/>
        </w:rPr>
        <w:t>הֲ</w:t>
      </w:r>
      <w:r w:rsidRPr="006E39D1">
        <w:rPr>
          <w:rFonts w:eastAsia="Times New Roman" w:cs="Times New Roman"/>
          <w:rtl/>
          <w:lang w:eastAsia="de-DE"/>
        </w:rPr>
        <w:t xml:space="preserve"> </w:t>
      </w:r>
      <w:r w:rsidRPr="006E39D1">
        <w:rPr>
          <w:rFonts w:eastAsia="Times New Roman" w:cs="Times New Roman"/>
          <w:lang w:eastAsia="de-DE"/>
        </w:rPr>
        <w:t xml:space="preserve">als Fragepartikel, </w:t>
      </w:r>
      <w:r w:rsidRPr="006E39D1">
        <w:rPr>
          <w:rFonts w:eastAsia="Times New Roman" w:cs="Times New Roman"/>
          <w:b/>
          <w:bCs/>
          <w:rtl/>
          <w:lang w:eastAsia="de-DE"/>
        </w:rPr>
        <w:t>צֹאן וּבָקָר</w:t>
      </w:r>
      <w:r w:rsidRPr="006E39D1">
        <w:rPr>
          <w:rFonts w:eastAsia="Times New Roman" w:cs="Times New Roman"/>
          <w:rtl/>
          <w:lang w:eastAsia="de-DE"/>
        </w:rPr>
        <w:t xml:space="preserve"> </w:t>
      </w:r>
      <w:r w:rsidRPr="006E39D1">
        <w:rPr>
          <w:rFonts w:eastAsia="Times New Roman" w:cs="Times New Roman"/>
          <w:lang w:eastAsia="de-DE"/>
        </w:rPr>
        <w:t xml:space="preserve">(Kleinvieh und Rindvieh) als Hendiadyoin für alle Herdentiere, </w:t>
      </w:r>
      <w:r w:rsidRPr="006E39D1">
        <w:rPr>
          <w:rFonts w:eastAsia="Times New Roman" w:cs="Times New Roman"/>
          <w:b/>
          <w:bCs/>
          <w:rtl/>
          <w:lang w:eastAsia="de-DE"/>
        </w:rPr>
        <w:t>יִשָּׁחֵט</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שחט</w:t>
      </w:r>
      <w:r w:rsidRPr="006E39D1">
        <w:rPr>
          <w:rFonts w:eastAsia="Times New Roman" w:cs="Times New Roman"/>
          <w:rtl/>
          <w:lang w:eastAsia="de-DE"/>
        </w:rPr>
        <w:t xml:space="preserve"> </w:t>
      </w:r>
      <w:r w:rsidRPr="006E39D1">
        <w:rPr>
          <w:rFonts w:eastAsia="Times New Roman" w:cs="Times New Roman"/>
          <w:lang w:eastAsia="de-DE"/>
        </w:rPr>
        <w:t xml:space="preserve">(schlachten) im Niph'al-Imperfekt 3. maskulin Singular und </w:t>
      </w:r>
      <w:r w:rsidRPr="006E39D1">
        <w:rPr>
          <w:rFonts w:eastAsia="Times New Roman" w:cs="Times New Roman"/>
          <w:b/>
          <w:bCs/>
          <w:rtl/>
          <w:lang w:eastAsia="de-DE"/>
        </w:rPr>
        <w:t>מָצָא לָהֶם</w:t>
      </w:r>
      <w:r w:rsidRPr="006E39D1">
        <w:rPr>
          <w:rFonts w:eastAsia="Times New Roman" w:cs="Times New Roman"/>
          <w:rtl/>
          <w:lang w:eastAsia="de-DE"/>
        </w:rPr>
        <w:t xml:space="preserve"> </w:t>
      </w:r>
      <w:r w:rsidRPr="006E39D1">
        <w:rPr>
          <w:rFonts w:eastAsia="Times New Roman" w:cs="Times New Roman"/>
          <w:lang w:eastAsia="de-DE"/>
        </w:rPr>
        <w:t xml:space="preserve">(es wird ausreichen für sie) von </w:t>
      </w:r>
      <w:r w:rsidRPr="006E39D1">
        <w:rPr>
          <w:rFonts w:eastAsia="Times New Roman" w:cs="Times New Roman"/>
          <w:b/>
          <w:bCs/>
          <w:rtl/>
          <w:lang w:eastAsia="de-DE"/>
        </w:rPr>
        <w:t>מצא</w:t>
      </w:r>
      <w:r w:rsidRPr="006E39D1">
        <w:rPr>
          <w:rFonts w:eastAsia="Times New Roman" w:cs="Times New Roman"/>
          <w:rtl/>
          <w:lang w:eastAsia="de-DE"/>
        </w:rPr>
        <w:t xml:space="preserve"> </w:t>
      </w:r>
      <w:r w:rsidRPr="006E39D1">
        <w:rPr>
          <w:rFonts w:eastAsia="Times New Roman" w:cs="Times New Roman"/>
          <w:lang w:eastAsia="de-DE"/>
        </w:rPr>
        <w:t>(finden/ausreichen) zeigt die erste mögliche Fleischquelle.</w:t>
      </w:r>
    </w:p>
    <w:p w14:paraId="4524139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 xml:space="preserve">Die alternative Frage </w:t>
      </w:r>
      <w:r w:rsidRPr="006E39D1">
        <w:rPr>
          <w:rFonts w:eastAsia="Times New Roman" w:cs="Times New Roman"/>
          <w:b/>
          <w:bCs/>
          <w:rtl/>
          <w:lang w:eastAsia="de-DE"/>
        </w:rPr>
        <w:t>אִ֣ם אֶֽת־כָּל־דְּגֵ֥י הַיָּ֛ם יֵאָסֵ֥ף לָהֶ֖ם וּמָצָ֥א לָהֶֽם</w:t>
      </w:r>
      <w:r w:rsidRPr="006E39D1">
        <w:rPr>
          <w:rFonts w:eastAsia="Times New Roman" w:cs="Times New Roman"/>
          <w:rtl/>
          <w:lang w:eastAsia="de-DE"/>
        </w:rPr>
        <w:t xml:space="preserve"> </w:t>
      </w:r>
      <w:r w:rsidRPr="006E39D1">
        <w:rPr>
          <w:rFonts w:eastAsia="Times New Roman" w:cs="Times New Roman"/>
          <w:lang w:eastAsia="de-DE"/>
        </w:rPr>
        <w:t xml:space="preserve">(oder sollen alle Fische des Meeres gesammelt werden für sie, und wird es ausreichen für sie) mit </w:t>
      </w:r>
      <w:r w:rsidRPr="006E39D1">
        <w:rPr>
          <w:rFonts w:eastAsia="Times New Roman" w:cs="Times New Roman"/>
          <w:b/>
          <w:bCs/>
          <w:rtl/>
          <w:lang w:eastAsia="de-DE"/>
        </w:rPr>
        <w:t>אִם</w:t>
      </w:r>
      <w:r w:rsidRPr="006E39D1">
        <w:rPr>
          <w:rFonts w:eastAsia="Times New Roman" w:cs="Times New Roman"/>
          <w:rtl/>
          <w:lang w:eastAsia="de-DE"/>
        </w:rPr>
        <w:t xml:space="preserve"> </w:t>
      </w:r>
      <w:r w:rsidRPr="006E39D1">
        <w:rPr>
          <w:rFonts w:eastAsia="Times New Roman" w:cs="Times New Roman"/>
          <w:lang w:eastAsia="de-DE"/>
        </w:rPr>
        <w:t xml:space="preserve">(oder/wenn), </w:t>
      </w:r>
      <w:r w:rsidRPr="006E39D1">
        <w:rPr>
          <w:rFonts w:eastAsia="Times New Roman" w:cs="Times New Roman"/>
          <w:b/>
          <w:bCs/>
          <w:rtl/>
          <w:lang w:eastAsia="de-DE"/>
        </w:rPr>
        <w:t>כָּל־דְּגֵי הַיָּם</w:t>
      </w:r>
      <w:r w:rsidRPr="006E39D1">
        <w:rPr>
          <w:rFonts w:eastAsia="Times New Roman" w:cs="Times New Roman"/>
          <w:rtl/>
          <w:lang w:eastAsia="de-DE"/>
        </w:rPr>
        <w:t xml:space="preserve"> </w:t>
      </w:r>
      <w:r w:rsidRPr="006E39D1">
        <w:rPr>
          <w:rFonts w:eastAsia="Times New Roman" w:cs="Times New Roman"/>
          <w:lang w:eastAsia="de-DE"/>
        </w:rPr>
        <w:t xml:space="preserve">(alle Fische des Meeres) als hyperbolische Totalität, </w:t>
      </w:r>
      <w:r w:rsidRPr="006E39D1">
        <w:rPr>
          <w:rFonts w:eastAsia="Times New Roman" w:cs="Times New Roman"/>
          <w:b/>
          <w:bCs/>
          <w:rtl/>
          <w:lang w:eastAsia="de-DE"/>
        </w:rPr>
        <w:t>יֵאָסֵף</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אסף</w:t>
      </w:r>
      <w:r w:rsidRPr="006E39D1">
        <w:rPr>
          <w:rFonts w:eastAsia="Times New Roman" w:cs="Times New Roman"/>
          <w:rtl/>
          <w:lang w:eastAsia="de-DE"/>
        </w:rPr>
        <w:t xml:space="preserve"> </w:t>
      </w:r>
      <w:r w:rsidRPr="006E39D1">
        <w:rPr>
          <w:rFonts w:eastAsia="Times New Roman" w:cs="Times New Roman"/>
          <w:lang w:eastAsia="de-DE"/>
        </w:rPr>
        <w:t xml:space="preserve">(sammeln) im Niph'al-Imperfekt und </w:t>
      </w:r>
      <w:r w:rsidRPr="006E39D1">
        <w:rPr>
          <w:rFonts w:eastAsia="Times New Roman" w:cs="Times New Roman"/>
          <w:b/>
          <w:bCs/>
          <w:rtl/>
          <w:lang w:eastAsia="de-DE"/>
        </w:rPr>
        <w:t>מָצָא לָהֶם</w:t>
      </w:r>
      <w:r w:rsidRPr="006E39D1">
        <w:rPr>
          <w:rFonts w:eastAsia="Times New Roman" w:cs="Times New Roman"/>
          <w:rtl/>
          <w:lang w:eastAsia="de-DE"/>
        </w:rPr>
        <w:t xml:space="preserve"> </w:t>
      </w:r>
      <w:r w:rsidRPr="006E39D1">
        <w:rPr>
          <w:rFonts w:eastAsia="Times New Roman" w:cs="Times New Roman"/>
          <w:lang w:eastAsia="de-DE"/>
        </w:rPr>
        <w:t>(es wird ausreichen für sie) zeigt eine noch drastischere Alternative.</w:t>
      </w:r>
    </w:p>
    <w:p w14:paraId="140F756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Wiederholung von </w:t>
      </w:r>
      <w:r w:rsidRPr="006E39D1">
        <w:rPr>
          <w:rFonts w:eastAsia="Times New Roman" w:cs="Times New Roman"/>
          <w:b/>
          <w:bCs/>
          <w:rtl/>
          <w:lang w:eastAsia="de-DE"/>
        </w:rPr>
        <w:t>וּמָצָ֣א לָהֶ֑ם</w:t>
      </w:r>
      <w:r w:rsidRPr="006E39D1">
        <w:rPr>
          <w:rFonts w:eastAsia="Times New Roman" w:cs="Times New Roman"/>
          <w:rtl/>
          <w:lang w:eastAsia="de-DE"/>
        </w:rPr>
        <w:t xml:space="preserve"> </w:t>
      </w:r>
      <w:r w:rsidRPr="006E39D1">
        <w:rPr>
          <w:rFonts w:eastAsia="Times New Roman" w:cs="Times New Roman"/>
          <w:lang w:eastAsia="de-DE"/>
        </w:rPr>
        <w:t xml:space="preserve">und </w:t>
      </w:r>
      <w:r w:rsidRPr="006E39D1">
        <w:rPr>
          <w:rFonts w:eastAsia="Times New Roman" w:cs="Times New Roman"/>
          <w:b/>
          <w:bCs/>
          <w:rtl/>
          <w:lang w:eastAsia="de-DE"/>
        </w:rPr>
        <w:t>וּמָצָ֥א לָהֶֽם</w:t>
      </w:r>
      <w:r w:rsidRPr="006E39D1">
        <w:rPr>
          <w:rFonts w:eastAsia="Times New Roman" w:cs="Times New Roman"/>
          <w:rtl/>
          <w:lang w:eastAsia="de-DE"/>
        </w:rPr>
        <w:t xml:space="preserve"> </w:t>
      </w:r>
      <w:r w:rsidRPr="006E39D1">
        <w:rPr>
          <w:rFonts w:eastAsia="Times New Roman" w:cs="Times New Roman"/>
          <w:lang w:eastAsia="de-DE"/>
        </w:rPr>
        <w:t>(und es wird ausreichen für sie) verstärkt Moses Zweifel an der Möglichkeit einer ausreichenden Fleischversorgung für eine so große Menschenmenge über einen ganzen Monat.</w:t>
      </w:r>
    </w:p>
    <w:p w14:paraId="3016933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צֹאן וּבָקָר</w:t>
      </w:r>
      <w:r w:rsidRPr="006E39D1">
        <w:rPr>
          <w:rFonts w:eastAsia="Times New Roman" w:cs="Times New Roman"/>
          <w:rtl/>
          <w:lang w:eastAsia="de-DE"/>
        </w:rPr>
        <w:t xml:space="preserve"> </w:t>
      </w:r>
      <w:r w:rsidRPr="006E39D1">
        <w:rPr>
          <w:rFonts w:eastAsia="Times New Roman" w:cs="Times New Roman"/>
          <w:lang w:eastAsia="de-DE"/>
        </w:rPr>
        <w:t xml:space="preserve">mit πρόβατα καὶ βόες (Schafe und Rinder), </w:t>
      </w:r>
      <w:r w:rsidRPr="006E39D1">
        <w:rPr>
          <w:rFonts w:eastAsia="Times New Roman" w:cs="Times New Roman"/>
          <w:b/>
          <w:bCs/>
          <w:rtl/>
          <w:lang w:eastAsia="de-DE"/>
        </w:rPr>
        <w:t>יִשָּׁחֵט</w:t>
      </w:r>
      <w:r w:rsidRPr="006E39D1">
        <w:rPr>
          <w:rFonts w:eastAsia="Times New Roman" w:cs="Times New Roman"/>
          <w:rtl/>
          <w:lang w:eastAsia="de-DE"/>
        </w:rPr>
        <w:t xml:space="preserve"> </w:t>
      </w:r>
      <w:r w:rsidRPr="006E39D1">
        <w:rPr>
          <w:rFonts w:eastAsia="Times New Roman" w:cs="Times New Roman"/>
          <w:lang w:eastAsia="de-DE"/>
        </w:rPr>
        <w:t xml:space="preserve">mit σφαγήσεται (es wird geschlachtet werden) und </w:t>
      </w:r>
      <w:r w:rsidRPr="006E39D1">
        <w:rPr>
          <w:rFonts w:eastAsia="Times New Roman" w:cs="Times New Roman"/>
          <w:b/>
          <w:bCs/>
          <w:rtl/>
          <w:lang w:eastAsia="de-DE"/>
        </w:rPr>
        <w:t>כָּל־דְּגֵי הַיָּם</w:t>
      </w:r>
      <w:r w:rsidRPr="006E39D1">
        <w:rPr>
          <w:rFonts w:eastAsia="Times New Roman" w:cs="Times New Roman"/>
          <w:rtl/>
          <w:lang w:eastAsia="de-DE"/>
        </w:rPr>
        <w:t xml:space="preserve"> </w:t>
      </w:r>
      <w:r w:rsidRPr="006E39D1">
        <w:rPr>
          <w:rFonts w:eastAsia="Times New Roman" w:cs="Times New Roman"/>
          <w:lang w:eastAsia="de-DE"/>
        </w:rPr>
        <w:t>mit πάντες οἱ ἰχθύες τῆς θαλάσσης (alle Fische des Meeres).</w:t>
      </w:r>
    </w:p>
    <w:p w14:paraId="6D1B107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doppelte rhetorische Frage mit alternativen Fleischquellen und wiederholter Ausreichungsskepsis.</w:t>
      </w:r>
    </w:p>
    <w:p w14:paraId="4254148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Moses rein menschliche, logistische Betrachtungsweise, die die Grenzen natürlicher Ressourcen gegen göttliche Allmacht stellt.</w:t>
      </w:r>
    </w:p>
    <w:p w14:paraId="2EA5455B"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11,23</w:t>
      </w:r>
    </w:p>
    <w:p w14:paraId="15628FA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וַיֹּ֤אמֶר יְהוָה֙ אֶל־מֹשֶׁ֔ה הֲיַ֥ד יְהוָ֖ה תִּקְצָ֑ר עַתָּ֥ה תִרְאֶ֛ה הֲיִקְרְךָ֥ דְבָרִ֖י אִם־לֹֽא׃</w:t>
      </w:r>
    </w:p>
    <w:p w14:paraId="012C9F4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der Ewige sprach zu Mosche: Ist die Hand des Ewigen zu kurz? Jetzt sollst du sehen, ob dir mein Wort eintrifft oder nicht.</w:t>
      </w:r>
    </w:p>
    <w:p w14:paraId="27E647F2"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56D5EECA">
          <v:rect id="_x0000_i1402" style="width:0;height:1.5pt" o:hralign="center" o:hrstd="t" o:hr="t" fillcolor="#a0a0a0" stroked="f"/>
        </w:pict>
      </w:r>
    </w:p>
    <w:p w14:paraId="4862E5C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 יְהוָה֙ אֶל־מֹשֶׁ֔ה</w:t>
      </w:r>
      <w:r w:rsidRPr="006E39D1">
        <w:rPr>
          <w:rFonts w:eastAsia="Times New Roman" w:cs="Times New Roman"/>
          <w:rtl/>
          <w:lang w:eastAsia="de-DE"/>
        </w:rPr>
        <w:t xml:space="preserve"> </w:t>
      </w:r>
      <w:r w:rsidRPr="006E39D1">
        <w:rPr>
          <w:rFonts w:eastAsia="Times New Roman" w:cs="Times New Roman"/>
          <w:lang w:eastAsia="de-DE"/>
        </w:rPr>
        <w:t xml:space="preserve">(und der Ewige sprach zu Mose) leitet die göttliche Antwort auf Moses Skepsis ein. Die rhetorische Frage </w:t>
      </w:r>
      <w:r w:rsidRPr="006E39D1">
        <w:rPr>
          <w:rFonts w:eastAsia="Times New Roman" w:cs="Times New Roman"/>
          <w:b/>
          <w:bCs/>
          <w:rtl/>
          <w:lang w:eastAsia="de-DE"/>
        </w:rPr>
        <w:t>הֲיַ֥ד יְהוָ֖ה תִּקְצָ֑ר</w:t>
      </w:r>
      <w:r w:rsidRPr="006E39D1">
        <w:rPr>
          <w:rFonts w:eastAsia="Times New Roman" w:cs="Times New Roman"/>
          <w:rtl/>
          <w:lang w:eastAsia="de-DE"/>
        </w:rPr>
        <w:t xml:space="preserve"> </w:t>
      </w:r>
      <w:r w:rsidRPr="006E39D1">
        <w:rPr>
          <w:rFonts w:eastAsia="Times New Roman" w:cs="Times New Roman"/>
          <w:lang w:eastAsia="de-DE"/>
        </w:rPr>
        <w:t xml:space="preserve">(ist die Hand des Ewigen zu kurz) mit </w:t>
      </w:r>
      <w:r w:rsidRPr="006E39D1">
        <w:rPr>
          <w:rFonts w:eastAsia="Times New Roman" w:cs="Times New Roman"/>
          <w:b/>
          <w:bCs/>
          <w:rtl/>
          <w:lang w:eastAsia="de-DE"/>
        </w:rPr>
        <w:t>הֲ</w:t>
      </w:r>
      <w:r w:rsidRPr="006E39D1">
        <w:rPr>
          <w:rFonts w:eastAsia="Times New Roman" w:cs="Times New Roman"/>
          <w:rtl/>
          <w:lang w:eastAsia="de-DE"/>
        </w:rPr>
        <w:t xml:space="preserve"> </w:t>
      </w:r>
      <w:r w:rsidRPr="006E39D1">
        <w:rPr>
          <w:rFonts w:eastAsia="Times New Roman" w:cs="Times New Roman"/>
          <w:lang w:eastAsia="de-DE"/>
        </w:rPr>
        <w:t xml:space="preserve">als Fragepartikel, </w:t>
      </w:r>
      <w:r w:rsidRPr="006E39D1">
        <w:rPr>
          <w:rFonts w:eastAsia="Times New Roman" w:cs="Times New Roman"/>
          <w:b/>
          <w:bCs/>
          <w:rtl/>
          <w:lang w:eastAsia="de-DE"/>
        </w:rPr>
        <w:t>יַד יְהוָה</w:t>
      </w:r>
      <w:r w:rsidRPr="006E39D1">
        <w:rPr>
          <w:rFonts w:eastAsia="Times New Roman" w:cs="Times New Roman"/>
          <w:rtl/>
          <w:lang w:eastAsia="de-DE"/>
        </w:rPr>
        <w:t xml:space="preserve"> </w:t>
      </w:r>
      <w:r w:rsidRPr="006E39D1">
        <w:rPr>
          <w:rFonts w:eastAsia="Times New Roman" w:cs="Times New Roman"/>
          <w:lang w:eastAsia="de-DE"/>
        </w:rPr>
        <w:t xml:space="preserve">(Hand des Ewigen) als Metapher für göttliche Macht und </w:t>
      </w:r>
      <w:r w:rsidRPr="006E39D1">
        <w:rPr>
          <w:rFonts w:eastAsia="Times New Roman" w:cs="Times New Roman"/>
          <w:b/>
          <w:bCs/>
          <w:rtl/>
          <w:lang w:eastAsia="de-DE"/>
        </w:rPr>
        <w:t>תִּקְצָר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קצר</w:t>
      </w:r>
      <w:r w:rsidRPr="006E39D1">
        <w:rPr>
          <w:rFonts w:eastAsia="Times New Roman" w:cs="Times New Roman"/>
          <w:rtl/>
          <w:lang w:eastAsia="de-DE"/>
        </w:rPr>
        <w:t xml:space="preserve"> </w:t>
      </w:r>
      <w:r w:rsidRPr="006E39D1">
        <w:rPr>
          <w:rFonts w:eastAsia="Times New Roman" w:cs="Times New Roman"/>
          <w:lang w:eastAsia="de-DE"/>
        </w:rPr>
        <w:t>(kurz sein/verkürzt werden) im Qal-Imperfekt 3. feminin Singular stellt Moses begrenztes Verständnis göttlicher Allmacht in Frage.</w:t>
      </w:r>
    </w:p>
    <w:p w14:paraId="1515167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Ankündigung </w:t>
      </w:r>
      <w:r w:rsidRPr="006E39D1">
        <w:rPr>
          <w:rFonts w:eastAsia="Times New Roman" w:cs="Times New Roman"/>
          <w:b/>
          <w:bCs/>
          <w:rtl/>
          <w:lang w:eastAsia="de-DE"/>
        </w:rPr>
        <w:t>עַתָּ֥ה תִרְאֶ֛ה</w:t>
      </w:r>
      <w:r w:rsidRPr="006E39D1">
        <w:rPr>
          <w:rFonts w:eastAsia="Times New Roman" w:cs="Times New Roman"/>
          <w:rtl/>
          <w:lang w:eastAsia="de-DE"/>
        </w:rPr>
        <w:t xml:space="preserve"> </w:t>
      </w:r>
      <w:r w:rsidRPr="006E39D1">
        <w:rPr>
          <w:rFonts w:eastAsia="Times New Roman" w:cs="Times New Roman"/>
          <w:lang w:eastAsia="de-DE"/>
        </w:rPr>
        <w:t xml:space="preserve">(jetzt wirst du sehen) mit </w:t>
      </w:r>
      <w:r w:rsidRPr="006E39D1">
        <w:rPr>
          <w:rFonts w:eastAsia="Times New Roman" w:cs="Times New Roman"/>
          <w:b/>
          <w:bCs/>
          <w:rtl/>
          <w:lang w:eastAsia="de-DE"/>
        </w:rPr>
        <w:t>עַתָּה</w:t>
      </w:r>
      <w:r w:rsidRPr="006E39D1">
        <w:rPr>
          <w:rFonts w:eastAsia="Times New Roman" w:cs="Times New Roman"/>
          <w:rtl/>
          <w:lang w:eastAsia="de-DE"/>
        </w:rPr>
        <w:t xml:space="preserve"> </w:t>
      </w:r>
      <w:r w:rsidRPr="006E39D1">
        <w:rPr>
          <w:rFonts w:eastAsia="Times New Roman" w:cs="Times New Roman"/>
          <w:lang w:eastAsia="de-DE"/>
        </w:rPr>
        <w:t xml:space="preserve">(jetzt) als temporale Betonung und </w:t>
      </w:r>
      <w:r w:rsidRPr="006E39D1">
        <w:rPr>
          <w:rFonts w:eastAsia="Times New Roman" w:cs="Times New Roman"/>
          <w:b/>
          <w:bCs/>
          <w:rtl/>
          <w:lang w:eastAsia="de-DE"/>
        </w:rPr>
        <w:t>תִרְאֶה</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ראה</w:t>
      </w:r>
      <w:r w:rsidRPr="006E39D1">
        <w:rPr>
          <w:rFonts w:eastAsia="Times New Roman" w:cs="Times New Roman"/>
          <w:rtl/>
          <w:lang w:eastAsia="de-DE"/>
        </w:rPr>
        <w:t xml:space="preserve"> </w:t>
      </w:r>
      <w:r w:rsidRPr="006E39D1">
        <w:rPr>
          <w:rFonts w:eastAsia="Times New Roman" w:cs="Times New Roman"/>
          <w:lang w:eastAsia="de-DE"/>
        </w:rPr>
        <w:t>(sehen) im Qal-Imperfekt 2. maskulin Singular verheißt eine unmittelbare Demonstration göttlicher Macht.</w:t>
      </w:r>
    </w:p>
    <w:p w14:paraId="650B79E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alternative Formulierung </w:t>
      </w:r>
      <w:r w:rsidRPr="006E39D1">
        <w:rPr>
          <w:rFonts w:eastAsia="Times New Roman" w:cs="Times New Roman"/>
          <w:b/>
          <w:bCs/>
          <w:rtl/>
          <w:lang w:eastAsia="de-DE"/>
        </w:rPr>
        <w:t>הֲיִקְרְךָ֥ דְבָרִ֖י אִם־לֹֽא</w:t>
      </w:r>
      <w:r w:rsidRPr="006E39D1">
        <w:rPr>
          <w:rFonts w:eastAsia="Times New Roman" w:cs="Times New Roman"/>
          <w:rtl/>
          <w:lang w:eastAsia="de-DE"/>
        </w:rPr>
        <w:t xml:space="preserve"> </w:t>
      </w:r>
      <w:r w:rsidRPr="006E39D1">
        <w:rPr>
          <w:rFonts w:eastAsia="Times New Roman" w:cs="Times New Roman"/>
          <w:lang w:eastAsia="de-DE"/>
        </w:rPr>
        <w:t xml:space="preserve">(ob dir mein Wort eintrifft oder nicht) mit </w:t>
      </w:r>
      <w:r w:rsidRPr="006E39D1">
        <w:rPr>
          <w:rFonts w:eastAsia="Times New Roman" w:cs="Times New Roman"/>
          <w:b/>
          <w:bCs/>
          <w:rtl/>
          <w:lang w:eastAsia="de-DE"/>
        </w:rPr>
        <w:t>הֲיִקְרְךָ</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קרה</w:t>
      </w:r>
      <w:r w:rsidRPr="006E39D1">
        <w:rPr>
          <w:rFonts w:eastAsia="Times New Roman" w:cs="Times New Roman"/>
          <w:rtl/>
          <w:lang w:eastAsia="de-DE"/>
        </w:rPr>
        <w:t xml:space="preserve"> </w:t>
      </w:r>
      <w:r w:rsidRPr="006E39D1">
        <w:rPr>
          <w:rFonts w:eastAsia="Times New Roman" w:cs="Times New Roman"/>
          <w:lang w:eastAsia="de-DE"/>
        </w:rPr>
        <w:t xml:space="preserve">(begegnen/eintreffen) im Qal-Imperfekt 3. maskulin Singular mit Objektsuffix 2. maskulin Singular, </w:t>
      </w:r>
      <w:r w:rsidRPr="006E39D1">
        <w:rPr>
          <w:rFonts w:eastAsia="Times New Roman" w:cs="Times New Roman"/>
          <w:b/>
          <w:bCs/>
          <w:rtl/>
          <w:lang w:eastAsia="de-DE"/>
        </w:rPr>
        <w:t>דְּבָרִי</w:t>
      </w:r>
      <w:r w:rsidRPr="006E39D1">
        <w:rPr>
          <w:rFonts w:eastAsia="Times New Roman" w:cs="Times New Roman"/>
          <w:rtl/>
          <w:lang w:eastAsia="de-DE"/>
        </w:rPr>
        <w:t xml:space="preserve"> </w:t>
      </w:r>
      <w:r w:rsidRPr="006E39D1">
        <w:rPr>
          <w:rFonts w:eastAsia="Times New Roman" w:cs="Times New Roman"/>
          <w:lang w:eastAsia="de-DE"/>
        </w:rPr>
        <w:t xml:space="preserve">(mein Wort) und </w:t>
      </w:r>
      <w:r w:rsidRPr="006E39D1">
        <w:rPr>
          <w:rFonts w:eastAsia="Times New Roman" w:cs="Times New Roman"/>
          <w:b/>
          <w:bCs/>
          <w:rtl/>
          <w:lang w:eastAsia="de-DE"/>
        </w:rPr>
        <w:t>אִם־לֹא</w:t>
      </w:r>
      <w:r w:rsidRPr="006E39D1">
        <w:rPr>
          <w:rFonts w:eastAsia="Times New Roman" w:cs="Times New Roman"/>
          <w:rtl/>
          <w:lang w:eastAsia="de-DE"/>
        </w:rPr>
        <w:t xml:space="preserve"> </w:t>
      </w:r>
      <w:r w:rsidRPr="006E39D1">
        <w:rPr>
          <w:rFonts w:eastAsia="Times New Roman" w:cs="Times New Roman"/>
          <w:lang w:eastAsia="de-DE"/>
        </w:rPr>
        <w:t>(oder nicht) stellt die Zuverlässigkeit göttlicher Verheißungen zur Bewährungsprobe.</w:t>
      </w:r>
    </w:p>
    <w:p w14:paraId="0450158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יַד יְהוָה</w:t>
      </w:r>
      <w:r w:rsidRPr="006E39D1">
        <w:rPr>
          <w:rFonts w:eastAsia="Times New Roman" w:cs="Times New Roman"/>
          <w:rtl/>
          <w:lang w:eastAsia="de-DE"/>
        </w:rPr>
        <w:t xml:space="preserve"> </w:t>
      </w:r>
      <w:r w:rsidRPr="006E39D1">
        <w:rPr>
          <w:rFonts w:eastAsia="Times New Roman" w:cs="Times New Roman"/>
          <w:lang w:eastAsia="de-DE"/>
        </w:rPr>
        <w:t xml:space="preserve">mit χεὶρ κυρίου (Hand des Herrn), </w:t>
      </w:r>
      <w:r w:rsidRPr="006E39D1">
        <w:rPr>
          <w:rFonts w:eastAsia="Times New Roman" w:cs="Times New Roman"/>
          <w:b/>
          <w:bCs/>
          <w:rtl/>
          <w:lang w:eastAsia="de-DE"/>
        </w:rPr>
        <w:t>תִּקְצָר</w:t>
      </w:r>
      <w:r w:rsidRPr="006E39D1">
        <w:rPr>
          <w:rFonts w:eastAsia="Times New Roman" w:cs="Times New Roman"/>
          <w:rtl/>
          <w:lang w:eastAsia="de-DE"/>
        </w:rPr>
        <w:t xml:space="preserve"> </w:t>
      </w:r>
      <w:r w:rsidRPr="006E39D1">
        <w:rPr>
          <w:rFonts w:eastAsia="Times New Roman" w:cs="Times New Roman"/>
          <w:lang w:eastAsia="de-DE"/>
        </w:rPr>
        <w:t xml:space="preserve">mit οὐκ ἐξαρκέσει (wird nicht ausreichen) und </w:t>
      </w:r>
      <w:r w:rsidRPr="006E39D1">
        <w:rPr>
          <w:rFonts w:eastAsia="Times New Roman" w:cs="Times New Roman"/>
          <w:b/>
          <w:bCs/>
          <w:rtl/>
          <w:lang w:eastAsia="de-DE"/>
        </w:rPr>
        <w:t>יִקְרְךָ</w:t>
      </w:r>
      <w:r w:rsidRPr="006E39D1">
        <w:rPr>
          <w:rFonts w:eastAsia="Times New Roman" w:cs="Times New Roman"/>
          <w:rtl/>
          <w:lang w:eastAsia="de-DE"/>
        </w:rPr>
        <w:t xml:space="preserve"> </w:t>
      </w:r>
      <w:r w:rsidRPr="006E39D1">
        <w:rPr>
          <w:rFonts w:eastAsia="Times New Roman" w:cs="Times New Roman"/>
          <w:lang w:eastAsia="de-DE"/>
        </w:rPr>
        <w:t>mit συναντήσεταί σοι (wird dir begegnen).</w:t>
      </w:r>
    </w:p>
    <w:p w14:paraId="0F5736B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rhetorische Frage zur göttlichen Allmacht, temporale Ankündigung und alternative Bewährungsformulierung.</w:t>
      </w:r>
    </w:p>
    <w:p w14:paraId="1FD9B27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Dieser Vers stellt Moses begrenzte menschliche Perspektive der unbegrenzten göttlichen Allmacht gegenüber und kündigt eine sofortige Demonstration an.</w:t>
      </w:r>
    </w:p>
    <w:p w14:paraId="3A1BEF23"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11,24</w:t>
      </w:r>
    </w:p>
    <w:p w14:paraId="5CB1D69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וַיֵּצֵ֣א מֹשֶׁ֗ה וַיְדַבֵּר֙ אֶל־הָעָ֔ם אֵ֖ת דִּבְרֵ֣י יְהוָ֑ה וַיֶּאֱסֹ֞ף שִׁבְעִ֥ים אִישׁ֙ מִזִּקְנֵ֣י הָעָ֔ם וַֽיַּעֲמֵ֥ד אֹתָ֖ם סְבִיבֹ֥ת הָאֹֽהֶל׃</w:t>
      </w:r>
    </w:p>
    <w:p w14:paraId="2D819C7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Mosche ging hinaus und redete zu dem Volk die Worte des Ewigen; und er versammelte 70 Männer aus den Ältesten des Volkes und stellte sie rings um das Zelt.</w:t>
      </w:r>
    </w:p>
    <w:p w14:paraId="605C83FB"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291A9B8A">
          <v:rect id="_x0000_i1403" style="width:0;height:1.5pt" o:hralign="center" o:hrstd="t" o:hr="t" fillcolor="#a0a0a0" stroked="f"/>
        </w:pict>
      </w:r>
    </w:p>
    <w:p w14:paraId="58400C9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וַיֵּצֵ֣א מֹשֶׁ֗ה</w:t>
      </w:r>
      <w:r w:rsidRPr="006E39D1">
        <w:rPr>
          <w:rFonts w:eastAsia="Times New Roman" w:cs="Times New Roman"/>
          <w:rtl/>
          <w:lang w:eastAsia="de-DE"/>
        </w:rPr>
        <w:t xml:space="preserve"> </w:t>
      </w:r>
      <w:r w:rsidRPr="006E39D1">
        <w:rPr>
          <w:rFonts w:eastAsia="Times New Roman" w:cs="Times New Roman"/>
          <w:lang w:eastAsia="de-DE"/>
        </w:rPr>
        <w:t xml:space="preserve">(und Mose ging hinaus) mit </w:t>
      </w:r>
      <w:r w:rsidRPr="006E39D1">
        <w:rPr>
          <w:rFonts w:eastAsia="Times New Roman" w:cs="Times New Roman"/>
          <w:b/>
          <w:bCs/>
          <w:rtl/>
          <w:lang w:eastAsia="de-DE"/>
        </w:rPr>
        <w:t>יֵּצֵא</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יצא</w:t>
      </w:r>
      <w:r w:rsidRPr="006E39D1">
        <w:rPr>
          <w:rFonts w:eastAsia="Times New Roman" w:cs="Times New Roman"/>
          <w:rtl/>
          <w:lang w:eastAsia="de-DE"/>
        </w:rPr>
        <w:t xml:space="preserve"> </w:t>
      </w:r>
      <w:r w:rsidRPr="006E39D1">
        <w:rPr>
          <w:rFonts w:eastAsia="Times New Roman" w:cs="Times New Roman"/>
          <w:lang w:eastAsia="de-DE"/>
        </w:rPr>
        <w:t xml:space="preserve">(hinausgehen) zeigt Moses Bewegung vom Zelt der Begegnung zum Volk. Die Verkündigung </w:t>
      </w:r>
      <w:r w:rsidRPr="006E39D1">
        <w:rPr>
          <w:rFonts w:eastAsia="Times New Roman" w:cs="Times New Roman"/>
          <w:b/>
          <w:bCs/>
          <w:rtl/>
          <w:lang w:eastAsia="de-DE"/>
        </w:rPr>
        <w:t>וַיְדַבֵּר֙ אֶל־הָעָ֔ם אֵ֖ת דִּבְרֵ֣י יְהוָ֑ה</w:t>
      </w:r>
      <w:r w:rsidRPr="006E39D1">
        <w:rPr>
          <w:rFonts w:eastAsia="Times New Roman" w:cs="Times New Roman"/>
          <w:rtl/>
          <w:lang w:eastAsia="de-DE"/>
        </w:rPr>
        <w:t xml:space="preserve"> </w:t>
      </w:r>
      <w:r w:rsidRPr="006E39D1">
        <w:rPr>
          <w:rFonts w:eastAsia="Times New Roman" w:cs="Times New Roman"/>
          <w:lang w:eastAsia="de-DE"/>
        </w:rPr>
        <w:t xml:space="preserve">(und er redete zu dem Volk die Worte des Ewigen) mit </w:t>
      </w:r>
      <w:r w:rsidRPr="006E39D1">
        <w:rPr>
          <w:rFonts w:eastAsia="Times New Roman" w:cs="Times New Roman"/>
          <w:b/>
          <w:bCs/>
          <w:rtl/>
          <w:lang w:eastAsia="de-DE"/>
        </w:rPr>
        <w:t>דִּבְרֵי יְהוָה</w:t>
      </w:r>
      <w:r w:rsidRPr="006E39D1">
        <w:rPr>
          <w:rFonts w:eastAsia="Times New Roman" w:cs="Times New Roman"/>
          <w:rtl/>
          <w:lang w:eastAsia="de-DE"/>
        </w:rPr>
        <w:t xml:space="preserve"> </w:t>
      </w:r>
      <w:r w:rsidRPr="006E39D1">
        <w:rPr>
          <w:rFonts w:eastAsia="Times New Roman" w:cs="Times New Roman"/>
          <w:lang w:eastAsia="de-DE"/>
        </w:rPr>
        <w:t>(Worte des Ewigen) zeigt die getreue Übermittlung der göttlichen Botschaft.</w:t>
      </w:r>
    </w:p>
    <w:p w14:paraId="2C30304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Ausführung </w:t>
      </w:r>
      <w:r w:rsidRPr="006E39D1">
        <w:rPr>
          <w:rFonts w:eastAsia="Times New Roman" w:cs="Times New Roman"/>
          <w:b/>
          <w:bCs/>
          <w:rtl/>
          <w:lang w:eastAsia="de-DE"/>
        </w:rPr>
        <w:t>וַיֶּאֱסֹ֞ף שִׁבְעִ֥ים אִישׁ֙ מִזִּקְנֵ֣י הָעָ֔ם</w:t>
      </w:r>
      <w:r w:rsidRPr="006E39D1">
        <w:rPr>
          <w:rFonts w:eastAsia="Times New Roman" w:cs="Times New Roman"/>
          <w:rtl/>
          <w:lang w:eastAsia="de-DE"/>
        </w:rPr>
        <w:t xml:space="preserve"> </w:t>
      </w:r>
      <w:r w:rsidRPr="006E39D1">
        <w:rPr>
          <w:rFonts w:eastAsia="Times New Roman" w:cs="Times New Roman"/>
          <w:lang w:eastAsia="de-DE"/>
        </w:rPr>
        <w:t xml:space="preserve">(und er versammelte 70 Männer aus den Ältesten des Volkes) mit </w:t>
      </w:r>
      <w:r w:rsidRPr="006E39D1">
        <w:rPr>
          <w:rFonts w:eastAsia="Times New Roman" w:cs="Times New Roman"/>
          <w:b/>
          <w:bCs/>
          <w:rtl/>
          <w:lang w:eastAsia="de-DE"/>
        </w:rPr>
        <w:t>יֶּאֱסֹף</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אסף</w:t>
      </w:r>
      <w:r w:rsidRPr="006E39D1">
        <w:rPr>
          <w:rFonts w:eastAsia="Times New Roman" w:cs="Times New Roman"/>
          <w:rtl/>
          <w:lang w:eastAsia="de-DE"/>
        </w:rPr>
        <w:t xml:space="preserve"> </w:t>
      </w:r>
      <w:r w:rsidRPr="006E39D1">
        <w:rPr>
          <w:rFonts w:eastAsia="Times New Roman" w:cs="Times New Roman"/>
          <w:lang w:eastAsia="de-DE"/>
        </w:rPr>
        <w:t>(sammeln/versammeln) setzt die göttliche Anweisung aus Vers 16 um.</w:t>
      </w:r>
    </w:p>
    <w:p w14:paraId="4FBA21A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liturgische Anordnung </w:t>
      </w:r>
      <w:r w:rsidRPr="006E39D1">
        <w:rPr>
          <w:rFonts w:eastAsia="Times New Roman" w:cs="Times New Roman"/>
          <w:b/>
          <w:bCs/>
          <w:rtl/>
          <w:lang w:eastAsia="de-DE"/>
        </w:rPr>
        <w:t>וַֽיַּעֲמֵ֥ד אֹתָ֖ם סְבִיבֹ֥ת הָאֹֽהֶל</w:t>
      </w:r>
      <w:r w:rsidRPr="006E39D1">
        <w:rPr>
          <w:rFonts w:eastAsia="Times New Roman" w:cs="Times New Roman"/>
          <w:rtl/>
          <w:lang w:eastAsia="de-DE"/>
        </w:rPr>
        <w:t xml:space="preserve"> </w:t>
      </w:r>
      <w:r w:rsidRPr="006E39D1">
        <w:rPr>
          <w:rFonts w:eastAsia="Times New Roman" w:cs="Times New Roman"/>
          <w:lang w:eastAsia="de-DE"/>
        </w:rPr>
        <w:t xml:space="preserve">(und er stellte sie rings um das Zelt) mit </w:t>
      </w:r>
      <w:r w:rsidRPr="006E39D1">
        <w:rPr>
          <w:rFonts w:eastAsia="Times New Roman" w:cs="Times New Roman"/>
          <w:b/>
          <w:bCs/>
          <w:rtl/>
          <w:lang w:eastAsia="de-DE"/>
        </w:rPr>
        <w:t>יַּעֲמֵד</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עמד</w:t>
      </w:r>
      <w:r w:rsidRPr="006E39D1">
        <w:rPr>
          <w:rFonts w:eastAsia="Times New Roman" w:cs="Times New Roman"/>
          <w:rtl/>
          <w:lang w:eastAsia="de-DE"/>
        </w:rPr>
        <w:t xml:space="preserve"> </w:t>
      </w:r>
      <w:r w:rsidRPr="006E39D1">
        <w:rPr>
          <w:rFonts w:eastAsia="Times New Roman" w:cs="Times New Roman"/>
          <w:lang w:eastAsia="de-DE"/>
        </w:rPr>
        <w:t xml:space="preserve">(stehen) im Hiph'il und </w:t>
      </w:r>
      <w:r w:rsidRPr="006E39D1">
        <w:rPr>
          <w:rFonts w:eastAsia="Times New Roman" w:cs="Times New Roman"/>
          <w:b/>
          <w:bCs/>
          <w:rtl/>
          <w:lang w:eastAsia="de-DE"/>
        </w:rPr>
        <w:t>סְבִיבֹת הָאֹהֶל</w:t>
      </w:r>
      <w:r w:rsidRPr="006E39D1">
        <w:rPr>
          <w:rFonts w:eastAsia="Times New Roman" w:cs="Times New Roman"/>
          <w:rtl/>
          <w:lang w:eastAsia="de-DE"/>
        </w:rPr>
        <w:t xml:space="preserve"> </w:t>
      </w:r>
      <w:r w:rsidRPr="006E39D1">
        <w:rPr>
          <w:rFonts w:eastAsia="Times New Roman" w:cs="Times New Roman"/>
          <w:lang w:eastAsia="de-DE"/>
        </w:rPr>
        <w:t>(rings um das Zelt) zeigt die kreisförmige Anordnung für die Geistesübertragung.</w:t>
      </w:r>
    </w:p>
    <w:p w14:paraId="32AA3DD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יֵּצֵא</w:t>
      </w:r>
      <w:r w:rsidRPr="006E39D1">
        <w:rPr>
          <w:rFonts w:eastAsia="Times New Roman" w:cs="Times New Roman"/>
          <w:rtl/>
          <w:lang w:eastAsia="de-DE"/>
        </w:rPr>
        <w:t xml:space="preserve"> </w:t>
      </w:r>
      <w:r w:rsidRPr="006E39D1">
        <w:rPr>
          <w:rFonts w:eastAsia="Times New Roman" w:cs="Times New Roman"/>
          <w:lang w:eastAsia="de-DE"/>
        </w:rPr>
        <w:t xml:space="preserve">mit ἐξῆλθεν (er ging hinaus), </w:t>
      </w:r>
      <w:r w:rsidRPr="006E39D1">
        <w:rPr>
          <w:rFonts w:eastAsia="Times New Roman" w:cs="Times New Roman"/>
          <w:b/>
          <w:bCs/>
          <w:rtl/>
          <w:lang w:eastAsia="de-DE"/>
        </w:rPr>
        <w:t>דִּבְרֵי יְהוָה</w:t>
      </w:r>
      <w:r w:rsidRPr="006E39D1">
        <w:rPr>
          <w:rFonts w:eastAsia="Times New Roman" w:cs="Times New Roman"/>
          <w:rtl/>
          <w:lang w:eastAsia="de-DE"/>
        </w:rPr>
        <w:t xml:space="preserve"> </w:t>
      </w:r>
      <w:r w:rsidRPr="006E39D1">
        <w:rPr>
          <w:rFonts w:eastAsia="Times New Roman" w:cs="Times New Roman"/>
          <w:lang w:eastAsia="de-DE"/>
        </w:rPr>
        <w:t xml:space="preserve">mit τὰ ῥήματα κυρίου (die Worte des Herrn) und </w:t>
      </w:r>
      <w:r w:rsidRPr="006E39D1">
        <w:rPr>
          <w:rFonts w:eastAsia="Times New Roman" w:cs="Times New Roman"/>
          <w:b/>
          <w:bCs/>
          <w:rtl/>
          <w:lang w:eastAsia="de-DE"/>
        </w:rPr>
        <w:t>סְבִיבֹת</w:t>
      </w:r>
      <w:r w:rsidRPr="006E39D1">
        <w:rPr>
          <w:rFonts w:eastAsia="Times New Roman" w:cs="Times New Roman"/>
          <w:rtl/>
          <w:lang w:eastAsia="de-DE"/>
        </w:rPr>
        <w:t xml:space="preserve"> </w:t>
      </w:r>
      <w:r w:rsidRPr="006E39D1">
        <w:rPr>
          <w:rFonts w:eastAsia="Times New Roman" w:cs="Times New Roman"/>
          <w:lang w:eastAsia="de-DE"/>
        </w:rPr>
        <w:t>mit κύκλῳ (im Kreis).</w:t>
      </w:r>
    </w:p>
    <w:p w14:paraId="48142F9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Bewegung, Verkündigung, Versammlung und liturgische Anordnung.</w:t>
      </w:r>
    </w:p>
    <w:p w14:paraId="4972615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dokumentiert Moses gehorsame Ausführung der göttlichen Anweisungen für die Ältestenbestellung.</w:t>
      </w:r>
    </w:p>
    <w:p w14:paraId="440D03E6"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11,25</w:t>
      </w:r>
    </w:p>
    <w:p w14:paraId="425B585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וַיֵּ֨רֶד יְהוָ֥ה׀ בֶּעָנָן֮ וַיְדַבֵּ֣ר אֵלָיו֒ וַיָּ֗אצֶל מִן־הָר֨וּחַ֙ אֲשֶׁ֣ר עָלָ֔יו וַיִּתֵּ֕ן עַל־שִׁבְעִ֥ים אִ֖ישׁ הַזְּקֵנִ֑ים וַיְהִ֗י כְּנ֤וֹחַ עֲלֵיהֶם֙ הָר֔וּחַ וַיִּֽתְנַבְּא֖וּ וְלֹ֥א יָסָֽפוּ׃</w:t>
      </w:r>
    </w:p>
    <w:p w14:paraId="4559980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der Ewige kam in der Wolke herab und redete zu ihm und nahm von dem Geist, der auf ihm war, und legte ihn auf die 70 Männer, die Ältesten. Und es geschah, als der Geist auf ihnen ruhte, da weissagten sie; aber sie fuhren nicht fort.</w:t>
      </w:r>
    </w:p>
    <w:p w14:paraId="192A9093"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7CCDB39A">
          <v:rect id="_x0000_i1404" style="width:0;height:1.5pt" o:hralign="center" o:hrstd="t" o:hr="t" fillcolor="#a0a0a0" stroked="f"/>
        </w:pict>
      </w:r>
    </w:p>
    <w:p w14:paraId="10F9222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Theophanie </w:t>
      </w:r>
      <w:r w:rsidRPr="006E39D1">
        <w:rPr>
          <w:rFonts w:eastAsia="Times New Roman" w:cs="Times New Roman"/>
          <w:b/>
          <w:bCs/>
          <w:rtl/>
          <w:lang w:eastAsia="de-DE"/>
        </w:rPr>
        <w:t>וַיֵּ֨רֶד יְהוָ֥ה׀ בֶּעָנָן֮</w:t>
      </w:r>
      <w:r w:rsidRPr="006E39D1">
        <w:rPr>
          <w:rFonts w:eastAsia="Times New Roman" w:cs="Times New Roman"/>
          <w:rtl/>
          <w:lang w:eastAsia="de-DE"/>
        </w:rPr>
        <w:t xml:space="preserve"> </w:t>
      </w:r>
      <w:r w:rsidRPr="006E39D1">
        <w:rPr>
          <w:rFonts w:eastAsia="Times New Roman" w:cs="Times New Roman"/>
          <w:lang w:eastAsia="de-DE"/>
        </w:rPr>
        <w:t xml:space="preserve">(und der Ewige kam herab in der Wolke) mit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(herabkommen) und </w:t>
      </w:r>
      <w:r w:rsidRPr="006E39D1">
        <w:rPr>
          <w:rFonts w:eastAsia="Times New Roman" w:cs="Times New Roman"/>
          <w:b/>
          <w:bCs/>
          <w:rtl/>
          <w:lang w:eastAsia="de-DE"/>
        </w:rPr>
        <w:t>בֶּעָנָן</w:t>
      </w:r>
      <w:r w:rsidRPr="006E39D1">
        <w:rPr>
          <w:rFonts w:eastAsia="Times New Roman" w:cs="Times New Roman"/>
          <w:rtl/>
          <w:lang w:eastAsia="de-DE"/>
        </w:rPr>
        <w:t xml:space="preserve"> </w:t>
      </w:r>
      <w:r w:rsidRPr="006E39D1">
        <w:rPr>
          <w:rFonts w:eastAsia="Times New Roman" w:cs="Times New Roman"/>
          <w:lang w:eastAsia="de-DE"/>
        </w:rPr>
        <w:t>(in der Wolke) zeigt die göttliche Herabkunft zur Geistesübertragung.</w:t>
      </w:r>
    </w:p>
    <w:p w14:paraId="40A1233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 xml:space="preserve">Die Kommunikation </w:t>
      </w:r>
      <w:r w:rsidRPr="006E39D1">
        <w:rPr>
          <w:rFonts w:eastAsia="Times New Roman" w:cs="Times New Roman"/>
          <w:b/>
          <w:bCs/>
          <w:rtl/>
          <w:lang w:eastAsia="de-DE"/>
        </w:rPr>
        <w:t>וַיְדַבֵּ֣ר אֵלָיו֒</w:t>
      </w:r>
      <w:r w:rsidRPr="006E39D1">
        <w:rPr>
          <w:rFonts w:eastAsia="Times New Roman" w:cs="Times New Roman"/>
          <w:rtl/>
          <w:lang w:eastAsia="de-DE"/>
        </w:rPr>
        <w:t xml:space="preserve"> </w:t>
      </w:r>
      <w:r w:rsidRPr="006E39D1">
        <w:rPr>
          <w:rFonts w:eastAsia="Times New Roman" w:cs="Times New Roman"/>
          <w:lang w:eastAsia="de-DE"/>
        </w:rPr>
        <w:t xml:space="preserve">(und er redete zu ihm) etabliert die direkte göttliche Kommunikation mit Mose. Die Geistesübertragung </w:t>
      </w:r>
      <w:r w:rsidRPr="006E39D1">
        <w:rPr>
          <w:rFonts w:eastAsia="Times New Roman" w:cs="Times New Roman"/>
          <w:b/>
          <w:bCs/>
          <w:rtl/>
          <w:lang w:eastAsia="de-DE"/>
        </w:rPr>
        <w:t>וַיָּ֗אצֶל מִן־הָר֨וּחַ֙ אֲשֶׁ֣ר עָלָ֔יו וַיִּתֵּ֕ן עַל־שִׁבְעִ֥ים אִ֖ישׁ הַזְּקֵנִ֑ים</w:t>
      </w:r>
      <w:r w:rsidRPr="006E39D1">
        <w:rPr>
          <w:rFonts w:eastAsia="Times New Roman" w:cs="Times New Roman"/>
          <w:rtl/>
          <w:lang w:eastAsia="de-DE"/>
        </w:rPr>
        <w:t xml:space="preserve"> </w:t>
      </w:r>
      <w:r w:rsidRPr="006E39D1">
        <w:rPr>
          <w:rFonts w:eastAsia="Times New Roman" w:cs="Times New Roman"/>
          <w:lang w:eastAsia="de-DE"/>
        </w:rPr>
        <w:t xml:space="preserve">mit </w:t>
      </w:r>
      <w:r w:rsidRPr="006E39D1">
        <w:rPr>
          <w:rFonts w:eastAsia="Times New Roman" w:cs="Times New Roman"/>
          <w:b/>
          <w:bCs/>
          <w:rtl/>
          <w:lang w:eastAsia="de-DE"/>
        </w:rPr>
        <w:t>יָּאצֶל</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אצל</w:t>
      </w:r>
      <w:r w:rsidRPr="006E39D1">
        <w:rPr>
          <w:rFonts w:eastAsia="Times New Roman" w:cs="Times New Roman"/>
          <w:rtl/>
          <w:lang w:eastAsia="de-DE"/>
        </w:rPr>
        <w:t xml:space="preserve"> </w:t>
      </w:r>
      <w:r w:rsidRPr="006E39D1">
        <w:rPr>
          <w:rFonts w:eastAsia="Times New Roman" w:cs="Times New Roman"/>
          <w:lang w:eastAsia="de-DE"/>
        </w:rPr>
        <w:t xml:space="preserve">(nehmen/teilen), </w:t>
      </w:r>
      <w:r w:rsidRPr="006E39D1">
        <w:rPr>
          <w:rFonts w:eastAsia="Times New Roman" w:cs="Times New Roman"/>
          <w:b/>
          <w:bCs/>
          <w:rtl/>
          <w:lang w:eastAsia="de-DE"/>
        </w:rPr>
        <w:t>מִן־הָרוּחַ אֲשֶׁר עָלָיו</w:t>
      </w:r>
      <w:r w:rsidRPr="006E39D1">
        <w:rPr>
          <w:rFonts w:eastAsia="Times New Roman" w:cs="Times New Roman"/>
          <w:rtl/>
          <w:lang w:eastAsia="de-DE"/>
        </w:rPr>
        <w:t xml:space="preserve"> </w:t>
      </w:r>
      <w:r w:rsidRPr="006E39D1">
        <w:rPr>
          <w:rFonts w:eastAsia="Times New Roman" w:cs="Times New Roman"/>
          <w:lang w:eastAsia="de-DE"/>
        </w:rPr>
        <w:t xml:space="preserve">(von dem Geist, der auf ihm war) und </w:t>
      </w:r>
      <w:r w:rsidRPr="006E39D1">
        <w:rPr>
          <w:rFonts w:eastAsia="Times New Roman" w:cs="Times New Roman"/>
          <w:b/>
          <w:bCs/>
          <w:rtl/>
          <w:lang w:eastAsia="de-DE"/>
        </w:rPr>
        <w:t>יִּתֵּן עַל־שִׁבְעִים אִישׁ הַזְּקֵנִים</w:t>
      </w:r>
      <w:r w:rsidRPr="006E39D1">
        <w:rPr>
          <w:rFonts w:eastAsia="Times New Roman" w:cs="Times New Roman"/>
          <w:rtl/>
          <w:lang w:eastAsia="de-DE"/>
        </w:rPr>
        <w:t xml:space="preserve"> </w:t>
      </w:r>
      <w:r w:rsidRPr="006E39D1">
        <w:rPr>
          <w:rFonts w:eastAsia="Times New Roman" w:cs="Times New Roman"/>
          <w:lang w:eastAsia="de-DE"/>
        </w:rPr>
        <w:t>(er legte auf die 70 Männer, die Ältesten) zeigt die Verteilung des mosaischen Führungsgeistes.</w:t>
      </w:r>
    </w:p>
    <w:p w14:paraId="00CFD88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Wirkung </w:t>
      </w:r>
      <w:r w:rsidRPr="006E39D1">
        <w:rPr>
          <w:rFonts w:eastAsia="Times New Roman" w:cs="Times New Roman"/>
          <w:b/>
          <w:bCs/>
          <w:rtl/>
          <w:lang w:eastAsia="de-DE"/>
        </w:rPr>
        <w:t>וַיְהִ֗י כְּנ֤וֹחַ עֲלֵיהֶם֙ הָר֔וּחַ וַיִּֽתְנַבְּא֖וּ וְלֹ֥א יָסָֽפוּ</w:t>
      </w:r>
      <w:r w:rsidRPr="006E39D1">
        <w:rPr>
          <w:rFonts w:eastAsia="Times New Roman" w:cs="Times New Roman"/>
          <w:rtl/>
          <w:lang w:eastAsia="de-DE"/>
        </w:rPr>
        <w:t xml:space="preserve"> </w:t>
      </w:r>
      <w:r w:rsidRPr="006E39D1">
        <w:rPr>
          <w:rFonts w:eastAsia="Times New Roman" w:cs="Times New Roman"/>
          <w:lang w:eastAsia="de-DE"/>
        </w:rPr>
        <w:t xml:space="preserve">mit </w:t>
      </w:r>
      <w:r w:rsidRPr="006E39D1">
        <w:rPr>
          <w:rFonts w:eastAsia="Times New Roman" w:cs="Times New Roman"/>
          <w:b/>
          <w:bCs/>
          <w:rtl/>
          <w:lang w:eastAsia="de-DE"/>
        </w:rPr>
        <w:t>כְּנוֹחַ עֲלֵיהֶם הָרוּחַ</w:t>
      </w:r>
      <w:r w:rsidRPr="006E39D1">
        <w:rPr>
          <w:rFonts w:eastAsia="Times New Roman" w:cs="Times New Roman"/>
          <w:rtl/>
          <w:lang w:eastAsia="de-DE"/>
        </w:rPr>
        <w:t xml:space="preserve"> </w:t>
      </w:r>
      <w:r w:rsidRPr="006E39D1">
        <w:rPr>
          <w:rFonts w:eastAsia="Times New Roman" w:cs="Times New Roman"/>
          <w:lang w:eastAsia="de-DE"/>
        </w:rPr>
        <w:t xml:space="preserve">(als der Geist auf ihnen ruhte), </w:t>
      </w:r>
      <w:r w:rsidRPr="006E39D1">
        <w:rPr>
          <w:rFonts w:eastAsia="Times New Roman" w:cs="Times New Roman"/>
          <w:b/>
          <w:bCs/>
          <w:rtl/>
          <w:lang w:eastAsia="de-DE"/>
        </w:rPr>
        <w:t>יִּתְנַבְּאוּ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נבא</w:t>
      </w:r>
      <w:r w:rsidRPr="006E39D1">
        <w:rPr>
          <w:rFonts w:eastAsia="Times New Roman" w:cs="Times New Roman"/>
          <w:rtl/>
          <w:lang w:eastAsia="de-DE"/>
        </w:rPr>
        <w:t xml:space="preserve"> </w:t>
      </w:r>
      <w:r w:rsidRPr="006E39D1">
        <w:rPr>
          <w:rFonts w:eastAsia="Times New Roman" w:cs="Times New Roman"/>
          <w:lang w:eastAsia="de-DE"/>
        </w:rPr>
        <w:t xml:space="preserve">(weissagen) im Hitp'ael und </w:t>
      </w:r>
      <w:r w:rsidRPr="006E39D1">
        <w:rPr>
          <w:rFonts w:eastAsia="Times New Roman" w:cs="Times New Roman"/>
          <w:b/>
          <w:bCs/>
          <w:rtl/>
          <w:lang w:eastAsia="de-DE"/>
        </w:rPr>
        <w:t>לֹא יָסָפוּ</w:t>
      </w:r>
      <w:r w:rsidRPr="006E39D1">
        <w:rPr>
          <w:rFonts w:eastAsia="Times New Roman" w:cs="Times New Roman"/>
          <w:rtl/>
          <w:lang w:eastAsia="de-DE"/>
        </w:rPr>
        <w:t xml:space="preserve"> </w:t>
      </w:r>
      <w:r w:rsidRPr="006E39D1">
        <w:rPr>
          <w:rFonts w:eastAsia="Times New Roman" w:cs="Times New Roman"/>
          <w:lang w:eastAsia="de-DE"/>
        </w:rPr>
        <w:t>(sie fuhren nicht fort) zeigt die einmalige prophetische Manifestation der Geistesausrüstung.</w:t>
      </w:r>
    </w:p>
    <w:p w14:paraId="40B2A90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mit κατέβη (er kam herab), </w:t>
      </w:r>
      <w:r w:rsidRPr="006E39D1">
        <w:rPr>
          <w:rFonts w:eastAsia="Times New Roman" w:cs="Times New Roman"/>
          <w:b/>
          <w:bCs/>
          <w:rtl/>
          <w:lang w:eastAsia="de-DE"/>
        </w:rPr>
        <w:t>יָּאצֶל</w:t>
      </w:r>
      <w:r w:rsidRPr="006E39D1">
        <w:rPr>
          <w:rFonts w:eastAsia="Times New Roman" w:cs="Times New Roman"/>
          <w:rtl/>
          <w:lang w:eastAsia="de-DE"/>
        </w:rPr>
        <w:t xml:space="preserve"> </w:t>
      </w:r>
      <w:r w:rsidRPr="006E39D1">
        <w:rPr>
          <w:rFonts w:eastAsia="Times New Roman" w:cs="Times New Roman"/>
          <w:lang w:eastAsia="de-DE"/>
        </w:rPr>
        <w:t xml:space="preserve">mit ἀφεῖλεν (er nahm weg) und </w:t>
      </w:r>
      <w:r w:rsidRPr="006E39D1">
        <w:rPr>
          <w:rFonts w:eastAsia="Times New Roman" w:cs="Times New Roman"/>
          <w:b/>
          <w:bCs/>
          <w:rtl/>
          <w:lang w:eastAsia="de-DE"/>
        </w:rPr>
        <w:t>יִּתְנַבְּאוּ</w:t>
      </w:r>
      <w:r w:rsidRPr="006E39D1">
        <w:rPr>
          <w:rFonts w:eastAsia="Times New Roman" w:cs="Times New Roman"/>
          <w:rtl/>
          <w:lang w:eastAsia="de-DE"/>
        </w:rPr>
        <w:t xml:space="preserve"> </w:t>
      </w:r>
      <w:r w:rsidRPr="006E39D1">
        <w:rPr>
          <w:rFonts w:eastAsia="Times New Roman" w:cs="Times New Roman"/>
          <w:lang w:eastAsia="de-DE"/>
        </w:rPr>
        <w:t>mit ἐπροφήτευσαν (sie prophezeiten).</w:t>
      </w:r>
    </w:p>
    <w:p w14:paraId="210C5B2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Theophanie, Kommunikation, Geistesübertragung und einmalige prophetische Manifestation.</w:t>
      </w:r>
    </w:p>
    <w:p w14:paraId="721196A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dokumentiert die göttliche Erfüllung der Verheißung zur Lastenteilung durch Geistesausrüstung der 70 Ältesten.</w:t>
      </w:r>
    </w:p>
    <w:p w14:paraId="27CE2478"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11,26</w:t>
      </w:r>
    </w:p>
    <w:p w14:paraId="2A59DD4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וַיִּשָּׁאֲר֣וּ שְׁנֵֽי־אֲנָשִׁ֣ים׀ בַּֽמַּחֲנֶ֡ה שֵׁ֣ם הָאֶחָ֣ד׀ אֶלְדָּ֡ד וְשֵׁם֩ הַשֵּׁנִ֨י מֵידָ֜ד וַתָּ֧נַח עֲלֵיהֶ֣ם הָר֗וּחַ וְהֵ֨מָּה֙ בַּכְּתֻבִ֔ים וְלֹ֥א יָצְא֖וּ הָאֹ֑הֱלָה וַיִּֽתְנַבְּא֖וּ בַּֽמַּחֲנֶֽה׃</w:t>
      </w:r>
    </w:p>
    <w:p w14:paraId="548B6DF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zwei Männer waren im Lager zurückgeblieben, der Name des einen war Eldad und der Name des zweiten Medad; und der Geist ruhte auf ihnen - sie waren nämlich unter den Aufgeschriebenen, waren aber nicht zum Zelt hinausgegangen -, und sie weissagten im Lager.</w:t>
      </w:r>
    </w:p>
    <w:p w14:paraId="0405C5BE"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7A701D2B">
          <v:rect id="_x0000_i1405" style="width:0;height:1.5pt" o:hralign="center" o:hrstd="t" o:hr="t" fillcolor="#a0a0a0" stroked="f"/>
        </w:pict>
      </w:r>
    </w:p>
    <w:p w14:paraId="6C7FC1E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וַיִּשָּׁאֲר֣וּ שְׁנֵֽי־אֲנָשִׁ֣ים׀ בַּֽמַּחֲנֶ֡ה</w:t>
      </w:r>
      <w:r w:rsidRPr="006E39D1">
        <w:rPr>
          <w:rFonts w:eastAsia="Times New Roman" w:cs="Times New Roman"/>
          <w:rtl/>
          <w:lang w:eastAsia="de-DE"/>
        </w:rPr>
        <w:t xml:space="preserve"> </w:t>
      </w:r>
      <w:r w:rsidRPr="006E39D1">
        <w:rPr>
          <w:rFonts w:eastAsia="Times New Roman" w:cs="Times New Roman"/>
          <w:lang w:eastAsia="de-DE"/>
        </w:rPr>
        <w:t xml:space="preserve">(und zwei Männer blieben im Lager zurück) mit </w:t>
      </w:r>
      <w:r w:rsidRPr="006E39D1">
        <w:rPr>
          <w:rFonts w:eastAsia="Times New Roman" w:cs="Times New Roman"/>
          <w:b/>
          <w:bCs/>
          <w:rtl/>
          <w:lang w:eastAsia="de-DE"/>
        </w:rPr>
        <w:t>יִּשָּׁאֲרוּ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שאר</w:t>
      </w:r>
      <w:r w:rsidRPr="006E39D1">
        <w:rPr>
          <w:rFonts w:eastAsia="Times New Roman" w:cs="Times New Roman"/>
          <w:rtl/>
          <w:lang w:eastAsia="de-DE"/>
        </w:rPr>
        <w:t xml:space="preserve"> </w:t>
      </w:r>
      <w:r w:rsidRPr="006E39D1">
        <w:rPr>
          <w:rFonts w:eastAsia="Times New Roman" w:cs="Times New Roman"/>
          <w:lang w:eastAsia="de-DE"/>
        </w:rPr>
        <w:t>(zurückbleiben) im Niph'al zeigt die unerwartete Situation.</w:t>
      </w:r>
    </w:p>
    <w:p w14:paraId="7C3F418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Namensidentifikation </w:t>
      </w:r>
      <w:r w:rsidRPr="006E39D1">
        <w:rPr>
          <w:rFonts w:eastAsia="Times New Roman" w:cs="Times New Roman"/>
          <w:b/>
          <w:bCs/>
          <w:rtl/>
          <w:lang w:eastAsia="de-DE"/>
        </w:rPr>
        <w:t>שֵׁ֣ם הָאֶחָ֣ד׀ אֶלְדָּ֡ד וְשֵׁם֩ הַשֵּׁנִ֨י מֵידָ֜ד</w:t>
      </w:r>
      <w:r w:rsidRPr="006E39D1">
        <w:rPr>
          <w:rFonts w:eastAsia="Times New Roman" w:cs="Times New Roman"/>
          <w:rtl/>
          <w:lang w:eastAsia="de-DE"/>
        </w:rPr>
        <w:t xml:space="preserve"> </w:t>
      </w:r>
      <w:r w:rsidRPr="006E39D1">
        <w:rPr>
          <w:rFonts w:eastAsia="Times New Roman" w:cs="Times New Roman"/>
          <w:lang w:eastAsia="de-DE"/>
        </w:rPr>
        <w:t xml:space="preserve">(der Name des einen war Eldad und der Name des zweiten Medad) mit </w:t>
      </w:r>
      <w:r w:rsidRPr="006E39D1">
        <w:rPr>
          <w:rFonts w:eastAsia="Times New Roman" w:cs="Times New Roman"/>
          <w:b/>
          <w:bCs/>
          <w:rtl/>
          <w:lang w:eastAsia="de-DE"/>
        </w:rPr>
        <w:t>אֶלְדָּד</w:t>
      </w:r>
      <w:r w:rsidRPr="006E39D1">
        <w:rPr>
          <w:rFonts w:eastAsia="Times New Roman" w:cs="Times New Roman"/>
          <w:rtl/>
          <w:lang w:eastAsia="de-DE"/>
        </w:rPr>
        <w:t xml:space="preserve"> </w:t>
      </w:r>
      <w:r w:rsidRPr="006E39D1">
        <w:rPr>
          <w:rFonts w:eastAsia="Times New Roman" w:cs="Times New Roman"/>
          <w:lang w:eastAsia="de-DE"/>
        </w:rPr>
        <w:t xml:space="preserve">(Eldad = "Gott hat geliebt") und </w:t>
      </w:r>
      <w:r w:rsidRPr="006E39D1">
        <w:rPr>
          <w:rFonts w:eastAsia="Times New Roman" w:cs="Times New Roman"/>
          <w:b/>
          <w:bCs/>
          <w:rtl/>
          <w:lang w:eastAsia="de-DE"/>
        </w:rPr>
        <w:t>מֵידָד</w:t>
      </w:r>
      <w:r w:rsidRPr="006E39D1">
        <w:rPr>
          <w:rFonts w:eastAsia="Times New Roman" w:cs="Times New Roman"/>
          <w:rtl/>
          <w:lang w:eastAsia="de-DE"/>
        </w:rPr>
        <w:t xml:space="preserve"> </w:t>
      </w:r>
      <w:r w:rsidRPr="006E39D1">
        <w:rPr>
          <w:rFonts w:eastAsia="Times New Roman" w:cs="Times New Roman"/>
          <w:lang w:eastAsia="de-DE"/>
        </w:rPr>
        <w:t>(Medad = "Geliebter") zeigt ihre theophoren Namen.</w:t>
      </w:r>
    </w:p>
    <w:p w14:paraId="21C23E0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Geistesausstattung </w:t>
      </w:r>
      <w:r w:rsidRPr="006E39D1">
        <w:rPr>
          <w:rFonts w:eastAsia="Times New Roman" w:cs="Times New Roman"/>
          <w:b/>
          <w:bCs/>
          <w:rtl/>
          <w:lang w:eastAsia="de-DE"/>
        </w:rPr>
        <w:t>וַתָּ֧נַח עֲלֵיהֶ֣ם הָר֗וּחַ</w:t>
      </w:r>
      <w:r w:rsidRPr="006E39D1">
        <w:rPr>
          <w:rFonts w:eastAsia="Times New Roman" w:cs="Times New Roman"/>
          <w:rtl/>
          <w:lang w:eastAsia="de-DE"/>
        </w:rPr>
        <w:t xml:space="preserve"> </w:t>
      </w:r>
      <w:r w:rsidRPr="006E39D1">
        <w:rPr>
          <w:rFonts w:eastAsia="Times New Roman" w:cs="Times New Roman"/>
          <w:lang w:eastAsia="de-DE"/>
        </w:rPr>
        <w:t xml:space="preserve">(und der Geist ruhte auf ihnen) mit </w:t>
      </w:r>
      <w:r w:rsidRPr="006E39D1">
        <w:rPr>
          <w:rFonts w:eastAsia="Times New Roman" w:cs="Times New Roman"/>
          <w:b/>
          <w:bCs/>
          <w:rtl/>
          <w:lang w:eastAsia="de-DE"/>
        </w:rPr>
        <w:t>תָּנַח</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נוח</w:t>
      </w:r>
      <w:r w:rsidRPr="006E39D1">
        <w:rPr>
          <w:rFonts w:eastAsia="Times New Roman" w:cs="Times New Roman"/>
          <w:rtl/>
          <w:lang w:eastAsia="de-DE"/>
        </w:rPr>
        <w:t xml:space="preserve"> </w:t>
      </w:r>
      <w:r w:rsidRPr="006E39D1">
        <w:rPr>
          <w:rFonts w:eastAsia="Times New Roman" w:cs="Times New Roman"/>
          <w:lang w:eastAsia="de-DE"/>
        </w:rPr>
        <w:t>(ruhen) zeigt die göttliche Einbeziehung auch der Abwesenden.</w:t>
      </w:r>
    </w:p>
    <w:p w14:paraId="33D14B0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Erklärung </w:t>
      </w:r>
      <w:r w:rsidRPr="006E39D1">
        <w:rPr>
          <w:rFonts w:eastAsia="Times New Roman" w:cs="Times New Roman"/>
          <w:b/>
          <w:bCs/>
          <w:rtl/>
          <w:lang w:eastAsia="de-DE"/>
        </w:rPr>
        <w:t>וְהֵ֨מָּה֙ בַּכְּתֻבִ֔ים וְלֹ֥א יָצְא֖וּ הָאֹ֑הֱלָה</w:t>
      </w:r>
      <w:r w:rsidRPr="006E39D1">
        <w:rPr>
          <w:rFonts w:eastAsia="Times New Roman" w:cs="Times New Roman"/>
          <w:rtl/>
          <w:lang w:eastAsia="de-DE"/>
        </w:rPr>
        <w:t xml:space="preserve"> </w:t>
      </w:r>
      <w:r w:rsidRPr="006E39D1">
        <w:rPr>
          <w:rFonts w:eastAsia="Times New Roman" w:cs="Times New Roman"/>
          <w:lang w:eastAsia="de-DE"/>
        </w:rPr>
        <w:t xml:space="preserve">(sie waren unter den Aufgeschriebenen, waren aber nicht zum Zelt hinausgegangen) mit </w:t>
      </w:r>
      <w:r w:rsidRPr="006E39D1">
        <w:rPr>
          <w:rFonts w:eastAsia="Times New Roman" w:cs="Times New Roman"/>
          <w:b/>
          <w:bCs/>
          <w:rtl/>
          <w:lang w:eastAsia="de-DE"/>
        </w:rPr>
        <w:t>בַּכְּתֻבִים</w:t>
      </w:r>
      <w:r w:rsidRPr="006E39D1">
        <w:rPr>
          <w:rFonts w:eastAsia="Times New Roman" w:cs="Times New Roman"/>
          <w:rtl/>
          <w:lang w:eastAsia="de-DE"/>
        </w:rPr>
        <w:t xml:space="preserve"> </w:t>
      </w:r>
      <w:r w:rsidRPr="006E39D1">
        <w:rPr>
          <w:rFonts w:eastAsia="Times New Roman" w:cs="Times New Roman"/>
          <w:lang w:eastAsia="de-DE"/>
        </w:rPr>
        <w:t xml:space="preserve">(unter den Aufgeschriebenen) und </w:t>
      </w:r>
      <w:r w:rsidRPr="006E39D1">
        <w:rPr>
          <w:rFonts w:eastAsia="Times New Roman" w:cs="Times New Roman"/>
          <w:b/>
          <w:bCs/>
          <w:rtl/>
          <w:lang w:eastAsia="de-DE"/>
        </w:rPr>
        <w:t>לֹא יָצְאוּ הָאֹהֱלָה</w:t>
      </w:r>
      <w:r w:rsidRPr="006E39D1">
        <w:rPr>
          <w:rFonts w:eastAsia="Times New Roman" w:cs="Times New Roman"/>
          <w:rtl/>
          <w:lang w:eastAsia="de-DE"/>
        </w:rPr>
        <w:t xml:space="preserve"> </w:t>
      </w:r>
      <w:r w:rsidRPr="006E39D1">
        <w:rPr>
          <w:rFonts w:eastAsia="Times New Roman" w:cs="Times New Roman"/>
          <w:lang w:eastAsia="de-DE"/>
        </w:rPr>
        <w:t>(sie gingen nicht zum Zelt hinaus) zeigt ihre legitimierte Abwesenheit.</w:t>
      </w:r>
    </w:p>
    <w:p w14:paraId="7F3770B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Manifestation </w:t>
      </w:r>
      <w:r w:rsidRPr="006E39D1">
        <w:rPr>
          <w:rFonts w:eastAsia="Times New Roman" w:cs="Times New Roman"/>
          <w:b/>
          <w:bCs/>
          <w:rtl/>
          <w:lang w:eastAsia="de-DE"/>
        </w:rPr>
        <w:t>וַיִּֽתְנַבְּא֖וּ בַּֽמַּחֲנֶֽה</w:t>
      </w:r>
      <w:r w:rsidRPr="006E39D1">
        <w:rPr>
          <w:rFonts w:eastAsia="Times New Roman" w:cs="Times New Roman"/>
          <w:rtl/>
          <w:lang w:eastAsia="de-DE"/>
        </w:rPr>
        <w:t xml:space="preserve"> </w:t>
      </w:r>
      <w:r w:rsidRPr="006E39D1">
        <w:rPr>
          <w:rFonts w:eastAsia="Times New Roman" w:cs="Times New Roman"/>
          <w:lang w:eastAsia="de-DE"/>
        </w:rPr>
        <w:t>(und sie weissagten im Lager) zeigt die unkonventionelle Orts der prophetischen Äußerung.</w:t>
      </w:r>
    </w:p>
    <w:p w14:paraId="0CEC8A15" w14:textId="789F550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Die LXX</w:t>
      </w:r>
      <w:r w:rsidRPr="006E39D1">
        <w:rPr>
          <w:rFonts w:eastAsia="Times New Roman" w:cs="Times New Roman"/>
          <w:lang w:eastAsia="de-DE"/>
        </w:rPr>
        <w:t xml:space="preserve"> </w:t>
      </w:r>
      <w:r w:rsidR="00497CF8">
        <w:t>ändert den Namen leicht: Hebräisch „</w:t>
      </w:r>
      <w:r w:rsidR="00497CF8">
        <w:rPr>
          <w:rtl/>
        </w:rPr>
        <w:t>מֵידָד</w:t>
      </w:r>
      <w:r w:rsidR="00497CF8">
        <w:t>" wird zu griechisch „Μωδάδ" (Modad statt Medad).</w:t>
      </w:r>
    </w:p>
    <w:p w14:paraId="6979FA8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unerwartete Situation, Namensidentifikation, Geistesausstattung, erklärende Parenthese und unkonventionelle Manifestation.</w:t>
      </w:r>
    </w:p>
    <w:p w14:paraId="078C0D85" w14:textId="2D71B43D"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göttliche Souveränität über menschliche Organisation durch Geistesausstattung auch außerhalb des erwarteten liturgischen Rahmens.</w:t>
      </w:r>
    </w:p>
    <w:p w14:paraId="0DB9685B"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11,27</w:t>
      </w:r>
    </w:p>
    <w:p w14:paraId="1CE517B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וַיָּ֣רָץ הַנַּ֔עַר וַיַּגֵּ֥ד לְמֹשֶׁ֖ה וַיֹּאמַ֑ר אֶלְדָּ֣ד וּמֵידָ֔ד מִֽתְנַבְּאִ֖ים בַּֽמַּחֲנֶֽה׃</w:t>
      </w:r>
    </w:p>
    <w:p w14:paraId="1BCBAB3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Da lief ein Junge und berichtete es Mosche und sprach: Eldad und Medad weissagen im Lager.</w:t>
      </w:r>
    </w:p>
    <w:p w14:paraId="6F740763"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4919BE12">
          <v:rect id="_x0000_i1406" style="width:0;height:1.5pt" o:hralign="center" o:hrstd="t" o:hr="t" fillcolor="#a0a0a0" stroked="f"/>
        </w:pict>
      </w:r>
    </w:p>
    <w:p w14:paraId="514C59D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וַיָּ֣רָץ הַנַּ֔עַר</w:t>
      </w:r>
      <w:r w:rsidRPr="006E39D1">
        <w:rPr>
          <w:rFonts w:eastAsia="Times New Roman" w:cs="Times New Roman"/>
          <w:rtl/>
          <w:lang w:eastAsia="de-DE"/>
        </w:rPr>
        <w:t xml:space="preserve"> </w:t>
      </w:r>
      <w:r w:rsidRPr="006E39D1">
        <w:rPr>
          <w:rFonts w:eastAsia="Times New Roman" w:cs="Times New Roman"/>
          <w:lang w:eastAsia="de-DE"/>
        </w:rPr>
        <w:t xml:space="preserve">(und der Junge lief) mit </w:t>
      </w:r>
      <w:r w:rsidRPr="006E39D1">
        <w:rPr>
          <w:rFonts w:eastAsia="Times New Roman" w:cs="Times New Roman"/>
          <w:b/>
          <w:bCs/>
          <w:rtl/>
          <w:lang w:eastAsia="de-DE"/>
        </w:rPr>
        <w:t>יָּרָץ</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רוץ</w:t>
      </w:r>
      <w:r w:rsidRPr="006E39D1">
        <w:rPr>
          <w:rFonts w:eastAsia="Times New Roman" w:cs="Times New Roman"/>
          <w:rtl/>
          <w:lang w:eastAsia="de-DE"/>
        </w:rPr>
        <w:t xml:space="preserve"> </w:t>
      </w:r>
      <w:r w:rsidRPr="006E39D1">
        <w:rPr>
          <w:rFonts w:eastAsia="Times New Roman" w:cs="Times New Roman"/>
          <w:lang w:eastAsia="de-DE"/>
        </w:rPr>
        <w:t xml:space="preserve">(laufen) im Qal-Imperfekt 3. maskulin Singular zeigt die eilige Berichterstattung. </w:t>
      </w:r>
      <w:r w:rsidRPr="006E39D1">
        <w:rPr>
          <w:rFonts w:eastAsia="Times New Roman" w:cs="Times New Roman"/>
          <w:b/>
          <w:bCs/>
          <w:rtl/>
          <w:lang w:eastAsia="de-DE"/>
        </w:rPr>
        <w:t>הַנַּעַר</w:t>
      </w:r>
      <w:r w:rsidRPr="006E39D1">
        <w:rPr>
          <w:rFonts w:eastAsia="Times New Roman" w:cs="Times New Roman"/>
          <w:rtl/>
          <w:lang w:eastAsia="de-DE"/>
        </w:rPr>
        <w:t xml:space="preserve"> </w:t>
      </w:r>
      <w:r w:rsidRPr="006E39D1">
        <w:rPr>
          <w:rFonts w:eastAsia="Times New Roman" w:cs="Times New Roman"/>
          <w:lang w:eastAsia="de-DE"/>
        </w:rPr>
        <w:t>(der Junge) bezeichnet einen jungen Mann, wahrscheinlich einen Diener oder Boten.</w:t>
      </w:r>
    </w:p>
    <w:p w14:paraId="791ECD0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Berichterstattung </w:t>
      </w:r>
      <w:r w:rsidRPr="006E39D1">
        <w:rPr>
          <w:rFonts w:eastAsia="Times New Roman" w:cs="Times New Roman"/>
          <w:b/>
          <w:bCs/>
          <w:rtl/>
          <w:lang w:eastAsia="de-DE"/>
        </w:rPr>
        <w:t>וַיַּגֵּ֥ד לְמֹשֶׁ֖ה וַיֹּאמַ֑ר</w:t>
      </w:r>
      <w:r w:rsidRPr="006E39D1">
        <w:rPr>
          <w:rFonts w:eastAsia="Times New Roman" w:cs="Times New Roman"/>
          <w:rtl/>
          <w:lang w:eastAsia="de-DE"/>
        </w:rPr>
        <w:t xml:space="preserve"> </w:t>
      </w:r>
      <w:r w:rsidRPr="006E39D1">
        <w:rPr>
          <w:rFonts w:eastAsia="Times New Roman" w:cs="Times New Roman"/>
          <w:lang w:eastAsia="de-DE"/>
        </w:rPr>
        <w:t xml:space="preserve">(und er berichtete es Mose und sprach) mit </w:t>
      </w:r>
      <w:r w:rsidRPr="006E39D1">
        <w:rPr>
          <w:rFonts w:eastAsia="Times New Roman" w:cs="Times New Roman"/>
          <w:b/>
          <w:bCs/>
          <w:rtl/>
          <w:lang w:eastAsia="de-DE"/>
        </w:rPr>
        <w:t>יַּגֵּד</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נגד</w:t>
      </w:r>
      <w:r w:rsidRPr="006E39D1">
        <w:rPr>
          <w:rFonts w:eastAsia="Times New Roman" w:cs="Times New Roman"/>
          <w:rtl/>
          <w:lang w:eastAsia="de-DE"/>
        </w:rPr>
        <w:t xml:space="preserve"> </w:t>
      </w:r>
      <w:r w:rsidRPr="006E39D1">
        <w:rPr>
          <w:rFonts w:eastAsia="Times New Roman" w:cs="Times New Roman"/>
          <w:lang w:eastAsia="de-DE"/>
        </w:rPr>
        <w:t>(berichten/erzählen) im Hiph'il zeigt die offizielle Meldung an die Autoritätsperson.</w:t>
      </w:r>
    </w:p>
    <w:p w14:paraId="2DACED3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direkte Rede </w:t>
      </w:r>
      <w:r w:rsidRPr="006E39D1">
        <w:rPr>
          <w:rFonts w:eastAsia="Times New Roman" w:cs="Times New Roman"/>
          <w:b/>
          <w:bCs/>
          <w:rtl/>
          <w:lang w:eastAsia="de-DE"/>
        </w:rPr>
        <w:t>אֶלְדָּ֣ד וּמֵידָ֔ד מִֽתְנַבְּאִ֖ים בַּֽמַּחֲנֶֽה</w:t>
      </w:r>
      <w:r w:rsidRPr="006E39D1">
        <w:rPr>
          <w:rFonts w:eastAsia="Times New Roman" w:cs="Times New Roman"/>
          <w:rtl/>
          <w:lang w:eastAsia="de-DE"/>
        </w:rPr>
        <w:t xml:space="preserve"> </w:t>
      </w:r>
      <w:r w:rsidRPr="006E39D1">
        <w:rPr>
          <w:rFonts w:eastAsia="Times New Roman" w:cs="Times New Roman"/>
          <w:lang w:eastAsia="de-DE"/>
        </w:rPr>
        <w:t xml:space="preserve">(Eldad und Medad weissagen im Lager) mit </w:t>
      </w:r>
      <w:r w:rsidRPr="006E39D1">
        <w:rPr>
          <w:rFonts w:eastAsia="Times New Roman" w:cs="Times New Roman"/>
          <w:b/>
          <w:bCs/>
          <w:rtl/>
          <w:lang w:eastAsia="de-DE"/>
        </w:rPr>
        <w:t>מִתְנַבְּאִים</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נבא</w:t>
      </w:r>
      <w:r w:rsidRPr="006E39D1">
        <w:rPr>
          <w:rFonts w:eastAsia="Times New Roman" w:cs="Times New Roman"/>
          <w:rtl/>
          <w:lang w:eastAsia="de-DE"/>
        </w:rPr>
        <w:t xml:space="preserve"> </w:t>
      </w:r>
      <w:r w:rsidRPr="006E39D1">
        <w:rPr>
          <w:rFonts w:eastAsia="Times New Roman" w:cs="Times New Roman"/>
          <w:lang w:eastAsia="de-DE"/>
        </w:rPr>
        <w:t xml:space="preserve">(weissagen) im Hitp'ael-Partizip Plural und </w:t>
      </w:r>
      <w:r w:rsidRPr="006E39D1">
        <w:rPr>
          <w:rFonts w:eastAsia="Times New Roman" w:cs="Times New Roman"/>
          <w:b/>
          <w:bCs/>
          <w:rtl/>
          <w:lang w:eastAsia="de-DE"/>
        </w:rPr>
        <w:t>בַּמַּחֲנֶה</w:t>
      </w:r>
      <w:r w:rsidRPr="006E39D1">
        <w:rPr>
          <w:rFonts w:eastAsia="Times New Roman" w:cs="Times New Roman"/>
          <w:rtl/>
          <w:lang w:eastAsia="de-DE"/>
        </w:rPr>
        <w:t xml:space="preserve"> </w:t>
      </w:r>
      <w:r w:rsidRPr="006E39D1">
        <w:rPr>
          <w:rFonts w:eastAsia="Times New Roman" w:cs="Times New Roman"/>
          <w:lang w:eastAsia="de-DE"/>
        </w:rPr>
        <w:t>(im Lager) zeigt die ungewöhnliche Situation prophetischer Aktivität außerhalb des liturgischen Zentrums.</w:t>
      </w:r>
    </w:p>
    <w:p w14:paraId="5E156F7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יָּרָץ</w:t>
      </w:r>
      <w:r w:rsidRPr="006E39D1">
        <w:rPr>
          <w:rFonts w:eastAsia="Times New Roman" w:cs="Times New Roman"/>
          <w:rtl/>
          <w:lang w:eastAsia="de-DE"/>
        </w:rPr>
        <w:t xml:space="preserve"> </w:t>
      </w:r>
      <w:r w:rsidRPr="006E39D1">
        <w:rPr>
          <w:rFonts w:eastAsia="Times New Roman" w:cs="Times New Roman"/>
          <w:lang w:eastAsia="de-DE"/>
        </w:rPr>
        <w:t xml:space="preserve">mit ἔδραμεν (er lief), </w:t>
      </w:r>
      <w:r w:rsidRPr="006E39D1">
        <w:rPr>
          <w:rFonts w:eastAsia="Times New Roman" w:cs="Times New Roman"/>
          <w:b/>
          <w:bCs/>
          <w:rtl/>
          <w:lang w:eastAsia="de-DE"/>
        </w:rPr>
        <w:t>יַּגֵּד</w:t>
      </w:r>
      <w:r w:rsidRPr="006E39D1">
        <w:rPr>
          <w:rFonts w:eastAsia="Times New Roman" w:cs="Times New Roman"/>
          <w:rtl/>
          <w:lang w:eastAsia="de-DE"/>
        </w:rPr>
        <w:t xml:space="preserve"> </w:t>
      </w:r>
      <w:r w:rsidRPr="006E39D1">
        <w:rPr>
          <w:rFonts w:eastAsia="Times New Roman" w:cs="Times New Roman"/>
          <w:lang w:eastAsia="de-DE"/>
        </w:rPr>
        <w:t xml:space="preserve">mit ἀπήγγειλεν (er berichtete) und </w:t>
      </w:r>
      <w:r w:rsidRPr="006E39D1">
        <w:rPr>
          <w:rFonts w:eastAsia="Times New Roman" w:cs="Times New Roman"/>
          <w:b/>
          <w:bCs/>
          <w:rtl/>
          <w:lang w:eastAsia="de-DE"/>
        </w:rPr>
        <w:t>מִתְנַבְּאִים</w:t>
      </w:r>
      <w:r w:rsidRPr="006E39D1">
        <w:rPr>
          <w:rFonts w:eastAsia="Times New Roman" w:cs="Times New Roman"/>
          <w:rtl/>
          <w:lang w:eastAsia="de-DE"/>
        </w:rPr>
        <w:t xml:space="preserve"> </w:t>
      </w:r>
      <w:r w:rsidRPr="006E39D1">
        <w:rPr>
          <w:rFonts w:eastAsia="Times New Roman" w:cs="Times New Roman"/>
          <w:lang w:eastAsia="de-DE"/>
        </w:rPr>
        <w:t>mit προφητεύουσιν (sie prophezeien).</w:t>
      </w:r>
    </w:p>
    <w:p w14:paraId="7761CDD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eilige Bewegung, offizielle Berichterstattung und direkte Situationsmeldung.</w:t>
      </w:r>
    </w:p>
    <w:p w14:paraId="7E22B85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die Aufregung über das unkonventionelle prophetische Ereignis und die Sorge um die ordnungsgemäße Kontrolle geistlicher Phänomene.</w:t>
      </w:r>
    </w:p>
    <w:p w14:paraId="1507294B"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11,28</w:t>
      </w:r>
    </w:p>
    <w:p w14:paraId="4EC7D89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וַיַּ֜עַן יְהוֹשֻׁ֣עַ בִּן־נ֗וּן מְשָׁרֵ֥ת מֹשֶׁ֛ה מִבְּחֻרָ֖יו וַיֹּאמַ֑ר אֲדֹנִ֥י מֹשֶׁ֖ה כְּלָאֵֽם׃</w:t>
      </w:r>
    </w:p>
    <w:p w14:paraId="63CC26F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Jehoschua, der Sohn Nuns, der Diener Mosches von seiner Jugend an, antwortete und sprach: Mein Herr Mosche, wehre ihnen!</w:t>
      </w:r>
    </w:p>
    <w:p w14:paraId="29FFA7F9"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7B9DA149">
          <v:rect id="_x0000_i1407" style="width:0;height:1.5pt" o:hralign="center" o:hrstd="t" o:hr="t" fillcolor="#a0a0a0" stroked="f"/>
        </w:pict>
      </w:r>
    </w:p>
    <w:p w14:paraId="4FDBD7E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Kommentar:</w:t>
      </w:r>
      <w:r w:rsidRPr="006E39D1">
        <w:rPr>
          <w:rFonts w:eastAsia="Times New Roman" w:cs="Times New Roman"/>
          <w:lang w:eastAsia="de-DE"/>
        </w:rPr>
        <w:t xml:space="preserve"> Das Antwortverb </w:t>
      </w:r>
      <w:r w:rsidRPr="006E39D1">
        <w:rPr>
          <w:rFonts w:eastAsia="Times New Roman" w:cs="Times New Roman"/>
          <w:b/>
          <w:bCs/>
          <w:rtl/>
          <w:lang w:eastAsia="de-DE"/>
        </w:rPr>
        <w:t>וַיַּ֜עַן יְהוֹשֻׁ֣עַ בִּן־נ֗וּן</w:t>
      </w:r>
      <w:r w:rsidRPr="006E39D1">
        <w:rPr>
          <w:rFonts w:eastAsia="Times New Roman" w:cs="Times New Roman"/>
          <w:rtl/>
          <w:lang w:eastAsia="de-DE"/>
        </w:rPr>
        <w:t xml:space="preserve"> </w:t>
      </w:r>
      <w:r w:rsidRPr="006E39D1">
        <w:rPr>
          <w:rFonts w:eastAsia="Times New Roman" w:cs="Times New Roman"/>
          <w:lang w:eastAsia="de-DE"/>
        </w:rPr>
        <w:t xml:space="preserve">(und Josua, Sohn Nuns, antwortete) mit </w:t>
      </w:r>
      <w:r w:rsidRPr="006E39D1">
        <w:rPr>
          <w:rFonts w:eastAsia="Times New Roman" w:cs="Times New Roman"/>
          <w:b/>
          <w:bCs/>
          <w:rtl/>
          <w:lang w:eastAsia="de-DE"/>
        </w:rPr>
        <w:t>יַּעַן</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ענה</w:t>
      </w:r>
      <w:r w:rsidRPr="006E39D1">
        <w:rPr>
          <w:rFonts w:eastAsia="Times New Roman" w:cs="Times New Roman"/>
          <w:rtl/>
          <w:lang w:eastAsia="de-DE"/>
        </w:rPr>
        <w:t xml:space="preserve"> </w:t>
      </w:r>
      <w:r w:rsidRPr="006E39D1">
        <w:rPr>
          <w:rFonts w:eastAsia="Times New Roman" w:cs="Times New Roman"/>
          <w:lang w:eastAsia="de-DE"/>
        </w:rPr>
        <w:t xml:space="preserve">(antworten) leitet Josuas Reaktion ein. Die ausführliche Identifikation </w:t>
      </w:r>
      <w:r w:rsidRPr="006E39D1">
        <w:rPr>
          <w:rFonts w:eastAsia="Times New Roman" w:cs="Times New Roman"/>
          <w:b/>
          <w:bCs/>
          <w:rtl/>
          <w:lang w:eastAsia="de-DE"/>
        </w:rPr>
        <w:t>יְהוֹשֻׁעַ בִּן־נוּן מְשָׁרֵת מֹשֶׁה מִבְּחֻרָיו</w:t>
      </w:r>
      <w:r w:rsidRPr="006E39D1">
        <w:rPr>
          <w:rFonts w:eastAsia="Times New Roman" w:cs="Times New Roman"/>
          <w:rtl/>
          <w:lang w:eastAsia="de-DE"/>
        </w:rPr>
        <w:t xml:space="preserve"> </w:t>
      </w:r>
      <w:r w:rsidRPr="006E39D1">
        <w:rPr>
          <w:rFonts w:eastAsia="Times New Roman" w:cs="Times New Roman"/>
          <w:lang w:eastAsia="de-DE"/>
        </w:rPr>
        <w:t>zeigt seine Qualifikationen.</w:t>
      </w:r>
    </w:p>
    <w:p w14:paraId="3FF731C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rtl/>
          <w:lang w:eastAsia="de-DE"/>
        </w:rPr>
        <w:t>מְשָׁרֵת מֹשֶׁה</w:t>
      </w:r>
      <w:r w:rsidRPr="006E39D1">
        <w:rPr>
          <w:rFonts w:eastAsia="Times New Roman" w:cs="Times New Roman"/>
          <w:rtl/>
          <w:lang w:eastAsia="de-DE"/>
        </w:rPr>
        <w:t xml:space="preserve"> </w:t>
      </w:r>
      <w:r w:rsidRPr="006E39D1">
        <w:rPr>
          <w:rFonts w:eastAsia="Times New Roman" w:cs="Times New Roman"/>
          <w:lang w:eastAsia="de-DE"/>
        </w:rPr>
        <w:t xml:space="preserve">(Diener Moses) mit </w:t>
      </w:r>
      <w:r w:rsidRPr="006E39D1">
        <w:rPr>
          <w:rFonts w:eastAsia="Times New Roman" w:cs="Times New Roman"/>
          <w:b/>
          <w:bCs/>
          <w:rtl/>
          <w:lang w:eastAsia="de-DE"/>
        </w:rPr>
        <w:t>מְשָׁרֵת</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שרת</w:t>
      </w:r>
      <w:r w:rsidRPr="006E39D1">
        <w:rPr>
          <w:rFonts w:eastAsia="Times New Roman" w:cs="Times New Roman"/>
          <w:rtl/>
          <w:lang w:eastAsia="de-DE"/>
        </w:rPr>
        <w:t xml:space="preserve"> </w:t>
      </w:r>
      <w:r w:rsidRPr="006E39D1">
        <w:rPr>
          <w:rFonts w:eastAsia="Times New Roman" w:cs="Times New Roman"/>
          <w:lang w:eastAsia="de-DE"/>
        </w:rPr>
        <w:t xml:space="preserve">(dienen) als Pi'el-Partizip zeigt Josuas offizielle Position. </w:t>
      </w:r>
      <w:r w:rsidRPr="006E39D1">
        <w:rPr>
          <w:rFonts w:eastAsia="Times New Roman" w:cs="Times New Roman"/>
          <w:b/>
          <w:bCs/>
          <w:rtl/>
          <w:lang w:eastAsia="de-DE"/>
        </w:rPr>
        <w:t>מִבְּחֻרָיו</w:t>
      </w:r>
      <w:r w:rsidRPr="006E39D1">
        <w:rPr>
          <w:rFonts w:eastAsia="Times New Roman" w:cs="Times New Roman"/>
          <w:rtl/>
          <w:lang w:eastAsia="de-DE"/>
        </w:rPr>
        <w:t xml:space="preserve"> </w:t>
      </w:r>
      <w:r w:rsidRPr="006E39D1">
        <w:rPr>
          <w:rFonts w:eastAsia="Times New Roman" w:cs="Times New Roman"/>
          <w:lang w:eastAsia="de-DE"/>
        </w:rPr>
        <w:t xml:space="preserve">(von seiner Jugend an) mit </w:t>
      </w:r>
      <w:r w:rsidRPr="006E39D1">
        <w:rPr>
          <w:rFonts w:eastAsia="Times New Roman" w:cs="Times New Roman"/>
          <w:b/>
          <w:bCs/>
          <w:rtl/>
          <w:lang w:eastAsia="de-DE"/>
        </w:rPr>
        <w:t>בָּחוּר</w:t>
      </w:r>
      <w:r w:rsidRPr="006E39D1">
        <w:rPr>
          <w:rFonts w:eastAsia="Times New Roman" w:cs="Times New Roman"/>
          <w:rtl/>
          <w:lang w:eastAsia="de-DE"/>
        </w:rPr>
        <w:t xml:space="preserve"> </w:t>
      </w:r>
      <w:r w:rsidRPr="006E39D1">
        <w:rPr>
          <w:rFonts w:eastAsia="Times New Roman" w:cs="Times New Roman"/>
          <w:lang w:eastAsia="de-DE"/>
        </w:rPr>
        <w:t>(junger Mann/Jugend) und Possessivsuffix zeigt die Länge ihrer Beziehung.</w:t>
      </w:r>
    </w:p>
    <w:p w14:paraId="093C9BB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respektvolle Anrede </w:t>
      </w:r>
      <w:r w:rsidRPr="006E39D1">
        <w:rPr>
          <w:rFonts w:eastAsia="Times New Roman" w:cs="Times New Roman"/>
          <w:b/>
          <w:bCs/>
          <w:rtl/>
          <w:lang w:eastAsia="de-DE"/>
        </w:rPr>
        <w:t>אֲדֹנִ֥י מֹשֶׁ֖ה</w:t>
      </w:r>
      <w:r w:rsidRPr="006E39D1">
        <w:rPr>
          <w:rFonts w:eastAsia="Times New Roman" w:cs="Times New Roman"/>
          <w:rtl/>
          <w:lang w:eastAsia="de-DE"/>
        </w:rPr>
        <w:t xml:space="preserve"> </w:t>
      </w:r>
      <w:r w:rsidRPr="006E39D1">
        <w:rPr>
          <w:rFonts w:eastAsia="Times New Roman" w:cs="Times New Roman"/>
          <w:lang w:eastAsia="de-DE"/>
        </w:rPr>
        <w:t xml:space="preserve">(mein Herr Mose) mit </w:t>
      </w:r>
      <w:r w:rsidRPr="006E39D1">
        <w:rPr>
          <w:rFonts w:eastAsia="Times New Roman" w:cs="Times New Roman"/>
          <w:b/>
          <w:bCs/>
          <w:rtl/>
          <w:lang w:eastAsia="de-DE"/>
        </w:rPr>
        <w:t>אֲדֹנִי</w:t>
      </w:r>
      <w:r w:rsidRPr="006E39D1">
        <w:rPr>
          <w:rFonts w:eastAsia="Times New Roman" w:cs="Times New Roman"/>
          <w:rtl/>
          <w:lang w:eastAsia="de-DE"/>
        </w:rPr>
        <w:t xml:space="preserve"> </w:t>
      </w:r>
      <w:r w:rsidRPr="006E39D1">
        <w:rPr>
          <w:rFonts w:eastAsia="Times New Roman" w:cs="Times New Roman"/>
          <w:lang w:eastAsia="de-DE"/>
        </w:rPr>
        <w:t xml:space="preserve">(mein Herr) zeigt Josuas Unterordnung. Der Imperativ </w:t>
      </w:r>
      <w:r w:rsidRPr="006E39D1">
        <w:rPr>
          <w:rFonts w:eastAsia="Times New Roman" w:cs="Times New Roman"/>
          <w:b/>
          <w:bCs/>
          <w:rtl/>
          <w:lang w:eastAsia="de-DE"/>
        </w:rPr>
        <w:t>כְּלָאֵֽם</w:t>
      </w:r>
      <w:r w:rsidRPr="006E39D1">
        <w:rPr>
          <w:rFonts w:eastAsia="Times New Roman" w:cs="Times New Roman"/>
          <w:rtl/>
          <w:lang w:eastAsia="de-DE"/>
        </w:rPr>
        <w:t xml:space="preserve"> </w:t>
      </w:r>
      <w:r w:rsidRPr="006E39D1">
        <w:rPr>
          <w:rFonts w:eastAsia="Times New Roman" w:cs="Times New Roman"/>
          <w:lang w:eastAsia="de-DE"/>
        </w:rPr>
        <w:t xml:space="preserve">(wehre ihnen) von </w:t>
      </w:r>
      <w:r w:rsidRPr="006E39D1">
        <w:rPr>
          <w:rFonts w:eastAsia="Times New Roman" w:cs="Times New Roman"/>
          <w:b/>
          <w:bCs/>
          <w:rtl/>
          <w:lang w:eastAsia="de-DE"/>
        </w:rPr>
        <w:t>כלא</w:t>
      </w:r>
      <w:r w:rsidRPr="006E39D1">
        <w:rPr>
          <w:rFonts w:eastAsia="Times New Roman" w:cs="Times New Roman"/>
          <w:rtl/>
          <w:lang w:eastAsia="de-DE"/>
        </w:rPr>
        <w:t xml:space="preserve"> </w:t>
      </w:r>
      <w:r w:rsidRPr="006E39D1">
        <w:rPr>
          <w:rFonts w:eastAsia="Times New Roman" w:cs="Times New Roman"/>
          <w:lang w:eastAsia="de-DE"/>
        </w:rPr>
        <w:t>(zurückhalten/hindern) im Qal-Imperativ mit Objektsuffix 3. maskulin Plural zeigt Josuas Wunsch nach Kontrolle der unautorisierten prophetischen Aktivität.</w:t>
      </w:r>
    </w:p>
    <w:p w14:paraId="752EBD2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יַּעַן</w:t>
      </w:r>
      <w:r w:rsidRPr="006E39D1">
        <w:rPr>
          <w:rFonts w:eastAsia="Times New Roman" w:cs="Times New Roman"/>
          <w:rtl/>
          <w:lang w:eastAsia="de-DE"/>
        </w:rPr>
        <w:t xml:space="preserve"> </w:t>
      </w:r>
      <w:r w:rsidRPr="006E39D1">
        <w:rPr>
          <w:rFonts w:eastAsia="Times New Roman" w:cs="Times New Roman"/>
          <w:lang w:eastAsia="de-DE"/>
        </w:rPr>
        <w:t xml:space="preserve">mit ἀποκριθεὶς (antwortend), </w:t>
      </w:r>
      <w:r w:rsidRPr="006E39D1">
        <w:rPr>
          <w:rFonts w:eastAsia="Times New Roman" w:cs="Times New Roman"/>
          <w:b/>
          <w:bCs/>
          <w:rtl/>
          <w:lang w:eastAsia="de-DE"/>
        </w:rPr>
        <w:t>מְשָׁרֵת</w:t>
      </w:r>
      <w:r w:rsidRPr="006E39D1">
        <w:rPr>
          <w:rFonts w:eastAsia="Times New Roman" w:cs="Times New Roman"/>
          <w:rtl/>
          <w:lang w:eastAsia="de-DE"/>
        </w:rPr>
        <w:t xml:space="preserve"> </w:t>
      </w:r>
      <w:r w:rsidRPr="006E39D1">
        <w:rPr>
          <w:rFonts w:eastAsia="Times New Roman" w:cs="Times New Roman"/>
          <w:lang w:eastAsia="de-DE"/>
        </w:rPr>
        <w:t xml:space="preserve">mit θεραπευτὴς (Diener) und </w:t>
      </w:r>
      <w:r w:rsidRPr="006E39D1">
        <w:rPr>
          <w:rFonts w:eastAsia="Times New Roman" w:cs="Times New Roman"/>
          <w:b/>
          <w:bCs/>
          <w:rtl/>
          <w:lang w:eastAsia="de-DE"/>
        </w:rPr>
        <w:t>כְּלָאֵם</w:t>
      </w:r>
      <w:r w:rsidRPr="006E39D1">
        <w:rPr>
          <w:rFonts w:eastAsia="Times New Roman" w:cs="Times New Roman"/>
          <w:rtl/>
          <w:lang w:eastAsia="de-DE"/>
        </w:rPr>
        <w:t xml:space="preserve"> </w:t>
      </w:r>
      <w:r w:rsidRPr="006E39D1">
        <w:rPr>
          <w:rFonts w:eastAsia="Times New Roman" w:cs="Times New Roman"/>
          <w:lang w:eastAsia="de-DE"/>
        </w:rPr>
        <w:t>mit κώλυσον αὐτοὺς (hindere sie).</w:t>
      </w:r>
    </w:p>
    <w:p w14:paraId="1D1C77A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Antwortverb, ausführliche Personencharakterisierung, respektvolle Anrede und imperative Kontrollforderung.</w:t>
      </w:r>
    </w:p>
    <w:p w14:paraId="6827623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Josuas institutionelle Sorge um die Ordnung der geistlichen Autorität und seinen Schutzinstinkt für Moses Position.</w:t>
      </w:r>
    </w:p>
    <w:p w14:paraId="49F0A1D1"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11,29</w:t>
      </w:r>
    </w:p>
    <w:p w14:paraId="2F7C98B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וַיֹּ֤אמֶר לוֹ֙ מֹשֶׁ֔ה הַֽמְקַנֵּ֥א אַתָּ֖ה לִ֑י וּמִ֨י יִתֵּ֜ן כָּל־עַ֤ם יְהוָה֙ נְבִיאִ֔ים כִּי־יִתֵּ֧ן יְהוָ֛ה אֶת־רוּחֹ֖ו עֲלֵיהֶֽם׃</w:t>
      </w:r>
    </w:p>
    <w:p w14:paraId="59FC148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Aber Mosche sprach zu ihm: Eiferst du für mich? Möge doch das ganze Volk des Ewigen Propheten sein, dass der Ewige seinen Geist auf sie legte!</w:t>
      </w:r>
    </w:p>
    <w:p w14:paraId="36AD3E2A"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69416B2C">
          <v:rect id="_x0000_i1408" style="width:0;height:1.5pt" o:hralign="center" o:hrstd="t" o:hr="t" fillcolor="#a0a0a0" stroked="f"/>
        </w:pict>
      </w:r>
    </w:p>
    <w:p w14:paraId="2F369C0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 לוֹ֙ מֹשֶׁ֔ה</w:t>
      </w:r>
      <w:r w:rsidRPr="006E39D1">
        <w:rPr>
          <w:rFonts w:eastAsia="Times New Roman" w:cs="Times New Roman"/>
          <w:rtl/>
          <w:lang w:eastAsia="de-DE"/>
        </w:rPr>
        <w:t xml:space="preserve"> </w:t>
      </w:r>
      <w:r w:rsidRPr="006E39D1">
        <w:rPr>
          <w:rFonts w:eastAsia="Times New Roman" w:cs="Times New Roman"/>
          <w:lang w:eastAsia="de-DE"/>
        </w:rPr>
        <w:t xml:space="preserve">(und Mose sprach zu ihm) leitet Moses weise Antwort ein. Die rhetorische Frage </w:t>
      </w:r>
      <w:r w:rsidRPr="006E39D1">
        <w:rPr>
          <w:rFonts w:eastAsia="Times New Roman" w:cs="Times New Roman"/>
          <w:b/>
          <w:bCs/>
          <w:rtl/>
          <w:lang w:eastAsia="de-DE"/>
        </w:rPr>
        <w:t>הַֽמְקַנֵּ֥א אַתָּ֖ה לִ֑י</w:t>
      </w:r>
      <w:r w:rsidRPr="006E39D1">
        <w:rPr>
          <w:rFonts w:eastAsia="Times New Roman" w:cs="Times New Roman"/>
          <w:rtl/>
          <w:lang w:eastAsia="de-DE"/>
        </w:rPr>
        <w:t xml:space="preserve"> </w:t>
      </w:r>
      <w:r w:rsidRPr="006E39D1">
        <w:rPr>
          <w:rFonts w:eastAsia="Times New Roman" w:cs="Times New Roman"/>
          <w:lang w:eastAsia="de-DE"/>
        </w:rPr>
        <w:t xml:space="preserve">(eiferst du für mich) mit </w:t>
      </w:r>
      <w:r w:rsidRPr="006E39D1">
        <w:rPr>
          <w:rFonts w:eastAsia="Times New Roman" w:cs="Times New Roman"/>
          <w:b/>
          <w:bCs/>
          <w:rtl/>
          <w:lang w:eastAsia="de-DE"/>
        </w:rPr>
        <w:t>הַמְקַנֵּא</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קנא</w:t>
      </w:r>
      <w:r w:rsidRPr="006E39D1">
        <w:rPr>
          <w:rFonts w:eastAsia="Times New Roman" w:cs="Times New Roman"/>
          <w:rtl/>
          <w:lang w:eastAsia="de-DE"/>
        </w:rPr>
        <w:t xml:space="preserve"> </w:t>
      </w:r>
      <w:r w:rsidRPr="006E39D1">
        <w:rPr>
          <w:rFonts w:eastAsia="Times New Roman" w:cs="Times New Roman"/>
          <w:lang w:eastAsia="de-DE"/>
        </w:rPr>
        <w:t xml:space="preserve">(eifern) im Pi'el-Partizip mit interrogativem </w:t>
      </w:r>
      <w:r w:rsidRPr="006E39D1">
        <w:rPr>
          <w:rFonts w:eastAsia="Times New Roman" w:cs="Times New Roman"/>
          <w:b/>
          <w:bCs/>
          <w:rtl/>
          <w:lang w:eastAsia="de-DE"/>
        </w:rPr>
        <w:t>ה</w:t>
      </w:r>
      <w:r w:rsidRPr="006E39D1">
        <w:rPr>
          <w:rFonts w:eastAsia="Times New Roman" w:cs="Times New Roman"/>
          <w:lang w:eastAsia="de-DE"/>
        </w:rPr>
        <w:t xml:space="preserve">, </w:t>
      </w:r>
      <w:r w:rsidRPr="006E39D1">
        <w:rPr>
          <w:rFonts w:eastAsia="Times New Roman" w:cs="Times New Roman"/>
          <w:b/>
          <w:bCs/>
          <w:rtl/>
          <w:lang w:eastAsia="de-DE"/>
        </w:rPr>
        <w:t>אַתָּה</w:t>
      </w:r>
      <w:r w:rsidRPr="006E39D1">
        <w:rPr>
          <w:rFonts w:eastAsia="Times New Roman" w:cs="Times New Roman"/>
          <w:rtl/>
          <w:lang w:eastAsia="de-DE"/>
        </w:rPr>
        <w:t xml:space="preserve"> </w:t>
      </w:r>
      <w:r w:rsidRPr="006E39D1">
        <w:rPr>
          <w:rFonts w:eastAsia="Times New Roman" w:cs="Times New Roman"/>
          <w:lang w:eastAsia="de-DE"/>
        </w:rPr>
        <w:t xml:space="preserve">(du) und </w:t>
      </w:r>
      <w:r w:rsidRPr="006E39D1">
        <w:rPr>
          <w:rFonts w:eastAsia="Times New Roman" w:cs="Times New Roman"/>
          <w:b/>
          <w:bCs/>
          <w:rtl/>
          <w:lang w:eastAsia="de-DE"/>
        </w:rPr>
        <w:t>לִי</w:t>
      </w:r>
      <w:r w:rsidRPr="006E39D1">
        <w:rPr>
          <w:rFonts w:eastAsia="Times New Roman" w:cs="Times New Roman"/>
          <w:rtl/>
          <w:lang w:eastAsia="de-DE"/>
        </w:rPr>
        <w:t xml:space="preserve"> </w:t>
      </w:r>
      <w:r w:rsidRPr="006E39D1">
        <w:rPr>
          <w:rFonts w:eastAsia="Times New Roman" w:cs="Times New Roman"/>
          <w:lang w:eastAsia="de-DE"/>
        </w:rPr>
        <w:t>(für mich) hinterfragt Josuas Motivation.</w:t>
      </w:r>
    </w:p>
    <w:p w14:paraId="5D0CE9B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Der Wunsch </w:t>
      </w:r>
      <w:r w:rsidRPr="006E39D1">
        <w:rPr>
          <w:rFonts w:eastAsia="Times New Roman" w:cs="Times New Roman"/>
          <w:b/>
          <w:bCs/>
          <w:rtl/>
          <w:lang w:eastAsia="de-DE"/>
        </w:rPr>
        <w:t>וּמִ֨י יִתֵּ֜ן כָּל־עַ֤ם יְהוָה֙ נְבִיאִ֔ים</w:t>
      </w:r>
      <w:r w:rsidRPr="006E39D1">
        <w:rPr>
          <w:rFonts w:eastAsia="Times New Roman" w:cs="Times New Roman"/>
          <w:rtl/>
          <w:lang w:eastAsia="de-DE"/>
        </w:rPr>
        <w:t xml:space="preserve"> </w:t>
      </w:r>
      <w:r w:rsidRPr="006E39D1">
        <w:rPr>
          <w:rFonts w:eastAsia="Times New Roman" w:cs="Times New Roman"/>
          <w:lang w:eastAsia="de-DE"/>
        </w:rPr>
        <w:t xml:space="preserve">(und wer gäbe, dass das ganze Volk des Ewigen Propheten wären) mit der idiomatischen Wendung </w:t>
      </w:r>
      <w:r w:rsidRPr="006E39D1">
        <w:rPr>
          <w:rFonts w:eastAsia="Times New Roman" w:cs="Times New Roman"/>
          <w:b/>
          <w:bCs/>
          <w:rtl/>
          <w:lang w:eastAsia="de-DE"/>
        </w:rPr>
        <w:t>מִי יִתֵּן</w:t>
      </w:r>
      <w:r w:rsidRPr="006E39D1">
        <w:rPr>
          <w:rFonts w:eastAsia="Times New Roman" w:cs="Times New Roman"/>
          <w:rtl/>
          <w:lang w:eastAsia="de-DE"/>
        </w:rPr>
        <w:t xml:space="preserve"> </w:t>
      </w:r>
      <w:r w:rsidRPr="006E39D1">
        <w:rPr>
          <w:rFonts w:eastAsia="Times New Roman" w:cs="Times New Roman"/>
          <w:lang w:eastAsia="de-DE"/>
        </w:rPr>
        <w:t xml:space="preserve">(wer gäbe/möge doch), </w:t>
      </w:r>
      <w:r w:rsidRPr="006E39D1">
        <w:rPr>
          <w:rFonts w:eastAsia="Times New Roman" w:cs="Times New Roman"/>
          <w:b/>
          <w:bCs/>
          <w:rtl/>
          <w:lang w:eastAsia="de-DE"/>
        </w:rPr>
        <w:t>כָּל־עַם יְהוָה</w:t>
      </w:r>
      <w:r w:rsidRPr="006E39D1">
        <w:rPr>
          <w:rFonts w:eastAsia="Times New Roman" w:cs="Times New Roman"/>
          <w:rtl/>
          <w:lang w:eastAsia="de-DE"/>
        </w:rPr>
        <w:t xml:space="preserve"> </w:t>
      </w:r>
      <w:r w:rsidRPr="006E39D1">
        <w:rPr>
          <w:rFonts w:eastAsia="Times New Roman" w:cs="Times New Roman"/>
          <w:lang w:eastAsia="de-DE"/>
        </w:rPr>
        <w:t xml:space="preserve">(das ganze Volk des Ewigen) und </w:t>
      </w:r>
      <w:r w:rsidRPr="006E39D1">
        <w:rPr>
          <w:rFonts w:eastAsia="Times New Roman" w:cs="Times New Roman"/>
          <w:b/>
          <w:bCs/>
          <w:rtl/>
          <w:lang w:eastAsia="de-DE"/>
        </w:rPr>
        <w:t>נְבִיאִים</w:t>
      </w:r>
      <w:r w:rsidRPr="006E39D1">
        <w:rPr>
          <w:rFonts w:eastAsia="Times New Roman" w:cs="Times New Roman"/>
          <w:rtl/>
          <w:lang w:eastAsia="de-DE"/>
        </w:rPr>
        <w:t xml:space="preserve"> </w:t>
      </w:r>
      <w:r w:rsidRPr="006E39D1">
        <w:rPr>
          <w:rFonts w:eastAsia="Times New Roman" w:cs="Times New Roman"/>
          <w:lang w:eastAsia="de-DE"/>
        </w:rPr>
        <w:t>(Propheten) zeigt Moses universellen prophetischen Wunsch.</w:t>
      </w:r>
    </w:p>
    <w:p w14:paraId="5370347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kausale Ergänzung </w:t>
      </w:r>
      <w:r w:rsidRPr="006E39D1">
        <w:rPr>
          <w:rFonts w:eastAsia="Times New Roman" w:cs="Times New Roman"/>
          <w:b/>
          <w:bCs/>
          <w:rtl/>
          <w:lang w:eastAsia="de-DE"/>
        </w:rPr>
        <w:t>כִּי־יִתֵּ֧ן יְהוָ֛ה אֶת־רוּחֹ֖ו עֲלֵיהֶֽם</w:t>
      </w:r>
      <w:r w:rsidRPr="006E39D1">
        <w:rPr>
          <w:rFonts w:eastAsia="Times New Roman" w:cs="Times New Roman"/>
          <w:rtl/>
          <w:lang w:eastAsia="de-DE"/>
        </w:rPr>
        <w:t xml:space="preserve"> </w:t>
      </w:r>
      <w:r w:rsidRPr="006E39D1">
        <w:rPr>
          <w:rFonts w:eastAsia="Times New Roman" w:cs="Times New Roman"/>
          <w:lang w:eastAsia="de-DE"/>
        </w:rPr>
        <w:t xml:space="preserve">(dass der Ewige seinen Geist auf sie legte) mit </w:t>
      </w:r>
      <w:r w:rsidRPr="006E39D1">
        <w:rPr>
          <w:rFonts w:eastAsia="Times New Roman" w:cs="Times New Roman"/>
          <w:b/>
          <w:bCs/>
          <w:rtl/>
          <w:lang w:eastAsia="de-DE"/>
        </w:rPr>
        <w:t>יִתֵּן</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נתן</w:t>
      </w:r>
      <w:r w:rsidRPr="006E39D1">
        <w:rPr>
          <w:rFonts w:eastAsia="Times New Roman" w:cs="Times New Roman"/>
          <w:rtl/>
          <w:lang w:eastAsia="de-DE"/>
        </w:rPr>
        <w:t xml:space="preserve"> </w:t>
      </w:r>
      <w:r w:rsidRPr="006E39D1">
        <w:rPr>
          <w:rFonts w:eastAsia="Times New Roman" w:cs="Times New Roman"/>
          <w:lang w:eastAsia="de-DE"/>
        </w:rPr>
        <w:t xml:space="preserve">(geben), </w:t>
      </w:r>
      <w:r w:rsidRPr="006E39D1">
        <w:rPr>
          <w:rFonts w:eastAsia="Times New Roman" w:cs="Times New Roman"/>
          <w:b/>
          <w:bCs/>
          <w:rtl/>
          <w:lang w:eastAsia="de-DE"/>
        </w:rPr>
        <w:t>רוּחוֹ</w:t>
      </w:r>
      <w:r w:rsidRPr="006E39D1">
        <w:rPr>
          <w:rFonts w:eastAsia="Times New Roman" w:cs="Times New Roman"/>
          <w:rtl/>
          <w:lang w:eastAsia="de-DE"/>
        </w:rPr>
        <w:t xml:space="preserve"> </w:t>
      </w:r>
      <w:r w:rsidRPr="006E39D1">
        <w:rPr>
          <w:rFonts w:eastAsia="Times New Roman" w:cs="Times New Roman"/>
          <w:lang w:eastAsia="de-DE"/>
        </w:rPr>
        <w:t xml:space="preserve">(seinen Geist) und </w:t>
      </w:r>
      <w:r w:rsidRPr="006E39D1">
        <w:rPr>
          <w:rFonts w:eastAsia="Times New Roman" w:cs="Times New Roman"/>
          <w:b/>
          <w:bCs/>
          <w:rtl/>
          <w:lang w:eastAsia="de-DE"/>
        </w:rPr>
        <w:t>עֲלֵיהֶם</w:t>
      </w:r>
      <w:r w:rsidRPr="006E39D1">
        <w:rPr>
          <w:rFonts w:eastAsia="Times New Roman" w:cs="Times New Roman"/>
          <w:rtl/>
          <w:lang w:eastAsia="de-DE"/>
        </w:rPr>
        <w:t xml:space="preserve"> </w:t>
      </w:r>
      <w:r w:rsidRPr="006E39D1">
        <w:rPr>
          <w:rFonts w:eastAsia="Times New Roman" w:cs="Times New Roman"/>
          <w:lang w:eastAsia="de-DE"/>
        </w:rPr>
        <w:t>(auf sie) zeigt die Voraussetzung für universelle Prophetie.</w:t>
      </w:r>
    </w:p>
    <w:p w14:paraId="129A225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הַמְקַנֵּא</w:t>
      </w:r>
      <w:r w:rsidRPr="006E39D1">
        <w:rPr>
          <w:rFonts w:eastAsia="Times New Roman" w:cs="Times New Roman"/>
          <w:rtl/>
          <w:lang w:eastAsia="de-DE"/>
        </w:rPr>
        <w:t xml:space="preserve"> </w:t>
      </w:r>
      <w:r w:rsidRPr="006E39D1">
        <w:rPr>
          <w:rFonts w:eastAsia="Times New Roman" w:cs="Times New Roman"/>
          <w:lang w:eastAsia="de-DE"/>
        </w:rPr>
        <w:t xml:space="preserve">mit μὴ ζηλοῖς (eiferst du etwa), </w:t>
      </w:r>
      <w:r w:rsidRPr="006E39D1">
        <w:rPr>
          <w:rFonts w:eastAsia="Times New Roman" w:cs="Times New Roman"/>
          <w:b/>
          <w:bCs/>
          <w:rtl/>
          <w:lang w:eastAsia="de-DE"/>
        </w:rPr>
        <w:t>מִי יִתֵּן</w:t>
      </w:r>
      <w:r w:rsidRPr="006E39D1">
        <w:rPr>
          <w:rFonts w:eastAsia="Times New Roman" w:cs="Times New Roman"/>
          <w:rtl/>
          <w:lang w:eastAsia="de-DE"/>
        </w:rPr>
        <w:t xml:space="preserve"> </w:t>
      </w:r>
      <w:r w:rsidRPr="006E39D1">
        <w:rPr>
          <w:rFonts w:eastAsia="Times New Roman" w:cs="Times New Roman"/>
          <w:lang w:eastAsia="de-DE"/>
        </w:rPr>
        <w:t xml:space="preserve">mit τίς δῴη (wer möge geben) und </w:t>
      </w:r>
      <w:r w:rsidRPr="006E39D1">
        <w:rPr>
          <w:rFonts w:eastAsia="Times New Roman" w:cs="Times New Roman"/>
          <w:b/>
          <w:bCs/>
          <w:rtl/>
          <w:lang w:eastAsia="de-DE"/>
        </w:rPr>
        <w:t>נְבִיאִים</w:t>
      </w:r>
      <w:r w:rsidRPr="006E39D1">
        <w:rPr>
          <w:rFonts w:eastAsia="Times New Roman" w:cs="Times New Roman"/>
          <w:rtl/>
          <w:lang w:eastAsia="de-DE"/>
        </w:rPr>
        <w:t xml:space="preserve"> </w:t>
      </w:r>
      <w:r w:rsidRPr="006E39D1">
        <w:rPr>
          <w:rFonts w:eastAsia="Times New Roman" w:cs="Times New Roman"/>
          <w:lang w:eastAsia="de-DE"/>
        </w:rPr>
        <w:t>mit προφῆται (Propheten).</w:t>
      </w:r>
    </w:p>
    <w:p w14:paraId="3E23F3F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Die Satzstruktur zeigt rhetorische Frage zur Motivation, Wunschäußerung mit idiomatischer Wendung und kausale Bedingungsangabe.</w:t>
      </w:r>
    </w:p>
    <w:p w14:paraId="04522EF5" w14:textId="5295D169"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offenbart Moses großherzige Vision einer universellen Prophetie aller Gläubigen durch göttliche Geistesausstattung.</w:t>
      </w:r>
    </w:p>
    <w:p w14:paraId="0A8176B5" w14:textId="77777777" w:rsidR="00DD0869" w:rsidRPr="00F06C27" w:rsidRDefault="00DD0869" w:rsidP="00F06C27">
      <w:pPr>
        <w:pStyle w:val="berschrift4"/>
        <w:rPr>
          <w:b/>
          <w:bCs/>
        </w:rPr>
      </w:pPr>
      <w:r w:rsidRPr="00F06C27">
        <w:rPr>
          <w:rStyle w:val="Fett"/>
          <w:b w:val="0"/>
          <w:bCs w:val="0"/>
        </w:rPr>
        <w:t>Exkurs: Moses Vision der universellen Prophetie – Joel 3,1-2 und Apg 2</w:t>
      </w:r>
    </w:p>
    <w:p w14:paraId="23B3B5E1" w14:textId="77777777" w:rsidR="00DD0869" w:rsidRDefault="00DD0869" w:rsidP="00DD0869">
      <w:pPr>
        <w:pStyle w:val="whitespace-normal"/>
      </w:pPr>
      <w:r>
        <w:rPr>
          <w:rStyle w:val="Fett"/>
        </w:rPr>
        <w:t>Moses Wunsch (Num 11,29):</w:t>
      </w:r>
    </w:p>
    <w:p w14:paraId="40552E16" w14:textId="77777777" w:rsidR="00DD0869" w:rsidRDefault="00DD0869" w:rsidP="00DD0869">
      <w:pPr>
        <w:pStyle w:val="whitespace-normal"/>
      </w:pPr>
      <w:r>
        <w:rPr>
          <w:rtl/>
        </w:rPr>
        <w:t>וּמִי יִתֵּן כָּל־עַם יְהוָה נְבִיאִים כִּי־יִתֵּן יְהוָה אֶת־רוּחוֹ עֲלֵיהֶם</w:t>
      </w:r>
      <w:r>
        <w:br/>
        <w:t>"Wer gäbe, dass das ganze Volk des JHWH Propheten wären, dass JHWH seinen Geist auf sie legte!"</w:t>
      </w:r>
    </w:p>
    <w:p w14:paraId="1ED5E86C" w14:textId="77777777" w:rsidR="00DD0869" w:rsidRDefault="00DD0869" w:rsidP="00DD0869">
      <w:pPr>
        <w:pStyle w:val="whitespace-normal"/>
      </w:pPr>
      <w:r>
        <w:rPr>
          <w:rStyle w:val="Fett"/>
        </w:rPr>
        <w:t>Theologische Bedeutung:</w:t>
      </w:r>
    </w:p>
    <w:p w14:paraId="0F423654" w14:textId="77777777" w:rsidR="00DD0869" w:rsidRDefault="00DD0869" w:rsidP="00DD0869">
      <w:pPr>
        <w:pStyle w:val="whitespace-normal"/>
        <w:numPr>
          <w:ilvl w:val="0"/>
          <w:numId w:val="86"/>
        </w:numPr>
      </w:pPr>
      <w:r>
        <w:rPr>
          <w:rStyle w:val="Fett"/>
        </w:rPr>
        <w:t>Demokratisierung der Prophetie:</w:t>
      </w:r>
      <w:r>
        <w:t xml:space="preserve"> Moses wünscht sich, dass </w:t>
      </w:r>
      <w:r>
        <w:rPr>
          <w:rStyle w:val="Fett"/>
        </w:rPr>
        <w:t>nicht nur</w:t>
      </w:r>
      <w:r>
        <w:t xml:space="preserve"> die 70 Ältesten, sondern </w:t>
      </w:r>
      <w:r>
        <w:rPr>
          <w:rStyle w:val="Fett"/>
        </w:rPr>
        <w:t>das ganze Volk</w:t>
      </w:r>
      <w:r>
        <w:t xml:space="preserve"> den Geist empfängt</w:t>
      </w:r>
    </w:p>
    <w:p w14:paraId="7A2AE5BE" w14:textId="77777777" w:rsidR="00DD0869" w:rsidRDefault="00DD0869" w:rsidP="00DD0869">
      <w:pPr>
        <w:pStyle w:val="whitespace-normal"/>
        <w:numPr>
          <w:ilvl w:val="0"/>
          <w:numId w:val="86"/>
        </w:numPr>
      </w:pPr>
      <w:r>
        <w:rPr>
          <w:rStyle w:val="Fett"/>
        </w:rPr>
        <w:t>Kritik an elitärer Geistesausstattung:</w:t>
      </w:r>
      <w:r>
        <w:t xml:space="preserve"> Im Gegensatz zu Josuas Sorge um Ordnung (V. 28) zeigt Moses eine </w:t>
      </w:r>
      <w:r>
        <w:rPr>
          <w:rStyle w:val="Fett"/>
        </w:rPr>
        <w:t>inklusive, großherzige Vision</w:t>
      </w:r>
    </w:p>
    <w:p w14:paraId="5ABC90D3" w14:textId="77777777" w:rsidR="00DD0869" w:rsidRDefault="00DD0869" w:rsidP="00DD0869">
      <w:pPr>
        <w:pStyle w:val="whitespace-normal"/>
        <w:numPr>
          <w:ilvl w:val="0"/>
          <w:numId w:val="86"/>
        </w:numPr>
      </w:pPr>
      <w:r>
        <w:rPr>
          <w:rStyle w:val="Fett"/>
        </w:rPr>
        <w:t>Vorwegnahme der messianischen Zeit:</w:t>
      </w:r>
      <w:r>
        <w:t xml:space="preserve"> Moses Wunsch wird zur </w:t>
      </w:r>
      <w:r>
        <w:rPr>
          <w:rStyle w:val="Fett"/>
        </w:rPr>
        <w:t>Prophetie</w:t>
      </w:r>
      <w:r>
        <w:t>, die auf die messianische Ära zeigt</w:t>
      </w:r>
    </w:p>
    <w:p w14:paraId="0F0CD096" w14:textId="77777777" w:rsidR="00DD0869" w:rsidRDefault="00DD0869" w:rsidP="00DD0869">
      <w:pPr>
        <w:pStyle w:val="whitespace-normal"/>
      </w:pPr>
      <w:r>
        <w:rPr>
          <w:rStyle w:val="Fett"/>
        </w:rPr>
        <w:t>Erfüllung in Joel 3,1-2 (MT) / Joel 2,28-29 (LXX):</w:t>
      </w:r>
    </w:p>
    <w:p w14:paraId="79AACD7A" w14:textId="77777777" w:rsidR="00DD0869" w:rsidRDefault="00DD0869" w:rsidP="00DD0869">
      <w:pPr>
        <w:pStyle w:val="whitespace-normal"/>
      </w:pPr>
      <w:r>
        <w:rPr>
          <w:rStyle w:val="Fett"/>
        </w:rPr>
        <w:t>Joel 3,1-2 (MT):</w:t>
      </w:r>
    </w:p>
    <w:p w14:paraId="2899A9FF" w14:textId="77777777" w:rsidR="00DD0869" w:rsidRDefault="00DD0869" w:rsidP="00DD0869">
      <w:pPr>
        <w:pStyle w:val="whitespace-normal"/>
      </w:pPr>
      <w:r>
        <w:rPr>
          <w:rtl/>
        </w:rPr>
        <w:t>וְהָיָה אַחֲרֵי־כֵן אֶשְׁפּוֹךְ אֶת־רוּחִי עַל־כָּל־בָּשָׂר</w:t>
      </w:r>
      <w:r>
        <w:br/>
      </w:r>
      <w:r>
        <w:rPr>
          <w:rtl/>
        </w:rPr>
        <w:t>וְנִבְּאוּ בְּנֵיכֶם וּבְנוֹתֵיכֶם זִקְנֵיכֶם חֲלֹמוֹת יַחֲלֹמוּן בַּחוּרֵיכֶם חֶזְיֹנוֹת יִרְאוּ</w:t>
      </w:r>
      <w:r>
        <w:br/>
      </w:r>
      <w:r>
        <w:rPr>
          <w:rtl/>
        </w:rPr>
        <w:t>וְגַם עַל־הָעֲבָדִים וְעַל־הַשְּׁפָחוֹת בַּיָּמִים הָהֵמָּה אֶשְׁפּוֹךְ אֶת־רוּחִי</w:t>
      </w:r>
    </w:p>
    <w:p w14:paraId="2A1B6C09" w14:textId="77777777" w:rsidR="00DD0869" w:rsidRDefault="00DD0869" w:rsidP="00DD0869">
      <w:pPr>
        <w:pStyle w:val="whitespace-normal"/>
      </w:pPr>
      <w:r>
        <w:t xml:space="preserve">"Und danach werde ich meinen Geist ausgießen auf </w:t>
      </w:r>
      <w:r>
        <w:rPr>
          <w:rStyle w:val="Fett"/>
        </w:rPr>
        <w:t>alles Fleisch</w:t>
      </w:r>
      <w:r>
        <w:t>,</w:t>
      </w:r>
      <w:r>
        <w:br/>
        <w:t>und eure Söhne und eure Töchter werden prophezeien,</w:t>
      </w:r>
      <w:r>
        <w:br/>
        <w:t>eure Alten werden Träume träumen, eure Jünglinge werden Gesichte sehen.</w:t>
      </w:r>
      <w:r>
        <w:br/>
        <w:t>Und auch auf die Knechte und auf die Mägde werde ich in jenen Tagen meinen Geist ausgießen."</w:t>
      </w:r>
    </w:p>
    <w:p w14:paraId="790C6B49" w14:textId="77777777" w:rsidR="00DD0869" w:rsidRDefault="00DD0869" w:rsidP="00DD0869">
      <w:pPr>
        <w:pStyle w:val="whitespace-normal"/>
      </w:pPr>
      <w:r>
        <w:rPr>
          <w:rStyle w:val="Fett"/>
        </w:rPr>
        <w:t>Erfüllung in Apostelgeschichte 2,16-21:</w:t>
      </w:r>
    </w:p>
    <w:p w14:paraId="6C7CBD70" w14:textId="77777777" w:rsidR="00DD0869" w:rsidRDefault="00DD0869" w:rsidP="00DD0869">
      <w:pPr>
        <w:pStyle w:val="whitespace-normal"/>
      </w:pPr>
      <w:r>
        <w:rPr>
          <w:rStyle w:val="Fett"/>
        </w:rPr>
        <w:t>Petrus am Pfingsttag:</w:t>
      </w:r>
    </w:p>
    <w:p w14:paraId="087C5D83" w14:textId="77777777" w:rsidR="00DD0869" w:rsidRDefault="00DD0869" w:rsidP="00DD0869">
      <w:pPr>
        <w:pStyle w:val="whitespace-normal"/>
      </w:pPr>
      <w:r>
        <w:t>τοῦτό ἐστιν τὸ εἰρημένον διὰ τοῦ προφήτου Ἰωήλ·</w:t>
      </w:r>
      <w:r>
        <w:br/>
        <w:t>"</w:t>
      </w:r>
      <w:r>
        <w:rPr>
          <w:rStyle w:val="Fett"/>
        </w:rPr>
        <w:t>Dies</w:t>
      </w:r>
      <w:r>
        <w:t xml:space="preserve"> ist das, was durch den Propheten Joel gesagt worden ist..."</w:t>
      </w:r>
    </w:p>
    <w:p w14:paraId="261C2CC1" w14:textId="77777777" w:rsidR="00DD0869" w:rsidRDefault="00DD0869" w:rsidP="00DD0869">
      <w:pPr>
        <w:pStyle w:val="whitespace-normal"/>
      </w:pPr>
      <w:r>
        <w:rPr>
          <w:rStyle w:val="Fett"/>
        </w:rPr>
        <w:t>Apg 2,17-18:</w:t>
      </w:r>
    </w:p>
    <w:p w14:paraId="21EDAA80" w14:textId="77777777" w:rsidR="00DD0869" w:rsidRDefault="00DD0869" w:rsidP="00DD0869">
      <w:pPr>
        <w:pStyle w:val="whitespace-normal"/>
      </w:pPr>
      <w:r>
        <w:t>καὶ ἔσται ἐν ταῖς ἐσχάταις ἡμέραις, λέγει ὁ θεός,</w:t>
      </w:r>
      <w:r>
        <w:br/>
        <w:t xml:space="preserve">ἐκχεῶ ἀπὸ τοῦ πνεύματός μου ἐπὶ </w:t>
      </w:r>
      <w:r>
        <w:rPr>
          <w:rStyle w:val="Fett"/>
        </w:rPr>
        <w:t>πᾶσαν σάρκα</w:t>
      </w:r>
    </w:p>
    <w:p w14:paraId="35B2C7CB" w14:textId="77777777" w:rsidR="00DD0869" w:rsidRDefault="00DD0869" w:rsidP="00DD0869">
      <w:pPr>
        <w:pStyle w:val="whitespace-normal"/>
      </w:pPr>
      <w:r>
        <w:lastRenderedPageBreak/>
        <w:t>"Und es wird geschehen in den letzten Tagen, spricht Gott,</w:t>
      </w:r>
      <w:r>
        <w:br/>
        <w:t xml:space="preserve">ich werde von meinem Geist ausgießen auf </w:t>
      </w:r>
      <w:r>
        <w:rPr>
          <w:rStyle w:val="Fett"/>
        </w:rPr>
        <w:t>alles Fleisch</w:t>
      </w:r>
      <w:r>
        <w:t>..."</w:t>
      </w:r>
    </w:p>
    <w:p w14:paraId="588F9796" w14:textId="5082AD58" w:rsidR="00DD0869" w:rsidRDefault="00DD0869" w:rsidP="006E39D1">
      <w:pPr>
        <w:spacing w:before="100" w:beforeAutospacing="1" w:after="100" w:afterAutospacing="1" w:line="240" w:lineRule="auto"/>
        <w:rPr>
          <w:b/>
          <w:bCs/>
        </w:rPr>
      </w:pPr>
      <w:r w:rsidRPr="00DD0869">
        <w:rPr>
          <w:b/>
          <w:bCs/>
        </w:rPr>
        <w:t>Vergleichstabelle:</w:t>
      </w:r>
    </w:p>
    <w:tbl>
      <w:tblPr>
        <w:tblStyle w:val="Tabellenraster"/>
        <w:tblW w:w="5000" w:type="pct"/>
        <w:tblLook w:val="04A0" w:firstRow="1" w:lastRow="0" w:firstColumn="1" w:lastColumn="0" w:noHBand="0" w:noVBand="1"/>
      </w:tblPr>
      <w:tblGrid>
        <w:gridCol w:w="1564"/>
        <w:gridCol w:w="1833"/>
        <w:gridCol w:w="2836"/>
        <w:gridCol w:w="2829"/>
      </w:tblGrid>
      <w:tr w:rsidR="00D77B8C" w14:paraId="5E4E8DCB" w14:textId="77777777" w:rsidTr="00D77B8C">
        <w:tc>
          <w:tcPr>
            <w:tcW w:w="862" w:type="pct"/>
          </w:tcPr>
          <w:p w14:paraId="300EA9DB" w14:textId="43672671"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color w:val="141413"/>
                <w:shd w:val="clear" w:color="auto" w:fill="FAF9F5"/>
              </w:rPr>
              <w:t>Aspekt</w:t>
            </w:r>
          </w:p>
        </w:tc>
        <w:tc>
          <w:tcPr>
            <w:tcW w:w="1011" w:type="pct"/>
          </w:tcPr>
          <w:p w14:paraId="3D971079" w14:textId="3C4FBAC5"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color w:val="141413"/>
                <w:shd w:val="clear" w:color="auto" w:fill="FAF9F5"/>
              </w:rPr>
              <w:t>Num 11,29</w:t>
            </w:r>
          </w:p>
        </w:tc>
        <w:tc>
          <w:tcPr>
            <w:tcW w:w="1565" w:type="pct"/>
          </w:tcPr>
          <w:p w14:paraId="675FCA98" w14:textId="212F9402"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color w:val="141413"/>
                <w:shd w:val="clear" w:color="auto" w:fill="FAF9F5"/>
              </w:rPr>
              <w:t>Joel 3,1-2</w:t>
            </w:r>
          </w:p>
        </w:tc>
        <w:tc>
          <w:tcPr>
            <w:tcW w:w="1561" w:type="pct"/>
          </w:tcPr>
          <w:p w14:paraId="60EC24D9" w14:textId="303BE7BF"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color w:val="141413"/>
                <w:shd w:val="clear" w:color="auto" w:fill="FAF9F5"/>
              </w:rPr>
              <w:t>Apg 2,17-18</w:t>
            </w:r>
          </w:p>
        </w:tc>
      </w:tr>
      <w:tr w:rsidR="00D77B8C" w14:paraId="45B50A5F" w14:textId="77777777" w:rsidTr="00D77B8C">
        <w:tc>
          <w:tcPr>
            <w:tcW w:w="862" w:type="pct"/>
          </w:tcPr>
          <w:p w14:paraId="06A29358" w14:textId="1BC79D80"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rPr>
              <w:t>Empfänger</w:t>
            </w:r>
          </w:p>
        </w:tc>
        <w:tc>
          <w:tcPr>
            <w:tcW w:w="1011" w:type="pct"/>
          </w:tcPr>
          <w:p w14:paraId="24565E6E" w14:textId="77777777" w:rsidR="00D77B8C" w:rsidRDefault="00DD0869" w:rsidP="00D77B8C">
            <w:pPr>
              <w:pStyle w:val="KeinLeerraum"/>
            </w:pPr>
            <w:r w:rsidRPr="00D77B8C">
              <w:rPr>
                <w:rtl/>
              </w:rPr>
              <w:t>כָּל־עַם יְהוָה</w:t>
            </w:r>
            <w:r w:rsidRPr="00D77B8C">
              <w:t xml:space="preserve"> </w:t>
            </w:r>
          </w:p>
          <w:p w14:paraId="25FB4E58" w14:textId="6F42FB12" w:rsidR="00DD0869" w:rsidRPr="00D77B8C" w:rsidRDefault="00DD0869" w:rsidP="00D77B8C">
            <w:pPr>
              <w:pStyle w:val="KeinLeerraum"/>
              <w:rPr>
                <w:rFonts w:eastAsia="Times New Roman"/>
                <w:b/>
                <w:bCs/>
                <w:lang w:eastAsia="de-DE"/>
              </w:rPr>
            </w:pPr>
            <w:r w:rsidRPr="00D77B8C">
              <w:t>(ganzes Volk</w:t>
            </w:r>
            <w:r w:rsidR="00D77B8C">
              <w:t xml:space="preserve"> </w:t>
            </w:r>
            <w:r w:rsidRPr="00D77B8C">
              <w:t>JHWHs)</w:t>
            </w:r>
          </w:p>
        </w:tc>
        <w:tc>
          <w:tcPr>
            <w:tcW w:w="1565" w:type="pct"/>
          </w:tcPr>
          <w:p w14:paraId="4C0CD66C" w14:textId="77777777" w:rsidR="00D77B8C" w:rsidRDefault="00DD0869" w:rsidP="00D77B8C">
            <w:pPr>
              <w:pStyle w:val="KeinLeerraum"/>
            </w:pPr>
            <w:r w:rsidRPr="00D77B8C">
              <w:rPr>
                <w:rtl/>
              </w:rPr>
              <w:t>כָּל־בָּשָׂר</w:t>
            </w:r>
            <w:r w:rsidRPr="00D77B8C">
              <w:t xml:space="preserve"> </w:t>
            </w:r>
          </w:p>
          <w:p w14:paraId="34F9425D" w14:textId="733ED20B" w:rsidR="00DD0869" w:rsidRPr="00D77B8C" w:rsidRDefault="00DD0869" w:rsidP="00D77B8C">
            <w:pPr>
              <w:pStyle w:val="KeinLeerraum"/>
              <w:rPr>
                <w:rFonts w:eastAsia="Times New Roman"/>
                <w:b/>
                <w:bCs/>
                <w:lang w:eastAsia="de-DE"/>
              </w:rPr>
            </w:pPr>
            <w:r w:rsidRPr="00D77B8C">
              <w:t>(alles Fleisch)</w:t>
            </w:r>
          </w:p>
        </w:tc>
        <w:tc>
          <w:tcPr>
            <w:tcW w:w="1561" w:type="pct"/>
          </w:tcPr>
          <w:p w14:paraId="3BE1B75B" w14:textId="77777777" w:rsidR="00D77B8C" w:rsidRDefault="00DD0869" w:rsidP="00D77B8C">
            <w:pPr>
              <w:pStyle w:val="KeinLeerraum"/>
            </w:pPr>
            <w:r w:rsidRPr="00D77B8C">
              <w:t xml:space="preserve">πᾶσαν σάρκα </w:t>
            </w:r>
          </w:p>
          <w:p w14:paraId="5973ACB2" w14:textId="4AE12F55" w:rsidR="00DD0869" w:rsidRPr="00D77B8C" w:rsidRDefault="00DD0869" w:rsidP="00D77B8C">
            <w:pPr>
              <w:pStyle w:val="KeinLeerraum"/>
              <w:rPr>
                <w:rFonts w:eastAsia="Times New Roman"/>
                <w:b/>
                <w:bCs/>
                <w:lang w:eastAsia="de-DE"/>
              </w:rPr>
            </w:pPr>
            <w:r w:rsidRPr="00D77B8C">
              <w:t>(alles Fleisch)</w:t>
            </w:r>
          </w:p>
        </w:tc>
      </w:tr>
      <w:tr w:rsidR="00D77B8C" w:rsidRPr="00D31913" w14:paraId="7A65739A" w14:textId="77777777" w:rsidTr="00D77B8C">
        <w:tc>
          <w:tcPr>
            <w:tcW w:w="862" w:type="pct"/>
          </w:tcPr>
          <w:p w14:paraId="4D5BB2F5" w14:textId="3E93FE5B"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rPr>
              <w:t>Geistesquelle</w:t>
            </w:r>
          </w:p>
        </w:tc>
        <w:tc>
          <w:tcPr>
            <w:tcW w:w="1011" w:type="pct"/>
          </w:tcPr>
          <w:p w14:paraId="6E93D69A" w14:textId="77777777" w:rsidR="00D77B8C" w:rsidRDefault="00DD0869" w:rsidP="00D77B8C">
            <w:pPr>
              <w:pStyle w:val="KeinLeerraum"/>
              <w:rPr>
                <w:shd w:val="clear" w:color="auto" w:fill="FAF9F5"/>
              </w:rPr>
            </w:pPr>
            <w:r w:rsidRPr="00D77B8C">
              <w:rPr>
                <w:shd w:val="clear" w:color="auto" w:fill="FAF9F5"/>
                <w:rtl/>
              </w:rPr>
              <w:t>רוּחוֹ</w:t>
            </w:r>
            <w:r w:rsidRPr="00D77B8C">
              <w:rPr>
                <w:shd w:val="clear" w:color="auto" w:fill="FAF9F5"/>
              </w:rPr>
              <w:t xml:space="preserve"> </w:t>
            </w:r>
          </w:p>
          <w:p w14:paraId="51ED2FAE" w14:textId="4BD968BC" w:rsidR="00DD0869" w:rsidRPr="00D77B8C" w:rsidRDefault="00DD0869" w:rsidP="00D77B8C">
            <w:pPr>
              <w:pStyle w:val="KeinLeerraum"/>
              <w:rPr>
                <w:rFonts w:eastAsia="Times New Roman"/>
                <w:b/>
                <w:bCs/>
                <w:lang w:eastAsia="de-DE"/>
              </w:rPr>
            </w:pPr>
            <w:r w:rsidRPr="00D77B8C">
              <w:rPr>
                <w:shd w:val="clear" w:color="auto" w:fill="FAF9F5"/>
              </w:rPr>
              <w:t>(sein Geist)</w:t>
            </w:r>
          </w:p>
        </w:tc>
        <w:tc>
          <w:tcPr>
            <w:tcW w:w="1565" w:type="pct"/>
          </w:tcPr>
          <w:p w14:paraId="192D205A" w14:textId="77777777" w:rsidR="00D77B8C" w:rsidRDefault="00DD0869" w:rsidP="00D77B8C">
            <w:pPr>
              <w:pStyle w:val="KeinLeerraum"/>
              <w:rPr>
                <w:shd w:val="clear" w:color="auto" w:fill="FAF9F5"/>
              </w:rPr>
            </w:pPr>
            <w:r w:rsidRPr="00D77B8C">
              <w:rPr>
                <w:shd w:val="clear" w:color="auto" w:fill="FAF9F5"/>
                <w:rtl/>
              </w:rPr>
              <w:t>רוּחִי</w:t>
            </w:r>
            <w:r w:rsidRPr="00D77B8C">
              <w:rPr>
                <w:shd w:val="clear" w:color="auto" w:fill="FAF9F5"/>
              </w:rPr>
              <w:t xml:space="preserve"> </w:t>
            </w:r>
          </w:p>
          <w:p w14:paraId="134AF56A" w14:textId="17F7D182" w:rsidR="00DD0869" w:rsidRPr="00D77B8C" w:rsidRDefault="00DD0869" w:rsidP="00D77B8C">
            <w:pPr>
              <w:pStyle w:val="KeinLeerraum"/>
              <w:rPr>
                <w:rFonts w:eastAsia="Times New Roman"/>
                <w:b/>
                <w:bCs/>
                <w:lang w:eastAsia="de-DE"/>
              </w:rPr>
            </w:pPr>
            <w:r w:rsidRPr="00D77B8C">
              <w:rPr>
                <w:shd w:val="clear" w:color="auto" w:fill="FAF9F5"/>
              </w:rPr>
              <w:t>(mein Geist)</w:t>
            </w:r>
          </w:p>
        </w:tc>
        <w:tc>
          <w:tcPr>
            <w:tcW w:w="1561" w:type="pct"/>
          </w:tcPr>
          <w:p w14:paraId="535BDFF7" w14:textId="77777777" w:rsidR="00D77B8C" w:rsidRDefault="00DD0869" w:rsidP="00D77B8C">
            <w:pPr>
              <w:pStyle w:val="KeinLeerraum"/>
              <w:rPr>
                <w:shd w:val="clear" w:color="auto" w:fill="FAF9F5"/>
                <w:lang w:val="el-GR"/>
              </w:rPr>
            </w:pPr>
            <w:r w:rsidRPr="00D77B8C">
              <w:rPr>
                <w:shd w:val="clear" w:color="auto" w:fill="FAF9F5"/>
                <w:lang w:val="el-GR"/>
              </w:rPr>
              <w:t xml:space="preserve">τοῦ πνεύματός μου </w:t>
            </w:r>
          </w:p>
          <w:p w14:paraId="3DB596C2" w14:textId="082A21B5" w:rsidR="00DD0869" w:rsidRPr="00D77B8C" w:rsidRDefault="00DD0869" w:rsidP="00D77B8C">
            <w:pPr>
              <w:pStyle w:val="KeinLeerraum"/>
              <w:rPr>
                <w:rFonts w:eastAsia="Times New Roman"/>
                <w:b/>
                <w:bCs/>
                <w:lang w:val="el-GR" w:eastAsia="de-DE"/>
              </w:rPr>
            </w:pPr>
            <w:r w:rsidRPr="00D77B8C">
              <w:rPr>
                <w:shd w:val="clear" w:color="auto" w:fill="FAF9F5"/>
                <w:lang w:val="el-GR"/>
              </w:rPr>
              <w:t>(</w:t>
            </w:r>
            <w:r w:rsidRPr="00D77B8C">
              <w:rPr>
                <w:shd w:val="clear" w:color="auto" w:fill="FAF9F5"/>
              </w:rPr>
              <w:t>mein</w:t>
            </w:r>
            <w:r w:rsidRPr="00D77B8C">
              <w:rPr>
                <w:shd w:val="clear" w:color="auto" w:fill="FAF9F5"/>
                <w:lang w:val="el-GR"/>
              </w:rPr>
              <w:t xml:space="preserve"> </w:t>
            </w:r>
            <w:r w:rsidRPr="00D77B8C">
              <w:rPr>
                <w:shd w:val="clear" w:color="auto" w:fill="FAF9F5"/>
              </w:rPr>
              <w:t>Geist</w:t>
            </w:r>
            <w:r w:rsidRPr="00D77B8C">
              <w:rPr>
                <w:shd w:val="clear" w:color="auto" w:fill="FAF9F5"/>
                <w:lang w:val="el-GR"/>
              </w:rPr>
              <w:t>)</w:t>
            </w:r>
          </w:p>
        </w:tc>
      </w:tr>
      <w:tr w:rsidR="00D77B8C" w14:paraId="1381E6E0" w14:textId="77777777" w:rsidTr="00D77B8C">
        <w:tc>
          <w:tcPr>
            <w:tcW w:w="862" w:type="pct"/>
          </w:tcPr>
          <w:p w14:paraId="2110E710" w14:textId="5191FE43"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rPr>
              <w:t>Wirkung</w:t>
            </w:r>
          </w:p>
        </w:tc>
        <w:tc>
          <w:tcPr>
            <w:tcW w:w="1011" w:type="pct"/>
          </w:tcPr>
          <w:p w14:paraId="610A7CD2" w14:textId="77777777" w:rsidR="00D77B8C" w:rsidRDefault="00DD0869" w:rsidP="00D77B8C">
            <w:pPr>
              <w:pStyle w:val="KeinLeerraum"/>
            </w:pPr>
            <w:r w:rsidRPr="00D77B8C">
              <w:rPr>
                <w:rtl/>
              </w:rPr>
              <w:t>נְבִיאִים</w:t>
            </w:r>
          </w:p>
          <w:p w14:paraId="207D1E11" w14:textId="7E997AD7" w:rsidR="00DD0869" w:rsidRPr="00D77B8C" w:rsidRDefault="00DD0869" w:rsidP="00D77B8C">
            <w:pPr>
              <w:pStyle w:val="KeinLeerraum"/>
              <w:rPr>
                <w:rFonts w:eastAsia="Times New Roman"/>
                <w:b/>
                <w:bCs/>
                <w:lang w:eastAsia="de-DE"/>
              </w:rPr>
            </w:pPr>
            <w:r w:rsidRPr="00D77B8C">
              <w:t>(Propheten)</w:t>
            </w:r>
          </w:p>
        </w:tc>
        <w:tc>
          <w:tcPr>
            <w:tcW w:w="1565" w:type="pct"/>
          </w:tcPr>
          <w:p w14:paraId="7FBECA54" w14:textId="77777777" w:rsidR="00D77B8C" w:rsidRDefault="00DD0869" w:rsidP="00D77B8C">
            <w:pPr>
              <w:pStyle w:val="KeinLeerraum"/>
            </w:pPr>
            <w:r w:rsidRPr="00D77B8C">
              <w:rPr>
                <w:rtl/>
              </w:rPr>
              <w:t>וְנִבְּאוּ</w:t>
            </w:r>
            <w:r w:rsidRPr="00D77B8C">
              <w:t xml:space="preserve"> </w:t>
            </w:r>
          </w:p>
          <w:p w14:paraId="7AF73010" w14:textId="7191C1A5" w:rsidR="00DD0869" w:rsidRPr="00D77B8C" w:rsidRDefault="00DD0869" w:rsidP="00D77B8C">
            <w:pPr>
              <w:pStyle w:val="KeinLeerraum"/>
              <w:rPr>
                <w:rFonts w:eastAsia="Times New Roman"/>
                <w:b/>
                <w:bCs/>
                <w:lang w:eastAsia="de-DE"/>
              </w:rPr>
            </w:pPr>
            <w:r w:rsidRPr="00D77B8C">
              <w:t>(sie werden prophezeien)</w:t>
            </w:r>
          </w:p>
        </w:tc>
        <w:tc>
          <w:tcPr>
            <w:tcW w:w="1561" w:type="pct"/>
          </w:tcPr>
          <w:p w14:paraId="6E2D68EF" w14:textId="77777777" w:rsidR="00D77B8C" w:rsidRDefault="00DD0869" w:rsidP="00D77B8C">
            <w:pPr>
              <w:pStyle w:val="KeinLeerraum"/>
            </w:pPr>
            <w:r w:rsidRPr="00D77B8C">
              <w:t xml:space="preserve">προφητεύσουσιν </w:t>
            </w:r>
          </w:p>
          <w:p w14:paraId="77FBD75C" w14:textId="3B34A868" w:rsidR="00DD0869" w:rsidRPr="00D77B8C" w:rsidRDefault="00DD0869" w:rsidP="00D77B8C">
            <w:pPr>
              <w:pStyle w:val="KeinLeerraum"/>
            </w:pPr>
            <w:r w:rsidRPr="00D77B8C">
              <w:t>(sie werden</w:t>
            </w:r>
            <w:r w:rsidR="00D77B8C">
              <w:t xml:space="preserve"> </w:t>
            </w:r>
            <w:r w:rsidRPr="00D77B8C">
              <w:t>prophezeien)</w:t>
            </w:r>
          </w:p>
        </w:tc>
      </w:tr>
      <w:tr w:rsidR="00D77B8C" w14:paraId="57DECBD7" w14:textId="77777777" w:rsidTr="00D77B8C">
        <w:tc>
          <w:tcPr>
            <w:tcW w:w="862" w:type="pct"/>
          </w:tcPr>
          <w:p w14:paraId="7982DBFD" w14:textId="779AB880"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rPr>
              <w:t>Inklusion</w:t>
            </w:r>
          </w:p>
        </w:tc>
        <w:tc>
          <w:tcPr>
            <w:tcW w:w="1011" w:type="pct"/>
          </w:tcPr>
          <w:p w14:paraId="2C3E7717" w14:textId="49CCE165"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color w:val="141413"/>
                <w:shd w:val="clear" w:color="auto" w:fill="FAF9F5"/>
              </w:rPr>
              <w:t>Implizit universell</w:t>
            </w:r>
          </w:p>
        </w:tc>
        <w:tc>
          <w:tcPr>
            <w:tcW w:w="1565" w:type="pct"/>
          </w:tcPr>
          <w:p w14:paraId="736B82B2" w14:textId="74B0ADEC"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rPr>
              <w:t>Söhne + Töchter + Knechte + Mägde</w:t>
            </w:r>
          </w:p>
        </w:tc>
        <w:tc>
          <w:tcPr>
            <w:tcW w:w="1561" w:type="pct"/>
          </w:tcPr>
          <w:p w14:paraId="58320313" w14:textId="77777777" w:rsidR="00D77B8C" w:rsidRPr="00D77B8C" w:rsidRDefault="00DD0869" w:rsidP="00D77B8C">
            <w:pPr>
              <w:pStyle w:val="KeinLeerraum"/>
              <w:rPr>
                <w:b/>
                <w:bCs/>
              </w:rPr>
            </w:pPr>
            <w:r w:rsidRPr="00D77B8C">
              <w:rPr>
                <w:b/>
                <w:bCs/>
              </w:rPr>
              <w:t xml:space="preserve">Explizit: </w:t>
            </w:r>
          </w:p>
          <w:p w14:paraId="7E81E298" w14:textId="29165119" w:rsidR="00DD0869" w:rsidRPr="00D77B8C" w:rsidRDefault="00DD0869" w:rsidP="00D77B8C">
            <w:pPr>
              <w:pStyle w:val="KeinLeerraum"/>
              <w:rPr>
                <w:rFonts w:eastAsia="Times New Roman"/>
                <w:lang w:eastAsia="de-DE"/>
              </w:rPr>
            </w:pPr>
            <w:r w:rsidRPr="00D77B8C">
              <w:rPr>
                <w:b/>
                <w:bCs/>
              </w:rPr>
              <w:t>Söhne + Töchter + alle</w:t>
            </w:r>
          </w:p>
        </w:tc>
      </w:tr>
      <w:tr w:rsidR="00D77B8C" w14:paraId="1B3B884E" w14:textId="77777777" w:rsidTr="00D77B8C">
        <w:tc>
          <w:tcPr>
            <w:tcW w:w="862" w:type="pct"/>
          </w:tcPr>
          <w:p w14:paraId="193EE33B" w14:textId="35CEA603"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b/>
                <w:bCs/>
              </w:rPr>
              <w:t>Zeit</w:t>
            </w:r>
          </w:p>
        </w:tc>
        <w:tc>
          <w:tcPr>
            <w:tcW w:w="1011" w:type="pct"/>
          </w:tcPr>
          <w:p w14:paraId="1CA00608" w14:textId="691F8BBB"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color w:val="141413"/>
              </w:rPr>
              <w:t>Wunsch/Vision</w:t>
            </w:r>
          </w:p>
        </w:tc>
        <w:tc>
          <w:tcPr>
            <w:tcW w:w="1565" w:type="pct"/>
          </w:tcPr>
          <w:p w14:paraId="42143234" w14:textId="0D2D95E0"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color w:val="141413"/>
                <w:rtl/>
              </w:rPr>
              <w:t>וְהָיָה אַחֲרֵי־כֵן</w:t>
            </w:r>
            <w:r w:rsidRPr="00D77B8C">
              <w:rPr>
                <w:rFonts w:cs="Times New Roman"/>
                <w:color w:val="141413"/>
              </w:rPr>
              <w:t xml:space="preserve"> (danach)</w:t>
            </w:r>
          </w:p>
        </w:tc>
        <w:tc>
          <w:tcPr>
            <w:tcW w:w="1561" w:type="pct"/>
          </w:tcPr>
          <w:p w14:paraId="1BD6D1CE" w14:textId="7D91A6A8" w:rsidR="00DD0869" w:rsidRPr="00D77B8C" w:rsidRDefault="00DD0869" w:rsidP="006E39D1">
            <w:pPr>
              <w:spacing w:before="100" w:beforeAutospacing="1" w:after="100" w:afterAutospacing="1" w:line="240" w:lineRule="auto"/>
              <w:rPr>
                <w:rFonts w:eastAsia="Times New Roman" w:cs="Times New Roman"/>
                <w:b/>
                <w:bCs/>
                <w:lang w:eastAsia="de-DE"/>
              </w:rPr>
            </w:pPr>
            <w:r w:rsidRPr="00D77B8C">
              <w:rPr>
                <w:rFonts w:cs="Times New Roman"/>
              </w:rPr>
              <w:t>ἐν ταῖς ἐσχάταις ἡμέραις (letzte Tage)</w:t>
            </w:r>
          </w:p>
        </w:tc>
      </w:tr>
    </w:tbl>
    <w:p w14:paraId="456C2B7E" w14:textId="77777777" w:rsidR="00DD0869" w:rsidRDefault="00DD0869" w:rsidP="00DD0869">
      <w:pPr>
        <w:pStyle w:val="whitespace-normal"/>
      </w:pPr>
      <w:r>
        <w:rPr>
          <w:rStyle w:val="Fett"/>
        </w:rPr>
        <w:t>Theologische Kontinuität:</w:t>
      </w:r>
    </w:p>
    <w:p w14:paraId="61CD566A" w14:textId="77777777" w:rsidR="00DD0869" w:rsidRDefault="00DD0869" w:rsidP="00DD0869">
      <w:pPr>
        <w:pStyle w:val="whitespace-normal"/>
        <w:numPr>
          <w:ilvl w:val="0"/>
          <w:numId w:val="87"/>
        </w:numPr>
      </w:pPr>
      <w:r>
        <w:rPr>
          <w:rStyle w:val="Fett"/>
        </w:rPr>
        <w:t>Moses Wunsch → Joels Prophetie → Pfingst-Erfüllung</w:t>
      </w:r>
    </w:p>
    <w:p w14:paraId="1D7911F4" w14:textId="77777777" w:rsidR="00DD0869" w:rsidRDefault="00DD0869" w:rsidP="00DD0869">
      <w:pPr>
        <w:pStyle w:val="whitespace-normal"/>
        <w:numPr>
          <w:ilvl w:val="0"/>
          <w:numId w:val="87"/>
        </w:numPr>
      </w:pPr>
      <w:r>
        <w:rPr>
          <w:rStyle w:val="Fett"/>
        </w:rPr>
        <w:t>Demokratisierung:</w:t>
      </w:r>
      <w:r>
        <w:t xml:space="preserve"> Von 70 Ältesten → ganzes Volk → </w:t>
      </w:r>
      <w:r>
        <w:rPr>
          <w:rStyle w:val="Fett"/>
        </w:rPr>
        <w:t>alles Fleisch</w:t>
      </w:r>
      <w:r>
        <w:t xml:space="preserve"> (Juden + Heiden!)</w:t>
      </w:r>
    </w:p>
    <w:p w14:paraId="48B27144" w14:textId="77777777" w:rsidR="00DD0869" w:rsidRDefault="00DD0869" w:rsidP="00DD0869">
      <w:pPr>
        <w:pStyle w:val="whitespace-normal"/>
        <w:numPr>
          <w:ilvl w:val="0"/>
          <w:numId w:val="87"/>
        </w:numPr>
      </w:pPr>
      <w:r>
        <w:rPr>
          <w:rStyle w:val="Fett"/>
        </w:rPr>
        <w:t>Inklusion:</w:t>
      </w:r>
      <w:r>
        <w:t xml:space="preserve"> </w:t>
      </w:r>
    </w:p>
    <w:p w14:paraId="00B01D51" w14:textId="77777777" w:rsidR="00DD0869" w:rsidRDefault="00DD0869" w:rsidP="00DD0869">
      <w:pPr>
        <w:pStyle w:val="whitespace-normal"/>
        <w:numPr>
          <w:ilvl w:val="1"/>
          <w:numId w:val="87"/>
        </w:numPr>
      </w:pPr>
      <w:r>
        <w:t>Num 11: Elite (70 Älteste) vs. Moses Wunsch (ganzes Volk)</w:t>
      </w:r>
    </w:p>
    <w:p w14:paraId="7F615735" w14:textId="77777777" w:rsidR="00DD0869" w:rsidRDefault="00DD0869" w:rsidP="00DD0869">
      <w:pPr>
        <w:pStyle w:val="whitespace-normal"/>
        <w:numPr>
          <w:ilvl w:val="1"/>
          <w:numId w:val="87"/>
        </w:numPr>
      </w:pPr>
      <w:r>
        <w:t>Joel 3: Söhne + Töchter + Knechte + Mägde (Geschlecht + soziale Klasse!)</w:t>
      </w:r>
    </w:p>
    <w:p w14:paraId="545B8198" w14:textId="77777777" w:rsidR="00DD0869" w:rsidRDefault="00DD0869" w:rsidP="00DD0869">
      <w:pPr>
        <w:pStyle w:val="whitespace-normal"/>
        <w:numPr>
          <w:ilvl w:val="1"/>
          <w:numId w:val="87"/>
        </w:numPr>
      </w:pPr>
      <w:r>
        <w:t>Apg 2: Juden aus allen Nationen + später Heiden (Apg 10!)</w:t>
      </w:r>
    </w:p>
    <w:p w14:paraId="55877477" w14:textId="77777777" w:rsidR="00DD0869" w:rsidRDefault="00DD0869" w:rsidP="00DD0869">
      <w:pPr>
        <w:pStyle w:val="whitespace-normal"/>
        <w:numPr>
          <w:ilvl w:val="0"/>
          <w:numId w:val="87"/>
        </w:numPr>
      </w:pPr>
      <w:r>
        <w:rPr>
          <w:rStyle w:val="Fett"/>
        </w:rPr>
        <w:t>Endzeitliche Perspektive:</w:t>
      </w:r>
      <w:r>
        <w:t xml:space="preserve"> </w:t>
      </w:r>
    </w:p>
    <w:p w14:paraId="488BE7AD" w14:textId="77777777" w:rsidR="00DD0869" w:rsidRDefault="00DD0869" w:rsidP="00DD0869">
      <w:pPr>
        <w:pStyle w:val="whitespace-normal"/>
        <w:numPr>
          <w:ilvl w:val="1"/>
          <w:numId w:val="87"/>
        </w:numPr>
      </w:pPr>
      <w:r>
        <w:t xml:space="preserve">Moses: </w:t>
      </w:r>
      <w:r>
        <w:rPr>
          <w:rtl/>
        </w:rPr>
        <w:t>אִם־יִתֵּן</w:t>
      </w:r>
      <w:r>
        <w:t xml:space="preserve"> (wer gäbe) – </w:t>
      </w:r>
      <w:r>
        <w:rPr>
          <w:rStyle w:val="Fett"/>
        </w:rPr>
        <w:t>Optativ</w:t>
      </w:r>
      <w:r>
        <w:t xml:space="preserve"> (Wunsch)</w:t>
      </w:r>
    </w:p>
    <w:p w14:paraId="3A43A7A6" w14:textId="77777777" w:rsidR="00DD0869" w:rsidRDefault="00DD0869" w:rsidP="00DD0869">
      <w:pPr>
        <w:pStyle w:val="whitespace-normal"/>
        <w:numPr>
          <w:ilvl w:val="1"/>
          <w:numId w:val="87"/>
        </w:numPr>
      </w:pPr>
      <w:r>
        <w:t xml:space="preserve">Joel: </w:t>
      </w:r>
      <w:r>
        <w:rPr>
          <w:rtl/>
        </w:rPr>
        <w:t>וְהָיָה אַחֲרֵי־כֵן</w:t>
      </w:r>
      <w:r>
        <w:t xml:space="preserve"> (es wird geschehen danach) – </w:t>
      </w:r>
      <w:r>
        <w:rPr>
          <w:rStyle w:val="Fett"/>
        </w:rPr>
        <w:t>Futur</w:t>
      </w:r>
      <w:r>
        <w:t xml:space="preserve"> (Verheißung)</w:t>
      </w:r>
    </w:p>
    <w:p w14:paraId="50834FF0" w14:textId="77777777" w:rsidR="00DD0869" w:rsidRDefault="00DD0869" w:rsidP="00DD0869">
      <w:pPr>
        <w:pStyle w:val="whitespace-normal"/>
        <w:numPr>
          <w:ilvl w:val="1"/>
          <w:numId w:val="87"/>
        </w:numPr>
      </w:pPr>
      <w:r>
        <w:t xml:space="preserve">Apg 2: τοῦτό ἐστιν (dies </w:t>
      </w:r>
      <w:r>
        <w:rPr>
          <w:rStyle w:val="Fett"/>
        </w:rPr>
        <w:t>ist</w:t>
      </w:r>
      <w:r>
        <w:t xml:space="preserve">) – </w:t>
      </w:r>
      <w:r>
        <w:rPr>
          <w:rStyle w:val="Fett"/>
        </w:rPr>
        <w:t>Präsens</w:t>
      </w:r>
      <w:r>
        <w:t xml:space="preserve"> (Erfüllung)</w:t>
      </w:r>
    </w:p>
    <w:p w14:paraId="4040E73B" w14:textId="431E8D26" w:rsidR="00DD0869" w:rsidRPr="00DD0869" w:rsidRDefault="00DD0869" w:rsidP="00DD0869">
      <w:pPr>
        <w:pStyle w:val="whitespace-normal"/>
      </w:pPr>
      <w:r>
        <w:rPr>
          <w:rStyle w:val="Fett"/>
        </w:rPr>
        <w:t>Fazit:</w:t>
      </w:r>
      <w:r>
        <w:t xml:space="preserve"> Moses </w:t>
      </w:r>
      <w:r>
        <w:rPr>
          <w:rStyle w:val="Fett"/>
        </w:rPr>
        <w:t>Wunsch</w:t>
      </w:r>
      <w:r>
        <w:t xml:space="preserve"> (Num 11,29) wurde zur </w:t>
      </w:r>
      <w:r>
        <w:rPr>
          <w:rStyle w:val="Fett"/>
        </w:rPr>
        <w:t>Prophetie</w:t>
      </w:r>
      <w:r>
        <w:t xml:space="preserve"> (Joel 3,1-2) und fand ihre </w:t>
      </w:r>
      <w:r>
        <w:rPr>
          <w:rStyle w:val="Fett"/>
        </w:rPr>
        <w:t>Erfüllung</w:t>
      </w:r>
      <w:r>
        <w:t xml:space="preserve"> in der Ausgießung des Heiligen Geistes an Pfingsten (Apg 2), wodurch die </w:t>
      </w:r>
      <w:r>
        <w:rPr>
          <w:rStyle w:val="Fett"/>
        </w:rPr>
        <w:t>universelle Prophetie</w:t>
      </w:r>
      <w:r>
        <w:t xml:space="preserve"> aller Gläubigen Realität wurde.</w:t>
      </w:r>
    </w:p>
    <w:p w14:paraId="078069C1"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11,30</w:t>
      </w:r>
    </w:p>
    <w:p w14:paraId="6465B41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וַיֵּאָסֵ֥ף מֹשֶׁ֖ה אֶל־הַֽמַּחֲנֶ֑ה ה֖וּא וְזִקְנֵ֥י יִשְׂרָאֵֽל׃</w:t>
      </w:r>
    </w:p>
    <w:p w14:paraId="2CBB42F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Mosche zog sich in das Lager zurück, er und die Ältesten Jisra'els.</w:t>
      </w:r>
    </w:p>
    <w:p w14:paraId="2705627D"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50D2F021">
          <v:rect id="_x0000_i1409" style="width:0;height:1.5pt" o:hralign="center" o:hrstd="t" o:hr="t" fillcolor="#a0a0a0" stroked="f"/>
        </w:pict>
      </w:r>
    </w:p>
    <w:p w14:paraId="14A01DF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וַיֵּאָסֵ֥ף מֹשֶׁ֖ה אֶל־הַֽמַּחֲנֶ֑ה</w:t>
      </w:r>
      <w:r w:rsidRPr="006E39D1">
        <w:rPr>
          <w:rFonts w:eastAsia="Times New Roman" w:cs="Times New Roman"/>
          <w:rtl/>
          <w:lang w:eastAsia="de-DE"/>
        </w:rPr>
        <w:t xml:space="preserve"> </w:t>
      </w:r>
      <w:r w:rsidRPr="006E39D1">
        <w:rPr>
          <w:rFonts w:eastAsia="Times New Roman" w:cs="Times New Roman"/>
          <w:lang w:eastAsia="de-DE"/>
        </w:rPr>
        <w:t xml:space="preserve">(und Mose zog sich zum Lager zurück) mit </w:t>
      </w:r>
      <w:r w:rsidRPr="006E39D1">
        <w:rPr>
          <w:rFonts w:eastAsia="Times New Roman" w:cs="Times New Roman"/>
          <w:b/>
          <w:bCs/>
          <w:rtl/>
          <w:lang w:eastAsia="de-DE"/>
        </w:rPr>
        <w:t>יֵּאָסֵף</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אסף</w:t>
      </w:r>
      <w:r w:rsidRPr="006E39D1">
        <w:rPr>
          <w:rFonts w:eastAsia="Times New Roman" w:cs="Times New Roman"/>
          <w:rtl/>
          <w:lang w:eastAsia="de-DE"/>
        </w:rPr>
        <w:t xml:space="preserve"> </w:t>
      </w:r>
      <w:r w:rsidRPr="006E39D1">
        <w:rPr>
          <w:rFonts w:eastAsia="Times New Roman" w:cs="Times New Roman"/>
          <w:lang w:eastAsia="de-DE"/>
        </w:rPr>
        <w:t>(sammeln/sich zurückziehen) im Niph'al-Imperfekt 3. maskulin Singular zeigt Moses Rückkehr vom Zelt der Begegnung zum Hauptlager nach der Geisteszeremonie.</w:t>
      </w:r>
    </w:p>
    <w:p w14:paraId="5DA979C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 xml:space="preserve">Die Begleitung </w:t>
      </w:r>
      <w:r w:rsidRPr="006E39D1">
        <w:rPr>
          <w:rFonts w:eastAsia="Times New Roman" w:cs="Times New Roman"/>
          <w:b/>
          <w:bCs/>
          <w:rtl/>
          <w:lang w:eastAsia="de-DE"/>
        </w:rPr>
        <w:t>ה֖וּא וְזִקְנֵ֥י יִשְׂרָאֵֽל</w:t>
      </w:r>
      <w:r w:rsidRPr="006E39D1">
        <w:rPr>
          <w:rFonts w:eastAsia="Times New Roman" w:cs="Times New Roman"/>
          <w:rtl/>
          <w:lang w:eastAsia="de-DE"/>
        </w:rPr>
        <w:t xml:space="preserve"> </w:t>
      </w:r>
      <w:r w:rsidRPr="006E39D1">
        <w:rPr>
          <w:rFonts w:eastAsia="Times New Roman" w:cs="Times New Roman"/>
          <w:lang w:eastAsia="de-DE"/>
        </w:rPr>
        <w:t xml:space="preserve">(er und die Ältesten Israels) mit dem emphatischen Pronomen </w:t>
      </w:r>
      <w:r w:rsidRPr="006E39D1">
        <w:rPr>
          <w:rFonts w:eastAsia="Times New Roman" w:cs="Times New Roman"/>
          <w:b/>
          <w:bCs/>
          <w:rtl/>
          <w:lang w:eastAsia="de-DE"/>
        </w:rPr>
        <w:t>הוּא</w:t>
      </w:r>
      <w:r w:rsidRPr="006E39D1">
        <w:rPr>
          <w:rFonts w:eastAsia="Times New Roman" w:cs="Times New Roman"/>
          <w:rtl/>
          <w:lang w:eastAsia="de-DE"/>
        </w:rPr>
        <w:t xml:space="preserve"> </w:t>
      </w:r>
      <w:r w:rsidRPr="006E39D1">
        <w:rPr>
          <w:rFonts w:eastAsia="Times New Roman" w:cs="Times New Roman"/>
          <w:lang w:eastAsia="de-DE"/>
        </w:rPr>
        <w:t xml:space="preserve">(er) und </w:t>
      </w:r>
      <w:r w:rsidRPr="006E39D1">
        <w:rPr>
          <w:rFonts w:eastAsia="Times New Roman" w:cs="Times New Roman"/>
          <w:b/>
          <w:bCs/>
          <w:rtl/>
          <w:lang w:eastAsia="de-DE"/>
        </w:rPr>
        <w:t>זִקְנֵי יִשְׂרָאֵל</w:t>
      </w:r>
      <w:r w:rsidRPr="006E39D1">
        <w:rPr>
          <w:rFonts w:eastAsia="Times New Roman" w:cs="Times New Roman"/>
          <w:rtl/>
          <w:lang w:eastAsia="de-DE"/>
        </w:rPr>
        <w:t xml:space="preserve"> </w:t>
      </w:r>
      <w:r w:rsidRPr="006E39D1">
        <w:rPr>
          <w:rFonts w:eastAsia="Times New Roman" w:cs="Times New Roman"/>
          <w:lang w:eastAsia="de-DE"/>
        </w:rPr>
        <w:t>(die Ältesten Israels) zeigt die neu konstituierte Führungsgruppe, die gemeinsam die Last der Volksführung teilen wird.</w:t>
      </w:r>
    </w:p>
    <w:p w14:paraId="49B2596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יֵּאָסֵף</w:t>
      </w:r>
      <w:r w:rsidRPr="006E39D1">
        <w:rPr>
          <w:rFonts w:eastAsia="Times New Roman" w:cs="Times New Roman"/>
          <w:rtl/>
          <w:lang w:eastAsia="de-DE"/>
        </w:rPr>
        <w:t xml:space="preserve"> </w:t>
      </w:r>
      <w:r w:rsidRPr="006E39D1">
        <w:rPr>
          <w:rFonts w:eastAsia="Times New Roman" w:cs="Times New Roman"/>
          <w:lang w:eastAsia="de-DE"/>
        </w:rPr>
        <w:t xml:space="preserve">mit συνήχθη (er wurde versammelt/er zog sich zurück) und </w:t>
      </w:r>
      <w:r w:rsidRPr="006E39D1">
        <w:rPr>
          <w:rFonts w:eastAsia="Times New Roman" w:cs="Times New Roman"/>
          <w:b/>
          <w:bCs/>
          <w:rtl/>
          <w:lang w:eastAsia="de-DE"/>
        </w:rPr>
        <w:t>זִקְנֵי</w:t>
      </w:r>
      <w:r w:rsidRPr="006E39D1">
        <w:rPr>
          <w:rFonts w:eastAsia="Times New Roman" w:cs="Times New Roman"/>
          <w:rtl/>
          <w:lang w:eastAsia="de-DE"/>
        </w:rPr>
        <w:t xml:space="preserve"> </w:t>
      </w:r>
      <w:r w:rsidRPr="006E39D1">
        <w:rPr>
          <w:rFonts w:eastAsia="Times New Roman" w:cs="Times New Roman"/>
          <w:lang w:eastAsia="de-DE"/>
        </w:rPr>
        <w:t>mit πρεσβύτεροι (Älteste).</w:t>
      </w:r>
    </w:p>
    <w:p w14:paraId="5A1BC90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Rückzugsbewegung mit Gruppenbegleitung als Übergang zur nächsten Episode.</w:t>
      </w:r>
    </w:p>
    <w:p w14:paraId="76FB4BB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schließt die Episode der Ältestenbestellung ab und leitet zur Wachtelererzählung über.</w:t>
      </w:r>
    </w:p>
    <w:p w14:paraId="219453DE"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11,31</w:t>
      </w:r>
    </w:p>
    <w:p w14:paraId="526241E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וְר֜וּחַ נָסַ֣ע׀ מֵאֵ֣ת יְהוָ֗ה וַיָּ֣גָז שַׂלְוִים֮ מִן־הַיָּם֒ וַיִּטֹּ֨שׁ עַל־הַֽמַּחֲנֶ֜ה כְּדֶ֧רֶךְ י֣וֹם כֹּ֗ה וּכְדֶ֤רֶךְ יוֹם֙ כֹּ֔ה סְבִיב֖וֹת הַֽמַּחֲנֶ֑ה וּכְאַמָּתַ֖יִם עַל־פְּנֵ֥י הָאָֽרֶץ׃</w:t>
      </w:r>
    </w:p>
    <w:p w14:paraId="1E86A44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ein Wind brach auf von dem Ewigen und trieb Wachteln vom Meer herbei und warf sie auf das Lager, eine Tagereise weit hierhin und eine Tagereise weit dorthin, rings um das Lager, und etwa zwei Ellen hoch über der Oberfläche der Erde.</w:t>
      </w:r>
    </w:p>
    <w:p w14:paraId="2E598A45"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4752FADA">
          <v:rect id="_x0000_i1410" style="width:0;height:1.5pt" o:hralign="center" o:hrstd="t" o:hr="t" fillcolor="#a0a0a0" stroked="f"/>
        </w:pict>
      </w:r>
    </w:p>
    <w:p w14:paraId="3C1A354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Subjekt </w:t>
      </w:r>
      <w:r w:rsidRPr="006E39D1">
        <w:rPr>
          <w:rFonts w:eastAsia="Times New Roman" w:cs="Times New Roman"/>
          <w:b/>
          <w:bCs/>
          <w:rtl/>
          <w:lang w:eastAsia="de-DE"/>
        </w:rPr>
        <w:t>וְר֜וּחַ נָסַ֣ע׀ מֵאֵ֣ת יְהוָ֗ה</w:t>
      </w:r>
      <w:r w:rsidRPr="006E39D1">
        <w:rPr>
          <w:rFonts w:eastAsia="Times New Roman" w:cs="Times New Roman"/>
          <w:rtl/>
          <w:lang w:eastAsia="de-DE"/>
        </w:rPr>
        <w:t xml:space="preserve"> </w:t>
      </w:r>
      <w:r w:rsidRPr="006E39D1">
        <w:rPr>
          <w:rFonts w:eastAsia="Times New Roman" w:cs="Times New Roman"/>
          <w:lang w:eastAsia="de-DE"/>
        </w:rPr>
        <w:t xml:space="preserve">(und ein Wind brach auf von dem Ewigen) mit </w:t>
      </w:r>
      <w:r w:rsidRPr="006E39D1">
        <w:rPr>
          <w:rFonts w:eastAsia="Times New Roman" w:cs="Times New Roman"/>
          <w:b/>
          <w:bCs/>
          <w:rtl/>
          <w:lang w:eastAsia="de-DE"/>
        </w:rPr>
        <w:t>רוּחַ</w:t>
      </w:r>
      <w:r w:rsidRPr="006E39D1">
        <w:rPr>
          <w:rFonts w:eastAsia="Times New Roman" w:cs="Times New Roman"/>
          <w:rtl/>
          <w:lang w:eastAsia="de-DE"/>
        </w:rPr>
        <w:t xml:space="preserve"> </w:t>
      </w:r>
      <w:r w:rsidRPr="006E39D1">
        <w:rPr>
          <w:rFonts w:eastAsia="Times New Roman" w:cs="Times New Roman"/>
          <w:lang w:eastAsia="de-DE"/>
        </w:rPr>
        <w:t xml:space="preserve">(Wind/Geist), </w:t>
      </w:r>
      <w:r w:rsidRPr="006E39D1">
        <w:rPr>
          <w:rFonts w:eastAsia="Times New Roman" w:cs="Times New Roman"/>
          <w:b/>
          <w:bCs/>
          <w:rtl/>
          <w:lang w:eastAsia="de-DE"/>
        </w:rPr>
        <w:t>נָסַע</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נסע</w:t>
      </w:r>
      <w:r w:rsidRPr="006E39D1">
        <w:rPr>
          <w:rFonts w:eastAsia="Times New Roman" w:cs="Times New Roman"/>
          <w:rtl/>
          <w:lang w:eastAsia="de-DE"/>
        </w:rPr>
        <w:t xml:space="preserve"> </w:t>
      </w:r>
      <w:r w:rsidRPr="006E39D1">
        <w:rPr>
          <w:rFonts w:eastAsia="Times New Roman" w:cs="Times New Roman"/>
          <w:lang w:eastAsia="de-DE"/>
        </w:rPr>
        <w:t xml:space="preserve">(aufbrechen/sich bewegen) und </w:t>
      </w:r>
      <w:r w:rsidRPr="006E39D1">
        <w:rPr>
          <w:rFonts w:eastAsia="Times New Roman" w:cs="Times New Roman"/>
          <w:b/>
          <w:bCs/>
          <w:rtl/>
          <w:lang w:eastAsia="de-DE"/>
        </w:rPr>
        <w:t>מֵאֵת יְהוָה</w:t>
      </w:r>
      <w:r w:rsidRPr="006E39D1">
        <w:rPr>
          <w:rFonts w:eastAsia="Times New Roman" w:cs="Times New Roman"/>
          <w:rtl/>
          <w:lang w:eastAsia="de-DE"/>
        </w:rPr>
        <w:t xml:space="preserve"> </w:t>
      </w:r>
      <w:r w:rsidRPr="006E39D1">
        <w:rPr>
          <w:rFonts w:eastAsia="Times New Roman" w:cs="Times New Roman"/>
          <w:lang w:eastAsia="de-DE"/>
        </w:rPr>
        <w:t>(von dem Ewigen) zeigt göttlich gesandten Wind als Instrument der Wundertat.</w:t>
      </w:r>
    </w:p>
    <w:p w14:paraId="547BF30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Handlung </w:t>
      </w:r>
      <w:r w:rsidRPr="006E39D1">
        <w:rPr>
          <w:rFonts w:eastAsia="Times New Roman" w:cs="Times New Roman"/>
          <w:b/>
          <w:bCs/>
          <w:rtl/>
          <w:lang w:eastAsia="de-DE"/>
        </w:rPr>
        <w:t>וַיָּ֣גָז שַׂלְוִים֮ מִן־הַיָּם֒</w:t>
      </w:r>
      <w:r w:rsidRPr="006E39D1">
        <w:rPr>
          <w:rFonts w:eastAsia="Times New Roman" w:cs="Times New Roman"/>
          <w:rtl/>
          <w:lang w:eastAsia="de-DE"/>
        </w:rPr>
        <w:t xml:space="preserve"> </w:t>
      </w:r>
      <w:r w:rsidRPr="006E39D1">
        <w:rPr>
          <w:rFonts w:eastAsia="Times New Roman" w:cs="Times New Roman"/>
          <w:lang w:eastAsia="de-DE"/>
        </w:rPr>
        <w:t xml:space="preserve">(und er trieb Wachteln vom Meer herbei) mit </w:t>
      </w:r>
      <w:r w:rsidRPr="006E39D1">
        <w:rPr>
          <w:rFonts w:eastAsia="Times New Roman" w:cs="Times New Roman"/>
          <w:b/>
          <w:bCs/>
          <w:rtl/>
          <w:lang w:eastAsia="de-DE"/>
        </w:rPr>
        <w:t>יָּגָז</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גוז</w:t>
      </w:r>
      <w:r w:rsidRPr="006E39D1">
        <w:rPr>
          <w:rFonts w:eastAsia="Times New Roman" w:cs="Times New Roman"/>
          <w:rtl/>
          <w:lang w:eastAsia="de-DE"/>
        </w:rPr>
        <w:t xml:space="preserve"> </w:t>
      </w:r>
      <w:r w:rsidRPr="006E39D1">
        <w:rPr>
          <w:rFonts w:eastAsia="Times New Roman" w:cs="Times New Roman"/>
          <w:lang w:eastAsia="de-DE"/>
        </w:rPr>
        <w:t xml:space="preserve">(vorüberziehen/dahertreiben) und </w:t>
      </w:r>
      <w:r w:rsidRPr="006E39D1">
        <w:rPr>
          <w:rFonts w:eastAsia="Times New Roman" w:cs="Times New Roman"/>
          <w:b/>
          <w:bCs/>
          <w:rtl/>
          <w:lang w:eastAsia="de-DE"/>
        </w:rPr>
        <w:t>שַׂלְוִים</w:t>
      </w:r>
      <w:r w:rsidRPr="006E39D1">
        <w:rPr>
          <w:rFonts w:eastAsia="Times New Roman" w:cs="Times New Roman"/>
          <w:rtl/>
          <w:lang w:eastAsia="de-DE"/>
        </w:rPr>
        <w:t xml:space="preserve"> </w:t>
      </w:r>
      <w:r w:rsidRPr="006E39D1">
        <w:rPr>
          <w:rFonts w:eastAsia="Times New Roman" w:cs="Times New Roman"/>
          <w:lang w:eastAsia="de-DE"/>
        </w:rPr>
        <w:t xml:space="preserve">(Wachteln) Plural von </w:t>
      </w:r>
      <w:r w:rsidRPr="006E39D1">
        <w:rPr>
          <w:rFonts w:eastAsia="Times New Roman" w:cs="Times New Roman"/>
          <w:b/>
          <w:bCs/>
          <w:rtl/>
          <w:lang w:eastAsia="de-DE"/>
        </w:rPr>
        <w:t>שְׂלָו</w:t>
      </w:r>
      <w:r w:rsidRPr="006E39D1">
        <w:rPr>
          <w:rFonts w:eastAsia="Times New Roman" w:cs="Times New Roman"/>
          <w:lang w:eastAsia="de-DE"/>
        </w:rPr>
        <w:t xml:space="preserve">, </w:t>
      </w:r>
      <w:r w:rsidRPr="006E39D1">
        <w:rPr>
          <w:rFonts w:eastAsia="Times New Roman" w:cs="Times New Roman"/>
          <w:b/>
          <w:bCs/>
          <w:rtl/>
          <w:lang w:eastAsia="de-DE"/>
        </w:rPr>
        <w:t>מִן־הַיָּם</w:t>
      </w:r>
      <w:r w:rsidRPr="006E39D1">
        <w:rPr>
          <w:rFonts w:eastAsia="Times New Roman" w:cs="Times New Roman"/>
          <w:rtl/>
          <w:lang w:eastAsia="de-DE"/>
        </w:rPr>
        <w:t xml:space="preserve"> </w:t>
      </w:r>
      <w:r w:rsidRPr="006E39D1">
        <w:rPr>
          <w:rFonts w:eastAsia="Times New Roman" w:cs="Times New Roman"/>
          <w:lang w:eastAsia="de-DE"/>
        </w:rPr>
        <w:t>(vom Meer) zeigt die Herkunft der Vögel aus dem Mittelmeer.</w:t>
      </w:r>
    </w:p>
    <w:p w14:paraId="32278A3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Verteilung </w:t>
      </w:r>
      <w:r w:rsidRPr="006E39D1">
        <w:rPr>
          <w:rFonts w:eastAsia="Times New Roman" w:cs="Times New Roman"/>
          <w:b/>
          <w:bCs/>
          <w:rtl/>
          <w:lang w:eastAsia="de-DE"/>
        </w:rPr>
        <w:t>וַיִּטֹּ֨שׁ עַל־הַֽמַּחֲנֶ֜ה כְּדֶ֧רֶךְ י֣וֹם כֹּ֗ה וּכְדֶ֤רֶךְ יוֹם֙ כֹּ֔ה סְבִיב֖וֹת הַֽמַּחֲנֶ֑ה</w:t>
      </w:r>
      <w:r w:rsidRPr="006E39D1">
        <w:rPr>
          <w:rFonts w:eastAsia="Times New Roman" w:cs="Times New Roman"/>
          <w:rtl/>
          <w:lang w:eastAsia="de-DE"/>
        </w:rPr>
        <w:t xml:space="preserve"> </w:t>
      </w:r>
      <w:r w:rsidRPr="006E39D1">
        <w:rPr>
          <w:rFonts w:eastAsia="Times New Roman" w:cs="Times New Roman"/>
          <w:lang w:eastAsia="de-DE"/>
        </w:rPr>
        <w:t xml:space="preserve">(und warf sie auf das Lager, eine Tagereise weit hierhin und eine Tagereise weit dorthin, rings um das Lager) mit </w:t>
      </w:r>
      <w:r w:rsidRPr="006E39D1">
        <w:rPr>
          <w:rFonts w:eastAsia="Times New Roman" w:cs="Times New Roman"/>
          <w:b/>
          <w:bCs/>
          <w:rtl/>
          <w:lang w:eastAsia="de-DE"/>
        </w:rPr>
        <w:t>יִּטֹּשׁ</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נטש</w:t>
      </w:r>
      <w:r w:rsidRPr="006E39D1">
        <w:rPr>
          <w:rFonts w:eastAsia="Times New Roman" w:cs="Times New Roman"/>
          <w:rtl/>
          <w:lang w:eastAsia="de-DE"/>
        </w:rPr>
        <w:t xml:space="preserve"> </w:t>
      </w:r>
      <w:r w:rsidRPr="006E39D1">
        <w:rPr>
          <w:rFonts w:eastAsia="Times New Roman" w:cs="Times New Roman"/>
          <w:lang w:eastAsia="de-DE"/>
        </w:rPr>
        <w:t xml:space="preserve">(hinwerfen/niederlassen), </w:t>
      </w:r>
      <w:r w:rsidRPr="006E39D1">
        <w:rPr>
          <w:rFonts w:eastAsia="Times New Roman" w:cs="Times New Roman"/>
          <w:b/>
          <w:bCs/>
          <w:rtl/>
          <w:lang w:eastAsia="de-DE"/>
        </w:rPr>
        <w:t>כְּדֶרֶךְ יוֹם כֹּה</w:t>
      </w:r>
      <w:r w:rsidRPr="006E39D1">
        <w:rPr>
          <w:rFonts w:eastAsia="Times New Roman" w:cs="Times New Roman"/>
          <w:rtl/>
          <w:lang w:eastAsia="de-DE"/>
        </w:rPr>
        <w:t xml:space="preserve"> </w:t>
      </w:r>
      <w:r w:rsidRPr="006E39D1">
        <w:rPr>
          <w:rFonts w:eastAsia="Times New Roman" w:cs="Times New Roman"/>
          <w:lang w:eastAsia="de-DE"/>
        </w:rPr>
        <w:t>(etwa eine Tagereise hierhin) zeigt die gewaltige Ausdehnung der Wachtelverteilung.</w:t>
      </w:r>
    </w:p>
    <w:p w14:paraId="31EE5A0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Höhenangabe </w:t>
      </w:r>
      <w:r w:rsidRPr="006E39D1">
        <w:rPr>
          <w:rFonts w:eastAsia="Times New Roman" w:cs="Times New Roman"/>
          <w:b/>
          <w:bCs/>
          <w:rtl/>
          <w:lang w:eastAsia="de-DE"/>
        </w:rPr>
        <w:t>וּכְאַמָּתַ֖יִם עַל־פְּנֵ֥י הָאָֽרֶץ</w:t>
      </w:r>
      <w:r w:rsidRPr="006E39D1">
        <w:rPr>
          <w:rFonts w:eastAsia="Times New Roman" w:cs="Times New Roman"/>
          <w:rtl/>
          <w:lang w:eastAsia="de-DE"/>
        </w:rPr>
        <w:t xml:space="preserve"> </w:t>
      </w:r>
      <w:r w:rsidRPr="006E39D1">
        <w:rPr>
          <w:rFonts w:eastAsia="Times New Roman" w:cs="Times New Roman"/>
          <w:lang w:eastAsia="de-DE"/>
        </w:rPr>
        <w:t xml:space="preserve">(und etwa zwei Ellen hoch über der Oberfläche der Erde) mit </w:t>
      </w:r>
      <w:r w:rsidRPr="006E39D1">
        <w:rPr>
          <w:rFonts w:eastAsia="Times New Roman" w:cs="Times New Roman"/>
          <w:b/>
          <w:bCs/>
          <w:rtl/>
          <w:lang w:eastAsia="de-DE"/>
        </w:rPr>
        <w:t>כְּאַמָּתַיִם</w:t>
      </w:r>
      <w:r w:rsidRPr="006E39D1">
        <w:rPr>
          <w:rFonts w:eastAsia="Times New Roman" w:cs="Times New Roman"/>
          <w:rtl/>
          <w:lang w:eastAsia="de-DE"/>
        </w:rPr>
        <w:t xml:space="preserve"> </w:t>
      </w:r>
      <w:r w:rsidRPr="006E39D1">
        <w:rPr>
          <w:rFonts w:eastAsia="Times New Roman" w:cs="Times New Roman"/>
          <w:lang w:eastAsia="de-DE"/>
        </w:rPr>
        <w:t xml:space="preserve">(etwa zwei Ellen) und </w:t>
      </w:r>
      <w:r w:rsidRPr="006E39D1">
        <w:rPr>
          <w:rFonts w:eastAsia="Times New Roman" w:cs="Times New Roman"/>
          <w:b/>
          <w:bCs/>
          <w:rtl/>
          <w:lang w:eastAsia="de-DE"/>
        </w:rPr>
        <w:t>עַל־פְּנֵי הָאָרֶץ</w:t>
      </w:r>
      <w:r w:rsidRPr="006E39D1">
        <w:rPr>
          <w:rFonts w:eastAsia="Times New Roman" w:cs="Times New Roman"/>
          <w:rtl/>
          <w:lang w:eastAsia="de-DE"/>
        </w:rPr>
        <w:t xml:space="preserve"> </w:t>
      </w:r>
      <w:r w:rsidRPr="006E39D1">
        <w:rPr>
          <w:rFonts w:eastAsia="Times New Roman" w:cs="Times New Roman"/>
          <w:lang w:eastAsia="de-DE"/>
        </w:rPr>
        <w:t>(über der Oberfläche der Erde) zeigt entweder die Flughöhe oder die Schichthöhe der gefallenen Vögel.</w:t>
      </w:r>
    </w:p>
    <w:p w14:paraId="2001075A" w14:textId="25B05FE9"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beschreibt die Wachtelhöhe mit „ὡσεὶ δίπηχυ ἀπὸ τῆς γῆς" (etwa zwei Ellen von der Erde), während das Hebräische „</w:t>
      </w:r>
      <w:r w:rsidR="00497CF8">
        <w:rPr>
          <w:rtl/>
        </w:rPr>
        <w:t>כְּאַמָּתַיִם עַל־פְּנֵי הָאָרֶץ</w:t>
      </w:r>
      <w:r w:rsidR="00497CF8">
        <w:t>" (etwa zwei Ellen über der Erde) hat, was unterschiedliche Vorstellungen über die Flughöhe nahelegt.</w:t>
      </w:r>
    </w:p>
    <w:p w14:paraId="6283D9B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göttlich gesandten Wind, Wachteltransport, massive Verteilung und Höhenspezifikation.</w:t>
      </w:r>
    </w:p>
    <w:p w14:paraId="774523E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Dieser Vers dokumentiert das Wunder der Wachtelversorgung als Erfüllung der göttlichen Verheißung aus Vers 18-20.</w:t>
      </w:r>
    </w:p>
    <w:p w14:paraId="327EC1D0"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11,32</w:t>
      </w:r>
    </w:p>
    <w:p w14:paraId="43DE164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וַיָּ֣קָם הָעָ֡ם כָּל־הַיּוֹם֩ הַה֨וּא וְכָל־הַלַּ֜יְלָה וְכֹ֣ל׀ י֣וֹם הַֽמָּחֳרָ֗ת וַיַּֽאַסְפוּ֙ אֶת־הַשְּׂלָ֔ו הַמַּמְעִ֕יט אָסַ֖ף עֲשָׂרָ֣ה חֳמָרִ֑ים וַיִּשְׁטְח֤וּ לָהֶם֙ שָׁט֔וֹחַ סְבִיב֖וֹת הַֽמַּחֲנֶֽה׃</w:t>
      </w:r>
    </w:p>
    <w:p w14:paraId="3A08F00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das Volk machte sich auf jenen ganzen Tag und die ganze Nacht und den ganzen folgenden Tag, und sie sammelten die Wachteln; wer wenig gesammelt hatte, hatte zehn Homer gesammelt. Und sie breiteten sie sich rings um das Lager her aus.</w:t>
      </w:r>
    </w:p>
    <w:p w14:paraId="03ED9876"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556E675E">
          <v:rect id="_x0000_i1411" style="width:0;height:1.5pt" o:hralign="center" o:hrstd="t" o:hr="t" fillcolor="#a0a0a0" stroked="f"/>
        </w:pict>
      </w:r>
    </w:p>
    <w:p w14:paraId="4CFE9EC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Zeitangabe </w:t>
      </w:r>
      <w:r w:rsidRPr="006E39D1">
        <w:rPr>
          <w:rFonts w:eastAsia="Times New Roman" w:cs="Times New Roman"/>
          <w:b/>
          <w:bCs/>
          <w:rtl/>
          <w:lang w:eastAsia="de-DE"/>
        </w:rPr>
        <w:t>וַיָּ֣קָם הָעָ֡ם כָּל־הַיּוֹם֩ הַה֨וּא וְכָל־הַלַּ֜יְלָה וְכֹ֣ל׀ י֣וֹם הַֽמָּחֳרָ֗ת</w:t>
      </w:r>
      <w:r w:rsidRPr="006E39D1">
        <w:rPr>
          <w:rFonts w:eastAsia="Times New Roman" w:cs="Times New Roman"/>
          <w:rtl/>
          <w:lang w:eastAsia="de-DE"/>
        </w:rPr>
        <w:t xml:space="preserve"> </w:t>
      </w:r>
      <w:r w:rsidRPr="006E39D1">
        <w:rPr>
          <w:rFonts w:eastAsia="Times New Roman" w:cs="Times New Roman"/>
          <w:lang w:eastAsia="de-DE"/>
        </w:rPr>
        <w:t xml:space="preserve">(und das Volk machte sich auf jenen ganzen Tag und die ganze Nacht und den ganzen folgenden Tag) mit der dreifachen Betonung </w:t>
      </w:r>
      <w:r w:rsidRPr="006E39D1">
        <w:rPr>
          <w:rFonts w:eastAsia="Times New Roman" w:cs="Times New Roman"/>
          <w:b/>
          <w:bCs/>
          <w:rtl/>
          <w:lang w:eastAsia="de-DE"/>
        </w:rPr>
        <w:t>כָּל</w:t>
      </w:r>
      <w:r w:rsidRPr="006E39D1">
        <w:rPr>
          <w:rFonts w:eastAsia="Times New Roman" w:cs="Times New Roman"/>
          <w:rtl/>
          <w:lang w:eastAsia="de-DE"/>
        </w:rPr>
        <w:t xml:space="preserve"> </w:t>
      </w:r>
      <w:r w:rsidRPr="006E39D1">
        <w:rPr>
          <w:rFonts w:eastAsia="Times New Roman" w:cs="Times New Roman"/>
          <w:lang w:eastAsia="de-DE"/>
        </w:rPr>
        <w:t>(ganz) zeigt die intensive, ununterbrochene Sammelaktivität über 36 Stunden.</w:t>
      </w:r>
    </w:p>
    <w:p w14:paraId="5F1D8C0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Sammlung </w:t>
      </w:r>
      <w:r w:rsidRPr="006E39D1">
        <w:rPr>
          <w:rFonts w:eastAsia="Times New Roman" w:cs="Times New Roman"/>
          <w:b/>
          <w:bCs/>
          <w:rtl/>
          <w:lang w:eastAsia="de-DE"/>
        </w:rPr>
        <w:t>וַיַּֽאַסְפוּ֙ אֶת־הַשְּׂלָ֔ו</w:t>
      </w:r>
      <w:r w:rsidRPr="006E39D1">
        <w:rPr>
          <w:rFonts w:eastAsia="Times New Roman" w:cs="Times New Roman"/>
          <w:rtl/>
          <w:lang w:eastAsia="de-DE"/>
        </w:rPr>
        <w:t xml:space="preserve"> </w:t>
      </w:r>
      <w:r w:rsidRPr="006E39D1">
        <w:rPr>
          <w:rFonts w:eastAsia="Times New Roman" w:cs="Times New Roman"/>
          <w:lang w:eastAsia="de-DE"/>
        </w:rPr>
        <w:t xml:space="preserve">(und sie sammelten die Wachteln) mit </w:t>
      </w:r>
      <w:r w:rsidRPr="006E39D1">
        <w:rPr>
          <w:rFonts w:eastAsia="Times New Roman" w:cs="Times New Roman"/>
          <w:b/>
          <w:bCs/>
          <w:rtl/>
          <w:lang w:eastAsia="de-DE"/>
        </w:rPr>
        <w:t>יַּאַסְפוּ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אסף</w:t>
      </w:r>
      <w:r w:rsidRPr="006E39D1">
        <w:rPr>
          <w:rFonts w:eastAsia="Times New Roman" w:cs="Times New Roman"/>
          <w:rtl/>
          <w:lang w:eastAsia="de-DE"/>
        </w:rPr>
        <w:t xml:space="preserve"> </w:t>
      </w:r>
      <w:r w:rsidRPr="006E39D1">
        <w:rPr>
          <w:rFonts w:eastAsia="Times New Roman" w:cs="Times New Roman"/>
          <w:lang w:eastAsia="de-DE"/>
        </w:rPr>
        <w:t>(sammeln) zeigt die kollektive Ernteaktivität.</w:t>
      </w:r>
    </w:p>
    <w:p w14:paraId="0B911B8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Mengenangabe </w:t>
      </w:r>
      <w:r w:rsidRPr="006E39D1">
        <w:rPr>
          <w:rFonts w:eastAsia="Times New Roman" w:cs="Times New Roman"/>
          <w:b/>
          <w:bCs/>
          <w:rtl/>
          <w:lang w:eastAsia="de-DE"/>
        </w:rPr>
        <w:t>הַמַּמְעִ֕יט אָסַ֖ף עֲשָׂרָ֣ה חֳמָרִ֑ים</w:t>
      </w:r>
      <w:r w:rsidRPr="006E39D1">
        <w:rPr>
          <w:rFonts w:eastAsia="Times New Roman" w:cs="Times New Roman"/>
          <w:rtl/>
          <w:lang w:eastAsia="de-DE"/>
        </w:rPr>
        <w:t xml:space="preserve"> </w:t>
      </w:r>
      <w:r w:rsidRPr="006E39D1">
        <w:rPr>
          <w:rFonts w:eastAsia="Times New Roman" w:cs="Times New Roman"/>
          <w:lang w:eastAsia="de-DE"/>
        </w:rPr>
        <w:t xml:space="preserve">(wer wenig gesammelt hatte, hatte zehn Homer gesammelt) mit </w:t>
      </w:r>
      <w:r w:rsidRPr="006E39D1">
        <w:rPr>
          <w:rFonts w:eastAsia="Times New Roman" w:cs="Times New Roman"/>
          <w:b/>
          <w:bCs/>
          <w:rtl/>
          <w:lang w:eastAsia="de-DE"/>
        </w:rPr>
        <w:t>הַמַּמְעִיט</w:t>
      </w:r>
      <w:r w:rsidRPr="006E39D1">
        <w:rPr>
          <w:rFonts w:eastAsia="Times New Roman" w:cs="Times New Roman"/>
          <w:rtl/>
          <w:lang w:eastAsia="de-DE"/>
        </w:rPr>
        <w:t xml:space="preserve"> </w:t>
      </w:r>
      <w:r w:rsidRPr="006E39D1">
        <w:rPr>
          <w:rFonts w:eastAsia="Times New Roman" w:cs="Times New Roman"/>
          <w:lang w:eastAsia="de-DE"/>
        </w:rPr>
        <w:t xml:space="preserve">(der Wenigsammelnde) von </w:t>
      </w:r>
      <w:r w:rsidRPr="006E39D1">
        <w:rPr>
          <w:rFonts w:eastAsia="Times New Roman" w:cs="Times New Roman"/>
          <w:b/>
          <w:bCs/>
          <w:rtl/>
          <w:lang w:eastAsia="de-DE"/>
        </w:rPr>
        <w:t>מעט</w:t>
      </w:r>
      <w:r w:rsidRPr="006E39D1">
        <w:rPr>
          <w:rFonts w:eastAsia="Times New Roman" w:cs="Times New Roman"/>
          <w:rtl/>
          <w:lang w:eastAsia="de-DE"/>
        </w:rPr>
        <w:t xml:space="preserve"> </w:t>
      </w:r>
      <w:r w:rsidRPr="006E39D1">
        <w:rPr>
          <w:rFonts w:eastAsia="Times New Roman" w:cs="Times New Roman"/>
          <w:lang w:eastAsia="de-DE"/>
        </w:rPr>
        <w:t xml:space="preserve">(wenig machen), </w:t>
      </w:r>
      <w:r w:rsidRPr="006E39D1">
        <w:rPr>
          <w:rFonts w:eastAsia="Times New Roman" w:cs="Times New Roman"/>
          <w:b/>
          <w:bCs/>
          <w:rtl/>
          <w:lang w:eastAsia="de-DE"/>
        </w:rPr>
        <w:t>אָסַף</w:t>
      </w:r>
      <w:r w:rsidRPr="006E39D1">
        <w:rPr>
          <w:rFonts w:eastAsia="Times New Roman" w:cs="Times New Roman"/>
          <w:rtl/>
          <w:lang w:eastAsia="de-DE"/>
        </w:rPr>
        <w:t xml:space="preserve"> </w:t>
      </w:r>
      <w:r w:rsidRPr="006E39D1">
        <w:rPr>
          <w:rFonts w:eastAsia="Times New Roman" w:cs="Times New Roman"/>
          <w:lang w:eastAsia="de-DE"/>
        </w:rPr>
        <w:t xml:space="preserve">(er sammelte) und </w:t>
      </w:r>
      <w:r w:rsidRPr="006E39D1">
        <w:rPr>
          <w:rFonts w:eastAsia="Times New Roman" w:cs="Times New Roman"/>
          <w:b/>
          <w:bCs/>
          <w:rtl/>
          <w:lang w:eastAsia="de-DE"/>
        </w:rPr>
        <w:t>עֲשָׂרָה חֳמָרִים</w:t>
      </w:r>
      <w:r w:rsidRPr="006E39D1">
        <w:rPr>
          <w:rFonts w:eastAsia="Times New Roman" w:cs="Times New Roman"/>
          <w:rtl/>
          <w:lang w:eastAsia="de-DE"/>
        </w:rPr>
        <w:t xml:space="preserve"> </w:t>
      </w:r>
      <w:r w:rsidRPr="006E39D1">
        <w:rPr>
          <w:rFonts w:eastAsia="Times New Roman" w:cs="Times New Roman"/>
          <w:lang w:eastAsia="de-DE"/>
        </w:rPr>
        <w:t>(zehn Homer) zeigt die unglaubliche Fülle - selbst die kleinste Sammelmenge betrug zehn Homer (etwa 2200 Liter).</w:t>
      </w:r>
    </w:p>
    <w:p w14:paraId="58D97B4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Verarbeitung </w:t>
      </w:r>
      <w:r w:rsidRPr="006E39D1">
        <w:rPr>
          <w:rFonts w:eastAsia="Times New Roman" w:cs="Times New Roman"/>
          <w:b/>
          <w:bCs/>
          <w:rtl/>
          <w:lang w:eastAsia="de-DE"/>
        </w:rPr>
        <w:t>וַיִּשְׁטְח֤וּ לָהֶם֙ שָׁט֔וֹחַ סְבִיב֖וֹת הַֽמַּחֲנֶֽה׃</w:t>
      </w:r>
      <w:r w:rsidRPr="006E39D1">
        <w:rPr>
          <w:rFonts w:eastAsia="Times New Roman" w:cs="Times New Roman"/>
          <w:rtl/>
          <w:lang w:eastAsia="de-DE"/>
        </w:rPr>
        <w:t xml:space="preserve"> </w:t>
      </w:r>
      <w:r w:rsidRPr="006E39D1">
        <w:rPr>
          <w:rFonts w:eastAsia="Times New Roman" w:cs="Times New Roman"/>
          <w:lang w:eastAsia="de-DE"/>
        </w:rPr>
        <w:t xml:space="preserve">(und sie breiteten sie sich rings um das Lager aus) mit </w:t>
      </w:r>
      <w:r w:rsidRPr="006E39D1">
        <w:rPr>
          <w:rFonts w:eastAsia="Times New Roman" w:cs="Times New Roman"/>
          <w:b/>
          <w:bCs/>
          <w:rtl/>
          <w:lang w:eastAsia="de-DE"/>
        </w:rPr>
        <w:t>יִּשְׁטְחוּ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שטח</w:t>
      </w:r>
      <w:r w:rsidRPr="006E39D1">
        <w:rPr>
          <w:rFonts w:eastAsia="Times New Roman" w:cs="Times New Roman"/>
          <w:rtl/>
          <w:lang w:eastAsia="de-DE"/>
        </w:rPr>
        <w:t xml:space="preserve"> </w:t>
      </w:r>
      <w:r w:rsidRPr="006E39D1">
        <w:rPr>
          <w:rFonts w:eastAsia="Times New Roman" w:cs="Times New Roman"/>
          <w:lang w:eastAsia="de-DE"/>
        </w:rPr>
        <w:t xml:space="preserve">(ausbreiten) und </w:t>
      </w:r>
      <w:r w:rsidRPr="006E39D1">
        <w:rPr>
          <w:rFonts w:eastAsia="Times New Roman" w:cs="Times New Roman"/>
          <w:b/>
          <w:bCs/>
          <w:rtl/>
          <w:lang w:eastAsia="de-DE"/>
        </w:rPr>
        <w:t>שָׁטוֹחַ</w:t>
      </w:r>
      <w:r w:rsidRPr="006E39D1">
        <w:rPr>
          <w:rFonts w:eastAsia="Times New Roman" w:cs="Times New Roman"/>
          <w:rtl/>
          <w:lang w:eastAsia="de-DE"/>
        </w:rPr>
        <w:t xml:space="preserve"> </w:t>
      </w:r>
      <w:r w:rsidRPr="006E39D1">
        <w:rPr>
          <w:rFonts w:eastAsia="Times New Roman" w:cs="Times New Roman"/>
          <w:lang w:eastAsia="de-DE"/>
        </w:rPr>
        <w:t>(Ausbreitung) zeigt die Trocknung und Konservierung der Wachteln.</w:t>
      </w:r>
    </w:p>
    <w:p w14:paraId="2A5B5B50" w14:textId="2ABEE389"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gibt die Mengenangabe „</w:t>
      </w:r>
      <w:r w:rsidR="00497CF8">
        <w:rPr>
          <w:rtl/>
        </w:rPr>
        <w:t>עֲשָׂרָה חֳמָרִים</w:t>
      </w:r>
      <w:r w:rsidR="00497CF8">
        <w:t>" (zehn Homer) mit „δέκα κόρους" (zehn Kor) wieder, wobei beide Maßeinheiten unterschiedliche Volumina repräsentieren.</w:t>
      </w:r>
    </w:p>
    <w:p w14:paraId="0DCAE3F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intensive Zeitangabe, Sammelaktivität, extreme Mengenangabe und Verarbeitungsaktivität.</w:t>
      </w:r>
    </w:p>
    <w:p w14:paraId="3B97E3F4" w14:textId="1882C68E"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dokumentiert die überwältigende Fülle der Wachtelversorgung und die völlige Sättigung der israelitischen Fleischgier.</w:t>
      </w:r>
    </w:p>
    <w:p w14:paraId="42501573" w14:textId="77777777" w:rsidR="00405AD0" w:rsidRPr="00F06C27" w:rsidRDefault="00405AD0" w:rsidP="00F06C27">
      <w:pPr>
        <w:pStyle w:val="berschrift4"/>
        <w:rPr>
          <w:b/>
          <w:bCs/>
        </w:rPr>
      </w:pPr>
      <w:r w:rsidRPr="00F06C27">
        <w:rPr>
          <w:rStyle w:val="Fett"/>
          <w:b w:val="0"/>
          <w:bCs w:val="0"/>
        </w:rPr>
        <w:t xml:space="preserve">Exkurs: </w:t>
      </w:r>
      <w:r w:rsidRPr="00F06C27">
        <w:rPr>
          <w:rStyle w:val="Fett"/>
          <w:b w:val="0"/>
          <w:bCs w:val="0"/>
          <w:i w:val="0"/>
          <w:iCs w:val="0"/>
          <w:rtl/>
        </w:rPr>
        <w:t>עֲשָׂרָה</w:t>
      </w:r>
      <w:r w:rsidRPr="00F06C27">
        <w:rPr>
          <w:rStyle w:val="Fett"/>
          <w:b w:val="0"/>
          <w:bCs w:val="0"/>
          <w:rtl/>
        </w:rPr>
        <w:t xml:space="preserve"> </w:t>
      </w:r>
      <w:r w:rsidRPr="00F06C27">
        <w:rPr>
          <w:rStyle w:val="Fett"/>
          <w:b w:val="0"/>
          <w:bCs w:val="0"/>
          <w:i w:val="0"/>
          <w:iCs w:val="0"/>
          <w:rtl/>
        </w:rPr>
        <w:t>חֳמָרִים</w:t>
      </w:r>
      <w:r w:rsidRPr="00F06C27">
        <w:rPr>
          <w:rStyle w:val="Fett"/>
          <w:b w:val="0"/>
          <w:bCs w:val="0"/>
        </w:rPr>
        <w:t xml:space="preserve"> – Die unglaubliche Fülle</w:t>
      </w:r>
    </w:p>
    <w:p w14:paraId="1553B1D3" w14:textId="77777777" w:rsidR="00405AD0" w:rsidRDefault="00405AD0" w:rsidP="00405AD0">
      <w:pPr>
        <w:pStyle w:val="whitespace-normal"/>
      </w:pPr>
      <w:r>
        <w:rPr>
          <w:rStyle w:val="Fett"/>
        </w:rPr>
        <w:t>Mengenangabe:</w:t>
      </w:r>
    </w:p>
    <w:p w14:paraId="46D9A559" w14:textId="77777777" w:rsidR="00405AD0" w:rsidRDefault="00405AD0" w:rsidP="00077755">
      <w:pPr>
        <w:pStyle w:val="whitespace-normal"/>
        <w:numPr>
          <w:ilvl w:val="0"/>
          <w:numId w:val="91"/>
        </w:numPr>
      </w:pPr>
      <w:r>
        <w:rPr>
          <w:rStyle w:val="Fett"/>
        </w:rPr>
        <w:t xml:space="preserve">1 </w:t>
      </w:r>
      <w:r>
        <w:rPr>
          <w:rStyle w:val="Fett"/>
          <w:rtl/>
        </w:rPr>
        <w:t>חֹמֶר</w:t>
      </w:r>
      <w:r>
        <w:rPr>
          <w:rStyle w:val="Fett"/>
        </w:rPr>
        <w:t xml:space="preserve"> (Homer) = 10 </w:t>
      </w:r>
      <w:r>
        <w:rPr>
          <w:rStyle w:val="Fett"/>
          <w:rtl/>
        </w:rPr>
        <w:t>אֵיפָה</w:t>
      </w:r>
      <w:r>
        <w:rPr>
          <w:rStyle w:val="Fett"/>
        </w:rPr>
        <w:t xml:space="preserve"> (Epha) ≈ 220 Liter</w:t>
      </w:r>
    </w:p>
    <w:p w14:paraId="26A91BEE" w14:textId="5D409540" w:rsidR="00405AD0" w:rsidRDefault="00405AD0" w:rsidP="00077755">
      <w:pPr>
        <w:pStyle w:val="whitespace-normal"/>
        <w:numPr>
          <w:ilvl w:val="0"/>
          <w:numId w:val="91"/>
        </w:numPr>
      </w:pPr>
      <w:r>
        <w:rPr>
          <w:rStyle w:val="Fett"/>
        </w:rPr>
        <w:t xml:space="preserve">10 </w:t>
      </w:r>
      <w:r>
        <w:rPr>
          <w:rStyle w:val="Fett"/>
          <w:rtl/>
        </w:rPr>
        <w:t>חֳמָרִים</w:t>
      </w:r>
      <w:r>
        <w:rPr>
          <w:rStyle w:val="Fett"/>
        </w:rPr>
        <w:t xml:space="preserve"> (Homer) = 100 </w:t>
      </w:r>
      <w:r>
        <w:rPr>
          <w:rStyle w:val="Fett"/>
          <w:rtl/>
        </w:rPr>
        <w:t xml:space="preserve">אֵיפָה ≈ </w:t>
      </w:r>
      <w:r>
        <w:rPr>
          <w:rStyle w:val="Fett"/>
        </w:rPr>
        <w:t xml:space="preserve">(Epha) </w:t>
      </w:r>
      <w:r w:rsidR="00356D22">
        <w:rPr>
          <w:rStyle w:val="Fett"/>
        </w:rPr>
        <w:t xml:space="preserve">≈ </w:t>
      </w:r>
      <w:r>
        <w:rPr>
          <w:rStyle w:val="Fett"/>
          <w:rtl/>
        </w:rPr>
        <w:t>2.200</w:t>
      </w:r>
      <w:r>
        <w:rPr>
          <w:rStyle w:val="Fett"/>
        </w:rPr>
        <w:t xml:space="preserve"> Liter</w:t>
      </w:r>
    </w:p>
    <w:p w14:paraId="40A12FB6" w14:textId="77777777" w:rsidR="00405AD0" w:rsidRDefault="00405AD0" w:rsidP="00405AD0">
      <w:pPr>
        <w:pStyle w:val="whitespace-normal"/>
      </w:pPr>
      <w:r>
        <w:rPr>
          <w:rStyle w:val="Fett"/>
        </w:rPr>
        <w:t>Vergleich mit anderen biblischen Mengenangaben:</w:t>
      </w:r>
    </w:p>
    <w:tbl>
      <w:tblPr>
        <w:tblStyle w:val="Tabellenraster"/>
        <w:tblW w:w="4994" w:type="pct"/>
        <w:tblLook w:val="04A0" w:firstRow="1" w:lastRow="0" w:firstColumn="1" w:lastColumn="0" w:noHBand="0" w:noVBand="1"/>
      </w:tblPr>
      <w:tblGrid>
        <w:gridCol w:w="1414"/>
        <w:gridCol w:w="2409"/>
        <w:gridCol w:w="5228"/>
      </w:tblGrid>
      <w:tr w:rsidR="00356D22" w:rsidRPr="00356D22" w14:paraId="22988358" w14:textId="77777777" w:rsidTr="00356D22">
        <w:tc>
          <w:tcPr>
            <w:tcW w:w="781" w:type="pct"/>
            <w:hideMark/>
          </w:tcPr>
          <w:p w14:paraId="0BA26A1B" w14:textId="77777777" w:rsidR="00356D22" w:rsidRPr="00356D22" w:rsidRDefault="00356D22" w:rsidP="00356D22">
            <w:pPr>
              <w:spacing w:line="240" w:lineRule="auto"/>
              <w:rPr>
                <w:rFonts w:eastAsia="Times New Roman" w:cs="Times New Roman"/>
                <w:b/>
                <w:bCs/>
                <w:lang w:eastAsia="de-DE"/>
              </w:rPr>
            </w:pPr>
            <w:r w:rsidRPr="00356D22">
              <w:rPr>
                <w:rFonts w:eastAsia="Times New Roman" w:cs="Times New Roman"/>
                <w:b/>
                <w:bCs/>
                <w:lang w:eastAsia="de-DE"/>
              </w:rPr>
              <w:lastRenderedPageBreak/>
              <w:t>Stelle</w:t>
            </w:r>
          </w:p>
        </w:tc>
        <w:tc>
          <w:tcPr>
            <w:tcW w:w="1331" w:type="pct"/>
            <w:hideMark/>
          </w:tcPr>
          <w:p w14:paraId="70CD39A4" w14:textId="77777777" w:rsidR="00356D22" w:rsidRPr="00356D22" w:rsidRDefault="00356D22" w:rsidP="00356D22">
            <w:pPr>
              <w:spacing w:line="240" w:lineRule="auto"/>
              <w:rPr>
                <w:rFonts w:eastAsia="Times New Roman" w:cs="Times New Roman"/>
                <w:b/>
                <w:bCs/>
                <w:lang w:eastAsia="de-DE"/>
              </w:rPr>
            </w:pPr>
            <w:r w:rsidRPr="00356D22">
              <w:rPr>
                <w:rFonts w:eastAsia="Times New Roman" w:cs="Times New Roman"/>
                <w:b/>
                <w:bCs/>
                <w:lang w:eastAsia="de-DE"/>
              </w:rPr>
              <w:t>Menge</w:t>
            </w:r>
          </w:p>
        </w:tc>
        <w:tc>
          <w:tcPr>
            <w:tcW w:w="2888" w:type="pct"/>
            <w:hideMark/>
          </w:tcPr>
          <w:p w14:paraId="0C292C63" w14:textId="77777777" w:rsidR="00356D22" w:rsidRPr="00356D22" w:rsidRDefault="00356D22" w:rsidP="00356D22">
            <w:pPr>
              <w:spacing w:line="240" w:lineRule="auto"/>
              <w:rPr>
                <w:rFonts w:eastAsia="Times New Roman" w:cs="Times New Roman"/>
                <w:b/>
                <w:bCs/>
                <w:lang w:eastAsia="de-DE"/>
              </w:rPr>
            </w:pPr>
            <w:r w:rsidRPr="00356D22">
              <w:rPr>
                <w:rFonts w:eastAsia="Times New Roman" w:cs="Times New Roman"/>
                <w:b/>
                <w:bCs/>
                <w:lang w:eastAsia="de-DE"/>
              </w:rPr>
              <w:t>Kontext</w:t>
            </w:r>
          </w:p>
        </w:tc>
      </w:tr>
      <w:tr w:rsidR="00356D22" w:rsidRPr="00356D22" w14:paraId="019228A0" w14:textId="77777777" w:rsidTr="00356D22">
        <w:tc>
          <w:tcPr>
            <w:tcW w:w="781" w:type="pct"/>
            <w:hideMark/>
          </w:tcPr>
          <w:p w14:paraId="4FF39558"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b/>
                <w:bCs/>
                <w:lang w:eastAsia="de-DE"/>
              </w:rPr>
              <w:t>Num 11,32</w:t>
            </w:r>
          </w:p>
        </w:tc>
        <w:tc>
          <w:tcPr>
            <w:tcW w:w="1331" w:type="pct"/>
            <w:hideMark/>
          </w:tcPr>
          <w:p w14:paraId="4EB52AA8"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lang w:eastAsia="de-DE"/>
              </w:rPr>
              <w:t>10 Homer (2.200 L)</w:t>
            </w:r>
          </w:p>
        </w:tc>
        <w:tc>
          <w:tcPr>
            <w:tcW w:w="2888" w:type="pct"/>
            <w:hideMark/>
          </w:tcPr>
          <w:p w14:paraId="17325922"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b/>
                <w:bCs/>
                <w:lang w:eastAsia="de-DE"/>
              </w:rPr>
              <w:t>Minimum pro sammelnde Einheit</w:t>
            </w:r>
            <w:r w:rsidRPr="00356D22">
              <w:rPr>
                <w:rFonts w:eastAsia="Times New Roman" w:cs="Times New Roman"/>
                <w:lang w:eastAsia="de-DE"/>
              </w:rPr>
              <w:t xml:space="preserve"> (Person/Familie/Gruppe)</w:t>
            </w:r>
          </w:p>
        </w:tc>
      </w:tr>
      <w:tr w:rsidR="00356D22" w:rsidRPr="00356D22" w14:paraId="4B65B25D" w14:textId="77777777" w:rsidTr="00356D22">
        <w:tc>
          <w:tcPr>
            <w:tcW w:w="781" w:type="pct"/>
            <w:hideMark/>
          </w:tcPr>
          <w:p w14:paraId="5F2D293C"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b/>
                <w:bCs/>
                <w:lang w:eastAsia="de-DE"/>
              </w:rPr>
              <w:t>1 Kön 5,2</w:t>
            </w:r>
          </w:p>
        </w:tc>
        <w:tc>
          <w:tcPr>
            <w:tcW w:w="1331" w:type="pct"/>
            <w:hideMark/>
          </w:tcPr>
          <w:p w14:paraId="6293DBF5"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lang w:eastAsia="de-DE"/>
              </w:rPr>
              <w:t>30 Kor = 30 Homer (6.600 L)</w:t>
            </w:r>
          </w:p>
        </w:tc>
        <w:tc>
          <w:tcPr>
            <w:tcW w:w="2888" w:type="pct"/>
            <w:hideMark/>
          </w:tcPr>
          <w:p w14:paraId="5D6A204B"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b/>
                <w:bCs/>
                <w:lang w:eastAsia="de-DE"/>
              </w:rPr>
              <w:t>Tagesration</w:t>
            </w:r>
            <w:r w:rsidRPr="00356D22">
              <w:rPr>
                <w:rFonts w:eastAsia="Times New Roman" w:cs="Times New Roman"/>
                <w:lang w:eastAsia="de-DE"/>
              </w:rPr>
              <w:t xml:space="preserve"> für Salomos </w:t>
            </w:r>
            <w:r w:rsidRPr="00356D22">
              <w:rPr>
                <w:rFonts w:eastAsia="Times New Roman" w:cs="Times New Roman"/>
                <w:b/>
                <w:bCs/>
                <w:lang w:eastAsia="de-DE"/>
              </w:rPr>
              <w:t>gesamten Hof</w:t>
            </w:r>
            <w:r w:rsidRPr="00356D22">
              <w:rPr>
                <w:rFonts w:eastAsia="Times New Roman" w:cs="Times New Roman"/>
                <w:lang w:eastAsia="de-DE"/>
              </w:rPr>
              <w:t xml:space="preserve"> (Mehl)</w:t>
            </w:r>
          </w:p>
        </w:tc>
      </w:tr>
      <w:tr w:rsidR="00356D22" w:rsidRPr="00356D22" w14:paraId="7733A169" w14:textId="77777777" w:rsidTr="00356D22">
        <w:tc>
          <w:tcPr>
            <w:tcW w:w="781" w:type="pct"/>
            <w:hideMark/>
          </w:tcPr>
          <w:p w14:paraId="177880D0"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b/>
                <w:bCs/>
                <w:lang w:eastAsia="de-DE"/>
              </w:rPr>
              <w:t>Jes 5,10</w:t>
            </w:r>
          </w:p>
        </w:tc>
        <w:tc>
          <w:tcPr>
            <w:tcW w:w="1331" w:type="pct"/>
            <w:hideMark/>
          </w:tcPr>
          <w:p w14:paraId="63D8CF59" w14:textId="77777777" w:rsidR="00356D22" w:rsidRDefault="00356D22" w:rsidP="00356D22">
            <w:pPr>
              <w:spacing w:line="240" w:lineRule="auto"/>
              <w:rPr>
                <w:rFonts w:eastAsia="Times New Roman" w:cs="Times New Roman"/>
                <w:lang w:eastAsia="de-DE"/>
              </w:rPr>
            </w:pPr>
            <w:r w:rsidRPr="00356D22">
              <w:rPr>
                <w:rFonts w:eastAsia="Times New Roman" w:cs="Times New Roman"/>
                <w:lang w:eastAsia="de-DE"/>
              </w:rPr>
              <w:t xml:space="preserve">1 Homer Aussaat </w:t>
            </w:r>
          </w:p>
          <w:p w14:paraId="04F27C0A" w14:textId="638797D6" w:rsidR="00356D22" w:rsidRPr="00356D22" w:rsidRDefault="00356D22" w:rsidP="00356D22">
            <w:pPr>
              <w:spacing w:line="240" w:lineRule="auto"/>
              <w:rPr>
                <w:rFonts w:eastAsia="Times New Roman" w:cs="Times New Roman"/>
                <w:lang w:eastAsia="de-DE"/>
              </w:rPr>
            </w:pPr>
            <w:r w:rsidRPr="00356D22">
              <w:rPr>
                <w:rFonts w:eastAsia="Times New Roman" w:cs="Times New Roman"/>
                <w:lang w:eastAsia="de-DE"/>
              </w:rPr>
              <w:t>→ 1 Epha Ertrag</w:t>
            </w:r>
          </w:p>
        </w:tc>
        <w:tc>
          <w:tcPr>
            <w:tcW w:w="2888" w:type="pct"/>
            <w:hideMark/>
          </w:tcPr>
          <w:p w14:paraId="658D4241"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b/>
                <w:bCs/>
                <w:lang w:eastAsia="de-DE"/>
              </w:rPr>
              <w:t>Gericht:</w:t>
            </w:r>
            <w:r w:rsidRPr="00356D22">
              <w:rPr>
                <w:rFonts w:eastAsia="Times New Roman" w:cs="Times New Roman"/>
                <w:lang w:eastAsia="de-DE"/>
              </w:rPr>
              <w:t xml:space="preserve"> Missernte (10 Homer Aussaat → nur 1 Homer = 90% Verlust)</w:t>
            </w:r>
          </w:p>
        </w:tc>
      </w:tr>
      <w:tr w:rsidR="00356D22" w:rsidRPr="00356D22" w14:paraId="6B8D55E3" w14:textId="77777777" w:rsidTr="00356D22">
        <w:tc>
          <w:tcPr>
            <w:tcW w:w="781" w:type="pct"/>
            <w:hideMark/>
          </w:tcPr>
          <w:p w14:paraId="12C42545"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b/>
                <w:bCs/>
                <w:lang w:eastAsia="de-DE"/>
              </w:rPr>
              <w:t>Hos 3,2</w:t>
            </w:r>
          </w:p>
        </w:tc>
        <w:tc>
          <w:tcPr>
            <w:tcW w:w="1331" w:type="pct"/>
            <w:hideMark/>
          </w:tcPr>
          <w:p w14:paraId="09D67FBE"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lang w:eastAsia="de-DE"/>
              </w:rPr>
              <w:t>1,5 Homer Gerste (330 L)</w:t>
            </w:r>
          </w:p>
        </w:tc>
        <w:tc>
          <w:tcPr>
            <w:tcW w:w="2888" w:type="pct"/>
            <w:hideMark/>
          </w:tcPr>
          <w:p w14:paraId="04EF4DEE"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b/>
                <w:bCs/>
                <w:lang w:eastAsia="de-DE"/>
              </w:rPr>
              <w:t>Kaufpreis</w:t>
            </w:r>
            <w:r w:rsidRPr="00356D22">
              <w:rPr>
                <w:rFonts w:eastAsia="Times New Roman" w:cs="Times New Roman"/>
                <w:lang w:eastAsia="de-DE"/>
              </w:rPr>
              <w:t xml:space="preserve"> für eine Frau (+ 15 Silberschekel)</w:t>
            </w:r>
          </w:p>
        </w:tc>
      </w:tr>
      <w:tr w:rsidR="00356D22" w:rsidRPr="00356D22" w14:paraId="45E71178" w14:textId="77777777" w:rsidTr="00356D22">
        <w:tc>
          <w:tcPr>
            <w:tcW w:w="781" w:type="pct"/>
            <w:hideMark/>
          </w:tcPr>
          <w:p w14:paraId="2824C8AC"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b/>
                <w:bCs/>
                <w:lang w:eastAsia="de-DE"/>
              </w:rPr>
              <w:t>Ruth 2,17</w:t>
            </w:r>
          </w:p>
        </w:tc>
        <w:tc>
          <w:tcPr>
            <w:tcW w:w="1331" w:type="pct"/>
            <w:hideMark/>
          </w:tcPr>
          <w:p w14:paraId="263334D8"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lang w:eastAsia="de-DE"/>
              </w:rPr>
              <w:t>~1 Epha Gerste (22 L)</w:t>
            </w:r>
          </w:p>
        </w:tc>
        <w:tc>
          <w:tcPr>
            <w:tcW w:w="2888" w:type="pct"/>
            <w:hideMark/>
          </w:tcPr>
          <w:p w14:paraId="157F0B74" w14:textId="77777777" w:rsidR="00356D22" w:rsidRPr="00356D22" w:rsidRDefault="00356D22" w:rsidP="00356D22">
            <w:pPr>
              <w:spacing w:line="240" w:lineRule="auto"/>
              <w:rPr>
                <w:rFonts w:eastAsia="Times New Roman" w:cs="Times New Roman"/>
                <w:lang w:eastAsia="de-DE"/>
              </w:rPr>
            </w:pPr>
            <w:r w:rsidRPr="00356D22">
              <w:rPr>
                <w:rFonts w:eastAsia="Times New Roman" w:cs="Times New Roman"/>
                <w:lang w:eastAsia="de-DE"/>
              </w:rPr>
              <w:t xml:space="preserve">Ruth sammelt </w:t>
            </w:r>
            <w:r w:rsidRPr="00356D22">
              <w:rPr>
                <w:rFonts w:eastAsia="Times New Roman" w:cs="Times New Roman"/>
                <w:b/>
                <w:bCs/>
                <w:lang w:eastAsia="de-DE"/>
              </w:rPr>
              <w:t>an einem Tag</w:t>
            </w:r>
            <w:r w:rsidRPr="00356D22">
              <w:rPr>
                <w:rFonts w:eastAsia="Times New Roman" w:cs="Times New Roman"/>
                <w:lang w:eastAsia="de-DE"/>
              </w:rPr>
              <w:t xml:space="preserve"> beim Ährenlesen</w:t>
            </w:r>
          </w:p>
        </w:tc>
      </w:tr>
    </w:tbl>
    <w:p w14:paraId="11B7A048" w14:textId="77777777" w:rsidR="009732A8" w:rsidRDefault="009732A8" w:rsidP="009732A8">
      <w:pPr>
        <w:pStyle w:val="whitespace-normal"/>
      </w:pPr>
      <w:r>
        <w:rPr>
          <w:rStyle w:val="Fett"/>
        </w:rPr>
        <w:t>Interpretation der 10 Homer:</w:t>
      </w:r>
    </w:p>
    <w:p w14:paraId="4C8C9910" w14:textId="77777777" w:rsidR="009732A8" w:rsidRDefault="009732A8" w:rsidP="009732A8">
      <w:pPr>
        <w:pStyle w:val="whitespace-normal"/>
      </w:pPr>
      <w:r w:rsidRPr="00456A43">
        <w:rPr>
          <w:rStyle w:val="Fett"/>
          <w:color w:val="5B9BD5" w:themeColor="accent5"/>
        </w:rPr>
        <w:t>1. Wahrscheinlichste Deutung:</w:t>
      </w:r>
    </w:p>
    <w:p w14:paraId="48D8C969" w14:textId="77777777" w:rsidR="009732A8" w:rsidRDefault="009732A8" w:rsidP="00077755">
      <w:pPr>
        <w:pStyle w:val="whitespace-normal"/>
        <w:numPr>
          <w:ilvl w:val="0"/>
          <w:numId w:val="92"/>
        </w:numPr>
      </w:pPr>
      <w:r>
        <w:rPr>
          <w:rStyle w:val="Fett"/>
        </w:rPr>
        <w:t>Pro Familie/Haushalt:</w:t>
      </w:r>
      <w:r>
        <w:t xml:space="preserve"> 10 Homer = 2.200 Liter für eine Familie (5-7 Personen)</w:t>
      </w:r>
    </w:p>
    <w:p w14:paraId="3FB3AFBD" w14:textId="77777777" w:rsidR="009732A8" w:rsidRDefault="009732A8" w:rsidP="00077755">
      <w:pPr>
        <w:pStyle w:val="whitespace-normal"/>
        <w:numPr>
          <w:ilvl w:val="0"/>
          <w:numId w:val="92"/>
        </w:numPr>
      </w:pPr>
      <w:r>
        <w:t xml:space="preserve">→ Ca. </w:t>
      </w:r>
      <w:r>
        <w:rPr>
          <w:rStyle w:val="Fett"/>
        </w:rPr>
        <w:t>300-440 Liter pro Person</w:t>
      </w:r>
    </w:p>
    <w:p w14:paraId="6B69C365" w14:textId="77777777" w:rsidR="009732A8" w:rsidRDefault="009732A8" w:rsidP="00077755">
      <w:pPr>
        <w:pStyle w:val="whitespace-normal"/>
        <w:numPr>
          <w:ilvl w:val="0"/>
          <w:numId w:val="92"/>
        </w:numPr>
      </w:pPr>
      <w:r>
        <w:t xml:space="preserve">→ Ca. </w:t>
      </w:r>
      <w:r>
        <w:rPr>
          <w:rStyle w:val="Fett"/>
        </w:rPr>
        <w:t>110-194 Wachteln pro Person</w:t>
      </w:r>
    </w:p>
    <w:p w14:paraId="5BAF9CEF" w14:textId="326B679A" w:rsidR="009732A8" w:rsidRPr="009732A8" w:rsidRDefault="009732A8" w:rsidP="00077755">
      <w:pPr>
        <w:pStyle w:val="whitespace-normal"/>
        <w:numPr>
          <w:ilvl w:val="0"/>
          <w:numId w:val="92"/>
        </w:numPr>
        <w:rPr>
          <w:rStyle w:val="Fett"/>
          <w:b w:val="0"/>
          <w:bCs w:val="0"/>
        </w:rPr>
      </w:pPr>
      <w:r>
        <w:t xml:space="preserve">→ </w:t>
      </w:r>
      <w:r>
        <w:rPr>
          <w:rStyle w:val="Fett"/>
        </w:rPr>
        <w:t>3-6 Monate Versorgung</w:t>
      </w:r>
    </w:p>
    <w:p w14:paraId="1D6470B9" w14:textId="77777777" w:rsidR="009732A8" w:rsidRPr="00456A43" w:rsidRDefault="009732A8" w:rsidP="009732A8">
      <w:pPr>
        <w:pStyle w:val="whitespace-normal"/>
        <w:rPr>
          <w:color w:val="5B9BD5" w:themeColor="accent5"/>
        </w:rPr>
      </w:pPr>
      <w:r w:rsidRPr="00456A43">
        <w:rPr>
          <w:rStyle w:val="Fett"/>
          <w:color w:val="5B9BD5" w:themeColor="accent5"/>
        </w:rPr>
        <w:t>2. Drei Aspekte der Überfülle:</w:t>
      </w:r>
    </w:p>
    <w:p w14:paraId="31452A2C" w14:textId="758DD72E" w:rsidR="009732A8" w:rsidRDefault="009732A8" w:rsidP="00077755">
      <w:pPr>
        <w:pStyle w:val="KeinLeerraum"/>
        <w:numPr>
          <w:ilvl w:val="0"/>
          <w:numId w:val="94"/>
        </w:numPr>
      </w:pPr>
      <w:r>
        <w:rPr>
          <w:rStyle w:val="Fett"/>
        </w:rPr>
        <w:t>Zeitdauer (V. 32a):</w:t>
      </w:r>
    </w:p>
    <w:p w14:paraId="456F9FF8" w14:textId="77777777" w:rsidR="009732A8" w:rsidRDefault="009732A8" w:rsidP="009732A8">
      <w:pPr>
        <w:pStyle w:val="KeinLeerraum"/>
      </w:pPr>
      <w:r>
        <w:rPr>
          <w:rtl/>
        </w:rPr>
        <w:t>כָּל־הַיּוֹם הַהוּא וְכָל־הַלַּיְלָה וְכֹל יוֹם הַמָּחֳרָת</w:t>
      </w:r>
      <w:r>
        <w:br/>
        <w:t>"Jenen ganzen Tag und die ganze Nacht und den ganzen folgenden Tag"</w:t>
      </w:r>
    </w:p>
    <w:p w14:paraId="6658B998" w14:textId="00A06E00" w:rsidR="009732A8" w:rsidRDefault="009732A8" w:rsidP="009732A8">
      <w:pPr>
        <w:pStyle w:val="KeinLeerraum"/>
        <w:rPr>
          <w:rStyle w:val="Fett"/>
        </w:rPr>
      </w:pPr>
      <w:r>
        <w:rPr>
          <w:rStyle w:val="Fett"/>
        </w:rPr>
        <w:t>→ 36 Stunden ununterbrochenes Sammeln!</w:t>
      </w:r>
    </w:p>
    <w:p w14:paraId="25A8B338" w14:textId="77777777" w:rsidR="009732A8" w:rsidRDefault="009732A8" w:rsidP="009732A8">
      <w:pPr>
        <w:pStyle w:val="KeinLeerraum"/>
      </w:pPr>
    </w:p>
    <w:p w14:paraId="74D4E783" w14:textId="37212F97" w:rsidR="009732A8" w:rsidRDefault="009732A8" w:rsidP="00077755">
      <w:pPr>
        <w:pStyle w:val="KeinLeerraum"/>
        <w:numPr>
          <w:ilvl w:val="0"/>
          <w:numId w:val="94"/>
        </w:numPr>
      </w:pPr>
      <w:r>
        <w:rPr>
          <w:rStyle w:val="Fett"/>
        </w:rPr>
        <w:t>Minimalmenge (V. 32b):</w:t>
      </w:r>
    </w:p>
    <w:p w14:paraId="26C290FD" w14:textId="77777777" w:rsidR="009732A8" w:rsidRDefault="009732A8" w:rsidP="009732A8">
      <w:pPr>
        <w:pStyle w:val="KeinLeerraum"/>
      </w:pPr>
      <w:r>
        <w:rPr>
          <w:rtl/>
        </w:rPr>
        <w:t>הַמַּמְעִיט אָסַף עֲשָׂרָה חֳמָרִים</w:t>
      </w:r>
      <w:r>
        <w:br/>
        <w:t>"Der Wenigsammelnde sammelte zehn Homer"</w:t>
      </w:r>
    </w:p>
    <w:p w14:paraId="11411241" w14:textId="53F02E2E" w:rsidR="009732A8" w:rsidRDefault="009732A8" w:rsidP="009732A8">
      <w:pPr>
        <w:pStyle w:val="KeinLeerraum"/>
        <w:rPr>
          <w:rStyle w:val="Fett"/>
        </w:rPr>
      </w:pPr>
      <w:r>
        <w:rPr>
          <w:rStyle w:val="Fett"/>
        </w:rPr>
        <w:t>→ Selbst die kleinste Sammeleinheit hatte 2.200 Liter!</w:t>
      </w:r>
    </w:p>
    <w:p w14:paraId="402880F3" w14:textId="77777777" w:rsidR="009732A8" w:rsidRDefault="009732A8" w:rsidP="009732A8">
      <w:pPr>
        <w:pStyle w:val="KeinLeerraum"/>
      </w:pPr>
    </w:p>
    <w:p w14:paraId="08660103" w14:textId="681B62AD" w:rsidR="009732A8" w:rsidRDefault="009732A8" w:rsidP="00077755">
      <w:pPr>
        <w:pStyle w:val="KeinLeerraum"/>
        <w:numPr>
          <w:ilvl w:val="0"/>
          <w:numId w:val="94"/>
        </w:numPr>
      </w:pPr>
      <w:r>
        <w:rPr>
          <w:rStyle w:val="Fett"/>
        </w:rPr>
        <w:t>Verarbeitung (V. 32c):</w:t>
      </w:r>
    </w:p>
    <w:p w14:paraId="4C4188CF" w14:textId="77777777" w:rsidR="009732A8" w:rsidRDefault="009732A8" w:rsidP="009732A8">
      <w:pPr>
        <w:pStyle w:val="KeinLeerraum"/>
      </w:pPr>
      <w:r>
        <w:rPr>
          <w:rtl/>
        </w:rPr>
        <w:t>וַיִּשְׁטְחוּ לָהֶם שָׁטוֹחַ סְבִיבוֹת הַמַּחֲנֶה</w:t>
      </w:r>
      <w:r>
        <w:br/>
        <w:t>"Und sie breiteten sie sich rings um das Lager aus"</w:t>
      </w:r>
    </w:p>
    <w:p w14:paraId="7735B8EE" w14:textId="7C59A230" w:rsidR="009732A8" w:rsidRPr="00456A43" w:rsidRDefault="009732A8" w:rsidP="00456A43">
      <w:pPr>
        <w:pStyle w:val="KeinLeerraum"/>
        <w:rPr>
          <w:b/>
          <w:bCs/>
        </w:rPr>
      </w:pPr>
      <w:r>
        <w:rPr>
          <w:rStyle w:val="Fett"/>
        </w:rPr>
        <w:t>→ Massive Trocknung zur Konservierung (für Monate!)</w:t>
      </w:r>
    </w:p>
    <w:p w14:paraId="050AEAD8" w14:textId="3CF07E22" w:rsidR="009732A8" w:rsidRDefault="009732A8" w:rsidP="009732A8">
      <w:pPr>
        <w:pStyle w:val="whitespace-normal"/>
      </w:pPr>
      <w:r w:rsidRPr="00456A43">
        <w:rPr>
          <w:rStyle w:val="Fett"/>
          <w:color w:val="5B9BD5" w:themeColor="accent5"/>
        </w:rPr>
        <w:t>3. Theologische Bedeutung:</w:t>
      </w:r>
    </w:p>
    <w:p w14:paraId="0EE00363" w14:textId="77777777" w:rsidR="009732A8" w:rsidRDefault="009732A8" w:rsidP="00077755">
      <w:pPr>
        <w:pStyle w:val="whitespace-normal"/>
        <w:numPr>
          <w:ilvl w:val="0"/>
          <w:numId w:val="93"/>
        </w:numPr>
      </w:pPr>
      <w:r>
        <w:rPr>
          <w:rStyle w:val="Fett"/>
        </w:rPr>
        <w:t>Maßlose Gier:</w:t>
      </w:r>
      <w:r>
        <w:t xml:space="preserve"> Sie sammelten </w:t>
      </w:r>
      <w:r>
        <w:rPr>
          <w:rStyle w:val="Fett"/>
        </w:rPr>
        <w:t>weit mehr</w:t>
      </w:r>
      <w:r>
        <w:t xml:space="preserve"> als für "einen Monat" (V. 20) nötig</w:t>
      </w:r>
    </w:p>
    <w:p w14:paraId="42EEB92B" w14:textId="77777777" w:rsidR="009732A8" w:rsidRDefault="009732A8" w:rsidP="00077755">
      <w:pPr>
        <w:pStyle w:val="whitespace-normal"/>
        <w:numPr>
          <w:ilvl w:val="0"/>
          <w:numId w:val="93"/>
        </w:numPr>
      </w:pPr>
      <w:r>
        <w:rPr>
          <w:rStyle w:val="Fett"/>
        </w:rPr>
        <w:t>Göttliche Ironie:</w:t>
      </w:r>
      <w:r>
        <w:t xml:space="preserve"> Sie bekamen, was sie wollten – in </w:t>
      </w:r>
      <w:r>
        <w:rPr>
          <w:rStyle w:val="Fett"/>
        </w:rPr>
        <w:t>tödlichem Überfluss</w:t>
      </w:r>
    </w:p>
    <w:p w14:paraId="6C07E5C3" w14:textId="4208A962" w:rsidR="00405AD0" w:rsidRPr="009732A8" w:rsidRDefault="009732A8" w:rsidP="00077755">
      <w:pPr>
        <w:pStyle w:val="whitespace-normal"/>
        <w:numPr>
          <w:ilvl w:val="0"/>
          <w:numId w:val="93"/>
        </w:numPr>
      </w:pPr>
      <w:r>
        <w:rPr>
          <w:rStyle w:val="Fett"/>
        </w:rPr>
        <w:t>Konservierung als Misstrauen:</w:t>
      </w:r>
      <w:r>
        <w:t xml:space="preserve"> Das Ausbreiten zum Trocknen zeigt </w:t>
      </w:r>
      <w:r>
        <w:rPr>
          <w:rStyle w:val="Fett"/>
        </w:rPr>
        <w:t>Hortung</w:t>
      </w:r>
      <w:r>
        <w:t xml:space="preserve"> statt Vertrauen auf tägliche Versorgung (vgl. Manna-Regel: Ex 16,19-20)</w:t>
      </w:r>
    </w:p>
    <w:p w14:paraId="165DCE5F"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11,33</w:t>
      </w:r>
    </w:p>
    <w:p w14:paraId="27C2DFE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הַבָּשָׂ֗ר עוֹדֶ֨נּוּ֙ בֵּ֣ין שִׁנֵּיהֶ֔ם טֶ֖רֶם יִכָּרֵ֑ת וְאַ֤ף יְהוָה֙ חָרָ֣ה בָעָ֔ם וַיַּ֤ךְ יְהוָה֙ בָּעָ֔ם מַכָּ֖ה רַבָּ֥ה מְאֹֽד׃</w:t>
      </w:r>
    </w:p>
    <w:p w14:paraId="7A14DFD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Deutsch:</w:t>
      </w:r>
      <w:r w:rsidRPr="006E39D1">
        <w:rPr>
          <w:rFonts w:eastAsia="Times New Roman" w:cs="Times New Roman"/>
          <w:lang w:eastAsia="de-DE"/>
        </w:rPr>
        <w:t xml:space="preserve"> Das Fleisch war noch zwischen ihren Zähnen, es war noch nicht zerteilt, da entbrannte der Zorn des Ewigen gegen das Volk, und der Ewige schlug das Volk mit einer sehr großen Plage.</w:t>
      </w:r>
    </w:p>
    <w:p w14:paraId="0DDBE7B1"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79C02F35">
          <v:rect id="_x0000_i1412" style="width:0;height:1.5pt" o:hralign="center" o:hrstd="t" o:hr="t" fillcolor="#a0a0a0" stroked="f"/>
        </w:pict>
      </w:r>
    </w:p>
    <w:p w14:paraId="485427C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temporale Bestimmung </w:t>
      </w:r>
      <w:r w:rsidRPr="006E39D1">
        <w:rPr>
          <w:rFonts w:eastAsia="Times New Roman" w:cs="Times New Roman"/>
          <w:b/>
          <w:bCs/>
          <w:rtl/>
          <w:lang w:eastAsia="de-DE"/>
        </w:rPr>
        <w:t>הַבָּשָׂ֗ר עוֹדֶ֨נּוּ֙ בֵּ֣ין שִׁנֵּיהֶ֔ם טֶ֖רֶם יִכָּרֵ֑ת</w:t>
      </w:r>
      <w:r w:rsidRPr="006E39D1">
        <w:rPr>
          <w:rFonts w:eastAsia="Times New Roman" w:cs="Times New Roman"/>
          <w:rtl/>
          <w:lang w:eastAsia="de-DE"/>
        </w:rPr>
        <w:t xml:space="preserve"> </w:t>
      </w:r>
      <w:r w:rsidRPr="006E39D1">
        <w:rPr>
          <w:rFonts w:eastAsia="Times New Roman" w:cs="Times New Roman"/>
          <w:lang w:eastAsia="de-DE"/>
        </w:rPr>
        <w:t xml:space="preserve">(das Fleisch war noch zwischen ihren Zähnen, bevor es zerteilt war) mit </w:t>
      </w:r>
      <w:r w:rsidRPr="006E39D1">
        <w:rPr>
          <w:rFonts w:eastAsia="Times New Roman" w:cs="Times New Roman"/>
          <w:b/>
          <w:bCs/>
          <w:rtl/>
          <w:lang w:eastAsia="de-DE"/>
        </w:rPr>
        <w:t>עוֹדֶנּוּ</w:t>
      </w:r>
      <w:r w:rsidRPr="006E39D1">
        <w:rPr>
          <w:rFonts w:eastAsia="Times New Roman" w:cs="Times New Roman"/>
          <w:rtl/>
          <w:lang w:eastAsia="de-DE"/>
        </w:rPr>
        <w:t xml:space="preserve"> </w:t>
      </w:r>
      <w:r w:rsidRPr="006E39D1">
        <w:rPr>
          <w:rFonts w:eastAsia="Times New Roman" w:cs="Times New Roman"/>
          <w:lang w:eastAsia="de-DE"/>
        </w:rPr>
        <w:t xml:space="preserve">(noch war es), </w:t>
      </w:r>
      <w:r w:rsidRPr="006E39D1">
        <w:rPr>
          <w:rFonts w:eastAsia="Times New Roman" w:cs="Times New Roman"/>
          <w:b/>
          <w:bCs/>
          <w:rtl/>
          <w:lang w:eastAsia="de-DE"/>
        </w:rPr>
        <w:t>בֵּין שִׁנֵּיהֶם</w:t>
      </w:r>
      <w:r w:rsidRPr="006E39D1">
        <w:rPr>
          <w:rFonts w:eastAsia="Times New Roman" w:cs="Times New Roman"/>
          <w:rtl/>
          <w:lang w:eastAsia="de-DE"/>
        </w:rPr>
        <w:t xml:space="preserve"> </w:t>
      </w:r>
      <w:r w:rsidRPr="006E39D1">
        <w:rPr>
          <w:rFonts w:eastAsia="Times New Roman" w:cs="Times New Roman"/>
          <w:lang w:eastAsia="de-DE"/>
        </w:rPr>
        <w:t xml:space="preserve">(zwischen ihren Zähnen), </w:t>
      </w:r>
      <w:r w:rsidRPr="006E39D1">
        <w:rPr>
          <w:rFonts w:eastAsia="Times New Roman" w:cs="Times New Roman"/>
          <w:b/>
          <w:bCs/>
          <w:rtl/>
          <w:lang w:eastAsia="de-DE"/>
        </w:rPr>
        <w:t>טֶרֶם</w:t>
      </w:r>
      <w:r w:rsidRPr="006E39D1">
        <w:rPr>
          <w:rFonts w:eastAsia="Times New Roman" w:cs="Times New Roman"/>
          <w:rtl/>
          <w:lang w:eastAsia="de-DE"/>
        </w:rPr>
        <w:t xml:space="preserve"> </w:t>
      </w:r>
      <w:r w:rsidRPr="006E39D1">
        <w:rPr>
          <w:rFonts w:eastAsia="Times New Roman" w:cs="Times New Roman"/>
          <w:lang w:eastAsia="de-DE"/>
        </w:rPr>
        <w:t xml:space="preserve">(bevor) und </w:t>
      </w:r>
      <w:r w:rsidRPr="006E39D1">
        <w:rPr>
          <w:rFonts w:eastAsia="Times New Roman" w:cs="Times New Roman"/>
          <w:b/>
          <w:bCs/>
          <w:rtl/>
          <w:lang w:eastAsia="de-DE"/>
        </w:rPr>
        <w:t>יִכָּרֵת</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כרת</w:t>
      </w:r>
      <w:r w:rsidRPr="006E39D1">
        <w:rPr>
          <w:rFonts w:eastAsia="Times New Roman" w:cs="Times New Roman"/>
          <w:rtl/>
          <w:lang w:eastAsia="de-DE"/>
        </w:rPr>
        <w:t xml:space="preserve"> </w:t>
      </w:r>
      <w:r w:rsidRPr="006E39D1">
        <w:rPr>
          <w:rFonts w:eastAsia="Times New Roman" w:cs="Times New Roman"/>
          <w:lang w:eastAsia="de-DE"/>
        </w:rPr>
        <w:t>(abschneiden/zerteilen) im Niph'al zeigt die Unmittelbarkeit der göttlichen Strafe während des Essens.</w:t>
      </w:r>
    </w:p>
    <w:p w14:paraId="5F86B2C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göttliche Zornreaktion </w:t>
      </w:r>
      <w:r w:rsidRPr="006E39D1">
        <w:rPr>
          <w:rFonts w:eastAsia="Times New Roman" w:cs="Times New Roman"/>
          <w:b/>
          <w:bCs/>
          <w:rtl/>
          <w:lang w:eastAsia="de-DE"/>
        </w:rPr>
        <w:t>וְאַ֤ף יְהוָה֙ חָרָ֣ה בָעָ֔ם</w:t>
      </w:r>
      <w:r w:rsidRPr="006E39D1">
        <w:rPr>
          <w:rFonts w:eastAsia="Times New Roman" w:cs="Times New Roman"/>
          <w:rtl/>
          <w:lang w:eastAsia="de-DE"/>
        </w:rPr>
        <w:t xml:space="preserve"> </w:t>
      </w:r>
      <w:r w:rsidRPr="006E39D1">
        <w:rPr>
          <w:rFonts w:eastAsia="Times New Roman" w:cs="Times New Roman"/>
          <w:lang w:eastAsia="de-DE"/>
        </w:rPr>
        <w:t xml:space="preserve">(und der Zorn des Ewigen entbrannte gegen das Volk) mit </w:t>
      </w:r>
      <w:r w:rsidRPr="006E39D1">
        <w:rPr>
          <w:rFonts w:eastAsia="Times New Roman" w:cs="Times New Roman"/>
          <w:b/>
          <w:bCs/>
          <w:rtl/>
          <w:lang w:eastAsia="de-DE"/>
        </w:rPr>
        <w:t>אַף יְהוָה</w:t>
      </w:r>
      <w:r w:rsidRPr="006E39D1">
        <w:rPr>
          <w:rFonts w:eastAsia="Times New Roman" w:cs="Times New Roman"/>
          <w:rtl/>
          <w:lang w:eastAsia="de-DE"/>
        </w:rPr>
        <w:t xml:space="preserve"> </w:t>
      </w:r>
      <w:r w:rsidRPr="006E39D1">
        <w:rPr>
          <w:rFonts w:eastAsia="Times New Roman" w:cs="Times New Roman"/>
          <w:lang w:eastAsia="de-DE"/>
        </w:rPr>
        <w:t xml:space="preserve">(Zorn des Ewigen), </w:t>
      </w:r>
      <w:r w:rsidRPr="006E39D1">
        <w:rPr>
          <w:rFonts w:eastAsia="Times New Roman" w:cs="Times New Roman"/>
          <w:b/>
          <w:bCs/>
          <w:rtl/>
          <w:lang w:eastAsia="de-DE"/>
        </w:rPr>
        <w:t>חָרָה</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חרה</w:t>
      </w:r>
      <w:r w:rsidRPr="006E39D1">
        <w:rPr>
          <w:rFonts w:eastAsia="Times New Roman" w:cs="Times New Roman"/>
          <w:rtl/>
          <w:lang w:eastAsia="de-DE"/>
        </w:rPr>
        <w:t xml:space="preserve"> </w:t>
      </w:r>
      <w:r w:rsidRPr="006E39D1">
        <w:rPr>
          <w:rFonts w:eastAsia="Times New Roman" w:cs="Times New Roman"/>
          <w:lang w:eastAsia="de-DE"/>
        </w:rPr>
        <w:t xml:space="preserve">(brennen/entbrennen) und </w:t>
      </w:r>
      <w:r w:rsidRPr="006E39D1">
        <w:rPr>
          <w:rFonts w:eastAsia="Times New Roman" w:cs="Times New Roman"/>
          <w:b/>
          <w:bCs/>
          <w:rtl/>
          <w:lang w:eastAsia="de-DE"/>
        </w:rPr>
        <w:t>בָעָם</w:t>
      </w:r>
      <w:r w:rsidRPr="006E39D1">
        <w:rPr>
          <w:rFonts w:eastAsia="Times New Roman" w:cs="Times New Roman"/>
          <w:rtl/>
          <w:lang w:eastAsia="de-DE"/>
        </w:rPr>
        <w:t xml:space="preserve"> </w:t>
      </w:r>
      <w:r w:rsidRPr="006E39D1">
        <w:rPr>
          <w:rFonts w:eastAsia="Times New Roman" w:cs="Times New Roman"/>
          <w:lang w:eastAsia="de-DE"/>
        </w:rPr>
        <w:t>(gegen das Volk) zeigt die göttliche Reaktion auf die fleischliche Gier.</w:t>
      </w:r>
    </w:p>
    <w:p w14:paraId="4D85E3B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Das Strafgericht </w:t>
      </w:r>
      <w:r w:rsidRPr="006E39D1">
        <w:rPr>
          <w:rFonts w:eastAsia="Times New Roman" w:cs="Times New Roman"/>
          <w:b/>
          <w:bCs/>
          <w:rtl/>
          <w:lang w:eastAsia="de-DE"/>
        </w:rPr>
        <w:t>וַיַּ֤ךְ יְהוָה֙ בָּעָ֔ם מַכָּ֖ה רַבָּ֥ה מְאֹֽד</w:t>
      </w:r>
      <w:r w:rsidRPr="006E39D1">
        <w:rPr>
          <w:rFonts w:eastAsia="Times New Roman" w:cs="Times New Roman"/>
          <w:rtl/>
          <w:lang w:eastAsia="de-DE"/>
        </w:rPr>
        <w:t xml:space="preserve"> </w:t>
      </w:r>
      <w:r w:rsidRPr="006E39D1">
        <w:rPr>
          <w:rFonts w:eastAsia="Times New Roman" w:cs="Times New Roman"/>
          <w:lang w:eastAsia="de-DE"/>
        </w:rPr>
        <w:t xml:space="preserve">(und der Ewige schlug das Volk mit einer sehr großen Plage) mit </w:t>
      </w:r>
      <w:r w:rsidRPr="006E39D1">
        <w:rPr>
          <w:rFonts w:eastAsia="Times New Roman" w:cs="Times New Roman"/>
          <w:b/>
          <w:bCs/>
          <w:rtl/>
          <w:lang w:eastAsia="de-DE"/>
        </w:rPr>
        <w:t>יַּךְ</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נכה</w:t>
      </w:r>
      <w:r w:rsidRPr="006E39D1">
        <w:rPr>
          <w:rFonts w:eastAsia="Times New Roman" w:cs="Times New Roman"/>
          <w:rtl/>
          <w:lang w:eastAsia="de-DE"/>
        </w:rPr>
        <w:t xml:space="preserve"> </w:t>
      </w:r>
      <w:r w:rsidRPr="006E39D1">
        <w:rPr>
          <w:rFonts w:eastAsia="Times New Roman" w:cs="Times New Roman"/>
          <w:lang w:eastAsia="de-DE"/>
        </w:rPr>
        <w:t xml:space="preserve">(schlagen), </w:t>
      </w:r>
      <w:r w:rsidRPr="006E39D1">
        <w:rPr>
          <w:rFonts w:eastAsia="Times New Roman" w:cs="Times New Roman"/>
          <w:b/>
          <w:bCs/>
          <w:rtl/>
          <w:lang w:eastAsia="de-DE"/>
        </w:rPr>
        <w:t>מַכָּה</w:t>
      </w:r>
      <w:r w:rsidRPr="006E39D1">
        <w:rPr>
          <w:rFonts w:eastAsia="Times New Roman" w:cs="Times New Roman"/>
          <w:rtl/>
          <w:lang w:eastAsia="de-DE"/>
        </w:rPr>
        <w:t xml:space="preserve"> </w:t>
      </w:r>
      <w:r w:rsidRPr="006E39D1">
        <w:rPr>
          <w:rFonts w:eastAsia="Times New Roman" w:cs="Times New Roman"/>
          <w:lang w:eastAsia="de-DE"/>
        </w:rPr>
        <w:t xml:space="preserve">(Plage/Schlag) und der Verstärkung </w:t>
      </w:r>
      <w:r w:rsidRPr="006E39D1">
        <w:rPr>
          <w:rFonts w:eastAsia="Times New Roman" w:cs="Times New Roman"/>
          <w:b/>
          <w:bCs/>
          <w:rtl/>
          <w:lang w:eastAsia="de-DE"/>
        </w:rPr>
        <w:t>רַבָּה מְאֹד</w:t>
      </w:r>
      <w:r w:rsidRPr="006E39D1">
        <w:rPr>
          <w:rFonts w:eastAsia="Times New Roman" w:cs="Times New Roman"/>
          <w:rtl/>
          <w:lang w:eastAsia="de-DE"/>
        </w:rPr>
        <w:t xml:space="preserve"> </w:t>
      </w:r>
      <w:r w:rsidRPr="006E39D1">
        <w:rPr>
          <w:rFonts w:eastAsia="Times New Roman" w:cs="Times New Roman"/>
          <w:lang w:eastAsia="de-DE"/>
        </w:rPr>
        <w:t>(sehr große) zeigt das schwere göttliche Strafgericht.</w:t>
      </w:r>
    </w:p>
    <w:p w14:paraId="247EF39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עוֹדֶנּוּ</w:t>
      </w:r>
      <w:r w:rsidRPr="006E39D1">
        <w:rPr>
          <w:rFonts w:eastAsia="Times New Roman" w:cs="Times New Roman"/>
          <w:rtl/>
          <w:lang w:eastAsia="de-DE"/>
        </w:rPr>
        <w:t xml:space="preserve"> </w:t>
      </w:r>
      <w:r w:rsidRPr="006E39D1">
        <w:rPr>
          <w:rFonts w:eastAsia="Times New Roman" w:cs="Times New Roman"/>
          <w:lang w:eastAsia="de-DE"/>
        </w:rPr>
        <w:t xml:space="preserve">mit ἔτι ὄντος (noch seiend), </w:t>
      </w:r>
      <w:r w:rsidRPr="006E39D1">
        <w:rPr>
          <w:rFonts w:eastAsia="Times New Roman" w:cs="Times New Roman"/>
          <w:b/>
          <w:bCs/>
          <w:rtl/>
          <w:lang w:eastAsia="de-DE"/>
        </w:rPr>
        <w:t>בֵּין שִׁנֵּיהֶם</w:t>
      </w:r>
      <w:r w:rsidRPr="006E39D1">
        <w:rPr>
          <w:rFonts w:eastAsia="Times New Roman" w:cs="Times New Roman"/>
          <w:rtl/>
          <w:lang w:eastAsia="de-DE"/>
        </w:rPr>
        <w:t xml:space="preserve"> </w:t>
      </w:r>
      <w:r w:rsidRPr="006E39D1">
        <w:rPr>
          <w:rFonts w:eastAsia="Times New Roman" w:cs="Times New Roman"/>
          <w:lang w:eastAsia="de-DE"/>
        </w:rPr>
        <w:t xml:space="preserve">mit ἀνὰ μέσον τῶν ὀδόντων αὐτῶν (zwischen ihren Zähnen), </w:t>
      </w:r>
      <w:r w:rsidRPr="006E39D1">
        <w:rPr>
          <w:rFonts w:eastAsia="Times New Roman" w:cs="Times New Roman"/>
          <w:b/>
          <w:bCs/>
          <w:rtl/>
          <w:lang w:eastAsia="de-DE"/>
        </w:rPr>
        <w:t>חָרָה</w:t>
      </w:r>
      <w:r w:rsidRPr="006E39D1">
        <w:rPr>
          <w:rFonts w:eastAsia="Times New Roman" w:cs="Times New Roman"/>
          <w:rtl/>
          <w:lang w:eastAsia="de-DE"/>
        </w:rPr>
        <w:t xml:space="preserve"> </w:t>
      </w:r>
      <w:r w:rsidRPr="006E39D1">
        <w:rPr>
          <w:rFonts w:eastAsia="Times New Roman" w:cs="Times New Roman"/>
          <w:lang w:eastAsia="de-DE"/>
        </w:rPr>
        <w:t xml:space="preserve">mit ὠργίσθη (er zürnte) und </w:t>
      </w:r>
      <w:r w:rsidRPr="006E39D1">
        <w:rPr>
          <w:rFonts w:eastAsia="Times New Roman" w:cs="Times New Roman"/>
          <w:b/>
          <w:bCs/>
          <w:rtl/>
          <w:lang w:eastAsia="de-DE"/>
        </w:rPr>
        <w:t>מַכָּה רַבָּה מְאֹד</w:t>
      </w:r>
      <w:r w:rsidRPr="006E39D1">
        <w:rPr>
          <w:rFonts w:eastAsia="Times New Roman" w:cs="Times New Roman"/>
          <w:rtl/>
          <w:lang w:eastAsia="de-DE"/>
        </w:rPr>
        <w:t xml:space="preserve"> </w:t>
      </w:r>
      <w:r w:rsidRPr="006E39D1">
        <w:rPr>
          <w:rFonts w:eastAsia="Times New Roman" w:cs="Times New Roman"/>
          <w:lang w:eastAsia="de-DE"/>
        </w:rPr>
        <w:t>mit πληγὴν μεγάλην σφόδρα (eine sehr große Plage).</w:t>
      </w:r>
    </w:p>
    <w:p w14:paraId="35540CE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temporale Unmittelbarkeit, göttliche Zornreaktion und schweres Strafgericht.</w:t>
      </w:r>
    </w:p>
    <w:p w14:paraId="7480997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die dramatische Ironie: das erhoffte Fleisch wird zum Instrument göttlicher Strafe für die Undankbarkeit und Rebellion.</w:t>
      </w:r>
    </w:p>
    <w:p w14:paraId="048D55DD"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11,34</w:t>
      </w:r>
    </w:p>
    <w:p w14:paraId="3D239FB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וַיִּקְרָ֛א אֶת־שֵֽׁם־הַמָּק֥וֹם הַה֖וּא קִבְר֣וֹת הַֽתַּאֲוָ֑ה כִּי־שָׁם֙ קָֽבְר֔וּ אֶת־הָעָ֖ם הַמִּתְאַוִּֽים׃</w:t>
      </w:r>
    </w:p>
    <w:p w14:paraId="1AB3955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man nannte den Namen jenes Ortes Kivrot-Hata'awa, weil man dort das lüsterne Volk begrub.</w:t>
      </w:r>
    </w:p>
    <w:p w14:paraId="7675CEBF"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5CDFF4F2">
          <v:rect id="_x0000_i1413" style="width:0;height:1.5pt" o:hralign="center" o:hrstd="t" o:hr="t" fillcolor="#a0a0a0" stroked="f"/>
        </w:pict>
      </w:r>
    </w:p>
    <w:p w14:paraId="20897DE9" w14:textId="4CFDF4F0"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וַיִּקְרָ֛א אֶת־שֵֽׁם־הַמָּק֥וֹם הַה֖וּא קִבְר֣וֹת הַֽתַּאֲוָ֑ה</w:t>
      </w:r>
      <w:r w:rsidRPr="006E39D1">
        <w:rPr>
          <w:rFonts w:eastAsia="Times New Roman" w:cs="Times New Roman"/>
          <w:rtl/>
          <w:lang w:eastAsia="de-DE"/>
        </w:rPr>
        <w:t xml:space="preserve"> </w:t>
      </w:r>
      <w:r w:rsidRPr="006E39D1">
        <w:rPr>
          <w:rFonts w:eastAsia="Times New Roman" w:cs="Times New Roman"/>
          <w:lang w:eastAsia="de-DE"/>
        </w:rPr>
        <w:t xml:space="preserve">(und man nannte den Namen jenes Ortes Kivrot-Hata'awa) mit </w:t>
      </w:r>
      <w:r w:rsidRPr="006E39D1">
        <w:rPr>
          <w:rFonts w:eastAsia="Times New Roman" w:cs="Times New Roman"/>
          <w:b/>
          <w:bCs/>
          <w:rtl/>
          <w:lang w:eastAsia="de-DE"/>
        </w:rPr>
        <w:t>יִּקְרָא</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קרא</w:t>
      </w:r>
      <w:r w:rsidRPr="006E39D1">
        <w:rPr>
          <w:rFonts w:eastAsia="Times New Roman" w:cs="Times New Roman"/>
          <w:rtl/>
          <w:lang w:eastAsia="de-DE"/>
        </w:rPr>
        <w:t xml:space="preserve"> </w:t>
      </w:r>
      <w:r w:rsidRPr="006E39D1">
        <w:rPr>
          <w:rFonts w:eastAsia="Times New Roman" w:cs="Times New Roman"/>
          <w:lang w:eastAsia="de-DE"/>
        </w:rPr>
        <w:t xml:space="preserve">(rufen/nennen) in unpersönlicher </w:t>
      </w:r>
      <w:r w:rsidR="00F133EC">
        <w:rPr>
          <w:rFonts w:eastAsia="Times New Roman" w:cs="Times New Roman"/>
          <w:lang w:eastAsia="de-DE"/>
        </w:rPr>
        <w:t>Construct</w:t>
      </w:r>
      <w:r w:rsidRPr="006E39D1">
        <w:rPr>
          <w:rFonts w:eastAsia="Times New Roman" w:cs="Times New Roman"/>
          <w:lang w:eastAsia="de-DE"/>
        </w:rPr>
        <w:t xml:space="preserve">ion zeigt die etiologische Ortsnamensgebung. </w:t>
      </w:r>
      <w:r w:rsidRPr="006E39D1">
        <w:rPr>
          <w:rFonts w:eastAsia="Times New Roman" w:cs="Times New Roman"/>
          <w:b/>
          <w:bCs/>
          <w:rtl/>
          <w:lang w:eastAsia="de-DE"/>
        </w:rPr>
        <w:t>קִבְרוֹת הַתַּאֲוָה</w:t>
      </w:r>
      <w:r w:rsidRPr="006E39D1">
        <w:rPr>
          <w:rFonts w:eastAsia="Times New Roman" w:cs="Times New Roman"/>
          <w:rtl/>
          <w:lang w:eastAsia="de-DE"/>
        </w:rPr>
        <w:t xml:space="preserve"> </w:t>
      </w:r>
      <w:r w:rsidRPr="006E39D1">
        <w:rPr>
          <w:rFonts w:eastAsia="Times New Roman" w:cs="Times New Roman"/>
          <w:lang w:eastAsia="de-DE"/>
        </w:rPr>
        <w:t xml:space="preserve">(Gräber der Begierde) ist eine </w:t>
      </w:r>
      <w:r w:rsidR="00F133EC">
        <w:rPr>
          <w:rFonts w:eastAsia="Times New Roman" w:cs="Times New Roman"/>
          <w:lang w:eastAsia="de-DE"/>
        </w:rPr>
        <w:t>Construct</w:t>
      </w:r>
      <w:r w:rsidRPr="006E39D1">
        <w:rPr>
          <w:rFonts w:eastAsia="Times New Roman" w:cs="Times New Roman"/>
          <w:lang w:eastAsia="de-DE"/>
        </w:rPr>
        <w:t xml:space="preserve">verbindung von </w:t>
      </w:r>
      <w:r w:rsidRPr="006E39D1">
        <w:rPr>
          <w:rFonts w:eastAsia="Times New Roman" w:cs="Times New Roman"/>
          <w:b/>
          <w:bCs/>
          <w:rtl/>
          <w:lang w:eastAsia="de-DE"/>
        </w:rPr>
        <w:t>קְבָרוֹת</w:t>
      </w:r>
      <w:r w:rsidRPr="006E39D1">
        <w:rPr>
          <w:rFonts w:eastAsia="Times New Roman" w:cs="Times New Roman"/>
          <w:rtl/>
          <w:lang w:eastAsia="de-DE"/>
        </w:rPr>
        <w:t xml:space="preserve"> </w:t>
      </w:r>
      <w:r w:rsidRPr="006E39D1">
        <w:rPr>
          <w:rFonts w:eastAsia="Times New Roman" w:cs="Times New Roman"/>
          <w:lang w:eastAsia="de-DE"/>
        </w:rPr>
        <w:t xml:space="preserve">(Gräber) Plural von </w:t>
      </w:r>
      <w:r w:rsidRPr="006E39D1">
        <w:rPr>
          <w:rFonts w:eastAsia="Times New Roman" w:cs="Times New Roman"/>
          <w:b/>
          <w:bCs/>
          <w:rtl/>
          <w:lang w:eastAsia="de-DE"/>
        </w:rPr>
        <w:t>קֶבֶר</w:t>
      </w:r>
      <w:r w:rsidRPr="006E39D1">
        <w:rPr>
          <w:rFonts w:eastAsia="Times New Roman" w:cs="Times New Roman"/>
          <w:rtl/>
          <w:lang w:eastAsia="de-DE"/>
        </w:rPr>
        <w:t xml:space="preserve"> </w:t>
      </w:r>
      <w:r w:rsidRPr="006E39D1">
        <w:rPr>
          <w:rFonts w:eastAsia="Times New Roman" w:cs="Times New Roman"/>
          <w:lang w:eastAsia="de-DE"/>
        </w:rPr>
        <w:t xml:space="preserve">und </w:t>
      </w:r>
      <w:r w:rsidRPr="006E39D1">
        <w:rPr>
          <w:rFonts w:eastAsia="Times New Roman" w:cs="Times New Roman"/>
          <w:b/>
          <w:bCs/>
          <w:rtl/>
          <w:lang w:eastAsia="de-DE"/>
        </w:rPr>
        <w:t>תַּאֲוָה</w:t>
      </w:r>
      <w:r w:rsidRPr="006E39D1">
        <w:rPr>
          <w:rFonts w:eastAsia="Times New Roman" w:cs="Times New Roman"/>
          <w:rtl/>
          <w:lang w:eastAsia="de-DE"/>
        </w:rPr>
        <w:t xml:space="preserve"> </w:t>
      </w:r>
      <w:r w:rsidRPr="006E39D1">
        <w:rPr>
          <w:rFonts w:eastAsia="Times New Roman" w:cs="Times New Roman"/>
          <w:lang w:eastAsia="de-DE"/>
        </w:rPr>
        <w:t>(Begierde/Lust).</w:t>
      </w:r>
    </w:p>
    <w:p w14:paraId="55B0055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kausale Erklärung </w:t>
      </w:r>
      <w:r w:rsidRPr="006E39D1">
        <w:rPr>
          <w:rFonts w:eastAsia="Times New Roman" w:cs="Times New Roman"/>
          <w:b/>
          <w:bCs/>
          <w:rtl/>
          <w:lang w:eastAsia="de-DE"/>
        </w:rPr>
        <w:t>כִּי־שָׁם֙ קָֽבְר֔וּ אֶת־הָעָ֖ם הַמִּתְאַוִּֽים</w:t>
      </w:r>
      <w:r w:rsidRPr="006E39D1">
        <w:rPr>
          <w:rFonts w:eastAsia="Times New Roman" w:cs="Times New Roman"/>
          <w:rtl/>
          <w:lang w:eastAsia="de-DE"/>
        </w:rPr>
        <w:t xml:space="preserve"> </w:t>
      </w:r>
      <w:r w:rsidRPr="006E39D1">
        <w:rPr>
          <w:rFonts w:eastAsia="Times New Roman" w:cs="Times New Roman"/>
          <w:lang w:eastAsia="de-DE"/>
        </w:rPr>
        <w:t xml:space="preserve">(denn dort begruben sie das lüsterne Volk) mit </w:t>
      </w:r>
      <w:r w:rsidRPr="006E39D1">
        <w:rPr>
          <w:rFonts w:eastAsia="Times New Roman" w:cs="Times New Roman"/>
          <w:b/>
          <w:bCs/>
          <w:rtl/>
          <w:lang w:eastAsia="de-DE"/>
        </w:rPr>
        <w:t>שָׁם</w:t>
      </w:r>
      <w:r w:rsidRPr="006E39D1">
        <w:rPr>
          <w:rFonts w:eastAsia="Times New Roman" w:cs="Times New Roman"/>
          <w:rtl/>
          <w:lang w:eastAsia="de-DE"/>
        </w:rPr>
        <w:t xml:space="preserve"> </w:t>
      </w:r>
      <w:r w:rsidRPr="006E39D1">
        <w:rPr>
          <w:rFonts w:eastAsia="Times New Roman" w:cs="Times New Roman"/>
          <w:lang w:eastAsia="de-DE"/>
        </w:rPr>
        <w:t xml:space="preserve">(dort), </w:t>
      </w:r>
      <w:r w:rsidRPr="006E39D1">
        <w:rPr>
          <w:rFonts w:eastAsia="Times New Roman" w:cs="Times New Roman"/>
          <w:b/>
          <w:bCs/>
          <w:rtl/>
          <w:lang w:eastAsia="de-DE"/>
        </w:rPr>
        <w:t>קָבְרוּ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קבר</w:t>
      </w:r>
      <w:r w:rsidRPr="006E39D1">
        <w:rPr>
          <w:rFonts w:eastAsia="Times New Roman" w:cs="Times New Roman"/>
          <w:rtl/>
          <w:lang w:eastAsia="de-DE"/>
        </w:rPr>
        <w:t xml:space="preserve"> </w:t>
      </w:r>
      <w:r w:rsidRPr="006E39D1">
        <w:rPr>
          <w:rFonts w:eastAsia="Times New Roman" w:cs="Times New Roman"/>
          <w:lang w:eastAsia="de-DE"/>
        </w:rPr>
        <w:t xml:space="preserve">(begraben) und </w:t>
      </w:r>
      <w:r w:rsidRPr="006E39D1">
        <w:rPr>
          <w:rFonts w:eastAsia="Times New Roman" w:cs="Times New Roman"/>
          <w:b/>
          <w:bCs/>
          <w:rtl/>
          <w:lang w:eastAsia="de-DE"/>
        </w:rPr>
        <w:t>הָעָם הַמִּתְאַוִּים</w:t>
      </w:r>
      <w:r w:rsidRPr="006E39D1">
        <w:rPr>
          <w:rFonts w:eastAsia="Times New Roman" w:cs="Times New Roman"/>
          <w:rtl/>
          <w:lang w:eastAsia="de-DE"/>
        </w:rPr>
        <w:t xml:space="preserve"> </w:t>
      </w:r>
      <w:r w:rsidRPr="006E39D1">
        <w:rPr>
          <w:rFonts w:eastAsia="Times New Roman" w:cs="Times New Roman"/>
          <w:lang w:eastAsia="de-DE"/>
        </w:rPr>
        <w:t xml:space="preserve">(das lüsterne Volk) mit </w:t>
      </w:r>
      <w:r w:rsidRPr="006E39D1">
        <w:rPr>
          <w:rFonts w:eastAsia="Times New Roman" w:cs="Times New Roman"/>
          <w:b/>
          <w:bCs/>
          <w:rtl/>
          <w:lang w:eastAsia="de-DE"/>
        </w:rPr>
        <w:t>מִתְאַוִּים</w:t>
      </w:r>
      <w:r w:rsidRPr="006E39D1">
        <w:rPr>
          <w:rFonts w:eastAsia="Times New Roman" w:cs="Times New Roman"/>
          <w:rtl/>
          <w:lang w:eastAsia="de-DE"/>
        </w:rPr>
        <w:t xml:space="preserve"> </w:t>
      </w:r>
      <w:r w:rsidRPr="006E39D1">
        <w:rPr>
          <w:rFonts w:eastAsia="Times New Roman" w:cs="Times New Roman"/>
          <w:lang w:eastAsia="de-DE"/>
        </w:rPr>
        <w:t xml:space="preserve">als Hitp'ael-Partizip Plural von </w:t>
      </w:r>
      <w:r w:rsidRPr="006E39D1">
        <w:rPr>
          <w:rFonts w:eastAsia="Times New Roman" w:cs="Times New Roman"/>
          <w:b/>
          <w:bCs/>
          <w:rtl/>
          <w:lang w:eastAsia="de-DE"/>
        </w:rPr>
        <w:t>אוה</w:t>
      </w:r>
      <w:r w:rsidRPr="006E39D1">
        <w:rPr>
          <w:rFonts w:eastAsia="Times New Roman" w:cs="Times New Roman"/>
          <w:rtl/>
          <w:lang w:eastAsia="de-DE"/>
        </w:rPr>
        <w:t xml:space="preserve"> </w:t>
      </w:r>
      <w:r w:rsidRPr="006E39D1">
        <w:rPr>
          <w:rFonts w:eastAsia="Times New Roman" w:cs="Times New Roman"/>
          <w:lang w:eastAsia="de-DE"/>
        </w:rPr>
        <w:t>(begehren) erklärt den Ortsnamen durch das tragische Ereignis.</w:t>
      </w:r>
    </w:p>
    <w:p w14:paraId="5CC9050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Die LXX</w:t>
      </w:r>
      <w:r w:rsidRPr="006E39D1">
        <w:rPr>
          <w:rFonts w:eastAsia="Times New Roman" w:cs="Times New Roman"/>
          <w:lang w:eastAsia="de-DE"/>
        </w:rPr>
        <w:t xml:space="preserve"> übersetzt </w:t>
      </w:r>
      <w:r w:rsidRPr="006E39D1">
        <w:rPr>
          <w:rFonts w:eastAsia="Times New Roman" w:cs="Times New Roman"/>
          <w:b/>
          <w:bCs/>
          <w:rtl/>
          <w:lang w:eastAsia="de-DE"/>
        </w:rPr>
        <w:t>קִבְרוֹת הַתַּאֲוָה</w:t>
      </w:r>
      <w:r w:rsidRPr="006E39D1">
        <w:rPr>
          <w:rFonts w:eastAsia="Times New Roman" w:cs="Times New Roman"/>
          <w:rtl/>
          <w:lang w:eastAsia="de-DE"/>
        </w:rPr>
        <w:t xml:space="preserve"> </w:t>
      </w:r>
      <w:r w:rsidRPr="006E39D1">
        <w:rPr>
          <w:rFonts w:eastAsia="Times New Roman" w:cs="Times New Roman"/>
          <w:lang w:eastAsia="de-DE"/>
        </w:rPr>
        <w:t xml:space="preserve">mit Μνήματα τῆς Ἐπιθυμίας (Gräber der Begierde) und </w:t>
      </w:r>
      <w:r w:rsidRPr="006E39D1">
        <w:rPr>
          <w:rFonts w:eastAsia="Times New Roman" w:cs="Times New Roman"/>
          <w:b/>
          <w:bCs/>
          <w:rtl/>
          <w:lang w:eastAsia="de-DE"/>
        </w:rPr>
        <w:t>הַמִּתְאַוִּים</w:t>
      </w:r>
      <w:r w:rsidRPr="006E39D1">
        <w:rPr>
          <w:rFonts w:eastAsia="Times New Roman" w:cs="Times New Roman"/>
          <w:rtl/>
          <w:lang w:eastAsia="de-DE"/>
        </w:rPr>
        <w:t xml:space="preserve"> </w:t>
      </w:r>
      <w:r w:rsidRPr="006E39D1">
        <w:rPr>
          <w:rFonts w:eastAsia="Times New Roman" w:cs="Times New Roman"/>
          <w:lang w:eastAsia="de-DE"/>
        </w:rPr>
        <w:t>mit τοὺς ἐπιθυμητὰς (die Begierigen).</w:t>
      </w:r>
    </w:p>
    <w:p w14:paraId="26D319D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etiologische Namensgebung mit kausaler Erklärung durch das Begräbnisereignis.</w:t>
      </w:r>
    </w:p>
    <w:p w14:paraId="0B93125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schafft ein dauerhaftes Mahnmal für die Folgen fleischlicher Begierde und Rebellion gegen göttliche Versorgung.</w:t>
      </w:r>
    </w:p>
    <w:p w14:paraId="24336727"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11,35</w:t>
      </w:r>
    </w:p>
    <w:p w14:paraId="63090AF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מִקִּבְר֧וֹת הַֽתַּאֲוָ֛ה נָסְע֥וּ הָעָ֖ם חֲצֵר֑וֹת וַיִּהְי֖וּ בַּחֲצֵרֽוֹ</w:t>
      </w:r>
      <w:r w:rsidRPr="006E39D1">
        <w:rPr>
          <w:rFonts w:eastAsia="Times New Roman" w:cs="Times New Roman"/>
          <w:lang w:eastAsia="de-DE"/>
        </w:rPr>
        <w:t>t</w:t>
      </w:r>
      <w:r w:rsidRPr="006E39D1">
        <w:rPr>
          <w:rFonts w:eastAsia="Times New Roman" w:cs="Times New Roman"/>
          <w:rtl/>
          <w:lang w:eastAsia="de-DE"/>
        </w:rPr>
        <w:t>׃</w:t>
      </w:r>
    </w:p>
    <w:p w14:paraId="6CF5E69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Von Kivrot-Hata'awa brach das Volk auf nach Chazerot, und sie blieben in Chazerot.</w:t>
      </w:r>
    </w:p>
    <w:p w14:paraId="309B1DCC"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16C4C8F3">
          <v:rect id="_x0000_i1414" style="width:0;height:1.5pt" o:hralign="center" o:hrstd="t" o:hr="t" fillcolor="#a0a0a0" stroked="f"/>
        </w:pict>
      </w:r>
    </w:p>
    <w:p w14:paraId="49D2DBC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Herkunftsangabe </w:t>
      </w:r>
      <w:r w:rsidRPr="006E39D1">
        <w:rPr>
          <w:rFonts w:eastAsia="Times New Roman" w:cs="Times New Roman"/>
          <w:b/>
          <w:bCs/>
          <w:rtl/>
          <w:lang w:eastAsia="de-DE"/>
        </w:rPr>
        <w:t>מִקִּבְר֧וֹת הַֽתַּאֲוָ֛ה נָסְע֥וּ הָעָ֖ם</w:t>
      </w:r>
      <w:r w:rsidRPr="006E39D1">
        <w:rPr>
          <w:rFonts w:eastAsia="Times New Roman" w:cs="Times New Roman"/>
          <w:rtl/>
          <w:lang w:eastAsia="de-DE"/>
        </w:rPr>
        <w:t xml:space="preserve"> </w:t>
      </w:r>
      <w:r w:rsidRPr="006E39D1">
        <w:rPr>
          <w:rFonts w:eastAsia="Times New Roman" w:cs="Times New Roman"/>
          <w:lang w:eastAsia="de-DE"/>
        </w:rPr>
        <w:t xml:space="preserve">(von Kivrot-Hata'awa brach das Volk auf) mit </w:t>
      </w:r>
      <w:r w:rsidRPr="006E39D1">
        <w:rPr>
          <w:rFonts w:eastAsia="Times New Roman" w:cs="Times New Roman"/>
          <w:b/>
          <w:bCs/>
          <w:rtl/>
          <w:lang w:eastAsia="de-DE"/>
        </w:rPr>
        <w:t>מִן</w:t>
      </w:r>
      <w:r w:rsidRPr="006E39D1">
        <w:rPr>
          <w:rFonts w:eastAsia="Times New Roman" w:cs="Times New Roman"/>
          <w:rtl/>
          <w:lang w:eastAsia="de-DE"/>
        </w:rPr>
        <w:t xml:space="preserve"> </w:t>
      </w:r>
      <w:r w:rsidRPr="006E39D1">
        <w:rPr>
          <w:rFonts w:eastAsia="Times New Roman" w:cs="Times New Roman"/>
          <w:lang w:eastAsia="de-DE"/>
        </w:rPr>
        <w:t xml:space="preserve">(von) und </w:t>
      </w:r>
      <w:r w:rsidRPr="006E39D1">
        <w:rPr>
          <w:rFonts w:eastAsia="Times New Roman" w:cs="Times New Roman"/>
          <w:b/>
          <w:bCs/>
          <w:rtl/>
          <w:lang w:eastAsia="de-DE"/>
        </w:rPr>
        <w:t>נָסְעוּ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נסע</w:t>
      </w:r>
      <w:r w:rsidRPr="006E39D1">
        <w:rPr>
          <w:rFonts w:eastAsia="Times New Roman" w:cs="Times New Roman"/>
          <w:rtl/>
          <w:lang w:eastAsia="de-DE"/>
        </w:rPr>
        <w:t xml:space="preserve"> </w:t>
      </w:r>
      <w:r w:rsidRPr="006E39D1">
        <w:rPr>
          <w:rFonts w:eastAsia="Times New Roman" w:cs="Times New Roman"/>
          <w:lang w:eastAsia="de-DE"/>
        </w:rPr>
        <w:t>(aufbrechen) zeigt die Fortsetzung der Wüstenwanderung nach dem tragischen Ereignis.</w:t>
      </w:r>
    </w:p>
    <w:p w14:paraId="39460B6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Das Ziel </w:t>
      </w:r>
      <w:r w:rsidRPr="006E39D1">
        <w:rPr>
          <w:rFonts w:eastAsia="Times New Roman" w:cs="Times New Roman"/>
          <w:b/>
          <w:bCs/>
          <w:rtl/>
          <w:lang w:eastAsia="de-DE"/>
        </w:rPr>
        <w:t>חֲצֵר֑וֹת</w:t>
      </w:r>
      <w:r w:rsidRPr="006E39D1">
        <w:rPr>
          <w:rFonts w:eastAsia="Times New Roman" w:cs="Times New Roman"/>
          <w:rtl/>
          <w:lang w:eastAsia="de-DE"/>
        </w:rPr>
        <w:t xml:space="preserve"> </w:t>
      </w:r>
      <w:r w:rsidRPr="006E39D1">
        <w:rPr>
          <w:rFonts w:eastAsia="Times New Roman" w:cs="Times New Roman"/>
          <w:lang w:eastAsia="de-DE"/>
        </w:rPr>
        <w:t xml:space="preserve">(Chazerot) von der Wurzel </w:t>
      </w:r>
      <w:r w:rsidRPr="006E39D1">
        <w:rPr>
          <w:rFonts w:eastAsia="Times New Roman" w:cs="Times New Roman"/>
          <w:b/>
          <w:bCs/>
          <w:rtl/>
          <w:lang w:eastAsia="de-DE"/>
        </w:rPr>
        <w:t>חצר</w:t>
      </w:r>
      <w:r w:rsidRPr="006E39D1">
        <w:rPr>
          <w:rFonts w:eastAsia="Times New Roman" w:cs="Times New Roman"/>
          <w:rtl/>
          <w:lang w:eastAsia="de-DE"/>
        </w:rPr>
        <w:t xml:space="preserve"> </w:t>
      </w:r>
      <w:r w:rsidRPr="006E39D1">
        <w:rPr>
          <w:rFonts w:eastAsia="Times New Roman" w:cs="Times New Roman"/>
          <w:lang w:eastAsia="de-DE"/>
        </w:rPr>
        <w:t xml:space="preserve">(umzäunen) bezeichnet die nächste Station der Wanderung. Die Ankunft </w:t>
      </w:r>
      <w:r w:rsidRPr="006E39D1">
        <w:rPr>
          <w:rFonts w:eastAsia="Times New Roman" w:cs="Times New Roman"/>
          <w:b/>
          <w:bCs/>
          <w:rtl/>
          <w:lang w:eastAsia="de-DE"/>
        </w:rPr>
        <w:t>וַיִּהְי֖וּ בַּחֲצֵרֽוֹת</w:t>
      </w:r>
      <w:r w:rsidRPr="006E39D1">
        <w:rPr>
          <w:rFonts w:eastAsia="Times New Roman" w:cs="Times New Roman"/>
          <w:rtl/>
          <w:lang w:eastAsia="de-DE"/>
        </w:rPr>
        <w:t xml:space="preserve"> </w:t>
      </w:r>
      <w:r w:rsidRPr="006E39D1">
        <w:rPr>
          <w:rFonts w:eastAsia="Times New Roman" w:cs="Times New Roman"/>
          <w:lang w:eastAsia="de-DE"/>
        </w:rPr>
        <w:t xml:space="preserve">(und sie blieben in Chazerot) mit </w:t>
      </w:r>
      <w:r w:rsidRPr="006E39D1">
        <w:rPr>
          <w:rFonts w:eastAsia="Times New Roman" w:cs="Times New Roman"/>
          <w:b/>
          <w:bCs/>
          <w:rtl/>
          <w:lang w:eastAsia="de-DE"/>
        </w:rPr>
        <w:t>הָיוּ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היה</w:t>
      </w:r>
      <w:r w:rsidRPr="006E39D1">
        <w:rPr>
          <w:rFonts w:eastAsia="Times New Roman" w:cs="Times New Roman"/>
          <w:rtl/>
          <w:lang w:eastAsia="de-DE"/>
        </w:rPr>
        <w:t xml:space="preserve"> </w:t>
      </w:r>
      <w:r w:rsidRPr="006E39D1">
        <w:rPr>
          <w:rFonts w:eastAsia="Times New Roman" w:cs="Times New Roman"/>
          <w:lang w:eastAsia="de-DE"/>
        </w:rPr>
        <w:t>(sein/bleiben) zeigt die Etablierung des neuen Lagers.</w:t>
      </w:r>
    </w:p>
    <w:p w14:paraId="4F304B6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נָסְעוּ</w:t>
      </w:r>
      <w:r w:rsidRPr="006E39D1">
        <w:rPr>
          <w:rFonts w:eastAsia="Times New Roman" w:cs="Times New Roman"/>
          <w:rtl/>
          <w:lang w:eastAsia="de-DE"/>
        </w:rPr>
        <w:t xml:space="preserve"> </w:t>
      </w:r>
      <w:r w:rsidRPr="006E39D1">
        <w:rPr>
          <w:rFonts w:eastAsia="Times New Roman" w:cs="Times New Roman"/>
          <w:lang w:eastAsia="de-DE"/>
        </w:rPr>
        <w:t xml:space="preserve">mit ἀπῆραν (sie brachen auf) und </w:t>
      </w:r>
      <w:r w:rsidRPr="006E39D1">
        <w:rPr>
          <w:rFonts w:eastAsia="Times New Roman" w:cs="Times New Roman"/>
          <w:b/>
          <w:bCs/>
          <w:lang w:eastAsia="de-DE"/>
        </w:rPr>
        <w:t>Chazerot</w:t>
      </w:r>
      <w:r w:rsidRPr="006E39D1">
        <w:rPr>
          <w:rFonts w:eastAsia="Times New Roman" w:cs="Times New Roman"/>
          <w:lang w:eastAsia="de-DE"/>
        </w:rPr>
        <w:t xml:space="preserve"> mit Ἀσηρώθ.</w:t>
      </w:r>
    </w:p>
    <w:p w14:paraId="0AC9983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Herkunftsort, Aufbruch, Zielort und Ankunft als Übergang zur nächsten Episode.</w:t>
      </w:r>
    </w:p>
    <w:p w14:paraId="72E1621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abschließende Vers zeigt die Fortsetzung der israelitischen Wanderung trotz der tragischen Ereignisse und leitet zu den Geschehnissen in Chazerot über (Numeri 12).</w:t>
      </w:r>
    </w:p>
    <w:p w14:paraId="4B7D5D6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Das Kapitel 11 insgesamt zeigt die Dialektik zwischen göttlicher Fürsorge und menschlicher Undankbarkeit, zwischen Moses menschlicher Schwäche und göttlicher Stärkung durch Delegation, und zwischen erfüllten Begierden und ihren tragischen Konsequenzen. Es etabliert wichtige Themen für das weitere Buch Numeri: Rebellion, göttliches Gericht, Führungsprobleme und die Spannung zwischen Verheißung und Erfüllung.</w:t>
      </w:r>
    </w:p>
    <w:p w14:paraId="2DCA8D09"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12,1</w:t>
      </w:r>
    </w:p>
    <w:p w14:paraId="4E91658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וַתְּדַבֵּ֨ר מִרְיָ֤ם וְאַהֲרֹן֙ בְּמֹשֶׁ֔ה עַל־אֹד֛וֹת הָאִשָּׁ֥ה הַכֻּשִׁ֖ית אֲשֶׁ֣ר לָקָ֑ח כִּֽי־אִשָּׁ֥ה כֻשִׁ֖ית לָקָֽח׃</w:t>
      </w:r>
    </w:p>
    <w:p w14:paraId="3AF04B3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Mirjam und 'Aharon redeten gegen Mosche wegen der Kuschit-Frau, die er genommen hatte; denn er hatte eine Kuschit-Frau genommen.</w:t>
      </w:r>
    </w:p>
    <w:p w14:paraId="2F82B47B"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20A3E553">
          <v:rect id="_x0000_i1415" style="width:0;height:1.5pt" o:hralign="center" o:hrstd="t" o:hr="t" fillcolor="#a0a0a0" stroked="f"/>
        </w:pict>
      </w:r>
    </w:p>
    <w:p w14:paraId="4452A64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Kommentar:</w:t>
      </w:r>
      <w:r w:rsidRPr="006E39D1">
        <w:rPr>
          <w:rFonts w:eastAsia="Times New Roman" w:cs="Times New Roman"/>
          <w:lang w:eastAsia="de-DE"/>
        </w:rPr>
        <w:t xml:space="preserve"> Das Verb </w:t>
      </w:r>
      <w:r w:rsidRPr="006E39D1">
        <w:rPr>
          <w:rFonts w:eastAsia="Times New Roman" w:cs="Times New Roman"/>
          <w:b/>
          <w:bCs/>
          <w:rtl/>
          <w:lang w:eastAsia="de-DE"/>
        </w:rPr>
        <w:t>וַתְּדַבֵּ֨ר מִרְיָ֤ם וְאַהֲרֹן֙ בְּמֹשֶׁ֔ה</w:t>
      </w:r>
      <w:r w:rsidRPr="006E39D1">
        <w:rPr>
          <w:rFonts w:eastAsia="Times New Roman" w:cs="Times New Roman"/>
          <w:rtl/>
          <w:lang w:eastAsia="de-DE"/>
        </w:rPr>
        <w:t xml:space="preserve"> </w:t>
      </w:r>
      <w:r w:rsidRPr="006E39D1">
        <w:rPr>
          <w:rFonts w:eastAsia="Times New Roman" w:cs="Times New Roman"/>
          <w:lang w:eastAsia="de-DE"/>
        </w:rPr>
        <w:t xml:space="preserve">(und Mirjam und Aaron redeten gegen Mose) mit </w:t>
      </w:r>
      <w:r w:rsidRPr="006E39D1">
        <w:rPr>
          <w:rFonts w:eastAsia="Times New Roman" w:cs="Times New Roman"/>
          <w:b/>
          <w:bCs/>
          <w:rtl/>
          <w:lang w:eastAsia="de-DE"/>
        </w:rPr>
        <w:t>תְּדַבֵּר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דבר</w:t>
      </w:r>
      <w:r w:rsidRPr="006E39D1">
        <w:rPr>
          <w:rFonts w:eastAsia="Times New Roman" w:cs="Times New Roman"/>
          <w:rtl/>
          <w:lang w:eastAsia="de-DE"/>
        </w:rPr>
        <w:t xml:space="preserve"> </w:t>
      </w:r>
      <w:r w:rsidRPr="006E39D1">
        <w:rPr>
          <w:rFonts w:eastAsia="Times New Roman" w:cs="Times New Roman"/>
          <w:lang w:eastAsia="de-DE"/>
        </w:rPr>
        <w:t xml:space="preserve">(reden) im Pi'el-Imperfekt 3. feminin Singular zeigt Mirjam als Initiatorin der Kritik. Das Pi'el verstärkt die Intensität des Redens, während </w:t>
      </w:r>
      <w:r w:rsidRPr="006E39D1">
        <w:rPr>
          <w:rFonts w:eastAsia="Times New Roman" w:cs="Times New Roman"/>
          <w:b/>
          <w:bCs/>
          <w:rtl/>
          <w:lang w:eastAsia="de-DE"/>
        </w:rPr>
        <w:t>בְּמֹשֶׁה</w:t>
      </w:r>
      <w:r w:rsidRPr="006E39D1">
        <w:rPr>
          <w:rFonts w:eastAsia="Times New Roman" w:cs="Times New Roman"/>
          <w:rtl/>
          <w:lang w:eastAsia="de-DE"/>
        </w:rPr>
        <w:t xml:space="preserve"> </w:t>
      </w:r>
      <w:r w:rsidRPr="006E39D1">
        <w:rPr>
          <w:rFonts w:eastAsia="Times New Roman" w:cs="Times New Roman"/>
          <w:lang w:eastAsia="de-DE"/>
        </w:rPr>
        <w:t xml:space="preserve">(gegen Mose) mit der Präposition </w:t>
      </w:r>
      <w:r w:rsidRPr="006E39D1">
        <w:rPr>
          <w:rFonts w:eastAsia="Times New Roman" w:cs="Times New Roman"/>
          <w:b/>
          <w:bCs/>
          <w:rtl/>
          <w:lang w:eastAsia="de-DE"/>
        </w:rPr>
        <w:t>בְּ</w:t>
      </w:r>
      <w:r w:rsidRPr="006E39D1">
        <w:rPr>
          <w:rFonts w:eastAsia="Times New Roman" w:cs="Times New Roman"/>
          <w:rtl/>
          <w:lang w:eastAsia="de-DE"/>
        </w:rPr>
        <w:t xml:space="preserve"> </w:t>
      </w:r>
      <w:r w:rsidRPr="006E39D1">
        <w:rPr>
          <w:rFonts w:eastAsia="Times New Roman" w:cs="Times New Roman"/>
          <w:lang w:eastAsia="de-DE"/>
        </w:rPr>
        <w:t>feindseliges oder kritisches Reden impliziert.</w:t>
      </w:r>
    </w:p>
    <w:p w14:paraId="31C2CD1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Der Anlass </w:t>
      </w:r>
      <w:r w:rsidRPr="006E39D1">
        <w:rPr>
          <w:rFonts w:eastAsia="Times New Roman" w:cs="Times New Roman"/>
          <w:b/>
          <w:bCs/>
          <w:rtl/>
          <w:lang w:eastAsia="de-DE"/>
        </w:rPr>
        <w:t>עַל־אֹד֛וֹת הָאִשָּׁ֥ה הַכֻּשִׁ֖ית אֲשֶׁ֣ר לָקָ֑ח</w:t>
      </w:r>
      <w:r w:rsidRPr="006E39D1">
        <w:rPr>
          <w:rFonts w:eastAsia="Times New Roman" w:cs="Times New Roman"/>
          <w:rtl/>
          <w:lang w:eastAsia="de-DE"/>
        </w:rPr>
        <w:t xml:space="preserve"> </w:t>
      </w:r>
      <w:r w:rsidRPr="006E39D1">
        <w:rPr>
          <w:rFonts w:eastAsia="Times New Roman" w:cs="Times New Roman"/>
          <w:lang w:eastAsia="de-DE"/>
        </w:rPr>
        <w:t xml:space="preserve">(wegen der kuschitischen Frau, die er genommen hatte) mit </w:t>
      </w:r>
      <w:r w:rsidRPr="006E39D1">
        <w:rPr>
          <w:rFonts w:eastAsia="Times New Roman" w:cs="Times New Roman"/>
          <w:b/>
          <w:bCs/>
          <w:rtl/>
          <w:lang w:eastAsia="de-DE"/>
        </w:rPr>
        <w:t>עַל־אֹדוֹת</w:t>
      </w:r>
      <w:r w:rsidRPr="006E39D1">
        <w:rPr>
          <w:rFonts w:eastAsia="Times New Roman" w:cs="Times New Roman"/>
          <w:rtl/>
          <w:lang w:eastAsia="de-DE"/>
        </w:rPr>
        <w:t xml:space="preserve"> </w:t>
      </w:r>
      <w:r w:rsidRPr="006E39D1">
        <w:rPr>
          <w:rFonts w:eastAsia="Times New Roman" w:cs="Times New Roman"/>
          <w:lang w:eastAsia="de-DE"/>
        </w:rPr>
        <w:t xml:space="preserve">(wegen/bezüglich), </w:t>
      </w:r>
      <w:r w:rsidRPr="006E39D1">
        <w:rPr>
          <w:rFonts w:eastAsia="Times New Roman" w:cs="Times New Roman"/>
          <w:b/>
          <w:bCs/>
          <w:rtl/>
          <w:lang w:eastAsia="de-DE"/>
        </w:rPr>
        <w:t>הָאִשָּׁה הַכֻּשִׁית</w:t>
      </w:r>
      <w:r w:rsidRPr="006E39D1">
        <w:rPr>
          <w:rFonts w:eastAsia="Times New Roman" w:cs="Times New Roman"/>
          <w:rtl/>
          <w:lang w:eastAsia="de-DE"/>
        </w:rPr>
        <w:t xml:space="preserve"> </w:t>
      </w:r>
      <w:r w:rsidRPr="006E39D1">
        <w:rPr>
          <w:rFonts w:eastAsia="Times New Roman" w:cs="Times New Roman"/>
          <w:lang w:eastAsia="de-DE"/>
        </w:rPr>
        <w:t xml:space="preserve">(die kuschitische Frau) und </w:t>
      </w:r>
      <w:r w:rsidRPr="006E39D1">
        <w:rPr>
          <w:rFonts w:eastAsia="Times New Roman" w:cs="Times New Roman"/>
          <w:b/>
          <w:bCs/>
          <w:rtl/>
          <w:lang w:eastAsia="de-DE"/>
        </w:rPr>
        <w:t>אֲשֶׁר לָקָח</w:t>
      </w:r>
      <w:r w:rsidRPr="006E39D1">
        <w:rPr>
          <w:rFonts w:eastAsia="Times New Roman" w:cs="Times New Roman"/>
          <w:rtl/>
          <w:lang w:eastAsia="de-DE"/>
        </w:rPr>
        <w:t xml:space="preserve"> </w:t>
      </w:r>
      <w:r w:rsidRPr="006E39D1">
        <w:rPr>
          <w:rFonts w:eastAsia="Times New Roman" w:cs="Times New Roman"/>
          <w:lang w:eastAsia="de-DE"/>
        </w:rPr>
        <w:t xml:space="preserve">(die er genommen hatte) zeigt den ostensiblen Grund der Kritik. </w:t>
      </w:r>
      <w:r w:rsidRPr="006E39D1">
        <w:rPr>
          <w:rFonts w:eastAsia="Times New Roman" w:cs="Times New Roman"/>
          <w:b/>
          <w:bCs/>
          <w:rtl/>
          <w:lang w:eastAsia="de-DE"/>
        </w:rPr>
        <w:t>כֻּשִׁית</w:t>
      </w:r>
      <w:r w:rsidRPr="006E39D1">
        <w:rPr>
          <w:rFonts w:eastAsia="Times New Roman" w:cs="Times New Roman"/>
          <w:rtl/>
          <w:lang w:eastAsia="de-DE"/>
        </w:rPr>
        <w:t xml:space="preserve"> </w:t>
      </w:r>
      <w:r w:rsidRPr="006E39D1">
        <w:rPr>
          <w:rFonts w:eastAsia="Times New Roman" w:cs="Times New Roman"/>
          <w:lang w:eastAsia="de-DE"/>
        </w:rPr>
        <w:t>bezeichnet eine Frau aus Kusch (wahrscheinlich Äthiopien/Nubien), was eine ethnische oder rassische Dimension impliziert.</w:t>
      </w:r>
    </w:p>
    <w:p w14:paraId="19429B2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Wiederholung </w:t>
      </w:r>
      <w:r w:rsidRPr="006E39D1">
        <w:rPr>
          <w:rFonts w:eastAsia="Times New Roman" w:cs="Times New Roman"/>
          <w:b/>
          <w:bCs/>
          <w:rtl/>
          <w:lang w:eastAsia="de-DE"/>
        </w:rPr>
        <w:t>כִּֽי־אִשָּׁ֥ה כֻשִׁ֖ית לָקָֽח</w:t>
      </w:r>
      <w:r w:rsidRPr="006E39D1">
        <w:rPr>
          <w:rFonts w:eastAsia="Times New Roman" w:cs="Times New Roman"/>
          <w:rtl/>
          <w:lang w:eastAsia="de-DE"/>
        </w:rPr>
        <w:t xml:space="preserve"> </w:t>
      </w:r>
      <w:r w:rsidRPr="006E39D1">
        <w:rPr>
          <w:rFonts w:eastAsia="Times New Roman" w:cs="Times New Roman"/>
          <w:lang w:eastAsia="de-DE"/>
        </w:rPr>
        <w:t xml:space="preserve">(denn eine kuschitische Frau hatte er genommen) mit </w:t>
      </w:r>
      <w:r w:rsidRPr="006E39D1">
        <w:rPr>
          <w:rFonts w:eastAsia="Times New Roman" w:cs="Times New Roman"/>
          <w:b/>
          <w:bCs/>
          <w:rtl/>
          <w:lang w:eastAsia="de-DE"/>
        </w:rPr>
        <w:t>כִּי</w:t>
      </w:r>
      <w:r w:rsidRPr="006E39D1">
        <w:rPr>
          <w:rFonts w:eastAsia="Times New Roman" w:cs="Times New Roman"/>
          <w:rtl/>
          <w:lang w:eastAsia="de-DE"/>
        </w:rPr>
        <w:t xml:space="preserve"> </w:t>
      </w:r>
      <w:r w:rsidRPr="006E39D1">
        <w:rPr>
          <w:rFonts w:eastAsia="Times New Roman" w:cs="Times New Roman"/>
          <w:lang w:eastAsia="de-DE"/>
        </w:rPr>
        <w:t>(denn) als Begründung verstärkt die Betonung der ethnischen Identität der Frau und der Tatsache der Heirat.</w:t>
      </w:r>
    </w:p>
    <w:p w14:paraId="2B47496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תְּדַבֵּר</w:t>
      </w:r>
      <w:r w:rsidRPr="006E39D1">
        <w:rPr>
          <w:rFonts w:eastAsia="Times New Roman" w:cs="Times New Roman"/>
          <w:rtl/>
          <w:lang w:eastAsia="de-DE"/>
        </w:rPr>
        <w:t xml:space="preserve"> </w:t>
      </w:r>
      <w:r w:rsidRPr="006E39D1">
        <w:rPr>
          <w:rFonts w:eastAsia="Times New Roman" w:cs="Times New Roman"/>
          <w:lang w:eastAsia="de-DE"/>
        </w:rPr>
        <w:t xml:space="preserve">mit κατελάλησεν (sie sprach herab/verleumdete), </w:t>
      </w:r>
      <w:r w:rsidRPr="006E39D1">
        <w:rPr>
          <w:rFonts w:eastAsia="Times New Roman" w:cs="Times New Roman"/>
          <w:b/>
          <w:bCs/>
          <w:rtl/>
          <w:lang w:eastAsia="de-DE"/>
        </w:rPr>
        <w:t>בְּמֹשֶׁה</w:t>
      </w:r>
      <w:r w:rsidRPr="006E39D1">
        <w:rPr>
          <w:rFonts w:eastAsia="Times New Roman" w:cs="Times New Roman"/>
          <w:rtl/>
          <w:lang w:eastAsia="de-DE"/>
        </w:rPr>
        <w:t xml:space="preserve"> </w:t>
      </w:r>
      <w:r w:rsidRPr="006E39D1">
        <w:rPr>
          <w:rFonts w:eastAsia="Times New Roman" w:cs="Times New Roman"/>
          <w:lang w:eastAsia="de-DE"/>
        </w:rPr>
        <w:t xml:space="preserve">mit κατὰ Μωυσῆ (gegen Mose), </w:t>
      </w:r>
      <w:r w:rsidRPr="006E39D1">
        <w:rPr>
          <w:rFonts w:eastAsia="Times New Roman" w:cs="Times New Roman"/>
          <w:b/>
          <w:bCs/>
          <w:rtl/>
          <w:lang w:eastAsia="de-DE"/>
        </w:rPr>
        <w:t>כֻּשִׁית</w:t>
      </w:r>
      <w:r w:rsidRPr="006E39D1">
        <w:rPr>
          <w:rFonts w:eastAsia="Times New Roman" w:cs="Times New Roman"/>
          <w:rtl/>
          <w:lang w:eastAsia="de-DE"/>
        </w:rPr>
        <w:t xml:space="preserve"> </w:t>
      </w:r>
      <w:r w:rsidRPr="006E39D1">
        <w:rPr>
          <w:rFonts w:eastAsia="Times New Roman" w:cs="Times New Roman"/>
          <w:lang w:eastAsia="de-DE"/>
        </w:rPr>
        <w:t xml:space="preserve">mit Αἰθιόπισσαν (Äthiopierin) und </w:t>
      </w:r>
      <w:r w:rsidRPr="006E39D1">
        <w:rPr>
          <w:rFonts w:eastAsia="Times New Roman" w:cs="Times New Roman"/>
          <w:b/>
          <w:bCs/>
          <w:rtl/>
          <w:lang w:eastAsia="de-DE"/>
        </w:rPr>
        <w:t>לָקָח</w:t>
      </w:r>
      <w:r w:rsidRPr="006E39D1">
        <w:rPr>
          <w:rFonts w:eastAsia="Times New Roman" w:cs="Times New Roman"/>
          <w:rtl/>
          <w:lang w:eastAsia="de-DE"/>
        </w:rPr>
        <w:t xml:space="preserve"> </w:t>
      </w:r>
      <w:r w:rsidRPr="006E39D1">
        <w:rPr>
          <w:rFonts w:eastAsia="Times New Roman" w:cs="Times New Roman"/>
          <w:lang w:eastAsia="de-DE"/>
        </w:rPr>
        <w:t>mit ἔλαβεν (er nahm).</w:t>
      </w:r>
    </w:p>
    <w:p w14:paraId="68D73E7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kritisches Reden mit Anlass, Subjektidentifikation und verstärkende Wiederholung des Kritikgrundes.</w:t>
      </w:r>
    </w:p>
    <w:p w14:paraId="248463D4" w14:textId="00BB4BD8"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leitet eine der schwerwiegendsten Herausforderungen gegen Moses Autorität ein, wobei persönliche und ethnische Faktoren mit Autoritätsfragen vermischt werden.</w:t>
      </w:r>
    </w:p>
    <w:p w14:paraId="3ED2DAC3" w14:textId="77777777" w:rsidR="0047207A" w:rsidRPr="00F06C27" w:rsidRDefault="0047207A" w:rsidP="00F06C27">
      <w:pPr>
        <w:pStyle w:val="berschrift4"/>
        <w:rPr>
          <w:b/>
          <w:bCs/>
        </w:rPr>
      </w:pPr>
      <w:r w:rsidRPr="00F06C27">
        <w:rPr>
          <w:rStyle w:val="Fett"/>
          <w:b w:val="0"/>
          <w:bCs w:val="0"/>
        </w:rPr>
        <w:t>Exkurs: Die "kuschitische Frau" – Wer ist sie?</w:t>
      </w:r>
    </w:p>
    <w:p w14:paraId="3A1F4893" w14:textId="77777777" w:rsidR="0047207A" w:rsidRDefault="0047207A" w:rsidP="0047207A">
      <w:pPr>
        <w:pStyle w:val="whitespace-normal"/>
      </w:pPr>
      <w:r>
        <w:rPr>
          <w:rStyle w:val="Fett"/>
        </w:rPr>
        <w:t>Das Problem:</w:t>
      </w:r>
    </w:p>
    <w:p w14:paraId="5D301228" w14:textId="77777777" w:rsidR="0047207A" w:rsidRDefault="0047207A" w:rsidP="0047207A">
      <w:pPr>
        <w:pStyle w:val="whitespace-normal"/>
      </w:pPr>
      <w:r>
        <w:t xml:space="preserve">Numeri 12,1 nennt Moses Frau eine </w:t>
      </w:r>
      <w:r>
        <w:rPr>
          <w:rStyle w:val="Fett"/>
          <w:rtl/>
        </w:rPr>
        <w:t>כֻּשִׁית</w:t>
      </w:r>
      <w:r>
        <w:rPr>
          <w:rtl/>
        </w:rPr>
        <w:t xml:space="preserve"> </w:t>
      </w:r>
      <w:r>
        <w:t xml:space="preserve">(Kuschit in), aber Exodus 2,21 sagt, er heiratete </w:t>
      </w:r>
      <w:r>
        <w:rPr>
          <w:rStyle w:val="Fett"/>
        </w:rPr>
        <w:t>Zipora</w:t>
      </w:r>
      <w:r>
        <w:t>, die Tochter des midianitischen Priesters Jitro.</w:t>
      </w:r>
    </w:p>
    <w:p w14:paraId="183571CF" w14:textId="77777777" w:rsidR="0047207A" w:rsidRDefault="0047207A" w:rsidP="0047207A">
      <w:pPr>
        <w:pStyle w:val="whitespace-normal"/>
      </w:pPr>
      <w:r>
        <w:rPr>
          <w:rStyle w:val="Fett"/>
        </w:rPr>
        <w:t>Kusch</w:t>
      </w:r>
      <w:r>
        <w:t xml:space="preserve"> (</w:t>
      </w:r>
      <w:r>
        <w:rPr>
          <w:rtl/>
        </w:rPr>
        <w:t>כּוּשׁ</w:t>
      </w:r>
      <w:r>
        <w:t>) bezeichnet normalerweise:</w:t>
      </w:r>
    </w:p>
    <w:p w14:paraId="555BCD8B" w14:textId="77777777" w:rsidR="0047207A" w:rsidRDefault="0047207A" w:rsidP="00077755">
      <w:pPr>
        <w:pStyle w:val="whitespace-normal"/>
        <w:numPr>
          <w:ilvl w:val="0"/>
          <w:numId w:val="95"/>
        </w:numPr>
      </w:pPr>
      <w:r>
        <w:rPr>
          <w:rStyle w:val="Fett"/>
        </w:rPr>
        <w:t>Nubien/Äthiopien</w:t>
      </w:r>
      <w:r>
        <w:t xml:space="preserve"> (südlich von Ägypten, am oberen Nil)</w:t>
      </w:r>
    </w:p>
    <w:p w14:paraId="3DE921F1" w14:textId="77777777" w:rsidR="0047207A" w:rsidRDefault="0047207A" w:rsidP="00077755">
      <w:pPr>
        <w:pStyle w:val="whitespace-normal"/>
        <w:numPr>
          <w:ilvl w:val="0"/>
          <w:numId w:val="95"/>
        </w:numPr>
      </w:pPr>
      <w:r>
        <w:t xml:space="preserve">Manchmal auch: </w:t>
      </w:r>
      <w:r>
        <w:rPr>
          <w:rStyle w:val="Fett"/>
        </w:rPr>
        <w:t>Midian</w:t>
      </w:r>
      <w:r>
        <w:t xml:space="preserve"> (wenn Hab 3,7 parallel zu Kusch steht)</w:t>
      </w:r>
    </w:p>
    <w:p w14:paraId="33C7E93A" w14:textId="77777777" w:rsidR="0047207A" w:rsidRDefault="0047207A" w:rsidP="0047207A">
      <w:pPr>
        <w:pStyle w:val="whitespace-normal"/>
      </w:pPr>
      <w:r>
        <w:rPr>
          <w:rStyle w:val="Fett"/>
        </w:rPr>
        <w:t>Drei Hauptinterpretationen:</w:t>
      </w:r>
    </w:p>
    <w:tbl>
      <w:tblPr>
        <w:tblStyle w:val="Tabellenraster"/>
        <w:tblW w:w="4994" w:type="pct"/>
        <w:tblLook w:val="04A0" w:firstRow="1" w:lastRow="0" w:firstColumn="1" w:lastColumn="0" w:noHBand="0" w:noVBand="1"/>
      </w:tblPr>
      <w:tblGrid>
        <w:gridCol w:w="3016"/>
        <w:gridCol w:w="3217"/>
        <w:gridCol w:w="2818"/>
      </w:tblGrid>
      <w:tr w:rsidR="0047207A" w14:paraId="518EA51A" w14:textId="77777777" w:rsidTr="0047207A">
        <w:tc>
          <w:tcPr>
            <w:tcW w:w="1666" w:type="pct"/>
          </w:tcPr>
          <w:p w14:paraId="309FDC19" w14:textId="1370600E" w:rsidR="0047207A" w:rsidRDefault="0047207A" w:rsidP="006E39D1">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Interpretation</w:t>
            </w:r>
          </w:p>
        </w:tc>
        <w:tc>
          <w:tcPr>
            <w:tcW w:w="1777" w:type="pct"/>
          </w:tcPr>
          <w:p w14:paraId="7FCB7ED9" w14:textId="2BB2EA8A" w:rsidR="0047207A" w:rsidRDefault="0047207A" w:rsidP="006E39D1">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Argumente dafür</w:t>
            </w:r>
          </w:p>
        </w:tc>
        <w:tc>
          <w:tcPr>
            <w:tcW w:w="1557" w:type="pct"/>
          </w:tcPr>
          <w:p w14:paraId="3CCE4DE2" w14:textId="7A87289E" w:rsidR="0047207A" w:rsidRDefault="0047207A" w:rsidP="006E39D1">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Argumente dagegen</w:t>
            </w:r>
          </w:p>
        </w:tc>
      </w:tr>
      <w:tr w:rsidR="0047207A" w14:paraId="365ECE27" w14:textId="77777777" w:rsidTr="0047207A">
        <w:tc>
          <w:tcPr>
            <w:tcW w:w="1666" w:type="pct"/>
          </w:tcPr>
          <w:p w14:paraId="2C2837D6" w14:textId="4401A48F" w:rsidR="0047207A" w:rsidRDefault="0047207A" w:rsidP="0047207A">
            <w:pPr>
              <w:pStyle w:val="KeinLeerraum"/>
            </w:pPr>
            <w:r>
              <w:rPr>
                <w:rStyle w:val="Fett"/>
              </w:rPr>
              <w:t>1. Zipora = Kuschit</w:t>
            </w:r>
            <w:r>
              <w:t xml:space="preserve"> </w:t>
            </w:r>
          </w:p>
          <w:p w14:paraId="6860B3A7" w14:textId="0A45A06D" w:rsidR="0047207A" w:rsidRDefault="0047207A" w:rsidP="0047207A">
            <w:pPr>
              <w:pStyle w:val="KeinLeerraum"/>
              <w:rPr>
                <w:rFonts w:eastAsia="Times New Roman" w:cs="Times New Roman"/>
                <w:lang w:eastAsia="de-DE"/>
              </w:rPr>
            </w:pPr>
            <w:r>
              <w:t>(dieselbe Person)</w:t>
            </w:r>
          </w:p>
        </w:tc>
        <w:tc>
          <w:tcPr>
            <w:tcW w:w="1777" w:type="pct"/>
          </w:tcPr>
          <w:p w14:paraId="2EC4017F" w14:textId="77777777" w:rsidR="0047207A" w:rsidRDefault="0047207A" w:rsidP="006E39D1">
            <w:pPr>
              <w:spacing w:before="100" w:beforeAutospacing="1" w:after="100" w:afterAutospacing="1" w:line="240" w:lineRule="auto"/>
            </w:pPr>
            <w:r>
              <w:t>• Hab 3,7 setzt Kusch // Midian parallel</w:t>
            </w:r>
          </w:p>
          <w:p w14:paraId="4997F22B" w14:textId="77777777" w:rsidR="0047207A" w:rsidRDefault="0047207A" w:rsidP="006E39D1">
            <w:pPr>
              <w:spacing w:before="100" w:beforeAutospacing="1" w:after="100" w:afterAutospacing="1" w:line="240" w:lineRule="auto"/>
            </w:pPr>
            <w:r>
              <w:t>• Keine Erwähnung einer zweiten Ehe</w:t>
            </w:r>
          </w:p>
          <w:p w14:paraId="60D90C5F" w14:textId="562AF8CF" w:rsidR="0047207A" w:rsidRDefault="0047207A" w:rsidP="006E39D1">
            <w:pPr>
              <w:spacing w:before="100" w:beforeAutospacing="1" w:after="100" w:afterAutospacing="1" w:line="240" w:lineRule="auto"/>
              <w:rPr>
                <w:rFonts w:eastAsia="Times New Roman" w:cs="Times New Roman"/>
                <w:lang w:eastAsia="de-DE"/>
              </w:rPr>
            </w:pPr>
            <w:r>
              <w:t>• Timing passt (Kritik nach 40 Jahren Ehe unwahrscheinlich)</w:t>
            </w:r>
          </w:p>
        </w:tc>
        <w:tc>
          <w:tcPr>
            <w:tcW w:w="1557" w:type="pct"/>
          </w:tcPr>
          <w:p w14:paraId="610A0329" w14:textId="77777777" w:rsidR="0047207A" w:rsidRDefault="0047207A" w:rsidP="006E39D1">
            <w:pPr>
              <w:spacing w:before="100" w:beforeAutospacing="1" w:after="100" w:afterAutospacing="1" w:line="240" w:lineRule="auto"/>
            </w:pPr>
            <w:r>
              <w:t>Kusch normalerweise ≠ Midian</w:t>
            </w:r>
          </w:p>
          <w:p w14:paraId="01BC7846" w14:textId="7F9061EF" w:rsidR="0047207A" w:rsidRDefault="0047207A" w:rsidP="006E39D1">
            <w:pPr>
              <w:spacing w:before="100" w:beforeAutospacing="1" w:after="100" w:afterAutospacing="1" w:line="240" w:lineRule="auto"/>
              <w:rPr>
                <w:rFonts w:eastAsia="Times New Roman" w:cs="Times New Roman"/>
                <w:lang w:eastAsia="de-DE"/>
              </w:rPr>
            </w:pPr>
            <w:r>
              <w:t>• Warum neue Bezeichnung für Zipora?</w:t>
            </w:r>
          </w:p>
        </w:tc>
      </w:tr>
      <w:tr w:rsidR="0047207A" w14:paraId="05FD4C1D" w14:textId="77777777" w:rsidTr="0047207A">
        <w:tc>
          <w:tcPr>
            <w:tcW w:w="1666" w:type="pct"/>
          </w:tcPr>
          <w:p w14:paraId="6E1774E6" w14:textId="408A25B6" w:rsidR="0047207A" w:rsidRDefault="0047207A" w:rsidP="006E39D1">
            <w:pPr>
              <w:spacing w:before="100" w:beforeAutospacing="1" w:after="100" w:afterAutospacing="1" w:line="240" w:lineRule="auto"/>
              <w:rPr>
                <w:rFonts w:eastAsia="Times New Roman" w:cs="Times New Roman"/>
                <w:lang w:eastAsia="de-DE"/>
              </w:rPr>
            </w:pPr>
            <w:r>
              <w:rPr>
                <w:rStyle w:val="Fett"/>
              </w:rPr>
              <w:lastRenderedPageBreak/>
              <w:t>2. Zweite Ehe</w:t>
            </w:r>
            <w:r>
              <w:t xml:space="preserve"> (neue Frau)</w:t>
            </w:r>
          </w:p>
        </w:tc>
        <w:tc>
          <w:tcPr>
            <w:tcW w:w="1777" w:type="pct"/>
          </w:tcPr>
          <w:p w14:paraId="7E764DE7" w14:textId="77777777" w:rsidR="0047207A" w:rsidRDefault="0047207A" w:rsidP="006E39D1">
            <w:pPr>
              <w:spacing w:before="100" w:beforeAutospacing="1" w:after="100" w:afterAutospacing="1" w:line="240" w:lineRule="auto"/>
            </w:pPr>
            <w:r>
              <w:t xml:space="preserve">• </w:t>
            </w:r>
            <w:r>
              <w:rPr>
                <w:rtl/>
              </w:rPr>
              <w:t>כֻּשִׁית</w:t>
            </w:r>
            <w:r>
              <w:t xml:space="preserve"> klar geografisch (Äthiopien/Nubien)</w:t>
            </w:r>
          </w:p>
          <w:p w14:paraId="14EC9E62" w14:textId="0907773E" w:rsidR="0047207A" w:rsidRDefault="0047207A" w:rsidP="006E39D1">
            <w:pPr>
              <w:spacing w:before="100" w:beforeAutospacing="1" w:after="100" w:afterAutospacing="1" w:line="240" w:lineRule="auto"/>
              <w:rPr>
                <w:rFonts w:eastAsia="Times New Roman" w:cs="Times New Roman"/>
                <w:lang w:eastAsia="de-DE"/>
              </w:rPr>
            </w:pPr>
            <w:r>
              <w:t xml:space="preserve">• Erklärt die </w:t>
            </w:r>
            <w:r>
              <w:rPr>
                <w:rStyle w:val="Fett"/>
              </w:rPr>
              <w:t>aktuelle</w:t>
            </w:r>
            <w:r>
              <w:t xml:space="preserve"> Kritik ("die er </w:t>
            </w:r>
            <w:r>
              <w:rPr>
                <w:rStyle w:val="Fett"/>
              </w:rPr>
              <w:t>genommen hatte</w:t>
            </w:r>
            <w:r>
              <w:t>")</w:t>
            </w:r>
          </w:p>
        </w:tc>
        <w:tc>
          <w:tcPr>
            <w:tcW w:w="1557" w:type="pct"/>
          </w:tcPr>
          <w:p w14:paraId="2B3213B7" w14:textId="3D61CC45" w:rsidR="0047207A" w:rsidRDefault="0047207A" w:rsidP="006E39D1">
            <w:pPr>
              <w:spacing w:before="100" w:beforeAutospacing="1" w:after="100" w:afterAutospacing="1" w:line="240" w:lineRule="auto"/>
            </w:pPr>
            <w:r>
              <w:t>• Keine biblische Erwähnung von Ziporas Tod</w:t>
            </w:r>
          </w:p>
          <w:p w14:paraId="5484CEC5" w14:textId="1FDAE28E" w:rsidR="0047207A" w:rsidRDefault="0047207A" w:rsidP="006E39D1">
            <w:pPr>
              <w:spacing w:before="100" w:beforeAutospacing="1" w:after="100" w:afterAutospacing="1" w:line="240" w:lineRule="auto"/>
              <w:rPr>
                <w:rFonts w:eastAsia="Times New Roman" w:cs="Times New Roman"/>
                <w:lang w:eastAsia="de-DE"/>
              </w:rPr>
            </w:pPr>
            <w:r>
              <w:t>• Keine Details über zweite Ehe</w:t>
            </w:r>
          </w:p>
        </w:tc>
      </w:tr>
      <w:tr w:rsidR="0047207A" w14:paraId="5DE8A969" w14:textId="77777777" w:rsidTr="0047207A">
        <w:tc>
          <w:tcPr>
            <w:tcW w:w="1666" w:type="pct"/>
          </w:tcPr>
          <w:p w14:paraId="615DA144" w14:textId="66519B5B" w:rsidR="0047207A" w:rsidRPr="0047207A" w:rsidRDefault="0047207A" w:rsidP="006E39D1">
            <w:pPr>
              <w:spacing w:before="100" w:beforeAutospacing="1" w:after="100" w:afterAutospacing="1" w:line="240" w:lineRule="auto"/>
              <w:rPr>
                <w:rFonts w:eastAsia="Times New Roman" w:cs="Times New Roman"/>
                <w:b/>
                <w:bCs/>
                <w:lang w:eastAsia="de-DE"/>
              </w:rPr>
            </w:pPr>
            <w:r w:rsidRPr="0047207A">
              <w:rPr>
                <w:b/>
                <w:bCs/>
              </w:rPr>
              <w:t>3. Metaphorische Deutung</w:t>
            </w:r>
          </w:p>
        </w:tc>
        <w:tc>
          <w:tcPr>
            <w:tcW w:w="1777" w:type="pct"/>
          </w:tcPr>
          <w:p w14:paraId="33378A25" w14:textId="58DA2B7C" w:rsidR="0047207A" w:rsidRDefault="0047207A" w:rsidP="006E39D1">
            <w:pPr>
              <w:spacing w:before="100" w:beforeAutospacing="1" w:after="100" w:afterAutospacing="1" w:line="240" w:lineRule="auto"/>
            </w:pPr>
            <w:r>
              <w:t xml:space="preserve">• Mischna (Sifre Num 99): </w:t>
            </w:r>
            <w:r>
              <w:rPr>
                <w:rtl/>
              </w:rPr>
              <w:t>כֻּשִׁית</w:t>
            </w:r>
            <w:r>
              <w:t xml:space="preserve"> = "schön" (wie eine Äthiopierin)</w:t>
            </w:r>
          </w:p>
          <w:p w14:paraId="60009866" w14:textId="4091C4CC" w:rsidR="0047207A" w:rsidRDefault="0047207A" w:rsidP="006E39D1">
            <w:pPr>
              <w:spacing w:before="100" w:beforeAutospacing="1" w:after="100" w:afterAutospacing="1" w:line="240" w:lineRule="auto"/>
              <w:rPr>
                <w:rFonts w:eastAsia="Times New Roman" w:cs="Times New Roman"/>
                <w:lang w:eastAsia="de-DE"/>
              </w:rPr>
            </w:pPr>
            <w:r>
              <w:t>• Rabbinische Tradition: Zipora war außergewöhnlich schön</w:t>
            </w:r>
          </w:p>
        </w:tc>
        <w:tc>
          <w:tcPr>
            <w:tcW w:w="1557" w:type="pct"/>
          </w:tcPr>
          <w:p w14:paraId="0DEEFC9B" w14:textId="77777777" w:rsidR="0047207A" w:rsidRDefault="0047207A" w:rsidP="006E39D1">
            <w:pPr>
              <w:spacing w:before="100" w:beforeAutospacing="1" w:after="100" w:afterAutospacing="1" w:line="240" w:lineRule="auto"/>
            </w:pPr>
            <w:r>
              <w:t>• Keine textliche Basis für Metapher</w:t>
            </w:r>
          </w:p>
          <w:p w14:paraId="11E37413" w14:textId="680B209C" w:rsidR="0047207A" w:rsidRDefault="0047207A" w:rsidP="006E39D1">
            <w:pPr>
              <w:spacing w:before="100" w:beforeAutospacing="1" w:after="100" w:afterAutospacing="1" w:line="240" w:lineRule="auto"/>
              <w:rPr>
                <w:rFonts w:eastAsia="Times New Roman" w:cs="Times New Roman"/>
                <w:lang w:eastAsia="de-DE"/>
              </w:rPr>
            </w:pPr>
            <w:r>
              <w:t>• Warum ethnische Bezeichnung als Metapher?</w:t>
            </w:r>
          </w:p>
        </w:tc>
      </w:tr>
    </w:tbl>
    <w:p w14:paraId="664F39B1" w14:textId="77777777" w:rsidR="0047207A" w:rsidRPr="0047207A" w:rsidRDefault="0047207A" w:rsidP="0047207A">
      <w:pPr>
        <w:pStyle w:val="whitespace-normal"/>
        <w:rPr>
          <w:color w:val="5B9BD5" w:themeColor="accent5"/>
        </w:rPr>
      </w:pPr>
      <w:r w:rsidRPr="0047207A">
        <w:rPr>
          <w:rStyle w:val="Fett"/>
          <w:color w:val="5B9BD5" w:themeColor="accent5"/>
        </w:rPr>
        <w:t>Spätere jüdische Tradition:</w:t>
      </w:r>
    </w:p>
    <w:p w14:paraId="08651E82" w14:textId="77777777" w:rsidR="0047207A" w:rsidRDefault="0047207A" w:rsidP="0047207A">
      <w:pPr>
        <w:pStyle w:val="whitespace-normal"/>
      </w:pPr>
      <w:r>
        <w:rPr>
          <w:rStyle w:val="Fett"/>
        </w:rPr>
        <w:t>1. Josephus (Ant. 2.252-253):</w:t>
      </w:r>
    </w:p>
    <w:p w14:paraId="2A502796" w14:textId="77777777" w:rsidR="0047207A" w:rsidRDefault="0047207A" w:rsidP="00077755">
      <w:pPr>
        <w:pStyle w:val="whitespace-normal"/>
        <w:numPr>
          <w:ilvl w:val="0"/>
          <w:numId w:val="96"/>
        </w:numPr>
      </w:pPr>
      <w:r>
        <w:t xml:space="preserve">Mose heiratete eine </w:t>
      </w:r>
      <w:r>
        <w:rPr>
          <w:rStyle w:val="Fett"/>
        </w:rPr>
        <w:t>äthiopische Prinzessin</w:t>
      </w:r>
      <w:r>
        <w:t xml:space="preserve"> namens </w:t>
      </w:r>
      <w:r>
        <w:rPr>
          <w:rStyle w:val="Fett"/>
        </w:rPr>
        <w:t>Tharbis</w:t>
      </w:r>
      <w:r>
        <w:t xml:space="preserve"> während eines militärischen Feldzugs in Äthiopien </w:t>
      </w:r>
      <w:r>
        <w:rPr>
          <w:rStyle w:val="Fett"/>
        </w:rPr>
        <w:t>vor</w:t>
      </w:r>
      <w:r>
        <w:t xml:space="preserve"> dem Exodus</w:t>
      </w:r>
    </w:p>
    <w:p w14:paraId="600B6E79" w14:textId="77777777" w:rsidR="0047207A" w:rsidRDefault="0047207A" w:rsidP="00077755">
      <w:pPr>
        <w:pStyle w:val="whitespace-normal"/>
        <w:numPr>
          <w:ilvl w:val="0"/>
          <w:numId w:val="96"/>
        </w:numPr>
      </w:pPr>
      <w:r>
        <w:t xml:space="preserve">Dies wäre eine </w:t>
      </w:r>
      <w:r>
        <w:rPr>
          <w:rStyle w:val="Fett"/>
        </w:rPr>
        <w:t>dritte</w:t>
      </w:r>
      <w:r>
        <w:t xml:space="preserve"> Frau (neben Zipora und der aktuellen Kuschit in)</w:t>
      </w:r>
    </w:p>
    <w:p w14:paraId="3199EEA6" w14:textId="77777777" w:rsidR="0047207A" w:rsidRDefault="0047207A" w:rsidP="0047207A">
      <w:pPr>
        <w:pStyle w:val="whitespace-normal"/>
      </w:pPr>
      <w:r>
        <w:rPr>
          <w:rStyle w:val="Fett"/>
        </w:rPr>
        <w:t>2. Targum Onkelos:</w:t>
      </w:r>
    </w:p>
    <w:p w14:paraId="79653636" w14:textId="77777777" w:rsidR="0047207A" w:rsidRDefault="0047207A" w:rsidP="00077755">
      <w:pPr>
        <w:pStyle w:val="whitespace-normal"/>
        <w:numPr>
          <w:ilvl w:val="0"/>
          <w:numId w:val="97"/>
        </w:numPr>
      </w:pPr>
      <w:r>
        <w:t xml:space="preserve">Übersetzt </w:t>
      </w:r>
      <w:r>
        <w:rPr>
          <w:rtl/>
        </w:rPr>
        <w:t>כֻּשִׁית</w:t>
      </w:r>
      <w:r>
        <w:t xml:space="preserve"> nicht ethnisch, sondern als </w:t>
      </w:r>
      <w:r>
        <w:rPr>
          <w:rStyle w:val="Fett"/>
        </w:rPr>
        <w:t>"schön"</w:t>
      </w:r>
      <w:r>
        <w:t xml:space="preserve"> (</w:t>
      </w:r>
      <w:r>
        <w:rPr>
          <w:rtl/>
        </w:rPr>
        <w:t>מַשַּׁפָּרְתָּא</w:t>
      </w:r>
      <w:r>
        <w:t>)</w:t>
      </w:r>
    </w:p>
    <w:p w14:paraId="3ADDA2A3" w14:textId="77777777" w:rsidR="0047207A" w:rsidRDefault="0047207A" w:rsidP="0047207A">
      <w:pPr>
        <w:pStyle w:val="whitespace-normal"/>
      </w:pPr>
      <w:r>
        <w:rPr>
          <w:rStyle w:val="Fett"/>
        </w:rPr>
        <w:t>3. Raschi:</w:t>
      </w:r>
    </w:p>
    <w:p w14:paraId="63B52C24" w14:textId="77777777" w:rsidR="0047207A" w:rsidRDefault="0047207A" w:rsidP="00077755">
      <w:pPr>
        <w:pStyle w:val="whitespace-normal"/>
        <w:numPr>
          <w:ilvl w:val="0"/>
          <w:numId w:val="98"/>
        </w:numPr>
      </w:pPr>
      <w:r>
        <w:t xml:space="preserve">Zipora = Kuschit in, weil sie </w:t>
      </w:r>
      <w:r>
        <w:rPr>
          <w:rStyle w:val="Fett"/>
        </w:rPr>
        <w:t>außergewöhnlich schön</w:t>
      </w:r>
      <w:r>
        <w:t xml:space="preserve"> war wie eine Äthiopierin</w:t>
      </w:r>
    </w:p>
    <w:p w14:paraId="386B549E" w14:textId="77777777" w:rsidR="0047207A" w:rsidRDefault="0047207A" w:rsidP="0047207A">
      <w:pPr>
        <w:pStyle w:val="whitespace-normal"/>
      </w:pPr>
      <w:r>
        <w:rPr>
          <w:rStyle w:val="Fett"/>
        </w:rPr>
        <w:t>4. Ibn Ezra:</w:t>
      </w:r>
    </w:p>
    <w:p w14:paraId="089A0EB0" w14:textId="77777777" w:rsidR="0047207A" w:rsidRDefault="0047207A" w:rsidP="00077755">
      <w:pPr>
        <w:pStyle w:val="whitespace-normal"/>
        <w:numPr>
          <w:ilvl w:val="0"/>
          <w:numId w:val="99"/>
        </w:numPr>
      </w:pPr>
      <w:r>
        <w:rPr>
          <w:rStyle w:val="Fett"/>
        </w:rPr>
        <w:t>Zweite Ehe</w:t>
      </w:r>
      <w:r>
        <w:t xml:space="preserve"> nach Ziporas Tod oder Trennung</w:t>
      </w:r>
    </w:p>
    <w:p w14:paraId="19322EE3" w14:textId="77777777" w:rsidR="0047207A" w:rsidRPr="0047207A" w:rsidRDefault="0047207A" w:rsidP="0047207A">
      <w:pPr>
        <w:pStyle w:val="whitespace-normal"/>
        <w:rPr>
          <w:color w:val="5B9BD5" w:themeColor="accent5"/>
        </w:rPr>
      </w:pPr>
      <w:r w:rsidRPr="0047207A">
        <w:rPr>
          <w:rStyle w:val="Fett"/>
          <w:color w:val="5B9BD5" w:themeColor="accent5"/>
        </w:rPr>
        <w:t>Wahrscheinlichste Deutung:</w:t>
      </w:r>
    </w:p>
    <w:p w14:paraId="353D6FBD" w14:textId="77777777" w:rsidR="0047207A" w:rsidRDefault="0047207A" w:rsidP="0047207A">
      <w:pPr>
        <w:pStyle w:val="whitespace-normal"/>
      </w:pPr>
      <w:r>
        <w:rPr>
          <w:rStyle w:val="Fett"/>
        </w:rPr>
        <w:t>Zipora = Kuschit in</w:t>
      </w:r>
      <w:r>
        <w:t xml:space="preserve"> (dieselbe Person), wobei:</w:t>
      </w:r>
    </w:p>
    <w:p w14:paraId="10F4851F" w14:textId="77777777" w:rsidR="0047207A" w:rsidRDefault="0047207A" w:rsidP="00077755">
      <w:pPr>
        <w:pStyle w:val="whitespace-normal"/>
        <w:numPr>
          <w:ilvl w:val="0"/>
          <w:numId w:val="100"/>
        </w:numPr>
      </w:pPr>
      <w:r>
        <w:rPr>
          <w:rStyle w:val="Fett"/>
        </w:rPr>
        <w:t>Hab 3,7</w:t>
      </w:r>
      <w:r>
        <w:t xml:space="preserve"> Kusch mit Midian parallelisiert</w:t>
      </w:r>
    </w:p>
    <w:p w14:paraId="0FA3B97A" w14:textId="77777777" w:rsidR="0047207A" w:rsidRDefault="0047207A" w:rsidP="00077755">
      <w:pPr>
        <w:pStyle w:val="whitespace-normal"/>
        <w:numPr>
          <w:ilvl w:val="0"/>
          <w:numId w:val="100"/>
        </w:numPr>
      </w:pPr>
      <w:r>
        <w:t xml:space="preserve">Die Kritik </w:t>
      </w:r>
      <w:r>
        <w:rPr>
          <w:rStyle w:val="Fett"/>
        </w:rPr>
        <w:t>nicht neu</w:t>
      </w:r>
      <w:r>
        <w:t xml:space="preserve"> ist (Mirjam kritisierte die Ehe schon früher, aber erst jetzt eskaliert es zur Autoritätskrise)</w:t>
      </w:r>
    </w:p>
    <w:p w14:paraId="170F2E2D" w14:textId="77777777" w:rsidR="0047207A" w:rsidRDefault="0047207A" w:rsidP="00077755">
      <w:pPr>
        <w:pStyle w:val="whitespace-normal"/>
        <w:numPr>
          <w:ilvl w:val="0"/>
          <w:numId w:val="100"/>
        </w:numPr>
      </w:pPr>
      <w:r>
        <w:t xml:space="preserve">Die </w:t>
      </w:r>
      <w:r>
        <w:rPr>
          <w:rStyle w:val="Fett"/>
        </w:rPr>
        <w:t>ethnische Bezeichnung</w:t>
      </w:r>
      <w:r>
        <w:t xml:space="preserve"> betont die </w:t>
      </w:r>
      <w:r>
        <w:rPr>
          <w:rStyle w:val="Fett"/>
        </w:rPr>
        <w:t>Außenseiterin-Perspektive</w:t>
      </w:r>
      <w:r>
        <w:t xml:space="preserve"> (Nicht-Israelitin)</w:t>
      </w:r>
    </w:p>
    <w:p w14:paraId="3C6B384F" w14:textId="77777777" w:rsidR="0047207A" w:rsidRPr="0047207A" w:rsidRDefault="0047207A" w:rsidP="0047207A">
      <w:pPr>
        <w:pStyle w:val="whitespace-normal"/>
        <w:rPr>
          <w:color w:val="5B9BD5" w:themeColor="accent5"/>
        </w:rPr>
      </w:pPr>
      <w:r w:rsidRPr="0047207A">
        <w:rPr>
          <w:rStyle w:val="Fett"/>
          <w:color w:val="5B9BD5" w:themeColor="accent5"/>
        </w:rPr>
        <w:t>Theologische Bedeutung:</w:t>
      </w:r>
    </w:p>
    <w:p w14:paraId="785BFEDF" w14:textId="77777777" w:rsidR="0047207A" w:rsidRDefault="0047207A" w:rsidP="0047207A">
      <w:pPr>
        <w:pStyle w:val="whitespace-normal"/>
      </w:pPr>
      <w:r>
        <w:t xml:space="preserve">Die Kritik an der </w:t>
      </w:r>
      <w:r>
        <w:rPr>
          <w:rStyle w:val="Fett"/>
        </w:rPr>
        <w:t>kuschitischen Frau</w:t>
      </w:r>
      <w:r>
        <w:t xml:space="preserve"> ist ein </w:t>
      </w:r>
      <w:r>
        <w:rPr>
          <w:rStyle w:val="Fett"/>
        </w:rPr>
        <w:t>Vorwand</w:t>
      </w:r>
      <w:r>
        <w:t xml:space="preserve"> für die eigentliche Kritik an Moses </w:t>
      </w:r>
      <w:r>
        <w:rPr>
          <w:rStyle w:val="Fett"/>
        </w:rPr>
        <w:t>prophetischer Autorität</w:t>
      </w:r>
      <w:r>
        <w:t xml:space="preserve"> (V. 2). Die ethnische Dimension zeigt, dass:</w:t>
      </w:r>
    </w:p>
    <w:p w14:paraId="7C4D987C" w14:textId="77777777" w:rsidR="0047207A" w:rsidRDefault="0047207A" w:rsidP="00077755">
      <w:pPr>
        <w:pStyle w:val="whitespace-normal"/>
        <w:numPr>
          <w:ilvl w:val="0"/>
          <w:numId w:val="101"/>
        </w:numPr>
      </w:pPr>
      <w:r>
        <w:rPr>
          <w:rStyle w:val="Fett"/>
        </w:rPr>
        <w:t>Xenophobie</w:t>
      </w:r>
      <w:r>
        <w:t xml:space="preserve"> (Ablehnung von Fremden) existierte</w:t>
      </w:r>
    </w:p>
    <w:p w14:paraId="47DFC768" w14:textId="77777777" w:rsidR="0047207A" w:rsidRDefault="0047207A" w:rsidP="00077755">
      <w:pPr>
        <w:pStyle w:val="whitespace-normal"/>
        <w:numPr>
          <w:ilvl w:val="0"/>
          <w:numId w:val="101"/>
        </w:numPr>
      </w:pPr>
      <w:r>
        <w:lastRenderedPageBreak/>
        <w:t xml:space="preserve">Moses </w:t>
      </w:r>
      <w:r>
        <w:rPr>
          <w:rStyle w:val="Fett"/>
        </w:rPr>
        <w:t>inklusive Haltung</w:t>
      </w:r>
      <w:r>
        <w:t xml:space="preserve"> (Heirat einer Nicht-Israelitin) provozierte</w:t>
      </w:r>
    </w:p>
    <w:p w14:paraId="6EF1AC15" w14:textId="77777777" w:rsidR="0047207A" w:rsidRDefault="0047207A" w:rsidP="00077755">
      <w:pPr>
        <w:pStyle w:val="whitespace-normal"/>
        <w:numPr>
          <w:ilvl w:val="0"/>
          <w:numId w:val="101"/>
        </w:numPr>
      </w:pPr>
      <w:r>
        <w:t xml:space="preserve">Die </w:t>
      </w:r>
      <w:r>
        <w:rPr>
          <w:rStyle w:val="Fett"/>
        </w:rPr>
        <w:t>wahre Kritik</w:t>
      </w:r>
      <w:r>
        <w:t xml:space="preserve"> war die </w:t>
      </w:r>
      <w:r>
        <w:rPr>
          <w:rStyle w:val="Fett"/>
        </w:rPr>
        <w:t>Machtfrage</w:t>
      </w:r>
      <w:r>
        <w:t xml:space="preserve"> (V. 2: "Hat JHWH nur durch Mose geredet?")</w:t>
      </w:r>
    </w:p>
    <w:p w14:paraId="2C594662" w14:textId="77777777" w:rsidR="0047207A" w:rsidRDefault="0047207A" w:rsidP="006E39D1">
      <w:pPr>
        <w:spacing w:before="100" w:beforeAutospacing="1" w:after="100" w:afterAutospacing="1" w:line="240" w:lineRule="auto"/>
        <w:rPr>
          <w:rFonts w:eastAsia="Times New Roman" w:cs="Times New Roman"/>
          <w:lang w:eastAsia="de-DE"/>
        </w:rPr>
      </w:pPr>
    </w:p>
    <w:p w14:paraId="05F67484"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12,2</w:t>
      </w:r>
    </w:p>
    <w:p w14:paraId="5AE09DC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וַיֹּאמְר֗וּ הֲרַ֤ק אַךְ־בְּמֹשֶׁה֙ דִּבֶּ֣ר יְהוָ֔ה הֲלֹ֖א גַּם־בָּ֣נוּ דִבֵּ֑ר וַיִּשְׁמַ֖ע יְהוָֽה׃</w:t>
      </w:r>
    </w:p>
    <w:p w14:paraId="7611D37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sie sprachen: Hat der Ewige nur in Mosche allein geredet? Hat er nicht auch in uns geredet? Und der Ewige hörte es.</w:t>
      </w:r>
    </w:p>
    <w:p w14:paraId="24EAD6A6"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4AA16C74">
          <v:rect id="_x0000_i1416" style="width:0;height:1.5pt" o:hralign="center" o:hrstd="t" o:hr="t" fillcolor="#a0a0a0" stroked="f"/>
        </w:pict>
      </w:r>
    </w:p>
    <w:p w14:paraId="6039645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וַיֹּאמְרוּ</w:t>
      </w:r>
      <w:r w:rsidRPr="006E39D1">
        <w:rPr>
          <w:rFonts w:eastAsia="Times New Roman" w:cs="Times New Roman"/>
          <w:rtl/>
          <w:lang w:eastAsia="de-DE"/>
        </w:rPr>
        <w:t xml:space="preserve"> </w:t>
      </w:r>
      <w:r w:rsidRPr="006E39D1">
        <w:rPr>
          <w:rFonts w:eastAsia="Times New Roman" w:cs="Times New Roman"/>
          <w:lang w:eastAsia="de-DE"/>
        </w:rPr>
        <w:t xml:space="preserve">(und sie sprachen) im Plural zeigt die gemeinsame Kritik beider Geschwister. Die erste rhetorische Frage </w:t>
      </w:r>
      <w:r w:rsidRPr="006E39D1">
        <w:rPr>
          <w:rFonts w:eastAsia="Times New Roman" w:cs="Times New Roman"/>
          <w:b/>
          <w:bCs/>
          <w:rtl/>
          <w:lang w:eastAsia="de-DE"/>
        </w:rPr>
        <w:t>הֲרַ֤ק אַךְ־בְּמֹשֶׁה֙ דִּבֶּ֣ר יְהוָ֔ה</w:t>
      </w:r>
      <w:r w:rsidRPr="006E39D1">
        <w:rPr>
          <w:rFonts w:eastAsia="Times New Roman" w:cs="Times New Roman"/>
          <w:rtl/>
          <w:lang w:eastAsia="de-DE"/>
        </w:rPr>
        <w:t xml:space="preserve"> </w:t>
      </w:r>
      <w:r w:rsidRPr="006E39D1">
        <w:rPr>
          <w:rFonts w:eastAsia="Times New Roman" w:cs="Times New Roman"/>
          <w:lang w:eastAsia="de-DE"/>
        </w:rPr>
        <w:t xml:space="preserve">(hat wirklich nur durch Mose der Ewige geredet) mit </w:t>
      </w:r>
      <w:r w:rsidRPr="006E39D1">
        <w:rPr>
          <w:rFonts w:eastAsia="Times New Roman" w:cs="Times New Roman"/>
          <w:b/>
          <w:bCs/>
          <w:rtl/>
          <w:lang w:eastAsia="de-DE"/>
        </w:rPr>
        <w:t>הֲרַק</w:t>
      </w:r>
      <w:r w:rsidRPr="006E39D1">
        <w:rPr>
          <w:rFonts w:eastAsia="Times New Roman" w:cs="Times New Roman"/>
          <w:rtl/>
          <w:lang w:eastAsia="de-DE"/>
        </w:rPr>
        <w:t xml:space="preserve"> </w:t>
      </w:r>
      <w:r w:rsidRPr="006E39D1">
        <w:rPr>
          <w:rFonts w:eastAsia="Times New Roman" w:cs="Times New Roman"/>
          <w:lang w:eastAsia="de-DE"/>
        </w:rPr>
        <w:t xml:space="preserve">(wirklich/etwa nur) als verstärkender Fragepartikel und </w:t>
      </w:r>
      <w:r w:rsidRPr="006E39D1">
        <w:rPr>
          <w:rFonts w:eastAsia="Times New Roman" w:cs="Times New Roman"/>
          <w:b/>
          <w:bCs/>
          <w:rtl/>
          <w:lang w:eastAsia="de-DE"/>
        </w:rPr>
        <w:t>אַךְ</w:t>
      </w:r>
      <w:r w:rsidRPr="006E39D1">
        <w:rPr>
          <w:rFonts w:eastAsia="Times New Roman" w:cs="Times New Roman"/>
          <w:rtl/>
          <w:lang w:eastAsia="de-DE"/>
        </w:rPr>
        <w:t xml:space="preserve"> </w:t>
      </w:r>
      <w:r w:rsidRPr="006E39D1">
        <w:rPr>
          <w:rFonts w:eastAsia="Times New Roman" w:cs="Times New Roman"/>
          <w:lang w:eastAsia="de-DE"/>
        </w:rPr>
        <w:t>(nur/allein) zeigt die Infragestellung von Moses exklusiver prophetischer Autorität.</w:t>
      </w:r>
    </w:p>
    <w:p w14:paraId="14CC174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zweite rhetorische Frage </w:t>
      </w:r>
      <w:r w:rsidRPr="006E39D1">
        <w:rPr>
          <w:rFonts w:eastAsia="Times New Roman" w:cs="Times New Roman"/>
          <w:b/>
          <w:bCs/>
          <w:rtl/>
          <w:lang w:eastAsia="de-DE"/>
        </w:rPr>
        <w:t>הֲלֹ֖א גַּם־בָּ֣נוּ דִבֵּ֑ר</w:t>
      </w:r>
      <w:r w:rsidRPr="006E39D1">
        <w:rPr>
          <w:rFonts w:eastAsia="Times New Roman" w:cs="Times New Roman"/>
          <w:rtl/>
          <w:lang w:eastAsia="de-DE"/>
        </w:rPr>
        <w:t xml:space="preserve"> </w:t>
      </w:r>
      <w:r w:rsidRPr="006E39D1">
        <w:rPr>
          <w:rFonts w:eastAsia="Times New Roman" w:cs="Times New Roman"/>
          <w:lang w:eastAsia="de-DE"/>
        </w:rPr>
        <w:t xml:space="preserve">(hat er nicht auch durch uns geredet) mit </w:t>
      </w:r>
      <w:r w:rsidRPr="006E39D1">
        <w:rPr>
          <w:rFonts w:eastAsia="Times New Roman" w:cs="Times New Roman"/>
          <w:b/>
          <w:bCs/>
          <w:rtl/>
          <w:lang w:eastAsia="de-DE"/>
        </w:rPr>
        <w:t>הֲלֹא</w:t>
      </w:r>
      <w:r w:rsidRPr="006E39D1">
        <w:rPr>
          <w:rFonts w:eastAsia="Times New Roman" w:cs="Times New Roman"/>
          <w:rtl/>
          <w:lang w:eastAsia="de-DE"/>
        </w:rPr>
        <w:t xml:space="preserve"> </w:t>
      </w:r>
      <w:r w:rsidRPr="006E39D1">
        <w:rPr>
          <w:rFonts w:eastAsia="Times New Roman" w:cs="Times New Roman"/>
          <w:lang w:eastAsia="de-DE"/>
        </w:rPr>
        <w:t xml:space="preserve">als Fragepartikel, die eine positive Antwort erwartet, </w:t>
      </w:r>
      <w:r w:rsidRPr="006E39D1">
        <w:rPr>
          <w:rFonts w:eastAsia="Times New Roman" w:cs="Times New Roman"/>
          <w:b/>
          <w:bCs/>
          <w:rtl/>
          <w:lang w:eastAsia="de-DE"/>
        </w:rPr>
        <w:t>גַּם</w:t>
      </w:r>
      <w:r w:rsidRPr="006E39D1">
        <w:rPr>
          <w:rFonts w:eastAsia="Times New Roman" w:cs="Times New Roman"/>
          <w:rtl/>
          <w:lang w:eastAsia="de-DE"/>
        </w:rPr>
        <w:t xml:space="preserve"> </w:t>
      </w:r>
      <w:r w:rsidRPr="006E39D1">
        <w:rPr>
          <w:rFonts w:eastAsia="Times New Roman" w:cs="Times New Roman"/>
          <w:lang w:eastAsia="de-DE"/>
        </w:rPr>
        <w:t xml:space="preserve">(auch) und </w:t>
      </w:r>
      <w:r w:rsidRPr="006E39D1">
        <w:rPr>
          <w:rFonts w:eastAsia="Times New Roman" w:cs="Times New Roman"/>
          <w:b/>
          <w:bCs/>
          <w:rtl/>
          <w:lang w:eastAsia="de-DE"/>
        </w:rPr>
        <w:t>בָּנוּ</w:t>
      </w:r>
      <w:r w:rsidRPr="006E39D1">
        <w:rPr>
          <w:rFonts w:eastAsia="Times New Roman" w:cs="Times New Roman"/>
          <w:rtl/>
          <w:lang w:eastAsia="de-DE"/>
        </w:rPr>
        <w:t xml:space="preserve"> </w:t>
      </w:r>
      <w:r w:rsidRPr="006E39D1">
        <w:rPr>
          <w:rFonts w:eastAsia="Times New Roman" w:cs="Times New Roman"/>
          <w:lang w:eastAsia="de-DE"/>
        </w:rPr>
        <w:t>(durch uns) stellt ihre eigene prophetische Legitimität heraus. Aaron war als Hoherpriester und Mirjam als Prophetin (Exodus 15,20) durchaus berechtigt, göttliche Offenbarung zu empfangen.</w:t>
      </w:r>
    </w:p>
    <w:p w14:paraId="74A4FFC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ominöse Schlussnotiz </w:t>
      </w:r>
      <w:r w:rsidRPr="006E39D1">
        <w:rPr>
          <w:rFonts w:eastAsia="Times New Roman" w:cs="Times New Roman"/>
          <w:b/>
          <w:bCs/>
          <w:rtl/>
          <w:lang w:eastAsia="de-DE"/>
        </w:rPr>
        <w:t>וַיִּשְׁמַ֖ע יְהוָֽה</w:t>
      </w:r>
      <w:r w:rsidRPr="006E39D1">
        <w:rPr>
          <w:rFonts w:eastAsia="Times New Roman" w:cs="Times New Roman"/>
          <w:rtl/>
          <w:lang w:eastAsia="de-DE"/>
        </w:rPr>
        <w:t xml:space="preserve"> </w:t>
      </w:r>
      <w:r w:rsidRPr="006E39D1">
        <w:rPr>
          <w:rFonts w:eastAsia="Times New Roman" w:cs="Times New Roman"/>
          <w:lang w:eastAsia="de-DE"/>
        </w:rPr>
        <w:t xml:space="preserve">(und der Ewige hörte es) mit </w:t>
      </w:r>
      <w:r w:rsidRPr="006E39D1">
        <w:rPr>
          <w:rFonts w:eastAsia="Times New Roman" w:cs="Times New Roman"/>
          <w:b/>
          <w:bCs/>
          <w:rtl/>
          <w:lang w:eastAsia="de-DE"/>
        </w:rPr>
        <w:t>יִּשְׁמַע</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שמע</w:t>
      </w:r>
      <w:r w:rsidRPr="006E39D1">
        <w:rPr>
          <w:rFonts w:eastAsia="Times New Roman" w:cs="Times New Roman"/>
          <w:rtl/>
          <w:lang w:eastAsia="de-DE"/>
        </w:rPr>
        <w:t xml:space="preserve"> </w:t>
      </w:r>
      <w:r w:rsidRPr="006E39D1">
        <w:rPr>
          <w:rFonts w:eastAsia="Times New Roman" w:cs="Times New Roman"/>
          <w:lang w:eastAsia="de-DE"/>
        </w:rPr>
        <w:t>(hören) zeigt göttliche Aufmerksamkeit für diese Autoritätsherausforderung und kündigt eine göttliche Reaktion an.</w:t>
      </w:r>
    </w:p>
    <w:p w14:paraId="78F5C6C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הֲרַק אַךְ</w:t>
      </w:r>
      <w:r w:rsidRPr="006E39D1">
        <w:rPr>
          <w:rFonts w:eastAsia="Times New Roman" w:cs="Times New Roman"/>
          <w:rtl/>
          <w:lang w:eastAsia="de-DE"/>
        </w:rPr>
        <w:t xml:space="preserve"> </w:t>
      </w:r>
      <w:r w:rsidRPr="006E39D1">
        <w:rPr>
          <w:rFonts w:eastAsia="Times New Roman" w:cs="Times New Roman"/>
          <w:lang w:eastAsia="de-DE"/>
        </w:rPr>
        <w:t xml:space="preserve">mit μὴ μόνῳ (etwa nur), </w:t>
      </w:r>
      <w:r w:rsidRPr="006E39D1">
        <w:rPr>
          <w:rFonts w:eastAsia="Times New Roman" w:cs="Times New Roman"/>
          <w:b/>
          <w:bCs/>
          <w:rtl/>
          <w:lang w:eastAsia="de-DE"/>
        </w:rPr>
        <w:t>גַּם־בָּנוּ</w:t>
      </w:r>
      <w:r w:rsidRPr="006E39D1">
        <w:rPr>
          <w:rFonts w:eastAsia="Times New Roman" w:cs="Times New Roman"/>
          <w:rtl/>
          <w:lang w:eastAsia="de-DE"/>
        </w:rPr>
        <w:t xml:space="preserve"> </w:t>
      </w:r>
      <w:r w:rsidRPr="006E39D1">
        <w:rPr>
          <w:rFonts w:eastAsia="Times New Roman" w:cs="Times New Roman"/>
          <w:lang w:eastAsia="de-DE"/>
        </w:rPr>
        <w:t xml:space="preserve">mit καὶ ἡμῖν (auch uns) und </w:t>
      </w:r>
      <w:r w:rsidRPr="006E39D1">
        <w:rPr>
          <w:rFonts w:eastAsia="Times New Roman" w:cs="Times New Roman"/>
          <w:b/>
          <w:bCs/>
          <w:rtl/>
          <w:lang w:eastAsia="de-DE"/>
        </w:rPr>
        <w:t>יִּשְׁמַע</w:t>
      </w:r>
      <w:r w:rsidRPr="006E39D1">
        <w:rPr>
          <w:rFonts w:eastAsia="Times New Roman" w:cs="Times New Roman"/>
          <w:rtl/>
          <w:lang w:eastAsia="de-DE"/>
        </w:rPr>
        <w:t xml:space="preserve"> </w:t>
      </w:r>
      <w:r w:rsidRPr="006E39D1">
        <w:rPr>
          <w:rFonts w:eastAsia="Times New Roman" w:cs="Times New Roman"/>
          <w:lang w:eastAsia="de-DE"/>
        </w:rPr>
        <w:t>mit ἤκουσεν (er hörte).</w:t>
      </w:r>
    </w:p>
    <w:p w14:paraId="07D82E7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doppelte rhetorische Frage zur Autoritätsherausforderung und ominöse göttliche Wahrnehmungsnotiz.</w:t>
      </w:r>
    </w:p>
    <w:p w14:paraId="0B7C5C0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enthüllt den wahren Kern der Kritik: nicht Moses Ehe, sondern die Infragestellung seiner einzigartigen prophetischen Autorität.</w:t>
      </w:r>
    </w:p>
    <w:p w14:paraId="68BA5E62"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12,3</w:t>
      </w:r>
    </w:p>
    <w:p w14:paraId="50C3CD7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וְהָאִ֥ישׁ מֹשֶׁ֖ה עָנוֹ מְאֹ֑ד מִכֹּל֙ הָֽאָדָ֔ם אֲשֶׁ֖ר עַל־פְּנֵ֥י הָאֲדָמָֽה׃</w:t>
      </w:r>
    </w:p>
    <w:p w14:paraId="02AEFFD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Der Mann Mosche aber war sehr demütig, mehr als alle Menschen, die auf dem Erdboden waren.</w:t>
      </w:r>
    </w:p>
    <w:p w14:paraId="0E9A97C1"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42EC1597">
          <v:rect id="_x0000_i1417" style="width:0;height:1.5pt" o:hralign="center" o:hrstd="t" o:hr="t" fillcolor="#a0a0a0" stroked="f"/>
        </w:pict>
      </w:r>
    </w:p>
    <w:p w14:paraId="5BBC921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Kommentar:</w:t>
      </w:r>
      <w:r w:rsidRPr="006E39D1">
        <w:rPr>
          <w:rFonts w:eastAsia="Times New Roman" w:cs="Times New Roman"/>
          <w:lang w:eastAsia="de-DE"/>
        </w:rPr>
        <w:t xml:space="preserve"> Das Subjekt </w:t>
      </w:r>
      <w:r w:rsidRPr="006E39D1">
        <w:rPr>
          <w:rFonts w:eastAsia="Times New Roman" w:cs="Times New Roman"/>
          <w:b/>
          <w:bCs/>
          <w:rtl/>
          <w:lang w:eastAsia="de-DE"/>
        </w:rPr>
        <w:t>וְהָאִ֥ישׁ מֹשֶׁ֖ה</w:t>
      </w:r>
      <w:r w:rsidRPr="006E39D1">
        <w:rPr>
          <w:rFonts w:eastAsia="Times New Roman" w:cs="Times New Roman"/>
          <w:rtl/>
          <w:lang w:eastAsia="de-DE"/>
        </w:rPr>
        <w:t xml:space="preserve"> </w:t>
      </w:r>
      <w:r w:rsidRPr="006E39D1">
        <w:rPr>
          <w:rFonts w:eastAsia="Times New Roman" w:cs="Times New Roman"/>
          <w:lang w:eastAsia="de-DE"/>
        </w:rPr>
        <w:t xml:space="preserve">(und der Mann Mose) mit der Charakterisierung </w:t>
      </w:r>
      <w:r w:rsidRPr="006E39D1">
        <w:rPr>
          <w:rFonts w:eastAsia="Times New Roman" w:cs="Times New Roman"/>
          <w:b/>
          <w:bCs/>
          <w:rtl/>
          <w:lang w:eastAsia="de-DE"/>
        </w:rPr>
        <w:t>הָאִישׁ</w:t>
      </w:r>
      <w:r w:rsidRPr="006E39D1">
        <w:rPr>
          <w:rFonts w:eastAsia="Times New Roman" w:cs="Times New Roman"/>
          <w:rtl/>
          <w:lang w:eastAsia="de-DE"/>
        </w:rPr>
        <w:t xml:space="preserve"> </w:t>
      </w:r>
      <w:r w:rsidRPr="006E39D1">
        <w:rPr>
          <w:rFonts w:eastAsia="Times New Roman" w:cs="Times New Roman"/>
          <w:lang w:eastAsia="de-DE"/>
        </w:rPr>
        <w:t xml:space="preserve">(der Mann) betont Moses menschliche Dimension im Kontrast zu seiner prophetischen Rolle. </w:t>
      </w:r>
      <w:r w:rsidRPr="006E39D1">
        <w:rPr>
          <w:rFonts w:eastAsia="Times New Roman" w:cs="Times New Roman"/>
          <w:b/>
          <w:bCs/>
          <w:rtl/>
          <w:lang w:eastAsia="de-DE"/>
        </w:rPr>
        <w:t>עָנוֹ מְאֹ֑ד</w:t>
      </w:r>
      <w:r w:rsidRPr="006E39D1">
        <w:rPr>
          <w:rFonts w:eastAsia="Times New Roman" w:cs="Times New Roman"/>
          <w:rtl/>
          <w:lang w:eastAsia="de-DE"/>
        </w:rPr>
        <w:t xml:space="preserve"> </w:t>
      </w:r>
      <w:r w:rsidRPr="006E39D1">
        <w:rPr>
          <w:rFonts w:eastAsia="Times New Roman" w:cs="Times New Roman"/>
          <w:lang w:eastAsia="de-DE"/>
        </w:rPr>
        <w:t xml:space="preserve">(sehr demütig) mit </w:t>
      </w:r>
      <w:r w:rsidRPr="006E39D1">
        <w:rPr>
          <w:rFonts w:eastAsia="Times New Roman" w:cs="Times New Roman"/>
          <w:b/>
          <w:bCs/>
          <w:rtl/>
          <w:lang w:eastAsia="de-DE"/>
        </w:rPr>
        <w:t>עָנָו</w:t>
      </w:r>
      <w:r w:rsidRPr="006E39D1">
        <w:rPr>
          <w:rFonts w:eastAsia="Times New Roman" w:cs="Times New Roman"/>
          <w:rtl/>
          <w:lang w:eastAsia="de-DE"/>
        </w:rPr>
        <w:t xml:space="preserve"> </w:t>
      </w:r>
      <w:r w:rsidRPr="006E39D1">
        <w:rPr>
          <w:rFonts w:eastAsia="Times New Roman" w:cs="Times New Roman"/>
          <w:lang w:eastAsia="de-DE"/>
        </w:rPr>
        <w:t xml:space="preserve">(demütig) von der Wurzel </w:t>
      </w:r>
      <w:r w:rsidRPr="006E39D1">
        <w:rPr>
          <w:rFonts w:eastAsia="Times New Roman" w:cs="Times New Roman"/>
          <w:b/>
          <w:bCs/>
          <w:rtl/>
          <w:lang w:eastAsia="de-DE"/>
        </w:rPr>
        <w:t>ענה</w:t>
      </w:r>
      <w:r w:rsidRPr="006E39D1">
        <w:rPr>
          <w:rFonts w:eastAsia="Times New Roman" w:cs="Times New Roman"/>
          <w:rtl/>
          <w:lang w:eastAsia="de-DE"/>
        </w:rPr>
        <w:t xml:space="preserve"> </w:t>
      </w:r>
      <w:r w:rsidRPr="006E39D1">
        <w:rPr>
          <w:rFonts w:eastAsia="Times New Roman" w:cs="Times New Roman"/>
          <w:lang w:eastAsia="de-DE"/>
        </w:rPr>
        <w:t xml:space="preserve">(sich beugen/demütig sein) und </w:t>
      </w:r>
      <w:r w:rsidRPr="006E39D1">
        <w:rPr>
          <w:rFonts w:eastAsia="Times New Roman" w:cs="Times New Roman"/>
          <w:b/>
          <w:bCs/>
          <w:rtl/>
          <w:lang w:eastAsia="de-DE"/>
        </w:rPr>
        <w:t>מְאֹד</w:t>
      </w:r>
      <w:r w:rsidRPr="006E39D1">
        <w:rPr>
          <w:rFonts w:eastAsia="Times New Roman" w:cs="Times New Roman"/>
          <w:rtl/>
          <w:lang w:eastAsia="de-DE"/>
        </w:rPr>
        <w:t xml:space="preserve"> </w:t>
      </w:r>
      <w:r w:rsidRPr="006E39D1">
        <w:rPr>
          <w:rFonts w:eastAsia="Times New Roman" w:cs="Times New Roman"/>
          <w:lang w:eastAsia="de-DE"/>
        </w:rPr>
        <w:t>(sehr) zeigt Moses außergewöhnliche Charaktereigenschaft.</w:t>
      </w:r>
    </w:p>
    <w:p w14:paraId="6C3E72E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Vergleichskonstruktion </w:t>
      </w:r>
      <w:r w:rsidRPr="006E39D1">
        <w:rPr>
          <w:rFonts w:eastAsia="Times New Roman" w:cs="Times New Roman"/>
          <w:b/>
          <w:bCs/>
          <w:rtl/>
          <w:lang w:eastAsia="de-DE"/>
        </w:rPr>
        <w:t>מִכֹּל֙ הָֽאָדָ֔ם אֲשֶׁ֖ר עַל־פְּנֵ֥י הָאֲדָמָֽה</w:t>
      </w:r>
      <w:r w:rsidRPr="006E39D1">
        <w:rPr>
          <w:rFonts w:eastAsia="Times New Roman" w:cs="Times New Roman"/>
          <w:rtl/>
          <w:lang w:eastAsia="de-DE"/>
        </w:rPr>
        <w:t xml:space="preserve"> </w:t>
      </w:r>
      <w:r w:rsidRPr="006E39D1">
        <w:rPr>
          <w:rFonts w:eastAsia="Times New Roman" w:cs="Times New Roman"/>
          <w:lang w:eastAsia="de-DE"/>
        </w:rPr>
        <w:t xml:space="preserve">(mehr als alle Menschen, die auf der Oberfläche der Erde sind) mit </w:t>
      </w:r>
      <w:r w:rsidRPr="006E39D1">
        <w:rPr>
          <w:rFonts w:eastAsia="Times New Roman" w:cs="Times New Roman"/>
          <w:b/>
          <w:bCs/>
          <w:rtl/>
          <w:lang w:eastAsia="de-DE"/>
        </w:rPr>
        <w:t>מִכֹּל</w:t>
      </w:r>
      <w:r w:rsidRPr="006E39D1">
        <w:rPr>
          <w:rFonts w:eastAsia="Times New Roman" w:cs="Times New Roman"/>
          <w:rtl/>
          <w:lang w:eastAsia="de-DE"/>
        </w:rPr>
        <w:t xml:space="preserve"> </w:t>
      </w:r>
      <w:r w:rsidRPr="006E39D1">
        <w:rPr>
          <w:rFonts w:eastAsia="Times New Roman" w:cs="Times New Roman"/>
          <w:lang w:eastAsia="de-DE"/>
        </w:rPr>
        <w:t xml:space="preserve">(mehr als alle), </w:t>
      </w:r>
      <w:r w:rsidRPr="006E39D1">
        <w:rPr>
          <w:rFonts w:eastAsia="Times New Roman" w:cs="Times New Roman"/>
          <w:b/>
          <w:bCs/>
          <w:rtl/>
          <w:lang w:eastAsia="de-DE"/>
        </w:rPr>
        <w:t>הָאָדָם</w:t>
      </w:r>
      <w:r w:rsidRPr="006E39D1">
        <w:rPr>
          <w:rFonts w:eastAsia="Times New Roman" w:cs="Times New Roman"/>
          <w:rtl/>
          <w:lang w:eastAsia="de-DE"/>
        </w:rPr>
        <w:t xml:space="preserve"> </w:t>
      </w:r>
      <w:r w:rsidRPr="006E39D1">
        <w:rPr>
          <w:rFonts w:eastAsia="Times New Roman" w:cs="Times New Roman"/>
          <w:lang w:eastAsia="de-DE"/>
        </w:rPr>
        <w:t xml:space="preserve">(die Menschen) und </w:t>
      </w:r>
      <w:r w:rsidRPr="006E39D1">
        <w:rPr>
          <w:rFonts w:eastAsia="Times New Roman" w:cs="Times New Roman"/>
          <w:b/>
          <w:bCs/>
          <w:rtl/>
          <w:lang w:eastAsia="de-DE"/>
        </w:rPr>
        <w:t>עַל־פְּנֵי הָאֲדָמָה</w:t>
      </w:r>
      <w:r w:rsidRPr="006E39D1">
        <w:rPr>
          <w:rFonts w:eastAsia="Times New Roman" w:cs="Times New Roman"/>
          <w:rtl/>
          <w:lang w:eastAsia="de-DE"/>
        </w:rPr>
        <w:t xml:space="preserve"> </w:t>
      </w:r>
      <w:r w:rsidRPr="006E39D1">
        <w:rPr>
          <w:rFonts w:eastAsia="Times New Roman" w:cs="Times New Roman"/>
          <w:lang w:eastAsia="de-DE"/>
        </w:rPr>
        <w:t>(auf der Oberfläche der Erde) zeigt Moses unvergleichliche Demut im universellen Kontext.</w:t>
      </w:r>
    </w:p>
    <w:p w14:paraId="32CBA26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 parenthetische Bemerkung des Erzählers erklärt, warum Mose nicht selbst auf die Kritik reagiert - seine Demut verhindert Selbstverteidigung.</w:t>
      </w:r>
    </w:p>
    <w:p w14:paraId="4921F4CD" w14:textId="7EDDBC04"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übersetzt das hebräische „</w:t>
      </w:r>
      <w:r w:rsidR="00497CF8">
        <w:rPr>
          <w:rtl/>
        </w:rPr>
        <w:t>עָנָו</w:t>
      </w:r>
      <w:r w:rsidR="00497CF8">
        <w:t>" (demütig/bescheiden) mit „πραῢς" (sanftmütig/milde), was eine leichte Nuancenverschiebung von Demut zu Sanftmut darstellt.</w:t>
      </w:r>
    </w:p>
    <w:p w14:paraId="36B93CD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erzählerische Charakterisierung mit Superlativ und universeller Vergleichsangabe.</w:t>
      </w:r>
    </w:p>
    <w:p w14:paraId="7B5F817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bietet den Schlüssel zum Verständnis der Episode: Moses Demut macht göttliches Eingreifen notwendig.</w:t>
      </w:r>
    </w:p>
    <w:p w14:paraId="19F73E2D"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12,4</w:t>
      </w:r>
    </w:p>
    <w:p w14:paraId="3D190CC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וַיֹּ֨אמֶר יְהוָ֜ה פִּתְאֹ֗ם אֶל־מֹשֶׁ֤ה וְאֶֽל־אַהֲרֹן֙ וְאֶל־מִרְיָ֔ם צְא֥וּ שְׁלָשְׁתְּכֶ֖ם אֶל־אֹ֣הֶל מוֹעֵ֑ד וַיֵּצְא֖וּ שְׁלָשְׁתָּֽם׃</w:t>
      </w:r>
    </w:p>
    <w:p w14:paraId="050D071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plötzlich sprach der Ewige zu Mosche und zu 'Aharon und zu Mirjam: Geht ihr drei hinaus zum Zelt der Begegnung! Und sie gingen alle drei hinaus.</w:t>
      </w:r>
    </w:p>
    <w:p w14:paraId="5FD6B9ED"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76052A4D">
          <v:rect id="_x0000_i1418" style="width:0;height:1.5pt" o:hralign="center" o:hrstd="t" o:hr="t" fillcolor="#a0a0a0" stroked="f"/>
        </w:pict>
      </w:r>
    </w:p>
    <w:p w14:paraId="4BA7A37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 יְהוָ֜ה פִּתְאֹ֗ם</w:t>
      </w:r>
      <w:r w:rsidRPr="006E39D1">
        <w:rPr>
          <w:rFonts w:eastAsia="Times New Roman" w:cs="Times New Roman"/>
          <w:rtl/>
          <w:lang w:eastAsia="de-DE"/>
        </w:rPr>
        <w:t xml:space="preserve"> </w:t>
      </w:r>
      <w:r w:rsidRPr="006E39D1">
        <w:rPr>
          <w:rFonts w:eastAsia="Times New Roman" w:cs="Times New Roman"/>
          <w:lang w:eastAsia="de-DE"/>
        </w:rPr>
        <w:t xml:space="preserve">(und der Ewige sprach plötzlich) mit </w:t>
      </w:r>
      <w:r w:rsidRPr="006E39D1">
        <w:rPr>
          <w:rFonts w:eastAsia="Times New Roman" w:cs="Times New Roman"/>
          <w:b/>
          <w:bCs/>
          <w:rtl/>
          <w:lang w:eastAsia="de-DE"/>
        </w:rPr>
        <w:t>פִּתְאֹם</w:t>
      </w:r>
      <w:r w:rsidRPr="006E39D1">
        <w:rPr>
          <w:rFonts w:eastAsia="Times New Roman" w:cs="Times New Roman"/>
          <w:rtl/>
          <w:lang w:eastAsia="de-DE"/>
        </w:rPr>
        <w:t xml:space="preserve"> </w:t>
      </w:r>
      <w:r w:rsidRPr="006E39D1">
        <w:rPr>
          <w:rFonts w:eastAsia="Times New Roman" w:cs="Times New Roman"/>
          <w:lang w:eastAsia="de-DE"/>
        </w:rPr>
        <w:t>(plötzlich) zeigt die unmittelbare göttliche Reaktion auf die Kritik. Die Plötzlichkeit unterstreicht die Schwere des Vergehens und die Notwendigkeit sofortigen Eingreifens.</w:t>
      </w:r>
    </w:p>
    <w:p w14:paraId="7938164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dreifache Anrede </w:t>
      </w:r>
      <w:r w:rsidRPr="006E39D1">
        <w:rPr>
          <w:rFonts w:eastAsia="Times New Roman" w:cs="Times New Roman"/>
          <w:b/>
          <w:bCs/>
          <w:rtl/>
          <w:lang w:eastAsia="de-DE"/>
        </w:rPr>
        <w:t>אֶל־מֹשֶׁ֤ה וְאֶֽל־אַהֲרֹן֙ וְאֶל־מִרְיָ֔ם</w:t>
      </w:r>
      <w:r w:rsidRPr="006E39D1">
        <w:rPr>
          <w:rFonts w:eastAsia="Times New Roman" w:cs="Times New Roman"/>
          <w:rtl/>
          <w:lang w:eastAsia="de-DE"/>
        </w:rPr>
        <w:t xml:space="preserve"> </w:t>
      </w:r>
      <w:r w:rsidRPr="006E39D1">
        <w:rPr>
          <w:rFonts w:eastAsia="Times New Roman" w:cs="Times New Roman"/>
          <w:lang w:eastAsia="de-DE"/>
        </w:rPr>
        <w:t xml:space="preserve">mit der wiederholten Präposition </w:t>
      </w:r>
      <w:r w:rsidRPr="006E39D1">
        <w:rPr>
          <w:rFonts w:eastAsia="Times New Roman" w:cs="Times New Roman"/>
          <w:b/>
          <w:bCs/>
          <w:rtl/>
          <w:lang w:eastAsia="de-DE"/>
        </w:rPr>
        <w:t>אֶל</w:t>
      </w:r>
      <w:r w:rsidRPr="006E39D1">
        <w:rPr>
          <w:rFonts w:eastAsia="Times New Roman" w:cs="Times New Roman"/>
          <w:rtl/>
          <w:lang w:eastAsia="de-DE"/>
        </w:rPr>
        <w:t xml:space="preserve"> </w:t>
      </w:r>
      <w:r w:rsidRPr="006E39D1">
        <w:rPr>
          <w:rFonts w:eastAsia="Times New Roman" w:cs="Times New Roman"/>
          <w:lang w:eastAsia="de-DE"/>
        </w:rPr>
        <w:t xml:space="preserve">(zu) behandelt alle drei gleich als Gerufene. Der Imperativ </w:t>
      </w:r>
      <w:r w:rsidRPr="006E39D1">
        <w:rPr>
          <w:rFonts w:eastAsia="Times New Roman" w:cs="Times New Roman"/>
          <w:b/>
          <w:bCs/>
          <w:rtl/>
          <w:lang w:eastAsia="de-DE"/>
        </w:rPr>
        <w:t>צְא֥וּ שְׁלָשְׁתְּכֶ֖ם אֶל־אֹ֣הֶל מוֹעֵ֑ד</w:t>
      </w:r>
      <w:r w:rsidRPr="006E39D1">
        <w:rPr>
          <w:rFonts w:eastAsia="Times New Roman" w:cs="Times New Roman"/>
          <w:rtl/>
          <w:lang w:eastAsia="de-DE"/>
        </w:rPr>
        <w:t xml:space="preserve"> </w:t>
      </w:r>
      <w:r w:rsidRPr="006E39D1">
        <w:rPr>
          <w:rFonts w:eastAsia="Times New Roman" w:cs="Times New Roman"/>
          <w:lang w:eastAsia="de-DE"/>
        </w:rPr>
        <w:t xml:space="preserve">(geht ihr drei hinaus zum Zelt der Begegnung) mit </w:t>
      </w:r>
      <w:r w:rsidRPr="006E39D1">
        <w:rPr>
          <w:rFonts w:eastAsia="Times New Roman" w:cs="Times New Roman"/>
          <w:b/>
          <w:bCs/>
          <w:rtl/>
          <w:lang w:eastAsia="de-DE"/>
        </w:rPr>
        <w:t>צְאוּ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יצא</w:t>
      </w:r>
      <w:r w:rsidRPr="006E39D1">
        <w:rPr>
          <w:rFonts w:eastAsia="Times New Roman" w:cs="Times New Roman"/>
          <w:rtl/>
          <w:lang w:eastAsia="de-DE"/>
        </w:rPr>
        <w:t xml:space="preserve"> </w:t>
      </w:r>
      <w:r w:rsidRPr="006E39D1">
        <w:rPr>
          <w:rFonts w:eastAsia="Times New Roman" w:cs="Times New Roman"/>
          <w:lang w:eastAsia="de-DE"/>
        </w:rPr>
        <w:t xml:space="preserve">(hinausgehen) im Qal-Imperativ Plural und </w:t>
      </w:r>
      <w:r w:rsidRPr="006E39D1">
        <w:rPr>
          <w:rFonts w:eastAsia="Times New Roman" w:cs="Times New Roman"/>
          <w:b/>
          <w:bCs/>
          <w:rtl/>
          <w:lang w:eastAsia="de-DE"/>
        </w:rPr>
        <w:t>שְׁלָשְׁתְּכֶם</w:t>
      </w:r>
      <w:r w:rsidRPr="006E39D1">
        <w:rPr>
          <w:rFonts w:eastAsia="Times New Roman" w:cs="Times New Roman"/>
          <w:rtl/>
          <w:lang w:eastAsia="de-DE"/>
        </w:rPr>
        <w:t xml:space="preserve"> </w:t>
      </w:r>
      <w:r w:rsidRPr="006E39D1">
        <w:rPr>
          <w:rFonts w:eastAsia="Times New Roman" w:cs="Times New Roman"/>
          <w:lang w:eastAsia="de-DE"/>
        </w:rPr>
        <w:t>(ihr drei) betont die gemeinsame Vorladung.</w:t>
      </w:r>
    </w:p>
    <w:p w14:paraId="77BB852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gehorsame Reaktion </w:t>
      </w:r>
      <w:r w:rsidRPr="006E39D1">
        <w:rPr>
          <w:rFonts w:eastAsia="Times New Roman" w:cs="Times New Roman"/>
          <w:b/>
          <w:bCs/>
          <w:rtl/>
          <w:lang w:eastAsia="de-DE"/>
        </w:rPr>
        <w:t>וַיֵּצְא֖וּ שְׁלָשְׁתָּֽם</w:t>
      </w:r>
      <w:r w:rsidRPr="006E39D1">
        <w:rPr>
          <w:rFonts w:eastAsia="Times New Roman" w:cs="Times New Roman"/>
          <w:rtl/>
          <w:lang w:eastAsia="de-DE"/>
        </w:rPr>
        <w:t xml:space="preserve"> </w:t>
      </w:r>
      <w:r w:rsidRPr="006E39D1">
        <w:rPr>
          <w:rFonts w:eastAsia="Times New Roman" w:cs="Times New Roman"/>
          <w:lang w:eastAsia="de-DE"/>
        </w:rPr>
        <w:t xml:space="preserve">(und sie gingen hinaus, alle drei) mit </w:t>
      </w:r>
      <w:r w:rsidRPr="006E39D1">
        <w:rPr>
          <w:rFonts w:eastAsia="Times New Roman" w:cs="Times New Roman"/>
          <w:b/>
          <w:bCs/>
          <w:rtl/>
          <w:lang w:eastAsia="de-DE"/>
        </w:rPr>
        <w:t>יֵּצְאוּ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יצא</w:t>
      </w:r>
      <w:r w:rsidRPr="006E39D1">
        <w:rPr>
          <w:rFonts w:eastAsia="Times New Roman" w:cs="Times New Roman"/>
          <w:rtl/>
          <w:lang w:eastAsia="de-DE"/>
        </w:rPr>
        <w:t xml:space="preserve"> </w:t>
      </w:r>
      <w:r w:rsidRPr="006E39D1">
        <w:rPr>
          <w:rFonts w:eastAsia="Times New Roman" w:cs="Times New Roman"/>
          <w:lang w:eastAsia="de-DE"/>
        </w:rPr>
        <w:t xml:space="preserve">(hinausgehen) und </w:t>
      </w:r>
      <w:r w:rsidRPr="006E39D1">
        <w:rPr>
          <w:rFonts w:eastAsia="Times New Roman" w:cs="Times New Roman"/>
          <w:b/>
          <w:bCs/>
          <w:rtl/>
          <w:lang w:eastAsia="de-DE"/>
        </w:rPr>
        <w:t>שְׁלָשְׁתָּם</w:t>
      </w:r>
      <w:r w:rsidRPr="006E39D1">
        <w:rPr>
          <w:rFonts w:eastAsia="Times New Roman" w:cs="Times New Roman"/>
          <w:rtl/>
          <w:lang w:eastAsia="de-DE"/>
        </w:rPr>
        <w:t xml:space="preserve"> </w:t>
      </w:r>
      <w:r w:rsidRPr="006E39D1">
        <w:rPr>
          <w:rFonts w:eastAsia="Times New Roman" w:cs="Times New Roman"/>
          <w:lang w:eastAsia="de-DE"/>
        </w:rPr>
        <w:t>(alle drei) zeigt sofortigen Gehorsam gegenüber dem göttlichen Befehl.</w:t>
      </w:r>
    </w:p>
    <w:p w14:paraId="6FEFD73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פִּתְאֹם</w:t>
      </w:r>
      <w:r w:rsidRPr="006E39D1">
        <w:rPr>
          <w:rFonts w:eastAsia="Times New Roman" w:cs="Times New Roman"/>
          <w:rtl/>
          <w:lang w:eastAsia="de-DE"/>
        </w:rPr>
        <w:t xml:space="preserve"> </w:t>
      </w:r>
      <w:r w:rsidRPr="006E39D1">
        <w:rPr>
          <w:rFonts w:eastAsia="Times New Roman" w:cs="Times New Roman"/>
          <w:lang w:eastAsia="de-DE"/>
        </w:rPr>
        <w:t xml:space="preserve">mit ἐξαίφνης (plötzlich), </w:t>
      </w:r>
      <w:r w:rsidRPr="006E39D1">
        <w:rPr>
          <w:rFonts w:eastAsia="Times New Roman" w:cs="Times New Roman"/>
          <w:b/>
          <w:bCs/>
          <w:rtl/>
          <w:lang w:eastAsia="de-DE"/>
        </w:rPr>
        <w:t>צְאוּ</w:t>
      </w:r>
      <w:r w:rsidRPr="006E39D1">
        <w:rPr>
          <w:rFonts w:eastAsia="Times New Roman" w:cs="Times New Roman"/>
          <w:rtl/>
          <w:lang w:eastAsia="de-DE"/>
        </w:rPr>
        <w:t xml:space="preserve"> </w:t>
      </w:r>
      <w:r w:rsidRPr="006E39D1">
        <w:rPr>
          <w:rFonts w:eastAsia="Times New Roman" w:cs="Times New Roman"/>
          <w:lang w:eastAsia="de-DE"/>
        </w:rPr>
        <w:t xml:space="preserve">mit ἐξέλθατε (geht hinaus) und </w:t>
      </w:r>
      <w:r w:rsidRPr="006E39D1">
        <w:rPr>
          <w:rFonts w:eastAsia="Times New Roman" w:cs="Times New Roman"/>
          <w:b/>
          <w:bCs/>
          <w:rtl/>
          <w:lang w:eastAsia="de-DE"/>
        </w:rPr>
        <w:t>שְׁלָשְׁתְּכֶם</w:t>
      </w:r>
      <w:r w:rsidRPr="006E39D1">
        <w:rPr>
          <w:rFonts w:eastAsia="Times New Roman" w:cs="Times New Roman"/>
          <w:rtl/>
          <w:lang w:eastAsia="de-DE"/>
        </w:rPr>
        <w:t xml:space="preserve"> </w:t>
      </w:r>
      <w:r w:rsidRPr="006E39D1">
        <w:rPr>
          <w:rFonts w:eastAsia="Times New Roman" w:cs="Times New Roman"/>
          <w:lang w:eastAsia="de-DE"/>
        </w:rPr>
        <w:t>mit τρεῖς ὑμεῖς (ihr drei).</w:t>
      </w:r>
    </w:p>
    <w:p w14:paraId="5F21810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plötzliche göttliche Intervention, kollektive Vorladung und gehorsame Reaktion.</w:t>
      </w:r>
    </w:p>
    <w:p w14:paraId="235EB33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Dieser Vers etabliert die dramatische Gerichtsszene mit allen Beteiligten vor dem Zelt der Begegnung.</w:t>
      </w:r>
    </w:p>
    <w:p w14:paraId="030F2DFD"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12,5</w:t>
      </w:r>
    </w:p>
    <w:p w14:paraId="7863FBE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וַיֵּ֤רֶד יְהוָה֙ בְּעַמּ֣וּד עָנָ֔ן וַֽיַּעֲמֹ֖ד פֶּ֣תַח הָאֹ֑הֶל וַיִּקְרָא֙ אַהֲרֹ֣ן וּמִרְיָ֔ם וַיֵּצְא֖וּ שְׁנֵיהֶֽם׃</w:t>
      </w:r>
    </w:p>
    <w:p w14:paraId="2EC4BC1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der Ewige kam herab in einer Wolkensäule und stand am Eingang des Zeltes; und er rief 'Aharon und Mirjam, und die beiden gingen hinaus.</w:t>
      </w:r>
    </w:p>
    <w:p w14:paraId="4C6FCA97"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3F34D41E">
          <v:rect id="_x0000_i1419" style="width:0;height:1.5pt" o:hralign="center" o:hrstd="t" o:hr="t" fillcolor="#a0a0a0" stroked="f"/>
        </w:pict>
      </w:r>
    </w:p>
    <w:p w14:paraId="77BBEAB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Theophanie </w:t>
      </w:r>
      <w:r w:rsidRPr="006E39D1">
        <w:rPr>
          <w:rFonts w:eastAsia="Times New Roman" w:cs="Times New Roman"/>
          <w:b/>
          <w:bCs/>
          <w:rtl/>
          <w:lang w:eastAsia="de-DE"/>
        </w:rPr>
        <w:t>וַיֵּ֤רֶד יְהוָה֙ בְּעַמּ֣וּד עָנָ֔ן</w:t>
      </w:r>
      <w:r w:rsidRPr="006E39D1">
        <w:rPr>
          <w:rFonts w:eastAsia="Times New Roman" w:cs="Times New Roman"/>
          <w:rtl/>
          <w:lang w:eastAsia="de-DE"/>
        </w:rPr>
        <w:t xml:space="preserve"> </w:t>
      </w:r>
      <w:r w:rsidRPr="006E39D1">
        <w:rPr>
          <w:rFonts w:eastAsia="Times New Roman" w:cs="Times New Roman"/>
          <w:lang w:eastAsia="de-DE"/>
        </w:rPr>
        <w:t xml:space="preserve">(und der Ewige kam herab in einer Wolkensäule) mit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(herabkommen) und </w:t>
      </w:r>
      <w:r w:rsidRPr="006E39D1">
        <w:rPr>
          <w:rFonts w:eastAsia="Times New Roman" w:cs="Times New Roman"/>
          <w:b/>
          <w:bCs/>
          <w:rtl/>
          <w:lang w:eastAsia="de-DE"/>
        </w:rPr>
        <w:t>בְּעַמּוּד עָנָן</w:t>
      </w:r>
      <w:r w:rsidRPr="006E39D1">
        <w:rPr>
          <w:rFonts w:eastAsia="Times New Roman" w:cs="Times New Roman"/>
          <w:rtl/>
          <w:lang w:eastAsia="de-DE"/>
        </w:rPr>
        <w:t xml:space="preserve"> </w:t>
      </w:r>
      <w:r w:rsidRPr="006E39D1">
        <w:rPr>
          <w:rFonts w:eastAsia="Times New Roman" w:cs="Times New Roman"/>
          <w:lang w:eastAsia="de-DE"/>
        </w:rPr>
        <w:t>(in einer Wolkensäule) zeigt die sichtbare göttliche Präsenz für das Gericht.</w:t>
      </w:r>
    </w:p>
    <w:p w14:paraId="7F27F22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Positionierung </w:t>
      </w:r>
      <w:r w:rsidRPr="006E39D1">
        <w:rPr>
          <w:rFonts w:eastAsia="Times New Roman" w:cs="Times New Roman"/>
          <w:b/>
          <w:bCs/>
          <w:rtl/>
          <w:lang w:eastAsia="de-DE"/>
        </w:rPr>
        <w:t>וַֽיַּעֲמֹ֖ד פֶּ֣תַח הָאֹ֑הֶל</w:t>
      </w:r>
      <w:r w:rsidRPr="006E39D1">
        <w:rPr>
          <w:rFonts w:eastAsia="Times New Roman" w:cs="Times New Roman"/>
          <w:rtl/>
          <w:lang w:eastAsia="de-DE"/>
        </w:rPr>
        <w:t xml:space="preserve"> </w:t>
      </w:r>
      <w:r w:rsidRPr="006E39D1">
        <w:rPr>
          <w:rFonts w:eastAsia="Times New Roman" w:cs="Times New Roman"/>
          <w:lang w:eastAsia="de-DE"/>
        </w:rPr>
        <w:t xml:space="preserve">(und er stand am Eingang des Zeltes) mit </w:t>
      </w:r>
      <w:r w:rsidRPr="006E39D1">
        <w:rPr>
          <w:rFonts w:eastAsia="Times New Roman" w:cs="Times New Roman"/>
          <w:b/>
          <w:bCs/>
          <w:rtl/>
          <w:lang w:eastAsia="de-DE"/>
        </w:rPr>
        <w:t>יַּעֲמֹד</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עמד</w:t>
      </w:r>
      <w:r w:rsidRPr="006E39D1">
        <w:rPr>
          <w:rFonts w:eastAsia="Times New Roman" w:cs="Times New Roman"/>
          <w:rtl/>
          <w:lang w:eastAsia="de-DE"/>
        </w:rPr>
        <w:t xml:space="preserve"> </w:t>
      </w:r>
      <w:r w:rsidRPr="006E39D1">
        <w:rPr>
          <w:rFonts w:eastAsia="Times New Roman" w:cs="Times New Roman"/>
          <w:lang w:eastAsia="de-DE"/>
        </w:rPr>
        <w:t xml:space="preserve">(stehen) und </w:t>
      </w:r>
      <w:r w:rsidRPr="006E39D1">
        <w:rPr>
          <w:rFonts w:eastAsia="Times New Roman" w:cs="Times New Roman"/>
          <w:b/>
          <w:bCs/>
          <w:rtl/>
          <w:lang w:eastAsia="de-DE"/>
        </w:rPr>
        <w:t>פֶּתַח הָאֹהֶל</w:t>
      </w:r>
      <w:r w:rsidRPr="006E39D1">
        <w:rPr>
          <w:rFonts w:eastAsia="Times New Roman" w:cs="Times New Roman"/>
          <w:rtl/>
          <w:lang w:eastAsia="de-DE"/>
        </w:rPr>
        <w:t xml:space="preserve"> </w:t>
      </w:r>
      <w:r w:rsidRPr="006E39D1">
        <w:rPr>
          <w:rFonts w:eastAsia="Times New Roman" w:cs="Times New Roman"/>
          <w:lang w:eastAsia="de-DE"/>
        </w:rPr>
        <w:t>(Eingang des Zeltes) etabliert den Gerichtsort.</w:t>
      </w:r>
    </w:p>
    <w:p w14:paraId="3A81984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selektive Vorladung </w:t>
      </w:r>
      <w:r w:rsidRPr="006E39D1">
        <w:rPr>
          <w:rFonts w:eastAsia="Times New Roman" w:cs="Times New Roman"/>
          <w:b/>
          <w:bCs/>
          <w:rtl/>
          <w:lang w:eastAsia="de-DE"/>
        </w:rPr>
        <w:t>וַיִּקְרָא֙ אַהֲרֹ֣ן וּמִרְיָ֔ם</w:t>
      </w:r>
      <w:r w:rsidRPr="006E39D1">
        <w:rPr>
          <w:rFonts w:eastAsia="Times New Roman" w:cs="Times New Roman"/>
          <w:rtl/>
          <w:lang w:eastAsia="de-DE"/>
        </w:rPr>
        <w:t xml:space="preserve"> </w:t>
      </w:r>
      <w:r w:rsidRPr="006E39D1">
        <w:rPr>
          <w:rFonts w:eastAsia="Times New Roman" w:cs="Times New Roman"/>
          <w:lang w:eastAsia="de-DE"/>
        </w:rPr>
        <w:t xml:space="preserve">(und er rief Aaron und Mirjam) mit </w:t>
      </w:r>
      <w:r w:rsidRPr="006E39D1">
        <w:rPr>
          <w:rFonts w:eastAsia="Times New Roman" w:cs="Times New Roman"/>
          <w:b/>
          <w:bCs/>
          <w:rtl/>
          <w:lang w:eastAsia="de-DE"/>
        </w:rPr>
        <w:t>יִּקְרָא</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קרא</w:t>
      </w:r>
      <w:r w:rsidRPr="006E39D1">
        <w:rPr>
          <w:rFonts w:eastAsia="Times New Roman" w:cs="Times New Roman"/>
          <w:rtl/>
          <w:lang w:eastAsia="de-DE"/>
        </w:rPr>
        <w:t xml:space="preserve"> </w:t>
      </w:r>
      <w:r w:rsidRPr="006E39D1">
        <w:rPr>
          <w:rFonts w:eastAsia="Times New Roman" w:cs="Times New Roman"/>
          <w:lang w:eastAsia="de-DE"/>
        </w:rPr>
        <w:t>(rufen) zeigt signifikant, dass nur die Kritiker vorgeladen werden - Mose bleibt zurück.</w:t>
      </w:r>
    </w:p>
    <w:p w14:paraId="18BB10F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gehorsame Reaktion </w:t>
      </w:r>
      <w:r w:rsidRPr="006E39D1">
        <w:rPr>
          <w:rFonts w:eastAsia="Times New Roman" w:cs="Times New Roman"/>
          <w:b/>
          <w:bCs/>
          <w:rtl/>
          <w:lang w:eastAsia="de-DE"/>
        </w:rPr>
        <w:t>וַיֵּצְא֖וּ שְׁנֵיהֶֽם</w:t>
      </w:r>
      <w:r w:rsidRPr="006E39D1">
        <w:rPr>
          <w:rFonts w:eastAsia="Times New Roman" w:cs="Times New Roman"/>
          <w:rtl/>
          <w:lang w:eastAsia="de-DE"/>
        </w:rPr>
        <w:t xml:space="preserve"> </w:t>
      </w:r>
      <w:r w:rsidRPr="006E39D1">
        <w:rPr>
          <w:rFonts w:eastAsia="Times New Roman" w:cs="Times New Roman"/>
          <w:lang w:eastAsia="de-DE"/>
        </w:rPr>
        <w:t xml:space="preserve">(und die beiden gingen hinaus) mit </w:t>
      </w:r>
      <w:r w:rsidRPr="006E39D1">
        <w:rPr>
          <w:rFonts w:eastAsia="Times New Roman" w:cs="Times New Roman"/>
          <w:b/>
          <w:bCs/>
          <w:rtl/>
          <w:lang w:eastAsia="de-DE"/>
        </w:rPr>
        <w:t>יֵּצְאוּ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יצא</w:t>
      </w:r>
      <w:r w:rsidRPr="006E39D1">
        <w:rPr>
          <w:rFonts w:eastAsia="Times New Roman" w:cs="Times New Roman"/>
          <w:rtl/>
          <w:lang w:eastAsia="de-DE"/>
        </w:rPr>
        <w:t xml:space="preserve"> </w:t>
      </w:r>
      <w:r w:rsidRPr="006E39D1">
        <w:rPr>
          <w:rFonts w:eastAsia="Times New Roman" w:cs="Times New Roman"/>
          <w:lang w:eastAsia="de-DE"/>
        </w:rPr>
        <w:t xml:space="preserve">(hinausgehen) und </w:t>
      </w:r>
      <w:r w:rsidRPr="006E39D1">
        <w:rPr>
          <w:rFonts w:eastAsia="Times New Roman" w:cs="Times New Roman"/>
          <w:b/>
          <w:bCs/>
          <w:rtl/>
          <w:lang w:eastAsia="de-DE"/>
        </w:rPr>
        <w:t>שְׁנֵיהֶם</w:t>
      </w:r>
      <w:r w:rsidRPr="006E39D1">
        <w:rPr>
          <w:rFonts w:eastAsia="Times New Roman" w:cs="Times New Roman"/>
          <w:rtl/>
          <w:lang w:eastAsia="de-DE"/>
        </w:rPr>
        <w:t xml:space="preserve"> </w:t>
      </w:r>
      <w:r w:rsidRPr="006E39D1">
        <w:rPr>
          <w:rFonts w:eastAsia="Times New Roman" w:cs="Times New Roman"/>
          <w:lang w:eastAsia="de-DE"/>
        </w:rPr>
        <w:t>(beide) zeigt ihre Bereitschaft zum göttlichen Verhör.</w:t>
      </w:r>
    </w:p>
    <w:p w14:paraId="5B85B5C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יֵּרֶד</w:t>
      </w:r>
      <w:r w:rsidRPr="006E39D1">
        <w:rPr>
          <w:rFonts w:eastAsia="Times New Roman" w:cs="Times New Roman"/>
          <w:rtl/>
          <w:lang w:eastAsia="de-DE"/>
        </w:rPr>
        <w:t xml:space="preserve"> </w:t>
      </w:r>
      <w:r w:rsidRPr="006E39D1">
        <w:rPr>
          <w:rFonts w:eastAsia="Times New Roman" w:cs="Times New Roman"/>
          <w:lang w:eastAsia="de-DE"/>
        </w:rPr>
        <w:t xml:space="preserve">mit κατέβη (er kam herab), </w:t>
      </w:r>
      <w:r w:rsidRPr="006E39D1">
        <w:rPr>
          <w:rFonts w:eastAsia="Times New Roman" w:cs="Times New Roman"/>
          <w:b/>
          <w:bCs/>
          <w:rtl/>
          <w:lang w:eastAsia="de-DE"/>
        </w:rPr>
        <w:t>עַמּוּד עָנָן</w:t>
      </w:r>
      <w:r w:rsidRPr="006E39D1">
        <w:rPr>
          <w:rFonts w:eastAsia="Times New Roman" w:cs="Times New Roman"/>
          <w:rtl/>
          <w:lang w:eastAsia="de-DE"/>
        </w:rPr>
        <w:t xml:space="preserve"> </w:t>
      </w:r>
      <w:r w:rsidRPr="006E39D1">
        <w:rPr>
          <w:rFonts w:eastAsia="Times New Roman" w:cs="Times New Roman"/>
          <w:lang w:eastAsia="de-DE"/>
        </w:rPr>
        <w:t xml:space="preserve">mit στύλῳ νεφέλης (in einer Wolkensäule) und </w:t>
      </w:r>
      <w:r w:rsidRPr="006E39D1">
        <w:rPr>
          <w:rFonts w:eastAsia="Times New Roman" w:cs="Times New Roman"/>
          <w:b/>
          <w:bCs/>
          <w:rtl/>
          <w:lang w:eastAsia="de-DE"/>
        </w:rPr>
        <w:t>שְׁנֵיהֶם</w:t>
      </w:r>
      <w:r w:rsidRPr="006E39D1">
        <w:rPr>
          <w:rFonts w:eastAsia="Times New Roman" w:cs="Times New Roman"/>
          <w:rtl/>
          <w:lang w:eastAsia="de-DE"/>
        </w:rPr>
        <w:t xml:space="preserve"> </w:t>
      </w:r>
      <w:r w:rsidRPr="006E39D1">
        <w:rPr>
          <w:rFonts w:eastAsia="Times New Roman" w:cs="Times New Roman"/>
          <w:lang w:eastAsia="de-DE"/>
        </w:rPr>
        <w:t>mit ἀμφότεροι (beide).</w:t>
      </w:r>
    </w:p>
    <w:p w14:paraId="339B976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Theophanie, Positionierung, selektive Vorladung und gehorsame Reaktion.</w:t>
      </w:r>
    </w:p>
    <w:p w14:paraId="730BBA1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intensiviert die Dramatik durch die sichtbare göttliche Präsenz und die Isolierung der Angeklagten.</w:t>
      </w:r>
    </w:p>
    <w:p w14:paraId="7AAA265D"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12,6</w:t>
      </w:r>
    </w:p>
    <w:p w14:paraId="6C8EC42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וַיֹּ֖אמֶר שִׁמְעוּ־נָ֣א דְבָרָ֑י אִם־יִֽהְיֶה֙ נְבִ֣יאֲכֶ֔ם יְהוָ֗ה בַּמַּרְאָה֙ אֵלָ֣יו אֶתְוַדָּ֔ע בַּחֲל֖וֹם אֲדַבֶּר־בּוֹֽ׃</w:t>
      </w:r>
    </w:p>
    <w:p w14:paraId="3C071A0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er sprach: Hört doch meine Worte! Wenn unter euch ein Prophet des Ewigen ist, so gebe ich mich ihm in einer Erscheinung zu erkennen, im Traum rede ich mit ihm.</w:t>
      </w:r>
    </w:p>
    <w:p w14:paraId="777F4C7F"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3AC29CDA">
          <v:rect id="_x0000_i1420" style="width:0;height:1.5pt" o:hralign="center" o:hrstd="t" o:hr="t" fillcolor="#a0a0a0" stroked="f"/>
        </w:pict>
      </w:r>
    </w:p>
    <w:p w14:paraId="69A693E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w:t>
      </w:r>
      <w:r w:rsidRPr="006E39D1">
        <w:rPr>
          <w:rFonts w:eastAsia="Times New Roman" w:cs="Times New Roman"/>
          <w:rtl/>
          <w:lang w:eastAsia="de-DE"/>
        </w:rPr>
        <w:t xml:space="preserve"> </w:t>
      </w:r>
      <w:r w:rsidRPr="006E39D1">
        <w:rPr>
          <w:rFonts w:eastAsia="Times New Roman" w:cs="Times New Roman"/>
          <w:lang w:eastAsia="de-DE"/>
        </w:rPr>
        <w:t xml:space="preserve">(und er sprach) leitet Gottes direkte Antwort auf die Autoritätsherausforderung ein. Der Imperativ </w:t>
      </w:r>
      <w:r w:rsidRPr="006E39D1">
        <w:rPr>
          <w:rFonts w:eastAsia="Times New Roman" w:cs="Times New Roman"/>
          <w:b/>
          <w:bCs/>
          <w:rtl/>
          <w:lang w:eastAsia="de-DE"/>
        </w:rPr>
        <w:t>שִׁמְעוּ־נָ֣א דְבָרָ֑י</w:t>
      </w:r>
      <w:r w:rsidRPr="006E39D1">
        <w:rPr>
          <w:rFonts w:eastAsia="Times New Roman" w:cs="Times New Roman"/>
          <w:rtl/>
          <w:lang w:eastAsia="de-DE"/>
        </w:rPr>
        <w:t xml:space="preserve"> </w:t>
      </w:r>
      <w:r w:rsidRPr="006E39D1">
        <w:rPr>
          <w:rFonts w:eastAsia="Times New Roman" w:cs="Times New Roman"/>
          <w:lang w:eastAsia="de-DE"/>
        </w:rPr>
        <w:t xml:space="preserve">(hört doch meine Worte) mit </w:t>
      </w:r>
      <w:r w:rsidRPr="006E39D1">
        <w:rPr>
          <w:rFonts w:eastAsia="Times New Roman" w:cs="Times New Roman"/>
          <w:b/>
          <w:bCs/>
          <w:rtl/>
          <w:lang w:eastAsia="de-DE"/>
        </w:rPr>
        <w:t>שִׁמְעוּ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שמע</w:t>
      </w:r>
      <w:r w:rsidRPr="006E39D1">
        <w:rPr>
          <w:rFonts w:eastAsia="Times New Roman" w:cs="Times New Roman"/>
          <w:rtl/>
          <w:lang w:eastAsia="de-DE"/>
        </w:rPr>
        <w:t xml:space="preserve"> </w:t>
      </w:r>
      <w:r w:rsidRPr="006E39D1">
        <w:rPr>
          <w:rFonts w:eastAsia="Times New Roman" w:cs="Times New Roman"/>
          <w:lang w:eastAsia="de-DE"/>
        </w:rPr>
        <w:t xml:space="preserve">(hören) im Qal-Imperativ Plural, der Bittpartikel </w:t>
      </w:r>
      <w:r w:rsidRPr="006E39D1">
        <w:rPr>
          <w:rFonts w:eastAsia="Times New Roman" w:cs="Times New Roman"/>
          <w:b/>
          <w:bCs/>
          <w:rtl/>
          <w:lang w:eastAsia="de-DE"/>
        </w:rPr>
        <w:t>נָא</w:t>
      </w:r>
      <w:r w:rsidRPr="006E39D1">
        <w:rPr>
          <w:rFonts w:eastAsia="Times New Roman" w:cs="Times New Roman"/>
          <w:rtl/>
          <w:lang w:eastAsia="de-DE"/>
        </w:rPr>
        <w:t xml:space="preserve"> </w:t>
      </w:r>
      <w:r w:rsidRPr="006E39D1">
        <w:rPr>
          <w:rFonts w:eastAsia="Times New Roman" w:cs="Times New Roman"/>
          <w:lang w:eastAsia="de-DE"/>
        </w:rPr>
        <w:t xml:space="preserve">(doch) und </w:t>
      </w:r>
      <w:r w:rsidRPr="006E39D1">
        <w:rPr>
          <w:rFonts w:eastAsia="Times New Roman" w:cs="Times New Roman"/>
          <w:b/>
          <w:bCs/>
          <w:rtl/>
          <w:lang w:eastAsia="de-DE"/>
        </w:rPr>
        <w:t>דְּבָרַי</w:t>
      </w:r>
      <w:r w:rsidRPr="006E39D1">
        <w:rPr>
          <w:rFonts w:eastAsia="Times New Roman" w:cs="Times New Roman"/>
          <w:rtl/>
          <w:lang w:eastAsia="de-DE"/>
        </w:rPr>
        <w:t xml:space="preserve"> </w:t>
      </w:r>
      <w:r w:rsidRPr="006E39D1">
        <w:rPr>
          <w:rFonts w:eastAsia="Times New Roman" w:cs="Times New Roman"/>
          <w:lang w:eastAsia="de-DE"/>
        </w:rPr>
        <w:t>(meine Worte) fordert aufmerksames Zuhören für die kommende Belehrung.</w:t>
      </w:r>
    </w:p>
    <w:p w14:paraId="3685EB9A" w14:textId="394C88B6"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 xml:space="preserve">Die konditionelle Bestimmung </w:t>
      </w:r>
      <w:r w:rsidRPr="006E39D1">
        <w:rPr>
          <w:rFonts w:eastAsia="Times New Roman" w:cs="Times New Roman"/>
          <w:b/>
          <w:bCs/>
          <w:rtl/>
          <w:lang w:eastAsia="de-DE"/>
        </w:rPr>
        <w:t>אִם־יִֽהְיֶה֙ נְבִ֣יאֲכֶ֔ם יְהוָ֗ה</w:t>
      </w:r>
      <w:r w:rsidRPr="006E39D1">
        <w:rPr>
          <w:rFonts w:eastAsia="Times New Roman" w:cs="Times New Roman"/>
          <w:rtl/>
          <w:lang w:eastAsia="de-DE"/>
        </w:rPr>
        <w:t xml:space="preserve"> </w:t>
      </w:r>
      <w:r w:rsidRPr="006E39D1">
        <w:rPr>
          <w:rFonts w:eastAsia="Times New Roman" w:cs="Times New Roman"/>
          <w:lang w:eastAsia="de-DE"/>
        </w:rPr>
        <w:t xml:space="preserve">(wenn euer Prophet des Ewigen ist/wenn es einen Propheten von euch für den Ewigen gibt) mit </w:t>
      </w:r>
      <w:r w:rsidRPr="006E39D1">
        <w:rPr>
          <w:rFonts w:eastAsia="Times New Roman" w:cs="Times New Roman"/>
          <w:b/>
          <w:bCs/>
          <w:rtl/>
          <w:lang w:eastAsia="de-DE"/>
        </w:rPr>
        <w:t>אִם</w:t>
      </w:r>
      <w:r w:rsidRPr="006E39D1">
        <w:rPr>
          <w:rFonts w:eastAsia="Times New Roman" w:cs="Times New Roman"/>
          <w:rtl/>
          <w:lang w:eastAsia="de-DE"/>
        </w:rPr>
        <w:t xml:space="preserve"> </w:t>
      </w:r>
      <w:r w:rsidRPr="006E39D1">
        <w:rPr>
          <w:rFonts w:eastAsia="Times New Roman" w:cs="Times New Roman"/>
          <w:lang w:eastAsia="de-DE"/>
        </w:rPr>
        <w:t xml:space="preserve">(wenn), </w:t>
      </w:r>
      <w:r w:rsidRPr="006E39D1">
        <w:rPr>
          <w:rFonts w:eastAsia="Times New Roman" w:cs="Times New Roman"/>
          <w:b/>
          <w:bCs/>
          <w:rtl/>
          <w:lang w:eastAsia="de-DE"/>
        </w:rPr>
        <w:t>יִהְיֶה</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היה</w:t>
      </w:r>
      <w:r w:rsidRPr="006E39D1">
        <w:rPr>
          <w:rFonts w:eastAsia="Times New Roman" w:cs="Times New Roman"/>
          <w:rtl/>
          <w:lang w:eastAsia="de-DE"/>
        </w:rPr>
        <w:t xml:space="preserve"> </w:t>
      </w:r>
      <w:r w:rsidRPr="006E39D1">
        <w:rPr>
          <w:rFonts w:eastAsia="Times New Roman" w:cs="Times New Roman"/>
          <w:lang w:eastAsia="de-DE"/>
        </w:rPr>
        <w:t xml:space="preserve">(sein) und </w:t>
      </w:r>
      <w:r w:rsidRPr="006E39D1">
        <w:rPr>
          <w:rFonts w:eastAsia="Times New Roman" w:cs="Times New Roman"/>
          <w:b/>
          <w:bCs/>
          <w:rtl/>
          <w:lang w:eastAsia="de-DE"/>
        </w:rPr>
        <w:t>נְבִיאֲכֶם יְהוָה</w:t>
      </w:r>
      <w:r w:rsidRPr="006E39D1">
        <w:rPr>
          <w:rFonts w:eastAsia="Times New Roman" w:cs="Times New Roman"/>
          <w:rtl/>
          <w:lang w:eastAsia="de-DE"/>
        </w:rPr>
        <w:t xml:space="preserve"> </w:t>
      </w:r>
      <w:r w:rsidRPr="006E39D1">
        <w:rPr>
          <w:rFonts w:eastAsia="Times New Roman" w:cs="Times New Roman"/>
          <w:lang w:eastAsia="de-DE"/>
        </w:rPr>
        <w:t>(euer Prophet des Ewigen) als Genitiv-</w:t>
      </w:r>
      <w:r w:rsidR="00F133EC">
        <w:rPr>
          <w:rFonts w:eastAsia="Times New Roman" w:cs="Times New Roman"/>
          <w:lang w:eastAsia="de-DE"/>
        </w:rPr>
        <w:t>Construct</w:t>
      </w:r>
      <w:r w:rsidRPr="006E39D1">
        <w:rPr>
          <w:rFonts w:eastAsia="Times New Roman" w:cs="Times New Roman"/>
          <w:lang w:eastAsia="de-DE"/>
        </w:rPr>
        <w:t>ion etabliert die allgemeine Regel für prophetische Kommunikation.</w:t>
      </w:r>
    </w:p>
    <w:p w14:paraId="4AAC3A2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doppelte Offenbarungsart </w:t>
      </w:r>
      <w:r w:rsidRPr="006E39D1">
        <w:rPr>
          <w:rFonts w:eastAsia="Times New Roman" w:cs="Times New Roman"/>
          <w:b/>
          <w:bCs/>
          <w:rtl/>
          <w:lang w:eastAsia="de-DE"/>
        </w:rPr>
        <w:t>בַּמַּרְאָה֙ אֵלָ֣יו אֶתְוַדָּ֔ע בַּחֲל֖וֹם אֲדַבֶּר־בּוֹֽ׃</w:t>
      </w:r>
      <w:r w:rsidRPr="006E39D1">
        <w:rPr>
          <w:rFonts w:eastAsia="Times New Roman" w:cs="Times New Roman"/>
          <w:rtl/>
          <w:lang w:eastAsia="de-DE"/>
        </w:rPr>
        <w:t xml:space="preserve"> </w:t>
      </w:r>
      <w:r w:rsidRPr="006E39D1">
        <w:rPr>
          <w:rFonts w:eastAsia="Times New Roman" w:cs="Times New Roman"/>
          <w:lang w:eastAsia="de-DE"/>
        </w:rPr>
        <w:t xml:space="preserve">zeigt zwei Formen göttlicher Offenbarung: </w:t>
      </w:r>
      <w:r w:rsidRPr="006E39D1">
        <w:rPr>
          <w:rFonts w:eastAsia="Times New Roman" w:cs="Times New Roman"/>
          <w:b/>
          <w:bCs/>
          <w:rtl/>
          <w:lang w:eastAsia="de-DE"/>
        </w:rPr>
        <w:t>בַּמַּרְאָה</w:t>
      </w:r>
      <w:r w:rsidRPr="006E39D1">
        <w:rPr>
          <w:rFonts w:eastAsia="Times New Roman" w:cs="Times New Roman"/>
          <w:rtl/>
          <w:lang w:eastAsia="de-DE"/>
        </w:rPr>
        <w:t xml:space="preserve"> </w:t>
      </w:r>
      <w:r w:rsidRPr="006E39D1">
        <w:rPr>
          <w:rFonts w:eastAsia="Times New Roman" w:cs="Times New Roman"/>
          <w:lang w:eastAsia="de-DE"/>
        </w:rPr>
        <w:t xml:space="preserve">(in einer Vision/Erscheinung) mit </w:t>
      </w:r>
      <w:r w:rsidRPr="006E39D1">
        <w:rPr>
          <w:rFonts w:eastAsia="Times New Roman" w:cs="Times New Roman"/>
          <w:b/>
          <w:bCs/>
          <w:rtl/>
          <w:lang w:eastAsia="de-DE"/>
        </w:rPr>
        <w:t>אֶתְוַדָּע</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ידע</w:t>
      </w:r>
      <w:r w:rsidRPr="006E39D1">
        <w:rPr>
          <w:rFonts w:eastAsia="Times New Roman" w:cs="Times New Roman"/>
          <w:rtl/>
          <w:lang w:eastAsia="de-DE"/>
        </w:rPr>
        <w:t xml:space="preserve"> </w:t>
      </w:r>
      <w:r w:rsidRPr="006E39D1">
        <w:rPr>
          <w:rFonts w:eastAsia="Times New Roman" w:cs="Times New Roman"/>
          <w:lang w:eastAsia="de-DE"/>
        </w:rPr>
        <w:t xml:space="preserve">(erkennen lassen) im Hitp'ael-Imperfekt 1. Person Singular (ich gebe mich zu erkennen), und </w:t>
      </w:r>
      <w:r w:rsidRPr="006E39D1">
        <w:rPr>
          <w:rFonts w:eastAsia="Times New Roman" w:cs="Times New Roman"/>
          <w:b/>
          <w:bCs/>
          <w:rtl/>
          <w:lang w:eastAsia="de-DE"/>
        </w:rPr>
        <w:t>בַּחֲלוֹם אֲדַבֶּר־בּוֹ</w:t>
      </w:r>
      <w:r w:rsidRPr="006E39D1">
        <w:rPr>
          <w:rFonts w:eastAsia="Times New Roman" w:cs="Times New Roman"/>
          <w:rtl/>
          <w:lang w:eastAsia="de-DE"/>
        </w:rPr>
        <w:t xml:space="preserve"> </w:t>
      </w:r>
      <w:r w:rsidRPr="006E39D1">
        <w:rPr>
          <w:rFonts w:eastAsia="Times New Roman" w:cs="Times New Roman"/>
          <w:lang w:eastAsia="de-DE"/>
        </w:rPr>
        <w:t xml:space="preserve">(im Traum rede ich mit ihm) mit </w:t>
      </w:r>
      <w:r w:rsidRPr="006E39D1">
        <w:rPr>
          <w:rFonts w:eastAsia="Times New Roman" w:cs="Times New Roman"/>
          <w:b/>
          <w:bCs/>
          <w:rtl/>
          <w:lang w:eastAsia="de-DE"/>
        </w:rPr>
        <w:t>חֲלוֹם</w:t>
      </w:r>
      <w:r w:rsidRPr="006E39D1">
        <w:rPr>
          <w:rFonts w:eastAsia="Times New Roman" w:cs="Times New Roman"/>
          <w:rtl/>
          <w:lang w:eastAsia="de-DE"/>
        </w:rPr>
        <w:t xml:space="preserve"> </w:t>
      </w:r>
      <w:r w:rsidRPr="006E39D1">
        <w:rPr>
          <w:rFonts w:eastAsia="Times New Roman" w:cs="Times New Roman"/>
          <w:lang w:eastAsia="de-DE"/>
        </w:rPr>
        <w:t xml:space="preserve">(Traum) und </w:t>
      </w:r>
      <w:r w:rsidRPr="006E39D1">
        <w:rPr>
          <w:rFonts w:eastAsia="Times New Roman" w:cs="Times New Roman"/>
          <w:b/>
          <w:bCs/>
          <w:rtl/>
          <w:lang w:eastAsia="de-DE"/>
        </w:rPr>
        <w:t>אֲדַבֶּר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דבר</w:t>
      </w:r>
      <w:r w:rsidRPr="006E39D1">
        <w:rPr>
          <w:rFonts w:eastAsia="Times New Roman" w:cs="Times New Roman"/>
          <w:rtl/>
          <w:lang w:eastAsia="de-DE"/>
        </w:rPr>
        <w:t xml:space="preserve"> </w:t>
      </w:r>
      <w:r w:rsidRPr="006E39D1">
        <w:rPr>
          <w:rFonts w:eastAsia="Times New Roman" w:cs="Times New Roman"/>
          <w:lang w:eastAsia="de-DE"/>
        </w:rPr>
        <w:t>(reden) im Pi'el.</w:t>
      </w:r>
    </w:p>
    <w:p w14:paraId="4C3ECCE5" w14:textId="64928004"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weicht in der Formulierung ab: Das hebräische „</w:t>
      </w:r>
      <w:r w:rsidR="00497CF8">
        <w:rPr>
          <w:rtl/>
        </w:rPr>
        <w:t>בַּמַּרְאָה אֵלָיו אֶתְוַדָּע</w:t>
      </w:r>
      <w:r w:rsidR="00497CF8">
        <w:t xml:space="preserve">" (in einer Vision werde ich mich ihm offenbaren) wird zu „ἐν ὁράματι αὐτῷ γνωσθήσομαι" (in einem Gesicht werde ich ihm erkannt werden), wobei die passive </w:t>
      </w:r>
      <w:r w:rsidR="00F133EC">
        <w:t>Construct</w:t>
      </w:r>
      <w:r w:rsidR="00497CF8">
        <w:t>ion anders akzentuiert ist.</w:t>
      </w:r>
    </w:p>
    <w:p w14:paraId="20473CEB"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Aufmerksamkeitsforderung, konditionelle Prophetencharakterisierung und doppelte Offenbarungsart.</w:t>
      </w:r>
    </w:p>
    <w:p w14:paraId="67F8C10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beginnt Gottes Erklärung der prophetischen Hierarchie und differenziert zwischen gewöhnlicher und außergewöhnlicher prophetischer Kommunikation.</w:t>
      </w:r>
    </w:p>
    <w:p w14:paraId="4D1262EA"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12,7</w:t>
      </w:r>
    </w:p>
    <w:p w14:paraId="5569936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לֹא־כֵ֖ן עַבְדִּ֣י מֹשֶׁ֑ה בְּכָל־בֵּיתִ֖י נֶאֱמָ֥ן הֽוּא׃</w:t>
      </w:r>
    </w:p>
    <w:p w14:paraId="4E47F16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Nicht so mein Knecht Mosche. In meinem ganzen Haus ist er treu.</w:t>
      </w:r>
    </w:p>
    <w:p w14:paraId="39054F0B"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57081D8D">
          <v:rect id="_x0000_i1421" style="width:0;height:1.5pt" o:hralign="center" o:hrstd="t" o:hr="t" fillcolor="#a0a0a0" stroked="f"/>
        </w:pict>
      </w:r>
    </w:p>
    <w:p w14:paraId="1BB6232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adversative Negation </w:t>
      </w:r>
      <w:r w:rsidRPr="006E39D1">
        <w:rPr>
          <w:rFonts w:eastAsia="Times New Roman" w:cs="Times New Roman"/>
          <w:b/>
          <w:bCs/>
          <w:rtl/>
          <w:lang w:eastAsia="de-DE"/>
        </w:rPr>
        <w:t>לֹא־כֵ֖ן</w:t>
      </w:r>
      <w:r w:rsidRPr="006E39D1">
        <w:rPr>
          <w:rFonts w:eastAsia="Times New Roman" w:cs="Times New Roman"/>
          <w:rtl/>
          <w:lang w:eastAsia="de-DE"/>
        </w:rPr>
        <w:t xml:space="preserve"> </w:t>
      </w:r>
      <w:r w:rsidRPr="006E39D1">
        <w:rPr>
          <w:rFonts w:eastAsia="Times New Roman" w:cs="Times New Roman"/>
          <w:lang w:eastAsia="de-DE"/>
        </w:rPr>
        <w:t xml:space="preserve">(nicht so) mit </w:t>
      </w:r>
      <w:r w:rsidRPr="006E39D1">
        <w:rPr>
          <w:rFonts w:eastAsia="Times New Roman" w:cs="Times New Roman"/>
          <w:b/>
          <w:bCs/>
          <w:rtl/>
          <w:lang w:eastAsia="de-DE"/>
        </w:rPr>
        <w:t>כֵן</w:t>
      </w:r>
      <w:r w:rsidRPr="006E39D1">
        <w:rPr>
          <w:rFonts w:eastAsia="Times New Roman" w:cs="Times New Roman"/>
          <w:rtl/>
          <w:lang w:eastAsia="de-DE"/>
        </w:rPr>
        <w:t xml:space="preserve"> </w:t>
      </w:r>
      <w:r w:rsidRPr="006E39D1">
        <w:rPr>
          <w:rFonts w:eastAsia="Times New Roman" w:cs="Times New Roman"/>
          <w:lang w:eastAsia="de-DE"/>
        </w:rPr>
        <w:t>(so/auf diese Weise) schafft einen scharfen Kontrast zu der in Vers 6 beschriebenen gewöhnlichen prophetischen Kommunikation.</w:t>
      </w:r>
    </w:p>
    <w:p w14:paraId="3570487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Bezeichnung </w:t>
      </w:r>
      <w:r w:rsidRPr="006E39D1">
        <w:rPr>
          <w:rFonts w:eastAsia="Times New Roman" w:cs="Times New Roman"/>
          <w:b/>
          <w:bCs/>
          <w:rtl/>
          <w:lang w:eastAsia="de-DE"/>
        </w:rPr>
        <w:t>עַבְדִּ֣י מֹשֶׁ֑ה</w:t>
      </w:r>
      <w:r w:rsidRPr="006E39D1">
        <w:rPr>
          <w:rFonts w:eastAsia="Times New Roman" w:cs="Times New Roman"/>
          <w:rtl/>
          <w:lang w:eastAsia="de-DE"/>
        </w:rPr>
        <w:t xml:space="preserve"> </w:t>
      </w:r>
      <w:r w:rsidRPr="006E39D1">
        <w:rPr>
          <w:rFonts w:eastAsia="Times New Roman" w:cs="Times New Roman"/>
          <w:lang w:eastAsia="de-DE"/>
        </w:rPr>
        <w:t xml:space="preserve">(mein Knecht Mose) mit </w:t>
      </w:r>
      <w:r w:rsidRPr="006E39D1">
        <w:rPr>
          <w:rFonts w:eastAsia="Times New Roman" w:cs="Times New Roman"/>
          <w:b/>
          <w:bCs/>
          <w:rtl/>
          <w:lang w:eastAsia="de-DE"/>
        </w:rPr>
        <w:t>עַבְדִּי</w:t>
      </w:r>
      <w:r w:rsidRPr="006E39D1">
        <w:rPr>
          <w:rFonts w:eastAsia="Times New Roman" w:cs="Times New Roman"/>
          <w:rtl/>
          <w:lang w:eastAsia="de-DE"/>
        </w:rPr>
        <w:t xml:space="preserve"> </w:t>
      </w:r>
      <w:r w:rsidRPr="006E39D1">
        <w:rPr>
          <w:rFonts w:eastAsia="Times New Roman" w:cs="Times New Roman"/>
          <w:lang w:eastAsia="de-DE"/>
        </w:rPr>
        <w:t xml:space="preserve">(mein Knecht) und Possessivsuffix 1. Person Singular zeigt Moses besondere Beziehung zu Gott. </w:t>
      </w:r>
      <w:r w:rsidRPr="006E39D1">
        <w:rPr>
          <w:rFonts w:eastAsia="Times New Roman" w:cs="Times New Roman"/>
          <w:b/>
          <w:bCs/>
          <w:rtl/>
          <w:lang w:eastAsia="de-DE"/>
        </w:rPr>
        <w:t>עֶבֶד</w:t>
      </w:r>
      <w:r w:rsidRPr="006E39D1">
        <w:rPr>
          <w:rFonts w:eastAsia="Times New Roman" w:cs="Times New Roman"/>
          <w:rtl/>
          <w:lang w:eastAsia="de-DE"/>
        </w:rPr>
        <w:t xml:space="preserve"> </w:t>
      </w:r>
      <w:r w:rsidRPr="006E39D1">
        <w:rPr>
          <w:rFonts w:eastAsia="Times New Roman" w:cs="Times New Roman"/>
          <w:lang w:eastAsia="de-DE"/>
        </w:rPr>
        <w:t>(Knecht) ist hier ein Ehrentitel, der vollkommene Treue und vertrauten Dienst bezeichnet, ähnlich wie bei David oder anderen erwählten Führern.</w:t>
      </w:r>
    </w:p>
    <w:p w14:paraId="2F9801C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Charakterisierung </w:t>
      </w:r>
      <w:r w:rsidRPr="006E39D1">
        <w:rPr>
          <w:rFonts w:eastAsia="Times New Roman" w:cs="Times New Roman"/>
          <w:b/>
          <w:bCs/>
          <w:rtl/>
          <w:lang w:eastAsia="de-DE"/>
        </w:rPr>
        <w:t>בְּכָל־בֵּיתִ֖י נֶאֱמָ֥ן הֽוּא</w:t>
      </w:r>
      <w:r w:rsidRPr="006E39D1">
        <w:rPr>
          <w:rFonts w:eastAsia="Times New Roman" w:cs="Times New Roman"/>
          <w:rtl/>
          <w:lang w:eastAsia="de-DE"/>
        </w:rPr>
        <w:t xml:space="preserve"> </w:t>
      </w:r>
      <w:r w:rsidRPr="006E39D1">
        <w:rPr>
          <w:rFonts w:eastAsia="Times New Roman" w:cs="Times New Roman"/>
          <w:lang w:eastAsia="de-DE"/>
        </w:rPr>
        <w:t xml:space="preserve">(in meinem ganzen Haus ist er treu) mit </w:t>
      </w:r>
      <w:r w:rsidRPr="006E39D1">
        <w:rPr>
          <w:rFonts w:eastAsia="Times New Roman" w:cs="Times New Roman"/>
          <w:b/>
          <w:bCs/>
          <w:rtl/>
          <w:lang w:eastAsia="de-DE"/>
        </w:rPr>
        <w:t>בְּכָל־בֵּיתִי</w:t>
      </w:r>
      <w:r w:rsidRPr="006E39D1">
        <w:rPr>
          <w:rFonts w:eastAsia="Times New Roman" w:cs="Times New Roman"/>
          <w:rtl/>
          <w:lang w:eastAsia="de-DE"/>
        </w:rPr>
        <w:t xml:space="preserve"> </w:t>
      </w:r>
      <w:r w:rsidRPr="006E39D1">
        <w:rPr>
          <w:rFonts w:eastAsia="Times New Roman" w:cs="Times New Roman"/>
          <w:lang w:eastAsia="de-DE"/>
        </w:rPr>
        <w:t xml:space="preserve">(in meinem ganzen Haus), </w:t>
      </w:r>
      <w:r w:rsidRPr="006E39D1">
        <w:rPr>
          <w:rFonts w:eastAsia="Times New Roman" w:cs="Times New Roman"/>
          <w:b/>
          <w:bCs/>
          <w:rtl/>
          <w:lang w:eastAsia="de-DE"/>
        </w:rPr>
        <w:t>נֶאֱמָן</w:t>
      </w:r>
      <w:r w:rsidRPr="006E39D1">
        <w:rPr>
          <w:rFonts w:eastAsia="Times New Roman" w:cs="Times New Roman"/>
          <w:rtl/>
          <w:lang w:eastAsia="de-DE"/>
        </w:rPr>
        <w:t xml:space="preserve"> </w:t>
      </w:r>
      <w:r w:rsidRPr="006E39D1">
        <w:rPr>
          <w:rFonts w:eastAsia="Times New Roman" w:cs="Times New Roman"/>
          <w:lang w:eastAsia="de-DE"/>
        </w:rPr>
        <w:t xml:space="preserve">(treu/vertrauenswürdig) von der Wurzel </w:t>
      </w:r>
      <w:r w:rsidRPr="006E39D1">
        <w:rPr>
          <w:rFonts w:eastAsia="Times New Roman" w:cs="Times New Roman"/>
          <w:b/>
          <w:bCs/>
          <w:rtl/>
          <w:lang w:eastAsia="de-DE"/>
        </w:rPr>
        <w:t>אמן</w:t>
      </w:r>
      <w:r w:rsidRPr="006E39D1">
        <w:rPr>
          <w:rFonts w:eastAsia="Times New Roman" w:cs="Times New Roman"/>
          <w:rtl/>
          <w:lang w:eastAsia="de-DE"/>
        </w:rPr>
        <w:t xml:space="preserve"> </w:t>
      </w:r>
      <w:r w:rsidRPr="006E39D1">
        <w:rPr>
          <w:rFonts w:eastAsia="Times New Roman" w:cs="Times New Roman"/>
          <w:lang w:eastAsia="de-DE"/>
        </w:rPr>
        <w:t xml:space="preserve">(fest sein/zuverlässig sein) als Niph'al-Partizip und </w:t>
      </w:r>
      <w:r w:rsidRPr="006E39D1">
        <w:rPr>
          <w:rFonts w:eastAsia="Times New Roman" w:cs="Times New Roman"/>
          <w:b/>
          <w:bCs/>
          <w:rtl/>
          <w:lang w:eastAsia="de-DE"/>
        </w:rPr>
        <w:t>הוּא</w:t>
      </w:r>
      <w:r w:rsidRPr="006E39D1">
        <w:rPr>
          <w:rFonts w:eastAsia="Times New Roman" w:cs="Times New Roman"/>
          <w:rtl/>
          <w:lang w:eastAsia="de-DE"/>
        </w:rPr>
        <w:t xml:space="preserve"> </w:t>
      </w:r>
      <w:r w:rsidRPr="006E39D1">
        <w:rPr>
          <w:rFonts w:eastAsia="Times New Roman" w:cs="Times New Roman"/>
          <w:lang w:eastAsia="de-DE"/>
        </w:rPr>
        <w:t>(er) zeigt Moses universelle Vertrauenswürdigkeit in der gesamten göttlichen Haushaltung.</w:t>
      </w:r>
    </w:p>
    <w:p w14:paraId="7587EF6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rtl/>
          <w:lang w:eastAsia="de-DE"/>
        </w:rPr>
        <w:t>בֵּיתִי</w:t>
      </w:r>
      <w:r w:rsidRPr="006E39D1">
        <w:rPr>
          <w:rFonts w:eastAsia="Times New Roman" w:cs="Times New Roman"/>
          <w:rtl/>
          <w:lang w:eastAsia="de-DE"/>
        </w:rPr>
        <w:t xml:space="preserve"> </w:t>
      </w:r>
      <w:r w:rsidRPr="006E39D1">
        <w:rPr>
          <w:rFonts w:eastAsia="Times New Roman" w:cs="Times New Roman"/>
          <w:lang w:eastAsia="de-DE"/>
        </w:rPr>
        <w:t>(mein Haus) bezeichnet hier nicht nur das irdische Heiligtum, sondern die gesamte göttliche Verwaltung über Israel und möglicherweise das himmlische Regiment.</w:t>
      </w:r>
    </w:p>
    <w:p w14:paraId="7AF8154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לֹא־כֵן</w:t>
      </w:r>
      <w:r w:rsidRPr="006E39D1">
        <w:rPr>
          <w:rFonts w:eastAsia="Times New Roman" w:cs="Times New Roman"/>
          <w:rtl/>
          <w:lang w:eastAsia="de-DE"/>
        </w:rPr>
        <w:t xml:space="preserve"> </w:t>
      </w:r>
      <w:r w:rsidRPr="006E39D1">
        <w:rPr>
          <w:rFonts w:eastAsia="Times New Roman" w:cs="Times New Roman"/>
          <w:lang w:eastAsia="de-DE"/>
        </w:rPr>
        <w:t xml:space="preserve">mit οὐχ οὕτως (nicht so), </w:t>
      </w:r>
      <w:r w:rsidRPr="006E39D1">
        <w:rPr>
          <w:rFonts w:eastAsia="Times New Roman" w:cs="Times New Roman"/>
          <w:b/>
          <w:bCs/>
          <w:rtl/>
          <w:lang w:eastAsia="de-DE"/>
        </w:rPr>
        <w:t>עַבְדִּי</w:t>
      </w:r>
      <w:r w:rsidRPr="006E39D1">
        <w:rPr>
          <w:rFonts w:eastAsia="Times New Roman" w:cs="Times New Roman"/>
          <w:rtl/>
          <w:lang w:eastAsia="de-DE"/>
        </w:rPr>
        <w:t xml:space="preserve"> </w:t>
      </w:r>
      <w:r w:rsidRPr="006E39D1">
        <w:rPr>
          <w:rFonts w:eastAsia="Times New Roman" w:cs="Times New Roman"/>
          <w:lang w:eastAsia="de-DE"/>
        </w:rPr>
        <w:t xml:space="preserve">mit ὁ θεράπων μου (mein Diener) und </w:t>
      </w:r>
      <w:r w:rsidRPr="006E39D1">
        <w:rPr>
          <w:rFonts w:eastAsia="Times New Roman" w:cs="Times New Roman"/>
          <w:b/>
          <w:bCs/>
          <w:rtl/>
          <w:lang w:eastAsia="de-DE"/>
        </w:rPr>
        <w:t>נֶאֱמָן</w:t>
      </w:r>
      <w:r w:rsidRPr="006E39D1">
        <w:rPr>
          <w:rFonts w:eastAsia="Times New Roman" w:cs="Times New Roman"/>
          <w:rtl/>
          <w:lang w:eastAsia="de-DE"/>
        </w:rPr>
        <w:t xml:space="preserve"> </w:t>
      </w:r>
      <w:r w:rsidRPr="006E39D1">
        <w:rPr>
          <w:rFonts w:eastAsia="Times New Roman" w:cs="Times New Roman"/>
          <w:lang w:eastAsia="de-DE"/>
        </w:rPr>
        <w:t>mit πιστός (treu).</w:t>
      </w:r>
    </w:p>
    <w:p w14:paraId="1A558DD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Die Satzstruktur zeigt adversative Differenzierung, ehrenvolle Charakterisierung und Treuezeugnis mit universeller Reichweite.</w:t>
      </w:r>
    </w:p>
    <w:p w14:paraId="5F2EBEA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etabliert Moses einzigartige Position als vollkommen vertrauenswürdiger Hausverwalter in Gottes gesamter Administration.</w:t>
      </w:r>
    </w:p>
    <w:p w14:paraId="1F55E9B0"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12,8</w:t>
      </w:r>
    </w:p>
    <w:p w14:paraId="3DF2BB9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פֶּ֣ה אֶל־פֶּ֞ה אֲדַבֶּר־בּוֹ֗ וּמַרְאֶה֙ וְלֹ֣א בְחִידֹ֔ת וּתְמֻנַ֥ת יְהוָ֖ה יַבִּ֑יט וּמַדּ֨וּעַ֙ לֹ֣א יְרֵאתֶ֔ם לְדַבֵּ֖ר בְּעַבְדִּ֥י בְמֹשֶֽׁה׃</w:t>
      </w:r>
    </w:p>
    <w:p w14:paraId="241246C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Mund zu Mund rede ich mit ihm, und in Sicht und nicht in Rätseln, und das Abbild des Ewigen schaut er. Und warum habt ihr euch nicht gefürchtet, gegen meinen Knecht, gegen Mosche zu reden?</w:t>
      </w:r>
    </w:p>
    <w:p w14:paraId="6C30F982"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6D629990">
          <v:rect id="_x0000_i1422" style="width:0;height:1.5pt" o:hralign="center" o:hrstd="t" o:hr="t" fillcolor="#a0a0a0" stroked="f"/>
        </w:pict>
      </w:r>
    </w:p>
    <w:p w14:paraId="2DE0CE3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Kommunikationsart </w:t>
      </w:r>
      <w:r w:rsidRPr="006E39D1">
        <w:rPr>
          <w:rFonts w:eastAsia="Times New Roman" w:cs="Times New Roman"/>
          <w:b/>
          <w:bCs/>
          <w:rtl/>
          <w:lang w:eastAsia="de-DE"/>
        </w:rPr>
        <w:t>פֶּ֣ה אֶל־פֶּ֞ה אֲדַבֶּר־בּוֹ֗</w:t>
      </w:r>
      <w:r w:rsidRPr="006E39D1">
        <w:rPr>
          <w:rFonts w:eastAsia="Times New Roman" w:cs="Times New Roman"/>
          <w:rtl/>
          <w:lang w:eastAsia="de-DE"/>
        </w:rPr>
        <w:t xml:space="preserve"> </w:t>
      </w:r>
      <w:r w:rsidRPr="006E39D1">
        <w:rPr>
          <w:rFonts w:eastAsia="Times New Roman" w:cs="Times New Roman"/>
          <w:lang w:eastAsia="de-DE"/>
        </w:rPr>
        <w:t xml:space="preserve">(Mund zu Mund rede ich mit ihm) mit </w:t>
      </w:r>
      <w:r w:rsidRPr="006E39D1">
        <w:rPr>
          <w:rFonts w:eastAsia="Times New Roman" w:cs="Times New Roman"/>
          <w:b/>
          <w:bCs/>
          <w:rtl/>
          <w:lang w:eastAsia="de-DE"/>
        </w:rPr>
        <w:t>פֶּה אֶל־פֶּה</w:t>
      </w:r>
      <w:r w:rsidRPr="006E39D1">
        <w:rPr>
          <w:rFonts w:eastAsia="Times New Roman" w:cs="Times New Roman"/>
          <w:rtl/>
          <w:lang w:eastAsia="de-DE"/>
        </w:rPr>
        <w:t xml:space="preserve"> </w:t>
      </w:r>
      <w:r w:rsidRPr="006E39D1">
        <w:rPr>
          <w:rFonts w:eastAsia="Times New Roman" w:cs="Times New Roman"/>
          <w:lang w:eastAsia="de-DE"/>
        </w:rPr>
        <w:t xml:space="preserve">(Mund zu Mund) als Hendiadyoin für direkte, unmittelbare Kommunikation und </w:t>
      </w:r>
      <w:r w:rsidRPr="006E39D1">
        <w:rPr>
          <w:rFonts w:eastAsia="Times New Roman" w:cs="Times New Roman"/>
          <w:b/>
          <w:bCs/>
          <w:rtl/>
          <w:lang w:eastAsia="de-DE"/>
        </w:rPr>
        <w:t>אֲדַבֶּר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דבר</w:t>
      </w:r>
      <w:r w:rsidRPr="006E39D1">
        <w:rPr>
          <w:rFonts w:eastAsia="Times New Roman" w:cs="Times New Roman"/>
          <w:rtl/>
          <w:lang w:eastAsia="de-DE"/>
        </w:rPr>
        <w:t xml:space="preserve"> </w:t>
      </w:r>
      <w:r w:rsidRPr="006E39D1">
        <w:rPr>
          <w:rFonts w:eastAsia="Times New Roman" w:cs="Times New Roman"/>
          <w:lang w:eastAsia="de-DE"/>
        </w:rPr>
        <w:t>(reden) im Pi'el zeigt die intimste Form göttlicher Offenbarung.</w:t>
      </w:r>
    </w:p>
    <w:p w14:paraId="2452D8E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positive Charakterisierung </w:t>
      </w:r>
      <w:r w:rsidRPr="006E39D1">
        <w:rPr>
          <w:rFonts w:eastAsia="Times New Roman" w:cs="Times New Roman"/>
          <w:b/>
          <w:bCs/>
          <w:rtl/>
          <w:lang w:eastAsia="de-DE"/>
        </w:rPr>
        <w:t>וּמַרְאֶה֙ וְלֹ֣א בְחִידֹ֔ת</w:t>
      </w:r>
      <w:r w:rsidRPr="006E39D1">
        <w:rPr>
          <w:rFonts w:eastAsia="Times New Roman" w:cs="Times New Roman"/>
          <w:rtl/>
          <w:lang w:eastAsia="de-DE"/>
        </w:rPr>
        <w:t xml:space="preserve"> </w:t>
      </w:r>
      <w:r w:rsidRPr="006E39D1">
        <w:rPr>
          <w:rFonts w:eastAsia="Times New Roman" w:cs="Times New Roman"/>
          <w:lang w:eastAsia="de-DE"/>
        </w:rPr>
        <w:t xml:space="preserve">(und in Sicht und nicht in Rätseln) mit </w:t>
      </w:r>
      <w:r w:rsidRPr="006E39D1">
        <w:rPr>
          <w:rFonts w:eastAsia="Times New Roman" w:cs="Times New Roman"/>
          <w:b/>
          <w:bCs/>
          <w:rtl/>
          <w:lang w:eastAsia="de-DE"/>
        </w:rPr>
        <w:t>מַרְאֶה</w:t>
      </w:r>
      <w:r w:rsidRPr="006E39D1">
        <w:rPr>
          <w:rFonts w:eastAsia="Times New Roman" w:cs="Times New Roman"/>
          <w:rtl/>
          <w:lang w:eastAsia="de-DE"/>
        </w:rPr>
        <w:t xml:space="preserve"> </w:t>
      </w:r>
      <w:r w:rsidRPr="006E39D1">
        <w:rPr>
          <w:rFonts w:eastAsia="Times New Roman" w:cs="Times New Roman"/>
          <w:lang w:eastAsia="de-DE"/>
        </w:rPr>
        <w:t xml:space="preserve">(Sicht/Erscheinung), </w:t>
      </w:r>
      <w:r w:rsidRPr="006E39D1">
        <w:rPr>
          <w:rFonts w:eastAsia="Times New Roman" w:cs="Times New Roman"/>
          <w:b/>
          <w:bCs/>
          <w:rtl/>
          <w:lang w:eastAsia="de-DE"/>
        </w:rPr>
        <w:t>וְלֹא</w:t>
      </w:r>
      <w:r w:rsidRPr="006E39D1">
        <w:rPr>
          <w:rFonts w:eastAsia="Times New Roman" w:cs="Times New Roman"/>
          <w:rtl/>
          <w:lang w:eastAsia="de-DE"/>
        </w:rPr>
        <w:t xml:space="preserve"> </w:t>
      </w:r>
      <w:r w:rsidRPr="006E39D1">
        <w:rPr>
          <w:rFonts w:eastAsia="Times New Roman" w:cs="Times New Roman"/>
          <w:lang w:eastAsia="de-DE"/>
        </w:rPr>
        <w:t xml:space="preserve">(und nicht) und </w:t>
      </w:r>
      <w:r w:rsidRPr="006E39D1">
        <w:rPr>
          <w:rFonts w:eastAsia="Times New Roman" w:cs="Times New Roman"/>
          <w:b/>
          <w:bCs/>
          <w:rtl/>
          <w:lang w:eastAsia="de-DE"/>
        </w:rPr>
        <w:t>חִידוֹת</w:t>
      </w:r>
      <w:r w:rsidRPr="006E39D1">
        <w:rPr>
          <w:rFonts w:eastAsia="Times New Roman" w:cs="Times New Roman"/>
          <w:rtl/>
          <w:lang w:eastAsia="de-DE"/>
        </w:rPr>
        <w:t xml:space="preserve"> </w:t>
      </w:r>
      <w:r w:rsidRPr="006E39D1">
        <w:rPr>
          <w:rFonts w:eastAsia="Times New Roman" w:cs="Times New Roman"/>
          <w:lang w:eastAsia="de-DE"/>
        </w:rPr>
        <w:t xml:space="preserve">(Rätsel) Plural von </w:t>
      </w:r>
      <w:r w:rsidRPr="006E39D1">
        <w:rPr>
          <w:rFonts w:eastAsia="Times New Roman" w:cs="Times New Roman"/>
          <w:b/>
          <w:bCs/>
          <w:rtl/>
          <w:lang w:eastAsia="de-DE"/>
        </w:rPr>
        <w:t>חִידָה</w:t>
      </w:r>
      <w:r w:rsidRPr="006E39D1">
        <w:rPr>
          <w:rFonts w:eastAsia="Times New Roman" w:cs="Times New Roman"/>
          <w:rtl/>
          <w:lang w:eastAsia="de-DE"/>
        </w:rPr>
        <w:t xml:space="preserve"> </w:t>
      </w:r>
      <w:r w:rsidRPr="006E39D1">
        <w:rPr>
          <w:rFonts w:eastAsia="Times New Roman" w:cs="Times New Roman"/>
          <w:lang w:eastAsia="de-DE"/>
        </w:rPr>
        <w:t>zeigt die Klarheit göttlicher Kommunikation mit Mose im Gegensatz zu den verschlüsselten Visionen und Träumen anderer Propheten.</w:t>
      </w:r>
    </w:p>
    <w:p w14:paraId="195740F4" w14:textId="115EEA35"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höchste Offenbarung </w:t>
      </w:r>
      <w:r w:rsidRPr="006E39D1">
        <w:rPr>
          <w:rFonts w:eastAsia="Times New Roman" w:cs="Times New Roman"/>
          <w:b/>
          <w:bCs/>
          <w:rtl/>
          <w:lang w:eastAsia="de-DE"/>
        </w:rPr>
        <w:t>וּתְמֻנַ֥ת יְהוָ֖ה יַבִּ֑יט</w:t>
      </w:r>
      <w:r w:rsidRPr="006E39D1">
        <w:rPr>
          <w:rFonts w:eastAsia="Times New Roman" w:cs="Times New Roman"/>
          <w:rtl/>
          <w:lang w:eastAsia="de-DE"/>
        </w:rPr>
        <w:t xml:space="preserve"> </w:t>
      </w:r>
      <w:r w:rsidRPr="006E39D1">
        <w:rPr>
          <w:rFonts w:eastAsia="Times New Roman" w:cs="Times New Roman"/>
          <w:lang w:eastAsia="de-DE"/>
        </w:rPr>
        <w:t xml:space="preserve">(und das Abbild des Ewigen schaut er) mit </w:t>
      </w:r>
      <w:r w:rsidRPr="006E39D1">
        <w:rPr>
          <w:rFonts w:eastAsia="Times New Roman" w:cs="Times New Roman"/>
          <w:b/>
          <w:bCs/>
          <w:rtl/>
          <w:lang w:eastAsia="de-DE"/>
        </w:rPr>
        <w:t>תְּמוּנַת יְהוָה</w:t>
      </w:r>
      <w:r w:rsidRPr="006E39D1">
        <w:rPr>
          <w:rFonts w:eastAsia="Times New Roman" w:cs="Times New Roman"/>
          <w:rtl/>
          <w:lang w:eastAsia="de-DE"/>
        </w:rPr>
        <w:t xml:space="preserve"> </w:t>
      </w:r>
      <w:r w:rsidRPr="006E39D1">
        <w:rPr>
          <w:rFonts w:eastAsia="Times New Roman" w:cs="Times New Roman"/>
          <w:lang w:eastAsia="de-DE"/>
        </w:rPr>
        <w:t xml:space="preserve">(Abbild des Ewigen) als </w:t>
      </w:r>
      <w:r w:rsidR="00F133EC">
        <w:rPr>
          <w:rFonts w:eastAsia="Times New Roman" w:cs="Times New Roman"/>
          <w:lang w:eastAsia="de-DE"/>
        </w:rPr>
        <w:t>Construct</w:t>
      </w:r>
      <w:r w:rsidRPr="006E39D1">
        <w:rPr>
          <w:rFonts w:eastAsia="Times New Roman" w:cs="Times New Roman"/>
          <w:lang w:eastAsia="de-DE"/>
        </w:rPr>
        <w:t xml:space="preserve">verbindung und </w:t>
      </w:r>
      <w:r w:rsidRPr="006E39D1">
        <w:rPr>
          <w:rFonts w:eastAsia="Times New Roman" w:cs="Times New Roman"/>
          <w:b/>
          <w:bCs/>
          <w:rtl/>
          <w:lang w:eastAsia="de-DE"/>
        </w:rPr>
        <w:t>יַבִּיט</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נבט</w:t>
      </w:r>
      <w:r w:rsidRPr="006E39D1">
        <w:rPr>
          <w:rFonts w:eastAsia="Times New Roman" w:cs="Times New Roman"/>
          <w:rtl/>
          <w:lang w:eastAsia="de-DE"/>
        </w:rPr>
        <w:t xml:space="preserve"> </w:t>
      </w:r>
      <w:r w:rsidRPr="006E39D1">
        <w:rPr>
          <w:rFonts w:eastAsia="Times New Roman" w:cs="Times New Roman"/>
          <w:lang w:eastAsia="de-DE"/>
        </w:rPr>
        <w:t>(schauen/blicken) im Hiph'il zeigt Moses einzigartige Berechtigung zur Gottesschau, die anderen Propheten verwehrt ist.</w:t>
      </w:r>
    </w:p>
    <w:p w14:paraId="436384D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tadelnde Frage </w:t>
      </w:r>
      <w:r w:rsidRPr="006E39D1">
        <w:rPr>
          <w:rFonts w:eastAsia="Times New Roman" w:cs="Times New Roman"/>
          <w:b/>
          <w:bCs/>
          <w:rtl/>
          <w:lang w:eastAsia="de-DE"/>
        </w:rPr>
        <w:t>וּמַדּ֨וּעַ֙ לֹ֣א יְרֵאתֶ֔ם לְדַבֵּ֖ר בְּעַבְדִּ֥י בְמֹשֶֽׁה׃</w:t>
      </w:r>
      <w:r w:rsidRPr="006E39D1">
        <w:rPr>
          <w:rFonts w:eastAsia="Times New Roman" w:cs="Times New Roman"/>
          <w:rtl/>
          <w:lang w:eastAsia="de-DE"/>
        </w:rPr>
        <w:t xml:space="preserve"> </w:t>
      </w:r>
      <w:r w:rsidRPr="006E39D1">
        <w:rPr>
          <w:rFonts w:eastAsia="Times New Roman" w:cs="Times New Roman"/>
          <w:lang w:eastAsia="de-DE"/>
        </w:rPr>
        <w:t xml:space="preserve">(und warum habt ihr euch nicht gefürchtet, gegen meinen Knecht, gegen Mose zu reden) mit </w:t>
      </w:r>
      <w:r w:rsidRPr="006E39D1">
        <w:rPr>
          <w:rFonts w:eastAsia="Times New Roman" w:cs="Times New Roman"/>
          <w:b/>
          <w:bCs/>
          <w:rtl/>
          <w:lang w:eastAsia="de-DE"/>
        </w:rPr>
        <w:t>מַדּוּעַ</w:t>
      </w:r>
      <w:r w:rsidRPr="006E39D1">
        <w:rPr>
          <w:rFonts w:eastAsia="Times New Roman" w:cs="Times New Roman"/>
          <w:rtl/>
          <w:lang w:eastAsia="de-DE"/>
        </w:rPr>
        <w:t xml:space="preserve"> </w:t>
      </w:r>
      <w:r w:rsidRPr="006E39D1">
        <w:rPr>
          <w:rFonts w:eastAsia="Times New Roman" w:cs="Times New Roman"/>
          <w:lang w:eastAsia="de-DE"/>
        </w:rPr>
        <w:t xml:space="preserve">(warum), </w:t>
      </w:r>
      <w:r w:rsidRPr="006E39D1">
        <w:rPr>
          <w:rFonts w:eastAsia="Times New Roman" w:cs="Times New Roman"/>
          <w:b/>
          <w:bCs/>
          <w:rtl/>
          <w:lang w:eastAsia="de-DE"/>
        </w:rPr>
        <w:t>לֹא יְרֵאתֶם</w:t>
      </w:r>
      <w:r w:rsidRPr="006E39D1">
        <w:rPr>
          <w:rFonts w:eastAsia="Times New Roman" w:cs="Times New Roman"/>
          <w:rtl/>
          <w:lang w:eastAsia="de-DE"/>
        </w:rPr>
        <w:t xml:space="preserve"> </w:t>
      </w:r>
      <w:r w:rsidRPr="006E39D1">
        <w:rPr>
          <w:rFonts w:eastAsia="Times New Roman" w:cs="Times New Roman"/>
          <w:lang w:eastAsia="de-DE"/>
        </w:rPr>
        <w:t xml:space="preserve">(ihr fürchtetet euch nicht) von </w:t>
      </w:r>
      <w:r w:rsidRPr="006E39D1">
        <w:rPr>
          <w:rFonts w:eastAsia="Times New Roman" w:cs="Times New Roman"/>
          <w:b/>
          <w:bCs/>
          <w:rtl/>
          <w:lang w:eastAsia="de-DE"/>
        </w:rPr>
        <w:t>ירא</w:t>
      </w:r>
      <w:r w:rsidRPr="006E39D1">
        <w:rPr>
          <w:rFonts w:eastAsia="Times New Roman" w:cs="Times New Roman"/>
          <w:rtl/>
          <w:lang w:eastAsia="de-DE"/>
        </w:rPr>
        <w:t xml:space="preserve"> </w:t>
      </w:r>
      <w:r w:rsidRPr="006E39D1">
        <w:rPr>
          <w:rFonts w:eastAsia="Times New Roman" w:cs="Times New Roman"/>
          <w:lang w:eastAsia="de-DE"/>
        </w:rPr>
        <w:t xml:space="preserve">(sich fürchten), </w:t>
      </w:r>
      <w:r w:rsidRPr="006E39D1">
        <w:rPr>
          <w:rFonts w:eastAsia="Times New Roman" w:cs="Times New Roman"/>
          <w:b/>
          <w:bCs/>
          <w:rtl/>
          <w:lang w:eastAsia="de-DE"/>
        </w:rPr>
        <w:t>לְדַבֵּר</w:t>
      </w:r>
      <w:r w:rsidRPr="006E39D1">
        <w:rPr>
          <w:rFonts w:eastAsia="Times New Roman" w:cs="Times New Roman"/>
          <w:rtl/>
          <w:lang w:eastAsia="de-DE"/>
        </w:rPr>
        <w:t xml:space="preserve"> </w:t>
      </w:r>
      <w:r w:rsidRPr="006E39D1">
        <w:rPr>
          <w:rFonts w:eastAsia="Times New Roman" w:cs="Times New Roman"/>
          <w:lang w:eastAsia="de-DE"/>
        </w:rPr>
        <w:t xml:space="preserve">(zu reden) und der doppelten Bezeichnung </w:t>
      </w:r>
      <w:r w:rsidRPr="006E39D1">
        <w:rPr>
          <w:rFonts w:eastAsia="Times New Roman" w:cs="Times New Roman"/>
          <w:b/>
          <w:bCs/>
          <w:rtl/>
          <w:lang w:eastAsia="de-DE"/>
        </w:rPr>
        <w:t>בְּעַבְדִּי בְמֹשֶׁה</w:t>
      </w:r>
      <w:r w:rsidRPr="006E39D1">
        <w:rPr>
          <w:rFonts w:eastAsia="Times New Roman" w:cs="Times New Roman"/>
          <w:rtl/>
          <w:lang w:eastAsia="de-DE"/>
        </w:rPr>
        <w:t xml:space="preserve"> </w:t>
      </w:r>
      <w:r w:rsidRPr="006E39D1">
        <w:rPr>
          <w:rFonts w:eastAsia="Times New Roman" w:cs="Times New Roman"/>
          <w:lang w:eastAsia="de-DE"/>
        </w:rPr>
        <w:t>(gegen meinen Knecht, gegen Mose) zeigt göttlichen Tadel für den Mangel an angemessener Ehrfurcht.</w:t>
      </w:r>
    </w:p>
    <w:p w14:paraId="5BED0347" w14:textId="381D9C05"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interpretiert das hebräische „</w:t>
      </w:r>
      <w:r w:rsidR="00497CF8">
        <w:rPr>
          <w:rtl/>
        </w:rPr>
        <w:t>וּתְמֻנַת יְהוָה יַבִּיט</w:t>
      </w:r>
      <w:r w:rsidR="00497CF8">
        <w:t xml:space="preserve">" (und die Gestalt des </w:t>
      </w:r>
      <w:r w:rsidR="00C229FD">
        <w:t>Ewigen</w:t>
      </w:r>
      <w:r w:rsidR="00497CF8">
        <w:t xml:space="preserve"> schaut er) als „καὶ τὴν δόξαν κυρίου εἶδεν" (und die Herrlichkeit des Herrn sah er). Hier wird „</w:t>
      </w:r>
      <w:r w:rsidR="00497CF8">
        <w:rPr>
          <w:rtl/>
        </w:rPr>
        <w:t>תְמֻנַה</w:t>
      </w:r>
      <w:r w:rsidR="00497CF8">
        <w:t>" (Gestalt/Bild) durch „δόξα" (Herrlichkeit/Glanz) ersetzt – eine theologisch bedeutsame Verschiebung von visueller Wahrnehmung zu göttlicher Herrlichkeit.</w:t>
      </w:r>
    </w:p>
    <w:p w14:paraId="2EA3915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intimste Kommunikationsart, positive und negative Charakterisierung, höchste Offenbarungsebene und tadelnde Frage.</w:t>
      </w:r>
    </w:p>
    <w:p w14:paraId="540B6236" w14:textId="46B38F51"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stellt Moses einzigartige prophetische Position heraus und tadelt Aaron und Mirjam für ihre respektlose Kritik.</w:t>
      </w:r>
    </w:p>
    <w:p w14:paraId="7CEBF20A" w14:textId="77777777" w:rsidR="00F9556A" w:rsidRPr="00F06C27" w:rsidRDefault="00F9556A" w:rsidP="00F06C27">
      <w:pPr>
        <w:pStyle w:val="berschrift4"/>
        <w:rPr>
          <w:rFonts w:eastAsia="Times New Roman"/>
          <w:lang w:eastAsia="de-DE"/>
        </w:rPr>
      </w:pPr>
      <w:r w:rsidRPr="00F06C27">
        <w:rPr>
          <w:rFonts w:eastAsia="Times New Roman"/>
          <w:lang w:eastAsia="de-DE"/>
        </w:rPr>
        <w:lastRenderedPageBreak/>
        <w:t xml:space="preserve">Exkurs: </w:t>
      </w:r>
      <w:r w:rsidRPr="00F06C27">
        <w:rPr>
          <w:rFonts w:eastAsia="Times New Roman"/>
          <w:i w:val="0"/>
          <w:iCs w:val="0"/>
          <w:rtl/>
          <w:lang w:eastAsia="de-DE"/>
        </w:rPr>
        <w:t>תְמֻנַת</w:t>
      </w:r>
      <w:r w:rsidRPr="00F06C27">
        <w:rPr>
          <w:rFonts w:eastAsia="Times New Roman"/>
          <w:rtl/>
          <w:lang w:eastAsia="de-DE"/>
        </w:rPr>
        <w:t xml:space="preserve"> </w:t>
      </w:r>
      <w:r w:rsidRPr="00F06C27">
        <w:rPr>
          <w:rFonts w:eastAsia="Times New Roman"/>
          <w:i w:val="0"/>
          <w:iCs w:val="0"/>
          <w:rtl/>
          <w:lang w:eastAsia="de-DE"/>
        </w:rPr>
        <w:t>יְהוָה</w:t>
      </w:r>
      <w:r w:rsidRPr="00F06C27">
        <w:rPr>
          <w:rFonts w:eastAsia="Times New Roman"/>
          <w:lang w:eastAsia="de-DE"/>
        </w:rPr>
        <w:t xml:space="preserve"> – Das Paradox der Gottesschau</w:t>
      </w:r>
    </w:p>
    <w:p w14:paraId="02B175D4" w14:textId="77777777" w:rsidR="00F9556A" w:rsidRP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Numeri 12,8:</w:t>
      </w:r>
    </w:p>
    <w:p w14:paraId="6D01F3CB" w14:textId="77777777" w:rsidR="00F9556A" w:rsidRPr="00F9556A" w:rsidRDefault="00F9556A" w:rsidP="00F9556A">
      <w:pPr>
        <w:spacing w:beforeAutospacing="1" w:after="100" w:afterAutospacing="1" w:line="240" w:lineRule="auto"/>
        <w:rPr>
          <w:rFonts w:eastAsia="Times New Roman" w:cs="Times New Roman"/>
          <w:lang w:eastAsia="de-DE"/>
        </w:rPr>
      </w:pPr>
      <w:r w:rsidRPr="00F9556A">
        <w:rPr>
          <w:rFonts w:eastAsia="Times New Roman" w:cs="Times New Roman"/>
          <w:rtl/>
          <w:lang w:eastAsia="de-DE"/>
        </w:rPr>
        <w:t>וּתְמֻנַת יְהוָה יַבִּיט</w:t>
      </w:r>
      <w:r w:rsidRPr="00F9556A">
        <w:rPr>
          <w:rFonts w:eastAsia="Times New Roman" w:cs="Times New Roman"/>
          <w:lang w:eastAsia="de-DE"/>
        </w:rPr>
        <w:br/>
        <w:t xml:space="preserve">"Und das </w:t>
      </w:r>
      <w:r w:rsidRPr="00F9556A">
        <w:rPr>
          <w:rFonts w:eastAsia="Times New Roman" w:cs="Times New Roman"/>
          <w:b/>
          <w:bCs/>
          <w:lang w:eastAsia="de-DE"/>
        </w:rPr>
        <w:t>Abbild JHWHs</w:t>
      </w:r>
      <w:r w:rsidRPr="00F9556A">
        <w:rPr>
          <w:rFonts w:eastAsia="Times New Roman" w:cs="Times New Roman"/>
          <w:lang w:eastAsia="de-DE"/>
        </w:rPr>
        <w:t xml:space="preserve"> schaut er."</w:t>
      </w:r>
    </w:p>
    <w:p w14:paraId="7EF2B246" w14:textId="77777777" w:rsidR="00F9556A" w:rsidRP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Exodus 33,20 (Paradox!):</w:t>
      </w:r>
    </w:p>
    <w:p w14:paraId="3FAE1E31" w14:textId="77777777" w:rsidR="00F9556A" w:rsidRPr="00F9556A" w:rsidRDefault="00F9556A" w:rsidP="00F9556A">
      <w:pPr>
        <w:spacing w:beforeAutospacing="1" w:after="100" w:afterAutospacing="1" w:line="240" w:lineRule="auto"/>
        <w:rPr>
          <w:rFonts w:eastAsia="Times New Roman" w:cs="Times New Roman"/>
          <w:lang w:eastAsia="de-DE"/>
        </w:rPr>
      </w:pPr>
      <w:r w:rsidRPr="00F9556A">
        <w:rPr>
          <w:rFonts w:eastAsia="Times New Roman" w:cs="Times New Roman"/>
          <w:rtl/>
          <w:lang w:eastAsia="de-DE"/>
        </w:rPr>
        <w:t>וַיֹּאמֶר לֹא תוּכַל לִרְאֹת אֶת־פָּנָי כִּי לֹא־יִרְאַנִי הָאָדָם וָחָי</w:t>
      </w:r>
      <w:r w:rsidRPr="00F9556A">
        <w:rPr>
          <w:rFonts w:eastAsia="Times New Roman" w:cs="Times New Roman"/>
          <w:lang w:eastAsia="de-DE"/>
        </w:rPr>
        <w:br/>
        <w:t xml:space="preserve">"Und er sprach: Du kannst mein Angesicht nicht sehen, denn </w:t>
      </w:r>
      <w:r w:rsidRPr="00F9556A">
        <w:rPr>
          <w:rFonts w:eastAsia="Times New Roman" w:cs="Times New Roman"/>
          <w:b/>
          <w:bCs/>
          <w:lang w:eastAsia="de-DE"/>
        </w:rPr>
        <w:t>kein Mensch kann mich sehen und leben</w:t>
      </w:r>
      <w:r w:rsidRPr="00F9556A">
        <w:rPr>
          <w:rFonts w:eastAsia="Times New Roman" w:cs="Times New Roman"/>
          <w:lang w:eastAsia="de-DE"/>
        </w:rPr>
        <w:t>."</w:t>
      </w:r>
    </w:p>
    <w:p w14:paraId="15C913E5" w14:textId="6E1F19C7" w:rsidR="00F9556A" w:rsidRDefault="00F9556A" w:rsidP="00F9556A">
      <w:pPr>
        <w:spacing w:before="100" w:beforeAutospacing="1" w:after="100" w:afterAutospacing="1" w:line="240" w:lineRule="auto"/>
        <w:rPr>
          <w:rFonts w:eastAsia="Times New Roman" w:cs="Times New Roman"/>
          <w:b/>
          <w:bCs/>
          <w:lang w:eastAsia="de-DE"/>
        </w:rPr>
      </w:pPr>
      <w:r w:rsidRPr="00F9556A">
        <w:rPr>
          <w:rFonts w:eastAsia="Times New Roman" w:cs="Times New Roman"/>
          <w:b/>
          <w:bCs/>
          <w:lang w:eastAsia="de-DE"/>
        </w:rPr>
        <w:t>Wie löst sich dieser Widerspruch?</w:t>
      </w:r>
    </w:p>
    <w:tbl>
      <w:tblPr>
        <w:tblStyle w:val="Tabellenraster"/>
        <w:tblW w:w="4994" w:type="pct"/>
        <w:tblLook w:val="04A0" w:firstRow="1" w:lastRow="0" w:firstColumn="1" w:lastColumn="0" w:noHBand="0" w:noVBand="1"/>
      </w:tblPr>
      <w:tblGrid>
        <w:gridCol w:w="1838"/>
        <w:gridCol w:w="4195"/>
        <w:gridCol w:w="3018"/>
      </w:tblGrid>
      <w:tr w:rsidR="00F9556A" w14:paraId="0C876F0B" w14:textId="77777777" w:rsidTr="00F9556A">
        <w:tc>
          <w:tcPr>
            <w:tcW w:w="1015" w:type="pct"/>
          </w:tcPr>
          <w:p w14:paraId="6156E3BA" w14:textId="27FA9702" w:rsidR="00F9556A" w:rsidRDefault="00F9556A" w:rsidP="00F9556A">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Stelle</w:t>
            </w:r>
          </w:p>
        </w:tc>
        <w:tc>
          <w:tcPr>
            <w:tcW w:w="2317" w:type="pct"/>
          </w:tcPr>
          <w:p w14:paraId="5D6B3C3F" w14:textId="73AA899F" w:rsidR="00F9556A" w:rsidRDefault="00F9556A" w:rsidP="00F9556A">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Was Mose sieht</w:t>
            </w:r>
          </w:p>
        </w:tc>
        <w:tc>
          <w:tcPr>
            <w:tcW w:w="1667" w:type="pct"/>
          </w:tcPr>
          <w:p w14:paraId="75F32961" w14:textId="2447F6F8" w:rsidR="00F9556A" w:rsidRDefault="00F9556A" w:rsidP="00F9556A">
            <w:pPr>
              <w:spacing w:before="100" w:beforeAutospacing="1" w:after="100" w:afterAutospacing="1" w:line="240" w:lineRule="auto"/>
              <w:rPr>
                <w:rFonts w:eastAsia="Times New Roman" w:cs="Times New Roman"/>
                <w:lang w:eastAsia="de-DE"/>
              </w:rPr>
            </w:pPr>
            <w:r>
              <w:rPr>
                <w:rFonts w:ascii="Segoe UI" w:hAnsi="Segoe UI" w:cs="Segoe UI"/>
                <w:b/>
                <w:bCs/>
                <w:color w:val="141413"/>
                <w:sz w:val="21"/>
                <w:szCs w:val="21"/>
                <w:shd w:val="clear" w:color="auto" w:fill="FAF9F5"/>
              </w:rPr>
              <w:t>Was er NICHT sieht</w:t>
            </w:r>
          </w:p>
        </w:tc>
      </w:tr>
      <w:tr w:rsidR="00F9556A" w14:paraId="2F47FB1C" w14:textId="77777777" w:rsidTr="00F9556A">
        <w:tc>
          <w:tcPr>
            <w:tcW w:w="1015" w:type="pct"/>
            <w:vAlign w:val="center"/>
          </w:tcPr>
          <w:p w14:paraId="42BBB5C3" w14:textId="2CC89EFF" w:rsid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Ex 33,20-23</w:t>
            </w:r>
          </w:p>
        </w:tc>
        <w:tc>
          <w:tcPr>
            <w:tcW w:w="2317" w:type="pct"/>
          </w:tcPr>
          <w:p w14:paraId="3638DF98" w14:textId="5641C2CF" w:rsid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rtl/>
                <w:lang w:eastAsia="de-DE"/>
              </w:rPr>
              <w:t>אֲחֹרָי</w:t>
            </w:r>
            <w:r w:rsidRPr="00F9556A">
              <w:rPr>
                <w:rFonts w:eastAsia="Times New Roman" w:cs="Times New Roman"/>
                <w:lang w:eastAsia="de-DE"/>
              </w:rPr>
              <w:t xml:space="preserve"> (mein "Hinterer")</w:t>
            </w:r>
          </w:p>
        </w:tc>
        <w:tc>
          <w:tcPr>
            <w:tcW w:w="1667" w:type="pct"/>
          </w:tcPr>
          <w:p w14:paraId="3EE69752" w14:textId="3F64A239" w:rsid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rtl/>
                <w:lang w:eastAsia="de-DE"/>
              </w:rPr>
              <w:t>פָּנַי</w:t>
            </w:r>
            <w:r w:rsidRPr="00F9556A">
              <w:rPr>
                <w:rFonts w:eastAsia="Times New Roman" w:cs="Times New Roman"/>
                <w:lang w:eastAsia="de-DE"/>
              </w:rPr>
              <w:t xml:space="preserve"> (mein Angesicht)</w:t>
            </w:r>
          </w:p>
        </w:tc>
      </w:tr>
      <w:tr w:rsidR="00F9556A" w14:paraId="36AC2C9D" w14:textId="77777777" w:rsidTr="00F9556A">
        <w:tc>
          <w:tcPr>
            <w:tcW w:w="1015" w:type="pct"/>
            <w:vAlign w:val="center"/>
          </w:tcPr>
          <w:p w14:paraId="77791E3C" w14:textId="310F7785" w:rsid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Num 12,8</w:t>
            </w:r>
          </w:p>
        </w:tc>
        <w:tc>
          <w:tcPr>
            <w:tcW w:w="2317" w:type="pct"/>
          </w:tcPr>
          <w:p w14:paraId="7C89E56B" w14:textId="2238CE50" w:rsid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rtl/>
                <w:lang w:eastAsia="de-DE"/>
              </w:rPr>
              <w:t>תְמֻנַת יְהוָה</w:t>
            </w:r>
            <w:r w:rsidRPr="00F9556A">
              <w:rPr>
                <w:rFonts w:eastAsia="Times New Roman" w:cs="Times New Roman"/>
                <w:lang w:eastAsia="de-DE"/>
              </w:rPr>
              <w:t xml:space="preserve"> (Abbild JHWHs)</w:t>
            </w:r>
          </w:p>
        </w:tc>
        <w:tc>
          <w:tcPr>
            <w:tcW w:w="1667" w:type="pct"/>
          </w:tcPr>
          <w:p w14:paraId="5133435D" w14:textId="0CFB8A71" w:rsid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lang w:eastAsia="de-DE"/>
              </w:rPr>
              <w:t>?</w:t>
            </w:r>
          </w:p>
        </w:tc>
      </w:tr>
      <w:tr w:rsidR="00F9556A" w14:paraId="0C81EC5E" w14:textId="77777777" w:rsidTr="00F9556A">
        <w:tc>
          <w:tcPr>
            <w:tcW w:w="1015" w:type="pct"/>
          </w:tcPr>
          <w:p w14:paraId="0638571C" w14:textId="2B80738A" w:rsid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Dtn 34,10</w:t>
            </w:r>
          </w:p>
        </w:tc>
        <w:tc>
          <w:tcPr>
            <w:tcW w:w="2317" w:type="pct"/>
            <w:vAlign w:val="center"/>
          </w:tcPr>
          <w:p w14:paraId="3A727901" w14:textId="54985306" w:rsid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rtl/>
                <w:lang w:eastAsia="de-DE"/>
              </w:rPr>
              <w:t>פָּנִים אֶל־פָּנִים</w:t>
            </w:r>
            <w:r w:rsidRPr="00F9556A">
              <w:rPr>
                <w:rFonts w:eastAsia="Times New Roman" w:cs="Times New Roman"/>
                <w:lang w:eastAsia="de-DE"/>
              </w:rPr>
              <w:t xml:space="preserve"> (Angesicht zu Angesicht)</w:t>
            </w:r>
          </w:p>
        </w:tc>
        <w:tc>
          <w:tcPr>
            <w:tcW w:w="1667" w:type="pct"/>
          </w:tcPr>
          <w:p w14:paraId="5498FF2B" w14:textId="2D18E216" w:rsid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lang w:eastAsia="de-DE"/>
              </w:rPr>
              <w:t>—</w:t>
            </w:r>
          </w:p>
        </w:tc>
      </w:tr>
    </w:tbl>
    <w:p w14:paraId="60769C86" w14:textId="77777777" w:rsidR="00F9556A" w:rsidRP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Theologische Lösungen:</w:t>
      </w:r>
    </w:p>
    <w:p w14:paraId="415FA17D" w14:textId="77777777" w:rsidR="00F9556A" w:rsidRP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 xml:space="preserve">1. </w:t>
      </w:r>
      <w:r w:rsidRPr="00F9556A">
        <w:rPr>
          <w:rFonts w:eastAsia="Times New Roman" w:cs="Times New Roman"/>
          <w:b/>
          <w:bCs/>
          <w:rtl/>
          <w:lang w:eastAsia="de-DE"/>
        </w:rPr>
        <w:t>תְמֻנָה ≠ פָּנִים</w:t>
      </w:r>
      <w:r w:rsidRPr="00F9556A">
        <w:rPr>
          <w:rFonts w:eastAsia="Times New Roman" w:cs="Times New Roman"/>
          <w:b/>
          <w:bCs/>
          <w:lang w:eastAsia="de-DE"/>
        </w:rPr>
        <w:t xml:space="preserve"> (Abbild ≠ Angesicht):</w:t>
      </w:r>
    </w:p>
    <w:p w14:paraId="0CC305F7" w14:textId="77777777" w:rsidR="00F9556A" w:rsidRPr="00F9556A" w:rsidRDefault="00F9556A" w:rsidP="00077755">
      <w:pPr>
        <w:numPr>
          <w:ilvl w:val="0"/>
          <w:numId w:val="102"/>
        </w:numPr>
        <w:spacing w:before="100" w:beforeAutospacing="1" w:after="100" w:afterAutospacing="1" w:line="240" w:lineRule="auto"/>
        <w:rPr>
          <w:rFonts w:eastAsia="Times New Roman" w:cs="Times New Roman"/>
          <w:lang w:eastAsia="de-DE"/>
        </w:rPr>
      </w:pPr>
      <w:r w:rsidRPr="00F9556A">
        <w:rPr>
          <w:rFonts w:eastAsia="Times New Roman" w:cs="Times New Roman"/>
          <w:b/>
          <w:bCs/>
          <w:rtl/>
          <w:lang w:eastAsia="de-DE"/>
        </w:rPr>
        <w:t>תְמֻנָה</w:t>
      </w:r>
      <w:r w:rsidRPr="00F9556A">
        <w:rPr>
          <w:rFonts w:eastAsia="Times New Roman" w:cs="Times New Roman"/>
          <w:rtl/>
          <w:lang w:eastAsia="de-DE"/>
        </w:rPr>
        <w:t xml:space="preserve"> </w:t>
      </w:r>
      <w:r w:rsidRPr="00F9556A">
        <w:rPr>
          <w:rFonts w:eastAsia="Times New Roman" w:cs="Times New Roman"/>
          <w:lang w:eastAsia="de-DE"/>
        </w:rPr>
        <w:t xml:space="preserve">= eine </w:t>
      </w:r>
      <w:r w:rsidRPr="00F9556A">
        <w:rPr>
          <w:rFonts w:eastAsia="Times New Roman" w:cs="Times New Roman"/>
          <w:b/>
          <w:bCs/>
          <w:lang w:eastAsia="de-DE"/>
        </w:rPr>
        <w:t>sichtbare Repräsentation</w:t>
      </w:r>
      <w:r w:rsidRPr="00F9556A">
        <w:rPr>
          <w:rFonts w:eastAsia="Times New Roman" w:cs="Times New Roman"/>
          <w:lang w:eastAsia="de-DE"/>
        </w:rPr>
        <w:t xml:space="preserve">, aber nicht Gottes </w:t>
      </w:r>
      <w:r w:rsidRPr="00F9556A">
        <w:rPr>
          <w:rFonts w:eastAsia="Times New Roman" w:cs="Times New Roman"/>
          <w:b/>
          <w:bCs/>
          <w:lang w:eastAsia="de-DE"/>
        </w:rPr>
        <w:t>Essenz</w:t>
      </w:r>
    </w:p>
    <w:p w14:paraId="30C88822" w14:textId="77777777" w:rsidR="00F9556A" w:rsidRPr="00F9556A" w:rsidRDefault="00F9556A" w:rsidP="00077755">
      <w:pPr>
        <w:numPr>
          <w:ilvl w:val="0"/>
          <w:numId w:val="102"/>
        </w:numPr>
        <w:spacing w:before="100" w:beforeAutospacing="1" w:after="100" w:afterAutospacing="1" w:line="240" w:lineRule="auto"/>
        <w:rPr>
          <w:rFonts w:eastAsia="Times New Roman" w:cs="Times New Roman"/>
          <w:lang w:eastAsia="de-DE"/>
        </w:rPr>
      </w:pPr>
      <w:r w:rsidRPr="00F9556A">
        <w:rPr>
          <w:rFonts w:eastAsia="Times New Roman" w:cs="Times New Roman"/>
          <w:b/>
          <w:bCs/>
          <w:rtl/>
          <w:lang w:eastAsia="de-DE"/>
        </w:rPr>
        <w:t>פָּנִים</w:t>
      </w:r>
      <w:r w:rsidRPr="00F9556A">
        <w:rPr>
          <w:rFonts w:eastAsia="Times New Roman" w:cs="Times New Roman"/>
          <w:rtl/>
          <w:lang w:eastAsia="de-DE"/>
        </w:rPr>
        <w:t xml:space="preserve"> </w:t>
      </w:r>
      <w:r w:rsidRPr="00F9556A">
        <w:rPr>
          <w:rFonts w:eastAsia="Times New Roman" w:cs="Times New Roman"/>
          <w:lang w:eastAsia="de-DE"/>
        </w:rPr>
        <w:t xml:space="preserve">= Gottes </w:t>
      </w:r>
      <w:r w:rsidRPr="00F9556A">
        <w:rPr>
          <w:rFonts w:eastAsia="Times New Roman" w:cs="Times New Roman"/>
          <w:b/>
          <w:bCs/>
          <w:lang w:eastAsia="de-DE"/>
        </w:rPr>
        <w:t>vollständige, unverhüllte Herrlichkeit</w:t>
      </w:r>
      <w:r w:rsidRPr="00F9556A">
        <w:rPr>
          <w:rFonts w:eastAsia="Times New Roman" w:cs="Times New Roman"/>
          <w:lang w:eastAsia="de-DE"/>
        </w:rPr>
        <w:t xml:space="preserve"> (tödlich für Menschen)</w:t>
      </w:r>
    </w:p>
    <w:p w14:paraId="181B4B0F" w14:textId="77777777" w:rsidR="00F9556A" w:rsidRP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2. LXX-Interpretation:</w:t>
      </w:r>
    </w:p>
    <w:p w14:paraId="6A1B3598" w14:textId="77777777" w:rsidR="00F9556A" w:rsidRPr="00F9556A" w:rsidRDefault="00F9556A" w:rsidP="00077755">
      <w:pPr>
        <w:numPr>
          <w:ilvl w:val="0"/>
          <w:numId w:val="103"/>
        </w:numPr>
        <w:spacing w:before="100" w:beforeAutospacing="1" w:after="100" w:afterAutospacing="1" w:line="240" w:lineRule="auto"/>
        <w:rPr>
          <w:rFonts w:eastAsia="Times New Roman" w:cs="Times New Roman"/>
          <w:lang w:eastAsia="de-DE"/>
        </w:rPr>
      </w:pPr>
      <w:r w:rsidRPr="00F9556A">
        <w:rPr>
          <w:rFonts w:eastAsia="Times New Roman" w:cs="Times New Roman"/>
          <w:lang w:eastAsia="de-DE"/>
        </w:rPr>
        <w:t xml:space="preserve">LXX übersetzt </w:t>
      </w:r>
      <w:r w:rsidRPr="00F9556A">
        <w:rPr>
          <w:rFonts w:eastAsia="Times New Roman" w:cs="Times New Roman"/>
          <w:rtl/>
          <w:lang w:eastAsia="de-DE"/>
        </w:rPr>
        <w:t>תְמֻנַת יְהוָה</w:t>
      </w:r>
      <w:r w:rsidRPr="00F9556A">
        <w:rPr>
          <w:rFonts w:eastAsia="Times New Roman" w:cs="Times New Roman"/>
          <w:lang w:eastAsia="de-DE"/>
        </w:rPr>
        <w:t xml:space="preserve"> als </w:t>
      </w:r>
      <w:r w:rsidRPr="00F9556A">
        <w:rPr>
          <w:rFonts w:eastAsia="Times New Roman" w:cs="Times New Roman"/>
          <w:b/>
          <w:bCs/>
          <w:lang w:eastAsia="de-DE"/>
        </w:rPr>
        <w:t>δόξαν κυρίου</w:t>
      </w:r>
      <w:r w:rsidRPr="00F9556A">
        <w:rPr>
          <w:rFonts w:eastAsia="Times New Roman" w:cs="Times New Roman"/>
          <w:lang w:eastAsia="de-DE"/>
        </w:rPr>
        <w:t xml:space="preserve"> ("Herrlichkeit des Herrn")</w:t>
      </w:r>
    </w:p>
    <w:p w14:paraId="30E3FC6F" w14:textId="77777777" w:rsidR="00F9556A" w:rsidRPr="00F9556A" w:rsidRDefault="00F9556A" w:rsidP="00077755">
      <w:pPr>
        <w:numPr>
          <w:ilvl w:val="0"/>
          <w:numId w:val="103"/>
        </w:numPr>
        <w:spacing w:before="100" w:beforeAutospacing="1" w:after="100" w:afterAutospacing="1" w:line="240" w:lineRule="auto"/>
        <w:rPr>
          <w:rFonts w:eastAsia="Times New Roman" w:cs="Times New Roman"/>
          <w:lang w:eastAsia="de-DE"/>
        </w:rPr>
      </w:pPr>
      <w:r w:rsidRPr="00F9556A">
        <w:rPr>
          <w:rFonts w:eastAsia="Times New Roman" w:cs="Times New Roman"/>
          <w:lang w:eastAsia="de-DE"/>
        </w:rPr>
        <w:t xml:space="preserve">→ Mose sieht Gottes </w:t>
      </w:r>
      <w:r w:rsidRPr="00F9556A">
        <w:rPr>
          <w:rFonts w:eastAsia="Times New Roman" w:cs="Times New Roman"/>
          <w:b/>
          <w:bCs/>
          <w:lang w:eastAsia="de-DE"/>
        </w:rPr>
        <w:t>Herrlichkeit</w:t>
      </w:r>
      <w:r w:rsidRPr="00F9556A">
        <w:rPr>
          <w:rFonts w:eastAsia="Times New Roman" w:cs="Times New Roman"/>
          <w:lang w:eastAsia="de-DE"/>
        </w:rPr>
        <w:t xml:space="preserve">, nicht sein </w:t>
      </w:r>
      <w:r w:rsidRPr="00F9556A">
        <w:rPr>
          <w:rFonts w:eastAsia="Times New Roman" w:cs="Times New Roman"/>
          <w:b/>
          <w:bCs/>
          <w:lang w:eastAsia="de-DE"/>
        </w:rPr>
        <w:t>Wesen</w:t>
      </w:r>
    </w:p>
    <w:p w14:paraId="3557FD99" w14:textId="77777777" w:rsidR="00F9556A" w:rsidRP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3. Rabbinische Tradition (Sifre Num 103):</w:t>
      </w:r>
    </w:p>
    <w:p w14:paraId="0BA8B72B" w14:textId="77777777" w:rsidR="00F9556A" w:rsidRPr="00F9556A" w:rsidRDefault="00F9556A" w:rsidP="00077755">
      <w:pPr>
        <w:numPr>
          <w:ilvl w:val="0"/>
          <w:numId w:val="104"/>
        </w:numPr>
        <w:spacing w:before="100" w:beforeAutospacing="1" w:after="100" w:afterAutospacing="1" w:line="240" w:lineRule="auto"/>
        <w:rPr>
          <w:rFonts w:eastAsia="Times New Roman" w:cs="Times New Roman"/>
          <w:lang w:eastAsia="de-DE"/>
        </w:rPr>
      </w:pPr>
      <w:r w:rsidRPr="00F9556A">
        <w:rPr>
          <w:rFonts w:eastAsia="Times New Roman" w:cs="Times New Roman"/>
          <w:lang w:eastAsia="de-DE"/>
        </w:rPr>
        <w:t xml:space="preserve">Andere Propheten sehen durch </w:t>
      </w:r>
      <w:r w:rsidRPr="00F9556A">
        <w:rPr>
          <w:rFonts w:eastAsia="Times New Roman" w:cs="Times New Roman"/>
          <w:b/>
          <w:bCs/>
          <w:lang w:eastAsia="de-DE"/>
        </w:rPr>
        <w:t>9 dunkle Spiegel</w:t>
      </w:r>
    </w:p>
    <w:p w14:paraId="6287A544" w14:textId="77777777" w:rsidR="00F9556A" w:rsidRPr="00F9556A" w:rsidRDefault="00F9556A" w:rsidP="00077755">
      <w:pPr>
        <w:numPr>
          <w:ilvl w:val="0"/>
          <w:numId w:val="104"/>
        </w:numPr>
        <w:spacing w:before="100" w:beforeAutospacing="1" w:after="100" w:afterAutospacing="1" w:line="240" w:lineRule="auto"/>
        <w:rPr>
          <w:rFonts w:eastAsia="Times New Roman" w:cs="Times New Roman"/>
          <w:lang w:eastAsia="de-DE"/>
        </w:rPr>
      </w:pPr>
      <w:r w:rsidRPr="00F9556A">
        <w:rPr>
          <w:rFonts w:eastAsia="Times New Roman" w:cs="Times New Roman"/>
          <w:lang w:eastAsia="de-DE"/>
        </w:rPr>
        <w:t xml:space="preserve">Mose sieht durch </w:t>
      </w:r>
      <w:r w:rsidRPr="00F9556A">
        <w:rPr>
          <w:rFonts w:eastAsia="Times New Roman" w:cs="Times New Roman"/>
          <w:b/>
          <w:bCs/>
          <w:lang w:eastAsia="de-DE"/>
        </w:rPr>
        <w:t>1 klaren Spiegel</w:t>
      </w:r>
      <w:r w:rsidRPr="00F9556A">
        <w:rPr>
          <w:rFonts w:eastAsia="Times New Roman" w:cs="Times New Roman"/>
          <w:lang w:eastAsia="de-DE"/>
        </w:rPr>
        <w:t xml:space="preserve"> (</w:t>
      </w:r>
      <w:r w:rsidRPr="00F9556A">
        <w:rPr>
          <w:rFonts w:eastAsia="Times New Roman" w:cs="Times New Roman"/>
          <w:rtl/>
          <w:lang w:eastAsia="de-DE"/>
        </w:rPr>
        <w:t>אַסְפַּקְלַרְיָה הַמְאִירָה</w:t>
      </w:r>
      <w:r w:rsidRPr="00F9556A">
        <w:rPr>
          <w:rFonts w:eastAsia="Times New Roman" w:cs="Times New Roman"/>
          <w:lang w:eastAsia="de-DE"/>
        </w:rPr>
        <w:t>)</w:t>
      </w:r>
    </w:p>
    <w:p w14:paraId="08DC07D6" w14:textId="77777777" w:rsidR="00F9556A" w:rsidRPr="00F9556A" w:rsidRDefault="00F9556A" w:rsidP="00077755">
      <w:pPr>
        <w:numPr>
          <w:ilvl w:val="0"/>
          <w:numId w:val="104"/>
        </w:numPr>
        <w:spacing w:before="100" w:beforeAutospacing="1" w:after="100" w:afterAutospacing="1" w:line="240" w:lineRule="auto"/>
        <w:rPr>
          <w:rFonts w:eastAsia="Times New Roman" w:cs="Times New Roman"/>
          <w:lang w:eastAsia="de-DE"/>
        </w:rPr>
      </w:pPr>
      <w:r w:rsidRPr="00F9556A">
        <w:rPr>
          <w:rFonts w:eastAsia="Times New Roman" w:cs="Times New Roman"/>
          <w:lang w:eastAsia="de-DE"/>
        </w:rPr>
        <w:t xml:space="preserve">→ Mose hat die </w:t>
      </w:r>
      <w:r w:rsidRPr="00F9556A">
        <w:rPr>
          <w:rFonts w:eastAsia="Times New Roman" w:cs="Times New Roman"/>
          <w:b/>
          <w:bCs/>
          <w:lang w:eastAsia="de-DE"/>
        </w:rPr>
        <w:t>klarste</w:t>
      </w:r>
      <w:r w:rsidRPr="00F9556A">
        <w:rPr>
          <w:rFonts w:eastAsia="Times New Roman" w:cs="Times New Roman"/>
          <w:lang w:eastAsia="de-DE"/>
        </w:rPr>
        <w:t xml:space="preserve"> Gottesschau, aber immer noch </w:t>
      </w:r>
      <w:r w:rsidRPr="00F9556A">
        <w:rPr>
          <w:rFonts w:eastAsia="Times New Roman" w:cs="Times New Roman"/>
          <w:b/>
          <w:bCs/>
          <w:lang w:eastAsia="de-DE"/>
        </w:rPr>
        <w:t>vermittelt</w:t>
      </w:r>
    </w:p>
    <w:p w14:paraId="7C253FF5" w14:textId="77777777" w:rsidR="00F9556A" w:rsidRPr="00F9556A" w:rsidRDefault="00F9556A" w:rsidP="00F9556A">
      <w:pPr>
        <w:spacing w:before="100" w:beforeAutospacing="1" w:after="100" w:afterAutospacing="1" w:line="240" w:lineRule="auto"/>
        <w:rPr>
          <w:rFonts w:eastAsia="Times New Roman" w:cs="Times New Roman"/>
          <w:lang w:eastAsia="de-DE"/>
        </w:rPr>
      </w:pPr>
      <w:r w:rsidRPr="00F9556A">
        <w:rPr>
          <w:rFonts w:eastAsia="Times New Roman" w:cs="Times New Roman"/>
          <w:b/>
          <w:bCs/>
          <w:lang w:eastAsia="de-DE"/>
        </w:rPr>
        <w:t>4. Maimonides (More Nevuchim I:37):</w:t>
      </w:r>
    </w:p>
    <w:p w14:paraId="3C138214" w14:textId="77777777" w:rsidR="00F9556A" w:rsidRPr="00F9556A" w:rsidRDefault="00F9556A" w:rsidP="00077755">
      <w:pPr>
        <w:numPr>
          <w:ilvl w:val="0"/>
          <w:numId w:val="105"/>
        </w:numPr>
        <w:spacing w:before="100" w:beforeAutospacing="1" w:after="100" w:afterAutospacing="1" w:line="240" w:lineRule="auto"/>
        <w:rPr>
          <w:rFonts w:eastAsia="Times New Roman" w:cs="Times New Roman"/>
          <w:lang w:eastAsia="de-DE"/>
        </w:rPr>
      </w:pPr>
      <w:r w:rsidRPr="00F9556A">
        <w:rPr>
          <w:rFonts w:eastAsia="Times New Roman" w:cs="Times New Roman"/>
          <w:rtl/>
          <w:lang w:eastAsia="de-DE"/>
        </w:rPr>
        <w:t>תְמֻנָה</w:t>
      </w:r>
      <w:r w:rsidRPr="00F9556A">
        <w:rPr>
          <w:rFonts w:eastAsia="Times New Roman" w:cs="Times New Roman"/>
          <w:lang w:eastAsia="de-DE"/>
        </w:rPr>
        <w:t xml:space="preserve"> = </w:t>
      </w:r>
      <w:r w:rsidRPr="00F9556A">
        <w:rPr>
          <w:rFonts w:eastAsia="Times New Roman" w:cs="Times New Roman"/>
          <w:b/>
          <w:bCs/>
          <w:lang w:eastAsia="de-DE"/>
        </w:rPr>
        <w:t>intellektuelle Erfassung</w:t>
      </w:r>
      <w:r w:rsidRPr="00F9556A">
        <w:rPr>
          <w:rFonts w:eastAsia="Times New Roman" w:cs="Times New Roman"/>
          <w:lang w:eastAsia="de-DE"/>
        </w:rPr>
        <w:t xml:space="preserve"> von Gottes Attributen, nicht </w:t>
      </w:r>
      <w:r w:rsidRPr="00F9556A">
        <w:rPr>
          <w:rFonts w:eastAsia="Times New Roman" w:cs="Times New Roman"/>
          <w:b/>
          <w:bCs/>
          <w:lang w:eastAsia="de-DE"/>
        </w:rPr>
        <w:t>visuelle</w:t>
      </w:r>
      <w:r w:rsidRPr="00F9556A">
        <w:rPr>
          <w:rFonts w:eastAsia="Times New Roman" w:cs="Times New Roman"/>
          <w:lang w:eastAsia="de-DE"/>
        </w:rPr>
        <w:t xml:space="preserve"> Wahrnehmung</w:t>
      </w:r>
    </w:p>
    <w:p w14:paraId="53721EA5" w14:textId="77777777" w:rsidR="00F9556A" w:rsidRPr="00F9556A" w:rsidRDefault="00F9556A" w:rsidP="00077755">
      <w:pPr>
        <w:numPr>
          <w:ilvl w:val="0"/>
          <w:numId w:val="105"/>
        </w:numPr>
        <w:spacing w:before="100" w:beforeAutospacing="1" w:after="100" w:afterAutospacing="1" w:line="240" w:lineRule="auto"/>
        <w:rPr>
          <w:rFonts w:eastAsia="Times New Roman" w:cs="Times New Roman"/>
          <w:lang w:eastAsia="de-DE"/>
        </w:rPr>
      </w:pPr>
      <w:r w:rsidRPr="00F9556A">
        <w:rPr>
          <w:rFonts w:eastAsia="Times New Roman" w:cs="Times New Roman"/>
          <w:lang w:eastAsia="de-DE"/>
        </w:rPr>
        <w:t xml:space="preserve">→ Mose verstand Gottes </w:t>
      </w:r>
      <w:r w:rsidRPr="00F9556A">
        <w:rPr>
          <w:rFonts w:eastAsia="Times New Roman" w:cs="Times New Roman"/>
          <w:b/>
          <w:bCs/>
          <w:lang w:eastAsia="de-DE"/>
        </w:rPr>
        <w:t>Handlungsweisen</w:t>
      </w:r>
      <w:r w:rsidRPr="00F9556A">
        <w:rPr>
          <w:rFonts w:eastAsia="Times New Roman" w:cs="Times New Roman"/>
          <w:lang w:eastAsia="de-DE"/>
        </w:rPr>
        <w:t xml:space="preserve">, sah aber nicht sein </w:t>
      </w:r>
      <w:r w:rsidRPr="00F9556A">
        <w:rPr>
          <w:rFonts w:eastAsia="Times New Roman" w:cs="Times New Roman"/>
          <w:b/>
          <w:bCs/>
          <w:lang w:eastAsia="de-DE"/>
        </w:rPr>
        <w:t>Wesen</w:t>
      </w:r>
    </w:p>
    <w:p w14:paraId="718DFA27" w14:textId="79FF71B4" w:rsidR="00F9556A" w:rsidRPr="006E39D1" w:rsidRDefault="00F9556A" w:rsidP="00F9556A">
      <w:pPr>
        <w:spacing w:before="100" w:beforeAutospacing="1" w:after="100" w:afterAutospacing="1" w:line="240" w:lineRule="auto"/>
        <w:rPr>
          <w:rFonts w:eastAsia="Times New Roman" w:cs="Times New Roman"/>
          <w:lang w:eastAsia="de-DE"/>
        </w:rPr>
      </w:pPr>
      <w:r>
        <w:rPr>
          <w:rFonts w:eastAsia="Times New Roman" w:cs="Times New Roman"/>
          <w:b/>
          <w:bCs/>
          <w:lang w:eastAsia="de-DE"/>
        </w:rPr>
        <w:t xml:space="preserve">Fazit: </w:t>
      </w:r>
      <w:r w:rsidRPr="00F9556A">
        <w:rPr>
          <w:rFonts w:eastAsia="Times New Roman" w:cs="Times New Roman"/>
          <w:lang w:eastAsia="de-DE"/>
        </w:rPr>
        <w:t xml:space="preserve">Numeri 12,8 behauptet </w:t>
      </w:r>
      <w:r w:rsidRPr="00F9556A">
        <w:rPr>
          <w:rFonts w:eastAsia="Times New Roman" w:cs="Times New Roman"/>
          <w:b/>
          <w:bCs/>
          <w:lang w:eastAsia="de-DE"/>
        </w:rPr>
        <w:t>nicht</w:t>
      </w:r>
      <w:r w:rsidRPr="00F9556A">
        <w:rPr>
          <w:rFonts w:eastAsia="Times New Roman" w:cs="Times New Roman"/>
          <w:lang w:eastAsia="de-DE"/>
        </w:rPr>
        <w:t xml:space="preserve">, dass Mose Gottes </w:t>
      </w:r>
      <w:r w:rsidRPr="00F9556A">
        <w:rPr>
          <w:rFonts w:eastAsia="Times New Roman" w:cs="Times New Roman"/>
          <w:b/>
          <w:bCs/>
          <w:lang w:eastAsia="de-DE"/>
        </w:rPr>
        <w:t>Essenz</w:t>
      </w:r>
      <w:r w:rsidRPr="00F9556A">
        <w:rPr>
          <w:rFonts w:eastAsia="Times New Roman" w:cs="Times New Roman"/>
          <w:lang w:eastAsia="de-DE"/>
        </w:rPr>
        <w:t xml:space="preserve"> sah (was Ex 33,20 verbietet), sondern dass er die </w:t>
      </w:r>
      <w:r w:rsidRPr="00F9556A">
        <w:rPr>
          <w:rFonts w:eastAsia="Times New Roman" w:cs="Times New Roman"/>
          <w:b/>
          <w:bCs/>
          <w:lang w:eastAsia="de-DE"/>
        </w:rPr>
        <w:t>klarste mögliche Offenbarung</w:t>
      </w:r>
      <w:r w:rsidRPr="00F9556A">
        <w:rPr>
          <w:rFonts w:eastAsia="Times New Roman" w:cs="Times New Roman"/>
          <w:lang w:eastAsia="de-DE"/>
        </w:rPr>
        <w:t xml:space="preserve"> empfing – </w:t>
      </w:r>
      <w:r w:rsidRPr="00F9556A">
        <w:rPr>
          <w:rFonts w:eastAsia="Times New Roman" w:cs="Times New Roman"/>
          <w:b/>
          <w:bCs/>
          <w:lang w:eastAsia="de-DE"/>
        </w:rPr>
        <w:t>direkt</w:t>
      </w:r>
      <w:r w:rsidRPr="00F9556A">
        <w:rPr>
          <w:rFonts w:eastAsia="Times New Roman" w:cs="Times New Roman"/>
          <w:lang w:eastAsia="de-DE"/>
        </w:rPr>
        <w:t xml:space="preserve"> (</w:t>
      </w:r>
      <w:r w:rsidRPr="00F9556A">
        <w:rPr>
          <w:rFonts w:eastAsia="Times New Roman" w:cs="Times New Roman"/>
          <w:rtl/>
          <w:lang w:eastAsia="de-DE"/>
        </w:rPr>
        <w:t>פֶּה אֶל־פֶּה</w:t>
      </w:r>
      <w:r w:rsidRPr="00F9556A">
        <w:rPr>
          <w:rFonts w:eastAsia="Times New Roman" w:cs="Times New Roman"/>
          <w:lang w:eastAsia="de-DE"/>
        </w:rPr>
        <w:t xml:space="preserve">), </w:t>
      </w:r>
      <w:r w:rsidRPr="00F9556A">
        <w:rPr>
          <w:rFonts w:eastAsia="Times New Roman" w:cs="Times New Roman"/>
          <w:b/>
          <w:bCs/>
          <w:lang w:eastAsia="de-DE"/>
        </w:rPr>
        <w:t>unverhüllt</w:t>
      </w:r>
      <w:r w:rsidRPr="00F9556A">
        <w:rPr>
          <w:rFonts w:eastAsia="Times New Roman" w:cs="Times New Roman"/>
          <w:lang w:eastAsia="de-DE"/>
        </w:rPr>
        <w:t xml:space="preserve"> (</w:t>
      </w:r>
      <w:r w:rsidRPr="00F9556A">
        <w:rPr>
          <w:rFonts w:eastAsia="Times New Roman" w:cs="Times New Roman"/>
          <w:rtl/>
          <w:lang w:eastAsia="de-DE"/>
        </w:rPr>
        <w:t>לֹא בְחִידֹת</w:t>
      </w:r>
      <w:r w:rsidRPr="00F9556A">
        <w:rPr>
          <w:rFonts w:eastAsia="Times New Roman" w:cs="Times New Roman"/>
          <w:lang w:eastAsia="de-DE"/>
        </w:rPr>
        <w:t xml:space="preserve">), und </w:t>
      </w:r>
      <w:r w:rsidRPr="00F9556A">
        <w:rPr>
          <w:rFonts w:eastAsia="Times New Roman" w:cs="Times New Roman"/>
          <w:b/>
          <w:bCs/>
          <w:lang w:eastAsia="de-DE"/>
        </w:rPr>
        <w:t>visuell</w:t>
      </w:r>
      <w:r w:rsidRPr="00F9556A">
        <w:rPr>
          <w:rFonts w:eastAsia="Times New Roman" w:cs="Times New Roman"/>
          <w:lang w:eastAsia="de-DE"/>
        </w:rPr>
        <w:t xml:space="preserve"> (</w:t>
      </w:r>
      <w:r w:rsidRPr="00F9556A">
        <w:rPr>
          <w:rFonts w:eastAsia="Times New Roman" w:cs="Times New Roman"/>
          <w:rtl/>
          <w:lang w:eastAsia="de-DE"/>
        </w:rPr>
        <w:t>תְמֻנַת יְהוָה</w:t>
      </w:r>
      <w:r w:rsidRPr="00F9556A">
        <w:rPr>
          <w:rFonts w:eastAsia="Times New Roman" w:cs="Times New Roman"/>
          <w:lang w:eastAsia="de-DE"/>
        </w:rPr>
        <w:t xml:space="preserve">) – aber immer noch </w:t>
      </w:r>
      <w:r w:rsidRPr="00F9556A">
        <w:rPr>
          <w:rFonts w:eastAsia="Times New Roman" w:cs="Times New Roman"/>
          <w:b/>
          <w:bCs/>
          <w:lang w:eastAsia="de-DE"/>
        </w:rPr>
        <w:t>innerhalb menschlicher Grenzen</w:t>
      </w:r>
      <w:r w:rsidRPr="00F9556A">
        <w:rPr>
          <w:rFonts w:eastAsia="Times New Roman" w:cs="Times New Roman"/>
          <w:lang w:eastAsia="de-DE"/>
        </w:rPr>
        <w:t>.</w:t>
      </w:r>
    </w:p>
    <w:p w14:paraId="6DAAC219"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12,9</w:t>
      </w:r>
    </w:p>
    <w:p w14:paraId="4AE5270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Hebräisch:</w:t>
      </w:r>
      <w:r w:rsidRPr="006E39D1">
        <w:rPr>
          <w:rFonts w:eastAsia="Times New Roman" w:cs="Times New Roman"/>
          <w:lang w:eastAsia="de-DE"/>
        </w:rPr>
        <w:t xml:space="preserve"> </w:t>
      </w:r>
      <w:r w:rsidRPr="006E39D1">
        <w:rPr>
          <w:rFonts w:eastAsia="Times New Roman" w:cs="Times New Roman"/>
          <w:rtl/>
          <w:lang w:eastAsia="de-DE"/>
        </w:rPr>
        <w:t>וַיִּֽחַר אַ֧ף יְהוָ֛ה בָּ֖ם וַיֵּלַֽךְ׃</w:t>
      </w:r>
    </w:p>
    <w:p w14:paraId="541616D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der Zorn des Ewigen entbrannte gegen sie, und er ging fort.</w:t>
      </w:r>
    </w:p>
    <w:p w14:paraId="6E765EBD"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0EA5C88B">
          <v:rect id="_x0000_i1423" style="width:0;height:1.5pt" o:hralign="center" o:hrstd="t" o:hr="t" fillcolor="#a0a0a0" stroked="f"/>
        </w:pict>
      </w:r>
    </w:p>
    <w:p w14:paraId="4E1D5A7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וַיִּֽחַר אַ֧ף יְהוָ֛ה בָּ֖ם</w:t>
      </w:r>
      <w:r w:rsidRPr="006E39D1">
        <w:rPr>
          <w:rFonts w:eastAsia="Times New Roman" w:cs="Times New Roman"/>
          <w:rtl/>
          <w:lang w:eastAsia="de-DE"/>
        </w:rPr>
        <w:t xml:space="preserve"> </w:t>
      </w:r>
      <w:r w:rsidRPr="006E39D1">
        <w:rPr>
          <w:rFonts w:eastAsia="Times New Roman" w:cs="Times New Roman"/>
          <w:lang w:eastAsia="de-DE"/>
        </w:rPr>
        <w:t xml:space="preserve">(und der Zorn des Ewigen entbrannte gegen sie) mit </w:t>
      </w:r>
      <w:r w:rsidRPr="006E39D1">
        <w:rPr>
          <w:rFonts w:eastAsia="Times New Roman" w:cs="Times New Roman"/>
          <w:b/>
          <w:bCs/>
          <w:rtl/>
          <w:lang w:eastAsia="de-DE"/>
        </w:rPr>
        <w:t>יִּחַר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חרה</w:t>
      </w:r>
      <w:r w:rsidRPr="006E39D1">
        <w:rPr>
          <w:rFonts w:eastAsia="Times New Roman" w:cs="Times New Roman"/>
          <w:rtl/>
          <w:lang w:eastAsia="de-DE"/>
        </w:rPr>
        <w:t xml:space="preserve"> </w:t>
      </w:r>
      <w:r w:rsidRPr="006E39D1">
        <w:rPr>
          <w:rFonts w:eastAsia="Times New Roman" w:cs="Times New Roman"/>
          <w:lang w:eastAsia="de-DE"/>
        </w:rPr>
        <w:t xml:space="preserve">(brennen/entbrennen) im Qal-Imperfekt 3. maskulin Singular, </w:t>
      </w:r>
      <w:r w:rsidRPr="006E39D1">
        <w:rPr>
          <w:rFonts w:eastAsia="Times New Roman" w:cs="Times New Roman"/>
          <w:b/>
          <w:bCs/>
          <w:rtl/>
          <w:lang w:eastAsia="de-DE"/>
        </w:rPr>
        <w:t>אַף יְהוָה</w:t>
      </w:r>
      <w:r w:rsidRPr="006E39D1">
        <w:rPr>
          <w:rFonts w:eastAsia="Times New Roman" w:cs="Times New Roman"/>
          <w:rtl/>
          <w:lang w:eastAsia="de-DE"/>
        </w:rPr>
        <w:t xml:space="preserve"> </w:t>
      </w:r>
      <w:r w:rsidRPr="006E39D1">
        <w:rPr>
          <w:rFonts w:eastAsia="Times New Roman" w:cs="Times New Roman"/>
          <w:lang w:eastAsia="de-DE"/>
        </w:rPr>
        <w:t xml:space="preserve">(Zorn des Ewigen) mit </w:t>
      </w:r>
      <w:r w:rsidRPr="006E39D1">
        <w:rPr>
          <w:rFonts w:eastAsia="Times New Roman" w:cs="Times New Roman"/>
          <w:b/>
          <w:bCs/>
          <w:rtl/>
          <w:lang w:eastAsia="de-DE"/>
        </w:rPr>
        <w:t>אַף</w:t>
      </w:r>
      <w:r w:rsidRPr="006E39D1">
        <w:rPr>
          <w:rFonts w:eastAsia="Times New Roman" w:cs="Times New Roman"/>
          <w:rtl/>
          <w:lang w:eastAsia="de-DE"/>
        </w:rPr>
        <w:t xml:space="preserve"> </w:t>
      </w:r>
      <w:r w:rsidRPr="006E39D1">
        <w:rPr>
          <w:rFonts w:eastAsia="Times New Roman" w:cs="Times New Roman"/>
          <w:lang w:eastAsia="de-DE"/>
        </w:rPr>
        <w:t xml:space="preserve">(Nase/Zorn) als anthropomorphische Darstellung göttlicher Reaktion und </w:t>
      </w:r>
      <w:r w:rsidRPr="006E39D1">
        <w:rPr>
          <w:rFonts w:eastAsia="Times New Roman" w:cs="Times New Roman"/>
          <w:b/>
          <w:bCs/>
          <w:rtl/>
          <w:lang w:eastAsia="de-DE"/>
        </w:rPr>
        <w:t>בָּם</w:t>
      </w:r>
      <w:r w:rsidRPr="006E39D1">
        <w:rPr>
          <w:rFonts w:eastAsia="Times New Roman" w:cs="Times New Roman"/>
          <w:rtl/>
          <w:lang w:eastAsia="de-DE"/>
        </w:rPr>
        <w:t xml:space="preserve"> </w:t>
      </w:r>
      <w:r w:rsidRPr="006E39D1">
        <w:rPr>
          <w:rFonts w:eastAsia="Times New Roman" w:cs="Times New Roman"/>
          <w:lang w:eastAsia="de-DE"/>
        </w:rPr>
        <w:t>(gegen sie) als Plural zeigt die göttliche Zornreaktion gegen beide Geschwister.</w:t>
      </w:r>
    </w:p>
    <w:p w14:paraId="57237C8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dramatische Schlusshandlung </w:t>
      </w:r>
      <w:r w:rsidRPr="006E39D1">
        <w:rPr>
          <w:rFonts w:eastAsia="Times New Roman" w:cs="Times New Roman"/>
          <w:b/>
          <w:bCs/>
          <w:rtl/>
          <w:lang w:eastAsia="de-DE"/>
        </w:rPr>
        <w:t>וַיֵּלַֽךְ</w:t>
      </w:r>
      <w:r w:rsidRPr="006E39D1">
        <w:rPr>
          <w:rFonts w:eastAsia="Times New Roman" w:cs="Times New Roman"/>
          <w:rtl/>
          <w:lang w:eastAsia="de-DE"/>
        </w:rPr>
        <w:t xml:space="preserve"> </w:t>
      </w:r>
      <w:r w:rsidRPr="006E39D1">
        <w:rPr>
          <w:rFonts w:eastAsia="Times New Roman" w:cs="Times New Roman"/>
          <w:lang w:eastAsia="de-DE"/>
        </w:rPr>
        <w:t xml:space="preserve">(und er ging fort) mit </w:t>
      </w:r>
      <w:r w:rsidRPr="006E39D1">
        <w:rPr>
          <w:rFonts w:eastAsia="Times New Roman" w:cs="Times New Roman"/>
          <w:b/>
          <w:bCs/>
          <w:rtl/>
          <w:lang w:eastAsia="de-DE"/>
        </w:rPr>
        <w:t>יֵּלַךְ</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הלך</w:t>
      </w:r>
      <w:r w:rsidRPr="006E39D1">
        <w:rPr>
          <w:rFonts w:eastAsia="Times New Roman" w:cs="Times New Roman"/>
          <w:rtl/>
          <w:lang w:eastAsia="de-DE"/>
        </w:rPr>
        <w:t xml:space="preserve"> </w:t>
      </w:r>
      <w:r w:rsidRPr="006E39D1">
        <w:rPr>
          <w:rFonts w:eastAsia="Times New Roman" w:cs="Times New Roman"/>
          <w:lang w:eastAsia="de-DE"/>
        </w:rPr>
        <w:t>(gehen) im Qal-Imperfekt 3. maskulin Singular zeigt den göttlichen Rückzug. Diese Kürze verstärkt die dramatische Wirkung - nach der ausführlichen Belehrung folgt abrupter göttlicher Rückzug, der Raum für die Konsequenzen schafft.</w:t>
      </w:r>
    </w:p>
    <w:p w14:paraId="076D8BA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יִּחַר אַף</w:t>
      </w:r>
      <w:r w:rsidRPr="006E39D1">
        <w:rPr>
          <w:rFonts w:eastAsia="Times New Roman" w:cs="Times New Roman"/>
          <w:rtl/>
          <w:lang w:eastAsia="de-DE"/>
        </w:rPr>
        <w:t xml:space="preserve"> </w:t>
      </w:r>
      <w:r w:rsidRPr="006E39D1">
        <w:rPr>
          <w:rFonts w:eastAsia="Times New Roman" w:cs="Times New Roman"/>
          <w:lang w:eastAsia="de-DE"/>
        </w:rPr>
        <w:t xml:space="preserve">mit ὠργίσθη θυμῷ (er zürnte mit Grimm) und </w:t>
      </w:r>
      <w:r w:rsidRPr="006E39D1">
        <w:rPr>
          <w:rFonts w:eastAsia="Times New Roman" w:cs="Times New Roman"/>
          <w:b/>
          <w:bCs/>
          <w:rtl/>
          <w:lang w:eastAsia="de-DE"/>
        </w:rPr>
        <w:t>יֵּלַךְ</w:t>
      </w:r>
      <w:r w:rsidRPr="006E39D1">
        <w:rPr>
          <w:rFonts w:eastAsia="Times New Roman" w:cs="Times New Roman"/>
          <w:rtl/>
          <w:lang w:eastAsia="de-DE"/>
        </w:rPr>
        <w:t xml:space="preserve"> </w:t>
      </w:r>
      <w:r w:rsidRPr="006E39D1">
        <w:rPr>
          <w:rFonts w:eastAsia="Times New Roman" w:cs="Times New Roman"/>
          <w:lang w:eastAsia="de-DE"/>
        </w:rPr>
        <w:t>mit ἀπῆλθεν (er ging weg).</w:t>
      </w:r>
    </w:p>
    <w:p w14:paraId="1093777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göttliche Zornreaktion und abrupten Rückzug als dramatischen Höhepunkt.</w:t>
      </w:r>
    </w:p>
    <w:p w14:paraId="045BA68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markiert den Wendepunkt der Episode: von göttlicher Belehrung zu göttlichem Gericht.</w:t>
      </w:r>
    </w:p>
    <w:p w14:paraId="4B0FE0F5"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12,10</w:t>
      </w:r>
    </w:p>
    <w:p w14:paraId="3B35EA0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וְהֶעָנָ֗ן סָ֚ר מֵעַ֣ל הָאֹ֔הֶל וְהִנֵּ֥ה מִרְיָ֖ם מְצֹרַ֣עַת כַּשָּׁ֑לֶג וַיִּ֧פֶן אַהֲרֹ֛ן אֶל־מִרְיָ֖ם וְהִנֵּ֥ה מְצֹרָֽעַת׃</w:t>
      </w:r>
    </w:p>
    <w:p w14:paraId="1E5FCBE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die Wolke wich vom Zelt, und siehe, Mirjam war aussätzig, weiß wie Schnee; und 'Aharon wandte sich zu Mirjam, und siehe, sie war aussätzig.</w:t>
      </w:r>
    </w:p>
    <w:p w14:paraId="5C1E7A6A"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090B4136">
          <v:rect id="_x0000_i1424" style="width:0;height:1.5pt" o:hralign="center" o:hrstd="t" o:hr="t" fillcolor="#a0a0a0" stroked="f"/>
        </w:pict>
      </w:r>
    </w:p>
    <w:p w14:paraId="184B2D5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Theophanie-Beendigung </w:t>
      </w:r>
      <w:r w:rsidRPr="006E39D1">
        <w:rPr>
          <w:rFonts w:eastAsia="Times New Roman" w:cs="Times New Roman"/>
          <w:b/>
          <w:bCs/>
          <w:rtl/>
          <w:lang w:eastAsia="de-DE"/>
        </w:rPr>
        <w:t>וְהֶעָנָ֗ן סָ֚ר מֵעַ֣ל הָאֹ֔הֶל</w:t>
      </w:r>
      <w:r w:rsidRPr="006E39D1">
        <w:rPr>
          <w:rFonts w:eastAsia="Times New Roman" w:cs="Times New Roman"/>
          <w:rtl/>
          <w:lang w:eastAsia="de-DE"/>
        </w:rPr>
        <w:t xml:space="preserve"> </w:t>
      </w:r>
      <w:r w:rsidRPr="006E39D1">
        <w:rPr>
          <w:rFonts w:eastAsia="Times New Roman" w:cs="Times New Roman"/>
          <w:lang w:eastAsia="de-DE"/>
        </w:rPr>
        <w:t xml:space="preserve">(und die Wolke wich vom Zelt) mit </w:t>
      </w:r>
      <w:r w:rsidRPr="006E39D1">
        <w:rPr>
          <w:rFonts w:eastAsia="Times New Roman" w:cs="Times New Roman"/>
          <w:b/>
          <w:bCs/>
          <w:rtl/>
          <w:lang w:eastAsia="de-DE"/>
        </w:rPr>
        <w:t>הֶעָנָן</w:t>
      </w:r>
      <w:r w:rsidRPr="006E39D1">
        <w:rPr>
          <w:rFonts w:eastAsia="Times New Roman" w:cs="Times New Roman"/>
          <w:rtl/>
          <w:lang w:eastAsia="de-DE"/>
        </w:rPr>
        <w:t xml:space="preserve"> </w:t>
      </w:r>
      <w:r w:rsidRPr="006E39D1">
        <w:rPr>
          <w:rFonts w:eastAsia="Times New Roman" w:cs="Times New Roman"/>
          <w:lang w:eastAsia="de-DE"/>
        </w:rPr>
        <w:t xml:space="preserve">(die Wolke), </w:t>
      </w:r>
      <w:r w:rsidRPr="006E39D1">
        <w:rPr>
          <w:rFonts w:eastAsia="Times New Roman" w:cs="Times New Roman"/>
          <w:b/>
          <w:bCs/>
          <w:rtl/>
          <w:lang w:eastAsia="de-DE"/>
        </w:rPr>
        <w:t>סָר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סור</w:t>
      </w:r>
      <w:r w:rsidRPr="006E39D1">
        <w:rPr>
          <w:rFonts w:eastAsia="Times New Roman" w:cs="Times New Roman"/>
          <w:rtl/>
          <w:lang w:eastAsia="de-DE"/>
        </w:rPr>
        <w:t xml:space="preserve"> </w:t>
      </w:r>
      <w:r w:rsidRPr="006E39D1">
        <w:rPr>
          <w:rFonts w:eastAsia="Times New Roman" w:cs="Times New Roman"/>
          <w:lang w:eastAsia="de-DE"/>
        </w:rPr>
        <w:t xml:space="preserve">(weichen/sich entfernen) und </w:t>
      </w:r>
      <w:r w:rsidRPr="006E39D1">
        <w:rPr>
          <w:rFonts w:eastAsia="Times New Roman" w:cs="Times New Roman"/>
          <w:b/>
          <w:bCs/>
          <w:rtl/>
          <w:lang w:eastAsia="de-DE"/>
        </w:rPr>
        <w:t>מֵעַל הָאֹהֶל</w:t>
      </w:r>
      <w:r w:rsidRPr="006E39D1">
        <w:rPr>
          <w:rFonts w:eastAsia="Times New Roman" w:cs="Times New Roman"/>
          <w:rtl/>
          <w:lang w:eastAsia="de-DE"/>
        </w:rPr>
        <w:t xml:space="preserve"> </w:t>
      </w:r>
      <w:r w:rsidRPr="006E39D1">
        <w:rPr>
          <w:rFonts w:eastAsia="Times New Roman" w:cs="Times New Roman"/>
          <w:lang w:eastAsia="de-DE"/>
        </w:rPr>
        <w:t>(vom Zelt) zeigt das Ende der göttlichen Sichtbarpräsenz.</w:t>
      </w:r>
    </w:p>
    <w:p w14:paraId="1718487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schockierende Entdeckung </w:t>
      </w:r>
      <w:r w:rsidRPr="006E39D1">
        <w:rPr>
          <w:rFonts w:eastAsia="Times New Roman" w:cs="Times New Roman"/>
          <w:b/>
          <w:bCs/>
          <w:rtl/>
          <w:lang w:eastAsia="de-DE"/>
        </w:rPr>
        <w:t>וְהִנֵּ֥ה מִרְיָ֖ם מְצֹרַ֣עַת כַּשָּׁ֑לֶג</w:t>
      </w:r>
      <w:r w:rsidRPr="006E39D1">
        <w:rPr>
          <w:rFonts w:eastAsia="Times New Roman" w:cs="Times New Roman"/>
          <w:rtl/>
          <w:lang w:eastAsia="de-DE"/>
        </w:rPr>
        <w:t xml:space="preserve"> </w:t>
      </w:r>
      <w:r w:rsidRPr="006E39D1">
        <w:rPr>
          <w:rFonts w:eastAsia="Times New Roman" w:cs="Times New Roman"/>
          <w:lang w:eastAsia="de-DE"/>
        </w:rPr>
        <w:t xml:space="preserve">(und siehe, Mirjam war aussätzig wie Schnee) mit </w:t>
      </w:r>
      <w:r w:rsidRPr="006E39D1">
        <w:rPr>
          <w:rFonts w:eastAsia="Times New Roman" w:cs="Times New Roman"/>
          <w:b/>
          <w:bCs/>
          <w:rtl/>
          <w:lang w:eastAsia="de-DE"/>
        </w:rPr>
        <w:t>הִנֵּה</w:t>
      </w:r>
      <w:r w:rsidRPr="006E39D1">
        <w:rPr>
          <w:rFonts w:eastAsia="Times New Roman" w:cs="Times New Roman"/>
          <w:rtl/>
          <w:lang w:eastAsia="de-DE"/>
        </w:rPr>
        <w:t xml:space="preserve"> </w:t>
      </w:r>
      <w:r w:rsidRPr="006E39D1">
        <w:rPr>
          <w:rFonts w:eastAsia="Times New Roman" w:cs="Times New Roman"/>
          <w:lang w:eastAsia="de-DE"/>
        </w:rPr>
        <w:t xml:space="preserve">(siehe) als Aufmerksamkeitspartikel, </w:t>
      </w:r>
      <w:r w:rsidRPr="006E39D1">
        <w:rPr>
          <w:rFonts w:eastAsia="Times New Roman" w:cs="Times New Roman"/>
          <w:b/>
          <w:bCs/>
          <w:rtl/>
          <w:lang w:eastAsia="de-DE"/>
        </w:rPr>
        <w:t>מְצֹרַעַת</w:t>
      </w:r>
      <w:r w:rsidRPr="006E39D1">
        <w:rPr>
          <w:rFonts w:eastAsia="Times New Roman" w:cs="Times New Roman"/>
          <w:rtl/>
          <w:lang w:eastAsia="de-DE"/>
        </w:rPr>
        <w:t xml:space="preserve"> </w:t>
      </w:r>
      <w:r w:rsidRPr="006E39D1">
        <w:rPr>
          <w:rFonts w:eastAsia="Times New Roman" w:cs="Times New Roman"/>
          <w:lang w:eastAsia="de-DE"/>
        </w:rPr>
        <w:t xml:space="preserve">(aussätzig) als Qal-Partizip feminin von </w:t>
      </w:r>
      <w:r w:rsidRPr="006E39D1">
        <w:rPr>
          <w:rFonts w:eastAsia="Times New Roman" w:cs="Times New Roman"/>
          <w:b/>
          <w:bCs/>
          <w:rtl/>
          <w:lang w:eastAsia="de-DE"/>
        </w:rPr>
        <w:t>צרע</w:t>
      </w:r>
      <w:r w:rsidRPr="006E39D1">
        <w:rPr>
          <w:rFonts w:eastAsia="Times New Roman" w:cs="Times New Roman"/>
          <w:rtl/>
          <w:lang w:eastAsia="de-DE"/>
        </w:rPr>
        <w:t xml:space="preserve"> </w:t>
      </w:r>
      <w:r w:rsidRPr="006E39D1">
        <w:rPr>
          <w:rFonts w:eastAsia="Times New Roman" w:cs="Times New Roman"/>
          <w:lang w:eastAsia="de-DE"/>
        </w:rPr>
        <w:t xml:space="preserve">(mit Aussatz schlagen) und </w:t>
      </w:r>
      <w:r w:rsidRPr="006E39D1">
        <w:rPr>
          <w:rFonts w:eastAsia="Times New Roman" w:cs="Times New Roman"/>
          <w:b/>
          <w:bCs/>
          <w:rtl/>
          <w:lang w:eastAsia="de-DE"/>
        </w:rPr>
        <w:t>כַּשָּׁלֶג</w:t>
      </w:r>
      <w:r w:rsidRPr="006E39D1">
        <w:rPr>
          <w:rFonts w:eastAsia="Times New Roman" w:cs="Times New Roman"/>
          <w:rtl/>
          <w:lang w:eastAsia="de-DE"/>
        </w:rPr>
        <w:t xml:space="preserve"> </w:t>
      </w:r>
      <w:r w:rsidRPr="006E39D1">
        <w:rPr>
          <w:rFonts w:eastAsia="Times New Roman" w:cs="Times New Roman"/>
          <w:lang w:eastAsia="de-DE"/>
        </w:rPr>
        <w:t>(wie Schnee) als Farb- und Intensitätsvergleich zeigt die sofortige göttliche Strafe.</w:t>
      </w:r>
    </w:p>
    <w:p w14:paraId="19A0C47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Reaktion </w:t>
      </w:r>
      <w:r w:rsidRPr="006E39D1">
        <w:rPr>
          <w:rFonts w:eastAsia="Times New Roman" w:cs="Times New Roman"/>
          <w:b/>
          <w:bCs/>
          <w:rtl/>
          <w:lang w:eastAsia="de-DE"/>
        </w:rPr>
        <w:t>וַיִּ֧פֶן אַהֲרֹ֛ן אֶל־מִרְיָ֖ם וְהִנֵּ֥ה מְצֹרָֽעַת</w:t>
      </w:r>
      <w:r w:rsidRPr="006E39D1">
        <w:rPr>
          <w:rFonts w:eastAsia="Times New Roman" w:cs="Times New Roman"/>
          <w:rtl/>
          <w:lang w:eastAsia="de-DE"/>
        </w:rPr>
        <w:t xml:space="preserve"> </w:t>
      </w:r>
      <w:r w:rsidRPr="006E39D1">
        <w:rPr>
          <w:rFonts w:eastAsia="Times New Roman" w:cs="Times New Roman"/>
          <w:lang w:eastAsia="de-DE"/>
        </w:rPr>
        <w:t xml:space="preserve">(und Aaron wandte sich zu Mirjam, und siehe, sie war aussätzig) mit </w:t>
      </w:r>
      <w:r w:rsidRPr="006E39D1">
        <w:rPr>
          <w:rFonts w:eastAsia="Times New Roman" w:cs="Times New Roman"/>
          <w:b/>
          <w:bCs/>
          <w:rtl/>
          <w:lang w:eastAsia="de-DE"/>
        </w:rPr>
        <w:t>יִּפֶן</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פנה</w:t>
      </w:r>
      <w:r w:rsidRPr="006E39D1">
        <w:rPr>
          <w:rFonts w:eastAsia="Times New Roman" w:cs="Times New Roman"/>
          <w:rtl/>
          <w:lang w:eastAsia="de-DE"/>
        </w:rPr>
        <w:t xml:space="preserve"> </w:t>
      </w:r>
      <w:r w:rsidRPr="006E39D1">
        <w:rPr>
          <w:rFonts w:eastAsia="Times New Roman" w:cs="Times New Roman"/>
          <w:lang w:eastAsia="de-DE"/>
        </w:rPr>
        <w:t xml:space="preserve">(sich wenden) zeigt Aarons bestürzte Entdeckung. Die Wiederholung von </w:t>
      </w:r>
      <w:r w:rsidRPr="006E39D1">
        <w:rPr>
          <w:rFonts w:eastAsia="Times New Roman" w:cs="Times New Roman"/>
          <w:b/>
          <w:bCs/>
          <w:rtl/>
          <w:lang w:eastAsia="de-DE"/>
        </w:rPr>
        <w:t>הִנֵּה מְצֹרַעַת</w:t>
      </w:r>
      <w:r w:rsidRPr="006E39D1">
        <w:rPr>
          <w:rFonts w:eastAsia="Times New Roman" w:cs="Times New Roman"/>
          <w:rtl/>
          <w:lang w:eastAsia="de-DE"/>
        </w:rPr>
        <w:t xml:space="preserve"> </w:t>
      </w:r>
      <w:r w:rsidRPr="006E39D1">
        <w:rPr>
          <w:rFonts w:eastAsia="Times New Roman" w:cs="Times New Roman"/>
          <w:lang w:eastAsia="de-DE"/>
        </w:rPr>
        <w:t>verstärkt den Schock der Realität.</w:t>
      </w:r>
    </w:p>
    <w:p w14:paraId="479EBF4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selektive Strafe - nur Mirjam wird geschlagen - könnte ihre Führungsrolle bei der Kritik anzeigen (das feminine Verb in 12,1 </w:t>
      </w:r>
      <w:r w:rsidRPr="006E39D1">
        <w:rPr>
          <w:rFonts w:eastAsia="Times New Roman" w:cs="Times New Roman"/>
          <w:b/>
          <w:bCs/>
          <w:rtl/>
          <w:lang w:eastAsia="de-DE"/>
        </w:rPr>
        <w:t>וַתְּדַבֵּר</w:t>
      </w:r>
      <w:r w:rsidRPr="006E39D1">
        <w:rPr>
          <w:rFonts w:eastAsia="Times New Roman" w:cs="Times New Roman"/>
          <w:rtl/>
          <w:lang w:eastAsia="de-DE"/>
        </w:rPr>
        <w:t xml:space="preserve"> </w:t>
      </w:r>
      <w:r w:rsidRPr="006E39D1">
        <w:rPr>
          <w:rFonts w:eastAsia="Times New Roman" w:cs="Times New Roman"/>
          <w:lang w:eastAsia="de-DE"/>
        </w:rPr>
        <w:t>deutet darauf hin).</w:t>
      </w:r>
    </w:p>
    <w:p w14:paraId="301D1F2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Die LXX</w:t>
      </w:r>
      <w:r w:rsidRPr="006E39D1">
        <w:rPr>
          <w:rFonts w:eastAsia="Times New Roman" w:cs="Times New Roman"/>
          <w:lang w:eastAsia="de-DE"/>
        </w:rPr>
        <w:t xml:space="preserve"> übersetzt </w:t>
      </w:r>
      <w:r w:rsidRPr="006E39D1">
        <w:rPr>
          <w:rFonts w:eastAsia="Times New Roman" w:cs="Times New Roman"/>
          <w:b/>
          <w:bCs/>
          <w:rtl/>
          <w:lang w:eastAsia="de-DE"/>
        </w:rPr>
        <w:t>סָר</w:t>
      </w:r>
      <w:r w:rsidRPr="006E39D1">
        <w:rPr>
          <w:rFonts w:eastAsia="Times New Roman" w:cs="Times New Roman"/>
          <w:rtl/>
          <w:lang w:eastAsia="de-DE"/>
        </w:rPr>
        <w:t xml:space="preserve"> </w:t>
      </w:r>
      <w:r w:rsidRPr="006E39D1">
        <w:rPr>
          <w:rFonts w:eastAsia="Times New Roman" w:cs="Times New Roman"/>
          <w:lang w:eastAsia="de-DE"/>
        </w:rPr>
        <w:t xml:space="preserve">mit ἀπέστη (sie entfernte sich), </w:t>
      </w:r>
      <w:r w:rsidRPr="006E39D1">
        <w:rPr>
          <w:rFonts w:eastAsia="Times New Roman" w:cs="Times New Roman"/>
          <w:b/>
          <w:bCs/>
          <w:rtl/>
          <w:lang w:eastAsia="de-DE"/>
        </w:rPr>
        <w:t>מְצֹרַעַת</w:t>
      </w:r>
      <w:r w:rsidRPr="006E39D1">
        <w:rPr>
          <w:rFonts w:eastAsia="Times New Roman" w:cs="Times New Roman"/>
          <w:rtl/>
          <w:lang w:eastAsia="de-DE"/>
        </w:rPr>
        <w:t xml:space="preserve"> </w:t>
      </w:r>
      <w:r w:rsidRPr="006E39D1">
        <w:rPr>
          <w:rFonts w:eastAsia="Times New Roman" w:cs="Times New Roman"/>
          <w:lang w:eastAsia="de-DE"/>
        </w:rPr>
        <w:t xml:space="preserve">mit λεπρὰ (lepros) und </w:t>
      </w:r>
      <w:r w:rsidRPr="006E39D1">
        <w:rPr>
          <w:rFonts w:eastAsia="Times New Roman" w:cs="Times New Roman"/>
          <w:b/>
          <w:bCs/>
          <w:rtl/>
          <w:lang w:eastAsia="de-DE"/>
        </w:rPr>
        <w:t>כַּשָּׁלֶג</w:t>
      </w:r>
      <w:r w:rsidRPr="006E39D1">
        <w:rPr>
          <w:rFonts w:eastAsia="Times New Roman" w:cs="Times New Roman"/>
          <w:rtl/>
          <w:lang w:eastAsia="de-DE"/>
        </w:rPr>
        <w:t xml:space="preserve"> </w:t>
      </w:r>
      <w:r w:rsidRPr="006E39D1">
        <w:rPr>
          <w:rFonts w:eastAsia="Times New Roman" w:cs="Times New Roman"/>
          <w:lang w:eastAsia="de-DE"/>
        </w:rPr>
        <w:t>mit ὡσεὶ χιὼν (wie Schnee).</w:t>
      </w:r>
    </w:p>
    <w:p w14:paraId="683FCCA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Theophanie-Ende, schockierende Entdeckung und bestürzte Reaktion.</w:t>
      </w:r>
    </w:p>
    <w:p w14:paraId="729B7EE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offenbart die dramatischen Konsequenzen der Rebellion gegen Moses göttlich legitimierte Autorität.</w:t>
      </w:r>
    </w:p>
    <w:p w14:paraId="525F77DF"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12,11</w:t>
      </w:r>
    </w:p>
    <w:p w14:paraId="338682D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וַיֹּ֥אמֶר אַהֲרֹ֖ן אֶל־מֹשֶׁ֑ה בִּ֣י אֲדֹנִ֔י אַל־נָ֨א תָשֵׁ֤ת עָלֵ֨ינוּ֙ חַטָּ֔את אֲשֶׁ֥ר נוֹאַ֖לְנוּ וַאֲשֶׁ֥ר חָטָֽאנוּ׃</w:t>
      </w:r>
    </w:p>
    <w:p w14:paraId="4A569AB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Da sprach 'Aharon zu Mosche: Ach, mein Herr! Lege doch nicht Sünde auf uns, dass wir töricht gehandelt und dass wir gesündigt haben!</w:t>
      </w:r>
    </w:p>
    <w:p w14:paraId="77796CA9"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0FD15763">
          <v:rect id="_x0000_i1425" style="width:0;height:1.5pt" o:hralign="center" o:hrstd="t" o:hr="t" fillcolor="#a0a0a0" stroked="f"/>
        </w:pict>
      </w:r>
    </w:p>
    <w:p w14:paraId="084A92F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 אַהֲרֹ֖ן אֶל־מֹשֶׁ֑ה</w:t>
      </w:r>
      <w:r w:rsidRPr="006E39D1">
        <w:rPr>
          <w:rFonts w:eastAsia="Times New Roman" w:cs="Times New Roman"/>
          <w:rtl/>
          <w:lang w:eastAsia="de-DE"/>
        </w:rPr>
        <w:t xml:space="preserve"> </w:t>
      </w:r>
      <w:r w:rsidRPr="006E39D1">
        <w:rPr>
          <w:rFonts w:eastAsia="Times New Roman" w:cs="Times New Roman"/>
          <w:lang w:eastAsia="de-DE"/>
        </w:rPr>
        <w:t xml:space="preserve">(und Aaron sprach zu Mose) zeigt Aarons verzweifelte Bitte an seinen Bruder. Die Bittformel </w:t>
      </w:r>
      <w:r w:rsidRPr="006E39D1">
        <w:rPr>
          <w:rFonts w:eastAsia="Times New Roman" w:cs="Times New Roman"/>
          <w:b/>
          <w:bCs/>
          <w:rtl/>
          <w:lang w:eastAsia="de-DE"/>
        </w:rPr>
        <w:t>בִּ֣י אֲדֹנִ֔י</w:t>
      </w:r>
      <w:r w:rsidRPr="006E39D1">
        <w:rPr>
          <w:rFonts w:eastAsia="Times New Roman" w:cs="Times New Roman"/>
          <w:rtl/>
          <w:lang w:eastAsia="de-DE"/>
        </w:rPr>
        <w:t xml:space="preserve"> </w:t>
      </w:r>
      <w:r w:rsidRPr="006E39D1">
        <w:rPr>
          <w:rFonts w:eastAsia="Times New Roman" w:cs="Times New Roman"/>
          <w:lang w:eastAsia="de-DE"/>
        </w:rPr>
        <w:t xml:space="preserve">(ach, mein Herr) mit </w:t>
      </w:r>
      <w:r w:rsidRPr="006E39D1">
        <w:rPr>
          <w:rFonts w:eastAsia="Times New Roman" w:cs="Times New Roman"/>
          <w:b/>
          <w:bCs/>
          <w:rtl/>
          <w:lang w:eastAsia="de-DE"/>
        </w:rPr>
        <w:t>בִּי</w:t>
      </w:r>
      <w:r w:rsidRPr="006E39D1">
        <w:rPr>
          <w:rFonts w:eastAsia="Times New Roman" w:cs="Times New Roman"/>
          <w:rtl/>
          <w:lang w:eastAsia="de-DE"/>
        </w:rPr>
        <w:t xml:space="preserve"> </w:t>
      </w:r>
      <w:r w:rsidRPr="006E39D1">
        <w:rPr>
          <w:rFonts w:eastAsia="Times New Roman" w:cs="Times New Roman"/>
          <w:lang w:eastAsia="de-DE"/>
        </w:rPr>
        <w:t xml:space="preserve">(ach/bitte) als emotionale Bittpartikel und </w:t>
      </w:r>
      <w:r w:rsidRPr="006E39D1">
        <w:rPr>
          <w:rFonts w:eastAsia="Times New Roman" w:cs="Times New Roman"/>
          <w:b/>
          <w:bCs/>
          <w:rtl/>
          <w:lang w:eastAsia="de-DE"/>
        </w:rPr>
        <w:t>אֲדֹנִי</w:t>
      </w:r>
      <w:r w:rsidRPr="006E39D1">
        <w:rPr>
          <w:rFonts w:eastAsia="Times New Roman" w:cs="Times New Roman"/>
          <w:rtl/>
          <w:lang w:eastAsia="de-DE"/>
        </w:rPr>
        <w:t xml:space="preserve"> </w:t>
      </w:r>
      <w:r w:rsidRPr="006E39D1">
        <w:rPr>
          <w:rFonts w:eastAsia="Times New Roman" w:cs="Times New Roman"/>
          <w:lang w:eastAsia="de-DE"/>
        </w:rPr>
        <w:t>(mein Herr) zeigt Aarons neue Unterwerfung unter Moses Autorität.</w:t>
      </w:r>
    </w:p>
    <w:p w14:paraId="2FF50C6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Bitte </w:t>
      </w:r>
      <w:r w:rsidRPr="006E39D1">
        <w:rPr>
          <w:rFonts w:eastAsia="Times New Roman" w:cs="Times New Roman"/>
          <w:b/>
          <w:bCs/>
          <w:rtl/>
          <w:lang w:eastAsia="de-DE"/>
        </w:rPr>
        <w:t>אַל־נָ֨א תָשֵׁ֤ת עָלֵ֨ינוּ֙ חַטָּ֔את</w:t>
      </w:r>
      <w:r w:rsidRPr="006E39D1">
        <w:rPr>
          <w:rFonts w:eastAsia="Times New Roman" w:cs="Times New Roman"/>
          <w:rtl/>
          <w:lang w:eastAsia="de-DE"/>
        </w:rPr>
        <w:t xml:space="preserve"> </w:t>
      </w:r>
      <w:r w:rsidRPr="006E39D1">
        <w:rPr>
          <w:rFonts w:eastAsia="Times New Roman" w:cs="Times New Roman"/>
          <w:lang w:eastAsia="de-DE"/>
        </w:rPr>
        <w:t xml:space="preserve">(lege doch nicht Sünde auf uns) mit </w:t>
      </w:r>
      <w:r w:rsidRPr="006E39D1">
        <w:rPr>
          <w:rFonts w:eastAsia="Times New Roman" w:cs="Times New Roman"/>
          <w:b/>
          <w:bCs/>
          <w:rtl/>
          <w:lang w:eastAsia="de-DE"/>
        </w:rPr>
        <w:t>אַל־נָא</w:t>
      </w:r>
      <w:r w:rsidRPr="006E39D1">
        <w:rPr>
          <w:rFonts w:eastAsia="Times New Roman" w:cs="Times New Roman"/>
          <w:rtl/>
          <w:lang w:eastAsia="de-DE"/>
        </w:rPr>
        <w:t xml:space="preserve"> </w:t>
      </w:r>
      <w:r w:rsidRPr="006E39D1">
        <w:rPr>
          <w:rFonts w:eastAsia="Times New Roman" w:cs="Times New Roman"/>
          <w:lang w:eastAsia="de-DE"/>
        </w:rPr>
        <w:t xml:space="preserve">(doch nicht) als höfliche Negation, </w:t>
      </w:r>
      <w:r w:rsidRPr="006E39D1">
        <w:rPr>
          <w:rFonts w:eastAsia="Times New Roman" w:cs="Times New Roman"/>
          <w:b/>
          <w:bCs/>
          <w:rtl/>
          <w:lang w:eastAsia="de-DE"/>
        </w:rPr>
        <w:t>תָּשֵׁת</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שית</w:t>
      </w:r>
      <w:r w:rsidRPr="006E39D1">
        <w:rPr>
          <w:rFonts w:eastAsia="Times New Roman" w:cs="Times New Roman"/>
          <w:rtl/>
          <w:lang w:eastAsia="de-DE"/>
        </w:rPr>
        <w:t xml:space="preserve"> </w:t>
      </w:r>
      <w:r w:rsidRPr="006E39D1">
        <w:rPr>
          <w:rFonts w:eastAsia="Times New Roman" w:cs="Times New Roman"/>
          <w:lang w:eastAsia="de-DE"/>
        </w:rPr>
        <w:t xml:space="preserve">(setzen/legen) im Qal-Imperfekt 2. maskulin Singular und </w:t>
      </w:r>
      <w:r w:rsidRPr="006E39D1">
        <w:rPr>
          <w:rFonts w:eastAsia="Times New Roman" w:cs="Times New Roman"/>
          <w:b/>
          <w:bCs/>
          <w:rtl/>
          <w:lang w:eastAsia="de-DE"/>
        </w:rPr>
        <w:t>חַטָּאת</w:t>
      </w:r>
      <w:r w:rsidRPr="006E39D1">
        <w:rPr>
          <w:rFonts w:eastAsia="Times New Roman" w:cs="Times New Roman"/>
          <w:rtl/>
          <w:lang w:eastAsia="de-DE"/>
        </w:rPr>
        <w:t xml:space="preserve"> </w:t>
      </w:r>
      <w:r w:rsidRPr="006E39D1">
        <w:rPr>
          <w:rFonts w:eastAsia="Times New Roman" w:cs="Times New Roman"/>
          <w:lang w:eastAsia="de-DE"/>
        </w:rPr>
        <w:t>(Sünde) zeigt die Bitte um Verschonung von weiteren Strafkonsequenzen.</w:t>
      </w:r>
    </w:p>
    <w:p w14:paraId="66EADE1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doppelte Schuldanerkennung </w:t>
      </w:r>
      <w:r w:rsidRPr="006E39D1">
        <w:rPr>
          <w:rFonts w:eastAsia="Times New Roman" w:cs="Times New Roman"/>
          <w:b/>
          <w:bCs/>
          <w:rtl/>
          <w:lang w:eastAsia="de-DE"/>
        </w:rPr>
        <w:t>אֲשֶׁ֥ר נוֹאַ֖לְנוּ וַאֲשֶׁ֥ר חָטָֽאנוּ</w:t>
      </w:r>
      <w:r w:rsidRPr="006E39D1">
        <w:rPr>
          <w:rFonts w:eastAsia="Times New Roman" w:cs="Times New Roman"/>
          <w:rtl/>
          <w:lang w:eastAsia="de-DE"/>
        </w:rPr>
        <w:t xml:space="preserve"> </w:t>
      </w:r>
      <w:r w:rsidRPr="006E39D1">
        <w:rPr>
          <w:rFonts w:eastAsia="Times New Roman" w:cs="Times New Roman"/>
          <w:lang w:eastAsia="de-DE"/>
        </w:rPr>
        <w:t xml:space="preserve">(dass wir töricht gehandelt und dass wir gesündigt haben) mit </w:t>
      </w:r>
      <w:r w:rsidRPr="006E39D1">
        <w:rPr>
          <w:rFonts w:eastAsia="Times New Roman" w:cs="Times New Roman"/>
          <w:b/>
          <w:bCs/>
          <w:rtl/>
          <w:lang w:eastAsia="de-DE"/>
        </w:rPr>
        <w:t>נוֹאַלְנוּ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יאל</w:t>
      </w:r>
      <w:r w:rsidRPr="006E39D1">
        <w:rPr>
          <w:rFonts w:eastAsia="Times New Roman" w:cs="Times New Roman"/>
          <w:rtl/>
          <w:lang w:eastAsia="de-DE"/>
        </w:rPr>
        <w:t xml:space="preserve"> </w:t>
      </w:r>
      <w:r w:rsidRPr="006E39D1">
        <w:rPr>
          <w:rFonts w:eastAsia="Times New Roman" w:cs="Times New Roman"/>
          <w:lang w:eastAsia="de-DE"/>
        </w:rPr>
        <w:t xml:space="preserve">(töricht handeln) im Niph'al-Perfekt 1. Person Plural und </w:t>
      </w:r>
      <w:r w:rsidRPr="006E39D1">
        <w:rPr>
          <w:rFonts w:eastAsia="Times New Roman" w:cs="Times New Roman"/>
          <w:b/>
          <w:bCs/>
          <w:rtl/>
          <w:lang w:eastAsia="de-DE"/>
        </w:rPr>
        <w:t>חָטָאנוּ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חטא</w:t>
      </w:r>
      <w:r w:rsidRPr="006E39D1">
        <w:rPr>
          <w:rFonts w:eastAsia="Times New Roman" w:cs="Times New Roman"/>
          <w:rtl/>
          <w:lang w:eastAsia="de-DE"/>
        </w:rPr>
        <w:t xml:space="preserve"> </w:t>
      </w:r>
      <w:r w:rsidRPr="006E39D1">
        <w:rPr>
          <w:rFonts w:eastAsia="Times New Roman" w:cs="Times New Roman"/>
          <w:lang w:eastAsia="de-DE"/>
        </w:rPr>
        <w:t>(sündigen) im Qal-Perfekt 1. Person Plural zeigt vollständige Schuldeinsicht.</w:t>
      </w:r>
    </w:p>
    <w:p w14:paraId="5B56AAB6" w14:textId="7D73EBBB"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fügt „Δέομαι" (ich bitte) hinzu und übersetzt „</w:t>
      </w:r>
      <w:r w:rsidR="00497CF8">
        <w:rPr>
          <w:rtl/>
        </w:rPr>
        <w:t>אֲדֹנִי</w:t>
      </w:r>
      <w:r w:rsidR="00497CF8">
        <w:t>" (mein Herr) mit „κύριε" (Herr/Kyrie), während das hebräische „</w:t>
      </w:r>
      <w:r w:rsidR="00497CF8">
        <w:rPr>
          <w:rtl/>
        </w:rPr>
        <w:t>נוֹאַלְנוּ</w:t>
      </w:r>
      <w:r w:rsidR="00497CF8">
        <w:t>" (wir haben töricht gehandelt) zu „ἠγνοήσαμεν" (wir haben unwissend/ignorant gehandelt) wird, was die Schuld eher als Unwissenheit denn als Torheit darstellt.</w:t>
      </w:r>
    </w:p>
    <w:p w14:paraId="26DFF53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verzweifelte Bitte, Unterwerfungsgeste, Verschonungsbitte und doppelte Schuldanerkennung.</w:t>
      </w:r>
    </w:p>
    <w:p w14:paraId="78CF047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Aarons komplette Kapitulation und Anerkennung seiner und Mirjams Schuld.</w:t>
      </w:r>
    </w:p>
    <w:p w14:paraId="38EA2523"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12,12</w:t>
      </w:r>
    </w:p>
    <w:p w14:paraId="099F91A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אַל־נָ֥א תְהִ֖י כַּמֵּ֑ת אֲשֶׁ֤ר בְּצֵאתוֹ֙ מֵרֶ֣חֶם אִמֹּ֔ו וַיֵּאָכֵ֖ל חֲצִ֥י בְשָׂרֹֽו׃</w:t>
      </w:r>
    </w:p>
    <w:p w14:paraId="49A3504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Lass sie doch nicht sein wie ein Totgeborenes, dessen Fleisch, wenn es aus dem Leib unserer Mutter hervorkommt, zur Hälfte verwest ist!</w:t>
      </w:r>
    </w:p>
    <w:p w14:paraId="194C0F8F"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lastRenderedPageBreak/>
        <w:pict w14:anchorId="6D122F3A">
          <v:rect id="_x0000_i1426" style="width:0;height:1.5pt" o:hralign="center" o:hrstd="t" o:hr="t" fillcolor="#a0a0a0" stroked="f"/>
        </w:pict>
      </w:r>
    </w:p>
    <w:p w14:paraId="15FDB14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Bitte </w:t>
      </w:r>
      <w:r w:rsidRPr="006E39D1">
        <w:rPr>
          <w:rFonts w:eastAsia="Times New Roman" w:cs="Times New Roman"/>
          <w:b/>
          <w:bCs/>
          <w:rtl/>
          <w:lang w:eastAsia="de-DE"/>
        </w:rPr>
        <w:t>אַל־נָ֥א תְהִ֖י כַּמֵּ֑ת</w:t>
      </w:r>
      <w:r w:rsidRPr="006E39D1">
        <w:rPr>
          <w:rFonts w:eastAsia="Times New Roman" w:cs="Times New Roman"/>
          <w:rtl/>
          <w:lang w:eastAsia="de-DE"/>
        </w:rPr>
        <w:t xml:space="preserve"> </w:t>
      </w:r>
      <w:r w:rsidRPr="006E39D1">
        <w:rPr>
          <w:rFonts w:eastAsia="Times New Roman" w:cs="Times New Roman"/>
          <w:lang w:eastAsia="de-DE"/>
        </w:rPr>
        <w:t xml:space="preserve">(lass sie doch nicht sein wie ein Toter) mit </w:t>
      </w:r>
      <w:r w:rsidRPr="006E39D1">
        <w:rPr>
          <w:rFonts w:eastAsia="Times New Roman" w:cs="Times New Roman"/>
          <w:b/>
          <w:bCs/>
          <w:rtl/>
          <w:lang w:eastAsia="de-DE"/>
        </w:rPr>
        <w:t>אַל־נָא</w:t>
      </w:r>
      <w:r w:rsidRPr="006E39D1">
        <w:rPr>
          <w:rFonts w:eastAsia="Times New Roman" w:cs="Times New Roman"/>
          <w:rtl/>
          <w:lang w:eastAsia="de-DE"/>
        </w:rPr>
        <w:t xml:space="preserve"> </w:t>
      </w:r>
      <w:r w:rsidRPr="006E39D1">
        <w:rPr>
          <w:rFonts w:eastAsia="Times New Roman" w:cs="Times New Roman"/>
          <w:lang w:eastAsia="de-DE"/>
        </w:rPr>
        <w:t xml:space="preserve">(doch nicht), </w:t>
      </w:r>
      <w:r w:rsidRPr="006E39D1">
        <w:rPr>
          <w:rFonts w:eastAsia="Times New Roman" w:cs="Times New Roman"/>
          <w:b/>
          <w:bCs/>
          <w:rtl/>
          <w:lang w:eastAsia="de-DE"/>
        </w:rPr>
        <w:t>תְּהִי</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היה</w:t>
      </w:r>
      <w:r w:rsidRPr="006E39D1">
        <w:rPr>
          <w:rFonts w:eastAsia="Times New Roman" w:cs="Times New Roman"/>
          <w:rtl/>
          <w:lang w:eastAsia="de-DE"/>
        </w:rPr>
        <w:t xml:space="preserve"> </w:t>
      </w:r>
      <w:r w:rsidRPr="006E39D1">
        <w:rPr>
          <w:rFonts w:eastAsia="Times New Roman" w:cs="Times New Roman"/>
          <w:lang w:eastAsia="de-DE"/>
        </w:rPr>
        <w:t xml:space="preserve">(sein) im Qal-Imperfekt 3. feminin Singular und </w:t>
      </w:r>
      <w:r w:rsidRPr="006E39D1">
        <w:rPr>
          <w:rFonts w:eastAsia="Times New Roman" w:cs="Times New Roman"/>
          <w:b/>
          <w:bCs/>
          <w:rtl/>
          <w:lang w:eastAsia="de-DE"/>
        </w:rPr>
        <w:t>כַּמֵּת</w:t>
      </w:r>
      <w:r w:rsidRPr="006E39D1">
        <w:rPr>
          <w:rFonts w:eastAsia="Times New Roman" w:cs="Times New Roman"/>
          <w:rtl/>
          <w:lang w:eastAsia="de-DE"/>
        </w:rPr>
        <w:t xml:space="preserve"> </w:t>
      </w:r>
      <w:r w:rsidRPr="006E39D1">
        <w:rPr>
          <w:rFonts w:eastAsia="Times New Roman" w:cs="Times New Roman"/>
          <w:lang w:eastAsia="de-DE"/>
        </w:rPr>
        <w:t>(wie ein Toter) zeigt Aarons Furcht um Mirjams Leben.</w:t>
      </w:r>
    </w:p>
    <w:p w14:paraId="4086997B" w14:textId="52307899"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grausige Beschreibung </w:t>
      </w:r>
      <w:r w:rsidRPr="006E39D1">
        <w:rPr>
          <w:rFonts w:eastAsia="Times New Roman" w:cs="Times New Roman"/>
          <w:b/>
          <w:bCs/>
          <w:rtl/>
          <w:lang w:eastAsia="de-DE"/>
        </w:rPr>
        <w:t>אֲשֶׁ֤ר בְּצֵאתוֹ֙ מֵרֶ֣חֶם אִמֹּ֔ו וַיֵּאָכֵ֖ל חֲצִ֥י בְשָׂרֹֽו</w:t>
      </w:r>
      <w:r w:rsidRPr="006E39D1">
        <w:rPr>
          <w:rFonts w:eastAsia="Times New Roman" w:cs="Times New Roman"/>
          <w:rtl/>
          <w:lang w:eastAsia="de-DE"/>
        </w:rPr>
        <w:t xml:space="preserve"> </w:t>
      </w:r>
      <w:r w:rsidRPr="006E39D1">
        <w:rPr>
          <w:rFonts w:eastAsia="Times New Roman" w:cs="Times New Roman"/>
          <w:lang w:eastAsia="de-DE"/>
        </w:rPr>
        <w:t xml:space="preserve">(der beim Herauskommen aus dem Mutterleib schon die Hälfte seines Fleisches verzehrt hat) mit </w:t>
      </w:r>
      <w:r w:rsidRPr="006E39D1">
        <w:rPr>
          <w:rFonts w:eastAsia="Times New Roman" w:cs="Times New Roman"/>
          <w:b/>
          <w:bCs/>
          <w:rtl/>
          <w:lang w:eastAsia="de-DE"/>
        </w:rPr>
        <w:t>בְּצֵאתוֹ</w:t>
      </w:r>
      <w:r w:rsidRPr="006E39D1">
        <w:rPr>
          <w:rFonts w:eastAsia="Times New Roman" w:cs="Times New Roman"/>
          <w:rtl/>
          <w:lang w:eastAsia="de-DE"/>
        </w:rPr>
        <w:t xml:space="preserve"> </w:t>
      </w:r>
      <w:r w:rsidRPr="006E39D1">
        <w:rPr>
          <w:rFonts w:eastAsia="Times New Roman" w:cs="Times New Roman"/>
          <w:lang w:eastAsia="de-DE"/>
        </w:rPr>
        <w:t>als Qal-Infinitiv-</w:t>
      </w:r>
      <w:r w:rsidR="00F133EC">
        <w:rPr>
          <w:rFonts w:eastAsia="Times New Roman" w:cs="Times New Roman"/>
          <w:lang w:eastAsia="de-DE"/>
        </w:rPr>
        <w:t>Construct</w:t>
      </w:r>
      <w:r w:rsidRPr="006E39D1">
        <w:rPr>
          <w:rFonts w:eastAsia="Times New Roman" w:cs="Times New Roman"/>
          <w:lang w:eastAsia="de-DE"/>
        </w:rPr>
        <w:t xml:space="preserve"> von </w:t>
      </w:r>
      <w:r w:rsidRPr="006E39D1">
        <w:rPr>
          <w:rFonts w:eastAsia="Times New Roman" w:cs="Times New Roman"/>
          <w:b/>
          <w:bCs/>
          <w:rtl/>
          <w:lang w:eastAsia="de-DE"/>
        </w:rPr>
        <w:t>יצא</w:t>
      </w:r>
      <w:r w:rsidRPr="006E39D1">
        <w:rPr>
          <w:rFonts w:eastAsia="Times New Roman" w:cs="Times New Roman"/>
          <w:rtl/>
          <w:lang w:eastAsia="de-DE"/>
        </w:rPr>
        <w:t xml:space="preserve"> </w:t>
      </w:r>
      <w:r w:rsidRPr="006E39D1">
        <w:rPr>
          <w:rFonts w:eastAsia="Times New Roman" w:cs="Times New Roman"/>
          <w:lang w:eastAsia="de-DE"/>
        </w:rPr>
        <w:t xml:space="preserve">(herauskommen), </w:t>
      </w:r>
      <w:r w:rsidRPr="006E39D1">
        <w:rPr>
          <w:rFonts w:eastAsia="Times New Roman" w:cs="Times New Roman"/>
          <w:b/>
          <w:bCs/>
          <w:rtl/>
          <w:lang w:eastAsia="de-DE"/>
        </w:rPr>
        <w:t>מֵרֶחֶם אִמּוֹ</w:t>
      </w:r>
      <w:r w:rsidRPr="006E39D1">
        <w:rPr>
          <w:rFonts w:eastAsia="Times New Roman" w:cs="Times New Roman"/>
          <w:rtl/>
          <w:lang w:eastAsia="de-DE"/>
        </w:rPr>
        <w:t xml:space="preserve"> </w:t>
      </w:r>
      <w:r w:rsidRPr="006E39D1">
        <w:rPr>
          <w:rFonts w:eastAsia="Times New Roman" w:cs="Times New Roman"/>
          <w:lang w:eastAsia="de-DE"/>
        </w:rPr>
        <w:t xml:space="preserve">(aus dem Mutterleib), </w:t>
      </w:r>
      <w:r w:rsidRPr="006E39D1">
        <w:rPr>
          <w:rFonts w:eastAsia="Times New Roman" w:cs="Times New Roman"/>
          <w:b/>
          <w:bCs/>
          <w:rtl/>
          <w:lang w:eastAsia="de-DE"/>
        </w:rPr>
        <w:t>יֵּאָכֵל</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אכל</w:t>
      </w:r>
      <w:r w:rsidRPr="006E39D1">
        <w:rPr>
          <w:rFonts w:eastAsia="Times New Roman" w:cs="Times New Roman"/>
          <w:rtl/>
          <w:lang w:eastAsia="de-DE"/>
        </w:rPr>
        <w:t xml:space="preserve"> </w:t>
      </w:r>
      <w:r w:rsidRPr="006E39D1">
        <w:rPr>
          <w:rFonts w:eastAsia="Times New Roman" w:cs="Times New Roman"/>
          <w:lang w:eastAsia="de-DE"/>
        </w:rPr>
        <w:t xml:space="preserve">(fressen/verzehren) und </w:t>
      </w:r>
      <w:r w:rsidRPr="006E39D1">
        <w:rPr>
          <w:rFonts w:eastAsia="Times New Roman" w:cs="Times New Roman"/>
          <w:b/>
          <w:bCs/>
          <w:rtl/>
          <w:lang w:eastAsia="de-DE"/>
        </w:rPr>
        <w:t>חֲצִי בְשָׂרוֹ</w:t>
      </w:r>
      <w:r w:rsidRPr="006E39D1">
        <w:rPr>
          <w:rFonts w:eastAsia="Times New Roman" w:cs="Times New Roman"/>
          <w:rtl/>
          <w:lang w:eastAsia="de-DE"/>
        </w:rPr>
        <w:t xml:space="preserve"> </w:t>
      </w:r>
      <w:r w:rsidRPr="006E39D1">
        <w:rPr>
          <w:rFonts w:eastAsia="Times New Roman" w:cs="Times New Roman"/>
          <w:lang w:eastAsia="de-DE"/>
        </w:rPr>
        <w:t>(die Hälfte seines Fleisches) zeigt ein totgeborenes, bereits verwesende Kind.</w:t>
      </w:r>
    </w:p>
    <w:p w14:paraId="06BACF5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Verwandtschaftsbeziehung </w:t>
      </w:r>
      <w:r w:rsidRPr="006E39D1">
        <w:rPr>
          <w:rFonts w:eastAsia="Times New Roman" w:cs="Times New Roman"/>
          <w:b/>
          <w:bCs/>
          <w:rtl/>
          <w:lang w:eastAsia="de-DE"/>
        </w:rPr>
        <w:t>אִמֹּנוּ</w:t>
      </w:r>
      <w:r w:rsidRPr="006E39D1">
        <w:rPr>
          <w:rFonts w:eastAsia="Times New Roman" w:cs="Times New Roman"/>
          <w:rtl/>
          <w:lang w:eastAsia="de-DE"/>
        </w:rPr>
        <w:t xml:space="preserve"> </w:t>
      </w:r>
      <w:r w:rsidRPr="006E39D1">
        <w:rPr>
          <w:rFonts w:eastAsia="Times New Roman" w:cs="Times New Roman"/>
          <w:lang w:eastAsia="de-DE"/>
        </w:rPr>
        <w:t>(unsere Mutter) betont die familiäre Verbindung zwischen Aaron, Mirjam und Mose.</w:t>
      </w:r>
    </w:p>
    <w:p w14:paraId="47B1E7CB" w14:textId="71CF6B1F"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präzisiert die grausame Beschreibung: Das hebräische „</w:t>
      </w:r>
      <w:r w:rsidR="00497CF8">
        <w:rPr>
          <w:rtl/>
        </w:rPr>
        <w:t>וַיֵּאָכֵל חֲצִי בְשָׂרֹו</w:t>
      </w:r>
      <w:r w:rsidR="00497CF8">
        <w:t>" (dessen halbes Fleisch verzehrt ist) wird zu „καὶ κατεσθίει τὸ ἥμισυ τῶν σαρκῶν αὐτῆς" (und es verzehrt die Hälfte ihres Fleisches), wobei das Präsens eine andauernde Handlung betont und das Geschlecht explizit auf Mirjam bezogen wird.</w:t>
      </w:r>
    </w:p>
    <w:p w14:paraId="0F163BC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eindringliche Bitte mit drastischem Vergleich und verwandtschaftlicher Verbindung.</w:t>
      </w:r>
    </w:p>
    <w:p w14:paraId="62FF08E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Aarons verzweifelte Bitte um Mirjams Leben durch einen schockierenden Vergleich mit Totgeburt.</w:t>
      </w:r>
    </w:p>
    <w:p w14:paraId="3A99C3F0"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12,13</w:t>
      </w:r>
    </w:p>
    <w:p w14:paraId="37FE952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וַיִּצְעַ֣ק מֹשֶׁ֔ה אֶל־יְהוָ֖ה לֵאמֹ֑ר אֵ֕ל נָ֛א רְפָ֥א נָ֖א לָֽהּ׃</w:t>
      </w:r>
    </w:p>
    <w:p w14:paraId="3CAC86C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Mosche schrie zu dem Ewigen und sprach: O Gott, bitte, heile sie doch!</w:t>
      </w:r>
    </w:p>
    <w:p w14:paraId="41BC68EC"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3878CE8D">
          <v:rect id="_x0000_i1427" style="width:0;height:1.5pt" o:hralign="center" o:hrstd="t" o:hr="t" fillcolor="#a0a0a0" stroked="f"/>
        </w:pict>
      </w:r>
    </w:p>
    <w:p w14:paraId="741208A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וַיִּצְעַ֣ק מֹשֶׁ֔ה אֶל־יְהוָ֖ה</w:t>
      </w:r>
      <w:r w:rsidRPr="006E39D1">
        <w:rPr>
          <w:rFonts w:eastAsia="Times New Roman" w:cs="Times New Roman"/>
          <w:rtl/>
          <w:lang w:eastAsia="de-DE"/>
        </w:rPr>
        <w:t xml:space="preserve"> </w:t>
      </w:r>
      <w:r w:rsidRPr="006E39D1">
        <w:rPr>
          <w:rFonts w:eastAsia="Times New Roman" w:cs="Times New Roman"/>
          <w:lang w:eastAsia="de-DE"/>
        </w:rPr>
        <w:t xml:space="preserve">(und Mose schrie zu dem Ewigen) mit </w:t>
      </w:r>
      <w:r w:rsidRPr="006E39D1">
        <w:rPr>
          <w:rFonts w:eastAsia="Times New Roman" w:cs="Times New Roman"/>
          <w:b/>
          <w:bCs/>
          <w:rtl/>
          <w:lang w:eastAsia="de-DE"/>
        </w:rPr>
        <w:t>יִּצְעַק</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צעק</w:t>
      </w:r>
      <w:r w:rsidRPr="006E39D1">
        <w:rPr>
          <w:rFonts w:eastAsia="Times New Roman" w:cs="Times New Roman"/>
          <w:rtl/>
          <w:lang w:eastAsia="de-DE"/>
        </w:rPr>
        <w:t xml:space="preserve"> </w:t>
      </w:r>
      <w:r w:rsidRPr="006E39D1">
        <w:rPr>
          <w:rFonts w:eastAsia="Times New Roman" w:cs="Times New Roman"/>
          <w:lang w:eastAsia="de-DE"/>
        </w:rPr>
        <w:t>(schreien/rufen) im Qal-Imperfekt 3. maskulin Singular zeigt Moses emotionale Intensität - nicht einfaches Beten, sondern verzweifeltes Schreien zu Gott um seiner Schwester willen.</w:t>
      </w:r>
    </w:p>
    <w:p w14:paraId="72E24C6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Redeeinleitung </w:t>
      </w:r>
      <w:r w:rsidRPr="006E39D1">
        <w:rPr>
          <w:rFonts w:eastAsia="Times New Roman" w:cs="Times New Roman"/>
          <w:b/>
          <w:bCs/>
          <w:rtl/>
          <w:lang w:eastAsia="de-DE"/>
        </w:rPr>
        <w:t>לֵאמֹ֑ר</w:t>
      </w:r>
      <w:r w:rsidRPr="006E39D1">
        <w:rPr>
          <w:rFonts w:eastAsia="Times New Roman" w:cs="Times New Roman"/>
          <w:rtl/>
          <w:lang w:eastAsia="de-DE"/>
        </w:rPr>
        <w:t xml:space="preserve"> </w:t>
      </w:r>
      <w:r w:rsidRPr="006E39D1">
        <w:rPr>
          <w:rFonts w:eastAsia="Times New Roman" w:cs="Times New Roman"/>
          <w:lang w:eastAsia="de-DE"/>
        </w:rPr>
        <w:t xml:space="preserve">(sagend) führt zu einem der kürzesten, aber bewegendsten Gebete der Bibel. Die Anrede </w:t>
      </w:r>
      <w:r w:rsidRPr="006E39D1">
        <w:rPr>
          <w:rFonts w:eastAsia="Times New Roman" w:cs="Times New Roman"/>
          <w:b/>
          <w:bCs/>
          <w:rtl/>
          <w:lang w:eastAsia="de-DE"/>
        </w:rPr>
        <w:t>אֵ֕ל</w:t>
      </w:r>
      <w:r w:rsidRPr="006E39D1">
        <w:rPr>
          <w:rFonts w:eastAsia="Times New Roman" w:cs="Times New Roman"/>
          <w:rtl/>
          <w:lang w:eastAsia="de-DE"/>
        </w:rPr>
        <w:t xml:space="preserve"> </w:t>
      </w:r>
      <w:r w:rsidRPr="006E39D1">
        <w:rPr>
          <w:rFonts w:eastAsia="Times New Roman" w:cs="Times New Roman"/>
          <w:lang w:eastAsia="de-DE"/>
        </w:rPr>
        <w:t xml:space="preserve">(o Gott) mit </w:t>
      </w:r>
      <w:r w:rsidRPr="006E39D1">
        <w:rPr>
          <w:rFonts w:eastAsia="Times New Roman" w:cs="Times New Roman"/>
          <w:b/>
          <w:bCs/>
          <w:rtl/>
          <w:lang w:eastAsia="de-DE"/>
        </w:rPr>
        <w:t>אֵל</w:t>
      </w:r>
      <w:r w:rsidRPr="006E39D1">
        <w:rPr>
          <w:rFonts w:eastAsia="Times New Roman" w:cs="Times New Roman"/>
          <w:rtl/>
          <w:lang w:eastAsia="de-DE"/>
        </w:rPr>
        <w:t xml:space="preserve"> </w:t>
      </w:r>
      <w:r w:rsidRPr="006E39D1">
        <w:rPr>
          <w:rFonts w:eastAsia="Times New Roman" w:cs="Times New Roman"/>
          <w:lang w:eastAsia="de-DE"/>
        </w:rPr>
        <w:t>(Gott) als direkte, intime Anrede zeigt Moses unmittelbare Beziehung zu Gott.</w:t>
      </w:r>
    </w:p>
    <w:p w14:paraId="6E9ACB2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doppelte Bitte </w:t>
      </w:r>
      <w:r w:rsidRPr="006E39D1">
        <w:rPr>
          <w:rFonts w:eastAsia="Times New Roman" w:cs="Times New Roman"/>
          <w:b/>
          <w:bCs/>
          <w:rtl/>
          <w:lang w:eastAsia="de-DE"/>
        </w:rPr>
        <w:t>נָ֛א רְפָ֥א נָ֖א לָֽהּ</w:t>
      </w:r>
      <w:r w:rsidRPr="006E39D1">
        <w:rPr>
          <w:rFonts w:eastAsia="Times New Roman" w:cs="Times New Roman"/>
          <w:rtl/>
          <w:lang w:eastAsia="de-DE"/>
        </w:rPr>
        <w:t xml:space="preserve"> </w:t>
      </w:r>
      <w:r w:rsidRPr="006E39D1">
        <w:rPr>
          <w:rFonts w:eastAsia="Times New Roman" w:cs="Times New Roman"/>
          <w:lang w:eastAsia="de-DE"/>
        </w:rPr>
        <w:t xml:space="preserve">(bitte, heile sie doch) mit </w:t>
      </w:r>
      <w:r w:rsidRPr="006E39D1">
        <w:rPr>
          <w:rFonts w:eastAsia="Times New Roman" w:cs="Times New Roman"/>
          <w:b/>
          <w:bCs/>
          <w:rtl/>
          <w:lang w:eastAsia="de-DE"/>
        </w:rPr>
        <w:t>נָא</w:t>
      </w:r>
      <w:r w:rsidRPr="006E39D1">
        <w:rPr>
          <w:rFonts w:eastAsia="Times New Roman" w:cs="Times New Roman"/>
          <w:rtl/>
          <w:lang w:eastAsia="de-DE"/>
        </w:rPr>
        <w:t xml:space="preserve"> </w:t>
      </w:r>
      <w:r w:rsidRPr="006E39D1">
        <w:rPr>
          <w:rFonts w:eastAsia="Times New Roman" w:cs="Times New Roman"/>
          <w:lang w:eastAsia="de-DE"/>
        </w:rPr>
        <w:t xml:space="preserve">(bitte) als höflicher Bittpartikel, </w:t>
      </w:r>
      <w:r w:rsidRPr="006E39D1">
        <w:rPr>
          <w:rFonts w:eastAsia="Times New Roman" w:cs="Times New Roman"/>
          <w:b/>
          <w:bCs/>
          <w:rtl/>
          <w:lang w:eastAsia="de-DE"/>
        </w:rPr>
        <w:t>רְפָא</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רפא</w:t>
      </w:r>
      <w:r w:rsidRPr="006E39D1">
        <w:rPr>
          <w:rFonts w:eastAsia="Times New Roman" w:cs="Times New Roman"/>
          <w:rtl/>
          <w:lang w:eastAsia="de-DE"/>
        </w:rPr>
        <w:t xml:space="preserve"> </w:t>
      </w:r>
      <w:r w:rsidRPr="006E39D1">
        <w:rPr>
          <w:rFonts w:eastAsia="Times New Roman" w:cs="Times New Roman"/>
          <w:lang w:eastAsia="de-DE"/>
        </w:rPr>
        <w:t xml:space="preserve">(heilen) im Qal-Imperativ maskulin Singular und </w:t>
      </w:r>
      <w:r w:rsidRPr="006E39D1">
        <w:rPr>
          <w:rFonts w:eastAsia="Times New Roman" w:cs="Times New Roman"/>
          <w:b/>
          <w:bCs/>
          <w:rtl/>
          <w:lang w:eastAsia="de-DE"/>
        </w:rPr>
        <w:t>לָהּ</w:t>
      </w:r>
      <w:r w:rsidRPr="006E39D1">
        <w:rPr>
          <w:rFonts w:eastAsia="Times New Roman" w:cs="Times New Roman"/>
          <w:rtl/>
          <w:lang w:eastAsia="de-DE"/>
        </w:rPr>
        <w:t xml:space="preserve"> </w:t>
      </w:r>
      <w:r w:rsidRPr="006E39D1">
        <w:rPr>
          <w:rFonts w:eastAsia="Times New Roman" w:cs="Times New Roman"/>
          <w:lang w:eastAsia="de-DE"/>
        </w:rPr>
        <w:t xml:space="preserve">(ihr/sie) zeigt die einfache, aber dringende Fürbitte. Die Wiederholung von </w:t>
      </w:r>
      <w:r w:rsidRPr="006E39D1">
        <w:rPr>
          <w:rFonts w:eastAsia="Times New Roman" w:cs="Times New Roman"/>
          <w:b/>
          <w:bCs/>
          <w:rtl/>
          <w:lang w:eastAsia="de-DE"/>
        </w:rPr>
        <w:t>נָא</w:t>
      </w:r>
      <w:r w:rsidRPr="006E39D1">
        <w:rPr>
          <w:rFonts w:eastAsia="Times New Roman" w:cs="Times New Roman"/>
          <w:rtl/>
          <w:lang w:eastAsia="de-DE"/>
        </w:rPr>
        <w:t xml:space="preserve"> </w:t>
      </w:r>
      <w:r w:rsidRPr="006E39D1">
        <w:rPr>
          <w:rFonts w:eastAsia="Times New Roman" w:cs="Times New Roman"/>
          <w:lang w:eastAsia="de-DE"/>
        </w:rPr>
        <w:t>verstärkt die Eindringlichkeit.</w:t>
      </w:r>
    </w:p>
    <w:p w14:paraId="436FD9F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Kürze dieses Gebets (nur 5 hebräische Wörter: </w:t>
      </w:r>
      <w:r w:rsidRPr="006E39D1">
        <w:rPr>
          <w:rFonts w:eastAsia="Times New Roman" w:cs="Times New Roman"/>
          <w:b/>
          <w:bCs/>
          <w:rtl/>
          <w:lang w:eastAsia="de-DE"/>
        </w:rPr>
        <w:t>אל נא רפא נא לה</w:t>
      </w:r>
      <w:r w:rsidRPr="006E39D1">
        <w:rPr>
          <w:rFonts w:eastAsia="Times New Roman" w:cs="Times New Roman"/>
          <w:lang w:eastAsia="de-DE"/>
        </w:rPr>
        <w:t>) steht im Kontrast zu längeren biblischen Gebeten und zeigt Moses Demut sowie sein Vertrauen in Gottes Barmherzigkeit.</w:t>
      </w:r>
    </w:p>
    <w:p w14:paraId="35093032" w14:textId="5F91458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Die LXX</w:t>
      </w:r>
      <w:r w:rsidRPr="006E39D1">
        <w:rPr>
          <w:rFonts w:eastAsia="Times New Roman" w:cs="Times New Roman"/>
          <w:lang w:eastAsia="de-DE"/>
        </w:rPr>
        <w:t xml:space="preserve"> </w:t>
      </w:r>
      <w:r w:rsidR="00497CF8">
        <w:t>erweitert Moses' Gebet: Das knappe hebräische „</w:t>
      </w:r>
      <w:r w:rsidR="00497CF8">
        <w:rPr>
          <w:rtl/>
        </w:rPr>
        <w:t>אֵל נָא רְפָא נָא לָהּ</w:t>
      </w:r>
      <w:r w:rsidR="00497CF8">
        <w:t>" (Gott, bitte, heile sie doch) wird zu „Ὁ θεός, δέομαί σου, ἴασαι αὐτήν" (O Gott, ich bitte dich, heile sie), was eine ausführlichere Bittformel darstellt.</w:t>
      </w:r>
    </w:p>
    <w:p w14:paraId="3C8ABDB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emotionales Schreien, Redeeinleitung und prägnante Doppelbitte um Heilung.</w:t>
      </w:r>
    </w:p>
    <w:p w14:paraId="319DD1C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Moses sofortige, selbstlose Fürbitte für seine Schwester trotz ihrer Kritik an ihm.</w:t>
      </w:r>
    </w:p>
    <w:p w14:paraId="0E84A7A4"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12,14</w:t>
      </w:r>
    </w:p>
    <w:p w14:paraId="121FFFD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וַיֹּ֨אמֶר יְהוָ֜ה אֶל־מֹשֶׁ֗ה וְאָבִ֨יהָ֙ יָרֹ֤ק יָרַק֙ בְּפָנֶ֔יהָ הֲלֹ֥א תִכָּלֵ֖ם שִׁבְעַ֣ת יָמִ֑ים תִּסָּגֵ֞ר שִׁבְעַ֤ת יָמִים֙ מִח֣וּץ לַֽמַּחֲנֶ֔ה וְאַחַ֖ר תֵּאָסֵֽף׃</w:t>
      </w:r>
    </w:p>
    <w:p w14:paraId="70A6BCF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der Ewige sprach zu Mosche: Hätte ihr Vater ihr ins Gesicht gespuckt, sollte sie sich nicht sieben Tage lang schämen? Sie werde sieben Tage außerhalb des Lagers eingeschlossen, und danach mag sie wieder aufgenommen werden.</w:t>
      </w:r>
    </w:p>
    <w:p w14:paraId="47AC0BBF"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0D98CC45">
          <v:rect id="_x0000_i1428" style="width:0;height:1.5pt" o:hralign="center" o:hrstd="t" o:hr="t" fillcolor="#a0a0a0" stroked="f"/>
        </w:pict>
      </w:r>
    </w:p>
    <w:p w14:paraId="2E4B8B4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Redeintroduktionsverb </w:t>
      </w:r>
      <w:r w:rsidRPr="006E39D1">
        <w:rPr>
          <w:rFonts w:eastAsia="Times New Roman" w:cs="Times New Roman"/>
          <w:b/>
          <w:bCs/>
          <w:rtl/>
          <w:lang w:eastAsia="de-DE"/>
        </w:rPr>
        <w:t>וַיֹּ֨אמֶר יְהוָ֜ה אֶל־מֹשֶׁ֗ה</w:t>
      </w:r>
      <w:r w:rsidRPr="006E39D1">
        <w:rPr>
          <w:rFonts w:eastAsia="Times New Roman" w:cs="Times New Roman"/>
          <w:rtl/>
          <w:lang w:eastAsia="de-DE"/>
        </w:rPr>
        <w:t xml:space="preserve"> </w:t>
      </w:r>
      <w:r w:rsidRPr="006E39D1">
        <w:rPr>
          <w:rFonts w:eastAsia="Times New Roman" w:cs="Times New Roman"/>
          <w:lang w:eastAsia="de-DE"/>
        </w:rPr>
        <w:t>(und der Ewige sprach zu Mose) leitet Gottes Antwort auf Moses Fürbitte ein.</w:t>
      </w:r>
    </w:p>
    <w:p w14:paraId="232A39E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rhetorische Analogie </w:t>
      </w:r>
      <w:r w:rsidRPr="006E39D1">
        <w:rPr>
          <w:rFonts w:eastAsia="Times New Roman" w:cs="Times New Roman"/>
          <w:b/>
          <w:bCs/>
          <w:rtl/>
          <w:lang w:eastAsia="de-DE"/>
        </w:rPr>
        <w:t>וְאָבִ֨יהָ֙ יָרֹ֤</w:t>
      </w:r>
      <w:r w:rsidRPr="006E39D1">
        <w:rPr>
          <w:rFonts w:eastAsia="Times New Roman" w:cs="Times New Roman"/>
          <w:b/>
          <w:bCs/>
          <w:rtl/>
          <w:lang w:eastAsia="de-DE" w:bidi="ar-SA"/>
        </w:rPr>
        <w:t xml:space="preserve">ق </w:t>
      </w:r>
      <w:r w:rsidRPr="006E39D1">
        <w:rPr>
          <w:rFonts w:eastAsia="Times New Roman" w:cs="Times New Roman"/>
          <w:b/>
          <w:bCs/>
          <w:rtl/>
          <w:lang w:eastAsia="de-DE"/>
        </w:rPr>
        <w:t>יָרַק֙ בְּפָנֶ֔יהָ הֲלֹ֥א תִכָּלֵ֖ם שִׁבְעַ֣ת יָמִ֑ים</w:t>
      </w:r>
      <w:r w:rsidRPr="006E39D1">
        <w:rPr>
          <w:rFonts w:eastAsia="Times New Roman" w:cs="Times New Roman"/>
          <w:rtl/>
          <w:lang w:eastAsia="de-DE"/>
        </w:rPr>
        <w:t xml:space="preserve"> </w:t>
      </w:r>
      <w:r w:rsidRPr="006E39D1">
        <w:rPr>
          <w:rFonts w:eastAsia="Times New Roman" w:cs="Times New Roman"/>
          <w:lang w:eastAsia="de-DE"/>
        </w:rPr>
        <w:t xml:space="preserve">(und ihr Vater hätte ihr ins Gesicht gespuckt, sollte sie sich nicht sieben Tage schämen) mit </w:t>
      </w:r>
      <w:r w:rsidRPr="006E39D1">
        <w:rPr>
          <w:rFonts w:eastAsia="Times New Roman" w:cs="Times New Roman"/>
          <w:b/>
          <w:bCs/>
          <w:rtl/>
          <w:lang w:eastAsia="de-DE"/>
        </w:rPr>
        <w:t>אָבִיהָ</w:t>
      </w:r>
      <w:r w:rsidRPr="006E39D1">
        <w:rPr>
          <w:rFonts w:eastAsia="Times New Roman" w:cs="Times New Roman"/>
          <w:rtl/>
          <w:lang w:eastAsia="de-DE"/>
        </w:rPr>
        <w:t xml:space="preserve"> </w:t>
      </w:r>
      <w:r w:rsidRPr="006E39D1">
        <w:rPr>
          <w:rFonts w:eastAsia="Times New Roman" w:cs="Times New Roman"/>
          <w:lang w:eastAsia="de-DE"/>
        </w:rPr>
        <w:t xml:space="preserve">(ihr Vater), </w:t>
      </w:r>
      <w:r w:rsidRPr="006E39D1">
        <w:rPr>
          <w:rFonts w:eastAsia="Times New Roman" w:cs="Times New Roman"/>
          <w:b/>
          <w:bCs/>
          <w:rtl/>
          <w:lang w:eastAsia="de-DE"/>
        </w:rPr>
        <w:t>יָרֹק יָרַק</w:t>
      </w:r>
      <w:r w:rsidRPr="006E39D1">
        <w:rPr>
          <w:rFonts w:eastAsia="Times New Roman" w:cs="Times New Roman"/>
          <w:rtl/>
          <w:lang w:eastAsia="de-DE"/>
        </w:rPr>
        <w:t xml:space="preserve"> </w:t>
      </w:r>
      <w:r w:rsidRPr="006E39D1">
        <w:rPr>
          <w:rFonts w:eastAsia="Times New Roman" w:cs="Times New Roman"/>
          <w:lang w:eastAsia="de-DE"/>
        </w:rPr>
        <w:t xml:space="preserve">(er spuckte, spuckend) als absoluter Infinitiv mit finitem Verb zur Verstärkung, </w:t>
      </w:r>
      <w:r w:rsidRPr="006E39D1">
        <w:rPr>
          <w:rFonts w:eastAsia="Times New Roman" w:cs="Times New Roman"/>
          <w:b/>
          <w:bCs/>
          <w:rtl/>
          <w:lang w:eastAsia="de-DE"/>
        </w:rPr>
        <w:t>בְּפָנֶיהָ</w:t>
      </w:r>
      <w:r w:rsidRPr="006E39D1">
        <w:rPr>
          <w:rFonts w:eastAsia="Times New Roman" w:cs="Times New Roman"/>
          <w:rtl/>
          <w:lang w:eastAsia="de-DE"/>
        </w:rPr>
        <w:t xml:space="preserve"> </w:t>
      </w:r>
      <w:r w:rsidRPr="006E39D1">
        <w:rPr>
          <w:rFonts w:eastAsia="Times New Roman" w:cs="Times New Roman"/>
          <w:lang w:eastAsia="de-DE"/>
        </w:rPr>
        <w:t xml:space="preserve">(in ihr Gesicht), </w:t>
      </w:r>
      <w:r w:rsidRPr="006E39D1">
        <w:rPr>
          <w:rFonts w:eastAsia="Times New Roman" w:cs="Times New Roman"/>
          <w:b/>
          <w:bCs/>
          <w:rtl/>
          <w:lang w:eastAsia="de-DE"/>
        </w:rPr>
        <w:t>הֲלֹא</w:t>
      </w:r>
      <w:r w:rsidRPr="006E39D1">
        <w:rPr>
          <w:rFonts w:eastAsia="Times New Roman" w:cs="Times New Roman"/>
          <w:rtl/>
          <w:lang w:eastAsia="de-DE"/>
        </w:rPr>
        <w:t xml:space="preserve"> </w:t>
      </w:r>
      <w:r w:rsidRPr="006E39D1">
        <w:rPr>
          <w:rFonts w:eastAsia="Times New Roman" w:cs="Times New Roman"/>
          <w:lang w:eastAsia="de-DE"/>
        </w:rPr>
        <w:t xml:space="preserve">als Fragepartikel, die eine positive Antwort erwartet, </w:t>
      </w:r>
      <w:r w:rsidRPr="006E39D1">
        <w:rPr>
          <w:rFonts w:eastAsia="Times New Roman" w:cs="Times New Roman"/>
          <w:b/>
          <w:bCs/>
          <w:rtl/>
          <w:lang w:eastAsia="de-DE"/>
        </w:rPr>
        <w:t>תִכָּלֵם</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כלם</w:t>
      </w:r>
      <w:r w:rsidRPr="006E39D1">
        <w:rPr>
          <w:rFonts w:eastAsia="Times New Roman" w:cs="Times New Roman"/>
          <w:rtl/>
          <w:lang w:eastAsia="de-DE"/>
        </w:rPr>
        <w:t xml:space="preserve"> </w:t>
      </w:r>
      <w:r w:rsidRPr="006E39D1">
        <w:rPr>
          <w:rFonts w:eastAsia="Times New Roman" w:cs="Times New Roman"/>
          <w:lang w:eastAsia="de-DE"/>
        </w:rPr>
        <w:t xml:space="preserve">(beschämt werden) und </w:t>
      </w:r>
      <w:r w:rsidRPr="006E39D1">
        <w:rPr>
          <w:rFonts w:eastAsia="Times New Roman" w:cs="Times New Roman"/>
          <w:b/>
          <w:bCs/>
          <w:rtl/>
          <w:lang w:eastAsia="de-DE"/>
        </w:rPr>
        <w:t>שִׁבְעַת יָמִים</w:t>
      </w:r>
      <w:r w:rsidRPr="006E39D1">
        <w:rPr>
          <w:rFonts w:eastAsia="Times New Roman" w:cs="Times New Roman"/>
          <w:rtl/>
          <w:lang w:eastAsia="de-DE"/>
        </w:rPr>
        <w:t xml:space="preserve"> </w:t>
      </w:r>
      <w:r w:rsidRPr="006E39D1">
        <w:rPr>
          <w:rFonts w:eastAsia="Times New Roman" w:cs="Times New Roman"/>
          <w:lang w:eastAsia="de-DE"/>
        </w:rPr>
        <w:t>(sieben Tage) zeigt Gottes Argument a fortiori: wenn schon väterliche Zurechtweisung eine siebentägige Scham bewirkt, wieviel mehr göttliche Zurechtweisung.</w:t>
      </w:r>
    </w:p>
    <w:p w14:paraId="25FBD4A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Anordnung </w:t>
      </w:r>
      <w:r w:rsidRPr="006E39D1">
        <w:rPr>
          <w:rFonts w:eastAsia="Times New Roman" w:cs="Times New Roman"/>
          <w:b/>
          <w:bCs/>
          <w:rtl/>
          <w:lang w:eastAsia="de-DE"/>
        </w:rPr>
        <w:t>תִּסָּגֵ֞ר שִׁבְעַ֤ת יָמִים֙ מִח֣וּץ לַֽמַּחֲנֶ֔ה וְאַחַ֖ר תֵּאָסֵֽף</w:t>
      </w:r>
      <w:r w:rsidRPr="006E39D1">
        <w:rPr>
          <w:rFonts w:eastAsia="Times New Roman" w:cs="Times New Roman"/>
          <w:rtl/>
          <w:lang w:eastAsia="de-DE"/>
        </w:rPr>
        <w:t xml:space="preserve"> </w:t>
      </w:r>
      <w:r w:rsidRPr="006E39D1">
        <w:rPr>
          <w:rFonts w:eastAsia="Times New Roman" w:cs="Times New Roman"/>
          <w:lang w:eastAsia="de-DE"/>
        </w:rPr>
        <w:t xml:space="preserve">(sie werde sieben Tage außerhalb des Lagers eingeschlossen, und danach werde sie wieder aufgenommen) mit </w:t>
      </w:r>
      <w:r w:rsidRPr="006E39D1">
        <w:rPr>
          <w:rFonts w:eastAsia="Times New Roman" w:cs="Times New Roman"/>
          <w:b/>
          <w:bCs/>
          <w:rtl/>
          <w:lang w:eastAsia="de-DE"/>
        </w:rPr>
        <w:t>תִּסָּגֵר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סגר</w:t>
      </w:r>
      <w:r w:rsidRPr="006E39D1">
        <w:rPr>
          <w:rFonts w:eastAsia="Times New Roman" w:cs="Times New Roman"/>
          <w:rtl/>
          <w:lang w:eastAsia="de-DE"/>
        </w:rPr>
        <w:t xml:space="preserve"> </w:t>
      </w:r>
      <w:r w:rsidRPr="006E39D1">
        <w:rPr>
          <w:rFonts w:eastAsia="Times New Roman" w:cs="Times New Roman"/>
          <w:lang w:eastAsia="de-DE"/>
        </w:rPr>
        <w:t xml:space="preserve">(einschließen) im Niph'al-Imperfekt 3. feminin Singular, </w:t>
      </w:r>
      <w:r w:rsidRPr="006E39D1">
        <w:rPr>
          <w:rFonts w:eastAsia="Times New Roman" w:cs="Times New Roman"/>
          <w:b/>
          <w:bCs/>
          <w:rtl/>
          <w:lang w:eastAsia="de-DE"/>
        </w:rPr>
        <w:t>מִחוּץ לַמַּחֲנֶה</w:t>
      </w:r>
      <w:r w:rsidRPr="006E39D1">
        <w:rPr>
          <w:rFonts w:eastAsia="Times New Roman" w:cs="Times New Roman"/>
          <w:rtl/>
          <w:lang w:eastAsia="de-DE"/>
        </w:rPr>
        <w:t xml:space="preserve"> </w:t>
      </w:r>
      <w:r w:rsidRPr="006E39D1">
        <w:rPr>
          <w:rFonts w:eastAsia="Times New Roman" w:cs="Times New Roman"/>
          <w:lang w:eastAsia="de-DE"/>
        </w:rPr>
        <w:t xml:space="preserve">(außerhalb des Lagers), </w:t>
      </w:r>
      <w:r w:rsidRPr="006E39D1">
        <w:rPr>
          <w:rFonts w:eastAsia="Times New Roman" w:cs="Times New Roman"/>
          <w:b/>
          <w:bCs/>
          <w:rtl/>
          <w:lang w:eastAsia="de-DE"/>
        </w:rPr>
        <w:t>אַחַר</w:t>
      </w:r>
      <w:r w:rsidRPr="006E39D1">
        <w:rPr>
          <w:rFonts w:eastAsia="Times New Roman" w:cs="Times New Roman"/>
          <w:rtl/>
          <w:lang w:eastAsia="de-DE"/>
        </w:rPr>
        <w:t xml:space="preserve"> </w:t>
      </w:r>
      <w:r w:rsidRPr="006E39D1">
        <w:rPr>
          <w:rFonts w:eastAsia="Times New Roman" w:cs="Times New Roman"/>
          <w:lang w:eastAsia="de-DE"/>
        </w:rPr>
        <w:t xml:space="preserve">(danach) und </w:t>
      </w:r>
      <w:r w:rsidRPr="006E39D1">
        <w:rPr>
          <w:rFonts w:eastAsia="Times New Roman" w:cs="Times New Roman"/>
          <w:b/>
          <w:bCs/>
          <w:rtl/>
          <w:lang w:eastAsia="de-DE"/>
        </w:rPr>
        <w:t>תֵּאָסֵף</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אסף</w:t>
      </w:r>
      <w:r w:rsidRPr="006E39D1">
        <w:rPr>
          <w:rFonts w:eastAsia="Times New Roman" w:cs="Times New Roman"/>
          <w:rtl/>
          <w:lang w:eastAsia="de-DE"/>
        </w:rPr>
        <w:t xml:space="preserve"> </w:t>
      </w:r>
      <w:r w:rsidRPr="006E39D1">
        <w:rPr>
          <w:rFonts w:eastAsia="Times New Roman" w:cs="Times New Roman"/>
          <w:lang w:eastAsia="de-DE"/>
        </w:rPr>
        <w:t>(sammeln/aufnehmen) im Niph'al zeigt die begrenzte, aber notwendige Strafe.</w:t>
      </w:r>
    </w:p>
    <w:p w14:paraId="4919783C" w14:textId="692236BB"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verändert die rhetorische Frage: Das hebräische „</w:t>
      </w:r>
      <w:r w:rsidR="00497CF8">
        <w:rPr>
          <w:rtl/>
        </w:rPr>
        <w:t>וְאָבִיהָ יָרֹק יָרַק בְּפָנֶיהָ הֲלֹא תִכָּלֵם</w:t>
      </w:r>
      <w:r w:rsidR="00497CF8">
        <w:t>" (wenn ihr Vater ihr ins Gesicht gespuckt hätte, würde sie sich nicht schämen) wird zu „Εἰ ὁ πατὴρ αὐτῆς πτύων ἐνέπτυσεν εἰς τὸ πρόσωπον αὐτῆς, οὐκ ἐντραπήσεται" (wenn ihr Vater spuckend in ihr Gesicht gespuckt hätte, würde sie sich nicht schämen), wobei das Partizip „πτύων" die Handlung verstärkt.</w:t>
      </w:r>
    </w:p>
    <w:p w14:paraId="71267BC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rhetorische Analogie mit a-fortiori-Argument und gemilderte Strafanordnung.</w:t>
      </w:r>
    </w:p>
    <w:p w14:paraId="6C673CE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Gottes Barmherzigkeit: die Strafe wird begrenzt und die Wiederherstellung verheißen.</w:t>
      </w:r>
    </w:p>
    <w:p w14:paraId="4F998D24"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lastRenderedPageBreak/>
        <w:t>Numeri 12,15</w:t>
      </w:r>
    </w:p>
    <w:p w14:paraId="50C882B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וַתִּסָּגֵ֥ר מִרְיָ֛ם מִח֥וּץ לַֽמַּחֲנֶ֖ה שִׁבְעַ֣ת יָמִ֑ים וְהָעָם֙ לֹ֣א נָסַ֔ע עַד־הֵאָסֵ֖ף מִרְיָֽם׃</w:t>
      </w:r>
    </w:p>
    <w:p w14:paraId="374B316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Mirjam wurde sieben Tage außerhalb des Lagers eingeschlossen; und das Volk brach nicht auf, bis Mirjam wieder aufgenommen wurde.</w:t>
      </w:r>
    </w:p>
    <w:p w14:paraId="5AB3C3A4"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39E12CC3">
          <v:rect id="_x0000_i1429" style="width:0;height:1.5pt" o:hralign="center" o:hrstd="t" o:hr="t" fillcolor="#a0a0a0" stroked="f"/>
        </w:pict>
      </w:r>
    </w:p>
    <w:p w14:paraId="3D65486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Ausführung </w:t>
      </w:r>
      <w:r w:rsidRPr="006E39D1">
        <w:rPr>
          <w:rFonts w:eastAsia="Times New Roman" w:cs="Times New Roman"/>
          <w:b/>
          <w:bCs/>
          <w:rtl/>
          <w:lang w:eastAsia="de-DE"/>
        </w:rPr>
        <w:t>וַתִּסָּגֵ֥ר מִרְיָ֛ם מִח֥וּץ לַֽמַּחֲנֶ֖ה שִׁבְעַ֣ת יָמִ֑ים</w:t>
      </w:r>
      <w:r w:rsidRPr="006E39D1">
        <w:rPr>
          <w:rFonts w:eastAsia="Times New Roman" w:cs="Times New Roman"/>
          <w:rtl/>
          <w:lang w:eastAsia="de-DE"/>
        </w:rPr>
        <w:t xml:space="preserve"> </w:t>
      </w:r>
      <w:r w:rsidRPr="006E39D1">
        <w:rPr>
          <w:rFonts w:eastAsia="Times New Roman" w:cs="Times New Roman"/>
          <w:lang w:eastAsia="de-DE"/>
        </w:rPr>
        <w:t xml:space="preserve">(und Mirjam wurde sieben Tage außerhalb des Lagers eingeschlossen) mit </w:t>
      </w:r>
      <w:r w:rsidRPr="006E39D1">
        <w:rPr>
          <w:rFonts w:eastAsia="Times New Roman" w:cs="Times New Roman"/>
          <w:b/>
          <w:bCs/>
          <w:rtl/>
          <w:lang w:eastAsia="de-DE"/>
        </w:rPr>
        <w:t>תִּסָּגֵר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סגר</w:t>
      </w:r>
      <w:r w:rsidRPr="006E39D1">
        <w:rPr>
          <w:rFonts w:eastAsia="Times New Roman" w:cs="Times New Roman"/>
          <w:rtl/>
          <w:lang w:eastAsia="de-DE"/>
        </w:rPr>
        <w:t xml:space="preserve"> </w:t>
      </w:r>
      <w:r w:rsidRPr="006E39D1">
        <w:rPr>
          <w:rFonts w:eastAsia="Times New Roman" w:cs="Times New Roman"/>
          <w:lang w:eastAsia="de-DE"/>
        </w:rPr>
        <w:t>(einschließen) im Niph'al-Imperfekt 3. feminin Singular setzt die göttliche Anordnung um.</w:t>
      </w:r>
    </w:p>
    <w:p w14:paraId="7196E7B0" w14:textId="22C7A748"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bemerkenswerte Loyalität </w:t>
      </w:r>
      <w:r w:rsidRPr="006E39D1">
        <w:rPr>
          <w:rFonts w:eastAsia="Times New Roman" w:cs="Times New Roman"/>
          <w:b/>
          <w:bCs/>
          <w:rtl/>
          <w:lang w:eastAsia="de-DE"/>
        </w:rPr>
        <w:t>וְהָעָם֙ לֹ֣א נָסַ֔ע עַד־הֵאָסֵ֖ף מִרְיָֽם</w:t>
      </w:r>
      <w:r w:rsidRPr="006E39D1">
        <w:rPr>
          <w:rFonts w:eastAsia="Times New Roman" w:cs="Times New Roman"/>
          <w:rtl/>
          <w:lang w:eastAsia="de-DE"/>
        </w:rPr>
        <w:t xml:space="preserve"> </w:t>
      </w:r>
      <w:r w:rsidRPr="006E39D1">
        <w:rPr>
          <w:rFonts w:eastAsia="Times New Roman" w:cs="Times New Roman"/>
          <w:lang w:eastAsia="de-DE"/>
        </w:rPr>
        <w:t xml:space="preserve">(und das Volk brach nicht auf, bis Mirjam wieder aufgenommen wurde) mit </w:t>
      </w:r>
      <w:r w:rsidRPr="006E39D1">
        <w:rPr>
          <w:rFonts w:eastAsia="Times New Roman" w:cs="Times New Roman"/>
          <w:b/>
          <w:bCs/>
          <w:rtl/>
          <w:lang w:eastAsia="de-DE"/>
        </w:rPr>
        <w:t>לֹא נָסַע</w:t>
      </w:r>
      <w:r w:rsidRPr="006E39D1">
        <w:rPr>
          <w:rFonts w:eastAsia="Times New Roman" w:cs="Times New Roman"/>
          <w:rtl/>
          <w:lang w:eastAsia="de-DE"/>
        </w:rPr>
        <w:t xml:space="preserve"> </w:t>
      </w:r>
      <w:r w:rsidRPr="006E39D1">
        <w:rPr>
          <w:rFonts w:eastAsia="Times New Roman" w:cs="Times New Roman"/>
          <w:lang w:eastAsia="de-DE"/>
        </w:rPr>
        <w:t xml:space="preserve">(brach nicht auf) von </w:t>
      </w:r>
      <w:r w:rsidRPr="006E39D1">
        <w:rPr>
          <w:rFonts w:eastAsia="Times New Roman" w:cs="Times New Roman"/>
          <w:b/>
          <w:bCs/>
          <w:rtl/>
          <w:lang w:eastAsia="de-DE"/>
        </w:rPr>
        <w:t>נסע</w:t>
      </w:r>
      <w:r w:rsidRPr="006E39D1">
        <w:rPr>
          <w:rFonts w:eastAsia="Times New Roman" w:cs="Times New Roman"/>
          <w:rtl/>
          <w:lang w:eastAsia="de-DE"/>
        </w:rPr>
        <w:t xml:space="preserve"> </w:t>
      </w:r>
      <w:r w:rsidRPr="006E39D1">
        <w:rPr>
          <w:rFonts w:eastAsia="Times New Roman" w:cs="Times New Roman"/>
          <w:lang w:eastAsia="de-DE"/>
        </w:rPr>
        <w:t xml:space="preserve">(aufbrechen), </w:t>
      </w:r>
      <w:r w:rsidRPr="006E39D1">
        <w:rPr>
          <w:rFonts w:eastAsia="Times New Roman" w:cs="Times New Roman"/>
          <w:b/>
          <w:bCs/>
          <w:rtl/>
          <w:lang w:eastAsia="de-DE"/>
        </w:rPr>
        <w:t>עַד</w:t>
      </w:r>
      <w:r w:rsidRPr="006E39D1">
        <w:rPr>
          <w:rFonts w:eastAsia="Times New Roman" w:cs="Times New Roman"/>
          <w:rtl/>
          <w:lang w:eastAsia="de-DE"/>
        </w:rPr>
        <w:t xml:space="preserve"> </w:t>
      </w:r>
      <w:r w:rsidRPr="006E39D1">
        <w:rPr>
          <w:rFonts w:eastAsia="Times New Roman" w:cs="Times New Roman"/>
          <w:lang w:eastAsia="de-DE"/>
        </w:rPr>
        <w:t xml:space="preserve">(bis) und </w:t>
      </w:r>
      <w:r w:rsidRPr="006E39D1">
        <w:rPr>
          <w:rFonts w:eastAsia="Times New Roman" w:cs="Times New Roman"/>
          <w:b/>
          <w:bCs/>
          <w:rtl/>
          <w:lang w:eastAsia="de-DE"/>
        </w:rPr>
        <w:t>הֵאָסֵף מִרְיָם</w:t>
      </w:r>
      <w:r w:rsidRPr="006E39D1">
        <w:rPr>
          <w:rFonts w:eastAsia="Times New Roman" w:cs="Times New Roman"/>
          <w:rtl/>
          <w:lang w:eastAsia="de-DE"/>
        </w:rPr>
        <w:t xml:space="preserve"> </w:t>
      </w:r>
      <w:r w:rsidRPr="006E39D1">
        <w:rPr>
          <w:rFonts w:eastAsia="Times New Roman" w:cs="Times New Roman"/>
          <w:lang w:eastAsia="de-DE"/>
        </w:rPr>
        <w:t xml:space="preserve">(Mirjam aufgenommen wurde) von </w:t>
      </w:r>
      <w:r w:rsidRPr="006E39D1">
        <w:rPr>
          <w:rFonts w:eastAsia="Times New Roman" w:cs="Times New Roman"/>
          <w:b/>
          <w:bCs/>
          <w:rtl/>
          <w:lang w:eastAsia="de-DE"/>
        </w:rPr>
        <w:t>אסף</w:t>
      </w:r>
      <w:r w:rsidRPr="006E39D1">
        <w:rPr>
          <w:rFonts w:eastAsia="Times New Roman" w:cs="Times New Roman"/>
          <w:rtl/>
          <w:lang w:eastAsia="de-DE"/>
        </w:rPr>
        <w:t xml:space="preserve"> </w:t>
      </w:r>
      <w:r w:rsidRPr="006E39D1">
        <w:rPr>
          <w:rFonts w:eastAsia="Times New Roman" w:cs="Times New Roman"/>
          <w:lang w:eastAsia="de-DE"/>
        </w:rPr>
        <w:t>(sammeln/aufnehmen) im Niph'al-Infinitiv-</w:t>
      </w:r>
      <w:r w:rsidR="00F133EC">
        <w:rPr>
          <w:rFonts w:eastAsia="Times New Roman" w:cs="Times New Roman"/>
          <w:lang w:eastAsia="de-DE"/>
        </w:rPr>
        <w:t>Construct</w:t>
      </w:r>
      <w:r w:rsidRPr="006E39D1">
        <w:rPr>
          <w:rFonts w:eastAsia="Times New Roman" w:cs="Times New Roman"/>
          <w:lang w:eastAsia="de-DE"/>
        </w:rPr>
        <w:t xml:space="preserve"> zeigt die Achtung des Volkes vor Mirjam trotz ihrer Bestrafung.</w:t>
      </w:r>
    </w:p>
    <w:p w14:paraId="45433017" w14:textId="3D0C5F64"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7CF8">
        <w:t>ändert den Schluss: Das hebräische „</w:t>
      </w:r>
      <w:r w:rsidR="00497CF8">
        <w:rPr>
          <w:rtl/>
        </w:rPr>
        <w:t>עַד־הֵאָסֵף מִרְיָם</w:t>
      </w:r>
      <w:r w:rsidR="00497CF8">
        <w:t>" (bis Mirjam wieder aufgenommen wurde) wird zu „ἕως ἐκαθαρίσθη Μαριάμ" (bis Mirjam gereinigt/geheilt wurde), was den Fokus von der Wiederaufnahme auf die kultische Reinigung verschiebt.</w:t>
      </w:r>
    </w:p>
    <w:p w14:paraId="3D98C49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Strafvollzug und kollektive Loyalitätsbezeugung.</w:t>
      </w:r>
    </w:p>
    <w:p w14:paraId="28BA8D5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zeigt sowohl die Durchführung des göttlichen Gerichts als auch die anhaltende Wertschätzung Mirjams durch das Volk.</w:t>
      </w:r>
    </w:p>
    <w:p w14:paraId="17CD8DE4"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12,16</w:t>
      </w:r>
    </w:p>
    <w:p w14:paraId="43C90F4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וְאַחַ֛ר נָסְע֥וּ הָעָ֖ם מֵחֲצֵר֑וֹת וַֽיַּחֲנ֖וּ בְּמִדְבַּ֥ר פָּארָֽן׃</w:t>
      </w:r>
    </w:p>
    <w:p w14:paraId="135C4AD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Danach aber brach das Volk von Chazerot auf, und sie lagerten in der Wüste Paran.</w:t>
      </w:r>
    </w:p>
    <w:p w14:paraId="56B02CD0"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0E7F0970">
          <v:rect id="_x0000_i1430" style="width:0;height:1.5pt" o:hralign="center" o:hrstd="t" o:hr="t" fillcolor="#a0a0a0" stroked="f"/>
        </w:pict>
      </w:r>
    </w:p>
    <w:p w14:paraId="3FB41A6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temporale Bestimmung </w:t>
      </w:r>
      <w:r w:rsidRPr="006E39D1">
        <w:rPr>
          <w:rFonts w:eastAsia="Times New Roman" w:cs="Times New Roman"/>
          <w:b/>
          <w:bCs/>
          <w:rtl/>
          <w:lang w:eastAsia="de-DE"/>
        </w:rPr>
        <w:t>וְאַחַ֛ר</w:t>
      </w:r>
      <w:r w:rsidRPr="006E39D1">
        <w:rPr>
          <w:rFonts w:eastAsia="Times New Roman" w:cs="Times New Roman"/>
          <w:rtl/>
          <w:lang w:eastAsia="de-DE"/>
        </w:rPr>
        <w:t xml:space="preserve"> </w:t>
      </w:r>
      <w:r w:rsidRPr="006E39D1">
        <w:rPr>
          <w:rFonts w:eastAsia="Times New Roman" w:cs="Times New Roman"/>
          <w:lang w:eastAsia="de-DE"/>
        </w:rPr>
        <w:t xml:space="preserve">(und danach) zeigt die Fortsetzung der Wanderung nach Mirjams Wiederherstellung. Das Verb </w:t>
      </w:r>
      <w:r w:rsidRPr="006E39D1">
        <w:rPr>
          <w:rFonts w:eastAsia="Times New Roman" w:cs="Times New Roman"/>
          <w:b/>
          <w:bCs/>
          <w:rtl/>
          <w:lang w:eastAsia="de-DE"/>
        </w:rPr>
        <w:t>נָסְע֥וּ הָעָ֖ם מֵחֲצֵר֑וֹת</w:t>
      </w:r>
      <w:r w:rsidRPr="006E39D1">
        <w:rPr>
          <w:rFonts w:eastAsia="Times New Roman" w:cs="Times New Roman"/>
          <w:rtl/>
          <w:lang w:eastAsia="de-DE"/>
        </w:rPr>
        <w:t xml:space="preserve"> </w:t>
      </w:r>
      <w:r w:rsidRPr="006E39D1">
        <w:rPr>
          <w:rFonts w:eastAsia="Times New Roman" w:cs="Times New Roman"/>
          <w:lang w:eastAsia="de-DE"/>
        </w:rPr>
        <w:t xml:space="preserve">(das Volk brach auf von Chazerot) mit </w:t>
      </w:r>
      <w:r w:rsidRPr="006E39D1">
        <w:rPr>
          <w:rFonts w:eastAsia="Times New Roman" w:cs="Times New Roman"/>
          <w:b/>
          <w:bCs/>
          <w:rtl/>
          <w:lang w:eastAsia="de-DE"/>
        </w:rPr>
        <w:t>נָסְעוּ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נסע</w:t>
      </w:r>
      <w:r w:rsidRPr="006E39D1">
        <w:rPr>
          <w:rFonts w:eastAsia="Times New Roman" w:cs="Times New Roman"/>
          <w:rtl/>
          <w:lang w:eastAsia="de-DE"/>
        </w:rPr>
        <w:t xml:space="preserve"> </w:t>
      </w:r>
      <w:r w:rsidRPr="006E39D1">
        <w:rPr>
          <w:rFonts w:eastAsia="Times New Roman" w:cs="Times New Roman"/>
          <w:lang w:eastAsia="de-DE"/>
        </w:rPr>
        <w:t xml:space="preserve">(aufbrechen) und </w:t>
      </w:r>
      <w:r w:rsidRPr="006E39D1">
        <w:rPr>
          <w:rFonts w:eastAsia="Times New Roman" w:cs="Times New Roman"/>
          <w:b/>
          <w:bCs/>
          <w:rtl/>
          <w:lang w:eastAsia="de-DE"/>
        </w:rPr>
        <w:t>מֵחֲצֵרוֹת</w:t>
      </w:r>
      <w:r w:rsidRPr="006E39D1">
        <w:rPr>
          <w:rFonts w:eastAsia="Times New Roman" w:cs="Times New Roman"/>
          <w:rtl/>
          <w:lang w:eastAsia="de-DE"/>
        </w:rPr>
        <w:t xml:space="preserve"> </w:t>
      </w:r>
      <w:r w:rsidRPr="006E39D1">
        <w:rPr>
          <w:rFonts w:eastAsia="Times New Roman" w:cs="Times New Roman"/>
          <w:lang w:eastAsia="de-DE"/>
        </w:rPr>
        <w:t>(von Chazerot) zeigt die Fortsetzung der Wüstenwanderung.</w:t>
      </w:r>
    </w:p>
    <w:p w14:paraId="7B66B2E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Das Ziel </w:t>
      </w:r>
      <w:r w:rsidRPr="006E39D1">
        <w:rPr>
          <w:rFonts w:eastAsia="Times New Roman" w:cs="Times New Roman"/>
          <w:b/>
          <w:bCs/>
          <w:rtl/>
          <w:lang w:eastAsia="de-DE"/>
        </w:rPr>
        <w:t>וַֽיַּחֲנ֖וּ בְּמִדְבַּ֥ר פָּארָֽן</w:t>
      </w:r>
      <w:r w:rsidRPr="006E39D1">
        <w:rPr>
          <w:rFonts w:eastAsia="Times New Roman" w:cs="Times New Roman"/>
          <w:rtl/>
          <w:lang w:eastAsia="de-DE"/>
        </w:rPr>
        <w:t xml:space="preserve"> </w:t>
      </w:r>
      <w:r w:rsidRPr="006E39D1">
        <w:rPr>
          <w:rFonts w:eastAsia="Times New Roman" w:cs="Times New Roman"/>
          <w:lang w:eastAsia="de-DE"/>
        </w:rPr>
        <w:t xml:space="preserve">(und sie lagerten in der Wüste Paran) mit </w:t>
      </w:r>
      <w:r w:rsidRPr="006E39D1">
        <w:rPr>
          <w:rFonts w:eastAsia="Times New Roman" w:cs="Times New Roman"/>
          <w:b/>
          <w:bCs/>
          <w:rtl/>
          <w:lang w:eastAsia="de-DE"/>
        </w:rPr>
        <w:t>יַּחֲנוּ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חנה</w:t>
      </w:r>
      <w:r w:rsidRPr="006E39D1">
        <w:rPr>
          <w:rFonts w:eastAsia="Times New Roman" w:cs="Times New Roman"/>
          <w:rtl/>
          <w:lang w:eastAsia="de-DE"/>
        </w:rPr>
        <w:t xml:space="preserve"> </w:t>
      </w:r>
      <w:r w:rsidRPr="006E39D1">
        <w:rPr>
          <w:rFonts w:eastAsia="Times New Roman" w:cs="Times New Roman"/>
          <w:lang w:eastAsia="de-DE"/>
        </w:rPr>
        <w:t xml:space="preserve">(lagern) und </w:t>
      </w:r>
      <w:r w:rsidRPr="006E39D1">
        <w:rPr>
          <w:rFonts w:eastAsia="Times New Roman" w:cs="Times New Roman"/>
          <w:b/>
          <w:bCs/>
          <w:rtl/>
          <w:lang w:eastAsia="de-DE"/>
        </w:rPr>
        <w:t>בְּמִדְבַּר פָּארָן</w:t>
      </w:r>
      <w:r w:rsidRPr="006E39D1">
        <w:rPr>
          <w:rFonts w:eastAsia="Times New Roman" w:cs="Times New Roman"/>
          <w:rtl/>
          <w:lang w:eastAsia="de-DE"/>
        </w:rPr>
        <w:t xml:space="preserve"> </w:t>
      </w:r>
      <w:r w:rsidRPr="006E39D1">
        <w:rPr>
          <w:rFonts w:eastAsia="Times New Roman" w:cs="Times New Roman"/>
          <w:lang w:eastAsia="de-DE"/>
        </w:rPr>
        <w:t>(in der Wüste Paran) bringt Israel zur nächsten bedeutsamen Station, wo die Kundschaftergeschichte (Numeri 13) stattfinden wird.</w:t>
      </w:r>
    </w:p>
    <w:p w14:paraId="2DE9D93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נָסְעוּ</w:t>
      </w:r>
      <w:r w:rsidRPr="006E39D1">
        <w:rPr>
          <w:rFonts w:eastAsia="Times New Roman" w:cs="Times New Roman"/>
          <w:rtl/>
          <w:lang w:eastAsia="de-DE"/>
        </w:rPr>
        <w:t xml:space="preserve"> </w:t>
      </w:r>
      <w:r w:rsidRPr="006E39D1">
        <w:rPr>
          <w:rFonts w:eastAsia="Times New Roman" w:cs="Times New Roman"/>
          <w:lang w:eastAsia="de-DE"/>
        </w:rPr>
        <w:t xml:space="preserve">mit ἀπῆραν (sie brachen auf) und </w:t>
      </w:r>
      <w:r w:rsidRPr="006E39D1">
        <w:rPr>
          <w:rFonts w:eastAsia="Times New Roman" w:cs="Times New Roman"/>
          <w:b/>
          <w:bCs/>
          <w:rtl/>
          <w:lang w:eastAsia="de-DE"/>
        </w:rPr>
        <w:t>יַּחֲנוּ</w:t>
      </w:r>
      <w:r w:rsidRPr="006E39D1">
        <w:rPr>
          <w:rFonts w:eastAsia="Times New Roman" w:cs="Times New Roman"/>
          <w:rtl/>
          <w:lang w:eastAsia="de-DE"/>
        </w:rPr>
        <w:t xml:space="preserve"> </w:t>
      </w:r>
      <w:r w:rsidRPr="006E39D1">
        <w:rPr>
          <w:rFonts w:eastAsia="Times New Roman" w:cs="Times New Roman"/>
          <w:lang w:eastAsia="de-DE"/>
        </w:rPr>
        <w:t>mit παρενέβαλον (sie lagerten).</w:t>
      </w:r>
    </w:p>
    <w:p w14:paraId="7F3F5E6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temporale Fortsetzung, Aufbruch und neue Lagerung als Übergang zur nächsten Episode.</w:t>
      </w:r>
    </w:p>
    <w:p w14:paraId="3D15C1E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Dieser abschließende Vers leitet von der Autoritätskrise zur nächsten großen Herausforderung in der Wüste Paran über, wo die Kundschaftermission beginnen wird.</w:t>
      </w:r>
    </w:p>
    <w:p w14:paraId="23A0006A" w14:textId="77777777" w:rsidR="006E39D1" w:rsidRDefault="006E39D1" w:rsidP="006E39D1">
      <w:pPr>
        <w:pStyle w:val="whitespace-normal"/>
      </w:pPr>
      <w:r>
        <w:t>Kapitel 12 behandelt die Autoritätskrise innerhalb von Moses Familie und etabliert seine einzigartige prophetische Position. Die Episode zeigt:</w:t>
      </w:r>
    </w:p>
    <w:p w14:paraId="4C3CB980" w14:textId="77777777" w:rsidR="006E39D1" w:rsidRDefault="006E39D1" w:rsidP="00C15C06">
      <w:pPr>
        <w:pStyle w:val="whitespace-normal"/>
        <w:numPr>
          <w:ilvl w:val="0"/>
          <w:numId w:val="3"/>
        </w:numPr>
      </w:pPr>
      <w:r>
        <w:rPr>
          <w:rStyle w:val="Fett"/>
        </w:rPr>
        <w:t>Familienkonflikt</w:t>
      </w:r>
      <w:r>
        <w:t xml:space="preserve"> (Verse 1-2): Mirjam und Aaron kritisieren Mose sowohl wegen seiner kuschitischen Frau als auch wegen seiner prophetischen Alleinstellung.</w:t>
      </w:r>
    </w:p>
    <w:p w14:paraId="50A538EB" w14:textId="77777777" w:rsidR="006E39D1" w:rsidRDefault="006E39D1" w:rsidP="00C15C06">
      <w:pPr>
        <w:pStyle w:val="whitespace-normal"/>
        <w:numPr>
          <w:ilvl w:val="0"/>
          <w:numId w:val="3"/>
        </w:numPr>
      </w:pPr>
      <w:r>
        <w:rPr>
          <w:rStyle w:val="Fett"/>
        </w:rPr>
        <w:t>Göttliche Intervention</w:t>
      </w:r>
      <w:r>
        <w:t xml:space="preserve"> (Verse 4-9): Gott ruft alle drei vor das Zelt der Begegnung und erklärt Moses einzigartige Position durch direkte Kommunikation ("Mund zu Mund") im Gegensatz zu Visionen und Träumen anderer Propheten.</w:t>
      </w:r>
    </w:p>
    <w:p w14:paraId="6D856BE8" w14:textId="77777777" w:rsidR="006E39D1" w:rsidRDefault="006E39D1" w:rsidP="00C15C06">
      <w:pPr>
        <w:pStyle w:val="whitespace-normal"/>
        <w:numPr>
          <w:ilvl w:val="0"/>
          <w:numId w:val="3"/>
        </w:numPr>
      </w:pPr>
      <w:r>
        <w:rPr>
          <w:rStyle w:val="Fett"/>
        </w:rPr>
        <w:t>Gericht und Gnade</w:t>
      </w:r>
      <w:r>
        <w:t xml:space="preserve"> (Verse 10-16): Mirjam wird mit Aussatz bestraft, aber durch Moses Fürbitte nach sieben Tagen geheilt und wieder in die Gemeinschaft aufgenommen.</w:t>
      </w:r>
    </w:p>
    <w:p w14:paraId="328989A2" w14:textId="77777777" w:rsidR="006E39D1" w:rsidRDefault="006E39D1" w:rsidP="006E39D1">
      <w:pPr>
        <w:pStyle w:val="whitespace-normal"/>
      </w:pPr>
      <w:r>
        <w:t>Das Kapitel unterstreicht Moses demütige Führung, Gottes Schutz seiner erwählten Führer und die Balance zwischen göttlicher Gerechtigkeit und Barmherzigkeit. Es bereitet thematisch auf die kommenden Herausforderungen der israelitischen Führung vor.</w:t>
      </w:r>
    </w:p>
    <w:p w14:paraId="254CBDC6"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13,1</w:t>
      </w:r>
    </w:p>
    <w:p w14:paraId="0C1929E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וַיְדַבֵּ֥ר יְהוָ֖ה אֶל־מֹשֶׁ֥ה לֵּאמֹֽר׃</w:t>
      </w:r>
    </w:p>
    <w:p w14:paraId="3C6935A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der Ewige redete zu Mosche, sagend:</w:t>
      </w:r>
    </w:p>
    <w:p w14:paraId="2B3BD3A8"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313EE047">
          <v:rect id="_x0000_i1431" style="width:0;height:1.5pt" o:hralign="center" o:hrstd="t" o:hr="t" fillcolor="#a0a0a0" stroked="f"/>
        </w:pict>
      </w:r>
    </w:p>
    <w:p w14:paraId="3133B04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וַיְדַבֵּר</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דבר</w:t>
      </w:r>
      <w:r w:rsidRPr="006E39D1">
        <w:rPr>
          <w:rFonts w:eastAsia="Times New Roman" w:cs="Times New Roman"/>
          <w:rtl/>
          <w:lang w:eastAsia="de-DE"/>
        </w:rPr>
        <w:t xml:space="preserve"> </w:t>
      </w:r>
      <w:r w:rsidRPr="006E39D1">
        <w:rPr>
          <w:rFonts w:eastAsia="Times New Roman" w:cs="Times New Roman"/>
          <w:lang w:eastAsia="de-DE"/>
        </w:rPr>
        <w:t xml:space="preserve">(reden/sprechen) im Qal-Imperfekt 3. maskulin Singular mit Waw consecutivum leitet eine neue göttliche Anweisung ein, die zu einer der verhängnisvollsten Episoden in Israels Wüstenzeit führen wird. Das Subjekt </w:t>
      </w:r>
      <w:r w:rsidRPr="006E39D1">
        <w:rPr>
          <w:rFonts w:eastAsia="Times New Roman" w:cs="Times New Roman"/>
          <w:b/>
          <w:bCs/>
          <w:rtl/>
          <w:lang w:eastAsia="de-DE"/>
        </w:rPr>
        <w:t>יְהוָ֖ה</w:t>
      </w:r>
      <w:r w:rsidRPr="006E39D1">
        <w:rPr>
          <w:rFonts w:eastAsia="Times New Roman" w:cs="Times New Roman"/>
          <w:rtl/>
          <w:lang w:eastAsia="de-DE"/>
        </w:rPr>
        <w:t xml:space="preserve"> </w:t>
      </w:r>
      <w:r w:rsidRPr="006E39D1">
        <w:rPr>
          <w:rFonts w:eastAsia="Times New Roman" w:cs="Times New Roman"/>
          <w:lang w:eastAsia="de-DE"/>
        </w:rPr>
        <w:t xml:space="preserve">mit der präpositionalen Phrase </w:t>
      </w:r>
      <w:r w:rsidRPr="006E39D1">
        <w:rPr>
          <w:rFonts w:eastAsia="Times New Roman" w:cs="Times New Roman"/>
          <w:b/>
          <w:bCs/>
          <w:rtl/>
          <w:lang w:eastAsia="de-DE"/>
        </w:rPr>
        <w:t>אֶל־מֹשֶׁ֥ה</w:t>
      </w:r>
      <w:r w:rsidRPr="006E39D1">
        <w:rPr>
          <w:rFonts w:eastAsia="Times New Roman" w:cs="Times New Roman"/>
          <w:rtl/>
          <w:lang w:eastAsia="de-DE"/>
        </w:rPr>
        <w:t xml:space="preserve"> </w:t>
      </w:r>
      <w:r w:rsidRPr="006E39D1">
        <w:rPr>
          <w:rFonts w:eastAsia="Times New Roman" w:cs="Times New Roman"/>
          <w:lang w:eastAsia="de-DE"/>
        </w:rPr>
        <w:t>zeigt die direkte göttliche Kommunikation an Moses.</w:t>
      </w:r>
    </w:p>
    <w:p w14:paraId="26FE118C" w14:textId="4008E0D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Das abschließende </w:t>
      </w:r>
      <w:r w:rsidRPr="006E39D1">
        <w:rPr>
          <w:rFonts w:eastAsia="Times New Roman" w:cs="Times New Roman"/>
          <w:b/>
          <w:bCs/>
          <w:rtl/>
          <w:lang w:eastAsia="de-DE"/>
        </w:rPr>
        <w:t>לֵּאמֹֽר</w:t>
      </w:r>
      <w:r w:rsidRPr="006E39D1">
        <w:rPr>
          <w:rFonts w:eastAsia="Times New Roman" w:cs="Times New Roman"/>
          <w:rtl/>
          <w:lang w:eastAsia="de-DE"/>
        </w:rPr>
        <w:t xml:space="preserve"> </w:t>
      </w:r>
      <w:r w:rsidRPr="006E39D1">
        <w:rPr>
          <w:rFonts w:eastAsia="Times New Roman" w:cs="Times New Roman"/>
          <w:lang w:eastAsia="de-DE"/>
        </w:rPr>
        <w:t>als Infinitiv-</w:t>
      </w:r>
      <w:r w:rsidR="00F133EC">
        <w:rPr>
          <w:rFonts w:eastAsia="Times New Roman" w:cs="Times New Roman"/>
          <w:lang w:eastAsia="de-DE"/>
        </w:rPr>
        <w:t>Construct</w:t>
      </w:r>
      <w:r w:rsidRPr="006E39D1">
        <w:rPr>
          <w:rFonts w:eastAsia="Times New Roman" w:cs="Times New Roman"/>
          <w:lang w:eastAsia="de-DE"/>
        </w:rPr>
        <w:t xml:space="preserve"> von </w:t>
      </w:r>
      <w:r w:rsidRPr="006E39D1">
        <w:rPr>
          <w:rFonts w:eastAsia="Times New Roman" w:cs="Times New Roman"/>
          <w:b/>
          <w:bCs/>
          <w:rtl/>
          <w:lang w:eastAsia="de-DE"/>
        </w:rPr>
        <w:t>אמר</w:t>
      </w:r>
      <w:r w:rsidRPr="006E39D1">
        <w:rPr>
          <w:rFonts w:eastAsia="Times New Roman" w:cs="Times New Roman"/>
          <w:rtl/>
          <w:lang w:eastAsia="de-DE"/>
        </w:rPr>
        <w:t xml:space="preserve"> </w:t>
      </w:r>
      <w:r w:rsidRPr="006E39D1">
        <w:rPr>
          <w:rFonts w:eastAsia="Times New Roman" w:cs="Times New Roman"/>
          <w:lang w:eastAsia="de-DE"/>
        </w:rPr>
        <w:t>(sagen) fungiert als charakteristische Redeeinleitung für die kommenden Anweisungen zur Landkundschaftung.</w:t>
      </w:r>
    </w:p>
    <w:p w14:paraId="7BF3F076" w14:textId="289D4CE6"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3057">
        <w:rPr>
          <w:rStyle w:val="Fett"/>
        </w:rPr>
        <w:t>Vers 1 (LXX) / Vers 2 (MT):</w:t>
      </w:r>
      <w:r w:rsidR="00493057">
        <w:t xml:space="preserve"> </w:t>
      </w:r>
      <w:r w:rsidR="00493057">
        <w:rPr>
          <w:rStyle w:val="Fett"/>
        </w:rPr>
        <w:t>Die LXX</w:t>
      </w:r>
      <w:r w:rsidR="00493057">
        <w:t xml:space="preserve"> fügt vor dem eigentlichen Beginn der Kundschaftergeschichte einen zusätzlichen Vers ein, der die Reise von Hazeroth zur Wüste Paran beschreibt („Καὶ μετὰ ταῦτα ἐξῆρεν ὁ λαὸς ἐξ Ἁσηρώθ"). Dies führt zu einer Verschiebung der Versnummerierung um eins in der gesamten LXX gegenüber dem MT.</w:t>
      </w:r>
    </w:p>
    <w:p w14:paraId="585CDF7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die charakteristische Offenbarungsformel für göttliche Anweisungen.</w:t>
      </w:r>
    </w:p>
    <w:p w14:paraId="7DF4E69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leitet Kapitel 13 ein, das die tragische Kundschaftergeschichte erzählt, die Israels Eingang ins verheißene Land um 40 Jahre verzögert.</w:t>
      </w:r>
    </w:p>
    <w:p w14:paraId="373E0D76"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13,2</w:t>
      </w:r>
    </w:p>
    <w:p w14:paraId="6297381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Hebräisch:</w:t>
      </w:r>
      <w:r w:rsidRPr="006E39D1">
        <w:rPr>
          <w:rFonts w:eastAsia="Times New Roman" w:cs="Times New Roman"/>
          <w:lang w:eastAsia="de-DE"/>
        </w:rPr>
        <w:t xml:space="preserve"> </w:t>
      </w:r>
      <w:r w:rsidRPr="006E39D1">
        <w:rPr>
          <w:rFonts w:eastAsia="Times New Roman" w:cs="Times New Roman"/>
          <w:rtl/>
          <w:lang w:eastAsia="de-DE"/>
        </w:rPr>
        <w:t>שְׁלַח־לְךָ֣ אֲנָשִׁ֗ים וְיָתֻ֨רוּ֙ אֶת־אֶ֣רֶץ כְּנַ֔עַן אֲשֶׁר־אֲנִ֥י נֹתֵ֖ן לִבְנֵ֣י יִשְׂרָאֵ֑ל אִ֣ישׁ אֶחָד֩ אִ֨ישׁ אֶחָ֜ד לְמַטֵּ֤ה אֲבֹתָיו֙ תִּשְׁלָ֔חוּ כֹּ֖ל נָשִׂ֥יא בָהֶֽם׃</w:t>
      </w:r>
    </w:p>
    <w:p w14:paraId="5E509EF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Sende dir Männer aus, dass sie das Land Kena'an auskundschaften, das ich den Söhnen Jisra'el gebe; je einen Mann für den Stamm seiner Väter sollt ihr aussenden, jeder ein Fürst unter ihnen.</w:t>
      </w:r>
    </w:p>
    <w:p w14:paraId="55EFD2FB"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542EDFCE">
          <v:rect id="_x0000_i1432" style="width:0;height:1.5pt" o:hralign="center" o:hrstd="t" o:hr="t" fillcolor="#a0a0a0" stroked="f"/>
        </w:pict>
      </w:r>
    </w:p>
    <w:p w14:paraId="6C7DD22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Der Imperativ </w:t>
      </w:r>
      <w:r w:rsidRPr="006E39D1">
        <w:rPr>
          <w:rFonts w:eastAsia="Times New Roman" w:cs="Times New Roman"/>
          <w:b/>
          <w:bCs/>
          <w:rtl/>
          <w:lang w:eastAsia="de-DE"/>
        </w:rPr>
        <w:t>שְׁלַח־לְךָ֣ אֲנָשִׁ֗ים</w:t>
      </w:r>
      <w:r w:rsidRPr="006E39D1">
        <w:rPr>
          <w:rFonts w:eastAsia="Times New Roman" w:cs="Times New Roman"/>
          <w:rtl/>
          <w:lang w:eastAsia="de-DE"/>
        </w:rPr>
        <w:t xml:space="preserve"> </w:t>
      </w:r>
      <w:r w:rsidRPr="006E39D1">
        <w:rPr>
          <w:rFonts w:eastAsia="Times New Roman" w:cs="Times New Roman"/>
          <w:lang w:eastAsia="de-DE"/>
        </w:rPr>
        <w:t xml:space="preserve">(sende dir Männer) mit </w:t>
      </w:r>
      <w:r w:rsidRPr="006E39D1">
        <w:rPr>
          <w:rFonts w:eastAsia="Times New Roman" w:cs="Times New Roman"/>
          <w:b/>
          <w:bCs/>
          <w:rtl/>
          <w:lang w:eastAsia="de-DE"/>
        </w:rPr>
        <w:t>שְׁלַח</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שלח</w:t>
      </w:r>
      <w:r w:rsidRPr="006E39D1">
        <w:rPr>
          <w:rFonts w:eastAsia="Times New Roman" w:cs="Times New Roman"/>
          <w:rtl/>
          <w:lang w:eastAsia="de-DE"/>
        </w:rPr>
        <w:t xml:space="preserve"> </w:t>
      </w:r>
      <w:r w:rsidRPr="006E39D1">
        <w:rPr>
          <w:rFonts w:eastAsia="Times New Roman" w:cs="Times New Roman"/>
          <w:lang w:eastAsia="de-DE"/>
        </w:rPr>
        <w:t xml:space="preserve">(senden) im Qal-Imperativ maskulin Singular und </w:t>
      </w:r>
      <w:r w:rsidRPr="006E39D1">
        <w:rPr>
          <w:rFonts w:eastAsia="Times New Roman" w:cs="Times New Roman"/>
          <w:b/>
          <w:bCs/>
          <w:rtl/>
          <w:lang w:eastAsia="de-DE"/>
        </w:rPr>
        <w:t>לְךָ</w:t>
      </w:r>
      <w:r w:rsidRPr="006E39D1">
        <w:rPr>
          <w:rFonts w:eastAsia="Times New Roman" w:cs="Times New Roman"/>
          <w:rtl/>
          <w:lang w:eastAsia="de-DE"/>
        </w:rPr>
        <w:t xml:space="preserve"> </w:t>
      </w:r>
      <w:r w:rsidRPr="006E39D1">
        <w:rPr>
          <w:rFonts w:eastAsia="Times New Roman" w:cs="Times New Roman"/>
          <w:lang w:eastAsia="de-DE"/>
        </w:rPr>
        <w:t xml:space="preserve">(für dich) als ethischem Dativ zeigt Moses Verantwortung für die Auswahl. Die Zweckbestimmung </w:t>
      </w:r>
      <w:r w:rsidRPr="006E39D1">
        <w:rPr>
          <w:rFonts w:eastAsia="Times New Roman" w:cs="Times New Roman"/>
          <w:b/>
          <w:bCs/>
          <w:rtl/>
          <w:lang w:eastAsia="de-DE"/>
        </w:rPr>
        <w:t>וְיָתֻרוּ֙ אֶת־אֶ֣רֶץ כְּנַ֔עַן</w:t>
      </w:r>
      <w:r w:rsidRPr="006E39D1">
        <w:rPr>
          <w:rFonts w:eastAsia="Times New Roman" w:cs="Times New Roman"/>
          <w:rtl/>
          <w:lang w:eastAsia="de-DE"/>
        </w:rPr>
        <w:t xml:space="preserve"> </w:t>
      </w:r>
      <w:r w:rsidRPr="006E39D1">
        <w:rPr>
          <w:rFonts w:eastAsia="Times New Roman" w:cs="Times New Roman"/>
          <w:lang w:eastAsia="de-DE"/>
        </w:rPr>
        <w:t xml:space="preserve">(und sie sollen das Land Kanaan auskundschaften) mit </w:t>
      </w:r>
      <w:r w:rsidRPr="006E39D1">
        <w:rPr>
          <w:rFonts w:eastAsia="Times New Roman" w:cs="Times New Roman"/>
          <w:b/>
          <w:bCs/>
          <w:rtl/>
          <w:lang w:eastAsia="de-DE"/>
        </w:rPr>
        <w:t>יָתֻרוּ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תור</w:t>
      </w:r>
      <w:r w:rsidRPr="006E39D1">
        <w:rPr>
          <w:rFonts w:eastAsia="Times New Roman" w:cs="Times New Roman"/>
          <w:rtl/>
          <w:lang w:eastAsia="de-DE"/>
        </w:rPr>
        <w:t xml:space="preserve"> </w:t>
      </w:r>
      <w:r w:rsidRPr="006E39D1">
        <w:rPr>
          <w:rFonts w:eastAsia="Times New Roman" w:cs="Times New Roman"/>
          <w:lang w:eastAsia="de-DE"/>
        </w:rPr>
        <w:t>(erkunden/auskundschaften) im Qal-Imperfekt 3. maskulin Plural zeigt die Mission.</w:t>
      </w:r>
    </w:p>
    <w:p w14:paraId="31F5173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Verheißungsformel </w:t>
      </w:r>
      <w:r w:rsidRPr="006E39D1">
        <w:rPr>
          <w:rFonts w:eastAsia="Times New Roman" w:cs="Times New Roman"/>
          <w:b/>
          <w:bCs/>
          <w:rtl/>
          <w:lang w:eastAsia="de-DE"/>
        </w:rPr>
        <w:t>אֲשֶׁר־אֲנִ֥י נֹתֵ֖ן לִבְנֵ֣י יִשְׂרָאֵ֑ל</w:t>
      </w:r>
      <w:r w:rsidRPr="006E39D1">
        <w:rPr>
          <w:rFonts w:eastAsia="Times New Roman" w:cs="Times New Roman"/>
          <w:rtl/>
          <w:lang w:eastAsia="de-DE"/>
        </w:rPr>
        <w:t xml:space="preserve"> </w:t>
      </w:r>
      <w:r w:rsidRPr="006E39D1">
        <w:rPr>
          <w:rFonts w:eastAsia="Times New Roman" w:cs="Times New Roman"/>
          <w:lang w:eastAsia="de-DE"/>
        </w:rPr>
        <w:t xml:space="preserve">(das ich den Söhnen Israels gebe) mit </w:t>
      </w:r>
      <w:r w:rsidRPr="006E39D1">
        <w:rPr>
          <w:rFonts w:eastAsia="Times New Roman" w:cs="Times New Roman"/>
          <w:b/>
          <w:bCs/>
          <w:rtl/>
          <w:lang w:eastAsia="de-DE"/>
        </w:rPr>
        <w:t>נֹתֵן</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נתן</w:t>
      </w:r>
      <w:r w:rsidRPr="006E39D1">
        <w:rPr>
          <w:rFonts w:eastAsia="Times New Roman" w:cs="Times New Roman"/>
          <w:rtl/>
          <w:lang w:eastAsia="de-DE"/>
        </w:rPr>
        <w:t xml:space="preserve"> </w:t>
      </w:r>
      <w:r w:rsidRPr="006E39D1">
        <w:rPr>
          <w:rFonts w:eastAsia="Times New Roman" w:cs="Times New Roman"/>
          <w:lang w:eastAsia="de-DE"/>
        </w:rPr>
        <w:t>(geben) im Qal-Partizip betont die göttliche Schenkung des Landes als gegenwärtige Realität.</w:t>
      </w:r>
    </w:p>
    <w:p w14:paraId="228941A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Anweisung </w:t>
      </w:r>
      <w:r w:rsidRPr="006E39D1">
        <w:rPr>
          <w:rFonts w:eastAsia="Times New Roman" w:cs="Times New Roman"/>
          <w:b/>
          <w:bCs/>
          <w:rtl/>
          <w:lang w:eastAsia="de-DE"/>
        </w:rPr>
        <w:t>אִ֣ישׁ אֶחָד֩ אִ֨ישׁ אֶחָ֜ד לְמַטֵּ֤ה אֲבֹתָיו֙ תִּשְׁלָ֔חוּ</w:t>
      </w:r>
      <w:r w:rsidRPr="006E39D1">
        <w:rPr>
          <w:rFonts w:eastAsia="Times New Roman" w:cs="Times New Roman"/>
          <w:rtl/>
          <w:lang w:eastAsia="de-DE"/>
        </w:rPr>
        <w:t xml:space="preserve"> </w:t>
      </w:r>
      <w:r w:rsidRPr="006E39D1">
        <w:rPr>
          <w:rFonts w:eastAsia="Times New Roman" w:cs="Times New Roman"/>
          <w:lang w:eastAsia="de-DE"/>
        </w:rPr>
        <w:t xml:space="preserve">(einen Mann, einen Mann für den Stamm seiner Väter sollt ihr senden) mit der Reduplikation </w:t>
      </w:r>
      <w:r w:rsidRPr="006E39D1">
        <w:rPr>
          <w:rFonts w:eastAsia="Times New Roman" w:cs="Times New Roman"/>
          <w:b/>
          <w:bCs/>
          <w:rtl/>
          <w:lang w:eastAsia="de-DE"/>
        </w:rPr>
        <w:t>אִישׁ אֶחָד אִישׁ אֶחָד</w:t>
      </w:r>
      <w:r w:rsidRPr="006E39D1">
        <w:rPr>
          <w:rFonts w:eastAsia="Times New Roman" w:cs="Times New Roman"/>
          <w:rtl/>
          <w:lang w:eastAsia="de-DE"/>
        </w:rPr>
        <w:t xml:space="preserve"> </w:t>
      </w:r>
      <w:r w:rsidRPr="006E39D1">
        <w:rPr>
          <w:rFonts w:eastAsia="Times New Roman" w:cs="Times New Roman"/>
          <w:lang w:eastAsia="de-DE"/>
        </w:rPr>
        <w:t xml:space="preserve">(einen Mann, einen Mann) betont "je einen" und </w:t>
      </w:r>
      <w:r w:rsidRPr="006E39D1">
        <w:rPr>
          <w:rFonts w:eastAsia="Times New Roman" w:cs="Times New Roman"/>
          <w:b/>
          <w:bCs/>
          <w:rtl/>
          <w:lang w:eastAsia="de-DE"/>
        </w:rPr>
        <w:t>לְמַטֵּה אֲבֹתָיו</w:t>
      </w:r>
      <w:r w:rsidRPr="006E39D1">
        <w:rPr>
          <w:rFonts w:eastAsia="Times New Roman" w:cs="Times New Roman"/>
          <w:rtl/>
          <w:lang w:eastAsia="de-DE"/>
        </w:rPr>
        <w:t xml:space="preserve"> </w:t>
      </w:r>
      <w:r w:rsidRPr="006E39D1">
        <w:rPr>
          <w:rFonts w:eastAsia="Times New Roman" w:cs="Times New Roman"/>
          <w:lang w:eastAsia="de-DE"/>
        </w:rPr>
        <w:t>(für den Stamm seiner Väter) die Repräsentation aller zwölf Stämme.</w:t>
      </w:r>
    </w:p>
    <w:p w14:paraId="06A74F0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Qualifikation </w:t>
      </w:r>
      <w:r w:rsidRPr="006E39D1">
        <w:rPr>
          <w:rFonts w:eastAsia="Times New Roman" w:cs="Times New Roman"/>
          <w:b/>
          <w:bCs/>
          <w:rtl/>
          <w:lang w:eastAsia="de-DE"/>
        </w:rPr>
        <w:t>כֹּ֖ל נָשִׂ֥יא בָהֶֽם</w:t>
      </w:r>
      <w:r w:rsidRPr="006E39D1">
        <w:rPr>
          <w:rFonts w:eastAsia="Times New Roman" w:cs="Times New Roman"/>
          <w:rtl/>
          <w:lang w:eastAsia="de-DE"/>
        </w:rPr>
        <w:t xml:space="preserve"> </w:t>
      </w:r>
      <w:r w:rsidRPr="006E39D1">
        <w:rPr>
          <w:rFonts w:eastAsia="Times New Roman" w:cs="Times New Roman"/>
          <w:lang w:eastAsia="de-DE"/>
        </w:rPr>
        <w:t xml:space="preserve">(jeder ein Fürst unter ihnen) mit </w:t>
      </w:r>
      <w:r w:rsidRPr="006E39D1">
        <w:rPr>
          <w:rFonts w:eastAsia="Times New Roman" w:cs="Times New Roman"/>
          <w:b/>
          <w:bCs/>
          <w:rtl/>
          <w:lang w:eastAsia="de-DE"/>
        </w:rPr>
        <w:t>נָשִׂיא</w:t>
      </w:r>
      <w:r w:rsidRPr="006E39D1">
        <w:rPr>
          <w:rFonts w:eastAsia="Times New Roman" w:cs="Times New Roman"/>
          <w:rtl/>
          <w:lang w:eastAsia="de-DE"/>
        </w:rPr>
        <w:t xml:space="preserve"> </w:t>
      </w:r>
      <w:r w:rsidRPr="006E39D1">
        <w:rPr>
          <w:rFonts w:eastAsia="Times New Roman" w:cs="Times New Roman"/>
          <w:lang w:eastAsia="de-DE"/>
        </w:rPr>
        <w:t>(Fürst/Anführer) zeigt die erforderliche Führungsqualität der Kundschafter.</w:t>
      </w:r>
    </w:p>
    <w:p w14:paraId="5B8F5FF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שְׁלַח־לְךָ</w:t>
      </w:r>
      <w:r w:rsidRPr="006E39D1">
        <w:rPr>
          <w:rFonts w:eastAsia="Times New Roman" w:cs="Times New Roman"/>
          <w:rtl/>
          <w:lang w:eastAsia="de-DE"/>
        </w:rPr>
        <w:t xml:space="preserve"> </w:t>
      </w:r>
      <w:r w:rsidRPr="006E39D1">
        <w:rPr>
          <w:rFonts w:eastAsia="Times New Roman" w:cs="Times New Roman"/>
          <w:lang w:eastAsia="de-DE"/>
        </w:rPr>
        <w:t xml:space="preserve">mit ἀπόστειλον σεαυτῷ (sende für dich), </w:t>
      </w:r>
      <w:r w:rsidRPr="006E39D1">
        <w:rPr>
          <w:rFonts w:eastAsia="Times New Roman" w:cs="Times New Roman"/>
          <w:b/>
          <w:bCs/>
          <w:rtl/>
          <w:lang w:eastAsia="de-DE"/>
        </w:rPr>
        <w:t>יָתֻרוּ</w:t>
      </w:r>
      <w:r w:rsidRPr="006E39D1">
        <w:rPr>
          <w:rFonts w:eastAsia="Times New Roman" w:cs="Times New Roman"/>
          <w:rtl/>
          <w:lang w:eastAsia="de-DE"/>
        </w:rPr>
        <w:t xml:space="preserve"> </w:t>
      </w:r>
      <w:r w:rsidRPr="006E39D1">
        <w:rPr>
          <w:rFonts w:eastAsia="Times New Roman" w:cs="Times New Roman"/>
          <w:lang w:eastAsia="de-DE"/>
        </w:rPr>
        <w:t xml:space="preserve">mit κατασκέψασθαι (auskundschaften) und </w:t>
      </w:r>
      <w:r w:rsidRPr="006E39D1">
        <w:rPr>
          <w:rFonts w:eastAsia="Times New Roman" w:cs="Times New Roman"/>
          <w:b/>
          <w:bCs/>
          <w:rtl/>
          <w:lang w:eastAsia="de-DE"/>
        </w:rPr>
        <w:t>נָשִׂיא</w:t>
      </w:r>
      <w:r w:rsidRPr="006E39D1">
        <w:rPr>
          <w:rFonts w:eastAsia="Times New Roman" w:cs="Times New Roman"/>
          <w:rtl/>
          <w:lang w:eastAsia="de-DE"/>
        </w:rPr>
        <w:t xml:space="preserve"> </w:t>
      </w:r>
      <w:r w:rsidRPr="006E39D1">
        <w:rPr>
          <w:rFonts w:eastAsia="Times New Roman" w:cs="Times New Roman"/>
          <w:lang w:eastAsia="de-DE"/>
        </w:rPr>
        <w:t>mit ἄρχων (Anführer).</w:t>
      </w:r>
    </w:p>
    <w:p w14:paraId="2662395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imperative Anweisung, Zweckbestimmung, Verheißungsformel, Repräsentationsprinzip und Qualifikationsangabe.</w:t>
      </w:r>
    </w:p>
    <w:p w14:paraId="213E7C9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etabliert die göttliche Anordnung der Kundschaftermission mit klaren Auswahlkriterien für die Repräsentanten.</w:t>
      </w:r>
    </w:p>
    <w:p w14:paraId="60A3CC81"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13,3</w:t>
      </w:r>
    </w:p>
    <w:p w14:paraId="06E95B0A"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וַיִּשְׁלַ֨ח אֹתָ֥ם מֹשֶׁ֛ה מִמִּדְבַּ֥ר פָּארָ֖ן עַל־פִּ֣י יְהוָ֑ה כֻּלָּ֣ם אֲנָשִׁ֔ים רָאשֵׁ֥י בְנֵֽי־יִשְׂרָאֵ֖ל הֵֽמָּה׃</w:t>
      </w:r>
    </w:p>
    <w:p w14:paraId="415650D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Mosche sandte sie aus der Wüste Paran nach dem Befehl des Ewigen, allesamt Männer, welche Häupter der Söhne Jisra'el waren.</w:t>
      </w:r>
    </w:p>
    <w:p w14:paraId="2769445E"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51049C5F">
          <v:rect id="_x0000_i1433" style="width:0;height:1.5pt" o:hralign="center" o:hrstd="t" o:hr="t" fillcolor="#a0a0a0" stroked="f"/>
        </w:pict>
      </w:r>
    </w:p>
    <w:p w14:paraId="0C709D5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Das Verb </w:t>
      </w:r>
      <w:r w:rsidRPr="006E39D1">
        <w:rPr>
          <w:rFonts w:eastAsia="Times New Roman" w:cs="Times New Roman"/>
          <w:b/>
          <w:bCs/>
          <w:rtl/>
          <w:lang w:eastAsia="de-DE"/>
        </w:rPr>
        <w:t>וַיִּשְׁלַ֨ח אֹתָ֥ם מֹשֶׁ֛ה</w:t>
      </w:r>
      <w:r w:rsidRPr="006E39D1">
        <w:rPr>
          <w:rFonts w:eastAsia="Times New Roman" w:cs="Times New Roman"/>
          <w:rtl/>
          <w:lang w:eastAsia="de-DE"/>
        </w:rPr>
        <w:t xml:space="preserve"> </w:t>
      </w:r>
      <w:r w:rsidRPr="006E39D1">
        <w:rPr>
          <w:rFonts w:eastAsia="Times New Roman" w:cs="Times New Roman"/>
          <w:lang w:eastAsia="de-DE"/>
        </w:rPr>
        <w:t xml:space="preserve">(und Mose sandte sie) mit </w:t>
      </w:r>
      <w:r w:rsidRPr="006E39D1">
        <w:rPr>
          <w:rFonts w:eastAsia="Times New Roman" w:cs="Times New Roman"/>
          <w:b/>
          <w:bCs/>
          <w:rtl/>
          <w:lang w:eastAsia="de-DE"/>
        </w:rPr>
        <w:t>יִּשְׁלַח</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שלח</w:t>
      </w:r>
      <w:r w:rsidRPr="006E39D1">
        <w:rPr>
          <w:rFonts w:eastAsia="Times New Roman" w:cs="Times New Roman"/>
          <w:rtl/>
          <w:lang w:eastAsia="de-DE"/>
        </w:rPr>
        <w:t xml:space="preserve"> </w:t>
      </w:r>
      <w:r w:rsidRPr="006E39D1">
        <w:rPr>
          <w:rFonts w:eastAsia="Times New Roman" w:cs="Times New Roman"/>
          <w:lang w:eastAsia="de-DE"/>
        </w:rPr>
        <w:t xml:space="preserve">(senden) im Qal-Imperfekt 3. maskulin Singular mit Waw consecutivum zeigt Moses gehorsame Ausführung der göttlichen Anweisung. Die Herkunftsangabe </w:t>
      </w:r>
      <w:r w:rsidRPr="006E39D1">
        <w:rPr>
          <w:rFonts w:eastAsia="Times New Roman" w:cs="Times New Roman"/>
          <w:b/>
          <w:bCs/>
          <w:rtl/>
          <w:lang w:eastAsia="de-DE"/>
        </w:rPr>
        <w:t>מִמִּדְבַּ֥ר פָּארָ֖ן</w:t>
      </w:r>
      <w:r w:rsidRPr="006E39D1">
        <w:rPr>
          <w:rFonts w:eastAsia="Times New Roman" w:cs="Times New Roman"/>
          <w:rtl/>
          <w:lang w:eastAsia="de-DE"/>
        </w:rPr>
        <w:t xml:space="preserve"> </w:t>
      </w:r>
      <w:r w:rsidRPr="006E39D1">
        <w:rPr>
          <w:rFonts w:eastAsia="Times New Roman" w:cs="Times New Roman"/>
          <w:lang w:eastAsia="de-DE"/>
        </w:rPr>
        <w:t xml:space="preserve">(aus der Wüste Paran) mit </w:t>
      </w:r>
      <w:r w:rsidRPr="006E39D1">
        <w:rPr>
          <w:rFonts w:eastAsia="Times New Roman" w:cs="Times New Roman"/>
          <w:b/>
          <w:bCs/>
          <w:rtl/>
          <w:lang w:eastAsia="de-DE"/>
        </w:rPr>
        <w:t>מִן</w:t>
      </w:r>
      <w:r w:rsidRPr="006E39D1">
        <w:rPr>
          <w:rFonts w:eastAsia="Times New Roman" w:cs="Times New Roman"/>
          <w:rtl/>
          <w:lang w:eastAsia="de-DE"/>
        </w:rPr>
        <w:t xml:space="preserve"> </w:t>
      </w:r>
      <w:r w:rsidRPr="006E39D1">
        <w:rPr>
          <w:rFonts w:eastAsia="Times New Roman" w:cs="Times New Roman"/>
          <w:lang w:eastAsia="de-DE"/>
        </w:rPr>
        <w:t>(aus) zeigt den Ausgangspunkt der Mission.</w:t>
      </w:r>
    </w:p>
    <w:p w14:paraId="57501E1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lastRenderedPageBreak/>
        <w:t xml:space="preserve">Die Autoritätsangabe </w:t>
      </w:r>
      <w:r w:rsidRPr="006E39D1">
        <w:rPr>
          <w:rFonts w:eastAsia="Times New Roman" w:cs="Times New Roman"/>
          <w:b/>
          <w:bCs/>
          <w:rtl/>
          <w:lang w:eastAsia="de-DE"/>
        </w:rPr>
        <w:t>עַל־פִּ֣י יְהוָ֑ה</w:t>
      </w:r>
      <w:r w:rsidRPr="006E39D1">
        <w:rPr>
          <w:rFonts w:eastAsia="Times New Roman" w:cs="Times New Roman"/>
          <w:rtl/>
          <w:lang w:eastAsia="de-DE"/>
        </w:rPr>
        <w:t xml:space="preserve"> </w:t>
      </w:r>
      <w:r w:rsidRPr="006E39D1">
        <w:rPr>
          <w:rFonts w:eastAsia="Times New Roman" w:cs="Times New Roman"/>
          <w:lang w:eastAsia="de-DE"/>
        </w:rPr>
        <w:t xml:space="preserve">(nach dem Befehl des Ewigen) mit </w:t>
      </w:r>
      <w:r w:rsidRPr="006E39D1">
        <w:rPr>
          <w:rFonts w:eastAsia="Times New Roman" w:cs="Times New Roman"/>
          <w:b/>
          <w:bCs/>
          <w:rtl/>
          <w:lang w:eastAsia="de-DE"/>
        </w:rPr>
        <w:t>עַל־פִּי</w:t>
      </w:r>
      <w:r w:rsidRPr="006E39D1">
        <w:rPr>
          <w:rFonts w:eastAsia="Times New Roman" w:cs="Times New Roman"/>
          <w:rtl/>
          <w:lang w:eastAsia="de-DE"/>
        </w:rPr>
        <w:t xml:space="preserve"> </w:t>
      </w:r>
      <w:r w:rsidRPr="006E39D1">
        <w:rPr>
          <w:rFonts w:eastAsia="Times New Roman" w:cs="Times New Roman"/>
          <w:lang w:eastAsia="de-DE"/>
        </w:rPr>
        <w:t>(nach dem Mund/Befehl von) betont die göttliche Autorisation der Mission.</w:t>
      </w:r>
    </w:p>
    <w:p w14:paraId="379F4740" w14:textId="1D885872"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Charakterisierung </w:t>
      </w:r>
      <w:r w:rsidRPr="006E39D1">
        <w:rPr>
          <w:rFonts w:eastAsia="Times New Roman" w:cs="Times New Roman"/>
          <w:b/>
          <w:bCs/>
          <w:rtl/>
          <w:lang w:eastAsia="de-DE"/>
        </w:rPr>
        <w:t>כֻּלָּ֣ם אֲנָשִׁ֔ים רָאשֵׁ֥י בְנֵֽי־יִשְׂרָאֵ֖ל הֵֽמָּה</w:t>
      </w:r>
      <w:r w:rsidRPr="006E39D1">
        <w:rPr>
          <w:rFonts w:eastAsia="Times New Roman" w:cs="Times New Roman"/>
          <w:rtl/>
          <w:lang w:eastAsia="de-DE"/>
        </w:rPr>
        <w:t xml:space="preserve"> </w:t>
      </w:r>
      <w:r w:rsidRPr="006E39D1">
        <w:rPr>
          <w:rFonts w:eastAsia="Times New Roman" w:cs="Times New Roman"/>
          <w:lang w:eastAsia="de-DE"/>
        </w:rPr>
        <w:t xml:space="preserve">(sie alle waren Männer, Häupter der Söhne Israels) mit </w:t>
      </w:r>
      <w:r w:rsidRPr="006E39D1">
        <w:rPr>
          <w:rFonts w:eastAsia="Times New Roman" w:cs="Times New Roman"/>
          <w:b/>
          <w:bCs/>
          <w:rtl/>
          <w:lang w:eastAsia="de-DE"/>
        </w:rPr>
        <w:t>כֻּלָּם</w:t>
      </w:r>
      <w:r w:rsidRPr="006E39D1">
        <w:rPr>
          <w:rFonts w:eastAsia="Times New Roman" w:cs="Times New Roman"/>
          <w:rtl/>
          <w:lang w:eastAsia="de-DE"/>
        </w:rPr>
        <w:t xml:space="preserve"> </w:t>
      </w:r>
      <w:r w:rsidRPr="006E39D1">
        <w:rPr>
          <w:rFonts w:eastAsia="Times New Roman" w:cs="Times New Roman"/>
          <w:lang w:eastAsia="de-DE"/>
        </w:rPr>
        <w:t xml:space="preserve">(sie alle), </w:t>
      </w:r>
      <w:r w:rsidRPr="006E39D1">
        <w:rPr>
          <w:rFonts w:eastAsia="Times New Roman" w:cs="Times New Roman"/>
          <w:b/>
          <w:bCs/>
          <w:rtl/>
          <w:lang w:eastAsia="de-DE"/>
        </w:rPr>
        <w:t>אֲנָשִׁים</w:t>
      </w:r>
      <w:r w:rsidRPr="006E39D1">
        <w:rPr>
          <w:rFonts w:eastAsia="Times New Roman" w:cs="Times New Roman"/>
          <w:rtl/>
          <w:lang w:eastAsia="de-DE"/>
        </w:rPr>
        <w:t xml:space="preserve"> </w:t>
      </w:r>
      <w:r w:rsidRPr="006E39D1">
        <w:rPr>
          <w:rFonts w:eastAsia="Times New Roman" w:cs="Times New Roman"/>
          <w:lang w:eastAsia="de-DE"/>
        </w:rPr>
        <w:t xml:space="preserve">(Männer), </w:t>
      </w:r>
      <w:r w:rsidRPr="006E39D1">
        <w:rPr>
          <w:rFonts w:eastAsia="Times New Roman" w:cs="Times New Roman"/>
          <w:b/>
          <w:bCs/>
          <w:rtl/>
          <w:lang w:eastAsia="de-DE"/>
        </w:rPr>
        <w:t>רָאשֵׁי בְנֵֽי־יִשְׂרָאֵל</w:t>
      </w:r>
      <w:r w:rsidRPr="006E39D1">
        <w:rPr>
          <w:rFonts w:eastAsia="Times New Roman" w:cs="Times New Roman"/>
          <w:rtl/>
          <w:lang w:eastAsia="de-DE"/>
        </w:rPr>
        <w:t xml:space="preserve"> </w:t>
      </w:r>
      <w:r w:rsidRPr="006E39D1">
        <w:rPr>
          <w:rFonts w:eastAsia="Times New Roman" w:cs="Times New Roman"/>
          <w:lang w:eastAsia="de-DE"/>
        </w:rPr>
        <w:t xml:space="preserve">(Häupter der Söhne Israels) als </w:t>
      </w:r>
      <w:r w:rsidR="00F133EC">
        <w:rPr>
          <w:rFonts w:eastAsia="Times New Roman" w:cs="Times New Roman"/>
          <w:lang w:eastAsia="de-DE"/>
        </w:rPr>
        <w:t>Construct</w:t>
      </w:r>
      <w:r w:rsidRPr="006E39D1">
        <w:rPr>
          <w:rFonts w:eastAsia="Times New Roman" w:cs="Times New Roman"/>
          <w:lang w:eastAsia="de-DE"/>
        </w:rPr>
        <w:t xml:space="preserve">verbindung und dem emphatischen Pronomen </w:t>
      </w:r>
      <w:r w:rsidRPr="006E39D1">
        <w:rPr>
          <w:rFonts w:eastAsia="Times New Roman" w:cs="Times New Roman"/>
          <w:b/>
          <w:bCs/>
          <w:rtl/>
          <w:lang w:eastAsia="de-DE"/>
        </w:rPr>
        <w:t>הֵמָּה</w:t>
      </w:r>
      <w:r w:rsidRPr="006E39D1">
        <w:rPr>
          <w:rFonts w:eastAsia="Times New Roman" w:cs="Times New Roman"/>
          <w:rtl/>
          <w:lang w:eastAsia="de-DE"/>
        </w:rPr>
        <w:t xml:space="preserve"> </w:t>
      </w:r>
      <w:r w:rsidRPr="006E39D1">
        <w:rPr>
          <w:rFonts w:eastAsia="Times New Roman" w:cs="Times New Roman"/>
          <w:lang w:eastAsia="de-DE"/>
        </w:rPr>
        <w:t>(sie) betont die Qualifikation aller Kundschafter als angesehene Führungspersönlichkeiten.</w:t>
      </w:r>
    </w:p>
    <w:p w14:paraId="747D357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יִּשְׁלַח</w:t>
      </w:r>
      <w:r w:rsidRPr="006E39D1">
        <w:rPr>
          <w:rFonts w:eastAsia="Times New Roman" w:cs="Times New Roman"/>
          <w:rtl/>
          <w:lang w:eastAsia="de-DE"/>
        </w:rPr>
        <w:t xml:space="preserve"> </w:t>
      </w:r>
      <w:r w:rsidRPr="006E39D1">
        <w:rPr>
          <w:rFonts w:eastAsia="Times New Roman" w:cs="Times New Roman"/>
          <w:lang w:eastAsia="de-DE"/>
        </w:rPr>
        <w:t xml:space="preserve">mit ἀπέστειλεν (er sandte), </w:t>
      </w:r>
      <w:r w:rsidRPr="006E39D1">
        <w:rPr>
          <w:rFonts w:eastAsia="Times New Roman" w:cs="Times New Roman"/>
          <w:b/>
          <w:bCs/>
          <w:rtl/>
          <w:lang w:eastAsia="de-DE"/>
        </w:rPr>
        <w:t>עַל־פִּי יְהוָה</w:t>
      </w:r>
      <w:r w:rsidRPr="006E39D1">
        <w:rPr>
          <w:rFonts w:eastAsia="Times New Roman" w:cs="Times New Roman"/>
          <w:rtl/>
          <w:lang w:eastAsia="de-DE"/>
        </w:rPr>
        <w:t xml:space="preserve"> </w:t>
      </w:r>
      <w:r w:rsidRPr="006E39D1">
        <w:rPr>
          <w:rFonts w:eastAsia="Times New Roman" w:cs="Times New Roman"/>
          <w:lang w:eastAsia="de-DE"/>
        </w:rPr>
        <w:t xml:space="preserve">mit διὰ προστάγματος κυρίου (durch Anordnung des Herrn) und </w:t>
      </w:r>
      <w:r w:rsidRPr="006E39D1">
        <w:rPr>
          <w:rFonts w:eastAsia="Times New Roman" w:cs="Times New Roman"/>
          <w:b/>
          <w:bCs/>
          <w:rtl/>
          <w:lang w:eastAsia="de-DE"/>
        </w:rPr>
        <w:t>רָאשֵׁי</w:t>
      </w:r>
      <w:r w:rsidRPr="006E39D1">
        <w:rPr>
          <w:rFonts w:eastAsia="Times New Roman" w:cs="Times New Roman"/>
          <w:rtl/>
          <w:lang w:eastAsia="de-DE"/>
        </w:rPr>
        <w:t xml:space="preserve"> </w:t>
      </w:r>
      <w:r w:rsidRPr="006E39D1">
        <w:rPr>
          <w:rFonts w:eastAsia="Times New Roman" w:cs="Times New Roman"/>
          <w:lang w:eastAsia="de-DE"/>
        </w:rPr>
        <w:t>mit ἄρχοντες (Anführer).</w:t>
      </w:r>
    </w:p>
    <w:p w14:paraId="027A1B6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gehorsame Ausführung, Herkunftsangabe, göttliche Autorisation und Qualifikationsbestätigung.</w:t>
      </w:r>
    </w:p>
    <w:p w14:paraId="217A4FB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bestätigt Moses treue Ausführung der göttlichen Anweisung und die hohe Qualifikation der ausgewählten Kundschafter.</w:t>
      </w:r>
    </w:p>
    <w:p w14:paraId="6C508DF2"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13,4</w:t>
      </w:r>
    </w:p>
    <w:p w14:paraId="696280C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וְאֵ֖לֶּה שְׁמוֹתָ֑ם לְמַטֵּ֣ה רְאוּבֵ֔ן שַׁמּ֖וּעַ בֶּן־זַכּֽוּר׃</w:t>
      </w:r>
    </w:p>
    <w:p w14:paraId="02F3933D"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dies sind ihre Namen: für den Stamm Re'uven: Schammu'a, der Sohn Zakkurs.</w:t>
      </w:r>
    </w:p>
    <w:p w14:paraId="55643412"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38EFBFF4">
          <v:rect id="_x0000_i1434" style="width:0;height:1.5pt" o:hralign="center" o:hrstd="t" o:hr="t" fillcolor="#a0a0a0" stroked="f"/>
        </w:pict>
      </w:r>
    </w:p>
    <w:p w14:paraId="002E772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Einleitungsformel </w:t>
      </w:r>
      <w:r w:rsidRPr="006E39D1">
        <w:rPr>
          <w:rFonts w:eastAsia="Times New Roman" w:cs="Times New Roman"/>
          <w:b/>
          <w:bCs/>
          <w:rtl/>
          <w:lang w:eastAsia="de-DE"/>
        </w:rPr>
        <w:t>וְאֵ֖לֶּה שְׁמוֹתָ֑ם</w:t>
      </w:r>
      <w:r w:rsidRPr="006E39D1">
        <w:rPr>
          <w:rFonts w:eastAsia="Times New Roman" w:cs="Times New Roman"/>
          <w:rtl/>
          <w:lang w:eastAsia="de-DE"/>
        </w:rPr>
        <w:t xml:space="preserve"> </w:t>
      </w:r>
      <w:r w:rsidRPr="006E39D1">
        <w:rPr>
          <w:rFonts w:eastAsia="Times New Roman" w:cs="Times New Roman"/>
          <w:lang w:eastAsia="de-DE"/>
        </w:rPr>
        <w:t xml:space="preserve">(und dies sind ihre Namen) mit </w:t>
      </w:r>
      <w:r w:rsidRPr="006E39D1">
        <w:rPr>
          <w:rFonts w:eastAsia="Times New Roman" w:cs="Times New Roman"/>
          <w:b/>
          <w:bCs/>
          <w:rtl/>
          <w:lang w:eastAsia="de-DE"/>
        </w:rPr>
        <w:t>אֵלֶּה</w:t>
      </w:r>
      <w:r w:rsidRPr="006E39D1">
        <w:rPr>
          <w:rFonts w:eastAsia="Times New Roman" w:cs="Times New Roman"/>
          <w:rtl/>
          <w:lang w:eastAsia="de-DE"/>
        </w:rPr>
        <w:t xml:space="preserve"> </w:t>
      </w:r>
      <w:r w:rsidRPr="006E39D1">
        <w:rPr>
          <w:rFonts w:eastAsia="Times New Roman" w:cs="Times New Roman"/>
          <w:lang w:eastAsia="de-DE"/>
        </w:rPr>
        <w:t xml:space="preserve">(diese) als Demonstrativpronomen und </w:t>
      </w:r>
      <w:r w:rsidRPr="006E39D1">
        <w:rPr>
          <w:rFonts w:eastAsia="Times New Roman" w:cs="Times New Roman"/>
          <w:b/>
          <w:bCs/>
          <w:rtl/>
          <w:lang w:eastAsia="de-DE"/>
        </w:rPr>
        <w:t>שְׁמוֹתָם</w:t>
      </w:r>
      <w:r w:rsidRPr="006E39D1">
        <w:rPr>
          <w:rFonts w:eastAsia="Times New Roman" w:cs="Times New Roman"/>
          <w:rtl/>
          <w:lang w:eastAsia="de-DE"/>
        </w:rPr>
        <w:t xml:space="preserve"> </w:t>
      </w:r>
      <w:r w:rsidRPr="006E39D1">
        <w:rPr>
          <w:rFonts w:eastAsia="Times New Roman" w:cs="Times New Roman"/>
          <w:lang w:eastAsia="de-DE"/>
        </w:rPr>
        <w:t>(ihre Namen) mit Possessivsuffix 3. maskulin Plural leitet die systematische Namensliste ein.</w:t>
      </w:r>
    </w:p>
    <w:p w14:paraId="119CD64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Stammesangabe </w:t>
      </w:r>
      <w:r w:rsidRPr="006E39D1">
        <w:rPr>
          <w:rFonts w:eastAsia="Times New Roman" w:cs="Times New Roman"/>
          <w:b/>
          <w:bCs/>
          <w:rtl/>
          <w:lang w:eastAsia="de-DE"/>
        </w:rPr>
        <w:t>לְמַטֵּ֣ה רְאוּבֵ֔ן</w:t>
      </w:r>
      <w:r w:rsidRPr="006E39D1">
        <w:rPr>
          <w:rFonts w:eastAsia="Times New Roman" w:cs="Times New Roman"/>
          <w:rtl/>
          <w:lang w:eastAsia="de-DE"/>
        </w:rPr>
        <w:t xml:space="preserve"> </w:t>
      </w:r>
      <w:r w:rsidRPr="006E39D1">
        <w:rPr>
          <w:rFonts w:eastAsia="Times New Roman" w:cs="Times New Roman"/>
          <w:lang w:eastAsia="de-DE"/>
        </w:rPr>
        <w:t xml:space="preserve">(für den Stamm Ruben) mit </w:t>
      </w:r>
      <w:r w:rsidRPr="006E39D1">
        <w:rPr>
          <w:rFonts w:eastAsia="Times New Roman" w:cs="Times New Roman"/>
          <w:b/>
          <w:bCs/>
          <w:rtl/>
          <w:lang w:eastAsia="de-DE"/>
        </w:rPr>
        <w:t>לְמַטֵּה</w:t>
      </w:r>
      <w:r w:rsidRPr="006E39D1">
        <w:rPr>
          <w:rFonts w:eastAsia="Times New Roman" w:cs="Times New Roman"/>
          <w:rtl/>
          <w:lang w:eastAsia="de-DE"/>
        </w:rPr>
        <w:t xml:space="preserve"> </w:t>
      </w:r>
      <w:r w:rsidRPr="006E39D1">
        <w:rPr>
          <w:rFonts w:eastAsia="Times New Roman" w:cs="Times New Roman"/>
          <w:lang w:eastAsia="de-DE"/>
        </w:rPr>
        <w:t xml:space="preserve">(für den Stamm) und </w:t>
      </w:r>
      <w:r w:rsidRPr="006E39D1">
        <w:rPr>
          <w:rFonts w:eastAsia="Times New Roman" w:cs="Times New Roman"/>
          <w:b/>
          <w:bCs/>
          <w:rtl/>
          <w:lang w:eastAsia="de-DE"/>
        </w:rPr>
        <w:t>רְאוּבֵן</w:t>
      </w:r>
      <w:r w:rsidRPr="006E39D1">
        <w:rPr>
          <w:rFonts w:eastAsia="Times New Roman" w:cs="Times New Roman"/>
          <w:rtl/>
          <w:lang w:eastAsia="de-DE"/>
        </w:rPr>
        <w:t xml:space="preserve"> </w:t>
      </w:r>
      <w:r w:rsidRPr="006E39D1">
        <w:rPr>
          <w:rFonts w:eastAsia="Times New Roman" w:cs="Times New Roman"/>
          <w:lang w:eastAsia="de-DE"/>
        </w:rPr>
        <w:t>(Ruben) als dem erstgeborenen Stamm beginnt die Liste entsprechend der Geburtsreihenfolge.</w:t>
      </w:r>
    </w:p>
    <w:p w14:paraId="48D5187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Namensangabe </w:t>
      </w:r>
      <w:r w:rsidRPr="006E39D1">
        <w:rPr>
          <w:rFonts w:eastAsia="Times New Roman" w:cs="Times New Roman"/>
          <w:b/>
          <w:bCs/>
          <w:rtl/>
          <w:lang w:eastAsia="de-DE"/>
        </w:rPr>
        <w:t>שַׁמּ֖וּעַ בֶּן־זַכּֽוּר</w:t>
      </w:r>
      <w:r w:rsidRPr="006E39D1">
        <w:rPr>
          <w:rFonts w:eastAsia="Times New Roman" w:cs="Times New Roman"/>
          <w:rtl/>
          <w:lang w:eastAsia="de-DE"/>
        </w:rPr>
        <w:t xml:space="preserve"> </w:t>
      </w:r>
      <w:r w:rsidRPr="006E39D1">
        <w:rPr>
          <w:rFonts w:eastAsia="Times New Roman" w:cs="Times New Roman"/>
          <w:lang w:eastAsia="de-DE"/>
        </w:rPr>
        <w:t xml:space="preserve">(Schammua, Sohn Zakkurs) mit </w:t>
      </w:r>
      <w:r w:rsidRPr="006E39D1">
        <w:rPr>
          <w:rFonts w:eastAsia="Times New Roman" w:cs="Times New Roman"/>
          <w:b/>
          <w:bCs/>
          <w:rtl/>
          <w:lang w:eastAsia="de-DE"/>
        </w:rPr>
        <w:t>שַׁמּוּעַ</w:t>
      </w:r>
      <w:r w:rsidRPr="006E39D1">
        <w:rPr>
          <w:rFonts w:eastAsia="Times New Roman" w:cs="Times New Roman"/>
          <w:rtl/>
          <w:lang w:eastAsia="de-DE"/>
        </w:rPr>
        <w:t xml:space="preserve"> </w:t>
      </w:r>
      <w:r w:rsidRPr="006E39D1">
        <w:rPr>
          <w:rFonts w:eastAsia="Times New Roman" w:cs="Times New Roman"/>
          <w:lang w:eastAsia="de-DE"/>
        </w:rPr>
        <w:t xml:space="preserve">(Schammua = "Erhört") von der Wurzel </w:t>
      </w:r>
      <w:r w:rsidRPr="006E39D1">
        <w:rPr>
          <w:rFonts w:eastAsia="Times New Roman" w:cs="Times New Roman"/>
          <w:b/>
          <w:bCs/>
          <w:rtl/>
          <w:lang w:eastAsia="de-DE"/>
        </w:rPr>
        <w:t>שמע</w:t>
      </w:r>
      <w:r w:rsidRPr="006E39D1">
        <w:rPr>
          <w:rFonts w:eastAsia="Times New Roman" w:cs="Times New Roman"/>
          <w:rtl/>
          <w:lang w:eastAsia="de-DE"/>
        </w:rPr>
        <w:t xml:space="preserve"> </w:t>
      </w:r>
      <w:r w:rsidRPr="006E39D1">
        <w:rPr>
          <w:rFonts w:eastAsia="Times New Roman" w:cs="Times New Roman"/>
          <w:lang w:eastAsia="de-DE"/>
        </w:rPr>
        <w:t xml:space="preserve">(hören) und </w:t>
      </w:r>
      <w:r w:rsidRPr="006E39D1">
        <w:rPr>
          <w:rFonts w:eastAsia="Times New Roman" w:cs="Times New Roman"/>
          <w:b/>
          <w:bCs/>
          <w:rtl/>
          <w:lang w:eastAsia="de-DE"/>
        </w:rPr>
        <w:t>זַכּוּר</w:t>
      </w:r>
      <w:r w:rsidRPr="006E39D1">
        <w:rPr>
          <w:rFonts w:eastAsia="Times New Roman" w:cs="Times New Roman"/>
          <w:rtl/>
          <w:lang w:eastAsia="de-DE"/>
        </w:rPr>
        <w:t xml:space="preserve"> </w:t>
      </w:r>
      <w:r w:rsidRPr="006E39D1">
        <w:rPr>
          <w:rFonts w:eastAsia="Times New Roman" w:cs="Times New Roman"/>
          <w:lang w:eastAsia="de-DE"/>
        </w:rPr>
        <w:t xml:space="preserve">(Zakkur = "Gedächtnis") von </w:t>
      </w:r>
      <w:r w:rsidRPr="006E39D1">
        <w:rPr>
          <w:rFonts w:eastAsia="Times New Roman" w:cs="Times New Roman"/>
          <w:b/>
          <w:bCs/>
          <w:rtl/>
          <w:lang w:eastAsia="de-DE"/>
        </w:rPr>
        <w:t>זכר</w:t>
      </w:r>
      <w:r w:rsidRPr="006E39D1">
        <w:rPr>
          <w:rFonts w:eastAsia="Times New Roman" w:cs="Times New Roman"/>
          <w:rtl/>
          <w:lang w:eastAsia="de-DE"/>
        </w:rPr>
        <w:t xml:space="preserve"> </w:t>
      </w:r>
      <w:r w:rsidRPr="006E39D1">
        <w:rPr>
          <w:rFonts w:eastAsia="Times New Roman" w:cs="Times New Roman"/>
          <w:lang w:eastAsia="de-DE"/>
        </w:rPr>
        <w:t>(gedenken) zeigt theophore Namen mit positiven Bedeutungen.</w:t>
      </w:r>
    </w:p>
    <w:p w14:paraId="3219728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שְׁמוֹתָם</w:t>
      </w:r>
      <w:r w:rsidRPr="006E39D1">
        <w:rPr>
          <w:rFonts w:eastAsia="Times New Roman" w:cs="Times New Roman"/>
          <w:rtl/>
          <w:lang w:eastAsia="de-DE"/>
        </w:rPr>
        <w:t xml:space="preserve"> </w:t>
      </w:r>
      <w:r w:rsidRPr="006E39D1">
        <w:rPr>
          <w:rFonts w:eastAsia="Times New Roman" w:cs="Times New Roman"/>
          <w:lang w:eastAsia="de-DE"/>
        </w:rPr>
        <w:t>mit τὰ ὀνόματα αὐτῶν (ihre Namen) und die Eigennamen werden transliteriert.</w:t>
      </w:r>
    </w:p>
    <w:p w14:paraId="154C299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Listeneinleitung, Stammesidentifikation und genealogische Namensangabe.</w:t>
      </w:r>
    </w:p>
    <w:p w14:paraId="25E38F2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beginnt die systematische Aufzählung der zwölf Kundschafter mit dem Vertreter des erstgeborenen Stammes.</w:t>
      </w:r>
    </w:p>
    <w:p w14:paraId="25C0453E" w14:textId="77777777" w:rsid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 xml:space="preserve">Numeri 13,5-15 </w:t>
      </w:r>
    </w:p>
    <w:p w14:paraId="45A23925" w14:textId="7E94990B"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lastRenderedPageBreak/>
        <w:t>(Vollständige Kundschafterliste)</w:t>
      </w:r>
    </w:p>
    <w:p w14:paraId="7B771EE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Ich werde die Namen der verbleibenden Kundschafter in kompakter Form kommentieren, da sie derselben Struktur folgen:</w:t>
      </w:r>
    </w:p>
    <w:p w14:paraId="4862FC23" w14:textId="77777777"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5:</w:t>
      </w:r>
      <w:r w:rsidRPr="006E39D1">
        <w:rPr>
          <w:rFonts w:eastAsia="Times New Roman" w:cs="Times New Roman"/>
          <w:lang w:eastAsia="de-DE"/>
        </w:rPr>
        <w:t xml:space="preserve"> </w:t>
      </w:r>
      <w:r w:rsidRPr="006E39D1">
        <w:rPr>
          <w:rFonts w:eastAsia="Times New Roman" w:cs="Times New Roman"/>
          <w:b/>
          <w:bCs/>
          <w:rtl/>
          <w:lang w:eastAsia="de-DE"/>
        </w:rPr>
        <w:t>שָׁפָ֖ט בֶּן־חוֹרִֽי</w:t>
      </w:r>
      <w:r w:rsidRPr="006E39D1">
        <w:rPr>
          <w:rFonts w:eastAsia="Times New Roman" w:cs="Times New Roman"/>
          <w:rtl/>
          <w:lang w:eastAsia="de-DE"/>
        </w:rPr>
        <w:t xml:space="preserve"> </w:t>
      </w:r>
      <w:r w:rsidRPr="006E39D1">
        <w:rPr>
          <w:rFonts w:eastAsia="Times New Roman" w:cs="Times New Roman"/>
          <w:lang w:eastAsia="de-DE"/>
        </w:rPr>
        <w:t xml:space="preserve">(Schafat, Sohn Choris) für Simeon - </w:t>
      </w:r>
      <w:r w:rsidRPr="006E39D1">
        <w:rPr>
          <w:rFonts w:eastAsia="Times New Roman" w:cs="Times New Roman"/>
          <w:b/>
          <w:bCs/>
          <w:rtl/>
          <w:lang w:eastAsia="de-DE"/>
        </w:rPr>
        <w:t>שָׁפָט</w:t>
      </w:r>
      <w:r w:rsidRPr="006E39D1">
        <w:rPr>
          <w:rFonts w:eastAsia="Times New Roman" w:cs="Times New Roman"/>
          <w:rtl/>
          <w:lang w:eastAsia="de-DE"/>
        </w:rPr>
        <w:t xml:space="preserve"> </w:t>
      </w:r>
      <w:r w:rsidRPr="006E39D1">
        <w:rPr>
          <w:rFonts w:eastAsia="Times New Roman" w:cs="Times New Roman"/>
          <w:lang w:eastAsia="de-DE"/>
        </w:rPr>
        <w:t xml:space="preserve">bedeutet "Richter". </w:t>
      </w:r>
    </w:p>
    <w:p w14:paraId="0D7333FC" w14:textId="77777777"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6:</w:t>
      </w:r>
      <w:r w:rsidRPr="006E39D1">
        <w:rPr>
          <w:rFonts w:eastAsia="Times New Roman" w:cs="Times New Roman"/>
          <w:lang w:eastAsia="de-DE"/>
        </w:rPr>
        <w:t xml:space="preserve"> </w:t>
      </w:r>
      <w:r w:rsidRPr="006E39D1">
        <w:rPr>
          <w:rFonts w:eastAsia="Times New Roman" w:cs="Times New Roman"/>
          <w:b/>
          <w:bCs/>
          <w:rtl/>
          <w:lang w:eastAsia="de-DE"/>
        </w:rPr>
        <w:t>כָּלֵ֖ב בֶּן־יְפֻנֶּֽה</w:t>
      </w:r>
      <w:r w:rsidRPr="006E39D1">
        <w:rPr>
          <w:rFonts w:eastAsia="Times New Roman" w:cs="Times New Roman"/>
          <w:rtl/>
          <w:lang w:eastAsia="de-DE"/>
        </w:rPr>
        <w:t xml:space="preserve"> </w:t>
      </w:r>
      <w:r w:rsidRPr="006E39D1">
        <w:rPr>
          <w:rFonts w:eastAsia="Times New Roman" w:cs="Times New Roman"/>
          <w:lang w:eastAsia="de-DE"/>
        </w:rPr>
        <w:t xml:space="preserve">(Kaleb, Sohn Jephunnes) für Juda - </w:t>
      </w:r>
      <w:r w:rsidRPr="006E39D1">
        <w:rPr>
          <w:rFonts w:eastAsia="Times New Roman" w:cs="Times New Roman"/>
          <w:b/>
          <w:bCs/>
          <w:rtl/>
          <w:lang w:eastAsia="de-DE"/>
        </w:rPr>
        <w:t>כָּלֵב</w:t>
      </w:r>
      <w:r w:rsidRPr="006E39D1">
        <w:rPr>
          <w:rFonts w:eastAsia="Times New Roman" w:cs="Times New Roman"/>
          <w:rtl/>
          <w:lang w:eastAsia="de-DE"/>
        </w:rPr>
        <w:t xml:space="preserve"> </w:t>
      </w:r>
      <w:r w:rsidRPr="006E39D1">
        <w:rPr>
          <w:rFonts w:eastAsia="Times New Roman" w:cs="Times New Roman"/>
          <w:lang w:eastAsia="de-DE"/>
        </w:rPr>
        <w:t xml:space="preserve">bedeutet "Hund/treu". </w:t>
      </w:r>
    </w:p>
    <w:p w14:paraId="267417D5" w14:textId="77777777"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7:</w:t>
      </w:r>
      <w:r w:rsidRPr="006E39D1">
        <w:rPr>
          <w:rFonts w:eastAsia="Times New Roman" w:cs="Times New Roman"/>
          <w:lang w:eastAsia="de-DE"/>
        </w:rPr>
        <w:t xml:space="preserve"> </w:t>
      </w:r>
      <w:r w:rsidRPr="006E39D1">
        <w:rPr>
          <w:rFonts w:eastAsia="Times New Roman" w:cs="Times New Roman"/>
          <w:b/>
          <w:bCs/>
          <w:rtl/>
          <w:lang w:eastAsia="de-DE"/>
        </w:rPr>
        <w:t>יִגְאָ֖ל בֶּן־יוֹסֵֽף</w:t>
      </w:r>
      <w:r w:rsidRPr="006E39D1">
        <w:rPr>
          <w:rFonts w:eastAsia="Times New Roman" w:cs="Times New Roman"/>
          <w:rtl/>
          <w:lang w:eastAsia="de-DE"/>
        </w:rPr>
        <w:t xml:space="preserve"> </w:t>
      </w:r>
      <w:r w:rsidRPr="006E39D1">
        <w:rPr>
          <w:rFonts w:eastAsia="Times New Roman" w:cs="Times New Roman"/>
          <w:lang w:eastAsia="de-DE"/>
        </w:rPr>
        <w:t xml:space="preserve">(Jigal, Sohn Josefs) für Issachar - </w:t>
      </w:r>
      <w:r w:rsidRPr="006E39D1">
        <w:rPr>
          <w:rFonts w:eastAsia="Times New Roman" w:cs="Times New Roman"/>
          <w:b/>
          <w:bCs/>
          <w:rtl/>
          <w:lang w:eastAsia="de-DE"/>
        </w:rPr>
        <w:t>יִגְאָל</w:t>
      </w:r>
      <w:r w:rsidRPr="006E39D1">
        <w:rPr>
          <w:rFonts w:eastAsia="Times New Roman" w:cs="Times New Roman"/>
          <w:rtl/>
          <w:lang w:eastAsia="de-DE"/>
        </w:rPr>
        <w:t xml:space="preserve"> </w:t>
      </w:r>
      <w:r w:rsidRPr="006E39D1">
        <w:rPr>
          <w:rFonts w:eastAsia="Times New Roman" w:cs="Times New Roman"/>
          <w:lang w:eastAsia="de-DE"/>
        </w:rPr>
        <w:t xml:space="preserve">bedeutet "Gott wird erlösen". </w:t>
      </w:r>
    </w:p>
    <w:p w14:paraId="2B4DFD55" w14:textId="30FAB8AF"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8:</w:t>
      </w:r>
      <w:r w:rsidRPr="006E39D1">
        <w:rPr>
          <w:rFonts w:eastAsia="Times New Roman" w:cs="Times New Roman"/>
          <w:lang w:eastAsia="de-DE"/>
        </w:rPr>
        <w:t xml:space="preserve"> </w:t>
      </w:r>
      <w:r w:rsidRPr="006E39D1">
        <w:rPr>
          <w:rFonts w:eastAsia="Times New Roman" w:cs="Times New Roman"/>
          <w:b/>
          <w:bCs/>
          <w:rtl/>
          <w:lang w:eastAsia="de-DE"/>
        </w:rPr>
        <w:t>הוֹשֵׁ֥עַ בִּן־נֽוּן</w:t>
      </w:r>
      <w:r w:rsidRPr="006E39D1">
        <w:rPr>
          <w:rFonts w:eastAsia="Times New Roman" w:cs="Times New Roman"/>
          <w:rtl/>
          <w:lang w:eastAsia="de-DE"/>
        </w:rPr>
        <w:t xml:space="preserve"> </w:t>
      </w:r>
      <w:r w:rsidRPr="006E39D1">
        <w:rPr>
          <w:rFonts w:eastAsia="Times New Roman" w:cs="Times New Roman"/>
          <w:lang w:eastAsia="de-DE"/>
        </w:rPr>
        <w:t xml:space="preserve">(Hoschea, Sohn Nuns) für Ephraim - später zu Josua umbenannt. </w:t>
      </w:r>
    </w:p>
    <w:p w14:paraId="1D8BE7D2" w14:textId="101FC6CC" w:rsidR="00493057" w:rsidRDefault="00493057" w:rsidP="006E39D1">
      <w:pPr>
        <w:spacing w:before="100" w:beforeAutospacing="1" w:after="100" w:afterAutospacing="1" w:line="240" w:lineRule="auto"/>
        <w:rPr>
          <w:rFonts w:eastAsia="Times New Roman" w:cs="Times New Roman"/>
          <w:lang w:eastAsia="de-DE"/>
        </w:rPr>
      </w:pPr>
      <w:r>
        <w:rPr>
          <w:rStyle w:val="Fett"/>
        </w:rPr>
        <w:t>Vers 8 (MT) / Vers 9 (LXX):</w:t>
      </w:r>
      <w:r>
        <w:t xml:space="preserve"> </w:t>
      </w:r>
      <w:r>
        <w:rPr>
          <w:rStyle w:val="Fett"/>
        </w:rPr>
        <w:t>Die LXX</w:t>
      </w:r>
      <w:r>
        <w:t xml:space="preserve"> gibt den Namen „</w:t>
      </w:r>
      <w:r>
        <w:rPr>
          <w:rtl/>
        </w:rPr>
        <w:t>הוֹשֵׁעַ</w:t>
      </w:r>
      <w:r>
        <w:t>" (Hoschea) als „Αὑσή" (Ausē) wieder, während der MT ihn als Hosea transkribiert, bevor er später zu Josua umbenannt wird.</w:t>
      </w:r>
    </w:p>
    <w:p w14:paraId="14B15F0E" w14:textId="77777777"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9:</w:t>
      </w:r>
      <w:r w:rsidRPr="006E39D1">
        <w:rPr>
          <w:rFonts w:eastAsia="Times New Roman" w:cs="Times New Roman"/>
          <w:lang w:eastAsia="de-DE"/>
        </w:rPr>
        <w:t xml:space="preserve"> </w:t>
      </w:r>
      <w:r w:rsidRPr="006E39D1">
        <w:rPr>
          <w:rFonts w:eastAsia="Times New Roman" w:cs="Times New Roman"/>
          <w:b/>
          <w:bCs/>
          <w:rtl/>
          <w:lang w:eastAsia="de-DE"/>
        </w:rPr>
        <w:t>פַּלְטִ֖י בֶּן־רָפֽוּא</w:t>
      </w:r>
      <w:r w:rsidRPr="006E39D1">
        <w:rPr>
          <w:rFonts w:eastAsia="Times New Roman" w:cs="Times New Roman"/>
          <w:rtl/>
          <w:lang w:eastAsia="de-DE"/>
        </w:rPr>
        <w:t xml:space="preserve"> </w:t>
      </w:r>
      <w:r w:rsidRPr="006E39D1">
        <w:rPr>
          <w:rFonts w:eastAsia="Times New Roman" w:cs="Times New Roman"/>
          <w:lang w:eastAsia="de-DE"/>
        </w:rPr>
        <w:t xml:space="preserve">(Palti, Sohn Rafuas) für Benjamin - </w:t>
      </w:r>
      <w:r w:rsidRPr="006E39D1">
        <w:rPr>
          <w:rFonts w:eastAsia="Times New Roman" w:cs="Times New Roman"/>
          <w:b/>
          <w:bCs/>
          <w:rtl/>
          <w:lang w:eastAsia="de-DE"/>
        </w:rPr>
        <w:t>פַּלְטִי</w:t>
      </w:r>
      <w:r w:rsidRPr="006E39D1">
        <w:rPr>
          <w:rFonts w:eastAsia="Times New Roman" w:cs="Times New Roman"/>
          <w:rtl/>
          <w:lang w:eastAsia="de-DE"/>
        </w:rPr>
        <w:t xml:space="preserve"> </w:t>
      </w:r>
      <w:r w:rsidRPr="006E39D1">
        <w:rPr>
          <w:rFonts w:eastAsia="Times New Roman" w:cs="Times New Roman"/>
          <w:lang w:eastAsia="de-DE"/>
        </w:rPr>
        <w:t xml:space="preserve">bedeutet "Gott ist Befreiung". </w:t>
      </w:r>
    </w:p>
    <w:p w14:paraId="384A754B" w14:textId="77777777"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10:</w:t>
      </w:r>
      <w:r w:rsidRPr="006E39D1">
        <w:rPr>
          <w:rFonts w:eastAsia="Times New Roman" w:cs="Times New Roman"/>
          <w:lang w:eastAsia="de-DE"/>
        </w:rPr>
        <w:t xml:space="preserve"> </w:t>
      </w:r>
      <w:r w:rsidRPr="006E39D1">
        <w:rPr>
          <w:rFonts w:eastAsia="Times New Roman" w:cs="Times New Roman"/>
          <w:b/>
          <w:bCs/>
          <w:rtl/>
          <w:lang w:eastAsia="de-DE"/>
        </w:rPr>
        <w:t>גַּדִּיאֵ֖ל בֶּן־סוֹדִֽי</w:t>
      </w:r>
      <w:r w:rsidRPr="006E39D1">
        <w:rPr>
          <w:rFonts w:eastAsia="Times New Roman" w:cs="Times New Roman"/>
          <w:rtl/>
          <w:lang w:eastAsia="de-DE"/>
        </w:rPr>
        <w:t xml:space="preserve"> </w:t>
      </w:r>
      <w:r w:rsidRPr="006E39D1">
        <w:rPr>
          <w:rFonts w:eastAsia="Times New Roman" w:cs="Times New Roman"/>
          <w:lang w:eastAsia="de-DE"/>
        </w:rPr>
        <w:t xml:space="preserve">(Gaddiel, Sohn Sodis) für Sebulon - </w:t>
      </w:r>
      <w:r w:rsidRPr="006E39D1">
        <w:rPr>
          <w:rFonts w:eastAsia="Times New Roman" w:cs="Times New Roman"/>
          <w:b/>
          <w:bCs/>
          <w:rtl/>
          <w:lang w:eastAsia="de-DE"/>
        </w:rPr>
        <w:t>גַּדִּיאֵל</w:t>
      </w:r>
      <w:r w:rsidRPr="006E39D1">
        <w:rPr>
          <w:rFonts w:eastAsia="Times New Roman" w:cs="Times New Roman"/>
          <w:rtl/>
          <w:lang w:eastAsia="de-DE"/>
        </w:rPr>
        <w:t xml:space="preserve"> </w:t>
      </w:r>
      <w:r w:rsidRPr="006E39D1">
        <w:rPr>
          <w:rFonts w:eastAsia="Times New Roman" w:cs="Times New Roman"/>
          <w:lang w:eastAsia="de-DE"/>
        </w:rPr>
        <w:t xml:space="preserve">bedeutet "Gott ist mein Glück". </w:t>
      </w:r>
    </w:p>
    <w:p w14:paraId="784B811D" w14:textId="77777777"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11:</w:t>
      </w:r>
      <w:r w:rsidRPr="006E39D1">
        <w:rPr>
          <w:rFonts w:eastAsia="Times New Roman" w:cs="Times New Roman"/>
          <w:lang w:eastAsia="de-DE"/>
        </w:rPr>
        <w:t xml:space="preserve"> </w:t>
      </w:r>
      <w:r w:rsidRPr="006E39D1">
        <w:rPr>
          <w:rFonts w:eastAsia="Times New Roman" w:cs="Times New Roman"/>
          <w:b/>
          <w:bCs/>
          <w:rtl/>
          <w:lang w:eastAsia="de-DE"/>
        </w:rPr>
        <w:t>גַּדִּ֖י בֶּן־סוּסִֽי</w:t>
      </w:r>
      <w:r w:rsidRPr="006E39D1">
        <w:rPr>
          <w:rFonts w:eastAsia="Times New Roman" w:cs="Times New Roman"/>
          <w:rtl/>
          <w:lang w:eastAsia="de-DE"/>
        </w:rPr>
        <w:t xml:space="preserve"> </w:t>
      </w:r>
      <w:r w:rsidRPr="006E39D1">
        <w:rPr>
          <w:rFonts w:eastAsia="Times New Roman" w:cs="Times New Roman"/>
          <w:lang w:eastAsia="de-DE"/>
        </w:rPr>
        <w:t xml:space="preserve">(Gaddi, Sohn Susis) für Manasse - </w:t>
      </w:r>
      <w:r w:rsidRPr="006E39D1">
        <w:rPr>
          <w:rFonts w:eastAsia="Times New Roman" w:cs="Times New Roman"/>
          <w:b/>
          <w:bCs/>
          <w:rtl/>
          <w:lang w:eastAsia="de-DE"/>
        </w:rPr>
        <w:t>גַּדִּי</w:t>
      </w:r>
      <w:r w:rsidRPr="006E39D1">
        <w:rPr>
          <w:rFonts w:eastAsia="Times New Roman" w:cs="Times New Roman"/>
          <w:rtl/>
          <w:lang w:eastAsia="de-DE"/>
        </w:rPr>
        <w:t xml:space="preserve"> </w:t>
      </w:r>
      <w:r w:rsidRPr="006E39D1">
        <w:rPr>
          <w:rFonts w:eastAsia="Times New Roman" w:cs="Times New Roman"/>
          <w:lang w:eastAsia="de-DE"/>
        </w:rPr>
        <w:t xml:space="preserve">bedeutet "mein Glück". </w:t>
      </w:r>
    </w:p>
    <w:p w14:paraId="74841FF9" w14:textId="77777777"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12:</w:t>
      </w:r>
      <w:r w:rsidRPr="006E39D1">
        <w:rPr>
          <w:rFonts w:eastAsia="Times New Roman" w:cs="Times New Roman"/>
          <w:lang w:eastAsia="de-DE"/>
        </w:rPr>
        <w:t xml:space="preserve"> </w:t>
      </w:r>
      <w:r w:rsidRPr="006E39D1">
        <w:rPr>
          <w:rFonts w:eastAsia="Times New Roman" w:cs="Times New Roman"/>
          <w:b/>
          <w:bCs/>
          <w:rtl/>
          <w:lang w:eastAsia="de-DE"/>
        </w:rPr>
        <w:t>עַמִּיאֵ֖ל בֶּן־גְּמַלִּֽי</w:t>
      </w:r>
      <w:r w:rsidRPr="006E39D1">
        <w:rPr>
          <w:rFonts w:eastAsia="Times New Roman" w:cs="Times New Roman"/>
          <w:rtl/>
          <w:lang w:eastAsia="de-DE"/>
        </w:rPr>
        <w:t xml:space="preserve"> </w:t>
      </w:r>
      <w:r w:rsidRPr="006E39D1">
        <w:rPr>
          <w:rFonts w:eastAsia="Times New Roman" w:cs="Times New Roman"/>
          <w:lang w:eastAsia="de-DE"/>
        </w:rPr>
        <w:t xml:space="preserve">(Ammiel, Sohn Gemallis) für Dan - </w:t>
      </w:r>
      <w:r w:rsidRPr="006E39D1">
        <w:rPr>
          <w:rFonts w:eastAsia="Times New Roman" w:cs="Times New Roman"/>
          <w:b/>
          <w:bCs/>
          <w:rtl/>
          <w:lang w:eastAsia="de-DE"/>
        </w:rPr>
        <w:t>עַמִּיאֵל</w:t>
      </w:r>
      <w:r w:rsidRPr="006E39D1">
        <w:rPr>
          <w:rFonts w:eastAsia="Times New Roman" w:cs="Times New Roman"/>
          <w:rtl/>
          <w:lang w:eastAsia="de-DE"/>
        </w:rPr>
        <w:t xml:space="preserve"> </w:t>
      </w:r>
      <w:r w:rsidRPr="006E39D1">
        <w:rPr>
          <w:rFonts w:eastAsia="Times New Roman" w:cs="Times New Roman"/>
          <w:lang w:eastAsia="de-DE"/>
        </w:rPr>
        <w:t xml:space="preserve">bedeutet "Gott ist mein Volk". </w:t>
      </w:r>
    </w:p>
    <w:p w14:paraId="19F582B3" w14:textId="77777777"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13:</w:t>
      </w:r>
      <w:r w:rsidRPr="006E39D1">
        <w:rPr>
          <w:rFonts w:eastAsia="Times New Roman" w:cs="Times New Roman"/>
          <w:lang w:eastAsia="de-DE"/>
        </w:rPr>
        <w:t xml:space="preserve"> </w:t>
      </w:r>
      <w:r w:rsidRPr="006E39D1">
        <w:rPr>
          <w:rFonts w:eastAsia="Times New Roman" w:cs="Times New Roman"/>
          <w:b/>
          <w:bCs/>
          <w:rtl/>
          <w:lang w:eastAsia="de-DE"/>
        </w:rPr>
        <w:t>סְת֖וּר בֶּן־מִיכָאֵֽל</w:t>
      </w:r>
      <w:r w:rsidRPr="006E39D1">
        <w:rPr>
          <w:rFonts w:eastAsia="Times New Roman" w:cs="Times New Roman"/>
          <w:rtl/>
          <w:lang w:eastAsia="de-DE"/>
        </w:rPr>
        <w:t xml:space="preserve"> </w:t>
      </w:r>
      <w:r w:rsidRPr="006E39D1">
        <w:rPr>
          <w:rFonts w:eastAsia="Times New Roman" w:cs="Times New Roman"/>
          <w:lang w:eastAsia="de-DE"/>
        </w:rPr>
        <w:t xml:space="preserve">(Setur, Sohn Michaels) für Asser - </w:t>
      </w:r>
      <w:r w:rsidRPr="006E39D1">
        <w:rPr>
          <w:rFonts w:eastAsia="Times New Roman" w:cs="Times New Roman"/>
          <w:b/>
          <w:bCs/>
          <w:rtl/>
          <w:lang w:eastAsia="de-DE"/>
        </w:rPr>
        <w:t>סְתוּר</w:t>
      </w:r>
      <w:r w:rsidRPr="006E39D1">
        <w:rPr>
          <w:rFonts w:eastAsia="Times New Roman" w:cs="Times New Roman"/>
          <w:rtl/>
          <w:lang w:eastAsia="de-DE"/>
        </w:rPr>
        <w:t xml:space="preserve"> </w:t>
      </w:r>
      <w:r w:rsidRPr="006E39D1">
        <w:rPr>
          <w:rFonts w:eastAsia="Times New Roman" w:cs="Times New Roman"/>
          <w:lang w:eastAsia="de-DE"/>
        </w:rPr>
        <w:t xml:space="preserve">bedeutet "Verborgenheit". </w:t>
      </w:r>
    </w:p>
    <w:p w14:paraId="7BA3526A" w14:textId="77777777"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14:</w:t>
      </w:r>
      <w:r w:rsidRPr="006E39D1">
        <w:rPr>
          <w:rFonts w:eastAsia="Times New Roman" w:cs="Times New Roman"/>
          <w:lang w:eastAsia="de-DE"/>
        </w:rPr>
        <w:t xml:space="preserve"> </w:t>
      </w:r>
      <w:r w:rsidRPr="006E39D1">
        <w:rPr>
          <w:rFonts w:eastAsia="Times New Roman" w:cs="Times New Roman"/>
          <w:b/>
          <w:bCs/>
          <w:rtl/>
          <w:lang w:eastAsia="de-DE"/>
        </w:rPr>
        <w:t>נַחְבִּ֖י בֶּן־וָפְסִֽי</w:t>
      </w:r>
      <w:r w:rsidRPr="006E39D1">
        <w:rPr>
          <w:rFonts w:eastAsia="Times New Roman" w:cs="Times New Roman"/>
          <w:rtl/>
          <w:lang w:eastAsia="de-DE"/>
        </w:rPr>
        <w:t xml:space="preserve"> </w:t>
      </w:r>
      <w:r w:rsidRPr="006E39D1">
        <w:rPr>
          <w:rFonts w:eastAsia="Times New Roman" w:cs="Times New Roman"/>
          <w:lang w:eastAsia="de-DE"/>
        </w:rPr>
        <w:t xml:space="preserve">(Nachbi, Sohn Wafsis) für Naftali - </w:t>
      </w:r>
      <w:r w:rsidRPr="006E39D1">
        <w:rPr>
          <w:rFonts w:eastAsia="Times New Roman" w:cs="Times New Roman"/>
          <w:b/>
          <w:bCs/>
          <w:rtl/>
          <w:lang w:eastAsia="de-DE"/>
        </w:rPr>
        <w:t>נַחְבִּי</w:t>
      </w:r>
      <w:r w:rsidRPr="006E39D1">
        <w:rPr>
          <w:rFonts w:eastAsia="Times New Roman" w:cs="Times New Roman"/>
          <w:rtl/>
          <w:lang w:eastAsia="de-DE"/>
        </w:rPr>
        <w:t xml:space="preserve"> </w:t>
      </w:r>
      <w:r w:rsidRPr="006E39D1">
        <w:rPr>
          <w:rFonts w:eastAsia="Times New Roman" w:cs="Times New Roman"/>
          <w:lang w:eastAsia="de-DE"/>
        </w:rPr>
        <w:t xml:space="preserve">bedeutet "Verborgen". </w:t>
      </w:r>
    </w:p>
    <w:p w14:paraId="23EA45D0" w14:textId="7AA3DEB2"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Vers 15:</w:t>
      </w:r>
      <w:r w:rsidRPr="006E39D1">
        <w:rPr>
          <w:rFonts w:eastAsia="Times New Roman" w:cs="Times New Roman"/>
          <w:lang w:eastAsia="de-DE"/>
        </w:rPr>
        <w:t xml:space="preserve"> </w:t>
      </w:r>
      <w:r w:rsidRPr="006E39D1">
        <w:rPr>
          <w:rFonts w:eastAsia="Times New Roman" w:cs="Times New Roman"/>
          <w:b/>
          <w:bCs/>
          <w:rtl/>
          <w:lang w:eastAsia="de-DE"/>
        </w:rPr>
        <w:t>גְּאוּאֵ֖ל בֶּן־מָכִֽי</w:t>
      </w:r>
      <w:r w:rsidRPr="006E39D1">
        <w:rPr>
          <w:rFonts w:eastAsia="Times New Roman" w:cs="Times New Roman"/>
          <w:rtl/>
          <w:lang w:eastAsia="de-DE"/>
        </w:rPr>
        <w:t xml:space="preserve"> </w:t>
      </w:r>
      <w:r w:rsidRPr="006E39D1">
        <w:rPr>
          <w:rFonts w:eastAsia="Times New Roman" w:cs="Times New Roman"/>
          <w:lang w:eastAsia="de-DE"/>
        </w:rPr>
        <w:t xml:space="preserve">(Geuel, Sohn Machis) für Gad - </w:t>
      </w:r>
      <w:r w:rsidRPr="006E39D1">
        <w:rPr>
          <w:rFonts w:eastAsia="Times New Roman" w:cs="Times New Roman"/>
          <w:b/>
          <w:bCs/>
          <w:rtl/>
          <w:lang w:eastAsia="de-DE"/>
        </w:rPr>
        <w:t>גְּאוּאֵל</w:t>
      </w:r>
      <w:r w:rsidRPr="006E39D1">
        <w:rPr>
          <w:rFonts w:eastAsia="Times New Roman" w:cs="Times New Roman"/>
          <w:rtl/>
          <w:lang w:eastAsia="de-DE"/>
        </w:rPr>
        <w:t xml:space="preserve"> </w:t>
      </w:r>
      <w:r w:rsidRPr="006E39D1">
        <w:rPr>
          <w:rFonts w:eastAsia="Times New Roman" w:cs="Times New Roman"/>
          <w:lang w:eastAsia="de-DE"/>
        </w:rPr>
        <w:t>bedeutet "Erhabenheit Gottes".</w:t>
      </w:r>
    </w:p>
    <w:p w14:paraId="6D84FCA0"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13,16</w:t>
      </w:r>
    </w:p>
    <w:p w14:paraId="21DC6B95"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אֵ֚לֶּה שְׁמ֣וֹת הָֽאֲנָשִׁ֔ים אֲשֶׁר־שָׁלַ֥ח מֹשֶׁ֖ה לָת֣וּר אֶת־הָאָ֑רֶץ וַיִּקְרָ֥א מֹשֶׁ֛ה לְהוֹשֵׁ֥עַ בִּן־נ֖וּן יְהוֹשֻֽׁעַ׃</w:t>
      </w:r>
    </w:p>
    <w:p w14:paraId="2017E482"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Dies sind die Namen der Männer, die Mosche aussandte, das Land auszukundschaften. Und Mosche nannte Hosche'a, den Sohn Nuns, Jehoschua.</w:t>
      </w:r>
    </w:p>
    <w:p w14:paraId="4FA61D9A"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3ECC7B47">
          <v:rect id="_x0000_i1435" style="width:0;height:1.5pt" o:hralign="center" o:hrstd="t" o:hr="t" fillcolor="#a0a0a0" stroked="f"/>
        </w:pict>
      </w:r>
    </w:p>
    <w:p w14:paraId="32CA76A3"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Zusammenfassungsformel </w:t>
      </w:r>
      <w:r w:rsidRPr="006E39D1">
        <w:rPr>
          <w:rFonts w:eastAsia="Times New Roman" w:cs="Times New Roman"/>
          <w:b/>
          <w:bCs/>
          <w:rtl/>
          <w:lang w:eastAsia="de-DE"/>
        </w:rPr>
        <w:t>אֵ֚לֶּה שְׁמ֣וֹת הָֽאֲנָשִׁ֔ים אֲשֶׁר־שָׁלַ֥ח מֹשֶׁ֖ה לָת֣וּר אֶת־הָאָ֑רֶץ</w:t>
      </w:r>
      <w:r w:rsidRPr="006E39D1">
        <w:rPr>
          <w:rFonts w:eastAsia="Times New Roman" w:cs="Times New Roman"/>
          <w:rtl/>
          <w:lang w:eastAsia="de-DE"/>
        </w:rPr>
        <w:t xml:space="preserve"> </w:t>
      </w:r>
      <w:r w:rsidRPr="006E39D1">
        <w:rPr>
          <w:rFonts w:eastAsia="Times New Roman" w:cs="Times New Roman"/>
          <w:lang w:eastAsia="de-DE"/>
        </w:rPr>
        <w:t>(dies sind die Namen der Männer, die Mose sandte, das Land auszukundschaften) schließt die Namensliste ab.</w:t>
      </w:r>
    </w:p>
    <w:p w14:paraId="1C360EF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bedeutsame Umbenennung </w:t>
      </w:r>
      <w:r w:rsidRPr="006E39D1">
        <w:rPr>
          <w:rFonts w:eastAsia="Times New Roman" w:cs="Times New Roman"/>
          <w:b/>
          <w:bCs/>
          <w:rtl/>
          <w:lang w:eastAsia="de-DE"/>
        </w:rPr>
        <w:t>וַיִּקְרָ֥א מֹשֶׁ֛ה לְהוֹשֵׁ֥עַ בִּן־נ֖וּן יְהוֹשֻֽׁעַ</w:t>
      </w:r>
      <w:r w:rsidRPr="006E39D1">
        <w:rPr>
          <w:rFonts w:eastAsia="Times New Roman" w:cs="Times New Roman"/>
          <w:rtl/>
          <w:lang w:eastAsia="de-DE"/>
        </w:rPr>
        <w:t xml:space="preserve"> </w:t>
      </w:r>
      <w:r w:rsidRPr="006E39D1">
        <w:rPr>
          <w:rFonts w:eastAsia="Times New Roman" w:cs="Times New Roman"/>
          <w:lang w:eastAsia="de-DE"/>
        </w:rPr>
        <w:t xml:space="preserve">(und Mose nannte Hoschea, den Sohn Nuns, Josua) mit </w:t>
      </w:r>
      <w:r w:rsidRPr="006E39D1">
        <w:rPr>
          <w:rFonts w:eastAsia="Times New Roman" w:cs="Times New Roman"/>
          <w:b/>
          <w:bCs/>
          <w:rtl/>
          <w:lang w:eastAsia="de-DE"/>
        </w:rPr>
        <w:t>יִּקְרָא</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קרא</w:t>
      </w:r>
      <w:r w:rsidRPr="006E39D1">
        <w:rPr>
          <w:rFonts w:eastAsia="Times New Roman" w:cs="Times New Roman"/>
          <w:rtl/>
          <w:lang w:eastAsia="de-DE"/>
        </w:rPr>
        <w:t xml:space="preserve"> </w:t>
      </w:r>
      <w:r w:rsidRPr="006E39D1">
        <w:rPr>
          <w:rFonts w:eastAsia="Times New Roman" w:cs="Times New Roman"/>
          <w:lang w:eastAsia="de-DE"/>
        </w:rPr>
        <w:t xml:space="preserve">(nennen/rufen) zeigt die Namensänderung von </w:t>
      </w:r>
      <w:r w:rsidRPr="006E39D1">
        <w:rPr>
          <w:rFonts w:eastAsia="Times New Roman" w:cs="Times New Roman"/>
          <w:b/>
          <w:bCs/>
          <w:rtl/>
          <w:lang w:eastAsia="de-DE"/>
        </w:rPr>
        <w:t>הוֹשֵׁעַ</w:t>
      </w:r>
      <w:r w:rsidRPr="006E39D1">
        <w:rPr>
          <w:rFonts w:eastAsia="Times New Roman" w:cs="Times New Roman"/>
          <w:rtl/>
          <w:lang w:eastAsia="de-DE"/>
        </w:rPr>
        <w:t xml:space="preserve"> </w:t>
      </w:r>
      <w:r w:rsidRPr="006E39D1">
        <w:rPr>
          <w:rFonts w:eastAsia="Times New Roman" w:cs="Times New Roman"/>
          <w:lang w:eastAsia="de-DE"/>
        </w:rPr>
        <w:lastRenderedPageBreak/>
        <w:t xml:space="preserve">(Hoschea = "Rettung") zu </w:t>
      </w:r>
      <w:r w:rsidRPr="006E39D1">
        <w:rPr>
          <w:rFonts w:eastAsia="Times New Roman" w:cs="Times New Roman"/>
          <w:b/>
          <w:bCs/>
          <w:rtl/>
          <w:lang w:eastAsia="de-DE"/>
        </w:rPr>
        <w:t>יְהוֹשֻׁעַ</w:t>
      </w:r>
      <w:r w:rsidRPr="006E39D1">
        <w:rPr>
          <w:rFonts w:eastAsia="Times New Roman" w:cs="Times New Roman"/>
          <w:rtl/>
          <w:lang w:eastAsia="de-DE"/>
        </w:rPr>
        <w:t xml:space="preserve"> </w:t>
      </w:r>
      <w:r w:rsidRPr="006E39D1">
        <w:rPr>
          <w:rFonts w:eastAsia="Times New Roman" w:cs="Times New Roman"/>
          <w:lang w:eastAsia="de-DE"/>
        </w:rPr>
        <w:t>(Josua = "der Ewige ist Rettung"), wodurch der Gottesname hinzugefügt wird.</w:t>
      </w:r>
    </w:p>
    <w:p w14:paraId="60E861E8" w14:textId="70F486D9"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w:t>
      </w:r>
      <w:r w:rsidR="00493057">
        <w:rPr>
          <w:rStyle w:val="Fett"/>
        </w:rPr>
        <w:t>Vers 16 (MT) / Vers 17 (LXX):</w:t>
      </w:r>
      <w:r w:rsidR="00493057">
        <w:t xml:space="preserve"> </w:t>
      </w:r>
      <w:r w:rsidR="00493057">
        <w:rPr>
          <w:rStyle w:val="Fett"/>
        </w:rPr>
        <w:t>Die LXX</w:t>
      </w:r>
      <w:r w:rsidR="00493057">
        <w:t xml:space="preserve"> verwendet „ἐπωνόμασεν" (er benannte/nannte) für die Umbenennung von Hoschea zu Josua, während das Hebräische „</w:t>
      </w:r>
      <w:r w:rsidR="00493057">
        <w:rPr>
          <w:rtl/>
        </w:rPr>
        <w:t>וַיִּקְרָא</w:t>
      </w:r>
      <w:r w:rsidR="00493057">
        <w:t>" (und er rief/nannte) verwendet – eine subtile Nuance zwischen Benennung und Rufung.</w:t>
      </w:r>
    </w:p>
    <w:p w14:paraId="4E00F51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Listenabschluss und bedeutsame Umbenennung mit theologischer Verstärkung.</w:t>
      </w:r>
    </w:p>
    <w:p w14:paraId="15C8790F" w14:textId="1ABFB8B3" w:rsid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hebt Josua hervor und bereitet seine spätere Führungsrolle vor, indem sein Name theologisch verstärkt wird.</w:t>
      </w:r>
    </w:p>
    <w:p w14:paraId="2198CAE9" w14:textId="77777777" w:rsidR="00510B09" w:rsidRPr="00510B09" w:rsidRDefault="00510B09" w:rsidP="00F06C27">
      <w:pPr>
        <w:pStyle w:val="berschrift4"/>
        <w:rPr>
          <w:rFonts w:eastAsia="Times New Roman"/>
          <w:lang w:eastAsia="de-DE"/>
        </w:rPr>
      </w:pPr>
      <w:r w:rsidRPr="00510B09">
        <w:rPr>
          <w:rFonts w:eastAsia="Times New Roman"/>
          <w:lang w:eastAsia="de-DE"/>
        </w:rPr>
        <w:t>Exkurs: Wann änderte Mose Hoscheas Namen zu Josua?</w:t>
      </w:r>
    </w:p>
    <w:p w14:paraId="7DAD1698"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Das Problem:</w:t>
      </w:r>
    </w:p>
    <w:p w14:paraId="7448D022"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Numeri 13,16 sagt: </w:t>
      </w:r>
      <w:r w:rsidRPr="00510B09">
        <w:rPr>
          <w:rFonts w:eastAsia="Times New Roman" w:cs="Times New Roman"/>
          <w:b/>
          <w:bCs/>
          <w:rtl/>
          <w:lang w:eastAsia="de-DE"/>
        </w:rPr>
        <w:t>וַיִּקְרָא מֹשֶׁה לְהוֹשֵׁעַ בִּן־נוּן יְהוֹשֻׁעַ</w:t>
      </w:r>
      <w:r w:rsidRPr="00510B09">
        <w:rPr>
          <w:rFonts w:eastAsia="Times New Roman" w:cs="Times New Roman"/>
          <w:rtl/>
          <w:lang w:eastAsia="de-DE"/>
        </w:rPr>
        <w:t xml:space="preserve"> </w:t>
      </w:r>
      <w:r w:rsidRPr="00510B09">
        <w:rPr>
          <w:rFonts w:eastAsia="Times New Roman" w:cs="Times New Roman"/>
          <w:lang w:eastAsia="de-DE"/>
        </w:rPr>
        <w:t>("Und Mose nannte Hoschea, den Sohn Nuns, Josua"), aber der Zeitpunkt ist unklar.</w:t>
      </w:r>
    </w:p>
    <w:p w14:paraId="28659F90" w14:textId="27654018" w:rsidR="00510B09" w:rsidRDefault="00510B09" w:rsidP="00510B09">
      <w:pPr>
        <w:spacing w:before="100" w:beforeAutospacing="1" w:after="100" w:afterAutospacing="1" w:line="240" w:lineRule="auto"/>
        <w:rPr>
          <w:rFonts w:eastAsia="Times New Roman" w:cs="Times New Roman"/>
          <w:b/>
          <w:bCs/>
          <w:lang w:eastAsia="de-DE"/>
        </w:rPr>
      </w:pPr>
      <w:r w:rsidRPr="00510B09">
        <w:rPr>
          <w:rFonts w:eastAsia="Times New Roman" w:cs="Times New Roman"/>
          <w:b/>
          <w:bCs/>
          <w:lang w:eastAsia="de-DE"/>
        </w:rPr>
        <w:t>Drei Interpretationen:</w:t>
      </w:r>
    </w:p>
    <w:tbl>
      <w:tblPr>
        <w:tblStyle w:val="Tabellenraster"/>
        <w:tblW w:w="4994" w:type="pct"/>
        <w:tblLook w:val="04A0" w:firstRow="1" w:lastRow="0" w:firstColumn="1" w:lastColumn="0" w:noHBand="0" w:noVBand="1"/>
      </w:tblPr>
      <w:tblGrid>
        <w:gridCol w:w="2547"/>
        <w:gridCol w:w="3486"/>
        <w:gridCol w:w="3018"/>
      </w:tblGrid>
      <w:tr w:rsidR="00510B09" w14:paraId="7A1FE5CE" w14:textId="77777777" w:rsidTr="00510B09">
        <w:tc>
          <w:tcPr>
            <w:tcW w:w="1407" w:type="pct"/>
            <w:vAlign w:val="center"/>
          </w:tcPr>
          <w:p w14:paraId="7552767D" w14:textId="317DE72F"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Interpretation</w:t>
            </w:r>
          </w:p>
        </w:tc>
        <w:tc>
          <w:tcPr>
            <w:tcW w:w="1926" w:type="pct"/>
            <w:vAlign w:val="center"/>
          </w:tcPr>
          <w:p w14:paraId="77988527" w14:textId="461AC38D"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Argumente dafür</w:t>
            </w:r>
          </w:p>
        </w:tc>
        <w:tc>
          <w:tcPr>
            <w:tcW w:w="1667" w:type="pct"/>
            <w:vAlign w:val="center"/>
          </w:tcPr>
          <w:p w14:paraId="3139312A" w14:textId="0BCCCB06"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Argumente dagegen</w:t>
            </w:r>
          </w:p>
        </w:tc>
      </w:tr>
      <w:tr w:rsidR="00510B09" w14:paraId="73F3DF5F" w14:textId="77777777" w:rsidTr="00510B09">
        <w:tc>
          <w:tcPr>
            <w:tcW w:w="1407" w:type="pct"/>
            <w:vAlign w:val="center"/>
          </w:tcPr>
          <w:p w14:paraId="6EF445F2" w14:textId="38877443" w:rsidR="00510B09" w:rsidRDefault="00510B09" w:rsidP="00510B09">
            <w:pPr>
              <w:pStyle w:val="KeinLeerraum"/>
            </w:pPr>
            <w:r>
              <w:rPr>
                <w:rStyle w:val="Fett"/>
              </w:rPr>
              <w:t>1. Vor der Mission</w:t>
            </w:r>
            <w:r>
              <w:t xml:space="preserve"> </w:t>
            </w:r>
          </w:p>
          <w:p w14:paraId="34C00FF7" w14:textId="2EDCFD75" w:rsidR="00510B09" w:rsidRPr="00510B09" w:rsidRDefault="00510B09" w:rsidP="00510B09">
            <w:pPr>
              <w:pStyle w:val="KeinLeerraum"/>
            </w:pPr>
            <w:r>
              <w:t>(Num 13,16)</w:t>
            </w:r>
          </w:p>
        </w:tc>
        <w:tc>
          <w:tcPr>
            <w:tcW w:w="1926" w:type="pct"/>
            <w:vAlign w:val="center"/>
          </w:tcPr>
          <w:p w14:paraId="6BC90809" w14:textId="77777777" w:rsidR="00510B09" w:rsidRDefault="00510B09" w:rsidP="00510B09">
            <w:pPr>
              <w:spacing w:line="240" w:lineRule="auto"/>
              <w:rPr>
                <w:rFonts w:eastAsia="Times New Roman" w:cs="Times New Roman"/>
                <w:lang w:eastAsia="de-DE"/>
              </w:rPr>
            </w:pPr>
            <w:r w:rsidRPr="00510B09">
              <w:rPr>
                <w:rFonts w:eastAsia="Times New Roman" w:cs="Times New Roman"/>
                <w:lang w:eastAsia="de-DE"/>
              </w:rPr>
              <w:t xml:space="preserve">• Der Vers steht </w:t>
            </w:r>
            <w:r w:rsidRPr="00510B09">
              <w:rPr>
                <w:rFonts w:eastAsia="Times New Roman" w:cs="Times New Roman"/>
                <w:b/>
                <w:bCs/>
                <w:lang w:eastAsia="de-DE"/>
              </w:rPr>
              <w:t>vor</w:t>
            </w:r>
            <w:r w:rsidRPr="00510B09">
              <w:rPr>
                <w:rFonts w:eastAsia="Times New Roman" w:cs="Times New Roman"/>
                <w:lang w:eastAsia="de-DE"/>
              </w:rPr>
              <w:t xml:space="preserve"> der Aussendung (V. 17)</w:t>
            </w:r>
          </w:p>
          <w:p w14:paraId="47314195" w14:textId="1A462CF2"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 Raschi: Mose änderte den Namen </w:t>
            </w:r>
            <w:r w:rsidRPr="00510B09">
              <w:rPr>
                <w:rFonts w:eastAsia="Times New Roman" w:cs="Times New Roman"/>
                <w:b/>
                <w:bCs/>
                <w:lang w:eastAsia="de-DE"/>
              </w:rPr>
              <w:t>vor</w:t>
            </w:r>
            <w:r w:rsidRPr="00510B09">
              <w:rPr>
                <w:rFonts w:eastAsia="Times New Roman" w:cs="Times New Roman"/>
                <w:lang w:eastAsia="de-DE"/>
              </w:rPr>
              <w:t xml:space="preserve"> der Mission als Gebet: "Möge JHWH dich retten (</w:t>
            </w:r>
            <w:r w:rsidRPr="00510B09">
              <w:rPr>
                <w:rFonts w:eastAsia="Times New Roman" w:cs="Times New Roman"/>
                <w:rtl/>
                <w:lang w:eastAsia="de-DE"/>
              </w:rPr>
              <w:t>יה + הושע</w:t>
            </w:r>
            <w:r w:rsidRPr="00510B09">
              <w:rPr>
                <w:rFonts w:eastAsia="Times New Roman" w:cs="Times New Roman"/>
                <w:lang w:eastAsia="de-DE"/>
              </w:rPr>
              <w:t>) vor dem Rat der Kundschafter!"</w:t>
            </w:r>
          </w:p>
        </w:tc>
        <w:tc>
          <w:tcPr>
            <w:tcW w:w="1667" w:type="pct"/>
            <w:vAlign w:val="center"/>
          </w:tcPr>
          <w:p w14:paraId="3DB48142" w14:textId="1FF7735A" w:rsidR="00510B09" w:rsidRDefault="00510B09" w:rsidP="00510B09">
            <w:pPr>
              <w:pStyle w:val="KeinLeerraum"/>
              <w:rPr>
                <w:lang w:eastAsia="de-DE"/>
              </w:rPr>
            </w:pPr>
            <w:r w:rsidRPr="00510B09">
              <w:rPr>
                <w:lang w:eastAsia="de-DE"/>
              </w:rPr>
              <w:t xml:space="preserve">• Ex 17,9 nennt ihn </w:t>
            </w:r>
            <w:r w:rsidRPr="00510B09">
              <w:rPr>
                <w:b/>
                <w:bCs/>
                <w:lang w:eastAsia="de-DE"/>
              </w:rPr>
              <w:t>schon</w:t>
            </w:r>
            <w:r w:rsidRPr="00510B09">
              <w:rPr>
                <w:lang w:eastAsia="de-DE"/>
              </w:rPr>
              <w:t xml:space="preserve"> Josua (vor Num 13!)</w:t>
            </w:r>
          </w:p>
          <w:p w14:paraId="4625A499" w14:textId="77777777" w:rsidR="00510B09" w:rsidRDefault="00510B09" w:rsidP="00510B09">
            <w:pPr>
              <w:pStyle w:val="KeinLeerraum"/>
              <w:rPr>
                <w:lang w:eastAsia="de-DE"/>
              </w:rPr>
            </w:pPr>
          </w:p>
          <w:p w14:paraId="47ADDC93" w14:textId="50CF9220" w:rsidR="00510B09" w:rsidRDefault="00510B09" w:rsidP="00510B09">
            <w:pPr>
              <w:pStyle w:val="KeinLeerraum"/>
              <w:rPr>
                <w:lang w:eastAsia="de-DE"/>
              </w:rPr>
            </w:pPr>
            <w:r w:rsidRPr="00510B09">
              <w:rPr>
                <w:lang w:eastAsia="de-DE"/>
              </w:rPr>
              <w:t>• Num 13,8 nennt ihn noch Hoschea</w:t>
            </w:r>
          </w:p>
        </w:tc>
      </w:tr>
      <w:tr w:rsidR="00510B09" w14:paraId="3CC1478F" w14:textId="77777777" w:rsidTr="00510B09">
        <w:tc>
          <w:tcPr>
            <w:tcW w:w="1407" w:type="pct"/>
            <w:vAlign w:val="center"/>
          </w:tcPr>
          <w:p w14:paraId="0D01E86B" w14:textId="3A79E98C" w:rsidR="00510B09" w:rsidRPr="00510B09" w:rsidRDefault="00510B09" w:rsidP="00510B09">
            <w:pPr>
              <w:pStyle w:val="KeinLeerraum"/>
              <w:rPr>
                <w:b/>
                <w:bCs/>
                <w:lang w:eastAsia="de-DE"/>
              </w:rPr>
            </w:pPr>
            <w:r w:rsidRPr="00510B09">
              <w:rPr>
                <w:b/>
                <w:bCs/>
                <w:lang w:eastAsia="de-DE"/>
              </w:rPr>
              <w:t>2.</w:t>
            </w:r>
            <w:r>
              <w:rPr>
                <w:lang w:eastAsia="de-DE"/>
              </w:rPr>
              <w:t xml:space="preserve"> </w:t>
            </w:r>
            <w:r w:rsidRPr="00510B09">
              <w:rPr>
                <w:b/>
                <w:bCs/>
                <w:lang w:eastAsia="de-DE"/>
              </w:rPr>
              <w:t xml:space="preserve">Lange vor Num 13 </w:t>
            </w:r>
          </w:p>
          <w:p w14:paraId="6DCD35E5" w14:textId="209B9DD0" w:rsidR="00510B09" w:rsidRPr="00510B09" w:rsidRDefault="00510B09" w:rsidP="00510B09">
            <w:pPr>
              <w:pStyle w:val="KeinLeerraum"/>
              <w:rPr>
                <w:lang w:eastAsia="de-DE"/>
              </w:rPr>
            </w:pPr>
            <w:r w:rsidRPr="00510B09">
              <w:rPr>
                <w:lang w:eastAsia="de-DE"/>
              </w:rPr>
              <w:t>(Ex 17)</w:t>
            </w:r>
          </w:p>
        </w:tc>
        <w:tc>
          <w:tcPr>
            <w:tcW w:w="1926" w:type="pct"/>
            <w:vAlign w:val="center"/>
          </w:tcPr>
          <w:p w14:paraId="482CCA0E" w14:textId="77777777"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 Ex 17,9 (Amalek-Schlacht): </w:t>
            </w:r>
            <w:r w:rsidRPr="00510B09">
              <w:rPr>
                <w:rFonts w:eastAsia="Times New Roman" w:cs="Times New Roman"/>
                <w:b/>
                <w:bCs/>
                <w:rtl/>
                <w:lang w:eastAsia="de-DE"/>
              </w:rPr>
              <w:t>יְהוֹשֻׁעַ</w:t>
            </w:r>
            <w:r w:rsidRPr="00510B09">
              <w:rPr>
                <w:rFonts w:eastAsia="Times New Roman" w:cs="Times New Roman"/>
                <w:rtl/>
                <w:lang w:eastAsia="de-DE"/>
              </w:rPr>
              <w:t xml:space="preserve"> </w:t>
            </w:r>
            <w:r w:rsidRPr="00510B09">
              <w:rPr>
                <w:rFonts w:eastAsia="Times New Roman" w:cs="Times New Roman"/>
                <w:lang w:eastAsia="de-DE"/>
              </w:rPr>
              <w:t>erscheint erstmals</w:t>
            </w:r>
          </w:p>
          <w:p w14:paraId="4D8C72E2" w14:textId="77777777"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 Num 13,16 ist </w:t>
            </w:r>
            <w:r w:rsidRPr="00510B09">
              <w:rPr>
                <w:rFonts w:eastAsia="Times New Roman" w:cs="Times New Roman"/>
                <w:b/>
                <w:bCs/>
                <w:lang w:eastAsia="de-DE"/>
              </w:rPr>
              <w:t>rückblickende</w:t>
            </w:r>
            <w:r w:rsidRPr="00510B09">
              <w:rPr>
                <w:rFonts w:eastAsia="Times New Roman" w:cs="Times New Roman"/>
                <w:lang w:eastAsia="de-DE"/>
              </w:rPr>
              <w:t xml:space="preserve"> Erklärung ("Mose hatte ihn genannt")</w:t>
            </w:r>
          </w:p>
          <w:p w14:paraId="74999217" w14:textId="0227D7BF"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Ibn Ezra: Num 13,16 ist Parenthese</w:t>
            </w:r>
          </w:p>
        </w:tc>
        <w:tc>
          <w:tcPr>
            <w:tcW w:w="1667" w:type="pct"/>
            <w:vAlign w:val="center"/>
          </w:tcPr>
          <w:p w14:paraId="30EEE376" w14:textId="77777777"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 Num 13,8 nennt ihn </w:t>
            </w:r>
            <w:r w:rsidRPr="00510B09">
              <w:rPr>
                <w:rFonts w:eastAsia="Times New Roman" w:cs="Times New Roman"/>
                <w:b/>
                <w:bCs/>
                <w:lang w:eastAsia="de-DE"/>
              </w:rPr>
              <w:t>Hoschea</w:t>
            </w:r>
            <w:r w:rsidRPr="00510B09">
              <w:rPr>
                <w:rFonts w:eastAsia="Times New Roman" w:cs="Times New Roman"/>
                <w:lang w:eastAsia="de-DE"/>
              </w:rPr>
              <w:t xml:space="preserve"> (widersprüchlich?)</w:t>
            </w:r>
          </w:p>
          <w:p w14:paraId="42867EF5" w14:textId="7989A794"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 Warum erklärt Num 13,16 es </w:t>
            </w:r>
            <w:r w:rsidRPr="00510B09">
              <w:rPr>
                <w:rFonts w:eastAsia="Times New Roman" w:cs="Times New Roman"/>
                <w:b/>
                <w:bCs/>
                <w:lang w:eastAsia="de-DE"/>
              </w:rPr>
              <w:t>erst jetzt</w:t>
            </w:r>
            <w:r w:rsidRPr="00510B09">
              <w:rPr>
                <w:rFonts w:eastAsia="Times New Roman" w:cs="Times New Roman"/>
                <w:lang w:eastAsia="de-DE"/>
              </w:rPr>
              <w:t>?</w:t>
            </w:r>
          </w:p>
        </w:tc>
      </w:tr>
      <w:tr w:rsidR="00510B09" w14:paraId="42F17DC4" w14:textId="77777777" w:rsidTr="00510B09">
        <w:tc>
          <w:tcPr>
            <w:tcW w:w="1407" w:type="pct"/>
            <w:vAlign w:val="center"/>
          </w:tcPr>
          <w:p w14:paraId="5DE30886" w14:textId="6598BF47"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3. Gradueller Prozess</w:t>
            </w:r>
          </w:p>
        </w:tc>
        <w:tc>
          <w:tcPr>
            <w:tcW w:w="1926" w:type="pct"/>
            <w:vAlign w:val="center"/>
          </w:tcPr>
          <w:p w14:paraId="692F0F35" w14:textId="77777777" w:rsidR="00510B09" w:rsidRDefault="00510B09" w:rsidP="00510B09">
            <w:pPr>
              <w:pStyle w:val="KeinLeerraum"/>
              <w:rPr>
                <w:lang w:eastAsia="de-DE"/>
              </w:rPr>
            </w:pPr>
            <w:r w:rsidRPr="00510B09">
              <w:rPr>
                <w:lang w:eastAsia="de-DE"/>
              </w:rPr>
              <w:t>• Ex 17,9:</w:t>
            </w:r>
          </w:p>
          <w:p w14:paraId="44866050" w14:textId="45DEF8E5" w:rsidR="00510B09" w:rsidRDefault="00510B09" w:rsidP="00510B09">
            <w:pPr>
              <w:pStyle w:val="KeinLeerraum"/>
              <w:rPr>
                <w:lang w:eastAsia="de-DE"/>
              </w:rPr>
            </w:pPr>
            <w:r w:rsidRPr="00510B09">
              <w:rPr>
                <w:lang w:eastAsia="de-DE"/>
              </w:rPr>
              <w:t xml:space="preserve"> Erste Verwendung von "Josua" in bestimmten Kontexten</w:t>
            </w:r>
          </w:p>
          <w:p w14:paraId="15FF3625" w14:textId="77777777" w:rsidR="00510B09" w:rsidRDefault="00510B09" w:rsidP="00510B09">
            <w:pPr>
              <w:pStyle w:val="KeinLeerraum"/>
              <w:rPr>
                <w:lang w:eastAsia="de-DE"/>
              </w:rPr>
            </w:pPr>
          </w:p>
          <w:p w14:paraId="752C608D" w14:textId="77777777" w:rsidR="00510B09" w:rsidRDefault="00510B09" w:rsidP="00510B09">
            <w:pPr>
              <w:pStyle w:val="KeinLeerraum"/>
              <w:rPr>
                <w:lang w:eastAsia="de-DE"/>
              </w:rPr>
            </w:pPr>
            <w:r w:rsidRPr="00510B09">
              <w:rPr>
                <w:lang w:eastAsia="de-DE"/>
              </w:rPr>
              <w:t xml:space="preserve">• Num 13,8: </w:t>
            </w:r>
          </w:p>
          <w:p w14:paraId="5E73EEC3" w14:textId="7ACCF1D2" w:rsidR="00510B09" w:rsidRDefault="00510B09" w:rsidP="00510B09">
            <w:pPr>
              <w:pStyle w:val="KeinLeerraum"/>
              <w:rPr>
                <w:b/>
                <w:bCs/>
                <w:lang w:eastAsia="de-DE"/>
              </w:rPr>
            </w:pPr>
            <w:r w:rsidRPr="00510B09">
              <w:rPr>
                <w:lang w:eastAsia="de-DE"/>
              </w:rPr>
              <w:t xml:space="preserve">"Hoschea" ist sein </w:t>
            </w:r>
            <w:r w:rsidRPr="00510B09">
              <w:rPr>
                <w:b/>
                <w:bCs/>
                <w:lang w:eastAsia="de-DE"/>
              </w:rPr>
              <w:t>Geburtsname</w:t>
            </w:r>
          </w:p>
          <w:p w14:paraId="2365F0F7" w14:textId="77777777" w:rsidR="00510B09" w:rsidRDefault="00510B09" w:rsidP="00510B09">
            <w:pPr>
              <w:pStyle w:val="KeinLeerraum"/>
              <w:rPr>
                <w:b/>
                <w:bCs/>
                <w:lang w:eastAsia="de-DE"/>
              </w:rPr>
            </w:pPr>
          </w:p>
          <w:p w14:paraId="6EBF2912" w14:textId="77777777" w:rsidR="00510B09" w:rsidRDefault="00510B09" w:rsidP="00510B09">
            <w:pPr>
              <w:pStyle w:val="KeinLeerraum"/>
              <w:rPr>
                <w:lang w:eastAsia="de-DE"/>
              </w:rPr>
            </w:pPr>
            <w:r w:rsidRPr="00510B09">
              <w:rPr>
                <w:lang w:eastAsia="de-DE"/>
              </w:rPr>
              <w:t xml:space="preserve">• Num 13,16: </w:t>
            </w:r>
          </w:p>
          <w:p w14:paraId="69CAD2C5" w14:textId="6D40EC89" w:rsidR="00510B09" w:rsidRDefault="00510B09" w:rsidP="00510B09">
            <w:pPr>
              <w:pStyle w:val="KeinLeerraum"/>
              <w:rPr>
                <w:lang w:eastAsia="de-DE"/>
              </w:rPr>
            </w:pPr>
            <w:r w:rsidRPr="00510B09">
              <w:rPr>
                <w:b/>
                <w:bCs/>
                <w:lang w:eastAsia="de-DE"/>
              </w:rPr>
              <w:lastRenderedPageBreak/>
              <w:t>Offizielle Bestätigung</w:t>
            </w:r>
            <w:r w:rsidRPr="00510B09">
              <w:rPr>
                <w:lang w:eastAsia="de-DE"/>
              </w:rPr>
              <w:t xml:space="preserve"> der Namensänderung</w:t>
            </w:r>
          </w:p>
        </w:tc>
        <w:tc>
          <w:tcPr>
            <w:tcW w:w="1667" w:type="pct"/>
            <w:vAlign w:val="center"/>
          </w:tcPr>
          <w:p w14:paraId="2504C475" w14:textId="7A71756B" w:rsid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lastRenderedPageBreak/>
              <w:t>• Keine klare textliche Evidenz für graduellen Prozess</w:t>
            </w:r>
          </w:p>
        </w:tc>
      </w:tr>
    </w:tbl>
    <w:p w14:paraId="72589D0D" w14:textId="77777777" w:rsidR="00510B09" w:rsidRPr="00510B09" w:rsidRDefault="00510B09" w:rsidP="00510B09">
      <w:pPr>
        <w:pStyle w:val="KeinLeerraum"/>
        <w:rPr>
          <w:lang w:eastAsia="de-DE"/>
        </w:rPr>
      </w:pPr>
    </w:p>
    <w:p w14:paraId="0524F724"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Wahrscheinlichste Lösung:</w:t>
      </w:r>
    </w:p>
    <w:p w14:paraId="7629D3ED"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Num 13,16 ist eine rückblickende Erklärung (Parenthese), die erklärt, wann/warum Mose Hoscheas Namen änderte.</w:t>
      </w:r>
    </w:p>
    <w:p w14:paraId="3DB41F9D"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Chronologie:</w:t>
      </w:r>
    </w:p>
    <w:p w14:paraId="422D8EE5" w14:textId="77777777" w:rsidR="00510B09" w:rsidRPr="00510B09" w:rsidRDefault="00510B09" w:rsidP="00077755">
      <w:pPr>
        <w:pStyle w:val="KeinLeerraum"/>
        <w:numPr>
          <w:ilvl w:val="0"/>
          <w:numId w:val="110"/>
        </w:numPr>
        <w:rPr>
          <w:lang w:eastAsia="de-DE"/>
        </w:rPr>
      </w:pPr>
      <w:r w:rsidRPr="00510B09">
        <w:rPr>
          <w:b/>
          <w:bCs/>
          <w:lang w:eastAsia="de-DE"/>
        </w:rPr>
        <w:t>Geburt:</w:t>
      </w:r>
      <w:r w:rsidRPr="00510B09">
        <w:rPr>
          <w:lang w:eastAsia="de-DE"/>
        </w:rPr>
        <w:t xml:space="preserve"> Hoschea (</w:t>
      </w:r>
      <w:r w:rsidRPr="00510B09">
        <w:rPr>
          <w:rtl/>
          <w:lang w:eastAsia="de-DE"/>
        </w:rPr>
        <w:t>הוֹשֵׁעַ</w:t>
      </w:r>
      <w:r w:rsidRPr="00510B09">
        <w:rPr>
          <w:lang w:eastAsia="de-DE"/>
        </w:rPr>
        <w:t xml:space="preserve"> = "Rettung")</w:t>
      </w:r>
    </w:p>
    <w:p w14:paraId="68CFBE42" w14:textId="77777777" w:rsidR="00510B09" w:rsidRPr="00510B09" w:rsidRDefault="00510B09" w:rsidP="00077755">
      <w:pPr>
        <w:pStyle w:val="KeinLeerraum"/>
        <w:numPr>
          <w:ilvl w:val="0"/>
          <w:numId w:val="110"/>
        </w:numPr>
        <w:rPr>
          <w:lang w:eastAsia="de-DE"/>
        </w:rPr>
      </w:pPr>
      <w:r w:rsidRPr="00510B09">
        <w:rPr>
          <w:b/>
          <w:bCs/>
          <w:lang w:eastAsia="de-DE"/>
        </w:rPr>
        <w:t>Ex 17,9 (Amalek-Schlacht):</w:t>
      </w:r>
      <w:r w:rsidRPr="00510B09">
        <w:rPr>
          <w:lang w:eastAsia="de-DE"/>
        </w:rPr>
        <w:t xml:space="preserve"> Erste Erwähnung als </w:t>
      </w:r>
      <w:r w:rsidRPr="00510B09">
        <w:rPr>
          <w:b/>
          <w:bCs/>
          <w:lang w:eastAsia="de-DE"/>
        </w:rPr>
        <w:t>Josua</w:t>
      </w:r>
      <w:r w:rsidRPr="00510B09">
        <w:rPr>
          <w:lang w:eastAsia="de-DE"/>
        </w:rPr>
        <w:t xml:space="preserve"> (</w:t>
      </w:r>
      <w:r w:rsidRPr="00510B09">
        <w:rPr>
          <w:rtl/>
          <w:lang w:eastAsia="de-DE"/>
        </w:rPr>
        <w:t>יְהוֹשֻׁעַ</w:t>
      </w:r>
      <w:r w:rsidRPr="00510B09">
        <w:rPr>
          <w:lang w:eastAsia="de-DE"/>
        </w:rPr>
        <w:t xml:space="preserve">) </w:t>
      </w:r>
    </w:p>
    <w:p w14:paraId="04C2C65E" w14:textId="77777777" w:rsidR="00510B09" w:rsidRPr="00510B09" w:rsidRDefault="00510B09" w:rsidP="00077755">
      <w:pPr>
        <w:pStyle w:val="KeinLeerraum"/>
        <w:numPr>
          <w:ilvl w:val="0"/>
          <w:numId w:val="94"/>
        </w:numPr>
        <w:rPr>
          <w:lang w:eastAsia="de-DE"/>
        </w:rPr>
      </w:pPr>
      <w:r w:rsidRPr="00510B09">
        <w:rPr>
          <w:lang w:eastAsia="de-DE"/>
        </w:rPr>
        <w:t xml:space="preserve">Mose änderte den Namen wahrscheinlich </w:t>
      </w:r>
      <w:r w:rsidRPr="00510B09">
        <w:rPr>
          <w:b/>
          <w:bCs/>
          <w:lang w:eastAsia="de-DE"/>
        </w:rPr>
        <w:t>hier</w:t>
      </w:r>
      <w:r w:rsidRPr="00510B09">
        <w:rPr>
          <w:lang w:eastAsia="de-DE"/>
        </w:rPr>
        <w:t xml:space="preserve"> oder </w:t>
      </w:r>
      <w:r w:rsidRPr="00510B09">
        <w:rPr>
          <w:b/>
          <w:bCs/>
          <w:lang w:eastAsia="de-DE"/>
        </w:rPr>
        <w:t>kurz davor</w:t>
      </w:r>
    </w:p>
    <w:p w14:paraId="3F40B633" w14:textId="7108AB86" w:rsidR="00510B09" w:rsidRPr="00510B09" w:rsidRDefault="00510B09" w:rsidP="00077755">
      <w:pPr>
        <w:pStyle w:val="KeinLeerraum"/>
        <w:numPr>
          <w:ilvl w:val="0"/>
          <w:numId w:val="110"/>
        </w:numPr>
        <w:rPr>
          <w:lang w:eastAsia="de-DE"/>
        </w:rPr>
      </w:pPr>
      <w:r w:rsidRPr="00510B09">
        <w:rPr>
          <w:b/>
          <w:bCs/>
          <w:lang w:eastAsia="de-DE"/>
        </w:rPr>
        <w:t>Num 13,8:</w:t>
      </w:r>
      <w:r w:rsidRPr="00510B09">
        <w:rPr>
          <w:lang w:eastAsia="de-DE"/>
        </w:rPr>
        <w:t xml:space="preserve"> Erwähnung als "Hoschea" (Geburtsname zur Identifikation)</w:t>
      </w:r>
    </w:p>
    <w:p w14:paraId="309AA941" w14:textId="3D5FE8D2" w:rsidR="00510B09" w:rsidRPr="00510B09" w:rsidRDefault="00510B09" w:rsidP="00077755">
      <w:pPr>
        <w:pStyle w:val="KeinLeerraum"/>
        <w:numPr>
          <w:ilvl w:val="0"/>
          <w:numId w:val="110"/>
        </w:numPr>
        <w:rPr>
          <w:lang w:eastAsia="de-DE"/>
        </w:rPr>
      </w:pPr>
      <w:r w:rsidRPr="00510B09">
        <w:rPr>
          <w:b/>
          <w:bCs/>
          <w:lang w:eastAsia="de-DE"/>
        </w:rPr>
        <w:t>Num 13,16:</w:t>
      </w:r>
      <w:r w:rsidRPr="00510B09">
        <w:rPr>
          <w:lang w:eastAsia="de-DE"/>
        </w:rPr>
        <w:t xml:space="preserve"> </w:t>
      </w:r>
      <w:r w:rsidRPr="00510B09">
        <w:rPr>
          <w:b/>
          <w:bCs/>
          <w:lang w:eastAsia="de-DE"/>
        </w:rPr>
        <w:t>Erklärung</w:t>
      </w:r>
      <w:r w:rsidRPr="00510B09">
        <w:rPr>
          <w:lang w:eastAsia="de-DE"/>
        </w:rPr>
        <w:t xml:space="preserve"> der Namensänderung (Parenthese)</w:t>
      </w:r>
    </w:p>
    <w:p w14:paraId="385BFD94"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Theologische Bedeutung:</w:t>
      </w:r>
    </w:p>
    <w:p w14:paraId="3C1BDDE0"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1. Namensänderung = Identitätswandel:</w:t>
      </w:r>
    </w:p>
    <w:p w14:paraId="141B9C51" w14:textId="77777777" w:rsidR="00510B09" w:rsidRPr="00510B09" w:rsidRDefault="00510B09" w:rsidP="00077755">
      <w:pPr>
        <w:numPr>
          <w:ilvl w:val="0"/>
          <w:numId w:val="106"/>
        </w:numPr>
        <w:spacing w:before="100" w:beforeAutospacing="1" w:after="100" w:afterAutospacing="1" w:line="240" w:lineRule="auto"/>
        <w:rPr>
          <w:rFonts w:eastAsia="Times New Roman" w:cs="Times New Roman"/>
          <w:lang w:eastAsia="de-DE"/>
        </w:rPr>
      </w:pPr>
      <w:r w:rsidRPr="00510B09">
        <w:rPr>
          <w:rFonts w:eastAsia="Times New Roman" w:cs="Times New Roman"/>
          <w:b/>
          <w:bCs/>
          <w:rtl/>
          <w:lang w:eastAsia="de-DE"/>
        </w:rPr>
        <w:t>הוֹשֵׁעַ</w:t>
      </w:r>
      <w:r w:rsidRPr="00510B09">
        <w:rPr>
          <w:rFonts w:eastAsia="Times New Roman" w:cs="Times New Roman"/>
          <w:rtl/>
          <w:lang w:eastAsia="de-DE"/>
        </w:rPr>
        <w:t xml:space="preserve"> </w:t>
      </w:r>
      <w:r w:rsidRPr="00510B09">
        <w:rPr>
          <w:rFonts w:eastAsia="Times New Roman" w:cs="Times New Roman"/>
          <w:lang w:eastAsia="de-DE"/>
        </w:rPr>
        <w:t>(Hoschea) = "Rettung" (allgemein)</w:t>
      </w:r>
    </w:p>
    <w:p w14:paraId="02487CE9" w14:textId="77777777" w:rsidR="00510B09" w:rsidRPr="00510B09" w:rsidRDefault="00510B09" w:rsidP="00077755">
      <w:pPr>
        <w:numPr>
          <w:ilvl w:val="0"/>
          <w:numId w:val="106"/>
        </w:numPr>
        <w:spacing w:before="100" w:beforeAutospacing="1" w:after="100" w:afterAutospacing="1" w:line="240" w:lineRule="auto"/>
        <w:rPr>
          <w:rFonts w:eastAsia="Times New Roman" w:cs="Times New Roman"/>
          <w:lang w:eastAsia="de-DE"/>
        </w:rPr>
      </w:pPr>
      <w:r w:rsidRPr="00510B09">
        <w:rPr>
          <w:rFonts w:eastAsia="Times New Roman" w:cs="Times New Roman"/>
          <w:b/>
          <w:bCs/>
          <w:rtl/>
          <w:lang w:eastAsia="de-DE"/>
        </w:rPr>
        <w:t>יְהוֹשֻׁעַ</w:t>
      </w:r>
      <w:r w:rsidRPr="00510B09">
        <w:rPr>
          <w:rFonts w:eastAsia="Times New Roman" w:cs="Times New Roman"/>
          <w:rtl/>
          <w:lang w:eastAsia="de-DE"/>
        </w:rPr>
        <w:t xml:space="preserve"> </w:t>
      </w:r>
      <w:r w:rsidRPr="00510B09">
        <w:rPr>
          <w:rFonts w:eastAsia="Times New Roman" w:cs="Times New Roman"/>
          <w:lang w:eastAsia="de-DE"/>
        </w:rPr>
        <w:t>(Josua) = "</w:t>
      </w:r>
      <w:r w:rsidRPr="00510B09">
        <w:rPr>
          <w:rFonts w:eastAsia="Times New Roman" w:cs="Times New Roman"/>
          <w:b/>
          <w:bCs/>
          <w:lang w:eastAsia="de-DE"/>
        </w:rPr>
        <w:t>JHWH</w:t>
      </w:r>
      <w:r w:rsidRPr="00510B09">
        <w:rPr>
          <w:rFonts w:eastAsia="Times New Roman" w:cs="Times New Roman"/>
          <w:lang w:eastAsia="de-DE"/>
        </w:rPr>
        <w:t xml:space="preserve"> ist Rettung" (spezifisch!)</w:t>
      </w:r>
    </w:p>
    <w:p w14:paraId="31ECB3F0"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2. Vorbereitung auf Führungsrolle:</w:t>
      </w:r>
    </w:p>
    <w:p w14:paraId="60BFC7FE" w14:textId="77777777" w:rsidR="00510B09" w:rsidRPr="00510B09" w:rsidRDefault="00510B09" w:rsidP="00077755">
      <w:pPr>
        <w:numPr>
          <w:ilvl w:val="0"/>
          <w:numId w:val="107"/>
        </w:num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Josua wird Moses </w:t>
      </w:r>
      <w:r w:rsidRPr="00510B09">
        <w:rPr>
          <w:rFonts w:eastAsia="Times New Roman" w:cs="Times New Roman"/>
          <w:b/>
          <w:bCs/>
          <w:lang w:eastAsia="de-DE"/>
        </w:rPr>
        <w:t>Nachfolger</w:t>
      </w:r>
      <w:r w:rsidRPr="00510B09">
        <w:rPr>
          <w:rFonts w:eastAsia="Times New Roman" w:cs="Times New Roman"/>
          <w:lang w:eastAsia="de-DE"/>
        </w:rPr>
        <w:t xml:space="preserve"> (Num 27,18-23; Dtn 31,7-8)</w:t>
      </w:r>
    </w:p>
    <w:p w14:paraId="386848E5" w14:textId="77777777" w:rsidR="00510B09" w:rsidRPr="00510B09" w:rsidRDefault="00510B09" w:rsidP="00077755">
      <w:pPr>
        <w:numPr>
          <w:ilvl w:val="0"/>
          <w:numId w:val="107"/>
        </w:num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Der Name betont: Rettung kommt </w:t>
      </w:r>
      <w:r w:rsidRPr="00510B09">
        <w:rPr>
          <w:rFonts w:eastAsia="Times New Roman" w:cs="Times New Roman"/>
          <w:b/>
          <w:bCs/>
          <w:lang w:eastAsia="de-DE"/>
        </w:rPr>
        <w:t>von JHWH</w:t>
      </w:r>
      <w:r w:rsidRPr="00510B09">
        <w:rPr>
          <w:rFonts w:eastAsia="Times New Roman" w:cs="Times New Roman"/>
          <w:lang w:eastAsia="de-DE"/>
        </w:rPr>
        <w:t>, nicht durch menschliche Stärke</w:t>
      </w:r>
    </w:p>
    <w:p w14:paraId="13C14911"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3. Kontrast zu anderen Kundschaftern:</w:t>
      </w:r>
    </w:p>
    <w:p w14:paraId="791CDCC6" w14:textId="77777777" w:rsidR="00510B09" w:rsidRPr="00510B09" w:rsidRDefault="00510B09" w:rsidP="00077755">
      <w:pPr>
        <w:numPr>
          <w:ilvl w:val="0"/>
          <w:numId w:val="108"/>
        </w:num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Josua (+ Kaleb) vertrauen auf </w:t>
      </w:r>
      <w:r w:rsidRPr="00510B09">
        <w:rPr>
          <w:rFonts w:eastAsia="Times New Roman" w:cs="Times New Roman"/>
          <w:b/>
          <w:bCs/>
          <w:lang w:eastAsia="de-DE"/>
        </w:rPr>
        <w:t>JHWH</w:t>
      </w:r>
      <w:r w:rsidRPr="00510B09">
        <w:rPr>
          <w:rFonts w:eastAsia="Times New Roman" w:cs="Times New Roman"/>
          <w:lang w:eastAsia="de-DE"/>
        </w:rPr>
        <w:t xml:space="preserve"> (Num 14,6-9)</w:t>
      </w:r>
    </w:p>
    <w:p w14:paraId="634EA2B2" w14:textId="77777777" w:rsidR="00510B09" w:rsidRPr="00510B09" w:rsidRDefault="00510B09" w:rsidP="00077755">
      <w:pPr>
        <w:numPr>
          <w:ilvl w:val="0"/>
          <w:numId w:val="108"/>
        </w:num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Die anderen 10 vertrauen auf </w:t>
      </w:r>
      <w:r w:rsidRPr="00510B09">
        <w:rPr>
          <w:rFonts w:eastAsia="Times New Roman" w:cs="Times New Roman"/>
          <w:b/>
          <w:bCs/>
          <w:lang w:eastAsia="de-DE"/>
        </w:rPr>
        <w:t>menschliche Stärke</w:t>
      </w:r>
      <w:r w:rsidRPr="00510B09">
        <w:rPr>
          <w:rFonts w:eastAsia="Times New Roman" w:cs="Times New Roman"/>
          <w:lang w:eastAsia="de-DE"/>
        </w:rPr>
        <w:t xml:space="preserve"> (Num 13,31)</w:t>
      </w:r>
    </w:p>
    <w:p w14:paraId="5AC46FCA" w14:textId="77777777" w:rsidR="00510B09" w:rsidRPr="00510B09" w:rsidRDefault="00510B09" w:rsidP="00510B09">
      <w:p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4. Typologische Bedeutung:</w:t>
      </w:r>
    </w:p>
    <w:p w14:paraId="3D016C27" w14:textId="77777777" w:rsidR="00510B09" w:rsidRPr="00510B09" w:rsidRDefault="00510B09" w:rsidP="00077755">
      <w:pPr>
        <w:numPr>
          <w:ilvl w:val="0"/>
          <w:numId w:val="109"/>
        </w:numPr>
        <w:spacing w:before="100" w:beforeAutospacing="1" w:after="100" w:afterAutospacing="1" w:line="240" w:lineRule="auto"/>
        <w:rPr>
          <w:rFonts w:eastAsia="Times New Roman" w:cs="Times New Roman"/>
          <w:lang w:eastAsia="de-DE"/>
        </w:rPr>
      </w:pPr>
      <w:r w:rsidRPr="00510B09">
        <w:rPr>
          <w:rFonts w:eastAsia="Times New Roman" w:cs="Times New Roman"/>
          <w:b/>
          <w:bCs/>
          <w:lang w:eastAsia="de-DE"/>
        </w:rPr>
        <w:t>Josua</w:t>
      </w:r>
      <w:r w:rsidRPr="00510B09">
        <w:rPr>
          <w:rFonts w:eastAsia="Times New Roman" w:cs="Times New Roman"/>
          <w:lang w:eastAsia="de-DE"/>
        </w:rPr>
        <w:t xml:space="preserve"> (Hebräisch: </w:t>
      </w:r>
      <w:r w:rsidRPr="00510B09">
        <w:rPr>
          <w:rFonts w:eastAsia="Times New Roman" w:cs="Times New Roman"/>
          <w:rtl/>
          <w:lang w:eastAsia="de-DE"/>
        </w:rPr>
        <w:t>יְהוֹשֻׁעַ</w:t>
      </w:r>
      <w:r w:rsidRPr="00510B09">
        <w:rPr>
          <w:rFonts w:eastAsia="Times New Roman" w:cs="Times New Roman"/>
          <w:lang w:eastAsia="de-DE"/>
        </w:rPr>
        <w:t xml:space="preserve">) = </w:t>
      </w:r>
      <w:r w:rsidRPr="00510B09">
        <w:rPr>
          <w:rFonts w:eastAsia="Times New Roman" w:cs="Times New Roman"/>
          <w:b/>
          <w:bCs/>
          <w:lang w:eastAsia="de-DE"/>
        </w:rPr>
        <w:t>Jesus</w:t>
      </w:r>
      <w:r w:rsidRPr="00510B09">
        <w:rPr>
          <w:rFonts w:eastAsia="Times New Roman" w:cs="Times New Roman"/>
          <w:lang w:eastAsia="de-DE"/>
        </w:rPr>
        <w:t xml:space="preserve"> (Griechisch: Ἰησοῦς)</w:t>
      </w:r>
    </w:p>
    <w:p w14:paraId="7A9EF0DA" w14:textId="77777777" w:rsidR="00510B09" w:rsidRPr="00510B09" w:rsidRDefault="00510B09" w:rsidP="00077755">
      <w:pPr>
        <w:numPr>
          <w:ilvl w:val="0"/>
          <w:numId w:val="109"/>
        </w:num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Beide Namen bedeuten: "JHWH rettet" / "Der Herr rettet"</w:t>
      </w:r>
    </w:p>
    <w:p w14:paraId="3ED29BEF" w14:textId="474BF918" w:rsidR="003072D8" w:rsidRPr="00F44D88" w:rsidRDefault="00510B09" w:rsidP="00F44D88">
      <w:pPr>
        <w:numPr>
          <w:ilvl w:val="0"/>
          <w:numId w:val="109"/>
        </w:numPr>
        <w:spacing w:before="100" w:beforeAutospacing="1" w:after="100" w:afterAutospacing="1" w:line="240" w:lineRule="auto"/>
        <w:rPr>
          <w:rFonts w:eastAsia="Times New Roman" w:cs="Times New Roman"/>
          <w:lang w:eastAsia="de-DE"/>
        </w:rPr>
      </w:pPr>
      <w:r w:rsidRPr="00510B09">
        <w:rPr>
          <w:rFonts w:eastAsia="Times New Roman" w:cs="Times New Roman"/>
          <w:lang w:eastAsia="de-DE"/>
        </w:rPr>
        <w:t xml:space="preserve">Josua führt Israel ins </w:t>
      </w:r>
      <w:r w:rsidRPr="00510B09">
        <w:rPr>
          <w:rFonts w:eastAsia="Times New Roman" w:cs="Times New Roman"/>
          <w:b/>
          <w:bCs/>
          <w:lang w:eastAsia="de-DE"/>
        </w:rPr>
        <w:t>verheißene Land</w:t>
      </w:r>
      <w:r w:rsidRPr="00510B09">
        <w:rPr>
          <w:rFonts w:eastAsia="Times New Roman" w:cs="Times New Roman"/>
          <w:lang w:eastAsia="de-DE"/>
        </w:rPr>
        <w:t xml:space="preserve"> → Jesus führt ins </w:t>
      </w:r>
      <w:r w:rsidRPr="00510B09">
        <w:rPr>
          <w:rFonts w:eastAsia="Times New Roman" w:cs="Times New Roman"/>
          <w:b/>
          <w:bCs/>
          <w:lang w:eastAsia="de-DE"/>
        </w:rPr>
        <w:t>ewige Leben</w:t>
      </w:r>
    </w:p>
    <w:p w14:paraId="6C1C71FF"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13,17</w:t>
      </w:r>
    </w:p>
    <w:p w14:paraId="1A4E39A7"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וַיִּשְׁלַ֤ח אֹתָם֙ מֹשֶׁ֔ה לָת֖וּר אֶת־אֶ֣רֶץ כְּנָ֑עַן וַיֹּ֣אמֶר אֲלֵהֶ֗ם עֲל֥וּ זֶה֙ בַּנֶּ֔גֶב וַעֲלִיתֶ֖ם אֶת־הָהָֽר׃</w:t>
      </w:r>
    </w:p>
    <w:p w14:paraId="4606727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Mosche sandte sie, das Land Kena'an auszukundschaften, und sprach zu ihnen: Zieht hier hinauf ins Negev und steigt auf das Gebirge.</w:t>
      </w:r>
    </w:p>
    <w:p w14:paraId="00612A6D"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427955AB">
          <v:rect id="_x0000_i1436" style="width:0;height:1.5pt" o:hralign="center" o:hrstd="t" o:hr="t" fillcolor="#a0a0a0" stroked="f"/>
        </w:pict>
      </w:r>
    </w:p>
    <w:p w14:paraId="2AA5551E" w14:textId="6287930F"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Kommentar:</w:t>
      </w:r>
      <w:r w:rsidRPr="006E39D1">
        <w:rPr>
          <w:rFonts w:eastAsia="Times New Roman" w:cs="Times New Roman"/>
          <w:lang w:eastAsia="de-DE"/>
        </w:rPr>
        <w:t xml:space="preserve"> Das Verb </w:t>
      </w:r>
      <w:r w:rsidRPr="006E39D1">
        <w:rPr>
          <w:rFonts w:eastAsia="Times New Roman" w:cs="Times New Roman"/>
          <w:b/>
          <w:bCs/>
          <w:rtl/>
          <w:lang w:eastAsia="de-DE"/>
        </w:rPr>
        <w:t>וַיִּשְׁלַ֤ח אֹתָם֙ מֹשֶׁ֔ה לָת֖וּר אֶת־אֶ֣רֶץ כְּנָ֑עַן</w:t>
      </w:r>
      <w:r w:rsidRPr="006E39D1">
        <w:rPr>
          <w:rFonts w:eastAsia="Times New Roman" w:cs="Times New Roman"/>
          <w:rtl/>
          <w:lang w:eastAsia="de-DE"/>
        </w:rPr>
        <w:t xml:space="preserve"> </w:t>
      </w:r>
      <w:r w:rsidRPr="006E39D1">
        <w:rPr>
          <w:rFonts w:eastAsia="Times New Roman" w:cs="Times New Roman"/>
          <w:lang w:eastAsia="de-DE"/>
        </w:rPr>
        <w:t xml:space="preserve">(und Mose sandte sie, das Land Kanaan auszukundschaften) mit </w:t>
      </w:r>
      <w:r w:rsidRPr="006E39D1">
        <w:rPr>
          <w:rFonts w:eastAsia="Times New Roman" w:cs="Times New Roman"/>
          <w:b/>
          <w:bCs/>
          <w:rtl/>
          <w:lang w:eastAsia="de-DE"/>
        </w:rPr>
        <w:t>יִּשְׁלַח</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שלח</w:t>
      </w:r>
      <w:r w:rsidRPr="006E39D1">
        <w:rPr>
          <w:rFonts w:eastAsia="Times New Roman" w:cs="Times New Roman"/>
          <w:rtl/>
          <w:lang w:eastAsia="de-DE"/>
        </w:rPr>
        <w:t xml:space="preserve"> </w:t>
      </w:r>
      <w:r w:rsidRPr="006E39D1">
        <w:rPr>
          <w:rFonts w:eastAsia="Times New Roman" w:cs="Times New Roman"/>
          <w:lang w:eastAsia="de-DE"/>
        </w:rPr>
        <w:t xml:space="preserve">(senden) im Qal-Imperfekt 3. maskulin Singular und </w:t>
      </w:r>
      <w:r w:rsidRPr="006E39D1">
        <w:rPr>
          <w:rFonts w:eastAsia="Times New Roman" w:cs="Times New Roman"/>
          <w:b/>
          <w:bCs/>
          <w:rtl/>
          <w:lang w:eastAsia="de-DE"/>
        </w:rPr>
        <w:t>לָתוּר</w:t>
      </w:r>
      <w:r w:rsidRPr="006E39D1">
        <w:rPr>
          <w:rFonts w:eastAsia="Times New Roman" w:cs="Times New Roman"/>
          <w:rtl/>
          <w:lang w:eastAsia="de-DE"/>
        </w:rPr>
        <w:t xml:space="preserve"> </w:t>
      </w:r>
      <w:r w:rsidRPr="006E39D1">
        <w:rPr>
          <w:rFonts w:eastAsia="Times New Roman" w:cs="Times New Roman"/>
          <w:lang w:eastAsia="de-DE"/>
        </w:rPr>
        <w:t>als Qal-Infinitiv-</w:t>
      </w:r>
      <w:r w:rsidR="00F133EC">
        <w:rPr>
          <w:rFonts w:eastAsia="Times New Roman" w:cs="Times New Roman"/>
          <w:lang w:eastAsia="de-DE"/>
        </w:rPr>
        <w:t>Construct</w:t>
      </w:r>
      <w:r w:rsidRPr="006E39D1">
        <w:rPr>
          <w:rFonts w:eastAsia="Times New Roman" w:cs="Times New Roman"/>
          <w:lang w:eastAsia="de-DE"/>
        </w:rPr>
        <w:t xml:space="preserve"> von </w:t>
      </w:r>
      <w:r w:rsidRPr="006E39D1">
        <w:rPr>
          <w:rFonts w:eastAsia="Times New Roman" w:cs="Times New Roman"/>
          <w:b/>
          <w:bCs/>
          <w:rtl/>
          <w:lang w:eastAsia="de-DE"/>
        </w:rPr>
        <w:t>תור</w:t>
      </w:r>
      <w:r w:rsidRPr="006E39D1">
        <w:rPr>
          <w:rFonts w:eastAsia="Times New Roman" w:cs="Times New Roman"/>
          <w:rtl/>
          <w:lang w:eastAsia="de-DE"/>
        </w:rPr>
        <w:t xml:space="preserve"> </w:t>
      </w:r>
      <w:r w:rsidRPr="006E39D1">
        <w:rPr>
          <w:rFonts w:eastAsia="Times New Roman" w:cs="Times New Roman"/>
          <w:lang w:eastAsia="de-DE"/>
        </w:rPr>
        <w:t>(erkunden) zeigt Moses detaillierte Anweisungen für die Mission.</w:t>
      </w:r>
    </w:p>
    <w:p w14:paraId="23BF183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Routenanweisung </w:t>
      </w:r>
      <w:r w:rsidRPr="006E39D1">
        <w:rPr>
          <w:rFonts w:eastAsia="Times New Roman" w:cs="Times New Roman"/>
          <w:b/>
          <w:bCs/>
          <w:rtl/>
          <w:lang w:eastAsia="de-DE"/>
        </w:rPr>
        <w:t>עֲל֥וּ זֶה֙ בַּנֶּ֔גֶב וַעֲלִיתֶ֖ם אֶת־הָהָֽר</w:t>
      </w:r>
      <w:r w:rsidRPr="006E39D1">
        <w:rPr>
          <w:rFonts w:eastAsia="Times New Roman" w:cs="Times New Roman"/>
          <w:rtl/>
          <w:lang w:eastAsia="de-DE"/>
        </w:rPr>
        <w:t xml:space="preserve"> </w:t>
      </w:r>
      <w:r w:rsidRPr="006E39D1">
        <w:rPr>
          <w:rFonts w:eastAsia="Times New Roman" w:cs="Times New Roman"/>
          <w:lang w:eastAsia="de-DE"/>
        </w:rPr>
        <w:t xml:space="preserve">(zieht hier hinauf ins Negev und steigt auf das Gebirge) mit </w:t>
      </w:r>
      <w:r w:rsidRPr="006E39D1">
        <w:rPr>
          <w:rFonts w:eastAsia="Times New Roman" w:cs="Times New Roman"/>
          <w:b/>
          <w:bCs/>
          <w:rtl/>
          <w:lang w:eastAsia="de-DE"/>
        </w:rPr>
        <w:t>עֲלוּ</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עלה</w:t>
      </w:r>
      <w:r w:rsidRPr="006E39D1">
        <w:rPr>
          <w:rFonts w:eastAsia="Times New Roman" w:cs="Times New Roman"/>
          <w:rtl/>
          <w:lang w:eastAsia="de-DE"/>
        </w:rPr>
        <w:t xml:space="preserve"> </w:t>
      </w:r>
      <w:r w:rsidRPr="006E39D1">
        <w:rPr>
          <w:rFonts w:eastAsia="Times New Roman" w:cs="Times New Roman"/>
          <w:lang w:eastAsia="de-DE"/>
        </w:rPr>
        <w:t xml:space="preserve">(hinaufsteigen) im Qal-Imperativ Plural, </w:t>
      </w:r>
      <w:r w:rsidRPr="006E39D1">
        <w:rPr>
          <w:rFonts w:eastAsia="Times New Roman" w:cs="Times New Roman"/>
          <w:b/>
          <w:bCs/>
          <w:rtl/>
          <w:lang w:eastAsia="de-DE"/>
        </w:rPr>
        <w:t>זֶה</w:t>
      </w:r>
      <w:r w:rsidRPr="006E39D1">
        <w:rPr>
          <w:rFonts w:eastAsia="Times New Roman" w:cs="Times New Roman"/>
          <w:rtl/>
          <w:lang w:eastAsia="de-DE"/>
        </w:rPr>
        <w:t xml:space="preserve"> </w:t>
      </w:r>
      <w:r w:rsidRPr="006E39D1">
        <w:rPr>
          <w:rFonts w:eastAsia="Times New Roman" w:cs="Times New Roman"/>
          <w:lang w:eastAsia="de-DE"/>
        </w:rPr>
        <w:t xml:space="preserve">(hier) als Richtungsangabe, </w:t>
      </w:r>
      <w:r w:rsidRPr="006E39D1">
        <w:rPr>
          <w:rFonts w:eastAsia="Times New Roman" w:cs="Times New Roman"/>
          <w:b/>
          <w:bCs/>
          <w:rtl/>
          <w:lang w:eastAsia="de-DE"/>
        </w:rPr>
        <w:t>בַּנֶּגֶב</w:t>
      </w:r>
      <w:r w:rsidRPr="006E39D1">
        <w:rPr>
          <w:rFonts w:eastAsia="Times New Roman" w:cs="Times New Roman"/>
          <w:rtl/>
          <w:lang w:eastAsia="de-DE"/>
        </w:rPr>
        <w:t xml:space="preserve"> </w:t>
      </w:r>
      <w:r w:rsidRPr="006E39D1">
        <w:rPr>
          <w:rFonts w:eastAsia="Times New Roman" w:cs="Times New Roman"/>
          <w:lang w:eastAsia="de-DE"/>
        </w:rPr>
        <w:t xml:space="preserve">(ins Negev) als erste Region und </w:t>
      </w:r>
      <w:r w:rsidRPr="006E39D1">
        <w:rPr>
          <w:rFonts w:eastAsia="Times New Roman" w:cs="Times New Roman"/>
          <w:b/>
          <w:bCs/>
          <w:rtl/>
          <w:lang w:eastAsia="de-DE"/>
        </w:rPr>
        <w:t>עֲלִיתֶם אֶת־הָהָר</w:t>
      </w:r>
      <w:r w:rsidRPr="006E39D1">
        <w:rPr>
          <w:rFonts w:eastAsia="Times New Roman" w:cs="Times New Roman"/>
          <w:rtl/>
          <w:lang w:eastAsia="de-DE"/>
        </w:rPr>
        <w:t xml:space="preserve"> </w:t>
      </w:r>
      <w:r w:rsidRPr="006E39D1">
        <w:rPr>
          <w:rFonts w:eastAsia="Times New Roman" w:cs="Times New Roman"/>
          <w:lang w:eastAsia="de-DE"/>
        </w:rPr>
        <w:t>(steigt auf das Gebirge) zeigt die strategische Route von Süden nach Norden durch das zentrale Bergland.</w:t>
      </w:r>
    </w:p>
    <w:p w14:paraId="7512018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לָתוּר</w:t>
      </w:r>
      <w:r w:rsidRPr="006E39D1">
        <w:rPr>
          <w:rFonts w:eastAsia="Times New Roman" w:cs="Times New Roman"/>
          <w:rtl/>
          <w:lang w:eastAsia="de-DE"/>
        </w:rPr>
        <w:t xml:space="preserve"> </w:t>
      </w:r>
      <w:r w:rsidRPr="006E39D1">
        <w:rPr>
          <w:rFonts w:eastAsia="Times New Roman" w:cs="Times New Roman"/>
          <w:lang w:eastAsia="de-DE"/>
        </w:rPr>
        <w:t xml:space="preserve">mit κατασκέψασθαι (erkunden), </w:t>
      </w:r>
      <w:r w:rsidRPr="006E39D1">
        <w:rPr>
          <w:rFonts w:eastAsia="Times New Roman" w:cs="Times New Roman"/>
          <w:b/>
          <w:bCs/>
          <w:rtl/>
          <w:lang w:eastAsia="de-DE"/>
        </w:rPr>
        <w:t>עֲלוּ</w:t>
      </w:r>
      <w:r w:rsidRPr="006E39D1">
        <w:rPr>
          <w:rFonts w:eastAsia="Times New Roman" w:cs="Times New Roman"/>
          <w:rtl/>
          <w:lang w:eastAsia="de-DE"/>
        </w:rPr>
        <w:t xml:space="preserve"> </w:t>
      </w:r>
      <w:r w:rsidRPr="006E39D1">
        <w:rPr>
          <w:rFonts w:eastAsia="Times New Roman" w:cs="Times New Roman"/>
          <w:lang w:eastAsia="de-DE"/>
        </w:rPr>
        <w:t xml:space="preserve">mit ἀνάβητε (steigt hinauf), </w:t>
      </w:r>
      <w:r w:rsidRPr="006E39D1">
        <w:rPr>
          <w:rFonts w:eastAsia="Times New Roman" w:cs="Times New Roman"/>
          <w:b/>
          <w:bCs/>
          <w:rtl/>
          <w:lang w:eastAsia="de-DE"/>
        </w:rPr>
        <w:t>בַּנֶּגֶב</w:t>
      </w:r>
      <w:r w:rsidRPr="006E39D1">
        <w:rPr>
          <w:rFonts w:eastAsia="Times New Roman" w:cs="Times New Roman"/>
          <w:rtl/>
          <w:lang w:eastAsia="de-DE"/>
        </w:rPr>
        <w:t xml:space="preserve"> </w:t>
      </w:r>
      <w:r w:rsidRPr="006E39D1">
        <w:rPr>
          <w:rFonts w:eastAsia="Times New Roman" w:cs="Times New Roman"/>
          <w:lang w:eastAsia="de-DE"/>
        </w:rPr>
        <w:t xml:space="preserve">mit κατὰ τὴν ἔρημον (durch die Wüste) und </w:t>
      </w:r>
      <w:r w:rsidRPr="006E39D1">
        <w:rPr>
          <w:rFonts w:eastAsia="Times New Roman" w:cs="Times New Roman"/>
          <w:b/>
          <w:bCs/>
          <w:rtl/>
          <w:lang w:eastAsia="de-DE"/>
        </w:rPr>
        <w:t>הָהָר</w:t>
      </w:r>
      <w:r w:rsidRPr="006E39D1">
        <w:rPr>
          <w:rFonts w:eastAsia="Times New Roman" w:cs="Times New Roman"/>
          <w:rtl/>
          <w:lang w:eastAsia="de-DE"/>
        </w:rPr>
        <w:t xml:space="preserve"> </w:t>
      </w:r>
      <w:r w:rsidRPr="006E39D1">
        <w:rPr>
          <w:rFonts w:eastAsia="Times New Roman" w:cs="Times New Roman"/>
          <w:lang w:eastAsia="de-DE"/>
        </w:rPr>
        <w:t>mit τὸ ὄρος (das Gebirge).</w:t>
      </w:r>
    </w:p>
    <w:p w14:paraId="4ED16D5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Sendungshandlung, Zweckangabe und detaillierte Routenanweisung.</w:t>
      </w:r>
    </w:p>
    <w:p w14:paraId="535B64D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beginnt Moses spezifische Instruktionen für die Kundschaftermission mit einer strategischen Route durch das verheißene Land.</w:t>
      </w:r>
    </w:p>
    <w:p w14:paraId="743755BA"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13,18</w:t>
      </w:r>
    </w:p>
    <w:p w14:paraId="09E0BC6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Hebräisch:</w:t>
      </w:r>
      <w:r w:rsidRPr="006E39D1">
        <w:rPr>
          <w:rFonts w:eastAsia="Times New Roman" w:cs="Times New Roman"/>
          <w:lang w:eastAsia="de-DE"/>
        </w:rPr>
        <w:t xml:space="preserve"> </w:t>
      </w:r>
      <w:r w:rsidRPr="006E39D1">
        <w:rPr>
          <w:rFonts w:eastAsia="Times New Roman" w:cs="Times New Roman"/>
          <w:rtl/>
          <w:lang w:eastAsia="de-DE"/>
        </w:rPr>
        <w:t>וּרְאִיתֶ֥ם אֶת־הָאָ֖רֶץ מַה־הִ֑וא וְאֶת־הָעָם֙ הַיֹּשֵׁ֣ב עָלֶ֔יהָ הֶחָזָ֥ק הוּא֙ הֲרָפֶ֔ה הַמְעַ֥ט ה֖וּא אִם־רָֽב׃</w:t>
      </w:r>
    </w:p>
    <w:p w14:paraId="0DA9852E"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seht das Land, wie es ist; und das Volk, das darin wohnt, ob es stark oder schwach, ob es wenig oder zahlreich ist.</w:t>
      </w:r>
    </w:p>
    <w:p w14:paraId="3B66F88C"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43D84BE6">
          <v:rect id="_x0000_i1437" style="width:0;height:1.5pt" o:hralign="center" o:hrstd="t" o:hr="t" fillcolor="#a0a0a0" stroked="f"/>
        </w:pict>
      </w:r>
    </w:p>
    <w:p w14:paraId="7859ED9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Der Imperativ </w:t>
      </w:r>
      <w:r w:rsidRPr="006E39D1">
        <w:rPr>
          <w:rFonts w:eastAsia="Times New Roman" w:cs="Times New Roman"/>
          <w:b/>
          <w:bCs/>
          <w:rtl/>
          <w:lang w:eastAsia="de-DE"/>
        </w:rPr>
        <w:t>וּרְאִיתֶ֥ם אֶת־הָאָ֖רֶץ מַה־הִ֑וא</w:t>
      </w:r>
      <w:r w:rsidRPr="006E39D1">
        <w:rPr>
          <w:rFonts w:eastAsia="Times New Roman" w:cs="Times New Roman"/>
          <w:rtl/>
          <w:lang w:eastAsia="de-DE"/>
        </w:rPr>
        <w:t xml:space="preserve"> </w:t>
      </w:r>
      <w:r w:rsidRPr="006E39D1">
        <w:rPr>
          <w:rFonts w:eastAsia="Times New Roman" w:cs="Times New Roman"/>
          <w:lang w:eastAsia="de-DE"/>
        </w:rPr>
        <w:t xml:space="preserve">(und seht das Land, wie es ist) mit </w:t>
      </w:r>
      <w:r w:rsidRPr="006E39D1">
        <w:rPr>
          <w:rFonts w:eastAsia="Times New Roman" w:cs="Times New Roman"/>
          <w:b/>
          <w:bCs/>
          <w:rtl/>
          <w:lang w:eastAsia="de-DE"/>
        </w:rPr>
        <w:t>רְאִיתֶם</w:t>
      </w:r>
      <w:r w:rsidRPr="006E39D1">
        <w:rPr>
          <w:rFonts w:eastAsia="Times New Roman" w:cs="Times New Roman"/>
          <w:rtl/>
          <w:lang w:eastAsia="de-DE"/>
        </w:rPr>
        <w:t xml:space="preserve"> </w:t>
      </w:r>
      <w:r w:rsidRPr="006E39D1">
        <w:rPr>
          <w:rFonts w:eastAsia="Times New Roman" w:cs="Times New Roman"/>
          <w:lang w:eastAsia="de-DE"/>
        </w:rPr>
        <w:t xml:space="preserve">von </w:t>
      </w:r>
      <w:r w:rsidRPr="006E39D1">
        <w:rPr>
          <w:rFonts w:eastAsia="Times New Roman" w:cs="Times New Roman"/>
          <w:b/>
          <w:bCs/>
          <w:rtl/>
          <w:lang w:eastAsia="de-DE"/>
        </w:rPr>
        <w:t>ראה</w:t>
      </w:r>
      <w:r w:rsidRPr="006E39D1">
        <w:rPr>
          <w:rFonts w:eastAsia="Times New Roman" w:cs="Times New Roman"/>
          <w:rtl/>
          <w:lang w:eastAsia="de-DE"/>
        </w:rPr>
        <w:t xml:space="preserve"> </w:t>
      </w:r>
      <w:r w:rsidRPr="006E39D1">
        <w:rPr>
          <w:rFonts w:eastAsia="Times New Roman" w:cs="Times New Roman"/>
          <w:lang w:eastAsia="de-DE"/>
        </w:rPr>
        <w:t xml:space="preserve">(sehen) im Qal-Perfekt 2. maskulin Plural mit Waw consecutivum und </w:t>
      </w:r>
      <w:r w:rsidRPr="006E39D1">
        <w:rPr>
          <w:rFonts w:eastAsia="Times New Roman" w:cs="Times New Roman"/>
          <w:b/>
          <w:bCs/>
          <w:rtl/>
          <w:lang w:eastAsia="de-DE"/>
        </w:rPr>
        <w:t>מַה־הִוא</w:t>
      </w:r>
      <w:r w:rsidRPr="006E39D1">
        <w:rPr>
          <w:rFonts w:eastAsia="Times New Roman" w:cs="Times New Roman"/>
          <w:rtl/>
          <w:lang w:eastAsia="de-DE"/>
        </w:rPr>
        <w:t xml:space="preserve"> </w:t>
      </w:r>
      <w:r w:rsidRPr="006E39D1">
        <w:rPr>
          <w:rFonts w:eastAsia="Times New Roman" w:cs="Times New Roman"/>
          <w:lang w:eastAsia="de-DE"/>
        </w:rPr>
        <w:t>(wie es ist) als Objektsklausel beginnt Moses systematische Aufklärungsanweisungen.</w:t>
      </w:r>
    </w:p>
    <w:p w14:paraId="2CFCDF2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erste Untersuchung </w:t>
      </w:r>
      <w:r w:rsidRPr="006E39D1">
        <w:rPr>
          <w:rFonts w:eastAsia="Times New Roman" w:cs="Times New Roman"/>
          <w:b/>
          <w:bCs/>
          <w:rtl/>
          <w:lang w:eastAsia="de-DE"/>
        </w:rPr>
        <w:t>וְאֶת־הָעָם֙ הַיֹּשֵׁ֣ב עָלֶ֔יהָ</w:t>
      </w:r>
      <w:r w:rsidRPr="006E39D1">
        <w:rPr>
          <w:rFonts w:eastAsia="Times New Roman" w:cs="Times New Roman"/>
          <w:rtl/>
          <w:lang w:eastAsia="de-DE"/>
        </w:rPr>
        <w:t xml:space="preserve"> </w:t>
      </w:r>
      <w:r w:rsidRPr="006E39D1">
        <w:rPr>
          <w:rFonts w:eastAsia="Times New Roman" w:cs="Times New Roman"/>
          <w:lang w:eastAsia="de-DE"/>
        </w:rPr>
        <w:t xml:space="preserve">(und das Volk, das darin wohnt) mit </w:t>
      </w:r>
      <w:r w:rsidRPr="006E39D1">
        <w:rPr>
          <w:rFonts w:eastAsia="Times New Roman" w:cs="Times New Roman"/>
          <w:b/>
          <w:bCs/>
          <w:rtl/>
          <w:lang w:eastAsia="de-DE"/>
        </w:rPr>
        <w:t>הַיֹּשֵׁב</w:t>
      </w:r>
      <w:r w:rsidRPr="006E39D1">
        <w:rPr>
          <w:rFonts w:eastAsia="Times New Roman" w:cs="Times New Roman"/>
          <w:rtl/>
          <w:lang w:eastAsia="de-DE"/>
        </w:rPr>
        <w:t xml:space="preserve"> </w:t>
      </w:r>
      <w:r w:rsidRPr="006E39D1">
        <w:rPr>
          <w:rFonts w:eastAsia="Times New Roman" w:cs="Times New Roman"/>
          <w:lang w:eastAsia="de-DE"/>
        </w:rPr>
        <w:t xml:space="preserve">als Qal-Partizip maskulin Singular von </w:t>
      </w:r>
      <w:r w:rsidRPr="006E39D1">
        <w:rPr>
          <w:rFonts w:eastAsia="Times New Roman" w:cs="Times New Roman"/>
          <w:b/>
          <w:bCs/>
          <w:rtl/>
          <w:lang w:eastAsia="de-DE"/>
        </w:rPr>
        <w:t>ישב</w:t>
      </w:r>
      <w:r w:rsidRPr="006E39D1">
        <w:rPr>
          <w:rFonts w:eastAsia="Times New Roman" w:cs="Times New Roman"/>
          <w:rtl/>
          <w:lang w:eastAsia="de-DE"/>
        </w:rPr>
        <w:t xml:space="preserve"> </w:t>
      </w:r>
      <w:r w:rsidRPr="006E39D1">
        <w:rPr>
          <w:rFonts w:eastAsia="Times New Roman" w:cs="Times New Roman"/>
          <w:lang w:eastAsia="de-DE"/>
        </w:rPr>
        <w:t>(wohnen) zeigt die Bevölkerungsanalyse.</w:t>
      </w:r>
    </w:p>
    <w:p w14:paraId="7C098340"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Alternativfragen </w:t>
      </w:r>
      <w:r w:rsidRPr="006E39D1">
        <w:rPr>
          <w:rFonts w:eastAsia="Times New Roman" w:cs="Times New Roman"/>
          <w:b/>
          <w:bCs/>
          <w:rtl/>
          <w:lang w:eastAsia="de-DE"/>
        </w:rPr>
        <w:t>הֶחָזָ֥ק הוּא֙ הֲרָפֶ֔ה הַמְעַ֥ט ה֖וּא אִם־רָֽב</w:t>
      </w:r>
      <w:r w:rsidRPr="006E39D1">
        <w:rPr>
          <w:rFonts w:eastAsia="Times New Roman" w:cs="Times New Roman"/>
          <w:rtl/>
          <w:lang w:eastAsia="de-DE"/>
        </w:rPr>
        <w:t xml:space="preserve"> </w:t>
      </w:r>
      <w:r w:rsidRPr="006E39D1">
        <w:rPr>
          <w:rFonts w:eastAsia="Times New Roman" w:cs="Times New Roman"/>
          <w:lang w:eastAsia="de-DE"/>
        </w:rPr>
        <w:t xml:space="preserve">(ist es stark oder schwach, ist es wenig oder viel) mit </w:t>
      </w:r>
      <w:r w:rsidRPr="006E39D1">
        <w:rPr>
          <w:rFonts w:eastAsia="Times New Roman" w:cs="Times New Roman"/>
          <w:b/>
          <w:bCs/>
          <w:rtl/>
          <w:lang w:eastAsia="de-DE"/>
        </w:rPr>
        <w:t>הֶחָזָק</w:t>
      </w:r>
      <w:r w:rsidRPr="006E39D1">
        <w:rPr>
          <w:rFonts w:eastAsia="Times New Roman" w:cs="Times New Roman"/>
          <w:rtl/>
          <w:lang w:eastAsia="de-DE"/>
        </w:rPr>
        <w:t xml:space="preserve"> </w:t>
      </w:r>
      <w:r w:rsidRPr="006E39D1">
        <w:rPr>
          <w:rFonts w:eastAsia="Times New Roman" w:cs="Times New Roman"/>
          <w:lang w:eastAsia="de-DE"/>
        </w:rPr>
        <w:t xml:space="preserve">(stark), </w:t>
      </w:r>
      <w:r w:rsidRPr="006E39D1">
        <w:rPr>
          <w:rFonts w:eastAsia="Times New Roman" w:cs="Times New Roman"/>
          <w:b/>
          <w:bCs/>
          <w:rtl/>
          <w:lang w:eastAsia="de-DE"/>
        </w:rPr>
        <w:t>הֲרָפֶה</w:t>
      </w:r>
      <w:r w:rsidRPr="006E39D1">
        <w:rPr>
          <w:rFonts w:eastAsia="Times New Roman" w:cs="Times New Roman"/>
          <w:rtl/>
          <w:lang w:eastAsia="de-DE"/>
        </w:rPr>
        <w:t xml:space="preserve"> </w:t>
      </w:r>
      <w:r w:rsidRPr="006E39D1">
        <w:rPr>
          <w:rFonts w:eastAsia="Times New Roman" w:cs="Times New Roman"/>
          <w:lang w:eastAsia="de-DE"/>
        </w:rPr>
        <w:t xml:space="preserve">(schwach), </w:t>
      </w:r>
      <w:r w:rsidRPr="006E39D1">
        <w:rPr>
          <w:rFonts w:eastAsia="Times New Roman" w:cs="Times New Roman"/>
          <w:b/>
          <w:bCs/>
          <w:rtl/>
          <w:lang w:eastAsia="de-DE"/>
        </w:rPr>
        <w:t>הַמְעַט</w:t>
      </w:r>
      <w:r w:rsidRPr="006E39D1">
        <w:rPr>
          <w:rFonts w:eastAsia="Times New Roman" w:cs="Times New Roman"/>
          <w:rtl/>
          <w:lang w:eastAsia="de-DE"/>
        </w:rPr>
        <w:t xml:space="preserve"> </w:t>
      </w:r>
      <w:r w:rsidRPr="006E39D1">
        <w:rPr>
          <w:rFonts w:eastAsia="Times New Roman" w:cs="Times New Roman"/>
          <w:lang w:eastAsia="de-DE"/>
        </w:rPr>
        <w:t xml:space="preserve">(wenig) und </w:t>
      </w:r>
      <w:r w:rsidRPr="006E39D1">
        <w:rPr>
          <w:rFonts w:eastAsia="Times New Roman" w:cs="Times New Roman"/>
          <w:b/>
          <w:bCs/>
          <w:rtl/>
          <w:lang w:eastAsia="de-DE"/>
        </w:rPr>
        <w:t>אִם־רָב</w:t>
      </w:r>
      <w:r w:rsidRPr="006E39D1">
        <w:rPr>
          <w:rFonts w:eastAsia="Times New Roman" w:cs="Times New Roman"/>
          <w:rtl/>
          <w:lang w:eastAsia="de-DE"/>
        </w:rPr>
        <w:t xml:space="preserve"> </w:t>
      </w:r>
      <w:r w:rsidRPr="006E39D1">
        <w:rPr>
          <w:rFonts w:eastAsia="Times New Roman" w:cs="Times New Roman"/>
          <w:lang w:eastAsia="de-DE"/>
        </w:rPr>
        <w:t>(oder viel) zeigen die militärischen und demographischen Kriterien der Aufklärung.</w:t>
      </w:r>
    </w:p>
    <w:p w14:paraId="13FD354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רְאִיתֶם</w:t>
      </w:r>
      <w:r w:rsidRPr="006E39D1">
        <w:rPr>
          <w:rFonts w:eastAsia="Times New Roman" w:cs="Times New Roman"/>
          <w:rtl/>
          <w:lang w:eastAsia="de-DE"/>
        </w:rPr>
        <w:t xml:space="preserve"> </w:t>
      </w:r>
      <w:r w:rsidRPr="006E39D1">
        <w:rPr>
          <w:rFonts w:eastAsia="Times New Roman" w:cs="Times New Roman"/>
          <w:lang w:eastAsia="de-DE"/>
        </w:rPr>
        <w:t xml:space="preserve">mit ὄψεσθε (ihr werdet sehen), </w:t>
      </w:r>
      <w:r w:rsidRPr="006E39D1">
        <w:rPr>
          <w:rFonts w:eastAsia="Times New Roman" w:cs="Times New Roman"/>
          <w:b/>
          <w:bCs/>
          <w:rtl/>
          <w:lang w:eastAsia="de-DE"/>
        </w:rPr>
        <w:t>הֶחָזָק</w:t>
      </w:r>
      <w:r w:rsidRPr="006E39D1">
        <w:rPr>
          <w:rFonts w:eastAsia="Times New Roman" w:cs="Times New Roman"/>
          <w:rtl/>
          <w:lang w:eastAsia="de-DE"/>
        </w:rPr>
        <w:t xml:space="preserve"> </w:t>
      </w:r>
      <w:r w:rsidRPr="006E39D1">
        <w:rPr>
          <w:rFonts w:eastAsia="Times New Roman" w:cs="Times New Roman"/>
          <w:lang w:eastAsia="de-DE"/>
        </w:rPr>
        <w:t xml:space="preserve">mit ἰσχυρός (stark), </w:t>
      </w:r>
      <w:r w:rsidRPr="006E39D1">
        <w:rPr>
          <w:rFonts w:eastAsia="Times New Roman" w:cs="Times New Roman"/>
          <w:b/>
          <w:bCs/>
          <w:rtl/>
          <w:lang w:eastAsia="de-DE"/>
        </w:rPr>
        <w:t>הֲרָפֶה</w:t>
      </w:r>
      <w:r w:rsidRPr="006E39D1">
        <w:rPr>
          <w:rFonts w:eastAsia="Times New Roman" w:cs="Times New Roman"/>
          <w:rtl/>
          <w:lang w:eastAsia="de-DE"/>
        </w:rPr>
        <w:t xml:space="preserve"> </w:t>
      </w:r>
      <w:r w:rsidRPr="006E39D1">
        <w:rPr>
          <w:rFonts w:eastAsia="Times New Roman" w:cs="Times New Roman"/>
          <w:lang w:eastAsia="de-DE"/>
        </w:rPr>
        <w:t xml:space="preserve">mit ἀσθενής (schwach) und </w:t>
      </w:r>
      <w:r w:rsidRPr="006E39D1">
        <w:rPr>
          <w:rFonts w:eastAsia="Times New Roman" w:cs="Times New Roman"/>
          <w:b/>
          <w:bCs/>
          <w:rtl/>
          <w:lang w:eastAsia="de-DE"/>
        </w:rPr>
        <w:t>רָב</w:t>
      </w:r>
      <w:r w:rsidRPr="006E39D1">
        <w:rPr>
          <w:rFonts w:eastAsia="Times New Roman" w:cs="Times New Roman"/>
          <w:rtl/>
          <w:lang w:eastAsia="de-DE"/>
        </w:rPr>
        <w:t xml:space="preserve"> </w:t>
      </w:r>
      <w:r w:rsidRPr="006E39D1">
        <w:rPr>
          <w:rFonts w:eastAsia="Times New Roman" w:cs="Times New Roman"/>
          <w:lang w:eastAsia="de-DE"/>
        </w:rPr>
        <w:t>mit πολύς (viel).</w:t>
      </w:r>
    </w:p>
    <w:p w14:paraId="73F17E3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imperative Untersuchungsanweisung mit Objektsklausel und systematischen Alternativfragen.</w:t>
      </w:r>
    </w:p>
    <w:p w14:paraId="12830DBF"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etabliert die ersten Kriterien der militärischen und demographischen Aufklärung des verheißenen Landes.</w:t>
      </w:r>
    </w:p>
    <w:p w14:paraId="48B31A40" w14:textId="77777777" w:rsidR="006E39D1" w:rsidRPr="006E39D1" w:rsidRDefault="006E39D1" w:rsidP="006E39D1">
      <w:pPr>
        <w:spacing w:before="100" w:beforeAutospacing="1" w:after="100" w:afterAutospacing="1" w:line="240" w:lineRule="auto"/>
        <w:outlineLvl w:val="0"/>
        <w:rPr>
          <w:rFonts w:eastAsia="Times New Roman" w:cs="Times New Roman"/>
          <w:b/>
          <w:bCs/>
          <w:kern w:val="36"/>
          <w:sz w:val="48"/>
          <w:szCs w:val="48"/>
          <w:lang w:eastAsia="de-DE"/>
        </w:rPr>
      </w:pPr>
      <w:r w:rsidRPr="006E39D1">
        <w:rPr>
          <w:rFonts w:eastAsia="Times New Roman" w:cs="Times New Roman"/>
          <w:b/>
          <w:bCs/>
          <w:kern w:val="36"/>
          <w:sz w:val="48"/>
          <w:szCs w:val="48"/>
          <w:lang w:eastAsia="de-DE"/>
        </w:rPr>
        <w:t>Numeri 13,19</w:t>
      </w:r>
    </w:p>
    <w:p w14:paraId="1A02D621"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lastRenderedPageBreak/>
        <w:t>Hebräisch:</w:t>
      </w:r>
      <w:r w:rsidRPr="006E39D1">
        <w:rPr>
          <w:rFonts w:eastAsia="Times New Roman" w:cs="Times New Roman"/>
          <w:lang w:eastAsia="de-DE"/>
        </w:rPr>
        <w:t xml:space="preserve"> </w:t>
      </w:r>
      <w:r w:rsidRPr="006E39D1">
        <w:rPr>
          <w:rFonts w:eastAsia="Times New Roman" w:cs="Times New Roman"/>
          <w:rtl/>
          <w:lang w:eastAsia="de-DE"/>
        </w:rPr>
        <w:t>וּמָ֣ה הָאָ֗רֶץ אֲשֶׁר־הוּא֙ יֹשֵׁ֣ב בָּ֔הּ הֲטוֹבָ֥ה הִ֖וא אִם־רָעָ֑ה וּמָ֣ה הֶֽעָרִ֗ים אֲשֶׁר־הוּא֙ יוֹשֵׁ֣ב בָּהֵ֔נָּה הַבְּמַֽחֲנִ֖ים אִ֥ם בְּמִבְצָרִֽים׃</w:t>
      </w:r>
    </w:p>
    <w:p w14:paraId="79DD716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Deutsch:</w:t>
      </w:r>
      <w:r w:rsidRPr="006E39D1">
        <w:rPr>
          <w:rFonts w:eastAsia="Times New Roman" w:cs="Times New Roman"/>
          <w:lang w:eastAsia="de-DE"/>
        </w:rPr>
        <w:t xml:space="preserve"> Und wie das Land ist, in dem es wohnt, ob es gut oder schlecht ist; und wie die Städte sind, in denen es wohnt, ob in Zeltlagern oder in Festungen.</w:t>
      </w:r>
    </w:p>
    <w:p w14:paraId="3F5445D9" w14:textId="77777777" w:rsidR="006E39D1" w:rsidRPr="006E39D1" w:rsidRDefault="00F329DD" w:rsidP="006E39D1">
      <w:pPr>
        <w:spacing w:after="0" w:line="240" w:lineRule="auto"/>
        <w:rPr>
          <w:rFonts w:eastAsia="Times New Roman" w:cs="Times New Roman"/>
          <w:lang w:eastAsia="de-DE"/>
        </w:rPr>
      </w:pPr>
      <w:r>
        <w:rPr>
          <w:rFonts w:eastAsia="Times New Roman" w:cs="Times New Roman"/>
          <w:noProof/>
          <w:lang w:eastAsia="de-DE"/>
        </w:rPr>
        <w:pict w14:anchorId="5BE49B08">
          <v:rect id="_x0000_i1438" style="width:0;height:1.5pt" o:hralign="center" o:hrstd="t" o:hr="t" fillcolor="#a0a0a0" stroked="f"/>
        </w:pict>
      </w:r>
    </w:p>
    <w:p w14:paraId="1F086FF9"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Kommentar:</w:t>
      </w:r>
      <w:r w:rsidRPr="006E39D1">
        <w:rPr>
          <w:rFonts w:eastAsia="Times New Roman" w:cs="Times New Roman"/>
          <w:lang w:eastAsia="de-DE"/>
        </w:rPr>
        <w:t xml:space="preserve"> Die erste Untersuchung </w:t>
      </w:r>
      <w:r w:rsidRPr="006E39D1">
        <w:rPr>
          <w:rFonts w:eastAsia="Times New Roman" w:cs="Times New Roman"/>
          <w:b/>
          <w:bCs/>
          <w:rtl/>
          <w:lang w:eastAsia="de-DE"/>
        </w:rPr>
        <w:t>וּמָ֣ה הָאָ֗רֶץ אֲשֶׁר־הוּא֙ יֹשֵׁ֣ב בָּ֔הּ הֲטוֹבָ֥ה הִ֖וא אִם־רָעָ֑ה</w:t>
      </w:r>
      <w:r w:rsidRPr="006E39D1">
        <w:rPr>
          <w:rFonts w:eastAsia="Times New Roman" w:cs="Times New Roman"/>
          <w:rtl/>
          <w:lang w:eastAsia="de-DE"/>
        </w:rPr>
        <w:t xml:space="preserve"> </w:t>
      </w:r>
      <w:r w:rsidRPr="006E39D1">
        <w:rPr>
          <w:rFonts w:eastAsia="Times New Roman" w:cs="Times New Roman"/>
          <w:lang w:eastAsia="de-DE"/>
        </w:rPr>
        <w:t xml:space="preserve">(und wie das Land ist, in dem es wohnt, ob es gut oder schlecht ist) mit </w:t>
      </w:r>
      <w:r w:rsidRPr="006E39D1">
        <w:rPr>
          <w:rFonts w:eastAsia="Times New Roman" w:cs="Times New Roman"/>
          <w:b/>
          <w:bCs/>
          <w:rtl/>
          <w:lang w:eastAsia="de-DE"/>
        </w:rPr>
        <w:t>מָה</w:t>
      </w:r>
      <w:r w:rsidRPr="006E39D1">
        <w:rPr>
          <w:rFonts w:eastAsia="Times New Roman" w:cs="Times New Roman"/>
          <w:rtl/>
          <w:lang w:eastAsia="de-DE"/>
        </w:rPr>
        <w:t xml:space="preserve"> </w:t>
      </w:r>
      <w:r w:rsidRPr="006E39D1">
        <w:rPr>
          <w:rFonts w:eastAsia="Times New Roman" w:cs="Times New Roman"/>
          <w:lang w:eastAsia="de-DE"/>
        </w:rPr>
        <w:t xml:space="preserve">(wie/was), </w:t>
      </w:r>
      <w:r w:rsidRPr="006E39D1">
        <w:rPr>
          <w:rFonts w:eastAsia="Times New Roman" w:cs="Times New Roman"/>
          <w:b/>
          <w:bCs/>
          <w:rtl/>
          <w:lang w:eastAsia="de-DE"/>
        </w:rPr>
        <w:t>אֲשֶׁר־הוּא יֹשֵׁב בָּהּ</w:t>
      </w:r>
      <w:r w:rsidRPr="006E39D1">
        <w:rPr>
          <w:rFonts w:eastAsia="Times New Roman" w:cs="Times New Roman"/>
          <w:rtl/>
          <w:lang w:eastAsia="de-DE"/>
        </w:rPr>
        <w:t xml:space="preserve"> </w:t>
      </w:r>
      <w:r w:rsidRPr="006E39D1">
        <w:rPr>
          <w:rFonts w:eastAsia="Times New Roman" w:cs="Times New Roman"/>
          <w:lang w:eastAsia="de-DE"/>
        </w:rPr>
        <w:t xml:space="preserve">(in dem es wohnt) und der Alternative </w:t>
      </w:r>
      <w:r w:rsidRPr="006E39D1">
        <w:rPr>
          <w:rFonts w:eastAsia="Times New Roman" w:cs="Times New Roman"/>
          <w:b/>
          <w:bCs/>
          <w:rtl/>
          <w:lang w:eastAsia="de-DE"/>
        </w:rPr>
        <w:t>הֲטוֹבָה הִוא אִם־רָעָה</w:t>
      </w:r>
      <w:r w:rsidRPr="006E39D1">
        <w:rPr>
          <w:rFonts w:eastAsia="Times New Roman" w:cs="Times New Roman"/>
          <w:rtl/>
          <w:lang w:eastAsia="de-DE"/>
        </w:rPr>
        <w:t xml:space="preserve"> </w:t>
      </w:r>
      <w:r w:rsidRPr="006E39D1">
        <w:rPr>
          <w:rFonts w:eastAsia="Times New Roman" w:cs="Times New Roman"/>
          <w:lang w:eastAsia="de-DE"/>
        </w:rPr>
        <w:t>(ist es gut oder schlecht) zeigt die Qualitätsbeurteilung des Territoriums.</w:t>
      </w:r>
    </w:p>
    <w:p w14:paraId="21BC6AA4"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 xml:space="preserve">Die zweite Untersuchung </w:t>
      </w:r>
      <w:r w:rsidRPr="006E39D1">
        <w:rPr>
          <w:rFonts w:eastAsia="Times New Roman" w:cs="Times New Roman"/>
          <w:b/>
          <w:bCs/>
          <w:rtl/>
          <w:lang w:eastAsia="de-DE"/>
        </w:rPr>
        <w:t>וּמָ֣ה הֶֽעָרִ֗ים אֲשֶׁר־הוּא֙ יוֹשֵׁ֣ב בָּהֵ֔נָּה הַבְּמַֽחֲנִ֖ים אִ֥ם בְּמִבְצָרִֽים</w:t>
      </w:r>
      <w:r w:rsidRPr="006E39D1">
        <w:rPr>
          <w:rFonts w:eastAsia="Times New Roman" w:cs="Times New Roman"/>
          <w:rtl/>
          <w:lang w:eastAsia="de-DE"/>
        </w:rPr>
        <w:t xml:space="preserve"> </w:t>
      </w:r>
      <w:r w:rsidRPr="006E39D1">
        <w:rPr>
          <w:rFonts w:eastAsia="Times New Roman" w:cs="Times New Roman"/>
          <w:lang w:eastAsia="de-DE"/>
        </w:rPr>
        <w:t xml:space="preserve">(und wie die Städte sind, in denen es wohnt, ob in Zeltlagern oder in Festungen) mit </w:t>
      </w:r>
      <w:r w:rsidRPr="006E39D1">
        <w:rPr>
          <w:rFonts w:eastAsia="Times New Roman" w:cs="Times New Roman"/>
          <w:b/>
          <w:bCs/>
          <w:rtl/>
          <w:lang w:eastAsia="de-DE"/>
        </w:rPr>
        <w:t>הֶעָרִים</w:t>
      </w:r>
      <w:r w:rsidRPr="006E39D1">
        <w:rPr>
          <w:rFonts w:eastAsia="Times New Roman" w:cs="Times New Roman"/>
          <w:rtl/>
          <w:lang w:eastAsia="de-DE"/>
        </w:rPr>
        <w:t xml:space="preserve"> </w:t>
      </w:r>
      <w:r w:rsidRPr="006E39D1">
        <w:rPr>
          <w:rFonts w:eastAsia="Times New Roman" w:cs="Times New Roman"/>
          <w:lang w:eastAsia="de-DE"/>
        </w:rPr>
        <w:t xml:space="preserve">(die Städte), </w:t>
      </w:r>
      <w:r w:rsidRPr="006E39D1">
        <w:rPr>
          <w:rFonts w:eastAsia="Times New Roman" w:cs="Times New Roman"/>
          <w:b/>
          <w:bCs/>
          <w:rtl/>
          <w:lang w:eastAsia="de-DE"/>
        </w:rPr>
        <w:t>יוֹשֵׁב בָּהֵנָּה</w:t>
      </w:r>
      <w:r w:rsidRPr="006E39D1">
        <w:rPr>
          <w:rFonts w:eastAsia="Times New Roman" w:cs="Times New Roman"/>
          <w:rtl/>
          <w:lang w:eastAsia="de-DE"/>
        </w:rPr>
        <w:t xml:space="preserve"> </w:t>
      </w:r>
      <w:r w:rsidRPr="006E39D1">
        <w:rPr>
          <w:rFonts w:eastAsia="Times New Roman" w:cs="Times New Roman"/>
          <w:lang w:eastAsia="de-DE"/>
        </w:rPr>
        <w:t xml:space="preserve">(wohnt in ihnen) und der strategischen Alternative </w:t>
      </w:r>
      <w:r w:rsidRPr="006E39D1">
        <w:rPr>
          <w:rFonts w:eastAsia="Times New Roman" w:cs="Times New Roman"/>
          <w:b/>
          <w:bCs/>
          <w:rtl/>
          <w:lang w:eastAsia="de-DE"/>
        </w:rPr>
        <w:t>הַבְּמַחֲנִים אִם בְּמִבְצָרִים</w:t>
      </w:r>
      <w:r w:rsidRPr="006E39D1">
        <w:rPr>
          <w:rFonts w:eastAsia="Times New Roman" w:cs="Times New Roman"/>
          <w:rtl/>
          <w:lang w:eastAsia="de-DE"/>
        </w:rPr>
        <w:t xml:space="preserve"> </w:t>
      </w:r>
      <w:r w:rsidRPr="006E39D1">
        <w:rPr>
          <w:rFonts w:eastAsia="Times New Roman" w:cs="Times New Roman"/>
          <w:lang w:eastAsia="de-DE"/>
        </w:rPr>
        <w:t>(in Zeltlagern oder in Festungen) unterscheidet zwischen temporären (</w:t>
      </w:r>
      <w:r w:rsidRPr="006E39D1">
        <w:rPr>
          <w:rFonts w:eastAsia="Times New Roman" w:cs="Times New Roman"/>
          <w:b/>
          <w:bCs/>
          <w:rtl/>
          <w:lang w:eastAsia="de-DE"/>
        </w:rPr>
        <w:t>מַחֲנִים</w:t>
      </w:r>
      <w:r w:rsidRPr="006E39D1">
        <w:rPr>
          <w:rFonts w:eastAsia="Times New Roman" w:cs="Times New Roman"/>
          <w:rtl/>
          <w:lang w:eastAsia="de-DE"/>
        </w:rPr>
        <w:t xml:space="preserve"> </w:t>
      </w:r>
      <w:r w:rsidRPr="006E39D1">
        <w:rPr>
          <w:rFonts w:eastAsia="Times New Roman" w:cs="Times New Roman"/>
          <w:lang w:eastAsia="de-DE"/>
        </w:rPr>
        <w:t>- Lager) und permanenten (</w:t>
      </w:r>
      <w:r w:rsidRPr="006E39D1">
        <w:rPr>
          <w:rFonts w:eastAsia="Times New Roman" w:cs="Times New Roman"/>
          <w:b/>
          <w:bCs/>
          <w:rtl/>
          <w:lang w:eastAsia="de-DE"/>
        </w:rPr>
        <w:t>מִבְצָרִים</w:t>
      </w:r>
      <w:r w:rsidRPr="006E39D1">
        <w:rPr>
          <w:rFonts w:eastAsia="Times New Roman" w:cs="Times New Roman"/>
          <w:rtl/>
          <w:lang w:eastAsia="de-DE"/>
        </w:rPr>
        <w:t xml:space="preserve"> </w:t>
      </w:r>
      <w:r w:rsidRPr="006E39D1">
        <w:rPr>
          <w:rFonts w:eastAsia="Times New Roman" w:cs="Times New Roman"/>
          <w:lang w:eastAsia="de-DE"/>
        </w:rPr>
        <w:t>- Festungen) Siedlungsformen.</w:t>
      </w:r>
    </w:p>
    <w:p w14:paraId="5453DE7C"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b/>
          <w:bCs/>
          <w:lang w:eastAsia="de-DE"/>
        </w:rPr>
        <w:t>Die LXX</w:t>
      </w:r>
      <w:r w:rsidRPr="006E39D1">
        <w:rPr>
          <w:rFonts w:eastAsia="Times New Roman" w:cs="Times New Roman"/>
          <w:lang w:eastAsia="de-DE"/>
        </w:rPr>
        <w:t xml:space="preserve"> übersetzt </w:t>
      </w:r>
      <w:r w:rsidRPr="006E39D1">
        <w:rPr>
          <w:rFonts w:eastAsia="Times New Roman" w:cs="Times New Roman"/>
          <w:b/>
          <w:bCs/>
          <w:rtl/>
          <w:lang w:eastAsia="de-DE"/>
        </w:rPr>
        <w:t>מָה</w:t>
      </w:r>
      <w:r w:rsidRPr="006E39D1">
        <w:rPr>
          <w:rFonts w:eastAsia="Times New Roman" w:cs="Times New Roman"/>
          <w:rtl/>
          <w:lang w:eastAsia="de-DE"/>
        </w:rPr>
        <w:t xml:space="preserve"> </w:t>
      </w:r>
      <w:r w:rsidRPr="006E39D1">
        <w:rPr>
          <w:rFonts w:eastAsia="Times New Roman" w:cs="Times New Roman"/>
          <w:lang w:eastAsia="de-DE"/>
        </w:rPr>
        <w:t xml:space="preserve">mit τί (was/wie), </w:t>
      </w:r>
      <w:r w:rsidRPr="006E39D1">
        <w:rPr>
          <w:rFonts w:eastAsia="Times New Roman" w:cs="Times New Roman"/>
          <w:b/>
          <w:bCs/>
          <w:rtl/>
          <w:lang w:eastAsia="de-DE"/>
        </w:rPr>
        <w:t>טוֹבָה</w:t>
      </w:r>
      <w:r w:rsidRPr="006E39D1">
        <w:rPr>
          <w:rFonts w:eastAsia="Times New Roman" w:cs="Times New Roman"/>
          <w:rtl/>
          <w:lang w:eastAsia="de-DE"/>
        </w:rPr>
        <w:t xml:space="preserve"> </w:t>
      </w:r>
      <w:r w:rsidRPr="006E39D1">
        <w:rPr>
          <w:rFonts w:eastAsia="Times New Roman" w:cs="Times New Roman"/>
          <w:lang w:eastAsia="de-DE"/>
        </w:rPr>
        <w:t xml:space="preserve">mit ἀγαθή (gut), </w:t>
      </w:r>
      <w:r w:rsidRPr="006E39D1">
        <w:rPr>
          <w:rFonts w:eastAsia="Times New Roman" w:cs="Times New Roman"/>
          <w:b/>
          <w:bCs/>
          <w:rtl/>
          <w:lang w:eastAsia="de-DE"/>
        </w:rPr>
        <w:t>רָעָה</w:t>
      </w:r>
      <w:r w:rsidRPr="006E39D1">
        <w:rPr>
          <w:rFonts w:eastAsia="Times New Roman" w:cs="Times New Roman"/>
          <w:rtl/>
          <w:lang w:eastAsia="de-DE"/>
        </w:rPr>
        <w:t xml:space="preserve"> </w:t>
      </w:r>
      <w:r w:rsidRPr="006E39D1">
        <w:rPr>
          <w:rFonts w:eastAsia="Times New Roman" w:cs="Times New Roman"/>
          <w:lang w:eastAsia="de-DE"/>
        </w:rPr>
        <w:t xml:space="preserve">mit πονηρά (schlecht), </w:t>
      </w:r>
      <w:r w:rsidRPr="006E39D1">
        <w:rPr>
          <w:rFonts w:eastAsia="Times New Roman" w:cs="Times New Roman"/>
          <w:b/>
          <w:bCs/>
          <w:rtl/>
          <w:lang w:eastAsia="de-DE"/>
        </w:rPr>
        <w:t>מַחֲנִים</w:t>
      </w:r>
      <w:r w:rsidRPr="006E39D1">
        <w:rPr>
          <w:rFonts w:eastAsia="Times New Roman" w:cs="Times New Roman"/>
          <w:rtl/>
          <w:lang w:eastAsia="de-DE"/>
        </w:rPr>
        <w:t xml:space="preserve"> </w:t>
      </w:r>
      <w:r w:rsidRPr="006E39D1">
        <w:rPr>
          <w:rFonts w:eastAsia="Times New Roman" w:cs="Times New Roman"/>
          <w:lang w:eastAsia="de-DE"/>
        </w:rPr>
        <w:t xml:space="preserve">mit παρεμβολαί (Lager) und </w:t>
      </w:r>
      <w:r w:rsidRPr="006E39D1">
        <w:rPr>
          <w:rFonts w:eastAsia="Times New Roman" w:cs="Times New Roman"/>
          <w:b/>
          <w:bCs/>
          <w:rtl/>
          <w:lang w:eastAsia="de-DE"/>
        </w:rPr>
        <w:t>מִבְצָרִים</w:t>
      </w:r>
      <w:r w:rsidRPr="006E39D1">
        <w:rPr>
          <w:rFonts w:eastAsia="Times New Roman" w:cs="Times New Roman"/>
          <w:rtl/>
          <w:lang w:eastAsia="de-DE"/>
        </w:rPr>
        <w:t xml:space="preserve"> </w:t>
      </w:r>
      <w:r w:rsidRPr="006E39D1">
        <w:rPr>
          <w:rFonts w:eastAsia="Times New Roman" w:cs="Times New Roman"/>
          <w:lang w:eastAsia="de-DE"/>
        </w:rPr>
        <w:t>mit τετειχισμέναι (befestigt).</w:t>
      </w:r>
    </w:p>
    <w:p w14:paraId="308B0AC6"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 Satzstruktur zeigt parallele Untersuchungsanweisungen mit qualitativen und strategischen Alternativfragen.</w:t>
      </w:r>
    </w:p>
    <w:p w14:paraId="61290B98" w14:textId="77777777" w:rsidR="006E39D1" w:rsidRPr="006E39D1" w:rsidRDefault="006E39D1" w:rsidP="006E39D1">
      <w:pPr>
        <w:spacing w:before="100" w:beforeAutospacing="1" w:after="100" w:afterAutospacing="1" w:line="240" w:lineRule="auto"/>
        <w:rPr>
          <w:rFonts w:eastAsia="Times New Roman" w:cs="Times New Roman"/>
          <w:lang w:eastAsia="de-DE"/>
        </w:rPr>
      </w:pPr>
      <w:r w:rsidRPr="006E39D1">
        <w:rPr>
          <w:rFonts w:eastAsia="Times New Roman" w:cs="Times New Roman"/>
          <w:lang w:eastAsia="de-DE"/>
        </w:rPr>
        <w:t>Dieser Vers setzt die systematische Aufklärungsanweisung fort mit Fokus auf Landqualität und Befestigungsgrad der Siedlungen.</w:t>
      </w:r>
    </w:p>
    <w:p w14:paraId="3A3ECF4C"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13,20</w:t>
      </w:r>
    </w:p>
    <w:p w14:paraId="16A356D3"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וּמָ֣ה הָ֠אָרֶץ הַשְּׁמֵנָ֨ה הִ֜וא אִם־רָזָ֗ה הֲיֵֽשׁ־בָּ֥הּ עֵץ֙ אִם־אַ֔יִן וְהִ֨תְחַזַּקְתֶּ֔ם וּלְקַחְתֶּ֖ם מִפְּרִ֣י הָאָ֑רֶץ וְהַ֨יָּמִ֔ים יְמֵ֖י בִּכּוּרֵ֥י עֲנָבִֽים׃</w:t>
      </w:r>
    </w:p>
    <w:p w14:paraId="1346A9AF"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Und wie das Land ist, ob es fett oder mager ist, ob Bäume darin sind oder nicht. Und seid mutig und nehmt von der Frucht des Landes. Die Zeit aber war die Zeit der ersten Trauben.</w:t>
      </w:r>
    </w:p>
    <w:p w14:paraId="18E84790"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4E19C558">
          <v:rect id="_x0000_i1439" style="width:0;height:1.5pt" o:hralign="center" o:hrstd="t" o:hr="t" fillcolor="#a0a0a0" stroked="f"/>
        </w:pict>
      </w:r>
    </w:p>
    <w:p w14:paraId="220E2081"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Die landwirtschaftliche Untersuchung </w:t>
      </w:r>
      <w:r w:rsidRPr="0083388E">
        <w:rPr>
          <w:rFonts w:eastAsia="Times New Roman" w:cs="Times New Roman"/>
          <w:b/>
          <w:bCs/>
          <w:rtl/>
          <w:lang w:eastAsia="de-DE"/>
        </w:rPr>
        <w:t>וּמָ֣ה הָ֠אָרֶץ הַשְּׁמֵנָ֨ה הִ֜וא אִם־רָזָ֗ה</w:t>
      </w:r>
      <w:r w:rsidRPr="0083388E">
        <w:rPr>
          <w:rFonts w:eastAsia="Times New Roman" w:cs="Times New Roman"/>
          <w:rtl/>
          <w:lang w:eastAsia="de-DE"/>
        </w:rPr>
        <w:t xml:space="preserve"> </w:t>
      </w:r>
      <w:r w:rsidRPr="0083388E">
        <w:rPr>
          <w:rFonts w:eastAsia="Times New Roman" w:cs="Times New Roman"/>
          <w:lang w:eastAsia="de-DE"/>
        </w:rPr>
        <w:t xml:space="preserve">(und wie das Land ist, ob es fett oder mager ist) mit </w:t>
      </w:r>
      <w:r w:rsidRPr="0083388E">
        <w:rPr>
          <w:rFonts w:eastAsia="Times New Roman" w:cs="Times New Roman"/>
          <w:b/>
          <w:bCs/>
          <w:rtl/>
          <w:lang w:eastAsia="de-DE"/>
        </w:rPr>
        <w:t>שְׁמֵנָה</w:t>
      </w:r>
      <w:r w:rsidRPr="0083388E">
        <w:rPr>
          <w:rFonts w:eastAsia="Times New Roman" w:cs="Times New Roman"/>
          <w:rtl/>
          <w:lang w:eastAsia="de-DE"/>
        </w:rPr>
        <w:t xml:space="preserve"> </w:t>
      </w:r>
      <w:r w:rsidRPr="0083388E">
        <w:rPr>
          <w:rFonts w:eastAsia="Times New Roman" w:cs="Times New Roman"/>
          <w:lang w:eastAsia="de-DE"/>
        </w:rPr>
        <w:t xml:space="preserve">(fett/fruchtbar) von der Wurzel </w:t>
      </w:r>
      <w:r w:rsidRPr="0083388E">
        <w:rPr>
          <w:rFonts w:eastAsia="Times New Roman" w:cs="Times New Roman"/>
          <w:b/>
          <w:bCs/>
          <w:rtl/>
          <w:lang w:eastAsia="de-DE"/>
        </w:rPr>
        <w:t>שמן</w:t>
      </w:r>
      <w:r w:rsidRPr="0083388E">
        <w:rPr>
          <w:rFonts w:eastAsia="Times New Roman" w:cs="Times New Roman"/>
          <w:rtl/>
          <w:lang w:eastAsia="de-DE"/>
        </w:rPr>
        <w:t xml:space="preserve"> </w:t>
      </w:r>
      <w:r w:rsidRPr="0083388E">
        <w:rPr>
          <w:rFonts w:eastAsia="Times New Roman" w:cs="Times New Roman"/>
          <w:lang w:eastAsia="de-DE"/>
        </w:rPr>
        <w:t xml:space="preserve">(fett sein) und </w:t>
      </w:r>
      <w:r w:rsidRPr="0083388E">
        <w:rPr>
          <w:rFonts w:eastAsia="Times New Roman" w:cs="Times New Roman"/>
          <w:b/>
          <w:bCs/>
          <w:rtl/>
          <w:lang w:eastAsia="de-DE"/>
        </w:rPr>
        <w:t>רָזָה</w:t>
      </w:r>
      <w:r w:rsidRPr="0083388E">
        <w:rPr>
          <w:rFonts w:eastAsia="Times New Roman" w:cs="Times New Roman"/>
          <w:rtl/>
          <w:lang w:eastAsia="de-DE"/>
        </w:rPr>
        <w:t xml:space="preserve"> </w:t>
      </w:r>
      <w:r w:rsidRPr="0083388E">
        <w:rPr>
          <w:rFonts w:eastAsia="Times New Roman" w:cs="Times New Roman"/>
          <w:lang w:eastAsia="de-DE"/>
        </w:rPr>
        <w:t>(mager/unfruchtbar) zeigt die Bodenfruchtbarkeitsanalyse.</w:t>
      </w:r>
    </w:p>
    <w:p w14:paraId="1301A964"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Vegetationsuntersuchung </w:t>
      </w:r>
      <w:r w:rsidRPr="0083388E">
        <w:rPr>
          <w:rFonts w:eastAsia="Times New Roman" w:cs="Times New Roman"/>
          <w:b/>
          <w:bCs/>
          <w:rtl/>
          <w:lang w:eastAsia="de-DE"/>
        </w:rPr>
        <w:t>הֲיֵֽשׁ־בָּ֥הּ עֵץ֙ אִם־אַ֔יִן</w:t>
      </w:r>
      <w:r w:rsidRPr="0083388E">
        <w:rPr>
          <w:rFonts w:eastAsia="Times New Roman" w:cs="Times New Roman"/>
          <w:rtl/>
          <w:lang w:eastAsia="de-DE"/>
        </w:rPr>
        <w:t xml:space="preserve"> </w:t>
      </w:r>
      <w:r w:rsidRPr="0083388E">
        <w:rPr>
          <w:rFonts w:eastAsia="Times New Roman" w:cs="Times New Roman"/>
          <w:lang w:eastAsia="de-DE"/>
        </w:rPr>
        <w:t xml:space="preserve">(ob Bäume darin sind oder nicht) mit </w:t>
      </w:r>
      <w:r w:rsidRPr="0083388E">
        <w:rPr>
          <w:rFonts w:eastAsia="Times New Roman" w:cs="Times New Roman"/>
          <w:b/>
          <w:bCs/>
          <w:rtl/>
          <w:lang w:eastAsia="de-DE"/>
        </w:rPr>
        <w:t>יֵשׁ</w:t>
      </w:r>
      <w:r w:rsidRPr="0083388E">
        <w:rPr>
          <w:rFonts w:eastAsia="Times New Roman" w:cs="Times New Roman"/>
          <w:rtl/>
          <w:lang w:eastAsia="de-DE"/>
        </w:rPr>
        <w:t xml:space="preserve"> </w:t>
      </w:r>
      <w:r w:rsidRPr="0083388E">
        <w:rPr>
          <w:rFonts w:eastAsia="Times New Roman" w:cs="Times New Roman"/>
          <w:lang w:eastAsia="de-DE"/>
        </w:rPr>
        <w:t xml:space="preserve">(gibt es) und </w:t>
      </w:r>
      <w:r w:rsidRPr="0083388E">
        <w:rPr>
          <w:rFonts w:eastAsia="Times New Roman" w:cs="Times New Roman"/>
          <w:b/>
          <w:bCs/>
          <w:rtl/>
          <w:lang w:eastAsia="de-DE"/>
        </w:rPr>
        <w:t>אַיִן</w:t>
      </w:r>
      <w:r w:rsidRPr="0083388E">
        <w:rPr>
          <w:rFonts w:eastAsia="Times New Roman" w:cs="Times New Roman"/>
          <w:rtl/>
          <w:lang w:eastAsia="de-DE"/>
        </w:rPr>
        <w:t xml:space="preserve"> </w:t>
      </w:r>
      <w:r w:rsidRPr="0083388E">
        <w:rPr>
          <w:rFonts w:eastAsia="Times New Roman" w:cs="Times New Roman"/>
          <w:lang w:eastAsia="de-DE"/>
        </w:rPr>
        <w:t>(nichts/nicht) zeigt die Waldbestandsaufnahme.</w:t>
      </w:r>
    </w:p>
    <w:p w14:paraId="41CC217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praktische Anweisung </w:t>
      </w:r>
      <w:r w:rsidRPr="0083388E">
        <w:rPr>
          <w:rFonts w:eastAsia="Times New Roman" w:cs="Times New Roman"/>
          <w:b/>
          <w:bCs/>
          <w:rtl/>
          <w:lang w:eastAsia="de-DE"/>
        </w:rPr>
        <w:t>וְהִ֨תְחַזַּקְתֶּ֔ם וּלְקַחְתֶּ֖ם מִפְּרִ֣י הָאָ֑רֶץ</w:t>
      </w:r>
      <w:r w:rsidRPr="0083388E">
        <w:rPr>
          <w:rFonts w:eastAsia="Times New Roman" w:cs="Times New Roman"/>
          <w:rtl/>
          <w:lang w:eastAsia="de-DE"/>
        </w:rPr>
        <w:t xml:space="preserve"> </w:t>
      </w:r>
      <w:r w:rsidRPr="0083388E">
        <w:rPr>
          <w:rFonts w:eastAsia="Times New Roman" w:cs="Times New Roman"/>
          <w:lang w:eastAsia="de-DE"/>
        </w:rPr>
        <w:t xml:space="preserve">(und seid mutig und nehmt von der Frucht des Landes) mit </w:t>
      </w:r>
      <w:r w:rsidRPr="0083388E">
        <w:rPr>
          <w:rFonts w:eastAsia="Times New Roman" w:cs="Times New Roman"/>
          <w:b/>
          <w:bCs/>
          <w:rtl/>
          <w:lang w:eastAsia="de-DE"/>
        </w:rPr>
        <w:t>הִתְחַזַּקְתֶּם</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חזק</w:t>
      </w:r>
      <w:r w:rsidRPr="0083388E">
        <w:rPr>
          <w:rFonts w:eastAsia="Times New Roman" w:cs="Times New Roman"/>
          <w:rtl/>
          <w:lang w:eastAsia="de-DE"/>
        </w:rPr>
        <w:t xml:space="preserve"> </w:t>
      </w:r>
      <w:r w:rsidRPr="0083388E">
        <w:rPr>
          <w:rFonts w:eastAsia="Times New Roman" w:cs="Times New Roman"/>
          <w:lang w:eastAsia="de-DE"/>
        </w:rPr>
        <w:t xml:space="preserve">(stark sein) im Hitp'ael-Perfekt 2. maskulin Plural </w:t>
      </w:r>
      <w:r w:rsidRPr="0083388E">
        <w:rPr>
          <w:rFonts w:eastAsia="Times New Roman" w:cs="Times New Roman"/>
          <w:lang w:eastAsia="de-DE"/>
        </w:rPr>
        <w:lastRenderedPageBreak/>
        <w:t xml:space="preserve">(seid mutig) und </w:t>
      </w:r>
      <w:r w:rsidRPr="0083388E">
        <w:rPr>
          <w:rFonts w:eastAsia="Times New Roman" w:cs="Times New Roman"/>
          <w:b/>
          <w:bCs/>
          <w:rtl/>
          <w:lang w:eastAsia="de-DE"/>
        </w:rPr>
        <w:t>לְקַחְתֶּם</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לקח</w:t>
      </w:r>
      <w:r w:rsidRPr="0083388E">
        <w:rPr>
          <w:rFonts w:eastAsia="Times New Roman" w:cs="Times New Roman"/>
          <w:rtl/>
          <w:lang w:eastAsia="de-DE"/>
        </w:rPr>
        <w:t xml:space="preserve"> </w:t>
      </w:r>
      <w:r w:rsidRPr="0083388E">
        <w:rPr>
          <w:rFonts w:eastAsia="Times New Roman" w:cs="Times New Roman"/>
          <w:lang w:eastAsia="de-DE"/>
        </w:rPr>
        <w:t>(nehmen) zeigt die Aufmunterung zur mutigen Probenentnahme.</w:t>
      </w:r>
    </w:p>
    <w:p w14:paraId="4F2CBEA7"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Zeitangabe </w:t>
      </w:r>
      <w:r w:rsidRPr="0083388E">
        <w:rPr>
          <w:rFonts w:eastAsia="Times New Roman" w:cs="Times New Roman"/>
          <w:b/>
          <w:bCs/>
          <w:rtl/>
          <w:lang w:eastAsia="de-DE"/>
        </w:rPr>
        <w:t>וְהַ֨יָּמִ֔ים יְמֵ֖י בִּכּוּרֵ֥י עֲנָבִֽים</w:t>
      </w:r>
      <w:r w:rsidRPr="0083388E">
        <w:rPr>
          <w:rFonts w:eastAsia="Times New Roman" w:cs="Times New Roman"/>
          <w:rtl/>
          <w:lang w:eastAsia="de-DE"/>
        </w:rPr>
        <w:t xml:space="preserve"> </w:t>
      </w:r>
      <w:r w:rsidRPr="0083388E">
        <w:rPr>
          <w:rFonts w:eastAsia="Times New Roman" w:cs="Times New Roman"/>
          <w:lang w:eastAsia="de-DE"/>
        </w:rPr>
        <w:t xml:space="preserve">(und die Zeit war die Zeit der ersten Trauben) mit </w:t>
      </w:r>
      <w:r w:rsidRPr="0083388E">
        <w:rPr>
          <w:rFonts w:eastAsia="Times New Roman" w:cs="Times New Roman"/>
          <w:b/>
          <w:bCs/>
          <w:rtl/>
          <w:lang w:eastAsia="de-DE"/>
        </w:rPr>
        <w:t>הַיָּמִים</w:t>
      </w:r>
      <w:r w:rsidRPr="0083388E">
        <w:rPr>
          <w:rFonts w:eastAsia="Times New Roman" w:cs="Times New Roman"/>
          <w:rtl/>
          <w:lang w:eastAsia="de-DE"/>
        </w:rPr>
        <w:t xml:space="preserve"> </w:t>
      </w:r>
      <w:r w:rsidRPr="0083388E">
        <w:rPr>
          <w:rFonts w:eastAsia="Times New Roman" w:cs="Times New Roman"/>
          <w:lang w:eastAsia="de-DE"/>
        </w:rPr>
        <w:t xml:space="preserve">(die Tage), </w:t>
      </w:r>
      <w:r w:rsidRPr="0083388E">
        <w:rPr>
          <w:rFonts w:eastAsia="Times New Roman" w:cs="Times New Roman"/>
          <w:b/>
          <w:bCs/>
          <w:rtl/>
          <w:lang w:eastAsia="de-DE"/>
        </w:rPr>
        <w:t>יְמֵי בִּכּוּרֵי עֲנָבִים</w:t>
      </w:r>
      <w:r w:rsidRPr="0083388E">
        <w:rPr>
          <w:rFonts w:eastAsia="Times New Roman" w:cs="Times New Roman"/>
          <w:rtl/>
          <w:lang w:eastAsia="de-DE"/>
        </w:rPr>
        <w:t xml:space="preserve"> </w:t>
      </w:r>
      <w:r w:rsidRPr="0083388E">
        <w:rPr>
          <w:rFonts w:eastAsia="Times New Roman" w:cs="Times New Roman"/>
          <w:lang w:eastAsia="de-DE"/>
        </w:rPr>
        <w:t>(Tage der ersten Trauben) zeigt die Jahreszeit (Sommer) der Mission.</w:t>
      </w:r>
    </w:p>
    <w:p w14:paraId="029AE024"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Die LXX</w:t>
      </w:r>
      <w:r w:rsidRPr="0083388E">
        <w:rPr>
          <w:rFonts w:eastAsia="Times New Roman" w:cs="Times New Roman"/>
          <w:lang w:eastAsia="de-DE"/>
        </w:rPr>
        <w:t xml:space="preserve"> übersetzt </w:t>
      </w:r>
      <w:r w:rsidRPr="0083388E">
        <w:rPr>
          <w:rFonts w:eastAsia="Times New Roman" w:cs="Times New Roman"/>
          <w:b/>
          <w:bCs/>
          <w:rtl/>
          <w:lang w:eastAsia="de-DE"/>
        </w:rPr>
        <w:t>שְׁמֵנָה</w:t>
      </w:r>
      <w:r w:rsidRPr="0083388E">
        <w:rPr>
          <w:rFonts w:eastAsia="Times New Roman" w:cs="Times New Roman"/>
          <w:rtl/>
          <w:lang w:eastAsia="de-DE"/>
        </w:rPr>
        <w:t xml:space="preserve"> </w:t>
      </w:r>
      <w:r w:rsidRPr="0083388E">
        <w:rPr>
          <w:rFonts w:eastAsia="Times New Roman" w:cs="Times New Roman"/>
          <w:lang w:eastAsia="de-DE"/>
        </w:rPr>
        <w:t xml:space="preserve">mit πίων (fett), </w:t>
      </w:r>
      <w:r w:rsidRPr="0083388E">
        <w:rPr>
          <w:rFonts w:eastAsia="Times New Roman" w:cs="Times New Roman"/>
          <w:b/>
          <w:bCs/>
          <w:rtl/>
          <w:lang w:eastAsia="de-DE"/>
        </w:rPr>
        <w:t>רָזָה</w:t>
      </w:r>
      <w:r w:rsidRPr="0083388E">
        <w:rPr>
          <w:rFonts w:eastAsia="Times New Roman" w:cs="Times New Roman"/>
          <w:rtl/>
          <w:lang w:eastAsia="de-DE"/>
        </w:rPr>
        <w:t xml:space="preserve"> </w:t>
      </w:r>
      <w:r w:rsidRPr="0083388E">
        <w:rPr>
          <w:rFonts w:eastAsia="Times New Roman" w:cs="Times New Roman"/>
          <w:lang w:eastAsia="de-DE"/>
        </w:rPr>
        <w:t xml:space="preserve">mit ἰσχνή (mager), </w:t>
      </w:r>
      <w:r w:rsidRPr="0083388E">
        <w:rPr>
          <w:rFonts w:eastAsia="Times New Roman" w:cs="Times New Roman"/>
          <w:b/>
          <w:bCs/>
          <w:rtl/>
          <w:lang w:eastAsia="de-DE"/>
        </w:rPr>
        <w:t>הִתְחַזַּקְתֶּם</w:t>
      </w:r>
      <w:r w:rsidRPr="0083388E">
        <w:rPr>
          <w:rFonts w:eastAsia="Times New Roman" w:cs="Times New Roman"/>
          <w:rtl/>
          <w:lang w:eastAsia="de-DE"/>
        </w:rPr>
        <w:t xml:space="preserve"> </w:t>
      </w:r>
      <w:r w:rsidRPr="0083388E">
        <w:rPr>
          <w:rFonts w:eastAsia="Times New Roman" w:cs="Times New Roman"/>
          <w:lang w:eastAsia="de-DE"/>
        </w:rPr>
        <w:t xml:space="preserve">mit ἀνδρίζεσθε (seid mannhaft) und </w:t>
      </w:r>
      <w:r w:rsidRPr="0083388E">
        <w:rPr>
          <w:rFonts w:eastAsia="Times New Roman" w:cs="Times New Roman"/>
          <w:b/>
          <w:bCs/>
          <w:rtl/>
          <w:lang w:eastAsia="de-DE"/>
        </w:rPr>
        <w:t>בִּכּוּרֵי עֲנָבִים</w:t>
      </w:r>
      <w:r w:rsidRPr="0083388E">
        <w:rPr>
          <w:rFonts w:eastAsia="Times New Roman" w:cs="Times New Roman"/>
          <w:rtl/>
          <w:lang w:eastAsia="de-DE"/>
        </w:rPr>
        <w:t xml:space="preserve"> </w:t>
      </w:r>
      <w:r w:rsidRPr="0083388E">
        <w:rPr>
          <w:rFonts w:eastAsia="Times New Roman" w:cs="Times New Roman"/>
          <w:lang w:eastAsia="de-DE"/>
        </w:rPr>
        <w:t>mit πρόδρομος σταφυλῆς (Erstlinge der Trauben).</w:t>
      </w:r>
    </w:p>
    <w:p w14:paraId="0A9585E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landwirtschaftliche Untersuchung, praktische Anweisung und zeitliche Kontextualisierung.</w:t>
      </w:r>
    </w:p>
    <w:p w14:paraId="253E5A3E"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komplettiert Moses Aufklärungsanweisungen mit landwirtschaftlichen Kriterien und praktischen Anweisungen zur Beweissammlung.</w:t>
      </w:r>
    </w:p>
    <w:p w14:paraId="6418C1E5"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13,21</w:t>
      </w:r>
    </w:p>
    <w:p w14:paraId="24D366CA"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וַֽיַּעֲל֖וּ וַיָּתֻ֣רוּ אֶת־הָאָ֑רֶץ מִמִּדְבַּר־צִ֥ן עַד־רְחֹ֖ב לְבֹ֥א חֲמָֽת׃</w:t>
      </w:r>
    </w:p>
    <w:p w14:paraId="5D1B2773"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Und sie zogen hinauf und kundschafteten das Land aus, von der Wüste Zin bis Rechov, gegen Chamat hin.</w:t>
      </w:r>
    </w:p>
    <w:p w14:paraId="75C55F56"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4DB49FAD">
          <v:rect id="_x0000_i1440" style="width:0;height:1.5pt" o:hralign="center" o:hrstd="t" o:hr="t" fillcolor="#a0a0a0" stroked="f"/>
        </w:pict>
      </w:r>
    </w:p>
    <w:p w14:paraId="2FE74A0C"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Die Ausführung </w:t>
      </w:r>
      <w:r w:rsidRPr="0083388E">
        <w:rPr>
          <w:rFonts w:eastAsia="Times New Roman" w:cs="Times New Roman"/>
          <w:b/>
          <w:bCs/>
          <w:rtl/>
          <w:lang w:eastAsia="de-DE"/>
        </w:rPr>
        <w:t>וַֽיַּעֲל֖וּ וַיָּתֻ֣רוּ אֶת־הָאָ֑רֶץ</w:t>
      </w:r>
      <w:r w:rsidRPr="0083388E">
        <w:rPr>
          <w:rFonts w:eastAsia="Times New Roman" w:cs="Times New Roman"/>
          <w:rtl/>
          <w:lang w:eastAsia="de-DE"/>
        </w:rPr>
        <w:t xml:space="preserve"> </w:t>
      </w:r>
      <w:r w:rsidRPr="0083388E">
        <w:rPr>
          <w:rFonts w:eastAsia="Times New Roman" w:cs="Times New Roman"/>
          <w:lang w:eastAsia="de-DE"/>
        </w:rPr>
        <w:t xml:space="preserve">(und sie zogen hinauf und kundschafteten das Land aus) mit </w:t>
      </w:r>
      <w:r w:rsidRPr="0083388E">
        <w:rPr>
          <w:rFonts w:eastAsia="Times New Roman" w:cs="Times New Roman"/>
          <w:b/>
          <w:bCs/>
          <w:rtl/>
          <w:lang w:eastAsia="de-DE"/>
        </w:rPr>
        <w:t>יַּעֲלוּ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עלה</w:t>
      </w:r>
      <w:r w:rsidRPr="0083388E">
        <w:rPr>
          <w:rFonts w:eastAsia="Times New Roman" w:cs="Times New Roman"/>
          <w:rtl/>
          <w:lang w:eastAsia="de-DE"/>
        </w:rPr>
        <w:t xml:space="preserve"> </w:t>
      </w:r>
      <w:r w:rsidRPr="0083388E">
        <w:rPr>
          <w:rFonts w:eastAsia="Times New Roman" w:cs="Times New Roman"/>
          <w:lang w:eastAsia="de-DE"/>
        </w:rPr>
        <w:t xml:space="preserve">(hinaufsteigen) und </w:t>
      </w:r>
      <w:r w:rsidRPr="0083388E">
        <w:rPr>
          <w:rFonts w:eastAsia="Times New Roman" w:cs="Times New Roman"/>
          <w:b/>
          <w:bCs/>
          <w:rtl/>
          <w:lang w:eastAsia="de-DE"/>
        </w:rPr>
        <w:t>יָּתֻרוּ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תור</w:t>
      </w:r>
      <w:r w:rsidRPr="0083388E">
        <w:rPr>
          <w:rFonts w:eastAsia="Times New Roman" w:cs="Times New Roman"/>
          <w:rtl/>
          <w:lang w:eastAsia="de-DE"/>
        </w:rPr>
        <w:t xml:space="preserve"> </w:t>
      </w:r>
      <w:r w:rsidRPr="0083388E">
        <w:rPr>
          <w:rFonts w:eastAsia="Times New Roman" w:cs="Times New Roman"/>
          <w:lang w:eastAsia="de-DE"/>
        </w:rPr>
        <w:t>(erkunden) zeigt die gehorsame Durchführung der Mission.</w:t>
      </w:r>
    </w:p>
    <w:p w14:paraId="57108619"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geografische Reichweite </w:t>
      </w:r>
      <w:r w:rsidRPr="0083388E">
        <w:rPr>
          <w:rFonts w:eastAsia="Times New Roman" w:cs="Times New Roman"/>
          <w:b/>
          <w:bCs/>
          <w:rtl/>
          <w:lang w:eastAsia="de-DE"/>
        </w:rPr>
        <w:t>מִמִּדְבַּר־צִ֥ן עַד־רְחֹ֖ב לְבֹ֥א חֲמָֽת</w:t>
      </w:r>
      <w:r w:rsidRPr="0083388E">
        <w:rPr>
          <w:rFonts w:eastAsia="Times New Roman" w:cs="Times New Roman"/>
          <w:rtl/>
          <w:lang w:eastAsia="de-DE"/>
        </w:rPr>
        <w:t xml:space="preserve"> </w:t>
      </w:r>
      <w:r w:rsidRPr="0083388E">
        <w:rPr>
          <w:rFonts w:eastAsia="Times New Roman" w:cs="Times New Roman"/>
          <w:lang w:eastAsia="de-DE"/>
        </w:rPr>
        <w:t xml:space="preserve">(von der Wüste Zin bis Rechov, gegen Chamat hin) mit </w:t>
      </w:r>
      <w:r w:rsidRPr="0083388E">
        <w:rPr>
          <w:rFonts w:eastAsia="Times New Roman" w:cs="Times New Roman"/>
          <w:b/>
          <w:bCs/>
          <w:rtl/>
          <w:lang w:eastAsia="de-DE"/>
        </w:rPr>
        <w:t>מִמִּדְבַּר־צִן</w:t>
      </w:r>
      <w:r w:rsidRPr="0083388E">
        <w:rPr>
          <w:rFonts w:eastAsia="Times New Roman" w:cs="Times New Roman"/>
          <w:rtl/>
          <w:lang w:eastAsia="de-DE"/>
        </w:rPr>
        <w:t xml:space="preserve"> </w:t>
      </w:r>
      <w:r w:rsidRPr="0083388E">
        <w:rPr>
          <w:rFonts w:eastAsia="Times New Roman" w:cs="Times New Roman"/>
          <w:lang w:eastAsia="de-DE"/>
        </w:rPr>
        <w:t xml:space="preserve">(von der Wüste Zin) als südlichstem Punkt, </w:t>
      </w:r>
      <w:r w:rsidRPr="0083388E">
        <w:rPr>
          <w:rFonts w:eastAsia="Times New Roman" w:cs="Times New Roman"/>
          <w:b/>
          <w:bCs/>
          <w:rtl/>
          <w:lang w:eastAsia="de-DE"/>
        </w:rPr>
        <w:t>עַד־רְחֹב</w:t>
      </w:r>
      <w:r w:rsidRPr="0083388E">
        <w:rPr>
          <w:rFonts w:eastAsia="Times New Roman" w:cs="Times New Roman"/>
          <w:rtl/>
          <w:lang w:eastAsia="de-DE"/>
        </w:rPr>
        <w:t xml:space="preserve"> </w:t>
      </w:r>
      <w:r w:rsidRPr="0083388E">
        <w:rPr>
          <w:rFonts w:eastAsia="Times New Roman" w:cs="Times New Roman"/>
          <w:lang w:eastAsia="de-DE"/>
        </w:rPr>
        <w:t xml:space="preserve">(bis Rechov) und </w:t>
      </w:r>
      <w:r w:rsidRPr="0083388E">
        <w:rPr>
          <w:rFonts w:eastAsia="Times New Roman" w:cs="Times New Roman"/>
          <w:b/>
          <w:bCs/>
          <w:rtl/>
          <w:lang w:eastAsia="de-DE"/>
        </w:rPr>
        <w:t>לְבֹא חֲמָת</w:t>
      </w:r>
      <w:r w:rsidRPr="0083388E">
        <w:rPr>
          <w:rFonts w:eastAsia="Times New Roman" w:cs="Times New Roman"/>
          <w:rtl/>
          <w:lang w:eastAsia="de-DE"/>
        </w:rPr>
        <w:t xml:space="preserve"> </w:t>
      </w:r>
      <w:r w:rsidRPr="0083388E">
        <w:rPr>
          <w:rFonts w:eastAsia="Times New Roman" w:cs="Times New Roman"/>
          <w:lang w:eastAsia="de-DE"/>
        </w:rPr>
        <w:t>(gegen Chamat hin) zeigt die umfassende Erkundung von Süden bis weit in den Norden.</w:t>
      </w:r>
    </w:p>
    <w:p w14:paraId="2FF561D2"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Die LXX</w:t>
      </w:r>
      <w:r w:rsidRPr="0083388E">
        <w:rPr>
          <w:rFonts w:eastAsia="Times New Roman" w:cs="Times New Roman"/>
          <w:lang w:eastAsia="de-DE"/>
        </w:rPr>
        <w:t xml:space="preserve"> übersetzt </w:t>
      </w:r>
      <w:r w:rsidRPr="0083388E">
        <w:rPr>
          <w:rFonts w:eastAsia="Times New Roman" w:cs="Times New Roman"/>
          <w:b/>
          <w:bCs/>
          <w:rtl/>
          <w:lang w:eastAsia="de-DE"/>
        </w:rPr>
        <w:t>יַּעֲלוּ</w:t>
      </w:r>
      <w:r w:rsidRPr="0083388E">
        <w:rPr>
          <w:rFonts w:eastAsia="Times New Roman" w:cs="Times New Roman"/>
          <w:rtl/>
          <w:lang w:eastAsia="de-DE"/>
        </w:rPr>
        <w:t xml:space="preserve"> </w:t>
      </w:r>
      <w:r w:rsidRPr="0083388E">
        <w:rPr>
          <w:rFonts w:eastAsia="Times New Roman" w:cs="Times New Roman"/>
          <w:lang w:eastAsia="de-DE"/>
        </w:rPr>
        <w:t xml:space="preserve">mit ἀνέβησαν (sie stiegen hinauf), </w:t>
      </w:r>
      <w:r w:rsidRPr="0083388E">
        <w:rPr>
          <w:rFonts w:eastAsia="Times New Roman" w:cs="Times New Roman"/>
          <w:b/>
          <w:bCs/>
          <w:rtl/>
          <w:lang w:eastAsia="de-DE"/>
        </w:rPr>
        <w:t>יָּתֻרוּ</w:t>
      </w:r>
      <w:r w:rsidRPr="0083388E">
        <w:rPr>
          <w:rFonts w:eastAsia="Times New Roman" w:cs="Times New Roman"/>
          <w:rtl/>
          <w:lang w:eastAsia="de-DE"/>
        </w:rPr>
        <w:t xml:space="preserve"> </w:t>
      </w:r>
      <w:r w:rsidRPr="0083388E">
        <w:rPr>
          <w:rFonts w:eastAsia="Times New Roman" w:cs="Times New Roman"/>
          <w:lang w:eastAsia="de-DE"/>
        </w:rPr>
        <w:t>mit κατεσκέψαντο (sie erkundschafteten) und die Ortsnamen werden transliteriert.</w:t>
      </w:r>
    </w:p>
    <w:p w14:paraId="73B68EFA"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Missionsausführung mit umfassender geografischer Reichweitenangabe.</w:t>
      </w:r>
    </w:p>
    <w:p w14:paraId="3D97F6EB"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dokumentiert die umfassende Durchführung der Kundschaftermission durch das gesamte verheißene Land.</w:t>
      </w:r>
    </w:p>
    <w:p w14:paraId="09E87702"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13,22</w:t>
      </w:r>
    </w:p>
    <w:p w14:paraId="362A2ED7"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וַיַּעֲל֣וּ בַנֶּגֶב֮ וַיָּבֹ֣א עַד־חֶבְרוֹן֒ וְשָׁ֤ם אֲחִימַן֙ שֵׁשַׁ֣י וְתַלְמַ֔י יְלִידֵ֖י הָעֲנָ֑ק וְחֶבְר֗וֹן שֶׁ֤בַע שָׁנִים֙ נִבְנְתָ֔ה לִפְנֵ֖י צֹ֥עַן מִצְרָֽיִם׃</w:t>
      </w:r>
    </w:p>
    <w:p w14:paraId="0B53C0E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lastRenderedPageBreak/>
        <w:t>Deutsch:</w:t>
      </w:r>
      <w:r w:rsidRPr="0083388E">
        <w:rPr>
          <w:rFonts w:eastAsia="Times New Roman" w:cs="Times New Roman"/>
          <w:lang w:eastAsia="de-DE"/>
        </w:rPr>
        <w:t xml:space="preserve"> Und sie zogen im Negev hinauf und kamen bis Chevron, und dort waren Achiman, Scheschai und Talmai, die Kinder des Anak. Chevron war aber sieben Jahre vor Zo'an in Mizrajim erbaut worden.</w:t>
      </w:r>
    </w:p>
    <w:p w14:paraId="271C2CBF"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255EA078">
          <v:rect id="_x0000_i1441" style="width:0;height:1.5pt" o:hralign="center" o:hrstd="t" o:hr="t" fillcolor="#a0a0a0" stroked="f"/>
        </w:pict>
      </w:r>
    </w:p>
    <w:p w14:paraId="7EED522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Die Route </w:t>
      </w:r>
      <w:r w:rsidRPr="0083388E">
        <w:rPr>
          <w:rFonts w:eastAsia="Times New Roman" w:cs="Times New Roman"/>
          <w:b/>
          <w:bCs/>
          <w:rtl/>
          <w:lang w:eastAsia="de-DE"/>
        </w:rPr>
        <w:t>וַיַּעֲל֣וּ בַנֶּגֶב֮ וַיָּבֹ֣א עַד־חֶבְרוֹן֒</w:t>
      </w:r>
      <w:r w:rsidRPr="0083388E">
        <w:rPr>
          <w:rFonts w:eastAsia="Times New Roman" w:cs="Times New Roman"/>
          <w:rtl/>
          <w:lang w:eastAsia="de-DE"/>
        </w:rPr>
        <w:t xml:space="preserve"> </w:t>
      </w:r>
      <w:r w:rsidRPr="0083388E">
        <w:rPr>
          <w:rFonts w:eastAsia="Times New Roman" w:cs="Times New Roman"/>
          <w:lang w:eastAsia="de-DE"/>
        </w:rPr>
        <w:t xml:space="preserve">(und sie zogen im Negev hinauf und kamen bis Hebron) mit </w:t>
      </w:r>
      <w:r w:rsidRPr="0083388E">
        <w:rPr>
          <w:rFonts w:eastAsia="Times New Roman" w:cs="Times New Roman"/>
          <w:b/>
          <w:bCs/>
          <w:rtl/>
          <w:lang w:eastAsia="de-DE"/>
        </w:rPr>
        <w:t>יַּעֲלוּ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עלה</w:t>
      </w:r>
      <w:r w:rsidRPr="0083388E">
        <w:rPr>
          <w:rFonts w:eastAsia="Times New Roman" w:cs="Times New Roman"/>
          <w:rtl/>
          <w:lang w:eastAsia="de-DE"/>
        </w:rPr>
        <w:t xml:space="preserve"> </w:t>
      </w:r>
      <w:r w:rsidRPr="0083388E">
        <w:rPr>
          <w:rFonts w:eastAsia="Times New Roman" w:cs="Times New Roman"/>
          <w:lang w:eastAsia="de-DE"/>
        </w:rPr>
        <w:t xml:space="preserve">(hinaufsteigen), </w:t>
      </w:r>
      <w:r w:rsidRPr="0083388E">
        <w:rPr>
          <w:rFonts w:eastAsia="Times New Roman" w:cs="Times New Roman"/>
          <w:b/>
          <w:bCs/>
          <w:rtl/>
          <w:lang w:eastAsia="de-DE"/>
        </w:rPr>
        <w:t>בַנֶּגֶב</w:t>
      </w:r>
      <w:r w:rsidRPr="0083388E">
        <w:rPr>
          <w:rFonts w:eastAsia="Times New Roman" w:cs="Times New Roman"/>
          <w:rtl/>
          <w:lang w:eastAsia="de-DE"/>
        </w:rPr>
        <w:t xml:space="preserve"> </w:t>
      </w:r>
      <w:r w:rsidRPr="0083388E">
        <w:rPr>
          <w:rFonts w:eastAsia="Times New Roman" w:cs="Times New Roman"/>
          <w:lang w:eastAsia="de-DE"/>
        </w:rPr>
        <w:t xml:space="preserve">(im Negev) und </w:t>
      </w:r>
      <w:r w:rsidRPr="0083388E">
        <w:rPr>
          <w:rFonts w:eastAsia="Times New Roman" w:cs="Times New Roman"/>
          <w:b/>
          <w:bCs/>
          <w:rtl/>
          <w:lang w:eastAsia="de-DE"/>
        </w:rPr>
        <w:t>עַד־חֶבְרוֹן</w:t>
      </w:r>
      <w:r w:rsidRPr="0083388E">
        <w:rPr>
          <w:rFonts w:eastAsia="Times New Roman" w:cs="Times New Roman"/>
          <w:rtl/>
          <w:lang w:eastAsia="de-DE"/>
        </w:rPr>
        <w:t xml:space="preserve"> </w:t>
      </w:r>
      <w:r w:rsidRPr="0083388E">
        <w:rPr>
          <w:rFonts w:eastAsia="Times New Roman" w:cs="Times New Roman"/>
          <w:lang w:eastAsia="de-DE"/>
        </w:rPr>
        <w:t>(bis Hebron) zeigt die spezifische Route und das bedeutsame Ziel - Hebron, die Stadt der Patriarchen.</w:t>
      </w:r>
    </w:p>
    <w:p w14:paraId="7175C044"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bedrohliche Entdeckung </w:t>
      </w:r>
      <w:r w:rsidRPr="0083388E">
        <w:rPr>
          <w:rFonts w:eastAsia="Times New Roman" w:cs="Times New Roman"/>
          <w:b/>
          <w:bCs/>
          <w:rtl/>
          <w:lang w:eastAsia="de-DE"/>
        </w:rPr>
        <w:t>וְשָׁ֤ם אֲחִימַן֙ שֵׁשַׁ֣י וְתַלְמַ֔י יְלִידֵ֖י הָעֲנָ֑ק</w:t>
      </w:r>
      <w:r w:rsidRPr="0083388E">
        <w:rPr>
          <w:rFonts w:eastAsia="Times New Roman" w:cs="Times New Roman"/>
          <w:rtl/>
          <w:lang w:eastAsia="de-DE"/>
        </w:rPr>
        <w:t xml:space="preserve"> </w:t>
      </w:r>
      <w:r w:rsidRPr="0083388E">
        <w:rPr>
          <w:rFonts w:eastAsia="Times New Roman" w:cs="Times New Roman"/>
          <w:lang w:eastAsia="de-DE"/>
        </w:rPr>
        <w:t xml:space="preserve">(und dort waren Achiman, Scheschai und Talmai, die Kinder des Anak) mit </w:t>
      </w:r>
      <w:r w:rsidRPr="0083388E">
        <w:rPr>
          <w:rFonts w:eastAsia="Times New Roman" w:cs="Times New Roman"/>
          <w:b/>
          <w:bCs/>
          <w:rtl/>
          <w:lang w:eastAsia="de-DE"/>
        </w:rPr>
        <w:t>שָׁם</w:t>
      </w:r>
      <w:r w:rsidRPr="0083388E">
        <w:rPr>
          <w:rFonts w:eastAsia="Times New Roman" w:cs="Times New Roman"/>
          <w:rtl/>
          <w:lang w:eastAsia="de-DE"/>
        </w:rPr>
        <w:t xml:space="preserve"> </w:t>
      </w:r>
      <w:r w:rsidRPr="0083388E">
        <w:rPr>
          <w:rFonts w:eastAsia="Times New Roman" w:cs="Times New Roman"/>
          <w:lang w:eastAsia="de-DE"/>
        </w:rPr>
        <w:t xml:space="preserve">(dort), den drei Namen </w:t>
      </w:r>
      <w:r w:rsidRPr="0083388E">
        <w:rPr>
          <w:rFonts w:eastAsia="Times New Roman" w:cs="Times New Roman"/>
          <w:b/>
          <w:bCs/>
          <w:rtl/>
          <w:lang w:eastAsia="de-DE"/>
        </w:rPr>
        <w:t>אֲחִימַן שֵׁשַׁי וְתַלְמַי</w:t>
      </w:r>
      <w:r w:rsidRPr="0083388E">
        <w:rPr>
          <w:rFonts w:eastAsia="Times New Roman" w:cs="Times New Roman"/>
          <w:rtl/>
          <w:lang w:eastAsia="de-DE"/>
        </w:rPr>
        <w:t xml:space="preserve"> </w:t>
      </w:r>
      <w:r w:rsidRPr="0083388E">
        <w:rPr>
          <w:rFonts w:eastAsia="Times New Roman" w:cs="Times New Roman"/>
          <w:lang w:eastAsia="de-DE"/>
        </w:rPr>
        <w:t xml:space="preserve">und </w:t>
      </w:r>
      <w:r w:rsidRPr="0083388E">
        <w:rPr>
          <w:rFonts w:eastAsia="Times New Roman" w:cs="Times New Roman"/>
          <w:b/>
          <w:bCs/>
          <w:rtl/>
          <w:lang w:eastAsia="de-DE"/>
        </w:rPr>
        <w:t>יְלִידֵי הָעֲנָק</w:t>
      </w:r>
      <w:r w:rsidRPr="0083388E">
        <w:rPr>
          <w:rFonts w:eastAsia="Times New Roman" w:cs="Times New Roman"/>
          <w:rtl/>
          <w:lang w:eastAsia="de-DE"/>
        </w:rPr>
        <w:t xml:space="preserve"> </w:t>
      </w:r>
      <w:r w:rsidRPr="0083388E">
        <w:rPr>
          <w:rFonts w:eastAsia="Times New Roman" w:cs="Times New Roman"/>
          <w:lang w:eastAsia="de-DE"/>
        </w:rPr>
        <w:t>(Kinder/Nachkommen des Anak) zeigt die Begegnung mit den gefürchteten Riesen.</w:t>
      </w:r>
    </w:p>
    <w:p w14:paraId="4D5DD4BB"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chronologische Notiz </w:t>
      </w:r>
      <w:r w:rsidRPr="0083388E">
        <w:rPr>
          <w:rFonts w:eastAsia="Times New Roman" w:cs="Times New Roman"/>
          <w:b/>
          <w:bCs/>
          <w:rtl/>
          <w:lang w:eastAsia="de-DE"/>
        </w:rPr>
        <w:t>וְחֶבְר֗וֹן שֶׁ֤בַע שָׁנִים֙ נִבְנְתָ֔ה לִפְנֵ֖י צֹ֥עַן מִצְרָֽיִם</w:t>
      </w:r>
      <w:r w:rsidRPr="0083388E">
        <w:rPr>
          <w:rFonts w:eastAsia="Times New Roman" w:cs="Times New Roman"/>
          <w:rtl/>
          <w:lang w:eastAsia="de-DE"/>
        </w:rPr>
        <w:t xml:space="preserve"> </w:t>
      </w:r>
      <w:r w:rsidRPr="0083388E">
        <w:rPr>
          <w:rFonts w:eastAsia="Times New Roman" w:cs="Times New Roman"/>
          <w:lang w:eastAsia="de-DE"/>
        </w:rPr>
        <w:t xml:space="preserve">(und Hebron wurde sieben Jahre vor Zoan in Ägypten erbaut) mit </w:t>
      </w:r>
      <w:r w:rsidRPr="0083388E">
        <w:rPr>
          <w:rFonts w:eastAsia="Times New Roman" w:cs="Times New Roman"/>
          <w:b/>
          <w:bCs/>
          <w:rtl/>
          <w:lang w:eastAsia="de-DE"/>
        </w:rPr>
        <w:t>שֶׁבַע שָׁנִים</w:t>
      </w:r>
      <w:r w:rsidRPr="0083388E">
        <w:rPr>
          <w:rFonts w:eastAsia="Times New Roman" w:cs="Times New Roman"/>
          <w:rtl/>
          <w:lang w:eastAsia="de-DE"/>
        </w:rPr>
        <w:t xml:space="preserve"> </w:t>
      </w:r>
      <w:r w:rsidRPr="0083388E">
        <w:rPr>
          <w:rFonts w:eastAsia="Times New Roman" w:cs="Times New Roman"/>
          <w:lang w:eastAsia="de-DE"/>
        </w:rPr>
        <w:t xml:space="preserve">(sieben Jahre), </w:t>
      </w:r>
      <w:r w:rsidRPr="0083388E">
        <w:rPr>
          <w:rFonts w:eastAsia="Times New Roman" w:cs="Times New Roman"/>
          <w:b/>
          <w:bCs/>
          <w:rtl/>
          <w:lang w:eastAsia="de-DE"/>
        </w:rPr>
        <w:t>נִבְנְתָה</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בנה</w:t>
      </w:r>
      <w:r w:rsidRPr="0083388E">
        <w:rPr>
          <w:rFonts w:eastAsia="Times New Roman" w:cs="Times New Roman"/>
          <w:rtl/>
          <w:lang w:eastAsia="de-DE"/>
        </w:rPr>
        <w:t xml:space="preserve"> </w:t>
      </w:r>
      <w:r w:rsidRPr="0083388E">
        <w:rPr>
          <w:rFonts w:eastAsia="Times New Roman" w:cs="Times New Roman"/>
          <w:lang w:eastAsia="de-DE"/>
        </w:rPr>
        <w:t xml:space="preserve">(bauen) im Niph'al-Perfekt 3. feminin Singular, </w:t>
      </w:r>
      <w:r w:rsidRPr="0083388E">
        <w:rPr>
          <w:rFonts w:eastAsia="Times New Roman" w:cs="Times New Roman"/>
          <w:b/>
          <w:bCs/>
          <w:rtl/>
          <w:lang w:eastAsia="de-DE"/>
        </w:rPr>
        <w:t>לִפְנֵי</w:t>
      </w:r>
      <w:r w:rsidRPr="0083388E">
        <w:rPr>
          <w:rFonts w:eastAsia="Times New Roman" w:cs="Times New Roman"/>
          <w:rtl/>
          <w:lang w:eastAsia="de-DE"/>
        </w:rPr>
        <w:t xml:space="preserve"> </w:t>
      </w:r>
      <w:r w:rsidRPr="0083388E">
        <w:rPr>
          <w:rFonts w:eastAsia="Times New Roman" w:cs="Times New Roman"/>
          <w:lang w:eastAsia="de-DE"/>
        </w:rPr>
        <w:t xml:space="preserve">(vor) und </w:t>
      </w:r>
      <w:r w:rsidRPr="0083388E">
        <w:rPr>
          <w:rFonts w:eastAsia="Times New Roman" w:cs="Times New Roman"/>
          <w:b/>
          <w:bCs/>
          <w:rtl/>
          <w:lang w:eastAsia="de-DE"/>
        </w:rPr>
        <w:t>צֹעַן מִצְרַיִם</w:t>
      </w:r>
      <w:r w:rsidRPr="0083388E">
        <w:rPr>
          <w:rFonts w:eastAsia="Times New Roman" w:cs="Times New Roman"/>
          <w:rtl/>
          <w:lang w:eastAsia="de-DE"/>
        </w:rPr>
        <w:t xml:space="preserve"> </w:t>
      </w:r>
      <w:r w:rsidRPr="0083388E">
        <w:rPr>
          <w:rFonts w:eastAsia="Times New Roman" w:cs="Times New Roman"/>
          <w:lang w:eastAsia="de-DE"/>
        </w:rPr>
        <w:t>(Zoan in Ägypten) zeigt das hohe Alter Hebrons im Vergleich zu einer bedeutenden ägyptischen Stadt.</w:t>
      </w:r>
    </w:p>
    <w:p w14:paraId="7E7226F8" w14:textId="77777777" w:rsidR="00184967" w:rsidRDefault="00184967" w:rsidP="0083388E">
      <w:pPr>
        <w:spacing w:before="100" w:beforeAutospacing="1" w:after="100" w:afterAutospacing="1" w:line="240" w:lineRule="auto"/>
      </w:pPr>
      <w:r>
        <w:rPr>
          <w:rStyle w:val="Fett"/>
        </w:rPr>
        <w:t>Vers 22 (MT) / Vers 23 (LXX):</w:t>
      </w:r>
      <w:r>
        <w:t xml:space="preserve"> </w:t>
      </w:r>
      <w:r>
        <w:rPr>
          <w:rStyle w:val="Fett"/>
        </w:rPr>
        <w:t>Die LXX</w:t>
      </w:r>
      <w:r>
        <w:t xml:space="preserve"> schreibt die Nachkommen Anaks anders: Hebräisch „</w:t>
      </w:r>
      <w:r>
        <w:rPr>
          <w:rtl/>
        </w:rPr>
        <w:t>אֲחִימַן שֵׁשַׁי וְתַלְמַי</w:t>
      </w:r>
      <w:r>
        <w:t>" wird zu „Ἀχιμὰν καὶ Σεσὶ καὶ Θελαμείν" mit leicht abweichenden Namensformen. Zudem übersetzt die LXX „</w:t>
      </w:r>
      <w:r>
        <w:rPr>
          <w:rtl/>
        </w:rPr>
        <w:t>צֹעַן</w:t>
      </w:r>
      <w:r>
        <w:t>" (Zoan) als „Τάνιν" (Tanis), die griechische Bezeichnung für dieselbe ägyptische Stadt.</w:t>
      </w:r>
    </w:p>
    <w:p w14:paraId="3D215403" w14:textId="1721958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Routenangabe, bedrohliche Entdeckung und historische Kontextualisierung.</w:t>
      </w:r>
    </w:p>
    <w:p w14:paraId="42A0CDC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dokumentiert die beunruhigende Begegnung mit den Anakitern in der historisch bedeutsamen Stadt Hebron.</w:t>
      </w:r>
    </w:p>
    <w:p w14:paraId="78770603"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13,23</w:t>
      </w:r>
    </w:p>
    <w:p w14:paraId="092E8C8A"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וַיָּבֹ֜אוּ עַד־נַ֣חַל אֶשְׁכֹּ֗ל וַיִּכְרְת֨וּ מִשָּׁ֤ם זְמוֹרָה֙ וְאֶשְׁכּ֤וֹל עֲנָבִים֙ אֶחָ֔ד וַיִּשָּׂאֻ֥הוּ בַמּ֖וֹט בִּשְׁנָ֑יִם וּמִן־הָרִמֹּנִ֖ים וּמִן־הַתְּאֵנִֽים׃</w:t>
      </w:r>
    </w:p>
    <w:p w14:paraId="59D24FE4"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Und sie kamen bis zum Tal Eschkol und schnitten dort eine Rebe mit einer Weintraube ab und trugen sie zu zweit an einer Stange, auch Granatäpfel und Feigen.</w:t>
      </w:r>
    </w:p>
    <w:p w14:paraId="744FBBC9"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536A1EEA">
          <v:rect id="_x0000_i1442" style="width:0;height:1.5pt" o:hralign="center" o:hrstd="t" o:hr="t" fillcolor="#a0a0a0" stroked="f"/>
        </w:pict>
      </w:r>
    </w:p>
    <w:p w14:paraId="31E405AE"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Die Ankunft </w:t>
      </w:r>
      <w:r w:rsidRPr="0083388E">
        <w:rPr>
          <w:rFonts w:eastAsia="Times New Roman" w:cs="Times New Roman"/>
          <w:b/>
          <w:bCs/>
          <w:rtl/>
          <w:lang w:eastAsia="de-DE"/>
        </w:rPr>
        <w:t>וַיָּבֹ֜אוּ עַד־נַ֣חַל אֶשְׁכֹּ֗ל</w:t>
      </w:r>
      <w:r w:rsidRPr="0083388E">
        <w:rPr>
          <w:rFonts w:eastAsia="Times New Roman" w:cs="Times New Roman"/>
          <w:rtl/>
          <w:lang w:eastAsia="de-DE"/>
        </w:rPr>
        <w:t xml:space="preserve"> </w:t>
      </w:r>
      <w:r w:rsidRPr="0083388E">
        <w:rPr>
          <w:rFonts w:eastAsia="Times New Roman" w:cs="Times New Roman"/>
          <w:lang w:eastAsia="de-DE"/>
        </w:rPr>
        <w:t xml:space="preserve">(und sie kamen bis zum Tal Eschkol) mit </w:t>
      </w:r>
      <w:r w:rsidRPr="0083388E">
        <w:rPr>
          <w:rFonts w:eastAsia="Times New Roman" w:cs="Times New Roman"/>
          <w:b/>
          <w:bCs/>
          <w:rtl/>
          <w:lang w:eastAsia="de-DE"/>
        </w:rPr>
        <w:t>יָּבֹאוּ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בוא</w:t>
      </w:r>
      <w:r w:rsidRPr="0083388E">
        <w:rPr>
          <w:rFonts w:eastAsia="Times New Roman" w:cs="Times New Roman"/>
          <w:rtl/>
          <w:lang w:eastAsia="de-DE"/>
        </w:rPr>
        <w:t xml:space="preserve"> </w:t>
      </w:r>
      <w:r w:rsidRPr="0083388E">
        <w:rPr>
          <w:rFonts w:eastAsia="Times New Roman" w:cs="Times New Roman"/>
          <w:lang w:eastAsia="de-DE"/>
        </w:rPr>
        <w:t xml:space="preserve">(kommen) und </w:t>
      </w:r>
      <w:r w:rsidRPr="0083388E">
        <w:rPr>
          <w:rFonts w:eastAsia="Times New Roman" w:cs="Times New Roman"/>
          <w:b/>
          <w:bCs/>
          <w:rtl/>
          <w:lang w:eastAsia="de-DE"/>
        </w:rPr>
        <w:t>נַחַל אֶשְׁכּוֹל</w:t>
      </w:r>
      <w:r w:rsidRPr="0083388E">
        <w:rPr>
          <w:rFonts w:eastAsia="Times New Roman" w:cs="Times New Roman"/>
          <w:rtl/>
          <w:lang w:eastAsia="de-DE"/>
        </w:rPr>
        <w:t xml:space="preserve"> </w:t>
      </w:r>
      <w:r w:rsidRPr="0083388E">
        <w:rPr>
          <w:rFonts w:eastAsia="Times New Roman" w:cs="Times New Roman"/>
          <w:lang w:eastAsia="de-DE"/>
        </w:rPr>
        <w:t xml:space="preserve">(Tal Eschkol) zeigt eine fruchtbare Region. </w:t>
      </w:r>
      <w:r w:rsidRPr="0083388E">
        <w:rPr>
          <w:rFonts w:eastAsia="Times New Roman" w:cs="Times New Roman"/>
          <w:b/>
          <w:bCs/>
          <w:rtl/>
          <w:lang w:eastAsia="de-DE"/>
        </w:rPr>
        <w:t>אֶשְׁכּוֹל</w:t>
      </w:r>
      <w:r w:rsidRPr="0083388E">
        <w:rPr>
          <w:rFonts w:eastAsia="Times New Roman" w:cs="Times New Roman"/>
          <w:rtl/>
          <w:lang w:eastAsia="de-DE"/>
        </w:rPr>
        <w:t xml:space="preserve"> </w:t>
      </w:r>
      <w:r w:rsidRPr="0083388E">
        <w:rPr>
          <w:rFonts w:eastAsia="Times New Roman" w:cs="Times New Roman"/>
          <w:lang w:eastAsia="de-DE"/>
        </w:rPr>
        <w:t>bedeutet "Traube", was bereits die Fruchtbarkeit des Gebiets andeutet.</w:t>
      </w:r>
    </w:p>
    <w:p w14:paraId="13BAC133"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Erntehandlung </w:t>
      </w:r>
      <w:r w:rsidRPr="0083388E">
        <w:rPr>
          <w:rFonts w:eastAsia="Times New Roman" w:cs="Times New Roman"/>
          <w:b/>
          <w:bCs/>
          <w:rtl/>
          <w:lang w:eastAsia="de-DE"/>
        </w:rPr>
        <w:t>וַיִּכְרְת֨וּ מִשָּׁ֤ם זְמוֹרָה֙ וְאֶשְׁכּ֤וֹל עֲנָבִים֙ אֶחָ֔ד</w:t>
      </w:r>
      <w:r w:rsidRPr="0083388E">
        <w:rPr>
          <w:rFonts w:eastAsia="Times New Roman" w:cs="Times New Roman"/>
          <w:rtl/>
          <w:lang w:eastAsia="de-DE"/>
        </w:rPr>
        <w:t xml:space="preserve"> </w:t>
      </w:r>
      <w:r w:rsidRPr="0083388E">
        <w:rPr>
          <w:rFonts w:eastAsia="Times New Roman" w:cs="Times New Roman"/>
          <w:lang w:eastAsia="de-DE"/>
        </w:rPr>
        <w:t xml:space="preserve">(und sie schnitten dort eine Rebe mit einer Weintraube ab) mit </w:t>
      </w:r>
      <w:r w:rsidRPr="0083388E">
        <w:rPr>
          <w:rFonts w:eastAsia="Times New Roman" w:cs="Times New Roman"/>
          <w:b/>
          <w:bCs/>
          <w:rtl/>
          <w:lang w:eastAsia="de-DE"/>
        </w:rPr>
        <w:t>יִּכְרְתוּ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כרת</w:t>
      </w:r>
      <w:r w:rsidRPr="0083388E">
        <w:rPr>
          <w:rFonts w:eastAsia="Times New Roman" w:cs="Times New Roman"/>
          <w:rtl/>
          <w:lang w:eastAsia="de-DE"/>
        </w:rPr>
        <w:t xml:space="preserve"> </w:t>
      </w:r>
      <w:r w:rsidRPr="0083388E">
        <w:rPr>
          <w:rFonts w:eastAsia="Times New Roman" w:cs="Times New Roman"/>
          <w:lang w:eastAsia="de-DE"/>
        </w:rPr>
        <w:t xml:space="preserve">(abschneiden), </w:t>
      </w:r>
      <w:r w:rsidRPr="0083388E">
        <w:rPr>
          <w:rFonts w:eastAsia="Times New Roman" w:cs="Times New Roman"/>
          <w:b/>
          <w:bCs/>
          <w:rtl/>
          <w:lang w:eastAsia="de-DE"/>
        </w:rPr>
        <w:t>זְמוֹרָה</w:t>
      </w:r>
      <w:r w:rsidRPr="0083388E">
        <w:rPr>
          <w:rFonts w:eastAsia="Times New Roman" w:cs="Times New Roman"/>
          <w:rtl/>
          <w:lang w:eastAsia="de-DE"/>
        </w:rPr>
        <w:t xml:space="preserve"> </w:t>
      </w:r>
      <w:r w:rsidRPr="0083388E">
        <w:rPr>
          <w:rFonts w:eastAsia="Times New Roman" w:cs="Times New Roman"/>
          <w:lang w:eastAsia="de-DE"/>
        </w:rPr>
        <w:t xml:space="preserve">(Rebe/Zweig) und </w:t>
      </w:r>
      <w:r w:rsidRPr="0083388E">
        <w:rPr>
          <w:rFonts w:eastAsia="Times New Roman" w:cs="Times New Roman"/>
          <w:b/>
          <w:bCs/>
          <w:rtl/>
          <w:lang w:eastAsia="de-DE"/>
        </w:rPr>
        <w:t>אֶשְׁכּוֹל עֲנָבִים אֶחָד</w:t>
      </w:r>
      <w:r w:rsidRPr="0083388E">
        <w:rPr>
          <w:rFonts w:eastAsia="Times New Roman" w:cs="Times New Roman"/>
          <w:rtl/>
          <w:lang w:eastAsia="de-DE"/>
        </w:rPr>
        <w:t xml:space="preserve"> </w:t>
      </w:r>
      <w:r w:rsidRPr="0083388E">
        <w:rPr>
          <w:rFonts w:eastAsia="Times New Roman" w:cs="Times New Roman"/>
          <w:lang w:eastAsia="de-DE"/>
        </w:rPr>
        <w:t>(eine Weintraube) zeigt die Probenentnahme entsprechend Moses Anweisung.</w:t>
      </w:r>
    </w:p>
    <w:p w14:paraId="7E9284F6"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lastRenderedPageBreak/>
        <w:t xml:space="preserve">Die beeindruckende Transportweise </w:t>
      </w:r>
      <w:r w:rsidRPr="0083388E">
        <w:rPr>
          <w:rFonts w:eastAsia="Times New Roman" w:cs="Times New Roman"/>
          <w:b/>
          <w:bCs/>
          <w:rtl/>
          <w:lang w:eastAsia="de-DE"/>
        </w:rPr>
        <w:t>וַיִּשָּׂאֻ֥הוּ בַמּ֖וֹט בִּשְׁנָ֑יִם</w:t>
      </w:r>
      <w:r w:rsidRPr="0083388E">
        <w:rPr>
          <w:rFonts w:eastAsia="Times New Roman" w:cs="Times New Roman"/>
          <w:rtl/>
          <w:lang w:eastAsia="de-DE"/>
        </w:rPr>
        <w:t xml:space="preserve"> </w:t>
      </w:r>
      <w:r w:rsidRPr="0083388E">
        <w:rPr>
          <w:rFonts w:eastAsia="Times New Roman" w:cs="Times New Roman"/>
          <w:lang w:eastAsia="de-DE"/>
        </w:rPr>
        <w:t xml:space="preserve">(und sie trugen sie an einer Stange zu zweit) mit </w:t>
      </w:r>
      <w:r w:rsidRPr="0083388E">
        <w:rPr>
          <w:rFonts w:eastAsia="Times New Roman" w:cs="Times New Roman"/>
          <w:b/>
          <w:bCs/>
          <w:rtl/>
          <w:lang w:eastAsia="de-DE"/>
        </w:rPr>
        <w:t>יִּשָּׂאֻהוּ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נשא</w:t>
      </w:r>
      <w:r w:rsidRPr="0083388E">
        <w:rPr>
          <w:rFonts w:eastAsia="Times New Roman" w:cs="Times New Roman"/>
          <w:rtl/>
          <w:lang w:eastAsia="de-DE"/>
        </w:rPr>
        <w:t xml:space="preserve"> </w:t>
      </w:r>
      <w:r w:rsidRPr="0083388E">
        <w:rPr>
          <w:rFonts w:eastAsia="Times New Roman" w:cs="Times New Roman"/>
          <w:lang w:eastAsia="de-DE"/>
        </w:rPr>
        <w:t xml:space="preserve">(tragen) mit Objektsuffix 3. maskulin Singular, </w:t>
      </w:r>
      <w:r w:rsidRPr="0083388E">
        <w:rPr>
          <w:rFonts w:eastAsia="Times New Roman" w:cs="Times New Roman"/>
          <w:b/>
          <w:bCs/>
          <w:rtl/>
          <w:lang w:eastAsia="de-DE"/>
        </w:rPr>
        <w:t>בַּמּוֹט</w:t>
      </w:r>
      <w:r w:rsidRPr="0083388E">
        <w:rPr>
          <w:rFonts w:eastAsia="Times New Roman" w:cs="Times New Roman"/>
          <w:rtl/>
          <w:lang w:eastAsia="de-DE"/>
        </w:rPr>
        <w:t xml:space="preserve"> </w:t>
      </w:r>
      <w:r w:rsidRPr="0083388E">
        <w:rPr>
          <w:rFonts w:eastAsia="Times New Roman" w:cs="Times New Roman"/>
          <w:lang w:eastAsia="de-DE"/>
        </w:rPr>
        <w:t xml:space="preserve">(an der Stange) und </w:t>
      </w:r>
      <w:r w:rsidRPr="0083388E">
        <w:rPr>
          <w:rFonts w:eastAsia="Times New Roman" w:cs="Times New Roman"/>
          <w:b/>
          <w:bCs/>
          <w:rtl/>
          <w:lang w:eastAsia="de-DE"/>
        </w:rPr>
        <w:t>בִּשְׁנַיִם</w:t>
      </w:r>
      <w:r w:rsidRPr="0083388E">
        <w:rPr>
          <w:rFonts w:eastAsia="Times New Roman" w:cs="Times New Roman"/>
          <w:rtl/>
          <w:lang w:eastAsia="de-DE"/>
        </w:rPr>
        <w:t xml:space="preserve"> </w:t>
      </w:r>
      <w:r w:rsidRPr="0083388E">
        <w:rPr>
          <w:rFonts w:eastAsia="Times New Roman" w:cs="Times New Roman"/>
          <w:lang w:eastAsia="de-DE"/>
        </w:rPr>
        <w:t>(zu zweit) zeigt die außergewöhnliche Größe und das Gewicht der Traube.</w:t>
      </w:r>
    </w:p>
    <w:p w14:paraId="5603BD7D"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zusätzlichen Früchte </w:t>
      </w:r>
      <w:r w:rsidRPr="0083388E">
        <w:rPr>
          <w:rFonts w:eastAsia="Times New Roman" w:cs="Times New Roman"/>
          <w:b/>
          <w:bCs/>
          <w:rtl/>
          <w:lang w:eastAsia="de-DE"/>
        </w:rPr>
        <w:t>וּמִן־הָרִמֹּנִ֖ים וּמִן־הַתְּאֵנִֽים</w:t>
      </w:r>
      <w:r w:rsidRPr="0083388E">
        <w:rPr>
          <w:rFonts w:eastAsia="Times New Roman" w:cs="Times New Roman"/>
          <w:rtl/>
          <w:lang w:eastAsia="de-DE"/>
        </w:rPr>
        <w:t xml:space="preserve"> </w:t>
      </w:r>
      <w:r w:rsidRPr="0083388E">
        <w:rPr>
          <w:rFonts w:eastAsia="Times New Roman" w:cs="Times New Roman"/>
          <w:lang w:eastAsia="de-DE"/>
        </w:rPr>
        <w:t xml:space="preserve">(und von den Granatäpfeln und von den Feigen) mit </w:t>
      </w:r>
      <w:r w:rsidRPr="0083388E">
        <w:rPr>
          <w:rFonts w:eastAsia="Times New Roman" w:cs="Times New Roman"/>
          <w:b/>
          <w:bCs/>
          <w:rtl/>
          <w:lang w:eastAsia="de-DE"/>
        </w:rPr>
        <w:t>רִמֹּנִים</w:t>
      </w:r>
      <w:r w:rsidRPr="0083388E">
        <w:rPr>
          <w:rFonts w:eastAsia="Times New Roman" w:cs="Times New Roman"/>
          <w:rtl/>
          <w:lang w:eastAsia="de-DE"/>
        </w:rPr>
        <w:t xml:space="preserve"> </w:t>
      </w:r>
      <w:r w:rsidRPr="0083388E">
        <w:rPr>
          <w:rFonts w:eastAsia="Times New Roman" w:cs="Times New Roman"/>
          <w:lang w:eastAsia="de-DE"/>
        </w:rPr>
        <w:t xml:space="preserve">(Granatäpfel) und </w:t>
      </w:r>
      <w:r w:rsidRPr="0083388E">
        <w:rPr>
          <w:rFonts w:eastAsia="Times New Roman" w:cs="Times New Roman"/>
          <w:b/>
          <w:bCs/>
          <w:rtl/>
          <w:lang w:eastAsia="de-DE"/>
        </w:rPr>
        <w:t>תְּאֵנִים</w:t>
      </w:r>
      <w:r w:rsidRPr="0083388E">
        <w:rPr>
          <w:rFonts w:eastAsia="Times New Roman" w:cs="Times New Roman"/>
          <w:rtl/>
          <w:lang w:eastAsia="de-DE"/>
        </w:rPr>
        <w:t xml:space="preserve"> </w:t>
      </w:r>
      <w:r w:rsidRPr="0083388E">
        <w:rPr>
          <w:rFonts w:eastAsia="Times New Roman" w:cs="Times New Roman"/>
          <w:lang w:eastAsia="de-DE"/>
        </w:rPr>
        <w:t>(Feigen) zeigen die Vielfalt der Früchte als weitere Beweise für die Fruchtbarkeit.</w:t>
      </w:r>
    </w:p>
    <w:p w14:paraId="567A93DF" w14:textId="77777777" w:rsidR="00184967" w:rsidRDefault="00184967" w:rsidP="0083388E">
      <w:pPr>
        <w:spacing w:before="100" w:beforeAutospacing="1" w:after="100" w:afterAutospacing="1" w:line="240" w:lineRule="auto"/>
      </w:pPr>
      <w:r>
        <w:rPr>
          <w:rStyle w:val="Fett"/>
        </w:rPr>
        <w:t>Vers 23 (MT) / Vers 24 (LXX):</w:t>
      </w:r>
      <w:r>
        <w:t xml:space="preserve"> </w:t>
      </w:r>
      <w:r>
        <w:rPr>
          <w:rStyle w:val="Fett"/>
        </w:rPr>
        <w:t>Die LXX</w:t>
      </w:r>
      <w:r>
        <w:t xml:space="preserve"> beschreibt das Tragen der Traube anders: Statt des hebräischen „</w:t>
      </w:r>
      <w:r>
        <w:rPr>
          <w:rtl/>
        </w:rPr>
        <w:t>בַמּוֹט בִּשְׁנָיִם</w:t>
      </w:r>
      <w:r>
        <w:t>" (an einer Stange zwischen zweien) verwendet sie „ἐπʼ ἀναφορεῦσιν" (auf Tragstangen), was eine etwas allgemeinere Beschreibung darstellt.</w:t>
      </w:r>
    </w:p>
    <w:p w14:paraId="74C6E7AD" w14:textId="39824AC1"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Ankunft an fruchtbarem Ort, Erntehandlung, beeindruckende Transportweise und zusätzliche Fruchtproben.</w:t>
      </w:r>
    </w:p>
    <w:p w14:paraId="0DB2D701"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dokumentiert die spektakulären Beweise für die Fruchtbarkeit des verheißenen Landes.</w:t>
      </w:r>
    </w:p>
    <w:p w14:paraId="20EEFE48"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13,24</w:t>
      </w:r>
    </w:p>
    <w:p w14:paraId="0B9DDD7C"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לַמָּק֣וֹם הַה֔וּא קָרָ֖א נַ֣חַל אֶשְׁכּ֑וֹל עַ֚ל אֹד֣וֹת הָֽאֶשְׁכּ֔וֹל אֲשֶׁר־כָּרְת֥וּ מִשָּׁ֖ם בְּנֵ֥י יִשְׂרָאֵֽל׃</w:t>
      </w:r>
    </w:p>
    <w:p w14:paraId="4246A2E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Jenen Ort nannte man Nachal-Eschkol wegen der Traube, die die Söhne Jisra'el dort abgeschnitten hatten.</w:t>
      </w:r>
    </w:p>
    <w:p w14:paraId="2AE47559"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2930D02D">
          <v:rect id="_x0000_i1443" style="width:0;height:1.5pt" o:hralign="center" o:hrstd="t" o:hr="t" fillcolor="#a0a0a0" stroked="f"/>
        </w:pict>
      </w:r>
    </w:p>
    <w:p w14:paraId="1976B3B9" w14:textId="4F1AFEDB"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Die etiologische Namenserklärung </w:t>
      </w:r>
      <w:r w:rsidRPr="0083388E">
        <w:rPr>
          <w:rFonts w:eastAsia="Times New Roman" w:cs="Times New Roman"/>
          <w:b/>
          <w:bCs/>
          <w:rtl/>
          <w:lang w:eastAsia="de-DE"/>
        </w:rPr>
        <w:t>לַמָּק֣וֹם הַה֔וּא קָרָ֖א נַ֣חַל אֶשְׁכּ֑וֹל</w:t>
      </w:r>
      <w:r w:rsidRPr="0083388E">
        <w:rPr>
          <w:rFonts w:eastAsia="Times New Roman" w:cs="Times New Roman"/>
          <w:rtl/>
          <w:lang w:eastAsia="de-DE"/>
        </w:rPr>
        <w:t xml:space="preserve"> </w:t>
      </w:r>
      <w:r w:rsidRPr="0083388E">
        <w:rPr>
          <w:rFonts w:eastAsia="Times New Roman" w:cs="Times New Roman"/>
          <w:lang w:eastAsia="de-DE"/>
        </w:rPr>
        <w:t xml:space="preserve">(jenen Ort nannte man Tal Eschkol) mit </w:t>
      </w:r>
      <w:r w:rsidRPr="0083388E">
        <w:rPr>
          <w:rFonts w:eastAsia="Times New Roman" w:cs="Times New Roman"/>
          <w:b/>
          <w:bCs/>
          <w:rtl/>
          <w:lang w:eastAsia="de-DE"/>
        </w:rPr>
        <w:t>לַמָּקוֹם הַהוּא</w:t>
      </w:r>
      <w:r w:rsidRPr="0083388E">
        <w:rPr>
          <w:rFonts w:eastAsia="Times New Roman" w:cs="Times New Roman"/>
          <w:rtl/>
          <w:lang w:eastAsia="de-DE"/>
        </w:rPr>
        <w:t xml:space="preserve"> </w:t>
      </w:r>
      <w:r w:rsidRPr="0083388E">
        <w:rPr>
          <w:rFonts w:eastAsia="Times New Roman" w:cs="Times New Roman"/>
          <w:lang w:eastAsia="de-DE"/>
        </w:rPr>
        <w:t xml:space="preserve">(jenen Ort), </w:t>
      </w:r>
      <w:r w:rsidRPr="0083388E">
        <w:rPr>
          <w:rFonts w:eastAsia="Times New Roman" w:cs="Times New Roman"/>
          <w:b/>
          <w:bCs/>
          <w:rtl/>
          <w:lang w:eastAsia="de-DE"/>
        </w:rPr>
        <w:t>קָרָא</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קרא</w:t>
      </w:r>
      <w:r w:rsidRPr="0083388E">
        <w:rPr>
          <w:rFonts w:eastAsia="Times New Roman" w:cs="Times New Roman"/>
          <w:rtl/>
          <w:lang w:eastAsia="de-DE"/>
        </w:rPr>
        <w:t xml:space="preserve"> </w:t>
      </w:r>
      <w:r w:rsidRPr="0083388E">
        <w:rPr>
          <w:rFonts w:eastAsia="Times New Roman" w:cs="Times New Roman"/>
          <w:lang w:eastAsia="de-DE"/>
        </w:rPr>
        <w:t xml:space="preserve">(nennen/rufen) in unpersönlicher </w:t>
      </w:r>
      <w:r w:rsidR="00F133EC">
        <w:rPr>
          <w:rFonts w:eastAsia="Times New Roman" w:cs="Times New Roman"/>
          <w:lang w:eastAsia="de-DE"/>
        </w:rPr>
        <w:t>Construct</w:t>
      </w:r>
      <w:r w:rsidRPr="0083388E">
        <w:rPr>
          <w:rFonts w:eastAsia="Times New Roman" w:cs="Times New Roman"/>
          <w:lang w:eastAsia="de-DE"/>
        </w:rPr>
        <w:t xml:space="preserve">ion und </w:t>
      </w:r>
      <w:r w:rsidRPr="0083388E">
        <w:rPr>
          <w:rFonts w:eastAsia="Times New Roman" w:cs="Times New Roman"/>
          <w:b/>
          <w:bCs/>
          <w:rtl/>
          <w:lang w:eastAsia="de-DE"/>
        </w:rPr>
        <w:t>נַחַל אֶשְׁכּוֹל</w:t>
      </w:r>
      <w:r w:rsidRPr="0083388E">
        <w:rPr>
          <w:rFonts w:eastAsia="Times New Roman" w:cs="Times New Roman"/>
          <w:rtl/>
          <w:lang w:eastAsia="de-DE"/>
        </w:rPr>
        <w:t xml:space="preserve"> </w:t>
      </w:r>
      <w:r w:rsidRPr="0083388E">
        <w:rPr>
          <w:rFonts w:eastAsia="Times New Roman" w:cs="Times New Roman"/>
          <w:lang w:eastAsia="de-DE"/>
        </w:rPr>
        <w:t>(Tal Eschkol) zeigt die dauerhafte Benennung des Ortes.</w:t>
      </w:r>
    </w:p>
    <w:p w14:paraId="79D97242"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kausale Erklärung </w:t>
      </w:r>
      <w:r w:rsidRPr="0083388E">
        <w:rPr>
          <w:rFonts w:eastAsia="Times New Roman" w:cs="Times New Roman"/>
          <w:b/>
          <w:bCs/>
          <w:rtl/>
          <w:lang w:eastAsia="de-DE"/>
        </w:rPr>
        <w:t>עַ֚ל אֹד֣וֹת הָֽאֶשְׁכּ֔וֹל אֲשֶׁר־כָּרְת֥וּ מִשָּׁ֖ם בְּנֵ֥י יִשְׂרָאֵֽל</w:t>
      </w:r>
      <w:r w:rsidRPr="0083388E">
        <w:rPr>
          <w:rFonts w:eastAsia="Times New Roman" w:cs="Times New Roman"/>
          <w:rtl/>
          <w:lang w:eastAsia="de-DE"/>
        </w:rPr>
        <w:t xml:space="preserve"> </w:t>
      </w:r>
      <w:r w:rsidRPr="0083388E">
        <w:rPr>
          <w:rFonts w:eastAsia="Times New Roman" w:cs="Times New Roman"/>
          <w:lang w:eastAsia="de-DE"/>
        </w:rPr>
        <w:t xml:space="preserve">(wegen der Traube, die die Söhne Israels dort abgeschnitten hatten) mit </w:t>
      </w:r>
      <w:r w:rsidRPr="0083388E">
        <w:rPr>
          <w:rFonts w:eastAsia="Times New Roman" w:cs="Times New Roman"/>
          <w:b/>
          <w:bCs/>
          <w:rtl/>
          <w:lang w:eastAsia="de-DE"/>
        </w:rPr>
        <w:t>עַל אֹדוֹת</w:t>
      </w:r>
      <w:r w:rsidRPr="0083388E">
        <w:rPr>
          <w:rFonts w:eastAsia="Times New Roman" w:cs="Times New Roman"/>
          <w:rtl/>
          <w:lang w:eastAsia="de-DE"/>
        </w:rPr>
        <w:t xml:space="preserve"> </w:t>
      </w:r>
      <w:r w:rsidRPr="0083388E">
        <w:rPr>
          <w:rFonts w:eastAsia="Times New Roman" w:cs="Times New Roman"/>
          <w:lang w:eastAsia="de-DE"/>
        </w:rPr>
        <w:t xml:space="preserve">(wegen), </w:t>
      </w:r>
      <w:r w:rsidRPr="0083388E">
        <w:rPr>
          <w:rFonts w:eastAsia="Times New Roman" w:cs="Times New Roman"/>
          <w:b/>
          <w:bCs/>
          <w:rtl/>
          <w:lang w:eastAsia="de-DE"/>
        </w:rPr>
        <w:t>הָאֶשְׁכּוֹל</w:t>
      </w:r>
      <w:r w:rsidRPr="0083388E">
        <w:rPr>
          <w:rFonts w:eastAsia="Times New Roman" w:cs="Times New Roman"/>
          <w:rtl/>
          <w:lang w:eastAsia="de-DE"/>
        </w:rPr>
        <w:t xml:space="preserve"> </w:t>
      </w:r>
      <w:r w:rsidRPr="0083388E">
        <w:rPr>
          <w:rFonts w:eastAsia="Times New Roman" w:cs="Times New Roman"/>
          <w:lang w:eastAsia="de-DE"/>
        </w:rPr>
        <w:t xml:space="preserve">(der Traube), </w:t>
      </w:r>
      <w:r w:rsidRPr="0083388E">
        <w:rPr>
          <w:rFonts w:eastAsia="Times New Roman" w:cs="Times New Roman"/>
          <w:b/>
          <w:bCs/>
          <w:rtl/>
          <w:lang w:eastAsia="de-DE"/>
        </w:rPr>
        <w:t>כָּרְתוּ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כרת</w:t>
      </w:r>
      <w:r w:rsidRPr="0083388E">
        <w:rPr>
          <w:rFonts w:eastAsia="Times New Roman" w:cs="Times New Roman"/>
          <w:rtl/>
          <w:lang w:eastAsia="de-DE"/>
        </w:rPr>
        <w:t xml:space="preserve"> </w:t>
      </w:r>
      <w:r w:rsidRPr="0083388E">
        <w:rPr>
          <w:rFonts w:eastAsia="Times New Roman" w:cs="Times New Roman"/>
          <w:lang w:eastAsia="de-DE"/>
        </w:rPr>
        <w:t xml:space="preserve">(abschneiden) und </w:t>
      </w:r>
      <w:r w:rsidRPr="0083388E">
        <w:rPr>
          <w:rFonts w:eastAsia="Times New Roman" w:cs="Times New Roman"/>
          <w:b/>
          <w:bCs/>
          <w:rtl/>
          <w:lang w:eastAsia="de-DE"/>
        </w:rPr>
        <w:t>בְּנֵי יִשְׂרָאֵל</w:t>
      </w:r>
      <w:r w:rsidRPr="0083388E">
        <w:rPr>
          <w:rFonts w:eastAsia="Times New Roman" w:cs="Times New Roman"/>
          <w:rtl/>
          <w:lang w:eastAsia="de-DE"/>
        </w:rPr>
        <w:t xml:space="preserve"> </w:t>
      </w:r>
      <w:r w:rsidRPr="0083388E">
        <w:rPr>
          <w:rFonts w:eastAsia="Times New Roman" w:cs="Times New Roman"/>
          <w:lang w:eastAsia="de-DE"/>
        </w:rPr>
        <w:t>(die Söhne Israels) erklärt den Namen durch das historische Ereignis.</w:t>
      </w:r>
    </w:p>
    <w:p w14:paraId="260134B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Die LXX</w:t>
      </w:r>
      <w:r w:rsidRPr="0083388E">
        <w:rPr>
          <w:rFonts w:eastAsia="Times New Roman" w:cs="Times New Roman"/>
          <w:lang w:eastAsia="de-DE"/>
        </w:rPr>
        <w:t xml:space="preserve"> übersetzt </w:t>
      </w:r>
      <w:r w:rsidRPr="0083388E">
        <w:rPr>
          <w:rFonts w:eastAsia="Times New Roman" w:cs="Times New Roman"/>
          <w:b/>
          <w:bCs/>
          <w:rtl/>
          <w:lang w:eastAsia="de-DE"/>
        </w:rPr>
        <w:t>קָרָא</w:t>
      </w:r>
      <w:r w:rsidRPr="0083388E">
        <w:rPr>
          <w:rFonts w:eastAsia="Times New Roman" w:cs="Times New Roman"/>
          <w:rtl/>
          <w:lang w:eastAsia="de-DE"/>
        </w:rPr>
        <w:t xml:space="preserve"> </w:t>
      </w:r>
      <w:r w:rsidRPr="0083388E">
        <w:rPr>
          <w:rFonts w:eastAsia="Times New Roman" w:cs="Times New Roman"/>
          <w:lang w:eastAsia="de-DE"/>
        </w:rPr>
        <w:t xml:space="preserve">mit ἐκάλεσαν (sie nannten), </w:t>
      </w:r>
      <w:r w:rsidRPr="0083388E">
        <w:rPr>
          <w:rFonts w:eastAsia="Times New Roman" w:cs="Times New Roman"/>
          <w:b/>
          <w:bCs/>
          <w:rtl/>
          <w:lang w:eastAsia="de-DE"/>
        </w:rPr>
        <w:t>עַל אֹדוֹת</w:t>
      </w:r>
      <w:r w:rsidRPr="0083388E">
        <w:rPr>
          <w:rFonts w:eastAsia="Times New Roman" w:cs="Times New Roman"/>
          <w:rtl/>
          <w:lang w:eastAsia="de-DE"/>
        </w:rPr>
        <w:t xml:space="preserve"> </w:t>
      </w:r>
      <w:r w:rsidRPr="0083388E">
        <w:rPr>
          <w:rFonts w:eastAsia="Times New Roman" w:cs="Times New Roman"/>
          <w:lang w:eastAsia="de-DE"/>
        </w:rPr>
        <w:t xml:space="preserve">mit διὰ (wegen) und </w:t>
      </w:r>
      <w:r w:rsidRPr="0083388E">
        <w:rPr>
          <w:rFonts w:eastAsia="Times New Roman" w:cs="Times New Roman"/>
          <w:b/>
          <w:bCs/>
          <w:rtl/>
          <w:lang w:eastAsia="de-DE"/>
        </w:rPr>
        <w:t>כָּרְתוּ</w:t>
      </w:r>
      <w:r w:rsidRPr="0083388E">
        <w:rPr>
          <w:rFonts w:eastAsia="Times New Roman" w:cs="Times New Roman"/>
          <w:rtl/>
          <w:lang w:eastAsia="de-DE"/>
        </w:rPr>
        <w:t xml:space="preserve"> </w:t>
      </w:r>
      <w:r w:rsidRPr="0083388E">
        <w:rPr>
          <w:rFonts w:eastAsia="Times New Roman" w:cs="Times New Roman"/>
          <w:lang w:eastAsia="de-DE"/>
        </w:rPr>
        <w:t>mit ἔκοψαν (sie schnitten ab).</w:t>
      </w:r>
    </w:p>
    <w:p w14:paraId="174FB86E"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etiologische Namensgebung mit kausaler Erklärung durch historisches Ereignis.</w:t>
      </w:r>
    </w:p>
    <w:p w14:paraId="68632209"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schafft ein dauerhaftes Denkmal für die Fruchtbarkeit des verheißenen Landes durch die Ortsnamensgebung.</w:t>
      </w:r>
    </w:p>
    <w:p w14:paraId="3E1D9773"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13,25</w:t>
      </w:r>
    </w:p>
    <w:p w14:paraId="1047EB00"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וַיָּשֻׁ֖בוּ מִתּ֣וּר הָאָ֑רֶץ מִקֵּ֖ץ אַרְבָּעִ֥ים יֽוֹם׃</w:t>
      </w:r>
    </w:p>
    <w:p w14:paraId="320F18C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lastRenderedPageBreak/>
        <w:t>Deutsch:</w:t>
      </w:r>
      <w:r w:rsidRPr="0083388E">
        <w:rPr>
          <w:rFonts w:eastAsia="Times New Roman" w:cs="Times New Roman"/>
          <w:lang w:eastAsia="de-DE"/>
        </w:rPr>
        <w:t xml:space="preserve"> Und sie kehrten nach 40 Tagen vom Auskundschaften des Landes zurück.</w:t>
      </w:r>
    </w:p>
    <w:p w14:paraId="08361922"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50AF07AB">
          <v:rect id="_x0000_i1444" style="width:0;height:1.5pt" o:hralign="center" o:hrstd="t" o:hr="t" fillcolor="#a0a0a0" stroked="f"/>
        </w:pict>
      </w:r>
    </w:p>
    <w:p w14:paraId="1E6EDF7B" w14:textId="4D680C41"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Das Verb </w:t>
      </w:r>
      <w:r w:rsidRPr="0083388E">
        <w:rPr>
          <w:rFonts w:eastAsia="Times New Roman" w:cs="Times New Roman"/>
          <w:b/>
          <w:bCs/>
          <w:rtl/>
          <w:lang w:eastAsia="de-DE"/>
        </w:rPr>
        <w:t>וַיָּשֻׁ֖בוּ מִתּ֣וּר הָאָ֑רֶץ</w:t>
      </w:r>
      <w:r w:rsidRPr="0083388E">
        <w:rPr>
          <w:rFonts w:eastAsia="Times New Roman" w:cs="Times New Roman"/>
          <w:rtl/>
          <w:lang w:eastAsia="de-DE"/>
        </w:rPr>
        <w:t xml:space="preserve"> </w:t>
      </w:r>
      <w:r w:rsidRPr="0083388E">
        <w:rPr>
          <w:rFonts w:eastAsia="Times New Roman" w:cs="Times New Roman"/>
          <w:lang w:eastAsia="de-DE"/>
        </w:rPr>
        <w:t xml:space="preserve">(und sie kehrten zurück vom Erkunden des Landes) mit </w:t>
      </w:r>
      <w:r w:rsidRPr="0083388E">
        <w:rPr>
          <w:rFonts w:eastAsia="Times New Roman" w:cs="Times New Roman"/>
          <w:b/>
          <w:bCs/>
          <w:rtl/>
          <w:lang w:eastAsia="de-DE"/>
        </w:rPr>
        <w:t>יָּשֻׁבוּ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שוב</w:t>
      </w:r>
      <w:r w:rsidRPr="0083388E">
        <w:rPr>
          <w:rFonts w:eastAsia="Times New Roman" w:cs="Times New Roman"/>
          <w:rtl/>
          <w:lang w:eastAsia="de-DE"/>
        </w:rPr>
        <w:t xml:space="preserve"> </w:t>
      </w:r>
      <w:r w:rsidRPr="0083388E">
        <w:rPr>
          <w:rFonts w:eastAsia="Times New Roman" w:cs="Times New Roman"/>
          <w:lang w:eastAsia="de-DE"/>
        </w:rPr>
        <w:t xml:space="preserve">(zurückkehren) im Qal-Imperfekt 3. maskulin Plural und </w:t>
      </w:r>
      <w:r w:rsidRPr="0083388E">
        <w:rPr>
          <w:rFonts w:eastAsia="Times New Roman" w:cs="Times New Roman"/>
          <w:b/>
          <w:bCs/>
          <w:rtl/>
          <w:lang w:eastAsia="de-DE"/>
        </w:rPr>
        <w:t>מִתּוּר הָאָרֶץ</w:t>
      </w:r>
      <w:r w:rsidRPr="0083388E">
        <w:rPr>
          <w:rFonts w:eastAsia="Times New Roman" w:cs="Times New Roman"/>
          <w:rtl/>
          <w:lang w:eastAsia="de-DE"/>
        </w:rPr>
        <w:t xml:space="preserve"> </w:t>
      </w:r>
      <w:r w:rsidRPr="0083388E">
        <w:rPr>
          <w:rFonts w:eastAsia="Times New Roman" w:cs="Times New Roman"/>
          <w:lang w:eastAsia="de-DE"/>
        </w:rPr>
        <w:t xml:space="preserve">(vom Erkunden des Landes) mit </w:t>
      </w:r>
      <w:r w:rsidRPr="0083388E">
        <w:rPr>
          <w:rFonts w:eastAsia="Times New Roman" w:cs="Times New Roman"/>
          <w:b/>
          <w:bCs/>
          <w:rtl/>
          <w:lang w:eastAsia="de-DE"/>
        </w:rPr>
        <w:t>תּוּר</w:t>
      </w:r>
      <w:r w:rsidRPr="0083388E">
        <w:rPr>
          <w:rFonts w:eastAsia="Times New Roman" w:cs="Times New Roman"/>
          <w:rtl/>
          <w:lang w:eastAsia="de-DE"/>
        </w:rPr>
        <w:t xml:space="preserve"> </w:t>
      </w:r>
      <w:r w:rsidRPr="0083388E">
        <w:rPr>
          <w:rFonts w:eastAsia="Times New Roman" w:cs="Times New Roman"/>
          <w:lang w:eastAsia="de-DE"/>
        </w:rPr>
        <w:t>als Qal-Infinitiv-</w:t>
      </w:r>
      <w:r w:rsidR="00F133EC">
        <w:rPr>
          <w:rFonts w:eastAsia="Times New Roman" w:cs="Times New Roman"/>
          <w:lang w:eastAsia="de-DE"/>
        </w:rPr>
        <w:t>Construct</w:t>
      </w:r>
      <w:r w:rsidRPr="0083388E">
        <w:rPr>
          <w:rFonts w:eastAsia="Times New Roman" w:cs="Times New Roman"/>
          <w:lang w:eastAsia="de-DE"/>
        </w:rPr>
        <w:t xml:space="preserve"> von </w:t>
      </w:r>
      <w:r w:rsidRPr="0083388E">
        <w:rPr>
          <w:rFonts w:eastAsia="Times New Roman" w:cs="Times New Roman"/>
          <w:b/>
          <w:bCs/>
          <w:rtl/>
          <w:lang w:eastAsia="de-DE"/>
        </w:rPr>
        <w:t>תור</w:t>
      </w:r>
      <w:r w:rsidRPr="0083388E">
        <w:rPr>
          <w:rFonts w:eastAsia="Times New Roman" w:cs="Times New Roman"/>
          <w:rtl/>
          <w:lang w:eastAsia="de-DE"/>
        </w:rPr>
        <w:t xml:space="preserve"> </w:t>
      </w:r>
      <w:r w:rsidRPr="0083388E">
        <w:rPr>
          <w:rFonts w:eastAsia="Times New Roman" w:cs="Times New Roman"/>
          <w:lang w:eastAsia="de-DE"/>
        </w:rPr>
        <w:t>zeigt die Rückkehr von der Mission.</w:t>
      </w:r>
    </w:p>
    <w:p w14:paraId="1E80390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Zeitangabe </w:t>
      </w:r>
      <w:r w:rsidRPr="0083388E">
        <w:rPr>
          <w:rFonts w:eastAsia="Times New Roman" w:cs="Times New Roman"/>
          <w:b/>
          <w:bCs/>
          <w:rtl/>
          <w:lang w:eastAsia="de-DE"/>
        </w:rPr>
        <w:t>מִקֵּ֖ץ אַרְבָּעִ֥ים יֽוֹם</w:t>
      </w:r>
      <w:r w:rsidRPr="0083388E">
        <w:rPr>
          <w:rFonts w:eastAsia="Times New Roman" w:cs="Times New Roman"/>
          <w:rtl/>
          <w:lang w:eastAsia="de-DE"/>
        </w:rPr>
        <w:t xml:space="preserve"> </w:t>
      </w:r>
      <w:r w:rsidRPr="0083388E">
        <w:rPr>
          <w:rFonts w:eastAsia="Times New Roman" w:cs="Times New Roman"/>
          <w:lang w:eastAsia="de-DE"/>
        </w:rPr>
        <w:t xml:space="preserve">(nach vierzig Tagen) mit </w:t>
      </w:r>
      <w:r w:rsidRPr="0083388E">
        <w:rPr>
          <w:rFonts w:eastAsia="Times New Roman" w:cs="Times New Roman"/>
          <w:b/>
          <w:bCs/>
          <w:rtl/>
          <w:lang w:eastAsia="de-DE"/>
        </w:rPr>
        <w:t>מִקֵּץ</w:t>
      </w:r>
      <w:r w:rsidRPr="0083388E">
        <w:rPr>
          <w:rFonts w:eastAsia="Times New Roman" w:cs="Times New Roman"/>
          <w:rtl/>
          <w:lang w:eastAsia="de-DE"/>
        </w:rPr>
        <w:t xml:space="preserve"> </w:t>
      </w:r>
      <w:r w:rsidRPr="0083388E">
        <w:rPr>
          <w:rFonts w:eastAsia="Times New Roman" w:cs="Times New Roman"/>
          <w:lang w:eastAsia="de-DE"/>
        </w:rPr>
        <w:t xml:space="preserve">(nach dem Ende von), </w:t>
      </w:r>
      <w:r w:rsidRPr="0083388E">
        <w:rPr>
          <w:rFonts w:eastAsia="Times New Roman" w:cs="Times New Roman"/>
          <w:b/>
          <w:bCs/>
          <w:rtl/>
          <w:lang w:eastAsia="de-DE"/>
        </w:rPr>
        <w:t>אַרְבָּעִים</w:t>
      </w:r>
      <w:r w:rsidRPr="0083388E">
        <w:rPr>
          <w:rFonts w:eastAsia="Times New Roman" w:cs="Times New Roman"/>
          <w:rtl/>
          <w:lang w:eastAsia="de-DE"/>
        </w:rPr>
        <w:t xml:space="preserve"> </w:t>
      </w:r>
      <w:r w:rsidRPr="0083388E">
        <w:rPr>
          <w:rFonts w:eastAsia="Times New Roman" w:cs="Times New Roman"/>
          <w:lang w:eastAsia="de-DE"/>
        </w:rPr>
        <w:t xml:space="preserve">(vierzig) und </w:t>
      </w:r>
      <w:r w:rsidRPr="0083388E">
        <w:rPr>
          <w:rFonts w:eastAsia="Times New Roman" w:cs="Times New Roman"/>
          <w:b/>
          <w:bCs/>
          <w:rtl/>
          <w:lang w:eastAsia="de-DE"/>
        </w:rPr>
        <w:t>יוֹם</w:t>
      </w:r>
      <w:r w:rsidRPr="0083388E">
        <w:rPr>
          <w:rFonts w:eastAsia="Times New Roman" w:cs="Times New Roman"/>
          <w:rtl/>
          <w:lang w:eastAsia="de-DE"/>
        </w:rPr>
        <w:t xml:space="preserve"> </w:t>
      </w:r>
      <w:r w:rsidRPr="0083388E">
        <w:rPr>
          <w:rFonts w:eastAsia="Times New Roman" w:cs="Times New Roman"/>
          <w:lang w:eastAsia="de-DE"/>
        </w:rPr>
        <w:t>(Tag) zeigt die Dauer der Kundschaftermission. Die Zahl vierzig hat symbolische Bedeutung als Zeit der Prüfung und des Übergangs in der Bibel.</w:t>
      </w:r>
    </w:p>
    <w:p w14:paraId="3818254C"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Die LXX</w:t>
      </w:r>
      <w:r w:rsidRPr="0083388E">
        <w:rPr>
          <w:rFonts w:eastAsia="Times New Roman" w:cs="Times New Roman"/>
          <w:lang w:eastAsia="de-DE"/>
        </w:rPr>
        <w:t xml:space="preserve"> übersetzt </w:t>
      </w:r>
      <w:r w:rsidRPr="0083388E">
        <w:rPr>
          <w:rFonts w:eastAsia="Times New Roman" w:cs="Times New Roman"/>
          <w:b/>
          <w:bCs/>
          <w:rtl/>
          <w:lang w:eastAsia="de-DE"/>
        </w:rPr>
        <w:t>יָּשֻׁבוּ</w:t>
      </w:r>
      <w:r w:rsidRPr="0083388E">
        <w:rPr>
          <w:rFonts w:eastAsia="Times New Roman" w:cs="Times New Roman"/>
          <w:rtl/>
          <w:lang w:eastAsia="de-DE"/>
        </w:rPr>
        <w:t xml:space="preserve"> </w:t>
      </w:r>
      <w:r w:rsidRPr="0083388E">
        <w:rPr>
          <w:rFonts w:eastAsia="Times New Roman" w:cs="Times New Roman"/>
          <w:lang w:eastAsia="de-DE"/>
        </w:rPr>
        <w:t xml:space="preserve">mit ἀνέστρεψαν (sie kehrten zurück), </w:t>
      </w:r>
      <w:r w:rsidRPr="0083388E">
        <w:rPr>
          <w:rFonts w:eastAsia="Times New Roman" w:cs="Times New Roman"/>
          <w:b/>
          <w:bCs/>
          <w:rtl/>
          <w:lang w:eastAsia="de-DE"/>
        </w:rPr>
        <w:t>תּוּר</w:t>
      </w:r>
      <w:r w:rsidRPr="0083388E">
        <w:rPr>
          <w:rFonts w:eastAsia="Times New Roman" w:cs="Times New Roman"/>
          <w:rtl/>
          <w:lang w:eastAsia="de-DE"/>
        </w:rPr>
        <w:t xml:space="preserve"> </w:t>
      </w:r>
      <w:r w:rsidRPr="0083388E">
        <w:rPr>
          <w:rFonts w:eastAsia="Times New Roman" w:cs="Times New Roman"/>
          <w:lang w:eastAsia="de-DE"/>
        </w:rPr>
        <w:t xml:space="preserve">mit κατασκοπῆς (Erkundung) und </w:t>
      </w:r>
      <w:r w:rsidRPr="0083388E">
        <w:rPr>
          <w:rFonts w:eastAsia="Times New Roman" w:cs="Times New Roman"/>
          <w:b/>
          <w:bCs/>
          <w:rtl/>
          <w:lang w:eastAsia="de-DE"/>
        </w:rPr>
        <w:t>אַרְבָּעִים יוֹם</w:t>
      </w:r>
      <w:r w:rsidRPr="0083388E">
        <w:rPr>
          <w:rFonts w:eastAsia="Times New Roman" w:cs="Times New Roman"/>
          <w:rtl/>
          <w:lang w:eastAsia="de-DE"/>
        </w:rPr>
        <w:t xml:space="preserve"> </w:t>
      </w:r>
      <w:r w:rsidRPr="0083388E">
        <w:rPr>
          <w:rFonts w:eastAsia="Times New Roman" w:cs="Times New Roman"/>
          <w:lang w:eastAsia="de-DE"/>
        </w:rPr>
        <w:t>mit τεσσαράκοντα ἡμέρας (vierzig Tage).</w:t>
      </w:r>
    </w:p>
    <w:p w14:paraId="115B9C1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Rückkehr von der Mission mit präziser Zeitangabe.</w:t>
      </w:r>
    </w:p>
    <w:p w14:paraId="02800323"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schließt die Kundschaftermission ab und bereitet den dramatischen Bericht vor.</w:t>
      </w:r>
    </w:p>
    <w:p w14:paraId="040514F5"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13,26</w:t>
      </w:r>
    </w:p>
    <w:p w14:paraId="5201BA2C"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וַיֵּלְכ֡וּ וַיָּבֹאוּ֩ אֶל־מֹשֶׁ֨ה וְאֶֽל־אַהֲרֹ֜ן וְאֶל־כָּל־עֲדַ֧ת בְּנֵֽי־יִשְׂרָאֵ֛ל אֶל־מִדְבַּ֥ר פָּארָ֖ן קָדֵ֑שָׁה וַיָּשִׁ֨יבוּ אוֹתָ֤ם דָּבָר֙ וְאֶת־כָּל־הָ֣עֵדָ֔ה וַיַּרְא֖וּם אֶת־פְּרִ֥י הָאָֽרֶץ׃</w:t>
      </w:r>
    </w:p>
    <w:p w14:paraId="274FF92D"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Und sie gingen und kamen zu Mosche und zu 'Aharon und zu der ganzen Gemeinde der Söhne Jisra'el in die Wüste Paran nach Kadesch; und sie brachten ihnen und der ganzen Gemeinde Bericht und zeigten ihnen die Früchte des Landes.</w:t>
      </w:r>
    </w:p>
    <w:p w14:paraId="4216FDAD"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65C6033C">
          <v:rect id="_x0000_i1445" style="width:0;height:1.5pt" o:hralign="center" o:hrstd="t" o:hr="t" fillcolor="#a0a0a0" stroked="f"/>
        </w:pict>
      </w:r>
    </w:p>
    <w:p w14:paraId="070EB6E2"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Die Bewegung </w:t>
      </w:r>
      <w:r w:rsidRPr="0083388E">
        <w:rPr>
          <w:rFonts w:eastAsia="Times New Roman" w:cs="Times New Roman"/>
          <w:b/>
          <w:bCs/>
          <w:rtl/>
          <w:lang w:eastAsia="de-DE"/>
        </w:rPr>
        <w:t>וַיֵּלְכ֡וּ וַיָּבֹאוּ֩</w:t>
      </w:r>
      <w:r w:rsidRPr="0083388E">
        <w:rPr>
          <w:rFonts w:eastAsia="Times New Roman" w:cs="Times New Roman"/>
          <w:rtl/>
          <w:lang w:eastAsia="de-DE"/>
        </w:rPr>
        <w:t xml:space="preserve"> </w:t>
      </w:r>
      <w:r w:rsidRPr="0083388E">
        <w:rPr>
          <w:rFonts w:eastAsia="Times New Roman" w:cs="Times New Roman"/>
          <w:lang w:eastAsia="de-DE"/>
        </w:rPr>
        <w:t xml:space="preserve">(und sie gingen und kamen) mit </w:t>
      </w:r>
      <w:r w:rsidRPr="0083388E">
        <w:rPr>
          <w:rFonts w:eastAsia="Times New Roman" w:cs="Times New Roman"/>
          <w:b/>
          <w:bCs/>
          <w:rtl/>
          <w:lang w:eastAsia="de-DE"/>
        </w:rPr>
        <w:t>יֵּלְכוּ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הלך</w:t>
      </w:r>
      <w:r w:rsidRPr="0083388E">
        <w:rPr>
          <w:rFonts w:eastAsia="Times New Roman" w:cs="Times New Roman"/>
          <w:rtl/>
          <w:lang w:eastAsia="de-DE"/>
        </w:rPr>
        <w:t xml:space="preserve"> </w:t>
      </w:r>
      <w:r w:rsidRPr="0083388E">
        <w:rPr>
          <w:rFonts w:eastAsia="Times New Roman" w:cs="Times New Roman"/>
          <w:lang w:eastAsia="de-DE"/>
        </w:rPr>
        <w:t xml:space="preserve">(gehen) und </w:t>
      </w:r>
      <w:r w:rsidRPr="0083388E">
        <w:rPr>
          <w:rFonts w:eastAsia="Times New Roman" w:cs="Times New Roman"/>
          <w:b/>
          <w:bCs/>
          <w:rtl/>
          <w:lang w:eastAsia="de-DE"/>
        </w:rPr>
        <w:t>יָּבֹאוּ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בוא</w:t>
      </w:r>
      <w:r w:rsidRPr="0083388E">
        <w:rPr>
          <w:rFonts w:eastAsia="Times New Roman" w:cs="Times New Roman"/>
          <w:rtl/>
          <w:lang w:eastAsia="de-DE"/>
        </w:rPr>
        <w:t xml:space="preserve"> </w:t>
      </w:r>
      <w:r w:rsidRPr="0083388E">
        <w:rPr>
          <w:rFonts w:eastAsia="Times New Roman" w:cs="Times New Roman"/>
          <w:lang w:eastAsia="de-DE"/>
        </w:rPr>
        <w:t>(kommen) zeigt die Rückreise zum Lager.</w:t>
      </w:r>
    </w:p>
    <w:p w14:paraId="5A8AB831"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dreifache Adressierung </w:t>
      </w:r>
      <w:r w:rsidRPr="0083388E">
        <w:rPr>
          <w:rFonts w:eastAsia="Times New Roman" w:cs="Times New Roman"/>
          <w:b/>
          <w:bCs/>
          <w:rtl/>
          <w:lang w:eastAsia="de-DE"/>
        </w:rPr>
        <w:t>אֶל־מֹשֶׁ֨ה וְאֶֽל־אַהֲרֹ֜ן וְאֶל־כָּל־עֲדַ֧ת בְּנֵֽי־יִשְׂרָאֵ֛ל</w:t>
      </w:r>
      <w:r w:rsidRPr="0083388E">
        <w:rPr>
          <w:rFonts w:eastAsia="Times New Roman" w:cs="Times New Roman"/>
          <w:rtl/>
          <w:lang w:eastAsia="de-DE"/>
        </w:rPr>
        <w:t xml:space="preserve"> </w:t>
      </w:r>
      <w:r w:rsidRPr="0083388E">
        <w:rPr>
          <w:rFonts w:eastAsia="Times New Roman" w:cs="Times New Roman"/>
          <w:lang w:eastAsia="de-DE"/>
        </w:rPr>
        <w:t>(zu Mose und zu Aaron und zur ganzen Gemeinde der Söhne Israels) zeigt die offizielle Berichterstattung an die Führung und das gesamte Volk.</w:t>
      </w:r>
    </w:p>
    <w:p w14:paraId="16C92391"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Ortsangabe </w:t>
      </w:r>
      <w:r w:rsidRPr="0083388E">
        <w:rPr>
          <w:rFonts w:eastAsia="Times New Roman" w:cs="Times New Roman"/>
          <w:b/>
          <w:bCs/>
          <w:rtl/>
          <w:lang w:eastAsia="de-DE"/>
        </w:rPr>
        <w:t>אֶל־מִדְבַּ֥ר פָּארָ֖ן קָדֵ֑שָׁה</w:t>
      </w:r>
      <w:r w:rsidRPr="0083388E">
        <w:rPr>
          <w:rFonts w:eastAsia="Times New Roman" w:cs="Times New Roman"/>
          <w:rtl/>
          <w:lang w:eastAsia="de-DE"/>
        </w:rPr>
        <w:t xml:space="preserve"> </w:t>
      </w:r>
      <w:r w:rsidRPr="0083388E">
        <w:rPr>
          <w:rFonts w:eastAsia="Times New Roman" w:cs="Times New Roman"/>
          <w:lang w:eastAsia="de-DE"/>
        </w:rPr>
        <w:t xml:space="preserve">(zur Wüste Paran nach Kadesch) mit </w:t>
      </w:r>
      <w:r w:rsidRPr="0083388E">
        <w:rPr>
          <w:rFonts w:eastAsia="Times New Roman" w:cs="Times New Roman"/>
          <w:b/>
          <w:bCs/>
          <w:rtl/>
          <w:lang w:eastAsia="de-DE"/>
        </w:rPr>
        <w:t>קָדֵשָׁה</w:t>
      </w:r>
      <w:r w:rsidRPr="0083388E">
        <w:rPr>
          <w:rFonts w:eastAsia="Times New Roman" w:cs="Times New Roman"/>
          <w:rtl/>
          <w:lang w:eastAsia="de-DE"/>
        </w:rPr>
        <w:t xml:space="preserve"> </w:t>
      </w:r>
      <w:r w:rsidRPr="0083388E">
        <w:rPr>
          <w:rFonts w:eastAsia="Times New Roman" w:cs="Times New Roman"/>
          <w:lang w:eastAsia="de-DE"/>
        </w:rPr>
        <w:t>(Kadesch) als spezifischer Lagerort ist bedeutsam - hier wird die entscheidende Reaktion auf den Bericht stattfinden.</w:t>
      </w:r>
    </w:p>
    <w:p w14:paraId="3D663D81"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doppelte Berichterstattung </w:t>
      </w:r>
      <w:r w:rsidRPr="0083388E">
        <w:rPr>
          <w:rFonts w:eastAsia="Times New Roman" w:cs="Times New Roman"/>
          <w:b/>
          <w:bCs/>
          <w:rtl/>
          <w:lang w:eastAsia="de-DE"/>
        </w:rPr>
        <w:t>וַיָּשִׁ֨יבוּ אוֹתָ֤ם דָּבָר֙ וְאֶת־כָּל־הָ֣עֵדָ֔ה וַיַּרְא֖וּם אֶת־פְּרִ֥י הָאָֽרֶץ</w:t>
      </w:r>
      <w:r w:rsidRPr="0083388E">
        <w:rPr>
          <w:rFonts w:eastAsia="Times New Roman" w:cs="Times New Roman"/>
          <w:rtl/>
          <w:lang w:eastAsia="de-DE"/>
        </w:rPr>
        <w:t xml:space="preserve"> </w:t>
      </w:r>
      <w:r w:rsidRPr="0083388E">
        <w:rPr>
          <w:rFonts w:eastAsia="Times New Roman" w:cs="Times New Roman"/>
          <w:lang w:eastAsia="de-DE"/>
        </w:rPr>
        <w:t xml:space="preserve">(und sie brachten ihnen und der ganzen Gemeinde Bericht und zeigten ihnen die Früchte des Landes) mit </w:t>
      </w:r>
      <w:r w:rsidRPr="0083388E">
        <w:rPr>
          <w:rFonts w:eastAsia="Times New Roman" w:cs="Times New Roman"/>
          <w:b/>
          <w:bCs/>
          <w:rtl/>
          <w:lang w:eastAsia="de-DE"/>
        </w:rPr>
        <w:t>יָּשִׁיבוּ דָּבָר</w:t>
      </w:r>
      <w:r w:rsidRPr="0083388E">
        <w:rPr>
          <w:rFonts w:eastAsia="Times New Roman" w:cs="Times New Roman"/>
          <w:rtl/>
          <w:lang w:eastAsia="de-DE"/>
        </w:rPr>
        <w:t xml:space="preserve"> </w:t>
      </w:r>
      <w:r w:rsidRPr="0083388E">
        <w:rPr>
          <w:rFonts w:eastAsia="Times New Roman" w:cs="Times New Roman"/>
          <w:lang w:eastAsia="de-DE"/>
        </w:rPr>
        <w:t xml:space="preserve">(sie brachten Bericht) von </w:t>
      </w:r>
      <w:r w:rsidRPr="0083388E">
        <w:rPr>
          <w:rFonts w:eastAsia="Times New Roman" w:cs="Times New Roman"/>
          <w:b/>
          <w:bCs/>
          <w:rtl/>
          <w:lang w:eastAsia="de-DE"/>
        </w:rPr>
        <w:t>שוב</w:t>
      </w:r>
      <w:r w:rsidRPr="0083388E">
        <w:rPr>
          <w:rFonts w:eastAsia="Times New Roman" w:cs="Times New Roman"/>
          <w:rtl/>
          <w:lang w:eastAsia="de-DE"/>
        </w:rPr>
        <w:t xml:space="preserve"> </w:t>
      </w:r>
      <w:r w:rsidRPr="0083388E">
        <w:rPr>
          <w:rFonts w:eastAsia="Times New Roman" w:cs="Times New Roman"/>
          <w:lang w:eastAsia="de-DE"/>
        </w:rPr>
        <w:t xml:space="preserve">(zurückbringen) und </w:t>
      </w:r>
      <w:r w:rsidRPr="0083388E">
        <w:rPr>
          <w:rFonts w:eastAsia="Times New Roman" w:cs="Times New Roman"/>
          <w:b/>
          <w:bCs/>
          <w:rtl/>
          <w:lang w:eastAsia="de-DE"/>
        </w:rPr>
        <w:t>יַּרְאוּם</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ראה</w:t>
      </w:r>
      <w:r w:rsidRPr="0083388E">
        <w:rPr>
          <w:rFonts w:eastAsia="Times New Roman" w:cs="Times New Roman"/>
          <w:rtl/>
          <w:lang w:eastAsia="de-DE"/>
        </w:rPr>
        <w:t xml:space="preserve"> </w:t>
      </w:r>
      <w:r w:rsidRPr="0083388E">
        <w:rPr>
          <w:rFonts w:eastAsia="Times New Roman" w:cs="Times New Roman"/>
          <w:lang w:eastAsia="de-DE"/>
        </w:rPr>
        <w:t xml:space="preserve">(zeigen) mit </w:t>
      </w:r>
      <w:r w:rsidRPr="0083388E">
        <w:rPr>
          <w:rFonts w:eastAsia="Times New Roman" w:cs="Times New Roman"/>
          <w:b/>
          <w:bCs/>
          <w:rtl/>
          <w:lang w:eastAsia="de-DE"/>
        </w:rPr>
        <w:t>פְּרִי הָאָרֶץ</w:t>
      </w:r>
      <w:r w:rsidRPr="0083388E">
        <w:rPr>
          <w:rFonts w:eastAsia="Times New Roman" w:cs="Times New Roman"/>
          <w:rtl/>
          <w:lang w:eastAsia="de-DE"/>
        </w:rPr>
        <w:t xml:space="preserve"> </w:t>
      </w:r>
      <w:r w:rsidRPr="0083388E">
        <w:rPr>
          <w:rFonts w:eastAsia="Times New Roman" w:cs="Times New Roman"/>
          <w:lang w:eastAsia="de-DE"/>
        </w:rPr>
        <w:t>(Früchte des Landes) zeigt sowohl mündlichen als auch visuellen Beweis.</w:t>
      </w:r>
    </w:p>
    <w:p w14:paraId="165250D0"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lastRenderedPageBreak/>
        <w:t>Die LXX</w:t>
      </w:r>
      <w:r w:rsidRPr="0083388E">
        <w:rPr>
          <w:rFonts w:eastAsia="Times New Roman" w:cs="Times New Roman"/>
          <w:lang w:eastAsia="de-DE"/>
        </w:rPr>
        <w:t xml:space="preserve"> übersetzt </w:t>
      </w:r>
      <w:r w:rsidRPr="0083388E">
        <w:rPr>
          <w:rFonts w:eastAsia="Times New Roman" w:cs="Times New Roman"/>
          <w:b/>
          <w:bCs/>
          <w:rtl/>
          <w:lang w:eastAsia="de-DE"/>
        </w:rPr>
        <w:t>יֵּלְכוּ</w:t>
      </w:r>
      <w:r w:rsidRPr="0083388E">
        <w:rPr>
          <w:rFonts w:eastAsia="Times New Roman" w:cs="Times New Roman"/>
          <w:rtl/>
          <w:lang w:eastAsia="de-DE"/>
        </w:rPr>
        <w:t xml:space="preserve"> </w:t>
      </w:r>
      <w:r w:rsidRPr="0083388E">
        <w:rPr>
          <w:rFonts w:eastAsia="Times New Roman" w:cs="Times New Roman"/>
          <w:lang w:eastAsia="de-DE"/>
        </w:rPr>
        <w:t xml:space="preserve">mit ἐπορεύθησαν (sie gingen), </w:t>
      </w:r>
      <w:r w:rsidRPr="0083388E">
        <w:rPr>
          <w:rFonts w:eastAsia="Times New Roman" w:cs="Times New Roman"/>
          <w:b/>
          <w:bCs/>
          <w:rtl/>
          <w:lang w:eastAsia="de-DE"/>
        </w:rPr>
        <w:t>עֲדַת</w:t>
      </w:r>
      <w:r w:rsidRPr="0083388E">
        <w:rPr>
          <w:rFonts w:eastAsia="Times New Roman" w:cs="Times New Roman"/>
          <w:rtl/>
          <w:lang w:eastAsia="de-DE"/>
        </w:rPr>
        <w:t xml:space="preserve"> </w:t>
      </w:r>
      <w:r w:rsidRPr="0083388E">
        <w:rPr>
          <w:rFonts w:eastAsia="Times New Roman" w:cs="Times New Roman"/>
          <w:lang w:eastAsia="de-DE"/>
        </w:rPr>
        <w:t xml:space="preserve">mit συναγωγή (Versammlung), </w:t>
      </w:r>
      <w:r w:rsidRPr="0083388E">
        <w:rPr>
          <w:rFonts w:eastAsia="Times New Roman" w:cs="Times New Roman"/>
          <w:b/>
          <w:bCs/>
          <w:rtl/>
          <w:lang w:eastAsia="de-DE"/>
        </w:rPr>
        <w:t>יָּשִׁיבוּ דָּבָר</w:t>
      </w:r>
      <w:r w:rsidRPr="0083388E">
        <w:rPr>
          <w:rFonts w:eastAsia="Times New Roman" w:cs="Times New Roman"/>
          <w:rtl/>
          <w:lang w:eastAsia="de-DE"/>
        </w:rPr>
        <w:t xml:space="preserve"> </w:t>
      </w:r>
      <w:r w:rsidRPr="0083388E">
        <w:rPr>
          <w:rFonts w:eastAsia="Times New Roman" w:cs="Times New Roman"/>
          <w:lang w:eastAsia="de-DE"/>
        </w:rPr>
        <w:t xml:space="preserve">mit ἀπεκρίθησαν λόγον (sie antworteten ein Wort) und </w:t>
      </w:r>
      <w:r w:rsidRPr="0083388E">
        <w:rPr>
          <w:rFonts w:eastAsia="Times New Roman" w:cs="Times New Roman"/>
          <w:b/>
          <w:bCs/>
          <w:rtl/>
          <w:lang w:eastAsia="de-DE"/>
        </w:rPr>
        <w:t>יַּרְאוּם</w:t>
      </w:r>
      <w:r w:rsidRPr="0083388E">
        <w:rPr>
          <w:rFonts w:eastAsia="Times New Roman" w:cs="Times New Roman"/>
          <w:rtl/>
          <w:lang w:eastAsia="de-DE"/>
        </w:rPr>
        <w:t xml:space="preserve"> </w:t>
      </w:r>
      <w:r w:rsidRPr="0083388E">
        <w:rPr>
          <w:rFonts w:eastAsia="Times New Roman" w:cs="Times New Roman"/>
          <w:lang w:eastAsia="de-DE"/>
        </w:rPr>
        <w:t>mit ἔδειξαν (sie zeigten).</w:t>
      </w:r>
    </w:p>
    <w:p w14:paraId="6EF2F1F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Rückkehr, offizielle Adressierung, Ortsangabe und doppelte Berichterstattung.</w:t>
      </w:r>
    </w:p>
    <w:p w14:paraId="79393F42"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bereitet die dramatische Szene der Berichterstattung vor, die zu einer der schwerwiegendsten Krisen in Israels Geschichte führen wird.</w:t>
      </w:r>
    </w:p>
    <w:p w14:paraId="65D10608"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13,27</w:t>
      </w:r>
    </w:p>
    <w:p w14:paraId="1EE13E5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וַיְסַפְּרוּ־לוֹ֙ וַיֹּ֣אמְר֔וּ בָּ֕אנוּ אֶל־הָאָ֖רֶץ אֲשֶׁ֣ר שְׁלַחְתָּ֑נוּ וְ֠גַם זָבַ֨ת חָלָ֥ב וּדְבַ֛שׁ הִ֖וא וְזֶה־פִּרְיָֽהּ׃</w:t>
      </w:r>
    </w:p>
    <w:p w14:paraId="42217CDA"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Und sie erzählten ihm und sprachen: Wir sind in das Land gekommen, wohin du uns gesandt hast; und wirklich, es fließt von Milch und Honig, und dies ist seine Frucht.</w:t>
      </w:r>
    </w:p>
    <w:p w14:paraId="19BF8A98"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76BD6107">
          <v:rect id="_x0000_i1446" style="width:0;height:1.5pt" o:hralign="center" o:hrstd="t" o:hr="t" fillcolor="#a0a0a0" stroked="f"/>
        </w:pict>
      </w:r>
    </w:p>
    <w:p w14:paraId="6434A310"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Das Verb </w:t>
      </w:r>
      <w:r w:rsidRPr="0083388E">
        <w:rPr>
          <w:rFonts w:eastAsia="Times New Roman" w:cs="Times New Roman"/>
          <w:b/>
          <w:bCs/>
          <w:rtl/>
          <w:lang w:eastAsia="de-DE"/>
        </w:rPr>
        <w:t>וַיְסַפְּרוּ־לוֹ֙ וַיֹּ֣אמְר֔וּ</w:t>
      </w:r>
      <w:r w:rsidRPr="0083388E">
        <w:rPr>
          <w:rFonts w:eastAsia="Times New Roman" w:cs="Times New Roman"/>
          <w:rtl/>
          <w:lang w:eastAsia="de-DE"/>
        </w:rPr>
        <w:t xml:space="preserve"> </w:t>
      </w:r>
      <w:r w:rsidRPr="0083388E">
        <w:rPr>
          <w:rFonts w:eastAsia="Times New Roman" w:cs="Times New Roman"/>
          <w:lang w:eastAsia="de-DE"/>
        </w:rPr>
        <w:t xml:space="preserve">(und sie erzählten ihm und sprachen) mit </w:t>
      </w:r>
      <w:r w:rsidRPr="0083388E">
        <w:rPr>
          <w:rFonts w:eastAsia="Times New Roman" w:cs="Times New Roman"/>
          <w:b/>
          <w:bCs/>
          <w:rtl/>
          <w:lang w:eastAsia="de-DE"/>
        </w:rPr>
        <w:t>יְסַפְּרוּ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ספר</w:t>
      </w:r>
      <w:r w:rsidRPr="0083388E">
        <w:rPr>
          <w:rFonts w:eastAsia="Times New Roman" w:cs="Times New Roman"/>
          <w:rtl/>
          <w:lang w:eastAsia="de-DE"/>
        </w:rPr>
        <w:t xml:space="preserve"> </w:t>
      </w:r>
      <w:r w:rsidRPr="0083388E">
        <w:rPr>
          <w:rFonts w:eastAsia="Times New Roman" w:cs="Times New Roman"/>
          <w:lang w:eastAsia="de-DE"/>
        </w:rPr>
        <w:t xml:space="preserve">(erzählen/berichten) im Pi'el-Imperfekt 3. maskulin Plural und </w:t>
      </w:r>
      <w:r w:rsidRPr="0083388E">
        <w:rPr>
          <w:rFonts w:eastAsia="Times New Roman" w:cs="Times New Roman"/>
          <w:b/>
          <w:bCs/>
          <w:rtl/>
          <w:lang w:eastAsia="de-DE"/>
        </w:rPr>
        <w:t>יֹּאמְרוּ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אמר</w:t>
      </w:r>
      <w:r w:rsidRPr="0083388E">
        <w:rPr>
          <w:rFonts w:eastAsia="Times New Roman" w:cs="Times New Roman"/>
          <w:rtl/>
          <w:lang w:eastAsia="de-DE"/>
        </w:rPr>
        <w:t xml:space="preserve"> </w:t>
      </w:r>
      <w:r w:rsidRPr="0083388E">
        <w:rPr>
          <w:rFonts w:eastAsia="Times New Roman" w:cs="Times New Roman"/>
          <w:lang w:eastAsia="de-DE"/>
        </w:rPr>
        <w:t>(sagen) leitet den offiziellen Kundschafterbericht ein.</w:t>
      </w:r>
    </w:p>
    <w:p w14:paraId="52607F5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Bestätigung </w:t>
      </w:r>
      <w:r w:rsidRPr="0083388E">
        <w:rPr>
          <w:rFonts w:eastAsia="Times New Roman" w:cs="Times New Roman"/>
          <w:b/>
          <w:bCs/>
          <w:rtl/>
          <w:lang w:eastAsia="de-DE"/>
        </w:rPr>
        <w:t>בָּ֕אנוּ אֶל־הָאָ֖רֶץ אֲשֶׁ֣ר שְׁלַחְתָּ֑נוּ</w:t>
      </w:r>
      <w:r w:rsidRPr="0083388E">
        <w:rPr>
          <w:rFonts w:eastAsia="Times New Roman" w:cs="Times New Roman"/>
          <w:rtl/>
          <w:lang w:eastAsia="de-DE"/>
        </w:rPr>
        <w:t xml:space="preserve"> </w:t>
      </w:r>
      <w:r w:rsidRPr="0083388E">
        <w:rPr>
          <w:rFonts w:eastAsia="Times New Roman" w:cs="Times New Roman"/>
          <w:lang w:eastAsia="de-DE"/>
        </w:rPr>
        <w:t xml:space="preserve">(wir sind in das Land gekommen, wohin du uns gesandt hast) mit </w:t>
      </w:r>
      <w:r w:rsidRPr="0083388E">
        <w:rPr>
          <w:rFonts w:eastAsia="Times New Roman" w:cs="Times New Roman"/>
          <w:b/>
          <w:bCs/>
          <w:rtl/>
          <w:lang w:eastAsia="de-DE"/>
        </w:rPr>
        <w:t>בָּאנוּ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בוא</w:t>
      </w:r>
      <w:r w:rsidRPr="0083388E">
        <w:rPr>
          <w:rFonts w:eastAsia="Times New Roman" w:cs="Times New Roman"/>
          <w:rtl/>
          <w:lang w:eastAsia="de-DE"/>
        </w:rPr>
        <w:t xml:space="preserve"> </w:t>
      </w:r>
      <w:r w:rsidRPr="0083388E">
        <w:rPr>
          <w:rFonts w:eastAsia="Times New Roman" w:cs="Times New Roman"/>
          <w:lang w:eastAsia="de-DE"/>
        </w:rPr>
        <w:t xml:space="preserve">(kommen) und </w:t>
      </w:r>
      <w:r w:rsidRPr="0083388E">
        <w:rPr>
          <w:rFonts w:eastAsia="Times New Roman" w:cs="Times New Roman"/>
          <w:b/>
          <w:bCs/>
          <w:rtl/>
          <w:lang w:eastAsia="de-DE"/>
        </w:rPr>
        <w:t>אֲשֶׁר שְׁלַחְתָּנוּ</w:t>
      </w:r>
      <w:r w:rsidRPr="0083388E">
        <w:rPr>
          <w:rFonts w:eastAsia="Times New Roman" w:cs="Times New Roman"/>
          <w:rtl/>
          <w:lang w:eastAsia="de-DE"/>
        </w:rPr>
        <w:t xml:space="preserve"> </w:t>
      </w:r>
      <w:r w:rsidRPr="0083388E">
        <w:rPr>
          <w:rFonts w:eastAsia="Times New Roman" w:cs="Times New Roman"/>
          <w:lang w:eastAsia="de-DE"/>
        </w:rPr>
        <w:t>(wohin du uns gesandt hast) bestätigt die Erfüllung des Auftrags.</w:t>
      </w:r>
    </w:p>
    <w:p w14:paraId="5B022756"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enthusiastische Bestätigung </w:t>
      </w:r>
      <w:r w:rsidRPr="0083388E">
        <w:rPr>
          <w:rFonts w:eastAsia="Times New Roman" w:cs="Times New Roman"/>
          <w:b/>
          <w:bCs/>
          <w:rtl/>
          <w:lang w:eastAsia="de-DE"/>
        </w:rPr>
        <w:t>וְ֠גַם זָבַ֨ת חָלָ֥ב וּדְבַ֛שׁ הִ֖וא וְזֶה־פִּרְיָֽהּ</w:t>
      </w:r>
      <w:r w:rsidRPr="0083388E">
        <w:rPr>
          <w:rFonts w:eastAsia="Times New Roman" w:cs="Times New Roman"/>
          <w:rtl/>
          <w:lang w:eastAsia="de-DE"/>
        </w:rPr>
        <w:t xml:space="preserve"> </w:t>
      </w:r>
      <w:r w:rsidRPr="0083388E">
        <w:rPr>
          <w:rFonts w:eastAsia="Times New Roman" w:cs="Times New Roman"/>
          <w:lang w:eastAsia="de-DE"/>
        </w:rPr>
        <w:t xml:space="preserve">(und wirklich, es fließt von Milch und Honig, und dies ist seine Frucht) mit </w:t>
      </w:r>
      <w:r w:rsidRPr="0083388E">
        <w:rPr>
          <w:rFonts w:eastAsia="Times New Roman" w:cs="Times New Roman"/>
          <w:b/>
          <w:bCs/>
          <w:rtl/>
          <w:lang w:eastAsia="de-DE"/>
        </w:rPr>
        <w:t>וְגַם</w:t>
      </w:r>
      <w:r w:rsidRPr="0083388E">
        <w:rPr>
          <w:rFonts w:eastAsia="Times New Roman" w:cs="Times New Roman"/>
          <w:rtl/>
          <w:lang w:eastAsia="de-DE"/>
        </w:rPr>
        <w:t xml:space="preserve"> </w:t>
      </w:r>
      <w:r w:rsidRPr="0083388E">
        <w:rPr>
          <w:rFonts w:eastAsia="Times New Roman" w:cs="Times New Roman"/>
          <w:lang w:eastAsia="de-DE"/>
        </w:rPr>
        <w:t xml:space="preserve">(und wirklich), </w:t>
      </w:r>
      <w:r w:rsidRPr="0083388E">
        <w:rPr>
          <w:rFonts w:eastAsia="Times New Roman" w:cs="Times New Roman"/>
          <w:b/>
          <w:bCs/>
          <w:rtl/>
          <w:lang w:eastAsia="de-DE"/>
        </w:rPr>
        <w:t>זָבַת חָלָב וּדְבַשׁ</w:t>
      </w:r>
      <w:r w:rsidRPr="0083388E">
        <w:rPr>
          <w:rFonts w:eastAsia="Times New Roman" w:cs="Times New Roman"/>
          <w:rtl/>
          <w:lang w:eastAsia="de-DE"/>
        </w:rPr>
        <w:t xml:space="preserve"> </w:t>
      </w:r>
      <w:r w:rsidRPr="0083388E">
        <w:rPr>
          <w:rFonts w:eastAsia="Times New Roman" w:cs="Times New Roman"/>
          <w:lang w:eastAsia="de-DE"/>
        </w:rPr>
        <w:t xml:space="preserve">(fließend von Milch und Honig) als klassische Formel für Fruchtbarkeit, </w:t>
      </w:r>
      <w:r w:rsidRPr="0083388E">
        <w:rPr>
          <w:rFonts w:eastAsia="Times New Roman" w:cs="Times New Roman"/>
          <w:b/>
          <w:bCs/>
          <w:rtl/>
          <w:lang w:eastAsia="de-DE"/>
        </w:rPr>
        <w:t>זָבַת</w:t>
      </w:r>
      <w:r w:rsidRPr="0083388E">
        <w:rPr>
          <w:rFonts w:eastAsia="Times New Roman" w:cs="Times New Roman"/>
          <w:rtl/>
          <w:lang w:eastAsia="de-DE"/>
        </w:rPr>
        <w:t xml:space="preserve"> </w:t>
      </w:r>
      <w:r w:rsidRPr="0083388E">
        <w:rPr>
          <w:rFonts w:eastAsia="Times New Roman" w:cs="Times New Roman"/>
          <w:lang w:eastAsia="de-DE"/>
        </w:rPr>
        <w:t xml:space="preserve">als Qal-Partizip feminin von </w:t>
      </w:r>
      <w:r w:rsidRPr="0083388E">
        <w:rPr>
          <w:rFonts w:eastAsia="Times New Roman" w:cs="Times New Roman"/>
          <w:b/>
          <w:bCs/>
          <w:rtl/>
          <w:lang w:eastAsia="de-DE"/>
        </w:rPr>
        <w:t>זוב</w:t>
      </w:r>
      <w:r w:rsidRPr="0083388E">
        <w:rPr>
          <w:rFonts w:eastAsia="Times New Roman" w:cs="Times New Roman"/>
          <w:rtl/>
          <w:lang w:eastAsia="de-DE"/>
        </w:rPr>
        <w:t xml:space="preserve"> </w:t>
      </w:r>
      <w:r w:rsidRPr="0083388E">
        <w:rPr>
          <w:rFonts w:eastAsia="Times New Roman" w:cs="Times New Roman"/>
          <w:lang w:eastAsia="de-DE"/>
        </w:rPr>
        <w:t xml:space="preserve">(fließen), und </w:t>
      </w:r>
      <w:r w:rsidRPr="0083388E">
        <w:rPr>
          <w:rFonts w:eastAsia="Times New Roman" w:cs="Times New Roman"/>
          <w:b/>
          <w:bCs/>
          <w:rtl/>
          <w:lang w:eastAsia="de-DE"/>
        </w:rPr>
        <w:t>זֶה־פִּרְיָהּ</w:t>
      </w:r>
      <w:r w:rsidRPr="0083388E">
        <w:rPr>
          <w:rFonts w:eastAsia="Times New Roman" w:cs="Times New Roman"/>
          <w:rtl/>
          <w:lang w:eastAsia="de-DE"/>
        </w:rPr>
        <w:t xml:space="preserve"> </w:t>
      </w:r>
      <w:r w:rsidRPr="0083388E">
        <w:rPr>
          <w:rFonts w:eastAsia="Times New Roman" w:cs="Times New Roman"/>
          <w:lang w:eastAsia="de-DE"/>
        </w:rPr>
        <w:t>(dies ist seine Frucht) mit Hinweis auf die mitgebrachten Früchte bestätigt die göttlichen Verheißungen.</w:t>
      </w:r>
    </w:p>
    <w:p w14:paraId="7CABFC4F"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Die LXX</w:t>
      </w:r>
      <w:r w:rsidRPr="0083388E">
        <w:rPr>
          <w:rFonts w:eastAsia="Times New Roman" w:cs="Times New Roman"/>
          <w:lang w:eastAsia="de-DE"/>
        </w:rPr>
        <w:t xml:space="preserve"> übersetzt </w:t>
      </w:r>
      <w:r w:rsidRPr="0083388E">
        <w:rPr>
          <w:rFonts w:eastAsia="Times New Roman" w:cs="Times New Roman"/>
          <w:b/>
          <w:bCs/>
          <w:rtl/>
          <w:lang w:eastAsia="de-DE"/>
        </w:rPr>
        <w:t>יְסַפְּרוּ</w:t>
      </w:r>
      <w:r w:rsidRPr="0083388E">
        <w:rPr>
          <w:rFonts w:eastAsia="Times New Roman" w:cs="Times New Roman"/>
          <w:rtl/>
          <w:lang w:eastAsia="de-DE"/>
        </w:rPr>
        <w:t xml:space="preserve"> </w:t>
      </w:r>
      <w:r w:rsidRPr="0083388E">
        <w:rPr>
          <w:rFonts w:eastAsia="Times New Roman" w:cs="Times New Roman"/>
          <w:lang w:eastAsia="de-DE"/>
        </w:rPr>
        <w:t xml:space="preserve">mit διηγήσαντο (sie erzählten), </w:t>
      </w:r>
      <w:r w:rsidRPr="0083388E">
        <w:rPr>
          <w:rFonts w:eastAsia="Times New Roman" w:cs="Times New Roman"/>
          <w:b/>
          <w:bCs/>
          <w:rtl/>
          <w:lang w:eastAsia="de-DE"/>
        </w:rPr>
        <w:t>זָבַת חָלָב וּדְבַשׁ</w:t>
      </w:r>
      <w:r w:rsidRPr="0083388E">
        <w:rPr>
          <w:rFonts w:eastAsia="Times New Roman" w:cs="Times New Roman"/>
          <w:rtl/>
          <w:lang w:eastAsia="de-DE"/>
        </w:rPr>
        <w:t xml:space="preserve"> </w:t>
      </w:r>
      <w:r w:rsidRPr="0083388E">
        <w:rPr>
          <w:rFonts w:eastAsia="Times New Roman" w:cs="Times New Roman"/>
          <w:lang w:eastAsia="de-DE"/>
        </w:rPr>
        <w:t xml:space="preserve">mit ῥέουσα γάλα καὶ μέλι (fließend von Milch und Honig) und </w:t>
      </w:r>
      <w:r w:rsidRPr="0083388E">
        <w:rPr>
          <w:rFonts w:eastAsia="Times New Roman" w:cs="Times New Roman"/>
          <w:b/>
          <w:bCs/>
          <w:rtl/>
          <w:lang w:eastAsia="de-DE"/>
        </w:rPr>
        <w:t>פִּרְיָהּ</w:t>
      </w:r>
      <w:r w:rsidRPr="0083388E">
        <w:rPr>
          <w:rFonts w:eastAsia="Times New Roman" w:cs="Times New Roman"/>
          <w:rtl/>
          <w:lang w:eastAsia="de-DE"/>
        </w:rPr>
        <w:t xml:space="preserve"> </w:t>
      </w:r>
      <w:r w:rsidRPr="0083388E">
        <w:rPr>
          <w:rFonts w:eastAsia="Times New Roman" w:cs="Times New Roman"/>
          <w:lang w:eastAsia="de-DE"/>
        </w:rPr>
        <w:t>mit καρπός αὐτῆς (ihre Frucht).</w:t>
      </w:r>
    </w:p>
    <w:p w14:paraId="6CFB5C61"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offiziellen Berichtsbeginn, Auftragsbestätigung und enthusiastische Fruchtbarkeitsbestätigung mit physischem Beweis.</w:t>
      </w:r>
    </w:p>
    <w:p w14:paraId="0213F4D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beginnt positiv mit der Bestätigung der göttlichen Verheißungen über die Fruchtbarkeit des Landes.</w:t>
      </w:r>
    </w:p>
    <w:p w14:paraId="52A4C2D5"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13,28</w:t>
      </w:r>
    </w:p>
    <w:p w14:paraId="15D34059"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אֶ֚פֶס כִּֽי־עַ֣ז הָעָ֔ם הַיֹּשֵׁ֖ב בָּאָ֑רֶץ וְהֶֽעָרִ֗ים בְּצֻר֤וֹת גְּדֹלֹת֙ מְאֹ֔ד וְגַם־יְלִדֵ֥י הָֽעֲנָ֖ק רָאִ֥ינוּ שָֽׁם׃</w:t>
      </w:r>
    </w:p>
    <w:p w14:paraId="64584E14"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Nur dass das Volk stark ist, das in dem Land wohnt, und die Städte befestigt, sehr groß; und auch die Kinder des Anak haben wir dort gesehen.</w:t>
      </w:r>
    </w:p>
    <w:p w14:paraId="2AB83480"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lastRenderedPageBreak/>
        <w:pict w14:anchorId="5A4035BD">
          <v:rect id="_x0000_i1447" style="width:0;height:1.5pt" o:hralign="center" o:hrstd="t" o:hr="t" fillcolor="#a0a0a0" stroked="f"/>
        </w:pict>
      </w:r>
    </w:p>
    <w:p w14:paraId="77C2E72A"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Das adversative </w:t>
      </w:r>
      <w:r w:rsidRPr="0083388E">
        <w:rPr>
          <w:rFonts w:eastAsia="Times New Roman" w:cs="Times New Roman"/>
          <w:b/>
          <w:bCs/>
          <w:rtl/>
          <w:lang w:eastAsia="de-DE"/>
        </w:rPr>
        <w:t>אֶ֚פֶס כִּֽי־עַ֣ז הָעָ֔ם</w:t>
      </w:r>
      <w:r w:rsidRPr="0083388E">
        <w:rPr>
          <w:rFonts w:eastAsia="Times New Roman" w:cs="Times New Roman"/>
          <w:rtl/>
          <w:lang w:eastAsia="de-DE"/>
        </w:rPr>
        <w:t xml:space="preserve"> </w:t>
      </w:r>
      <w:r w:rsidRPr="0083388E">
        <w:rPr>
          <w:rFonts w:eastAsia="Times New Roman" w:cs="Times New Roman"/>
          <w:lang w:eastAsia="de-DE"/>
        </w:rPr>
        <w:t xml:space="preserve">(nur dass stark ist das Volk) mit </w:t>
      </w:r>
      <w:r w:rsidRPr="0083388E">
        <w:rPr>
          <w:rFonts w:eastAsia="Times New Roman" w:cs="Times New Roman"/>
          <w:b/>
          <w:bCs/>
          <w:rtl/>
          <w:lang w:eastAsia="de-DE"/>
        </w:rPr>
        <w:t>אֶפֶס כִּי</w:t>
      </w:r>
      <w:r w:rsidRPr="0083388E">
        <w:rPr>
          <w:rFonts w:eastAsia="Times New Roman" w:cs="Times New Roman"/>
          <w:rtl/>
          <w:lang w:eastAsia="de-DE"/>
        </w:rPr>
        <w:t xml:space="preserve"> </w:t>
      </w:r>
      <w:r w:rsidRPr="0083388E">
        <w:rPr>
          <w:rFonts w:eastAsia="Times New Roman" w:cs="Times New Roman"/>
          <w:lang w:eastAsia="de-DE"/>
        </w:rPr>
        <w:t xml:space="preserve">(nur dass/jedoch) als Einschränkungspartikel und </w:t>
      </w:r>
      <w:r w:rsidRPr="0083388E">
        <w:rPr>
          <w:rFonts w:eastAsia="Times New Roman" w:cs="Times New Roman"/>
          <w:b/>
          <w:bCs/>
          <w:rtl/>
          <w:lang w:eastAsia="de-DE"/>
        </w:rPr>
        <w:t>עַז</w:t>
      </w:r>
      <w:r w:rsidRPr="0083388E">
        <w:rPr>
          <w:rFonts w:eastAsia="Times New Roman" w:cs="Times New Roman"/>
          <w:rtl/>
          <w:lang w:eastAsia="de-DE"/>
        </w:rPr>
        <w:t xml:space="preserve"> </w:t>
      </w:r>
      <w:r w:rsidRPr="0083388E">
        <w:rPr>
          <w:rFonts w:eastAsia="Times New Roman" w:cs="Times New Roman"/>
          <w:lang w:eastAsia="de-DE"/>
        </w:rPr>
        <w:t xml:space="preserve">(stark/gewaltig) zeigt den dramatischen Wendepunkt des Berichts. Die Bevölkerungscharakterisierung </w:t>
      </w:r>
      <w:r w:rsidRPr="0083388E">
        <w:rPr>
          <w:rFonts w:eastAsia="Times New Roman" w:cs="Times New Roman"/>
          <w:b/>
          <w:bCs/>
          <w:rtl/>
          <w:lang w:eastAsia="de-DE"/>
        </w:rPr>
        <w:t>הַיֹּשֵׁ֖ב בָּאָ֑רֶץ</w:t>
      </w:r>
      <w:r w:rsidRPr="0083388E">
        <w:rPr>
          <w:rFonts w:eastAsia="Times New Roman" w:cs="Times New Roman"/>
          <w:rtl/>
          <w:lang w:eastAsia="de-DE"/>
        </w:rPr>
        <w:t xml:space="preserve"> </w:t>
      </w:r>
      <w:r w:rsidRPr="0083388E">
        <w:rPr>
          <w:rFonts w:eastAsia="Times New Roman" w:cs="Times New Roman"/>
          <w:lang w:eastAsia="de-DE"/>
        </w:rPr>
        <w:t xml:space="preserve">(das in dem Land wohnt) mit </w:t>
      </w:r>
      <w:r w:rsidRPr="0083388E">
        <w:rPr>
          <w:rFonts w:eastAsia="Times New Roman" w:cs="Times New Roman"/>
          <w:b/>
          <w:bCs/>
          <w:rtl/>
          <w:lang w:eastAsia="de-DE"/>
        </w:rPr>
        <w:t>יֹשֵׁב</w:t>
      </w:r>
      <w:r w:rsidRPr="0083388E">
        <w:rPr>
          <w:rFonts w:eastAsia="Times New Roman" w:cs="Times New Roman"/>
          <w:rtl/>
          <w:lang w:eastAsia="de-DE"/>
        </w:rPr>
        <w:t xml:space="preserve"> </w:t>
      </w:r>
      <w:r w:rsidRPr="0083388E">
        <w:rPr>
          <w:rFonts w:eastAsia="Times New Roman" w:cs="Times New Roman"/>
          <w:lang w:eastAsia="de-DE"/>
        </w:rPr>
        <w:t xml:space="preserve">als Qal-Partizip von </w:t>
      </w:r>
      <w:r w:rsidRPr="0083388E">
        <w:rPr>
          <w:rFonts w:eastAsia="Times New Roman" w:cs="Times New Roman"/>
          <w:b/>
          <w:bCs/>
          <w:rtl/>
          <w:lang w:eastAsia="de-DE"/>
        </w:rPr>
        <w:t>ישב</w:t>
      </w:r>
      <w:r w:rsidRPr="0083388E">
        <w:rPr>
          <w:rFonts w:eastAsia="Times New Roman" w:cs="Times New Roman"/>
          <w:rtl/>
          <w:lang w:eastAsia="de-DE"/>
        </w:rPr>
        <w:t xml:space="preserve"> </w:t>
      </w:r>
      <w:r w:rsidRPr="0083388E">
        <w:rPr>
          <w:rFonts w:eastAsia="Times New Roman" w:cs="Times New Roman"/>
          <w:lang w:eastAsia="de-DE"/>
        </w:rPr>
        <w:t>(wohnen) betont die etablierte Präsenz.</w:t>
      </w:r>
    </w:p>
    <w:p w14:paraId="0B2B4034"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militärische Einschätzung </w:t>
      </w:r>
      <w:r w:rsidRPr="0083388E">
        <w:rPr>
          <w:rFonts w:eastAsia="Times New Roman" w:cs="Times New Roman"/>
          <w:b/>
          <w:bCs/>
          <w:rtl/>
          <w:lang w:eastAsia="de-DE"/>
        </w:rPr>
        <w:t>וְהֶֽעָרִ֗ים בְּצֻר֤וֹת גְּדֹלֹת֙ מְאֹ֔ד</w:t>
      </w:r>
      <w:r w:rsidRPr="0083388E">
        <w:rPr>
          <w:rFonts w:eastAsia="Times New Roman" w:cs="Times New Roman"/>
          <w:rtl/>
          <w:lang w:eastAsia="de-DE"/>
        </w:rPr>
        <w:t xml:space="preserve"> </w:t>
      </w:r>
      <w:r w:rsidRPr="0083388E">
        <w:rPr>
          <w:rFonts w:eastAsia="Times New Roman" w:cs="Times New Roman"/>
          <w:lang w:eastAsia="de-DE"/>
        </w:rPr>
        <w:t xml:space="preserve">(und die Städte sind befestigt, sehr groß) mit </w:t>
      </w:r>
      <w:r w:rsidRPr="0083388E">
        <w:rPr>
          <w:rFonts w:eastAsia="Times New Roman" w:cs="Times New Roman"/>
          <w:b/>
          <w:bCs/>
          <w:rtl/>
          <w:lang w:eastAsia="de-DE"/>
        </w:rPr>
        <w:t>בְּצֻרוֹת</w:t>
      </w:r>
      <w:r w:rsidRPr="0083388E">
        <w:rPr>
          <w:rFonts w:eastAsia="Times New Roman" w:cs="Times New Roman"/>
          <w:rtl/>
          <w:lang w:eastAsia="de-DE"/>
        </w:rPr>
        <w:t xml:space="preserve"> </w:t>
      </w:r>
      <w:r w:rsidRPr="0083388E">
        <w:rPr>
          <w:rFonts w:eastAsia="Times New Roman" w:cs="Times New Roman"/>
          <w:lang w:eastAsia="de-DE"/>
        </w:rPr>
        <w:t xml:space="preserve">(befestigt) als Qal-Partizip Plural von </w:t>
      </w:r>
      <w:r w:rsidRPr="0083388E">
        <w:rPr>
          <w:rFonts w:eastAsia="Times New Roman" w:cs="Times New Roman"/>
          <w:b/>
          <w:bCs/>
          <w:rtl/>
          <w:lang w:eastAsia="de-DE"/>
        </w:rPr>
        <w:t>בצר</w:t>
      </w:r>
      <w:r w:rsidRPr="0083388E">
        <w:rPr>
          <w:rFonts w:eastAsia="Times New Roman" w:cs="Times New Roman"/>
          <w:rtl/>
          <w:lang w:eastAsia="de-DE"/>
        </w:rPr>
        <w:t xml:space="preserve"> </w:t>
      </w:r>
      <w:r w:rsidRPr="0083388E">
        <w:rPr>
          <w:rFonts w:eastAsia="Times New Roman" w:cs="Times New Roman"/>
          <w:lang w:eastAsia="de-DE"/>
        </w:rPr>
        <w:t xml:space="preserve">(befestigen), </w:t>
      </w:r>
      <w:r w:rsidRPr="0083388E">
        <w:rPr>
          <w:rFonts w:eastAsia="Times New Roman" w:cs="Times New Roman"/>
          <w:b/>
          <w:bCs/>
          <w:rtl/>
          <w:lang w:eastAsia="de-DE"/>
        </w:rPr>
        <w:t>גְּדֹלוֹת</w:t>
      </w:r>
      <w:r w:rsidRPr="0083388E">
        <w:rPr>
          <w:rFonts w:eastAsia="Times New Roman" w:cs="Times New Roman"/>
          <w:rtl/>
          <w:lang w:eastAsia="de-DE"/>
        </w:rPr>
        <w:t xml:space="preserve"> </w:t>
      </w:r>
      <w:r w:rsidRPr="0083388E">
        <w:rPr>
          <w:rFonts w:eastAsia="Times New Roman" w:cs="Times New Roman"/>
          <w:lang w:eastAsia="de-DE"/>
        </w:rPr>
        <w:t xml:space="preserve">(groß) und der Verstärkung </w:t>
      </w:r>
      <w:r w:rsidRPr="0083388E">
        <w:rPr>
          <w:rFonts w:eastAsia="Times New Roman" w:cs="Times New Roman"/>
          <w:b/>
          <w:bCs/>
          <w:rtl/>
          <w:lang w:eastAsia="de-DE"/>
        </w:rPr>
        <w:t>מְאֹד</w:t>
      </w:r>
      <w:r w:rsidRPr="0083388E">
        <w:rPr>
          <w:rFonts w:eastAsia="Times New Roman" w:cs="Times New Roman"/>
          <w:rtl/>
          <w:lang w:eastAsia="de-DE"/>
        </w:rPr>
        <w:t xml:space="preserve"> </w:t>
      </w:r>
      <w:r w:rsidRPr="0083388E">
        <w:rPr>
          <w:rFonts w:eastAsia="Times New Roman" w:cs="Times New Roman"/>
          <w:lang w:eastAsia="de-DE"/>
        </w:rPr>
        <w:t>(sehr) zeigt die militärischen Herausforderungen.</w:t>
      </w:r>
    </w:p>
    <w:p w14:paraId="154ACDCE"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schockierende Entdeckung </w:t>
      </w:r>
      <w:r w:rsidRPr="0083388E">
        <w:rPr>
          <w:rFonts w:eastAsia="Times New Roman" w:cs="Times New Roman"/>
          <w:b/>
          <w:bCs/>
          <w:rtl/>
          <w:lang w:eastAsia="de-DE"/>
        </w:rPr>
        <w:t>וְגַם־יְלִדֵ֥י הָֽעֲנָ֖ק רָאִ֥ינוּ שָֽׁם</w:t>
      </w:r>
      <w:r w:rsidRPr="0083388E">
        <w:rPr>
          <w:rFonts w:eastAsia="Times New Roman" w:cs="Times New Roman"/>
          <w:rtl/>
          <w:lang w:eastAsia="de-DE"/>
        </w:rPr>
        <w:t xml:space="preserve"> </w:t>
      </w:r>
      <w:r w:rsidRPr="0083388E">
        <w:rPr>
          <w:rFonts w:eastAsia="Times New Roman" w:cs="Times New Roman"/>
          <w:lang w:eastAsia="de-DE"/>
        </w:rPr>
        <w:t xml:space="preserve">(und auch die Kinder des Anak haben wir dort gesehen) mit </w:t>
      </w:r>
      <w:r w:rsidRPr="0083388E">
        <w:rPr>
          <w:rFonts w:eastAsia="Times New Roman" w:cs="Times New Roman"/>
          <w:b/>
          <w:bCs/>
          <w:rtl/>
          <w:lang w:eastAsia="de-DE"/>
        </w:rPr>
        <w:t>וְגַם</w:t>
      </w:r>
      <w:r w:rsidRPr="0083388E">
        <w:rPr>
          <w:rFonts w:eastAsia="Times New Roman" w:cs="Times New Roman"/>
          <w:rtl/>
          <w:lang w:eastAsia="de-DE"/>
        </w:rPr>
        <w:t xml:space="preserve"> </w:t>
      </w:r>
      <w:r w:rsidRPr="0083388E">
        <w:rPr>
          <w:rFonts w:eastAsia="Times New Roman" w:cs="Times New Roman"/>
          <w:lang w:eastAsia="de-DE"/>
        </w:rPr>
        <w:t xml:space="preserve">(und auch), </w:t>
      </w:r>
      <w:r w:rsidRPr="0083388E">
        <w:rPr>
          <w:rFonts w:eastAsia="Times New Roman" w:cs="Times New Roman"/>
          <w:b/>
          <w:bCs/>
          <w:rtl/>
          <w:lang w:eastAsia="de-DE"/>
        </w:rPr>
        <w:t>יְלִדֵי הָעֲנָק</w:t>
      </w:r>
      <w:r w:rsidRPr="0083388E">
        <w:rPr>
          <w:rFonts w:eastAsia="Times New Roman" w:cs="Times New Roman"/>
          <w:rtl/>
          <w:lang w:eastAsia="de-DE"/>
        </w:rPr>
        <w:t xml:space="preserve"> </w:t>
      </w:r>
      <w:r w:rsidRPr="0083388E">
        <w:rPr>
          <w:rFonts w:eastAsia="Times New Roman" w:cs="Times New Roman"/>
          <w:lang w:eastAsia="de-DE"/>
        </w:rPr>
        <w:t xml:space="preserve">(Kinder des Anak) und </w:t>
      </w:r>
      <w:r w:rsidRPr="0083388E">
        <w:rPr>
          <w:rFonts w:eastAsia="Times New Roman" w:cs="Times New Roman"/>
          <w:b/>
          <w:bCs/>
          <w:rtl/>
          <w:lang w:eastAsia="de-DE"/>
        </w:rPr>
        <w:t>רָאִינוּ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ראה</w:t>
      </w:r>
      <w:r w:rsidRPr="0083388E">
        <w:rPr>
          <w:rFonts w:eastAsia="Times New Roman" w:cs="Times New Roman"/>
          <w:rtl/>
          <w:lang w:eastAsia="de-DE"/>
        </w:rPr>
        <w:t xml:space="preserve"> </w:t>
      </w:r>
      <w:r w:rsidRPr="0083388E">
        <w:rPr>
          <w:rFonts w:eastAsia="Times New Roman" w:cs="Times New Roman"/>
          <w:lang w:eastAsia="de-DE"/>
        </w:rPr>
        <w:t>(sehen) zeigt die Begegnung mit den gefürchteten Riesen.</w:t>
      </w:r>
    </w:p>
    <w:p w14:paraId="71C6132D" w14:textId="1A0486D8" w:rsidR="0083388E" w:rsidRPr="0083388E" w:rsidRDefault="00184967" w:rsidP="0083388E">
      <w:pPr>
        <w:spacing w:before="100" w:beforeAutospacing="1" w:after="100" w:afterAutospacing="1" w:line="240" w:lineRule="auto"/>
        <w:rPr>
          <w:rFonts w:eastAsia="Times New Roman" w:cs="Times New Roman"/>
          <w:lang w:eastAsia="de-DE"/>
        </w:rPr>
      </w:pPr>
      <w:r>
        <w:rPr>
          <w:rStyle w:val="Fett"/>
        </w:rPr>
        <w:t>Vers 28 (MT) / Vers 29 (LXX):</w:t>
      </w:r>
      <w:r>
        <w:t xml:space="preserve"> </w:t>
      </w:r>
      <w:r>
        <w:rPr>
          <w:rStyle w:val="Fett"/>
        </w:rPr>
        <w:t>Die LXX</w:t>
      </w:r>
      <w:r>
        <w:t xml:space="preserve"> intensiviert die Beschreibung: Das hebräische „</w:t>
      </w:r>
      <w:r>
        <w:rPr>
          <w:rtl/>
        </w:rPr>
        <w:t>כִּי־עַז הָעָם</w:t>
      </w:r>
      <w:r>
        <w:t>" (denn stark ist das Volk) wird zu „θρασὺ τὸ ἔθνος" (kühn/verwegen ist das Volk), was eine stärkere emotionale Färbung hat.</w:t>
      </w:r>
    </w:p>
    <w:p w14:paraId="56DAA027"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adversative Wende, Bevölkerungscharakterisierung, militärische Einschätzung und schockierende Entdeckung.</w:t>
      </w:r>
    </w:p>
    <w:p w14:paraId="1C3EED49"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markiert den Wendepunkt von positiver zu negativer Berichterstattung und führt die Hindernisse ein, die später zur Rebellion führen werden.</w:t>
      </w:r>
    </w:p>
    <w:p w14:paraId="3521B953"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13,29</w:t>
      </w:r>
    </w:p>
    <w:p w14:paraId="69CF7AA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עֲמָלֵ֥ק יוֹשֵׁ֖ב בְּאֶ֣רֶץ הַנֶּ֑גֶב וְ֠הַֽחִתִּי וְהַיְבוּסִ֤י וְהָֽאֱמֹרִי֙ יוֹשֵׁ֣ב בָּהָ֔ר וְהַֽכְּנַעֲנִי֙ יֹשֵׁ֣ב עַל־הַיָּ֔ם וְעַ֖ל יַ֥ד הַיַּרְדֵּֽן׃</w:t>
      </w:r>
    </w:p>
    <w:p w14:paraId="57A0EF72"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Amalek wohnt im Land des Negev, und der Chitti und der Jevusi und der Emori wohnen auf dem Gebirge, und der Kena'ani wohnt am Meer und an der Seite des Jardens.</w:t>
      </w:r>
    </w:p>
    <w:p w14:paraId="540ECAA5"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6C5A7896">
          <v:rect id="_x0000_i1448" style="width:0;height:1.5pt" o:hralign="center" o:hrstd="t" o:hr="t" fillcolor="#a0a0a0" stroked="f"/>
        </w:pict>
      </w:r>
    </w:p>
    <w:p w14:paraId="5680FACD"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Die systematische Völkeraufzählung beginnt mit </w:t>
      </w:r>
      <w:r w:rsidRPr="0083388E">
        <w:rPr>
          <w:rFonts w:eastAsia="Times New Roman" w:cs="Times New Roman"/>
          <w:b/>
          <w:bCs/>
          <w:rtl/>
          <w:lang w:eastAsia="de-DE"/>
        </w:rPr>
        <w:t>עֲמָלֵ֥ק יוֹשֵׁ֖ב בְּאֶ֣רֶץ הַנֶּ֑גֶב</w:t>
      </w:r>
      <w:r w:rsidRPr="0083388E">
        <w:rPr>
          <w:rFonts w:eastAsia="Times New Roman" w:cs="Times New Roman"/>
          <w:rtl/>
          <w:lang w:eastAsia="de-DE"/>
        </w:rPr>
        <w:t xml:space="preserve"> </w:t>
      </w:r>
      <w:r w:rsidRPr="0083388E">
        <w:rPr>
          <w:rFonts w:eastAsia="Times New Roman" w:cs="Times New Roman"/>
          <w:lang w:eastAsia="de-DE"/>
        </w:rPr>
        <w:t xml:space="preserve">(Amalek wohnt im Land des Negev) mit </w:t>
      </w:r>
      <w:r w:rsidRPr="0083388E">
        <w:rPr>
          <w:rFonts w:eastAsia="Times New Roman" w:cs="Times New Roman"/>
          <w:b/>
          <w:bCs/>
          <w:rtl/>
          <w:lang w:eastAsia="de-DE"/>
        </w:rPr>
        <w:t>עֲמָלֵק</w:t>
      </w:r>
      <w:r w:rsidRPr="0083388E">
        <w:rPr>
          <w:rFonts w:eastAsia="Times New Roman" w:cs="Times New Roman"/>
          <w:rtl/>
          <w:lang w:eastAsia="de-DE"/>
        </w:rPr>
        <w:t xml:space="preserve"> </w:t>
      </w:r>
      <w:r w:rsidRPr="0083388E">
        <w:rPr>
          <w:rFonts w:eastAsia="Times New Roman" w:cs="Times New Roman"/>
          <w:lang w:eastAsia="de-DE"/>
        </w:rPr>
        <w:t xml:space="preserve">(Amalek) als Israels Erzfeind seit Exodus 17 und </w:t>
      </w:r>
      <w:r w:rsidRPr="0083388E">
        <w:rPr>
          <w:rFonts w:eastAsia="Times New Roman" w:cs="Times New Roman"/>
          <w:b/>
          <w:bCs/>
          <w:rtl/>
          <w:lang w:eastAsia="de-DE"/>
        </w:rPr>
        <w:t>בְּאֶרֶץ הַנֶּגֶב</w:t>
      </w:r>
      <w:r w:rsidRPr="0083388E">
        <w:rPr>
          <w:rFonts w:eastAsia="Times New Roman" w:cs="Times New Roman"/>
          <w:rtl/>
          <w:lang w:eastAsia="de-DE"/>
        </w:rPr>
        <w:t xml:space="preserve"> </w:t>
      </w:r>
      <w:r w:rsidRPr="0083388E">
        <w:rPr>
          <w:rFonts w:eastAsia="Times New Roman" w:cs="Times New Roman"/>
          <w:lang w:eastAsia="de-DE"/>
        </w:rPr>
        <w:t>(im Land des Negev) im Süden.</w:t>
      </w:r>
    </w:p>
    <w:p w14:paraId="2D2262AA"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Bergvölker </w:t>
      </w:r>
      <w:r w:rsidRPr="0083388E">
        <w:rPr>
          <w:rFonts w:eastAsia="Times New Roman" w:cs="Times New Roman"/>
          <w:b/>
          <w:bCs/>
          <w:rtl/>
          <w:lang w:eastAsia="de-DE"/>
        </w:rPr>
        <w:t>וְ֠הַֽחִתִּי וְהַיְבוּסִ֤י וְהָֽאֱמֹרִי֙ יוֹשֵׁ֣ב בָּהָ֔ר</w:t>
      </w:r>
      <w:r w:rsidRPr="0083388E">
        <w:rPr>
          <w:rFonts w:eastAsia="Times New Roman" w:cs="Times New Roman"/>
          <w:rtl/>
          <w:lang w:eastAsia="de-DE"/>
        </w:rPr>
        <w:t xml:space="preserve"> </w:t>
      </w:r>
      <w:r w:rsidRPr="0083388E">
        <w:rPr>
          <w:rFonts w:eastAsia="Times New Roman" w:cs="Times New Roman"/>
          <w:lang w:eastAsia="de-DE"/>
        </w:rPr>
        <w:t xml:space="preserve">(und der Hethiter und der Jebusiter und der Amoriter wohnen auf dem Gebirge) mit der dreifachen Völkernennung </w:t>
      </w:r>
      <w:r w:rsidRPr="0083388E">
        <w:rPr>
          <w:rFonts w:eastAsia="Times New Roman" w:cs="Times New Roman"/>
          <w:b/>
          <w:bCs/>
          <w:rtl/>
          <w:lang w:eastAsia="de-DE"/>
        </w:rPr>
        <w:t>הַחִתִּי וְהַיְבוּסִי וְהָאֱמֹרִי</w:t>
      </w:r>
      <w:r w:rsidRPr="0083388E">
        <w:rPr>
          <w:rFonts w:eastAsia="Times New Roman" w:cs="Times New Roman"/>
          <w:rtl/>
          <w:lang w:eastAsia="de-DE"/>
        </w:rPr>
        <w:t xml:space="preserve"> </w:t>
      </w:r>
      <w:r w:rsidRPr="0083388E">
        <w:rPr>
          <w:rFonts w:eastAsia="Times New Roman" w:cs="Times New Roman"/>
          <w:lang w:eastAsia="de-DE"/>
        </w:rPr>
        <w:t xml:space="preserve">und </w:t>
      </w:r>
      <w:r w:rsidRPr="0083388E">
        <w:rPr>
          <w:rFonts w:eastAsia="Times New Roman" w:cs="Times New Roman"/>
          <w:b/>
          <w:bCs/>
          <w:rtl/>
          <w:lang w:eastAsia="de-DE"/>
        </w:rPr>
        <w:t>בָּהָר</w:t>
      </w:r>
      <w:r w:rsidRPr="0083388E">
        <w:rPr>
          <w:rFonts w:eastAsia="Times New Roman" w:cs="Times New Roman"/>
          <w:rtl/>
          <w:lang w:eastAsia="de-DE"/>
        </w:rPr>
        <w:t xml:space="preserve"> </w:t>
      </w:r>
      <w:r w:rsidRPr="0083388E">
        <w:rPr>
          <w:rFonts w:eastAsia="Times New Roman" w:cs="Times New Roman"/>
          <w:lang w:eastAsia="de-DE"/>
        </w:rPr>
        <w:t>(auf dem Gebirge) zeigt die zentrale Bergregion.</w:t>
      </w:r>
    </w:p>
    <w:p w14:paraId="1B2FE59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Küsten- und Flussvölker </w:t>
      </w:r>
      <w:r w:rsidRPr="0083388E">
        <w:rPr>
          <w:rFonts w:eastAsia="Times New Roman" w:cs="Times New Roman"/>
          <w:b/>
          <w:bCs/>
          <w:rtl/>
          <w:lang w:eastAsia="de-DE"/>
        </w:rPr>
        <w:t>וְהַֽכְּנַעֲנִי֙ יֹשֵׁ֣ב עַל־הַיָּ֔ם וְעַ֖ל יַ֥ד הַיַּרְדֵּֽן</w:t>
      </w:r>
      <w:r w:rsidRPr="0083388E">
        <w:rPr>
          <w:rFonts w:eastAsia="Times New Roman" w:cs="Times New Roman"/>
          <w:rtl/>
          <w:lang w:eastAsia="de-DE"/>
        </w:rPr>
        <w:t xml:space="preserve"> </w:t>
      </w:r>
      <w:r w:rsidRPr="0083388E">
        <w:rPr>
          <w:rFonts w:eastAsia="Times New Roman" w:cs="Times New Roman"/>
          <w:lang w:eastAsia="de-DE"/>
        </w:rPr>
        <w:t xml:space="preserve">(und der Kanaaniter wohnt am Meer und an der Seite des Jordan) mit </w:t>
      </w:r>
      <w:r w:rsidRPr="0083388E">
        <w:rPr>
          <w:rFonts w:eastAsia="Times New Roman" w:cs="Times New Roman"/>
          <w:b/>
          <w:bCs/>
          <w:rtl/>
          <w:lang w:eastAsia="de-DE"/>
        </w:rPr>
        <w:t>עַל־הַיָּם</w:t>
      </w:r>
      <w:r w:rsidRPr="0083388E">
        <w:rPr>
          <w:rFonts w:eastAsia="Times New Roman" w:cs="Times New Roman"/>
          <w:rtl/>
          <w:lang w:eastAsia="de-DE"/>
        </w:rPr>
        <w:t xml:space="preserve"> </w:t>
      </w:r>
      <w:r w:rsidRPr="0083388E">
        <w:rPr>
          <w:rFonts w:eastAsia="Times New Roman" w:cs="Times New Roman"/>
          <w:lang w:eastAsia="de-DE"/>
        </w:rPr>
        <w:t xml:space="preserve">(am Meer) für die Mittelmeerküste und </w:t>
      </w:r>
      <w:r w:rsidRPr="0083388E">
        <w:rPr>
          <w:rFonts w:eastAsia="Times New Roman" w:cs="Times New Roman"/>
          <w:b/>
          <w:bCs/>
          <w:rtl/>
          <w:lang w:eastAsia="de-DE"/>
        </w:rPr>
        <w:t>עַל יַד הַיַּרְדֵּן</w:t>
      </w:r>
      <w:r w:rsidRPr="0083388E">
        <w:rPr>
          <w:rFonts w:eastAsia="Times New Roman" w:cs="Times New Roman"/>
          <w:rtl/>
          <w:lang w:eastAsia="de-DE"/>
        </w:rPr>
        <w:t xml:space="preserve"> </w:t>
      </w:r>
      <w:r w:rsidRPr="0083388E">
        <w:rPr>
          <w:rFonts w:eastAsia="Times New Roman" w:cs="Times New Roman"/>
          <w:lang w:eastAsia="de-DE"/>
        </w:rPr>
        <w:t>(an der Seite des Jordan) für das Jordantal zeigt die strategische Kontrolle aller wichtigen Regionen.</w:t>
      </w:r>
    </w:p>
    <w:p w14:paraId="1787461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lastRenderedPageBreak/>
        <w:t>Die LXX</w:t>
      </w:r>
      <w:r w:rsidRPr="0083388E">
        <w:rPr>
          <w:rFonts w:eastAsia="Times New Roman" w:cs="Times New Roman"/>
          <w:lang w:eastAsia="de-DE"/>
        </w:rPr>
        <w:t xml:space="preserve"> transliteriert die Völkernamen als Αμαληκ, Χετταῖος, Ιεβουσαῖος, Αμορραῖος, Χαναναῖος und übersetzt </w:t>
      </w:r>
      <w:r w:rsidRPr="0083388E">
        <w:rPr>
          <w:rFonts w:eastAsia="Times New Roman" w:cs="Times New Roman"/>
          <w:b/>
          <w:bCs/>
          <w:rtl/>
          <w:lang w:eastAsia="de-DE"/>
        </w:rPr>
        <w:t>עַל־הַיָּם</w:t>
      </w:r>
      <w:r w:rsidRPr="0083388E">
        <w:rPr>
          <w:rFonts w:eastAsia="Times New Roman" w:cs="Times New Roman"/>
          <w:rtl/>
          <w:lang w:eastAsia="de-DE"/>
        </w:rPr>
        <w:t xml:space="preserve"> </w:t>
      </w:r>
      <w:r w:rsidRPr="0083388E">
        <w:rPr>
          <w:rFonts w:eastAsia="Times New Roman" w:cs="Times New Roman"/>
          <w:lang w:eastAsia="de-DE"/>
        </w:rPr>
        <w:t xml:space="preserve">mit παρὰ τὴν θάλασσαν (am Meer) und </w:t>
      </w:r>
      <w:r w:rsidRPr="0083388E">
        <w:rPr>
          <w:rFonts w:eastAsia="Times New Roman" w:cs="Times New Roman"/>
          <w:b/>
          <w:bCs/>
          <w:rtl/>
          <w:lang w:eastAsia="de-DE"/>
        </w:rPr>
        <w:t>יַד הַיַּרְדֵּן</w:t>
      </w:r>
      <w:r w:rsidRPr="0083388E">
        <w:rPr>
          <w:rFonts w:eastAsia="Times New Roman" w:cs="Times New Roman"/>
          <w:rtl/>
          <w:lang w:eastAsia="de-DE"/>
        </w:rPr>
        <w:t xml:space="preserve"> </w:t>
      </w:r>
      <w:r w:rsidRPr="0083388E">
        <w:rPr>
          <w:rFonts w:eastAsia="Times New Roman" w:cs="Times New Roman"/>
          <w:lang w:eastAsia="de-DE"/>
        </w:rPr>
        <w:t>mit τὸν Ιορδάνην (den Jordan).</w:t>
      </w:r>
    </w:p>
    <w:p w14:paraId="3B98CCB4"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systematische geografische Völkerverteilung mit strategischer Gebietsbeherrschung.</w:t>
      </w:r>
    </w:p>
    <w:p w14:paraId="6FF1E1E4"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zeigt die vollständige Besetzung des verheißenen Landes durch mächtige, etablierte Völker und verstärkt die militärischen Bedenken der Kundschafter.</w:t>
      </w:r>
    </w:p>
    <w:p w14:paraId="7637001C"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13,30</w:t>
      </w:r>
    </w:p>
    <w:p w14:paraId="370C323A"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וַיַּ֧הַס כָּלֵ֛ב אֶת־הָעָ֖ם אֶל־מֹשֶׁ֑ה וַיֹּ֗אמֶר עָלֹ֤ה נַעֲלֶה֙ וְיָרַ֣שְׁנוּ אֹתָ֔הּ כִּֽי־יָכ֥וֹל נוּכַ֖ל לָֽהּ׃</w:t>
      </w:r>
    </w:p>
    <w:p w14:paraId="69EF9EE1"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Und Kalev beschwichtigte das Volk gegen Mosche und sprach: Lasst uns doch hinaufziehen und es in Besitz nehmen, denn wir werden es gewiss überwältigen.</w:t>
      </w:r>
    </w:p>
    <w:p w14:paraId="28AF0657"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38A12ECF">
          <v:rect id="_x0000_i1449" style="width:0;height:1.5pt" o:hralign="center" o:hrstd="t" o:hr="t" fillcolor="#a0a0a0" stroked="f"/>
        </w:pict>
      </w:r>
    </w:p>
    <w:p w14:paraId="5D9300F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Das Verb </w:t>
      </w:r>
      <w:r w:rsidRPr="0083388E">
        <w:rPr>
          <w:rFonts w:eastAsia="Times New Roman" w:cs="Times New Roman"/>
          <w:b/>
          <w:bCs/>
          <w:rtl/>
          <w:lang w:eastAsia="de-DE"/>
        </w:rPr>
        <w:t>וַיַּ֧הַס כָּלֵ֛ב אֶת־הָעָ֖ם אֶל־מֹשֶׁ֑ה</w:t>
      </w:r>
      <w:r w:rsidRPr="0083388E">
        <w:rPr>
          <w:rFonts w:eastAsia="Times New Roman" w:cs="Times New Roman"/>
          <w:rtl/>
          <w:lang w:eastAsia="de-DE"/>
        </w:rPr>
        <w:t xml:space="preserve"> </w:t>
      </w:r>
      <w:r w:rsidRPr="0083388E">
        <w:rPr>
          <w:rFonts w:eastAsia="Times New Roman" w:cs="Times New Roman"/>
          <w:lang w:eastAsia="de-DE"/>
        </w:rPr>
        <w:t xml:space="preserve">(und Kaleb beschwichtigte das Volk vor Mose) mit </w:t>
      </w:r>
      <w:r w:rsidRPr="0083388E">
        <w:rPr>
          <w:rFonts w:eastAsia="Times New Roman" w:cs="Times New Roman"/>
          <w:b/>
          <w:bCs/>
          <w:rtl/>
          <w:lang w:eastAsia="de-DE"/>
        </w:rPr>
        <w:t>יַּהַס</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הסה</w:t>
      </w:r>
      <w:r w:rsidRPr="0083388E">
        <w:rPr>
          <w:rFonts w:eastAsia="Times New Roman" w:cs="Times New Roman"/>
          <w:rtl/>
          <w:lang w:eastAsia="de-DE"/>
        </w:rPr>
        <w:t xml:space="preserve"> </w:t>
      </w:r>
      <w:r w:rsidRPr="0083388E">
        <w:rPr>
          <w:rFonts w:eastAsia="Times New Roman" w:cs="Times New Roman"/>
          <w:lang w:eastAsia="de-DE"/>
        </w:rPr>
        <w:t xml:space="preserve">(zum Schweigen bringen/beschwichtigen) im Hiph'il-Imperfekt 3. maskulin Singular zeigt Kalebs energische Intervention gegen die aufkommende Panik. </w:t>
      </w:r>
      <w:r w:rsidRPr="0083388E">
        <w:rPr>
          <w:rFonts w:eastAsia="Times New Roman" w:cs="Times New Roman"/>
          <w:b/>
          <w:bCs/>
          <w:rtl/>
          <w:lang w:eastAsia="de-DE"/>
        </w:rPr>
        <w:t>אֶל־מֹשֶׁה</w:t>
      </w:r>
      <w:r w:rsidRPr="0083388E">
        <w:rPr>
          <w:rFonts w:eastAsia="Times New Roman" w:cs="Times New Roman"/>
          <w:rtl/>
          <w:lang w:eastAsia="de-DE"/>
        </w:rPr>
        <w:t xml:space="preserve"> </w:t>
      </w:r>
      <w:r w:rsidRPr="0083388E">
        <w:rPr>
          <w:rFonts w:eastAsia="Times New Roman" w:cs="Times New Roman"/>
          <w:lang w:eastAsia="de-DE"/>
        </w:rPr>
        <w:t>(vor Mose) zeigt den respektvollen Kontext der Meinungsäußerung.</w:t>
      </w:r>
    </w:p>
    <w:p w14:paraId="6B98B089"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mutige Ermutigung </w:t>
      </w:r>
      <w:r w:rsidRPr="0083388E">
        <w:rPr>
          <w:rFonts w:eastAsia="Times New Roman" w:cs="Times New Roman"/>
          <w:b/>
          <w:bCs/>
          <w:rtl/>
          <w:lang w:eastAsia="de-DE"/>
        </w:rPr>
        <w:t>עָלֹ֤ה נַעֲלֶה֙ וְיָרַ֣שְׁנוּ אֹתָ֔הּ</w:t>
      </w:r>
      <w:r w:rsidRPr="0083388E">
        <w:rPr>
          <w:rFonts w:eastAsia="Times New Roman" w:cs="Times New Roman"/>
          <w:rtl/>
          <w:lang w:eastAsia="de-DE"/>
        </w:rPr>
        <w:t xml:space="preserve"> </w:t>
      </w:r>
      <w:r w:rsidRPr="0083388E">
        <w:rPr>
          <w:rFonts w:eastAsia="Times New Roman" w:cs="Times New Roman"/>
          <w:lang w:eastAsia="de-DE"/>
        </w:rPr>
        <w:t xml:space="preserve">(lasst uns doch hinaufziehen und es in Besitz nehmen) mit </w:t>
      </w:r>
      <w:r w:rsidRPr="0083388E">
        <w:rPr>
          <w:rFonts w:eastAsia="Times New Roman" w:cs="Times New Roman"/>
          <w:b/>
          <w:bCs/>
          <w:rtl/>
          <w:lang w:eastAsia="de-DE"/>
        </w:rPr>
        <w:t>עָלֹה נַעֲלֶה</w:t>
      </w:r>
      <w:r w:rsidRPr="0083388E">
        <w:rPr>
          <w:rFonts w:eastAsia="Times New Roman" w:cs="Times New Roman"/>
          <w:rtl/>
          <w:lang w:eastAsia="de-DE"/>
        </w:rPr>
        <w:t xml:space="preserve"> </w:t>
      </w:r>
      <w:r w:rsidRPr="0083388E">
        <w:rPr>
          <w:rFonts w:eastAsia="Times New Roman" w:cs="Times New Roman"/>
          <w:lang w:eastAsia="de-DE"/>
        </w:rPr>
        <w:t xml:space="preserve">als absoluter Infinitiv mit finitem Verb zur Verstärkung von </w:t>
      </w:r>
      <w:r w:rsidRPr="0083388E">
        <w:rPr>
          <w:rFonts w:eastAsia="Times New Roman" w:cs="Times New Roman"/>
          <w:b/>
          <w:bCs/>
          <w:rtl/>
          <w:lang w:eastAsia="de-DE"/>
        </w:rPr>
        <w:t>עלה</w:t>
      </w:r>
      <w:r w:rsidRPr="0083388E">
        <w:rPr>
          <w:rFonts w:eastAsia="Times New Roman" w:cs="Times New Roman"/>
          <w:rtl/>
          <w:lang w:eastAsia="de-DE"/>
        </w:rPr>
        <w:t xml:space="preserve"> </w:t>
      </w:r>
      <w:r w:rsidRPr="0083388E">
        <w:rPr>
          <w:rFonts w:eastAsia="Times New Roman" w:cs="Times New Roman"/>
          <w:lang w:eastAsia="de-DE"/>
        </w:rPr>
        <w:t xml:space="preserve">(hinaufsteigen) und </w:t>
      </w:r>
      <w:r w:rsidRPr="0083388E">
        <w:rPr>
          <w:rFonts w:eastAsia="Times New Roman" w:cs="Times New Roman"/>
          <w:b/>
          <w:bCs/>
          <w:rtl/>
          <w:lang w:eastAsia="de-DE"/>
        </w:rPr>
        <w:t>יָרַשְׁנוּ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ירש</w:t>
      </w:r>
      <w:r w:rsidRPr="0083388E">
        <w:rPr>
          <w:rFonts w:eastAsia="Times New Roman" w:cs="Times New Roman"/>
          <w:rtl/>
          <w:lang w:eastAsia="de-DE"/>
        </w:rPr>
        <w:t xml:space="preserve"> </w:t>
      </w:r>
      <w:r w:rsidRPr="0083388E">
        <w:rPr>
          <w:rFonts w:eastAsia="Times New Roman" w:cs="Times New Roman"/>
          <w:lang w:eastAsia="de-DE"/>
        </w:rPr>
        <w:t>(in Besitz nehmen/erben) im Qal-Imperfekt 1. Person Plural zeigt Kalebs entschlossene Haltung.</w:t>
      </w:r>
    </w:p>
    <w:p w14:paraId="5BB9696F"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Vertrauensbekundung </w:t>
      </w:r>
      <w:r w:rsidRPr="0083388E">
        <w:rPr>
          <w:rFonts w:eastAsia="Times New Roman" w:cs="Times New Roman"/>
          <w:b/>
          <w:bCs/>
          <w:rtl/>
          <w:lang w:eastAsia="de-DE"/>
        </w:rPr>
        <w:t>כִּֽי־יָכ֥וֹל נוּכַ֖ל לָֽהּ</w:t>
      </w:r>
      <w:r w:rsidRPr="0083388E">
        <w:rPr>
          <w:rFonts w:eastAsia="Times New Roman" w:cs="Times New Roman"/>
          <w:rtl/>
          <w:lang w:eastAsia="de-DE"/>
        </w:rPr>
        <w:t xml:space="preserve"> </w:t>
      </w:r>
      <w:r w:rsidRPr="0083388E">
        <w:rPr>
          <w:rFonts w:eastAsia="Times New Roman" w:cs="Times New Roman"/>
          <w:lang w:eastAsia="de-DE"/>
        </w:rPr>
        <w:t xml:space="preserve">(denn wir werden es gewiss überwältigen) mit </w:t>
      </w:r>
      <w:r w:rsidRPr="0083388E">
        <w:rPr>
          <w:rFonts w:eastAsia="Times New Roman" w:cs="Times New Roman"/>
          <w:b/>
          <w:bCs/>
          <w:rtl/>
          <w:lang w:eastAsia="de-DE"/>
        </w:rPr>
        <w:t>יָכוֹל נוּכַל</w:t>
      </w:r>
      <w:r w:rsidRPr="0083388E">
        <w:rPr>
          <w:rFonts w:eastAsia="Times New Roman" w:cs="Times New Roman"/>
          <w:rtl/>
          <w:lang w:eastAsia="de-DE"/>
        </w:rPr>
        <w:t xml:space="preserve"> </w:t>
      </w:r>
      <w:r w:rsidRPr="0083388E">
        <w:rPr>
          <w:rFonts w:eastAsia="Times New Roman" w:cs="Times New Roman"/>
          <w:lang w:eastAsia="de-DE"/>
        </w:rPr>
        <w:t xml:space="preserve">als absoluter Infinitiv mit finitem Verb zur Verstärkung von </w:t>
      </w:r>
      <w:r w:rsidRPr="0083388E">
        <w:rPr>
          <w:rFonts w:eastAsia="Times New Roman" w:cs="Times New Roman"/>
          <w:b/>
          <w:bCs/>
          <w:rtl/>
          <w:lang w:eastAsia="de-DE"/>
        </w:rPr>
        <w:t>יכל</w:t>
      </w:r>
      <w:r w:rsidRPr="0083388E">
        <w:rPr>
          <w:rFonts w:eastAsia="Times New Roman" w:cs="Times New Roman"/>
          <w:rtl/>
          <w:lang w:eastAsia="de-DE"/>
        </w:rPr>
        <w:t xml:space="preserve"> </w:t>
      </w:r>
      <w:r w:rsidRPr="0083388E">
        <w:rPr>
          <w:rFonts w:eastAsia="Times New Roman" w:cs="Times New Roman"/>
          <w:lang w:eastAsia="de-DE"/>
        </w:rPr>
        <w:t xml:space="preserve">(können/vermögen) und </w:t>
      </w:r>
      <w:r w:rsidRPr="0083388E">
        <w:rPr>
          <w:rFonts w:eastAsia="Times New Roman" w:cs="Times New Roman"/>
          <w:b/>
          <w:bCs/>
          <w:rtl/>
          <w:lang w:eastAsia="de-DE"/>
        </w:rPr>
        <w:t>לָהּ</w:t>
      </w:r>
      <w:r w:rsidRPr="0083388E">
        <w:rPr>
          <w:rFonts w:eastAsia="Times New Roman" w:cs="Times New Roman"/>
          <w:rtl/>
          <w:lang w:eastAsia="de-DE"/>
        </w:rPr>
        <w:t xml:space="preserve"> </w:t>
      </w:r>
      <w:r w:rsidRPr="0083388E">
        <w:rPr>
          <w:rFonts w:eastAsia="Times New Roman" w:cs="Times New Roman"/>
          <w:lang w:eastAsia="de-DE"/>
        </w:rPr>
        <w:t>(für es/gegen es) drückt völliges Vertrauen in den göttlichen Beistand aus.</w:t>
      </w:r>
    </w:p>
    <w:p w14:paraId="730EB64A" w14:textId="162401A5"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Die LXX</w:t>
      </w:r>
      <w:r w:rsidRPr="0083388E">
        <w:rPr>
          <w:rFonts w:eastAsia="Times New Roman" w:cs="Times New Roman"/>
          <w:lang w:eastAsia="de-DE"/>
        </w:rPr>
        <w:t xml:space="preserve"> </w:t>
      </w:r>
      <w:r w:rsidR="00184967">
        <w:rPr>
          <w:rStyle w:val="Fett"/>
        </w:rPr>
        <w:t>Vers 30 (MT) / Vers 31 (LXX):</w:t>
      </w:r>
      <w:r w:rsidR="00184967">
        <w:t xml:space="preserve"> </w:t>
      </w:r>
      <w:r w:rsidR="00184967">
        <w:rPr>
          <w:rStyle w:val="Fett"/>
        </w:rPr>
        <w:t>Die LXX</w:t>
      </w:r>
      <w:r w:rsidR="00184967">
        <w:t xml:space="preserve"> übersetzt Kalebs Ermutigung anders: Das hebräische „</w:t>
      </w:r>
      <w:r w:rsidR="00184967">
        <w:rPr>
          <w:rtl/>
        </w:rPr>
        <w:t>עָלֹה נַעֲלֶה</w:t>
      </w:r>
      <w:r w:rsidR="00184967">
        <w:t>" (hinauf, lasst uns hinaufziehen) wird zu „ἀναβάντες ἀναβησόμεθα" (hinaufsteigend werden wir hinaufsteigen), und „</w:t>
      </w:r>
      <w:r w:rsidR="00184967">
        <w:rPr>
          <w:rtl/>
        </w:rPr>
        <w:t>כִּי־יָכוֹל נוּכַל לָהּ</w:t>
      </w:r>
      <w:r w:rsidR="00184967">
        <w:t>" (denn wir können sie gewiss einnehmen) wird zu „ὅτι δυνατοὶ δυνησόμεθα" (denn wir werden stark sein/können).</w:t>
      </w:r>
    </w:p>
    <w:p w14:paraId="16743576"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energische Intervention, mutige Ermutigung mit Verstärkung und Vertrauensbekundung mit Verstärkung.</w:t>
      </w:r>
    </w:p>
    <w:p w14:paraId="0333BE0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zeigt Kalebs mutiges Eingreifen gegen die sich entwickelnde Defätismus und sein unerschütterliches Gottvertrauen.</w:t>
      </w:r>
    </w:p>
    <w:p w14:paraId="730D8A99"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13,31</w:t>
      </w:r>
    </w:p>
    <w:p w14:paraId="698B060B"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וְהָ֨אֲנָשִׁ֜ים אֲשֶׁר־עָל֤וּ עִמּוֹ֙ אָֽמְר֔וּ לֹ֥א נוּכַ֖ל לַעֲל֣וֹת אֶל־הָעָ֑ם כִּֽי־חָזָ֥ק ה֖וּא מִמֶּֽנּוּ׃</w:t>
      </w:r>
    </w:p>
    <w:p w14:paraId="1573CB82"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lastRenderedPageBreak/>
        <w:t>Deutsch:</w:t>
      </w:r>
      <w:r w:rsidRPr="0083388E">
        <w:rPr>
          <w:rFonts w:eastAsia="Times New Roman" w:cs="Times New Roman"/>
          <w:lang w:eastAsia="de-DE"/>
        </w:rPr>
        <w:t xml:space="preserve"> Aber die Männer, die mit ihm hinaufgezogen waren, sprachen: Wir können nicht gegen das Volk hinaufziehen, denn es ist stärker als wir.</w:t>
      </w:r>
    </w:p>
    <w:p w14:paraId="16530934"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1A8D8D66">
          <v:rect id="_x0000_i1450" style="width:0;height:1.5pt" o:hralign="center" o:hrstd="t" o:hr="t" fillcolor="#a0a0a0" stroked="f"/>
        </w:pict>
      </w:r>
    </w:p>
    <w:p w14:paraId="0A94D49A"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Das adversative </w:t>
      </w:r>
      <w:r w:rsidRPr="0083388E">
        <w:rPr>
          <w:rFonts w:eastAsia="Times New Roman" w:cs="Times New Roman"/>
          <w:b/>
          <w:bCs/>
          <w:rtl/>
          <w:lang w:eastAsia="de-DE"/>
        </w:rPr>
        <w:t>וְהָ֨אֲנָשִׁ֜ים אֲשֶׁר־עָל֤וּ עִמּוֹ֙</w:t>
      </w:r>
      <w:r w:rsidRPr="0083388E">
        <w:rPr>
          <w:rFonts w:eastAsia="Times New Roman" w:cs="Times New Roman"/>
          <w:rtl/>
          <w:lang w:eastAsia="de-DE"/>
        </w:rPr>
        <w:t xml:space="preserve"> </w:t>
      </w:r>
      <w:r w:rsidRPr="0083388E">
        <w:rPr>
          <w:rFonts w:eastAsia="Times New Roman" w:cs="Times New Roman"/>
          <w:lang w:eastAsia="de-DE"/>
        </w:rPr>
        <w:t xml:space="preserve">(aber die Männer, die mit ihm hinaufgezogen waren) mit </w:t>
      </w:r>
      <w:r w:rsidRPr="0083388E">
        <w:rPr>
          <w:rFonts w:eastAsia="Times New Roman" w:cs="Times New Roman"/>
          <w:b/>
          <w:bCs/>
          <w:rtl/>
          <w:lang w:eastAsia="de-DE"/>
        </w:rPr>
        <w:t>וְ</w:t>
      </w:r>
      <w:r w:rsidRPr="0083388E">
        <w:rPr>
          <w:rFonts w:eastAsia="Times New Roman" w:cs="Times New Roman"/>
          <w:rtl/>
          <w:lang w:eastAsia="de-DE"/>
        </w:rPr>
        <w:t xml:space="preserve"> </w:t>
      </w:r>
      <w:r w:rsidRPr="0083388E">
        <w:rPr>
          <w:rFonts w:eastAsia="Times New Roman" w:cs="Times New Roman"/>
          <w:lang w:eastAsia="de-DE"/>
        </w:rPr>
        <w:t xml:space="preserve">als adversativem "aber" und </w:t>
      </w:r>
      <w:r w:rsidRPr="0083388E">
        <w:rPr>
          <w:rFonts w:eastAsia="Times New Roman" w:cs="Times New Roman"/>
          <w:b/>
          <w:bCs/>
          <w:rtl/>
          <w:lang w:eastAsia="de-DE"/>
        </w:rPr>
        <w:t>אֲשֶׁר־עָלוּ עִמּוֹ</w:t>
      </w:r>
      <w:r w:rsidRPr="0083388E">
        <w:rPr>
          <w:rFonts w:eastAsia="Times New Roman" w:cs="Times New Roman"/>
          <w:rtl/>
          <w:lang w:eastAsia="de-DE"/>
        </w:rPr>
        <w:t xml:space="preserve"> </w:t>
      </w:r>
      <w:r w:rsidRPr="0083388E">
        <w:rPr>
          <w:rFonts w:eastAsia="Times New Roman" w:cs="Times New Roman"/>
          <w:lang w:eastAsia="de-DE"/>
        </w:rPr>
        <w:t>(die mit ihm hinaufgezogen waren) zeigt den Widerspruch der anderen Kundschafter gegen Kaleb.</w:t>
      </w:r>
    </w:p>
    <w:p w14:paraId="0AACE114"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kategorische Weigerung </w:t>
      </w:r>
      <w:r w:rsidRPr="0083388E">
        <w:rPr>
          <w:rFonts w:eastAsia="Times New Roman" w:cs="Times New Roman"/>
          <w:b/>
          <w:bCs/>
          <w:rtl/>
          <w:lang w:eastAsia="de-DE"/>
        </w:rPr>
        <w:t>לֹ֥א נוּכַ֖ל לַעֲל֣וֹת אֶל־הָעָ֑ם</w:t>
      </w:r>
      <w:r w:rsidRPr="0083388E">
        <w:rPr>
          <w:rFonts w:eastAsia="Times New Roman" w:cs="Times New Roman"/>
          <w:rtl/>
          <w:lang w:eastAsia="de-DE"/>
        </w:rPr>
        <w:t xml:space="preserve"> </w:t>
      </w:r>
      <w:r w:rsidRPr="0083388E">
        <w:rPr>
          <w:rFonts w:eastAsia="Times New Roman" w:cs="Times New Roman"/>
          <w:lang w:eastAsia="de-DE"/>
        </w:rPr>
        <w:t xml:space="preserve">(wir können nicht gegen das Volk hinaufziehen) mit </w:t>
      </w:r>
      <w:r w:rsidRPr="0083388E">
        <w:rPr>
          <w:rFonts w:eastAsia="Times New Roman" w:cs="Times New Roman"/>
          <w:b/>
          <w:bCs/>
          <w:rtl/>
          <w:lang w:eastAsia="de-DE"/>
        </w:rPr>
        <w:t>לֹא נוּכַל</w:t>
      </w:r>
      <w:r w:rsidRPr="0083388E">
        <w:rPr>
          <w:rFonts w:eastAsia="Times New Roman" w:cs="Times New Roman"/>
          <w:rtl/>
          <w:lang w:eastAsia="de-DE"/>
        </w:rPr>
        <w:t xml:space="preserve"> </w:t>
      </w:r>
      <w:r w:rsidRPr="0083388E">
        <w:rPr>
          <w:rFonts w:eastAsia="Times New Roman" w:cs="Times New Roman"/>
          <w:lang w:eastAsia="de-DE"/>
        </w:rPr>
        <w:t xml:space="preserve">(wir können nicht) von </w:t>
      </w:r>
      <w:r w:rsidRPr="0083388E">
        <w:rPr>
          <w:rFonts w:eastAsia="Times New Roman" w:cs="Times New Roman"/>
          <w:b/>
          <w:bCs/>
          <w:rtl/>
          <w:lang w:eastAsia="de-DE"/>
        </w:rPr>
        <w:t>יכל</w:t>
      </w:r>
      <w:r w:rsidRPr="0083388E">
        <w:rPr>
          <w:rFonts w:eastAsia="Times New Roman" w:cs="Times New Roman"/>
          <w:rtl/>
          <w:lang w:eastAsia="de-DE"/>
        </w:rPr>
        <w:t xml:space="preserve"> </w:t>
      </w:r>
      <w:r w:rsidRPr="0083388E">
        <w:rPr>
          <w:rFonts w:eastAsia="Times New Roman" w:cs="Times New Roman"/>
          <w:lang w:eastAsia="de-DE"/>
        </w:rPr>
        <w:t xml:space="preserve">(können) in direktem Gegensatz zu Kalebs </w:t>
      </w:r>
      <w:r w:rsidRPr="0083388E">
        <w:rPr>
          <w:rFonts w:eastAsia="Times New Roman" w:cs="Times New Roman"/>
          <w:b/>
          <w:bCs/>
          <w:rtl/>
          <w:lang w:eastAsia="de-DE"/>
        </w:rPr>
        <w:t>יָכוֹל נוּכַל</w:t>
      </w:r>
      <w:r w:rsidRPr="0083388E">
        <w:rPr>
          <w:rFonts w:eastAsia="Times New Roman" w:cs="Times New Roman"/>
          <w:rtl/>
          <w:lang w:eastAsia="de-DE"/>
        </w:rPr>
        <w:t xml:space="preserve"> </w:t>
      </w:r>
      <w:r w:rsidRPr="0083388E">
        <w:rPr>
          <w:rFonts w:eastAsia="Times New Roman" w:cs="Times New Roman"/>
          <w:lang w:eastAsia="de-DE"/>
        </w:rPr>
        <w:t xml:space="preserve">und </w:t>
      </w:r>
      <w:r w:rsidRPr="0083388E">
        <w:rPr>
          <w:rFonts w:eastAsia="Times New Roman" w:cs="Times New Roman"/>
          <w:b/>
          <w:bCs/>
          <w:rtl/>
          <w:lang w:eastAsia="de-DE"/>
        </w:rPr>
        <w:t>לַעֲלוֹת אֶל־הָעָם</w:t>
      </w:r>
      <w:r w:rsidRPr="0083388E">
        <w:rPr>
          <w:rFonts w:eastAsia="Times New Roman" w:cs="Times New Roman"/>
          <w:rtl/>
          <w:lang w:eastAsia="de-DE"/>
        </w:rPr>
        <w:t xml:space="preserve"> </w:t>
      </w:r>
      <w:r w:rsidRPr="0083388E">
        <w:rPr>
          <w:rFonts w:eastAsia="Times New Roman" w:cs="Times New Roman"/>
          <w:lang w:eastAsia="de-DE"/>
        </w:rPr>
        <w:t>(gegen das Volk hinaufzuziehen) zeigt militärische Resignation.</w:t>
      </w:r>
    </w:p>
    <w:p w14:paraId="25437A8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Begründung </w:t>
      </w:r>
      <w:r w:rsidRPr="0083388E">
        <w:rPr>
          <w:rFonts w:eastAsia="Times New Roman" w:cs="Times New Roman"/>
          <w:b/>
          <w:bCs/>
          <w:rtl/>
          <w:lang w:eastAsia="de-DE"/>
        </w:rPr>
        <w:t>כִּֽי־חָזָ֥ק ה֖וּא מִמֶּֽנּוּ</w:t>
      </w:r>
      <w:r w:rsidRPr="0083388E">
        <w:rPr>
          <w:rFonts w:eastAsia="Times New Roman" w:cs="Times New Roman"/>
          <w:rtl/>
          <w:lang w:eastAsia="de-DE"/>
        </w:rPr>
        <w:t xml:space="preserve"> </w:t>
      </w:r>
      <w:r w:rsidRPr="0083388E">
        <w:rPr>
          <w:rFonts w:eastAsia="Times New Roman" w:cs="Times New Roman"/>
          <w:lang w:eastAsia="de-DE"/>
        </w:rPr>
        <w:t xml:space="preserve">(denn es ist stärker als wir) mit </w:t>
      </w:r>
      <w:r w:rsidRPr="0083388E">
        <w:rPr>
          <w:rFonts w:eastAsia="Times New Roman" w:cs="Times New Roman"/>
          <w:b/>
          <w:bCs/>
          <w:rtl/>
          <w:lang w:eastAsia="de-DE"/>
        </w:rPr>
        <w:t>חָזָק</w:t>
      </w:r>
      <w:r w:rsidRPr="0083388E">
        <w:rPr>
          <w:rFonts w:eastAsia="Times New Roman" w:cs="Times New Roman"/>
          <w:rtl/>
          <w:lang w:eastAsia="de-DE"/>
        </w:rPr>
        <w:t xml:space="preserve"> </w:t>
      </w:r>
      <w:r w:rsidRPr="0083388E">
        <w:rPr>
          <w:rFonts w:eastAsia="Times New Roman" w:cs="Times New Roman"/>
          <w:lang w:eastAsia="de-DE"/>
        </w:rPr>
        <w:t xml:space="preserve">(stark) und </w:t>
      </w:r>
      <w:r w:rsidRPr="0083388E">
        <w:rPr>
          <w:rFonts w:eastAsia="Times New Roman" w:cs="Times New Roman"/>
          <w:b/>
          <w:bCs/>
          <w:rtl/>
          <w:lang w:eastAsia="de-DE"/>
        </w:rPr>
        <w:t>מִמֶּנּוּ</w:t>
      </w:r>
      <w:r w:rsidRPr="0083388E">
        <w:rPr>
          <w:rFonts w:eastAsia="Times New Roman" w:cs="Times New Roman"/>
          <w:rtl/>
          <w:lang w:eastAsia="de-DE"/>
        </w:rPr>
        <w:t xml:space="preserve"> </w:t>
      </w:r>
      <w:r w:rsidRPr="0083388E">
        <w:rPr>
          <w:rFonts w:eastAsia="Times New Roman" w:cs="Times New Roman"/>
          <w:lang w:eastAsia="de-DE"/>
        </w:rPr>
        <w:t>(als wir) zeigt den rein menschlichen, militärischen Vergleich ohne Berücksichtigung göttlichen Beistands.</w:t>
      </w:r>
    </w:p>
    <w:p w14:paraId="28C08B13"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Die LXX</w:t>
      </w:r>
      <w:r w:rsidRPr="0083388E">
        <w:rPr>
          <w:rFonts w:eastAsia="Times New Roman" w:cs="Times New Roman"/>
          <w:lang w:eastAsia="de-DE"/>
        </w:rPr>
        <w:t xml:space="preserve"> übersetzt </w:t>
      </w:r>
      <w:r w:rsidRPr="0083388E">
        <w:rPr>
          <w:rFonts w:eastAsia="Times New Roman" w:cs="Times New Roman"/>
          <w:b/>
          <w:bCs/>
          <w:rtl/>
          <w:lang w:eastAsia="de-DE"/>
        </w:rPr>
        <w:t>אֲשֶׁר־עָלוּ עִמּוֹ</w:t>
      </w:r>
      <w:r w:rsidRPr="0083388E">
        <w:rPr>
          <w:rFonts w:eastAsia="Times New Roman" w:cs="Times New Roman"/>
          <w:rtl/>
          <w:lang w:eastAsia="de-DE"/>
        </w:rPr>
        <w:t xml:space="preserve"> </w:t>
      </w:r>
      <w:r w:rsidRPr="0083388E">
        <w:rPr>
          <w:rFonts w:eastAsia="Times New Roman" w:cs="Times New Roman"/>
          <w:lang w:eastAsia="de-DE"/>
        </w:rPr>
        <w:t xml:space="preserve">mit οἱ συναναβάντες μετ' αὐτοῦ (die mit ihm hinaufgegangen waren), </w:t>
      </w:r>
      <w:r w:rsidRPr="0083388E">
        <w:rPr>
          <w:rFonts w:eastAsia="Times New Roman" w:cs="Times New Roman"/>
          <w:b/>
          <w:bCs/>
          <w:rtl/>
          <w:lang w:eastAsia="de-DE"/>
        </w:rPr>
        <w:t>נוּכַל</w:t>
      </w:r>
      <w:r w:rsidRPr="0083388E">
        <w:rPr>
          <w:rFonts w:eastAsia="Times New Roman" w:cs="Times New Roman"/>
          <w:rtl/>
          <w:lang w:eastAsia="de-DE"/>
        </w:rPr>
        <w:t xml:space="preserve"> </w:t>
      </w:r>
      <w:r w:rsidRPr="0083388E">
        <w:rPr>
          <w:rFonts w:eastAsia="Times New Roman" w:cs="Times New Roman"/>
          <w:lang w:eastAsia="de-DE"/>
        </w:rPr>
        <w:t xml:space="preserve">mit δυνησόμεθα (wir werden können) und </w:t>
      </w:r>
      <w:r w:rsidRPr="0083388E">
        <w:rPr>
          <w:rFonts w:eastAsia="Times New Roman" w:cs="Times New Roman"/>
          <w:b/>
          <w:bCs/>
          <w:rtl/>
          <w:lang w:eastAsia="de-DE"/>
        </w:rPr>
        <w:t>מִמֶּנּוּ</w:t>
      </w:r>
      <w:r w:rsidRPr="0083388E">
        <w:rPr>
          <w:rFonts w:eastAsia="Times New Roman" w:cs="Times New Roman"/>
          <w:rtl/>
          <w:lang w:eastAsia="de-DE"/>
        </w:rPr>
        <w:t xml:space="preserve"> </w:t>
      </w:r>
      <w:r w:rsidRPr="0083388E">
        <w:rPr>
          <w:rFonts w:eastAsia="Times New Roman" w:cs="Times New Roman"/>
          <w:lang w:eastAsia="de-DE"/>
        </w:rPr>
        <w:t>mit ἡμῶν (als wir).</w:t>
      </w:r>
    </w:p>
    <w:p w14:paraId="7DA41F4E"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adversative Opposition, kategorische Weigerung und menschlich-militärische Begründung.</w:t>
      </w:r>
    </w:p>
    <w:p w14:paraId="1C51F783" w14:textId="6ABF61A1" w:rsid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zeigt den tragischen Gegensatz zwischen Kalebs Gottvertrauen und der Mehrheit der Kundschafter mit ihrem rein menschlichen Kalkül.</w:t>
      </w:r>
    </w:p>
    <w:p w14:paraId="62501A4F" w14:textId="360E36D8" w:rsidR="00AA1AFC" w:rsidRPr="00AA1AFC" w:rsidRDefault="00AA1AFC" w:rsidP="00F06C27">
      <w:pPr>
        <w:pStyle w:val="berschrift4"/>
        <w:rPr>
          <w:rFonts w:eastAsia="Times New Roman"/>
          <w:lang w:eastAsia="de-DE"/>
        </w:rPr>
      </w:pPr>
      <w:r w:rsidRPr="00AA1AFC">
        <w:rPr>
          <w:rFonts w:eastAsia="Times New Roman"/>
          <w:lang w:eastAsia="de-DE"/>
        </w:rPr>
        <w:t>Exkurs: Die rhetorische Struktur von V. 27-31</w:t>
      </w:r>
    </w:p>
    <w:p w14:paraId="5C5367A6" w14:textId="5A5AD6C2" w:rsidR="00AA1AFC" w:rsidRDefault="00AA1AFC" w:rsidP="00AA1AFC">
      <w:pPr>
        <w:spacing w:before="100" w:beforeAutospacing="1" w:after="100" w:afterAutospacing="1" w:line="240" w:lineRule="auto"/>
        <w:rPr>
          <w:rFonts w:eastAsia="Times New Roman" w:cs="Times New Roman"/>
          <w:b/>
          <w:bCs/>
          <w:lang w:eastAsia="de-DE"/>
        </w:rPr>
      </w:pPr>
      <w:r w:rsidRPr="00AA1AFC">
        <w:rPr>
          <w:rFonts w:eastAsia="Times New Roman" w:cs="Times New Roman"/>
          <w:b/>
          <w:bCs/>
          <w:lang w:eastAsia="de-DE"/>
        </w:rPr>
        <w:t>Die dramatische Spannung:</w:t>
      </w:r>
    </w:p>
    <w:tbl>
      <w:tblPr>
        <w:tblStyle w:val="Tabellenraster"/>
        <w:tblW w:w="4994" w:type="pct"/>
        <w:tblLook w:val="04A0" w:firstRow="1" w:lastRow="0" w:firstColumn="1" w:lastColumn="0" w:noHBand="0" w:noVBand="1"/>
      </w:tblPr>
      <w:tblGrid>
        <w:gridCol w:w="845"/>
        <w:gridCol w:w="1845"/>
        <w:gridCol w:w="4535"/>
        <w:gridCol w:w="1826"/>
      </w:tblGrid>
      <w:tr w:rsidR="00AA1AFC" w14:paraId="00D9AB2D" w14:textId="77777777" w:rsidTr="00AA1AFC">
        <w:tc>
          <w:tcPr>
            <w:tcW w:w="467" w:type="pct"/>
            <w:vAlign w:val="center"/>
          </w:tcPr>
          <w:p w14:paraId="2210E668" w14:textId="6B3812FD"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Vers</w:t>
            </w:r>
          </w:p>
        </w:tc>
        <w:tc>
          <w:tcPr>
            <w:tcW w:w="1019" w:type="pct"/>
            <w:vAlign w:val="center"/>
          </w:tcPr>
          <w:p w14:paraId="7D63D588" w14:textId="613D5EAE"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Sprecher</w:t>
            </w:r>
          </w:p>
        </w:tc>
        <w:tc>
          <w:tcPr>
            <w:tcW w:w="2505" w:type="pct"/>
            <w:vAlign w:val="center"/>
          </w:tcPr>
          <w:p w14:paraId="7A03B39F" w14:textId="0A663346"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Inhalt</w:t>
            </w:r>
          </w:p>
        </w:tc>
        <w:tc>
          <w:tcPr>
            <w:tcW w:w="1009" w:type="pct"/>
            <w:vAlign w:val="center"/>
          </w:tcPr>
          <w:p w14:paraId="7B0EC648" w14:textId="0DC9B3CA"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Ton</w:t>
            </w:r>
          </w:p>
        </w:tc>
      </w:tr>
      <w:tr w:rsidR="00AA1AFC" w14:paraId="5D3F5348" w14:textId="77777777" w:rsidTr="00AA1AFC">
        <w:tc>
          <w:tcPr>
            <w:tcW w:w="467" w:type="pct"/>
            <w:vAlign w:val="center"/>
          </w:tcPr>
          <w:p w14:paraId="398889EE" w14:textId="21F00466"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V. 27</w:t>
            </w:r>
          </w:p>
        </w:tc>
        <w:tc>
          <w:tcPr>
            <w:tcW w:w="1019" w:type="pct"/>
            <w:vAlign w:val="center"/>
          </w:tcPr>
          <w:p w14:paraId="46204C39" w14:textId="0FE58237"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lang w:eastAsia="de-DE"/>
              </w:rPr>
              <w:t>Alle 12</w:t>
            </w:r>
          </w:p>
        </w:tc>
        <w:tc>
          <w:tcPr>
            <w:tcW w:w="2505" w:type="pct"/>
            <w:vAlign w:val="center"/>
          </w:tcPr>
          <w:p w14:paraId="60190710" w14:textId="72C1448E"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Positiv:</w:t>
            </w:r>
            <w:r w:rsidRPr="00AA1AFC">
              <w:rPr>
                <w:rFonts w:eastAsia="Times New Roman" w:cs="Times New Roman"/>
                <w:lang w:eastAsia="de-DE"/>
              </w:rPr>
              <w:t xml:space="preserve"> </w:t>
            </w:r>
            <w:r w:rsidRPr="00AA1AFC">
              <w:rPr>
                <w:rFonts w:eastAsia="Times New Roman" w:cs="Times New Roman"/>
                <w:rtl/>
                <w:lang w:eastAsia="de-DE"/>
              </w:rPr>
              <w:t>זָבַת חָלָב וּדְבַשׁ</w:t>
            </w:r>
            <w:r w:rsidRPr="00AA1AFC">
              <w:rPr>
                <w:rFonts w:eastAsia="Times New Roman" w:cs="Times New Roman"/>
                <w:lang w:eastAsia="de-DE"/>
              </w:rPr>
              <w:t xml:space="preserve"> ("fließend von Milch und Honig")</w:t>
            </w:r>
          </w:p>
        </w:tc>
        <w:tc>
          <w:tcPr>
            <w:tcW w:w="1009" w:type="pct"/>
            <w:vAlign w:val="center"/>
          </w:tcPr>
          <w:p w14:paraId="3B30E148" w14:textId="7B6FEDD9" w:rsidR="00AA1AFC" w:rsidRDefault="00AA1AFC" w:rsidP="00AA1AFC">
            <w:pPr>
              <w:spacing w:before="100" w:beforeAutospacing="1" w:after="100" w:afterAutospacing="1" w:line="240" w:lineRule="auto"/>
              <w:rPr>
                <w:rFonts w:eastAsia="Times New Roman" w:cs="Times New Roman"/>
                <w:lang w:eastAsia="de-DE"/>
              </w:rPr>
            </w:pPr>
            <w:r w:rsidRPr="00AA1AFC">
              <w:rPr>
                <w:rFonts w:ascii="Segoe UI Emoji" w:eastAsia="Times New Roman" w:hAnsi="Segoe UI Emoji" w:cs="Segoe UI Emoji"/>
                <w:lang w:eastAsia="de-DE"/>
              </w:rPr>
              <w:t>✅</w:t>
            </w:r>
            <w:r w:rsidRPr="00AA1AFC">
              <w:rPr>
                <w:rFonts w:eastAsia="Times New Roman" w:cs="Times New Roman"/>
                <w:lang w:eastAsia="de-DE"/>
              </w:rPr>
              <w:t xml:space="preserve"> Bestätigung</w:t>
            </w:r>
          </w:p>
        </w:tc>
      </w:tr>
      <w:tr w:rsidR="00AA1AFC" w14:paraId="277C3134" w14:textId="77777777" w:rsidTr="00AA1AFC">
        <w:tc>
          <w:tcPr>
            <w:tcW w:w="467" w:type="pct"/>
            <w:vAlign w:val="center"/>
          </w:tcPr>
          <w:p w14:paraId="616ADFF9" w14:textId="3402B942"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V. 28</w:t>
            </w:r>
          </w:p>
        </w:tc>
        <w:tc>
          <w:tcPr>
            <w:tcW w:w="1019" w:type="pct"/>
            <w:vAlign w:val="center"/>
          </w:tcPr>
          <w:p w14:paraId="5C1F4619" w14:textId="6789E8FF"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lang w:eastAsia="de-DE"/>
              </w:rPr>
              <w:t>10 Kundschafter</w:t>
            </w:r>
          </w:p>
        </w:tc>
        <w:tc>
          <w:tcPr>
            <w:tcW w:w="2505" w:type="pct"/>
            <w:vAlign w:val="center"/>
          </w:tcPr>
          <w:p w14:paraId="36D1037A" w14:textId="30BC7E8A"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ABER:</w:t>
            </w:r>
            <w:r w:rsidRPr="00AA1AFC">
              <w:rPr>
                <w:rFonts w:eastAsia="Times New Roman" w:cs="Times New Roman"/>
                <w:lang w:eastAsia="de-DE"/>
              </w:rPr>
              <w:t xml:space="preserve"> </w:t>
            </w:r>
            <w:r w:rsidRPr="00AA1AFC">
              <w:rPr>
                <w:rFonts w:eastAsia="Times New Roman" w:cs="Times New Roman"/>
                <w:rtl/>
                <w:lang w:eastAsia="de-DE"/>
              </w:rPr>
              <w:t>אֶפֶס כִּי</w:t>
            </w:r>
            <w:r w:rsidRPr="00AA1AFC">
              <w:rPr>
                <w:rFonts w:eastAsia="Times New Roman" w:cs="Times New Roman"/>
                <w:lang w:eastAsia="de-DE"/>
              </w:rPr>
              <w:t xml:space="preserve"> ("nur dass...") → </w:t>
            </w:r>
            <w:r w:rsidRPr="00AA1AFC">
              <w:rPr>
                <w:rFonts w:eastAsia="Times New Roman" w:cs="Times New Roman"/>
                <w:b/>
                <w:bCs/>
                <w:lang w:eastAsia="de-DE"/>
              </w:rPr>
              <w:t>Probleme</w:t>
            </w:r>
            <w:r w:rsidRPr="00AA1AFC">
              <w:rPr>
                <w:rFonts w:eastAsia="Times New Roman" w:cs="Times New Roman"/>
                <w:lang w:eastAsia="de-DE"/>
              </w:rPr>
              <w:t>!</w:t>
            </w:r>
          </w:p>
        </w:tc>
        <w:tc>
          <w:tcPr>
            <w:tcW w:w="1009" w:type="pct"/>
            <w:vAlign w:val="center"/>
          </w:tcPr>
          <w:p w14:paraId="0B7F235C" w14:textId="4A4F504B" w:rsidR="00AA1AFC" w:rsidRDefault="00AA1AFC" w:rsidP="00AA1AFC">
            <w:pPr>
              <w:spacing w:before="100" w:beforeAutospacing="1" w:after="100" w:afterAutospacing="1" w:line="240" w:lineRule="auto"/>
              <w:rPr>
                <w:rFonts w:eastAsia="Times New Roman" w:cs="Times New Roman"/>
                <w:lang w:eastAsia="de-DE"/>
              </w:rPr>
            </w:pPr>
            <w:r w:rsidRPr="00AA1AFC">
              <w:rPr>
                <w:rFonts w:ascii="Segoe UI Emoji" w:eastAsia="Times New Roman" w:hAnsi="Segoe UI Emoji" w:cs="Segoe UI Emoji"/>
                <w:lang w:eastAsia="de-DE"/>
              </w:rPr>
              <w:t>⚠️</w:t>
            </w:r>
            <w:r w:rsidRPr="00AA1AFC">
              <w:rPr>
                <w:rFonts w:eastAsia="Times New Roman" w:cs="Times New Roman"/>
                <w:lang w:eastAsia="de-DE"/>
              </w:rPr>
              <w:t xml:space="preserve"> Adversativ</w:t>
            </w:r>
          </w:p>
        </w:tc>
      </w:tr>
      <w:tr w:rsidR="00AA1AFC" w14:paraId="1F67804E" w14:textId="77777777" w:rsidTr="00AA1AFC">
        <w:tc>
          <w:tcPr>
            <w:tcW w:w="467" w:type="pct"/>
            <w:vAlign w:val="center"/>
          </w:tcPr>
          <w:p w14:paraId="627854E1" w14:textId="5713A4B6"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V. 29</w:t>
            </w:r>
          </w:p>
        </w:tc>
        <w:tc>
          <w:tcPr>
            <w:tcW w:w="1019" w:type="pct"/>
            <w:vAlign w:val="center"/>
          </w:tcPr>
          <w:p w14:paraId="3D5D3665" w14:textId="27A2C38B"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lang w:eastAsia="de-DE"/>
              </w:rPr>
              <w:t>10 Kundschafter</w:t>
            </w:r>
          </w:p>
        </w:tc>
        <w:tc>
          <w:tcPr>
            <w:tcW w:w="2505" w:type="pct"/>
            <w:vAlign w:val="center"/>
          </w:tcPr>
          <w:p w14:paraId="3BFCA7CB" w14:textId="2A3474C7"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lang w:eastAsia="de-DE"/>
              </w:rPr>
              <w:t xml:space="preserve">Systematische </w:t>
            </w:r>
            <w:r w:rsidRPr="00AA1AFC">
              <w:rPr>
                <w:rFonts w:eastAsia="Times New Roman" w:cs="Times New Roman"/>
                <w:b/>
                <w:bCs/>
                <w:lang w:eastAsia="de-DE"/>
              </w:rPr>
              <w:t>Völkeraufzählung</w:t>
            </w:r>
            <w:r w:rsidRPr="00AA1AFC">
              <w:rPr>
                <w:rFonts w:eastAsia="Times New Roman" w:cs="Times New Roman"/>
                <w:lang w:eastAsia="de-DE"/>
              </w:rPr>
              <w:t xml:space="preserve"> (Angst-Katalog)</w:t>
            </w:r>
          </w:p>
        </w:tc>
        <w:tc>
          <w:tcPr>
            <w:tcW w:w="1009" w:type="pct"/>
            <w:vAlign w:val="center"/>
          </w:tcPr>
          <w:p w14:paraId="66BDEE2F" w14:textId="3970C27F" w:rsidR="00AA1AFC" w:rsidRDefault="00AA1AFC" w:rsidP="00AA1AFC">
            <w:pPr>
              <w:spacing w:before="100" w:beforeAutospacing="1" w:after="100" w:afterAutospacing="1" w:line="240" w:lineRule="auto"/>
              <w:rPr>
                <w:rFonts w:eastAsia="Times New Roman" w:cs="Times New Roman"/>
                <w:lang w:eastAsia="de-DE"/>
              </w:rPr>
            </w:pPr>
            <w:r w:rsidRPr="00AA1AFC">
              <w:rPr>
                <w:rFonts w:ascii="Segoe UI Emoji" w:eastAsia="Times New Roman" w:hAnsi="Segoe UI Emoji" w:cs="Segoe UI Emoji"/>
                <w:lang w:eastAsia="de-DE"/>
              </w:rPr>
              <w:t>❌</w:t>
            </w:r>
            <w:r w:rsidRPr="00AA1AFC">
              <w:rPr>
                <w:rFonts w:eastAsia="Times New Roman" w:cs="Times New Roman"/>
                <w:lang w:eastAsia="de-DE"/>
              </w:rPr>
              <w:t xml:space="preserve"> Eskalation</w:t>
            </w:r>
          </w:p>
        </w:tc>
      </w:tr>
      <w:tr w:rsidR="00AA1AFC" w14:paraId="2B2F61F4" w14:textId="77777777" w:rsidTr="00AA1AFC">
        <w:tc>
          <w:tcPr>
            <w:tcW w:w="467" w:type="pct"/>
            <w:vAlign w:val="center"/>
          </w:tcPr>
          <w:p w14:paraId="60B1F425" w14:textId="209C2C52"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V. 30</w:t>
            </w:r>
          </w:p>
        </w:tc>
        <w:tc>
          <w:tcPr>
            <w:tcW w:w="1019" w:type="pct"/>
            <w:vAlign w:val="center"/>
          </w:tcPr>
          <w:p w14:paraId="25F0180B" w14:textId="225D0E06"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Kaleb allein</w:t>
            </w:r>
          </w:p>
        </w:tc>
        <w:tc>
          <w:tcPr>
            <w:tcW w:w="2505" w:type="pct"/>
            <w:vAlign w:val="center"/>
          </w:tcPr>
          <w:p w14:paraId="06D7275B" w14:textId="66EFB38D"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Ermutigung:</w:t>
            </w:r>
            <w:r w:rsidRPr="00AA1AFC">
              <w:rPr>
                <w:rFonts w:eastAsia="Times New Roman" w:cs="Times New Roman"/>
                <w:lang w:eastAsia="de-DE"/>
              </w:rPr>
              <w:t xml:space="preserve"> </w:t>
            </w:r>
            <w:r w:rsidRPr="00AA1AFC">
              <w:rPr>
                <w:rFonts w:eastAsia="Times New Roman" w:cs="Times New Roman"/>
                <w:rtl/>
                <w:lang w:eastAsia="de-DE"/>
              </w:rPr>
              <w:t>עָלֹה נַעֲלֶה... יָכוֹל נוּכַל</w:t>
            </w:r>
            <w:r w:rsidRPr="00AA1AFC">
              <w:rPr>
                <w:rFonts w:eastAsia="Times New Roman" w:cs="Times New Roman"/>
                <w:lang w:eastAsia="de-DE"/>
              </w:rPr>
              <w:t>!</w:t>
            </w:r>
          </w:p>
        </w:tc>
        <w:tc>
          <w:tcPr>
            <w:tcW w:w="1009" w:type="pct"/>
            <w:vAlign w:val="center"/>
          </w:tcPr>
          <w:p w14:paraId="070D7ADF" w14:textId="14C80AFB" w:rsidR="00AA1AFC" w:rsidRDefault="00AA1AFC" w:rsidP="00AA1AFC">
            <w:pPr>
              <w:spacing w:before="100" w:beforeAutospacing="1" w:after="100" w:afterAutospacing="1" w:line="240" w:lineRule="auto"/>
              <w:rPr>
                <w:rFonts w:eastAsia="Times New Roman" w:cs="Times New Roman"/>
                <w:lang w:eastAsia="de-DE"/>
              </w:rPr>
            </w:pPr>
            <w:r w:rsidRPr="00AA1AFC">
              <w:rPr>
                <w:rFonts w:ascii="Segoe UI Emoji" w:eastAsia="Times New Roman" w:hAnsi="Segoe UI Emoji" w:cs="Segoe UI Emoji"/>
                <w:lang w:eastAsia="de-DE"/>
              </w:rPr>
              <w:t>✅</w:t>
            </w:r>
            <w:r w:rsidRPr="00AA1AFC">
              <w:rPr>
                <w:rFonts w:eastAsia="Times New Roman" w:cs="Times New Roman"/>
                <w:lang w:eastAsia="de-DE"/>
              </w:rPr>
              <w:t xml:space="preserve"> </w:t>
            </w:r>
            <w:r w:rsidRPr="00AA1AFC">
              <w:rPr>
                <w:rFonts w:eastAsia="Times New Roman" w:cs="Times New Roman"/>
                <w:b/>
                <w:bCs/>
                <w:lang w:eastAsia="de-DE"/>
              </w:rPr>
              <w:t>Glaube</w:t>
            </w:r>
          </w:p>
        </w:tc>
      </w:tr>
      <w:tr w:rsidR="00AA1AFC" w14:paraId="035A30E2" w14:textId="77777777" w:rsidTr="00AA1AFC">
        <w:tc>
          <w:tcPr>
            <w:tcW w:w="467" w:type="pct"/>
            <w:vAlign w:val="center"/>
          </w:tcPr>
          <w:p w14:paraId="53CD962C" w14:textId="28726694"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V. 31</w:t>
            </w:r>
          </w:p>
        </w:tc>
        <w:tc>
          <w:tcPr>
            <w:tcW w:w="1019" w:type="pct"/>
            <w:vAlign w:val="center"/>
          </w:tcPr>
          <w:p w14:paraId="1106E93C" w14:textId="47D60B57"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lang w:eastAsia="de-DE"/>
              </w:rPr>
              <w:t>10 Kundschafter</w:t>
            </w:r>
          </w:p>
        </w:tc>
        <w:tc>
          <w:tcPr>
            <w:tcW w:w="2505" w:type="pct"/>
            <w:vAlign w:val="center"/>
          </w:tcPr>
          <w:p w14:paraId="512E4EB4" w14:textId="797DDEB2" w:rsid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Widerspruch:</w:t>
            </w:r>
            <w:r w:rsidRPr="00AA1AFC">
              <w:rPr>
                <w:rFonts w:eastAsia="Times New Roman" w:cs="Times New Roman"/>
                <w:lang w:eastAsia="de-DE"/>
              </w:rPr>
              <w:t xml:space="preserve"> </w:t>
            </w:r>
            <w:r w:rsidRPr="00AA1AFC">
              <w:rPr>
                <w:rFonts w:eastAsia="Times New Roman" w:cs="Times New Roman"/>
                <w:rtl/>
                <w:lang w:eastAsia="de-DE"/>
              </w:rPr>
              <w:t>לֹא נוּכַל</w:t>
            </w:r>
            <w:r w:rsidRPr="00AA1AFC">
              <w:rPr>
                <w:rFonts w:eastAsia="Times New Roman" w:cs="Times New Roman"/>
                <w:lang w:eastAsia="de-DE"/>
              </w:rPr>
              <w:t xml:space="preserve"> ("wir können nicht!")</w:t>
            </w:r>
          </w:p>
        </w:tc>
        <w:tc>
          <w:tcPr>
            <w:tcW w:w="1009" w:type="pct"/>
            <w:vAlign w:val="center"/>
          </w:tcPr>
          <w:p w14:paraId="788E3A29" w14:textId="6CD5478D" w:rsidR="00AA1AFC" w:rsidRDefault="00AA1AFC" w:rsidP="00AA1AFC">
            <w:pPr>
              <w:spacing w:before="100" w:beforeAutospacing="1" w:after="100" w:afterAutospacing="1" w:line="240" w:lineRule="auto"/>
              <w:rPr>
                <w:rFonts w:eastAsia="Times New Roman" w:cs="Times New Roman"/>
                <w:lang w:eastAsia="de-DE"/>
              </w:rPr>
            </w:pPr>
            <w:r w:rsidRPr="00AA1AFC">
              <w:rPr>
                <w:rFonts w:ascii="Segoe UI Emoji" w:eastAsia="Times New Roman" w:hAnsi="Segoe UI Emoji" w:cs="Segoe UI Emoji"/>
                <w:lang w:eastAsia="de-DE"/>
              </w:rPr>
              <w:t>❌</w:t>
            </w:r>
            <w:r w:rsidRPr="00AA1AFC">
              <w:rPr>
                <w:rFonts w:eastAsia="Times New Roman" w:cs="Times New Roman"/>
                <w:lang w:eastAsia="de-DE"/>
              </w:rPr>
              <w:t xml:space="preserve"> </w:t>
            </w:r>
            <w:r w:rsidRPr="00AA1AFC">
              <w:rPr>
                <w:rFonts w:eastAsia="Times New Roman" w:cs="Times New Roman"/>
                <w:b/>
                <w:bCs/>
                <w:lang w:eastAsia="de-DE"/>
              </w:rPr>
              <w:t>Unglaube</w:t>
            </w:r>
          </w:p>
        </w:tc>
      </w:tr>
    </w:tbl>
    <w:p w14:paraId="69EDA598" w14:textId="77777777" w:rsidR="00AA1AFC" w:rsidRPr="00AA1AFC" w:rsidRDefault="00AA1AFC" w:rsidP="00AA1AFC">
      <w:pPr>
        <w:pStyle w:val="KeinLeerraum"/>
        <w:rPr>
          <w:lang w:eastAsia="de-DE"/>
        </w:rPr>
      </w:pPr>
    </w:p>
    <w:p w14:paraId="107A3F2B" w14:textId="77777777" w:rsidR="00AA1AFC" w:rsidRP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Rhetorische Techniken:</w:t>
      </w:r>
    </w:p>
    <w:p w14:paraId="3CD6040D" w14:textId="77777777" w:rsidR="00AA1AFC" w:rsidRP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1. "Sandwich-Technik" (V. 27-28):</w:t>
      </w:r>
    </w:p>
    <w:p w14:paraId="79663FBC" w14:textId="77777777" w:rsidR="00AA1AFC" w:rsidRPr="00AA1AFC" w:rsidRDefault="00AA1AFC" w:rsidP="00077755">
      <w:pPr>
        <w:numPr>
          <w:ilvl w:val="0"/>
          <w:numId w:val="116"/>
        </w:num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Positiv</w:t>
      </w:r>
      <w:r w:rsidRPr="00AA1AFC">
        <w:rPr>
          <w:rFonts w:eastAsia="Times New Roman" w:cs="Times New Roman"/>
          <w:lang w:eastAsia="de-DE"/>
        </w:rPr>
        <w:t xml:space="preserve"> (V. 27): </w:t>
      </w:r>
      <w:r w:rsidRPr="00AA1AFC">
        <w:rPr>
          <w:rFonts w:eastAsia="Times New Roman" w:cs="Times New Roman"/>
          <w:rtl/>
          <w:lang w:eastAsia="de-DE"/>
        </w:rPr>
        <w:t>זָבַת חָלָב וּדְבַשׁ</w:t>
      </w:r>
    </w:p>
    <w:p w14:paraId="62A80768" w14:textId="77777777" w:rsidR="00AA1AFC" w:rsidRPr="00AA1AFC" w:rsidRDefault="00AA1AFC" w:rsidP="00077755">
      <w:pPr>
        <w:numPr>
          <w:ilvl w:val="0"/>
          <w:numId w:val="116"/>
        </w:num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Adversativ</w:t>
      </w:r>
      <w:r w:rsidRPr="00AA1AFC">
        <w:rPr>
          <w:rFonts w:eastAsia="Times New Roman" w:cs="Times New Roman"/>
          <w:lang w:eastAsia="de-DE"/>
        </w:rPr>
        <w:t xml:space="preserve"> (V. 28): </w:t>
      </w:r>
      <w:r w:rsidRPr="00AA1AFC">
        <w:rPr>
          <w:rFonts w:eastAsia="Times New Roman" w:cs="Times New Roman"/>
          <w:rtl/>
          <w:lang w:eastAsia="de-DE"/>
        </w:rPr>
        <w:t>אֶפֶס כִּי</w:t>
      </w:r>
      <w:r w:rsidRPr="00AA1AFC">
        <w:rPr>
          <w:rFonts w:eastAsia="Times New Roman" w:cs="Times New Roman"/>
          <w:lang w:eastAsia="de-DE"/>
        </w:rPr>
        <w:t xml:space="preserve"> ("</w:t>
      </w:r>
      <w:r w:rsidRPr="00AA1AFC">
        <w:rPr>
          <w:rFonts w:eastAsia="Times New Roman" w:cs="Times New Roman"/>
          <w:b/>
          <w:bCs/>
          <w:lang w:eastAsia="de-DE"/>
        </w:rPr>
        <w:t>ABER</w:t>
      </w:r>
      <w:r w:rsidRPr="00AA1AFC">
        <w:rPr>
          <w:rFonts w:eastAsia="Times New Roman" w:cs="Times New Roman"/>
          <w:lang w:eastAsia="de-DE"/>
        </w:rPr>
        <w:t>...")</w:t>
      </w:r>
    </w:p>
    <w:p w14:paraId="63310136" w14:textId="77777777" w:rsidR="00AA1AFC" w:rsidRPr="00AA1AFC" w:rsidRDefault="00AA1AFC" w:rsidP="00077755">
      <w:pPr>
        <w:numPr>
          <w:ilvl w:val="0"/>
          <w:numId w:val="116"/>
        </w:numPr>
        <w:spacing w:before="100" w:beforeAutospacing="1" w:after="100" w:afterAutospacing="1" w:line="240" w:lineRule="auto"/>
        <w:rPr>
          <w:rFonts w:eastAsia="Times New Roman" w:cs="Times New Roman"/>
          <w:lang w:eastAsia="de-DE"/>
        </w:rPr>
      </w:pPr>
      <w:r w:rsidRPr="00AA1AFC">
        <w:rPr>
          <w:rFonts w:eastAsia="Times New Roman" w:cs="Times New Roman"/>
          <w:lang w:eastAsia="de-DE"/>
        </w:rPr>
        <w:t xml:space="preserve">→ Das </w:t>
      </w:r>
      <w:r w:rsidRPr="00AA1AFC">
        <w:rPr>
          <w:rFonts w:eastAsia="Times New Roman" w:cs="Times New Roman"/>
          <w:b/>
          <w:bCs/>
          <w:lang w:eastAsia="de-DE"/>
        </w:rPr>
        <w:t>ABER</w:t>
      </w:r>
      <w:r w:rsidRPr="00AA1AFC">
        <w:rPr>
          <w:rFonts w:eastAsia="Times New Roman" w:cs="Times New Roman"/>
          <w:lang w:eastAsia="de-DE"/>
        </w:rPr>
        <w:t xml:space="preserve"> vernichtet das </w:t>
      </w:r>
      <w:r w:rsidRPr="00AA1AFC">
        <w:rPr>
          <w:rFonts w:eastAsia="Times New Roman" w:cs="Times New Roman"/>
          <w:b/>
          <w:bCs/>
          <w:lang w:eastAsia="de-DE"/>
        </w:rPr>
        <w:t>Positive</w:t>
      </w:r>
      <w:r w:rsidRPr="00AA1AFC">
        <w:rPr>
          <w:rFonts w:eastAsia="Times New Roman" w:cs="Times New Roman"/>
          <w:lang w:eastAsia="de-DE"/>
        </w:rPr>
        <w:t>!</w:t>
      </w:r>
    </w:p>
    <w:p w14:paraId="6A086C0D" w14:textId="77777777" w:rsidR="00AA1AFC" w:rsidRP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lastRenderedPageBreak/>
        <w:t>2. Kalebs Gegenstrategie (V. 30):</w:t>
      </w:r>
    </w:p>
    <w:p w14:paraId="60261D17" w14:textId="77777777" w:rsidR="00AA1AFC" w:rsidRPr="00AA1AFC" w:rsidRDefault="00AA1AFC" w:rsidP="00077755">
      <w:pPr>
        <w:numPr>
          <w:ilvl w:val="0"/>
          <w:numId w:val="117"/>
        </w:numPr>
        <w:spacing w:before="100" w:beforeAutospacing="1" w:after="100" w:afterAutospacing="1" w:line="240" w:lineRule="auto"/>
        <w:rPr>
          <w:rFonts w:eastAsia="Times New Roman" w:cs="Times New Roman"/>
          <w:lang w:eastAsia="de-DE"/>
        </w:rPr>
      </w:pPr>
      <w:r w:rsidRPr="00AA1AFC">
        <w:rPr>
          <w:rFonts w:eastAsia="Times New Roman" w:cs="Times New Roman"/>
          <w:b/>
          <w:bCs/>
          <w:rtl/>
          <w:lang w:eastAsia="de-DE"/>
        </w:rPr>
        <w:t>וַיַּהַס כָּלֵב</w:t>
      </w:r>
      <w:r w:rsidRPr="00AA1AFC">
        <w:rPr>
          <w:rFonts w:eastAsia="Times New Roman" w:cs="Times New Roman"/>
          <w:rtl/>
          <w:lang w:eastAsia="de-DE"/>
        </w:rPr>
        <w:t xml:space="preserve"> </w:t>
      </w:r>
      <w:r w:rsidRPr="00AA1AFC">
        <w:rPr>
          <w:rFonts w:eastAsia="Times New Roman" w:cs="Times New Roman"/>
          <w:lang w:eastAsia="de-DE"/>
        </w:rPr>
        <w:t xml:space="preserve">("Kaleb </w:t>
      </w:r>
      <w:r w:rsidRPr="00AA1AFC">
        <w:rPr>
          <w:rFonts w:eastAsia="Times New Roman" w:cs="Times New Roman"/>
          <w:b/>
          <w:bCs/>
          <w:lang w:eastAsia="de-DE"/>
        </w:rPr>
        <w:t>beschwichtigte</w:t>
      </w:r>
      <w:r w:rsidRPr="00AA1AFC">
        <w:rPr>
          <w:rFonts w:eastAsia="Times New Roman" w:cs="Times New Roman"/>
          <w:lang w:eastAsia="de-DE"/>
        </w:rPr>
        <w:t xml:space="preserve">") → aktives </w:t>
      </w:r>
      <w:r w:rsidRPr="00AA1AFC">
        <w:rPr>
          <w:rFonts w:eastAsia="Times New Roman" w:cs="Times New Roman"/>
          <w:b/>
          <w:bCs/>
          <w:lang w:eastAsia="de-DE"/>
        </w:rPr>
        <w:t>Eingreifen</w:t>
      </w:r>
      <w:r w:rsidRPr="00AA1AFC">
        <w:rPr>
          <w:rFonts w:eastAsia="Times New Roman" w:cs="Times New Roman"/>
          <w:lang w:eastAsia="de-DE"/>
        </w:rPr>
        <w:t>!</w:t>
      </w:r>
    </w:p>
    <w:p w14:paraId="3136EA8D" w14:textId="77777777" w:rsidR="00AA1AFC" w:rsidRPr="00AA1AFC" w:rsidRDefault="00AA1AFC" w:rsidP="00077755">
      <w:pPr>
        <w:numPr>
          <w:ilvl w:val="0"/>
          <w:numId w:val="117"/>
        </w:numPr>
        <w:spacing w:before="100" w:beforeAutospacing="1" w:after="100" w:afterAutospacing="1" w:line="240" w:lineRule="auto"/>
        <w:rPr>
          <w:rFonts w:eastAsia="Times New Roman" w:cs="Times New Roman"/>
          <w:lang w:eastAsia="de-DE"/>
        </w:rPr>
      </w:pPr>
      <w:r w:rsidRPr="00AA1AFC">
        <w:rPr>
          <w:rFonts w:eastAsia="Times New Roman" w:cs="Times New Roman"/>
          <w:b/>
          <w:bCs/>
          <w:rtl/>
          <w:lang w:eastAsia="de-DE"/>
        </w:rPr>
        <w:t>עָלֹה נַעֲלֶה</w:t>
      </w:r>
      <w:r w:rsidRPr="00AA1AFC">
        <w:rPr>
          <w:rFonts w:eastAsia="Times New Roman" w:cs="Times New Roman"/>
          <w:rtl/>
          <w:lang w:eastAsia="de-DE"/>
        </w:rPr>
        <w:t xml:space="preserve"> </w:t>
      </w:r>
      <w:r w:rsidRPr="00AA1AFC">
        <w:rPr>
          <w:rFonts w:eastAsia="Times New Roman" w:cs="Times New Roman"/>
          <w:lang w:eastAsia="de-DE"/>
        </w:rPr>
        <w:t xml:space="preserve">(absoluter Infinitiv) → </w:t>
      </w:r>
      <w:r w:rsidRPr="00AA1AFC">
        <w:rPr>
          <w:rFonts w:eastAsia="Times New Roman" w:cs="Times New Roman"/>
          <w:b/>
          <w:bCs/>
          <w:lang w:eastAsia="de-DE"/>
        </w:rPr>
        <w:t>Verstärkung</w:t>
      </w:r>
      <w:r w:rsidRPr="00AA1AFC">
        <w:rPr>
          <w:rFonts w:eastAsia="Times New Roman" w:cs="Times New Roman"/>
          <w:lang w:eastAsia="de-DE"/>
        </w:rPr>
        <w:t xml:space="preserve">: "Lasst uns </w:t>
      </w:r>
      <w:r w:rsidRPr="00AA1AFC">
        <w:rPr>
          <w:rFonts w:eastAsia="Times New Roman" w:cs="Times New Roman"/>
          <w:b/>
          <w:bCs/>
          <w:lang w:eastAsia="de-DE"/>
        </w:rPr>
        <w:t>wirklich</w:t>
      </w:r>
      <w:r w:rsidRPr="00AA1AFC">
        <w:rPr>
          <w:rFonts w:eastAsia="Times New Roman" w:cs="Times New Roman"/>
          <w:lang w:eastAsia="de-DE"/>
        </w:rPr>
        <w:t xml:space="preserve"> hinaufziehen!"</w:t>
      </w:r>
    </w:p>
    <w:p w14:paraId="22D0EBFB" w14:textId="77777777" w:rsidR="00AA1AFC" w:rsidRPr="00AA1AFC" w:rsidRDefault="00AA1AFC" w:rsidP="00077755">
      <w:pPr>
        <w:numPr>
          <w:ilvl w:val="0"/>
          <w:numId w:val="117"/>
        </w:numPr>
        <w:spacing w:before="100" w:beforeAutospacing="1" w:after="100" w:afterAutospacing="1" w:line="240" w:lineRule="auto"/>
        <w:rPr>
          <w:rFonts w:eastAsia="Times New Roman" w:cs="Times New Roman"/>
          <w:lang w:eastAsia="de-DE"/>
        </w:rPr>
      </w:pPr>
      <w:r w:rsidRPr="00AA1AFC">
        <w:rPr>
          <w:rFonts w:eastAsia="Times New Roman" w:cs="Times New Roman"/>
          <w:b/>
          <w:bCs/>
          <w:rtl/>
          <w:lang w:eastAsia="de-DE"/>
        </w:rPr>
        <w:t>יָכוֹל נוּכַל</w:t>
      </w:r>
      <w:r w:rsidRPr="00AA1AFC">
        <w:rPr>
          <w:rFonts w:eastAsia="Times New Roman" w:cs="Times New Roman"/>
          <w:rtl/>
          <w:lang w:eastAsia="de-DE"/>
        </w:rPr>
        <w:t xml:space="preserve"> </w:t>
      </w:r>
      <w:r w:rsidRPr="00AA1AFC">
        <w:rPr>
          <w:rFonts w:eastAsia="Times New Roman" w:cs="Times New Roman"/>
          <w:lang w:eastAsia="de-DE"/>
        </w:rPr>
        <w:t xml:space="preserve">(absoluter Infinitiv) → </w:t>
      </w:r>
      <w:r w:rsidRPr="00AA1AFC">
        <w:rPr>
          <w:rFonts w:eastAsia="Times New Roman" w:cs="Times New Roman"/>
          <w:b/>
          <w:bCs/>
          <w:lang w:eastAsia="de-DE"/>
        </w:rPr>
        <w:t>Verstärkung</w:t>
      </w:r>
      <w:r w:rsidRPr="00AA1AFC">
        <w:rPr>
          <w:rFonts w:eastAsia="Times New Roman" w:cs="Times New Roman"/>
          <w:lang w:eastAsia="de-DE"/>
        </w:rPr>
        <w:t xml:space="preserve">: "Wir </w:t>
      </w:r>
      <w:r w:rsidRPr="00AA1AFC">
        <w:rPr>
          <w:rFonts w:eastAsia="Times New Roman" w:cs="Times New Roman"/>
          <w:b/>
          <w:bCs/>
          <w:lang w:eastAsia="de-DE"/>
        </w:rPr>
        <w:t>können</w:t>
      </w:r>
      <w:r w:rsidRPr="00AA1AFC">
        <w:rPr>
          <w:rFonts w:eastAsia="Times New Roman" w:cs="Times New Roman"/>
          <w:lang w:eastAsia="de-DE"/>
        </w:rPr>
        <w:t xml:space="preserve"> es </w:t>
      </w:r>
      <w:r w:rsidRPr="00AA1AFC">
        <w:rPr>
          <w:rFonts w:eastAsia="Times New Roman" w:cs="Times New Roman"/>
          <w:b/>
          <w:bCs/>
          <w:lang w:eastAsia="de-DE"/>
        </w:rPr>
        <w:t>gewiss</w:t>
      </w:r>
      <w:r w:rsidRPr="00AA1AFC">
        <w:rPr>
          <w:rFonts w:eastAsia="Times New Roman" w:cs="Times New Roman"/>
          <w:lang w:eastAsia="de-DE"/>
        </w:rPr>
        <w:t>!"</w:t>
      </w:r>
    </w:p>
    <w:p w14:paraId="43F9BDF9" w14:textId="77777777" w:rsidR="00AA1AFC" w:rsidRP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3. Die Mehrheit antwortet (V. 31):</w:t>
      </w:r>
    </w:p>
    <w:p w14:paraId="5EF9BF5D" w14:textId="77777777" w:rsidR="00AA1AFC" w:rsidRPr="00AA1AFC" w:rsidRDefault="00AA1AFC" w:rsidP="00077755">
      <w:pPr>
        <w:numPr>
          <w:ilvl w:val="0"/>
          <w:numId w:val="118"/>
        </w:numPr>
        <w:spacing w:before="100" w:beforeAutospacing="1" w:after="100" w:afterAutospacing="1" w:line="240" w:lineRule="auto"/>
        <w:rPr>
          <w:rFonts w:eastAsia="Times New Roman" w:cs="Times New Roman"/>
          <w:lang w:eastAsia="de-DE"/>
        </w:rPr>
      </w:pPr>
      <w:r w:rsidRPr="00AA1AFC">
        <w:rPr>
          <w:rFonts w:eastAsia="Times New Roman" w:cs="Times New Roman"/>
          <w:b/>
          <w:bCs/>
          <w:rtl/>
          <w:lang w:eastAsia="de-DE"/>
        </w:rPr>
        <w:t>לֹא נוּכַל</w:t>
      </w:r>
      <w:r w:rsidRPr="00AA1AFC">
        <w:rPr>
          <w:rFonts w:eastAsia="Times New Roman" w:cs="Times New Roman"/>
          <w:rtl/>
          <w:lang w:eastAsia="de-DE"/>
        </w:rPr>
        <w:t xml:space="preserve"> </w:t>
      </w:r>
      <w:r w:rsidRPr="00AA1AFC">
        <w:rPr>
          <w:rFonts w:eastAsia="Times New Roman" w:cs="Times New Roman"/>
          <w:lang w:eastAsia="de-DE"/>
        </w:rPr>
        <w:t xml:space="preserve">("wir können </w:t>
      </w:r>
      <w:r w:rsidRPr="00AA1AFC">
        <w:rPr>
          <w:rFonts w:eastAsia="Times New Roman" w:cs="Times New Roman"/>
          <w:b/>
          <w:bCs/>
          <w:lang w:eastAsia="de-DE"/>
        </w:rPr>
        <w:t>nicht</w:t>
      </w:r>
      <w:r w:rsidRPr="00AA1AFC">
        <w:rPr>
          <w:rFonts w:eastAsia="Times New Roman" w:cs="Times New Roman"/>
          <w:lang w:eastAsia="de-DE"/>
        </w:rPr>
        <w:t xml:space="preserve">") → direkter </w:t>
      </w:r>
      <w:r w:rsidRPr="00AA1AFC">
        <w:rPr>
          <w:rFonts w:eastAsia="Times New Roman" w:cs="Times New Roman"/>
          <w:b/>
          <w:bCs/>
          <w:lang w:eastAsia="de-DE"/>
        </w:rPr>
        <w:t>Widerspruch</w:t>
      </w:r>
      <w:r w:rsidRPr="00AA1AFC">
        <w:rPr>
          <w:rFonts w:eastAsia="Times New Roman" w:cs="Times New Roman"/>
          <w:lang w:eastAsia="de-DE"/>
        </w:rPr>
        <w:t xml:space="preserve"> zu Kalebs </w:t>
      </w:r>
      <w:r w:rsidRPr="00AA1AFC">
        <w:rPr>
          <w:rFonts w:eastAsia="Times New Roman" w:cs="Times New Roman"/>
          <w:rtl/>
          <w:lang w:eastAsia="de-DE"/>
        </w:rPr>
        <w:t>יָכוֹל נוּכַל</w:t>
      </w:r>
      <w:r w:rsidRPr="00AA1AFC">
        <w:rPr>
          <w:rFonts w:eastAsia="Times New Roman" w:cs="Times New Roman"/>
          <w:lang w:eastAsia="de-DE"/>
        </w:rPr>
        <w:t>!</w:t>
      </w:r>
    </w:p>
    <w:p w14:paraId="2E2F3EAF" w14:textId="77777777" w:rsidR="00AA1AFC" w:rsidRPr="00AA1AFC" w:rsidRDefault="00AA1AFC" w:rsidP="00077755">
      <w:pPr>
        <w:numPr>
          <w:ilvl w:val="0"/>
          <w:numId w:val="118"/>
        </w:numPr>
        <w:spacing w:before="100" w:beforeAutospacing="1" w:after="100" w:afterAutospacing="1" w:line="240" w:lineRule="auto"/>
        <w:rPr>
          <w:rFonts w:eastAsia="Times New Roman" w:cs="Times New Roman"/>
          <w:lang w:eastAsia="de-DE"/>
        </w:rPr>
      </w:pPr>
      <w:r w:rsidRPr="00AA1AFC">
        <w:rPr>
          <w:rFonts w:eastAsia="Times New Roman" w:cs="Times New Roman"/>
          <w:b/>
          <w:bCs/>
          <w:rtl/>
          <w:lang w:eastAsia="de-DE"/>
        </w:rPr>
        <w:t>כִּי־חָזָק הוּא מִמֶּנּוּ</w:t>
      </w:r>
      <w:r w:rsidRPr="00AA1AFC">
        <w:rPr>
          <w:rFonts w:eastAsia="Times New Roman" w:cs="Times New Roman"/>
          <w:rtl/>
          <w:lang w:eastAsia="de-DE"/>
        </w:rPr>
        <w:t xml:space="preserve"> </w:t>
      </w:r>
      <w:r w:rsidRPr="00AA1AFC">
        <w:rPr>
          <w:rFonts w:eastAsia="Times New Roman" w:cs="Times New Roman"/>
          <w:lang w:eastAsia="de-DE"/>
        </w:rPr>
        <w:t xml:space="preserve">("denn es ist </w:t>
      </w:r>
      <w:r w:rsidRPr="00AA1AFC">
        <w:rPr>
          <w:rFonts w:eastAsia="Times New Roman" w:cs="Times New Roman"/>
          <w:b/>
          <w:bCs/>
          <w:lang w:eastAsia="de-DE"/>
        </w:rPr>
        <w:t>stärker als wir</w:t>
      </w:r>
      <w:r w:rsidRPr="00AA1AFC">
        <w:rPr>
          <w:rFonts w:eastAsia="Times New Roman" w:cs="Times New Roman"/>
          <w:lang w:eastAsia="de-DE"/>
        </w:rPr>
        <w:t xml:space="preserve">") → </w:t>
      </w:r>
      <w:r w:rsidRPr="00AA1AFC">
        <w:rPr>
          <w:rFonts w:eastAsia="Times New Roman" w:cs="Times New Roman"/>
          <w:b/>
          <w:bCs/>
          <w:lang w:eastAsia="de-DE"/>
        </w:rPr>
        <w:t>menschliches Kalkül</w:t>
      </w:r>
      <w:r w:rsidRPr="00AA1AFC">
        <w:rPr>
          <w:rFonts w:eastAsia="Times New Roman" w:cs="Times New Roman"/>
          <w:lang w:eastAsia="de-DE"/>
        </w:rPr>
        <w:t xml:space="preserve"> ohne Gott!</w:t>
      </w:r>
    </w:p>
    <w:p w14:paraId="658488A1" w14:textId="77777777" w:rsidR="00AA1AFC" w:rsidRP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Fazit:</w:t>
      </w:r>
    </w:p>
    <w:p w14:paraId="287A6627" w14:textId="77777777" w:rsidR="00AA1AFC" w:rsidRPr="00AA1AFC" w:rsidRDefault="00AA1AFC" w:rsidP="00AA1AFC">
      <w:pPr>
        <w:spacing w:before="100" w:beforeAutospacing="1" w:after="100" w:afterAutospacing="1" w:line="240" w:lineRule="auto"/>
        <w:rPr>
          <w:rFonts w:eastAsia="Times New Roman" w:cs="Times New Roman"/>
          <w:lang w:eastAsia="de-DE"/>
        </w:rPr>
      </w:pPr>
      <w:r w:rsidRPr="00AA1AFC">
        <w:rPr>
          <w:rFonts w:eastAsia="Times New Roman" w:cs="Times New Roman"/>
          <w:lang w:eastAsia="de-DE"/>
        </w:rPr>
        <w:t xml:space="preserve">Die rhetorische Struktur zeigt den </w:t>
      </w:r>
      <w:r w:rsidRPr="00AA1AFC">
        <w:rPr>
          <w:rFonts w:eastAsia="Times New Roman" w:cs="Times New Roman"/>
          <w:b/>
          <w:bCs/>
          <w:lang w:eastAsia="de-DE"/>
        </w:rPr>
        <w:t>tragischen Konflikt</w:t>
      </w:r>
      <w:r w:rsidRPr="00AA1AFC">
        <w:rPr>
          <w:rFonts w:eastAsia="Times New Roman" w:cs="Times New Roman"/>
          <w:lang w:eastAsia="de-DE"/>
        </w:rPr>
        <w:t xml:space="preserve"> zwischen:</w:t>
      </w:r>
    </w:p>
    <w:p w14:paraId="7AAD9B97" w14:textId="77777777" w:rsidR="00AA1AFC" w:rsidRPr="00AA1AFC" w:rsidRDefault="00AA1AFC" w:rsidP="00077755">
      <w:pPr>
        <w:numPr>
          <w:ilvl w:val="0"/>
          <w:numId w:val="119"/>
        </w:num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Glaube</w:t>
      </w:r>
      <w:r w:rsidRPr="00AA1AFC">
        <w:rPr>
          <w:rFonts w:eastAsia="Times New Roman" w:cs="Times New Roman"/>
          <w:lang w:eastAsia="de-DE"/>
        </w:rPr>
        <w:t xml:space="preserve"> (Kaleb: </w:t>
      </w:r>
      <w:r w:rsidRPr="00AA1AFC">
        <w:rPr>
          <w:rFonts w:eastAsia="Times New Roman" w:cs="Times New Roman"/>
          <w:rtl/>
          <w:lang w:eastAsia="de-DE"/>
        </w:rPr>
        <w:t>יָכוֹל נוּכַל</w:t>
      </w:r>
      <w:r w:rsidRPr="00AA1AFC">
        <w:rPr>
          <w:rFonts w:eastAsia="Times New Roman" w:cs="Times New Roman"/>
          <w:lang w:eastAsia="de-DE"/>
        </w:rPr>
        <w:t xml:space="preserve">) vs. </w:t>
      </w:r>
      <w:r w:rsidRPr="00AA1AFC">
        <w:rPr>
          <w:rFonts w:eastAsia="Times New Roman" w:cs="Times New Roman"/>
          <w:b/>
          <w:bCs/>
          <w:lang w:eastAsia="de-DE"/>
        </w:rPr>
        <w:t>Unglaube</w:t>
      </w:r>
      <w:r w:rsidRPr="00AA1AFC">
        <w:rPr>
          <w:rFonts w:eastAsia="Times New Roman" w:cs="Times New Roman"/>
          <w:lang w:eastAsia="de-DE"/>
        </w:rPr>
        <w:t xml:space="preserve"> (10: </w:t>
      </w:r>
      <w:r w:rsidRPr="00AA1AFC">
        <w:rPr>
          <w:rFonts w:eastAsia="Times New Roman" w:cs="Times New Roman"/>
          <w:rtl/>
          <w:lang w:eastAsia="de-DE"/>
        </w:rPr>
        <w:t>לֹא נוּכַל</w:t>
      </w:r>
      <w:r w:rsidRPr="00AA1AFC">
        <w:rPr>
          <w:rFonts w:eastAsia="Times New Roman" w:cs="Times New Roman"/>
          <w:lang w:eastAsia="de-DE"/>
        </w:rPr>
        <w:t>)</w:t>
      </w:r>
    </w:p>
    <w:p w14:paraId="4B11445D" w14:textId="4D1AEDF7" w:rsidR="00AA1AFC" w:rsidRPr="00AA1AFC" w:rsidRDefault="00AA1AFC" w:rsidP="00077755">
      <w:pPr>
        <w:numPr>
          <w:ilvl w:val="0"/>
          <w:numId w:val="119"/>
        </w:numPr>
        <w:spacing w:before="100" w:beforeAutospacing="1" w:after="100" w:afterAutospacing="1" w:line="240" w:lineRule="auto"/>
        <w:rPr>
          <w:rFonts w:eastAsia="Times New Roman" w:cs="Times New Roman"/>
          <w:lang w:eastAsia="de-DE"/>
        </w:rPr>
      </w:pPr>
      <w:r w:rsidRPr="00AA1AFC">
        <w:rPr>
          <w:rFonts w:eastAsia="Times New Roman" w:cs="Times New Roman"/>
          <w:b/>
          <w:bCs/>
          <w:lang w:eastAsia="de-DE"/>
        </w:rPr>
        <w:t>Gottvertrauen</w:t>
      </w:r>
      <w:r w:rsidRPr="00AA1AFC">
        <w:rPr>
          <w:rFonts w:eastAsia="Times New Roman" w:cs="Times New Roman"/>
          <w:lang w:eastAsia="de-DE"/>
        </w:rPr>
        <w:t xml:space="preserve"> vs. </w:t>
      </w:r>
      <w:r w:rsidRPr="00AA1AFC">
        <w:rPr>
          <w:rFonts w:eastAsia="Times New Roman" w:cs="Times New Roman"/>
          <w:b/>
          <w:bCs/>
          <w:lang w:eastAsia="de-DE"/>
        </w:rPr>
        <w:t>menschliches Kalkül</w:t>
      </w:r>
    </w:p>
    <w:p w14:paraId="0F911FF4"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13,32</w:t>
      </w:r>
    </w:p>
    <w:p w14:paraId="4D83926E"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וַיּוֹצִ֜יאוּ דִּבַּ֤ת הָאָ֨רֶץ֙ אֲשֶׁ֣ר תָּר֣וּ אֹתָ֔הּ אֶל־בְּנֵ֥י יִשְׂרָאֵ֖ל לֵאמֹ֑ר הָאָ֡רֶץ אֲשֶׁר֩ עָבַ֨רְנוּ בָ֜הּ לָת֣וּר אֹתָ֗הּ אֶ֣רֶץ אֹכֶ֤לֶת יוֹשְׁבֶ֨יהָ֙ הִ֔וא וְכָל־הָעָ֛ם אֲשֶׁר־רָאִ֥ינוּ בְתוֹכָ֖הּ אַנְשֵׁ֥י מִדּֽוֹת׃</w:t>
      </w:r>
    </w:p>
    <w:p w14:paraId="4B95680B"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Und sie brachten über die Söhne Jisra'els ein böses Gerücht über das Land aus, das sie ausgekundschaftet hatten, und sprachen: Das Land, das wir durchzogen haben, um es auszukundschaften, ist ein Land, das seine Bewohner frisst; und alles Volk, das wir darin gesehen haben, sind Leute von hohem Wuchs.</w:t>
      </w:r>
    </w:p>
    <w:p w14:paraId="3DC53EEB"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43763F7F">
          <v:rect id="_x0000_i1451" style="width:0;height:1.5pt" o:hralign="center" o:hrstd="t" o:hr="t" fillcolor="#a0a0a0" stroked="f"/>
        </w:pict>
      </w:r>
    </w:p>
    <w:p w14:paraId="530B9DCE"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Die negative Propaganda </w:t>
      </w:r>
      <w:r w:rsidRPr="0083388E">
        <w:rPr>
          <w:rFonts w:eastAsia="Times New Roman" w:cs="Times New Roman"/>
          <w:b/>
          <w:bCs/>
          <w:rtl/>
          <w:lang w:eastAsia="de-DE"/>
        </w:rPr>
        <w:t>וַיּוֹצִ֜יאוּ דִּבַּ֤ת הָאָ֨רֶץ֙</w:t>
      </w:r>
      <w:r w:rsidRPr="0083388E">
        <w:rPr>
          <w:rFonts w:eastAsia="Times New Roman" w:cs="Times New Roman"/>
          <w:rtl/>
          <w:lang w:eastAsia="de-DE"/>
        </w:rPr>
        <w:t xml:space="preserve"> </w:t>
      </w:r>
      <w:r w:rsidRPr="0083388E">
        <w:rPr>
          <w:rFonts w:eastAsia="Times New Roman" w:cs="Times New Roman"/>
          <w:lang w:eastAsia="de-DE"/>
        </w:rPr>
        <w:t xml:space="preserve">(und sie brachten ein böses Gerücht über das Land heraus) mit </w:t>
      </w:r>
      <w:r w:rsidRPr="0083388E">
        <w:rPr>
          <w:rFonts w:eastAsia="Times New Roman" w:cs="Times New Roman"/>
          <w:b/>
          <w:bCs/>
          <w:rtl/>
          <w:lang w:eastAsia="de-DE"/>
        </w:rPr>
        <w:t>יּוֹצִיאוּ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יצא</w:t>
      </w:r>
      <w:r w:rsidRPr="0083388E">
        <w:rPr>
          <w:rFonts w:eastAsia="Times New Roman" w:cs="Times New Roman"/>
          <w:rtl/>
          <w:lang w:eastAsia="de-DE"/>
        </w:rPr>
        <w:t xml:space="preserve"> </w:t>
      </w:r>
      <w:r w:rsidRPr="0083388E">
        <w:rPr>
          <w:rFonts w:eastAsia="Times New Roman" w:cs="Times New Roman"/>
          <w:lang w:eastAsia="de-DE"/>
        </w:rPr>
        <w:t xml:space="preserve">(herausbringen) im Hiph'il und </w:t>
      </w:r>
      <w:r w:rsidRPr="0083388E">
        <w:rPr>
          <w:rFonts w:eastAsia="Times New Roman" w:cs="Times New Roman"/>
          <w:b/>
          <w:bCs/>
          <w:rtl/>
          <w:lang w:eastAsia="de-DE"/>
        </w:rPr>
        <w:t>דִּבַּת הָאָרֶץ</w:t>
      </w:r>
      <w:r w:rsidRPr="0083388E">
        <w:rPr>
          <w:rFonts w:eastAsia="Times New Roman" w:cs="Times New Roman"/>
          <w:rtl/>
          <w:lang w:eastAsia="de-DE"/>
        </w:rPr>
        <w:t xml:space="preserve"> </w:t>
      </w:r>
      <w:r w:rsidRPr="0083388E">
        <w:rPr>
          <w:rFonts w:eastAsia="Times New Roman" w:cs="Times New Roman"/>
          <w:lang w:eastAsia="de-DE"/>
        </w:rPr>
        <w:t>(böses Gerücht über das Land) zeigt die Verbreitung negativer Propaganda, die über objektive Berichterstattung hinausgeht.</w:t>
      </w:r>
    </w:p>
    <w:p w14:paraId="7FB1B8E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drastische Charakterisierung </w:t>
      </w:r>
      <w:r w:rsidRPr="0083388E">
        <w:rPr>
          <w:rFonts w:eastAsia="Times New Roman" w:cs="Times New Roman"/>
          <w:b/>
          <w:bCs/>
          <w:rtl/>
          <w:lang w:eastAsia="de-DE"/>
        </w:rPr>
        <w:t>הָאָ֡רֶץ אֲשֶׁר֩ עָבַ֨רְנוּ בָ֜הּ לָת֣וּר אֹתָ֗הּ אֶ֣רֶץ אֹכֶ֤לֶת יוֹשְׁבֶ֨יהָ֙ הִ֔וא</w:t>
      </w:r>
      <w:r w:rsidRPr="0083388E">
        <w:rPr>
          <w:rFonts w:eastAsia="Times New Roman" w:cs="Times New Roman"/>
          <w:rtl/>
          <w:lang w:eastAsia="de-DE"/>
        </w:rPr>
        <w:t xml:space="preserve"> </w:t>
      </w:r>
      <w:r w:rsidRPr="0083388E">
        <w:rPr>
          <w:rFonts w:eastAsia="Times New Roman" w:cs="Times New Roman"/>
          <w:lang w:eastAsia="de-DE"/>
        </w:rPr>
        <w:t xml:space="preserve">(das Land, das wir durchzogen haben um es zu erkunden, ist ein Land, das seine Bewohner frisst) mit </w:t>
      </w:r>
      <w:r w:rsidRPr="0083388E">
        <w:rPr>
          <w:rFonts w:eastAsia="Times New Roman" w:cs="Times New Roman"/>
          <w:b/>
          <w:bCs/>
          <w:rtl/>
          <w:lang w:eastAsia="de-DE"/>
        </w:rPr>
        <w:t>עָבַרְנוּ בָהּ</w:t>
      </w:r>
      <w:r w:rsidRPr="0083388E">
        <w:rPr>
          <w:rFonts w:eastAsia="Times New Roman" w:cs="Times New Roman"/>
          <w:rtl/>
          <w:lang w:eastAsia="de-DE"/>
        </w:rPr>
        <w:t xml:space="preserve"> </w:t>
      </w:r>
      <w:r w:rsidRPr="0083388E">
        <w:rPr>
          <w:rFonts w:eastAsia="Times New Roman" w:cs="Times New Roman"/>
          <w:lang w:eastAsia="de-DE"/>
        </w:rPr>
        <w:t xml:space="preserve">(wir durchzogen es), </w:t>
      </w:r>
      <w:r w:rsidRPr="0083388E">
        <w:rPr>
          <w:rFonts w:eastAsia="Times New Roman" w:cs="Times New Roman"/>
          <w:b/>
          <w:bCs/>
          <w:rtl/>
          <w:lang w:eastAsia="de-DE"/>
        </w:rPr>
        <w:t>לָתוּר אֹתָהּ</w:t>
      </w:r>
      <w:r w:rsidRPr="0083388E">
        <w:rPr>
          <w:rFonts w:eastAsia="Times New Roman" w:cs="Times New Roman"/>
          <w:rtl/>
          <w:lang w:eastAsia="de-DE"/>
        </w:rPr>
        <w:t xml:space="preserve"> </w:t>
      </w:r>
      <w:r w:rsidRPr="0083388E">
        <w:rPr>
          <w:rFonts w:eastAsia="Times New Roman" w:cs="Times New Roman"/>
          <w:lang w:eastAsia="de-DE"/>
        </w:rPr>
        <w:t xml:space="preserve">(um es zu erkunden) und der metaphorischen </w:t>
      </w:r>
      <w:r w:rsidRPr="0083388E">
        <w:rPr>
          <w:rFonts w:eastAsia="Times New Roman" w:cs="Times New Roman"/>
          <w:b/>
          <w:bCs/>
          <w:rtl/>
          <w:lang w:eastAsia="de-DE"/>
        </w:rPr>
        <w:t>אֶרֶץ אֹכֶלֶת יוֹשְׁבֶיהָ</w:t>
      </w:r>
      <w:r w:rsidRPr="0083388E">
        <w:rPr>
          <w:rFonts w:eastAsia="Times New Roman" w:cs="Times New Roman"/>
          <w:rtl/>
          <w:lang w:eastAsia="de-DE"/>
        </w:rPr>
        <w:t xml:space="preserve"> </w:t>
      </w:r>
      <w:r w:rsidRPr="0083388E">
        <w:rPr>
          <w:rFonts w:eastAsia="Times New Roman" w:cs="Times New Roman"/>
          <w:lang w:eastAsia="de-DE"/>
        </w:rPr>
        <w:t>(Land, das seine Bewohner frisst) zeigt eine drastische Übertreibung - das Land wird als lebensgefährlich dargestellt.</w:t>
      </w:r>
    </w:p>
    <w:p w14:paraId="600F8AA6"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Übertreibung </w:t>
      </w:r>
      <w:r w:rsidRPr="0083388E">
        <w:rPr>
          <w:rFonts w:eastAsia="Times New Roman" w:cs="Times New Roman"/>
          <w:b/>
          <w:bCs/>
          <w:rtl/>
          <w:lang w:eastAsia="de-DE"/>
        </w:rPr>
        <w:t>וְכָל־הָעָ֛ם אֲשֶׁר־רָאִ֥ינוּ בְתוֹכָ֖הּ אַנְשֵׁ֥י מִדּֽוֹת</w:t>
      </w:r>
      <w:r w:rsidRPr="0083388E">
        <w:rPr>
          <w:rFonts w:eastAsia="Times New Roman" w:cs="Times New Roman"/>
          <w:rtl/>
          <w:lang w:eastAsia="de-DE"/>
        </w:rPr>
        <w:t xml:space="preserve"> </w:t>
      </w:r>
      <w:r w:rsidRPr="0083388E">
        <w:rPr>
          <w:rFonts w:eastAsia="Times New Roman" w:cs="Times New Roman"/>
          <w:lang w:eastAsia="de-DE"/>
        </w:rPr>
        <w:t xml:space="preserve">(und alles Volk, das wir darin gesehen haben, sind Leute von hohem Wuchs) mit </w:t>
      </w:r>
      <w:r w:rsidRPr="0083388E">
        <w:rPr>
          <w:rFonts w:eastAsia="Times New Roman" w:cs="Times New Roman"/>
          <w:b/>
          <w:bCs/>
          <w:rtl/>
          <w:lang w:eastAsia="de-DE"/>
        </w:rPr>
        <w:t>כָל־הָעָם</w:t>
      </w:r>
      <w:r w:rsidRPr="0083388E">
        <w:rPr>
          <w:rFonts w:eastAsia="Times New Roman" w:cs="Times New Roman"/>
          <w:rtl/>
          <w:lang w:eastAsia="de-DE"/>
        </w:rPr>
        <w:t xml:space="preserve"> </w:t>
      </w:r>
      <w:r w:rsidRPr="0083388E">
        <w:rPr>
          <w:rFonts w:eastAsia="Times New Roman" w:cs="Times New Roman"/>
          <w:lang w:eastAsia="de-DE"/>
        </w:rPr>
        <w:t xml:space="preserve">(alles Volk) als Generalisierung und </w:t>
      </w:r>
      <w:r w:rsidRPr="0083388E">
        <w:rPr>
          <w:rFonts w:eastAsia="Times New Roman" w:cs="Times New Roman"/>
          <w:b/>
          <w:bCs/>
          <w:rtl/>
          <w:lang w:eastAsia="de-DE"/>
        </w:rPr>
        <w:t>אַנְשֵׁי מִדּוֹת</w:t>
      </w:r>
      <w:r w:rsidRPr="0083388E">
        <w:rPr>
          <w:rFonts w:eastAsia="Times New Roman" w:cs="Times New Roman"/>
          <w:rtl/>
          <w:lang w:eastAsia="de-DE"/>
        </w:rPr>
        <w:t xml:space="preserve"> </w:t>
      </w:r>
      <w:r w:rsidRPr="0083388E">
        <w:rPr>
          <w:rFonts w:eastAsia="Times New Roman" w:cs="Times New Roman"/>
          <w:lang w:eastAsia="de-DE"/>
        </w:rPr>
        <w:t>(Leute von Maßen/hohem Wuchs) verstärkt die Furcht durch Übertreibung.</w:t>
      </w:r>
    </w:p>
    <w:p w14:paraId="4F46F193" w14:textId="7D66E04B" w:rsidR="0083388E" w:rsidRPr="0083388E" w:rsidRDefault="00184967" w:rsidP="0083388E">
      <w:pPr>
        <w:spacing w:before="100" w:beforeAutospacing="1" w:after="100" w:afterAutospacing="1" w:line="240" w:lineRule="auto"/>
        <w:rPr>
          <w:rFonts w:eastAsia="Times New Roman" w:cs="Times New Roman"/>
          <w:lang w:eastAsia="de-DE"/>
        </w:rPr>
      </w:pPr>
      <w:r>
        <w:rPr>
          <w:rStyle w:val="Fett"/>
        </w:rPr>
        <w:t>Vers 32 (MT) / Vers 33 (LXX):</w:t>
      </w:r>
      <w:r>
        <w:t xml:space="preserve"> </w:t>
      </w:r>
      <w:r>
        <w:rPr>
          <w:rStyle w:val="Fett"/>
        </w:rPr>
        <w:t>Die LXX</w:t>
      </w:r>
      <w:r>
        <w:t xml:space="preserve"> interpretiert „</w:t>
      </w:r>
      <w:r>
        <w:rPr>
          <w:rtl/>
        </w:rPr>
        <w:t>דִּבַּת הָאָרֶץ</w:t>
      </w:r>
      <w:r>
        <w:t>" (üble Nachrede über das Land) als „ἔκστασιν τῆς γῆς" (Bestürzung/Schrecken über das Land), was die psychologische Wirkung des negativen Berichts betont statt nur dessen verleumderischen Charakter.</w:t>
      </w:r>
    </w:p>
    <w:p w14:paraId="6FAE6420"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lastRenderedPageBreak/>
        <w:t>Die Satzstruktur zeigt negative Propaganda-Verbreitung, drastische Land-Charakterisierung und übertreibende Bevölkerungsbeschreibung.</w:t>
      </w:r>
    </w:p>
    <w:p w14:paraId="104403A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Vers zeigt die Transformation von objektiver Berichterstattung zu schädlicher Propaganda, die das Volk demoralisieren soll.</w:t>
      </w:r>
    </w:p>
    <w:p w14:paraId="1C4D0A64" w14:textId="77777777" w:rsidR="0083388E" w:rsidRPr="0083388E" w:rsidRDefault="0083388E" w:rsidP="0083388E">
      <w:pPr>
        <w:spacing w:before="100" w:beforeAutospacing="1" w:after="100" w:afterAutospacing="1" w:line="240" w:lineRule="auto"/>
        <w:outlineLvl w:val="0"/>
        <w:rPr>
          <w:rFonts w:eastAsia="Times New Roman" w:cs="Times New Roman"/>
          <w:b/>
          <w:bCs/>
          <w:kern w:val="36"/>
          <w:sz w:val="48"/>
          <w:szCs w:val="48"/>
          <w:lang w:eastAsia="de-DE"/>
        </w:rPr>
      </w:pPr>
      <w:r w:rsidRPr="0083388E">
        <w:rPr>
          <w:rFonts w:eastAsia="Times New Roman" w:cs="Times New Roman"/>
          <w:b/>
          <w:bCs/>
          <w:kern w:val="36"/>
          <w:sz w:val="48"/>
          <w:szCs w:val="48"/>
          <w:lang w:eastAsia="de-DE"/>
        </w:rPr>
        <w:t>Numeri 13,33</w:t>
      </w:r>
    </w:p>
    <w:p w14:paraId="5294674F"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Hebräisch:</w:t>
      </w:r>
      <w:r w:rsidRPr="0083388E">
        <w:rPr>
          <w:rFonts w:eastAsia="Times New Roman" w:cs="Times New Roman"/>
          <w:lang w:eastAsia="de-DE"/>
        </w:rPr>
        <w:t xml:space="preserve"> </w:t>
      </w:r>
      <w:r w:rsidRPr="0083388E">
        <w:rPr>
          <w:rFonts w:eastAsia="Times New Roman" w:cs="Times New Roman"/>
          <w:rtl/>
          <w:lang w:eastAsia="de-DE"/>
        </w:rPr>
        <w:t>וְשָׁ֣ם רָאִ֗ינוּ אֶת־הַנְּפִילִ֛ים בְּנֵ֥י עֲנָ֖ק מִן־הַנְּפִלִ֑ים וַנְּהִ֤י בְעֵינֵ֨ינוּ֙ כַּֽחֲגָבִ֔ים וְכֵ֥ן הָיִ֖ינוּ בְּעֵינֵיהֶֽם׃</w:t>
      </w:r>
    </w:p>
    <w:p w14:paraId="224C186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Deutsch:</w:t>
      </w:r>
      <w:r w:rsidRPr="0083388E">
        <w:rPr>
          <w:rFonts w:eastAsia="Times New Roman" w:cs="Times New Roman"/>
          <w:lang w:eastAsia="de-DE"/>
        </w:rPr>
        <w:t xml:space="preserve"> Und dort haben wir die Nephilim gesehen, die Söhne Anaks, von den Nephilim; und wir waren in unseren Augen wie Heuschrecken, und so waren wir auch in ihren Augen.</w:t>
      </w:r>
    </w:p>
    <w:p w14:paraId="5C50943C" w14:textId="77777777" w:rsidR="0083388E" w:rsidRPr="0083388E" w:rsidRDefault="00F329DD" w:rsidP="0083388E">
      <w:pPr>
        <w:spacing w:after="0" w:line="240" w:lineRule="auto"/>
        <w:rPr>
          <w:rFonts w:eastAsia="Times New Roman" w:cs="Times New Roman"/>
          <w:lang w:eastAsia="de-DE"/>
        </w:rPr>
      </w:pPr>
      <w:r>
        <w:rPr>
          <w:rFonts w:eastAsia="Times New Roman" w:cs="Times New Roman"/>
          <w:noProof/>
          <w:lang w:eastAsia="de-DE"/>
        </w:rPr>
        <w:pict w14:anchorId="2A6EC2E1">
          <v:rect id="_x0000_i1452" style="width:0;height:1.5pt" o:hralign="center" o:hrstd="t" o:hr="t" fillcolor="#a0a0a0" stroked="f"/>
        </w:pict>
      </w:r>
    </w:p>
    <w:p w14:paraId="1A53AED2"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Kommentar:</w:t>
      </w:r>
      <w:r w:rsidRPr="0083388E">
        <w:rPr>
          <w:rFonts w:eastAsia="Times New Roman" w:cs="Times New Roman"/>
          <w:lang w:eastAsia="de-DE"/>
        </w:rPr>
        <w:t xml:space="preserve"> Die klimaktische Behauptung </w:t>
      </w:r>
      <w:r w:rsidRPr="0083388E">
        <w:rPr>
          <w:rFonts w:eastAsia="Times New Roman" w:cs="Times New Roman"/>
          <w:b/>
          <w:bCs/>
          <w:rtl/>
          <w:lang w:eastAsia="de-DE"/>
        </w:rPr>
        <w:t>וְשָׁ֣ם רָאִ֗ינוּ אֶת־הַנְּפִילִ֛ים בְּנֵ֥י עֲנָ֖ק מִן־הַנְּפִלִ֑ים</w:t>
      </w:r>
      <w:r w:rsidRPr="0083388E">
        <w:rPr>
          <w:rFonts w:eastAsia="Times New Roman" w:cs="Times New Roman"/>
          <w:rtl/>
          <w:lang w:eastAsia="de-DE"/>
        </w:rPr>
        <w:t xml:space="preserve"> </w:t>
      </w:r>
      <w:r w:rsidRPr="0083388E">
        <w:rPr>
          <w:rFonts w:eastAsia="Times New Roman" w:cs="Times New Roman"/>
          <w:lang w:eastAsia="de-DE"/>
        </w:rPr>
        <w:t xml:space="preserve">(und dort sahen wir die Nephilim, die Söhne Anaks, von den Nephilim) mit </w:t>
      </w:r>
      <w:r w:rsidRPr="0083388E">
        <w:rPr>
          <w:rFonts w:eastAsia="Times New Roman" w:cs="Times New Roman"/>
          <w:b/>
          <w:bCs/>
          <w:rtl/>
          <w:lang w:eastAsia="de-DE"/>
        </w:rPr>
        <w:t>רָאִינוּ</w:t>
      </w:r>
      <w:r w:rsidRPr="0083388E">
        <w:rPr>
          <w:rFonts w:eastAsia="Times New Roman" w:cs="Times New Roman"/>
          <w:rtl/>
          <w:lang w:eastAsia="de-DE"/>
        </w:rPr>
        <w:t xml:space="preserve"> </w:t>
      </w:r>
      <w:r w:rsidRPr="0083388E">
        <w:rPr>
          <w:rFonts w:eastAsia="Times New Roman" w:cs="Times New Roman"/>
          <w:lang w:eastAsia="de-DE"/>
        </w:rPr>
        <w:t xml:space="preserve">(wir sahen), </w:t>
      </w:r>
      <w:r w:rsidRPr="0083388E">
        <w:rPr>
          <w:rFonts w:eastAsia="Times New Roman" w:cs="Times New Roman"/>
          <w:b/>
          <w:bCs/>
          <w:rtl/>
          <w:lang w:eastAsia="de-DE"/>
        </w:rPr>
        <w:t>הַנְּפִילִים</w:t>
      </w:r>
      <w:r w:rsidRPr="0083388E">
        <w:rPr>
          <w:rFonts w:eastAsia="Times New Roman" w:cs="Times New Roman"/>
          <w:rtl/>
          <w:lang w:eastAsia="de-DE"/>
        </w:rPr>
        <w:t xml:space="preserve"> </w:t>
      </w:r>
      <w:r w:rsidRPr="0083388E">
        <w:rPr>
          <w:rFonts w:eastAsia="Times New Roman" w:cs="Times New Roman"/>
          <w:lang w:eastAsia="de-DE"/>
        </w:rPr>
        <w:t xml:space="preserve">(die Nephilim) als mythische Riesen aus Genesis 6,4, </w:t>
      </w:r>
      <w:r w:rsidRPr="0083388E">
        <w:rPr>
          <w:rFonts w:eastAsia="Times New Roman" w:cs="Times New Roman"/>
          <w:b/>
          <w:bCs/>
          <w:rtl/>
          <w:lang w:eastAsia="de-DE"/>
        </w:rPr>
        <w:t>בְּנֵי עֲנָק</w:t>
      </w:r>
      <w:r w:rsidRPr="0083388E">
        <w:rPr>
          <w:rFonts w:eastAsia="Times New Roman" w:cs="Times New Roman"/>
          <w:rtl/>
          <w:lang w:eastAsia="de-DE"/>
        </w:rPr>
        <w:t xml:space="preserve"> </w:t>
      </w:r>
      <w:r w:rsidRPr="0083388E">
        <w:rPr>
          <w:rFonts w:eastAsia="Times New Roman" w:cs="Times New Roman"/>
          <w:lang w:eastAsia="de-DE"/>
        </w:rPr>
        <w:t xml:space="preserve">(Söhne Anaks) und </w:t>
      </w:r>
      <w:r w:rsidRPr="0083388E">
        <w:rPr>
          <w:rFonts w:eastAsia="Times New Roman" w:cs="Times New Roman"/>
          <w:b/>
          <w:bCs/>
          <w:rtl/>
          <w:lang w:eastAsia="de-DE"/>
        </w:rPr>
        <w:t>מִן־הַנְּפִלִים</w:t>
      </w:r>
      <w:r w:rsidRPr="0083388E">
        <w:rPr>
          <w:rFonts w:eastAsia="Times New Roman" w:cs="Times New Roman"/>
          <w:rtl/>
          <w:lang w:eastAsia="de-DE"/>
        </w:rPr>
        <w:t xml:space="preserve"> </w:t>
      </w:r>
      <w:r w:rsidRPr="0083388E">
        <w:rPr>
          <w:rFonts w:eastAsia="Times New Roman" w:cs="Times New Roman"/>
          <w:lang w:eastAsia="de-DE"/>
        </w:rPr>
        <w:t>(von den Nephilim) zeigt die Verknüpfung der Anakiter mit den vorsintflutlichen Riesen.</w:t>
      </w:r>
    </w:p>
    <w:p w14:paraId="17666CC8"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Selbsterniedrigung </w:t>
      </w:r>
      <w:r w:rsidRPr="0083388E">
        <w:rPr>
          <w:rFonts w:eastAsia="Times New Roman" w:cs="Times New Roman"/>
          <w:b/>
          <w:bCs/>
          <w:rtl/>
          <w:lang w:eastAsia="de-DE"/>
        </w:rPr>
        <w:t>וַנְּהִ֤י בְעֵינֵ֨ינוּ֙ כַּֽחֲגָבִ֔ים</w:t>
      </w:r>
      <w:r w:rsidRPr="0083388E">
        <w:rPr>
          <w:rFonts w:eastAsia="Times New Roman" w:cs="Times New Roman"/>
          <w:rtl/>
          <w:lang w:eastAsia="de-DE"/>
        </w:rPr>
        <w:t xml:space="preserve"> </w:t>
      </w:r>
      <w:r w:rsidRPr="0083388E">
        <w:rPr>
          <w:rFonts w:eastAsia="Times New Roman" w:cs="Times New Roman"/>
          <w:lang w:eastAsia="de-DE"/>
        </w:rPr>
        <w:t xml:space="preserve">(und wir waren in unseren Augen wie Heuschrecken) mit </w:t>
      </w:r>
      <w:r w:rsidRPr="0083388E">
        <w:rPr>
          <w:rFonts w:eastAsia="Times New Roman" w:cs="Times New Roman"/>
          <w:b/>
          <w:bCs/>
          <w:rtl/>
          <w:lang w:eastAsia="de-DE"/>
        </w:rPr>
        <w:t>הָיִינוּ</w:t>
      </w:r>
      <w:r w:rsidRPr="0083388E">
        <w:rPr>
          <w:rFonts w:eastAsia="Times New Roman" w:cs="Times New Roman"/>
          <w:rtl/>
          <w:lang w:eastAsia="de-DE"/>
        </w:rPr>
        <w:t xml:space="preserve"> </w:t>
      </w:r>
      <w:r w:rsidRPr="0083388E">
        <w:rPr>
          <w:rFonts w:eastAsia="Times New Roman" w:cs="Times New Roman"/>
          <w:lang w:eastAsia="de-DE"/>
        </w:rPr>
        <w:t xml:space="preserve">von </w:t>
      </w:r>
      <w:r w:rsidRPr="0083388E">
        <w:rPr>
          <w:rFonts w:eastAsia="Times New Roman" w:cs="Times New Roman"/>
          <w:b/>
          <w:bCs/>
          <w:rtl/>
          <w:lang w:eastAsia="de-DE"/>
        </w:rPr>
        <w:t>היה</w:t>
      </w:r>
      <w:r w:rsidRPr="0083388E">
        <w:rPr>
          <w:rFonts w:eastAsia="Times New Roman" w:cs="Times New Roman"/>
          <w:rtl/>
          <w:lang w:eastAsia="de-DE"/>
        </w:rPr>
        <w:t xml:space="preserve"> </w:t>
      </w:r>
      <w:r w:rsidRPr="0083388E">
        <w:rPr>
          <w:rFonts w:eastAsia="Times New Roman" w:cs="Times New Roman"/>
          <w:lang w:eastAsia="de-DE"/>
        </w:rPr>
        <w:t xml:space="preserve">(sein) und </w:t>
      </w:r>
      <w:r w:rsidRPr="0083388E">
        <w:rPr>
          <w:rFonts w:eastAsia="Times New Roman" w:cs="Times New Roman"/>
          <w:b/>
          <w:bCs/>
          <w:rtl/>
          <w:lang w:eastAsia="de-DE"/>
        </w:rPr>
        <w:t>כַּחֲגָבִים</w:t>
      </w:r>
      <w:r w:rsidRPr="0083388E">
        <w:rPr>
          <w:rFonts w:eastAsia="Times New Roman" w:cs="Times New Roman"/>
          <w:rtl/>
          <w:lang w:eastAsia="de-DE"/>
        </w:rPr>
        <w:t xml:space="preserve"> </w:t>
      </w:r>
      <w:r w:rsidRPr="0083388E">
        <w:rPr>
          <w:rFonts w:eastAsia="Times New Roman" w:cs="Times New Roman"/>
          <w:lang w:eastAsia="de-DE"/>
        </w:rPr>
        <w:t>(wie Heuschrecken) zeigt die extreme Selbsterniedrigung durch den Größenvergleich.</w:t>
      </w:r>
    </w:p>
    <w:p w14:paraId="4F67FADD"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 xml:space="preserve">Die projektierte Wahrnehmung </w:t>
      </w:r>
      <w:r w:rsidRPr="0083388E">
        <w:rPr>
          <w:rFonts w:eastAsia="Times New Roman" w:cs="Times New Roman"/>
          <w:b/>
          <w:bCs/>
          <w:rtl/>
          <w:lang w:eastAsia="de-DE"/>
        </w:rPr>
        <w:t>וְכֵ֥ן הָיִ֖ינוּ בְּעֵינֵיהֶֽם</w:t>
      </w:r>
      <w:r w:rsidRPr="0083388E">
        <w:rPr>
          <w:rFonts w:eastAsia="Times New Roman" w:cs="Times New Roman"/>
          <w:rtl/>
          <w:lang w:eastAsia="de-DE"/>
        </w:rPr>
        <w:t xml:space="preserve"> </w:t>
      </w:r>
      <w:r w:rsidRPr="0083388E">
        <w:rPr>
          <w:rFonts w:eastAsia="Times New Roman" w:cs="Times New Roman"/>
          <w:lang w:eastAsia="de-DE"/>
        </w:rPr>
        <w:t xml:space="preserve">(und so waren wir auch in ihren Augen) mit </w:t>
      </w:r>
      <w:r w:rsidRPr="0083388E">
        <w:rPr>
          <w:rFonts w:eastAsia="Times New Roman" w:cs="Times New Roman"/>
          <w:b/>
          <w:bCs/>
          <w:rtl/>
          <w:lang w:eastAsia="de-DE"/>
        </w:rPr>
        <w:t>כֵן</w:t>
      </w:r>
      <w:r w:rsidRPr="0083388E">
        <w:rPr>
          <w:rFonts w:eastAsia="Times New Roman" w:cs="Times New Roman"/>
          <w:rtl/>
          <w:lang w:eastAsia="de-DE"/>
        </w:rPr>
        <w:t xml:space="preserve"> </w:t>
      </w:r>
      <w:r w:rsidRPr="0083388E">
        <w:rPr>
          <w:rFonts w:eastAsia="Times New Roman" w:cs="Times New Roman"/>
          <w:lang w:eastAsia="de-DE"/>
        </w:rPr>
        <w:t xml:space="preserve">(so) und </w:t>
      </w:r>
      <w:r w:rsidRPr="0083388E">
        <w:rPr>
          <w:rFonts w:eastAsia="Times New Roman" w:cs="Times New Roman"/>
          <w:b/>
          <w:bCs/>
          <w:rtl/>
          <w:lang w:eastAsia="de-DE"/>
        </w:rPr>
        <w:t>בְּעֵינֵיהֶם</w:t>
      </w:r>
      <w:r w:rsidRPr="0083388E">
        <w:rPr>
          <w:rFonts w:eastAsia="Times New Roman" w:cs="Times New Roman"/>
          <w:rtl/>
          <w:lang w:eastAsia="de-DE"/>
        </w:rPr>
        <w:t xml:space="preserve"> </w:t>
      </w:r>
      <w:r w:rsidRPr="0083388E">
        <w:rPr>
          <w:rFonts w:eastAsia="Times New Roman" w:cs="Times New Roman"/>
          <w:lang w:eastAsia="de-DE"/>
        </w:rPr>
        <w:t>(in ihren Augen) projiziert die eigene Angst auf die Feinde.</w:t>
      </w:r>
    </w:p>
    <w:p w14:paraId="630FD1B1" w14:textId="62FD04ED"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b/>
          <w:bCs/>
          <w:lang w:eastAsia="de-DE"/>
        </w:rPr>
        <w:t>Die LXX</w:t>
      </w:r>
      <w:r w:rsidRPr="0083388E">
        <w:rPr>
          <w:rFonts w:eastAsia="Times New Roman" w:cs="Times New Roman"/>
          <w:lang w:eastAsia="de-DE"/>
        </w:rPr>
        <w:t xml:space="preserve"> </w:t>
      </w:r>
      <w:r w:rsidR="00184967">
        <w:rPr>
          <w:rStyle w:val="Fett"/>
        </w:rPr>
        <w:t>Vers 33 (MT) / Vers 34 (LXX):</w:t>
      </w:r>
      <w:r w:rsidR="00184967">
        <w:t xml:space="preserve"> </w:t>
      </w:r>
      <w:r w:rsidR="00184967">
        <w:rPr>
          <w:rStyle w:val="Fett"/>
        </w:rPr>
        <w:t>Die LXX</w:t>
      </w:r>
      <w:r w:rsidR="00184967">
        <w:t xml:space="preserve"> übersetzt „</w:t>
      </w:r>
      <w:r w:rsidR="00184967">
        <w:rPr>
          <w:rtl/>
        </w:rPr>
        <w:t>הַנְּפִילִים</w:t>
      </w:r>
      <w:r w:rsidR="00184967">
        <w:t>" (die Nephilim/Riesen) als „τοὺς γίγαντας" (die Giganten) und lässt die spezifische Verbindung zu den Nephilim weg. Zudem fehlt in der LXX die hebräische Phrase „</w:t>
      </w:r>
      <w:r w:rsidR="00184967">
        <w:rPr>
          <w:rtl/>
        </w:rPr>
        <w:t>בְּנֵי עֲנָק מִן־הַנְּפִלִים</w:t>
      </w:r>
      <w:r w:rsidR="00184967">
        <w:t>" (die Söhne Anaks von den Nephilim), was eine genealogische Präzisierung darstellt.</w:t>
      </w:r>
    </w:p>
    <w:p w14:paraId="70EC523B"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 Satzstruktur zeigt klimaktische mythologische Behauptung, extreme Selbsterniedrigung und projektierte Feindwahrnehmung.</w:t>
      </w:r>
    </w:p>
    <w:p w14:paraId="351BA6F5" w14:textId="77777777" w:rsidR="0083388E" w:rsidRP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Dieser abschließende Vers des Kapitels zeigt den Höhepunkt der Angst-Propaganda durch Verknüpfung mit mythologischen Riesen und extreme Selbsterniedrigung, die zur Volksrebellion führen wird.</w:t>
      </w:r>
    </w:p>
    <w:p w14:paraId="00E0D2DC" w14:textId="30B4E390" w:rsidR="0083388E" w:rsidRDefault="0083388E" w:rsidP="0083388E">
      <w:pPr>
        <w:spacing w:before="100" w:beforeAutospacing="1" w:after="100" w:afterAutospacing="1" w:line="240" w:lineRule="auto"/>
        <w:rPr>
          <w:rFonts w:eastAsia="Times New Roman" w:cs="Times New Roman"/>
          <w:lang w:eastAsia="de-DE"/>
        </w:rPr>
      </w:pPr>
      <w:r w:rsidRPr="0083388E">
        <w:rPr>
          <w:rFonts w:eastAsia="Times New Roman" w:cs="Times New Roman"/>
          <w:lang w:eastAsia="de-DE"/>
        </w:rPr>
        <w:t>Das Kapitel 13 insgesamt dokumentiert die tragische Transformation einer gottgewollten Aufklärungsmission zu einer glaubensvernichtenden Angst-Kampagne, die Israels Einzug ins verheißene Land um eine ganze Generation verzögert.</w:t>
      </w:r>
    </w:p>
    <w:p w14:paraId="4EEB0ABB" w14:textId="77777777" w:rsidR="003072D8" w:rsidRPr="003072D8" w:rsidRDefault="003072D8" w:rsidP="00F06C27">
      <w:pPr>
        <w:pStyle w:val="berschrift4"/>
        <w:rPr>
          <w:rFonts w:eastAsia="Times New Roman"/>
          <w:lang w:eastAsia="de-DE"/>
        </w:rPr>
      </w:pPr>
      <w:r w:rsidRPr="003072D8">
        <w:rPr>
          <w:rFonts w:eastAsia="Times New Roman"/>
          <w:lang w:eastAsia="de-DE"/>
        </w:rPr>
        <w:t xml:space="preserve">Exkurs: </w:t>
      </w:r>
      <w:r w:rsidRPr="00F06C27">
        <w:rPr>
          <w:rFonts w:eastAsia="Times New Roman"/>
          <w:i w:val="0"/>
          <w:iCs w:val="0"/>
          <w:rtl/>
          <w:lang w:eastAsia="de-DE"/>
        </w:rPr>
        <w:t>הַנְּפִילִים</w:t>
      </w:r>
      <w:r w:rsidRPr="003072D8">
        <w:rPr>
          <w:rFonts w:eastAsia="Times New Roman"/>
          <w:lang w:eastAsia="de-DE"/>
        </w:rPr>
        <w:t xml:space="preserve"> – Wer waren die Nephilim?</w:t>
      </w:r>
    </w:p>
    <w:p w14:paraId="2A077B8E"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Numeri 13,33:</w:t>
      </w:r>
    </w:p>
    <w:p w14:paraId="7C1BC555" w14:textId="77777777" w:rsidR="003072D8" w:rsidRPr="003072D8" w:rsidRDefault="003072D8" w:rsidP="003072D8">
      <w:pPr>
        <w:spacing w:beforeAutospacing="1" w:after="100" w:afterAutospacing="1" w:line="240" w:lineRule="auto"/>
        <w:rPr>
          <w:rFonts w:eastAsia="Times New Roman" w:cs="Times New Roman"/>
          <w:lang w:eastAsia="de-DE"/>
        </w:rPr>
      </w:pPr>
      <w:r w:rsidRPr="003072D8">
        <w:rPr>
          <w:rFonts w:eastAsia="Times New Roman" w:cs="Times New Roman"/>
          <w:rtl/>
          <w:lang w:eastAsia="de-DE"/>
        </w:rPr>
        <w:lastRenderedPageBreak/>
        <w:t>וְשָׁם רָאִינוּ אֶת־הַנְּפִילִים בְּנֵי עֲנָק מִן־הַנְּפִלִים</w:t>
      </w:r>
      <w:r w:rsidRPr="003072D8">
        <w:rPr>
          <w:rFonts w:eastAsia="Times New Roman" w:cs="Times New Roman"/>
          <w:lang w:eastAsia="de-DE"/>
        </w:rPr>
        <w:br/>
        <w:t xml:space="preserve">"Und dort haben wir die </w:t>
      </w:r>
      <w:r w:rsidRPr="003072D8">
        <w:rPr>
          <w:rFonts w:eastAsia="Times New Roman" w:cs="Times New Roman"/>
          <w:b/>
          <w:bCs/>
          <w:lang w:eastAsia="de-DE"/>
        </w:rPr>
        <w:t>Nephilim</w:t>
      </w:r>
      <w:r w:rsidRPr="003072D8">
        <w:rPr>
          <w:rFonts w:eastAsia="Times New Roman" w:cs="Times New Roman"/>
          <w:lang w:eastAsia="de-DE"/>
        </w:rPr>
        <w:t xml:space="preserve"> gesehen, die Söhne Anaks, </w:t>
      </w:r>
      <w:r w:rsidRPr="003072D8">
        <w:rPr>
          <w:rFonts w:eastAsia="Times New Roman" w:cs="Times New Roman"/>
          <w:b/>
          <w:bCs/>
          <w:lang w:eastAsia="de-DE"/>
        </w:rPr>
        <w:t>von den Nephilim</w:t>
      </w:r>
      <w:r w:rsidRPr="003072D8">
        <w:rPr>
          <w:rFonts w:eastAsia="Times New Roman" w:cs="Times New Roman"/>
          <w:lang w:eastAsia="de-DE"/>
        </w:rPr>
        <w:t>."</w:t>
      </w:r>
    </w:p>
    <w:p w14:paraId="506E4A69"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Genesis 6,4:</w:t>
      </w:r>
    </w:p>
    <w:p w14:paraId="322973CA" w14:textId="77777777" w:rsidR="003072D8" w:rsidRPr="003072D8" w:rsidRDefault="003072D8" w:rsidP="003072D8">
      <w:pPr>
        <w:spacing w:beforeAutospacing="1" w:after="100" w:afterAutospacing="1" w:line="240" w:lineRule="auto"/>
        <w:rPr>
          <w:rFonts w:eastAsia="Times New Roman" w:cs="Times New Roman"/>
          <w:lang w:eastAsia="de-DE"/>
        </w:rPr>
      </w:pPr>
      <w:r w:rsidRPr="003072D8">
        <w:rPr>
          <w:rFonts w:eastAsia="Times New Roman" w:cs="Times New Roman"/>
          <w:rtl/>
          <w:lang w:eastAsia="de-DE"/>
        </w:rPr>
        <w:t>הַנְּפִלִים הָיוּ בָאָרֶץ בַּיָּמִים הָהֵם וְגַם אַחֲרֵי־כֵן אֲשֶׁר יָבֹאוּ בְּנֵי הָאֱלֹהִים אֶל־בְּנוֹת הָאָדָם וְיָלְדוּ לָהֶם הֵמָּה הַגִּבֹּרִים אֲשֶׁר מֵעוֹלָם אַנְשֵׁי הַשֵּׁם</w:t>
      </w:r>
      <w:r w:rsidRPr="003072D8">
        <w:rPr>
          <w:rFonts w:eastAsia="Times New Roman" w:cs="Times New Roman"/>
          <w:lang w:eastAsia="de-DE"/>
        </w:rPr>
        <w:br/>
        <w:t xml:space="preserve">"Die </w:t>
      </w:r>
      <w:r w:rsidRPr="003072D8">
        <w:rPr>
          <w:rFonts w:eastAsia="Times New Roman" w:cs="Times New Roman"/>
          <w:b/>
          <w:bCs/>
          <w:lang w:eastAsia="de-DE"/>
        </w:rPr>
        <w:t>Nephilim</w:t>
      </w:r>
      <w:r w:rsidRPr="003072D8">
        <w:rPr>
          <w:rFonts w:eastAsia="Times New Roman" w:cs="Times New Roman"/>
          <w:lang w:eastAsia="de-DE"/>
        </w:rPr>
        <w:t xml:space="preserve"> waren auf der Erde in jenen Tagen, und auch danach, als die </w:t>
      </w:r>
      <w:r w:rsidRPr="003072D8">
        <w:rPr>
          <w:rFonts w:eastAsia="Times New Roman" w:cs="Times New Roman"/>
          <w:b/>
          <w:bCs/>
          <w:lang w:eastAsia="de-DE"/>
        </w:rPr>
        <w:t>Söhne Gottes</w:t>
      </w:r>
      <w:r w:rsidRPr="003072D8">
        <w:rPr>
          <w:rFonts w:eastAsia="Times New Roman" w:cs="Times New Roman"/>
          <w:lang w:eastAsia="de-DE"/>
        </w:rPr>
        <w:t xml:space="preserve"> zu den Töchtern der Menschen eingingen und sie ihnen gebaren; das sind die </w:t>
      </w:r>
      <w:r w:rsidRPr="003072D8">
        <w:rPr>
          <w:rFonts w:eastAsia="Times New Roman" w:cs="Times New Roman"/>
          <w:b/>
          <w:bCs/>
          <w:lang w:eastAsia="de-DE"/>
        </w:rPr>
        <w:t>Helden</w:t>
      </w:r>
      <w:r w:rsidRPr="003072D8">
        <w:rPr>
          <w:rFonts w:eastAsia="Times New Roman" w:cs="Times New Roman"/>
          <w:lang w:eastAsia="de-DE"/>
        </w:rPr>
        <w:t xml:space="preserve">, die von alters her waren, </w:t>
      </w:r>
      <w:r w:rsidRPr="003072D8">
        <w:rPr>
          <w:rFonts w:eastAsia="Times New Roman" w:cs="Times New Roman"/>
          <w:b/>
          <w:bCs/>
          <w:lang w:eastAsia="de-DE"/>
        </w:rPr>
        <w:t>Männer von Ruhm</w:t>
      </w:r>
      <w:r w:rsidRPr="003072D8">
        <w:rPr>
          <w:rFonts w:eastAsia="Times New Roman" w:cs="Times New Roman"/>
          <w:lang w:eastAsia="de-DE"/>
        </w:rPr>
        <w:t>."</w:t>
      </w:r>
    </w:p>
    <w:p w14:paraId="7B4BD775" w14:textId="1F06CA98" w:rsidR="003072D8" w:rsidRDefault="003072D8" w:rsidP="003072D8">
      <w:pPr>
        <w:spacing w:before="100" w:beforeAutospacing="1" w:after="100" w:afterAutospacing="1" w:line="240" w:lineRule="auto"/>
        <w:rPr>
          <w:rFonts w:eastAsia="Times New Roman" w:cs="Times New Roman"/>
          <w:b/>
          <w:bCs/>
          <w:lang w:eastAsia="de-DE"/>
        </w:rPr>
      </w:pPr>
      <w:r w:rsidRPr="003072D8">
        <w:rPr>
          <w:rFonts w:eastAsia="Times New Roman" w:cs="Times New Roman"/>
          <w:b/>
          <w:bCs/>
          <w:lang w:eastAsia="de-DE"/>
        </w:rPr>
        <w:t>Drei Hauptinterpretationen:</w:t>
      </w:r>
    </w:p>
    <w:tbl>
      <w:tblPr>
        <w:tblStyle w:val="Tabellenraster"/>
        <w:tblW w:w="4994" w:type="pct"/>
        <w:tblLook w:val="04A0" w:firstRow="1" w:lastRow="0" w:firstColumn="1" w:lastColumn="0" w:noHBand="0" w:noVBand="1"/>
      </w:tblPr>
      <w:tblGrid>
        <w:gridCol w:w="2263"/>
        <w:gridCol w:w="1986"/>
        <w:gridCol w:w="2409"/>
        <w:gridCol w:w="2393"/>
      </w:tblGrid>
      <w:tr w:rsidR="003072D8" w14:paraId="79F567EE" w14:textId="77777777" w:rsidTr="003072D8">
        <w:tc>
          <w:tcPr>
            <w:tcW w:w="1250" w:type="pct"/>
            <w:vAlign w:val="center"/>
          </w:tcPr>
          <w:p w14:paraId="6D394985" w14:textId="27FB8FBF"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Interpretation</w:t>
            </w:r>
          </w:p>
        </w:tc>
        <w:tc>
          <w:tcPr>
            <w:tcW w:w="1097" w:type="pct"/>
            <w:vAlign w:val="center"/>
          </w:tcPr>
          <w:p w14:paraId="49C67546" w14:textId="78C65196"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Etymologie</w:t>
            </w:r>
          </w:p>
        </w:tc>
        <w:tc>
          <w:tcPr>
            <w:tcW w:w="1331" w:type="pct"/>
            <w:vAlign w:val="center"/>
          </w:tcPr>
          <w:p w14:paraId="5D8DE60E" w14:textId="6B34DCB7"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Bedeutung</w:t>
            </w:r>
          </w:p>
        </w:tc>
        <w:tc>
          <w:tcPr>
            <w:tcW w:w="1322" w:type="pct"/>
            <w:vAlign w:val="center"/>
          </w:tcPr>
          <w:p w14:paraId="27BF88F2" w14:textId="66044C64"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Argumente</w:t>
            </w:r>
          </w:p>
        </w:tc>
      </w:tr>
      <w:tr w:rsidR="003072D8" w14:paraId="6F1A3FA8" w14:textId="77777777" w:rsidTr="003072D8">
        <w:tc>
          <w:tcPr>
            <w:tcW w:w="1250" w:type="pct"/>
            <w:vAlign w:val="center"/>
          </w:tcPr>
          <w:p w14:paraId="56A10241" w14:textId="3CCDEB79"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1. "Gefallene"</w:t>
            </w:r>
          </w:p>
        </w:tc>
        <w:tc>
          <w:tcPr>
            <w:tcW w:w="1097" w:type="pct"/>
            <w:vAlign w:val="center"/>
          </w:tcPr>
          <w:p w14:paraId="7289921B" w14:textId="77777777" w:rsidR="003072D8" w:rsidRDefault="003072D8" w:rsidP="003072D8">
            <w:pPr>
              <w:pStyle w:val="KeinLeerraum"/>
              <w:rPr>
                <w:lang w:eastAsia="de-DE"/>
              </w:rPr>
            </w:pPr>
            <w:r w:rsidRPr="003072D8">
              <w:rPr>
                <w:rtl/>
                <w:lang w:eastAsia="de-DE"/>
              </w:rPr>
              <w:t>נפל</w:t>
            </w:r>
            <w:r w:rsidRPr="003072D8">
              <w:rPr>
                <w:lang w:eastAsia="de-DE"/>
              </w:rPr>
              <w:t xml:space="preserve"> (fallen) </w:t>
            </w:r>
          </w:p>
          <w:p w14:paraId="79E06DEC" w14:textId="6647FB89" w:rsidR="003072D8" w:rsidRDefault="003072D8" w:rsidP="003072D8">
            <w:pPr>
              <w:pStyle w:val="KeinLeerraum"/>
              <w:rPr>
                <w:lang w:eastAsia="de-DE"/>
              </w:rPr>
            </w:pPr>
            <w:r w:rsidRPr="003072D8">
              <w:rPr>
                <w:lang w:eastAsia="de-DE"/>
              </w:rPr>
              <w:t xml:space="preserve">→ </w:t>
            </w:r>
            <w:r w:rsidRPr="003072D8">
              <w:rPr>
                <w:rtl/>
                <w:lang w:eastAsia="de-DE"/>
              </w:rPr>
              <w:t>נְפִילִים</w:t>
            </w:r>
            <w:r w:rsidRPr="003072D8">
              <w:rPr>
                <w:lang w:eastAsia="de-DE"/>
              </w:rPr>
              <w:t xml:space="preserve"> = "Gefallene"</w:t>
            </w:r>
          </w:p>
        </w:tc>
        <w:tc>
          <w:tcPr>
            <w:tcW w:w="1331" w:type="pct"/>
            <w:vAlign w:val="center"/>
          </w:tcPr>
          <w:p w14:paraId="539A4573" w14:textId="77777777" w:rsidR="003072D8" w:rsidRDefault="003072D8" w:rsidP="003072D8">
            <w:pPr>
              <w:pStyle w:val="KeinLeerraum"/>
              <w:rPr>
                <w:lang w:eastAsia="de-DE"/>
              </w:rPr>
            </w:pPr>
            <w:r w:rsidRPr="003072D8">
              <w:rPr>
                <w:b/>
                <w:bCs/>
                <w:lang w:eastAsia="de-DE"/>
              </w:rPr>
              <w:t>Gefallene Engel</w:t>
            </w:r>
            <w:r w:rsidRPr="003072D8">
              <w:rPr>
                <w:lang w:eastAsia="de-DE"/>
              </w:rPr>
              <w:t xml:space="preserve"> oder deren Nachkommen </w:t>
            </w:r>
          </w:p>
          <w:p w14:paraId="31E5EFAB" w14:textId="503D1D4F" w:rsidR="003072D8" w:rsidRDefault="003072D8" w:rsidP="003072D8">
            <w:pPr>
              <w:pStyle w:val="KeinLeerraum"/>
              <w:rPr>
                <w:lang w:eastAsia="de-DE"/>
              </w:rPr>
            </w:pPr>
            <w:r w:rsidRPr="003072D8">
              <w:rPr>
                <w:lang w:eastAsia="de-DE"/>
              </w:rPr>
              <w:t>(Gen 6,1-4)</w:t>
            </w:r>
          </w:p>
        </w:tc>
        <w:tc>
          <w:tcPr>
            <w:tcW w:w="1322" w:type="pct"/>
            <w:vAlign w:val="center"/>
          </w:tcPr>
          <w:p w14:paraId="5D28538D" w14:textId="26A622C0"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LXX: οἱ γίγαντες (Giganten)&lt;br&gt;• 1 Henoch: Nephilim = Nachkommen von Engeln + Menschen&lt;br&gt;• NT: 2 Petr 2,4; Jud 6 (gefallene Engel)</w:t>
            </w:r>
          </w:p>
        </w:tc>
      </w:tr>
      <w:tr w:rsidR="003072D8" w14:paraId="5986CA10" w14:textId="77777777" w:rsidTr="003072D8">
        <w:tc>
          <w:tcPr>
            <w:tcW w:w="1250" w:type="pct"/>
            <w:vAlign w:val="center"/>
          </w:tcPr>
          <w:p w14:paraId="5D08FE66" w14:textId="5A8013A7"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2. "Riesen"</w:t>
            </w:r>
          </w:p>
        </w:tc>
        <w:tc>
          <w:tcPr>
            <w:tcW w:w="1097" w:type="pct"/>
            <w:vAlign w:val="center"/>
          </w:tcPr>
          <w:p w14:paraId="3D147E53" w14:textId="7E7EDFB5"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Deskriptiv (nicht etymologisch)</w:t>
            </w:r>
          </w:p>
        </w:tc>
        <w:tc>
          <w:tcPr>
            <w:tcW w:w="1331" w:type="pct"/>
            <w:vAlign w:val="center"/>
          </w:tcPr>
          <w:p w14:paraId="563F05E0" w14:textId="64590E20"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Riesen</w:t>
            </w:r>
            <w:r w:rsidRPr="003072D8">
              <w:rPr>
                <w:rFonts w:eastAsia="Times New Roman" w:cs="Times New Roman"/>
                <w:lang w:eastAsia="de-DE"/>
              </w:rPr>
              <w:t xml:space="preserve"> (übermenschliche Größe)</w:t>
            </w:r>
          </w:p>
        </w:tc>
        <w:tc>
          <w:tcPr>
            <w:tcW w:w="1322" w:type="pct"/>
            <w:vAlign w:val="center"/>
          </w:tcPr>
          <w:p w14:paraId="162D92FA" w14:textId="77777777"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xml:space="preserve">• Num 13,33: </w:t>
            </w:r>
            <w:r w:rsidRPr="003072D8">
              <w:rPr>
                <w:rFonts w:eastAsia="Times New Roman" w:cs="Times New Roman"/>
                <w:rtl/>
                <w:lang w:eastAsia="de-DE"/>
              </w:rPr>
              <w:t>בְּנֵי עֲנָק</w:t>
            </w:r>
            <w:r w:rsidRPr="003072D8">
              <w:rPr>
                <w:rFonts w:eastAsia="Times New Roman" w:cs="Times New Roman"/>
                <w:lang w:eastAsia="de-DE"/>
              </w:rPr>
              <w:t xml:space="preserve"> (Söhne Anaks = Riesen)</w:t>
            </w:r>
          </w:p>
          <w:p w14:paraId="46799A75" w14:textId="77777777"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Dtn 2,10-11: Anakim = Riesen</w:t>
            </w:r>
          </w:p>
          <w:p w14:paraId="4AD14667" w14:textId="7C7387C3"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Vulgata: gigantes</w:t>
            </w:r>
          </w:p>
        </w:tc>
      </w:tr>
      <w:tr w:rsidR="003072D8" w14:paraId="7AC7AE9F" w14:textId="77777777" w:rsidTr="003072D8">
        <w:tc>
          <w:tcPr>
            <w:tcW w:w="1250" w:type="pct"/>
            <w:vAlign w:val="center"/>
          </w:tcPr>
          <w:p w14:paraId="2302B031" w14:textId="115A9FAF"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3. "Fäller/Krieger"</w:t>
            </w:r>
          </w:p>
        </w:tc>
        <w:tc>
          <w:tcPr>
            <w:tcW w:w="1097" w:type="pct"/>
            <w:vAlign w:val="center"/>
          </w:tcPr>
          <w:p w14:paraId="392DFC40" w14:textId="15CF6407"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rtl/>
                <w:lang w:eastAsia="de-DE"/>
              </w:rPr>
              <w:t>הִפִּיל</w:t>
            </w:r>
            <w:r w:rsidRPr="003072D8">
              <w:rPr>
                <w:rFonts w:eastAsia="Times New Roman" w:cs="Times New Roman"/>
                <w:lang w:eastAsia="de-DE"/>
              </w:rPr>
              <w:t xml:space="preserve"> (fällen) → Hiph'il-Partizip = "Fäller"</w:t>
            </w:r>
          </w:p>
        </w:tc>
        <w:tc>
          <w:tcPr>
            <w:tcW w:w="1331" w:type="pct"/>
            <w:vAlign w:val="center"/>
          </w:tcPr>
          <w:p w14:paraId="343302C9" w14:textId="668EE40A"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Krieger</w:t>
            </w:r>
            <w:r w:rsidRPr="003072D8">
              <w:rPr>
                <w:rFonts w:eastAsia="Times New Roman" w:cs="Times New Roman"/>
                <w:lang w:eastAsia="de-DE"/>
              </w:rPr>
              <w:t xml:space="preserve"> (die andere "fällen")</w:t>
            </w:r>
          </w:p>
        </w:tc>
        <w:tc>
          <w:tcPr>
            <w:tcW w:w="1322" w:type="pct"/>
            <w:vAlign w:val="center"/>
          </w:tcPr>
          <w:p w14:paraId="07922007" w14:textId="7BCA2A8D"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xml:space="preserve">• Gen 6,4: </w:t>
            </w:r>
            <w:r w:rsidRPr="003072D8">
              <w:rPr>
                <w:rFonts w:eastAsia="Times New Roman" w:cs="Times New Roman"/>
                <w:rtl/>
                <w:lang w:eastAsia="de-DE"/>
              </w:rPr>
              <w:t>הַגִּבֹּרִים</w:t>
            </w:r>
            <w:r w:rsidRPr="003072D8">
              <w:rPr>
                <w:rFonts w:eastAsia="Times New Roman" w:cs="Times New Roman"/>
                <w:lang w:eastAsia="de-DE"/>
              </w:rPr>
              <w:t xml:space="preserve"> (die Helden)</w:t>
            </w:r>
          </w:p>
          <w:p w14:paraId="23FEA333" w14:textId="45FC9FFA" w:rsid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Fokus auf militärische Macht</w:t>
            </w:r>
          </w:p>
        </w:tc>
      </w:tr>
    </w:tbl>
    <w:p w14:paraId="6296FDD0" w14:textId="77777777" w:rsidR="003072D8" w:rsidRPr="003072D8" w:rsidRDefault="003072D8" w:rsidP="003072D8">
      <w:pPr>
        <w:pStyle w:val="KeinLeerraum"/>
        <w:rPr>
          <w:lang w:eastAsia="de-DE"/>
        </w:rPr>
      </w:pPr>
    </w:p>
    <w:p w14:paraId="0C5A8547"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Das Problem: Überleben der Sintflut?</w:t>
      </w:r>
    </w:p>
    <w:p w14:paraId="07B7A7F9"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Genesis 6-9:</w:t>
      </w:r>
      <w:r w:rsidRPr="003072D8">
        <w:rPr>
          <w:rFonts w:eastAsia="Times New Roman" w:cs="Times New Roman"/>
          <w:lang w:eastAsia="de-DE"/>
        </w:rPr>
        <w:t xml:space="preserve"> Die </w:t>
      </w:r>
      <w:r w:rsidRPr="003072D8">
        <w:rPr>
          <w:rFonts w:eastAsia="Times New Roman" w:cs="Times New Roman"/>
          <w:b/>
          <w:bCs/>
          <w:lang w:eastAsia="de-DE"/>
        </w:rPr>
        <w:t>Sintflut</w:t>
      </w:r>
      <w:r w:rsidRPr="003072D8">
        <w:rPr>
          <w:rFonts w:eastAsia="Times New Roman" w:cs="Times New Roman"/>
          <w:lang w:eastAsia="de-DE"/>
        </w:rPr>
        <w:t xml:space="preserve"> vernichtete </w:t>
      </w:r>
      <w:r w:rsidRPr="003072D8">
        <w:rPr>
          <w:rFonts w:eastAsia="Times New Roman" w:cs="Times New Roman"/>
          <w:b/>
          <w:bCs/>
          <w:lang w:eastAsia="de-DE"/>
        </w:rPr>
        <w:t>alle</w:t>
      </w:r>
      <w:r w:rsidRPr="003072D8">
        <w:rPr>
          <w:rFonts w:eastAsia="Times New Roman" w:cs="Times New Roman"/>
          <w:lang w:eastAsia="de-DE"/>
        </w:rPr>
        <w:t xml:space="preserve"> außer Noah + Familie.</w:t>
      </w:r>
    </w:p>
    <w:p w14:paraId="2BB3B142"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Aber:</w:t>
      </w:r>
      <w:r w:rsidRPr="003072D8">
        <w:rPr>
          <w:rFonts w:eastAsia="Times New Roman" w:cs="Times New Roman"/>
          <w:lang w:eastAsia="de-DE"/>
        </w:rPr>
        <w:t xml:space="preserve"> Numeri 13,33 sagt, die Kundschafter sahen </w:t>
      </w:r>
      <w:r w:rsidRPr="003072D8">
        <w:rPr>
          <w:rFonts w:eastAsia="Times New Roman" w:cs="Times New Roman"/>
          <w:b/>
          <w:bCs/>
          <w:lang w:eastAsia="de-DE"/>
        </w:rPr>
        <w:t>Nephilim</w:t>
      </w:r>
      <w:r w:rsidRPr="003072D8">
        <w:rPr>
          <w:rFonts w:eastAsia="Times New Roman" w:cs="Times New Roman"/>
          <w:lang w:eastAsia="de-DE"/>
        </w:rPr>
        <w:t xml:space="preserve"> (</w:t>
      </w:r>
      <w:r w:rsidRPr="003072D8">
        <w:rPr>
          <w:rFonts w:eastAsia="Times New Roman" w:cs="Times New Roman"/>
          <w:rtl/>
          <w:lang w:eastAsia="de-DE"/>
        </w:rPr>
        <w:t>בְּנֵי עֲנָק מִן־הַנְּפִלִים</w:t>
      </w:r>
      <w:r w:rsidRPr="003072D8">
        <w:rPr>
          <w:rFonts w:eastAsia="Times New Roman" w:cs="Times New Roman"/>
          <w:lang w:eastAsia="de-DE"/>
        </w:rPr>
        <w:t>).</w:t>
      </w:r>
    </w:p>
    <w:p w14:paraId="27A3F47D"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Wie ist das möglich?</w:t>
      </w:r>
    </w:p>
    <w:p w14:paraId="57E72C23"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Lösungen:</w:t>
      </w:r>
    </w:p>
    <w:p w14:paraId="5A95148D"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1. "Auch danach" (Gen 6,4):</w:t>
      </w:r>
    </w:p>
    <w:p w14:paraId="24425D43" w14:textId="77777777" w:rsidR="003072D8" w:rsidRPr="003072D8" w:rsidRDefault="003072D8" w:rsidP="003072D8">
      <w:pPr>
        <w:spacing w:beforeAutospacing="1" w:after="100" w:afterAutospacing="1" w:line="240" w:lineRule="auto"/>
        <w:rPr>
          <w:rFonts w:eastAsia="Times New Roman" w:cs="Times New Roman"/>
          <w:lang w:eastAsia="de-DE"/>
        </w:rPr>
      </w:pPr>
      <w:r w:rsidRPr="003072D8">
        <w:rPr>
          <w:rFonts w:eastAsia="Times New Roman" w:cs="Times New Roman"/>
          <w:lang w:eastAsia="de-DE"/>
        </w:rPr>
        <w:lastRenderedPageBreak/>
        <w:t xml:space="preserve">"Die Nephilim waren auf der Erde in jenen Tagen, </w:t>
      </w:r>
      <w:r w:rsidRPr="003072D8">
        <w:rPr>
          <w:rFonts w:eastAsia="Times New Roman" w:cs="Times New Roman"/>
          <w:b/>
          <w:bCs/>
          <w:lang w:eastAsia="de-DE"/>
        </w:rPr>
        <w:t>und auch danach</w:t>
      </w:r>
      <w:r w:rsidRPr="003072D8">
        <w:rPr>
          <w:rFonts w:eastAsia="Times New Roman" w:cs="Times New Roman"/>
          <w:lang w:eastAsia="de-DE"/>
        </w:rPr>
        <w:t xml:space="preserve"> (</w:t>
      </w:r>
      <w:r w:rsidRPr="003072D8">
        <w:rPr>
          <w:rFonts w:eastAsia="Times New Roman" w:cs="Times New Roman"/>
          <w:rtl/>
          <w:lang w:eastAsia="de-DE"/>
        </w:rPr>
        <w:t>וְגַם אַחֲרֵי־כֵן</w:t>
      </w:r>
      <w:r w:rsidRPr="003072D8">
        <w:rPr>
          <w:rFonts w:eastAsia="Times New Roman" w:cs="Times New Roman"/>
          <w:lang w:eastAsia="de-DE"/>
        </w:rPr>
        <w:t>)..."</w:t>
      </w:r>
    </w:p>
    <w:p w14:paraId="2100865E"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xml:space="preserve">→ Es gab Nephilim </w:t>
      </w:r>
      <w:r w:rsidRPr="003072D8">
        <w:rPr>
          <w:rFonts w:eastAsia="Times New Roman" w:cs="Times New Roman"/>
          <w:b/>
          <w:bCs/>
          <w:lang w:eastAsia="de-DE"/>
        </w:rPr>
        <w:t>vor</w:t>
      </w:r>
      <w:r w:rsidRPr="003072D8">
        <w:rPr>
          <w:rFonts w:eastAsia="Times New Roman" w:cs="Times New Roman"/>
          <w:lang w:eastAsia="de-DE"/>
        </w:rPr>
        <w:t xml:space="preserve"> UND </w:t>
      </w:r>
      <w:r w:rsidRPr="003072D8">
        <w:rPr>
          <w:rFonts w:eastAsia="Times New Roman" w:cs="Times New Roman"/>
          <w:b/>
          <w:bCs/>
          <w:lang w:eastAsia="de-DE"/>
        </w:rPr>
        <w:t>nach</w:t>
      </w:r>
      <w:r w:rsidRPr="003072D8">
        <w:rPr>
          <w:rFonts w:eastAsia="Times New Roman" w:cs="Times New Roman"/>
          <w:lang w:eastAsia="de-DE"/>
        </w:rPr>
        <w:t xml:space="preserve"> der Sintflut (zweite Generation?)</w:t>
      </w:r>
    </w:p>
    <w:p w14:paraId="2C2F9260"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2. Metaphorische Verwendung (Num 13,33):</w:t>
      </w:r>
    </w:p>
    <w:p w14:paraId="380F38A1" w14:textId="77777777" w:rsidR="003072D8" w:rsidRPr="003072D8" w:rsidRDefault="003072D8" w:rsidP="00077755">
      <w:pPr>
        <w:numPr>
          <w:ilvl w:val="0"/>
          <w:numId w:val="111"/>
        </w:num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xml:space="preserve">Die Kundschafter </w:t>
      </w:r>
      <w:r w:rsidRPr="003072D8">
        <w:rPr>
          <w:rFonts w:eastAsia="Times New Roman" w:cs="Times New Roman"/>
          <w:b/>
          <w:bCs/>
          <w:lang w:eastAsia="de-DE"/>
        </w:rPr>
        <w:t>übertreiben</w:t>
      </w:r>
      <w:r w:rsidRPr="003072D8">
        <w:rPr>
          <w:rFonts w:eastAsia="Times New Roman" w:cs="Times New Roman"/>
          <w:lang w:eastAsia="de-DE"/>
        </w:rPr>
        <w:t xml:space="preserve"> (Angst-Propaganda!)</w:t>
      </w:r>
    </w:p>
    <w:p w14:paraId="3AFC4477" w14:textId="77777777" w:rsidR="003072D8" w:rsidRPr="003072D8" w:rsidRDefault="003072D8" w:rsidP="00077755">
      <w:pPr>
        <w:numPr>
          <w:ilvl w:val="0"/>
          <w:numId w:val="111"/>
        </w:num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"Wie Nephilim" = "riesig wie die mythischen Riesen"</w:t>
      </w:r>
    </w:p>
    <w:p w14:paraId="7ADB6A1C" w14:textId="77777777" w:rsidR="003072D8" w:rsidRPr="003072D8" w:rsidRDefault="003072D8" w:rsidP="00077755">
      <w:pPr>
        <w:numPr>
          <w:ilvl w:val="0"/>
          <w:numId w:val="111"/>
        </w:num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Nicht wörtlich</w:t>
      </w:r>
      <w:r w:rsidRPr="003072D8">
        <w:rPr>
          <w:rFonts w:eastAsia="Times New Roman" w:cs="Times New Roman"/>
          <w:lang w:eastAsia="de-DE"/>
        </w:rPr>
        <w:t xml:space="preserve"> die vorsintflutlichen Nephilim</w:t>
      </w:r>
    </w:p>
    <w:p w14:paraId="4E82AF0E"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3. Durch Ham's Linie:</w:t>
      </w:r>
    </w:p>
    <w:p w14:paraId="068281BC" w14:textId="77777777" w:rsidR="003072D8" w:rsidRPr="003072D8" w:rsidRDefault="003072D8" w:rsidP="00077755">
      <w:pPr>
        <w:numPr>
          <w:ilvl w:val="0"/>
          <w:numId w:val="112"/>
        </w:num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Kanaan (Sohn Hams) = Nachkomme Noahs</w:t>
      </w:r>
    </w:p>
    <w:p w14:paraId="57B7AE03" w14:textId="77777777" w:rsidR="003072D8" w:rsidRPr="003072D8" w:rsidRDefault="003072D8" w:rsidP="00077755">
      <w:pPr>
        <w:numPr>
          <w:ilvl w:val="0"/>
          <w:numId w:val="112"/>
        </w:num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Spekulation:</w:t>
      </w:r>
      <w:r w:rsidRPr="003072D8">
        <w:rPr>
          <w:rFonts w:eastAsia="Times New Roman" w:cs="Times New Roman"/>
          <w:lang w:eastAsia="de-DE"/>
        </w:rPr>
        <w:t xml:space="preserve"> Gen-Mutation durch Ham's Linie?</w:t>
      </w:r>
    </w:p>
    <w:p w14:paraId="3C9B8314" w14:textId="77777777" w:rsidR="003072D8" w:rsidRPr="003072D8" w:rsidRDefault="003072D8" w:rsidP="003072D8">
      <w:pPr>
        <w:spacing w:before="100" w:beforeAutospacing="1" w:after="100" w:afterAutospacing="1" w:line="240" w:lineRule="auto"/>
        <w:rPr>
          <w:rFonts w:eastAsia="Times New Roman" w:cs="Times New Roman"/>
          <w:color w:val="5B9BD5" w:themeColor="accent5"/>
          <w:lang w:eastAsia="de-DE"/>
        </w:rPr>
      </w:pPr>
      <w:r w:rsidRPr="003072D8">
        <w:rPr>
          <w:rFonts w:eastAsia="Times New Roman" w:cs="Times New Roman"/>
          <w:b/>
          <w:bCs/>
          <w:color w:val="5B9BD5" w:themeColor="accent5"/>
          <w:lang w:eastAsia="de-DE"/>
        </w:rPr>
        <w:t>Wahrscheinlichste Lösung:</w:t>
      </w:r>
    </w:p>
    <w:p w14:paraId="350075E0"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Num 13,33 ist Übertreibung/Propaganda der 10 ungläubigen Kundschafter:</w:t>
      </w:r>
    </w:p>
    <w:p w14:paraId="6DB6E385" w14:textId="77777777" w:rsidR="003072D8" w:rsidRPr="003072D8" w:rsidRDefault="003072D8" w:rsidP="00077755">
      <w:pPr>
        <w:numPr>
          <w:ilvl w:val="0"/>
          <w:numId w:val="113"/>
        </w:num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V. 32:</w:t>
      </w:r>
      <w:r w:rsidRPr="003072D8">
        <w:rPr>
          <w:rFonts w:eastAsia="Times New Roman" w:cs="Times New Roman"/>
          <w:lang w:eastAsia="de-DE"/>
        </w:rPr>
        <w:t xml:space="preserve"> </w:t>
      </w:r>
      <w:r w:rsidRPr="003072D8">
        <w:rPr>
          <w:rFonts w:eastAsia="Times New Roman" w:cs="Times New Roman"/>
          <w:rtl/>
          <w:lang w:eastAsia="de-DE"/>
        </w:rPr>
        <w:t>דִּבַּת הָאָרֶץ</w:t>
      </w:r>
      <w:r w:rsidRPr="003072D8">
        <w:rPr>
          <w:rFonts w:eastAsia="Times New Roman" w:cs="Times New Roman"/>
          <w:lang w:eastAsia="de-DE"/>
        </w:rPr>
        <w:t xml:space="preserve"> ("böses Gerücht") → </w:t>
      </w:r>
      <w:r w:rsidRPr="003072D8">
        <w:rPr>
          <w:rFonts w:eastAsia="Times New Roman" w:cs="Times New Roman"/>
          <w:b/>
          <w:bCs/>
          <w:lang w:eastAsia="de-DE"/>
        </w:rPr>
        <w:t>Verleumdung</w:t>
      </w:r>
      <w:r w:rsidRPr="003072D8">
        <w:rPr>
          <w:rFonts w:eastAsia="Times New Roman" w:cs="Times New Roman"/>
          <w:lang w:eastAsia="de-DE"/>
        </w:rPr>
        <w:t>!</w:t>
      </w:r>
    </w:p>
    <w:p w14:paraId="1C435AA8" w14:textId="77777777" w:rsidR="003072D8" w:rsidRPr="003072D8" w:rsidRDefault="003072D8" w:rsidP="00077755">
      <w:pPr>
        <w:numPr>
          <w:ilvl w:val="0"/>
          <w:numId w:val="113"/>
        </w:num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V. 32:</w:t>
      </w:r>
      <w:r w:rsidRPr="003072D8">
        <w:rPr>
          <w:rFonts w:eastAsia="Times New Roman" w:cs="Times New Roman"/>
          <w:lang w:eastAsia="de-DE"/>
        </w:rPr>
        <w:t xml:space="preserve"> </w:t>
      </w:r>
      <w:r w:rsidRPr="003072D8">
        <w:rPr>
          <w:rFonts w:eastAsia="Times New Roman" w:cs="Times New Roman"/>
          <w:rtl/>
          <w:lang w:eastAsia="de-DE"/>
        </w:rPr>
        <w:t>אֶרֶץ אֹכֶלֶת יוֹשְׁבֶיהָ</w:t>
      </w:r>
      <w:r w:rsidRPr="003072D8">
        <w:rPr>
          <w:rFonts w:eastAsia="Times New Roman" w:cs="Times New Roman"/>
          <w:lang w:eastAsia="de-DE"/>
        </w:rPr>
        <w:t xml:space="preserve"> ("Land frisst Bewohner") → </w:t>
      </w:r>
      <w:r w:rsidRPr="003072D8">
        <w:rPr>
          <w:rFonts w:eastAsia="Times New Roman" w:cs="Times New Roman"/>
          <w:b/>
          <w:bCs/>
          <w:lang w:eastAsia="de-DE"/>
        </w:rPr>
        <w:t>Metapher</w:t>
      </w:r>
      <w:r w:rsidRPr="003072D8">
        <w:rPr>
          <w:rFonts w:eastAsia="Times New Roman" w:cs="Times New Roman"/>
          <w:lang w:eastAsia="de-DE"/>
        </w:rPr>
        <w:t>!</w:t>
      </w:r>
    </w:p>
    <w:p w14:paraId="5EF9A3E4" w14:textId="77777777" w:rsidR="003072D8" w:rsidRPr="003072D8" w:rsidRDefault="003072D8" w:rsidP="00077755">
      <w:pPr>
        <w:numPr>
          <w:ilvl w:val="0"/>
          <w:numId w:val="113"/>
        </w:num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V. 33:</w:t>
      </w:r>
      <w:r w:rsidRPr="003072D8">
        <w:rPr>
          <w:rFonts w:eastAsia="Times New Roman" w:cs="Times New Roman"/>
          <w:lang w:eastAsia="de-DE"/>
        </w:rPr>
        <w:t xml:space="preserve"> "Wie Nephilim" → </w:t>
      </w:r>
      <w:r w:rsidRPr="003072D8">
        <w:rPr>
          <w:rFonts w:eastAsia="Times New Roman" w:cs="Times New Roman"/>
          <w:b/>
          <w:bCs/>
          <w:lang w:eastAsia="de-DE"/>
        </w:rPr>
        <w:t>Übertreibung</w:t>
      </w:r>
      <w:r w:rsidRPr="003072D8">
        <w:rPr>
          <w:rFonts w:eastAsia="Times New Roman" w:cs="Times New Roman"/>
          <w:lang w:eastAsia="de-DE"/>
        </w:rPr>
        <w:t xml:space="preserve"> (Riesen, aber nicht wörtlich Nephilim)</w:t>
      </w:r>
    </w:p>
    <w:p w14:paraId="2A1138E5" w14:textId="772C4AB5"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Theologische Bedeutung:</w:t>
      </w:r>
    </w:p>
    <w:p w14:paraId="71C08593"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1. Angst vs. Glaube:</w:t>
      </w:r>
    </w:p>
    <w:p w14:paraId="01D1572F" w14:textId="77777777" w:rsidR="003072D8" w:rsidRPr="003072D8" w:rsidRDefault="003072D8" w:rsidP="00077755">
      <w:pPr>
        <w:numPr>
          <w:ilvl w:val="0"/>
          <w:numId w:val="114"/>
        </w:num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Die 10 Kundschafter sehen "</w:t>
      </w:r>
      <w:r w:rsidRPr="003072D8">
        <w:rPr>
          <w:rFonts w:eastAsia="Times New Roman" w:cs="Times New Roman"/>
          <w:b/>
          <w:bCs/>
          <w:lang w:eastAsia="de-DE"/>
        </w:rPr>
        <w:t>Nephilim</w:t>
      </w:r>
      <w:r w:rsidRPr="003072D8">
        <w:rPr>
          <w:rFonts w:eastAsia="Times New Roman" w:cs="Times New Roman"/>
          <w:lang w:eastAsia="de-DE"/>
        </w:rPr>
        <w:t>" (übermenschliche Feinde)</w:t>
      </w:r>
    </w:p>
    <w:p w14:paraId="570A6670" w14:textId="77777777" w:rsidR="003072D8" w:rsidRPr="003072D8" w:rsidRDefault="003072D8" w:rsidP="00077755">
      <w:pPr>
        <w:numPr>
          <w:ilvl w:val="0"/>
          <w:numId w:val="114"/>
        </w:num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Kaleb + Josua sehen "</w:t>
      </w:r>
      <w:r w:rsidRPr="003072D8">
        <w:rPr>
          <w:rFonts w:eastAsia="Times New Roman" w:cs="Times New Roman"/>
          <w:b/>
          <w:bCs/>
          <w:lang w:eastAsia="de-DE"/>
        </w:rPr>
        <w:t>JHWH's Macht</w:t>
      </w:r>
      <w:r w:rsidRPr="003072D8">
        <w:rPr>
          <w:rFonts w:eastAsia="Times New Roman" w:cs="Times New Roman"/>
          <w:lang w:eastAsia="de-DE"/>
        </w:rPr>
        <w:t>" (Num 14,9: "JHWH ist mit uns!")</w:t>
      </w:r>
    </w:p>
    <w:p w14:paraId="4508B1A7" w14:textId="77777777" w:rsidR="003072D8" w:rsidRPr="003072D8" w:rsidRDefault="003072D8" w:rsidP="003072D8">
      <w:p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2. Menschliche Perspektive vs. göttliche Realität:</w:t>
      </w:r>
    </w:p>
    <w:p w14:paraId="799431C6" w14:textId="77777777" w:rsidR="003072D8" w:rsidRPr="003072D8" w:rsidRDefault="003072D8" w:rsidP="00077755">
      <w:pPr>
        <w:numPr>
          <w:ilvl w:val="0"/>
          <w:numId w:val="115"/>
        </w:numPr>
        <w:spacing w:before="100" w:beforeAutospacing="1" w:after="100" w:afterAutospacing="1" w:line="240" w:lineRule="auto"/>
        <w:rPr>
          <w:rFonts w:eastAsia="Times New Roman" w:cs="Times New Roman"/>
          <w:lang w:eastAsia="de-DE"/>
        </w:rPr>
      </w:pPr>
      <w:r w:rsidRPr="003072D8">
        <w:rPr>
          <w:rFonts w:eastAsia="Times New Roman" w:cs="Times New Roman"/>
          <w:b/>
          <w:bCs/>
          <w:lang w:eastAsia="de-DE"/>
        </w:rPr>
        <w:t>V. 33:</w:t>
      </w:r>
      <w:r w:rsidRPr="003072D8">
        <w:rPr>
          <w:rFonts w:eastAsia="Times New Roman" w:cs="Times New Roman"/>
          <w:lang w:eastAsia="de-DE"/>
        </w:rPr>
        <w:t xml:space="preserve"> "Wir waren in unseren Augen wie </w:t>
      </w:r>
      <w:r w:rsidRPr="003072D8">
        <w:rPr>
          <w:rFonts w:eastAsia="Times New Roman" w:cs="Times New Roman"/>
          <w:b/>
          <w:bCs/>
          <w:lang w:eastAsia="de-DE"/>
        </w:rPr>
        <w:t>Heuschrecken</w:t>
      </w:r>
      <w:r w:rsidRPr="003072D8">
        <w:rPr>
          <w:rFonts w:eastAsia="Times New Roman" w:cs="Times New Roman"/>
          <w:lang w:eastAsia="de-DE"/>
        </w:rPr>
        <w:t>"</w:t>
      </w:r>
    </w:p>
    <w:p w14:paraId="45467E87" w14:textId="77777777" w:rsidR="003072D8" w:rsidRPr="003072D8" w:rsidRDefault="003072D8" w:rsidP="00077755">
      <w:pPr>
        <w:numPr>
          <w:ilvl w:val="0"/>
          <w:numId w:val="115"/>
        </w:num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xml:space="preserve">→ </w:t>
      </w:r>
      <w:r w:rsidRPr="003072D8">
        <w:rPr>
          <w:rFonts w:eastAsia="Times New Roman" w:cs="Times New Roman"/>
          <w:b/>
          <w:bCs/>
          <w:lang w:eastAsia="de-DE"/>
        </w:rPr>
        <w:t>Selbsterniedrigung</w:t>
      </w:r>
      <w:r w:rsidRPr="003072D8">
        <w:rPr>
          <w:rFonts w:eastAsia="Times New Roman" w:cs="Times New Roman"/>
          <w:lang w:eastAsia="de-DE"/>
        </w:rPr>
        <w:t xml:space="preserve"> durch Angst!</w:t>
      </w:r>
    </w:p>
    <w:p w14:paraId="268AC695" w14:textId="384F5261" w:rsidR="003072D8" w:rsidRPr="003072D8" w:rsidRDefault="003072D8" w:rsidP="00077755">
      <w:pPr>
        <w:numPr>
          <w:ilvl w:val="0"/>
          <w:numId w:val="115"/>
        </w:numPr>
        <w:spacing w:before="100" w:beforeAutospacing="1" w:after="100" w:afterAutospacing="1" w:line="240" w:lineRule="auto"/>
        <w:rPr>
          <w:rFonts w:eastAsia="Times New Roman" w:cs="Times New Roman"/>
          <w:lang w:eastAsia="de-DE"/>
        </w:rPr>
      </w:pPr>
      <w:r w:rsidRPr="003072D8">
        <w:rPr>
          <w:rFonts w:eastAsia="Times New Roman" w:cs="Times New Roman"/>
          <w:lang w:eastAsia="de-DE"/>
        </w:rPr>
        <w:t xml:space="preserve">Gott sieht Israel als sein </w:t>
      </w:r>
      <w:r w:rsidRPr="003072D8">
        <w:rPr>
          <w:rFonts w:eastAsia="Times New Roman" w:cs="Times New Roman"/>
          <w:b/>
          <w:bCs/>
          <w:lang w:eastAsia="de-DE"/>
        </w:rPr>
        <w:t>Volk</w:t>
      </w:r>
      <w:r w:rsidRPr="003072D8">
        <w:rPr>
          <w:rFonts w:eastAsia="Times New Roman" w:cs="Times New Roman"/>
          <w:lang w:eastAsia="de-DE"/>
        </w:rPr>
        <w:t>, nicht als Heuschrecken!</w:t>
      </w:r>
    </w:p>
    <w:p w14:paraId="1D390F50"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14,1</w:t>
      </w:r>
    </w:p>
    <w:p w14:paraId="310D30E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וַתִּשָּׂא֙ כָּל־הָ֣עֵדָ֔ה וַֽיִּתְּנ֖וּ אֶת־קוֹלָ֑ם וַיִּבְכּ֥וּ הָעָ֖ם בַּלַּ֥יְלָה הַהֽוּא׃</w:t>
      </w:r>
    </w:p>
    <w:p w14:paraId="6218DFC8"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Da erhob die ganze Gemeinde ihre Stimme und schrie, und das Volk weinte in jener Nacht.</w:t>
      </w:r>
    </w:p>
    <w:p w14:paraId="6F4DF6C3"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4C08FEBD">
          <v:rect id="_x0000_i1453" style="width:0;height:1.5pt" o:hralign="center" o:hrstd="t" o:hr="t" fillcolor="#a0a0a0" stroked="f"/>
        </w:pict>
      </w:r>
    </w:p>
    <w:p w14:paraId="1D008164"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Das Verb </w:t>
      </w:r>
      <w:r w:rsidRPr="0016711A">
        <w:rPr>
          <w:rFonts w:eastAsia="Times New Roman" w:cs="Times New Roman"/>
          <w:b/>
          <w:bCs/>
          <w:rtl/>
          <w:lang w:eastAsia="de-DE"/>
        </w:rPr>
        <w:t>וַתִּשָּׂא֙ כָּל־הָ֣עֵדָ֔ה</w:t>
      </w:r>
      <w:r w:rsidRPr="0016711A">
        <w:rPr>
          <w:rFonts w:eastAsia="Times New Roman" w:cs="Times New Roman"/>
          <w:rtl/>
          <w:lang w:eastAsia="de-DE"/>
        </w:rPr>
        <w:t xml:space="preserve"> </w:t>
      </w:r>
      <w:r w:rsidRPr="0016711A">
        <w:rPr>
          <w:rFonts w:eastAsia="Times New Roman" w:cs="Times New Roman"/>
          <w:lang w:eastAsia="de-DE"/>
        </w:rPr>
        <w:t xml:space="preserve">(und die ganze Gemeinde erhob) mit </w:t>
      </w:r>
      <w:r w:rsidRPr="0016711A">
        <w:rPr>
          <w:rFonts w:eastAsia="Times New Roman" w:cs="Times New Roman"/>
          <w:b/>
          <w:bCs/>
          <w:rtl/>
          <w:lang w:eastAsia="de-DE"/>
        </w:rPr>
        <w:t>תִּשָּׂא</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נשא</w:t>
      </w:r>
      <w:r w:rsidRPr="0016711A">
        <w:rPr>
          <w:rFonts w:eastAsia="Times New Roman" w:cs="Times New Roman"/>
          <w:rtl/>
          <w:lang w:eastAsia="de-DE"/>
        </w:rPr>
        <w:t xml:space="preserve"> </w:t>
      </w:r>
      <w:r w:rsidRPr="0016711A">
        <w:rPr>
          <w:rFonts w:eastAsia="Times New Roman" w:cs="Times New Roman"/>
          <w:lang w:eastAsia="de-DE"/>
        </w:rPr>
        <w:t xml:space="preserve">(erheben) im Qal-Imperfekt 3. feminin Singular und </w:t>
      </w:r>
      <w:r w:rsidRPr="0016711A">
        <w:rPr>
          <w:rFonts w:eastAsia="Times New Roman" w:cs="Times New Roman"/>
          <w:b/>
          <w:bCs/>
          <w:rtl/>
          <w:lang w:eastAsia="de-DE"/>
        </w:rPr>
        <w:t>כָּל־הָעֵדָה</w:t>
      </w:r>
      <w:r w:rsidRPr="0016711A">
        <w:rPr>
          <w:rFonts w:eastAsia="Times New Roman" w:cs="Times New Roman"/>
          <w:rtl/>
          <w:lang w:eastAsia="de-DE"/>
        </w:rPr>
        <w:t xml:space="preserve"> </w:t>
      </w:r>
      <w:r w:rsidRPr="0016711A">
        <w:rPr>
          <w:rFonts w:eastAsia="Times New Roman" w:cs="Times New Roman"/>
          <w:lang w:eastAsia="de-DE"/>
        </w:rPr>
        <w:t xml:space="preserve">(die ganze Gemeinde) zeigt die kollektive Reaktion auf den Kundschafterbericht. Die koordinierte Handlung </w:t>
      </w:r>
      <w:r w:rsidRPr="0016711A">
        <w:rPr>
          <w:rFonts w:eastAsia="Times New Roman" w:cs="Times New Roman"/>
          <w:b/>
          <w:bCs/>
          <w:rtl/>
          <w:lang w:eastAsia="de-DE"/>
        </w:rPr>
        <w:t>וַֽיִּתְּנ֖וּ אֶת־קוֹלָ֑ם</w:t>
      </w:r>
      <w:r w:rsidRPr="0016711A">
        <w:rPr>
          <w:rFonts w:eastAsia="Times New Roman" w:cs="Times New Roman"/>
          <w:rtl/>
          <w:lang w:eastAsia="de-DE"/>
        </w:rPr>
        <w:t xml:space="preserve"> </w:t>
      </w:r>
      <w:r w:rsidRPr="0016711A">
        <w:rPr>
          <w:rFonts w:eastAsia="Times New Roman" w:cs="Times New Roman"/>
          <w:lang w:eastAsia="de-DE"/>
        </w:rPr>
        <w:lastRenderedPageBreak/>
        <w:t xml:space="preserve">(und sie gaben ihre Stimme) mit </w:t>
      </w:r>
      <w:r w:rsidRPr="0016711A">
        <w:rPr>
          <w:rFonts w:eastAsia="Times New Roman" w:cs="Times New Roman"/>
          <w:b/>
          <w:bCs/>
          <w:rtl/>
          <w:lang w:eastAsia="de-DE"/>
        </w:rPr>
        <w:t>יִּתְּנוּ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נתן</w:t>
      </w:r>
      <w:r w:rsidRPr="0016711A">
        <w:rPr>
          <w:rFonts w:eastAsia="Times New Roman" w:cs="Times New Roman"/>
          <w:rtl/>
          <w:lang w:eastAsia="de-DE"/>
        </w:rPr>
        <w:t xml:space="preserve"> </w:t>
      </w:r>
      <w:r w:rsidRPr="0016711A">
        <w:rPr>
          <w:rFonts w:eastAsia="Times New Roman" w:cs="Times New Roman"/>
          <w:lang w:eastAsia="de-DE"/>
        </w:rPr>
        <w:t xml:space="preserve">(geben) und </w:t>
      </w:r>
      <w:r w:rsidRPr="0016711A">
        <w:rPr>
          <w:rFonts w:eastAsia="Times New Roman" w:cs="Times New Roman"/>
          <w:b/>
          <w:bCs/>
          <w:rtl/>
          <w:lang w:eastAsia="de-DE"/>
        </w:rPr>
        <w:t>קוֹלָם</w:t>
      </w:r>
      <w:r w:rsidRPr="0016711A">
        <w:rPr>
          <w:rFonts w:eastAsia="Times New Roman" w:cs="Times New Roman"/>
          <w:rtl/>
          <w:lang w:eastAsia="de-DE"/>
        </w:rPr>
        <w:t xml:space="preserve"> </w:t>
      </w:r>
      <w:r w:rsidRPr="0016711A">
        <w:rPr>
          <w:rFonts w:eastAsia="Times New Roman" w:cs="Times New Roman"/>
          <w:lang w:eastAsia="de-DE"/>
        </w:rPr>
        <w:t>(ihre Stimme) zeigt das gemeinsame Schreien.</w:t>
      </w:r>
    </w:p>
    <w:p w14:paraId="37709832"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emotionale Reaktion </w:t>
      </w:r>
      <w:r w:rsidRPr="0016711A">
        <w:rPr>
          <w:rFonts w:eastAsia="Times New Roman" w:cs="Times New Roman"/>
          <w:b/>
          <w:bCs/>
          <w:rtl/>
          <w:lang w:eastAsia="de-DE"/>
        </w:rPr>
        <w:t>וַיִּבְכּ֥וּ הָעָ֖ם בַּלַּ֥יְלָה הַהֽוּא</w:t>
      </w:r>
      <w:r w:rsidRPr="0016711A">
        <w:rPr>
          <w:rFonts w:eastAsia="Times New Roman" w:cs="Times New Roman"/>
          <w:rtl/>
          <w:lang w:eastAsia="de-DE"/>
        </w:rPr>
        <w:t xml:space="preserve"> </w:t>
      </w:r>
      <w:r w:rsidRPr="0016711A">
        <w:rPr>
          <w:rFonts w:eastAsia="Times New Roman" w:cs="Times New Roman"/>
          <w:lang w:eastAsia="de-DE"/>
        </w:rPr>
        <w:t xml:space="preserve">(und das Volk weinte in jener Nacht) mit </w:t>
      </w:r>
      <w:r w:rsidRPr="0016711A">
        <w:rPr>
          <w:rFonts w:eastAsia="Times New Roman" w:cs="Times New Roman"/>
          <w:b/>
          <w:bCs/>
          <w:rtl/>
          <w:lang w:eastAsia="de-DE"/>
        </w:rPr>
        <w:t>יִּבְכּוּ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בכה</w:t>
      </w:r>
      <w:r w:rsidRPr="0016711A">
        <w:rPr>
          <w:rFonts w:eastAsia="Times New Roman" w:cs="Times New Roman"/>
          <w:rtl/>
          <w:lang w:eastAsia="de-DE"/>
        </w:rPr>
        <w:t xml:space="preserve"> </w:t>
      </w:r>
      <w:r w:rsidRPr="0016711A">
        <w:rPr>
          <w:rFonts w:eastAsia="Times New Roman" w:cs="Times New Roman"/>
          <w:lang w:eastAsia="de-DE"/>
        </w:rPr>
        <w:t xml:space="preserve">(weinen) und </w:t>
      </w:r>
      <w:r w:rsidRPr="0016711A">
        <w:rPr>
          <w:rFonts w:eastAsia="Times New Roman" w:cs="Times New Roman"/>
          <w:b/>
          <w:bCs/>
          <w:rtl/>
          <w:lang w:eastAsia="de-DE"/>
        </w:rPr>
        <w:t>בַּלַּיְלָה הַהוּא</w:t>
      </w:r>
      <w:r w:rsidRPr="0016711A">
        <w:rPr>
          <w:rFonts w:eastAsia="Times New Roman" w:cs="Times New Roman"/>
          <w:rtl/>
          <w:lang w:eastAsia="de-DE"/>
        </w:rPr>
        <w:t xml:space="preserve"> </w:t>
      </w:r>
      <w:r w:rsidRPr="0016711A">
        <w:rPr>
          <w:rFonts w:eastAsia="Times New Roman" w:cs="Times New Roman"/>
          <w:lang w:eastAsia="de-DE"/>
        </w:rPr>
        <w:t>(in jener Nacht) zeigt die intensive, anhaltende Verzweiflung, die die ganze Nacht dauerte.</w:t>
      </w:r>
    </w:p>
    <w:p w14:paraId="758B78D9"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übersetzt </w:t>
      </w:r>
      <w:r w:rsidRPr="0016711A">
        <w:rPr>
          <w:rFonts w:eastAsia="Times New Roman" w:cs="Times New Roman"/>
          <w:b/>
          <w:bCs/>
          <w:rtl/>
          <w:lang w:eastAsia="de-DE"/>
        </w:rPr>
        <w:t>תִּשָּׂא</w:t>
      </w:r>
      <w:r w:rsidRPr="0016711A">
        <w:rPr>
          <w:rFonts w:eastAsia="Times New Roman" w:cs="Times New Roman"/>
          <w:rtl/>
          <w:lang w:eastAsia="de-DE"/>
        </w:rPr>
        <w:t xml:space="preserve"> </w:t>
      </w:r>
      <w:r w:rsidRPr="0016711A">
        <w:rPr>
          <w:rFonts w:eastAsia="Times New Roman" w:cs="Times New Roman"/>
          <w:lang w:eastAsia="de-DE"/>
        </w:rPr>
        <w:t xml:space="preserve">mit ἀνέλαβεν (sie erhob), </w:t>
      </w:r>
      <w:r w:rsidRPr="0016711A">
        <w:rPr>
          <w:rFonts w:eastAsia="Times New Roman" w:cs="Times New Roman"/>
          <w:b/>
          <w:bCs/>
          <w:rtl/>
          <w:lang w:eastAsia="de-DE"/>
        </w:rPr>
        <w:t>יִּתְּנוּ אֶת־קוֹלָם</w:t>
      </w:r>
      <w:r w:rsidRPr="0016711A">
        <w:rPr>
          <w:rFonts w:eastAsia="Times New Roman" w:cs="Times New Roman"/>
          <w:rtl/>
          <w:lang w:eastAsia="de-DE"/>
        </w:rPr>
        <w:t xml:space="preserve"> </w:t>
      </w:r>
      <w:r w:rsidRPr="0016711A">
        <w:rPr>
          <w:rFonts w:eastAsia="Times New Roman" w:cs="Times New Roman"/>
          <w:lang w:eastAsia="de-DE"/>
        </w:rPr>
        <w:t xml:space="preserve">mit ἔδωκαν φωνήν (sie gaben Stimme) und </w:t>
      </w:r>
      <w:r w:rsidRPr="0016711A">
        <w:rPr>
          <w:rFonts w:eastAsia="Times New Roman" w:cs="Times New Roman"/>
          <w:b/>
          <w:bCs/>
          <w:rtl/>
          <w:lang w:eastAsia="de-DE"/>
        </w:rPr>
        <w:t>יִּבְכּוּ</w:t>
      </w:r>
      <w:r w:rsidRPr="0016711A">
        <w:rPr>
          <w:rFonts w:eastAsia="Times New Roman" w:cs="Times New Roman"/>
          <w:rtl/>
          <w:lang w:eastAsia="de-DE"/>
        </w:rPr>
        <w:t xml:space="preserve"> </w:t>
      </w:r>
      <w:r w:rsidRPr="0016711A">
        <w:rPr>
          <w:rFonts w:eastAsia="Times New Roman" w:cs="Times New Roman"/>
          <w:lang w:eastAsia="de-DE"/>
        </w:rPr>
        <w:t>mit ἔκλαιεν (sie weinten).</w:t>
      </w:r>
    </w:p>
    <w:p w14:paraId="02A8100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kollektive Erhebung, koordiniertes Schreien und anhaltende emotionale Reaktion.</w:t>
      </w:r>
    </w:p>
    <w:p w14:paraId="047A8A86"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die dramatische kollektive Reaktion des ganzen Volkes auf den negativen Kundschafterbericht - eine Reaktion, die zur größten Krise in Israels Wüstenzeit führen wird.</w:t>
      </w:r>
    </w:p>
    <w:p w14:paraId="6C20E4D6"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14,2</w:t>
      </w:r>
    </w:p>
    <w:p w14:paraId="44F7D261"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וַיִּלֹּ֨נוּ֙ עַל־מֹשֶׁ֣ה וְעַֽל־אַהֲרֹ֔ן כֹּ֖ל בְּנֵ֣י יִשְׂרָאֵ֑ל וַֽיֹּאמְר֨וּ אֲלֵהֶ֜ם כָּל־הָעֵדָ֗ה לוּ־מַ֨תְנוּ֙ בְּאֶ֣רֶץ מִצְרַ֔יִם א֛וֹ בַּמִּדְבָּ֥ר הַזֶּ֖ה לוּ־מָֽתְנוּ׃</w:t>
      </w:r>
    </w:p>
    <w:p w14:paraId="724EAC7A"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Und alle Söhne Jisra'els murrten gegen Mosche und gegen 'Aharon, und die ganze Gemeinde sprach zu ihnen: Wären wir doch im Land Mizrajim gestorben, oder wären wir doch in dieser Wüste gestorben!</w:t>
      </w:r>
    </w:p>
    <w:p w14:paraId="4F3BAAF9"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10216FCE">
          <v:rect id="_x0000_i1454" style="width:0;height:1.5pt" o:hralign="center" o:hrstd="t" o:hr="t" fillcolor="#a0a0a0" stroked="f"/>
        </w:pict>
      </w:r>
    </w:p>
    <w:p w14:paraId="3F1AE69A"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Das Verb </w:t>
      </w:r>
      <w:r w:rsidRPr="0016711A">
        <w:rPr>
          <w:rFonts w:eastAsia="Times New Roman" w:cs="Times New Roman"/>
          <w:b/>
          <w:bCs/>
          <w:rtl/>
          <w:lang w:eastAsia="de-DE"/>
        </w:rPr>
        <w:t>וַיִּלֹּ֨נוּ֙ עַל־מֹשֶׁ֣ה וְעַֽל־אַהֲרֹ֔ן כֹּ֖ל בְּנֵ֣י יִשְׂרָאֵ֑ל</w:t>
      </w:r>
      <w:r w:rsidRPr="0016711A">
        <w:rPr>
          <w:rFonts w:eastAsia="Times New Roman" w:cs="Times New Roman"/>
          <w:rtl/>
          <w:lang w:eastAsia="de-DE"/>
        </w:rPr>
        <w:t xml:space="preserve"> </w:t>
      </w:r>
      <w:r w:rsidRPr="0016711A">
        <w:rPr>
          <w:rFonts w:eastAsia="Times New Roman" w:cs="Times New Roman"/>
          <w:lang w:eastAsia="de-DE"/>
        </w:rPr>
        <w:t xml:space="preserve">(und alle Söhne Israels murrten gegen Mose und gegen Aaron) mit </w:t>
      </w:r>
      <w:r w:rsidRPr="0016711A">
        <w:rPr>
          <w:rFonts w:eastAsia="Times New Roman" w:cs="Times New Roman"/>
          <w:b/>
          <w:bCs/>
          <w:rtl/>
          <w:lang w:eastAsia="de-DE"/>
        </w:rPr>
        <w:t>יִּלֹּנוּ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לון</w:t>
      </w:r>
      <w:r w:rsidRPr="0016711A">
        <w:rPr>
          <w:rFonts w:eastAsia="Times New Roman" w:cs="Times New Roman"/>
          <w:rtl/>
          <w:lang w:eastAsia="de-DE"/>
        </w:rPr>
        <w:t xml:space="preserve"> </w:t>
      </w:r>
      <w:r w:rsidRPr="0016711A">
        <w:rPr>
          <w:rFonts w:eastAsia="Times New Roman" w:cs="Times New Roman"/>
          <w:lang w:eastAsia="de-DE"/>
        </w:rPr>
        <w:t xml:space="preserve">(murren) im Niph'al-Imperfekt 3. maskulin Plural und der doppelten Präposition </w:t>
      </w:r>
      <w:r w:rsidRPr="0016711A">
        <w:rPr>
          <w:rFonts w:eastAsia="Times New Roman" w:cs="Times New Roman"/>
          <w:b/>
          <w:bCs/>
          <w:rtl/>
          <w:lang w:eastAsia="de-DE"/>
        </w:rPr>
        <w:t>עַל</w:t>
      </w:r>
      <w:r w:rsidRPr="0016711A">
        <w:rPr>
          <w:rFonts w:eastAsia="Times New Roman" w:cs="Times New Roman"/>
          <w:rtl/>
          <w:lang w:eastAsia="de-DE"/>
        </w:rPr>
        <w:t xml:space="preserve"> </w:t>
      </w:r>
      <w:r w:rsidRPr="0016711A">
        <w:rPr>
          <w:rFonts w:eastAsia="Times New Roman" w:cs="Times New Roman"/>
          <w:lang w:eastAsia="de-DE"/>
        </w:rPr>
        <w:t>(gegen) zeigt die direkte Rebellion gegen die göttlich eingesetzte Führung.</w:t>
      </w:r>
    </w:p>
    <w:p w14:paraId="060D7B1D"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doppelte Todeswunschformel </w:t>
      </w:r>
      <w:r w:rsidRPr="0016711A">
        <w:rPr>
          <w:rFonts w:eastAsia="Times New Roman" w:cs="Times New Roman"/>
          <w:b/>
          <w:bCs/>
          <w:rtl/>
          <w:lang w:eastAsia="de-DE"/>
        </w:rPr>
        <w:t>לוּ־מַ֨תְנוּ֙ בְּאֶ֣רֶץ מִצְרַ֔יִם א֛וֹ בַּמִּדְבָּ֥ר הַזֶּ֖ה לוּ־מָֽתְנוּ</w:t>
      </w:r>
      <w:r w:rsidRPr="0016711A">
        <w:rPr>
          <w:rFonts w:eastAsia="Times New Roman" w:cs="Times New Roman"/>
          <w:rtl/>
          <w:lang w:eastAsia="de-DE"/>
        </w:rPr>
        <w:t xml:space="preserve"> </w:t>
      </w:r>
      <w:r w:rsidRPr="0016711A">
        <w:rPr>
          <w:rFonts w:eastAsia="Times New Roman" w:cs="Times New Roman"/>
          <w:lang w:eastAsia="de-DE"/>
        </w:rPr>
        <w:t xml:space="preserve">(wären wir doch in Ägypten gestorben oder in dieser Wüste wären wir doch gestorben) mit </w:t>
      </w:r>
      <w:r w:rsidRPr="0016711A">
        <w:rPr>
          <w:rFonts w:eastAsia="Times New Roman" w:cs="Times New Roman"/>
          <w:b/>
          <w:bCs/>
          <w:rtl/>
          <w:lang w:eastAsia="de-DE"/>
        </w:rPr>
        <w:t>לוּ־מַתְנוּ</w:t>
      </w:r>
      <w:r w:rsidRPr="0016711A">
        <w:rPr>
          <w:rFonts w:eastAsia="Times New Roman" w:cs="Times New Roman"/>
          <w:rtl/>
          <w:lang w:eastAsia="de-DE"/>
        </w:rPr>
        <w:t xml:space="preserve"> </w:t>
      </w:r>
      <w:r w:rsidRPr="0016711A">
        <w:rPr>
          <w:rFonts w:eastAsia="Times New Roman" w:cs="Times New Roman"/>
          <w:lang w:eastAsia="de-DE"/>
        </w:rPr>
        <w:t xml:space="preserve">(wären wir doch gestorben) als Wunschformel und </w:t>
      </w:r>
      <w:r w:rsidRPr="0016711A">
        <w:rPr>
          <w:rFonts w:eastAsia="Times New Roman" w:cs="Times New Roman"/>
          <w:b/>
          <w:bCs/>
          <w:rtl/>
          <w:lang w:eastAsia="de-DE"/>
        </w:rPr>
        <w:t>מַתְנוּ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מות</w:t>
      </w:r>
      <w:r w:rsidRPr="0016711A">
        <w:rPr>
          <w:rFonts w:eastAsia="Times New Roman" w:cs="Times New Roman"/>
          <w:rtl/>
          <w:lang w:eastAsia="de-DE"/>
        </w:rPr>
        <w:t xml:space="preserve"> </w:t>
      </w:r>
      <w:r w:rsidRPr="0016711A">
        <w:rPr>
          <w:rFonts w:eastAsia="Times New Roman" w:cs="Times New Roman"/>
          <w:lang w:eastAsia="de-DE"/>
        </w:rPr>
        <w:t>(sterben) zeigt extremste Verzweiflung. Die Alternative zwischen Ägypten und der Wüste zeigt, dass jeder Tod dem befürchteten Kampf vorzuziehen sei.</w:t>
      </w:r>
    </w:p>
    <w:p w14:paraId="4E38C0DB"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übersetzt </w:t>
      </w:r>
      <w:r w:rsidRPr="0016711A">
        <w:rPr>
          <w:rFonts w:eastAsia="Times New Roman" w:cs="Times New Roman"/>
          <w:b/>
          <w:bCs/>
          <w:rtl/>
          <w:lang w:eastAsia="de-DE"/>
        </w:rPr>
        <w:t>יִּלֹּנוּ</w:t>
      </w:r>
      <w:r w:rsidRPr="0016711A">
        <w:rPr>
          <w:rFonts w:eastAsia="Times New Roman" w:cs="Times New Roman"/>
          <w:rtl/>
          <w:lang w:eastAsia="de-DE"/>
        </w:rPr>
        <w:t xml:space="preserve"> </w:t>
      </w:r>
      <w:r w:rsidRPr="0016711A">
        <w:rPr>
          <w:rFonts w:eastAsia="Times New Roman" w:cs="Times New Roman"/>
          <w:lang w:eastAsia="de-DE"/>
        </w:rPr>
        <w:t xml:space="preserve">mit διεγόγγυσαν (sie murrten), </w:t>
      </w:r>
      <w:r w:rsidRPr="0016711A">
        <w:rPr>
          <w:rFonts w:eastAsia="Times New Roman" w:cs="Times New Roman"/>
          <w:b/>
          <w:bCs/>
          <w:rtl/>
          <w:lang w:eastAsia="de-DE"/>
        </w:rPr>
        <w:t>לוּ־מַתְנוּ</w:t>
      </w:r>
      <w:r w:rsidRPr="0016711A">
        <w:rPr>
          <w:rFonts w:eastAsia="Times New Roman" w:cs="Times New Roman"/>
          <w:rtl/>
          <w:lang w:eastAsia="de-DE"/>
        </w:rPr>
        <w:t xml:space="preserve"> </w:t>
      </w:r>
      <w:r w:rsidRPr="0016711A">
        <w:rPr>
          <w:rFonts w:eastAsia="Times New Roman" w:cs="Times New Roman"/>
          <w:lang w:eastAsia="de-DE"/>
        </w:rPr>
        <w:t xml:space="preserve">mit ὄφελον ἀπεθάνομεν (wären wir doch gestorben) und </w:t>
      </w:r>
      <w:r w:rsidRPr="0016711A">
        <w:rPr>
          <w:rFonts w:eastAsia="Times New Roman" w:cs="Times New Roman"/>
          <w:b/>
          <w:bCs/>
          <w:rtl/>
          <w:lang w:eastAsia="de-DE"/>
        </w:rPr>
        <w:t>מִצְרַיִם</w:t>
      </w:r>
      <w:r w:rsidRPr="0016711A">
        <w:rPr>
          <w:rFonts w:eastAsia="Times New Roman" w:cs="Times New Roman"/>
          <w:rtl/>
          <w:lang w:eastAsia="de-DE"/>
        </w:rPr>
        <w:t xml:space="preserve"> </w:t>
      </w:r>
      <w:r w:rsidRPr="0016711A">
        <w:rPr>
          <w:rFonts w:eastAsia="Times New Roman" w:cs="Times New Roman"/>
          <w:lang w:eastAsia="de-DE"/>
        </w:rPr>
        <w:t>mit Αἰγύπτῳ (in Ägypten).</w:t>
      </w:r>
    </w:p>
    <w:p w14:paraId="724B69AC"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kollektive Rebellion gegen die Führung und doppelten extremen Todeswunsch als Alternative.</w:t>
      </w:r>
    </w:p>
    <w:p w14:paraId="5221DCB3"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den Höhepunkt der Rebellion: das gesamte Volk wendet sich gegen Moses und Aaron und wünscht sich lieber den Tod als den Kampf um das verheißene Land.</w:t>
      </w:r>
    </w:p>
    <w:p w14:paraId="781CAA8C"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14,3</w:t>
      </w:r>
    </w:p>
    <w:p w14:paraId="7EC7AFCC"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lastRenderedPageBreak/>
        <w:t>Hebräisch:</w:t>
      </w:r>
      <w:r w:rsidRPr="0016711A">
        <w:rPr>
          <w:rFonts w:eastAsia="Times New Roman" w:cs="Times New Roman"/>
          <w:lang w:eastAsia="de-DE"/>
        </w:rPr>
        <w:t xml:space="preserve"> </w:t>
      </w:r>
      <w:r w:rsidRPr="0016711A">
        <w:rPr>
          <w:rFonts w:eastAsia="Times New Roman" w:cs="Times New Roman"/>
          <w:rtl/>
          <w:lang w:eastAsia="de-DE"/>
        </w:rPr>
        <w:t>וְלָמָ֣ה יְ֠הוָה מֵבִ֨יא אֹתָ֜נוּ אֶל־הָאָ֤רֶץ הַזֹּאת֙ לִנְפֹּ֣ל בַּחֶ֔רֶב נָשֵׁ֥ינוּ וְטַפֵּ֖נוּ יִהְי֣וּ לָבַ֑ז הֲל֧וֹא ט֦וֹב לָ֖נוּ שׁ֥וּב מִצְרָֽיְמָה׃</w:t>
      </w:r>
    </w:p>
    <w:p w14:paraId="4DB01786"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Und warum bringt uns der Ewige in dieses Land, dass wir durchs Schwert fallen und unsere Frauen und unsere Kinder zur Beute werden? Wäre es nicht besser für uns, nach Mizrajim zurückzukehren?</w:t>
      </w:r>
    </w:p>
    <w:p w14:paraId="7783579A"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6DCAEED3">
          <v:rect id="_x0000_i1455" style="width:0;height:1.5pt" o:hralign="center" o:hrstd="t" o:hr="t" fillcolor="#a0a0a0" stroked="f"/>
        </w:pict>
      </w:r>
    </w:p>
    <w:p w14:paraId="04C4ACAE"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Die anklagende Frage </w:t>
      </w:r>
      <w:r w:rsidRPr="0016711A">
        <w:rPr>
          <w:rFonts w:eastAsia="Times New Roman" w:cs="Times New Roman"/>
          <w:b/>
          <w:bCs/>
          <w:rtl/>
          <w:lang w:eastAsia="de-DE"/>
        </w:rPr>
        <w:t>וְלָמָ֣ה יְ֠הוָה מֵבִ֨יא אֹתָ֜נוּ אֶל־הָאָ֤רֶץ הַזֹּאת֙ לִנְפֹּ֣ל בַּחֶ֔רֶב</w:t>
      </w:r>
      <w:r w:rsidRPr="0016711A">
        <w:rPr>
          <w:rFonts w:eastAsia="Times New Roman" w:cs="Times New Roman"/>
          <w:rtl/>
          <w:lang w:eastAsia="de-DE"/>
        </w:rPr>
        <w:t xml:space="preserve"> </w:t>
      </w:r>
      <w:r w:rsidRPr="0016711A">
        <w:rPr>
          <w:rFonts w:eastAsia="Times New Roman" w:cs="Times New Roman"/>
          <w:lang w:eastAsia="de-DE"/>
        </w:rPr>
        <w:t xml:space="preserve">(und warum bringt der Ewige uns in dieses Land, dass wir durchs Schwert fallen) mit </w:t>
      </w:r>
      <w:r w:rsidRPr="0016711A">
        <w:rPr>
          <w:rFonts w:eastAsia="Times New Roman" w:cs="Times New Roman"/>
          <w:b/>
          <w:bCs/>
          <w:rtl/>
          <w:lang w:eastAsia="de-DE"/>
        </w:rPr>
        <w:t>לָמָה</w:t>
      </w:r>
      <w:r w:rsidRPr="0016711A">
        <w:rPr>
          <w:rFonts w:eastAsia="Times New Roman" w:cs="Times New Roman"/>
          <w:rtl/>
          <w:lang w:eastAsia="de-DE"/>
        </w:rPr>
        <w:t xml:space="preserve"> </w:t>
      </w:r>
      <w:r w:rsidRPr="0016711A">
        <w:rPr>
          <w:rFonts w:eastAsia="Times New Roman" w:cs="Times New Roman"/>
          <w:lang w:eastAsia="de-DE"/>
        </w:rPr>
        <w:t xml:space="preserve">(warum), </w:t>
      </w:r>
      <w:r w:rsidRPr="0016711A">
        <w:rPr>
          <w:rFonts w:eastAsia="Times New Roman" w:cs="Times New Roman"/>
          <w:b/>
          <w:bCs/>
          <w:rtl/>
          <w:lang w:eastAsia="de-DE"/>
        </w:rPr>
        <w:t>מֵבִיא</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בוא</w:t>
      </w:r>
      <w:r w:rsidRPr="0016711A">
        <w:rPr>
          <w:rFonts w:eastAsia="Times New Roman" w:cs="Times New Roman"/>
          <w:rtl/>
          <w:lang w:eastAsia="de-DE"/>
        </w:rPr>
        <w:t xml:space="preserve"> </w:t>
      </w:r>
      <w:r w:rsidRPr="0016711A">
        <w:rPr>
          <w:rFonts w:eastAsia="Times New Roman" w:cs="Times New Roman"/>
          <w:lang w:eastAsia="de-DE"/>
        </w:rPr>
        <w:t xml:space="preserve">(bringen) im Hiph'il-Partizip und </w:t>
      </w:r>
      <w:r w:rsidRPr="0016711A">
        <w:rPr>
          <w:rFonts w:eastAsia="Times New Roman" w:cs="Times New Roman"/>
          <w:b/>
          <w:bCs/>
          <w:rtl/>
          <w:lang w:eastAsia="de-DE"/>
        </w:rPr>
        <w:t>לִנְפֹּל בַּחֶרֶב</w:t>
      </w:r>
      <w:r w:rsidRPr="0016711A">
        <w:rPr>
          <w:rFonts w:eastAsia="Times New Roman" w:cs="Times New Roman"/>
          <w:rtl/>
          <w:lang w:eastAsia="de-DE"/>
        </w:rPr>
        <w:t xml:space="preserve"> </w:t>
      </w:r>
      <w:r w:rsidRPr="0016711A">
        <w:rPr>
          <w:rFonts w:eastAsia="Times New Roman" w:cs="Times New Roman"/>
          <w:lang w:eastAsia="de-DE"/>
        </w:rPr>
        <w:t>(um durchs Schwert zu fallen) stellt Gottes Absichten in Frage und unterstellt böse Motive.</w:t>
      </w:r>
    </w:p>
    <w:p w14:paraId="08213AE6"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Sorge </w:t>
      </w:r>
      <w:r w:rsidRPr="0016711A">
        <w:rPr>
          <w:rFonts w:eastAsia="Times New Roman" w:cs="Times New Roman"/>
          <w:b/>
          <w:bCs/>
          <w:rtl/>
          <w:lang w:eastAsia="de-DE"/>
        </w:rPr>
        <w:t>נָשֵׁ֥ינוּ וְטַפֵּ֖נוּ יִהְי֣וּ לָבַ֑ז</w:t>
      </w:r>
      <w:r w:rsidRPr="0016711A">
        <w:rPr>
          <w:rFonts w:eastAsia="Times New Roman" w:cs="Times New Roman"/>
          <w:rtl/>
          <w:lang w:eastAsia="de-DE"/>
        </w:rPr>
        <w:t xml:space="preserve"> </w:t>
      </w:r>
      <w:r w:rsidRPr="0016711A">
        <w:rPr>
          <w:rFonts w:eastAsia="Times New Roman" w:cs="Times New Roman"/>
          <w:lang w:eastAsia="de-DE"/>
        </w:rPr>
        <w:t xml:space="preserve">(unsere Frauen und unsere Kinder werden zur Beute) mit </w:t>
      </w:r>
      <w:r w:rsidRPr="0016711A">
        <w:rPr>
          <w:rFonts w:eastAsia="Times New Roman" w:cs="Times New Roman"/>
          <w:b/>
          <w:bCs/>
          <w:rtl/>
          <w:lang w:eastAsia="de-DE"/>
        </w:rPr>
        <w:t>נָשֵׁינוּ</w:t>
      </w:r>
      <w:r w:rsidRPr="0016711A">
        <w:rPr>
          <w:rFonts w:eastAsia="Times New Roman" w:cs="Times New Roman"/>
          <w:rtl/>
          <w:lang w:eastAsia="de-DE"/>
        </w:rPr>
        <w:t xml:space="preserve"> </w:t>
      </w:r>
      <w:r w:rsidRPr="0016711A">
        <w:rPr>
          <w:rFonts w:eastAsia="Times New Roman" w:cs="Times New Roman"/>
          <w:lang w:eastAsia="de-DE"/>
        </w:rPr>
        <w:t xml:space="preserve">(unsere Frauen), </w:t>
      </w:r>
      <w:r w:rsidRPr="0016711A">
        <w:rPr>
          <w:rFonts w:eastAsia="Times New Roman" w:cs="Times New Roman"/>
          <w:b/>
          <w:bCs/>
          <w:rtl/>
          <w:lang w:eastAsia="de-DE"/>
        </w:rPr>
        <w:t>טַפֵּנוּ</w:t>
      </w:r>
      <w:r w:rsidRPr="0016711A">
        <w:rPr>
          <w:rFonts w:eastAsia="Times New Roman" w:cs="Times New Roman"/>
          <w:rtl/>
          <w:lang w:eastAsia="de-DE"/>
        </w:rPr>
        <w:t xml:space="preserve"> </w:t>
      </w:r>
      <w:r w:rsidRPr="0016711A">
        <w:rPr>
          <w:rFonts w:eastAsia="Times New Roman" w:cs="Times New Roman"/>
          <w:lang w:eastAsia="de-DE"/>
        </w:rPr>
        <w:t xml:space="preserve">(unsere Kinder) und </w:t>
      </w:r>
      <w:r w:rsidRPr="0016711A">
        <w:rPr>
          <w:rFonts w:eastAsia="Times New Roman" w:cs="Times New Roman"/>
          <w:b/>
          <w:bCs/>
          <w:rtl/>
          <w:lang w:eastAsia="de-DE"/>
        </w:rPr>
        <w:t>לָבַז</w:t>
      </w:r>
      <w:r w:rsidRPr="0016711A">
        <w:rPr>
          <w:rFonts w:eastAsia="Times New Roman" w:cs="Times New Roman"/>
          <w:rtl/>
          <w:lang w:eastAsia="de-DE"/>
        </w:rPr>
        <w:t xml:space="preserve"> </w:t>
      </w:r>
      <w:r w:rsidRPr="0016711A">
        <w:rPr>
          <w:rFonts w:eastAsia="Times New Roman" w:cs="Times New Roman"/>
          <w:lang w:eastAsia="de-DE"/>
        </w:rPr>
        <w:t>(zur Beute) zeigt die Angst um Familie - ironisch, da Gott später genau diese Kinder ins Land bringen wird.</w:t>
      </w:r>
    </w:p>
    <w:p w14:paraId="7DDD390E"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rhetorische Frage </w:t>
      </w:r>
      <w:r w:rsidRPr="0016711A">
        <w:rPr>
          <w:rFonts w:eastAsia="Times New Roman" w:cs="Times New Roman"/>
          <w:b/>
          <w:bCs/>
          <w:rtl/>
          <w:lang w:eastAsia="de-DE"/>
        </w:rPr>
        <w:t>הֲל֧וֹא ט֦וֹב לָ֖נוּ שׁ֥וּב מִצְרָֽיְמָה</w:t>
      </w:r>
      <w:r w:rsidRPr="0016711A">
        <w:rPr>
          <w:rFonts w:eastAsia="Times New Roman" w:cs="Times New Roman"/>
          <w:rtl/>
          <w:lang w:eastAsia="de-DE"/>
        </w:rPr>
        <w:t xml:space="preserve"> </w:t>
      </w:r>
      <w:r w:rsidRPr="0016711A">
        <w:rPr>
          <w:rFonts w:eastAsia="Times New Roman" w:cs="Times New Roman"/>
          <w:lang w:eastAsia="de-DE"/>
        </w:rPr>
        <w:t xml:space="preserve">(wäre es nicht besser für uns, nach Ägypten zurückzukehren) mit </w:t>
      </w:r>
      <w:r w:rsidRPr="0016711A">
        <w:rPr>
          <w:rFonts w:eastAsia="Times New Roman" w:cs="Times New Roman"/>
          <w:b/>
          <w:bCs/>
          <w:rtl/>
          <w:lang w:eastAsia="de-DE"/>
        </w:rPr>
        <w:t>הֲלוֹא</w:t>
      </w:r>
      <w:r w:rsidRPr="0016711A">
        <w:rPr>
          <w:rFonts w:eastAsia="Times New Roman" w:cs="Times New Roman"/>
          <w:rtl/>
          <w:lang w:eastAsia="de-DE"/>
        </w:rPr>
        <w:t xml:space="preserve"> </w:t>
      </w:r>
      <w:r w:rsidRPr="0016711A">
        <w:rPr>
          <w:rFonts w:eastAsia="Times New Roman" w:cs="Times New Roman"/>
          <w:lang w:eastAsia="de-DE"/>
        </w:rPr>
        <w:t xml:space="preserve">(ist es nicht), </w:t>
      </w:r>
      <w:r w:rsidRPr="0016711A">
        <w:rPr>
          <w:rFonts w:eastAsia="Times New Roman" w:cs="Times New Roman"/>
          <w:b/>
          <w:bCs/>
          <w:rtl/>
          <w:lang w:eastAsia="de-DE"/>
        </w:rPr>
        <w:t>טוֹב לָנוּ</w:t>
      </w:r>
      <w:r w:rsidRPr="0016711A">
        <w:rPr>
          <w:rFonts w:eastAsia="Times New Roman" w:cs="Times New Roman"/>
          <w:rtl/>
          <w:lang w:eastAsia="de-DE"/>
        </w:rPr>
        <w:t xml:space="preserve"> </w:t>
      </w:r>
      <w:r w:rsidRPr="0016711A">
        <w:rPr>
          <w:rFonts w:eastAsia="Times New Roman" w:cs="Times New Roman"/>
          <w:lang w:eastAsia="de-DE"/>
        </w:rPr>
        <w:t xml:space="preserve">(gut für uns) und </w:t>
      </w:r>
      <w:r w:rsidRPr="0016711A">
        <w:rPr>
          <w:rFonts w:eastAsia="Times New Roman" w:cs="Times New Roman"/>
          <w:b/>
          <w:bCs/>
          <w:rtl/>
          <w:lang w:eastAsia="de-DE"/>
        </w:rPr>
        <w:t>שׁוּב מִצְרַיְמָה</w:t>
      </w:r>
      <w:r w:rsidRPr="0016711A">
        <w:rPr>
          <w:rFonts w:eastAsia="Times New Roman" w:cs="Times New Roman"/>
          <w:rtl/>
          <w:lang w:eastAsia="de-DE"/>
        </w:rPr>
        <w:t xml:space="preserve"> </w:t>
      </w:r>
      <w:r w:rsidRPr="0016711A">
        <w:rPr>
          <w:rFonts w:eastAsia="Times New Roman" w:cs="Times New Roman"/>
          <w:lang w:eastAsia="de-DE"/>
        </w:rPr>
        <w:t>(nach Ägypten zurückkehren) zeigt die komplette Ablehnung der göttlichen Führung.</w:t>
      </w:r>
    </w:p>
    <w:p w14:paraId="2AE2D46F"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übersetzt </w:t>
      </w:r>
      <w:r w:rsidRPr="0016711A">
        <w:rPr>
          <w:rFonts w:eastAsia="Times New Roman" w:cs="Times New Roman"/>
          <w:b/>
          <w:bCs/>
          <w:rtl/>
          <w:lang w:eastAsia="de-DE"/>
        </w:rPr>
        <w:t>מֵבִיא</w:t>
      </w:r>
      <w:r w:rsidRPr="0016711A">
        <w:rPr>
          <w:rFonts w:eastAsia="Times New Roman" w:cs="Times New Roman"/>
          <w:rtl/>
          <w:lang w:eastAsia="de-DE"/>
        </w:rPr>
        <w:t xml:space="preserve"> </w:t>
      </w:r>
      <w:r w:rsidRPr="0016711A">
        <w:rPr>
          <w:rFonts w:eastAsia="Times New Roman" w:cs="Times New Roman"/>
          <w:lang w:eastAsia="de-DE"/>
        </w:rPr>
        <w:t xml:space="preserve">mit εἰσάγει (er führt hinein), </w:t>
      </w:r>
      <w:r w:rsidRPr="0016711A">
        <w:rPr>
          <w:rFonts w:eastAsia="Times New Roman" w:cs="Times New Roman"/>
          <w:b/>
          <w:bCs/>
          <w:rtl/>
          <w:lang w:eastAsia="de-DE"/>
        </w:rPr>
        <w:t>לִנְפֹּל בַּחֶרֶב</w:t>
      </w:r>
      <w:r w:rsidRPr="0016711A">
        <w:rPr>
          <w:rFonts w:eastAsia="Times New Roman" w:cs="Times New Roman"/>
          <w:rtl/>
          <w:lang w:eastAsia="de-DE"/>
        </w:rPr>
        <w:t xml:space="preserve"> </w:t>
      </w:r>
      <w:r w:rsidRPr="0016711A">
        <w:rPr>
          <w:rFonts w:eastAsia="Times New Roman" w:cs="Times New Roman"/>
          <w:lang w:eastAsia="de-DE"/>
        </w:rPr>
        <w:t xml:space="preserve">mit πεσεῖν ἐν μαχαίρᾳ (zu fallen durch das Schwert) und </w:t>
      </w:r>
      <w:r w:rsidRPr="0016711A">
        <w:rPr>
          <w:rFonts w:eastAsia="Times New Roman" w:cs="Times New Roman"/>
          <w:b/>
          <w:bCs/>
          <w:rtl/>
          <w:lang w:eastAsia="de-DE"/>
        </w:rPr>
        <w:t>לָבַז</w:t>
      </w:r>
      <w:r w:rsidRPr="0016711A">
        <w:rPr>
          <w:rFonts w:eastAsia="Times New Roman" w:cs="Times New Roman"/>
          <w:rtl/>
          <w:lang w:eastAsia="de-DE"/>
        </w:rPr>
        <w:t xml:space="preserve"> </w:t>
      </w:r>
      <w:r w:rsidRPr="0016711A">
        <w:rPr>
          <w:rFonts w:eastAsia="Times New Roman" w:cs="Times New Roman"/>
          <w:lang w:eastAsia="de-DE"/>
        </w:rPr>
        <w:t>mit προνομή (zur Beute).</w:t>
      </w:r>
    </w:p>
    <w:p w14:paraId="5AFC7406"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anklagende Frage an Gott, Familienangst und rhetorische Alternative-Frage.</w:t>
      </w:r>
    </w:p>
    <w:p w14:paraId="21FBF1E2"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die völlige Verkehrung der Perspektive: Gott wird als Verderber statt als Retter gesehen, und die Sklaverei wird der Freiheit vorgezogen.</w:t>
      </w:r>
    </w:p>
    <w:p w14:paraId="69085252"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14,4</w:t>
      </w:r>
    </w:p>
    <w:p w14:paraId="7F4B12A4"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וַיֹּאמְר֖וּ אִ֣ישׁ אֶל־אָחִ֑יו נִתְּנָ֥ה רֹ֖אשׁ וְנָשׁ֥וּבָה מִצְרָֽיְמָה׃</w:t>
      </w:r>
    </w:p>
    <w:p w14:paraId="7E170B45"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Und sie sprachen einer zum anderen: Lasst uns ein Oberhaupt einsetzen und nach Mizrajim zurückkehren!</w:t>
      </w:r>
    </w:p>
    <w:p w14:paraId="55185345"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4795FFCD">
          <v:rect id="_x0000_i1456" style="width:0;height:1.5pt" o:hralign="center" o:hrstd="t" o:hr="t" fillcolor="#a0a0a0" stroked="f"/>
        </w:pict>
      </w:r>
    </w:p>
    <w:p w14:paraId="213F6BFD"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Die kollektive Beratung </w:t>
      </w:r>
      <w:r w:rsidRPr="0016711A">
        <w:rPr>
          <w:rFonts w:eastAsia="Times New Roman" w:cs="Times New Roman"/>
          <w:b/>
          <w:bCs/>
          <w:rtl/>
          <w:lang w:eastAsia="de-DE"/>
        </w:rPr>
        <w:t>וַיֹּאמְר֖וּ אִ֣ישׁ אֶל־אָחִ֑יו</w:t>
      </w:r>
      <w:r w:rsidRPr="0016711A">
        <w:rPr>
          <w:rFonts w:eastAsia="Times New Roman" w:cs="Times New Roman"/>
          <w:rtl/>
          <w:lang w:eastAsia="de-DE"/>
        </w:rPr>
        <w:t xml:space="preserve"> </w:t>
      </w:r>
      <w:r w:rsidRPr="0016711A">
        <w:rPr>
          <w:rFonts w:eastAsia="Times New Roman" w:cs="Times New Roman"/>
          <w:lang w:eastAsia="de-DE"/>
        </w:rPr>
        <w:t xml:space="preserve">(und sie sprachen ein Mann zu seinem Bruder) mit </w:t>
      </w:r>
      <w:r w:rsidRPr="0016711A">
        <w:rPr>
          <w:rFonts w:eastAsia="Times New Roman" w:cs="Times New Roman"/>
          <w:b/>
          <w:bCs/>
          <w:rtl/>
          <w:lang w:eastAsia="de-DE"/>
        </w:rPr>
        <w:t>יֹּאמְרוּ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אמר</w:t>
      </w:r>
      <w:r w:rsidRPr="0016711A">
        <w:rPr>
          <w:rFonts w:eastAsia="Times New Roman" w:cs="Times New Roman"/>
          <w:rtl/>
          <w:lang w:eastAsia="de-DE"/>
        </w:rPr>
        <w:t xml:space="preserve"> </w:t>
      </w:r>
      <w:r w:rsidRPr="0016711A">
        <w:rPr>
          <w:rFonts w:eastAsia="Times New Roman" w:cs="Times New Roman"/>
          <w:lang w:eastAsia="de-DE"/>
        </w:rPr>
        <w:t xml:space="preserve">(sagen) und </w:t>
      </w:r>
      <w:r w:rsidRPr="0016711A">
        <w:rPr>
          <w:rFonts w:eastAsia="Times New Roman" w:cs="Times New Roman"/>
          <w:b/>
          <w:bCs/>
          <w:rtl/>
          <w:lang w:eastAsia="de-DE"/>
        </w:rPr>
        <w:t>אִישׁ אֶל־אָחִיו</w:t>
      </w:r>
      <w:r w:rsidRPr="0016711A">
        <w:rPr>
          <w:rFonts w:eastAsia="Times New Roman" w:cs="Times New Roman"/>
          <w:rtl/>
          <w:lang w:eastAsia="de-DE"/>
        </w:rPr>
        <w:t xml:space="preserve"> </w:t>
      </w:r>
      <w:r w:rsidRPr="0016711A">
        <w:rPr>
          <w:rFonts w:eastAsia="Times New Roman" w:cs="Times New Roman"/>
          <w:lang w:eastAsia="de-DE"/>
        </w:rPr>
        <w:t>(ein Mann zu seinem Bruder) zeigt den konspirativen Charakter der Beratungen.</w:t>
      </w:r>
    </w:p>
    <w:p w14:paraId="191E8E4C"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Der revolutionäre Vorschlag </w:t>
      </w:r>
      <w:r w:rsidRPr="0016711A">
        <w:rPr>
          <w:rFonts w:eastAsia="Times New Roman" w:cs="Times New Roman"/>
          <w:b/>
          <w:bCs/>
          <w:rtl/>
          <w:lang w:eastAsia="de-DE"/>
        </w:rPr>
        <w:t>נִתְּנָ֥ה רֹ֖אשׁ וְנָשׁ֥וּבָה מִצְרָֽיְמָה</w:t>
      </w:r>
      <w:r w:rsidRPr="0016711A">
        <w:rPr>
          <w:rFonts w:eastAsia="Times New Roman" w:cs="Times New Roman"/>
          <w:rtl/>
          <w:lang w:eastAsia="de-DE"/>
        </w:rPr>
        <w:t xml:space="preserve"> </w:t>
      </w:r>
      <w:r w:rsidRPr="0016711A">
        <w:rPr>
          <w:rFonts w:eastAsia="Times New Roman" w:cs="Times New Roman"/>
          <w:lang w:eastAsia="de-DE"/>
        </w:rPr>
        <w:t xml:space="preserve">(lasst uns ein Oberhaupt einsetzen und nach Ägypten zurückkehren) mit </w:t>
      </w:r>
      <w:r w:rsidRPr="0016711A">
        <w:rPr>
          <w:rFonts w:eastAsia="Times New Roman" w:cs="Times New Roman"/>
          <w:b/>
          <w:bCs/>
          <w:rtl/>
          <w:lang w:eastAsia="de-DE"/>
        </w:rPr>
        <w:t>נִתְּנָה רֹאשׁ</w:t>
      </w:r>
      <w:r w:rsidRPr="0016711A">
        <w:rPr>
          <w:rFonts w:eastAsia="Times New Roman" w:cs="Times New Roman"/>
          <w:rtl/>
          <w:lang w:eastAsia="de-DE"/>
        </w:rPr>
        <w:t xml:space="preserve"> </w:t>
      </w:r>
      <w:r w:rsidRPr="0016711A">
        <w:rPr>
          <w:rFonts w:eastAsia="Times New Roman" w:cs="Times New Roman"/>
          <w:lang w:eastAsia="de-DE"/>
        </w:rPr>
        <w:t xml:space="preserve">(lasst uns ein Oberhaupt geben/einsetzen) von </w:t>
      </w:r>
      <w:r w:rsidRPr="0016711A">
        <w:rPr>
          <w:rFonts w:eastAsia="Times New Roman" w:cs="Times New Roman"/>
          <w:b/>
          <w:bCs/>
          <w:rtl/>
          <w:lang w:eastAsia="de-DE"/>
        </w:rPr>
        <w:t>נתן</w:t>
      </w:r>
      <w:r w:rsidRPr="0016711A">
        <w:rPr>
          <w:rFonts w:eastAsia="Times New Roman" w:cs="Times New Roman"/>
          <w:rtl/>
          <w:lang w:eastAsia="de-DE"/>
        </w:rPr>
        <w:t xml:space="preserve"> </w:t>
      </w:r>
      <w:r w:rsidRPr="0016711A">
        <w:rPr>
          <w:rFonts w:eastAsia="Times New Roman" w:cs="Times New Roman"/>
          <w:lang w:eastAsia="de-DE"/>
        </w:rPr>
        <w:t xml:space="preserve">(geben) im Qal-Imperfekt 1. Person Plural mit Kohortativwaw und </w:t>
      </w:r>
      <w:r w:rsidRPr="0016711A">
        <w:rPr>
          <w:rFonts w:eastAsia="Times New Roman" w:cs="Times New Roman"/>
          <w:b/>
          <w:bCs/>
          <w:rtl/>
          <w:lang w:eastAsia="de-DE"/>
        </w:rPr>
        <w:t>נָשׁוּבָה מִצְרַיְמָה</w:t>
      </w:r>
      <w:r w:rsidRPr="0016711A">
        <w:rPr>
          <w:rFonts w:eastAsia="Times New Roman" w:cs="Times New Roman"/>
          <w:rtl/>
          <w:lang w:eastAsia="de-DE"/>
        </w:rPr>
        <w:t xml:space="preserve"> </w:t>
      </w:r>
      <w:r w:rsidRPr="0016711A">
        <w:rPr>
          <w:rFonts w:eastAsia="Times New Roman" w:cs="Times New Roman"/>
          <w:lang w:eastAsia="de-DE"/>
        </w:rPr>
        <w:t xml:space="preserve">(lasst uns nach Ägypten zurückkehren) von </w:t>
      </w:r>
      <w:r w:rsidRPr="0016711A">
        <w:rPr>
          <w:rFonts w:eastAsia="Times New Roman" w:cs="Times New Roman"/>
          <w:b/>
          <w:bCs/>
          <w:rtl/>
          <w:lang w:eastAsia="de-DE"/>
        </w:rPr>
        <w:t>שוב</w:t>
      </w:r>
      <w:r w:rsidRPr="0016711A">
        <w:rPr>
          <w:rFonts w:eastAsia="Times New Roman" w:cs="Times New Roman"/>
          <w:rtl/>
          <w:lang w:eastAsia="de-DE"/>
        </w:rPr>
        <w:t xml:space="preserve"> </w:t>
      </w:r>
      <w:r w:rsidRPr="0016711A">
        <w:rPr>
          <w:rFonts w:eastAsia="Times New Roman" w:cs="Times New Roman"/>
          <w:lang w:eastAsia="de-DE"/>
        </w:rPr>
        <w:t>(zurückkehren) zeigt offene Rebellion gegen die göttlich legitimierte Führung Moses und Aarons.</w:t>
      </w:r>
    </w:p>
    <w:p w14:paraId="4445B4BA" w14:textId="342154A6"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lastRenderedPageBreak/>
        <w:t xml:space="preserve">Die </w:t>
      </w:r>
      <w:r w:rsidR="00184967">
        <w:t>übersetzt das hebräische „</w:t>
      </w:r>
      <w:r w:rsidR="00184967">
        <w:rPr>
          <w:rtl/>
        </w:rPr>
        <w:t>נ</w:t>
      </w:r>
      <w:r w:rsidR="00184967" w:rsidRPr="00184967">
        <w:rPr>
          <w:b/>
          <w:bCs/>
          <w:rtl/>
        </w:rPr>
        <w:t>ִתְּנָה רֹאשׁ</w:t>
      </w:r>
      <w:r w:rsidR="00184967">
        <w:t>" (lasst uns ein Haupt einsetzen) mit „Δῶμεν ἀρχηγόν" (lasst uns einen Anführer geben), was denselben Sinn transportiert, aber „ἀρχηγόν" (Anführer/Führer) ist spezifischer als das bildhafte „Haupt".</w:t>
      </w:r>
    </w:p>
    <w:p w14:paraId="41332979"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konspirative Beratung und revolutionären Führungswechselvorschlag mit Rückkehrabsicht.</w:t>
      </w:r>
    </w:p>
    <w:p w14:paraId="62CAE1FE"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den Höhepunkt der Rebellion: das Volk plant aktiv, Moses Führung zu beseitigen und einen eigenen Anführer für die Rückkehr nach Ägypten zu wählen.</w:t>
      </w:r>
    </w:p>
    <w:p w14:paraId="1C4CC1B7"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14,5</w:t>
      </w:r>
    </w:p>
    <w:p w14:paraId="47B0474C"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וַיִּפֹּ֥ל מֹשֶׁ֛ה וְאַהֲרֹ֖ן עַל־פְּנֵיהֶ֑ם לִפְנֵ֕י כָּל־קְהַ֥ל עֲדַ֖ת בְּנֵ֥י יִשְׂרָאֵֽל׃</w:t>
      </w:r>
    </w:p>
    <w:p w14:paraId="50AC02D4"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Da fielen Mosche und 'Aharon auf ihr Angesicht vor der ganzen Versammlung der Gemeinde der Söhne Jisra'el.</w:t>
      </w:r>
    </w:p>
    <w:p w14:paraId="71F55F25"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60832CEB">
          <v:rect id="_x0000_i1457" style="width:0;height:1.5pt" o:hralign="center" o:hrstd="t" o:hr="t" fillcolor="#a0a0a0" stroked="f"/>
        </w:pict>
      </w:r>
    </w:p>
    <w:p w14:paraId="6D50105D"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Das Verb </w:t>
      </w:r>
      <w:r w:rsidRPr="0016711A">
        <w:rPr>
          <w:rFonts w:eastAsia="Times New Roman" w:cs="Times New Roman"/>
          <w:b/>
          <w:bCs/>
          <w:rtl/>
          <w:lang w:eastAsia="de-DE"/>
        </w:rPr>
        <w:t>וַיִּפֹּ֥ל מֹשֶׁ֛ה וְאַהֲרֹ֖ן עַל־פְּנֵיהֶ֑ם</w:t>
      </w:r>
      <w:r w:rsidRPr="0016711A">
        <w:rPr>
          <w:rFonts w:eastAsia="Times New Roman" w:cs="Times New Roman"/>
          <w:rtl/>
          <w:lang w:eastAsia="de-DE"/>
        </w:rPr>
        <w:t xml:space="preserve"> </w:t>
      </w:r>
      <w:r w:rsidRPr="0016711A">
        <w:rPr>
          <w:rFonts w:eastAsia="Times New Roman" w:cs="Times New Roman"/>
          <w:lang w:eastAsia="de-DE"/>
        </w:rPr>
        <w:t xml:space="preserve">(und Mose und Aaron fielen auf ihr Angesicht) mit </w:t>
      </w:r>
      <w:r w:rsidRPr="0016711A">
        <w:rPr>
          <w:rFonts w:eastAsia="Times New Roman" w:cs="Times New Roman"/>
          <w:b/>
          <w:bCs/>
          <w:rtl/>
          <w:lang w:eastAsia="de-DE"/>
        </w:rPr>
        <w:t>יִּפֹּל</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נפל</w:t>
      </w:r>
      <w:r w:rsidRPr="0016711A">
        <w:rPr>
          <w:rFonts w:eastAsia="Times New Roman" w:cs="Times New Roman"/>
          <w:rtl/>
          <w:lang w:eastAsia="de-DE"/>
        </w:rPr>
        <w:t xml:space="preserve"> </w:t>
      </w:r>
      <w:r w:rsidRPr="0016711A">
        <w:rPr>
          <w:rFonts w:eastAsia="Times New Roman" w:cs="Times New Roman"/>
          <w:lang w:eastAsia="de-DE"/>
        </w:rPr>
        <w:t xml:space="preserve">(fallen) im Qal-Imperfekt 3. maskulin Singular und </w:t>
      </w:r>
      <w:r w:rsidRPr="0016711A">
        <w:rPr>
          <w:rFonts w:eastAsia="Times New Roman" w:cs="Times New Roman"/>
          <w:b/>
          <w:bCs/>
          <w:rtl/>
          <w:lang w:eastAsia="de-DE"/>
        </w:rPr>
        <w:t>עַל־פְּנֵיהֶם</w:t>
      </w:r>
      <w:r w:rsidRPr="0016711A">
        <w:rPr>
          <w:rFonts w:eastAsia="Times New Roman" w:cs="Times New Roman"/>
          <w:rtl/>
          <w:lang w:eastAsia="de-DE"/>
        </w:rPr>
        <w:t xml:space="preserve"> </w:t>
      </w:r>
      <w:r w:rsidRPr="0016711A">
        <w:rPr>
          <w:rFonts w:eastAsia="Times New Roman" w:cs="Times New Roman"/>
          <w:lang w:eastAsia="de-DE"/>
        </w:rPr>
        <w:t>(auf ihr Angesicht) zeigt die extreme Reaktion der Führer - eine Geste der Demütigung vor Gott und des Entsetzens über die Rebellion.</w:t>
      </w:r>
    </w:p>
    <w:p w14:paraId="3390BECA"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öffentliche Dimension </w:t>
      </w:r>
      <w:r w:rsidRPr="0016711A">
        <w:rPr>
          <w:rFonts w:eastAsia="Times New Roman" w:cs="Times New Roman"/>
          <w:b/>
          <w:bCs/>
          <w:rtl/>
          <w:lang w:eastAsia="de-DE"/>
        </w:rPr>
        <w:t>לִפְנֵ֕י כָּל־קְהַ֥ל עֲדַ֖ת בְּנֵ֥י יִשְׂרָאֵֽל</w:t>
      </w:r>
      <w:r w:rsidRPr="0016711A">
        <w:rPr>
          <w:rFonts w:eastAsia="Times New Roman" w:cs="Times New Roman"/>
          <w:rtl/>
          <w:lang w:eastAsia="de-DE"/>
        </w:rPr>
        <w:t xml:space="preserve"> </w:t>
      </w:r>
      <w:r w:rsidRPr="0016711A">
        <w:rPr>
          <w:rFonts w:eastAsia="Times New Roman" w:cs="Times New Roman"/>
          <w:lang w:eastAsia="de-DE"/>
        </w:rPr>
        <w:t xml:space="preserve">(vor der ganzen Versammlung der Gemeinde der Söhne Israels) mit </w:t>
      </w:r>
      <w:r w:rsidRPr="0016711A">
        <w:rPr>
          <w:rFonts w:eastAsia="Times New Roman" w:cs="Times New Roman"/>
          <w:b/>
          <w:bCs/>
          <w:rtl/>
          <w:lang w:eastAsia="de-DE"/>
        </w:rPr>
        <w:t>לִפְנֵי</w:t>
      </w:r>
      <w:r w:rsidRPr="0016711A">
        <w:rPr>
          <w:rFonts w:eastAsia="Times New Roman" w:cs="Times New Roman"/>
          <w:rtl/>
          <w:lang w:eastAsia="de-DE"/>
        </w:rPr>
        <w:t xml:space="preserve"> </w:t>
      </w:r>
      <w:r w:rsidRPr="0016711A">
        <w:rPr>
          <w:rFonts w:eastAsia="Times New Roman" w:cs="Times New Roman"/>
          <w:lang w:eastAsia="de-DE"/>
        </w:rPr>
        <w:t xml:space="preserve">(vor), </w:t>
      </w:r>
      <w:r w:rsidRPr="0016711A">
        <w:rPr>
          <w:rFonts w:eastAsia="Times New Roman" w:cs="Times New Roman"/>
          <w:b/>
          <w:bCs/>
          <w:rtl/>
          <w:lang w:eastAsia="de-DE"/>
        </w:rPr>
        <w:t>כָּל־קְהַל</w:t>
      </w:r>
      <w:r w:rsidRPr="0016711A">
        <w:rPr>
          <w:rFonts w:eastAsia="Times New Roman" w:cs="Times New Roman"/>
          <w:rtl/>
          <w:lang w:eastAsia="de-DE"/>
        </w:rPr>
        <w:t xml:space="preserve"> </w:t>
      </w:r>
      <w:r w:rsidRPr="0016711A">
        <w:rPr>
          <w:rFonts w:eastAsia="Times New Roman" w:cs="Times New Roman"/>
          <w:lang w:eastAsia="de-DE"/>
        </w:rPr>
        <w:t xml:space="preserve">(die ganze Versammlung) und </w:t>
      </w:r>
      <w:r w:rsidRPr="0016711A">
        <w:rPr>
          <w:rFonts w:eastAsia="Times New Roman" w:cs="Times New Roman"/>
          <w:b/>
          <w:bCs/>
          <w:rtl/>
          <w:lang w:eastAsia="de-DE"/>
        </w:rPr>
        <w:t>עֲדַת בְּנֵי יִשְׂרָאֵל</w:t>
      </w:r>
      <w:r w:rsidRPr="0016711A">
        <w:rPr>
          <w:rFonts w:eastAsia="Times New Roman" w:cs="Times New Roman"/>
          <w:rtl/>
          <w:lang w:eastAsia="de-DE"/>
        </w:rPr>
        <w:t xml:space="preserve"> </w:t>
      </w:r>
      <w:r w:rsidRPr="0016711A">
        <w:rPr>
          <w:rFonts w:eastAsia="Times New Roman" w:cs="Times New Roman"/>
          <w:lang w:eastAsia="de-DE"/>
        </w:rPr>
        <w:t>(Gemeinde der Söhne Israels) zeigt, dass diese Demütigung öffentlich geschieht.</w:t>
      </w:r>
    </w:p>
    <w:p w14:paraId="52F420BA"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übersetzt </w:t>
      </w:r>
      <w:r w:rsidRPr="0016711A">
        <w:rPr>
          <w:rFonts w:eastAsia="Times New Roman" w:cs="Times New Roman"/>
          <w:b/>
          <w:bCs/>
          <w:rtl/>
          <w:lang w:eastAsia="de-DE"/>
        </w:rPr>
        <w:t>יִּפֹּל</w:t>
      </w:r>
      <w:r w:rsidRPr="0016711A">
        <w:rPr>
          <w:rFonts w:eastAsia="Times New Roman" w:cs="Times New Roman"/>
          <w:rtl/>
          <w:lang w:eastAsia="de-DE"/>
        </w:rPr>
        <w:t xml:space="preserve"> </w:t>
      </w:r>
      <w:r w:rsidRPr="0016711A">
        <w:rPr>
          <w:rFonts w:eastAsia="Times New Roman" w:cs="Times New Roman"/>
          <w:lang w:eastAsia="de-DE"/>
        </w:rPr>
        <w:t xml:space="preserve">mit ἔπεσεν (er/sie fielen) und </w:t>
      </w:r>
      <w:r w:rsidRPr="0016711A">
        <w:rPr>
          <w:rFonts w:eastAsia="Times New Roman" w:cs="Times New Roman"/>
          <w:b/>
          <w:bCs/>
          <w:rtl/>
          <w:lang w:eastAsia="de-DE"/>
        </w:rPr>
        <w:t>עַל־פְּנֵיהֶם</w:t>
      </w:r>
      <w:r w:rsidRPr="0016711A">
        <w:rPr>
          <w:rFonts w:eastAsia="Times New Roman" w:cs="Times New Roman"/>
          <w:rtl/>
          <w:lang w:eastAsia="de-DE"/>
        </w:rPr>
        <w:t xml:space="preserve"> </w:t>
      </w:r>
      <w:r w:rsidRPr="0016711A">
        <w:rPr>
          <w:rFonts w:eastAsia="Times New Roman" w:cs="Times New Roman"/>
          <w:lang w:eastAsia="de-DE"/>
        </w:rPr>
        <w:t>mit ἐπὶ πρόσωπον αὐτῶν (auf ihr Angesicht).</w:t>
      </w:r>
    </w:p>
    <w:p w14:paraId="7A985523"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extreme Führungsreaktion mit öffentlicher Demütigung vor der rebellierenden Versammlung.</w:t>
      </w:r>
    </w:p>
    <w:p w14:paraId="41070A3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Moses und Aarons verzweifelte Reaktion auf die Rebellion - sie fallen vor dem ganzen Volk nieder, möglicherweise in Fürbitte oder aus Entsetzen über die Schwere der Situation.</w:t>
      </w:r>
    </w:p>
    <w:p w14:paraId="461EB19F"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14,6</w:t>
      </w:r>
    </w:p>
    <w:p w14:paraId="229106F7"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וִיהוֹשֻׁ֣עַ בִּן־נ֗וּן וְכָלֵב֙ בֶּן־יְפֻנֶּ֔ה מִן־הַתָּרִ֖ים אֶת־הָאָ֑רֶץ קָרְע֖וּ בִּגְדֵיהֶֽם׃</w:t>
      </w:r>
    </w:p>
    <w:p w14:paraId="30C50248"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Und Jehoschua, der Sohn Nuns, und Kalev, der Sohn Jephunnes, von denen, die das Land ausgekundschaftet hatten, zerrissen ihre Kleider.</w:t>
      </w:r>
    </w:p>
    <w:p w14:paraId="10F541C0"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235F1E39">
          <v:rect id="_x0000_i1458" style="width:0;height:1.5pt" o:hralign="center" o:hrstd="t" o:hr="t" fillcolor="#a0a0a0" stroked="f"/>
        </w:pict>
      </w:r>
    </w:p>
    <w:p w14:paraId="2BE82211"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lastRenderedPageBreak/>
        <w:t>Kommentar:</w:t>
      </w:r>
      <w:r w:rsidRPr="0016711A">
        <w:rPr>
          <w:rFonts w:eastAsia="Times New Roman" w:cs="Times New Roman"/>
          <w:lang w:eastAsia="de-DE"/>
        </w:rPr>
        <w:t xml:space="preserve"> Die Identifikation </w:t>
      </w:r>
      <w:r w:rsidRPr="0016711A">
        <w:rPr>
          <w:rFonts w:eastAsia="Times New Roman" w:cs="Times New Roman"/>
          <w:b/>
          <w:bCs/>
          <w:rtl/>
          <w:lang w:eastAsia="de-DE"/>
        </w:rPr>
        <w:t>וִיהוֹשֻׁ֣עַ בִּן־נ֗וּן וְכָלֵב֙ בֶּן־יְפֻנֶּ֔ה</w:t>
      </w:r>
      <w:r w:rsidRPr="0016711A">
        <w:rPr>
          <w:rFonts w:eastAsia="Times New Roman" w:cs="Times New Roman"/>
          <w:rtl/>
          <w:lang w:eastAsia="de-DE"/>
        </w:rPr>
        <w:t xml:space="preserve"> </w:t>
      </w:r>
      <w:r w:rsidRPr="0016711A">
        <w:rPr>
          <w:rFonts w:eastAsia="Times New Roman" w:cs="Times New Roman"/>
          <w:lang w:eastAsia="de-DE"/>
        </w:rPr>
        <w:t xml:space="preserve">(und Josua, Sohn Nuns, und Kaleb, Sohn Jephunnes) nennt die beiden treuen Kundschafter beim Namen. Die Charakterisierung </w:t>
      </w:r>
      <w:r w:rsidRPr="0016711A">
        <w:rPr>
          <w:rFonts w:eastAsia="Times New Roman" w:cs="Times New Roman"/>
          <w:b/>
          <w:bCs/>
          <w:rtl/>
          <w:lang w:eastAsia="de-DE"/>
        </w:rPr>
        <w:t>מִן־הַתָּרִ֖ים אֶת־הָאָ֑רֶץ</w:t>
      </w:r>
      <w:r w:rsidRPr="0016711A">
        <w:rPr>
          <w:rFonts w:eastAsia="Times New Roman" w:cs="Times New Roman"/>
          <w:rtl/>
          <w:lang w:eastAsia="de-DE"/>
        </w:rPr>
        <w:t xml:space="preserve"> </w:t>
      </w:r>
      <w:r w:rsidRPr="0016711A">
        <w:rPr>
          <w:rFonts w:eastAsia="Times New Roman" w:cs="Times New Roman"/>
          <w:lang w:eastAsia="de-DE"/>
        </w:rPr>
        <w:t xml:space="preserve">(von denen, die das Land ausgekundschaftet hatten) mit </w:t>
      </w:r>
      <w:r w:rsidRPr="0016711A">
        <w:rPr>
          <w:rFonts w:eastAsia="Times New Roman" w:cs="Times New Roman"/>
          <w:b/>
          <w:bCs/>
          <w:rtl/>
          <w:lang w:eastAsia="de-DE"/>
        </w:rPr>
        <w:t>הַתָּרִים</w:t>
      </w:r>
      <w:r w:rsidRPr="0016711A">
        <w:rPr>
          <w:rFonts w:eastAsia="Times New Roman" w:cs="Times New Roman"/>
          <w:rtl/>
          <w:lang w:eastAsia="de-DE"/>
        </w:rPr>
        <w:t xml:space="preserve"> </w:t>
      </w:r>
      <w:r w:rsidRPr="0016711A">
        <w:rPr>
          <w:rFonts w:eastAsia="Times New Roman" w:cs="Times New Roman"/>
          <w:lang w:eastAsia="de-DE"/>
        </w:rPr>
        <w:t xml:space="preserve">als Qal-Partizip Plural von </w:t>
      </w:r>
      <w:r w:rsidRPr="0016711A">
        <w:rPr>
          <w:rFonts w:eastAsia="Times New Roman" w:cs="Times New Roman"/>
          <w:b/>
          <w:bCs/>
          <w:rtl/>
          <w:lang w:eastAsia="de-DE"/>
        </w:rPr>
        <w:t>תור</w:t>
      </w:r>
      <w:r w:rsidRPr="0016711A">
        <w:rPr>
          <w:rFonts w:eastAsia="Times New Roman" w:cs="Times New Roman"/>
          <w:rtl/>
          <w:lang w:eastAsia="de-DE"/>
        </w:rPr>
        <w:t xml:space="preserve"> </w:t>
      </w:r>
      <w:r w:rsidRPr="0016711A">
        <w:rPr>
          <w:rFonts w:eastAsia="Times New Roman" w:cs="Times New Roman"/>
          <w:lang w:eastAsia="de-DE"/>
        </w:rPr>
        <w:t>(erkunden) erinnert an ihre Autorität als Augenzeugen.</w:t>
      </w:r>
    </w:p>
    <w:p w14:paraId="036FAC5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dramatische Geste </w:t>
      </w:r>
      <w:r w:rsidRPr="0016711A">
        <w:rPr>
          <w:rFonts w:eastAsia="Times New Roman" w:cs="Times New Roman"/>
          <w:b/>
          <w:bCs/>
          <w:rtl/>
          <w:lang w:eastAsia="de-DE"/>
        </w:rPr>
        <w:t>קָרְע֖וּ בִּגְדֵיהֶֽם</w:t>
      </w:r>
      <w:r w:rsidRPr="0016711A">
        <w:rPr>
          <w:rFonts w:eastAsia="Times New Roman" w:cs="Times New Roman"/>
          <w:rtl/>
          <w:lang w:eastAsia="de-DE"/>
        </w:rPr>
        <w:t xml:space="preserve"> </w:t>
      </w:r>
      <w:r w:rsidRPr="0016711A">
        <w:rPr>
          <w:rFonts w:eastAsia="Times New Roman" w:cs="Times New Roman"/>
          <w:lang w:eastAsia="de-DE"/>
        </w:rPr>
        <w:t xml:space="preserve">(sie zerrissen ihre Kleider) mit </w:t>
      </w:r>
      <w:r w:rsidRPr="0016711A">
        <w:rPr>
          <w:rFonts w:eastAsia="Times New Roman" w:cs="Times New Roman"/>
          <w:b/>
          <w:bCs/>
          <w:rtl/>
          <w:lang w:eastAsia="de-DE"/>
        </w:rPr>
        <w:t>קָרְעוּ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קרע</w:t>
      </w:r>
      <w:r w:rsidRPr="0016711A">
        <w:rPr>
          <w:rFonts w:eastAsia="Times New Roman" w:cs="Times New Roman"/>
          <w:rtl/>
          <w:lang w:eastAsia="de-DE"/>
        </w:rPr>
        <w:t xml:space="preserve"> </w:t>
      </w:r>
      <w:r w:rsidRPr="0016711A">
        <w:rPr>
          <w:rFonts w:eastAsia="Times New Roman" w:cs="Times New Roman"/>
          <w:lang w:eastAsia="de-DE"/>
        </w:rPr>
        <w:t xml:space="preserve">(zerreißen) im Qal-Perfekt 3. maskulin Plural und </w:t>
      </w:r>
      <w:r w:rsidRPr="0016711A">
        <w:rPr>
          <w:rFonts w:eastAsia="Times New Roman" w:cs="Times New Roman"/>
          <w:b/>
          <w:bCs/>
          <w:rtl/>
          <w:lang w:eastAsia="de-DE"/>
        </w:rPr>
        <w:t>בִּגְדֵיהֶם</w:t>
      </w:r>
      <w:r w:rsidRPr="0016711A">
        <w:rPr>
          <w:rFonts w:eastAsia="Times New Roman" w:cs="Times New Roman"/>
          <w:rtl/>
          <w:lang w:eastAsia="de-DE"/>
        </w:rPr>
        <w:t xml:space="preserve"> </w:t>
      </w:r>
      <w:r w:rsidRPr="0016711A">
        <w:rPr>
          <w:rFonts w:eastAsia="Times New Roman" w:cs="Times New Roman"/>
          <w:lang w:eastAsia="de-DE"/>
        </w:rPr>
        <w:t>(ihre Kleider) zeigt die traditionelle Reaktion auf große Trauer oder Empörung über Gotteslästerung.</w:t>
      </w:r>
    </w:p>
    <w:p w14:paraId="6E322D23"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transliteriert die Namen als Ἰησοῦς und Χαλεβ und übersetzt </w:t>
      </w:r>
      <w:r w:rsidRPr="0016711A">
        <w:rPr>
          <w:rFonts w:eastAsia="Times New Roman" w:cs="Times New Roman"/>
          <w:b/>
          <w:bCs/>
          <w:rtl/>
          <w:lang w:eastAsia="de-DE"/>
        </w:rPr>
        <w:t>קָרְעוּ בִּגְדֵיהֶם</w:t>
      </w:r>
      <w:r w:rsidRPr="0016711A">
        <w:rPr>
          <w:rFonts w:eastAsia="Times New Roman" w:cs="Times New Roman"/>
          <w:rtl/>
          <w:lang w:eastAsia="de-DE"/>
        </w:rPr>
        <w:t xml:space="preserve"> </w:t>
      </w:r>
      <w:r w:rsidRPr="0016711A">
        <w:rPr>
          <w:rFonts w:eastAsia="Times New Roman" w:cs="Times New Roman"/>
          <w:lang w:eastAsia="de-DE"/>
        </w:rPr>
        <w:t>mit διέρρηξαν τὰ ἱμάτια αὐτῶν (sie zerrissen ihre Gewänder).</w:t>
      </w:r>
    </w:p>
    <w:p w14:paraId="15FA7AC6"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namentliche Identifikation, Autoritätsbestätigung und dramatische Trauerreaktion.</w:t>
      </w:r>
    </w:p>
    <w:p w14:paraId="4544B68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die emotionale Reaktion der beiden treuen Kundschafter, die durch das Zerreißen ihrer Kleider ihre Trauer über die Rebellion und möglicherweise ihre Empörung über die Gotteslästerung ausdrücken.</w:t>
      </w:r>
    </w:p>
    <w:p w14:paraId="781A2BA8"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14,7</w:t>
      </w:r>
    </w:p>
    <w:p w14:paraId="1F09C019"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וַיֹּ֣אמְר֔וּ אֶל־כָּל־עֲדַ֥ת בְּנֵֽי־יִשְׂרָאֵ֖ל לֵאמֹ֑ר הָאָ֗רֶץ אֲשֶׁ֨ר עָבַ֤רְנוּ בָהּ֙ לָת֣וּר אֹתָ֔הּ טוֹבָ֥ה הָאָ֖רֶץ מְאֹ֥ד מְאֹֽד׃</w:t>
      </w:r>
    </w:p>
    <w:p w14:paraId="541B407E"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Und sie sprachen zu der ganzen Gemeinde der Söhne Jisra'el: Das Land, das wir durchzogen haben, um es auszukundschaften, das Land ist sehr, sehr gut.</w:t>
      </w:r>
    </w:p>
    <w:p w14:paraId="34861191"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131724EF">
          <v:rect id="_x0000_i1459" style="width:0;height:1.5pt" o:hralign="center" o:hrstd="t" o:hr="t" fillcolor="#a0a0a0" stroked="f"/>
        </w:pict>
      </w:r>
    </w:p>
    <w:p w14:paraId="165CC1D1"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Die Anrede </w:t>
      </w:r>
      <w:r w:rsidRPr="0016711A">
        <w:rPr>
          <w:rFonts w:eastAsia="Times New Roman" w:cs="Times New Roman"/>
          <w:b/>
          <w:bCs/>
          <w:rtl/>
          <w:lang w:eastAsia="de-DE"/>
        </w:rPr>
        <w:t>וַיֹּ֣אמְר֔וּ אֶל־כָּל־עֲדַ֥ת בְּנֵֽי־יִשְׂרָאֵ֖ל לֵאמֹ֑ר</w:t>
      </w:r>
      <w:r w:rsidRPr="0016711A">
        <w:rPr>
          <w:rFonts w:eastAsia="Times New Roman" w:cs="Times New Roman"/>
          <w:rtl/>
          <w:lang w:eastAsia="de-DE"/>
        </w:rPr>
        <w:t xml:space="preserve"> </w:t>
      </w:r>
      <w:r w:rsidRPr="0016711A">
        <w:rPr>
          <w:rFonts w:eastAsia="Times New Roman" w:cs="Times New Roman"/>
          <w:lang w:eastAsia="de-DE"/>
        </w:rPr>
        <w:t xml:space="preserve">(und sie sprachen zur ganzen Gemeinde der Söhne Israels, sagend) mit </w:t>
      </w:r>
      <w:r w:rsidRPr="0016711A">
        <w:rPr>
          <w:rFonts w:eastAsia="Times New Roman" w:cs="Times New Roman"/>
          <w:b/>
          <w:bCs/>
          <w:rtl/>
          <w:lang w:eastAsia="de-DE"/>
        </w:rPr>
        <w:t>יֹּאמְרוּ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אמר</w:t>
      </w:r>
      <w:r w:rsidRPr="0016711A">
        <w:rPr>
          <w:rFonts w:eastAsia="Times New Roman" w:cs="Times New Roman"/>
          <w:rtl/>
          <w:lang w:eastAsia="de-DE"/>
        </w:rPr>
        <w:t xml:space="preserve"> </w:t>
      </w:r>
      <w:r w:rsidRPr="0016711A">
        <w:rPr>
          <w:rFonts w:eastAsia="Times New Roman" w:cs="Times New Roman"/>
          <w:lang w:eastAsia="de-DE"/>
        </w:rPr>
        <w:t xml:space="preserve">(sagen) und </w:t>
      </w:r>
      <w:r w:rsidRPr="0016711A">
        <w:rPr>
          <w:rFonts w:eastAsia="Times New Roman" w:cs="Times New Roman"/>
          <w:b/>
          <w:bCs/>
          <w:rtl/>
          <w:lang w:eastAsia="de-DE"/>
        </w:rPr>
        <w:t>אֶל־כָּל־עֲדַת בְּנֵי־יִשְׂרָאֵל</w:t>
      </w:r>
      <w:r w:rsidRPr="0016711A">
        <w:rPr>
          <w:rFonts w:eastAsia="Times New Roman" w:cs="Times New Roman"/>
          <w:rtl/>
          <w:lang w:eastAsia="de-DE"/>
        </w:rPr>
        <w:t xml:space="preserve"> </w:t>
      </w:r>
      <w:r w:rsidRPr="0016711A">
        <w:rPr>
          <w:rFonts w:eastAsia="Times New Roman" w:cs="Times New Roman"/>
          <w:lang w:eastAsia="de-DE"/>
        </w:rPr>
        <w:t>(zur ganzen Gemeinde der Söhne Israels) zeigt ihre mutige öffentliche Stellungnahme gegen die Mehrheitsmeinung.</w:t>
      </w:r>
    </w:p>
    <w:p w14:paraId="7F84361B"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Landcharakterisierung </w:t>
      </w:r>
      <w:r w:rsidRPr="0016711A">
        <w:rPr>
          <w:rFonts w:eastAsia="Times New Roman" w:cs="Times New Roman"/>
          <w:b/>
          <w:bCs/>
          <w:rtl/>
          <w:lang w:eastAsia="de-DE"/>
        </w:rPr>
        <w:t>הָאָ֗רֶץ אֲשֶׁ֨ר עָבַ֤רְנוּ בָהּ֙ לָת֣וּר אֹתָ֔הּ טוֹבָ֥ה הָאָ֖רֶץ מְאֹ֥ד מְאֹֽד</w:t>
      </w:r>
      <w:r w:rsidRPr="0016711A">
        <w:rPr>
          <w:rFonts w:eastAsia="Times New Roman" w:cs="Times New Roman"/>
          <w:rtl/>
          <w:lang w:eastAsia="de-DE"/>
        </w:rPr>
        <w:t xml:space="preserve"> </w:t>
      </w:r>
      <w:r w:rsidRPr="0016711A">
        <w:rPr>
          <w:rFonts w:eastAsia="Times New Roman" w:cs="Times New Roman"/>
          <w:lang w:eastAsia="de-DE"/>
        </w:rPr>
        <w:t xml:space="preserve">(das Land, das wir durchzogen haben, um es auszukundschaften, das Land ist sehr, sehr gut) mit </w:t>
      </w:r>
      <w:r w:rsidRPr="0016711A">
        <w:rPr>
          <w:rFonts w:eastAsia="Times New Roman" w:cs="Times New Roman"/>
          <w:b/>
          <w:bCs/>
          <w:rtl/>
          <w:lang w:eastAsia="de-DE"/>
        </w:rPr>
        <w:t>עָבַרְנוּ בָהּ</w:t>
      </w:r>
      <w:r w:rsidRPr="0016711A">
        <w:rPr>
          <w:rFonts w:eastAsia="Times New Roman" w:cs="Times New Roman"/>
          <w:rtl/>
          <w:lang w:eastAsia="de-DE"/>
        </w:rPr>
        <w:t xml:space="preserve"> </w:t>
      </w:r>
      <w:r w:rsidRPr="0016711A">
        <w:rPr>
          <w:rFonts w:eastAsia="Times New Roman" w:cs="Times New Roman"/>
          <w:lang w:eastAsia="de-DE"/>
        </w:rPr>
        <w:t xml:space="preserve">(wir durchzogen es) von </w:t>
      </w:r>
      <w:r w:rsidRPr="0016711A">
        <w:rPr>
          <w:rFonts w:eastAsia="Times New Roman" w:cs="Times New Roman"/>
          <w:b/>
          <w:bCs/>
          <w:rtl/>
          <w:lang w:eastAsia="de-DE"/>
        </w:rPr>
        <w:t>עבר</w:t>
      </w:r>
      <w:r w:rsidRPr="0016711A">
        <w:rPr>
          <w:rFonts w:eastAsia="Times New Roman" w:cs="Times New Roman"/>
          <w:rtl/>
          <w:lang w:eastAsia="de-DE"/>
        </w:rPr>
        <w:t xml:space="preserve"> </w:t>
      </w:r>
      <w:r w:rsidRPr="0016711A">
        <w:rPr>
          <w:rFonts w:eastAsia="Times New Roman" w:cs="Times New Roman"/>
          <w:lang w:eastAsia="de-DE"/>
        </w:rPr>
        <w:t xml:space="preserve">(durchziehen), </w:t>
      </w:r>
      <w:r w:rsidRPr="0016711A">
        <w:rPr>
          <w:rFonts w:eastAsia="Times New Roman" w:cs="Times New Roman"/>
          <w:b/>
          <w:bCs/>
          <w:rtl/>
          <w:lang w:eastAsia="de-DE"/>
        </w:rPr>
        <w:t>לָתוּר אֹתָהּ</w:t>
      </w:r>
      <w:r w:rsidRPr="0016711A">
        <w:rPr>
          <w:rFonts w:eastAsia="Times New Roman" w:cs="Times New Roman"/>
          <w:rtl/>
          <w:lang w:eastAsia="de-DE"/>
        </w:rPr>
        <w:t xml:space="preserve"> </w:t>
      </w:r>
      <w:r w:rsidRPr="0016711A">
        <w:rPr>
          <w:rFonts w:eastAsia="Times New Roman" w:cs="Times New Roman"/>
          <w:lang w:eastAsia="de-DE"/>
        </w:rPr>
        <w:t xml:space="preserve">(um es auszukundschaften) und der verstärkten Bewertung </w:t>
      </w:r>
      <w:r w:rsidRPr="0016711A">
        <w:rPr>
          <w:rFonts w:eastAsia="Times New Roman" w:cs="Times New Roman"/>
          <w:b/>
          <w:bCs/>
          <w:rtl/>
          <w:lang w:eastAsia="de-DE"/>
        </w:rPr>
        <w:t>טוֹבָה הָאָרֶץ מְאֹד מְאֹד</w:t>
      </w:r>
      <w:r w:rsidRPr="0016711A">
        <w:rPr>
          <w:rFonts w:eastAsia="Times New Roman" w:cs="Times New Roman"/>
          <w:rtl/>
          <w:lang w:eastAsia="de-DE"/>
        </w:rPr>
        <w:t xml:space="preserve"> </w:t>
      </w:r>
      <w:r w:rsidRPr="0016711A">
        <w:rPr>
          <w:rFonts w:eastAsia="Times New Roman" w:cs="Times New Roman"/>
          <w:lang w:eastAsia="de-DE"/>
        </w:rPr>
        <w:t xml:space="preserve">(das Land ist sehr, sehr gut) mit der Wiederholung </w:t>
      </w:r>
      <w:r w:rsidRPr="0016711A">
        <w:rPr>
          <w:rFonts w:eastAsia="Times New Roman" w:cs="Times New Roman"/>
          <w:b/>
          <w:bCs/>
          <w:rtl/>
          <w:lang w:eastAsia="de-DE"/>
        </w:rPr>
        <w:t>מְאֹד מְאֹד</w:t>
      </w:r>
      <w:r w:rsidRPr="0016711A">
        <w:rPr>
          <w:rFonts w:eastAsia="Times New Roman" w:cs="Times New Roman"/>
          <w:rtl/>
          <w:lang w:eastAsia="de-DE"/>
        </w:rPr>
        <w:t xml:space="preserve"> </w:t>
      </w:r>
      <w:r w:rsidRPr="0016711A">
        <w:rPr>
          <w:rFonts w:eastAsia="Times New Roman" w:cs="Times New Roman"/>
          <w:lang w:eastAsia="de-DE"/>
        </w:rPr>
        <w:t>(sehr, sehr) steht in direktem Widerspruch zum negativen Bericht der Mehrheit.</w:t>
      </w:r>
    </w:p>
    <w:p w14:paraId="0E1C9915"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übersetzt </w:t>
      </w:r>
      <w:r w:rsidRPr="0016711A">
        <w:rPr>
          <w:rFonts w:eastAsia="Times New Roman" w:cs="Times New Roman"/>
          <w:b/>
          <w:bCs/>
          <w:rtl/>
          <w:lang w:eastAsia="de-DE"/>
        </w:rPr>
        <w:t>עָבַרְנוּ בָהּ</w:t>
      </w:r>
      <w:r w:rsidRPr="0016711A">
        <w:rPr>
          <w:rFonts w:eastAsia="Times New Roman" w:cs="Times New Roman"/>
          <w:rtl/>
          <w:lang w:eastAsia="de-DE"/>
        </w:rPr>
        <w:t xml:space="preserve"> </w:t>
      </w:r>
      <w:r w:rsidRPr="0016711A">
        <w:rPr>
          <w:rFonts w:eastAsia="Times New Roman" w:cs="Times New Roman"/>
          <w:lang w:eastAsia="de-DE"/>
        </w:rPr>
        <w:t xml:space="preserve">mit διήλθομεν αὐτήν (wir durchgingen es), </w:t>
      </w:r>
      <w:r w:rsidRPr="0016711A">
        <w:rPr>
          <w:rFonts w:eastAsia="Times New Roman" w:cs="Times New Roman"/>
          <w:b/>
          <w:bCs/>
          <w:rtl/>
          <w:lang w:eastAsia="de-DE"/>
        </w:rPr>
        <w:t>לָתוּר</w:t>
      </w:r>
      <w:r w:rsidRPr="0016711A">
        <w:rPr>
          <w:rFonts w:eastAsia="Times New Roman" w:cs="Times New Roman"/>
          <w:rtl/>
          <w:lang w:eastAsia="de-DE"/>
        </w:rPr>
        <w:t xml:space="preserve"> </w:t>
      </w:r>
      <w:r w:rsidRPr="0016711A">
        <w:rPr>
          <w:rFonts w:eastAsia="Times New Roman" w:cs="Times New Roman"/>
          <w:lang w:eastAsia="de-DE"/>
        </w:rPr>
        <w:t xml:space="preserve">mit κατασκέψασθαι (zu erkunden) und </w:t>
      </w:r>
      <w:r w:rsidRPr="0016711A">
        <w:rPr>
          <w:rFonts w:eastAsia="Times New Roman" w:cs="Times New Roman"/>
          <w:b/>
          <w:bCs/>
          <w:lang w:eastAsia="de-DE"/>
        </w:rPr>
        <w:t>μ</w:t>
      </w:r>
      <w:r w:rsidRPr="0016711A">
        <w:rPr>
          <w:rFonts w:eastAsia="Times New Roman" w:cs="Times New Roman"/>
          <w:b/>
          <w:bCs/>
          <w:rtl/>
          <w:lang w:eastAsia="de-DE"/>
        </w:rPr>
        <w:t>ְאֹד מְאֹד</w:t>
      </w:r>
      <w:r w:rsidRPr="0016711A">
        <w:rPr>
          <w:rFonts w:eastAsia="Times New Roman" w:cs="Times New Roman"/>
          <w:rtl/>
          <w:lang w:eastAsia="de-DE"/>
        </w:rPr>
        <w:t xml:space="preserve"> </w:t>
      </w:r>
      <w:r w:rsidRPr="0016711A">
        <w:rPr>
          <w:rFonts w:eastAsia="Times New Roman" w:cs="Times New Roman"/>
          <w:lang w:eastAsia="de-DE"/>
        </w:rPr>
        <w:t>mit σφόδρα σφόδρα (sehr, sehr).</w:t>
      </w:r>
    </w:p>
    <w:p w14:paraId="7A29641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mutige öffentliche Anrede, Autoritätsberufung auf eigene Erfahrung und verstärkte positive Landbewertung.</w:t>
      </w:r>
    </w:p>
    <w:p w14:paraId="20F0A4D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Josuas und Kalebs mutigen Versuch, dem negativen Bericht der anderen Kundschafter mit einer positiven, von persönlicher Erfahrung getragenen Darstellung entgegenzuwirken.</w:t>
      </w:r>
    </w:p>
    <w:p w14:paraId="4AEF81B9"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lastRenderedPageBreak/>
        <w:t>Numeri 14,8</w:t>
      </w:r>
    </w:p>
    <w:p w14:paraId="61507EF4"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אִם־חָפֵ֥ץ בָּ֨נוּ֙ יְהוָ֔ה וְהֵבִ֤יא אֹתָ֨נוּ֙ אֶל־הָאָ֣רֶץ הַזֹּ֔את וּנְתָנָ֖הּ לָ֑נוּ אֶ֕רֶץ אֲשֶׁר־הִ֛וא זָבַ֥ת חָלָ֖ב וּדְבָֽשׁ׃</w:t>
      </w:r>
    </w:p>
    <w:p w14:paraId="6823544B"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Wenn der Ewige Gefallen an uns hat, so wird er uns in dieses Land bringen und es uns geben, ein Land, fließend von Milch und Honig.</w:t>
      </w:r>
    </w:p>
    <w:p w14:paraId="2E65B28A"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79F0AF73">
          <v:rect id="_x0000_i1460" style="width:0;height:1.5pt" o:hralign="center" o:hrstd="t" o:hr="t" fillcolor="#a0a0a0" stroked="f"/>
        </w:pict>
      </w:r>
    </w:p>
    <w:p w14:paraId="0E7F243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Die konditionelle Verheißung </w:t>
      </w:r>
      <w:r w:rsidRPr="0016711A">
        <w:rPr>
          <w:rFonts w:eastAsia="Times New Roman" w:cs="Times New Roman"/>
          <w:b/>
          <w:bCs/>
          <w:rtl/>
          <w:lang w:eastAsia="de-DE"/>
        </w:rPr>
        <w:t>אִם־חָפֵ֥ץ בָּ֨נוּ֙ יְהוָ֔ה</w:t>
      </w:r>
      <w:r w:rsidRPr="0016711A">
        <w:rPr>
          <w:rFonts w:eastAsia="Times New Roman" w:cs="Times New Roman"/>
          <w:rtl/>
          <w:lang w:eastAsia="de-DE"/>
        </w:rPr>
        <w:t xml:space="preserve"> </w:t>
      </w:r>
      <w:r w:rsidRPr="0016711A">
        <w:rPr>
          <w:rFonts w:eastAsia="Times New Roman" w:cs="Times New Roman"/>
          <w:lang w:eastAsia="de-DE"/>
        </w:rPr>
        <w:t xml:space="preserve">(wenn der Ewige Gefallen an uns hat) mit </w:t>
      </w:r>
      <w:r w:rsidRPr="0016711A">
        <w:rPr>
          <w:rFonts w:eastAsia="Times New Roman" w:cs="Times New Roman"/>
          <w:b/>
          <w:bCs/>
          <w:rtl/>
          <w:lang w:eastAsia="de-DE"/>
        </w:rPr>
        <w:t>אִם</w:t>
      </w:r>
      <w:r w:rsidRPr="0016711A">
        <w:rPr>
          <w:rFonts w:eastAsia="Times New Roman" w:cs="Times New Roman"/>
          <w:rtl/>
          <w:lang w:eastAsia="de-DE"/>
        </w:rPr>
        <w:t xml:space="preserve"> </w:t>
      </w:r>
      <w:r w:rsidRPr="0016711A">
        <w:rPr>
          <w:rFonts w:eastAsia="Times New Roman" w:cs="Times New Roman"/>
          <w:lang w:eastAsia="de-DE"/>
        </w:rPr>
        <w:t xml:space="preserve">(wenn), </w:t>
      </w:r>
      <w:r w:rsidRPr="0016711A">
        <w:rPr>
          <w:rFonts w:eastAsia="Times New Roman" w:cs="Times New Roman"/>
          <w:b/>
          <w:bCs/>
          <w:rtl/>
          <w:lang w:eastAsia="de-DE"/>
        </w:rPr>
        <w:t>חָפֵץ</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חפץ</w:t>
      </w:r>
      <w:r w:rsidRPr="0016711A">
        <w:rPr>
          <w:rFonts w:eastAsia="Times New Roman" w:cs="Times New Roman"/>
          <w:rtl/>
          <w:lang w:eastAsia="de-DE"/>
        </w:rPr>
        <w:t xml:space="preserve"> </w:t>
      </w:r>
      <w:r w:rsidRPr="0016711A">
        <w:rPr>
          <w:rFonts w:eastAsia="Times New Roman" w:cs="Times New Roman"/>
          <w:lang w:eastAsia="de-DE"/>
        </w:rPr>
        <w:t xml:space="preserve">(Gefallen haben) als Qal-Perfekt 3. maskulin Singular und </w:t>
      </w:r>
      <w:r w:rsidRPr="0016711A">
        <w:rPr>
          <w:rFonts w:eastAsia="Times New Roman" w:cs="Times New Roman"/>
          <w:b/>
          <w:bCs/>
          <w:rtl/>
          <w:lang w:eastAsia="de-DE"/>
        </w:rPr>
        <w:t>בָּנוּ</w:t>
      </w:r>
      <w:r w:rsidRPr="0016711A">
        <w:rPr>
          <w:rFonts w:eastAsia="Times New Roman" w:cs="Times New Roman"/>
          <w:rtl/>
          <w:lang w:eastAsia="de-DE"/>
        </w:rPr>
        <w:t xml:space="preserve"> </w:t>
      </w:r>
      <w:r w:rsidRPr="0016711A">
        <w:rPr>
          <w:rFonts w:eastAsia="Times New Roman" w:cs="Times New Roman"/>
          <w:lang w:eastAsia="de-DE"/>
        </w:rPr>
        <w:t>(an uns) stellt göttliches Wohlgefallen als Bedingung dar.</w:t>
      </w:r>
    </w:p>
    <w:p w14:paraId="3E9C06ED"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Verheißung </w:t>
      </w:r>
      <w:r w:rsidRPr="0016711A">
        <w:rPr>
          <w:rFonts w:eastAsia="Times New Roman" w:cs="Times New Roman"/>
          <w:b/>
          <w:bCs/>
          <w:rtl/>
          <w:lang w:eastAsia="de-DE"/>
        </w:rPr>
        <w:t>וְהֵבִ֤יא אֹתָ֨נוּ֙ אֶל־הָאָ֣רֶץ הַזֹּ֔את וּנְתָנָ֖הּ לָ֑נוּ</w:t>
      </w:r>
      <w:r w:rsidRPr="0016711A">
        <w:rPr>
          <w:rFonts w:eastAsia="Times New Roman" w:cs="Times New Roman"/>
          <w:rtl/>
          <w:lang w:eastAsia="de-DE"/>
        </w:rPr>
        <w:t xml:space="preserve"> </w:t>
      </w:r>
      <w:r w:rsidRPr="0016711A">
        <w:rPr>
          <w:rFonts w:eastAsia="Times New Roman" w:cs="Times New Roman"/>
          <w:lang w:eastAsia="de-DE"/>
        </w:rPr>
        <w:t xml:space="preserve">(so wird er uns in dieses Land bringen und es uns geben) mit </w:t>
      </w:r>
      <w:r w:rsidRPr="0016711A">
        <w:rPr>
          <w:rFonts w:eastAsia="Times New Roman" w:cs="Times New Roman"/>
          <w:b/>
          <w:bCs/>
          <w:rtl/>
          <w:lang w:eastAsia="de-DE"/>
        </w:rPr>
        <w:t>הֵבִיא</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בוא</w:t>
      </w:r>
      <w:r w:rsidRPr="0016711A">
        <w:rPr>
          <w:rFonts w:eastAsia="Times New Roman" w:cs="Times New Roman"/>
          <w:rtl/>
          <w:lang w:eastAsia="de-DE"/>
        </w:rPr>
        <w:t xml:space="preserve"> </w:t>
      </w:r>
      <w:r w:rsidRPr="0016711A">
        <w:rPr>
          <w:rFonts w:eastAsia="Times New Roman" w:cs="Times New Roman"/>
          <w:lang w:eastAsia="de-DE"/>
        </w:rPr>
        <w:t xml:space="preserve">(bringen) im Hiph'il-Perfekt 3. maskulin Singular mit Waw consecutivum und </w:t>
      </w:r>
      <w:r w:rsidRPr="0016711A">
        <w:rPr>
          <w:rFonts w:eastAsia="Times New Roman" w:cs="Times New Roman"/>
          <w:b/>
          <w:bCs/>
          <w:rtl/>
          <w:lang w:eastAsia="de-DE"/>
        </w:rPr>
        <w:t>נְתָנָהּ לָנוּ</w:t>
      </w:r>
      <w:r w:rsidRPr="0016711A">
        <w:rPr>
          <w:rFonts w:eastAsia="Times New Roman" w:cs="Times New Roman"/>
          <w:rtl/>
          <w:lang w:eastAsia="de-DE"/>
        </w:rPr>
        <w:t xml:space="preserve"> </w:t>
      </w:r>
      <w:r w:rsidRPr="0016711A">
        <w:rPr>
          <w:rFonts w:eastAsia="Times New Roman" w:cs="Times New Roman"/>
          <w:lang w:eastAsia="de-DE"/>
        </w:rPr>
        <w:t xml:space="preserve">(er wird es uns geben) von </w:t>
      </w:r>
      <w:r w:rsidRPr="0016711A">
        <w:rPr>
          <w:rFonts w:eastAsia="Times New Roman" w:cs="Times New Roman"/>
          <w:b/>
          <w:bCs/>
          <w:rtl/>
          <w:lang w:eastAsia="de-DE"/>
        </w:rPr>
        <w:t>נתן</w:t>
      </w:r>
      <w:r w:rsidRPr="0016711A">
        <w:rPr>
          <w:rFonts w:eastAsia="Times New Roman" w:cs="Times New Roman"/>
          <w:rtl/>
          <w:lang w:eastAsia="de-DE"/>
        </w:rPr>
        <w:t xml:space="preserve"> </w:t>
      </w:r>
      <w:r w:rsidRPr="0016711A">
        <w:rPr>
          <w:rFonts w:eastAsia="Times New Roman" w:cs="Times New Roman"/>
          <w:lang w:eastAsia="de-DE"/>
        </w:rPr>
        <w:t>(geben) zeigt das Gottvertrauen in die Erfüllung der Verheißung.</w:t>
      </w:r>
    </w:p>
    <w:p w14:paraId="02C2828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klassische Landbeschreibung </w:t>
      </w:r>
      <w:r w:rsidRPr="0016711A">
        <w:rPr>
          <w:rFonts w:eastAsia="Times New Roman" w:cs="Times New Roman"/>
          <w:b/>
          <w:bCs/>
          <w:rtl/>
          <w:lang w:eastAsia="de-DE"/>
        </w:rPr>
        <w:t>אֶ֕רֶץ אֲשֶׁר־הִ֛וא זָבַ֥ת חָלָ֖ב וּדְבָֽשׁ</w:t>
      </w:r>
      <w:r w:rsidRPr="0016711A">
        <w:rPr>
          <w:rFonts w:eastAsia="Times New Roman" w:cs="Times New Roman"/>
          <w:rtl/>
          <w:lang w:eastAsia="de-DE"/>
        </w:rPr>
        <w:t xml:space="preserve"> </w:t>
      </w:r>
      <w:r w:rsidRPr="0016711A">
        <w:rPr>
          <w:rFonts w:eastAsia="Times New Roman" w:cs="Times New Roman"/>
          <w:lang w:eastAsia="de-DE"/>
        </w:rPr>
        <w:t xml:space="preserve">(ein Land, das von Milch und Honig fließt) mit </w:t>
      </w:r>
      <w:r w:rsidRPr="0016711A">
        <w:rPr>
          <w:rFonts w:eastAsia="Times New Roman" w:cs="Times New Roman"/>
          <w:b/>
          <w:bCs/>
          <w:rtl/>
          <w:lang w:eastAsia="de-DE"/>
        </w:rPr>
        <w:t>זָבַת</w:t>
      </w:r>
      <w:r w:rsidRPr="0016711A">
        <w:rPr>
          <w:rFonts w:eastAsia="Times New Roman" w:cs="Times New Roman"/>
          <w:rtl/>
          <w:lang w:eastAsia="de-DE"/>
        </w:rPr>
        <w:t xml:space="preserve"> </w:t>
      </w:r>
      <w:r w:rsidRPr="0016711A">
        <w:rPr>
          <w:rFonts w:eastAsia="Times New Roman" w:cs="Times New Roman"/>
          <w:lang w:eastAsia="de-DE"/>
        </w:rPr>
        <w:t xml:space="preserve">als Qal-Partizip feminin von </w:t>
      </w:r>
      <w:r w:rsidRPr="0016711A">
        <w:rPr>
          <w:rFonts w:eastAsia="Times New Roman" w:cs="Times New Roman"/>
          <w:b/>
          <w:bCs/>
          <w:rtl/>
          <w:lang w:eastAsia="de-DE"/>
        </w:rPr>
        <w:t>זוב</w:t>
      </w:r>
      <w:r w:rsidRPr="0016711A">
        <w:rPr>
          <w:rFonts w:eastAsia="Times New Roman" w:cs="Times New Roman"/>
          <w:rtl/>
          <w:lang w:eastAsia="de-DE"/>
        </w:rPr>
        <w:t xml:space="preserve"> </w:t>
      </w:r>
      <w:r w:rsidRPr="0016711A">
        <w:rPr>
          <w:rFonts w:eastAsia="Times New Roman" w:cs="Times New Roman"/>
          <w:lang w:eastAsia="de-DE"/>
        </w:rPr>
        <w:t xml:space="preserve">(fließen) und </w:t>
      </w:r>
      <w:r w:rsidRPr="0016711A">
        <w:rPr>
          <w:rFonts w:eastAsia="Times New Roman" w:cs="Times New Roman"/>
          <w:b/>
          <w:bCs/>
          <w:rtl/>
          <w:lang w:eastAsia="de-DE"/>
        </w:rPr>
        <w:t>חָלָב וּדְבַשׁ</w:t>
      </w:r>
      <w:r w:rsidRPr="0016711A">
        <w:rPr>
          <w:rFonts w:eastAsia="Times New Roman" w:cs="Times New Roman"/>
          <w:rtl/>
          <w:lang w:eastAsia="de-DE"/>
        </w:rPr>
        <w:t xml:space="preserve"> </w:t>
      </w:r>
      <w:r w:rsidRPr="0016711A">
        <w:rPr>
          <w:rFonts w:eastAsia="Times New Roman" w:cs="Times New Roman"/>
          <w:lang w:eastAsia="de-DE"/>
        </w:rPr>
        <w:t>(Milch und Honig) verwendet die traditionelle Formel für die göttliche Landverheißung.</w:t>
      </w:r>
    </w:p>
    <w:p w14:paraId="7B151827"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übersetzt </w:t>
      </w:r>
      <w:r w:rsidRPr="0016711A">
        <w:rPr>
          <w:rFonts w:eastAsia="Times New Roman" w:cs="Times New Roman"/>
          <w:b/>
          <w:bCs/>
          <w:rtl/>
          <w:lang w:eastAsia="de-DE"/>
        </w:rPr>
        <w:t>חָפֵץ</w:t>
      </w:r>
      <w:r w:rsidRPr="0016711A">
        <w:rPr>
          <w:rFonts w:eastAsia="Times New Roman" w:cs="Times New Roman"/>
          <w:rtl/>
          <w:lang w:eastAsia="de-DE"/>
        </w:rPr>
        <w:t xml:space="preserve"> </w:t>
      </w:r>
      <w:r w:rsidRPr="0016711A">
        <w:rPr>
          <w:rFonts w:eastAsia="Times New Roman" w:cs="Times New Roman"/>
          <w:lang w:eastAsia="de-DE"/>
        </w:rPr>
        <w:t xml:space="preserve">mit αἱρετίζει (er wählt aus/bevorzugt), </w:t>
      </w:r>
      <w:r w:rsidRPr="0016711A">
        <w:rPr>
          <w:rFonts w:eastAsia="Times New Roman" w:cs="Times New Roman"/>
          <w:b/>
          <w:bCs/>
          <w:rtl/>
          <w:lang w:eastAsia="de-DE"/>
        </w:rPr>
        <w:t>הֵבִיא</w:t>
      </w:r>
      <w:r w:rsidRPr="0016711A">
        <w:rPr>
          <w:rFonts w:eastAsia="Times New Roman" w:cs="Times New Roman"/>
          <w:rtl/>
          <w:lang w:eastAsia="de-DE"/>
        </w:rPr>
        <w:t xml:space="preserve"> </w:t>
      </w:r>
      <w:r w:rsidRPr="0016711A">
        <w:rPr>
          <w:rFonts w:eastAsia="Times New Roman" w:cs="Times New Roman"/>
          <w:lang w:eastAsia="de-DE"/>
        </w:rPr>
        <w:t xml:space="preserve">mit εἰσάξει (er wird hineinführen) und </w:t>
      </w:r>
      <w:r w:rsidRPr="0016711A">
        <w:rPr>
          <w:rFonts w:eastAsia="Times New Roman" w:cs="Times New Roman"/>
          <w:b/>
          <w:bCs/>
          <w:rtl/>
          <w:lang w:eastAsia="de-DE"/>
        </w:rPr>
        <w:t>זָבַת חָלָב וּדְבַשׁ</w:t>
      </w:r>
      <w:r w:rsidRPr="0016711A">
        <w:rPr>
          <w:rFonts w:eastAsia="Times New Roman" w:cs="Times New Roman"/>
          <w:rtl/>
          <w:lang w:eastAsia="de-DE"/>
        </w:rPr>
        <w:t xml:space="preserve"> </w:t>
      </w:r>
      <w:r w:rsidRPr="0016711A">
        <w:rPr>
          <w:rFonts w:eastAsia="Times New Roman" w:cs="Times New Roman"/>
          <w:lang w:eastAsia="de-DE"/>
        </w:rPr>
        <w:t>mit ῥέουσα γάλα καὶ μέλι (fließend von Milch und Honig).</w:t>
      </w:r>
    </w:p>
    <w:p w14:paraId="734C7E16"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konditionelle göttliche Gunst, Verheißungsbestätigung und klassische Landverheißungsformel.</w:t>
      </w:r>
    </w:p>
    <w:p w14:paraId="588E14BE"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Kalebs und Josuas theologische Argumentation: Wenn das Volk in Gottes Gunst steht, wird er seine Verheißungen erfüllen und das verheißene Land geben.</w:t>
      </w:r>
    </w:p>
    <w:p w14:paraId="5DBE9583"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14,9</w:t>
      </w:r>
    </w:p>
    <w:p w14:paraId="737AB048"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אַ֣ךְ בַּֽיהוָה֮ אַל־תִּמְרֹדוּ֒ וְאַתֶּ֗ם אַל־תִּֽירְאוּ֙ אֶת־עַ֣ם הָאָ֔רֶץ כִּ֥י לַחְמֵ֖נוּ הֵ֑ם סָ֣ר צִלָּ֧ם מֵעֲלֵיהֶ֛ם וַֽיהוָ֥ה אִתָּ֖נוּ אַל־תִּירָאֻֽם׃</w:t>
      </w:r>
    </w:p>
    <w:p w14:paraId="44C9B75D"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Nur empört euch nicht gegen den Ewigen; und ihr, fürchtet nicht das Volk des Landes, denn unser Brot sind sie. Ihr Schutz ist von ihnen gewichen, und der Ewige ist mit uns. Fürchtet sie nicht!</w:t>
      </w:r>
    </w:p>
    <w:p w14:paraId="098C3258"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2187CBAF">
          <v:rect id="_x0000_i1461" style="width:0;height:1.5pt" o:hralign="center" o:hrstd="t" o:hr="t" fillcolor="#a0a0a0" stroked="f"/>
        </w:pict>
      </w:r>
    </w:p>
    <w:p w14:paraId="62741F5A"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Die dringende Ermahnung </w:t>
      </w:r>
      <w:r w:rsidRPr="0016711A">
        <w:rPr>
          <w:rFonts w:eastAsia="Times New Roman" w:cs="Times New Roman"/>
          <w:b/>
          <w:bCs/>
          <w:rtl/>
          <w:lang w:eastAsia="de-DE"/>
        </w:rPr>
        <w:t>אַ֣ךְ בַּֽיהוָה֮ אַל־תִּמְרֹדוּ֒</w:t>
      </w:r>
      <w:r w:rsidRPr="0016711A">
        <w:rPr>
          <w:rFonts w:eastAsia="Times New Roman" w:cs="Times New Roman"/>
          <w:rtl/>
          <w:lang w:eastAsia="de-DE"/>
        </w:rPr>
        <w:t xml:space="preserve"> </w:t>
      </w:r>
      <w:r w:rsidRPr="0016711A">
        <w:rPr>
          <w:rFonts w:eastAsia="Times New Roman" w:cs="Times New Roman"/>
          <w:lang w:eastAsia="de-DE"/>
        </w:rPr>
        <w:t xml:space="preserve">(nur gegen den Ewigen empört euch nicht) mit </w:t>
      </w:r>
      <w:r w:rsidRPr="0016711A">
        <w:rPr>
          <w:rFonts w:eastAsia="Times New Roman" w:cs="Times New Roman"/>
          <w:b/>
          <w:bCs/>
          <w:rtl/>
          <w:lang w:eastAsia="de-DE"/>
        </w:rPr>
        <w:t>אַךְ</w:t>
      </w:r>
      <w:r w:rsidRPr="0016711A">
        <w:rPr>
          <w:rFonts w:eastAsia="Times New Roman" w:cs="Times New Roman"/>
          <w:rtl/>
          <w:lang w:eastAsia="de-DE"/>
        </w:rPr>
        <w:t xml:space="preserve"> </w:t>
      </w:r>
      <w:r w:rsidRPr="0016711A">
        <w:rPr>
          <w:rFonts w:eastAsia="Times New Roman" w:cs="Times New Roman"/>
          <w:lang w:eastAsia="de-DE"/>
        </w:rPr>
        <w:t xml:space="preserve">(nur), </w:t>
      </w:r>
      <w:r w:rsidRPr="0016711A">
        <w:rPr>
          <w:rFonts w:eastAsia="Times New Roman" w:cs="Times New Roman"/>
          <w:b/>
          <w:bCs/>
          <w:rtl/>
          <w:lang w:eastAsia="de-DE"/>
        </w:rPr>
        <w:t>בַּיהוָה</w:t>
      </w:r>
      <w:r w:rsidRPr="0016711A">
        <w:rPr>
          <w:rFonts w:eastAsia="Times New Roman" w:cs="Times New Roman"/>
          <w:rtl/>
          <w:lang w:eastAsia="de-DE"/>
        </w:rPr>
        <w:t xml:space="preserve"> </w:t>
      </w:r>
      <w:r w:rsidRPr="0016711A">
        <w:rPr>
          <w:rFonts w:eastAsia="Times New Roman" w:cs="Times New Roman"/>
          <w:lang w:eastAsia="de-DE"/>
        </w:rPr>
        <w:t xml:space="preserve">(gegen den Ewigen) und </w:t>
      </w:r>
      <w:r w:rsidRPr="0016711A">
        <w:rPr>
          <w:rFonts w:eastAsia="Times New Roman" w:cs="Times New Roman"/>
          <w:b/>
          <w:bCs/>
          <w:rtl/>
          <w:lang w:eastAsia="de-DE"/>
        </w:rPr>
        <w:t>אַל־תִּמְרֹדוּ</w:t>
      </w:r>
      <w:r w:rsidRPr="0016711A">
        <w:rPr>
          <w:rFonts w:eastAsia="Times New Roman" w:cs="Times New Roman"/>
          <w:rtl/>
          <w:lang w:eastAsia="de-DE"/>
        </w:rPr>
        <w:t xml:space="preserve"> </w:t>
      </w:r>
      <w:r w:rsidRPr="0016711A">
        <w:rPr>
          <w:rFonts w:eastAsia="Times New Roman" w:cs="Times New Roman"/>
          <w:lang w:eastAsia="de-DE"/>
        </w:rPr>
        <w:t xml:space="preserve">(empört euch nicht) von </w:t>
      </w:r>
      <w:r w:rsidRPr="0016711A">
        <w:rPr>
          <w:rFonts w:eastAsia="Times New Roman" w:cs="Times New Roman"/>
          <w:b/>
          <w:bCs/>
          <w:rtl/>
          <w:lang w:eastAsia="de-DE"/>
        </w:rPr>
        <w:t>מרד</w:t>
      </w:r>
      <w:r w:rsidRPr="0016711A">
        <w:rPr>
          <w:rFonts w:eastAsia="Times New Roman" w:cs="Times New Roman"/>
          <w:rtl/>
          <w:lang w:eastAsia="de-DE"/>
        </w:rPr>
        <w:t xml:space="preserve"> </w:t>
      </w:r>
      <w:r w:rsidRPr="0016711A">
        <w:rPr>
          <w:rFonts w:eastAsia="Times New Roman" w:cs="Times New Roman"/>
          <w:lang w:eastAsia="de-DE"/>
        </w:rPr>
        <w:t xml:space="preserve">(rebellieren) im Qal-Imperfekt 2. maskulin Plural mit Negation </w:t>
      </w:r>
      <w:r w:rsidRPr="0016711A">
        <w:rPr>
          <w:rFonts w:eastAsia="Times New Roman" w:cs="Times New Roman"/>
          <w:b/>
          <w:bCs/>
          <w:rtl/>
          <w:lang w:eastAsia="de-DE"/>
        </w:rPr>
        <w:t>אַל</w:t>
      </w:r>
      <w:r w:rsidRPr="0016711A">
        <w:rPr>
          <w:rFonts w:eastAsia="Times New Roman" w:cs="Times New Roman"/>
          <w:rtl/>
          <w:lang w:eastAsia="de-DE"/>
        </w:rPr>
        <w:t xml:space="preserve"> </w:t>
      </w:r>
      <w:r w:rsidRPr="0016711A">
        <w:rPr>
          <w:rFonts w:eastAsia="Times New Roman" w:cs="Times New Roman"/>
          <w:lang w:eastAsia="de-DE"/>
        </w:rPr>
        <w:t>zeigt die zentrale Warnung gegen Rebellion.</w:t>
      </w:r>
    </w:p>
    <w:p w14:paraId="1BE3A12E"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lastRenderedPageBreak/>
        <w:t xml:space="preserve">Die erste Ermutigung </w:t>
      </w:r>
      <w:r w:rsidRPr="0016711A">
        <w:rPr>
          <w:rFonts w:eastAsia="Times New Roman" w:cs="Times New Roman"/>
          <w:b/>
          <w:bCs/>
          <w:rtl/>
          <w:lang w:eastAsia="de-DE"/>
        </w:rPr>
        <w:t>וְאַתֶּ֗ם אַל־תִּֽירְאוּ֙ אֶת־עַ֣ם הָאָ֔רֶץ כִּ֥י לַחְמֵ֖נוּ הֵ֑ם</w:t>
      </w:r>
      <w:r w:rsidRPr="0016711A">
        <w:rPr>
          <w:rFonts w:eastAsia="Times New Roman" w:cs="Times New Roman"/>
          <w:rtl/>
          <w:lang w:eastAsia="de-DE"/>
        </w:rPr>
        <w:t xml:space="preserve"> </w:t>
      </w:r>
      <w:r w:rsidRPr="0016711A">
        <w:rPr>
          <w:rFonts w:eastAsia="Times New Roman" w:cs="Times New Roman"/>
          <w:lang w:eastAsia="de-DE"/>
        </w:rPr>
        <w:t xml:space="preserve">(und ihr, fürchtet nicht das Volk des Landes, denn unser Brot sind sie) mit </w:t>
      </w:r>
      <w:r w:rsidRPr="0016711A">
        <w:rPr>
          <w:rFonts w:eastAsia="Times New Roman" w:cs="Times New Roman"/>
          <w:b/>
          <w:bCs/>
          <w:rtl/>
          <w:lang w:eastAsia="de-DE"/>
        </w:rPr>
        <w:t>אַל־תִּירְאוּ</w:t>
      </w:r>
      <w:r w:rsidRPr="0016711A">
        <w:rPr>
          <w:rFonts w:eastAsia="Times New Roman" w:cs="Times New Roman"/>
          <w:rtl/>
          <w:lang w:eastAsia="de-DE"/>
        </w:rPr>
        <w:t xml:space="preserve"> </w:t>
      </w:r>
      <w:r w:rsidRPr="0016711A">
        <w:rPr>
          <w:rFonts w:eastAsia="Times New Roman" w:cs="Times New Roman"/>
          <w:lang w:eastAsia="de-DE"/>
        </w:rPr>
        <w:t xml:space="preserve">(fürchtet nicht) von </w:t>
      </w:r>
      <w:r w:rsidRPr="0016711A">
        <w:rPr>
          <w:rFonts w:eastAsia="Times New Roman" w:cs="Times New Roman"/>
          <w:b/>
          <w:bCs/>
          <w:rtl/>
          <w:lang w:eastAsia="de-DE"/>
        </w:rPr>
        <w:t>ירא</w:t>
      </w:r>
      <w:r w:rsidRPr="0016711A">
        <w:rPr>
          <w:rFonts w:eastAsia="Times New Roman" w:cs="Times New Roman"/>
          <w:rtl/>
          <w:lang w:eastAsia="de-DE"/>
        </w:rPr>
        <w:t xml:space="preserve"> </w:t>
      </w:r>
      <w:r w:rsidRPr="0016711A">
        <w:rPr>
          <w:rFonts w:eastAsia="Times New Roman" w:cs="Times New Roman"/>
          <w:lang w:eastAsia="de-DE"/>
        </w:rPr>
        <w:t xml:space="preserve">(fürchten) und der metaphorischen </w:t>
      </w:r>
      <w:r w:rsidRPr="0016711A">
        <w:rPr>
          <w:rFonts w:eastAsia="Times New Roman" w:cs="Times New Roman"/>
          <w:b/>
          <w:bCs/>
          <w:rtl/>
          <w:lang w:eastAsia="de-DE"/>
        </w:rPr>
        <w:t>לַחְמֵנוּ הֵם</w:t>
      </w:r>
      <w:r w:rsidRPr="0016711A">
        <w:rPr>
          <w:rFonts w:eastAsia="Times New Roman" w:cs="Times New Roman"/>
          <w:rtl/>
          <w:lang w:eastAsia="de-DE"/>
        </w:rPr>
        <w:t xml:space="preserve"> </w:t>
      </w:r>
      <w:r w:rsidRPr="0016711A">
        <w:rPr>
          <w:rFonts w:eastAsia="Times New Roman" w:cs="Times New Roman"/>
          <w:lang w:eastAsia="de-DE"/>
        </w:rPr>
        <w:t>(unser Brot sind sie) zeigt, dass die Feinde leicht zu besiegen sind wie Brot zu essen.</w:t>
      </w:r>
    </w:p>
    <w:p w14:paraId="06AB2141"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theologische Begründung </w:t>
      </w:r>
      <w:r w:rsidRPr="0016711A">
        <w:rPr>
          <w:rFonts w:eastAsia="Times New Roman" w:cs="Times New Roman"/>
          <w:b/>
          <w:bCs/>
          <w:rtl/>
          <w:lang w:eastAsia="de-DE"/>
        </w:rPr>
        <w:t>סָ֣ר צִלָּ֧ם מֵעֲלֵיהֶ֛ם וַֽיהוָ֥ה אִתָּ֖נוּ אַל־תִּירָאֻֽם</w:t>
      </w:r>
      <w:r w:rsidRPr="0016711A">
        <w:rPr>
          <w:rFonts w:eastAsia="Times New Roman" w:cs="Times New Roman"/>
          <w:rtl/>
          <w:lang w:eastAsia="de-DE"/>
        </w:rPr>
        <w:t xml:space="preserve"> </w:t>
      </w:r>
      <w:r w:rsidRPr="0016711A">
        <w:rPr>
          <w:rFonts w:eastAsia="Times New Roman" w:cs="Times New Roman"/>
          <w:lang w:eastAsia="de-DE"/>
        </w:rPr>
        <w:t xml:space="preserve">(ihr Schutz ist von ihnen gewichen, und der Ewige ist mit uns, fürchtet sie nicht) mit </w:t>
      </w:r>
      <w:r w:rsidRPr="0016711A">
        <w:rPr>
          <w:rFonts w:eastAsia="Times New Roman" w:cs="Times New Roman"/>
          <w:b/>
          <w:bCs/>
          <w:rtl/>
          <w:lang w:eastAsia="de-DE"/>
        </w:rPr>
        <w:t>סָר צִלָּם</w:t>
      </w:r>
      <w:r w:rsidRPr="0016711A">
        <w:rPr>
          <w:rFonts w:eastAsia="Times New Roman" w:cs="Times New Roman"/>
          <w:rtl/>
          <w:lang w:eastAsia="de-DE"/>
        </w:rPr>
        <w:t xml:space="preserve"> </w:t>
      </w:r>
      <w:r w:rsidRPr="0016711A">
        <w:rPr>
          <w:rFonts w:eastAsia="Times New Roman" w:cs="Times New Roman"/>
          <w:lang w:eastAsia="de-DE"/>
        </w:rPr>
        <w:t xml:space="preserve">(ihr Schutz ist gewichen) von </w:t>
      </w:r>
      <w:r w:rsidRPr="0016711A">
        <w:rPr>
          <w:rFonts w:eastAsia="Times New Roman" w:cs="Times New Roman"/>
          <w:b/>
          <w:bCs/>
          <w:rtl/>
          <w:lang w:eastAsia="de-DE"/>
        </w:rPr>
        <w:t>סור</w:t>
      </w:r>
      <w:r w:rsidRPr="0016711A">
        <w:rPr>
          <w:rFonts w:eastAsia="Times New Roman" w:cs="Times New Roman"/>
          <w:rtl/>
          <w:lang w:eastAsia="de-DE"/>
        </w:rPr>
        <w:t xml:space="preserve"> </w:t>
      </w:r>
      <w:r w:rsidRPr="0016711A">
        <w:rPr>
          <w:rFonts w:eastAsia="Times New Roman" w:cs="Times New Roman"/>
          <w:lang w:eastAsia="de-DE"/>
        </w:rPr>
        <w:t xml:space="preserve">(weichen), </w:t>
      </w:r>
      <w:r w:rsidRPr="0016711A">
        <w:rPr>
          <w:rFonts w:eastAsia="Times New Roman" w:cs="Times New Roman"/>
          <w:b/>
          <w:bCs/>
          <w:rtl/>
          <w:lang w:eastAsia="de-DE"/>
        </w:rPr>
        <w:t>צֵל</w:t>
      </w:r>
      <w:r w:rsidRPr="0016711A">
        <w:rPr>
          <w:rFonts w:eastAsia="Times New Roman" w:cs="Times New Roman"/>
          <w:rtl/>
          <w:lang w:eastAsia="de-DE"/>
        </w:rPr>
        <w:t xml:space="preserve"> </w:t>
      </w:r>
      <w:r w:rsidRPr="0016711A">
        <w:rPr>
          <w:rFonts w:eastAsia="Times New Roman" w:cs="Times New Roman"/>
          <w:lang w:eastAsia="de-DE"/>
        </w:rPr>
        <w:t xml:space="preserve">(Schatten/Schutz), </w:t>
      </w:r>
      <w:r w:rsidRPr="0016711A">
        <w:rPr>
          <w:rFonts w:eastAsia="Times New Roman" w:cs="Times New Roman"/>
          <w:b/>
          <w:bCs/>
          <w:rtl/>
          <w:lang w:eastAsia="de-DE"/>
        </w:rPr>
        <w:t>יְהוָה אִתָּנוּ</w:t>
      </w:r>
      <w:r w:rsidRPr="0016711A">
        <w:rPr>
          <w:rFonts w:eastAsia="Times New Roman" w:cs="Times New Roman"/>
          <w:rtl/>
          <w:lang w:eastAsia="de-DE"/>
        </w:rPr>
        <w:t xml:space="preserve"> </w:t>
      </w:r>
      <w:r w:rsidRPr="0016711A">
        <w:rPr>
          <w:rFonts w:eastAsia="Times New Roman" w:cs="Times New Roman"/>
          <w:lang w:eastAsia="de-DE"/>
        </w:rPr>
        <w:t xml:space="preserve">(der Ewige ist mit uns) und der wiederholten Ermutigung </w:t>
      </w:r>
      <w:r w:rsidRPr="0016711A">
        <w:rPr>
          <w:rFonts w:eastAsia="Times New Roman" w:cs="Times New Roman"/>
          <w:b/>
          <w:bCs/>
          <w:rtl/>
          <w:lang w:eastAsia="de-DE"/>
        </w:rPr>
        <w:t>אַל־תִּירָאֻם</w:t>
      </w:r>
      <w:r w:rsidRPr="0016711A">
        <w:rPr>
          <w:rFonts w:eastAsia="Times New Roman" w:cs="Times New Roman"/>
          <w:rtl/>
          <w:lang w:eastAsia="de-DE"/>
        </w:rPr>
        <w:t xml:space="preserve"> </w:t>
      </w:r>
      <w:r w:rsidRPr="0016711A">
        <w:rPr>
          <w:rFonts w:eastAsia="Times New Roman" w:cs="Times New Roman"/>
          <w:lang w:eastAsia="de-DE"/>
        </w:rPr>
        <w:t>(fürchtet sie nicht) zeigt den theologischen Kern: göttlicher Beistand macht Feinde machtlos.</w:t>
      </w:r>
    </w:p>
    <w:p w14:paraId="6E276F49" w14:textId="52BAE33F"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w:t>
      </w:r>
      <w:r w:rsidR="00184967">
        <w:t>interpretiert das hebräische „</w:t>
      </w:r>
      <w:r w:rsidR="00184967" w:rsidRPr="00184967">
        <w:rPr>
          <w:b/>
          <w:bCs/>
          <w:rtl/>
        </w:rPr>
        <w:t>כִּי לַחְמֵנוּ הֵם</w:t>
      </w:r>
      <w:r w:rsidR="00184967">
        <w:t>" (denn sie sind unser Brot/unsere Speise) als „ὅτι κατάβρωμα ἡμῖν ἐστίν" (denn sie sind Beute für uns), was die Metapher etwas anders ausdrückt. Zudem übersetzt die LXX „</w:t>
      </w:r>
      <w:r w:rsidR="00184967" w:rsidRPr="00184967">
        <w:rPr>
          <w:b/>
          <w:bCs/>
          <w:rtl/>
        </w:rPr>
        <w:t>סָר צִלָּם מֵעֲלֵיהֶם</w:t>
      </w:r>
      <w:r w:rsidR="00184967">
        <w:t>" (ihr Schatten/Schutz ist von ihnen gewichen) mit „ἀφέστηκεν γὰρ ὁ καιρὸς ἀπʼ αὐτῶν" (denn die Zeit ist von ihnen gewichen), eine temporale statt einer Schutz-Metapher.</w:t>
      </w:r>
    </w:p>
    <w:p w14:paraId="79E537F4"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dringende Rebellion-Warnung, Furcht-Ermutigung mit Metapher und theologische Begründung mit wiederholter Ermutigung.</w:t>
      </w:r>
    </w:p>
    <w:p w14:paraId="69A09655"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enthält Kalebs und Josuas zentrale Botschaft: Rebellion gegen Gott vermeiden, keine Furcht vor Feinden, weil Gott mit Israel ist und die Feinde schutzlos macht.</w:t>
      </w:r>
    </w:p>
    <w:p w14:paraId="50B41D1C"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14,10</w:t>
      </w:r>
    </w:p>
    <w:p w14:paraId="28CD9A08"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84967">
        <w:rPr>
          <w:rFonts w:eastAsia="Times New Roman" w:cs="Times New Roman"/>
          <w:rtl/>
          <w:lang w:eastAsia="de-DE"/>
        </w:rPr>
        <w:t>וַיֹּֽאמְרוּ֙ כָּל־הָ֣עֵדָ֔ה לִרְגּ֥וֹם אֹתָ֖ם בָּאֲבָנִ֑ים וּכְב֣וֹד יְהוָ֗ה נִרְאָה֙ בְּאֹ֣הֶל מוֹעֵ֔ד אֶֽל־כָּל־בְּנֵ֖י יִשְׂרָאֵֽל׃</w:t>
      </w:r>
    </w:p>
    <w:p w14:paraId="729AFD18"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Und die ganze Gemeinde sprach, dass man sie steinigen solle. Da erschien die Herrlichkeit des Ewigen am Zelt der Begegnung allen Söhnen Jisra'els.</w:t>
      </w:r>
    </w:p>
    <w:p w14:paraId="3EEC79E7"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719DCA9E">
          <v:rect id="_x0000_i1462" style="width:0;height:1.5pt" o:hralign="center" o:hrstd="t" o:hr="t" fillcolor="#a0a0a0" stroked="f"/>
        </w:pict>
      </w:r>
    </w:p>
    <w:p w14:paraId="110D7A3F" w14:textId="56D7AB7F"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Die gewalttätige Reaktion </w:t>
      </w:r>
      <w:r w:rsidRPr="0016711A">
        <w:rPr>
          <w:rFonts w:eastAsia="Times New Roman" w:cs="Times New Roman"/>
          <w:b/>
          <w:bCs/>
          <w:rtl/>
          <w:lang w:eastAsia="de-DE"/>
        </w:rPr>
        <w:t>וַיֹּֽאמְרוּ֙ כָּל־הָ֣עֵדָ֔ה לִרְגּ֥וֹם אֹתָ֖ם בָּאֲבָנִ֑ים</w:t>
      </w:r>
      <w:r w:rsidRPr="0016711A">
        <w:rPr>
          <w:rFonts w:eastAsia="Times New Roman" w:cs="Times New Roman"/>
          <w:rtl/>
          <w:lang w:eastAsia="de-DE"/>
        </w:rPr>
        <w:t xml:space="preserve"> </w:t>
      </w:r>
      <w:r w:rsidRPr="0016711A">
        <w:rPr>
          <w:rFonts w:eastAsia="Times New Roman" w:cs="Times New Roman"/>
          <w:lang w:eastAsia="de-DE"/>
        </w:rPr>
        <w:t xml:space="preserve">(und die ganze Gemeinde sprach, sie zu steinigen mit Steinen) mit </w:t>
      </w:r>
      <w:r w:rsidRPr="0016711A">
        <w:rPr>
          <w:rFonts w:eastAsia="Times New Roman" w:cs="Times New Roman"/>
          <w:b/>
          <w:bCs/>
          <w:rtl/>
          <w:lang w:eastAsia="de-DE"/>
        </w:rPr>
        <w:t>יֹּאמְרוּ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אמר</w:t>
      </w:r>
      <w:r w:rsidRPr="0016711A">
        <w:rPr>
          <w:rFonts w:eastAsia="Times New Roman" w:cs="Times New Roman"/>
          <w:rtl/>
          <w:lang w:eastAsia="de-DE"/>
        </w:rPr>
        <w:t xml:space="preserve"> </w:t>
      </w:r>
      <w:r w:rsidRPr="0016711A">
        <w:rPr>
          <w:rFonts w:eastAsia="Times New Roman" w:cs="Times New Roman"/>
          <w:lang w:eastAsia="de-DE"/>
        </w:rPr>
        <w:t xml:space="preserve">(sagen), </w:t>
      </w:r>
      <w:r w:rsidRPr="0016711A">
        <w:rPr>
          <w:rFonts w:eastAsia="Times New Roman" w:cs="Times New Roman"/>
          <w:b/>
          <w:bCs/>
          <w:rtl/>
          <w:lang w:eastAsia="de-DE"/>
        </w:rPr>
        <w:t>לִרְגּוֹם</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רגם</w:t>
      </w:r>
      <w:r w:rsidRPr="0016711A">
        <w:rPr>
          <w:rFonts w:eastAsia="Times New Roman" w:cs="Times New Roman"/>
          <w:rtl/>
          <w:lang w:eastAsia="de-DE"/>
        </w:rPr>
        <w:t xml:space="preserve"> </w:t>
      </w:r>
      <w:r w:rsidRPr="0016711A">
        <w:rPr>
          <w:rFonts w:eastAsia="Times New Roman" w:cs="Times New Roman"/>
          <w:lang w:eastAsia="de-DE"/>
        </w:rPr>
        <w:t>(steinigen) als Qal-Infinitiv-</w:t>
      </w:r>
      <w:r w:rsidR="00F133EC">
        <w:rPr>
          <w:rFonts w:eastAsia="Times New Roman" w:cs="Times New Roman"/>
          <w:lang w:eastAsia="de-DE"/>
        </w:rPr>
        <w:t>Construct</w:t>
      </w:r>
      <w:r w:rsidRPr="0016711A">
        <w:rPr>
          <w:rFonts w:eastAsia="Times New Roman" w:cs="Times New Roman"/>
          <w:lang w:eastAsia="de-DE"/>
        </w:rPr>
        <w:t xml:space="preserve"> und </w:t>
      </w:r>
      <w:r w:rsidRPr="0016711A">
        <w:rPr>
          <w:rFonts w:eastAsia="Times New Roman" w:cs="Times New Roman"/>
          <w:b/>
          <w:bCs/>
          <w:rtl/>
          <w:lang w:eastAsia="de-DE"/>
        </w:rPr>
        <w:t>בָּאֲבָנִים</w:t>
      </w:r>
      <w:r w:rsidRPr="0016711A">
        <w:rPr>
          <w:rFonts w:eastAsia="Times New Roman" w:cs="Times New Roman"/>
          <w:rtl/>
          <w:lang w:eastAsia="de-DE"/>
        </w:rPr>
        <w:t xml:space="preserve"> </w:t>
      </w:r>
      <w:r w:rsidRPr="0016711A">
        <w:rPr>
          <w:rFonts w:eastAsia="Times New Roman" w:cs="Times New Roman"/>
          <w:lang w:eastAsia="de-DE"/>
        </w:rPr>
        <w:t>(mit Steinen) zeigt die extreme Gewaltbereitschaft gegen die treuen Kundschafter.</w:t>
      </w:r>
    </w:p>
    <w:p w14:paraId="4D1788DF"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göttliche Intervention </w:t>
      </w:r>
      <w:r w:rsidRPr="0016711A">
        <w:rPr>
          <w:rFonts w:eastAsia="Times New Roman" w:cs="Times New Roman"/>
          <w:b/>
          <w:bCs/>
          <w:rtl/>
          <w:lang w:eastAsia="de-DE"/>
        </w:rPr>
        <w:t>וּכְב֣וֹד יְהוָ֗ה נִרְאָה֙ בְּאֹ֣הֶל מוֹעֵ֔ד אֶֽל־כָּל־בְּנֵ֖י יִשְׂרָאֵֽל</w:t>
      </w:r>
      <w:r w:rsidRPr="0016711A">
        <w:rPr>
          <w:rFonts w:eastAsia="Times New Roman" w:cs="Times New Roman"/>
          <w:rtl/>
          <w:lang w:eastAsia="de-DE"/>
        </w:rPr>
        <w:t xml:space="preserve"> </w:t>
      </w:r>
      <w:r w:rsidRPr="0016711A">
        <w:rPr>
          <w:rFonts w:eastAsia="Times New Roman" w:cs="Times New Roman"/>
          <w:lang w:eastAsia="de-DE"/>
        </w:rPr>
        <w:t xml:space="preserve">(und die Herrlichkeit des Ewigen erschien am Zelt der Begegnung allen Söhnen Israels) mit </w:t>
      </w:r>
      <w:r w:rsidRPr="0016711A">
        <w:rPr>
          <w:rFonts w:eastAsia="Times New Roman" w:cs="Times New Roman"/>
          <w:b/>
          <w:bCs/>
          <w:rtl/>
          <w:lang w:eastAsia="de-DE"/>
        </w:rPr>
        <w:t>כְבוֹד יְהוָה</w:t>
      </w:r>
      <w:r w:rsidRPr="0016711A">
        <w:rPr>
          <w:rFonts w:eastAsia="Times New Roman" w:cs="Times New Roman"/>
          <w:rtl/>
          <w:lang w:eastAsia="de-DE"/>
        </w:rPr>
        <w:t xml:space="preserve"> </w:t>
      </w:r>
      <w:r w:rsidRPr="0016711A">
        <w:rPr>
          <w:rFonts w:eastAsia="Times New Roman" w:cs="Times New Roman"/>
          <w:lang w:eastAsia="de-DE"/>
        </w:rPr>
        <w:t xml:space="preserve">(Herrlichkeit des Ewigen), </w:t>
      </w:r>
      <w:r w:rsidRPr="0016711A">
        <w:rPr>
          <w:rFonts w:eastAsia="Times New Roman" w:cs="Times New Roman"/>
          <w:b/>
          <w:bCs/>
          <w:rtl/>
          <w:lang w:eastAsia="de-DE"/>
        </w:rPr>
        <w:t>נִרְאָה</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ראה</w:t>
      </w:r>
      <w:r w:rsidRPr="0016711A">
        <w:rPr>
          <w:rFonts w:eastAsia="Times New Roman" w:cs="Times New Roman"/>
          <w:rtl/>
          <w:lang w:eastAsia="de-DE"/>
        </w:rPr>
        <w:t xml:space="preserve"> </w:t>
      </w:r>
      <w:r w:rsidRPr="0016711A">
        <w:rPr>
          <w:rFonts w:eastAsia="Times New Roman" w:cs="Times New Roman"/>
          <w:lang w:eastAsia="de-DE"/>
        </w:rPr>
        <w:t xml:space="preserve">(erscheinen) im Niph'al-Perfekt 3. maskulin Singular, </w:t>
      </w:r>
      <w:r w:rsidRPr="0016711A">
        <w:rPr>
          <w:rFonts w:eastAsia="Times New Roman" w:cs="Times New Roman"/>
          <w:b/>
          <w:bCs/>
          <w:rtl/>
          <w:lang w:eastAsia="de-DE"/>
        </w:rPr>
        <w:t>בְּאֹהֶל מוֹעֵד</w:t>
      </w:r>
      <w:r w:rsidRPr="0016711A">
        <w:rPr>
          <w:rFonts w:eastAsia="Times New Roman" w:cs="Times New Roman"/>
          <w:rtl/>
          <w:lang w:eastAsia="de-DE"/>
        </w:rPr>
        <w:t xml:space="preserve"> </w:t>
      </w:r>
      <w:r w:rsidRPr="0016711A">
        <w:rPr>
          <w:rFonts w:eastAsia="Times New Roman" w:cs="Times New Roman"/>
          <w:lang w:eastAsia="de-DE"/>
        </w:rPr>
        <w:t xml:space="preserve">(am Zelt der Begegnung) und </w:t>
      </w:r>
      <w:r w:rsidRPr="0016711A">
        <w:rPr>
          <w:rFonts w:eastAsia="Times New Roman" w:cs="Times New Roman"/>
          <w:b/>
          <w:bCs/>
          <w:rtl/>
          <w:lang w:eastAsia="de-DE"/>
        </w:rPr>
        <w:t>אֶל־כָּל־בְּנֵי יִשְׂרָאֵל</w:t>
      </w:r>
      <w:r w:rsidRPr="0016711A">
        <w:rPr>
          <w:rFonts w:eastAsia="Times New Roman" w:cs="Times New Roman"/>
          <w:rtl/>
          <w:lang w:eastAsia="de-DE"/>
        </w:rPr>
        <w:t xml:space="preserve"> </w:t>
      </w:r>
      <w:r w:rsidRPr="0016711A">
        <w:rPr>
          <w:rFonts w:eastAsia="Times New Roman" w:cs="Times New Roman"/>
          <w:lang w:eastAsia="de-DE"/>
        </w:rPr>
        <w:t>(allen Söhnen Israels) zeigt das dramatische göttliche Eingreifen im kritischen Moment.</w:t>
      </w:r>
    </w:p>
    <w:p w14:paraId="1AEA9F84" w14:textId="1407DFF1"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w:t>
      </w:r>
      <w:r w:rsidR="00184967">
        <w:t>fügt hinzu „ἐν νεφέλῃ" (in einer Wolke), während das Hebräische nur von der Erscheinung der Herrlichkeit spricht, ohne die Wolke explizit zu erwähnen.</w:t>
      </w:r>
    </w:p>
    <w:p w14:paraId="35F64FE3"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kollektive Gewaltandrohung und dramatische göttliche Theophanie als Intervention.</w:t>
      </w:r>
    </w:p>
    <w:p w14:paraId="45639580"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lastRenderedPageBreak/>
        <w:t>Dieser Vers zeigt den absoluten Höhepunkt der Krise: das Volk will die treuen Kundschafter steinigen, aber Gott greift im entscheidenden Moment durch eine sichtbare Theophanie ein.</w:t>
      </w:r>
    </w:p>
    <w:p w14:paraId="186B27C5"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14,11</w:t>
      </w:r>
    </w:p>
    <w:p w14:paraId="61E162FE"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וַיֹּ֤אמֶר יְהוָה֙ אֶל־מֹשֶׁ֔ה עַד־אָ֥נָה יְנַאֲצֻ֖נִי הָעָ֣ם הַזֶּ֑ה וְעַד־אָ֨נָה֙ לֹא־יַאֲמִ֣ינוּ בִ֔י בְּכֹל֙ הָֽאֹת֔וֹת אֲשֶׁ֥ר עָשִׂ֖יתִי בְּקִרְבֹּֽו׃</w:t>
      </w:r>
    </w:p>
    <w:p w14:paraId="1E9F8D7B"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Und der Ewige sprach zu Mosche: Wie lange will dieses Volk mich verwerfen, und wie lange wollen sie mir nicht vertrauen bei all den Zeichen, die ich in ihrer Mitte getan habe?</w:t>
      </w:r>
    </w:p>
    <w:p w14:paraId="6A036E0A"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4D730BA1">
          <v:rect id="_x0000_i1463" style="width:0;height:1.5pt" o:hralign="center" o:hrstd="t" o:hr="t" fillcolor="#a0a0a0" stroked="f"/>
        </w:pict>
      </w:r>
    </w:p>
    <w:p w14:paraId="20A164FA"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Die doppelte rhetorische Frage </w:t>
      </w:r>
      <w:r w:rsidRPr="0016711A">
        <w:rPr>
          <w:rFonts w:eastAsia="Times New Roman" w:cs="Times New Roman"/>
          <w:b/>
          <w:bCs/>
          <w:rtl/>
          <w:lang w:eastAsia="de-DE"/>
        </w:rPr>
        <w:t>עַד־אָ֥נָה יְנַאֲצֻ֖נִי הָעָ֣ם הַזֶּ֑ה וְעַד־אָ֨נָה֙ לֹא־יַאֲמִ֣ינוּ בִ֔י</w:t>
      </w:r>
      <w:r w:rsidRPr="0016711A">
        <w:rPr>
          <w:rFonts w:eastAsia="Times New Roman" w:cs="Times New Roman"/>
          <w:rtl/>
          <w:lang w:eastAsia="de-DE"/>
        </w:rPr>
        <w:t xml:space="preserve"> </w:t>
      </w:r>
      <w:r w:rsidRPr="0016711A">
        <w:rPr>
          <w:rFonts w:eastAsia="Times New Roman" w:cs="Times New Roman"/>
          <w:lang w:eastAsia="de-DE"/>
        </w:rPr>
        <w:t xml:space="preserve">(wie lange wird dieses Volk mich verwerfen, und wie lange werden sie mir nicht glauben) mit </w:t>
      </w:r>
      <w:r w:rsidRPr="0016711A">
        <w:rPr>
          <w:rFonts w:eastAsia="Times New Roman" w:cs="Times New Roman"/>
          <w:b/>
          <w:bCs/>
          <w:rtl/>
          <w:lang w:eastAsia="de-DE"/>
        </w:rPr>
        <w:t>עַד־אָנָה</w:t>
      </w:r>
      <w:r w:rsidRPr="0016711A">
        <w:rPr>
          <w:rFonts w:eastAsia="Times New Roman" w:cs="Times New Roman"/>
          <w:rtl/>
          <w:lang w:eastAsia="de-DE"/>
        </w:rPr>
        <w:t xml:space="preserve"> </w:t>
      </w:r>
      <w:r w:rsidRPr="0016711A">
        <w:rPr>
          <w:rFonts w:eastAsia="Times New Roman" w:cs="Times New Roman"/>
          <w:lang w:eastAsia="de-DE"/>
        </w:rPr>
        <w:t xml:space="preserve">(wie lange) als wiederholte Zeitfrage, </w:t>
      </w:r>
      <w:r w:rsidRPr="0016711A">
        <w:rPr>
          <w:rFonts w:eastAsia="Times New Roman" w:cs="Times New Roman"/>
          <w:b/>
          <w:bCs/>
          <w:rtl/>
          <w:lang w:eastAsia="de-DE"/>
        </w:rPr>
        <w:t>יְנַאֲצֻנִי</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נאץ</w:t>
      </w:r>
      <w:r w:rsidRPr="0016711A">
        <w:rPr>
          <w:rFonts w:eastAsia="Times New Roman" w:cs="Times New Roman"/>
          <w:rtl/>
          <w:lang w:eastAsia="de-DE"/>
        </w:rPr>
        <w:t xml:space="preserve"> </w:t>
      </w:r>
      <w:r w:rsidRPr="0016711A">
        <w:rPr>
          <w:rFonts w:eastAsia="Times New Roman" w:cs="Times New Roman"/>
          <w:lang w:eastAsia="de-DE"/>
        </w:rPr>
        <w:t xml:space="preserve">(verachten/verwerfen) im Pi'el-Imperfekt 3. maskulin Plural und </w:t>
      </w:r>
      <w:r w:rsidRPr="0016711A">
        <w:rPr>
          <w:rFonts w:eastAsia="Times New Roman" w:cs="Times New Roman"/>
          <w:b/>
          <w:bCs/>
          <w:rtl/>
          <w:lang w:eastAsia="de-DE"/>
        </w:rPr>
        <w:t>לֹא־יַאֲמִינוּ בִי</w:t>
      </w:r>
      <w:r w:rsidRPr="0016711A">
        <w:rPr>
          <w:rFonts w:eastAsia="Times New Roman" w:cs="Times New Roman"/>
          <w:rtl/>
          <w:lang w:eastAsia="de-DE"/>
        </w:rPr>
        <w:t xml:space="preserve"> </w:t>
      </w:r>
      <w:r w:rsidRPr="0016711A">
        <w:rPr>
          <w:rFonts w:eastAsia="Times New Roman" w:cs="Times New Roman"/>
          <w:lang w:eastAsia="de-DE"/>
        </w:rPr>
        <w:t xml:space="preserve">(sie werden mir nicht glauben) von </w:t>
      </w:r>
      <w:r w:rsidRPr="0016711A">
        <w:rPr>
          <w:rFonts w:eastAsia="Times New Roman" w:cs="Times New Roman"/>
          <w:b/>
          <w:bCs/>
          <w:rtl/>
          <w:lang w:eastAsia="de-DE"/>
        </w:rPr>
        <w:t>אמן</w:t>
      </w:r>
      <w:r w:rsidRPr="0016711A">
        <w:rPr>
          <w:rFonts w:eastAsia="Times New Roman" w:cs="Times New Roman"/>
          <w:rtl/>
          <w:lang w:eastAsia="de-DE"/>
        </w:rPr>
        <w:t xml:space="preserve"> </w:t>
      </w:r>
      <w:r w:rsidRPr="0016711A">
        <w:rPr>
          <w:rFonts w:eastAsia="Times New Roman" w:cs="Times New Roman"/>
          <w:lang w:eastAsia="de-DE"/>
        </w:rPr>
        <w:t>(glauben) im Hiph'il zeigt göttliche Ungeduld und Enttäuschung.</w:t>
      </w:r>
    </w:p>
    <w:p w14:paraId="6AABA183"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Die Erinnerung an göttliche Taten </w:t>
      </w:r>
      <w:r w:rsidRPr="0016711A">
        <w:rPr>
          <w:rFonts w:eastAsia="Times New Roman" w:cs="Times New Roman"/>
          <w:b/>
          <w:bCs/>
          <w:rtl/>
          <w:lang w:eastAsia="de-DE"/>
        </w:rPr>
        <w:t>בְּכֹל֙ הָֽאֹת֔וֹת אֲשֶׁ֥ר עָשִׂ֖יתִי בְּקִרְבֹּֽו</w:t>
      </w:r>
      <w:r w:rsidRPr="0016711A">
        <w:rPr>
          <w:rFonts w:eastAsia="Times New Roman" w:cs="Times New Roman"/>
          <w:rtl/>
          <w:lang w:eastAsia="de-DE"/>
        </w:rPr>
        <w:t xml:space="preserve"> </w:t>
      </w:r>
      <w:r w:rsidRPr="0016711A">
        <w:rPr>
          <w:rFonts w:eastAsia="Times New Roman" w:cs="Times New Roman"/>
          <w:lang w:eastAsia="de-DE"/>
        </w:rPr>
        <w:t xml:space="preserve">(bei all den Zeichen, die ich in ihrer Mitte getan habe) mit </w:t>
      </w:r>
      <w:r w:rsidRPr="0016711A">
        <w:rPr>
          <w:rFonts w:eastAsia="Times New Roman" w:cs="Times New Roman"/>
          <w:b/>
          <w:bCs/>
          <w:rtl/>
          <w:lang w:eastAsia="de-DE"/>
        </w:rPr>
        <w:t>בְּכֹל הָאֹתוֹת</w:t>
      </w:r>
      <w:r w:rsidRPr="0016711A">
        <w:rPr>
          <w:rFonts w:eastAsia="Times New Roman" w:cs="Times New Roman"/>
          <w:rtl/>
          <w:lang w:eastAsia="de-DE"/>
        </w:rPr>
        <w:t xml:space="preserve"> </w:t>
      </w:r>
      <w:r w:rsidRPr="0016711A">
        <w:rPr>
          <w:rFonts w:eastAsia="Times New Roman" w:cs="Times New Roman"/>
          <w:lang w:eastAsia="de-DE"/>
        </w:rPr>
        <w:t xml:space="preserve">(bei all den Zeichen), </w:t>
      </w:r>
      <w:r w:rsidRPr="0016711A">
        <w:rPr>
          <w:rFonts w:eastAsia="Times New Roman" w:cs="Times New Roman"/>
          <w:b/>
          <w:bCs/>
          <w:rtl/>
          <w:lang w:eastAsia="de-DE"/>
        </w:rPr>
        <w:t>עָשִׂיתִי</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עשה</w:t>
      </w:r>
      <w:r w:rsidRPr="0016711A">
        <w:rPr>
          <w:rFonts w:eastAsia="Times New Roman" w:cs="Times New Roman"/>
          <w:rtl/>
          <w:lang w:eastAsia="de-DE"/>
        </w:rPr>
        <w:t xml:space="preserve"> </w:t>
      </w:r>
      <w:r w:rsidRPr="0016711A">
        <w:rPr>
          <w:rFonts w:eastAsia="Times New Roman" w:cs="Times New Roman"/>
          <w:lang w:eastAsia="de-DE"/>
        </w:rPr>
        <w:t xml:space="preserve">(tun) und </w:t>
      </w:r>
      <w:r w:rsidRPr="0016711A">
        <w:rPr>
          <w:rFonts w:eastAsia="Times New Roman" w:cs="Times New Roman"/>
          <w:b/>
          <w:bCs/>
          <w:rtl/>
          <w:lang w:eastAsia="de-DE"/>
        </w:rPr>
        <w:t>בְּקִרְבּוֹ</w:t>
      </w:r>
      <w:r w:rsidRPr="0016711A">
        <w:rPr>
          <w:rFonts w:eastAsia="Times New Roman" w:cs="Times New Roman"/>
          <w:rtl/>
          <w:lang w:eastAsia="de-DE"/>
        </w:rPr>
        <w:t xml:space="preserve"> </w:t>
      </w:r>
      <w:r w:rsidRPr="0016711A">
        <w:rPr>
          <w:rFonts w:eastAsia="Times New Roman" w:cs="Times New Roman"/>
          <w:lang w:eastAsia="de-DE"/>
        </w:rPr>
        <w:t>(in ihrer Mitte) erinnert an die vielen Wunder, die Israels Glauben hätten stärken sollen.</w:t>
      </w:r>
    </w:p>
    <w:p w14:paraId="555FFE7F"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Die LXX</w:t>
      </w:r>
      <w:r w:rsidRPr="0016711A">
        <w:rPr>
          <w:rFonts w:eastAsia="Times New Roman" w:cs="Times New Roman"/>
          <w:lang w:eastAsia="de-DE"/>
        </w:rPr>
        <w:t xml:space="preserve"> übersetzt </w:t>
      </w:r>
      <w:r w:rsidRPr="0016711A">
        <w:rPr>
          <w:rFonts w:eastAsia="Times New Roman" w:cs="Times New Roman"/>
          <w:b/>
          <w:bCs/>
          <w:rtl/>
          <w:lang w:eastAsia="de-DE"/>
        </w:rPr>
        <w:t>יְנַאֲצֻנִי</w:t>
      </w:r>
      <w:r w:rsidRPr="0016711A">
        <w:rPr>
          <w:rFonts w:eastAsia="Times New Roman" w:cs="Times New Roman"/>
          <w:rtl/>
          <w:lang w:eastAsia="de-DE"/>
        </w:rPr>
        <w:t xml:space="preserve"> </w:t>
      </w:r>
      <w:r w:rsidRPr="0016711A">
        <w:rPr>
          <w:rFonts w:eastAsia="Times New Roman" w:cs="Times New Roman"/>
          <w:lang w:eastAsia="de-DE"/>
        </w:rPr>
        <w:t xml:space="preserve">mit παροξύνει με (sie reizen mich), </w:t>
      </w:r>
      <w:r w:rsidRPr="0016711A">
        <w:rPr>
          <w:rFonts w:eastAsia="Times New Roman" w:cs="Times New Roman"/>
          <w:b/>
          <w:bCs/>
          <w:rtl/>
          <w:lang w:eastAsia="de-DE"/>
        </w:rPr>
        <w:t>יַאֲמִינוּ</w:t>
      </w:r>
      <w:r w:rsidRPr="0016711A">
        <w:rPr>
          <w:rFonts w:eastAsia="Times New Roman" w:cs="Times New Roman"/>
          <w:rtl/>
          <w:lang w:eastAsia="de-DE"/>
        </w:rPr>
        <w:t xml:space="preserve"> </w:t>
      </w:r>
      <w:r w:rsidRPr="0016711A">
        <w:rPr>
          <w:rFonts w:eastAsia="Times New Roman" w:cs="Times New Roman"/>
          <w:lang w:eastAsia="de-DE"/>
        </w:rPr>
        <w:t xml:space="preserve">mit πιστεύσουσίν (sie werden glauben) und </w:t>
      </w:r>
      <w:r w:rsidRPr="0016711A">
        <w:rPr>
          <w:rFonts w:eastAsia="Times New Roman" w:cs="Times New Roman"/>
          <w:b/>
          <w:bCs/>
          <w:rtl/>
          <w:lang w:eastAsia="de-DE"/>
        </w:rPr>
        <w:t>אֹתוֹת</w:t>
      </w:r>
      <w:r w:rsidRPr="0016711A">
        <w:rPr>
          <w:rFonts w:eastAsia="Times New Roman" w:cs="Times New Roman"/>
          <w:rtl/>
          <w:lang w:eastAsia="de-DE"/>
        </w:rPr>
        <w:t xml:space="preserve"> </w:t>
      </w:r>
      <w:r w:rsidRPr="0016711A">
        <w:rPr>
          <w:rFonts w:eastAsia="Times New Roman" w:cs="Times New Roman"/>
          <w:lang w:eastAsia="de-DE"/>
        </w:rPr>
        <w:t>mit σημεῖα (Zeichen).</w:t>
      </w:r>
    </w:p>
    <w:p w14:paraId="5EB33B28"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doppelte rhetorische Zeitfrage mit göttlicher Klage und Erinnerung an Wundertaten als Verstärkung.</w:t>
      </w:r>
    </w:p>
    <w:p w14:paraId="1CF15263"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Gottes Frustration über Israels anhaltenden Unglauben trotz aller Wunder und Zeichen, die er unter ihnen getan hat.</w:t>
      </w:r>
    </w:p>
    <w:p w14:paraId="70F2662C" w14:textId="77777777" w:rsidR="0016711A" w:rsidRPr="0016711A" w:rsidRDefault="0016711A" w:rsidP="0016711A">
      <w:pPr>
        <w:spacing w:before="100" w:beforeAutospacing="1" w:after="100" w:afterAutospacing="1" w:line="240" w:lineRule="auto"/>
        <w:outlineLvl w:val="0"/>
        <w:rPr>
          <w:rFonts w:eastAsia="Times New Roman" w:cs="Times New Roman"/>
          <w:b/>
          <w:bCs/>
          <w:kern w:val="36"/>
          <w:sz w:val="48"/>
          <w:szCs w:val="48"/>
          <w:lang w:eastAsia="de-DE"/>
        </w:rPr>
      </w:pPr>
      <w:r w:rsidRPr="0016711A">
        <w:rPr>
          <w:rFonts w:eastAsia="Times New Roman" w:cs="Times New Roman"/>
          <w:b/>
          <w:bCs/>
          <w:kern w:val="36"/>
          <w:sz w:val="48"/>
          <w:szCs w:val="48"/>
          <w:lang w:eastAsia="de-DE"/>
        </w:rPr>
        <w:t>Numeri 14,12</w:t>
      </w:r>
    </w:p>
    <w:p w14:paraId="1E468765"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Hebräisch:</w:t>
      </w:r>
      <w:r w:rsidRPr="0016711A">
        <w:rPr>
          <w:rFonts w:eastAsia="Times New Roman" w:cs="Times New Roman"/>
          <w:lang w:eastAsia="de-DE"/>
        </w:rPr>
        <w:t xml:space="preserve"> </w:t>
      </w:r>
      <w:r w:rsidRPr="0016711A">
        <w:rPr>
          <w:rFonts w:eastAsia="Times New Roman" w:cs="Times New Roman"/>
          <w:rtl/>
          <w:lang w:eastAsia="de-DE"/>
        </w:rPr>
        <w:t>אַכֶּ֥נּוּ בַדֶּ֖בֶר וְאוֹרִשֶׁ֑נּוּ וְאֶֽעֱשֶׂה֙ אֹֽתְךָ֔ לְגוֹי־גָּד֥וֹל וְעָצ֖וּם מִמֶּֽנּוּ׃</w:t>
      </w:r>
    </w:p>
    <w:p w14:paraId="12C4E644"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Deutsch:</w:t>
      </w:r>
      <w:r w:rsidRPr="0016711A">
        <w:rPr>
          <w:rFonts w:eastAsia="Times New Roman" w:cs="Times New Roman"/>
          <w:lang w:eastAsia="de-DE"/>
        </w:rPr>
        <w:t xml:space="preserve"> Ich will es mit der Pest schlagen und es verstoßen; und ich will dich zu einer Nation machen, größer und stärker als sie.</w:t>
      </w:r>
    </w:p>
    <w:p w14:paraId="26C27780" w14:textId="77777777" w:rsidR="0016711A" w:rsidRPr="0016711A" w:rsidRDefault="00F329DD" w:rsidP="0016711A">
      <w:pPr>
        <w:spacing w:after="0" w:line="240" w:lineRule="auto"/>
        <w:rPr>
          <w:rFonts w:eastAsia="Times New Roman" w:cs="Times New Roman"/>
          <w:lang w:eastAsia="de-DE"/>
        </w:rPr>
      </w:pPr>
      <w:r>
        <w:rPr>
          <w:rFonts w:eastAsia="Times New Roman" w:cs="Times New Roman"/>
          <w:noProof/>
          <w:lang w:eastAsia="de-DE"/>
        </w:rPr>
        <w:pict w14:anchorId="5191FF9F">
          <v:rect id="_x0000_i1464" style="width:0;height:1.5pt" o:hralign="center" o:hrstd="t" o:hr="t" fillcolor="#a0a0a0" stroked="f"/>
        </w:pict>
      </w:r>
    </w:p>
    <w:p w14:paraId="0D6F3734"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Kommentar:</w:t>
      </w:r>
      <w:r w:rsidRPr="0016711A">
        <w:rPr>
          <w:rFonts w:eastAsia="Times New Roman" w:cs="Times New Roman"/>
          <w:lang w:eastAsia="de-DE"/>
        </w:rPr>
        <w:t xml:space="preserve"> Die Strafandrohung </w:t>
      </w:r>
      <w:r w:rsidRPr="0016711A">
        <w:rPr>
          <w:rFonts w:eastAsia="Times New Roman" w:cs="Times New Roman"/>
          <w:b/>
          <w:bCs/>
          <w:rtl/>
          <w:lang w:eastAsia="de-DE"/>
        </w:rPr>
        <w:t>אַכֶּ֥נּוּ בַדֶּ֖בֶר וְאוֹרִשֶׁ֑נּוּ</w:t>
      </w:r>
      <w:r w:rsidRPr="0016711A">
        <w:rPr>
          <w:rFonts w:eastAsia="Times New Roman" w:cs="Times New Roman"/>
          <w:rtl/>
          <w:lang w:eastAsia="de-DE"/>
        </w:rPr>
        <w:t xml:space="preserve"> </w:t>
      </w:r>
      <w:r w:rsidRPr="0016711A">
        <w:rPr>
          <w:rFonts w:eastAsia="Times New Roman" w:cs="Times New Roman"/>
          <w:lang w:eastAsia="de-DE"/>
        </w:rPr>
        <w:t xml:space="preserve">(ich will es mit der Pest schlagen und es verstoßen) mit </w:t>
      </w:r>
      <w:r w:rsidRPr="0016711A">
        <w:rPr>
          <w:rFonts w:eastAsia="Times New Roman" w:cs="Times New Roman"/>
          <w:b/>
          <w:bCs/>
          <w:rtl/>
          <w:lang w:eastAsia="de-DE"/>
        </w:rPr>
        <w:t>אַכֶּנּוּ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נכה</w:t>
      </w:r>
      <w:r w:rsidRPr="0016711A">
        <w:rPr>
          <w:rFonts w:eastAsia="Times New Roman" w:cs="Times New Roman"/>
          <w:rtl/>
          <w:lang w:eastAsia="de-DE"/>
        </w:rPr>
        <w:t xml:space="preserve"> </w:t>
      </w:r>
      <w:r w:rsidRPr="0016711A">
        <w:rPr>
          <w:rFonts w:eastAsia="Times New Roman" w:cs="Times New Roman"/>
          <w:lang w:eastAsia="de-DE"/>
        </w:rPr>
        <w:t xml:space="preserve">(schlagen) im Hiph'il-Imperfekt 1. Person Singular, </w:t>
      </w:r>
      <w:r w:rsidRPr="0016711A">
        <w:rPr>
          <w:rFonts w:eastAsia="Times New Roman" w:cs="Times New Roman"/>
          <w:b/>
          <w:bCs/>
          <w:rtl/>
          <w:lang w:eastAsia="de-DE"/>
        </w:rPr>
        <w:t>בַּדֶּבֶר</w:t>
      </w:r>
      <w:r w:rsidRPr="0016711A">
        <w:rPr>
          <w:rFonts w:eastAsia="Times New Roman" w:cs="Times New Roman"/>
          <w:rtl/>
          <w:lang w:eastAsia="de-DE"/>
        </w:rPr>
        <w:t xml:space="preserve"> </w:t>
      </w:r>
      <w:r w:rsidRPr="0016711A">
        <w:rPr>
          <w:rFonts w:eastAsia="Times New Roman" w:cs="Times New Roman"/>
          <w:lang w:eastAsia="de-DE"/>
        </w:rPr>
        <w:t xml:space="preserve">(mit der Pest) und </w:t>
      </w:r>
      <w:r w:rsidRPr="0016711A">
        <w:rPr>
          <w:rFonts w:eastAsia="Times New Roman" w:cs="Times New Roman"/>
          <w:b/>
          <w:bCs/>
          <w:rtl/>
          <w:lang w:eastAsia="de-DE"/>
        </w:rPr>
        <w:t>אוֹרִישֶׁנּוּ</w:t>
      </w:r>
      <w:r w:rsidRPr="0016711A">
        <w:rPr>
          <w:rFonts w:eastAsia="Times New Roman" w:cs="Times New Roman"/>
          <w:rtl/>
          <w:lang w:eastAsia="de-DE"/>
        </w:rPr>
        <w:t xml:space="preserve"> </w:t>
      </w:r>
      <w:r w:rsidRPr="0016711A">
        <w:rPr>
          <w:rFonts w:eastAsia="Times New Roman" w:cs="Times New Roman"/>
          <w:lang w:eastAsia="de-DE"/>
        </w:rPr>
        <w:t xml:space="preserve">von </w:t>
      </w:r>
      <w:r w:rsidRPr="0016711A">
        <w:rPr>
          <w:rFonts w:eastAsia="Times New Roman" w:cs="Times New Roman"/>
          <w:b/>
          <w:bCs/>
          <w:rtl/>
          <w:lang w:eastAsia="de-DE"/>
        </w:rPr>
        <w:t>ירש</w:t>
      </w:r>
      <w:r w:rsidRPr="0016711A">
        <w:rPr>
          <w:rFonts w:eastAsia="Times New Roman" w:cs="Times New Roman"/>
          <w:rtl/>
          <w:lang w:eastAsia="de-DE"/>
        </w:rPr>
        <w:t xml:space="preserve"> </w:t>
      </w:r>
      <w:r w:rsidRPr="0016711A">
        <w:rPr>
          <w:rFonts w:eastAsia="Times New Roman" w:cs="Times New Roman"/>
          <w:lang w:eastAsia="de-DE"/>
        </w:rPr>
        <w:t>(vertreiben/enterben) im Hiph'il zeigt die drastische göttliche Strafabsicht.</w:t>
      </w:r>
    </w:p>
    <w:p w14:paraId="7EA58739"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 xml:space="preserve">Das alternative Angebot </w:t>
      </w:r>
      <w:r w:rsidRPr="0016711A">
        <w:rPr>
          <w:rFonts w:eastAsia="Times New Roman" w:cs="Times New Roman"/>
          <w:b/>
          <w:bCs/>
          <w:rtl/>
          <w:lang w:eastAsia="de-DE"/>
        </w:rPr>
        <w:t>וְאֶֽעֱשֶׂה֙ אֹֽתְךָ֔ לְגוֹי־גָּד֥וֹל וְעָצ֖וּם מִמֶּֽנּוּ</w:t>
      </w:r>
      <w:r w:rsidRPr="0016711A">
        <w:rPr>
          <w:rFonts w:eastAsia="Times New Roman" w:cs="Times New Roman"/>
          <w:rtl/>
          <w:lang w:eastAsia="de-DE"/>
        </w:rPr>
        <w:t xml:space="preserve"> </w:t>
      </w:r>
      <w:r w:rsidRPr="0016711A">
        <w:rPr>
          <w:rFonts w:eastAsia="Times New Roman" w:cs="Times New Roman"/>
          <w:lang w:eastAsia="de-DE"/>
        </w:rPr>
        <w:t xml:space="preserve">(und ich will dich zu einer Nation machen, größer und stärker als sie) mit </w:t>
      </w:r>
      <w:r w:rsidRPr="0016711A">
        <w:rPr>
          <w:rFonts w:eastAsia="Times New Roman" w:cs="Times New Roman"/>
          <w:b/>
          <w:bCs/>
          <w:rtl/>
          <w:lang w:eastAsia="de-DE"/>
        </w:rPr>
        <w:t>אֶעֱשֶׂה אֹתְךָ</w:t>
      </w:r>
      <w:r w:rsidRPr="0016711A">
        <w:rPr>
          <w:rFonts w:eastAsia="Times New Roman" w:cs="Times New Roman"/>
          <w:rtl/>
          <w:lang w:eastAsia="de-DE"/>
        </w:rPr>
        <w:t xml:space="preserve"> </w:t>
      </w:r>
      <w:r w:rsidRPr="0016711A">
        <w:rPr>
          <w:rFonts w:eastAsia="Times New Roman" w:cs="Times New Roman"/>
          <w:lang w:eastAsia="de-DE"/>
        </w:rPr>
        <w:t xml:space="preserve">(ich will dich machen), </w:t>
      </w:r>
      <w:r w:rsidRPr="0016711A">
        <w:rPr>
          <w:rFonts w:eastAsia="Times New Roman" w:cs="Times New Roman"/>
          <w:b/>
          <w:bCs/>
          <w:rtl/>
          <w:lang w:eastAsia="de-DE"/>
        </w:rPr>
        <w:t>לְגוֹי־גָדוֹל</w:t>
      </w:r>
      <w:r w:rsidRPr="0016711A">
        <w:rPr>
          <w:rFonts w:eastAsia="Times New Roman" w:cs="Times New Roman"/>
          <w:rtl/>
          <w:lang w:eastAsia="de-DE"/>
        </w:rPr>
        <w:t xml:space="preserve"> </w:t>
      </w:r>
      <w:r w:rsidRPr="0016711A">
        <w:rPr>
          <w:rFonts w:eastAsia="Times New Roman" w:cs="Times New Roman"/>
          <w:lang w:eastAsia="de-DE"/>
        </w:rPr>
        <w:t xml:space="preserve">(zu einer </w:t>
      </w:r>
      <w:r w:rsidRPr="0016711A">
        <w:rPr>
          <w:rFonts w:eastAsia="Times New Roman" w:cs="Times New Roman"/>
          <w:lang w:eastAsia="de-DE"/>
        </w:rPr>
        <w:lastRenderedPageBreak/>
        <w:t xml:space="preserve">großen Nation), </w:t>
      </w:r>
      <w:r w:rsidRPr="0016711A">
        <w:rPr>
          <w:rFonts w:eastAsia="Times New Roman" w:cs="Times New Roman"/>
          <w:b/>
          <w:bCs/>
          <w:rtl/>
          <w:lang w:eastAsia="de-DE"/>
        </w:rPr>
        <w:t>עָצוּם</w:t>
      </w:r>
      <w:r w:rsidRPr="0016711A">
        <w:rPr>
          <w:rFonts w:eastAsia="Times New Roman" w:cs="Times New Roman"/>
          <w:rtl/>
          <w:lang w:eastAsia="de-DE"/>
        </w:rPr>
        <w:t xml:space="preserve"> </w:t>
      </w:r>
      <w:r w:rsidRPr="0016711A">
        <w:rPr>
          <w:rFonts w:eastAsia="Times New Roman" w:cs="Times New Roman"/>
          <w:lang w:eastAsia="de-DE"/>
        </w:rPr>
        <w:t xml:space="preserve">(stark/zahlreich) und </w:t>
      </w:r>
      <w:r w:rsidRPr="0016711A">
        <w:rPr>
          <w:rFonts w:eastAsia="Times New Roman" w:cs="Times New Roman"/>
          <w:b/>
          <w:bCs/>
          <w:rtl/>
          <w:lang w:eastAsia="de-DE"/>
        </w:rPr>
        <w:t>מִמֶּנּוּ</w:t>
      </w:r>
      <w:r w:rsidRPr="0016711A">
        <w:rPr>
          <w:rFonts w:eastAsia="Times New Roman" w:cs="Times New Roman"/>
          <w:rtl/>
          <w:lang w:eastAsia="de-DE"/>
        </w:rPr>
        <w:t xml:space="preserve"> </w:t>
      </w:r>
      <w:r w:rsidRPr="0016711A">
        <w:rPr>
          <w:rFonts w:eastAsia="Times New Roman" w:cs="Times New Roman"/>
          <w:lang w:eastAsia="de-DE"/>
        </w:rPr>
        <w:t>(als sie) zeigt das Angebot an Mose, ein neues Volk zu werden, das größer als Israel ist.</w:t>
      </w:r>
    </w:p>
    <w:p w14:paraId="2F41A4E5" w14:textId="2B28C331"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b/>
          <w:bCs/>
          <w:lang w:eastAsia="de-DE"/>
        </w:rPr>
        <w:t xml:space="preserve">Die </w:t>
      </w:r>
      <w:r w:rsidR="00184967">
        <w:t>erweitert Gottes Drohung: Statt nur „</w:t>
      </w:r>
      <w:r w:rsidR="00184967" w:rsidRPr="00184967">
        <w:rPr>
          <w:b/>
          <w:bCs/>
          <w:rtl/>
        </w:rPr>
        <w:t>וְאֶעֱשֶׂה אֹתְךָ לְגוֹי־גָּדוֹל וְעָצוּם מִמֶּנּוּ</w:t>
      </w:r>
      <w:r w:rsidR="00184967">
        <w:t>" (und ich werde dich zu einem größeren und mächtigeren Volk machen als sie) lautet es „καὶ ποιήσω σὲ καὶ τὸν οἶκον τοῦ πατρός σου εἰς ἔθνος μέγα καὶ πολὺ μᾶλλον ἢ τοῦτο" (und ich werde dich und das Haus deines Vaters zu einem Volk machen, viel größer als dieses), wobei das Haus des Vaters hinzugefügt wird.</w:t>
      </w:r>
    </w:p>
    <w:p w14:paraId="045FC388"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 Satzstruktur zeigt drastische Strafandrohung und alternatives Volksschöpfungsangebot an Mose.</w:t>
      </w:r>
    </w:p>
    <w:p w14:paraId="68DCDFD1" w14:textId="77777777" w:rsidR="0016711A" w:rsidRPr="0016711A" w:rsidRDefault="0016711A" w:rsidP="0016711A">
      <w:pPr>
        <w:spacing w:before="100" w:beforeAutospacing="1" w:after="100" w:afterAutospacing="1" w:line="240" w:lineRule="auto"/>
        <w:rPr>
          <w:rFonts w:eastAsia="Times New Roman" w:cs="Times New Roman"/>
          <w:lang w:eastAsia="de-DE"/>
        </w:rPr>
      </w:pPr>
      <w:r w:rsidRPr="0016711A">
        <w:rPr>
          <w:rFonts w:eastAsia="Times New Roman" w:cs="Times New Roman"/>
          <w:lang w:eastAsia="de-DE"/>
        </w:rPr>
        <w:t>Dieser Vers zeigt Gottes radikalen Vorschlag: das rebellische Israel zu vernichten und aus Mose ein neues, größeres Volk zu schaffen.</w:t>
      </w:r>
    </w:p>
    <w:p w14:paraId="14C67C9F" w14:textId="77777777" w:rsidR="00C22013" w:rsidRPr="00C22013" w:rsidRDefault="00D964B1" w:rsidP="00C22013">
      <w:pPr>
        <w:pStyle w:val="berschrift1"/>
      </w:pPr>
      <w:r>
        <w:t xml:space="preserve"> </w:t>
      </w:r>
      <w:r w:rsidR="00C22013" w:rsidRPr="00C22013">
        <w:t>Numeri 14,13</w:t>
      </w:r>
    </w:p>
    <w:p w14:paraId="1DA78D0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וַיֹּ֥אמֶר מֹשֶׁ֖ה אֶל־יְהוָ֑ה וְשָׁמְע֣וּ מִצְרַ֔יִם כִּֽי־הֶעֱלִ֧יתָ בְכֹחֲךָ֛ אֶת־הָעָ֥ם הַזֶּ֖ה מִקִּרְבֹּֽו׃</w:t>
      </w:r>
    </w:p>
    <w:p w14:paraId="3FD9C79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Mosche sprach zu dem Ewigen: So werden die Mizrajim es hören; denn du hast dieses Volk durch deine Macht aus ihrer Mitte heraufgeführt.</w:t>
      </w:r>
    </w:p>
    <w:p w14:paraId="20C9DBD8"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20321AC9">
          <v:rect id="_x0000_i1465" style="width:0;height:1.5pt" o:hralign="center" o:hrstd="t" o:hr="t" fillcolor="#a0a0a0" stroked="f"/>
        </w:pict>
      </w:r>
    </w:p>
    <w:p w14:paraId="7B03C2F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Einleitung </w:t>
      </w:r>
      <w:r w:rsidRPr="00C22013">
        <w:rPr>
          <w:rFonts w:eastAsia="Times New Roman" w:cs="Times New Roman"/>
          <w:b/>
          <w:bCs/>
          <w:rtl/>
          <w:lang w:eastAsia="de-DE"/>
        </w:rPr>
        <w:t>וַיֹּ֥אמֶר מֹשֶׁ֖ה אֶל־יְהוָ֑ה</w:t>
      </w:r>
      <w:r w:rsidRPr="00C22013">
        <w:rPr>
          <w:rFonts w:eastAsia="Times New Roman" w:cs="Times New Roman"/>
          <w:rtl/>
          <w:lang w:eastAsia="de-DE"/>
        </w:rPr>
        <w:t xml:space="preserve"> </w:t>
      </w:r>
      <w:r w:rsidRPr="00C22013">
        <w:rPr>
          <w:rFonts w:eastAsia="Times New Roman" w:cs="Times New Roman"/>
          <w:lang w:eastAsia="de-DE"/>
        </w:rPr>
        <w:t xml:space="preserve">(und Mose sprach zum Ewigen) leitet Moses berühmte Fürbitte ein. Die Sorge </w:t>
      </w:r>
      <w:r w:rsidRPr="00C22013">
        <w:rPr>
          <w:rFonts w:eastAsia="Times New Roman" w:cs="Times New Roman"/>
          <w:b/>
          <w:bCs/>
          <w:rtl/>
          <w:lang w:eastAsia="de-DE"/>
        </w:rPr>
        <w:t>וְשָׁמְע֣וּ מִצְרַ֔יִם</w:t>
      </w:r>
      <w:r w:rsidRPr="00C22013">
        <w:rPr>
          <w:rFonts w:eastAsia="Times New Roman" w:cs="Times New Roman"/>
          <w:rtl/>
          <w:lang w:eastAsia="de-DE"/>
        </w:rPr>
        <w:t xml:space="preserve"> </w:t>
      </w:r>
      <w:r w:rsidRPr="00C22013">
        <w:rPr>
          <w:rFonts w:eastAsia="Times New Roman" w:cs="Times New Roman"/>
          <w:lang w:eastAsia="de-DE"/>
        </w:rPr>
        <w:t xml:space="preserve">(und die Ägypter werden hören) mit </w:t>
      </w:r>
      <w:r w:rsidRPr="00C22013">
        <w:rPr>
          <w:rFonts w:eastAsia="Times New Roman" w:cs="Times New Roman"/>
          <w:b/>
          <w:bCs/>
          <w:rtl/>
          <w:lang w:eastAsia="de-DE"/>
        </w:rPr>
        <w:t>שָׁמְעוּ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שמע</w:t>
      </w:r>
      <w:r w:rsidRPr="00C22013">
        <w:rPr>
          <w:rFonts w:eastAsia="Times New Roman" w:cs="Times New Roman"/>
          <w:rtl/>
          <w:lang w:eastAsia="de-DE"/>
        </w:rPr>
        <w:t xml:space="preserve"> </w:t>
      </w:r>
      <w:r w:rsidRPr="00C22013">
        <w:rPr>
          <w:rFonts w:eastAsia="Times New Roman" w:cs="Times New Roman"/>
          <w:lang w:eastAsia="de-DE"/>
        </w:rPr>
        <w:t>(hören) zeigt Moses Sorge um Gottes Reputation unter den Völkern.</w:t>
      </w:r>
    </w:p>
    <w:p w14:paraId="5A5B3AD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Erinnerung </w:t>
      </w:r>
      <w:r w:rsidRPr="00C22013">
        <w:rPr>
          <w:rFonts w:eastAsia="Times New Roman" w:cs="Times New Roman"/>
          <w:b/>
          <w:bCs/>
          <w:rtl/>
          <w:lang w:eastAsia="de-DE"/>
        </w:rPr>
        <w:t>כִּֽי־הֶעֱלִ֧יתָ בְכֹחֲךָ֛ אֶת־הָעָ֥ם הַזֶּ֖ה מִקִּרְבֹּֽו</w:t>
      </w:r>
      <w:r w:rsidRPr="00C22013">
        <w:rPr>
          <w:rFonts w:eastAsia="Times New Roman" w:cs="Times New Roman"/>
          <w:rtl/>
          <w:lang w:eastAsia="de-DE"/>
        </w:rPr>
        <w:t xml:space="preserve"> </w:t>
      </w:r>
      <w:r w:rsidRPr="00C22013">
        <w:rPr>
          <w:rFonts w:eastAsia="Times New Roman" w:cs="Times New Roman"/>
          <w:lang w:eastAsia="de-DE"/>
        </w:rPr>
        <w:t xml:space="preserve">(denn du hast dieses Volk durch deine Macht aus ihrer Mitte heraufgeführt) mit </w:t>
      </w:r>
      <w:r w:rsidRPr="00C22013">
        <w:rPr>
          <w:rFonts w:eastAsia="Times New Roman" w:cs="Times New Roman"/>
          <w:b/>
          <w:bCs/>
          <w:rtl/>
          <w:lang w:eastAsia="de-DE"/>
        </w:rPr>
        <w:t>הֶעֱלִיתָ</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עלה</w:t>
      </w:r>
      <w:r w:rsidRPr="00C22013">
        <w:rPr>
          <w:rFonts w:eastAsia="Times New Roman" w:cs="Times New Roman"/>
          <w:rtl/>
          <w:lang w:eastAsia="de-DE"/>
        </w:rPr>
        <w:t xml:space="preserve"> </w:t>
      </w:r>
      <w:r w:rsidRPr="00C22013">
        <w:rPr>
          <w:rFonts w:eastAsia="Times New Roman" w:cs="Times New Roman"/>
          <w:lang w:eastAsia="de-DE"/>
        </w:rPr>
        <w:t xml:space="preserve">(heraufführen) im Hiph'il-Perfekt 2. maskulin Singular, </w:t>
      </w:r>
      <w:r w:rsidRPr="00C22013">
        <w:rPr>
          <w:rFonts w:eastAsia="Times New Roman" w:cs="Times New Roman"/>
          <w:b/>
          <w:bCs/>
          <w:rtl/>
          <w:lang w:eastAsia="de-DE"/>
        </w:rPr>
        <w:t>בְכֹחֲךָ</w:t>
      </w:r>
      <w:r w:rsidRPr="00C22013">
        <w:rPr>
          <w:rFonts w:eastAsia="Times New Roman" w:cs="Times New Roman"/>
          <w:rtl/>
          <w:lang w:eastAsia="de-DE"/>
        </w:rPr>
        <w:t xml:space="preserve"> </w:t>
      </w:r>
      <w:r w:rsidRPr="00C22013">
        <w:rPr>
          <w:rFonts w:eastAsia="Times New Roman" w:cs="Times New Roman"/>
          <w:lang w:eastAsia="de-DE"/>
        </w:rPr>
        <w:t xml:space="preserve">(durch deine Macht) und </w:t>
      </w:r>
      <w:r w:rsidRPr="00C22013">
        <w:rPr>
          <w:rFonts w:eastAsia="Times New Roman" w:cs="Times New Roman"/>
          <w:b/>
          <w:bCs/>
          <w:rtl/>
          <w:lang w:eastAsia="de-DE"/>
        </w:rPr>
        <w:t>מִקִּרְבּוֹ</w:t>
      </w:r>
      <w:r w:rsidRPr="00C22013">
        <w:rPr>
          <w:rFonts w:eastAsia="Times New Roman" w:cs="Times New Roman"/>
          <w:rtl/>
          <w:lang w:eastAsia="de-DE"/>
        </w:rPr>
        <w:t xml:space="preserve"> </w:t>
      </w:r>
      <w:r w:rsidRPr="00C22013">
        <w:rPr>
          <w:rFonts w:eastAsia="Times New Roman" w:cs="Times New Roman"/>
          <w:lang w:eastAsia="de-DE"/>
        </w:rPr>
        <w:t>(aus ihrer Mitte) erinnert an den Exodus als öffentliche Demonstration göttlicher Macht.</w:t>
      </w:r>
    </w:p>
    <w:p w14:paraId="78EE5F3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שָׁמְעוּ</w:t>
      </w:r>
      <w:r w:rsidRPr="00C22013">
        <w:rPr>
          <w:rFonts w:eastAsia="Times New Roman" w:cs="Times New Roman"/>
          <w:rtl/>
          <w:lang w:eastAsia="de-DE"/>
        </w:rPr>
        <w:t xml:space="preserve"> </w:t>
      </w:r>
      <w:r w:rsidRPr="00C22013">
        <w:rPr>
          <w:rFonts w:eastAsia="Times New Roman" w:cs="Times New Roman"/>
          <w:lang w:eastAsia="de-DE"/>
        </w:rPr>
        <w:t xml:space="preserve">mit ἀκούσονται (sie werden hören), </w:t>
      </w:r>
      <w:r w:rsidRPr="00C22013">
        <w:rPr>
          <w:rFonts w:eastAsia="Times New Roman" w:cs="Times New Roman"/>
          <w:b/>
          <w:bCs/>
          <w:rtl/>
          <w:lang w:eastAsia="de-DE"/>
        </w:rPr>
        <w:t>הֶעֱלִיתָ</w:t>
      </w:r>
      <w:r w:rsidRPr="00C22013">
        <w:rPr>
          <w:rFonts w:eastAsia="Times New Roman" w:cs="Times New Roman"/>
          <w:rtl/>
          <w:lang w:eastAsia="de-DE"/>
        </w:rPr>
        <w:t xml:space="preserve"> </w:t>
      </w:r>
      <w:r w:rsidRPr="00C22013">
        <w:rPr>
          <w:rFonts w:eastAsia="Times New Roman" w:cs="Times New Roman"/>
          <w:lang w:eastAsia="de-DE"/>
        </w:rPr>
        <w:t xml:space="preserve">mit ἀνήγαγες (du führtest hinauf) und </w:t>
      </w:r>
      <w:r w:rsidRPr="00C22013">
        <w:rPr>
          <w:rFonts w:eastAsia="Times New Roman" w:cs="Times New Roman"/>
          <w:b/>
          <w:bCs/>
          <w:rtl/>
          <w:lang w:eastAsia="de-DE"/>
        </w:rPr>
        <w:t>כֹחֲךָ</w:t>
      </w:r>
      <w:r w:rsidRPr="00C22013">
        <w:rPr>
          <w:rFonts w:eastAsia="Times New Roman" w:cs="Times New Roman"/>
          <w:rtl/>
          <w:lang w:eastAsia="de-DE"/>
        </w:rPr>
        <w:t xml:space="preserve"> </w:t>
      </w:r>
      <w:r w:rsidRPr="00C22013">
        <w:rPr>
          <w:rFonts w:eastAsia="Times New Roman" w:cs="Times New Roman"/>
          <w:lang w:eastAsia="de-DE"/>
        </w:rPr>
        <w:t>mit τῇ ἰσχύι σου (durch deine Stärke).</w:t>
      </w:r>
    </w:p>
    <w:p w14:paraId="6BC8AC6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Fürbitte-Einleitung, Reputationssorge und Erinnerung an öffentliche Machtdemonstration.</w:t>
      </w:r>
    </w:p>
    <w:p w14:paraId="0C8A03F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beginnt Moses meisterhafte Fürbitte mit dem Argument, dass Israels Vernichtung Gottes Reputation bei den Völkern schädigen würde.</w:t>
      </w:r>
    </w:p>
    <w:p w14:paraId="25C61463"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14,14</w:t>
      </w:r>
    </w:p>
    <w:p w14:paraId="3B08D9A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וְאָמְר֗וּ אֶל־יוֹשֵׁב֮ הָאָ֣רֶץ הַזֹּאת֒ שָֽׁמְעוּ֙ כִּֽי־אַתָּ֣ה יְהוָ֔ה בְּקֶ֖רֶב הָעָ֣ם הַזֶּ֑ה אֲשֶׁר־עַ֨יִן בְּעַ֜יִן נִרְאָ֣ה׀ אַתָּ֣ה יְהוָ֗ה וַעֲנָֽנְךָ֙ עֹמֵ֣ד עֲלֵהֶ֔ם וּבְעַמֻּ֣ד עָנָ֗ן אַתָּ֨ה הֹלֵ֤ךְ לִפְנֵיהֶם֙ יוֹמָ֔ם וּבְעַמּ֥וּד אֵ֖שׁ לָֽיְלָה׃</w:t>
      </w:r>
    </w:p>
    <w:p w14:paraId="5D92C4A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Deutsch:</w:t>
      </w:r>
      <w:r w:rsidRPr="00C22013">
        <w:rPr>
          <w:rFonts w:eastAsia="Times New Roman" w:cs="Times New Roman"/>
          <w:lang w:eastAsia="de-DE"/>
        </w:rPr>
        <w:t xml:space="preserve"> Und sie werden es zu den Bewohnern dieses Landes sagen. Sie haben gehört, dass du, Ewiger, in der Mitte dieses Volkes bist, dass du, Ewiger, Auge in Auge gesehen wirst, und dass deine Wolke über ihnen steht und du in einer Wolkensäule vor ihnen hergehst bei Tag und in einer Feuersäule bei Nacht.</w:t>
      </w:r>
    </w:p>
    <w:p w14:paraId="628EB3C6"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D3A4C4A">
          <v:rect id="_x0000_i1466" style="width:0;height:1.5pt" o:hralign="center" o:hrstd="t" o:hr="t" fillcolor="#a0a0a0" stroked="f"/>
        </w:pict>
      </w:r>
    </w:p>
    <w:p w14:paraId="179397D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Informationsverbreitung </w:t>
      </w:r>
      <w:r w:rsidRPr="00C22013">
        <w:rPr>
          <w:rFonts w:eastAsia="Times New Roman" w:cs="Times New Roman"/>
          <w:b/>
          <w:bCs/>
          <w:rtl/>
          <w:lang w:eastAsia="de-DE"/>
        </w:rPr>
        <w:t>וְאָמְר֗וּ אֶל־יוֹשֵׁב֮ הָאָ֣רֶץ הַזֹּאת֒ שָֽׁמְעוּ֙</w:t>
      </w:r>
      <w:r w:rsidRPr="00C22013">
        <w:rPr>
          <w:rFonts w:eastAsia="Times New Roman" w:cs="Times New Roman"/>
          <w:rtl/>
          <w:lang w:eastAsia="de-DE"/>
        </w:rPr>
        <w:t xml:space="preserve"> </w:t>
      </w:r>
      <w:r w:rsidRPr="00C22013">
        <w:rPr>
          <w:rFonts w:eastAsia="Times New Roman" w:cs="Times New Roman"/>
          <w:lang w:eastAsia="de-DE"/>
        </w:rPr>
        <w:t xml:space="preserve">(und sie werden zu den Bewohnern dieses Landes sagen: sie haben gehört) mit </w:t>
      </w:r>
      <w:r w:rsidRPr="00C22013">
        <w:rPr>
          <w:rFonts w:eastAsia="Times New Roman" w:cs="Times New Roman"/>
          <w:b/>
          <w:bCs/>
          <w:rtl/>
          <w:lang w:eastAsia="de-DE"/>
        </w:rPr>
        <w:t>אָמְרוּ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אמר</w:t>
      </w:r>
      <w:r w:rsidRPr="00C22013">
        <w:rPr>
          <w:rFonts w:eastAsia="Times New Roman" w:cs="Times New Roman"/>
          <w:rtl/>
          <w:lang w:eastAsia="de-DE"/>
        </w:rPr>
        <w:t xml:space="preserve"> </w:t>
      </w:r>
      <w:r w:rsidRPr="00C22013">
        <w:rPr>
          <w:rFonts w:eastAsia="Times New Roman" w:cs="Times New Roman"/>
          <w:lang w:eastAsia="de-DE"/>
        </w:rPr>
        <w:t xml:space="preserve">(sagen), </w:t>
      </w:r>
      <w:r w:rsidRPr="00C22013">
        <w:rPr>
          <w:rFonts w:eastAsia="Times New Roman" w:cs="Times New Roman"/>
          <w:b/>
          <w:bCs/>
          <w:rtl/>
          <w:lang w:eastAsia="de-DE"/>
        </w:rPr>
        <w:t>יוֹשֵׁב הָאָרֶץ</w:t>
      </w:r>
      <w:r w:rsidRPr="00C22013">
        <w:rPr>
          <w:rFonts w:eastAsia="Times New Roman" w:cs="Times New Roman"/>
          <w:rtl/>
          <w:lang w:eastAsia="de-DE"/>
        </w:rPr>
        <w:t xml:space="preserve"> </w:t>
      </w:r>
      <w:r w:rsidRPr="00C22013">
        <w:rPr>
          <w:rFonts w:eastAsia="Times New Roman" w:cs="Times New Roman"/>
          <w:lang w:eastAsia="de-DE"/>
        </w:rPr>
        <w:t xml:space="preserve">(Bewohner des Landes) und </w:t>
      </w:r>
      <w:r w:rsidRPr="00C22013">
        <w:rPr>
          <w:rFonts w:eastAsia="Times New Roman" w:cs="Times New Roman"/>
          <w:b/>
          <w:bCs/>
          <w:rtl/>
          <w:lang w:eastAsia="de-DE"/>
        </w:rPr>
        <w:t>שָׁמְעוּ</w:t>
      </w:r>
      <w:r w:rsidRPr="00C22013">
        <w:rPr>
          <w:rFonts w:eastAsia="Times New Roman" w:cs="Times New Roman"/>
          <w:rtl/>
          <w:lang w:eastAsia="de-DE"/>
        </w:rPr>
        <w:t xml:space="preserve"> </w:t>
      </w:r>
      <w:r w:rsidRPr="00C22013">
        <w:rPr>
          <w:rFonts w:eastAsia="Times New Roman" w:cs="Times New Roman"/>
          <w:lang w:eastAsia="de-DE"/>
        </w:rPr>
        <w:t>(sie haben gehört) zeigt die internationale Bekanntheit von Gottes Wirken.</w:t>
      </w:r>
    </w:p>
    <w:p w14:paraId="1435A01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direkte Gottespräsenz </w:t>
      </w:r>
      <w:r w:rsidRPr="00C22013">
        <w:rPr>
          <w:rFonts w:eastAsia="Times New Roman" w:cs="Times New Roman"/>
          <w:b/>
          <w:bCs/>
          <w:rtl/>
          <w:lang w:eastAsia="de-DE"/>
        </w:rPr>
        <w:t>כִּֽי־אַתָּ֣ה יְהוָ֔ה בְּקֶ֖רֶב הָעָ֣ם הַזֶּ֑ה אֲשֶׁר־עַ֨יִן בְּעַ֜יִן נִרְאָ֣ה׀ אַתָּ֣ה יְהוָ֗ה</w:t>
      </w:r>
      <w:r w:rsidRPr="00C22013">
        <w:rPr>
          <w:rFonts w:eastAsia="Times New Roman" w:cs="Times New Roman"/>
          <w:rtl/>
          <w:lang w:eastAsia="de-DE"/>
        </w:rPr>
        <w:t xml:space="preserve"> </w:t>
      </w:r>
      <w:r w:rsidRPr="00C22013">
        <w:rPr>
          <w:rFonts w:eastAsia="Times New Roman" w:cs="Times New Roman"/>
          <w:lang w:eastAsia="de-DE"/>
        </w:rPr>
        <w:t xml:space="preserve">(dass du, Ewiger, in der Mitte dieses Volkes bist, dass du, Ewiger, Auge in Auge gesehen wirst) mit </w:t>
      </w:r>
      <w:r w:rsidRPr="00C22013">
        <w:rPr>
          <w:rFonts w:eastAsia="Times New Roman" w:cs="Times New Roman"/>
          <w:b/>
          <w:bCs/>
          <w:rtl/>
          <w:lang w:eastAsia="de-DE"/>
        </w:rPr>
        <w:t>בְּקֶרֶב הָעָם</w:t>
      </w:r>
      <w:r w:rsidRPr="00C22013">
        <w:rPr>
          <w:rFonts w:eastAsia="Times New Roman" w:cs="Times New Roman"/>
          <w:rtl/>
          <w:lang w:eastAsia="de-DE"/>
        </w:rPr>
        <w:t xml:space="preserve"> </w:t>
      </w:r>
      <w:r w:rsidRPr="00C22013">
        <w:rPr>
          <w:rFonts w:eastAsia="Times New Roman" w:cs="Times New Roman"/>
          <w:lang w:eastAsia="de-DE"/>
        </w:rPr>
        <w:t xml:space="preserve">(in der Mitte des Volkes), </w:t>
      </w:r>
      <w:r w:rsidRPr="00C22013">
        <w:rPr>
          <w:rFonts w:eastAsia="Times New Roman" w:cs="Times New Roman"/>
          <w:b/>
          <w:bCs/>
          <w:rtl/>
          <w:lang w:eastAsia="de-DE"/>
        </w:rPr>
        <w:t>עַיִן בְּעַיִן</w:t>
      </w:r>
      <w:r w:rsidRPr="00C22013">
        <w:rPr>
          <w:rFonts w:eastAsia="Times New Roman" w:cs="Times New Roman"/>
          <w:rtl/>
          <w:lang w:eastAsia="de-DE"/>
        </w:rPr>
        <w:t xml:space="preserve"> </w:t>
      </w:r>
      <w:r w:rsidRPr="00C22013">
        <w:rPr>
          <w:rFonts w:eastAsia="Times New Roman" w:cs="Times New Roman"/>
          <w:lang w:eastAsia="de-DE"/>
        </w:rPr>
        <w:t xml:space="preserve">(Auge in Auge) und </w:t>
      </w:r>
      <w:r w:rsidRPr="00C22013">
        <w:rPr>
          <w:rFonts w:eastAsia="Times New Roman" w:cs="Times New Roman"/>
          <w:b/>
          <w:bCs/>
          <w:rtl/>
          <w:lang w:eastAsia="de-DE"/>
        </w:rPr>
        <w:t>נִרְאָה</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ראה</w:t>
      </w:r>
      <w:r w:rsidRPr="00C22013">
        <w:rPr>
          <w:rFonts w:eastAsia="Times New Roman" w:cs="Times New Roman"/>
          <w:rtl/>
          <w:lang w:eastAsia="de-DE"/>
        </w:rPr>
        <w:t xml:space="preserve"> </w:t>
      </w:r>
      <w:r w:rsidRPr="00C22013">
        <w:rPr>
          <w:rFonts w:eastAsia="Times New Roman" w:cs="Times New Roman"/>
          <w:lang w:eastAsia="de-DE"/>
        </w:rPr>
        <w:t>(gesehen werden) im Niph'al zeigt die einzigartige Unmittelbarkeit der Gottesbeziehung.</w:t>
      </w:r>
    </w:p>
    <w:p w14:paraId="684BBC5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sichtbaren Zeichen </w:t>
      </w:r>
      <w:r w:rsidRPr="00C22013">
        <w:rPr>
          <w:rFonts w:eastAsia="Times New Roman" w:cs="Times New Roman"/>
          <w:b/>
          <w:bCs/>
          <w:rtl/>
          <w:lang w:eastAsia="de-DE"/>
        </w:rPr>
        <w:t>וַעֲנָֽנְךָ֙ עֹמֵ֣ד עֲלֵהֶ֔ם וּבְעַמֻּ֣ד עָנָ֗ן אַתָּ֨ה הֹלֵ֤ךְ לִפְנֵיהֶם֙ יוֹמָ֔ם וּבְעַמּ֥וּד אֵ֖שׁ לָֽיְלָה</w:t>
      </w:r>
      <w:r w:rsidRPr="00C22013">
        <w:rPr>
          <w:rFonts w:eastAsia="Times New Roman" w:cs="Times New Roman"/>
          <w:rtl/>
          <w:lang w:eastAsia="de-DE"/>
        </w:rPr>
        <w:t xml:space="preserve"> </w:t>
      </w:r>
      <w:r w:rsidRPr="00C22013">
        <w:rPr>
          <w:rFonts w:eastAsia="Times New Roman" w:cs="Times New Roman"/>
          <w:lang w:eastAsia="de-DE"/>
        </w:rPr>
        <w:t xml:space="preserve">(und deine Wolke steht über ihnen, und in einer Wolkensäule gehst du vor ihnen her am Tag und in einer Feuersäule bei Nacht) mit </w:t>
      </w:r>
      <w:r w:rsidRPr="00C22013">
        <w:rPr>
          <w:rFonts w:eastAsia="Times New Roman" w:cs="Times New Roman"/>
          <w:b/>
          <w:bCs/>
          <w:rtl/>
          <w:lang w:eastAsia="de-DE"/>
        </w:rPr>
        <w:t>עֲנָנְךָ עֹמֵד</w:t>
      </w:r>
      <w:r w:rsidRPr="00C22013">
        <w:rPr>
          <w:rFonts w:eastAsia="Times New Roman" w:cs="Times New Roman"/>
          <w:rtl/>
          <w:lang w:eastAsia="de-DE"/>
        </w:rPr>
        <w:t xml:space="preserve"> </w:t>
      </w:r>
      <w:r w:rsidRPr="00C22013">
        <w:rPr>
          <w:rFonts w:eastAsia="Times New Roman" w:cs="Times New Roman"/>
          <w:lang w:eastAsia="de-DE"/>
        </w:rPr>
        <w:t xml:space="preserve">(deine Wolke steht), </w:t>
      </w:r>
      <w:r w:rsidRPr="00C22013">
        <w:rPr>
          <w:rFonts w:eastAsia="Times New Roman" w:cs="Times New Roman"/>
          <w:b/>
          <w:bCs/>
          <w:rtl/>
          <w:lang w:eastAsia="de-DE"/>
        </w:rPr>
        <w:t>עַמּוּד עָנָן</w:t>
      </w:r>
      <w:r w:rsidRPr="00C22013">
        <w:rPr>
          <w:rFonts w:eastAsia="Times New Roman" w:cs="Times New Roman"/>
          <w:rtl/>
          <w:lang w:eastAsia="de-DE"/>
        </w:rPr>
        <w:t xml:space="preserve"> </w:t>
      </w:r>
      <w:r w:rsidRPr="00C22013">
        <w:rPr>
          <w:rFonts w:eastAsia="Times New Roman" w:cs="Times New Roman"/>
          <w:lang w:eastAsia="de-DE"/>
        </w:rPr>
        <w:t xml:space="preserve">(Wolkensäule), </w:t>
      </w:r>
      <w:r w:rsidRPr="00C22013">
        <w:rPr>
          <w:rFonts w:eastAsia="Times New Roman" w:cs="Times New Roman"/>
          <w:b/>
          <w:bCs/>
          <w:rtl/>
          <w:lang w:eastAsia="de-DE"/>
        </w:rPr>
        <w:t>הֹלֵךְ לִפְנֵיהֶם</w:t>
      </w:r>
      <w:r w:rsidRPr="00C22013">
        <w:rPr>
          <w:rFonts w:eastAsia="Times New Roman" w:cs="Times New Roman"/>
          <w:rtl/>
          <w:lang w:eastAsia="de-DE"/>
        </w:rPr>
        <w:t xml:space="preserve"> </w:t>
      </w:r>
      <w:r w:rsidRPr="00C22013">
        <w:rPr>
          <w:rFonts w:eastAsia="Times New Roman" w:cs="Times New Roman"/>
          <w:lang w:eastAsia="de-DE"/>
        </w:rPr>
        <w:t xml:space="preserve">(vor ihnen hergehend) und </w:t>
      </w:r>
      <w:r w:rsidRPr="00C22013">
        <w:rPr>
          <w:rFonts w:eastAsia="Times New Roman" w:cs="Times New Roman"/>
          <w:b/>
          <w:bCs/>
          <w:rtl/>
          <w:lang w:eastAsia="de-DE"/>
        </w:rPr>
        <w:t>עַמּוּד אֵשׁ לָיְלָה</w:t>
      </w:r>
      <w:r w:rsidRPr="00C22013">
        <w:rPr>
          <w:rFonts w:eastAsia="Times New Roman" w:cs="Times New Roman"/>
          <w:rtl/>
          <w:lang w:eastAsia="de-DE"/>
        </w:rPr>
        <w:t xml:space="preserve"> </w:t>
      </w:r>
      <w:r w:rsidRPr="00C22013">
        <w:rPr>
          <w:rFonts w:eastAsia="Times New Roman" w:cs="Times New Roman"/>
          <w:lang w:eastAsia="de-DE"/>
        </w:rPr>
        <w:t>(Feuersäule bei Nacht) zeigen die öffentlich sichtbaren Zeichen göttlicher Führung.</w:t>
      </w:r>
    </w:p>
    <w:p w14:paraId="3C86417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עַיִן בְּעַיִן</w:t>
      </w:r>
      <w:r w:rsidRPr="00C22013">
        <w:rPr>
          <w:rFonts w:eastAsia="Times New Roman" w:cs="Times New Roman"/>
          <w:rtl/>
          <w:lang w:eastAsia="de-DE"/>
        </w:rPr>
        <w:t xml:space="preserve"> </w:t>
      </w:r>
      <w:r w:rsidRPr="00C22013">
        <w:rPr>
          <w:rFonts w:eastAsia="Times New Roman" w:cs="Times New Roman"/>
          <w:lang w:eastAsia="de-DE"/>
        </w:rPr>
        <w:t xml:space="preserve">mit ὀφθαλμοὶ κατὰ ὀφθαλμούς (Augen gegenüber Augen), </w:t>
      </w:r>
      <w:r w:rsidRPr="00C22013">
        <w:rPr>
          <w:rFonts w:eastAsia="Times New Roman" w:cs="Times New Roman"/>
          <w:b/>
          <w:bCs/>
          <w:rtl/>
          <w:lang w:eastAsia="de-DE"/>
        </w:rPr>
        <w:t>עַמּוּד עָנָן</w:t>
      </w:r>
      <w:r w:rsidRPr="00C22013">
        <w:rPr>
          <w:rFonts w:eastAsia="Times New Roman" w:cs="Times New Roman"/>
          <w:rtl/>
          <w:lang w:eastAsia="de-DE"/>
        </w:rPr>
        <w:t xml:space="preserve"> </w:t>
      </w:r>
      <w:r w:rsidRPr="00C22013">
        <w:rPr>
          <w:rFonts w:eastAsia="Times New Roman" w:cs="Times New Roman"/>
          <w:lang w:eastAsia="de-DE"/>
        </w:rPr>
        <w:t xml:space="preserve">mit στύλῳ νεφέλης (in einer Wolkensäule) und </w:t>
      </w:r>
      <w:r w:rsidRPr="00C22013">
        <w:rPr>
          <w:rFonts w:eastAsia="Times New Roman" w:cs="Times New Roman"/>
          <w:b/>
          <w:bCs/>
          <w:rtl/>
          <w:lang w:eastAsia="de-DE"/>
        </w:rPr>
        <w:t>עַמּוּד אֵשׁ</w:t>
      </w:r>
      <w:r w:rsidRPr="00C22013">
        <w:rPr>
          <w:rFonts w:eastAsia="Times New Roman" w:cs="Times New Roman"/>
          <w:rtl/>
          <w:lang w:eastAsia="de-DE"/>
        </w:rPr>
        <w:t xml:space="preserve"> </w:t>
      </w:r>
      <w:r w:rsidRPr="00C22013">
        <w:rPr>
          <w:rFonts w:eastAsia="Times New Roman" w:cs="Times New Roman"/>
          <w:lang w:eastAsia="de-DE"/>
        </w:rPr>
        <w:t>mit στύλῳ πυρός (in einer Feuersäule).</w:t>
      </w:r>
    </w:p>
    <w:p w14:paraId="058A012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internationale Informationsverbreitung, einzigartige Gottespräsenz und sichtbare Führungszeichen.</w:t>
      </w:r>
    </w:p>
    <w:p w14:paraId="1A5AA18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verstärkt Moses Argument: die ganze Welt weiß um Gottes einzigartige Beziehung zu Israel durch sichtbare Zeichen.</w:t>
      </w:r>
    </w:p>
    <w:p w14:paraId="21F3EE58"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14,15</w:t>
      </w:r>
    </w:p>
    <w:p w14:paraId="260B7D3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וְהֵמַתָּ֛ה אֶת־הָעָ֥ם הַזֶּ֖ה כְּאִ֣ישׁ אֶחָ֑ד וְאָֽמְרוּ֙ הַגּוֹיִ֔ם אֲשֶׁר־שָׁמְע֥וּ אֶֽת־שִׁמְעֲךָ֖ לֵאמֹֽר׃</w:t>
      </w:r>
    </w:p>
    <w:p w14:paraId="21CE5E6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tötetest du dieses Volk wie einen einzigen Mann, so werden die Nationen, die die Kunde von dir gehört haben, sagen:</w:t>
      </w:r>
    </w:p>
    <w:p w14:paraId="05083F3B"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08D805D">
          <v:rect id="_x0000_i1467" style="width:0;height:1.5pt" o:hralign="center" o:hrstd="t" o:hr="t" fillcolor="#a0a0a0" stroked="f"/>
        </w:pict>
      </w:r>
    </w:p>
    <w:p w14:paraId="286E7B8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hypothetische Vernichtung </w:t>
      </w:r>
      <w:r w:rsidRPr="00C22013">
        <w:rPr>
          <w:rFonts w:eastAsia="Times New Roman" w:cs="Times New Roman"/>
          <w:b/>
          <w:bCs/>
          <w:rtl/>
          <w:lang w:eastAsia="de-DE"/>
        </w:rPr>
        <w:t>וְהֵמַתָּ֛ה אֶת־הָעָ֥ם הַזֶּ֖ה כְּאִ֣ישׁ אֶחָ֑ד</w:t>
      </w:r>
      <w:r w:rsidRPr="00C22013">
        <w:rPr>
          <w:rFonts w:eastAsia="Times New Roman" w:cs="Times New Roman"/>
          <w:rtl/>
          <w:lang w:eastAsia="de-DE"/>
        </w:rPr>
        <w:t xml:space="preserve"> </w:t>
      </w:r>
      <w:r w:rsidRPr="00C22013">
        <w:rPr>
          <w:rFonts w:eastAsia="Times New Roman" w:cs="Times New Roman"/>
          <w:lang w:eastAsia="de-DE"/>
        </w:rPr>
        <w:t xml:space="preserve">(und tötetest du dieses Volk wie einen einzigen Mann) mit </w:t>
      </w:r>
      <w:r w:rsidRPr="00C22013">
        <w:rPr>
          <w:rFonts w:eastAsia="Times New Roman" w:cs="Times New Roman"/>
          <w:b/>
          <w:bCs/>
          <w:rtl/>
          <w:lang w:eastAsia="de-DE"/>
        </w:rPr>
        <w:t>הֵמַתָּה</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מות</w:t>
      </w:r>
      <w:r w:rsidRPr="00C22013">
        <w:rPr>
          <w:rFonts w:eastAsia="Times New Roman" w:cs="Times New Roman"/>
          <w:rtl/>
          <w:lang w:eastAsia="de-DE"/>
        </w:rPr>
        <w:t xml:space="preserve"> </w:t>
      </w:r>
      <w:r w:rsidRPr="00C22013">
        <w:rPr>
          <w:rFonts w:eastAsia="Times New Roman" w:cs="Times New Roman"/>
          <w:lang w:eastAsia="de-DE"/>
        </w:rPr>
        <w:t xml:space="preserve">(töten) im Hiph'il-Perfekt 2. maskulin Singular mit Waw consecutivum und </w:t>
      </w:r>
      <w:r w:rsidRPr="00C22013">
        <w:rPr>
          <w:rFonts w:eastAsia="Times New Roman" w:cs="Times New Roman"/>
          <w:b/>
          <w:bCs/>
          <w:rtl/>
          <w:lang w:eastAsia="de-DE"/>
        </w:rPr>
        <w:t>כְּאִישׁ אֶחָד</w:t>
      </w:r>
      <w:r w:rsidRPr="00C22013">
        <w:rPr>
          <w:rFonts w:eastAsia="Times New Roman" w:cs="Times New Roman"/>
          <w:rtl/>
          <w:lang w:eastAsia="de-DE"/>
        </w:rPr>
        <w:t xml:space="preserve"> </w:t>
      </w:r>
      <w:r w:rsidRPr="00C22013">
        <w:rPr>
          <w:rFonts w:eastAsia="Times New Roman" w:cs="Times New Roman"/>
          <w:lang w:eastAsia="de-DE"/>
        </w:rPr>
        <w:t>(wie einen einzigen Mann) zeigt die totale, simultane Vernichtung.</w:t>
      </w:r>
    </w:p>
    <w:p w14:paraId="31867DC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internationale Reaktion </w:t>
      </w:r>
      <w:r w:rsidRPr="00C22013">
        <w:rPr>
          <w:rFonts w:eastAsia="Times New Roman" w:cs="Times New Roman"/>
          <w:b/>
          <w:bCs/>
          <w:rtl/>
          <w:lang w:eastAsia="de-DE"/>
        </w:rPr>
        <w:t>וְאָֽמְרוּ֙ הַגּוֹיִ֔ם אֲשֶׁר־שָׁמְע֥וּ אֶֽת־שִׁמְעֲךָ֖ לֵאמֹֽר</w:t>
      </w:r>
      <w:r w:rsidRPr="00C22013">
        <w:rPr>
          <w:rFonts w:eastAsia="Times New Roman" w:cs="Times New Roman"/>
          <w:rtl/>
          <w:lang w:eastAsia="de-DE"/>
        </w:rPr>
        <w:t xml:space="preserve"> </w:t>
      </w:r>
      <w:r w:rsidRPr="00C22013">
        <w:rPr>
          <w:rFonts w:eastAsia="Times New Roman" w:cs="Times New Roman"/>
          <w:lang w:eastAsia="de-DE"/>
        </w:rPr>
        <w:t xml:space="preserve">(und die Völker, die deine Kunde gehört haben, werden sagen) mit </w:t>
      </w:r>
      <w:r w:rsidRPr="00C22013">
        <w:rPr>
          <w:rFonts w:eastAsia="Times New Roman" w:cs="Times New Roman"/>
          <w:b/>
          <w:bCs/>
          <w:rtl/>
          <w:lang w:eastAsia="de-DE"/>
        </w:rPr>
        <w:t>אָמְרוּ הַגּוֹיִם</w:t>
      </w:r>
      <w:r w:rsidRPr="00C22013">
        <w:rPr>
          <w:rFonts w:eastAsia="Times New Roman" w:cs="Times New Roman"/>
          <w:rtl/>
          <w:lang w:eastAsia="de-DE"/>
        </w:rPr>
        <w:t xml:space="preserve"> </w:t>
      </w:r>
      <w:r w:rsidRPr="00C22013">
        <w:rPr>
          <w:rFonts w:eastAsia="Times New Roman" w:cs="Times New Roman"/>
          <w:lang w:eastAsia="de-DE"/>
        </w:rPr>
        <w:t xml:space="preserve">(die Völker werden sagen), </w:t>
      </w:r>
      <w:r w:rsidRPr="00C22013">
        <w:rPr>
          <w:rFonts w:eastAsia="Times New Roman" w:cs="Times New Roman"/>
          <w:b/>
          <w:bCs/>
          <w:rtl/>
          <w:lang w:eastAsia="de-DE"/>
        </w:rPr>
        <w:t>שָׁמְעוּ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שמע</w:t>
      </w:r>
      <w:r w:rsidRPr="00C22013">
        <w:rPr>
          <w:rFonts w:eastAsia="Times New Roman" w:cs="Times New Roman"/>
          <w:rtl/>
          <w:lang w:eastAsia="de-DE"/>
        </w:rPr>
        <w:t xml:space="preserve"> </w:t>
      </w:r>
      <w:r w:rsidRPr="00C22013">
        <w:rPr>
          <w:rFonts w:eastAsia="Times New Roman" w:cs="Times New Roman"/>
          <w:lang w:eastAsia="de-DE"/>
        </w:rPr>
        <w:lastRenderedPageBreak/>
        <w:t xml:space="preserve">(hören) und </w:t>
      </w:r>
      <w:r w:rsidRPr="00C22013">
        <w:rPr>
          <w:rFonts w:eastAsia="Times New Roman" w:cs="Times New Roman"/>
          <w:b/>
          <w:bCs/>
          <w:rtl/>
          <w:lang w:eastAsia="de-DE"/>
        </w:rPr>
        <w:t>שִׁמְעֲךָ</w:t>
      </w:r>
      <w:r w:rsidRPr="00C22013">
        <w:rPr>
          <w:rFonts w:eastAsia="Times New Roman" w:cs="Times New Roman"/>
          <w:rtl/>
          <w:lang w:eastAsia="de-DE"/>
        </w:rPr>
        <w:t xml:space="preserve"> </w:t>
      </w:r>
      <w:r w:rsidRPr="00C22013">
        <w:rPr>
          <w:rFonts w:eastAsia="Times New Roman" w:cs="Times New Roman"/>
          <w:lang w:eastAsia="de-DE"/>
        </w:rPr>
        <w:t>(deine Kunde/deinen Ruf) zeigt die internationale Interpretation dieser Handlung.</w:t>
      </w:r>
    </w:p>
    <w:p w14:paraId="0F9425E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הֵמַתָּה</w:t>
      </w:r>
      <w:r w:rsidRPr="00C22013">
        <w:rPr>
          <w:rFonts w:eastAsia="Times New Roman" w:cs="Times New Roman"/>
          <w:rtl/>
          <w:lang w:eastAsia="de-DE"/>
        </w:rPr>
        <w:t xml:space="preserve"> </w:t>
      </w:r>
      <w:r w:rsidRPr="00C22013">
        <w:rPr>
          <w:rFonts w:eastAsia="Times New Roman" w:cs="Times New Roman"/>
          <w:lang w:eastAsia="de-DE"/>
        </w:rPr>
        <w:t xml:space="preserve">mit ἀνελεῖς (du wirst töten), </w:t>
      </w:r>
      <w:r w:rsidRPr="00C22013">
        <w:rPr>
          <w:rFonts w:eastAsia="Times New Roman" w:cs="Times New Roman"/>
          <w:b/>
          <w:bCs/>
          <w:rtl/>
          <w:lang w:eastAsia="de-DE"/>
        </w:rPr>
        <w:t>כְּאִישׁ אֶחָד</w:t>
      </w:r>
      <w:r w:rsidRPr="00C22013">
        <w:rPr>
          <w:rFonts w:eastAsia="Times New Roman" w:cs="Times New Roman"/>
          <w:rtl/>
          <w:lang w:eastAsia="de-DE"/>
        </w:rPr>
        <w:t xml:space="preserve"> </w:t>
      </w:r>
      <w:r w:rsidRPr="00C22013">
        <w:rPr>
          <w:rFonts w:eastAsia="Times New Roman" w:cs="Times New Roman"/>
          <w:lang w:eastAsia="de-DE"/>
        </w:rPr>
        <w:t xml:space="preserve">mit ὡσεὶ ἄνθρωπον ἕνα (wie einen Menschen) und </w:t>
      </w:r>
      <w:r w:rsidRPr="00C22013">
        <w:rPr>
          <w:rFonts w:eastAsia="Times New Roman" w:cs="Times New Roman"/>
          <w:b/>
          <w:bCs/>
          <w:rtl/>
          <w:lang w:eastAsia="de-DE"/>
        </w:rPr>
        <w:t>שִׁמְעֲךָ</w:t>
      </w:r>
      <w:r w:rsidRPr="00C22013">
        <w:rPr>
          <w:rFonts w:eastAsia="Times New Roman" w:cs="Times New Roman"/>
          <w:rtl/>
          <w:lang w:eastAsia="de-DE"/>
        </w:rPr>
        <w:t xml:space="preserve"> </w:t>
      </w:r>
      <w:r w:rsidRPr="00C22013">
        <w:rPr>
          <w:rFonts w:eastAsia="Times New Roman" w:cs="Times New Roman"/>
          <w:lang w:eastAsia="de-DE"/>
        </w:rPr>
        <w:t>mit τὴν ἀκοήν σου (dein Gehör/deinen Ruf).</w:t>
      </w:r>
    </w:p>
    <w:p w14:paraId="417F6E0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hypothetische Totalvernichtung und angekündigte internationale Reaktion.</w:t>
      </w:r>
    </w:p>
    <w:p w14:paraId="50ADE61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zu Moses Hauptargument über: die Völker würden Israels Vernichtung falsch interpretieren.</w:t>
      </w:r>
    </w:p>
    <w:p w14:paraId="3A6062AF"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14,16</w:t>
      </w:r>
    </w:p>
    <w:p w14:paraId="1EB6B01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מִבִּלְתִּ֞י יְכֹ֣לֶת יְהוָ֗ה לְהָבִיא֙ אֶת־הָעָ֣ם הַזֶּ֔ה אֶל־הָאָ֖רֶץ אֲשֶׁר־נִשְׁבַּ֣ע לָהֶ֑ם וַיִּשְׁחָטֵ֖ם בַּמִּדְבָּֽר׃</w:t>
      </w:r>
    </w:p>
    <w:p w14:paraId="618F088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Weil der Ewige nicht vermochte, dieses Volk in das Land zu bringen, das er ihnen zugeschworen hatte, da hat er sie in der Wüste hingeschlachtet.</w:t>
      </w:r>
    </w:p>
    <w:p w14:paraId="4746DB2A"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4F821C38">
          <v:rect id="_x0000_i1468" style="width:0;height:1.5pt" o:hralign="center" o:hrstd="t" o:hr="t" fillcolor="#a0a0a0" stroked="f"/>
        </w:pict>
      </w:r>
    </w:p>
    <w:p w14:paraId="0452B5F9" w14:textId="2DDE32B6"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Unfähigkeitsbehauptung </w:t>
      </w:r>
      <w:r w:rsidRPr="00C22013">
        <w:rPr>
          <w:rFonts w:eastAsia="Times New Roman" w:cs="Times New Roman"/>
          <w:b/>
          <w:bCs/>
          <w:rtl/>
          <w:lang w:eastAsia="de-DE"/>
        </w:rPr>
        <w:t>מִבִּלְתִּ֞י יְכֹ֣לֶת יְהוָ֗ה לְהָבִיא֙ אֶת־הָעָ֣ם הַזֶּ֔ה אֶל־הָאָ֖רֶץ אֲשֶׁר־נִשְׁבַּ֣ע לָהֶ֑ם</w:t>
      </w:r>
      <w:r w:rsidRPr="00C22013">
        <w:rPr>
          <w:rFonts w:eastAsia="Times New Roman" w:cs="Times New Roman"/>
          <w:rtl/>
          <w:lang w:eastAsia="de-DE"/>
        </w:rPr>
        <w:t xml:space="preserve"> </w:t>
      </w:r>
      <w:r w:rsidRPr="00C22013">
        <w:rPr>
          <w:rFonts w:eastAsia="Times New Roman" w:cs="Times New Roman"/>
          <w:lang w:eastAsia="de-DE"/>
        </w:rPr>
        <w:t xml:space="preserve">(weil der Ewige nicht vermochte, dieses Volk in das Land zu bringen, das er ihnen zugeschworen hatte) mit </w:t>
      </w:r>
      <w:r w:rsidRPr="00C22013">
        <w:rPr>
          <w:rFonts w:eastAsia="Times New Roman" w:cs="Times New Roman"/>
          <w:b/>
          <w:bCs/>
          <w:rtl/>
          <w:lang w:eastAsia="de-DE"/>
        </w:rPr>
        <w:t>מִבִּלְתִּי יְכֹלֶת</w:t>
      </w:r>
      <w:r w:rsidRPr="00C22013">
        <w:rPr>
          <w:rFonts w:eastAsia="Times New Roman" w:cs="Times New Roman"/>
          <w:rtl/>
          <w:lang w:eastAsia="de-DE"/>
        </w:rPr>
        <w:t xml:space="preserve"> </w:t>
      </w:r>
      <w:r w:rsidRPr="00C22013">
        <w:rPr>
          <w:rFonts w:eastAsia="Times New Roman" w:cs="Times New Roman"/>
          <w:lang w:eastAsia="de-DE"/>
        </w:rPr>
        <w:t xml:space="preserve">(aus Unfähigkeit) von </w:t>
      </w:r>
      <w:r w:rsidRPr="00C22013">
        <w:rPr>
          <w:rFonts w:eastAsia="Times New Roman" w:cs="Times New Roman"/>
          <w:b/>
          <w:bCs/>
          <w:rtl/>
          <w:lang w:eastAsia="de-DE"/>
        </w:rPr>
        <w:t>יכל</w:t>
      </w:r>
      <w:r w:rsidRPr="00C22013">
        <w:rPr>
          <w:rFonts w:eastAsia="Times New Roman" w:cs="Times New Roman"/>
          <w:rtl/>
          <w:lang w:eastAsia="de-DE"/>
        </w:rPr>
        <w:t xml:space="preserve"> </w:t>
      </w:r>
      <w:r w:rsidRPr="00C22013">
        <w:rPr>
          <w:rFonts w:eastAsia="Times New Roman" w:cs="Times New Roman"/>
          <w:lang w:eastAsia="de-DE"/>
        </w:rPr>
        <w:t xml:space="preserve">(können), </w:t>
      </w:r>
      <w:r w:rsidRPr="00C22013">
        <w:rPr>
          <w:rFonts w:eastAsia="Times New Roman" w:cs="Times New Roman"/>
          <w:b/>
          <w:bCs/>
          <w:rtl/>
          <w:lang w:eastAsia="de-DE"/>
        </w:rPr>
        <w:t>לְהָבִיא</w:t>
      </w:r>
      <w:r w:rsidRPr="00C22013">
        <w:rPr>
          <w:rFonts w:eastAsia="Times New Roman" w:cs="Times New Roman"/>
          <w:rtl/>
          <w:lang w:eastAsia="de-DE"/>
        </w:rPr>
        <w:t xml:space="preserve"> </w:t>
      </w:r>
      <w:r w:rsidRPr="00C22013">
        <w:rPr>
          <w:rFonts w:eastAsia="Times New Roman" w:cs="Times New Roman"/>
          <w:lang w:eastAsia="de-DE"/>
        </w:rPr>
        <w:t>(zu bringen) als Hiph'il-Infinitiv-</w:t>
      </w:r>
      <w:r w:rsidR="00F133EC">
        <w:rPr>
          <w:rFonts w:eastAsia="Times New Roman" w:cs="Times New Roman"/>
          <w:lang w:eastAsia="de-DE"/>
        </w:rPr>
        <w:t>Construct</w:t>
      </w:r>
      <w:r w:rsidRPr="00C22013">
        <w:rPr>
          <w:rFonts w:eastAsia="Times New Roman" w:cs="Times New Roman"/>
          <w:lang w:eastAsia="de-DE"/>
        </w:rPr>
        <w:t xml:space="preserve"> und </w:t>
      </w:r>
      <w:r w:rsidRPr="00C22013">
        <w:rPr>
          <w:rFonts w:eastAsia="Times New Roman" w:cs="Times New Roman"/>
          <w:b/>
          <w:bCs/>
          <w:rtl/>
          <w:lang w:eastAsia="de-DE"/>
        </w:rPr>
        <w:t>נִשְׁבַּע לָהֶם</w:t>
      </w:r>
      <w:r w:rsidRPr="00C22013">
        <w:rPr>
          <w:rFonts w:eastAsia="Times New Roman" w:cs="Times New Roman"/>
          <w:rtl/>
          <w:lang w:eastAsia="de-DE"/>
        </w:rPr>
        <w:t xml:space="preserve"> </w:t>
      </w:r>
      <w:r w:rsidRPr="00C22013">
        <w:rPr>
          <w:rFonts w:eastAsia="Times New Roman" w:cs="Times New Roman"/>
          <w:lang w:eastAsia="de-DE"/>
        </w:rPr>
        <w:t>(er schwor ihnen) zeigt die demütigende Interpretation göttlicher Ohnmacht.</w:t>
      </w:r>
    </w:p>
    <w:p w14:paraId="741BD18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alternative Erklärung </w:t>
      </w:r>
      <w:r w:rsidRPr="00C22013">
        <w:rPr>
          <w:rFonts w:eastAsia="Times New Roman" w:cs="Times New Roman"/>
          <w:b/>
          <w:bCs/>
          <w:rtl/>
          <w:lang w:eastAsia="de-DE"/>
        </w:rPr>
        <w:t>וַיִּשְׁחָטֵ֖ם בַּמִּדְבָּֽר</w:t>
      </w:r>
      <w:r w:rsidRPr="00C22013">
        <w:rPr>
          <w:rFonts w:eastAsia="Times New Roman" w:cs="Times New Roman"/>
          <w:rtl/>
          <w:lang w:eastAsia="de-DE"/>
        </w:rPr>
        <w:t xml:space="preserve"> </w:t>
      </w:r>
      <w:r w:rsidRPr="00C22013">
        <w:rPr>
          <w:rFonts w:eastAsia="Times New Roman" w:cs="Times New Roman"/>
          <w:lang w:eastAsia="de-DE"/>
        </w:rPr>
        <w:t xml:space="preserve">(da schlachtete er sie in der Wüste hin) mit </w:t>
      </w:r>
      <w:r w:rsidRPr="00C22013">
        <w:rPr>
          <w:rFonts w:eastAsia="Times New Roman" w:cs="Times New Roman"/>
          <w:b/>
          <w:bCs/>
          <w:rtl/>
          <w:lang w:eastAsia="de-DE"/>
        </w:rPr>
        <w:t>יִּשְׁחָטֵם</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שחט</w:t>
      </w:r>
      <w:r w:rsidRPr="00C22013">
        <w:rPr>
          <w:rFonts w:eastAsia="Times New Roman" w:cs="Times New Roman"/>
          <w:rtl/>
          <w:lang w:eastAsia="de-DE"/>
        </w:rPr>
        <w:t xml:space="preserve"> </w:t>
      </w:r>
      <w:r w:rsidRPr="00C22013">
        <w:rPr>
          <w:rFonts w:eastAsia="Times New Roman" w:cs="Times New Roman"/>
          <w:lang w:eastAsia="de-DE"/>
        </w:rPr>
        <w:t xml:space="preserve">(schlachten) im Qal-Imperfekt 3. maskulin Singular mit Waw consecutivum und </w:t>
      </w:r>
      <w:r w:rsidRPr="00C22013">
        <w:rPr>
          <w:rFonts w:eastAsia="Times New Roman" w:cs="Times New Roman"/>
          <w:b/>
          <w:bCs/>
          <w:rtl/>
          <w:lang w:eastAsia="de-DE"/>
        </w:rPr>
        <w:t>בַּמִּדְבָּר</w:t>
      </w:r>
      <w:r w:rsidRPr="00C22013">
        <w:rPr>
          <w:rFonts w:eastAsia="Times New Roman" w:cs="Times New Roman"/>
          <w:rtl/>
          <w:lang w:eastAsia="de-DE"/>
        </w:rPr>
        <w:t xml:space="preserve"> </w:t>
      </w:r>
      <w:r w:rsidRPr="00C22013">
        <w:rPr>
          <w:rFonts w:eastAsia="Times New Roman" w:cs="Times New Roman"/>
          <w:lang w:eastAsia="de-DE"/>
        </w:rPr>
        <w:t>(in der Wüste) zeigt die Völker würden Vernichtung als Vertuschung göttlicher Schwäche interpretieren.</w:t>
      </w:r>
    </w:p>
    <w:p w14:paraId="6A41C0C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מִבִּלְתִּי יְכֹלֶת</w:t>
      </w:r>
      <w:r w:rsidRPr="00C22013">
        <w:rPr>
          <w:rFonts w:eastAsia="Times New Roman" w:cs="Times New Roman"/>
          <w:rtl/>
          <w:lang w:eastAsia="de-DE"/>
        </w:rPr>
        <w:t xml:space="preserve"> </w:t>
      </w:r>
      <w:r w:rsidRPr="00C22013">
        <w:rPr>
          <w:rFonts w:eastAsia="Times New Roman" w:cs="Times New Roman"/>
          <w:lang w:eastAsia="de-DE"/>
        </w:rPr>
        <w:t xml:space="preserve">mit παρὰ τὸ μὴ δύνασθαι (wegen des Nicht-Könnens), </w:t>
      </w:r>
      <w:r w:rsidRPr="00C22013">
        <w:rPr>
          <w:rFonts w:eastAsia="Times New Roman" w:cs="Times New Roman"/>
          <w:b/>
          <w:bCs/>
          <w:rtl/>
          <w:lang w:eastAsia="de-DE"/>
        </w:rPr>
        <w:t>נִשְׁבַּע</w:t>
      </w:r>
      <w:r w:rsidRPr="00C22013">
        <w:rPr>
          <w:rFonts w:eastAsia="Times New Roman" w:cs="Times New Roman"/>
          <w:rtl/>
          <w:lang w:eastAsia="de-DE"/>
        </w:rPr>
        <w:t xml:space="preserve"> </w:t>
      </w:r>
      <w:r w:rsidRPr="00C22013">
        <w:rPr>
          <w:rFonts w:eastAsia="Times New Roman" w:cs="Times New Roman"/>
          <w:lang w:eastAsia="de-DE"/>
        </w:rPr>
        <w:t xml:space="preserve">mit ὤμοσεν (er schwor) und </w:t>
      </w:r>
      <w:r w:rsidRPr="00C22013">
        <w:rPr>
          <w:rFonts w:eastAsia="Times New Roman" w:cs="Times New Roman"/>
          <w:b/>
          <w:bCs/>
          <w:rtl/>
          <w:lang w:eastAsia="de-DE"/>
        </w:rPr>
        <w:t>יִּשְׁחָטֵם</w:t>
      </w:r>
      <w:r w:rsidRPr="00C22013">
        <w:rPr>
          <w:rFonts w:eastAsia="Times New Roman" w:cs="Times New Roman"/>
          <w:rtl/>
          <w:lang w:eastAsia="de-DE"/>
        </w:rPr>
        <w:t xml:space="preserve"> </w:t>
      </w:r>
      <w:r w:rsidRPr="00C22013">
        <w:rPr>
          <w:rFonts w:eastAsia="Times New Roman" w:cs="Times New Roman"/>
          <w:lang w:eastAsia="de-DE"/>
        </w:rPr>
        <w:t>mit κατέσφαξεν αὐτούς (er schlachtete sie).</w:t>
      </w:r>
    </w:p>
    <w:p w14:paraId="778D1D4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Unfähigkeitsvorwurf und Vertuschungsinterpretation als alternative Erklärung.</w:t>
      </w:r>
    </w:p>
    <w:p w14:paraId="7BAA2E1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enthält Moses brillantes Argument: die Völker würden Israels Vernichtung als Beweis göttlicher Schwäche interpretieren, nicht als Gerechtigkeit.</w:t>
      </w:r>
    </w:p>
    <w:p w14:paraId="4AB668BE"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14,17</w:t>
      </w:r>
    </w:p>
    <w:p w14:paraId="52DD12C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וְעַתָּ֕ה יִגְדַּל־נָ֖א כֹּ֣חַ אֲדֹנָ֑י כַּאֲשֶׁ֥ר דִּבַּ֖רְתָּ לֵאמֹֽר׃</w:t>
      </w:r>
    </w:p>
    <w:p w14:paraId="0625EFE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nun, möge doch die Kraft meines Herrn sich groß erweisen, so wie du geredet hast, sagend:</w:t>
      </w:r>
    </w:p>
    <w:p w14:paraId="78722133"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lastRenderedPageBreak/>
        <w:pict w14:anchorId="4D815F2B">
          <v:rect id="_x0000_i1469" style="width:0;height:1.5pt" o:hralign="center" o:hrstd="t" o:hr="t" fillcolor="#a0a0a0" stroked="f"/>
        </w:pict>
      </w:r>
    </w:p>
    <w:p w14:paraId="4D70940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Bitte </w:t>
      </w:r>
      <w:r w:rsidRPr="00C22013">
        <w:rPr>
          <w:rFonts w:eastAsia="Times New Roman" w:cs="Times New Roman"/>
          <w:b/>
          <w:bCs/>
          <w:rtl/>
          <w:lang w:eastAsia="de-DE"/>
        </w:rPr>
        <w:t>וְעַתָּ֕ה יִגְדַּל־נָ֖א כֹּ֣חַ אֲדֹנָ֑י</w:t>
      </w:r>
      <w:r w:rsidRPr="00C22013">
        <w:rPr>
          <w:rFonts w:eastAsia="Times New Roman" w:cs="Times New Roman"/>
          <w:rtl/>
          <w:lang w:eastAsia="de-DE"/>
        </w:rPr>
        <w:t xml:space="preserve"> </w:t>
      </w:r>
      <w:r w:rsidRPr="00C22013">
        <w:rPr>
          <w:rFonts w:eastAsia="Times New Roman" w:cs="Times New Roman"/>
          <w:lang w:eastAsia="de-DE"/>
        </w:rPr>
        <w:t xml:space="preserve">(und nun möge doch die Kraft meines Herrn sich groß erweisen) mit </w:t>
      </w:r>
      <w:r w:rsidRPr="00C22013">
        <w:rPr>
          <w:rFonts w:eastAsia="Times New Roman" w:cs="Times New Roman"/>
          <w:b/>
          <w:bCs/>
          <w:rtl/>
          <w:lang w:eastAsia="de-DE"/>
        </w:rPr>
        <w:t>וְעַתָּה</w:t>
      </w:r>
      <w:r w:rsidRPr="00C22013">
        <w:rPr>
          <w:rFonts w:eastAsia="Times New Roman" w:cs="Times New Roman"/>
          <w:rtl/>
          <w:lang w:eastAsia="de-DE"/>
        </w:rPr>
        <w:t xml:space="preserve"> </w:t>
      </w:r>
      <w:r w:rsidRPr="00C22013">
        <w:rPr>
          <w:rFonts w:eastAsia="Times New Roman" w:cs="Times New Roman"/>
          <w:lang w:eastAsia="de-DE"/>
        </w:rPr>
        <w:t xml:space="preserve">(und nun) als Übergang, </w:t>
      </w:r>
      <w:r w:rsidRPr="00C22013">
        <w:rPr>
          <w:rFonts w:eastAsia="Times New Roman" w:cs="Times New Roman"/>
          <w:b/>
          <w:bCs/>
          <w:rtl/>
          <w:lang w:eastAsia="de-DE"/>
        </w:rPr>
        <w:t>יִגְדַּל</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גדל</w:t>
      </w:r>
      <w:r w:rsidRPr="00C22013">
        <w:rPr>
          <w:rFonts w:eastAsia="Times New Roman" w:cs="Times New Roman"/>
          <w:rtl/>
          <w:lang w:eastAsia="de-DE"/>
        </w:rPr>
        <w:t xml:space="preserve"> </w:t>
      </w:r>
      <w:r w:rsidRPr="00C22013">
        <w:rPr>
          <w:rFonts w:eastAsia="Times New Roman" w:cs="Times New Roman"/>
          <w:lang w:eastAsia="de-DE"/>
        </w:rPr>
        <w:t xml:space="preserve">(groß werden) im Qal-Imperfekt 3. maskulin Singular, </w:t>
      </w:r>
      <w:r w:rsidRPr="00C22013">
        <w:rPr>
          <w:rFonts w:eastAsia="Times New Roman" w:cs="Times New Roman"/>
          <w:b/>
          <w:bCs/>
          <w:rtl/>
          <w:lang w:eastAsia="de-DE"/>
        </w:rPr>
        <w:t>נָא</w:t>
      </w:r>
      <w:r w:rsidRPr="00C22013">
        <w:rPr>
          <w:rFonts w:eastAsia="Times New Roman" w:cs="Times New Roman"/>
          <w:rtl/>
          <w:lang w:eastAsia="de-DE"/>
        </w:rPr>
        <w:t xml:space="preserve"> </w:t>
      </w:r>
      <w:r w:rsidRPr="00C22013">
        <w:rPr>
          <w:rFonts w:eastAsia="Times New Roman" w:cs="Times New Roman"/>
          <w:lang w:eastAsia="de-DE"/>
        </w:rPr>
        <w:t xml:space="preserve">(doch) als Höflichkeitspartikel und </w:t>
      </w:r>
      <w:r w:rsidRPr="00C22013">
        <w:rPr>
          <w:rFonts w:eastAsia="Times New Roman" w:cs="Times New Roman"/>
          <w:b/>
          <w:bCs/>
          <w:rtl/>
          <w:lang w:eastAsia="de-DE"/>
        </w:rPr>
        <w:t>כֹּחַ אֲדֹנָי</w:t>
      </w:r>
      <w:r w:rsidRPr="00C22013">
        <w:rPr>
          <w:rFonts w:eastAsia="Times New Roman" w:cs="Times New Roman"/>
          <w:rtl/>
          <w:lang w:eastAsia="de-DE"/>
        </w:rPr>
        <w:t xml:space="preserve"> </w:t>
      </w:r>
      <w:r w:rsidRPr="00C22013">
        <w:rPr>
          <w:rFonts w:eastAsia="Times New Roman" w:cs="Times New Roman"/>
          <w:lang w:eastAsia="de-DE"/>
        </w:rPr>
        <w:t>(Kraft meines Herrn) zeigt Moses Appell an göttliche Größe.</w:t>
      </w:r>
    </w:p>
    <w:p w14:paraId="72EB4C4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Berufung </w:t>
      </w:r>
      <w:r w:rsidRPr="00C22013">
        <w:rPr>
          <w:rFonts w:eastAsia="Times New Roman" w:cs="Times New Roman"/>
          <w:b/>
          <w:bCs/>
          <w:rtl/>
          <w:lang w:eastAsia="de-DE"/>
        </w:rPr>
        <w:t>כַּאֲשֶׁ֥ר דִּבַּ֖רְתָּ לֵאמֹֽר</w:t>
      </w:r>
      <w:r w:rsidRPr="00C22013">
        <w:rPr>
          <w:rFonts w:eastAsia="Times New Roman" w:cs="Times New Roman"/>
          <w:rtl/>
          <w:lang w:eastAsia="de-DE"/>
        </w:rPr>
        <w:t xml:space="preserve"> </w:t>
      </w:r>
      <w:r w:rsidRPr="00C22013">
        <w:rPr>
          <w:rFonts w:eastAsia="Times New Roman" w:cs="Times New Roman"/>
          <w:lang w:eastAsia="de-DE"/>
        </w:rPr>
        <w:t xml:space="preserve">(so wie du geredet hast, sagend) mit </w:t>
      </w:r>
      <w:r w:rsidRPr="00C22013">
        <w:rPr>
          <w:rFonts w:eastAsia="Times New Roman" w:cs="Times New Roman"/>
          <w:b/>
          <w:bCs/>
          <w:rtl/>
          <w:lang w:eastAsia="de-DE"/>
        </w:rPr>
        <w:t>כַּאֲשֶׁר</w:t>
      </w:r>
      <w:r w:rsidRPr="00C22013">
        <w:rPr>
          <w:rFonts w:eastAsia="Times New Roman" w:cs="Times New Roman"/>
          <w:rtl/>
          <w:lang w:eastAsia="de-DE"/>
        </w:rPr>
        <w:t xml:space="preserve"> </w:t>
      </w:r>
      <w:r w:rsidRPr="00C22013">
        <w:rPr>
          <w:rFonts w:eastAsia="Times New Roman" w:cs="Times New Roman"/>
          <w:lang w:eastAsia="de-DE"/>
        </w:rPr>
        <w:t xml:space="preserve">(so wie), </w:t>
      </w:r>
      <w:r w:rsidRPr="00C22013">
        <w:rPr>
          <w:rFonts w:eastAsia="Times New Roman" w:cs="Times New Roman"/>
          <w:b/>
          <w:bCs/>
          <w:rtl/>
          <w:lang w:eastAsia="de-DE"/>
        </w:rPr>
        <w:t>דִּבַּרְתָּ</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 xml:space="preserve">(reden) und </w:t>
      </w:r>
      <w:r w:rsidRPr="00C22013">
        <w:rPr>
          <w:rFonts w:eastAsia="Times New Roman" w:cs="Times New Roman"/>
          <w:b/>
          <w:bCs/>
          <w:rtl/>
          <w:lang w:eastAsia="de-DE"/>
        </w:rPr>
        <w:t>לֵאמֹר</w:t>
      </w:r>
      <w:r w:rsidRPr="00C22013">
        <w:rPr>
          <w:rFonts w:eastAsia="Times New Roman" w:cs="Times New Roman"/>
          <w:rtl/>
          <w:lang w:eastAsia="de-DE"/>
        </w:rPr>
        <w:t xml:space="preserve"> </w:t>
      </w:r>
      <w:r w:rsidRPr="00C22013">
        <w:rPr>
          <w:rFonts w:eastAsia="Times New Roman" w:cs="Times New Roman"/>
          <w:lang w:eastAsia="de-DE"/>
        </w:rPr>
        <w:t>(sagend) bereitet das Zitat göttlicher Eigenschaften vor.</w:t>
      </w:r>
    </w:p>
    <w:p w14:paraId="47D9E5B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יִגְדַּל</w:t>
      </w:r>
      <w:r w:rsidRPr="00C22013">
        <w:rPr>
          <w:rFonts w:eastAsia="Times New Roman" w:cs="Times New Roman"/>
          <w:rtl/>
          <w:lang w:eastAsia="de-DE"/>
        </w:rPr>
        <w:t xml:space="preserve"> </w:t>
      </w:r>
      <w:r w:rsidRPr="00C22013">
        <w:rPr>
          <w:rFonts w:eastAsia="Times New Roman" w:cs="Times New Roman"/>
          <w:lang w:eastAsia="de-DE"/>
        </w:rPr>
        <w:t xml:space="preserve">mit μεγαλυνθήτω (möge verherrlicht werden), </w:t>
      </w:r>
      <w:r w:rsidRPr="00C22013">
        <w:rPr>
          <w:rFonts w:eastAsia="Times New Roman" w:cs="Times New Roman"/>
          <w:b/>
          <w:bCs/>
          <w:rtl/>
          <w:lang w:eastAsia="de-DE"/>
        </w:rPr>
        <w:t>כֹּחַ</w:t>
      </w:r>
      <w:r w:rsidRPr="00C22013">
        <w:rPr>
          <w:rFonts w:eastAsia="Times New Roman" w:cs="Times New Roman"/>
          <w:rtl/>
          <w:lang w:eastAsia="de-DE"/>
        </w:rPr>
        <w:t xml:space="preserve"> </w:t>
      </w:r>
      <w:r w:rsidRPr="00C22013">
        <w:rPr>
          <w:rFonts w:eastAsia="Times New Roman" w:cs="Times New Roman"/>
          <w:lang w:eastAsia="de-DE"/>
        </w:rPr>
        <w:t xml:space="preserve">mit ἰσχύς (Kraft) und </w:t>
      </w:r>
      <w:r w:rsidRPr="00C22013">
        <w:rPr>
          <w:rFonts w:eastAsia="Times New Roman" w:cs="Times New Roman"/>
          <w:b/>
          <w:bCs/>
          <w:rtl/>
          <w:lang w:eastAsia="de-DE"/>
        </w:rPr>
        <w:t>דִּבַּרְתָּ</w:t>
      </w:r>
      <w:r w:rsidRPr="00C22013">
        <w:rPr>
          <w:rFonts w:eastAsia="Times New Roman" w:cs="Times New Roman"/>
          <w:rtl/>
          <w:lang w:eastAsia="de-DE"/>
        </w:rPr>
        <w:t xml:space="preserve"> </w:t>
      </w:r>
      <w:r w:rsidRPr="00C22013">
        <w:rPr>
          <w:rFonts w:eastAsia="Times New Roman" w:cs="Times New Roman"/>
          <w:lang w:eastAsia="de-DE"/>
        </w:rPr>
        <w:t>mit ἐλάλησας (du hast geredet).</w:t>
      </w:r>
    </w:p>
    <w:p w14:paraId="0D4E274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Übergangsbitte um Kraftdemonstration und Vorbereitung auf Eigenschaftszitat.</w:t>
      </w:r>
    </w:p>
    <w:p w14:paraId="0A46609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zu Moses Berufung auf Gottes eigene Selbstoffenbarung seiner Eigenschaften über.</w:t>
      </w:r>
    </w:p>
    <w:p w14:paraId="48F40307"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14,18</w:t>
      </w:r>
    </w:p>
    <w:p w14:paraId="542507A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יְהוָ֗ה אֶ֤רֶךְ אַפַּ֨יִם֙ וְרַב־חֶ֔סֶד נֹשֵׂ֥א עָוֹ֖ן וָפָ֑שַׁע וְנַקֵּה֙ לֹ֣א יְנַקֶּ֔ה פֹּקֵ֞ד עֲוֹ֤ן אָבוֹת֙ עַל־בָּנִ֔ים עַל־שִׁלֵּשִׁ֖ים וְעַל־רִבֵּעִֽים׃</w:t>
      </w:r>
    </w:p>
    <w:p w14:paraId="2BA3388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Der Ewige ist langsam zum Zorn und groß an Gnade, der Schuld und Abtrünnigkeit vergibt, aber keineswegs ungestraft lässt, der die Schuld der Väter heimsucht an den Kindern bis in das dritte und vierte Geschlecht.</w:t>
      </w:r>
    </w:p>
    <w:p w14:paraId="2FBD83D7"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772CDD38">
          <v:rect id="_x0000_i1470" style="width:0;height:1.5pt" o:hralign="center" o:hrstd="t" o:hr="t" fillcolor="#a0a0a0" stroked="f"/>
        </w:pict>
      </w:r>
    </w:p>
    <w:p w14:paraId="1477AA4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ersten Eigenschaften </w:t>
      </w:r>
      <w:r w:rsidRPr="00C22013">
        <w:rPr>
          <w:rFonts w:eastAsia="Times New Roman" w:cs="Times New Roman"/>
          <w:b/>
          <w:bCs/>
          <w:rtl/>
          <w:lang w:eastAsia="de-DE"/>
        </w:rPr>
        <w:t>יְהוָ֗ה אֶ֤רֶךְ אַפַּ֨יִם֙ וְרַב־חֶ֔סֶד</w:t>
      </w:r>
      <w:r w:rsidRPr="00C22013">
        <w:rPr>
          <w:rFonts w:eastAsia="Times New Roman" w:cs="Times New Roman"/>
          <w:rtl/>
          <w:lang w:eastAsia="de-DE"/>
        </w:rPr>
        <w:t xml:space="preserve"> </w:t>
      </w:r>
      <w:r w:rsidRPr="00C22013">
        <w:rPr>
          <w:rFonts w:eastAsia="Times New Roman" w:cs="Times New Roman"/>
          <w:lang w:eastAsia="de-DE"/>
        </w:rPr>
        <w:t xml:space="preserve">(der Ewige ist langsam zum Zorn und groß an Gnade) mit </w:t>
      </w:r>
      <w:r w:rsidRPr="00C22013">
        <w:rPr>
          <w:rFonts w:eastAsia="Times New Roman" w:cs="Times New Roman"/>
          <w:b/>
          <w:bCs/>
          <w:rtl/>
          <w:lang w:eastAsia="de-DE"/>
        </w:rPr>
        <w:t>אֶרֶךְ אַפַּיִם</w:t>
      </w:r>
      <w:r w:rsidRPr="00C22013">
        <w:rPr>
          <w:rFonts w:eastAsia="Times New Roman" w:cs="Times New Roman"/>
          <w:rtl/>
          <w:lang w:eastAsia="de-DE"/>
        </w:rPr>
        <w:t xml:space="preserve"> </w:t>
      </w:r>
      <w:r w:rsidRPr="00C22013">
        <w:rPr>
          <w:rFonts w:eastAsia="Times New Roman" w:cs="Times New Roman"/>
          <w:lang w:eastAsia="de-DE"/>
        </w:rPr>
        <w:t xml:space="preserve">(langsam zum Zorn, wörtlich: lang von Nasen) und </w:t>
      </w:r>
      <w:r w:rsidRPr="00C22013">
        <w:rPr>
          <w:rFonts w:eastAsia="Times New Roman" w:cs="Times New Roman"/>
          <w:b/>
          <w:bCs/>
          <w:rtl/>
          <w:lang w:eastAsia="de-DE"/>
        </w:rPr>
        <w:t>רַב־חֶסֶד</w:t>
      </w:r>
      <w:r w:rsidRPr="00C22013">
        <w:rPr>
          <w:rFonts w:eastAsia="Times New Roman" w:cs="Times New Roman"/>
          <w:rtl/>
          <w:lang w:eastAsia="de-DE"/>
        </w:rPr>
        <w:t xml:space="preserve"> </w:t>
      </w:r>
      <w:r w:rsidRPr="00C22013">
        <w:rPr>
          <w:rFonts w:eastAsia="Times New Roman" w:cs="Times New Roman"/>
          <w:lang w:eastAsia="de-DE"/>
        </w:rPr>
        <w:t>(groß an Gnade) betonen göttliche Geduld und Barmherzigkeit.</w:t>
      </w:r>
    </w:p>
    <w:p w14:paraId="4DCCDB4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Vergebungseigenschaften </w:t>
      </w:r>
      <w:r w:rsidRPr="00C22013">
        <w:rPr>
          <w:rFonts w:eastAsia="Times New Roman" w:cs="Times New Roman"/>
          <w:b/>
          <w:bCs/>
          <w:rtl/>
          <w:lang w:eastAsia="de-DE"/>
        </w:rPr>
        <w:t>נֹשֵׂ֥א עָוֹ֖ן וָפָ֑שַׁע</w:t>
      </w:r>
      <w:r w:rsidRPr="00C22013">
        <w:rPr>
          <w:rFonts w:eastAsia="Times New Roman" w:cs="Times New Roman"/>
          <w:rtl/>
          <w:lang w:eastAsia="de-DE"/>
        </w:rPr>
        <w:t xml:space="preserve"> </w:t>
      </w:r>
      <w:r w:rsidRPr="00C22013">
        <w:rPr>
          <w:rFonts w:eastAsia="Times New Roman" w:cs="Times New Roman"/>
          <w:lang w:eastAsia="de-DE"/>
        </w:rPr>
        <w:t xml:space="preserve">(tragend Schuld und Übertretung) mit </w:t>
      </w:r>
      <w:r w:rsidRPr="00C22013">
        <w:rPr>
          <w:rFonts w:eastAsia="Times New Roman" w:cs="Times New Roman"/>
          <w:b/>
          <w:bCs/>
          <w:rtl/>
          <w:lang w:eastAsia="de-DE"/>
        </w:rPr>
        <w:t>נֹשֵׂא</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נשא</w:t>
      </w:r>
      <w:r w:rsidRPr="00C22013">
        <w:rPr>
          <w:rFonts w:eastAsia="Times New Roman" w:cs="Times New Roman"/>
          <w:rtl/>
          <w:lang w:eastAsia="de-DE"/>
        </w:rPr>
        <w:t xml:space="preserve"> </w:t>
      </w:r>
      <w:r w:rsidRPr="00C22013">
        <w:rPr>
          <w:rFonts w:eastAsia="Times New Roman" w:cs="Times New Roman"/>
          <w:lang w:eastAsia="de-DE"/>
        </w:rPr>
        <w:t xml:space="preserve">(tragen/vergeben) als Qal-Partizip und </w:t>
      </w:r>
      <w:r w:rsidRPr="00C22013">
        <w:rPr>
          <w:rFonts w:eastAsia="Times New Roman" w:cs="Times New Roman"/>
          <w:b/>
          <w:bCs/>
          <w:rtl/>
          <w:lang w:eastAsia="de-DE"/>
        </w:rPr>
        <w:t>עָוֹן וָפָשַׁע</w:t>
      </w:r>
      <w:r w:rsidRPr="00C22013">
        <w:rPr>
          <w:rFonts w:eastAsia="Times New Roman" w:cs="Times New Roman"/>
          <w:rtl/>
          <w:lang w:eastAsia="de-DE"/>
        </w:rPr>
        <w:t xml:space="preserve"> </w:t>
      </w:r>
      <w:r w:rsidRPr="00C22013">
        <w:rPr>
          <w:rFonts w:eastAsia="Times New Roman" w:cs="Times New Roman"/>
          <w:lang w:eastAsia="de-DE"/>
        </w:rPr>
        <w:t>(Schuld und Übertretung) zeigen göttliche Vergebungsbereitschaft.</w:t>
      </w:r>
    </w:p>
    <w:p w14:paraId="47044EE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Gerechtigkeitseigenschaften </w:t>
      </w:r>
      <w:r w:rsidRPr="00C22013">
        <w:rPr>
          <w:rFonts w:eastAsia="Times New Roman" w:cs="Times New Roman"/>
          <w:b/>
          <w:bCs/>
          <w:rtl/>
          <w:lang w:eastAsia="de-DE"/>
        </w:rPr>
        <w:t>וְנַקֵּה֙ לֹ֣א יְנַקֶּ֔ה פֹּקֵ֞ד עֲוֹ֤ן אָבוֹת֙ עַל־בָּנִ֔ים עַל־שִׁלֵּשִׁ֖ים וְעַל־רִבֵּעִֽים</w:t>
      </w:r>
      <w:r w:rsidRPr="00C22013">
        <w:rPr>
          <w:rFonts w:eastAsia="Times New Roman" w:cs="Times New Roman"/>
          <w:rtl/>
          <w:lang w:eastAsia="de-DE"/>
        </w:rPr>
        <w:t xml:space="preserve"> </w:t>
      </w:r>
      <w:r w:rsidRPr="00C22013">
        <w:rPr>
          <w:rFonts w:eastAsia="Times New Roman" w:cs="Times New Roman"/>
          <w:lang w:eastAsia="de-DE"/>
        </w:rPr>
        <w:t xml:space="preserve">(aber keineswegs ungestraft lassend, heimsuchend die Schuld der Väter an den Kindern bis in das dritte und vierte Geschlecht) mit </w:t>
      </w:r>
      <w:r w:rsidRPr="00C22013">
        <w:rPr>
          <w:rFonts w:eastAsia="Times New Roman" w:cs="Times New Roman"/>
          <w:b/>
          <w:bCs/>
          <w:rtl/>
          <w:lang w:eastAsia="de-DE"/>
        </w:rPr>
        <w:t>נַקֵּה לֹא יְנַקֶּה</w:t>
      </w:r>
      <w:r w:rsidRPr="00C22013">
        <w:rPr>
          <w:rFonts w:eastAsia="Times New Roman" w:cs="Times New Roman"/>
          <w:rtl/>
          <w:lang w:eastAsia="de-DE"/>
        </w:rPr>
        <w:t xml:space="preserve"> </w:t>
      </w:r>
      <w:r w:rsidRPr="00C22013">
        <w:rPr>
          <w:rFonts w:eastAsia="Times New Roman" w:cs="Times New Roman"/>
          <w:lang w:eastAsia="de-DE"/>
        </w:rPr>
        <w:t xml:space="preserve">(keineswegs ungestraft lassen) als absoluter Infinitiv mit finitem Verb und </w:t>
      </w:r>
      <w:r w:rsidRPr="00C22013">
        <w:rPr>
          <w:rFonts w:eastAsia="Times New Roman" w:cs="Times New Roman"/>
          <w:b/>
          <w:bCs/>
          <w:rtl/>
          <w:lang w:eastAsia="de-DE"/>
        </w:rPr>
        <w:t>פֹּקֵד עֲוֹן אָבוֹת</w:t>
      </w:r>
      <w:r w:rsidRPr="00C22013">
        <w:rPr>
          <w:rFonts w:eastAsia="Times New Roman" w:cs="Times New Roman"/>
          <w:rtl/>
          <w:lang w:eastAsia="de-DE"/>
        </w:rPr>
        <w:t xml:space="preserve"> </w:t>
      </w:r>
      <w:r w:rsidRPr="00C22013">
        <w:rPr>
          <w:rFonts w:eastAsia="Times New Roman" w:cs="Times New Roman"/>
          <w:lang w:eastAsia="de-DE"/>
        </w:rPr>
        <w:t>(heimsuchend die Schuld der Väter) zeigen, dass Gnade Gerechtigkeit nicht ausschließt.</w:t>
      </w:r>
    </w:p>
    <w:p w14:paraId="0B543BFB" w14:textId="699BC4FF"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184967">
        <w:t>fügt „καὶ ἀληθινός" (und wahrhaftig) zu den göttlichen Attributen hinzu, was im hebräischen Text nicht erscheint. Sie erweitert auch „</w:t>
      </w:r>
      <w:r w:rsidR="00184967" w:rsidRPr="00184967">
        <w:rPr>
          <w:b/>
          <w:bCs/>
          <w:rtl/>
        </w:rPr>
        <w:t>נֹשֵׂא עָוֹן וָפָשַׁע</w:t>
      </w:r>
      <w:r w:rsidR="00184967">
        <w:t>" (der Schuld und Vergehen trägt) zu „ἀφαιρῶν ἀνομίας καὶ ἀδικίας καὶ ἁμαρτίας" (der wegnimmt Gesetzlosigkeiten und Ungerechtigkeiten und Sünden), eine dreifache statt zweifache Aufzählung.</w:t>
      </w:r>
    </w:p>
    <w:p w14:paraId="398DBEE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 Satzstruktur zeigt göttliche Gnadeneigenschaften, Vergebungskapazität und ausgleichende Gerechtigkeitseigenschaften.</w:t>
      </w:r>
    </w:p>
    <w:p w14:paraId="0DE1C95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zitiert Gottes Selbstoffenbarung aus Exodus 34,6-7 und betont sowohl Barmherzigkeit als auch Gerechtigkeit.</w:t>
      </w:r>
    </w:p>
    <w:p w14:paraId="29F6AAA9"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14,19</w:t>
      </w:r>
    </w:p>
    <w:p w14:paraId="76FDDFD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סְלַֽח־נָ֗א לַעֲוֹ֛ן הָעָ֥ם הַזֶּ֖ה כְּגֹ֣דֶל חַסְדֶּ֑ךָ וְכַאֲשֶׁ֤ר נָשָׂ֨אתָה֙ לָעָ֣ם הַזֶּ֔ה מִמִּצְרַ֖יִם וְעַד־הֵֽנָּה׃</w:t>
      </w:r>
    </w:p>
    <w:p w14:paraId="04825CF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Vergib doch die Schuld dieses Volkes nach der Größe deiner Gnade, und so wie du diesem Volk vergeben hast von Mizrajim an bis hierher!</w:t>
      </w:r>
    </w:p>
    <w:p w14:paraId="1835E37A"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F2F9D11">
          <v:rect id="_x0000_i1471" style="width:0;height:1.5pt" o:hralign="center" o:hrstd="t" o:hr="t" fillcolor="#a0a0a0" stroked="f"/>
        </w:pict>
      </w:r>
    </w:p>
    <w:p w14:paraId="66646E1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direkte Bitte </w:t>
      </w:r>
      <w:r w:rsidRPr="00C22013">
        <w:rPr>
          <w:rFonts w:eastAsia="Times New Roman" w:cs="Times New Roman"/>
          <w:b/>
          <w:bCs/>
          <w:rtl/>
          <w:lang w:eastAsia="de-DE"/>
        </w:rPr>
        <w:t>סְלַֽח־נָ֗א לַעֲוֹ֛ן הָעָ֥ם הַזֶּ֖ה כְּגֹ֣דֶל חַסְדֶּ֑ךָ</w:t>
      </w:r>
      <w:r w:rsidRPr="00C22013">
        <w:rPr>
          <w:rFonts w:eastAsia="Times New Roman" w:cs="Times New Roman"/>
          <w:rtl/>
          <w:lang w:eastAsia="de-DE"/>
        </w:rPr>
        <w:t xml:space="preserve"> </w:t>
      </w:r>
      <w:r w:rsidRPr="00C22013">
        <w:rPr>
          <w:rFonts w:eastAsia="Times New Roman" w:cs="Times New Roman"/>
          <w:lang w:eastAsia="de-DE"/>
        </w:rPr>
        <w:t xml:space="preserve">(vergib doch die Schuld dieses Volkes nach der Größe deiner Gnade) mit </w:t>
      </w:r>
      <w:r w:rsidRPr="00C22013">
        <w:rPr>
          <w:rFonts w:eastAsia="Times New Roman" w:cs="Times New Roman"/>
          <w:b/>
          <w:bCs/>
          <w:rtl/>
          <w:lang w:eastAsia="de-DE"/>
        </w:rPr>
        <w:t>סְלַח־נָא</w:t>
      </w:r>
      <w:r w:rsidRPr="00C22013">
        <w:rPr>
          <w:rFonts w:eastAsia="Times New Roman" w:cs="Times New Roman"/>
          <w:rtl/>
          <w:lang w:eastAsia="de-DE"/>
        </w:rPr>
        <w:t xml:space="preserve"> </w:t>
      </w:r>
      <w:r w:rsidRPr="00C22013">
        <w:rPr>
          <w:rFonts w:eastAsia="Times New Roman" w:cs="Times New Roman"/>
          <w:lang w:eastAsia="de-DE"/>
        </w:rPr>
        <w:t xml:space="preserve">(vergib doch) von </w:t>
      </w:r>
      <w:r w:rsidRPr="00C22013">
        <w:rPr>
          <w:rFonts w:eastAsia="Times New Roman" w:cs="Times New Roman"/>
          <w:b/>
          <w:bCs/>
          <w:rtl/>
          <w:lang w:eastAsia="de-DE"/>
        </w:rPr>
        <w:t>סלח</w:t>
      </w:r>
      <w:r w:rsidRPr="00C22013">
        <w:rPr>
          <w:rFonts w:eastAsia="Times New Roman" w:cs="Times New Roman"/>
          <w:rtl/>
          <w:lang w:eastAsia="de-DE"/>
        </w:rPr>
        <w:t xml:space="preserve"> </w:t>
      </w:r>
      <w:r w:rsidRPr="00C22013">
        <w:rPr>
          <w:rFonts w:eastAsia="Times New Roman" w:cs="Times New Roman"/>
          <w:lang w:eastAsia="de-DE"/>
        </w:rPr>
        <w:t xml:space="preserve">(vergeben) im Qal-Imperativ maskulin Singular, </w:t>
      </w:r>
      <w:r w:rsidRPr="00C22013">
        <w:rPr>
          <w:rFonts w:eastAsia="Times New Roman" w:cs="Times New Roman"/>
          <w:b/>
          <w:bCs/>
          <w:rtl/>
          <w:lang w:eastAsia="de-DE"/>
        </w:rPr>
        <w:t>לַעֲוֹן הָעָם הַזֶּה</w:t>
      </w:r>
      <w:r w:rsidRPr="00C22013">
        <w:rPr>
          <w:rFonts w:eastAsia="Times New Roman" w:cs="Times New Roman"/>
          <w:rtl/>
          <w:lang w:eastAsia="de-DE"/>
        </w:rPr>
        <w:t xml:space="preserve"> </w:t>
      </w:r>
      <w:r w:rsidRPr="00C22013">
        <w:rPr>
          <w:rFonts w:eastAsia="Times New Roman" w:cs="Times New Roman"/>
          <w:lang w:eastAsia="de-DE"/>
        </w:rPr>
        <w:t xml:space="preserve">(die Schuld dieses Volkes) und </w:t>
      </w:r>
      <w:r w:rsidRPr="00C22013">
        <w:rPr>
          <w:rFonts w:eastAsia="Times New Roman" w:cs="Times New Roman"/>
          <w:b/>
          <w:bCs/>
          <w:rtl/>
          <w:lang w:eastAsia="de-DE"/>
        </w:rPr>
        <w:t>כְּגֹדֶל חַסְדֶּךָ</w:t>
      </w:r>
      <w:r w:rsidRPr="00C22013">
        <w:rPr>
          <w:rFonts w:eastAsia="Times New Roman" w:cs="Times New Roman"/>
          <w:rtl/>
          <w:lang w:eastAsia="de-DE"/>
        </w:rPr>
        <w:t xml:space="preserve"> </w:t>
      </w:r>
      <w:r w:rsidRPr="00C22013">
        <w:rPr>
          <w:rFonts w:eastAsia="Times New Roman" w:cs="Times New Roman"/>
          <w:lang w:eastAsia="de-DE"/>
        </w:rPr>
        <w:t>(nach der Größe deiner Gnade) appelliert direkt an göttliche Barmherzigkeit.</w:t>
      </w:r>
    </w:p>
    <w:p w14:paraId="35DFB5E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Präzedenz-Berufung </w:t>
      </w:r>
      <w:r w:rsidRPr="00C22013">
        <w:rPr>
          <w:rFonts w:eastAsia="Times New Roman" w:cs="Times New Roman"/>
          <w:b/>
          <w:bCs/>
          <w:rtl/>
          <w:lang w:eastAsia="de-DE"/>
        </w:rPr>
        <w:t>וְכַאֲשֶׁ֤ר נָשָׂ֨אתָה֙ לָעָ֣ם הַזֶּ֔ה מִמִּצְרַ֖יִם וְעַד־הֵֽנָּה</w:t>
      </w:r>
      <w:r w:rsidRPr="00C22013">
        <w:rPr>
          <w:rFonts w:eastAsia="Times New Roman" w:cs="Times New Roman"/>
          <w:rtl/>
          <w:lang w:eastAsia="de-DE"/>
        </w:rPr>
        <w:t xml:space="preserve"> </w:t>
      </w:r>
      <w:r w:rsidRPr="00C22013">
        <w:rPr>
          <w:rFonts w:eastAsia="Times New Roman" w:cs="Times New Roman"/>
          <w:lang w:eastAsia="de-DE"/>
        </w:rPr>
        <w:t xml:space="preserve">(und so wie du diesem Volk vergeben hast von Ägypten an bis hierher) mit </w:t>
      </w:r>
      <w:r w:rsidRPr="00C22013">
        <w:rPr>
          <w:rFonts w:eastAsia="Times New Roman" w:cs="Times New Roman"/>
          <w:b/>
          <w:bCs/>
          <w:rtl/>
          <w:lang w:eastAsia="de-DE"/>
        </w:rPr>
        <w:t>נָשָׂאתָה</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נשא</w:t>
      </w:r>
      <w:r w:rsidRPr="00C22013">
        <w:rPr>
          <w:rFonts w:eastAsia="Times New Roman" w:cs="Times New Roman"/>
          <w:rtl/>
          <w:lang w:eastAsia="de-DE"/>
        </w:rPr>
        <w:t xml:space="preserve"> </w:t>
      </w:r>
      <w:r w:rsidRPr="00C22013">
        <w:rPr>
          <w:rFonts w:eastAsia="Times New Roman" w:cs="Times New Roman"/>
          <w:lang w:eastAsia="de-DE"/>
        </w:rPr>
        <w:t xml:space="preserve">(tragen/vergeben) und </w:t>
      </w:r>
      <w:r w:rsidRPr="00C22013">
        <w:rPr>
          <w:rFonts w:eastAsia="Times New Roman" w:cs="Times New Roman"/>
          <w:b/>
          <w:bCs/>
          <w:rtl/>
          <w:lang w:eastAsia="de-DE"/>
        </w:rPr>
        <w:t>מִמִּצְרַיִם וְעַד־הֵנָּה</w:t>
      </w:r>
      <w:r w:rsidRPr="00C22013">
        <w:rPr>
          <w:rFonts w:eastAsia="Times New Roman" w:cs="Times New Roman"/>
          <w:rtl/>
          <w:lang w:eastAsia="de-DE"/>
        </w:rPr>
        <w:t xml:space="preserve"> </w:t>
      </w:r>
      <w:r w:rsidRPr="00C22013">
        <w:rPr>
          <w:rFonts w:eastAsia="Times New Roman" w:cs="Times New Roman"/>
          <w:lang w:eastAsia="de-DE"/>
        </w:rPr>
        <w:t>(von Ägypten bis hierher) erinnert an Gottes bisherige Vergebung als Präzedenzfall.</w:t>
      </w:r>
    </w:p>
    <w:p w14:paraId="62533BE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סְלַח</w:t>
      </w:r>
      <w:r w:rsidRPr="00C22013">
        <w:rPr>
          <w:rFonts w:eastAsia="Times New Roman" w:cs="Times New Roman"/>
          <w:rtl/>
          <w:lang w:eastAsia="de-DE"/>
        </w:rPr>
        <w:t xml:space="preserve"> </w:t>
      </w:r>
      <w:r w:rsidRPr="00C22013">
        <w:rPr>
          <w:rFonts w:eastAsia="Times New Roman" w:cs="Times New Roman"/>
          <w:lang w:eastAsia="de-DE"/>
        </w:rPr>
        <w:t xml:space="preserve">mit ἄφες (vergib), </w:t>
      </w:r>
      <w:r w:rsidRPr="00C22013">
        <w:rPr>
          <w:rFonts w:eastAsia="Times New Roman" w:cs="Times New Roman"/>
          <w:b/>
          <w:bCs/>
          <w:rtl/>
          <w:lang w:eastAsia="de-DE"/>
        </w:rPr>
        <w:t>כְּגֹדֶל חַסְדֶּךָ</w:t>
      </w:r>
      <w:r w:rsidRPr="00C22013">
        <w:rPr>
          <w:rFonts w:eastAsia="Times New Roman" w:cs="Times New Roman"/>
          <w:rtl/>
          <w:lang w:eastAsia="de-DE"/>
        </w:rPr>
        <w:t xml:space="preserve"> </w:t>
      </w:r>
      <w:r w:rsidRPr="00C22013">
        <w:rPr>
          <w:rFonts w:eastAsia="Times New Roman" w:cs="Times New Roman"/>
          <w:lang w:eastAsia="de-DE"/>
        </w:rPr>
        <w:t xml:space="preserve">mit κατὰ τὸ μέγα ἔλεός σου (nach deiner großen Barmherzigkeit) und </w:t>
      </w:r>
      <w:r w:rsidRPr="00C22013">
        <w:rPr>
          <w:rFonts w:eastAsia="Times New Roman" w:cs="Times New Roman"/>
          <w:b/>
          <w:bCs/>
          <w:rtl/>
          <w:lang w:eastAsia="de-DE"/>
        </w:rPr>
        <w:t>נָשָׂאתָה</w:t>
      </w:r>
      <w:r w:rsidRPr="00C22013">
        <w:rPr>
          <w:rFonts w:eastAsia="Times New Roman" w:cs="Times New Roman"/>
          <w:rtl/>
          <w:lang w:eastAsia="de-DE"/>
        </w:rPr>
        <w:t xml:space="preserve"> </w:t>
      </w:r>
      <w:r w:rsidRPr="00C22013">
        <w:rPr>
          <w:rFonts w:eastAsia="Times New Roman" w:cs="Times New Roman"/>
          <w:lang w:eastAsia="de-DE"/>
        </w:rPr>
        <w:t>mit ἀνέσχου (du hast ertragen).</w:t>
      </w:r>
    </w:p>
    <w:p w14:paraId="2E2F1CD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direkte Vergebungsbitte mit Gnadenbezug und Präzedenz-Berufung auf bisherige Vergebung.</w:t>
      </w:r>
    </w:p>
    <w:p w14:paraId="60711AF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bildet den Höhepunkt von Moses Fürbitte mit der direkten Bitte um Vergebung, gestützt auf Gottes eigene Eigenschaften und bisherige Gnade.</w:t>
      </w:r>
    </w:p>
    <w:p w14:paraId="6E2594C1"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14,20</w:t>
      </w:r>
    </w:p>
    <w:p w14:paraId="32C8B47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וַיֹּ֣אמֶר יְהוָ֔ה סָלַ֖חְתִּי כִּדְבָרֶֽךָ׃</w:t>
      </w:r>
    </w:p>
    <w:p w14:paraId="58BEFE2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der Ewige sprach: Ich habe vergeben nach deinem Wort.</w:t>
      </w:r>
    </w:p>
    <w:p w14:paraId="32284933"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0A9420F">
          <v:rect id="_x0000_i1472" style="width:0;height:1.5pt" o:hralign="center" o:hrstd="t" o:hr="t" fillcolor="#a0a0a0" stroked="f"/>
        </w:pict>
      </w:r>
    </w:p>
    <w:p w14:paraId="4E8D041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göttliche Antwort </w:t>
      </w:r>
      <w:r w:rsidRPr="00C22013">
        <w:rPr>
          <w:rFonts w:eastAsia="Times New Roman" w:cs="Times New Roman"/>
          <w:b/>
          <w:bCs/>
          <w:rtl/>
          <w:lang w:eastAsia="de-DE"/>
        </w:rPr>
        <w:t>וַיֹּ֣אמֶר יְהוָ֔ה סָלַ֖חְתִּי כִּדְבָרֶֽךָ</w:t>
      </w:r>
      <w:r w:rsidRPr="00C22013">
        <w:rPr>
          <w:rFonts w:eastAsia="Times New Roman" w:cs="Times New Roman"/>
          <w:rtl/>
          <w:lang w:eastAsia="de-DE"/>
        </w:rPr>
        <w:t xml:space="preserve"> </w:t>
      </w:r>
      <w:r w:rsidRPr="00C22013">
        <w:rPr>
          <w:rFonts w:eastAsia="Times New Roman" w:cs="Times New Roman"/>
          <w:lang w:eastAsia="de-DE"/>
        </w:rPr>
        <w:t xml:space="preserve">(und der Ewige sprach: ich habe vergeben nach deinem Wort) mit </w:t>
      </w:r>
      <w:r w:rsidRPr="00C22013">
        <w:rPr>
          <w:rFonts w:eastAsia="Times New Roman" w:cs="Times New Roman"/>
          <w:b/>
          <w:bCs/>
          <w:rtl/>
          <w:lang w:eastAsia="de-DE"/>
        </w:rPr>
        <w:t>יֹּאמֶר יְהוָה</w:t>
      </w:r>
      <w:r w:rsidRPr="00C22013">
        <w:rPr>
          <w:rFonts w:eastAsia="Times New Roman" w:cs="Times New Roman"/>
          <w:rtl/>
          <w:lang w:eastAsia="de-DE"/>
        </w:rPr>
        <w:t xml:space="preserve"> </w:t>
      </w:r>
      <w:r w:rsidRPr="00C22013">
        <w:rPr>
          <w:rFonts w:eastAsia="Times New Roman" w:cs="Times New Roman"/>
          <w:lang w:eastAsia="de-DE"/>
        </w:rPr>
        <w:t xml:space="preserve">(der Ewige sprach), </w:t>
      </w:r>
      <w:r w:rsidRPr="00C22013">
        <w:rPr>
          <w:rFonts w:eastAsia="Times New Roman" w:cs="Times New Roman"/>
          <w:b/>
          <w:bCs/>
          <w:rtl/>
          <w:lang w:eastAsia="de-DE"/>
        </w:rPr>
        <w:t>סָלַחְתִּי</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סלח</w:t>
      </w:r>
      <w:r w:rsidRPr="00C22013">
        <w:rPr>
          <w:rFonts w:eastAsia="Times New Roman" w:cs="Times New Roman"/>
          <w:rtl/>
          <w:lang w:eastAsia="de-DE"/>
        </w:rPr>
        <w:t xml:space="preserve"> </w:t>
      </w:r>
      <w:r w:rsidRPr="00C22013">
        <w:rPr>
          <w:rFonts w:eastAsia="Times New Roman" w:cs="Times New Roman"/>
          <w:lang w:eastAsia="de-DE"/>
        </w:rPr>
        <w:t xml:space="preserve">(vergeben) im Qal-Perfekt 1. Person Singular und </w:t>
      </w:r>
      <w:r w:rsidRPr="00C22013">
        <w:rPr>
          <w:rFonts w:eastAsia="Times New Roman" w:cs="Times New Roman"/>
          <w:b/>
          <w:bCs/>
          <w:rtl/>
          <w:lang w:eastAsia="de-DE"/>
        </w:rPr>
        <w:t>כִּדְבָרֶךָ</w:t>
      </w:r>
      <w:r w:rsidRPr="00C22013">
        <w:rPr>
          <w:rFonts w:eastAsia="Times New Roman" w:cs="Times New Roman"/>
          <w:rtl/>
          <w:lang w:eastAsia="de-DE"/>
        </w:rPr>
        <w:t xml:space="preserve"> </w:t>
      </w:r>
      <w:r w:rsidRPr="00C22013">
        <w:rPr>
          <w:rFonts w:eastAsia="Times New Roman" w:cs="Times New Roman"/>
          <w:lang w:eastAsia="de-DE"/>
        </w:rPr>
        <w:t>(nach deinem Wort) zeigt die unmittelbare göttliche Reaktion auf Moses Fürbitte.</w:t>
      </w:r>
    </w:p>
    <w:p w14:paraId="12E3BD8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Kürze und Direktheit der Antwort steht in dramatischem Kontrast zur ausführlichen Fürbitte und zeigt die Macht effektiver Interzession.</w:t>
      </w:r>
    </w:p>
    <w:p w14:paraId="45EABA9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Die LXX</w:t>
      </w:r>
      <w:r w:rsidRPr="00C22013">
        <w:rPr>
          <w:rFonts w:eastAsia="Times New Roman" w:cs="Times New Roman"/>
          <w:lang w:eastAsia="de-DE"/>
        </w:rPr>
        <w:t xml:space="preserve"> übersetzt </w:t>
      </w:r>
      <w:r w:rsidRPr="00C22013">
        <w:rPr>
          <w:rFonts w:eastAsia="Times New Roman" w:cs="Times New Roman"/>
          <w:b/>
          <w:bCs/>
          <w:rtl/>
          <w:lang w:eastAsia="de-DE"/>
        </w:rPr>
        <w:t>סָלַחְתִּי</w:t>
      </w:r>
      <w:r w:rsidRPr="00C22013">
        <w:rPr>
          <w:rFonts w:eastAsia="Times New Roman" w:cs="Times New Roman"/>
          <w:rtl/>
          <w:lang w:eastAsia="de-DE"/>
        </w:rPr>
        <w:t xml:space="preserve"> </w:t>
      </w:r>
      <w:r w:rsidRPr="00C22013">
        <w:rPr>
          <w:rFonts w:eastAsia="Times New Roman" w:cs="Times New Roman"/>
          <w:lang w:eastAsia="de-DE"/>
        </w:rPr>
        <w:t xml:space="preserve">mit ἵλεως ἔσομαι (ich werde gnädig sein) und </w:t>
      </w:r>
      <w:r w:rsidRPr="00C22013">
        <w:rPr>
          <w:rFonts w:eastAsia="Times New Roman" w:cs="Times New Roman"/>
          <w:b/>
          <w:bCs/>
          <w:rtl/>
          <w:lang w:eastAsia="de-DE"/>
        </w:rPr>
        <w:t>כִּדְבָרֶךָ</w:t>
      </w:r>
      <w:r w:rsidRPr="00C22013">
        <w:rPr>
          <w:rFonts w:eastAsia="Times New Roman" w:cs="Times New Roman"/>
          <w:rtl/>
          <w:lang w:eastAsia="de-DE"/>
        </w:rPr>
        <w:t xml:space="preserve"> </w:t>
      </w:r>
      <w:r w:rsidRPr="00C22013">
        <w:rPr>
          <w:rFonts w:eastAsia="Times New Roman" w:cs="Times New Roman"/>
          <w:lang w:eastAsia="de-DE"/>
        </w:rPr>
        <w:t>mit κατὰ τὸ ῥῆμά σου (nach deinem Wort).</w:t>
      </w:r>
    </w:p>
    <w:p w14:paraId="5904DE7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knappe göttliche Gewährung der Fürbitte mit direktem Bezug auf Moses Wort.</w:t>
      </w:r>
    </w:p>
    <w:p w14:paraId="2AD74A2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Macht der Fürbitte: Gott gewährt Moses Bitte unmittelbar und vollständig.</w:t>
      </w:r>
    </w:p>
    <w:p w14:paraId="2043B818"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14,21</w:t>
      </w:r>
    </w:p>
    <w:p w14:paraId="60FA3DF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וְאוּלָ֖ם חַי־אָ֑נִי וְיִמָּלֵ֥א כְבוֹד־יְהוָ֖ה אֶת־כָּל־הָאָֽרֶץ׃</w:t>
      </w:r>
    </w:p>
    <w:p w14:paraId="7B28375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Doch, so wahr ich lebe, die ganze Erde wird der Herrlichkeit des Ewigen voll werden!</w:t>
      </w:r>
    </w:p>
    <w:p w14:paraId="50E02C85"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68580BB8">
          <v:rect id="_x0000_i1473" style="width:0;height:1.5pt" o:hralign="center" o:hrstd="t" o:hr="t" fillcolor="#a0a0a0" stroked="f"/>
        </w:pict>
      </w:r>
    </w:p>
    <w:p w14:paraId="4318C66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Das adversative </w:t>
      </w:r>
      <w:r w:rsidRPr="00C22013">
        <w:rPr>
          <w:rFonts w:eastAsia="Times New Roman" w:cs="Times New Roman"/>
          <w:b/>
          <w:bCs/>
          <w:rtl/>
          <w:lang w:eastAsia="de-DE"/>
        </w:rPr>
        <w:t>וְאוּלָ֖ם חַי־אָ֑נִי</w:t>
      </w:r>
      <w:r w:rsidRPr="00C22013">
        <w:rPr>
          <w:rFonts w:eastAsia="Times New Roman" w:cs="Times New Roman"/>
          <w:rtl/>
          <w:lang w:eastAsia="de-DE"/>
        </w:rPr>
        <w:t xml:space="preserve"> </w:t>
      </w:r>
      <w:r w:rsidRPr="00C22013">
        <w:rPr>
          <w:rFonts w:eastAsia="Times New Roman" w:cs="Times New Roman"/>
          <w:lang w:eastAsia="de-DE"/>
        </w:rPr>
        <w:t xml:space="preserve">(aber/doch, so wahr ich lebe) mit </w:t>
      </w:r>
      <w:r w:rsidRPr="00C22013">
        <w:rPr>
          <w:rFonts w:eastAsia="Times New Roman" w:cs="Times New Roman"/>
          <w:b/>
          <w:bCs/>
          <w:rtl/>
          <w:lang w:eastAsia="de-DE"/>
        </w:rPr>
        <w:t>אוּלָם</w:t>
      </w:r>
      <w:r w:rsidRPr="00C22013">
        <w:rPr>
          <w:rFonts w:eastAsia="Times New Roman" w:cs="Times New Roman"/>
          <w:rtl/>
          <w:lang w:eastAsia="de-DE"/>
        </w:rPr>
        <w:t xml:space="preserve"> </w:t>
      </w:r>
      <w:r w:rsidRPr="00C22013">
        <w:rPr>
          <w:rFonts w:eastAsia="Times New Roman" w:cs="Times New Roman"/>
          <w:lang w:eastAsia="de-DE"/>
        </w:rPr>
        <w:t xml:space="preserve">(aber/doch) und </w:t>
      </w:r>
      <w:r w:rsidRPr="00C22013">
        <w:rPr>
          <w:rFonts w:eastAsia="Times New Roman" w:cs="Times New Roman"/>
          <w:b/>
          <w:bCs/>
          <w:rtl/>
          <w:lang w:eastAsia="de-DE"/>
        </w:rPr>
        <w:t>חַי־אָנִי</w:t>
      </w:r>
      <w:r w:rsidRPr="00C22013">
        <w:rPr>
          <w:rFonts w:eastAsia="Times New Roman" w:cs="Times New Roman"/>
          <w:rtl/>
          <w:lang w:eastAsia="de-DE"/>
        </w:rPr>
        <w:t xml:space="preserve"> </w:t>
      </w:r>
      <w:r w:rsidRPr="00C22013">
        <w:rPr>
          <w:rFonts w:eastAsia="Times New Roman" w:cs="Times New Roman"/>
          <w:lang w:eastAsia="de-DE"/>
        </w:rPr>
        <w:t>(so wahr ich lebe) als göttliche Schwurformel leitet eine wichtige Einschränkung der Vergebung ein.</w:t>
      </w:r>
    </w:p>
    <w:p w14:paraId="2880405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universelle Verheißung </w:t>
      </w:r>
      <w:r w:rsidRPr="00C22013">
        <w:rPr>
          <w:rFonts w:eastAsia="Times New Roman" w:cs="Times New Roman"/>
          <w:b/>
          <w:bCs/>
          <w:rtl/>
          <w:lang w:eastAsia="de-DE"/>
        </w:rPr>
        <w:t>וְיִמָּלֵ֥א כְבוֹד־יְהוָ֖ה אֶת־כָּל־הָאָֽרֶץ</w:t>
      </w:r>
      <w:r w:rsidRPr="00C22013">
        <w:rPr>
          <w:rFonts w:eastAsia="Times New Roman" w:cs="Times New Roman"/>
          <w:rtl/>
          <w:lang w:eastAsia="de-DE"/>
        </w:rPr>
        <w:t xml:space="preserve"> </w:t>
      </w:r>
      <w:r w:rsidRPr="00C22013">
        <w:rPr>
          <w:rFonts w:eastAsia="Times New Roman" w:cs="Times New Roman"/>
          <w:lang w:eastAsia="de-DE"/>
        </w:rPr>
        <w:t xml:space="preserve">(und die Herrlichkeit des Ewigen wird die ganze Erde füllen) mit </w:t>
      </w:r>
      <w:r w:rsidRPr="00C22013">
        <w:rPr>
          <w:rFonts w:eastAsia="Times New Roman" w:cs="Times New Roman"/>
          <w:b/>
          <w:bCs/>
          <w:rtl/>
          <w:lang w:eastAsia="de-DE"/>
        </w:rPr>
        <w:t>יִמָּלֵא</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מלא</w:t>
      </w:r>
      <w:r w:rsidRPr="00C22013">
        <w:rPr>
          <w:rFonts w:eastAsia="Times New Roman" w:cs="Times New Roman"/>
          <w:rtl/>
          <w:lang w:eastAsia="de-DE"/>
        </w:rPr>
        <w:t xml:space="preserve"> </w:t>
      </w:r>
      <w:r w:rsidRPr="00C22013">
        <w:rPr>
          <w:rFonts w:eastAsia="Times New Roman" w:cs="Times New Roman"/>
          <w:lang w:eastAsia="de-DE"/>
        </w:rPr>
        <w:t xml:space="preserve">(füllen) im Niph'al-Imperfekt 3. maskulin Singular, </w:t>
      </w:r>
      <w:r w:rsidRPr="00C22013">
        <w:rPr>
          <w:rFonts w:eastAsia="Times New Roman" w:cs="Times New Roman"/>
          <w:b/>
          <w:bCs/>
          <w:rtl/>
          <w:lang w:eastAsia="de-DE"/>
        </w:rPr>
        <w:t>כְבוֹד־יְהוָה</w:t>
      </w:r>
      <w:r w:rsidRPr="00C22013">
        <w:rPr>
          <w:rFonts w:eastAsia="Times New Roman" w:cs="Times New Roman"/>
          <w:rtl/>
          <w:lang w:eastAsia="de-DE"/>
        </w:rPr>
        <w:t xml:space="preserve"> </w:t>
      </w:r>
      <w:r w:rsidRPr="00C22013">
        <w:rPr>
          <w:rFonts w:eastAsia="Times New Roman" w:cs="Times New Roman"/>
          <w:lang w:eastAsia="de-DE"/>
        </w:rPr>
        <w:t xml:space="preserve">(Herrlichkeit des Ewigen) und </w:t>
      </w:r>
      <w:r w:rsidRPr="00C22013">
        <w:rPr>
          <w:rFonts w:eastAsia="Times New Roman" w:cs="Times New Roman"/>
          <w:b/>
          <w:bCs/>
          <w:rtl/>
          <w:lang w:eastAsia="de-DE"/>
        </w:rPr>
        <w:t>כָּל־הָאָרֶץ</w:t>
      </w:r>
      <w:r w:rsidRPr="00C22013">
        <w:rPr>
          <w:rFonts w:eastAsia="Times New Roman" w:cs="Times New Roman"/>
          <w:rtl/>
          <w:lang w:eastAsia="de-DE"/>
        </w:rPr>
        <w:t xml:space="preserve"> </w:t>
      </w:r>
      <w:r w:rsidRPr="00C22013">
        <w:rPr>
          <w:rFonts w:eastAsia="Times New Roman" w:cs="Times New Roman"/>
          <w:lang w:eastAsia="de-DE"/>
        </w:rPr>
        <w:t>(die ganze Erde) zeigt die eschatologische Dimension - trotz Israel Versagen wird Gottes Herrlichkeit universell offenbar werden.</w:t>
      </w:r>
    </w:p>
    <w:p w14:paraId="5B308100" w14:textId="4FA0011D"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 xml:space="preserve">Die </w:t>
      </w:r>
      <w:r w:rsidR="00184967">
        <w:t>fügt dramatisch hinzu: „καὶ ζῶν τὸ ὄνομά μου" (und lebt mein Name), was im hebräischen „</w:t>
      </w:r>
      <w:r w:rsidR="00184967" w:rsidRPr="00184967">
        <w:rPr>
          <w:b/>
          <w:bCs/>
          <w:rtl/>
        </w:rPr>
        <w:t>חַי־אָנִי</w:t>
      </w:r>
      <w:r w:rsidR="00184967">
        <w:t>" (so wahr ich lebe) nicht enthalten ist.</w:t>
      </w:r>
    </w:p>
    <w:p w14:paraId="6ED1B67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adversative Schwureinleitung und universelle eschatologische Verheißung.</w:t>
      </w:r>
    </w:p>
    <w:p w14:paraId="7E51C86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dass Vergebung nicht Konsequenzlosigkeit bedeutet - Gottes Herrlichkeit wird sich trotz Israel Versagen universell durchsetzen.</w:t>
      </w:r>
    </w:p>
    <w:p w14:paraId="3F62518C"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14,22</w:t>
      </w:r>
    </w:p>
    <w:p w14:paraId="39DF3A6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כִּ֣י כָל־הָאֲנָשִׁ֗ים הָרֹאִ֤ים אֶת־כְּבֹדִי֙ וְאֶת־אֹ֣תֹתַ֔י אֲשֶׁר־עָשִׂ֥יתִי בְמִצְרַ֖יִם וּבַמִּדְבָּ֑ר וַיְנַסּ֣וּ אֹתִ֗י זֶ֚ה עֶ֣שֶׂר פְּעָמִ֔ים וְלֹ֥א שָׁמְע֖וּ בְּקוֹלִֽי׃</w:t>
      </w:r>
    </w:p>
    <w:p w14:paraId="43D16E3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Denn alle die Männer, die meine Herrlichkeit und meine Zeichen gesehen haben, die ich in Mizrajim und in der Wüste getan habe, und mich nun zehnmal versucht und nicht auf meine Stimme gehört haben.</w:t>
      </w:r>
    </w:p>
    <w:p w14:paraId="547F2A06"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4BDB949">
          <v:rect id="_x0000_i1474" style="width:0;height:1.5pt" o:hralign="center" o:hrstd="t" o:hr="t" fillcolor="#a0a0a0" stroked="f"/>
        </w:pict>
      </w:r>
    </w:p>
    <w:p w14:paraId="2D7BF86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Kommentar:</w:t>
      </w:r>
      <w:r w:rsidRPr="00C22013">
        <w:rPr>
          <w:rFonts w:eastAsia="Times New Roman" w:cs="Times New Roman"/>
          <w:lang w:eastAsia="de-DE"/>
        </w:rPr>
        <w:t xml:space="preserve"> Die Charakterisierung </w:t>
      </w:r>
      <w:r w:rsidRPr="00C22013">
        <w:rPr>
          <w:rFonts w:eastAsia="Times New Roman" w:cs="Times New Roman"/>
          <w:b/>
          <w:bCs/>
          <w:rtl/>
          <w:lang w:eastAsia="de-DE"/>
        </w:rPr>
        <w:t>כִּ֣י כָל־הָאֲנָשִׁ֗ים הָרֹאִ֤ים אֶת־כְּבֹדִי֙ וְאֶת־אֹ֣תֹתַ֔י אֲשֶׁר־עָשִׂ֥יתִי בְמִצְרַ֖יִם וּבַמִּדְבָּ֑ר</w:t>
      </w:r>
      <w:r w:rsidRPr="00C22013">
        <w:rPr>
          <w:rFonts w:eastAsia="Times New Roman" w:cs="Times New Roman"/>
          <w:rtl/>
          <w:lang w:eastAsia="de-DE"/>
        </w:rPr>
        <w:t xml:space="preserve"> </w:t>
      </w:r>
      <w:r w:rsidRPr="00C22013">
        <w:rPr>
          <w:rFonts w:eastAsia="Times New Roman" w:cs="Times New Roman"/>
          <w:lang w:eastAsia="de-DE"/>
        </w:rPr>
        <w:t xml:space="preserve">(denn alle die Männer, die meine Herrlichkeit und meine Zeichen gesehen haben, die ich in Ägypten und in der Wüste getan habe) mit </w:t>
      </w:r>
      <w:r w:rsidRPr="00C22013">
        <w:rPr>
          <w:rFonts w:eastAsia="Times New Roman" w:cs="Times New Roman"/>
          <w:b/>
          <w:bCs/>
          <w:rtl/>
          <w:lang w:eastAsia="de-DE"/>
        </w:rPr>
        <w:t>הָרֹאִים</w:t>
      </w:r>
      <w:r w:rsidRPr="00C22013">
        <w:rPr>
          <w:rFonts w:eastAsia="Times New Roman" w:cs="Times New Roman"/>
          <w:rtl/>
          <w:lang w:eastAsia="de-DE"/>
        </w:rPr>
        <w:t xml:space="preserve"> </w:t>
      </w:r>
      <w:r w:rsidRPr="00C22013">
        <w:rPr>
          <w:rFonts w:eastAsia="Times New Roman" w:cs="Times New Roman"/>
          <w:lang w:eastAsia="de-DE"/>
        </w:rPr>
        <w:t xml:space="preserve">als Qal-Partizip Plural von </w:t>
      </w:r>
      <w:r w:rsidRPr="00C22013">
        <w:rPr>
          <w:rFonts w:eastAsia="Times New Roman" w:cs="Times New Roman"/>
          <w:b/>
          <w:bCs/>
          <w:rtl/>
          <w:lang w:eastAsia="de-DE"/>
        </w:rPr>
        <w:t>ראה</w:t>
      </w:r>
      <w:r w:rsidRPr="00C22013">
        <w:rPr>
          <w:rFonts w:eastAsia="Times New Roman" w:cs="Times New Roman"/>
          <w:rtl/>
          <w:lang w:eastAsia="de-DE"/>
        </w:rPr>
        <w:t xml:space="preserve"> </w:t>
      </w:r>
      <w:r w:rsidRPr="00C22013">
        <w:rPr>
          <w:rFonts w:eastAsia="Times New Roman" w:cs="Times New Roman"/>
          <w:lang w:eastAsia="de-DE"/>
        </w:rPr>
        <w:t xml:space="preserve">(sehen), </w:t>
      </w:r>
      <w:r w:rsidRPr="00C22013">
        <w:rPr>
          <w:rFonts w:eastAsia="Times New Roman" w:cs="Times New Roman"/>
          <w:b/>
          <w:bCs/>
          <w:rtl/>
          <w:lang w:eastAsia="de-DE"/>
        </w:rPr>
        <w:t>כְּבֹדִי וְאֶת־אֹתֹתַי</w:t>
      </w:r>
      <w:r w:rsidRPr="00C22013">
        <w:rPr>
          <w:rFonts w:eastAsia="Times New Roman" w:cs="Times New Roman"/>
          <w:rtl/>
          <w:lang w:eastAsia="de-DE"/>
        </w:rPr>
        <w:t xml:space="preserve"> </w:t>
      </w:r>
      <w:r w:rsidRPr="00C22013">
        <w:rPr>
          <w:rFonts w:eastAsia="Times New Roman" w:cs="Times New Roman"/>
          <w:lang w:eastAsia="de-DE"/>
        </w:rPr>
        <w:t xml:space="preserve">(meine Herrlichkeit und meine Zeichen), </w:t>
      </w:r>
      <w:r w:rsidRPr="00C22013">
        <w:rPr>
          <w:rFonts w:eastAsia="Times New Roman" w:cs="Times New Roman"/>
          <w:b/>
          <w:bCs/>
          <w:rtl/>
          <w:lang w:eastAsia="de-DE"/>
        </w:rPr>
        <w:t>עָשִׂיתִי</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עשה</w:t>
      </w:r>
      <w:r w:rsidRPr="00C22013">
        <w:rPr>
          <w:rFonts w:eastAsia="Times New Roman" w:cs="Times New Roman"/>
          <w:rtl/>
          <w:lang w:eastAsia="de-DE"/>
        </w:rPr>
        <w:t xml:space="preserve"> </w:t>
      </w:r>
      <w:r w:rsidRPr="00C22013">
        <w:rPr>
          <w:rFonts w:eastAsia="Times New Roman" w:cs="Times New Roman"/>
          <w:lang w:eastAsia="de-DE"/>
        </w:rPr>
        <w:t xml:space="preserve">(tun) und der geografischen Reichweite </w:t>
      </w:r>
      <w:r w:rsidRPr="00C22013">
        <w:rPr>
          <w:rFonts w:eastAsia="Times New Roman" w:cs="Times New Roman"/>
          <w:b/>
          <w:bCs/>
          <w:rtl/>
          <w:lang w:eastAsia="de-DE"/>
        </w:rPr>
        <w:t>בְמִצְרַיִם וּבַמִּדְבָּר</w:t>
      </w:r>
      <w:r w:rsidRPr="00C22013">
        <w:rPr>
          <w:rFonts w:eastAsia="Times New Roman" w:cs="Times New Roman"/>
          <w:rtl/>
          <w:lang w:eastAsia="de-DE"/>
        </w:rPr>
        <w:t xml:space="preserve"> </w:t>
      </w:r>
      <w:r w:rsidRPr="00C22013">
        <w:rPr>
          <w:rFonts w:eastAsia="Times New Roman" w:cs="Times New Roman"/>
          <w:lang w:eastAsia="de-DE"/>
        </w:rPr>
        <w:t>(in Ägypten und in der Wüste) zeigt die Augenzeugenschaft der Exodus-Generation.</w:t>
      </w:r>
    </w:p>
    <w:p w14:paraId="07F65C0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Anklage </w:t>
      </w:r>
      <w:r w:rsidRPr="00C22013">
        <w:rPr>
          <w:rFonts w:eastAsia="Times New Roman" w:cs="Times New Roman"/>
          <w:b/>
          <w:bCs/>
          <w:rtl/>
          <w:lang w:eastAsia="de-DE"/>
        </w:rPr>
        <w:t>וַיְנַסּ֣וּ אֹתִ֗י זֶ֚ה עֶ֣שֶׂר פְּעָמִ֔ים וְלֹ֥א שָׁמְע֖וּ בְּקוֹלִֽי</w:t>
      </w:r>
      <w:r w:rsidRPr="00C22013">
        <w:rPr>
          <w:rFonts w:eastAsia="Times New Roman" w:cs="Times New Roman"/>
          <w:rtl/>
          <w:lang w:eastAsia="de-DE"/>
        </w:rPr>
        <w:t xml:space="preserve"> </w:t>
      </w:r>
      <w:r w:rsidRPr="00C22013">
        <w:rPr>
          <w:rFonts w:eastAsia="Times New Roman" w:cs="Times New Roman"/>
          <w:lang w:eastAsia="de-DE"/>
        </w:rPr>
        <w:t xml:space="preserve">(und mich nun zehnmal versucht und nicht auf meine Stimme gehört haben) mit </w:t>
      </w:r>
      <w:r w:rsidRPr="00C22013">
        <w:rPr>
          <w:rFonts w:eastAsia="Times New Roman" w:cs="Times New Roman"/>
          <w:b/>
          <w:bCs/>
          <w:rtl/>
          <w:lang w:eastAsia="de-DE"/>
        </w:rPr>
        <w:t>יְנַסּוּ אֹתִי</w:t>
      </w:r>
      <w:r w:rsidRPr="00C22013">
        <w:rPr>
          <w:rFonts w:eastAsia="Times New Roman" w:cs="Times New Roman"/>
          <w:rtl/>
          <w:lang w:eastAsia="de-DE"/>
        </w:rPr>
        <w:t xml:space="preserve"> </w:t>
      </w:r>
      <w:r w:rsidRPr="00C22013">
        <w:rPr>
          <w:rFonts w:eastAsia="Times New Roman" w:cs="Times New Roman"/>
          <w:lang w:eastAsia="de-DE"/>
        </w:rPr>
        <w:t xml:space="preserve">(sie versuchten mich) von </w:t>
      </w:r>
      <w:r w:rsidRPr="00C22013">
        <w:rPr>
          <w:rFonts w:eastAsia="Times New Roman" w:cs="Times New Roman"/>
          <w:b/>
          <w:bCs/>
          <w:rtl/>
          <w:lang w:eastAsia="de-DE"/>
        </w:rPr>
        <w:t>נסה</w:t>
      </w:r>
      <w:r w:rsidRPr="00C22013">
        <w:rPr>
          <w:rFonts w:eastAsia="Times New Roman" w:cs="Times New Roman"/>
          <w:rtl/>
          <w:lang w:eastAsia="de-DE"/>
        </w:rPr>
        <w:t xml:space="preserve"> </w:t>
      </w:r>
      <w:r w:rsidRPr="00C22013">
        <w:rPr>
          <w:rFonts w:eastAsia="Times New Roman" w:cs="Times New Roman"/>
          <w:lang w:eastAsia="de-DE"/>
        </w:rPr>
        <w:t xml:space="preserve">(versuchen/prüfen) im Pi'el, </w:t>
      </w:r>
      <w:r w:rsidRPr="00C22013">
        <w:rPr>
          <w:rFonts w:eastAsia="Times New Roman" w:cs="Times New Roman"/>
          <w:b/>
          <w:bCs/>
          <w:rtl/>
          <w:lang w:eastAsia="de-DE"/>
        </w:rPr>
        <w:t>זֶה עֶשֶׂר פְּעָמִים</w:t>
      </w:r>
      <w:r w:rsidRPr="00C22013">
        <w:rPr>
          <w:rFonts w:eastAsia="Times New Roman" w:cs="Times New Roman"/>
          <w:rtl/>
          <w:lang w:eastAsia="de-DE"/>
        </w:rPr>
        <w:t xml:space="preserve"> </w:t>
      </w:r>
      <w:r w:rsidRPr="00C22013">
        <w:rPr>
          <w:rFonts w:eastAsia="Times New Roman" w:cs="Times New Roman"/>
          <w:lang w:eastAsia="de-DE"/>
        </w:rPr>
        <w:t xml:space="preserve">(zehnmal) als symbolische Vollzahl der Rebellion und </w:t>
      </w:r>
      <w:r w:rsidRPr="00C22013">
        <w:rPr>
          <w:rFonts w:eastAsia="Times New Roman" w:cs="Times New Roman"/>
          <w:b/>
          <w:bCs/>
          <w:rtl/>
          <w:lang w:eastAsia="de-DE"/>
        </w:rPr>
        <w:t>לֹא שָׁמְעוּ בְּקוֹלִי</w:t>
      </w:r>
      <w:r w:rsidRPr="00C22013">
        <w:rPr>
          <w:rFonts w:eastAsia="Times New Roman" w:cs="Times New Roman"/>
          <w:rtl/>
          <w:lang w:eastAsia="de-DE"/>
        </w:rPr>
        <w:t xml:space="preserve"> </w:t>
      </w:r>
      <w:r w:rsidRPr="00C22013">
        <w:rPr>
          <w:rFonts w:eastAsia="Times New Roman" w:cs="Times New Roman"/>
          <w:lang w:eastAsia="de-DE"/>
        </w:rPr>
        <w:t>(sie hörten nicht auf meine Stimme) zeigt die wiederholte Auflehnung trotz göttlicher Offenbarung.</w:t>
      </w:r>
    </w:p>
    <w:p w14:paraId="1135E1C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הָרֹאִים</w:t>
      </w:r>
      <w:r w:rsidRPr="00C22013">
        <w:rPr>
          <w:rFonts w:eastAsia="Times New Roman" w:cs="Times New Roman"/>
          <w:rtl/>
          <w:lang w:eastAsia="de-DE"/>
        </w:rPr>
        <w:t xml:space="preserve"> </w:t>
      </w:r>
      <w:r w:rsidRPr="00C22013">
        <w:rPr>
          <w:rFonts w:eastAsia="Times New Roman" w:cs="Times New Roman"/>
          <w:lang w:eastAsia="de-DE"/>
        </w:rPr>
        <w:t xml:space="preserve">mit οἱ ἰδόντες (die gesehen haben), </w:t>
      </w:r>
      <w:r w:rsidRPr="00C22013">
        <w:rPr>
          <w:rFonts w:eastAsia="Times New Roman" w:cs="Times New Roman"/>
          <w:b/>
          <w:bCs/>
          <w:rtl/>
          <w:lang w:eastAsia="de-DE"/>
        </w:rPr>
        <w:t>אֹתֹתַי</w:t>
      </w:r>
      <w:r w:rsidRPr="00C22013">
        <w:rPr>
          <w:rFonts w:eastAsia="Times New Roman" w:cs="Times New Roman"/>
          <w:rtl/>
          <w:lang w:eastAsia="de-DE"/>
        </w:rPr>
        <w:t xml:space="preserve"> </w:t>
      </w:r>
      <w:r w:rsidRPr="00C22013">
        <w:rPr>
          <w:rFonts w:eastAsia="Times New Roman" w:cs="Times New Roman"/>
          <w:lang w:eastAsia="de-DE"/>
        </w:rPr>
        <w:t xml:space="preserve">mit τὰ σημεῖά μου (meine Zeichen), </w:t>
      </w:r>
      <w:r w:rsidRPr="00C22013">
        <w:rPr>
          <w:rFonts w:eastAsia="Times New Roman" w:cs="Times New Roman"/>
          <w:b/>
          <w:bCs/>
          <w:rtl/>
          <w:lang w:eastAsia="de-DE"/>
        </w:rPr>
        <w:t>יְנַסּוּ</w:t>
      </w:r>
      <w:r w:rsidRPr="00C22013">
        <w:rPr>
          <w:rFonts w:eastAsia="Times New Roman" w:cs="Times New Roman"/>
          <w:rtl/>
          <w:lang w:eastAsia="de-DE"/>
        </w:rPr>
        <w:t xml:space="preserve"> </w:t>
      </w:r>
      <w:r w:rsidRPr="00C22013">
        <w:rPr>
          <w:rFonts w:eastAsia="Times New Roman" w:cs="Times New Roman"/>
          <w:lang w:eastAsia="de-DE"/>
        </w:rPr>
        <w:t xml:space="preserve">mit ἐπείρασάν (sie versuchten) und </w:t>
      </w:r>
      <w:r w:rsidRPr="00C22013">
        <w:rPr>
          <w:rFonts w:eastAsia="Times New Roman" w:cs="Times New Roman"/>
          <w:b/>
          <w:bCs/>
          <w:rtl/>
          <w:lang w:eastAsia="de-DE"/>
        </w:rPr>
        <w:t>עֶשֶׂר פְּעָמִים</w:t>
      </w:r>
      <w:r w:rsidRPr="00C22013">
        <w:rPr>
          <w:rFonts w:eastAsia="Times New Roman" w:cs="Times New Roman"/>
          <w:rtl/>
          <w:lang w:eastAsia="de-DE"/>
        </w:rPr>
        <w:t xml:space="preserve"> </w:t>
      </w:r>
      <w:r w:rsidRPr="00C22013">
        <w:rPr>
          <w:rFonts w:eastAsia="Times New Roman" w:cs="Times New Roman"/>
          <w:lang w:eastAsia="de-DE"/>
        </w:rPr>
        <w:t>mit τοῦτο δέκατον (dies zum zehnten Mal).</w:t>
      </w:r>
    </w:p>
    <w:p w14:paraId="5B2413B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umfassende Augenzeugencharakterisierung und systematische Rebellion trotz göttlicher Manifestationen.</w:t>
      </w:r>
    </w:p>
    <w:p w14:paraId="1216488D" w14:textId="38021D24" w:rsid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begründet die kommende Strafe durch die wiederholte Rebellion der Exodus-Generation trotz umfassender Wunder-Erfahrung.</w:t>
      </w:r>
    </w:p>
    <w:p w14:paraId="0014BF58" w14:textId="77777777" w:rsidR="00D20C83" w:rsidRPr="00D20C83" w:rsidRDefault="00D20C83" w:rsidP="00F06C27">
      <w:pPr>
        <w:pStyle w:val="berschrift4"/>
        <w:rPr>
          <w:rFonts w:eastAsia="Times New Roman"/>
          <w:lang w:eastAsia="de-DE"/>
        </w:rPr>
      </w:pPr>
      <w:r w:rsidRPr="00D20C83">
        <w:rPr>
          <w:rFonts w:eastAsia="Times New Roman"/>
          <w:lang w:eastAsia="de-DE"/>
        </w:rPr>
        <w:t>Exkurs: "Zehnmal" (</w:t>
      </w:r>
      <w:r w:rsidRPr="00F06C27">
        <w:rPr>
          <w:rFonts w:eastAsia="Times New Roman"/>
          <w:i w:val="0"/>
          <w:iCs w:val="0"/>
          <w:rtl/>
          <w:lang w:eastAsia="de-DE"/>
        </w:rPr>
        <w:t>זֶה עֶשֶׂר פְּעָמִים</w:t>
      </w:r>
      <w:r w:rsidRPr="00D20C83">
        <w:rPr>
          <w:rFonts w:eastAsia="Times New Roman"/>
          <w:lang w:eastAsia="de-DE"/>
        </w:rPr>
        <w:t>) – Welche 10 Rebellionen?</w:t>
      </w:r>
    </w:p>
    <w:p w14:paraId="36FD4758"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Numeri 14,22:</w:t>
      </w:r>
    </w:p>
    <w:p w14:paraId="2DA6D389" w14:textId="77777777" w:rsidR="00D20C83" w:rsidRPr="00D20C83" w:rsidRDefault="00D20C83" w:rsidP="00D20C83">
      <w:pPr>
        <w:spacing w:beforeAutospacing="1" w:after="100" w:afterAutospacing="1" w:line="240" w:lineRule="auto"/>
        <w:rPr>
          <w:rFonts w:eastAsia="Times New Roman" w:cs="Times New Roman"/>
          <w:lang w:eastAsia="de-DE"/>
        </w:rPr>
      </w:pPr>
      <w:r w:rsidRPr="00D20C83">
        <w:rPr>
          <w:rFonts w:eastAsia="Times New Roman" w:cs="Times New Roman"/>
          <w:rtl/>
          <w:lang w:eastAsia="de-DE"/>
        </w:rPr>
        <w:t>וַיְנַסּוּ אֹתִי זֶה עֶשֶׂר פְּעָמִים</w:t>
      </w:r>
      <w:r w:rsidRPr="00D20C83">
        <w:rPr>
          <w:rFonts w:eastAsia="Times New Roman" w:cs="Times New Roman"/>
          <w:lang w:eastAsia="de-DE"/>
        </w:rPr>
        <w:br/>
        <w:t xml:space="preserve">"Und sie versuchten mich nun </w:t>
      </w:r>
      <w:r w:rsidRPr="00D20C83">
        <w:rPr>
          <w:rFonts w:eastAsia="Times New Roman" w:cs="Times New Roman"/>
          <w:b/>
          <w:bCs/>
          <w:lang w:eastAsia="de-DE"/>
        </w:rPr>
        <w:t>zehnmal</w:t>
      </w:r>
      <w:r w:rsidRPr="00D20C83">
        <w:rPr>
          <w:rFonts w:eastAsia="Times New Roman" w:cs="Times New Roman"/>
          <w:lang w:eastAsia="de-DE"/>
        </w:rPr>
        <w:t>."</w:t>
      </w:r>
    </w:p>
    <w:p w14:paraId="740E0AB4"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Problem:</w:t>
      </w:r>
      <w:r w:rsidRPr="00D20C83">
        <w:rPr>
          <w:rFonts w:eastAsia="Times New Roman" w:cs="Times New Roman"/>
          <w:lang w:eastAsia="de-DE"/>
        </w:rPr>
        <w:t xml:space="preserve"> Welche 10 Rebellionen meint Gott?</w:t>
      </w:r>
    </w:p>
    <w:p w14:paraId="59BD96B9"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Rabbinische Zählungen:</w:t>
      </w:r>
    </w:p>
    <w:p w14:paraId="594C1072" w14:textId="50A21CA1" w:rsidR="00D20C83" w:rsidRDefault="00D20C83" w:rsidP="00D20C83">
      <w:pPr>
        <w:spacing w:before="100" w:beforeAutospacing="1" w:after="100" w:afterAutospacing="1" w:line="240" w:lineRule="auto"/>
        <w:rPr>
          <w:rFonts w:eastAsia="Times New Roman" w:cs="Times New Roman"/>
          <w:b/>
          <w:bCs/>
          <w:lang w:eastAsia="de-DE"/>
        </w:rPr>
      </w:pPr>
      <w:r w:rsidRPr="00D20C83">
        <w:rPr>
          <w:rFonts w:eastAsia="Times New Roman" w:cs="Times New Roman"/>
          <w:b/>
          <w:bCs/>
          <w:color w:val="5B9BD5" w:themeColor="accent5"/>
          <w:lang w:eastAsia="de-DE"/>
        </w:rPr>
        <w:t>Zählung 1 (Raschi, basierend auf Arachin 15a):</w:t>
      </w:r>
    </w:p>
    <w:tbl>
      <w:tblPr>
        <w:tblStyle w:val="Tabellenraster"/>
        <w:tblW w:w="4994" w:type="pct"/>
        <w:tblLook w:val="04A0" w:firstRow="1" w:lastRow="0" w:firstColumn="1" w:lastColumn="0" w:noHBand="0" w:noVBand="1"/>
      </w:tblPr>
      <w:tblGrid>
        <w:gridCol w:w="846"/>
        <w:gridCol w:w="3260"/>
        <w:gridCol w:w="4945"/>
      </w:tblGrid>
      <w:tr w:rsidR="00D20C83" w14:paraId="36239CCF" w14:textId="77777777" w:rsidTr="00D20C83">
        <w:tc>
          <w:tcPr>
            <w:tcW w:w="467" w:type="pct"/>
            <w:vAlign w:val="center"/>
          </w:tcPr>
          <w:p w14:paraId="06FC2C90" w14:textId="167B9C57"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Nr.</w:t>
            </w:r>
          </w:p>
        </w:tc>
        <w:tc>
          <w:tcPr>
            <w:tcW w:w="1801" w:type="pct"/>
            <w:vAlign w:val="center"/>
          </w:tcPr>
          <w:p w14:paraId="13464D28" w14:textId="1F2983C2"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Rebellion</w:t>
            </w:r>
          </w:p>
        </w:tc>
        <w:tc>
          <w:tcPr>
            <w:tcW w:w="2732" w:type="pct"/>
            <w:vAlign w:val="center"/>
          </w:tcPr>
          <w:p w14:paraId="0B0ABDE4" w14:textId="16B06E43"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Stelle</w:t>
            </w:r>
          </w:p>
        </w:tc>
      </w:tr>
      <w:tr w:rsidR="00D20C83" w14:paraId="6DD79A47" w14:textId="77777777" w:rsidTr="00D20C83">
        <w:tc>
          <w:tcPr>
            <w:tcW w:w="467" w:type="pct"/>
            <w:vAlign w:val="center"/>
          </w:tcPr>
          <w:p w14:paraId="0F4387E5" w14:textId="6BA8308A" w:rsidR="00D20C83" w:rsidRDefault="00D20C83" w:rsidP="00D20C83">
            <w:pPr>
              <w:pStyle w:val="KeinLeerraum"/>
              <w:rPr>
                <w:lang w:eastAsia="de-DE"/>
              </w:rPr>
            </w:pPr>
            <w:r w:rsidRPr="00D20C83">
              <w:rPr>
                <w:lang w:eastAsia="de-DE"/>
              </w:rPr>
              <w:t>1</w:t>
            </w:r>
          </w:p>
        </w:tc>
        <w:tc>
          <w:tcPr>
            <w:tcW w:w="1801" w:type="pct"/>
            <w:vAlign w:val="center"/>
          </w:tcPr>
          <w:p w14:paraId="2CC115BD" w14:textId="2E5B05D6" w:rsidR="00D20C83" w:rsidRDefault="00D20C83" w:rsidP="00D20C83">
            <w:pPr>
              <w:pStyle w:val="KeinLeerraum"/>
              <w:rPr>
                <w:lang w:eastAsia="de-DE"/>
              </w:rPr>
            </w:pPr>
            <w:r w:rsidRPr="00D20C83">
              <w:rPr>
                <w:lang w:eastAsia="de-DE"/>
              </w:rPr>
              <w:t>Am Schilfmeer</w:t>
            </w:r>
          </w:p>
        </w:tc>
        <w:tc>
          <w:tcPr>
            <w:tcW w:w="2732" w:type="pct"/>
            <w:vAlign w:val="center"/>
          </w:tcPr>
          <w:p w14:paraId="066BBA52" w14:textId="74FBA533" w:rsidR="00D20C83" w:rsidRDefault="00D20C83" w:rsidP="00D20C83">
            <w:pPr>
              <w:pStyle w:val="KeinLeerraum"/>
              <w:rPr>
                <w:lang w:eastAsia="de-DE"/>
              </w:rPr>
            </w:pPr>
            <w:r w:rsidRPr="00D20C83">
              <w:rPr>
                <w:lang w:eastAsia="de-DE"/>
              </w:rPr>
              <w:t>Ex 14,11-12 ("wären wir in Ägypten gestorben")</w:t>
            </w:r>
          </w:p>
        </w:tc>
      </w:tr>
      <w:tr w:rsidR="00D20C83" w14:paraId="2F16CD5A" w14:textId="77777777" w:rsidTr="00D20C83">
        <w:tc>
          <w:tcPr>
            <w:tcW w:w="467" w:type="pct"/>
            <w:vAlign w:val="center"/>
          </w:tcPr>
          <w:p w14:paraId="0346825E" w14:textId="6B8C1599"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2</w:t>
            </w:r>
          </w:p>
        </w:tc>
        <w:tc>
          <w:tcPr>
            <w:tcW w:w="1801" w:type="pct"/>
            <w:vAlign w:val="center"/>
          </w:tcPr>
          <w:p w14:paraId="43040B44" w14:textId="78258A6F"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Mara (bitteres Wasser)</w:t>
            </w:r>
          </w:p>
        </w:tc>
        <w:tc>
          <w:tcPr>
            <w:tcW w:w="2732" w:type="pct"/>
            <w:vAlign w:val="center"/>
          </w:tcPr>
          <w:p w14:paraId="0D31159D" w14:textId="533CCE44"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Ex 15,23-24</w:t>
            </w:r>
          </w:p>
        </w:tc>
      </w:tr>
      <w:tr w:rsidR="00D20C83" w14:paraId="597038E8" w14:textId="77777777" w:rsidTr="00D20C83">
        <w:tc>
          <w:tcPr>
            <w:tcW w:w="467" w:type="pct"/>
            <w:vAlign w:val="center"/>
          </w:tcPr>
          <w:p w14:paraId="18D0BAB5" w14:textId="41900EC3"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3</w:t>
            </w:r>
          </w:p>
        </w:tc>
        <w:tc>
          <w:tcPr>
            <w:tcW w:w="1801" w:type="pct"/>
            <w:vAlign w:val="center"/>
          </w:tcPr>
          <w:p w14:paraId="1A977066" w14:textId="4E932B13"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Wüste Sin (Hunger)</w:t>
            </w:r>
          </w:p>
        </w:tc>
        <w:tc>
          <w:tcPr>
            <w:tcW w:w="2732" w:type="pct"/>
            <w:vAlign w:val="center"/>
          </w:tcPr>
          <w:p w14:paraId="3EBFA6D6" w14:textId="7EE868BE"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Ex 16,2-3</w:t>
            </w:r>
          </w:p>
        </w:tc>
      </w:tr>
      <w:tr w:rsidR="00D20C83" w14:paraId="0596B206" w14:textId="77777777" w:rsidTr="00D20C83">
        <w:tc>
          <w:tcPr>
            <w:tcW w:w="467" w:type="pct"/>
            <w:vAlign w:val="center"/>
          </w:tcPr>
          <w:p w14:paraId="4143FBF7" w14:textId="403AD0D9"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4</w:t>
            </w:r>
          </w:p>
        </w:tc>
        <w:tc>
          <w:tcPr>
            <w:tcW w:w="1801" w:type="pct"/>
            <w:vAlign w:val="center"/>
          </w:tcPr>
          <w:p w14:paraId="68260AD8" w14:textId="2B6AE2E9"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Manna aufbewahrt</w:t>
            </w:r>
          </w:p>
        </w:tc>
        <w:tc>
          <w:tcPr>
            <w:tcW w:w="2732" w:type="pct"/>
            <w:vAlign w:val="center"/>
          </w:tcPr>
          <w:p w14:paraId="167AF1B0" w14:textId="3E8FC276"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Ex 16,19-20 (gegen Anweisung)</w:t>
            </w:r>
          </w:p>
        </w:tc>
      </w:tr>
      <w:tr w:rsidR="00D20C83" w14:paraId="12BDAA6B" w14:textId="77777777" w:rsidTr="00D20C83">
        <w:tc>
          <w:tcPr>
            <w:tcW w:w="467" w:type="pct"/>
            <w:vAlign w:val="center"/>
          </w:tcPr>
          <w:p w14:paraId="013855CB" w14:textId="3C7FF9D3"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5</w:t>
            </w:r>
          </w:p>
        </w:tc>
        <w:tc>
          <w:tcPr>
            <w:tcW w:w="1801" w:type="pct"/>
            <w:vAlign w:val="center"/>
          </w:tcPr>
          <w:p w14:paraId="693FF667" w14:textId="149FDECF"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Manna am Sabbat sammeln</w:t>
            </w:r>
          </w:p>
        </w:tc>
        <w:tc>
          <w:tcPr>
            <w:tcW w:w="2732" w:type="pct"/>
            <w:vAlign w:val="center"/>
          </w:tcPr>
          <w:p w14:paraId="55DCCD52" w14:textId="543365CB"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Ex 16,27-28</w:t>
            </w:r>
          </w:p>
        </w:tc>
      </w:tr>
      <w:tr w:rsidR="00D20C83" w14:paraId="7760C108" w14:textId="77777777" w:rsidTr="00D20C83">
        <w:tc>
          <w:tcPr>
            <w:tcW w:w="467" w:type="pct"/>
            <w:vAlign w:val="center"/>
          </w:tcPr>
          <w:p w14:paraId="113F865E" w14:textId="574E9D0F"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6</w:t>
            </w:r>
          </w:p>
        </w:tc>
        <w:tc>
          <w:tcPr>
            <w:tcW w:w="1801" w:type="pct"/>
            <w:vAlign w:val="center"/>
          </w:tcPr>
          <w:p w14:paraId="4D12802A" w14:textId="7DEC3910"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Massa und Meriba (Durst)</w:t>
            </w:r>
          </w:p>
        </w:tc>
        <w:tc>
          <w:tcPr>
            <w:tcW w:w="2732" w:type="pct"/>
            <w:vAlign w:val="center"/>
          </w:tcPr>
          <w:p w14:paraId="59CBB80D" w14:textId="6A561B3D"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Ex 17,1-3</w:t>
            </w:r>
          </w:p>
        </w:tc>
      </w:tr>
      <w:tr w:rsidR="00D20C83" w14:paraId="05BD1C44" w14:textId="77777777" w:rsidTr="00D20C83">
        <w:tc>
          <w:tcPr>
            <w:tcW w:w="467" w:type="pct"/>
            <w:vAlign w:val="center"/>
          </w:tcPr>
          <w:p w14:paraId="55DA48D7" w14:textId="1FC93CBC"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7</w:t>
            </w:r>
          </w:p>
        </w:tc>
        <w:tc>
          <w:tcPr>
            <w:tcW w:w="1801" w:type="pct"/>
            <w:vAlign w:val="center"/>
          </w:tcPr>
          <w:p w14:paraId="3229408A" w14:textId="062BBBBC"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Goldenes Kalb</w:t>
            </w:r>
          </w:p>
        </w:tc>
        <w:tc>
          <w:tcPr>
            <w:tcW w:w="2732" w:type="pct"/>
            <w:vAlign w:val="center"/>
          </w:tcPr>
          <w:p w14:paraId="739DBF34" w14:textId="56CDE10E"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Ex 32,1-6</w:t>
            </w:r>
          </w:p>
        </w:tc>
      </w:tr>
      <w:tr w:rsidR="00D20C83" w14:paraId="4A3059D5" w14:textId="77777777" w:rsidTr="00D20C83">
        <w:tc>
          <w:tcPr>
            <w:tcW w:w="467" w:type="pct"/>
            <w:vAlign w:val="center"/>
          </w:tcPr>
          <w:p w14:paraId="5616AEAC" w14:textId="401610FE"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8</w:t>
            </w:r>
          </w:p>
        </w:tc>
        <w:tc>
          <w:tcPr>
            <w:tcW w:w="1801" w:type="pct"/>
            <w:vAlign w:val="center"/>
          </w:tcPr>
          <w:p w14:paraId="3F37E4DC" w14:textId="2996A79B"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Tawera (Murren)</w:t>
            </w:r>
          </w:p>
        </w:tc>
        <w:tc>
          <w:tcPr>
            <w:tcW w:w="2732" w:type="pct"/>
            <w:vAlign w:val="center"/>
          </w:tcPr>
          <w:p w14:paraId="5E53A6BC" w14:textId="13A8BC27"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Num 11,1-3</w:t>
            </w:r>
          </w:p>
        </w:tc>
      </w:tr>
      <w:tr w:rsidR="00D20C83" w14:paraId="527A8F9A" w14:textId="77777777" w:rsidTr="00D20C83">
        <w:tc>
          <w:tcPr>
            <w:tcW w:w="467" w:type="pct"/>
            <w:vAlign w:val="center"/>
          </w:tcPr>
          <w:p w14:paraId="79430450" w14:textId="79E171E6"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9</w:t>
            </w:r>
          </w:p>
        </w:tc>
        <w:tc>
          <w:tcPr>
            <w:tcW w:w="1801" w:type="pct"/>
            <w:vAlign w:val="center"/>
          </w:tcPr>
          <w:p w14:paraId="1B096A4D" w14:textId="58DB7505"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Kiwrot-Hata'awa (Fleischgier)</w:t>
            </w:r>
          </w:p>
        </w:tc>
        <w:tc>
          <w:tcPr>
            <w:tcW w:w="2732" w:type="pct"/>
            <w:vAlign w:val="center"/>
          </w:tcPr>
          <w:p w14:paraId="533FD27B" w14:textId="76253361"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Num 11,4-34</w:t>
            </w:r>
          </w:p>
        </w:tc>
      </w:tr>
      <w:tr w:rsidR="00D20C83" w14:paraId="3AD23466" w14:textId="77777777" w:rsidTr="003E7216">
        <w:tc>
          <w:tcPr>
            <w:tcW w:w="467" w:type="pct"/>
            <w:vAlign w:val="center"/>
          </w:tcPr>
          <w:p w14:paraId="689908B4" w14:textId="0C1675FA"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10</w:t>
            </w:r>
          </w:p>
        </w:tc>
        <w:tc>
          <w:tcPr>
            <w:tcW w:w="1801" w:type="pct"/>
            <w:vAlign w:val="center"/>
          </w:tcPr>
          <w:p w14:paraId="51EFD1B5" w14:textId="54B8A60D"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Kundschafter-Rebellion</w:t>
            </w:r>
          </w:p>
        </w:tc>
        <w:tc>
          <w:tcPr>
            <w:tcW w:w="2732" w:type="pct"/>
            <w:vAlign w:val="center"/>
          </w:tcPr>
          <w:p w14:paraId="784CF14E" w14:textId="4AC71D55" w:rsid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Num 13-14</w:t>
            </w:r>
          </w:p>
        </w:tc>
      </w:tr>
    </w:tbl>
    <w:p w14:paraId="76311EFB" w14:textId="77777777" w:rsidR="00D20C83" w:rsidRPr="00D20C83" w:rsidRDefault="00D20C83" w:rsidP="00D20C83">
      <w:pPr>
        <w:pStyle w:val="KeinLeerraum"/>
        <w:rPr>
          <w:lang w:eastAsia="de-DE"/>
        </w:rPr>
      </w:pPr>
    </w:p>
    <w:p w14:paraId="1E933354"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color w:val="5B9BD5" w:themeColor="accent5"/>
          <w:lang w:eastAsia="de-DE"/>
        </w:rPr>
        <w:lastRenderedPageBreak/>
        <w:t>Zählung 2 (alternative rabbinische Tradition):</w:t>
      </w:r>
    </w:p>
    <w:p w14:paraId="1024CF45"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Statt der Manna-Rebellionen (4+5) werden gezählt:</w:t>
      </w:r>
    </w:p>
    <w:p w14:paraId="6F3054EB" w14:textId="77777777" w:rsidR="00D20C83" w:rsidRPr="00D20C83" w:rsidRDefault="00D20C83" w:rsidP="00077755">
      <w:pPr>
        <w:numPr>
          <w:ilvl w:val="0"/>
          <w:numId w:val="120"/>
        </w:num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Refidim</w:t>
      </w:r>
      <w:r w:rsidRPr="00D20C83">
        <w:rPr>
          <w:rFonts w:eastAsia="Times New Roman" w:cs="Times New Roman"/>
          <w:lang w:eastAsia="de-DE"/>
        </w:rPr>
        <w:t xml:space="preserve"> (Ex 17,1-7) - Wassermangel</w:t>
      </w:r>
    </w:p>
    <w:p w14:paraId="2C36A6D2" w14:textId="77777777" w:rsidR="00D20C83" w:rsidRPr="00D20C83" w:rsidRDefault="00D20C83" w:rsidP="00077755">
      <w:pPr>
        <w:numPr>
          <w:ilvl w:val="0"/>
          <w:numId w:val="120"/>
        </w:num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Sinai-Ungeduld</w:t>
      </w:r>
      <w:r w:rsidRPr="00D20C83">
        <w:rPr>
          <w:rFonts w:eastAsia="Times New Roman" w:cs="Times New Roman"/>
          <w:lang w:eastAsia="de-DE"/>
        </w:rPr>
        <w:t xml:space="preserve"> (Ex 32) - während Mose auf dem Berg war</w:t>
      </w:r>
    </w:p>
    <w:p w14:paraId="47AA8C0C"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Theologische Bedeutung:</w:t>
      </w:r>
    </w:p>
    <w:p w14:paraId="74CB8651"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1. Zehn = Vollzahl:</w:t>
      </w:r>
    </w:p>
    <w:p w14:paraId="3EECC916" w14:textId="77777777" w:rsidR="00D20C83" w:rsidRPr="00D20C83" w:rsidRDefault="00D20C83" w:rsidP="00077755">
      <w:pPr>
        <w:numPr>
          <w:ilvl w:val="0"/>
          <w:numId w:val="121"/>
        </w:numPr>
        <w:spacing w:before="100" w:beforeAutospacing="1" w:after="100" w:afterAutospacing="1" w:line="240" w:lineRule="auto"/>
        <w:rPr>
          <w:rFonts w:eastAsia="Times New Roman" w:cs="Times New Roman"/>
          <w:lang w:eastAsia="de-DE"/>
        </w:rPr>
      </w:pPr>
      <w:r w:rsidRPr="00D20C83">
        <w:rPr>
          <w:rFonts w:eastAsia="Times New Roman" w:cs="Times New Roman"/>
          <w:b/>
          <w:bCs/>
          <w:rtl/>
          <w:lang w:eastAsia="de-DE"/>
        </w:rPr>
        <w:t>עֶשֶׂר</w:t>
      </w:r>
      <w:r w:rsidRPr="00D20C83">
        <w:rPr>
          <w:rFonts w:eastAsia="Times New Roman" w:cs="Times New Roman"/>
          <w:rtl/>
          <w:lang w:eastAsia="de-DE"/>
        </w:rPr>
        <w:t xml:space="preserve"> </w:t>
      </w:r>
      <w:r w:rsidRPr="00D20C83">
        <w:rPr>
          <w:rFonts w:eastAsia="Times New Roman" w:cs="Times New Roman"/>
          <w:lang w:eastAsia="de-DE"/>
        </w:rPr>
        <w:t xml:space="preserve">(zehn) symbolisiert </w:t>
      </w:r>
      <w:r w:rsidRPr="00D20C83">
        <w:rPr>
          <w:rFonts w:eastAsia="Times New Roman" w:cs="Times New Roman"/>
          <w:b/>
          <w:bCs/>
          <w:lang w:eastAsia="de-DE"/>
        </w:rPr>
        <w:t>Vollständigkeit</w:t>
      </w:r>
      <w:r w:rsidRPr="00D20C83">
        <w:rPr>
          <w:rFonts w:eastAsia="Times New Roman" w:cs="Times New Roman"/>
          <w:lang w:eastAsia="de-DE"/>
        </w:rPr>
        <w:t xml:space="preserve"> im Hebräischen</w:t>
      </w:r>
    </w:p>
    <w:p w14:paraId="1CEB2DFB" w14:textId="77777777" w:rsidR="00D20C83" w:rsidRPr="00D20C83" w:rsidRDefault="00D20C83" w:rsidP="00077755">
      <w:pPr>
        <w:numPr>
          <w:ilvl w:val="0"/>
          <w:numId w:val="121"/>
        </w:num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 xml:space="preserve">Wie die </w:t>
      </w:r>
      <w:r w:rsidRPr="00D20C83">
        <w:rPr>
          <w:rFonts w:eastAsia="Times New Roman" w:cs="Times New Roman"/>
          <w:b/>
          <w:bCs/>
          <w:lang w:eastAsia="de-DE"/>
        </w:rPr>
        <w:t>10 Plagen</w:t>
      </w:r>
      <w:r w:rsidRPr="00D20C83">
        <w:rPr>
          <w:rFonts w:eastAsia="Times New Roman" w:cs="Times New Roman"/>
          <w:lang w:eastAsia="de-DE"/>
        </w:rPr>
        <w:t xml:space="preserve"> in Ägypten, so sind die </w:t>
      </w:r>
      <w:r w:rsidRPr="00D20C83">
        <w:rPr>
          <w:rFonts w:eastAsia="Times New Roman" w:cs="Times New Roman"/>
          <w:b/>
          <w:bCs/>
          <w:lang w:eastAsia="de-DE"/>
        </w:rPr>
        <w:t>10 Rebellionen</w:t>
      </w:r>
      <w:r w:rsidRPr="00D20C83">
        <w:rPr>
          <w:rFonts w:eastAsia="Times New Roman" w:cs="Times New Roman"/>
          <w:lang w:eastAsia="de-DE"/>
        </w:rPr>
        <w:t xml:space="preserve"> eine vollständige Serie</w:t>
      </w:r>
    </w:p>
    <w:p w14:paraId="054FB99F" w14:textId="77777777" w:rsidR="00D20C83" w:rsidRPr="00D20C83" w:rsidRDefault="00D20C83" w:rsidP="00077755">
      <w:pPr>
        <w:numPr>
          <w:ilvl w:val="0"/>
          <w:numId w:val="121"/>
        </w:num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 xml:space="preserve">Nach </w:t>
      </w:r>
      <w:r w:rsidRPr="00D20C83">
        <w:rPr>
          <w:rFonts w:eastAsia="Times New Roman" w:cs="Times New Roman"/>
          <w:b/>
          <w:bCs/>
          <w:lang w:eastAsia="de-DE"/>
        </w:rPr>
        <w:t>10 Rebellionen</w:t>
      </w:r>
      <w:r w:rsidRPr="00D20C83">
        <w:rPr>
          <w:rFonts w:eastAsia="Times New Roman" w:cs="Times New Roman"/>
          <w:lang w:eastAsia="de-DE"/>
        </w:rPr>
        <w:t xml:space="preserve"> ist Gottes </w:t>
      </w:r>
      <w:r w:rsidRPr="00D20C83">
        <w:rPr>
          <w:rFonts w:eastAsia="Times New Roman" w:cs="Times New Roman"/>
          <w:b/>
          <w:bCs/>
          <w:lang w:eastAsia="de-DE"/>
        </w:rPr>
        <w:t>Geduld erschöpft</w:t>
      </w:r>
    </w:p>
    <w:p w14:paraId="5E90CE85"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2. Muster der Rebellion:</w:t>
      </w:r>
    </w:p>
    <w:p w14:paraId="744FA246" w14:textId="77777777" w:rsidR="00D20C83" w:rsidRPr="00D20C83" w:rsidRDefault="00D20C83" w:rsidP="00077755">
      <w:pPr>
        <w:numPr>
          <w:ilvl w:val="0"/>
          <w:numId w:val="122"/>
        </w:num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Jede Herausforderung</w:t>
      </w:r>
      <w:r w:rsidRPr="00D20C83">
        <w:rPr>
          <w:rFonts w:eastAsia="Times New Roman" w:cs="Times New Roman"/>
          <w:lang w:eastAsia="de-DE"/>
        </w:rPr>
        <w:t xml:space="preserve"> (Hunger, Durst, Feinde) wird als </w:t>
      </w:r>
      <w:r w:rsidRPr="00D20C83">
        <w:rPr>
          <w:rFonts w:eastAsia="Times New Roman" w:cs="Times New Roman"/>
          <w:b/>
          <w:bCs/>
          <w:lang w:eastAsia="de-DE"/>
        </w:rPr>
        <w:t>Test</w:t>
      </w:r>
      <w:r w:rsidRPr="00D20C83">
        <w:rPr>
          <w:rFonts w:eastAsia="Times New Roman" w:cs="Times New Roman"/>
          <w:lang w:eastAsia="de-DE"/>
        </w:rPr>
        <w:t xml:space="preserve"> missverstanden</w:t>
      </w:r>
    </w:p>
    <w:p w14:paraId="2E114F17" w14:textId="77777777" w:rsidR="00D20C83" w:rsidRPr="00D20C83" w:rsidRDefault="00D20C83" w:rsidP="00077755">
      <w:pPr>
        <w:numPr>
          <w:ilvl w:val="0"/>
          <w:numId w:val="122"/>
        </w:num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 xml:space="preserve">Statt </w:t>
      </w:r>
      <w:r w:rsidRPr="00D20C83">
        <w:rPr>
          <w:rFonts w:eastAsia="Times New Roman" w:cs="Times New Roman"/>
          <w:b/>
          <w:bCs/>
          <w:lang w:eastAsia="de-DE"/>
        </w:rPr>
        <w:t>Vertrauen</w:t>
      </w:r>
      <w:r w:rsidRPr="00D20C83">
        <w:rPr>
          <w:rFonts w:eastAsia="Times New Roman" w:cs="Times New Roman"/>
          <w:lang w:eastAsia="de-DE"/>
        </w:rPr>
        <w:t xml:space="preserve"> kommt </w:t>
      </w:r>
      <w:r w:rsidRPr="00D20C83">
        <w:rPr>
          <w:rFonts w:eastAsia="Times New Roman" w:cs="Times New Roman"/>
          <w:b/>
          <w:bCs/>
          <w:lang w:eastAsia="de-DE"/>
        </w:rPr>
        <w:t>Murren</w:t>
      </w:r>
    </w:p>
    <w:p w14:paraId="69140257" w14:textId="77777777" w:rsidR="00D20C83" w:rsidRPr="00D20C83" w:rsidRDefault="00D20C83" w:rsidP="00077755">
      <w:pPr>
        <w:numPr>
          <w:ilvl w:val="0"/>
          <w:numId w:val="122"/>
        </w:num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 xml:space="preserve">Trotz </w:t>
      </w:r>
      <w:r w:rsidRPr="00D20C83">
        <w:rPr>
          <w:rFonts w:eastAsia="Times New Roman" w:cs="Times New Roman"/>
          <w:b/>
          <w:bCs/>
          <w:lang w:eastAsia="de-DE"/>
        </w:rPr>
        <w:t>Wunder</w:t>
      </w:r>
      <w:r w:rsidRPr="00D20C83">
        <w:rPr>
          <w:rFonts w:eastAsia="Times New Roman" w:cs="Times New Roman"/>
          <w:lang w:eastAsia="de-DE"/>
        </w:rPr>
        <w:t xml:space="preserve"> (Manna, Wasser aus Felsen, Sieg über Amalek) kein </w:t>
      </w:r>
      <w:r w:rsidRPr="00D20C83">
        <w:rPr>
          <w:rFonts w:eastAsia="Times New Roman" w:cs="Times New Roman"/>
          <w:b/>
          <w:bCs/>
          <w:lang w:eastAsia="de-DE"/>
        </w:rPr>
        <w:t>Glaube</w:t>
      </w:r>
    </w:p>
    <w:p w14:paraId="3FAAAD68"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3. Eskalation:</w:t>
      </w:r>
    </w:p>
    <w:p w14:paraId="11CB348B" w14:textId="77777777" w:rsidR="00D20C83" w:rsidRPr="00D20C83" w:rsidRDefault="00D20C83" w:rsidP="00077755">
      <w:pPr>
        <w:numPr>
          <w:ilvl w:val="0"/>
          <w:numId w:val="123"/>
        </w:num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1-3:</w:t>
      </w:r>
      <w:r w:rsidRPr="00D20C83">
        <w:rPr>
          <w:rFonts w:eastAsia="Times New Roman" w:cs="Times New Roman"/>
          <w:lang w:eastAsia="de-DE"/>
        </w:rPr>
        <w:t xml:space="preserve"> Überlebensfragen (Wasser, Essen)</w:t>
      </w:r>
    </w:p>
    <w:p w14:paraId="3BAB7018" w14:textId="77777777" w:rsidR="00D20C83" w:rsidRPr="00D20C83" w:rsidRDefault="00D20C83" w:rsidP="00077755">
      <w:pPr>
        <w:numPr>
          <w:ilvl w:val="0"/>
          <w:numId w:val="123"/>
        </w:num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4-6:</w:t>
      </w:r>
      <w:r w:rsidRPr="00D20C83">
        <w:rPr>
          <w:rFonts w:eastAsia="Times New Roman" w:cs="Times New Roman"/>
          <w:lang w:eastAsia="de-DE"/>
        </w:rPr>
        <w:t xml:space="preserve"> Gehorsamsfragen (Manna-Regeln)</w:t>
      </w:r>
    </w:p>
    <w:p w14:paraId="3AF81A04" w14:textId="77777777" w:rsidR="00D20C83" w:rsidRPr="00D20C83" w:rsidRDefault="00D20C83" w:rsidP="00077755">
      <w:pPr>
        <w:numPr>
          <w:ilvl w:val="0"/>
          <w:numId w:val="123"/>
        </w:num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7:</w:t>
      </w:r>
      <w:r w:rsidRPr="00D20C83">
        <w:rPr>
          <w:rFonts w:eastAsia="Times New Roman" w:cs="Times New Roman"/>
          <w:lang w:eastAsia="de-DE"/>
        </w:rPr>
        <w:t xml:space="preserve"> Theologische Rebellion (Goldenes Kalb)</w:t>
      </w:r>
    </w:p>
    <w:p w14:paraId="5B0AE85D" w14:textId="77777777" w:rsidR="00D20C83" w:rsidRPr="00D20C83" w:rsidRDefault="00D20C83" w:rsidP="00077755">
      <w:pPr>
        <w:numPr>
          <w:ilvl w:val="0"/>
          <w:numId w:val="123"/>
        </w:num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8-10:</w:t>
      </w:r>
      <w:r w:rsidRPr="00D20C83">
        <w:rPr>
          <w:rFonts w:eastAsia="Times New Roman" w:cs="Times New Roman"/>
          <w:lang w:eastAsia="de-DE"/>
        </w:rPr>
        <w:t xml:space="preserve"> Wiederholung der Muster + </w:t>
      </w:r>
      <w:r w:rsidRPr="00D20C83">
        <w:rPr>
          <w:rFonts w:eastAsia="Times New Roman" w:cs="Times New Roman"/>
          <w:b/>
          <w:bCs/>
          <w:lang w:eastAsia="de-DE"/>
        </w:rPr>
        <w:t>Ablehnung des verheißenen Landes</w:t>
      </w:r>
    </w:p>
    <w:p w14:paraId="4C811A9D"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4. Kontrast zu Abraham:</w:t>
      </w:r>
    </w:p>
    <w:p w14:paraId="0FE6E948" w14:textId="77777777" w:rsidR="00D20C83" w:rsidRPr="00D20C83" w:rsidRDefault="00D20C83" w:rsidP="00077755">
      <w:pPr>
        <w:numPr>
          <w:ilvl w:val="0"/>
          <w:numId w:val="124"/>
        </w:num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Gen 15,6:</w:t>
      </w:r>
      <w:r w:rsidRPr="00D20C83">
        <w:rPr>
          <w:rFonts w:eastAsia="Times New Roman" w:cs="Times New Roman"/>
          <w:lang w:eastAsia="de-DE"/>
        </w:rPr>
        <w:t xml:space="preserve"> </w:t>
      </w:r>
      <w:r w:rsidRPr="00D20C83">
        <w:rPr>
          <w:rFonts w:eastAsia="Times New Roman" w:cs="Times New Roman"/>
          <w:rtl/>
          <w:lang w:eastAsia="de-DE"/>
        </w:rPr>
        <w:t>וְהֶאֱמִן בַּיהוָה</w:t>
      </w:r>
      <w:r w:rsidRPr="00D20C83">
        <w:rPr>
          <w:rFonts w:eastAsia="Times New Roman" w:cs="Times New Roman"/>
          <w:lang w:eastAsia="de-DE"/>
        </w:rPr>
        <w:t xml:space="preserve"> ("und er glaubte an JHWH")</w:t>
      </w:r>
    </w:p>
    <w:p w14:paraId="28902661" w14:textId="77777777" w:rsidR="00D20C83" w:rsidRPr="00D20C83" w:rsidRDefault="00D20C83" w:rsidP="00077755">
      <w:pPr>
        <w:numPr>
          <w:ilvl w:val="0"/>
          <w:numId w:val="124"/>
        </w:num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Num 14,11:</w:t>
      </w:r>
      <w:r w:rsidRPr="00D20C83">
        <w:rPr>
          <w:rFonts w:eastAsia="Times New Roman" w:cs="Times New Roman"/>
          <w:lang w:eastAsia="de-DE"/>
        </w:rPr>
        <w:t xml:space="preserve"> </w:t>
      </w:r>
      <w:r w:rsidRPr="00D20C83">
        <w:rPr>
          <w:rFonts w:eastAsia="Times New Roman" w:cs="Times New Roman"/>
          <w:rtl/>
          <w:lang w:eastAsia="de-DE"/>
        </w:rPr>
        <w:t>לֹא־יַאֲמִינוּ בִי</w:t>
      </w:r>
      <w:r w:rsidRPr="00D20C83">
        <w:rPr>
          <w:rFonts w:eastAsia="Times New Roman" w:cs="Times New Roman"/>
          <w:lang w:eastAsia="de-DE"/>
        </w:rPr>
        <w:t xml:space="preserve"> ("sie glauben mir nicht")</w:t>
      </w:r>
    </w:p>
    <w:p w14:paraId="3D1D2C0F" w14:textId="77777777" w:rsidR="00D20C83" w:rsidRPr="00D20C83" w:rsidRDefault="00D20C83" w:rsidP="00077755">
      <w:pPr>
        <w:numPr>
          <w:ilvl w:val="0"/>
          <w:numId w:val="124"/>
        </w:num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 xml:space="preserve">Abraham: </w:t>
      </w:r>
      <w:r w:rsidRPr="00D20C83">
        <w:rPr>
          <w:rFonts w:eastAsia="Times New Roman" w:cs="Times New Roman"/>
          <w:b/>
          <w:bCs/>
          <w:lang w:eastAsia="de-DE"/>
        </w:rPr>
        <w:t>1 Verheißung</w:t>
      </w:r>
      <w:r w:rsidRPr="00D20C83">
        <w:rPr>
          <w:rFonts w:eastAsia="Times New Roman" w:cs="Times New Roman"/>
          <w:lang w:eastAsia="de-DE"/>
        </w:rPr>
        <w:t xml:space="preserve"> → </w:t>
      </w:r>
      <w:r w:rsidRPr="00D20C83">
        <w:rPr>
          <w:rFonts w:eastAsia="Times New Roman" w:cs="Times New Roman"/>
          <w:b/>
          <w:bCs/>
          <w:lang w:eastAsia="de-DE"/>
        </w:rPr>
        <w:t>Glaube</w:t>
      </w:r>
    </w:p>
    <w:p w14:paraId="2330069B" w14:textId="77777777" w:rsidR="00D20C83" w:rsidRPr="00D20C83" w:rsidRDefault="00D20C83" w:rsidP="00077755">
      <w:pPr>
        <w:numPr>
          <w:ilvl w:val="0"/>
          <w:numId w:val="124"/>
        </w:num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 xml:space="preserve">Israel: </w:t>
      </w:r>
      <w:r w:rsidRPr="00D20C83">
        <w:rPr>
          <w:rFonts w:eastAsia="Times New Roman" w:cs="Times New Roman"/>
          <w:b/>
          <w:bCs/>
          <w:lang w:eastAsia="de-DE"/>
        </w:rPr>
        <w:t>10 Wunder</w:t>
      </w:r>
      <w:r w:rsidRPr="00D20C83">
        <w:rPr>
          <w:rFonts w:eastAsia="Times New Roman" w:cs="Times New Roman"/>
          <w:lang w:eastAsia="de-DE"/>
        </w:rPr>
        <w:t xml:space="preserve"> → </w:t>
      </w:r>
      <w:r w:rsidRPr="00D20C83">
        <w:rPr>
          <w:rFonts w:eastAsia="Times New Roman" w:cs="Times New Roman"/>
          <w:b/>
          <w:bCs/>
          <w:lang w:eastAsia="de-DE"/>
        </w:rPr>
        <w:t>Unglaube</w:t>
      </w:r>
    </w:p>
    <w:p w14:paraId="047A22E8" w14:textId="77777777" w:rsidR="00D20C83" w:rsidRPr="00D20C8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b/>
          <w:bCs/>
          <w:lang w:eastAsia="de-DE"/>
        </w:rPr>
        <w:t>Fazit:</w:t>
      </w:r>
    </w:p>
    <w:p w14:paraId="4424CC90" w14:textId="1A735D8D" w:rsidR="00D20C83" w:rsidRPr="00C22013" w:rsidRDefault="00D20C83" w:rsidP="00D20C83">
      <w:pPr>
        <w:spacing w:before="100" w:beforeAutospacing="1" w:after="100" w:afterAutospacing="1" w:line="240" w:lineRule="auto"/>
        <w:rPr>
          <w:rFonts w:eastAsia="Times New Roman" w:cs="Times New Roman"/>
          <w:lang w:eastAsia="de-DE"/>
        </w:rPr>
      </w:pPr>
      <w:r w:rsidRPr="00D20C83">
        <w:rPr>
          <w:rFonts w:eastAsia="Times New Roman" w:cs="Times New Roman"/>
          <w:lang w:eastAsia="de-DE"/>
        </w:rPr>
        <w:t xml:space="preserve">Die "zehn" Rebellionen sind </w:t>
      </w:r>
      <w:r w:rsidRPr="00D20C83">
        <w:rPr>
          <w:rFonts w:eastAsia="Times New Roman" w:cs="Times New Roman"/>
          <w:b/>
          <w:bCs/>
          <w:lang w:eastAsia="de-DE"/>
        </w:rPr>
        <w:t>nicht nur arithmetisch</w:t>
      </w:r>
      <w:r w:rsidRPr="00D20C83">
        <w:rPr>
          <w:rFonts w:eastAsia="Times New Roman" w:cs="Times New Roman"/>
          <w:lang w:eastAsia="de-DE"/>
        </w:rPr>
        <w:t xml:space="preserve">, sondern </w:t>
      </w:r>
      <w:r w:rsidRPr="00D20C83">
        <w:rPr>
          <w:rFonts w:eastAsia="Times New Roman" w:cs="Times New Roman"/>
          <w:b/>
          <w:bCs/>
          <w:lang w:eastAsia="de-DE"/>
        </w:rPr>
        <w:t>symbolisch</w:t>
      </w:r>
      <w:r w:rsidRPr="00D20C83">
        <w:rPr>
          <w:rFonts w:eastAsia="Times New Roman" w:cs="Times New Roman"/>
          <w:lang w:eastAsia="de-DE"/>
        </w:rPr>
        <w:t xml:space="preserve">: Sie repräsentieren die </w:t>
      </w:r>
      <w:r w:rsidRPr="00D20C83">
        <w:rPr>
          <w:rFonts w:eastAsia="Times New Roman" w:cs="Times New Roman"/>
          <w:b/>
          <w:bCs/>
          <w:lang w:eastAsia="de-DE"/>
        </w:rPr>
        <w:t>vollständige</w:t>
      </w:r>
      <w:r w:rsidRPr="00D20C83">
        <w:rPr>
          <w:rFonts w:eastAsia="Times New Roman" w:cs="Times New Roman"/>
          <w:lang w:eastAsia="de-DE"/>
        </w:rPr>
        <w:t xml:space="preserve"> und </w:t>
      </w:r>
      <w:r w:rsidRPr="00D20C83">
        <w:rPr>
          <w:rFonts w:eastAsia="Times New Roman" w:cs="Times New Roman"/>
          <w:b/>
          <w:bCs/>
          <w:lang w:eastAsia="de-DE"/>
        </w:rPr>
        <w:t>wiederholte</w:t>
      </w:r>
      <w:r w:rsidRPr="00D20C83">
        <w:rPr>
          <w:rFonts w:eastAsia="Times New Roman" w:cs="Times New Roman"/>
          <w:lang w:eastAsia="de-DE"/>
        </w:rPr>
        <w:t xml:space="preserve"> Ablehnung göttlicher Führung trotz </w:t>
      </w:r>
      <w:r w:rsidRPr="00D20C83">
        <w:rPr>
          <w:rFonts w:eastAsia="Times New Roman" w:cs="Times New Roman"/>
          <w:b/>
          <w:bCs/>
          <w:lang w:eastAsia="de-DE"/>
        </w:rPr>
        <w:t>überwältigender Beweise</w:t>
      </w:r>
      <w:r w:rsidRPr="00D20C83">
        <w:rPr>
          <w:rFonts w:eastAsia="Times New Roman" w:cs="Times New Roman"/>
          <w:lang w:eastAsia="de-DE"/>
        </w:rPr>
        <w:t>. Nach zehnmaliger Erprobung ist Gottes Geduld erschöpft.</w:t>
      </w:r>
    </w:p>
    <w:p w14:paraId="7BEA0B9B"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14,23</w:t>
      </w:r>
    </w:p>
    <w:p w14:paraId="5CCC36F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אִם־יִרְאוּ֙ אֶת־הָאָ֔רֶץ אֲשֶׁ֥ר נִשְׁבַּ֖עְתִּי לַאֲבֹתָ֑ם וְכָל־מְנַאֲצַ֖י לֹ֥א יִרְאֽוּהָ׃</w:t>
      </w:r>
    </w:p>
    <w:p w14:paraId="21656CB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Werden das Land nicht sehen, das ich ihren Vätern zugeschworen habe; und alle, die mich verworfen haben, sollen es nicht sehen.</w:t>
      </w:r>
    </w:p>
    <w:p w14:paraId="4B093B51"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6D7A0400">
          <v:rect id="_x0000_i1475" style="width:0;height:1.5pt" o:hralign="center" o:hrstd="t" o:hr="t" fillcolor="#a0a0a0" stroked="f"/>
        </w:pict>
      </w:r>
    </w:p>
    <w:p w14:paraId="3C35762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Kommentar:</w:t>
      </w:r>
      <w:r w:rsidRPr="00C22013">
        <w:rPr>
          <w:rFonts w:eastAsia="Times New Roman" w:cs="Times New Roman"/>
          <w:lang w:eastAsia="de-DE"/>
        </w:rPr>
        <w:t xml:space="preserve"> Die negative Schwurformel </w:t>
      </w:r>
      <w:r w:rsidRPr="00C22013">
        <w:rPr>
          <w:rFonts w:eastAsia="Times New Roman" w:cs="Times New Roman"/>
          <w:b/>
          <w:bCs/>
          <w:rtl/>
          <w:lang w:eastAsia="de-DE"/>
        </w:rPr>
        <w:t>אִם־יִרְאוּ֙ אֶת־הָאָ֔רֶץ אֲשֶׁ֥ר נִשְׁבַּ֖עְתִּי לַאֲבֹתָ֑ם</w:t>
      </w:r>
      <w:r w:rsidRPr="00C22013">
        <w:rPr>
          <w:rFonts w:eastAsia="Times New Roman" w:cs="Times New Roman"/>
          <w:rtl/>
          <w:lang w:eastAsia="de-DE"/>
        </w:rPr>
        <w:t xml:space="preserve"> </w:t>
      </w:r>
      <w:r w:rsidRPr="00C22013">
        <w:rPr>
          <w:rFonts w:eastAsia="Times New Roman" w:cs="Times New Roman"/>
          <w:lang w:eastAsia="de-DE"/>
        </w:rPr>
        <w:t xml:space="preserve">(wenn sie das Land sehen werden, das ich ihren Vätern zugeschworen habe) mit </w:t>
      </w:r>
      <w:r w:rsidRPr="00C22013">
        <w:rPr>
          <w:rFonts w:eastAsia="Times New Roman" w:cs="Times New Roman"/>
          <w:b/>
          <w:bCs/>
          <w:rtl/>
          <w:lang w:eastAsia="de-DE"/>
        </w:rPr>
        <w:t>אִם־יִרְאוּ</w:t>
      </w:r>
      <w:r w:rsidRPr="00C22013">
        <w:rPr>
          <w:rFonts w:eastAsia="Times New Roman" w:cs="Times New Roman"/>
          <w:rtl/>
          <w:lang w:eastAsia="de-DE"/>
        </w:rPr>
        <w:t xml:space="preserve"> </w:t>
      </w:r>
      <w:r w:rsidRPr="00C22013">
        <w:rPr>
          <w:rFonts w:eastAsia="Times New Roman" w:cs="Times New Roman"/>
          <w:lang w:eastAsia="de-DE"/>
        </w:rPr>
        <w:t xml:space="preserve">als negative Schwurformel (sie werden definitiv nicht sehen), </w:t>
      </w:r>
      <w:r w:rsidRPr="00C22013">
        <w:rPr>
          <w:rFonts w:eastAsia="Times New Roman" w:cs="Times New Roman"/>
          <w:b/>
          <w:bCs/>
          <w:rtl/>
          <w:lang w:eastAsia="de-DE"/>
        </w:rPr>
        <w:t>הָאָרֶץ</w:t>
      </w:r>
      <w:r w:rsidRPr="00C22013">
        <w:rPr>
          <w:rFonts w:eastAsia="Times New Roman" w:cs="Times New Roman"/>
          <w:rtl/>
          <w:lang w:eastAsia="de-DE"/>
        </w:rPr>
        <w:t xml:space="preserve"> </w:t>
      </w:r>
      <w:r w:rsidRPr="00C22013">
        <w:rPr>
          <w:rFonts w:eastAsia="Times New Roman" w:cs="Times New Roman"/>
          <w:lang w:eastAsia="de-DE"/>
        </w:rPr>
        <w:t xml:space="preserve">(das Land), </w:t>
      </w:r>
      <w:r w:rsidRPr="00C22013">
        <w:rPr>
          <w:rFonts w:eastAsia="Times New Roman" w:cs="Times New Roman"/>
          <w:b/>
          <w:bCs/>
          <w:rtl/>
          <w:lang w:eastAsia="de-DE"/>
        </w:rPr>
        <w:t>נִשְׁבַּעְתִּי</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שבע</w:t>
      </w:r>
      <w:r w:rsidRPr="00C22013">
        <w:rPr>
          <w:rFonts w:eastAsia="Times New Roman" w:cs="Times New Roman"/>
          <w:rtl/>
          <w:lang w:eastAsia="de-DE"/>
        </w:rPr>
        <w:t xml:space="preserve"> </w:t>
      </w:r>
      <w:r w:rsidRPr="00C22013">
        <w:rPr>
          <w:rFonts w:eastAsia="Times New Roman" w:cs="Times New Roman"/>
          <w:lang w:eastAsia="de-DE"/>
        </w:rPr>
        <w:t xml:space="preserve">(schwören) im Niph'al-Perfekt 1. Person Singular und </w:t>
      </w:r>
      <w:r w:rsidRPr="00C22013">
        <w:rPr>
          <w:rFonts w:eastAsia="Times New Roman" w:cs="Times New Roman"/>
          <w:b/>
          <w:bCs/>
          <w:rtl/>
          <w:lang w:eastAsia="de-DE"/>
        </w:rPr>
        <w:t>לַאֲבֹתָם</w:t>
      </w:r>
      <w:r w:rsidRPr="00C22013">
        <w:rPr>
          <w:rFonts w:eastAsia="Times New Roman" w:cs="Times New Roman"/>
          <w:rtl/>
          <w:lang w:eastAsia="de-DE"/>
        </w:rPr>
        <w:t xml:space="preserve"> </w:t>
      </w:r>
      <w:r w:rsidRPr="00C22013">
        <w:rPr>
          <w:rFonts w:eastAsia="Times New Roman" w:cs="Times New Roman"/>
          <w:lang w:eastAsia="de-DE"/>
        </w:rPr>
        <w:t>(ihren Vätern) zeigt den Ausschluss von der Landverheißung.</w:t>
      </w:r>
    </w:p>
    <w:p w14:paraId="6A02AD4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Verstärkung </w:t>
      </w:r>
      <w:r w:rsidRPr="00C22013">
        <w:rPr>
          <w:rFonts w:eastAsia="Times New Roman" w:cs="Times New Roman"/>
          <w:b/>
          <w:bCs/>
          <w:rtl/>
          <w:lang w:eastAsia="de-DE"/>
        </w:rPr>
        <w:t>וְכָל־מְנַאֲצַ֖י לֹ֥א יִרְאֽוּהָ</w:t>
      </w:r>
      <w:r w:rsidRPr="00C22013">
        <w:rPr>
          <w:rFonts w:eastAsia="Times New Roman" w:cs="Times New Roman"/>
          <w:rtl/>
          <w:lang w:eastAsia="de-DE"/>
        </w:rPr>
        <w:t xml:space="preserve"> </w:t>
      </w:r>
      <w:r w:rsidRPr="00C22013">
        <w:rPr>
          <w:rFonts w:eastAsia="Times New Roman" w:cs="Times New Roman"/>
          <w:lang w:eastAsia="de-DE"/>
        </w:rPr>
        <w:t xml:space="preserve">(und alle, die mich verworfen haben, sollen es nicht sehen) mit </w:t>
      </w:r>
      <w:r w:rsidRPr="00C22013">
        <w:rPr>
          <w:rFonts w:eastAsia="Times New Roman" w:cs="Times New Roman"/>
          <w:b/>
          <w:bCs/>
          <w:rtl/>
          <w:lang w:eastAsia="de-DE"/>
        </w:rPr>
        <w:t>כָל־מְנַאֲצַי</w:t>
      </w:r>
      <w:r w:rsidRPr="00C22013">
        <w:rPr>
          <w:rFonts w:eastAsia="Times New Roman" w:cs="Times New Roman"/>
          <w:rtl/>
          <w:lang w:eastAsia="de-DE"/>
        </w:rPr>
        <w:t xml:space="preserve"> </w:t>
      </w:r>
      <w:r w:rsidRPr="00C22013">
        <w:rPr>
          <w:rFonts w:eastAsia="Times New Roman" w:cs="Times New Roman"/>
          <w:lang w:eastAsia="de-DE"/>
        </w:rPr>
        <w:t xml:space="preserve">(alle, die mich verachten) von </w:t>
      </w:r>
      <w:r w:rsidRPr="00C22013">
        <w:rPr>
          <w:rFonts w:eastAsia="Times New Roman" w:cs="Times New Roman"/>
          <w:b/>
          <w:bCs/>
          <w:rtl/>
          <w:lang w:eastAsia="de-DE"/>
        </w:rPr>
        <w:t>נאץ</w:t>
      </w:r>
      <w:r w:rsidRPr="00C22013">
        <w:rPr>
          <w:rFonts w:eastAsia="Times New Roman" w:cs="Times New Roman"/>
          <w:rtl/>
          <w:lang w:eastAsia="de-DE"/>
        </w:rPr>
        <w:t xml:space="preserve"> </w:t>
      </w:r>
      <w:r w:rsidRPr="00C22013">
        <w:rPr>
          <w:rFonts w:eastAsia="Times New Roman" w:cs="Times New Roman"/>
          <w:lang w:eastAsia="de-DE"/>
        </w:rPr>
        <w:t xml:space="preserve">(verachten) im Pi'el-Partizip Plural mit Possessivsuffix 1. Person Singular und </w:t>
      </w:r>
      <w:r w:rsidRPr="00C22013">
        <w:rPr>
          <w:rFonts w:eastAsia="Times New Roman" w:cs="Times New Roman"/>
          <w:b/>
          <w:bCs/>
          <w:rtl/>
          <w:lang w:eastAsia="de-DE"/>
        </w:rPr>
        <w:t>לֹא יִרְאוּהָ</w:t>
      </w:r>
      <w:r w:rsidRPr="00C22013">
        <w:rPr>
          <w:rFonts w:eastAsia="Times New Roman" w:cs="Times New Roman"/>
          <w:rtl/>
          <w:lang w:eastAsia="de-DE"/>
        </w:rPr>
        <w:t xml:space="preserve"> </w:t>
      </w:r>
      <w:r w:rsidRPr="00C22013">
        <w:rPr>
          <w:rFonts w:eastAsia="Times New Roman" w:cs="Times New Roman"/>
          <w:lang w:eastAsia="de-DE"/>
        </w:rPr>
        <w:t>(sie sollen es nicht sehen) verstärkt das Urteil über alle Verächter.</w:t>
      </w:r>
    </w:p>
    <w:p w14:paraId="03BF5BD6" w14:textId="568035AE"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184967">
        <w:t>ügt einen längeren Einschub ein, der im Hebräischen fehlt: „ἀλλʼ ἢ τὰ τέκνα αὐτῶν, ἅ ἐστιν μετʼ ἐμοῦ ὧδε, ὅσοι οὐκ οἴδασιν ἀγαθὸν οὐδὲ κακόν, πᾶς νεώτερος ἄπειρος, τούτοις δώσω τὴν γῆν" (sondern ihre Kinder, die hier bei mir sind, die Gutes und Böses nicht kennen, jeder jüngere Unerfahrene, ihnen werde ich das Land geben). Diese Ausführung fehlt im MT an dieser Stelle.</w:t>
      </w:r>
    </w:p>
    <w:p w14:paraId="5F32D3B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negative Schwurformel für Landausschluss und verstärkende Verallgemeinerung auf alle Verächter.</w:t>
      </w:r>
    </w:p>
    <w:p w14:paraId="3BF01AE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verkündet das fundamentale Urteil: die rebellische Generation wird das verheißene Land nicht sehen.</w:t>
      </w:r>
    </w:p>
    <w:p w14:paraId="05459F9D"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14,24</w:t>
      </w:r>
    </w:p>
    <w:p w14:paraId="5B08EF4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וְעַבְדִּ֣י כָלֵ֗ב עֵ֣קֶב הָֽיְתָ֞ה ר֤וּחַ אַחֶ֨רֶת֙ עִמּוֹ֔ וַיְמַלֵּ֖א אַחֲרָ֑י וַהֲבִֽיאֹתִ֗יו אֶל־הָאָ֨רֶץ֙ אֲשֶׁר־בָּ֣א שָׁ֔מָּה וְזַרְעֹ֖ו יוֹרִשֶֽׁנָּה׃</w:t>
      </w:r>
    </w:p>
    <w:p w14:paraId="00D034D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Aber meinen Knecht Kalev, weil ein anderer Geist in ihm war und er mir vollständig nachgefolgt ist, ihn will ich in das Land bringen, in das er gekommen ist, und sein Same soll es in Besitz nehmen.</w:t>
      </w:r>
    </w:p>
    <w:p w14:paraId="4E87B881"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7CF87612">
          <v:rect id="_x0000_i1476" style="width:0;height:1.5pt" o:hralign="center" o:hrstd="t" o:hr="t" fillcolor="#a0a0a0" stroked="f"/>
        </w:pict>
      </w:r>
    </w:p>
    <w:p w14:paraId="47BE00A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Ausnahme </w:t>
      </w:r>
      <w:r w:rsidRPr="00C22013">
        <w:rPr>
          <w:rFonts w:eastAsia="Times New Roman" w:cs="Times New Roman"/>
          <w:b/>
          <w:bCs/>
          <w:rtl/>
          <w:lang w:eastAsia="de-DE"/>
        </w:rPr>
        <w:t>וְעַבְדִּ֣י כָלֵ֗ב</w:t>
      </w:r>
      <w:r w:rsidRPr="00C22013">
        <w:rPr>
          <w:rFonts w:eastAsia="Times New Roman" w:cs="Times New Roman"/>
          <w:rtl/>
          <w:lang w:eastAsia="de-DE"/>
        </w:rPr>
        <w:t xml:space="preserve"> </w:t>
      </w:r>
      <w:r w:rsidRPr="00C22013">
        <w:rPr>
          <w:rFonts w:eastAsia="Times New Roman" w:cs="Times New Roman"/>
          <w:lang w:eastAsia="de-DE"/>
        </w:rPr>
        <w:t xml:space="preserve">(aber mein Knecht Kaleb) mit </w:t>
      </w:r>
      <w:r w:rsidRPr="00C22013">
        <w:rPr>
          <w:rFonts w:eastAsia="Times New Roman" w:cs="Times New Roman"/>
          <w:b/>
          <w:bCs/>
          <w:rtl/>
          <w:lang w:eastAsia="de-DE"/>
        </w:rPr>
        <w:t>עַבְדִּי</w:t>
      </w:r>
      <w:r w:rsidRPr="00C22013">
        <w:rPr>
          <w:rFonts w:eastAsia="Times New Roman" w:cs="Times New Roman"/>
          <w:rtl/>
          <w:lang w:eastAsia="de-DE"/>
        </w:rPr>
        <w:t xml:space="preserve"> </w:t>
      </w:r>
      <w:r w:rsidRPr="00C22013">
        <w:rPr>
          <w:rFonts w:eastAsia="Times New Roman" w:cs="Times New Roman"/>
          <w:lang w:eastAsia="de-DE"/>
        </w:rPr>
        <w:t xml:space="preserve">(mein Knecht) als Ehrentitel zeigt Kalebs besondere Stellung. Die Begründung </w:t>
      </w:r>
      <w:r w:rsidRPr="00C22013">
        <w:rPr>
          <w:rFonts w:eastAsia="Times New Roman" w:cs="Times New Roman"/>
          <w:b/>
          <w:bCs/>
          <w:rtl/>
          <w:lang w:eastAsia="de-DE"/>
        </w:rPr>
        <w:t>עֵ֣קֶב הָֽיְתָ֞ה ר֤וּחַ אַחֶ֨רֶת֙ עִמּוֹ֔ וַיְמַלֵּ֖א אַחֲרָ֑י</w:t>
      </w:r>
      <w:r w:rsidRPr="00C22013">
        <w:rPr>
          <w:rFonts w:eastAsia="Times New Roman" w:cs="Times New Roman"/>
          <w:rtl/>
          <w:lang w:eastAsia="de-DE"/>
        </w:rPr>
        <w:t xml:space="preserve"> </w:t>
      </w:r>
      <w:r w:rsidRPr="00C22013">
        <w:rPr>
          <w:rFonts w:eastAsia="Times New Roman" w:cs="Times New Roman"/>
          <w:lang w:eastAsia="de-DE"/>
        </w:rPr>
        <w:t xml:space="preserve">(weil ein anderer Geist mit ihm war und er mir vollständig nachfolgte) mit </w:t>
      </w:r>
      <w:r w:rsidRPr="00C22013">
        <w:rPr>
          <w:rFonts w:eastAsia="Times New Roman" w:cs="Times New Roman"/>
          <w:b/>
          <w:bCs/>
          <w:rtl/>
          <w:lang w:eastAsia="de-DE"/>
        </w:rPr>
        <w:t>עֵקֶב</w:t>
      </w:r>
      <w:r w:rsidRPr="00C22013">
        <w:rPr>
          <w:rFonts w:eastAsia="Times New Roman" w:cs="Times New Roman"/>
          <w:rtl/>
          <w:lang w:eastAsia="de-DE"/>
        </w:rPr>
        <w:t xml:space="preserve"> </w:t>
      </w:r>
      <w:r w:rsidRPr="00C22013">
        <w:rPr>
          <w:rFonts w:eastAsia="Times New Roman" w:cs="Times New Roman"/>
          <w:lang w:eastAsia="de-DE"/>
        </w:rPr>
        <w:t xml:space="preserve">(weil), </w:t>
      </w:r>
      <w:r w:rsidRPr="00C22013">
        <w:rPr>
          <w:rFonts w:eastAsia="Times New Roman" w:cs="Times New Roman"/>
          <w:b/>
          <w:bCs/>
          <w:rtl/>
          <w:lang w:eastAsia="de-DE"/>
        </w:rPr>
        <w:t>רוּחַ אַחֶרֶת</w:t>
      </w:r>
      <w:r w:rsidRPr="00C22013">
        <w:rPr>
          <w:rFonts w:eastAsia="Times New Roman" w:cs="Times New Roman"/>
          <w:rtl/>
          <w:lang w:eastAsia="de-DE"/>
        </w:rPr>
        <w:t xml:space="preserve"> </w:t>
      </w:r>
      <w:r w:rsidRPr="00C22013">
        <w:rPr>
          <w:rFonts w:eastAsia="Times New Roman" w:cs="Times New Roman"/>
          <w:lang w:eastAsia="de-DE"/>
        </w:rPr>
        <w:t xml:space="preserve">(ein anderer Geist), </w:t>
      </w:r>
      <w:r w:rsidRPr="00C22013">
        <w:rPr>
          <w:rFonts w:eastAsia="Times New Roman" w:cs="Times New Roman"/>
          <w:b/>
          <w:bCs/>
          <w:rtl/>
          <w:lang w:eastAsia="de-DE"/>
        </w:rPr>
        <w:t>הָיְתָה עִמּוֹ</w:t>
      </w:r>
      <w:r w:rsidRPr="00C22013">
        <w:rPr>
          <w:rFonts w:eastAsia="Times New Roman" w:cs="Times New Roman"/>
          <w:rtl/>
          <w:lang w:eastAsia="de-DE"/>
        </w:rPr>
        <w:t xml:space="preserve"> </w:t>
      </w:r>
      <w:r w:rsidRPr="00C22013">
        <w:rPr>
          <w:rFonts w:eastAsia="Times New Roman" w:cs="Times New Roman"/>
          <w:lang w:eastAsia="de-DE"/>
        </w:rPr>
        <w:t xml:space="preserve">(war mit ihm) und </w:t>
      </w:r>
      <w:r w:rsidRPr="00C22013">
        <w:rPr>
          <w:rFonts w:eastAsia="Times New Roman" w:cs="Times New Roman"/>
          <w:b/>
          <w:bCs/>
          <w:rtl/>
          <w:lang w:eastAsia="de-DE"/>
        </w:rPr>
        <w:t>יְמַלֵּא אַחֲרָי</w:t>
      </w:r>
      <w:r w:rsidRPr="00C22013">
        <w:rPr>
          <w:rFonts w:eastAsia="Times New Roman" w:cs="Times New Roman"/>
          <w:rtl/>
          <w:lang w:eastAsia="de-DE"/>
        </w:rPr>
        <w:t xml:space="preserve"> </w:t>
      </w:r>
      <w:r w:rsidRPr="00C22013">
        <w:rPr>
          <w:rFonts w:eastAsia="Times New Roman" w:cs="Times New Roman"/>
          <w:lang w:eastAsia="de-DE"/>
        </w:rPr>
        <w:t xml:space="preserve">(er folgte mir vollständig) von </w:t>
      </w:r>
      <w:r w:rsidRPr="00C22013">
        <w:rPr>
          <w:rFonts w:eastAsia="Times New Roman" w:cs="Times New Roman"/>
          <w:b/>
          <w:bCs/>
          <w:rtl/>
          <w:lang w:eastAsia="de-DE"/>
        </w:rPr>
        <w:t>מלא</w:t>
      </w:r>
      <w:r w:rsidRPr="00C22013">
        <w:rPr>
          <w:rFonts w:eastAsia="Times New Roman" w:cs="Times New Roman"/>
          <w:rtl/>
          <w:lang w:eastAsia="de-DE"/>
        </w:rPr>
        <w:t xml:space="preserve"> </w:t>
      </w:r>
      <w:r w:rsidRPr="00C22013">
        <w:rPr>
          <w:rFonts w:eastAsia="Times New Roman" w:cs="Times New Roman"/>
          <w:lang w:eastAsia="de-DE"/>
        </w:rPr>
        <w:t>(füllen/vollständig sein) zeigt Kalebs einzigartige Treue.</w:t>
      </w:r>
    </w:p>
    <w:p w14:paraId="5F2B2F0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Verheißung </w:t>
      </w:r>
      <w:r w:rsidRPr="00C22013">
        <w:rPr>
          <w:rFonts w:eastAsia="Times New Roman" w:cs="Times New Roman"/>
          <w:b/>
          <w:bCs/>
          <w:rtl/>
          <w:lang w:eastAsia="de-DE"/>
        </w:rPr>
        <w:t>וַהֲבִֽיאֹתִ֗יו אֶל־הָאָ֨רֶץ֙ אֲשֶׁר־בָּ֣א שָׁ֔מָּה וְזַרְעֹ֖ו יוֹרִשֶֽׁנָּה</w:t>
      </w:r>
      <w:r w:rsidRPr="00C22013">
        <w:rPr>
          <w:rFonts w:eastAsia="Times New Roman" w:cs="Times New Roman"/>
          <w:rtl/>
          <w:lang w:eastAsia="de-DE"/>
        </w:rPr>
        <w:t xml:space="preserve"> </w:t>
      </w:r>
      <w:r w:rsidRPr="00C22013">
        <w:rPr>
          <w:rFonts w:eastAsia="Times New Roman" w:cs="Times New Roman"/>
          <w:lang w:eastAsia="de-DE"/>
        </w:rPr>
        <w:t xml:space="preserve">(und ich will ihn in das Land bringen, in das er gekommen ist, und sein Same soll es in Besitz nehmen) mit </w:t>
      </w:r>
      <w:r w:rsidRPr="00C22013">
        <w:rPr>
          <w:rFonts w:eastAsia="Times New Roman" w:cs="Times New Roman"/>
          <w:b/>
          <w:bCs/>
          <w:rtl/>
          <w:lang w:eastAsia="de-DE"/>
        </w:rPr>
        <w:t>הֲבִיאֹתִיו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בוא</w:t>
      </w:r>
      <w:r w:rsidRPr="00C22013">
        <w:rPr>
          <w:rFonts w:eastAsia="Times New Roman" w:cs="Times New Roman"/>
          <w:rtl/>
          <w:lang w:eastAsia="de-DE"/>
        </w:rPr>
        <w:t xml:space="preserve"> </w:t>
      </w:r>
      <w:r w:rsidRPr="00C22013">
        <w:rPr>
          <w:rFonts w:eastAsia="Times New Roman" w:cs="Times New Roman"/>
          <w:lang w:eastAsia="de-DE"/>
        </w:rPr>
        <w:t xml:space="preserve">(bringen) im Hiph'il-Perfekt 1. Person Singular mit Waw consecutivum, </w:t>
      </w:r>
      <w:r w:rsidRPr="00C22013">
        <w:rPr>
          <w:rFonts w:eastAsia="Times New Roman" w:cs="Times New Roman"/>
          <w:b/>
          <w:bCs/>
          <w:rtl/>
          <w:lang w:eastAsia="de-DE"/>
        </w:rPr>
        <w:t>אֲשֶׁר־בָּא שָׁמָּה</w:t>
      </w:r>
      <w:r w:rsidRPr="00C22013">
        <w:rPr>
          <w:rFonts w:eastAsia="Times New Roman" w:cs="Times New Roman"/>
          <w:rtl/>
          <w:lang w:eastAsia="de-DE"/>
        </w:rPr>
        <w:t xml:space="preserve"> </w:t>
      </w:r>
      <w:r w:rsidRPr="00C22013">
        <w:rPr>
          <w:rFonts w:eastAsia="Times New Roman" w:cs="Times New Roman"/>
          <w:lang w:eastAsia="de-DE"/>
        </w:rPr>
        <w:t xml:space="preserve">(in das er gekommen ist) und </w:t>
      </w:r>
      <w:r w:rsidRPr="00C22013">
        <w:rPr>
          <w:rFonts w:eastAsia="Times New Roman" w:cs="Times New Roman"/>
          <w:b/>
          <w:bCs/>
          <w:rtl/>
          <w:lang w:eastAsia="de-DE"/>
        </w:rPr>
        <w:t>זַרְעוֹ יוֹרִישֶׁנָּה</w:t>
      </w:r>
      <w:r w:rsidRPr="00C22013">
        <w:rPr>
          <w:rFonts w:eastAsia="Times New Roman" w:cs="Times New Roman"/>
          <w:rtl/>
          <w:lang w:eastAsia="de-DE"/>
        </w:rPr>
        <w:t xml:space="preserve"> </w:t>
      </w:r>
      <w:r w:rsidRPr="00C22013">
        <w:rPr>
          <w:rFonts w:eastAsia="Times New Roman" w:cs="Times New Roman"/>
          <w:lang w:eastAsia="de-DE"/>
        </w:rPr>
        <w:t>(sein Same wird es erben) zeigt persönliche und generationelle Belohnung.</w:t>
      </w:r>
    </w:p>
    <w:p w14:paraId="16B6FF46" w14:textId="26F45AB6"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 xml:space="preserve">Die </w:t>
      </w:r>
      <w:r w:rsidR="00184967">
        <w:rPr>
          <w:rFonts w:eastAsia="Times New Roman" w:cs="Times New Roman"/>
          <w:b/>
          <w:bCs/>
          <w:lang w:eastAsia="de-DE"/>
        </w:rPr>
        <w:t xml:space="preserve">LXX </w:t>
      </w:r>
      <w:r w:rsidR="00184967">
        <w:t>verwendet „ὁ παῖς μου" (mein Diener/Kind) statt des hebräischen „</w:t>
      </w:r>
      <w:r w:rsidR="00184967" w:rsidRPr="00184967">
        <w:rPr>
          <w:b/>
          <w:bCs/>
          <w:rtl/>
        </w:rPr>
        <w:t>עַבְדִּי</w:t>
      </w:r>
      <w:r w:rsidR="00184967">
        <w:t>" (mein Knecht), was eine unterschiedliche Nuance der Beziehung ausdrückt.</w:t>
      </w:r>
    </w:p>
    <w:p w14:paraId="056BE5F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 Satzstruktur zeigt kontrastive Ausnahme, charakterliche Begründung und persönlich-generationelle Belohnung.</w:t>
      </w:r>
    </w:p>
    <w:p w14:paraId="1761FDC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hebt Kaleb als positive Ausnahme hervor und verspricht ihm sowohl persönlichen Landbesitz als auch Nachkommenschaft im Land.</w:t>
      </w:r>
    </w:p>
    <w:p w14:paraId="2551E5AF"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14,25</w:t>
      </w:r>
    </w:p>
    <w:p w14:paraId="51E51FF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וְהָֽעֲמָלֵקִ֥י וְהַֽכְּנַעֲנִ֖י יוֹשֵׁ֣ב בָּעֵ֑מֶק מָחָ֗ר פְּנ֨וּ וּסְע֥וּ לָכֶ֛ם הַמִּדְבָּ֖ר דֶּ֥רֶךְ יַם־סֽוּף׃</w:t>
      </w:r>
    </w:p>
    <w:p w14:paraId="5E09670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Aber der Amaleki und der Kena'ani wohnt in der Niederung; morgen wendet euch und brecht auf nach der Wüste, auf dem Weg zum Schilfmeer.</w:t>
      </w:r>
    </w:p>
    <w:p w14:paraId="29C27F3D"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62D69D54">
          <v:rect id="_x0000_i1477" style="width:0;height:1.5pt" o:hralign="center" o:hrstd="t" o:hr="t" fillcolor="#a0a0a0" stroked="f"/>
        </w:pict>
      </w:r>
    </w:p>
    <w:p w14:paraId="25981F2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strategische Begründung </w:t>
      </w:r>
      <w:r w:rsidRPr="00C22013">
        <w:rPr>
          <w:rFonts w:eastAsia="Times New Roman" w:cs="Times New Roman"/>
          <w:b/>
          <w:bCs/>
          <w:rtl/>
          <w:lang w:eastAsia="de-DE"/>
        </w:rPr>
        <w:t>וְהָֽעֲמָלֵקִ֥י וְהַֽכְּנַעֲנִ֖י יוֹשֵׁ֣ב בָּעֵ֑מֶק</w:t>
      </w:r>
      <w:r w:rsidRPr="00C22013">
        <w:rPr>
          <w:rFonts w:eastAsia="Times New Roman" w:cs="Times New Roman"/>
          <w:rtl/>
          <w:lang w:eastAsia="de-DE"/>
        </w:rPr>
        <w:t xml:space="preserve"> </w:t>
      </w:r>
      <w:r w:rsidRPr="00C22013">
        <w:rPr>
          <w:rFonts w:eastAsia="Times New Roman" w:cs="Times New Roman"/>
          <w:lang w:eastAsia="de-DE"/>
        </w:rPr>
        <w:t xml:space="preserve">(und der Amalekiter und der Kanaaniter wohnt im Tal) mit </w:t>
      </w:r>
      <w:r w:rsidRPr="00C22013">
        <w:rPr>
          <w:rFonts w:eastAsia="Times New Roman" w:cs="Times New Roman"/>
          <w:b/>
          <w:bCs/>
          <w:rtl/>
          <w:lang w:eastAsia="de-DE"/>
        </w:rPr>
        <w:t>יוֹשֵׁב</w:t>
      </w:r>
      <w:r w:rsidRPr="00C22013">
        <w:rPr>
          <w:rFonts w:eastAsia="Times New Roman" w:cs="Times New Roman"/>
          <w:rtl/>
          <w:lang w:eastAsia="de-DE"/>
        </w:rPr>
        <w:t xml:space="preserve"> </w:t>
      </w:r>
      <w:r w:rsidRPr="00C22013">
        <w:rPr>
          <w:rFonts w:eastAsia="Times New Roman" w:cs="Times New Roman"/>
          <w:lang w:eastAsia="de-DE"/>
        </w:rPr>
        <w:t xml:space="preserve">als Qal-Partizip von </w:t>
      </w:r>
      <w:r w:rsidRPr="00C22013">
        <w:rPr>
          <w:rFonts w:eastAsia="Times New Roman" w:cs="Times New Roman"/>
          <w:b/>
          <w:bCs/>
          <w:rtl/>
          <w:lang w:eastAsia="de-DE"/>
        </w:rPr>
        <w:t>ישב</w:t>
      </w:r>
      <w:r w:rsidRPr="00C22013">
        <w:rPr>
          <w:rFonts w:eastAsia="Times New Roman" w:cs="Times New Roman"/>
          <w:rtl/>
          <w:lang w:eastAsia="de-DE"/>
        </w:rPr>
        <w:t xml:space="preserve"> </w:t>
      </w:r>
      <w:r w:rsidRPr="00C22013">
        <w:rPr>
          <w:rFonts w:eastAsia="Times New Roman" w:cs="Times New Roman"/>
          <w:lang w:eastAsia="de-DE"/>
        </w:rPr>
        <w:t xml:space="preserve">(wohnen) und </w:t>
      </w:r>
      <w:r w:rsidRPr="00C22013">
        <w:rPr>
          <w:rFonts w:eastAsia="Times New Roman" w:cs="Times New Roman"/>
          <w:b/>
          <w:bCs/>
          <w:rtl/>
          <w:lang w:eastAsia="de-DE"/>
        </w:rPr>
        <w:t>בָּעֵמֶק</w:t>
      </w:r>
      <w:r w:rsidRPr="00C22013">
        <w:rPr>
          <w:rFonts w:eastAsia="Times New Roman" w:cs="Times New Roman"/>
          <w:rtl/>
          <w:lang w:eastAsia="de-DE"/>
        </w:rPr>
        <w:t xml:space="preserve"> </w:t>
      </w:r>
      <w:r w:rsidRPr="00C22013">
        <w:rPr>
          <w:rFonts w:eastAsia="Times New Roman" w:cs="Times New Roman"/>
          <w:lang w:eastAsia="de-DE"/>
        </w:rPr>
        <w:t>(im Tal) zeigt die Besetzung der direkten Route ins Land durch feindliche Völker.</w:t>
      </w:r>
    </w:p>
    <w:p w14:paraId="57EEF1E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Anweisung </w:t>
      </w:r>
      <w:r w:rsidRPr="00C22013">
        <w:rPr>
          <w:rFonts w:eastAsia="Times New Roman" w:cs="Times New Roman"/>
          <w:b/>
          <w:bCs/>
          <w:rtl/>
          <w:lang w:eastAsia="de-DE"/>
        </w:rPr>
        <w:t>מָחָ֗ר פְּנ֨וּ וּסְע֥וּ לָכֶ֛ם הַמִּדְבָּ֖ר דֶּ֥רֶךְ יַם־סֽוּף</w:t>
      </w:r>
      <w:r w:rsidRPr="00C22013">
        <w:rPr>
          <w:rFonts w:eastAsia="Times New Roman" w:cs="Times New Roman"/>
          <w:rtl/>
          <w:lang w:eastAsia="de-DE"/>
        </w:rPr>
        <w:t xml:space="preserve"> </w:t>
      </w:r>
      <w:r w:rsidRPr="00C22013">
        <w:rPr>
          <w:rFonts w:eastAsia="Times New Roman" w:cs="Times New Roman"/>
          <w:lang w:eastAsia="de-DE"/>
        </w:rPr>
        <w:t xml:space="preserve">(morgen wendet euch und brecht auf zur Wüste, auf dem Weg zum Schilfmeer) mit </w:t>
      </w:r>
      <w:r w:rsidRPr="00C22013">
        <w:rPr>
          <w:rFonts w:eastAsia="Times New Roman" w:cs="Times New Roman"/>
          <w:b/>
          <w:bCs/>
          <w:rtl/>
          <w:lang w:eastAsia="de-DE"/>
        </w:rPr>
        <w:t>מָחָר</w:t>
      </w:r>
      <w:r w:rsidRPr="00C22013">
        <w:rPr>
          <w:rFonts w:eastAsia="Times New Roman" w:cs="Times New Roman"/>
          <w:rtl/>
          <w:lang w:eastAsia="de-DE"/>
        </w:rPr>
        <w:t xml:space="preserve"> </w:t>
      </w:r>
      <w:r w:rsidRPr="00C22013">
        <w:rPr>
          <w:rFonts w:eastAsia="Times New Roman" w:cs="Times New Roman"/>
          <w:lang w:eastAsia="de-DE"/>
        </w:rPr>
        <w:t xml:space="preserve">(morgen), </w:t>
      </w:r>
      <w:r w:rsidRPr="00C22013">
        <w:rPr>
          <w:rFonts w:eastAsia="Times New Roman" w:cs="Times New Roman"/>
          <w:b/>
          <w:bCs/>
          <w:rtl/>
          <w:lang w:eastAsia="de-DE"/>
        </w:rPr>
        <w:t>פְּנוּ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פנה</w:t>
      </w:r>
      <w:r w:rsidRPr="00C22013">
        <w:rPr>
          <w:rFonts w:eastAsia="Times New Roman" w:cs="Times New Roman"/>
          <w:rtl/>
          <w:lang w:eastAsia="de-DE"/>
        </w:rPr>
        <w:t xml:space="preserve"> </w:t>
      </w:r>
      <w:r w:rsidRPr="00C22013">
        <w:rPr>
          <w:rFonts w:eastAsia="Times New Roman" w:cs="Times New Roman"/>
          <w:lang w:eastAsia="de-DE"/>
        </w:rPr>
        <w:t xml:space="preserve">(sich wenden) im Qal-Imperativ Plural, </w:t>
      </w:r>
      <w:r w:rsidRPr="00C22013">
        <w:rPr>
          <w:rFonts w:eastAsia="Times New Roman" w:cs="Times New Roman"/>
          <w:b/>
          <w:bCs/>
          <w:rtl/>
          <w:lang w:eastAsia="de-DE"/>
        </w:rPr>
        <w:t>סְעוּ לָכֶם</w:t>
      </w:r>
      <w:r w:rsidRPr="00C22013">
        <w:rPr>
          <w:rFonts w:eastAsia="Times New Roman" w:cs="Times New Roman"/>
          <w:rtl/>
          <w:lang w:eastAsia="de-DE"/>
        </w:rPr>
        <w:t xml:space="preserve"> </w:t>
      </w:r>
      <w:r w:rsidRPr="00C22013">
        <w:rPr>
          <w:rFonts w:eastAsia="Times New Roman" w:cs="Times New Roman"/>
          <w:lang w:eastAsia="de-DE"/>
        </w:rPr>
        <w:t xml:space="preserve">(brecht auf für euch) von </w:t>
      </w:r>
      <w:r w:rsidRPr="00C22013">
        <w:rPr>
          <w:rFonts w:eastAsia="Times New Roman" w:cs="Times New Roman"/>
          <w:b/>
          <w:bCs/>
          <w:rtl/>
          <w:lang w:eastAsia="de-DE"/>
        </w:rPr>
        <w:t>נסע</w:t>
      </w:r>
      <w:r w:rsidRPr="00C22013">
        <w:rPr>
          <w:rFonts w:eastAsia="Times New Roman" w:cs="Times New Roman"/>
          <w:rtl/>
          <w:lang w:eastAsia="de-DE"/>
        </w:rPr>
        <w:t xml:space="preserve"> </w:t>
      </w:r>
      <w:r w:rsidRPr="00C22013">
        <w:rPr>
          <w:rFonts w:eastAsia="Times New Roman" w:cs="Times New Roman"/>
          <w:lang w:eastAsia="de-DE"/>
        </w:rPr>
        <w:t xml:space="preserve">(aufbrechen) und </w:t>
      </w:r>
      <w:r w:rsidRPr="00C22013">
        <w:rPr>
          <w:rFonts w:eastAsia="Times New Roman" w:cs="Times New Roman"/>
          <w:b/>
          <w:bCs/>
          <w:rtl/>
          <w:lang w:eastAsia="de-DE"/>
        </w:rPr>
        <w:t>דֶּרֶךְ יַם־סוּף</w:t>
      </w:r>
      <w:r w:rsidRPr="00C22013">
        <w:rPr>
          <w:rFonts w:eastAsia="Times New Roman" w:cs="Times New Roman"/>
          <w:rtl/>
          <w:lang w:eastAsia="de-DE"/>
        </w:rPr>
        <w:t xml:space="preserve"> </w:t>
      </w:r>
      <w:r w:rsidRPr="00C22013">
        <w:rPr>
          <w:rFonts w:eastAsia="Times New Roman" w:cs="Times New Roman"/>
          <w:lang w:eastAsia="de-DE"/>
        </w:rPr>
        <w:t>(Weg zum Schilfmeer) zeigt die Umkehrbewegung zurück in die Wüste.</w:t>
      </w:r>
    </w:p>
    <w:p w14:paraId="04C31E9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עֲמָלֵקִי</w:t>
      </w:r>
      <w:r w:rsidRPr="00C22013">
        <w:rPr>
          <w:rFonts w:eastAsia="Times New Roman" w:cs="Times New Roman"/>
          <w:rtl/>
          <w:lang w:eastAsia="de-DE"/>
        </w:rPr>
        <w:t xml:space="preserve"> </w:t>
      </w:r>
      <w:r w:rsidRPr="00C22013">
        <w:rPr>
          <w:rFonts w:eastAsia="Times New Roman" w:cs="Times New Roman"/>
          <w:lang w:eastAsia="de-DE"/>
        </w:rPr>
        <w:t xml:space="preserve">mit Αμαληκίτης (Amalekiter), </w:t>
      </w:r>
      <w:r w:rsidRPr="00C22013">
        <w:rPr>
          <w:rFonts w:eastAsia="Times New Roman" w:cs="Times New Roman"/>
          <w:b/>
          <w:bCs/>
          <w:rtl/>
          <w:lang w:eastAsia="de-DE"/>
        </w:rPr>
        <w:t>כְּנַעֲנִי</w:t>
      </w:r>
      <w:r w:rsidRPr="00C22013">
        <w:rPr>
          <w:rFonts w:eastAsia="Times New Roman" w:cs="Times New Roman"/>
          <w:rtl/>
          <w:lang w:eastAsia="de-DE"/>
        </w:rPr>
        <w:t xml:space="preserve"> </w:t>
      </w:r>
      <w:r w:rsidRPr="00C22013">
        <w:rPr>
          <w:rFonts w:eastAsia="Times New Roman" w:cs="Times New Roman"/>
          <w:lang w:eastAsia="de-DE"/>
        </w:rPr>
        <w:t xml:space="preserve">mit Χαναναῖος (Kanaaniter), </w:t>
      </w:r>
      <w:r w:rsidRPr="00C22013">
        <w:rPr>
          <w:rFonts w:eastAsia="Times New Roman" w:cs="Times New Roman"/>
          <w:b/>
          <w:bCs/>
          <w:rtl/>
          <w:lang w:eastAsia="de-DE"/>
        </w:rPr>
        <w:t>פְּנוּ</w:t>
      </w:r>
      <w:r w:rsidRPr="00C22013">
        <w:rPr>
          <w:rFonts w:eastAsia="Times New Roman" w:cs="Times New Roman"/>
          <w:rtl/>
          <w:lang w:eastAsia="de-DE"/>
        </w:rPr>
        <w:t xml:space="preserve"> </w:t>
      </w:r>
      <w:r w:rsidRPr="00C22013">
        <w:rPr>
          <w:rFonts w:eastAsia="Times New Roman" w:cs="Times New Roman"/>
          <w:lang w:eastAsia="de-DE"/>
        </w:rPr>
        <w:t xml:space="preserve">mit ἐπιστρέψατε (kehrt um) und </w:t>
      </w:r>
      <w:r w:rsidRPr="00C22013">
        <w:rPr>
          <w:rFonts w:eastAsia="Times New Roman" w:cs="Times New Roman"/>
          <w:b/>
          <w:bCs/>
          <w:rtl/>
          <w:lang w:eastAsia="de-DE"/>
        </w:rPr>
        <w:t>יַם־סוּף</w:t>
      </w:r>
      <w:r w:rsidRPr="00C22013">
        <w:rPr>
          <w:rFonts w:eastAsia="Times New Roman" w:cs="Times New Roman"/>
          <w:rtl/>
          <w:lang w:eastAsia="de-DE"/>
        </w:rPr>
        <w:t xml:space="preserve"> </w:t>
      </w:r>
      <w:r w:rsidRPr="00C22013">
        <w:rPr>
          <w:rFonts w:eastAsia="Times New Roman" w:cs="Times New Roman"/>
          <w:lang w:eastAsia="de-DE"/>
        </w:rPr>
        <w:t>mit θάλασσαν ἐρυθράν (Rotes Meer).</w:t>
      </w:r>
    </w:p>
    <w:p w14:paraId="4C7A0B8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strategische Hindernis-Begründung und Rückzugsanweisung zur Wüste.</w:t>
      </w:r>
    </w:p>
    <w:p w14:paraId="0119377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praktischen Konsequenzen der Rebellion: statt vorwärts ins Land zu gehen, muss Israel rückwärts in die Wüste zurückkehren.</w:t>
      </w:r>
    </w:p>
    <w:p w14:paraId="3F71F958"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14,26</w:t>
      </w:r>
    </w:p>
    <w:p w14:paraId="12777D6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וַיְדַבֵּ֣ר יְהוָ֔ה אֶל־מֹשֶׁ֥ה וְאֶֽל־אַהֲרֹ֖ן לֵאמֹֽר׃</w:t>
      </w:r>
    </w:p>
    <w:p w14:paraId="0D120AC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der Ewige redete zu Mosche und zu 'Aharon, sagend:</w:t>
      </w:r>
    </w:p>
    <w:p w14:paraId="0834E0B2"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E5E850B">
          <v:rect id="_x0000_i1478" style="width:0;height:1.5pt" o:hralign="center" o:hrstd="t" o:hr="t" fillcolor="#a0a0a0" stroked="f"/>
        </w:pict>
      </w:r>
    </w:p>
    <w:p w14:paraId="6F9CC30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Redeeinleitung </w:t>
      </w:r>
      <w:r w:rsidRPr="00C22013">
        <w:rPr>
          <w:rFonts w:eastAsia="Times New Roman" w:cs="Times New Roman"/>
          <w:b/>
          <w:bCs/>
          <w:rtl/>
          <w:lang w:eastAsia="de-DE"/>
        </w:rPr>
        <w:t>וַיְדַבֵּ֣ר יְהוָ֔ה אֶל־מֹשֶׁ֥ה וְאֶֽל־אַהֲרֹ֖ן לֵאמֹֽר</w:t>
      </w:r>
      <w:r w:rsidRPr="00C22013">
        <w:rPr>
          <w:rFonts w:eastAsia="Times New Roman" w:cs="Times New Roman"/>
          <w:rtl/>
          <w:lang w:eastAsia="de-DE"/>
        </w:rPr>
        <w:t xml:space="preserve"> </w:t>
      </w:r>
      <w:r w:rsidRPr="00C22013">
        <w:rPr>
          <w:rFonts w:eastAsia="Times New Roman" w:cs="Times New Roman"/>
          <w:lang w:eastAsia="de-DE"/>
        </w:rPr>
        <w:t xml:space="preserve">(und der Ewige redete zu Mose und zu Aaron, sagend) mit </w:t>
      </w:r>
      <w:r w:rsidRPr="00C22013">
        <w:rPr>
          <w:rFonts w:eastAsia="Times New Roman" w:cs="Times New Roman"/>
          <w:b/>
          <w:bCs/>
          <w:rtl/>
          <w:lang w:eastAsia="de-DE"/>
        </w:rPr>
        <w:t>יְדַבֵּר</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 xml:space="preserve">(reden) im Pi'el-Imperfekt 3. maskulin Singular mit Waw consecutivum, der doppelten Adressierung </w:t>
      </w:r>
      <w:r w:rsidRPr="00C22013">
        <w:rPr>
          <w:rFonts w:eastAsia="Times New Roman" w:cs="Times New Roman"/>
          <w:b/>
          <w:bCs/>
          <w:rtl/>
          <w:lang w:eastAsia="de-DE"/>
        </w:rPr>
        <w:t>אֶל־מֹשֶׁה וְאֶל־אַהֲרֹן</w:t>
      </w:r>
      <w:r w:rsidRPr="00C22013">
        <w:rPr>
          <w:rFonts w:eastAsia="Times New Roman" w:cs="Times New Roman"/>
          <w:rtl/>
          <w:lang w:eastAsia="de-DE"/>
        </w:rPr>
        <w:t xml:space="preserve"> </w:t>
      </w:r>
      <w:r w:rsidRPr="00C22013">
        <w:rPr>
          <w:rFonts w:eastAsia="Times New Roman" w:cs="Times New Roman"/>
          <w:lang w:eastAsia="de-DE"/>
        </w:rPr>
        <w:t xml:space="preserve">(zu Mose und zu Aaron) und </w:t>
      </w:r>
      <w:r w:rsidRPr="00C22013">
        <w:rPr>
          <w:rFonts w:eastAsia="Times New Roman" w:cs="Times New Roman"/>
          <w:b/>
          <w:bCs/>
          <w:rtl/>
          <w:lang w:eastAsia="de-DE"/>
        </w:rPr>
        <w:t>לֵאמֹר</w:t>
      </w:r>
      <w:r w:rsidRPr="00C22013">
        <w:rPr>
          <w:rFonts w:eastAsia="Times New Roman" w:cs="Times New Roman"/>
          <w:rtl/>
          <w:lang w:eastAsia="de-DE"/>
        </w:rPr>
        <w:t xml:space="preserve"> </w:t>
      </w:r>
      <w:r w:rsidRPr="00C22013">
        <w:rPr>
          <w:rFonts w:eastAsia="Times New Roman" w:cs="Times New Roman"/>
          <w:lang w:eastAsia="de-DE"/>
        </w:rPr>
        <w:t>(sagend) leitet eine neue göttliche Ansprache ein, die die spezifischen Strafbestimmungen enthalten wird.</w:t>
      </w:r>
    </w:p>
    <w:p w14:paraId="6BF411B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יְדַבֵּר</w:t>
      </w:r>
      <w:r w:rsidRPr="00C22013">
        <w:rPr>
          <w:rFonts w:eastAsia="Times New Roman" w:cs="Times New Roman"/>
          <w:rtl/>
          <w:lang w:eastAsia="de-DE"/>
        </w:rPr>
        <w:t xml:space="preserve"> </w:t>
      </w:r>
      <w:r w:rsidRPr="00C22013">
        <w:rPr>
          <w:rFonts w:eastAsia="Times New Roman" w:cs="Times New Roman"/>
          <w:lang w:eastAsia="de-DE"/>
        </w:rPr>
        <w:t>mit ἐλάλησεν (er redete) und die Standardformel für göttliche Rede.</w:t>
      </w:r>
    </w:p>
    <w:p w14:paraId="0D581EF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 Satzstruktur zeigt neue göttliche Redeeröffnung an beide Führer.</w:t>
      </w:r>
    </w:p>
    <w:p w14:paraId="08A8342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den zweiten Teil der göttlichen Reaktion ein, der die konkreten Strafbestimmungen für die Rebellion enthalten wird.</w:t>
      </w:r>
    </w:p>
    <w:p w14:paraId="37E5C13E"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14,27</w:t>
      </w:r>
    </w:p>
    <w:p w14:paraId="043331C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עַד־מָתַ֗י לָעֵדָ֤ה הָֽרָעָה֙ הַזֹּ֔את אֲשֶׁ֛ר הֵ֥מָּה מַלִּינִ֖ים עָלָ֑י אֶת־תְּלֻנּ֞וֹת בְּנֵ֣י יִשְׂרָאֵ֗ל אֲשֶׁ֨ר הֵ֧מָּה מַלִּינִ֛ים עָלַ֖י שָׁמָֽעְתִּי׃</w:t>
      </w:r>
    </w:p>
    <w:p w14:paraId="3B09795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Wie lange soll ich es mit dieser bösen Gemeinde aushalten, die gegen mich murrt? Das Murren der Söhne Jisra'el, das sie gegen mich murren, habe ich gehört.</w:t>
      </w:r>
    </w:p>
    <w:p w14:paraId="75817EA2"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6B22D58E">
          <v:rect id="_x0000_i1479" style="width:0;height:1.5pt" o:hralign="center" o:hrstd="t" o:hr="t" fillcolor="#a0a0a0" stroked="f"/>
        </w:pict>
      </w:r>
    </w:p>
    <w:p w14:paraId="03E4003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rhetorische Frage </w:t>
      </w:r>
      <w:r w:rsidRPr="00C22013">
        <w:rPr>
          <w:rFonts w:eastAsia="Times New Roman" w:cs="Times New Roman"/>
          <w:b/>
          <w:bCs/>
          <w:rtl/>
          <w:lang w:eastAsia="de-DE"/>
        </w:rPr>
        <w:t>עַד־מָתַ֗י לָעֵדָ֤ה הָֽרָעָה֙ הַזֹּ֔את אֲשֶׁ֛ר הֵ֥מָּה מַלִּינִ֖ים עָלָ֑י</w:t>
      </w:r>
      <w:r w:rsidRPr="00C22013">
        <w:rPr>
          <w:rFonts w:eastAsia="Times New Roman" w:cs="Times New Roman"/>
          <w:rtl/>
          <w:lang w:eastAsia="de-DE"/>
        </w:rPr>
        <w:t xml:space="preserve"> </w:t>
      </w:r>
      <w:r w:rsidRPr="00C22013">
        <w:rPr>
          <w:rFonts w:eastAsia="Times New Roman" w:cs="Times New Roman"/>
          <w:lang w:eastAsia="de-DE"/>
        </w:rPr>
        <w:t xml:space="preserve">(wie lange für diese böse Gemeinde, die gegen mich murrt) mit </w:t>
      </w:r>
      <w:r w:rsidRPr="00C22013">
        <w:rPr>
          <w:rFonts w:eastAsia="Times New Roman" w:cs="Times New Roman"/>
          <w:b/>
          <w:bCs/>
          <w:rtl/>
          <w:lang w:eastAsia="de-DE"/>
        </w:rPr>
        <w:t>עַד־מָתַי</w:t>
      </w:r>
      <w:r w:rsidRPr="00C22013">
        <w:rPr>
          <w:rFonts w:eastAsia="Times New Roman" w:cs="Times New Roman"/>
          <w:rtl/>
          <w:lang w:eastAsia="de-DE"/>
        </w:rPr>
        <w:t xml:space="preserve"> </w:t>
      </w:r>
      <w:r w:rsidRPr="00C22013">
        <w:rPr>
          <w:rFonts w:eastAsia="Times New Roman" w:cs="Times New Roman"/>
          <w:lang w:eastAsia="de-DE"/>
        </w:rPr>
        <w:t xml:space="preserve">(wie lange), </w:t>
      </w:r>
      <w:r w:rsidRPr="00C22013">
        <w:rPr>
          <w:rFonts w:eastAsia="Times New Roman" w:cs="Times New Roman"/>
          <w:b/>
          <w:bCs/>
          <w:rtl/>
          <w:lang w:eastAsia="de-DE"/>
        </w:rPr>
        <w:t>לָעֵדָה הָרָעָה הַזֹּאת</w:t>
      </w:r>
      <w:r w:rsidRPr="00C22013">
        <w:rPr>
          <w:rFonts w:eastAsia="Times New Roman" w:cs="Times New Roman"/>
          <w:rtl/>
          <w:lang w:eastAsia="de-DE"/>
        </w:rPr>
        <w:t xml:space="preserve"> </w:t>
      </w:r>
      <w:r w:rsidRPr="00C22013">
        <w:rPr>
          <w:rFonts w:eastAsia="Times New Roman" w:cs="Times New Roman"/>
          <w:lang w:eastAsia="de-DE"/>
        </w:rPr>
        <w:t xml:space="preserve">(für diese böse Gemeinde) und </w:t>
      </w:r>
      <w:r w:rsidRPr="00C22013">
        <w:rPr>
          <w:rFonts w:eastAsia="Times New Roman" w:cs="Times New Roman"/>
          <w:b/>
          <w:bCs/>
          <w:rtl/>
          <w:lang w:eastAsia="de-DE"/>
        </w:rPr>
        <w:t>מַלִּינִים עָלָי</w:t>
      </w:r>
      <w:r w:rsidRPr="00C22013">
        <w:rPr>
          <w:rFonts w:eastAsia="Times New Roman" w:cs="Times New Roman"/>
          <w:rtl/>
          <w:lang w:eastAsia="de-DE"/>
        </w:rPr>
        <w:t xml:space="preserve"> </w:t>
      </w:r>
      <w:r w:rsidRPr="00C22013">
        <w:rPr>
          <w:rFonts w:eastAsia="Times New Roman" w:cs="Times New Roman"/>
          <w:lang w:eastAsia="de-DE"/>
        </w:rPr>
        <w:t xml:space="preserve">(gegen mich murrend) von </w:t>
      </w:r>
      <w:r w:rsidRPr="00C22013">
        <w:rPr>
          <w:rFonts w:eastAsia="Times New Roman" w:cs="Times New Roman"/>
          <w:b/>
          <w:bCs/>
          <w:rtl/>
          <w:lang w:eastAsia="de-DE"/>
        </w:rPr>
        <w:t>לון</w:t>
      </w:r>
      <w:r w:rsidRPr="00C22013">
        <w:rPr>
          <w:rFonts w:eastAsia="Times New Roman" w:cs="Times New Roman"/>
          <w:rtl/>
          <w:lang w:eastAsia="de-DE"/>
        </w:rPr>
        <w:t xml:space="preserve"> </w:t>
      </w:r>
      <w:r w:rsidRPr="00C22013">
        <w:rPr>
          <w:rFonts w:eastAsia="Times New Roman" w:cs="Times New Roman"/>
          <w:lang w:eastAsia="de-DE"/>
        </w:rPr>
        <w:t>(murren) im Hiph'il-Partizip Plural zeigt göttliche Ungeduld mit der andauernden Rebellion.</w:t>
      </w:r>
    </w:p>
    <w:p w14:paraId="5CEA19D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Bestätigung </w:t>
      </w:r>
      <w:r w:rsidRPr="00C22013">
        <w:rPr>
          <w:rFonts w:eastAsia="Times New Roman" w:cs="Times New Roman"/>
          <w:b/>
          <w:bCs/>
          <w:rtl/>
          <w:lang w:eastAsia="de-DE"/>
        </w:rPr>
        <w:t>אֶת־תְּלֻנּ֞וֹת בְּנֵ֣י יִשְׂרָאֵ֗ל אֲשֶׁ֨ר הֵ֧מָּה מַלִּינִ֛ים עָלַ֖י שָׁמָֽעְתִּי</w:t>
      </w:r>
      <w:r w:rsidRPr="00C22013">
        <w:rPr>
          <w:rFonts w:eastAsia="Times New Roman" w:cs="Times New Roman"/>
          <w:rtl/>
          <w:lang w:eastAsia="de-DE"/>
        </w:rPr>
        <w:t xml:space="preserve"> </w:t>
      </w:r>
      <w:r w:rsidRPr="00C22013">
        <w:rPr>
          <w:rFonts w:eastAsia="Times New Roman" w:cs="Times New Roman"/>
          <w:lang w:eastAsia="de-DE"/>
        </w:rPr>
        <w:t xml:space="preserve">(das Murren der Söhne Israels, das sie gegen mich murren, habe ich gehört) mit </w:t>
      </w:r>
      <w:r w:rsidRPr="00C22013">
        <w:rPr>
          <w:rFonts w:eastAsia="Times New Roman" w:cs="Times New Roman"/>
          <w:b/>
          <w:bCs/>
          <w:rtl/>
          <w:lang w:eastAsia="de-DE"/>
        </w:rPr>
        <w:t>תְּלֻנּוֹת בְּנֵי יִשְׂרָאֵל</w:t>
      </w:r>
      <w:r w:rsidRPr="00C22013">
        <w:rPr>
          <w:rFonts w:eastAsia="Times New Roman" w:cs="Times New Roman"/>
          <w:rtl/>
          <w:lang w:eastAsia="de-DE"/>
        </w:rPr>
        <w:t xml:space="preserve"> </w:t>
      </w:r>
      <w:r w:rsidRPr="00C22013">
        <w:rPr>
          <w:rFonts w:eastAsia="Times New Roman" w:cs="Times New Roman"/>
          <w:lang w:eastAsia="de-DE"/>
        </w:rPr>
        <w:t xml:space="preserve">(Murren der Söhne Israels), der Wiederholung </w:t>
      </w:r>
      <w:r w:rsidRPr="00C22013">
        <w:rPr>
          <w:rFonts w:eastAsia="Times New Roman" w:cs="Times New Roman"/>
          <w:b/>
          <w:bCs/>
          <w:rtl/>
          <w:lang w:eastAsia="de-DE"/>
        </w:rPr>
        <w:t>מַלִּינִים עָלַי</w:t>
      </w:r>
      <w:r w:rsidRPr="00C22013">
        <w:rPr>
          <w:rFonts w:eastAsia="Times New Roman" w:cs="Times New Roman"/>
          <w:rtl/>
          <w:lang w:eastAsia="de-DE"/>
        </w:rPr>
        <w:t xml:space="preserve"> </w:t>
      </w:r>
      <w:r w:rsidRPr="00C22013">
        <w:rPr>
          <w:rFonts w:eastAsia="Times New Roman" w:cs="Times New Roman"/>
          <w:lang w:eastAsia="de-DE"/>
        </w:rPr>
        <w:t xml:space="preserve">(gegen mich murrend) und </w:t>
      </w:r>
      <w:r w:rsidRPr="00C22013">
        <w:rPr>
          <w:rFonts w:eastAsia="Times New Roman" w:cs="Times New Roman"/>
          <w:b/>
          <w:bCs/>
          <w:rtl/>
          <w:lang w:eastAsia="de-DE"/>
        </w:rPr>
        <w:t>שָׁמָעְתִּי</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שמע</w:t>
      </w:r>
      <w:r w:rsidRPr="00C22013">
        <w:rPr>
          <w:rFonts w:eastAsia="Times New Roman" w:cs="Times New Roman"/>
          <w:rtl/>
          <w:lang w:eastAsia="de-DE"/>
        </w:rPr>
        <w:t xml:space="preserve"> </w:t>
      </w:r>
      <w:r w:rsidRPr="00C22013">
        <w:rPr>
          <w:rFonts w:eastAsia="Times New Roman" w:cs="Times New Roman"/>
          <w:lang w:eastAsia="de-DE"/>
        </w:rPr>
        <w:t>(hören) zeigt, dass Gott jede Beschwerde registriert hat.</w:t>
      </w:r>
    </w:p>
    <w:p w14:paraId="1BEF679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עַד־מָתַי</w:t>
      </w:r>
      <w:r w:rsidRPr="00C22013">
        <w:rPr>
          <w:rFonts w:eastAsia="Times New Roman" w:cs="Times New Roman"/>
          <w:rtl/>
          <w:lang w:eastAsia="de-DE"/>
        </w:rPr>
        <w:t xml:space="preserve"> </w:t>
      </w:r>
      <w:r w:rsidRPr="00C22013">
        <w:rPr>
          <w:rFonts w:eastAsia="Times New Roman" w:cs="Times New Roman"/>
          <w:lang w:eastAsia="de-DE"/>
        </w:rPr>
        <w:t xml:space="preserve">mit ἕως τίνος (bis wann), </w:t>
      </w:r>
      <w:r w:rsidRPr="00C22013">
        <w:rPr>
          <w:rFonts w:eastAsia="Times New Roman" w:cs="Times New Roman"/>
          <w:b/>
          <w:bCs/>
          <w:rtl/>
          <w:lang w:eastAsia="de-DE"/>
        </w:rPr>
        <w:t>עֵדָה רָעָה</w:t>
      </w:r>
      <w:r w:rsidRPr="00C22013">
        <w:rPr>
          <w:rFonts w:eastAsia="Times New Roman" w:cs="Times New Roman"/>
          <w:rtl/>
          <w:lang w:eastAsia="de-DE"/>
        </w:rPr>
        <w:t xml:space="preserve"> </w:t>
      </w:r>
      <w:r w:rsidRPr="00C22013">
        <w:rPr>
          <w:rFonts w:eastAsia="Times New Roman" w:cs="Times New Roman"/>
          <w:lang w:eastAsia="de-DE"/>
        </w:rPr>
        <w:t xml:space="preserve">mit συναγωγὴ πονηρά (böse Versammlung), </w:t>
      </w:r>
      <w:r w:rsidRPr="00C22013">
        <w:rPr>
          <w:rFonts w:eastAsia="Times New Roman" w:cs="Times New Roman"/>
          <w:b/>
          <w:bCs/>
          <w:rtl/>
          <w:lang w:eastAsia="de-DE"/>
        </w:rPr>
        <w:t>מַלִּינִים</w:t>
      </w:r>
      <w:r w:rsidRPr="00C22013">
        <w:rPr>
          <w:rFonts w:eastAsia="Times New Roman" w:cs="Times New Roman"/>
          <w:rtl/>
          <w:lang w:eastAsia="de-DE"/>
        </w:rPr>
        <w:t xml:space="preserve"> </w:t>
      </w:r>
      <w:r w:rsidRPr="00C22013">
        <w:rPr>
          <w:rFonts w:eastAsia="Times New Roman" w:cs="Times New Roman"/>
          <w:lang w:eastAsia="de-DE"/>
        </w:rPr>
        <w:t xml:space="preserve">mit γογγύζουσιν (sie murren) und </w:t>
      </w:r>
      <w:r w:rsidRPr="00C22013">
        <w:rPr>
          <w:rFonts w:eastAsia="Times New Roman" w:cs="Times New Roman"/>
          <w:b/>
          <w:bCs/>
          <w:rtl/>
          <w:lang w:eastAsia="de-DE"/>
        </w:rPr>
        <w:t>תְּלֻנּוֹת</w:t>
      </w:r>
      <w:r w:rsidRPr="00C22013">
        <w:rPr>
          <w:rFonts w:eastAsia="Times New Roman" w:cs="Times New Roman"/>
          <w:rtl/>
          <w:lang w:eastAsia="de-DE"/>
        </w:rPr>
        <w:t xml:space="preserve"> </w:t>
      </w:r>
      <w:r w:rsidRPr="00C22013">
        <w:rPr>
          <w:rFonts w:eastAsia="Times New Roman" w:cs="Times New Roman"/>
          <w:lang w:eastAsia="de-DE"/>
        </w:rPr>
        <w:t>mit γογγυσμούς (Murren).</w:t>
      </w:r>
    </w:p>
    <w:p w14:paraId="4A64DA3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rhetorische Geduld-Frage und bestätigende Wahrnehmung aller Beschwerden.</w:t>
      </w:r>
    </w:p>
    <w:p w14:paraId="1A13BD0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Gottes Frustration über das anhaltende Murren und bestätigt seine vollständige Wahrnehmung aller Beschwerden.</w:t>
      </w:r>
    </w:p>
    <w:p w14:paraId="0247A1F8"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14,28</w:t>
      </w:r>
    </w:p>
    <w:p w14:paraId="111D543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אֱמֹ֣ר אֲלֵהֶ֗ם חַי־אָ֨נִי֙ נְאֻם־יְהוָ֔ה אִם־לֹ֕א כַּאֲשֶׁ֥ר דִּבַּרְתֶּ֖ם בְּאָזְנָ֑י כֵּ֖ן אֶֽעֱשֶׂ֥ה לָכֶֽם׃</w:t>
      </w:r>
    </w:p>
    <w:p w14:paraId="2D340FB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Sprich zu ihnen: So wahr ich lebe, spricht der Ewige, wenn ich euch nicht so tun werde, wie ihr vor meinen Ohren geredet habt!</w:t>
      </w:r>
    </w:p>
    <w:p w14:paraId="414B61CE"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2678B45">
          <v:rect id="_x0000_i1480" style="width:0;height:1.5pt" o:hralign="center" o:hrstd="t" o:hr="t" fillcolor="#a0a0a0" stroked="f"/>
        </w:pict>
      </w:r>
    </w:p>
    <w:p w14:paraId="03F3E78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Anweisung </w:t>
      </w:r>
      <w:r w:rsidRPr="00C22013">
        <w:rPr>
          <w:rFonts w:eastAsia="Times New Roman" w:cs="Times New Roman"/>
          <w:b/>
          <w:bCs/>
          <w:rtl/>
          <w:lang w:eastAsia="de-DE"/>
        </w:rPr>
        <w:t>אֱמֹ֣ר אֲלֵהֶ֗ם</w:t>
      </w:r>
      <w:r w:rsidRPr="00C22013">
        <w:rPr>
          <w:rFonts w:eastAsia="Times New Roman" w:cs="Times New Roman"/>
          <w:rtl/>
          <w:lang w:eastAsia="de-DE"/>
        </w:rPr>
        <w:t xml:space="preserve"> </w:t>
      </w:r>
      <w:r w:rsidRPr="00C22013">
        <w:rPr>
          <w:rFonts w:eastAsia="Times New Roman" w:cs="Times New Roman"/>
          <w:lang w:eastAsia="de-DE"/>
        </w:rPr>
        <w:t xml:space="preserve">(sprich zu ihnen) mit </w:t>
      </w:r>
      <w:r w:rsidRPr="00C22013">
        <w:rPr>
          <w:rFonts w:eastAsia="Times New Roman" w:cs="Times New Roman"/>
          <w:b/>
          <w:bCs/>
          <w:rtl/>
          <w:lang w:eastAsia="de-DE"/>
        </w:rPr>
        <w:t>אֱמֹר</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אמר</w:t>
      </w:r>
      <w:r w:rsidRPr="00C22013">
        <w:rPr>
          <w:rFonts w:eastAsia="Times New Roman" w:cs="Times New Roman"/>
          <w:rtl/>
          <w:lang w:eastAsia="de-DE"/>
        </w:rPr>
        <w:t xml:space="preserve"> </w:t>
      </w:r>
      <w:r w:rsidRPr="00C22013">
        <w:rPr>
          <w:rFonts w:eastAsia="Times New Roman" w:cs="Times New Roman"/>
          <w:lang w:eastAsia="de-DE"/>
        </w:rPr>
        <w:t>(sagen) im Qal-Imperativ maskulin Singular leitet die Verkündigung der Strafe ein.</w:t>
      </w:r>
    </w:p>
    <w:p w14:paraId="3F0577F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 xml:space="preserve">Die Schwurformel </w:t>
      </w:r>
      <w:r w:rsidRPr="00C22013">
        <w:rPr>
          <w:rFonts w:eastAsia="Times New Roman" w:cs="Times New Roman"/>
          <w:b/>
          <w:bCs/>
          <w:rtl/>
          <w:lang w:eastAsia="de-DE"/>
        </w:rPr>
        <w:t>חַי־אָ֨נִי֙ נְאֻם־יְהוָ֔ה</w:t>
      </w:r>
      <w:r w:rsidRPr="00C22013">
        <w:rPr>
          <w:rFonts w:eastAsia="Times New Roman" w:cs="Times New Roman"/>
          <w:rtl/>
          <w:lang w:eastAsia="de-DE"/>
        </w:rPr>
        <w:t xml:space="preserve"> </w:t>
      </w:r>
      <w:r w:rsidRPr="00C22013">
        <w:rPr>
          <w:rFonts w:eastAsia="Times New Roman" w:cs="Times New Roman"/>
          <w:lang w:eastAsia="de-DE"/>
        </w:rPr>
        <w:t xml:space="preserve">(so wahr ich lebe, Spruch des Ewigen) mit </w:t>
      </w:r>
      <w:r w:rsidRPr="00C22013">
        <w:rPr>
          <w:rFonts w:eastAsia="Times New Roman" w:cs="Times New Roman"/>
          <w:b/>
          <w:bCs/>
          <w:rtl/>
          <w:lang w:eastAsia="de-DE"/>
        </w:rPr>
        <w:t>חַי־אָנִי</w:t>
      </w:r>
      <w:r w:rsidRPr="00C22013">
        <w:rPr>
          <w:rFonts w:eastAsia="Times New Roman" w:cs="Times New Roman"/>
          <w:rtl/>
          <w:lang w:eastAsia="de-DE"/>
        </w:rPr>
        <w:t xml:space="preserve"> </w:t>
      </w:r>
      <w:r w:rsidRPr="00C22013">
        <w:rPr>
          <w:rFonts w:eastAsia="Times New Roman" w:cs="Times New Roman"/>
          <w:lang w:eastAsia="de-DE"/>
        </w:rPr>
        <w:t xml:space="preserve">(so wahr ich lebe) als göttliche Schwurformel und </w:t>
      </w:r>
      <w:r w:rsidRPr="00C22013">
        <w:rPr>
          <w:rFonts w:eastAsia="Times New Roman" w:cs="Times New Roman"/>
          <w:b/>
          <w:bCs/>
          <w:rtl/>
          <w:lang w:eastAsia="de-DE"/>
        </w:rPr>
        <w:t>נְאֻם־יְהוָה</w:t>
      </w:r>
      <w:r w:rsidRPr="00C22013">
        <w:rPr>
          <w:rFonts w:eastAsia="Times New Roman" w:cs="Times New Roman"/>
          <w:rtl/>
          <w:lang w:eastAsia="de-DE"/>
        </w:rPr>
        <w:t xml:space="preserve"> </w:t>
      </w:r>
      <w:r w:rsidRPr="00C22013">
        <w:rPr>
          <w:rFonts w:eastAsia="Times New Roman" w:cs="Times New Roman"/>
          <w:lang w:eastAsia="de-DE"/>
        </w:rPr>
        <w:t>(Spruch des Ewigen) verstärkt die Gewissheit der Ankündigung.</w:t>
      </w:r>
    </w:p>
    <w:p w14:paraId="4FD7FD5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ironische Vergeltung </w:t>
      </w:r>
      <w:r w:rsidRPr="00C22013">
        <w:rPr>
          <w:rFonts w:eastAsia="Times New Roman" w:cs="Times New Roman"/>
          <w:b/>
          <w:bCs/>
          <w:rtl/>
          <w:lang w:eastAsia="de-DE"/>
        </w:rPr>
        <w:t>אִם־לֹ֕א כַּאֲשֶׁ֥ר דִּבַּרְתֶּ֖ם בְּאָזְנָ֑י כֵּ֖ן אֶֽעֱשֶׂ֥ה לָכֶֽם</w:t>
      </w:r>
      <w:r w:rsidRPr="00C22013">
        <w:rPr>
          <w:rFonts w:eastAsia="Times New Roman" w:cs="Times New Roman"/>
          <w:rtl/>
          <w:lang w:eastAsia="de-DE"/>
        </w:rPr>
        <w:t xml:space="preserve"> </w:t>
      </w:r>
      <w:r w:rsidRPr="00C22013">
        <w:rPr>
          <w:rFonts w:eastAsia="Times New Roman" w:cs="Times New Roman"/>
          <w:lang w:eastAsia="de-DE"/>
        </w:rPr>
        <w:t xml:space="preserve">(wenn ich euch nicht so tun werde, wie ihr vor meinen Ohren geredet habt) mit </w:t>
      </w:r>
      <w:r w:rsidRPr="00C22013">
        <w:rPr>
          <w:rFonts w:eastAsia="Times New Roman" w:cs="Times New Roman"/>
          <w:b/>
          <w:bCs/>
          <w:rtl/>
          <w:lang w:eastAsia="de-DE"/>
        </w:rPr>
        <w:t>אִם־לֹא</w:t>
      </w:r>
      <w:r w:rsidRPr="00C22013">
        <w:rPr>
          <w:rFonts w:eastAsia="Times New Roman" w:cs="Times New Roman"/>
          <w:rtl/>
          <w:lang w:eastAsia="de-DE"/>
        </w:rPr>
        <w:t xml:space="preserve"> </w:t>
      </w:r>
      <w:r w:rsidRPr="00C22013">
        <w:rPr>
          <w:rFonts w:eastAsia="Times New Roman" w:cs="Times New Roman"/>
          <w:lang w:eastAsia="de-DE"/>
        </w:rPr>
        <w:t xml:space="preserve">als verstärkende Schwurformel, </w:t>
      </w:r>
      <w:r w:rsidRPr="00C22013">
        <w:rPr>
          <w:rFonts w:eastAsia="Times New Roman" w:cs="Times New Roman"/>
          <w:b/>
          <w:bCs/>
          <w:rtl/>
          <w:lang w:eastAsia="de-DE"/>
        </w:rPr>
        <w:t>דִּבַּרְתֶּם בְּאָזְנָי</w:t>
      </w:r>
      <w:r w:rsidRPr="00C22013">
        <w:rPr>
          <w:rFonts w:eastAsia="Times New Roman" w:cs="Times New Roman"/>
          <w:rtl/>
          <w:lang w:eastAsia="de-DE"/>
        </w:rPr>
        <w:t xml:space="preserve"> </w:t>
      </w:r>
      <w:r w:rsidRPr="00C22013">
        <w:rPr>
          <w:rFonts w:eastAsia="Times New Roman" w:cs="Times New Roman"/>
          <w:lang w:eastAsia="de-DE"/>
        </w:rPr>
        <w:t xml:space="preserve">(ihr redet vor meinen Ohren) und </w:t>
      </w:r>
      <w:r w:rsidRPr="00C22013">
        <w:rPr>
          <w:rFonts w:eastAsia="Times New Roman" w:cs="Times New Roman"/>
          <w:b/>
          <w:bCs/>
          <w:rtl/>
          <w:lang w:eastAsia="de-DE"/>
        </w:rPr>
        <w:t>כֵּן אֶעֱשֶׂה לָכֶם</w:t>
      </w:r>
      <w:r w:rsidRPr="00C22013">
        <w:rPr>
          <w:rFonts w:eastAsia="Times New Roman" w:cs="Times New Roman"/>
          <w:rtl/>
          <w:lang w:eastAsia="de-DE"/>
        </w:rPr>
        <w:t xml:space="preserve"> </w:t>
      </w:r>
      <w:r w:rsidRPr="00C22013">
        <w:rPr>
          <w:rFonts w:eastAsia="Times New Roman" w:cs="Times New Roman"/>
          <w:lang w:eastAsia="de-DE"/>
        </w:rPr>
        <w:t>(so werde ich euch tun) zeigt das Prinzip: ihre eigenen Worte werden ihre Realität.</w:t>
      </w:r>
    </w:p>
    <w:p w14:paraId="2C1FF9A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אֱמֹר</w:t>
      </w:r>
      <w:r w:rsidRPr="00C22013">
        <w:rPr>
          <w:rFonts w:eastAsia="Times New Roman" w:cs="Times New Roman"/>
          <w:rtl/>
          <w:lang w:eastAsia="de-DE"/>
        </w:rPr>
        <w:t xml:space="preserve"> </w:t>
      </w:r>
      <w:r w:rsidRPr="00C22013">
        <w:rPr>
          <w:rFonts w:eastAsia="Times New Roman" w:cs="Times New Roman"/>
          <w:lang w:eastAsia="de-DE"/>
        </w:rPr>
        <w:t xml:space="preserve">mit εἰπόν (sprich), </w:t>
      </w:r>
      <w:r w:rsidRPr="00C22013">
        <w:rPr>
          <w:rFonts w:eastAsia="Times New Roman" w:cs="Times New Roman"/>
          <w:b/>
          <w:bCs/>
          <w:rtl/>
          <w:lang w:eastAsia="de-DE"/>
        </w:rPr>
        <w:t>חַי־אָנִי</w:t>
      </w:r>
      <w:r w:rsidRPr="00C22013">
        <w:rPr>
          <w:rFonts w:eastAsia="Times New Roman" w:cs="Times New Roman"/>
          <w:rtl/>
          <w:lang w:eastAsia="de-DE"/>
        </w:rPr>
        <w:t xml:space="preserve"> </w:t>
      </w:r>
      <w:r w:rsidRPr="00C22013">
        <w:rPr>
          <w:rFonts w:eastAsia="Times New Roman" w:cs="Times New Roman"/>
          <w:lang w:eastAsia="de-DE"/>
        </w:rPr>
        <w:t xml:space="preserve">mit ζῶ ἐγώ (so wahr ich lebe), </w:t>
      </w:r>
      <w:r w:rsidRPr="00C22013">
        <w:rPr>
          <w:rFonts w:eastAsia="Times New Roman" w:cs="Times New Roman"/>
          <w:b/>
          <w:bCs/>
          <w:rtl/>
          <w:lang w:eastAsia="de-DE"/>
        </w:rPr>
        <w:t>נְאֻם־יְהוָה</w:t>
      </w:r>
      <w:r w:rsidRPr="00C22013">
        <w:rPr>
          <w:rFonts w:eastAsia="Times New Roman" w:cs="Times New Roman"/>
          <w:rtl/>
          <w:lang w:eastAsia="de-DE"/>
        </w:rPr>
        <w:t xml:space="preserve"> </w:t>
      </w:r>
      <w:r w:rsidRPr="00C22013">
        <w:rPr>
          <w:rFonts w:eastAsia="Times New Roman" w:cs="Times New Roman"/>
          <w:lang w:eastAsia="de-DE"/>
        </w:rPr>
        <w:t xml:space="preserve">mit λέγει κύριος (sagt der Herr) und </w:t>
      </w:r>
      <w:r w:rsidRPr="00C22013">
        <w:rPr>
          <w:rFonts w:eastAsia="Times New Roman" w:cs="Times New Roman"/>
          <w:b/>
          <w:bCs/>
          <w:rtl/>
          <w:lang w:eastAsia="de-DE"/>
        </w:rPr>
        <w:t>בְּאָזְנָי</w:t>
      </w:r>
      <w:r w:rsidRPr="00C22013">
        <w:rPr>
          <w:rFonts w:eastAsia="Times New Roman" w:cs="Times New Roman"/>
          <w:rtl/>
          <w:lang w:eastAsia="de-DE"/>
        </w:rPr>
        <w:t xml:space="preserve"> </w:t>
      </w:r>
      <w:r w:rsidRPr="00C22013">
        <w:rPr>
          <w:rFonts w:eastAsia="Times New Roman" w:cs="Times New Roman"/>
          <w:lang w:eastAsia="de-DE"/>
        </w:rPr>
        <w:t>mit εἰς τὰ ὦτά μου (in meine Ohren).</w:t>
      </w:r>
    </w:p>
    <w:p w14:paraId="61B97B3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Verkündigungsauftrag, verstärkende Schwurformel und ironische Vergeltungsankündigung.</w:t>
      </w:r>
    </w:p>
    <w:p w14:paraId="23B80CD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kündigt das fundamentale Vergeltungsprinzip an: was Israel gesagt hat, wird ihnen widerfahren.</w:t>
      </w:r>
    </w:p>
    <w:p w14:paraId="66D1B8F2"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14,29</w:t>
      </w:r>
    </w:p>
    <w:p w14:paraId="16B10D2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בַּמִּדְבָּ֣ר הַ֠זֶּה יִפְּל֨וּ פִגְרֵיכֶ֜ם וְכָל־פְּקֻדֵיכֶם֙ לְכָל־מִסְפַּרְכֶ֔ם מִבֶּ֛ן עֶשְׂרִ֥ים שָׁנָ֖ה וָמָ֑עְלָה אֲשֶׁ֥ר הֲלִֽינֹתֶ֖ם עָלָֽי׃</w:t>
      </w:r>
    </w:p>
    <w:p w14:paraId="2151967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In dieser Wüste sollen eure Leichen fallen, ja, alle eure Gemusterten nach eurer ganzen Zahl, von 20 Jahren an und darüber, die ihr gegen mich gemurrt habt.</w:t>
      </w:r>
    </w:p>
    <w:p w14:paraId="52050C4C"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49569215">
          <v:rect id="_x0000_i1481" style="width:0;height:1.5pt" o:hralign="center" o:hrstd="t" o:hr="t" fillcolor="#a0a0a0" stroked="f"/>
        </w:pict>
      </w:r>
    </w:p>
    <w:p w14:paraId="26B58FA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Ortsbestimmung </w:t>
      </w:r>
      <w:r w:rsidRPr="00C22013">
        <w:rPr>
          <w:rFonts w:eastAsia="Times New Roman" w:cs="Times New Roman"/>
          <w:b/>
          <w:bCs/>
          <w:rtl/>
          <w:lang w:eastAsia="de-DE"/>
        </w:rPr>
        <w:t>בַּמִּדְבָּ֣ר הַ֠זֶּה יִפְּל֨וּ פִגְרֵיכֶ֜ם</w:t>
      </w:r>
      <w:r w:rsidRPr="00C22013">
        <w:rPr>
          <w:rFonts w:eastAsia="Times New Roman" w:cs="Times New Roman"/>
          <w:rtl/>
          <w:lang w:eastAsia="de-DE"/>
        </w:rPr>
        <w:t xml:space="preserve"> </w:t>
      </w:r>
      <w:r w:rsidRPr="00C22013">
        <w:rPr>
          <w:rFonts w:eastAsia="Times New Roman" w:cs="Times New Roman"/>
          <w:lang w:eastAsia="de-DE"/>
        </w:rPr>
        <w:t xml:space="preserve">(in dieser Wüste werden eure Leichen fallen) mit </w:t>
      </w:r>
      <w:r w:rsidRPr="00C22013">
        <w:rPr>
          <w:rFonts w:eastAsia="Times New Roman" w:cs="Times New Roman"/>
          <w:b/>
          <w:bCs/>
          <w:rtl/>
          <w:lang w:eastAsia="de-DE"/>
        </w:rPr>
        <w:t>בַּמִּדְבָּר הַזֶּה</w:t>
      </w:r>
      <w:r w:rsidRPr="00C22013">
        <w:rPr>
          <w:rFonts w:eastAsia="Times New Roman" w:cs="Times New Roman"/>
          <w:rtl/>
          <w:lang w:eastAsia="de-DE"/>
        </w:rPr>
        <w:t xml:space="preserve"> </w:t>
      </w:r>
      <w:r w:rsidRPr="00C22013">
        <w:rPr>
          <w:rFonts w:eastAsia="Times New Roman" w:cs="Times New Roman"/>
          <w:lang w:eastAsia="de-DE"/>
        </w:rPr>
        <w:t xml:space="preserve">(in dieser Wüste), </w:t>
      </w:r>
      <w:r w:rsidRPr="00C22013">
        <w:rPr>
          <w:rFonts w:eastAsia="Times New Roman" w:cs="Times New Roman"/>
          <w:b/>
          <w:bCs/>
          <w:rtl/>
          <w:lang w:eastAsia="de-DE"/>
        </w:rPr>
        <w:t>יִפְּלוּ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נפל</w:t>
      </w:r>
      <w:r w:rsidRPr="00C22013">
        <w:rPr>
          <w:rFonts w:eastAsia="Times New Roman" w:cs="Times New Roman"/>
          <w:rtl/>
          <w:lang w:eastAsia="de-DE"/>
        </w:rPr>
        <w:t xml:space="preserve"> </w:t>
      </w:r>
      <w:r w:rsidRPr="00C22013">
        <w:rPr>
          <w:rFonts w:eastAsia="Times New Roman" w:cs="Times New Roman"/>
          <w:lang w:eastAsia="de-DE"/>
        </w:rPr>
        <w:t xml:space="preserve">(fallen) und </w:t>
      </w:r>
      <w:r w:rsidRPr="00C22013">
        <w:rPr>
          <w:rFonts w:eastAsia="Times New Roman" w:cs="Times New Roman"/>
          <w:b/>
          <w:bCs/>
          <w:rtl/>
          <w:lang w:eastAsia="de-DE"/>
        </w:rPr>
        <w:t>פִגְרֵיכֶם</w:t>
      </w:r>
      <w:r w:rsidRPr="00C22013">
        <w:rPr>
          <w:rFonts w:eastAsia="Times New Roman" w:cs="Times New Roman"/>
          <w:rtl/>
          <w:lang w:eastAsia="de-DE"/>
        </w:rPr>
        <w:t xml:space="preserve"> </w:t>
      </w:r>
      <w:r w:rsidRPr="00C22013">
        <w:rPr>
          <w:rFonts w:eastAsia="Times New Roman" w:cs="Times New Roman"/>
          <w:lang w:eastAsia="de-DE"/>
        </w:rPr>
        <w:t>(eure Leichen) zeigt den Ort und die Art des Sterbens - sie werden ihre Todeswünsche erfüllt bekommen.</w:t>
      </w:r>
    </w:p>
    <w:p w14:paraId="1E54136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Vollständigkeit </w:t>
      </w:r>
      <w:r w:rsidRPr="00C22013">
        <w:rPr>
          <w:rFonts w:eastAsia="Times New Roman" w:cs="Times New Roman"/>
          <w:b/>
          <w:bCs/>
          <w:rtl/>
          <w:lang w:eastAsia="de-DE"/>
        </w:rPr>
        <w:t>וְכָל־פְּקֻדֵיכֶם֙ לְכָל־מִסְפַּרְכֶ֔ם מִבֶּ֛ן עֶשְׂרִ֥ים שָׁנָ֖ה וָמָ֑עְלָה</w:t>
      </w:r>
      <w:r w:rsidRPr="00C22013">
        <w:rPr>
          <w:rFonts w:eastAsia="Times New Roman" w:cs="Times New Roman"/>
          <w:rtl/>
          <w:lang w:eastAsia="de-DE"/>
        </w:rPr>
        <w:t xml:space="preserve"> </w:t>
      </w:r>
      <w:r w:rsidRPr="00C22013">
        <w:rPr>
          <w:rFonts w:eastAsia="Times New Roman" w:cs="Times New Roman"/>
          <w:lang w:eastAsia="de-DE"/>
        </w:rPr>
        <w:t xml:space="preserve">(und alle eure Gemusterten nach eurer ganzen Zahl, von zwanzig Jahren an und darüber) mit </w:t>
      </w:r>
      <w:r w:rsidRPr="00C22013">
        <w:rPr>
          <w:rFonts w:eastAsia="Times New Roman" w:cs="Times New Roman"/>
          <w:b/>
          <w:bCs/>
          <w:rtl/>
          <w:lang w:eastAsia="de-DE"/>
        </w:rPr>
        <w:t>כָל־פְּקֻדֵיכֶם</w:t>
      </w:r>
      <w:r w:rsidRPr="00C22013">
        <w:rPr>
          <w:rFonts w:eastAsia="Times New Roman" w:cs="Times New Roman"/>
          <w:rtl/>
          <w:lang w:eastAsia="de-DE"/>
        </w:rPr>
        <w:t xml:space="preserve"> </w:t>
      </w:r>
      <w:r w:rsidRPr="00C22013">
        <w:rPr>
          <w:rFonts w:eastAsia="Times New Roman" w:cs="Times New Roman"/>
          <w:lang w:eastAsia="de-DE"/>
        </w:rPr>
        <w:t xml:space="preserve">(alle eure Gemusterten), </w:t>
      </w:r>
      <w:r w:rsidRPr="00C22013">
        <w:rPr>
          <w:rFonts w:eastAsia="Times New Roman" w:cs="Times New Roman"/>
          <w:b/>
          <w:bCs/>
          <w:rtl/>
          <w:lang w:eastAsia="de-DE"/>
        </w:rPr>
        <w:t>לְכָל־מִסְפַּרְכֶם</w:t>
      </w:r>
      <w:r w:rsidRPr="00C22013">
        <w:rPr>
          <w:rFonts w:eastAsia="Times New Roman" w:cs="Times New Roman"/>
          <w:rtl/>
          <w:lang w:eastAsia="de-DE"/>
        </w:rPr>
        <w:t xml:space="preserve"> </w:t>
      </w:r>
      <w:r w:rsidRPr="00C22013">
        <w:rPr>
          <w:rFonts w:eastAsia="Times New Roman" w:cs="Times New Roman"/>
          <w:lang w:eastAsia="de-DE"/>
        </w:rPr>
        <w:t xml:space="preserve">(nach eurer ganzen Zahl) und </w:t>
      </w:r>
      <w:r w:rsidRPr="00C22013">
        <w:rPr>
          <w:rFonts w:eastAsia="Times New Roman" w:cs="Times New Roman"/>
          <w:b/>
          <w:bCs/>
          <w:rtl/>
          <w:lang w:eastAsia="de-DE"/>
        </w:rPr>
        <w:t>מִבֶּן עֶשְׂרִים שָׁנָה וָמָעְלָה</w:t>
      </w:r>
      <w:r w:rsidRPr="00C22013">
        <w:rPr>
          <w:rFonts w:eastAsia="Times New Roman" w:cs="Times New Roman"/>
          <w:rtl/>
          <w:lang w:eastAsia="de-DE"/>
        </w:rPr>
        <w:t xml:space="preserve"> </w:t>
      </w:r>
      <w:r w:rsidRPr="00C22013">
        <w:rPr>
          <w:rFonts w:eastAsia="Times New Roman" w:cs="Times New Roman"/>
          <w:lang w:eastAsia="de-DE"/>
        </w:rPr>
        <w:t>(von zwanzig Jahren an und darüber) zeigt die systematische Einbeziehung aller militärfähigen Männer.</w:t>
      </w:r>
    </w:p>
    <w:p w14:paraId="1A78BF7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Begründung </w:t>
      </w:r>
      <w:r w:rsidRPr="00C22013">
        <w:rPr>
          <w:rFonts w:eastAsia="Times New Roman" w:cs="Times New Roman"/>
          <w:b/>
          <w:bCs/>
          <w:rtl/>
          <w:lang w:eastAsia="de-DE"/>
        </w:rPr>
        <w:t>אֲשֶׁ֥ר הֲלִֽינֹתֶ֖ם עָלָֽי</w:t>
      </w:r>
      <w:r w:rsidRPr="00C22013">
        <w:rPr>
          <w:rFonts w:eastAsia="Times New Roman" w:cs="Times New Roman"/>
          <w:rtl/>
          <w:lang w:eastAsia="de-DE"/>
        </w:rPr>
        <w:t xml:space="preserve"> </w:t>
      </w:r>
      <w:r w:rsidRPr="00C22013">
        <w:rPr>
          <w:rFonts w:eastAsia="Times New Roman" w:cs="Times New Roman"/>
          <w:lang w:eastAsia="de-DE"/>
        </w:rPr>
        <w:t xml:space="preserve">(die ihr gegen mich gemurrt habt) mit </w:t>
      </w:r>
      <w:r w:rsidRPr="00C22013">
        <w:rPr>
          <w:rFonts w:eastAsia="Times New Roman" w:cs="Times New Roman"/>
          <w:b/>
          <w:bCs/>
          <w:rtl/>
          <w:lang w:eastAsia="de-DE"/>
        </w:rPr>
        <w:t>הֲלִינֹתֶם</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לון</w:t>
      </w:r>
      <w:r w:rsidRPr="00C22013">
        <w:rPr>
          <w:rFonts w:eastAsia="Times New Roman" w:cs="Times New Roman"/>
          <w:rtl/>
          <w:lang w:eastAsia="de-DE"/>
        </w:rPr>
        <w:t xml:space="preserve"> </w:t>
      </w:r>
      <w:r w:rsidRPr="00C22013">
        <w:rPr>
          <w:rFonts w:eastAsia="Times New Roman" w:cs="Times New Roman"/>
          <w:lang w:eastAsia="de-DE"/>
        </w:rPr>
        <w:t xml:space="preserve">(murren) im Hiph'il-Perfekt 2. maskulin Plural und </w:t>
      </w:r>
      <w:r w:rsidRPr="00C22013">
        <w:rPr>
          <w:rFonts w:eastAsia="Times New Roman" w:cs="Times New Roman"/>
          <w:b/>
          <w:bCs/>
          <w:rtl/>
          <w:lang w:eastAsia="de-DE"/>
        </w:rPr>
        <w:t>עָלָי</w:t>
      </w:r>
      <w:r w:rsidRPr="00C22013">
        <w:rPr>
          <w:rFonts w:eastAsia="Times New Roman" w:cs="Times New Roman"/>
          <w:rtl/>
          <w:lang w:eastAsia="de-DE"/>
        </w:rPr>
        <w:t xml:space="preserve"> </w:t>
      </w:r>
      <w:r w:rsidRPr="00C22013">
        <w:rPr>
          <w:rFonts w:eastAsia="Times New Roman" w:cs="Times New Roman"/>
          <w:lang w:eastAsia="de-DE"/>
        </w:rPr>
        <w:t>(gegen mich) verknüpft Strafe direkt mit der Rebellion.</w:t>
      </w:r>
    </w:p>
    <w:p w14:paraId="2557084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יִפְּלוּ</w:t>
      </w:r>
      <w:r w:rsidRPr="00C22013">
        <w:rPr>
          <w:rFonts w:eastAsia="Times New Roman" w:cs="Times New Roman"/>
          <w:rtl/>
          <w:lang w:eastAsia="de-DE"/>
        </w:rPr>
        <w:t xml:space="preserve"> </w:t>
      </w:r>
      <w:r w:rsidRPr="00C22013">
        <w:rPr>
          <w:rFonts w:eastAsia="Times New Roman" w:cs="Times New Roman"/>
          <w:lang w:eastAsia="de-DE"/>
        </w:rPr>
        <w:t xml:space="preserve">mit πεσοῦνται (sie werden fallen), </w:t>
      </w:r>
      <w:r w:rsidRPr="00C22013">
        <w:rPr>
          <w:rFonts w:eastAsia="Times New Roman" w:cs="Times New Roman"/>
          <w:b/>
          <w:bCs/>
          <w:rtl/>
          <w:lang w:eastAsia="de-DE"/>
        </w:rPr>
        <w:t>פִגְרֵיכֶם</w:t>
      </w:r>
      <w:r w:rsidRPr="00C22013">
        <w:rPr>
          <w:rFonts w:eastAsia="Times New Roman" w:cs="Times New Roman"/>
          <w:rtl/>
          <w:lang w:eastAsia="de-DE"/>
        </w:rPr>
        <w:t xml:space="preserve"> </w:t>
      </w:r>
      <w:r w:rsidRPr="00C22013">
        <w:rPr>
          <w:rFonts w:eastAsia="Times New Roman" w:cs="Times New Roman"/>
          <w:lang w:eastAsia="de-DE"/>
        </w:rPr>
        <w:t xml:space="preserve">mit τὰ κῶλα ὑμῶν (eure Körper), </w:t>
      </w:r>
      <w:r w:rsidRPr="00C22013">
        <w:rPr>
          <w:rFonts w:eastAsia="Times New Roman" w:cs="Times New Roman"/>
          <w:b/>
          <w:bCs/>
          <w:rtl/>
          <w:lang w:eastAsia="de-DE"/>
        </w:rPr>
        <w:t>פְּקֻדֵיכֶם</w:t>
      </w:r>
      <w:r w:rsidRPr="00C22013">
        <w:rPr>
          <w:rFonts w:eastAsia="Times New Roman" w:cs="Times New Roman"/>
          <w:rtl/>
          <w:lang w:eastAsia="de-DE"/>
        </w:rPr>
        <w:t xml:space="preserve"> </w:t>
      </w:r>
      <w:r w:rsidRPr="00C22013">
        <w:rPr>
          <w:rFonts w:eastAsia="Times New Roman" w:cs="Times New Roman"/>
          <w:lang w:eastAsia="de-DE"/>
        </w:rPr>
        <w:t xml:space="preserve">mit ἡ ἐπίσκεψις ὑμῶν (eure Musterung) und </w:t>
      </w:r>
      <w:r w:rsidRPr="00C22013">
        <w:rPr>
          <w:rFonts w:eastAsia="Times New Roman" w:cs="Times New Roman"/>
          <w:b/>
          <w:bCs/>
          <w:rtl/>
          <w:lang w:eastAsia="de-DE"/>
        </w:rPr>
        <w:t>הֲלִינֹתֶם</w:t>
      </w:r>
      <w:r w:rsidRPr="00C22013">
        <w:rPr>
          <w:rFonts w:eastAsia="Times New Roman" w:cs="Times New Roman"/>
          <w:rtl/>
          <w:lang w:eastAsia="de-DE"/>
        </w:rPr>
        <w:t xml:space="preserve"> </w:t>
      </w:r>
      <w:r w:rsidRPr="00C22013">
        <w:rPr>
          <w:rFonts w:eastAsia="Times New Roman" w:cs="Times New Roman"/>
          <w:lang w:eastAsia="de-DE"/>
        </w:rPr>
        <w:t>mit κατεγογγύσατε (ihr habt gemurrt).</w:t>
      </w:r>
    </w:p>
    <w:p w14:paraId="16E5A54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Sterbeort-Bestimmung, vollständige Betroffenheit nach Altersgruppe und Rebellion-Begründung.</w:t>
      </w:r>
    </w:p>
    <w:p w14:paraId="03013BB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Dieser Vers konkretisiert das Urteil: die gesamte militärfähige Generation wird in der Wüste sterben.</w:t>
      </w:r>
    </w:p>
    <w:p w14:paraId="615D203E"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14,30</w:t>
      </w:r>
    </w:p>
    <w:p w14:paraId="4CAAC3E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אִם־אַתֶּם֙ תָּבֹ֣אוּ אֶל־הָאָ֔רֶץ אֲשֶׁ֤ר נָשָׂ֨אתִי֙ אֶת־יָדִ֔י לְשַׁכֵּ֥ן אֶתְכֶ֖ם בָּ֑הּ כִּ֚י אִם־כָּלֵ֣ב בֶּן־יְפֻנֶּ֔ה וִיהוֹשֻׁ֖עַ בִּן־נֽוּן׃</w:t>
      </w:r>
    </w:p>
    <w:p w14:paraId="4E2ACD3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Ihr werdet nicht in das Land kommen, von dem ich meine Hand erhoben habe, euch darin wohnen zu lassen, außer Kalev, dem Sohn Jephunnes, und Jehoschua, dem Sohn Nuns.</w:t>
      </w:r>
    </w:p>
    <w:p w14:paraId="5B105FD8"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192F1C6D">
          <v:rect id="_x0000_i1482" style="width:0;height:1.5pt" o:hralign="center" o:hrstd="t" o:hr="t" fillcolor="#a0a0a0" stroked="f"/>
        </w:pict>
      </w:r>
    </w:p>
    <w:p w14:paraId="1E39D4A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negative Schwurformel </w:t>
      </w:r>
      <w:r w:rsidRPr="00C22013">
        <w:rPr>
          <w:rFonts w:eastAsia="Times New Roman" w:cs="Times New Roman"/>
          <w:b/>
          <w:bCs/>
          <w:rtl/>
          <w:lang w:eastAsia="de-DE"/>
        </w:rPr>
        <w:t>אִם־אַתֶּם֙ תָּבֹ֣אוּ אֶל־הָאָ֔רֶץ</w:t>
      </w:r>
      <w:r w:rsidRPr="00C22013">
        <w:rPr>
          <w:rFonts w:eastAsia="Times New Roman" w:cs="Times New Roman"/>
          <w:rtl/>
          <w:lang w:eastAsia="de-DE"/>
        </w:rPr>
        <w:t xml:space="preserve"> </w:t>
      </w:r>
      <w:r w:rsidRPr="00C22013">
        <w:rPr>
          <w:rFonts w:eastAsia="Times New Roman" w:cs="Times New Roman"/>
          <w:lang w:eastAsia="de-DE"/>
        </w:rPr>
        <w:t xml:space="preserve">(wenn ihr in das Land kommen werdet) mit </w:t>
      </w:r>
      <w:r w:rsidRPr="00C22013">
        <w:rPr>
          <w:rFonts w:eastAsia="Times New Roman" w:cs="Times New Roman"/>
          <w:b/>
          <w:bCs/>
          <w:rtl/>
          <w:lang w:eastAsia="de-DE"/>
        </w:rPr>
        <w:t>אִם־אַתֶּם תָּבֹאוּ</w:t>
      </w:r>
      <w:r w:rsidRPr="00C22013">
        <w:rPr>
          <w:rFonts w:eastAsia="Times New Roman" w:cs="Times New Roman"/>
          <w:rtl/>
          <w:lang w:eastAsia="de-DE"/>
        </w:rPr>
        <w:t xml:space="preserve"> </w:t>
      </w:r>
      <w:r w:rsidRPr="00C22013">
        <w:rPr>
          <w:rFonts w:eastAsia="Times New Roman" w:cs="Times New Roman"/>
          <w:lang w:eastAsia="de-DE"/>
        </w:rPr>
        <w:t>als verstärkende Negation (ihr werdet definitiv nicht kommen) zeigt den kategorischen Ausschluss.</w:t>
      </w:r>
    </w:p>
    <w:p w14:paraId="2B9F2BA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Schwurbeschreibung </w:t>
      </w:r>
      <w:r w:rsidRPr="00C22013">
        <w:rPr>
          <w:rFonts w:eastAsia="Times New Roman" w:cs="Times New Roman"/>
          <w:b/>
          <w:bCs/>
          <w:rtl/>
          <w:lang w:eastAsia="de-DE"/>
        </w:rPr>
        <w:t>אֲשֶׁ֤ר נָשָׂ֨אתִי֙ אֶת־יָדִ֔י לְשַׁכֵּ֥ן אֶתְכֶ֖ם בָּ֑הּ</w:t>
      </w:r>
      <w:r w:rsidRPr="00C22013">
        <w:rPr>
          <w:rFonts w:eastAsia="Times New Roman" w:cs="Times New Roman"/>
          <w:rtl/>
          <w:lang w:eastAsia="de-DE"/>
        </w:rPr>
        <w:t xml:space="preserve"> </w:t>
      </w:r>
      <w:r w:rsidRPr="00C22013">
        <w:rPr>
          <w:rFonts w:eastAsia="Times New Roman" w:cs="Times New Roman"/>
          <w:lang w:eastAsia="de-DE"/>
        </w:rPr>
        <w:t xml:space="preserve">(von dem ich meine Hand erhoben habe, euch darin wohnen zu lassen) mit </w:t>
      </w:r>
      <w:r w:rsidRPr="00C22013">
        <w:rPr>
          <w:rFonts w:eastAsia="Times New Roman" w:cs="Times New Roman"/>
          <w:b/>
          <w:bCs/>
          <w:rtl/>
          <w:lang w:eastAsia="de-DE"/>
        </w:rPr>
        <w:t>נָשָׂאתִי אֶת־יָדִי</w:t>
      </w:r>
      <w:r w:rsidRPr="00C22013">
        <w:rPr>
          <w:rFonts w:eastAsia="Times New Roman" w:cs="Times New Roman"/>
          <w:rtl/>
          <w:lang w:eastAsia="de-DE"/>
        </w:rPr>
        <w:t xml:space="preserve"> </w:t>
      </w:r>
      <w:r w:rsidRPr="00C22013">
        <w:rPr>
          <w:rFonts w:eastAsia="Times New Roman" w:cs="Times New Roman"/>
          <w:lang w:eastAsia="de-DE"/>
        </w:rPr>
        <w:t xml:space="preserve">(ich erhob meine Hand) als Schwurgeste und </w:t>
      </w:r>
      <w:r w:rsidRPr="00C22013">
        <w:rPr>
          <w:rFonts w:eastAsia="Times New Roman" w:cs="Times New Roman"/>
          <w:b/>
          <w:bCs/>
          <w:rtl/>
          <w:lang w:eastAsia="de-DE"/>
        </w:rPr>
        <w:t>לְשַׁכֵּן אֶתְכֶם בָּהּ</w:t>
      </w:r>
      <w:r w:rsidRPr="00C22013">
        <w:rPr>
          <w:rFonts w:eastAsia="Times New Roman" w:cs="Times New Roman"/>
          <w:rtl/>
          <w:lang w:eastAsia="de-DE"/>
        </w:rPr>
        <w:t xml:space="preserve"> </w:t>
      </w:r>
      <w:r w:rsidRPr="00C22013">
        <w:rPr>
          <w:rFonts w:eastAsia="Times New Roman" w:cs="Times New Roman"/>
          <w:lang w:eastAsia="de-DE"/>
        </w:rPr>
        <w:t xml:space="preserve">(euch darin wohnen zu lassen) von </w:t>
      </w:r>
      <w:r w:rsidRPr="00C22013">
        <w:rPr>
          <w:rFonts w:eastAsia="Times New Roman" w:cs="Times New Roman"/>
          <w:b/>
          <w:bCs/>
          <w:rtl/>
          <w:lang w:eastAsia="de-DE"/>
        </w:rPr>
        <w:t>שכן</w:t>
      </w:r>
      <w:r w:rsidRPr="00C22013">
        <w:rPr>
          <w:rFonts w:eastAsia="Times New Roman" w:cs="Times New Roman"/>
          <w:rtl/>
          <w:lang w:eastAsia="de-DE"/>
        </w:rPr>
        <w:t xml:space="preserve"> </w:t>
      </w:r>
      <w:r w:rsidRPr="00C22013">
        <w:rPr>
          <w:rFonts w:eastAsia="Times New Roman" w:cs="Times New Roman"/>
          <w:lang w:eastAsia="de-DE"/>
        </w:rPr>
        <w:t>(wohnen) im Pi'el erinnert an die ursprüngliche Verheißung.</w:t>
      </w:r>
    </w:p>
    <w:p w14:paraId="145ABFF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einzigen Ausnahmen </w:t>
      </w:r>
      <w:r w:rsidRPr="00C22013">
        <w:rPr>
          <w:rFonts w:eastAsia="Times New Roman" w:cs="Times New Roman"/>
          <w:b/>
          <w:bCs/>
          <w:rtl/>
          <w:lang w:eastAsia="de-DE"/>
        </w:rPr>
        <w:t>כִּ֚י אִם־כָּלֵ֣ב בֶּן־יְפֻנֶּ֔ה וִיהוֹשֻׁ֖עַ בִּן־נֽוּן</w:t>
      </w:r>
      <w:r w:rsidRPr="00C22013">
        <w:rPr>
          <w:rFonts w:eastAsia="Times New Roman" w:cs="Times New Roman"/>
          <w:rtl/>
          <w:lang w:eastAsia="de-DE"/>
        </w:rPr>
        <w:t xml:space="preserve"> </w:t>
      </w:r>
      <w:r w:rsidRPr="00C22013">
        <w:rPr>
          <w:rFonts w:eastAsia="Times New Roman" w:cs="Times New Roman"/>
          <w:lang w:eastAsia="de-DE"/>
        </w:rPr>
        <w:t xml:space="preserve">(außer Kaleb, Sohn Jephunnes, und Josua, Sohn Nuns) mit </w:t>
      </w:r>
      <w:r w:rsidRPr="00C22013">
        <w:rPr>
          <w:rFonts w:eastAsia="Times New Roman" w:cs="Times New Roman"/>
          <w:b/>
          <w:bCs/>
          <w:rtl/>
          <w:lang w:eastAsia="de-DE"/>
        </w:rPr>
        <w:t>כִּי אִם</w:t>
      </w:r>
      <w:r w:rsidRPr="00C22013">
        <w:rPr>
          <w:rFonts w:eastAsia="Times New Roman" w:cs="Times New Roman"/>
          <w:rtl/>
          <w:lang w:eastAsia="de-DE"/>
        </w:rPr>
        <w:t xml:space="preserve"> </w:t>
      </w:r>
      <w:r w:rsidRPr="00C22013">
        <w:rPr>
          <w:rFonts w:eastAsia="Times New Roman" w:cs="Times New Roman"/>
          <w:lang w:eastAsia="de-DE"/>
        </w:rPr>
        <w:t>(außer/nur) zeigen die beiden treuen Kundschafter als einzige Überlebende der Exodus-Generation.</w:t>
      </w:r>
    </w:p>
    <w:p w14:paraId="2852828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lang w:eastAsia="de-DE"/>
        </w:rPr>
        <w:t>αἰ ὑμεῖς εἰσελεύσεσθε</w:t>
      </w:r>
      <w:r w:rsidRPr="00C22013">
        <w:rPr>
          <w:rFonts w:eastAsia="Times New Roman" w:cs="Times New Roman"/>
          <w:lang w:eastAsia="de-DE"/>
        </w:rPr>
        <w:t xml:space="preserve"> mit ἐπάρας τὴν χεῖρά μου (ich erhob meine Hand) und </w:t>
      </w:r>
      <w:r w:rsidRPr="00C22013">
        <w:rPr>
          <w:rFonts w:eastAsia="Times New Roman" w:cs="Times New Roman"/>
          <w:b/>
          <w:bCs/>
          <w:lang w:eastAsia="de-DE"/>
        </w:rPr>
        <w:t>λ</w:t>
      </w:r>
      <w:r w:rsidRPr="00C22013">
        <w:rPr>
          <w:rFonts w:eastAsia="Times New Roman" w:cs="Times New Roman"/>
          <w:b/>
          <w:bCs/>
          <w:rtl/>
          <w:lang w:eastAsia="de-DE"/>
        </w:rPr>
        <w:t>ְשַׁכֵּן</w:t>
      </w:r>
      <w:r w:rsidRPr="00C22013">
        <w:rPr>
          <w:rFonts w:eastAsia="Times New Roman" w:cs="Times New Roman"/>
          <w:rtl/>
          <w:lang w:eastAsia="de-DE"/>
        </w:rPr>
        <w:t xml:space="preserve"> </w:t>
      </w:r>
      <w:r w:rsidRPr="00C22013">
        <w:rPr>
          <w:rFonts w:eastAsia="Times New Roman" w:cs="Times New Roman"/>
          <w:lang w:eastAsia="de-DE"/>
        </w:rPr>
        <w:t>mit κατασκηνῶσαι (wohnen zu lassen).</w:t>
      </w:r>
    </w:p>
    <w:p w14:paraId="0066647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negative Schwurformel für generellen Landausschluss, Erinnerung an ursprüngliche Verheißung und spezifische Ausnahmen.</w:t>
      </w:r>
    </w:p>
    <w:p w14:paraId="7328E08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bestätigt den Landausschluss für die gesamte Generation mit Ausnahme der beiden treuen Kundschafter.</w:t>
      </w:r>
    </w:p>
    <w:p w14:paraId="023A76D6"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14,31</w:t>
      </w:r>
    </w:p>
    <w:p w14:paraId="17ED9EE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וְטַ֨פְּכֶ֔ם אֲשֶׁ֥ר אֲמַרְתֶּ֖ם לָבַ֣ז יִהְיֶ֑ה וְהֵבֵיאתִ֣י אֹתָ֔ם וְיָֽדְעוּ֙ אֶת־הָאָ֔רֶץ אֲשֶׁ֥ר מְאַסְתֶּ֖ם בָּֽהּ׃</w:t>
      </w:r>
    </w:p>
    <w:p w14:paraId="11F4B48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eure Kinder, von denen ihr gesagt habt, sie werden zur Beute werden, die will ich hineinbringen, und sie sollen das Land kennenlernen, das ihr verschmäht habt.</w:t>
      </w:r>
    </w:p>
    <w:p w14:paraId="73BE252F"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1C710075">
          <v:rect id="_x0000_i1483" style="width:0;height:1.5pt" o:hralign="center" o:hrstd="t" o:hr="t" fillcolor="#a0a0a0" stroked="f"/>
        </w:pict>
      </w:r>
    </w:p>
    <w:p w14:paraId="60A5783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ironische Umkehrung </w:t>
      </w:r>
      <w:r w:rsidRPr="00C22013">
        <w:rPr>
          <w:rFonts w:eastAsia="Times New Roman" w:cs="Times New Roman"/>
          <w:b/>
          <w:bCs/>
          <w:rtl/>
          <w:lang w:eastAsia="de-DE"/>
        </w:rPr>
        <w:t>וְטַ֨פְּכֶ֔ם אֲשֶׁ֥ר אֲמַרְתֶּ֖ם לָבַ֣ז יִהְיֶ֑ה</w:t>
      </w:r>
      <w:r w:rsidRPr="00C22013">
        <w:rPr>
          <w:rFonts w:eastAsia="Times New Roman" w:cs="Times New Roman"/>
          <w:rtl/>
          <w:lang w:eastAsia="de-DE"/>
        </w:rPr>
        <w:t xml:space="preserve"> </w:t>
      </w:r>
      <w:r w:rsidRPr="00C22013">
        <w:rPr>
          <w:rFonts w:eastAsia="Times New Roman" w:cs="Times New Roman"/>
          <w:lang w:eastAsia="de-DE"/>
        </w:rPr>
        <w:t xml:space="preserve">(und eure Kinder, von denen ihr gesagt habt, sie werden zur Beute) mit </w:t>
      </w:r>
      <w:r w:rsidRPr="00C22013">
        <w:rPr>
          <w:rFonts w:eastAsia="Times New Roman" w:cs="Times New Roman"/>
          <w:b/>
          <w:bCs/>
          <w:rtl/>
          <w:lang w:eastAsia="de-DE"/>
        </w:rPr>
        <w:t>טַפְּכֶם</w:t>
      </w:r>
      <w:r w:rsidRPr="00C22013">
        <w:rPr>
          <w:rFonts w:eastAsia="Times New Roman" w:cs="Times New Roman"/>
          <w:rtl/>
          <w:lang w:eastAsia="de-DE"/>
        </w:rPr>
        <w:t xml:space="preserve"> </w:t>
      </w:r>
      <w:r w:rsidRPr="00C22013">
        <w:rPr>
          <w:rFonts w:eastAsia="Times New Roman" w:cs="Times New Roman"/>
          <w:lang w:eastAsia="de-DE"/>
        </w:rPr>
        <w:t xml:space="preserve">(eure Kinder), </w:t>
      </w:r>
      <w:r w:rsidRPr="00C22013">
        <w:rPr>
          <w:rFonts w:eastAsia="Times New Roman" w:cs="Times New Roman"/>
          <w:b/>
          <w:bCs/>
          <w:rtl/>
          <w:lang w:eastAsia="de-DE"/>
        </w:rPr>
        <w:t>אֲמַרְתֶּם</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אמר</w:t>
      </w:r>
      <w:r w:rsidRPr="00C22013">
        <w:rPr>
          <w:rFonts w:eastAsia="Times New Roman" w:cs="Times New Roman"/>
          <w:rtl/>
          <w:lang w:eastAsia="de-DE"/>
        </w:rPr>
        <w:t xml:space="preserve"> </w:t>
      </w:r>
      <w:r w:rsidRPr="00C22013">
        <w:rPr>
          <w:rFonts w:eastAsia="Times New Roman" w:cs="Times New Roman"/>
          <w:lang w:eastAsia="de-DE"/>
        </w:rPr>
        <w:t xml:space="preserve">(sagen) und </w:t>
      </w:r>
      <w:r w:rsidRPr="00C22013">
        <w:rPr>
          <w:rFonts w:eastAsia="Times New Roman" w:cs="Times New Roman"/>
          <w:b/>
          <w:bCs/>
          <w:rtl/>
          <w:lang w:eastAsia="de-DE"/>
        </w:rPr>
        <w:t>לָבַז יִהְיֶה</w:t>
      </w:r>
      <w:r w:rsidRPr="00C22013">
        <w:rPr>
          <w:rFonts w:eastAsia="Times New Roman" w:cs="Times New Roman"/>
          <w:rtl/>
          <w:lang w:eastAsia="de-DE"/>
        </w:rPr>
        <w:t xml:space="preserve"> </w:t>
      </w:r>
      <w:r w:rsidRPr="00C22013">
        <w:rPr>
          <w:rFonts w:eastAsia="Times New Roman" w:cs="Times New Roman"/>
          <w:lang w:eastAsia="de-DE"/>
        </w:rPr>
        <w:t>(zur Beute werden) zitiert die eigenen Worte des Volkes aus 14,3.</w:t>
      </w:r>
    </w:p>
    <w:p w14:paraId="4702488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 xml:space="preserve">Die göttliche Verheißung </w:t>
      </w:r>
      <w:r w:rsidRPr="00C22013">
        <w:rPr>
          <w:rFonts w:eastAsia="Times New Roman" w:cs="Times New Roman"/>
          <w:b/>
          <w:bCs/>
          <w:rtl/>
          <w:lang w:eastAsia="de-DE"/>
        </w:rPr>
        <w:t>וְהֵבֵיאתִ֣י אֹתָ֔ם וְיָֽדְעוּ֙ אֶת־הָאָ֔רֶץ אֲשֶׁ֥ר מְאַסְתֶּ֖ם בָּֽהּ</w:t>
      </w:r>
      <w:r w:rsidRPr="00C22013">
        <w:rPr>
          <w:rFonts w:eastAsia="Times New Roman" w:cs="Times New Roman"/>
          <w:rtl/>
          <w:lang w:eastAsia="de-DE"/>
        </w:rPr>
        <w:t xml:space="preserve"> </w:t>
      </w:r>
      <w:r w:rsidRPr="00C22013">
        <w:rPr>
          <w:rFonts w:eastAsia="Times New Roman" w:cs="Times New Roman"/>
          <w:lang w:eastAsia="de-DE"/>
        </w:rPr>
        <w:t xml:space="preserve">(und ich will sie hineinbringen, und sie sollen das Land kennenlernen, das ihr verschmäht habt) mit </w:t>
      </w:r>
      <w:r w:rsidRPr="00C22013">
        <w:rPr>
          <w:rFonts w:eastAsia="Times New Roman" w:cs="Times New Roman"/>
          <w:b/>
          <w:bCs/>
          <w:rtl/>
          <w:lang w:eastAsia="de-DE"/>
        </w:rPr>
        <w:t>הֵבֵיאתִי אֹתָם</w:t>
      </w:r>
      <w:r w:rsidRPr="00C22013">
        <w:rPr>
          <w:rFonts w:eastAsia="Times New Roman" w:cs="Times New Roman"/>
          <w:rtl/>
          <w:lang w:eastAsia="de-DE"/>
        </w:rPr>
        <w:t xml:space="preserve"> </w:t>
      </w:r>
      <w:r w:rsidRPr="00C22013">
        <w:rPr>
          <w:rFonts w:eastAsia="Times New Roman" w:cs="Times New Roman"/>
          <w:lang w:eastAsia="de-DE"/>
        </w:rPr>
        <w:t xml:space="preserve">(ich will sie hineinbringen) von </w:t>
      </w:r>
      <w:r w:rsidRPr="00C22013">
        <w:rPr>
          <w:rFonts w:eastAsia="Times New Roman" w:cs="Times New Roman"/>
          <w:b/>
          <w:bCs/>
          <w:rtl/>
          <w:lang w:eastAsia="de-DE"/>
        </w:rPr>
        <w:t>בוא</w:t>
      </w:r>
      <w:r w:rsidRPr="00C22013">
        <w:rPr>
          <w:rFonts w:eastAsia="Times New Roman" w:cs="Times New Roman"/>
          <w:rtl/>
          <w:lang w:eastAsia="de-DE"/>
        </w:rPr>
        <w:t xml:space="preserve"> </w:t>
      </w:r>
      <w:r w:rsidRPr="00C22013">
        <w:rPr>
          <w:rFonts w:eastAsia="Times New Roman" w:cs="Times New Roman"/>
          <w:lang w:eastAsia="de-DE"/>
        </w:rPr>
        <w:t xml:space="preserve">(bringen) im Hiph'il, </w:t>
      </w:r>
      <w:r w:rsidRPr="00C22013">
        <w:rPr>
          <w:rFonts w:eastAsia="Times New Roman" w:cs="Times New Roman"/>
          <w:b/>
          <w:bCs/>
          <w:rtl/>
          <w:lang w:eastAsia="de-DE"/>
        </w:rPr>
        <w:t>יָדְעוּ אֶת־הָאָרֶץ</w:t>
      </w:r>
      <w:r w:rsidRPr="00C22013">
        <w:rPr>
          <w:rFonts w:eastAsia="Times New Roman" w:cs="Times New Roman"/>
          <w:rtl/>
          <w:lang w:eastAsia="de-DE"/>
        </w:rPr>
        <w:t xml:space="preserve"> </w:t>
      </w:r>
      <w:r w:rsidRPr="00C22013">
        <w:rPr>
          <w:rFonts w:eastAsia="Times New Roman" w:cs="Times New Roman"/>
          <w:lang w:eastAsia="de-DE"/>
        </w:rPr>
        <w:t xml:space="preserve">(sie sollen das Land kennenlernen) von </w:t>
      </w:r>
      <w:r w:rsidRPr="00C22013">
        <w:rPr>
          <w:rFonts w:eastAsia="Times New Roman" w:cs="Times New Roman"/>
          <w:b/>
          <w:bCs/>
          <w:rtl/>
          <w:lang w:eastAsia="de-DE"/>
        </w:rPr>
        <w:t>ידע</w:t>
      </w:r>
      <w:r w:rsidRPr="00C22013">
        <w:rPr>
          <w:rFonts w:eastAsia="Times New Roman" w:cs="Times New Roman"/>
          <w:rtl/>
          <w:lang w:eastAsia="de-DE"/>
        </w:rPr>
        <w:t xml:space="preserve"> </w:t>
      </w:r>
      <w:r w:rsidRPr="00C22013">
        <w:rPr>
          <w:rFonts w:eastAsia="Times New Roman" w:cs="Times New Roman"/>
          <w:lang w:eastAsia="de-DE"/>
        </w:rPr>
        <w:t xml:space="preserve">(erkennen/kennenlernen) und </w:t>
      </w:r>
      <w:r w:rsidRPr="00C22013">
        <w:rPr>
          <w:rFonts w:eastAsia="Times New Roman" w:cs="Times New Roman"/>
          <w:b/>
          <w:bCs/>
          <w:rtl/>
          <w:lang w:eastAsia="de-DE"/>
        </w:rPr>
        <w:t>מְאַסְתֶּם בָּהּ</w:t>
      </w:r>
      <w:r w:rsidRPr="00C22013">
        <w:rPr>
          <w:rFonts w:eastAsia="Times New Roman" w:cs="Times New Roman"/>
          <w:rtl/>
          <w:lang w:eastAsia="de-DE"/>
        </w:rPr>
        <w:t xml:space="preserve"> </w:t>
      </w:r>
      <w:r w:rsidRPr="00C22013">
        <w:rPr>
          <w:rFonts w:eastAsia="Times New Roman" w:cs="Times New Roman"/>
          <w:lang w:eastAsia="de-DE"/>
        </w:rPr>
        <w:t xml:space="preserve">(ihr habt es verschmäht) von </w:t>
      </w:r>
      <w:r w:rsidRPr="00C22013">
        <w:rPr>
          <w:rFonts w:eastAsia="Times New Roman" w:cs="Times New Roman"/>
          <w:b/>
          <w:bCs/>
          <w:rtl/>
          <w:lang w:eastAsia="de-DE"/>
        </w:rPr>
        <w:t>מאס</w:t>
      </w:r>
      <w:r w:rsidRPr="00C22013">
        <w:rPr>
          <w:rFonts w:eastAsia="Times New Roman" w:cs="Times New Roman"/>
          <w:rtl/>
          <w:lang w:eastAsia="de-DE"/>
        </w:rPr>
        <w:t xml:space="preserve"> </w:t>
      </w:r>
      <w:r w:rsidRPr="00C22013">
        <w:rPr>
          <w:rFonts w:eastAsia="Times New Roman" w:cs="Times New Roman"/>
          <w:lang w:eastAsia="de-DE"/>
        </w:rPr>
        <w:t>(verschmähen) zeigt die völlige Umkehrung: die als gefährdet bezeichneten Kinder werden das Land erben, das die Eltern ablehnten.</w:t>
      </w:r>
    </w:p>
    <w:p w14:paraId="3DA5156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טַפְּכֶם</w:t>
      </w:r>
      <w:r w:rsidRPr="00C22013">
        <w:rPr>
          <w:rFonts w:eastAsia="Times New Roman" w:cs="Times New Roman"/>
          <w:rtl/>
          <w:lang w:eastAsia="de-DE"/>
        </w:rPr>
        <w:t xml:space="preserve"> </w:t>
      </w:r>
      <w:r w:rsidRPr="00C22013">
        <w:rPr>
          <w:rFonts w:eastAsia="Times New Roman" w:cs="Times New Roman"/>
          <w:lang w:eastAsia="de-DE"/>
        </w:rPr>
        <w:t xml:space="preserve">mit τὰ παιδία ὑμῶν (eure Kinder), </w:t>
      </w:r>
      <w:r w:rsidRPr="00C22013">
        <w:rPr>
          <w:rFonts w:eastAsia="Times New Roman" w:cs="Times New Roman"/>
          <w:b/>
          <w:bCs/>
          <w:rtl/>
          <w:lang w:eastAsia="de-DE"/>
        </w:rPr>
        <w:t>לָבַז</w:t>
      </w:r>
      <w:r w:rsidRPr="00C22013">
        <w:rPr>
          <w:rFonts w:eastAsia="Times New Roman" w:cs="Times New Roman"/>
          <w:rtl/>
          <w:lang w:eastAsia="de-DE"/>
        </w:rPr>
        <w:t xml:space="preserve"> </w:t>
      </w:r>
      <w:r w:rsidRPr="00C22013">
        <w:rPr>
          <w:rFonts w:eastAsia="Times New Roman" w:cs="Times New Roman"/>
          <w:lang w:eastAsia="de-DE"/>
        </w:rPr>
        <w:t xml:space="preserve">mit διαρπαγή (Beute), </w:t>
      </w:r>
      <w:r w:rsidRPr="00C22013">
        <w:rPr>
          <w:rFonts w:eastAsia="Times New Roman" w:cs="Times New Roman"/>
          <w:b/>
          <w:bCs/>
          <w:rtl/>
          <w:lang w:eastAsia="de-DE"/>
        </w:rPr>
        <w:t>הֵבֵיאתִי</w:t>
      </w:r>
      <w:r w:rsidRPr="00C22013">
        <w:rPr>
          <w:rFonts w:eastAsia="Times New Roman" w:cs="Times New Roman"/>
          <w:rtl/>
          <w:lang w:eastAsia="de-DE"/>
        </w:rPr>
        <w:t xml:space="preserve"> </w:t>
      </w:r>
      <w:r w:rsidRPr="00C22013">
        <w:rPr>
          <w:rFonts w:eastAsia="Times New Roman" w:cs="Times New Roman"/>
          <w:lang w:eastAsia="de-DE"/>
        </w:rPr>
        <w:t xml:space="preserve">mit εἰσάξω (ich werde hineinführen) und </w:t>
      </w:r>
      <w:r w:rsidRPr="00C22013">
        <w:rPr>
          <w:rFonts w:eastAsia="Times New Roman" w:cs="Times New Roman"/>
          <w:b/>
          <w:bCs/>
          <w:rtl/>
          <w:lang w:eastAsia="de-DE"/>
        </w:rPr>
        <w:t>מְאַסְתֶּם</w:t>
      </w:r>
      <w:r w:rsidRPr="00C22013">
        <w:rPr>
          <w:rFonts w:eastAsia="Times New Roman" w:cs="Times New Roman"/>
          <w:rtl/>
          <w:lang w:eastAsia="de-DE"/>
        </w:rPr>
        <w:t xml:space="preserve"> </w:t>
      </w:r>
      <w:r w:rsidRPr="00C22013">
        <w:rPr>
          <w:rFonts w:eastAsia="Times New Roman" w:cs="Times New Roman"/>
          <w:lang w:eastAsia="de-DE"/>
        </w:rPr>
        <w:t>mit ἠσθενήσατε (ihr wart schwach).</w:t>
      </w:r>
    </w:p>
    <w:p w14:paraId="01329FE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ironische Wortzitation, kontrastierende Verheißung und anklagende Charakterisierung der Elterngeneration.</w:t>
      </w:r>
    </w:p>
    <w:p w14:paraId="0E2E37F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göttliche Ironie: genau die Kinder, die angeblich gefährdet waren, werden das Land erben.</w:t>
      </w:r>
    </w:p>
    <w:p w14:paraId="1E24E129"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14,32</w:t>
      </w:r>
    </w:p>
    <w:p w14:paraId="07DEA14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וּפִגְרֵיכֶ֖ם אַתֶּ֑ם יִפְּל֖וּ בַּמִּדְבָּ֥ר הַזֶּֽה׃</w:t>
      </w:r>
    </w:p>
    <w:p w14:paraId="02DCCAB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Ihr aber, eure Leichen sollen in dieser Wüste fallen.</w:t>
      </w:r>
    </w:p>
    <w:p w14:paraId="6B588722"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62B4439">
          <v:rect id="_x0000_i1484" style="width:0;height:1.5pt" o:hralign="center" o:hrstd="t" o:hr="t" fillcolor="#a0a0a0" stroked="f"/>
        </w:pict>
      </w:r>
    </w:p>
    <w:p w14:paraId="3E450699" w14:textId="46B8D0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kontrastive Betonung </w:t>
      </w:r>
      <w:r w:rsidRPr="00C22013">
        <w:rPr>
          <w:rFonts w:eastAsia="Times New Roman" w:cs="Times New Roman"/>
          <w:b/>
          <w:bCs/>
          <w:rtl/>
          <w:lang w:eastAsia="de-DE"/>
        </w:rPr>
        <w:t>וּפִגְרֵיכֶ֖ם אַתֶּ֑ם יִפְּל֖וּ בַּמִּדְבָּ֥ר הַזֶּֽה</w:t>
      </w:r>
      <w:r w:rsidRPr="00C22013">
        <w:rPr>
          <w:rFonts w:eastAsia="Times New Roman" w:cs="Times New Roman"/>
          <w:rtl/>
          <w:lang w:eastAsia="de-DE"/>
        </w:rPr>
        <w:t xml:space="preserve"> </w:t>
      </w:r>
      <w:r w:rsidRPr="00C22013">
        <w:rPr>
          <w:rFonts w:eastAsia="Times New Roman" w:cs="Times New Roman"/>
          <w:lang w:eastAsia="de-DE"/>
        </w:rPr>
        <w:t xml:space="preserve">(und eure Leichen, ihr sollt in dieser Wüste fallen) mit </w:t>
      </w:r>
      <w:r w:rsidRPr="00C22013">
        <w:rPr>
          <w:rFonts w:eastAsia="Times New Roman" w:cs="Times New Roman"/>
          <w:b/>
          <w:bCs/>
          <w:rtl/>
          <w:lang w:eastAsia="de-DE"/>
        </w:rPr>
        <w:t>פִגְרֵיכֶם אַתֶּם</w:t>
      </w:r>
      <w:r w:rsidRPr="00C22013">
        <w:rPr>
          <w:rFonts w:eastAsia="Times New Roman" w:cs="Times New Roman"/>
          <w:rtl/>
          <w:lang w:eastAsia="de-DE"/>
        </w:rPr>
        <w:t xml:space="preserve"> </w:t>
      </w:r>
      <w:r w:rsidRPr="00C22013">
        <w:rPr>
          <w:rFonts w:eastAsia="Times New Roman" w:cs="Times New Roman"/>
          <w:lang w:eastAsia="de-DE"/>
        </w:rPr>
        <w:t xml:space="preserve">(eure Leichen, ihr) als emphatische </w:t>
      </w:r>
      <w:r w:rsidR="00F133EC">
        <w:rPr>
          <w:rFonts w:eastAsia="Times New Roman" w:cs="Times New Roman"/>
          <w:lang w:eastAsia="de-DE"/>
        </w:rPr>
        <w:t>Construct</w:t>
      </w:r>
      <w:r w:rsidRPr="00C22013">
        <w:rPr>
          <w:rFonts w:eastAsia="Times New Roman" w:cs="Times New Roman"/>
          <w:lang w:eastAsia="de-DE"/>
        </w:rPr>
        <w:t xml:space="preserve">ion, </w:t>
      </w:r>
      <w:r w:rsidRPr="00C22013">
        <w:rPr>
          <w:rFonts w:eastAsia="Times New Roman" w:cs="Times New Roman"/>
          <w:b/>
          <w:bCs/>
          <w:rtl/>
          <w:lang w:eastAsia="de-DE"/>
        </w:rPr>
        <w:t>יִפְּלוּ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נפל</w:t>
      </w:r>
      <w:r w:rsidRPr="00C22013">
        <w:rPr>
          <w:rFonts w:eastAsia="Times New Roman" w:cs="Times New Roman"/>
          <w:rtl/>
          <w:lang w:eastAsia="de-DE"/>
        </w:rPr>
        <w:t xml:space="preserve"> </w:t>
      </w:r>
      <w:r w:rsidRPr="00C22013">
        <w:rPr>
          <w:rFonts w:eastAsia="Times New Roman" w:cs="Times New Roman"/>
          <w:lang w:eastAsia="de-DE"/>
        </w:rPr>
        <w:t xml:space="preserve">(fallen) und </w:t>
      </w:r>
      <w:r w:rsidRPr="00C22013">
        <w:rPr>
          <w:rFonts w:eastAsia="Times New Roman" w:cs="Times New Roman"/>
          <w:b/>
          <w:bCs/>
          <w:rtl/>
          <w:lang w:eastAsia="de-DE"/>
        </w:rPr>
        <w:t>בַּמִּדְבָּר הַזֶּה</w:t>
      </w:r>
      <w:r w:rsidRPr="00C22013">
        <w:rPr>
          <w:rFonts w:eastAsia="Times New Roman" w:cs="Times New Roman"/>
          <w:rtl/>
          <w:lang w:eastAsia="de-DE"/>
        </w:rPr>
        <w:t xml:space="preserve"> </w:t>
      </w:r>
      <w:r w:rsidRPr="00C22013">
        <w:rPr>
          <w:rFonts w:eastAsia="Times New Roman" w:cs="Times New Roman"/>
          <w:lang w:eastAsia="de-DE"/>
        </w:rPr>
        <w:t>(in dieser Wüste) wiederholt das Urteil aus Vers 29 in verstärkter Form als direkter Kontrast zu den Kindern.</w:t>
      </w:r>
    </w:p>
    <w:p w14:paraId="791AE94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פִגְרֵיכֶם</w:t>
      </w:r>
      <w:r w:rsidRPr="00C22013">
        <w:rPr>
          <w:rFonts w:eastAsia="Times New Roman" w:cs="Times New Roman"/>
          <w:rtl/>
          <w:lang w:eastAsia="de-DE"/>
        </w:rPr>
        <w:t xml:space="preserve"> </w:t>
      </w:r>
      <w:r w:rsidRPr="00C22013">
        <w:rPr>
          <w:rFonts w:eastAsia="Times New Roman" w:cs="Times New Roman"/>
          <w:lang w:eastAsia="de-DE"/>
        </w:rPr>
        <w:t xml:space="preserve">mit τὰ κῶλα ὑμῶν (eure Körper) und </w:t>
      </w:r>
      <w:r w:rsidRPr="00C22013">
        <w:rPr>
          <w:rFonts w:eastAsia="Times New Roman" w:cs="Times New Roman"/>
          <w:b/>
          <w:bCs/>
          <w:rtl/>
          <w:lang w:eastAsia="de-DE"/>
        </w:rPr>
        <w:t>יִפְּלוּ</w:t>
      </w:r>
      <w:r w:rsidRPr="00C22013">
        <w:rPr>
          <w:rFonts w:eastAsia="Times New Roman" w:cs="Times New Roman"/>
          <w:rtl/>
          <w:lang w:eastAsia="de-DE"/>
        </w:rPr>
        <w:t xml:space="preserve"> </w:t>
      </w:r>
      <w:r w:rsidRPr="00C22013">
        <w:rPr>
          <w:rFonts w:eastAsia="Times New Roman" w:cs="Times New Roman"/>
          <w:lang w:eastAsia="de-DE"/>
        </w:rPr>
        <w:t>mit πεσεῖται (sie werden fallen).</w:t>
      </w:r>
    </w:p>
    <w:p w14:paraId="187456D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kontrastive Betonung mit emphatischer Wiederholung des Todesurteils.</w:t>
      </w:r>
    </w:p>
    <w:p w14:paraId="4234F86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kurze, eindringliche Vers verstärkt den Kontrast zwischen dem Schicksal der Eltern (Tod) und der Kinder (Leben im Land).</w:t>
      </w:r>
    </w:p>
    <w:p w14:paraId="0529A5DE"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14,33</w:t>
      </w:r>
    </w:p>
    <w:p w14:paraId="29CCD61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וּ֠בְנֵיכֶם יִהְי֨וּ רֹעִ֤ים בַּמִּדְבָּר֙ אַרְבָּעִ֣ים שָׁנָ֔ה וְנָשְׂא֖וּ אֶת־זְנוּתֵיכֶ֑ם עַד־תֹּ֥ם פִּגְרֵיכֶ֖ם בַּמִּדְבָּֽר׃</w:t>
      </w:r>
    </w:p>
    <w:p w14:paraId="323E232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eure Kinder sollen 40 Jahre lang in der Wüste weiden und eure Hurereien tragen, bis eure Leichen in der Wüste aufgerieben sind.</w:t>
      </w:r>
    </w:p>
    <w:p w14:paraId="14D726C6"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4E50FA1">
          <v:rect id="_x0000_i1485" style="width:0;height:1.5pt" o:hralign="center" o:hrstd="t" o:hr="t" fillcolor="#a0a0a0" stroked="f"/>
        </w:pict>
      </w:r>
    </w:p>
    <w:p w14:paraId="1CF735B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Zwischenzeit </w:t>
      </w:r>
      <w:r w:rsidRPr="00C22013">
        <w:rPr>
          <w:rFonts w:eastAsia="Times New Roman" w:cs="Times New Roman"/>
          <w:b/>
          <w:bCs/>
          <w:rtl/>
          <w:lang w:eastAsia="de-DE"/>
        </w:rPr>
        <w:t>וּ֠בְנֵיכֶם יִהְי֨וּ רֹעִ֤ים בַּמִּדְבָּר֙ אַרְבָּעִ֣ים שָׁנָ֔ה</w:t>
      </w:r>
      <w:r w:rsidRPr="00C22013">
        <w:rPr>
          <w:rFonts w:eastAsia="Times New Roman" w:cs="Times New Roman"/>
          <w:rtl/>
          <w:lang w:eastAsia="de-DE"/>
        </w:rPr>
        <w:t xml:space="preserve"> </w:t>
      </w:r>
      <w:r w:rsidRPr="00C22013">
        <w:rPr>
          <w:rFonts w:eastAsia="Times New Roman" w:cs="Times New Roman"/>
          <w:lang w:eastAsia="de-DE"/>
        </w:rPr>
        <w:t xml:space="preserve">(und eure Kinder sollen vierzig Jahre lang in der Wüste weiden) mit </w:t>
      </w:r>
      <w:r w:rsidRPr="00C22013">
        <w:rPr>
          <w:rFonts w:eastAsia="Times New Roman" w:cs="Times New Roman"/>
          <w:b/>
          <w:bCs/>
          <w:rtl/>
          <w:lang w:eastAsia="de-DE"/>
        </w:rPr>
        <w:t>בְנֵיכֶם</w:t>
      </w:r>
      <w:r w:rsidRPr="00C22013">
        <w:rPr>
          <w:rFonts w:eastAsia="Times New Roman" w:cs="Times New Roman"/>
          <w:rtl/>
          <w:lang w:eastAsia="de-DE"/>
        </w:rPr>
        <w:t xml:space="preserve"> </w:t>
      </w:r>
      <w:r w:rsidRPr="00C22013">
        <w:rPr>
          <w:rFonts w:eastAsia="Times New Roman" w:cs="Times New Roman"/>
          <w:lang w:eastAsia="de-DE"/>
        </w:rPr>
        <w:t xml:space="preserve">(eure Kinder), </w:t>
      </w:r>
      <w:r w:rsidRPr="00C22013">
        <w:rPr>
          <w:rFonts w:eastAsia="Times New Roman" w:cs="Times New Roman"/>
          <w:b/>
          <w:bCs/>
          <w:rtl/>
          <w:lang w:eastAsia="de-DE"/>
        </w:rPr>
        <w:t>יִהְיוּ רֹעִים</w:t>
      </w:r>
      <w:r w:rsidRPr="00C22013">
        <w:rPr>
          <w:rFonts w:eastAsia="Times New Roman" w:cs="Times New Roman"/>
          <w:rtl/>
          <w:lang w:eastAsia="de-DE"/>
        </w:rPr>
        <w:t xml:space="preserve"> </w:t>
      </w:r>
      <w:r w:rsidRPr="00C22013">
        <w:rPr>
          <w:rFonts w:eastAsia="Times New Roman" w:cs="Times New Roman"/>
          <w:lang w:eastAsia="de-DE"/>
        </w:rPr>
        <w:t xml:space="preserve">(sie sollen weiden) </w:t>
      </w:r>
      <w:r w:rsidRPr="00C22013">
        <w:rPr>
          <w:rFonts w:eastAsia="Times New Roman" w:cs="Times New Roman"/>
          <w:lang w:eastAsia="de-DE"/>
        </w:rPr>
        <w:lastRenderedPageBreak/>
        <w:t xml:space="preserve">von </w:t>
      </w:r>
      <w:r w:rsidRPr="00C22013">
        <w:rPr>
          <w:rFonts w:eastAsia="Times New Roman" w:cs="Times New Roman"/>
          <w:b/>
          <w:bCs/>
          <w:rtl/>
          <w:lang w:eastAsia="de-DE"/>
        </w:rPr>
        <w:t>רעה</w:t>
      </w:r>
      <w:r w:rsidRPr="00C22013">
        <w:rPr>
          <w:rFonts w:eastAsia="Times New Roman" w:cs="Times New Roman"/>
          <w:rtl/>
          <w:lang w:eastAsia="de-DE"/>
        </w:rPr>
        <w:t xml:space="preserve"> </w:t>
      </w:r>
      <w:r w:rsidRPr="00C22013">
        <w:rPr>
          <w:rFonts w:eastAsia="Times New Roman" w:cs="Times New Roman"/>
          <w:lang w:eastAsia="de-DE"/>
        </w:rPr>
        <w:t xml:space="preserve">(weiden) als Metapher für nomadisches Leben und </w:t>
      </w:r>
      <w:r w:rsidRPr="00C22013">
        <w:rPr>
          <w:rFonts w:eastAsia="Times New Roman" w:cs="Times New Roman"/>
          <w:b/>
          <w:bCs/>
          <w:rtl/>
          <w:lang w:eastAsia="de-DE"/>
        </w:rPr>
        <w:t>אַרְבָּעִים שָׁנָה</w:t>
      </w:r>
      <w:r w:rsidRPr="00C22013">
        <w:rPr>
          <w:rFonts w:eastAsia="Times New Roman" w:cs="Times New Roman"/>
          <w:rtl/>
          <w:lang w:eastAsia="de-DE"/>
        </w:rPr>
        <w:t xml:space="preserve"> </w:t>
      </w:r>
      <w:r w:rsidRPr="00C22013">
        <w:rPr>
          <w:rFonts w:eastAsia="Times New Roman" w:cs="Times New Roman"/>
          <w:lang w:eastAsia="de-DE"/>
        </w:rPr>
        <w:t>(vierzig Jahre) zeigt die Wartezeit bis zur Landnahme.</w:t>
      </w:r>
    </w:p>
    <w:p w14:paraId="52D4D21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Konsequenz </w:t>
      </w:r>
      <w:r w:rsidRPr="00C22013">
        <w:rPr>
          <w:rFonts w:eastAsia="Times New Roman" w:cs="Times New Roman"/>
          <w:b/>
          <w:bCs/>
          <w:rtl/>
          <w:lang w:eastAsia="de-DE"/>
        </w:rPr>
        <w:t>וְנָשְׂא֖וּ אֶת־זְנוּתֵיכֶ֑ם עַד־תֹּ֥ם פִּגְרֵיכֶ֖ם בַּמִּדְבָּֽר</w:t>
      </w:r>
      <w:r w:rsidRPr="00C22013">
        <w:rPr>
          <w:rFonts w:eastAsia="Times New Roman" w:cs="Times New Roman"/>
          <w:rtl/>
          <w:lang w:eastAsia="de-DE"/>
        </w:rPr>
        <w:t xml:space="preserve"> </w:t>
      </w:r>
      <w:r w:rsidRPr="00C22013">
        <w:rPr>
          <w:rFonts w:eastAsia="Times New Roman" w:cs="Times New Roman"/>
          <w:lang w:eastAsia="de-DE"/>
        </w:rPr>
        <w:t xml:space="preserve">(und sie sollen eure Hurereien tragen, bis eure Leichen in der Wüste aufgerieben sind) mit </w:t>
      </w:r>
      <w:r w:rsidRPr="00C22013">
        <w:rPr>
          <w:rFonts w:eastAsia="Times New Roman" w:cs="Times New Roman"/>
          <w:b/>
          <w:bCs/>
          <w:rtl/>
          <w:lang w:eastAsia="de-DE"/>
        </w:rPr>
        <w:t>נָשְׂאוּ אֶת־זְנוּתֵיכֶם</w:t>
      </w:r>
      <w:r w:rsidRPr="00C22013">
        <w:rPr>
          <w:rFonts w:eastAsia="Times New Roman" w:cs="Times New Roman"/>
          <w:rtl/>
          <w:lang w:eastAsia="de-DE"/>
        </w:rPr>
        <w:t xml:space="preserve"> </w:t>
      </w:r>
      <w:r w:rsidRPr="00C22013">
        <w:rPr>
          <w:rFonts w:eastAsia="Times New Roman" w:cs="Times New Roman"/>
          <w:lang w:eastAsia="de-DE"/>
        </w:rPr>
        <w:t xml:space="preserve">(sie sollen eure Hurereien tragen) - </w:t>
      </w:r>
      <w:r w:rsidRPr="00C22013">
        <w:rPr>
          <w:rFonts w:eastAsia="Times New Roman" w:cs="Times New Roman"/>
          <w:b/>
          <w:bCs/>
          <w:rtl/>
          <w:lang w:eastAsia="de-DE"/>
        </w:rPr>
        <w:t>זְנוּת</w:t>
      </w:r>
      <w:r w:rsidRPr="00C22013">
        <w:rPr>
          <w:rFonts w:eastAsia="Times New Roman" w:cs="Times New Roman"/>
          <w:rtl/>
          <w:lang w:eastAsia="de-DE"/>
        </w:rPr>
        <w:t xml:space="preserve"> </w:t>
      </w:r>
      <w:r w:rsidRPr="00C22013">
        <w:rPr>
          <w:rFonts w:eastAsia="Times New Roman" w:cs="Times New Roman"/>
          <w:lang w:eastAsia="de-DE"/>
        </w:rPr>
        <w:t xml:space="preserve">(Hurerei) als Metapher für Untreue gegen Gott, </w:t>
      </w:r>
      <w:r w:rsidRPr="00C22013">
        <w:rPr>
          <w:rFonts w:eastAsia="Times New Roman" w:cs="Times New Roman"/>
          <w:b/>
          <w:bCs/>
          <w:rtl/>
          <w:lang w:eastAsia="de-DE"/>
        </w:rPr>
        <w:t>עַד־תֹּם</w:t>
      </w:r>
      <w:r w:rsidRPr="00C22013">
        <w:rPr>
          <w:rFonts w:eastAsia="Times New Roman" w:cs="Times New Roman"/>
          <w:rtl/>
          <w:lang w:eastAsia="de-DE"/>
        </w:rPr>
        <w:t xml:space="preserve"> </w:t>
      </w:r>
      <w:r w:rsidRPr="00C22013">
        <w:rPr>
          <w:rFonts w:eastAsia="Times New Roman" w:cs="Times New Roman"/>
          <w:lang w:eastAsia="de-DE"/>
        </w:rPr>
        <w:t xml:space="preserve">(bis zur Vollendung/bis aufgerieben sind) von </w:t>
      </w:r>
      <w:r w:rsidRPr="00C22013">
        <w:rPr>
          <w:rFonts w:eastAsia="Times New Roman" w:cs="Times New Roman"/>
          <w:b/>
          <w:bCs/>
          <w:rtl/>
          <w:lang w:eastAsia="de-DE"/>
        </w:rPr>
        <w:t>תמם</w:t>
      </w:r>
      <w:r w:rsidRPr="00C22013">
        <w:rPr>
          <w:rFonts w:eastAsia="Times New Roman" w:cs="Times New Roman"/>
          <w:rtl/>
          <w:lang w:eastAsia="de-DE"/>
        </w:rPr>
        <w:t xml:space="preserve"> </w:t>
      </w:r>
      <w:r w:rsidRPr="00C22013">
        <w:rPr>
          <w:rFonts w:eastAsia="Times New Roman" w:cs="Times New Roman"/>
          <w:lang w:eastAsia="de-DE"/>
        </w:rPr>
        <w:t xml:space="preserve">(vollenden/beenden) und </w:t>
      </w:r>
      <w:r w:rsidRPr="00C22013">
        <w:rPr>
          <w:rFonts w:eastAsia="Times New Roman" w:cs="Times New Roman"/>
          <w:b/>
          <w:bCs/>
          <w:rtl/>
          <w:lang w:eastAsia="de-DE"/>
        </w:rPr>
        <w:t>פִּגְרֵיכֶם בַּמִּדְבָּר</w:t>
      </w:r>
      <w:r w:rsidRPr="00C22013">
        <w:rPr>
          <w:rFonts w:eastAsia="Times New Roman" w:cs="Times New Roman"/>
          <w:rtl/>
          <w:lang w:eastAsia="de-DE"/>
        </w:rPr>
        <w:t xml:space="preserve"> </w:t>
      </w:r>
      <w:r w:rsidRPr="00C22013">
        <w:rPr>
          <w:rFonts w:eastAsia="Times New Roman" w:cs="Times New Roman"/>
          <w:lang w:eastAsia="de-DE"/>
        </w:rPr>
        <w:t>(eure Leichen in der Wüste) zeigt, dass die Kinder die Folgen der elterlichen Rebellion mittragen müssen.</w:t>
      </w:r>
    </w:p>
    <w:p w14:paraId="498CE565" w14:textId="5F71EB56"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184967">
        <w:t>übersetzt „</w:t>
      </w:r>
      <w:r w:rsidR="00184967" w:rsidRPr="00184967">
        <w:rPr>
          <w:b/>
          <w:bCs/>
          <w:rtl/>
        </w:rPr>
        <w:t>יִהְיוּ רֹעִים</w:t>
      </w:r>
      <w:r w:rsidR="00184967">
        <w:t>" (werden Hirten sein/weiden) mit „ἔσονται νεμόμενοι" (werden weiden/umherwandern), und das hebräische „</w:t>
      </w:r>
      <w:r w:rsidR="00184967" w:rsidRPr="00184967">
        <w:rPr>
          <w:b/>
          <w:bCs/>
          <w:rtl/>
        </w:rPr>
        <w:t>זְנוּתֵיכֶם</w:t>
      </w:r>
      <w:r w:rsidR="00184967">
        <w:t>" (eure Untreue/Hurerei) wird zu „τὴν πορνείαν ὑμῶν" (eure Hurerei), wobei die LXX den sexuellen Aspekt der Metapher beibehält.</w:t>
      </w:r>
    </w:p>
    <w:p w14:paraId="3D49252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Übergangszeit-Bestimmung mit metaphorischer Lebensweise und Konsequenz-Tragung bis zur Generationsablösung.</w:t>
      </w:r>
    </w:p>
    <w:p w14:paraId="3A229A9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tragischen Folgen der Rebellion: auch die unschuldigen Kinder müssen vierzig Jahre warten und die Folgen der elterlichen Untreue mittragen.</w:t>
      </w:r>
    </w:p>
    <w:p w14:paraId="5C9060E6"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14,34</w:t>
      </w:r>
    </w:p>
    <w:p w14:paraId="29E2488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בְּמִסְפַּ֨ר הַיָּמִ֜ים אֲשֶׁר־תַּרְתֶּ֣ם אֶת־הָאָרֶץ֮ אַרְבָּעִ֣ים יוֹם֒ י֣וֹם לַשָּׁנָ֞ה י֣וֹם לַשָּׁנָ֗ה תִּשְׂאוּ֙ אֶת־עֲוֹנֹ֣תֵיכֶ֔ם אַרְבָּעִ֖ים שָׁנָ֑ה וִֽידַעְתֶּ֖ם אֶת־תְּנוּאָתִֽי׃</w:t>
      </w:r>
    </w:p>
    <w:p w14:paraId="6905F96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Nach der Zahl der Tage, die ihr das Land ausgekundschaftet habt, 40 Tage, je einen Tag für ein Jahr, sollt ihr 40 Jahre lang eure Verschuldungen tragen, und ihr sollt erkennen meine Abwendung.</w:t>
      </w:r>
    </w:p>
    <w:p w14:paraId="253DB664"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29573EC">
          <v:rect id="_x0000_i1486" style="width:0;height:1.5pt" o:hralign="center" o:hrstd="t" o:hr="t" fillcolor="#a0a0a0" stroked="f"/>
        </w:pict>
      </w:r>
    </w:p>
    <w:p w14:paraId="4B8AE93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mathematische Entsprechung </w:t>
      </w:r>
      <w:r w:rsidRPr="00C22013">
        <w:rPr>
          <w:rFonts w:eastAsia="Times New Roman" w:cs="Times New Roman"/>
          <w:b/>
          <w:bCs/>
          <w:rtl/>
          <w:lang w:eastAsia="de-DE"/>
        </w:rPr>
        <w:t>בְּמִסְפַּ֨ר הַיָּמִ֜ים אֲשֶׁר־תַּרְתֶּ֣ם אֶת־הָאָרֶץ֮ אַרְבָּעִ֣ים יוֹם֒</w:t>
      </w:r>
      <w:r w:rsidRPr="00C22013">
        <w:rPr>
          <w:rFonts w:eastAsia="Times New Roman" w:cs="Times New Roman"/>
          <w:rtl/>
          <w:lang w:eastAsia="de-DE"/>
        </w:rPr>
        <w:t xml:space="preserve"> </w:t>
      </w:r>
      <w:r w:rsidRPr="00C22013">
        <w:rPr>
          <w:rFonts w:eastAsia="Times New Roman" w:cs="Times New Roman"/>
          <w:lang w:eastAsia="de-DE"/>
        </w:rPr>
        <w:t xml:space="preserve">(nach der Zahl der Tage, die ihr das Land ausgekundschaftet habt, vierzig Tage) mit </w:t>
      </w:r>
      <w:r w:rsidRPr="00C22013">
        <w:rPr>
          <w:rFonts w:eastAsia="Times New Roman" w:cs="Times New Roman"/>
          <w:b/>
          <w:bCs/>
          <w:rtl/>
          <w:lang w:eastAsia="de-DE"/>
        </w:rPr>
        <w:t>בְּמִסְפַּר הַיָּמִים</w:t>
      </w:r>
      <w:r w:rsidRPr="00C22013">
        <w:rPr>
          <w:rFonts w:eastAsia="Times New Roman" w:cs="Times New Roman"/>
          <w:rtl/>
          <w:lang w:eastAsia="de-DE"/>
        </w:rPr>
        <w:t xml:space="preserve"> </w:t>
      </w:r>
      <w:r w:rsidRPr="00C22013">
        <w:rPr>
          <w:rFonts w:eastAsia="Times New Roman" w:cs="Times New Roman"/>
          <w:lang w:eastAsia="de-DE"/>
        </w:rPr>
        <w:t xml:space="preserve">(nach der Zahl der Tage), </w:t>
      </w:r>
      <w:r w:rsidRPr="00C22013">
        <w:rPr>
          <w:rFonts w:eastAsia="Times New Roman" w:cs="Times New Roman"/>
          <w:b/>
          <w:bCs/>
          <w:rtl/>
          <w:lang w:eastAsia="de-DE"/>
        </w:rPr>
        <w:t>תַּרְתֶּם אֶת־הָאָרֶץ</w:t>
      </w:r>
      <w:r w:rsidRPr="00C22013">
        <w:rPr>
          <w:rFonts w:eastAsia="Times New Roman" w:cs="Times New Roman"/>
          <w:rtl/>
          <w:lang w:eastAsia="de-DE"/>
        </w:rPr>
        <w:t xml:space="preserve"> </w:t>
      </w:r>
      <w:r w:rsidRPr="00C22013">
        <w:rPr>
          <w:rFonts w:eastAsia="Times New Roman" w:cs="Times New Roman"/>
          <w:lang w:eastAsia="de-DE"/>
        </w:rPr>
        <w:t xml:space="preserve">(ihr habt das Land erkundet) von </w:t>
      </w:r>
      <w:r w:rsidRPr="00C22013">
        <w:rPr>
          <w:rFonts w:eastAsia="Times New Roman" w:cs="Times New Roman"/>
          <w:b/>
          <w:bCs/>
          <w:rtl/>
          <w:lang w:eastAsia="de-DE"/>
        </w:rPr>
        <w:t>תור</w:t>
      </w:r>
      <w:r w:rsidRPr="00C22013">
        <w:rPr>
          <w:rFonts w:eastAsia="Times New Roman" w:cs="Times New Roman"/>
          <w:rtl/>
          <w:lang w:eastAsia="de-DE"/>
        </w:rPr>
        <w:t xml:space="preserve"> </w:t>
      </w:r>
      <w:r w:rsidRPr="00C22013">
        <w:rPr>
          <w:rFonts w:eastAsia="Times New Roman" w:cs="Times New Roman"/>
          <w:lang w:eastAsia="de-DE"/>
        </w:rPr>
        <w:t xml:space="preserve">(erkunden) und </w:t>
      </w:r>
      <w:r w:rsidRPr="00C22013">
        <w:rPr>
          <w:rFonts w:eastAsia="Times New Roman" w:cs="Times New Roman"/>
          <w:b/>
          <w:bCs/>
          <w:rtl/>
          <w:lang w:eastAsia="de-DE"/>
        </w:rPr>
        <w:t>אַרְבָּעִים יוֹם</w:t>
      </w:r>
      <w:r w:rsidRPr="00C22013">
        <w:rPr>
          <w:rFonts w:eastAsia="Times New Roman" w:cs="Times New Roman"/>
          <w:rtl/>
          <w:lang w:eastAsia="de-DE"/>
        </w:rPr>
        <w:t xml:space="preserve"> </w:t>
      </w:r>
      <w:r w:rsidRPr="00C22013">
        <w:rPr>
          <w:rFonts w:eastAsia="Times New Roman" w:cs="Times New Roman"/>
          <w:lang w:eastAsia="de-DE"/>
        </w:rPr>
        <w:t>(vierzig Tage) erinnert an die Dauer der Kundschaftermission.</w:t>
      </w:r>
    </w:p>
    <w:p w14:paraId="2B223A2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Umrechnungsformel </w:t>
      </w:r>
      <w:r w:rsidRPr="00C22013">
        <w:rPr>
          <w:rFonts w:eastAsia="Times New Roman" w:cs="Times New Roman"/>
          <w:b/>
          <w:bCs/>
          <w:rtl/>
          <w:lang w:eastAsia="de-DE"/>
        </w:rPr>
        <w:t>י֣וֹם לַשָּׁנָ֞ה י֣וֹם לַשָּׁנָ֗ה תִּשְׂאוּ֙ אֶת־עֲוֹנֹ֣תֵיכֶ֔ם אַרְבָּעִ֖ים שָׁנָ֑ה</w:t>
      </w:r>
      <w:r w:rsidRPr="00C22013">
        <w:rPr>
          <w:rFonts w:eastAsia="Times New Roman" w:cs="Times New Roman"/>
          <w:rtl/>
          <w:lang w:eastAsia="de-DE"/>
        </w:rPr>
        <w:t xml:space="preserve"> </w:t>
      </w:r>
      <w:r w:rsidRPr="00C22013">
        <w:rPr>
          <w:rFonts w:eastAsia="Times New Roman" w:cs="Times New Roman"/>
          <w:lang w:eastAsia="de-DE"/>
        </w:rPr>
        <w:t xml:space="preserve">(ein Tag für ein Jahr, ein Tag für ein Jahr sollt ihr eure Verschuldungen tragen, vierzig Jahre) mit der Wiederholung </w:t>
      </w:r>
      <w:r w:rsidRPr="00C22013">
        <w:rPr>
          <w:rFonts w:eastAsia="Times New Roman" w:cs="Times New Roman"/>
          <w:b/>
          <w:bCs/>
          <w:rtl/>
          <w:lang w:eastAsia="de-DE"/>
        </w:rPr>
        <w:t>יוֹם לַשָּׁנָה יוֹם לַשָּׁנָה</w:t>
      </w:r>
      <w:r w:rsidRPr="00C22013">
        <w:rPr>
          <w:rFonts w:eastAsia="Times New Roman" w:cs="Times New Roman"/>
          <w:rtl/>
          <w:lang w:eastAsia="de-DE"/>
        </w:rPr>
        <w:t xml:space="preserve"> </w:t>
      </w:r>
      <w:r w:rsidRPr="00C22013">
        <w:rPr>
          <w:rFonts w:eastAsia="Times New Roman" w:cs="Times New Roman"/>
          <w:lang w:eastAsia="de-DE"/>
        </w:rPr>
        <w:t xml:space="preserve">(ein Tag für ein Jahr, ein Tag für ein Jahr), </w:t>
      </w:r>
      <w:r w:rsidRPr="00C22013">
        <w:rPr>
          <w:rFonts w:eastAsia="Times New Roman" w:cs="Times New Roman"/>
          <w:b/>
          <w:bCs/>
          <w:rtl/>
          <w:lang w:eastAsia="de-DE"/>
        </w:rPr>
        <w:t>תִּשְׂאוּ אֶת־עֲוֹנֹתֵיכֶם</w:t>
      </w:r>
      <w:r w:rsidRPr="00C22013">
        <w:rPr>
          <w:rFonts w:eastAsia="Times New Roman" w:cs="Times New Roman"/>
          <w:rtl/>
          <w:lang w:eastAsia="de-DE"/>
        </w:rPr>
        <w:t xml:space="preserve"> </w:t>
      </w:r>
      <w:r w:rsidRPr="00C22013">
        <w:rPr>
          <w:rFonts w:eastAsia="Times New Roman" w:cs="Times New Roman"/>
          <w:lang w:eastAsia="de-DE"/>
        </w:rPr>
        <w:t xml:space="preserve">(ihr sollt eure Verschuldungen tragen) von </w:t>
      </w:r>
      <w:r w:rsidRPr="00C22013">
        <w:rPr>
          <w:rFonts w:eastAsia="Times New Roman" w:cs="Times New Roman"/>
          <w:b/>
          <w:bCs/>
          <w:rtl/>
          <w:lang w:eastAsia="de-DE"/>
        </w:rPr>
        <w:t>נשא</w:t>
      </w:r>
      <w:r w:rsidRPr="00C22013">
        <w:rPr>
          <w:rFonts w:eastAsia="Times New Roman" w:cs="Times New Roman"/>
          <w:rtl/>
          <w:lang w:eastAsia="de-DE"/>
        </w:rPr>
        <w:t xml:space="preserve"> </w:t>
      </w:r>
      <w:r w:rsidRPr="00C22013">
        <w:rPr>
          <w:rFonts w:eastAsia="Times New Roman" w:cs="Times New Roman"/>
          <w:lang w:eastAsia="de-DE"/>
        </w:rPr>
        <w:t xml:space="preserve">(tragen) und </w:t>
      </w:r>
      <w:r w:rsidRPr="00C22013">
        <w:rPr>
          <w:rFonts w:eastAsia="Times New Roman" w:cs="Times New Roman"/>
          <w:b/>
          <w:bCs/>
          <w:rtl/>
          <w:lang w:eastAsia="de-DE"/>
        </w:rPr>
        <w:t>אַרְבָּעִים שָׁנָה</w:t>
      </w:r>
      <w:r w:rsidRPr="00C22013">
        <w:rPr>
          <w:rFonts w:eastAsia="Times New Roman" w:cs="Times New Roman"/>
          <w:rtl/>
          <w:lang w:eastAsia="de-DE"/>
        </w:rPr>
        <w:t xml:space="preserve"> </w:t>
      </w:r>
      <w:r w:rsidRPr="00C22013">
        <w:rPr>
          <w:rFonts w:eastAsia="Times New Roman" w:cs="Times New Roman"/>
          <w:lang w:eastAsia="de-DE"/>
        </w:rPr>
        <w:t>(vierzig Jahre) zeigt das göttliche Strafmaß: jeder Kundschaftertag wird zu einem Straf-Jahr.</w:t>
      </w:r>
    </w:p>
    <w:p w14:paraId="5B1E9D9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Der Erkenntniszweck </w:t>
      </w:r>
      <w:r w:rsidRPr="00C22013">
        <w:rPr>
          <w:rFonts w:eastAsia="Times New Roman" w:cs="Times New Roman"/>
          <w:b/>
          <w:bCs/>
          <w:rtl/>
          <w:lang w:eastAsia="de-DE"/>
        </w:rPr>
        <w:t>וִֽידַעְתֶּ֖ם אֶת־תְּנוּאָתִֽי</w:t>
      </w:r>
      <w:r w:rsidRPr="00C22013">
        <w:rPr>
          <w:rFonts w:eastAsia="Times New Roman" w:cs="Times New Roman"/>
          <w:rtl/>
          <w:lang w:eastAsia="de-DE"/>
        </w:rPr>
        <w:t xml:space="preserve"> </w:t>
      </w:r>
      <w:r w:rsidRPr="00C22013">
        <w:rPr>
          <w:rFonts w:eastAsia="Times New Roman" w:cs="Times New Roman"/>
          <w:lang w:eastAsia="de-DE"/>
        </w:rPr>
        <w:t xml:space="preserve">(und ihr sollt meine Abwendung erkennen) mit </w:t>
      </w:r>
      <w:r w:rsidRPr="00C22013">
        <w:rPr>
          <w:rFonts w:eastAsia="Times New Roman" w:cs="Times New Roman"/>
          <w:b/>
          <w:bCs/>
          <w:rtl/>
          <w:lang w:eastAsia="de-DE"/>
        </w:rPr>
        <w:t>יְדַעְתֶּם</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ידע</w:t>
      </w:r>
      <w:r w:rsidRPr="00C22013">
        <w:rPr>
          <w:rFonts w:eastAsia="Times New Roman" w:cs="Times New Roman"/>
          <w:rtl/>
          <w:lang w:eastAsia="de-DE"/>
        </w:rPr>
        <w:t xml:space="preserve"> </w:t>
      </w:r>
      <w:r w:rsidRPr="00C22013">
        <w:rPr>
          <w:rFonts w:eastAsia="Times New Roman" w:cs="Times New Roman"/>
          <w:lang w:eastAsia="de-DE"/>
        </w:rPr>
        <w:t xml:space="preserve">(erkennen) und </w:t>
      </w:r>
      <w:r w:rsidRPr="00C22013">
        <w:rPr>
          <w:rFonts w:eastAsia="Times New Roman" w:cs="Times New Roman"/>
          <w:b/>
          <w:bCs/>
          <w:rtl/>
          <w:lang w:eastAsia="de-DE"/>
        </w:rPr>
        <w:t>תְּנוּאָתִי</w:t>
      </w:r>
      <w:r w:rsidRPr="00C22013">
        <w:rPr>
          <w:rFonts w:eastAsia="Times New Roman" w:cs="Times New Roman"/>
          <w:rtl/>
          <w:lang w:eastAsia="de-DE"/>
        </w:rPr>
        <w:t xml:space="preserve"> </w:t>
      </w:r>
      <w:r w:rsidRPr="00C22013">
        <w:rPr>
          <w:rFonts w:eastAsia="Times New Roman" w:cs="Times New Roman"/>
          <w:lang w:eastAsia="de-DE"/>
        </w:rPr>
        <w:t xml:space="preserve">(meine Abwendung/Opposition) von der Wurzel </w:t>
      </w:r>
      <w:r w:rsidRPr="00C22013">
        <w:rPr>
          <w:rFonts w:eastAsia="Times New Roman" w:cs="Times New Roman"/>
          <w:b/>
          <w:bCs/>
          <w:rtl/>
          <w:lang w:eastAsia="de-DE"/>
        </w:rPr>
        <w:t>נוא</w:t>
      </w:r>
      <w:r w:rsidRPr="00C22013">
        <w:rPr>
          <w:rFonts w:eastAsia="Times New Roman" w:cs="Times New Roman"/>
          <w:rtl/>
          <w:lang w:eastAsia="de-DE"/>
        </w:rPr>
        <w:t xml:space="preserve"> </w:t>
      </w:r>
      <w:r w:rsidRPr="00C22013">
        <w:rPr>
          <w:rFonts w:eastAsia="Times New Roman" w:cs="Times New Roman"/>
          <w:lang w:eastAsia="de-DE"/>
        </w:rPr>
        <w:t>(sich abwenden) zeigt, dass die Strafe Erkenntniszweck hat.</w:t>
      </w:r>
    </w:p>
    <w:p w14:paraId="4090DAD6" w14:textId="703535E5"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184967">
        <w:t>übersetzt „</w:t>
      </w:r>
      <w:r w:rsidR="00184967" w:rsidRPr="00184967">
        <w:rPr>
          <w:b/>
          <w:bCs/>
          <w:rtl/>
        </w:rPr>
        <w:t>תְּנוּאָתִי</w:t>
      </w:r>
      <w:r w:rsidR="00184967">
        <w:t>" (meine Zurückweisung/Ablehnung) mit „τὸν θυμὸν τῆς ὀργῆς μου" (den Zorn meines Grimmes), eine Intensivierung durch die Verdoppelung von Zorn-Begriffen.</w:t>
      </w:r>
    </w:p>
    <w:p w14:paraId="10281EE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 Satzstruktur zeigt mathematische Strafentsprechung, Umrechnungsformel mit Wiederholung und Erkenntniszweck der Strafe.</w:t>
      </w:r>
    </w:p>
    <w:p w14:paraId="6E376C78" w14:textId="33D6F2DF" w:rsid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enthüllt die präzise göttliche Gerechtigkeit: die vierzig Kundschaftertage werden zu vierzig Strafjahren umgerechnet.</w:t>
      </w:r>
    </w:p>
    <w:p w14:paraId="00747A8B" w14:textId="77777777" w:rsidR="00B940BC" w:rsidRPr="00B940BC" w:rsidRDefault="00B940BC" w:rsidP="00F06C27">
      <w:pPr>
        <w:pStyle w:val="berschrift4"/>
        <w:rPr>
          <w:rFonts w:eastAsia="Times New Roman"/>
          <w:lang w:eastAsia="de-DE"/>
        </w:rPr>
      </w:pPr>
      <w:r w:rsidRPr="00B940BC">
        <w:rPr>
          <w:rFonts w:eastAsia="Times New Roman"/>
          <w:lang w:eastAsia="de-DE"/>
        </w:rPr>
        <w:t>Exkurs: Das "Jahr-Tag-Prinzip" (</w:t>
      </w:r>
      <w:r w:rsidRPr="00F06C27">
        <w:rPr>
          <w:rFonts w:eastAsia="Times New Roman"/>
          <w:i w:val="0"/>
          <w:iCs w:val="0"/>
          <w:rtl/>
          <w:lang w:eastAsia="de-DE"/>
        </w:rPr>
        <w:t>יוֹם לַשָּׁנָה</w:t>
      </w:r>
      <w:r w:rsidRPr="00B940BC">
        <w:rPr>
          <w:rFonts w:eastAsia="Times New Roman"/>
          <w:lang w:eastAsia="de-DE"/>
        </w:rPr>
        <w:t>) – Hermeneutische Implikationen</w:t>
      </w:r>
    </w:p>
    <w:p w14:paraId="0F8DC6A5"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Numeri 14,34:</w:t>
      </w:r>
    </w:p>
    <w:p w14:paraId="4D0A587F" w14:textId="77777777" w:rsidR="00B940BC" w:rsidRPr="00B940BC" w:rsidRDefault="00B940BC" w:rsidP="00B940BC">
      <w:pPr>
        <w:spacing w:beforeAutospacing="1" w:after="100" w:afterAutospacing="1" w:line="240" w:lineRule="auto"/>
        <w:rPr>
          <w:rFonts w:eastAsia="Times New Roman" w:cs="Times New Roman"/>
          <w:lang w:eastAsia="de-DE"/>
        </w:rPr>
      </w:pPr>
      <w:r w:rsidRPr="00B940BC">
        <w:rPr>
          <w:rFonts w:eastAsia="Times New Roman" w:cs="Times New Roman"/>
          <w:rtl/>
          <w:lang w:eastAsia="de-DE"/>
        </w:rPr>
        <w:t>יוֹם לַשָּׁנָה יוֹם לַשָּׁנָה תִּשְׂאוּ אֶת־עֲוֹנֹתֵיכֶם אַרְבָּעִים שָׁנָה</w:t>
      </w:r>
      <w:r w:rsidRPr="00B940BC">
        <w:rPr>
          <w:rFonts w:eastAsia="Times New Roman" w:cs="Times New Roman"/>
          <w:lang w:eastAsia="de-DE"/>
        </w:rPr>
        <w:br/>
        <w:t>"</w:t>
      </w:r>
      <w:r w:rsidRPr="00B940BC">
        <w:rPr>
          <w:rFonts w:eastAsia="Times New Roman" w:cs="Times New Roman"/>
          <w:b/>
          <w:bCs/>
          <w:lang w:eastAsia="de-DE"/>
        </w:rPr>
        <w:t>Ein Tag für ein Jahr, ein Tag für ein Jahr</w:t>
      </w:r>
      <w:r w:rsidRPr="00B940BC">
        <w:rPr>
          <w:rFonts w:eastAsia="Times New Roman" w:cs="Times New Roman"/>
          <w:lang w:eastAsia="de-DE"/>
        </w:rPr>
        <w:t xml:space="preserve"> sollt ihr eure Verschuldungen tragen, vierzig Jahre."</w:t>
      </w:r>
    </w:p>
    <w:p w14:paraId="20F1DA17"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Das Prinzip:</w:t>
      </w:r>
    </w:p>
    <w:p w14:paraId="79486D55"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1 Tag</w:t>
      </w:r>
      <w:r w:rsidRPr="00B940BC">
        <w:rPr>
          <w:rFonts w:eastAsia="Times New Roman" w:cs="Times New Roman"/>
          <w:lang w:eastAsia="de-DE"/>
        </w:rPr>
        <w:t xml:space="preserve"> in der prophetischen Vision = </w:t>
      </w:r>
      <w:r w:rsidRPr="00B940BC">
        <w:rPr>
          <w:rFonts w:eastAsia="Times New Roman" w:cs="Times New Roman"/>
          <w:b/>
          <w:bCs/>
          <w:lang w:eastAsia="de-DE"/>
        </w:rPr>
        <w:t>1 Jahr</w:t>
      </w:r>
      <w:r w:rsidRPr="00B940BC">
        <w:rPr>
          <w:rFonts w:eastAsia="Times New Roman" w:cs="Times New Roman"/>
          <w:lang w:eastAsia="de-DE"/>
        </w:rPr>
        <w:t xml:space="preserve"> in der Erfüllung</w:t>
      </w:r>
    </w:p>
    <w:p w14:paraId="6A9752EF" w14:textId="77777777" w:rsidR="00B940BC" w:rsidRPr="00B940BC" w:rsidRDefault="00B940BC" w:rsidP="00B940BC">
      <w:pPr>
        <w:spacing w:before="100" w:beforeAutospacing="1" w:after="100" w:afterAutospacing="1" w:line="240" w:lineRule="auto"/>
        <w:rPr>
          <w:rFonts w:eastAsia="Times New Roman" w:cs="Times New Roman"/>
          <w:color w:val="5B9BD5" w:themeColor="accent5"/>
          <w:lang w:eastAsia="de-DE"/>
        </w:rPr>
      </w:pPr>
      <w:r w:rsidRPr="00B940BC">
        <w:rPr>
          <w:rFonts w:eastAsia="Times New Roman" w:cs="Times New Roman"/>
          <w:b/>
          <w:bCs/>
          <w:color w:val="5B9BD5" w:themeColor="accent5"/>
          <w:lang w:eastAsia="de-DE"/>
        </w:rPr>
        <w:t>Andere biblische Verwendungen:</w:t>
      </w:r>
    </w:p>
    <w:p w14:paraId="4A557ACF"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Hesekiel 4,4-6:</w:t>
      </w:r>
    </w:p>
    <w:p w14:paraId="4C5524D3" w14:textId="77777777" w:rsidR="00B940BC" w:rsidRPr="00B940BC" w:rsidRDefault="00B940BC" w:rsidP="00B940BC">
      <w:pPr>
        <w:spacing w:beforeAutospacing="1" w:after="100" w:afterAutospacing="1" w:line="240" w:lineRule="auto"/>
        <w:rPr>
          <w:rFonts w:eastAsia="Times New Roman" w:cs="Times New Roman"/>
          <w:lang w:eastAsia="de-DE"/>
        </w:rPr>
      </w:pPr>
      <w:r w:rsidRPr="00B940BC">
        <w:rPr>
          <w:rFonts w:eastAsia="Times New Roman" w:cs="Times New Roman"/>
          <w:rtl/>
          <w:lang w:eastAsia="de-DE"/>
        </w:rPr>
        <w:t>וְאַתָּה שְׁכַב עַל־צִדְּךָ הַשְּׂמָאלִי... אַרְבָּעִים יוֹם יוֹם לַשָּׁנָה יוֹם לַשָּׁנָה נְתַתִּיו לָךְ</w:t>
      </w:r>
      <w:r w:rsidRPr="00B940BC">
        <w:rPr>
          <w:rFonts w:eastAsia="Times New Roman" w:cs="Times New Roman"/>
          <w:lang w:eastAsia="de-DE"/>
        </w:rPr>
        <w:br/>
        <w:t xml:space="preserve">"Und du, lege dich auf deine linke Seite... vierzig Tage – </w:t>
      </w:r>
      <w:r w:rsidRPr="00B940BC">
        <w:rPr>
          <w:rFonts w:eastAsia="Times New Roman" w:cs="Times New Roman"/>
          <w:b/>
          <w:bCs/>
          <w:lang w:eastAsia="de-DE"/>
        </w:rPr>
        <w:t>ein Tag für ein Jahr, ein Tag für ein Jahr</w:t>
      </w:r>
      <w:r w:rsidRPr="00B940BC">
        <w:rPr>
          <w:rFonts w:eastAsia="Times New Roman" w:cs="Times New Roman"/>
          <w:lang w:eastAsia="de-DE"/>
        </w:rPr>
        <w:t xml:space="preserve"> – habe ich es dir auferlegt."</w:t>
      </w:r>
    </w:p>
    <w:p w14:paraId="79729362"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 Hesekiel liegt 390 Tage für Israels Schuld (= 390 Jahre) + 40 Tage für Judas Schuld (= 40 Jahre)</w:t>
      </w:r>
    </w:p>
    <w:p w14:paraId="3B8D038C"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Hermeneutische Anwendung:</w:t>
      </w:r>
    </w:p>
    <w:p w14:paraId="2BCDEFE5"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1. Daniel 9,24-27 (70 Wochen):</w:t>
      </w:r>
    </w:p>
    <w:p w14:paraId="1678FC76" w14:textId="77777777" w:rsidR="00B940BC" w:rsidRPr="00B940BC" w:rsidRDefault="00B940BC" w:rsidP="00B940BC">
      <w:pPr>
        <w:spacing w:beforeAutospacing="1" w:after="100" w:afterAutospacing="1" w:line="240" w:lineRule="auto"/>
        <w:rPr>
          <w:rFonts w:eastAsia="Times New Roman" w:cs="Times New Roman"/>
          <w:lang w:eastAsia="de-DE"/>
        </w:rPr>
      </w:pPr>
      <w:r w:rsidRPr="00B940BC">
        <w:rPr>
          <w:rFonts w:eastAsia="Times New Roman" w:cs="Times New Roman"/>
          <w:rtl/>
          <w:lang w:eastAsia="de-DE"/>
        </w:rPr>
        <w:t>שִׁבְעִים שָׁבֻעִים נֶחְתַּךְ עַל־עַמְּךָ</w:t>
      </w:r>
      <w:r w:rsidRPr="00B940BC">
        <w:rPr>
          <w:rFonts w:eastAsia="Times New Roman" w:cs="Times New Roman"/>
          <w:lang w:eastAsia="de-DE"/>
        </w:rPr>
        <w:br/>
        <w:t>"Siebzig Wochen sind bestimmt über dein Volk..."</w:t>
      </w:r>
    </w:p>
    <w:p w14:paraId="3A79ED4B"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Traditionelle Interpretation:</w:t>
      </w:r>
    </w:p>
    <w:p w14:paraId="72913973" w14:textId="77777777" w:rsidR="00B940BC" w:rsidRPr="00B940BC" w:rsidRDefault="00B940BC" w:rsidP="00077755">
      <w:pPr>
        <w:numPr>
          <w:ilvl w:val="0"/>
          <w:numId w:val="125"/>
        </w:num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70 Wochen</w:t>
      </w:r>
      <w:r w:rsidRPr="00B940BC">
        <w:rPr>
          <w:rFonts w:eastAsia="Times New Roman" w:cs="Times New Roman"/>
          <w:lang w:eastAsia="de-DE"/>
        </w:rPr>
        <w:t xml:space="preserve"> = 70 x 7 </w:t>
      </w:r>
      <w:r w:rsidRPr="00B940BC">
        <w:rPr>
          <w:rFonts w:eastAsia="Times New Roman" w:cs="Times New Roman"/>
          <w:b/>
          <w:bCs/>
          <w:lang w:eastAsia="de-DE"/>
        </w:rPr>
        <w:t>Tage</w:t>
      </w:r>
      <w:r w:rsidRPr="00B940BC">
        <w:rPr>
          <w:rFonts w:eastAsia="Times New Roman" w:cs="Times New Roman"/>
          <w:lang w:eastAsia="de-DE"/>
        </w:rPr>
        <w:t xml:space="preserve"> = 490 </w:t>
      </w:r>
      <w:r w:rsidRPr="00B940BC">
        <w:rPr>
          <w:rFonts w:eastAsia="Times New Roman" w:cs="Times New Roman"/>
          <w:b/>
          <w:bCs/>
          <w:lang w:eastAsia="de-DE"/>
        </w:rPr>
        <w:t>Tage</w:t>
      </w:r>
    </w:p>
    <w:p w14:paraId="4855DD80" w14:textId="77777777" w:rsidR="00B940BC" w:rsidRPr="00B940BC" w:rsidRDefault="00B940BC" w:rsidP="00077755">
      <w:pPr>
        <w:numPr>
          <w:ilvl w:val="0"/>
          <w:numId w:val="125"/>
        </w:numPr>
        <w:spacing w:before="100" w:beforeAutospacing="1" w:after="100" w:afterAutospacing="1" w:line="240" w:lineRule="auto"/>
        <w:rPr>
          <w:rFonts w:eastAsia="Times New Roman" w:cs="Times New Roman"/>
          <w:lang w:eastAsia="de-DE"/>
        </w:rPr>
      </w:pPr>
      <w:r w:rsidRPr="00B940BC">
        <w:rPr>
          <w:rFonts w:eastAsia="Times New Roman" w:cs="Times New Roman"/>
          <w:lang w:eastAsia="de-DE"/>
        </w:rPr>
        <w:t xml:space="preserve">Mit Jahr-Tag-Prinzip: 490 </w:t>
      </w:r>
      <w:r w:rsidRPr="00B940BC">
        <w:rPr>
          <w:rFonts w:eastAsia="Times New Roman" w:cs="Times New Roman"/>
          <w:b/>
          <w:bCs/>
          <w:lang w:eastAsia="de-DE"/>
        </w:rPr>
        <w:t>Tage</w:t>
      </w:r>
      <w:r w:rsidRPr="00B940BC">
        <w:rPr>
          <w:rFonts w:eastAsia="Times New Roman" w:cs="Times New Roman"/>
          <w:lang w:eastAsia="de-DE"/>
        </w:rPr>
        <w:t xml:space="preserve"> = 490 </w:t>
      </w:r>
      <w:r w:rsidRPr="00B940BC">
        <w:rPr>
          <w:rFonts w:eastAsia="Times New Roman" w:cs="Times New Roman"/>
          <w:b/>
          <w:bCs/>
          <w:lang w:eastAsia="de-DE"/>
        </w:rPr>
        <w:t>Jahre</w:t>
      </w:r>
      <w:r w:rsidRPr="00B940BC">
        <w:rPr>
          <w:rFonts w:eastAsia="Times New Roman" w:cs="Times New Roman"/>
          <w:lang w:eastAsia="de-DE"/>
        </w:rPr>
        <w:t>!</w:t>
      </w:r>
    </w:p>
    <w:p w14:paraId="211F408F"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2. Offenbarung 11,3; 12,6:</w:t>
      </w:r>
    </w:p>
    <w:p w14:paraId="46FC653F" w14:textId="77777777" w:rsidR="00B940BC" w:rsidRPr="00B940BC" w:rsidRDefault="00B940BC" w:rsidP="00B940BC">
      <w:pPr>
        <w:spacing w:beforeAutospacing="1" w:after="100" w:afterAutospacing="1" w:line="240" w:lineRule="auto"/>
        <w:rPr>
          <w:rFonts w:eastAsia="Times New Roman" w:cs="Times New Roman"/>
          <w:lang w:eastAsia="de-DE"/>
        </w:rPr>
      </w:pPr>
      <w:r w:rsidRPr="00B940BC">
        <w:rPr>
          <w:rFonts w:eastAsia="Times New Roman" w:cs="Times New Roman"/>
          <w:lang w:eastAsia="de-DE"/>
        </w:rPr>
        <w:t>"1260 Tage" = 42 Monate = 3,5 Jahre</w:t>
      </w:r>
    </w:p>
    <w:p w14:paraId="5BC4FDAC" w14:textId="77777777" w:rsidR="00B940BC" w:rsidRP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Manche Ausleger</w:t>
      </w:r>
      <w:r w:rsidRPr="00B940BC">
        <w:rPr>
          <w:rFonts w:eastAsia="Times New Roman" w:cs="Times New Roman"/>
          <w:lang w:eastAsia="de-DE"/>
        </w:rPr>
        <w:t xml:space="preserve"> (z.B. historistische Schule) wenden das Jahr-Tag-Prinzip an:</w:t>
      </w:r>
    </w:p>
    <w:p w14:paraId="2F449CE2" w14:textId="77777777" w:rsidR="00B940BC" w:rsidRPr="00B940BC" w:rsidRDefault="00B940BC" w:rsidP="00077755">
      <w:pPr>
        <w:numPr>
          <w:ilvl w:val="0"/>
          <w:numId w:val="126"/>
        </w:num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1260 Tage</w:t>
      </w:r>
      <w:r w:rsidRPr="00B940BC">
        <w:rPr>
          <w:rFonts w:eastAsia="Times New Roman" w:cs="Times New Roman"/>
          <w:lang w:eastAsia="de-DE"/>
        </w:rPr>
        <w:t xml:space="preserve"> = </w:t>
      </w:r>
      <w:r w:rsidRPr="00B940BC">
        <w:rPr>
          <w:rFonts w:eastAsia="Times New Roman" w:cs="Times New Roman"/>
          <w:b/>
          <w:bCs/>
          <w:lang w:eastAsia="de-DE"/>
        </w:rPr>
        <w:t>1260 Jahre</w:t>
      </w:r>
    </w:p>
    <w:p w14:paraId="76434511" w14:textId="77777777" w:rsidR="00B940BC" w:rsidRPr="006560C9" w:rsidRDefault="00B940BC" w:rsidP="006560C9">
      <w:pPr>
        <w:pStyle w:val="KeinLeerraum"/>
        <w:rPr>
          <w:b/>
          <w:bCs/>
          <w:lang w:eastAsia="de-DE"/>
        </w:rPr>
      </w:pPr>
      <w:r w:rsidRPr="006560C9">
        <w:rPr>
          <w:b/>
          <w:bCs/>
          <w:lang w:eastAsia="de-DE"/>
        </w:rPr>
        <w:lastRenderedPageBreak/>
        <w:t>Kritik:</w:t>
      </w:r>
    </w:p>
    <w:p w14:paraId="0DBD9B82" w14:textId="22E68B96" w:rsidR="00B940BC" w:rsidRDefault="00B940BC" w:rsidP="006560C9">
      <w:pPr>
        <w:pStyle w:val="KeinLeerraum"/>
        <w:rPr>
          <w:b/>
          <w:bCs/>
          <w:lang w:eastAsia="de-DE"/>
        </w:rPr>
      </w:pPr>
      <w:r w:rsidRPr="006560C9">
        <w:rPr>
          <w:b/>
          <w:bCs/>
          <w:lang w:eastAsia="de-DE"/>
        </w:rPr>
        <w:t>Ist das Jahr-Tag-Prinzip universell anwendbar?</w:t>
      </w:r>
    </w:p>
    <w:p w14:paraId="0185D057" w14:textId="77777777" w:rsidR="006560C9" w:rsidRPr="006560C9" w:rsidRDefault="006560C9" w:rsidP="006560C9">
      <w:pPr>
        <w:pStyle w:val="KeinLeerraum"/>
        <w:rPr>
          <w:b/>
          <w:bCs/>
          <w:lang w:eastAsia="de-DE"/>
        </w:rPr>
      </w:pPr>
    </w:p>
    <w:tbl>
      <w:tblPr>
        <w:tblStyle w:val="Tabellenraster"/>
        <w:tblW w:w="4994" w:type="pct"/>
        <w:tblLook w:val="04A0" w:firstRow="1" w:lastRow="0" w:firstColumn="1" w:lastColumn="0" w:noHBand="0" w:noVBand="1"/>
      </w:tblPr>
      <w:tblGrid>
        <w:gridCol w:w="4525"/>
        <w:gridCol w:w="4526"/>
      </w:tblGrid>
      <w:tr w:rsidR="00B940BC" w14:paraId="50761DD0" w14:textId="77777777" w:rsidTr="005D797A">
        <w:tc>
          <w:tcPr>
            <w:tcW w:w="2500" w:type="pct"/>
            <w:vAlign w:val="center"/>
          </w:tcPr>
          <w:p w14:paraId="452F22B2" w14:textId="21954A2F" w:rsid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Pro</w:t>
            </w:r>
          </w:p>
        </w:tc>
        <w:tc>
          <w:tcPr>
            <w:tcW w:w="2500" w:type="pct"/>
            <w:vAlign w:val="center"/>
          </w:tcPr>
          <w:p w14:paraId="3C52D304" w14:textId="774BA258" w:rsid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b/>
                <w:bCs/>
                <w:lang w:eastAsia="de-DE"/>
              </w:rPr>
              <w:t>Contra</w:t>
            </w:r>
          </w:p>
        </w:tc>
      </w:tr>
      <w:tr w:rsidR="00B940BC" w14:paraId="77DA1098" w14:textId="77777777" w:rsidTr="000815FF">
        <w:tc>
          <w:tcPr>
            <w:tcW w:w="2500" w:type="pct"/>
          </w:tcPr>
          <w:p w14:paraId="5E629AD7" w14:textId="11C78199" w:rsid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lang w:eastAsia="de-DE"/>
              </w:rPr>
              <w:t>Num 14,34 + Hes 4,4-6 etablieren das Prinzip</w:t>
            </w:r>
          </w:p>
        </w:tc>
        <w:tc>
          <w:tcPr>
            <w:tcW w:w="2500" w:type="pct"/>
            <w:vAlign w:val="center"/>
          </w:tcPr>
          <w:p w14:paraId="07DB01A0" w14:textId="00FA9F6D" w:rsid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lang w:eastAsia="de-DE"/>
              </w:rPr>
              <w:t xml:space="preserve">Nur </w:t>
            </w:r>
            <w:r w:rsidRPr="00B940BC">
              <w:rPr>
                <w:rFonts w:eastAsia="Times New Roman" w:cs="Times New Roman"/>
                <w:b/>
                <w:bCs/>
                <w:lang w:eastAsia="de-DE"/>
              </w:rPr>
              <w:t>2 Stellen</w:t>
            </w:r>
            <w:r w:rsidRPr="00B940BC">
              <w:rPr>
                <w:rFonts w:eastAsia="Times New Roman" w:cs="Times New Roman"/>
                <w:lang w:eastAsia="de-DE"/>
              </w:rPr>
              <w:t xml:space="preserve"> im AT – kein universelles Gesetz</w:t>
            </w:r>
          </w:p>
        </w:tc>
      </w:tr>
      <w:tr w:rsidR="00B940BC" w14:paraId="02849093" w14:textId="77777777" w:rsidTr="00B940BC">
        <w:tc>
          <w:tcPr>
            <w:tcW w:w="2500" w:type="pct"/>
          </w:tcPr>
          <w:p w14:paraId="03BB7D46" w14:textId="1C2E0481" w:rsid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lang w:eastAsia="de-DE"/>
              </w:rPr>
              <w:t>Erklärt lange Zeitspannen in Prophetie</w:t>
            </w:r>
          </w:p>
        </w:tc>
        <w:tc>
          <w:tcPr>
            <w:tcW w:w="2500" w:type="pct"/>
          </w:tcPr>
          <w:p w14:paraId="4AC1A931" w14:textId="52B02D21" w:rsid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lang w:eastAsia="de-DE"/>
              </w:rPr>
              <w:t xml:space="preserve">Wird </w:t>
            </w:r>
            <w:r w:rsidRPr="00B940BC">
              <w:rPr>
                <w:rFonts w:eastAsia="Times New Roman" w:cs="Times New Roman"/>
                <w:b/>
                <w:bCs/>
                <w:lang w:eastAsia="de-DE"/>
              </w:rPr>
              <w:t>willkürlich</w:t>
            </w:r>
            <w:r w:rsidRPr="00B940BC">
              <w:rPr>
                <w:rFonts w:eastAsia="Times New Roman" w:cs="Times New Roman"/>
                <w:lang w:eastAsia="de-DE"/>
              </w:rPr>
              <w:t xml:space="preserve"> angewandt (warum nicht bei allen Zeitangaben?)</w:t>
            </w:r>
          </w:p>
        </w:tc>
      </w:tr>
      <w:tr w:rsidR="00B940BC" w14:paraId="467B0362" w14:textId="77777777" w:rsidTr="00B940BC">
        <w:tc>
          <w:tcPr>
            <w:tcW w:w="2500" w:type="pct"/>
          </w:tcPr>
          <w:p w14:paraId="32AB0DBA" w14:textId="2B2EEB09" w:rsid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lang w:eastAsia="de-DE"/>
              </w:rPr>
              <w:t>Historische Erfüllungen passen manchmal</w:t>
            </w:r>
          </w:p>
        </w:tc>
        <w:tc>
          <w:tcPr>
            <w:tcW w:w="2500" w:type="pct"/>
          </w:tcPr>
          <w:p w14:paraId="673A667F" w14:textId="5BE8BEE3" w:rsidR="00B940BC" w:rsidRDefault="00B940BC" w:rsidP="00B940BC">
            <w:pPr>
              <w:spacing w:before="100" w:beforeAutospacing="1" w:after="100" w:afterAutospacing="1" w:line="240" w:lineRule="auto"/>
              <w:rPr>
                <w:rFonts w:eastAsia="Times New Roman" w:cs="Times New Roman"/>
                <w:lang w:eastAsia="de-DE"/>
              </w:rPr>
            </w:pPr>
            <w:r w:rsidRPr="00B940BC">
              <w:rPr>
                <w:rFonts w:eastAsia="Times New Roman" w:cs="Times New Roman"/>
                <w:lang w:eastAsia="de-DE"/>
              </w:rPr>
              <w:t>Of</w:t>
            </w:r>
            <w:r>
              <w:rPr>
                <w:rFonts w:eastAsia="Times New Roman" w:cs="Times New Roman"/>
                <w:lang w:eastAsia="de-DE"/>
              </w:rPr>
              <w:t xml:space="preserve">fb </w:t>
            </w:r>
            <w:r w:rsidRPr="00B940BC">
              <w:rPr>
                <w:rFonts w:eastAsia="Times New Roman" w:cs="Times New Roman"/>
                <w:lang w:eastAsia="de-DE"/>
              </w:rPr>
              <w:t>11,3 spricht von "Tagen", nicht Jahren – warum umdeuten?</w:t>
            </w:r>
          </w:p>
        </w:tc>
      </w:tr>
    </w:tbl>
    <w:p w14:paraId="3616568F" w14:textId="77777777" w:rsidR="00B940BC" w:rsidRPr="00B940BC" w:rsidRDefault="00B940BC" w:rsidP="00B940BC">
      <w:pPr>
        <w:pStyle w:val="KeinLeerraum"/>
        <w:rPr>
          <w:lang w:eastAsia="de-DE"/>
        </w:rPr>
      </w:pPr>
    </w:p>
    <w:p w14:paraId="1E75AB3C" w14:textId="69572783" w:rsidR="00B940BC" w:rsidRDefault="00B940BC" w:rsidP="006560C9">
      <w:pPr>
        <w:pStyle w:val="KeinLeerraum"/>
        <w:rPr>
          <w:b/>
          <w:bCs/>
          <w:lang w:eastAsia="de-DE"/>
        </w:rPr>
      </w:pPr>
      <w:r w:rsidRPr="006560C9">
        <w:rPr>
          <w:b/>
          <w:bCs/>
          <w:lang w:eastAsia="de-DE"/>
        </w:rPr>
        <w:t>Fazit:</w:t>
      </w:r>
    </w:p>
    <w:p w14:paraId="4F93C3E0" w14:textId="77777777" w:rsidR="006560C9" w:rsidRPr="006560C9" w:rsidRDefault="006560C9" w:rsidP="006560C9">
      <w:pPr>
        <w:pStyle w:val="KeinLeerraum"/>
        <w:rPr>
          <w:b/>
          <w:bCs/>
          <w:lang w:eastAsia="de-DE"/>
        </w:rPr>
      </w:pPr>
    </w:p>
    <w:p w14:paraId="58301D64" w14:textId="0EC0C598" w:rsidR="00B940BC" w:rsidRPr="00C22013" w:rsidRDefault="00B940BC" w:rsidP="006560C9">
      <w:pPr>
        <w:pStyle w:val="KeinLeerraum"/>
        <w:rPr>
          <w:lang w:eastAsia="de-DE"/>
        </w:rPr>
      </w:pPr>
      <w:r w:rsidRPr="00B940BC">
        <w:rPr>
          <w:lang w:eastAsia="de-DE"/>
        </w:rPr>
        <w:t>Das Jahr-Tag-Prinzip ist nicht universell, sondern gilt nur dort, wo der Kontext es explizit angibt (Num 14,34; Hes 4,4-6). Für andere prophetische Zeitangaben ist vorsichtige Exegese nötig.</w:t>
      </w:r>
    </w:p>
    <w:p w14:paraId="5F4939E4"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14,35</w:t>
      </w:r>
    </w:p>
    <w:p w14:paraId="173EDB3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אֲנִ֣י יְהוָה֮ דִּבַּרְתִּי֒ אִם־לֹ֣א׀ זֹ֣את אֶֽעֱשֶׂ֗ה לְכָל־הָעֵדָ֤ה הָֽרָעָה֙ הַזֹּ֔את הַנּוֹעָדִ֖ים עָלָ֑י בַּמִּדְבָּ֥ר הַזֶּ֛ה יִתַּ֖מּוּ וְשָׁ֥ם יָמֻֽתוּ׃</w:t>
      </w:r>
    </w:p>
    <w:p w14:paraId="616D6CD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Ich, der Ewige, habe es geredet; wenn ich dies nicht tue an dieser ganzen bösen Gemeinde, die sich gegen mich zusammengerottet hat! In dieser Wüste sollen sie aufgerieben werden, und dort sollen sie sterben.</w:t>
      </w:r>
    </w:p>
    <w:p w14:paraId="3DF5E227"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4A8CF5CE">
          <v:rect id="_x0000_i1487" style="width:0;height:1.5pt" o:hralign="center" o:hrstd="t" o:hr="t" fillcolor="#a0a0a0" stroked="f"/>
        </w:pict>
      </w:r>
    </w:p>
    <w:p w14:paraId="1CF1CEC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Autoritätsbestätigung </w:t>
      </w:r>
      <w:r w:rsidRPr="00C22013">
        <w:rPr>
          <w:rFonts w:eastAsia="Times New Roman" w:cs="Times New Roman"/>
          <w:b/>
          <w:bCs/>
          <w:rtl/>
          <w:lang w:eastAsia="de-DE"/>
        </w:rPr>
        <w:t>אֲנִ֣י יְהוָה֮ דִּבַּרְתִּי֒</w:t>
      </w:r>
      <w:r w:rsidRPr="00C22013">
        <w:rPr>
          <w:rFonts w:eastAsia="Times New Roman" w:cs="Times New Roman"/>
          <w:rtl/>
          <w:lang w:eastAsia="de-DE"/>
        </w:rPr>
        <w:t xml:space="preserve"> </w:t>
      </w:r>
      <w:r w:rsidRPr="00C22013">
        <w:rPr>
          <w:rFonts w:eastAsia="Times New Roman" w:cs="Times New Roman"/>
          <w:lang w:eastAsia="de-DE"/>
        </w:rPr>
        <w:t xml:space="preserve">(ich, der Ewige, habe geredet) mit </w:t>
      </w:r>
      <w:r w:rsidRPr="00C22013">
        <w:rPr>
          <w:rFonts w:eastAsia="Times New Roman" w:cs="Times New Roman"/>
          <w:b/>
          <w:bCs/>
          <w:rtl/>
          <w:lang w:eastAsia="de-DE"/>
        </w:rPr>
        <w:t>אֲנִי יְהוָה</w:t>
      </w:r>
      <w:r w:rsidRPr="00C22013">
        <w:rPr>
          <w:rFonts w:eastAsia="Times New Roman" w:cs="Times New Roman"/>
          <w:rtl/>
          <w:lang w:eastAsia="de-DE"/>
        </w:rPr>
        <w:t xml:space="preserve"> </w:t>
      </w:r>
      <w:r w:rsidRPr="00C22013">
        <w:rPr>
          <w:rFonts w:eastAsia="Times New Roman" w:cs="Times New Roman"/>
          <w:lang w:eastAsia="de-DE"/>
        </w:rPr>
        <w:t xml:space="preserve">(ich, der Ewige) als emphatische Selbstvorstellung und </w:t>
      </w:r>
      <w:r w:rsidRPr="00C22013">
        <w:rPr>
          <w:rFonts w:eastAsia="Times New Roman" w:cs="Times New Roman"/>
          <w:b/>
          <w:bCs/>
          <w:rtl/>
          <w:lang w:eastAsia="de-DE"/>
        </w:rPr>
        <w:t>דִּבַּרְתִּי</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(reden) betont die absolute Autorität und Unumstößlichkeit der Ankündigung.</w:t>
      </w:r>
    </w:p>
    <w:p w14:paraId="0396959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verstärkende Schwurformel </w:t>
      </w:r>
      <w:r w:rsidRPr="00C22013">
        <w:rPr>
          <w:rFonts w:eastAsia="Times New Roman" w:cs="Times New Roman"/>
          <w:b/>
          <w:bCs/>
          <w:rtl/>
          <w:lang w:eastAsia="de-DE"/>
        </w:rPr>
        <w:t>אִם־לֹ֣א׀ זֹ֣את אֶֽעֱשֶׂ֗ה לְכָל־הָעֵדָ֤ה הָֽרָעָה֙ הַזֹּ֔את הַנּוֹעָדִ֖ים עָלָ֑י</w:t>
      </w:r>
      <w:r w:rsidRPr="00C22013">
        <w:rPr>
          <w:rFonts w:eastAsia="Times New Roman" w:cs="Times New Roman"/>
          <w:rtl/>
          <w:lang w:eastAsia="de-DE"/>
        </w:rPr>
        <w:t xml:space="preserve"> </w:t>
      </w:r>
      <w:r w:rsidRPr="00C22013">
        <w:rPr>
          <w:rFonts w:eastAsia="Times New Roman" w:cs="Times New Roman"/>
          <w:lang w:eastAsia="de-DE"/>
        </w:rPr>
        <w:t xml:space="preserve">(wenn ich dies nicht tue an dieser ganzen bösen Gemeinde, die sich gegen mich zusammengerottet hat) mit </w:t>
      </w:r>
      <w:r w:rsidRPr="00C22013">
        <w:rPr>
          <w:rFonts w:eastAsia="Times New Roman" w:cs="Times New Roman"/>
          <w:b/>
          <w:bCs/>
          <w:rtl/>
          <w:lang w:eastAsia="de-DE"/>
        </w:rPr>
        <w:t>אִם־לֹא זֹאת אֶעֱשֶׂה</w:t>
      </w:r>
      <w:r w:rsidRPr="00C22013">
        <w:rPr>
          <w:rFonts w:eastAsia="Times New Roman" w:cs="Times New Roman"/>
          <w:rtl/>
          <w:lang w:eastAsia="de-DE"/>
        </w:rPr>
        <w:t xml:space="preserve"> </w:t>
      </w:r>
      <w:r w:rsidRPr="00C22013">
        <w:rPr>
          <w:rFonts w:eastAsia="Times New Roman" w:cs="Times New Roman"/>
          <w:lang w:eastAsia="de-DE"/>
        </w:rPr>
        <w:t xml:space="preserve">(wenn ich dies nicht tue) als verstärkende Schwurformel, </w:t>
      </w:r>
      <w:r w:rsidRPr="00C22013">
        <w:rPr>
          <w:rFonts w:eastAsia="Times New Roman" w:cs="Times New Roman"/>
          <w:b/>
          <w:bCs/>
          <w:rtl/>
          <w:lang w:eastAsia="de-DE"/>
        </w:rPr>
        <w:t>עֵדָה רָעָה</w:t>
      </w:r>
      <w:r w:rsidRPr="00C22013">
        <w:rPr>
          <w:rFonts w:eastAsia="Times New Roman" w:cs="Times New Roman"/>
          <w:rtl/>
          <w:lang w:eastAsia="de-DE"/>
        </w:rPr>
        <w:t xml:space="preserve"> </w:t>
      </w:r>
      <w:r w:rsidRPr="00C22013">
        <w:rPr>
          <w:rFonts w:eastAsia="Times New Roman" w:cs="Times New Roman"/>
          <w:lang w:eastAsia="de-DE"/>
        </w:rPr>
        <w:t xml:space="preserve">(böse Gemeinde) und </w:t>
      </w:r>
      <w:r w:rsidRPr="00C22013">
        <w:rPr>
          <w:rFonts w:eastAsia="Times New Roman" w:cs="Times New Roman"/>
          <w:b/>
          <w:bCs/>
          <w:rtl/>
          <w:lang w:eastAsia="de-DE"/>
        </w:rPr>
        <w:t>נּוֹעָדִים עָלָי</w:t>
      </w:r>
      <w:r w:rsidRPr="00C22013">
        <w:rPr>
          <w:rFonts w:eastAsia="Times New Roman" w:cs="Times New Roman"/>
          <w:rtl/>
          <w:lang w:eastAsia="de-DE"/>
        </w:rPr>
        <w:t xml:space="preserve"> </w:t>
      </w:r>
      <w:r w:rsidRPr="00C22013">
        <w:rPr>
          <w:rFonts w:eastAsia="Times New Roman" w:cs="Times New Roman"/>
          <w:lang w:eastAsia="de-DE"/>
        </w:rPr>
        <w:t xml:space="preserve">(gegen mich zusammengerottet) von </w:t>
      </w:r>
      <w:r w:rsidRPr="00C22013">
        <w:rPr>
          <w:rFonts w:eastAsia="Times New Roman" w:cs="Times New Roman"/>
          <w:b/>
          <w:bCs/>
          <w:rtl/>
          <w:lang w:eastAsia="de-DE"/>
        </w:rPr>
        <w:t>יעד</w:t>
      </w:r>
      <w:r w:rsidRPr="00C22013">
        <w:rPr>
          <w:rFonts w:eastAsia="Times New Roman" w:cs="Times New Roman"/>
          <w:rtl/>
          <w:lang w:eastAsia="de-DE"/>
        </w:rPr>
        <w:t xml:space="preserve"> </w:t>
      </w:r>
      <w:r w:rsidRPr="00C22013">
        <w:rPr>
          <w:rFonts w:eastAsia="Times New Roman" w:cs="Times New Roman"/>
          <w:lang w:eastAsia="de-DE"/>
        </w:rPr>
        <w:t>(sich verabreden/verschwören) zeigt die Entschlossenheit zur Strafvollstreckung.</w:t>
      </w:r>
    </w:p>
    <w:p w14:paraId="42F6826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finale Bestätigung </w:t>
      </w:r>
      <w:r w:rsidRPr="00C22013">
        <w:rPr>
          <w:rFonts w:eastAsia="Times New Roman" w:cs="Times New Roman"/>
          <w:b/>
          <w:bCs/>
          <w:rtl/>
          <w:lang w:eastAsia="de-DE"/>
        </w:rPr>
        <w:t>בַּמִּדְבָּ֥ר הַזֶּ֛ה יִתַּ֖מּוּ וְשָׁ֥ם יָמֻֽתוּ</w:t>
      </w:r>
      <w:r w:rsidRPr="00C22013">
        <w:rPr>
          <w:rFonts w:eastAsia="Times New Roman" w:cs="Times New Roman"/>
          <w:rtl/>
          <w:lang w:eastAsia="de-DE"/>
        </w:rPr>
        <w:t xml:space="preserve"> </w:t>
      </w:r>
      <w:r w:rsidRPr="00C22013">
        <w:rPr>
          <w:rFonts w:eastAsia="Times New Roman" w:cs="Times New Roman"/>
          <w:lang w:eastAsia="de-DE"/>
        </w:rPr>
        <w:t xml:space="preserve">(in dieser Wüste sollen sie aufgerieben werden, und dort sollen sie sterben) mit </w:t>
      </w:r>
      <w:r w:rsidRPr="00C22013">
        <w:rPr>
          <w:rFonts w:eastAsia="Times New Roman" w:cs="Times New Roman"/>
          <w:b/>
          <w:bCs/>
          <w:rtl/>
          <w:lang w:eastAsia="de-DE"/>
        </w:rPr>
        <w:t>בַּמִּדְבָּר הַזֶּה</w:t>
      </w:r>
      <w:r w:rsidRPr="00C22013">
        <w:rPr>
          <w:rFonts w:eastAsia="Times New Roman" w:cs="Times New Roman"/>
          <w:rtl/>
          <w:lang w:eastAsia="de-DE"/>
        </w:rPr>
        <w:t xml:space="preserve"> </w:t>
      </w:r>
      <w:r w:rsidRPr="00C22013">
        <w:rPr>
          <w:rFonts w:eastAsia="Times New Roman" w:cs="Times New Roman"/>
          <w:lang w:eastAsia="de-DE"/>
        </w:rPr>
        <w:t xml:space="preserve">(in dieser Wüste), </w:t>
      </w:r>
      <w:r w:rsidRPr="00C22013">
        <w:rPr>
          <w:rFonts w:eastAsia="Times New Roman" w:cs="Times New Roman"/>
          <w:b/>
          <w:bCs/>
          <w:rtl/>
          <w:lang w:eastAsia="de-DE"/>
        </w:rPr>
        <w:t>יִתַּמּוּ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תמם</w:t>
      </w:r>
      <w:r w:rsidRPr="00C22013">
        <w:rPr>
          <w:rFonts w:eastAsia="Times New Roman" w:cs="Times New Roman"/>
          <w:rtl/>
          <w:lang w:eastAsia="de-DE"/>
        </w:rPr>
        <w:t xml:space="preserve"> </w:t>
      </w:r>
      <w:r w:rsidRPr="00C22013">
        <w:rPr>
          <w:rFonts w:eastAsia="Times New Roman" w:cs="Times New Roman"/>
          <w:lang w:eastAsia="de-DE"/>
        </w:rPr>
        <w:t xml:space="preserve">(aufgerieben werden/zu Ende gehen) und </w:t>
      </w:r>
      <w:r w:rsidRPr="00C22013">
        <w:rPr>
          <w:rFonts w:eastAsia="Times New Roman" w:cs="Times New Roman"/>
          <w:b/>
          <w:bCs/>
          <w:rtl/>
          <w:lang w:eastAsia="de-DE"/>
        </w:rPr>
        <w:t>יָמֻתוּ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מות</w:t>
      </w:r>
      <w:r w:rsidRPr="00C22013">
        <w:rPr>
          <w:rFonts w:eastAsia="Times New Roman" w:cs="Times New Roman"/>
          <w:rtl/>
          <w:lang w:eastAsia="de-DE"/>
        </w:rPr>
        <w:t xml:space="preserve"> </w:t>
      </w:r>
      <w:r w:rsidRPr="00C22013">
        <w:rPr>
          <w:rFonts w:eastAsia="Times New Roman" w:cs="Times New Roman"/>
          <w:lang w:eastAsia="de-DE"/>
        </w:rPr>
        <w:t>(sterben) wiederholt das endgültige Urteil.</w:t>
      </w:r>
    </w:p>
    <w:p w14:paraId="05F55F2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דִּבַּרְתִּי</w:t>
      </w:r>
      <w:r w:rsidRPr="00C22013">
        <w:rPr>
          <w:rFonts w:eastAsia="Times New Roman" w:cs="Times New Roman"/>
          <w:rtl/>
          <w:lang w:eastAsia="de-DE"/>
        </w:rPr>
        <w:t xml:space="preserve"> </w:t>
      </w:r>
      <w:r w:rsidRPr="00C22013">
        <w:rPr>
          <w:rFonts w:eastAsia="Times New Roman" w:cs="Times New Roman"/>
          <w:lang w:eastAsia="de-DE"/>
        </w:rPr>
        <w:t xml:space="preserve">mit λελάληκα (ich habe geredet), </w:t>
      </w:r>
      <w:r w:rsidRPr="00C22013">
        <w:rPr>
          <w:rFonts w:eastAsia="Times New Roman" w:cs="Times New Roman"/>
          <w:b/>
          <w:bCs/>
          <w:rtl/>
          <w:lang w:eastAsia="de-DE"/>
        </w:rPr>
        <w:t>נּוֹעָדִים</w:t>
      </w:r>
      <w:r w:rsidRPr="00C22013">
        <w:rPr>
          <w:rFonts w:eastAsia="Times New Roman" w:cs="Times New Roman"/>
          <w:rtl/>
          <w:lang w:eastAsia="de-DE"/>
        </w:rPr>
        <w:t xml:space="preserve"> </w:t>
      </w:r>
      <w:r w:rsidRPr="00C22013">
        <w:rPr>
          <w:rFonts w:eastAsia="Times New Roman" w:cs="Times New Roman"/>
          <w:lang w:eastAsia="de-DE"/>
        </w:rPr>
        <w:t xml:space="preserve">mit ἐπισυνεστάμενοι (sich zusammenrottend) und </w:t>
      </w:r>
      <w:r w:rsidRPr="00C22013">
        <w:rPr>
          <w:rFonts w:eastAsia="Times New Roman" w:cs="Times New Roman"/>
          <w:b/>
          <w:bCs/>
          <w:rtl/>
          <w:lang w:eastAsia="de-DE"/>
        </w:rPr>
        <w:t>יִתַּמּוּ</w:t>
      </w:r>
      <w:r w:rsidRPr="00C22013">
        <w:rPr>
          <w:rFonts w:eastAsia="Times New Roman" w:cs="Times New Roman"/>
          <w:rtl/>
          <w:lang w:eastAsia="de-DE"/>
        </w:rPr>
        <w:t xml:space="preserve"> </w:t>
      </w:r>
      <w:r w:rsidRPr="00C22013">
        <w:rPr>
          <w:rFonts w:eastAsia="Times New Roman" w:cs="Times New Roman"/>
          <w:lang w:eastAsia="de-DE"/>
        </w:rPr>
        <w:t>mit συντελεσθήσονται (sie werden vollendet werden).</w:t>
      </w:r>
    </w:p>
    <w:p w14:paraId="314FCAF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göttliche Autoritätsbestätigung, verstärkende Schwurformel mit Rebellion-Charakterisierung und finale Urteilswiederholung.</w:t>
      </w:r>
    </w:p>
    <w:p w14:paraId="5D2AF66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Dieser Vers bildet den feierlichen Abschluss der Strafankündigung mit göttlicher Autoritätsbestätigung und unumstößlicher Urteilsbestätigung.</w:t>
      </w:r>
    </w:p>
    <w:p w14:paraId="543B5A28"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14,36</w:t>
      </w:r>
    </w:p>
    <w:p w14:paraId="03FE85B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וְהָ֣אֲנָשִׁ֔ים אֲשֶׁר־שָׁלַ֥ח מֹשֶׁ֖ה לָת֣וּר אֶת־הָאָ֑רֶץ וַיָּשֻׁ֗בוּ וַיִּלּוֹנוּ עָלָיו֙ אֶת־כָּל־הָ֣עֵדָ֔ה לְהוֹצִ֥יא דִבָּ֖ה עַל־הָאָֽרֶץ׃</w:t>
      </w:r>
    </w:p>
    <w:p w14:paraId="565CF83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die Männer, die Mosche ausgesandt hatte, um das Land auszukundschaften, und die zurückkehrten und die ganze Gemeinde gegen ihn murren ließen, indem sie ein böses Gerücht über das Land aufbrachten.</w:t>
      </w:r>
    </w:p>
    <w:p w14:paraId="47AAAF3E"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1CBECE35">
          <v:rect id="_x0000_i1488" style="width:0;height:1.5pt" o:hralign="center" o:hrstd="t" o:hr="t" fillcolor="#a0a0a0" stroked="f"/>
        </w:pict>
      </w:r>
    </w:p>
    <w:p w14:paraId="7A11BAE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Identifikation </w:t>
      </w:r>
      <w:r w:rsidRPr="00C22013">
        <w:rPr>
          <w:rFonts w:eastAsia="Times New Roman" w:cs="Times New Roman"/>
          <w:b/>
          <w:bCs/>
          <w:rtl/>
          <w:lang w:eastAsia="de-DE"/>
        </w:rPr>
        <w:t>וְהָ֣אֲנָשִׁ֔ים אֲשֶׁר־שָׁלַ֥ח מֹשֶׁ֖ה לָת֣וּר אֶת־הָאָ֑רֶץ וַיָּשֻׁ֗בוּ</w:t>
      </w:r>
      <w:r w:rsidRPr="00C22013">
        <w:rPr>
          <w:rFonts w:eastAsia="Times New Roman" w:cs="Times New Roman"/>
          <w:rtl/>
          <w:lang w:eastAsia="de-DE"/>
        </w:rPr>
        <w:t xml:space="preserve"> </w:t>
      </w:r>
      <w:r w:rsidRPr="00C22013">
        <w:rPr>
          <w:rFonts w:eastAsia="Times New Roman" w:cs="Times New Roman"/>
          <w:lang w:eastAsia="de-DE"/>
        </w:rPr>
        <w:t xml:space="preserve">(und die Männer, die Mose ausgesandt hatte, um das Land auszukundschaften, und die zurückkehrten) mit </w:t>
      </w:r>
      <w:r w:rsidRPr="00C22013">
        <w:rPr>
          <w:rFonts w:eastAsia="Times New Roman" w:cs="Times New Roman"/>
          <w:b/>
          <w:bCs/>
          <w:rtl/>
          <w:lang w:eastAsia="de-DE"/>
        </w:rPr>
        <w:t>אֲשֶׁר־שָׁלַח מֹשֶׁה</w:t>
      </w:r>
      <w:r w:rsidRPr="00C22013">
        <w:rPr>
          <w:rFonts w:eastAsia="Times New Roman" w:cs="Times New Roman"/>
          <w:rtl/>
          <w:lang w:eastAsia="de-DE"/>
        </w:rPr>
        <w:t xml:space="preserve"> </w:t>
      </w:r>
      <w:r w:rsidRPr="00C22013">
        <w:rPr>
          <w:rFonts w:eastAsia="Times New Roman" w:cs="Times New Roman"/>
          <w:lang w:eastAsia="de-DE"/>
        </w:rPr>
        <w:t xml:space="preserve">(die Mose ausgesandt hatte), </w:t>
      </w:r>
      <w:r w:rsidRPr="00C22013">
        <w:rPr>
          <w:rFonts w:eastAsia="Times New Roman" w:cs="Times New Roman"/>
          <w:b/>
          <w:bCs/>
          <w:rtl/>
          <w:lang w:eastAsia="de-DE"/>
        </w:rPr>
        <w:t>לָתוּר אֶת־הָאָרֶץ</w:t>
      </w:r>
      <w:r w:rsidRPr="00C22013">
        <w:rPr>
          <w:rFonts w:eastAsia="Times New Roman" w:cs="Times New Roman"/>
          <w:rtl/>
          <w:lang w:eastAsia="de-DE"/>
        </w:rPr>
        <w:t xml:space="preserve"> </w:t>
      </w:r>
      <w:r w:rsidRPr="00C22013">
        <w:rPr>
          <w:rFonts w:eastAsia="Times New Roman" w:cs="Times New Roman"/>
          <w:lang w:eastAsia="de-DE"/>
        </w:rPr>
        <w:t xml:space="preserve">(um das Land auszukundschaften) und </w:t>
      </w:r>
      <w:r w:rsidRPr="00C22013">
        <w:rPr>
          <w:rFonts w:eastAsia="Times New Roman" w:cs="Times New Roman"/>
          <w:b/>
          <w:bCs/>
          <w:rtl/>
          <w:lang w:eastAsia="de-DE"/>
        </w:rPr>
        <w:t>יָּשֻׁבוּ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שוב</w:t>
      </w:r>
      <w:r w:rsidRPr="00C22013">
        <w:rPr>
          <w:rFonts w:eastAsia="Times New Roman" w:cs="Times New Roman"/>
          <w:rtl/>
          <w:lang w:eastAsia="de-DE"/>
        </w:rPr>
        <w:t xml:space="preserve"> </w:t>
      </w:r>
      <w:r w:rsidRPr="00C22013">
        <w:rPr>
          <w:rFonts w:eastAsia="Times New Roman" w:cs="Times New Roman"/>
          <w:lang w:eastAsia="de-DE"/>
        </w:rPr>
        <w:t>(zurückkehren) identifiziert die schuldigen Kundschafter.</w:t>
      </w:r>
    </w:p>
    <w:p w14:paraId="153B566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Anklage </w:t>
      </w:r>
      <w:r w:rsidRPr="00C22013">
        <w:rPr>
          <w:rFonts w:eastAsia="Times New Roman" w:cs="Times New Roman"/>
          <w:b/>
          <w:bCs/>
          <w:rtl/>
          <w:lang w:eastAsia="de-DE"/>
        </w:rPr>
        <w:t>וַיִּלּוֹנוּ עָלָיו֙ אֶת־כָּל־הָ֣עֵדָ֔ה לְהוֹצִ֥יא דִבָּ֖ה עַל־הָאָֽרֶץ</w:t>
      </w:r>
      <w:r w:rsidRPr="00C22013">
        <w:rPr>
          <w:rFonts w:eastAsia="Times New Roman" w:cs="Times New Roman"/>
          <w:rtl/>
          <w:lang w:eastAsia="de-DE"/>
        </w:rPr>
        <w:t xml:space="preserve"> </w:t>
      </w:r>
      <w:r w:rsidRPr="00C22013">
        <w:rPr>
          <w:rFonts w:eastAsia="Times New Roman" w:cs="Times New Roman"/>
          <w:lang w:eastAsia="de-DE"/>
        </w:rPr>
        <w:t xml:space="preserve">(und die ganze Gemeinde gegen ihn murren ließen, indem sie ein böses Gerücht über das Land aufbrachten) mit </w:t>
      </w:r>
      <w:r w:rsidRPr="00C22013">
        <w:rPr>
          <w:rFonts w:eastAsia="Times New Roman" w:cs="Times New Roman"/>
          <w:b/>
          <w:bCs/>
          <w:rtl/>
          <w:lang w:eastAsia="de-DE"/>
        </w:rPr>
        <w:t>יִּלּוֹנוּ עָלָיו</w:t>
      </w:r>
      <w:r w:rsidRPr="00C22013">
        <w:rPr>
          <w:rFonts w:eastAsia="Times New Roman" w:cs="Times New Roman"/>
          <w:rtl/>
          <w:lang w:eastAsia="de-DE"/>
        </w:rPr>
        <w:t xml:space="preserve"> </w:t>
      </w:r>
      <w:r w:rsidRPr="00C22013">
        <w:rPr>
          <w:rFonts w:eastAsia="Times New Roman" w:cs="Times New Roman"/>
          <w:lang w:eastAsia="de-DE"/>
        </w:rPr>
        <w:t xml:space="preserve">(sie ließen gegen ihn murren) von </w:t>
      </w:r>
      <w:r w:rsidRPr="00C22013">
        <w:rPr>
          <w:rFonts w:eastAsia="Times New Roman" w:cs="Times New Roman"/>
          <w:b/>
          <w:bCs/>
          <w:rtl/>
          <w:lang w:eastAsia="de-DE"/>
        </w:rPr>
        <w:t>לון</w:t>
      </w:r>
      <w:r w:rsidRPr="00C22013">
        <w:rPr>
          <w:rFonts w:eastAsia="Times New Roman" w:cs="Times New Roman"/>
          <w:rtl/>
          <w:lang w:eastAsia="de-DE"/>
        </w:rPr>
        <w:t xml:space="preserve"> </w:t>
      </w:r>
      <w:r w:rsidRPr="00C22013">
        <w:rPr>
          <w:rFonts w:eastAsia="Times New Roman" w:cs="Times New Roman"/>
          <w:lang w:eastAsia="de-DE"/>
        </w:rPr>
        <w:t xml:space="preserve">(murren) im Hiph'il mit kausativer Bedeutung, </w:t>
      </w:r>
      <w:r w:rsidRPr="00C22013">
        <w:rPr>
          <w:rFonts w:eastAsia="Times New Roman" w:cs="Times New Roman"/>
          <w:b/>
          <w:bCs/>
          <w:rtl/>
          <w:lang w:eastAsia="de-DE"/>
        </w:rPr>
        <w:t>אֶת־כָּל־הָעֵדָה</w:t>
      </w:r>
      <w:r w:rsidRPr="00C22013">
        <w:rPr>
          <w:rFonts w:eastAsia="Times New Roman" w:cs="Times New Roman"/>
          <w:rtl/>
          <w:lang w:eastAsia="de-DE"/>
        </w:rPr>
        <w:t xml:space="preserve"> </w:t>
      </w:r>
      <w:r w:rsidRPr="00C22013">
        <w:rPr>
          <w:rFonts w:eastAsia="Times New Roman" w:cs="Times New Roman"/>
          <w:lang w:eastAsia="de-DE"/>
        </w:rPr>
        <w:t xml:space="preserve">(die ganze Gemeinde) und </w:t>
      </w:r>
      <w:r w:rsidRPr="00C22013">
        <w:rPr>
          <w:rFonts w:eastAsia="Times New Roman" w:cs="Times New Roman"/>
          <w:b/>
          <w:bCs/>
          <w:rtl/>
          <w:lang w:eastAsia="de-DE"/>
        </w:rPr>
        <w:t>לְהוֹצִיא דִבָּה עַל־הָאָרֶץ</w:t>
      </w:r>
      <w:r w:rsidRPr="00C22013">
        <w:rPr>
          <w:rFonts w:eastAsia="Times New Roman" w:cs="Times New Roman"/>
          <w:rtl/>
          <w:lang w:eastAsia="de-DE"/>
        </w:rPr>
        <w:t xml:space="preserve"> </w:t>
      </w:r>
      <w:r w:rsidRPr="00C22013">
        <w:rPr>
          <w:rFonts w:eastAsia="Times New Roman" w:cs="Times New Roman"/>
          <w:lang w:eastAsia="de-DE"/>
        </w:rPr>
        <w:t>(um ein böses Gerücht über das Land aufzubringen) zeigt ihre Verantwortung für die Volksrebellion.</w:t>
      </w:r>
    </w:p>
    <w:p w14:paraId="206D9ED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שָׁלַח</w:t>
      </w:r>
      <w:r w:rsidRPr="00C22013">
        <w:rPr>
          <w:rFonts w:eastAsia="Times New Roman" w:cs="Times New Roman"/>
          <w:rtl/>
          <w:lang w:eastAsia="de-DE"/>
        </w:rPr>
        <w:t xml:space="preserve"> </w:t>
      </w:r>
      <w:r w:rsidRPr="00C22013">
        <w:rPr>
          <w:rFonts w:eastAsia="Times New Roman" w:cs="Times New Roman"/>
          <w:lang w:eastAsia="de-DE"/>
        </w:rPr>
        <w:t xml:space="preserve">mit ἀπέστειλεν (er sandte aus), </w:t>
      </w:r>
      <w:r w:rsidRPr="00C22013">
        <w:rPr>
          <w:rFonts w:eastAsia="Times New Roman" w:cs="Times New Roman"/>
          <w:b/>
          <w:bCs/>
          <w:rtl/>
          <w:lang w:eastAsia="de-DE"/>
        </w:rPr>
        <w:t>לָתוּר</w:t>
      </w:r>
      <w:r w:rsidRPr="00C22013">
        <w:rPr>
          <w:rFonts w:eastAsia="Times New Roman" w:cs="Times New Roman"/>
          <w:rtl/>
          <w:lang w:eastAsia="de-DE"/>
        </w:rPr>
        <w:t xml:space="preserve"> </w:t>
      </w:r>
      <w:r w:rsidRPr="00C22013">
        <w:rPr>
          <w:rFonts w:eastAsia="Times New Roman" w:cs="Times New Roman"/>
          <w:lang w:eastAsia="de-DE"/>
        </w:rPr>
        <w:t xml:space="preserve">mit κατασκέψασθαι (zu erkunden), </w:t>
      </w:r>
      <w:r w:rsidRPr="00C22013">
        <w:rPr>
          <w:rFonts w:eastAsia="Times New Roman" w:cs="Times New Roman"/>
          <w:b/>
          <w:bCs/>
          <w:rtl/>
          <w:lang w:eastAsia="de-DE"/>
        </w:rPr>
        <w:t>יִּלּוֹנוּ</w:t>
      </w:r>
      <w:r w:rsidRPr="00C22013">
        <w:rPr>
          <w:rFonts w:eastAsia="Times New Roman" w:cs="Times New Roman"/>
          <w:rtl/>
          <w:lang w:eastAsia="de-DE"/>
        </w:rPr>
        <w:t xml:space="preserve"> </w:t>
      </w:r>
      <w:r w:rsidRPr="00C22013">
        <w:rPr>
          <w:rFonts w:eastAsia="Times New Roman" w:cs="Times New Roman"/>
          <w:lang w:eastAsia="de-DE"/>
        </w:rPr>
        <w:t xml:space="preserve">mit κατεγόγγυσαν (sie brachten zum Murren) und </w:t>
      </w:r>
      <w:r w:rsidRPr="00C22013">
        <w:rPr>
          <w:rFonts w:eastAsia="Times New Roman" w:cs="Times New Roman"/>
          <w:b/>
          <w:bCs/>
          <w:rtl/>
          <w:lang w:eastAsia="de-DE"/>
        </w:rPr>
        <w:t>דִבָּה</w:t>
      </w:r>
      <w:r w:rsidRPr="00C22013">
        <w:rPr>
          <w:rFonts w:eastAsia="Times New Roman" w:cs="Times New Roman"/>
          <w:rtl/>
          <w:lang w:eastAsia="de-DE"/>
        </w:rPr>
        <w:t xml:space="preserve"> </w:t>
      </w:r>
      <w:r w:rsidRPr="00C22013">
        <w:rPr>
          <w:rFonts w:eastAsia="Times New Roman" w:cs="Times New Roman"/>
          <w:lang w:eastAsia="de-DE"/>
        </w:rPr>
        <w:t>mit διαβολήν (Verleumdung).</w:t>
      </w:r>
    </w:p>
    <w:p w14:paraId="287311D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Kundschafter-Identifikation, Rückkehr-Bestätigung und Anklage wegen Aufwiegelung zur Rebellion.</w:t>
      </w:r>
    </w:p>
    <w:p w14:paraId="617F60D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die Bestrafung der schuldigen Kundschafter ein und charakterisiert ihre Verantwortung für die Volksrebellion.</w:t>
      </w:r>
    </w:p>
    <w:p w14:paraId="6EB39AE8"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14,37</w:t>
      </w:r>
    </w:p>
    <w:p w14:paraId="7B4A9EF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וַיָּמֻ֨תוּ֙ הָֽאֲנָשִׁ֔ים מוֹצִאֵ֥י דִבַּת־הָאָ֖רֶץ רָעָ֑ה בַּמַּגֵּפָ֖ה לִפְנֵ֥י יְהוָֽה׃</w:t>
      </w:r>
    </w:p>
    <w:p w14:paraId="78C0ED6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Die Männer, die ein böses Gerücht über das Land aufgebracht hatten, starben durch eine Plage vor dem Ewigen.</w:t>
      </w:r>
    </w:p>
    <w:p w14:paraId="1C605E83"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EF99015">
          <v:rect id="_x0000_i1489" style="width:0;height:1.5pt" o:hralign="center" o:hrstd="t" o:hr="t" fillcolor="#a0a0a0" stroked="f"/>
        </w:pict>
      </w:r>
    </w:p>
    <w:p w14:paraId="3816963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Charakterisierung </w:t>
      </w:r>
      <w:r w:rsidRPr="00C22013">
        <w:rPr>
          <w:rFonts w:eastAsia="Times New Roman" w:cs="Times New Roman"/>
          <w:b/>
          <w:bCs/>
          <w:rtl/>
          <w:lang w:eastAsia="de-DE"/>
        </w:rPr>
        <w:t>וַיָּמֻ֨תוּ֙ הָֽאֲנָשִׁ֔ים מוֹצִאֵ֥י דִבַּת־הָאָ֖רֶץ רָעָ֑ה</w:t>
      </w:r>
      <w:r w:rsidRPr="00C22013">
        <w:rPr>
          <w:rFonts w:eastAsia="Times New Roman" w:cs="Times New Roman"/>
          <w:rtl/>
          <w:lang w:eastAsia="de-DE"/>
        </w:rPr>
        <w:t xml:space="preserve"> </w:t>
      </w:r>
      <w:r w:rsidRPr="00C22013">
        <w:rPr>
          <w:rFonts w:eastAsia="Times New Roman" w:cs="Times New Roman"/>
          <w:lang w:eastAsia="de-DE"/>
        </w:rPr>
        <w:t xml:space="preserve">(und es starben die Männer, die ein böses Gerücht über das Land aufgebracht hatten) mit </w:t>
      </w:r>
      <w:r w:rsidRPr="00C22013">
        <w:rPr>
          <w:rFonts w:eastAsia="Times New Roman" w:cs="Times New Roman"/>
          <w:b/>
          <w:bCs/>
          <w:rtl/>
          <w:lang w:eastAsia="de-DE"/>
        </w:rPr>
        <w:t>יָמֻתוּ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מות</w:t>
      </w:r>
      <w:r w:rsidRPr="00C22013">
        <w:rPr>
          <w:rFonts w:eastAsia="Times New Roman" w:cs="Times New Roman"/>
          <w:rtl/>
          <w:lang w:eastAsia="de-DE"/>
        </w:rPr>
        <w:t xml:space="preserve"> </w:t>
      </w:r>
      <w:r w:rsidRPr="00C22013">
        <w:rPr>
          <w:rFonts w:eastAsia="Times New Roman" w:cs="Times New Roman"/>
          <w:lang w:eastAsia="de-DE"/>
        </w:rPr>
        <w:t xml:space="preserve">(sterben) im Qal-Perfekt 3. maskulin Plural mit Waw consecutivum, </w:t>
      </w:r>
      <w:r w:rsidRPr="00C22013">
        <w:rPr>
          <w:rFonts w:eastAsia="Times New Roman" w:cs="Times New Roman"/>
          <w:b/>
          <w:bCs/>
          <w:rtl/>
          <w:lang w:eastAsia="de-DE"/>
        </w:rPr>
        <w:t>מוֹצִאֵי דִבַּת־הָאָרֶץ רָעָה</w:t>
      </w:r>
      <w:r w:rsidRPr="00C22013">
        <w:rPr>
          <w:rFonts w:eastAsia="Times New Roman" w:cs="Times New Roman"/>
          <w:rtl/>
          <w:lang w:eastAsia="de-DE"/>
        </w:rPr>
        <w:t xml:space="preserve"> </w:t>
      </w:r>
      <w:r w:rsidRPr="00C22013">
        <w:rPr>
          <w:rFonts w:eastAsia="Times New Roman" w:cs="Times New Roman"/>
          <w:lang w:eastAsia="de-DE"/>
        </w:rPr>
        <w:t xml:space="preserve">(die ein böses Gerücht über das Land aufbrachten) mit </w:t>
      </w:r>
      <w:r w:rsidRPr="00C22013">
        <w:rPr>
          <w:rFonts w:eastAsia="Times New Roman" w:cs="Times New Roman"/>
          <w:b/>
          <w:bCs/>
          <w:rtl/>
          <w:lang w:eastAsia="de-DE"/>
        </w:rPr>
        <w:t>מוֹצִאֵי</w:t>
      </w:r>
      <w:r w:rsidRPr="00C22013">
        <w:rPr>
          <w:rFonts w:eastAsia="Times New Roman" w:cs="Times New Roman"/>
          <w:rtl/>
          <w:lang w:eastAsia="de-DE"/>
        </w:rPr>
        <w:t xml:space="preserve"> </w:t>
      </w:r>
      <w:r w:rsidRPr="00C22013">
        <w:rPr>
          <w:rFonts w:eastAsia="Times New Roman" w:cs="Times New Roman"/>
          <w:lang w:eastAsia="de-DE"/>
        </w:rPr>
        <w:t xml:space="preserve">als Hiph'il-Partizip Plural von </w:t>
      </w:r>
      <w:r w:rsidRPr="00C22013">
        <w:rPr>
          <w:rFonts w:eastAsia="Times New Roman" w:cs="Times New Roman"/>
          <w:b/>
          <w:bCs/>
          <w:rtl/>
          <w:lang w:eastAsia="de-DE"/>
        </w:rPr>
        <w:t>יצא</w:t>
      </w:r>
      <w:r w:rsidRPr="00C22013">
        <w:rPr>
          <w:rFonts w:eastAsia="Times New Roman" w:cs="Times New Roman"/>
          <w:rtl/>
          <w:lang w:eastAsia="de-DE"/>
        </w:rPr>
        <w:t xml:space="preserve"> </w:t>
      </w:r>
      <w:r w:rsidRPr="00C22013">
        <w:rPr>
          <w:rFonts w:eastAsia="Times New Roman" w:cs="Times New Roman"/>
          <w:lang w:eastAsia="de-DE"/>
        </w:rPr>
        <w:lastRenderedPageBreak/>
        <w:t xml:space="preserve">(herausbringen) und </w:t>
      </w:r>
      <w:r w:rsidRPr="00C22013">
        <w:rPr>
          <w:rFonts w:eastAsia="Times New Roman" w:cs="Times New Roman"/>
          <w:b/>
          <w:bCs/>
          <w:rtl/>
          <w:lang w:eastAsia="de-DE"/>
        </w:rPr>
        <w:t>דִבַּת־הָאָרֶץ רָעָה</w:t>
      </w:r>
      <w:r w:rsidRPr="00C22013">
        <w:rPr>
          <w:rFonts w:eastAsia="Times New Roman" w:cs="Times New Roman"/>
          <w:rtl/>
          <w:lang w:eastAsia="de-DE"/>
        </w:rPr>
        <w:t xml:space="preserve"> </w:t>
      </w:r>
      <w:r w:rsidRPr="00C22013">
        <w:rPr>
          <w:rFonts w:eastAsia="Times New Roman" w:cs="Times New Roman"/>
          <w:lang w:eastAsia="de-DE"/>
        </w:rPr>
        <w:t>(böses Gerücht über das Land) zeigt die spezifische Schuld der Verstorbenen.</w:t>
      </w:r>
    </w:p>
    <w:p w14:paraId="558C9E0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Todesart </w:t>
      </w:r>
      <w:r w:rsidRPr="00C22013">
        <w:rPr>
          <w:rFonts w:eastAsia="Times New Roman" w:cs="Times New Roman"/>
          <w:b/>
          <w:bCs/>
          <w:rtl/>
          <w:lang w:eastAsia="de-DE"/>
        </w:rPr>
        <w:t>בַּמַּגֵּפָ֖ה לִפְנֵ֥י יְהוָֽה</w:t>
      </w:r>
      <w:r w:rsidRPr="00C22013">
        <w:rPr>
          <w:rFonts w:eastAsia="Times New Roman" w:cs="Times New Roman"/>
          <w:rtl/>
          <w:lang w:eastAsia="de-DE"/>
        </w:rPr>
        <w:t xml:space="preserve"> </w:t>
      </w:r>
      <w:r w:rsidRPr="00C22013">
        <w:rPr>
          <w:rFonts w:eastAsia="Times New Roman" w:cs="Times New Roman"/>
          <w:lang w:eastAsia="de-DE"/>
        </w:rPr>
        <w:t xml:space="preserve">(durch eine Plage vor dem Ewigen) mit </w:t>
      </w:r>
      <w:r w:rsidRPr="00C22013">
        <w:rPr>
          <w:rFonts w:eastAsia="Times New Roman" w:cs="Times New Roman"/>
          <w:b/>
          <w:bCs/>
          <w:rtl/>
          <w:lang w:eastAsia="de-DE"/>
        </w:rPr>
        <w:t>בַּמַּגֵּפָה</w:t>
      </w:r>
      <w:r w:rsidRPr="00C22013">
        <w:rPr>
          <w:rFonts w:eastAsia="Times New Roman" w:cs="Times New Roman"/>
          <w:rtl/>
          <w:lang w:eastAsia="de-DE"/>
        </w:rPr>
        <w:t xml:space="preserve"> </w:t>
      </w:r>
      <w:r w:rsidRPr="00C22013">
        <w:rPr>
          <w:rFonts w:eastAsia="Times New Roman" w:cs="Times New Roman"/>
          <w:lang w:eastAsia="de-DE"/>
        </w:rPr>
        <w:t xml:space="preserve">(durch eine Plage) von </w:t>
      </w:r>
      <w:r w:rsidRPr="00C22013">
        <w:rPr>
          <w:rFonts w:eastAsia="Times New Roman" w:cs="Times New Roman"/>
          <w:b/>
          <w:bCs/>
          <w:rtl/>
          <w:lang w:eastAsia="de-DE"/>
        </w:rPr>
        <w:t>נגף</w:t>
      </w:r>
      <w:r w:rsidRPr="00C22013">
        <w:rPr>
          <w:rFonts w:eastAsia="Times New Roman" w:cs="Times New Roman"/>
          <w:rtl/>
          <w:lang w:eastAsia="de-DE"/>
        </w:rPr>
        <w:t xml:space="preserve"> </w:t>
      </w:r>
      <w:r w:rsidRPr="00C22013">
        <w:rPr>
          <w:rFonts w:eastAsia="Times New Roman" w:cs="Times New Roman"/>
          <w:lang w:eastAsia="de-DE"/>
        </w:rPr>
        <w:t xml:space="preserve">(schlagen) und </w:t>
      </w:r>
      <w:r w:rsidRPr="00C22013">
        <w:rPr>
          <w:rFonts w:eastAsia="Times New Roman" w:cs="Times New Roman"/>
          <w:b/>
          <w:bCs/>
          <w:rtl/>
          <w:lang w:eastAsia="de-DE"/>
        </w:rPr>
        <w:t>לִפְנֵי יְהוָה</w:t>
      </w:r>
      <w:r w:rsidRPr="00C22013">
        <w:rPr>
          <w:rFonts w:eastAsia="Times New Roman" w:cs="Times New Roman"/>
          <w:rtl/>
          <w:lang w:eastAsia="de-DE"/>
        </w:rPr>
        <w:t xml:space="preserve"> </w:t>
      </w:r>
      <w:r w:rsidRPr="00C22013">
        <w:rPr>
          <w:rFonts w:eastAsia="Times New Roman" w:cs="Times New Roman"/>
          <w:lang w:eastAsia="de-DE"/>
        </w:rPr>
        <w:t>(vor dem Ewigen) zeigt die übernatürliche, göttlich verursachte Todesart als unmittelbare Strafe.</w:t>
      </w:r>
    </w:p>
    <w:p w14:paraId="0E9776A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יָמֻתוּ</w:t>
      </w:r>
      <w:r w:rsidRPr="00C22013">
        <w:rPr>
          <w:rFonts w:eastAsia="Times New Roman" w:cs="Times New Roman"/>
          <w:rtl/>
          <w:lang w:eastAsia="de-DE"/>
        </w:rPr>
        <w:t xml:space="preserve"> </w:t>
      </w:r>
      <w:r w:rsidRPr="00C22013">
        <w:rPr>
          <w:rFonts w:eastAsia="Times New Roman" w:cs="Times New Roman"/>
          <w:lang w:eastAsia="de-DE"/>
        </w:rPr>
        <w:t xml:space="preserve">mit ἀπέθανον (sie starben), </w:t>
      </w:r>
      <w:r w:rsidRPr="00C22013">
        <w:rPr>
          <w:rFonts w:eastAsia="Times New Roman" w:cs="Times New Roman"/>
          <w:b/>
          <w:bCs/>
          <w:rtl/>
          <w:lang w:eastAsia="de-DE"/>
        </w:rPr>
        <w:t>מוֹצִאֵי דִבַּת־הָאָרֶץ רָעָה</w:t>
      </w:r>
      <w:r w:rsidRPr="00C22013">
        <w:rPr>
          <w:rFonts w:eastAsia="Times New Roman" w:cs="Times New Roman"/>
          <w:rtl/>
          <w:lang w:eastAsia="de-DE"/>
        </w:rPr>
        <w:t xml:space="preserve"> </w:t>
      </w:r>
      <w:r w:rsidRPr="00C22013">
        <w:rPr>
          <w:rFonts w:eastAsia="Times New Roman" w:cs="Times New Roman"/>
          <w:lang w:eastAsia="de-DE"/>
        </w:rPr>
        <w:t xml:space="preserve">mit οἱ ἐξαγαγόντες διαβολὴν γῆς πονηρὰν (die ein böses Gerücht über das Land aufbrachten) und </w:t>
      </w:r>
      <w:r w:rsidRPr="00C22013">
        <w:rPr>
          <w:rFonts w:eastAsia="Times New Roman" w:cs="Times New Roman"/>
          <w:b/>
          <w:bCs/>
          <w:rtl/>
          <w:lang w:eastAsia="de-DE"/>
        </w:rPr>
        <w:t>מַגֵּפָה</w:t>
      </w:r>
      <w:r w:rsidRPr="00C22013">
        <w:rPr>
          <w:rFonts w:eastAsia="Times New Roman" w:cs="Times New Roman"/>
          <w:rtl/>
          <w:lang w:eastAsia="de-DE"/>
        </w:rPr>
        <w:t xml:space="preserve"> </w:t>
      </w:r>
      <w:r w:rsidRPr="00C22013">
        <w:rPr>
          <w:rFonts w:eastAsia="Times New Roman" w:cs="Times New Roman"/>
          <w:lang w:eastAsia="de-DE"/>
        </w:rPr>
        <w:t>mit πληγή (Plage).</w:t>
      </w:r>
    </w:p>
    <w:p w14:paraId="63AF545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spezifische Schuldcharakterisierung und übernatürliche Todesart als göttliche Strafe.</w:t>
      </w:r>
    </w:p>
    <w:p w14:paraId="58432A2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berichtet die sofortige göttliche Bestrafung der böswilligen Kundschafter durch eine übernatürliche Plage.</w:t>
      </w:r>
    </w:p>
    <w:p w14:paraId="23B4FBE0"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14,38</w:t>
      </w:r>
    </w:p>
    <w:p w14:paraId="712F94D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וִיהוֹשֻׁ֣עַ בִּן־נ֔וּן וְכָלֵ֖ב בֶּן־יְפֻנֶּ֑ה חָיוּ֙ מִן־הָאֲנָשִׁ֣ים הָהֵ֔ם הַֽהֹלְכִ֖ים לָת֥וּר אֶת־הָאָֽרֶץ׃</w:t>
      </w:r>
    </w:p>
    <w:p w14:paraId="496D0AF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Aber Jehoschua, der Sohn Nuns, und Kalev, der Sohn Jephunnes, blieben am Leben von jenen Männern, die gegangen waren, das Land auszukundschaften.</w:t>
      </w:r>
    </w:p>
    <w:p w14:paraId="774A7514"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271964C0">
          <v:rect id="_x0000_i1490" style="width:0;height:1.5pt" o:hralign="center" o:hrstd="t" o:hr="t" fillcolor="#a0a0a0" stroked="f"/>
        </w:pict>
      </w:r>
    </w:p>
    <w:p w14:paraId="7E7A67D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kontrastive Ausnahme </w:t>
      </w:r>
      <w:r w:rsidRPr="00C22013">
        <w:rPr>
          <w:rFonts w:eastAsia="Times New Roman" w:cs="Times New Roman"/>
          <w:b/>
          <w:bCs/>
          <w:rtl/>
          <w:lang w:eastAsia="de-DE"/>
        </w:rPr>
        <w:t>וִיהוֹשֻׁ֣עַ בִּן־נ֔וּן וְכָלֵ֖ב בֶּן־יְפֻנֶּ֑ה חָיוּ֙</w:t>
      </w:r>
      <w:r w:rsidRPr="00C22013">
        <w:rPr>
          <w:rFonts w:eastAsia="Times New Roman" w:cs="Times New Roman"/>
          <w:rtl/>
          <w:lang w:eastAsia="de-DE"/>
        </w:rPr>
        <w:t xml:space="preserve"> </w:t>
      </w:r>
      <w:r w:rsidRPr="00C22013">
        <w:rPr>
          <w:rFonts w:eastAsia="Times New Roman" w:cs="Times New Roman"/>
          <w:lang w:eastAsia="de-DE"/>
        </w:rPr>
        <w:t xml:space="preserve">(aber Josua, Sohn Nuns, und Kaleb, Sohn Jephunnes, blieben am Leben) mit der namentlichen Nennung der beiden treuen Kundschafter und </w:t>
      </w:r>
      <w:r w:rsidRPr="00C22013">
        <w:rPr>
          <w:rFonts w:eastAsia="Times New Roman" w:cs="Times New Roman"/>
          <w:b/>
          <w:bCs/>
          <w:rtl/>
          <w:lang w:eastAsia="de-DE"/>
        </w:rPr>
        <w:t>חָיוּ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חיה</w:t>
      </w:r>
      <w:r w:rsidRPr="00C22013">
        <w:rPr>
          <w:rFonts w:eastAsia="Times New Roman" w:cs="Times New Roman"/>
          <w:rtl/>
          <w:lang w:eastAsia="de-DE"/>
        </w:rPr>
        <w:t xml:space="preserve"> </w:t>
      </w:r>
      <w:r w:rsidRPr="00C22013">
        <w:rPr>
          <w:rFonts w:eastAsia="Times New Roman" w:cs="Times New Roman"/>
          <w:lang w:eastAsia="de-DE"/>
        </w:rPr>
        <w:t>(leben) im Qal-Perfekt 3. maskulin Plural zeigt ihre Verschonung von der Plage.</w:t>
      </w:r>
    </w:p>
    <w:p w14:paraId="38ED97F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Gruppenzugehörigkeit </w:t>
      </w:r>
      <w:r w:rsidRPr="00C22013">
        <w:rPr>
          <w:rFonts w:eastAsia="Times New Roman" w:cs="Times New Roman"/>
          <w:b/>
          <w:bCs/>
          <w:rtl/>
          <w:lang w:eastAsia="de-DE"/>
        </w:rPr>
        <w:t>מִן־הָאֲנָשִׁ֣ים הָהֵ֔ם הַֽהֹלְכִ֖ים לָת֥וּר אֶת־הָאָֽרֶץ</w:t>
      </w:r>
      <w:r w:rsidRPr="00C22013">
        <w:rPr>
          <w:rFonts w:eastAsia="Times New Roman" w:cs="Times New Roman"/>
          <w:rtl/>
          <w:lang w:eastAsia="de-DE"/>
        </w:rPr>
        <w:t xml:space="preserve"> </w:t>
      </w:r>
      <w:r w:rsidRPr="00C22013">
        <w:rPr>
          <w:rFonts w:eastAsia="Times New Roman" w:cs="Times New Roman"/>
          <w:lang w:eastAsia="de-DE"/>
        </w:rPr>
        <w:t xml:space="preserve">(von jenen Männern, die gegangen waren, das Land auszukundschaften) mit </w:t>
      </w:r>
      <w:r w:rsidRPr="00C22013">
        <w:rPr>
          <w:rFonts w:eastAsia="Times New Roman" w:cs="Times New Roman"/>
          <w:b/>
          <w:bCs/>
          <w:rtl/>
          <w:lang w:eastAsia="de-DE"/>
        </w:rPr>
        <w:t>מִן־הָאֲנָשִׁים הָהֵם</w:t>
      </w:r>
      <w:r w:rsidRPr="00C22013">
        <w:rPr>
          <w:rFonts w:eastAsia="Times New Roman" w:cs="Times New Roman"/>
          <w:rtl/>
          <w:lang w:eastAsia="de-DE"/>
        </w:rPr>
        <w:t xml:space="preserve"> </w:t>
      </w:r>
      <w:r w:rsidRPr="00C22013">
        <w:rPr>
          <w:rFonts w:eastAsia="Times New Roman" w:cs="Times New Roman"/>
          <w:lang w:eastAsia="de-DE"/>
        </w:rPr>
        <w:t xml:space="preserve">(von jenen Männern), </w:t>
      </w:r>
      <w:r w:rsidRPr="00C22013">
        <w:rPr>
          <w:rFonts w:eastAsia="Times New Roman" w:cs="Times New Roman"/>
          <w:b/>
          <w:bCs/>
          <w:rtl/>
          <w:lang w:eastAsia="de-DE"/>
        </w:rPr>
        <w:t>הַהֹלְכִים</w:t>
      </w:r>
      <w:r w:rsidRPr="00C22013">
        <w:rPr>
          <w:rFonts w:eastAsia="Times New Roman" w:cs="Times New Roman"/>
          <w:rtl/>
          <w:lang w:eastAsia="de-DE"/>
        </w:rPr>
        <w:t xml:space="preserve"> </w:t>
      </w:r>
      <w:r w:rsidRPr="00C22013">
        <w:rPr>
          <w:rFonts w:eastAsia="Times New Roman" w:cs="Times New Roman"/>
          <w:lang w:eastAsia="de-DE"/>
        </w:rPr>
        <w:t xml:space="preserve">(die gegangen waren) als Qal-Partizip Plural von </w:t>
      </w:r>
      <w:r w:rsidRPr="00C22013">
        <w:rPr>
          <w:rFonts w:eastAsia="Times New Roman" w:cs="Times New Roman"/>
          <w:b/>
          <w:bCs/>
          <w:rtl/>
          <w:lang w:eastAsia="de-DE"/>
        </w:rPr>
        <w:t>הלך</w:t>
      </w:r>
      <w:r w:rsidRPr="00C22013">
        <w:rPr>
          <w:rFonts w:eastAsia="Times New Roman" w:cs="Times New Roman"/>
          <w:rtl/>
          <w:lang w:eastAsia="de-DE"/>
        </w:rPr>
        <w:t xml:space="preserve"> </w:t>
      </w:r>
      <w:r w:rsidRPr="00C22013">
        <w:rPr>
          <w:rFonts w:eastAsia="Times New Roman" w:cs="Times New Roman"/>
          <w:lang w:eastAsia="de-DE"/>
        </w:rPr>
        <w:t xml:space="preserve">(gehen) und </w:t>
      </w:r>
      <w:r w:rsidRPr="00C22013">
        <w:rPr>
          <w:rFonts w:eastAsia="Times New Roman" w:cs="Times New Roman"/>
          <w:b/>
          <w:bCs/>
          <w:rtl/>
          <w:lang w:eastAsia="de-DE"/>
        </w:rPr>
        <w:t>לָתוּר אֶת־הָאָרֶץ</w:t>
      </w:r>
      <w:r w:rsidRPr="00C22013">
        <w:rPr>
          <w:rFonts w:eastAsia="Times New Roman" w:cs="Times New Roman"/>
          <w:rtl/>
          <w:lang w:eastAsia="de-DE"/>
        </w:rPr>
        <w:t xml:space="preserve"> </w:t>
      </w:r>
      <w:r w:rsidRPr="00C22013">
        <w:rPr>
          <w:rFonts w:eastAsia="Times New Roman" w:cs="Times New Roman"/>
          <w:lang w:eastAsia="de-DE"/>
        </w:rPr>
        <w:t>(um das Land auszukundschaften) bestätigt ihre Zugehörigkeit zur Kundschaftergruppe trotz ihrer Verschonung.</w:t>
      </w:r>
    </w:p>
    <w:p w14:paraId="0DEBACE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transliteriert die Namen als Ἰησοῦς und Χαλεβ und übersetzt </w:t>
      </w:r>
      <w:r w:rsidRPr="00C22013">
        <w:rPr>
          <w:rFonts w:eastAsia="Times New Roman" w:cs="Times New Roman"/>
          <w:b/>
          <w:bCs/>
          <w:rtl/>
          <w:lang w:eastAsia="de-DE"/>
        </w:rPr>
        <w:t>חָיוּ</w:t>
      </w:r>
      <w:r w:rsidRPr="00C22013">
        <w:rPr>
          <w:rFonts w:eastAsia="Times New Roman" w:cs="Times New Roman"/>
          <w:rtl/>
          <w:lang w:eastAsia="de-DE"/>
        </w:rPr>
        <w:t xml:space="preserve"> </w:t>
      </w:r>
      <w:r w:rsidRPr="00C22013">
        <w:rPr>
          <w:rFonts w:eastAsia="Times New Roman" w:cs="Times New Roman"/>
          <w:lang w:eastAsia="de-DE"/>
        </w:rPr>
        <w:t xml:space="preserve">mit ἔζησαν (sie lebten) und </w:t>
      </w:r>
      <w:r w:rsidRPr="00C22013">
        <w:rPr>
          <w:rFonts w:eastAsia="Times New Roman" w:cs="Times New Roman"/>
          <w:b/>
          <w:bCs/>
          <w:rtl/>
          <w:lang w:eastAsia="de-DE"/>
        </w:rPr>
        <w:t>הַהֹלְכִים</w:t>
      </w:r>
      <w:r w:rsidRPr="00C22013">
        <w:rPr>
          <w:rFonts w:eastAsia="Times New Roman" w:cs="Times New Roman"/>
          <w:rtl/>
          <w:lang w:eastAsia="de-DE"/>
        </w:rPr>
        <w:t xml:space="preserve"> </w:t>
      </w:r>
      <w:r w:rsidRPr="00C22013">
        <w:rPr>
          <w:rFonts w:eastAsia="Times New Roman" w:cs="Times New Roman"/>
          <w:lang w:eastAsia="de-DE"/>
        </w:rPr>
        <w:t>mit οἱ πορευθέντες (die gegangen waren).</w:t>
      </w:r>
    </w:p>
    <w:p w14:paraId="25541EE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kontrastive Ausnahme-Benennung und Gruppenzugehörigkeits-Bestätigung trotz Verschonung.</w:t>
      </w:r>
    </w:p>
    <w:p w14:paraId="2731BA9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hebt die beiden treuen Kundschafter als einzige Überlebende der Kundschaftergruppe hervor.</w:t>
      </w:r>
    </w:p>
    <w:p w14:paraId="39CF06D2"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14,39</w:t>
      </w:r>
    </w:p>
    <w:p w14:paraId="56457E5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Hebräisch:</w:t>
      </w:r>
      <w:r w:rsidRPr="00C22013">
        <w:rPr>
          <w:rFonts w:eastAsia="Times New Roman" w:cs="Times New Roman"/>
          <w:lang w:eastAsia="de-DE"/>
        </w:rPr>
        <w:t xml:space="preserve"> </w:t>
      </w:r>
      <w:r w:rsidRPr="00C22013">
        <w:rPr>
          <w:rFonts w:eastAsia="Times New Roman" w:cs="Times New Roman"/>
          <w:rtl/>
          <w:lang w:eastAsia="de-DE"/>
        </w:rPr>
        <w:t>וַיְדַבֵּ֤ר מֹשֶׁה֙ אֶת־הַדְּבָרִ֣ים הָאֵ֔לֶּה אֶֽל־כָּל־בְּנֵ֖י יִשְׂרָאֵ֑ל וַיִּֽתְאַבְּל֥וּ הָעָ֖ם מְאֹֽד׃</w:t>
      </w:r>
    </w:p>
    <w:p w14:paraId="430C46C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Mosche redete diese Worte zu allen Söhnen Jisra'el, und das Volk trauerte sehr.</w:t>
      </w:r>
    </w:p>
    <w:p w14:paraId="49039668"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143ADB8A">
          <v:rect id="_x0000_i1491" style="width:0;height:1.5pt" o:hralign="center" o:hrstd="t" o:hr="t" fillcolor="#a0a0a0" stroked="f"/>
        </w:pict>
      </w:r>
    </w:p>
    <w:p w14:paraId="29ADFF6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Verkündigung </w:t>
      </w:r>
      <w:r w:rsidRPr="00C22013">
        <w:rPr>
          <w:rFonts w:eastAsia="Times New Roman" w:cs="Times New Roman"/>
          <w:b/>
          <w:bCs/>
          <w:rtl/>
          <w:lang w:eastAsia="de-DE"/>
        </w:rPr>
        <w:t>וַיְדַבֵּ֤ר מֹשֶׁה֙ אֶת־הַדְּבָרִ֣ים הָאֵ֔לֶּה אֶֽל־כָּל־בְּנֵ֖י יִשְׂרָאֵ֑ל</w:t>
      </w:r>
      <w:r w:rsidRPr="00C22013">
        <w:rPr>
          <w:rFonts w:eastAsia="Times New Roman" w:cs="Times New Roman"/>
          <w:rtl/>
          <w:lang w:eastAsia="de-DE"/>
        </w:rPr>
        <w:t xml:space="preserve"> </w:t>
      </w:r>
      <w:r w:rsidRPr="00C22013">
        <w:rPr>
          <w:rFonts w:eastAsia="Times New Roman" w:cs="Times New Roman"/>
          <w:lang w:eastAsia="de-DE"/>
        </w:rPr>
        <w:t xml:space="preserve">(und Mose redete diese Worte zu allen Söhnen Israels) mit </w:t>
      </w:r>
      <w:r w:rsidRPr="00C22013">
        <w:rPr>
          <w:rFonts w:eastAsia="Times New Roman" w:cs="Times New Roman"/>
          <w:b/>
          <w:bCs/>
          <w:rtl/>
          <w:lang w:eastAsia="de-DE"/>
        </w:rPr>
        <w:t>יְדַבֵּר</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 xml:space="preserve">(reden) im Pi'el, </w:t>
      </w:r>
      <w:r w:rsidRPr="00C22013">
        <w:rPr>
          <w:rFonts w:eastAsia="Times New Roman" w:cs="Times New Roman"/>
          <w:b/>
          <w:bCs/>
          <w:rtl/>
          <w:lang w:eastAsia="de-DE"/>
        </w:rPr>
        <w:t>הַדְּבָרִים הָאֵלֶּה</w:t>
      </w:r>
      <w:r w:rsidRPr="00C22013">
        <w:rPr>
          <w:rFonts w:eastAsia="Times New Roman" w:cs="Times New Roman"/>
          <w:rtl/>
          <w:lang w:eastAsia="de-DE"/>
        </w:rPr>
        <w:t xml:space="preserve"> </w:t>
      </w:r>
      <w:r w:rsidRPr="00C22013">
        <w:rPr>
          <w:rFonts w:eastAsia="Times New Roman" w:cs="Times New Roman"/>
          <w:lang w:eastAsia="de-DE"/>
        </w:rPr>
        <w:t xml:space="preserve">(diese Worte) bezogen auf das göttliche Strafurteil und </w:t>
      </w:r>
      <w:r w:rsidRPr="00C22013">
        <w:rPr>
          <w:rFonts w:eastAsia="Times New Roman" w:cs="Times New Roman"/>
          <w:b/>
          <w:bCs/>
          <w:rtl/>
          <w:lang w:eastAsia="de-DE"/>
        </w:rPr>
        <w:t>אֶל־כָּל־בְּנֵי יִשְׂרָאֵל</w:t>
      </w:r>
      <w:r w:rsidRPr="00C22013">
        <w:rPr>
          <w:rFonts w:eastAsia="Times New Roman" w:cs="Times New Roman"/>
          <w:rtl/>
          <w:lang w:eastAsia="de-DE"/>
        </w:rPr>
        <w:t xml:space="preserve"> </w:t>
      </w:r>
      <w:r w:rsidRPr="00C22013">
        <w:rPr>
          <w:rFonts w:eastAsia="Times New Roman" w:cs="Times New Roman"/>
          <w:lang w:eastAsia="de-DE"/>
        </w:rPr>
        <w:t>(zu allen Söhnen Israels) zeigt die offizielle Verkündigung des Urteils.</w:t>
      </w:r>
    </w:p>
    <w:p w14:paraId="7FA914B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Reaktion</w:t>
      </w:r>
      <w:r w:rsidRPr="00C22013">
        <w:rPr>
          <w:rFonts w:eastAsia="Times New Roman" w:cs="Times New Roman"/>
          <w:lang w:eastAsia="de-DE"/>
        </w:rPr>
        <w:t xml:space="preserve"> </w:t>
      </w:r>
      <w:r w:rsidRPr="00C22013">
        <w:rPr>
          <w:rFonts w:eastAsia="Times New Roman" w:cs="Times New Roman"/>
          <w:b/>
          <w:bCs/>
          <w:rtl/>
          <w:lang w:eastAsia="de-DE"/>
        </w:rPr>
        <w:t>וַיִּֽתְאַבְּל֥וּ הָעָ֖ם מְאֹֽד</w:t>
      </w:r>
      <w:r w:rsidRPr="00C22013">
        <w:rPr>
          <w:rFonts w:eastAsia="Times New Roman" w:cs="Times New Roman"/>
          <w:rtl/>
          <w:lang w:eastAsia="de-DE"/>
        </w:rPr>
        <w:t xml:space="preserve"> </w:t>
      </w:r>
      <w:r w:rsidRPr="00C22013">
        <w:rPr>
          <w:rFonts w:eastAsia="Times New Roman" w:cs="Times New Roman"/>
          <w:lang w:eastAsia="de-DE"/>
        </w:rPr>
        <w:t xml:space="preserve">(und das Volk trauerte sehr) mit </w:t>
      </w:r>
      <w:r w:rsidRPr="00C22013">
        <w:rPr>
          <w:rFonts w:eastAsia="Times New Roman" w:cs="Times New Roman"/>
          <w:b/>
          <w:bCs/>
          <w:rtl/>
          <w:lang w:eastAsia="de-DE"/>
        </w:rPr>
        <w:t>יִּתְאַבְּלוּ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אבל</w:t>
      </w:r>
      <w:r w:rsidRPr="00C22013">
        <w:rPr>
          <w:rFonts w:eastAsia="Times New Roman" w:cs="Times New Roman"/>
          <w:rtl/>
          <w:lang w:eastAsia="de-DE"/>
        </w:rPr>
        <w:t xml:space="preserve"> </w:t>
      </w:r>
      <w:r w:rsidRPr="00C22013">
        <w:rPr>
          <w:rFonts w:eastAsia="Times New Roman" w:cs="Times New Roman"/>
          <w:lang w:eastAsia="de-DE"/>
        </w:rPr>
        <w:t xml:space="preserve">(trauern) im Hitp'ael-Imperfekt 3. maskulin Plural mit Waw consecutivum und </w:t>
      </w:r>
      <w:r w:rsidRPr="00C22013">
        <w:rPr>
          <w:rFonts w:eastAsia="Times New Roman" w:cs="Times New Roman"/>
          <w:b/>
          <w:bCs/>
          <w:rtl/>
          <w:lang w:eastAsia="de-DE"/>
        </w:rPr>
        <w:t>מְאֹד</w:t>
      </w:r>
      <w:r w:rsidRPr="00C22013">
        <w:rPr>
          <w:rFonts w:eastAsia="Times New Roman" w:cs="Times New Roman"/>
          <w:rtl/>
          <w:lang w:eastAsia="de-DE"/>
        </w:rPr>
        <w:t xml:space="preserve"> </w:t>
      </w:r>
      <w:r w:rsidRPr="00C22013">
        <w:rPr>
          <w:rFonts w:eastAsia="Times New Roman" w:cs="Times New Roman"/>
          <w:lang w:eastAsia="de-DE"/>
        </w:rPr>
        <w:t>(sehr) zeigt die intensive emotionale Reaktion auf das harte Urteil.</w:t>
      </w:r>
    </w:p>
    <w:p w14:paraId="148D5A5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יְדַבֵּר</w:t>
      </w:r>
      <w:r w:rsidRPr="00C22013">
        <w:rPr>
          <w:rFonts w:eastAsia="Times New Roman" w:cs="Times New Roman"/>
          <w:rtl/>
          <w:lang w:eastAsia="de-DE"/>
        </w:rPr>
        <w:t xml:space="preserve"> </w:t>
      </w:r>
      <w:r w:rsidRPr="00C22013">
        <w:rPr>
          <w:rFonts w:eastAsia="Times New Roman" w:cs="Times New Roman"/>
          <w:lang w:eastAsia="de-DE"/>
        </w:rPr>
        <w:t xml:space="preserve">mit ἐλάλησεν (er redete), </w:t>
      </w:r>
      <w:r w:rsidRPr="00C22013">
        <w:rPr>
          <w:rFonts w:eastAsia="Times New Roman" w:cs="Times New Roman"/>
          <w:b/>
          <w:bCs/>
          <w:rtl/>
          <w:lang w:eastAsia="de-DE"/>
        </w:rPr>
        <w:t>הַדְּבָרִים הָאֵלֶּה</w:t>
      </w:r>
      <w:r w:rsidRPr="00C22013">
        <w:rPr>
          <w:rFonts w:eastAsia="Times New Roman" w:cs="Times New Roman"/>
          <w:rtl/>
          <w:lang w:eastAsia="de-DE"/>
        </w:rPr>
        <w:t xml:space="preserve"> </w:t>
      </w:r>
      <w:r w:rsidRPr="00C22013">
        <w:rPr>
          <w:rFonts w:eastAsia="Times New Roman" w:cs="Times New Roman"/>
          <w:lang w:eastAsia="de-DE"/>
        </w:rPr>
        <w:t xml:space="preserve">mit τὰ ῥήματα ταῦτα (diese Worte) und </w:t>
      </w:r>
      <w:r w:rsidRPr="00C22013">
        <w:rPr>
          <w:rFonts w:eastAsia="Times New Roman" w:cs="Times New Roman"/>
          <w:b/>
          <w:bCs/>
          <w:rtl/>
          <w:lang w:eastAsia="de-DE"/>
        </w:rPr>
        <w:t>יִּתְאַבְּלוּ</w:t>
      </w:r>
      <w:r w:rsidRPr="00C22013">
        <w:rPr>
          <w:rFonts w:eastAsia="Times New Roman" w:cs="Times New Roman"/>
          <w:rtl/>
          <w:lang w:eastAsia="de-DE"/>
        </w:rPr>
        <w:t xml:space="preserve"> </w:t>
      </w:r>
      <w:r w:rsidRPr="00C22013">
        <w:rPr>
          <w:rFonts w:eastAsia="Times New Roman" w:cs="Times New Roman"/>
          <w:lang w:eastAsia="de-DE"/>
        </w:rPr>
        <w:t>mit ἐπένθησαν (sie trauerten).</w:t>
      </w:r>
    </w:p>
    <w:p w14:paraId="0DCED68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offizielle Urteilsverkündigung und intensive Volksreaktion.</w:t>
      </w:r>
    </w:p>
    <w:p w14:paraId="5308D19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dramatische Wirkung der Urteilsverkündigung auf das Volk - tiefe Trauer über die Konsequenzen ihrer Rebellion.</w:t>
      </w:r>
    </w:p>
    <w:p w14:paraId="145E1BFA"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14,40</w:t>
      </w:r>
    </w:p>
    <w:p w14:paraId="7963F22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וַיַּשְׁכִּ֣מוּ בַבֹּ֔קֶר וַיַּֽעֲל֥וּ אֶל־רֹאשׁ־הָהָ֖ר לֵאמֹ֑ר הִנֶּ֗נּוּ וְעָלִ֛ינוּ אֶל־הַמָּק֛וֹם אֲשֶׁר־אָמַ֥ר יְהוָ֖ה כִּ֥י חָטָֽאנוּ׃</w:t>
      </w:r>
    </w:p>
    <w:p w14:paraId="0A4E969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sie machten sich am Morgen früh auf, um auf die Spitze des Gebirges hinaufzuziehen, und sprachen: Hier sind wir und wollen hinaufziehen an den Ort, von dem der Ewige geredet hat; denn wir haben gesündigt.</w:t>
      </w:r>
    </w:p>
    <w:p w14:paraId="03F31A03"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BA93895">
          <v:rect id="_x0000_i1492" style="width:0;height:1.5pt" o:hralign="center" o:hrstd="t" o:hr="t" fillcolor="#a0a0a0" stroked="f"/>
        </w:pict>
      </w:r>
    </w:p>
    <w:p w14:paraId="203996B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frühe Aktion </w:t>
      </w:r>
      <w:r w:rsidRPr="00C22013">
        <w:rPr>
          <w:rFonts w:eastAsia="Times New Roman" w:cs="Times New Roman"/>
          <w:b/>
          <w:bCs/>
          <w:rtl/>
          <w:lang w:eastAsia="de-DE"/>
        </w:rPr>
        <w:t>וַיַּשְׁכִּ֣מוּ בַבֹּ֔קֶר וַיַּֽעֲל֥וּ אֶל־רֹאשׁ־הָהָ֖ר</w:t>
      </w:r>
      <w:r w:rsidRPr="00C22013">
        <w:rPr>
          <w:rFonts w:eastAsia="Times New Roman" w:cs="Times New Roman"/>
          <w:rtl/>
          <w:lang w:eastAsia="de-DE"/>
        </w:rPr>
        <w:t xml:space="preserve"> </w:t>
      </w:r>
      <w:r w:rsidRPr="00C22013">
        <w:rPr>
          <w:rFonts w:eastAsia="Times New Roman" w:cs="Times New Roman"/>
          <w:lang w:eastAsia="de-DE"/>
        </w:rPr>
        <w:t xml:space="preserve">(und sie machten sich am Morgen früh auf und stiegen zur Spitze des Berges hinauf) mit </w:t>
      </w:r>
      <w:r w:rsidRPr="00C22013">
        <w:rPr>
          <w:rFonts w:eastAsia="Times New Roman" w:cs="Times New Roman"/>
          <w:b/>
          <w:bCs/>
          <w:rtl/>
          <w:lang w:eastAsia="de-DE"/>
        </w:rPr>
        <w:t>יַּשְׁכִּמוּ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שכם</w:t>
      </w:r>
      <w:r w:rsidRPr="00C22013">
        <w:rPr>
          <w:rFonts w:eastAsia="Times New Roman" w:cs="Times New Roman"/>
          <w:rtl/>
          <w:lang w:eastAsia="de-DE"/>
        </w:rPr>
        <w:t xml:space="preserve"> </w:t>
      </w:r>
      <w:r w:rsidRPr="00C22013">
        <w:rPr>
          <w:rFonts w:eastAsia="Times New Roman" w:cs="Times New Roman"/>
          <w:lang w:eastAsia="de-DE"/>
        </w:rPr>
        <w:t xml:space="preserve">(früh aufstehen) im Hiph'il, </w:t>
      </w:r>
      <w:r w:rsidRPr="00C22013">
        <w:rPr>
          <w:rFonts w:eastAsia="Times New Roman" w:cs="Times New Roman"/>
          <w:b/>
          <w:bCs/>
          <w:rtl/>
          <w:lang w:eastAsia="de-DE"/>
        </w:rPr>
        <w:t>בַבֹּקֶר</w:t>
      </w:r>
      <w:r w:rsidRPr="00C22013">
        <w:rPr>
          <w:rFonts w:eastAsia="Times New Roman" w:cs="Times New Roman"/>
          <w:rtl/>
          <w:lang w:eastAsia="de-DE"/>
        </w:rPr>
        <w:t xml:space="preserve"> </w:t>
      </w:r>
      <w:r w:rsidRPr="00C22013">
        <w:rPr>
          <w:rFonts w:eastAsia="Times New Roman" w:cs="Times New Roman"/>
          <w:lang w:eastAsia="de-DE"/>
        </w:rPr>
        <w:t xml:space="preserve">(am Morgen) und </w:t>
      </w:r>
      <w:r w:rsidRPr="00C22013">
        <w:rPr>
          <w:rFonts w:eastAsia="Times New Roman" w:cs="Times New Roman"/>
          <w:b/>
          <w:bCs/>
          <w:rtl/>
          <w:lang w:eastAsia="de-DE"/>
        </w:rPr>
        <w:t>יַּעֲלוּ אֶל־רֹאשׁ־הָהָר</w:t>
      </w:r>
      <w:r w:rsidRPr="00C22013">
        <w:rPr>
          <w:rFonts w:eastAsia="Times New Roman" w:cs="Times New Roman"/>
          <w:rtl/>
          <w:lang w:eastAsia="de-DE"/>
        </w:rPr>
        <w:t xml:space="preserve"> </w:t>
      </w:r>
      <w:r w:rsidRPr="00C22013">
        <w:rPr>
          <w:rFonts w:eastAsia="Times New Roman" w:cs="Times New Roman"/>
          <w:lang w:eastAsia="de-DE"/>
        </w:rPr>
        <w:t>(sie stiegen zur Bergspitze hinauf) zeigt plötzliche Aktivität in die entgegengesetzte Richtung der göttlichen Anweisung.</w:t>
      </w:r>
    </w:p>
    <w:p w14:paraId="5C56E79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Erklärung </w:t>
      </w:r>
      <w:r w:rsidRPr="00C22013">
        <w:rPr>
          <w:rFonts w:eastAsia="Times New Roman" w:cs="Times New Roman"/>
          <w:b/>
          <w:bCs/>
          <w:rtl/>
          <w:lang w:eastAsia="de-DE"/>
        </w:rPr>
        <w:t>לֵאמֹ֑ר הִנֶּ֗נּוּ וְעָלִ֛ינוּ אֶל־הַמָּק֛וֹם אֲשֶׁר־אָמַ֥ר יְהוָ֖ה כִּ֥י חָטָֽאנוּ</w:t>
      </w:r>
      <w:r w:rsidRPr="00C22013">
        <w:rPr>
          <w:rFonts w:eastAsia="Times New Roman" w:cs="Times New Roman"/>
          <w:rtl/>
          <w:lang w:eastAsia="de-DE"/>
        </w:rPr>
        <w:t xml:space="preserve"> </w:t>
      </w:r>
      <w:r w:rsidRPr="00C22013">
        <w:rPr>
          <w:rFonts w:eastAsia="Times New Roman" w:cs="Times New Roman"/>
          <w:lang w:eastAsia="de-DE"/>
        </w:rPr>
        <w:t xml:space="preserve">(sagend: hier sind wir und wollen hinaufziehen an den Ort, von dem der Ewige geredet hat; denn wir haben gesündigt) mit </w:t>
      </w:r>
      <w:r w:rsidRPr="00C22013">
        <w:rPr>
          <w:rFonts w:eastAsia="Times New Roman" w:cs="Times New Roman"/>
          <w:b/>
          <w:bCs/>
          <w:rtl/>
          <w:lang w:eastAsia="de-DE"/>
        </w:rPr>
        <w:t>הִנֶּנּוּ</w:t>
      </w:r>
      <w:r w:rsidRPr="00C22013">
        <w:rPr>
          <w:rFonts w:eastAsia="Times New Roman" w:cs="Times New Roman"/>
          <w:rtl/>
          <w:lang w:eastAsia="de-DE"/>
        </w:rPr>
        <w:t xml:space="preserve"> </w:t>
      </w:r>
      <w:r w:rsidRPr="00C22013">
        <w:rPr>
          <w:rFonts w:eastAsia="Times New Roman" w:cs="Times New Roman"/>
          <w:lang w:eastAsia="de-DE"/>
        </w:rPr>
        <w:t xml:space="preserve">(hier sind wir) als Bereitschaftserklärung, </w:t>
      </w:r>
      <w:r w:rsidRPr="00C22013">
        <w:rPr>
          <w:rFonts w:eastAsia="Times New Roman" w:cs="Times New Roman"/>
          <w:b/>
          <w:bCs/>
          <w:rtl/>
          <w:lang w:eastAsia="de-DE"/>
        </w:rPr>
        <w:t>עָלִינוּ אֶל־הַמָּקוֹם</w:t>
      </w:r>
      <w:r w:rsidRPr="00C22013">
        <w:rPr>
          <w:rFonts w:eastAsia="Times New Roman" w:cs="Times New Roman"/>
          <w:rtl/>
          <w:lang w:eastAsia="de-DE"/>
        </w:rPr>
        <w:t xml:space="preserve"> </w:t>
      </w:r>
      <w:r w:rsidRPr="00C22013">
        <w:rPr>
          <w:rFonts w:eastAsia="Times New Roman" w:cs="Times New Roman"/>
          <w:lang w:eastAsia="de-DE"/>
        </w:rPr>
        <w:t xml:space="preserve">(wir wollen hinaufziehen an den Ort), </w:t>
      </w:r>
      <w:r w:rsidRPr="00C22013">
        <w:rPr>
          <w:rFonts w:eastAsia="Times New Roman" w:cs="Times New Roman"/>
          <w:b/>
          <w:bCs/>
          <w:rtl/>
          <w:lang w:eastAsia="de-DE"/>
        </w:rPr>
        <w:t>אֲשֶׁר־אָמַר יְהוָה</w:t>
      </w:r>
      <w:r w:rsidRPr="00C22013">
        <w:rPr>
          <w:rFonts w:eastAsia="Times New Roman" w:cs="Times New Roman"/>
          <w:rtl/>
          <w:lang w:eastAsia="de-DE"/>
        </w:rPr>
        <w:t xml:space="preserve"> </w:t>
      </w:r>
      <w:r w:rsidRPr="00C22013">
        <w:rPr>
          <w:rFonts w:eastAsia="Times New Roman" w:cs="Times New Roman"/>
          <w:lang w:eastAsia="de-DE"/>
        </w:rPr>
        <w:t xml:space="preserve">(von dem der Ewige geredet hat) und </w:t>
      </w:r>
      <w:r w:rsidRPr="00C22013">
        <w:rPr>
          <w:rFonts w:eastAsia="Times New Roman" w:cs="Times New Roman"/>
          <w:b/>
          <w:bCs/>
          <w:rtl/>
          <w:lang w:eastAsia="de-DE"/>
        </w:rPr>
        <w:t>כִּי חָטָאנוּ</w:t>
      </w:r>
      <w:r w:rsidRPr="00C22013">
        <w:rPr>
          <w:rFonts w:eastAsia="Times New Roman" w:cs="Times New Roman"/>
          <w:rtl/>
          <w:lang w:eastAsia="de-DE"/>
        </w:rPr>
        <w:t xml:space="preserve"> </w:t>
      </w:r>
      <w:r w:rsidRPr="00C22013">
        <w:rPr>
          <w:rFonts w:eastAsia="Times New Roman" w:cs="Times New Roman"/>
          <w:lang w:eastAsia="de-DE"/>
        </w:rPr>
        <w:t>(denn wir haben gesündigt) zeigt späte Reue und den Versuch, das Urteil durch eigene Initiative zu umgehen.</w:t>
      </w:r>
    </w:p>
    <w:p w14:paraId="0CFF0C7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יַּשְׁכִּמוּ</w:t>
      </w:r>
      <w:r w:rsidRPr="00C22013">
        <w:rPr>
          <w:rFonts w:eastAsia="Times New Roman" w:cs="Times New Roman"/>
          <w:rtl/>
          <w:lang w:eastAsia="de-DE"/>
        </w:rPr>
        <w:t xml:space="preserve"> </w:t>
      </w:r>
      <w:r w:rsidRPr="00C22013">
        <w:rPr>
          <w:rFonts w:eastAsia="Times New Roman" w:cs="Times New Roman"/>
          <w:lang w:eastAsia="de-DE"/>
        </w:rPr>
        <w:t xml:space="preserve">mit ὤρθρισαν (sie standen früh auf), </w:t>
      </w:r>
      <w:r w:rsidRPr="00C22013">
        <w:rPr>
          <w:rFonts w:eastAsia="Times New Roman" w:cs="Times New Roman"/>
          <w:b/>
          <w:bCs/>
          <w:rtl/>
          <w:lang w:eastAsia="de-DE"/>
        </w:rPr>
        <w:t>רֹאשׁ־הָהָר</w:t>
      </w:r>
      <w:r w:rsidRPr="00C22013">
        <w:rPr>
          <w:rFonts w:eastAsia="Times New Roman" w:cs="Times New Roman"/>
          <w:rtl/>
          <w:lang w:eastAsia="de-DE"/>
        </w:rPr>
        <w:t xml:space="preserve"> </w:t>
      </w:r>
      <w:r w:rsidRPr="00C22013">
        <w:rPr>
          <w:rFonts w:eastAsia="Times New Roman" w:cs="Times New Roman"/>
          <w:lang w:eastAsia="de-DE"/>
        </w:rPr>
        <w:t xml:space="preserve">mit τὴν κορυφὴν τοῦ ὄρους (die Spitze des Berges), </w:t>
      </w:r>
      <w:r w:rsidRPr="00C22013">
        <w:rPr>
          <w:rFonts w:eastAsia="Times New Roman" w:cs="Times New Roman"/>
          <w:b/>
          <w:bCs/>
          <w:rtl/>
          <w:lang w:eastAsia="de-DE"/>
        </w:rPr>
        <w:t>הִנֶּנּוּ</w:t>
      </w:r>
      <w:r w:rsidRPr="00C22013">
        <w:rPr>
          <w:rFonts w:eastAsia="Times New Roman" w:cs="Times New Roman"/>
          <w:rtl/>
          <w:lang w:eastAsia="de-DE"/>
        </w:rPr>
        <w:t xml:space="preserve"> </w:t>
      </w:r>
      <w:r w:rsidRPr="00C22013">
        <w:rPr>
          <w:rFonts w:eastAsia="Times New Roman" w:cs="Times New Roman"/>
          <w:lang w:eastAsia="de-DE"/>
        </w:rPr>
        <w:t xml:space="preserve">mit ἰδού ἐσμεν (siehe, wir sind da) und </w:t>
      </w:r>
      <w:r w:rsidRPr="00C22013">
        <w:rPr>
          <w:rFonts w:eastAsia="Times New Roman" w:cs="Times New Roman"/>
          <w:b/>
          <w:bCs/>
          <w:rtl/>
          <w:lang w:eastAsia="de-DE"/>
        </w:rPr>
        <w:t>חָטָאנוּ</w:t>
      </w:r>
      <w:r w:rsidRPr="00C22013">
        <w:rPr>
          <w:rFonts w:eastAsia="Times New Roman" w:cs="Times New Roman"/>
          <w:rtl/>
          <w:lang w:eastAsia="de-DE"/>
        </w:rPr>
        <w:t xml:space="preserve"> </w:t>
      </w:r>
      <w:r w:rsidRPr="00C22013">
        <w:rPr>
          <w:rFonts w:eastAsia="Times New Roman" w:cs="Times New Roman"/>
          <w:lang w:eastAsia="de-DE"/>
        </w:rPr>
        <w:t>mit ἡμάρτομεν (wir haben gesündigt).</w:t>
      </w:r>
    </w:p>
    <w:p w14:paraId="2F8DA95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 Satzstruktur zeigt plötzliche konträre Aktion, Bereitschaftserklärung mit Zielangabe und Sündenbekenntnis als Motivation.</w:t>
      </w:r>
    </w:p>
    <w:p w14:paraId="68A72BD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tragische Ironie: als es zu spät ist, zeigt das Volk plötzlich Bereitschaft zum Gehorsam.</w:t>
      </w:r>
    </w:p>
    <w:p w14:paraId="704A2694"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14,41</w:t>
      </w:r>
    </w:p>
    <w:p w14:paraId="67B6FA8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וַיֹּ֣אמֶר מֹשֶׁ֔ה לָ֥מָּה זֶּ֛ה אַתֶּ֥ם עֹבְרִ֖ים אֶת־פִּ֣י יְהוָ֑ה וְהִ֖וא לֹ֥א תִצְלָֽח׃</w:t>
      </w:r>
    </w:p>
    <w:p w14:paraId="71B68D3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Aber Mosche sprach: Warum übertretet ihr doch den Ausspruch des Ewigen? Es wird nicht gelingen.</w:t>
      </w:r>
    </w:p>
    <w:p w14:paraId="03549EAD"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5ECA37E">
          <v:rect id="_x0000_i1493" style="width:0;height:1.5pt" o:hralign="center" o:hrstd="t" o:hr="t" fillcolor="#a0a0a0" stroked="f"/>
        </w:pict>
      </w:r>
    </w:p>
    <w:p w14:paraId="6057F3B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Frage </w:t>
      </w:r>
      <w:r w:rsidRPr="00C22013">
        <w:rPr>
          <w:rFonts w:eastAsia="Times New Roman" w:cs="Times New Roman"/>
          <w:b/>
          <w:bCs/>
          <w:rtl/>
          <w:lang w:eastAsia="de-DE"/>
        </w:rPr>
        <w:t>וַיֹּ֣אמֶר מֹשֶׁ֔ה לָ֥מָּה זֶּ֛ה אַתֶּ֥ם עֹבְרִ֖ים אֶת־פִּ֣י יְהוָ֑ה</w:t>
      </w:r>
      <w:r w:rsidRPr="00C22013">
        <w:rPr>
          <w:rFonts w:eastAsia="Times New Roman" w:cs="Times New Roman"/>
          <w:rtl/>
          <w:lang w:eastAsia="de-DE"/>
        </w:rPr>
        <w:t xml:space="preserve"> </w:t>
      </w:r>
      <w:r w:rsidRPr="00C22013">
        <w:rPr>
          <w:rFonts w:eastAsia="Times New Roman" w:cs="Times New Roman"/>
          <w:lang w:eastAsia="de-DE"/>
        </w:rPr>
        <w:t xml:space="preserve">(und Mose sprach: warum übertretet ihr doch den Ausspruch des Ewigen) mit </w:t>
      </w:r>
      <w:r w:rsidRPr="00C22013">
        <w:rPr>
          <w:rFonts w:eastAsia="Times New Roman" w:cs="Times New Roman"/>
          <w:b/>
          <w:bCs/>
          <w:rtl/>
          <w:lang w:eastAsia="de-DE"/>
        </w:rPr>
        <w:t>לָמָּה זֶּה</w:t>
      </w:r>
      <w:r w:rsidRPr="00C22013">
        <w:rPr>
          <w:rFonts w:eastAsia="Times New Roman" w:cs="Times New Roman"/>
          <w:rtl/>
          <w:lang w:eastAsia="de-DE"/>
        </w:rPr>
        <w:t xml:space="preserve"> </w:t>
      </w:r>
      <w:r w:rsidRPr="00C22013">
        <w:rPr>
          <w:rFonts w:eastAsia="Times New Roman" w:cs="Times New Roman"/>
          <w:lang w:eastAsia="de-DE"/>
        </w:rPr>
        <w:t xml:space="preserve">(warum doch) als verstärkende Frage, </w:t>
      </w:r>
      <w:r w:rsidRPr="00C22013">
        <w:rPr>
          <w:rFonts w:eastAsia="Times New Roman" w:cs="Times New Roman"/>
          <w:b/>
          <w:bCs/>
          <w:rtl/>
          <w:lang w:eastAsia="de-DE"/>
        </w:rPr>
        <w:t>עֹבְרִים</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עבר</w:t>
      </w:r>
      <w:r w:rsidRPr="00C22013">
        <w:rPr>
          <w:rFonts w:eastAsia="Times New Roman" w:cs="Times New Roman"/>
          <w:rtl/>
          <w:lang w:eastAsia="de-DE"/>
        </w:rPr>
        <w:t xml:space="preserve"> </w:t>
      </w:r>
      <w:r w:rsidRPr="00C22013">
        <w:rPr>
          <w:rFonts w:eastAsia="Times New Roman" w:cs="Times New Roman"/>
          <w:lang w:eastAsia="de-DE"/>
        </w:rPr>
        <w:t xml:space="preserve">(übertreten) im Qal-Partizip Plural und </w:t>
      </w:r>
      <w:r w:rsidRPr="00C22013">
        <w:rPr>
          <w:rFonts w:eastAsia="Times New Roman" w:cs="Times New Roman"/>
          <w:b/>
          <w:bCs/>
          <w:rtl/>
          <w:lang w:eastAsia="de-DE"/>
        </w:rPr>
        <w:t>אֶת־פִּי יְהוָה</w:t>
      </w:r>
      <w:r w:rsidRPr="00C22013">
        <w:rPr>
          <w:rFonts w:eastAsia="Times New Roman" w:cs="Times New Roman"/>
          <w:rtl/>
          <w:lang w:eastAsia="de-DE"/>
        </w:rPr>
        <w:t xml:space="preserve"> </w:t>
      </w:r>
      <w:r w:rsidRPr="00C22013">
        <w:rPr>
          <w:rFonts w:eastAsia="Times New Roman" w:cs="Times New Roman"/>
          <w:lang w:eastAsia="de-DE"/>
        </w:rPr>
        <w:t>(den Ausspruch des Ewigen) zeigt Moses Warnung vor der Missachtung des göttlichen Urteils.</w:t>
      </w:r>
    </w:p>
    <w:p w14:paraId="292E8FE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Warnung </w:t>
      </w:r>
      <w:r w:rsidRPr="00C22013">
        <w:rPr>
          <w:rFonts w:eastAsia="Times New Roman" w:cs="Times New Roman"/>
          <w:b/>
          <w:bCs/>
          <w:rtl/>
          <w:lang w:eastAsia="de-DE"/>
        </w:rPr>
        <w:t>וְהִ֖וא לֹ֥א תִצְלָֽח</w:t>
      </w:r>
      <w:r w:rsidRPr="00C22013">
        <w:rPr>
          <w:rFonts w:eastAsia="Times New Roman" w:cs="Times New Roman"/>
          <w:rtl/>
          <w:lang w:eastAsia="de-DE"/>
        </w:rPr>
        <w:t xml:space="preserve"> </w:t>
      </w:r>
      <w:r w:rsidRPr="00C22013">
        <w:rPr>
          <w:rFonts w:eastAsia="Times New Roman" w:cs="Times New Roman"/>
          <w:lang w:eastAsia="de-DE"/>
        </w:rPr>
        <w:t xml:space="preserve">(und es wird nicht gelingen) mit </w:t>
      </w:r>
      <w:r w:rsidRPr="00C22013">
        <w:rPr>
          <w:rFonts w:eastAsia="Times New Roman" w:cs="Times New Roman"/>
          <w:b/>
          <w:bCs/>
          <w:rtl/>
          <w:lang w:eastAsia="de-DE"/>
        </w:rPr>
        <w:t>הִוא</w:t>
      </w:r>
      <w:r w:rsidRPr="00C22013">
        <w:rPr>
          <w:rFonts w:eastAsia="Times New Roman" w:cs="Times New Roman"/>
          <w:rtl/>
          <w:lang w:eastAsia="de-DE"/>
        </w:rPr>
        <w:t xml:space="preserve"> </w:t>
      </w:r>
      <w:r w:rsidRPr="00C22013">
        <w:rPr>
          <w:rFonts w:eastAsia="Times New Roman" w:cs="Times New Roman"/>
          <w:lang w:eastAsia="de-DE"/>
        </w:rPr>
        <w:t xml:space="preserve">(es) bezogen auf ihr Vorhaben und </w:t>
      </w:r>
      <w:r w:rsidRPr="00C22013">
        <w:rPr>
          <w:rFonts w:eastAsia="Times New Roman" w:cs="Times New Roman"/>
          <w:b/>
          <w:bCs/>
          <w:rtl/>
          <w:lang w:eastAsia="de-DE"/>
        </w:rPr>
        <w:t>לֹא תִצְלָח</w:t>
      </w:r>
      <w:r w:rsidRPr="00C22013">
        <w:rPr>
          <w:rFonts w:eastAsia="Times New Roman" w:cs="Times New Roman"/>
          <w:rtl/>
          <w:lang w:eastAsia="de-DE"/>
        </w:rPr>
        <w:t xml:space="preserve"> </w:t>
      </w:r>
      <w:r w:rsidRPr="00C22013">
        <w:rPr>
          <w:rFonts w:eastAsia="Times New Roman" w:cs="Times New Roman"/>
          <w:lang w:eastAsia="de-DE"/>
        </w:rPr>
        <w:t xml:space="preserve">(wird nicht gelingen) von </w:t>
      </w:r>
      <w:r w:rsidRPr="00C22013">
        <w:rPr>
          <w:rFonts w:eastAsia="Times New Roman" w:cs="Times New Roman"/>
          <w:b/>
          <w:bCs/>
          <w:rtl/>
          <w:lang w:eastAsia="de-DE"/>
        </w:rPr>
        <w:t>צלח</w:t>
      </w:r>
      <w:r w:rsidRPr="00C22013">
        <w:rPr>
          <w:rFonts w:eastAsia="Times New Roman" w:cs="Times New Roman"/>
          <w:rtl/>
          <w:lang w:eastAsia="de-DE"/>
        </w:rPr>
        <w:t xml:space="preserve"> </w:t>
      </w:r>
      <w:r w:rsidRPr="00C22013">
        <w:rPr>
          <w:rFonts w:eastAsia="Times New Roman" w:cs="Times New Roman"/>
          <w:lang w:eastAsia="de-DE"/>
        </w:rPr>
        <w:t>(gelingen/erfolgreich sein) im Qal-Imperfekt 3. feminin Singular zeigt die Vorhersage des Scheiterns.</w:t>
      </w:r>
    </w:p>
    <w:p w14:paraId="7A534D2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לָמָּה זֶּה</w:t>
      </w:r>
      <w:r w:rsidRPr="00C22013">
        <w:rPr>
          <w:rFonts w:eastAsia="Times New Roman" w:cs="Times New Roman"/>
          <w:rtl/>
          <w:lang w:eastAsia="de-DE"/>
        </w:rPr>
        <w:t xml:space="preserve"> </w:t>
      </w:r>
      <w:r w:rsidRPr="00C22013">
        <w:rPr>
          <w:rFonts w:eastAsia="Times New Roman" w:cs="Times New Roman"/>
          <w:lang w:eastAsia="de-DE"/>
        </w:rPr>
        <w:t xml:space="preserve">mit ἵνα τί (warum), </w:t>
      </w:r>
      <w:r w:rsidRPr="00C22013">
        <w:rPr>
          <w:rFonts w:eastAsia="Times New Roman" w:cs="Times New Roman"/>
          <w:b/>
          <w:bCs/>
          <w:rtl/>
          <w:lang w:eastAsia="de-DE"/>
        </w:rPr>
        <w:t>עֹבְרִים</w:t>
      </w:r>
      <w:r w:rsidRPr="00C22013">
        <w:rPr>
          <w:rFonts w:eastAsia="Times New Roman" w:cs="Times New Roman"/>
          <w:rtl/>
          <w:lang w:eastAsia="de-DE"/>
        </w:rPr>
        <w:t xml:space="preserve"> </w:t>
      </w:r>
      <w:r w:rsidRPr="00C22013">
        <w:rPr>
          <w:rFonts w:eastAsia="Times New Roman" w:cs="Times New Roman"/>
          <w:lang w:eastAsia="de-DE"/>
        </w:rPr>
        <w:t xml:space="preserve">mit παραβαίνετε (ihr übertretet), </w:t>
      </w:r>
      <w:r w:rsidRPr="00C22013">
        <w:rPr>
          <w:rFonts w:eastAsia="Times New Roman" w:cs="Times New Roman"/>
          <w:b/>
          <w:bCs/>
          <w:rtl/>
          <w:lang w:eastAsia="de-DE"/>
        </w:rPr>
        <w:t>פִּי יְהוָה</w:t>
      </w:r>
      <w:r w:rsidRPr="00C22013">
        <w:rPr>
          <w:rFonts w:eastAsia="Times New Roman" w:cs="Times New Roman"/>
          <w:rtl/>
          <w:lang w:eastAsia="de-DE"/>
        </w:rPr>
        <w:t xml:space="preserve"> </w:t>
      </w:r>
      <w:r w:rsidRPr="00C22013">
        <w:rPr>
          <w:rFonts w:eastAsia="Times New Roman" w:cs="Times New Roman"/>
          <w:lang w:eastAsia="de-DE"/>
        </w:rPr>
        <w:t xml:space="preserve">mit τὸ ῥῆμα κυρίου (das Wort des Herrn) und </w:t>
      </w:r>
      <w:r w:rsidRPr="00C22013">
        <w:rPr>
          <w:rFonts w:eastAsia="Times New Roman" w:cs="Times New Roman"/>
          <w:b/>
          <w:bCs/>
          <w:rtl/>
          <w:lang w:eastAsia="de-DE"/>
        </w:rPr>
        <w:t>תִצְלָח</w:t>
      </w:r>
      <w:r w:rsidRPr="00C22013">
        <w:rPr>
          <w:rFonts w:eastAsia="Times New Roman" w:cs="Times New Roman"/>
          <w:rtl/>
          <w:lang w:eastAsia="de-DE"/>
        </w:rPr>
        <w:t xml:space="preserve"> </w:t>
      </w:r>
      <w:r w:rsidRPr="00C22013">
        <w:rPr>
          <w:rFonts w:eastAsia="Times New Roman" w:cs="Times New Roman"/>
          <w:lang w:eastAsia="de-DE"/>
        </w:rPr>
        <w:t>mit εὐοδωθήσεται (es wird gelingen).</w:t>
      </w:r>
    </w:p>
    <w:p w14:paraId="68C3F93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verstärkende Warn-Frage und kategorische Misserfolgs-Vorhersage.</w:t>
      </w:r>
    </w:p>
    <w:p w14:paraId="413D367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Moses vergebliche Warnung vor dem eigenmächtigen Handeln gegen Gottes ausdrückliche Anweisung.</w:t>
      </w:r>
    </w:p>
    <w:p w14:paraId="645F012A"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14,42</w:t>
      </w:r>
    </w:p>
    <w:p w14:paraId="2BBCA03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אַֽל־תַּעֲל֔וּ כִּ֛י אֵ֥ין יְהוָ֖ה בְּקִרְבְּכֶ֑ם וְלֹא֙ תִּנָּ֣גְפ֔וּ לִפְנֵ֖י אֹיְבֵיכֶֽם׃</w:t>
      </w:r>
    </w:p>
    <w:p w14:paraId="7E5B56C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Zieht nicht hinauf, denn der Ewige ist nicht in eurer Mitte, dass ihr nicht vor euren Feinden geschlagen werdet.</w:t>
      </w:r>
    </w:p>
    <w:p w14:paraId="111C6F8D"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6248D9CF">
          <v:rect id="_x0000_i1494" style="width:0;height:1.5pt" o:hralign="center" o:hrstd="t" o:hr="t" fillcolor="#a0a0a0" stroked="f"/>
        </w:pict>
      </w:r>
    </w:p>
    <w:p w14:paraId="0AF03FA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Warnung </w:t>
      </w:r>
      <w:r w:rsidRPr="00C22013">
        <w:rPr>
          <w:rFonts w:eastAsia="Times New Roman" w:cs="Times New Roman"/>
          <w:b/>
          <w:bCs/>
          <w:rtl/>
          <w:lang w:eastAsia="de-DE"/>
        </w:rPr>
        <w:t>אַֽל־תַּעֲל֔וּ כִּ֛י אֵ֥ין יְהוָ֖ה בְּקִרְבְּכֶ֑ם</w:t>
      </w:r>
      <w:r w:rsidRPr="00C22013">
        <w:rPr>
          <w:rFonts w:eastAsia="Times New Roman" w:cs="Times New Roman"/>
          <w:rtl/>
          <w:lang w:eastAsia="de-DE"/>
        </w:rPr>
        <w:t xml:space="preserve"> </w:t>
      </w:r>
      <w:r w:rsidRPr="00C22013">
        <w:rPr>
          <w:rFonts w:eastAsia="Times New Roman" w:cs="Times New Roman"/>
          <w:lang w:eastAsia="de-DE"/>
        </w:rPr>
        <w:t xml:space="preserve">(zieht nicht hinauf, denn der Ewige ist nicht in eurer Mitte) mit </w:t>
      </w:r>
      <w:r w:rsidRPr="00C22013">
        <w:rPr>
          <w:rFonts w:eastAsia="Times New Roman" w:cs="Times New Roman"/>
          <w:b/>
          <w:bCs/>
          <w:rtl/>
          <w:lang w:eastAsia="de-DE"/>
        </w:rPr>
        <w:t>אַל־תַּעֲלוּ</w:t>
      </w:r>
      <w:r w:rsidRPr="00C22013">
        <w:rPr>
          <w:rFonts w:eastAsia="Times New Roman" w:cs="Times New Roman"/>
          <w:rtl/>
          <w:lang w:eastAsia="de-DE"/>
        </w:rPr>
        <w:t xml:space="preserve"> </w:t>
      </w:r>
      <w:r w:rsidRPr="00C22013">
        <w:rPr>
          <w:rFonts w:eastAsia="Times New Roman" w:cs="Times New Roman"/>
          <w:lang w:eastAsia="de-DE"/>
        </w:rPr>
        <w:t xml:space="preserve">(zieht nicht hinauf) von </w:t>
      </w:r>
      <w:r w:rsidRPr="00C22013">
        <w:rPr>
          <w:rFonts w:eastAsia="Times New Roman" w:cs="Times New Roman"/>
          <w:b/>
          <w:bCs/>
          <w:rtl/>
          <w:lang w:eastAsia="de-DE"/>
        </w:rPr>
        <w:t>עלה</w:t>
      </w:r>
      <w:r w:rsidRPr="00C22013">
        <w:rPr>
          <w:rFonts w:eastAsia="Times New Roman" w:cs="Times New Roman"/>
          <w:rtl/>
          <w:lang w:eastAsia="de-DE"/>
        </w:rPr>
        <w:t xml:space="preserve"> </w:t>
      </w:r>
      <w:r w:rsidRPr="00C22013">
        <w:rPr>
          <w:rFonts w:eastAsia="Times New Roman" w:cs="Times New Roman"/>
          <w:lang w:eastAsia="de-DE"/>
        </w:rPr>
        <w:t xml:space="preserve">(hinaufsteigen) im Qal-Imperfekt 2. maskulin Plural mit Negation </w:t>
      </w:r>
      <w:r w:rsidRPr="00C22013">
        <w:rPr>
          <w:rFonts w:eastAsia="Times New Roman" w:cs="Times New Roman"/>
          <w:b/>
          <w:bCs/>
          <w:rtl/>
          <w:lang w:eastAsia="de-DE"/>
        </w:rPr>
        <w:t>אַל</w:t>
      </w:r>
      <w:r w:rsidRPr="00C22013">
        <w:rPr>
          <w:rFonts w:eastAsia="Times New Roman" w:cs="Times New Roman"/>
          <w:rtl/>
          <w:lang w:eastAsia="de-DE"/>
        </w:rPr>
        <w:t xml:space="preserve"> </w:t>
      </w:r>
      <w:r w:rsidRPr="00C22013">
        <w:rPr>
          <w:rFonts w:eastAsia="Times New Roman" w:cs="Times New Roman"/>
          <w:lang w:eastAsia="de-DE"/>
        </w:rPr>
        <w:t xml:space="preserve">und </w:t>
      </w:r>
      <w:r w:rsidRPr="00C22013">
        <w:rPr>
          <w:rFonts w:eastAsia="Times New Roman" w:cs="Times New Roman"/>
          <w:b/>
          <w:bCs/>
          <w:rtl/>
          <w:lang w:eastAsia="de-DE"/>
        </w:rPr>
        <w:t>אֵין יְהוָה בְּקִרְבְּכֶם</w:t>
      </w:r>
      <w:r w:rsidRPr="00C22013">
        <w:rPr>
          <w:rFonts w:eastAsia="Times New Roman" w:cs="Times New Roman"/>
          <w:rtl/>
          <w:lang w:eastAsia="de-DE"/>
        </w:rPr>
        <w:t xml:space="preserve"> </w:t>
      </w:r>
      <w:r w:rsidRPr="00C22013">
        <w:rPr>
          <w:rFonts w:eastAsia="Times New Roman" w:cs="Times New Roman"/>
          <w:lang w:eastAsia="de-DE"/>
        </w:rPr>
        <w:t>(der Ewige ist nicht in eurer Mitte) zeigt die fundamentale Ursache für das zu erwartende Scheitern.</w:t>
      </w:r>
    </w:p>
    <w:p w14:paraId="3DC7A65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Konsequenz </w:t>
      </w:r>
      <w:r w:rsidRPr="00C22013">
        <w:rPr>
          <w:rFonts w:eastAsia="Times New Roman" w:cs="Times New Roman"/>
          <w:b/>
          <w:bCs/>
          <w:rtl/>
          <w:lang w:eastAsia="de-DE"/>
        </w:rPr>
        <w:t>וְלֹא֙ תִּנָּ֣גְפ֔וּ לִפְנֵ֖י אֹיְבֵיכֶֽם</w:t>
      </w:r>
      <w:r w:rsidRPr="00C22013">
        <w:rPr>
          <w:rFonts w:eastAsia="Times New Roman" w:cs="Times New Roman"/>
          <w:rtl/>
          <w:lang w:eastAsia="de-DE"/>
        </w:rPr>
        <w:t xml:space="preserve"> </w:t>
      </w:r>
      <w:r w:rsidRPr="00C22013">
        <w:rPr>
          <w:rFonts w:eastAsia="Times New Roman" w:cs="Times New Roman"/>
          <w:lang w:eastAsia="de-DE"/>
        </w:rPr>
        <w:t xml:space="preserve">(dass ihr nicht vor euren Feinden geschlagen werdet) mit </w:t>
      </w:r>
      <w:r w:rsidRPr="00C22013">
        <w:rPr>
          <w:rFonts w:eastAsia="Times New Roman" w:cs="Times New Roman"/>
          <w:b/>
          <w:bCs/>
          <w:rtl/>
          <w:lang w:eastAsia="de-DE"/>
        </w:rPr>
        <w:t>לֹא תִּנָּגְפוּ</w:t>
      </w:r>
      <w:r w:rsidRPr="00C22013">
        <w:rPr>
          <w:rFonts w:eastAsia="Times New Roman" w:cs="Times New Roman"/>
          <w:rtl/>
          <w:lang w:eastAsia="de-DE"/>
        </w:rPr>
        <w:t xml:space="preserve"> </w:t>
      </w:r>
      <w:r w:rsidRPr="00C22013">
        <w:rPr>
          <w:rFonts w:eastAsia="Times New Roman" w:cs="Times New Roman"/>
          <w:lang w:eastAsia="de-DE"/>
        </w:rPr>
        <w:t xml:space="preserve">(ihr werdet geschlagen) von </w:t>
      </w:r>
      <w:r w:rsidRPr="00C22013">
        <w:rPr>
          <w:rFonts w:eastAsia="Times New Roman" w:cs="Times New Roman"/>
          <w:b/>
          <w:bCs/>
          <w:rtl/>
          <w:lang w:eastAsia="de-DE"/>
        </w:rPr>
        <w:t>נגף</w:t>
      </w:r>
      <w:r w:rsidRPr="00C22013">
        <w:rPr>
          <w:rFonts w:eastAsia="Times New Roman" w:cs="Times New Roman"/>
          <w:rtl/>
          <w:lang w:eastAsia="de-DE"/>
        </w:rPr>
        <w:t xml:space="preserve"> </w:t>
      </w:r>
      <w:r w:rsidRPr="00C22013">
        <w:rPr>
          <w:rFonts w:eastAsia="Times New Roman" w:cs="Times New Roman"/>
          <w:lang w:eastAsia="de-DE"/>
        </w:rPr>
        <w:t xml:space="preserve">(schlagen) im Niph'al-Imperfekt 2. maskulin </w:t>
      </w:r>
      <w:r w:rsidRPr="00C22013">
        <w:rPr>
          <w:rFonts w:eastAsia="Times New Roman" w:cs="Times New Roman"/>
          <w:lang w:eastAsia="de-DE"/>
        </w:rPr>
        <w:lastRenderedPageBreak/>
        <w:t xml:space="preserve">Plural als negative Zweckangabe und </w:t>
      </w:r>
      <w:r w:rsidRPr="00C22013">
        <w:rPr>
          <w:rFonts w:eastAsia="Times New Roman" w:cs="Times New Roman"/>
          <w:b/>
          <w:bCs/>
          <w:rtl/>
          <w:lang w:eastAsia="de-DE"/>
        </w:rPr>
        <w:t>לִפְנֵי אֹיְבֵיכֶם</w:t>
      </w:r>
      <w:r w:rsidRPr="00C22013">
        <w:rPr>
          <w:rFonts w:eastAsia="Times New Roman" w:cs="Times New Roman"/>
          <w:rtl/>
          <w:lang w:eastAsia="de-DE"/>
        </w:rPr>
        <w:t xml:space="preserve"> </w:t>
      </w:r>
      <w:r w:rsidRPr="00C22013">
        <w:rPr>
          <w:rFonts w:eastAsia="Times New Roman" w:cs="Times New Roman"/>
          <w:lang w:eastAsia="de-DE"/>
        </w:rPr>
        <w:t>(vor euren Feinden) zeigt die zu erwartende militärische Niederlage.</w:t>
      </w:r>
    </w:p>
    <w:p w14:paraId="2F443C6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אַל־תַּעֲלוּ</w:t>
      </w:r>
      <w:r w:rsidRPr="00C22013">
        <w:rPr>
          <w:rFonts w:eastAsia="Times New Roman" w:cs="Times New Roman"/>
          <w:rtl/>
          <w:lang w:eastAsia="de-DE"/>
        </w:rPr>
        <w:t xml:space="preserve"> </w:t>
      </w:r>
      <w:r w:rsidRPr="00C22013">
        <w:rPr>
          <w:rFonts w:eastAsia="Times New Roman" w:cs="Times New Roman"/>
          <w:lang w:eastAsia="de-DE"/>
        </w:rPr>
        <w:t xml:space="preserve">mit μὴ ἀναβαίνετε (steigt nicht hinauf), </w:t>
      </w:r>
      <w:r w:rsidRPr="00C22013">
        <w:rPr>
          <w:rFonts w:eastAsia="Times New Roman" w:cs="Times New Roman"/>
          <w:b/>
          <w:bCs/>
          <w:rtl/>
          <w:lang w:eastAsia="de-DE"/>
        </w:rPr>
        <w:t>אֵין יְהוָה</w:t>
      </w:r>
      <w:r w:rsidRPr="00C22013">
        <w:rPr>
          <w:rFonts w:eastAsia="Times New Roman" w:cs="Times New Roman"/>
          <w:rtl/>
          <w:lang w:eastAsia="de-DE"/>
        </w:rPr>
        <w:t xml:space="preserve"> </w:t>
      </w:r>
      <w:r w:rsidRPr="00C22013">
        <w:rPr>
          <w:rFonts w:eastAsia="Times New Roman" w:cs="Times New Roman"/>
          <w:lang w:eastAsia="de-DE"/>
        </w:rPr>
        <w:t xml:space="preserve">mit οὐκ ἔστιν κύριος (der Herr ist nicht) und </w:t>
      </w:r>
      <w:r w:rsidRPr="00C22013">
        <w:rPr>
          <w:rFonts w:eastAsia="Times New Roman" w:cs="Times New Roman"/>
          <w:b/>
          <w:bCs/>
          <w:rtl/>
          <w:lang w:eastAsia="de-DE"/>
        </w:rPr>
        <w:t>תִּנָּגְפוּ</w:t>
      </w:r>
      <w:r w:rsidRPr="00C22013">
        <w:rPr>
          <w:rFonts w:eastAsia="Times New Roman" w:cs="Times New Roman"/>
          <w:rtl/>
          <w:lang w:eastAsia="de-DE"/>
        </w:rPr>
        <w:t xml:space="preserve"> </w:t>
      </w:r>
      <w:r w:rsidRPr="00C22013">
        <w:rPr>
          <w:rFonts w:eastAsia="Times New Roman" w:cs="Times New Roman"/>
          <w:lang w:eastAsia="de-DE"/>
        </w:rPr>
        <w:t>mit συντριβῆτε (ihr werdet zerbrochen).</w:t>
      </w:r>
    </w:p>
    <w:p w14:paraId="67CF1AF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kategorische Warnung mit theologischer Begründung und militärischer Konsequenz-Vorhersage.</w:t>
      </w:r>
    </w:p>
    <w:p w14:paraId="0F4AF2E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Moses klare Warnung: ohne göttlichen Beistand ist militärischer Erfolg unmöglich.</w:t>
      </w:r>
    </w:p>
    <w:p w14:paraId="4955CBC8"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14,43</w:t>
      </w:r>
    </w:p>
    <w:p w14:paraId="7B778A2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כִּי֩ הָעֲמָלֵקִ֨י וְהַכְּנַעֲנִ֥י שָׁם֙ לִפְנֵיכֶ֔ם וּנְפַלְתֶּ֖ם בֶּחָ֑רֶב כִּֽי־עַל־כֵּ֤ן שַׁבְתֶּם֙ מֵאַחֲרֵ֣י יְהוָ֔ה וְלֹא־יִהְיֶ֥ה יְהוָ֖ה עִמָּכֶֽם׃</w:t>
      </w:r>
    </w:p>
    <w:p w14:paraId="33FBD37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Denn der Amaleki und der Kena'ani sind dort vor euch, und ihr werdet durchs Schwert fallen. Weil ihr euch von der Nachfolge des Ewigen abgewandt habt, wird der Ewige nicht mit euch sein.</w:t>
      </w:r>
    </w:p>
    <w:p w14:paraId="5EED034D"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1FD8CD84">
          <v:rect id="_x0000_i1495" style="width:0;height:1.5pt" o:hralign="center" o:hrstd="t" o:hr="t" fillcolor="#a0a0a0" stroked="f"/>
        </w:pict>
      </w:r>
    </w:p>
    <w:p w14:paraId="45A4973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Gefahr </w:t>
      </w:r>
      <w:r w:rsidRPr="00C22013">
        <w:rPr>
          <w:rFonts w:eastAsia="Times New Roman" w:cs="Times New Roman"/>
          <w:b/>
          <w:bCs/>
          <w:rtl/>
          <w:lang w:eastAsia="de-DE"/>
        </w:rPr>
        <w:t>כִּי֩ הָעֲמָלֵקִ֨י וְהַכְּנַעֲנִ֥י שָׁם֙ לִפְנֵיכֶ֔ם וּנְפַלְתֶּ֖ם בֶּחָ֑רֶב</w:t>
      </w:r>
      <w:r w:rsidRPr="00C22013">
        <w:rPr>
          <w:rFonts w:eastAsia="Times New Roman" w:cs="Times New Roman"/>
          <w:rtl/>
          <w:lang w:eastAsia="de-DE"/>
        </w:rPr>
        <w:t xml:space="preserve"> </w:t>
      </w:r>
      <w:r w:rsidRPr="00C22013">
        <w:rPr>
          <w:rFonts w:eastAsia="Times New Roman" w:cs="Times New Roman"/>
          <w:lang w:eastAsia="de-DE"/>
        </w:rPr>
        <w:t xml:space="preserve">(denn der Amalekiter und der Kanaaniter sind dort vor euch, und ihr werdet durchs Schwert fallen) mit </w:t>
      </w:r>
      <w:r w:rsidRPr="00C22013">
        <w:rPr>
          <w:rFonts w:eastAsia="Times New Roman" w:cs="Times New Roman"/>
          <w:b/>
          <w:bCs/>
          <w:rtl/>
          <w:lang w:eastAsia="de-DE"/>
        </w:rPr>
        <w:t>שָׁם לִפְנֵיכֶם</w:t>
      </w:r>
      <w:r w:rsidRPr="00C22013">
        <w:rPr>
          <w:rFonts w:eastAsia="Times New Roman" w:cs="Times New Roman"/>
          <w:rtl/>
          <w:lang w:eastAsia="de-DE"/>
        </w:rPr>
        <w:t xml:space="preserve"> </w:t>
      </w:r>
      <w:r w:rsidRPr="00C22013">
        <w:rPr>
          <w:rFonts w:eastAsia="Times New Roman" w:cs="Times New Roman"/>
          <w:lang w:eastAsia="de-DE"/>
        </w:rPr>
        <w:t xml:space="preserve">(dort vor euch), </w:t>
      </w:r>
      <w:r w:rsidRPr="00C22013">
        <w:rPr>
          <w:rFonts w:eastAsia="Times New Roman" w:cs="Times New Roman"/>
          <w:b/>
          <w:bCs/>
          <w:rtl/>
          <w:lang w:eastAsia="de-DE"/>
        </w:rPr>
        <w:t>נְפַלְתֶּם בֶּחָרֶב</w:t>
      </w:r>
      <w:r w:rsidRPr="00C22013">
        <w:rPr>
          <w:rFonts w:eastAsia="Times New Roman" w:cs="Times New Roman"/>
          <w:rtl/>
          <w:lang w:eastAsia="de-DE"/>
        </w:rPr>
        <w:t xml:space="preserve"> </w:t>
      </w:r>
      <w:r w:rsidRPr="00C22013">
        <w:rPr>
          <w:rFonts w:eastAsia="Times New Roman" w:cs="Times New Roman"/>
          <w:lang w:eastAsia="de-DE"/>
        </w:rPr>
        <w:t xml:space="preserve">(ihr werdet durchs Schwert fallen) von </w:t>
      </w:r>
      <w:r w:rsidRPr="00C22013">
        <w:rPr>
          <w:rFonts w:eastAsia="Times New Roman" w:cs="Times New Roman"/>
          <w:b/>
          <w:bCs/>
          <w:rtl/>
          <w:lang w:eastAsia="de-DE"/>
        </w:rPr>
        <w:t>נפל</w:t>
      </w:r>
      <w:r w:rsidRPr="00C22013">
        <w:rPr>
          <w:rFonts w:eastAsia="Times New Roman" w:cs="Times New Roman"/>
          <w:rtl/>
          <w:lang w:eastAsia="de-DE"/>
        </w:rPr>
        <w:t xml:space="preserve"> </w:t>
      </w:r>
      <w:r w:rsidRPr="00C22013">
        <w:rPr>
          <w:rFonts w:eastAsia="Times New Roman" w:cs="Times New Roman"/>
          <w:lang w:eastAsia="de-DE"/>
        </w:rPr>
        <w:t xml:space="preserve">(fallen) und </w:t>
      </w:r>
      <w:r w:rsidRPr="00C22013">
        <w:rPr>
          <w:rFonts w:eastAsia="Times New Roman" w:cs="Times New Roman"/>
          <w:b/>
          <w:bCs/>
          <w:rtl/>
          <w:lang w:eastAsia="de-DE"/>
        </w:rPr>
        <w:t>בֶּחָרֶב</w:t>
      </w:r>
      <w:r w:rsidRPr="00C22013">
        <w:rPr>
          <w:rFonts w:eastAsia="Times New Roman" w:cs="Times New Roman"/>
          <w:rtl/>
          <w:lang w:eastAsia="de-DE"/>
        </w:rPr>
        <w:t xml:space="preserve"> </w:t>
      </w:r>
      <w:r w:rsidRPr="00C22013">
        <w:rPr>
          <w:rFonts w:eastAsia="Times New Roman" w:cs="Times New Roman"/>
          <w:lang w:eastAsia="de-DE"/>
        </w:rPr>
        <w:t>(durchs Schwert) zeigt die konkrete militärische Bedrohung.</w:t>
      </w:r>
    </w:p>
    <w:p w14:paraId="5649BE3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theologische Begründung </w:t>
      </w:r>
      <w:r w:rsidRPr="00C22013">
        <w:rPr>
          <w:rFonts w:eastAsia="Times New Roman" w:cs="Times New Roman"/>
          <w:b/>
          <w:bCs/>
          <w:rtl/>
          <w:lang w:eastAsia="de-DE"/>
        </w:rPr>
        <w:t>כִּֽי־עַל־כֵּ֤ן שַׁבְתֶּם֙ מֵאַחֲרֵ֣י יְהוָ֔ה וְלֹא־יִהְיֶ֥ה יְהוָ֖ה עִמָּכֶֽם</w:t>
      </w:r>
      <w:r w:rsidRPr="00C22013">
        <w:rPr>
          <w:rFonts w:eastAsia="Times New Roman" w:cs="Times New Roman"/>
          <w:rtl/>
          <w:lang w:eastAsia="de-DE"/>
        </w:rPr>
        <w:t xml:space="preserve"> </w:t>
      </w:r>
      <w:r w:rsidRPr="00C22013">
        <w:rPr>
          <w:rFonts w:eastAsia="Times New Roman" w:cs="Times New Roman"/>
          <w:lang w:eastAsia="de-DE"/>
        </w:rPr>
        <w:t xml:space="preserve">(weil ihr euch von der Nachfolge des Ewigen abgewandt habt, wird der Ewige nicht mit euch sein) mit </w:t>
      </w:r>
      <w:r w:rsidRPr="00C22013">
        <w:rPr>
          <w:rFonts w:eastAsia="Times New Roman" w:cs="Times New Roman"/>
          <w:b/>
          <w:bCs/>
          <w:rtl/>
          <w:lang w:eastAsia="de-DE"/>
        </w:rPr>
        <w:t>עַל־כֵּן</w:t>
      </w:r>
      <w:r w:rsidRPr="00C22013">
        <w:rPr>
          <w:rFonts w:eastAsia="Times New Roman" w:cs="Times New Roman"/>
          <w:rtl/>
          <w:lang w:eastAsia="de-DE"/>
        </w:rPr>
        <w:t xml:space="preserve"> </w:t>
      </w:r>
      <w:r w:rsidRPr="00C22013">
        <w:rPr>
          <w:rFonts w:eastAsia="Times New Roman" w:cs="Times New Roman"/>
          <w:lang w:eastAsia="de-DE"/>
        </w:rPr>
        <w:t xml:space="preserve">(darum/weil), </w:t>
      </w:r>
      <w:r w:rsidRPr="00C22013">
        <w:rPr>
          <w:rFonts w:eastAsia="Times New Roman" w:cs="Times New Roman"/>
          <w:b/>
          <w:bCs/>
          <w:rtl/>
          <w:lang w:eastAsia="de-DE"/>
        </w:rPr>
        <w:t>שַׁבְתֶּם מֵאַחֲרֵי יְהוָה</w:t>
      </w:r>
      <w:r w:rsidRPr="00C22013">
        <w:rPr>
          <w:rFonts w:eastAsia="Times New Roman" w:cs="Times New Roman"/>
          <w:rtl/>
          <w:lang w:eastAsia="de-DE"/>
        </w:rPr>
        <w:t xml:space="preserve"> </w:t>
      </w:r>
      <w:r w:rsidRPr="00C22013">
        <w:rPr>
          <w:rFonts w:eastAsia="Times New Roman" w:cs="Times New Roman"/>
          <w:lang w:eastAsia="de-DE"/>
        </w:rPr>
        <w:t xml:space="preserve">(ihr habt euch von der Nachfolge des Ewigen abgewandt) von </w:t>
      </w:r>
      <w:r w:rsidRPr="00C22013">
        <w:rPr>
          <w:rFonts w:eastAsia="Times New Roman" w:cs="Times New Roman"/>
          <w:b/>
          <w:bCs/>
          <w:rtl/>
          <w:lang w:eastAsia="de-DE"/>
        </w:rPr>
        <w:t>שוב</w:t>
      </w:r>
      <w:r w:rsidRPr="00C22013">
        <w:rPr>
          <w:rFonts w:eastAsia="Times New Roman" w:cs="Times New Roman"/>
          <w:rtl/>
          <w:lang w:eastAsia="de-DE"/>
        </w:rPr>
        <w:t xml:space="preserve"> </w:t>
      </w:r>
      <w:r w:rsidRPr="00C22013">
        <w:rPr>
          <w:rFonts w:eastAsia="Times New Roman" w:cs="Times New Roman"/>
          <w:lang w:eastAsia="de-DE"/>
        </w:rPr>
        <w:t xml:space="preserve">(sich abwenden) und </w:t>
      </w:r>
      <w:r w:rsidRPr="00C22013">
        <w:rPr>
          <w:rFonts w:eastAsia="Times New Roman" w:cs="Times New Roman"/>
          <w:b/>
          <w:bCs/>
          <w:rtl/>
          <w:lang w:eastAsia="de-DE"/>
        </w:rPr>
        <w:t>לֹא־יִהְיֶה יְהוָה עִמָּכֶם</w:t>
      </w:r>
      <w:r w:rsidRPr="00C22013">
        <w:rPr>
          <w:rFonts w:eastAsia="Times New Roman" w:cs="Times New Roman"/>
          <w:rtl/>
          <w:lang w:eastAsia="de-DE"/>
        </w:rPr>
        <w:t xml:space="preserve"> </w:t>
      </w:r>
      <w:r w:rsidRPr="00C22013">
        <w:rPr>
          <w:rFonts w:eastAsia="Times New Roman" w:cs="Times New Roman"/>
          <w:lang w:eastAsia="de-DE"/>
        </w:rPr>
        <w:t>(der Ewige wird nicht mit euch sein) zeigt den kausalen Zusammenhang zwischen Abfall und göttlichem Verlassen-Werden.</w:t>
      </w:r>
    </w:p>
    <w:p w14:paraId="66134EB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שָׁם לִפְנֵיכֶם</w:t>
      </w:r>
      <w:r w:rsidRPr="00C22013">
        <w:rPr>
          <w:rFonts w:eastAsia="Times New Roman" w:cs="Times New Roman"/>
          <w:rtl/>
          <w:lang w:eastAsia="de-DE"/>
        </w:rPr>
        <w:t xml:space="preserve"> </w:t>
      </w:r>
      <w:r w:rsidRPr="00C22013">
        <w:rPr>
          <w:rFonts w:eastAsia="Times New Roman" w:cs="Times New Roman"/>
          <w:lang w:eastAsia="de-DE"/>
        </w:rPr>
        <w:t xml:space="preserve">mit ἐκεῖ ἐναντίον ὑμῶν (dort vor euch), </w:t>
      </w:r>
      <w:r w:rsidRPr="00C22013">
        <w:rPr>
          <w:rFonts w:eastAsia="Times New Roman" w:cs="Times New Roman"/>
          <w:b/>
          <w:bCs/>
          <w:rtl/>
          <w:lang w:eastAsia="de-DE"/>
        </w:rPr>
        <w:t>נְפַלְתֶּם בֶּחָרֶב</w:t>
      </w:r>
      <w:r w:rsidRPr="00C22013">
        <w:rPr>
          <w:rFonts w:eastAsia="Times New Roman" w:cs="Times New Roman"/>
          <w:rtl/>
          <w:lang w:eastAsia="de-DE"/>
        </w:rPr>
        <w:t xml:space="preserve"> </w:t>
      </w:r>
      <w:r w:rsidRPr="00C22013">
        <w:rPr>
          <w:rFonts w:eastAsia="Times New Roman" w:cs="Times New Roman"/>
          <w:lang w:eastAsia="de-DE"/>
        </w:rPr>
        <w:t xml:space="preserve">mit πεσεῖσθε μαχαίρᾳ (ihr werdet durch das Schwert fallen), </w:t>
      </w:r>
      <w:r w:rsidRPr="00C22013">
        <w:rPr>
          <w:rFonts w:eastAsia="Times New Roman" w:cs="Times New Roman"/>
          <w:b/>
          <w:bCs/>
          <w:rtl/>
          <w:lang w:eastAsia="de-DE"/>
        </w:rPr>
        <w:t>שַׁבְתֶּם מֵאַחֲרֵי</w:t>
      </w:r>
      <w:r w:rsidRPr="00C22013">
        <w:rPr>
          <w:rFonts w:eastAsia="Times New Roman" w:cs="Times New Roman"/>
          <w:rtl/>
          <w:lang w:eastAsia="de-DE"/>
        </w:rPr>
        <w:t xml:space="preserve"> </w:t>
      </w:r>
      <w:r w:rsidRPr="00C22013">
        <w:rPr>
          <w:rFonts w:eastAsia="Times New Roman" w:cs="Times New Roman"/>
          <w:lang w:eastAsia="de-DE"/>
        </w:rPr>
        <w:t xml:space="preserve">mit ἀπεστράφητε ἀπό (ihr habt euch abgewandt von) und </w:t>
      </w:r>
      <w:r w:rsidRPr="00C22013">
        <w:rPr>
          <w:rFonts w:eastAsia="Times New Roman" w:cs="Times New Roman"/>
          <w:b/>
          <w:bCs/>
          <w:rtl/>
          <w:lang w:eastAsia="de-DE"/>
        </w:rPr>
        <w:t>עִמָּכֶם</w:t>
      </w:r>
      <w:r w:rsidRPr="00C22013">
        <w:rPr>
          <w:rFonts w:eastAsia="Times New Roman" w:cs="Times New Roman"/>
          <w:rtl/>
          <w:lang w:eastAsia="de-DE"/>
        </w:rPr>
        <w:t xml:space="preserve"> </w:t>
      </w:r>
      <w:r w:rsidRPr="00C22013">
        <w:rPr>
          <w:rFonts w:eastAsia="Times New Roman" w:cs="Times New Roman"/>
          <w:lang w:eastAsia="de-DE"/>
        </w:rPr>
        <w:t>mit μεθ' ὑμῶν (mit euch).</w:t>
      </w:r>
    </w:p>
    <w:p w14:paraId="0DC0DE8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konkrete Gefahr-Warnung und theologische Ursache-Wirkung-Erklärung.</w:t>
      </w:r>
    </w:p>
    <w:p w14:paraId="3B251B5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erklärt den theologischen Grund für die zu erwartende Niederlage: Abfall von Gott führt zum Verlust seines Beistands.</w:t>
      </w:r>
    </w:p>
    <w:p w14:paraId="1997751C"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14,44</w:t>
      </w:r>
    </w:p>
    <w:p w14:paraId="6274811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וַיַּעְפִּ֕לוּ לַעֲל֖וֹת אֶל־רֹ֣אשׁ הָהָ֑ר וַאֲר֤וֹן בְּרִית־יְהוָה֙ וּמֹשֶׁ֔ה לֹא־מָ֖שׁוּ מִקֶּ֥רֶב הַֽמַּחֲנֶֽה׃</w:t>
      </w:r>
    </w:p>
    <w:p w14:paraId="2A89725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Deutsch:</w:t>
      </w:r>
      <w:r w:rsidRPr="00C22013">
        <w:rPr>
          <w:rFonts w:eastAsia="Times New Roman" w:cs="Times New Roman"/>
          <w:lang w:eastAsia="de-DE"/>
        </w:rPr>
        <w:t xml:space="preserve"> Doch sie waren vermessen, auf die Spitze des Berges hinaufzusteigen; aber die Lade des Bundes des Ewigen und Mosche wichen nicht aus der Mitte des Lagers.</w:t>
      </w:r>
    </w:p>
    <w:p w14:paraId="75F3B69C"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B510955">
          <v:rect id="_x0000_i1496" style="width:0;height:1.5pt" o:hralign="center" o:hrstd="t" o:hr="t" fillcolor="#a0a0a0" stroked="f"/>
        </w:pict>
      </w:r>
    </w:p>
    <w:p w14:paraId="21B1846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Vermessenheit </w:t>
      </w:r>
      <w:r w:rsidRPr="00C22013">
        <w:rPr>
          <w:rFonts w:eastAsia="Times New Roman" w:cs="Times New Roman"/>
          <w:b/>
          <w:bCs/>
          <w:rtl/>
          <w:lang w:eastAsia="de-DE"/>
        </w:rPr>
        <w:t>וַיַּעְפִּ֕לוּ לַעֲל֖וֹת אֶל־רֹ֣אשׁ הָהָ֑ר</w:t>
      </w:r>
      <w:r w:rsidRPr="00C22013">
        <w:rPr>
          <w:rFonts w:eastAsia="Times New Roman" w:cs="Times New Roman"/>
          <w:rtl/>
          <w:lang w:eastAsia="de-DE"/>
        </w:rPr>
        <w:t xml:space="preserve"> </w:t>
      </w:r>
      <w:r w:rsidRPr="00C22013">
        <w:rPr>
          <w:rFonts w:eastAsia="Times New Roman" w:cs="Times New Roman"/>
          <w:lang w:eastAsia="de-DE"/>
        </w:rPr>
        <w:t xml:space="preserve">(und sie waren vermessen, zur Spitze des Berges hinaufzusteigen) mit </w:t>
      </w:r>
      <w:r w:rsidRPr="00C22013">
        <w:rPr>
          <w:rFonts w:eastAsia="Times New Roman" w:cs="Times New Roman"/>
          <w:b/>
          <w:bCs/>
          <w:rtl/>
          <w:lang w:eastAsia="de-DE"/>
        </w:rPr>
        <w:t>יַּעְפִּלוּ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עפל</w:t>
      </w:r>
      <w:r w:rsidRPr="00C22013">
        <w:rPr>
          <w:rFonts w:eastAsia="Times New Roman" w:cs="Times New Roman"/>
          <w:rtl/>
          <w:lang w:eastAsia="de-DE"/>
        </w:rPr>
        <w:t xml:space="preserve"> </w:t>
      </w:r>
      <w:r w:rsidRPr="00C22013">
        <w:rPr>
          <w:rFonts w:eastAsia="Times New Roman" w:cs="Times New Roman"/>
          <w:lang w:eastAsia="de-DE"/>
        </w:rPr>
        <w:t xml:space="preserve">(vermessen/eigensinnig handeln) im Hiph'il-Imperfekt 3. maskulin Plural mit Waw consecutivum und </w:t>
      </w:r>
      <w:r w:rsidRPr="00C22013">
        <w:rPr>
          <w:rFonts w:eastAsia="Times New Roman" w:cs="Times New Roman"/>
          <w:b/>
          <w:bCs/>
          <w:rtl/>
          <w:lang w:eastAsia="de-DE"/>
        </w:rPr>
        <w:t>לַעֲלוֹת אֶל־רֹאשׁ הָהָר</w:t>
      </w:r>
      <w:r w:rsidRPr="00C22013">
        <w:rPr>
          <w:rFonts w:eastAsia="Times New Roman" w:cs="Times New Roman"/>
          <w:rtl/>
          <w:lang w:eastAsia="de-DE"/>
        </w:rPr>
        <w:t xml:space="preserve"> </w:t>
      </w:r>
      <w:r w:rsidRPr="00C22013">
        <w:rPr>
          <w:rFonts w:eastAsia="Times New Roman" w:cs="Times New Roman"/>
          <w:lang w:eastAsia="de-DE"/>
        </w:rPr>
        <w:t>(zur Spitze des Berges hinaufzusteigen) zeigt ihre hartnäckige Missachtung der Warnung.</w:t>
      </w:r>
    </w:p>
    <w:p w14:paraId="3231DF8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bedeutsame Abwesenheit </w:t>
      </w:r>
      <w:r w:rsidRPr="00C22013">
        <w:rPr>
          <w:rFonts w:eastAsia="Times New Roman" w:cs="Times New Roman"/>
          <w:b/>
          <w:bCs/>
          <w:rtl/>
          <w:lang w:eastAsia="de-DE"/>
        </w:rPr>
        <w:t>וַאֲר֤וֹן בְּרִית־יְהוָה֙ וּמֹשֶׁ֔ה לֹא־מָ֖שׁוּ מִקֶּ֥רֶב הַֽמַּחֲנֶֽה</w:t>
      </w:r>
      <w:r w:rsidRPr="00C22013">
        <w:rPr>
          <w:rFonts w:eastAsia="Times New Roman" w:cs="Times New Roman"/>
          <w:rtl/>
          <w:lang w:eastAsia="de-DE"/>
        </w:rPr>
        <w:t xml:space="preserve"> </w:t>
      </w:r>
      <w:r w:rsidRPr="00C22013">
        <w:rPr>
          <w:rFonts w:eastAsia="Times New Roman" w:cs="Times New Roman"/>
          <w:lang w:eastAsia="de-DE"/>
        </w:rPr>
        <w:t xml:space="preserve">(aber die Lade des Bundes des Ewigen und Mose wichen nicht aus der Mitte des Lagers) mit </w:t>
      </w:r>
      <w:r w:rsidRPr="00C22013">
        <w:rPr>
          <w:rFonts w:eastAsia="Times New Roman" w:cs="Times New Roman"/>
          <w:b/>
          <w:bCs/>
          <w:rtl/>
          <w:lang w:eastAsia="de-DE"/>
        </w:rPr>
        <w:t>אֲרוֹן בְּרִית־יְהוָה</w:t>
      </w:r>
      <w:r w:rsidRPr="00C22013">
        <w:rPr>
          <w:rFonts w:eastAsia="Times New Roman" w:cs="Times New Roman"/>
          <w:rtl/>
          <w:lang w:eastAsia="de-DE"/>
        </w:rPr>
        <w:t xml:space="preserve"> </w:t>
      </w:r>
      <w:r w:rsidRPr="00C22013">
        <w:rPr>
          <w:rFonts w:eastAsia="Times New Roman" w:cs="Times New Roman"/>
          <w:lang w:eastAsia="de-DE"/>
        </w:rPr>
        <w:t xml:space="preserve">(die Lade des Bundes des Ewigen) als Symbol göttlicher Präsenz, </w:t>
      </w:r>
      <w:r w:rsidRPr="00C22013">
        <w:rPr>
          <w:rFonts w:eastAsia="Times New Roman" w:cs="Times New Roman"/>
          <w:b/>
          <w:bCs/>
          <w:rtl/>
          <w:lang w:eastAsia="de-DE"/>
        </w:rPr>
        <w:t>מֹשֶׁה</w:t>
      </w:r>
      <w:r w:rsidRPr="00C22013">
        <w:rPr>
          <w:rFonts w:eastAsia="Times New Roman" w:cs="Times New Roman"/>
          <w:rtl/>
          <w:lang w:eastAsia="de-DE"/>
        </w:rPr>
        <w:t xml:space="preserve"> </w:t>
      </w:r>
      <w:r w:rsidRPr="00C22013">
        <w:rPr>
          <w:rFonts w:eastAsia="Times New Roman" w:cs="Times New Roman"/>
          <w:lang w:eastAsia="de-DE"/>
        </w:rPr>
        <w:t xml:space="preserve">(Mose) als göttlicher Repräsentant und </w:t>
      </w:r>
      <w:r w:rsidRPr="00C22013">
        <w:rPr>
          <w:rFonts w:eastAsia="Times New Roman" w:cs="Times New Roman"/>
          <w:b/>
          <w:bCs/>
          <w:rtl/>
          <w:lang w:eastAsia="de-DE"/>
        </w:rPr>
        <w:t>לֹא־מָשׁוּ מִקֶּרֶב הַמַּחֲנֶה</w:t>
      </w:r>
      <w:r w:rsidRPr="00C22013">
        <w:rPr>
          <w:rFonts w:eastAsia="Times New Roman" w:cs="Times New Roman"/>
          <w:rtl/>
          <w:lang w:eastAsia="de-DE"/>
        </w:rPr>
        <w:t xml:space="preserve"> </w:t>
      </w:r>
      <w:r w:rsidRPr="00C22013">
        <w:rPr>
          <w:rFonts w:eastAsia="Times New Roman" w:cs="Times New Roman"/>
          <w:lang w:eastAsia="de-DE"/>
        </w:rPr>
        <w:t xml:space="preserve">(sie wichen nicht aus der Mitte des Lagers) von </w:t>
      </w:r>
      <w:r w:rsidRPr="00C22013">
        <w:rPr>
          <w:rFonts w:eastAsia="Times New Roman" w:cs="Times New Roman"/>
          <w:b/>
          <w:bCs/>
          <w:rtl/>
          <w:lang w:eastAsia="de-DE"/>
        </w:rPr>
        <w:t>מושׁ</w:t>
      </w:r>
      <w:r w:rsidRPr="00C22013">
        <w:rPr>
          <w:rFonts w:eastAsia="Times New Roman" w:cs="Times New Roman"/>
          <w:rtl/>
          <w:lang w:eastAsia="de-DE"/>
        </w:rPr>
        <w:t xml:space="preserve"> </w:t>
      </w:r>
      <w:r w:rsidRPr="00C22013">
        <w:rPr>
          <w:rFonts w:eastAsia="Times New Roman" w:cs="Times New Roman"/>
          <w:lang w:eastAsia="de-DE"/>
        </w:rPr>
        <w:t>(weichen) zeigt, dass sie ohne göttlichen Beistand und prophetische Führung gingen.</w:t>
      </w:r>
    </w:p>
    <w:p w14:paraId="3E5A0687" w14:textId="56FEF414"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184967">
        <w:t>verwendet „διαβιασάμενοι" (sich durchzwängend/mit Gewalt) für das hebräische „</w:t>
      </w:r>
      <w:r w:rsidR="00184967" w:rsidRPr="00184967">
        <w:rPr>
          <w:b/>
          <w:bCs/>
          <w:rtl/>
        </w:rPr>
        <w:t>וַיַּעְפִּלוּ</w:t>
      </w:r>
      <w:r w:rsidR="00184967">
        <w:t>" (und sie stiegen vermessen hinauf), was die Eigensinnigkeit des Handelns betont.</w:t>
      </w:r>
    </w:p>
    <w:p w14:paraId="1EB94ED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vermessene Aktion trotz Warnung und bedeutsame Abwesenheit göttlicher Symbole und Führung.</w:t>
      </w:r>
    </w:p>
    <w:p w14:paraId="4613951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Tragik eigenmächtigen Handelns: sie gehen ohne Gottes Lade und ohne Moses ins Verderben.</w:t>
      </w:r>
    </w:p>
    <w:p w14:paraId="784B18D2"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14,45</w:t>
      </w:r>
    </w:p>
    <w:p w14:paraId="74043A7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וַיֵּ֤רֶד הָעֲמָלֵקִי֙ וְהַֽכְּנַעֲנִ֔י הַיֹּשֵׁ֖ב בָּהָ֣ר הַה֑וּא וַיַּכּ֥וּם וַֽיַּכְּת֖וּם עַד־הַֽחָרְמָֽה׃</w:t>
      </w:r>
    </w:p>
    <w:p w14:paraId="6143723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Da kam der Amaleki und der Kena'ani, die auf jenem Gebirge wohnten, herab und schlugen und zersprengten sie bis Chorma.</w:t>
      </w:r>
    </w:p>
    <w:p w14:paraId="7382A955"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4EDFED8D">
          <v:rect id="_x0000_i1497" style="width:0;height:1.5pt" o:hralign="center" o:hrstd="t" o:hr="t" fillcolor="#a0a0a0" stroked="f"/>
        </w:pict>
      </w:r>
    </w:p>
    <w:p w14:paraId="76A728E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feindliche Aktion </w:t>
      </w:r>
      <w:r w:rsidRPr="00C22013">
        <w:rPr>
          <w:rFonts w:eastAsia="Times New Roman" w:cs="Times New Roman"/>
          <w:b/>
          <w:bCs/>
          <w:rtl/>
          <w:lang w:eastAsia="de-DE"/>
        </w:rPr>
        <w:t>וַיֵּ֤רֶד הָעֲמָלֵקִי֙ וְהַֽכְּנַעֲנִ֔י הַיֹּשֵׁ֖ב בָּהָ֣ר הַה֑וּא</w:t>
      </w:r>
      <w:r w:rsidRPr="00C22013">
        <w:rPr>
          <w:rFonts w:eastAsia="Times New Roman" w:cs="Times New Roman"/>
          <w:rtl/>
          <w:lang w:eastAsia="de-DE"/>
        </w:rPr>
        <w:t xml:space="preserve"> </w:t>
      </w:r>
      <w:r w:rsidRPr="00C22013">
        <w:rPr>
          <w:rFonts w:eastAsia="Times New Roman" w:cs="Times New Roman"/>
          <w:lang w:eastAsia="de-DE"/>
        </w:rPr>
        <w:t xml:space="preserve">(und der Amalekiter und der Kanaaniter, die auf jenem Gebirge wohnten, kamen herab) mit </w:t>
      </w:r>
      <w:r w:rsidRPr="00C22013">
        <w:rPr>
          <w:rFonts w:eastAsia="Times New Roman" w:cs="Times New Roman"/>
          <w:b/>
          <w:bCs/>
          <w:rtl/>
          <w:lang w:eastAsia="de-DE"/>
        </w:rPr>
        <w:t>יֵּרֶד</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ירד</w:t>
      </w:r>
      <w:r w:rsidRPr="00C22013">
        <w:rPr>
          <w:rFonts w:eastAsia="Times New Roman" w:cs="Times New Roman"/>
          <w:rtl/>
          <w:lang w:eastAsia="de-DE"/>
        </w:rPr>
        <w:t xml:space="preserve"> </w:t>
      </w:r>
      <w:r w:rsidRPr="00C22013">
        <w:rPr>
          <w:rFonts w:eastAsia="Times New Roman" w:cs="Times New Roman"/>
          <w:lang w:eastAsia="de-DE"/>
        </w:rPr>
        <w:t xml:space="preserve">(herabkommen) und </w:t>
      </w:r>
      <w:r w:rsidRPr="00C22013">
        <w:rPr>
          <w:rFonts w:eastAsia="Times New Roman" w:cs="Times New Roman"/>
          <w:b/>
          <w:bCs/>
          <w:rtl/>
          <w:lang w:eastAsia="de-DE"/>
        </w:rPr>
        <w:t>הַיֹּשֵׁב בָּהָר הַהוּא</w:t>
      </w:r>
      <w:r w:rsidRPr="00C22013">
        <w:rPr>
          <w:rFonts w:eastAsia="Times New Roman" w:cs="Times New Roman"/>
          <w:rtl/>
          <w:lang w:eastAsia="de-DE"/>
        </w:rPr>
        <w:t xml:space="preserve"> </w:t>
      </w:r>
      <w:r w:rsidRPr="00C22013">
        <w:rPr>
          <w:rFonts w:eastAsia="Times New Roman" w:cs="Times New Roman"/>
          <w:lang w:eastAsia="de-DE"/>
        </w:rPr>
        <w:t>(die auf jenem Gebirge wohnten) zeigt die strategische Überlegenheit der Bergbewohner.</w:t>
      </w:r>
    </w:p>
    <w:p w14:paraId="05D8E5B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Niederlage </w:t>
      </w:r>
      <w:r w:rsidRPr="00C22013">
        <w:rPr>
          <w:rFonts w:eastAsia="Times New Roman" w:cs="Times New Roman"/>
          <w:b/>
          <w:bCs/>
          <w:rtl/>
          <w:lang w:eastAsia="de-DE"/>
        </w:rPr>
        <w:t>וַיַּכּ֥וּם וַֽיַּכְּת֖וּם עַד־הַֽחָרְמָֽה</w:t>
      </w:r>
      <w:r w:rsidRPr="00C22013">
        <w:rPr>
          <w:rFonts w:eastAsia="Times New Roman" w:cs="Times New Roman"/>
          <w:rtl/>
          <w:lang w:eastAsia="de-DE"/>
        </w:rPr>
        <w:t xml:space="preserve"> </w:t>
      </w:r>
      <w:r w:rsidRPr="00C22013">
        <w:rPr>
          <w:rFonts w:eastAsia="Times New Roman" w:cs="Times New Roman"/>
          <w:lang w:eastAsia="de-DE"/>
        </w:rPr>
        <w:t xml:space="preserve">(und sie schlugen sie und zersprengten sie bis Chorma) mit </w:t>
      </w:r>
      <w:r w:rsidRPr="00C22013">
        <w:rPr>
          <w:rFonts w:eastAsia="Times New Roman" w:cs="Times New Roman"/>
          <w:b/>
          <w:bCs/>
          <w:rtl/>
          <w:lang w:eastAsia="de-DE"/>
        </w:rPr>
        <w:t>יַּכּוּם</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נכה</w:t>
      </w:r>
      <w:r w:rsidRPr="00C22013">
        <w:rPr>
          <w:rFonts w:eastAsia="Times New Roman" w:cs="Times New Roman"/>
          <w:rtl/>
          <w:lang w:eastAsia="de-DE"/>
        </w:rPr>
        <w:t xml:space="preserve"> </w:t>
      </w:r>
      <w:r w:rsidRPr="00C22013">
        <w:rPr>
          <w:rFonts w:eastAsia="Times New Roman" w:cs="Times New Roman"/>
          <w:lang w:eastAsia="de-DE"/>
        </w:rPr>
        <w:t xml:space="preserve">(schlagen), </w:t>
      </w:r>
      <w:r w:rsidRPr="00C22013">
        <w:rPr>
          <w:rFonts w:eastAsia="Times New Roman" w:cs="Times New Roman"/>
          <w:b/>
          <w:bCs/>
          <w:rtl/>
          <w:lang w:eastAsia="de-DE"/>
        </w:rPr>
        <w:t>יַּכְּתוּם</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כתת</w:t>
      </w:r>
      <w:r w:rsidRPr="00C22013">
        <w:rPr>
          <w:rFonts w:eastAsia="Times New Roman" w:cs="Times New Roman"/>
          <w:rtl/>
          <w:lang w:eastAsia="de-DE"/>
        </w:rPr>
        <w:t xml:space="preserve"> </w:t>
      </w:r>
      <w:r w:rsidRPr="00C22013">
        <w:rPr>
          <w:rFonts w:eastAsia="Times New Roman" w:cs="Times New Roman"/>
          <w:lang w:eastAsia="de-DE"/>
        </w:rPr>
        <w:t xml:space="preserve">(zerstoßen/zersprengen) und </w:t>
      </w:r>
      <w:r w:rsidRPr="00C22013">
        <w:rPr>
          <w:rFonts w:eastAsia="Times New Roman" w:cs="Times New Roman"/>
          <w:b/>
          <w:bCs/>
          <w:rtl/>
          <w:lang w:eastAsia="de-DE"/>
        </w:rPr>
        <w:t>עַד־הַחָרְמָה</w:t>
      </w:r>
      <w:r w:rsidRPr="00C22013">
        <w:rPr>
          <w:rFonts w:eastAsia="Times New Roman" w:cs="Times New Roman"/>
          <w:rtl/>
          <w:lang w:eastAsia="de-DE"/>
        </w:rPr>
        <w:t xml:space="preserve"> </w:t>
      </w:r>
      <w:r w:rsidRPr="00C22013">
        <w:rPr>
          <w:rFonts w:eastAsia="Times New Roman" w:cs="Times New Roman"/>
          <w:lang w:eastAsia="de-DE"/>
        </w:rPr>
        <w:t>(bis Chorma) zeigt die vollständige militärische Niederlage bis zu einem Ort namens "Vernichtung".</w:t>
      </w:r>
    </w:p>
    <w:p w14:paraId="6CF0343A" w14:textId="305745F3"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184967">
        <w:t>schreibt den Ortsnamen als „Ἑρμά" (Herma) statt des hebräischen „</w:t>
      </w:r>
      <w:r w:rsidR="00184967" w:rsidRPr="00184967">
        <w:rPr>
          <w:b/>
          <w:bCs/>
          <w:rtl/>
        </w:rPr>
        <w:t>הַחָרְמָה</w:t>
      </w:r>
      <w:r w:rsidR="00184967">
        <w:t>" (Horma), und fügt am Ende hinzu „καὶ ἀπεστράφησαν εἰς τὴν παρεμβολήν" (und sie kehrten zum Lager zurück), was im MT fehlt.</w:t>
      </w:r>
    </w:p>
    <w:p w14:paraId="5610841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 Satzstruktur zeigt feindliche Überlegenheit und vollständige israelitische Niederlage mit geografischer Reichweitenangabe.</w:t>
      </w:r>
    </w:p>
    <w:p w14:paraId="52A92DD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abschließende Vers bestätigt Moses Vorhersage: ohne göttlichen Beistand erleidet Israel eine vernichtende Niederlage, genau wie gewarnt.</w:t>
      </w:r>
    </w:p>
    <w:p w14:paraId="12F83E6C" w14:textId="77777777" w:rsidR="00C22013" w:rsidRDefault="00C22013" w:rsidP="00C22013">
      <w:pPr>
        <w:pStyle w:val="whitespace-normal"/>
      </w:pPr>
      <w:r>
        <w:t>Kapitel 14 schildert eine der schwerwiegendsten Krisen in Israels Geschichte - die Rebellion gegen Gottes Landverheißung. Die Struktur zeigt:</w:t>
      </w:r>
    </w:p>
    <w:p w14:paraId="587F7CDD" w14:textId="77777777" w:rsidR="00C22013" w:rsidRDefault="00C22013" w:rsidP="00C15C06">
      <w:pPr>
        <w:pStyle w:val="whitespace-normal"/>
        <w:numPr>
          <w:ilvl w:val="0"/>
          <w:numId w:val="4"/>
        </w:numPr>
      </w:pPr>
      <w:r>
        <w:rPr>
          <w:rStyle w:val="Fett"/>
        </w:rPr>
        <w:t>Kollektive Rebellion</w:t>
      </w:r>
      <w:r>
        <w:t xml:space="preserve"> (V. 1-4): Das ganze Volk reagiert auf den negativen Kundschafterbericht mit Verzweiflung und plant die Rückkehr nach Ägypten.</w:t>
      </w:r>
    </w:p>
    <w:p w14:paraId="2DE61D00" w14:textId="77777777" w:rsidR="00C22013" w:rsidRDefault="00C22013" w:rsidP="00C15C06">
      <w:pPr>
        <w:pStyle w:val="whitespace-normal"/>
        <w:numPr>
          <w:ilvl w:val="0"/>
          <w:numId w:val="4"/>
        </w:numPr>
      </w:pPr>
      <w:r>
        <w:rPr>
          <w:rStyle w:val="Fett"/>
        </w:rPr>
        <w:t>Treue Gegenstimmen</w:t>
      </w:r>
      <w:r>
        <w:t xml:space="preserve"> (V. 5-10): Mose, Aaron, Josua und Kaleb versuchen vergeblich, die Rebellion zu stoppen, werden aber beinahe gesteinigt.</w:t>
      </w:r>
    </w:p>
    <w:p w14:paraId="6FF3665C" w14:textId="77777777" w:rsidR="00C22013" w:rsidRDefault="00C22013" w:rsidP="00C15C06">
      <w:pPr>
        <w:pStyle w:val="whitespace-normal"/>
        <w:numPr>
          <w:ilvl w:val="0"/>
          <w:numId w:val="4"/>
        </w:numPr>
      </w:pPr>
      <w:r>
        <w:rPr>
          <w:rStyle w:val="Fett"/>
        </w:rPr>
        <w:t>Göttliches Gericht und Fürbitte</w:t>
      </w:r>
      <w:r>
        <w:t xml:space="preserve"> (V. 11-25): Gott will Israel vernichten, aber Moses meisterhafte Fürbitte erreicht Vergebung mit Konsequenzen.</w:t>
      </w:r>
    </w:p>
    <w:p w14:paraId="67AABDB2" w14:textId="77777777" w:rsidR="00C22013" w:rsidRDefault="00C22013" w:rsidP="00C15C06">
      <w:pPr>
        <w:pStyle w:val="whitespace-normal"/>
        <w:numPr>
          <w:ilvl w:val="0"/>
          <w:numId w:val="4"/>
        </w:numPr>
      </w:pPr>
      <w:r>
        <w:rPr>
          <w:rStyle w:val="Fett"/>
        </w:rPr>
        <w:t>Strafverkündung</w:t>
      </w:r>
      <w:r>
        <w:t xml:space="preserve"> (V. 26-38): Die Exodus-Generation wird vom Land ausgeschlossen; nur Josua und Kaleb werden verschont. Die böswilligen Kundschafter sterben sofort.</w:t>
      </w:r>
    </w:p>
    <w:p w14:paraId="1C3C539F" w14:textId="77777777" w:rsidR="00C22013" w:rsidRDefault="00C22013" w:rsidP="00C15C06">
      <w:pPr>
        <w:pStyle w:val="whitespace-normal"/>
        <w:numPr>
          <w:ilvl w:val="0"/>
          <w:numId w:val="4"/>
        </w:numPr>
      </w:pPr>
      <w:r>
        <w:rPr>
          <w:rStyle w:val="Fett"/>
        </w:rPr>
        <w:t>Vergeblicher Bekehrungsversuch</w:t>
      </w:r>
      <w:r>
        <w:t xml:space="preserve"> (V. 39-45): Zu spät zeigt das Volk Bereitschaft zum Gehorsam, erleidet aber ohne göttlichen Beistand eine vernichtende Niederlage.</w:t>
      </w:r>
    </w:p>
    <w:p w14:paraId="5160BB33" w14:textId="77777777" w:rsidR="00C22013" w:rsidRDefault="00C22013" w:rsidP="00C22013">
      <w:pPr>
        <w:pStyle w:val="whitespace-normal"/>
      </w:pPr>
      <w:r>
        <w:t>Das Kapitel zeigt die tragischen Folgen mangelnden Gottvertrauens und illustriert sowohl göttliche Gerechtigkeit als auch Barmherzigkeit.</w:t>
      </w:r>
    </w:p>
    <w:p w14:paraId="769C9836"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w:t>
      </w:r>
    </w:p>
    <w:p w14:paraId="708836D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וַיְדַבֵּ֥ר יְהוָ֖ה אֶל־מֹשֶׁ֥ה לֵּאמֹֽר׃</w:t>
      </w:r>
    </w:p>
    <w:p w14:paraId="34ADC82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der Ewige redete zu Mosche, sagend:</w:t>
      </w:r>
    </w:p>
    <w:p w14:paraId="09E544FC"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811BD7C">
          <v:rect id="_x0000_i1498" style="width:0;height:1.5pt" o:hralign="center" o:hrstd="t" o:hr="t" fillcolor="#a0a0a0" stroked="f"/>
        </w:pict>
      </w:r>
    </w:p>
    <w:p w14:paraId="3B943AD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Redeeinleitung </w:t>
      </w:r>
      <w:r w:rsidRPr="00C22013">
        <w:rPr>
          <w:rFonts w:eastAsia="Times New Roman" w:cs="Times New Roman"/>
          <w:b/>
          <w:bCs/>
          <w:rtl/>
          <w:lang w:eastAsia="de-DE"/>
        </w:rPr>
        <w:t>וַיְדַבֵּ֥ר יְהוָ֖ה אֶל־מֹשֶׁ֥ה לֵּאמֹֽר</w:t>
      </w:r>
      <w:r w:rsidRPr="00C22013">
        <w:rPr>
          <w:rFonts w:eastAsia="Times New Roman" w:cs="Times New Roman"/>
          <w:rtl/>
          <w:lang w:eastAsia="de-DE"/>
        </w:rPr>
        <w:t xml:space="preserve"> </w:t>
      </w:r>
      <w:r w:rsidRPr="00C22013">
        <w:rPr>
          <w:rFonts w:eastAsia="Times New Roman" w:cs="Times New Roman"/>
          <w:lang w:eastAsia="de-DE"/>
        </w:rPr>
        <w:t xml:space="preserve">(und der Ewige redete zu Mose, sagend) mit </w:t>
      </w:r>
      <w:r w:rsidRPr="00C22013">
        <w:rPr>
          <w:rFonts w:eastAsia="Times New Roman" w:cs="Times New Roman"/>
          <w:b/>
          <w:bCs/>
          <w:rtl/>
          <w:lang w:eastAsia="de-DE"/>
        </w:rPr>
        <w:t>יְדַבֵּר</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 xml:space="preserve">(reden) im Pi'el-Imperfekt 3. maskulin Singular mit Waw consecutivum, </w:t>
      </w:r>
      <w:r w:rsidRPr="00C22013">
        <w:rPr>
          <w:rFonts w:eastAsia="Times New Roman" w:cs="Times New Roman"/>
          <w:b/>
          <w:bCs/>
          <w:rtl/>
          <w:lang w:eastAsia="de-DE"/>
        </w:rPr>
        <w:t>אֶל־מֹשֶׁה</w:t>
      </w:r>
      <w:r w:rsidRPr="00C22013">
        <w:rPr>
          <w:rFonts w:eastAsia="Times New Roman" w:cs="Times New Roman"/>
          <w:rtl/>
          <w:lang w:eastAsia="de-DE"/>
        </w:rPr>
        <w:t xml:space="preserve"> </w:t>
      </w:r>
      <w:r w:rsidRPr="00C22013">
        <w:rPr>
          <w:rFonts w:eastAsia="Times New Roman" w:cs="Times New Roman"/>
          <w:lang w:eastAsia="de-DE"/>
        </w:rPr>
        <w:t xml:space="preserve">(zu Mose) und </w:t>
      </w:r>
      <w:r w:rsidRPr="00C22013">
        <w:rPr>
          <w:rFonts w:eastAsia="Times New Roman" w:cs="Times New Roman"/>
          <w:b/>
          <w:bCs/>
          <w:rtl/>
          <w:lang w:eastAsia="de-DE"/>
        </w:rPr>
        <w:t>לֵאמֹר</w:t>
      </w:r>
      <w:r w:rsidRPr="00C22013">
        <w:rPr>
          <w:rFonts w:eastAsia="Times New Roman" w:cs="Times New Roman"/>
          <w:rtl/>
          <w:lang w:eastAsia="de-DE"/>
        </w:rPr>
        <w:t xml:space="preserve"> </w:t>
      </w:r>
      <w:r w:rsidRPr="00C22013">
        <w:rPr>
          <w:rFonts w:eastAsia="Times New Roman" w:cs="Times New Roman"/>
          <w:lang w:eastAsia="de-DE"/>
        </w:rPr>
        <w:t>(sagend) leitet nach der schweren Krise von Kapitel 14 neue göttliche Anweisungen ein.</w:t>
      </w:r>
    </w:p>
    <w:p w14:paraId="40A1DB9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Platzierung unmittelbar nach dem verheerenden Urteil über die Exodus-Generation zeigt göttliche Gnade: trotz der Rebellion werden Gesetze für das Leben im verheißenen Land gegeben, was die Gewissheit der zukünftigen Landnahme unterstreicht.</w:t>
      </w:r>
    </w:p>
    <w:p w14:paraId="1C71098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mit der standardisierten Formel καὶ ἐλάλησεν κύριος πρὸς Μωυσῆν λέγων (und der Herr redete zu Mose, sagend).</w:t>
      </w:r>
    </w:p>
    <w:p w14:paraId="3786DD8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die charakteristische Offenbarungsformel für neue göttliche Gesetze.</w:t>
      </w:r>
    </w:p>
    <w:p w14:paraId="4BEC5B7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Kapitel 15 ein, das sich mit Opfergesetzen für das zukünftige Leben im Land beschäftigt und damit Hoffnung nach der Krise vermittelt.</w:t>
      </w:r>
    </w:p>
    <w:p w14:paraId="457D56D1"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lastRenderedPageBreak/>
        <w:t>Numeri 15,2</w:t>
      </w:r>
    </w:p>
    <w:p w14:paraId="74787C6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דַּבֵּר֙ אֶל־בְּנֵ֣י יִשְׂרָאֵ֔ל וְאָמַרְתָּ֖ אֲלֵהֶ֑ם כִּ֣י תָבֹ֗אוּ אֶל־אֶ֨רֶץ֙ מוֹשְׁבֹ֣תֵיכֶ֔ם אֲשֶׁ֥ר אֲנִ֖י נֹתֵ֥ן לָכֶֽם׃</w:t>
      </w:r>
    </w:p>
    <w:p w14:paraId="4D4A15A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Rede zu den Söhnen Jisra'els und sprich zu ihnen: Wenn ihr in das Land eurer Wohnsitze kommt, das ich euch geben werde.</w:t>
      </w:r>
    </w:p>
    <w:p w14:paraId="2E2E4A9E"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B9F33E9">
          <v:rect id="_x0000_i1499" style="width:0;height:1.5pt" o:hralign="center" o:hrstd="t" o:hr="t" fillcolor="#a0a0a0" stroked="f"/>
        </w:pict>
      </w:r>
    </w:p>
    <w:p w14:paraId="40F14EC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Anweisung </w:t>
      </w:r>
      <w:r w:rsidRPr="00C22013">
        <w:rPr>
          <w:rFonts w:eastAsia="Times New Roman" w:cs="Times New Roman"/>
          <w:b/>
          <w:bCs/>
          <w:rtl/>
          <w:lang w:eastAsia="de-DE"/>
        </w:rPr>
        <w:t>דַּבֵּר֙ אֶל־בְּנֵ֣י יִשְׂרָאֵ֔ל וְאָמַרְתָּ֖ אֲלֵהֶ֑ם</w:t>
      </w:r>
      <w:r w:rsidRPr="00C22013">
        <w:rPr>
          <w:rFonts w:eastAsia="Times New Roman" w:cs="Times New Roman"/>
          <w:rtl/>
          <w:lang w:eastAsia="de-DE"/>
        </w:rPr>
        <w:t xml:space="preserve"> </w:t>
      </w:r>
      <w:r w:rsidRPr="00C22013">
        <w:rPr>
          <w:rFonts w:eastAsia="Times New Roman" w:cs="Times New Roman"/>
          <w:lang w:eastAsia="de-DE"/>
        </w:rPr>
        <w:t xml:space="preserve">(rede zu den Söhnen Israels und sprich zu ihnen) mit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 xml:space="preserve">(reden) im Pi'el-Imperativ maskulin Singular und </w:t>
      </w:r>
      <w:r w:rsidRPr="00C22013">
        <w:rPr>
          <w:rFonts w:eastAsia="Times New Roman" w:cs="Times New Roman"/>
          <w:b/>
          <w:bCs/>
          <w:rtl/>
          <w:lang w:eastAsia="de-DE"/>
        </w:rPr>
        <w:t>אָמַרְתָּ</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אמר</w:t>
      </w:r>
      <w:r w:rsidRPr="00C22013">
        <w:rPr>
          <w:rFonts w:eastAsia="Times New Roman" w:cs="Times New Roman"/>
          <w:rtl/>
          <w:lang w:eastAsia="de-DE"/>
        </w:rPr>
        <w:t xml:space="preserve"> </w:t>
      </w:r>
      <w:r w:rsidRPr="00C22013">
        <w:rPr>
          <w:rFonts w:eastAsia="Times New Roman" w:cs="Times New Roman"/>
          <w:lang w:eastAsia="de-DE"/>
        </w:rPr>
        <w:t>(sagen) im Qal-Perfekt 2. maskulin Singular mit Waw consecutivum zeigt die doppelte Kommunikationsanweisung.</w:t>
      </w:r>
    </w:p>
    <w:p w14:paraId="0468687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konditionelle Verheißung </w:t>
      </w:r>
      <w:r w:rsidRPr="00C22013">
        <w:rPr>
          <w:rFonts w:eastAsia="Times New Roman" w:cs="Times New Roman"/>
          <w:b/>
          <w:bCs/>
          <w:rtl/>
          <w:lang w:eastAsia="de-DE"/>
        </w:rPr>
        <w:t>כִּ֣י תָבֹ֗אוּ אֶל־אֶ֨רֶץ֙ מוֹשְׁבֹ֣תֵיכֶ֔ם אֲשֶׁ֥ר אֲנִ֖י נֹתֵ֥ן לָכֶֽם</w:t>
      </w:r>
      <w:r w:rsidRPr="00C22013">
        <w:rPr>
          <w:rFonts w:eastAsia="Times New Roman" w:cs="Times New Roman"/>
          <w:rtl/>
          <w:lang w:eastAsia="de-DE"/>
        </w:rPr>
        <w:t xml:space="preserve"> </w:t>
      </w:r>
      <w:r w:rsidRPr="00C22013">
        <w:rPr>
          <w:rFonts w:eastAsia="Times New Roman" w:cs="Times New Roman"/>
          <w:lang w:eastAsia="de-DE"/>
        </w:rPr>
        <w:t xml:space="preserve">(wenn ihr in das Land eurer Wohnsitze kommt, das ich euch geben werde) mit </w:t>
      </w:r>
      <w:r w:rsidRPr="00C22013">
        <w:rPr>
          <w:rFonts w:eastAsia="Times New Roman" w:cs="Times New Roman"/>
          <w:b/>
          <w:bCs/>
          <w:rtl/>
          <w:lang w:eastAsia="de-DE"/>
        </w:rPr>
        <w:t>כִּי תָבֹאוּ</w:t>
      </w:r>
      <w:r w:rsidRPr="00C22013">
        <w:rPr>
          <w:rFonts w:eastAsia="Times New Roman" w:cs="Times New Roman"/>
          <w:rtl/>
          <w:lang w:eastAsia="de-DE"/>
        </w:rPr>
        <w:t xml:space="preserve"> </w:t>
      </w:r>
      <w:r w:rsidRPr="00C22013">
        <w:rPr>
          <w:rFonts w:eastAsia="Times New Roman" w:cs="Times New Roman"/>
          <w:lang w:eastAsia="de-DE"/>
        </w:rPr>
        <w:t xml:space="preserve">(wenn ihr kommt) von </w:t>
      </w:r>
      <w:r w:rsidRPr="00C22013">
        <w:rPr>
          <w:rFonts w:eastAsia="Times New Roman" w:cs="Times New Roman"/>
          <w:b/>
          <w:bCs/>
          <w:rtl/>
          <w:lang w:eastAsia="de-DE"/>
        </w:rPr>
        <w:t>בוא</w:t>
      </w:r>
      <w:r w:rsidRPr="00C22013">
        <w:rPr>
          <w:rFonts w:eastAsia="Times New Roman" w:cs="Times New Roman"/>
          <w:rtl/>
          <w:lang w:eastAsia="de-DE"/>
        </w:rPr>
        <w:t xml:space="preserve"> </w:t>
      </w:r>
      <w:r w:rsidRPr="00C22013">
        <w:rPr>
          <w:rFonts w:eastAsia="Times New Roman" w:cs="Times New Roman"/>
          <w:lang w:eastAsia="de-DE"/>
        </w:rPr>
        <w:t xml:space="preserve">(kommen), </w:t>
      </w:r>
      <w:r w:rsidRPr="00C22013">
        <w:rPr>
          <w:rFonts w:eastAsia="Times New Roman" w:cs="Times New Roman"/>
          <w:b/>
          <w:bCs/>
          <w:rtl/>
          <w:lang w:eastAsia="de-DE"/>
        </w:rPr>
        <w:t>אֶרֶץ מוֹשְׁבֹתֵיכֶם</w:t>
      </w:r>
      <w:r w:rsidRPr="00C22013">
        <w:rPr>
          <w:rFonts w:eastAsia="Times New Roman" w:cs="Times New Roman"/>
          <w:rtl/>
          <w:lang w:eastAsia="de-DE"/>
        </w:rPr>
        <w:t xml:space="preserve"> </w:t>
      </w:r>
      <w:r w:rsidRPr="00C22013">
        <w:rPr>
          <w:rFonts w:eastAsia="Times New Roman" w:cs="Times New Roman"/>
          <w:lang w:eastAsia="de-DE"/>
        </w:rPr>
        <w:t xml:space="preserve">(Land eurer Wohnsitze) von </w:t>
      </w:r>
      <w:r w:rsidRPr="00C22013">
        <w:rPr>
          <w:rFonts w:eastAsia="Times New Roman" w:cs="Times New Roman"/>
          <w:b/>
          <w:bCs/>
          <w:rtl/>
          <w:lang w:eastAsia="de-DE"/>
        </w:rPr>
        <w:t>מושב</w:t>
      </w:r>
      <w:r w:rsidRPr="00C22013">
        <w:rPr>
          <w:rFonts w:eastAsia="Times New Roman" w:cs="Times New Roman"/>
          <w:rtl/>
          <w:lang w:eastAsia="de-DE"/>
        </w:rPr>
        <w:t xml:space="preserve"> </w:t>
      </w:r>
      <w:r w:rsidRPr="00C22013">
        <w:rPr>
          <w:rFonts w:eastAsia="Times New Roman" w:cs="Times New Roman"/>
          <w:lang w:eastAsia="de-DE"/>
        </w:rPr>
        <w:t xml:space="preserve">(Wohnsitz) und </w:t>
      </w:r>
      <w:r w:rsidRPr="00C22013">
        <w:rPr>
          <w:rFonts w:eastAsia="Times New Roman" w:cs="Times New Roman"/>
          <w:b/>
          <w:bCs/>
          <w:rtl/>
          <w:lang w:eastAsia="de-DE"/>
        </w:rPr>
        <w:t>אֲנִי נֹתֵן לָכֶם</w:t>
      </w:r>
      <w:r w:rsidRPr="00C22013">
        <w:rPr>
          <w:rFonts w:eastAsia="Times New Roman" w:cs="Times New Roman"/>
          <w:rtl/>
          <w:lang w:eastAsia="de-DE"/>
        </w:rPr>
        <w:t xml:space="preserve"> </w:t>
      </w:r>
      <w:r w:rsidRPr="00C22013">
        <w:rPr>
          <w:rFonts w:eastAsia="Times New Roman" w:cs="Times New Roman"/>
          <w:lang w:eastAsia="de-DE"/>
        </w:rPr>
        <w:t>(ich gebe euch) betont die Gewissheit der Landverheißung trotz der gerade verkündeten Strafe.</w:t>
      </w:r>
    </w:p>
    <w:p w14:paraId="347D335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 xml:space="preserve">mit λάλησον (rede), </w:t>
      </w:r>
      <w:r w:rsidRPr="00C22013">
        <w:rPr>
          <w:rFonts w:eastAsia="Times New Roman" w:cs="Times New Roman"/>
          <w:b/>
          <w:bCs/>
          <w:rtl/>
          <w:lang w:eastAsia="de-DE"/>
        </w:rPr>
        <w:t>מוֹשְׁבֹתֵיכֶם</w:t>
      </w:r>
      <w:r w:rsidRPr="00C22013">
        <w:rPr>
          <w:rFonts w:eastAsia="Times New Roman" w:cs="Times New Roman"/>
          <w:rtl/>
          <w:lang w:eastAsia="de-DE"/>
        </w:rPr>
        <w:t xml:space="preserve"> </w:t>
      </w:r>
      <w:r w:rsidRPr="00C22013">
        <w:rPr>
          <w:rFonts w:eastAsia="Times New Roman" w:cs="Times New Roman"/>
          <w:lang w:eastAsia="de-DE"/>
        </w:rPr>
        <w:t xml:space="preserve">mit κατοικήσεως ὑμῶν (eurer Bewohnung) und </w:t>
      </w:r>
      <w:r w:rsidRPr="00C22013">
        <w:rPr>
          <w:rFonts w:eastAsia="Times New Roman" w:cs="Times New Roman"/>
          <w:b/>
          <w:bCs/>
          <w:rtl/>
          <w:lang w:eastAsia="de-DE"/>
        </w:rPr>
        <w:t>נֹתֵן</w:t>
      </w:r>
      <w:r w:rsidRPr="00C22013">
        <w:rPr>
          <w:rFonts w:eastAsia="Times New Roman" w:cs="Times New Roman"/>
          <w:rtl/>
          <w:lang w:eastAsia="de-DE"/>
        </w:rPr>
        <w:t xml:space="preserve"> </w:t>
      </w:r>
      <w:r w:rsidRPr="00C22013">
        <w:rPr>
          <w:rFonts w:eastAsia="Times New Roman" w:cs="Times New Roman"/>
          <w:lang w:eastAsia="de-DE"/>
        </w:rPr>
        <w:t>mit δίδωμι (ich gebe).</w:t>
      </w:r>
    </w:p>
    <w:p w14:paraId="42285A3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doppelte Kommunikationsanweisung und konditionelle Landverheißung mit göttlicher Gewissheit.</w:t>
      </w:r>
    </w:p>
    <w:p w14:paraId="2119CB3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bemerkenswerte göttliche Gnade: unmittelbar nach dem Strafurteil werden Gesetze für das Leben im Land gegeben, was die unerschütterliche Treue zu den Verheißungen demonstriert.</w:t>
      </w:r>
    </w:p>
    <w:p w14:paraId="7596EC80"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w:t>
      </w:r>
    </w:p>
    <w:p w14:paraId="39FBE8A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וַעֲשִׂיתֶ֨ם אִשֶּׁ֤ה לַֽיהוָה֙ עֹלָ֣ה אוֹ־זֶ֔בַח לְפַלֵּא־נֶ֨דֶר֙ א֣וֹ בִנְדָבָ֔ה א֖וֹ בְּמֹעֲדֵיכֶ֑ם לַעֲשׂ֞וֹת רֵ֤יחַ נִיחֹ֨חַ֙ לַֽיהוָ֔ה מִן־הַבָּקָ֖ר א֥וֹ מִן־הַצֹּֽאן׃</w:t>
      </w:r>
    </w:p>
    <w:p w14:paraId="101A308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ihr dem Ewigen ein Feueropfer opfert, ein Aufsteigeopfer oder ein Schlachtopfer, um ein Gelübde zu erfüllen, oder eine freiwillige Gabe, oder an euren Festen, um dem Ewigen einen wohlgefälligen Geruch zu bereiten, vom Rind- oder vom Kleinvieh.</w:t>
      </w:r>
    </w:p>
    <w:p w14:paraId="57C58D27"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659740C4">
          <v:rect id="_x0000_i1500" style="width:0;height:1.5pt" o:hralign="center" o:hrstd="t" o:hr="t" fillcolor="#a0a0a0" stroked="f"/>
        </w:pict>
      </w:r>
    </w:p>
    <w:p w14:paraId="50C4FBA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Opferhandlung </w:t>
      </w:r>
      <w:r w:rsidRPr="00C22013">
        <w:rPr>
          <w:rFonts w:eastAsia="Times New Roman" w:cs="Times New Roman"/>
          <w:b/>
          <w:bCs/>
          <w:rtl/>
          <w:lang w:eastAsia="de-DE"/>
        </w:rPr>
        <w:t>וַעֲשִׂיתֶ֨ם אִשֶּׁ֤ה לַֽיהוָה֙</w:t>
      </w:r>
      <w:r w:rsidRPr="00C22013">
        <w:rPr>
          <w:rFonts w:eastAsia="Times New Roman" w:cs="Times New Roman"/>
          <w:rtl/>
          <w:lang w:eastAsia="de-DE"/>
        </w:rPr>
        <w:t xml:space="preserve"> </w:t>
      </w:r>
      <w:r w:rsidRPr="00C22013">
        <w:rPr>
          <w:rFonts w:eastAsia="Times New Roman" w:cs="Times New Roman"/>
          <w:lang w:eastAsia="de-DE"/>
        </w:rPr>
        <w:t xml:space="preserve">(und ihr macht ein Feueropfer für den Ewigen) mit </w:t>
      </w:r>
      <w:r w:rsidRPr="00C22013">
        <w:rPr>
          <w:rFonts w:eastAsia="Times New Roman" w:cs="Times New Roman"/>
          <w:b/>
          <w:bCs/>
          <w:rtl/>
          <w:lang w:eastAsia="de-DE"/>
        </w:rPr>
        <w:t>עֲשִׂיתֶם</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עשה</w:t>
      </w:r>
      <w:r w:rsidRPr="00C22013">
        <w:rPr>
          <w:rFonts w:eastAsia="Times New Roman" w:cs="Times New Roman"/>
          <w:rtl/>
          <w:lang w:eastAsia="de-DE"/>
        </w:rPr>
        <w:t xml:space="preserve"> </w:t>
      </w:r>
      <w:r w:rsidRPr="00C22013">
        <w:rPr>
          <w:rFonts w:eastAsia="Times New Roman" w:cs="Times New Roman"/>
          <w:lang w:eastAsia="de-DE"/>
        </w:rPr>
        <w:t xml:space="preserve">(machen/tun) und </w:t>
      </w:r>
      <w:r w:rsidRPr="00C22013">
        <w:rPr>
          <w:rFonts w:eastAsia="Times New Roman" w:cs="Times New Roman"/>
          <w:b/>
          <w:bCs/>
          <w:rtl/>
          <w:lang w:eastAsia="de-DE"/>
        </w:rPr>
        <w:t>אִשֶּׁה לַיהוָה</w:t>
      </w:r>
      <w:r w:rsidRPr="00C22013">
        <w:rPr>
          <w:rFonts w:eastAsia="Times New Roman" w:cs="Times New Roman"/>
          <w:rtl/>
          <w:lang w:eastAsia="de-DE"/>
        </w:rPr>
        <w:t xml:space="preserve"> </w:t>
      </w:r>
      <w:r w:rsidRPr="00C22013">
        <w:rPr>
          <w:rFonts w:eastAsia="Times New Roman" w:cs="Times New Roman"/>
          <w:lang w:eastAsia="de-DE"/>
        </w:rPr>
        <w:t>(Feueropfer für den Ewigen) leitet die Opferbestimmungen ein.</w:t>
      </w:r>
    </w:p>
    <w:p w14:paraId="2FF6A0B0" w14:textId="69C17918"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Opferarten </w:t>
      </w:r>
      <w:r w:rsidRPr="00C22013">
        <w:rPr>
          <w:rFonts w:eastAsia="Times New Roman" w:cs="Times New Roman"/>
          <w:b/>
          <w:bCs/>
          <w:rtl/>
          <w:lang w:eastAsia="de-DE"/>
        </w:rPr>
        <w:t>עֹלָ֣ה אוֹ־זֶ֔בַח</w:t>
      </w:r>
      <w:r w:rsidRPr="00C22013">
        <w:rPr>
          <w:rFonts w:eastAsia="Times New Roman" w:cs="Times New Roman"/>
          <w:rtl/>
          <w:lang w:eastAsia="de-DE"/>
        </w:rPr>
        <w:t xml:space="preserve"> </w:t>
      </w:r>
      <w:r w:rsidRPr="00C22013">
        <w:rPr>
          <w:rFonts w:eastAsia="Times New Roman" w:cs="Times New Roman"/>
          <w:lang w:eastAsia="de-DE"/>
        </w:rPr>
        <w:t>(</w:t>
      </w:r>
      <w:r w:rsidR="00FF7EC2">
        <w:rPr>
          <w:rFonts w:eastAsia="Times New Roman" w:cs="Times New Roman"/>
          <w:lang w:eastAsia="de-DE"/>
        </w:rPr>
        <w:t>Aufsteigeopfer</w:t>
      </w:r>
      <w:r w:rsidRPr="00C22013">
        <w:rPr>
          <w:rFonts w:eastAsia="Times New Roman" w:cs="Times New Roman"/>
          <w:lang w:eastAsia="de-DE"/>
        </w:rPr>
        <w:t xml:space="preserve"> oder Schlachtopfer) mit </w:t>
      </w:r>
      <w:r w:rsidRPr="00C22013">
        <w:rPr>
          <w:rFonts w:eastAsia="Times New Roman" w:cs="Times New Roman"/>
          <w:b/>
          <w:bCs/>
          <w:rtl/>
          <w:lang w:eastAsia="de-DE"/>
        </w:rPr>
        <w:t>עֹלָה</w:t>
      </w:r>
      <w:r w:rsidRPr="00C22013">
        <w:rPr>
          <w:rFonts w:eastAsia="Times New Roman" w:cs="Times New Roman"/>
          <w:rtl/>
          <w:lang w:eastAsia="de-DE"/>
        </w:rPr>
        <w:t xml:space="preserve"> </w:t>
      </w:r>
      <w:r w:rsidRPr="00C22013">
        <w:rPr>
          <w:rFonts w:eastAsia="Times New Roman" w:cs="Times New Roman"/>
          <w:lang w:eastAsia="de-DE"/>
        </w:rPr>
        <w:t>(</w:t>
      </w:r>
      <w:r w:rsidR="00FF7EC2">
        <w:rPr>
          <w:rFonts w:eastAsia="Times New Roman" w:cs="Times New Roman"/>
          <w:lang w:eastAsia="de-DE"/>
        </w:rPr>
        <w:t>Aufsteigeopfer</w:t>
      </w:r>
      <w:r w:rsidRPr="00C22013">
        <w:rPr>
          <w:rFonts w:eastAsia="Times New Roman" w:cs="Times New Roman"/>
          <w:lang w:eastAsia="de-DE"/>
        </w:rPr>
        <w:t xml:space="preserve">) von </w:t>
      </w:r>
      <w:r w:rsidRPr="00C22013">
        <w:rPr>
          <w:rFonts w:eastAsia="Times New Roman" w:cs="Times New Roman"/>
          <w:b/>
          <w:bCs/>
          <w:rtl/>
          <w:lang w:eastAsia="de-DE"/>
        </w:rPr>
        <w:t>עלה</w:t>
      </w:r>
      <w:r w:rsidRPr="00C22013">
        <w:rPr>
          <w:rFonts w:eastAsia="Times New Roman" w:cs="Times New Roman"/>
          <w:rtl/>
          <w:lang w:eastAsia="de-DE"/>
        </w:rPr>
        <w:t xml:space="preserve"> </w:t>
      </w:r>
      <w:r w:rsidRPr="00C22013">
        <w:rPr>
          <w:rFonts w:eastAsia="Times New Roman" w:cs="Times New Roman"/>
          <w:lang w:eastAsia="de-DE"/>
        </w:rPr>
        <w:t xml:space="preserve">(hinaufsteigen) und </w:t>
      </w:r>
      <w:r w:rsidRPr="00C22013">
        <w:rPr>
          <w:rFonts w:eastAsia="Times New Roman" w:cs="Times New Roman"/>
          <w:b/>
          <w:bCs/>
          <w:rtl/>
          <w:lang w:eastAsia="de-DE"/>
        </w:rPr>
        <w:t>זֶבַח</w:t>
      </w:r>
      <w:r w:rsidRPr="00C22013">
        <w:rPr>
          <w:rFonts w:eastAsia="Times New Roman" w:cs="Times New Roman"/>
          <w:rtl/>
          <w:lang w:eastAsia="de-DE"/>
        </w:rPr>
        <w:t xml:space="preserve"> </w:t>
      </w:r>
      <w:r w:rsidRPr="00C22013">
        <w:rPr>
          <w:rFonts w:eastAsia="Times New Roman" w:cs="Times New Roman"/>
          <w:lang w:eastAsia="de-DE"/>
        </w:rPr>
        <w:t>(Schlachtopfer) zeigen die Grundkategorien der Tieropfer.</w:t>
      </w:r>
    </w:p>
    <w:p w14:paraId="237F5F2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 xml:space="preserve">Die Anlässe </w:t>
      </w:r>
      <w:r w:rsidRPr="00C22013">
        <w:rPr>
          <w:rFonts w:eastAsia="Times New Roman" w:cs="Times New Roman"/>
          <w:b/>
          <w:bCs/>
          <w:rtl/>
          <w:lang w:eastAsia="de-DE"/>
        </w:rPr>
        <w:t>לְפַלֵּא־נֶ֨דֶר֙ א֣וֹ בִנְדָבָ֔ה א֖וֹ בְּמֹעֲדֵיכֶ֑ם</w:t>
      </w:r>
      <w:r w:rsidRPr="00C22013">
        <w:rPr>
          <w:rFonts w:eastAsia="Times New Roman" w:cs="Times New Roman"/>
          <w:rtl/>
          <w:lang w:eastAsia="de-DE"/>
        </w:rPr>
        <w:t xml:space="preserve"> </w:t>
      </w:r>
      <w:r w:rsidRPr="00C22013">
        <w:rPr>
          <w:rFonts w:eastAsia="Times New Roman" w:cs="Times New Roman"/>
          <w:lang w:eastAsia="de-DE"/>
        </w:rPr>
        <w:t xml:space="preserve">(um ein Gelübde zu erfüllen oder als freiwillige Gabe oder an euren Festen) mit </w:t>
      </w:r>
      <w:r w:rsidRPr="00C22013">
        <w:rPr>
          <w:rFonts w:eastAsia="Times New Roman" w:cs="Times New Roman"/>
          <w:b/>
          <w:bCs/>
          <w:rtl/>
          <w:lang w:eastAsia="de-DE"/>
        </w:rPr>
        <w:t>לְפַלֵּא־נֶדֶר</w:t>
      </w:r>
      <w:r w:rsidRPr="00C22013">
        <w:rPr>
          <w:rFonts w:eastAsia="Times New Roman" w:cs="Times New Roman"/>
          <w:rtl/>
          <w:lang w:eastAsia="de-DE"/>
        </w:rPr>
        <w:t xml:space="preserve"> </w:t>
      </w:r>
      <w:r w:rsidRPr="00C22013">
        <w:rPr>
          <w:rFonts w:eastAsia="Times New Roman" w:cs="Times New Roman"/>
          <w:lang w:eastAsia="de-DE"/>
        </w:rPr>
        <w:t xml:space="preserve">(um ein Gelübde zu erfüllen), </w:t>
      </w:r>
      <w:r w:rsidRPr="00C22013">
        <w:rPr>
          <w:rFonts w:eastAsia="Times New Roman" w:cs="Times New Roman"/>
          <w:b/>
          <w:bCs/>
          <w:rtl/>
          <w:lang w:eastAsia="de-DE"/>
        </w:rPr>
        <w:t>בִנְדָבָה</w:t>
      </w:r>
      <w:r w:rsidRPr="00C22013">
        <w:rPr>
          <w:rFonts w:eastAsia="Times New Roman" w:cs="Times New Roman"/>
          <w:rtl/>
          <w:lang w:eastAsia="de-DE"/>
        </w:rPr>
        <w:t xml:space="preserve"> </w:t>
      </w:r>
      <w:r w:rsidRPr="00C22013">
        <w:rPr>
          <w:rFonts w:eastAsia="Times New Roman" w:cs="Times New Roman"/>
          <w:lang w:eastAsia="de-DE"/>
        </w:rPr>
        <w:t xml:space="preserve">(als freiwillige Gabe) und </w:t>
      </w:r>
      <w:r w:rsidRPr="00C22013">
        <w:rPr>
          <w:rFonts w:eastAsia="Times New Roman" w:cs="Times New Roman"/>
          <w:b/>
          <w:bCs/>
          <w:rtl/>
          <w:lang w:eastAsia="de-DE"/>
        </w:rPr>
        <w:t>בְּמֹעֲדֵיכֶם</w:t>
      </w:r>
      <w:r w:rsidRPr="00C22013">
        <w:rPr>
          <w:rFonts w:eastAsia="Times New Roman" w:cs="Times New Roman"/>
          <w:rtl/>
          <w:lang w:eastAsia="de-DE"/>
        </w:rPr>
        <w:t xml:space="preserve"> </w:t>
      </w:r>
      <w:r w:rsidRPr="00C22013">
        <w:rPr>
          <w:rFonts w:eastAsia="Times New Roman" w:cs="Times New Roman"/>
          <w:lang w:eastAsia="de-DE"/>
        </w:rPr>
        <w:t>(an euren Festen) zeigen verschiedene Opferanlässe.</w:t>
      </w:r>
    </w:p>
    <w:p w14:paraId="6872EFA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Der Zweck </w:t>
      </w:r>
      <w:r w:rsidRPr="00C22013">
        <w:rPr>
          <w:rFonts w:eastAsia="Times New Roman" w:cs="Times New Roman"/>
          <w:b/>
          <w:bCs/>
          <w:rtl/>
          <w:lang w:eastAsia="de-DE"/>
        </w:rPr>
        <w:t>לַעֲשׂ֞וֹת רֵ֤יחַ נִיחֹ֨חַ֙ לַֽיהוָ֔ה</w:t>
      </w:r>
      <w:r w:rsidRPr="00C22013">
        <w:rPr>
          <w:rFonts w:eastAsia="Times New Roman" w:cs="Times New Roman"/>
          <w:rtl/>
          <w:lang w:eastAsia="de-DE"/>
        </w:rPr>
        <w:t xml:space="preserve"> </w:t>
      </w:r>
      <w:r w:rsidRPr="00C22013">
        <w:rPr>
          <w:rFonts w:eastAsia="Times New Roman" w:cs="Times New Roman"/>
          <w:lang w:eastAsia="de-DE"/>
        </w:rPr>
        <w:t xml:space="preserve">(um einen wohlgefälligen Geruch für den Ewigen zu machen) mit </w:t>
      </w:r>
      <w:r w:rsidRPr="00C22013">
        <w:rPr>
          <w:rFonts w:eastAsia="Times New Roman" w:cs="Times New Roman"/>
          <w:b/>
          <w:bCs/>
          <w:rtl/>
          <w:lang w:eastAsia="de-DE"/>
        </w:rPr>
        <w:t>רֵיחַ נִיחֹחַ</w:t>
      </w:r>
      <w:r w:rsidRPr="00C22013">
        <w:rPr>
          <w:rFonts w:eastAsia="Times New Roman" w:cs="Times New Roman"/>
          <w:rtl/>
          <w:lang w:eastAsia="de-DE"/>
        </w:rPr>
        <w:t xml:space="preserve"> </w:t>
      </w:r>
      <w:r w:rsidRPr="00C22013">
        <w:rPr>
          <w:rFonts w:eastAsia="Times New Roman" w:cs="Times New Roman"/>
          <w:lang w:eastAsia="de-DE"/>
        </w:rPr>
        <w:t>(wohlgefälliger Geruch) als klassische Opferformel zeigt die göttliche Zufriedenheit mit ordnungsgemäßen Opfern.</w:t>
      </w:r>
    </w:p>
    <w:p w14:paraId="1C60BD4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Tierarten </w:t>
      </w:r>
      <w:r w:rsidRPr="00C22013">
        <w:rPr>
          <w:rFonts w:eastAsia="Times New Roman" w:cs="Times New Roman"/>
          <w:b/>
          <w:bCs/>
          <w:rtl/>
          <w:lang w:eastAsia="de-DE"/>
        </w:rPr>
        <w:t>מִן־הַבָּקָ֖ר א֥וֹ מִן־הַצֹּֽאן</w:t>
      </w:r>
      <w:r w:rsidRPr="00C22013">
        <w:rPr>
          <w:rFonts w:eastAsia="Times New Roman" w:cs="Times New Roman"/>
          <w:rtl/>
          <w:lang w:eastAsia="de-DE"/>
        </w:rPr>
        <w:t xml:space="preserve"> </w:t>
      </w:r>
      <w:r w:rsidRPr="00C22013">
        <w:rPr>
          <w:rFonts w:eastAsia="Times New Roman" w:cs="Times New Roman"/>
          <w:lang w:eastAsia="de-DE"/>
        </w:rPr>
        <w:t>(vom Rindvieh oder vom Kleinvieh) zeigen die zugelassenen Opfertiere.</w:t>
      </w:r>
    </w:p>
    <w:p w14:paraId="46490316" w14:textId="336C6238"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ED3AE8">
        <w:t>übersetzt das hebräische „</w:t>
      </w:r>
      <w:r w:rsidR="00ED3AE8" w:rsidRPr="00ED3AE8">
        <w:rPr>
          <w:b/>
          <w:bCs/>
          <w:rtl/>
        </w:rPr>
        <w:t>אִשֶּׁה</w:t>
      </w:r>
      <w:r w:rsidR="00ED3AE8">
        <w:t>" (Feueropfer) mit „κάρπωμα" (Opfergabe/Darbringung), was weniger spezifisch auf das Feuerelement hinweist.</w:t>
      </w:r>
    </w:p>
    <w:p w14:paraId="7A083DB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Opferhandlung, Opferarten, verschiedene Anlässe, Zweckbestimmung und Tierarten.</w:t>
      </w:r>
    </w:p>
    <w:p w14:paraId="2935078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etabliert die Grundlage für die kommenden detaillierten Opferbestimmungen und zeigt die Vielfalt der Opferanlässe im zukünftigen Landleben.</w:t>
      </w:r>
    </w:p>
    <w:p w14:paraId="648B3623"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15,4</w:t>
      </w:r>
    </w:p>
    <w:p w14:paraId="4BA8C80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וְהִקְרִ֛יב הַמַּקְרִ֥יב קָרְבָּנֹ֖ו לַֽיהוָ֑ה מִנְחָה֙ סֹ֣לֶת עִשָּׂר֔וֹן בָּל֕וּל בִּרְבִעִ֥ית הַהִ֖ין שָֽׁמֶן׃</w:t>
      </w:r>
    </w:p>
    <w:p w14:paraId="250DF92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So soll der, welcher dem Ewigen seine Opfergabe darbringt, als Speisopfer darbringen ein Zehntel Epha Feinmehl, gemengt mit einem Viertel Hin Öl.</w:t>
      </w:r>
    </w:p>
    <w:p w14:paraId="241B18E4"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62977A40">
          <v:rect id="_x0000_i1501" style="width:0;height:1.5pt" o:hralign="center" o:hrstd="t" o:hr="t" fillcolor="#a0a0a0" stroked="f"/>
        </w:pict>
      </w:r>
    </w:p>
    <w:p w14:paraId="3E96BB9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Opferhandlung </w:t>
      </w:r>
      <w:r w:rsidRPr="00C22013">
        <w:rPr>
          <w:rFonts w:eastAsia="Times New Roman" w:cs="Times New Roman"/>
          <w:b/>
          <w:bCs/>
          <w:rtl/>
          <w:lang w:eastAsia="de-DE"/>
        </w:rPr>
        <w:t>וְהִקְרִ֛יב הַמַּקְרִ֥יב קָרְבָּנֹ֖ו לַֽיהוָ֑ה</w:t>
      </w:r>
      <w:r w:rsidRPr="00C22013">
        <w:rPr>
          <w:rFonts w:eastAsia="Times New Roman" w:cs="Times New Roman"/>
          <w:rtl/>
          <w:lang w:eastAsia="de-DE"/>
        </w:rPr>
        <w:t xml:space="preserve"> </w:t>
      </w:r>
      <w:r w:rsidRPr="00C22013">
        <w:rPr>
          <w:rFonts w:eastAsia="Times New Roman" w:cs="Times New Roman"/>
          <w:lang w:eastAsia="de-DE"/>
        </w:rPr>
        <w:t xml:space="preserve">(und der Darbringende soll seine Opfergabe dem Ewigen darbringen) mit </w:t>
      </w:r>
      <w:r w:rsidRPr="00C22013">
        <w:rPr>
          <w:rFonts w:eastAsia="Times New Roman" w:cs="Times New Roman"/>
          <w:b/>
          <w:bCs/>
          <w:rtl/>
          <w:lang w:eastAsia="de-DE"/>
        </w:rPr>
        <w:t>הִקְרִיב</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קרב</w:t>
      </w:r>
      <w:r w:rsidRPr="00C22013">
        <w:rPr>
          <w:rFonts w:eastAsia="Times New Roman" w:cs="Times New Roman"/>
          <w:rtl/>
          <w:lang w:eastAsia="de-DE"/>
        </w:rPr>
        <w:t xml:space="preserve"> </w:t>
      </w:r>
      <w:r w:rsidRPr="00C22013">
        <w:rPr>
          <w:rFonts w:eastAsia="Times New Roman" w:cs="Times New Roman"/>
          <w:lang w:eastAsia="de-DE"/>
        </w:rPr>
        <w:t xml:space="preserve">(nahe bringen) im Hiph'il-Perfekt 3. maskulin Singular mit Waw consecutivum, </w:t>
      </w:r>
      <w:r w:rsidRPr="00C22013">
        <w:rPr>
          <w:rFonts w:eastAsia="Times New Roman" w:cs="Times New Roman"/>
          <w:b/>
          <w:bCs/>
          <w:rtl/>
          <w:lang w:eastAsia="de-DE"/>
        </w:rPr>
        <w:t>הַמַּקְרִיב</w:t>
      </w:r>
      <w:r w:rsidRPr="00C22013">
        <w:rPr>
          <w:rFonts w:eastAsia="Times New Roman" w:cs="Times New Roman"/>
          <w:rtl/>
          <w:lang w:eastAsia="de-DE"/>
        </w:rPr>
        <w:t xml:space="preserve"> </w:t>
      </w:r>
      <w:r w:rsidRPr="00C22013">
        <w:rPr>
          <w:rFonts w:eastAsia="Times New Roman" w:cs="Times New Roman"/>
          <w:lang w:eastAsia="de-DE"/>
        </w:rPr>
        <w:t xml:space="preserve">(der Darbringende) als Hiph'il-Partizip und </w:t>
      </w:r>
      <w:r w:rsidRPr="00C22013">
        <w:rPr>
          <w:rFonts w:eastAsia="Times New Roman" w:cs="Times New Roman"/>
          <w:b/>
          <w:bCs/>
          <w:rtl/>
          <w:lang w:eastAsia="de-DE"/>
        </w:rPr>
        <w:t>קָרְבָּנוֹ</w:t>
      </w:r>
      <w:r w:rsidRPr="00C22013">
        <w:rPr>
          <w:rFonts w:eastAsia="Times New Roman" w:cs="Times New Roman"/>
          <w:rtl/>
          <w:lang w:eastAsia="de-DE"/>
        </w:rPr>
        <w:t xml:space="preserve"> </w:t>
      </w:r>
      <w:r w:rsidRPr="00C22013">
        <w:rPr>
          <w:rFonts w:eastAsia="Times New Roman" w:cs="Times New Roman"/>
          <w:lang w:eastAsia="de-DE"/>
        </w:rPr>
        <w:t>(seine Opfergabe) zeigt die persönliche Verantwortung des Opfernden.</w:t>
      </w:r>
    </w:p>
    <w:p w14:paraId="37A87F9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Das Speisopfer </w:t>
      </w:r>
      <w:r w:rsidRPr="00C22013">
        <w:rPr>
          <w:rFonts w:eastAsia="Times New Roman" w:cs="Times New Roman"/>
          <w:b/>
          <w:bCs/>
          <w:rtl/>
          <w:lang w:eastAsia="de-DE"/>
        </w:rPr>
        <w:t>מִנְחָה֙ סֹ֣לֶת עִשָּׂר֔וֹן בָּל֕וּל בִּרְבִעִ֥ית הַהִ֖ין שָֽׁמֶן</w:t>
      </w:r>
      <w:r w:rsidRPr="00C22013">
        <w:rPr>
          <w:rFonts w:eastAsia="Times New Roman" w:cs="Times New Roman"/>
          <w:rtl/>
          <w:lang w:eastAsia="de-DE"/>
        </w:rPr>
        <w:t xml:space="preserve"> </w:t>
      </w:r>
      <w:r w:rsidRPr="00C22013">
        <w:rPr>
          <w:rFonts w:eastAsia="Times New Roman" w:cs="Times New Roman"/>
          <w:lang w:eastAsia="de-DE"/>
        </w:rPr>
        <w:t xml:space="preserve">(Speisopfer: ein Zehntel Feinmehl, gemengt mit einem Viertel Hin Öl) mit </w:t>
      </w:r>
      <w:r w:rsidRPr="00C22013">
        <w:rPr>
          <w:rFonts w:eastAsia="Times New Roman" w:cs="Times New Roman"/>
          <w:b/>
          <w:bCs/>
          <w:rtl/>
          <w:lang w:eastAsia="de-DE"/>
        </w:rPr>
        <w:t>מִנְחָה</w:t>
      </w:r>
      <w:r w:rsidRPr="00C22013">
        <w:rPr>
          <w:rFonts w:eastAsia="Times New Roman" w:cs="Times New Roman"/>
          <w:rtl/>
          <w:lang w:eastAsia="de-DE"/>
        </w:rPr>
        <w:t xml:space="preserve"> </w:t>
      </w:r>
      <w:r w:rsidRPr="00C22013">
        <w:rPr>
          <w:rFonts w:eastAsia="Times New Roman" w:cs="Times New Roman"/>
          <w:lang w:eastAsia="de-DE"/>
        </w:rPr>
        <w:t xml:space="preserve">(Speisopfer), </w:t>
      </w:r>
      <w:r w:rsidRPr="00C22013">
        <w:rPr>
          <w:rFonts w:eastAsia="Times New Roman" w:cs="Times New Roman"/>
          <w:b/>
          <w:bCs/>
          <w:rtl/>
          <w:lang w:eastAsia="de-DE"/>
        </w:rPr>
        <w:t>סֹלֶת</w:t>
      </w:r>
      <w:r w:rsidRPr="00C22013">
        <w:rPr>
          <w:rFonts w:eastAsia="Times New Roman" w:cs="Times New Roman"/>
          <w:rtl/>
          <w:lang w:eastAsia="de-DE"/>
        </w:rPr>
        <w:t xml:space="preserve"> </w:t>
      </w:r>
      <w:r w:rsidRPr="00C22013">
        <w:rPr>
          <w:rFonts w:eastAsia="Times New Roman" w:cs="Times New Roman"/>
          <w:lang w:eastAsia="de-DE"/>
        </w:rPr>
        <w:t xml:space="preserve">(Feinmehl), </w:t>
      </w:r>
      <w:r w:rsidRPr="00C22013">
        <w:rPr>
          <w:rFonts w:eastAsia="Times New Roman" w:cs="Times New Roman"/>
          <w:b/>
          <w:bCs/>
          <w:rtl/>
          <w:lang w:eastAsia="de-DE"/>
        </w:rPr>
        <w:t>עִשָּׂרוֹן</w:t>
      </w:r>
      <w:r w:rsidRPr="00C22013">
        <w:rPr>
          <w:rFonts w:eastAsia="Times New Roman" w:cs="Times New Roman"/>
          <w:rtl/>
          <w:lang w:eastAsia="de-DE"/>
        </w:rPr>
        <w:t xml:space="preserve"> </w:t>
      </w:r>
      <w:r w:rsidRPr="00C22013">
        <w:rPr>
          <w:rFonts w:eastAsia="Times New Roman" w:cs="Times New Roman"/>
          <w:lang w:eastAsia="de-DE"/>
        </w:rPr>
        <w:t xml:space="preserve">(ein Zehntel Epha), </w:t>
      </w:r>
      <w:r w:rsidRPr="00C22013">
        <w:rPr>
          <w:rFonts w:eastAsia="Times New Roman" w:cs="Times New Roman"/>
          <w:b/>
          <w:bCs/>
          <w:rtl/>
          <w:lang w:eastAsia="de-DE"/>
        </w:rPr>
        <w:t>בָּלוּל</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בלל</w:t>
      </w:r>
      <w:r w:rsidRPr="00C22013">
        <w:rPr>
          <w:rFonts w:eastAsia="Times New Roman" w:cs="Times New Roman"/>
          <w:rtl/>
          <w:lang w:eastAsia="de-DE"/>
        </w:rPr>
        <w:t xml:space="preserve"> </w:t>
      </w:r>
      <w:r w:rsidRPr="00C22013">
        <w:rPr>
          <w:rFonts w:eastAsia="Times New Roman" w:cs="Times New Roman"/>
          <w:lang w:eastAsia="de-DE"/>
        </w:rPr>
        <w:t xml:space="preserve">(mischen) als Qal-Partizip und </w:t>
      </w:r>
      <w:r w:rsidRPr="00C22013">
        <w:rPr>
          <w:rFonts w:eastAsia="Times New Roman" w:cs="Times New Roman"/>
          <w:b/>
          <w:bCs/>
          <w:rtl/>
          <w:lang w:eastAsia="de-DE"/>
        </w:rPr>
        <w:t>רְבִעִית הַהִין שָׁמֶן</w:t>
      </w:r>
      <w:r w:rsidRPr="00C22013">
        <w:rPr>
          <w:rFonts w:eastAsia="Times New Roman" w:cs="Times New Roman"/>
          <w:rtl/>
          <w:lang w:eastAsia="de-DE"/>
        </w:rPr>
        <w:t xml:space="preserve"> </w:t>
      </w:r>
      <w:r w:rsidRPr="00C22013">
        <w:rPr>
          <w:rFonts w:eastAsia="Times New Roman" w:cs="Times New Roman"/>
          <w:lang w:eastAsia="de-DE"/>
        </w:rPr>
        <w:t>(ein Viertel Hin Öl) zeigt die präzisen Mengenangaben für das begleitende Speisopfer.</w:t>
      </w:r>
    </w:p>
    <w:p w14:paraId="563423A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הִקְרִיב</w:t>
      </w:r>
      <w:r w:rsidRPr="00C22013">
        <w:rPr>
          <w:rFonts w:eastAsia="Times New Roman" w:cs="Times New Roman"/>
          <w:rtl/>
          <w:lang w:eastAsia="de-DE"/>
        </w:rPr>
        <w:t xml:space="preserve"> </w:t>
      </w:r>
      <w:r w:rsidRPr="00C22013">
        <w:rPr>
          <w:rFonts w:eastAsia="Times New Roman" w:cs="Times New Roman"/>
          <w:lang w:eastAsia="de-DE"/>
        </w:rPr>
        <w:t xml:space="preserve">mit προσάγει (er bringt dar), </w:t>
      </w:r>
      <w:r w:rsidRPr="00C22013">
        <w:rPr>
          <w:rFonts w:eastAsia="Times New Roman" w:cs="Times New Roman"/>
          <w:b/>
          <w:bCs/>
          <w:rtl/>
          <w:lang w:eastAsia="de-DE"/>
        </w:rPr>
        <w:t>מִנְחָה</w:t>
      </w:r>
      <w:r w:rsidRPr="00C22013">
        <w:rPr>
          <w:rFonts w:eastAsia="Times New Roman" w:cs="Times New Roman"/>
          <w:rtl/>
          <w:lang w:eastAsia="de-DE"/>
        </w:rPr>
        <w:t xml:space="preserve"> </w:t>
      </w:r>
      <w:r w:rsidRPr="00C22013">
        <w:rPr>
          <w:rFonts w:eastAsia="Times New Roman" w:cs="Times New Roman"/>
          <w:lang w:eastAsia="de-DE"/>
        </w:rPr>
        <w:t xml:space="preserve">mit θυσίαν (Opfer), </w:t>
      </w:r>
      <w:r w:rsidRPr="00C22013">
        <w:rPr>
          <w:rFonts w:eastAsia="Times New Roman" w:cs="Times New Roman"/>
          <w:b/>
          <w:bCs/>
          <w:rtl/>
          <w:lang w:eastAsia="de-DE"/>
        </w:rPr>
        <w:t>סֹלֶת</w:t>
      </w:r>
      <w:r w:rsidRPr="00C22013">
        <w:rPr>
          <w:rFonts w:eastAsia="Times New Roman" w:cs="Times New Roman"/>
          <w:rtl/>
          <w:lang w:eastAsia="de-DE"/>
        </w:rPr>
        <w:t xml:space="preserve"> </w:t>
      </w:r>
      <w:r w:rsidRPr="00C22013">
        <w:rPr>
          <w:rFonts w:eastAsia="Times New Roman" w:cs="Times New Roman"/>
          <w:lang w:eastAsia="de-DE"/>
        </w:rPr>
        <w:t xml:space="preserve">mit σεμίδαλιν (Feinmehl), </w:t>
      </w:r>
      <w:r w:rsidRPr="00C22013">
        <w:rPr>
          <w:rFonts w:eastAsia="Times New Roman" w:cs="Times New Roman"/>
          <w:b/>
          <w:bCs/>
          <w:rtl/>
          <w:lang w:eastAsia="de-DE"/>
        </w:rPr>
        <w:t>עִשָּׂרוֹן</w:t>
      </w:r>
      <w:r w:rsidRPr="00C22013">
        <w:rPr>
          <w:rFonts w:eastAsia="Times New Roman" w:cs="Times New Roman"/>
          <w:rtl/>
          <w:lang w:eastAsia="de-DE"/>
        </w:rPr>
        <w:t xml:space="preserve"> </w:t>
      </w:r>
      <w:r w:rsidRPr="00C22013">
        <w:rPr>
          <w:rFonts w:eastAsia="Times New Roman" w:cs="Times New Roman"/>
          <w:lang w:eastAsia="de-DE"/>
        </w:rPr>
        <w:t xml:space="preserve">mit δέκατον (ein Zehntel) und </w:t>
      </w:r>
      <w:r w:rsidRPr="00C22013">
        <w:rPr>
          <w:rFonts w:eastAsia="Times New Roman" w:cs="Times New Roman"/>
          <w:b/>
          <w:bCs/>
          <w:rtl/>
          <w:lang w:eastAsia="de-DE"/>
        </w:rPr>
        <w:t>בָּלוּל</w:t>
      </w:r>
      <w:r w:rsidRPr="00C22013">
        <w:rPr>
          <w:rFonts w:eastAsia="Times New Roman" w:cs="Times New Roman"/>
          <w:rtl/>
          <w:lang w:eastAsia="de-DE"/>
        </w:rPr>
        <w:t xml:space="preserve"> </w:t>
      </w:r>
      <w:r w:rsidRPr="00C22013">
        <w:rPr>
          <w:rFonts w:eastAsia="Times New Roman" w:cs="Times New Roman"/>
          <w:lang w:eastAsia="de-DE"/>
        </w:rPr>
        <w:t>mit ἀναπεποιημένην (zubereitet).</w:t>
      </w:r>
    </w:p>
    <w:p w14:paraId="2949201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persönliche Opferverantwortung und präzise Mengenangaben für das begleitende Speisopfer.</w:t>
      </w:r>
    </w:p>
    <w:p w14:paraId="75615C2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beginnt die detaillierten Bestimmungen für die zu den Tieropfern gehörenden Speisopfer mit exakten Maßangaben.</w:t>
      </w:r>
    </w:p>
    <w:p w14:paraId="33188AA0"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lastRenderedPageBreak/>
        <w:t>Numeri 15,5</w:t>
      </w:r>
    </w:p>
    <w:p w14:paraId="4F8AE2C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וְיַ֤יִן לַנֶּ֨סֶךְ֙ רְבִיעִ֣ית הַהִ֔ין תַּעֲשֶׂ֥ה עַל־הָעֹלָ֖ה א֣וֹ לַזָּ֑בַח לַכֶּ֖בֶשׂ הָאֶחָֽד׃</w:t>
      </w:r>
    </w:p>
    <w:p w14:paraId="1E2AF78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Wein zum Trankopfer, ein Viertel Hin, sollst du bereiten zu dem Aufsteigeopfer oder zu dem Schlachtopfer, für ein Lamm.</w:t>
      </w:r>
    </w:p>
    <w:p w14:paraId="716622CC"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6839C82F">
          <v:rect id="_x0000_i1502" style="width:0;height:1.5pt" o:hralign="center" o:hrstd="t" o:hr="t" fillcolor="#a0a0a0" stroked="f"/>
        </w:pict>
      </w:r>
    </w:p>
    <w:p w14:paraId="7651CD8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Das Trankopfer </w:t>
      </w:r>
      <w:r w:rsidRPr="00C22013">
        <w:rPr>
          <w:rFonts w:eastAsia="Times New Roman" w:cs="Times New Roman"/>
          <w:b/>
          <w:bCs/>
          <w:rtl/>
          <w:lang w:eastAsia="de-DE"/>
        </w:rPr>
        <w:t>וְיַ֤יִן לַנֶּ֨סֶךְ֙ רְבִיעִ֣ית הַהִ֔ין</w:t>
      </w:r>
      <w:r w:rsidRPr="00C22013">
        <w:rPr>
          <w:rFonts w:eastAsia="Times New Roman" w:cs="Times New Roman"/>
          <w:rtl/>
          <w:lang w:eastAsia="de-DE"/>
        </w:rPr>
        <w:t xml:space="preserve"> </w:t>
      </w:r>
      <w:r w:rsidRPr="00C22013">
        <w:rPr>
          <w:rFonts w:eastAsia="Times New Roman" w:cs="Times New Roman"/>
          <w:lang w:eastAsia="de-DE"/>
        </w:rPr>
        <w:t xml:space="preserve">(und Wein zum Trankopfer, ein Viertel Hin) mit </w:t>
      </w:r>
      <w:r w:rsidRPr="00C22013">
        <w:rPr>
          <w:rFonts w:eastAsia="Times New Roman" w:cs="Times New Roman"/>
          <w:b/>
          <w:bCs/>
          <w:rtl/>
          <w:lang w:eastAsia="de-DE"/>
        </w:rPr>
        <w:t>יַיִן</w:t>
      </w:r>
      <w:r w:rsidRPr="00C22013">
        <w:rPr>
          <w:rFonts w:eastAsia="Times New Roman" w:cs="Times New Roman"/>
          <w:rtl/>
          <w:lang w:eastAsia="de-DE"/>
        </w:rPr>
        <w:t xml:space="preserve"> </w:t>
      </w:r>
      <w:r w:rsidRPr="00C22013">
        <w:rPr>
          <w:rFonts w:eastAsia="Times New Roman" w:cs="Times New Roman"/>
          <w:lang w:eastAsia="de-DE"/>
        </w:rPr>
        <w:t xml:space="preserve">(Wein), </w:t>
      </w:r>
      <w:r w:rsidRPr="00C22013">
        <w:rPr>
          <w:rFonts w:eastAsia="Times New Roman" w:cs="Times New Roman"/>
          <w:b/>
          <w:bCs/>
          <w:rtl/>
          <w:lang w:eastAsia="de-DE"/>
        </w:rPr>
        <w:t>לַנֶּסֶךְ</w:t>
      </w:r>
      <w:r w:rsidRPr="00C22013">
        <w:rPr>
          <w:rFonts w:eastAsia="Times New Roman" w:cs="Times New Roman"/>
          <w:rtl/>
          <w:lang w:eastAsia="de-DE"/>
        </w:rPr>
        <w:t xml:space="preserve"> </w:t>
      </w:r>
      <w:r w:rsidRPr="00C22013">
        <w:rPr>
          <w:rFonts w:eastAsia="Times New Roman" w:cs="Times New Roman"/>
          <w:lang w:eastAsia="de-DE"/>
        </w:rPr>
        <w:t xml:space="preserve">(zum Trankopfer) von </w:t>
      </w:r>
      <w:r w:rsidRPr="00C22013">
        <w:rPr>
          <w:rFonts w:eastAsia="Times New Roman" w:cs="Times New Roman"/>
          <w:b/>
          <w:bCs/>
          <w:rtl/>
          <w:lang w:eastAsia="de-DE"/>
        </w:rPr>
        <w:t>נסך</w:t>
      </w:r>
      <w:r w:rsidRPr="00C22013">
        <w:rPr>
          <w:rFonts w:eastAsia="Times New Roman" w:cs="Times New Roman"/>
          <w:rtl/>
          <w:lang w:eastAsia="de-DE"/>
        </w:rPr>
        <w:t xml:space="preserve"> </w:t>
      </w:r>
      <w:r w:rsidRPr="00C22013">
        <w:rPr>
          <w:rFonts w:eastAsia="Times New Roman" w:cs="Times New Roman"/>
          <w:lang w:eastAsia="de-DE"/>
        </w:rPr>
        <w:t xml:space="preserve">(ausgießen) und </w:t>
      </w:r>
      <w:r w:rsidRPr="00C22013">
        <w:rPr>
          <w:rFonts w:eastAsia="Times New Roman" w:cs="Times New Roman"/>
          <w:b/>
          <w:bCs/>
          <w:rtl/>
          <w:lang w:eastAsia="de-DE"/>
        </w:rPr>
        <w:t>רְבִעִית הַהִין</w:t>
      </w:r>
      <w:r w:rsidRPr="00C22013">
        <w:rPr>
          <w:rFonts w:eastAsia="Times New Roman" w:cs="Times New Roman"/>
          <w:rtl/>
          <w:lang w:eastAsia="de-DE"/>
        </w:rPr>
        <w:t xml:space="preserve"> </w:t>
      </w:r>
      <w:r w:rsidRPr="00C22013">
        <w:rPr>
          <w:rFonts w:eastAsia="Times New Roman" w:cs="Times New Roman"/>
          <w:lang w:eastAsia="de-DE"/>
        </w:rPr>
        <w:t>(ein Viertel Hin) zeigt die Weinspende als dritten Bestandteil neben Tier- und Speisopfer.</w:t>
      </w:r>
    </w:p>
    <w:p w14:paraId="3B461FE3" w14:textId="30FEA65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Anweisung </w:t>
      </w:r>
      <w:r w:rsidRPr="00C22013">
        <w:rPr>
          <w:rFonts w:eastAsia="Times New Roman" w:cs="Times New Roman"/>
          <w:b/>
          <w:bCs/>
          <w:rtl/>
          <w:lang w:eastAsia="de-DE"/>
        </w:rPr>
        <w:t>תַּעֲשֶׂ֥ה עַל־הָעֹלָ֖ה א֣וֹ לַזָּ֑בַח לַכֶּ֖בֶשׂ הָאֶחָֽד</w:t>
      </w:r>
      <w:r w:rsidRPr="00C22013">
        <w:rPr>
          <w:rFonts w:eastAsia="Times New Roman" w:cs="Times New Roman"/>
          <w:rtl/>
          <w:lang w:eastAsia="de-DE"/>
        </w:rPr>
        <w:t xml:space="preserve"> </w:t>
      </w:r>
      <w:r w:rsidRPr="00C22013">
        <w:rPr>
          <w:rFonts w:eastAsia="Times New Roman" w:cs="Times New Roman"/>
          <w:lang w:eastAsia="de-DE"/>
        </w:rPr>
        <w:t xml:space="preserve">(sollst du bereiten zu dem </w:t>
      </w:r>
      <w:r w:rsidR="00FF7EC2">
        <w:rPr>
          <w:rFonts w:eastAsia="Times New Roman" w:cs="Times New Roman"/>
          <w:lang w:eastAsia="de-DE"/>
        </w:rPr>
        <w:t>Aufsteigeopfer</w:t>
      </w:r>
      <w:r w:rsidRPr="00C22013">
        <w:rPr>
          <w:rFonts w:eastAsia="Times New Roman" w:cs="Times New Roman"/>
          <w:lang w:eastAsia="de-DE"/>
        </w:rPr>
        <w:t xml:space="preserve"> oder zu dem Schlachtopfer, für ein Lamm) mit </w:t>
      </w:r>
      <w:r w:rsidRPr="00C22013">
        <w:rPr>
          <w:rFonts w:eastAsia="Times New Roman" w:cs="Times New Roman"/>
          <w:b/>
          <w:bCs/>
          <w:rtl/>
          <w:lang w:eastAsia="de-DE"/>
        </w:rPr>
        <w:t>תַּעֲשֶׂה</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עשה</w:t>
      </w:r>
      <w:r w:rsidRPr="00C22013">
        <w:rPr>
          <w:rFonts w:eastAsia="Times New Roman" w:cs="Times New Roman"/>
          <w:rtl/>
          <w:lang w:eastAsia="de-DE"/>
        </w:rPr>
        <w:t xml:space="preserve"> </w:t>
      </w:r>
      <w:r w:rsidRPr="00C22013">
        <w:rPr>
          <w:rFonts w:eastAsia="Times New Roman" w:cs="Times New Roman"/>
          <w:lang w:eastAsia="de-DE"/>
        </w:rPr>
        <w:t xml:space="preserve">(machen/bereiten), </w:t>
      </w:r>
      <w:r w:rsidRPr="00C22013">
        <w:rPr>
          <w:rFonts w:eastAsia="Times New Roman" w:cs="Times New Roman"/>
          <w:b/>
          <w:bCs/>
          <w:rtl/>
          <w:lang w:eastAsia="de-DE"/>
        </w:rPr>
        <w:t>עַל־הָעֹלָה אוֹ לַזָּבַח</w:t>
      </w:r>
      <w:r w:rsidRPr="00C22013">
        <w:rPr>
          <w:rFonts w:eastAsia="Times New Roman" w:cs="Times New Roman"/>
          <w:rtl/>
          <w:lang w:eastAsia="de-DE"/>
        </w:rPr>
        <w:t xml:space="preserve"> </w:t>
      </w:r>
      <w:r w:rsidRPr="00C22013">
        <w:rPr>
          <w:rFonts w:eastAsia="Times New Roman" w:cs="Times New Roman"/>
          <w:lang w:eastAsia="de-DE"/>
        </w:rPr>
        <w:t xml:space="preserve">(zu dem </w:t>
      </w:r>
      <w:r w:rsidR="00FF7EC2">
        <w:rPr>
          <w:rFonts w:eastAsia="Times New Roman" w:cs="Times New Roman"/>
          <w:lang w:eastAsia="de-DE"/>
        </w:rPr>
        <w:t>Aufsteigeopfer</w:t>
      </w:r>
      <w:r w:rsidRPr="00C22013">
        <w:rPr>
          <w:rFonts w:eastAsia="Times New Roman" w:cs="Times New Roman"/>
          <w:lang w:eastAsia="de-DE"/>
        </w:rPr>
        <w:t xml:space="preserve"> oder zu dem Schlachtopfer) und </w:t>
      </w:r>
      <w:r w:rsidRPr="00C22013">
        <w:rPr>
          <w:rFonts w:eastAsia="Times New Roman" w:cs="Times New Roman"/>
          <w:b/>
          <w:bCs/>
          <w:rtl/>
          <w:lang w:eastAsia="de-DE"/>
        </w:rPr>
        <w:t>לַכֶּבֶשׂ הָאֶחָד</w:t>
      </w:r>
      <w:r w:rsidRPr="00C22013">
        <w:rPr>
          <w:rFonts w:eastAsia="Times New Roman" w:cs="Times New Roman"/>
          <w:rtl/>
          <w:lang w:eastAsia="de-DE"/>
        </w:rPr>
        <w:t xml:space="preserve"> </w:t>
      </w:r>
      <w:r w:rsidRPr="00C22013">
        <w:rPr>
          <w:rFonts w:eastAsia="Times New Roman" w:cs="Times New Roman"/>
          <w:lang w:eastAsia="de-DE"/>
        </w:rPr>
        <w:t>(für ein Lamm) zeigt die Anwendung auf die kleinste Opfertierart.</w:t>
      </w:r>
    </w:p>
    <w:p w14:paraId="0C4226B4" w14:textId="48D88D69"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ED3AE8">
        <w:t>fügt am Ende hinzu „κάρπωμα ὀσμὴν εὐωδίας κυρίῳ" (Opfergabe, wohlriechender Duft für den Herrn), während das Hebräische dies an dieser Stelle nicht wiederholt.</w:t>
      </w:r>
    </w:p>
    <w:p w14:paraId="60D375B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Trankopfer-Spezifikation mit Mengenangabe und Anwendung auf spezifische Opferarten und Tiergröße.</w:t>
      </w:r>
    </w:p>
    <w:p w14:paraId="2B57113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ergänzt das Speisopfer um das Trankopfer und zeigt die Mengen für die kleinste Opfertierart.</w:t>
      </w:r>
    </w:p>
    <w:p w14:paraId="463D60B9"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15,6</w:t>
      </w:r>
    </w:p>
    <w:p w14:paraId="3BB473F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א֤וֹ לָאַ֨יִל֙ תַּעֲשֶׂ֣ה מִנְחָ֔ה סֹ֖לֶת שְׁנֵ֣י עֶשְׂרֹנִ֑ים בְּלוּלָ֥ה בַשֶּׁ֖מֶן שְׁלִשִׁ֥ית הַהִֽין׃</w:t>
      </w:r>
    </w:p>
    <w:p w14:paraId="14D0E37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Oder für einen Widder sollst du als Speisopfer zwei Zehntel Feinmehl bereiten, gemengt mit einem Drittel Hin Öl.</w:t>
      </w:r>
    </w:p>
    <w:p w14:paraId="2CB3B3FC"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BC1923D">
          <v:rect id="_x0000_i1503" style="width:0;height:1.5pt" o:hralign="center" o:hrstd="t" o:hr="t" fillcolor="#a0a0a0" stroked="f"/>
        </w:pict>
      </w:r>
    </w:p>
    <w:p w14:paraId="050C9D4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größere Tierart </w:t>
      </w:r>
      <w:r w:rsidRPr="00C22013">
        <w:rPr>
          <w:rFonts w:eastAsia="Times New Roman" w:cs="Times New Roman"/>
          <w:b/>
          <w:bCs/>
          <w:rtl/>
          <w:lang w:eastAsia="de-DE"/>
        </w:rPr>
        <w:t>א֤וֹ לָאַ֨יִל֙</w:t>
      </w:r>
      <w:r w:rsidRPr="00C22013">
        <w:rPr>
          <w:rFonts w:eastAsia="Times New Roman" w:cs="Times New Roman"/>
          <w:rtl/>
          <w:lang w:eastAsia="de-DE"/>
        </w:rPr>
        <w:t xml:space="preserve"> </w:t>
      </w:r>
      <w:r w:rsidRPr="00C22013">
        <w:rPr>
          <w:rFonts w:eastAsia="Times New Roman" w:cs="Times New Roman"/>
          <w:lang w:eastAsia="de-DE"/>
        </w:rPr>
        <w:t xml:space="preserve">(oder für einen Widder) mit </w:t>
      </w:r>
      <w:r w:rsidRPr="00C22013">
        <w:rPr>
          <w:rFonts w:eastAsia="Times New Roman" w:cs="Times New Roman"/>
          <w:b/>
          <w:bCs/>
          <w:rtl/>
          <w:lang w:eastAsia="de-DE"/>
        </w:rPr>
        <w:t>אוֹ</w:t>
      </w:r>
      <w:r w:rsidRPr="00C22013">
        <w:rPr>
          <w:rFonts w:eastAsia="Times New Roman" w:cs="Times New Roman"/>
          <w:rtl/>
          <w:lang w:eastAsia="de-DE"/>
        </w:rPr>
        <w:t xml:space="preserve"> </w:t>
      </w:r>
      <w:r w:rsidRPr="00C22013">
        <w:rPr>
          <w:rFonts w:eastAsia="Times New Roman" w:cs="Times New Roman"/>
          <w:lang w:eastAsia="de-DE"/>
        </w:rPr>
        <w:t xml:space="preserve">(oder) als Alternative und </w:t>
      </w:r>
      <w:r w:rsidRPr="00C22013">
        <w:rPr>
          <w:rFonts w:eastAsia="Times New Roman" w:cs="Times New Roman"/>
          <w:b/>
          <w:bCs/>
          <w:rtl/>
          <w:lang w:eastAsia="de-DE"/>
        </w:rPr>
        <w:t>לָאַיִל</w:t>
      </w:r>
      <w:r w:rsidRPr="00C22013">
        <w:rPr>
          <w:rFonts w:eastAsia="Times New Roman" w:cs="Times New Roman"/>
          <w:rtl/>
          <w:lang w:eastAsia="de-DE"/>
        </w:rPr>
        <w:t xml:space="preserve"> </w:t>
      </w:r>
      <w:r w:rsidRPr="00C22013">
        <w:rPr>
          <w:rFonts w:eastAsia="Times New Roman" w:cs="Times New Roman"/>
          <w:lang w:eastAsia="de-DE"/>
        </w:rPr>
        <w:t>(für den Widder) zeigt die nächstgrößere Opfertierart.</w:t>
      </w:r>
    </w:p>
    <w:p w14:paraId="4FFA27E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erhöhten Mengen </w:t>
      </w:r>
      <w:r w:rsidRPr="00C22013">
        <w:rPr>
          <w:rFonts w:eastAsia="Times New Roman" w:cs="Times New Roman"/>
          <w:b/>
          <w:bCs/>
          <w:rtl/>
          <w:lang w:eastAsia="de-DE"/>
        </w:rPr>
        <w:t>תַּעֲשֶׂ֣ה מִנְחָ֔ה סֹ֖לֶת שְׁנֵ֣י עֶשְׂרֹנִ֑ים בְּלוּלָ֥ה בַשֶּׁ֖מֶן שְׁלִשִׁ֥ית הַהִֽין</w:t>
      </w:r>
      <w:r w:rsidRPr="00C22013">
        <w:rPr>
          <w:rFonts w:eastAsia="Times New Roman" w:cs="Times New Roman"/>
          <w:rtl/>
          <w:lang w:eastAsia="de-DE"/>
        </w:rPr>
        <w:t xml:space="preserve"> </w:t>
      </w:r>
      <w:r w:rsidRPr="00C22013">
        <w:rPr>
          <w:rFonts w:eastAsia="Times New Roman" w:cs="Times New Roman"/>
          <w:lang w:eastAsia="de-DE"/>
        </w:rPr>
        <w:t xml:space="preserve">(sollst du als Speisopfer machen: zwei Zehntel Feinmehl, gemengt mit einem Drittel Hin Öl) mit </w:t>
      </w:r>
      <w:r w:rsidRPr="00C22013">
        <w:rPr>
          <w:rFonts w:eastAsia="Times New Roman" w:cs="Times New Roman"/>
          <w:b/>
          <w:bCs/>
          <w:rtl/>
          <w:lang w:eastAsia="de-DE"/>
        </w:rPr>
        <w:t>שְׁנֵי עֶשְׂרֹנִים</w:t>
      </w:r>
      <w:r w:rsidRPr="00C22013">
        <w:rPr>
          <w:rFonts w:eastAsia="Times New Roman" w:cs="Times New Roman"/>
          <w:rtl/>
          <w:lang w:eastAsia="de-DE"/>
        </w:rPr>
        <w:t xml:space="preserve"> </w:t>
      </w:r>
      <w:r w:rsidRPr="00C22013">
        <w:rPr>
          <w:rFonts w:eastAsia="Times New Roman" w:cs="Times New Roman"/>
          <w:lang w:eastAsia="de-DE"/>
        </w:rPr>
        <w:t xml:space="preserve">(zwei Zehntel) - doppelt so viel wie beim Lamm - und </w:t>
      </w:r>
      <w:r w:rsidRPr="00C22013">
        <w:rPr>
          <w:rFonts w:eastAsia="Times New Roman" w:cs="Times New Roman"/>
          <w:b/>
          <w:bCs/>
          <w:rtl/>
          <w:lang w:eastAsia="de-DE"/>
        </w:rPr>
        <w:t>שְׁלִשִׁית הַהִין</w:t>
      </w:r>
      <w:r w:rsidRPr="00C22013">
        <w:rPr>
          <w:rFonts w:eastAsia="Times New Roman" w:cs="Times New Roman"/>
          <w:rtl/>
          <w:lang w:eastAsia="de-DE"/>
        </w:rPr>
        <w:t xml:space="preserve"> </w:t>
      </w:r>
      <w:r w:rsidRPr="00C22013">
        <w:rPr>
          <w:rFonts w:eastAsia="Times New Roman" w:cs="Times New Roman"/>
          <w:lang w:eastAsia="de-DE"/>
        </w:rPr>
        <w:t>(ein Drittel Hin) - mehr als das Viertel beim Lamm - zeigen die proportionale Steigerung entsprechend der Tiergröße.</w:t>
      </w:r>
    </w:p>
    <w:p w14:paraId="4ADA69F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אַיִל</w:t>
      </w:r>
      <w:r w:rsidRPr="00C22013">
        <w:rPr>
          <w:rFonts w:eastAsia="Times New Roman" w:cs="Times New Roman"/>
          <w:rtl/>
          <w:lang w:eastAsia="de-DE"/>
        </w:rPr>
        <w:t xml:space="preserve"> </w:t>
      </w:r>
      <w:r w:rsidRPr="00C22013">
        <w:rPr>
          <w:rFonts w:eastAsia="Times New Roman" w:cs="Times New Roman"/>
          <w:lang w:eastAsia="de-DE"/>
        </w:rPr>
        <w:t xml:space="preserve">mit κριόν (Widder), </w:t>
      </w:r>
      <w:r w:rsidRPr="00C22013">
        <w:rPr>
          <w:rFonts w:eastAsia="Times New Roman" w:cs="Times New Roman"/>
          <w:b/>
          <w:bCs/>
          <w:rtl/>
          <w:lang w:eastAsia="de-DE"/>
        </w:rPr>
        <w:t>שְׁנֵי עֶשְׂרֹנִים</w:t>
      </w:r>
      <w:r w:rsidRPr="00C22013">
        <w:rPr>
          <w:rFonts w:eastAsia="Times New Roman" w:cs="Times New Roman"/>
          <w:rtl/>
          <w:lang w:eastAsia="de-DE"/>
        </w:rPr>
        <w:t xml:space="preserve"> </w:t>
      </w:r>
      <w:r w:rsidRPr="00C22013">
        <w:rPr>
          <w:rFonts w:eastAsia="Times New Roman" w:cs="Times New Roman"/>
          <w:lang w:eastAsia="de-DE"/>
        </w:rPr>
        <w:t xml:space="preserve">mit δύο δέκατα (zwei Zehntel) und </w:t>
      </w:r>
      <w:r w:rsidRPr="00C22013">
        <w:rPr>
          <w:rFonts w:eastAsia="Times New Roman" w:cs="Times New Roman"/>
          <w:b/>
          <w:bCs/>
          <w:rtl/>
          <w:lang w:eastAsia="de-DE"/>
        </w:rPr>
        <w:t>שְׁלִשִׁית</w:t>
      </w:r>
      <w:r w:rsidRPr="00C22013">
        <w:rPr>
          <w:rFonts w:eastAsia="Times New Roman" w:cs="Times New Roman"/>
          <w:rtl/>
          <w:lang w:eastAsia="de-DE"/>
        </w:rPr>
        <w:t xml:space="preserve"> </w:t>
      </w:r>
      <w:r w:rsidRPr="00C22013">
        <w:rPr>
          <w:rFonts w:eastAsia="Times New Roman" w:cs="Times New Roman"/>
          <w:lang w:eastAsia="de-DE"/>
        </w:rPr>
        <w:t>mit τρίτον (ein Drittel).</w:t>
      </w:r>
    </w:p>
    <w:p w14:paraId="3821064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 Satzstruktur zeigt alternative Tiergröße und proportional erhöhte Opfermengen.</w:t>
      </w:r>
    </w:p>
    <w:p w14:paraId="65FA6C7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das Prinzip der proportionalen Steigerung der Begleitopfer entsprechend der Größe des Hauptopfertieres.</w:t>
      </w:r>
    </w:p>
    <w:p w14:paraId="5320048B"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15,7</w:t>
      </w:r>
    </w:p>
    <w:p w14:paraId="0E5B373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וְיַ֥יִן לַנֶּ֖סֶךְ שְׁלִשִׁ֣ית הַהִ֑ין תַּקְרִ֥יב רֵֽיחַ־נִיחֹ֖חַ לַיהוָֽה׃</w:t>
      </w:r>
    </w:p>
    <w:p w14:paraId="5C630AD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Wein zum Trankopfer, ein Drittel Hin, sollst du darbringen: ein wohlgefälliger Geruch dem Ewigen.</w:t>
      </w:r>
    </w:p>
    <w:p w14:paraId="5EA367E4"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1C13D580">
          <v:rect id="_x0000_i1504" style="width:0;height:1.5pt" o:hralign="center" o:hrstd="t" o:hr="t" fillcolor="#a0a0a0" stroked="f"/>
        </w:pict>
      </w:r>
    </w:p>
    <w:p w14:paraId="3DD57FD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Das erhöhte Trankopfer </w:t>
      </w:r>
      <w:r w:rsidRPr="00C22013">
        <w:rPr>
          <w:rFonts w:eastAsia="Times New Roman" w:cs="Times New Roman"/>
          <w:b/>
          <w:bCs/>
          <w:rtl/>
          <w:lang w:eastAsia="de-DE"/>
        </w:rPr>
        <w:t>וְיַ֥יִן לַנֶּ֖סֶךְ שְׁלִשִׁ֣ית הַהִ֑ין</w:t>
      </w:r>
      <w:r w:rsidRPr="00C22013">
        <w:rPr>
          <w:rFonts w:eastAsia="Times New Roman" w:cs="Times New Roman"/>
          <w:rtl/>
          <w:lang w:eastAsia="de-DE"/>
        </w:rPr>
        <w:t xml:space="preserve"> </w:t>
      </w:r>
      <w:r w:rsidRPr="00C22013">
        <w:rPr>
          <w:rFonts w:eastAsia="Times New Roman" w:cs="Times New Roman"/>
          <w:lang w:eastAsia="de-DE"/>
        </w:rPr>
        <w:t>(und Wein zum Trankopfer, ein Drittel Hin) zeigt die proportionale Steigerung auch beim Trankopfer entsprechend der Größe des Widders.</w:t>
      </w:r>
    </w:p>
    <w:p w14:paraId="4296A8D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Opferhandlung </w:t>
      </w:r>
      <w:r w:rsidRPr="00C22013">
        <w:rPr>
          <w:rFonts w:eastAsia="Times New Roman" w:cs="Times New Roman"/>
          <w:b/>
          <w:bCs/>
          <w:rtl/>
          <w:lang w:eastAsia="de-DE"/>
        </w:rPr>
        <w:t>תַּקְרִ֥יב רֵֽיחַ־נִיחֹ֖חַ לַיהוָֽה</w:t>
      </w:r>
      <w:r w:rsidRPr="00C22013">
        <w:rPr>
          <w:rFonts w:eastAsia="Times New Roman" w:cs="Times New Roman"/>
          <w:rtl/>
          <w:lang w:eastAsia="de-DE"/>
        </w:rPr>
        <w:t xml:space="preserve"> </w:t>
      </w:r>
      <w:r w:rsidRPr="00C22013">
        <w:rPr>
          <w:rFonts w:eastAsia="Times New Roman" w:cs="Times New Roman"/>
          <w:lang w:eastAsia="de-DE"/>
        </w:rPr>
        <w:t xml:space="preserve">(sollst du darbringen: ein wohlgefälliger Geruch dem Ewigen) mit </w:t>
      </w:r>
      <w:r w:rsidRPr="00C22013">
        <w:rPr>
          <w:rFonts w:eastAsia="Times New Roman" w:cs="Times New Roman"/>
          <w:b/>
          <w:bCs/>
          <w:rtl/>
          <w:lang w:eastAsia="de-DE"/>
        </w:rPr>
        <w:t>תַּקְרִיב</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קרב</w:t>
      </w:r>
      <w:r w:rsidRPr="00C22013">
        <w:rPr>
          <w:rFonts w:eastAsia="Times New Roman" w:cs="Times New Roman"/>
          <w:rtl/>
          <w:lang w:eastAsia="de-DE"/>
        </w:rPr>
        <w:t xml:space="preserve"> </w:t>
      </w:r>
      <w:r w:rsidRPr="00C22013">
        <w:rPr>
          <w:rFonts w:eastAsia="Times New Roman" w:cs="Times New Roman"/>
          <w:lang w:eastAsia="de-DE"/>
        </w:rPr>
        <w:t xml:space="preserve">(nahe bringen) im Hiph'il und </w:t>
      </w:r>
      <w:r w:rsidRPr="00C22013">
        <w:rPr>
          <w:rFonts w:eastAsia="Times New Roman" w:cs="Times New Roman"/>
          <w:b/>
          <w:bCs/>
          <w:rtl/>
          <w:lang w:eastAsia="de-DE"/>
        </w:rPr>
        <w:t>רֵיחַ־נִיחֹחַ לַיהוָה</w:t>
      </w:r>
      <w:r w:rsidRPr="00C22013">
        <w:rPr>
          <w:rFonts w:eastAsia="Times New Roman" w:cs="Times New Roman"/>
          <w:rtl/>
          <w:lang w:eastAsia="de-DE"/>
        </w:rPr>
        <w:t xml:space="preserve"> </w:t>
      </w:r>
      <w:r w:rsidRPr="00C22013">
        <w:rPr>
          <w:rFonts w:eastAsia="Times New Roman" w:cs="Times New Roman"/>
          <w:lang w:eastAsia="de-DE"/>
        </w:rPr>
        <w:t>(wohlgefälliger Geruch dem Ewigen) wiederholt die klassische Opferformel.</w:t>
      </w:r>
    </w:p>
    <w:p w14:paraId="28D8D18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תַּקְרִיב</w:t>
      </w:r>
      <w:r w:rsidRPr="00C22013">
        <w:rPr>
          <w:rFonts w:eastAsia="Times New Roman" w:cs="Times New Roman"/>
          <w:rtl/>
          <w:lang w:eastAsia="de-DE"/>
        </w:rPr>
        <w:t xml:space="preserve"> </w:t>
      </w:r>
      <w:r w:rsidRPr="00C22013">
        <w:rPr>
          <w:rFonts w:eastAsia="Times New Roman" w:cs="Times New Roman"/>
          <w:lang w:eastAsia="de-DE"/>
        </w:rPr>
        <w:t xml:space="preserve">mit προσοίσεις (du wirst darbringen) und </w:t>
      </w:r>
      <w:r w:rsidRPr="00C22013">
        <w:rPr>
          <w:rFonts w:eastAsia="Times New Roman" w:cs="Times New Roman"/>
          <w:b/>
          <w:bCs/>
          <w:rtl/>
          <w:lang w:eastAsia="de-DE"/>
        </w:rPr>
        <w:t>רֵיחַ־נִיחֹחַ</w:t>
      </w:r>
      <w:r w:rsidRPr="00C22013">
        <w:rPr>
          <w:rFonts w:eastAsia="Times New Roman" w:cs="Times New Roman"/>
          <w:rtl/>
          <w:lang w:eastAsia="de-DE"/>
        </w:rPr>
        <w:t xml:space="preserve"> </w:t>
      </w:r>
      <w:r w:rsidRPr="00C22013">
        <w:rPr>
          <w:rFonts w:eastAsia="Times New Roman" w:cs="Times New Roman"/>
          <w:lang w:eastAsia="de-DE"/>
        </w:rPr>
        <w:t>mit ὀσμὴ εὐωδίας (wohlriechender Duft).</w:t>
      </w:r>
    </w:p>
    <w:p w14:paraId="20EAADB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proportional gesteigertes Trankopfer und klassische Opferzweck-Formel.</w:t>
      </w:r>
    </w:p>
    <w:p w14:paraId="6617FE0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komplettiert die Opferbestimmungen für den Widder und betont den wohlgefälligen Charakter ordnungsgemäßer Opfer.</w:t>
      </w:r>
    </w:p>
    <w:p w14:paraId="41785E1B"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15,8</w:t>
      </w:r>
    </w:p>
    <w:p w14:paraId="41BF014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וְכִֽי־תַעֲשֶׂ֥ה בֶן־בָּקָ֖ר עֹלָ֣ה אוֹ־זָ֑בַח לְפַלֵּא־נֶ֥דֶר אֽוֹ־שְׁלָמִ֖ים לַֽיהוָֽה׃</w:t>
      </w:r>
    </w:p>
    <w:p w14:paraId="57A202D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wenn du ein junges Rind als Aufsteigeopfer oder als Schlachtopfer bereitest, um ein Gelübde zu erfüllen, oder als Friedensopfer für den Ewigen.</w:t>
      </w:r>
    </w:p>
    <w:p w14:paraId="7D532B4B"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FF250D6">
          <v:rect id="_x0000_i1505" style="width:0;height:1.5pt" o:hralign="center" o:hrstd="t" o:hr="t" fillcolor="#a0a0a0" stroked="f"/>
        </w:pict>
      </w:r>
    </w:p>
    <w:p w14:paraId="7AB0E9D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konditionelle Einleitung </w:t>
      </w:r>
      <w:r w:rsidRPr="00C22013">
        <w:rPr>
          <w:rFonts w:eastAsia="Times New Roman" w:cs="Times New Roman"/>
          <w:b/>
          <w:bCs/>
          <w:rtl/>
          <w:lang w:eastAsia="de-DE"/>
        </w:rPr>
        <w:t>וְכִֽי־תַעֲשֶׂ֥ה בֶן־בָּקָ֖ר</w:t>
      </w:r>
      <w:r w:rsidRPr="00C22013">
        <w:rPr>
          <w:rFonts w:eastAsia="Times New Roman" w:cs="Times New Roman"/>
          <w:rtl/>
          <w:lang w:eastAsia="de-DE"/>
        </w:rPr>
        <w:t xml:space="preserve"> </w:t>
      </w:r>
      <w:r w:rsidRPr="00C22013">
        <w:rPr>
          <w:rFonts w:eastAsia="Times New Roman" w:cs="Times New Roman"/>
          <w:lang w:eastAsia="de-DE"/>
        </w:rPr>
        <w:t xml:space="preserve">(und wenn du ein junges Rind machst) mit </w:t>
      </w:r>
      <w:r w:rsidRPr="00C22013">
        <w:rPr>
          <w:rFonts w:eastAsia="Times New Roman" w:cs="Times New Roman"/>
          <w:b/>
          <w:bCs/>
          <w:rtl/>
          <w:lang w:eastAsia="de-DE"/>
        </w:rPr>
        <w:t>וְכִי</w:t>
      </w:r>
      <w:r w:rsidRPr="00C22013">
        <w:rPr>
          <w:rFonts w:eastAsia="Times New Roman" w:cs="Times New Roman"/>
          <w:rtl/>
          <w:lang w:eastAsia="de-DE"/>
        </w:rPr>
        <w:t xml:space="preserve"> </w:t>
      </w:r>
      <w:r w:rsidRPr="00C22013">
        <w:rPr>
          <w:rFonts w:eastAsia="Times New Roman" w:cs="Times New Roman"/>
          <w:lang w:eastAsia="de-DE"/>
        </w:rPr>
        <w:t xml:space="preserve">(und wenn) und </w:t>
      </w:r>
      <w:r w:rsidRPr="00C22013">
        <w:rPr>
          <w:rFonts w:eastAsia="Times New Roman" w:cs="Times New Roman"/>
          <w:b/>
          <w:bCs/>
          <w:rtl/>
          <w:lang w:eastAsia="de-DE"/>
        </w:rPr>
        <w:t>בֶן־בָּקָר</w:t>
      </w:r>
      <w:r w:rsidRPr="00C22013">
        <w:rPr>
          <w:rFonts w:eastAsia="Times New Roman" w:cs="Times New Roman"/>
          <w:rtl/>
          <w:lang w:eastAsia="de-DE"/>
        </w:rPr>
        <w:t xml:space="preserve"> </w:t>
      </w:r>
      <w:r w:rsidRPr="00C22013">
        <w:rPr>
          <w:rFonts w:eastAsia="Times New Roman" w:cs="Times New Roman"/>
          <w:lang w:eastAsia="de-DE"/>
        </w:rPr>
        <w:t>(Sohn des Rindviehs = junges Rind) führt die größte Opfertierart ein.</w:t>
      </w:r>
    </w:p>
    <w:p w14:paraId="70088272" w14:textId="39F48478"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Opferarten </w:t>
      </w:r>
      <w:r w:rsidRPr="00C22013">
        <w:rPr>
          <w:rFonts w:eastAsia="Times New Roman" w:cs="Times New Roman"/>
          <w:b/>
          <w:bCs/>
          <w:rtl/>
          <w:lang w:eastAsia="de-DE"/>
        </w:rPr>
        <w:t>עֹלָ֣ה אוֹ־זָ֑בַח לְפַלֵּא־נֶ֥דֶר אֽוֹ־שְׁלָמִ֖ים לַֽיהוָֽה</w:t>
      </w:r>
      <w:r w:rsidRPr="00C22013">
        <w:rPr>
          <w:rFonts w:eastAsia="Times New Roman" w:cs="Times New Roman"/>
          <w:rtl/>
          <w:lang w:eastAsia="de-DE"/>
        </w:rPr>
        <w:t xml:space="preserve"> </w:t>
      </w:r>
      <w:r w:rsidRPr="00C22013">
        <w:rPr>
          <w:rFonts w:eastAsia="Times New Roman" w:cs="Times New Roman"/>
          <w:lang w:eastAsia="de-DE"/>
        </w:rPr>
        <w:t>(</w:t>
      </w:r>
      <w:r w:rsidR="00FF7EC2">
        <w:rPr>
          <w:rFonts w:eastAsia="Times New Roman" w:cs="Times New Roman"/>
          <w:lang w:eastAsia="de-DE"/>
        </w:rPr>
        <w:t>Aufsteigeopfer</w:t>
      </w:r>
      <w:r w:rsidRPr="00C22013">
        <w:rPr>
          <w:rFonts w:eastAsia="Times New Roman" w:cs="Times New Roman"/>
          <w:lang w:eastAsia="de-DE"/>
        </w:rPr>
        <w:t xml:space="preserve"> oder Schlachtopfer, um ein Gelübde zu erfüllen, oder Friedensopfer dem Ewigen) mit </w:t>
      </w:r>
      <w:r w:rsidRPr="00C22013">
        <w:rPr>
          <w:rFonts w:eastAsia="Times New Roman" w:cs="Times New Roman"/>
          <w:b/>
          <w:bCs/>
          <w:rtl/>
          <w:lang w:eastAsia="de-DE"/>
        </w:rPr>
        <w:t>עֹלָה</w:t>
      </w:r>
      <w:r w:rsidRPr="00C22013">
        <w:rPr>
          <w:rFonts w:eastAsia="Times New Roman" w:cs="Times New Roman"/>
          <w:rtl/>
          <w:lang w:eastAsia="de-DE"/>
        </w:rPr>
        <w:t xml:space="preserve"> </w:t>
      </w:r>
      <w:r w:rsidRPr="00C22013">
        <w:rPr>
          <w:rFonts w:eastAsia="Times New Roman" w:cs="Times New Roman"/>
          <w:lang w:eastAsia="de-DE"/>
        </w:rPr>
        <w:t>(</w:t>
      </w:r>
      <w:r w:rsidR="00FF7EC2">
        <w:rPr>
          <w:rFonts w:eastAsia="Times New Roman" w:cs="Times New Roman"/>
          <w:lang w:eastAsia="de-DE"/>
        </w:rPr>
        <w:t>Aufsteigeopfer</w:t>
      </w:r>
      <w:r w:rsidRPr="00C22013">
        <w:rPr>
          <w:rFonts w:eastAsia="Times New Roman" w:cs="Times New Roman"/>
          <w:lang w:eastAsia="de-DE"/>
        </w:rPr>
        <w:t xml:space="preserve">), </w:t>
      </w:r>
      <w:r w:rsidRPr="00C22013">
        <w:rPr>
          <w:rFonts w:eastAsia="Times New Roman" w:cs="Times New Roman"/>
          <w:b/>
          <w:bCs/>
          <w:rtl/>
          <w:lang w:eastAsia="de-DE"/>
        </w:rPr>
        <w:t>זֶבַח</w:t>
      </w:r>
      <w:r w:rsidRPr="00C22013">
        <w:rPr>
          <w:rFonts w:eastAsia="Times New Roman" w:cs="Times New Roman"/>
          <w:rtl/>
          <w:lang w:eastAsia="de-DE"/>
        </w:rPr>
        <w:t xml:space="preserve"> </w:t>
      </w:r>
      <w:r w:rsidRPr="00C22013">
        <w:rPr>
          <w:rFonts w:eastAsia="Times New Roman" w:cs="Times New Roman"/>
          <w:lang w:eastAsia="de-DE"/>
        </w:rPr>
        <w:t xml:space="preserve">(Schlachtopfer), </w:t>
      </w:r>
      <w:r w:rsidRPr="00C22013">
        <w:rPr>
          <w:rFonts w:eastAsia="Times New Roman" w:cs="Times New Roman"/>
          <w:b/>
          <w:bCs/>
          <w:rtl/>
          <w:lang w:eastAsia="de-DE"/>
        </w:rPr>
        <w:t>לְפַלֵּא־נֶדֶר</w:t>
      </w:r>
      <w:r w:rsidRPr="00C22013">
        <w:rPr>
          <w:rFonts w:eastAsia="Times New Roman" w:cs="Times New Roman"/>
          <w:rtl/>
          <w:lang w:eastAsia="de-DE"/>
        </w:rPr>
        <w:t xml:space="preserve"> </w:t>
      </w:r>
      <w:r w:rsidRPr="00C22013">
        <w:rPr>
          <w:rFonts w:eastAsia="Times New Roman" w:cs="Times New Roman"/>
          <w:lang w:eastAsia="de-DE"/>
        </w:rPr>
        <w:t xml:space="preserve">(um ein Gelübde zu erfüllen) und </w:t>
      </w:r>
      <w:r w:rsidRPr="00C22013">
        <w:rPr>
          <w:rFonts w:eastAsia="Times New Roman" w:cs="Times New Roman"/>
          <w:b/>
          <w:bCs/>
          <w:rtl/>
          <w:lang w:eastAsia="de-DE"/>
        </w:rPr>
        <w:t>שְׁלָמִים</w:t>
      </w:r>
      <w:r w:rsidRPr="00C22013">
        <w:rPr>
          <w:rFonts w:eastAsia="Times New Roman" w:cs="Times New Roman"/>
          <w:rtl/>
          <w:lang w:eastAsia="de-DE"/>
        </w:rPr>
        <w:t xml:space="preserve"> </w:t>
      </w:r>
      <w:r w:rsidRPr="00C22013">
        <w:rPr>
          <w:rFonts w:eastAsia="Times New Roman" w:cs="Times New Roman"/>
          <w:lang w:eastAsia="de-DE"/>
        </w:rPr>
        <w:t>(Friedensopfer) zeigt die verschiedenen Verwendungen für Rindopfer.</w:t>
      </w:r>
    </w:p>
    <w:p w14:paraId="1181546A" w14:textId="03111C0B"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Die LXX</w:t>
      </w:r>
      <w:r w:rsidRPr="00C22013">
        <w:rPr>
          <w:rFonts w:eastAsia="Times New Roman" w:cs="Times New Roman"/>
          <w:lang w:eastAsia="de-DE"/>
        </w:rPr>
        <w:t xml:space="preserve"> </w:t>
      </w:r>
      <w:r w:rsidR="00ED3AE8">
        <w:t>übersetzt das hebräische „</w:t>
      </w:r>
      <w:r w:rsidR="00ED3AE8" w:rsidRPr="00ED3AE8">
        <w:rPr>
          <w:b/>
          <w:bCs/>
          <w:rtl/>
        </w:rPr>
        <w:t>שְׁלָמִים</w:t>
      </w:r>
      <w:r w:rsidR="00ED3AE8">
        <w:t>" (Friedensopfer/Heilsopfer) mit „σωτήριον" (Heilsopfer), was denselben Sinn hat, aber etymologisch anders ist.</w:t>
      </w:r>
    </w:p>
    <w:p w14:paraId="299029D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konditionelle Einleitung für die größte Tierart und verschiedene Opferkategorien.</w:t>
      </w:r>
    </w:p>
    <w:p w14:paraId="1AA30EC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die Bestimmungen für Rindopfer ein und erwähnt spezifisch die Friedensopfer als zusätzliche Kategorie.</w:t>
      </w:r>
    </w:p>
    <w:p w14:paraId="7C7BB08D"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15,9</w:t>
      </w:r>
    </w:p>
    <w:p w14:paraId="3031088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וְהִקְרִ֤יב עַל־בֶּן־הַבָּקָר֙ מִנְחָ֔ה סֹ֖לֶת שְׁלֹשָׁ֣ה עֶשְׂרֹנִ֑ים בָּל֥וּל בַּשֶּׁ֖מֶן חֲצִ֥י הַהִֽין׃</w:t>
      </w:r>
    </w:p>
    <w:p w14:paraId="642043A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So soll man zu dem jungen Rind als Speisopfer darbringen drei Zehntel Feinmehl, gemengt mit einem halben Hin Öl.</w:t>
      </w:r>
    </w:p>
    <w:p w14:paraId="44D07B78"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4E140A91">
          <v:rect id="_x0000_i1506" style="width:0;height:1.5pt" o:hralign="center" o:hrstd="t" o:hr="t" fillcolor="#a0a0a0" stroked="f"/>
        </w:pict>
      </w:r>
    </w:p>
    <w:p w14:paraId="0D1D729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Opferhandlung </w:t>
      </w:r>
      <w:r w:rsidRPr="00C22013">
        <w:rPr>
          <w:rFonts w:eastAsia="Times New Roman" w:cs="Times New Roman"/>
          <w:b/>
          <w:bCs/>
          <w:rtl/>
          <w:lang w:eastAsia="de-DE"/>
        </w:rPr>
        <w:t>וְהִקְרִ֤יב עַל־בֶּן־הַבָּקָר֙ מִנְחָ֔ה</w:t>
      </w:r>
      <w:r w:rsidRPr="00C22013">
        <w:rPr>
          <w:rFonts w:eastAsia="Times New Roman" w:cs="Times New Roman"/>
          <w:rtl/>
          <w:lang w:eastAsia="de-DE"/>
        </w:rPr>
        <w:t xml:space="preserve"> </w:t>
      </w:r>
      <w:r w:rsidRPr="00C22013">
        <w:rPr>
          <w:rFonts w:eastAsia="Times New Roman" w:cs="Times New Roman"/>
          <w:lang w:eastAsia="de-DE"/>
        </w:rPr>
        <w:t xml:space="preserve">(und er soll zu dem jungen Rind als Speisopfer darbringen) mit </w:t>
      </w:r>
      <w:r w:rsidRPr="00C22013">
        <w:rPr>
          <w:rFonts w:eastAsia="Times New Roman" w:cs="Times New Roman"/>
          <w:b/>
          <w:bCs/>
          <w:rtl/>
          <w:lang w:eastAsia="de-DE"/>
        </w:rPr>
        <w:t>הִקְרִיב</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קרב</w:t>
      </w:r>
      <w:r w:rsidRPr="00C22013">
        <w:rPr>
          <w:rFonts w:eastAsia="Times New Roman" w:cs="Times New Roman"/>
          <w:rtl/>
          <w:lang w:eastAsia="de-DE"/>
        </w:rPr>
        <w:t xml:space="preserve"> </w:t>
      </w:r>
      <w:r w:rsidRPr="00C22013">
        <w:rPr>
          <w:rFonts w:eastAsia="Times New Roman" w:cs="Times New Roman"/>
          <w:lang w:eastAsia="de-DE"/>
        </w:rPr>
        <w:t xml:space="preserve">(nahe bringen) im Hiph'il-Perfekt 3. maskulin Singular mit Waw consecutivum und </w:t>
      </w:r>
      <w:r w:rsidRPr="00C22013">
        <w:rPr>
          <w:rFonts w:eastAsia="Times New Roman" w:cs="Times New Roman"/>
          <w:b/>
          <w:bCs/>
          <w:rtl/>
          <w:lang w:eastAsia="de-DE"/>
        </w:rPr>
        <w:t>עַל־בֶּן־הַבָּקָר</w:t>
      </w:r>
      <w:r w:rsidRPr="00C22013">
        <w:rPr>
          <w:rFonts w:eastAsia="Times New Roman" w:cs="Times New Roman"/>
          <w:rtl/>
          <w:lang w:eastAsia="de-DE"/>
        </w:rPr>
        <w:t xml:space="preserve"> </w:t>
      </w:r>
      <w:r w:rsidRPr="00C22013">
        <w:rPr>
          <w:rFonts w:eastAsia="Times New Roman" w:cs="Times New Roman"/>
          <w:lang w:eastAsia="de-DE"/>
        </w:rPr>
        <w:t>(zu dem jungen Rind) zeigt die Zuordnung des Speisopfers zum Hauptopfer.</w:t>
      </w:r>
    </w:p>
    <w:p w14:paraId="3DC246C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maximalen Mengen </w:t>
      </w:r>
      <w:r w:rsidRPr="00C22013">
        <w:rPr>
          <w:rFonts w:eastAsia="Times New Roman" w:cs="Times New Roman"/>
          <w:b/>
          <w:bCs/>
          <w:rtl/>
          <w:lang w:eastAsia="de-DE"/>
        </w:rPr>
        <w:t>סֹ֖לֶת שְׁלֹשָׁ֣ה עֶשְׂרֹנִ֑ים בָּל֥וּל בַּשֶּׁ֖מֶן חֲצִ֥י הַהִֽין</w:t>
      </w:r>
      <w:r w:rsidRPr="00C22013">
        <w:rPr>
          <w:rFonts w:eastAsia="Times New Roman" w:cs="Times New Roman"/>
          <w:rtl/>
          <w:lang w:eastAsia="de-DE"/>
        </w:rPr>
        <w:t xml:space="preserve"> </w:t>
      </w:r>
      <w:r w:rsidRPr="00C22013">
        <w:rPr>
          <w:rFonts w:eastAsia="Times New Roman" w:cs="Times New Roman"/>
          <w:lang w:eastAsia="de-DE"/>
        </w:rPr>
        <w:t xml:space="preserve">(drei Zehntel Feinmehl, gemengt mit einem halben Hin Öl) mit </w:t>
      </w:r>
      <w:r w:rsidRPr="00C22013">
        <w:rPr>
          <w:rFonts w:eastAsia="Times New Roman" w:cs="Times New Roman"/>
          <w:b/>
          <w:bCs/>
          <w:rtl/>
          <w:lang w:eastAsia="de-DE"/>
        </w:rPr>
        <w:t>שְׁלֹשָׁה עֶשְׂרֹנִים</w:t>
      </w:r>
      <w:r w:rsidRPr="00C22013">
        <w:rPr>
          <w:rFonts w:eastAsia="Times New Roman" w:cs="Times New Roman"/>
          <w:rtl/>
          <w:lang w:eastAsia="de-DE"/>
        </w:rPr>
        <w:t xml:space="preserve"> </w:t>
      </w:r>
      <w:r w:rsidRPr="00C22013">
        <w:rPr>
          <w:rFonts w:eastAsia="Times New Roman" w:cs="Times New Roman"/>
          <w:lang w:eastAsia="de-DE"/>
        </w:rPr>
        <w:t xml:space="preserve">(drei Zehntel) - dreifach so viel wie beim Lamm - und </w:t>
      </w:r>
      <w:r w:rsidRPr="00C22013">
        <w:rPr>
          <w:rFonts w:eastAsia="Times New Roman" w:cs="Times New Roman"/>
          <w:b/>
          <w:bCs/>
          <w:rtl/>
          <w:lang w:eastAsia="de-DE"/>
        </w:rPr>
        <w:t>חֲצִי הַהִין</w:t>
      </w:r>
      <w:r w:rsidRPr="00C22013">
        <w:rPr>
          <w:rFonts w:eastAsia="Times New Roman" w:cs="Times New Roman"/>
          <w:rtl/>
          <w:lang w:eastAsia="de-DE"/>
        </w:rPr>
        <w:t xml:space="preserve"> </w:t>
      </w:r>
      <w:r w:rsidRPr="00C22013">
        <w:rPr>
          <w:rFonts w:eastAsia="Times New Roman" w:cs="Times New Roman"/>
          <w:lang w:eastAsia="de-DE"/>
        </w:rPr>
        <w:t>(ein halbes Hin) - doppelt so viel wie beim Widder - zeigen die maximale Steigerung für das größte Opfertier.</w:t>
      </w:r>
    </w:p>
    <w:p w14:paraId="6122090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שְׁלֹשָׁה עֶשְׂרֹנִים</w:t>
      </w:r>
      <w:r w:rsidRPr="00C22013">
        <w:rPr>
          <w:rFonts w:eastAsia="Times New Roman" w:cs="Times New Roman"/>
          <w:rtl/>
          <w:lang w:eastAsia="de-DE"/>
        </w:rPr>
        <w:t xml:space="preserve"> </w:t>
      </w:r>
      <w:r w:rsidRPr="00C22013">
        <w:rPr>
          <w:rFonts w:eastAsia="Times New Roman" w:cs="Times New Roman"/>
          <w:lang w:eastAsia="de-DE"/>
        </w:rPr>
        <w:t xml:space="preserve">mit τρία δέκατα (drei Zehntel) und </w:t>
      </w:r>
      <w:r w:rsidRPr="00C22013">
        <w:rPr>
          <w:rFonts w:eastAsia="Times New Roman" w:cs="Times New Roman"/>
          <w:b/>
          <w:bCs/>
          <w:rtl/>
          <w:lang w:eastAsia="de-DE"/>
        </w:rPr>
        <w:t>חֲצִי הַהִין</w:t>
      </w:r>
      <w:r w:rsidRPr="00C22013">
        <w:rPr>
          <w:rFonts w:eastAsia="Times New Roman" w:cs="Times New Roman"/>
          <w:rtl/>
          <w:lang w:eastAsia="de-DE"/>
        </w:rPr>
        <w:t xml:space="preserve"> </w:t>
      </w:r>
      <w:r w:rsidRPr="00C22013">
        <w:rPr>
          <w:rFonts w:eastAsia="Times New Roman" w:cs="Times New Roman"/>
          <w:lang w:eastAsia="de-DE"/>
        </w:rPr>
        <w:t>mit ἥμισυ τοῦ ιν (die Hälfte des Hin).</w:t>
      </w:r>
    </w:p>
    <w:p w14:paraId="71C1F98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Speisopfer-Zuordnung und maximale Mengenangaben.</w:t>
      </w:r>
    </w:p>
    <w:p w14:paraId="398DDC8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höchsten Mengen für das begleitende Speisopfer entsprechend dem wertvollsten Opfertier.</w:t>
      </w:r>
    </w:p>
    <w:p w14:paraId="1250E01D"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15,10</w:t>
      </w:r>
    </w:p>
    <w:p w14:paraId="43B2623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וְיַ֛יִן תַּקְרִ֥יב לַנֶּ֖סֶךְ חֲצִ֣י הַהִ֑ין אִשֵּׁ֥ה רֵֽיחַ־נִיחֹ֖חַ לַיהוָֽה׃</w:t>
      </w:r>
    </w:p>
    <w:p w14:paraId="2D6DF1B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Wein sollst du zum Trankopfer darbringen, ein halbes Hin: ein Feueropfer wohlgefälligen Geruchs dem Ewigen.</w:t>
      </w:r>
    </w:p>
    <w:p w14:paraId="6DDE628D"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71E63AEF">
          <v:rect id="_x0000_i1507" style="width:0;height:1.5pt" o:hralign="center" o:hrstd="t" o:hr="t" fillcolor="#a0a0a0" stroked="f"/>
        </w:pict>
      </w:r>
    </w:p>
    <w:p w14:paraId="0777A51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Das maximale Trankopfer </w:t>
      </w:r>
      <w:r w:rsidRPr="00C22013">
        <w:rPr>
          <w:rFonts w:eastAsia="Times New Roman" w:cs="Times New Roman"/>
          <w:b/>
          <w:bCs/>
          <w:rtl/>
          <w:lang w:eastAsia="de-DE"/>
        </w:rPr>
        <w:t>וְיַ֛יִן תַּקְרִ֥יב לַנֶּ֖סֶךְ חֲצִ֣י הַהִ֑ין</w:t>
      </w:r>
      <w:r w:rsidRPr="00C22013">
        <w:rPr>
          <w:rFonts w:eastAsia="Times New Roman" w:cs="Times New Roman"/>
          <w:rtl/>
          <w:lang w:eastAsia="de-DE"/>
        </w:rPr>
        <w:t xml:space="preserve"> </w:t>
      </w:r>
      <w:r w:rsidRPr="00C22013">
        <w:rPr>
          <w:rFonts w:eastAsia="Times New Roman" w:cs="Times New Roman"/>
          <w:lang w:eastAsia="de-DE"/>
        </w:rPr>
        <w:t>(und Wein sollst du zum Trankopfer darbringen, ein halbes Hin) zeigt auch beim Trankopfer die maximale Menge entsprechend dem jungen Rind.</w:t>
      </w:r>
    </w:p>
    <w:p w14:paraId="14057CE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 xml:space="preserve">Die Gesamtcharakterisierung </w:t>
      </w:r>
      <w:r w:rsidRPr="00C22013">
        <w:rPr>
          <w:rFonts w:eastAsia="Times New Roman" w:cs="Times New Roman"/>
          <w:b/>
          <w:bCs/>
          <w:rtl/>
          <w:lang w:eastAsia="de-DE"/>
        </w:rPr>
        <w:t>אִשֵּׁ֥ה רֵֽיחַ־נִיחֹ֖חַ לַיהוָֽה</w:t>
      </w:r>
      <w:r w:rsidRPr="00C22013">
        <w:rPr>
          <w:rFonts w:eastAsia="Times New Roman" w:cs="Times New Roman"/>
          <w:rtl/>
          <w:lang w:eastAsia="de-DE"/>
        </w:rPr>
        <w:t xml:space="preserve"> </w:t>
      </w:r>
      <w:r w:rsidRPr="00C22013">
        <w:rPr>
          <w:rFonts w:eastAsia="Times New Roman" w:cs="Times New Roman"/>
          <w:lang w:eastAsia="de-DE"/>
        </w:rPr>
        <w:t xml:space="preserve">(ein Feueropfer wohlgefälligen Geruchs dem Ewigen) mit </w:t>
      </w:r>
      <w:r w:rsidRPr="00C22013">
        <w:rPr>
          <w:rFonts w:eastAsia="Times New Roman" w:cs="Times New Roman"/>
          <w:b/>
          <w:bCs/>
          <w:rtl/>
          <w:lang w:eastAsia="de-DE"/>
        </w:rPr>
        <w:t>אִשֶּׁה</w:t>
      </w:r>
      <w:r w:rsidRPr="00C22013">
        <w:rPr>
          <w:rFonts w:eastAsia="Times New Roman" w:cs="Times New Roman"/>
          <w:rtl/>
          <w:lang w:eastAsia="de-DE"/>
        </w:rPr>
        <w:t xml:space="preserve"> </w:t>
      </w:r>
      <w:r w:rsidRPr="00C22013">
        <w:rPr>
          <w:rFonts w:eastAsia="Times New Roman" w:cs="Times New Roman"/>
          <w:lang w:eastAsia="de-DE"/>
        </w:rPr>
        <w:t xml:space="preserve">(Feueropfer) und </w:t>
      </w:r>
      <w:r w:rsidRPr="00C22013">
        <w:rPr>
          <w:rFonts w:eastAsia="Times New Roman" w:cs="Times New Roman"/>
          <w:b/>
          <w:bCs/>
          <w:rtl/>
          <w:lang w:eastAsia="de-DE"/>
        </w:rPr>
        <w:t>רֵיחַ־נִיחֹחַ</w:t>
      </w:r>
      <w:r w:rsidRPr="00C22013">
        <w:rPr>
          <w:rFonts w:eastAsia="Times New Roman" w:cs="Times New Roman"/>
          <w:rtl/>
          <w:lang w:eastAsia="de-DE"/>
        </w:rPr>
        <w:t xml:space="preserve"> </w:t>
      </w:r>
      <w:r w:rsidRPr="00C22013">
        <w:rPr>
          <w:rFonts w:eastAsia="Times New Roman" w:cs="Times New Roman"/>
          <w:lang w:eastAsia="de-DE"/>
        </w:rPr>
        <w:t>(wohlgefälliger Geruch) charakterisiert das komplette Opfer aus Haupttier, Speisopfer und Trankopfer als Einheit.</w:t>
      </w:r>
    </w:p>
    <w:p w14:paraId="3194CAE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אִשֶּׁה</w:t>
      </w:r>
      <w:r w:rsidRPr="00C22013">
        <w:rPr>
          <w:rFonts w:eastAsia="Times New Roman" w:cs="Times New Roman"/>
          <w:rtl/>
          <w:lang w:eastAsia="de-DE"/>
        </w:rPr>
        <w:t xml:space="preserve"> </w:t>
      </w:r>
      <w:r w:rsidRPr="00C22013">
        <w:rPr>
          <w:rFonts w:eastAsia="Times New Roman" w:cs="Times New Roman"/>
          <w:lang w:eastAsia="de-DE"/>
        </w:rPr>
        <w:t xml:space="preserve">mit κάρπωμα (Opfergabe) und </w:t>
      </w:r>
      <w:r w:rsidRPr="00C22013">
        <w:rPr>
          <w:rFonts w:eastAsia="Times New Roman" w:cs="Times New Roman"/>
          <w:b/>
          <w:bCs/>
          <w:rtl/>
          <w:lang w:eastAsia="de-DE"/>
        </w:rPr>
        <w:t>רֵיחַ־נִיחֹחַ</w:t>
      </w:r>
      <w:r w:rsidRPr="00C22013">
        <w:rPr>
          <w:rFonts w:eastAsia="Times New Roman" w:cs="Times New Roman"/>
          <w:rtl/>
          <w:lang w:eastAsia="de-DE"/>
        </w:rPr>
        <w:t xml:space="preserve"> </w:t>
      </w:r>
      <w:r w:rsidRPr="00C22013">
        <w:rPr>
          <w:rFonts w:eastAsia="Times New Roman" w:cs="Times New Roman"/>
          <w:lang w:eastAsia="de-DE"/>
        </w:rPr>
        <w:t>mit ὀσμὴ εὐωδίας (wohlriechender Duft).</w:t>
      </w:r>
    </w:p>
    <w:p w14:paraId="34391A3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maximales Trankopfer und Gesamtcharakterisierung des kompletten Opfers.</w:t>
      </w:r>
    </w:p>
    <w:p w14:paraId="0DAEC9EE" w14:textId="42477F65" w:rsid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komplettiert die Bestimmungen für Rindopfer und betont den Gesamtcharakter als wohlgefälliges Feueropfer.</w:t>
      </w:r>
    </w:p>
    <w:p w14:paraId="086CBB17" w14:textId="77777777" w:rsidR="00940129" w:rsidRP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xkurs: Opfermengen – Proportionale Steigerung</w:t>
      </w:r>
    </w:p>
    <w:p w14:paraId="4E520ACA" w14:textId="77777777" w:rsidR="00940129" w:rsidRP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Das Prinzip:</w:t>
      </w:r>
    </w:p>
    <w:p w14:paraId="3C74D262" w14:textId="77777777" w:rsidR="00940129" w:rsidRP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xml:space="preserve">Je </w:t>
      </w:r>
      <w:r w:rsidRPr="00940129">
        <w:rPr>
          <w:rFonts w:eastAsia="Times New Roman" w:cs="Times New Roman"/>
          <w:b/>
          <w:bCs/>
          <w:lang w:eastAsia="de-DE"/>
        </w:rPr>
        <w:t>größer</w:t>
      </w:r>
      <w:r w:rsidRPr="00940129">
        <w:rPr>
          <w:rFonts w:eastAsia="Times New Roman" w:cs="Times New Roman"/>
          <w:lang w:eastAsia="de-DE"/>
        </w:rPr>
        <w:t xml:space="preserve"> das Opfertier, desto </w:t>
      </w:r>
      <w:r w:rsidRPr="00940129">
        <w:rPr>
          <w:rFonts w:eastAsia="Times New Roman" w:cs="Times New Roman"/>
          <w:b/>
          <w:bCs/>
          <w:lang w:eastAsia="de-DE"/>
        </w:rPr>
        <w:t>mehr</w:t>
      </w:r>
      <w:r w:rsidRPr="00940129">
        <w:rPr>
          <w:rFonts w:eastAsia="Times New Roman" w:cs="Times New Roman"/>
          <w:lang w:eastAsia="de-DE"/>
        </w:rPr>
        <w:t xml:space="preserve"> Speisopfer (</w:t>
      </w:r>
      <w:r w:rsidRPr="00940129">
        <w:rPr>
          <w:rFonts w:eastAsia="Times New Roman" w:cs="Times New Roman"/>
          <w:rtl/>
          <w:lang w:eastAsia="de-DE"/>
        </w:rPr>
        <w:t>מִנְחָה</w:t>
      </w:r>
      <w:r w:rsidRPr="00940129">
        <w:rPr>
          <w:rFonts w:eastAsia="Times New Roman" w:cs="Times New Roman"/>
          <w:lang w:eastAsia="de-DE"/>
        </w:rPr>
        <w:t>) und Trankopfer (</w:t>
      </w:r>
      <w:r w:rsidRPr="00940129">
        <w:rPr>
          <w:rFonts w:eastAsia="Times New Roman" w:cs="Times New Roman"/>
          <w:rtl/>
          <w:lang w:eastAsia="de-DE"/>
        </w:rPr>
        <w:t>נֶסֶךְ</w:t>
      </w:r>
      <w:r w:rsidRPr="00940129">
        <w:rPr>
          <w:rFonts w:eastAsia="Times New Roman" w:cs="Times New Roman"/>
          <w:lang w:eastAsia="de-DE"/>
        </w:rPr>
        <w:t>).</w:t>
      </w:r>
    </w:p>
    <w:p w14:paraId="68B7BBC3" w14:textId="32EDAAE6" w:rsidR="00940129" w:rsidRDefault="00940129" w:rsidP="00940129">
      <w:pPr>
        <w:spacing w:before="100" w:beforeAutospacing="1" w:after="100" w:afterAutospacing="1" w:line="240" w:lineRule="auto"/>
        <w:rPr>
          <w:rFonts w:eastAsia="Times New Roman" w:cs="Times New Roman"/>
          <w:b/>
          <w:bCs/>
          <w:lang w:eastAsia="de-DE"/>
        </w:rPr>
      </w:pPr>
      <w:r w:rsidRPr="00940129">
        <w:rPr>
          <w:rFonts w:eastAsia="Times New Roman" w:cs="Times New Roman"/>
          <w:b/>
          <w:bCs/>
          <w:lang w:eastAsia="de-DE"/>
        </w:rPr>
        <w:t>Tabelle der Mengen:</w:t>
      </w:r>
    </w:p>
    <w:tbl>
      <w:tblPr>
        <w:tblStyle w:val="Tabellenraster"/>
        <w:tblW w:w="4994" w:type="pct"/>
        <w:tblLook w:val="04A0" w:firstRow="1" w:lastRow="0" w:firstColumn="1" w:lastColumn="0" w:noHBand="0" w:noVBand="1"/>
      </w:tblPr>
      <w:tblGrid>
        <w:gridCol w:w="1189"/>
        <w:gridCol w:w="2112"/>
        <w:gridCol w:w="2253"/>
        <w:gridCol w:w="2677"/>
        <w:gridCol w:w="820"/>
      </w:tblGrid>
      <w:tr w:rsidR="00940129" w14:paraId="4FC8BE80" w14:textId="77777777" w:rsidTr="00982B39">
        <w:tc>
          <w:tcPr>
            <w:tcW w:w="624" w:type="pct"/>
            <w:vAlign w:val="center"/>
          </w:tcPr>
          <w:p w14:paraId="1F50CCC0" w14:textId="766F3698" w:rsidR="00940129" w:rsidRPr="00982B39" w:rsidRDefault="00940129" w:rsidP="00940129">
            <w:pPr>
              <w:rPr>
                <w:b/>
                <w:bCs/>
              </w:rPr>
            </w:pPr>
            <w:r w:rsidRPr="00982B39">
              <w:rPr>
                <w:b/>
                <w:bCs/>
              </w:rPr>
              <w:t>Opfertier</w:t>
            </w:r>
          </w:p>
        </w:tc>
        <w:tc>
          <w:tcPr>
            <w:tcW w:w="1175" w:type="pct"/>
            <w:vAlign w:val="center"/>
          </w:tcPr>
          <w:p w14:paraId="773898B2" w14:textId="77777777" w:rsidR="00982B39" w:rsidRPr="00982B39" w:rsidRDefault="00940129" w:rsidP="00982B39">
            <w:pPr>
              <w:pStyle w:val="KeinLeerraum"/>
              <w:rPr>
                <w:b/>
                <w:bCs/>
                <w:lang w:eastAsia="de-DE"/>
              </w:rPr>
            </w:pPr>
            <w:r w:rsidRPr="00982B39">
              <w:rPr>
                <w:b/>
                <w:bCs/>
                <w:lang w:eastAsia="de-DE"/>
              </w:rPr>
              <w:t xml:space="preserve">Speisopfer </w:t>
            </w:r>
          </w:p>
          <w:p w14:paraId="79CB9320" w14:textId="4804B24A" w:rsidR="00940129" w:rsidRPr="00982B39" w:rsidRDefault="00940129" w:rsidP="00982B39">
            <w:pPr>
              <w:pStyle w:val="KeinLeerraum"/>
              <w:rPr>
                <w:b/>
                <w:bCs/>
                <w:lang w:eastAsia="de-DE"/>
              </w:rPr>
            </w:pPr>
            <w:r w:rsidRPr="00982B39">
              <w:rPr>
                <w:b/>
                <w:bCs/>
                <w:lang w:eastAsia="de-DE"/>
              </w:rPr>
              <w:t>(</w:t>
            </w:r>
            <w:r w:rsidRPr="00982B39">
              <w:rPr>
                <w:b/>
                <w:bCs/>
                <w:rtl/>
                <w:lang w:eastAsia="de-DE"/>
              </w:rPr>
              <w:t>סֹלֶת</w:t>
            </w:r>
            <w:r w:rsidRPr="00982B39">
              <w:rPr>
                <w:b/>
                <w:bCs/>
                <w:lang w:eastAsia="de-DE"/>
              </w:rPr>
              <w:t xml:space="preserve"> = Feinmehl)</w:t>
            </w:r>
          </w:p>
        </w:tc>
        <w:tc>
          <w:tcPr>
            <w:tcW w:w="1253" w:type="pct"/>
            <w:vAlign w:val="center"/>
          </w:tcPr>
          <w:p w14:paraId="11D8275E" w14:textId="2A2322FB"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Öl (</w:t>
            </w:r>
            <w:r w:rsidRPr="00940129">
              <w:rPr>
                <w:rFonts w:eastAsia="Times New Roman" w:cs="Times New Roman"/>
                <w:b/>
                <w:bCs/>
                <w:rtl/>
                <w:lang w:eastAsia="de-DE"/>
              </w:rPr>
              <w:t>שֶׁמֶן</w:t>
            </w:r>
            <w:r w:rsidRPr="00940129">
              <w:rPr>
                <w:rFonts w:eastAsia="Times New Roman" w:cs="Times New Roman"/>
                <w:b/>
                <w:bCs/>
                <w:lang w:eastAsia="de-DE"/>
              </w:rPr>
              <w:t>)</w:t>
            </w:r>
          </w:p>
        </w:tc>
        <w:tc>
          <w:tcPr>
            <w:tcW w:w="1487" w:type="pct"/>
            <w:vAlign w:val="center"/>
          </w:tcPr>
          <w:p w14:paraId="2C6AF4A0" w14:textId="2101C5DC"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Trankopfer (</w:t>
            </w:r>
            <w:r w:rsidRPr="00940129">
              <w:rPr>
                <w:rFonts w:eastAsia="Times New Roman" w:cs="Times New Roman"/>
                <w:b/>
                <w:bCs/>
                <w:rtl/>
                <w:lang w:eastAsia="de-DE"/>
              </w:rPr>
              <w:t>יַיִן</w:t>
            </w:r>
            <w:r w:rsidRPr="00940129">
              <w:rPr>
                <w:rFonts w:eastAsia="Times New Roman" w:cs="Times New Roman"/>
                <w:b/>
                <w:bCs/>
                <w:lang w:eastAsia="de-DE"/>
              </w:rPr>
              <w:t xml:space="preserve"> = Wein)</w:t>
            </w:r>
          </w:p>
        </w:tc>
        <w:tc>
          <w:tcPr>
            <w:tcW w:w="461" w:type="pct"/>
            <w:vAlign w:val="center"/>
          </w:tcPr>
          <w:p w14:paraId="1E376FCD" w14:textId="5C10581F"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Stelle</w:t>
            </w:r>
          </w:p>
        </w:tc>
      </w:tr>
      <w:tr w:rsidR="00940129" w14:paraId="07587CED" w14:textId="77777777" w:rsidTr="00982B39">
        <w:tc>
          <w:tcPr>
            <w:tcW w:w="624" w:type="pct"/>
            <w:vAlign w:val="center"/>
          </w:tcPr>
          <w:p w14:paraId="634102B9" w14:textId="539DCC11" w:rsidR="00940129" w:rsidRPr="00940129" w:rsidRDefault="00940129" w:rsidP="00940129">
            <w:r w:rsidRPr="00940129">
              <w:rPr>
                <w:rtl/>
              </w:rPr>
              <w:t>כֶ</w:t>
            </w:r>
            <w:r w:rsidRPr="00982B39">
              <w:rPr>
                <w:b/>
                <w:bCs/>
                <w:rtl/>
              </w:rPr>
              <w:t>ּבֶשׂ</w:t>
            </w:r>
            <w:r w:rsidRPr="00940129">
              <w:rPr>
                <w:rtl/>
              </w:rPr>
              <w:t xml:space="preserve"> </w:t>
            </w:r>
            <w:r w:rsidRPr="00940129">
              <w:t xml:space="preserve"> (Lamm)</w:t>
            </w:r>
          </w:p>
        </w:tc>
        <w:tc>
          <w:tcPr>
            <w:tcW w:w="1175" w:type="pct"/>
            <w:vAlign w:val="center"/>
          </w:tcPr>
          <w:p w14:paraId="05070C9A" w14:textId="77777777" w:rsidR="00982B39" w:rsidRDefault="00940129" w:rsidP="00982B39">
            <w:pPr>
              <w:pStyle w:val="KeinLeerraum"/>
              <w:rPr>
                <w:lang w:eastAsia="de-DE"/>
              </w:rPr>
            </w:pPr>
            <w:r w:rsidRPr="00940129">
              <w:rPr>
                <w:lang w:eastAsia="de-DE"/>
              </w:rPr>
              <w:t xml:space="preserve">1/10 Epha </w:t>
            </w:r>
          </w:p>
          <w:p w14:paraId="50126552" w14:textId="23A4D188" w:rsidR="00940129" w:rsidRDefault="00940129" w:rsidP="00982B39">
            <w:pPr>
              <w:pStyle w:val="KeinLeerraum"/>
              <w:rPr>
                <w:lang w:eastAsia="de-DE"/>
              </w:rPr>
            </w:pPr>
            <w:r w:rsidRPr="00940129">
              <w:rPr>
                <w:lang w:eastAsia="de-DE"/>
              </w:rPr>
              <w:t>(</w:t>
            </w:r>
            <w:r w:rsidRPr="00940129">
              <w:rPr>
                <w:rtl/>
                <w:lang w:eastAsia="de-DE"/>
              </w:rPr>
              <w:t>עִשָּׂרוֹן</w:t>
            </w:r>
            <w:r w:rsidRPr="00940129">
              <w:rPr>
                <w:lang w:eastAsia="de-DE"/>
              </w:rPr>
              <w:t>)</w:t>
            </w:r>
          </w:p>
        </w:tc>
        <w:tc>
          <w:tcPr>
            <w:tcW w:w="1253" w:type="pct"/>
            <w:vAlign w:val="center"/>
          </w:tcPr>
          <w:p w14:paraId="6CC5ED21" w14:textId="47AD8C39"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1/4 Hin (</w:t>
            </w:r>
            <w:r w:rsidRPr="00940129">
              <w:rPr>
                <w:rFonts w:eastAsia="Times New Roman" w:cs="Times New Roman"/>
                <w:rtl/>
                <w:lang w:eastAsia="de-DE"/>
              </w:rPr>
              <w:t>רְבִעִית הַהִין</w:t>
            </w:r>
            <w:r w:rsidRPr="00940129">
              <w:rPr>
                <w:rFonts w:eastAsia="Times New Roman" w:cs="Times New Roman"/>
                <w:lang w:eastAsia="de-DE"/>
              </w:rPr>
              <w:t>)</w:t>
            </w:r>
          </w:p>
        </w:tc>
        <w:tc>
          <w:tcPr>
            <w:tcW w:w="1487" w:type="pct"/>
            <w:vAlign w:val="center"/>
          </w:tcPr>
          <w:p w14:paraId="0026EBE0" w14:textId="67E93382"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1/4 Hin (</w:t>
            </w:r>
            <w:r w:rsidRPr="00940129">
              <w:rPr>
                <w:rFonts w:eastAsia="Times New Roman" w:cs="Times New Roman"/>
                <w:rtl/>
                <w:lang w:eastAsia="de-DE"/>
              </w:rPr>
              <w:t>רְבִעִית הַהִין</w:t>
            </w:r>
            <w:r w:rsidRPr="00940129">
              <w:rPr>
                <w:rFonts w:eastAsia="Times New Roman" w:cs="Times New Roman"/>
                <w:lang w:eastAsia="de-DE"/>
              </w:rPr>
              <w:t>)</w:t>
            </w:r>
          </w:p>
        </w:tc>
        <w:tc>
          <w:tcPr>
            <w:tcW w:w="461" w:type="pct"/>
            <w:vAlign w:val="center"/>
          </w:tcPr>
          <w:p w14:paraId="70339E9A" w14:textId="7869E308"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V. 4-5</w:t>
            </w:r>
          </w:p>
        </w:tc>
      </w:tr>
      <w:tr w:rsidR="00940129" w14:paraId="1B25C9B6" w14:textId="77777777" w:rsidTr="00982B39">
        <w:tc>
          <w:tcPr>
            <w:tcW w:w="624" w:type="pct"/>
            <w:vAlign w:val="center"/>
          </w:tcPr>
          <w:p w14:paraId="68BD3F13" w14:textId="767243A1" w:rsidR="00940129" w:rsidRPr="00940129" w:rsidRDefault="00940129" w:rsidP="00940129">
            <w:r w:rsidRPr="00982B39">
              <w:rPr>
                <w:b/>
                <w:bCs/>
                <w:rtl/>
              </w:rPr>
              <w:t>אַיִל</w:t>
            </w:r>
            <w:r w:rsidRPr="00940129">
              <w:rPr>
                <w:rtl/>
              </w:rPr>
              <w:t xml:space="preserve"> </w:t>
            </w:r>
            <w:r w:rsidRPr="00940129">
              <w:t xml:space="preserve"> (Widder)</w:t>
            </w:r>
          </w:p>
        </w:tc>
        <w:tc>
          <w:tcPr>
            <w:tcW w:w="1175" w:type="pct"/>
            <w:vAlign w:val="center"/>
          </w:tcPr>
          <w:p w14:paraId="493C26AF" w14:textId="77777777" w:rsidR="00982B39" w:rsidRDefault="00940129" w:rsidP="00982B39">
            <w:pPr>
              <w:pStyle w:val="KeinLeerraum"/>
              <w:rPr>
                <w:lang w:eastAsia="de-DE"/>
              </w:rPr>
            </w:pPr>
            <w:r w:rsidRPr="00940129">
              <w:rPr>
                <w:lang w:eastAsia="de-DE"/>
              </w:rPr>
              <w:t xml:space="preserve">2/10 Epha </w:t>
            </w:r>
          </w:p>
          <w:p w14:paraId="3F29B7D6" w14:textId="74931290" w:rsidR="00940129" w:rsidRDefault="00940129" w:rsidP="00982B39">
            <w:pPr>
              <w:pStyle w:val="KeinLeerraum"/>
              <w:rPr>
                <w:lang w:eastAsia="de-DE"/>
              </w:rPr>
            </w:pPr>
            <w:r w:rsidRPr="00940129">
              <w:rPr>
                <w:lang w:eastAsia="de-DE"/>
              </w:rPr>
              <w:t>(</w:t>
            </w:r>
            <w:r w:rsidRPr="00940129">
              <w:rPr>
                <w:rtl/>
                <w:lang w:eastAsia="de-DE"/>
              </w:rPr>
              <w:t>שְׁנֵי עֶשְׂרֹנִים</w:t>
            </w:r>
            <w:r w:rsidRPr="00940129">
              <w:rPr>
                <w:lang w:eastAsia="de-DE"/>
              </w:rPr>
              <w:t>)</w:t>
            </w:r>
          </w:p>
        </w:tc>
        <w:tc>
          <w:tcPr>
            <w:tcW w:w="1253" w:type="pct"/>
            <w:vAlign w:val="center"/>
          </w:tcPr>
          <w:p w14:paraId="3E7E50DA" w14:textId="20D2F465"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1/3 Hin (</w:t>
            </w:r>
            <w:r w:rsidRPr="00940129">
              <w:rPr>
                <w:rFonts w:eastAsia="Times New Roman" w:cs="Times New Roman"/>
                <w:rtl/>
                <w:lang w:eastAsia="de-DE"/>
              </w:rPr>
              <w:t>שְׁלִשִׁית הַהִין</w:t>
            </w:r>
            <w:r w:rsidRPr="00940129">
              <w:rPr>
                <w:rFonts w:eastAsia="Times New Roman" w:cs="Times New Roman"/>
                <w:lang w:eastAsia="de-DE"/>
              </w:rPr>
              <w:t>)</w:t>
            </w:r>
          </w:p>
        </w:tc>
        <w:tc>
          <w:tcPr>
            <w:tcW w:w="1487" w:type="pct"/>
            <w:vAlign w:val="center"/>
          </w:tcPr>
          <w:p w14:paraId="0EF0994F" w14:textId="57F69045"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1/3 Hin (</w:t>
            </w:r>
            <w:r w:rsidRPr="00940129">
              <w:rPr>
                <w:rFonts w:eastAsia="Times New Roman" w:cs="Times New Roman"/>
                <w:rtl/>
                <w:lang w:eastAsia="de-DE"/>
              </w:rPr>
              <w:t>שְׁלִשִׁית הַהִין</w:t>
            </w:r>
            <w:r w:rsidRPr="00940129">
              <w:rPr>
                <w:rFonts w:eastAsia="Times New Roman" w:cs="Times New Roman"/>
                <w:lang w:eastAsia="de-DE"/>
              </w:rPr>
              <w:t>)</w:t>
            </w:r>
          </w:p>
        </w:tc>
        <w:tc>
          <w:tcPr>
            <w:tcW w:w="461" w:type="pct"/>
            <w:vAlign w:val="center"/>
          </w:tcPr>
          <w:p w14:paraId="3F362492" w14:textId="29098F25"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V. 6-7</w:t>
            </w:r>
          </w:p>
        </w:tc>
      </w:tr>
      <w:tr w:rsidR="00940129" w14:paraId="24E84190" w14:textId="77777777" w:rsidTr="00982B39">
        <w:tc>
          <w:tcPr>
            <w:tcW w:w="624" w:type="pct"/>
            <w:vAlign w:val="center"/>
          </w:tcPr>
          <w:p w14:paraId="02BAC1AA" w14:textId="77777777" w:rsidR="00982B39" w:rsidRDefault="00940129" w:rsidP="00940129">
            <w:r w:rsidRPr="00982B39">
              <w:rPr>
                <w:b/>
                <w:bCs/>
                <w:rtl/>
              </w:rPr>
              <w:t>פַּר</w:t>
            </w:r>
            <w:r w:rsidRPr="00940129">
              <w:rPr>
                <w:rtl/>
              </w:rPr>
              <w:t xml:space="preserve"> </w:t>
            </w:r>
            <w:r w:rsidRPr="00940129">
              <w:t xml:space="preserve"> </w:t>
            </w:r>
          </w:p>
          <w:p w14:paraId="13B80856" w14:textId="3C9A339C" w:rsidR="00940129" w:rsidRPr="00940129" w:rsidRDefault="00940129" w:rsidP="00940129">
            <w:r w:rsidRPr="00940129">
              <w:t>(Stier)</w:t>
            </w:r>
          </w:p>
        </w:tc>
        <w:tc>
          <w:tcPr>
            <w:tcW w:w="1175" w:type="pct"/>
            <w:vAlign w:val="center"/>
          </w:tcPr>
          <w:p w14:paraId="279E0784" w14:textId="77777777" w:rsidR="00982B39" w:rsidRDefault="00940129" w:rsidP="00982B39">
            <w:pPr>
              <w:pStyle w:val="KeinLeerraum"/>
              <w:rPr>
                <w:lang w:eastAsia="de-DE"/>
              </w:rPr>
            </w:pPr>
            <w:r w:rsidRPr="00940129">
              <w:rPr>
                <w:lang w:eastAsia="de-DE"/>
              </w:rPr>
              <w:t xml:space="preserve">3/10 Epha </w:t>
            </w:r>
          </w:p>
          <w:p w14:paraId="16248E15" w14:textId="51A45001" w:rsidR="00940129" w:rsidRDefault="00940129" w:rsidP="00982B39">
            <w:pPr>
              <w:pStyle w:val="KeinLeerraum"/>
              <w:rPr>
                <w:lang w:eastAsia="de-DE"/>
              </w:rPr>
            </w:pPr>
            <w:r w:rsidRPr="00940129">
              <w:rPr>
                <w:lang w:eastAsia="de-DE"/>
              </w:rPr>
              <w:t>(</w:t>
            </w:r>
            <w:r w:rsidRPr="00940129">
              <w:rPr>
                <w:rtl/>
                <w:lang w:eastAsia="de-DE"/>
              </w:rPr>
              <w:t>שְׁלֹשָׁה עֶשְׂרֹנִים</w:t>
            </w:r>
            <w:r w:rsidRPr="00940129">
              <w:rPr>
                <w:lang w:eastAsia="de-DE"/>
              </w:rPr>
              <w:t>)</w:t>
            </w:r>
          </w:p>
        </w:tc>
        <w:tc>
          <w:tcPr>
            <w:tcW w:w="1253" w:type="pct"/>
            <w:vAlign w:val="center"/>
          </w:tcPr>
          <w:p w14:paraId="136B7002" w14:textId="12E323C2"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1/2 Hin (</w:t>
            </w:r>
            <w:r w:rsidRPr="00940129">
              <w:rPr>
                <w:rFonts w:eastAsia="Times New Roman" w:cs="Times New Roman"/>
                <w:rtl/>
                <w:lang w:eastAsia="de-DE"/>
              </w:rPr>
              <w:t>חֲצִי הַהִין</w:t>
            </w:r>
            <w:r w:rsidRPr="00940129">
              <w:rPr>
                <w:rFonts w:eastAsia="Times New Roman" w:cs="Times New Roman"/>
                <w:lang w:eastAsia="de-DE"/>
              </w:rPr>
              <w:t>)</w:t>
            </w:r>
          </w:p>
        </w:tc>
        <w:tc>
          <w:tcPr>
            <w:tcW w:w="1487" w:type="pct"/>
            <w:vAlign w:val="center"/>
          </w:tcPr>
          <w:p w14:paraId="1BB4AEEE" w14:textId="2EDF8113"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1/2 Hin (</w:t>
            </w:r>
            <w:r w:rsidRPr="00940129">
              <w:rPr>
                <w:rFonts w:eastAsia="Times New Roman" w:cs="Times New Roman"/>
                <w:rtl/>
                <w:lang w:eastAsia="de-DE"/>
              </w:rPr>
              <w:t>חֲצִי הַהִין</w:t>
            </w:r>
            <w:r w:rsidRPr="00940129">
              <w:rPr>
                <w:rFonts w:eastAsia="Times New Roman" w:cs="Times New Roman"/>
                <w:lang w:eastAsia="de-DE"/>
              </w:rPr>
              <w:t>)</w:t>
            </w:r>
          </w:p>
        </w:tc>
        <w:tc>
          <w:tcPr>
            <w:tcW w:w="461" w:type="pct"/>
            <w:vAlign w:val="center"/>
          </w:tcPr>
          <w:p w14:paraId="7DA7AEC2" w14:textId="4F678733" w:rsid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V. 8-10</w:t>
            </w:r>
          </w:p>
        </w:tc>
      </w:tr>
    </w:tbl>
    <w:p w14:paraId="62C2065B" w14:textId="77777777" w:rsidR="00940129" w:rsidRPr="00940129" w:rsidRDefault="00940129" w:rsidP="00982B39">
      <w:pPr>
        <w:pStyle w:val="KeinLeerraum"/>
        <w:rPr>
          <w:lang w:eastAsia="de-DE"/>
        </w:rPr>
      </w:pPr>
    </w:p>
    <w:p w14:paraId="19AB4D47" w14:textId="77777777" w:rsidR="00940129" w:rsidRP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Maßeinheiten:</w:t>
      </w:r>
    </w:p>
    <w:p w14:paraId="5BC05E5B" w14:textId="77777777" w:rsidR="00940129" w:rsidRPr="00940129" w:rsidRDefault="00940129" w:rsidP="00077755">
      <w:pPr>
        <w:numPr>
          <w:ilvl w:val="0"/>
          <w:numId w:val="127"/>
        </w:num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1 Epha (</w:t>
      </w:r>
      <w:r w:rsidRPr="00940129">
        <w:rPr>
          <w:rFonts w:eastAsia="Times New Roman" w:cs="Times New Roman"/>
          <w:b/>
          <w:bCs/>
          <w:rtl/>
          <w:lang w:eastAsia="de-DE"/>
        </w:rPr>
        <w:t>אֵיפָה</w:t>
      </w:r>
      <w:r w:rsidRPr="00940129">
        <w:rPr>
          <w:rFonts w:eastAsia="Times New Roman" w:cs="Times New Roman"/>
          <w:b/>
          <w:bCs/>
          <w:lang w:eastAsia="de-DE"/>
        </w:rPr>
        <w:t>)</w:t>
      </w:r>
      <w:r w:rsidRPr="00940129">
        <w:rPr>
          <w:rFonts w:eastAsia="Times New Roman" w:cs="Times New Roman"/>
          <w:lang w:eastAsia="de-DE"/>
        </w:rPr>
        <w:t xml:space="preserve"> ≈ 22 Liter (Trockenmaß)</w:t>
      </w:r>
    </w:p>
    <w:p w14:paraId="7DF0A06C" w14:textId="77777777" w:rsidR="00940129" w:rsidRPr="00940129" w:rsidRDefault="00940129" w:rsidP="00077755">
      <w:pPr>
        <w:numPr>
          <w:ilvl w:val="0"/>
          <w:numId w:val="127"/>
        </w:num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1/10 Epha (</w:t>
      </w:r>
      <w:r w:rsidRPr="00940129">
        <w:rPr>
          <w:rFonts w:eastAsia="Times New Roman" w:cs="Times New Roman"/>
          <w:b/>
          <w:bCs/>
          <w:rtl/>
          <w:lang w:eastAsia="de-DE"/>
        </w:rPr>
        <w:t>עִשָּׂרוֹן</w:t>
      </w:r>
      <w:r w:rsidRPr="00940129">
        <w:rPr>
          <w:rFonts w:eastAsia="Times New Roman" w:cs="Times New Roman"/>
          <w:b/>
          <w:bCs/>
          <w:lang w:eastAsia="de-DE"/>
        </w:rPr>
        <w:t>)</w:t>
      </w:r>
      <w:r w:rsidRPr="00940129">
        <w:rPr>
          <w:rFonts w:eastAsia="Times New Roman" w:cs="Times New Roman"/>
          <w:lang w:eastAsia="de-DE"/>
        </w:rPr>
        <w:t xml:space="preserve"> ≈ 2,2 Liter</w:t>
      </w:r>
    </w:p>
    <w:p w14:paraId="1347477F" w14:textId="77777777" w:rsidR="00940129" w:rsidRPr="00940129" w:rsidRDefault="00940129" w:rsidP="00077755">
      <w:pPr>
        <w:numPr>
          <w:ilvl w:val="0"/>
          <w:numId w:val="127"/>
        </w:num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1 Hin (</w:t>
      </w:r>
      <w:r w:rsidRPr="00940129">
        <w:rPr>
          <w:rFonts w:eastAsia="Times New Roman" w:cs="Times New Roman"/>
          <w:b/>
          <w:bCs/>
          <w:rtl/>
          <w:lang w:eastAsia="de-DE"/>
        </w:rPr>
        <w:t>הִין</w:t>
      </w:r>
      <w:r w:rsidRPr="00940129">
        <w:rPr>
          <w:rFonts w:eastAsia="Times New Roman" w:cs="Times New Roman"/>
          <w:b/>
          <w:bCs/>
          <w:lang w:eastAsia="de-DE"/>
        </w:rPr>
        <w:t>)</w:t>
      </w:r>
      <w:r w:rsidRPr="00940129">
        <w:rPr>
          <w:rFonts w:eastAsia="Times New Roman" w:cs="Times New Roman"/>
          <w:lang w:eastAsia="de-DE"/>
        </w:rPr>
        <w:t xml:space="preserve"> ≈ 3,7 Liter (Flüssigkeitsmaß)</w:t>
      </w:r>
    </w:p>
    <w:p w14:paraId="308E9B25" w14:textId="6EA46A22" w:rsidR="00940129" w:rsidRDefault="00940129" w:rsidP="00940129">
      <w:pPr>
        <w:spacing w:before="100" w:beforeAutospacing="1" w:after="100" w:afterAutospacing="1" w:line="240" w:lineRule="auto"/>
        <w:rPr>
          <w:rFonts w:eastAsia="Times New Roman" w:cs="Times New Roman"/>
          <w:b/>
          <w:bCs/>
          <w:lang w:eastAsia="de-DE"/>
        </w:rPr>
      </w:pPr>
      <w:r w:rsidRPr="00940129">
        <w:rPr>
          <w:rFonts w:eastAsia="Times New Roman" w:cs="Times New Roman"/>
          <w:b/>
          <w:bCs/>
          <w:lang w:eastAsia="de-DE"/>
        </w:rPr>
        <w:t>Konkrete Mengen:</w:t>
      </w:r>
    </w:p>
    <w:tbl>
      <w:tblPr>
        <w:tblStyle w:val="Tabellenraster"/>
        <w:tblW w:w="4994" w:type="pct"/>
        <w:tblLook w:val="04A0" w:firstRow="1" w:lastRow="0" w:firstColumn="1" w:lastColumn="0" w:noHBand="0" w:noVBand="1"/>
      </w:tblPr>
      <w:tblGrid>
        <w:gridCol w:w="2262"/>
        <w:gridCol w:w="2263"/>
        <w:gridCol w:w="2263"/>
        <w:gridCol w:w="2263"/>
      </w:tblGrid>
      <w:tr w:rsidR="00982B39" w14:paraId="4472ABEC" w14:textId="77777777" w:rsidTr="00A36923">
        <w:tc>
          <w:tcPr>
            <w:tcW w:w="1250" w:type="pct"/>
            <w:vAlign w:val="center"/>
          </w:tcPr>
          <w:p w14:paraId="43E4BEDF" w14:textId="2BB1E19F"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Opfertier</w:t>
            </w:r>
          </w:p>
        </w:tc>
        <w:tc>
          <w:tcPr>
            <w:tcW w:w="1250" w:type="pct"/>
            <w:vAlign w:val="center"/>
          </w:tcPr>
          <w:p w14:paraId="397B36EC" w14:textId="62294B6E"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Feinmehl</w:t>
            </w:r>
          </w:p>
        </w:tc>
        <w:tc>
          <w:tcPr>
            <w:tcW w:w="1250" w:type="pct"/>
            <w:vAlign w:val="center"/>
          </w:tcPr>
          <w:p w14:paraId="46F6C145" w14:textId="653F9D6A"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Öl</w:t>
            </w:r>
          </w:p>
        </w:tc>
        <w:tc>
          <w:tcPr>
            <w:tcW w:w="1250" w:type="pct"/>
            <w:vAlign w:val="center"/>
          </w:tcPr>
          <w:p w14:paraId="03613D20" w14:textId="5486DF45"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Wein</w:t>
            </w:r>
          </w:p>
        </w:tc>
      </w:tr>
      <w:tr w:rsidR="00982B39" w14:paraId="3700014E" w14:textId="77777777" w:rsidTr="003523C8">
        <w:tc>
          <w:tcPr>
            <w:tcW w:w="1250" w:type="pct"/>
            <w:vAlign w:val="center"/>
          </w:tcPr>
          <w:p w14:paraId="7E3A5885" w14:textId="6229BF02"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Lamm</w:t>
            </w:r>
          </w:p>
        </w:tc>
        <w:tc>
          <w:tcPr>
            <w:tcW w:w="1250" w:type="pct"/>
            <w:vAlign w:val="center"/>
          </w:tcPr>
          <w:p w14:paraId="1F62D3B7" w14:textId="76919301"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2,2 L</w:t>
            </w:r>
          </w:p>
        </w:tc>
        <w:tc>
          <w:tcPr>
            <w:tcW w:w="1250" w:type="pct"/>
            <w:vAlign w:val="center"/>
          </w:tcPr>
          <w:p w14:paraId="2D60CE73" w14:textId="49C1810D"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0,9 L</w:t>
            </w:r>
          </w:p>
        </w:tc>
        <w:tc>
          <w:tcPr>
            <w:tcW w:w="1250" w:type="pct"/>
            <w:vAlign w:val="center"/>
          </w:tcPr>
          <w:p w14:paraId="75DCE9BD" w14:textId="1F80BAF3"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0,9 L</w:t>
            </w:r>
          </w:p>
        </w:tc>
      </w:tr>
      <w:tr w:rsidR="00982B39" w14:paraId="00867E30" w14:textId="77777777" w:rsidTr="00293D4C">
        <w:tc>
          <w:tcPr>
            <w:tcW w:w="1250" w:type="pct"/>
            <w:vAlign w:val="center"/>
          </w:tcPr>
          <w:p w14:paraId="163EDABD" w14:textId="5378EABC"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Widder</w:t>
            </w:r>
          </w:p>
        </w:tc>
        <w:tc>
          <w:tcPr>
            <w:tcW w:w="1250" w:type="pct"/>
            <w:vAlign w:val="center"/>
          </w:tcPr>
          <w:p w14:paraId="045A507E" w14:textId="60D21E2A"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4,4 L</w:t>
            </w:r>
          </w:p>
        </w:tc>
        <w:tc>
          <w:tcPr>
            <w:tcW w:w="1250" w:type="pct"/>
            <w:vAlign w:val="center"/>
          </w:tcPr>
          <w:p w14:paraId="17CE9E5C" w14:textId="77DC125D"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1,2 L</w:t>
            </w:r>
          </w:p>
        </w:tc>
        <w:tc>
          <w:tcPr>
            <w:tcW w:w="1250" w:type="pct"/>
            <w:vAlign w:val="center"/>
          </w:tcPr>
          <w:p w14:paraId="6C9DE5D1" w14:textId="50B96335"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1,2 L</w:t>
            </w:r>
          </w:p>
        </w:tc>
      </w:tr>
      <w:tr w:rsidR="00982B39" w14:paraId="67F6775E" w14:textId="77777777" w:rsidTr="002928FA">
        <w:tc>
          <w:tcPr>
            <w:tcW w:w="1250" w:type="pct"/>
            <w:vAlign w:val="center"/>
          </w:tcPr>
          <w:p w14:paraId="42A3A345" w14:textId="47BE095A"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Stier</w:t>
            </w:r>
          </w:p>
        </w:tc>
        <w:tc>
          <w:tcPr>
            <w:tcW w:w="1250" w:type="pct"/>
            <w:vAlign w:val="center"/>
          </w:tcPr>
          <w:p w14:paraId="1ABB71E0" w14:textId="6079AFD7"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6,6 L</w:t>
            </w:r>
          </w:p>
        </w:tc>
        <w:tc>
          <w:tcPr>
            <w:tcW w:w="1250" w:type="pct"/>
            <w:vAlign w:val="center"/>
          </w:tcPr>
          <w:p w14:paraId="240C5B38" w14:textId="375BA565"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1,85 L</w:t>
            </w:r>
          </w:p>
        </w:tc>
        <w:tc>
          <w:tcPr>
            <w:tcW w:w="1250" w:type="pct"/>
            <w:vAlign w:val="center"/>
          </w:tcPr>
          <w:p w14:paraId="091439B5" w14:textId="51E4E8CF" w:rsidR="00982B39" w:rsidRDefault="00982B39" w:rsidP="00982B39">
            <w:p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1,85 L</w:t>
            </w:r>
          </w:p>
        </w:tc>
      </w:tr>
    </w:tbl>
    <w:p w14:paraId="34887AB6" w14:textId="77777777" w:rsidR="00982B39" w:rsidRPr="00940129" w:rsidRDefault="00982B39" w:rsidP="00982B39">
      <w:pPr>
        <w:pStyle w:val="KeinLeerraum"/>
        <w:rPr>
          <w:lang w:eastAsia="de-DE"/>
        </w:rPr>
      </w:pPr>
    </w:p>
    <w:p w14:paraId="4908EA04" w14:textId="77777777" w:rsidR="00940129" w:rsidRP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Theologische Bedeutung:</w:t>
      </w:r>
    </w:p>
    <w:p w14:paraId="76066B66" w14:textId="77777777" w:rsidR="00940129" w:rsidRP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1. Proportionalität = Gerechtigkeit:</w:t>
      </w:r>
    </w:p>
    <w:p w14:paraId="6F5320FD" w14:textId="77777777" w:rsidR="00940129" w:rsidRPr="00940129" w:rsidRDefault="00940129" w:rsidP="00077755">
      <w:pPr>
        <w:numPr>
          <w:ilvl w:val="0"/>
          <w:numId w:val="128"/>
        </w:num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lastRenderedPageBreak/>
        <w:t xml:space="preserve">Wer ein </w:t>
      </w:r>
      <w:r w:rsidRPr="00940129">
        <w:rPr>
          <w:rFonts w:eastAsia="Times New Roman" w:cs="Times New Roman"/>
          <w:b/>
          <w:bCs/>
          <w:lang w:eastAsia="de-DE"/>
        </w:rPr>
        <w:t>wertvolleres</w:t>
      </w:r>
      <w:r w:rsidRPr="00940129">
        <w:rPr>
          <w:rFonts w:eastAsia="Times New Roman" w:cs="Times New Roman"/>
          <w:lang w:eastAsia="de-DE"/>
        </w:rPr>
        <w:t xml:space="preserve"> Tier opfert, bringt </w:t>
      </w:r>
      <w:r w:rsidRPr="00940129">
        <w:rPr>
          <w:rFonts w:eastAsia="Times New Roman" w:cs="Times New Roman"/>
          <w:b/>
          <w:bCs/>
          <w:lang w:eastAsia="de-DE"/>
        </w:rPr>
        <w:t>mehr</w:t>
      </w:r>
      <w:r w:rsidRPr="00940129">
        <w:rPr>
          <w:rFonts w:eastAsia="Times New Roman" w:cs="Times New Roman"/>
          <w:lang w:eastAsia="de-DE"/>
        </w:rPr>
        <w:t xml:space="preserve"> Begleitopfer</w:t>
      </w:r>
    </w:p>
    <w:p w14:paraId="63256A57" w14:textId="77777777" w:rsidR="00940129" w:rsidRPr="00940129" w:rsidRDefault="00940129" w:rsidP="00077755">
      <w:pPr>
        <w:numPr>
          <w:ilvl w:val="0"/>
          <w:numId w:val="128"/>
        </w:num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Nicht</w:t>
      </w:r>
      <w:r w:rsidRPr="00940129">
        <w:rPr>
          <w:rFonts w:eastAsia="Times New Roman" w:cs="Times New Roman"/>
          <w:lang w:eastAsia="de-DE"/>
        </w:rPr>
        <w:t xml:space="preserve"> willkürlich, sondern </w:t>
      </w:r>
      <w:r w:rsidRPr="00940129">
        <w:rPr>
          <w:rFonts w:eastAsia="Times New Roman" w:cs="Times New Roman"/>
          <w:b/>
          <w:bCs/>
          <w:lang w:eastAsia="de-DE"/>
        </w:rPr>
        <w:t>systematisch</w:t>
      </w:r>
      <w:r w:rsidRPr="00940129">
        <w:rPr>
          <w:rFonts w:eastAsia="Times New Roman" w:cs="Times New Roman"/>
          <w:lang w:eastAsia="de-DE"/>
        </w:rPr>
        <w:t xml:space="preserve"> gestaffelt</w:t>
      </w:r>
    </w:p>
    <w:p w14:paraId="2D6D831E" w14:textId="77777777" w:rsidR="00940129" w:rsidRP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2. Vollständigkeit des Opfers:</w:t>
      </w:r>
    </w:p>
    <w:p w14:paraId="5D4BE4DF" w14:textId="77777777" w:rsidR="00940129" w:rsidRPr="00940129" w:rsidRDefault="00940129" w:rsidP="00077755">
      <w:pPr>
        <w:numPr>
          <w:ilvl w:val="0"/>
          <w:numId w:val="129"/>
        </w:num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Tier</w:t>
      </w:r>
      <w:r w:rsidRPr="00940129">
        <w:rPr>
          <w:rFonts w:eastAsia="Times New Roman" w:cs="Times New Roman"/>
          <w:lang w:eastAsia="de-DE"/>
        </w:rPr>
        <w:t xml:space="preserve"> (Protein) + </w:t>
      </w:r>
      <w:r w:rsidRPr="00940129">
        <w:rPr>
          <w:rFonts w:eastAsia="Times New Roman" w:cs="Times New Roman"/>
          <w:b/>
          <w:bCs/>
          <w:lang w:eastAsia="de-DE"/>
        </w:rPr>
        <w:t>Mehl</w:t>
      </w:r>
      <w:r w:rsidRPr="00940129">
        <w:rPr>
          <w:rFonts w:eastAsia="Times New Roman" w:cs="Times New Roman"/>
          <w:lang w:eastAsia="de-DE"/>
        </w:rPr>
        <w:t xml:space="preserve"> (Kohlenhydrate) + </w:t>
      </w:r>
      <w:r w:rsidRPr="00940129">
        <w:rPr>
          <w:rFonts w:eastAsia="Times New Roman" w:cs="Times New Roman"/>
          <w:b/>
          <w:bCs/>
          <w:lang w:eastAsia="de-DE"/>
        </w:rPr>
        <w:t>Wein</w:t>
      </w:r>
      <w:r w:rsidRPr="00940129">
        <w:rPr>
          <w:rFonts w:eastAsia="Times New Roman" w:cs="Times New Roman"/>
          <w:lang w:eastAsia="de-DE"/>
        </w:rPr>
        <w:t xml:space="preserve"> (Freude)</w:t>
      </w:r>
    </w:p>
    <w:p w14:paraId="43982A16" w14:textId="77777777" w:rsidR="00940129" w:rsidRPr="00940129" w:rsidRDefault="00940129" w:rsidP="00077755">
      <w:pPr>
        <w:numPr>
          <w:ilvl w:val="0"/>
          <w:numId w:val="129"/>
        </w:num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xml:space="preserve">= </w:t>
      </w:r>
      <w:r w:rsidRPr="00940129">
        <w:rPr>
          <w:rFonts w:eastAsia="Times New Roman" w:cs="Times New Roman"/>
          <w:b/>
          <w:bCs/>
          <w:lang w:eastAsia="de-DE"/>
        </w:rPr>
        <w:t>Ganzheitliches</w:t>
      </w:r>
      <w:r w:rsidRPr="00940129">
        <w:rPr>
          <w:rFonts w:eastAsia="Times New Roman" w:cs="Times New Roman"/>
          <w:lang w:eastAsia="de-DE"/>
        </w:rPr>
        <w:t xml:space="preserve"> Opfer (Leben, Nahrung, Fest)</w:t>
      </w:r>
    </w:p>
    <w:p w14:paraId="3F93571F" w14:textId="77777777" w:rsidR="00940129" w:rsidRPr="00940129" w:rsidRDefault="00940129" w:rsidP="00940129">
      <w:pPr>
        <w:spacing w:before="100" w:beforeAutospacing="1" w:after="100" w:afterAutospacing="1" w:line="240" w:lineRule="auto"/>
        <w:rPr>
          <w:rFonts w:eastAsia="Times New Roman" w:cs="Times New Roman"/>
          <w:lang w:eastAsia="de-DE"/>
        </w:rPr>
      </w:pPr>
      <w:r w:rsidRPr="00940129">
        <w:rPr>
          <w:rFonts w:eastAsia="Times New Roman" w:cs="Times New Roman"/>
          <w:b/>
          <w:bCs/>
          <w:lang w:eastAsia="de-DE"/>
        </w:rPr>
        <w:t>3. Praktische Weisheit:</w:t>
      </w:r>
    </w:p>
    <w:p w14:paraId="128224E5" w14:textId="77777777" w:rsidR="00940129" w:rsidRPr="00940129" w:rsidRDefault="00940129" w:rsidP="00077755">
      <w:pPr>
        <w:numPr>
          <w:ilvl w:val="0"/>
          <w:numId w:val="130"/>
        </w:num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xml:space="preserve">Kleinere Tiere (Lämmer) → weniger Begleitopfer (für </w:t>
      </w:r>
      <w:r w:rsidRPr="00940129">
        <w:rPr>
          <w:rFonts w:eastAsia="Times New Roman" w:cs="Times New Roman"/>
          <w:b/>
          <w:bCs/>
          <w:lang w:eastAsia="de-DE"/>
        </w:rPr>
        <w:t>Ärmere</w:t>
      </w:r>
      <w:r w:rsidRPr="00940129">
        <w:rPr>
          <w:rFonts w:eastAsia="Times New Roman" w:cs="Times New Roman"/>
          <w:lang w:eastAsia="de-DE"/>
        </w:rPr>
        <w:t xml:space="preserve"> geeignet)</w:t>
      </w:r>
    </w:p>
    <w:p w14:paraId="4BEF0AB3" w14:textId="30BA5AC7" w:rsidR="00940129" w:rsidRPr="00982B39" w:rsidRDefault="00940129" w:rsidP="00077755">
      <w:pPr>
        <w:numPr>
          <w:ilvl w:val="0"/>
          <w:numId w:val="130"/>
        </w:numPr>
        <w:spacing w:before="100" w:beforeAutospacing="1" w:after="100" w:afterAutospacing="1" w:line="240" w:lineRule="auto"/>
        <w:rPr>
          <w:rFonts w:eastAsia="Times New Roman" w:cs="Times New Roman"/>
          <w:lang w:eastAsia="de-DE"/>
        </w:rPr>
      </w:pPr>
      <w:r w:rsidRPr="00940129">
        <w:rPr>
          <w:rFonts w:eastAsia="Times New Roman" w:cs="Times New Roman"/>
          <w:lang w:eastAsia="de-DE"/>
        </w:rPr>
        <w:t xml:space="preserve">Größere Tiere (Stiere) → mehr Begleitopfer (für </w:t>
      </w:r>
      <w:r w:rsidRPr="00940129">
        <w:rPr>
          <w:rFonts w:eastAsia="Times New Roman" w:cs="Times New Roman"/>
          <w:b/>
          <w:bCs/>
          <w:lang w:eastAsia="de-DE"/>
        </w:rPr>
        <w:t>Reichere</w:t>
      </w:r>
      <w:r w:rsidRPr="00940129">
        <w:rPr>
          <w:rFonts w:eastAsia="Times New Roman" w:cs="Times New Roman"/>
          <w:lang w:eastAsia="de-DE"/>
        </w:rPr>
        <w:t xml:space="preserve"> geeignet)</w:t>
      </w:r>
    </w:p>
    <w:p w14:paraId="05857A2B"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15,11</w:t>
      </w:r>
    </w:p>
    <w:p w14:paraId="6CAC7AC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כָּ֣כָה יֵעָשֶׂ֗ה לַשּׁוֹר֙ הָֽאֶחָ֔ד א֖וֹ לָאַ֣יִל הָאֶחָ֑ד אֽוֹ־לַשֶּׂ֥ה בַכְּבָשִׂ֖ים א֥וֹ בָעִזִּֽים׃</w:t>
      </w:r>
    </w:p>
    <w:p w14:paraId="2FEEA56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So soll getan werden für einen Stier und für einen Widder und für ein Stück Kleinvieh, von den Schafen oder von den Ziegen.</w:t>
      </w:r>
    </w:p>
    <w:p w14:paraId="714CC938"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286FCFFF">
          <v:rect id="_x0000_i1508" style="width:0;height:1.5pt" o:hralign="center" o:hrstd="t" o:hr="t" fillcolor="#a0a0a0" stroked="f"/>
        </w:pict>
      </w:r>
    </w:p>
    <w:p w14:paraId="29D050E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Zusammenfassung </w:t>
      </w:r>
      <w:r w:rsidRPr="00C22013">
        <w:rPr>
          <w:rFonts w:eastAsia="Times New Roman" w:cs="Times New Roman"/>
          <w:b/>
          <w:bCs/>
          <w:rtl/>
          <w:lang w:eastAsia="de-DE"/>
        </w:rPr>
        <w:t>כָּ֣כָה יֵעָשֶׂ֗ה</w:t>
      </w:r>
      <w:r w:rsidRPr="00C22013">
        <w:rPr>
          <w:rFonts w:eastAsia="Times New Roman" w:cs="Times New Roman"/>
          <w:rtl/>
          <w:lang w:eastAsia="de-DE"/>
        </w:rPr>
        <w:t xml:space="preserve"> </w:t>
      </w:r>
      <w:r w:rsidRPr="00C22013">
        <w:rPr>
          <w:rFonts w:eastAsia="Times New Roman" w:cs="Times New Roman"/>
          <w:lang w:eastAsia="de-DE"/>
        </w:rPr>
        <w:t xml:space="preserve">(so soll getan werden) mit </w:t>
      </w:r>
      <w:r w:rsidRPr="00C22013">
        <w:rPr>
          <w:rFonts w:eastAsia="Times New Roman" w:cs="Times New Roman"/>
          <w:b/>
          <w:bCs/>
          <w:rtl/>
          <w:lang w:eastAsia="de-DE"/>
        </w:rPr>
        <w:t>כָּכָה</w:t>
      </w:r>
      <w:r w:rsidRPr="00C22013">
        <w:rPr>
          <w:rFonts w:eastAsia="Times New Roman" w:cs="Times New Roman"/>
          <w:rtl/>
          <w:lang w:eastAsia="de-DE"/>
        </w:rPr>
        <w:t xml:space="preserve"> </w:t>
      </w:r>
      <w:r w:rsidRPr="00C22013">
        <w:rPr>
          <w:rFonts w:eastAsia="Times New Roman" w:cs="Times New Roman"/>
          <w:lang w:eastAsia="de-DE"/>
        </w:rPr>
        <w:t xml:space="preserve">(so) und </w:t>
      </w:r>
      <w:r w:rsidRPr="00C22013">
        <w:rPr>
          <w:rFonts w:eastAsia="Times New Roman" w:cs="Times New Roman"/>
          <w:b/>
          <w:bCs/>
          <w:rtl/>
          <w:lang w:eastAsia="de-DE"/>
        </w:rPr>
        <w:t>יֵעָשֶׂה</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עשה</w:t>
      </w:r>
      <w:r w:rsidRPr="00C22013">
        <w:rPr>
          <w:rFonts w:eastAsia="Times New Roman" w:cs="Times New Roman"/>
          <w:rtl/>
          <w:lang w:eastAsia="de-DE"/>
        </w:rPr>
        <w:t xml:space="preserve"> </w:t>
      </w:r>
      <w:r w:rsidRPr="00C22013">
        <w:rPr>
          <w:rFonts w:eastAsia="Times New Roman" w:cs="Times New Roman"/>
          <w:lang w:eastAsia="de-DE"/>
        </w:rPr>
        <w:t>(tun/machen) im Niph'al-Imperfekt 3. maskulin Singular fasst die vorherigen Bestimmungen zusammen.</w:t>
      </w:r>
    </w:p>
    <w:p w14:paraId="37BC3C3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Tierarten </w:t>
      </w:r>
      <w:r w:rsidRPr="00C22013">
        <w:rPr>
          <w:rFonts w:eastAsia="Times New Roman" w:cs="Times New Roman"/>
          <w:b/>
          <w:bCs/>
          <w:rtl/>
          <w:lang w:eastAsia="de-DE"/>
        </w:rPr>
        <w:t>לַשּׁוֹר֙ הָֽאֶחָ֔ד א֖וֹ לָאַ֣יִל הָאֶחָ֑ד אֽוֹ־לַשֶּׂ֥ה בַכְּבָשִׂ֖ים א֥וֹ בָעִזִּֽים</w:t>
      </w:r>
      <w:r w:rsidRPr="00C22013">
        <w:rPr>
          <w:rFonts w:eastAsia="Times New Roman" w:cs="Times New Roman"/>
          <w:rtl/>
          <w:lang w:eastAsia="de-DE"/>
        </w:rPr>
        <w:t xml:space="preserve"> </w:t>
      </w:r>
      <w:r w:rsidRPr="00C22013">
        <w:rPr>
          <w:rFonts w:eastAsia="Times New Roman" w:cs="Times New Roman"/>
          <w:lang w:eastAsia="de-DE"/>
        </w:rPr>
        <w:t xml:space="preserve">(für einen Stier oder für einen Widder oder für ein Stück Kleinvieh, von den Schafen oder von den Ziegen) mit </w:t>
      </w:r>
      <w:r w:rsidRPr="00C22013">
        <w:rPr>
          <w:rFonts w:eastAsia="Times New Roman" w:cs="Times New Roman"/>
          <w:b/>
          <w:bCs/>
          <w:rtl/>
          <w:lang w:eastAsia="de-DE"/>
        </w:rPr>
        <w:t>שׁוֹר</w:t>
      </w:r>
      <w:r w:rsidRPr="00C22013">
        <w:rPr>
          <w:rFonts w:eastAsia="Times New Roman" w:cs="Times New Roman"/>
          <w:rtl/>
          <w:lang w:eastAsia="de-DE"/>
        </w:rPr>
        <w:t xml:space="preserve"> </w:t>
      </w:r>
      <w:r w:rsidRPr="00C22013">
        <w:rPr>
          <w:rFonts w:eastAsia="Times New Roman" w:cs="Times New Roman"/>
          <w:lang w:eastAsia="de-DE"/>
        </w:rPr>
        <w:t xml:space="preserve">(Stier), </w:t>
      </w:r>
      <w:r w:rsidRPr="00C22013">
        <w:rPr>
          <w:rFonts w:eastAsia="Times New Roman" w:cs="Times New Roman"/>
          <w:b/>
          <w:bCs/>
          <w:rtl/>
          <w:lang w:eastAsia="de-DE"/>
        </w:rPr>
        <w:t>אַיִל</w:t>
      </w:r>
      <w:r w:rsidRPr="00C22013">
        <w:rPr>
          <w:rFonts w:eastAsia="Times New Roman" w:cs="Times New Roman"/>
          <w:rtl/>
          <w:lang w:eastAsia="de-DE"/>
        </w:rPr>
        <w:t xml:space="preserve"> </w:t>
      </w:r>
      <w:r w:rsidRPr="00C22013">
        <w:rPr>
          <w:rFonts w:eastAsia="Times New Roman" w:cs="Times New Roman"/>
          <w:lang w:eastAsia="de-DE"/>
        </w:rPr>
        <w:t xml:space="preserve">(Widder), </w:t>
      </w:r>
      <w:r w:rsidRPr="00C22013">
        <w:rPr>
          <w:rFonts w:eastAsia="Times New Roman" w:cs="Times New Roman"/>
          <w:b/>
          <w:bCs/>
          <w:rtl/>
          <w:lang w:eastAsia="de-DE"/>
        </w:rPr>
        <w:t>שֶׂה</w:t>
      </w:r>
      <w:r w:rsidRPr="00C22013">
        <w:rPr>
          <w:rFonts w:eastAsia="Times New Roman" w:cs="Times New Roman"/>
          <w:rtl/>
          <w:lang w:eastAsia="de-DE"/>
        </w:rPr>
        <w:t xml:space="preserve"> </w:t>
      </w:r>
      <w:r w:rsidRPr="00C22013">
        <w:rPr>
          <w:rFonts w:eastAsia="Times New Roman" w:cs="Times New Roman"/>
          <w:lang w:eastAsia="de-DE"/>
        </w:rPr>
        <w:t xml:space="preserve">(Stück Kleinvieh), </w:t>
      </w:r>
      <w:r w:rsidRPr="00C22013">
        <w:rPr>
          <w:rFonts w:eastAsia="Times New Roman" w:cs="Times New Roman"/>
          <w:b/>
          <w:bCs/>
          <w:rtl/>
          <w:lang w:eastAsia="de-DE"/>
        </w:rPr>
        <w:t>כְּבָשִׂים</w:t>
      </w:r>
      <w:r w:rsidRPr="00C22013">
        <w:rPr>
          <w:rFonts w:eastAsia="Times New Roman" w:cs="Times New Roman"/>
          <w:rtl/>
          <w:lang w:eastAsia="de-DE"/>
        </w:rPr>
        <w:t xml:space="preserve"> </w:t>
      </w:r>
      <w:r w:rsidRPr="00C22013">
        <w:rPr>
          <w:rFonts w:eastAsia="Times New Roman" w:cs="Times New Roman"/>
          <w:lang w:eastAsia="de-DE"/>
        </w:rPr>
        <w:t xml:space="preserve">(Schafe) und </w:t>
      </w:r>
      <w:r w:rsidRPr="00C22013">
        <w:rPr>
          <w:rFonts w:eastAsia="Times New Roman" w:cs="Times New Roman"/>
          <w:b/>
          <w:bCs/>
          <w:rtl/>
          <w:lang w:eastAsia="de-DE"/>
        </w:rPr>
        <w:t>עִזִּים</w:t>
      </w:r>
      <w:r w:rsidRPr="00C22013">
        <w:rPr>
          <w:rFonts w:eastAsia="Times New Roman" w:cs="Times New Roman"/>
          <w:rtl/>
          <w:lang w:eastAsia="de-DE"/>
        </w:rPr>
        <w:t xml:space="preserve"> </w:t>
      </w:r>
      <w:r w:rsidRPr="00C22013">
        <w:rPr>
          <w:rFonts w:eastAsia="Times New Roman" w:cs="Times New Roman"/>
          <w:lang w:eastAsia="de-DE"/>
        </w:rPr>
        <w:t>(Ziegen) zeigt die vollständige Aufzählung aller zugelassenen Opfertiere.</w:t>
      </w:r>
    </w:p>
    <w:p w14:paraId="4B5F718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שׁוֹר</w:t>
      </w:r>
      <w:r w:rsidRPr="00C22013">
        <w:rPr>
          <w:rFonts w:eastAsia="Times New Roman" w:cs="Times New Roman"/>
          <w:rtl/>
          <w:lang w:eastAsia="de-DE"/>
        </w:rPr>
        <w:t xml:space="preserve"> </w:t>
      </w:r>
      <w:r w:rsidRPr="00C22013">
        <w:rPr>
          <w:rFonts w:eastAsia="Times New Roman" w:cs="Times New Roman"/>
          <w:lang w:eastAsia="de-DE"/>
        </w:rPr>
        <w:t xml:space="preserve">mit μόσχον (Kalb), </w:t>
      </w:r>
      <w:r w:rsidRPr="00C22013">
        <w:rPr>
          <w:rFonts w:eastAsia="Times New Roman" w:cs="Times New Roman"/>
          <w:b/>
          <w:bCs/>
          <w:rtl/>
          <w:lang w:eastAsia="de-DE"/>
        </w:rPr>
        <w:t>שֶׂה</w:t>
      </w:r>
      <w:r w:rsidRPr="00C22013">
        <w:rPr>
          <w:rFonts w:eastAsia="Times New Roman" w:cs="Times New Roman"/>
          <w:rtl/>
          <w:lang w:eastAsia="de-DE"/>
        </w:rPr>
        <w:t xml:space="preserve"> </w:t>
      </w:r>
      <w:r w:rsidRPr="00C22013">
        <w:rPr>
          <w:rFonts w:eastAsia="Times New Roman" w:cs="Times New Roman"/>
          <w:lang w:eastAsia="de-DE"/>
        </w:rPr>
        <w:t xml:space="preserve">mit πρόβατον (Schaf) und </w:t>
      </w:r>
      <w:r w:rsidRPr="00C22013">
        <w:rPr>
          <w:rFonts w:eastAsia="Times New Roman" w:cs="Times New Roman"/>
          <w:b/>
          <w:bCs/>
          <w:rtl/>
          <w:lang w:eastAsia="de-DE"/>
        </w:rPr>
        <w:t>עִזִּים</w:t>
      </w:r>
      <w:r w:rsidRPr="00C22013">
        <w:rPr>
          <w:rFonts w:eastAsia="Times New Roman" w:cs="Times New Roman"/>
          <w:rtl/>
          <w:lang w:eastAsia="de-DE"/>
        </w:rPr>
        <w:t xml:space="preserve"> </w:t>
      </w:r>
      <w:r w:rsidRPr="00C22013">
        <w:rPr>
          <w:rFonts w:eastAsia="Times New Roman" w:cs="Times New Roman"/>
          <w:lang w:eastAsia="de-DE"/>
        </w:rPr>
        <w:t>mit αἰγῶν (Ziegen).</w:t>
      </w:r>
    </w:p>
    <w:p w14:paraId="27926C6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zusammenfassende Anwendung und vollständige Tierarten-Aufzählung.</w:t>
      </w:r>
    </w:p>
    <w:p w14:paraId="3755A60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fasst die Gültigkeit der Bestimmungen für alle drei Hauptkategorien von Opfertieren zusammen.</w:t>
      </w:r>
    </w:p>
    <w:p w14:paraId="27E09416"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15,12</w:t>
      </w:r>
    </w:p>
    <w:p w14:paraId="6D9DCA2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כַּמִּסְפָּ֖ר אֲשֶׁ֣ר תַּעֲשׂ֑וּ כָּ֛כָה תַּעֲשׂ֥וּ לָאֶחָ֖ד כְּמִסְפָּרָֽם׃</w:t>
      </w:r>
    </w:p>
    <w:p w14:paraId="596078C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Nach der Zahl, die ihr bereitet, sollt ihr so tun für jedes, nach ihrer Zahl.</w:t>
      </w:r>
    </w:p>
    <w:p w14:paraId="65056E6F"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2062B6CF">
          <v:rect id="_x0000_i1509" style="width:0;height:1.5pt" o:hralign="center" o:hrstd="t" o:hr="t" fillcolor="#a0a0a0" stroked="f"/>
        </w:pict>
      </w:r>
    </w:p>
    <w:p w14:paraId="1C6A8ED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Kommentar:</w:t>
      </w:r>
      <w:r w:rsidRPr="00C22013">
        <w:rPr>
          <w:rFonts w:eastAsia="Times New Roman" w:cs="Times New Roman"/>
          <w:lang w:eastAsia="de-DE"/>
        </w:rPr>
        <w:t xml:space="preserve"> Die Mengenregel </w:t>
      </w:r>
      <w:r w:rsidRPr="00C22013">
        <w:rPr>
          <w:rFonts w:eastAsia="Times New Roman" w:cs="Times New Roman"/>
          <w:b/>
          <w:bCs/>
          <w:rtl/>
          <w:lang w:eastAsia="de-DE"/>
        </w:rPr>
        <w:t>כַּמִּסְפָּ֖ר אֲשֶׁ֣ר תַּעֲשׂ֑וּ</w:t>
      </w:r>
      <w:r w:rsidRPr="00C22013">
        <w:rPr>
          <w:rFonts w:eastAsia="Times New Roman" w:cs="Times New Roman"/>
          <w:rtl/>
          <w:lang w:eastAsia="de-DE"/>
        </w:rPr>
        <w:t xml:space="preserve"> </w:t>
      </w:r>
      <w:r w:rsidRPr="00C22013">
        <w:rPr>
          <w:rFonts w:eastAsia="Times New Roman" w:cs="Times New Roman"/>
          <w:lang w:eastAsia="de-DE"/>
        </w:rPr>
        <w:t xml:space="preserve">(nach der Zahl, die ihr bereitet) mit </w:t>
      </w:r>
      <w:r w:rsidRPr="00C22013">
        <w:rPr>
          <w:rFonts w:eastAsia="Times New Roman" w:cs="Times New Roman"/>
          <w:b/>
          <w:bCs/>
          <w:rtl/>
          <w:lang w:eastAsia="de-DE"/>
        </w:rPr>
        <w:t>כַּמִּסְפָּר</w:t>
      </w:r>
      <w:r w:rsidRPr="00C22013">
        <w:rPr>
          <w:rFonts w:eastAsia="Times New Roman" w:cs="Times New Roman"/>
          <w:rtl/>
          <w:lang w:eastAsia="de-DE"/>
        </w:rPr>
        <w:t xml:space="preserve"> </w:t>
      </w:r>
      <w:r w:rsidRPr="00C22013">
        <w:rPr>
          <w:rFonts w:eastAsia="Times New Roman" w:cs="Times New Roman"/>
          <w:lang w:eastAsia="de-DE"/>
        </w:rPr>
        <w:t xml:space="preserve">(nach der Zahl) und </w:t>
      </w:r>
      <w:r w:rsidRPr="00C22013">
        <w:rPr>
          <w:rFonts w:eastAsia="Times New Roman" w:cs="Times New Roman"/>
          <w:b/>
          <w:bCs/>
          <w:rtl/>
          <w:lang w:eastAsia="de-DE"/>
        </w:rPr>
        <w:t>אֲשֶׁר תַּעֲשׂוּ</w:t>
      </w:r>
      <w:r w:rsidRPr="00C22013">
        <w:rPr>
          <w:rFonts w:eastAsia="Times New Roman" w:cs="Times New Roman"/>
          <w:rtl/>
          <w:lang w:eastAsia="de-DE"/>
        </w:rPr>
        <w:t xml:space="preserve"> </w:t>
      </w:r>
      <w:r w:rsidRPr="00C22013">
        <w:rPr>
          <w:rFonts w:eastAsia="Times New Roman" w:cs="Times New Roman"/>
          <w:lang w:eastAsia="de-DE"/>
        </w:rPr>
        <w:t>(die ihr bereitet) zeigt das Prinzip der Multiplikation bei mehreren Opfertieren.</w:t>
      </w:r>
    </w:p>
    <w:p w14:paraId="3EF7756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Anwendung </w:t>
      </w:r>
      <w:r w:rsidRPr="00C22013">
        <w:rPr>
          <w:rFonts w:eastAsia="Times New Roman" w:cs="Times New Roman"/>
          <w:b/>
          <w:bCs/>
          <w:rtl/>
          <w:lang w:eastAsia="de-DE"/>
        </w:rPr>
        <w:t>כָּ֛כָה תַּעֲשׂ֥וּ לָאֶחָ֖ד כְּמִסְפָּרָֽם</w:t>
      </w:r>
      <w:r w:rsidRPr="00C22013">
        <w:rPr>
          <w:rFonts w:eastAsia="Times New Roman" w:cs="Times New Roman"/>
          <w:rtl/>
          <w:lang w:eastAsia="de-DE"/>
        </w:rPr>
        <w:t xml:space="preserve"> </w:t>
      </w:r>
      <w:r w:rsidRPr="00C22013">
        <w:rPr>
          <w:rFonts w:eastAsia="Times New Roman" w:cs="Times New Roman"/>
          <w:lang w:eastAsia="de-DE"/>
        </w:rPr>
        <w:t xml:space="preserve">(so sollt ihr tun für jedes einzelne nach ihrer Zahl) mit </w:t>
      </w:r>
      <w:r w:rsidRPr="00C22013">
        <w:rPr>
          <w:rFonts w:eastAsia="Times New Roman" w:cs="Times New Roman"/>
          <w:b/>
          <w:bCs/>
          <w:rtl/>
          <w:lang w:eastAsia="de-DE"/>
        </w:rPr>
        <w:t>כָּכָה</w:t>
      </w:r>
      <w:r w:rsidRPr="00C22013">
        <w:rPr>
          <w:rFonts w:eastAsia="Times New Roman" w:cs="Times New Roman"/>
          <w:rtl/>
          <w:lang w:eastAsia="de-DE"/>
        </w:rPr>
        <w:t xml:space="preserve"> </w:t>
      </w:r>
      <w:r w:rsidRPr="00C22013">
        <w:rPr>
          <w:rFonts w:eastAsia="Times New Roman" w:cs="Times New Roman"/>
          <w:lang w:eastAsia="de-DE"/>
        </w:rPr>
        <w:t xml:space="preserve">(so), </w:t>
      </w:r>
      <w:r w:rsidRPr="00C22013">
        <w:rPr>
          <w:rFonts w:eastAsia="Times New Roman" w:cs="Times New Roman"/>
          <w:b/>
          <w:bCs/>
          <w:rtl/>
          <w:lang w:eastAsia="de-DE"/>
        </w:rPr>
        <w:t>לָאֶחָד</w:t>
      </w:r>
      <w:r w:rsidRPr="00C22013">
        <w:rPr>
          <w:rFonts w:eastAsia="Times New Roman" w:cs="Times New Roman"/>
          <w:rtl/>
          <w:lang w:eastAsia="de-DE"/>
        </w:rPr>
        <w:t xml:space="preserve"> </w:t>
      </w:r>
      <w:r w:rsidRPr="00C22013">
        <w:rPr>
          <w:rFonts w:eastAsia="Times New Roman" w:cs="Times New Roman"/>
          <w:lang w:eastAsia="de-DE"/>
        </w:rPr>
        <w:t xml:space="preserve">(für jedes einzelne) und </w:t>
      </w:r>
      <w:r w:rsidRPr="00C22013">
        <w:rPr>
          <w:rFonts w:eastAsia="Times New Roman" w:cs="Times New Roman"/>
          <w:b/>
          <w:bCs/>
          <w:rtl/>
          <w:lang w:eastAsia="de-DE"/>
        </w:rPr>
        <w:t>כְּמִסְפָּרָם</w:t>
      </w:r>
      <w:r w:rsidRPr="00C22013">
        <w:rPr>
          <w:rFonts w:eastAsia="Times New Roman" w:cs="Times New Roman"/>
          <w:rtl/>
          <w:lang w:eastAsia="de-DE"/>
        </w:rPr>
        <w:t xml:space="preserve"> </w:t>
      </w:r>
      <w:r w:rsidRPr="00C22013">
        <w:rPr>
          <w:rFonts w:eastAsia="Times New Roman" w:cs="Times New Roman"/>
          <w:lang w:eastAsia="de-DE"/>
        </w:rPr>
        <w:t>(nach ihrer Zahl) zeigt, dass jedes Opfertier seine entsprechenden Begleitopfer erhalten muss.</w:t>
      </w:r>
    </w:p>
    <w:p w14:paraId="365F9DF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כַּמִּסְפָּר</w:t>
      </w:r>
      <w:r w:rsidRPr="00C22013">
        <w:rPr>
          <w:rFonts w:eastAsia="Times New Roman" w:cs="Times New Roman"/>
          <w:rtl/>
          <w:lang w:eastAsia="de-DE"/>
        </w:rPr>
        <w:t xml:space="preserve"> </w:t>
      </w:r>
      <w:r w:rsidRPr="00C22013">
        <w:rPr>
          <w:rFonts w:eastAsia="Times New Roman" w:cs="Times New Roman"/>
          <w:lang w:eastAsia="de-DE"/>
        </w:rPr>
        <w:t xml:space="preserve">mit κατὰ τὸν ἀριθμόν (nach der Zahl) und </w:t>
      </w:r>
      <w:r w:rsidRPr="00C22013">
        <w:rPr>
          <w:rFonts w:eastAsia="Times New Roman" w:cs="Times New Roman"/>
          <w:b/>
          <w:bCs/>
          <w:rtl/>
          <w:lang w:eastAsia="de-DE"/>
        </w:rPr>
        <w:t>לָאֶחָד</w:t>
      </w:r>
      <w:r w:rsidRPr="00C22013">
        <w:rPr>
          <w:rFonts w:eastAsia="Times New Roman" w:cs="Times New Roman"/>
          <w:rtl/>
          <w:lang w:eastAsia="de-DE"/>
        </w:rPr>
        <w:t xml:space="preserve"> </w:t>
      </w:r>
      <w:r w:rsidRPr="00C22013">
        <w:rPr>
          <w:rFonts w:eastAsia="Times New Roman" w:cs="Times New Roman"/>
          <w:lang w:eastAsia="de-DE"/>
        </w:rPr>
        <w:t>mit ἑνὶ ἑκάστῳ (für jeden einzelnen).</w:t>
      </w:r>
    </w:p>
    <w:p w14:paraId="0D3C441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Mengenregel und individuelle Anwendung pro Opfertier.</w:t>
      </w:r>
    </w:p>
    <w:p w14:paraId="5C0C9F5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stellt klar, dass bei mehreren Opfertieren jedes seine entsprechenden Begleitopfer erhalten muss.</w:t>
      </w:r>
    </w:p>
    <w:p w14:paraId="6B48970D"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15,13</w:t>
      </w:r>
    </w:p>
    <w:p w14:paraId="5AD7C98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כָּל־הָאֶזְרָ֥ח יַעֲשֶׂה־כָּ֖כָה אֶת־אֵ֑לֶּה לְהַקְרִ֛יב אִשֵּׁ֥ה רֵֽיחַ־נִיחֹ֖חַ לַֽיהוָֽה׃</w:t>
      </w:r>
    </w:p>
    <w:p w14:paraId="235A366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Jeder Einheimische soll dieses so tun, wenn er dem Ewigen ein Feueropfer wohlgefälligenden Geruchs darbringt.</w:t>
      </w:r>
    </w:p>
    <w:p w14:paraId="56E5CD68"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60BD914">
          <v:rect id="_x0000_i1510" style="width:0;height:1.5pt" o:hralign="center" o:hrstd="t" o:hr="t" fillcolor="#a0a0a0" stroked="f"/>
        </w:pict>
      </w:r>
    </w:p>
    <w:p w14:paraId="4905ED4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Universalität </w:t>
      </w:r>
      <w:r w:rsidRPr="00C22013">
        <w:rPr>
          <w:rFonts w:eastAsia="Times New Roman" w:cs="Times New Roman"/>
          <w:b/>
          <w:bCs/>
          <w:rtl/>
          <w:lang w:eastAsia="de-DE"/>
        </w:rPr>
        <w:t>כָּל־הָאֶזְרָ֥ח יַעֲשֶׂה־כָּ֖כָה אֶת־אֵ֑לֶּה</w:t>
      </w:r>
      <w:r w:rsidRPr="00C22013">
        <w:rPr>
          <w:rFonts w:eastAsia="Times New Roman" w:cs="Times New Roman"/>
          <w:rtl/>
          <w:lang w:eastAsia="de-DE"/>
        </w:rPr>
        <w:t xml:space="preserve"> </w:t>
      </w:r>
      <w:r w:rsidRPr="00C22013">
        <w:rPr>
          <w:rFonts w:eastAsia="Times New Roman" w:cs="Times New Roman"/>
          <w:lang w:eastAsia="de-DE"/>
        </w:rPr>
        <w:t xml:space="preserve">(jeder Einheimische soll dieses so tun) mit </w:t>
      </w:r>
      <w:r w:rsidRPr="00C22013">
        <w:rPr>
          <w:rFonts w:eastAsia="Times New Roman" w:cs="Times New Roman"/>
          <w:b/>
          <w:bCs/>
          <w:rtl/>
          <w:lang w:eastAsia="de-DE"/>
        </w:rPr>
        <w:t>כָּל־הָאֶזְרָח</w:t>
      </w:r>
      <w:r w:rsidRPr="00C22013">
        <w:rPr>
          <w:rFonts w:eastAsia="Times New Roman" w:cs="Times New Roman"/>
          <w:rtl/>
          <w:lang w:eastAsia="de-DE"/>
        </w:rPr>
        <w:t xml:space="preserve"> </w:t>
      </w:r>
      <w:r w:rsidRPr="00C22013">
        <w:rPr>
          <w:rFonts w:eastAsia="Times New Roman" w:cs="Times New Roman"/>
          <w:lang w:eastAsia="de-DE"/>
        </w:rPr>
        <w:t xml:space="preserve">(jeder Einheimische) und </w:t>
      </w:r>
      <w:r w:rsidRPr="00C22013">
        <w:rPr>
          <w:rFonts w:eastAsia="Times New Roman" w:cs="Times New Roman"/>
          <w:b/>
          <w:bCs/>
          <w:rtl/>
          <w:lang w:eastAsia="de-DE"/>
        </w:rPr>
        <w:t>יַעֲשֶׂה־כָּכָה</w:t>
      </w:r>
      <w:r w:rsidRPr="00C22013">
        <w:rPr>
          <w:rFonts w:eastAsia="Times New Roman" w:cs="Times New Roman"/>
          <w:rtl/>
          <w:lang w:eastAsia="de-DE"/>
        </w:rPr>
        <w:t xml:space="preserve"> </w:t>
      </w:r>
      <w:r w:rsidRPr="00C22013">
        <w:rPr>
          <w:rFonts w:eastAsia="Times New Roman" w:cs="Times New Roman"/>
          <w:lang w:eastAsia="de-DE"/>
        </w:rPr>
        <w:t>(soll so tun) betont die Geltung für alle israelitischen Staatsbürger.</w:t>
      </w:r>
    </w:p>
    <w:p w14:paraId="036C256B" w14:textId="2B30CED8"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Der Zweck </w:t>
      </w:r>
      <w:r w:rsidRPr="00C22013">
        <w:rPr>
          <w:rFonts w:eastAsia="Times New Roman" w:cs="Times New Roman"/>
          <w:b/>
          <w:bCs/>
          <w:rtl/>
          <w:lang w:eastAsia="de-DE"/>
        </w:rPr>
        <w:t>לְהַקְרִ֛יב אִשֵּׁ֥ה רֵֽיחַ־נִיחֹ֖חַ לַֽיהוָֽה</w:t>
      </w:r>
      <w:r w:rsidRPr="00C22013">
        <w:rPr>
          <w:rFonts w:eastAsia="Times New Roman" w:cs="Times New Roman"/>
          <w:rtl/>
          <w:lang w:eastAsia="de-DE"/>
        </w:rPr>
        <w:t xml:space="preserve"> </w:t>
      </w:r>
      <w:r w:rsidRPr="00C22013">
        <w:rPr>
          <w:rFonts w:eastAsia="Times New Roman" w:cs="Times New Roman"/>
          <w:lang w:eastAsia="de-DE"/>
        </w:rPr>
        <w:t xml:space="preserve">(um ein Feueropfer wohlgefälligen Geruchs dem Ewigen darzubringen) mit </w:t>
      </w:r>
      <w:r w:rsidRPr="00C22013">
        <w:rPr>
          <w:rFonts w:eastAsia="Times New Roman" w:cs="Times New Roman"/>
          <w:b/>
          <w:bCs/>
          <w:rtl/>
          <w:lang w:eastAsia="de-DE"/>
        </w:rPr>
        <w:t>לְהַקְרִיב</w:t>
      </w:r>
      <w:r w:rsidRPr="00C22013">
        <w:rPr>
          <w:rFonts w:eastAsia="Times New Roman" w:cs="Times New Roman"/>
          <w:rtl/>
          <w:lang w:eastAsia="de-DE"/>
        </w:rPr>
        <w:t xml:space="preserve"> </w:t>
      </w:r>
      <w:r w:rsidRPr="00C22013">
        <w:rPr>
          <w:rFonts w:eastAsia="Times New Roman" w:cs="Times New Roman"/>
          <w:lang w:eastAsia="de-DE"/>
        </w:rPr>
        <w:t>(um darzubringen) als Hiph'il-Infinitiv-</w:t>
      </w:r>
      <w:r w:rsidR="00F133EC">
        <w:rPr>
          <w:rFonts w:eastAsia="Times New Roman" w:cs="Times New Roman"/>
          <w:lang w:eastAsia="de-DE"/>
        </w:rPr>
        <w:t>Construct</w:t>
      </w:r>
      <w:r w:rsidRPr="00C22013">
        <w:rPr>
          <w:rFonts w:eastAsia="Times New Roman" w:cs="Times New Roman"/>
          <w:lang w:eastAsia="de-DE"/>
        </w:rPr>
        <w:t xml:space="preserve"> wiederholt die klassische Opferzweck-Formel.</w:t>
      </w:r>
    </w:p>
    <w:p w14:paraId="66E439E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אֶזְרָח</w:t>
      </w:r>
      <w:r w:rsidRPr="00C22013">
        <w:rPr>
          <w:rFonts w:eastAsia="Times New Roman" w:cs="Times New Roman"/>
          <w:rtl/>
          <w:lang w:eastAsia="de-DE"/>
        </w:rPr>
        <w:t xml:space="preserve"> </w:t>
      </w:r>
      <w:r w:rsidRPr="00C22013">
        <w:rPr>
          <w:rFonts w:eastAsia="Times New Roman" w:cs="Times New Roman"/>
          <w:lang w:eastAsia="de-DE"/>
        </w:rPr>
        <w:t xml:space="preserve">mit αὐτόχθων (Eingeborener), </w:t>
      </w:r>
      <w:r w:rsidRPr="00C22013">
        <w:rPr>
          <w:rFonts w:eastAsia="Times New Roman" w:cs="Times New Roman"/>
          <w:b/>
          <w:bCs/>
          <w:rtl/>
          <w:lang w:eastAsia="de-DE"/>
        </w:rPr>
        <w:t>יַעֲשֶׂה</w:t>
      </w:r>
      <w:r w:rsidRPr="00C22013">
        <w:rPr>
          <w:rFonts w:eastAsia="Times New Roman" w:cs="Times New Roman"/>
          <w:rtl/>
          <w:lang w:eastAsia="de-DE"/>
        </w:rPr>
        <w:t xml:space="preserve"> </w:t>
      </w:r>
      <w:r w:rsidRPr="00C22013">
        <w:rPr>
          <w:rFonts w:eastAsia="Times New Roman" w:cs="Times New Roman"/>
          <w:lang w:eastAsia="de-DE"/>
        </w:rPr>
        <w:t xml:space="preserve">mit ποιήσει (er wird tun) und </w:t>
      </w:r>
      <w:r w:rsidRPr="00C22013">
        <w:rPr>
          <w:rFonts w:eastAsia="Times New Roman" w:cs="Times New Roman"/>
          <w:b/>
          <w:bCs/>
          <w:rtl/>
          <w:lang w:eastAsia="de-DE"/>
        </w:rPr>
        <w:t>אִשֶּׁה</w:t>
      </w:r>
      <w:r w:rsidRPr="00C22013">
        <w:rPr>
          <w:rFonts w:eastAsia="Times New Roman" w:cs="Times New Roman"/>
          <w:rtl/>
          <w:lang w:eastAsia="de-DE"/>
        </w:rPr>
        <w:t xml:space="preserve"> </w:t>
      </w:r>
      <w:r w:rsidRPr="00C22013">
        <w:rPr>
          <w:rFonts w:eastAsia="Times New Roman" w:cs="Times New Roman"/>
          <w:lang w:eastAsia="de-DE"/>
        </w:rPr>
        <w:t>mit κάρπωμα (Opfergabe).</w:t>
      </w:r>
    </w:p>
    <w:p w14:paraId="5C8F6B4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universelle Geltung für Einheimische und Zweckbestimmung.</w:t>
      </w:r>
    </w:p>
    <w:p w14:paraId="05135A6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betont die Geltung der Opferbestimmungen für alle israelitischen Staatsbürger.</w:t>
      </w:r>
    </w:p>
    <w:p w14:paraId="527F4867"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15,14</w:t>
      </w:r>
    </w:p>
    <w:p w14:paraId="7809795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וְכִֽי־יָגוּר֩ אִתְּכֶ֨ם גֵּ֜ר א֤וֹ אֲשֶֽׁר־בְּתֽוֹכְכֶם֙ לְדֹרֹ֣תֵיכֶ֔ם וְעָשָׂ֛ה אִשֵּׁ֥ה רֵֽיחַ־נִיחֹ֖חַ לַיהוָ֑ה כַּאֲשֶׁ֥ר תַּעֲשׂ֖וּ כֵּ֥ן יַעֲשֶֽׂה׃</w:t>
      </w:r>
    </w:p>
    <w:p w14:paraId="1E8134A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wenn ein Fremder bei euch weilt oder wer in eurer Mitte ist bei euren Geschlechtern, und er opfert dem Ewigen ein Feueropfer wohlgefälligenden Geruchs, so wie ihr tut, so soll er tun.</w:t>
      </w:r>
    </w:p>
    <w:p w14:paraId="5DCEE009"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lastRenderedPageBreak/>
        <w:pict w14:anchorId="0F937862">
          <v:rect id="_x0000_i1511" style="width:0;height:1.5pt" o:hralign="center" o:hrstd="t" o:hr="t" fillcolor="#a0a0a0" stroked="f"/>
        </w:pict>
      </w:r>
    </w:p>
    <w:p w14:paraId="6475978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Fremdlingsklausel </w:t>
      </w:r>
      <w:r w:rsidRPr="00C22013">
        <w:rPr>
          <w:rFonts w:eastAsia="Times New Roman" w:cs="Times New Roman"/>
          <w:b/>
          <w:bCs/>
          <w:rtl/>
          <w:lang w:eastAsia="de-DE"/>
        </w:rPr>
        <w:t>וְכִֽי־יָגוּר֩ אִתְּכֶ֨ם גֵּ֜ר א֤וֹ אֲשֶֽׁר־בְּתֽוֹכְכֶם֙ לְדֹרֹ֣תֵיכֶ֔ם</w:t>
      </w:r>
      <w:r w:rsidRPr="00C22013">
        <w:rPr>
          <w:rFonts w:eastAsia="Times New Roman" w:cs="Times New Roman"/>
          <w:rtl/>
          <w:lang w:eastAsia="de-DE"/>
        </w:rPr>
        <w:t xml:space="preserve"> </w:t>
      </w:r>
      <w:r w:rsidRPr="00C22013">
        <w:rPr>
          <w:rFonts w:eastAsia="Times New Roman" w:cs="Times New Roman"/>
          <w:lang w:eastAsia="de-DE"/>
        </w:rPr>
        <w:t xml:space="preserve">(und wenn ein Fremder bei euch weilt oder wer in eurer Mitte ist bei euren Geschlechtern) mit </w:t>
      </w:r>
      <w:r w:rsidRPr="00C22013">
        <w:rPr>
          <w:rFonts w:eastAsia="Times New Roman" w:cs="Times New Roman"/>
          <w:b/>
          <w:bCs/>
          <w:rtl/>
          <w:lang w:eastAsia="de-DE"/>
        </w:rPr>
        <w:t>יָגוּר</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גור</w:t>
      </w:r>
      <w:r w:rsidRPr="00C22013">
        <w:rPr>
          <w:rFonts w:eastAsia="Times New Roman" w:cs="Times New Roman"/>
          <w:rtl/>
          <w:lang w:eastAsia="de-DE"/>
        </w:rPr>
        <w:t xml:space="preserve"> </w:t>
      </w:r>
      <w:r w:rsidRPr="00C22013">
        <w:rPr>
          <w:rFonts w:eastAsia="Times New Roman" w:cs="Times New Roman"/>
          <w:lang w:eastAsia="de-DE"/>
        </w:rPr>
        <w:t xml:space="preserve">(als Fremder wohnen), </w:t>
      </w:r>
      <w:r w:rsidRPr="00C22013">
        <w:rPr>
          <w:rFonts w:eastAsia="Times New Roman" w:cs="Times New Roman"/>
          <w:b/>
          <w:bCs/>
          <w:rtl/>
          <w:lang w:eastAsia="de-DE"/>
        </w:rPr>
        <w:t>גֵּר</w:t>
      </w:r>
      <w:r w:rsidRPr="00C22013">
        <w:rPr>
          <w:rFonts w:eastAsia="Times New Roman" w:cs="Times New Roman"/>
          <w:rtl/>
          <w:lang w:eastAsia="de-DE"/>
        </w:rPr>
        <w:t xml:space="preserve"> </w:t>
      </w:r>
      <w:r w:rsidRPr="00C22013">
        <w:rPr>
          <w:rFonts w:eastAsia="Times New Roman" w:cs="Times New Roman"/>
          <w:lang w:eastAsia="de-DE"/>
        </w:rPr>
        <w:t xml:space="preserve">(Fremder/Proselyt), </w:t>
      </w:r>
      <w:r w:rsidRPr="00C22013">
        <w:rPr>
          <w:rFonts w:eastAsia="Times New Roman" w:cs="Times New Roman"/>
          <w:b/>
          <w:bCs/>
          <w:rtl/>
          <w:lang w:eastAsia="de-DE"/>
        </w:rPr>
        <w:t>אִתְּכֶם</w:t>
      </w:r>
      <w:r w:rsidRPr="00C22013">
        <w:rPr>
          <w:rFonts w:eastAsia="Times New Roman" w:cs="Times New Roman"/>
          <w:rtl/>
          <w:lang w:eastAsia="de-DE"/>
        </w:rPr>
        <w:t xml:space="preserve"> </w:t>
      </w:r>
      <w:r w:rsidRPr="00C22013">
        <w:rPr>
          <w:rFonts w:eastAsia="Times New Roman" w:cs="Times New Roman"/>
          <w:lang w:eastAsia="de-DE"/>
        </w:rPr>
        <w:t xml:space="preserve">(bei euch), </w:t>
      </w:r>
      <w:r w:rsidRPr="00C22013">
        <w:rPr>
          <w:rFonts w:eastAsia="Times New Roman" w:cs="Times New Roman"/>
          <w:b/>
          <w:bCs/>
          <w:rtl/>
          <w:lang w:eastAsia="de-DE"/>
        </w:rPr>
        <w:t>בְּתוֹכְכֶם</w:t>
      </w:r>
      <w:r w:rsidRPr="00C22013">
        <w:rPr>
          <w:rFonts w:eastAsia="Times New Roman" w:cs="Times New Roman"/>
          <w:rtl/>
          <w:lang w:eastAsia="de-DE"/>
        </w:rPr>
        <w:t xml:space="preserve"> </w:t>
      </w:r>
      <w:r w:rsidRPr="00C22013">
        <w:rPr>
          <w:rFonts w:eastAsia="Times New Roman" w:cs="Times New Roman"/>
          <w:lang w:eastAsia="de-DE"/>
        </w:rPr>
        <w:t xml:space="preserve">(in eurer Mitte) und </w:t>
      </w:r>
      <w:r w:rsidRPr="00C22013">
        <w:rPr>
          <w:rFonts w:eastAsia="Times New Roman" w:cs="Times New Roman"/>
          <w:b/>
          <w:bCs/>
          <w:rtl/>
          <w:lang w:eastAsia="de-DE"/>
        </w:rPr>
        <w:t>לְדֹרֹתֵיכֶם</w:t>
      </w:r>
      <w:r w:rsidRPr="00C22013">
        <w:rPr>
          <w:rFonts w:eastAsia="Times New Roman" w:cs="Times New Roman"/>
          <w:rtl/>
          <w:lang w:eastAsia="de-DE"/>
        </w:rPr>
        <w:t xml:space="preserve"> </w:t>
      </w:r>
      <w:r w:rsidRPr="00C22013">
        <w:rPr>
          <w:rFonts w:eastAsia="Times New Roman" w:cs="Times New Roman"/>
          <w:lang w:eastAsia="de-DE"/>
        </w:rPr>
        <w:t>(bei euren Geschlechtern) zeigt die zeitlich unbegrenzte Einbeziehung von Fremden.</w:t>
      </w:r>
    </w:p>
    <w:p w14:paraId="0E43033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Gleichbehandlung </w:t>
      </w:r>
      <w:r w:rsidRPr="00C22013">
        <w:rPr>
          <w:rFonts w:eastAsia="Times New Roman" w:cs="Times New Roman"/>
          <w:b/>
          <w:bCs/>
          <w:rtl/>
          <w:lang w:eastAsia="de-DE"/>
        </w:rPr>
        <w:t>וְעָשָׂ֛ה אִשֵּׁ֥ה רֵֽיחַ־נִיחֹ֖חַ לַיהוָ֑ה כַּאֲשֶׁ֥ר תַּעֲשׂ֖וּ כֵּ֥ן יַעֲשֶֽׂה</w:t>
      </w:r>
      <w:r w:rsidRPr="00C22013">
        <w:rPr>
          <w:rFonts w:eastAsia="Times New Roman" w:cs="Times New Roman"/>
          <w:rtl/>
          <w:lang w:eastAsia="de-DE"/>
        </w:rPr>
        <w:t xml:space="preserve"> </w:t>
      </w:r>
      <w:r w:rsidRPr="00C22013">
        <w:rPr>
          <w:rFonts w:eastAsia="Times New Roman" w:cs="Times New Roman"/>
          <w:lang w:eastAsia="de-DE"/>
        </w:rPr>
        <w:t xml:space="preserve">(und er macht ein Feueropfer wohlgefälligen Geruchs dem Ewigen, wie ihr tut, so soll er tun) mit </w:t>
      </w:r>
      <w:r w:rsidRPr="00C22013">
        <w:rPr>
          <w:rFonts w:eastAsia="Times New Roman" w:cs="Times New Roman"/>
          <w:b/>
          <w:bCs/>
          <w:rtl/>
          <w:lang w:eastAsia="de-DE"/>
        </w:rPr>
        <w:t>כַּאֲשֶׁר תַּעֲשׂוּ כֵּן יַעֲשֶׂה</w:t>
      </w:r>
      <w:r w:rsidRPr="00C22013">
        <w:rPr>
          <w:rFonts w:eastAsia="Times New Roman" w:cs="Times New Roman"/>
          <w:rtl/>
          <w:lang w:eastAsia="de-DE"/>
        </w:rPr>
        <w:t xml:space="preserve"> </w:t>
      </w:r>
      <w:r w:rsidRPr="00C22013">
        <w:rPr>
          <w:rFonts w:eastAsia="Times New Roman" w:cs="Times New Roman"/>
          <w:lang w:eastAsia="de-DE"/>
        </w:rPr>
        <w:t>(wie ihr tut, so soll er tun) zeigt völlige Gleichstellung in den Opferbestimmungen.</w:t>
      </w:r>
    </w:p>
    <w:p w14:paraId="3BDF216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יָגוּר</w:t>
      </w:r>
      <w:r w:rsidRPr="00C22013">
        <w:rPr>
          <w:rFonts w:eastAsia="Times New Roman" w:cs="Times New Roman"/>
          <w:rtl/>
          <w:lang w:eastAsia="de-DE"/>
        </w:rPr>
        <w:t xml:space="preserve"> </w:t>
      </w:r>
      <w:r w:rsidRPr="00C22013">
        <w:rPr>
          <w:rFonts w:eastAsia="Times New Roman" w:cs="Times New Roman"/>
          <w:lang w:eastAsia="de-DE"/>
        </w:rPr>
        <w:t xml:space="preserve">mit παροικήσῃ (er wird als Fremder wohnen), </w:t>
      </w:r>
      <w:r w:rsidRPr="00C22013">
        <w:rPr>
          <w:rFonts w:eastAsia="Times New Roman" w:cs="Times New Roman"/>
          <w:b/>
          <w:bCs/>
          <w:rtl/>
          <w:lang w:eastAsia="de-DE"/>
        </w:rPr>
        <w:t>גֵּר</w:t>
      </w:r>
      <w:r w:rsidRPr="00C22013">
        <w:rPr>
          <w:rFonts w:eastAsia="Times New Roman" w:cs="Times New Roman"/>
          <w:rtl/>
          <w:lang w:eastAsia="de-DE"/>
        </w:rPr>
        <w:t xml:space="preserve"> </w:t>
      </w:r>
      <w:r w:rsidRPr="00C22013">
        <w:rPr>
          <w:rFonts w:eastAsia="Times New Roman" w:cs="Times New Roman"/>
          <w:lang w:eastAsia="de-DE"/>
        </w:rPr>
        <w:t>mit προσήλυτος (Proselyt) und die Gleichheitsformel mit ὃν τρόπον ποιεῖτε, οὕτως ποιήσει (wie ihr tut, so wird er tun).</w:t>
      </w:r>
    </w:p>
    <w:p w14:paraId="7A11771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Fremdlings-Einbeziehung mit zeitlicher Ausdehnung und vollständige Gleichbehandlung.</w:t>
      </w:r>
    </w:p>
    <w:p w14:paraId="0B134F5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erweitert die Opferbestimmungen auf Fremde und etabliert das Prinzip religiöser Gleichberechtigung.</w:t>
      </w:r>
    </w:p>
    <w:p w14:paraId="7ED7218E"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15,15</w:t>
      </w:r>
    </w:p>
    <w:p w14:paraId="1E2F2ED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הַקָּהָ֕ל חֻקָּ֥ה אַחַ֛ת לָכֶ֖ם וְלַגֵּ֣ר הַגָּ֑ר חֻקַּ֤ת עוֹלָם֙ לְדֹרֹ֣תֵיכֶ֔ם כָּכֶ֛ם כַּגֵּ֥ר יִהְיֶ֖ה לִפְנֵ֥י יְהוָֽה׃</w:t>
      </w:r>
    </w:p>
    <w:p w14:paraId="1324911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Was die Versammlung betrifft, soll eine Satzung sein für euch und für den Fremden, der bei euch weilt, eine ewige Satzung bei euren Geschlechtern: wie ihr, so soll der Fremder sein vor dem Ewigen.</w:t>
      </w:r>
    </w:p>
    <w:p w14:paraId="7CDF3F40"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277E1035">
          <v:rect id="_x0000_i1512" style="width:0;height:1.5pt" o:hralign="center" o:hrstd="t" o:hr="t" fillcolor="#a0a0a0" stroked="f"/>
        </w:pict>
      </w:r>
    </w:p>
    <w:p w14:paraId="1B8A6BE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Gemeinschaftsregel </w:t>
      </w:r>
      <w:r w:rsidRPr="00C22013">
        <w:rPr>
          <w:rFonts w:eastAsia="Times New Roman" w:cs="Times New Roman"/>
          <w:b/>
          <w:bCs/>
          <w:rtl/>
          <w:lang w:eastAsia="de-DE"/>
        </w:rPr>
        <w:t>הַקָּהָ֕ל חֻקָּ֥ה אַחַ֛ת לָכֶ֖ם וְלַגֵּ֣ר הַגָּ֑ר</w:t>
      </w:r>
      <w:r w:rsidRPr="00C22013">
        <w:rPr>
          <w:rFonts w:eastAsia="Times New Roman" w:cs="Times New Roman"/>
          <w:rtl/>
          <w:lang w:eastAsia="de-DE"/>
        </w:rPr>
        <w:t xml:space="preserve"> </w:t>
      </w:r>
      <w:r w:rsidRPr="00C22013">
        <w:rPr>
          <w:rFonts w:eastAsia="Times New Roman" w:cs="Times New Roman"/>
          <w:lang w:eastAsia="de-DE"/>
        </w:rPr>
        <w:t xml:space="preserve">(für die Versammlung: eine Satzung für euch und für den Fremder, der da weilt) mit </w:t>
      </w:r>
      <w:r w:rsidRPr="00C22013">
        <w:rPr>
          <w:rFonts w:eastAsia="Times New Roman" w:cs="Times New Roman"/>
          <w:b/>
          <w:bCs/>
          <w:rtl/>
          <w:lang w:eastAsia="de-DE"/>
        </w:rPr>
        <w:t>הַקָּהָל</w:t>
      </w:r>
      <w:r w:rsidRPr="00C22013">
        <w:rPr>
          <w:rFonts w:eastAsia="Times New Roman" w:cs="Times New Roman"/>
          <w:rtl/>
          <w:lang w:eastAsia="de-DE"/>
        </w:rPr>
        <w:t xml:space="preserve"> </w:t>
      </w:r>
      <w:r w:rsidRPr="00C22013">
        <w:rPr>
          <w:rFonts w:eastAsia="Times New Roman" w:cs="Times New Roman"/>
          <w:lang w:eastAsia="de-DE"/>
        </w:rPr>
        <w:t xml:space="preserve">(die Versammlung), </w:t>
      </w:r>
      <w:r w:rsidRPr="00C22013">
        <w:rPr>
          <w:rFonts w:eastAsia="Times New Roman" w:cs="Times New Roman"/>
          <w:b/>
          <w:bCs/>
          <w:rtl/>
          <w:lang w:eastAsia="de-DE"/>
        </w:rPr>
        <w:t>חֻקָּה אַחַת</w:t>
      </w:r>
      <w:r w:rsidRPr="00C22013">
        <w:rPr>
          <w:rFonts w:eastAsia="Times New Roman" w:cs="Times New Roman"/>
          <w:rtl/>
          <w:lang w:eastAsia="de-DE"/>
        </w:rPr>
        <w:t xml:space="preserve"> </w:t>
      </w:r>
      <w:r w:rsidRPr="00C22013">
        <w:rPr>
          <w:rFonts w:eastAsia="Times New Roman" w:cs="Times New Roman"/>
          <w:lang w:eastAsia="de-DE"/>
        </w:rPr>
        <w:t xml:space="preserve">(eine Satzung) und </w:t>
      </w:r>
      <w:r w:rsidRPr="00C22013">
        <w:rPr>
          <w:rFonts w:eastAsia="Times New Roman" w:cs="Times New Roman"/>
          <w:b/>
          <w:bCs/>
          <w:rtl/>
          <w:lang w:eastAsia="de-DE"/>
        </w:rPr>
        <w:t>לַגֵּר הַגָּר</w:t>
      </w:r>
      <w:r w:rsidRPr="00C22013">
        <w:rPr>
          <w:rFonts w:eastAsia="Times New Roman" w:cs="Times New Roman"/>
          <w:rtl/>
          <w:lang w:eastAsia="de-DE"/>
        </w:rPr>
        <w:t xml:space="preserve"> </w:t>
      </w:r>
      <w:r w:rsidRPr="00C22013">
        <w:rPr>
          <w:rFonts w:eastAsia="Times New Roman" w:cs="Times New Roman"/>
          <w:lang w:eastAsia="de-DE"/>
        </w:rPr>
        <w:t>(für den Fremder, der da weilt) zeigt einheitliche Gesetzgebung.</w:t>
      </w:r>
    </w:p>
    <w:p w14:paraId="285ADEF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Ewigkeitsklausel </w:t>
      </w:r>
      <w:r w:rsidRPr="00C22013">
        <w:rPr>
          <w:rFonts w:eastAsia="Times New Roman" w:cs="Times New Roman"/>
          <w:b/>
          <w:bCs/>
          <w:rtl/>
          <w:lang w:eastAsia="de-DE"/>
        </w:rPr>
        <w:t>חֻקַּ֤ת עוֹלָם֙ לְדֹרֹ֣תֵיכֶ֔ם</w:t>
      </w:r>
      <w:r w:rsidRPr="00C22013">
        <w:rPr>
          <w:rFonts w:eastAsia="Times New Roman" w:cs="Times New Roman"/>
          <w:rtl/>
          <w:lang w:eastAsia="de-DE"/>
        </w:rPr>
        <w:t xml:space="preserve"> </w:t>
      </w:r>
      <w:r w:rsidRPr="00C22013">
        <w:rPr>
          <w:rFonts w:eastAsia="Times New Roman" w:cs="Times New Roman"/>
          <w:lang w:eastAsia="de-DE"/>
        </w:rPr>
        <w:t xml:space="preserve">(ewige Satzung für eure Geschlechter) mit </w:t>
      </w:r>
      <w:r w:rsidRPr="00C22013">
        <w:rPr>
          <w:rFonts w:eastAsia="Times New Roman" w:cs="Times New Roman"/>
          <w:b/>
          <w:bCs/>
          <w:rtl/>
          <w:lang w:eastAsia="de-DE"/>
        </w:rPr>
        <w:t>חֻקַּת עוֹלָם</w:t>
      </w:r>
      <w:r w:rsidRPr="00C22013">
        <w:rPr>
          <w:rFonts w:eastAsia="Times New Roman" w:cs="Times New Roman"/>
          <w:rtl/>
          <w:lang w:eastAsia="de-DE"/>
        </w:rPr>
        <w:t xml:space="preserve"> </w:t>
      </w:r>
      <w:r w:rsidRPr="00C22013">
        <w:rPr>
          <w:rFonts w:eastAsia="Times New Roman" w:cs="Times New Roman"/>
          <w:lang w:eastAsia="de-DE"/>
        </w:rPr>
        <w:t xml:space="preserve">(ewige Satzung) und </w:t>
      </w:r>
      <w:r w:rsidRPr="00C22013">
        <w:rPr>
          <w:rFonts w:eastAsia="Times New Roman" w:cs="Times New Roman"/>
          <w:b/>
          <w:bCs/>
          <w:rtl/>
          <w:lang w:eastAsia="de-DE"/>
        </w:rPr>
        <w:t>לְדֹרֹתֵיכֶם</w:t>
      </w:r>
      <w:r w:rsidRPr="00C22013">
        <w:rPr>
          <w:rFonts w:eastAsia="Times New Roman" w:cs="Times New Roman"/>
          <w:rtl/>
          <w:lang w:eastAsia="de-DE"/>
        </w:rPr>
        <w:t xml:space="preserve"> </w:t>
      </w:r>
      <w:r w:rsidRPr="00C22013">
        <w:rPr>
          <w:rFonts w:eastAsia="Times New Roman" w:cs="Times New Roman"/>
          <w:lang w:eastAsia="de-DE"/>
        </w:rPr>
        <w:t>(für eure Geschlechter) betont die zeitliche Unbegrenztheit.</w:t>
      </w:r>
    </w:p>
    <w:p w14:paraId="4128F70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Gleichheitsformel </w:t>
      </w:r>
      <w:r w:rsidRPr="00C22013">
        <w:rPr>
          <w:rFonts w:eastAsia="Times New Roman" w:cs="Times New Roman"/>
          <w:b/>
          <w:bCs/>
          <w:rtl/>
          <w:lang w:eastAsia="de-DE"/>
        </w:rPr>
        <w:t>כָּכֶ֛ם כַּגֵּ֥ר יִהְיֶ֖ה לִפְנֵ֥י יְהוָֽה</w:t>
      </w:r>
      <w:r w:rsidRPr="00C22013">
        <w:rPr>
          <w:rFonts w:eastAsia="Times New Roman" w:cs="Times New Roman"/>
          <w:rtl/>
          <w:lang w:eastAsia="de-DE"/>
        </w:rPr>
        <w:t xml:space="preserve"> </w:t>
      </w:r>
      <w:r w:rsidRPr="00C22013">
        <w:rPr>
          <w:rFonts w:eastAsia="Times New Roman" w:cs="Times New Roman"/>
          <w:lang w:eastAsia="de-DE"/>
        </w:rPr>
        <w:t xml:space="preserve">(wie ihr, so soll der Fremder sein vor dem Ewigen) mit </w:t>
      </w:r>
      <w:r w:rsidRPr="00C22013">
        <w:rPr>
          <w:rFonts w:eastAsia="Times New Roman" w:cs="Times New Roman"/>
          <w:b/>
          <w:bCs/>
          <w:rtl/>
          <w:lang w:eastAsia="de-DE"/>
        </w:rPr>
        <w:t>כָּכֶם כַּגֵּר</w:t>
      </w:r>
      <w:r w:rsidRPr="00C22013">
        <w:rPr>
          <w:rFonts w:eastAsia="Times New Roman" w:cs="Times New Roman"/>
          <w:rtl/>
          <w:lang w:eastAsia="de-DE"/>
        </w:rPr>
        <w:t xml:space="preserve"> </w:t>
      </w:r>
      <w:r w:rsidRPr="00C22013">
        <w:rPr>
          <w:rFonts w:eastAsia="Times New Roman" w:cs="Times New Roman"/>
          <w:lang w:eastAsia="de-DE"/>
        </w:rPr>
        <w:t xml:space="preserve">(wie ihr, so der Fremder) und </w:t>
      </w:r>
      <w:r w:rsidRPr="00C22013">
        <w:rPr>
          <w:rFonts w:eastAsia="Times New Roman" w:cs="Times New Roman"/>
          <w:b/>
          <w:bCs/>
          <w:rtl/>
          <w:lang w:eastAsia="de-DE"/>
        </w:rPr>
        <w:t>לִפְנֵי יְהוָה</w:t>
      </w:r>
      <w:r w:rsidRPr="00C22013">
        <w:rPr>
          <w:rFonts w:eastAsia="Times New Roman" w:cs="Times New Roman"/>
          <w:rtl/>
          <w:lang w:eastAsia="de-DE"/>
        </w:rPr>
        <w:t xml:space="preserve"> </w:t>
      </w:r>
      <w:r w:rsidRPr="00C22013">
        <w:rPr>
          <w:rFonts w:eastAsia="Times New Roman" w:cs="Times New Roman"/>
          <w:lang w:eastAsia="de-DE"/>
        </w:rPr>
        <w:t>(vor dem Ewigen) zeigt vollständige religiöse Gleichstellung.</w:t>
      </w:r>
    </w:p>
    <w:p w14:paraId="5B99E26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קָהָל</w:t>
      </w:r>
      <w:r w:rsidRPr="00C22013">
        <w:rPr>
          <w:rFonts w:eastAsia="Times New Roman" w:cs="Times New Roman"/>
          <w:rtl/>
          <w:lang w:eastAsia="de-DE"/>
        </w:rPr>
        <w:t xml:space="preserve"> </w:t>
      </w:r>
      <w:r w:rsidRPr="00C22013">
        <w:rPr>
          <w:rFonts w:eastAsia="Times New Roman" w:cs="Times New Roman"/>
          <w:lang w:eastAsia="de-DE"/>
        </w:rPr>
        <w:t xml:space="preserve">mit συναγωγή (Versammlung), </w:t>
      </w:r>
      <w:r w:rsidRPr="00C22013">
        <w:rPr>
          <w:rFonts w:eastAsia="Times New Roman" w:cs="Times New Roman"/>
          <w:b/>
          <w:bCs/>
          <w:rtl/>
          <w:lang w:eastAsia="de-DE"/>
        </w:rPr>
        <w:t>חֻקָּה אַחַת</w:t>
      </w:r>
      <w:r w:rsidRPr="00C22013">
        <w:rPr>
          <w:rFonts w:eastAsia="Times New Roman" w:cs="Times New Roman"/>
          <w:rtl/>
          <w:lang w:eastAsia="de-DE"/>
        </w:rPr>
        <w:t xml:space="preserve"> </w:t>
      </w:r>
      <w:r w:rsidRPr="00C22013">
        <w:rPr>
          <w:rFonts w:eastAsia="Times New Roman" w:cs="Times New Roman"/>
          <w:lang w:eastAsia="de-DE"/>
        </w:rPr>
        <w:t xml:space="preserve">mit νόμιμον ἓν (ein Gesetz), </w:t>
      </w:r>
      <w:r w:rsidRPr="00C22013">
        <w:rPr>
          <w:rFonts w:eastAsia="Times New Roman" w:cs="Times New Roman"/>
          <w:b/>
          <w:bCs/>
          <w:rtl/>
          <w:lang w:eastAsia="de-DE"/>
        </w:rPr>
        <w:t>עוֹלָם</w:t>
      </w:r>
      <w:r w:rsidRPr="00C22013">
        <w:rPr>
          <w:rFonts w:eastAsia="Times New Roman" w:cs="Times New Roman"/>
          <w:rtl/>
          <w:lang w:eastAsia="de-DE"/>
        </w:rPr>
        <w:t xml:space="preserve"> </w:t>
      </w:r>
      <w:r w:rsidRPr="00C22013">
        <w:rPr>
          <w:rFonts w:eastAsia="Times New Roman" w:cs="Times New Roman"/>
          <w:lang w:eastAsia="de-DE"/>
        </w:rPr>
        <w:t xml:space="preserve">mit αἰώνιον (ewig) und </w:t>
      </w:r>
      <w:r w:rsidRPr="00C22013">
        <w:rPr>
          <w:rFonts w:eastAsia="Times New Roman" w:cs="Times New Roman"/>
          <w:b/>
          <w:bCs/>
          <w:rtl/>
          <w:lang w:eastAsia="de-DE"/>
        </w:rPr>
        <w:t>לִפְנֵי יְהוָה</w:t>
      </w:r>
      <w:r w:rsidRPr="00C22013">
        <w:rPr>
          <w:rFonts w:eastAsia="Times New Roman" w:cs="Times New Roman"/>
          <w:rtl/>
          <w:lang w:eastAsia="de-DE"/>
        </w:rPr>
        <w:t xml:space="preserve"> </w:t>
      </w:r>
      <w:r w:rsidRPr="00C22013">
        <w:rPr>
          <w:rFonts w:eastAsia="Times New Roman" w:cs="Times New Roman"/>
          <w:lang w:eastAsia="de-DE"/>
        </w:rPr>
        <w:t>mit ἔναντι κυρίου (vor dem Herrn).</w:t>
      </w:r>
    </w:p>
    <w:p w14:paraId="39900E0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einheitliche Gemeinschaftsregel, Ewigkeitsklausel und göttliche Gleichstellungsformel.</w:t>
      </w:r>
    </w:p>
    <w:p w14:paraId="6676A5E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Dieser Vers etabliert das fundamentale Prinzip religiöser Gleichberechtigung zwischen Einheimischen und Fremden.</w:t>
      </w:r>
    </w:p>
    <w:p w14:paraId="70C7E283"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15,16</w:t>
      </w:r>
    </w:p>
    <w:p w14:paraId="3F49B9F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תּוֹרָ֥ה אַחַ֛ת וּמִשְׁפָּ֥ט אֶחָ֖ד יִהְיֶ֣ה לָכֶ֑ם וְלַגֵּ֖ר הַגָּ֥ר אִתְּכֶֽם׃</w:t>
      </w:r>
    </w:p>
    <w:p w14:paraId="0A712F9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Ein Gesetz und eine Vorschrift soll für euch und für den Fremden sein, der bei euch weilt.</w:t>
      </w:r>
    </w:p>
    <w:p w14:paraId="333BD0C2"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2A409B78">
          <v:rect id="_x0000_i1513" style="width:0;height:1.5pt" o:hralign="center" o:hrstd="t" o:hr="t" fillcolor="#a0a0a0" stroked="f"/>
        </w:pict>
      </w:r>
    </w:p>
    <w:p w14:paraId="18C4639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Rechtsgleichheit </w:t>
      </w:r>
      <w:r w:rsidRPr="00C22013">
        <w:rPr>
          <w:rFonts w:eastAsia="Times New Roman" w:cs="Times New Roman"/>
          <w:b/>
          <w:bCs/>
          <w:rtl/>
          <w:lang w:eastAsia="de-DE"/>
        </w:rPr>
        <w:t>תּוֹרָ֥ה אַחַ֛ת וּמִשְׁפָּ֥ט אֶחָ֖ד יִהְיֶ֣ה לָכֶ֑ם וְלַגֵּ֖ר הַגָּ֥ר אִתְּכֶֽם</w:t>
      </w:r>
      <w:r w:rsidRPr="00C22013">
        <w:rPr>
          <w:rFonts w:eastAsia="Times New Roman" w:cs="Times New Roman"/>
          <w:rtl/>
          <w:lang w:eastAsia="de-DE"/>
        </w:rPr>
        <w:t xml:space="preserve"> </w:t>
      </w:r>
      <w:r w:rsidRPr="00C22013">
        <w:rPr>
          <w:rFonts w:eastAsia="Times New Roman" w:cs="Times New Roman"/>
          <w:lang w:eastAsia="de-DE"/>
        </w:rPr>
        <w:t xml:space="preserve">(ein Gesetz und eine Vorschrift soll für euch und für den Fremder sein, der bei euch weilt) mit </w:t>
      </w:r>
      <w:r w:rsidRPr="00C22013">
        <w:rPr>
          <w:rFonts w:eastAsia="Times New Roman" w:cs="Times New Roman"/>
          <w:b/>
          <w:bCs/>
          <w:rtl/>
          <w:lang w:eastAsia="de-DE"/>
        </w:rPr>
        <w:t>תּוֹרָה אַחַת</w:t>
      </w:r>
      <w:r w:rsidRPr="00C22013">
        <w:rPr>
          <w:rFonts w:eastAsia="Times New Roman" w:cs="Times New Roman"/>
          <w:rtl/>
          <w:lang w:eastAsia="de-DE"/>
        </w:rPr>
        <w:t xml:space="preserve"> </w:t>
      </w:r>
      <w:r w:rsidRPr="00C22013">
        <w:rPr>
          <w:rFonts w:eastAsia="Times New Roman" w:cs="Times New Roman"/>
          <w:lang w:eastAsia="de-DE"/>
        </w:rPr>
        <w:t xml:space="preserve">(ein Gesetz), </w:t>
      </w:r>
      <w:r w:rsidRPr="00C22013">
        <w:rPr>
          <w:rFonts w:eastAsia="Times New Roman" w:cs="Times New Roman"/>
          <w:b/>
          <w:bCs/>
          <w:rtl/>
          <w:lang w:eastAsia="de-DE"/>
        </w:rPr>
        <w:t>מִשְׁפָּט אֶחָד</w:t>
      </w:r>
      <w:r w:rsidRPr="00C22013">
        <w:rPr>
          <w:rFonts w:eastAsia="Times New Roman" w:cs="Times New Roman"/>
          <w:rtl/>
          <w:lang w:eastAsia="de-DE"/>
        </w:rPr>
        <w:t xml:space="preserve"> </w:t>
      </w:r>
      <w:r w:rsidRPr="00C22013">
        <w:rPr>
          <w:rFonts w:eastAsia="Times New Roman" w:cs="Times New Roman"/>
          <w:lang w:eastAsia="de-DE"/>
        </w:rPr>
        <w:t xml:space="preserve">(eine Vorschrift) und </w:t>
      </w:r>
      <w:r w:rsidRPr="00C22013">
        <w:rPr>
          <w:rFonts w:eastAsia="Times New Roman" w:cs="Times New Roman"/>
          <w:b/>
          <w:bCs/>
          <w:rtl/>
          <w:lang w:eastAsia="de-DE"/>
        </w:rPr>
        <w:t>לָכֶם וְלַגֵּר הַגָּר אִתְּכֶם</w:t>
      </w:r>
      <w:r w:rsidRPr="00C22013">
        <w:rPr>
          <w:rFonts w:eastAsia="Times New Roman" w:cs="Times New Roman"/>
          <w:rtl/>
          <w:lang w:eastAsia="de-DE"/>
        </w:rPr>
        <w:t xml:space="preserve"> </w:t>
      </w:r>
      <w:r w:rsidRPr="00C22013">
        <w:rPr>
          <w:rFonts w:eastAsia="Times New Roman" w:cs="Times New Roman"/>
          <w:lang w:eastAsia="de-DE"/>
        </w:rPr>
        <w:t>(für euch und für den Fremder, der bei euch weilt) bekräftigt die vollständige Rechtsgleichheit.</w:t>
      </w:r>
    </w:p>
    <w:p w14:paraId="412D6BC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תּוֹרָה</w:t>
      </w:r>
      <w:r w:rsidRPr="00C22013">
        <w:rPr>
          <w:rFonts w:eastAsia="Times New Roman" w:cs="Times New Roman"/>
          <w:rtl/>
          <w:lang w:eastAsia="de-DE"/>
        </w:rPr>
        <w:t xml:space="preserve"> </w:t>
      </w:r>
      <w:r w:rsidRPr="00C22013">
        <w:rPr>
          <w:rFonts w:eastAsia="Times New Roman" w:cs="Times New Roman"/>
          <w:lang w:eastAsia="de-DE"/>
        </w:rPr>
        <w:t xml:space="preserve">mit νόμος (Gesetz), </w:t>
      </w:r>
      <w:r w:rsidRPr="00C22013">
        <w:rPr>
          <w:rFonts w:eastAsia="Times New Roman" w:cs="Times New Roman"/>
          <w:b/>
          <w:bCs/>
          <w:rtl/>
          <w:lang w:eastAsia="de-DE"/>
        </w:rPr>
        <w:t>מִשְׁפָּט</w:t>
      </w:r>
      <w:r w:rsidRPr="00C22013">
        <w:rPr>
          <w:rFonts w:eastAsia="Times New Roman" w:cs="Times New Roman"/>
          <w:rtl/>
          <w:lang w:eastAsia="de-DE"/>
        </w:rPr>
        <w:t xml:space="preserve"> </w:t>
      </w:r>
      <w:r w:rsidRPr="00C22013">
        <w:rPr>
          <w:rFonts w:eastAsia="Times New Roman" w:cs="Times New Roman"/>
          <w:lang w:eastAsia="de-DE"/>
        </w:rPr>
        <w:t xml:space="preserve">mit κρίμα (Urteil/Vorschrift) und </w:t>
      </w:r>
      <w:r w:rsidRPr="00C22013">
        <w:rPr>
          <w:rFonts w:eastAsia="Times New Roman" w:cs="Times New Roman"/>
          <w:b/>
          <w:bCs/>
          <w:rtl/>
          <w:lang w:eastAsia="de-DE"/>
        </w:rPr>
        <w:t>גֵּר הַגָּר</w:t>
      </w:r>
      <w:r w:rsidRPr="00C22013">
        <w:rPr>
          <w:rFonts w:eastAsia="Times New Roman" w:cs="Times New Roman"/>
          <w:rtl/>
          <w:lang w:eastAsia="de-DE"/>
        </w:rPr>
        <w:t xml:space="preserve"> </w:t>
      </w:r>
      <w:r w:rsidRPr="00C22013">
        <w:rPr>
          <w:rFonts w:eastAsia="Times New Roman" w:cs="Times New Roman"/>
          <w:lang w:eastAsia="de-DE"/>
        </w:rPr>
        <w:t>mit προσήλυτος ὁ προσκείμενος (der Proselyt, der sich angeschlossen hat).</w:t>
      </w:r>
    </w:p>
    <w:p w14:paraId="068C758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doppelte Rechtsgleichheits-Betonung für alle Rechtsbereiche.</w:t>
      </w:r>
    </w:p>
    <w:p w14:paraId="55868E4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fasst das Prinzip der Rechtsgleichheit in der prägnantesten Form zusammen und schließt damit den ersten Gesetzesabschnitt ab.</w:t>
      </w:r>
    </w:p>
    <w:p w14:paraId="260CC40F"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15,17</w:t>
      </w:r>
    </w:p>
    <w:p w14:paraId="52CA48D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וַיְדַבֵּ֥ר יְהוָ֖ה אֶל־מֹשֶׁ֥ה לֵּאמֹֽר׃</w:t>
      </w:r>
    </w:p>
    <w:p w14:paraId="355A493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der Ewige redete zu Mosche, sagend:</w:t>
      </w:r>
    </w:p>
    <w:p w14:paraId="63B6766D"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B9918BF">
          <v:rect id="_x0000_i1514" style="width:0;height:1.5pt" o:hralign="center" o:hrstd="t" o:hr="t" fillcolor="#a0a0a0" stroked="f"/>
        </w:pict>
      </w:r>
    </w:p>
    <w:p w14:paraId="69EA121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neue Redeeinleitung </w:t>
      </w:r>
      <w:r w:rsidRPr="00C22013">
        <w:rPr>
          <w:rFonts w:eastAsia="Times New Roman" w:cs="Times New Roman"/>
          <w:b/>
          <w:bCs/>
          <w:rtl/>
          <w:lang w:eastAsia="de-DE"/>
        </w:rPr>
        <w:t>וַיְדַבֵּ֥ר יְהוָ֖ה אֶל־מֹשֶׁ֥ה לֵּאמֹֽר</w:t>
      </w:r>
      <w:r w:rsidRPr="00C22013">
        <w:rPr>
          <w:rFonts w:eastAsia="Times New Roman" w:cs="Times New Roman"/>
          <w:rtl/>
          <w:lang w:eastAsia="de-DE"/>
        </w:rPr>
        <w:t xml:space="preserve"> </w:t>
      </w:r>
      <w:r w:rsidRPr="00C22013">
        <w:rPr>
          <w:rFonts w:eastAsia="Times New Roman" w:cs="Times New Roman"/>
          <w:lang w:eastAsia="de-DE"/>
        </w:rPr>
        <w:t xml:space="preserve">(und der Ewige redete zu Mose, sagend) mit </w:t>
      </w:r>
      <w:r w:rsidRPr="00C22013">
        <w:rPr>
          <w:rFonts w:eastAsia="Times New Roman" w:cs="Times New Roman"/>
          <w:b/>
          <w:bCs/>
          <w:rtl/>
          <w:lang w:eastAsia="de-DE"/>
        </w:rPr>
        <w:t>יְדַבֵּר</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(reden) im Pi'el leitet einen neuen Gesetzesabschnitt ein, der sich mit der Erstlingsgabe vom Brotteig beschäftigt.</w:t>
      </w:r>
    </w:p>
    <w:p w14:paraId="53C48B5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mit der Standardformel καὶ ἐλάλησεν κύριος πρὸς Μωυσῆν λέγων.</w:t>
      </w:r>
    </w:p>
    <w:p w14:paraId="36226F0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neue göttliche Offenbarungseinleitung.</w:t>
      </w:r>
    </w:p>
    <w:p w14:paraId="620A6B5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den zweiten Hauptabschnitt von Kapitel 15 ein, der sich mit der Challah-Abgabe beschäftigt.</w:t>
      </w:r>
    </w:p>
    <w:p w14:paraId="44C58003"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15,18</w:t>
      </w:r>
    </w:p>
    <w:p w14:paraId="67CCD9E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דַּבֵּר֙ אֶל־בְּנֵ֣י יִשְׂרָאֵ֔ל וְאָמַרְתָּ֖ אֲלֵהֶ֑ם בְּבֹֽאֲכֶם֙ אֶל־הָאָ֔רֶץ אֲשֶׁ֥ר אֲנִ֛י מֵבִ֥יא אֶתְכֶ֖ם שָֽׁמָּה׃</w:t>
      </w:r>
    </w:p>
    <w:p w14:paraId="38CFE1C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Deutsch:</w:t>
      </w:r>
      <w:r w:rsidRPr="00C22013">
        <w:rPr>
          <w:rFonts w:eastAsia="Times New Roman" w:cs="Times New Roman"/>
          <w:lang w:eastAsia="de-DE"/>
        </w:rPr>
        <w:t xml:space="preserve"> Rede zu den Söhnen Jisra'el und sprich zu ihnen: Wenn ihr in das Land kommt, wohin ich euch bringe.</w:t>
      </w:r>
    </w:p>
    <w:p w14:paraId="1A14B8D4"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B571C2D">
          <v:rect id="_x0000_i1515" style="width:0;height:1.5pt" o:hralign="center" o:hrstd="t" o:hr="t" fillcolor="#a0a0a0" stroked="f"/>
        </w:pict>
      </w:r>
    </w:p>
    <w:p w14:paraId="28035F5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Übermittlungsanweisung </w:t>
      </w:r>
      <w:r w:rsidRPr="00C22013">
        <w:rPr>
          <w:rFonts w:eastAsia="Times New Roman" w:cs="Times New Roman"/>
          <w:b/>
          <w:bCs/>
          <w:rtl/>
          <w:lang w:eastAsia="de-DE"/>
        </w:rPr>
        <w:t>דַּבֵּר֙ אֶל־בְּנֵ֣י יִשְׂרָאֵ֔ל וְאָמַרְתָּ֖ אֲלֵהֶ֑ם</w:t>
      </w:r>
      <w:r w:rsidRPr="00C22013">
        <w:rPr>
          <w:rFonts w:eastAsia="Times New Roman" w:cs="Times New Roman"/>
          <w:rtl/>
          <w:lang w:eastAsia="de-DE"/>
        </w:rPr>
        <w:t xml:space="preserve"> </w:t>
      </w:r>
      <w:r w:rsidRPr="00C22013">
        <w:rPr>
          <w:rFonts w:eastAsia="Times New Roman" w:cs="Times New Roman"/>
          <w:lang w:eastAsia="de-DE"/>
        </w:rPr>
        <w:t>(rede zu den Söhnen Israels und sprich zu ihnen) wiederholt die doppelte Kommunikationsformel aus Vers 2.</w:t>
      </w:r>
    </w:p>
    <w:p w14:paraId="246CE9D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Landverheißung </w:t>
      </w:r>
      <w:r w:rsidRPr="00C22013">
        <w:rPr>
          <w:rFonts w:eastAsia="Times New Roman" w:cs="Times New Roman"/>
          <w:b/>
          <w:bCs/>
          <w:rtl/>
          <w:lang w:eastAsia="de-DE"/>
        </w:rPr>
        <w:t>בְּבֹֽאֲכֶם֙ אֶל־הָאָ֔רֶץ אֲשֶׁ֥ר אֲנִ֛י מֵבִ֥יא אֶתְכֶ֖ם שָֽׁמָּה</w:t>
      </w:r>
      <w:r w:rsidRPr="00C22013">
        <w:rPr>
          <w:rFonts w:eastAsia="Times New Roman" w:cs="Times New Roman"/>
          <w:rtl/>
          <w:lang w:eastAsia="de-DE"/>
        </w:rPr>
        <w:t xml:space="preserve"> </w:t>
      </w:r>
      <w:r w:rsidRPr="00C22013">
        <w:rPr>
          <w:rFonts w:eastAsia="Times New Roman" w:cs="Times New Roman"/>
          <w:lang w:eastAsia="de-DE"/>
        </w:rPr>
        <w:t xml:space="preserve">(wenn ihr in das Land kommt, wohin ich euch bringe) mit </w:t>
      </w:r>
      <w:r w:rsidRPr="00C22013">
        <w:rPr>
          <w:rFonts w:eastAsia="Times New Roman" w:cs="Times New Roman"/>
          <w:b/>
          <w:bCs/>
          <w:rtl/>
          <w:lang w:eastAsia="de-DE"/>
        </w:rPr>
        <w:t>בְּבֹאֲכֶם</w:t>
      </w:r>
      <w:r w:rsidRPr="00C22013">
        <w:rPr>
          <w:rFonts w:eastAsia="Times New Roman" w:cs="Times New Roman"/>
          <w:rtl/>
          <w:lang w:eastAsia="de-DE"/>
        </w:rPr>
        <w:t xml:space="preserve"> </w:t>
      </w:r>
      <w:r w:rsidRPr="00C22013">
        <w:rPr>
          <w:rFonts w:eastAsia="Times New Roman" w:cs="Times New Roman"/>
          <w:lang w:eastAsia="de-DE"/>
        </w:rPr>
        <w:t xml:space="preserve">(wenn ihr kommt) von </w:t>
      </w:r>
      <w:r w:rsidRPr="00C22013">
        <w:rPr>
          <w:rFonts w:eastAsia="Times New Roman" w:cs="Times New Roman"/>
          <w:b/>
          <w:bCs/>
          <w:rtl/>
          <w:lang w:eastAsia="de-DE"/>
        </w:rPr>
        <w:t>בוא</w:t>
      </w:r>
      <w:r w:rsidRPr="00C22013">
        <w:rPr>
          <w:rFonts w:eastAsia="Times New Roman" w:cs="Times New Roman"/>
          <w:rtl/>
          <w:lang w:eastAsia="de-DE"/>
        </w:rPr>
        <w:t xml:space="preserve"> </w:t>
      </w:r>
      <w:r w:rsidRPr="00C22013">
        <w:rPr>
          <w:rFonts w:eastAsia="Times New Roman" w:cs="Times New Roman"/>
          <w:lang w:eastAsia="de-DE"/>
        </w:rPr>
        <w:t xml:space="preserve">(kommen), </w:t>
      </w:r>
      <w:r w:rsidRPr="00C22013">
        <w:rPr>
          <w:rFonts w:eastAsia="Times New Roman" w:cs="Times New Roman"/>
          <w:b/>
          <w:bCs/>
          <w:rtl/>
          <w:lang w:eastAsia="de-DE"/>
        </w:rPr>
        <w:t>מֵבִיא אֶתְכֶם</w:t>
      </w:r>
      <w:r w:rsidRPr="00C22013">
        <w:rPr>
          <w:rFonts w:eastAsia="Times New Roman" w:cs="Times New Roman"/>
          <w:rtl/>
          <w:lang w:eastAsia="de-DE"/>
        </w:rPr>
        <w:t xml:space="preserve"> </w:t>
      </w:r>
      <w:r w:rsidRPr="00C22013">
        <w:rPr>
          <w:rFonts w:eastAsia="Times New Roman" w:cs="Times New Roman"/>
          <w:lang w:eastAsia="de-DE"/>
        </w:rPr>
        <w:t xml:space="preserve">(ich bringe euch) von </w:t>
      </w:r>
      <w:r w:rsidRPr="00C22013">
        <w:rPr>
          <w:rFonts w:eastAsia="Times New Roman" w:cs="Times New Roman"/>
          <w:b/>
          <w:bCs/>
          <w:rtl/>
          <w:lang w:eastAsia="de-DE"/>
        </w:rPr>
        <w:t>בוא</w:t>
      </w:r>
      <w:r w:rsidRPr="00C22013">
        <w:rPr>
          <w:rFonts w:eastAsia="Times New Roman" w:cs="Times New Roman"/>
          <w:rtl/>
          <w:lang w:eastAsia="de-DE"/>
        </w:rPr>
        <w:t xml:space="preserve"> </w:t>
      </w:r>
      <w:r w:rsidRPr="00C22013">
        <w:rPr>
          <w:rFonts w:eastAsia="Times New Roman" w:cs="Times New Roman"/>
          <w:lang w:eastAsia="de-DE"/>
        </w:rPr>
        <w:t xml:space="preserve">(bringen) im Hiph'il und </w:t>
      </w:r>
      <w:r w:rsidRPr="00C22013">
        <w:rPr>
          <w:rFonts w:eastAsia="Times New Roman" w:cs="Times New Roman"/>
          <w:b/>
          <w:bCs/>
          <w:rtl/>
          <w:lang w:eastAsia="de-DE"/>
        </w:rPr>
        <w:t>שָׁמָּה</w:t>
      </w:r>
      <w:r w:rsidRPr="00C22013">
        <w:rPr>
          <w:rFonts w:eastAsia="Times New Roman" w:cs="Times New Roman"/>
          <w:rtl/>
          <w:lang w:eastAsia="de-DE"/>
        </w:rPr>
        <w:t xml:space="preserve"> </w:t>
      </w:r>
      <w:r w:rsidRPr="00C22013">
        <w:rPr>
          <w:rFonts w:eastAsia="Times New Roman" w:cs="Times New Roman"/>
          <w:lang w:eastAsia="de-DE"/>
        </w:rPr>
        <w:t>(dorthin) betont die aktive göttliche Führung ins Land.</w:t>
      </w:r>
    </w:p>
    <w:p w14:paraId="0153AC2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בְּבֹאֲכֶם</w:t>
      </w:r>
      <w:r w:rsidRPr="00C22013">
        <w:rPr>
          <w:rFonts w:eastAsia="Times New Roman" w:cs="Times New Roman"/>
          <w:rtl/>
          <w:lang w:eastAsia="de-DE"/>
        </w:rPr>
        <w:t xml:space="preserve"> </w:t>
      </w:r>
      <w:r w:rsidRPr="00C22013">
        <w:rPr>
          <w:rFonts w:eastAsia="Times New Roman" w:cs="Times New Roman"/>
          <w:lang w:eastAsia="de-DE"/>
        </w:rPr>
        <w:t xml:space="preserve">mit ἐν τῷ εἰσπορεύεσθαι ὑμᾶς (wenn ihr hineingeht) und </w:t>
      </w:r>
      <w:r w:rsidRPr="00C22013">
        <w:rPr>
          <w:rFonts w:eastAsia="Times New Roman" w:cs="Times New Roman"/>
          <w:b/>
          <w:bCs/>
          <w:rtl/>
          <w:lang w:eastAsia="de-DE"/>
        </w:rPr>
        <w:t>מֵבִיא</w:t>
      </w:r>
      <w:r w:rsidRPr="00C22013">
        <w:rPr>
          <w:rFonts w:eastAsia="Times New Roman" w:cs="Times New Roman"/>
          <w:rtl/>
          <w:lang w:eastAsia="de-DE"/>
        </w:rPr>
        <w:t xml:space="preserve"> </w:t>
      </w:r>
      <w:r w:rsidRPr="00C22013">
        <w:rPr>
          <w:rFonts w:eastAsia="Times New Roman" w:cs="Times New Roman"/>
          <w:lang w:eastAsia="de-DE"/>
        </w:rPr>
        <w:t>mit εἰσάγω (ich führe hinein).</w:t>
      </w:r>
    </w:p>
    <w:p w14:paraId="0200463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Übermittlungsanweisung und konditionelle Landverheißung mit aktiver göttlicher Führung.</w:t>
      </w:r>
    </w:p>
    <w:p w14:paraId="5F924AA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die Bestimmungen über die Erstlingsgabe vom Brotteig ein und betont erneut die Gewissheit der Landnahme.</w:t>
      </w:r>
    </w:p>
    <w:p w14:paraId="2271D5C0"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15,19</w:t>
      </w:r>
    </w:p>
    <w:p w14:paraId="0421E73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וְהָיָ֕ה בַּאֲכָלְכֶ֖ם מִלֶּ֣חֶם הָאָ֑רֶץ תָּרִ֥ימוּ תְרוּמָ֖ה לַיהוָֽה׃</w:t>
      </w:r>
    </w:p>
    <w:p w14:paraId="23AEFE5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So soll es geschehen, wenn ihr von dem Brot des Landes esst, sollt ihr dem Ewigen ein Hebopfer anheben.</w:t>
      </w:r>
    </w:p>
    <w:p w14:paraId="0B614580"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791987D">
          <v:rect id="_x0000_i1516" style="width:0;height:1.5pt" o:hralign="center" o:hrstd="t" o:hr="t" fillcolor="#a0a0a0" stroked="f"/>
        </w:pict>
      </w:r>
    </w:p>
    <w:p w14:paraId="2DB401D0" w14:textId="505E0AFD"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konditionelle Bestimmung </w:t>
      </w:r>
      <w:r w:rsidRPr="00C22013">
        <w:rPr>
          <w:rFonts w:eastAsia="Times New Roman" w:cs="Times New Roman"/>
          <w:b/>
          <w:bCs/>
          <w:rtl/>
          <w:lang w:eastAsia="de-DE"/>
        </w:rPr>
        <w:t>וְהָיָ֕ה בַּאֲכָלְכֶ֖ם מִלֶּ֣חֶם הָאָ֑רֶץ</w:t>
      </w:r>
      <w:r w:rsidRPr="00C22013">
        <w:rPr>
          <w:rFonts w:eastAsia="Times New Roman" w:cs="Times New Roman"/>
          <w:rtl/>
          <w:lang w:eastAsia="de-DE"/>
        </w:rPr>
        <w:t xml:space="preserve"> </w:t>
      </w:r>
      <w:r w:rsidRPr="00C22013">
        <w:rPr>
          <w:rFonts w:eastAsia="Times New Roman" w:cs="Times New Roman"/>
          <w:lang w:eastAsia="de-DE"/>
        </w:rPr>
        <w:t xml:space="preserve">(und es soll geschehen, wenn ihr vom Brot des Landes esst) mit </w:t>
      </w:r>
      <w:r w:rsidRPr="00C22013">
        <w:rPr>
          <w:rFonts w:eastAsia="Times New Roman" w:cs="Times New Roman"/>
          <w:b/>
          <w:bCs/>
          <w:rtl/>
          <w:lang w:eastAsia="de-DE"/>
        </w:rPr>
        <w:t>וְהָיָה</w:t>
      </w:r>
      <w:r w:rsidRPr="00C22013">
        <w:rPr>
          <w:rFonts w:eastAsia="Times New Roman" w:cs="Times New Roman"/>
          <w:rtl/>
          <w:lang w:eastAsia="de-DE"/>
        </w:rPr>
        <w:t xml:space="preserve"> </w:t>
      </w:r>
      <w:r w:rsidRPr="00C22013">
        <w:rPr>
          <w:rFonts w:eastAsia="Times New Roman" w:cs="Times New Roman"/>
          <w:lang w:eastAsia="de-DE"/>
        </w:rPr>
        <w:t xml:space="preserve">(und es soll geschehen), </w:t>
      </w:r>
      <w:r w:rsidRPr="00C22013">
        <w:rPr>
          <w:rFonts w:eastAsia="Times New Roman" w:cs="Times New Roman"/>
          <w:b/>
          <w:bCs/>
          <w:rtl/>
          <w:lang w:eastAsia="de-DE"/>
        </w:rPr>
        <w:t>בַּאֲכָלְכֶם</w:t>
      </w:r>
      <w:r w:rsidRPr="00C22013">
        <w:rPr>
          <w:rFonts w:eastAsia="Times New Roman" w:cs="Times New Roman"/>
          <w:rtl/>
          <w:lang w:eastAsia="de-DE"/>
        </w:rPr>
        <w:t xml:space="preserve"> </w:t>
      </w:r>
      <w:r w:rsidRPr="00C22013">
        <w:rPr>
          <w:rFonts w:eastAsia="Times New Roman" w:cs="Times New Roman"/>
          <w:lang w:eastAsia="de-DE"/>
        </w:rPr>
        <w:t xml:space="preserve">(wenn ihr esst) von </w:t>
      </w:r>
      <w:r w:rsidRPr="00C22013">
        <w:rPr>
          <w:rFonts w:eastAsia="Times New Roman" w:cs="Times New Roman"/>
          <w:b/>
          <w:bCs/>
          <w:rtl/>
          <w:lang w:eastAsia="de-DE"/>
        </w:rPr>
        <w:t>אכל</w:t>
      </w:r>
      <w:r w:rsidRPr="00C22013">
        <w:rPr>
          <w:rFonts w:eastAsia="Times New Roman" w:cs="Times New Roman"/>
          <w:rtl/>
          <w:lang w:eastAsia="de-DE"/>
        </w:rPr>
        <w:t xml:space="preserve"> </w:t>
      </w:r>
      <w:r w:rsidRPr="00C22013">
        <w:rPr>
          <w:rFonts w:eastAsia="Times New Roman" w:cs="Times New Roman"/>
          <w:lang w:eastAsia="de-DE"/>
        </w:rPr>
        <w:t>(essen) als Qal-Infinitiv-</w:t>
      </w:r>
      <w:r w:rsidR="00F133EC">
        <w:rPr>
          <w:rFonts w:eastAsia="Times New Roman" w:cs="Times New Roman"/>
          <w:lang w:eastAsia="de-DE"/>
        </w:rPr>
        <w:t>Construct</w:t>
      </w:r>
      <w:r w:rsidRPr="00C22013">
        <w:rPr>
          <w:rFonts w:eastAsia="Times New Roman" w:cs="Times New Roman"/>
          <w:lang w:eastAsia="de-DE"/>
        </w:rPr>
        <w:t xml:space="preserve"> und </w:t>
      </w:r>
      <w:r w:rsidRPr="00C22013">
        <w:rPr>
          <w:rFonts w:eastAsia="Times New Roman" w:cs="Times New Roman"/>
          <w:b/>
          <w:bCs/>
          <w:rtl/>
          <w:lang w:eastAsia="de-DE"/>
        </w:rPr>
        <w:t>מִלֶּחֶם הָאָרֶץ</w:t>
      </w:r>
      <w:r w:rsidRPr="00C22013">
        <w:rPr>
          <w:rFonts w:eastAsia="Times New Roman" w:cs="Times New Roman"/>
          <w:rtl/>
          <w:lang w:eastAsia="de-DE"/>
        </w:rPr>
        <w:t xml:space="preserve"> </w:t>
      </w:r>
      <w:r w:rsidRPr="00C22013">
        <w:rPr>
          <w:rFonts w:eastAsia="Times New Roman" w:cs="Times New Roman"/>
          <w:lang w:eastAsia="de-DE"/>
        </w:rPr>
        <w:t>(vom Brot des Landes) zeigt den Zeitpunkt der Verpflichtung: sobald sie vom Ertrag des Landes essen.</w:t>
      </w:r>
    </w:p>
    <w:p w14:paraId="6DB658E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Abgabeverpflichtung </w:t>
      </w:r>
      <w:r w:rsidRPr="00C22013">
        <w:rPr>
          <w:rFonts w:eastAsia="Times New Roman" w:cs="Times New Roman"/>
          <w:b/>
          <w:bCs/>
          <w:rtl/>
          <w:lang w:eastAsia="de-DE"/>
        </w:rPr>
        <w:t>תָּרִ֥ימוּ תְרוּמָ֖ה לַיהוָֽה</w:t>
      </w:r>
      <w:r w:rsidRPr="00C22013">
        <w:rPr>
          <w:rFonts w:eastAsia="Times New Roman" w:cs="Times New Roman"/>
          <w:rtl/>
          <w:lang w:eastAsia="de-DE"/>
        </w:rPr>
        <w:t xml:space="preserve"> </w:t>
      </w:r>
      <w:r w:rsidRPr="00C22013">
        <w:rPr>
          <w:rFonts w:eastAsia="Times New Roman" w:cs="Times New Roman"/>
          <w:lang w:eastAsia="de-DE"/>
        </w:rPr>
        <w:t xml:space="preserve">(sollt ihr ein Hebopfer dem Ewigen anheben) mit </w:t>
      </w:r>
      <w:r w:rsidRPr="00C22013">
        <w:rPr>
          <w:rFonts w:eastAsia="Times New Roman" w:cs="Times New Roman"/>
          <w:b/>
          <w:bCs/>
          <w:rtl/>
          <w:lang w:eastAsia="de-DE"/>
        </w:rPr>
        <w:t>תָּרִימוּ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רום</w:t>
      </w:r>
      <w:r w:rsidRPr="00C22013">
        <w:rPr>
          <w:rFonts w:eastAsia="Times New Roman" w:cs="Times New Roman"/>
          <w:rtl/>
          <w:lang w:eastAsia="de-DE"/>
        </w:rPr>
        <w:t xml:space="preserve"> </w:t>
      </w:r>
      <w:r w:rsidRPr="00C22013">
        <w:rPr>
          <w:rFonts w:eastAsia="Times New Roman" w:cs="Times New Roman"/>
          <w:lang w:eastAsia="de-DE"/>
        </w:rPr>
        <w:t xml:space="preserve">(erheben) im Hiph'il-Imperfekt 2. maskulin Plural, </w:t>
      </w:r>
      <w:r w:rsidRPr="00C22013">
        <w:rPr>
          <w:rFonts w:eastAsia="Times New Roman" w:cs="Times New Roman"/>
          <w:b/>
          <w:bCs/>
          <w:rtl/>
          <w:lang w:eastAsia="de-DE"/>
        </w:rPr>
        <w:t>תְּרוּמָה</w:t>
      </w:r>
      <w:r w:rsidRPr="00C22013">
        <w:rPr>
          <w:rFonts w:eastAsia="Times New Roman" w:cs="Times New Roman"/>
          <w:rtl/>
          <w:lang w:eastAsia="de-DE"/>
        </w:rPr>
        <w:t xml:space="preserve"> </w:t>
      </w:r>
      <w:r w:rsidRPr="00C22013">
        <w:rPr>
          <w:rFonts w:eastAsia="Times New Roman" w:cs="Times New Roman"/>
          <w:lang w:eastAsia="de-DE"/>
        </w:rPr>
        <w:t xml:space="preserve">(Hebopfer) und </w:t>
      </w:r>
      <w:r w:rsidRPr="00C22013">
        <w:rPr>
          <w:rFonts w:eastAsia="Times New Roman" w:cs="Times New Roman"/>
          <w:b/>
          <w:bCs/>
          <w:rtl/>
          <w:lang w:eastAsia="de-DE"/>
        </w:rPr>
        <w:t>לַיהוָה</w:t>
      </w:r>
      <w:r w:rsidRPr="00C22013">
        <w:rPr>
          <w:rFonts w:eastAsia="Times New Roman" w:cs="Times New Roman"/>
          <w:rtl/>
          <w:lang w:eastAsia="de-DE"/>
        </w:rPr>
        <w:t xml:space="preserve"> </w:t>
      </w:r>
      <w:r w:rsidRPr="00C22013">
        <w:rPr>
          <w:rFonts w:eastAsia="Times New Roman" w:cs="Times New Roman"/>
          <w:lang w:eastAsia="de-DE"/>
        </w:rPr>
        <w:t>(dem Ewigen) zeigt die religiöse Verpflichtung zur Erstlingsgabe.</w:t>
      </w:r>
    </w:p>
    <w:p w14:paraId="077CCB8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בַּאֲכָלְכֶם</w:t>
      </w:r>
      <w:r w:rsidRPr="00C22013">
        <w:rPr>
          <w:rFonts w:eastAsia="Times New Roman" w:cs="Times New Roman"/>
          <w:rtl/>
          <w:lang w:eastAsia="de-DE"/>
        </w:rPr>
        <w:t xml:space="preserve"> </w:t>
      </w:r>
      <w:r w:rsidRPr="00C22013">
        <w:rPr>
          <w:rFonts w:eastAsia="Times New Roman" w:cs="Times New Roman"/>
          <w:lang w:eastAsia="de-DE"/>
        </w:rPr>
        <w:t xml:space="preserve">mit ἐν τῷ ἐσθίειν ὑμᾶς (wenn ihr esst), </w:t>
      </w:r>
      <w:r w:rsidRPr="00C22013">
        <w:rPr>
          <w:rFonts w:eastAsia="Times New Roman" w:cs="Times New Roman"/>
          <w:b/>
          <w:bCs/>
          <w:rtl/>
          <w:lang w:eastAsia="de-DE"/>
        </w:rPr>
        <w:t>לֶחֶם הָאָרֶץ</w:t>
      </w:r>
      <w:r w:rsidRPr="00C22013">
        <w:rPr>
          <w:rFonts w:eastAsia="Times New Roman" w:cs="Times New Roman"/>
          <w:rtl/>
          <w:lang w:eastAsia="de-DE"/>
        </w:rPr>
        <w:t xml:space="preserve"> </w:t>
      </w:r>
      <w:r w:rsidRPr="00C22013">
        <w:rPr>
          <w:rFonts w:eastAsia="Times New Roman" w:cs="Times New Roman"/>
          <w:lang w:eastAsia="de-DE"/>
        </w:rPr>
        <w:t xml:space="preserve">mit τοὺς ἄρτους τῆς γῆς (die Brote des Landes) und </w:t>
      </w:r>
      <w:r w:rsidRPr="00C22013">
        <w:rPr>
          <w:rFonts w:eastAsia="Times New Roman" w:cs="Times New Roman"/>
          <w:b/>
          <w:bCs/>
          <w:rtl/>
          <w:lang w:eastAsia="de-DE"/>
        </w:rPr>
        <w:t>תְּרוּמָה</w:t>
      </w:r>
      <w:r w:rsidRPr="00C22013">
        <w:rPr>
          <w:rFonts w:eastAsia="Times New Roman" w:cs="Times New Roman"/>
          <w:rtl/>
          <w:lang w:eastAsia="de-DE"/>
        </w:rPr>
        <w:t xml:space="preserve"> </w:t>
      </w:r>
      <w:r w:rsidRPr="00C22013">
        <w:rPr>
          <w:rFonts w:eastAsia="Times New Roman" w:cs="Times New Roman"/>
          <w:lang w:eastAsia="de-DE"/>
        </w:rPr>
        <w:t>mit ἀφαίρεμα (Wegnahme/Hebopfer).</w:t>
      </w:r>
    </w:p>
    <w:p w14:paraId="599852B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konditionelle Zeitbestimmung und religiöse Abgabeverpflichtung.</w:t>
      </w:r>
    </w:p>
    <w:p w14:paraId="43A9B5B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etabliert die Verpflichtung zur Erstlingsgabe sobald Israel vom Ertrag des verheißenen Landes lebt.</w:t>
      </w:r>
    </w:p>
    <w:p w14:paraId="60ADA7D0"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lastRenderedPageBreak/>
        <w:t>Numeri 15,20</w:t>
      </w:r>
    </w:p>
    <w:p w14:paraId="010BD17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רֵאשִׁית֙ עֲרִסֹ֣תֵכֶ֔ם חַלָּ֖ה תָּרִ֣ימוּ תְרוּמָ֑ה כִּתְרוּמַ֣ת גֹּ֔רֶן כֵּ֖ן תָּרִ֥ימוּ אֹתָֽהּ׃</w:t>
      </w:r>
    </w:p>
    <w:p w14:paraId="3D6ED80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Als Erstling eures Teiges sollt ihr einen Kuchen als Hebopfer abheben; wie das Hebopfer der Tenne, so sollt ihr dieses abheben.</w:t>
      </w:r>
    </w:p>
    <w:p w14:paraId="60638287"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7793B844">
          <v:rect id="_x0000_i1517" style="width:0;height:1.5pt" o:hralign="center" o:hrstd="t" o:hr="t" fillcolor="#a0a0a0" stroked="f"/>
        </w:pict>
      </w:r>
    </w:p>
    <w:p w14:paraId="64935A7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spezifische Abgabe </w:t>
      </w:r>
      <w:r w:rsidRPr="00C22013">
        <w:rPr>
          <w:rFonts w:eastAsia="Times New Roman" w:cs="Times New Roman"/>
          <w:b/>
          <w:bCs/>
          <w:rtl/>
          <w:lang w:eastAsia="de-DE"/>
        </w:rPr>
        <w:t>רֵאשִׁית֙ עֲרִסֹ֣תֵכֶ֔ם חַלָּ֖ה תָּרִ֣ימוּ תְרוּמָ֑ה</w:t>
      </w:r>
      <w:r w:rsidRPr="00C22013">
        <w:rPr>
          <w:rFonts w:eastAsia="Times New Roman" w:cs="Times New Roman"/>
          <w:rtl/>
          <w:lang w:eastAsia="de-DE"/>
        </w:rPr>
        <w:t xml:space="preserve"> </w:t>
      </w:r>
      <w:r w:rsidRPr="00C22013">
        <w:rPr>
          <w:rFonts w:eastAsia="Times New Roman" w:cs="Times New Roman"/>
          <w:lang w:eastAsia="de-DE"/>
        </w:rPr>
        <w:t xml:space="preserve">(vom Erstling eures Teiges sollt ihr einen Kuchen als Hebopfer anheben) mit </w:t>
      </w:r>
      <w:r w:rsidRPr="00C22013">
        <w:rPr>
          <w:rFonts w:eastAsia="Times New Roman" w:cs="Times New Roman"/>
          <w:b/>
          <w:bCs/>
          <w:rtl/>
          <w:lang w:eastAsia="de-DE"/>
        </w:rPr>
        <w:t>רֵאשִׁית עֲרִסֹתֵכֶם</w:t>
      </w:r>
      <w:r w:rsidRPr="00C22013">
        <w:rPr>
          <w:rFonts w:eastAsia="Times New Roman" w:cs="Times New Roman"/>
          <w:rtl/>
          <w:lang w:eastAsia="de-DE"/>
        </w:rPr>
        <w:t xml:space="preserve"> </w:t>
      </w:r>
      <w:r w:rsidRPr="00C22013">
        <w:rPr>
          <w:rFonts w:eastAsia="Times New Roman" w:cs="Times New Roman"/>
          <w:lang w:eastAsia="de-DE"/>
        </w:rPr>
        <w:t xml:space="preserve">(Erstling eures Teiges), </w:t>
      </w:r>
      <w:r w:rsidRPr="00C22013">
        <w:rPr>
          <w:rFonts w:eastAsia="Times New Roman" w:cs="Times New Roman"/>
          <w:b/>
          <w:bCs/>
          <w:rtl/>
          <w:lang w:eastAsia="de-DE"/>
        </w:rPr>
        <w:t>חַלָּה</w:t>
      </w:r>
      <w:r w:rsidRPr="00C22013">
        <w:rPr>
          <w:rFonts w:eastAsia="Times New Roman" w:cs="Times New Roman"/>
          <w:rtl/>
          <w:lang w:eastAsia="de-DE"/>
        </w:rPr>
        <w:t xml:space="preserve"> </w:t>
      </w:r>
      <w:r w:rsidRPr="00C22013">
        <w:rPr>
          <w:rFonts w:eastAsia="Times New Roman" w:cs="Times New Roman"/>
          <w:lang w:eastAsia="de-DE"/>
        </w:rPr>
        <w:t xml:space="preserve">(Kuchen/Brot) und </w:t>
      </w:r>
      <w:r w:rsidRPr="00C22013">
        <w:rPr>
          <w:rFonts w:eastAsia="Times New Roman" w:cs="Times New Roman"/>
          <w:b/>
          <w:bCs/>
          <w:rtl/>
          <w:lang w:eastAsia="de-DE"/>
        </w:rPr>
        <w:t>תָּרִימוּ תְרוּמָה</w:t>
      </w:r>
      <w:r w:rsidRPr="00C22013">
        <w:rPr>
          <w:rFonts w:eastAsia="Times New Roman" w:cs="Times New Roman"/>
          <w:rtl/>
          <w:lang w:eastAsia="de-DE"/>
        </w:rPr>
        <w:t xml:space="preserve"> </w:t>
      </w:r>
      <w:r w:rsidRPr="00C22013">
        <w:rPr>
          <w:rFonts w:eastAsia="Times New Roman" w:cs="Times New Roman"/>
          <w:lang w:eastAsia="de-DE"/>
        </w:rPr>
        <w:t>(sollt ihr als Hebopfer anheben) zeigt die konkrete Form der Abgabe: ein Brot vom ersten Teig.</w:t>
      </w:r>
    </w:p>
    <w:p w14:paraId="040391B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Der Vergleich </w:t>
      </w:r>
      <w:r w:rsidRPr="00C22013">
        <w:rPr>
          <w:rFonts w:eastAsia="Times New Roman" w:cs="Times New Roman"/>
          <w:b/>
          <w:bCs/>
          <w:rtl/>
          <w:lang w:eastAsia="de-DE"/>
        </w:rPr>
        <w:t>כִּתְרוּמַ֣ת גֹּ֔רֶן כֵּ֖ן תָּרִ֥ימוּ אֹתָֽהּ</w:t>
      </w:r>
      <w:r w:rsidRPr="00C22013">
        <w:rPr>
          <w:rFonts w:eastAsia="Times New Roman" w:cs="Times New Roman"/>
          <w:rtl/>
          <w:lang w:eastAsia="de-DE"/>
        </w:rPr>
        <w:t xml:space="preserve"> </w:t>
      </w:r>
      <w:r w:rsidRPr="00C22013">
        <w:rPr>
          <w:rFonts w:eastAsia="Times New Roman" w:cs="Times New Roman"/>
          <w:lang w:eastAsia="de-DE"/>
        </w:rPr>
        <w:t xml:space="preserve">(wie das Hebopfer der Tenne, so sollt ihr es anheben) mit </w:t>
      </w:r>
      <w:r w:rsidRPr="00C22013">
        <w:rPr>
          <w:rFonts w:eastAsia="Times New Roman" w:cs="Times New Roman"/>
          <w:b/>
          <w:bCs/>
          <w:rtl/>
          <w:lang w:eastAsia="de-DE"/>
        </w:rPr>
        <w:t>כִּתְרוּמַת גֹּרֶן</w:t>
      </w:r>
      <w:r w:rsidRPr="00C22013">
        <w:rPr>
          <w:rFonts w:eastAsia="Times New Roman" w:cs="Times New Roman"/>
          <w:rtl/>
          <w:lang w:eastAsia="de-DE"/>
        </w:rPr>
        <w:t xml:space="preserve"> </w:t>
      </w:r>
      <w:r w:rsidRPr="00C22013">
        <w:rPr>
          <w:rFonts w:eastAsia="Times New Roman" w:cs="Times New Roman"/>
          <w:lang w:eastAsia="de-DE"/>
        </w:rPr>
        <w:t xml:space="preserve">(wie das Hebopfer der Tenne) und </w:t>
      </w:r>
      <w:r w:rsidRPr="00C22013">
        <w:rPr>
          <w:rFonts w:eastAsia="Times New Roman" w:cs="Times New Roman"/>
          <w:b/>
          <w:bCs/>
          <w:rtl/>
          <w:lang w:eastAsia="de-DE"/>
        </w:rPr>
        <w:t>כֵּן תָּרִימוּ אֹתָהּ</w:t>
      </w:r>
      <w:r w:rsidRPr="00C22013">
        <w:rPr>
          <w:rFonts w:eastAsia="Times New Roman" w:cs="Times New Roman"/>
          <w:rtl/>
          <w:lang w:eastAsia="de-DE"/>
        </w:rPr>
        <w:t xml:space="preserve"> </w:t>
      </w:r>
      <w:r w:rsidRPr="00C22013">
        <w:rPr>
          <w:rFonts w:eastAsia="Times New Roman" w:cs="Times New Roman"/>
          <w:lang w:eastAsia="de-DE"/>
        </w:rPr>
        <w:t>(so sollt ihr es anheben) vergleicht mit der bereits bekannten Erstlingsgarben-Abgabe.</w:t>
      </w:r>
    </w:p>
    <w:p w14:paraId="17FA736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עֲרִסֹתֵכֶם</w:t>
      </w:r>
      <w:r w:rsidRPr="00C22013">
        <w:rPr>
          <w:rFonts w:eastAsia="Times New Roman" w:cs="Times New Roman"/>
          <w:rtl/>
          <w:lang w:eastAsia="de-DE"/>
        </w:rPr>
        <w:t xml:space="preserve"> </w:t>
      </w:r>
      <w:r w:rsidRPr="00C22013">
        <w:rPr>
          <w:rFonts w:eastAsia="Times New Roman" w:cs="Times New Roman"/>
          <w:lang w:eastAsia="de-DE"/>
        </w:rPr>
        <w:t xml:space="preserve">mit φυραμάτων ὑμῶν (eurer Teigmischungen), </w:t>
      </w:r>
      <w:r w:rsidRPr="00C22013">
        <w:rPr>
          <w:rFonts w:eastAsia="Times New Roman" w:cs="Times New Roman"/>
          <w:b/>
          <w:bCs/>
          <w:rtl/>
          <w:lang w:eastAsia="de-DE"/>
        </w:rPr>
        <w:t>חַלָּה</w:t>
      </w:r>
      <w:r w:rsidRPr="00C22013">
        <w:rPr>
          <w:rFonts w:eastAsia="Times New Roman" w:cs="Times New Roman"/>
          <w:rtl/>
          <w:lang w:eastAsia="de-DE"/>
        </w:rPr>
        <w:t xml:space="preserve"> </w:t>
      </w:r>
      <w:r w:rsidRPr="00C22013">
        <w:rPr>
          <w:rFonts w:eastAsia="Times New Roman" w:cs="Times New Roman"/>
          <w:lang w:eastAsia="de-DE"/>
        </w:rPr>
        <w:t xml:space="preserve">mit πλακοῦντα (Kuchen) und </w:t>
      </w:r>
      <w:r w:rsidRPr="00C22013">
        <w:rPr>
          <w:rFonts w:eastAsia="Times New Roman" w:cs="Times New Roman"/>
          <w:b/>
          <w:bCs/>
          <w:rtl/>
          <w:lang w:eastAsia="de-DE"/>
        </w:rPr>
        <w:t>גֹּרֶן</w:t>
      </w:r>
      <w:r w:rsidRPr="00C22013">
        <w:rPr>
          <w:rFonts w:eastAsia="Times New Roman" w:cs="Times New Roman"/>
          <w:rtl/>
          <w:lang w:eastAsia="de-DE"/>
        </w:rPr>
        <w:t xml:space="preserve"> </w:t>
      </w:r>
      <w:r w:rsidRPr="00C22013">
        <w:rPr>
          <w:rFonts w:eastAsia="Times New Roman" w:cs="Times New Roman"/>
          <w:lang w:eastAsia="de-DE"/>
        </w:rPr>
        <w:t>mit ἅλω (Tenne).</w:t>
      </w:r>
    </w:p>
    <w:p w14:paraId="7E28E57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spezifische Abgabe-Bestimmung und Vergleich mit bekannter Praxis.</w:t>
      </w:r>
    </w:p>
    <w:p w14:paraId="01F7096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konkretisiert die Challah-Abgabe als Brot vom ersten Teig und vergleicht sie mit der Tennen-Abgabe.</w:t>
      </w:r>
    </w:p>
    <w:p w14:paraId="7D3076E0"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15,21</w:t>
      </w:r>
    </w:p>
    <w:p w14:paraId="474D740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מֵרֵאשִׁית֙ עֲרִסֹ֣תֵיכֶ֔ם תִּתְּנ֥וּ לַיהוָ֖ה תְּרוּמָ֑ה לְדֹרֹ֖תֵיכֶֽם׃</w:t>
      </w:r>
    </w:p>
    <w:p w14:paraId="016801E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Von dem Erstling eures Teiges sollt ihr dem Ewigen ein Hebopfer geben bei euren Geschlechtern.</w:t>
      </w:r>
    </w:p>
    <w:p w14:paraId="0E1D2BCC"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79110621">
          <v:rect id="_x0000_i1518" style="width:0;height:1.5pt" o:hralign="center" o:hrstd="t" o:hr="t" fillcolor="#a0a0a0" stroked="f"/>
        </w:pict>
      </w:r>
    </w:p>
    <w:p w14:paraId="1025EBC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Wiederholung </w:t>
      </w:r>
      <w:r w:rsidRPr="00C22013">
        <w:rPr>
          <w:rFonts w:eastAsia="Times New Roman" w:cs="Times New Roman"/>
          <w:b/>
          <w:bCs/>
          <w:rtl/>
          <w:lang w:eastAsia="de-DE"/>
        </w:rPr>
        <w:t>מֵרֵאשִׁית֙ עֲרִסֹ֣תֵיכֶ֔ם תִּתְּנ֥וּ לַיהוָ֖ה תְּרוּמָ֑ה</w:t>
      </w:r>
      <w:r w:rsidRPr="00C22013">
        <w:rPr>
          <w:rFonts w:eastAsia="Times New Roman" w:cs="Times New Roman"/>
          <w:rtl/>
          <w:lang w:eastAsia="de-DE"/>
        </w:rPr>
        <w:t xml:space="preserve"> </w:t>
      </w:r>
      <w:r w:rsidRPr="00C22013">
        <w:rPr>
          <w:rFonts w:eastAsia="Times New Roman" w:cs="Times New Roman"/>
          <w:lang w:eastAsia="de-DE"/>
        </w:rPr>
        <w:t xml:space="preserve">(vom Erstling eures Teiges sollt ihr dem Ewigen ein Hebopfer geben) mit </w:t>
      </w:r>
      <w:r w:rsidRPr="00C22013">
        <w:rPr>
          <w:rFonts w:eastAsia="Times New Roman" w:cs="Times New Roman"/>
          <w:b/>
          <w:bCs/>
          <w:rtl/>
          <w:lang w:eastAsia="de-DE"/>
        </w:rPr>
        <w:t>מֵרֵאשִׁית עֲרִסֹתֵיכֶם</w:t>
      </w:r>
      <w:r w:rsidRPr="00C22013">
        <w:rPr>
          <w:rFonts w:eastAsia="Times New Roman" w:cs="Times New Roman"/>
          <w:rtl/>
          <w:lang w:eastAsia="de-DE"/>
        </w:rPr>
        <w:t xml:space="preserve"> </w:t>
      </w:r>
      <w:r w:rsidRPr="00C22013">
        <w:rPr>
          <w:rFonts w:eastAsia="Times New Roman" w:cs="Times New Roman"/>
          <w:lang w:eastAsia="de-DE"/>
        </w:rPr>
        <w:t xml:space="preserve">(vom Erstling eures Teiges), </w:t>
      </w:r>
      <w:r w:rsidRPr="00C22013">
        <w:rPr>
          <w:rFonts w:eastAsia="Times New Roman" w:cs="Times New Roman"/>
          <w:b/>
          <w:bCs/>
          <w:rtl/>
          <w:lang w:eastAsia="de-DE"/>
        </w:rPr>
        <w:t>תִּתְּנוּ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נתן</w:t>
      </w:r>
      <w:r w:rsidRPr="00C22013">
        <w:rPr>
          <w:rFonts w:eastAsia="Times New Roman" w:cs="Times New Roman"/>
          <w:rtl/>
          <w:lang w:eastAsia="de-DE"/>
        </w:rPr>
        <w:t xml:space="preserve"> </w:t>
      </w:r>
      <w:r w:rsidRPr="00C22013">
        <w:rPr>
          <w:rFonts w:eastAsia="Times New Roman" w:cs="Times New Roman"/>
          <w:lang w:eastAsia="de-DE"/>
        </w:rPr>
        <w:t xml:space="preserve">(geben) und </w:t>
      </w:r>
      <w:r w:rsidRPr="00C22013">
        <w:rPr>
          <w:rFonts w:eastAsia="Times New Roman" w:cs="Times New Roman"/>
          <w:b/>
          <w:bCs/>
          <w:rtl/>
          <w:lang w:eastAsia="de-DE"/>
        </w:rPr>
        <w:t>לַיהוָה תְּרוּמָה</w:t>
      </w:r>
      <w:r w:rsidRPr="00C22013">
        <w:rPr>
          <w:rFonts w:eastAsia="Times New Roman" w:cs="Times New Roman"/>
          <w:rtl/>
          <w:lang w:eastAsia="de-DE"/>
        </w:rPr>
        <w:t xml:space="preserve"> </w:t>
      </w:r>
      <w:r w:rsidRPr="00C22013">
        <w:rPr>
          <w:rFonts w:eastAsia="Times New Roman" w:cs="Times New Roman"/>
          <w:lang w:eastAsia="de-DE"/>
        </w:rPr>
        <w:t>(dem Ewigen ein Hebopfer) bekräftigt die Verpflichtung.</w:t>
      </w:r>
    </w:p>
    <w:p w14:paraId="19D31F4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Ewigkeitsklausel </w:t>
      </w:r>
      <w:r w:rsidRPr="00C22013">
        <w:rPr>
          <w:rFonts w:eastAsia="Times New Roman" w:cs="Times New Roman"/>
          <w:b/>
          <w:bCs/>
          <w:rtl/>
          <w:lang w:eastAsia="de-DE"/>
        </w:rPr>
        <w:t>לְדֹרֹ֖תֵיכֶֽם</w:t>
      </w:r>
      <w:r w:rsidRPr="00C22013">
        <w:rPr>
          <w:rFonts w:eastAsia="Times New Roman" w:cs="Times New Roman"/>
          <w:rtl/>
          <w:lang w:eastAsia="de-DE"/>
        </w:rPr>
        <w:t xml:space="preserve"> </w:t>
      </w:r>
      <w:r w:rsidRPr="00C22013">
        <w:rPr>
          <w:rFonts w:eastAsia="Times New Roman" w:cs="Times New Roman"/>
          <w:lang w:eastAsia="de-DE"/>
        </w:rPr>
        <w:t>(für eure Geschlechter) betont die zeitlich unbegrenzte Geltung dieser Bestimmung.</w:t>
      </w:r>
    </w:p>
    <w:p w14:paraId="5362B64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תִּתְּנוּ</w:t>
      </w:r>
      <w:r w:rsidRPr="00C22013">
        <w:rPr>
          <w:rFonts w:eastAsia="Times New Roman" w:cs="Times New Roman"/>
          <w:rtl/>
          <w:lang w:eastAsia="de-DE"/>
        </w:rPr>
        <w:t xml:space="preserve"> </w:t>
      </w:r>
      <w:r w:rsidRPr="00C22013">
        <w:rPr>
          <w:rFonts w:eastAsia="Times New Roman" w:cs="Times New Roman"/>
          <w:lang w:eastAsia="de-DE"/>
        </w:rPr>
        <w:t xml:space="preserve">mit δώσετε (ihr werdet geben) und </w:t>
      </w:r>
      <w:r w:rsidRPr="00C22013">
        <w:rPr>
          <w:rFonts w:eastAsia="Times New Roman" w:cs="Times New Roman"/>
          <w:b/>
          <w:bCs/>
          <w:rtl/>
          <w:lang w:eastAsia="de-DE"/>
        </w:rPr>
        <w:t>לְדֹרֹתֵיכֶם</w:t>
      </w:r>
      <w:r w:rsidRPr="00C22013">
        <w:rPr>
          <w:rFonts w:eastAsia="Times New Roman" w:cs="Times New Roman"/>
          <w:rtl/>
          <w:lang w:eastAsia="de-DE"/>
        </w:rPr>
        <w:t xml:space="preserve"> </w:t>
      </w:r>
      <w:r w:rsidRPr="00C22013">
        <w:rPr>
          <w:rFonts w:eastAsia="Times New Roman" w:cs="Times New Roman"/>
          <w:lang w:eastAsia="de-DE"/>
        </w:rPr>
        <w:t>mit εἰς τὰς γενεὰς ὑμῶν (für eure Generationen).</w:t>
      </w:r>
    </w:p>
    <w:p w14:paraId="0CF8743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bekräftigende Wiederholung und Ewigkeitsklausel.</w:t>
      </w:r>
    </w:p>
    <w:p w14:paraId="328F21A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Dieser Vers bekräftigt die Challah-Verpflichtung und betont ihre dauerhafte Geltung für alle Generationen.</w:t>
      </w:r>
    </w:p>
    <w:p w14:paraId="380B8619"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15,22</w:t>
      </w:r>
    </w:p>
    <w:p w14:paraId="2D2432E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וְכִ֣י תִשְׁגּ֔וּ וְלֹ֣א תַעֲשׂ֔וּ אֵ֥ת כָּל־הַמִּצְוֹ֖ת הָאֵ֑לֶּה אֲשֶׁר־דִּבֶּ֥ר יְהוָ֖ה אֶל־מֹשֶֽׁה׃</w:t>
      </w:r>
    </w:p>
    <w:p w14:paraId="60C21FE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wenn ihr unabsichtlich irrt und nicht alle diese Gebote tut, die der Ewige zu Mosche geredet hat.</w:t>
      </w:r>
    </w:p>
    <w:p w14:paraId="1250075E"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1D2522E4">
          <v:rect id="_x0000_i1519" style="width:0;height:1.5pt" o:hralign="center" o:hrstd="t" o:hr="t" fillcolor="#a0a0a0" stroked="f"/>
        </w:pict>
      </w:r>
    </w:p>
    <w:p w14:paraId="2337581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konditionelle Verfehlung </w:t>
      </w:r>
      <w:r w:rsidRPr="00C22013">
        <w:rPr>
          <w:rFonts w:eastAsia="Times New Roman" w:cs="Times New Roman"/>
          <w:b/>
          <w:bCs/>
          <w:rtl/>
          <w:lang w:eastAsia="de-DE"/>
        </w:rPr>
        <w:t>וְכִ֣י תִשְׁגּ֔וּ וְלֹ֣א תַעֲשׂ֔וּ אֵ֥ת כָּל־הַמִּצְוֹ֖ת הָאֵ֑לֶּה</w:t>
      </w:r>
      <w:r w:rsidRPr="00C22013">
        <w:rPr>
          <w:rFonts w:eastAsia="Times New Roman" w:cs="Times New Roman"/>
          <w:rtl/>
          <w:lang w:eastAsia="de-DE"/>
        </w:rPr>
        <w:t xml:space="preserve"> </w:t>
      </w:r>
      <w:r w:rsidRPr="00C22013">
        <w:rPr>
          <w:rFonts w:eastAsia="Times New Roman" w:cs="Times New Roman"/>
          <w:lang w:eastAsia="de-DE"/>
        </w:rPr>
        <w:t xml:space="preserve">(und wenn ihr irrt und nicht alle diese Gebote tut) mit </w:t>
      </w:r>
      <w:r w:rsidRPr="00C22013">
        <w:rPr>
          <w:rFonts w:eastAsia="Times New Roman" w:cs="Times New Roman"/>
          <w:b/>
          <w:bCs/>
          <w:rtl/>
          <w:lang w:eastAsia="de-DE"/>
        </w:rPr>
        <w:t>תִשְׁגּוּ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שגה</w:t>
      </w:r>
      <w:r w:rsidRPr="00C22013">
        <w:rPr>
          <w:rFonts w:eastAsia="Times New Roman" w:cs="Times New Roman"/>
          <w:rtl/>
          <w:lang w:eastAsia="de-DE"/>
        </w:rPr>
        <w:t xml:space="preserve"> </w:t>
      </w:r>
      <w:r w:rsidRPr="00C22013">
        <w:rPr>
          <w:rFonts w:eastAsia="Times New Roman" w:cs="Times New Roman"/>
          <w:lang w:eastAsia="de-DE"/>
        </w:rPr>
        <w:t xml:space="preserve">(irren/sich verirren) im Qal-Imperfekt 2. maskulin Plural, </w:t>
      </w:r>
      <w:r w:rsidRPr="00C22013">
        <w:rPr>
          <w:rFonts w:eastAsia="Times New Roman" w:cs="Times New Roman"/>
          <w:b/>
          <w:bCs/>
          <w:rtl/>
          <w:lang w:eastAsia="de-DE"/>
        </w:rPr>
        <w:t>לֹא תַעֲשׂוּ</w:t>
      </w:r>
      <w:r w:rsidRPr="00C22013">
        <w:rPr>
          <w:rFonts w:eastAsia="Times New Roman" w:cs="Times New Roman"/>
          <w:rtl/>
          <w:lang w:eastAsia="de-DE"/>
        </w:rPr>
        <w:t xml:space="preserve"> </w:t>
      </w:r>
      <w:r w:rsidRPr="00C22013">
        <w:rPr>
          <w:rFonts w:eastAsia="Times New Roman" w:cs="Times New Roman"/>
          <w:lang w:eastAsia="de-DE"/>
        </w:rPr>
        <w:t xml:space="preserve">(ihr tut nicht) und </w:t>
      </w:r>
      <w:r w:rsidRPr="00C22013">
        <w:rPr>
          <w:rFonts w:eastAsia="Times New Roman" w:cs="Times New Roman"/>
          <w:b/>
          <w:bCs/>
          <w:rtl/>
          <w:lang w:eastAsia="de-DE"/>
        </w:rPr>
        <w:t>כָּל־הַמִּצְוֹת הָאֵלֶּה</w:t>
      </w:r>
      <w:r w:rsidRPr="00C22013">
        <w:rPr>
          <w:rFonts w:eastAsia="Times New Roman" w:cs="Times New Roman"/>
          <w:rtl/>
          <w:lang w:eastAsia="de-DE"/>
        </w:rPr>
        <w:t xml:space="preserve"> </w:t>
      </w:r>
      <w:r w:rsidRPr="00C22013">
        <w:rPr>
          <w:rFonts w:eastAsia="Times New Roman" w:cs="Times New Roman"/>
          <w:lang w:eastAsia="de-DE"/>
        </w:rPr>
        <w:t>(alle diese Gebote) leitet den dritten Hauptabschnitt über Sündopfer ein.</w:t>
      </w:r>
    </w:p>
    <w:p w14:paraId="1D3A89D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Autoritätsangabe </w:t>
      </w:r>
      <w:r w:rsidRPr="00C22013">
        <w:rPr>
          <w:rFonts w:eastAsia="Times New Roman" w:cs="Times New Roman"/>
          <w:b/>
          <w:bCs/>
          <w:rtl/>
          <w:lang w:eastAsia="de-DE"/>
        </w:rPr>
        <w:t>אֲשֶׁר־דִּבֶּ֥ר יְהוָ֖ה אֶל־מֹשֶֽׁה</w:t>
      </w:r>
      <w:r w:rsidRPr="00C22013">
        <w:rPr>
          <w:rFonts w:eastAsia="Times New Roman" w:cs="Times New Roman"/>
          <w:rtl/>
          <w:lang w:eastAsia="de-DE"/>
        </w:rPr>
        <w:t xml:space="preserve"> </w:t>
      </w:r>
      <w:r w:rsidRPr="00C22013">
        <w:rPr>
          <w:rFonts w:eastAsia="Times New Roman" w:cs="Times New Roman"/>
          <w:lang w:eastAsia="de-DE"/>
        </w:rPr>
        <w:t xml:space="preserve">(die der Ewige zu Mose geredet hat) mit </w:t>
      </w:r>
      <w:r w:rsidRPr="00C22013">
        <w:rPr>
          <w:rFonts w:eastAsia="Times New Roman" w:cs="Times New Roman"/>
          <w:b/>
          <w:bCs/>
          <w:rtl/>
          <w:lang w:eastAsia="de-DE"/>
        </w:rPr>
        <w:t>דִּבֶּר יְהוָה אֶל־מֹשֶׁה</w:t>
      </w:r>
      <w:r w:rsidRPr="00C22013">
        <w:rPr>
          <w:rFonts w:eastAsia="Times New Roman" w:cs="Times New Roman"/>
          <w:rtl/>
          <w:lang w:eastAsia="de-DE"/>
        </w:rPr>
        <w:t xml:space="preserve"> </w:t>
      </w:r>
      <w:r w:rsidRPr="00C22013">
        <w:rPr>
          <w:rFonts w:eastAsia="Times New Roman" w:cs="Times New Roman"/>
          <w:lang w:eastAsia="de-DE"/>
        </w:rPr>
        <w:t>(der Ewige redete zu Mose) betont die göttliche Autorität der Gebote.</w:t>
      </w:r>
    </w:p>
    <w:p w14:paraId="69C7257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תִשְׁגּוּ</w:t>
      </w:r>
      <w:r w:rsidRPr="00C22013">
        <w:rPr>
          <w:rFonts w:eastAsia="Times New Roman" w:cs="Times New Roman"/>
          <w:rtl/>
          <w:lang w:eastAsia="de-DE"/>
        </w:rPr>
        <w:t xml:space="preserve"> </w:t>
      </w:r>
      <w:r w:rsidRPr="00C22013">
        <w:rPr>
          <w:rFonts w:eastAsia="Times New Roman" w:cs="Times New Roman"/>
          <w:lang w:eastAsia="de-DE"/>
        </w:rPr>
        <w:t xml:space="preserve">mit πλανηθῆτε (ihr werdet in die Irre gehen), </w:t>
      </w:r>
      <w:r w:rsidRPr="00C22013">
        <w:rPr>
          <w:rFonts w:eastAsia="Times New Roman" w:cs="Times New Roman"/>
          <w:b/>
          <w:bCs/>
          <w:rtl/>
          <w:lang w:eastAsia="de-DE"/>
        </w:rPr>
        <w:t>מִצְוֹת</w:t>
      </w:r>
      <w:r w:rsidRPr="00C22013">
        <w:rPr>
          <w:rFonts w:eastAsia="Times New Roman" w:cs="Times New Roman"/>
          <w:rtl/>
          <w:lang w:eastAsia="de-DE"/>
        </w:rPr>
        <w:t xml:space="preserve"> </w:t>
      </w:r>
      <w:r w:rsidRPr="00C22013">
        <w:rPr>
          <w:rFonts w:eastAsia="Times New Roman" w:cs="Times New Roman"/>
          <w:lang w:eastAsia="de-DE"/>
        </w:rPr>
        <w:t xml:space="preserve">mit ἐντολάς (Gebote) und </w:t>
      </w:r>
      <w:r w:rsidRPr="00C22013">
        <w:rPr>
          <w:rFonts w:eastAsia="Times New Roman" w:cs="Times New Roman"/>
          <w:b/>
          <w:bCs/>
          <w:rtl/>
          <w:lang w:eastAsia="de-DE"/>
        </w:rPr>
        <w:t>דִּבֶּר</w:t>
      </w:r>
      <w:r w:rsidRPr="00C22013">
        <w:rPr>
          <w:rFonts w:eastAsia="Times New Roman" w:cs="Times New Roman"/>
          <w:rtl/>
          <w:lang w:eastAsia="de-DE"/>
        </w:rPr>
        <w:t xml:space="preserve"> </w:t>
      </w:r>
      <w:r w:rsidRPr="00C22013">
        <w:rPr>
          <w:rFonts w:eastAsia="Times New Roman" w:cs="Times New Roman"/>
          <w:lang w:eastAsia="de-DE"/>
        </w:rPr>
        <w:t>mit ἐλάλησεν (er redete).</w:t>
      </w:r>
    </w:p>
    <w:p w14:paraId="17F54C0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konditionelle Verfehlung und göttliche Autoritätsbestätigung.</w:t>
      </w:r>
    </w:p>
    <w:p w14:paraId="3873784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den Abschnitt über unabsichtliche Sünden ein und betont die göttliche Autorität aller Gebote.</w:t>
      </w:r>
    </w:p>
    <w:p w14:paraId="40DAD2D4"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15,23</w:t>
      </w:r>
    </w:p>
    <w:p w14:paraId="25D6D2F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אֵת֩ כָּל־אֲשֶׁ֨ר צִוָּ֧ה יְהוָ֛ה אֲלֵיכֶ֖ם בְּיַד־מֹשֶׁ֑ה מִן־הַיּ֞וֹם אֲשֶׁ֨ר צִוָּ֧ה יְהוָ֛ה וָהָ֖לְאָה לְדֹרֹתֵיכֶֽם׃</w:t>
      </w:r>
    </w:p>
    <w:p w14:paraId="3D6890F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Alles, was der Ewige euch durch Mosche geboten hat, von dem Tag an, da der Ewige Gebote gab, und weiterhin bei euren Geschlechtern.</w:t>
      </w:r>
    </w:p>
    <w:p w14:paraId="6F8F47BF"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4B844E5">
          <v:rect id="_x0000_i1520" style="width:0;height:1.5pt" o:hralign="center" o:hrstd="t" o:hr="t" fillcolor="#a0a0a0" stroked="f"/>
        </w:pict>
      </w:r>
    </w:p>
    <w:p w14:paraId="66C064A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Vollständigkeit </w:t>
      </w:r>
      <w:r w:rsidRPr="00C22013">
        <w:rPr>
          <w:rFonts w:eastAsia="Times New Roman" w:cs="Times New Roman"/>
          <w:b/>
          <w:bCs/>
          <w:rtl/>
          <w:lang w:eastAsia="de-DE"/>
        </w:rPr>
        <w:t>אֵת֩ כָּל־אֲשֶׁ֨ר צִוָּ֧ה יְהוָ֛ה אֲלֵיכֶ֖ם בְּיַד־מֹשֶׁ֑ה</w:t>
      </w:r>
      <w:r w:rsidRPr="00C22013">
        <w:rPr>
          <w:rFonts w:eastAsia="Times New Roman" w:cs="Times New Roman"/>
          <w:rtl/>
          <w:lang w:eastAsia="de-DE"/>
        </w:rPr>
        <w:t xml:space="preserve"> </w:t>
      </w:r>
      <w:r w:rsidRPr="00C22013">
        <w:rPr>
          <w:rFonts w:eastAsia="Times New Roman" w:cs="Times New Roman"/>
          <w:lang w:eastAsia="de-DE"/>
        </w:rPr>
        <w:t xml:space="preserve">(alles, was der Ewige euch durch die Hand Moses geboten hat) mit </w:t>
      </w:r>
      <w:r w:rsidRPr="00C22013">
        <w:rPr>
          <w:rFonts w:eastAsia="Times New Roman" w:cs="Times New Roman"/>
          <w:b/>
          <w:bCs/>
          <w:rtl/>
          <w:lang w:eastAsia="de-DE"/>
        </w:rPr>
        <w:t>כָּל־אֲשֶׁר צִוָּה</w:t>
      </w:r>
      <w:r w:rsidRPr="00C22013">
        <w:rPr>
          <w:rFonts w:eastAsia="Times New Roman" w:cs="Times New Roman"/>
          <w:rtl/>
          <w:lang w:eastAsia="de-DE"/>
        </w:rPr>
        <w:t xml:space="preserve"> </w:t>
      </w:r>
      <w:r w:rsidRPr="00C22013">
        <w:rPr>
          <w:rFonts w:eastAsia="Times New Roman" w:cs="Times New Roman"/>
          <w:lang w:eastAsia="de-DE"/>
        </w:rPr>
        <w:t xml:space="preserve">(alles, was er geboten hat), </w:t>
      </w:r>
      <w:r w:rsidRPr="00C22013">
        <w:rPr>
          <w:rFonts w:eastAsia="Times New Roman" w:cs="Times New Roman"/>
          <w:b/>
          <w:bCs/>
          <w:rtl/>
          <w:lang w:eastAsia="de-DE"/>
        </w:rPr>
        <w:t>צִוָּה יְהוָה</w:t>
      </w:r>
      <w:r w:rsidRPr="00C22013">
        <w:rPr>
          <w:rFonts w:eastAsia="Times New Roman" w:cs="Times New Roman"/>
          <w:rtl/>
          <w:lang w:eastAsia="de-DE"/>
        </w:rPr>
        <w:t xml:space="preserve"> </w:t>
      </w:r>
      <w:r w:rsidRPr="00C22013">
        <w:rPr>
          <w:rFonts w:eastAsia="Times New Roman" w:cs="Times New Roman"/>
          <w:lang w:eastAsia="de-DE"/>
        </w:rPr>
        <w:t xml:space="preserve">(der Ewige geboten hat) und </w:t>
      </w:r>
      <w:r w:rsidRPr="00C22013">
        <w:rPr>
          <w:rFonts w:eastAsia="Times New Roman" w:cs="Times New Roman"/>
          <w:b/>
          <w:bCs/>
          <w:rtl/>
          <w:lang w:eastAsia="de-DE"/>
        </w:rPr>
        <w:t>בְּיַד־מֹשֶׁה</w:t>
      </w:r>
      <w:r w:rsidRPr="00C22013">
        <w:rPr>
          <w:rFonts w:eastAsia="Times New Roman" w:cs="Times New Roman"/>
          <w:rtl/>
          <w:lang w:eastAsia="de-DE"/>
        </w:rPr>
        <w:t xml:space="preserve"> </w:t>
      </w:r>
      <w:r w:rsidRPr="00C22013">
        <w:rPr>
          <w:rFonts w:eastAsia="Times New Roman" w:cs="Times New Roman"/>
          <w:lang w:eastAsia="de-DE"/>
        </w:rPr>
        <w:t>(durch die Hand Moses) zeigt die Gesamtheit der mosaischen Gesetzgebung.</w:t>
      </w:r>
    </w:p>
    <w:p w14:paraId="7DE2DEB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zeitliche Ausdehnung </w:t>
      </w:r>
      <w:r w:rsidRPr="00C22013">
        <w:rPr>
          <w:rFonts w:eastAsia="Times New Roman" w:cs="Times New Roman"/>
          <w:b/>
          <w:bCs/>
          <w:rtl/>
          <w:lang w:eastAsia="de-DE"/>
        </w:rPr>
        <w:t>מִן־הַיּ֞וֹם אֲשֶׁ֨ר צִוָּ֧ה יְהוָ֛ה וָהָ֖לְאָה לְדֹרֹתֵיכֶֽם</w:t>
      </w:r>
      <w:r w:rsidRPr="00C22013">
        <w:rPr>
          <w:rFonts w:eastAsia="Times New Roman" w:cs="Times New Roman"/>
          <w:rtl/>
          <w:lang w:eastAsia="de-DE"/>
        </w:rPr>
        <w:t xml:space="preserve"> </w:t>
      </w:r>
      <w:r w:rsidRPr="00C22013">
        <w:rPr>
          <w:rFonts w:eastAsia="Times New Roman" w:cs="Times New Roman"/>
          <w:lang w:eastAsia="de-DE"/>
        </w:rPr>
        <w:t xml:space="preserve">(von dem Tag an, da der Ewige Gebote gab, und weiterhin für eure Geschlechter) mit </w:t>
      </w:r>
      <w:r w:rsidRPr="00C22013">
        <w:rPr>
          <w:rFonts w:eastAsia="Times New Roman" w:cs="Times New Roman"/>
          <w:b/>
          <w:bCs/>
          <w:rtl/>
          <w:lang w:eastAsia="de-DE"/>
        </w:rPr>
        <w:t>מִן־הַיּוֹם אֲשֶׁר צִוָּה יְהוָה</w:t>
      </w:r>
      <w:r w:rsidRPr="00C22013">
        <w:rPr>
          <w:rFonts w:eastAsia="Times New Roman" w:cs="Times New Roman"/>
          <w:rtl/>
          <w:lang w:eastAsia="de-DE"/>
        </w:rPr>
        <w:t xml:space="preserve"> </w:t>
      </w:r>
      <w:r w:rsidRPr="00C22013">
        <w:rPr>
          <w:rFonts w:eastAsia="Times New Roman" w:cs="Times New Roman"/>
          <w:lang w:eastAsia="de-DE"/>
        </w:rPr>
        <w:t xml:space="preserve">(von dem Tag an, da der Ewige geboten hat), </w:t>
      </w:r>
      <w:r w:rsidRPr="00C22013">
        <w:rPr>
          <w:rFonts w:eastAsia="Times New Roman" w:cs="Times New Roman"/>
          <w:b/>
          <w:bCs/>
          <w:rtl/>
          <w:lang w:eastAsia="de-DE"/>
        </w:rPr>
        <w:t>וָהָלְאָה</w:t>
      </w:r>
      <w:r w:rsidRPr="00C22013">
        <w:rPr>
          <w:rFonts w:eastAsia="Times New Roman" w:cs="Times New Roman"/>
          <w:rtl/>
          <w:lang w:eastAsia="de-DE"/>
        </w:rPr>
        <w:t xml:space="preserve"> </w:t>
      </w:r>
      <w:r w:rsidRPr="00C22013">
        <w:rPr>
          <w:rFonts w:eastAsia="Times New Roman" w:cs="Times New Roman"/>
          <w:lang w:eastAsia="de-DE"/>
        </w:rPr>
        <w:t xml:space="preserve">(und weiterhin) und </w:t>
      </w:r>
      <w:r w:rsidRPr="00C22013">
        <w:rPr>
          <w:rFonts w:eastAsia="Times New Roman" w:cs="Times New Roman"/>
          <w:b/>
          <w:bCs/>
          <w:rtl/>
          <w:lang w:eastAsia="de-DE"/>
        </w:rPr>
        <w:t>לְדֹרֹתֵיכֶם</w:t>
      </w:r>
      <w:r w:rsidRPr="00C22013">
        <w:rPr>
          <w:rFonts w:eastAsia="Times New Roman" w:cs="Times New Roman"/>
          <w:rtl/>
          <w:lang w:eastAsia="de-DE"/>
        </w:rPr>
        <w:t xml:space="preserve"> </w:t>
      </w:r>
      <w:r w:rsidRPr="00C22013">
        <w:rPr>
          <w:rFonts w:eastAsia="Times New Roman" w:cs="Times New Roman"/>
          <w:lang w:eastAsia="de-DE"/>
        </w:rPr>
        <w:t>(für eure Geschlechter) zeigt die zeitliche Kontinuität von der Gesetzgebung bis in alle Zukunft.</w:t>
      </w:r>
    </w:p>
    <w:p w14:paraId="03880B1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Die LXX</w:t>
      </w:r>
      <w:r w:rsidRPr="00C22013">
        <w:rPr>
          <w:rFonts w:eastAsia="Times New Roman" w:cs="Times New Roman"/>
          <w:lang w:eastAsia="de-DE"/>
        </w:rPr>
        <w:t xml:space="preserve"> übersetzt </w:t>
      </w:r>
      <w:r w:rsidRPr="00C22013">
        <w:rPr>
          <w:rFonts w:eastAsia="Times New Roman" w:cs="Times New Roman"/>
          <w:b/>
          <w:bCs/>
          <w:rtl/>
          <w:lang w:eastAsia="de-DE"/>
        </w:rPr>
        <w:t>בְּיַד־מֹשֶׁה</w:t>
      </w:r>
      <w:r w:rsidRPr="00C22013">
        <w:rPr>
          <w:rFonts w:eastAsia="Times New Roman" w:cs="Times New Roman"/>
          <w:rtl/>
          <w:lang w:eastAsia="de-DE"/>
        </w:rPr>
        <w:t xml:space="preserve"> </w:t>
      </w:r>
      <w:r w:rsidRPr="00C22013">
        <w:rPr>
          <w:rFonts w:eastAsia="Times New Roman" w:cs="Times New Roman"/>
          <w:lang w:eastAsia="de-DE"/>
        </w:rPr>
        <w:t xml:space="preserve">mit διὰ χειρὸς Μωυσῆ (durch die Hand Moses), </w:t>
      </w:r>
      <w:r w:rsidRPr="00C22013">
        <w:rPr>
          <w:rFonts w:eastAsia="Times New Roman" w:cs="Times New Roman"/>
          <w:b/>
          <w:bCs/>
          <w:rtl/>
          <w:lang w:eastAsia="de-DE"/>
        </w:rPr>
        <w:t>מִן־הַיּוֹם</w:t>
      </w:r>
      <w:r w:rsidRPr="00C22013">
        <w:rPr>
          <w:rFonts w:eastAsia="Times New Roman" w:cs="Times New Roman"/>
          <w:rtl/>
          <w:lang w:eastAsia="de-DE"/>
        </w:rPr>
        <w:t xml:space="preserve"> </w:t>
      </w:r>
      <w:r w:rsidRPr="00C22013">
        <w:rPr>
          <w:rFonts w:eastAsia="Times New Roman" w:cs="Times New Roman"/>
          <w:lang w:eastAsia="de-DE"/>
        </w:rPr>
        <w:t xml:space="preserve">mit ἀπὸ τῆς ἡμέρας (von dem Tag an) und </w:t>
      </w:r>
      <w:r w:rsidRPr="00C22013">
        <w:rPr>
          <w:rFonts w:eastAsia="Times New Roman" w:cs="Times New Roman"/>
          <w:b/>
          <w:bCs/>
          <w:rtl/>
          <w:lang w:eastAsia="de-DE"/>
        </w:rPr>
        <w:t>וָהָלְאָה</w:t>
      </w:r>
      <w:r w:rsidRPr="00C22013">
        <w:rPr>
          <w:rFonts w:eastAsia="Times New Roman" w:cs="Times New Roman"/>
          <w:rtl/>
          <w:lang w:eastAsia="de-DE"/>
        </w:rPr>
        <w:t xml:space="preserve"> </w:t>
      </w:r>
      <w:r w:rsidRPr="00C22013">
        <w:rPr>
          <w:rFonts w:eastAsia="Times New Roman" w:cs="Times New Roman"/>
          <w:lang w:eastAsia="de-DE"/>
        </w:rPr>
        <w:t>mit καὶ ἐπέκεινα (und darüber hinaus).</w:t>
      </w:r>
    </w:p>
    <w:p w14:paraId="151D88A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Vollständigkeits-Betonung und umfassende zeitliche Ausdehnung.</w:t>
      </w:r>
    </w:p>
    <w:p w14:paraId="29115E9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betont die Gesamtheit und zeitliche Kontinuität der göttlichen Gesetzgebung durch Mose.</w:t>
      </w:r>
    </w:p>
    <w:p w14:paraId="1A65B4F9"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15,24</w:t>
      </w:r>
    </w:p>
    <w:p w14:paraId="4ADC753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וְהָיָ֗ה אִ֣ם מֵעֵינֵ֣י הָעֵדָה֮ נֶעֶשְׂתָ֣ה לִשְׁגָגָה֒ וְעָשׂ֣וּ כָל־הָעֵדָ֡ה פַּ֣ר בֶּן־בָּקָר֩ אֶחָ֨ד לְעֹלָ֜ה לְרֵ֤יחַ נִיחֹ֨חַ֙ לַֽיהוָ֔ה וּמִנְחָתוֹ֥ וְנִסְכֹּ֖ו כַּמִּשְׁפָּ֑ט וּשְׂעִיר־עִזִּ֥ים אֶחָ֖ד לְחַטָּֽת׃</w:t>
      </w:r>
    </w:p>
    <w:p w14:paraId="0688D69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So soll es geschehen, wenn es vor den Augen der Gemeinde verborgen, aus Versehen getan wurde, dass die ganze Gemeinde einen jungen Stier als Aufsteigeopfer bereite zum wohlgefälligenden Geruch dem Ewigen, samt seinem Speisopfer und seinem Trankopfer, nach der Vorschrift, und einen Ziegenbock zum Sündopfer.</w:t>
      </w:r>
    </w:p>
    <w:p w14:paraId="4A9DD12C"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1C37C449">
          <v:rect id="_x0000_i1521" style="width:0;height:1.5pt" o:hralign="center" o:hrstd="t" o:hr="t" fillcolor="#a0a0a0" stroked="f"/>
        </w:pict>
      </w:r>
    </w:p>
    <w:p w14:paraId="236E6F2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Bedingung </w:t>
      </w:r>
      <w:r w:rsidRPr="00C22013">
        <w:rPr>
          <w:rFonts w:eastAsia="Times New Roman" w:cs="Times New Roman"/>
          <w:b/>
          <w:bCs/>
          <w:rtl/>
          <w:lang w:eastAsia="de-DE"/>
        </w:rPr>
        <w:t>וְהָיָ֗ה אִ֣ם מֵעֵינֵ֣י הָעֵדָה֮ נֶעֶשְׂתָ֣ה לִשְׁגָגָה֒</w:t>
      </w:r>
      <w:r w:rsidRPr="00C22013">
        <w:rPr>
          <w:rFonts w:eastAsia="Times New Roman" w:cs="Times New Roman"/>
          <w:rtl/>
          <w:lang w:eastAsia="de-DE"/>
        </w:rPr>
        <w:t xml:space="preserve"> </w:t>
      </w:r>
      <w:r w:rsidRPr="00C22013">
        <w:rPr>
          <w:rFonts w:eastAsia="Times New Roman" w:cs="Times New Roman"/>
          <w:lang w:eastAsia="de-DE"/>
        </w:rPr>
        <w:t xml:space="preserve">(und es soll geschehen, wenn es vor den Augen der Gemeinde verborgen aus Versehen getan wurde) mit </w:t>
      </w:r>
      <w:r w:rsidRPr="00C22013">
        <w:rPr>
          <w:rFonts w:eastAsia="Times New Roman" w:cs="Times New Roman"/>
          <w:b/>
          <w:bCs/>
          <w:rtl/>
          <w:lang w:eastAsia="de-DE"/>
        </w:rPr>
        <w:t>מֵעֵינֵי הָעֵדָה</w:t>
      </w:r>
      <w:r w:rsidRPr="00C22013">
        <w:rPr>
          <w:rFonts w:eastAsia="Times New Roman" w:cs="Times New Roman"/>
          <w:rtl/>
          <w:lang w:eastAsia="de-DE"/>
        </w:rPr>
        <w:t xml:space="preserve"> </w:t>
      </w:r>
      <w:r w:rsidRPr="00C22013">
        <w:rPr>
          <w:rFonts w:eastAsia="Times New Roman" w:cs="Times New Roman"/>
          <w:lang w:eastAsia="de-DE"/>
        </w:rPr>
        <w:t xml:space="preserve">(vor den Augen der Gemeinde verborgen), </w:t>
      </w:r>
      <w:r w:rsidRPr="00C22013">
        <w:rPr>
          <w:rFonts w:eastAsia="Times New Roman" w:cs="Times New Roman"/>
          <w:b/>
          <w:bCs/>
          <w:rtl/>
          <w:lang w:eastAsia="de-DE"/>
        </w:rPr>
        <w:t>נֶעֶשְׂתָה</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עשה</w:t>
      </w:r>
      <w:r w:rsidRPr="00C22013">
        <w:rPr>
          <w:rFonts w:eastAsia="Times New Roman" w:cs="Times New Roman"/>
          <w:rtl/>
          <w:lang w:eastAsia="de-DE"/>
        </w:rPr>
        <w:t xml:space="preserve"> </w:t>
      </w:r>
      <w:r w:rsidRPr="00C22013">
        <w:rPr>
          <w:rFonts w:eastAsia="Times New Roman" w:cs="Times New Roman"/>
          <w:lang w:eastAsia="de-DE"/>
        </w:rPr>
        <w:t xml:space="preserve">(getan werden) im Niph'al und </w:t>
      </w:r>
      <w:r w:rsidRPr="00C22013">
        <w:rPr>
          <w:rFonts w:eastAsia="Times New Roman" w:cs="Times New Roman"/>
          <w:b/>
          <w:bCs/>
          <w:rtl/>
          <w:lang w:eastAsia="de-DE"/>
        </w:rPr>
        <w:t>לִשְׁגָגָה</w:t>
      </w:r>
      <w:r w:rsidRPr="00C22013">
        <w:rPr>
          <w:rFonts w:eastAsia="Times New Roman" w:cs="Times New Roman"/>
          <w:rtl/>
          <w:lang w:eastAsia="de-DE"/>
        </w:rPr>
        <w:t xml:space="preserve"> </w:t>
      </w:r>
      <w:r w:rsidRPr="00C22013">
        <w:rPr>
          <w:rFonts w:eastAsia="Times New Roman" w:cs="Times New Roman"/>
          <w:lang w:eastAsia="de-DE"/>
        </w:rPr>
        <w:t>(aus Versehen) zeigt kollektive unabsichtliche Sünde.</w:t>
      </w:r>
    </w:p>
    <w:p w14:paraId="5EAB3A21" w14:textId="60935E3A"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Das </w:t>
      </w:r>
      <w:r w:rsidR="00FF7EC2">
        <w:rPr>
          <w:rFonts w:eastAsia="Times New Roman" w:cs="Times New Roman"/>
          <w:lang w:eastAsia="de-DE"/>
        </w:rPr>
        <w:t>Aufsteigeopfer</w:t>
      </w:r>
      <w:r w:rsidRPr="00C22013">
        <w:rPr>
          <w:rFonts w:eastAsia="Times New Roman" w:cs="Times New Roman"/>
          <w:lang w:eastAsia="de-DE"/>
        </w:rPr>
        <w:t xml:space="preserve"> </w:t>
      </w:r>
      <w:r w:rsidRPr="00C22013">
        <w:rPr>
          <w:rFonts w:eastAsia="Times New Roman" w:cs="Times New Roman"/>
          <w:b/>
          <w:bCs/>
          <w:rtl/>
          <w:lang w:eastAsia="de-DE"/>
        </w:rPr>
        <w:t>וְעָשׂ֣וּ כָל־הָעֵדָ֡ה פַּ֣ר בֶּן־בָּקָר֩ אֶחָ֨ד לְעֹלָ֜ה לְרֵ֤יחַ נִיחֹ֨חַ֙ לַֽיהוָ֔ה וּמִנְחָתוֹ֥ וְנִסְכֹּ֖ו כַּמִּשְׁפָּ֑ט</w:t>
      </w:r>
      <w:r w:rsidRPr="00C22013">
        <w:rPr>
          <w:rFonts w:eastAsia="Times New Roman" w:cs="Times New Roman"/>
          <w:rtl/>
          <w:lang w:eastAsia="de-DE"/>
        </w:rPr>
        <w:t xml:space="preserve"> </w:t>
      </w:r>
      <w:r w:rsidRPr="00C22013">
        <w:rPr>
          <w:rFonts w:eastAsia="Times New Roman" w:cs="Times New Roman"/>
          <w:lang w:eastAsia="de-DE"/>
        </w:rPr>
        <w:t xml:space="preserve">(und die ganze Gemeinde soll einen jungen Stier als </w:t>
      </w:r>
      <w:r w:rsidR="00FF7EC2">
        <w:rPr>
          <w:rFonts w:eastAsia="Times New Roman" w:cs="Times New Roman"/>
          <w:lang w:eastAsia="de-DE"/>
        </w:rPr>
        <w:t>Aufsteigeopfer</w:t>
      </w:r>
      <w:r w:rsidRPr="00C22013">
        <w:rPr>
          <w:rFonts w:eastAsia="Times New Roman" w:cs="Times New Roman"/>
          <w:lang w:eastAsia="de-DE"/>
        </w:rPr>
        <w:t xml:space="preserve"> machen zum wohlgefälligen Geruch dem Ewigen, und sein Speisopfer und sein Trankopfer nach der Vorschrift) mit </w:t>
      </w:r>
      <w:r w:rsidRPr="00C22013">
        <w:rPr>
          <w:rFonts w:eastAsia="Times New Roman" w:cs="Times New Roman"/>
          <w:b/>
          <w:bCs/>
          <w:rtl/>
          <w:lang w:eastAsia="de-DE"/>
        </w:rPr>
        <w:t>פַּר בֶּן־בָּקָר אֶחָד</w:t>
      </w:r>
      <w:r w:rsidRPr="00C22013">
        <w:rPr>
          <w:rFonts w:eastAsia="Times New Roman" w:cs="Times New Roman"/>
          <w:rtl/>
          <w:lang w:eastAsia="de-DE"/>
        </w:rPr>
        <w:t xml:space="preserve"> </w:t>
      </w:r>
      <w:r w:rsidRPr="00C22013">
        <w:rPr>
          <w:rFonts w:eastAsia="Times New Roman" w:cs="Times New Roman"/>
          <w:lang w:eastAsia="de-DE"/>
        </w:rPr>
        <w:t xml:space="preserve">(einen jungen Stier), </w:t>
      </w:r>
      <w:r w:rsidRPr="00C22013">
        <w:rPr>
          <w:rFonts w:eastAsia="Times New Roman" w:cs="Times New Roman"/>
          <w:b/>
          <w:bCs/>
          <w:rtl/>
          <w:lang w:eastAsia="de-DE"/>
        </w:rPr>
        <w:t>לְעֹלָה</w:t>
      </w:r>
      <w:r w:rsidRPr="00C22013">
        <w:rPr>
          <w:rFonts w:eastAsia="Times New Roman" w:cs="Times New Roman"/>
          <w:rtl/>
          <w:lang w:eastAsia="de-DE"/>
        </w:rPr>
        <w:t xml:space="preserve"> </w:t>
      </w:r>
      <w:r w:rsidRPr="00C22013">
        <w:rPr>
          <w:rFonts w:eastAsia="Times New Roman" w:cs="Times New Roman"/>
          <w:lang w:eastAsia="de-DE"/>
        </w:rPr>
        <w:t xml:space="preserve">(als </w:t>
      </w:r>
      <w:r w:rsidR="00FF7EC2">
        <w:rPr>
          <w:rFonts w:eastAsia="Times New Roman" w:cs="Times New Roman"/>
          <w:lang w:eastAsia="de-DE"/>
        </w:rPr>
        <w:t>Aufsteigeopfer</w:t>
      </w:r>
      <w:r w:rsidRPr="00C22013">
        <w:rPr>
          <w:rFonts w:eastAsia="Times New Roman" w:cs="Times New Roman"/>
          <w:lang w:eastAsia="de-DE"/>
        </w:rPr>
        <w:t xml:space="preserve">) und </w:t>
      </w:r>
      <w:r w:rsidRPr="00C22013">
        <w:rPr>
          <w:rFonts w:eastAsia="Times New Roman" w:cs="Times New Roman"/>
          <w:b/>
          <w:bCs/>
          <w:rtl/>
          <w:lang w:eastAsia="de-DE"/>
        </w:rPr>
        <w:t>כַּמִּשְׁפָּט</w:t>
      </w:r>
      <w:r w:rsidRPr="00C22013">
        <w:rPr>
          <w:rFonts w:eastAsia="Times New Roman" w:cs="Times New Roman"/>
          <w:rtl/>
          <w:lang w:eastAsia="de-DE"/>
        </w:rPr>
        <w:t xml:space="preserve"> </w:t>
      </w:r>
      <w:r w:rsidRPr="00C22013">
        <w:rPr>
          <w:rFonts w:eastAsia="Times New Roman" w:cs="Times New Roman"/>
          <w:lang w:eastAsia="de-DE"/>
        </w:rPr>
        <w:t>(nach der Vorschrift) zeigt das Hauptopfer mit Begleitopfern.</w:t>
      </w:r>
    </w:p>
    <w:p w14:paraId="69E1F3B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Das Sündopfer </w:t>
      </w:r>
      <w:r w:rsidRPr="00C22013">
        <w:rPr>
          <w:rFonts w:eastAsia="Times New Roman" w:cs="Times New Roman"/>
          <w:b/>
          <w:bCs/>
          <w:rtl/>
          <w:lang w:eastAsia="de-DE"/>
        </w:rPr>
        <w:t>וּשְׂעִיר־עִזִּ֥ים אֶחָ֖ד לְחַטָּֽת</w:t>
      </w:r>
      <w:r w:rsidRPr="00C22013">
        <w:rPr>
          <w:rFonts w:eastAsia="Times New Roman" w:cs="Times New Roman"/>
          <w:rtl/>
          <w:lang w:eastAsia="de-DE"/>
        </w:rPr>
        <w:t xml:space="preserve"> </w:t>
      </w:r>
      <w:r w:rsidRPr="00C22013">
        <w:rPr>
          <w:rFonts w:eastAsia="Times New Roman" w:cs="Times New Roman"/>
          <w:lang w:eastAsia="de-DE"/>
        </w:rPr>
        <w:t>(und einen Ziegenbock zum Sündopfer) ergänzt das Ritual für kollektive unabsichtliche Sünde.</w:t>
      </w:r>
    </w:p>
    <w:p w14:paraId="1C4F39ED" w14:textId="6DE011AA"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ED3AE8">
        <w:t>fügt „ἄμωμον" (makellos/ohne Fehl) hinzu bei der Beschreibung des jungen Stiers, was im hebräischen Text nicht ausdrücklich erwähnt wird.</w:t>
      </w:r>
    </w:p>
    <w:p w14:paraId="266E046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kollektive Versehens-Bedingung und komplettes Sühne-Ritual.</w:t>
      </w:r>
    </w:p>
    <w:p w14:paraId="65ABABF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etabliert das Sühneritual für kollektive unabsichtliche Sünden der Gemeinde.</w:t>
      </w:r>
    </w:p>
    <w:p w14:paraId="7A7213F6"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15,25</w:t>
      </w:r>
    </w:p>
    <w:p w14:paraId="0574CB6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וְכִפֶּ֣ר הַכֹּהֵ֗ן עַֽל־כָּל־עֲדַ֛ת בְּנֵ֥י יִשְׂרָאֵ֖ל וְנִסְלַ֣ח לָהֶ֑ם כִּֽי־שְׁגָגָ֣ה הִ֔וא וְהֵם֩ הֵבִ֨יאוּ אֶת־קָרְבָּנָ֜ם אִשֶּׁ֣ה לַֽיהוָ֗ה וְחַטָּאתָ֛ם לִפְנֵ֥י יְהוָ֖ה עַל־שִׁגְגָתָֽם׃</w:t>
      </w:r>
    </w:p>
    <w:p w14:paraId="6CAB7B1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der Priester soll Sühne schaffen für die ganze Gemeinde der Söhne Jisra'el, und es wird ihnen vergeben werden; denn es war ein Versehen, und sie haben ihre Opfergabe </w:t>
      </w:r>
      <w:r w:rsidRPr="00C22013">
        <w:rPr>
          <w:rFonts w:eastAsia="Times New Roman" w:cs="Times New Roman"/>
          <w:lang w:eastAsia="de-DE"/>
        </w:rPr>
        <w:lastRenderedPageBreak/>
        <w:t>dargebracht, ein Feueropfer dem Ewigen, und ihr Sündopfer vor den Ewigen wegen ihres Versehens.</w:t>
      </w:r>
    </w:p>
    <w:p w14:paraId="099E114D"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477050D1">
          <v:rect id="_x0000_i1522" style="width:0;height:1.5pt" o:hralign="center" o:hrstd="t" o:hr="t" fillcolor="#a0a0a0" stroked="f"/>
        </w:pict>
      </w:r>
    </w:p>
    <w:p w14:paraId="100A78D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priesterliche Sühne </w:t>
      </w:r>
      <w:r w:rsidRPr="00C22013">
        <w:rPr>
          <w:rFonts w:eastAsia="Times New Roman" w:cs="Times New Roman"/>
          <w:b/>
          <w:bCs/>
          <w:rtl/>
          <w:lang w:eastAsia="de-DE"/>
        </w:rPr>
        <w:t>וְכִפֶּ֣ר הַכֹּהֵ֗ן עַֽל־כָּל־עֲדַ֛ת בְּנֵ֥י יִשְׂרָאֵ֖ל וְנִסְלַ֣ח לָהֶ֑ם</w:t>
      </w:r>
      <w:r w:rsidRPr="00C22013">
        <w:rPr>
          <w:rFonts w:eastAsia="Times New Roman" w:cs="Times New Roman"/>
          <w:rtl/>
          <w:lang w:eastAsia="de-DE"/>
        </w:rPr>
        <w:t xml:space="preserve"> </w:t>
      </w:r>
      <w:r w:rsidRPr="00C22013">
        <w:rPr>
          <w:rFonts w:eastAsia="Times New Roman" w:cs="Times New Roman"/>
          <w:lang w:eastAsia="de-DE"/>
        </w:rPr>
        <w:t xml:space="preserve">(und der Priester soll Sühne schaffen für die ganze Gemeinde der Söhne Israels, und es wird ihnen vergeben werden) mit </w:t>
      </w:r>
      <w:r w:rsidRPr="00C22013">
        <w:rPr>
          <w:rFonts w:eastAsia="Times New Roman" w:cs="Times New Roman"/>
          <w:b/>
          <w:bCs/>
          <w:rtl/>
          <w:lang w:eastAsia="de-DE"/>
        </w:rPr>
        <w:t>כִפֶּר</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כפר</w:t>
      </w:r>
      <w:r w:rsidRPr="00C22013">
        <w:rPr>
          <w:rFonts w:eastAsia="Times New Roman" w:cs="Times New Roman"/>
          <w:rtl/>
          <w:lang w:eastAsia="de-DE"/>
        </w:rPr>
        <w:t xml:space="preserve"> </w:t>
      </w:r>
      <w:r w:rsidRPr="00C22013">
        <w:rPr>
          <w:rFonts w:eastAsia="Times New Roman" w:cs="Times New Roman"/>
          <w:lang w:eastAsia="de-DE"/>
        </w:rPr>
        <w:t xml:space="preserve">(Sühne schaffen) im Pi'el-Perfekt 3. maskulin Singular mit Waw consecutivum, </w:t>
      </w:r>
      <w:r w:rsidRPr="00C22013">
        <w:rPr>
          <w:rFonts w:eastAsia="Times New Roman" w:cs="Times New Roman"/>
          <w:b/>
          <w:bCs/>
          <w:rtl/>
          <w:lang w:eastAsia="de-DE"/>
        </w:rPr>
        <w:t>הַכֹּהֵן</w:t>
      </w:r>
      <w:r w:rsidRPr="00C22013">
        <w:rPr>
          <w:rFonts w:eastAsia="Times New Roman" w:cs="Times New Roman"/>
          <w:rtl/>
          <w:lang w:eastAsia="de-DE"/>
        </w:rPr>
        <w:t xml:space="preserve"> </w:t>
      </w:r>
      <w:r w:rsidRPr="00C22013">
        <w:rPr>
          <w:rFonts w:eastAsia="Times New Roman" w:cs="Times New Roman"/>
          <w:lang w:eastAsia="de-DE"/>
        </w:rPr>
        <w:t xml:space="preserve">(der Priester) und </w:t>
      </w:r>
      <w:r w:rsidRPr="00C22013">
        <w:rPr>
          <w:rFonts w:eastAsia="Times New Roman" w:cs="Times New Roman"/>
          <w:b/>
          <w:bCs/>
          <w:rtl/>
          <w:lang w:eastAsia="de-DE"/>
        </w:rPr>
        <w:t>נִסְלַח לָהֶם</w:t>
      </w:r>
      <w:r w:rsidRPr="00C22013">
        <w:rPr>
          <w:rFonts w:eastAsia="Times New Roman" w:cs="Times New Roman"/>
          <w:rtl/>
          <w:lang w:eastAsia="de-DE"/>
        </w:rPr>
        <w:t xml:space="preserve"> </w:t>
      </w:r>
      <w:r w:rsidRPr="00C22013">
        <w:rPr>
          <w:rFonts w:eastAsia="Times New Roman" w:cs="Times New Roman"/>
          <w:lang w:eastAsia="de-DE"/>
        </w:rPr>
        <w:t xml:space="preserve">(es wird ihnen vergeben werden) von </w:t>
      </w:r>
      <w:r w:rsidRPr="00C22013">
        <w:rPr>
          <w:rFonts w:eastAsia="Times New Roman" w:cs="Times New Roman"/>
          <w:b/>
          <w:bCs/>
          <w:rtl/>
          <w:lang w:eastAsia="de-DE"/>
        </w:rPr>
        <w:t>סלח</w:t>
      </w:r>
      <w:r w:rsidRPr="00C22013">
        <w:rPr>
          <w:rFonts w:eastAsia="Times New Roman" w:cs="Times New Roman"/>
          <w:rtl/>
          <w:lang w:eastAsia="de-DE"/>
        </w:rPr>
        <w:t xml:space="preserve"> </w:t>
      </w:r>
      <w:r w:rsidRPr="00C22013">
        <w:rPr>
          <w:rFonts w:eastAsia="Times New Roman" w:cs="Times New Roman"/>
          <w:lang w:eastAsia="de-DE"/>
        </w:rPr>
        <w:t>(vergeben) im Niph'al zeigt die Wirksamkeit der priesterlichen Sühne.</w:t>
      </w:r>
    </w:p>
    <w:p w14:paraId="7CCA769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Begründung </w:t>
      </w:r>
      <w:r w:rsidRPr="00C22013">
        <w:rPr>
          <w:rFonts w:eastAsia="Times New Roman" w:cs="Times New Roman"/>
          <w:b/>
          <w:bCs/>
          <w:rtl/>
          <w:lang w:eastAsia="de-DE"/>
        </w:rPr>
        <w:t>כִּֽי־שְׁגָגָ֣ה הִ֔וא</w:t>
      </w:r>
      <w:r w:rsidRPr="00C22013">
        <w:rPr>
          <w:rFonts w:eastAsia="Times New Roman" w:cs="Times New Roman"/>
          <w:rtl/>
          <w:lang w:eastAsia="de-DE"/>
        </w:rPr>
        <w:t xml:space="preserve"> </w:t>
      </w:r>
      <w:r w:rsidRPr="00C22013">
        <w:rPr>
          <w:rFonts w:eastAsia="Times New Roman" w:cs="Times New Roman"/>
          <w:lang w:eastAsia="de-DE"/>
        </w:rPr>
        <w:t xml:space="preserve">(denn es war ein Versehen) mit </w:t>
      </w:r>
      <w:r w:rsidRPr="00C22013">
        <w:rPr>
          <w:rFonts w:eastAsia="Times New Roman" w:cs="Times New Roman"/>
          <w:b/>
          <w:bCs/>
          <w:rtl/>
          <w:lang w:eastAsia="de-DE"/>
        </w:rPr>
        <w:t>שְׁגָגָה</w:t>
      </w:r>
      <w:r w:rsidRPr="00C22013">
        <w:rPr>
          <w:rFonts w:eastAsia="Times New Roman" w:cs="Times New Roman"/>
          <w:rtl/>
          <w:lang w:eastAsia="de-DE"/>
        </w:rPr>
        <w:t xml:space="preserve"> </w:t>
      </w:r>
      <w:r w:rsidRPr="00C22013">
        <w:rPr>
          <w:rFonts w:eastAsia="Times New Roman" w:cs="Times New Roman"/>
          <w:lang w:eastAsia="de-DE"/>
        </w:rPr>
        <w:t>(Versehen/Irrtum) zeigt den milden Charakter unabsichtlicher Sünde.</w:t>
      </w:r>
    </w:p>
    <w:p w14:paraId="7E35732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ordnungsgemäße Opferhandlung </w:t>
      </w:r>
      <w:r w:rsidRPr="00C22013">
        <w:rPr>
          <w:rFonts w:eastAsia="Times New Roman" w:cs="Times New Roman"/>
          <w:b/>
          <w:bCs/>
          <w:rtl/>
          <w:lang w:eastAsia="de-DE"/>
        </w:rPr>
        <w:t>וְהֵם֩ הֵבִ֨יאוּ אֶת־קָרְבָּנָ֜ם אִשֶּׁ֣ה לַֽיהוָ֗ה וְחַטָּאתָ֛ם לִפְנֵ֥י יְהוָ֖ה עַל־שִׁגְגָתָֽם</w:t>
      </w:r>
      <w:r w:rsidRPr="00C22013">
        <w:rPr>
          <w:rFonts w:eastAsia="Times New Roman" w:cs="Times New Roman"/>
          <w:rtl/>
          <w:lang w:eastAsia="de-DE"/>
        </w:rPr>
        <w:t xml:space="preserve"> </w:t>
      </w:r>
      <w:r w:rsidRPr="00C22013">
        <w:rPr>
          <w:rFonts w:eastAsia="Times New Roman" w:cs="Times New Roman"/>
          <w:lang w:eastAsia="de-DE"/>
        </w:rPr>
        <w:t xml:space="preserve">(und sie haben ihre Opfergabe dargebracht, ein Feueropfer dem Ewigen, und ihr Sündopfer vor den Ewigen wegen ihres Versehens) mit </w:t>
      </w:r>
      <w:r w:rsidRPr="00C22013">
        <w:rPr>
          <w:rFonts w:eastAsia="Times New Roman" w:cs="Times New Roman"/>
          <w:b/>
          <w:bCs/>
          <w:rtl/>
          <w:lang w:eastAsia="de-DE"/>
        </w:rPr>
        <w:t>הֵבִיאוּ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בוא</w:t>
      </w:r>
      <w:r w:rsidRPr="00C22013">
        <w:rPr>
          <w:rFonts w:eastAsia="Times New Roman" w:cs="Times New Roman"/>
          <w:rtl/>
          <w:lang w:eastAsia="de-DE"/>
        </w:rPr>
        <w:t xml:space="preserve"> </w:t>
      </w:r>
      <w:r w:rsidRPr="00C22013">
        <w:rPr>
          <w:rFonts w:eastAsia="Times New Roman" w:cs="Times New Roman"/>
          <w:lang w:eastAsia="de-DE"/>
        </w:rPr>
        <w:t xml:space="preserve">(bringen) im Hiph'il, </w:t>
      </w:r>
      <w:r w:rsidRPr="00C22013">
        <w:rPr>
          <w:rFonts w:eastAsia="Times New Roman" w:cs="Times New Roman"/>
          <w:b/>
          <w:bCs/>
          <w:rtl/>
          <w:lang w:eastAsia="de-DE"/>
        </w:rPr>
        <w:t>קָרְבָּנָם אִשֶּׁה</w:t>
      </w:r>
      <w:r w:rsidRPr="00C22013">
        <w:rPr>
          <w:rFonts w:eastAsia="Times New Roman" w:cs="Times New Roman"/>
          <w:rtl/>
          <w:lang w:eastAsia="de-DE"/>
        </w:rPr>
        <w:t xml:space="preserve"> </w:t>
      </w:r>
      <w:r w:rsidRPr="00C22013">
        <w:rPr>
          <w:rFonts w:eastAsia="Times New Roman" w:cs="Times New Roman"/>
          <w:lang w:eastAsia="de-DE"/>
        </w:rPr>
        <w:t xml:space="preserve">(ihre Opfergabe als Feueropfer), </w:t>
      </w:r>
      <w:r w:rsidRPr="00C22013">
        <w:rPr>
          <w:rFonts w:eastAsia="Times New Roman" w:cs="Times New Roman"/>
          <w:b/>
          <w:bCs/>
          <w:rtl/>
          <w:lang w:eastAsia="de-DE"/>
        </w:rPr>
        <w:t>חַטָּאתָם</w:t>
      </w:r>
      <w:r w:rsidRPr="00C22013">
        <w:rPr>
          <w:rFonts w:eastAsia="Times New Roman" w:cs="Times New Roman"/>
          <w:rtl/>
          <w:lang w:eastAsia="de-DE"/>
        </w:rPr>
        <w:t xml:space="preserve"> </w:t>
      </w:r>
      <w:r w:rsidRPr="00C22013">
        <w:rPr>
          <w:rFonts w:eastAsia="Times New Roman" w:cs="Times New Roman"/>
          <w:lang w:eastAsia="de-DE"/>
        </w:rPr>
        <w:t xml:space="preserve">(ihr Sündopfer) und </w:t>
      </w:r>
      <w:r w:rsidRPr="00C22013">
        <w:rPr>
          <w:rFonts w:eastAsia="Times New Roman" w:cs="Times New Roman"/>
          <w:b/>
          <w:bCs/>
          <w:rtl/>
          <w:lang w:eastAsia="de-DE"/>
        </w:rPr>
        <w:t>עַל־שִׁגְגָתָם</w:t>
      </w:r>
      <w:r w:rsidRPr="00C22013">
        <w:rPr>
          <w:rFonts w:eastAsia="Times New Roman" w:cs="Times New Roman"/>
          <w:rtl/>
          <w:lang w:eastAsia="de-DE"/>
        </w:rPr>
        <w:t xml:space="preserve"> </w:t>
      </w:r>
      <w:r w:rsidRPr="00C22013">
        <w:rPr>
          <w:rFonts w:eastAsia="Times New Roman" w:cs="Times New Roman"/>
          <w:lang w:eastAsia="de-DE"/>
        </w:rPr>
        <w:t>(wegen ihres Versehens) zeigt die vollständige Sühneleistung.</w:t>
      </w:r>
    </w:p>
    <w:p w14:paraId="63904ED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כִפֶּר</w:t>
      </w:r>
      <w:r w:rsidRPr="00C22013">
        <w:rPr>
          <w:rFonts w:eastAsia="Times New Roman" w:cs="Times New Roman"/>
          <w:rtl/>
          <w:lang w:eastAsia="de-DE"/>
        </w:rPr>
        <w:t xml:space="preserve"> </w:t>
      </w:r>
      <w:r w:rsidRPr="00C22013">
        <w:rPr>
          <w:rFonts w:eastAsia="Times New Roman" w:cs="Times New Roman"/>
          <w:lang w:eastAsia="de-DE"/>
        </w:rPr>
        <w:t xml:space="preserve">mit ἐξιλάσεται (er wird Sühne schaffen), </w:t>
      </w:r>
      <w:r w:rsidRPr="00C22013">
        <w:rPr>
          <w:rFonts w:eastAsia="Times New Roman" w:cs="Times New Roman"/>
          <w:b/>
          <w:bCs/>
          <w:rtl/>
          <w:lang w:eastAsia="de-DE"/>
        </w:rPr>
        <w:t>שְׁגָגָה</w:t>
      </w:r>
      <w:r w:rsidRPr="00C22013">
        <w:rPr>
          <w:rFonts w:eastAsia="Times New Roman" w:cs="Times New Roman"/>
          <w:rtl/>
          <w:lang w:eastAsia="de-DE"/>
        </w:rPr>
        <w:t xml:space="preserve"> </w:t>
      </w:r>
      <w:r w:rsidRPr="00C22013">
        <w:rPr>
          <w:rFonts w:eastAsia="Times New Roman" w:cs="Times New Roman"/>
          <w:lang w:eastAsia="de-DE"/>
        </w:rPr>
        <w:t xml:space="preserve">mit ἄγνοια (Unwissenheit) und </w:t>
      </w:r>
      <w:r w:rsidRPr="00C22013">
        <w:rPr>
          <w:rFonts w:eastAsia="Times New Roman" w:cs="Times New Roman"/>
          <w:b/>
          <w:bCs/>
          <w:rtl/>
          <w:lang w:eastAsia="de-DE"/>
        </w:rPr>
        <w:t>חַטָּאתָם</w:t>
      </w:r>
      <w:r w:rsidRPr="00C22013">
        <w:rPr>
          <w:rFonts w:eastAsia="Times New Roman" w:cs="Times New Roman"/>
          <w:rtl/>
          <w:lang w:eastAsia="de-DE"/>
        </w:rPr>
        <w:t xml:space="preserve"> </w:t>
      </w:r>
      <w:r w:rsidRPr="00C22013">
        <w:rPr>
          <w:rFonts w:eastAsia="Times New Roman" w:cs="Times New Roman"/>
          <w:lang w:eastAsia="de-DE"/>
        </w:rPr>
        <w:t>mit περὶ ἁμαρτίας αὐτῶν (bezüglich ihrer Sünde).</w:t>
      </w:r>
    </w:p>
    <w:p w14:paraId="322DE26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priesterliche Sühne, Vergebungsgewährung, mildernde Begründung und ordnungsgemäße Opfererfüllung.</w:t>
      </w:r>
    </w:p>
    <w:p w14:paraId="25526D4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Wirksamkeit der priesterlichen Sühne für kollektive unabsichtliche Sünden.</w:t>
      </w:r>
    </w:p>
    <w:p w14:paraId="6636B539"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15,26</w:t>
      </w:r>
    </w:p>
    <w:p w14:paraId="5BD33EA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וְנִסְלַ֗ח לְכָל־עֲדַת֙ בְּנֵ֣י יִשְׂרָאֵ֔ל וְלַגֵּ֖ר הַגָּ֣ר בְּתוֹכָ֑ם כִּ֥י לְכָל־הָעָ֖ם בִּשְׁגָגָֽה׃</w:t>
      </w:r>
    </w:p>
    <w:p w14:paraId="5217323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es wird der ganzen Gemeinde der Söhne Jisra'els vergeben werden und dem Fremden, der in ihrer Mitte weilt; denn beim ganzen Volk geschah es aus Versehen.</w:t>
      </w:r>
    </w:p>
    <w:p w14:paraId="5EEDF52B"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AD9328D">
          <v:rect id="_x0000_i1523" style="width:0;height:1.5pt" o:hralign="center" o:hrstd="t" o:hr="t" fillcolor="#a0a0a0" stroked="f"/>
        </w:pict>
      </w:r>
    </w:p>
    <w:p w14:paraId="69E34B4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universelle Vergebung </w:t>
      </w:r>
      <w:r w:rsidRPr="00C22013">
        <w:rPr>
          <w:rFonts w:eastAsia="Times New Roman" w:cs="Times New Roman"/>
          <w:b/>
          <w:bCs/>
          <w:rtl/>
          <w:lang w:eastAsia="de-DE"/>
        </w:rPr>
        <w:t>וְנִסְלַ֗ח לְכָל־עֲדַת֙ בְּנֵ֣י יִשְׂרָאֵ֔ל וְלַגֵּ֖ר הַגָּ֣ר בְּתוֹכָ֑ם</w:t>
      </w:r>
      <w:r w:rsidRPr="00C22013">
        <w:rPr>
          <w:rFonts w:eastAsia="Times New Roman" w:cs="Times New Roman"/>
          <w:rtl/>
          <w:lang w:eastAsia="de-DE"/>
        </w:rPr>
        <w:t xml:space="preserve"> </w:t>
      </w:r>
      <w:r w:rsidRPr="00C22013">
        <w:rPr>
          <w:rFonts w:eastAsia="Times New Roman" w:cs="Times New Roman"/>
          <w:lang w:eastAsia="de-DE"/>
        </w:rPr>
        <w:t xml:space="preserve">(und es wird der ganzen Gemeinde der Söhne Israels vergeben werden und dem Fremden, der in ihrer Mitte weilt) mit </w:t>
      </w:r>
      <w:r w:rsidRPr="00C22013">
        <w:rPr>
          <w:rFonts w:eastAsia="Times New Roman" w:cs="Times New Roman"/>
          <w:b/>
          <w:bCs/>
          <w:rtl/>
          <w:lang w:eastAsia="de-DE"/>
        </w:rPr>
        <w:t>נִסְלַח</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סלח</w:t>
      </w:r>
      <w:r w:rsidRPr="00C22013">
        <w:rPr>
          <w:rFonts w:eastAsia="Times New Roman" w:cs="Times New Roman"/>
          <w:rtl/>
          <w:lang w:eastAsia="de-DE"/>
        </w:rPr>
        <w:t xml:space="preserve"> </w:t>
      </w:r>
      <w:r w:rsidRPr="00C22013">
        <w:rPr>
          <w:rFonts w:eastAsia="Times New Roman" w:cs="Times New Roman"/>
          <w:lang w:eastAsia="de-DE"/>
        </w:rPr>
        <w:t xml:space="preserve">(vergeben werden) im Niph'al, </w:t>
      </w:r>
      <w:r w:rsidRPr="00C22013">
        <w:rPr>
          <w:rFonts w:eastAsia="Times New Roman" w:cs="Times New Roman"/>
          <w:b/>
          <w:bCs/>
          <w:rtl/>
          <w:lang w:eastAsia="de-DE"/>
        </w:rPr>
        <w:t>לְכָל־עֲדַת בְּנֵי יִשְׂרָאֵל</w:t>
      </w:r>
      <w:r w:rsidRPr="00C22013">
        <w:rPr>
          <w:rFonts w:eastAsia="Times New Roman" w:cs="Times New Roman"/>
          <w:rtl/>
          <w:lang w:eastAsia="de-DE"/>
        </w:rPr>
        <w:t xml:space="preserve"> </w:t>
      </w:r>
      <w:r w:rsidRPr="00C22013">
        <w:rPr>
          <w:rFonts w:eastAsia="Times New Roman" w:cs="Times New Roman"/>
          <w:lang w:eastAsia="de-DE"/>
        </w:rPr>
        <w:t xml:space="preserve">(der ganzen Gemeinde der Söhne Israels) und </w:t>
      </w:r>
      <w:r w:rsidRPr="00C22013">
        <w:rPr>
          <w:rFonts w:eastAsia="Times New Roman" w:cs="Times New Roman"/>
          <w:b/>
          <w:bCs/>
          <w:rtl/>
          <w:lang w:eastAsia="de-DE"/>
        </w:rPr>
        <w:t>לַגֵּר הַגָּר בְּתוֹכָם</w:t>
      </w:r>
      <w:r w:rsidRPr="00C22013">
        <w:rPr>
          <w:rFonts w:eastAsia="Times New Roman" w:cs="Times New Roman"/>
          <w:rtl/>
          <w:lang w:eastAsia="de-DE"/>
        </w:rPr>
        <w:t xml:space="preserve"> </w:t>
      </w:r>
      <w:r w:rsidRPr="00C22013">
        <w:rPr>
          <w:rFonts w:eastAsia="Times New Roman" w:cs="Times New Roman"/>
          <w:lang w:eastAsia="de-DE"/>
        </w:rPr>
        <w:t>(dem Fremden, der in ihrer Mitte weilt) zeigt die Einbeziehung aller Gemeinschaftsmitglieder in die Vergebung.</w:t>
      </w:r>
    </w:p>
    <w:p w14:paraId="4FCB1E9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Begründung </w:t>
      </w:r>
      <w:r w:rsidRPr="00C22013">
        <w:rPr>
          <w:rFonts w:eastAsia="Times New Roman" w:cs="Times New Roman"/>
          <w:b/>
          <w:bCs/>
          <w:rtl/>
          <w:lang w:eastAsia="de-DE"/>
        </w:rPr>
        <w:t>כִּ֥י לְכָל־הָעָ֖ם בִּשְׁגָגָֽה</w:t>
      </w:r>
      <w:r w:rsidRPr="00C22013">
        <w:rPr>
          <w:rFonts w:eastAsia="Times New Roman" w:cs="Times New Roman"/>
          <w:rtl/>
          <w:lang w:eastAsia="de-DE"/>
        </w:rPr>
        <w:t xml:space="preserve"> </w:t>
      </w:r>
      <w:r w:rsidRPr="00C22013">
        <w:rPr>
          <w:rFonts w:eastAsia="Times New Roman" w:cs="Times New Roman"/>
          <w:lang w:eastAsia="de-DE"/>
        </w:rPr>
        <w:t xml:space="preserve">(denn beim ganzen Volk geschah es aus Versehen) mit </w:t>
      </w:r>
      <w:r w:rsidRPr="00C22013">
        <w:rPr>
          <w:rFonts w:eastAsia="Times New Roman" w:cs="Times New Roman"/>
          <w:b/>
          <w:bCs/>
          <w:rtl/>
          <w:lang w:eastAsia="de-DE"/>
        </w:rPr>
        <w:t>לְכָל־הָעָם</w:t>
      </w:r>
      <w:r w:rsidRPr="00C22013">
        <w:rPr>
          <w:rFonts w:eastAsia="Times New Roman" w:cs="Times New Roman"/>
          <w:rtl/>
          <w:lang w:eastAsia="de-DE"/>
        </w:rPr>
        <w:t xml:space="preserve"> </w:t>
      </w:r>
      <w:r w:rsidRPr="00C22013">
        <w:rPr>
          <w:rFonts w:eastAsia="Times New Roman" w:cs="Times New Roman"/>
          <w:lang w:eastAsia="de-DE"/>
        </w:rPr>
        <w:t xml:space="preserve">(beim ganzen Volk) und </w:t>
      </w:r>
      <w:r w:rsidRPr="00C22013">
        <w:rPr>
          <w:rFonts w:eastAsia="Times New Roman" w:cs="Times New Roman"/>
          <w:b/>
          <w:bCs/>
          <w:rtl/>
          <w:lang w:eastAsia="de-DE"/>
        </w:rPr>
        <w:t>בִּשְׁגָגָה</w:t>
      </w:r>
      <w:r w:rsidRPr="00C22013">
        <w:rPr>
          <w:rFonts w:eastAsia="Times New Roman" w:cs="Times New Roman"/>
          <w:rtl/>
          <w:lang w:eastAsia="de-DE"/>
        </w:rPr>
        <w:t xml:space="preserve"> </w:t>
      </w:r>
      <w:r w:rsidRPr="00C22013">
        <w:rPr>
          <w:rFonts w:eastAsia="Times New Roman" w:cs="Times New Roman"/>
          <w:lang w:eastAsia="de-DE"/>
        </w:rPr>
        <w:t>(aus Versehen) zeigt den kollektiven und unabsichtlichen Charakter der Verfehlung.</w:t>
      </w:r>
    </w:p>
    <w:p w14:paraId="3E62154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Die LXX</w:t>
      </w:r>
      <w:r w:rsidRPr="00C22013">
        <w:rPr>
          <w:rFonts w:eastAsia="Times New Roman" w:cs="Times New Roman"/>
          <w:lang w:eastAsia="de-DE"/>
        </w:rPr>
        <w:t xml:space="preserve"> übersetzt </w:t>
      </w:r>
      <w:r w:rsidRPr="00C22013">
        <w:rPr>
          <w:rFonts w:eastAsia="Times New Roman" w:cs="Times New Roman"/>
          <w:b/>
          <w:bCs/>
          <w:rtl/>
          <w:lang w:eastAsia="de-DE"/>
        </w:rPr>
        <w:t>נִסְלַח</w:t>
      </w:r>
      <w:r w:rsidRPr="00C22013">
        <w:rPr>
          <w:rFonts w:eastAsia="Times New Roman" w:cs="Times New Roman"/>
          <w:rtl/>
          <w:lang w:eastAsia="de-DE"/>
        </w:rPr>
        <w:t xml:space="preserve"> </w:t>
      </w:r>
      <w:r w:rsidRPr="00C22013">
        <w:rPr>
          <w:rFonts w:eastAsia="Times New Roman" w:cs="Times New Roman"/>
          <w:lang w:eastAsia="de-DE"/>
        </w:rPr>
        <w:t xml:space="preserve">mit ἀφεθήσεται (es wird vergeben werden) und </w:t>
      </w:r>
      <w:r w:rsidRPr="00C22013">
        <w:rPr>
          <w:rFonts w:eastAsia="Times New Roman" w:cs="Times New Roman"/>
          <w:b/>
          <w:bCs/>
          <w:rtl/>
          <w:lang w:eastAsia="de-DE"/>
        </w:rPr>
        <w:t>בִּשְׁגָגָה</w:t>
      </w:r>
      <w:r w:rsidRPr="00C22013">
        <w:rPr>
          <w:rFonts w:eastAsia="Times New Roman" w:cs="Times New Roman"/>
          <w:rtl/>
          <w:lang w:eastAsia="de-DE"/>
        </w:rPr>
        <w:t xml:space="preserve"> </w:t>
      </w:r>
      <w:r w:rsidRPr="00C22013">
        <w:rPr>
          <w:rFonts w:eastAsia="Times New Roman" w:cs="Times New Roman"/>
          <w:lang w:eastAsia="de-DE"/>
        </w:rPr>
        <w:t>mit ἐν ἀγνοίᾳ (in Unwissenheit).</w:t>
      </w:r>
    </w:p>
    <w:p w14:paraId="53D6E6A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universelle Vergebungsgewährung und kollektive Unabsichtlichkeits-Begründung.</w:t>
      </w:r>
    </w:p>
    <w:p w14:paraId="765BBF2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betont die Einbeziehung auch der Fremden in die Vergebung kollektiver unabsichtlicher Sünden.</w:t>
      </w:r>
    </w:p>
    <w:p w14:paraId="38C037BF"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15,27</w:t>
      </w:r>
    </w:p>
    <w:p w14:paraId="41275D7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וְאִם־נֶ֥פֶשׁ אַחַ֖ת תֶּחֱטָ֣א בִשְׁגָגָ֑ה וְהִקְרִ֛יבָה עֵ֥ז בַּת־שְׁנָתָ֖הּ לְחַטָּֽאת׃</w:t>
      </w:r>
    </w:p>
    <w:p w14:paraId="1E38CE0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wenn eine einzelne Person aus Versehen sündigt, so soll sie eine einjährige Ziege zum Sündopfer darbringen.</w:t>
      </w:r>
    </w:p>
    <w:p w14:paraId="0445E1A8"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9750FC8">
          <v:rect id="_x0000_i1524" style="width:0;height:1.5pt" o:hralign="center" o:hrstd="t" o:hr="t" fillcolor="#a0a0a0" stroked="f"/>
        </w:pict>
      </w:r>
    </w:p>
    <w:p w14:paraId="07EE931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individuelle Sünde </w:t>
      </w:r>
      <w:r w:rsidRPr="00C22013">
        <w:rPr>
          <w:rFonts w:eastAsia="Times New Roman" w:cs="Times New Roman"/>
          <w:b/>
          <w:bCs/>
          <w:rtl/>
          <w:lang w:eastAsia="de-DE"/>
        </w:rPr>
        <w:t>וְאִם־נֶ֥פֶשׁ אַחַ֖ת תֶּחֱטָ֣א בִשְׁגָגָ֑ה</w:t>
      </w:r>
      <w:r w:rsidRPr="00C22013">
        <w:rPr>
          <w:rFonts w:eastAsia="Times New Roman" w:cs="Times New Roman"/>
          <w:rtl/>
          <w:lang w:eastAsia="de-DE"/>
        </w:rPr>
        <w:t xml:space="preserve"> </w:t>
      </w:r>
      <w:r w:rsidRPr="00C22013">
        <w:rPr>
          <w:rFonts w:eastAsia="Times New Roman" w:cs="Times New Roman"/>
          <w:lang w:eastAsia="de-DE"/>
        </w:rPr>
        <w:t xml:space="preserve">(und wenn eine Person sündigt aus Versehen) mit </w:t>
      </w:r>
      <w:r w:rsidRPr="00C22013">
        <w:rPr>
          <w:rFonts w:eastAsia="Times New Roman" w:cs="Times New Roman"/>
          <w:b/>
          <w:bCs/>
          <w:rtl/>
          <w:lang w:eastAsia="de-DE"/>
        </w:rPr>
        <w:t>נֶפֶשׁ אַחַת</w:t>
      </w:r>
      <w:r w:rsidRPr="00C22013">
        <w:rPr>
          <w:rFonts w:eastAsia="Times New Roman" w:cs="Times New Roman"/>
          <w:rtl/>
          <w:lang w:eastAsia="de-DE"/>
        </w:rPr>
        <w:t xml:space="preserve"> </w:t>
      </w:r>
      <w:r w:rsidRPr="00C22013">
        <w:rPr>
          <w:rFonts w:eastAsia="Times New Roman" w:cs="Times New Roman"/>
          <w:lang w:eastAsia="de-DE"/>
        </w:rPr>
        <w:t xml:space="preserve">(eine Person), </w:t>
      </w:r>
      <w:r w:rsidRPr="00C22013">
        <w:rPr>
          <w:rFonts w:eastAsia="Times New Roman" w:cs="Times New Roman"/>
          <w:b/>
          <w:bCs/>
          <w:rtl/>
          <w:lang w:eastAsia="de-DE"/>
        </w:rPr>
        <w:t>תֶּחֱטָא</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חטא</w:t>
      </w:r>
      <w:r w:rsidRPr="00C22013">
        <w:rPr>
          <w:rFonts w:eastAsia="Times New Roman" w:cs="Times New Roman"/>
          <w:rtl/>
          <w:lang w:eastAsia="de-DE"/>
        </w:rPr>
        <w:t xml:space="preserve"> </w:t>
      </w:r>
      <w:r w:rsidRPr="00C22013">
        <w:rPr>
          <w:rFonts w:eastAsia="Times New Roman" w:cs="Times New Roman"/>
          <w:lang w:eastAsia="de-DE"/>
        </w:rPr>
        <w:t xml:space="preserve">(sündigen) im Qal-Imperfekt 3. feminin Singular und </w:t>
      </w:r>
      <w:r w:rsidRPr="00C22013">
        <w:rPr>
          <w:rFonts w:eastAsia="Times New Roman" w:cs="Times New Roman"/>
          <w:b/>
          <w:bCs/>
          <w:rtl/>
          <w:lang w:eastAsia="de-DE"/>
        </w:rPr>
        <w:t>בִשְׁגָגָה</w:t>
      </w:r>
      <w:r w:rsidRPr="00C22013">
        <w:rPr>
          <w:rFonts w:eastAsia="Times New Roman" w:cs="Times New Roman"/>
          <w:rtl/>
          <w:lang w:eastAsia="de-DE"/>
        </w:rPr>
        <w:t xml:space="preserve"> </w:t>
      </w:r>
      <w:r w:rsidRPr="00C22013">
        <w:rPr>
          <w:rFonts w:eastAsia="Times New Roman" w:cs="Times New Roman"/>
          <w:lang w:eastAsia="de-DE"/>
        </w:rPr>
        <w:t>(aus Versehen) zeigt den Übergang von kollektiver zu individueller unabsichtlicher Sünde.</w:t>
      </w:r>
    </w:p>
    <w:p w14:paraId="668DC7D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Das individuelle Sündopfer </w:t>
      </w:r>
      <w:r w:rsidRPr="00C22013">
        <w:rPr>
          <w:rFonts w:eastAsia="Times New Roman" w:cs="Times New Roman"/>
          <w:b/>
          <w:bCs/>
          <w:rtl/>
          <w:lang w:eastAsia="de-DE"/>
        </w:rPr>
        <w:t>וְהִקְרִ֛יבָה עֵ֥ז בַּת־שְׁנָתָ֖הּ לְחַטָּֽאת</w:t>
      </w:r>
      <w:r w:rsidRPr="00C22013">
        <w:rPr>
          <w:rFonts w:eastAsia="Times New Roman" w:cs="Times New Roman"/>
          <w:rtl/>
          <w:lang w:eastAsia="de-DE"/>
        </w:rPr>
        <w:t xml:space="preserve"> </w:t>
      </w:r>
      <w:r w:rsidRPr="00C22013">
        <w:rPr>
          <w:rFonts w:eastAsia="Times New Roman" w:cs="Times New Roman"/>
          <w:lang w:eastAsia="de-DE"/>
        </w:rPr>
        <w:t xml:space="preserve">(und sie soll eine einjährige Ziege zum Sündopfer darbringen) mit </w:t>
      </w:r>
      <w:r w:rsidRPr="00C22013">
        <w:rPr>
          <w:rFonts w:eastAsia="Times New Roman" w:cs="Times New Roman"/>
          <w:b/>
          <w:bCs/>
          <w:rtl/>
          <w:lang w:eastAsia="de-DE"/>
        </w:rPr>
        <w:t>הִקְרִיבָה</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קרב</w:t>
      </w:r>
      <w:r w:rsidRPr="00C22013">
        <w:rPr>
          <w:rFonts w:eastAsia="Times New Roman" w:cs="Times New Roman"/>
          <w:rtl/>
          <w:lang w:eastAsia="de-DE"/>
        </w:rPr>
        <w:t xml:space="preserve"> </w:t>
      </w:r>
      <w:r w:rsidRPr="00C22013">
        <w:rPr>
          <w:rFonts w:eastAsia="Times New Roman" w:cs="Times New Roman"/>
          <w:lang w:eastAsia="de-DE"/>
        </w:rPr>
        <w:t xml:space="preserve">(nahe bringen) im Hiph'il-Perfekt 3. feminin Singular mit Waw consecutivum, </w:t>
      </w:r>
      <w:r w:rsidRPr="00C22013">
        <w:rPr>
          <w:rFonts w:eastAsia="Times New Roman" w:cs="Times New Roman"/>
          <w:b/>
          <w:bCs/>
          <w:rtl/>
          <w:lang w:eastAsia="de-DE"/>
        </w:rPr>
        <w:t>עֵז בַּת־שְׁנָתָהּ</w:t>
      </w:r>
      <w:r w:rsidRPr="00C22013">
        <w:rPr>
          <w:rFonts w:eastAsia="Times New Roman" w:cs="Times New Roman"/>
          <w:rtl/>
          <w:lang w:eastAsia="de-DE"/>
        </w:rPr>
        <w:t xml:space="preserve"> </w:t>
      </w:r>
      <w:r w:rsidRPr="00C22013">
        <w:rPr>
          <w:rFonts w:eastAsia="Times New Roman" w:cs="Times New Roman"/>
          <w:lang w:eastAsia="de-DE"/>
        </w:rPr>
        <w:t xml:space="preserve">(eine einjährige Ziege) und </w:t>
      </w:r>
      <w:r w:rsidRPr="00C22013">
        <w:rPr>
          <w:rFonts w:eastAsia="Times New Roman" w:cs="Times New Roman"/>
          <w:b/>
          <w:bCs/>
          <w:rtl/>
          <w:lang w:eastAsia="de-DE"/>
        </w:rPr>
        <w:t>לְחַטָּאת</w:t>
      </w:r>
      <w:r w:rsidRPr="00C22013">
        <w:rPr>
          <w:rFonts w:eastAsia="Times New Roman" w:cs="Times New Roman"/>
          <w:rtl/>
          <w:lang w:eastAsia="de-DE"/>
        </w:rPr>
        <w:t xml:space="preserve"> </w:t>
      </w:r>
      <w:r w:rsidRPr="00C22013">
        <w:rPr>
          <w:rFonts w:eastAsia="Times New Roman" w:cs="Times New Roman"/>
          <w:lang w:eastAsia="de-DE"/>
        </w:rPr>
        <w:t>(zum Sündopfer) zeigt das kleinere, angemessene Opfer für individuelle Verfehlung.</w:t>
      </w:r>
    </w:p>
    <w:p w14:paraId="6839B32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נֶפֶשׁ אַחַת</w:t>
      </w:r>
      <w:r w:rsidRPr="00C22013">
        <w:rPr>
          <w:rFonts w:eastAsia="Times New Roman" w:cs="Times New Roman"/>
          <w:rtl/>
          <w:lang w:eastAsia="de-DE"/>
        </w:rPr>
        <w:t xml:space="preserve"> </w:t>
      </w:r>
      <w:r w:rsidRPr="00C22013">
        <w:rPr>
          <w:rFonts w:eastAsia="Times New Roman" w:cs="Times New Roman"/>
          <w:lang w:eastAsia="de-DE"/>
        </w:rPr>
        <w:t xml:space="preserve">mit ψυχὴ μία (eine Seele), </w:t>
      </w:r>
      <w:r w:rsidRPr="00C22013">
        <w:rPr>
          <w:rFonts w:eastAsia="Times New Roman" w:cs="Times New Roman"/>
          <w:b/>
          <w:bCs/>
          <w:rtl/>
          <w:lang w:eastAsia="de-DE"/>
        </w:rPr>
        <w:t>תֶּחֱטָא</w:t>
      </w:r>
      <w:r w:rsidRPr="00C22013">
        <w:rPr>
          <w:rFonts w:eastAsia="Times New Roman" w:cs="Times New Roman"/>
          <w:rtl/>
          <w:lang w:eastAsia="de-DE"/>
        </w:rPr>
        <w:t xml:space="preserve"> </w:t>
      </w:r>
      <w:r w:rsidRPr="00C22013">
        <w:rPr>
          <w:rFonts w:eastAsia="Times New Roman" w:cs="Times New Roman"/>
          <w:lang w:eastAsia="de-DE"/>
        </w:rPr>
        <w:t xml:space="preserve">mit ἁμάρτῃ (sündigt) und </w:t>
      </w:r>
      <w:r w:rsidRPr="00C22013">
        <w:rPr>
          <w:rFonts w:eastAsia="Times New Roman" w:cs="Times New Roman"/>
          <w:b/>
          <w:bCs/>
          <w:rtl/>
          <w:lang w:eastAsia="de-DE"/>
        </w:rPr>
        <w:t>עֵז בַּת־שְׁנָתָהּ</w:t>
      </w:r>
      <w:r w:rsidRPr="00C22013">
        <w:rPr>
          <w:rFonts w:eastAsia="Times New Roman" w:cs="Times New Roman"/>
          <w:rtl/>
          <w:lang w:eastAsia="de-DE"/>
        </w:rPr>
        <w:t xml:space="preserve"> </w:t>
      </w:r>
      <w:r w:rsidRPr="00C22013">
        <w:rPr>
          <w:rFonts w:eastAsia="Times New Roman" w:cs="Times New Roman"/>
          <w:lang w:eastAsia="de-DE"/>
        </w:rPr>
        <w:t>mit αἶγα ἐνιαυσίαν (einjährige Ziege).</w:t>
      </w:r>
    </w:p>
    <w:p w14:paraId="089A52F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individuelle Versehens-Bedingung und angemessenes Sündopfer.</w:t>
      </w:r>
    </w:p>
    <w:p w14:paraId="236D438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behandelt individuelle unabsichtliche Sünden mit einem entsprechend kleineren Sündopfer.</w:t>
      </w:r>
    </w:p>
    <w:p w14:paraId="31C4EA5D"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15,28</w:t>
      </w:r>
    </w:p>
    <w:p w14:paraId="6A5FB47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וְכִפֶּ֣ר הַכֹּהֵ֗ן עַל־הַנֶּ֧פֶשׁ הַשֹּׁגֶ֛גֶת בְּחֶטְאָ֥ה בִשְׁגָגָ֖ה לִפְנֵ֣י יְהוָ֑ה לְכַפֵּ֥ר עָלָ֖יו וְנִסְלַ֥ח לוֹֽ׃</w:t>
      </w:r>
    </w:p>
    <w:p w14:paraId="749B52C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der Priester soll Sühne schaffen für die Person, die sich versehentlich versündigt hat durch eine Sünde aus Versehen vor dem Ewigen, um Sühne für sie zu schaffen; und es wird ihr vergeben werden.</w:t>
      </w:r>
    </w:p>
    <w:p w14:paraId="05C2BD4A"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AEB4D36">
          <v:rect id="_x0000_i1525" style="width:0;height:1.5pt" o:hralign="center" o:hrstd="t" o:hr="t" fillcolor="#a0a0a0" stroked="f"/>
        </w:pict>
      </w:r>
    </w:p>
    <w:p w14:paraId="1AE4671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priesterliche Sühne </w:t>
      </w:r>
      <w:r w:rsidRPr="00C22013">
        <w:rPr>
          <w:rFonts w:eastAsia="Times New Roman" w:cs="Times New Roman"/>
          <w:b/>
          <w:bCs/>
          <w:rtl/>
          <w:lang w:eastAsia="de-DE"/>
        </w:rPr>
        <w:t>וְכִפֶּ֣ר הַכֹּהֵ֗ן עַל־הַנֶּ֧פֶשׁ הַשֹּׁגֶ֛גֶת בְּחֶטְאָ֥ה בִשְׁגָגָ֖ה לִפְנֵ֣י יְהוָ֑ה</w:t>
      </w:r>
      <w:r w:rsidRPr="00C22013">
        <w:rPr>
          <w:rFonts w:eastAsia="Times New Roman" w:cs="Times New Roman"/>
          <w:rtl/>
          <w:lang w:eastAsia="de-DE"/>
        </w:rPr>
        <w:t xml:space="preserve"> </w:t>
      </w:r>
      <w:r w:rsidRPr="00C22013">
        <w:rPr>
          <w:rFonts w:eastAsia="Times New Roman" w:cs="Times New Roman"/>
          <w:lang w:eastAsia="de-DE"/>
        </w:rPr>
        <w:t xml:space="preserve">(und der Priester soll Sühne schaffen für die Person, die sich versehentlich versündigt hat durch </w:t>
      </w:r>
      <w:r w:rsidRPr="00C22013">
        <w:rPr>
          <w:rFonts w:eastAsia="Times New Roman" w:cs="Times New Roman"/>
          <w:lang w:eastAsia="de-DE"/>
        </w:rPr>
        <w:lastRenderedPageBreak/>
        <w:t xml:space="preserve">eine Sünde aus Versehen vor dem Ewigen) mit </w:t>
      </w:r>
      <w:r w:rsidRPr="00C22013">
        <w:rPr>
          <w:rFonts w:eastAsia="Times New Roman" w:cs="Times New Roman"/>
          <w:b/>
          <w:bCs/>
          <w:rtl/>
          <w:lang w:eastAsia="de-DE"/>
        </w:rPr>
        <w:t>כִפֶּר הַכֹּהֵן</w:t>
      </w:r>
      <w:r w:rsidRPr="00C22013">
        <w:rPr>
          <w:rFonts w:eastAsia="Times New Roman" w:cs="Times New Roman"/>
          <w:rtl/>
          <w:lang w:eastAsia="de-DE"/>
        </w:rPr>
        <w:t xml:space="preserve"> </w:t>
      </w:r>
      <w:r w:rsidRPr="00C22013">
        <w:rPr>
          <w:rFonts w:eastAsia="Times New Roman" w:cs="Times New Roman"/>
          <w:lang w:eastAsia="de-DE"/>
        </w:rPr>
        <w:t xml:space="preserve">(der Priester soll Sühne schaffen), </w:t>
      </w:r>
      <w:r w:rsidRPr="00C22013">
        <w:rPr>
          <w:rFonts w:eastAsia="Times New Roman" w:cs="Times New Roman"/>
          <w:b/>
          <w:bCs/>
          <w:rtl/>
          <w:lang w:eastAsia="de-DE"/>
        </w:rPr>
        <w:t>הַנֶּפֶשׁ הַשֹּׁגֶגֶת</w:t>
      </w:r>
      <w:r w:rsidRPr="00C22013">
        <w:rPr>
          <w:rFonts w:eastAsia="Times New Roman" w:cs="Times New Roman"/>
          <w:rtl/>
          <w:lang w:eastAsia="de-DE"/>
        </w:rPr>
        <w:t xml:space="preserve"> </w:t>
      </w:r>
      <w:r w:rsidRPr="00C22013">
        <w:rPr>
          <w:rFonts w:eastAsia="Times New Roman" w:cs="Times New Roman"/>
          <w:lang w:eastAsia="de-DE"/>
        </w:rPr>
        <w:t xml:space="preserve">(die sich irrende Person) von </w:t>
      </w:r>
      <w:r w:rsidRPr="00C22013">
        <w:rPr>
          <w:rFonts w:eastAsia="Times New Roman" w:cs="Times New Roman"/>
          <w:b/>
          <w:bCs/>
          <w:rtl/>
          <w:lang w:eastAsia="de-DE"/>
        </w:rPr>
        <w:t>שגג</w:t>
      </w:r>
      <w:r w:rsidRPr="00C22013">
        <w:rPr>
          <w:rFonts w:eastAsia="Times New Roman" w:cs="Times New Roman"/>
          <w:rtl/>
          <w:lang w:eastAsia="de-DE"/>
        </w:rPr>
        <w:t xml:space="preserve"> </w:t>
      </w:r>
      <w:r w:rsidRPr="00C22013">
        <w:rPr>
          <w:rFonts w:eastAsia="Times New Roman" w:cs="Times New Roman"/>
          <w:lang w:eastAsia="de-DE"/>
        </w:rPr>
        <w:t xml:space="preserve">(sich irren) im Qal-Partizip feminin, </w:t>
      </w:r>
      <w:r w:rsidRPr="00C22013">
        <w:rPr>
          <w:rFonts w:eastAsia="Times New Roman" w:cs="Times New Roman"/>
          <w:b/>
          <w:bCs/>
          <w:rtl/>
          <w:lang w:eastAsia="de-DE"/>
        </w:rPr>
        <w:t>בְּחֶטְאָה בִשְׁגָגָה</w:t>
      </w:r>
      <w:r w:rsidRPr="00C22013">
        <w:rPr>
          <w:rFonts w:eastAsia="Times New Roman" w:cs="Times New Roman"/>
          <w:rtl/>
          <w:lang w:eastAsia="de-DE"/>
        </w:rPr>
        <w:t xml:space="preserve"> </w:t>
      </w:r>
      <w:r w:rsidRPr="00C22013">
        <w:rPr>
          <w:rFonts w:eastAsia="Times New Roman" w:cs="Times New Roman"/>
          <w:lang w:eastAsia="de-DE"/>
        </w:rPr>
        <w:t xml:space="preserve">(durch eine Sünde aus Versehen) und </w:t>
      </w:r>
      <w:r w:rsidRPr="00C22013">
        <w:rPr>
          <w:rFonts w:eastAsia="Times New Roman" w:cs="Times New Roman"/>
          <w:b/>
          <w:bCs/>
          <w:rtl/>
          <w:lang w:eastAsia="de-DE"/>
        </w:rPr>
        <w:t>לִפְנֵי יְהוָה</w:t>
      </w:r>
      <w:r w:rsidRPr="00C22013">
        <w:rPr>
          <w:rFonts w:eastAsia="Times New Roman" w:cs="Times New Roman"/>
          <w:rtl/>
          <w:lang w:eastAsia="de-DE"/>
        </w:rPr>
        <w:t xml:space="preserve"> </w:t>
      </w:r>
      <w:r w:rsidRPr="00C22013">
        <w:rPr>
          <w:rFonts w:eastAsia="Times New Roman" w:cs="Times New Roman"/>
          <w:lang w:eastAsia="de-DE"/>
        </w:rPr>
        <w:t>(vor dem Ewigen) zeigt die individuelle Sühneleistung.</w:t>
      </w:r>
    </w:p>
    <w:p w14:paraId="4752F74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Der Zweck und Erfolg </w:t>
      </w:r>
      <w:r w:rsidRPr="00C22013">
        <w:rPr>
          <w:rFonts w:eastAsia="Times New Roman" w:cs="Times New Roman"/>
          <w:b/>
          <w:bCs/>
          <w:rtl/>
          <w:lang w:eastAsia="de-DE"/>
        </w:rPr>
        <w:t>לְכַפֵּ֥ר עָלָ֖יו וְנִסְלַ֥ח לוֹֽ</w:t>
      </w:r>
      <w:r w:rsidRPr="00C22013">
        <w:rPr>
          <w:rFonts w:eastAsia="Times New Roman" w:cs="Times New Roman"/>
          <w:rtl/>
          <w:lang w:eastAsia="de-DE"/>
        </w:rPr>
        <w:t xml:space="preserve"> </w:t>
      </w:r>
      <w:r w:rsidRPr="00C22013">
        <w:rPr>
          <w:rFonts w:eastAsia="Times New Roman" w:cs="Times New Roman"/>
          <w:lang w:eastAsia="de-DE"/>
        </w:rPr>
        <w:t xml:space="preserve">(um Sühne für ihn zu schaffen; und es wird ihm vergeben werden) mit </w:t>
      </w:r>
      <w:r w:rsidRPr="00C22013">
        <w:rPr>
          <w:rFonts w:eastAsia="Times New Roman" w:cs="Times New Roman"/>
          <w:b/>
          <w:bCs/>
          <w:rtl/>
          <w:lang w:eastAsia="de-DE"/>
        </w:rPr>
        <w:t>לְכַפֵּר עָלָיו</w:t>
      </w:r>
      <w:r w:rsidRPr="00C22013">
        <w:rPr>
          <w:rFonts w:eastAsia="Times New Roman" w:cs="Times New Roman"/>
          <w:rtl/>
          <w:lang w:eastAsia="de-DE"/>
        </w:rPr>
        <w:t xml:space="preserve"> </w:t>
      </w:r>
      <w:r w:rsidRPr="00C22013">
        <w:rPr>
          <w:rFonts w:eastAsia="Times New Roman" w:cs="Times New Roman"/>
          <w:lang w:eastAsia="de-DE"/>
        </w:rPr>
        <w:t xml:space="preserve">(um Sühne für ihn zu schaffen) und </w:t>
      </w:r>
      <w:r w:rsidRPr="00C22013">
        <w:rPr>
          <w:rFonts w:eastAsia="Times New Roman" w:cs="Times New Roman"/>
          <w:b/>
          <w:bCs/>
          <w:rtl/>
          <w:lang w:eastAsia="de-DE"/>
        </w:rPr>
        <w:t>נִסְלַח לוֹ</w:t>
      </w:r>
      <w:r w:rsidRPr="00C22013">
        <w:rPr>
          <w:rFonts w:eastAsia="Times New Roman" w:cs="Times New Roman"/>
          <w:rtl/>
          <w:lang w:eastAsia="de-DE"/>
        </w:rPr>
        <w:t xml:space="preserve"> </w:t>
      </w:r>
      <w:r w:rsidRPr="00C22013">
        <w:rPr>
          <w:rFonts w:eastAsia="Times New Roman" w:cs="Times New Roman"/>
          <w:lang w:eastAsia="de-DE"/>
        </w:rPr>
        <w:t>(es wird ihm vergeben) zeigt die Wirksamkeit der priesterlichen Sühne auch bei individueller Sünde.</w:t>
      </w:r>
    </w:p>
    <w:p w14:paraId="54E6360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הַשֹּׁגֶגֶת</w:t>
      </w:r>
      <w:r w:rsidRPr="00C22013">
        <w:rPr>
          <w:rFonts w:eastAsia="Times New Roman" w:cs="Times New Roman"/>
          <w:rtl/>
          <w:lang w:eastAsia="de-DE"/>
        </w:rPr>
        <w:t xml:space="preserve"> </w:t>
      </w:r>
      <w:r w:rsidRPr="00C22013">
        <w:rPr>
          <w:rFonts w:eastAsia="Times New Roman" w:cs="Times New Roman"/>
          <w:lang w:eastAsia="de-DE"/>
        </w:rPr>
        <w:t xml:space="preserve">mit τὴν ἀγνοοῦσαν (die Unwissende), </w:t>
      </w:r>
      <w:r w:rsidRPr="00C22013">
        <w:rPr>
          <w:rFonts w:eastAsia="Times New Roman" w:cs="Times New Roman"/>
          <w:b/>
          <w:bCs/>
          <w:rtl/>
          <w:lang w:eastAsia="de-DE"/>
        </w:rPr>
        <w:t>בְּחֶטְאָה בִשְׁגָגָה</w:t>
      </w:r>
      <w:r w:rsidRPr="00C22013">
        <w:rPr>
          <w:rFonts w:eastAsia="Times New Roman" w:cs="Times New Roman"/>
          <w:rtl/>
          <w:lang w:eastAsia="de-DE"/>
        </w:rPr>
        <w:t xml:space="preserve"> </w:t>
      </w:r>
      <w:r w:rsidRPr="00C22013">
        <w:rPr>
          <w:rFonts w:eastAsia="Times New Roman" w:cs="Times New Roman"/>
          <w:lang w:eastAsia="de-DE"/>
        </w:rPr>
        <w:t xml:space="preserve">mit ἐν ἁμαρτίᾳ δι' ἄγνοιαν (in Sünde durch Unwissenheit) und </w:t>
      </w:r>
      <w:r w:rsidRPr="00C22013">
        <w:rPr>
          <w:rFonts w:eastAsia="Times New Roman" w:cs="Times New Roman"/>
          <w:b/>
          <w:bCs/>
          <w:rtl/>
          <w:lang w:eastAsia="de-DE"/>
        </w:rPr>
        <w:t>נִסְלַח</w:t>
      </w:r>
      <w:r w:rsidRPr="00C22013">
        <w:rPr>
          <w:rFonts w:eastAsia="Times New Roman" w:cs="Times New Roman"/>
          <w:rtl/>
          <w:lang w:eastAsia="de-DE"/>
        </w:rPr>
        <w:t xml:space="preserve"> </w:t>
      </w:r>
      <w:r w:rsidRPr="00C22013">
        <w:rPr>
          <w:rFonts w:eastAsia="Times New Roman" w:cs="Times New Roman"/>
          <w:lang w:eastAsia="de-DE"/>
        </w:rPr>
        <w:t>mit ἀφεθήσεται (es wird vergeben werden).</w:t>
      </w:r>
    </w:p>
    <w:p w14:paraId="1EB3FB2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individuelle priesterliche Sühne, Zweckbestimmung und Vergebungsgewährung.</w:t>
      </w:r>
    </w:p>
    <w:p w14:paraId="79B6884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bestätigt die Wirksamkeit der priesterlichen Sühne auch für individuelle unabsichtliche Sünden.</w:t>
      </w:r>
    </w:p>
    <w:p w14:paraId="6A977485"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15,29</w:t>
      </w:r>
    </w:p>
    <w:p w14:paraId="4F5DF30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הָֽאֶזְרָח֙ בִּבְנֵ֣י יִשְׂרָאֵ֔ל וְלַגֵּ֖ר הַגָּ֣ר בְּתוֹכָ֑ם תּוֹרָ֤ה אַחַת֙ יִהְיֶ֣ה לָכֶ֔ם לָעֹשֶׂ֖ה בִּשְׁגָגָֽה׃</w:t>
      </w:r>
    </w:p>
    <w:p w14:paraId="6242004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Für den Einheimischen unter den Söhnen Jisra'els und für den Fremden, der in ihrer Mitte weilt, ein Gesetz soll für euch sein für den, der aus Versehen etwas tut.</w:t>
      </w:r>
    </w:p>
    <w:p w14:paraId="19128E39"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FFDFD7E">
          <v:rect id="_x0000_i1526" style="width:0;height:1.5pt" o:hralign="center" o:hrstd="t" o:hr="t" fillcolor="#a0a0a0" stroked="f"/>
        </w:pict>
      </w:r>
    </w:p>
    <w:p w14:paraId="77E6EB0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Gleichstellung </w:t>
      </w:r>
      <w:r w:rsidRPr="00C22013">
        <w:rPr>
          <w:rFonts w:eastAsia="Times New Roman" w:cs="Times New Roman"/>
          <w:b/>
          <w:bCs/>
          <w:rtl/>
          <w:lang w:eastAsia="de-DE"/>
        </w:rPr>
        <w:t>הָֽאֶזְרָח֙ בִּבְנֵ֣י יִשְׂרָאֵ֔ל וְלַגֵּ֖ר הַגָּ֣ר בְּתוֹכָ֑ם תּוֹרָ֤ה אַחַת֙ יִהְיֶ֣ה לָכֶ֔ם</w:t>
      </w:r>
      <w:r w:rsidRPr="00C22013">
        <w:rPr>
          <w:rFonts w:eastAsia="Times New Roman" w:cs="Times New Roman"/>
          <w:rtl/>
          <w:lang w:eastAsia="de-DE"/>
        </w:rPr>
        <w:t xml:space="preserve"> </w:t>
      </w:r>
      <w:r w:rsidRPr="00C22013">
        <w:rPr>
          <w:rFonts w:eastAsia="Times New Roman" w:cs="Times New Roman"/>
          <w:lang w:eastAsia="de-DE"/>
        </w:rPr>
        <w:t xml:space="preserve">(für den Einheimischen unter den Söhnen Israels und für den Fremden, der in ihrer Mitte weilt, ein Gesetz soll für euch sein) mit </w:t>
      </w:r>
      <w:r w:rsidRPr="00C22013">
        <w:rPr>
          <w:rFonts w:eastAsia="Times New Roman" w:cs="Times New Roman"/>
          <w:b/>
          <w:bCs/>
          <w:rtl/>
          <w:lang w:eastAsia="de-DE"/>
        </w:rPr>
        <w:t>הָאֶזְרָח בִּבְנֵי יִשְׂרָאֵל</w:t>
      </w:r>
      <w:r w:rsidRPr="00C22013">
        <w:rPr>
          <w:rFonts w:eastAsia="Times New Roman" w:cs="Times New Roman"/>
          <w:rtl/>
          <w:lang w:eastAsia="de-DE"/>
        </w:rPr>
        <w:t xml:space="preserve"> </w:t>
      </w:r>
      <w:r w:rsidRPr="00C22013">
        <w:rPr>
          <w:rFonts w:eastAsia="Times New Roman" w:cs="Times New Roman"/>
          <w:lang w:eastAsia="de-DE"/>
        </w:rPr>
        <w:t xml:space="preserve">(der Einheimische unter den Söhnen Israels), </w:t>
      </w:r>
      <w:r w:rsidRPr="00C22013">
        <w:rPr>
          <w:rFonts w:eastAsia="Times New Roman" w:cs="Times New Roman"/>
          <w:b/>
          <w:bCs/>
          <w:rtl/>
          <w:lang w:eastAsia="de-DE"/>
        </w:rPr>
        <w:t>לַגֵּר הַגָּר בְּתוֹכָם</w:t>
      </w:r>
      <w:r w:rsidRPr="00C22013">
        <w:rPr>
          <w:rFonts w:eastAsia="Times New Roman" w:cs="Times New Roman"/>
          <w:rtl/>
          <w:lang w:eastAsia="de-DE"/>
        </w:rPr>
        <w:t xml:space="preserve"> </w:t>
      </w:r>
      <w:r w:rsidRPr="00C22013">
        <w:rPr>
          <w:rFonts w:eastAsia="Times New Roman" w:cs="Times New Roman"/>
          <w:lang w:eastAsia="de-DE"/>
        </w:rPr>
        <w:t xml:space="preserve">(für den Fremden, der in ihrer Mitte weilt) und </w:t>
      </w:r>
      <w:r w:rsidRPr="00C22013">
        <w:rPr>
          <w:rFonts w:eastAsia="Times New Roman" w:cs="Times New Roman"/>
          <w:b/>
          <w:bCs/>
          <w:rtl/>
          <w:lang w:eastAsia="de-DE"/>
        </w:rPr>
        <w:t>תּוֹרָה אַחַת יִהְיֶה לָכֶם</w:t>
      </w:r>
      <w:r w:rsidRPr="00C22013">
        <w:rPr>
          <w:rFonts w:eastAsia="Times New Roman" w:cs="Times New Roman"/>
          <w:rtl/>
          <w:lang w:eastAsia="de-DE"/>
        </w:rPr>
        <w:t xml:space="preserve"> </w:t>
      </w:r>
      <w:r w:rsidRPr="00C22013">
        <w:rPr>
          <w:rFonts w:eastAsia="Times New Roman" w:cs="Times New Roman"/>
          <w:lang w:eastAsia="de-DE"/>
        </w:rPr>
        <w:t>(ein Gesetz soll für euch sein) wiederholt das Prinzip der Rechtsgleichheit.</w:t>
      </w:r>
    </w:p>
    <w:p w14:paraId="70D3994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Anwendung </w:t>
      </w:r>
      <w:r w:rsidRPr="00C22013">
        <w:rPr>
          <w:rFonts w:eastAsia="Times New Roman" w:cs="Times New Roman"/>
          <w:b/>
          <w:bCs/>
          <w:rtl/>
          <w:lang w:eastAsia="de-DE"/>
        </w:rPr>
        <w:t>לָעֹשֶׂ֖ה בִּשְׁגָגָֽה</w:t>
      </w:r>
      <w:r w:rsidRPr="00C22013">
        <w:rPr>
          <w:rFonts w:eastAsia="Times New Roman" w:cs="Times New Roman"/>
          <w:rtl/>
          <w:lang w:eastAsia="de-DE"/>
        </w:rPr>
        <w:t xml:space="preserve"> </w:t>
      </w:r>
      <w:r w:rsidRPr="00C22013">
        <w:rPr>
          <w:rFonts w:eastAsia="Times New Roman" w:cs="Times New Roman"/>
          <w:lang w:eastAsia="de-DE"/>
        </w:rPr>
        <w:t xml:space="preserve">(für den, der aus Versehen handelt) mit </w:t>
      </w:r>
      <w:r w:rsidRPr="00C22013">
        <w:rPr>
          <w:rFonts w:eastAsia="Times New Roman" w:cs="Times New Roman"/>
          <w:b/>
          <w:bCs/>
          <w:rtl/>
          <w:lang w:eastAsia="de-DE"/>
        </w:rPr>
        <w:t>לָעֹשֶׂה</w:t>
      </w:r>
      <w:r w:rsidRPr="00C22013">
        <w:rPr>
          <w:rFonts w:eastAsia="Times New Roman" w:cs="Times New Roman"/>
          <w:rtl/>
          <w:lang w:eastAsia="de-DE"/>
        </w:rPr>
        <w:t xml:space="preserve"> </w:t>
      </w:r>
      <w:r w:rsidRPr="00C22013">
        <w:rPr>
          <w:rFonts w:eastAsia="Times New Roman" w:cs="Times New Roman"/>
          <w:lang w:eastAsia="de-DE"/>
        </w:rPr>
        <w:t xml:space="preserve">(für den Handelnden) als Qal-Partizip von </w:t>
      </w:r>
      <w:r w:rsidRPr="00C22013">
        <w:rPr>
          <w:rFonts w:eastAsia="Times New Roman" w:cs="Times New Roman"/>
          <w:b/>
          <w:bCs/>
          <w:rtl/>
          <w:lang w:eastAsia="de-DE"/>
        </w:rPr>
        <w:t>עשה</w:t>
      </w:r>
      <w:r w:rsidRPr="00C22013">
        <w:rPr>
          <w:rFonts w:eastAsia="Times New Roman" w:cs="Times New Roman"/>
          <w:rtl/>
          <w:lang w:eastAsia="de-DE"/>
        </w:rPr>
        <w:t xml:space="preserve"> </w:t>
      </w:r>
      <w:r w:rsidRPr="00C22013">
        <w:rPr>
          <w:rFonts w:eastAsia="Times New Roman" w:cs="Times New Roman"/>
          <w:lang w:eastAsia="de-DE"/>
        </w:rPr>
        <w:t xml:space="preserve">(tun) und </w:t>
      </w:r>
      <w:r w:rsidRPr="00C22013">
        <w:rPr>
          <w:rFonts w:eastAsia="Times New Roman" w:cs="Times New Roman"/>
          <w:b/>
          <w:bCs/>
          <w:rtl/>
          <w:lang w:eastAsia="de-DE"/>
        </w:rPr>
        <w:t>בִּשְׁגָגָה</w:t>
      </w:r>
      <w:r w:rsidRPr="00C22013">
        <w:rPr>
          <w:rFonts w:eastAsia="Times New Roman" w:cs="Times New Roman"/>
          <w:rtl/>
          <w:lang w:eastAsia="de-DE"/>
        </w:rPr>
        <w:t xml:space="preserve"> </w:t>
      </w:r>
      <w:r w:rsidRPr="00C22013">
        <w:rPr>
          <w:rFonts w:eastAsia="Times New Roman" w:cs="Times New Roman"/>
          <w:lang w:eastAsia="de-DE"/>
        </w:rPr>
        <w:t>(aus Versehen) zeigt die spezifische Anwendung auf unabsichtliche Handlungen.</w:t>
      </w:r>
    </w:p>
    <w:p w14:paraId="00AD018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אֶזְרָח</w:t>
      </w:r>
      <w:r w:rsidRPr="00C22013">
        <w:rPr>
          <w:rFonts w:eastAsia="Times New Roman" w:cs="Times New Roman"/>
          <w:rtl/>
          <w:lang w:eastAsia="de-DE"/>
        </w:rPr>
        <w:t xml:space="preserve"> </w:t>
      </w:r>
      <w:r w:rsidRPr="00C22013">
        <w:rPr>
          <w:rFonts w:eastAsia="Times New Roman" w:cs="Times New Roman"/>
          <w:lang w:eastAsia="de-DE"/>
        </w:rPr>
        <w:t xml:space="preserve">mit αὐτόχθων (Eingeborener), </w:t>
      </w:r>
      <w:r w:rsidRPr="00C22013">
        <w:rPr>
          <w:rFonts w:eastAsia="Times New Roman" w:cs="Times New Roman"/>
          <w:b/>
          <w:bCs/>
          <w:rtl/>
          <w:lang w:eastAsia="de-DE"/>
        </w:rPr>
        <w:t>תּוֹרָה אַחַת</w:t>
      </w:r>
      <w:r w:rsidRPr="00C22013">
        <w:rPr>
          <w:rFonts w:eastAsia="Times New Roman" w:cs="Times New Roman"/>
          <w:rtl/>
          <w:lang w:eastAsia="de-DE"/>
        </w:rPr>
        <w:t xml:space="preserve"> </w:t>
      </w:r>
      <w:r w:rsidRPr="00C22013">
        <w:rPr>
          <w:rFonts w:eastAsia="Times New Roman" w:cs="Times New Roman"/>
          <w:lang w:eastAsia="de-DE"/>
        </w:rPr>
        <w:t xml:space="preserve">mit νόμος εἷς (ein Gesetz) und </w:t>
      </w:r>
      <w:r w:rsidRPr="00C22013">
        <w:rPr>
          <w:rFonts w:eastAsia="Times New Roman" w:cs="Times New Roman"/>
          <w:b/>
          <w:bCs/>
          <w:rtl/>
          <w:lang w:eastAsia="de-DE"/>
        </w:rPr>
        <w:t>לָעֹשֶׂה בִּשְׁגָגָה</w:t>
      </w:r>
      <w:r w:rsidRPr="00C22013">
        <w:rPr>
          <w:rFonts w:eastAsia="Times New Roman" w:cs="Times New Roman"/>
          <w:rtl/>
          <w:lang w:eastAsia="de-DE"/>
        </w:rPr>
        <w:t xml:space="preserve"> </w:t>
      </w:r>
      <w:r w:rsidRPr="00C22013">
        <w:rPr>
          <w:rFonts w:eastAsia="Times New Roman" w:cs="Times New Roman"/>
          <w:lang w:eastAsia="de-DE"/>
        </w:rPr>
        <w:t>mit τῷ ποιοῦντι κατὰ ἄγνοιαν (für den aus Unwissenheit Handelnden).</w:t>
      </w:r>
    </w:p>
    <w:p w14:paraId="081F865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Gleichstellungswiederholung und spezifische Anwendung auf Versehens-Handlungen.</w:t>
      </w:r>
    </w:p>
    <w:p w14:paraId="3C70536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bekräftigt die Rechtsgleichheit zwischen Einheimischen und Fremden speziell bei unabsichtlichen Verfehlungen.</w:t>
      </w:r>
    </w:p>
    <w:p w14:paraId="3C3B6494"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15,30</w:t>
      </w:r>
    </w:p>
    <w:p w14:paraId="4D8E43B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Hebräisch:</w:t>
      </w:r>
      <w:r w:rsidRPr="00C22013">
        <w:rPr>
          <w:rFonts w:eastAsia="Times New Roman" w:cs="Times New Roman"/>
          <w:lang w:eastAsia="de-DE"/>
        </w:rPr>
        <w:t xml:space="preserve"> </w:t>
      </w:r>
      <w:r w:rsidRPr="00C22013">
        <w:rPr>
          <w:rFonts w:eastAsia="Times New Roman" w:cs="Times New Roman"/>
          <w:rtl/>
          <w:lang w:eastAsia="de-DE"/>
        </w:rPr>
        <w:t>וְהַנֶּ֜פֶשׁ אֲשֶֽׁר־תַּעֲשֶׂ֣ה׀ בְּיָ֣ד רָמָ֗ה מִן־הָֽאֶזְרָח֙ וּמִן־הַגֵּ֔ר אֶת־יְהוָ֖ה ה֣וּא מְגַדֵּ֑ף וְנִכְרְתָ֛ה הַנֶּ֥פֶשׁ הַהִ֖וא מִקֶּ֥רֶב עַמָּֽהּ׃</w:t>
      </w:r>
    </w:p>
    <w:p w14:paraId="65C8243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Aber die Person, die mit erhobener Hand etwas tut, von den Einheimischen oder von den Fremden, die lästert den Ewigen; und diese Person soll aus der Mitte ihres Volkes ausgerottet werden.</w:t>
      </w:r>
    </w:p>
    <w:p w14:paraId="4A22F574"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1DF27B54">
          <v:rect id="_x0000_i1527" style="width:0;height:1.5pt" o:hralign="center" o:hrstd="t" o:hr="t" fillcolor="#a0a0a0" stroked="f"/>
        </w:pict>
      </w:r>
    </w:p>
    <w:p w14:paraId="3A2F2CF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vorsätzliche Sünde </w:t>
      </w:r>
      <w:r w:rsidRPr="00C22013">
        <w:rPr>
          <w:rFonts w:eastAsia="Times New Roman" w:cs="Times New Roman"/>
          <w:b/>
          <w:bCs/>
          <w:rtl/>
          <w:lang w:eastAsia="de-DE"/>
        </w:rPr>
        <w:t>וְהַנֶּ֜פֶשׁ אֲשֶֽׁר־תַּעֲשֶׂ֣ה׀ בְּיָ֣ד רָמָ֗ה מִן־הָֽאֶזְרָח֙ וּמִן־הַגֵּ֔ר</w:t>
      </w:r>
      <w:r w:rsidRPr="00C22013">
        <w:rPr>
          <w:rFonts w:eastAsia="Times New Roman" w:cs="Times New Roman"/>
          <w:rtl/>
          <w:lang w:eastAsia="de-DE"/>
        </w:rPr>
        <w:t xml:space="preserve"> </w:t>
      </w:r>
      <w:r w:rsidRPr="00C22013">
        <w:rPr>
          <w:rFonts w:eastAsia="Times New Roman" w:cs="Times New Roman"/>
          <w:lang w:eastAsia="de-DE"/>
        </w:rPr>
        <w:t xml:space="preserve">(aber die Person, die mit erhobener Hand handelt, von den Einheimischen oder von den Fremden) mit </w:t>
      </w:r>
      <w:r w:rsidRPr="00C22013">
        <w:rPr>
          <w:rFonts w:eastAsia="Times New Roman" w:cs="Times New Roman"/>
          <w:b/>
          <w:bCs/>
          <w:rtl/>
          <w:lang w:eastAsia="de-DE"/>
        </w:rPr>
        <w:t>הַנֶּפֶשׁ אֲשֶׁר־תַּעֲשֶׂה</w:t>
      </w:r>
      <w:r w:rsidRPr="00C22013">
        <w:rPr>
          <w:rFonts w:eastAsia="Times New Roman" w:cs="Times New Roman"/>
          <w:rtl/>
          <w:lang w:eastAsia="de-DE"/>
        </w:rPr>
        <w:t xml:space="preserve"> </w:t>
      </w:r>
      <w:r w:rsidRPr="00C22013">
        <w:rPr>
          <w:rFonts w:eastAsia="Times New Roman" w:cs="Times New Roman"/>
          <w:lang w:eastAsia="de-DE"/>
        </w:rPr>
        <w:t xml:space="preserve">(die Person, die handelt), </w:t>
      </w:r>
      <w:r w:rsidRPr="00C22013">
        <w:rPr>
          <w:rFonts w:eastAsia="Times New Roman" w:cs="Times New Roman"/>
          <w:b/>
          <w:bCs/>
          <w:rtl/>
          <w:lang w:eastAsia="de-DE"/>
        </w:rPr>
        <w:t>בְּיָד רָמָה</w:t>
      </w:r>
      <w:r w:rsidRPr="00C22013">
        <w:rPr>
          <w:rFonts w:eastAsia="Times New Roman" w:cs="Times New Roman"/>
          <w:rtl/>
          <w:lang w:eastAsia="de-DE"/>
        </w:rPr>
        <w:t xml:space="preserve"> </w:t>
      </w:r>
      <w:r w:rsidRPr="00C22013">
        <w:rPr>
          <w:rFonts w:eastAsia="Times New Roman" w:cs="Times New Roman"/>
          <w:lang w:eastAsia="de-DE"/>
        </w:rPr>
        <w:t xml:space="preserve">(mit erhobener Hand) als Idiom für Vorsätzlichkeit und Trotz, </w:t>
      </w:r>
      <w:r w:rsidRPr="00C22013">
        <w:rPr>
          <w:rFonts w:eastAsia="Times New Roman" w:cs="Times New Roman"/>
          <w:b/>
          <w:bCs/>
          <w:rtl/>
          <w:lang w:eastAsia="de-DE"/>
        </w:rPr>
        <w:t>מִן־הָאֶזְרָח וּמִן־הַגֵּר</w:t>
      </w:r>
      <w:r w:rsidRPr="00C22013">
        <w:rPr>
          <w:rFonts w:eastAsia="Times New Roman" w:cs="Times New Roman"/>
          <w:rtl/>
          <w:lang w:eastAsia="de-DE"/>
        </w:rPr>
        <w:t xml:space="preserve"> </w:t>
      </w:r>
      <w:r w:rsidRPr="00C22013">
        <w:rPr>
          <w:rFonts w:eastAsia="Times New Roman" w:cs="Times New Roman"/>
          <w:lang w:eastAsia="de-DE"/>
        </w:rPr>
        <w:t>(von den Einheimischen oder von den Fremden) zeigt die Schwere vorsätzlicher Sünde bei allen Personen.</w:t>
      </w:r>
    </w:p>
    <w:p w14:paraId="3EDC168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Charakterisierung </w:t>
      </w:r>
      <w:r w:rsidRPr="00C22013">
        <w:rPr>
          <w:rFonts w:eastAsia="Times New Roman" w:cs="Times New Roman"/>
          <w:b/>
          <w:bCs/>
          <w:rtl/>
          <w:lang w:eastAsia="de-DE"/>
        </w:rPr>
        <w:t>אֶת־יְהוָ֖ה ה֣וּא מְגַדֵּ֑ף</w:t>
      </w:r>
      <w:r w:rsidRPr="00C22013">
        <w:rPr>
          <w:rFonts w:eastAsia="Times New Roman" w:cs="Times New Roman"/>
          <w:rtl/>
          <w:lang w:eastAsia="de-DE"/>
        </w:rPr>
        <w:t xml:space="preserve"> </w:t>
      </w:r>
      <w:r w:rsidRPr="00C22013">
        <w:rPr>
          <w:rFonts w:eastAsia="Times New Roman" w:cs="Times New Roman"/>
          <w:lang w:eastAsia="de-DE"/>
        </w:rPr>
        <w:t xml:space="preserve">(den Ewigen lästert er) mit </w:t>
      </w:r>
      <w:r w:rsidRPr="00C22013">
        <w:rPr>
          <w:rFonts w:eastAsia="Times New Roman" w:cs="Times New Roman"/>
          <w:b/>
          <w:bCs/>
          <w:rtl/>
          <w:lang w:eastAsia="de-DE"/>
        </w:rPr>
        <w:t>אֶת־יְהוָה</w:t>
      </w:r>
      <w:r w:rsidRPr="00C22013">
        <w:rPr>
          <w:rFonts w:eastAsia="Times New Roman" w:cs="Times New Roman"/>
          <w:rtl/>
          <w:lang w:eastAsia="de-DE"/>
        </w:rPr>
        <w:t xml:space="preserve"> </w:t>
      </w:r>
      <w:r w:rsidRPr="00C22013">
        <w:rPr>
          <w:rFonts w:eastAsia="Times New Roman" w:cs="Times New Roman"/>
          <w:lang w:eastAsia="de-DE"/>
        </w:rPr>
        <w:t xml:space="preserve">(den Ewigen) als direktes Objekt und </w:t>
      </w:r>
      <w:r w:rsidRPr="00C22013">
        <w:rPr>
          <w:rFonts w:eastAsia="Times New Roman" w:cs="Times New Roman"/>
          <w:b/>
          <w:bCs/>
          <w:rtl/>
          <w:lang w:eastAsia="de-DE"/>
        </w:rPr>
        <w:t>מְגַדֵּף</w:t>
      </w:r>
      <w:r w:rsidRPr="00C22013">
        <w:rPr>
          <w:rFonts w:eastAsia="Times New Roman" w:cs="Times New Roman"/>
          <w:rtl/>
          <w:lang w:eastAsia="de-DE"/>
        </w:rPr>
        <w:t xml:space="preserve"> </w:t>
      </w:r>
      <w:r w:rsidRPr="00C22013">
        <w:rPr>
          <w:rFonts w:eastAsia="Times New Roman" w:cs="Times New Roman"/>
          <w:lang w:eastAsia="de-DE"/>
        </w:rPr>
        <w:t xml:space="preserve">(lästernd) von </w:t>
      </w:r>
      <w:r w:rsidRPr="00C22013">
        <w:rPr>
          <w:rFonts w:eastAsia="Times New Roman" w:cs="Times New Roman"/>
          <w:b/>
          <w:bCs/>
          <w:rtl/>
          <w:lang w:eastAsia="de-DE"/>
        </w:rPr>
        <w:t>גדף</w:t>
      </w:r>
      <w:r w:rsidRPr="00C22013">
        <w:rPr>
          <w:rFonts w:eastAsia="Times New Roman" w:cs="Times New Roman"/>
          <w:rtl/>
          <w:lang w:eastAsia="de-DE"/>
        </w:rPr>
        <w:t xml:space="preserve"> </w:t>
      </w:r>
      <w:r w:rsidRPr="00C22013">
        <w:rPr>
          <w:rFonts w:eastAsia="Times New Roman" w:cs="Times New Roman"/>
          <w:lang w:eastAsia="de-DE"/>
        </w:rPr>
        <w:t>(lästern) im Pi'el-Partizip zeigt vorsätzliche Sünde als direkte Gotteslästerung.</w:t>
      </w:r>
    </w:p>
    <w:p w14:paraId="1C59385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Strafe </w:t>
      </w:r>
      <w:r w:rsidRPr="00C22013">
        <w:rPr>
          <w:rFonts w:eastAsia="Times New Roman" w:cs="Times New Roman"/>
          <w:b/>
          <w:bCs/>
          <w:rtl/>
          <w:lang w:eastAsia="de-DE"/>
        </w:rPr>
        <w:t>וְנִכְרְתָ֛ה הַנֶּ֥פֶשׁ הַהִ֖וא מִקֶּ֥רֶב עַמָּֽהּ</w:t>
      </w:r>
      <w:r w:rsidRPr="00C22013">
        <w:rPr>
          <w:rFonts w:eastAsia="Times New Roman" w:cs="Times New Roman"/>
          <w:rtl/>
          <w:lang w:eastAsia="de-DE"/>
        </w:rPr>
        <w:t xml:space="preserve"> </w:t>
      </w:r>
      <w:r w:rsidRPr="00C22013">
        <w:rPr>
          <w:rFonts w:eastAsia="Times New Roman" w:cs="Times New Roman"/>
          <w:lang w:eastAsia="de-DE"/>
        </w:rPr>
        <w:t xml:space="preserve">(und diese Person soll aus der Mitte ihres Volkes ausgerottet werden) mit </w:t>
      </w:r>
      <w:r w:rsidRPr="00C22013">
        <w:rPr>
          <w:rFonts w:eastAsia="Times New Roman" w:cs="Times New Roman"/>
          <w:b/>
          <w:bCs/>
          <w:rtl/>
          <w:lang w:eastAsia="de-DE"/>
        </w:rPr>
        <w:t>נִכְרְתָה</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כרת</w:t>
      </w:r>
      <w:r w:rsidRPr="00C22013">
        <w:rPr>
          <w:rFonts w:eastAsia="Times New Roman" w:cs="Times New Roman"/>
          <w:rtl/>
          <w:lang w:eastAsia="de-DE"/>
        </w:rPr>
        <w:t xml:space="preserve"> </w:t>
      </w:r>
      <w:r w:rsidRPr="00C22013">
        <w:rPr>
          <w:rFonts w:eastAsia="Times New Roman" w:cs="Times New Roman"/>
          <w:lang w:eastAsia="de-DE"/>
        </w:rPr>
        <w:t xml:space="preserve">(ausrotten) im Niph'al-Perfekt 3. feminin Singular mit Waw consecutivum und </w:t>
      </w:r>
      <w:r w:rsidRPr="00C22013">
        <w:rPr>
          <w:rFonts w:eastAsia="Times New Roman" w:cs="Times New Roman"/>
          <w:b/>
          <w:bCs/>
          <w:rtl/>
          <w:lang w:eastAsia="de-DE"/>
        </w:rPr>
        <w:t>מִקֶּרֶב עַמָּהּ</w:t>
      </w:r>
      <w:r w:rsidRPr="00C22013">
        <w:rPr>
          <w:rFonts w:eastAsia="Times New Roman" w:cs="Times New Roman"/>
          <w:rtl/>
          <w:lang w:eastAsia="de-DE"/>
        </w:rPr>
        <w:t xml:space="preserve"> </w:t>
      </w:r>
      <w:r w:rsidRPr="00C22013">
        <w:rPr>
          <w:rFonts w:eastAsia="Times New Roman" w:cs="Times New Roman"/>
          <w:lang w:eastAsia="de-DE"/>
        </w:rPr>
        <w:t>(aus der Mitte ihres Volkes) zeigt die drastische Strafe für vorsätzliche Gotteslästerung.</w:t>
      </w:r>
    </w:p>
    <w:p w14:paraId="25D3791D" w14:textId="7DF95109"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ED3AE8">
        <w:t>übersetzt das hebräische „</w:t>
      </w:r>
      <w:r w:rsidR="00ED3AE8" w:rsidRPr="00ED3AE8">
        <w:rPr>
          <w:b/>
          <w:bCs/>
          <w:rtl/>
        </w:rPr>
        <w:t>בְּיָד רָמָה</w:t>
      </w:r>
      <w:r w:rsidR="00ED3AE8">
        <w:t>" (mit erhobener Hand/vorsätzlich) mit „ἐν χειρὶ ὑπερηφανίας" (mit der Hand des Hochmuts), was eine moralische Interpretation der Vorsätzlichkeit darstellt. Zudem übersetzt sie „</w:t>
      </w:r>
      <w:r w:rsidR="00ED3AE8" w:rsidRPr="00ED3AE8">
        <w:rPr>
          <w:b/>
          <w:bCs/>
          <w:rtl/>
        </w:rPr>
        <w:t>מְגַדֵּף</w:t>
      </w:r>
      <w:r w:rsidR="00ED3AE8">
        <w:t>" (lästert) mit „παροξύνει" (reizt/provoziert), was eine etwas mildere Formulierung ist.</w:t>
      </w:r>
    </w:p>
    <w:p w14:paraId="3CDA0BA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vorsätzliche Sünde-Charakterisierung, Gotteslästerungs-Qualifikation und drastische Ausrottungsstrafe.</w:t>
      </w:r>
    </w:p>
    <w:p w14:paraId="13FDCF67" w14:textId="783955BD" w:rsid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den scharfen Kontrast zwischen unabsichtlicher (vergebbare) und vorsätzlicher (unverzeihlicher) Sünde.</w:t>
      </w:r>
    </w:p>
    <w:p w14:paraId="793438E9" w14:textId="77777777" w:rsidR="00982B39" w:rsidRPr="00982B39" w:rsidRDefault="00982B39" w:rsidP="00F06C27">
      <w:pPr>
        <w:pStyle w:val="berschrift4"/>
        <w:rPr>
          <w:rFonts w:eastAsia="Times New Roman"/>
          <w:lang w:eastAsia="de-DE"/>
        </w:rPr>
      </w:pPr>
      <w:r w:rsidRPr="00982B39">
        <w:rPr>
          <w:rFonts w:eastAsia="Times New Roman"/>
          <w:lang w:eastAsia="de-DE"/>
        </w:rPr>
        <w:t xml:space="preserve">Exkurs: </w:t>
      </w:r>
      <w:r w:rsidRPr="00F06C27">
        <w:rPr>
          <w:rFonts w:eastAsia="Times New Roman"/>
          <w:i w:val="0"/>
          <w:iCs w:val="0"/>
          <w:rtl/>
          <w:lang w:eastAsia="de-DE"/>
        </w:rPr>
        <w:t>בְּיָד רָמָה</w:t>
      </w:r>
      <w:r w:rsidRPr="00982B39">
        <w:rPr>
          <w:rFonts w:eastAsia="Times New Roman"/>
          <w:lang w:eastAsia="de-DE"/>
        </w:rPr>
        <w:t xml:space="preserve"> – "Mit erhobener Hand"</w:t>
      </w:r>
    </w:p>
    <w:p w14:paraId="63784159" w14:textId="77777777" w:rsidR="00982B39" w:rsidRP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Numeri 15,30:</w:t>
      </w:r>
    </w:p>
    <w:p w14:paraId="176FD32B" w14:textId="77777777" w:rsidR="00982B39" w:rsidRPr="00982B39" w:rsidRDefault="00982B39" w:rsidP="00982B39">
      <w:pPr>
        <w:spacing w:beforeAutospacing="1" w:after="100" w:afterAutospacing="1" w:line="240" w:lineRule="auto"/>
        <w:rPr>
          <w:rFonts w:eastAsia="Times New Roman" w:cs="Times New Roman"/>
          <w:lang w:eastAsia="de-DE"/>
        </w:rPr>
      </w:pPr>
      <w:r w:rsidRPr="00982B39">
        <w:rPr>
          <w:rFonts w:eastAsia="Times New Roman" w:cs="Times New Roman"/>
          <w:rtl/>
          <w:lang w:eastAsia="de-DE"/>
        </w:rPr>
        <w:t>וְהַנֶּפֶשׁ אֲשֶׁר־תַּעֲשֶׂה בְּיָד רָמָה</w:t>
      </w:r>
      <w:r w:rsidRPr="00982B39">
        <w:rPr>
          <w:rFonts w:eastAsia="Times New Roman" w:cs="Times New Roman"/>
          <w:lang w:eastAsia="de-DE"/>
        </w:rPr>
        <w:br/>
        <w:t xml:space="preserve">"Aber die Person, die </w:t>
      </w:r>
      <w:r w:rsidRPr="00982B39">
        <w:rPr>
          <w:rFonts w:eastAsia="Times New Roman" w:cs="Times New Roman"/>
          <w:b/>
          <w:bCs/>
          <w:lang w:eastAsia="de-DE"/>
        </w:rPr>
        <w:t>mit erhobener Hand</w:t>
      </w:r>
      <w:r w:rsidRPr="00982B39">
        <w:rPr>
          <w:rFonts w:eastAsia="Times New Roman" w:cs="Times New Roman"/>
          <w:lang w:eastAsia="de-DE"/>
        </w:rPr>
        <w:t xml:space="preserve"> handelt..."</w:t>
      </w:r>
    </w:p>
    <w:p w14:paraId="3804D850" w14:textId="77777777" w:rsidR="00982B39" w:rsidRP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Wörtlich:</w:t>
      </w:r>
    </w:p>
    <w:p w14:paraId="2CEB37AD" w14:textId="77777777" w:rsidR="00982B39" w:rsidRPr="00982B39" w:rsidRDefault="00982B39" w:rsidP="00077755">
      <w:pPr>
        <w:numPr>
          <w:ilvl w:val="0"/>
          <w:numId w:val="131"/>
        </w:numPr>
        <w:spacing w:before="100" w:beforeAutospacing="1" w:after="100" w:afterAutospacing="1" w:line="240" w:lineRule="auto"/>
        <w:rPr>
          <w:rFonts w:eastAsia="Times New Roman" w:cs="Times New Roman"/>
          <w:lang w:eastAsia="de-DE"/>
        </w:rPr>
      </w:pPr>
      <w:r w:rsidRPr="00982B39">
        <w:rPr>
          <w:rFonts w:eastAsia="Times New Roman" w:cs="Times New Roman"/>
          <w:b/>
          <w:bCs/>
          <w:rtl/>
          <w:lang w:eastAsia="de-DE"/>
        </w:rPr>
        <w:t>בְּ</w:t>
      </w:r>
      <w:r w:rsidRPr="00982B39">
        <w:rPr>
          <w:rFonts w:eastAsia="Times New Roman" w:cs="Times New Roman"/>
          <w:rtl/>
          <w:lang w:eastAsia="de-DE"/>
        </w:rPr>
        <w:t xml:space="preserve"> </w:t>
      </w:r>
      <w:r w:rsidRPr="00982B39">
        <w:rPr>
          <w:rFonts w:eastAsia="Times New Roman" w:cs="Times New Roman"/>
          <w:lang w:eastAsia="de-DE"/>
        </w:rPr>
        <w:t>= mit</w:t>
      </w:r>
    </w:p>
    <w:p w14:paraId="56C3ADAE" w14:textId="77777777" w:rsidR="00982B39" w:rsidRPr="00982B39" w:rsidRDefault="00982B39" w:rsidP="00077755">
      <w:pPr>
        <w:numPr>
          <w:ilvl w:val="0"/>
          <w:numId w:val="131"/>
        </w:numPr>
        <w:spacing w:before="100" w:beforeAutospacing="1" w:after="100" w:afterAutospacing="1" w:line="240" w:lineRule="auto"/>
        <w:rPr>
          <w:rFonts w:eastAsia="Times New Roman" w:cs="Times New Roman"/>
          <w:lang w:eastAsia="de-DE"/>
        </w:rPr>
      </w:pPr>
      <w:r w:rsidRPr="00982B39">
        <w:rPr>
          <w:rFonts w:eastAsia="Times New Roman" w:cs="Times New Roman"/>
          <w:b/>
          <w:bCs/>
          <w:rtl/>
          <w:lang w:eastAsia="de-DE"/>
        </w:rPr>
        <w:t>יָד</w:t>
      </w:r>
      <w:r w:rsidRPr="00982B39">
        <w:rPr>
          <w:rFonts w:eastAsia="Times New Roman" w:cs="Times New Roman"/>
          <w:rtl/>
          <w:lang w:eastAsia="de-DE"/>
        </w:rPr>
        <w:t xml:space="preserve"> </w:t>
      </w:r>
      <w:r w:rsidRPr="00982B39">
        <w:rPr>
          <w:rFonts w:eastAsia="Times New Roman" w:cs="Times New Roman"/>
          <w:lang w:eastAsia="de-DE"/>
        </w:rPr>
        <w:t>= Hand</w:t>
      </w:r>
    </w:p>
    <w:p w14:paraId="2BEAD124" w14:textId="77777777" w:rsidR="00982B39" w:rsidRPr="00982B39" w:rsidRDefault="00982B39" w:rsidP="00077755">
      <w:pPr>
        <w:numPr>
          <w:ilvl w:val="0"/>
          <w:numId w:val="131"/>
        </w:numPr>
        <w:spacing w:before="100" w:beforeAutospacing="1" w:after="100" w:afterAutospacing="1" w:line="240" w:lineRule="auto"/>
        <w:rPr>
          <w:rFonts w:eastAsia="Times New Roman" w:cs="Times New Roman"/>
          <w:lang w:eastAsia="de-DE"/>
        </w:rPr>
      </w:pPr>
      <w:r w:rsidRPr="00982B39">
        <w:rPr>
          <w:rFonts w:eastAsia="Times New Roman" w:cs="Times New Roman"/>
          <w:b/>
          <w:bCs/>
          <w:rtl/>
          <w:lang w:eastAsia="de-DE"/>
        </w:rPr>
        <w:t>רָמָה</w:t>
      </w:r>
      <w:r w:rsidRPr="00982B39">
        <w:rPr>
          <w:rFonts w:eastAsia="Times New Roman" w:cs="Times New Roman"/>
          <w:rtl/>
          <w:lang w:eastAsia="de-DE"/>
        </w:rPr>
        <w:t xml:space="preserve"> </w:t>
      </w:r>
      <w:r w:rsidRPr="00982B39">
        <w:rPr>
          <w:rFonts w:eastAsia="Times New Roman" w:cs="Times New Roman"/>
          <w:lang w:eastAsia="de-DE"/>
        </w:rPr>
        <w:t xml:space="preserve">= erhoben (von </w:t>
      </w:r>
      <w:r w:rsidRPr="00982B39">
        <w:rPr>
          <w:rFonts w:eastAsia="Times New Roman" w:cs="Times New Roman"/>
          <w:rtl/>
          <w:lang w:eastAsia="de-DE"/>
        </w:rPr>
        <w:t>רום</w:t>
      </w:r>
      <w:r w:rsidRPr="00982B39">
        <w:rPr>
          <w:rFonts w:eastAsia="Times New Roman" w:cs="Times New Roman"/>
          <w:lang w:eastAsia="de-DE"/>
        </w:rPr>
        <w:t xml:space="preserve"> = hoch sein)</w:t>
      </w:r>
    </w:p>
    <w:p w14:paraId="6A661F41" w14:textId="77777777" w:rsidR="00982B39" w:rsidRP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Bedeutung:</w:t>
      </w:r>
    </w:p>
    <w:p w14:paraId="6AC9DDE6" w14:textId="77777777" w:rsidR="00982B39" w:rsidRP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lastRenderedPageBreak/>
        <w:t>1. Wörtlich:</w:t>
      </w:r>
      <w:r w:rsidRPr="00982B39">
        <w:rPr>
          <w:rFonts w:eastAsia="Times New Roman" w:cs="Times New Roman"/>
          <w:lang w:eastAsia="de-DE"/>
        </w:rPr>
        <w:t xml:space="preserve"> "Mit erhobener Hand" → </w:t>
      </w:r>
      <w:r w:rsidRPr="00982B39">
        <w:rPr>
          <w:rFonts w:eastAsia="Times New Roman" w:cs="Times New Roman"/>
          <w:b/>
          <w:bCs/>
          <w:lang w:eastAsia="de-DE"/>
        </w:rPr>
        <w:t>offenkundig, demonstrativ</w:t>
      </w:r>
    </w:p>
    <w:p w14:paraId="5D529FDD" w14:textId="77777777" w:rsidR="00982B39" w:rsidRP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2. Idiomatisch:</w:t>
      </w:r>
      <w:r w:rsidRPr="00982B39">
        <w:rPr>
          <w:rFonts w:eastAsia="Times New Roman" w:cs="Times New Roman"/>
          <w:lang w:eastAsia="de-DE"/>
        </w:rPr>
        <w:t xml:space="preserve"> "</w:t>
      </w:r>
      <w:r w:rsidRPr="00982B39">
        <w:rPr>
          <w:rFonts w:eastAsia="Times New Roman" w:cs="Times New Roman"/>
          <w:b/>
          <w:bCs/>
          <w:lang w:eastAsia="de-DE"/>
        </w:rPr>
        <w:t>Vorsätzlich, trotz, frech, rebellisch</w:t>
      </w:r>
      <w:r w:rsidRPr="00982B39">
        <w:rPr>
          <w:rFonts w:eastAsia="Times New Roman" w:cs="Times New Roman"/>
          <w:lang w:eastAsia="de-DE"/>
        </w:rPr>
        <w:t>"</w:t>
      </w:r>
    </w:p>
    <w:p w14:paraId="45CBBCEC" w14:textId="6974B12A"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b/>
          <w:bCs/>
          <w:lang w:eastAsia="de-DE"/>
        </w:rPr>
        <w:t>Andere biblische Verwendungen:</w:t>
      </w:r>
    </w:p>
    <w:tbl>
      <w:tblPr>
        <w:tblStyle w:val="Tabellenraster"/>
        <w:tblW w:w="4994" w:type="pct"/>
        <w:tblLook w:val="04A0" w:firstRow="1" w:lastRow="0" w:firstColumn="1" w:lastColumn="0" w:noHBand="0" w:noVBand="1"/>
      </w:tblPr>
      <w:tblGrid>
        <w:gridCol w:w="1414"/>
        <w:gridCol w:w="2694"/>
        <w:gridCol w:w="2409"/>
        <w:gridCol w:w="2534"/>
      </w:tblGrid>
      <w:tr w:rsidR="00982B39" w14:paraId="2BEE4256" w14:textId="77777777" w:rsidTr="00982B39">
        <w:tc>
          <w:tcPr>
            <w:tcW w:w="781" w:type="pct"/>
            <w:vAlign w:val="center"/>
          </w:tcPr>
          <w:p w14:paraId="27DE63EE" w14:textId="53CAD967"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Stelle</w:t>
            </w:r>
          </w:p>
        </w:tc>
        <w:tc>
          <w:tcPr>
            <w:tcW w:w="1488" w:type="pct"/>
            <w:vAlign w:val="center"/>
          </w:tcPr>
          <w:p w14:paraId="19AC6BDE" w14:textId="280318DD"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Hebräisch</w:t>
            </w:r>
          </w:p>
        </w:tc>
        <w:tc>
          <w:tcPr>
            <w:tcW w:w="1331" w:type="pct"/>
            <w:vAlign w:val="center"/>
          </w:tcPr>
          <w:p w14:paraId="06B2E54A" w14:textId="19DDA4F6"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Kontext</w:t>
            </w:r>
          </w:p>
        </w:tc>
        <w:tc>
          <w:tcPr>
            <w:tcW w:w="1400" w:type="pct"/>
            <w:vAlign w:val="center"/>
          </w:tcPr>
          <w:p w14:paraId="1812FFDB" w14:textId="670E4090"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Bedeutung</w:t>
            </w:r>
          </w:p>
        </w:tc>
      </w:tr>
      <w:tr w:rsidR="00982B39" w14:paraId="31915D80" w14:textId="77777777" w:rsidTr="00982B39">
        <w:tc>
          <w:tcPr>
            <w:tcW w:w="781" w:type="pct"/>
            <w:vAlign w:val="center"/>
          </w:tcPr>
          <w:p w14:paraId="6E73A58C" w14:textId="6DC02445"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Ex 14,8</w:t>
            </w:r>
          </w:p>
        </w:tc>
        <w:tc>
          <w:tcPr>
            <w:tcW w:w="1488" w:type="pct"/>
            <w:vAlign w:val="center"/>
          </w:tcPr>
          <w:p w14:paraId="65A2D090" w14:textId="7F3C6831"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rtl/>
                <w:lang w:eastAsia="de-DE"/>
              </w:rPr>
              <w:t>וּבְנֵי יִשְׂרָאֵל יֹצְאִים בְּיָד רָמָה</w:t>
            </w:r>
          </w:p>
        </w:tc>
        <w:tc>
          <w:tcPr>
            <w:tcW w:w="1331" w:type="pct"/>
            <w:vAlign w:val="center"/>
          </w:tcPr>
          <w:p w14:paraId="322802F3" w14:textId="4B762D31"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Exodus aus Ägypten</w:t>
            </w:r>
          </w:p>
        </w:tc>
        <w:tc>
          <w:tcPr>
            <w:tcW w:w="1400" w:type="pct"/>
            <w:vAlign w:val="center"/>
          </w:tcPr>
          <w:p w14:paraId="4405E790" w14:textId="0FB0815A"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 xml:space="preserve">Israel zog </w:t>
            </w:r>
            <w:r w:rsidRPr="00982B39">
              <w:rPr>
                <w:rFonts w:eastAsia="Times New Roman" w:cs="Times New Roman"/>
                <w:b/>
                <w:bCs/>
                <w:lang w:eastAsia="de-DE"/>
              </w:rPr>
              <w:t>triumphierend</w:t>
            </w:r>
            <w:r w:rsidRPr="00982B39">
              <w:rPr>
                <w:rFonts w:eastAsia="Times New Roman" w:cs="Times New Roman"/>
                <w:lang w:eastAsia="de-DE"/>
              </w:rPr>
              <w:t xml:space="preserve"> aus</w:t>
            </w:r>
          </w:p>
        </w:tc>
      </w:tr>
      <w:tr w:rsidR="00982B39" w14:paraId="65114AAF" w14:textId="77777777" w:rsidTr="00982B39">
        <w:tc>
          <w:tcPr>
            <w:tcW w:w="781" w:type="pct"/>
            <w:vAlign w:val="center"/>
          </w:tcPr>
          <w:p w14:paraId="30BCB757" w14:textId="4F6C8C0F"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Num 33,3</w:t>
            </w:r>
          </w:p>
        </w:tc>
        <w:tc>
          <w:tcPr>
            <w:tcW w:w="1488" w:type="pct"/>
            <w:vAlign w:val="center"/>
          </w:tcPr>
          <w:p w14:paraId="52D25527" w14:textId="1245F750"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rtl/>
                <w:lang w:eastAsia="de-DE"/>
              </w:rPr>
              <w:t>יָצְאוּ בְּיָד רָמָה לְעֵינֵי כָּל־מִצְרַיִם</w:t>
            </w:r>
          </w:p>
        </w:tc>
        <w:tc>
          <w:tcPr>
            <w:tcW w:w="1331" w:type="pct"/>
            <w:vAlign w:val="center"/>
          </w:tcPr>
          <w:p w14:paraId="6A199D1F" w14:textId="212D8611"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Exodus</w:t>
            </w:r>
          </w:p>
        </w:tc>
        <w:tc>
          <w:tcPr>
            <w:tcW w:w="1400" w:type="pct"/>
            <w:vAlign w:val="center"/>
          </w:tcPr>
          <w:p w14:paraId="73AD93F0" w14:textId="6A7CF105"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 xml:space="preserve">Israel zog </w:t>
            </w:r>
            <w:r w:rsidRPr="00982B39">
              <w:rPr>
                <w:rFonts w:eastAsia="Times New Roman" w:cs="Times New Roman"/>
                <w:b/>
                <w:bCs/>
                <w:lang w:eastAsia="de-DE"/>
              </w:rPr>
              <w:t>öffentlich, ungehindert</w:t>
            </w:r>
            <w:r w:rsidRPr="00982B39">
              <w:rPr>
                <w:rFonts w:eastAsia="Times New Roman" w:cs="Times New Roman"/>
                <w:lang w:eastAsia="de-DE"/>
              </w:rPr>
              <w:t xml:space="preserve"> aus</w:t>
            </w:r>
          </w:p>
        </w:tc>
      </w:tr>
      <w:tr w:rsidR="00982B39" w14:paraId="5AAB0B30" w14:textId="77777777" w:rsidTr="00982B39">
        <w:tc>
          <w:tcPr>
            <w:tcW w:w="781" w:type="pct"/>
            <w:vAlign w:val="center"/>
          </w:tcPr>
          <w:p w14:paraId="636AF603" w14:textId="56374B85"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Num 15,30</w:t>
            </w:r>
          </w:p>
        </w:tc>
        <w:tc>
          <w:tcPr>
            <w:tcW w:w="1488" w:type="pct"/>
            <w:vAlign w:val="center"/>
          </w:tcPr>
          <w:p w14:paraId="196CB426" w14:textId="22590D14"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rtl/>
                <w:lang w:eastAsia="de-DE"/>
              </w:rPr>
              <w:t>אֲשֶׁר־תַּעֲשֶׂה בְּיָד רָמָה</w:t>
            </w:r>
          </w:p>
        </w:tc>
        <w:tc>
          <w:tcPr>
            <w:tcW w:w="1331" w:type="pct"/>
            <w:vAlign w:val="center"/>
          </w:tcPr>
          <w:p w14:paraId="7A47CE39" w14:textId="4D5770FC"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Vorsätzliche Sünde</w:t>
            </w:r>
          </w:p>
        </w:tc>
        <w:tc>
          <w:tcPr>
            <w:tcW w:w="1400" w:type="pct"/>
            <w:vAlign w:val="center"/>
          </w:tcPr>
          <w:p w14:paraId="2FBF584B" w14:textId="2E9660A5" w:rsid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Trotzige, rebellische</w:t>
            </w:r>
            <w:r w:rsidRPr="00982B39">
              <w:rPr>
                <w:rFonts w:eastAsia="Times New Roman" w:cs="Times New Roman"/>
                <w:lang w:eastAsia="de-DE"/>
              </w:rPr>
              <w:t xml:space="preserve"> Sünde</w:t>
            </w:r>
          </w:p>
        </w:tc>
      </w:tr>
    </w:tbl>
    <w:p w14:paraId="3CBD8EB8" w14:textId="77777777" w:rsidR="00982B39" w:rsidRPr="00982B39" w:rsidRDefault="00982B39" w:rsidP="00982B39">
      <w:pPr>
        <w:pStyle w:val="KeinLeerraum"/>
        <w:rPr>
          <w:lang w:eastAsia="de-DE"/>
        </w:rPr>
      </w:pPr>
    </w:p>
    <w:p w14:paraId="3584DF57" w14:textId="1C3BD7FC"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b/>
          <w:bCs/>
          <w:lang w:eastAsia="de-DE"/>
        </w:rPr>
        <w:t>Kontrast:</w:t>
      </w:r>
    </w:p>
    <w:tbl>
      <w:tblPr>
        <w:tblStyle w:val="Tabellenraster"/>
        <w:tblW w:w="4994" w:type="pct"/>
        <w:tblLook w:val="04A0" w:firstRow="1" w:lastRow="0" w:firstColumn="1" w:lastColumn="0" w:noHBand="0" w:noVBand="1"/>
      </w:tblPr>
      <w:tblGrid>
        <w:gridCol w:w="1631"/>
        <w:gridCol w:w="2051"/>
        <w:gridCol w:w="2692"/>
        <w:gridCol w:w="2677"/>
      </w:tblGrid>
      <w:tr w:rsidR="00982B39" w14:paraId="6A8278FD" w14:textId="77777777" w:rsidTr="00982B39">
        <w:tc>
          <w:tcPr>
            <w:tcW w:w="901" w:type="pct"/>
            <w:vAlign w:val="center"/>
          </w:tcPr>
          <w:p w14:paraId="2266AF28" w14:textId="2F96EFE7"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b/>
                <w:bCs/>
                <w:lang w:eastAsia="de-DE"/>
              </w:rPr>
              <w:t>Sündenart</w:t>
            </w:r>
          </w:p>
        </w:tc>
        <w:tc>
          <w:tcPr>
            <w:tcW w:w="1133" w:type="pct"/>
            <w:vAlign w:val="center"/>
          </w:tcPr>
          <w:p w14:paraId="585A642D" w14:textId="4C7E4CA1"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b/>
                <w:bCs/>
                <w:lang w:eastAsia="de-DE"/>
              </w:rPr>
              <w:t>Hebräisch</w:t>
            </w:r>
          </w:p>
        </w:tc>
        <w:tc>
          <w:tcPr>
            <w:tcW w:w="1487" w:type="pct"/>
            <w:vAlign w:val="center"/>
          </w:tcPr>
          <w:p w14:paraId="1EC1F99A" w14:textId="244EA2EB"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b/>
                <w:bCs/>
                <w:lang w:eastAsia="de-DE"/>
              </w:rPr>
              <w:t>Bedeutung</w:t>
            </w:r>
          </w:p>
        </w:tc>
        <w:tc>
          <w:tcPr>
            <w:tcW w:w="1479" w:type="pct"/>
            <w:vAlign w:val="center"/>
          </w:tcPr>
          <w:p w14:paraId="129147F7" w14:textId="77CCD075"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b/>
                <w:bCs/>
                <w:lang w:eastAsia="de-DE"/>
              </w:rPr>
              <w:t>Vergebung?</w:t>
            </w:r>
          </w:p>
        </w:tc>
      </w:tr>
      <w:tr w:rsidR="00982B39" w14:paraId="7BB15D94" w14:textId="77777777" w:rsidTr="00982B39">
        <w:tc>
          <w:tcPr>
            <w:tcW w:w="901" w:type="pct"/>
            <w:vAlign w:val="center"/>
          </w:tcPr>
          <w:p w14:paraId="2A686CD6" w14:textId="7533D8DF"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b/>
                <w:bCs/>
                <w:lang w:eastAsia="de-DE"/>
              </w:rPr>
              <w:t>Unabsichtlich</w:t>
            </w:r>
          </w:p>
        </w:tc>
        <w:tc>
          <w:tcPr>
            <w:tcW w:w="1133" w:type="pct"/>
            <w:vAlign w:val="center"/>
          </w:tcPr>
          <w:p w14:paraId="032408F1" w14:textId="6113DF81"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rtl/>
                <w:lang w:eastAsia="de-DE"/>
              </w:rPr>
              <w:t>בִּשְׁגָגָה</w:t>
            </w:r>
            <w:r w:rsidRPr="00982B39">
              <w:rPr>
                <w:rFonts w:eastAsia="Times New Roman" w:cs="Times New Roman"/>
                <w:lang w:eastAsia="de-DE"/>
              </w:rPr>
              <w:t xml:space="preserve"> (V. 22-29)</w:t>
            </w:r>
          </w:p>
        </w:tc>
        <w:tc>
          <w:tcPr>
            <w:tcW w:w="1487" w:type="pct"/>
            <w:vAlign w:val="center"/>
          </w:tcPr>
          <w:p w14:paraId="1877A5B3" w14:textId="52723D17"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lang w:eastAsia="de-DE"/>
              </w:rPr>
              <w:t xml:space="preserve">Aus </w:t>
            </w:r>
            <w:r w:rsidRPr="00982B39">
              <w:rPr>
                <w:rFonts w:eastAsia="Times New Roman" w:cs="Times New Roman"/>
                <w:b/>
                <w:bCs/>
                <w:lang w:eastAsia="de-DE"/>
              </w:rPr>
              <w:t>Versehen, Unwissenheit</w:t>
            </w:r>
          </w:p>
        </w:tc>
        <w:tc>
          <w:tcPr>
            <w:tcW w:w="1479" w:type="pct"/>
            <w:vAlign w:val="center"/>
          </w:tcPr>
          <w:p w14:paraId="411C7495" w14:textId="039E8469" w:rsidR="00982B39" w:rsidRDefault="00982B39" w:rsidP="00982B39">
            <w:pPr>
              <w:spacing w:before="100" w:beforeAutospacing="1" w:after="100" w:afterAutospacing="1" w:line="240" w:lineRule="auto"/>
              <w:rPr>
                <w:rFonts w:eastAsia="Times New Roman" w:cs="Times New Roman"/>
                <w:b/>
                <w:bCs/>
                <w:lang w:eastAsia="de-DE"/>
              </w:rPr>
            </w:pPr>
            <w:r w:rsidRPr="00982B39">
              <w:rPr>
                <w:rFonts w:ascii="Segoe UI Emoji" w:eastAsia="Times New Roman" w:hAnsi="Segoe UI Emoji" w:cs="Segoe UI Emoji"/>
                <w:lang w:eastAsia="de-DE"/>
              </w:rPr>
              <w:t>✅</w:t>
            </w:r>
            <w:r w:rsidRPr="00982B39">
              <w:rPr>
                <w:rFonts w:eastAsia="Times New Roman" w:cs="Times New Roman"/>
                <w:lang w:eastAsia="de-DE"/>
              </w:rPr>
              <w:t xml:space="preserve"> </w:t>
            </w:r>
            <w:r w:rsidRPr="00982B39">
              <w:rPr>
                <w:rFonts w:eastAsia="Times New Roman" w:cs="Times New Roman"/>
                <w:b/>
                <w:bCs/>
                <w:lang w:eastAsia="de-DE"/>
              </w:rPr>
              <w:t>Ja</w:t>
            </w:r>
            <w:r w:rsidRPr="00982B39">
              <w:rPr>
                <w:rFonts w:eastAsia="Times New Roman" w:cs="Times New Roman"/>
                <w:lang w:eastAsia="de-DE"/>
              </w:rPr>
              <w:t xml:space="preserve"> (durch Sündopfer)</w:t>
            </w:r>
          </w:p>
        </w:tc>
      </w:tr>
      <w:tr w:rsidR="00982B39" w14:paraId="207DCA60" w14:textId="77777777" w:rsidTr="00982B39">
        <w:tc>
          <w:tcPr>
            <w:tcW w:w="901" w:type="pct"/>
            <w:vAlign w:val="center"/>
          </w:tcPr>
          <w:p w14:paraId="5E5FF4B8" w14:textId="734A5694"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b/>
                <w:bCs/>
                <w:lang w:eastAsia="de-DE"/>
              </w:rPr>
              <w:t>Vorsätzlich</w:t>
            </w:r>
          </w:p>
        </w:tc>
        <w:tc>
          <w:tcPr>
            <w:tcW w:w="1133" w:type="pct"/>
            <w:vAlign w:val="center"/>
          </w:tcPr>
          <w:p w14:paraId="223C1DB9" w14:textId="05E872F1"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rtl/>
                <w:lang w:eastAsia="de-DE"/>
              </w:rPr>
              <w:t>בְּיָד רָמָה</w:t>
            </w:r>
            <w:r w:rsidRPr="00982B39">
              <w:rPr>
                <w:rFonts w:eastAsia="Times New Roman" w:cs="Times New Roman"/>
                <w:lang w:eastAsia="de-DE"/>
              </w:rPr>
              <w:t xml:space="preserve"> (V. 30-31)</w:t>
            </w:r>
          </w:p>
        </w:tc>
        <w:tc>
          <w:tcPr>
            <w:tcW w:w="1487" w:type="pct"/>
            <w:vAlign w:val="center"/>
          </w:tcPr>
          <w:p w14:paraId="774D04BE" w14:textId="418E2EBD" w:rsidR="00982B39" w:rsidRDefault="00982B39" w:rsidP="00982B39">
            <w:pPr>
              <w:spacing w:before="100" w:beforeAutospacing="1" w:after="100" w:afterAutospacing="1" w:line="240" w:lineRule="auto"/>
              <w:rPr>
                <w:rFonts w:eastAsia="Times New Roman" w:cs="Times New Roman"/>
                <w:b/>
                <w:bCs/>
                <w:lang w:eastAsia="de-DE"/>
              </w:rPr>
            </w:pPr>
            <w:r w:rsidRPr="00982B39">
              <w:rPr>
                <w:rFonts w:eastAsia="Times New Roman" w:cs="Times New Roman"/>
                <w:lang w:eastAsia="de-DE"/>
              </w:rPr>
              <w:t xml:space="preserve">Mit </w:t>
            </w:r>
            <w:r w:rsidRPr="00982B39">
              <w:rPr>
                <w:rFonts w:eastAsia="Times New Roman" w:cs="Times New Roman"/>
                <w:b/>
                <w:bCs/>
                <w:lang w:eastAsia="de-DE"/>
              </w:rPr>
              <w:t>erhobener Hand, trotzigem Widerstand</w:t>
            </w:r>
          </w:p>
        </w:tc>
        <w:tc>
          <w:tcPr>
            <w:tcW w:w="1479" w:type="pct"/>
            <w:vAlign w:val="center"/>
          </w:tcPr>
          <w:p w14:paraId="60BBD240" w14:textId="06A3E26E" w:rsidR="00982B39" w:rsidRDefault="00982B39" w:rsidP="00982B39">
            <w:pPr>
              <w:spacing w:before="100" w:beforeAutospacing="1" w:after="100" w:afterAutospacing="1" w:line="240" w:lineRule="auto"/>
              <w:rPr>
                <w:rFonts w:eastAsia="Times New Roman" w:cs="Times New Roman"/>
                <w:b/>
                <w:bCs/>
                <w:lang w:eastAsia="de-DE"/>
              </w:rPr>
            </w:pPr>
            <w:r w:rsidRPr="00982B39">
              <w:rPr>
                <w:rFonts w:ascii="Segoe UI Emoji" w:eastAsia="Times New Roman" w:hAnsi="Segoe UI Emoji" w:cs="Segoe UI Emoji"/>
                <w:lang w:eastAsia="de-DE"/>
              </w:rPr>
              <w:t>❌</w:t>
            </w:r>
            <w:r w:rsidRPr="00982B39">
              <w:rPr>
                <w:rFonts w:eastAsia="Times New Roman" w:cs="Times New Roman"/>
                <w:lang w:eastAsia="de-DE"/>
              </w:rPr>
              <w:t xml:space="preserve"> </w:t>
            </w:r>
            <w:r w:rsidRPr="00982B39">
              <w:rPr>
                <w:rFonts w:eastAsia="Times New Roman" w:cs="Times New Roman"/>
                <w:b/>
                <w:bCs/>
                <w:lang w:eastAsia="de-DE"/>
              </w:rPr>
              <w:t>Nein</w:t>
            </w:r>
            <w:r w:rsidRPr="00982B39">
              <w:rPr>
                <w:rFonts w:eastAsia="Times New Roman" w:cs="Times New Roman"/>
                <w:lang w:eastAsia="de-DE"/>
              </w:rPr>
              <w:t xml:space="preserve"> (Ausrottung!)</w:t>
            </w:r>
          </w:p>
        </w:tc>
      </w:tr>
    </w:tbl>
    <w:p w14:paraId="64201D42" w14:textId="77777777" w:rsidR="00982B39" w:rsidRPr="00982B39" w:rsidRDefault="00982B39" w:rsidP="00982B39">
      <w:pPr>
        <w:pStyle w:val="KeinLeerraum"/>
        <w:rPr>
          <w:lang w:eastAsia="de-DE"/>
        </w:rPr>
      </w:pPr>
    </w:p>
    <w:p w14:paraId="4160D480" w14:textId="77777777" w:rsidR="00982B39" w:rsidRP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Theologische Bedeutung:</w:t>
      </w:r>
    </w:p>
    <w:p w14:paraId="3AC51209" w14:textId="77777777" w:rsidR="00982B39" w:rsidRP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1. Positive Verwendung (Ex 14,8; Num 33,3):</w:t>
      </w:r>
    </w:p>
    <w:p w14:paraId="3551AD73" w14:textId="77777777" w:rsidR="00982B39" w:rsidRPr="00982B39" w:rsidRDefault="00982B39" w:rsidP="00077755">
      <w:pPr>
        <w:numPr>
          <w:ilvl w:val="0"/>
          <w:numId w:val="132"/>
        </w:num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 xml:space="preserve">Israel zog </w:t>
      </w:r>
      <w:r w:rsidRPr="00982B39">
        <w:rPr>
          <w:rFonts w:eastAsia="Times New Roman" w:cs="Times New Roman"/>
          <w:b/>
          <w:bCs/>
          <w:lang w:eastAsia="de-DE"/>
        </w:rPr>
        <w:t>mit erhobener Hand</w:t>
      </w:r>
      <w:r w:rsidRPr="00982B39">
        <w:rPr>
          <w:rFonts w:eastAsia="Times New Roman" w:cs="Times New Roman"/>
          <w:lang w:eastAsia="de-DE"/>
        </w:rPr>
        <w:t xml:space="preserve"> aus Ägypten = </w:t>
      </w:r>
      <w:r w:rsidRPr="00982B39">
        <w:rPr>
          <w:rFonts w:eastAsia="Times New Roman" w:cs="Times New Roman"/>
          <w:b/>
          <w:bCs/>
          <w:lang w:eastAsia="de-DE"/>
        </w:rPr>
        <w:t>triumphierend, befreit, öffentlich</w:t>
      </w:r>
    </w:p>
    <w:p w14:paraId="1977E7E0" w14:textId="77777777" w:rsidR="00982B39" w:rsidRPr="00982B39" w:rsidRDefault="00982B39" w:rsidP="00077755">
      <w:pPr>
        <w:numPr>
          <w:ilvl w:val="0"/>
          <w:numId w:val="132"/>
        </w:num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 xml:space="preserve">→ Gott führte sie </w:t>
      </w:r>
      <w:r w:rsidRPr="00982B39">
        <w:rPr>
          <w:rFonts w:eastAsia="Times New Roman" w:cs="Times New Roman"/>
          <w:b/>
          <w:bCs/>
          <w:lang w:eastAsia="de-DE"/>
        </w:rPr>
        <w:t>sichtbar, mächtig</w:t>
      </w:r>
      <w:r w:rsidRPr="00982B39">
        <w:rPr>
          <w:rFonts w:eastAsia="Times New Roman" w:cs="Times New Roman"/>
          <w:lang w:eastAsia="de-DE"/>
        </w:rPr>
        <w:t xml:space="preserve"> heraus</w:t>
      </w:r>
    </w:p>
    <w:p w14:paraId="280740B6" w14:textId="77777777" w:rsidR="00982B39" w:rsidRP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2. Negative Verwendung (Num 15,30):</w:t>
      </w:r>
    </w:p>
    <w:p w14:paraId="394A52C5" w14:textId="77777777" w:rsidR="00982B39" w:rsidRPr="00982B39" w:rsidRDefault="00982B39" w:rsidP="00077755">
      <w:pPr>
        <w:numPr>
          <w:ilvl w:val="0"/>
          <w:numId w:val="133"/>
        </w:num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 xml:space="preserve">Sünde </w:t>
      </w:r>
      <w:r w:rsidRPr="00982B39">
        <w:rPr>
          <w:rFonts w:eastAsia="Times New Roman" w:cs="Times New Roman"/>
          <w:b/>
          <w:bCs/>
          <w:lang w:eastAsia="de-DE"/>
        </w:rPr>
        <w:t>mit erhobener Hand</w:t>
      </w:r>
      <w:r w:rsidRPr="00982B39">
        <w:rPr>
          <w:rFonts w:eastAsia="Times New Roman" w:cs="Times New Roman"/>
          <w:lang w:eastAsia="de-DE"/>
        </w:rPr>
        <w:t xml:space="preserve"> = </w:t>
      </w:r>
      <w:r w:rsidRPr="00982B39">
        <w:rPr>
          <w:rFonts w:eastAsia="Times New Roman" w:cs="Times New Roman"/>
          <w:b/>
          <w:bCs/>
          <w:lang w:eastAsia="de-DE"/>
        </w:rPr>
        <w:t>trotzige Rebellion gegen Gott</w:t>
      </w:r>
    </w:p>
    <w:p w14:paraId="7356226F" w14:textId="77777777" w:rsidR="00982B39" w:rsidRPr="00982B39" w:rsidRDefault="00982B39" w:rsidP="00077755">
      <w:pPr>
        <w:numPr>
          <w:ilvl w:val="0"/>
          <w:numId w:val="133"/>
        </w:num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 xml:space="preserve">→ Direkte </w:t>
      </w:r>
      <w:r w:rsidRPr="00982B39">
        <w:rPr>
          <w:rFonts w:eastAsia="Times New Roman" w:cs="Times New Roman"/>
          <w:b/>
          <w:bCs/>
          <w:lang w:eastAsia="de-DE"/>
        </w:rPr>
        <w:t>Gotteslästerung</w:t>
      </w:r>
      <w:r w:rsidRPr="00982B39">
        <w:rPr>
          <w:rFonts w:eastAsia="Times New Roman" w:cs="Times New Roman"/>
          <w:lang w:eastAsia="de-DE"/>
        </w:rPr>
        <w:t xml:space="preserve"> (</w:t>
      </w:r>
      <w:r w:rsidRPr="00982B39">
        <w:rPr>
          <w:rFonts w:eastAsia="Times New Roman" w:cs="Times New Roman"/>
          <w:b/>
          <w:bCs/>
          <w:rtl/>
          <w:lang w:eastAsia="de-DE"/>
        </w:rPr>
        <w:t>מְגַדֵּף</w:t>
      </w:r>
      <w:r w:rsidRPr="00982B39">
        <w:rPr>
          <w:rFonts w:eastAsia="Times New Roman" w:cs="Times New Roman"/>
          <w:lang w:eastAsia="de-DE"/>
        </w:rPr>
        <w:t>)</w:t>
      </w:r>
    </w:p>
    <w:p w14:paraId="4A73F87B" w14:textId="77777777" w:rsidR="00982B39" w:rsidRPr="00982B39"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3. Ironie:</w:t>
      </w:r>
    </w:p>
    <w:p w14:paraId="5E105FC6" w14:textId="77777777" w:rsidR="00982B39" w:rsidRPr="00982B39" w:rsidRDefault="00982B39" w:rsidP="00077755">
      <w:pPr>
        <w:numPr>
          <w:ilvl w:val="0"/>
          <w:numId w:val="134"/>
        </w:num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 xml:space="preserve">Israel wurde </w:t>
      </w:r>
      <w:r w:rsidRPr="00982B39">
        <w:rPr>
          <w:rFonts w:eastAsia="Times New Roman" w:cs="Times New Roman"/>
          <w:b/>
          <w:bCs/>
          <w:lang w:eastAsia="de-DE"/>
        </w:rPr>
        <w:t>mit erhobener Hand</w:t>
      </w:r>
      <w:r w:rsidRPr="00982B39">
        <w:rPr>
          <w:rFonts w:eastAsia="Times New Roman" w:cs="Times New Roman"/>
          <w:lang w:eastAsia="de-DE"/>
        </w:rPr>
        <w:t xml:space="preserve"> (</w:t>
      </w:r>
      <w:r w:rsidRPr="00982B39">
        <w:rPr>
          <w:rFonts w:eastAsia="Times New Roman" w:cs="Times New Roman"/>
          <w:b/>
          <w:bCs/>
          <w:rtl/>
          <w:lang w:eastAsia="de-DE"/>
        </w:rPr>
        <w:t>בְּיָד</w:t>
      </w:r>
      <w:r w:rsidRPr="00982B39">
        <w:rPr>
          <w:rFonts w:eastAsia="Times New Roman" w:cs="Times New Roman"/>
          <w:rtl/>
          <w:lang w:eastAsia="de-DE"/>
        </w:rPr>
        <w:t xml:space="preserve"> </w:t>
      </w:r>
      <w:r w:rsidRPr="00982B39">
        <w:rPr>
          <w:rFonts w:eastAsia="Times New Roman" w:cs="Times New Roman"/>
          <w:b/>
          <w:bCs/>
          <w:rtl/>
          <w:lang w:eastAsia="de-DE"/>
        </w:rPr>
        <w:t>רָמָה</w:t>
      </w:r>
      <w:r w:rsidRPr="00982B39">
        <w:rPr>
          <w:rFonts w:eastAsia="Times New Roman" w:cs="Times New Roman"/>
          <w:lang w:eastAsia="de-DE"/>
        </w:rPr>
        <w:t xml:space="preserve">) </w:t>
      </w:r>
      <w:r w:rsidRPr="00982B39">
        <w:rPr>
          <w:rFonts w:eastAsia="Times New Roman" w:cs="Times New Roman"/>
          <w:b/>
          <w:bCs/>
          <w:lang w:eastAsia="de-DE"/>
        </w:rPr>
        <w:t>befreit</w:t>
      </w:r>
    </w:p>
    <w:p w14:paraId="353707A5" w14:textId="77777777" w:rsidR="00982B39" w:rsidRPr="00982B39" w:rsidRDefault="00982B39" w:rsidP="00077755">
      <w:pPr>
        <w:numPr>
          <w:ilvl w:val="0"/>
          <w:numId w:val="134"/>
        </w:numPr>
        <w:spacing w:before="100" w:beforeAutospacing="1" w:after="100" w:afterAutospacing="1" w:line="240" w:lineRule="auto"/>
        <w:rPr>
          <w:rFonts w:eastAsia="Times New Roman" w:cs="Times New Roman"/>
          <w:lang w:eastAsia="de-DE"/>
        </w:rPr>
      </w:pPr>
      <w:r w:rsidRPr="00982B39">
        <w:rPr>
          <w:rFonts w:eastAsia="Times New Roman" w:cs="Times New Roman"/>
          <w:lang w:eastAsia="de-DE"/>
        </w:rPr>
        <w:t xml:space="preserve">Wer </w:t>
      </w:r>
      <w:r w:rsidRPr="00982B39">
        <w:rPr>
          <w:rFonts w:eastAsia="Times New Roman" w:cs="Times New Roman"/>
          <w:b/>
          <w:bCs/>
          <w:lang w:eastAsia="de-DE"/>
        </w:rPr>
        <w:t>mit erhobener Hand</w:t>
      </w:r>
      <w:r w:rsidRPr="00982B39">
        <w:rPr>
          <w:rFonts w:eastAsia="Times New Roman" w:cs="Times New Roman"/>
          <w:lang w:eastAsia="de-DE"/>
        </w:rPr>
        <w:t xml:space="preserve"> (</w:t>
      </w:r>
      <w:r w:rsidRPr="00982B39">
        <w:rPr>
          <w:rFonts w:eastAsia="Times New Roman" w:cs="Times New Roman"/>
          <w:b/>
          <w:bCs/>
          <w:rtl/>
          <w:lang w:eastAsia="de-DE"/>
        </w:rPr>
        <w:t>בְּיָד</w:t>
      </w:r>
      <w:r w:rsidRPr="00982B39">
        <w:rPr>
          <w:rFonts w:eastAsia="Times New Roman" w:cs="Times New Roman"/>
          <w:rtl/>
          <w:lang w:eastAsia="de-DE"/>
        </w:rPr>
        <w:t xml:space="preserve"> </w:t>
      </w:r>
      <w:r w:rsidRPr="00982B39">
        <w:rPr>
          <w:rFonts w:eastAsia="Times New Roman" w:cs="Times New Roman"/>
          <w:b/>
          <w:bCs/>
          <w:rtl/>
          <w:lang w:eastAsia="de-DE"/>
        </w:rPr>
        <w:t>רָמָה</w:t>
      </w:r>
      <w:r w:rsidRPr="00982B39">
        <w:rPr>
          <w:rFonts w:eastAsia="Times New Roman" w:cs="Times New Roman"/>
          <w:lang w:eastAsia="de-DE"/>
        </w:rPr>
        <w:t xml:space="preserve">) </w:t>
      </w:r>
      <w:r w:rsidRPr="00982B39">
        <w:rPr>
          <w:rFonts w:eastAsia="Times New Roman" w:cs="Times New Roman"/>
          <w:b/>
          <w:bCs/>
          <w:lang w:eastAsia="de-DE"/>
        </w:rPr>
        <w:t>sündigt</w:t>
      </w:r>
      <w:r w:rsidRPr="00982B39">
        <w:rPr>
          <w:rFonts w:eastAsia="Times New Roman" w:cs="Times New Roman"/>
          <w:lang w:eastAsia="de-DE"/>
        </w:rPr>
        <w:t xml:space="preserve">, wird </w:t>
      </w:r>
      <w:r w:rsidRPr="00982B39">
        <w:rPr>
          <w:rFonts w:eastAsia="Times New Roman" w:cs="Times New Roman"/>
          <w:b/>
          <w:bCs/>
          <w:lang w:eastAsia="de-DE"/>
        </w:rPr>
        <w:t>ausgerottet</w:t>
      </w:r>
    </w:p>
    <w:p w14:paraId="4A9B1E82" w14:textId="7AFD2475" w:rsidR="00982B39" w:rsidRPr="00C22013" w:rsidRDefault="00982B39" w:rsidP="00982B39">
      <w:pPr>
        <w:spacing w:before="100" w:beforeAutospacing="1" w:after="100" w:afterAutospacing="1" w:line="240" w:lineRule="auto"/>
        <w:rPr>
          <w:rFonts w:eastAsia="Times New Roman" w:cs="Times New Roman"/>
          <w:lang w:eastAsia="de-DE"/>
        </w:rPr>
      </w:pPr>
      <w:r w:rsidRPr="00982B39">
        <w:rPr>
          <w:rFonts w:eastAsia="Times New Roman" w:cs="Times New Roman"/>
          <w:b/>
          <w:bCs/>
          <w:lang w:eastAsia="de-DE"/>
        </w:rPr>
        <w:t>→ Dieselbe "erhobene Hand", die Israel befreite, ist nun ein Symbol der Rebellion!</w:t>
      </w:r>
    </w:p>
    <w:p w14:paraId="484B7A70"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15,31</w:t>
      </w:r>
    </w:p>
    <w:p w14:paraId="12A4F06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כִּ֤י דְבַר־יְהוָה֙ בָּזָ֔ה וְאֶת־מִצְוָתוֹ֖ הֵפַ֑ר הִכָּרֵ֧ת׀ תִּכָּרֵ֛ת הַנֶּ֥פֶשׁ הַהִ֖וא עֲוֹנָ֥ה בָֽהּ׃</w:t>
      </w:r>
    </w:p>
    <w:p w14:paraId="5CA797D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Deutsch:</w:t>
      </w:r>
      <w:r w:rsidRPr="00C22013">
        <w:rPr>
          <w:rFonts w:eastAsia="Times New Roman" w:cs="Times New Roman"/>
          <w:lang w:eastAsia="de-DE"/>
        </w:rPr>
        <w:t xml:space="preserve"> Denn sie hat das Wort des Ewigen verachtet und sein Gebot gebrochen; diese Person soll gewiss ausgerottet werden, ihre Schuld ist an ihr.</w:t>
      </w:r>
    </w:p>
    <w:p w14:paraId="247875E3"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7523036C">
          <v:rect id="_x0000_i1528" style="width:0;height:1.5pt" o:hralign="center" o:hrstd="t" o:hr="t" fillcolor="#a0a0a0" stroked="f"/>
        </w:pict>
      </w:r>
    </w:p>
    <w:p w14:paraId="3C4F3F1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Begründung </w:t>
      </w:r>
      <w:r w:rsidRPr="00C22013">
        <w:rPr>
          <w:rFonts w:eastAsia="Times New Roman" w:cs="Times New Roman"/>
          <w:b/>
          <w:bCs/>
          <w:rtl/>
          <w:lang w:eastAsia="de-DE"/>
        </w:rPr>
        <w:t>כִּ֤י דְבַר־יְהוָה֙ בָּזָ֔ה וְאֶת־מִצְוָתוֹ֖ הֵפַ֑ר</w:t>
      </w:r>
      <w:r w:rsidRPr="00C22013">
        <w:rPr>
          <w:rFonts w:eastAsia="Times New Roman" w:cs="Times New Roman"/>
          <w:rtl/>
          <w:lang w:eastAsia="de-DE"/>
        </w:rPr>
        <w:t xml:space="preserve"> </w:t>
      </w:r>
      <w:r w:rsidRPr="00C22013">
        <w:rPr>
          <w:rFonts w:eastAsia="Times New Roman" w:cs="Times New Roman"/>
          <w:lang w:eastAsia="de-DE"/>
        </w:rPr>
        <w:t xml:space="preserve">(denn sie hat das Wort des Ewigen verachtet und sein Gebot gebrochen) mit </w:t>
      </w:r>
      <w:r w:rsidRPr="00C22013">
        <w:rPr>
          <w:rFonts w:eastAsia="Times New Roman" w:cs="Times New Roman"/>
          <w:b/>
          <w:bCs/>
          <w:rtl/>
          <w:lang w:eastAsia="de-DE"/>
        </w:rPr>
        <w:t>דְבַר־יְהוָה בָּזָה</w:t>
      </w:r>
      <w:r w:rsidRPr="00C22013">
        <w:rPr>
          <w:rFonts w:eastAsia="Times New Roman" w:cs="Times New Roman"/>
          <w:rtl/>
          <w:lang w:eastAsia="de-DE"/>
        </w:rPr>
        <w:t xml:space="preserve"> </w:t>
      </w:r>
      <w:r w:rsidRPr="00C22013">
        <w:rPr>
          <w:rFonts w:eastAsia="Times New Roman" w:cs="Times New Roman"/>
          <w:lang w:eastAsia="de-DE"/>
        </w:rPr>
        <w:t xml:space="preserve">(das Wort des Ewigen hat sie verachtet) von </w:t>
      </w:r>
      <w:r w:rsidRPr="00C22013">
        <w:rPr>
          <w:rFonts w:eastAsia="Times New Roman" w:cs="Times New Roman"/>
          <w:b/>
          <w:bCs/>
          <w:rtl/>
          <w:lang w:eastAsia="de-DE"/>
        </w:rPr>
        <w:t>בזה</w:t>
      </w:r>
      <w:r w:rsidRPr="00C22013">
        <w:rPr>
          <w:rFonts w:eastAsia="Times New Roman" w:cs="Times New Roman"/>
          <w:rtl/>
          <w:lang w:eastAsia="de-DE"/>
        </w:rPr>
        <w:t xml:space="preserve"> </w:t>
      </w:r>
      <w:r w:rsidRPr="00C22013">
        <w:rPr>
          <w:rFonts w:eastAsia="Times New Roman" w:cs="Times New Roman"/>
          <w:lang w:eastAsia="de-DE"/>
        </w:rPr>
        <w:t xml:space="preserve">(verachten) und </w:t>
      </w:r>
      <w:r w:rsidRPr="00C22013">
        <w:rPr>
          <w:rFonts w:eastAsia="Times New Roman" w:cs="Times New Roman"/>
          <w:b/>
          <w:bCs/>
          <w:rtl/>
          <w:lang w:eastAsia="de-DE"/>
        </w:rPr>
        <w:t>מִצְוָתוֹ הֵפַר</w:t>
      </w:r>
      <w:r w:rsidRPr="00C22013">
        <w:rPr>
          <w:rFonts w:eastAsia="Times New Roman" w:cs="Times New Roman"/>
          <w:rtl/>
          <w:lang w:eastAsia="de-DE"/>
        </w:rPr>
        <w:t xml:space="preserve"> </w:t>
      </w:r>
      <w:r w:rsidRPr="00C22013">
        <w:rPr>
          <w:rFonts w:eastAsia="Times New Roman" w:cs="Times New Roman"/>
          <w:lang w:eastAsia="de-DE"/>
        </w:rPr>
        <w:t xml:space="preserve">(sein Gebot hat sie gebrochen) von </w:t>
      </w:r>
      <w:r w:rsidRPr="00C22013">
        <w:rPr>
          <w:rFonts w:eastAsia="Times New Roman" w:cs="Times New Roman"/>
          <w:b/>
          <w:bCs/>
          <w:rtl/>
          <w:lang w:eastAsia="de-DE"/>
        </w:rPr>
        <w:t>פרר</w:t>
      </w:r>
      <w:r w:rsidRPr="00C22013">
        <w:rPr>
          <w:rFonts w:eastAsia="Times New Roman" w:cs="Times New Roman"/>
          <w:rtl/>
          <w:lang w:eastAsia="de-DE"/>
        </w:rPr>
        <w:t xml:space="preserve"> </w:t>
      </w:r>
      <w:r w:rsidRPr="00C22013">
        <w:rPr>
          <w:rFonts w:eastAsia="Times New Roman" w:cs="Times New Roman"/>
          <w:lang w:eastAsia="de-DE"/>
        </w:rPr>
        <w:t>(brechen/zunichte machen) im Hiph'il zeigt die doppelte Verfehlung: Verachtung und Bruch göttlicher Anordnungen.</w:t>
      </w:r>
    </w:p>
    <w:p w14:paraId="4733FC9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verstärkte Strafe </w:t>
      </w:r>
      <w:r w:rsidRPr="00C22013">
        <w:rPr>
          <w:rFonts w:eastAsia="Times New Roman" w:cs="Times New Roman"/>
          <w:b/>
          <w:bCs/>
          <w:rtl/>
          <w:lang w:eastAsia="de-DE"/>
        </w:rPr>
        <w:t>הִכָּרֵ֧ת׀ תִּכָּרֵ֛ת הַנֶּ֥פֶשׁ הַהִ֖וא עֲוֹנָ֥ה בָֽהּ</w:t>
      </w:r>
      <w:r w:rsidRPr="00C22013">
        <w:rPr>
          <w:rFonts w:eastAsia="Times New Roman" w:cs="Times New Roman"/>
          <w:rtl/>
          <w:lang w:eastAsia="de-DE"/>
        </w:rPr>
        <w:t xml:space="preserve"> </w:t>
      </w:r>
      <w:r w:rsidRPr="00C22013">
        <w:rPr>
          <w:rFonts w:eastAsia="Times New Roman" w:cs="Times New Roman"/>
          <w:lang w:eastAsia="de-DE"/>
        </w:rPr>
        <w:t xml:space="preserve">(ausgerottet soll ausgerottet werden diese Person, ihre Schuld ist an ihr) mit </w:t>
      </w:r>
      <w:r w:rsidRPr="00C22013">
        <w:rPr>
          <w:rFonts w:eastAsia="Times New Roman" w:cs="Times New Roman"/>
          <w:b/>
          <w:bCs/>
          <w:rtl/>
          <w:lang w:eastAsia="de-DE"/>
        </w:rPr>
        <w:t>הִכָּרֵת תִּכָּרֵת</w:t>
      </w:r>
      <w:r w:rsidRPr="00C22013">
        <w:rPr>
          <w:rFonts w:eastAsia="Times New Roman" w:cs="Times New Roman"/>
          <w:rtl/>
          <w:lang w:eastAsia="de-DE"/>
        </w:rPr>
        <w:t xml:space="preserve"> </w:t>
      </w:r>
      <w:r w:rsidRPr="00C22013">
        <w:rPr>
          <w:rFonts w:eastAsia="Times New Roman" w:cs="Times New Roman"/>
          <w:lang w:eastAsia="de-DE"/>
        </w:rPr>
        <w:t xml:space="preserve">als absoluter Infinitiv mit finitem Verb zur Verstärkung von </w:t>
      </w:r>
      <w:r w:rsidRPr="00C22013">
        <w:rPr>
          <w:rFonts w:eastAsia="Times New Roman" w:cs="Times New Roman"/>
          <w:b/>
          <w:bCs/>
          <w:rtl/>
          <w:lang w:eastAsia="de-DE"/>
        </w:rPr>
        <w:t>כרת</w:t>
      </w:r>
      <w:r w:rsidRPr="00C22013">
        <w:rPr>
          <w:rFonts w:eastAsia="Times New Roman" w:cs="Times New Roman"/>
          <w:rtl/>
          <w:lang w:eastAsia="de-DE"/>
        </w:rPr>
        <w:t xml:space="preserve"> </w:t>
      </w:r>
      <w:r w:rsidRPr="00C22013">
        <w:rPr>
          <w:rFonts w:eastAsia="Times New Roman" w:cs="Times New Roman"/>
          <w:lang w:eastAsia="de-DE"/>
        </w:rPr>
        <w:t xml:space="preserve">(ausrotten) und </w:t>
      </w:r>
      <w:r w:rsidRPr="00C22013">
        <w:rPr>
          <w:rFonts w:eastAsia="Times New Roman" w:cs="Times New Roman"/>
          <w:b/>
          <w:bCs/>
          <w:rtl/>
          <w:lang w:eastAsia="de-DE"/>
        </w:rPr>
        <w:t>עֲוֹנָה בָהּ</w:t>
      </w:r>
      <w:r w:rsidRPr="00C22013">
        <w:rPr>
          <w:rFonts w:eastAsia="Times New Roman" w:cs="Times New Roman"/>
          <w:rtl/>
          <w:lang w:eastAsia="de-DE"/>
        </w:rPr>
        <w:t xml:space="preserve"> </w:t>
      </w:r>
      <w:r w:rsidRPr="00C22013">
        <w:rPr>
          <w:rFonts w:eastAsia="Times New Roman" w:cs="Times New Roman"/>
          <w:lang w:eastAsia="de-DE"/>
        </w:rPr>
        <w:t>(ihre Schuld ist an ihr) zeigt die Unausweichlichkeit der Strafe und persönliche Verantwortung.</w:t>
      </w:r>
    </w:p>
    <w:p w14:paraId="306F1A22" w14:textId="690B974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ED3AE8">
        <w:t>gibt „</w:t>
      </w:r>
      <w:r w:rsidR="00ED3AE8" w:rsidRPr="00ED3AE8">
        <w:rPr>
          <w:b/>
          <w:bCs/>
          <w:rtl/>
        </w:rPr>
        <w:t>בָּזָה</w:t>
      </w:r>
      <w:r w:rsidR="00ED3AE8">
        <w:t>" (verachtet hat) mit „ἐφαύλισεν" (gering geschätzt/verachtet hat) und „</w:t>
      </w:r>
      <w:r w:rsidR="00ED3AE8" w:rsidRPr="00ED3AE8">
        <w:rPr>
          <w:b/>
          <w:bCs/>
          <w:rtl/>
        </w:rPr>
        <w:t>הֵפַר</w:t>
      </w:r>
      <w:r w:rsidR="00ED3AE8">
        <w:t>" (gebrochen hat) mit „διεσκέδασεν" (zerstreut/aufgelöst hat) wieder, was eine leicht unterschiedliche Nuance der Gesetzesübertretung ausdrückt.</w:t>
      </w:r>
    </w:p>
    <w:p w14:paraId="314A50E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doppelte Verfehlung-Begründung, verstärkte Strafe und persönliche Verantwortungsbetonung.</w:t>
      </w:r>
    </w:p>
    <w:p w14:paraId="0B0FBEB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verstärkt die Begründung für die drastische Strafe vorsätzlicher Sünde und betont die persönliche Verantwortung.</w:t>
      </w:r>
    </w:p>
    <w:p w14:paraId="76141671"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15,32</w:t>
      </w:r>
    </w:p>
    <w:p w14:paraId="7BADF47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וַיִּהְי֥וּ בְנֵֽי־יִשְׂרָאֵ֖ל בַּמִּדְבָּ֑ר וַֽיִּמְצְא֗וּ אִ֛ישׁ מְקֹשֵׁ֥שׁ עֵצִ֖ים בְּי֥וֹם הַשַּׁבָּֽת׃</w:t>
      </w:r>
    </w:p>
    <w:p w14:paraId="5B879BF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als die Söhne Jisra'els in der Wüste waren, da fanden sie einen Mann, der am Schabbattag Holz auflas.</w:t>
      </w:r>
    </w:p>
    <w:p w14:paraId="7C76675B"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B473C2C">
          <v:rect id="_x0000_i1529" style="width:0;height:1.5pt" o:hralign="center" o:hrstd="t" o:hr="t" fillcolor="#a0a0a0" stroked="f"/>
        </w:pict>
      </w:r>
    </w:p>
    <w:p w14:paraId="6568031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Zeitangabe </w:t>
      </w:r>
      <w:r w:rsidRPr="00C22013">
        <w:rPr>
          <w:rFonts w:eastAsia="Times New Roman" w:cs="Times New Roman"/>
          <w:b/>
          <w:bCs/>
          <w:rtl/>
          <w:lang w:eastAsia="de-DE"/>
        </w:rPr>
        <w:t>וַיִּהְי֥וּ בְנֵֽי־יִשְׂרָאֵ֖ל בַּמִּדְבָּ֑ר</w:t>
      </w:r>
      <w:r w:rsidRPr="00C22013">
        <w:rPr>
          <w:rFonts w:eastAsia="Times New Roman" w:cs="Times New Roman"/>
          <w:rtl/>
          <w:lang w:eastAsia="de-DE"/>
        </w:rPr>
        <w:t xml:space="preserve"> </w:t>
      </w:r>
      <w:r w:rsidRPr="00C22013">
        <w:rPr>
          <w:rFonts w:eastAsia="Times New Roman" w:cs="Times New Roman"/>
          <w:lang w:eastAsia="de-DE"/>
        </w:rPr>
        <w:t xml:space="preserve">(und die Söhne Israels waren in der Wüste) mit </w:t>
      </w:r>
      <w:r w:rsidRPr="00C22013">
        <w:rPr>
          <w:rFonts w:eastAsia="Times New Roman" w:cs="Times New Roman"/>
          <w:b/>
          <w:bCs/>
          <w:rtl/>
          <w:lang w:eastAsia="de-DE"/>
        </w:rPr>
        <w:t>יִהְיוּ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היה</w:t>
      </w:r>
      <w:r w:rsidRPr="00C22013">
        <w:rPr>
          <w:rFonts w:eastAsia="Times New Roman" w:cs="Times New Roman"/>
          <w:rtl/>
          <w:lang w:eastAsia="de-DE"/>
        </w:rPr>
        <w:t xml:space="preserve"> </w:t>
      </w:r>
      <w:r w:rsidRPr="00C22013">
        <w:rPr>
          <w:rFonts w:eastAsia="Times New Roman" w:cs="Times New Roman"/>
          <w:lang w:eastAsia="de-DE"/>
        </w:rPr>
        <w:t xml:space="preserve">(sein) im Qal-Imperfekt 3. maskulin Plural mit Waw consecutivum und </w:t>
      </w:r>
      <w:r w:rsidRPr="00C22013">
        <w:rPr>
          <w:rFonts w:eastAsia="Times New Roman" w:cs="Times New Roman"/>
          <w:b/>
          <w:bCs/>
          <w:rtl/>
          <w:lang w:eastAsia="de-DE"/>
        </w:rPr>
        <w:t>בַּמִּדְבָּר</w:t>
      </w:r>
      <w:r w:rsidRPr="00C22013">
        <w:rPr>
          <w:rFonts w:eastAsia="Times New Roman" w:cs="Times New Roman"/>
          <w:rtl/>
          <w:lang w:eastAsia="de-DE"/>
        </w:rPr>
        <w:t xml:space="preserve"> </w:t>
      </w:r>
      <w:r w:rsidRPr="00C22013">
        <w:rPr>
          <w:rFonts w:eastAsia="Times New Roman" w:cs="Times New Roman"/>
          <w:lang w:eastAsia="de-DE"/>
        </w:rPr>
        <w:t>(in der Wüste) setzt die Erzählung in die Wüstenzeit.</w:t>
      </w:r>
    </w:p>
    <w:p w14:paraId="624BA56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Der Tatbestand </w:t>
      </w:r>
      <w:r w:rsidRPr="00C22013">
        <w:rPr>
          <w:rFonts w:eastAsia="Times New Roman" w:cs="Times New Roman"/>
          <w:b/>
          <w:bCs/>
          <w:rtl/>
          <w:lang w:eastAsia="de-DE"/>
        </w:rPr>
        <w:t>וַֽיִּמְצְא֗וּ אִ֛ישׁ מְקֹשֵׁ֥שׁ עֵצִ֖ים בְּי֥וֹם הַשַּׁבָּֽת</w:t>
      </w:r>
      <w:r w:rsidRPr="00C22013">
        <w:rPr>
          <w:rFonts w:eastAsia="Times New Roman" w:cs="Times New Roman"/>
          <w:rtl/>
          <w:lang w:eastAsia="de-DE"/>
        </w:rPr>
        <w:t xml:space="preserve"> </w:t>
      </w:r>
      <w:r w:rsidRPr="00C22013">
        <w:rPr>
          <w:rFonts w:eastAsia="Times New Roman" w:cs="Times New Roman"/>
          <w:lang w:eastAsia="de-DE"/>
        </w:rPr>
        <w:t xml:space="preserve">(und sie fanden einen Mann, der Holz auflas am Sabbattag) mit </w:t>
      </w:r>
      <w:r w:rsidRPr="00C22013">
        <w:rPr>
          <w:rFonts w:eastAsia="Times New Roman" w:cs="Times New Roman"/>
          <w:b/>
          <w:bCs/>
          <w:rtl/>
          <w:lang w:eastAsia="de-DE"/>
        </w:rPr>
        <w:t>יִּמְצְאוּ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מצא</w:t>
      </w:r>
      <w:r w:rsidRPr="00C22013">
        <w:rPr>
          <w:rFonts w:eastAsia="Times New Roman" w:cs="Times New Roman"/>
          <w:rtl/>
          <w:lang w:eastAsia="de-DE"/>
        </w:rPr>
        <w:t xml:space="preserve"> </w:t>
      </w:r>
      <w:r w:rsidRPr="00C22013">
        <w:rPr>
          <w:rFonts w:eastAsia="Times New Roman" w:cs="Times New Roman"/>
          <w:lang w:eastAsia="de-DE"/>
        </w:rPr>
        <w:t xml:space="preserve">(finden), </w:t>
      </w:r>
      <w:r w:rsidRPr="00C22013">
        <w:rPr>
          <w:rFonts w:eastAsia="Times New Roman" w:cs="Times New Roman"/>
          <w:b/>
          <w:bCs/>
          <w:rtl/>
          <w:lang w:eastAsia="de-DE"/>
        </w:rPr>
        <w:t>אִישׁ מְקֹשֵׁשׁ עֵצִים</w:t>
      </w:r>
      <w:r w:rsidRPr="00C22013">
        <w:rPr>
          <w:rFonts w:eastAsia="Times New Roman" w:cs="Times New Roman"/>
          <w:rtl/>
          <w:lang w:eastAsia="de-DE"/>
        </w:rPr>
        <w:t xml:space="preserve"> </w:t>
      </w:r>
      <w:r w:rsidRPr="00C22013">
        <w:rPr>
          <w:rFonts w:eastAsia="Times New Roman" w:cs="Times New Roman"/>
          <w:lang w:eastAsia="de-DE"/>
        </w:rPr>
        <w:t xml:space="preserve">(einen Mann, der Holz auflas) mit </w:t>
      </w:r>
      <w:r w:rsidRPr="00C22013">
        <w:rPr>
          <w:rFonts w:eastAsia="Times New Roman" w:cs="Times New Roman"/>
          <w:b/>
          <w:bCs/>
          <w:rtl/>
          <w:lang w:eastAsia="de-DE"/>
        </w:rPr>
        <w:t>מְקֹשֵׁשׁ</w:t>
      </w:r>
      <w:r w:rsidRPr="00C22013">
        <w:rPr>
          <w:rFonts w:eastAsia="Times New Roman" w:cs="Times New Roman"/>
          <w:rtl/>
          <w:lang w:eastAsia="de-DE"/>
        </w:rPr>
        <w:t xml:space="preserve"> </w:t>
      </w:r>
      <w:r w:rsidRPr="00C22013">
        <w:rPr>
          <w:rFonts w:eastAsia="Times New Roman" w:cs="Times New Roman"/>
          <w:lang w:eastAsia="de-DE"/>
        </w:rPr>
        <w:t xml:space="preserve">als Po'el-Partizip von </w:t>
      </w:r>
      <w:r w:rsidRPr="00C22013">
        <w:rPr>
          <w:rFonts w:eastAsia="Times New Roman" w:cs="Times New Roman"/>
          <w:b/>
          <w:bCs/>
          <w:rtl/>
          <w:lang w:eastAsia="de-DE"/>
        </w:rPr>
        <w:t>קשש</w:t>
      </w:r>
      <w:r w:rsidRPr="00C22013">
        <w:rPr>
          <w:rFonts w:eastAsia="Times New Roman" w:cs="Times New Roman"/>
          <w:rtl/>
          <w:lang w:eastAsia="de-DE"/>
        </w:rPr>
        <w:t xml:space="preserve"> </w:t>
      </w:r>
      <w:r w:rsidRPr="00C22013">
        <w:rPr>
          <w:rFonts w:eastAsia="Times New Roman" w:cs="Times New Roman"/>
          <w:lang w:eastAsia="de-DE"/>
        </w:rPr>
        <w:t xml:space="preserve">(sammeln) und </w:t>
      </w:r>
      <w:r w:rsidRPr="00C22013">
        <w:rPr>
          <w:rFonts w:eastAsia="Times New Roman" w:cs="Times New Roman"/>
          <w:b/>
          <w:bCs/>
          <w:rtl/>
          <w:lang w:eastAsia="de-DE"/>
        </w:rPr>
        <w:t>בְּיוֹם הַשַּׁבָּת</w:t>
      </w:r>
      <w:r w:rsidRPr="00C22013">
        <w:rPr>
          <w:rFonts w:eastAsia="Times New Roman" w:cs="Times New Roman"/>
          <w:rtl/>
          <w:lang w:eastAsia="de-DE"/>
        </w:rPr>
        <w:t xml:space="preserve"> </w:t>
      </w:r>
      <w:r w:rsidRPr="00C22013">
        <w:rPr>
          <w:rFonts w:eastAsia="Times New Roman" w:cs="Times New Roman"/>
          <w:lang w:eastAsia="de-DE"/>
        </w:rPr>
        <w:t>(am Sabbattag) zeigt eine konkrete Sabbatschändung.</w:t>
      </w:r>
    </w:p>
    <w:p w14:paraId="0B16548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יִּמְצְאוּ</w:t>
      </w:r>
      <w:r w:rsidRPr="00C22013">
        <w:rPr>
          <w:rFonts w:eastAsia="Times New Roman" w:cs="Times New Roman"/>
          <w:rtl/>
          <w:lang w:eastAsia="de-DE"/>
        </w:rPr>
        <w:t xml:space="preserve"> </w:t>
      </w:r>
      <w:r w:rsidRPr="00C22013">
        <w:rPr>
          <w:rFonts w:eastAsia="Times New Roman" w:cs="Times New Roman"/>
          <w:lang w:eastAsia="de-DE"/>
        </w:rPr>
        <w:t xml:space="preserve">mit εὗρον (sie fanden), </w:t>
      </w:r>
      <w:r w:rsidRPr="00C22013">
        <w:rPr>
          <w:rFonts w:eastAsia="Times New Roman" w:cs="Times New Roman"/>
          <w:b/>
          <w:bCs/>
          <w:rtl/>
          <w:lang w:eastAsia="de-DE"/>
        </w:rPr>
        <w:t>מְקֹשֵׁשׁ עֵצִים</w:t>
      </w:r>
      <w:r w:rsidRPr="00C22013">
        <w:rPr>
          <w:rFonts w:eastAsia="Times New Roman" w:cs="Times New Roman"/>
          <w:rtl/>
          <w:lang w:eastAsia="de-DE"/>
        </w:rPr>
        <w:t xml:space="preserve"> </w:t>
      </w:r>
      <w:r w:rsidRPr="00C22013">
        <w:rPr>
          <w:rFonts w:eastAsia="Times New Roman" w:cs="Times New Roman"/>
          <w:lang w:eastAsia="de-DE"/>
        </w:rPr>
        <w:t xml:space="preserve">mit συλλέγοντα ξύλα (Holz sammelnd) und </w:t>
      </w:r>
      <w:r w:rsidRPr="00C22013">
        <w:rPr>
          <w:rFonts w:eastAsia="Times New Roman" w:cs="Times New Roman"/>
          <w:b/>
          <w:bCs/>
          <w:rtl/>
          <w:lang w:eastAsia="de-DE"/>
        </w:rPr>
        <w:t>יוֹם הַשַּׁבָּת</w:t>
      </w:r>
      <w:r w:rsidRPr="00C22013">
        <w:rPr>
          <w:rFonts w:eastAsia="Times New Roman" w:cs="Times New Roman"/>
          <w:rtl/>
          <w:lang w:eastAsia="de-DE"/>
        </w:rPr>
        <w:t xml:space="preserve"> </w:t>
      </w:r>
      <w:r w:rsidRPr="00C22013">
        <w:rPr>
          <w:rFonts w:eastAsia="Times New Roman" w:cs="Times New Roman"/>
          <w:lang w:eastAsia="de-DE"/>
        </w:rPr>
        <w:t>mit ἡμέρᾳ τῶν σαββάτων (am Tag der Sabbate).</w:t>
      </w:r>
    </w:p>
    <w:p w14:paraId="72B5007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zeitliche Einordnung und konkreten Sabbatschändungs-Tatbestand.</w:t>
      </w:r>
    </w:p>
    <w:p w14:paraId="24E02ED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lastRenderedPageBreak/>
        <w:t>Dieser Vers leitet eine Fallstudie zur praktischen Anwendung der Gesetze über vorsätzliche Sünde ein.</w:t>
      </w:r>
    </w:p>
    <w:p w14:paraId="47711AB6"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15,33</w:t>
      </w:r>
    </w:p>
    <w:p w14:paraId="591A8B9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וַיַּקְרִ֣יבוּ אֹתוֹ֔ הַמֹּצְאִ֥ים אֹתוֹ֖ מְקֹשֵׁ֣שׁ עֵצִ֑ים אֶל־מֹשֶׁה֙ וְאֶֽל־אַהֲרֹ֔ן וְאֶ֖ל כָּל־הָעֵדָֽה׃</w:t>
      </w:r>
    </w:p>
    <w:p w14:paraId="6A69E0A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die ihn beim Holzauflesen gefunden hatten, brachten ihn zu Mosche und zu 'Aharon und zu der ganzen Gemeinde.</w:t>
      </w:r>
    </w:p>
    <w:p w14:paraId="7ADCDE87"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6DC3A3A">
          <v:rect id="_x0000_i1530" style="width:0;height:1.5pt" o:hralign="center" o:hrstd="t" o:hr="t" fillcolor="#a0a0a0" stroked="f"/>
        </w:pict>
      </w:r>
    </w:p>
    <w:p w14:paraId="0651DC2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Anzeige </w:t>
      </w:r>
      <w:r w:rsidRPr="00C22013">
        <w:rPr>
          <w:rFonts w:eastAsia="Times New Roman" w:cs="Times New Roman"/>
          <w:b/>
          <w:bCs/>
          <w:rtl/>
          <w:lang w:eastAsia="de-DE"/>
        </w:rPr>
        <w:t>וַיַּקְרִ֣יבוּ אֹתוֹ֔ הַמֹּצְאִ֥ים אֹתוֹ֖ מְקֹשֵׁ֣שׁ עֵצִ֑ים</w:t>
      </w:r>
      <w:r w:rsidRPr="00C22013">
        <w:rPr>
          <w:rFonts w:eastAsia="Times New Roman" w:cs="Times New Roman"/>
          <w:rtl/>
          <w:lang w:eastAsia="de-DE"/>
        </w:rPr>
        <w:t xml:space="preserve"> </w:t>
      </w:r>
      <w:r w:rsidRPr="00C22013">
        <w:rPr>
          <w:rFonts w:eastAsia="Times New Roman" w:cs="Times New Roman"/>
          <w:lang w:eastAsia="de-DE"/>
        </w:rPr>
        <w:t xml:space="preserve">(und die ihn beim Holzsammeln gefunden hatten, brachten ihn) mit </w:t>
      </w:r>
      <w:r w:rsidRPr="00C22013">
        <w:rPr>
          <w:rFonts w:eastAsia="Times New Roman" w:cs="Times New Roman"/>
          <w:b/>
          <w:bCs/>
          <w:rtl/>
          <w:lang w:eastAsia="de-DE"/>
        </w:rPr>
        <w:t>יַּקְרִיבוּ אֹתוֹ</w:t>
      </w:r>
      <w:r w:rsidRPr="00C22013">
        <w:rPr>
          <w:rFonts w:eastAsia="Times New Roman" w:cs="Times New Roman"/>
          <w:rtl/>
          <w:lang w:eastAsia="de-DE"/>
        </w:rPr>
        <w:t xml:space="preserve"> </w:t>
      </w:r>
      <w:r w:rsidRPr="00C22013">
        <w:rPr>
          <w:rFonts w:eastAsia="Times New Roman" w:cs="Times New Roman"/>
          <w:lang w:eastAsia="de-DE"/>
        </w:rPr>
        <w:t xml:space="preserve">(sie brachten ihn) von </w:t>
      </w:r>
      <w:r w:rsidRPr="00C22013">
        <w:rPr>
          <w:rFonts w:eastAsia="Times New Roman" w:cs="Times New Roman"/>
          <w:b/>
          <w:bCs/>
          <w:rtl/>
          <w:lang w:eastAsia="de-DE"/>
        </w:rPr>
        <w:t>קרב</w:t>
      </w:r>
      <w:r w:rsidRPr="00C22013">
        <w:rPr>
          <w:rFonts w:eastAsia="Times New Roman" w:cs="Times New Roman"/>
          <w:rtl/>
          <w:lang w:eastAsia="de-DE"/>
        </w:rPr>
        <w:t xml:space="preserve"> </w:t>
      </w:r>
      <w:r w:rsidRPr="00C22013">
        <w:rPr>
          <w:rFonts w:eastAsia="Times New Roman" w:cs="Times New Roman"/>
          <w:lang w:eastAsia="de-DE"/>
        </w:rPr>
        <w:t xml:space="preserve">(nahe bringen) im Hiph'il, </w:t>
      </w:r>
      <w:r w:rsidRPr="00C22013">
        <w:rPr>
          <w:rFonts w:eastAsia="Times New Roman" w:cs="Times New Roman"/>
          <w:b/>
          <w:bCs/>
          <w:rtl/>
          <w:lang w:eastAsia="de-DE"/>
        </w:rPr>
        <w:t>הַמֹּצְאִים אֹתוֹ</w:t>
      </w:r>
      <w:r w:rsidRPr="00C22013">
        <w:rPr>
          <w:rFonts w:eastAsia="Times New Roman" w:cs="Times New Roman"/>
          <w:rtl/>
          <w:lang w:eastAsia="de-DE"/>
        </w:rPr>
        <w:t xml:space="preserve"> </w:t>
      </w:r>
      <w:r w:rsidRPr="00C22013">
        <w:rPr>
          <w:rFonts w:eastAsia="Times New Roman" w:cs="Times New Roman"/>
          <w:lang w:eastAsia="de-DE"/>
        </w:rPr>
        <w:t xml:space="preserve">(die ihn gefunden hatten) als Qal-Partizip Plural von </w:t>
      </w:r>
      <w:r w:rsidRPr="00C22013">
        <w:rPr>
          <w:rFonts w:eastAsia="Times New Roman" w:cs="Times New Roman"/>
          <w:b/>
          <w:bCs/>
          <w:rtl/>
          <w:lang w:eastAsia="de-DE"/>
        </w:rPr>
        <w:t>מצא</w:t>
      </w:r>
      <w:r w:rsidRPr="00C22013">
        <w:rPr>
          <w:rFonts w:eastAsia="Times New Roman" w:cs="Times New Roman"/>
          <w:rtl/>
          <w:lang w:eastAsia="de-DE"/>
        </w:rPr>
        <w:t xml:space="preserve"> </w:t>
      </w:r>
      <w:r w:rsidRPr="00C22013">
        <w:rPr>
          <w:rFonts w:eastAsia="Times New Roman" w:cs="Times New Roman"/>
          <w:lang w:eastAsia="de-DE"/>
        </w:rPr>
        <w:t xml:space="preserve">(finden) und </w:t>
      </w:r>
      <w:r w:rsidRPr="00C22013">
        <w:rPr>
          <w:rFonts w:eastAsia="Times New Roman" w:cs="Times New Roman"/>
          <w:b/>
          <w:bCs/>
          <w:rtl/>
          <w:lang w:eastAsia="de-DE"/>
        </w:rPr>
        <w:t>מְקֹשֵׁשׁ עֵצִים</w:t>
      </w:r>
      <w:r w:rsidRPr="00C22013">
        <w:rPr>
          <w:rFonts w:eastAsia="Times New Roman" w:cs="Times New Roman"/>
          <w:rtl/>
          <w:lang w:eastAsia="de-DE"/>
        </w:rPr>
        <w:t xml:space="preserve"> </w:t>
      </w:r>
      <w:r w:rsidRPr="00C22013">
        <w:rPr>
          <w:rFonts w:eastAsia="Times New Roman" w:cs="Times New Roman"/>
          <w:lang w:eastAsia="de-DE"/>
        </w:rPr>
        <w:t>(Holz sammelnd) zeigt das ordnungsgemäße Gerichtsverfahren.</w:t>
      </w:r>
    </w:p>
    <w:p w14:paraId="0D77886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Instanzen </w:t>
      </w:r>
      <w:r w:rsidRPr="00C22013">
        <w:rPr>
          <w:rFonts w:eastAsia="Times New Roman" w:cs="Times New Roman"/>
          <w:b/>
          <w:bCs/>
          <w:rtl/>
          <w:lang w:eastAsia="de-DE"/>
        </w:rPr>
        <w:t>אֶל־מֹשֶׁה֙ וְאֶֽל־אַהֲרֹ֔ן וְאֶ֖ל כָּל־הָעֵדָֽה</w:t>
      </w:r>
      <w:r w:rsidRPr="00C22013">
        <w:rPr>
          <w:rFonts w:eastAsia="Times New Roman" w:cs="Times New Roman"/>
          <w:rtl/>
          <w:lang w:eastAsia="de-DE"/>
        </w:rPr>
        <w:t xml:space="preserve"> </w:t>
      </w:r>
      <w:r w:rsidRPr="00C22013">
        <w:rPr>
          <w:rFonts w:eastAsia="Times New Roman" w:cs="Times New Roman"/>
          <w:lang w:eastAsia="de-DE"/>
        </w:rPr>
        <w:t xml:space="preserve">(zu Mose und zu Aaron und zur ganzen Gemeinde) mit der dreifachen Präposition </w:t>
      </w:r>
      <w:r w:rsidRPr="00C22013">
        <w:rPr>
          <w:rFonts w:eastAsia="Times New Roman" w:cs="Times New Roman"/>
          <w:b/>
          <w:bCs/>
          <w:rtl/>
          <w:lang w:eastAsia="de-DE"/>
        </w:rPr>
        <w:t>אֶל</w:t>
      </w:r>
      <w:r w:rsidRPr="00C22013">
        <w:rPr>
          <w:rFonts w:eastAsia="Times New Roman" w:cs="Times New Roman"/>
          <w:rtl/>
          <w:lang w:eastAsia="de-DE"/>
        </w:rPr>
        <w:t xml:space="preserve"> </w:t>
      </w:r>
      <w:r w:rsidRPr="00C22013">
        <w:rPr>
          <w:rFonts w:eastAsia="Times New Roman" w:cs="Times New Roman"/>
          <w:lang w:eastAsia="de-DE"/>
        </w:rPr>
        <w:t>zeigt die vollständige rechtliche Zuständigkeit: Moses als Richter, Aaron als Hoherpriester und die Gemeinde als Zeugenschaft.</w:t>
      </w:r>
    </w:p>
    <w:p w14:paraId="3DB9A9A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יַּקְרִיבוּ</w:t>
      </w:r>
      <w:r w:rsidRPr="00C22013">
        <w:rPr>
          <w:rFonts w:eastAsia="Times New Roman" w:cs="Times New Roman"/>
          <w:rtl/>
          <w:lang w:eastAsia="de-DE"/>
        </w:rPr>
        <w:t xml:space="preserve"> </w:t>
      </w:r>
      <w:r w:rsidRPr="00C22013">
        <w:rPr>
          <w:rFonts w:eastAsia="Times New Roman" w:cs="Times New Roman"/>
          <w:lang w:eastAsia="de-DE"/>
        </w:rPr>
        <w:t xml:space="preserve">mit προσήγαγον (sie brachten herbei) und </w:t>
      </w:r>
      <w:r w:rsidRPr="00C22013">
        <w:rPr>
          <w:rFonts w:eastAsia="Times New Roman" w:cs="Times New Roman"/>
          <w:b/>
          <w:bCs/>
          <w:rtl/>
          <w:lang w:eastAsia="de-DE"/>
        </w:rPr>
        <w:t>הַמֹּצְאִים</w:t>
      </w:r>
      <w:r w:rsidRPr="00C22013">
        <w:rPr>
          <w:rFonts w:eastAsia="Times New Roman" w:cs="Times New Roman"/>
          <w:rtl/>
          <w:lang w:eastAsia="de-DE"/>
        </w:rPr>
        <w:t xml:space="preserve"> </w:t>
      </w:r>
      <w:r w:rsidRPr="00C22013">
        <w:rPr>
          <w:rFonts w:eastAsia="Times New Roman" w:cs="Times New Roman"/>
          <w:lang w:eastAsia="de-DE"/>
        </w:rPr>
        <w:t>mit οἱ εὑρόντες (die Findenden).</w:t>
      </w:r>
    </w:p>
    <w:p w14:paraId="16ADF5F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ordnungsgemäße Anzeige und vollständige Gerichtsinstanzen.</w:t>
      </w:r>
    </w:p>
    <w:p w14:paraId="2AC0A73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das ordnungsgemäße Gerichtsverfahren bei Sabbatschändung.</w:t>
      </w:r>
    </w:p>
    <w:p w14:paraId="3BDCD20F"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15,34</w:t>
      </w:r>
    </w:p>
    <w:p w14:paraId="21736FC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וַיַּנִּ֥יחוּ אֹתוֹ֖ בַּמִּשְׁמָ֑ר כִּ֚י לֹ֣א פֹרַ֔שׁ מַה־יֵּעָשֶׂ֖ה לוֹֽ׃</w:t>
      </w:r>
    </w:p>
    <w:p w14:paraId="6494E9F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sie setzten ihn in Gewahrsam, denn es war nicht geklärt, was mit ihm geschehen sollte.</w:t>
      </w:r>
    </w:p>
    <w:p w14:paraId="3FE037B7"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9B29F88">
          <v:rect id="_x0000_i1531" style="width:0;height:1.5pt" o:hralign="center" o:hrstd="t" o:hr="t" fillcolor="#a0a0a0" stroked="f"/>
        </w:pict>
      </w:r>
    </w:p>
    <w:p w14:paraId="17C64DE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Verwahrung </w:t>
      </w:r>
      <w:r w:rsidRPr="00C22013">
        <w:rPr>
          <w:rFonts w:eastAsia="Times New Roman" w:cs="Times New Roman"/>
          <w:b/>
          <w:bCs/>
          <w:rtl/>
          <w:lang w:eastAsia="de-DE"/>
        </w:rPr>
        <w:t>וַיַּנִּ֥יחוּ אֹתוֹ֖ בַּמִּשְׁמָ֑ר</w:t>
      </w:r>
      <w:r w:rsidRPr="00C22013">
        <w:rPr>
          <w:rFonts w:eastAsia="Times New Roman" w:cs="Times New Roman"/>
          <w:rtl/>
          <w:lang w:eastAsia="de-DE"/>
        </w:rPr>
        <w:t xml:space="preserve"> </w:t>
      </w:r>
      <w:r w:rsidRPr="00C22013">
        <w:rPr>
          <w:rFonts w:eastAsia="Times New Roman" w:cs="Times New Roman"/>
          <w:lang w:eastAsia="de-DE"/>
        </w:rPr>
        <w:t xml:space="preserve">(und sie setzten ihn in Gewahrsam) mit </w:t>
      </w:r>
      <w:r w:rsidRPr="00C22013">
        <w:rPr>
          <w:rFonts w:eastAsia="Times New Roman" w:cs="Times New Roman"/>
          <w:b/>
          <w:bCs/>
          <w:rtl/>
          <w:lang w:eastAsia="de-DE"/>
        </w:rPr>
        <w:t>יַּנִּיחוּ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נוח</w:t>
      </w:r>
      <w:r w:rsidRPr="00C22013">
        <w:rPr>
          <w:rFonts w:eastAsia="Times New Roman" w:cs="Times New Roman"/>
          <w:rtl/>
          <w:lang w:eastAsia="de-DE"/>
        </w:rPr>
        <w:t xml:space="preserve"> </w:t>
      </w:r>
      <w:r w:rsidRPr="00C22013">
        <w:rPr>
          <w:rFonts w:eastAsia="Times New Roman" w:cs="Times New Roman"/>
          <w:lang w:eastAsia="de-DE"/>
        </w:rPr>
        <w:t xml:space="preserve">(ruhen lassen/setzen) im Hiph'il-Imperfekt 3. maskulin Plural mit Waw consecutivum und </w:t>
      </w:r>
      <w:r w:rsidRPr="00C22013">
        <w:rPr>
          <w:rFonts w:eastAsia="Times New Roman" w:cs="Times New Roman"/>
          <w:b/>
          <w:bCs/>
          <w:rtl/>
          <w:lang w:eastAsia="de-DE"/>
        </w:rPr>
        <w:t>בַּמִּשְׁמָר</w:t>
      </w:r>
      <w:r w:rsidRPr="00C22013">
        <w:rPr>
          <w:rFonts w:eastAsia="Times New Roman" w:cs="Times New Roman"/>
          <w:rtl/>
          <w:lang w:eastAsia="de-DE"/>
        </w:rPr>
        <w:t xml:space="preserve"> </w:t>
      </w:r>
      <w:r w:rsidRPr="00C22013">
        <w:rPr>
          <w:rFonts w:eastAsia="Times New Roman" w:cs="Times New Roman"/>
          <w:lang w:eastAsia="de-DE"/>
        </w:rPr>
        <w:t xml:space="preserve">(in Gewahrsam) von </w:t>
      </w:r>
      <w:r w:rsidRPr="00C22013">
        <w:rPr>
          <w:rFonts w:eastAsia="Times New Roman" w:cs="Times New Roman"/>
          <w:b/>
          <w:bCs/>
          <w:rtl/>
          <w:lang w:eastAsia="de-DE"/>
        </w:rPr>
        <w:t>שמר</w:t>
      </w:r>
      <w:r w:rsidRPr="00C22013">
        <w:rPr>
          <w:rFonts w:eastAsia="Times New Roman" w:cs="Times New Roman"/>
          <w:rtl/>
          <w:lang w:eastAsia="de-DE"/>
        </w:rPr>
        <w:t xml:space="preserve"> </w:t>
      </w:r>
      <w:r w:rsidRPr="00C22013">
        <w:rPr>
          <w:rFonts w:eastAsia="Times New Roman" w:cs="Times New Roman"/>
          <w:lang w:eastAsia="de-DE"/>
        </w:rPr>
        <w:t>(bewachen) zeigt die vorläufige Sicherung des Angeklagten.</w:t>
      </w:r>
    </w:p>
    <w:p w14:paraId="2DA7A2B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Begründung </w:t>
      </w:r>
      <w:r w:rsidRPr="00C22013">
        <w:rPr>
          <w:rFonts w:eastAsia="Times New Roman" w:cs="Times New Roman"/>
          <w:b/>
          <w:bCs/>
          <w:rtl/>
          <w:lang w:eastAsia="de-DE"/>
        </w:rPr>
        <w:t>כִּ֚י לֹ֣א פֹרַ֔שׁ מַה־יֵּעָשֶׂ֖ה לוֹֽ</w:t>
      </w:r>
      <w:r w:rsidRPr="00C22013">
        <w:rPr>
          <w:rFonts w:eastAsia="Times New Roman" w:cs="Times New Roman"/>
          <w:rtl/>
          <w:lang w:eastAsia="de-DE"/>
        </w:rPr>
        <w:t xml:space="preserve"> </w:t>
      </w:r>
      <w:r w:rsidRPr="00C22013">
        <w:rPr>
          <w:rFonts w:eastAsia="Times New Roman" w:cs="Times New Roman"/>
          <w:lang w:eastAsia="de-DE"/>
        </w:rPr>
        <w:t xml:space="preserve">(denn es war nicht geklärt, was mit ihm geschehen sollte) mit </w:t>
      </w:r>
      <w:r w:rsidRPr="00C22013">
        <w:rPr>
          <w:rFonts w:eastAsia="Times New Roman" w:cs="Times New Roman"/>
          <w:b/>
          <w:bCs/>
          <w:rtl/>
          <w:lang w:eastAsia="de-DE"/>
        </w:rPr>
        <w:t>לֹא פֹרַשׁ</w:t>
      </w:r>
      <w:r w:rsidRPr="00C22013">
        <w:rPr>
          <w:rFonts w:eastAsia="Times New Roman" w:cs="Times New Roman"/>
          <w:rtl/>
          <w:lang w:eastAsia="de-DE"/>
        </w:rPr>
        <w:t xml:space="preserve"> </w:t>
      </w:r>
      <w:r w:rsidRPr="00C22013">
        <w:rPr>
          <w:rFonts w:eastAsia="Times New Roman" w:cs="Times New Roman"/>
          <w:lang w:eastAsia="de-DE"/>
        </w:rPr>
        <w:t xml:space="preserve">(es war nicht geklärt) von </w:t>
      </w:r>
      <w:r w:rsidRPr="00C22013">
        <w:rPr>
          <w:rFonts w:eastAsia="Times New Roman" w:cs="Times New Roman"/>
          <w:b/>
          <w:bCs/>
          <w:rtl/>
          <w:lang w:eastAsia="de-DE"/>
        </w:rPr>
        <w:t>פרש</w:t>
      </w:r>
      <w:r w:rsidRPr="00C22013">
        <w:rPr>
          <w:rFonts w:eastAsia="Times New Roman" w:cs="Times New Roman"/>
          <w:rtl/>
          <w:lang w:eastAsia="de-DE"/>
        </w:rPr>
        <w:t xml:space="preserve"> </w:t>
      </w:r>
      <w:r w:rsidRPr="00C22013">
        <w:rPr>
          <w:rFonts w:eastAsia="Times New Roman" w:cs="Times New Roman"/>
          <w:lang w:eastAsia="de-DE"/>
        </w:rPr>
        <w:t xml:space="preserve">(erklären/klarstellen) im Pu'al-Perfekt 3. maskulin Singular und </w:t>
      </w:r>
      <w:r w:rsidRPr="00C22013">
        <w:rPr>
          <w:rFonts w:eastAsia="Times New Roman" w:cs="Times New Roman"/>
          <w:b/>
          <w:bCs/>
          <w:rtl/>
          <w:lang w:eastAsia="de-DE"/>
        </w:rPr>
        <w:t>מַה־יֵּעָשֶׂה לוֹ</w:t>
      </w:r>
      <w:r w:rsidRPr="00C22013">
        <w:rPr>
          <w:rFonts w:eastAsia="Times New Roman" w:cs="Times New Roman"/>
          <w:rtl/>
          <w:lang w:eastAsia="de-DE"/>
        </w:rPr>
        <w:t xml:space="preserve"> </w:t>
      </w:r>
      <w:r w:rsidRPr="00C22013">
        <w:rPr>
          <w:rFonts w:eastAsia="Times New Roman" w:cs="Times New Roman"/>
          <w:lang w:eastAsia="de-DE"/>
        </w:rPr>
        <w:t>(was mit ihm getan werden soll) zeigt, dass die Strafe für Sabbatschändung noch nicht spezifiziert war.</w:t>
      </w:r>
    </w:p>
    <w:p w14:paraId="131ADDE4" w14:textId="0903E736"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Die LXX</w:t>
      </w:r>
      <w:r w:rsidRPr="00C22013">
        <w:rPr>
          <w:rFonts w:eastAsia="Times New Roman" w:cs="Times New Roman"/>
          <w:lang w:eastAsia="de-DE"/>
        </w:rPr>
        <w:t xml:space="preserve"> </w:t>
      </w:r>
      <w:r w:rsidR="00ED3AE8">
        <w:t>übersetzt „</w:t>
      </w:r>
      <w:r w:rsidR="00ED3AE8" w:rsidRPr="00ED3AE8">
        <w:rPr>
          <w:b/>
          <w:bCs/>
          <w:rtl/>
        </w:rPr>
        <w:t>לֹא פֹרַשׁ</w:t>
      </w:r>
      <w:r w:rsidR="00ED3AE8">
        <w:t>" (es war nicht erklärt/festgelegt) mit „οὐ γὰρ συνέκριναν" (denn sie hatten nicht entschieden), was die Unklarheit aktiver als gemeinsame Entscheidungsfindung darstellt.</w:t>
      </w:r>
    </w:p>
    <w:p w14:paraId="08BF3445"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vorläufige Verwahrung und Begründung durch fehlende Strafspezifikation.</w:t>
      </w:r>
    </w:p>
    <w:p w14:paraId="2A44F6A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sorgfältige Rechtsprechung: auch bei offensichtlicher Schuld wird eine göttliche Entscheidung eingeholt.</w:t>
      </w:r>
    </w:p>
    <w:p w14:paraId="32B68E34"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15,35</w:t>
      </w:r>
    </w:p>
    <w:p w14:paraId="207A233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וַיֹּ֤אמֶר יְהוָה֙ אֶל־מֹשֶׁ֔ה מ֥וֹת יוּמַ֖ת הָאִ֑ישׁ רָג֨וֹם אֹתוֹ֤ בָֽאֲבָנִים֙ כָּל־הָ֣עֵדָ֔ה מִח֖וּץ לַֽמַּחֲנֶֽה׃</w:t>
      </w:r>
    </w:p>
    <w:p w14:paraId="08A5523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der Ewige sprach zu Mosche: Der Mann soll gewiss getötet werden; die ganze Gemeinde soll ihn außerhalb des Lagers steinigen.</w:t>
      </w:r>
    </w:p>
    <w:p w14:paraId="494FD708"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49F03CA">
          <v:rect id="_x0000_i1532" style="width:0;height:1.5pt" o:hralign="center" o:hrstd="t" o:hr="t" fillcolor="#a0a0a0" stroked="f"/>
        </w:pict>
      </w:r>
    </w:p>
    <w:p w14:paraId="16F9199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göttliche Entscheidung </w:t>
      </w:r>
      <w:r w:rsidRPr="00C22013">
        <w:rPr>
          <w:rFonts w:eastAsia="Times New Roman" w:cs="Times New Roman"/>
          <w:b/>
          <w:bCs/>
          <w:rtl/>
          <w:lang w:eastAsia="de-DE"/>
        </w:rPr>
        <w:t>וַיֹּ֤אמֶר יְהוָה֙ אֶל־מֹשֶׁ֔ה מ֥וֹת יוּמַ֖ת הָאִ֑ישׁ</w:t>
      </w:r>
      <w:r w:rsidRPr="00C22013">
        <w:rPr>
          <w:rFonts w:eastAsia="Times New Roman" w:cs="Times New Roman"/>
          <w:rtl/>
          <w:lang w:eastAsia="de-DE"/>
        </w:rPr>
        <w:t xml:space="preserve"> </w:t>
      </w:r>
      <w:r w:rsidRPr="00C22013">
        <w:rPr>
          <w:rFonts w:eastAsia="Times New Roman" w:cs="Times New Roman"/>
          <w:lang w:eastAsia="de-DE"/>
        </w:rPr>
        <w:t xml:space="preserve">(und der Ewige sprach zu Mose: sterben soll der Mann sterben) mit </w:t>
      </w:r>
      <w:r w:rsidRPr="00C22013">
        <w:rPr>
          <w:rFonts w:eastAsia="Times New Roman" w:cs="Times New Roman"/>
          <w:b/>
          <w:bCs/>
          <w:rtl/>
          <w:lang w:eastAsia="de-DE"/>
        </w:rPr>
        <w:t>יֹּאמֶר יְהוָה</w:t>
      </w:r>
      <w:r w:rsidRPr="00C22013">
        <w:rPr>
          <w:rFonts w:eastAsia="Times New Roman" w:cs="Times New Roman"/>
          <w:rtl/>
          <w:lang w:eastAsia="de-DE"/>
        </w:rPr>
        <w:t xml:space="preserve"> </w:t>
      </w:r>
      <w:r w:rsidRPr="00C22013">
        <w:rPr>
          <w:rFonts w:eastAsia="Times New Roman" w:cs="Times New Roman"/>
          <w:lang w:eastAsia="de-DE"/>
        </w:rPr>
        <w:t xml:space="preserve">(der Ewige sprach), </w:t>
      </w:r>
      <w:r w:rsidRPr="00C22013">
        <w:rPr>
          <w:rFonts w:eastAsia="Times New Roman" w:cs="Times New Roman"/>
          <w:b/>
          <w:bCs/>
          <w:rtl/>
          <w:lang w:eastAsia="de-DE"/>
        </w:rPr>
        <w:t>מוֹת יוּמַת</w:t>
      </w:r>
      <w:r w:rsidRPr="00C22013">
        <w:rPr>
          <w:rFonts w:eastAsia="Times New Roman" w:cs="Times New Roman"/>
          <w:rtl/>
          <w:lang w:eastAsia="de-DE"/>
        </w:rPr>
        <w:t xml:space="preserve"> </w:t>
      </w:r>
      <w:r w:rsidRPr="00C22013">
        <w:rPr>
          <w:rFonts w:eastAsia="Times New Roman" w:cs="Times New Roman"/>
          <w:lang w:eastAsia="de-DE"/>
        </w:rPr>
        <w:t xml:space="preserve">als absoluter Infinitiv mit finitem Verb zur Verstärkung von </w:t>
      </w:r>
      <w:r w:rsidRPr="00C22013">
        <w:rPr>
          <w:rFonts w:eastAsia="Times New Roman" w:cs="Times New Roman"/>
          <w:b/>
          <w:bCs/>
          <w:rtl/>
          <w:lang w:eastAsia="de-DE"/>
        </w:rPr>
        <w:t>מות</w:t>
      </w:r>
      <w:r w:rsidRPr="00C22013">
        <w:rPr>
          <w:rFonts w:eastAsia="Times New Roman" w:cs="Times New Roman"/>
          <w:rtl/>
          <w:lang w:eastAsia="de-DE"/>
        </w:rPr>
        <w:t xml:space="preserve"> </w:t>
      </w:r>
      <w:r w:rsidRPr="00C22013">
        <w:rPr>
          <w:rFonts w:eastAsia="Times New Roman" w:cs="Times New Roman"/>
          <w:lang w:eastAsia="de-DE"/>
        </w:rPr>
        <w:t xml:space="preserve">(sterben) und </w:t>
      </w:r>
      <w:r w:rsidRPr="00C22013">
        <w:rPr>
          <w:rFonts w:eastAsia="Times New Roman" w:cs="Times New Roman"/>
          <w:b/>
          <w:bCs/>
          <w:rtl/>
          <w:lang w:eastAsia="de-DE"/>
        </w:rPr>
        <w:t>הָאִישׁ</w:t>
      </w:r>
      <w:r w:rsidRPr="00C22013">
        <w:rPr>
          <w:rFonts w:eastAsia="Times New Roman" w:cs="Times New Roman"/>
          <w:rtl/>
          <w:lang w:eastAsia="de-DE"/>
        </w:rPr>
        <w:t xml:space="preserve"> </w:t>
      </w:r>
      <w:r w:rsidRPr="00C22013">
        <w:rPr>
          <w:rFonts w:eastAsia="Times New Roman" w:cs="Times New Roman"/>
          <w:lang w:eastAsia="de-DE"/>
        </w:rPr>
        <w:t>(der Mann) zeigt die unausweichliche Todesstrafe.</w:t>
      </w:r>
    </w:p>
    <w:p w14:paraId="6D57548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Vollstreckung </w:t>
      </w:r>
      <w:r w:rsidRPr="00C22013">
        <w:rPr>
          <w:rFonts w:eastAsia="Times New Roman" w:cs="Times New Roman"/>
          <w:b/>
          <w:bCs/>
          <w:rtl/>
          <w:lang w:eastAsia="de-DE"/>
        </w:rPr>
        <w:t>רָג֨וֹם אֹתוֹ֤ בָֽאֲבָנִים֙ כָּל־הָ֣עֵדָ֔ה מִח֖וּץ לַֽמַּחֲנֶֽה</w:t>
      </w:r>
      <w:r w:rsidRPr="00C22013">
        <w:rPr>
          <w:rFonts w:eastAsia="Times New Roman" w:cs="Times New Roman"/>
          <w:rtl/>
          <w:lang w:eastAsia="de-DE"/>
        </w:rPr>
        <w:t xml:space="preserve"> </w:t>
      </w:r>
      <w:r w:rsidRPr="00C22013">
        <w:rPr>
          <w:rFonts w:eastAsia="Times New Roman" w:cs="Times New Roman"/>
          <w:lang w:eastAsia="de-DE"/>
        </w:rPr>
        <w:t xml:space="preserve">(steinigen soll ihn mit Steinen die ganze Gemeinde außerhalb des Lagers) mit </w:t>
      </w:r>
      <w:r w:rsidRPr="00C22013">
        <w:rPr>
          <w:rFonts w:eastAsia="Times New Roman" w:cs="Times New Roman"/>
          <w:b/>
          <w:bCs/>
          <w:rtl/>
          <w:lang w:eastAsia="de-DE"/>
        </w:rPr>
        <w:t>רָגוֹם אֹתוֹ</w:t>
      </w:r>
      <w:r w:rsidRPr="00C22013">
        <w:rPr>
          <w:rFonts w:eastAsia="Times New Roman" w:cs="Times New Roman"/>
          <w:rtl/>
          <w:lang w:eastAsia="de-DE"/>
        </w:rPr>
        <w:t xml:space="preserve"> </w:t>
      </w:r>
      <w:r w:rsidRPr="00C22013">
        <w:rPr>
          <w:rFonts w:eastAsia="Times New Roman" w:cs="Times New Roman"/>
          <w:lang w:eastAsia="de-DE"/>
        </w:rPr>
        <w:t xml:space="preserve">(steinigen soll ihn) als Qal-Infinitiv absolut von </w:t>
      </w:r>
      <w:r w:rsidRPr="00C22013">
        <w:rPr>
          <w:rFonts w:eastAsia="Times New Roman" w:cs="Times New Roman"/>
          <w:b/>
          <w:bCs/>
          <w:rtl/>
          <w:lang w:eastAsia="de-DE"/>
        </w:rPr>
        <w:t>רגם</w:t>
      </w:r>
      <w:r w:rsidRPr="00C22013">
        <w:rPr>
          <w:rFonts w:eastAsia="Times New Roman" w:cs="Times New Roman"/>
          <w:rtl/>
          <w:lang w:eastAsia="de-DE"/>
        </w:rPr>
        <w:t xml:space="preserve"> </w:t>
      </w:r>
      <w:r w:rsidRPr="00C22013">
        <w:rPr>
          <w:rFonts w:eastAsia="Times New Roman" w:cs="Times New Roman"/>
          <w:lang w:eastAsia="de-DE"/>
        </w:rPr>
        <w:t xml:space="preserve">(steinigen), </w:t>
      </w:r>
      <w:r w:rsidRPr="00C22013">
        <w:rPr>
          <w:rFonts w:eastAsia="Times New Roman" w:cs="Times New Roman"/>
          <w:b/>
          <w:bCs/>
          <w:rtl/>
          <w:lang w:eastAsia="de-DE"/>
        </w:rPr>
        <w:t>בָּאֲבָנִים</w:t>
      </w:r>
      <w:r w:rsidRPr="00C22013">
        <w:rPr>
          <w:rFonts w:eastAsia="Times New Roman" w:cs="Times New Roman"/>
          <w:rtl/>
          <w:lang w:eastAsia="de-DE"/>
        </w:rPr>
        <w:t xml:space="preserve"> </w:t>
      </w:r>
      <w:r w:rsidRPr="00C22013">
        <w:rPr>
          <w:rFonts w:eastAsia="Times New Roman" w:cs="Times New Roman"/>
          <w:lang w:eastAsia="de-DE"/>
        </w:rPr>
        <w:t xml:space="preserve">(mit Steinen), </w:t>
      </w:r>
      <w:r w:rsidRPr="00C22013">
        <w:rPr>
          <w:rFonts w:eastAsia="Times New Roman" w:cs="Times New Roman"/>
          <w:b/>
          <w:bCs/>
          <w:rtl/>
          <w:lang w:eastAsia="de-DE"/>
        </w:rPr>
        <w:t>כָּל־הָעֵדָה</w:t>
      </w:r>
      <w:r w:rsidRPr="00C22013">
        <w:rPr>
          <w:rFonts w:eastAsia="Times New Roman" w:cs="Times New Roman"/>
          <w:rtl/>
          <w:lang w:eastAsia="de-DE"/>
        </w:rPr>
        <w:t xml:space="preserve"> </w:t>
      </w:r>
      <w:r w:rsidRPr="00C22013">
        <w:rPr>
          <w:rFonts w:eastAsia="Times New Roman" w:cs="Times New Roman"/>
          <w:lang w:eastAsia="de-DE"/>
        </w:rPr>
        <w:t xml:space="preserve">(die ganze Gemeinde) und </w:t>
      </w:r>
      <w:r w:rsidRPr="00C22013">
        <w:rPr>
          <w:rFonts w:eastAsia="Times New Roman" w:cs="Times New Roman"/>
          <w:b/>
          <w:bCs/>
          <w:rtl/>
          <w:lang w:eastAsia="de-DE"/>
        </w:rPr>
        <w:t>מִחוּץ לַמַּחֲנֶה</w:t>
      </w:r>
      <w:r w:rsidRPr="00C22013">
        <w:rPr>
          <w:rFonts w:eastAsia="Times New Roman" w:cs="Times New Roman"/>
          <w:rtl/>
          <w:lang w:eastAsia="de-DE"/>
        </w:rPr>
        <w:t xml:space="preserve"> </w:t>
      </w:r>
      <w:r w:rsidRPr="00C22013">
        <w:rPr>
          <w:rFonts w:eastAsia="Times New Roman" w:cs="Times New Roman"/>
          <w:lang w:eastAsia="de-DE"/>
        </w:rPr>
        <w:t>(außerhalb des Lagers) zeigt die kollektive Vollstreckung außerhalb des heiligen Bereichs.</w:t>
      </w:r>
    </w:p>
    <w:p w14:paraId="4A51978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מוֹת יוּמַת</w:t>
      </w:r>
      <w:r w:rsidRPr="00C22013">
        <w:rPr>
          <w:rFonts w:eastAsia="Times New Roman" w:cs="Times New Roman"/>
          <w:rtl/>
          <w:lang w:eastAsia="de-DE"/>
        </w:rPr>
        <w:t xml:space="preserve"> </w:t>
      </w:r>
      <w:r w:rsidRPr="00C22013">
        <w:rPr>
          <w:rFonts w:eastAsia="Times New Roman" w:cs="Times New Roman"/>
          <w:lang w:eastAsia="de-DE"/>
        </w:rPr>
        <w:t xml:space="preserve">mit θανάτῳ θανατούσθω (mit Tod soll er getötet werden), </w:t>
      </w:r>
      <w:r w:rsidRPr="00C22013">
        <w:rPr>
          <w:rFonts w:eastAsia="Times New Roman" w:cs="Times New Roman"/>
          <w:b/>
          <w:bCs/>
          <w:rtl/>
          <w:lang w:eastAsia="de-DE"/>
        </w:rPr>
        <w:t>רָגוֹם</w:t>
      </w:r>
      <w:r w:rsidRPr="00C22013">
        <w:rPr>
          <w:rFonts w:eastAsia="Times New Roman" w:cs="Times New Roman"/>
          <w:rtl/>
          <w:lang w:eastAsia="de-DE"/>
        </w:rPr>
        <w:t xml:space="preserve"> </w:t>
      </w:r>
      <w:r w:rsidRPr="00C22013">
        <w:rPr>
          <w:rFonts w:eastAsia="Times New Roman" w:cs="Times New Roman"/>
          <w:lang w:eastAsia="de-DE"/>
        </w:rPr>
        <w:t xml:space="preserve">mit λιθοβολήσατε (steinigt) und </w:t>
      </w:r>
      <w:r w:rsidRPr="00C22013">
        <w:rPr>
          <w:rFonts w:eastAsia="Times New Roman" w:cs="Times New Roman"/>
          <w:b/>
          <w:bCs/>
          <w:rtl/>
          <w:lang w:eastAsia="de-DE"/>
        </w:rPr>
        <w:t>מִחוּץ לַמַּחֲנֶה</w:t>
      </w:r>
      <w:r w:rsidRPr="00C22013">
        <w:rPr>
          <w:rFonts w:eastAsia="Times New Roman" w:cs="Times New Roman"/>
          <w:rtl/>
          <w:lang w:eastAsia="de-DE"/>
        </w:rPr>
        <w:t xml:space="preserve"> </w:t>
      </w:r>
      <w:r w:rsidRPr="00C22013">
        <w:rPr>
          <w:rFonts w:eastAsia="Times New Roman" w:cs="Times New Roman"/>
          <w:lang w:eastAsia="de-DE"/>
        </w:rPr>
        <w:t>mit ἔξω τῆς παρεμβολῆς (außerhalb des Lagers).</w:t>
      </w:r>
    </w:p>
    <w:p w14:paraId="372E040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verstärkte Todesstrafe-Anordnung und detaillierte Vollstreckungsbestimmung.</w:t>
      </w:r>
    </w:p>
    <w:p w14:paraId="7B5C99E3"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die göttliche Bestätigung der Todesstrafe für vorsätzliche Sabbatschändung.</w:t>
      </w:r>
    </w:p>
    <w:p w14:paraId="2A889F83"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15,36</w:t>
      </w:r>
    </w:p>
    <w:p w14:paraId="565C3CC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וַיֹּצִ֨יאוּ אֹתוֹ֜ כָּל־הָעֵדָ֗ה אֶל־מִחוּץ֙ לַֽמַּחֲנֶ֔ה וַיִּרְגְּמ֥וּ אֹתוֹ֛ בָּאֲבָנִ֖ים וַיָּמֹ֑ת כַּאֲשֶׁ֛ר צִוָּ֥ה יְהוָ֖ה אֶת־מֹשֶֽׁה׃</w:t>
      </w:r>
    </w:p>
    <w:p w14:paraId="2B94967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Da führte die ganze Gemeinde ihn außerhalb des Lagers hinaus, und sie steinigten ihn und er starb, wie der Ewige Mosche geboten hatte.</w:t>
      </w:r>
    </w:p>
    <w:p w14:paraId="7E5DADA5"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3613EFD">
          <v:rect id="_x0000_i1533" style="width:0;height:1.5pt" o:hralign="center" o:hrstd="t" o:hr="t" fillcolor="#a0a0a0" stroked="f"/>
        </w:pict>
      </w:r>
    </w:p>
    <w:p w14:paraId="6ADB7F4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Kommentar:</w:t>
      </w:r>
      <w:r w:rsidRPr="00C22013">
        <w:rPr>
          <w:rFonts w:eastAsia="Times New Roman" w:cs="Times New Roman"/>
          <w:lang w:eastAsia="de-DE"/>
        </w:rPr>
        <w:t xml:space="preserve"> Die Vollstreckung </w:t>
      </w:r>
      <w:r w:rsidRPr="00C22013">
        <w:rPr>
          <w:rFonts w:eastAsia="Times New Roman" w:cs="Times New Roman"/>
          <w:b/>
          <w:bCs/>
          <w:rtl/>
          <w:lang w:eastAsia="de-DE"/>
        </w:rPr>
        <w:t>וַיֹּצִ֨יאוּ אֹתוֹ֜ כָּל־הָעֵדָ֗ה אֶל־מִחוּץ֙ לַֽמַּחֲנֶ֔ה וַיִּרְגְּמ֥וּ אֹתוֹ֛ בָּאֲבָנִ֖ים וַיָּמֹ֑ת</w:t>
      </w:r>
      <w:r w:rsidRPr="00C22013">
        <w:rPr>
          <w:rFonts w:eastAsia="Times New Roman" w:cs="Times New Roman"/>
          <w:rtl/>
          <w:lang w:eastAsia="de-DE"/>
        </w:rPr>
        <w:t xml:space="preserve"> </w:t>
      </w:r>
      <w:r w:rsidRPr="00C22013">
        <w:rPr>
          <w:rFonts w:eastAsia="Times New Roman" w:cs="Times New Roman"/>
          <w:lang w:eastAsia="de-DE"/>
        </w:rPr>
        <w:t xml:space="preserve">(und die ganze Gemeinde führte ihn außerhalb des Lagers hinaus, und sie steinigten ihn mit Steinen und er starb) mit </w:t>
      </w:r>
      <w:r w:rsidRPr="00C22013">
        <w:rPr>
          <w:rFonts w:eastAsia="Times New Roman" w:cs="Times New Roman"/>
          <w:b/>
          <w:bCs/>
          <w:rtl/>
          <w:lang w:eastAsia="de-DE"/>
        </w:rPr>
        <w:t>יֹצִיאוּ אֹתוֹ</w:t>
      </w:r>
      <w:r w:rsidRPr="00C22013">
        <w:rPr>
          <w:rFonts w:eastAsia="Times New Roman" w:cs="Times New Roman"/>
          <w:rtl/>
          <w:lang w:eastAsia="de-DE"/>
        </w:rPr>
        <w:t xml:space="preserve"> </w:t>
      </w:r>
      <w:r w:rsidRPr="00C22013">
        <w:rPr>
          <w:rFonts w:eastAsia="Times New Roman" w:cs="Times New Roman"/>
          <w:lang w:eastAsia="de-DE"/>
        </w:rPr>
        <w:t xml:space="preserve">(sie führten ihn hinaus) von </w:t>
      </w:r>
      <w:r w:rsidRPr="00C22013">
        <w:rPr>
          <w:rFonts w:eastAsia="Times New Roman" w:cs="Times New Roman"/>
          <w:b/>
          <w:bCs/>
          <w:rtl/>
          <w:lang w:eastAsia="de-DE"/>
        </w:rPr>
        <w:t>יצא</w:t>
      </w:r>
      <w:r w:rsidRPr="00C22013">
        <w:rPr>
          <w:rFonts w:eastAsia="Times New Roman" w:cs="Times New Roman"/>
          <w:rtl/>
          <w:lang w:eastAsia="de-DE"/>
        </w:rPr>
        <w:t xml:space="preserve"> </w:t>
      </w:r>
      <w:r w:rsidRPr="00C22013">
        <w:rPr>
          <w:rFonts w:eastAsia="Times New Roman" w:cs="Times New Roman"/>
          <w:lang w:eastAsia="de-DE"/>
        </w:rPr>
        <w:t xml:space="preserve">(hinausführen) im Hiph'il, </w:t>
      </w:r>
      <w:r w:rsidRPr="00C22013">
        <w:rPr>
          <w:rFonts w:eastAsia="Times New Roman" w:cs="Times New Roman"/>
          <w:b/>
          <w:bCs/>
          <w:rtl/>
          <w:lang w:eastAsia="de-DE"/>
        </w:rPr>
        <w:t>יִּרְגְּמוּ אֹתוֹ בָּאֲבָנִים</w:t>
      </w:r>
      <w:r w:rsidRPr="00C22013">
        <w:rPr>
          <w:rFonts w:eastAsia="Times New Roman" w:cs="Times New Roman"/>
          <w:rtl/>
          <w:lang w:eastAsia="de-DE"/>
        </w:rPr>
        <w:t xml:space="preserve"> </w:t>
      </w:r>
      <w:r w:rsidRPr="00C22013">
        <w:rPr>
          <w:rFonts w:eastAsia="Times New Roman" w:cs="Times New Roman"/>
          <w:lang w:eastAsia="de-DE"/>
        </w:rPr>
        <w:t xml:space="preserve">(sie steinigten ihn mit Steinen) von </w:t>
      </w:r>
      <w:r w:rsidRPr="00C22013">
        <w:rPr>
          <w:rFonts w:eastAsia="Times New Roman" w:cs="Times New Roman"/>
          <w:b/>
          <w:bCs/>
          <w:rtl/>
          <w:lang w:eastAsia="de-DE"/>
        </w:rPr>
        <w:t>רגם</w:t>
      </w:r>
      <w:r w:rsidRPr="00C22013">
        <w:rPr>
          <w:rFonts w:eastAsia="Times New Roman" w:cs="Times New Roman"/>
          <w:rtl/>
          <w:lang w:eastAsia="de-DE"/>
        </w:rPr>
        <w:t xml:space="preserve"> </w:t>
      </w:r>
      <w:r w:rsidRPr="00C22013">
        <w:rPr>
          <w:rFonts w:eastAsia="Times New Roman" w:cs="Times New Roman"/>
          <w:lang w:eastAsia="de-DE"/>
        </w:rPr>
        <w:t xml:space="preserve">(steinigen) und </w:t>
      </w:r>
      <w:r w:rsidRPr="00C22013">
        <w:rPr>
          <w:rFonts w:eastAsia="Times New Roman" w:cs="Times New Roman"/>
          <w:b/>
          <w:bCs/>
          <w:rtl/>
          <w:lang w:eastAsia="de-DE"/>
        </w:rPr>
        <w:t>יָּמֹת</w:t>
      </w:r>
      <w:r w:rsidRPr="00C22013">
        <w:rPr>
          <w:rFonts w:eastAsia="Times New Roman" w:cs="Times New Roman"/>
          <w:rtl/>
          <w:lang w:eastAsia="de-DE"/>
        </w:rPr>
        <w:t xml:space="preserve"> </w:t>
      </w:r>
      <w:r w:rsidRPr="00C22013">
        <w:rPr>
          <w:rFonts w:eastAsia="Times New Roman" w:cs="Times New Roman"/>
          <w:lang w:eastAsia="de-DE"/>
        </w:rPr>
        <w:t xml:space="preserve">(er starb) von </w:t>
      </w:r>
      <w:r w:rsidRPr="00C22013">
        <w:rPr>
          <w:rFonts w:eastAsia="Times New Roman" w:cs="Times New Roman"/>
          <w:b/>
          <w:bCs/>
          <w:rtl/>
          <w:lang w:eastAsia="de-DE"/>
        </w:rPr>
        <w:t>מות</w:t>
      </w:r>
      <w:r w:rsidRPr="00C22013">
        <w:rPr>
          <w:rFonts w:eastAsia="Times New Roman" w:cs="Times New Roman"/>
          <w:rtl/>
          <w:lang w:eastAsia="de-DE"/>
        </w:rPr>
        <w:t xml:space="preserve"> </w:t>
      </w:r>
      <w:r w:rsidRPr="00C22013">
        <w:rPr>
          <w:rFonts w:eastAsia="Times New Roman" w:cs="Times New Roman"/>
          <w:lang w:eastAsia="de-DE"/>
        </w:rPr>
        <w:t>(sterben) zeigt die exakte Ausführung der göttlichen Anweisung.</w:t>
      </w:r>
    </w:p>
    <w:p w14:paraId="01AF068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Bestätigung </w:t>
      </w:r>
      <w:r w:rsidRPr="00C22013">
        <w:rPr>
          <w:rFonts w:eastAsia="Times New Roman" w:cs="Times New Roman"/>
          <w:b/>
          <w:bCs/>
          <w:rtl/>
          <w:lang w:eastAsia="de-DE"/>
        </w:rPr>
        <w:t>כַּאֲשֶׁ֛ר צִוָּ֥ה יְהוָ֖ה אֶת־מֹשֶֽׁה</w:t>
      </w:r>
      <w:r w:rsidRPr="00C22013">
        <w:rPr>
          <w:rFonts w:eastAsia="Times New Roman" w:cs="Times New Roman"/>
          <w:rtl/>
          <w:lang w:eastAsia="de-DE"/>
        </w:rPr>
        <w:t xml:space="preserve"> </w:t>
      </w:r>
      <w:r w:rsidRPr="00C22013">
        <w:rPr>
          <w:rFonts w:eastAsia="Times New Roman" w:cs="Times New Roman"/>
          <w:lang w:eastAsia="de-DE"/>
        </w:rPr>
        <w:t xml:space="preserve">(wie der Ewige Mose geboten hatte) mit </w:t>
      </w:r>
      <w:r w:rsidRPr="00C22013">
        <w:rPr>
          <w:rFonts w:eastAsia="Times New Roman" w:cs="Times New Roman"/>
          <w:b/>
          <w:bCs/>
          <w:rtl/>
          <w:lang w:eastAsia="de-DE"/>
        </w:rPr>
        <w:t>כַּאֲשֶׁר צִוָּה יְהוָה</w:t>
      </w:r>
      <w:r w:rsidRPr="00C22013">
        <w:rPr>
          <w:rFonts w:eastAsia="Times New Roman" w:cs="Times New Roman"/>
          <w:rtl/>
          <w:lang w:eastAsia="de-DE"/>
        </w:rPr>
        <w:t xml:space="preserve"> </w:t>
      </w:r>
      <w:r w:rsidRPr="00C22013">
        <w:rPr>
          <w:rFonts w:eastAsia="Times New Roman" w:cs="Times New Roman"/>
          <w:lang w:eastAsia="de-DE"/>
        </w:rPr>
        <w:t>(wie der Ewige geboten hatte) betont die präzise Befolgung des göttlichen Befehls.</w:t>
      </w:r>
    </w:p>
    <w:p w14:paraId="329A88B7" w14:textId="123EC5E5"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w:t>
      </w:r>
      <w:r w:rsidR="00ED3AE8">
        <w:t>wiederholt „πᾶσα ἡ συναγωγή" (die ganze Gemeinde) zweimal und fügt „ἔξω τῆς παρεμβολῆς" (außerhalb des Lagers) zweimal ein, während das Hebräische weniger repetitiv ist.</w:t>
      </w:r>
    </w:p>
    <w:p w14:paraId="6D7BB13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exakte Vollstreckung und göttliche Befehlsbestätigung.</w:t>
      </w:r>
    </w:p>
    <w:p w14:paraId="3D4B836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dokumentiert die präzise Ausführung der göttlichen Strafanordnung und schließt die Fallstudie ab.</w:t>
      </w:r>
    </w:p>
    <w:p w14:paraId="14FD8F4B"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15,37</w:t>
      </w:r>
    </w:p>
    <w:p w14:paraId="5E6EE78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וַיֹּ֥אמֶר יְהוָ֖ה אֶל־מֹשֶׁ֥ה לֵּאמֹֽר׃</w:t>
      </w:r>
    </w:p>
    <w:p w14:paraId="5FB59B4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der Ewige sprach zu Mosche, sagend:</w:t>
      </w:r>
    </w:p>
    <w:p w14:paraId="5513068D"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54BA4B3F">
          <v:rect id="_x0000_i1534" style="width:0;height:1.5pt" o:hralign="center" o:hrstd="t" o:hr="t" fillcolor="#a0a0a0" stroked="f"/>
        </w:pict>
      </w:r>
    </w:p>
    <w:p w14:paraId="55EF308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neue Redeeinleitung </w:t>
      </w:r>
      <w:r w:rsidRPr="00C22013">
        <w:rPr>
          <w:rFonts w:eastAsia="Times New Roman" w:cs="Times New Roman"/>
          <w:b/>
          <w:bCs/>
          <w:rtl/>
          <w:lang w:eastAsia="de-DE"/>
        </w:rPr>
        <w:t>וַיֹּ֥אמֶר יְהוָ֖ה אֶל־מֹשֶׁ֥ה לֵּאמֹֽר</w:t>
      </w:r>
      <w:r w:rsidRPr="00C22013">
        <w:rPr>
          <w:rFonts w:eastAsia="Times New Roman" w:cs="Times New Roman"/>
          <w:rtl/>
          <w:lang w:eastAsia="de-DE"/>
        </w:rPr>
        <w:t xml:space="preserve"> </w:t>
      </w:r>
      <w:r w:rsidRPr="00C22013">
        <w:rPr>
          <w:rFonts w:eastAsia="Times New Roman" w:cs="Times New Roman"/>
          <w:lang w:eastAsia="de-DE"/>
        </w:rPr>
        <w:t>(und der Ewige sprach zu Mose, sagend) leitet den vierten und letzten Hauptabschnitt von Kapitel 15 ein, der sich mit den Quasten (Zizit) beschäftigt.</w:t>
      </w:r>
    </w:p>
    <w:p w14:paraId="54268F8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mit der Standardformel καὶ εἶπεν κύριος πρὸς Μωυσῆν λέγων.</w:t>
      </w:r>
    </w:p>
    <w:p w14:paraId="665DF78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neue göttliche Offenbarungseinleitung.</w:t>
      </w:r>
    </w:p>
    <w:p w14:paraId="3DECDD3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leitet das Gebot der Quasten ein, das als positives Pendant zu den negativen Strafbestimmungen fungiert.</w:t>
      </w:r>
    </w:p>
    <w:p w14:paraId="42EE65A9"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15,38</w:t>
      </w:r>
    </w:p>
    <w:p w14:paraId="4EBEDB76"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דַּבֵּ֞ר אֶל־בְּנֵ֤י יִשְׂרָאֵל֙ וְאָמַרְתָּ֣ אֲלֵהֶ֔ם וְעָשׂ֨וּ לָהֶ֥ם צִיצִ֛ת עַל־כַּנְפֵ֥י בִגְדֵיהֶ֖ם לְדֹרֹתָ֑ם וְנָ֥תְנ֛וּ עַל־צִיצִ֥ת הַכָּנָ֖ף פְּתִ֥יל תְּכֵֽלֶת׃</w:t>
      </w:r>
    </w:p>
    <w:p w14:paraId="0AF61A4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Rede zu den Söhnen Jisra'els und sage ihnen, dass sie sich Quasten machen an den Zipfeln ihrer Kleider, bei ihren Geschlechtern, und dass sie an die Quaste des Zipfels eine Schnur von blauem Purpur setzen.</w:t>
      </w:r>
    </w:p>
    <w:p w14:paraId="1E5A0808"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09E599D7">
          <v:rect id="_x0000_i1535" style="width:0;height:1.5pt" o:hralign="center" o:hrstd="t" o:hr="t" fillcolor="#a0a0a0" stroked="f"/>
        </w:pict>
      </w:r>
    </w:p>
    <w:p w14:paraId="7EF2DB4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lastRenderedPageBreak/>
        <w:t>Kommentar:</w:t>
      </w:r>
      <w:r w:rsidRPr="00C22013">
        <w:rPr>
          <w:rFonts w:eastAsia="Times New Roman" w:cs="Times New Roman"/>
          <w:lang w:eastAsia="de-DE"/>
        </w:rPr>
        <w:t xml:space="preserve"> Die Übermittlungsanweisung </w:t>
      </w:r>
      <w:r w:rsidRPr="00C22013">
        <w:rPr>
          <w:rFonts w:eastAsia="Times New Roman" w:cs="Times New Roman"/>
          <w:b/>
          <w:bCs/>
          <w:rtl/>
          <w:lang w:eastAsia="de-DE"/>
        </w:rPr>
        <w:t>דַּבֵּ֞ר אֶל־בְּנֵ֤י יִשְׂרָאֵל֙ וְאָמַרְתָּ֣ אֲלֵהֶ֔ם</w:t>
      </w:r>
      <w:r w:rsidRPr="00C22013">
        <w:rPr>
          <w:rFonts w:eastAsia="Times New Roman" w:cs="Times New Roman"/>
          <w:rtl/>
          <w:lang w:eastAsia="de-DE"/>
        </w:rPr>
        <w:t xml:space="preserve"> </w:t>
      </w:r>
      <w:r w:rsidRPr="00C22013">
        <w:rPr>
          <w:rFonts w:eastAsia="Times New Roman" w:cs="Times New Roman"/>
          <w:lang w:eastAsia="de-DE"/>
        </w:rPr>
        <w:t>(rede zu den Söhnen Israels und sage ihnen) wiederholt die bekannte Formel.</w:t>
      </w:r>
    </w:p>
    <w:p w14:paraId="45D2C108"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Das Quastengebot </w:t>
      </w:r>
      <w:r w:rsidRPr="00C22013">
        <w:rPr>
          <w:rFonts w:eastAsia="Times New Roman" w:cs="Times New Roman"/>
          <w:b/>
          <w:bCs/>
          <w:rtl/>
          <w:lang w:eastAsia="de-DE"/>
        </w:rPr>
        <w:t>וְעָשׂ֨וּ לָהֶ֥ם צִיצִ֛ת עַל־כַּנְפֵ֥י בִגְדֵיהֶ֖ם לְדֹרֹתָ֑ם</w:t>
      </w:r>
      <w:r w:rsidRPr="00C22013">
        <w:rPr>
          <w:rFonts w:eastAsia="Times New Roman" w:cs="Times New Roman"/>
          <w:rtl/>
          <w:lang w:eastAsia="de-DE"/>
        </w:rPr>
        <w:t xml:space="preserve"> </w:t>
      </w:r>
      <w:r w:rsidRPr="00C22013">
        <w:rPr>
          <w:rFonts w:eastAsia="Times New Roman" w:cs="Times New Roman"/>
          <w:lang w:eastAsia="de-DE"/>
        </w:rPr>
        <w:t xml:space="preserve">(und sie sollen sich Quasten machen an den Zipfeln ihrer Kleider für ihre Geschlechter) mit </w:t>
      </w:r>
      <w:r w:rsidRPr="00C22013">
        <w:rPr>
          <w:rFonts w:eastAsia="Times New Roman" w:cs="Times New Roman"/>
          <w:b/>
          <w:bCs/>
          <w:rtl/>
          <w:lang w:eastAsia="de-DE"/>
        </w:rPr>
        <w:t>עָשׂוּ לָהֶם צִיצִת</w:t>
      </w:r>
      <w:r w:rsidRPr="00C22013">
        <w:rPr>
          <w:rFonts w:eastAsia="Times New Roman" w:cs="Times New Roman"/>
          <w:rtl/>
          <w:lang w:eastAsia="de-DE"/>
        </w:rPr>
        <w:t xml:space="preserve"> </w:t>
      </w:r>
      <w:r w:rsidRPr="00C22013">
        <w:rPr>
          <w:rFonts w:eastAsia="Times New Roman" w:cs="Times New Roman"/>
          <w:lang w:eastAsia="de-DE"/>
        </w:rPr>
        <w:t xml:space="preserve">(sie sollen sich Quasten machen), </w:t>
      </w:r>
      <w:r w:rsidRPr="00C22013">
        <w:rPr>
          <w:rFonts w:eastAsia="Times New Roman" w:cs="Times New Roman"/>
          <w:b/>
          <w:bCs/>
          <w:rtl/>
          <w:lang w:eastAsia="de-DE"/>
        </w:rPr>
        <w:t>עַל־כַּנְפֵי בִגְדֵיהֶם</w:t>
      </w:r>
      <w:r w:rsidRPr="00C22013">
        <w:rPr>
          <w:rFonts w:eastAsia="Times New Roman" w:cs="Times New Roman"/>
          <w:rtl/>
          <w:lang w:eastAsia="de-DE"/>
        </w:rPr>
        <w:t xml:space="preserve"> </w:t>
      </w:r>
      <w:r w:rsidRPr="00C22013">
        <w:rPr>
          <w:rFonts w:eastAsia="Times New Roman" w:cs="Times New Roman"/>
          <w:lang w:eastAsia="de-DE"/>
        </w:rPr>
        <w:t xml:space="preserve">(an den Zipfeln ihrer Kleider) und </w:t>
      </w:r>
      <w:r w:rsidRPr="00C22013">
        <w:rPr>
          <w:rFonts w:eastAsia="Times New Roman" w:cs="Times New Roman"/>
          <w:b/>
          <w:bCs/>
          <w:rtl/>
          <w:lang w:eastAsia="de-DE"/>
        </w:rPr>
        <w:t>לְדֹרֹתָם</w:t>
      </w:r>
      <w:r w:rsidRPr="00C22013">
        <w:rPr>
          <w:rFonts w:eastAsia="Times New Roman" w:cs="Times New Roman"/>
          <w:rtl/>
          <w:lang w:eastAsia="de-DE"/>
        </w:rPr>
        <w:t xml:space="preserve"> </w:t>
      </w:r>
      <w:r w:rsidRPr="00C22013">
        <w:rPr>
          <w:rFonts w:eastAsia="Times New Roman" w:cs="Times New Roman"/>
          <w:lang w:eastAsia="de-DE"/>
        </w:rPr>
        <w:t>(für ihre Geschlechter) zeigt das dauerhafte Gebot sichtbarer religiöser Zeichen.</w:t>
      </w:r>
    </w:p>
    <w:p w14:paraId="4144172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spezielle Schnur </w:t>
      </w:r>
      <w:r w:rsidRPr="00C22013">
        <w:rPr>
          <w:rFonts w:eastAsia="Times New Roman" w:cs="Times New Roman"/>
          <w:b/>
          <w:bCs/>
          <w:rtl/>
          <w:lang w:eastAsia="de-DE"/>
        </w:rPr>
        <w:t>וְנָ֥תְנ֛וּ עַל־צִיצִ֥ת הַכָּנָ֖ף פְּתִ֥יל תְּכֵֽלֶת</w:t>
      </w:r>
      <w:r w:rsidRPr="00C22013">
        <w:rPr>
          <w:rFonts w:eastAsia="Times New Roman" w:cs="Times New Roman"/>
          <w:rtl/>
          <w:lang w:eastAsia="de-DE"/>
        </w:rPr>
        <w:t xml:space="preserve"> </w:t>
      </w:r>
      <w:r w:rsidRPr="00C22013">
        <w:rPr>
          <w:rFonts w:eastAsia="Times New Roman" w:cs="Times New Roman"/>
          <w:lang w:eastAsia="de-DE"/>
        </w:rPr>
        <w:t xml:space="preserve">(und sie sollen an die Quaste des Zipfels eine Schnur von blauem Purpur setzen) mit </w:t>
      </w:r>
      <w:r w:rsidRPr="00C22013">
        <w:rPr>
          <w:rFonts w:eastAsia="Times New Roman" w:cs="Times New Roman"/>
          <w:b/>
          <w:bCs/>
          <w:rtl/>
          <w:lang w:eastAsia="de-DE"/>
        </w:rPr>
        <w:t>נָתְנוּ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נתן</w:t>
      </w:r>
      <w:r w:rsidRPr="00C22013">
        <w:rPr>
          <w:rFonts w:eastAsia="Times New Roman" w:cs="Times New Roman"/>
          <w:rtl/>
          <w:lang w:eastAsia="de-DE"/>
        </w:rPr>
        <w:t xml:space="preserve"> </w:t>
      </w:r>
      <w:r w:rsidRPr="00C22013">
        <w:rPr>
          <w:rFonts w:eastAsia="Times New Roman" w:cs="Times New Roman"/>
          <w:lang w:eastAsia="de-DE"/>
        </w:rPr>
        <w:t xml:space="preserve">(setzen), </w:t>
      </w:r>
      <w:r w:rsidRPr="00C22013">
        <w:rPr>
          <w:rFonts w:eastAsia="Times New Roman" w:cs="Times New Roman"/>
          <w:b/>
          <w:bCs/>
          <w:rtl/>
          <w:lang w:eastAsia="de-DE"/>
        </w:rPr>
        <w:t>צִיצִת הַכָּנָף</w:t>
      </w:r>
      <w:r w:rsidRPr="00C22013">
        <w:rPr>
          <w:rFonts w:eastAsia="Times New Roman" w:cs="Times New Roman"/>
          <w:rtl/>
          <w:lang w:eastAsia="de-DE"/>
        </w:rPr>
        <w:t xml:space="preserve"> </w:t>
      </w:r>
      <w:r w:rsidRPr="00C22013">
        <w:rPr>
          <w:rFonts w:eastAsia="Times New Roman" w:cs="Times New Roman"/>
          <w:lang w:eastAsia="de-DE"/>
        </w:rPr>
        <w:t xml:space="preserve">(Quaste des Zipfels) und </w:t>
      </w:r>
      <w:r w:rsidRPr="00C22013">
        <w:rPr>
          <w:rFonts w:eastAsia="Times New Roman" w:cs="Times New Roman"/>
          <w:b/>
          <w:bCs/>
          <w:rtl/>
          <w:lang w:eastAsia="de-DE"/>
        </w:rPr>
        <w:t>פְּתִיל תְּכֵלֶת</w:t>
      </w:r>
      <w:r w:rsidRPr="00C22013">
        <w:rPr>
          <w:rFonts w:eastAsia="Times New Roman" w:cs="Times New Roman"/>
          <w:rtl/>
          <w:lang w:eastAsia="de-DE"/>
        </w:rPr>
        <w:t xml:space="preserve"> </w:t>
      </w:r>
      <w:r w:rsidRPr="00C22013">
        <w:rPr>
          <w:rFonts w:eastAsia="Times New Roman" w:cs="Times New Roman"/>
          <w:lang w:eastAsia="de-DE"/>
        </w:rPr>
        <w:t>(Schnur von blauem Purpur) zeigt die besondere blaue Kennzeichnung.</w:t>
      </w:r>
    </w:p>
    <w:p w14:paraId="6C397621" w14:textId="3F7B029D"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 xml:space="preserve">Die </w:t>
      </w:r>
      <w:r w:rsidR="00ED3AE8">
        <w:t>übersetzt „</w:t>
      </w:r>
      <w:r w:rsidR="00ED3AE8" w:rsidRPr="00ED3AE8">
        <w:rPr>
          <w:b/>
          <w:bCs/>
          <w:rtl/>
        </w:rPr>
        <w:t>צִיצִת</w:t>
      </w:r>
      <w:r w:rsidR="00ED3AE8">
        <w:t>" (Quasten/Fransen) mit „κράσπεδα" (Säume/Fransen) und „</w:t>
      </w:r>
      <w:r w:rsidR="00ED3AE8" w:rsidRPr="00ED3AE8">
        <w:rPr>
          <w:b/>
          <w:bCs/>
          <w:rtl/>
        </w:rPr>
        <w:t>פְּתִיל תְּכֵלֶת</w:t>
      </w:r>
      <w:r w:rsidR="00ED3AE8">
        <w:t>" (eine Schnur von Blau) mit „κλῶσμα ὑακίνθινον" (ein hyazinthfarbener Faden), wobei „ὑακίνθινον" eher violett-blau als das hebräische Blau bezeichnet.</w:t>
      </w:r>
    </w:p>
    <w:p w14:paraId="7375C1F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Übermittlungsanweisung, dauerhaftes Quastengebot und spezielle blaue Kennzeichnung.</w:t>
      </w:r>
    </w:p>
    <w:p w14:paraId="079E922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etabliert das Zizit-Gebot als sichtbares Zeichen der Bundesbeziehung.</w:t>
      </w:r>
    </w:p>
    <w:p w14:paraId="1596A220"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15,39</w:t>
      </w:r>
    </w:p>
    <w:p w14:paraId="4ED666D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וְהָיָ֣ה לָכֶם֮ לְצִיצִת֒ וּרְאִיתֶ֣ם אֹתוֹ֗ וּזְכַרְתֶּם֙ אֶת־כָּל־מִצְוֹ֣ת יְהוָ֔ה וַעֲשִׂיתֶ֖ם אֹתָ֑ם וְלֹֽא־תָתֻ֜רוּ אַחֲרֵ֤י לְבַבְכֶם֙ וְאַחֲרֵ֣י עֵֽינֵיכֶ֔ם אֲשֶׁר־אַתֶּ֥ם זֹנִ֖ים אַחֲרֵיהֶֽם׃</w:t>
      </w:r>
    </w:p>
    <w:p w14:paraId="1233147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Und es soll euch zu einer Quaste sein, dass ihr sie anseht und euch an alle Gebote des Ewigen erinnert und sie tut, und dass ihr nicht auskundschaftet nach eurem Herzen und nach euren Augen, denen ihr nachzuhuren pflegt.</w:t>
      </w:r>
    </w:p>
    <w:p w14:paraId="4CA46647"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4DC3949B">
          <v:rect id="_x0000_i1536" style="width:0;height:1.5pt" o:hralign="center" o:hrstd="t" o:hr="t" fillcolor="#a0a0a0" stroked="f"/>
        </w:pict>
      </w:r>
    </w:p>
    <w:p w14:paraId="59F49E3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Der Zweck </w:t>
      </w:r>
      <w:r w:rsidRPr="00C22013">
        <w:rPr>
          <w:rFonts w:eastAsia="Times New Roman" w:cs="Times New Roman"/>
          <w:b/>
          <w:bCs/>
          <w:rtl/>
          <w:lang w:eastAsia="de-DE"/>
        </w:rPr>
        <w:t>וְהָיָ֣ה לָכֶם֮ לְצִיצִת֒ וּרְאִיתֶ֣ם אֹתוֹ֗ וּזְכַרְתֶּם֙ אֶת־כָּל־מִצְוֹ֣ת יְהוָ֔ה וַעֲשִׂיתֶ֖ם אֹתָ֑ם</w:t>
      </w:r>
      <w:r w:rsidRPr="00C22013">
        <w:rPr>
          <w:rFonts w:eastAsia="Times New Roman" w:cs="Times New Roman"/>
          <w:rtl/>
          <w:lang w:eastAsia="de-DE"/>
        </w:rPr>
        <w:t xml:space="preserve"> </w:t>
      </w:r>
      <w:r w:rsidRPr="00C22013">
        <w:rPr>
          <w:rFonts w:eastAsia="Times New Roman" w:cs="Times New Roman"/>
          <w:lang w:eastAsia="de-DE"/>
        </w:rPr>
        <w:t xml:space="preserve">(und es soll euch zur Quaste sein, und ihr sollt sie sehen und euch an alle Gebote des Ewigen erinnern und sie tun) mit </w:t>
      </w:r>
      <w:r w:rsidRPr="00C22013">
        <w:rPr>
          <w:rFonts w:eastAsia="Times New Roman" w:cs="Times New Roman"/>
          <w:b/>
          <w:bCs/>
          <w:rtl/>
          <w:lang w:eastAsia="de-DE"/>
        </w:rPr>
        <w:t>הָיָה לָכֶם לְצִיצִת</w:t>
      </w:r>
      <w:r w:rsidRPr="00C22013">
        <w:rPr>
          <w:rFonts w:eastAsia="Times New Roman" w:cs="Times New Roman"/>
          <w:rtl/>
          <w:lang w:eastAsia="de-DE"/>
        </w:rPr>
        <w:t xml:space="preserve"> </w:t>
      </w:r>
      <w:r w:rsidRPr="00C22013">
        <w:rPr>
          <w:rFonts w:eastAsia="Times New Roman" w:cs="Times New Roman"/>
          <w:lang w:eastAsia="de-DE"/>
        </w:rPr>
        <w:t xml:space="preserve">(es soll euch zur Quaste sein), </w:t>
      </w:r>
      <w:r w:rsidRPr="00C22013">
        <w:rPr>
          <w:rFonts w:eastAsia="Times New Roman" w:cs="Times New Roman"/>
          <w:b/>
          <w:bCs/>
          <w:rtl/>
          <w:lang w:eastAsia="de-DE"/>
        </w:rPr>
        <w:t>רְאִיתֶם אֹתוֹ</w:t>
      </w:r>
      <w:r w:rsidRPr="00C22013">
        <w:rPr>
          <w:rFonts w:eastAsia="Times New Roman" w:cs="Times New Roman"/>
          <w:rtl/>
          <w:lang w:eastAsia="de-DE"/>
        </w:rPr>
        <w:t xml:space="preserve"> </w:t>
      </w:r>
      <w:r w:rsidRPr="00C22013">
        <w:rPr>
          <w:rFonts w:eastAsia="Times New Roman" w:cs="Times New Roman"/>
          <w:lang w:eastAsia="de-DE"/>
        </w:rPr>
        <w:t xml:space="preserve">(ihr sollt sie sehen), </w:t>
      </w:r>
      <w:r w:rsidRPr="00C22013">
        <w:rPr>
          <w:rFonts w:eastAsia="Times New Roman" w:cs="Times New Roman"/>
          <w:b/>
          <w:bCs/>
          <w:rtl/>
          <w:lang w:eastAsia="de-DE"/>
        </w:rPr>
        <w:t>זְכַרְתֶּם אֶת־כָּל־מִצְוֹת יְהוָה</w:t>
      </w:r>
      <w:r w:rsidRPr="00C22013">
        <w:rPr>
          <w:rFonts w:eastAsia="Times New Roman" w:cs="Times New Roman"/>
          <w:rtl/>
          <w:lang w:eastAsia="de-DE"/>
        </w:rPr>
        <w:t xml:space="preserve"> </w:t>
      </w:r>
      <w:r w:rsidRPr="00C22013">
        <w:rPr>
          <w:rFonts w:eastAsia="Times New Roman" w:cs="Times New Roman"/>
          <w:lang w:eastAsia="de-DE"/>
        </w:rPr>
        <w:t xml:space="preserve">(ihr sollt euch an alle Gebote des Ewigen erinnern) und </w:t>
      </w:r>
      <w:r w:rsidRPr="00C22013">
        <w:rPr>
          <w:rFonts w:eastAsia="Times New Roman" w:cs="Times New Roman"/>
          <w:b/>
          <w:bCs/>
          <w:rtl/>
          <w:lang w:eastAsia="de-DE"/>
        </w:rPr>
        <w:t>עֲשִׂיתֶם אֹתָם</w:t>
      </w:r>
      <w:r w:rsidRPr="00C22013">
        <w:rPr>
          <w:rFonts w:eastAsia="Times New Roman" w:cs="Times New Roman"/>
          <w:rtl/>
          <w:lang w:eastAsia="de-DE"/>
        </w:rPr>
        <w:t xml:space="preserve"> </w:t>
      </w:r>
      <w:r w:rsidRPr="00C22013">
        <w:rPr>
          <w:rFonts w:eastAsia="Times New Roman" w:cs="Times New Roman"/>
          <w:lang w:eastAsia="de-DE"/>
        </w:rPr>
        <w:t>(ihr sollt sie tun) zeigt die dreifache Kette: Sehen → Erinnern → Handeln.</w:t>
      </w:r>
    </w:p>
    <w:p w14:paraId="18667774"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Warnung </w:t>
      </w:r>
      <w:r w:rsidRPr="00C22013">
        <w:rPr>
          <w:rFonts w:eastAsia="Times New Roman" w:cs="Times New Roman"/>
          <w:b/>
          <w:bCs/>
          <w:rtl/>
          <w:lang w:eastAsia="de-DE"/>
        </w:rPr>
        <w:t>וְלֹֽא־תָתֻ֜רוּ אַחֲרֵ֤י לְבַבְכֶם֙ וְאַחֲרֵ֣י עֵֽינֵיכֶ֔ם אֲשֶׁר־אַתֶּ֥ם זֹנִ֖ים אַחֲרֵיהֶֽם</w:t>
      </w:r>
      <w:r w:rsidRPr="00C22013">
        <w:rPr>
          <w:rFonts w:eastAsia="Times New Roman" w:cs="Times New Roman"/>
          <w:rtl/>
          <w:lang w:eastAsia="de-DE"/>
        </w:rPr>
        <w:t xml:space="preserve"> </w:t>
      </w:r>
      <w:r w:rsidRPr="00C22013">
        <w:rPr>
          <w:rFonts w:eastAsia="Times New Roman" w:cs="Times New Roman"/>
          <w:lang w:eastAsia="de-DE"/>
        </w:rPr>
        <w:t xml:space="preserve">(und ihr sollt nicht auskundschaften nach eurem Herzen und nach euren Augen, denen ihr nachzuhuren pflegt) mit </w:t>
      </w:r>
      <w:r w:rsidRPr="00C22013">
        <w:rPr>
          <w:rFonts w:eastAsia="Times New Roman" w:cs="Times New Roman"/>
          <w:b/>
          <w:bCs/>
          <w:rtl/>
          <w:lang w:eastAsia="de-DE"/>
        </w:rPr>
        <w:t>לֹא־תָתֻרוּ</w:t>
      </w:r>
      <w:r w:rsidRPr="00C22013">
        <w:rPr>
          <w:rFonts w:eastAsia="Times New Roman" w:cs="Times New Roman"/>
          <w:rtl/>
          <w:lang w:eastAsia="de-DE"/>
        </w:rPr>
        <w:t xml:space="preserve"> </w:t>
      </w:r>
      <w:r w:rsidRPr="00C22013">
        <w:rPr>
          <w:rFonts w:eastAsia="Times New Roman" w:cs="Times New Roman"/>
          <w:lang w:eastAsia="de-DE"/>
        </w:rPr>
        <w:t xml:space="preserve">(ihr sollt nicht auskundschaften) von </w:t>
      </w:r>
      <w:r w:rsidRPr="00C22013">
        <w:rPr>
          <w:rFonts w:eastAsia="Times New Roman" w:cs="Times New Roman"/>
          <w:b/>
          <w:bCs/>
          <w:rtl/>
          <w:lang w:eastAsia="de-DE"/>
        </w:rPr>
        <w:t>תור</w:t>
      </w:r>
      <w:r w:rsidRPr="00C22013">
        <w:rPr>
          <w:rFonts w:eastAsia="Times New Roman" w:cs="Times New Roman"/>
          <w:rtl/>
          <w:lang w:eastAsia="de-DE"/>
        </w:rPr>
        <w:t xml:space="preserve"> </w:t>
      </w:r>
      <w:r w:rsidRPr="00C22013">
        <w:rPr>
          <w:rFonts w:eastAsia="Times New Roman" w:cs="Times New Roman"/>
          <w:lang w:eastAsia="de-DE"/>
        </w:rPr>
        <w:t xml:space="preserve">(erkunden) - ironisch dasselbe Verb wie bei den Kundschaftern, </w:t>
      </w:r>
      <w:r w:rsidRPr="00C22013">
        <w:rPr>
          <w:rFonts w:eastAsia="Times New Roman" w:cs="Times New Roman"/>
          <w:b/>
          <w:bCs/>
          <w:rtl/>
          <w:lang w:eastAsia="de-DE"/>
        </w:rPr>
        <w:t>אַחֲרֵי לְבַבְכֶם וְאַחֲרֵי עֵינֵיכֶם</w:t>
      </w:r>
      <w:r w:rsidRPr="00C22013">
        <w:rPr>
          <w:rFonts w:eastAsia="Times New Roman" w:cs="Times New Roman"/>
          <w:rtl/>
          <w:lang w:eastAsia="de-DE"/>
        </w:rPr>
        <w:t xml:space="preserve"> </w:t>
      </w:r>
      <w:r w:rsidRPr="00C22013">
        <w:rPr>
          <w:rFonts w:eastAsia="Times New Roman" w:cs="Times New Roman"/>
          <w:lang w:eastAsia="de-DE"/>
        </w:rPr>
        <w:t xml:space="preserve">(nach eurem Herzen und nach euren Augen) und </w:t>
      </w:r>
      <w:r w:rsidRPr="00C22013">
        <w:rPr>
          <w:rFonts w:eastAsia="Times New Roman" w:cs="Times New Roman"/>
          <w:b/>
          <w:bCs/>
          <w:rtl/>
          <w:lang w:eastAsia="de-DE"/>
        </w:rPr>
        <w:t>זֹנִים אַחֲרֵיהֶם</w:t>
      </w:r>
      <w:r w:rsidRPr="00C22013">
        <w:rPr>
          <w:rFonts w:eastAsia="Times New Roman" w:cs="Times New Roman"/>
          <w:rtl/>
          <w:lang w:eastAsia="de-DE"/>
        </w:rPr>
        <w:t xml:space="preserve"> </w:t>
      </w:r>
      <w:r w:rsidRPr="00C22013">
        <w:rPr>
          <w:rFonts w:eastAsia="Times New Roman" w:cs="Times New Roman"/>
          <w:lang w:eastAsia="de-DE"/>
        </w:rPr>
        <w:t xml:space="preserve">(ihr hurt ihnen nach) von </w:t>
      </w:r>
      <w:r w:rsidRPr="00C22013">
        <w:rPr>
          <w:rFonts w:eastAsia="Times New Roman" w:cs="Times New Roman"/>
          <w:b/>
          <w:bCs/>
          <w:rtl/>
          <w:lang w:eastAsia="de-DE"/>
        </w:rPr>
        <w:t>זנה</w:t>
      </w:r>
      <w:r w:rsidRPr="00C22013">
        <w:rPr>
          <w:rFonts w:eastAsia="Times New Roman" w:cs="Times New Roman"/>
          <w:rtl/>
          <w:lang w:eastAsia="de-DE"/>
        </w:rPr>
        <w:t xml:space="preserve"> </w:t>
      </w:r>
      <w:r w:rsidRPr="00C22013">
        <w:rPr>
          <w:rFonts w:eastAsia="Times New Roman" w:cs="Times New Roman"/>
          <w:lang w:eastAsia="de-DE"/>
        </w:rPr>
        <w:t>(huren) zeigt die Gefahr autonomer moralischer Erkundung.</w:t>
      </w:r>
    </w:p>
    <w:p w14:paraId="2E015DF4" w14:textId="06563CE0"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 xml:space="preserve">Die </w:t>
      </w:r>
      <w:r w:rsidR="00ED3AE8">
        <w:t>übersetzt „</w:t>
      </w:r>
      <w:r w:rsidR="00ED3AE8" w:rsidRPr="00ED3AE8">
        <w:rPr>
          <w:b/>
          <w:bCs/>
          <w:rtl/>
        </w:rPr>
        <w:t>תָתֻרוּ</w:t>
      </w:r>
      <w:r w:rsidR="00ED3AE8">
        <w:t>" (ihr schweift umher/späht aus) mit „διαστραφήσεσθε" (ihr werdet abgelenkt/verdreht), was eine stärkere moralische Konnotation der Verirrung hat, und „</w:t>
      </w:r>
      <w:r w:rsidR="00ED3AE8" w:rsidRPr="00ED3AE8">
        <w:rPr>
          <w:b/>
          <w:bCs/>
          <w:rtl/>
        </w:rPr>
        <w:t>לְבַבְכֶם</w:t>
      </w:r>
      <w:r w:rsidR="00ED3AE8">
        <w:t xml:space="preserve">" </w:t>
      </w:r>
      <w:r w:rsidR="00ED3AE8">
        <w:lastRenderedPageBreak/>
        <w:t>(euer Herz) wird zu „τῶν διανοιῶν ὑμῶν" (eurer Gedanken/Überlegungen), eine Verschiebung vom Emotionalen zum Intellektuellen.</w:t>
      </w:r>
    </w:p>
    <w:p w14:paraId="057E380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positive Zweck-Kette und negative Warnungs-Kette vor autonomer Moral.</w:t>
      </w:r>
    </w:p>
    <w:p w14:paraId="56391F77" w14:textId="0F981139" w:rsid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das Zizit als Erinnerungshilfe gegen die Versuchung autonomer moralischer Erkundung.</w:t>
      </w:r>
    </w:p>
    <w:p w14:paraId="2C62454E" w14:textId="77777777" w:rsidR="00835420" w:rsidRPr="00835420" w:rsidRDefault="00835420" w:rsidP="00B00345">
      <w:pPr>
        <w:pStyle w:val="berschrift4"/>
        <w:rPr>
          <w:rFonts w:eastAsia="Times New Roman"/>
          <w:lang w:eastAsia="de-DE"/>
        </w:rPr>
      </w:pPr>
      <w:r w:rsidRPr="00835420">
        <w:rPr>
          <w:rFonts w:eastAsia="Times New Roman"/>
          <w:lang w:eastAsia="de-DE"/>
        </w:rPr>
        <w:t xml:space="preserve">Exkurs: </w:t>
      </w:r>
      <w:r w:rsidRPr="00B00345">
        <w:rPr>
          <w:rFonts w:eastAsia="Times New Roman"/>
          <w:i w:val="0"/>
          <w:iCs w:val="0"/>
          <w:rtl/>
          <w:lang w:eastAsia="de-DE"/>
        </w:rPr>
        <w:t>תור</w:t>
      </w:r>
      <w:r w:rsidRPr="00835420">
        <w:rPr>
          <w:rFonts w:eastAsia="Times New Roman"/>
          <w:lang w:eastAsia="de-DE"/>
        </w:rPr>
        <w:t>-Wortspiel – Von den Kundschaftern zur inneren Erkundung</w:t>
      </w:r>
    </w:p>
    <w:p w14:paraId="51098884" w14:textId="77777777" w:rsidR="00835420" w:rsidRP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 xml:space="preserve">Das Verb </w:t>
      </w:r>
      <w:r w:rsidRPr="00835420">
        <w:rPr>
          <w:rFonts w:eastAsia="Times New Roman" w:cs="Times New Roman"/>
          <w:b/>
          <w:bCs/>
          <w:rtl/>
          <w:lang w:eastAsia="de-DE"/>
        </w:rPr>
        <w:t>תור</w:t>
      </w:r>
      <w:r w:rsidRPr="00835420">
        <w:rPr>
          <w:rFonts w:eastAsia="Times New Roman" w:cs="Times New Roman"/>
          <w:b/>
          <w:bCs/>
          <w:lang w:eastAsia="de-DE"/>
        </w:rPr>
        <w:t xml:space="preserve"> (erkunden/auskundschaften/umherschweifen):</w:t>
      </w:r>
    </w:p>
    <w:p w14:paraId="75C71F38" w14:textId="46AB0934" w:rsidR="00835420" w:rsidRDefault="00835420" w:rsidP="00835420">
      <w:pPr>
        <w:spacing w:before="100" w:beforeAutospacing="1" w:after="100" w:afterAutospacing="1" w:line="240" w:lineRule="auto"/>
        <w:rPr>
          <w:rFonts w:eastAsia="Times New Roman" w:cs="Times New Roman"/>
          <w:b/>
          <w:bCs/>
          <w:lang w:eastAsia="de-DE"/>
        </w:rPr>
      </w:pPr>
      <w:r w:rsidRPr="00835420">
        <w:rPr>
          <w:rFonts w:eastAsia="Times New Roman" w:cs="Times New Roman"/>
          <w:b/>
          <w:bCs/>
          <w:lang w:eastAsia="de-DE"/>
        </w:rPr>
        <w:t>1. Numeri 13: Äußere Erkundung (des Landes)</w:t>
      </w:r>
    </w:p>
    <w:tbl>
      <w:tblPr>
        <w:tblStyle w:val="Tabellenraster"/>
        <w:tblW w:w="4994" w:type="pct"/>
        <w:tblLook w:val="04A0" w:firstRow="1" w:lastRow="0" w:firstColumn="1" w:lastColumn="0" w:noHBand="0" w:noVBand="1"/>
      </w:tblPr>
      <w:tblGrid>
        <w:gridCol w:w="1414"/>
        <w:gridCol w:w="3544"/>
        <w:gridCol w:w="4093"/>
      </w:tblGrid>
      <w:tr w:rsidR="00835420" w14:paraId="7D869F19" w14:textId="77777777" w:rsidTr="00835420">
        <w:tc>
          <w:tcPr>
            <w:tcW w:w="781" w:type="pct"/>
            <w:vAlign w:val="center"/>
          </w:tcPr>
          <w:p w14:paraId="321523B3" w14:textId="182A7EB7"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Stelle</w:t>
            </w:r>
          </w:p>
        </w:tc>
        <w:tc>
          <w:tcPr>
            <w:tcW w:w="1958" w:type="pct"/>
            <w:vAlign w:val="center"/>
          </w:tcPr>
          <w:p w14:paraId="70074C30" w14:textId="314BFA7D"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Hebräisch</w:t>
            </w:r>
          </w:p>
        </w:tc>
        <w:tc>
          <w:tcPr>
            <w:tcW w:w="2262" w:type="pct"/>
            <w:vAlign w:val="center"/>
          </w:tcPr>
          <w:p w14:paraId="6302CD30" w14:textId="4AD5563D"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Bedeutung</w:t>
            </w:r>
          </w:p>
        </w:tc>
      </w:tr>
      <w:tr w:rsidR="00835420" w14:paraId="53AC0BE9" w14:textId="77777777" w:rsidTr="00835420">
        <w:tc>
          <w:tcPr>
            <w:tcW w:w="781" w:type="pct"/>
            <w:vAlign w:val="center"/>
          </w:tcPr>
          <w:p w14:paraId="30927B2B" w14:textId="666C8DED"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13,2</w:t>
            </w:r>
          </w:p>
        </w:tc>
        <w:tc>
          <w:tcPr>
            <w:tcW w:w="1958" w:type="pct"/>
            <w:vAlign w:val="center"/>
          </w:tcPr>
          <w:p w14:paraId="7E8BE879" w14:textId="6D8DAE63"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 xml:space="preserve">שְׁלַח־לְךָ אֲנָשִׁים </w:t>
            </w:r>
            <w:r w:rsidRPr="00835420">
              <w:rPr>
                <w:rFonts w:eastAsia="Times New Roman" w:cs="Times New Roman"/>
                <w:b/>
                <w:bCs/>
                <w:rtl/>
                <w:lang w:eastAsia="de-DE"/>
              </w:rPr>
              <w:t>וְיָתֻרוּ</w:t>
            </w:r>
            <w:r w:rsidRPr="00835420">
              <w:rPr>
                <w:rFonts w:eastAsia="Times New Roman" w:cs="Times New Roman"/>
                <w:rtl/>
                <w:lang w:eastAsia="de-DE"/>
              </w:rPr>
              <w:t xml:space="preserve"> אֶת־אֶרֶץ כְּנַעַן</w:t>
            </w:r>
          </w:p>
        </w:tc>
        <w:tc>
          <w:tcPr>
            <w:tcW w:w="2262" w:type="pct"/>
            <w:vAlign w:val="center"/>
          </w:tcPr>
          <w:p w14:paraId="58627193" w14:textId="6F67FE61"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"Sende Männer aus, dass sie das Land Kanaan </w:t>
            </w:r>
            <w:r w:rsidRPr="00835420">
              <w:rPr>
                <w:rFonts w:eastAsia="Times New Roman" w:cs="Times New Roman"/>
                <w:b/>
                <w:bCs/>
                <w:lang w:eastAsia="de-DE"/>
              </w:rPr>
              <w:t>auskundschaften</w:t>
            </w:r>
            <w:r w:rsidRPr="00835420">
              <w:rPr>
                <w:rFonts w:eastAsia="Times New Roman" w:cs="Times New Roman"/>
                <w:lang w:eastAsia="de-DE"/>
              </w:rPr>
              <w:t>"</w:t>
            </w:r>
          </w:p>
        </w:tc>
      </w:tr>
      <w:tr w:rsidR="00835420" w14:paraId="1419E771" w14:textId="77777777" w:rsidTr="00835420">
        <w:tc>
          <w:tcPr>
            <w:tcW w:w="781" w:type="pct"/>
            <w:vAlign w:val="center"/>
          </w:tcPr>
          <w:p w14:paraId="0A51DEFC" w14:textId="0396B72B"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13,16</w:t>
            </w:r>
          </w:p>
        </w:tc>
        <w:tc>
          <w:tcPr>
            <w:tcW w:w="1958" w:type="pct"/>
            <w:vAlign w:val="center"/>
          </w:tcPr>
          <w:p w14:paraId="01E42E43" w14:textId="47FD9DB3"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 xml:space="preserve">הָאֲנָשִׁים אֲשֶׁר־שָׁלַח מֹשֶׁה </w:t>
            </w:r>
            <w:r w:rsidRPr="00835420">
              <w:rPr>
                <w:rFonts w:eastAsia="Times New Roman" w:cs="Times New Roman"/>
                <w:b/>
                <w:bCs/>
                <w:rtl/>
                <w:lang w:eastAsia="de-DE"/>
              </w:rPr>
              <w:t>לָתוּר</w:t>
            </w:r>
            <w:r w:rsidRPr="00835420">
              <w:rPr>
                <w:rFonts w:eastAsia="Times New Roman" w:cs="Times New Roman"/>
                <w:rtl/>
                <w:lang w:eastAsia="de-DE"/>
              </w:rPr>
              <w:t xml:space="preserve"> אֶת־הָאָרֶץ</w:t>
            </w:r>
          </w:p>
        </w:tc>
        <w:tc>
          <w:tcPr>
            <w:tcW w:w="2262" w:type="pct"/>
            <w:vAlign w:val="center"/>
          </w:tcPr>
          <w:p w14:paraId="29CF631C" w14:textId="6797B4E4"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"Die Männer, die Mose aussandte, </w:t>
            </w:r>
            <w:r w:rsidRPr="00835420">
              <w:rPr>
                <w:rFonts w:eastAsia="Times New Roman" w:cs="Times New Roman"/>
                <w:b/>
                <w:bCs/>
                <w:lang w:eastAsia="de-DE"/>
              </w:rPr>
              <w:t>um das Land auszukundschaften</w:t>
            </w:r>
            <w:r w:rsidRPr="00835420">
              <w:rPr>
                <w:rFonts w:eastAsia="Times New Roman" w:cs="Times New Roman"/>
                <w:lang w:eastAsia="de-DE"/>
              </w:rPr>
              <w:t>"</w:t>
            </w:r>
          </w:p>
        </w:tc>
      </w:tr>
      <w:tr w:rsidR="00835420" w14:paraId="17F58F9C" w14:textId="77777777" w:rsidTr="00835420">
        <w:tc>
          <w:tcPr>
            <w:tcW w:w="781" w:type="pct"/>
            <w:vAlign w:val="center"/>
          </w:tcPr>
          <w:p w14:paraId="40D0A25B" w14:textId="42037900"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13,17</w:t>
            </w:r>
          </w:p>
        </w:tc>
        <w:tc>
          <w:tcPr>
            <w:tcW w:w="1958" w:type="pct"/>
            <w:vAlign w:val="center"/>
          </w:tcPr>
          <w:p w14:paraId="1EF161C4" w14:textId="1A45DD9A"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 xml:space="preserve">וַיִּשְׁלַח אֹתָם מֹשֶׁה </w:t>
            </w:r>
            <w:r w:rsidRPr="00835420">
              <w:rPr>
                <w:rFonts w:eastAsia="Times New Roman" w:cs="Times New Roman"/>
                <w:b/>
                <w:bCs/>
                <w:rtl/>
                <w:lang w:eastAsia="de-DE"/>
              </w:rPr>
              <w:t>לָתוּר</w:t>
            </w:r>
            <w:r w:rsidRPr="00835420">
              <w:rPr>
                <w:rFonts w:eastAsia="Times New Roman" w:cs="Times New Roman"/>
                <w:rtl/>
                <w:lang w:eastAsia="de-DE"/>
              </w:rPr>
              <w:t xml:space="preserve"> אֶת־אֶרֶץ כְּנָעַן</w:t>
            </w:r>
          </w:p>
        </w:tc>
        <w:tc>
          <w:tcPr>
            <w:tcW w:w="2262" w:type="pct"/>
            <w:vAlign w:val="center"/>
          </w:tcPr>
          <w:p w14:paraId="2D40547A" w14:textId="0553264E"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"Und Mose sandte sie, </w:t>
            </w:r>
            <w:r w:rsidRPr="00835420">
              <w:rPr>
                <w:rFonts w:eastAsia="Times New Roman" w:cs="Times New Roman"/>
                <w:b/>
                <w:bCs/>
                <w:lang w:eastAsia="de-DE"/>
              </w:rPr>
              <w:t>um das Land Kanaan auszukundschaften</w:t>
            </w:r>
            <w:r w:rsidRPr="00835420">
              <w:rPr>
                <w:rFonts w:eastAsia="Times New Roman" w:cs="Times New Roman"/>
                <w:lang w:eastAsia="de-DE"/>
              </w:rPr>
              <w:t>"</w:t>
            </w:r>
          </w:p>
        </w:tc>
      </w:tr>
      <w:tr w:rsidR="00835420" w14:paraId="6C3E3B1A" w14:textId="77777777" w:rsidTr="00835420">
        <w:tc>
          <w:tcPr>
            <w:tcW w:w="781" w:type="pct"/>
            <w:vAlign w:val="center"/>
          </w:tcPr>
          <w:p w14:paraId="42930B7E" w14:textId="61F12B24"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13,21</w:t>
            </w:r>
          </w:p>
        </w:tc>
        <w:tc>
          <w:tcPr>
            <w:tcW w:w="1958" w:type="pct"/>
            <w:vAlign w:val="center"/>
          </w:tcPr>
          <w:p w14:paraId="1E2CC6FA" w14:textId="7C10F5BE"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 xml:space="preserve">וַיַּעֲלוּ </w:t>
            </w:r>
            <w:r w:rsidRPr="00835420">
              <w:rPr>
                <w:rFonts w:eastAsia="Times New Roman" w:cs="Times New Roman"/>
                <w:b/>
                <w:bCs/>
                <w:rtl/>
                <w:lang w:eastAsia="de-DE"/>
              </w:rPr>
              <w:t>וַיָּתֻרוּ</w:t>
            </w:r>
            <w:r w:rsidRPr="00835420">
              <w:rPr>
                <w:rFonts w:eastAsia="Times New Roman" w:cs="Times New Roman"/>
                <w:rtl/>
                <w:lang w:eastAsia="de-DE"/>
              </w:rPr>
              <w:t xml:space="preserve"> אֶת־הָאָרֶץ</w:t>
            </w:r>
          </w:p>
        </w:tc>
        <w:tc>
          <w:tcPr>
            <w:tcW w:w="2262" w:type="pct"/>
            <w:vAlign w:val="center"/>
          </w:tcPr>
          <w:p w14:paraId="36DA355E" w14:textId="31B068EB"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"Und sie zogen hinauf und </w:t>
            </w:r>
            <w:r w:rsidRPr="00835420">
              <w:rPr>
                <w:rFonts w:eastAsia="Times New Roman" w:cs="Times New Roman"/>
                <w:b/>
                <w:bCs/>
                <w:lang w:eastAsia="de-DE"/>
              </w:rPr>
              <w:t>kundschafteten das Land aus</w:t>
            </w:r>
            <w:r w:rsidRPr="00835420">
              <w:rPr>
                <w:rFonts w:eastAsia="Times New Roman" w:cs="Times New Roman"/>
                <w:lang w:eastAsia="de-DE"/>
              </w:rPr>
              <w:t>"</w:t>
            </w:r>
          </w:p>
        </w:tc>
      </w:tr>
      <w:tr w:rsidR="00835420" w14:paraId="480814F4" w14:textId="77777777" w:rsidTr="00835420">
        <w:tc>
          <w:tcPr>
            <w:tcW w:w="781" w:type="pct"/>
            <w:vAlign w:val="center"/>
          </w:tcPr>
          <w:p w14:paraId="2A6E3A20" w14:textId="57B5D29E"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13,25</w:t>
            </w:r>
          </w:p>
        </w:tc>
        <w:tc>
          <w:tcPr>
            <w:tcW w:w="1958" w:type="pct"/>
            <w:vAlign w:val="center"/>
          </w:tcPr>
          <w:p w14:paraId="61B8A3D5" w14:textId="755DC9AB"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 xml:space="preserve">וַיָּשֻׁבוּ </w:t>
            </w:r>
            <w:r w:rsidRPr="00835420">
              <w:rPr>
                <w:rFonts w:eastAsia="Times New Roman" w:cs="Times New Roman"/>
                <w:b/>
                <w:bCs/>
                <w:rtl/>
                <w:lang w:eastAsia="de-DE"/>
              </w:rPr>
              <w:t>מִתּוּר</w:t>
            </w:r>
            <w:r w:rsidRPr="00835420">
              <w:rPr>
                <w:rFonts w:eastAsia="Times New Roman" w:cs="Times New Roman"/>
                <w:rtl/>
                <w:lang w:eastAsia="de-DE"/>
              </w:rPr>
              <w:t xml:space="preserve"> הָאָרֶץ</w:t>
            </w:r>
          </w:p>
        </w:tc>
        <w:tc>
          <w:tcPr>
            <w:tcW w:w="2262" w:type="pct"/>
            <w:vAlign w:val="center"/>
          </w:tcPr>
          <w:p w14:paraId="037203CA" w14:textId="2A0E8FE5"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"Und sie kehrten zurück </w:t>
            </w:r>
            <w:r w:rsidRPr="00835420">
              <w:rPr>
                <w:rFonts w:eastAsia="Times New Roman" w:cs="Times New Roman"/>
                <w:b/>
                <w:bCs/>
                <w:lang w:eastAsia="de-DE"/>
              </w:rPr>
              <w:t>vom Auskundschaften</w:t>
            </w:r>
            <w:r w:rsidRPr="00835420">
              <w:rPr>
                <w:rFonts w:eastAsia="Times New Roman" w:cs="Times New Roman"/>
                <w:lang w:eastAsia="de-DE"/>
              </w:rPr>
              <w:t xml:space="preserve"> des Landes"</w:t>
            </w:r>
          </w:p>
        </w:tc>
      </w:tr>
      <w:tr w:rsidR="00835420" w14:paraId="7986DA44" w14:textId="77777777" w:rsidTr="00835420">
        <w:tc>
          <w:tcPr>
            <w:tcW w:w="781" w:type="pct"/>
            <w:vAlign w:val="center"/>
          </w:tcPr>
          <w:p w14:paraId="7918B3CC" w14:textId="0BB317E4"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13,32</w:t>
            </w:r>
          </w:p>
        </w:tc>
        <w:tc>
          <w:tcPr>
            <w:tcW w:w="1958" w:type="pct"/>
            <w:vAlign w:val="center"/>
          </w:tcPr>
          <w:p w14:paraId="43B68D2C" w14:textId="70A8352E"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 xml:space="preserve">וַיּוֹצִיאוּ דִּבַּת הָאָרֶץ אֲשֶׁר </w:t>
            </w:r>
            <w:r w:rsidRPr="00835420">
              <w:rPr>
                <w:rFonts w:eastAsia="Times New Roman" w:cs="Times New Roman"/>
                <w:b/>
                <w:bCs/>
                <w:rtl/>
                <w:lang w:eastAsia="de-DE"/>
              </w:rPr>
              <w:t>תָּרוּ</w:t>
            </w:r>
            <w:r w:rsidRPr="00835420">
              <w:rPr>
                <w:rFonts w:eastAsia="Times New Roman" w:cs="Times New Roman"/>
                <w:rtl/>
                <w:lang w:eastAsia="de-DE"/>
              </w:rPr>
              <w:t xml:space="preserve"> אֹתָהּ</w:t>
            </w:r>
          </w:p>
        </w:tc>
        <w:tc>
          <w:tcPr>
            <w:tcW w:w="2262" w:type="pct"/>
            <w:vAlign w:val="center"/>
          </w:tcPr>
          <w:p w14:paraId="4D52B8C2" w14:textId="000D1E20"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"Und sie brachten ein böses Gerücht über das Land aus, das sie </w:t>
            </w:r>
            <w:r w:rsidRPr="00835420">
              <w:rPr>
                <w:rFonts w:eastAsia="Times New Roman" w:cs="Times New Roman"/>
                <w:b/>
                <w:bCs/>
                <w:lang w:eastAsia="de-DE"/>
              </w:rPr>
              <w:t>ausgekundschaftet</w:t>
            </w:r>
            <w:r w:rsidRPr="00835420">
              <w:rPr>
                <w:rFonts w:eastAsia="Times New Roman" w:cs="Times New Roman"/>
                <w:lang w:eastAsia="de-DE"/>
              </w:rPr>
              <w:t xml:space="preserve"> hatten"</w:t>
            </w:r>
          </w:p>
        </w:tc>
      </w:tr>
    </w:tbl>
    <w:p w14:paraId="2A8CF040" w14:textId="77777777" w:rsidR="00835420" w:rsidRPr="00835420" w:rsidRDefault="00835420" w:rsidP="00835420">
      <w:pPr>
        <w:pStyle w:val="KeinLeerraum"/>
        <w:rPr>
          <w:lang w:eastAsia="de-DE"/>
        </w:rPr>
      </w:pPr>
    </w:p>
    <w:p w14:paraId="473C1E2F" w14:textId="77777777" w:rsidR="00835420" w:rsidRP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 Total: 6x in Num 13!</w:t>
      </w:r>
    </w:p>
    <w:p w14:paraId="685ED2DA" w14:textId="77777777" w:rsidR="00835420" w:rsidRP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2. Numeri 15,39: Innere Erkundung (des Herzens)</w:t>
      </w:r>
    </w:p>
    <w:p w14:paraId="18CBF6F9" w14:textId="77777777" w:rsidR="00835420" w:rsidRPr="00835420" w:rsidRDefault="00835420" w:rsidP="00835420">
      <w:pPr>
        <w:spacing w:beforeAutospacing="1" w:after="100" w:afterAutospacing="1" w:line="240" w:lineRule="auto"/>
        <w:rPr>
          <w:rFonts w:eastAsia="Times New Roman" w:cs="Times New Roman"/>
          <w:lang w:eastAsia="de-DE"/>
        </w:rPr>
      </w:pPr>
      <w:r w:rsidRPr="00835420">
        <w:rPr>
          <w:rFonts w:eastAsia="Times New Roman" w:cs="Times New Roman"/>
          <w:rtl/>
          <w:lang w:eastAsia="de-DE"/>
        </w:rPr>
        <w:t>וְלֹא־תָתֻרוּ אַחֲרֵי לְבַבְכֶם וְאַחֲרֵי עֵינֵיכֶם אֲשֶׁר־אַתֶּם זֹנִים אַחֲרֵיהֶם</w:t>
      </w:r>
      <w:r w:rsidRPr="00835420">
        <w:rPr>
          <w:rFonts w:eastAsia="Times New Roman" w:cs="Times New Roman"/>
          <w:lang w:eastAsia="de-DE"/>
        </w:rPr>
        <w:br/>
        <w:t xml:space="preserve">"Und ihr sollt nicht </w:t>
      </w:r>
      <w:r w:rsidRPr="00835420">
        <w:rPr>
          <w:rFonts w:eastAsia="Times New Roman" w:cs="Times New Roman"/>
          <w:b/>
          <w:bCs/>
          <w:lang w:eastAsia="de-DE"/>
        </w:rPr>
        <w:t>auskundschaften</w:t>
      </w:r>
      <w:r w:rsidRPr="00835420">
        <w:rPr>
          <w:rFonts w:eastAsia="Times New Roman" w:cs="Times New Roman"/>
          <w:lang w:eastAsia="de-DE"/>
        </w:rPr>
        <w:t xml:space="preserve"> nach eurem Herzen und nach euren Augen, denen ihr nachzuhuren pflegt."</w:t>
      </w:r>
    </w:p>
    <w:p w14:paraId="63CE7902" w14:textId="050D460C" w:rsidR="00835420" w:rsidRDefault="00835420" w:rsidP="00835420">
      <w:pPr>
        <w:spacing w:before="100" w:beforeAutospacing="1" w:after="100" w:afterAutospacing="1" w:line="240" w:lineRule="auto"/>
        <w:rPr>
          <w:rFonts w:eastAsia="Times New Roman" w:cs="Times New Roman"/>
          <w:b/>
          <w:bCs/>
          <w:lang w:eastAsia="de-DE"/>
        </w:rPr>
      </w:pPr>
      <w:r w:rsidRPr="00835420">
        <w:rPr>
          <w:rFonts w:eastAsia="Times New Roman" w:cs="Times New Roman"/>
          <w:b/>
          <w:bCs/>
          <w:lang w:eastAsia="de-DE"/>
        </w:rPr>
        <w:t>Die Parallele:</w:t>
      </w:r>
    </w:p>
    <w:tbl>
      <w:tblPr>
        <w:tblStyle w:val="Tabellenraster"/>
        <w:tblW w:w="4994" w:type="pct"/>
        <w:tblLook w:val="04A0" w:firstRow="1" w:lastRow="0" w:firstColumn="1" w:lastColumn="0" w:noHBand="0" w:noVBand="1"/>
      </w:tblPr>
      <w:tblGrid>
        <w:gridCol w:w="3015"/>
        <w:gridCol w:w="3018"/>
        <w:gridCol w:w="3018"/>
      </w:tblGrid>
      <w:tr w:rsidR="00835420" w14:paraId="53D476DA" w14:textId="77777777" w:rsidTr="00B376A1">
        <w:tc>
          <w:tcPr>
            <w:tcW w:w="1666" w:type="pct"/>
            <w:vAlign w:val="center"/>
          </w:tcPr>
          <w:p w14:paraId="78E12D1A" w14:textId="4D93F49A"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Aspekt</w:t>
            </w:r>
          </w:p>
        </w:tc>
        <w:tc>
          <w:tcPr>
            <w:tcW w:w="1667" w:type="pct"/>
            <w:vAlign w:val="center"/>
          </w:tcPr>
          <w:p w14:paraId="718C2938" w14:textId="401B9B13"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13 (Kundschafter)</w:t>
            </w:r>
          </w:p>
        </w:tc>
        <w:tc>
          <w:tcPr>
            <w:tcW w:w="1667" w:type="pct"/>
            <w:vAlign w:val="center"/>
          </w:tcPr>
          <w:p w14:paraId="291633F8" w14:textId="7E190DA7"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15,39 (Zizit-Warnung)</w:t>
            </w:r>
          </w:p>
        </w:tc>
      </w:tr>
      <w:tr w:rsidR="00835420" w14:paraId="61BE6DED" w14:textId="77777777" w:rsidTr="00C96CF4">
        <w:tc>
          <w:tcPr>
            <w:tcW w:w="1666" w:type="pct"/>
            <w:vAlign w:val="center"/>
          </w:tcPr>
          <w:p w14:paraId="18E06728" w14:textId="0BCC9DDB"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Verb</w:t>
            </w:r>
          </w:p>
        </w:tc>
        <w:tc>
          <w:tcPr>
            <w:tcW w:w="1667" w:type="pct"/>
            <w:vAlign w:val="center"/>
          </w:tcPr>
          <w:p w14:paraId="73E23AD3" w14:textId="43D08C89"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תור</w:t>
            </w:r>
            <w:r w:rsidRPr="00835420">
              <w:rPr>
                <w:rFonts w:eastAsia="Times New Roman" w:cs="Times New Roman"/>
                <w:lang w:eastAsia="de-DE"/>
              </w:rPr>
              <w:t xml:space="preserve"> (auskundschaften)</w:t>
            </w:r>
          </w:p>
        </w:tc>
        <w:tc>
          <w:tcPr>
            <w:tcW w:w="1667" w:type="pct"/>
            <w:vAlign w:val="center"/>
          </w:tcPr>
          <w:p w14:paraId="48F7B3ED" w14:textId="32AC4387"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תור</w:t>
            </w:r>
            <w:r w:rsidRPr="00835420">
              <w:rPr>
                <w:rFonts w:eastAsia="Times New Roman" w:cs="Times New Roman"/>
                <w:lang w:eastAsia="de-DE"/>
              </w:rPr>
              <w:t xml:space="preserve"> (auskundschaften)</w:t>
            </w:r>
          </w:p>
        </w:tc>
      </w:tr>
      <w:tr w:rsidR="00835420" w14:paraId="38C63AEA" w14:textId="77777777" w:rsidTr="00C96CF4">
        <w:tc>
          <w:tcPr>
            <w:tcW w:w="1666" w:type="pct"/>
            <w:vAlign w:val="center"/>
          </w:tcPr>
          <w:p w14:paraId="618C0D57" w14:textId="15A77121"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Objekt</w:t>
            </w:r>
          </w:p>
        </w:tc>
        <w:tc>
          <w:tcPr>
            <w:tcW w:w="1667" w:type="pct"/>
            <w:vAlign w:val="center"/>
          </w:tcPr>
          <w:p w14:paraId="54E8A031" w14:textId="53ABC5B8"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אֶת־הָאָרֶץ</w:t>
            </w:r>
            <w:r w:rsidRPr="00835420">
              <w:rPr>
                <w:rFonts w:eastAsia="Times New Roman" w:cs="Times New Roman"/>
                <w:lang w:eastAsia="de-DE"/>
              </w:rPr>
              <w:t xml:space="preserve"> (das Land)</w:t>
            </w:r>
          </w:p>
        </w:tc>
        <w:tc>
          <w:tcPr>
            <w:tcW w:w="1667" w:type="pct"/>
            <w:vAlign w:val="center"/>
          </w:tcPr>
          <w:p w14:paraId="7B564C9E" w14:textId="7FCD0FA9"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אַחֲרֵי לְבַבְכֶם</w:t>
            </w:r>
            <w:r w:rsidRPr="00835420">
              <w:rPr>
                <w:rFonts w:eastAsia="Times New Roman" w:cs="Times New Roman"/>
                <w:lang w:eastAsia="de-DE"/>
              </w:rPr>
              <w:t xml:space="preserve"> (nach eurem Herzen)</w:t>
            </w:r>
          </w:p>
        </w:tc>
      </w:tr>
      <w:tr w:rsidR="00835420" w14:paraId="223AC74E" w14:textId="77777777" w:rsidTr="00C96CF4">
        <w:tc>
          <w:tcPr>
            <w:tcW w:w="1666" w:type="pct"/>
            <w:vAlign w:val="center"/>
          </w:tcPr>
          <w:p w14:paraId="27CF040B" w14:textId="78DED534"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Problem</w:t>
            </w:r>
          </w:p>
        </w:tc>
        <w:tc>
          <w:tcPr>
            <w:tcW w:w="1667" w:type="pct"/>
            <w:vAlign w:val="center"/>
          </w:tcPr>
          <w:p w14:paraId="4BDAD617" w14:textId="17A63430"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Sie sahen mit </w:t>
            </w:r>
            <w:r w:rsidRPr="00835420">
              <w:rPr>
                <w:rFonts w:eastAsia="Times New Roman" w:cs="Times New Roman"/>
                <w:b/>
                <w:bCs/>
                <w:lang w:eastAsia="de-DE"/>
              </w:rPr>
              <w:t>falschen Augen</w:t>
            </w:r>
            <w:r w:rsidRPr="00835420">
              <w:rPr>
                <w:rFonts w:eastAsia="Times New Roman" w:cs="Times New Roman"/>
                <w:lang w:eastAsia="de-DE"/>
              </w:rPr>
              <w:t xml:space="preserve"> (Riesen, nicht Gottes Macht)</w:t>
            </w:r>
          </w:p>
        </w:tc>
        <w:tc>
          <w:tcPr>
            <w:tcW w:w="1667" w:type="pct"/>
            <w:vAlign w:val="center"/>
          </w:tcPr>
          <w:p w14:paraId="2553FDC2" w14:textId="5E2CD87F"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Ihr sollt nicht nach </w:t>
            </w:r>
            <w:r w:rsidRPr="00835420">
              <w:rPr>
                <w:rFonts w:eastAsia="Times New Roman" w:cs="Times New Roman"/>
                <w:b/>
                <w:bCs/>
                <w:lang w:eastAsia="de-DE"/>
              </w:rPr>
              <w:t>euren Augen</w:t>
            </w:r>
            <w:r w:rsidRPr="00835420">
              <w:rPr>
                <w:rFonts w:eastAsia="Times New Roman" w:cs="Times New Roman"/>
                <w:lang w:eastAsia="de-DE"/>
              </w:rPr>
              <w:t xml:space="preserve"> schauen</w:t>
            </w:r>
          </w:p>
        </w:tc>
      </w:tr>
      <w:tr w:rsidR="00835420" w14:paraId="5152BAD3" w14:textId="77777777" w:rsidTr="0073597C">
        <w:tc>
          <w:tcPr>
            <w:tcW w:w="1666" w:type="pct"/>
            <w:vAlign w:val="center"/>
          </w:tcPr>
          <w:p w14:paraId="43FCCE48" w14:textId="29D05AD1"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lastRenderedPageBreak/>
              <w:t>Resultat</w:t>
            </w:r>
          </w:p>
        </w:tc>
        <w:tc>
          <w:tcPr>
            <w:tcW w:w="1667" w:type="pct"/>
            <w:vAlign w:val="center"/>
          </w:tcPr>
          <w:p w14:paraId="54827CEB" w14:textId="3938DEE4"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דִּבַּת הָאָרֶץ רָעָה</w:t>
            </w:r>
            <w:r w:rsidRPr="00835420">
              <w:rPr>
                <w:rFonts w:eastAsia="Times New Roman" w:cs="Times New Roman"/>
                <w:lang w:eastAsia="de-DE"/>
              </w:rPr>
              <w:t xml:space="preserve"> (böses Gerücht)</w:t>
            </w:r>
          </w:p>
        </w:tc>
        <w:tc>
          <w:tcPr>
            <w:tcW w:w="1667" w:type="pct"/>
            <w:vAlign w:val="center"/>
          </w:tcPr>
          <w:p w14:paraId="2CFF1844" w14:textId="55CB97EF"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rtl/>
                <w:lang w:eastAsia="de-DE"/>
              </w:rPr>
              <w:t>זֹנִים אַחֲרֵיהֶם</w:t>
            </w:r>
            <w:r w:rsidRPr="00835420">
              <w:rPr>
                <w:rFonts w:eastAsia="Times New Roman" w:cs="Times New Roman"/>
                <w:lang w:eastAsia="de-DE"/>
              </w:rPr>
              <w:t xml:space="preserve"> (ihr hurt ihnen nach)</w:t>
            </w:r>
          </w:p>
        </w:tc>
      </w:tr>
      <w:tr w:rsidR="00835420" w14:paraId="455A27EA" w14:textId="77777777" w:rsidTr="0073597C">
        <w:tc>
          <w:tcPr>
            <w:tcW w:w="1666" w:type="pct"/>
            <w:vAlign w:val="center"/>
          </w:tcPr>
          <w:p w14:paraId="6DD60D7C" w14:textId="7E90941F"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Konsequenz</w:t>
            </w:r>
          </w:p>
        </w:tc>
        <w:tc>
          <w:tcPr>
            <w:tcW w:w="1667" w:type="pct"/>
            <w:vAlign w:val="center"/>
          </w:tcPr>
          <w:p w14:paraId="47D05046" w14:textId="0B8F6379"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40 Jahre Wüste (Num 14,33-34)</w:t>
            </w:r>
          </w:p>
        </w:tc>
        <w:tc>
          <w:tcPr>
            <w:tcW w:w="1667" w:type="pct"/>
            <w:vAlign w:val="center"/>
          </w:tcPr>
          <w:p w14:paraId="1DA45B95" w14:textId="16E7D653"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Vergessen der Gebote → Unheiligkeit</w:t>
            </w:r>
          </w:p>
        </w:tc>
      </w:tr>
    </w:tbl>
    <w:p w14:paraId="6944E658" w14:textId="77777777" w:rsidR="00835420" w:rsidRPr="00835420" w:rsidRDefault="00835420" w:rsidP="00835420">
      <w:pPr>
        <w:pStyle w:val="KeinLeerraum"/>
        <w:rPr>
          <w:lang w:eastAsia="de-DE"/>
        </w:rPr>
      </w:pPr>
    </w:p>
    <w:p w14:paraId="4A312605" w14:textId="77777777" w:rsidR="00835420" w:rsidRP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Die Ironie:</w:t>
      </w:r>
    </w:p>
    <w:p w14:paraId="5A8C6F72" w14:textId="77777777" w:rsidR="00835420" w:rsidRP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1. Äußere vs. Innere Erkundung:</w:t>
      </w:r>
    </w:p>
    <w:p w14:paraId="589C5C41" w14:textId="77777777" w:rsidR="00835420" w:rsidRPr="00835420" w:rsidRDefault="00835420" w:rsidP="00077755">
      <w:pPr>
        <w:numPr>
          <w:ilvl w:val="0"/>
          <w:numId w:val="135"/>
        </w:num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13:</w:t>
      </w:r>
      <w:r w:rsidRPr="00835420">
        <w:rPr>
          <w:rFonts w:eastAsia="Times New Roman" w:cs="Times New Roman"/>
          <w:lang w:eastAsia="de-DE"/>
        </w:rPr>
        <w:t xml:space="preserve"> Israel sollte das </w:t>
      </w:r>
      <w:r w:rsidRPr="00835420">
        <w:rPr>
          <w:rFonts w:eastAsia="Times New Roman" w:cs="Times New Roman"/>
          <w:b/>
          <w:bCs/>
          <w:lang w:eastAsia="de-DE"/>
        </w:rPr>
        <w:t>Land</w:t>
      </w:r>
      <w:r w:rsidRPr="00835420">
        <w:rPr>
          <w:rFonts w:eastAsia="Times New Roman" w:cs="Times New Roman"/>
          <w:lang w:eastAsia="de-DE"/>
        </w:rPr>
        <w:t xml:space="preserve"> erkunden (</w:t>
      </w:r>
      <w:r w:rsidRPr="00835420">
        <w:rPr>
          <w:rFonts w:eastAsia="Times New Roman" w:cs="Times New Roman"/>
          <w:rtl/>
          <w:lang w:eastAsia="de-DE"/>
        </w:rPr>
        <w:t>תור</w:t>
      </w:r>
      <w:r w:rsidRPr="00835420">
        <w:rPr>
          <w:rFonts w:eastAsia="Times New Roman" w:cs="Times New Roman"/>
          <w:lang w:eastAsia="de-DE"/>
        </w:rPr>
        <w:t xml:space="preserve">) mit </w:t>
      </w:r>
      <w:r w:rsidRPr="00835420">
        <w:rPr>
          <w:rFonts w:eastAsia="Times New Roman" w:cs="Times New Roman"/>
          <w:b/>
          <w:bCs/>
          <w:lang w:eastAsia="de-DE"/>
        </w:rPr>
        <w:t>Gottvertrauen</w:t>
      </w:r>
    </w:p>
    <w:p w14:paraId="018BFC6A" w14:textId="77777777" w:rsidR="00835420" w:rsidRPr="00835420" w:rsidRDefault="00835420" w:rsidP="00077755">
      <w:pPr>
        <w:numPr>
          <w:ilvl w:val="0"/>
          <w:numId w:val="135"/>
        </w:num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15,39:</w:t>
      </w:r>
      <w:r w:rsidRPr="00835420">
        <w:rPr>
          <w:rFonts w:eastAsia="Times New Roman" w:cs="Times New Roman"/>
          <w:lang w:eastAsia="de-DE"/>
        </w:rPr>
        <w:t xml:space="preserve"> Israel soll </w:t>
      </w:r>
      <w:r w:rsidRPr="00835420">
        <w:rPr>
          <w:rFonts w:eastAsia="Times New Roman" w:cs="Times New Roman"/>
          <w:b/>
          <w:bCs/>
          <w:lang w:eastAsia="de-DE"/>
        </w:rPr>
        <w:t>nicht</w:t>
      </w:r>
      <w:r w:rsidRPr="00835420">
        <w:rPr>
          <w:rFonts w:eastAsia="Times New Roman" w:cs="Times New Roman"/>
          <w:lang w:eastAsia="de-DE"/>
        </w:rPr>
        <w:t xml:space="preserve"> nach eigenem </w:t>
      </w:r>
      <w:r w:rsidRPr="00835420">
        <w:rPr>
          <w:rFonts w:eastAsia="Times New Roman" w:cs="Times New Roman"/>
          <w:b/>
          <w:bCs/>
          <w:lang w:eastAsia="de-DE"/>
        </w:rPr>
        <w:t>Herzen</w:t>
      </w:r>
      <w:r w:rsidRPr="00835420">
        <w:rPr>
          <w:rFonts w:eastAsia="Times New Roman" w:cs="Times New Roman"/>
          <w:lang w:eastAsia="de-DE"/>
        </w:rPr>
        <w:t xml:space="preserve"> erkunden (</w:t>
      </w:r>
      <w:r w:rsidRPr="00835420">
        <w:rPr>
          <w:rFonts w:eastAsia="Times New Roman" w:cs="Times New Roman"/>
          <w:rtl/>
          <w:lang w:eastAsia="de-DE"/>
        </w:rPr>
        <w:t>תור</w:t>
      </w:r>
      <w:r w:rsidRPr="00835420">
        <w:rPr>
          <w:rFonts w:eastAsia="Times New Roman" w:cs="Times New Roman"/>
          <w:lang w:eastAsia="de-DE"/>
        </w:rPr>
        <w:t>)</w:t>
      </w:r>
    </w:p>
    <w:p w14:paraId="725F16F7" w14:textId="77777777" w:rsidR="00835420" w:rsidRP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2. Falsche Augen:</w:t>
      </w:r>
    </w:p>
    <w:p w14:paraId="4501053B" w14:textId="77777777" w:rsidR="00835420" w:rsidRPr="00835420" w:rsidRDefault="00835420" w:rsidP="00077755">
      <w:pPr>
        <w:numPr>
          <w:ilvl w:val="0"/>
          <w:numId w:val="136"/>
        </w:num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13,33:</w:t>
      </w:r>
      <w:r w:rsidRPr="00835420">
        <w:rPr>
          <w:rFonts w:eastAsia="Times New Roman" w:cs="Times New Roman"/>
          <w:lang w:eastAsia="de-DE"/>
        </w:rPr>
        <w:t xml:space="preserve"> "Wir waren in </w:t>
      </w:r>
      <w:r w:rsidRPr="00835420">
        <w:rPr>
          <w:rFonts w:eastAsia="Times New Roman" w:cs="Times New Roman"/>
          <w:b/>
          <w:bCs/>
          <w:lang w:eastAsia="de-DE"/>
        </w:rPr>
        <w:t>unseren Augen</w:t>
      </w:r>
      <w:r w:rsidRPr="00835420">
        <w:rPr>
          <w:rFonts w:eastAsia="Times New Roman" w:cs="Times New Roman"/>
          <w:lang w:eastAsia="de-DE"/>
        </w:rPr>
        <w:t xml:space="preserve"> (</w:t>
      </w:r>
      <w:r w:rsidRPr="00835420">
        <w:rPr>
          <w:rFonts w:eastAsia="Times New Roman" w:cs="Times New Roman"/>
          <w:rtl/>
          <w:lang w:eastAsia="de-DE"/>
        </w:rPr>
        <w:t>בְּעֵינֵינוּ</w:t>
      </w:r>
      <w:r w:rsidRPr="00835420">
        <w:rPr>
          <w:rFonts w:eastAsia="Times New Roman" w:cs="Times New Roman"/>
          <w:lang w:eastAsia="de-DE"/>
        </w:rPr>
        <w:t>) wie Heuschrecken"</w:t>
      </w:r>
    </w:p>
    <w:p w14:paraId="5332856B" w14:textId="77777777" w:rsidR="00835420" w:rsidRPr="00835420" w:rsidRDefault="00835420" w:rsidP="00077755">
      <w:pPr>
        <w:numPr>
          <w:ilvl w:val="0"/>
          <w:numId w:val="136"/>
        </w:num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Num 15,39:</w:t>
      </w:r>
      <w:r w:rsidRPr="00835420">
        <w:rPr>
          <w:rFonts w:eastAsia="Times New Roman" w:cs="Times New Roman"/>
          <w:lang w:eastAsia="de-DE"/>
        </w:rPr>
        <w:t xml:space="preserve"> "Ihr sollt nicht auskundschaften nach </w:t>
      </w:r>
      <w:r w:rsidRPr="00835420">
        <w:rPr>
          <w:rFonts w:eastAsia="Times New Roman" w:cs="Times New Roman"/>
          <w:b/>
          <w:bCs/>
          <w:lang w:eastAsia="de-DE"/>
        </w:rPr>
        <w:t>euren Augen</w:t>
      </w:r>
      <w:r w:rsidRPr="00835420">
        <w:rPr>
          <w:rFonts w:eastAsia="Times New Roman" w:cs="Times New Roman"/>
          <w:lang w:eastAsia="de-DE"/>
        </w:rPr>
        <w:t xml:space="preserve"> (</w:t>
      </w:r>
      <w:r w:rsidRPr="00835420">
        <w:rPr>
          <w:rFonts w:eastAsia="Times New Roman" w:cs="Times New Roman"/>
          <w:rtl/>
          <w:lang w:eastAsia="de-DE"/>
        </w:rPr>
        <w:t>אַחֲרֵי עֵינֵיכֶם</w:t>
      </w:r>
      <w:r w:rsidRPr="00835420">
        <w:rPr>
          <w:rFonts w:eastAsia="Times New Roman" w:cs="Times New Roman"/>
          <w:lang w:eastAsia="de-DE"/>
        </w:rPr>
        <w:t>)"</w:t>
      </w:r>
    </w:p>
    <w:p w14:paraId="543543AB" w14:textId="77777777" w:rsidR="00835420" w:rsidRP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3. Das Problem:</w:t>
      </w:r>
    </w:p>
    <w:p w14:paraId="1A71E33F" w14:textId="77777777" w:rsidR="00835420" w:rsidRPr="00835420" w:rsidRDefault="00835420" w:rsidP="00077755">
      <w:pPr>
        <w:numPr>
          <w:ilvl w:val="0"/>
          <w:numId w:val="137"/>
        </w:num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Die Kundschafter </w:t>
      </w:r>
      <w:r w:rsidRPr="00835420">
        <w:rPr>
          <w:rFonts w:eastAsia="Times New Roman" w:cs="Times New Roman"/>
          <w:b/>
          <w:bCs/>
          <w:lang w:eastAsia="de-DE"/>
        </w:rPr>
        <w:t>erkundeten</w:t>
      </w:r>
      <w:r w:rsidRPr="00835420">
        <w:rPr>
          <w:rFonts w:eastAsia="Times New Roman" w:cs="Times New Roman"/>
          <w:lang w:eastAsia="de-DE"/>
        </w:rPr>
        <w:t xml:space="preserve"> (</w:t>
      </w:r>
      <w:r w:rsidRPr="00835420">
        <w:rPr>
          <w:rFonts w:eastAsia="Times New Roman" w:cs="Times New Roman"/>
          <w:rtl/>
          <w:lang w:eastAsia="de-DE"/>
        </w:rPr>
        <w:t>תור</w:t>
      </w:r>
      <w:r w:rsidRPr="00835420">
        <w:rPr>
          <w:rFonts w:eastAsia="Times New Roman" w:cs="Times New Roman"/>
          <w:lang w:eastAsia="de-DE"/>
        </w:rPr>
        <w:t xml:space="preserve">) mit </w:t>
      </w:r>
      <w:r w:rsidRPr="00835420">
        <w:rPr>
          <w:rFonts w:eastAsia="Times New Roman" w:cs="Times New Roman"/>
          <w:b/>
          <w:bCs/>
          <w:lang w:eastAsia="de-DE"/>
        </w:rPr>
        <w:t>menschlichen Augen</w:t>
      </w:r>
      <w:r w:rsidRPr="00835420">
        <w:rPr>
          <w:rFonts w:eastAsia="Times New Roman" w:cs="Times New Roman"/>
          <w:lang w:eastAsia="de-DE"/>
        </w:rPr>
        <w:t xml:space="preserve"> statt mit </w:t>
      </w:r>
      <w:r w:rsidRPr="00835420">
        <w:rPr>
          <w:rFonts w:eastAsia="Times New Roman" w:cs="Times New Roman"/>
          <w:b/>
          <w:bCs/>
          <w:lang w:eastAsia="de-DE"/>
        </w:rPr>
        <w:t>Gottes Augen</w:t>
      </w:r>
    </w:p>
    <w:p w14:paraId="1E279F7C" w14:textId="77777777" w:rsidR="00835420" w:rsidRPr="00835420" w:rsidRDefault="00835420" w:rsidP="00077755">
      <w:pPr>
        <w:numPr>
          <w:ilvl w:val="0"/>
          <w:numId w:val="137"/>
        </w:num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Nun warnt Gott: Erkundet </w:t>
      </w:r>
      <w:r w:rsidRPr="00835420">
        <w:rPr>
          <w:rFonts w:eastAsia="Times New Roman" w:cs="Times New Roman"/>
          <w:b/>
          <w:bCs/>
          <w:lang w:eastAsia="de-DE"/>
        </w:rPr>
        <w:t>nicht</w:t>
      </w:r>
      <w:r w:rsidRPr="00835420">
        <w:rPr>
          <w:rFonts w:eastAsia="Times New Roman" w:cs="Times New Roman"/>
          <w:lang w:eastAsia="de-DE"/>
        </w:rPr>
        <w:t xml:space="preserve"> (</w:t>
      </w:r>
      <w:r w:rsidRPr="00835420">
        <w:rPr>
          <w:rFonts w:eastAsia="Times New Roman" w:cs="Times New Roman"/>
          <w:rtl/>
          <w:lang w:eastAsia="de-DE"/>
        </w:rPr>
        <w:t>לֹא־תָתֻרוּ</w:t>
      </w:r>
      <w:r w:rsidRPr="00835420">
        <w:rPr>
          <w:rFonts w:eastAsia="Times New Roman" w:cs="Times New Roman"/>
          <w:lang w:eastAsia="de-DE"/>
        </w:rPr>
        <w:t xml:space="preserve">) nach </w:t>
      </w:r>
      <w:r w:rsidRPr="00835420">
        <w:rPr>
          <w:rFonts w:eastAsia="Times New Roman" w:cs="Times New Roman"/>
          <w:b/>
          <w:bCs/>
          <w:lang w:eastAsia="de-DE"/>
        </w:rPr>
        <w:t>eigenen Augen</w:t>
      </w:r>
      <w:r w:rsidRPr="00835420">
        <w:rPr>
          <w:rFonts w:eastAsia="Times New Roman" w:cs="Times New Roman"/>
          <w:lang w:eastAsia="de-DE"/>
        </w:rPr>
        <w:t xml:space="preserve">, sondern seht die </w:t>
      </w:r>
      <w:r w:rsidRPr="00835420">
        <w:rPr>
          <w:rFonts w:eastAsia="Times New Roman" w:cs="Times New Roman"/>
          <w:b/>
          <w:bCs/>
          <w:lang w:eastAsia="de-DE"/>
        </w:rPr>
        <w:t>Zizit</w:t>
      </w:r>
      <w:r w:rsidRPr="00835420">
        <w:rPr>
          <w:rFonts w:eastAsia="Times New Roman" w:cs="Times New Roman"/>
          <w:lang w:eastAsia="de-DE"/>
        </w:rPr>
        <w:t xml:space="preserve"> (</w:t>
      </w:r>
      <w:r w:rsidRPr="00835420">
        <w:rPr>
          <w:rFonts w:eastAsia="Times New Roman" w:cs="Times New Roman"/>
          <w:rtl/>
          <w:lang w:eastAsia="de-DE"/>
        </w:rPr>
        <w:t>צִיצִת</w:t>
      </w:r>
      <w:r w:rsidRPr="00835420">
        <w:rPr>
          <w:rFonts w:eastAsia="Times New Roman" w:cs="Times New Roman"/>
          <w:lang w:eastAsia="de-DE"/>
        </w:rPr>
        <w:t>) als Erinnerung!</w:t>
      </w:r>
    </w:p>
    <w:p w14:paraId="711E2957" w14:textId="67E3334F" w:rsidR="00835420" w:rsidRDefault="00835420" w:rsidP="00835420">
      <w:pPr>
        <w:spacing w:before="100" w:beforeAutospacing="1" w:after="100" w:afterAutospacing="1" w:line="240" w:lineRule="auto"/>
        <w:rPr>
          <w:rFonts w:eastAsia="Times New Roman" w:cs="Times New Roman"/>
          <w:b/>
          <w:bCs/>
          <w:lang w:eastAsia="de-DE"/>
        </w:rPr>
      </w:pPr>
      <w:r w:rsidRPr="00835420">
        <w:rPr>
          <w:rFonts w:eastAsia="Times New Roman" w:cs="Times New Roman"/>
          <w:b/>
          <w:bCs/>
          <w:lang w:eastAsia="de-DE"/>
        </w:rPr>
        <w:t xml:space="preserve">Die Lösung: Zizit statt </w:t>
      </w:r>
      <w:r w:rsidRPr="00835420">
        <w:rPr>
          <w:rFonts w:eastAsia="Times New Roman" w:cs="Times New Roman"/>
          <w:b/>
          <w:bCs/>
          <w:rtl/>
          <w:lang w:eastAsia="de-DE"/>
        </w:rPr>
        <w:t>תור</w:t>
      </w:r>
    </w:p>
    <w:tbl>
      <w:tblPr>
        <w:tblStyle w:val="Tabellenraster"/>
        <w:tblW w:w="4994" w:type="pct"/>
        <w:tblLook w:val="04A0" w:firstRow="1" w:lastRow="0" w:firstColumn="1" w:lastColumn="0" w:noHBand="0" w:noVBand="1"/>
      </w:tblPr>
      <w:tblGrid>
        <w:gridCol w:w="4525"/>
        <w:gridCol w:w="4526"/>
      </w:tblGrid>
      <w:tr w:rsidR="00835420" w14:paraId="59B6AAE7" w14:textId="77777777" w:rsidTr="00DA060F">
        <w:tc>
          <w:tcPr>
            <w:tcW w:w="2500" w:type="pct"/>
            <w:vAlign w:val="center"/>
          </w:tcPr>
          <w:p w14:paraId="05A7A9E9" w14:textId="2F2C9CFF"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Problem</w:t>
            </w:r>
          </w:p>
        </w:tc>
        <w:tc>
          <w:tcPr>
            <w:tcW w:w="2500" w:type="pct"/>
            <w:vAlign w:val="center"/>
          </w:tcPr>
          <w:p w14:paraId="0C2DF257" w14:textId="5D8FB368"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Lösung</w:t>
            </w:r>
          </w:p>
        </w:tc>
      </w:tr>
      <w:tr w:rsidR="00835420" w14:paraId="23C9E15A" w14:textId="77777777" w:rsidTr="00481FEC">
        <w:tc>
          <w:tcPr>
            <w:tcW w:w="2500" w:type="pct"/>
            <w:vAlign w:val="center"/>
          </w:tcPr>
          <w:p w14:paraId="4FC73BB4" w14:textId="2B533C8F"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rtl/>
                <w:lang w:eastAsia="de-DE"/>
              </w:rPr>
              <w:t>תור</w:t>
            </w:r>
            <w:r w:rsidRPr="00835420">
              <w:rPr>
                <w:rFonts w:eastAsia="Times New Roman" w:cs="Times New Roman"/>
                <w:rtl/>
                <w:lang w:eastAsia="de-DE"/>
              </w:rPr>
              <w:t xml:space="preserve"> </w:t>
            </w:r>
            <w:r w:rsidR="006C74DD">
              <w:rPr>
                <w:rFonts w:eastAsia="Times New Roman" w:cs="Times New Roman"/>
                <w:lang w:eastAsia="de-DE"/>
              </w:rPr>
              <w:t xml:space="preserve"> </w:t>
            </w:r>
            <w:r w:rsidR="006C74DD" w:rsidRPr="00835420">
              <w:rPr>
                <w:rFonts w:eastAsia="Times New Roman" w:cs="Times New Roman"/>
                <w:lang w:eastAsia="de-DE"/>
              </w:rPr>
              <w:t xml:space="preserve">(erkunden) nach </w:t>
            </w:r>
            <w:r w:rsidR="006C74DD" w:rsidRPr="00835420">
              <w:rPr>
                <w:rFonts w:eastAsia="Times New Roman" w:cs="Times New Roman"/>
                <w:b/>
                <w:bCs/>
                <w:lang w:eastAsia="de-DE"/>
              </w:rPr>
              <w:t>eigenen Augen</w:t>
            </w:r>
          </w:p>
        </w:tc>
        <w:tc>
          <w:tcPr>
            <w:tcW w:w="2500" w:type="pct"/>
            <w:vAlign w:val="center"/>
          </w:tcPr>
          <w:p w14:paraId="294A55CA" w14:textId="1507A430"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rtl/>
                <w:lang w:eastAsia="de-DE"/>
              </w:rPr>
              <w:t>ראה</w:t>
            </w:r>
            <w:r w:rsidRPr="00835420">
              <w:rPr>
                <w:rFonts w:eastAsia="Times New Roman" w:cs="Times New Roman"/>
                <w:rtl/>
                <w:lang w:eastAsia="de-DE"/>
              </w:rPr>
              <w:t xml:space="preserve"> </w:t>
            </w:r>
            <w:r w:rsidR="006C74DD">
              <w:rPr>
                <w:rFonts w:eastAsia="Times New Roman" w:cs="Times New Roman"/>
                <w:lang w:eastAsia="de-DE"/>
              </w:rPr>
              <w:t xml:space="preserve"> </w:t>
            </w:r>
            <w:r w:rsidR="006C74DD" w:rsidRPr="00835420">
              <w:rPr>
                <w:rFonts w:eastAsia="Times New Roman" w:cs="Times New Roman"/>
                <w:lang w:eastAsia="de-DE"/>
              </w:rPr>
              <w:t xml:space="preserve">(sehen) die </w:t>
            </w:r>
            <w:r w:rsidR="006C74DD" w:rsidRPr="00835420">
              <w:rPr>
                <w:rFonts w:eastAsia="Times New Roman" w:cs="Times New Roman"/>
                <w:b/>
                <w:bCs/>
                <w:lang w:eastAsia="de-DE"/>
              </w:rPr>
              <w:t>Zizit</w:t>
            </w:r>
          </w:p>
        </w:tc>
      </w:tr>
      <w:tr w:rsidR="00835420" w14:paraId="6575B12C" w14:textId="77777777" w:rsidTr="00481FEC">
        <w:tc>
          <w:tcPr>
            <w:tcW w:w="2500" w:type="pct"/>
            <w:vAlign w:val="center"/>
          </w:tcPr>
          <w:p w14:paraId="12D711AA" w14:textId="67140EFB"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Vergessen</w:t>
            </w:r>
            <w:r w:rsidRPr="00835420">
              <w:rPr>
                <w:rFonts w:eastAsia="Times New Roman" w:cs="Times New Roman"/>
                <w:lang w:eastAsia="de-DE"/>
              </w:rPr>
              <w:t xml:space="preserve"> der Gebote</w:t>
            </w:r>
          </w:p>
        </w:tc>
        <w:tc>
          <w:tcPr>
            <w:tcW w:w="2500" w:type="pct"/>
            <w:vAlign w:val="center"/>
          </w:tcPr>
          <w:p w14:paraId="5FCD63AC" w14:textId="6F142FF8"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rtl/>
                <w:lang w:eastAsia="de-DE"/>
              </w:rPr>
              <w:t>זכר</w:t>
            </w:r>
            <w:r w:rsidRPr="00835420">
              <w:rPr>
                <w:rFonts w:eastAsia="Times New Roman" w:cs="Times New Roman"/>
                <w:rtl/>
                <w:lang w:eastAsia="de-DE"/>
              </w:rPr>
              <w:t xml:space="preserve"> </w:t>
            </w:r>
            <w:r w:rsidR="006C74DD">
              <w:rPr>
                <w:rFonts w:eastAsia="Times New Roman" w:cs="Times New Roman"/>
                <w:lang w:eastAsia="de-DE"/>
              </w:rPr>
              <w:t xml:space="preserve"> </w:t>
            </w:r>
            <w:r w:rsidR="006C74DD" w:rsidRPr="00835420">
              <w:rPr>
                <w:rFonts w:eastAsia="Times New Roman" w:cs="Times New Roman"/>
                <w:lang w:eastAsia="de-DE"/>
              </w:rPr>
              <w:t>(erinnern) durch Zizit</w:t>
            </w:r>
          </w:p>
        </w:tc>
      </w:tr>
      <w:tr w:rsidR="00835420" w14:paraId="3EF31E53" w14:textId="77777777" w:rsidTr="00481FEC">
        <w:tc>
          <w:tcPr>
            <w:tcW w:w="2500" w:type="pct"/>
            <w:vAlign w:val="center"/>
          </w:tcPr>
          <w:p w14:paraId="6F1AD034" w14:textId="2955AE86"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Hurerei</w:t>
            </w:r>
            <w:r w:rsidRPr="00835420">
              <w:rPr>
                <w:rFonts w:eastAsia="Times New Roman" w:cs="Times New Roman"/>
                <w:lang w:eastAsia="de-DE"/>
              </w:rPr>
              <w:t xml:space="preserve"> (</w:t>
            </w:r>
            <w:r w:rsidRPr="00835420">
              <w:rPr>
                <w:rFonts w:eastAsia="Times New Roman" w:cs="Times New Roman"/>
                <w:rtl/>
                <w:lang w:eastAsia="de-DE"/>
              </w:rPr>
              <w:t>זֹנִים</w:t>
            </w:r>
            <w:r w:rsidRPr="00835420">
              <w:rPr>
                <w:rFonts w:eastAsia="Times New Roman" w:cs="Times New Roman"/>
                <w:lang w:eastAsia="de-DE"/>
              </w:rPr>
              <w:t>) nach eigenem Herzen</w:t>
            </w:r>
          </w:p>
        </w:tc>
        <w:tc>
          <w:tcPr>
            <w:tcW w:w="2500" w:type="pct"/>
            <w:vAlign w:val="center"/>
          </w:tcPr>
          <w:p w14:paraId="72B25851" w14:textId="5715269E" w:rsid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Heiligkeit</w:t>
            </w:r>
            <w:r w:rsidRPr="00835420">
              <w:rPr>
                <w:rFonts w:eastAsia="Times New Roman" w:cs="Times New Roman"/>
                <w:lang w:eastAsia="de-DE"/>
              </w:rPr>
              <w:t xml:space="preserve"> (</w:t>
            </w:r>
            <w:r w:rsidRPr="00835420">
              <w:rPr>
                <w:rFonts w:eastAsia="Times New Roman" w:cs="Times New Roman"/>
                <w:rtl/>
                <w:lang w:eastAsia="de-DE"/>
              </w:rPr>
              <w:t>קְדֹשִׁים</w:t>
            </w:r>
            <w:r w:rsidRPr="00835420">
              <w:rPr>
                <w:rFonts w:eastAsia="Times New Roman" w:cs="Times New Roman"/>
                <w:lang w:eastAsia="de-DE"/>
              </w:rPr>
              <w:t>) durch Gehorsam</w:t>
            </w:r>
          </w:p>
        </w:tc>
      </w:tr>
    </w:tbl>
    <w:p w14:paraId="12344361" w14:textId="77777777" w:rsidR="00835420" w:rsidRPr="00835420" w:rsidRDefault="00835420" w:rsidP="00835420">
      <w:pPr>
        <w:pStyle w:val="KeinLeerraum"/>
        <w:rPr>
          <w:lang w:eastAsia="de-DE"/>
        </w:rPr>
      </w:pPr>
    </w:p>
    <w:p w14:paraId="6193978F" w14:textId="77777777" w:rsidR="00835420" w:rsidRP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b/>
          <w:bCs/>
          <w:lang w:eastAsia="de-DE"/>
        </w:rPr>
        <w:t>Fazit:</w:t>
      </w:r>
    </w:p>
    <w:p w14:paraId="762A45C7" w14:textId="77777777" w:rsidR="00835420" w:rsidRPr="00835420" w:rsidRDefault="00835420" w:rsidP="00835420">
      <w:p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Das </w:t>
      </w:r>
      <w:r w:rsidRPr="00835420">
        <w:rPr>
          <w:rFonts w:eastAsia="Times New Roman" w:cs="Times New Roman"/>
          <w:b/>
          <w:bCs/>
          <w:rtl/>
          <w:lang w:eastAsia="de-DE"/>
        </w:rPr>
        <w:t>תור</w:t>
      </w:r>
      <w:r w:rsidRPr="00835420">
        <w:rPr>
          <w:rFonts w:eastAsia="Times New Roman" w:cs="Times New Roman"/>
          <w:b/>
          <w:bCs/>
          <w:lang w:eastAsia="de-DE"/>
        </w:rPr>
        <w:t>-Wortspiel</w:t>
      </w:r>
      <w:r w:rsidRPr="00835420">
        <w:rPr>
          <w:rFonts w:eastAsia="Times New Roman" w:cs="Times New Roman"/>
          <w:lang w:eastAsia="de-DE"/>
        </w:rPr>
        <w:t xml:space="preserve"> in Num 15,39 ist eine </w:t>
      </w:r>
      <w:r w:rsidRPr="00835420">
        <w:rPr>
          <w:rFonts w:eastAsia="Times New Roman" w:cs="Times New Roman"/>
          <w:b/>
          <w:bCs/>
          <w:lang w:eastAsia="de-DE"/>
        </w:rPr>
        <w:t>bewusste theologische Anspielung</w:t>
      </w:r>
      <w:r w:rsidRPr="00835420">
        <w:rPr>
          <w:rFonts w:eastAsia="Times New Roman" w:cs="Times New Roman"/>
          <w:lang w:eastAsia="de-DE"/>
        </w:rPr>
        <w:t xml:space="preserve"> auf Num 13:</w:t>
      </w:r>
    </w:p>
    <w:p w14:paraId="4EC3D4A9" w14:textId="77777777" w:rsidR="00835420" w:rsidRPr="00835420" w:rsidRDefault="00835420" w:rsidP="00077755">
      <w:pPr>
        <w:numPr>
          <w:ilvl w:val="0"/>
          <w:numId w:val="138"/>
        </w:num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Die Kundschafter </w:t>
      </w:r>
      <w:r w:rsidRPr="00835420">
        <w:rPr>
          <w:rFonts w:eastAsia="Times New Roman" w:cs="Times New Roman"/>
          <w:b/>
          <w:bCs/>
          <w:lang w:eastAsia="de-DE"/>
        </w:rPr>
        <w:t>erkundeten</w:t>
      </w:r>
      <w:r w:rsidRPr="00835420">
        <w:rPr>
          <w:rFonts w:eastAsia="Times New Roman" w:cs="Times New Roman"/>
          <w:lang w:eastAsia="de-DE"/>
        </w:rPr>
        <w:t xml:space="preserve"> (</w:t>
      </w:r>
      <w:r w:rsidRPr="00835420">
        <w:rPr>
          <w:rFonts w:eastAsia="Times New Roman" w:cs="Times New Roman"/>
          <w:rtl/>
          <w:lang w:eastAsia="de-DE"/>
        </w:rPr>
        <w:t>תור</w:t>
      </w:r>
      <w:r w:rsidRPr="00835420">
        <w:rPr>
          <w:rFonts w:eastAsia="Times New Roman" w:cs="Times New Roman"/>
          <w:lang w:eastAsia="de-DE"/>
        </w:rPr>
        <w:t xml:space="preserve">) das Land mit </w:t>
      </w:r>
      <w:r w:rsidRPr="00835420">
        <w:rPr>
          <w:rFonts w:eastAsia="Times New Roman" w:cs="Times New Roman"/>
          <w:b/>
          <w:bCs/>
          <w:lang w:eastAsia="de-DE"/>
        </w:rPr>
        <w:t>falschen Augen</w:t>
      </w:r>
    </w:p>
    <w:p w14:paraId="49C22A7D" w14:textId="77777777" w:rsidR="00835420" w:rsidRPr="00835420" w:rsidRDefault="00835420" w:rsidP="00077755">
      <w:pPr>
        <w:numPr>
          <w:ilvl w:val="0"/>
          <w:numId w:val="138"/>
        </w:num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Jetzt soll Israel </w:t>
      </w:r>
      <w:r w:rsidRPr="00835420">
        <w:rPr>
          <w:rFonts w:eastAsia="Times New Roman" w:cs="Times New Roman"/>
          <w:b/>
          <w:bCs/>
          <w:lang w:eastAsia="de-DE"/>
        </w:rPr>
        <w:t>nicht erkunden</w:t>
      </w:r>
      <w:r w:rsidRPr="00835420">
        <w:rPr>
          <w:rFonts w:eastAsia="Times New Roman" w:cs="Times New Roman"/>
          <w:lang w:eastAsia="de-DE"/>
        </w:rPr>
        <w:t xml:space="preserve"> (</w:t>
      </w:r>
      <w:r w:rsidRPr="00835420">
        <w:rPr>
          <w:rFonts w:eastAsia="Times New Roman" w:cs="Times New Roman"/>
          <w:rtl/>
          <w:lang w:eastAsia="de-DE"/>
        </w:rPr>
        <w:t>לֹא־תָתֻרוּ</w:t>
      </w:r>
      <w:r w:rsidRPr="00835420">
        <w:rPr>
          <w:rFonts w:eastAsia="Times New Roman" w:cs="Times New Roman"/>
          <w:lang w:eastAsia="de-DE"/>
        </w:rPr>
        <w:t xml:space="preserve">) nach </w:t>
      </w:r>
      <w:r w:rsidRPr="00835420">
        <w:rPr>
          <w:rFonts w:eastAsia="Times New Roman" w:cs="Times New Roman"/>
          <w:b/>
          <w:bCs/>
          <w:lang w:eastAsia="de-DE"/>
        </w:rPr>
        <w:t>eigenen Augen</w:t>
      </w:r>
    </w:p>
    <w:p w14:paraId="38E4E81C" w14:textId="77777777" w:rsidR="00835420" w:rsidRPr="00835420" w:rsidRDefault="00835420" w:rsidP="00077755">
      <w:pPr>
        <w:numPr>
          <w:ilvl w:val="0"/>
          <w:numId w:val="138"/>
        </w:numPr>
        <w:spacing w:before="100" w:beforeAutospacing="1" w:after="100" w:afterAutospacing="1" w:line="240" w:lineRule="auto"/>
        <w:rPr>
          <w:rFonts w:eastAsia="Times New Roman" w:cs="Times New Roman"/>
          <w:lang w:eastAsia="de-DE"/>
        </w:rPr>
      </w:pPr>
      <w:r w:rsidRPr="00835420">
        <w:rPr>
          <w:rFonts w:eastAsia="Times New Roman" w:cs="Times New Roman"/>
          <w:lang w:eastAsia="de-DE"/>
        </w:rPr>
        <w:t xml:space="preserve">Stattdessen: </w:t>
      </w:r>
      <w:r w:rsidRPr="00835420">
        <w:rPr>
          <w:rFonts w:eastAsia="Times New Roman" w:cs="Times New Roman"/>
          <w:b/>
          <w:bCs/>
          <w:lang w:eastAsia="de-DE"/>
        </w:rPr>
        <w:t>Sehen</w:t>
      </w:r>
      <w:r w:rsidRPr="00835420">
        <w:rPr>
          <w:rFonts w:eastAsia="Times New Roman" w:cs="Times New Roman"/>
          <w:lang w:eastAsia="de-DE"/>
        </w:rPr>
        <w:t xml:space="preserve"> (</w:t>
      </w:r>
      <w:r w:rsidRPr="00835420">
        <w:rPr>
          <w:rFonts w:eastAsia="Times New Roman" w:cs="Times New Roman"/>
          <w:rtl/>
          <w:lang w:eastAsia="de-DE"/>
        </w:rPr>
        <w:t>ראה</w:t>
      </w:r>
      <w:r w:rsidRPr="00835420">
        <w:rPr>
          <w:rFonts w:eastAsia="Times New Roman" w:cs="Times New Roman"/>
          <w:lang w:eastAsia="de-DE"/>
        </w:rPr>
        <w:t xml:space="preserve">) → </w:t>
      </w:r>
      <w:r w:rsidRPr="00835420">
        <w:rPr>
          <w:rFonts w:eastAsia="Times New Roman" w:cs="Times New Roman"/>
          <w:b/>
          <w:bCs/>
          <w:lang w:eastAsia="de-DE"/>
        </w:rPr>
        <w:t>Erinnern</w:t>
      </w:r>
      <w:r w:rsidRPr="00835420">
        <w:rPr>
          <w:rFonts w:eastAsia="Times New Roman" w:cs="Times New Roman"/>
          <w:lang w:eastAsia="de-DE"/>
        </w:rPr>
        <w:t xml:space="preserve"> (</w:t>
      </w:r>
      <w:r w:rsidRPr="00835420">
        <w:rPr>
          <w:rFonts w:eastAsia="Times New Roman" w:cs="Times New Roman"/>
          <w:rtl/>
          <w:lang w:eastAsia="de-DE"/>
        </w:rPr>
        <w:t>זכר</w:t>
      </w:r>
      <w:r w:rsidRPr="00835420">
        <w:rPr>
          <w:rFonts w:eastAsia="Times New Roman" w:cs="Times New Roman"/>
          <w:lang w:eastAsia="de-DE"/>
        </w:rPr>
        <w:t xml:space="preserve">) → </w:t>
      </w:r>
      <w:r w:rsidRPr="00835420">
        <w:rPr>
          <w:rFonts w:eastAsia="Times New Roman" w:cs="Times New Roman"/>
          <w:b/>
          <w:bCs/>
          <w:lang w:eastAsia="de-DE"/>
        </w:rPr>
        <w:t>Handeln</w:t>
      </w:r>
      <w:r w:rsidRPr="00835420">
        <w:rPr>
          <w:rFonts w:eastAsia="Times New Roman" w:cs="Times New Roman"/>
          <w:lang w:eastAsia="de-DE"/>
        </w:rPr>
        <w:t xml:space="preserve"> (</w:t>
      </w:r>
      <w:r w:rsidRPr="00835420">
        <w:rPr>
          <w:rFonts w:eastAsia="Times New Roman" w:cs="Times New Roman"/>
          <w:rtl/>
          <w:lang w:eastAsia="de-DE"/>
        </w:rPr>
        <w:t>עשה</w:t>
      </w:r>
      <w:r w:rsidRPr="00835420">
        <w:rPr>
          <w:rFonts w:eastAsia="Times New Roman" w:cs="Times New Roman"/>
          <w:lang w:eastAsia="de-DE"/>
        </w:rPr>
        <w:t>)</w:t>
      </w:r>
    </w:p>
    <w:p w14:paraId="57D97D77" w14:textId="77777777" w:rsidR="00835420" w:rsidRPr="00C22013" w:rsidRDefault="00835420" w:rsidP="00C22013">
      <w:pPr>
        <w:spacing w:before="100" w:beforeAutospacing="1" w:after="100" w:afterAutospacing="1" w:line="240" w:lineRule="auto"/>
        <w:rPr>
          <w:rFonts w:eastAsia="Times New Roman" w:cs="Times New Roman"/>
          <w:lang w:eastAsia="de-DE"/>
        </w:rPr>
      </w:pPr>
    </w:p>
    <w:p w14:paraId="687902C7"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15,40</w:t>
      </w:r>
    </w:p>
    <w:p w14:paraId="056C716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לְמַ֣עַן תִּזְכְּר֔וּ וַעֲשִׂיתֶ֖ם אֶת־כָּל־מִצְוֹתָ֑י וִהְיִיתֶ֥ם קְדֹשִׁ֖ים לֵֽאלֹהֵיכֶֽם׃</w:t>
      </w:r>
    </w:p>
    <w:p w14:paraId="2C4624A0"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Damit ihr euch erinnert und alle meine Gebote tut und heilig seid eurem Gott.</w:t>
      </w:r>
    </w:p>
    <w:p w14:paraId="19F7E32C"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lastRenderedPageBreak/>
        <w:pict w14:anchorId="6328E4E2">
          <v:rect id="_x0000_i1537" style="width:0;height:1.5pt" o:hralign="center" o:hrstd="t" o:hr="t" fillcolor="#a0a0a0" stroked="f"/>
        </w:pict>
      </w:r>
    </w:p>
    <w:p w14:paraId="55D2C8AE"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Zweckbestimmung </w:t>
      </w:r>
      <w:r w:rsidRPr="00C22013">
        <w:rPr>
          <w:rFonts w:eastAsia="Times New Roman" w:cs="Times New Roman"/>
          <w:b/>
          <w:bCs/>
          <w:rtl/>
          <w:lang w:eastAsia="de-DE"/>
        </w:rPr>
        <w:t>לְמַ֣עַן תִּזְכְּר֔וּ וַעֲשִׂיתֶ֖ם אֶת־כָּל־מִצְוֹתָ֑י</w:t>
      </w:r>
      <w:r w:rsidRPr="00C22013">
        <w:rPr>
          <w:rFonts w:eastAsia="Times New Roman" w:cs="Times New Roman"/>
          <w:rtl/>
          <w:lang w:eastAsia="de-DE"/>
        </w:rPr>
        <w:t xml:space="preserve"> </w:t>
      </w:r>
      <w:r w:rsidRPr="00C22013">
        <w:rPr>
          <w:rFonts w:eastAsia="Times New Roman" w:cs="Times New Roman"/>
          <w:lang w:eastAsia="de-DE"/>
        </w:rPr>
        <w:t xml:space="preserve">(damit ihr euch erinnert und alle meine Gebote tut) mit </w:t>
      </w:r>
      <w:r w:rsidRPr="00C22013">
        <w:rPr>
          <w:rFonts w:eastAsia="Times New Roman" w:cs="Times New Roman"/>
          <w:b/>
          <w:bCs/>
          <w:rtl/>
          <w:lang w:eastAsia="de-DE"/>
        </w:rPr>
        <w:t>לְמַעַן</w:t>
      </w:r>
      <w:r w:rsidRPr="00C22013">
        <w:rPr>
          <w:rFonts w:eastAsia="Times New Roman" w:cs="Times New Roman"/>
          <w:rtl/>
          <w:lang w:eastAsia="de-DE"/>
        </w:rPr>
        <w:t xml:space="preserve"> </w:t>
      </w:r>
      <w:r w:rsidRPr="00C22013">
        <w:rPr>
          <w:rFonts w:eastAsia="Times New Roman" w:cs="Times New Roman"/>
          <w:lang w:eastAsia="de-DE"/>
        </w:rPr>
        <w:t xml:space="preserve">(damit), </w:t>
      </w:r>
      <w:r w:rsidRPr="00C22013">
        <w:rPr>
          <w:rFonts w:eastAsia="Times New Roman" w:cs="Times New Roman"/>
          <w:b/>
          <w:bCs/>
          <w:rtl/>
          <w:lang w:eastAsia="de-DE"/>
        </w:rPr>
        <w:t>תִּזְכְּרוּ</w:t>
      </w:r>
      <w:r w:rsidRPr="00C22013">
        <w:rPr>
          <w:rFonts w:eastAsia="Times New Roman" w:cs="Times New Roman"/>
          <w:rtl/>
          <w:lang w:eastAsia="de-DE"/>
        </w:rPr>
        <w:t xml:space="preserve"> </w:t>
      </w:r>
      <w:r w:rsidRPr="00C22013">
        <w:rPr>
          <w:rFonts w:eastAsia="Times New Roman" w:cs="Times New Roman"/>
          <w:lang w:eastAsia="de-DE"/>
        </w:rPr>
        <w:t xml:space="preserve">von </w:t>
      </w:r>
      <w:r w:rsidRPr="00C22013">
        <w:rPr>
          <w:rFonts w:eastAsia="Times New Roman" w:cs="Times New Roman"/>
          <w:b/>
          <w:bCs/>
          <w:rtl/>
          <w:lang w:eastAsia="de-DE"/>
        </w:rPr>
        <w:t>זכר</w:t>
      </w:r>
      <w:r w:rsidRPr="00C22013">
        <w:rPr>
          <w:rFonts w:eastAsia="Times New Roman" w:cs="Times New Roman"/>
          <w:rtl/>
          <w:lang w:eastAsia="de-DE"/>
        </w:rPr>
        <w:t xml:space="preserve"> </w:t>
      </w:r>
      <w:r w:rsidRPr="00C22013">
        <w:rPr>
          <w:rFonts w:eastAsia="Times New Roman" w:cs="Times New Roman"/>
          <w:lang w:eastAsia="de-DE"/>
        </w:rPr>
        <w:t xml:space="preserve">(sich erinnern) und </w:t>
      </w:r>
      <w:r w:rsidRPr="00C22013">
        <w:rPr>
          <w:rFonts w:eastAsia="Times New Roman" w:cs="Times New Roman"/>
          <w:b/>
          <w:bCs/>
          <w:rtl/>
          <w:lang w:eastAsia="de-DE"/>
        </w:rPr>
        <w:t>עֲשִׂיתֶם אֶת־כָּל־מִצְוֹתָי</w:t>
      </w:r>
      <w:r w:rsidRPr="00C22013">
        <w:rPr>
          <w:rFonts w:eastAsia="Times New Roman" w:cs="Times New Roman"/>
          <w:rtl/>
          <w:lang w:eastAsia="de-DE"/>
        </w:rPr>
        <w:t xml:space="preserve"> </w:t>
      </w:r>
      <w:r w:rsidRPr="00C22013">
        <w:rPr>
          <w:rFonts w:eastAsia="Times New Roman" w:cs="Times New Roman"/>
          <w:lang w:eastAsia="de-DE"/>
        </w:rPr>
        <w:t>(ihr tut alle meine Gebote) wiederholt und verstärkt die Erinnerungs- und Handlungssequenz.</w:t>
      </w:r>
    </w:p>
    <w:p w14:paraId="12698FCF"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Das Heiligkeitsziel </w:t>
      </w:r>
      <w:r w:rsidRPr="00C22013">
        <w:rPr>
          <w:rFonts w:eastAsia="Times New Roman" w:cs="Times New Roman"/>
          <w:b/>
          <w:bCs/>
          <w:rtl/>
          <w:lang w:eastAsia="de-DE"/>
        </w:rPr>
        <w:t>וִהְיִיתֶ֥ם קְדֹשִׁ֖ים לֵֽאלֹהֵיכֶֽם</w:t>
      </w:r>
      <w:r w:rsidRPr="00C22013">
        <w:rPr>
          <w:rFonts w:eastAsia="Times New Roman" w:cs="Times New Roman"/>
          <w:rtl/>
          <w:lang w:eastAsia="de-DE"/>
        </w:rPr>
        <w:t xml:space="preserve"> </w:t>
      </w:r>
      <w:r w:rsidRPr="00C22013">
        <w:rPr>
          <w:rFonts w:eastAsia="Times New Roman" w:cs="Times New Roman"/>
          <w:lang w:eastAsia="de-DE"/>
        </w:rPr>
        <w:t xml:space="preserve">(und ihr sollt heilig sein eurem Gott) mit </w:t>
      </w:r>
      <w:r w:rsidRPr="00C22013">
        <w:rPr>
          <w:rFonts w:eastAsia="Times New Roman" w:cs="Times New Roman"/>
          <w:b/>
          <w:bCs/>
          <w:rtl/>
          <w:lang w:eastAsia="de-DE"/>
        </w:rPr>
        <w:t>הְיִיתֶם קְדֹשִׁים</w:t>
      </w:r>
      <w:r w:rsidRPr="00C22013">
        <w:rPr>
          <w:rFonts w:eastAsia="Times New Roman" w:cs="Times New Roman"/>
          <w:rtl/>
          <w:lang w:eastAsia="de-DE"/>
        </w:rPr>
        <w:t xml:space="preserve"> </w:t>
      </w:r>
      <w:r w:rsidRPr="00C22013">
        <w:rPr>
          <w:rFonts w:eastAsia="Times New Roman" w:cs="Times New Roman"/>
          <w:lang w:eastAsia="de-DE"/>
        </w:rPr>
        <w:t xml:space="preserve">(ihr sollt heilig sein) von </w:t>
      </w:r>
      <w:r w:rsidRPr="00C22013">
        <w:rPr>
          <w:rFonts w:eastAsia="Times New Roman" w:cs="Times New Roman"/>
          <w:b/>
          <w:bCs/>
          <w:rtl/>
          <w:lang w:eastAsia="de-DE"/>
        </w:rPr>
        <w:t>קדש</w:t>
      </w:r>
      <w:r w:rsidRPr="00C22013">
        <w:rPr>
          <w:rFonts w:eastAsia="Times New Roman" w:cs="Times New Roman"/>
          <w:rtl/>
          <w:lang w:eastAsia="de-DE"/>
        </w:rPr>
        <w:t xml:space="preserve"> </w:t>
      </w:r>
      <w:r w:rsidRPr="00C22013">
        <w:rPr>
          <w:rFonts w:eastAsia="Times New Roman" w:cs="Times New Roman"/>
          <w:lang w:eastAsia="de-DE"/>
        </w:rPr>
        <w:t xml:space="preserve">(heilig sein) und </w:t>
      </w:r>
      <w:r w:rsidRPr="00C22013">
        <w:rPr>
          <w:rFonts w:eastAsia="Times New Roman" w:cs="Times New Roman"/>
          <w:b/>
          <w:bCs/>
          <w:rtl/>
          <w:lang w:eastAsia="de-DE"/>
        </w:rPr>
        <w:t>לֵאלֹהֵיכֶם</w:t>
      </w:r>
      <w:r w:rsidRPr="00C22013">
        <w:rPr>
          <w:rFonts w:eastAsia="Times New Roman" w:cs="Times New Roman"/>
          <w:rtl/>
          <w:lang w:eastAsia="de-DE"/>
        </w:rPr>
        <w:t xml:space="preserve"> </w:t>
      </w:r>
      <w:r w:rsidRPr="00C22013">
        <w:rPr>
          <w:rFonts w:eastAsia="Times New Roman" w:cs="Times New Roman"/>
          <w:lang w:eastAsia="de-DE"/>
        </w:rPr>
        <w:t>(eurem Gott) zeigt das ultimative Ziel der Gebotsbefolgung: Heiligkeit als Beziehungsqualität zu Gott.</w:t>
      </w:r>
    </w:p>
    <w:p w14:paraId="76BEAE7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לְמַעַן</w:t>
      </w:r>
      <w:r w:rsidRPr="00C22013">
        <w:rPr>
          <w:rFonts w:eastAsia="Times New Roman" w:cs="Times New Roman"/>
          <w:rtl/>
          <w:lang w:eastAsia="de-DE"/>
        </w:rPr>
        <w:t xml:space="preserve"> </w:t>
      </w:r>
      <w:r w:rsidRPr="00C22013">
        <w:rPr>
          <w:rFonts w:eastAsia="Times New Roman" w:cs="Times New Roman"/>
          <w:lang w:eastAsia="de-DE"/>
        </w:rPr>
        <w:t xml:space="preserve">mit ἵνα (damit), </w:t>
      </w:r>
      <w:r w:rsidRPr="00C22013">
        <w:rPr>
          <w:rFonts w:eastAsia="Times New Roman" w:cs="Times New Roman"/>
          <w:b/>
          <w:bCs/>
          <w:rtl/>
          <w:lang w:eastAsia="de-DE"/>
        </w:rPr>
        <w:t>תִּזְכְּרוּ</w:t>
      </w:r>
      <w:r w:rsidRPr="00C22013">
        <w:rPr>
          <w:rFonts w:eastAsia="Times New Roman" w:cs="Times New Roman"/>
          <w:rtl/>
          <w:lang w:eastAsia="de-DE"/>
        </w:rPr>
        <w:t xml:space="preserve"> </w:t>
      </w:r>
      <w:r w:rsidRPr="00C22013">
        <w:rPr>
          <w:rFonts w:eastAsia="Times New Roman" w:cs="Times New Roman"/>
          <w:lang w:eastAsia="de-DE"/>
        </w:rPr>
        <w:t xml:space="preserve">mit μνησθῆτε (ihr erinnert euch), </w:t>
      </w:r>
      <w:r w:rsidRPr="00C22013">
        <w:rPr>
          <w:rFonts w:eastAsia="Times New Roman" w:cs="Times New Roman"/>
          <w:b/>
          <w:bCs/>
          <w:rtl/>
          <w:lang w:eastAsia="de-DE"/>
        </w:rPr>
        <w:t>מִצְוֹתָי</w:t>
      </w:r>
      <w:r w:rsidRPr="00C22013">
        <w:rPr>
          <w:rFonts w:eastAsia="Times New Roman" w:cs="Times New Roman"/>
          <w:rtl/>
          <w:lang w:eastAsia="de-DE"/>
        </w:rPr>
        <w:t xml:space="preserve"> </w:t>
      </w:r>
      <w:r w:rsidRPr="00C22013">
        <w:rPr>
          <w:rFonts w:eastAsia="Times New Roman" w:cs="Times New Roman"/>
          <w:lang w:eastAsia="de-DE"/>
        </w:rPr>
        <w:t xml:space="preserve">mit ἐντολάς μου (meine Gebote) und </w:t>
      </w:r>
      <w:r w:rsidRPr="00C22013">
        <w:rPr>
          <w:rFonts w:eastAsia="Times New Roman" w:cs="Times New Roman"/>
          <w:b/>
          <w:bCs/>
          <w:rtl/>
          <w:lang w:eastAsia="de-DE"/>
        </w:rPr>
        <w:t>קְדֹשִׁים</w:t>
      </w:r>
      <w:r w:rsidRPr="00C22013">
        <w:rPr>
          <w:rFonts w:eastAsia="Times New Roman" w:cs="Times New Roman"/>
          <w:rtl/>
          <w:lang w:eastAsia="de-DE"/>
        </w:rPr>
        <w:t xml:space="preserve"> </w:t>
      </w:r>
      <w:r w:rsidRPr="00C22013">
        <w:rPr>
          <w:rFonts w:eastAsia="Times New Roman" w:cs="Times New Roman"/>
          <w:lang w:eastAsia="de-DE"/>
        </w:rPr>
        <w:t>mit ἅγιοι (heilig).</w:t>
      </w:r>
    </w:p>
    <w:p w14:paraId="0C3738BD"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verstärkende Zweckbestimmung und ultimatives Heiligkeitsziel.</w:t>
      </w:r>
    </w:p>
    <w:p w14:paraId="3D885EBC"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Vers zeigt das höchste Ziel der Zizit: durch Erinnerung zur Heiligkeit zu führen.</w:t>
      </w:r>
    </w:p>
    <w:p w14:paraId="33A7355A" w14:textId="77777777" w:rsidR="00C22013" w:rsidRPr="00C22013" w:rsidRDefault="00C22013" w:rsidP="00C22013">
      <w:pPr>
        <w:spacing w:before="100" w:beforeAutospacing="1" w:after="100" w:afterAutospacing="1" w:line="240" w:lineRule="auto"/>
        <w:outlineLvl w:val="0"/>
        <w:rPr>
          <w:rFonts w:eastAsia="Times New Roman" w:cs="Times New Roman"/>
          <w:b/>
          <w:bCs/>
          <w:kern w:val="36"/>
          <w:sz w:val="48"/>
          <w:szCs w:val="48"/>
          <w:lang w:eastAsia="de-DE"/>
        </w:rPr>
      </w:pPr>
      <w:r w:rsidRPr="00C22013">
        <w:rPr>
          <w:rFonts w:eastAsia="Times New Roman" w:cs="Times New Roman"/>
          <w:b/>
          <w:bCs/>
          <w:kern w:val="36"/>
          <w:sz w:val="48"/>
          <w:szCs w:val="48"/>
          <w:lang w:eastAsia="de-DE"/>
        </w:rPr>
        <w:t>Numeri 15,41</w:t>
      </w:r>
    </w:p>
    <w:p w14:paraId="30B69C7B"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Hebräisch:</w:t>
      </w:r>
      <w:r w:rsidRPr="00C22013">
        <w:rPr>
          <w:rFonts w:eastAsia="Times New Roman" w:cs="Times New Roman"/>
          <w:lang w:eastAsia="de-DE"/>
        </w:rPr>
        <w:t xml:space="preserve"> </w:t>
      </w:r>
      <w:r w:rsidRPr="00C22013">
        <w:rPr>
          <w:rFonts w:eastAsia="Times New Roman" w:cs="Times New Roman"/>
          <w:rtl/>
          <w:lang w:eastAsia="de-DE"/>
        </w:rPr>
        <w:t>אֲנִ֞י יְהוָ֣ה אֱלֹֽהֵיכֶ֗ם אֲשֶׁ֨ר הוֹצֵ֤אתִי אֶתְכֶם֙ מֵאֶ֣רֶץ מִצְרַ֔יִם לִהְי֥וֹת לָכֶ֖ם לֵאלֹהִ֑ים אֲנִ֖י יְהוָ֥ה אֱלֹהֵיכֶֽם׃</w:t>
      </w:r>
    </w:p>
    <w:p w14:paraId="689DEBE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Deutsch:</w:t>
      </w:r>
      <w:r w:rsidRPr="00C22013">
        <w:rPr>
          <w:rFonts w:eastAsia="Times New Roman" w:cs="Times New Roman"/>
          <w:lang w:eastAsia="de-DE"/>
        </w:rPr>
        <w:t xml:space="preserve"> Ich bin der Ewige, euer Gott, der ich euch aus dem Land Mizrajim herausgeführt habe, um euer Gott zu sein; ich bin der Ewige, euer Gott.</w:t>
      </w:r>
    </w:p>
    <w:p w14:paraId="0D6FF93A" w14:textId="77777777" w:rsidR="00C22013" w:rsidRPr="00C22013" w:rsidRDefault="00F329DD" w:rsidP="00C22013">
      <w:pPr>
        <w:spacing w:after="0" w:line="240" w:lineRule="auto"/>
        <w:rPr>
          <w:rFonts w:eastAsia="Times New Roman" w:cs="Times New Roman"/>
          <w:lang w:eastAsia="de-DE"/>
        </w:rPr>
      </w:pPr>
      <w:r>
        <w:rPr>
          <w:rFonts w:eastAsia="Times New Roman" w:cs="Times New Roman"/>
          <w:noProof/>
          <w:lang w:eastAsia="de-DE"/>
        </w:rPr>
        <w:pict w14:anchorId="32E1A57E">
          <v:rect id="_x0000_i1538" style="width:0;height:1.5pt" o:hralign="center" o:hrstd="t" o:hr="t" fillcolor="#a0a0a0" stroked="f"/>
        </w:pict>
      </w:r>
    </w:p>
    <w:p w14:paraId="1BB8E6A9"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Kommentar:</w:t>
      </w:r>
      <w:r w:rsidRPr="00C22013">
        <w:rPr>
          <w:rFonts w:eastAsia="Times New Roman" w:cs="Times New Roman"/>
          <w:lang w:eastAsia="de-DE"/>
        </w:rPr>
        <w:t xml:space="preserve"> Die Selbstvorstellung </w:t>
      </w:r>
      <w:r w:rsidRPr="00C22013">
        <w:rPr>
          <w:rFonts w:eastAsia="Times New Roman" w:cs="Times New Roman"/>
          <w:b/>
          <w:bCs/>
          <w:rtl/>
          <w:lang w:eastAsia="de-DE"/>
        </w:rPr>
        <w:t>אֲנִ֞י יְהוָ֣ה אֱלֹֽהֵיכֶ֗ם אֲשֶׁ֨ר הוֹצֵ֤אתִי אֶתְכֶם֙ מֵאֶ֣רֶץ מִצְרַ֔יִם</w:t>
      </w:r>
      <w:r w:rsidRPr="00C22013">
        <w:rPr>
          <w:rFonts w:eastAsia="Times New Roman" w:cs="Times New Roman"/>
          <w:rtl/>
          <w:lang w:eastAsia="de-DE"/>
        </w:rPr>
        <w:t xml:space="preserve"> </w:t>
      </w:r>
      <w:r w:rsidRPr="00C22013">
        <w:rPr>
          <w:rFonts w:eastAsia="Times New Roman" w:cs="Times New Roman"/>
          <w:lang w:eastAsia="de-DE"/>
        </w:rPr>
        <w:t xml:space="preserve">(ich bin der Ewige, euer Gott, der ich euch aus dem Land Ägypten herausgeführt habe) mit </w:t>
      </w:r>
      <w:r w:rsidRPr="00C22013">
        <w:rPr>
          <w:rFonts w:eastAsia="Times New Roman" w:cs="Times New Roman"/>
          <w:b/>
          <w:bCs/>
          <w:rtl/>
          <w:lang w:eastAsia="de-DE"/>
        </w:rPr>
        <w:t>אֲנִי יְהוָה אֱלֹהֵיכֶם</w:t>
      </w:r>
      <w:r w:rsidRPr="00C22013">
        <w:rPr>
          <w:rFonts w:eastAsia="Times New Roman" w:cs="Times New Roman"/>
          <w:rtl/>
          <w:lang w:eastAsia="de-DE"/>
        </w:rPr>
        <w:t xml:space="preserve"> </w:t>
      </w:r>
      <w:r w:rsidRPr="00C22013">
        <w:rPr>
          <w:rFonts w:eastAsia="Times New Roman" w:cs="Times New Roman"/>
          <w:lang w:eastAsia="de-DE"/>
        </w:rPr>
        <w:t xml:space="preserve">(ich bin der Ewige, euer Gott), </w:t>
      </w:r>
      <w:r w:rsidRPr="00C22013">
        <w:rPr>
          <w:rFonts w:eastAsia="Times New Roman" w:cs="Times New Roman"/>
          <w:b/>
          <w:bCs/>
          <w:rtl/>
          <w:lang w:eastAsia="de-DE"/>
        </w:rPr>
        <w:t>אֲשֶׁר הוֹצֵאתִי אֶתְכֶם</w:t>
      </w:r>
      <w:r w:rsidRPr="00C22013">
        <w:rPr>
          <w:rFonts w:eastAsia="Times New Roman" w:cs="Times New Roman"/>
          <w:rtl/>
          <w:lang w:eastAsia="de-DE"/>
        </w:rPr>
        <w:t xml:space="preserve"> </w:t>
      </w:r>
      <w:r w:rsidRPr="00C22013">
        <w:rPr>
          <w:rFonts w:eastAsia="Times New Roman" w:cs="Times New Roman"/>
          <w:lang w:eastAsia="de-DE"/>
        </w:rPr>
        <w:t xml:space="preserve">(der ich euch herausgeführt habe) von </w:t>
      </w:r>
      <w:r w:rsidRPr="00C22013">
        <w:rPr>
          <w:rFonts w:eastAsia="Times New Roman" w:cs="Times New Roman"/>
          <w:b/>
          <w:bCs/>
          <w:rtl/>
          <w:lang w:eastAsia="de-DE"/>
        </w:rPr>
        <w:t>יצא</w:t>
      </w:r>
      <w:r w:rsidRPr="00C22013">
        <w:rPr>
          <w:rFonts w:eastAsia="Times New Roman" w:cs="Times New Roman"/>
          <w:rtl/>
          <w:lang w:eastAsia="de-DE"/>
        </w:rPr>
        <w:t xml:space="preserve"> </w:t>
      </w:r>
      <w:r w:rsidRPr="00C22013">
        <w:rPr>
          <w:rFonts w:eastAsia="Times New Roman" w:cs="Times New Roman"/>
          <w:lang w:eastAsia="de-DE"/>
        </w:rPr>
        <w:t xml:space="preserve">(herausführen) im Hiph'il und </w:t>
      </w:r>
      <w:r w:rsidRPr="00C22013">
        <w:rPr>
          <w:rFonts w:eastAsia="Times New Roman" w:cs="Times New Roman"/>
          <w:b/>
          <w:bCs/>
          <w:rtl/>
          <w:lang w:eastAsia="de-DE"/>
        </w:rPr>
        <w:t>מֵאֶרֶץ מִצְרַיִם</w:t>
      </w:r>
      <w:r w:rsidRPr="00C22013">
        <w:rPr>
          <w:rFonts w:eastAsia="Times New Roman" w:cs="Times New Roman"/>
          <w:rtl/>
          <w:lang w:eastAsia="de-DE"/>
        </w:rPr>
        <w:t xml:space="preserve"> </w:t>
      </w:r>
      <w:r w:rsidRPr="00C22013">
        <w:rPr>
          <w:rFonts w:eastAsia="Times New Roman" w:cs="Times New Roman"/>
          <w:lang w:eastAsia="de-DE"/>
        </w:rPr>
        <w:t>(aus dem Land Ägypten) erinnert an die grundlegende Befreiungstat.</w:t>
      </w:r>
    </w:p>
    <w:p w14:paraId="1F75AAE7"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Zweckbestimmung </w:t>
      </w:r>
      <w:r w:rsidRPr="00C22013">
        <w:rPr>
          <w:rFonts w:eastAsia="Times New Roman" w:cs="Times New Roman"/>
          <w:b/>
          <w:bCs/>
          <w:rtl/>
          <w:lang w:eastAsia="de-DE"/>
        </w:rPr>
        <w:t>לִהְי֥וֹת לָכֶ֖ם לֵאלֹהִ֑ים</w:t>
      </w:r>
      <w:r w:rsidRPr="00C22013">
        <w:rPr>
          <w:rFonts w:eastAsia="Times New Roman" w:cs="Times New Roman"/>
          <w:rtl/>
          <w:lang w:eastAsia="de-DE"/>
        </w:rPr>
        <w:t xml:space="preserve"> </w:t>
      </w:r>
      <w:r w:rsidRPr="00C22013">
        <w:rPr>
          <w:rFonts w:eastAsia="Times New Roman" w:cs="Times New Roman"/>
          <w:lang w:eastAsia="de-DE"/>
        </w:rPr>
        <w:t xml:space="preserve">(um euer Gott zu sein) mit </w:t>
      </w:r>
      <w:r w:rsidRPr="00C22013">
        <w:rPr>
          <w:rFonts w:eastAsia="Times New Roman" w:cs="Times New Roman"/>
          <w:b/>
          <w:bCs/>
          <w:rtl/>
          <w:lang w:eastAsia="de-DE"/>
        </w:rPr>
        <w:t>לִהְיוֹת לָכֶם לֵאלֹהִים</w:t>
      </w:r>
      <w:r w:rsidRPr="00C22013">
        <w:rPr>
          <w:rFonts w:eastAsia="Times New Roman" w:cs="Times New Roman"/>
          <w:rtl/>
          <w:lang w:eastAsia="de-DE"/>
        </w:rPr>
        <w:t xml:space="preserve"> </w:t>
      </w:r>
      <w:r w:rsidRPr="00C22013">
        <w:rPr>
          <w:rFonts w:eastAsia="Times New Roman" w:cs="Times New Roman"/>
          <w:lang w:eastAsia="de-DE"/>
        </w:rPr>
        <w:t>(um euer Gott zu sein) zeigt den Zweck der Befreiung: Etablierung der Gottesbeziehung.</w:t>
      </w:r>
    </w:p>
    <w:p w14:paraId="002A1AAA"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 xml:space="preserve">Die Bekräftigung </w:t>
      </w:r>
      <w:r w:rsidRPr="00C22013">
        <w:rPr>
          <w:rFonts w:eastAsia="Times New Roman" w:cs="Times New Roman"/>
          <w:b/>
          <w:bCs/>
          <w:rtl/>
          <w:lang w:eastAsia="de-DE"/>
        </w:rPr>
        <w:t>אֲנִ֖י יְהוָ֥ה אֱלֹהֵיכֶֽם</w:t>
      </w:r>
      <w:r w:rsidRPr="00C22013">
        <w:rPr>
          <w:rFonts w:eastAsia="Times New Roman" w:cs="Times New Roman"/>
          <w:rtl/>
          <w:lang w:eastAsia="de-DE"/>
        </w:rPr>
        <w:t xml:space="preserve"> </w:t>
      </w:r>
      <w:r w:rsidRPr="00C22013">
        <w:rPr>
          <w:rFonts w:eastAsia="Times New Roman" w:cs="Times New Roman"/>
          <w:lang w:eastAsia="de-DE"/>
        </w:rPr>
        <w:t>(ich bin der Ewige, euer Gott) wiederholt die Selbstvorstellung und schließt damit sowohl den Vers als auch das gesamte Kapitel 15 ab.</w:t>
      </w:r>
    </w:p>
    <w:p w14:paraId="6A4DAED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b/>
          <w:bCs/>
          <w:lang w:eastAsia="de-DE"/>
        </w:rPr>
        <w:t>Die LXX</w:t>
      </w:r>
      <w:r w:rsidRPr="00C22013">
        <w:rPr>
          <w:rFonts w:eastAsia="Times New Roman" w:cs="Times New Roman"/>
          <w:lang w:eastAsia="de-DE"/>
        </w:rPr>
        <w:t xml:space="preserve"> übersetzt </w:t>
      </w:r>
      <w:r w:rsidRPr="00C22013">
        <w:rPr>
          <w:rFonts w:eastAsia="Times New Roman" w:cs="Times New Roman"/>
          <w:b/>
          <w:bCs/>
          <w:rtl/>
          <w:lang w:eastAsia="de-DE"/>
        </w:rPr>
        <w:t>הוֹצֵאתִי</w:t>
      </w:r>
      <w:r w:rsidRPr="00C22013">
        <w:rPr>
          <w:rFonts w:eastAsia="Times New Roman" w:cs="Times New Roman"/>
          <w:rtl/>
          <w:lang w:eastAsia="de-DE"/>
        </w:rPr>
        <w:t xml:space="preserve"> </w:t>
      </w:r>
      <w:r w:rsidRPr="00C22013">
        <w:rPr>
          <w:rFonts w:eastAsia="Times New Roman" w:cs="Times New Roman"/>
          <w:lang w:eastAsia="de-DE"/>
        </w:rPr>
        <w:t xml:space="preserve">mit ἐξήγαγον (ich führte heraus), </w:t>
      </w:r>
      <w:r w:rsidRPr="00C22013">
        <w:rPr>
          <w:rFonts w:eastAsia="Times New Roman" w:cs="Times New Roman"/>
          <w:b/>
          <w:bCs/>
          <w:rtl/>
          <w:lang w:eastAsia="de-DE"/>
        </w:rPr>
        <w:t>לִהְיוֹת לָכֶם לֵאלֹהִים</w:t>
      </w:r>
      <w:r w:rsidRPr="00C22013">
        <w:rPr>
          <w:rFonts w:eastAsia="Times New Roman" w:cs="Times New Roman"/>
          <w:rtl/>
          <w:lang w:eastAsia="de-DE"/>
        </w:rPr>
        <w:t xml:space="preserve"> </w:t>
      </w:r>
      <w:r w:rsidRPr="00C22013">
        <w:rPr>
          <w:rFonts w:eastAsia="Times New Roman" w:cs="Times New Roman"/>
          <w:lang w:eastAsia="de-DE"/>
        </w:rPr>
        <w:t>mit εἶναι ὑμῶν θεός (euer Gott zu sein) und wiederholt die Gottesformel.</w:t>
      </w:r>
    </w:p>
    <w:p w14:paraId="41387792"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 Satzstruktur zeigt Selbstvorstellung mit Befreiungserinnerung, Zweckbestimmung und bekräftigende Wiederholung.</w:t>
      </w:r>
    </w:p>
    <w:p w14:paraId="2E4FF6A1" w14:textId="77777777" w:rsidR="00C22013" w:rsidRPr="00C22013" w:rsidRDefault="00C22013" w:rsidP="00C22013">
      <w:pPr>
        <w:spacing w:before="100" w:beforeAutospacing="1" w:after="100" w:afterAutospacing="1" w:line="240" w:lineRule="auto"/>
        <w:rPr>
          <w:rFonts w:eastAsia="Times New Roman" w:cs="Times New Roman"/>
          <w:lang w:eastAsia="de-DE"/>
        </w:rPr>
      </w:pPr>
      <w:r w:rsidRPr="00C22013">
        <w:rPr>
          <w:rFonts w:eastAsia="Times New Roman" w:cs="Times New Roman"/>
          <w:lang w:eastAsia="de-DE"/>
        </w:rPr>
        <w:t>Dieser abschließende Vers verankert alle Gebote in der grundlegenden Befreiungstat und Gottesbeziehung.</w:t>
      </w:r>
    </w:p>
    <w:p w14:paraId="088E31DD" w14:textId="77777777" w:rsidR="00C22013" w:rsidRDefault="00C22013" w:rsidP="00C22013">
      <w:pPr>
        <w:pStyle w:val="whitespace-normal"/>
      </w:pPr>
      <w:r>
        <w:t>Kapitel 15 behandelt vier Hauptthemen nach der Krise von Kapitel 14:</w:t>
      </w:r>
    </w:p>
    <w:p w14:paraId="521BB371" w14:textId="66CD69FD" w:rsidR="00C22013" w:rsidRDefault="00C22013" w:rsidP="00C15C06">
      <w:pPr>
        <w:pStyle w:val="whitespace-normal"/>
        <w:numPr>
          <w:ilvl w:val="0"/>
          <w:numId w:val="5"/>
        </w:numPr>
      </w:pPr>
      <w:r>
        <w:rPr>
          <w:rStyle w:val="Fett"/>
        </w:rPr>
        <w:lastRenderedPageBreak/>
        <w:t>Opferbestimmungen für das Land</w:t>
      </w:r>
      <w:r>
        <w:t xml:space="preserve"> (V. 1-16): Detaillierte Regeln für </w:t>
      </w:r>
      <w:r w:rsidR="00FF7EC2">
        <w:t>Aufsteigeopfer</w:t>
      </w:r>
      <w:r>
        <w:t>, Speisopfer und Trankopfer im verheißenen Land, mit Betonung der Gleichbehandlung von Einheimischen und Fremden.</w:t>
      </w:r>
    </w:p>
    <w:p w14:paraId="0BBFCCD2" w14:textId="77777777" w:rsidR="00C22013" w:rsidRDefault="00C22013" w:rsidP="00C15C06">
      <w:pPr>
        <w:pStyle w:val="whitespace-normal"/>
        <w:numPr>
          <w:ilvl w:val="0"/>
          <w:numId w:val="5"/>
        </w:numPr>
      </w:pPr>
      <w:r>
        <w:rPr>
          <w:rStyle w:val="Fett"/>
        </w:rPr>
        <w:t>Challah-Abgabe</w:t>
      </w:r>
      <w:r>
        <w:t xml:space="preserve"> (V. 17-21): Die Verpflichtung zur Erstlingsgabe vom Brotteig als dauerhaftes Zeichen der Dankbarkeit für den Landertrag.</w:t>
      </w:r>
    </w:p>
    <w:p w14:paraId="582154CD" w14:textId="77777777" w:rsidR="00C22013" w:rsidRDefault="00C22013" w:rsidP="00C15C06">
      <w:pPr>
        <w:pStyle w:val="whitespace-normal"/>
        <w:numPr>
          <w:ilvl w:val="0"/>
          <w:numId w:val="5"/>
        </w:numPr>
      </w:pPr>
      <w:r>
        <w:rPr>
          <w:rStyle w:val="Fett"/>
        </w:rPr>
        <w:t>Sündopfer-Bestimmungen</w:t>
      </w:r>
      <w:r>
        <w:t xml:space="preserve"> (V. 22-36): Unterscheidung zwischen unabsichtlichen (vergebbaren) und vorsätzlichen (unverzeihlichen) Sünden, illustriert durch die Steinigung des Sabbatschänders.</w:t>
      </w:r>
    </w:p>
    <w:p w14:paraId="11BF2560" w14:textId="77777777" w:rsidR="00C22013" w:rsidRDefault="00C22013" w:rsidP="00C15C06">
      <w:pPr>
        <w:pStyle w:val="whitespace-normal"/>
        <w:numPr>
          <w:ilvl w:val="0"/>
          <w:numId w:val="5"/>
        </w:numPr>
      </w:pPr>
      <w:r>
        <w:rPr>
          <w:rStyle w:val="Fett"/>
        </w:rPr>
        <w:t>Zizit-Gebot</w:t>
      </w:r>
      <w:r>
        <w:t xml:space="preserve"> (V. 37-41): Die Quasten als sichtbare Erinnerung an die Gebote und Warnung vor autonomer moralischer Erkundung.</w:t>
      </w:r>
    </w:p>
    <w:p w14:paraId="6D0992BD" w14:textId="77777777" w:rsidR="00C22013" w:rsidRDefault="00C22013" w:rsidP="00C22013">
      <w:pPr>
        <w:pStyle w:val="whitespace-normal"/>
      </w:pPr>
      <w:r>
        <w:t>Das Kapitel zeigt trotz der gerade verkündeten Strafe Gottes unerschütterliche Treue zu seinen Verheißungen und bietet konkrete Gesetze für das Leben im verheißenen Land. Die Betonung der Rechtsgleichheit zwischen Einheimischen und Fremden ist bemerkenswert fortschrittlich und zeigt Gottes universalen Heilswillen.</w:t>
      </w:r>
    </w:p>
    <w:p w14:paraId="29247930" w14:textId="77777777" w:rsidR="00C268A3" w:rsidRPr="00C268A3" w:rsidRDefault="00C268A3" w:rsidP="00C268A3">
      <w:pPr>
        <w:spacing w:before="100" w:beforeAutospacing="1" w:after="100" w:afterAutospacing="1" w:line="240" w:lineRule="auto"/>
        <w:outlineLvl w:val="0"/>
        <w:rPr>
          <w:rFonts w:eastAsia="Times New Roman" w:cs="Times New Roman"/>
          <w:b/>
          <w:bCs/>
          <w:kern w:val="36"/>
          <w:sz w:val="48"/>
          <w:szCs w:val="48"/>
          <w:lang w:eastAsia="de-DE"/>
        </w:rPr>
      </w:pPr>
      <w:r w:rsidRPr="00C268A3">
        <w:rPr>
          <w:rFonts w:eastAsia="Times New Roman" w:cs="Times New Roman"/>
          <w:b/>
          <w:bCs/>
          <w:kern w:val="36"/>
          <w:sz w:val="48"/>
          <w:szCs w:val="48"/>
          <w:lang w:eastAsia="de-DE"/>
        </w:rPr>
        <w:t>Numeri 16,1</w:t>
      </w:r>
    </w:p>
    <w:p w14:paraId="7749ED52"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t>Hebräisch:</w:t>
      </w:r>
      <w:r w:rsidRPr="00C268A3">
        <w:rPr>
          <w:rFonts w:eastAsia="Times New Roman" w:cs="Times New Roman"/>
          <w:lang w:eastAsia="de-DE"/>
        </w:rPr>
        <w:t xml:space="preserve"> </w:t>
      </w:r>
      <w:r w:rsidRPr="00C268A3">
        <w:rPr>
          <w:rFonts w:eastAsia="Times New Roman" w:cs="Times New Roman"/>
          <w:rtl/>
          <w:lang w:eastAsia="de-DE"/>
        </w:rPr>
        <w:t>וַיִּקַּ֣ח קֹ֔רַח בֶּן־יִצְהָ֥ר בֶּן־קְהָ֖ת בֶּן־לֵוִ֑י וְדָתָ֨ן וַאֲבִירָ֜ם בְּנֵ֧י אֱלִיאָ֛ב וְא֥וֹן בֶּן־פֶּ֖לֶת בְּנֵ֥י רְאוּבֵֽן׃</w:t>
      </w:r>
    </w:p>
    <w:p w14:paraId="6A224D2F"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t>Deutsch:</w:t>
      </w:r>
      <w:r w:rsidRPr="00C268A3">
        <w:rPr>
          <w:rFonts w:eastAsia="Times New Roman" w:cs="Times New Roman"/>
          <w:lang w:eastAsia="de-DE"/>
        </w:rPr>
        <w:t xml:space="preserve"> Und Korach, der Sohn Jizhars, des Sohnes Kehats, des Sohnes Levis, unternahm es, und mit ihm Datan und Aviram, die Söhne Eli'avs, und On, der Sohn Pelets, Söhne Re'uvens.</w:t>
      </w:r>
    </w:p>
    <w:p w14:paraId="40F80194" w14:textId="77777777" w:rsidR="00C268A3" w:rsidRPr="00C268A3" w:rsidRDefault="00F329DD" w:rsidP="00C268A3">
      <w:pPr>
        <w:spacing w:after="0" w:line="240" w:lineRule="auto"/>
        <w:rPr>
          <w:rFonts w:eastAsia="Times New Roman" w:cs="Times New Roman"/>
          <w:lang w:eastAsia="de-DE"/>
        </w:rPr>
      </w:pPr>
      <w:r>
        <w:rPr>
          <w:rFonts w:eastAsia="Times New Roman" w:cs="Times New Roman"/>
          <w:noProof/>
          <w:lang w:eastAsia="de-DE"/>
        </w:rPr>
        <w:pict w14:anchorId="01CCCEC1">
          <v:rect id="_x0000_i1539" style="width:0;height:1.5pt" o:hralign="center" o:hrstd="t" o:hr="t" fillcolor="#a0a0a0" stroked="f"/>
        </w:pict>
      </w:r>
    </w:p>
    <w:p w14:paraId="05616E20" w14:textId="030C2531"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t>Kommentar:</w:t>
      </w:r>
      <w:r w:rsidRPr="00C268A3">
        <w:rPr>
          <w:rFonts w:eastAsia="Times New Roman" w:cs="Times New Roman"/>
          <w:lang w:eastAsia="de-DE"/>
        </w:rPr>
        <w:t xml:space="preserve"> Das Verb </w:t>
      </w:r>
      <w:r w:rsidRPr="00C268A3">
        <w:rPr>
          <w:rFonts w:eastAsia="Times New Roman" w:cs="Times New Roman"/>
          <w:b/>
          <w:bCs/>
          <w:rtl/>
          <w:lang w:eastAsia="de-DE"/>
        </w:rPr>
        <w:t>וַיִּקַּח</w:t>
      </w:r>
      <w:r w:rsidRPr="00C268A3">
        <w:rPr>
          <w:rFonts w:eastAsia="Times New Roman" w:cs="Times New Roman"/>
          <w:rtl/>
          <w:lang w:eastAsia="de-DE"/>
        </w:rPr>
        <w:t xml:space="preserve"> </w:t>
      </w:r>
      <w:r w:rsidRPr="00C268A3">
        <w:rPr>
          <w:rFonts w:eastAsia="Times New Roman" w:cs="Times New Roman"/>
          <w:lang w:eastAsia="de-DE"/>
        </w:rPr>
        <w:t xml:space="preserve">(Wayyiqtol, 3. m. sg. von </w:t>
      </w:r>
      <w:r w:rsidRPr="00C268A3">
        <w:rPr>
          <w:rFonts w:eastAsia="Times New Roman" w:cs="Times New Roman"/>
          <w:b/>
          <w:bCs/>
          <w:rtl/>
          <w:lang w:eastAsia="de-DE"/>
        </w:rPr>
        <w:t>לקח</w:t>
      </w:r>
      <w:r w:rsidRPr="00C268A3">
        <w:rPr>
          <w:rFonts w:eastAsia="Times New Roman" w:cs="Times New Roman"/>
          <w:lang w:eastAsia="de-DE"/>
        </w:rPr>
        <w:t xml:space="preserve">) eröffnet die Perikope und leitet die Rebellion ein. Die Form ist Imperfekt consecutivum und setzt die Erzählhandlung fort. Das Verb </w:t>
      </w:r>
      <w:r w:rsidRPr="00C268A3">
        <w:rPr>
          <w:rFonts w:eastAsia="Times New Roman" w:cs="Times New Roman"/>
          <w:b/>
          <w:bCs/>
          <w:rtl/>
          <w:lang w:eastAsia="de-DE"/>
        </w:rPr>
        <w:t>לקח</w:t>
      </w:r>
      <w:r w:rsidRPr="00C268A3">
        <w:rPr>
          <w:rFonts w:eastAsia="Times New Roman" w:cs="Times New Roman"/>
          <w:rtl/>
          <w:lang w:eastAsia="de-DE"/>
        </w:rPr>
        <w:t xml:space="preserve"> </w:t>
      </w:r>
      <w:r w:rsidRPr="00C268A3">
        <w:rPr>
          <w:rFonts w:eastAsia="Times New Roman" w:cs="Times New Roman"/>
          <w:lang w:eastAsia="de-DE"/>
        </w:rPr>
        <w:t xml:space="preserve">bedeutet grundsätzlich „nehmen", doch hier fehlt ein direktes Objekt, was zu verschiedenen Interpretationsansätzen führt. Syntaktisch kann das Verb absolut verwendet werden im Sinne von „er unternahm etwas" oder „er nahm Partei". Einige Exegeten verstehen es als elliptische </w:t>
      </w:r>
      <w:r w:rsidR="00F133EC">
        <w:rPr>
          <w:rFonts w:eastAsia="Times New Roman" w:cs="Times New Roman"/>
          <w:lang w:eastAsia="de-DE"/>
        </w:rPr>
        <w:t>Construct</w:t>
      </w:r>
      <w:r w:rsidRPr="00C268A3">
        <w:rPr>
          <w:rFonts w:eastAsia="Times New Roman" w:cs="Times New Roman"/>
          <w:lang w:eastAsia="de-DE"/>
        </w:rPr>
        <w:t>ion, bei der das Objekt „Menschen" oder „Anhänger" mitzudenken ist.</w:t>
      </w:r>
    </w:p>
    <w:p w14:paraId="05CA6F8F"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rtl/>
          <w:lang w:eastAsia="de-DE"/>
        </w:rPr>
        <w:t>קֹרַח</w:t>
      </w:r>
      <w:r w:rsidRPr="00C268A3">
        <w:rPr>
          <w:rFonts w:eastAsia="Times New Roman" w:cs="Times New Roman"/>
          <w:rtl/>
          <w:lang w:eastAsia="de-DE"/>
        </w:rPr>
        <w:t xml:space="preserve"> </w:t>
      </w:r>
      <w:r w:rsidRPr="00C268A3">
        <w:rPr>
          <w:rFonts w:eastAsia="Times New Roman" w:cs="Times New Roman"/>
          <w:lang w:eastAsia="de-DE"/>
        </w:rPr>
        <w:t xml:space="preserve">ist das Subjekt des Satzes, ein Eigenname im Nominativ. Die genealogische Kette </w:t>
      </w:r>
      <w:r w:rsidRPr="00C268A3">
        <w:rPr>
          <w:rFonts w:eastAsia="Times New Roman" w:cs="Times New Roman"/>
          <w:b/>
          <w:bCs/>
          <w:rtl/>
          <w:lang w:eastAsia="de-DE"/>
        </w:rPr>
        <w:t>בֶּן־יִצְהָר בֶּן־קְהָת בֶּן־לֵוִי</w:t>
      </w:r>
      <w:r w:rsidRPr="00C268A3">
        <w:rPr>
          <w:rFonts w:eastAsia="Times New Roman" w:cs="Times New Roman"/>
          <w:rtl/>
          <w:lang w:eastAsia="de-DE"/>
        </w:rPr>
        <w:t xml:space="preserve"> </w:t>
      </w:r>
      <w:r w:rsidRPr="00C268A3">
        <w:rPr>
          <w:rFonts w:eastAsia="Times New Roman" w:cs="Times New Roman"/>
          <w:lang w:eastAsia="de-DE"/>
        </w:rPr>
        <w:t xml:space="preserve">etabliert Korachs levitische Abstammung durch drei Generationen. Die Präposition </w:t>
      </w:r>
      <w:r w:rsidRPr="00C268A3">
        <w:rPr>
          <w:rFonts w:eastAsia="Times New Roman" w:cs="Times New Roman"/>
          <w:b/>
          <w:bCs/>
          <w:rtl/>
          <w:lang w:eastAsia="de-DE"/>
        </w:rPr>
        <w:t>בֶּן</w:t>
      </w:r>
      <w:r w:rsidRPr="00C268A3">
        <w:rPr>
          <w:rFonts w:eastAsia="Times New Roman" w:cs="Times New Roman"/>
          <w:rtl/>
          <w:lang w:eastAsia="de-DE"/>
        </w:rPr>
        <w:t xml:space="preserve"> </w:t>
      </w:r>
      <w:r w:rsidRPr="00C268A3">
        <w:rPr>
          <w:rFonts w:eastAsia="Times New Roman" w:cs="Times New Roman"/>
          <w:lang w:eastAsia="de-DE"/>
        </w:rPr>
        <w:t xml:space="preserve">steht im Constructus-Verhältnis und verbindet die Namen hierarchisch. </w:t>
      </w:r>
      <w:r w:rsidRPr="00C268A3">
        <w:rPr>
          <w:rFonts w:eastAsia="Times New Roman" w:cs="Times New Roman"/>
          <w:b/>
          <w:bCs/>
          <w:rtl/>
          <w:lang w:eastAsia="de-DE"/>
        </w:rPr>
        <w:t>יִצְהָר</w:t>
      </w:r>
      <w:r w:rsidRPr="00C268A3">
        <w:rPr>
          <w:rFonts w:eastAsia="Times New Roman" w:cs="Times New Roman"/>
          <w:rtl/>
          <w:lang w:eastAsia="de-DE"/>
        </w:rPr>
        <w:t xml:space="preserve"> </w:t>
      </w:r>
      <w:r w:rsidRPr="00C268A3">
        <w:rPr>
          <w:rFonts w:eastAsia="Times New Roman" w:cs="Times New Roman"/>
          <w:lang w:eastAsia="de-DE"/>
        </w:rPr>
        <w:t xml:space="preserve">(Jizhar), </w:t>
      </w:r>
      <w:r w:rsidRPr="00C268A3">
        <w:rPr>
          <w:rFonts w:eastAsia="Times New Roman" w:cs="Times New Roman"/>
          <w:b/>
          <w:bCs/>
          <w:rtl/>
          <w:lang w:eastAsia="de-DE"/>
        </w:rPr>
        <w:t>קְהָת</w:t>
      </w:r>
      <w:r w:rsidRPr="00C268A3">
        <w:rPr>
          <w:rFonts w:eastAsia="Times New Roman" w:cs="Times New Roman"/>
          <w:rtl/>
          <w:lang w:eastAsia="de-DE"/>
        </w:rPr>
        <w:t xml:space="preserve"> </w:t>
      </w:r>
      <w:r w:rsidRPr="00C268A3">
        <w:rPr>
          <w:rFonts w:eastAsia="Times New Roman" w:cs="Times New Roman"/>
          <w:lang w:eastAsia="de-DE"/>
        </w:rPr>
        <w:t xml:space="preserve">(Kehat) und </w:t>
      </w:r>
      <w:r w:rsidRPr="00C268A3">
        <w:rPr>
          <w:rFonts w:eastAsia="Times New Roman" w:cs="Times New Roman"/>
          <w:b/>
          <w:bCs/>
          <w:rtl/>
          <w:lang w:eastAsia="de-DE"/>
        </w:rPr>
        <w:t>לֵוִי</w:t>
      </w:r>
      <w:r w:rsidRPr="00C268A3">
        <w:rPr>
          <w:rFonts w:eastAsia="Times New Roman" w:cs="Times New Roman"/>
          <w:rtl/>
          <w:lang w:eastAsia="de-DE"/>
        </w:rPr>
        <w:t xml:space="preserve"> </w:t>
      </w:r>
      <w:r w:rsidRPr="00C268A3">
        <w:rPr>
          <w:rFonts w:eastAsia="Times New Roman" w:cs="Times New Roman"/>
          <w:lang w:eastAsia="de-DE"/>
        </w:rPr>
        <w:t xml:space="preserve">(Levi) sind jeweils im status absolutus als Genitiv-Äquivalente zu verstehen. Das Atnach nach </w:t>
      </w:r>
      <w:r w:rsidRPr="00C268A3">
        <w:rPr>
          <w:rFonts w:eastAsia="Times New Roman" w:cs="Times New Roman"/>
          <w:b/>
          <w:bCs/>
          <w:rtl/>
          <w:lang w:eastAsia="de-DE"/>
        </w:rPr>
        <w:t>לֵוִי</w:t>
      </w:r>
      <w:r w:rsidRPr="00C268A3">
        <w:rPr>
          <w:rFonts w:eastAsia="Times New Roman" w:cs="Times New Roman"/>
          <w:rtl/>
          <w:lang w:eastAsia="de-DE"/>
        </w:rPr>
        <w:t xml:space="preserve"> </w:t>
      </w:r>
      <w:r w:rsidRPr="00C268A3">
        <w:rPr>
          <w:rFonts w:eastAsia="Times New Roman" w:cs="Times New Roman"/>
          <w:lang w:eastAsia="de-DE"/>
        </w:rPr>
        <w:t>markiert die Zäsur im Vers und trennt die levitische Linie von den rubenitischen Mitverschwörern.</w:t>
      </w:r>
    </w:p>
    <w:p w14:paraId="422681B0" w14:textId="63990D6B"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Konjunktion </w:t>
      </w:r>
      <w:r w:rsidRPr="00C268A3">
        <w:rPr>
          <w:rFonts w:eastAsia="Times New Roman" w:cs="Times New Roman"/>
          <w:b/>
          <w:bCs/>
          <w:rtl/>
          <w:lang w:eastAsia="de-DE"/>
        </w:rPr>
        <w:t>וְ</w:t>
      </w:r>
      <w:r w:rsidRPr="00C268A3">
        <w:rPr>
          <w:rFonts w:eastAsia="Times New Roman" w:cs="Times New Roman"/>
          <w:rtl/>
          <w:lang w:eastAsia="de-DE"/>
        </w:rPr>
        <w:t xml:space="preserve"> </w:t>
      </w:r>
      <w:r w:rsidRPr="00C268A3">
        <w:rPr>
          <w:rFonts w:eastAsia="Times New Roman" w:cs="Times New Roman"/>
          <w:lang w:eastAsia="de-DE"/>
        </w:rPr>
        <w:t xml:space="preserve">vor </w:t>
      </w:r>
      <w:r w:rsidRPr="00C268A3">
        <w:rPr>
          <w:rFonts w:eastAsia="Times New Roman" w:cs="Times New Roman"/>
          <w:b/>
          <w:bCs/>
          <w:rtl/>
          <w:lang w:eastAsia="de-DE"/>
        </w:rPr>
        <w:t>דָתָן</w:t>
      </w:r>
      <w:r w:rsidRPr="00C268A3">
        <w:rPr>
          <w:rFonts w:eastAsia="Times New Roman" w:cs="Times New Roman"/>
          <w:rtl/>
          <w:lang w:eastAsia="de-DE"/>
        </w:rPr>
        <w:t xml:space="preserve"> </w:t>
      </w:r>
      <w:r w:rsidRPr="00C268A3">
        <w:rPr>
          <w:rFonts w:eastAsia="Times New Roman" w:cs="Times New Roman"/>
          <w:lang w:eastAsia="de-DE"/>
        </w:rPr>
        <w:t xml:space="preserve">leitet die Aufzählung der weiteren Ringleader ein. </w:t>
      </w:r>
      <w:r w:rsidRPr="00C268A3">
        <w:rPr>
          <w:rFonts w:eastAsia="Times New Roman" w:cs="Times New Roman"/>
          <w:b/>
          <w:bCs/>
          <w:rtl/>
          <w:lang w:eastAsia="de-DE"/>
        </w:rPr>
        <w:t>דָתָן וַאֲבִירָם</w:t>
      </w:r>
      <w:r w:rsidRPr="00C268A3">
        <w:rPr>
          <w:rFonts w:eastAsia="Times New Roman" w:cs="Times New Roman"/>
          <w:rtl/>
          <w:lang w:eastAsia="de-DE"/>
        </w:rPr>
        <w:t xml:space="preserve"> </w:t>
      </w:r>
      <w:r w:rsidRPr="00C268A3">
        <w:rPr>
          <w:rFonts w:eastAsia="Times New Roman" w:cs="Times New Roman"/>
          <w:lang w:eastAsia="de-DE"/>
        </w:rPr>
        <w:t xml:space="preserve">sind zwei Eigennamen im Nominativ, koordiniert durch </w:t>
      </w:r>
      <w:r w:rsidRPr="00C268A3">
        <w:rPr>
          <w:rFonts w:eastAsia="Times New Roman" w:cs="Times New Roman"/>
          <w:b/>
          <w:bCs/>
          <w:rtl/>
          <w:lang w:eastAsia="de-DE"/>
        </w:rPr>
        <w:t>וְ</w:t>
      </w:r>
      <w:r w:rsidRPr="00C268A3">
        <w:rPr>
          <w:rFonts w:eastAsia="Times New Roman" w:cs="Times New Roman"/>
          <w:lang w:eastAsia="de-DE"/>
        </w:rPr>
        <w:t xml:space="preserve">. Die Phrase </w:t>
      </w:r>
      <w:r w:rsidRPr="00C268A3">
        <w:rPr>
          <w:rFonts w:eastAsia="Times New Roman" w:cs="Times New Roman"/>
          <w:b/>
          <w:bCs/>
          <w:rtl/>
          <w:lang w:eastAsia="de-DE"/>
        </w:rPr>
        <w:t>בְּנֵי אֱלִיאָב</w:t>
      </w:r>
      <w:r w:rsidRPr="00C268A3">
        <w:rPr>
          <w:rFonts w:eastAsia="Times New Roman" w:cs="Times New Roman"/>
          <w:rtl/>
          <w:lang w:eastAsia="de-DE"/>
        </w:rPr>
        <w:t xml:space="preserve"> </w:t>
      </w:r>
      <w:r w:rsidRPr="00C268A3">
        <w:rPr>
          <w:rFonts w:eastAsia="Times New Roman" w:cs="Times New Roman"/>
          <w:lang w:eastAsia="de-DE"/>
        </w:rPr>
        <w:t xml:space="preserve">identifiziert sie als „Söhne Eliabs". </w:t>
      </w:r>
      <w:r w:rsidRPr="00C268A3">
        <w:rPr>
          <w:rFonts w:eastAsia="Times New Roman" w:cs="Times New Roman"/>
          <w:b/>
          <w:bCs/>
          <w:rtl/>
          <w:lang w:eastAsia="de-DE"/>
        </w:rPr>
        <w:t>בְּנֵי</w:t>
      </w:r>
      <w:r w:rsidRPr="00C268A3">
        <w:rPr>
          <w:rFonts w:eastAsia="Times New Roman" w:cs="Times New Roman"/>
          <w:rtl/>
          <w:lang w:eastAsia="de-DE"/>
        </w:rPr>
        <w:t xml:space="preserve"> </w:t>
      </w:r>
      <w:r w:rsidRPr="00C268A3">
        <w:rPr>
          <w:rFonts w:eastAsia="Times New Roman" w:cs="Times New Roman"/>
          <w:lang w:eastAsia="de-DE"/>
        </w:rPr>
        <w:t xml:space="preserve">ist Constructus Plural von </w:t>
      </w:r>
      <w:r w:rsidRPr="00C268A3">
        <w:rPr>
          <w:rFonts w:eastAsia="Times New Roman" w:cs="Times New Roman"/>
          <w:b/>
          <w:bCs/>
          <w:rtl/>
          <w:lang w:eastAsia="de-DE"/>
        </w:rPr>
        <w:t>בֵּן</w:t>
      </w:r>
      <w:r w:rsidRPr="00C268A3">
        <w:rPr>
          <w:rFonts w:eastAsia="Times New Roman" w:cs="Times New Roman"/>
          <w:lang w:eastAsia="de-DE"/>
        </w:rPr>
        <w:t xml:space="preserve">, und </w:t>
      </w:r>
      <w:r w:rsidRPr="00C268A3">
        <w:rPr>
          <w:rFonts w:eastAsia="Times New Roman" w:cs="Times New Roman"/>
          <w:b/>
          <w:bCs/>
          <w:rtl/>
          <w:lang w:eastAsia="de-DE"/>
        </w:rPr>
        <w:t>אֱלִיאָב</w:t>
      </w:r>
      <w:r w:rsidRPr="00C268A3">
        <w:rPr>
          <w:rFonts w:eastAsia="Times New Roman" w:cs="Times New Roman"/>
          <w:rtl/>
          <w:lang w:eastAsia="de-DE"/>
        </w:rPr>
        <w:t xml:space="preserve"> </w:t>
      </w:r>
      <w:r w:rsidRPr="00C268A3">
        <w:rPr>
          <w:rFonts w:eastAsia="Times New Roman" w:cs="Times New Roman"/>
          <w:lang w:eastAsia="de-DE"/>
        </w:rPr>
        <w:t xml:space="preserve">steht im status absolutus. Die </w:t>
      </w:r>
      <w:r w:rsidR="00F133EC">
        <w:rPr>
          <w:rFonts w:eastAsia="Times New Roman" w:cs="Times New Roman"/>
          <w:lang w:eastAsia="de-DE"/>
        </w:rPr>
        <w:t>Construct</w:t>
      </w:r>
      <w:r w:rsidRPr="00C268A3">
        <w:rPr>
          <w:rFonts w:eastAsia="Times New Roman" w:cs="Times New Roman"/>
          <w:lang w:eastAsia="de-DE"/>
        </w:rPr>
        <w:t>ion ist parallel zur vorherigen genealogischen Angabe strukturiert.</w:t>
      </w:r>
    </w:p>
    <w:p w14:paraId="5A4A1461"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rtl/>
          <w:lang w:eastAsia="de-DE"/>
        </w:rPr>
        <w:t>וְאוֹן בֶּן־פֶּלֶת</w:t>
      </w:r>
      <w:r w:rsidRPr="00C268A3">
        <w:rPr>
          <w:rFonts w:eastAsia="Times New Roman" w:cs="Times New Roman"/>
          <w:rtl/>
          <w:lang w:eastAsia="de-DE"/>
        </w:rPr>
        <w:t xml:space="preserve"> </w:t>
      </w:r>
      <w:r w:rsidRPr="00C268A3">
        <w:rPr>
          <w:rFonts w:eastAsia="Times New Roman" w:cs="Times New Roman"/>
          <w:lang w:eastAsia="de-DE"/>
        </w:rPr>
        <w:t xml:space="preserve">fügt einen dritten Namen hinzu. </w:t>
      </w:r>
      <w:r w:rsidRPr="00C268A3">
        <w:rPr>
          <w:rFonts w:eastAsia="Times New Roman" w:cs="Times New Roman"/>
          <w:b/>
          <w:bCs/>
          <w:rtl/>
          <w:lang w:eastAsia="de-DE"/>
        </w:rPr>
        <w:t>אוֹן</w:t>
      </w:r>
      <w:r w:rsidRPr="00C268A3">
        <w:rPr>
          <w:rFonts w:eastAsia="Times New Roman" w:cs="Times New Roman"/>
          <w:rtl/>
          <w:lang w:eastAsia="de-DE"/>
        </w:rPr>
        <w:t xml:space="preserve"> </w:t>
      </w:r>
      <w:r w:rsidRPr="00C268A3">
        <w:rPr>
          <w:rFonts w:eastAsia="Times New Roman" w:cs="Times New Roman"/>
          <w:lang w:eastAsia="de-DE"/>
        </w:rPr>
        <w:t xml:space="preserve">(On) ist auffällig, da er in der weiteren Erzählung nicht mehr erwähnt wird, was textkritische Fragen aufwirft. Die Phrase </w:t>
      </w:r>
      <w:r w:rsidRPr="00C268A3">
        <w:rPr>
          <w:rFonts w:eastAsia="Times New Roman" w:cs="Times New Roman"/>
          <w:b/>
          <w:bCs/>
          <w:rtl/>
          <w:lang w:eastAsia="de-DE"/>
        </w:rPr>
        <w:t>בְּנֵי רְאוּבֵן</w:t>
      </w:r>
      <w:r w:rsidRPr="00C268A3">
        <w:rPr>
          <w:rFonts w:eastAsia="Times New Roman" w:cs="Times New Roman"/>
          <w:rtl/>
          <w:lang w:eastAsia="de-DE"/>
        </w:rPr>
        <w:t xml:space="preserve"> </w:t>
      </w:r>
      <w:r w:rsidRPr="00C268A3">
        <w:rPr>
          <w:rFonts w:eastAsia="Times New Roman" w:cs="Times New Roman"/>
          <w:lang w:eastAsia="de-DE"/>
        </w:rPr>
        <w:t xml:space="preserve">am Versende identifiziert die Stammeszugehörigkeit der drei zuvor genannten Personen </w:t>
      </w:r>
      <w:r w:rsidRPr="00C268A3">
        <w:rPr>
          <w:rFonts w:eastAsia="Times New Roman" w:cs="Times New Roman"/>
          <w:lang w:eastAsia="de-DE"/>
        </w:rPr>
        <w:lastRenderedPageBreak/>
        <w:t xml:space="preserve">(Datan, Aviram, On) als Rubeniten. </w:t>
      </w:r>
      <w:r w:rsidRPr="00C268A3">
        <w:rPr>
          <w:rFonts w:eastAsia="Times New Roman" w:cs="Times New Roman"/>
          <w:b/>
          <w:bCs/>
          <w:rtl/>
          <w:lang w:eastAsia="de-DE"/>
        </w:rPr>
        <w:t>בְּנֵי</w:t>
      </w:r>
      <w:r w:rsidRPr="00C268A3">
        <w:rPr>
          <w:rFonts w:eastAsia="Times New Roman" w:cs="Times New Roman"/>
          <w:rtl/>
          <w:lang w:eastAsia="de-DE"/>
        </w:rPr>
        <w:t xml:space="preserve"> </w:t>
      </w:r>
      <w:r w:rsidRPr="00C268A3">
        <w:rPr>
          <w:rFonts w:eastAsia="Times New Roman" w:cs="Times New Roman"/>
          <w:lang w:eastAsia="de-DE"/>
        </w:rPr>
        <w:t xml:space="preserve">ist wieder Constructus Plural, </w:t>
      </w:r>
      <w:r w:rsidRPr="00C268A3">
        <w:rPr>
          <w:rFonts w:eastAsia="Times New Roman" w:cs="Times New Roman"/>
          <w:b/>
          <w:bCs/>
          <w:rtl/>
          <w:lang w:eastAsia="de-DE"/>
        </w:rPr>
        <w:t>רְאוּבֵן</w:t>
      </w:r>
      <w:r w:rsidRPr="00C268A3">
        <w:rPr>
          <w:rFonts w:eastAsia="Times New Roman" w:cs="Times New Roman"/>
          <w:rtl/>
          <w:lang w:eastAsia="de-DE"/>
        </w:rPr>
        <w:t xml:space="preserve"> </w:t>
      </w:r>
      <w:r w:rsidRPr="00C268A3">
        <w:rPr>
          <w:rFonts w:eastAsia="Times New Roman" w:cs="Times New Roman"/>
          <w:lang w:eastAsia="de-DE"/>
        </w:rPr>
        <w:t>(Ruben) der Stammesname. Das Sof Pasuq markiert das Versende.</w:t>
      </w:r>
    </w:p>
    <w:p w14:paraId="66FCA61A"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Die syntaktische Struktur zeigt eine Hauptaussage mit Prädikat-Subjekt-Kombination, gefolgt von genealogischen Appositionsketten. Die Koordination der Mitverschwörer durch die Konjunktion schafft eine Liste von Subjekten, die alle an der im Verb implizierten Handlung beteiligt sind. Der Vers ist syntaktisch ein komplexer Nominalsatz mit erweitertem Subjekt.</w:t>
      </w:r>
    </w:p>
    <w:p w14:paraId="057D1D9F" w14:textId="2406862A"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t>Die LXX</w:t>
      </w:r>
      <w:r w:rsidRPr="00C268A3">
        <w:rPr>
          <w:rFonts w:eastAsia="Times New Roman" w:cs="Times New Roman"/>
          <w:lang w:eastAsia="de-DE"/>
        </w:rPr>
        <w:t xml:space="preserve"> </w:t>
      </w:r>
      <w:r w:rsidR="00ED3AE8">
        <w:t>übersetzt das hebräische „</w:t>
      </w:r>
      <w:r w:rsidR="00ED3AE8" w:rsidRPr="00ED3AE8">
        <w:rPr>
          <w:b/>
          <w:bCs/>
          <w:rtl/>
        </w:rPr>
        <w:t>וַיִּקַּח</w:t>
      </w:r>
      <w:r w:rsidR="00ED3AE8">
        <w:t>" (und er nahm) mit „καὶ ἐλάλησεν" (und er sprach), was eine völlig andere Handlung darstellt - von "nehmen" zu "sprechen".</w:t>
      </w:r>
    </w:p>
    <w:p w14:paraId="2BE61F00"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Die Satzstruktur besteht aus einem Hauptsatz mit dem Wayyiqtol-Verb als Prädikat. Das erweiterte Subjekt umfasst Korach mit genealogischer Apposition sowie die koordinierten Subjekte Datan, Aviram und On mit ihren jeweiligen Stammeszugehörigkeiten. Es handelt sich um einen einfachen Hauptsatz ohne Nebensätze, jedoch mit umfangreichen nominalen Erweiterungen.</w:t>
      </w:r>
    </w:p>
    <w:p w14:paraId="36400C5B" w14:textId="39B77B5B" w:rsid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Der Vers führt die Hauptakteure der Rebellion gegen Mose und Aaron ein und betont durch die detaillierte Genealogie sowohl die levitische als auch die rubenitische Beteiligung an dem Aufstand. Die Kombination dieser beiden Stämme deutet auf eine breit angelegte Opposition hin.</w:t>
      </w:r>
    </w:p>
    <w:p w14:paraId="1D6E5164" w14:textId="77777777" w:rsidR="008A30E0" w:rsidRDefault="008A30E0" w:rsidP="008A30E0">
      <w:pPr>
        <w:pStyle w:val="whitespace-normal"/>
      </w:pPr>
      <w:r>
        <w:rPr>
          <w:rStyle w:val="Fett"/>
        </w:rPr>
        <w:t>Das Problem:</w:t>
      </w:r>
    </w:p>
    <w:p w14:paraId="2C352041" w14:textId="77777777" w:rsidR="008A30E0" w:rsidRDefault="008A30E0" w:rsidP="008A30E0">
      <w:pPr>
        <w:pStyle w:val="whitespace-normal"/>
      </w:pPr>
      <w:r>
        <w:t xml:space="preserve">On wird </w:t>
      </w:r>
      <w:r>
        <w:rPr>
          <w:rStyle w:val="Fett"/>
        </w:rPr>
        <w:t>nur hier</w:t>
      </w:r>
      <w:r>
        <w:t xml:space="preserve"> erwähnt und </w:t>
      </w:r>
      <w:r>
        <w:rPr>
          <w:rStyle w:val="Fett"/>
        </w:rPr>
        <w:t>verschwindet</w:t>
      </w:r>
      <w:r>
        <w:t xml:space="preserve"> dann </w:t>
      </w:r>
      <w:r>
        <w:rPr>
          <w:rStyle w:val="Fett"/>
        </w:rPr>
        <w:t>spurlos</w:t>
      </w:r>
      <w:r>
        <w:t xml:space="preserve"> aus der Erzählung:</w:t>
      </w:r>
    </w:p>
    <w:p w14:paraId="0D231690" w14:textId="77777777" w:rsidR="008A30E0" w:rsidRDefault="008A30E0" w:rsidP="008A30E0">
      <w:pPr>
        <w:pStyle w:val="whitespace-normal"/>
        <w:numPr>
          <w:ilvl w:val="0"/>
          <w:numId w:val="139"/>
        </w:numPr>
      </w:pPr>
      <w:r>
        <w:rPr>
          <w:rFonts w:ascii="Segoe UI Emoji" w:hAnsi="Segoe UI Emoji" w:cs="Segoe UI Emoji"/>
        </w:rPr>
        <w:t>✅</w:t>
      </w:r>
      <w:r>
        <w:t xml:space="preserve"> </w:t>
      </w:r>
      <w:r>
        <w:rPr>
          <w:rStyle w:val="Fett"/>
        </w:rPr>
        <w:t>V. 1:</w:t>
      </w:r>
      <w:r>
        <w:t xml:space="preserve"> On wird als Rädelsführer genannt</w:t>
      </w:r>
    </w:p>
    <w:p w14:paraId="16254797" w14:textId="77777777" w:rsidR="008A30E0" w:rsidRDefault="008A30E0" w:rsidP="008A30E0">
      <w:pPr>
        <w:pStyle w:val="whitespace-normal"/>
        <w:numPr>
          <w:ilvl w:val="0"/>
          <w:numId w:val="139"/>
        </w:numPr>
      </w:pPr>
      <w:r>
        <w:rPr>
          <w:rFonts w:ascii="Segoe UI Emoji" w:hAnsi="Segoe UI Emoji" w:cs="Segoe UI Emoji"/>
        </w:rPr>
        <w:t>❌</w:t>
      </w:r>
      <w:r>
        <w:t xml:space="preserve"> </w:t>
      </w:r>
      <w:r>
        <w:rPr>
          <w:rStyle w:val="Fett"/>
        </w:rPr>
        <w:t>V. 12-14:</w:t>
      </w:r>
      <w:r>
        <w:t xml:space="preserve"> Nur Datan und Aviram werden gerufen</w:t>
      </w:r>
    </w:p>
    <w:p w14:paraId="2F3824F4" w14:textId="77777777" w:rsidR="008A30E0" w:rsidRDefault="008A30E0" w:rsidP="008A30E0">
      <w:pPr>
        <w:pStyle w:val="whitespace-normal"/>
        <w:numPr>
          <w:ilvl w:val="0"/>
          <w:numId w:val="139"/>
        </w:numPr>
      </w:pPr>
      <w:r>
        <w:rPr>
          <w:rFonts w:ascii="Segoe UI Emoji" w:hAnsi="Segoe UI Emoji" w:cs="Segoe UI Emoji"/>
        </w:rPr>
        <w:t>❌</w:t>
      </w:r>
      <w:r>
        <w:t xml:space="preserve"> </w:t>
      </w:r>
      <w:r>
        <w:rPr>
          <w:rStyle w:val="Fett"/>
        </w:rPr>
        <w:t>V. 25-27:</w:t>
      </w:r>
      <w:r>
        <w:t xml:space="preserve"> Nur Datan und Aviram werden besucht</w:t>
      </w:r>
    </w:p>
    <w:p w14:paraId="17EE67DB" w14:textId="77777777" w:rsidR="008A30E0" w:rsidRDefault="008A30E0" w:rsidP="008A30E0">
      <w:pPr>
        <w:pStyle w:val="whitespace-normal"/>
        <w:numPr>
          <w:ilvl w:val="0"/>
          <w:numId w:val="139"/>
        </w:numPr>
      </w:pPr>
      <w:r>
        <w:rPr>
          <w:rFonts w:ascii="Segoe UI Emoji" w:hAnsi="Segoe UI Emoji" w:cs="Segoe UI Emoji"/>
        </w:rPr>
        <w:t>❌</w:t>
      </w:r>
      <w:r>
        <w:t xml:space="preserve"> </w:t>
      </w:r>
      <w:r>
        <w:rPr>
          <w:rStyle w:val="Fett"/>
        </w:rPr>
        <w:t>V. 27-33:</w:t>
      </w:r>
      <w:r>
        <w:t xml:space="preserve"> Nur Datan und Aviram (+ Familien) werden verschlungen</w:t>
      </w:r>
    </w:p>
    <w:p w14:paraId="3012ED6A" w14:textId="77777777" w:rsidR="008A30E0" w:rsidRDefault="008A30E0" w:rsidP="008A30E0">
      <w:pPr>
        <w:pStyle w:val="whitespace-normal"/>
      </w:pPr>
      <w:r>
        <w:rPr>
          <w:rStyle w:val="Fett"/>
        </w:rPr>
        <w:t>Rabbinische Erklärungen:</w:t>
      </w:r>
    </w:p>
    <w:p w14:paraId="612ABF77" w14:textId="77777777" w:rsidR="008A30E0" w:rsidRDefault="008A30E0" w:rsidP="008A30E0">
      <w:pPr>
        <w:pStyle w:val="whitespace-normal"/>
      </w:pPr>
      <w:r>
        <w:rPr>
          <w:rStyle w:val="Fett"/>
        </w:rPr>
        <w:t>1. Talmud (Sanhedrin 109b-110a): On wurde von seiner Frau gerettet</w:t>
      </w:r>
    </w:p>
    <w:p w14:paraId="40002EC4" w14:textId="77777777" w:rsidR="008A30E0" w:rsidRDefault="008A30E0" w:rsidP="008A30E0">
      <w:pPr>
        <w:pStyle w:val="whitespace-normal"/>
      </w:pPr>
      <w:r>
        <w:rPr>
          <w:rStyle w:val="Fett"/>
        </w:rPr>
        <w:t>Die Geschichte:</w:t>
      </w:r>
    </w:p>
    <w:p w14:paraId="620EFCAD" w14:textId="77777777" w:rsidR="008A30E0" w:rsidRDefault="008A30E0" w:rsidP="008A30E0">
      <w:pPr>
        <w:pStyle w:val="whitespace-normal"/>
      </w:pPr>
      <w:r>
        <w:t xml:space="preserve">Ons Frau sprach zu ihm: "Was hast du davon? Wenn Mose gewinnt, bist du sein Schüler. Wenn Korach gewinnt, bist du </w:t>
      </w:r>
      <w:r>
        <w:rPr>
          <w:rStyle w:val="Fett"/>
        </w:rPr>
        <w:t>sein</w:t>
      </w:r>
      <w:r>
        <w:t xml:space="preserve"> Schüler. Du gewinnst nichts!"</w:t>
      </w:r>
    </w:p>
    <w:p w14:paraId="74007321" w14:textId="77777777" w:rsidR="008A30E0" w:rsidRDefault="008A30E0" w:rsidP="008A30E0">
      <w:pPr>
        <w:pStyle w:val="whitespace-normal"/>
      </w:pPr>
      <w:r>
        <w:t>On erkannte die Weisheit ihrer Worte.</w:t>
      </w:r>
    </w:p>
    <w:p w14:paraId="504DA39C" w14:textId="77777777" w:rsidR="008A30E0" w:rsidRDefault="008A30E0" w:rsidP="008A30E0">
      <w:pPr>
        <w:pStyle w:val="whitespace-normal"/>
      </w:pPr>
      <w:r>
        <w:t xml:space="preserve">Seine Frau sprach: "Ich weiß, dass </w:t>
      </w:r>
      <w:r>
        <w:rPr>
          <w:rStyle w:val="Fett"/>
        </w:rPr>
        <w:t>die ganze Gemeinde heilig</w:t>
      </w:r>
      <w:r>
        <w:t xml:space="preserve"> ist (</w:t>
      </w:r>
      <w:r>
        <w:rPr>
          <w:rtl/>
        </w:rPr>
        <w:t>כָּל־הָעֵדָה כֻּלָּם קְדֹשִׁים</w:t>
      </w:r>
      <w:r>
        <w:t>, Num 16,3). Bleib zu Hause und ich werde dich retten."</w:t>
      </w:r>
    </w:p>
    <w:p w14:paraId="4D8A83CB" w14:textId="77777777" w:rsidR="008A30E0" w:rsidRDefault="008A30E0" w:rsidP="008A30E0">
      <w:pPr>
        <w:pStyle w:val="whitespace-normal"/>
      </w:pPr>
      <w:r>
        <w:t xml:space="preserve">Sie gab ihm Wein zu trinken, bis er einschlief. Dann setzte sie sich </w:t>
      </w:r>
      <w:r>
        <w:rPr>
          <w:rStyle w:val="Fett"/>
        </w:rPr>
        <w:t>mit entblößtem Haar</w:t>
      </w:r>
      <w:r>
        <w:t xml:space="preserve"> am Eingang ihres Zeltes.</w:t>
      </w:r>
    </w:p>
    <w:p w14:paraId="55EEE0B5" w14:textId="77777777" w:rsidR="008A30E0" w:rsidRDefault="008A30E0" w:rsidP="008A30E0">
      <w:pPr>
        <w:pStyle w:val="whitespace-normal"/>
      </w:pPr>
      <w:r>
        <w:lastRenderedPageBreak/>
        <w:t xml:space="preserve">Als die Rebellen kamen, um On zu holen, sahen sie seine Frau mit </w:t>
      </w:r>
      <w:r>
        <w:rPr>
          <w:rStyle w:val="Fett"/>
        </w:rPr>
        <w:t>unbedecktem Haar</w:t>
      </w:r>
      <w:r>
        <w:t xml:space="preserve"> (was für fromme Männer anstößig war) und </w:t>
      </w:r>
      <w:r>
        <w:rPr>
          <w:rStyle w:val="Fett"/>
        </w:rPr>
        <w:t>kehrten um</w:t>
      </w:r>
      <w:r>
        <w:t>.</w:t>
      </w:r>
    </w:p>
    <w:p w14:paraId="482F510D" w14:textId="77777777" w:rsidR="008A30E0" w:rsidRDefault="008A30E0" w:rsidP="008A30E0">
      <w:pPr>
        <w:pStyle w:val="whitespace-normal"/>
      </w:pPr>
      <w:r>
        <w:t>So wurde On von seiner Frau gerettet – und die Schrift erwähnt ihn nicht mehr.</w:t>
      </w:r>
    </w:p>
    <w:p w14:paraId="5A453CA2" w14:textId="77777777" w:rsidR="008A30E0" w:rsidRDefault="008A30E0" w:rsidP="008A30E0">
      <w:pPr>
        <w:pStyle w:val="whitespace-normal"/>
      </w:pPr>
      <w:r>
        <w:rPr>
          <w:rStyle w:val="Fett"/>
        </w:rPr>
        <w:t>Theologische Bedeutung:</w:t>
      </w:r>
    </w:p>
    <w:p w14:paraId="2D33F5AF" w14:textId="77777777" w:rsidR="008A30E0" w:rsidRDefault="008A30E0" w:rsidP="008A30E0">
      <w:pPr>
        <w:pStyle w:val="whitespace-normal"/>
        <w:numPr>
          <w:ilvl w:val="0"/>
          <w:numId w:val="140"/>
        </w:numPr>
      </w:pPr>
      <w:r>
        <w:rPr>
          <w:rStyle w:val="Fett"/>
        </w:rPr>
        <w:t>Umkehr ist möglich:</w:t>
      </w:r>
      <w:r>
        <w:t xml:space="preserve"> On </w:t>
      </w:r>
      <w:r>
        <w:rPr>
          <w:rStyle w:val="Fett"/>
        </w:rPr>
        <w:t>zog sich zurück</w:t>
      </w:r>
      <w:r>
        <w:t>, bevor das Gericht kam</w:t>
      </w:r>
    </w:p>
    <w:p w14:paraId="3D650474" w14:textId="77777777" w:rsidR="008A30E0" w:rsidRDefault="008A30E0" w:rsidP="008A30E0">
      <w:pPr>
        <w:pStyle w:val="whitespace-normal"/>
        <w:numPr>
          <w:ilvl w:val="0"/>
          <w:numId w:val="140"/>
        </w:numPr>
      </w:pPr>
      <w:r>
        <w:rPr>
          <w:rStyle w:val="Fett"/>
        </w:rPr>
        <w:t>Die Rolle der Frau:</w:t>
      </w:r>
      <w:r>
        <w:t xml:space="preserve"> Eine </w:t>
      </w:r>
      <w:r>
        <w:rPr>
          <w:rStyle w:val="Fett"/>
        </w:rPr>
        <w:t>weise Frau</w:t>
      </w:r>
      <w:r>
        <w:t xml:space="preserve"> rettet ihren Mann (vgl. Spr 14,1)</w:t>
      </w:r>
    </w:p>
    <w:p w14:paraId="6768B3B9" w14:textId="77777777" w:rsidR="008A30E0" w:rsidRDefault="008A30E0" w:rsidP="008A30E0">
      <w:pPr>
        <w:pStyle w:val="whitespace-normal"/>
        <w:numPr>
          <w:ilvl w:val="0"/>
          <w:numId w:val="140"/>
        </w:numPr>
      </w:pPr>
      <w:r>
        <w:rPr>
          <w:rStyle w:val="Fett"/>
        </w:rPr>
        <w:t>Heiligkeit vs. Leben:</w:t>
      </w:r>
      <w:r>
        <w:t xml:space="preserve"> Ons Frau nutzt </w:t>
      </w:r>
      <w:r>
        <w:rPr>
          <w:rStyle w:val="Fett"/>
        </w:rPr>
        <w:t>ironisch</w:t>
      </w:r>
      <w:r>
        <w:t xml:space="preserve"> die Begründung der Rebellen (</w:t>
      </w:r>
      <w:r>
        <w:rPr>
          <w:rStyle w:val="Fett"/>
        </w:rPr>
        <w:t>"alle sind heilig"</w:t>
      </w:r>
      <w:r>
        <w:t xml:space="preserve">), um ihn </w:t>
      </w:r>
      <w:r>
        <w:rPr>
          <w:rStyle w:val="Fett"/>
        </w:rPr>
        <w:t>aus der Rebellion</w:t>
      </w:r>
      <w:r>
        <w:t xml:space="preserve"> zu ziehen</w:t>
      </w:r>
    </w:p>
    <w:p w14:paraId="36C3BB64" w14:textId="77777777" w:rsidR="008A30E0" w:rsidRDefault="008A30E0" w:rsidP="008A30E0">
      <w:pPr>
        <w:pStyle w:val="whitespace-normal"/>
      </w:pPr>
      <w:r>
        <w:rPr>
          <w:rStyle w:val="Fett"/>
        </w:rPr>
        <w:t>2. Midrasch: On = Onan (?):</w:t>
      </w:r>
    </w:p>
    <w:p w14:paraId="0DF8B67C" w14:textId="77777777" w:rsidR="008A30E0" w:rsidRDefault="008A30E0" w:rsidP="008A30E0">
      <w:pPr>
        <w:pStyle w:val="whitespace-normal"/>
      </w:pPr>
      <w:r>
        <w:t xml:space="preserve">Einige Kommentatoren identifizieren On mit </w:t>
      </w:r>
      <w:r>
        <w:rPr>
          <w:rStyle w:val="Fett"/>
        </w:rPr>
        <w:t>Onan</w:t>
      </w:r>
      <w:r>
        <w:t xml:space="preserve"> aus Gen 38, aber dies ist </w:t>
      </w:r>
      <w:r>
        <w:rPr>
          <w:rStyle w:val="Fett"/>
        </w:rPr>
        <w:t>unwahrscheinlich</w:t>
      </w:r>
      <w:r>
        <w:t xml:space="preserve"> (verschiedene Stämme, verschiedene Zeitperioden).</w:t>
      </w:r>
    </w:p>
    <w:p w14:paraId="197D6DA5" w14:textId="77777777" w:rsidR="008A30E0" w:rsidRDefault="008A30E0" w:rsidP="008A30E0">
      <w:pPr>
        <w:pStyle w:val="whitespace-normal"/>
      </w:pPr>
      <w:r>
        <w:rPr>
          <w:rStyle w:val="Fett"/>
        </w:rPr>
        <w:t>3. Textkritische Hypothese:</w:t>
      </w:r>
    </w:p>
    <w:p w14:paraId="7BE40810" w14:textId="77777777" w:rsidR="008A30E0" w:rsidRDefault="008A30E0" w:rsidP="008A30E0">
      <w:pPr>
        <w:pStyle w:val="whitespace-normal"/>
      </w:pPr>
      <w:r>
        <w:t xml:space="preserve">Manche Gelehrte vermuten einen </w:t>
      </w:r>
      <w:r>
        <w:rPr>
          <w:rStyle w:val="Fett"/>
        </w:rPr>
        <w:t>Textfehler</w:t>
      </w:r>
      <w:r>
        <w:t>:</w:t>
      </w:r>
    </w:p>
    <w:p w14:paraId="761645B2" w14:textId="77777777" w:rsidR="008A30E0" w:rsidRDefault="008A30E0" w:rsidP="008A30E0">
      <w:pPr>
        <w:pStyle w:val="whitespace-normal"/>
        <w:numPr>
          <w:ilvl w:val="0"/>
          <w:numId w:val="141"/>
        </w:numPr>
      </w:pPr>
      <w:r>
        <w:rPr>
          <w:rStyle w:val="Fett"/>
          <w:rtl/>
        </w:rPr>
        <w:t>אוֹן בֶּן־פֶּלֶת</w:t>
      </w:r>
      <w:r>
        <w:rPr>
          <w:rtl/>
        </w:rPr>
        <w:t xml:space="preserve"> </w:t>
      </w:r>
      <w:r>
        <w:t xml:space="preserve">→ ursprünglich </w:t>
      </w:r>
      <w:r>
        <w:rPr>
          <w:rStyle w:val="Fett"/>
          <w:rtl/>
        </w:rPr>
        <w:t>אֱלִיאָב בֶּן־פַּלּוּא</w:t>
      </w:r>
      <w:r>
        <w:rPr>
          <w:rtl/>
        </w:rPr>
        <w:t xml:space="preserve"> </w:t>
      </w:r>
      <w:r>
        <w:t>(Eliab, Sohn Pallus)?</w:t>
      </w:r>
    </w:p>
    <w:p w14:paraId="4F7CAF7B" w14:textId="77777777" w:rsidR="008A30E0" w:rsidRDefault="008A30E0" w:rsidP="008A30E0">
      <w:pPr>
        <w:pStyle w:val="whitespace-normal"/>
        <w:numPr>
          <w:ilvl w:val="0"/>
          <w:numId w:val="141"/>
        </w:numPr>
      </w:pPr>
      <w:r>
        <w:rPr>
          <w:rStyle w:val="Fett"/>
        </w:rPr>
        <w:t>Grund:</w:t>
      </w:r>
      <w:r>
        <w:t xml:space="preserve"> "On ben Pelet" klingt ähnlich wie "</w:t>
      </w:r>
      <w:r>
        <w:rPr>
          <w:rStyle w:val="Fett"/>
        </w:rPr>
        <w:t>Iniquity of Mouth</w:t>
      </w:r>
      <w:r>
        <w:t>" (</w:t>
      </w:r>
      <w:r>
        <w:rPr>
          <w:rtl/>
        </w:rPr>
        <w:t>און פה</w:t>
      </w:r>
      <w:r>
        <w:t xml:space="preserve"> = Sünde des Mundes)</w:t>
      </w:r>
    </w:p>
    <w:p w14:paraId="7D64D839" w14:textId="77777777" w:rsidR="008A30E0" w:rsidRDefault="008A30E0" w:rsidP="008A30E0">
      <w:pPr>
        <w:pStyle w:val="whitespace-normal"/>
      </w:pPr>
      <w:r>
        <w:rPr>
          <w:rStyle w:val="Fett"/>
        </w:rPr>
        <w:t>4. Symbolische Deutung:</w:t>
      </w:r>
    </w:p>
    <w:p w14:paraId="20C7FB0B" w14:textId="77777777" w:rsidR="008A30E0" w:rsidRDefault="008A30E0" w:rsidP="008A30E0">
      <w:pPr>
        <w:pStyle w:val="whitespace-normal"/>
        <w:numPr>
          <w:ilvl w:val="0"/>
          <w:numId w:val="142"/>
        </w:numPr>
      </w:pPr>
      <w:r>
        <w:rPr>
          <w:rStyle w:val="Fett"/>
          <w:rtl/>
        </w:rPr>
        <w:t>אוֹן</w:t>
      </w:r>
      <w:r>
        <w:rPr>
          <w:rtl/>
        </w:rPr>
        <w:t xml:space="preserve"> </w:t>
      </w:r>
      <w:r>
        <w:t>= "Kraft, Unrecht, Nichts"</w:t>
      </w:r>
    </w:p>
    <w:p w14:paraId="32F6A40C" w14:textId="77777777" w:rsidR="008A30E0" w:rsidRDefault="008A30E0" w:rsidP="008A30E0">
      <w:pPr>
        <w:pStyle w:val="whitespace-normal"/>
        <w:numPr>
          <w:ilvl w:val="0"/>
          <w:numId w:val="142"/>
        </w:numPr>
      </w:pPr>
      <w:r>
        <w:rPr>
          <w:rStyle w:val="Fett"/>
          <w:rtl/>
        </w:rPr>
        <w:t>פֶּלֶת</w:t>
      </w:r>
      <w:r>
        <w:rPr>
          <w:rtl/>
        </w:rPr>
        <w:t xml:space="preserve"> </w:t>
      </w:r>
      <w:r>
        <w:t xml:space="preserve">= "Flucht, Rettung" (von </w:t>
      </w:r>
      <w:r>
        <w:rPr>
          <w:rtl/>
        </w:rPr>
        <w:t>פלט</w:t>
      </w:r>
      <w:r>
        <w:t xml:space="preserve"> = entfliehen)</w:t>
      </w:r>
    </w:p>
    <w:p w14:paraId="3B002C0A" w14:textId="77777777" w:rsidR="008A30E0" w:rsidRDefault="008A30E0" w:rsidP="008A30E0">
      <w:pPr>
        <w:pStyle w:val="whitespace-normal"/>
        <w:numPr>
          <w:ilvl w:val="0"/>
          <w:numId w:val="142"/>
        </w:numPr>
      </w:pPr>
      <w:r>
        <w:t>→ "</w:t>
      </w:r>
      <w:r>
        <w:rPr>
          <w:rStyle w:val="Fett"/>
        </w:rPr>
        <w:t>Kraft der Rettung</w:t>
      </w:r>
      <w:r>
        <w:t>" oder "</w:t>
      </w:r>
      <w:r>
        <w:rPr>
          <w:rStyle w:val="Fett"/>
        </w:rPr>
        <w:t>Nichtigkeit der Flucht</w:t>
      </w:r>
      <w:r>
        <w:t>"?</w:t>
      </w:r>
    </w:p>
    <w:p w14:paraId="10A640A5" w14:textId="77777777" w:rsidR="008A30E0" w:rsidRDefault="008A30E0" w:rsidP="008A30E0">
      <w:pPr>
        <w:pStyle w:val="whitespace-normal"/>
      </w:pPr>
      <w:r>
        <w:rPr>
          <w:rStyle w:val="Fett"/>
        </w:rPr>
        <w:t>Fazit:</w:t>
      </w:r>
    </w:p>
    <w:p w14:paraId="550AB895" w14:textId="77777777" w:rsidR="008A30E0" w:rsidRDefault="008A30E0" w:rsidP="008A30E0">
      <w:pPr>
        <w:pStyle w:val="whitespace-normal"/>
      </w:pPr>
      <w:r>
        <w:t xml:space="preserve">On ben Pelet bleibt ein </w:t>
      </w:r>
      <w:r>
        <w:rPr>
          <w:rStyle w:val="Fett"/>
        </w:rPr>
        <w:t>Rätsel</w:t>
      </w:r>
      <w:r>
        <w:t xml:space="preserve">. Die rabbinische Tradition sieht in ihm jemanden, der </w:t>
      </w:r>
      <w:r>
        <w:rPr>
          <w:rStyle w:val="Fett"/>
        </w:rPr>
        <w:t>rechtzeitig umkehrte</w:t>
      </w:r>
      <w:r>
        <w:t xml:space="preserve"> – eine </w:t>
      </w:r>
      <w:r>
        <w:rPr>
          <w:rStyle w:val="Fett"/>
        </w:rPr>
        <w:t>Warnung</w:t>
      </w:r>
      <w:r>
        <w:t xml:space="preserve"> und </w:t>
      </w:r>
      <w:r>
        <w:rPr>
          <w:rStyle w:val="Fett"/>
        </w:rPr>
        <w:t>Hoffnung</w:t>
      </w:r>
      <w:r>
        <w:t xml:space="preserve">: Selbst wer sich der Rebellion </w:t>
      </w:r>
      <w:r>
        <w:rPr>
          <w:rStyle w:val="Fett"/>
        </w:rPr>
        <w:t>anschließt</w:t>
      </w:r>
      <w:r>
        <w:t xml:space="preserve">, kann noch </w:t>
      </w:r>
      <w:r>
        <w:rPr>
          <w:rStyle w:val="Fett"/>
        </w:rPr>
        <w:t>zurückkehren</w:t>
      </w:r>
      <w:r>
        <w:t>, bevor das Gericht kommt.</w:t>
      </w:r>
    </w:p>
    <w:p w14:paraId="4F0424B4" w14:textId="77777777" w:rsidR="008A30E0" w:rsidRPr="00C268A3" w:rsidRDefault="008A30E0" w:rsidP="00C268A3">
      <w:pPr>
        <w:spacing w:before="100" w:beforeAutospacing="1" w:after="100" w:afterAutospacing="1" w:line="240" w:lineRule="auto"/>
        <w:rPr>
          <w:rFonts w:eastAsia="Times New Roman" w:cs="Times New Roman"/>
          <w:lang w:eastAsia="de-DE"/>
        </w:rPr>
      </w:pPr>
    </w:p>
    <w:p w14:paraId="06E4F819" w14:textId="77777777" w:rsidR="00C268A3" w:rsidRPr="00C268A3" w:rsidRDefault="00C268A3" w:rsidP="00C268A3">
      <w:pPr>
        <w:spacing w:before="100" w:beforeAutospacing="1" w:after="100" w:afterAutospacing="1" w:line="240" w:lineRule="auto"/>
        <w:outlineLvl w:val="0"/>
        <w:rPr>
          <w:rFonts w:eastAsia="Times New Roman" w:cs="Times New Roman"/>
          <w:b/>
          <w:bCs/>
          <w:kern w:val="36"/>
          <w:sz w:val="48"/>
          <w:szCs w:val="48"/>
          <w:lang w:eastAsia="de-DE"/>
        </w:rPr>
      </w:pPr>
      <w:r w:rsidRPr="00C268A3">
        <w:rPr>
          <w:rFonts w:eastAsia="Times New Roman" w:cs="Times New Roman"/>
          <w:b/>
          <w:bCs/>
          <w:kern w:val="36"/>
          <w:sz w:val="48"/>
          <w:szCs w:val="48"/>
          <w:lang w:eastAsia="de-DE"/>
        </w:rPr>
        <w:t>Numeri 16,2</w:t>
      </w:r>
    </w:p>
    <w:p w14:paraId="190E9D5E"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t>Hebräisch:</w:t>
      </w:r>
      <w:r w:rsidRPr="00C268A3">
        <w:rPr>
          <w:rFonts w:eastAsia="Times New Roman" w:cs="Times New Roman"/>
          <w:lang w:eastAsia="de-DE"/>
        </w:rPr>
        <w:t xml:space="preserve"> </w:t>
      </w:r>
      <w:r w:rsidRPr="00C268A3">
        <w:rPr>
          <w:rFonts w:eastAsia="Times New Roman" w:cs="Times New Roman"/>
          <w:rtl/>
          <w:lang w:eastAsia="de-DE"/>
        </w:rPr>
        <w:t>וַיָּקֻ֨מוּ֙ לִפְנֵ֣י מֹשֶׁ֔ה וַאֲנָשִׁ֥ים מִבְּנֵֽי־יִשְׂרָאֵ֖ל חֲמִשִּׁ֣ים וּמָאתָ֑יִם נְשִׂיאֵ֥י עֵדָ֛ה קְרִאֵ֥י מוֹעֵ֖ד אַנְשֵׁי־שֵֽׁם׃</w:t>
      </w:r>
    </w:p>
    <w:p w14:paraId="60B7E129"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t>Deutsch:</w:t>
      </w:r>
      <w:r w:rsidRPr="00C268A3">
        <w:rPr>
          <w:rFonts w:eastAsia="Times New Roman" w:cs="Times New Roman"/>
          <w:lang w:eastAsia="de-DE"/>
        </w:rPr>
        <w:t xml:space="preserve"> Und sie erhoben sich vor Mosche, samt 250 Männern von den Söhnen Jisra'els, Fürsten der Gemeinde, Berufene der Versammlung, Männer von Namen.</w:t>
      </w:r>
    </w:p>
    <w:p w14:paraId="0945BCB6" w14:textId="77777777" w:rsidR="00C268A3" w:rsidRPr="00C268A3" w:rsidRDefault="00F329DD" w:rsidP="00C268A3">
      <w:pPr>
        <w:spacing w:after="0" w:line="240" w:lineRule="auto"/>
        <w:rPr>
          <w:rFonts w:eastAsia="Times New Roman" w:cs="Times New Roman"/>
          <w:lang w:eastAsia="de-DE"/>
        </w:rPr>
      </w:pPr>
      <w:r>
        <w:rPr>
          <w:rFonts w:eastAsia="Times New Roman" w:cs="Times New Roman"/>
          <w:noProof/>
          <w:lang w:eastAsia="de-DE"/>
        </w:rPr>
        <w:pict w14:anchorId="6D2CA6FB">
          <v:rect id="_x0000_i1540" style="width:0;height:1.5pt" o:hralign="center" o:hrstd="t" o:hr="t" fillcolor="#a0a0a0" stroked="f"/>
        </w:pict>
      </w:r>
    </w:p>
    <w:p w14:paraId="53654B49"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lastRenderedPageBreak/>
        <w:t>Kommentar:</w:t>
      </w:r>
      <w:r w:rsidRPr="00C268A3">
        <w:rPr>
          <w:rFonts w:eastAsia="Times New Roman" w:cs="Times New Roman"/>
          <w:lang w:eastAsia="de-DE"/>
        </w:rPr>
        <w:t xml:space="preserve"> Das Verb </w:t>
      </w:r>
      <w:r w:rsidRPr="00C268A3">
        <w:rPr>
          <w:rFonts w:eastAsia="Times New Roman" w:cs="Times New Roman"/>
          <w:b/>
          <w:bCs/>
          <w:rtl/>
          <w:lang w:eastAsia="de-DE"/>
        </w:rPr>
        <w:t>וַיָּקֻמוּ</w:t>
      </w:r>
      <w:r w:rsidRPr="00C268A3">
        <w:rPr>
          <w:rFonts w:eastAsia="Times New Roman" w:cs="Times New Roman"/>
          <w:rtl/>
          <w:lang w:eastAsia="de-DE"/>
        </w:rPr>
        <w:t xml:space="preserve"> </w:t>
      </w:r>
      <w:r w:rsidRPr="00C268A3">
        <w:rPr>
          <w:rFonts w:eastAsia="Times New Roman" w:cs="Times New Roman"/>
          <w:lang w:eastAsia="de-DE"/>
        </w:rPr>
        <w:t xml:space="preserve">(Wayyiqtol, 3. m. pl. von </w:t>
      </w:r>
      <w:r w:rsidRPr="00C268A3">
        <w:rPr>
          <w:rFonts w:eastAsia="Times New Roman" w:cs="Times New Roman"/>
          <w:b/>
          <w:bCs/>
          <w:rtl/>
          <w:lang w:eastAsia="de-DE"/>
        </w:rPr>
        <w:t>קום</w:t>
      </w:r>
      <w:r w:rsidRPr="00C268A3">
        <w:rPr>
          <w:rFonts w:eastAsia="Times New Roman" w:cs="Times New Roman"/>
          <w:lang w:eastAsia="de-DE"/>
        </w:rPr>
        <w:t xml:space="preserve">) setzt die Erzählung fort und beschreibt die kollektive Aktion der Aufständischen. Die Form ist Imperfekt consecutivum Plural, was die Mehrzahl der Subjekte aus Vers 1 aufnimmt. </w:t>
      </w:r>
      <w:r w:rsidRPr="00C268A3">
        <w:rPr>
          <w:rFonts w:eastAsia="Times New Roman" w:cs="Times New Roman"/>
          <w:b/>
          <w:bCs/>
          <w:rtl/>
          <w:lang w:eastAsia="de-DE"/>
        </w:rPr>
        <w:t>קום</w:t>
      </w:r>
      <w:r w:rsidRPr="00C268A3">
        <w:rPr>
          <w:rFonts w:eastAsia="Times New Roman" w:cs="Times New Roman"/>
          <w:rtl/>
          <w:lang w:eastAsia="de-DE"/>
        </w:rPr>
        <w:t xml:space="preserve"> </w:t>
      </w:r>
      <w:r w:rsidRPr="00C268A3">
        <w:rPr>
          <w:rFonts w:eastAsia="Times New Roman" w:cs="Times New Roman"/>
          <w:lang w:eastAsia="de-DE"/>
        </w:rPr>
        <w:t>bedeutet „aufstehen, sich erheben" und signalisiert hier den Beginn einer feindseligen Handlung gegen die Autorität Moses. Die Punktation mit Qibbuz unter dem Qof zeigt die passive Vokalisation (Qal passiv bzw. Polel), doch kontextuell ist die aktive Bedeutung „sie erhoben sich" vorzuziehen.</w:t>
      </w:r>
    </w:p>
    <w:p w14:paraId="7006200F" w14:textId="2859CCB4"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Präpositionalphrase </w:t>
      </w:r>
      <w:r w:rsidRPr="00C268A3">
        <w:rPr>
          <w:rFonts w:eastAsia="Times New Roman" w:cs="Times New Roman"/>
          <w:b/>
          <w:bCs/>
          <w:rtl/>
          <w:lang w:eastAsia="de-DE"/>
        </w:rPr>
        <w:t>לִפְנֵי מֹשֶׁה</w:t>
      </w:r>
      <w:r w:rsidRPr="00C268A3">
        <w:rPr>
          <w:rFonts w:eastAsia="Times New Roman" w:cs="Times New Roman"/>
          <w:rtl/>
          <w:lang w:eastAsia="de-DE"/>
        </w:rPr>
        <w:t xml:space="preserve"> </w:t>
      </w:r>
      <w:r w:rsidRPr="00C268A3">
        <w:rPr>
          <w:rFonts w:eastAsia="Times New Roman" w:cs="Times New Roman"/>
          <w:lang w:eastAsia="de-DE"/>
        </w:rPr>
        <w:t xml:space="preserve">gibt die Richtung der Erhebung an. </w:t>
      </w:r>
      <w:r w:rsidRPr="00C268A3">
        <w:rPr>
          <w:rFonts w:eastAsia="Times New Roman" w:cs="Times New Roman"/>
          <w:b/>
          <w:bCs/>
          <w:rtl/>
          <w:lang w:eastAsia="de-DE"/>
        </w:rPr>
        <w:t>לִפְנֵי</w:t>
      </w:r>
      <w:r w:rsidRPr="00C268A3">
        <w:rPr>
          <w:rFonts w:eastAsia="Times New Roman" w:cs="Times New Roman"/>
          <w:rtl/>
          <w:lang w:eastAsia="de-DE"/>
        </w:rPr>
        <w:t xml:space="preserve"> </w:t>
      </w:r>
      <w:r w:rsidRPr="00C268A3">
        <w:rPr>
          <w:rFonts w:eastAsia="Times New Roman" w:cs="Times New Roman"/>
          <w:lang w:eastAsia="de-DE"/>
        </w:rPr>
        <w:t xml:space="preserve">ist die Präposition „vor, angesichts von" mit dem Suffix der 3. m. sg., das auf </w:t>
      </w:r>
      <w:r w:rsidRPr="00C268A3">
        <w:rPr>
          <w:rFonts w:eastAsia="Times New Roman" w:cs="Times New Roman"/>
          <w:b/>
          <w:bCs/>
          <w:rtl/>
          <w:lang w:eastAsia="de-DE"/>
        </w:rPr>
        <w:t>מֹשֶׁה</w:t>
      </w:r>
      <w:r w:rsidRPr="00C268A3">
        <w:rPr>
          <w:rFonts w:eastAsia="Times New Roman" w:cs="Times New Roman"/>
          <w:rtl/>
          <w:lang w:eastAsia="de-DE"/>
        </w:rPr>
        <w:t xml:space="preserve"> </w:t>
      </w:r>
      <w:r w:rsidRPr="00C268A3">
        <w:rPr>
          <w:rFonts w:eastAsia="Times New Roman" w:cs="Times New Roman"/>
          <w:lang w:eastAsia="de-DE"/>
        </w:rPr>
        <w:t xml:space="preserve">(Mose) verweist. Die </w:t>
      </w:r>
      <w:r w:rsidR="00F133EC">
        <w:rPr>
          <w:rFonts w:eastAsia="Times New Roman" w:cs="Times New Roman"/>
          <w:lang w:eastAsia="de-DE"/>
        </w:rPr>
        <w:t>Construct</w:t>
      </w:r>
      <w:r w:rsidRPr="00C268A3">
        <w:rPr>
          <w:rFonts w:eastAsia="Times New Roman" w:cs="Times New Roman"/>
          <w:lang w:eastAsia="de-DE"/>
        </w:rPr>
        <w:t>ion drückt direkte Konfrontation aus – sie stellten sich „vor das Angesicht" Moses, also in Opposition zu ihm.</w:t>
      </w:r>
    </w:p>
    <w:p w14:paraId="3608D8E9"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koordinierende Konjunktion </w:t>
      </w:r>
      <w:r w:rsidRPr="00C268A3">
        <w:rPr>
          <w:rFonts w:eastAsia="Times New Roman" w:cs="Times New Roman"/>
          <w:b/>
          <w:bCs/>
          <w:rtl/>
          <w:lang w:eastAsia="de-DE"/>
        </w:rPr>
        <w:t>וְ</w:t>
      </w:r>
      <w:r w:rsidRPr="00C268A3">
        <w:rPr>
          <w:rFonts w:eastAsia="Times New Roman" w:cs="Times New Roman"/>
          <w:rtl/>
          <w:lang w:eastAsia="de-DE"/>
        </w:rPr>
        <w:t xml:space="preserve"> </w:t>
      </w:r>
      <w:r w:rsidRPr="00C268A3">
        <w:rPr>
          <w:rFonts w:eastAsia="Times New Roman" w:cs="Times New Roman"/>
          <w:lang w:eastAsia="de-DE"/>
        </w:rPr>
        <w:t xml:space="preserve">vor </w:t>
      </w:r>
      <w:r w:rsidRPr="00C268A3">
        <w:rPr>
          <w:rFonts w:eastAsia="Times New Roman" w:cs="Times New Roman"/>
          <w:b/>
          <w:bCs/>
          <w:rtl/>
          <w:lang w:eastAsia="de-DE"/>
        </w:rPr>
        <w:t>אֲנָשִׁים</w:t>
      </w:r>
      <w:r w:rsidRPr="00C268A3">
        <w:rPr>
          <w:rFonts w:eastAsia="Times New Roman" w:cs="Times New Roman"/>
          <w:rtl/>
          <w:lang w:eastAsia="de-DE"/>
        </w:rPr>
        <w:t xml:space="preserve"> </w:t>
      </w:r>
      <w:r w:rsidRPr="00C268A3">
        <w:rPr>
          <w:rFonts w:eastAsia="Times New Roman" w:cs="Times New Roman"/>
          <w:lang w:eastAsia="de-DE"/>
        </w:rPr>
        <w:t xml:space="preserve">verbindet die Hauptakteure mit einer größeren Gruppe. </w:t>
      </w:r>
      <w:r w:rsidRPr="00C268A3">
        <w:rPr>
          <w:rFonts w:eastAsia="Times New Roman" w:cs="Times New Roman"/>
          <w:b/>
          <w:bCs/>
          <w:rtl/>
          <w:lang w:eastAsia="de-DE"/>
        </w:rPr>
        <w:t>אֲנָשִׁים</w:t>
      </w:r>
      <w:r w:rsidRPr="00C268A3">
        <w:rPr>
          <w:rFonts w:eastAsia="Times New Roman" w:cs="Times New Roman"/>
          <w:rtl/>
          <w:lang w:eastAsia="de-DE"/>
        </w:rPr>
        <w:t xml:space="preserve"> </w:t>
      </w:r>
      <w:r w:rsidRPr="00C268A3">
        <w:rPr>
          <w:rFonts w:eastAsia="Times New Roman" w:cs="Times New Roman"/>
          <w:lang w:eastAsia="de-DE"/>
        </w:rPr>
        <w:t xml:space="preserve">(Männer, Plural von </w:t>
      </w:r>
      <w:r w:rsidRPr="00C268A3">
        <w:rPr>
          <w:rFonts w:eastAsia="Times New Roman" w:cs="Times New Roman"/>
          <w:b/>
          <w:bCs/>
          <w:rtl/>
          <w:lang w:eastAsia="de-DE"/>
        </w:rPr>
        <w:t>אִישׁ</w:t>
      </w:r>
      <w:r w:rsidRPr="00C268A3">
        <w:rPr>
          <w:rFonts w:eastAsia="Times New Roman" w:cs="Times New Roman"/>
          <w:lang w:eastAsia="de-DE"/>
        </w:rPr>
        <w:t xml:space="preserve">) ist das zweite Subjekt des Satzes. Die Präpositionalphrase </w:t>
      </w:r>
      <w:r w:rsidRPr="00C268A3">
        <w:rPr>
          <w:rFonts w:eastAsia="Times New Roman" w:cs="Times New Roman"/>
          <w:b/>
          <w:bCs/>
          <w:rtl/>
          <w:lang w:eastAsia="de-DE"/>
        </w:rPr>
        <w:t>מִבְּנֵי־יִשְׂרָאֵל</w:t>
      </w:r>
      <w:r w:rsidRPr="00C268A3">
        <w:rPr>
          <w:rFonts w:eastAsia="Times New Roman" w:cs="Times New Roman"/>
          <w:rtl/>
          <w:lang w:eastAsia="de-DE"/>
        </w:rPr>
        <w:t xml:space="preserve"> </w:t>
      </w:r>
      <w:r w:rsidRPr="00C268A3">
        <w:rPr>
          <w:rFonts w:eastAsia="Times New Roman" w:cs="Times New Roman"/>
          <w:lang w:eastAsia="de-DE"/>
        </w:rPr>
        <w:t xml:space="preserve">spezifiziert die Herkunft dieser Männer: </w:t>
      </w:r>
      <w:r w:rsidRPr="00C268A3">
        <w:rPr>
          <w:rFonts w:eastAsia="Times New Roman" w:cs="Times New Roman"/>
          <w:b/>
          <w:bCs/>
          <w:rtl/>
          <w:lang w:eastAsia="de-DE"/>
        </w:rPr>
        <w:t>מִן</w:t>
      </w:r>
      <w:r w:rsidRPr="00C268A3">
        <w:rPr>
          <w:rFonts w:eastAsia="Times New Roman" w:cs="Times New Roman"/>
          <w:rtl/>
          <w:lang w:eastAsia="de-DE"/>
        </w:rPr>
        <w:t xml:space="preserve"> </w:t>
      </w:r>
      <w:r w:rsidRPr="00C268A3">
        <w:rPr>
          <w:rFonts w:eastAsia="Times New Roman" w:cs="Times New Roman"/>
          <w:lang w:eastAsia="de-DE"/>
        </w:rPr>
        <w:t xml:space="preserve">ist die Präposition „von, aus", </w:t>
      </w:r>
      <w:r w:rsidRPr="00C268A3">
        <w:rPr>
          <w:rFonts w:eastAsia="Times New Roman" w:cs="Times New Roman"/>
          <w:b/>
          <w:bCs/>
          <w:rtl/>
          <w:lang w:eastAsia="de-DE"/>
        </w:rPr>
        <w:t>בְּנֵי</w:t>
      </w:r>
      <w:r w:rsidRPr="00C268A3">
        <w:rPr>
          <w:rFonts w:eastAsia="Times New Roman" w:cs="Times New Roman"/>
          <w:rtl/>
          <w:lang w:eastAsia="de-DE"/>
        </w:rPr>
        <w:t xml:space="preserve"> </w:t>
      </w:r>
      <w:r w:rsidRPr="00C268A3">
        <w:rPr>
          <w:rFonts w:eastAsia="Times New Roman" w:cs="Times New Roman"/>
          <w:lang w:eastAsia="de-DE"/>
        </w:rPr>
        <w:t xml:space="preserve">der Constructus Plural von </w:t>
      </w:r>
      <w:r w:rsidRPr="00C268A3">
        <w:rPr>
          <w:rFonts w:eastAsia="Times New Roman" w:cs="Times New Roman"/>
          <w:b/>
          <w:bCs/>
          <w:rtl/>
          <w:lang w:eastAsia="de-DE"/>
        </w:rPr>
        <w:t>בֵּן</w:t>
      </w:r>
      <w:r w:rsidRPr="00C268A3">
        <w:rPr>
          <w:rFonts w:eastAsia="Times New Roman" w:cs="Times New Roman"/>
          <w:lang w:eastAsia="de-DE"/>
        </w:rPr>
        <w:t xml:space="preserve">, und </w:t>
      </w:r>
      <w:r w:rsidRPr="00C268A3">
        <w:rPr>
          <w:rFonts w:eastAsia="Times New Roman" w:cs="Times New Roman"/>
          <w:b/>
          <w:bCs/>
          <w:rtl/>
          <w:lang w:eastAsia="de-DE"/>
        </w:rPr>
        <w:t>יִשְׂרָאֵל</w:t>
      </w:r>
      <w:r w:rsidRPr="00C268A3">
        <w:rPr>
          <w:rFonts w:eastAsia="Times New Roman" w:cs="Times New Roman"/>
          <w:rtl/>
          <w:lang w:eastAsia="de-DE"/>
        </w:rPr>
        <w:t xml:space="preserve"> </w:t>
      </w:r>
      <w:r w:rsidRPr="00C268A3">
        <w:rPr>
          <w:rFonts w:eastAsia="Times New Roman" w:cs="Times New Roman"/>
          <w:lang w:eastAsia="de-DE"/>
        </w:rPr>
        <w:t>der Stammesname im status absolutus. Diese Phrase betont, dass die Aufständischen aus der Mitte Israels selbst kommen.</w:t>
      </w:r>
    </w:p>
    <w:p w14:paraId="0C76270F"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Zahlenangabe </w:t>
      </w:r>
      <w:r w:rsidRPr="00C268A3">
        <w:rPr>
          <w:rFonts w:eastAsia="Times New Roman" w:cs="Times New Roman"/>
          <w:b/>
          <w:bCs/>
          <w:rtl/>
          <w:lang w:eastAsia="de-DE"/>
        </w:rPr>
        <w:t>חֲמִשִּׁים וּמָאתָיִם</w:t>
      </w:r>
      <w:r w:rsidRPr="00C268A3">
        <w:rPr>
          <w:rFonts w:eastAsia="Times New Roman" w:cs="Times New Roman"/>
          <w:rtl/>
          <w:lang w:eastAsia="de-DE"/>
        </w:rPr>
        <w:t xml:space="preserve"> </w:t>
      </w:r>
      <w:r w:rsidRPr="00C268A3">
        <w:rPr>
          <w:rFonts w:eastAsia="Times New Roman" w:cs="Times New Roman"/>
          <w:lang w:eastAsia="de-DE"/>
        </w:rPr>
        <w:t xml:space="preserve">gibt die genaue Anzahl an: </w:t>
      </w:r>
      <w:r w:rsidRPr="00C268A3">
        <w:rPr>
          <w:rFonts w:eastAsia="Times New Roman" w:cs="Times New Roman"/>
          <w:b/>
          <w:bCs/>
          <w:rtl/>
          <w:lang w:eastAsia="de-DE"/>
        </w:rPr>
        <w:t>חֲמִשִּׁים</w:t>
      </w:r>
      <w:r w:rsidRPr="00C268A3">
        <w:rPr>
          <w:rFonts w:eastAsia="Times New Roman" w:cs="Times New Roman"/>
          <w:rtl/>
          <w:lang w:eastAsia="de-DE"/>
        </w:rPr>
        <w:t xml:space="preserve"> </w:t>
      </w:r>
      <w:r w:rsidRPr="00C268A3">
        <w:rPr>
          <w:rFonts w:eastAsia="Times New Roman" w:cs="Times New Roman"/>
          <w:lang w:eastAsia="de-DE"/>
        </w:rPr>
        <w:t xml:space="preserve">ist „fünfzig" (Plural), </w:t>
      </w:r>
      <w:r w:rsidRPr="00C268A3">
        <w:rPr>
          <w:rFonts w:eastAsia="Times New Roman" w:cs="Times New Roman"/>
          <w:b/>
          <w:bCs/>
          <w:rtl/>
          <w:lang w:eastAsia="de-DE"/>
        </w:rPr>
        <w:t>וּ</w:t>
      </w:r>
      <w:r w:rsidRPr="00C268A3">
        <w:rPr>
          <w:rFonts w:eastAsia="Times New Roman" w:cs="Times New Roman"/>
          <w:rtl/>
          <w:lang w:eastAsia="de-DE"/>
        </w:rPr>
        <w:t xml:space="preserve"> </w:t>
      </w:r>
      <w:r w:rsidRPr="00C268A3">
        <w:rPr>
          <w:rFonts w:eastAsia="Times New Roman" w:cs="Times New Roman"/>
          <w:lang w:eastAsia="de-DE"/>
        </w:rPr>
        <w:t xml:space="preserve">die Konjunktion „und", </w:t>
      </w:r>
      <w:r w:rsidRPr="00C268A3">
        <w:rPr>
          <w:rFonts w:eastAsia="Times New Roman" w:cs="Times New Roman"/>
          <w:b/>
          <w:bCs/>
          <w:rtl/>
          <w:lang w:eastAsia="de-DE"/>
        </w:rPr>
        <w:t>מָאתָיִם</w:t>
      </w:r>
      <w:r w:rsidRPr="00C268A3">
        <w:rPr>
          <w:rFonts w:eastAsia="Times New Roman" w:cs="Times New Roman"/>
          <w:rtl/>
          <w:lang w:eastAsia="de-DE"/>
        </w:rPr>
        <w:t xml:space="preserve"> </w:t>
      </w:r>
      <w:r w:rsidRPr="00C268A3">
        <w:rPr>
          <w:rFonts w:eastAsia="Times New Roman" w:cs="Times New Roman"/>
          <w:lang w:eastAsia="de-DE"/>
        </w:rPr>
        <w:t xml:space="preserve">die Dual-Form von </w:t>
      </w:r>
      <w:r w:rsidRPr="00C268A3">
        <w:rPr>
          <w:rFonts w:eastAsia="Times New Roman" w:cs="Times New Roman"/>
          <w:b/>
          <w:bCs/>
          <w:rtl/>
          <w:lang w:eastAsia="de-DE"/>
        </w:rPr>
        <w:t>מֵאָה</w:t>
      </w:r>
      <w:r w:rsidRPr="00C268A3">
        <w:rPr>
          <w:rFonts w:eastAsia="Times New Roman" w:cs="Times New Roman"/>
          <w:rtl/>
          <w:lang w:eastAsia="de-DE"/>
        </w:rPr>
        <w:t xml:space="preserve"> </w:t>
      </w:r>
      <w:r w:rsidRPr="00C268A3">
        <w:rPr>
          <w:rFonts w:eastAsia="Times New Roman" w:cs="Times New Roman"/>
          <w:lang w:eastAsia="de-DE"/>
        </w:rPr>
        <w:t>und bedeutet „zweihundert". Zusammen ergibt sich „zweihundertfünfzig". Die Wortstellung (50 + 200) folgt dem hebräischen Muster der Zahlenangabe.</w:t>
      </w:r>
    </w:p>
    <w:p w14:paraId="2BC517B5"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erste Apposition </w:t>
      </w:r>
      <w:r w:rsidRPr="00C268A3">
        <w:rPr>
          <w:rFonts w:eastAsia="Times New Roman" w:cs="Times New Roman"/>
          <w:b/>
          <w:bCs/>
          <w:rtl/>
          <w:lang w:eastAsia="de-DE"/>
        </w:rPr>
        <w:t>נְשִׂיאֵי עֵדָה</w:t>
      </w:r>
      <w:r w:rsidRPr="00C268A3">
        <w:rPr>
          <w:rFonts w:eastAsia="Times New Roman" w:cs="Times New Roman"/>
          <w:rtl/>
          <w:lang w:eastAsia="de-DE"/>
        </w:rPr>
        <w:t xml:space="preserve"> </w:t>
      </w:r>
      <w:r w:rsidRPr="00C268A3">
        <w:rPr>
          <w:rFonts w:eastAsia="Times New Roman" w:cs="Times New Roman"/>
          <w:lang w:eastAsia="de-DE"/>
        </w:rPr>
        <w:t xml:space="preserve">qualifiziert diese Männer näher. </w:t>
      </w:r>
      <w:r w:rsidRPr="00C268A3">
        <w:rPr>
          <w:rFonts w:eastAsia="Times New Roman" w:cs="Times New Roman"/>
          <w:b/>
          <w:bCs/>
          <w:rtl/>
          <w:lang w:eastAsia="de-DE"/>
        </w:rPr>
        <w:t>נְשִׂיאֵי</w:t>
      </w:r>
      <w:r w:rsidRPr="00C268A3">
        <w:rPr>
          <w:rFonts w:eastAsia="Times New Roman" w:cs="Times New Roman"/>
          <w:rtl/>
          <w:lang w:eastAsia="de-DE"/>
        </w:rPr>
        <w:t xml:space="preserve"> </w:t>
      </w:r>
      <w:r w:rsidRPr="00C268A3">
        <w:rPr>
          <w:rFonts w:eastAsia="Times New Roman" w:cs="Times New Roman"/>
          <w:lang w:eastAsia="de-DE"/>
        </w:rPr>
        <w:t xml:space="preserve">ist der Constructus Plural von </w:t>
      </w:r>
      <w:r w:rsidRPr="00C268A3">
        <w:rPr>
          <w:rFonts w:eastAsia="Times New Roman" w:cs="Times New Roman"/>
          <w:b/>
          <w:bCs/>
          <w:rtl/>
          <w:lang w:eastAsia="de-DE"/>
        </w:rPr>
        <w:t>נָשִׂיא</w:t>
      </w:r>
      <w:r w:rsidRPr="00C268A3">
        <w:rPr>
          <w:rFonts w:eastAsia="Times New Roman" w:cs="Times New Roman"/>
          <w:rtl/>
          <w:lang w:eastAsia="de-DE"/>
        </w:rPr>
        <w:t xml:space="preserve"> </w:t>
      </w:r>
      <w:r w:rsidRPr="00C268A3">
        <w:rPr>
          <w:rFonts w:eastAsia="Times New Roman" w:cs="Times New Roman"/>
          <w:lang w:eastAsia="de-DE"/>
        </w:rPr>
        <w:t xml:space="preserve">(Fürst, Anführer), </w:t>
      </w:r>
      <w:r w:rsidRPr="00C268A3">
        <w:rPr>
          <w:rFonts w:eastAsia="Times New Roman" w:cs="Times New Roman"/>
          <w:b/>
          <w:bCs/>
          <w:rtl/>
          <w:lang w:eastAsia="de-DE"/>
        </w:rPr>
        <w:t>עֵדָה</w:t>
      </w:r>
      <w:r w:rsidRPr="00C268A3">
        <w:rPr>
          <w:rFonts w:eastAsia="Times New Roman" w:cs="Times New Roman"/>
          <w:rtl/>
          <w:lang w:eastAsia="de-DE"/>
        </w:rPr>
        <w:t xml:space="preserve"> </w:t>
      </w:r>
      <w:r w:rsidRPr="00C268A3">
        <w:rPr>
          <w:rFonts w:eastAsia="Times New Roman" w:cs="Times New Roman"/>
          <w:lang w:eastAsia="de-DE"/>
        </w:rPr>
        <w:t>bedeutet „Gemeinde, Versammlung" im status absolutus. Die Constructus-Verbindung bedeutet „Fürsten der Gemeinde" und unterstreicht den hohen sozialen Status der Rebellen.</w:t>
      </w:r>
    </w:p>
    <w:p w14:paraId="432B4981"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zweite Apposition </w:t>
      </w:r>
      <w:r w:rsidRPr="00C268A3">
        <w:rPr>
          <w:rFonts w:eastAsia="Times New Roman" w:cs="Times New Roman"/>
          <w:b/>
          <w:bCs/>
          <w:rtl/>
          <w:lang w:eastAsia="de-DE"/>
        </w:rPr>
        <w:t>קְרִאֵי מוֹעֵד</w:t>
      </w:r>
      <w:r w:rsidRPr="00C268A3">
        <w:rPr>
          <w:rFonts w:eastAsia="Times New Roman" w:cs="Times New Roman"/>
          <w:rtl/>
          <w:lang w:eastAsia="de-DE"/>
        </w:rPr>
        <w:t xml:space="preserve"> </w:t>
      </w:r>
      <w:r w:rsidRPr="00C268A3">
        <w:rPr>
          <w:rFonts w:eastAsia="Times New Roman" w:cs="Times New Roman"/>
          <w:lang w:eastAsia="de-DE"/>
        </w:rPr>
        <w:t xml:space="preserve">verstärkt diese Charakterisierung. </w:t>
      </w:r>
      <w:r w:rsidRPr="00C268A3">
        <w:rPr>
          <w:rFonts w:eastAsia="Times New Roman" w:cs="Times New Roman"/>
          <w:b/>
          <w:bCs/>
          <w:rtl/>
          <w:lang w:eastAsia="de-DE"/>
        </w:rPr>
        <w:t>קְרִאֵי</w:t>
      </w:r>
      <w:r w:rsidRPr="00C268A3">
        <w:rPr>
          <w:rFonts w:eastAsia="Times New Roman" w:cs="Times New Roman"/>
          <w:rtl/>
          <w:lang w:eastAsia="de-DE"/>
        </w:rPr>
        <w:t xml:space="preserve"> </w:t>
      </w:r>
      <w:r w:rsidRPr="00C268A3">
        <w:rPr>
          <w:rFonts w:eastAsia="Times New Roman" w:cs="Times New Roman"/>
          <w:lang w:eastAsia="de-DE"/>
        </w:rPr>
        <w:t xml:space="preserve">ist das Qal Partizip Passiv Plural (Constructus) von </w:t>
      </w:r>
      <w:r w:rsidRPr="00C268A3">
        <w:rPr>
          <w:rFonts w:eastAsia="Times New Roman" w:cs="Times New Roman"/>
          <w:b/>
          <w:bCs/>
          <w:rtl/>
          <w:lang w:eastAsia="de-DE"/>
        </w:rPr>
        <w:t>קרא</w:t>
      </w:r>
      <w:r w:rsidRPr="00C268A3">
        <w:rPr>
          <w:rFonts w:eastAsia="Times New Roman" w:cs="Times New Roman"/>
          <w:rtl/>
          <w:lang w:eastAsia="de-DE"/>
        </w:rPr>
        <w:t xml:space="preserve"> </w:t>
      </w:r>
      <w:r w:rsidRPr="00C268A3">
        <w:rPr>
          <w:rFonts w:eastAsia="Times New Roman" w:cs="Times New Roman"/>
          <w:lang w:eastAsia="de-DE"/>
        </w:rPr>
        <w:t xml:space="preserve">(„berufen, gerufen"), </w:t>
      </w:r>
      <w:r w:rsidRPr="00C268A3">
        <w:rPr>
          <w:rFonts w:eastAsia="Times New Roman" w:cs="Times New Roman"/>
          <w:b/>
          <w:bCs/>
          <w:rtl/>
          <w:lang w:eastAsia="de-DE"/>
        </w:rPr>
        <w:t>מוֹעֵד</w:t>
      </w:r>
      <w:r w:rsidRPr="00C268A3">
        <w:rPr>
          <w:rFonts w:eastAsia="Times New Roman" w:cs="Times New Roman"/>
          <w:rtl/>
          <w:lang w:eastAsia="de-DE"/>
        </w:rPr>
        <w:t xml:space="preserve"> </w:t>
      </w:r>
      <w:r w:rsidRPr="00C268A3">
        <w:rPr>
          <w:rFonts w:eastAsia="Times New Roman" w:cs="Times New Roman"/>
          <w:lang w:eastAsia="de-DE"/>
        </w:rPr>
        <w:t xml:space="preserve">bedeutet „Versammlung, bestimmte Zeit" (von </w:t>
      </w:r>
      <w:r w:rsidRPr="00C268A3">
        <w:rPr>
          <w:rFonts w:eastAsia="Times New Roman" w:cs="Times New Roman"/>
          <w:b/>
          <w:bCs/>
          <w:rtl/>
          <w:lang w:eastAsia="de-DE"/>
        </w:rPr>
        <w:t>יעד</w:t>
      </w:r>
      <w:r w:rsidRPr="00C268A3">
        <w:rPr>
          <w:rFonts w:eastAsia="Times New Roman" w:cs="Times New Roman"/>
          <w:lang w:eastAsia="de-DE"/>
        </w:rPr>
        <w:t>, „bestimmen, festsetzen"). Die Phrase bedeutet „Berufene der Versammlung" und bezeichnet jene, die zur heiligen Versammlung berufen wurden, also anerkannte Repräsentanten.</w:t>
      </w:r>
    </w:p>
    <w:p w14:paraId="6EAFB007"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dritte Apposition </w:t>
      </w:r>
      <w:r w:rsidRPr="00C268A3">
        <w:rPr>
          <w:rFonts w:eastAsia="Times New Roman" w:cs="Times New Roman"/>
          <w:b/>
          <w:bCs/>
          <w:rtl/>
          <w:lang w:eastAsia="de-DE"/>
        </w:rPr>
        <w:t>אַנְשֵׁי־שֵׁם</w:t>
      </w:r>
      <w:r w:rsidRPr="00C268A3">
        <w:rPr>
          <w:rFonts w:eastAsia="Times New Roman" w:cs="Times New Roman"/>
          <w:rtl/>
          <w:lang w:eastAsia="de-DE"/>
        </w:rPr>
        <w:t xml:space="preserve"> </w:t>
      </w:r>
      <w:r w:rsidRPr="00C268A3">
        <w:rPr>
          <w:rFonts w:eastAsia="Times New Roman" w:cs="Times New Roman"/>
          <w:lang w:eastAsia="de-DE"/>
        </w:rPr>
        <w:t xml:space="preserve">schließt die Charakterisierung ab. </w:t>
      </w:r>
      <w:r w:rsidRPr="00C268A3">
        <w:rPr>
          <w:rFonts w:eastAsia="Times New Roman" w:cs="Times New Roman"/>
          <w:b/>
          <w:bCs/>
          <w:rtl/>
          <w:lang w:eastAsia="de-DE"/>
        </w:rPr>
        <w:t>אַנְשֵׁי</w:t>
      </w:r>
      <w:r w:rsidRPr="00C268A3">
        <w:rPr>
          <w:rFonts w:eastAsia="Times New Roman" w:cs="Times New Roman"/>
          <w:rtl/>
          <w:lang w:eastAsia="de-DE"/>
        </w:rPr>
        <w:t xml:space="preserve"> </w:t>
      </w:r>
      <w:r w:rsidRPr="00C268A3">
        <w:rPr>
          <w:rFonts w:eastAsia="Times New Roman" w:cs="Times New Roman"/>
          <w:lang w:eastAsia="de-DE"/>
        </w:rPr>
        <w:t xml:space="preserve">ist der Constructus Plural von </w:t>
      </w:r>
      <w:r w:rsidRPr="00C268A3">
        <w:rPr>
          <w:rFonts w:eastAsia="Times New Roman" w:cs="Times New Roman"/>
          <w:b/>
          <w:bCs/>
          <w:rtl/>
          <w:lang w:eastAsia="de-DE"/>
        </w:rPr>
        <w:t>אִישׁ</w:t>
      </w:r>
      <w:r w:rsidRPr="00C268A3">
        <w:rPr>
          <w:rFonts w:eastAsia="Times New Roman" w:cs="Times New Roman"/>
          <w:lang w:eastAsia="de-DE"/>
        </w:rPr>
        <w:t xml:space="preserve">, </w:t>
      </w:r>
      <w:r w:rsidRPr="00C268A3">
        <w:rPr>
          <w:rFonts w:eastAsia="Times New Roman" w:cs="Times New Roman"/>
          <w:b/>
          <w:bCs/>
          <w:rtl/>
          <w:lang w:eastAsia="de-DE"/>
        </w:rPr>
        <w:t>שֵׁם</w:t>
      </w:r>
      <w:r w:rsidRPr="00C268A3">
        <w:rPr>
          <w:rFonts w:eastAsia="Times New Roman" w:cs="Times New Roman"/>
          <w:rtl/>
          <w:lang w:eastAsia="de-DE"/>
        </w:rPr>
        <w:t xml:space="preserve"> </w:t>
      </w:r>
      <w:r w:rsidRPr="00C268A3">
        <w:rPr>
          <w:rFonts w:eastAsia="Times New Roman" w:cs="Times New Roman"/>
          <w:lang w:eastAsia="de-DE"/>
        </w:rPr>
        <w:t xml:space="preserve">bedeutet „Name". Die Wendung </w:t>
      </w:r>
      <w:r w:rsidRPr="00C268A3">
        <w:rPr>
          <w:rFonts w:eastAsia="Times New Roman" w:cs="Times New Roman"/>
          <w:b/>
          <w:bCs/>
          <w:rtl/>
          <w:lang w:eastAsia="de-DE"/>
        </w:rPr>
        <w:t>אַנְשֵׁי־שֵׁם</w:t>
      </w:r>
      <w:r w:rsidRPr="00C268A3">
        <w:rPr>
          <w:rFonts w:eastAsia="Times New Roman" w:cs="Times New Roman"/>
          <w:rtl/>
          <w:lang w:eastAsia="de-DE"/>
        </w:rPr>
        <w:t xml:space="preserve"> </w:t>
      </w:r>
      <w:r w:rsidRPr="00C268A3">
        <w:rPr>
          <w:rFonts w:eastAsia="Times New Roman" w:cs="Times New Roman"/>
          <w:lang w:eastAsia="de-DE"/>
        </w:rPr>
        <w:t>ist eine stehende Phrase für „angesehene Männer, Männer von Ruf/Namen" und betont ihren gesellschaftlichen Rang.</w:t>
      </w:r>
    </w:p>
    <w:p w14:paraId="6500F866"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dreifache Apposition ist syntaktisch parallel strukturiert und dient der emphatischen Hervorhebung des Status der Aufständischen. Alle drei Phrasen stehen im Constructus-Verhältnis und sind attributive Ergänzungen zu </w:t>
      </w:r>
      <w:r w:rsidRPr="00C268A3">
        <w:rPr>
          <w:rFonts w:eastAsia="Times New Roman" w:cs="Times New Roman"/>
          <w:b/>
          <w:bCs/>
          <w:rtl/>
          <w:lang w:eastAsia="de-DE"/>
        </w:rPr>
        <w:t>אֲנָשִׁים</w:t>
      </w:r>
      <w:r w:rsidRPr="00C268A3">
        <w:rPr>
          <w:rFonts w:eastAsia="Times New Roman" w:cs="Times New Roman"/>
          <w:lang w:eastAsia="de-DE"/>
        </w:rPr>
        <w:t>.</w:t>
      </w:r>
    </w:p>
    <w:p w14:paraId="2FC3E40D" w14:textId="468C4C6A" w:rsidR="00C268A3" w:rsidRPr="00C268A3" w:rsidRDefault="00C268A3" w:rsidP="00ED3AE8">
      <w:pPr>
        <w:pStyle w:val="KeinLeerraum"/>
        <w:rPr>
          <w:rFonts w:eastAsia="Times New Roman" w:cs="Times New Roman"/>
          <w:lang w:eastAsia="de-DE"/>
        </w:rPr>
      </w:pPr>
      <w:r w:rsidRPr="00C268A3">
        <w:rPr>
          <w:b/>
          <w:bCs/>
          <w:lang w:eastAsia="de-DE"/>
        </w:rPr>
        <w:t>Die LXX</w:t>
      </w:r>
      <w:r w:rsidRPr="00C268A3">
        <w:rPr>
          <w:lang w:eastAsia="de-DE"/>
        </w:rPr>
        <w:t xml:space="preserve"> </w:t>
      </w:r>
      <w:r w:rsidR="00ED3AE8">
        <w:t>fügt „σύνκλητοι βουλῆς" (Berufene des Rates) hinzu für die hebräische Phrase „</w:t>
      </w:r>
      <w:r w:rsidR="00ED3AE8" w:rsidRPr="00ED3AE8">
        <w:rPr>
          <w:b/>
          <w:bCs/>
          <w:rtl/>
        </w:rPr>
        <w:t>קְרִאֵי מוֹעֵד</w:t>
      </w:r>
      <w:r w:rsidR="00ED3AE8">
        <w:t xml:space="preserve">" (Berufene der Versammlung), was eine institutionellere Beschreibung darstellt. </w:t>
      </w:r>
      <w:r w:rsidRPr="00C268A3">
        <w:rPr>
          <w:rFonts w:eastAsia="Times New Roman" w:cs="Times New Roman"/>
          <w:lang w:eastAsia="de-DE"/>
        </w:rPr>
        <w:t>Die Satzstruktur zeigt einen Hauptsatz mit dem Wayyiqtol-Verb als Prädikat und einem impliziten Subjekt (die in Vers 1 genannten Personen). Die Präpositionalphrase ist adverbiale Bestimmung. Das zweite Subjekt wird durch die Konjunktion koordiniert und mit der Herkunftsangabe sowie der Zahlenangabe und drei parallelen Appositionen erweitert. Es gibt keine Nebensätze, sondern nur einen erweiterten Hauptsatz mit komplexer nominaler Struktur.</w:t>
      </w:r>
    </w:p>
    <w:p w14:paraId="0910A177"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lastRenderedPageBreak/>
        <w:t>Der Vers beschreibt die öffentliche Konfrontation einer großen und einflussreichen Gruppe gegen Mose und unterstreicht durch die dreifache Statusbezeichnung die Gefährlichkeit dieser Opposition.</w:t>
      </w:r>
    </w:p>
    <w:p w14:paraId="5E0F046E" w14:textId="77777777" w:rsidR="00C268A3" w:rsidRPr="00C268A3" w:rsidRDefault="00C268A3" w:rsidP="00C268A3">
      <w:pPr>
        <w:spacing w:before="100" w:beforeAutospacing="1" w:after="100" w:afterAutospacing="1" w:line="240" w:lineRule="auto"/>
        <w:outlineLvl w:val="0"/>
        <w:rPr>
          <w:rFonts w:eastAsia="Times New Roman" w:cs="Times New Roman"/>
          <w:b/>
          <w:bCs/>
          <w:kern w:val="36"/>
          <w:sz w:val="48"/>
          <w:szCs w:val="48"/>
          <w:lang w:eastAsia="de-DE"/>
        </w:rPr>
      </w:pPr>
      <w:r w:rsidRPr="00C268A3">
        <w:rPr>
          <w:rFonts w:eastAsia="Times New Roman" w:cs="Times New Roman"/>
          <w:b/>
          <w:bCs/>
          <w:kern w:val="36"/>
          <w:sz w:val="48"/>
          <w:szCs w:val="48"/>
          <w:lang w:eastAsia="de-DE"/>
        </w:rPr>
        <w:t>Numeri 16,3</w:t>
      </w:r>
    </w:p>
    <w:p w14:paraId="0129E4A1"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t>Hebräisch:</w:t>
      </w:r>
      <w:r w:rsidRPr="00C268A3">
        <w:rPr>
          <w:rFonts w:eastAsia="Times New Roman" w:cs="Times New Roman"/>
          <w:lang w:eastAsia="de-DE"/>
        </w:rPr>
        <w:t xml:space="preserve"> </w:t>
      </w:r>
      <w:r w:rsidRPr="00C268A3">
        <w:rPr>
          <w:rFonts w:eastAsia="Times New Roman" w:cs="Times New Roman"/>
          <w:rtl/>
          <w:lang w:eastAsia="de-DE"/>
        </w:rPr>
        <w:t>וַיִּֽקָּהֲל֞וּ עַל־מֹשֶׁ֣ה וְעַֽל־אַהֲרֹ֗ן וַיֹּאמְר֣וּ אֲלֵהֶם֮ רַב־לָכֶם֒ כִּ֤י כָל־הָֽעֵדָה֙ כֻּלָּ֣ם קְדֹשִׁ֔ים וּבְתוֹכָ֖ם יְהוָ֑ה וּמַדּ֥וּעַ תִּֽתְנַשְּׂא֖וּ עַל־קְהַ֥ל יְהוָֽה׃</w:t>
      </w:r>
    </w:p>
    <w:p w14:paraId="3F34A0D9"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t>Deutsch:</w:t>
      </w:r>
      <w:r w:rsidRPr="00C268A3">
        <w:rPr>
          <w:rFonts w:eastAsia="Times New Roman" w:cs="Times New Roman"/>
          <w:lang w:eastAsia="de-DE"/>
        </w:rPr>
        <w:t xml:space="preserve"> Und sie versammelten sich gegen Mosche und gegen Aharon und sprachen zu ihnen: Genug für euch! Denn die ganze Gemeinde, sie alle sind heilig, und der Ewige ist in ihrer Mitte. Und warum erhebt ihr euch über die Versammlung des Ewigen?</w:t>
      </w:r>
    </w:p>
    <w:p w14:paraId="610B6CB0" w14:textId="77777777" w:rsidR="00C268A3" w:rsidRPr="00C268A3" w:rsidRDefault="00F329DD" w:rsidP="00C268A3">
      <w:pPr>
        <w:spacing w:after="0" w:line="240" w:lineRule="auto"/>
        <w:rPr>
          <w:rFonts w:eastAsia="Times New Roman" w:cs="Times New Roman"/>
          <w:lang w:eastAsia="de-DE"/>
        </w:rPr>
      </w:pPr>
      <w:r>
        <w:rPr>
          <w:rFonts w:eastAsia="Times New Roman" w:cs="Times New Roman"/>
          <w:noProof/>
          <w:lang w:eastAsia="de-DE"/>
        </w:rPr>
        <w:pict w14:anchorId="650EE145">
          <v:rect id="_x0000_i1541" style="width:0;height:1.5pt" o:hralign="center" o:hrstd="t" o:hr="t" fillcolor="#a0a0a0" stroked="f"/>
        </w:pict>
      </w:r>
    </w:p>
    <w:p w14:paraId="0E5588A9"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b/>
          <w:bCs/>
          <w:lang w:eastAsia="de-DE"/>
        </w:rPr>
        <w:t>Kommentar:</w:t>
      </w:r>
      <w:r w:rsidRPr="00C268A3">
        <w:rPr>
          <w:rFonts w:eastAsia="Times New Roman" w:cs="Times New Roman"/>
          <w:lang w:eastAsia="de-DE"/>
        </w:rPr>
        <w:t xml:space="preserve"> Das Verb </w:t>
      </w:r>
      <w:r w:rsidRPr="00C268A3">
        <w:rPr>
          <w:rFonts w:eastAsia="Times New Roman" w:cs="Times New Roman"/>
          <w:b/>
          <w:bCs/>
          <w:rtl/>
          <w:lang w:eastAsia="de-DE"/>
        </w:rPr>
        <w:t>וַיִּקָּהֲלוּ</w:t>
      </w:r>
      <w:r w:rsidRPr="00C268A3">
        <w:rPr>
          <w:rFonts w:eastAsia="Times New Roman" w:cs="Times New Roman"/>
          <w:rtl/>
          <w:lang w:eastAsia="de-DE"/>
        </w:rPr>
        <w:t xml:space="preserve"> </w:t>
      </w:r>
      <w:r w:rsidRPr="00C268A3">
        <w:rPr>
          <w:rFonts w:eastAsia="Times New Roman" w:cs="Times New Roman"/>
          <w:lang w:eastAsia="de-DE"/>
        </w:rPr>
        <w:t xml:space="preserve">(Wayyiqtol, 3. m. pl. von </w:t>
      </w:r>
      <w:r w:rsidRPr="00C268A3">
        <w:rPr>
          <w:rFonts w:eastAsia="Times New Roman" w:cs="Times New Roman"/>
          <w:b/>
          <w:bCs/>
          <w:rtl/>
          <w:lang w:eastAsia="de-DE"/>
        </w:rPr>
        <w:t>קהל</w:t>
      </w:r>
      <w:r w:rsidRPr="00C268A3">
        <w:rPr>
          <w:rFonts w:eastAsia="Times New Roman" w:cs="Times New Roman"/>
          <w:rtl/>
          <w:lang w:eastAsia="de-DE"/>
        </w:rPr>
        <w:t xml:space="preserve"> </w:t>
      </w:r>
      <w:r w:rsidRPr="00C268A3">
        <w:rPr>
          <w:rFonts w:eastAsia="Times New Roman" w:cs="Times New Roman"/>
          <w:lang w:eastAsia="de-DE"/>
        </w:rPr>
        <w:t xml:space="preserve">Nifal) bedeutet „und sie versammelten sich" und setzt die Handlungskette fort. Die Nifal-Form von </w:t>
      </w:r>
      <w:r w:rsidRPr="00C268A3">
        <w:rPr>
          <w:rFonts w:eastAsia="Times New Roman" w:cs="Times New Roman"/>
          <w:b/>
          <w:bCs/>
          <w:rtl/>
          <w:lang w:eastAsia="de-DE"/>
        </w:rPr>
        <w:t>קהל</w:t>
      </w:r>
      <w:r w:rsidRPr="00C268A3">
        <w:rPr>
          <w:rFonts w:eastAsia="Times New Roman" w:cs="Times New Roman"/>
          <w:rtl/>
          <w:lang w:eastAsia="de-DE"/>
        </w:rPr>
        <w:t xml:space="preserve"> </w:t>
      </w:r>
      <w:r w:rsidRPr="00C268A3">
        <w:rPr>
          <w:rFonts w:eastAsia="Times New Roman" w:cs="Times New Roman"/>
          <w:lang w:eastAsia="de-DE"/>
        </w:rPr>
        <w:t>hat reflexive Bedeutung („sich versammeln"). Die Punktation zeigt das charakteristische Nifal-Präformativ mit Dagesch im Qof. Das Verb beschreibt die kollektive Aktion der Aufständischen.</w:t>
      </w:r>
    </w:p>
    <w:p w14:paraId="02688461"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doppelte Präpositionalphrase </w:t>
      </w:r>
      <w:r w:rsidRPr="00C268A3">
        <w:rPr>
          <w:rFonts w:eastAsia="Times New Roman" w:cs="Times New Roman"/>
          <w:b/>
          <w:bCs/>
          <w:rtl/>
          <w:lang w:eastAsia="de-DE"/>
        </w:rPr>
        <w:t>עַל־מֹשֶׁה וְעַל־אַהֲרֹן</w:t>
      </w:r>
      <w:r w:rsidRPr="00C268A3">
        <w:rPr>
          <w:rFonts w:eastAsia="Times New Roman" w:cs="Times New Roman"/>
          <w:rtl/>
          <w:lang w:eastAsia="de-DE"/>
        </w:rPr>
        <w:t xml:space="preserve"> </w:t>
      </w:r>
      <w:r w:rsidRPr="00C268A3">
        <w:rPr>
          <w:rFonts w:eastAsia="Times New Roman" w:cs="Times New Roman"/>
          <w:lang w:eastAsia="de-DE"/>
        </w:rPr>
        <w:t xml:space="preserve">gibt die Richtung der feindseligen Versammlung an. </w:t>
      </w:r>
      <w:r w:rsidRPr="00C268A3">
        <w:rPr>
          <w:rFonts w:eastAsia="Times New Roman" w:cs="Times New Roman"/>
          <w:b/>
          <w:bCs/>
          <w:rtl/>
          <w:lang w:eastAsia="de-DE"/>
        </w:rPr>
        <w:t>עַל</w:t>
      </w:r>
      <w:r w:rsidRPr="00C268A3">
        <w:rPr>
          <w:rFonts w:eastAsia="Times New Roman" w:cs="Times New Roman"/>
          <w:rtl/>
          <w:lang w:eastAsia="de-DE"/>
        </w:rPr>
        <w:t xml:space="preserve"> </w:t>
      </w:r>
      <w:r w:rsidRPr="00C268A3">
        <w:rPr>
          <w:rFonts w:eastAsia="Times New Roman" w:cs="Times New Roman"/>
          <w:lang w:eastAsia="de-DE"/>
        </w:rPr>
        <w:t xml:space="preserve">bedeutet hier „gegen" in adversativem Sinne. Die Koordination durch </w:t>
      </w:r>
      <w:r w:rsidRPr="00C268A3">
        <w:rPr>
          <w:rFonts w:eastAsia="Times New Roman" w:cs="Times New Roman"/>
          <w:b/>
          <w:bCs/>
          <w:rtl/>
          <w:lang w:eastAsia="de-DE"/>
        </w:rPr>
        <w:t>וְ</w:t>
      </w:r>
      <w:r w:rsidRPr="00C268A3">
        <w:rPr>
          <w:rFonts w:eastAsia="Times New Roman" w:cs="Times New Roman"/>
          <w:rtl/>
          <w:lang w:eastAsia="de-DE"/>
        </w:rPr>
        <w:t xml:space="preserve"> </w:t>
      </w:r>
      <w:r w:rsidRPr="00C268A3">
        <w:rPr>
          <w:rFonts w:eastAsia="Times New Roman" w:cs="Times New Roman"/>
          <w:lang w:eastAsia="de-DE"/>
        </w:rPr>
        <w:t xml:space="preserve">zeigt, dass sich die Opposition sowohl gegen </w:t>
      </w:r>
      <w:r w:rsidRPr="00C268A3">
        <w:rPr>
          <w:rFonts w:eastAsia="Times New Roman" w:cs="Times New Roman"/>
          <w:b/>
          <w:bCs/>
          <w:rtl/>
          <w:lang w:eastAsia="de-DE"/>
        </w:rPr>
        <w:t>מֹשֶׁה</w:t>
      </w:r>
      <w:r w:rsidRPr="00C268A3">
        <w:rPr>
          <w:rFonts w:eastAsia="Times New Roman" w:cs="Times New Roman"/>
          <w:rtl/>
          <w:lang w:eastAsia="de-DE"/>
        </w:rPr>
        <w:t xml:space="preserve"> </w:t>
      </w:r>
      <w:r w:rsidRPr="00C268A3">
        <w:rPr>
          <w:rFonts w:eastAsia="Times New Roman" w:cs="Times New Roman"/>
          <w:lang w:eastAsia="de-DE"/>
        </w:rPr>
        <w:t xml:space="preserve">(Mose) als auch gegen </w:t>
      </w:r>
      <w:r w:rsidRPr="00C268A3">
        <w:rPr>
          <w:rFonts w:eastAsia="Times New Roman" w:cs="Times New Roman"/>
          <w:b/>
          <w:bCs/>
          <w:rtl/>
          <w:lang w:eastAsia="de-DE"/>
        </w:rPr>
        <w:t>אַהֲרֹן</w:t>
      </w:r>
      <w:r w:rsidRPr="00C268A3">
        <w:rPr>
          <w:rFonts w:eastAsia="Times New Roman" w:cs="Times New Roman"/>
          <w:rtl/>
          <w:lang w:eastAsia="de-DE"/>
        </w:rPr>
        <w:t xml:space="preserve"> </w:t>
      </w:r>
      <w:r w:rsidRPr="00C268A3">
        <w:rPr>
          <w:rFonts w:eastAsia="Times New Roman" w:cs="Times New Roman"/>
          <w:lang w:eastAsia="de-DE"/>
        </w:rPr>
        <w:t xml:space="preserve">(Aaron) richtet. Die Wiederholung der Präposition </w:t>
      </w:r>
      <w:r w:rsidRPr="00C268A3">
        <w:rPr>
          <w:rFonts w:eastAsia="Times New Roman" w:cs="Times New Roman"/>
          <w:b/>
          <w:bCs/>
          <w:rtl/>
          <w:lang w:eastAsia="de-DE"/>
        </w:rPr>
        <w:t>עַל</w:t>
      </w:r>
      <w:r w:rsidRPr="00C268A3">
        <w:rPr>
          <w:rFonts w:eastAsia="Times New Roman" w:cs="Times New Roman"/>
          <w:rtl/>
          <w:lang w:eastAsia="de-DE"/>
        </w:rPr>
        <w:t xml:space="preserve"> </w:t>
      </w:r>
      <w:r w:rsidRPr="00C268A3">
        <w:rPr>
          <w:rFonts w:eastAsia="Times New Roman" w:cs="Times New Roman"/>
          <w:lang w:eastAsia="de-DE"/>
        </w:rPr>
        <w:t>unterstreicht die Parallelität der beiden Autoritätsfiguren als gemeinsame Zielscheibe.</w:t>
      </w:r>
    </w:p>
    <w:p w14:paraId="7EAB2D90"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Das Verb </w:t>
      </w:r>
      <w:r w:rsidRPr="00C268A3">
        <w:rPr>
          <w:rFonts w:eastAsia="Times New Roman" w:cs="Times New Roman"/>
          <w:b/>
          <w:bCs/>
          <w:rtl/>
          <w:lang w:eastAsia="de-DE"/>
        </w:rPr>
        <w:t>וַיֹּאמְרוּ</w:t>
      </w:r>
      <w:r w:rsidRPr="00C268A3">
        <w:rPr>
          <w:rFonts w:eastAsia="Times New Roman" w:cs="Times New Roman"/>
          <w:rtl/>
          <w:lang w:eastAsia="de-DE"/>
        </w:rPr>
        <w:t xml:space="preserve"> </w:t>
      </w:r>
      <w:r w:rsidRPr="00C268A3">
        <w:rPr>
          <w:rFonts w:eastAsia="Times New Roman" w:cs="Times New Roman"/>
          <w:lang w:eastAsia="de-DE"/>
        </w:rPr>
        <w:t xml:space="preserve">(Wayyiqtol, 3. m. pl. von </w:t>
      </w:r>
      <w:r w:rsidRPr="00C268A3">
        <w:rPr>
          <w:rFonts w:eastAsia="Times New Roman" w:cs="Times New Roman"/>
          <w:b/>
          <w:bCs/>
          <w:rtl/>
          <w:lang w:eastAsia="de-DE"/>
        </w:rPr>
        <w:t>אמר</w:t>
      </w:r>
      <w:r w:rsidRPr="00C268A3">
        <w:rPr>
          <w:rFonts w:eastAsia="Times New Roman" w:cs="Times New Roman"/>
          <w:lang w:eastAsia="de-DE"/>
        </w:rPr>
        <w:t xml:space="preserve">) leitet die direkte Rede ein: „und sie sprachen". Die Präposition </w:t>
      </w:r>
      <w:r w:rsidRPr="00C268A3">
        <w:rPr>
          <w:rFonts w:eastAsia="Times New Roman" w:cs="Times New Roman"/>
          <w:b/>
          <w:bCs/>
          <w:rtl/>
          <w:lang w:eastAsia="de-DE"/>
        </w:rPr>
        <w:t>אֶל</w:t>
      </w:r>
      <w:r w:rsidRPr="00C268A3">
        <w:rPr>
          <w:rFonts w:eastAsia="Times New Roman" w:cs="Times New Roman"/>
          <w:rtl/>
          <w:lang w:eastAsia="de-DE"/>
        </w:rPr>
        <w:t xml:space="preserve"> </w:t>
      </w:r>
      <w:r w:rsidRPr="00C268A3">
        <w:rPr>
          <w:rFonts w:eastAsia="Times New Roman" w:cs="Times New Roman"/>
          <w:lang w:eastAsia="de-DE"/>
        </w:rPr>
        <w:t xml:space="preserve">mit Suffix </w:t>
      </w:r>
      <w:r w:rsidRPr="00C268A3">
        <w:rPr>
          <w:rFonts w:eastAsia="Times New Roman" w:cs="Times New Roman"/>
          <w:b/>
          <w:bCs/>
          <w:rtl/>
          <w:lang w:eastAsia="de-DE"/>
        </w:rPr>
        <w:t>אֲלֵהֶם</w:t>
      </w:r>
      <w:r w:rsidRPr="00C268A3">
        <w:rPr>
          <w:rFonts w:eastAsia="Times New Roman" w:cs="Times New Roman"/>
          <w:rtl/>
          <w:lang w:eastAsia="de-DE"/>
        </w:rPr>
        <w:t xml:space="preserve"> </w:t>
      </w:r>
      <w:r w:rsidRPr="00C268A3">
        <w:rPr>
          <w:rFonts w:eastAsia="Times New Roman" w:cs="Times New Roman"/>
          <w:lang w:eastAsia="de-DE"/>
        </w:rPr>
        <w:t>(„zu ihnen") gibt die Adressaten der Rede an und bezieht sich auf Mose und Aaron.</w:t>
      </w:r>
    </w:p>
    <w:p w14:paraId="07FFF397" w14:textId="0C5EF141"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direkte Rede beginnt mit </w:t>
      </w:r>
      <w:r w:rsidRPr="00C268A3">
        <w:rPr>
          <w:rFonts w:eastAsia="Times New Roman" w:cs="Times New Roman"/>
          <w:b/>
          <w:bCs/>
          <w:rtl/>
          <w:lang w:eastAsia="de-DE"/>
        </w:rPr>
        <w:t>רַב־לָכֶם</w:t>
      </w:r>
      <w:r w:rsidRPr="00C268A3">
        <w:rPr>
          <w:rFonts w:eastAsia="Times New Roman" w:cs="Times New Roman"/>
          <w:lang w:eastAsia="de-DE"/>
        </w:rPr>
        <w:t xml:space="preserve">, eine elliptische </w:t>
      </w:r>
      <w:r w:rsidR="00F133EC">
        <w:rPr>
          <w:rFonts w:eastAsia="Times New Roman" w:cs="Times New Roman"/>
          <w:lang w:eastAsia="de-DE"/>
        </w:rPr>
        <w:t>Construct</w:t>
      </w:r>
      <w:r w:rsidRPr="00C268A3">
        <w:rPr>
          <w:rFonts w:eastAsia="Times New Roman" w:cs="Times New Roman"/>
          <w:lang w:eastAsia="de-DE"/>
        </w:rPr>
        <w:t xml:space="preserve">ion. </w:t>
      </w:r>
      <w:r w:rsidRPr="00C268A3">
        <w:rPr>
          <w:rFonts w:eastAsia="Times New Roman" w:cs="Times New Roman"/>
          <w:b/>
          <w:bCs/>
          <w:rtl/>
          <w:lang w:eastAsia="de-DE"/>
        </w:rPr>
        <w:t>רַב</w:t>
      </w:r>
      <w:r w:rsidRPr="00C268A3">
        <w:rPr>
          <w:rFonts w:eastAsia="Times New Roman" w:cs="Times New Roman"/>
          <w:rtl/>
          <w:lang w:eastAsia="de-DE"/>
        </w:rPr>
        <w:t xml:space="preserve"> </w:t>
      </w:r>
      <w:r w:rsidRPr="00C268A3">
        <w:rPr>
          <w:rFonts w:eastAsia="Times New Roman" w:cs="Times New Roman"/>
          <w:lang w:eastAsia="de-DE"/>
        </w:rPr>
        <w:t xml:space="preserve">ist das Adjektiv „viel, genug" im status constructus, </w:t>
      </w:r>
      <w:r w:rsidRPr="00C268A3">
        <w:rPr>
          <w:rFonts w:eastAsia="Times New Roman" w:cs="Times New Roman"/>
          <w:b/>
          <w:bCs/>
          <w:rtl/>
          <w:lang w:eastAsia="de-DE"/>
        </w:rPr>
        <w:t>לָכֶם</w:t>
      </w:r>
      <w:r w:rsidRPr="00C268A3">
        <w:rPr>
          <w:rFonts w:eastAsia="Times New Roman" w:cs="Times New Roman"/>
          <w:rtl/>
          <w:lang w:eastAsia="de-DE"/>
        </w:rPr>
        <w:t xml:space="preserve"> </w:t>
      </w:r>
      <w:r w:rsidRPr="00C268A3">
        <w:rPr>
          <w:rFonts w:eastAsia="Times New Roman" w:cs="Times New Roman"/>
          <w:lang w:eastAsia="de-DE"/>
        </w:rPr>
        <w:t xml:space="preserve">die Präposition </w:t>
      </w:r>
      <w:r w:rsidRPr="00C268A3">
        <w:rPr>
          <w:rFonts w:eastAsia="Times New Roman" w:cs="Times New Roman"/>
          <w:b/>
          <w:bCs/>
          <w:rtl/>
          <w:lang w:eastAsia="de-DE"/>
        </w:rPr>
        <w:t>לְ</w:t>
      </w:r>
      <w:r w:rsidRPr="00C268A3">
        <w:rPr>
          <w:rFonts w:eastAsia="Times New Roman" w:cs="Times New Roman"/>
          <w:rtl/>
          <w:lang w:eastAsia="de-DE"/>
        </w:rPr>
        <w:t xml:space="preserve"> </w:t>
      </w:r>
      <w:r w:rsidRPr="00C268A3">
        <w:rPr>
          <w:rFonts w:eastAsia="Times New Roman" w:cs="Times New Roman"/>
          <w:lang w:eastAsia="de-DE"/>
        </w:rPr>
        <w:t>mit dem Pronominalsuffix 2. m. pl. („für euch"). Die Phrase bedeutet idiomatisch „genug für euch!" oder „zu viel für euch!" und ist ein scharfer Vorwurf. Der Maqqef verbindet beide Wörter.</w:t>
      </w:r>
    </w:p>
    <w:p w14:paraId="01309F3B"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kausale Konjunktion </w:t>
      </w:r>
      <w:r w:rsidRPr="00C268A3">
        <w:rPr>
          <w:rFonts w:eastAsia="Times New Roman" w:cs="Times New Roman"/>
          <w:b/>
          <w:bCs/>
          <w:rtl/>
          <w:lang w:eastAsia="de-DE"/>
        </w:rPr>
        <w:t>כִּי</w:t>
      </w:r>
      <w:r w:rsidRPr="00C268A3">
        <w:rPr>
          <w:rFonts w:eastAsia="Times New Roman" w:cs="Times New Roman"/>
          <w:rtl/>
          <w:lang w:eastAsia="de-DE"/>
        </w:rPr>
        <w:t xml:space="preserve"> </w:t>
      </w:r>
      <w:r w:rsidRPr="00C268A3">
        <w:rPr>
          <w:rFonts w:eastAsia="Times New Roman" w:cs="Times New Roman"/>
          <w:lang w:eastAsia="de-DE"/>
        </w:rPr>
        <w:t xml:space="preserve">(„denn, weil") leitet die Begründung ein. </w:t>
      </w:r>
      <w:r w:rsidRPr="00C268A3">
        <w:rPr>
          <w:rFonts w:eastAsia="Times New Roman" w:cs="Times New Roman"/>
          <w:b/>
          <w:bCs/>
          <w:rtl/>
          <w:lang w:eastAsia="de-DE"/>
        </w:rPr>
        <w:t>כָל־הָעֵדָה</w:t>
      </w:r>
      <w:r w:rsidRPr="00C268A3">
        <w:rPr>
          <w:rFonts w:eastAsia="Times New Roman" w:cs="Times New Roman"/>
          <w:rtl/>
          <w:lang w:eastAsia="de-DE"/>
        </w:rPr>
        <w:t xml:space="preserve"> </w:t>
      </w:r>
      <w:r w:rsidRPr="00C268A3">
        <w:rPr>
          <w:rFonts w:eastAsia="Times New Roman" w:cs="Times New Roman"/>
          <w:lang w:eastAsia="de-DE"/>
        </w:rPr>
        <w:t xml:space="preserve">ist die Subjektphrase: </w:t>
      </w:r>
      <w:r w:rsidRPr="00C268A3">
        <w:rPr>
          <w:rFonts w:eastAsia="Times New Roman" w:cs="Times New Roman"/>
          <w:b/>
          <w:bCs/>
          <w:rtl/>
          <w:lang w:eastAsia="de-DE"/>
        </w:rPr>
        <w:t>כָּל</w:t>
      </w:r>
      <w:r w:rsidRPr="00C268A3">
        <w:rPr>
          <w:rFonts w:eastAsia="Times New Roman" w:cs="Times New Roman"/>
          <w:rtl/>
          <w:lang w:eastAsia="de-DE"/>
        </w:rPr>
        <w:t xml:space="preserve"> </w:t>
      </w:r>
      <w:r w:rsidRPr="00C268A3">
        <w:rPr>
          <w:rFonts w:eastAsia="Times New Roman" w:cs="Times New Roman"/>
          <w:lang w:eastAsia="de-DE"/>
        </w:rPr>
        <w:t xml:space="preserve">bedeutet „ganz, alle", im status constructus vor </w:t>
      </w:r>
      <w:r w:rsidRPr="00C268A3">
        <w:rPr>
          <w:rFonts w:eastAsia="Times New Roman" w:cs="Times New Roman"/>
          <w:b/>
          <w:bCs/>
          <w:rtl/>
          <w:lang w:eastAsia="de-DE"/>
        </w:rPr>
        <w:t>הָעֵדָה</w:t>
      </w:r>
      <w:r w:rsidRPr="00C268A3">
        <w:rPr>
          <w:rFonts w:eastAsia="Times New Roman" w:cs="Times New Roman"/>
          <w:rtl/>
          <w:lang w:eastAsia="de-DE"/>
        </w:rPr>
        <w:t xml:space="preserve"> </w:t>
      </w:r>
      <w:r w:rsidRPr="00C268A3">
        <w:rPr>
          <w:rFonts w:eastAsia="Times New Roman" w:cs="Times New Roman"/>
          <w:lang w:eastAsia="de-DE"/>
        </w:rPr>
        <w:t>(„die Gemeinde") mit dem bestimmten Artikel. Die Constructus-Verbindung bedeutet „die ganze Gemeinde".</w:t>
      </w:r>
    </w:p>
    <w:p w14:paraId="415956D3"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Das pronominale Element </w:t>
      </w:r>
      <w:r w:rsidRPr="00C268A3">
        <w:rPr>
          <w:rFonts w:eastAsia="Times New Roman" w:cs="Times New Roman"/>
          <w:b/>
          <w:bCs/>
          <w:rtl/>
          <w:lang w:eastAsia="de-DE"/>
        </w:rPr>
        <w:t>כֻּלָּם</w:t>
      </w:r>
      <w:r w:rsidRPr="00C268A3">
        <w:rPr>
          <w:rFonts w:eastAsia="Times New Roman" w:cs="Times New Roman"/>
          <w:rtl/>
          <w:lang w:eastAsia="de-DE"/>
        </w:rPr>
        <w:t xml:space="preserve"> </w:t>
      </w:r>
      <w:r w:rsidRPr="00C268A3">
        <w:rPr>
          <w:rFonts w:eastAsia="Times New Roman" w:cs="Times New Roman"/>
          <w:lang w:eastAsia="de-DE"/>
        </w:rPr>
        <w:t>(„sie alle") ist ein emphatisches Wiederaufnahmepronomen mit Suffix 3. m. pl., das die vorherige Phrase aufgreift und verstärkt. Diese Doppelung unterstreicht die Totalität der Aussage.</w:t>
      </w:r>
    </w:p>
    <w:p w14:paraId="1B64C5EE"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Das Prädikat </w:t>
      </w:r>
      <w:r w:rsidRPr="00C268A3">
        <w:rPr>
          <w:rFonts w:eastAsia="Times New Roman" w:cs="Times New Roman"/>
          <w:b/>
          <w:bCs/>
          <w:rtl/>
          <w:lang w:eastAsia="de-DE"/>
        </w:rPr>
        <w:t>קְדֹשִׁים</w:t>
      </w:r>
      <w:r w:rsidRPr="00C268A3">
        <w:rPr>
          <w:rFonts w:eastAsia="Times New Roman" w:cs="Times New Roman"/>
          <w:rtl/>
          <w:lang w:eastAsia="de-DE"/>
        </w:rPr>
        <w:t xml:space="preserve"> </w:t>
      </w:r>
      <w:r w:rsidRPr="00C268A3">
        <w:rPr>
          <w:rFonts w:eastAsia="Times New Roman" w:cs="Times New Roman"/>
          <w:lang w:eastAsia="de-DE"/>
        </w:rPr>
        <w:t>ist das Adjektiv „heilig" im Plural maskulinum, das als Prädikatsnomen fungiert. Die Aussage ist nominalsatzartig: „die ganze Gemeinde, sie alle (sind) heilig". Dies ist die zentrale theologische Behauptung der Rebellen.</w:t>
      </w:r>
    </w:p>
    <w:p w14:paraId="040A0246"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koordinierte Aussage </w:t>
      </w:r>
      <w:r w:rsidRPr="00C268A3">
        <w:rPr>
          <w:rFonts w:eastAsia="Times New Roman" w:cs="Times New Roman"/>
          <w:b/>
          <w:bCs/>
          <w:rtl/>
          <w:lang w:eastAsia="de-DE"/>
        </w:rPr>
        <w:t>וּבְתוֹכָם יְהוָה</w:t>
      </w:r>
      <w:r w:rsidRPr="00C268A3">
        <w:rPr>
          <w:rFonts w:eastAsia="Times New Roman" w:cs="Times New Roman"/>
          <w:rtl/>
          <w:lang w:eastAsia="de-DE"/>
        </w:rPr>
        <w:t xml:space="preserve"> </w:t>
      </w:r>
      <w:r w:rsidRPr="00C268A3">
        <w:rPr>
          <w:rFonts w:eastAsia="Times New Roman" w:cs="Times New Roman"/>
          <w:lang w:eastAsia="de-DE"/>
        </w:rPr>
        <w:t xml:space="preserve">verstärkt das Argument. </w:t>
      </w:r>
      <w:r w:rsidRPr="00C268A3">
        <w:rPr>
          <w:rFonts w:eastAsia="Times New Roman" w:cs="Times New Roman"/>
          <w:b/>
          <w:bCs/>
          <w:rtl/>
          <w:lang w:eastAsia="de-DE"/>
        </w:rPr>
        <w:t>וּ</w:t>
      </w:r>
      <w:r w:rsidRPr="00C268A3">
        <w:rPr>
          <w:rFonts w:eastAsia="Times New Roman" w:cs="Times New Roman"/>
          <w:rtl/>
          <w:lang w:eastAsia="de-DE"/>
        </w:rPr>
        <w:t xml:space="preserve"> </w:t>
      </w:r>
      <w:r w:rsidRPr="00C268A3">
        <w:rPr>
          <w:rFonts w:eastAsia="Times New Roman" w:cs="Times New Roman"/>
          <w:lang w:eastAsia="de-DE"/>
        </w:rPr>
        <w:t xml:space="preserve">ist die Konjunktion „und", </w:t>
      </w:r>
      <w:r w:rsidRPr="00C268A3">
        <w:rPr>
          <w:rFonts w:eastAsia="Times New Roman" w:cs="Times New Roman"/>
          <w:b/>
          <w:bCs/>
          <w:rtl/>
          <w:lang w:eastAsia="de-DE"/>
        </w:rPr>
        <w:t>בְּתוֹכָם</w:t>
      </w:r>
      <w:r w:rsidRPr="00C268A3">
        <w:rPr>
          <w:rFonts w:eastAsia="Times New Roman" w:cs="Times New Roman"/>
          <w:rtl/>
          <w:lang w:eastAsia="de-DE"/>
        </w:rPr>
        <w:t xml:space="preserve"> </w:t>
      </w:r>
      <w:r w:rsidRPr="00C268A3">
        <w:rPr>
          <w:rFonts w:eastAsia="Times New Roman" w:cs="Times New Roman"/>
          <w:lang w:eastAsia="de-DE"/>
        </w:rPr>
        <w:t xml:space="preserve">die Präposition </w:t>
      </w:r>
      <w:r w:rsidRPr="00C268A3">
        <w:rPr>
          <w:rFonts w:eastAsia="Times New Roman" w:cs="Times New Roman"/>
          <w:b/>
          <w:bCs/>
          <w:rtl/>
          <w:lang w:eastAsia="de-DE"/>
        </w:rPr>
        <w:t>בְּ</w:t>
      </w:r>
      <w:r w:rsidRPr="00C268A3">
        <w:rPr>
          <w:rFonts w:eastAsia="Times New Roman" w:cs="Times New Roman"/>
          <w:rtl/>
          <w:lang w:eastAsia="de-DE"/>
        </w:rPr>
        <w:t xml:space="preserve"> </w:t>
      </w:r>
      <w:r w:rsidRPr="00C268A3">
        <w:rPr>
          <w:rFonts w:eastAsia="Times New Roman" w:cs="Times New Roman"/>
          <w:lang w:eastAsia="de-DE"/>
        </w:rPr>
        <w:t xml:space="preserve">(„in") mit </w:t>
      </w:r>
      <w:r w:rsidRPr="00C268A3">
        <w:rPr>
          <w:rFonts w:eastAsia="Times New Roman" w:cs="Times New Roman"/>
          <w:b/>
          <w:bCs/>
          <w:rtl/>
          <w:lang w:eastAsia="de-DE"/>
        </w:rPr>
        <w:t>תּוֹךְ</w:t>
      </w:r>
      <w:r w:rsidRPr="00C268A3">
        <w:rPr>
          <w:rFonts w:eastAsia="Times New Roman" w:cs="Times New Roman"/>
          <w:rtl/>
          <w:lang w:eastAsia="de-DE"/>
        </w:rPr>
        <w:t xml:space="preserve"> </w:t>
      </w:r>
      <w:r w:rsidRPr="00C268A3">
        <w:rPr>
          <w:rFonts w:eastAsia="Times New Roman" w:cs="Times New Roman"/>
          <w:lang w:eastAsia="de-DE"/>
        </w:rPr>
        <w:t xml:space="preserve">(„Mitte") und Suffix 3. m. pl. („in ihrer Mitte"). </w:t>
      </w:r>
      <w:r w:rsidRPr="00C268A3">
        <w:rPr>
          <w:rFonts w:eastAsia="Times New Roman" w:cs="Times New Roman"/>
          <w:b/>
          <w:bCs/>
          <w:rtl/>
          <w:lang w:eastAsia="de-DE"/>
        </w:rPr>
        <w:t>יְהוָה</w:t>
      </w:r>
      <w:r w:rsidRPr="00C268A3">
        <w:rPr>
          <w:rFonts w:eastAsia="Times New Roman" w:cs="Times New Roman"/>
          <w:rtl/>
          <w:lang w:eastAsia="de-DE"/>
        </w:rPr>
        <w:t xml:space="preserve"> </w:t>
      </w:r>
      <w:r w:rsidRPr="00C268A3">
        <w:rPr>
          <w:rFonts w:eastAsia="Times New Roman" w:cs="Times New Roman"/>
          <w:lang w:eastAsia="de-DE"/>
        </w:rPr>
        <w:t xml:space="preserve">ist </w:t>
      </w:r>
      <w:r w:rsidRPr="00C268A3">
        <w:rPr>
          <w:rFonts w:eastAsia="Times New Roman" w:cs="Times New Roman"/>
          <w:lang w:eastAsia="de-DE"/>
        </w:rPr>
        <w:lastRenderedPageBreak/>
        <w:t>das Gottesname-Tetragramm als Subjekt. Die Wortstellung (Präpositionalphrase vor Subjekt) ist im Hebräischen möglich und dient hier der Betonung der Lokalisierung Gottes. Die Aussage bedeutet: „und JHWH (ist) in ihrer Mitte".</w:t>
      </w:r>
    </w:p>
    <w:p w14:paraId="0F05DD7F"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 xml:space="preserve">Die rhetorische Frage </w:t>
      </w:r>
      <w:r w:rsidRPr="00C268A3">
        <w:rPr>
          <w:rFonts w:eastAsia="Times New Roman" w:cs="Times New Roman"/>
          <w:b/>
          <w:bCs/>
          <w:rtl/>
          <w:lang w:eastAsia="de-DE"/>
        </w:rPr>
        <w:t>וּמַדּוּעַ תִּתְנַשְּׂאוּ עַל־קְהַל יְהוָה</w:t>
      </w:r>
      <w:r w:rsidRPr="00C268A3">
        <w:rPr>
          <w:rFonts w:eastAsia="Times New Roman" w:cs="Times New Roman"/>
          <w:rtl/>
          <w:lang w:eastAsia="de-DE"/>
        </w:rPr>
        <w:t xml:space="preserve"> </w:t>
      </w:r>
      <w:r w:rsidRPr="00C268A3">
        <w:rPr>
          <w:rFonts w:eastAsia="Times New Roman" w:cs="Times New Roman"/>
          <w:lang w:eastAsia="de-DE"/>
        </w:rPr>
        <w:t xml:space="preserve">schließt die Anklage ab. </w:t>
      </w:r>
      <w:r w:rsidRPr="00C268A3">
        <w:rPr>
          <w:rFonts w:eastAsia="Times New Roman" w:cs="Times New Roman"/>
          <w:b/>
          <w:bCs/>
          <w:rtl/>
          <w:lang w:eastAsia="de-DE"/>
        </w:rPr>
        <w:t>וּמַדּוּעַ</w:t>
      </w:r>
      <w:r w:rsidRPr="00C268A3">
        <w:rPr>
          <w:rFonts w:eastAsia="Times New Roman" w:cs="Times New Roman"/>
          <w:rtl/>
          <w:lang w:eastAsia="de-DE"/>
        </w:rPr>
        <w:t xml:space="preserve"> </w:t>
      </w:r>
      <w:r w:rsidRPr="00C268A3">
        <w:rPr>
          <w:rFonts w:eastAsia="Times New Roman" w:cs="Times New Roman"/>
          <w:lang w:eastAsia="de-DE"/>
        </w:rPr>
        <w:t xml:space="preserve">ist die interrogative Partikel „und warum?", zusammengesetzt aus </w:t>
      </w:r>
      <w:r w:rsidRPr="00C268A3">
        <w:rPr>
          <w:rFonts w:eastAsia="Times New Roman" w:cs="Times New Roman"/>
          <w:b/>
          <w:bCs/>
          <w:rtl/>
          <w:lang w:eastAsia="de-DE"/>
        </w:rPr>
        <w:t>וּ</w:t>
      </w:r>
      <w:r w:rsidRPr="00C268A3">
        <w:rPr>
          <w:rFonts w:eastAsia="Times New Roman" w:cs="Times New Roman"/>
          <w:lang w:eastAsia="de-DE"/>
        </w:rPr>
        <w:t xml:space="preserve">, </w:t>
      </w:r>
      <w:r w:rsidRPr="00C268A3">
        <w:rPr>
          <w:rFonts w:eastAsia="Times New Roman" w:cs="Times New Roman"/>
          <w:b/>
          <w:bCs/>
          <w:rtl/>
          <w:lang w:eastAsia="de-DE"/>
        </w:rPr>
        <w:t>מַה</w:t>
      </w:r>
      <w:r w:rsidRPr="00C268A3">
        <w:rPr>
          <w:rFonts w:eastAsia="Times New Roman" w:cs="Times New Roman"/>
          <w:rtl/>
          <w:lang w:eastAsia="de-DE"/>
        </w:rPr>
        <w:t xml:space="preserve"> </w:t>
      </w:r>
      <w:r w:rsidRPr="00C268A3">
        <w:rPr>
          <w:rFonts w:eastAsia="Times New Roman" w:cs="Times New Roman"/>
          <w:lang w:eastAsia="de-DE"/>
        </w:rPr>
        <w:t xml:space="preserve">(„was") und </w:t>
      </w:r>
      <w:r w:rsidRPr="00C268A3">
        <w:rPr>
          <w:rFonts w:eastAsia="Times New Roman" w:cs="Times New Roman"/>
          <w:b/>
          <w:bCs/>
          <w:rtl/>
          <w:lang w:eastAsia="de-DE"/>
        </w:rPr>
        <w:t>יָדַע</w:t>
      </w:r>
      <w:r w:rsidRPr="00C268A3">
        <w:rPr>
          <w:rFonts w:eastAsia="Times New Roman" w:cs="Times New Roman"/>
          <w:rtl/>
          <w:lang w:eastAsia="de-DE"/>
        </w:rPr>
        <w:t xml:space="preserve"> </w:t>
      </w:r>
      <w:r w:rsidRPr="00C268A3">
        <w:rPr>
          <w:rFonts w:eastAsia="Times New Roman" w:cs="Times New Roman"/>
          <w:lang w:eastAsia="de-DE"/>
        </w:rPr>
        <w:t xml:space="preserve">(„wissen"). </w:t>
      </w:r>
      <w:r w:rsidRPr="00C268A3">
        <w:rPr>
          <w:rFonts w:eastAsia="Times New Roman" w:cs="Times New Roman"/>
          <w:b/>
          <w:bCs/>
          <w:rtl/>
          <w:lang w:eastAsia="de-DE"/>
        </w:rPr>
        <w:t>תִּתְנַשְּׂאוּ</w:t>
      </w:r>
      <w:r w:rsidRPr="00C268A3">
        <w:rPr>
          <w:rFonts w:eastAsia="Times New Roman" w:cs="Times New Roman"/>
          <w:rtl/>
          <w:lang w:eastAsia="de-DE"/>
        </w:rPr>
        <w:t xml:space="preserve"> </w:t>
      </w:r>
      <w:r w:rsidRPr="00C268A3">
        <w:rPr>
          <w:rFonts w:eastAsia="Times New Roman" w:cs="Times New Roman"/>
          <w:lang w:eastAsia="de-DE"/>
        </w:rPr>
        <w:t xml:space="preserve">ist das Hitpael Imperfekt 2. m. pl. von </w:t>
      </w:r>
      <w:r w:rsidRPr="00C268A3">
        <w:rPr>
          <w:rFonts w:eastAsia="Times New Roman" w:cs="Times New Roman"/>
          <w:b/>
          <w:bCs/>
          <w:rtl/>
          <w:lang w:eastAsia="de-DE"/>
        </w:rPr>
        <w:t>נשׂא</w:t>
      </w:r>
      <w:r w:rsidRPr="00C268A3">
        <w:rPr>
          <w:rFonts w:eastAsia="Times New Roman" w:cs="Times New Roman"/>
          <w:rtl/>
          <w:lang w:eastAsia="de-DE"/>
        </w:rPr>
        <w:t xml:space="preserve"> </w:t>
      </w:r>
      <w:r w:rsidRPr="00C268A3">
        <w:rPr>
          <w:rFonts w:eastAsia="Times New Roman" w:cs="Times New Roman"/>
          <w:lang w:eastAsia="de-DE"/>
        </w:rPr>
        <w:t xml:space="preserve">(„sich erheben, sich überheben"). Die Hitpael-Form hat reflexiv-intensive Bedeutung und impliziert hier Selbstüberhebung. Die Präpositionalphrase </w:t>
      </w:r>
      <w:r w:rsidRPr="00C268A3">
        <w:rPr>
          <w:rFonts w:eastAsia="Times New Roman" w:cs="Times New Roman"/>
          <w:b/>
          <w:bCs/>
          <w:rtl/>
          <w:lang w:eastAsia="de-DE"/>
        </w:rPr>
        <w:t>עַל־קְהַל יְהוָה</w:t>
      </w:r>
      <w:r w:rsidRPr="00C268A3">
        <w:rPr>
          <w:rFonts w:eastAsia="Times New Roman" w:cs="Times New Roman"/>
          <w:rtl/>
          <w:lang w:eastAsia="de-DE"/>
        </w:rPr>
        <w:t xml:space="preserve"> </w:t>
      </w:r>
      <w:r w:rsidRPr="00C268A3">
        <w:rPr>
          <w:rFonts w:eastAsia="Times New Roman" w:cs="Times New Roman"/>
          <w:lang w:eastAsia="de-DE"/>
        </w:rPr>
        <w:t xml:space="preserve">zeigt das Objekt der Überhebung an: </w:t>
      </w:r>
      <w:r w:rsidRPr="00C268A3">
        <w:rPr>
          <w:rFonts w:eastAsia="Times New Roman" w:cs="Times New Roman"/>
          <w:b/>
          <w:bCs/>
          <w:rtl/>
          <w:lang w:eastAsia="de-DE"/>
        </w:rPr>
        <w:t>עַל</w:t>
      </w:r>
      <w:r w:rsidRPr="00C268A3">
        <w:rPr>
          <w:rFonts w:eastAsia="Times New Roman" w:cs="Times New Roman"/>
          <w:rtl/>
          <w:lang w:eastAsia="de-DE"/>
        </w:rPr>
        <w:t xml:space="preserve"> </w:t>
      </w:r>
      <w:r w:rsidRPr="00C268A3">
        <w:rPr>
          <w:rFonts w:eastAsia="Times New Roman" w:cs="Times New Roman"/>
          <w:lang w:eastAsia="de-DE"/>
        </w:rPr>
        <w:t xml:space="preserve">bedeutet „über", </w:t>
      </w:r>
      <w:r w:rsidRPr="00C268A3">
        <w:rPr>
          <w:rFonts w:eastAsia="Times New Roman" w:cs="Times New Roman"/>
          <w:b/>
          <w:bCs/>
          <w:rtl/>
          <w:lang w:eastAsia="de-DE"/>
        </w:rPr>
        <w:t>קְהַל</w:t>
      </w:r>
      <w:r w:rsidRPr="00C268A3">
        <w:rPr>
          <w:rFonts w:eastAsia="Times New Roman" w:cs="Times New Roman"/>
          <w:rtl/>
          <w:lang w:eastAsia="de-DE"/>
        </w:rPr>
        <w:t xml:space="preserve"> </w:t>
      </w:r>
      <w:r w:rsidRPr="00C268A3">
        <w:rPr>
          <w:rFonts w:eastAsia="Times New Roman" w:cs="Times New Roman"/>
          <w:lang w:eastAsia="de-DE"/>
        </w:rPr>
        <w:t xml:space="preserve">ist „Versammlung, Gemeinde" im Constructus, </w:t>
      </w:r>
      <w:r w:rsidRPr="00C268A3">
        <w:rPr>
          <w:rFonts w:eastAsia="Times New Roman" w:cs="Times New Roman"/>
          <w:b/>
          <w:bCs/>
          <w:rtl/>
          <w:lang w:eastAsia="de-DE"/>
        </w:rPr>
        <w:t>יְהוָה</w:t>
      </w:r>
      <w:r w:rsidRPr="00C268A3">
        <w:rPr>
          <w:rFonts w:eastAsia="Times New Roman" w:cs="Times New Roman"/>
          <w:rtl/>
          <w:lang w:eastAsia="de-DE"/>
        </w:rPr>
        <w:t xml:space="preserve"> </w:t>
      </w:r>
      <w:r w:rsidRPr="00C268A3">
        <w:rPr>
          <w:rFonts w:eastAsia="Times New Roman" w:cs="Times New Roman"/>
          <w:lang w:eastAsia="de-DE"/>
        </w:rPr>
        <w:t>ist der Gottesname im Genitiv. Die Phrase „die Versammlung JHWHs" betont die göttliche Zugehörigkeit des Volkes.</w:t>
      </w:r>
    </w:p>
    <w:p w14:paraId="6F0F0F1A" w14:textId="77777777" w:rsidR="00C268A3" w:rsidRP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Die Syntax zeigt eine klare Argumentationsstruktur: Auf die elliptische Anklagephrase folgt eine durch die kausale Konjunktion eingeleitete Begründung mit zwei parallelen Aussagen (Heiligkeit der Gemeinde, Präsenz JHWHs), die durch die Konjunktion koordiniert sind. Die abschließende rhetorische Frage zieht die logische Konsequenz aus der Prämisse.</w:t>
      </w:r>
    </w:p>
    <w:p w14:paraId="580B1D71" w14:textId="77777777" w:rsidR="00ED3AE8" w:rsidRDefault="00C268A3" w:rsidP="00ED3AE8">
      <w:pPr>
        <w:spacing w:before="100" w:beforeAutospacing="1" w:after="100" w:afterAutospacing="1" w:line="240" w:lineRule="auto"/>
      </w:pPr>
      <w:r w:rsidRPr="00C268A3">
        <w:rPr>
          <w:rFonts w:eastAsia="Times New Roman" w:cs="Times New Roman"/>
          <w:b/>
          <w:bCs/>
          <w:lang w:eastAsia="de-DE"/>
        </w:rPr>
        <w:t>Die LXX</w:t>
      </w:r>
      <w:r w:rsidRPr="00C268A3">
        <w:rPr>
          <w:rFonts w:eastAsia="Times New Roman" w:cs="Times New Roman"/>
          <w:lang w:eastAsia="de-DE"/>
        </w:rPr>
        <w:t xml:space="preserve"> </w:t>
      </w:r>
      <w:r w:rsidR="00ED3AE8">
        <w:t>übersetzt „</w:t>
      </w:r>
      <w:r w:rsidR="00ED3AE8" w:rsidRPr="00ED3AE8">
        <w:rPr>
          <w:b/>
          <w:bCs/>
          <w:rtl/>
        </w:rPr>
        <w:t>רַב־לָכֶם</w:t>
      </w:r>
      <w:r w:rsidR="00ED3AE8">
        <w:t>" (genug für euch/zu viel von euch) mit „Ἐχέτω ὑμῖν" (es sei genug für euch), und „</w:t>
      </w:r>
      <w:r w:rsidR="00ED3AE8" w:rsidRPr="00ED3AE8">
        <w:rPr>
          <w:b/>
          <w:bCs/>
          <w:rtl/>
        </w:rPr>
        <w:t>תִּתְנַשְּׂאוּ</w:t>
      </w:r>
      <w:r w:rsidR="00ED3AE8">
        <w:t>" (erhebt ihr euch) wird zu „κατανίστασθε" (erhebt ihr euch gegen), was expliziter die Opposition ausdrückt.</w:t>
      </w:r>
    </w:p>
    <w:p w14:paraId="6FABFDFC" w14:textId="3C1DA336" w:rsidR="00C268A3" w:rsidRPr="00C268A3" w:rsidRDefault="00C268A3" w:rsidP="00ED3AE8">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Die Satzstruktur umfasst einen Hauptsatz mit dem Wayyiqtol-Verb als Prädikat und den Präpositionalphrasen als adverbialer Bestimmung. Ein zweiter Hauptsatz leitet die direkte Rede ein. Innerhalb der direkten Rede gibt es drei koordinierte Aussagen: die elliptische Anklage, eine durch die kausale Konjunktion eingeleitete Begründung (Nebensatz) mit zwei parallelen Nominalsätzen (Heiligkeitsaussage und Präsenzaussage), und eine durch die interrogative Partikel eingeleitete rhetorische Frage als dritter Hauptsatz.</w:t>
      </w:r>
    </w:p>
    <w:p w14:paraId="343B96CC" w14:textId="3579E4E7" w:rsidR="00C268A3" w:rsidRDefault="00C268A3" w:rsidP="00C268A3">
      <w:pPr>
        <w:spacing w:before="100" w:beforeAutospacing="1" w:after="100" w:afterAutospacing="1" w:line="240" w:lineRule="auto"/>
        <w:rPr>
          <w:rFonts w:eastAsia="Times New Roman" w:cs="Times New Roman"/>
          <w:lang w:eastAsia="de-DE"/>
        </w:rPr>
      </w:pPr>
      <w:r w:rsidRPr="00C268A3">
        <w:rPr>
          <w:rFonts w:eastAsia="Times New Roman" w:cs="Times New Roman"/>
          <w:lang w:eastAsia="de-DE"/>
        </w:rPr>
        <w:t>Der Vers enthält die theologische Kernaussage der Rebellion: die Behauptung der universellen Heiligkeit Israels und die daraus abgeleitete Infragestellung der besonderen Autorität Moses und Aarons.</w:t>
      </w:r>
    </w:p>
    <w:p w14:paraId="695C525D" w14:textId="77777777" w:rsidR="008A30E0" w:rsidRPr="008A30E0" w:rsidRDefault="008A30E0" w:rsidP="00B00345">
      <w:pPr>
        <w:pStyle w:val="berschrift4"/>
        <w:rPr>
          <w:rFonts w:eastAsia="Times New Roman"/>
          <w:lang w:eastAsia="de-DE"/>
        </w:rPr>
      </w:pPr>
      <w:r w:rsidRPr="008A30E0">
        <w:rPr>
          <w:rFonts w:eastAsia="Times New Roman"/>
          <w:lang w:eastAsia="de-DE"/>
        </w:rPr>
        <w:t>Exkurs: "Alle sind heilig!" – Priesterliches vs. Demokratisches Prinzip</w:t>
      </w:r>
    </w:p>
    <w:p w14:paraId="15D0AB3B"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Die Anklage (Numeri 16,3):</w:t>
      </w:r>
    </w:p>
    <w:p w14:paraId="0145AA10" w14:textId="77777777" w:rsidR="008A30E0" w:rsidRPr="008A30E0" w:rsidRDefault="008A30E0" w:rsidP="008A30E0">
      <w:pPr>
        <w:spacing w:beforeAutospacing="1" w:after="100" w:afterAutospacing="1" w:line="240" w:lineRule="auto"/>
        <w:rPr>
          <w:rFonts w:eastAsia="Times New Roman" w:cs="Times New Roman"/>
          <w:lang w:eastAsia="de-DE"/>
        </w:rPr>
      </w:pPr>
      <w:r w:rsidRPr="008A30E0">
        <w:rPr>
          <w:rFonts w:eastAsia="Times New Roman" w:cs="Times New Roman"/>
          <w:rtl/>
          <w:lang w:eastAsia="de-DE"/>
        </w:rPr>
        <w:t>כִּי כָל־הָעֵדָה כֻּלָּם קְדֹשִׁים וּבְתוֹכָם יְהוָה</w:t>
      </w:r>
      <w:r w:rsidRPr="008A30E0">
        <w:rPr>
          <w:rFonts w:eastAsia="Times New Roman" w:cs="Times New Roman"/>
          <w:lang w:eastAsia="de-DE"/>
        </w:rPr>
        <w:br/>
        <w:t xml:space="preserve">"Denn </w:t>
      </w:r>
      <w:r w:rsidRPr="008A30E0">
        <w:rPr>
          <w:rFonts w:eastAsia="Times New Roman" w:cs="Times New Roman"/>
          <w:b/>
          <w:bCs/>
          <w:lang w:eastAsia="de-DE"/>
        </w:rPr>
        <w:t>die ganze Gemeinde, sie alle sind heilig</w:t>
      </w:r>
      <w:r w:rsidRPr="008A30E0">
        <w:rPr>
          <w:rFonts w:eastAsia="Times New Roman" w:cs="Times New Roman"/>
          <w:lang w:eastAsia="de-DE"/>
        </w:rPr>
        <w:t>, und der Ewige ist in ihrer Mitte."</w:t>
      </w:r>
    </w:p>
    <w:p w14:paraId="6899E10E"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Die Frage:</w:t>
      </w:r>
    </w:p>
    <w:p w14:paraId="725BCD98" w14:textId="0BFE42B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Haben die Rebellen nicht Recht?</w:t>
      </w:r>
      <w:r w:rsidRPr="008A30E0">
        <w:rPr>
          <w:rFonts w:eastAsia="Times New Roman" w:cs="Times New Roman"/>
          <w:lang w:eastAsia="de-DE"/>
        </w:rPr>
        <w:t xml:space="preserve"> Sagt nicht die </w:t>
      </w:r>
      <w:r w:rsidR="00525AC4">
        <w:rPr>
          <w:rFonts w:eastAsia="Times New Roman" w:cs="Times New Roman"/>
          <w:lang w:eastAsia="de-DE"/>
        </w:rPr>
        <w:t>Torah</w:t>
      </w:r>
      <w:r w:rsidRPr="008A30E0">
        <w:rPr>
          <w:rFonts w:eastAsia="Times New Roman" w:cs="Times New Roman"/>
          <w:lang w:eastAsia="de-DE"/>
        </w:rPr>
        <w:t xml:space="preserve"> selbst, dass </w:t>
      </w:r>
      <w:r w:rsidRPr="008A30E0">
        <w:rPr>
          <w:rFonts w:eastAsia="Times New Roman" w:cs="Times New Roman"/>
          <w:b/>
          <w:bCs/>
          <w:lang w:eastAsia="de-DE"/>
        </w:rPr>
        <w:t>ganz Israel heilig</w:t>
      </w:r>
      <w:r w:rsidRPr="008A30E0">
        <w:rPr>
          <w:rFonts w:eastAsia="Times New Roman" w:cs="Times New Roman"/>
          <w:lang w:eastAsia="de-DE"/>
        </w:rPr>
        <w:t xml:space="preserve"> ist?</w:t>
      </w:r>
    </w:p>
    <w:p w14:paraId="46EB4105"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Exodus 19,6:</w:t>
      </w:r>
    </w:p>
    <w:p w14:paraId="4A2A3FF2" w14:textId="77777777" w:rsidR="008A30E0" w:rsidRPr="008A30E0" w:rsidRDefault="008A30E0" w:rsidP="008A30E0">
      <w:pPr>
        <w:spacing w:beforeAutospacing="1" w:after="100" w:afterAutospacing="1" w:line="240" w:lineRule="auto"/>
        <w:rPr>
          <w:rFonts w:eastAsia="Times New Roman" w:cs="Times New Roman"/>
          <w:lang w:eastAsia="de-DE"/>
        </w:rPr>
      </w:pPr>
      <w:r w:rsidRPr="008A30E0">
        <w:rPr>
          <w:rFonts w:eastAsia="Times New Roman" w:cs="Times New Roman"/>
          <w:rtl/>
          <w:lang w:eastAsia="de-DE"/>
        </w:rPr>
        <w:t>וְאַתֶּם תִּהְיוּ־לִי מַמְלֶכֶת כֹּהֲנִים וְגוֹי קָדוֹשׁ</w:t>
      </w:r>
      <w:r w:rsidRPr="008A30E0">
        <w:rPr>
          <w:rFonts w:eastAsia="Times New Roman" w:cs="Times New Roman"/>
          <w:lang w:eastAsia="de-DE"/>
        </w:rPr>
        <w:br/>
        <w:t xml:space="preserve">"Und </w:t>
      </w:r>
      <w:r w:rsidRPr="008A30E0">
        <w:rPr>
          <w:rFonts w:eastAsia="Times New Roman" w:cs="Times New Roman"/>
          <w:b/>
          <w:bCs/>
          <w:lang w:eastAsia="de-DE"/>
        </w:rPr>
        <w:t>ihr sollt mir sein ein Königreich von Priestern und ein heiliges Volk</w:t>
      </w:r>
      <w:r w:rsidRPr="008A30E0">
        <w:rPr>
          <w:rFonts w:eastAsia="Times New Roman" w:cs="Times New Roman"/>
          <w:lang w:eastAsia="de-DE"/>
        </w:rPr>
        <w:t>."</w:t>
      </w:r>
    </w:p>
    <w:p w14:paraId="51E40CAA"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 Wenn alle Priester sind, warum braucht es dann Aaron?</w:t>
      </w:r>
    </w:p>
    <w:p w14:paraId="34C6C939" w14:textId="1A1D7CB0" w:rsidR="008A30E0" w:rsidRDefault="008A30E0" w:rsidP="008A30E0">
      <w:pPr>
        <w:spacing w:before="100" w:beforeAutospacing="1" w:after="100" w:afterAutospacing="1" w:line="240" w:lineRule="auto"/>
        <w:rPr>
          <w:rFonts w:eastAsia="Times New Roman" w:cs="Times New Roman"/>
          <w:b/>
          <w:bCs/>
          <w:lang w:eastAsia="de-DE"/>
        </w:rPr>
      </w:pPr>
      <w:r w:rsidRPr="008A30E0">
        <w:rPr>
          <w:rFonts w:eastAsia="Times New Roman" w:cs="Times New Roman"/>
          <w:b/>
          <w:bCs/>
          <w:lang w:eastAsia="de-DE"/>
        </w:rPr>
        <w:lastRenderedPageBreak/>
        <w:t>Die theologische Spannung:</w:t>
      </w:r>
    </w:p>
    <w:tbl>
      <w:tblPr>
        <w:tblStyle w:val="Tabellenraster"/>
        <w:tblW w:w="4994" w:type="pct"/>
        <w:tblLook w:val="04A0" w:firstRow="1" w:lastRow="0" w:firstColumn="1" w:lastColumn="0" w:noHBand="0" w:noVBand="1"/>
      </w:tblPr>
      <w:tblGrid>
        <w:gridCol w:w="989"/>
        <w:gridCol w:w="3401"/>
        <w:gridCol w:w="4661"/>
      </w:tblGrid>
      <w:tr w:rsidR="008A30E0" w14:paraId="45FBD10C" w14:textId="77777777" w:rsidTr="008A30E0">
        <w:tc>
          <w:tcPr>
            <w:tcW w:w="546" w:type="pct"/>
            <w:vAlign w:val="center"/>
          </w:tcPr>
          <w:p w14:paraId="2F316B44" w14:textId="2F2B90F5" w:rsid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Aspekt</w:t>
            </w:r>
          </w:p>
        </w:tc>
        <w:tc>
          <w:tcPr>
            <w:tcW w:w="1879" w:type="pct"/>
            <w:vAlign w:val="center"/>
          </w:tcPr>
          <w:p w14:paraId="15ECD863" w14:textId="3564D7A1" w:rsid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Ex 19,6: Universelle Heiligkeit</w:t>
            </w:r>
          </w:p>
        </w:tc>
        <w:tc>
          <w:tcPr>
            <w:tcW w:w="2575" w:type="pct"/>
            <w:vAlign w:val="center"/>
          </w:tcPr>
          <w:p w14:paraId="3A3608C9" w14:textId="78B1000B" w:rsid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Num 16: Spezifische Erwählung</w:t>
            </w:r>
          </w:p>
        </w:tc>
      </w:tr>
      <w:tr w:rsidR="008A30E0" w14:paraId="4D5DE373" w14:textId="77777777" w:rsidTr="008A30E0">
        <w:tc>
          <w:tcPr>
            <w:tcW w:w="546" w:type="pct"/>
            <w:vAlign w:val="center"/>
          </w:tcPr>
          <w:p w14:paraId="688FA4E1" w14:textId="24F896D7" w:rsidR="008A30E0" w:rsidRDefault="008A30E0" w:rsidP="008A30E0">
            <w:pPr>
              <w:pStyle w:val="KeinLeerraum"/>
              <w:rPr>
                <w:lang w:eastAsia="de-DE"/>
              </w:rPr>
            </w:pPr>
            <w:r w:rsidRPr="008A30E0">
              <w:rPr>
                <w:lang w:eastAsia="de-DE"/>
              </w:rPr>
              <w:t>Prinzip</w:t>
            </w:r>
          </w:p>
        </w:tc>
        <w:tc>
          <w:tcPr>
            <w:tcW w:w="1879" w:type="pct"/>
            <w:vAlign w:val="center"/>
          </w:tcPr>
          <w:p w14:paraId="69B53EAD" w14:textId="6FBF7CD6" w:rsidR="008A30E0" w:rsidRDefault="008A30E0" w:rsidP="008A30E0">
            <w:pPr>
              <w:pStyle w:val="KeinLeerraum"/>
              <w:rPr>
                <w:lang w:eastAsia="de-DE"/>
              </w:rPr>
            </w:pPr>
            <w:r w:rsidRPr="008A30E0">
              <w:rPr>
                <w:lang w:eastAsia="de-DE"/>
              </w:rPr>
              <w:t>Alle sind heilig (demokratisch)</w:t>
            </w:r>
          </w:p>
        </w:tc>
        <w:tc>
          <w:tcPr>
            <w:tcW w:w="2575" w:type="pct"/>
            <w:vAlign w:val="center"/>
          </w:tcPr>
          <w:p w14:paraId="6932651C" w14:textId="55D39232" w:rsid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Einige</w:t>
            </w:r>
            <w:r w:rsidRPr="008A30E0">
              <w:rPr>
                <w:rFonts w:eastAsia="Times New Roman" w:cs="Times New Roman"/>
                <w:lang w:eastAsia="de-DE"/>
              </w:rPr>
              <w:t xml:space="preserve"> sind für Dienst erwählt (hierarchisch) | | </w:t>
            </w:r>
            <w:r w:rsidRPr="008A30E0">
              <w:rPr>
                <w:rFonts w:eastAsia="Times New Roman" w:cs="Times New Roman"/>
                <w:b/>
                <w:bCs/>
                <w:lang w:eastAsia="de-DE"/>
              </w:rPr>
              <w:t>Status</w:t>
            </w:r>
            <w:r w:rsidRPr="008A30E0">
              <w:rPr>
                <w:rFonts w:eastAsia="Times New Roman" w:cs="Times New Roman"/>
                <w:lang w:eastAsia="de-DE"/>
              </w:rPr>
              <w:t xml:space="preserve"> | </w:t>
            </w:r>
            <w:r w:rsidRPr="008A30E0">
              <w:rPr>
                <w:rFonts w:eastAsia="Times New Roman" w:cs="Times New Roman"/>
                <w:b/>
                <w:bCs/>
                <w:lang w:eastAsia="de-DE"/>
              </w:rPr>
              <w:t>Ganz Israel</w:t>
            </w:r>
            <w:r w:rsidRPr="008A30E0">
              <w:rPr>
                <w:rFonts w:eastAsia="Times New Roman" w:cs="Times New Roman"/>
                <w:lang w:eastAsia="de-DE"/>
              </w:rPr>
              <w:t xml:space="preserve"> = Priestervolk | </w:t>
            </w:r>
            <w:r w:rsidRPr="008A30E0">
              <w:rPr>
                <w:rFonts w:eastAsia="Times New Roman" w:cs="Times New Roman"/>
                <w:b/>
                <w:bCs/>
                <w:lang w:eastAsia="de-DE"/>
              </w:rPr>
              <w:t>Aaron + Söhne</w:t>
            </w:r>
            <w:r w:rsidRPr="008A30E0">
              <w:rPr>
                <w:rFonts w:eastAsia="Times New Roman" w:cs="Times New Roman"/>
                <w:lang w:eastAsia="de-DE"/>
              </w:rPr>
              <w:t xml:space="preserve"> = Priester | | </w:t>
            </w:r>
            <w:r w:rsidRPr="008A30E0">
              <w:rPr>
                <w:rFonts w:eastAsia="Times New Roman" w:cs="Times New Roman"/>
                <w:b/>
                <w:bCs/>
                <w:lang w:eastAsia="de-DE"/>
              </w:rPr>
              <w:t>Zugang</w:t>
            </w:r>
            <w:r w:rsidRPr="008A30E0">
              <w:rPr>
                <w:rFonts w:eastAsia="Times New Roman" w:cs="Times New Roman"/>
                <w:lang w:eastAsia="de-DE"/>
              </w:rPr>
              <w:t xml:space="preserve"> | Alle hören Gottes Stimme (Ex 19,9) | Nur Priester dürfen ins Heiligtum | | </w:t>
            </w:r>
            <w:r w:rsidRPr="008A30E0">
              <w:rPr>
                <w:rFonts w:eastAsia="Times New Roman" w:cs="Times New Roman"/>
                <w:b/>
                <w:bCs/>
                <w:lang w:eastAsia="de-DE"/>
              </w:rPr>
              <w:t>Begründung</w:t>
            </w:r>
            <w:r w:rsidRPr="008A30E0">
              <w:rPr>
                <w:rFonts w:eastAsia="Times New Roman" w:cs="Times New Roman"/>
                <w:lang w:eastAsia="de-DE"/>
              </w:rPr>
              <w:t xml:space="preserve"> | </w:t>
            </w:r>
            <w:r w:rsidRPr="008A30E0">
              <w:rPr>
                <w:rFonts w:eastAsia="Times New Roman" w:cs="Times New Roman"/>
                <w:b/>
                <w:bCs/>
                <w:lang w:eastAsia="de-DE"/>
              </w:rPr>
              <w:t>Bundesvolk</w:t>
            </w:r>
            <w:r w:rsidRPr="008A30E0">
              <w:rPr>
                <w:rFonts w:eastAsia="Times New Roman" w:cs="Times New Roman"/>
                <w:lang w:eastAsia="de-DE"/>
              </w:rPr>
              <w:t xml:space="preserve"> (Beziehung zu Gott) | </w:t>
            </w:r>
            <w:r w:rsidRPr="008A30E0">
              <w:rPr>
                <w:rFonts w:eastAsia="Times New Roman" w:cs="Times New Roman"/>
                <w:b/>
                <w:bCs/>
                <w:lang w:eastAsia="de-DE"/>
              </w:rPr>
              <w:t>Funktionale Erwählung</w:t>
            </w:r>
            <w:r w:rsidRPr="008A30E0">
              <w:rPr>
                <w:rFonts w:eastAsia="Times New Roman" w:cs="Times New Roman"/>
                <w:lang w:eastAsia="de-DE"/>
              </w:rPr>
              <w:t xml:space="preserve"> (Dienst) |</w:t>
            </w:r>
          </w:p>
        </w:tc>
      </w:tr>
    </w:tbl>
    <w:p w14:paraId="225B14FA" w14:textId="74C126C4" w:rsidR="008A30E0" w:rsidRPr="008A30E0" w:rsidRDefault="008A30E0" w:rsidP="008A30E0">
      <w:pPr>
        <w:pStyle w:val="KeinLeerraum"/>
        <w:rPr>
          <w:lang w:eastAsia="de-DE"/>
        </w:rPr>
      </w:pPr>
    </w:p>
    <w:p w14:paraId="1B4073B2"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Moses Antwort:</w:t>
      </w:r>
    </w:p>
    <w:p w14:paraId="12A321F9"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1. Heiligkeit ≠ priesterliche Funktion</w:t>
      </w:r>
      <w:r w:rsidRPr="008A30E0">
        <w:rPr>
          <w:rFonts w:eastAsia="Times New Roman" w:cs="Times New Roman"/>
          <w:lang w:eastAsia="de-DE"/>
        </w:rPr>
        <w:t xml:space="preserve"> (V. 7-10)</w:t>
      </w:r>
    </w:p>
    <w:p w14:paraId="175B0AAD" w14:textId="77777777" w:rsidR="008A30E0" w:rsidRPr="008A30E0" w:rsidRDefault="008A30E0" w:rsidP="008A30E0">
      <w:pPr>
        <w:numPr>
          <w:ilvl w:val="0"/>
          <w:numId w:val="143"/>
        </w:num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Alle sind heilig</w:t>
      </w:r>
      <w:r w:rsidRPr="008A30E0">
        <w:rPr>
          <w:rFonts w:eastAsia="Times New Roman" w:cs="Times New Roman"/>
          <w:lang w:eastAsia="de-DE"/>
        </w:rPr>
        <w:t xml:space="preserve">, aber nicht alle sind </w:t>
      </w:r>
      <w:r w:rsidRPr="008A30E0">
        <w:rPr>
          <w:rFonts w:eastAsia="Times New Roman" w:cs="Times New Roman"/>
          <w:b/>
          <w:bCs/>
          <w:lang w:eastAsia="de-DE"/>
        </w:rPr>
        <w:t>zum Priesterdienst berufen</w:t>
      </w:r>
    </w:p>
    <w:p w14:paraId="1AB551B0" w14:textId="77777777" w:rsidR="008A30E0" w:rsidRPr="008A30E0" w:rsidRDefault="008A30E0" w:rsidP="008A30E0">
      <w:pPr>
        <w:numPr>
          <w:ilvl w:val="0"/>
          <w:numId w:val="143"/>
        </w:numPr>
        <w:spacing w:before="100" w:beforeAutospacing="1" w:after="100" w:afterAutospacing="1" w:line="240" w:lineRule="auto"/>
        <w:rPr>
          <w:rFonts w:eastAsia="Times New Roman" w:cs="Times New Roman"/>
          <w:lang w:eastAsia="de-DE"/>
        </w:rPr>
      </w:pPr>
      <w:r w:rsidRPr="008A30E0">
        <w:rPr>
          <w:rFonts w:eastAsia="Times New Roman" w:cs="Times New Roman"/>
          <w:lang w:eastAsia="de-DE"/>
        </w:rPr>
        <w:t xml:space="preserve">Die Leviten haben bereits eine </w:t>
      </w:r>
      <w:r w:rsidRPr="008A30E0">
        <w:rPr>
          <w:rFonts w:eastAsia="Times New Roman" w:cs="Times New Roman"/>
          <w:b/>
          <w:bCs/>
          <w:lang w:eastAsia="de-DE"/>
        </w:rPr>
        <w:t>besondere Stellung</w:t>
      </w:r>
      <w:r w:rsidRPr="008A30E0">
        <w:rPr>
          <w:rFonts w:eastAsia="Times New Roman" w:cs="Times New Roman"/>
          <w:lang w:eastAsia="de-DE"/>
        </w:rPr>
        <w:t xml:space="preserve"> (Heiligtumsdienst)</w:t>
      </w:r>
    </w:p>
    <w:p w14:paraId="390B8150" w14:textId="77777777" w:rsidR="008A30E0" w:rsidRPr="008A30E0" w:rsidRDefault="008A30E0" w:rsidP="008A30E0">
      <w:pPr>
        <w:numPr>
          <w:ilvl w:val="0"/>
          <w:numId w:val="143"/>
        </w:numPr>
        <w:spacing w:before="100" w:beforeAutospacing="1" w:after="100" w:afterAutospacing="1" w:line="240" w:lineRule="auto"/>
        <w:rPr>
          <w:rFonts w:eastAsia="Times New Roman" w:cs="Times New Roman"/>
          <w:lang w:eastAsia="de-DE"/>
        </w:rPr>
      </w:pPr>
      <w:r w:rsidRPr="008A30E0">
        <w:rPr>
          <w:rFonts w:eastAsia="Times New Roman" w:cs="Times New Roman"/>
          <w:lang w:eastAsia="de-DE"/>
        </w:rPr>
        <w:t xml:space="preserve">Sie begehren nun </w:t>
      </w:r>
      <w:r w:rsidRPr="008A30E0">
        <w:rPr>
          <w:rFonts w:eastAsia="Times New Roman" w:cs="Times New Roman"/>
          <w:b/>
          <w:bCs/>
          <w:lang w:eastAsia="de-DE"/>
        </w:rPr>
        <w:t>auch noch das Priestertum</w:t>
      </w:r>
      <w:r w:rsidRPr="008A30E0">
        <w:rPr>
          <w:rFonts w:eastAsia="Times New Roman" w:cs="Times New Roman"/>
          <w:lang w:eastAsia="de-DE"/>
        </w:rPr>
        <w:t xml:space="preserve"> (</w:t>
      </w:r>
      <w:r w:rsidRPr="008A30E0">
        <w:rPr>
          <w:rFonts w:eastAsia="Times New Roman" w:cs="Times New Roman"/>
          <w:rtl/>
          <w:lang w:eastAsia="de-DE"/>
        </w:rPr>
        <w:t>גַּם־כְּהֻנָּה</w:t>
      </w:r>
      <w:r w:rsidRPr="008A30E0">
        <w:rPr>
          <w:rFonts w:eastAsia="Times New Roman" w:cs="Times New Roman"/>
          <w:lang w:eastAsia="de-DE"/>
        </w:rPr>
        <w:t>)</w:t>
      </w:r>
    </w:p>
    <w:p w14:paraId="096CB2A2"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2. Gott erwählt souverän</w:t>
      </w:r>
      <w:r w:rsidRPr="008A30E0">
        <w:rPr>
          <w:rFonts w:eastAsia="Times New Roman" w:cs="Times New Roman"/>
          <w:lang w:eastAsia="de-DE"/>
        </w:rPr>
        <w:t xml:space="preserve"> (V. 5)</w:t>
      </w:r>
    </w:p>
    <w:p w14:paraId="2A0D98CA" w14:textId="77777777" w:rsidR="008A30E0" w:rsidRPr="008A30E0" w:rsidRDefault="008A30E0" w:rsidP="008A30E0">
      <w:pPr>
        <w:numPr>
          <w:ilvl w:val="0"/>
          <w:numId w:val="144"/>
        </w:numPr>
        <w:spacing w:before="100" w:beforeAutospacing="1" w:after="100" w:afterAutospacing="1" w:line="240" w:lineRule="auto"/>
        <w:rPr>
          <w:rFonts w:eastAsia="Times New Roman" w:cs="Times New Roman"/>
          <w:lang w:eastAsia="de-DE"/>
        </w:rPr>
      </w:pPr>
      <w:r w:rsidRPr="008A30E0">
        <w:rPr>
          <w:rFonts w:eastAsia="Times New Roman" w:cs="Times New Roman"/>
          <w:b/>
          <w:bCs/>
          <w:rtl/>
          <w:lang w:eastAsia="de-DE"/>
        </w:rPr>
        <w:t>בֹּקֶר וְיֹדַע יְהוָה</w:t>
      </w:r>
      <w:r w:rsidRPr="008A30E0">
        <w:rPr>
          <w:rFonts w:eastAsia="Times New Roman" w:cs="Times New Roman"/>
          <w:rtl/>
          <w:lang w:eastAsia="de-DE"/>
        </w:rPr>
        <w:t xml:space="preserve"> </w:t>
      </w:r>
      <w:r w:rsidRPr="008A30E0">
        <w:rPr>
          <w:rFonts w:eastAsia="Times New Roman" w:cs="Times New Roman"/>
          <w:lang w:eastAsia="de-DE"/>
        </w:rPr>
        <w:t>(Morgen wird der Ewige zeigen)</w:t>
      </w:r>
    </w:p>
    <w:p w14:paraId="66AB501A" w14:textId="77777777" w:rsidR="008A30E0" w:rsidRPr="008A30E0" w:rsidRDefault="008A30E0" w:rsidP="008A30E0">
      <w:pPr>
        <w:numPr>
          <w:ilvl w:val="0"/>
          <w:numId w:val="144"/>
        </w:num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Nicht das Volk</w:t>
      </w:r>
      <w:r w:rsidRPr="008A30E0">
        <w:rPr>
          <w:rFonts w:eastAsia="Times New Roman" w:cs="Times New Roman"/>
          <w:lang w:eastAsia="de-DE"/>
        </w:rPr>
        <w:t xml:space="preserve"> bestimmt, wer Priester ist, sondern </w:t>
      </w:r>
      <w:r w:rsidRPr="008A30E0">
        <w:rPr>
          <w:rFonts w:eastAsia="Times New Roman" w:cs="Times New Roman"/>
          <w:b/>
          <w:bCs/>
          <w:lang w:eastAsia="de-DE"/>
        </w:rPr>
        <w:t>Gott</w:t>
      </w:r>
    </w:p>
    <w:p w14:paraId="552CE3AA" w14:textId="77777777" w:rsidR="008A30E0" w:rsidRPr="008A30E0" w:rsidRDefault="008A30E0" w:rsidP="008A30E0">
      <w:pPr>
        <w:numPr>
          <w:ilvl w:val="0"/>
          <w:numId w:val="144"/>
        </w:numPr>
        <w:spacing w:before="100" w:beforeAutospacing="1" w:after="100" w:afterAutospacing="1" w:line="240" w:lineRule="auto"/>
        <w:rPr>
          <w:rFonts w:eastAsia="Times New Roman" w:cs="Times New Roman"/>
          <w:lang w:eastAsia="de-DE"/>
        </w:rPr>
      </w:pPr>
      <w:r w:rsidRPr="008A30E0">
        <w:rPr>
          <w:rFonts w:eastAsia="Times New Roman" w:cs="Times New Roman"/>
          <w:lang w:eastAsia="de-DE"/>
        </w:rPr>
        <w:t>Heiligkeit des Volkes ≠ Aufhebung göttlicher Erwählung</w:t>
      </w:r>
    </w:p>
    <w:p w14:paraId="3626D204"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3. Rebellion gegen Führer = Rebellion gegen Gott</w:t>
      </w:r>
      <w:r w:rsidRPr="008A30E0">
        <w:rPr>
          <w:rFonts w:eastAsia="Times New Roman" w:cs="Times New Roman"/>
          <w:lang w:eastAsia="de-DE"/>
        </w:rPr>
        <w:t xml:space="preserve"> (V. 11)</w:t>
      </w:r>
    </w:p>
    <w:p w14:paraId="0A53B474" w14:textId="77777777" w:rsidR="008A30E0" w:rsidRPr="008A30E0" w:rsidRDefault="008A30E0" w:rsidP="008A30E0">
      <w:pPr>
        <w:numPr>
          <w:ilvl w:val="0"/>
          <w:numId w:val="145"/>
        </w:numPr>
        <w:spacing w:before="100" w:beforeAutospacing="1" w:after="100" w:afterAutospacing="1" w:line="240" w:lineRule="auto"/>
        <w:rPr>
          <w:rFonts w:eastAsia="Times New Roman" w:cs="Times New Roman"/>
          <w:lang w:eastAsia="de-DE"/>
        </w:rPr>
      </w:pPr>
      <w:r w:rsidRPr="008A30E0">
        <w:rPr>
          <w:rFonts w:eastAsia="Times New Roman" w:cs="Times New Roman"/>
          <w:b/>
          <w:bCs/>
          <w:rtl/>
          <w:lang w:eastAsia="de-DE"/>
        </w:rPr>
        <w:t>לָכֵן אַתָּה וְכָל־עֲדָתְךָ הַנֹּעָדִים עַל־יְהוָה</w:t>
      </w:r>
      <w:r w:rsidRPr="008A30E0">
        <w:rPr>
          <w:rFonts w:eastAsia="Times New Roman" w:cs="Times New Roman"/>
          <w:lang w:eastAsia="de-DE"/>
        </w:rPr>
        <w:br/>
        <w:t xml:space="preserve">"Darum rottet ihr euch zusammen </w:t>
      </w:r>
      <w:r w:rsidRPr="008A30E0">
        <w:rPr>
          <w:rFonts w:eastAsia="Times New Roman" w:cs="Times New Roman"/>
          <w:b/>
          <w:bCs/>
          <w:lang w:eastAsia="de-DE"/>
        </w:rPr>
        <w:t>gegen den Ewigen</w:t>
      </w:r>
      <w:r w:rsidRPr="008A30E0">
        <w:rPr>
          <w:rFonts w:eastAsia="Times New Roman" w:cs="Times New Roman"/>
          <w:lang w:eastAsia="de-DE"/>
        </w:rPr>
        <w:t>"</w:t>
      </w:r>
    </w:p>
    <w:p w14:paraId="483E872E" w14:textId="77777777" w:rsidR="008A30E0" w:rsidRPr="008A30E0" w:rsidRDefault="008A30E0" w:rsidP="008A30E0">
      <w:pPr>
        <w:numPr>
          <w:ilvl w:val="0"/>
          <w:numId w:val="145"/>
        </w:numPr>
        <w:spacing w:before="100" w:beforeAutospacing="1" w:after="100" w:afterAutospacing="1" w:line="240" w:lineRule="auto"/>
        <w:rPr>
          <w:rFonts w:eastAsia="Times New Roman" w:cs="Times New Roman"/>
          <w:lang w:eastAsia="de-DE"/>
        </w:rPr>
      </w:pPr>
      <w:r w:rsidRPr="008A30E0">
        <w:rPr>
          <w:rFonts w:eastAsia="Times New Roman" w:cs="Times New Roman"/>
          <w:lang w:eastAsia="de-DE"/>
        </w:rPr>
        <w:t xml:space="preserve">Aaron ist </w:t>
      </w:r>
      <w:r w:rsidRPr="008A30E0">
        <w:rPr>
          <w:rFonts w:eastAsia="Times New Roman" w:cs="Times New Roman"/>
          <w:b/>
          <w:bCs/>
          <w:lang w:eastAsia="de-DE"/>
        </w:rPr>
        <w:t>nicht selbst ernannt</w:t>
      </w:r>
      <w:r w:rsidRPr="008A30E0">
        <w:rPr>
          <w:rFonts w:eastAsia="Times New Roman" w:cs="Times New Roman"/>
          <w:lang w:eastAsia="de-DE"/>
        </w:rPr>
        <w:t>, sondern von Gott eingesetzt</w:t>
      </w:r>
    </w:p>
    <w:p w14:paraId="21D4BCAA"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Theologische Lösung:</w:t>
      </w:r>
    </w:p>
    <w:p w14:paraId="79568E23" w14:textId="15306D4F" w:rsidR="008A30E0" w:rsidRDefault="008A30E0" w:rsidP="008A30E0">
      <w:pPr>
        <w:spacing w:before="100" w:beforeAutospacing="1" w:after="100" w:afterAutospacing="1" w:line="240" w:lineRule="auto"/>
        <w:rPr>
          <w:rFonts w:eastAsia="Times New Roman" w:cs="Times New Roman"/>
          <w:b/>
          <w:bCs/>
          <w:lang w:eastAsia="de-DE"/>
        </w:rPr>
      </w:pPr>
      <w:r w:rsidRPr="008A30E0">
        <w:rPr>
          <w:rFonts w:eastAsia="Times New Roman" w:cs="Times New Roman"/>
          <w:b/>
          <w:bCs/>
          <w:lang w:eastAsia="de-DE"/>
        </w:rPr>
        <w:t>Zwei Arten von Heiligkeit:</w:t>
      </w:r>
    </w:p>
    <w:tbl>
      <w:tblPr>
        <w:tblStyle w:val="Tabellenraster"/>
        <w:tblW w:w="4994" w:type="pct"/>
        <w:tblLook w:val="04A0" w:firstRow="1" w:lastRow="0" w:firstColumn="1" w:lastColumn="0" w:noHBand="0" w:noVBand="1"/>
      </w:tblPr>
      <w:tblGrid>
        <w:gridCol w:w="2689"/>
        <w:gridCol w:w="3118"/>
        <w:gridCol w:w="3244"/>
      </w:tblGrid>
      <w:tr w:rsidR="00DD1DF2" w14:paraId="3E258886" w14:textId="77777777" w:rsidTr="00DD1DF2">
        <w:tc>
          <w:tcPr>
            <w:tcW w:w="1485" w:type="pct"/>
            <w:vAlign w:val="center"/>
          </w:tcPr>
          <w:p w14:paraId="7F356935" w14:textId="6CED7311" w:rsidR="00DD1DF2" w:rsidRDefault="00DD1DF2" w:rsidP="00DD1DF2">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Heiligkeit</w:t>
            </w:r>
          </w:p>
        </w:tc>
        <w:tc>
          <w:tcPr>
            <w:tcW w:w="1722" w:type="pct"/>
            <w:vAlign w:val="center"/>
          </w:tcPr>
          <w:p w14:paraId="3F120EE4" w14:textId="6C64534D" w:rsidR="00DD1DF2" w:rsidRDefault="00DD1DF2" w:rsidP="00DD1DF2">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Bedeutung</w:t>
            </w:r>
          </w:p>
        </w:tc>
        <w:tc>
          <w:tcPr>
            <w:tcW w:w="1792" w:type="pct"/>
            <w:vAlign w:val="center"/>
          </w:tcPr>
          <w:p w14:paraId="32D20563" w14:textId="5FDCA230" w:rsidR="00DD1DF2" w:rsidRDefault="00DD1DF2" w:rsidP="00DD1DF2">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Wer?</w:t>
            </w:r>
          </w:p>
        </w:tc>
      </w:tr>
      <w:tr w:rsidR="00DD1DF2" w14:paraId="6F3BFFE2" w14:textId="77777777" w:rsidTr="00DD1DF2">
        <w:tc>
          <w:tcPr>
            <w:tcW w:w="1485" w:type="pct"/>
            <w:vAlign w:val="center"/>
          </w:tcPr>
          <w:p w14:paraId="40F34330" w14:textId="3783A3FA" w:rsidR="00DD1DF2" w:rsidRDefault="00DD1DF2" w:rsidP="00DD1DF2">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Ontologische Heiligkeit</w:t>
            </w:r>
          </w:p>
        </w:tc>
        <w:tc>
          <w:tcPr>
            <w:tcW w:w="1722" w:type="pct"/>
            <w:vAlign w:val="center"/>
          </w:tcPr>
          <w:p w14:paraId="4F655F5B" w14:textId="50367A3F" w:rsidR="00DD1DF2" w:rsidRDefault="00DD1DF2" w:rsidP="00DD1DF2">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Sein</w:t>
            </w:r>
            <w:r w:rsidRPr="008A30E0">
              <w:rPr>
                <w:rFonts w:eastAsia="Times New Roman" w:cs="Times New Roman"/>
                <w:lang w:eastAsia="de-DE"/>
              </w:rPr>
              <w:t xml:space="preserve"> (Status als Bundesvolk)</w:t>
            </w:r>
          </w:p>
        </w:tc>
        <w:tc>
          <w:tcPr>
            <w:tcW w:w="1792" w:type="pct"/>
            <w:vAlign w:val="center"/>
          </w:tcPr>
          <w:p w14:paraId="7F07F481" w14:textId="54FCA737" w:rsidR="00DD1DF2" w:rsidRDefault="00DD1DF2" w:rsidP="00DD1DF2">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Ganz Israel</w:t>
            </w:r>
            <w:r w:rsidRPr="008A30E0">
              <w:rPr>
                <w:rFonts w:eastAsia="Times New Roman" w:cs="Times New Roman"/>
                <w:lang w:eastAsia="de-DE"/>
              </w:rPr>
              <w:t xml:space="preserve"> (Ex 19,6)</w:t>
            </w:r>
          </w:p>
        </w:tc>
      </w:tr>
      <w:tr w:rsidR="00DD1DF2" w14:paraId="242EF553" w14:textId="77777777" w:rsidTr="00DD1DF2">
        <w:tc>
          <w:tcPr>
            <w:tcW w:w="1485" w:type="pct"/>
            <w:vAlign w:val="center"/>
          </w:tcPr>
          <w:p w14:paraId="6BD4673A" w14:textId="2185B24C" w:rsidR="00DD1DF2" w:rsidRDefault="00DD1DF2" w:rsidP="00DD1DF2">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Funktionale Heiligkeit</w:t>
            </w:r>
          </w:p>
        </w:tc>
        <w:tc>
          <w:tcPr>
            <w:tcW w:w="1722" w:type="pct"/>
            <w:vAlign w:val="center"/>
          </w:tcPr>
          <w:p w14:paraId="4E890C16" w14:textId="2115E281" w:rsidR="00DD1DF2" w:rsidRDefault="00DD1DF2" w:rsidP="00DD1DF2">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Tun</w:t>
            </w:r>
            <w:r w:rsidRPr="008A30E0">
              <w:rPr>
                <w:rFonts w:eastAsia="Times New Roman" w:cs="Times New Roman"/>
                <w:lang w:eastAsia="de-DE"/>
              </w:rPr>
              <w:t xml:space="preserve"> (Dienst am Heiligtum)</w:t>
            </w:r>
          </w:p>
        </w:tc>
        <w:tc>
          <w:tcPr>
            <w:tcW w:w="1792" w:type="pct"/>
            <w:vAlign w:val="center"/>
          </w:tcPr>
          <w:p w14:paraId="7AA1971C" w14:textId="5F9F40FC" w:rsidR="00DD1DF2" w:rsidRDefault="00DD1DF2" w:rsidP="00DD1DF2">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Priester + Leviten</w:t>
            </w:r>
            <w:r w:rsidRPr="008A30E0">
              <w:rPr>
                <w:rFonts w:eastAsia="Times New Roman" w:cs="Times New Roman"/>
                <w:lang w:eastAsia="de-DE"/>
              </w:rPr>
              <w:t xml:space="preserve"> (Num 3-4)</w:t>
            </w:r>
          </w:p>
        </w:tc>
      </w:tr>
    </w:tbl>
    <w:p w14:paraId="7DDE2F3C" w14:textId="77777777" w:rsidR="00DD1DF2" w:rsidRPr="008A30E0" w:rsidRDefault="00DD1DF2" w:rsidP="00DD1DF2">
      <w:pPr>
        <w:pStyle w:val="KeinLeerraum"/>
        <w:rPr>
          <w:lang w:eastAsia="de-DE"/>
        </w:rPr>
      </w:pPr>
    </w:p>
    <w:p w14:paraId="01EA134D"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 Alle Israeliten sind heilig (abgesondert für Gott), aber nicht alle sind Priester (zum Heiligtumsdienst berufen).</w:t>
      </w:r>
    </w:p>
    <w:p w14:paraId="0BF323DA"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NT-Parallele:</w:t>
      </w:r>
    </w:p>
    <w:p w14:paraId="09B3227D"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1. Petrus 2,9:</w:t>
      </w:r>
    </w:p>
    <w:p w14:paraId="383EDA09" w14:textId="77777777" w:rsidR="008A30E0" w:rsidRPr="008A30E0" w:rsidRDefault="008A30E0" w:rsidP="008A30E0">
      <w:pPr>
        <w:spacing w:beforeAutospacing="1" w:after="100" w:afterAutospacing="1" w:line="240" w:lineRule="auto"/>
        <w:rPr>
          <w:rFonts w:eastAsia="Times New Roman" w:cs="Times New Roman"/>
          <w:lang w:eastAsia="de-DE"/>
        </w:rPr>
      </w:pPr>
      <w:r w:rsidRPr="008A30E0">
        <w:rPr>
          <w:rFonts w:eastAsia="Times New Roman" w:cs="Times New Roman"/>
          <w:lang w:eastAsia="de-DE"/>
        </w:rPr>
        <w:lastRenderedPageBreak/>
        <w:t xml:space="preserve">ὑμεῖς δὲ γένος ἐκλεκτόν, </w:t>
      </w:r>
      <w:r w:rsidRPr="008A30E0">
        <w:rPr>
          <w:rFonts w:eastAsia="Times New Roman" w:cs="Times New Roman"/>
          <w:b/>
          <w:bCs/>
          <w:lang w:eastAsia="de-DE"/>
        </w:rPr>
        <w:t>βασίλειον ἱεράτευμα</w:t>
      </w:r>
      <w:r w:rsidRPr="008A30E0">
        <w:rPr>
          <w:rFonts w:eastAsia="Times New Roman" w:cs="Times New Roman"/>
          <w:lang w:eastAsia="de-DE"/>
        </w:rPr>
        <w:t>, ἔθνος ἅγιον</w:t>
      </w:r>
      <w:r w:rsidRPr="008A30E0">
        <w:rPr>
          <w:rFonts w:eastAsia="Times New Roman" w:cs="Times New Roman"/>
          <w:lang w:eastAsia="de-DE"/>
        </w:rPr>
        <w:br/>
        <w:t xml:space="preserve">"Ihr aber seid ein auserwähltes Geschlecht, </w:t>
      </w:r>
      <w:r w:rsidRPr="008A30E0">
        <w:rPr>
          <w:rFonts w:eastAsia="Times New Roman" w:cs="Times New Roman"/>
          <w:b/>
          <w:bCs/>
          <w:lang w:eastAsia="de-DE"/>
        </w:rPr>
        <w:t>ein königliches Priestertum</w:t>
      </w:r>
      <w:r w:rsidRPr="008A30E0">
        <w:rPr>
          <w:rFonts w:eastAsia="Times New Roman" w:cs="Times New Roman"/>
          <w:lang w:eastAsia="de-DE"/>
        </w:rPr>
        <w:t>, ein heiliges Volk"</w:t>
      </w:r>
    </w:p>
    <w:p w14:paraId="5E3F6489"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 Alle Christen sind Priester (universelles Priestertum), aber nicht alle sind Pastoren/Älteste (Eph 4,11)!</w:t>
      </w:r>
    </w:p>
    <w:p w14:paraId="4100C9D7" w14:textId="77777777" w:rsidR="008A30E0" w:rsidRPr="008A30E0"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b/>
          <w:bCs/>
          <w:lang w:eastAsia="de-DE"/>
        </w:rPr>
        <w:t>Fazit:</w:t>
      </w:r>
    </w:p>
    <w:p w14:paraId="204F4A09" w14:textId="5A047296" w:rsidR="008A30E0" w:rsidRPr="00C268A3" w:rsidRDefault="008A30E0" w:rsidP="008A30E0">
      <w:pPr>
        <w:spacing w:before="100" w:beforeAutospacing="1" w:after="100" w:afterAutospacing="1" w:line="240" w:lineRule="auto"/>
        <w:rPr>
          <w:rFonts w:eastAsia="Times New Roman" w:cs="Times New Roman"/>
          <w:lang w:eastAsia="de-DE"/>
        </w:rPr>
      </w:pPr>
      <w:r w:rsidRPr="008A30E0">
        <w:rPr>
          <w:rFonts w:eastAsia="Times New Roman" w:cs="Times New Roman"/>
          <w:lang w:eastAsia="de-DE"/>
        </w:rPr>
        <w:t xml:space="preserve">Korachs Rebellion missbraucht eine </w:t>
      </w:r>
      <w:r w:rsidRPr="008A30E0">
        <w:rPr>
          <w:rFonts w:eastAsia="Times New Roman" w:cs="Times New Roman"/>
          <w:b/>
          <w:bCs/>
          <w:lang w:eastAsia="de-DE"/>
        </w:rPr>
        <w:t>wahre Lehre</w:t>
      </w:r>
      <w:r w:rsidRPr="008A30E0">
        <w:rPr>
          <w:rFonts w:eastAsia="Times New Roman" w:cs="Times New Roman"/>
          <w:lang w:eastAsia="de-DE"/>
        </w:rPr>
        <w:t xml:space="preserve"> (universelle Heiligkeit) für eine </w:t>
      </w:r>
      <w:r w:rsidRPr="008A30E0">
        <w:rPr>
          <w:rFonts w:eastAsia="Times New Roman" w:cs="Times New Roman"/>
          <w:b/>
          <w:bCs/>
          <w:lang w:eastAsia="de-DE"/>
        </w:rPr>
        <w:t>falsche Schlussfolgerung</w:t>
      </w:r>
      <w:r w:rsidRPr="008A30E0">
        <w:rPr>
          <w:rFonts w:eastAsia="Times New Roman" w:cs="Times New Roman"/>
          <w:lang w:eastAsia="de-DE"/>
        </w:rPr>
        <w:t xml:space="preserve"> (Aufhebung der Ordnung). </w:t>
      </w:r>
      <w:r w:rsidRPr="008A30E0">
        <w:rPr>
          <w:rFonts w:eastAsia="Times New Roman" w:cs="Times New Roman"/>
          <w:b/>
          <w:bCs/>
          <w:lang w:eastAsia="de-DE"/>
        </w:rPr>
        <w:t>Heiligkeit</w:t>
      </w:r>
      <w:r w:rsidRPr="008A30E0">
        <w:rPr>
          <w:rFonts w:eastAsia="Times New Roman" w:cs="Times New Roman"/>
          <w:lang w:eastAsia="de-DE"/>
        </w:rPr>
        <w:t xml:space="preserve"> bedeutet </w:t>
      </w:r>
      <w:r w:rsidRPr="008A30E0">
        <w:rPr>
          <w:rFonts w:eastAsia="Times New Roman" w:cs="Times New Roman"/>
          <w:b/>
          <w:bCs/>
          <w:lang w:eastAsia="de-DE"/>
        </w:rPr>
        <w:t>nicht Anarchie</w:t>
      </w:r>
      <w:r w:rsidRPr="008A30E0">
        <w:rPr>
          <w:rFonts w:eastAsia="Times New Roman" w:cs="Times New Roman"/>
          <w:lang w:eastAsia="de-DE"/>
        </w:rPr>
        <w:t xml:space="preserve">, sondern </w:t>
      </w:r>
      <w:r w:rsidRPr="008A30E0">
        <w:rPr>
          <w:rFonts w:eastAsia="Times New Roman" w:cs="Times New Roman"/>
          <w:b/>
          <w:bCs/>
          <w:lang w:eastAsia="de-DE"/>
        </w:rPr>
        <w:t>Gehorsam</w:t>
      </w:r>
      <w:r w:rsidRPr="008A30E0">
        <w:rPr>
          <w:rFonts w:eastAsia="Times New Roman" w:cs="Times New Roman"/>
          <w:lang w:eastAsia="de-DE"/>
        </w:rPr>
        <w:t xml:space="preserve"> gegenüber Gottes Ordnungen.</w:t>
      </w:r>
    </w:p>
    <w:p w14:paraId="5C1B4998"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t>Numeri 16,4</w:t>
      </w:r>
    </w:p>
    <w:p w14:paraId="1DE33A1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וַיִּשְׁמַ֣ע מֹשֶׁ֔ה וַיִּפֹּ֖ל עַל־פָּנָֽיו׃</w:t>
      </w:r>
    </w:p>
    <w:p w14:paraId="31375C9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Als Mosche es hörte, fiel er auf sein Angesicht.</w:t>
      </w:r>
    </w:p>
    <w:p w14:paraId="33E7F276"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pict w14:anchorId="7AA595D9">
          <v:rect id="_x0000_i1542" style="width:0;height:1.5pt" o:hralign="center" o:hrstd="t" o:hr="t" fillcolor="#a0a0a0" stroked="f"/>
        </w:pict>
      </w:r>
    </w:p>
    <w:p w14:paraId="644D580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Kommentar:</w:t>
      </w:r>
      <w:r w:rsidRPr="008537CA">
        <w:rPr>
          <w:rFonts w:eastAsia="Times New Roman" w:cs="Times New Roman"/>
          <w:lang w:eastAsia="de-DE"/>
        </w:rPr>
        <w:t xml:space="preserve"> Das Verb </w:t>
      </w:r>
      <w:r w:rsidRPr="008537CA">
        <w:rPr>
          <w:rFonts w:eastAsia="Times New Roman" w:cs="Times New Roman"/>
          <w:b/>
          <w:bCs/>
          <w:rtl/>
          <w:lang w:eastAsia="de-DE"/>
        </w:rPr>
        <w:t>וַיִּשְׁמַע</w:t>
      </w:r>
      <w:r w:rsidRPr="008537CA">
        <w:rPr>
          <w:rFonts w:eastAsia="Times New Roman" w:cs="Times New Roman"/>
          <w:rtl/>
          <w:lang w:eastAsia="de-DE"/>
        </w:rPr>
        <w:t xml:space="preserve"> </w:t>
      </w:r>
      <w:r w:rsidRPr="008537CA">
        <w:rPr>
          <w:rFonts w:eastAsia="Times New Roman" w:cs="Times New Roman"/>
          <w:lang w:eastAsia="de-DE"/>
        </w:rPr>
        <w:t xml:space="preserve">(Wayyiqtol, 3. m. sg. von </w:t>
      </w:r>
      <w:r w:rsidRPr="008537CA">
        <w:rPr>
          <w:rFonts w:eastAsia="Times New Roman" w:cs="Times New Roman"/>
          <w:b/>
          <w:bCs/>
          <w:rtl/>
          <w:lang w:eastAsia="de-DE"/>
        </w:rPr>
        <w:t>שׁמע</w:t>
      </w:r>
      <w:r w:rsidRPr="008537CA">
        <w:rPr>
          <w:rFonts w:eastAsia="Times New Roman" w:cs="Times New Roman"/>
          <w:lang w:eastAsia="de-DE"/>
        </w:rPr>
        <w:t xml:space="preserve">) bedeutet „und er hörte" und setzt die narrative Sequenz fort. Die Form ist Imperfekt consecutivum und leitet Moses Reaktion auf die Anklage ein. </w:t>
      </w:r>
      <w:r w:rsidRPr="008537CA">
        <w:rPr>
          <w:rFonts w:eastAsia="Times New Roman" w:cs="Times New Roman"/>
          <w:b/>
          <w:bCs/>
          <w:rtl/>
          <w:lang w:eastAsia="de-DE"/>
        </w:rPr>
        <w:t>שׁמע</w:t>
      </w:r>
      <w:r w:rsidRPr="008537CA">
        <w:rPr>
          <w:rFonts w:eastAsia="Times New Roman" w:cs="Times New Roman"/>
          <w:rtl/>
          <w:lang w:eastAsia="de-DE"/>
        </w:rPr>
        <w:t xml:space="preserve"> </w:t>
      </w:r>
      <w:r w:rsidRPr="008537CA">
        <w:rPr>
          <w:rFonts w:eastAsia="Times New Roman" w:cs="Times New Roman"/>
          <w:lang w:eastAsia="de-DE"/>
        </w:rPr>
        <w:t xml:space="preserve">bedeutet „hören" und impliziert hier nicht nur akustisches Wahrnehmen, sondern auch das Verstehen und die Auseinandersetzung mit dem Gehörten. </w:t>
      </w:r>
      <w:r w:rsidRPr="008537CA">
        <w:rPr>
          <w:rFonts w:eastAsia="Times New Roman" w:cs="Times New Roman"/>
          <w:b/>
          <w:bCs/>
          <w:rtl/>
          <w:lang w:eastAsia="de-DE"/>
        </w:rPr>
        <w:t>מֹשֶׁה</w:t>
      </w:r>
      <w:r w:rsidRPr="008537CA">
        <w:rPr>
          <w:rFonts w:eastAsia="Times New Roman" w:cs="Times New Roman"/>
          <w:rtl/>
          <w:lang w:eastAsia="de-DE"/>
        </w:rPr>
        <w:t xml:space="preserve"> </w:t>
      </w:r>
      <w:r w:rsidRPr="008537CA">
        <w:rPr>
          <w:rFonts w:eastAsia="Times New Roman" w:cs="Times New Roman"/>
          <w:lang w:eastAsia="de-DE"/>
        </w:rPr>
        <w:t>(Mose) ist das explizite Subjekt des Satzes.</w:t>
      </w:r>
    </w:p>
    <w:p w14:paraId="0637097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koordinierte Verb </w:t>
      </w:r>
      <w:r w:rsidRPr="008537CA">
        <w:rPr>
          <w:rFonts w:eastAsia="Times New Roman" w:cs="Times New Roman"/>
          <w:b/>
          <w:bCs/>
          <w:rtl/>
          <w:lang w:eastAsia="de-DE"/>
        </w:rPr>
        <w:t>וַיִּפֹּל</w:t>
      </w:r>
      <w:r w:rsidRPr="008537CA">
        <w:rPr>
          <w:rFonts w:eastAsia="Times New Roman" w:cs="Times New Roman"/>
          <w:rtl/>
          <w:lang w:eastAsia="de-DE"/>
        </w:rPr>
        <w:t xml:space="preserve"> </w:t>
      </w:r>
      <w:r w:rsidRPr="008537CA">
        <w:rPr>
          <w:rFonts w:eastAsia="Times New Roman" w:cs="Times New Roman"/>
          <w:lang w:eastAsia="de-DE"/>
        </w:rPr>
        <w:t xml:space="preserve">(Wayyiqtol, 3. m. sg. von </w:t>
      </w:r>
      <w:r w:rsidRPr="008537CA">
        <w:rPr>
          <w:rFonts w:eastAsia="Times New Roman" w:cs="Times New Roman"/>
          <w:b/>
          <w:bCs/>
          <w:rtl/>
          <w:lang w:eastAsia="de-DE"/>
        </w:rPr>
        <w:t>נפל</w:t>
      </w:r>
      <w:r w:rsidRPr="008537CA">
        <w:rPr>
          <w:rFonts w:eastAsia="Times New Roman" w:cs="Times New Roman"/>
          <w:lang w:eastAsia="de-DE"/>
        </w:rPr>
        <w:t xml:space="preserve">) bedeutet „und er fiel". Die Form setzt die Handlungskette unmittelbar fort und beschreibt Moses spontane körperliche Reaktion. </w:t>
      </w:r>
      <w:r w:rsidRPr="008537CA">
        <w:rPr>
          <w:rFonts w:eastAsia="Times New Roman" w:cs="Times New Roman"/>
          <w:b/>
          <w:bCs/>
          <w:rtl/>
          <w:lang w:eastAsia="de-DE"/>
        </w:rPr>
        <w:t>נפל</w:t>
      </w:r>
      <w:r w:rsidRPr="008537CA">
        <w:rPr>
          <w:rFonts w:eastAsia="Times New Roman" w:cs="Times New Roman"/>
          <w:rtl/>
          <w:lang w:eastAsia="de-DE"/>
        </w:rPr>
        <w:t xml:space="preserve"> </w:t>
      </w:r>
      <w:r w:rsidRPr="008537CA">
        <w:rPr>
          <w:rFonts w:eastAsia="Times New Roman" w:cs="Times New Roman"/>
          <w:lang w:eastAsia="de-DE"/>
        </w:rPr>
        <w:t>bedeutet „fallen" und bezeichnet hier eine bewusste Geste der Demütigung oder des Gebets.</w:t>
      </w:r>
    </w:p>
    <w:p w14:paraId="0872FCEA"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Präpositionalphrase </w:t>
      </w:r>
      <w:r w:rsidRPr="008537CA">
        <w:rPr>
          <w:rFonts w:eastAsia="Times New Roman" w:cs="Times New Roman"/>
          <w:b/>
          <w:bCs/>
          <w:rtl/>
          <w:lang w:eastAsia="de-DE"/>
        </w:rPr>
        <w:t>עַל־פָּנָיו</w:t>
      </w:r>
      <w:r w:rsidRPr="008537CA">
        <w:rPr>
          <w:rFonts w:eastAsia="Times New Roman" w:cs="Times New Roman"/>
          <w:rtl/>
          <w:lang w:eastAsia="de-DE"/>
        </w:rPr>
        <w:t xml:space="preserve"> </w:t>
      </w:r>
      <w:r w:rsidRPr="008537CA">
        <w:rPr>
          <w:rFonts w:eastAsia="Times New Roman" w:cs="Times New Roman"/>
          <w:lang w:eastAsia="de-DE"/>
        </w:rPr>
        <w:t xml:space="preserve">spezifiziert die Art des Fallens. </w:t>
      </w:r>
      <w:r w:rsidRPr="008537CA">
        <w:rPr>
          <w:rFonts w:eastAsia="Times New Roman" w:cs="Times New Roman"/>
          <w:b/>
          <w:bCs/>
          <w:rtl/>
          <w:lang w:eastAsia="de-DE"/>
        </w:rPr>
        <w:t>עַל</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„auf", </w:t>
      </w:r>
      <w:r w:rsidRPr="008537CA">
        <w:rPr>
          <w:rFonts w:eastAsia="Times New Roman" w:cs="Times New Roman"/>
          <w:b/>
          <w:bCs/>
          <w:rtl/>
          <w:lang w:eastAsia="de-DE"/>
        </w:rPr>
        <w:t>פָּנָיו</w:t>
      </w:r>
      <w:r w:rsidRPr="008537CA">
        <w:rPr>
          <w:rFonts w:eastAsia="Times New Roman" w:cs="Times New Roman"/>
          <w:rtl/>
          <w:lang w:eastAsia="de-DE"/>
        </w:rPr>
        <w:t xml:space="preserve"> </w:t>
      </w:r>
      <w:r w:rsidRPr="008537CA">
        <w:rPr>
          <w:rFonts w:eastAsia="Times New Roman" w:cs="Times New Roman"/>
          <w:lang w:eastAsia="de-DE"/>
        </w:rPr>
        <w:t xml:space="preserve">ist der Plural von </w:t>
      </w:r>
      <w:r w:rsidRPr="008537CA">
        <w:rPr>
          <w:rFonts w:eastAsia="Times New Roman" w:cs="Times New Roman"/>
          <w:b/>
          <w:bCs/>
          <w:rtl/>
          <w:lang w:eastAsia="de-DE"/>
        </w:rPr>
        <w:t>פָּנֶה</w:t>
      </w:r>
      <w:r w:rsidRPr="008537CA">
        <w:rPr>
          <w:rFonts w:eastAsia="Times New Roman" w:cs="Times New Roman"/>
          <w:rtl/>
          <w:lang w:eastAsia="de-DE"/>
        </w:rPr>
        <w:t xml:space="preserve"> </w:t>
      </w:r>
      <w:r w:rsidRPr="008537CA">
        <w:rPr>
          <w:rFonts w:eastAsia="Times New Roman" w:cs="Times New Roman"/>
          <w:lang w:eastAsia="de-DE"/>
        </w:rPr>
        <w:t xml:space="preserve">(„Angesicht, Gesicht") mit dem Possessivsuffix 3. m. sg. („sein Angesicht"). Die idiomatische Wendung </w:t>
      </w:r>
      <w:r w:rsidRPr="008537CA">
        <w:rPr>
          <w:rFonts w:eastAsia="Times New Roman" w:cs="Times New Roman"/>
          <w:b/>
          <w:bCs/>
          <w:rtl/>
          <w:lang w:eastAsia="de-DE"/>
        </w:rPr>
        <w:t>נפל על־פנים</w:t>
      </w:r>
      <w:r w:rsidRPr="008537CA">
        <w:rPr>
          <w:rFonts w:eastAsia="Times New Roman" w:cs="Times New Roman"/>
          <w:rtl/>
          <w:lang w:eastAsia="de-DE"/>
        </w:rPr>
        <w:t xml:space="preserve"> </w:t>
      </w:r>
      <w:r w:rsidRPr="008537CA">
        <w:rPr>
          <w:rFonts w:eastAsia="Times New Roman" w:cs="Times New Roman"/>
          <w:lang w:eastAsia="de-DE"/>
        </w:rPr>
        <w:t xml:space="preserve">bedeutet „auf das Angesicht fallen" und ist eine stehende Phrase für Proskynese, Gebet oder tiefe Bestürzung. Der Plural </w:t>
      </w:r>
      <w:r w:rsidRPr="008537CA">
        <w:rPr>
          <w:rFonts w:eastAsia="Times New Roman" w:cs="Times New Roman"/>
          <w:b/>
          <w:bCs/>
          <w:rtl/>
          <w:lang w:eastAsia="de-DE"/>
        </w:rPr>
        <w:t>פָּנִים</w:t>
      </w:r>
      <w:r w:rsidRPr="008537CA">
        <w:rPr>
          <w:rFonts w:eastAsia="Times New Roman" w:cs="Times New Roman"/>
          <w:rtl/>
          <w:lang w:eastAsia="de-DE"/>
        </w:rPr>
        <w:t xml:space="preserve"> </w:t>
      </w:r>
      <w:r w:rsidRPr="008537CA">
        <w:rPr>
          <w:rFonts w:eastAsia="Times New Roman" w:cs="Times New Roman"/>
          <w:lang w:eastAsia="de-DE"/>
        </w:rPr>
        <w:t>wird im Hebräischen regelmäßig für „Angesicht" verwendet.</w:t>
      </w:r>
    </w:p>
    <w:p w14:paraId="3E5D58F3"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ist syntaktisch äußerst knapp gehalten und besteht aus zwei koordinierten Verben mit minimaler Ergänzung. Diese Kürze unterstreicht die Unmittelbarkeit und Intensität von Moses Reaktion. Das Fehlen jeglicher direkter Rede oder weiterer Beschreibung lässt die Geste für sich selbst sprechen.</w:t>
      </w:r>
    </w:p>
    <w:p w14:paraId="1E2A481B" w14:textId="3DA7E5BF"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Die LXX</w:t>
      </w:r>
      <w:r w:rsidRPr="008537CA">
        <w:rPr>
          <w:rFonts w:eastAsia="Times New Roman" w:cs="Times New Roman"/>
          <w:lang w:eastAsia="de-DE"/>
        </w:rPr>
        <w:t xml:space="preserve"> übersetzt </w:t>
      </w:r>
      <w:r w:rsidRPr="008537CA">
        <w:rPr>
          <w:rFonts w:eastAsia="Times New Roman" w:cs="Times New Roman"/>
          <w:b/>
          <w:bCs/>
          <w:rtl/>
          <w:lang w:eastAsia="de-DE"/>
        </w:rPr>
        <w:t>וַיִּשְׁמַע מֹשֶׁה</w:t>
      </w:r>
      <w:r w:rsidRPr="008537CA">
        <w:rPr>
          <w:rFonts w:eastAsia="Times New Roman" w:cs="Times New Roman"/>
          <w:rtl/>
          <w:lang w:eastAsia="de-DE"/>
        </w:rPr>
        <w:t xml:space="preserve"> </w:t>
      </w:r>
      <w:r w:rsidRPr="008537CA">
        <w:rPr>
          <w:rFonts w:eastAsia="Times New Roman" w:cs="Times New Roman"/>
          <w:lang w:eastAsia="de-DE"/>
        </w:rPr>
        <w:t xml:space="preserve">mit καὶ ἀκούσας Μωυσῆς („und als Mose hörte"), wobei das griechische Partizip Aorist die temporale Nuance verstärkt. </w:t>
      </w:r>
      <w:r w:rsidRPr="008537CA">
        <w:rPr>
          <w:rFonts w:eastAsia="Times New Roman" w:cs="Times New Roman"/>
          <w:b/>
          <w:bCs/>
          <w:rtl/>
          <w:lang w:eastAsia="de-DE"/>
        </w:rPr>
        <w:t>וַיִּפֹּל עַל־פָּנָיו</w:t>
      </w:r>
      <w:r w:rsidRPr="008537CA">
        <w:rPr>
          <w:rFonts w:eastAsia="Times New Roman" w:cs="Times New Roman"/>
          <w:rtl/>
          <w:lang w:eastAsia="de-DE"/>
        </w:rPr>
        <w:t xml:space="preserve"> </w:t>
      </w:r>
      <w:r w:rsidRPr="008537CA">
        <w:rPr>
          <w:rFonts w:eastAsia="Times New Roman" w:cs="Times New Roman"/>
          <w:lang w:eastAsia="de-DE"/>
        </w:rPr>
        <w:t>wird mit ἔπεσεν ἐπὶ πρόσωπον („fiel er auf das Angesicht") wiedergegeben, was dem hebräischen Idiom genau entspricht. Die LXX bewahrt die Knappheit und Dramatik des hebräischen Textes.</w:t>
      </w:r>
    </w:p>
    <w:p w14:paraId="571D07E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Satzstruktur besteht aus zwei koordinierten Hauptsätzen, die durch die Konjunktion verbunden sind. Der erste Hauptsatz hat das Verb als Prädikat und das explizite Subjekt. Der </w:t>
      </w:r>
      <w:r w:rsidRPr="008537CA">
        <w:rPr>
          <w:rFonts w:eastAsia="Times New Roman" w:cs="Times New Roman"/>
          <w:lang w:eastAsia="de-DE"/>
        </w:rPr>
        <w:lastRenderedPageBreak/>
        <w:t>zweite Hauptsatz hat ebenfalls das Verb als Prädikat mit implizitem Subjekt (Fortsetzung von Mose) und eine Präpositionalphrase als adverbiale Bestimmung. Es gibt keine Nebensätze.</w:t>
      </w:r>
    </w:p>
    <w:p w14:paraId="0FC414F0"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zeigt Moses unmittelbare Reaktion auf die schwere Anklage: Er wendet sich im Gebet oder in tiefer Erschütterung an Gott, was seine Abhängigkeit von göttlicher Führung unterstreicht.</w:t>
      </w:r>
    </w:p>
    <w:p w14:paraId="7063F8A0"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t>Numeri 16,5</w:t>
      </w:r>
    </w:p>
    <w:p w14:paraId="4646103B"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וַיְדַבֵּ֨ר אֶל־קֹ֜רַח וְאֶֽל־כָּל־עֲדָתוֹ֮ לֵאמֹר֒ בֹּ֠קֶר וְיֹדַ֨ע יְהוָ֧ה אֶת־אֲשֶׁר־לוֹ֛ וְאֶת־הַקָּד֖וֹשׁ וְהִקְרִ֣יב אֵלָ֑יו וְאֵ֛ת אֲשֶׁ֥ר יִבְחַר־בּוֹ֖ יַקְרִ֥יב אֵלָֽיו׃</w:t>
      </w:r>
    </w:p>
    <w:p w14:paraId="08E975E3"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Und er redete zu Korach und zu seiner ganzen Gemeinde und sprach: Morgen, da wird der Ewige kundtun, wer sein ist und wer heilig ist, dass er ihn zu sich nahen lasse; und wen er erwählt, den wird er zu sich nahen lassen.</w:t>
      </w:r>
    </w:p>
    <w:p w14:paraId="7F5C3FC1"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pict w14:anchorId="3D72A669">
          <v:rect id="_x0000_i1543" style="width:0;height:1.5pt" o:hralign="center" o:hrstd="t" o:hr="t" fillcolor="#a0a0a0" stroked="f"/>
        </w:pict>
      </w:r>
    </w:p>
    <w:p w14:paraId="1106DB75"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Kommentar:</w:t>
      </w:r>
      <w:r w:rsidRPr="008537CA">
        <w:rPr>
          <w:rFonts w:eastAsia="Times New Roman" w:cs="Times New Roman"/>
          <w:lang w:eastAsia="de-DE"/>
        </w:rPr>
        <w:t xml:space="preserve"> Das Verb </w:t>
      </w:r>
      <w:r w:rsidRPr="008537CA">
        <w:rPr>
          <w:rFonts w:eastAsia="Times New Roman" w:cs="Times New Roman"/>
          <w:b/>
          <w:bCs/>
          <w:rtl/>
          <w:lang w:eastAsia="de-DE"/>
        </w:rPr>
        <w:t>וַיְדַבֵּר</w:t>
      </w:r>
      <w:r w:rsidRPr="008537CA">
        <w:rPr>
          <w:rFonts w:eastAsia="Times New Roman" w:cs="Times New Roman"/>
          <w:rtl/>
          <w:lang w:eastAsia="de-DE"/>
        </w:rPr>
        <w:t xml:space="preserve"> </w:t>
      </w:r>
      <w:r w:rsidRPr="008537CA">
        <w:rPr>
          <w:rFonts w:eastAsia="Times New Roman" w:cs="Times New Roman"/>
          <w:lang w:eastAsia="de-DE"/>
        </w:rPr>
        <w:t xml:space="preserve">(Wayyiqtol, 3. m. sg. von </w:t>
      </w:r>
      <w:r w:rsidRPr="008537CA">
        <w:rPr>
          <w:rFonts w:eastAsia="Times New Roman" w:cs="Times New Roman"/>
          <w:b/>
          <w:bCs/>
          <w:rtl/>
          <w:lang w:eastAsia="de-DE"/>
        </w:rPr>
        <w:t>דבר</w:t>
      </w:r>
      <w:r w:rsidRPr="008537CA">
        <w:rPr>
          <w:rFonts w:eastAsia="Times New Roman" w:cs="Times New Roman"/>
          <w:rtl/>
          <w:lang w:eastAsia="de-DE"/>
        </w:rPr>
        <w:t xml:space="preserve"> </w:t>
      </w:r>
      <w:r w:rsidRPr="008537CA">
        <w:rPr>
          <w:rFonts w:eastAsia="Times New Roman" w:cs="Times New Roman"/>
          <w:lang w:eastAsia="de-DE"/>
        </w:rPr>
        <w:t xml:space="preserve">Piel) bedeutet „und er redete" und leitet Moses Antwort ein. Die Piel-Form von </w:t>
      </w:r>
      <w:r w:rsidRPr="008537CA">
        <w:rPr>
          <w:rFonts w:eastAsia="Times New Roman" w:cs="Times New Roman"/>
          <w:b/>
          <w:bCs/>
          <w:rtl/>
          <w:lang w:eastAsia="de-DE"/>
        </w:rPr>
        <w:t>דבר</w:t>
      </w:r>
      <w:r w:rsidRPr="008537CA">
        <w:rPr>
          <w:rFonts w:eastAsia="Times New Roman" w:cs="Times New Roman"/>
          <w:rtl/>
          <w:lang w:eastAsia="de-DE"/>
        </w:rPr>
        <w:t xml:space="preserve"> </w:t>
      </w:r>
      <w:r w:rsidRPr="008537CA">
        <w:rPr>
          <w:rFonts w:eastAsia="Times New Roman" w:cs="Times New Roman"/>
          <w:lang w:eastAsia="de-DE"/>
        </w:rPr>
        <w:t>hat intensive oder iterative Bedeutung und bezeichnet formelles, autoritatives Reden. Das implizite Subjekt ist Mose aus dem vorherigen Vers.</w:t>
      </w:r>
    </w:p>
    <w:p w14:paraId="4F1DD33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doppelte Präpositionalphrase </w:t>
      </w:r>
      <w:r w:rsidRPr="008537CA">
        <w:rPr>
          <w:rFonts w:eastAsia="Times New Roman" w:cs="Times New Roman"/>
          <w:b/>
          <w:bCs/>
          <w:rtl/>
          <w:lang w:eastAsia="de-DE"/>
        </w:rPr>
        <w:t>אֶל־קֹרַח וְאֶל־כָּל־עֲדָתוֹ</w:t>
      </w:r>
      <w:r w:rsidRPr="008537CA">
        <w:rPr>
          <w:rFonts w:eastAsia="Times New Roman" w:cs="Times New Roman"/>
          <w:rtl/>
          <w:lang w:eastAsia="de-DE"/>
        </w:rPr>
        <w:t xml:space="preserve"> </w:t>
      </w:r>
      <w:r w:rsidRPr="008537CA">
        <w:rPr>
          <w:rFonts w:eastAsia="Times New Roman" w:cs="Times New Roman"/>
          <w:lang w:eastAsia="de-DE"/>
        </w:rPr>
        <w:t xml:space="preserve">gibt die Adressaten an. </w:t>
      </w:r>
      <w:r w:rsidRPr="008537CA">
        <w:rPr>
          <w:rFonts w:eastAsia="Times New Roman" w:cs="Times New Roman"/>
          <w:b/>
          <w:bCs/>
          <w:rtl/>
          <w:lang w:eastAsia="de-DE"/>
        </w:rPr>
        <w:t>אֶל</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„zu", </w:t>
      </w:r>
      <w:r w:rsidRPr="008537CA">
        <w:rPr>
          <w:rFonts w:eastAsia="Times New Roman" w:cs="Times New Roman"/>
          <w:b/>
          <w:bCs/>
          <w:rtl/>
          <w:lang w:eastAsia="de-DE"/>
        </w:rPr>
        <w:t>קֹרַח</w:t>
      </w:r>
      <w:r w:rsidRPr="008537CA">
        <w:rPr>
          <w:rFonts w:eastAsia="Times New Roman" w:cs="Times New Roman"/>
          <w:rtl/>
          <w:lang w:eastAsia="de-DE"/>
        </w:rPr>
        <w:t xml:space="preserve"> </w:t>
      </w:r>
      <w:r w:rsidRPr="008537CA">
        <w:rPr>
          <w:rFonts w:eastAsia="Times New Roman" w:cs="Times New Roman"/>
          <w:lang w:eastAsia="de-DE"/>
        </w:rPr>
        <w:t xml:space="preserve">(Korach) der erste Adressat. Die Konjunktion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 xml:space="preserve">koordiniert den zweiten Adressaten </w:t>
      </w:r>
      <w:r w:rsidRPr="008537CA">
        <w:rPr>
          <w:rFonts w:eastAsia="Times New Roman" w:cs="Times New Roman"/>
          <w:b/>
          <w:bCs/>
          <w:rtl/>
          <w:lang w:eastAsia="de-DE"/>
        </w:rPr>
        <w:t>כָּל־עֲדָתוֹ</w:t>
      </w:r>
      <w:r w:rsidRPr="008537CA">
        <w:rPr>
          <w:rFonts w:eastAsia="Times New Roman" w:cs="Times New Roman"/>
          <w:lang w:eastAsia="de-DE"/>
        </w:rPr>
        <w:t xml:space="preserve">: </w:t>
      </w:r>
      <w:r w:rsidRPr="008537CA">
        <w:rPr>
          <w:rFonts w:eastAsia="Times New Roman" w:cs="Times New Roman"/>
          <w:b/>
          <w:bCs/>
          <w:rtl/>
          <w:lang w:eastAsia="de-DE"/>
        </w:rPr>
        <w:t>כָּל</w:t>
      </w:r>
      <w:r w:rsidRPr="008537CA">
        <w:rPr>
          <w:rFonts w:eastAsia="Times New Roman" w:cs="Times New Roman"/>
          <w:rtl/>
          <w:lang w:eastAsia="de-DE"/>
        </w:rPr>
        <w:t xml:space="preserve"> </w:t>
      </w:r>
      <w:r w:rsidRPr="008537CA">
        <w:rPr>
          <w:rFonts w:eastAsia="Times New Roman" w:cs="Times New Roman"/>
          <w:lang w:eastAsia="de-DE"/>
        </w:rPr>
        <w:t xml:space="preserve">ist „ganz, alle" im Constructus, </w:t>
      </w:r>
      <w:r w:rsidRPr="008537CA">
        <w:rPr>
          <w:rFonts w:eastAsia="Times New Roman" w:cs="Times New Roman"/>
          <w:b/>
          <w:bCs/>
          <w:rtl/>
          <w:lang w:eastAsia="de-DE"/>
        </w:rPr>
        <w:t>עֲדָתוֹ</w:t>
      </w:r>
      <w:r w:rsidRPr="008537CA">
        <w:rPr>
          <w:rFonts w:eastAsia="Times New Roman" w:cs="Times New Roman"/>
          <w:rtl/>
          <w:lang w:eastAsia="de-DE"/>
        </w:rPr>
        <w:t xml:space="preserve"> </w:t>
      </w:r>
      <w:r w:rsidRPr="008537CA">
        <w:rPr>
          <w:rFonts w:eastAsia="Times New Roman" w:cs="Times New Roman"/>
          <w:lang w:eastAsia="de-DE"/>
        </w:rPr>
        <w:t>ist „seine Gemeinde" (</w:t>
      </w:r>
      <w:r w:rsidRPr="008537CA">
        <w:rPr>
          <w:rFonts w:eastAsia="Times New Roman" w:cs="Times New Roman"/>
          <w:b/>
          <w:bCs/>
          <w:rtl/>
          <w:lang w:eastAsia="de-DE"/>
        </w:rPr>
        <w:t>עֵדָה</w:t>
      </w:r>
      <w:r w:rsidRPr="008537CA">
        <w:rPr>
          <w:rFonts w:eastAsia="Times New Roman" w:cs="Times New Roman"/>
          <w:rtl/>
          <w:lang w:eastAsia="de-DE"/>
        </w:rPr>
        <w:t xml:space="preserve"> </w:t>
      </w:r>
      <w:r w:rsidRPr="008537CA">
        <w:rPr>
          <w:rFonts w:eastAsia="Times New Roman" w:cs="Times New Roman"/>
          <w:lang w:eastAsia="de-DE"/>
        </w:rPr>
        <w:t xml:space="preserve">mit Possessivsuffix 3. m. sg.). Die Wiederholung der Präposition </w:t>
      </w:r>
      <w:r w:rsidRPr="008537CA">
        <w:rPr>
          <w:rFonts w:eastAsia="Times New Roman" w:cs="Times New Roman"/>
          <w:b/>
          <w:bCs/>
          <w:rtl/>
          <w:lang w:eastAsia="de-DE"/>
        </w:rPr>
        <w:t>אֶל</w:t>
      </w:r>
      <w:r w:rsidRPr="008537CA">
        <w:rPr>
          <w:rFonts w:eastAsia="Times New Roman" w:cs="Times New Roman"/>
          <w:rtl/>
          <w:lang w:eastAsia="de-DE"/>
        </w:rPr>
        <w:t xml:space="preserve"> </w:t>
      </w:r>
      <w:r w:rsidRPr="008537CA">
        <w:rPr>
          <w:rFonts w:eastAsia="Times New Roman" w:cs="Times New Roman"/>
          <w:lang w:eastAsia="de-DE"/>
        </w:rPr>
        <w:t>unterstreicht, dass sowohl Korach persönlich als auch seine gesamte Anhängerschaft angesprochen werden.</w:t>
      </w:r>
    </w:p>
    <w:p w14:paraId="463D02A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Verb </w:t>
      </w:r>
      <w:r w:rsidRPr="008537CA">
        <w:rPr>
          <w:rFonts w:eastAsia="Times New Roman" w:cs="Times New Roman"/>
          <w:b/>
          <w:bCs/>
          <w:rtl/>
          <w:lang w:eastAsia="de-DE"/>
        </w:rPr>
        <w:t>לֵאמֹר</w:t>
      </w:r>
      <w:r w:rsidRPr="008537CA">
        <w:rPr>
          <w:rFonts w:eastAsia="Times New Roman" w:cs="Times New Roman"/>
          <w:rtl/>
          <w:lang w:eastAsia="de-DE"/>
        </w:rPr>
        <w:t xml:space="preserve"> </w:t>
      </w:r>
      <w:r w:rsidRPr="008537CA">
        <w:rPr>
          <w:rFonts w:eastAsia="Times New Roman" w:cs="Times New Roman"/>
          <w:lang w:eastAsia="de-DE"/>
        </w:rPr>
        <w:t xml:space="preserve">ist der Qal Infinitiv construct von </w:t>
      </w:r>
      <w:r w:rsidRPr="008537CA">
        <w:rPr>
          <w:rFonts w:eastAsia="Times New Roman" w:cs="Times New Roman"/>
          <w:b/>
          <w:bCs/>
          <w:rtl/>
          <w:lang w:eastAsia="de-DE"/>
        </w:rPr>
        <w:t>אמר</w:t>
      </w:r>
      <w:r w:rsidRPr="008537CA">
        <w:rPr>
          <w:rFonts w:eastAsia="Times New Roman" w:cs="Times New Roman"/>
          <w:rtl/>
          <w:lang w:eastAsia="de-DE"/>
        </w:rPr>
        <w:t xml:space="preserve"> </w:t>
      </w:r>
      <w:r w:rsidRPr="008537CA">
        <w:rPr>
          <w:rFonts w:eastAsia="Times New Roman" w:cs="Times New Roman"/>
          <w:lang w:eastAsia="de-DE"/>
        </w:rPr>
        <w:t xml:space="preserve">mit der Präposition </w:t>
      </w:r>
      <w:r w:rsidRPr="008537CA">
        <w:rPr>
          <w:rFonts w:eastAsia="Times New Roman" w:cs="Times New Roman"/>
          <w:b/>
          <w:bCs/>
          <w:rtl/>
          <w:lang w:eastAsia="de-DE"/>
        </w:rPr>
        <w:t>לְ</w:t>
      </w:r>
      <w:r w:rsidRPr="008537CA">
        <w:rPr>
          <w:rFonts w:eastAsia="Times New Roman" w:cs="Times New Roman"/>
          <w:rtl/>
          <w:lang w:eastAsia="de-DE"/>
        </w:rPr>
        <w:t xml:space="preserve"> </w:t>
      </w:r>
      <w:r w:rsidRPr="008537CA">
        <w:rPr>
          <w:rFonts w:eastAsia="Times New Roman" w:cs="Times New Roman"/>
          <w:lang w:eastAsia="de-DE"/>
        </w:rPr>
        <w:t>und dient als Redeeinleitung: „sprechend, sagend". Diese Formel leitet die direkte Rede ein.</w:t>
      </w:r>
    </w:p>
    <w:p w14:paraId="2D9ABAEC"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direkte Rede beginnt mit </w:t>
      </w:r>
      <w:r w:rsidRPr="008537CA">
        <w:rPr>
          <w:rFonts w:eastAsia="Times New Roman" w:cs="Times New Roman"/>
          <w:b/>
          <w:bCs/>
          <w:rtl/>
          <w:lang w:eastAsia="de-DE"/>
        </w:rPr>
        <w:t>בֹּקֶר</w:t>
      </w:r>
      <w:r w:rsidRPr="008537CA">
        <w:rPr>
          <w:rFonts w:eastAsia="Times New Roman" w:cs="Times New Roman"/>
          <w:rtl/>
          <w:lang w:eastAsia="de-DE"/>
        </w:rPr>
        <w:t xml:space="preserve"> </w:t>
      </w:r>
      <w:r w:rsidRPr="008537CA">
        <w:rPr>
          <w:rFonts w:eastAsia="Times New Roman" w:cs="Times New Roman"/>
          <w:lang w:eastAsia="de-DE"/>
        </w:rPr>
        <w:t>(„Morgen"), ein temporales Adverb, das den Zeitpunkt der angekündigten göttlichen Entscheidung angibt. Das Wort steht emphatisch am Anfang der Aussage.</w:t>
      </w:r>
    </w:p>
    <w:p w14:paraId="2401C0CF"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Verb </w:t>
      </w:r>
      <w:r w:rsidRPr="008537CA">
        <w:rPr>
          <w:rFonts w:eastAsia="Times New Roman" w:cs="Times New Roman"/>
          <w:b/>
          <w:bCs/>
          <w:rtl/>
          <w:lang w:eastAsia="de-DE"/>
        </w:rPr>
        <w:t>וְיֹדַע</w:t>
      </w:r>
      <w:r w:rsidRPr="008537CA">
        <w:rPr>
          <w:rFonts w:eastAsia="Times New Roman" w:cs="Times New Roman"/>
          <w:rtl/>
          <w:lang w:eastAsia="de-DE"/>
        </w:rPr>
        <w:t xml:space="preserve"> </w:t>
      </w:r>
      <w:r w:rsidRPr="008537CA">
        <w:rPr>
          <w:rFonts w:eastAsia="Times New Roman" w:cs="Times New Roman"/>
          <w:lang w:eastAsia="de-DE"/>
        </w:rPr>
        <w:t xml:space="preserve">(Waw + Qal Imperfekt/Jussiv, 3. m. sg. von </w:t>
      </w:r>
      <w:r w:rsidRPr="008537CA">
        <w:rPr>
          <w:rFonts w:eastAsia="Times New Roman" w:cs="Times New Roman"/>
          <w:b/>
          <w:bCs/>
          <w:rtl/>
          <w:lang w:eastAsia="de-DE"/>
        </w:rPr>
        <w:t>ידע</w:t>
      </w:r>
      <w:r w:rsidRPr="008537CA">
        <w:rPr>
          <w:rFonts w:eastAsia="Times New Roman" w:cs="Times New Roman"/>
          <w:lang w:eastAsia="de-DE"/>
        </w:rPr>
        <w:t xml:space="preserve">) bedeutet „und er wird kundtun/erkennen lassen". Die Form kann als Jussiv verstanden werden („möge er kundtun") oder als futurisches Imperfekt. </w:t>
      </w:r>
      <w:r w:rsidRPr="008537CA">
        <w:rPr>
          <w:rFonts w:eastAsia="Times New Roman" w:cs="Times New Roman"/>
          <w:b/>
          <w:bCs/>
          <w:rtl/>
          <w:lang w:eastAsia="de-DE"/>
        </w:rPr>
        <w:t>יְהוָה</w:t>
      </w:r>
      <w:r w:rsidRPr="008537CA">
        <w:rPr>
          <w:rFonts w:eastAsia="Times New Roman" w:cs="Times New Roman"/>
          <w:rtl/>
          <w:lang w:eastAsia="de-DE"/>
        </w:rPr>
        <w:t xml:space="preserve"> </w:t>
      </w:r>
      <w:r w:rsidRPr="008537CA">
        <w:rPr>
          <w:rFonts w:eastAsia="Times New Roman" w:cs="Times New Roman"/>
          <w:lang w:eastAsia="de-DE"/>
        </w:rPr>
        <w:t xml:space="preserve">ist das Tetragramm als Subjekt. </w:t>
      </w:r>
      <w:r w:rsidRPr="008537CA">
        <w:rPr>
          <w:rFonts w:eastAsia="Times New Roman" w:cs="Times New Roman"/>
          <w:b/>
          <w:bCs/>
          <w:rtl/>
          <w:lang w:eastAsia="de-DE"/>
        </w:rPr>
        <w:t>ידע</w:t>
      </w:r>
      <w:r w:rsidRPr="008537CA">
        <w:rPr>
          <w:rFonts w:eastAsia="Times New Roman" w:cs="Times New Roman"/>
          <w:rtl/>
          <w:lang w:eastAsia="de-DE"/>
        </w:rPr>
        <w:t xml:space="preserve"> </w:t>
      </w:r>
      <w:r w:rsidRPr="008537CA">
        <w:rPr>
          <w:rFonts w:eastAsia="Times New Roman" w:cs="Times New Roman"/>
          <w:lang w:eastAsia="de-DE"/>
        </w:rPr>
        <w:t>bedeutet grundsätzlich „wissen, erkennen", in der Hifil-Form (die hier nicht vorliegt) „kundtun". Die Qal-Form hier bedeutet „erkennen" und impliziert, dass JHWH durch seine Handlung offenbaren wird.</w:t>
      </w:r>
    </w:p>
    <w:p w14:paraId="724E8D34"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Objektphrase </w:t>
      </w:r>
      <w:r w:rsidRPr="008537CA">
        <w:rPr>
          <w:rFonts w:eastAsia="Times New Roman" w:cs="Times New Roman"/>
          <w:b/>
          <w:bCs/>
          <w:rtl/>
          <w:lang w:eastAsia="de-DE"/>
        </w:rPr>
        <w:t>אֶת־אֲשֶׁר־לוֹ</w:t>
      </w:r>
      <w:r w:rsidRPr="008537CA">
        <w:rPr>
          <w:rFonts w:eastAsia="Times New Roman" w:cs="Times New Roman"/>
          <w:rtl/>
          <w:lang w:eastAsia="de-DE"/>
        </w:rPr>
        <w:t xml:space="preserve"> </w:t>
      </w:r>
      <w:r w:rsidRPr="008537CA">
        <w:rPr>
          <w:rFonts w:eastAsia="Times New Roman" w:cs="Times New Roman"/>
          <w:lang w:eastAsia="de-DE"/>
        </w:rPr>
        <w:t xml:space="preserve">folgt: </w:t>
      </w:r>
      <w:r w:rsidRPr="008537CA">
        <w:rPr>
          <w:rFonts w:eastAsia="Times New Roman" w:cs="Times New Roman"/>
          <w:b/>
          <w:bCs/>
          <w:rtl/>
          <w:lang w:eastAsia="de-DE"/>
        </w:rPr>
        <w:t>אֶת</w:t>
      </w:r>
      <w:r w:rsidRPr="008537CA">
        <w:rPr>
          <w:rFonts w:eastAsia="Times New Roman" w:cs="Times New Roman"/>
          <w:rtl/>
          <w:lang w:eastAsia="de-DE"/>
        </w:rPr>
        <w:t xml:space="preserve"> </w:t>
      </w:r>
      <w:r w:rsidRPr="008537CA">
        <w:rPr>
          <w:rFonts w:eastAsia="Times New Roman" w:cs="Times New Roman"/>
          <w:lang w:eastAsia="de-DE"/>
        </w:rPr>
        <w:t xml:space="preserve">ist die Objektpartikel, </w:t>
      </w:r>
      <w:r w:rsidRPr="008537CA">
        <w:rPr>
          <w:rFonts w:eastAsia="Times New Roman" w:cs="Times New Roman"/>
          <w:b/>
          <w:bCs/>
          <w:rtl/>
          <w:lang w:eastAsia="de-DE"/>
        </w:rPr>
        <w:t>אֲשֶׁר</w:t>
      </w:r>
      <w:r w:rsidRPr="008537CA">
        <w:rPr>
          <w:rFonts w:eastAsia="Times New Roman" w:cs="Times New Roman"/>
          <w:rtl/>
          <w:lang w:eastAsia="de-DE"/>
        </w:rPr>
        <w:t xml:space="preserve"> </w:t>
      </w:r>
      <w:r w:rsidRPr="008537CA">
        <w:rPr>
          <w:rFonts w:eastAsia="Times New Roman" w:cs="Times New Roman"/>
          <w:lang w:eastAsia="de-DE"/>
        </w:rPr>
        <w:t xml:space="preserve">das Relativpronomen „der, welcher", </w:t>
      </w:r>
      <w:r w:rsidRPr="008537CA">
        <w:rPr>
          <w:rFonts w:eastAsia="Times New Roman" w:cs="Times New Roman"/>
          <w:b/>
          <w:bCs/>
          <w:rtl/>
          <w:lang w:eastAsia="de-DE"/>
        </w:rPr>
        <w:t>לוֹ</w:t>
      </w:r>
      <w:r w:rsidRPr="008537CA">
        <w:rPr>
          <w:rFonts w:eastAsia="Times New Roman" w:cs="Times New Roman"/>
          <w:rtl/>
          <w:lang w:eastAsia="de-DE"/>
        </w:rPr>
        <w:t xml:space="preserve"> </w:t>
      </w:r>
      <w:r w:rsidRPr="008537CA">
        <w:rPr>
          <w:rFonts w:eastAsia="Times New Roman" w:cs="Times New Roman"/>
          <w:lang w:eastAsia="de-DE"/>
        </w:rPr>
        <w:t xml:space="preserve">die Präposition </w:t>
      </w:r>
      <w:r w:rsidRPr="008537CA">
        <w:rPr>
          <w:rFonts w:eastAsia="Times New Roman" w:cs="Times New Roman"/>
          <w:b/>
          <w:bCs/>
          <w:rtl/>
          <w:lang w:eastAsia="de-DE"/>
        </w:rPr>
        <w:t>לְ</w:t>
      </w:r>
      <w:r w:rsidRPr="008537CA">
        <w:rPr>
          <w:rFonts w:eastAsia="Times New Roman" w:cs="Times New Roman"/>
          <w:rtl/>
          <w:lang w:eastAsia="de-DE"/>
        </w:rPr>
        <w:t xml:space="preserve"> </w:t>
      </w:r>
      <w:r w:rsidRPr="008537CA">
        <w:rPr>
          <w:rFonts w:eastAsia="Times New Roman" w:cs="Times New Roman"/>
          <w:lang w:eastAsia="de-DE"/>
        </w:rPr>
        <w:t>mit Suffix 3. m. sg. („zu ihm, sein"). Die Phrase bedeutet „denjenigen, der sein ist" oder „wer zu ihm gehört".</w:t>
      </w:r>
    </w:p>
    <w:p w14:paraId="4A8BF315"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koordinierte Phrase </w:t>
      </w:r>
      <w:r w:rsidRPr="008537CA">
        <w:rPr>
          <w:rFonts w:eastAsia="Times New Roman" w:cs="Times New Roman"/>
          <w:b/>
          <w:bCs/>
          <w:rtl/>
          <w:lang w:eastAsia="de-DE"/>
        </w:rPr>
        <w:t>וְאֶת־הַקָּדוֹשׁ</w:t>
      </w:r>
      <w:r w:rsidRPr="008537CA">
        <w:rPr>
          <w:rFonts w:eastAsia="Times New Roman" w:cs="Times New Roman"/>
          <w:rtl/>
          <w:lang w:eastAsia="de-DE"/>
        </w:rPr>
        <w:t xml:space="preserve"> </w:t>
      </w:r>
      <w:r w:rsidRPr="008537CA">
        <w:rPr>
          <w:rFonts w:eastAsia="Times New Roman" w:cs="Times New Roman"/>
          <w:lang w:eastAsia="de-DE"/>
        </w:rPr>
        <w:t xml:space="preserve">fügt ein zweites Objekt hinzu: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 xml:space="preserve">ist die Konjunktion, </w:t>
      </w:r>
      <w:r w:rsidRPr="008537CA">
        <w:rPr>
          <w:rFonts w:eastAsia="Times New Roman" w:cs="Times New Roman"/>
          <w:b/>
          <w:bCs/>
          <w:rtl/>
          <w:lang w:eastAsia="de-DE"/>
        </w:rPr>
        <w:t>אֶת</w:t>
      </w:r>
      <w:r w:rsidRPr="008537CA">
        <w:rPr>
          <w:rFonts w:eastAsia="Times New Roman" w:cs="Times New Roman"/>
          <w:rtl/>
          <w:lang w:eastAsia="de-DE"/>
        </w:rPr>
        <w:t xml:space="preserve"> </w:t>
      </w:r>
      <w:r w:rsidRPr="008537CA">
        <w:rPr>
          <w:rFonts w:eastAsia="Times New Roman" w:cs="Times New Roman"/>
          <w:lang w:eastAsia="de-DE"/>
        </w:rPr>
        <w:t xml:space="preserve">die Objektpartikel, </w:t>
      </w:r>
      <w:r w:rsidRPr="008537CA">
        <w:rPr>
          <w:rFonts w:eastAsia="Times New Roman" w:cs="Times New Roman"/>
          <w:b/>
          <w:bCs/>
          <w:rtl/>
          <w:lang w:eastAsia="de-DE"/>
        </w:rPr>
        <w:t>הַקָּדוֹשׁ</w:t>
      </w:r>
      <w:r w:rsidRPr="008537CA">
        <w:rPr>
          <w:rFonts w:eastAsia="Times New Roman" w:cs="Times New Roman"/>
          <w:rtl/>
          <w:lang w:eastAsia="de-DE"/>
        </w:rPr>
        <w:t xml:space="preserve"> </w:t>
      </w:r>
      <w:r w:rsidRPr="008537CA">
        <w:rPr>
          <w:rFonts w:eastAsia="Times New Roman" w:cs="Times New Roman"/>
          <w:lang w:eastAsia="de-DE"/>
        </w:rPr>
        <w:t>ist das substantivierte Adjektiv „der Heilige" mit dem bestimmten Artikel. Die Phrase greift das Heiligkeitsthema aus Vers 3 auf.</w:t>
      </w:r>
    </w:p>
    <w:p w14:paraId="75F95BBF"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lastRenderedPageBreak/>
        <w:t xml:space="preserve">Das Verb </w:t>
      </w:r>
      <w:r w:rsidRPr="008537CA">
        <w:rPr>
          <w:rFonts w:eastAsia="Times New Roman" w:cs="Times New Roman"/>
          <w:b/>
          <w:bCs/>
          <w:rtl/>
          <w:lang w:eastAsia="de-DE"/>
        </w:rPr>
        <w:t>וְהִקְרִיב</w:t>
      </w:r>
      <w:r w:rsidRPr="008537CA">
        <w:rPr>
          <w:rFonts w:eastAsia="Times New Roman" w:cs="Times New Roman"/>
          <w:rtl/>
          <w:lang w:eastAsia="de-DE"/>
        </w:rPr>
        <w:t xml:space="preserve"> </w:t>
      </w:r>
      <w:r w:rsidRPr="008537CA">
        <w:rPr>
          <w:rFonts w:eastAsia="Times New Roman" w:cs="Times New Roman"/>
          <w:lang w:eastAsia="de-DE"/>
        </w:rPr>
        <w:t xml:space="preserve">(Waw + Hifil Perfekt/Weqatal, 3. m. sg. von </w:t>
      </w:r>
      <w:r w:rsidRPr="008537CA">
        <w:rPr>
          <w:rFonts w:eastAsia="Times New Roman" w:cs="Times New Roman"/>
          <w:b/>
          <w:bCs/>
          <w:rtl/>
          <w:lang w:eastAsia="de-DE"/>
        </w:rPr>
        <w:t>קרב</w:t>
      </w:r>
      <w:r w:rsidRPr="008537CA">
        <w:rPr>
          <w:rFonts w:eastAsia="Times New Roman" w:cs="Times New Roman"/>
          <w:lang w:eastAsia="de-DE"/>
        </w:rPr>
        <w:t xml:space="preserve">) bedeutet „und er wird nahen lassen". Die Hifil-Form ist kausativ: „veranlassen, dass jemand naht". Das Perfekt consecutivum drückt hier konsekutive Zukunft aus. </w:t>
      </w:r>
      <w:r w:rsidRPr="008537CA">
        <w:rPr>
          <w:rFonts w:eastAsia="Times New Roman" w:cs="Times New Roman"/>
          <w:b/>
          <w:bCs/>
          <w:rtl/>
          <w:lang w:eastAsia="de-DE"/>
        </w:rPr>
        <w:t>אֵלָיו</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w:t>
      </w:r>
      <w:r w:rsidRPr="008537CA">
        <w:rPr>
          <w:rFonts w:eastAsia="Times New Roman" w:cs="Times New Roman"/>
          <w:b/>
          <w:bCs/>
          <w:rtl/>
          <w:lang w:eastAsia="de-DE"/>
        </w:rPr>
        <w:t>אֶל</w:t>
      </w:r>
      <w:r w:rsidRPr="008537CA">
        <w:rPr>
          <w:rFonts w:eastAsia="Times New Roman" w:cs="Times New Roman"/>
          <w:rtl/>
          <w:lang w:eastAsia="de-DE"/>
        </w:rPr>
        <w:t xml:space="preserve"> </w:t>
      </w:r>
      <w:r w:rsidRPr="008537CA">
        <w:rPr>
          <w:rFonts w:eastAsia="Times New Roman" w:cs="Times New Roman"/>
          <w:lang w:eastAsia="de-DE"/>
        </w:rPr>
        <w:t>mit Suffix 3. m. sg. („zu ihm"), was auf JHWH verweist.</w:t>
      </w:r>
    </w:p>
    <w:p w14:paraId="7A41968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Phrase </w:t>
      </w:r>
      <w:r w:rsidRPr="008537CA">
        <w:rPr>
          <w:rFonts w:eastAsia="Times New Roman" w:cs="Times New Roman"/>
          <w:b/>
          <w:bCs/>
          <w:rtl/>
          <w:lang w:eastAsia="de-DE"/>
        </w:rPr>
        <w:t>וְאֵת אֲשֶׁר יִבְחַר־בּוֹ יַקְרִיב אֵלָיו</w:t>
      </w:r>
      <w:r w:rsidRPr="008537CA">
        <w:rPr>
          <w:rFonts w:eastAsia="Times New Roman" w:cs="Times New Roman"/>
          <w:rtl/>
          <w:lang w:eastAsia="de-DE"/>
        </w:rPr>
        <w:t xml:space="preserve"> </w:t>
      </w:r>
      <w:r w:rsidRPr="008537CA">
        <w:rPr>
          <w:rFonts w:eastAsia="Times New Roman" w:cs="Times New Roman"/>
          <w:lang w:eastAsia="de-DE"/>
        </w:rPr>
        <w:t xml:space="preserve">ist eine parallel strukturierte Wiederaufnahme und Verstärkung der vorherigen Aussage. </w:t>
      </w:r>
      <w:r w:rsidRPr="008537CA">
        <w:rPr>
          <w:rFonts w:eastAsia="Times New Roman" w:cs="Times New Roman"/>
          <w:b/>
          <w:bCs/>
          <w:rtl/>
          <w:lang w:eastAsia="de-DE"/>
        </w:rPr>
        <w:t>וְאֵת</w:t>
      </w:r>
      <w:r w:rsidRPr="008537CA">
        <w:rPr>
          <w:rFonts w:eastAsia="Times New Roman" w:cs="Times New Roman"/>
          <w:rtl/>
          <w:lang w:eastAsia="de-DE"/>
        </w:rPr>
        <w:t xml:space="preserve"> </w:t>
      </w:r>
      <w:r w:rsidRPr="008537CA">
        <w:rPr>
          <w:rFonts w:eastAsia="Times New Roman" w:cs="Times New Roman"/>
          <w:lang w:eastAsia="de-DE"/>
        </w:rPr>
        <w:t xml:space="preserve">ist Konjunktion plus Objektpartikel, </w:t>
      </w:r>
      <w:r w:rsidRPr="008537CA">
        <w:rPr>
          <w:rFonts w:eastAsia="Times New Roman" w:cs="Times New Roman"/>
          <w:b/>
          <w:bCs/>
          <w:rtl/>
          <w:lang w:eastAsia="de-DE"/>
        </w:rPr>
        <w:t>אֲשֶׁר</w:t>
      </w:r>
      <w:r w:rsidRPr="008537CA">
        <w:rPr>
          <w:rFonts w:eastAsia="Times New Roman" w:cs="Times New Roman"/>
          <w:rtl/>
          <w:lang w:eastAsia="de-DE"/>
        </w:rPr>
        <w:t xml:space="preserve"> </w:t>
      </w:r>
      <w:r w:rsidRPr="008537CA">
        <w:rPr>
          <w:rFonts w:eastAsia="Times New Roman" w:cs="Times New Roman"/>
          <w:lang w:eastAsia="de-DE"/>
        </w:rPr>
        <w:t xml:space="preserve">das Relativpronomen. </w:t>
      </w:r>
      <w:r w:rsidRPr="008537CA">
        <w:rPr>
          <w:rFonts w:eastAsia="Times New Roman" w:cs="Times New Roman"/>
          <w:b/>
          <w:bCs/>
          <w:rtl/>
          <w:lang w:eastAsia="de-DE"/>
        </w:rPr>
        <w:t>יִבְחַר־בּוֹ</w:t>
      </w:r>
      <w:r w:rsidRPr="008537CA">
        <w:rPr>
          <w:rFonts w:eastAsia="Times New Roman" w:cs="Times New Roman"/>
          <w:rtl/>
          <w:lang w:eastAsia="de-DE"/>
        </w:rPr>
        <w:t xml:space="preserve"> </w:t>
      </w:r>
      <w:r w:rsidRPr="008537CA">
        <w:rPr>
          <w:rFonts w:eastAsia="Times New Roman" w:cs="Times New Roman"/>
          <w:lang w:eastAsia="de-DE"/>
        </w:rPr>
        <w:t xml:space="preserve">ist ein Relativsatz: </w:t>
      </w:r>
      <w:r w:rsidRPr="008537CA">
        <w:rPr>
          <w:rFonts w:eastAsia="Times New Roman" w:cs="Times New Roman"/>
          <w:b/>
          <w:bCs/>
          <w:rtl/>
          <w:lang w:eastAsia="de-DE"/>
        </w:rPr>
        <w:t>יִבְחַר</w:t>
      </w:r>
      <w:r w:rsidRPr="008537CA">
        <w:rPr>
          <w:rFonts w:eastAsia="Times New Roman" w:cs="Times New Roman"/>
          <w:rtl/>
          <w:lang w:eastAsia="de-DE"/>
        </w:rPr>
        <w:t xml:space="preserve"> </w:t>
      </w:r>
      <w:r w:rsidRPr="008537CA">
        <w:rPr>
          <w:rFonts w:eastAsia="Times New Roman" w:cs="Times New Roman"/>
          <w:lang w:eastAsia="de-DE"/>
        </w:rPr>
        <w:t xml:space="preserve">(Qal Imperfekt, 3. m. sg. von </w:t>
      </w:r>
      <w:r w:rsidRPr="008537CA">
        <w:rPr>
          <w:rFonts w:eastAsia="Times New Roman" w:cs="Times New Roman"/>
          <w:b/>
          <w:bCs/>
          <w:rtl/>
          <w:lang w:eastAsia="de-DE"/>
        </w:rPr>
        <w:t>בחר</w:t>
      </w:r>
      <w:r w:rsidRPr="008537CA">
        <w:rPr>
          <w:rFonts w:eastAsia="Times New Roman" w:cs="Times New Roman"/>
          <w:lang w:eastAsia="de-DE"/>
        </w:rPr>
        <w:t xml:space="preserve">) bedeutet „er wird erwählen", </w:t>
      </w:r>
      <w:r w:rsidRPr="008537CA">
        <w:rPr>
          <w:rFonts w:eastAsia="Times New Roman" w:cs="Times New Roman"/>
          <w:b/>
          <w:bCs/>
          <w:rtl/>
          <w:lang w:eastAsia="de-DE"/>
        </w:rPr>
        <w:t>בּוֹ</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w:t>
      </w:r>
      <w:r w:rsidRPr="008537CA">
        <w:rPr>
          <w:rFonts w:eastAsia="Times New Roman" w:cs="Times New Roman"/>
          <w:b/>
          <w:bCs/>
          <w:rtl/>
          <w:lang w:eastAsia="de-DE"/>
        </w:rPr>
        <w:t>בְּ</w:t>
      </w:r>
      <w:r w:rsidRPr="008537CA">
        <w:rPr>
          <w:rFonts w:eastAsia="Times New Roman" w:cs="Times New Roman"/>
          <w:rtl/>
          <w:lang w:eastAsia="de-DE"/>
        </w:rPr>
        <w:t xml:space="preserve"> </w:t>
      </w:r>
      <w:r w:rsidRPr="008537CA">
        <w:rPr>
          <w:rFonts w:eastAsia="Times New Roman" w:cs="Times New Roman"/>
          <w:lang w:eastAsia="de-DE"/>
        </w:rPr>
        <w:t xml:space="preserve">mit Suffix 3. m. sg. („in ihm, ihn"). Das Hauptverb </w:t>
      </w:r>
      <w:r w:rsidRPr="008537CA">
        <w:rPr>
          <w:rFonts w:eastAsia="Times New Roman" w:cs="Times New Roman"/>
          <w:b/>
          <w:bCs/>
          <w:rtl/>
          <w:lang w:eastAsia="de-DE"/>
        </w:rPr>
        <w:t>יַקְרִיב</w:t>
      </w:r>
      <w:r w:rsidRPr="008537CA">
        <w:rPr>
          <w:rFonts w:eastAsia="Times New Roman" w:cs="Times New Roman"/>
          <w:rtl/>
          <w:lang w:eastAsia="de-DE"/>
        </w:rPr>
        <w:t xml:space="preserve"> </w:t>
      </w:r>
      <w:r w:rsidRPr="008537CA">
        <w:rPr>
          <w:rFonts w:eastAsia="Times New Roman" w:cs="Times New Roman"/>
          <w:lang w:eastAsia="de-DE"/>
        </w:rPr>
        <w:t xml:space="preserve">(Hifil Imperfekt, 3. m. sg. von </w:t>
      </w:r>
      <w:r w:rsidRPr="008537CA">
        <w:rPr>
          <w:rFonts w:eastAsia="Times New Roman" w:cs="Times New Roman"/>
          <w:b/>
          <w:bCs/>
          <w:rtl/>
          <w:lang w:eastAsia="de-DE"/>
        </w:rPr>
        <w:t>קרב</w:t>
      </w:r>
      <w:r w:rsidRPr="008537CA">
        <w:rPr>
          <w:rFonts w:eastAsia="Times New Roman" w:cs="Times New Roman"/>
          <w:lang w:eastAsia="de-DE"/>
        </w:rPr>
        <w:t xml:space="preserve">) wiederholt die kausative Bedeutung „er wird nahen lassen". </w:t>
      </w:r>
      <w:r w:rsidRPr="008537CA">
        <w:rPr>
          <w:rFonts w:eastAsia="Times New Roman" w:cs="Times New Roman"/>
          <w:b/>
          <w:bCs/>
          <w:rtl/>
          <w:lang w:eastAsia="de-DE"/>
        </w:rPr>
        <w:t>אֵלָיו</w:t>
      </w:r>
      <w:r w:rsidRPr="008537CA">
        <w:rPr>
          <w:rFonts w:eastAsia="Times New Roman" w:cs="Times New Roman"/>
          <w:rtl/>
          <w:lang w:eastAsia="de-DE"/>
        </w:rPr>
        <w:t xml:space="preserve"> </w:t>
      </w:r>
      <w:r w:rsidRPr="008537CA">
        <w:rPr>
          <w:rFonts w:eastAsia="Times New Roman" w:cs="Times New Roman"/>
          <w:lang w:eastAsia="de-DE"/>
        </w:rPr>
        <w:t>wiederholt die Zielangabe „zu ihm".</w:t>
      </w:r>
    </w:p>
    <w:p w14:paraId="4138F23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Parallelstruktur der beiden Aussagen (wer sein ist / wer heilig ist; er wird nahen lassen / wen er erwählt, wird er nahen lassen) zeigt eine typisch hebräische poetische Verstärkung durch Wiederholung mit Variation. Die zweite Aussage präzisiert die erste durch die Betonung der göttlichen Erwählung.</w:t>
      </w:r>
    </w:p>
    <w:p w14:paraId="3E2FBF1D" w14:textId="63CD639D" w:rsidR="008537CA" w:rsidRPr="008537CA" w:rsidRDefault="008537CA" w:rsidP="00ED3AE8">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Die LXX</w:t>
      </w:r>
      <w:r w:rsidRPr="008537CA">
        <w:rPr>
          <w:rFonts w:eastAsia="Times New Roman" w:cs="Times New Roman"/>
          <w:lang w:eastAsia="de-DE"/>
        </w:rPr>
        <w:t xml:space="preserve"> </w:t>
      </w:r>
      <w:r w:rsidR="00ED3AE8">
        <w:t>erweitert das hebräische „</w:t>
      </w:r>
      <w:r w:rsidR="00ED3AE8" w:rsidRPr="00ED3AE8">
        <w:rPr>
          <w:b/>
          <w:bCs/>
          <w:rtl/>
        </w:rPr>
        <w:t>בֹּקֶר וְיֹדַע יְהוָה</w:t>
      </w:r>
      <w:r w:rsidR="00ED3AE8">
        <w:t>" (morgen wird der HERR zeigen) zu „Ἐπέσκεπται καὶ ἔγνω ὁ θεός" (Gott hat heimgesucht und erkannt), was eine bereits vollzogene statt zukünftige Handlung impliziert.</w:t>
      </w:r>
    </w:p>
    <w:p w14:paraId="48C395D3"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zeigt Moses Antwort: Er übergibt die Entscheidung an Gott selbst, der am nächsten Morgen durch eine Probe offenbaren wird, wer wirklich zu ihm gehört und wer heilig ist.</w:t>
      </w:r>
    </w:p>
    <w:p w14:paraId="125794C6"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t>Numeri 16,6</w:t>
      </w:r>
    </w:p>
    <w:p w14:paraId="44F3309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זֹ֖את עֲשׂ֑וּ קְחוּ־לָכֶ֣ם מַחְתּ֔וֹת קֹ֖רַח וְכָל־עֲדָתוֹֽ׃</w:t>
      </w:r>
    </w:p>
    <w:p w14:paraId="409C07B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Dies tut: Nehmt euch Räucherpfannen, Korach und seine ganze Gemeinde,</w:t>
      </w:r>
    </w:p>
    <w:p w14:paraId="3CDFEE4A"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pict w14:anchorId="7266D84B">
          <v:rect id="_x0000_i1544" style="width:0;height:1.5pt" o:hralign="center" o:hrstd="t" o:hr="t" fillcolor="#a0a0a0" stroked="f"/>
        </w:pict>
      </w:r>
    </w:p>
    <w:p w14:paraId="75C5505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Kommentar:</w:t>
      </w:r>
      <w:r w:rsidRPr="008537CA">
        <w:rPr>
          <w:rFonts w:eastAsia="Times New Roman" w:cs="Times New Roman"/>
          <w:lang w:eastAsia="de-DE"/>
        </w:rPr>
        <w:t xml:space="preserve"> Das Demonstrativpronomen </w:t>
      </w:r>
      <w:r w:rsidRPr="008537CA">
        <w:rPr>
          <w:rFonts w:eastAsia="Times New Roman" w:cs="Times New Roman"/>
          <w:b/>
          <w:bCs/>
          <w:rtl/>
          <w:lang w:eastAsia="de-DE"/>
        </w:rPr>
        <w:t>זֹאת</w:t>
      </w:r>
      <w:r w:rsidRPr="008537CA">
        <w:rPr>
          <w:rFonts w:eastAsia="Times New Roman" w:cs="Times New Roman"/>
          <w:rtl/>
          <w:lang w:eastAsia="de-DE"/>
        </w:rPr>
        <w:t xml:space="preserve"> </w:t>
      </w:r>
      <w:r w:rsidRPr="008537CA">
        <w:rPr>
          <w:rFonts w:eastAsia="Times New Roman" w:cs="Times New Roman"/>
          <w:lang w:eastAsia="de-DE"/>
        </w:rPr>
        <w:t>(„dies, dieses") steht am Anfang und verweist anaphorisch auf die folgende Anweisung. Es ist Femininum Singular und fungiert als Objekt des folgenden Imperativs.</w:t>
      </w:r>
    </w:p>
    <w:p w14:paraId="2DA71F8C" w14:textId="643A9CAD"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Verb </w:t>
      </w:r>
      <w:r w:rsidRPr="008537CA">
        <w:rPr>
          <w:rFonts w:eastAsia="Times New Roman" w:cs="Times New Roman"/>
          <w:b/>
          <w:bCs/>
          <w:rtl/>
          <w:lang w:eastAsia="de-DE"/>
        </w:rPr>
        <w:t>עֲשׂוּ</w:t>
      </w:r>
      <w:r w:rsidRPr="008537CA">
        <w:rPr>
          <w:rFonts w:eastAsia="Times New Roman" w:cs="Times New Roman"/>
          <w:rtl/>
          <w:lang w:eastAsia="de-DE"/>
        </w:rPr>
        <w:t xml:space="preserve"> </w:t>
      </w:r>
      <w:r w:rsidRPr="008537CA">
        <w:rPr>
          <w:rFonts w:eastAsia="Times New Roman" w:cs="Times New Roman"/>
          <w:lang w:eastAsia="de-DE"/>
        </w:rPr>
        <w:t xml:space="preserve">(Qal Imperativ, 2. m. pl. von </w:t>
      </w:r>
      <w:r w:rsidRPr="008537CA">
        <w:rPr>
          <w:rFonts w:eastAsia="Times New Roman" w:cs="Times New Roman"/>
          <w:b/>
          <w:bCs/>
          <w:rtl/>
          <w:lang w:eastAsia="de-DE"/>
        </w:rPr>
        <w:t>עשׂה</w:t>
      </w:r>
      <w:r w:rsidRPr="008537CA">
        <w:rPr>
          <w:rFonts w:eastAsia="Times New Roman" w:cs="Times New Roman"/>
          <w:lang w:eastAsia="de-DE"/>
        </w:rPr>
        <w:t xml:space="preserve">) bedeutet „tut, macht". Der Imperativ richtet sich an die Gruppe der Aufständischen. Die </w:t>
      </w:r>
      <w:r w:rsidR="00F133EC">
        <w:rPr>
          <w:rFonts w:eastAsia="Times New Roman" w:cs="Times New Roman"/>
          <w:lang w:eastAsia="de-DE"/>
        </w:rPr>
        <w:t>Construct</w:t>
      </w:r>
      <w:r w:rsidRPr="008537CA">
        <w:rPr>
          <w:rFonts w:eastAsia="Times New Roman" w:cs="Times New Roman"/>
          <w:lang w:eastAsia="de-DE"/>
        </w:rPr>
        <w:t xml:space="preserve">ion </w:t>
      </w:r>
      <w:r w:rsidRPr="008537CA">
        <w:rPr>
          <w:rFonts w:eastAsia="Times New Roman" w:cs="Times New Roman"/>
          <w:b/>
          <w:bCs/>
          <w:rtl/>
          <w:lang w:eastAsia="de-DE"/>
        </w:rPr>
        <w:t>זֹאת עֲשׂוּ</w:t>
      </w:r>
      <w:r w:rsidRPr="008537CA">
        <w:rPr>
          <w:rFonts w:eastAsia="Times New Roman" w:cs="Times New Roman"/>
          <w:rtl/>
          <w:lang w:eastAsia="de-DE"/>
        </w:rPr>
        <w:t xml:space="preserve"> </w:t>
      </w:r>
      <w:r w:rsidRPr="008537CA">
        <w:rPr>
          <w:rFonts w:eastAsia="Times New Roman" w:cs="Times New Roman"/>
          <w:lang w:eastAsia="de-DE"/>
        </w:rPr>
        <w:t>ist eine stehende Wendung für „tut dies, handelt so" und leitet konkrete Anweisungen ein.</w:t>
      </w:r>
    </w:p>
    <w:p w14:paraId="7F721BE4"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Verb </w:t>
      </w:r>
      <w:r w:rsidRPr="008537CA">
        <w:rPr>
          <w:rFonts w:eastAsia="Times New Roman" w:cs="Times New Roman"/>
          <w:b/>
          <w:bCs/>
          <w:rtl/>
          <w:lang w:eastAsia="de-DE"/>
        </w:rPr>
        <w:t>קְחוּ</w:t>
      </w:r>
      <w:r w:rsidRPr="008537CA">
        <w:rPr>
          <w:rFonts w:eastAsia="Times New Roman" w:cs="Times New Roman"/>
          <w:rtl/>
          <w:lang w:eastAsia="de-DE"/>
        </w:rPr>
        <w:t xml:space="preserve"> </w:t>
      </w:r>
      <w:r w:rsidRPr="008537CA">
        <w:rPr>
          <w:rFonts w:eastAsia="Times New Roman" w:cs="Times New Roman"/>
          <w:lang w:eastAsia="de-DE"/>
        </w:rPr>
        <w:t xml:space="preserve">(Qal Imperativ, 2. m. pl. von </w:t>
      </w:r>
      <w:r w:rsidRPr="008537CA">
        <w:rPr>
          <w:rFonts w:eastAsia="Times New Roman" w:cs="Times New Roman"/>
          <w:b/>
          <w:bCs/>
          <w:rtl/>
          <w:lang w:eastAsia="de-DE"/>
        </w:rPr>
        <w:t>לקח</w:t>
      </w:r>
      <w:r w:rsidRPr="008537CA">
        <w:rPr>
          <w:rFonts w:eastAsia="Times New Roman" w:cs="Times New Roman"/>
          <w:lang w:eastAsia="de-DE"/>
        </w:rPr>
        <w:t xml:space="preserve">) bedeutet „nehmt". </w:t>
      </w:r>
      <w:r w:rsidRPr="008537CA">
        <w:rPr>
          <w:rFonts w:eastAsia="Times New Roman" w:cs="Times New Roman"/>
          <w:b/>
          <w:bCs/>
          <w:rtl/>
          <w:lang w:eastAsia="de-DE"/>
        </w:rPr>
        <w:t>לָכֶם</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w:t>
      </w:r>
      <w:r w:rsidRPr="008537CA">
        <w:rPr>
          <w:rFonts w:eastAsia="Times New Roman" w:cs="Times New Roman"/>
          <w:b/>
          <w:bCs/>
          <w:rtl/>
          <w:lang w:eastAsia="de-DE"/>
        </w:rPr>
        <w:t>לְ</w:t>
      </w:r>
      <w:r w:rsidRPr="008537CA">
        <w:rPr>
          <w:rFonts w:eastAsia="Times New Roman" w:cs="Times New Roman"/>
          <w:rtl/>
          <w:lang w:eastAsia="de-DE"/>
        </w:rPr>
        <w:t xml:space="preserve"> </w:t>
      </w:r>
      <w:r w:rsidRPr="008537CA">
        <w:rPr>
          <w:rFonts w:eastAsia="Times New Roman" w:cs="Times New Roman"/>
          <w:lang w:eastAsia="de-DE"/>
        </w:rPr>
        <w:t>mit dem Pronominalsuffix 2. m. pl. und verstärkt die reflexive Bedeutung: „nehmt für euch, nehmt euch". Der Maqqef verbindet Verb und Pronomen.</w:t>
      </w:r>
    </w:p>
    <w:p w14:paraId="57A4F875"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Objekt </w:t>
      </w:r>
      <w:r w:rsidRPr="008537CA">
        <w:rPr>
          <w:rFonts w:eastAsia="Times New Roman" w:cs="Times New Roman"/>
          <w:b/>
          <w:bCs/>
          <w:rtl/>
          <w:lang w:eastAsia="de-DE"/>
        </w:rPr>
        <w:t>מַחְתּוֹת</w:t>
      </w:r>
      <w:r w:rsidRPr="008537CA">
        <w:rPr>
          <w:rFonts w:eastAsia="Times New Roman" w:cs="Times New Roman"/>
          <w:rtl/>
          <w:lang w:eastAsia="de-DE"/>
        </w:rPr>
        <w:t xml:space="preserve"> </w:t>
      </w:r>
      <w:r w:rsidRPr="008537CA">
        <w:rPr>
          <w:rFonts w:eastAsia="Times New Roman" w:cs="Times New Roman"/>
          <w:lang w:eastAsia="de-DE"/>
        </w:rPr>
        <w:t xml:space="preserve">ist der Plural von </w:t>
      </w:r>
      <w:r w:rsidRPr="008537CA">
        <w:rPr>
          <w:rFonts w:eastAsia="Times New Roman" w:cs="Times New Roman"/>
          <w:b/>
          <w:bCs/>
          <w:rtl/>
          <w:lang w:eastAsia="de-DE"/>
        </w:rPr>
        <w:t>מַחְתָּה</w:t>
      </w:r>
      <w:r w:rsidRPr="008537CA">
        <w:rPr>
          <w:rFonts w:eastAsia="Times New Roman" w:cs="Times New Roman"/>
          <w:rtl/>
          <w:lang w:eastAsia="de-DE"/>
        </w:rPr>
        <w:t xml:space="preserve"> </w:t>
      </w:r>
      <w:r w:rsidRPr="008537CA">
        <w:rPr>
          <w:rFonts w:eastAsia="Times New Roman" w:cs="Times New Roman"/>
          <w:lang w:eastAsia="de-DE"/>
        </w:rPr>
        <w:t>und bedeutet „Räucherpfannen, Feuerbecken". Diese kultischen Geräte werden für das Darbringen von Räucherwerk verwendet. Der Plural zeigt an, dass jeder Teilnehmer eine eigene Räucherpfanne nehmen soll.</w:t>
      </w:r>
    </w:p>
    <w:p w14:paraId="6EDC797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lastRenderedPageBreak/>
        <w:t xml:space="preserve">Die Vokativphrase </w:t>
      </w:r>
      <w:r w:rsidRPr="008537CA">
        <w:rPr>
          <w:rFonts w:eastAsia="Times New Roman" w:cs="Times New Roman"/>
          <w:b/>
          <w:bCs/>
          <w:rtl/>
          <w:lang w:eastAsia="de-DE"/>
        </w:rPr>
        <w:t>קֹרַח וְכָל־עֲדָתוֹ</w:t>
      </w:r>
      <w:r w:rsidRPr="008537CA">
        <w:rPr>
          <w:rFonts w:eastAsia="Times New Roman" w:cs="Times New Roman"/>
          <w:rtl/>
          <w:lang w:eastAsia="de-DE"/>
        </w:rPr>
        <w:t xml:space="preserve"> </w:t>
      </w:r>
      <w:r w:rsidRPr="008537CA">
        <w:rPr>
          <w:rFonts w:eastAsia="Times New Roman" w:cs="Times New Roman"/>
          <w:lang w:eastAsia="de-DE"/>
        </w:rPr>
        <w:t xml:space="preserve">spezifiziert die Adressaten der Anweisung. </w:t>
      </w:r>
      <w:r w:rsidRPr="008537CA">
        <w:rPr>
          <w:rFonts w:eastAsia="Times New Roman" w:cs="Times New Roman"/>
          <w:b/>
          <w:bCs/>
          <w:rtl/>
          <w:lang w:eastAsia="de-DE"/>
        </w:rPr>
        <w:t>קֹרַח</w:t>
      </w:r>
      <w:r w:rsidRPr="008537CA">
        <w:rPr>
          <w:rFonts w:eastAsia="Times New Roman" w:cs="Times New Roman"/>
          <w:rtl/>
          <w:lang w:eastAsia="de-DE"/>
        </w:rPr>
        <w:t xml:space="preserve"> </w:t>
      </w:r>
      <w:r w:rsidRPr="008537CA">
        <w:rPr>
          <w:rFonts w:eastAsia="Times New Roman" w:cs="Times New Roman"/>
          <w:lang w:eastAsia="de-DE"/>
        </w:rPr>
        <w:t xml:space="preserve">ist der Eigenname im Nominativ, koordiniert durch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 xml:space="preserve">mit </w:t>
      </w:r>
      <w:r w:rsidRPr="008537CA">
        <w:rPr>
          <w:rFonts w:eastAsia="Times New Roman" w:cs="Times New Roman"/>
          <w:b/>
          <w:bCs/>
          <w:rtl/>
          <w:lang w:eastAsia="de-DE"/>
        </w:rPr>
        <w:t>כָל־עֲדָתוֹ</w:t>
      </w:r>
      <w:r w:rsidRPr="008537CA">
        <w:rPr>
          <w:rFonts w:eastAsia="Times New Roman" w:cs="Times New Roman"/>
          <w:rtl/>
          <w:lang w:eastAsia="de-DE"/>
        </w:rPr>
        <w:t xml:space="preserve"> </w:t>
      </w:r>
      <w:r w:rsidRPr="008537CA">
        <w:rPr>
          <w:rFonts w:eastAsia="Times New Roman" w:cs="Times New Roman"/>
          <w:lang w:eastAsia="de-DE"/>
        </w:rPr>
        <w:t xml:space="preserve">(„seine ganze Gemeinde"), wobei </w:t>
      </w:r>
      <w:r w:rsidRPr="008537CA">
        <w:rPr>
          <w:rFonts w:eastAsia="Times New Roman" w:cs="Times New Roman"/>
          <w:b/>
          <w:bCs/>
          <w:rtl/>
          <w:lang w:eastAsia="de-DE"/>
        </w:rPr>
        <w:t>כָּל</w:t>
      </w:r>
      <w:r w:rsidRPr="008537CA">
        <w:rPr>
          <w:rFonts w:eastAsia="Times New Roman" w:cs="Times New Roman"/>
          <w:rtl/>
          <w:lang w:eastAsia="de-DE"/>
        </w:rPr>
        <w:t xml:space="preserve"> </w:t>
      </w:r>
      <w:r w:rsidRPr="008537CA">
        <w:rPr>
          <w:rFonts w:eastAsia="Times New Roman" w:cs="Times New Roman"/>
          <w:lang w:eastAsia="de-DE"/>
        </w:rPr>
        <w:t xml:space="preserve">im Constructus vor </w:t>
      </w:r>
      <w:r w:rsidRPr="008537CA">
        <w:rPr>
          <w:rFonts w:eastAsia="Times New Roman" w:cs="Times New Roman"/>
          <w:b/>
          <w:bCs/>
          <w:rtl/>
          <w:lang w:eastAsia="de-DE"/>
        </w:rPr>
        <w:t>עֲדָתוֹ</w:t>
      </w:r>
      <w:r w:rsidRPr="008537CA">
        <w:rPr>
          <w:rFonts w:eastAsia="Times New Roman" w:cs="Times New Roman"/>
          <w:rtl/>
          <w:lang w:eastAsia="de-DE"/>
        </w:rPr>
        <w:t xml:space="preserve"> </w:t>
      </w:r>
      <w:r w:rsidRPr="008537CA">
        <w:rPr>
          <w:rFonts w:eastAsia="Times New Roman" w:cs="Times New Roman"/>
          <w:lang w:eastAsia="de-DE"/>
        </w:rPr>
        <w:t>(</w:t>
      </w:r>
      <w:r w:rsidRPr="008537CA">
        <w:rPr>
          <w:rFonts w:eastAsia="Times New Roman" w:cs="Times New Roman"/>
          <w:b/>
          <w:bCs/>
          <w:rtl/>
          <w:lang w:eastAsia="de-DE"/>
        </w:rPr>
        <w:t>עֵדָה</w:t>
      </w:r>
      <w:r w:rsidRPr="008537CA">
        <w:rPr>
          <w:rFonts w:eastAsia="Times New Roman" w:cs="Times New Roman"/>
          <w:rtl/>
          <w:lang w:eastAsia="de-DE"/>
        </w:rPr>
        <w:t xml:space="preserve"> </w:t>
      </w:r>
      <w:r w:rsidRPr="008537CA">
        <w:rPr>
          <w:rFonts w:eastAsia="Times New Roman" w:cs="Times New Roman"/>
          <w:lang w:eastAsia="de-DE"/>
        </w:rPr>
        <w:t>mit Possessivsuffix 3. m. sg.) steht. Die Vokativkonstruktion steht appositionell zum vorherigen Imperativ und identifiziert die Angesprochenen.</w:t>
      </w:r>
    </w:p>
    <w:p w14:paraId="1B2BD532"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ist syntaktisch knapp und besteht aus imperativischen Anweisungen ohne ausführliche Begründung. Die Struktur ist charakteristisch für rituelle Anweisungen im Pentateuch.</w:t>
      </w:r>
    </w:p>
    <w:p w14:paraId="7B9E9D6D" w14:textId="18C9BDEF"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Die LXX</w:t>
      </w:r>
      <w:r w:rsidRPr="008537CA">
        <w:rPr>
          <w:rFonts w:eastAsia="Times New Roman" w:cs="Times New Roman"/>
          <w:lang w:eastAsia="de-DE"/>
        </w:rPr>
        <w:t xml:space="preserve"> übersetzt </w:t>
      </w:r>
      <w:r w:rsidRPr="008537CA">
        <w:rPr>
          <w:rFonts w:eastAsia="Times New Roman" w:cs="Times New Roman"/>
          <w:b/>
          <w:bCs/>
          <w:rtl/>
          <w:lang w:eastAsia="de-DE"/>
        </w:rPr>
        <w:t>זֹאת עֲשׂוּ</w:t>
      </w:r>
      <w:r w:rsidRPr="008537CA">
        <w:rPr>
          <w:rFonts w:eastAsia="Times New Roman" w:cs="Times New Roman"/>
          <w:rtl/>
          <w:lang w:eastAsia="de-DE"/>
        </w:rPr>
        <w:t xml:space="preserve"> </w:t>
      </w:r>
      <w:r w:rsidRPr="008537CA">
        <w:rPr>
          <w:rFonts w:eastAsia="Times New Roman" w:cs="Times New Roman"/>
          <w:lang w:eastAsia="de-DE"/>
        </w:rPr>
        <w:t xml:space="preserve">mit τοῦτο ποιήσατε („dies tut"), was die hebräische </w:t>
      </w:r>
      <w:r w:rsidR="00F133EC">
        <w:rPr>
          <w:rFonts w:eastAsia="Times New Roman" w:cs="Times New Roman"/>
          <w:lang w:eastAsia="de-DE"/>
        </w:rPr>
        <w:t>Construct</w:t>
      </w:r>
      <w:r w:rsidRPr="008537CA">
        <w:rPr>
          <w:rFonts w:eastAsia="Times New Roman" w:cs="Times New Roman"/>
          <w:lang w:eastAsia="de-DE"/>
        </w:rPr>
        <w:t xml:space="preserve">ion exakt wiedergibt. </w:t>
      </w:r>
      <w:r w:rsidRPr="008537CA">
        <w:rPr>
          <w:rFonts w:eastAsia="Times New Roman" w:cs="Times New Roman"/>
          <w:b/>
          <w:bCs/>
          <w:rtl/>
          <w:lang w:eastAsia="de-DE"/>
        </w:rPr>
        <w:t>קְחוּ־לָכֶם מַחְתּוֹת</w:t>
      </w:r>
      <w:r w:rsidRPr="008537CA">
        <w:rPr>
          <w:rFonts w:eastAsia="Times New Roman" w:cs="Times New Roman"/>
          <w:rtl/>
          <w:lang w:eastAsia="de-DE"/>
        </w:rPr>
        <w:t xml:space="preserve"> </w:t>
      </w:r>
      <w:r w:rsidRPr="008537CA">
        <w:rPr>
          <w:rFonts w:eastAsia="Times New Roman" w:cs="Times New Roman"/>
          <w:lang w:eastAsia="de-DE"/>
        </w:rPr>
        <w:t>wird mit λάβετε ὑμῖν αὐτοῖς πυρεῖα („nehmt euch Feuerbecken") übersetzt. Die Vokativphrase wird im Griechischen als Κορὲ καὶ πᾶσα ἡ συναγωγὴ αὐτοῦ wiedergegeben.</w:t>
      </w:r>
    </w:p>
    <w:p w14:paraId="0F0A5CA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Satzstruktur besteht aus zwei koordinierten Hauptsätzen mit imperativischen Prädikaten. Der erste Satz hat das Demonstrativpronomen als Objekt, der zweite das reflexive Pronomen und das Nomen als Objekt. Die Vokativphrase am Ende identifiziert die Adressaten beider Imperative. Es gibt keine Nebensätze.</w:t>
      </w:r>
    </w:p>
    <w:p w14:paraId="1B90540C"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gibt die erste konkrete Anweisung für die göttliche Probe: Die Aufständischen sollen Räucherpfannen bereitstellen, um ihre Ansprüche kultisch zu testen.</w:t>
      </w:r>
    </w:p>
    <w:p w14:paraId="0AF515BF"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t>Numeri 16,7</w:t>
      </w:r>
    </w:p>
    <w:p w14:paraId="774FFB8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וּתְנ֣וּ בָהֵ֣ן׀ אֵ֡שׁ וְשִׂימוּ֩ עֲלֵיהֶ֨ן קְטֹ֜רֶת לִפְנֵ֤י יְהוָה֙ מָחָ֔ר וְהָיָ֗ה הָאִ֛ישׁ אֲשֶׁר־יִבְחַ֥ר יְהוָ֖ה ה֣וּא הַקָּד֑וֹשׁ רַב־לָכֶ֖ם בְּנֵ֥י לֵוִֽי׃</w:t>
      </w:r>
    </w:p>
    <w:p w14:paraId="527069C4"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Und tut Feuer darein und legt Räucherwerk darauf vor dem Ewigen morgen. Und es soll geschehen, der Mann, den der Ewige erwählen wird, der sei der Heilige. Genug für euch, Söhne Levis!</w:t>
      </w:r>
    </w:p>
    <w:p w14:paraId="3D965F3E"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pict w14:anchorId="6E84A064">
          <v:rect id="_x0000_i1545" style="width:0;height:1.5pt" o:hralign="center" o:hrstd="t" o:hr="t" fillcolor="#a0a0a0" stroked="f"/>
        </w:pict>
      </w:r>
    </w:p>
    <w:p w14:paraId="4CD09B9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Kommentar:</w:t>
      </w:r>
      <w:r w:rsidRPr="008537CA">
        <w:rPr>
          <w:rFonts w:eastAsia="Times New Roman" w:cs="Times New Roman"/>
          <w:lang w:eastAsia="de-DE"/>
        </w:rPr>
        <w:t xml:space="preserve"> Das Verb </w:t>
      </w:r>
      <w:r w:rsidRPr="008537CA">
        <w:rPr>
          <w:rFonts w:eastAsia="Times New Roman" w:cs="Times New Roman"/>
          <w:b/>
          <w:bCs/>
          <w:rtl/>
          <w:lang w:eastAsia="de-DE"/>
        </w:rPr>
        <w:t>וּתְנוּ</w:t>
      </w:r>
      <w:r w:rsidRPr="008537CA">
        <w:rPr>
          <w:rFonts w:eastAsia="Times New Roman" w:cs="Times New Roman"/>
          <w:rtl/>
          <w:lang w:eastAsia="de-DE"/>
        </w:rPr>
        <w:t xml:space="preserve"> </w:t>
      </w:r>
      <w:r w:rsidRPr="008537CA">
        <w:rPr>
          <w:rFonts w:eastAsia="Times New Roman" w:cs="Times New Roman"/>
          <w:lang w:eastAsia="de-DE"/>
        </w:rPr>
        <w:t xml:space="preserve">(Waw + Qal Imperativ, 2. m. pl. von </w:t>
      </w:r>
      <w:r w:rsidRPr="008537CA">
        <w:rPr>
          <w:rFonts w:eastAsia="Times New Roman" w:cs="Times New Roman"/>
          <w:b/>
          <w:bCs/>
          <w:rtl/>
          <w:lang w:eastAsia="de-DE"/>
        </w:rPr>
        <w:t>נתן</w:t>
      </w:r>
      <w:r w:rsidRPr="008537CA">
        <w:rPr>
          <w:rFonts w:eastAsia="Times New Roman" w:cs="Times New Roman"/>
          <w:lang w:eastAsia="de-DE"/>
        </w:rPr>
        <w:t xml:space="preserve">) bedeutet „und gebt, tut hinein". Die koordinierende Konjunktion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 xml:space="preserve">verbindet diese Anweisung mit der vorherigen. </w:t>
      </w:r>
      <w:r w:rsidRPr="008537CA">
        <w:rPr>
          <w:rFonts w:eastAsia="Times New Roman" w:cs="Times New Roman"/>
          <w:b/>
          <w:bCs/>
          <w:rtl/>
          <w:lang w:eastAsia="de-DE"/>
        </w:rPr>
        <w:t>בָהֵן</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w:t>
      </w:r>
      <w:r w:rsidRPr="008537CA">
        <w:rPr>
          <w:rFonts w:eastAsia="Times New Roman" w:cs="Times New Roman"/>
          <w:b/>
          <w:bCs/>
          <w:rtl/>
          <w:lang w:eastAsia="de-DE"/>
        </w:rPr>
        <w:t>בְּ</w:t>
      </w:r>
      <w:r w:rsidRPr="008537CA">
        <w:rPr>
          <w:rFonts w:eastAsia="Times New Roman" w:cs="Times New Roman"/>
          <w:rtl/>
          <w:lang w:eastAsia="de-DE"/>
        </w:rPr>
        <w:t xml:space="preserve"> </w:t>
      </w:r>
      <w:r w:rsidRPr="008537CA">
        <w:rPr>
          <w:rFonts w:eastAsia="Times New Roman" w:cs="Times New Roman"/>
          <w:lang w:eastAsia="de-DE"/>
        </w:rPr>
        <w:t xml:space="preserve">mit dem Pronominalsuffix 3. f. pl. („in ihnen"), das sich auf die Räucherpfannen bezieht. Der Maqqef nach </w:t>
      </w:r>
      <w:r w:rsidRPr="008537CA">
        <w:rPr>
          <w:rFonts w:eastAsia="Times New Roman" w:cs="Times New Roman"/>
          <w:b/>
          <w:bCs/>
          <w:rtl/>
          <w:lang w:eastAsia="de-DE"/>
        </w:rPr>
        <w:t>בָהֵן</w:t>
      </w:r>
      <w:r w:rsidRPr="008537CA">
        <w:rPr>
          <w:rFonts w:eastAsia="Times New Roman" w:cs="Times New Roman"/>
          <w:rtl/>
          <w:lang w:eastAsia="de-DE"/>
        </w:rPr>
        <w:t xml:space="preserve"> </w:t>
      </w:r>
      <w:r w:rsidRPr="008537CA">
        <w:rPr>
          <w:rFonts w:eastAsia="Times New Roman" w:cs="Times New Roman"/>
          <w:lang w:eastAsia="de-DE"/>
        </w:rPr>
        <w:t>verbindet die Phrase eng mit dem folgenden Wort.</w:t>
      </w:r>
    </w:p>
    <w:p w14:paraId="79EE20C2"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Objekt </w:t>
      </w:r>
      <w:r w:rsidRPr="008537CA">
        <w:rPr>
          <w:rFonts w:eastAsia="Times New Roman" w:cs="Times New Roman"/>
          <w:b/>
          <w:bCs/>
          <w:rtl/>
          <w:lang w:eastAsia="de-DE"/>
        </w:rPr>
        <w:t>אֵשׁ</w:t>
      </w:r>
      <w:r w:rsidRPr="008537CA">
        <w:rPr>
          <w:rFonts w:eastAsia="Times New Roman" w:cs="Times New Roman"/>
          <w:rtl/>
          <w:lang w:eastAsia="de-DE"/>
        </w:rPr>
        <w:t xml:space="preserve"> </w:t>
      </w:r>
      <w:r w:rsidRPr="008537CA">
        <w:rPr>
          <w:rFonts w:eastAsia="Times New Roman" w:cs="Times New Roman"/>
          <w:lang w:eastAsia="de-DE"/>
        </w:rPr>
        <w:t>bedeutet „Feuer" und ist Femininum Singular. Die Anweisung lautet also: „gebt in sie (die Räucherpfannen) Feuer hinein".</w:t>
      </w:r>
    </w:p>
    <w:p w14:paraId="3F6BAD0F"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koordinierte Verb </w:t>
      </w:r>
      <w:r w:rsidRPr="008537CA">
        <w:rPr>
          <w:rFonts w:eastAsia="Times New Roman" w:cs="Times New Roman"/>
          <w:b/>
          <w:bCs/>
          <w:rtl/>
          <w:lang w:eastAsia="de-DE"/>
        </w:rPr>
        <w:t>וְשִׂימוּ</w:t>
      </w:r>
      <w:r w:rsidRPr="008537CA">
        <w:rPr>
          <w:rFonts w:eastAsia="Times New Roman" w:cs="Times New Roman"/>
          <w:rtl/>
          <w:lang w:eastAsia="de-DE"/>
        </w:rPr>
        <w:t xml:space="preserve"> </w:t>
      </w:r>
      <w:r w:rsidRPr="008537CA">
        <w:rPr>
          <w:rFonts w:eastAsia="Times New Roman" w:cs="Times New Roman"/>
          <w:lang w:eastAsia="de-DE"/>
        </w:rPr>
        <w:t xml:space="preserve">(Waw + Qal Imperativ, 2. m. pl. von </w:t>
      </w:r>
      <w:r w:rsidRPr="008537CA">
        <w:rPr>
          <w:rFonts w:eastAsia="Times New Roman" w:cs="Times New Roman"/>
          <w:b/>
          <w:bCs/>
          <w:rtl/>
          <w:lang w:eastAsia="de-DE"/>
        </w:rPr>
        <w:t>שׂים</w:t>
      </w:r>
      <w:r w:rsidRPr="008537CA">
        <w:rPr>
          <w:rFonts w:eastAsia="Times New Roman" w:cs="Times New Roman"/>
          <w:lang w:eastAsia="de-DE"/>
        </w:rPr>
        <w:t xml:space="preserve">) bedeutet „und legt, setzt". </w:t>
      </w:r>
      <w:r w:rsidRPr="008537CA">
        <w:rPr>
          <w:rFonts w:eastAsia="Times New Roman" w:cs="Times New Roman"/>
          <w:b/>
          <w:bCs/>
          <w:rtl/>
          <w:lang w:eastAsia="de-DE"/>
        </w:rPr>
        <w:t>עֲלֵיהֶן</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w:t>
      </w:r>
      <w:r w:rsidRPr="008537CA">
        <w:rPr>
          <w:rFonts w:eastAsia="Times New Roman" w:cs="Times New Roman"/>
          <w:b/>
          <w:bCs/>
          <w:rtl/>
          <w:lang w:eastAsia="de-DE"/>
        </w:rPr>
        <w:t>עַל</w:t>
      </w:r>
      <w:r w:rsidRPr="008537CA">
        <w:rPr>
          <w:rFonts w:eastAsia="Times New Roman" w:cs="Times New Roman"/>
          <w:rtl/>
          <w:lang w:eastAsia="de-DE"/>
        </w:rPr>
        <w:t xml:space="preserve"> </w:t>
      </w:r>
      <w:r w:rsidRPr="008537CA">
        <w:rPr>
          <w:rFonts w:eastAsia="Times New Roman" w:cs="Times New Roman"/>
          <w:lang w:eastAsia="de-DE"/>
        </w:rPr>
        <w:t>(„auf") mit dem Pronominalsuffix 3. f. pl. („auf sie"), wiederum auf die Räucherpfannen bezogen.</w:t>
      </w:r>
    </w:p>
    <w:p w14:paraId="20DAF896" w14:textId="19D9EDAA"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Objekt </w:t>
      </w:r>
      <w:r w:rsidRPr="008537CA">
        <w:rPr>
          <w:rFonts w:eastAsia="Times New Roman" w:cs="Times New Roman"/>
          <w:b/>
          <w:bCs/>
          <w:rtl/>
          <w:lang w:eastAsia="de-DE"/>
        </w:rPr>
        <w:t>קְטֹרֶת</w:t>
      </w:r>
      <w:r w:rsidRPr="008537CA">
        <w:rPr>
          <w:rFonts w:eastAsia="Times New Roman" w:cs="Times New Roman"/>
          <w:rtl/>
          <w:lang w:eastAsia="de-DE"/>
        </w:rPr>
        <w:t xml:space="preserve"> </w:t>
      </w:r>
      <w:r w:rsidRPr="008537CA">
        <w:rPr>
          <w:rFonts w:eastAsia="Times New Roman" w:cs="Times New Roman"/>
          <w:lang w:eastAsia="de-DE"/>
        </w:rPr>
        <w:t xml:space="preserve">bedeutet „Räucherwerk, Weihrauch" und ist Femininum Singular. Die </w:t>
      </w:r>
      <w:r w:rsidR="00F133EC">
        <w:rPr>
          <w:rFonts w:eastAsia="Times New Roman" w:cs="Times New Roman"/>
          <w:lang w:eastAsia="de-DE"/>
        </w:rPr>
        <w:t>Construct</w:t>
      </w:r>
      <w:r w:rsidRPr="008537CA">
        <w:rPr>
          <w:rFonts w:eastAsia="Times New Roman" w:cs="Times New Roman"/>
          <w:lang w:eastAsia="de-DE"/>
        </w:rPr>
        <w:t>ion beschreibt den zweiten Schritt des Rituals: auf das Feuer wird Räucherwerk gelegt.</w:t>
      </w:r>
    </w:p>
    <w:p w14:paraId="0B7F47B2"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lastRenderedPageBreak/>
        <w:t xml:space="preserve">Die Präpositionalphrase </w:t>
      </w:r>
      <w:r w:rsidRPr="008537CA">
        <w:rPr>
          <w:rFonts w:eastAsia="Times New Roman" w:cs="Times New Roman"/>
          <w:b/>
          <w:bCs/>
          <w:rtl/>
          <w:lang w:eastAsia="de-DE"/>
        </w:rPr>
        <w:t>לִפְנֵי יְהוָה</w:t>
      </w:r>
      <w:r w:rsidRPr="008537CA">
        <w:rPr>
          <w:rFonts w:eastAsia="Times New Roman" w:cs="Times New Roman"/>
          <w:rtl/>
          <w:lang w:eastAsia="de-DE"/>
        </w:rPr>
        <w:t xml:space="preserve"> </w:t>
      </w:r>
      <w:r w:rsidRPr="008537CA">
        <w:rPr>
          <w:rFonts w:eastAsia="Times New Roman" w:cs="Times New Roman"/>
          <w:lang w:eastAsia="de-DE"/>
        </w:rPr>
        <w:t xml:space="preserve">gibt den Ort oder die Ausrichtung der Handlung an. </w:t>
      </w:r>
      <w:r w:rsidRPr="008537CA">
        <w:rPr>
          <w:rFonts w:eastAsia="Times New Roman" w:cs="Times New Roman"/>
          <w:b/>
          <w:bCs/>
          <w:rtl/>
          <w:lang w:eastAsia="de-DE"/>
        </w:rPr>
        <w:t>לִפְנֵי</w:t>
      </w:r>
      <w:r w:rsidRPr="008537CA">
        <w:rPr>
          <w:rFonts w:eastAsia="Times New Roman" w:cs="Times New Roman"/>
          <w:rtl/>
          <w:lang w:eastAsia="de-DE"/>
        </w:rPr>
        <w:t xml:space="preserve"> </w:t>
      </w:r>
      <w:r w:rsidRPr="008537CA">
        <w:rPr>
          <w:rFonts w:eastAsia="Times New Roman" w:cs="Times New Roman"/>
          <w:lang w:eastAsia="de-DE"/>
        </w:rPr>
        <w:t xml:space="preserve">bedeutet „vor, angesichts von", </w:t>
      </w:r>
      <w:r w:rsidRPr="008537CA">
        <w:rPr>
          <w:rFonts w:eastAsia="Times New Roman" w:cs="Times New Roman"/>
          <w:b/>
          <w:bCs/>
          <w:rtl/>
          <w:lang w:eastAsia="de-DE"/>
        </w:rPr>
        <w:t>יְהוָה</w:t>
      </w:r>
      <w:r w:rsidRPr="008537CA">
        <w:rPr>
          <w:rFonts w:eastAsia="Times New Roman" w:cs="Times New Roman"/>
          <w:rtl/>
          <w:lang w:eastAsia="de-DE"/>
        </w:rPr>
        <w:t xml:space="preserve"> </w:t>
      </w:r>
      <w:r w:rsidRPr="008537CA">
        <w:rPr>
          <w:rFonts w:eastAsia="Times New Roman" w:cs="Times New Roman"/>
          <w:lang w:eastAsia="de-DE"/>
        </w:rPr>
        <w:t>ist das Tetragramm. Die Phrase bedeutet „vor JHWH", was die kultische Dimension der Handlung unterstreicht.</w:t>
      </w:r>
    </w:p>
    <w:p w14:paraId="2CEE29CB"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temporale Adverb </w:t>
      </w:r>
      <w:r w:rsidRPr="008537CA">
        <w:rPr>
          <w:rFonts w:eastAsia="Times New Roman" w:cs="Times New Roman"/>
          <w:b/>
          <w:bCs/>
          <w:rtl/>
          <w:lang w:eastAsia="de-DE"/>
        </w:rPr>
        <w:t>מָחָר</w:t>
      </w:r>
      <w:r w:rsidRPr="008537CA">
        <w:rPr>
          <w:rFonts w:eastAsia="Times New Roman" w:cs="Times New Roman"/>
          <w:rtl/>
          <w:lang w:eastAsia="de-DE"/>
        </w:rPr>
        <w:t xml:space="preserve"> </w:t>
      </w:r>
      <w:r w:rsidRPr="008537CA">
        <w:rPr>
          <w:rFonts w:eastAsia="Times New Roman" w:cs="Times New Roman"/>
          <w:lang w:eastAsia="de-DE"/>
        </w:rPr>
        <w:t>(„morgen") wiederholt die Zeitangabe aus Vers 5 und präzisiert den Zeitpunkt der rituellen Probe.</w:t>
      </w:r>
    </w:p>
    <w:p w14:paraId="47C61814"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Formel </w:t>
      </w:r>
      <w:r w:rsidRPr="008537CA">
        <w:rPr>
          <w:rFonts w:eastAsia="Times New Roman" w:cs="Times New Roman"/>
          <w:b/>
          <w:bCs/>
          <w:rtl/>
          <w:lang w:eastAsia="de-DE"/>
        </w:rPr>
        <w:t>וְהָיָה</w:t>
      </w:r>
      <w:r w:rsidRPr="008537CA">
        <w:rPr>
          <w:rFonts w:eastAsia="Times New Roman" w:cs="Times New Roman"/>
          <w:rtl/>
          <w:lang w:eastAsia="de-DE"/>
        </w:rPr>
        <w:t xml:space="preserve"> </w:t>
      </w:r>
      <w:r w:rsidRPr="008537CA">
        <w:rPr>
          <w:rFonts w:eastAsia="Times New Roman" w:cs="Times New Roman"/>
          <w:lang w:eastAsia="de-DE"/>
        </w:rPr>
        <w:t xml:space="preserve">(Waw + Qal Perfekt, 3. m. sg. von </w:t>
      </w:r>
      <w:r w:rsidRPr="008537CA">
        <w:rPr>
          <w:rFonts w:eastAsia="Times New Roman" w:cs="Times New Roman"/>
          <w:b/>
          <w:bCs/>
          <w:rtl/>
          <w:lang w:eastAsia="de-DE"/>
        </w:rPr>
        <w:t>היה</w:t>
      </w:r>
      <w:r w:rsidRPr="008537CA">
        <w:rPr>
          <w:rFonts w:eastAsia="Times New Roman" w:cs="Times New Roman"/>
          <w:lang w:eastAsia="de-DE"/>
        </w:rPr>
        <w:t>) ist eine stehende Wendung für „und es wird geschehen, es soll geschehen" und leitet eine futurische Aussage ein. Das Weqatal drückt hier konsekutive Zukunft aus.</w:t>
      </w:r>
    </w:p>
    <w:p w14:paraId="15968E1C"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Subjekt </w:t>
      </w:r>
      <w:r w:rsidRPr="008537CA">
        <w:rPr>
          <w:rFonts w:eastAsia="Times New Roman" w:cs="Times New Roman"/>
          <w:b/>
          <w:bCs/>
          <w:rtl/>
          <w:lang w:eastAsia="de-DE"/>
        </w:rPr>
        <w:t>הָאִישׁ</w:t>
      </w:r>
      <w:r w:rsidRPr="008537CA">
        <w:rPr>
          <w:rFonts w:eastAsia="Times New Roman" w:cs="Times New Roman"/>
          <w:rtl/>
          <w:lang w:eastAsia="de-DE"/>
        </w:rPr>
        <w:t xml:space="preserve"> </w:t>
      </w:r>
      <w:r w:rsidRPr="008537CA">
        <w:rPr>
          <w:rFonts w:eastAsia="Times New Roman" w:cs="Times New Roman"/>
          <w:lang w:eastAsia="de-DE"/>
        </w:rPr>
        <w:t xml:space="preserve">(„der Mann") mit dem bestimmten Artikel wird durch einen Relativsatz näher bestimmt: </w:t>
      </w:r>
      <w:r w:rsidRPr="008537CA">
        <w:rPr>
          <w:rFonts w:eastAsia="Times New Roman" w:cs="Times New Roman"/>
          <w:b/>
          <w:bCs/>
          <w:rtl/>
          <w:lang w:eastAsia="de-DE"/>
        </w:rPr>
        <w:t>אֲשֶׁר־יִבְחַר יְהוָה</w:t>
      </w:r>
      <w:r w:rsidRPr="008537CA">
        <w:rPr>
          <w:rFonts w:eastAsia="Times New Roman" w:cs="Times New Roman"/>
          <w:rtl/>
          <w:lang w:eastAsia="de-DE"/>
        </w:rPr>
        <w:t xml:space="preserve"> </w:t>
      </w:r>
      <w:r w:rsidRPr="008537CA">
        <w:rPr>
          <w:rFonts w:eastAsia="Times New Roman" w:cs="Times New Roman"/>
          <w:lang w:eastAsia="de-DE"/>
        </w:rPr>
        <w:t xml:space="preserve">besteht aus dem Relativpronomen </w:t>
      </w:r>
      <w:r w:rsidRPr="008537CA">
        <w:rPr>
          <w:rFonts w:eastAsia="Times New Roman" w:cs="Times New Roman"/>
          <w:b/>
          <w:bCs/>
          <w:rtl/>
          <w:lang w:eastAsia="de-DE"/>
        </w:rPr>
        <w:t>אֲשֶׁר</w:t>
      </w:r>
      <w:r w:rsidRPr="008537CA">
        <w:rPr>
          <w:rFonts w:eastAsia="Times New Roman" w:cs="Times New Roman"/>
          <w:lang w:eastAsia="de-DE"/>
        </w:rPr>
        <w:t xml:space="preserve">, dem Verb </w:t>
      </w:r>
      <w:r w:rsidRPr="008537CA">
        <w:rPr>
          <w:rFonts w:eastAsia="Times New Roman" w:cs="Times New Roman"/>
          <w:b/>
          <w:bCs/>
          <w:rtl/>
          <w:lang w:eastAsia="de-DE"/>
        </w:rPr>
        <w:t>יִבְחַר</w:t>
      </w:r>
      <w:r w:rsidRPr="008537CA">
        <w:rPr>
          <w:rFonts w:eastAsia="Times New Roman" w:cs="Times New Roman"/>
          <w:rtl/>
          <w:lang w:eastAsia="de-DE"/>
        </w:rPr>
        <w:t xml:space="preserve"> </w:t>
      </w:r>
      <w:r w:rsidRPr="008537CA">
        <w:rPr>
          <w:rFonts w:eastAsia="Times New Roman" w:cs="Times New Roman"/>
          <w:lang w:eastAsia="de-DE"/>
        </w:rPr>
        <w:t xml:space="preserve">(Qal Imperfekt, 3. m. sg. von </w:t>
      </w:r>
      <w:r w:rsidRPr="008537CA">
        <w:rPr>
          <w:rFonts w:eastAsia="Times New Roman" w:cs="Times New Roman"/>
          <w:b/>
          <w:bCs/>
          <w:rtl/>
          <w:lang w:eastAsia="de-DE"/>
        </w:rPr>
        <w:t>בחר</w:t>
      </w:r>
      <w:r w:rsidRPr="008537CA">
        <w:rPr>
          <w:rFonts w:eastAsia="Times New Roman" w:cs="Times New Roman"/>
          <w:lang w:eastAsia="de-DE"/>
        </w:rPr>
        <w:t xml:space="preserve">, „erwählen") und dem Subjekt </w:t>
      </w:r>
      <w:r w:rsidRPr="008537CA">
        <w:rPr>
          <w:rFonts w:eastAsia="Times New Roman" w:cs="Times New Roman"/>
          <w:b/>
          <w:bCs/>
          <w:rtl/>
          <w:lang w:eastAsia="de-DE"/>
        </w:rPr>
        <w:t>יְהוָה</w:t>
      </w:r>
      <w:r w:rsidRPr="008537CA">
        <w:rPr>
          <w:rFonts w:eastAsia="Times New Roman" w:cs="Times New Roman"/>
          <w:lang w:eastAsia="de-DE"/>
        </w:rPr>
        <w:t>. Die Wortstellung (Verb vor Subjekt im Relativsatz) ist im Hebräischen normal. Der Relativsatz bedeutet „den JHWH erwählen wird".</w:t>
      </w:r>
    </w:p>
    <w:p w14:paraId="4BD68FA7" w14:textId="26CA310E"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pronominale Element </w:t>
      </w:r>
      <w:r w:rsidRPr="008537CA">
        <w:rPr>
          <w:rFonts w:eastAsia="Times New Roman" w:cs="Times New Roman"/>
          <w:b/>
          <w:bCs/>
          <w:rtl/>
          <w:lang w:eastAsia="de-DE"/>
        </w:rPr>
        <w:t>הוּא</w:t>
      </w:r>
      <w:r w:rsidRPr="008537CA">
        <w:rPr>
          <w:rFonts w:eastAsia="Times New Roman" w:cs="Times New Roman"/>
          <w:rtl/>
          <w:lang w:eastAsia="de-DE"/>
        </w:rPr>
        <w:t xml:space="preserve"> </w:t>
      </w:r>
      <w:r w:rsidRPr="008537CA">
        <w:rPr>
          <w:rFonts w:eastAsia="Times New Roman" w:cs="Times New Roman"/>
          <w:lang w:eastAsia="de-DE"/>
        </w:rPr>
        <w:t xml:space="preserve">(„er") ist ein emphatisches Pronomen, das das Subjekt wieder aufnimmt. </w:t>
      </w:r>
      <w:r w:rsidRPr="008537CA">
        <w:rPr>
          <w:rFonts w:eastAsia="Times New Roman" w:cs="Times New Roman"/>
          <w:b/>
          <w:bCs/>
          <w:rtl/>
          <w:lang w:eastAsia="de-DE"/>
        </w:rPr>
        <w:t>הַקָּדוֹשׁ</w:t>
      </w:r>
      <w:r w:rsidRPr="008537CA">
        <w:rPr>
          <w:rFonts w:eastAsia="Times New Roman" w:cs="Times New Roman"/>
          <w:rtl/>
          <w:lang w:eastAsia="de-DE"/>
        </w:rPr>
        <w:t xml:space="preserve"> </w:t>
      </w:r>
      <w:r w:rsidRPr="008537CA">
        <w:rPr>
          <w:rFonts w:eastAsia="Times New Roman" w:cs="Times New Roman"/>
          <w:lang w:eastAsia="de-DE"/>
        </w:rPr>
        <w:t xml:space="preserve">ist das substantivierte Adjektiv „der Heilige" mit bestimmtem Artikel und fungiert als Prädikatsnomen. Die nominale </w:t>
      </w:r>
      <w:r w:rsidR="00F133EC">
        <w:rPr>
          <w:rFonts w:eastAsia="Times New Roman" w:cs="Times New Roman"/>
          <w:lang w:eastAsia="de-DE"/>
        </w:rPr>
        <w:t>Construct</w:t>
      </w:r>
      <w:r w:rsidRPr="008537CA">
        <w:rPr>
          <w:rFonts w:eastAsia="Times New Roman" w:cs="Times New Roman"/>
          <w:lang w:eastAsia="de-DE"/>
        </w:rPr>
        <w:t xml:space="preserve">ion </w:t>
      </w:r>
      <w:r w:rsidRPr="008537CA">
        <w:rPr>
          <w:rFonts w:eastAsia="Times New Roman" w:cs="Times New Roman"/>
          <w:b/>
          <w:bCs/>
          <w:rtl/>
          <w:lang w:eastAsia="de-DE"/>
        </w:rPr>
        <w:t>הוּא הַקָּדוֹשׁ</w:t>
      </w:r>
      <w:r w:rsidRPr="008537CA">
        <w:rPr>
          <w:rFonts w:eastAsia="Times New Roman" w:cs="Times New Roman"/>
          <w:rtl/>
          <w:lang w:eastAsia="de-DE"/>
        </w:rPr>
        <w:t xml:space="preserve"> </w:t>
      </w:r>
      <w:r w:rsidRPr="008537CA">
        <w:rPr>
          <w:rFonts w:eastAsia="Times New Roman" w:cs="Times New Roman"/>
          <w:lang w:eastAsia="de-DE"/>
        </w:rPr>
        <w:t>bedeutet „er (ist) der Heilige" und bildet das Prädikat des Satzes.</w:t>
      </w:r>
    </w:p>
    <w:p w14:paraId="0151DE73"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elliptische Phrase </w:t>
      </w:r>
      <w:r w:rsidRPr="008537CA">
        <w:rPr>
          <w:rFonts w:eastAsia="Times New Roman" w:cs="Times New Roman"/>
          <w:b/>
          <w:bCs/>
          <w:rtl/>
          <w:lang w:eastAsia="de-DE"/>
        </w:rPr>
        <w:t>רַב־לָכֶם</w:t>
      </w:r>
      <w:r w:rsidRPr="008537CA">
        <w:rPr>
          <w:rFonts w:eastAsia="Times New Roman" w:cs="Times New Roman"/>
          <w:rtl/>
          <w:lang w:eastAsia="de-DE"/>
        </w:rPr>
        <w:t xml:space="preserve"> </w:t>
      </w:r>
      <w:r w:rsidRPr="008537CA">
        <w:rPr>
          <w:rFonts w:eastAsia="Times New Roman" w:cs="Times New Roman"/>
          <w:lang w:eastAsia="de-DE"/>
        </w:rPr>
        <w:t xml:space="preserve">wiederholt wörtlich die Anklage aus Vers 3, nun aber als Antwort Moses an die Aufständischen. </w:t>
      </w:r>
      <w:r w:rsidRPr="008537CA">
        <w:rPr>
          <w:rFonts w:eastAsia="Times New Roman" w:cs="Times New Roman"/>
          <w:b/>
          <w:bCs/>
          <w:rtl/>
          <w:lang w:eastAsia="de-DE"/>
        </w:rPr>
        <w:t>רַב</w:t>
      </w:r>
      <w:r w:rsidRPr="008537CA">
        <w:rPr>
          <w:rFonts w:eastAsia="Times New Roman" w:cs="Times New Roman"/>
          <w:rtl/>
          <w:lang w:eastAsia="de-DE"/>
        </w:rPr>
        <w:t xml:space="preserve"> </w:t>
      </w:r>
      <w:r w:rsidRPr="008537CA">
        <w:rPr>
          <w:rFonts w:eastAsia="Times New Roman" w:cs="Times New Roman"/>
          <w:lang w:eastAsia="de-DE"/>
        </w:rPr>
        <w:t xml:space="preserve">ist das Adjektiv im Constructus, </w:t>
      </w:r>
      <w:r w:rsidRPr="008537CA">
        <w:rPr>
          <w:rFonts w:eastAsia="Times New Roman" w:cs="Times New Roman"/>
          <w:b/>
          <w:bCs/>
          <w:rtl/>
          <w:lang w:eastAsia="de-DE"/>
        </w:rPr>
        <w:t>לָכֶם</w:t>
      </w:r>
      <w:r w:rsidRPr="008537CA">
        <w:rPr>
          <w:rFonts w:eastAsia="Times New Roman" w:cs="Times New Roman"/>
          <w:rtl/>
          <w:lang w:eastAsia="de-DE"/>
        </w:rPr>
        <w:t xml:space="preserve"> </w:t>
      </w:r>
      <w:r w:rsidRPr="008537CA">
        <w:rPr>
          <w:rFonts w:eastAsia="Times New Roman" w:cs="Times New Roman"/>
          <w:lang w:eastAsia="de-DE"/>
        </w:rPr>
        <w:t>die Präposition mit Suffix 2. m. pl. Die Wendung bedeutet „genug für euch" und ist eine scharfe Zurückweisung.</w:t>
      </w:r>
    </w:p>
    <w:p w14:paraId="3CCFA104"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Vokativphrase </w:t>
      </w:r>
      <w:r w:rsidRPr="008537CA">
        <w:rPr>
          <w:rFonts w:eastAsia="Times New Roman" w:cs="Times New Roman"/>
          <w:b/>
          <w:bCs/>
          <w:rtl/>
          <w:lang w:eastAsia="de-DE"/>
        </w:rPr>
        <w:t>בְּנֵי לֵוִי</w:t>
      </w:r>
      <w:r w:rsidRPr="008537CA">
        <w:rPr>
          <w:rFonts w:eastAsia="Times New Roman" w:cs="Times New Roman"/>
          <w:rtl/>
          <w:lang w:eastAsia="de-DE"/>
        </w:rPr>
        <w:t xml:space="preserve"> </w:t>
      </w:r>
      <w:r w:rsidRPr="008537CA">
        <w:rPr>
          <w:rFonts w:eastAsia="Times New Roman" w:cs="Times New Roman"/>
          <w:lang w:eastAsia="de-DE"/>
        </w:rPr>
        <w:t xml:space="preserve">(„Söhne Levis") identifiziert die Adressaten. </w:t>
      </w:r>
      <w:r w:rsidRPr="008537CA">
        <w:rPr>
          <w:rFonts w:eastAsia="Times New Roman" w:cs="Times New Roman"/>
          <w:b/>
          <w:bCs/>
          <w:rtl/>
          <w:lang w:eastAsia="de-DE"/>
        </w:rPr>
        <w:t>בְּנֵי</w:t>
      </w:r>
      <w:r w:rsidRPr="008537CA">
        <w:rPr>
          <w:rFonts w:eastAsia="Times New Roman" w:cs="Times New Roman"/>
          <w:rtl/>
          <w:lang w:eastAsia="de-DE"/>
        </w:rPr>
        <w:t xml:space="preserve"> </w:t>
      </w:r>
      <w:r w:rsidRPr="008537CA">
        <w:rPr>
          <w:rFonts w:eastAsia="Times New Roman" w:cs="Times New Roman"/>
          <w:lang w:eastAsia="de-DE"/>
        </w:rPr>
        <w:t xml:space="preserve">ist Constructus Plural von </w:t>
      </w:r>
      <w:r w:rsidRPr="008537CA">
        <w:rPr>
          <w:rFonts w:eastAsia="Times New Roman" w:cs="Times New Roman"/>
          <w:b/>
          <w:bCs/>
          <w:rtl/>
          <w:lang w:eastAsia="de-DE"/>
        </w:rPr>
        <w:t>בֵּן</w:t>
      </w:r>
      <w:r w:rsidRPr="008537CA">
        <w:rPr>
          <w:rFonts w:eastAsia="Times New Roman" w:cs="Times New Roman"/>
          <w:lang w:eastAsia="de-DE"/>
        </w:rPr>
        <w:t xml:space="preserve">, </w:t>
      </w:r>
      <w:r w:rsidRPr="008537CA">
        <w:rPr>
          <w:rFonts w:eastAsia="Times New Roman" w:cs="Times New Roman"/>
          <w:b/>
          <w:bCs/>
          <w:rtl/>
          <w:lang w:eastAsia="de-DE"/>
        </w:rPr>
        <w:t>לֵוִי</w:t>
      </w:r>
      <w:r w:rsidRPr="008537CA">
        <w:rPr>
          <w:rFonts w:eastAsia="Times New Roman" w:cs="Times New Roman"/>
          <w:rtl/>
          <w:lang w:eastAsia="de-DE"/>
        </w:rPr>
        <w:t xml:space="preserve"> </w:t>
      </w:r>
      <w:r w:rsidRPr="008537CA">
        <w:rPr>
          <w:rFonts w:eastAsia="Times New Roman" w:cs="Times New Roman"/>
          <w:lang w:eastAsia="de-DE"/>
        </w:rPr>
        <w:t>der Stammesname. Diese Anrede zeigt, dass Mose sich hier speziell an die levitischen Rebellen wendet.</w:t>
      </w:r>
    </w:p>
    <w:p w14:paraId="0460FBFC" w14:textId="6F9A8E3C"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Die LXX</w:t>
      </w:r>
      <w:r w:rsidRPr="008537CA">
        <w:rPr>
          <w:rFonts w:eastAsia="Times New Roman" w:cs="Times New Roman"/>
          <w:lang w:eastAsia="de-DE"/>
        </w:rPr>
        <w:t xml:space="preserve"> übersetzt </w:t>
      </w:r>
      <w:r w:rsidRPr="008537CA">
        <w:rPr>
          <w:rFonts w:eastAsia="Times New Roman" w:cs="Times New Roman"/>
          <w:b/>
          <w:bCs/>
          <w:rtl/>
          <w:lang w:eastAsia="de-DE"/>
        </w:rPr>
        <w:t>וּתְנוּ בָהֵן אֵשׁ</w:t>
      </w:r>
      <w:r w:rsidRPr="008537CA">
        <w:rPr>
          <w:rFonts w:eastAsia="Times New Roman" w:cs="Times New Roman"/>
          <w:rtl/>
          <w:lang w:eastAsia="de-DE"/>
        </w:rPr>
        <w:t xml:space="preserve"> </w:t>
      </w:r>
      <w:r w:rsidRPr="008537CA">
        <w:rPr>
          <w:rFonts w:eastAsia="Times New Roman" w:cs="Times New Roman"/>
          <w:lang w:eastAsia="de-DE"/>
        </w:rPr>
        <w:t xml:space="preserve">mit καὶ ἐπίθετε ἐπ' αὐτὰ πῦρ („und legt auf sie Feuer"), wobei die griechische </w:t>
      </w:r>
      <w:r w:rsidR="00F133EC">
        <w:rPr>
          <w:rFonts w:eastAsia="Times New Roman" w:cs="Times New Roman"/>
          <w:lang w:eastAsia="de-DE"/>
        </w:rPr>
        <w:t>Construct</w:t>
      </w:r>
      <w:r w:rsidRPr="008537CA">
        <w:rPr>
          <w:rFonts w:eastAsia="Times New Roman" w:cs="Times New Roman"/>
          <w:lang w:eastAsia="de-DE"/>
        </w:rPr>
        <w:t xml:space="preserve">ion leicht variiert. </w:t>
      </w:r>
      <w:r w:rsidRPr="008537CA">
        <w:rPr>
          <w:rFonts w:eastAsia="Times New Roman" w:cs="Times New Roman"/>
          <w:b/>
          <w:bCs/>
          <w:rtl/>
          <w:lang w:eastAsia="de-DE"/>
        </w:rPr>
        <w:t>וְשִׂימוּ עֲלֵיהֶן קְטֹרֶת</w:t>
      </w:r>
      <w:r w:rsidRPr="008537CA">
        <w:rPr>
          <w:rFonts w:eastAsia="Times New Roman" w:cs="Times New Roman"/>
          <w:rtl/>
          <w:lang w:eastAsia="de-DE"/>
        </w:rPr>
        <w:t xml:space="preserve"> </w:t>
      </w:r>
      <w:r w:rsidRPr="008537CA">
        <w:rPr>
          <w:rFonts w:eastAsia="Times New Roman" w:cs="Times New Roman"/>
          <w:lang w:eastAsia="de-DE"/>
        </w:rPr>
        <w:t xml:space="preserve">wird mit καὶ ἐπιβάλετε ἐπ' αὐτὰ θυμίαμα („und legt auf sie Räucherwerk") wiedergegeben. </w:t>
      </w:r>
      <w:r w:rsidRPr="008537CA">
        <w:rPr>
          <w:rFonts w:eastAsia="Times New Roman" w:cs="Times New Roman"/>
          <w:b/>
          <w:bCs/>
          <w:rtl/>
          <w:lang w:eastAsia="de-DE"/>
        </w:rPr>
        <w:t>לִפְנֵי יְהוָה מָחָר</w:t>
      </w:r>
      <w:r w:rsidRPr="008537CA">
        <w:rPr>
          <w:rFonts w:eastAsia="Times New Roman" w:cs="Times New Roman"/>
          <w:rtl/>
          <w:lang w:eastAsia="de-DE"/>
        </w:rPr>
        <w:t xml:space="preserve"> </w:t>
      </w:r>
      <w:r w:rsidRPr="008537CA">
        <w:rPr>
          <w:rFonts w:eastAsia="Times New Roman" w:cs="Times New Roman"/>
          <w:lang w:eastAsia="de-DE"/>
        </w:rPr>
        <w:t xml:space="preserve">wird mit ἔναντι κυρίου αὔριον („vor dem Herrn morgen") übersetzt. Die Formel </w:t>
      </w:r>
      <w:r w:rsidRPr="008537CA">
        <w:rPr>
          <w:rFonts w:eastAsia="Times New Roman" w:cs="Times New Roman"/>
          <w:b/>
          <w:bCs/>
          <w:rtl/>
          <w:lang w:eastAsia="de-DE"/>
        </w:rPr>
        <w:t>וְהָיָה</w:t>
      </w:r>
      <w:r w:rsidRPr="008537CA">
        <w:rPr>
          <w:rFonts w:eastAsia="Times New Roman" w:cs="Times New Roman"/>
          <w:rtl/>
          <w:lang w:eastAsia="de-DE"/>
        </w:rPr>
        <w:t xml:space="preserve"> </w:t>
      </w:r>
      <w:r w:rsidRPr="008537CA">
        <w:rPr>
          <w:rFonts w:eastAsia="Times New Roman" w:cs="Times New Roman"/>
          <w:lang w:eastAsia="de-DE"/>
        </w:rPr>
        <w:t xml:space="preserve">wird mit καὶ ἔσται („und es wird sein") wiedergegeben. Der Relativsatz und die nominale Prädikatskonstruktion werden im Griechischen syntaktisch angepasst, bewahren aber die Bedeutung. </w:t>
      </w:r>
      <w:r w:rsidRPr="008537CA">
        <w:rPr>
          <w:rFonts w:eastAsia="Times New Roman" w:cs="Times New Roman"/>
          <w:b/>
          <w:bCs/>
          <w:rtl/>
          <w:lang w:eastAsia="de-DE"/>
        </w:rPr>
        <w:t>רַב־לָכֶם</w:t>
      </w:r>
      <w:r w:rsidRPr="008537CA">
        <w:rPr>
          <w:rFonts w:eastAsia="Times New Roman" w:cs="Times New Roman"/>
          <w:rtl/>
          <w:lang w:eastAsia="de-DE"/>
        </w:rPr>
        <w:t xml:space="preserve"> </w:t>
      </w:r>
      <w:r w:rsidRPr="008537CA">
        <w:rPr>
          <w:rFonts w:eastAsia="Times New Roman" w:cs="Times New Roman"/>
          <w:lang w:eastAsia="de-DE"/>
        </w:rPr>
        <w:t>wird mit ἱκανούσθω ὑμῖν übersetzt, parallel zu Vers 3.</w:t>
      </w:r>
    </w:p>
    <w:p w14:paraId="17AFB636"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Satzstruktur zeigt drei koordinierte Hauptsätze mit imperativischen Prädikaten, gefolgt von einer durch die Formel eingeleiteten futurischen Aussage. Diese besteht aus einem Hauptsatz mit nominalem Prädikat, wobei das Subjekt durch einen Relativsatz erweitert ist. Der abschließende elliptische Satz ist ein weiterer Hauptsatz. Insgesamt gibt es einen Nebensatz (Relativsatz zur Bestimmung des erwählten Mannes).</w:t>
      </w:r>
    </w:p>
    <w:p w14:paraId="4AEDE9EB"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beschreibt das konkrete Ritual der Probe und kündigt das Kriterium der göttlichen Entscheidung an. Die Schlussphrase wendet die Anklage der Rebellen gegen sie selbst und betont die Vermessenheit ihres Anspruchs.</w:t>
      </w:r>
    </w:p>
    <w:p w14:paraId="2433ADF8"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lastRenderedPageBreak/>
        <w:t>Numeri 16,8</w:t>
      </w:r>
    </w:p>
    <w:p w14:paraId="6DA5D583"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וַיֹּ֥אמֶר מֹשֶׁ֖ה אֶל־קֹ֑רַח שִׁמְעוּ־נָ֖א בְּנֵ֥י לֵוִֽי׃</w:t>
      </w:r>
    </w:p>
    <w:p w14:paraId="0DFCFB4D"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Und Mosche sprach zu Korach: Hört doch, Söhne Levis!</w:t>
      </w:r>
    </w:p>
    <w:p w14:paraId="3D41846D"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pict w14:anchorId="710A12F0">
          <v:rect id="_x0000_i1546" style="width:0;height:1.5pt" o:hralign="center" o:hrstd="t" o:hr="t" fillcolor="#a0a0a0" stroked="f"/>
        </w:pict>
      </w:r>
    </w:p>
    <w:p w14:paraId="1582201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Kommentar:</w:t>
      </w:r>
      <w:r w:rsidRPr="008537CA">
        <w:rPr>
          <w:rFonts w:eastAsia="Times New Roman" w:cs="Times New Roman"/>
          <w:lang w:eastAsia="de-DE"/>
        </w:rPr>
        <w:t xml:space="preserve"> Das Verb </w:t>
      </w:r>
      <w:r w:rsidRPr="008537CA">
        <w:rPr>
          <w:rFonts w:eastAsia="Times New Roman" w:cs="Times New Roman"/>
          <w:b/>
          <w:bCs/>
          <w:rtl/>
          <w:lang w:eastAsia="de-DE"/>
        </w:rPr>
        <w:t>וַיֹּאמֶר</w:t>
      </w:r>
      <w:r w:rsidRPr="008537CA">
        <w:rPr>
          <w:rFonts w:eastAsia="Times New Roman" w:cs="Times New Roman"/>
          <w:rtl/>
          <w:lang w:eastAsia="de-DE"/>
        </w:rPr>
        <w:t xml:space="preserve"> </w:t>
      </w:r>
      <w:r w:rsidRPr="008537CA">
        <w:rPr>
          <w:rFonts w:eastAsia="Times New Roman" w:cs="Times New Roman"/>
          <w:lang w:eastAsia="de-DE"/>
        </w:rPr>
        <w:t xml:space="preserve">(Wayyiqtol, 3. m. sg. von </w:t>
      </w:r>
      <w:r w:rsidRPr="008537CA">
        <w:rPr>
          <w:rFonts w:eastAsia="Times New Roman" w:cs="Times New Roman"/>
          <w:b/>
          <w:bCs/>
          <w:rtl/>
          <w:lang w:eastAsia="de-DE"/>
        </w:rPr>
        <w:t>אמר</w:t>
      </w:r>
      <w:r w:rsidRPr="008537CA">
        <w:rPr>
          <w:rFonts w:eastAsia="Times New Roman" w:cs="Times New Roman"/>
          <w:lang w:eastAsia="de-DE"/>
        </w:rPr>
        <w:t xml:space="preserve">) bedeutet „und er sprach" und leitet eine neue Rede Moses ein. </w:t>
      </w:r>
      <w:r w:rsidRPr="008537CA">
        <w:rPr>
          <w:rFonts w:eastAsia="Times New Roman" w:cs="Times New Roman"/>
          <w:b/>
          <w:bCs/>
          <w:rtl/>
          <w:lang w:eastAsia="de-DE"/>
        </w:rPr>
        <w:t>מֹשֶׁה</w:t>
      </w:r>
      <w:r w:rsidRPr="008537CA">
        <w:rPr>
          <w:rFonts w:eastAsia="Times New Roman" w:cs="Times New Roman"/>
          <w:rtl/>
          <w:lang w:eastAsia="de-DE"/>
        </w:rPr>
        <w:t xml:space="preserve"> </w:t>
      </w:r>
      <w:r w:rsidRPr="008537CA">
        <w:rPr>
          <w:rFonts w:eastAsia="Times New Roman" w:cs="Times New Roman"/>
          <w:lang w:eastAsia="de-DE"/>
        </w:rPr>
        <w:t>ist das explizite Subjekt.</w:t>
      </w:r>
    </w:p>
    <w:p w14:paraId="3C14F72E"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Präpositionalphrase </w:t>
      </w:r>
      <w:r w:rsidRPr="008537CA">
        <w:rPr>
          <w:rFonts w:eastAsia="Times New Roman" w:cs="Times New Roman"/>
          <w:b/>
          <w:bCs/>
          <w:rtl/>
          <w:lang w:eastAsia="de-DE"/>
        </w:rPr>
        <w:t>אֶל־קֹרַח</w:t>
      </w:r>
      <w:r w:rsidRPr="008537CA">
        <w:rPr>
          <w:rFonts w:eastAsia="Times New Roman" w:cs="Times New Roman"/>
          <w:rtl/>
          <w:lang w:eastAsia="de-DE"/>
        </w:rPr>
        <w:t xml:space="preserve"> </w:t>
      </w:r>
      <w:r w:rsidRPr="008537CA">
        <w:rPr>
          <w:rFonts w:eastAsia="Times New Roman" w:cs="Times New Roman"/>
          <w:lang w:eastAsia="de-DE"/>
        </w:rPr>
        <w:t xml:space="preserve">gibt den Adressaten an: </w:t>
      </w:r>
      <w:r w:rsidRPr="008537CA">
        <w:rPr>
          <w:rFonts w:eastAsia="Times New Roman" w:cs="Times New Roman"/>
          <w:b/>
          <w:bCs/>
          <w:rtl/>
          <w:lang w:eastAsia="de-DE"/>
        </w:rPr>
        <w:t>אֶל</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„zu", </w:t>
      </w:r>
      <w:r w:rsidRPr="008537CA">
        <w:rPr>
          <w:rFonts w:eastAsia="Times New Roman" w:cs="Times New Roman"/>
          <w:b/>
          <w:bCs/>
          <w:rtl/>
          <w:lang w:eastAsia="de-DE"/>
        </w:rPr>
        <w:t>קֹרַח</w:t>
      </w:r>
      <w:r w:rsidRPr="008537CA">
        <w:rPr>
          <w:rFonts w:eastAsia="Times New Roman" w:cs="Times New Roman"/>
          <w:rtl/>
          <w:lang w:eastAsia="de-DE"/>
        </w:rPr>
        <w:t xml:space="preserve"> </w:t>
      </w:r>
      <w:r w:rsidRPr="008537CA">
        <w:rPr>
          <w:rFonts w:eastAsia="Times New Roman" w:cs="Times New Roman"/>
          <w:lang w:eastAsia="de-DE"/>
        </w:rPr>
        <w:t>der Eigenname. Obwohl Korach direkt angesprochen wird, richtet sich die folgende Rede an die gesamte levitische Gruppe, wie die Vokativphrase zeigt.</w:t>
      </w:r>
    </w:p>
    <w:p w14:paraId="0B5B72BC"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Verb </w:t>
      </w:r>
      <w:r w:rsidRPr="008537CA">
        <w:rPr>
          <w:rFonts w:eastAsia="Times New Roman" w:cs="Times New Roman"/>
          <w:b/>
          <w:bCs/>
          <w:rtl/>
          <w:lang w:eastAsia="de-DE"/>
        </w:rPr>
        <w:t>שִׁמְעוּ</w:t>
      </w:r>
      <w:r w:rsidRPr="008537CA">
        <w:rPr>
          <w:rFonts w:eastAsia="Times New Roman" w:cs="Times New Roman"/>
          <w:rtl/>
          <w:lang w:eastAsia="de-DE"/>
        </w:rPr>
        <w:t xml:space="preserve"> </w:t>
      </w:r>
      <w:r w:rsidRPr="008537CA">
        <w:rPr>
          <w:rFonts w:eastAsia="Times New Roman" w:cs="Times New Roman"/>
          <w:lang w:eastAsia="de-DE"/>
        </w:rPr>
        <w:t xml:space="preserve">(Qal Imperativ, 2. m. pl. von </w:t>
      </w:r>
      <w:r w:rsidRPr="008537CA">
        <w:rPr>
          <w:rFonts w:eastAsia="Times New Roman" w:cs="Times New Roman"/>
          <w:b/>
          <w:bCs/>
          <w:rtl/>
          <w:lang w:eastAsia="de-DE"/>
        </w:rPr>
        <w:t>שׁמע</w:t>
      </w:r>
      <w:r w:rsidRPr="008537CA">
        <w:rPr>
          <w:rFonts w:eastAsia="Times New Roman" w:cs="Times New Roman"/>
          <w:lang w:eastAsia="de-DE"/>
        </w:rPr>
        <w:t xml:space="preserve">) bedeutet „hört". Die Partikel </w:t>
      </w:r>
      <w:r w:rsidRPr="008537CA">
        <w:rPr>
          <w:rFonts w:eastAsia="Times New Roman" w:cs="Times New Roman"/>
          <w:b/>
          <w:bCs/>
          <w:rtl/>
          <w:lang w:eastAsia="de-DE"/>
        </w:rPr>
        <w:t>נָא</w:t>
      </w:r>
      <w:r w:rsidRPr="008537CA">
        <w:rPr>
          <w:rFonts w:eastAsia="Times New Roman" w:cs="Times New Roman"/>
          <w:rtl/>
          <w:lang w:eastAsia="de-DE"/>
        </w:rPr>
        <w:t xml:space="preserve"> </w:t>
      </w:r>
      <w:r w:rsidRPr="008537CA">
        <w:rPr>
          <w:rFonts w:eastAsia="Times New Roman" w:cs="Times New Roman"/>
          <w:lang w:eastAsia="de-DE"/>
        </w:rPr>
        <w:t>(„doch, bitte") mildert den Imperativ leicht ab und verleiht ihm eine dringliche oder appellierende Qualität. Der Maqqef verbindet Verb und Partikel.</w:t>
      </w:r>
    </w:p>
    <w:p w14:paraId="4E4D53AA"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Vokativphrase </w:t>
      </w:r>
      <w:r w:rsidRPr="008537CA">
        <w:rPr>
          <w:rFonts w:eastAsia="Times New Roman" w:cs="Times New Roman"/>
          <w:b/>
          <w:bCs/>
          <w:rtl/>
          <w:lang w:eastAsia="de-DE"/>
        </w:rPr>
        <w:t>בְּנֵי לֵוִי</w:t>
      </w:r>
      <w:r w:rsidRPr="008537CA">
        <w:rPr>
          <w:rFonts w:eastAsia="Times New Roman" w:cs="Times New Roman"/>
          <w:rtl/>
          <w:lang w:eastAsia="de-DE"/>
        </w:rPr>
        <w:t xml:space="preserve"> </w:t>
      </w:r>
      <w:r w:rsidRPr="008537CA">
        <w:rPr>
          <w:rFonts w:eastAsia="Times New Roman" w:cs="Times New Roman"/>
          <w:lang w:eastAsia="de-DE"/>
        </w:rPr>
        <w:t xml:space="preserve">(„Söhne Levis") identifiziert die eigentlichen Adressaten der Rede. </w:t>
      </w:r>
      <w:r w:rsidRPr="008537CA">
        <w:rPr>
          <w:rFonts w:eastAsia="Times New Roman" w:cs="Times New Roman"/>
          <w:b/>
          <w:bCs/>
          <w:rtl/>
          <w:lang w:eastAsia="de-DE"/>
        </w:rPr>
        <w:t>בְּנֵי</w:t>
      </w:r>
      <w:r w:rsidRPr="008537CA">
        <w:rPr>
          <w:rFonts w:eastAsia="Times New Roman" w:cs="Times New Roman"/>
          <w:rtl/>
          <w:lang w:eastAsia="de-DE"/>
        </w:rPr>
        <w:t xml:space="preserve"> </w:t>
      </w:r>
      <w:r w:rsidRPr="008537CA">
        <w:rPr>
          <w:rFonts w:eastAsia="Times New Roman" w:cs="Times New Roman"/>
          <w:lang w:eastAsia="de-DE"/>
        </w:rPr>
        <w:t xml:space="preserve">ist Constructus Plural von </w:t>
      </w:r>
      <w:r w:rsidRPr="008537CA">
        <w:rPr>
          <w:rFonts w:eastAsia="Times New Roman" w:cs="Times New Roman"/>
          <w:b/>
          <w:bCs/>
          <w:rtl/>
          <w:lang w:eastAsia="de-DE"/>
        </w:rPr>
        <w:t>בֵּן</w:t>
      </w:r>
      <w:r w:rsidRPr="008537CA">
        <w:rPr>
          <w:rFonts w:eastAsia="Times New Roman" w:cs="Times New Roman"/>
          <w:lang w:eastAsia="de-DE"/>
        </w:rPr>
        <w:t xml:space="preserve">, </w:t>
      </w:r>
      <w:r w:rsidRPr="008537CA">
        <w:rPr>
          <w:rFonts w:eastAsia="Times New Roman" w:cs="Times New Roman"/>
          <w:b/>
          <w:bCs/>
          <w:rtl/>
          <w:lang w:eastAsia="de-DE"/>
        </w:rPr>
        <w:t>לֵוִי</w:t>
      </w:r>
      <w:r w:rsidRPr="008537CA">
        <w:rPr>
          <w:rFonts w:eastAsia="Times New Roman" w:cs="Times New Roman"/>
          <w:rtl/>
          <w:lang w:eastAsia="de-DE"/>
        </w:rPr>
        <w:t xml:space="preserve"> </w:t>
      </w:r>
      <w:r w:rsidRPr="008537CA">
        <w:rPr>
          <w:rFonts w:eastAsia="Times New Roman" w:cs="Times New Roman"/>
          <w:lang w:eastAsia="de-DE"/>
        </w:rPr>
        <w:t>der Stammesname. Diese Anrede betont die levitische Identität der Angesprochenen und bereitet die folgende Argumentation vor, die auf ihren besonderen Status als Leviten eingeht.</w:t>
      </w:r>
    </w:p>
    <w:p w14:paraId="078F718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ist syntaktisch äußerst knapp und dient als Überleitung zu Moses ausführlicher Rede in den folgenden Versen.</w:t>
      </w:r>
    </w:p>
    <w:p w14:paraId="250340E7" w14:textId="2C17EFC3"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Die LXX</w:t>
      </w:r>
      <w:r w:rsidRPr="008537CA">
        <w:rPr>
          <w:rFonts w:eastAsia="Times New Roman" w:cs="Times New Roman"/>
          <w:lang w:eastAsia="de-DE"/>
        </w:rPr>
        <w:t xml:space="preserve"> übersetzt </w:t>
      </w:r>
      <w:r w:rsidRPr="008537CA">
        <w:rPr>
          <w:rFonts w:eastAsia="Times New Roman" w:cs="Times New Roman"/>
          <w:b/>
          <w:bCs/>
          <w:rtl/>
          <w:lang w:eastAsia="de-DE"/>
        </w:rPr>
        <w:t>וַיֹּאמֶר מֹשֶׁה אֶל־קֹרַח</w:t>
      </w:r>
      <w:r w:rsidRPr="008537CA">
        <w:rPr>
          <w:rFonts w:eastAsia="Times New Roman" w:cs="Times New Roman"/>
          <w:rtl/>
          <w:lang w:eastAsia="de-DE"/>
        </w:rPr>
        <w:t xml:space="preserve"> </w:t>
      </w:r>
      <w:r w:rsidRPr="008537CA">
        <w:rPr>
          <w:rFonts w:eastAsia="Times New Roman" w:cs="Times New Roman"/>
          <w:lang w:eastAsia="de-DE"/>
        </w:rPr>
        <w:t xml:space="preserve">mit καὶ εἶπεν Μωυσῆς πρὸς Κορέ (was dem Hebräischen genau entspricht. </w:t>
      </w:r>
      <w:r w:rsidRPr="008537CA">
        <w:rPr>
          <w:rFonts w:eastAsia="Times New Roman" w:cs="Times New Roman"/>
          <w:b/>
          <w:bCs/>
          <w:rtl/>
          <w:lang w:eastAsia="de-DE"/>
        </w:rPr>
        <w:t>שִׁמְעוּ־נָא</w:t>
      </w:r>
      <w:r w:rsidRPr="008537CA">
        <w:rPr>
          <w:rFonts w:eastAsia="Times New Roman" w:cs="Times New Roman"/>
          <w:rtl/>
          <w:lang w:eastAsia="de-DE"/>
        </w:rPr>
        <w:t xml:space="preserve"> </w:t>
      </w:r>
      <w:r w:rsidRPr="008537CA">
        <w:rPr>
          <w:rFonts w:eastAsia="Times New Roman" w:cs="Times New Roman"/>
          <w:lang w:eastAsia="de-DE"/>
        </w:rPr>
        <w:t xml:space="preserve">wird mit ἀκούσατέ μου („hört mich") übersetzt, wobei das griechische Pronomen der ersten Person das hebräische </w:t>
      </w:r>
      <w:r w:rsidRPr="008537CA">
        <w:rPr>
          <w:rFonts w:eastAsia="Times New Roman" w:cs="Times New Roman"/>
          <w:b/>
          <w:bCs/>
          <w:rtl/>
          <w:lang w:eastAsia="de-DE"/>
        </w:rPr>
        <w:t>נָא</w:t>
      </w:r>
      <w:r w:rsidRPr="008537CA">
        <w:rPr>
          <w:rFonts w:eastAsia="Times New Roman" w:cs="Times New Roman"/>
          <w:rtl/>
          <w:lang w:eastAsia="de-DE"/>
        </w:rPr>
        <w:t xml:space="preserve"> </w:t>
      </w:r>
      <w:r w:rsidRPr="008537CA">
        <w:rPr>
          <w:rFonts w:eastAsia="Times New Roman" w:cs="Times New Roman"/>
          <w:lang w:eastAsia="de-DE"/>
        </w:rPr>
        <w:t xml:space="preserve">interpretativ wiedergibt. </w:t>
      </w:r>
      <w:r w:rsidRPr="008537CA">
        <w:rPr>
          <w:rFonts w:eastAsia="Times New Roman" w:cs="Times New Roman"/>
          <w:b/>
          <w:bCs/>
          <w:rtl/>
          <w:lang w:eastAsia="de-DE"/>
        </w:rPr>
        <w:t>בְּנֵי לֵוִי</w:t>
      </w:r>
      <w:r w:rsidRPr="008537CA">
        <w:rPr>
          <w:rFonts w:eastAsia="Times New Roman" w:cs="Times New Roman"/>
          <w:rtl/>
          <w:lang w:eastAsia="de-DE"/>
        </w:rPr>
        <w:t xml:space="preserve"> </w:t>
      </w:r>
      <w:r w:rsidRPr="008537CA">
        <w:rPr>
          <w:rFonts w:eastAsia="Times New Roman" w:cs="Times New Roman"/>
          <w:lang w:eastAsia="de-DE"/>
        </w:rPr>
        <w:t>wird mit υἱοὶ Λευί übersetzt.</w:t>
      </w:r>
    </w:p>
    <w:p w14:paraId="08DDB73C"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Satzstruktur besteht aus einem Hauptsatz mit dem Verb als Prädikat, explizitem Subjekt und Präpositionalphrase als Dativobjekt. Die direkte Rede ist ein imperativer Hauptsatz mit Vokativ. Es gibt keine Nebensätze.</w:t>
      </w:r>
    </w:p>
    <w:p w14:paraId="3CCB400E"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dient als rhetorische Einleitung zu Moses Argumentation, die den Leviten ihre besondere Stellung vor Augen führen wird.</w:t>
      </w:r>
    </w:p>
    <w:p w14:paraId="5C6528F5"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t>Numeri 16,9</w:t>
      </w:r>
    </w:p>
    <w:p w14:paraId="2FE130F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הַמְעַ֣ט מִכֶּ֗ם כִּֽי־הִבְדִּיל֩ אֱלֹהֵ֨י יִשְׂרָאֵ֤ל אֶתְכֶם֙ מֵעֲדַ֣ת יִשְׂרָאֵ֔ל לְהַקְרִ֥יב אֶתְכֶ֖ם אֵלָ֑יו לַעֲבֹ֗ד אֶת־עֲבֹדַת֙ מִשְׁכַּ֣ן יְהוָ֔ה וְלַעֲמֹ֛ד לִפְנֵ֥י הָעֵדָ֖ה לְשָׁרְתָֽם׃</w:t>
      </w:r>
    </w:p>
    <w:p w14:paraId="6D207E7F"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Ist es euch zu wenig, dass der Gott Jisra'els euch aus der Gemeinde Jisra'els ausgesondert hat, um euch zu sich nahen zu lassen, damit ihr den Dienst der Wohnung des Ewigen verrichtet und vor der Gemeinde steht, um sie zu bedienen,</w:t>
      </w:r>
    </w:p>
    <w:p w14:paraId="12A1B744"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lastRenderedPageBreak/>
        <w:pict w14:anchorId="2A856FB5">
          <v:rect id="_x0000_i1547" style="width:0;height:1.5pt" o:hralign="center" o:hrstd="t" o:hr="t" fillcolor="#a0a0a0" stroked="f"/>
        </w:pict>
      </w:r>
    </w:p>
    <w:p w14:paraId="6100592F" w14:textId="61E521A5"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Kommentar:</w:t>
      </w:r>
      <w:r w:rsidRPr="008537CA">
        <w:rPr>
          <w:rFonts w:eastAsia="Times New Roman" w:cs="Times New Roman"/>
          <w:lang w:eastAsia="de-DE"/>
        </w:rPr>
        <w:t xml:space="preserve"> Die Phrase </w:t>
      </w:r>
      <w:r w:rsidRPr="008537CA">
        <w:rPr>
          <w:rFonts w:eastAsia="Times New Roman" w:cs="Times New Roman"/>
          <w:b/>
          <w:bCs/>
          <w:rtl/>
          <w:lang w:eastAsia="de-DE"/>
        </w:rPr>
        <w:t>הַמְעַט מִכֶּם</w:t>
      </w:r>
      <w:r w:rsidRPr="008537CA">
        <w:rPr>
          <w:rFonts w:eastAsia="Times New Roman" w:cs="Times New Roman"/>
          <w:rtl/>
          <w:lang w:eastAsia="de-DE"/>
        </w:rPr>
        <w:t xml:space="preserve"> </w:t>
      </w:r>
      <w:r w:rsidRPr="008537CA">
        <w:rPr>
          <w:rFonts w:eastAsia="Times New Roman" w:cs="Times New Roman"/>
          <w:lang w:eastAsia="de-DE"/>
        </w:rPr>
        <w:t xml:space="preserve">ist eine rhetorische Frage. </w:t>
      </w:r>
      <w:r w:rsidRPr="008537CA">
        <w:rPr>
          <w:rFonts w:eastAsia="Times New Roman" w:cs="Times New Roman"/>
          <w:b/>
          <w:bCs/>
          <w:rtl/>
          <w:lang w:eastAsia="de-DE"/>
        </w:rPr>
        <w:t>הַ</w:t>
      </w:r>
      <w:r w:rsidRPr="008537CA">
        <w:rPr>
          <w:rFonts w:eastAsia="Times New Roman" w:cs="Times New Roman"/>
          <w:rtl/>
          <w:lang w:eastAsia="de-DE"/>
        </w:rPr>
        <w:t xml:space="preserve"> </w:t>
      </w:r>
      <w:r w:rsidRPr="008537CA">
        <w:rPr>
          <w:rFonts w:eastAsia="Times New Roman" w:cs="Times New Roman"/>
          <w:lang w:eastAsia="de-DE"/>
        </w:rPr>
        <w:t xml:space="preserve">ist das interrogative Präfix, </w:t>
      </w:r>
      <w:r w:rsidRPr="008537CA">
        <w:rPr>
          <w:rFonts w:eastAsia="Times New Roman" w:cs="Times New Roman"/>
          <w:b/>
          <w:bCs/>
          <w:rtl/>
          <w:lang w:eastAsia="de-DE"/>
        </w:rPr>
        <w:t>מְעַט</w:t>
      </w:r>
      <w:r w:rsidRPr="008537CA">
        <w:rPr>
          <w:rFonts w:eastAsia="Times New Roman" w:cs="Times New Roman"/>
          <w:rtl/>
          <w:lang w:eastAsia="de-DE"/>
        </w:rPr>
        <w:t xml:space="preserve"> </w:t>
      </w:r>
      <w:r w:rsidRPr="008537CA">
        <w:rPr>
          <w:rFonts w:eastAsia="Times New Roman" w:cs="Times New Roman"/>
          <w:lang w:eastAsia="de-DE"/>
        </w:rPr>
        <w:t xml:space="preserve">bedeutet „wenig", </w:t>
      </w:r>
      <w:r w:rsidRPr="008537CA">
        <w:rPr>
          <w:rFonts w:eastAsia="Times New Roman" w:cs="Times New Roman"/>
          <w:b/>
          <w:bCs/>
          <w:rtl/>
          <w:lang w:eastAsia="de-DE"/>
        </w:rPr>
        <w:t>מִכֶּם</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w:t>
      </w:r>
      <w:r w:rsidRPr="008537CA">
        <w:rPr>
          <w:rFonts w:eastAsia="Times New Roman" w:cs="Times New Roman"/>
          <w:b/>
          <w:bCs/>
          <w:rtl/>
          <w:lang w:eastAsia="de-DE"/>
        </w:rPr>
        <w:t>מִן</w:t>
      </w:r>
      <w:r w:rsidRPr="008537CA">
        <w:rPr>
          <w:rFonts w:eastAsia="Times New Roman" w:cs="Times New Roman"/>
          <w:rtl/>
          <w:lang w:eastAsia="de-DE"/>
        </w:rPr>
        <w:t xml:space="preserve"> </w:t>
      </w:r>
      <w:r w:rsidRPr="008537CA">
        <w:rPr>
          <w:rFonts w:eastAsia="Times New Roman" w:cs="Times New Roman"/>
          <w:lang w:eastAsia="de-DE"/>
        </w:rPr>
        <w:t xml:space="preserve">(„von") mit dem Suffix 2. m. pl. („von euch, für euch"). Die idiomatische </w:t>
      </w:r>
      <w:r w:rsidR="00F133EC">
        <w:rPr>
          <w:rFonts w:eastAsia="Times New Roman" w:cs="Times New Roman"/>
          <w:lang w:eastAsia="de-DE"/>
        </w:rPr>
        <w:t>Construct</w:t>
      </w:r>
      <w:r w:rsidRPr="008537CA">
        <w:rPr>
          <w:rFonts w:eastAsia="Times New Roman" w:cs="Times New Roman"/>
          <w:lang w:eastAsia="de-DE"/>
        </w:rPr>
        <w:t xml:space="preserve">ion </w:t>
      </w:r>
      <w:r w:rsidRPr="008537CA">
        <w:rPr>
          <w:rFonts w:eastAsia="Times New Roman" w:cs="Times New Roman"/>
          <w:b/>
          <w:bCs/>
          <w:rtl/>
          <w:lang w:eastAsia="de-DE"/>
        </w:rPr>
        <w:t>המעט מן</w:t>
      </w:r>
      <w:r w:rsidRPr="008537CA">
        <w:rPr>
          <w:rFonts w:eastAsia="Times New Roman" w:cs="Times New Roman"/>
          <w:rtl/>
          <w:lang w:eastAsia="de-DE"/>
        </w:rPr>
        <w:t xml:space="preserve"> </w:t>
      </w:r>
      <w:r w:rsidRPr="008537CA">
        <w:rPr>
          <w:rFonts w:eastAsia="Times New Roman" w:cs="Times New Roman"/>
          <w:lang w:eastAsia="de-DE"/>
        </w:rPr>
        <w:t>bedeutet „ist es zu wenig für" und drückt Unzufriedenheit mit der Haltung des Adressaten aus. Die rhetorische Frage impliziert: „Ist es etwa nicht genug für euch?".</w:t>
      </w:r>
    </w:p>
    <w:p w14:paraId="656A43BA"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kausale Konjunktion </w:t>
      </w:r>
      <w:r w:rsidRPr="008537CA">
        <w:rPr>
          <w:rFonts w:eastAsia="Times New Roman" w:cs="Times New Roman"/>
          <w:b/>
          <w:bCs/>
          <w:rtl/>
          <w:lang w:eastAsia="de-DE"/>
        </w:rPr>
        <w:t>כִּי</w:t>
      </w:r>
      <w:r w:rsidRPr="008537CA">
        <w:rPr>
          <w:rFonts w:eastAsia="Times New Roman" w:cs="Times New Roman"/>
          <w:rtl/>
          <w:lang w:eastAsia="de-DE"/>
        </w:rPr>
        <w:t xml:space="preserve"> </w:t>
      </w:r>
      <w:r w:rsidRPr="008537CA">
        <w:rPr>
          <w:rFonts w:eastAsia="Times New Roman" w:cs="Times New Roman"/>
          <w:lang w:eastAsia="de-DE"/>
        </w:rPr>
        <w:t>(„dass, weil") leitet den Inhaltssatz ein, der das vermeintlich „Wenige" expliziert.</w:t>
      </w:r>
    </w:p>
    <w:p w14:paraId="3F0B91EB" w14:textId="0282EA11" w:rsidR="008537CA" w:rsidRPr="008537CA" w:rsidRDefault="008537CA" w:rsidP="008537CA">
      <w:pPr>
        <w:pStyle w:val="whitespace-normal"/>
      </w:pPr>
      <w:r w:rsidRPr="008537CA">
        <w:t xml:space="preserve">Das Verb </w:t>
      </w:r>
      <w:r w:rsidRPr="008537CA">
        <w:rPr>
          <w:b/>
          <w:bCs/>
          <w:rtl/>
        </w:rPr>
        <w:t>הִבְדִּיל</w:t>
      </w:r>
      <w:r w:rsidRPr="008537CA">
        <w:rPr>
          <w:rtl/>
        </w:rPr>
        <w:t xml:space="preserve"> </w:t>
      </w:r>
      <w:r w:rsidRPr="008537CA">
        <w:t xml:space="preserve">(Hifil Perfekt, 3. m. sg. von </w:t>
      </w:r>
      <w:r w:rsidRPr="008537CA">
        <w:rPr>
          <w:b/>
          <w:bCs/>
          <w:rtl/>
        </w:rPr>
        <w:t>בדל</w:t>
      </w:r>
      <w:r w:rsidRPr="008537CA">
        <w:t xml:space="preserve">) bedeutet „er hat ausgesondert, abgesondert". Die Hifil-Form ist kausativ und bezeichnet das Trennen oder Aussondern für einen besonderen Zweck. </w:t>
      </w:r>
      <w:r w:rsidRPr="008537CA">
        <w:rPr>
          <w:b/>
          <w:bCs/>
          <w:rtl/>
        </w:rPr>
        <w:t>אֱלֹהֵי יִשְׂרָאֵל</w:t>
      </w:r>
      <w:r w:rsidRPr="008537CA">
        <w:rPr>
          <w:rtl/>
        </w:rPr>
        <w:t xml:space="preserve"> </w:t>
      </w:r>
      <w:r w:rsidRPr="008537CA">
        <w:t xml:space="preserve">ist das Subjekt: </w:t>
      </w:r>
      <w:r w:rsidRPr="008537CA">
        <w:rPr>
          <w:b/>
          <w:bCs/>
          <w:rtl/>
        </w:rPr>
        <w:t>אֱלֹהֵי</w:t>
      </w:r>
      <w:r w:rsidRPr="008537CA">
        <w:rPr>
          <w:rtl/>
        </w:rPr>
        <w:t xml:space="preserve"> </w:t>
      </w:r>
      <w:r w:rsidRPr="008537CA">
        <w:t xml:space="preserve">ist der Constructus Plural von </w:t>
      </w:r>
      <w:r w:rsidRPr="008537CA">
        <w:rPr>
          <w:b/>
          <w:bCs/>
          <w:rtl/>
        </w:rPr>
        <w:t>אֱלֹהִים</w:t>
      </w:r>
      <w:r w:rsidRPr="008537CA">
        <w:rPr>
          <w:rtl/>
        </w:rPr>
        <w:t xml:space="preserve"> </w:t>
      </w:r>
      <w:r w:rsidRPr="008537CA">
        <w:t xml:space="preserve">(„Gott"), </w:t>
      </w:r>
      <w:r w:rsidRPr="008537CA">
        <w:rPr>
          <w:b/>
          <w:bCs/>
          <w:rtl/>
        </w:rPr>
        <w:t>יִשְׂרָאֵל</w:t>
      </w:r>
      <w:r w:rsidRPr="008537CA">
        <w:rPr>
          <w:rtl/>
        </w:rPr>
        <w:t xml:space="preserve"> </w:t>
      </w:r>
      <w:r w:rsidRPr="008537CA">
        <w:t>der Gottesname im Genitiv. Die Phrase „Gott Israels" betont die besondere Beziehung zwischen JHWH und seinem Volk.</w:t>
      </w:r>
    </w:p>
    <w:p w14:paraId="39E9C4BB"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Objekt </w:t>
      </w:r>
      <w:r w:rsidRPr="008537CA">
        <w:rPr>
          <w:rFonts w:eastAsia="Times New Roman" w:cs="Times New Roman"/>
          <w:b/>
          <w:bCs/>
          <w:rtl/>
          <w:lang w:eastAsia="de-DE"/>
        </w:rPr>
        <w:t>אֶתְכֶם</w:t>
      </w:r>
      <w:r w:rsidRPr="008537CA">
        <w:rPr>
          <w:rFonts w:eastAsia="Times New Roman" w:cs="Times New Roman"/>
          <w:rtl/>
          <w:lang w:eastAsia="de-DE"/>
        </w:rPr>
        <w:t xml:space="preserve"> </w:t>
      </w:r>
      <w:r w:rsidRPr="008537CA">
        <w:rPr>
          <w:rFonts w:eastAsia="Times New Roman" w:cs="Times New Roman"/>
          <w:lang w:eastAsia="de-DE"/>
        </w:rPr>
        <w:t xml:space="preserve">ist die Objektpartikel </w:t>
      </w:r>
      <w:r w:rsidRPr="008537CA">
        <w:rPr>
          <w:rFonts w:eastAsia="Times New Roman" w:cs="Times New Roman"/>
          <w:b/>
          <w:bCs/>
          <w:rtl/>
          <w:lang w:eastAsia="de-DE"/>
        </w:rPr>
        <w:t>אֶת</w:t>
      </w:r>
      <w:r w:rsidRPr="008537CA">
        <w:rPr>
          <w:rFonts w:eastAsia="Times New Roman" w:cs="Times New Roman"/>
          <w:rtl/>
          <w:lang w:eastAsia="de-DE"/>
        </w:rPr>
        <w:t xml:space="preserve"> </w:t>
      </w:r>
      <w:r w:rsidRPr="008537CA">
        <w:rPr>
          <w:rFonts w:eastAsia="Times New Roman" w:cs="Times New Roman"/>
          <w:lang w:eastAsia="de-DE"/>
        </w:rPr>
        <w:t xml:space="preserve">mit dem Suffix 2. m. pl. („euch"). Die Präpositionalphrase </w:t>
      </w:r>
      <w:r w:rsidRPr="008537CA">
        <w:rPr>
          <w:rFonts w:eastAsia="Times New Roman" w:cs="Times New Roman"/>
          <w:b/>
          <w:bCs/>
          <w:rtl/>
          <w:lang w:eastAsia="de-DE"/>
        </w:rPr>
        <w:t>מֵעֲדַת יִשְׂרָאֵל</w:t>
      </w:r>
      <w:r w:rsidRPr="008537CA">
        <w:rPr>
          <w:rFonts w:eastAsia="Times New Roman" w:cs="Times New Roman"/>
          <w:rtl/>
          <w:lang w:eastAsia="de-DE"/>
        </w:rPr>
        <w:t xml:space="preserve"> </w:t>
      </w:r>
      <w:r w:rsidRPr="008537CA">
        <w:rPr>
          <w:rFonts w:eastAsia="Times New Roman" w:cs="Times New Roman"/>
          <w:lang w:eastAsia="de-DE"/>
        </w:rPr>
        <w:t xml:space="preserve">gibt an, wovon die Aussonderung erfolgte: </w:t>
      </w:r>
      <w:r w:rsidRPr="008537CA">
        <w:rPr>
          <w:rFonts w:eastAsia="Times New Roman" w:cs="Times New Roman"/>
          <w:b/>
          <w:bCs/>
          <w:rtl/>
          <w:lang w:eastAsia="de-DE"/>
        </w:rPr>
        <w:t>מִן</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„von, aus", </w:t>
      </w:r>
      <w:r w:rsidRPr="008537CA">
        <w:rPr>
          <w:rFonts w:eastAsia="Times New Roman" w:cs="Times New Roman"/>
          <w:b/>
          <w:bCs/>
          <w:rtl/>
          <w:lang w:eastAsia="de-DE"/>
        </w:rPr>
        <w:t>עֲדַת</w:t>
      </w:r>
      <w:r w:rsidRPr="008537CA">
        <w:rPr>
          <w:rFonts w:eastAsia="Times New Roman" w:cs="Times New Roman"/>
          <w:rtl/>
          <w:lang w:eastAsia="de-DE"/>
        </w:rPr>
        <w:t xml:space="preserve"> </w:t>
      </w:r>
      <w:r w:rsidRPr="008537CA">
        <w:rPr>
          <w:rFonts w:eastAsia="Times New Roman" w:cs="Times New Roman"/>
          <w:lang w:eastAsia="de-DE"/>
        </w:rPr>
        <w:t xml:space="preserve">der Constructus von </w:t>
      </w:r>
      <w:r w:rsidRPr="008537CA">
        <w:rPr>
          <w:rFonts w:eastAsia="Times New Roman" w:cs="Times New Roman"/>
          <w:b/>
          <w:bCs/>
          <w:rtl/>
          <w:lang w:eastAsia="de-DE"/>
        </w:rPr>
        <w:t>עֵדָה</w:t>
      </w:r>
      <w:r w:rsidRPr="008537CA">
        <w:rPr>
          <w:rFonts w:eastAsia="Times New Roman" w:cs="Times New Roman"/>
          <w:rtl/>
          <w:lang w:eastAsia="de-DE"/>
        </w:rPr>
        <w:t xml:space="preserve"> </w:t>
      </w:r>
      <w:r w:rsidRPr="008537CA">
        <w:rPr>
          <w:rFonts w:eastAsia="Times New Roman" w:cs="Times New Roman"/>
          <w:lang w:eastAsia="de-DE"/>
        </w:rPr>
        <w:t xml:space="preserve">(„Gemeinde"), </w:t>
      </w:r>
      <w:r w:rsidRPr="008537CA">
        <w:rPr>
          <w:rFonts w:eastAsia="Times New Roman" w:cs="Times New Roman"/>
          <w:b/>
          <w:bCs/>
          <w:rtl/>
          <w:lang w:eastAsia="de-DE"/>
        </w:rPr>
        <w:t>יִשְׂרָאֵל</w:t>
      </w:r>
      <w:r w:rsidRPr="008537CA">
        <w:rPr>
          <w:rFonts w:eastAsia="Times New Roman" w:cs="Times New Roman"/>
          <w:rtl/>
          <w:lang w:eastAsia="de-DE"/>
        </w:rPr>
        <w:t xml:space="preserve"> </w:t>
      </w:r>
      <w:r w:rsidRPr="008537CA">
        <w:rPr>
          <w:rFonts w:eastAsia="Times New Roman" w:cs="Times New Roman"/>
          <w:lang w:eastAsia="de-DE"/>
        </w:rPr>
        <w:t>der Stammesname. Die Phrase bedeutet „aus der Gemeinde Israels".</w:t>
      </w:r>
    </w:p>
    <w:p w14:paraId="582D040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Der Infinitiv construct </w:t>
      </w:r>
      <w:r w:rsidRPr="008537CA">
        <w:rPr>
          <w:rFonts w:eastAsia="Times New Roman" w:cs="Times New Roman"/>
          <w:b/>
          <w:bCs/>
          <w:rtl/>
          <w:lang w:eastAsia="de-DE"/>
        </w:rPr>
        <w:t>לְהַקְרִיב</w:t>
      </w:r>
      <w:r w:rsidRPr="008537CA">
        <w:rPr>
          <w:rFonts w:eastAsia="Times New Roman" w:cs="Times New Roman"/>
          <w:rtl/>
          <w:lang w:eastAsia="de-DE"/>
        </w:rPr>
        <w:t xml:space="preserve"> </w:t>
      </w:r>
      <w:r w:rsidRPr="008537CA">
        <w:rPr>
          <w:rFonts w:eastAsia="Times New Roman" w:cs="Times New Roman"/>
          <w:lang w:eastAsia="de-DE"/>
        </w:rPr>
        <w:t xml:space="preserve">(Hifil von </w:t>
      </w:r>
      <w:r w:rsidRPr="008537CA">
        <w:rPr>
          <w:rFonts w:eastAsia="Times New Roman" w:cs="Times New Roman"/>
          <w:b/>
          <w:bCs/>
          <w:rtl/>
          <w:lang w:eastAsia="de-DE"/>
        </w:rPr>
        <w:t>קרב</w:t>
      </w:r>
      <w:r w:rsidRPr="008537CA">
        <w:rPr>
          <w:rFonts w:eastAsia="Times New Roman" w:cs="Times New Roman"/>
          <w:rtl/>
          <w:lang w:eastAsia="de-DE"/>
        </w:rPr>
        <w:t xml:space="preserve"> </w:t>
      </w:r>
      <w:r w:rsidRPr="008537CA">
        <w:rPr>
          <w:rFonts w:eastAsia="Times New Roman" w:cs="Times New Roman"/>
          <w:lang w:eastAsia="de-DE"/>
        </w:rPr>
        <w:t xml:space="preserve">mit der Präposition </w:t>
      </w:r>
      <w:r w:rsidRPr="008537CA">
        <w:rPr>
          <w:rFonts w:eastAsia="Times New Roman" w:cs="Times New Roman"/>
          <w:b/>
          <w:bCs/>
          <w:rtl/>
          <w:lang w:eastAsia="de-DE"/>
        </w:rPr>
        <w:t>לְ</w:t>
      </w:r>
      <w:r w:rsidRPr="008537CA">
        <w:rPr>
          <w:rFonts w:eastAsia="Times New Roman" w:cs="Times New Roman"/>
          <w:lang w:eastAsia="de-DE"/>
        </w:rPr>
        <w:t xml:space="preserve">) drückt den Zweck der Aussonderung aus: „um nahen zu lassen". Die Hifil-Form ist kausativ: „veranlassen, dass jemand naht". </w:t>
      </w:r>
      <w:r w:rsidRPr="008537CA">
        <w:rPr>
          <w:rFonts w:eastAsia="Times New Roman" w:cs="Times New Roman"/>
          <w:b/>
          <w:bCs/>
          <w:rtl/>
          <w:lang w:eastAsia="de-DE"/>
        </w:rPr>
        <w:t>אֶתְכֶם</w:t>
      </w:r>
      <w:r w:rsidRPr="008537CA">
        <w:rPr>
          <w:rFonts w:eastAsia="Times New Roman" w:cs="Times New Roman"/>
          <w:rtl/>
          <w:lang w:eastAsia="de-DE"/>
        </w:rPr>
        <w:t xml:space="preserve"> </w:t>
      </w:r>
      <w:r w:rsidRPr="008537CA">
        <w:rPr>
          <w:rFonts w:eastAsia="Times New Roman" w:cs="Times New Roman"/>
          <w:lang w:eastAsia="de-DE"/>
        </w:rPr>
        <w:t xml:space="preserve">ist wieder die Objektpartikel mit Suffix 2. m. pl. </w:t>
      </w:r>
      <w:r w:rsidRPr="008537CA">
        <w:rPr>
          <w:rFonts w:eastAsia="Times New Roman" w:cs="Times New Roman"/>
          <w:b/>
          <w:bCs/>
          <w:rtl/>
          <w:lang w:eastAsia="de-DE"/>
        </w:rPr>
        <w:t>אֵלָיו</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w:t>
      </w:r>
      <w:r w:rsidRPr="008537CA">
        <w:rPr>
          <w:rFonts w:eastAsia="Times New Roman" w:cs="Times New Roman"/>
          <w:b/>
          <w:bCs/>
          <w:rtl/>
          <w:lang w:eastAsia="de-DE"/>
        </w:rPr>
        <w:t>אֶל</w:t>
      </w:r>
      <w:r w:rsidRPr="008537CA">
        <w:rPr>
          <w:rFonts w:eastAsia="Times New Roman" w:cs="Times New Roman"/>
          <w:rtl/>
          <w:lang w:eastAsia="de-DE"/>
        </w:rPr>
        <w:t xml:space="preserve"> </w:t>
      </w:r>
      <w:r w:rsidRPr="008537CA">
        <w:rPr>
          <w:rFonts w:eastAsia="Times New Roman" w:cs="Times New Roman"/>
          <w:lang w:eastAsia="de-DE"/>
        </w:rPr>
        <w:t>mit Suffix 3. m. sg. („zu ihm"), das auf Gott verweist. Die Infinitivkonstruktion bildet eine finale Bestimmung.</w:t>
      </w:r>
    </w:p>
    <w:p w14:paraId="5200BFC2"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Der zweite finale Infinitiv </w:t>
      </w:r>
      <w:r w:rsidRPr="008537CA">
        <w:rPr>
          <w:rFonts w:eastAsia="Times New Roman" w:cs="Times New Roman"/>
          <w:b/>
          <w:bCs/>
          <w:rtl/>
          <w:lang w:eastAsia="de-DE"/>
        </w:rPr>
        <w:t>לַעֲבֹד</w:t>
      </w:r>
      <w:r w:rsidRPr="008537CA">
        <w:rPr>
          <w:rFonts w:eastAsia="Times New Roman" w:cs="Times New Roman"/>
          <w:rtl/>
          <w:lang w:eastAsia="de-DE"/>
        </w:rPr>
        <w:t xml:space="preserve"> </w:t>
      </w:r>
      <w:r w:rsidRPr="008537CA">
        <w:rPr>
          <w:rFonts w:eastAsia="Times New Roman" w:cs="Times New Roman"/>
          <w:lang w:eastAsia="de-DE"/>
        </w:rPr>
        <w:t xml:space="preserve">(Qal Infinitiv construct von </w:t>
      </w:r>
      <w:r w:rsidRPr="008537CA">
        <w:rPr>
          <w:rFonts w:eastAsia="Times New Roman" w:cs="Times New Roman"/>
          <w:b/>
          <w:bCs/>
          <w:rtl/>
          <w:lang w:eastAsia="de-DE"/>
        </w:rPr>
        <w:t>עבד</w:t>
      </w:r>
      <w:r w:rsidRPr="008537CA">
        <w:rPr>
          <w:rFonts w:eastAsia="Times New Roman" w:cs="Times New Roman"/>
          <w:rtl/>
          <w:lang w:eastAsia="de-DE"/>
        </w:rPr>
        <w:t xml:space="preserve"> </w:t>
      </w:r>
      <w:r w:rsidRPr="008537CA">
        <w:rPr>
          <w:rFonts w:eastAsia="Times New Roman" w:cs="Times New Roman"/>
          <w:lang w:eastAsia="de-DE"/>
        </w:rPr>
        <w:t xml:space="preserve">mit </w:t>
      </w:r>
      <w:r w:rsidRPr="008537CA">
        <w:rPr>
          <w:rFonts w:eastAsia="Times New Roman" w:cs="Times New Roman"/>
          <w:b/>
          <w:bCs/>
          <w:rtl/>
          <w:lang w:eastAsia="de-DE"/>
        </w:rPr>
        <w:t>לְ</w:t>
      </w:r>
      <w:r w:rsidRPr="008537CA">
        <w:rPr>
          <w:rFonts w:eastAsia="Times New Roman" w:cs="Times New Roman"/>
          <w:lang w:eastAsia="de-DE"/>
        </w:rPr>
        <w:t xml:space="preserve">) bedeutet „um zu dienen". </w:t>
      </w:r>
      <w:r w:rsidRPr="008537CA">
        <w:rPr>
          <w:rFonts w:eastAsia="Times New Roman" w:cs="Times New Roman"/>
          <w:b/>
          <w:bCs/>
          <w:rtl/>
          <w:lang w:eastAsia="de-DE"/>
        </w:rPr>
        <w:t>אֶת־עֲבֹדַת</w:t>
      </w:r>
      <w:r w:rsidRPr="008537CA">
        <w:rPr>
          <w:rFonts w:eastAsia="Times New Roman" w:cs="Times New Roman"/>
          <w:rtl/>
          <w:lang w:eastAsia="de-DE"/>
        </w:rPr>
        <w:t xml:space="preserve"> </w:t>
      </w:r>
      <w:r w:rsidRPr="008537CA">
        <w:rPr>
          <w:rFonts w:eastAsia="Times New Roman" w:cs="Times New Roman"/>
          <w:lang w:eastAsia="de-DE"/>
        </w:rPr>
        <w:t xml:space="preserve">ist die Objektpartikel mit dem Constructus von </w:t>
      </w:r>
      <w:r w:rsidRPr="008537CA">
        <w:rPr>
          <w:rFonts w:eastAsia="Times New Roman" w:cs="Times New Roman"/>
          <w:b/>
          <w:bCs/>
          <w:rtl/>
          <w:lang w:eastAsia="de-DE"/>
        </w:rPr>
        <w:t>עֲבֹדָה</w:t>
      </w:r>
      <w:r w:rsidRPr="008537CA">
        <w:rPr>
          <w:rFonts w:eastAsia="Times New Roman" w:cs="Times New Roman"/>
          <w:rtl/>
          <w:lang w:eastAsia="de-DE"/>
        </w:rPr>
        <w:t xml:space="preserve"> </w:t>
      </w:r>
      <w:r w:rsidRPr="008537CA">
        <w:rPr>
          <w:rFonts w:eastAsia="Times New Roman" w:cs="Times New Roman"/>
          <w:lang w:eastAsia="de-DE"/>
        </w:rPr>
        <w:t xml:space="preserve">(„Dienst, Arbeit"). </w:t>
      </w:r>
      <w:r w:rsidRPr="008537CA">
        <w:rPr>
          <w:rFonts w:eastAsia="Times New Roman" w:cs="Times New Roman"/>
          <w:b/>
          <w:bCs/>
          <w:rtl/>
          <w:lang w:eastAsia="de-DE"/>
        </w:rPr>
        <w:t>מִשְׁכַּן יְהוָה</w:t>
      </w:r>
      <w:r w:rsidRPr="008537CA">
        <w:rPr>
          <w:rFonts w:eastAsia="Times New Roman" w:cs="Times New Roman"/>
          <w:rtl/>
          <w:lang w:eastAsia="de-DE"/>
        </w:rPr>
        <w:t xml:space="preserve"> </w:t>
      </w:r>
      <w:r w:rsidRPr="008537CA">
        <w:rPr>
          <w:rFonts w:eastAsia="Times New Roman" w:cs="Times New Roman"/>
          <w:lang w:eastAsia="de-DE"/>
        </w:rPr>
        <w:t xml:space="preserve">ist die Genitivverbindung: </w:t>
      </w:r>
      <w:r w:rsidRPr="008537CA">
        <w:rPr>
          <w:rFonts w:eastAsia="Times New Roman" w:cs="Times New Roman"/>
          <w:b/>
          <w:bCs/>
          <w:rtl/>
          <w:lang w:eastAsia="de-DE"/>
        </w:rPr>
        <w:t>מִשְׁכַּן</w:t>
      </w:r>
      <w:r w:rsidRPr="008537CA">
        <w:rPr>
          <w:rFonts w:eastAsia="Times New Roman" w:cs="Times New Roman"/>
          <w:rtl/>
          <w:lang w:eastAsia="de-DE"/>
        </w:rPr>
        <w:t xml:space="preserve"> </w:t>
      </w:r>
      <w:r w:rsidRPr="008537CA">
        <w:rPr>
          <w:rFonts w:eastAsia="Times New Roman" w:cs="Times New Roman"/>
          <w:lang w:eastAsia="de-DE"/>
        </w:rPr>
        <w:t xml:space="preserve">(„Wohnung, Heiligtum") im Constructus, </w:t>
      </w:r>
      <w:r w:rsidRPr="008537CA">
        <w:rPr>
          <w:rFonts w:eastAsia="Times New Roman" w:cs="Times New Roman"/>
          <w:b/>
          <w:bCs/>
          <w:rtl/>
          <w:lang w:eastAsia="de-DE"/>
        </w:rPr>
        <w:t>יְהוָה</w:t>
      </w:r>
      <w:r w:rsidRPr="008537CA">
        <w:rPr>
          <w:rFonts w:eastAsia="Times New Roman" w:cs="Times New Roman"/>
          <w:rtl/>
          <w:lang w:eastAsia="de-DE"/>
        </w:rPr>
        <w:t xml:space="preserve"> </w:t>
      </w:r>
      <w:r w:rsidRPr="008537CA">
        <w:rPr>
          <w:rFonts w:eastAsia="Times New Roman" w:cs="Times New Roman"/>
          <w:lang w:eastAsia="de-DE"/>
        </w:rPr>
        <w:t>das Tetragramm. Die ganze Phrase bedeutet „den Dienst der Wohnung JHWHs zu verrichten".</w:t>
      </w:r>
    </w:p>
    <w:p w14:paraId="01C9644D"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Der dritte finale Infinitiv </w:t>
      </w:r>
      <w:r w:rsidRPr="008537CA">
        <w:rPr>
          <w:rFonts w:eastAsia="Times New Roman" w:cs="Times New Roman"/>
          <w:b/>
          <w:bCs/>
          <w:rtl/>
          <w:lang w:eastAsia="de-DE"/>
        </w:rPr>
        <w:t>וְלַעֲמֹד</w:t>
      </w:r>
      <w:r w:rsidRPr="008537CA">
        <w:rPr>
          <w:rFonts w:eastAsia="Times New Roman" w:cs="Times New Roman"/>
          <w:rtl/>
          <w:lang w:eastAsia="de-DE"/>
        </w:rPr>
        <w:t xml:space="preserve"> </w:t>
      </w:r>
      <w:r w:rsidRPr="008537CA">
        <w:rPr>
          <w:rFonts w:eastAsia="Times New Roman" w:cs="Times New Roman"/>
          <w:lang w:eastAsia="de-DE"/>
        </w:rPr>
        <w:t xml:space="preserve">(Waw + Qal Infinitiv construct von </w:t>
      </w:r>
      <w:r w:rsidRPr="008537CA">
        <w:rPr>
          <w:rFonts w:eastAsia="Times New Roman" w:cs="Times New Roman"/>
          <w:b/>
          <w:bCs/>
          <w:rtl/>
          <w:lang w:eastAsia="de-DE"/>
        </w:rPr>
        <w:t>עמד</w:t>
      </w:r>
      <w:r w:rsidRPr="008537CA">
        <w:rPr>
          <w:rFonts w:eastAsia="Times New Roman" w:cs="Times New Roman"/>
          <w:rtl/>
          <w:lang w:eastAsia="de-DE"/>
        </w:rPr>
        <w:t xml:space="preserve"> </w:t>
      </w:r>
      <w:r w:rsidRPr="008537CA">
        <w:rPr>
          <w:rFonts w:eastAsia="Times New Roman" w:cs="Times New Roman"/>
          <w:lang w:eastAsia="de-DE"/>
        </w:rPr>
        <w:t xml:space="preserve">mit </w:t>
      </w:r>
      <w:r w:rsidRPr="008537CA">
        <w:rPr>
          <w:rFonts w:eastAsia="Times New Roman" w:cs="Times New Roman"/>
          <w:b/>
          <w:bCs/>
          <w:rtl/>
          <w:lang w:eastAsia="de-DE"/>
        </w:rPr>
        <w:t>לְ</w:t>
      </w:r>
      <w:r w:rsidRPr="008537CA">
        <w:rPr>
          <w:rFonts w:eastAsia="Times New Roman" w:cs="Times New Roman"/>
          <w:lang w:eastAsia="de-DE"/>
        </w:rPr>
        <w:t xml:space="preserve">) bedeutet „und um zu stehen". </w:t>
      </w:r>
      <w:r w:rsidRPr="008537CA">
        <w:rPr>
          <w:rFonts w:eastAsia="Times New Roman" w:cs="Times New Roman"/>
          <w:b/>
          <w:bCs/>
          <w:rtl/>
          <w:lang w:eastAsia="de-DE"/>
        </w:rPr>
        <w:t>לִפְנֵי הָעֵדָה</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Präpositionalphrase: </w:t>
      </w:r>
      <w:r w:rsidRPr="008537CA">
        <w:rPr>
          <w:rFonts w:eastAsia="Times New Roman" w:cs="Times New Roman"/>
          <w:b/>
          <w:bCs/>
          <w:rtl/>
          <w:lang w:eastAsia="de-DE"/>
        </w:rPr>
        <w:t>לִפְנֵי</w:t>
      </w:r>
      <w:r w:rsidRPr="008537CA">
        <w:rPr>
          <w:rFonts w:eastAsia="Times New Roman" w:cs="Times New Roman"/>
          <w:rtl/>
          <w:lang w:eastAsia="de-DE"/>
        </w:rPr>
        <w:t xml:space="preserve"> </w:t>
      </w:r>
      <w:r w:rsidRPr="008537CA">
        <w:rPr>
          <w:rFonts w:eastAsia="Times New Roman" w:cs="Times New Roman"/>
          <w:lang w:eastAsia="de-DE"/>
        </w:rPr>
        <w:t xml:space="preserve">bedeutet „vor", </w:t>
      </w:r>
      <w:r w:rsidRPr="008537CA">
        <w:rPr>
          <w:rFonts w:eastAsia="Times New Roman" w:cs="Times New Roman"/>
          <w:b/>
          <w:bCs/>
          <w:rtl/>
          <w:lang w:eastAsia="de-DE"/>
        </w:rPr>
        <w:t>הָעֵדָה</w:t>
      </w:r>
      <w:r w:rsidRPr="008537CA">
        <w:rPr>
          <w:rFonts w:eastAsia="Times New Roman" w:cs="Times New Roman"/>
          <w:rtl/>
          <w:lang w:eastAsia="de-DE"/>
        </w:rPr>
        <w:t xml:space="preserve"> </w:t>
      </w:r>
      <w:r w:rsidRPr="008537CA">
        <w:rPr>
          <w:rFonts w:eastAsia="Times New Roman" w:cs="Times New Roman"/>
          <w:lang w:eastAsia="de-DE"/>
        </w:rPr>
        <w:t xml:space="preserve">ist „die Gemeinde" mit Artikel. Die Wendung </w:t>
      </w:r>
      <w:r w:rsidRPr="008537CA">
        <w:rPr>
          <w:rFonts w:eastAsia="Times New Roman" w:cs="Times New Roman"/>
          <w:b/>
          <w:bCs/>
          <w:rtl/>
          <w:lang w:eastAsia="de-DE"/>
        </w:rPr>
        <w:t>עמד לפני</w:t>
      </w:r>
      <w:r w:rsidRPr="008537CA">
        <w:rPr>
          <w:rFonts w:eastAsia="Times New Roman" w:cs="Times New Roman"/>
          <w:rtl/>
          <w:lang w:eastAsia="de-DE"/>
        </w:rPr>
        <w:t xml:space="preserve"> </w:t>
      </w:r>
      <w:r w:rsidRPr="008537CA">
        <w:rPr>
          <w:rFonts w:eastAsia="Times New Roman" w:cs="Times New Roman"/>
          <w:lang w:eastAsia="de-DE"/>
        </w:rPr>
        <w:t>bedeutet „vor jemandem stehen" im Sinne von „im Dienst stehen, dienen".</w:t>
      </w:r>
    </w:p>
    <w:p w14:paraId="261983E3"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Der vierte finale Infinitiv </w:t>
      </w:r>
      <w:r w:rsidRPr="008537CA">
        <w:rPr>
          <w:rFonts w:eastAsia="Times New Roman" w:cs="Times New Roman"/>
          <w:b/>
          <w:bCs/>
          <w:rtl/>
          <w:lang w:eastAsia="de-DE"/>
        </w:rPr>
        <w:t>לְשָׁרְתָם</w:t>
      </w:r>
      <w:r w:rsidRPr="008537CA">
        <w:rPr>
          <w:rFonts w:eastAsia="Times New Roman" w:cs="Times New Roman"/>
          <w:rtl/>
          <w:lang w:eastAsia="de-DE"/>
        </w:rPr>
        <w:t xml:space="preserve"> </w:t>
      </w:r>
      <w:r w:rsidRPr="008537CA">
        <w:rPr>
          <w:rFonts w:eastAsia="Times New Roman" w:cs="Times New Roman"/>
          <w:lang w:eastAsia="de-DE"/>
        </w:rPr>
        <w:t xml:space="preserve">(Piel Infinitiv construct von </w:t>
      </w:r>
      <w:r w:rsidRPr="008537CA">
        <w:rPr>
          <w:rFonts w:eastAsia="Times New Roman" w:cs="Times New Roman"/>
          <w:b/>
          <w:bCs/>
          <w:rtl/>
          <w:lang w:eastAsia="de-DE"/>
        </w:rPr>
        <w:t>שׁרת</w:t>
      </w:r>
      <w:r w:rsidRPr="008537CA">
        <w:rPr>
          <w:rFonts w:eastAsia="Times New Roman" w:cs="Times New Roman"/>
          <w:rtl/>
          <w:lang w:eastAsia="de-DE"/>
        </w:rPr>
        <w:t xml:space="preserve"> </w:t>
      </w:r>
      <w:r w:rsidRPr="008537CA">
        <w:rPr>
          <w:rFonts w:eastAsia="Times New Roman" w:cs="Times New Roman"/>
          <w:lang w:eastAsia="de-DE"/>
        </w:rPr>
        <w:t xml:space="preserve">mit </w:t>
      </w:r>
      <w:r w:rsidRPr="008537CA">
        <w:rPr>
          <w:rFonts w:eastAsia="Times New Roman" w:cs="Times New Roman"/>
          <w:b/>
          <w:bCs/>
          <w:rtl/>
          <w:lang w:eastAsia="de-DE"/>
        </w:rPr>
        <w:t>לְ</w:t>
      </w:r>
      <w:r w:rsidRPr="008537CA">
        <w:rPr>
          <w:rFonts w:eastAsia="Times New Roman" w:cs="Times New Roman"/>
          <w:rtl/>
          <w:lang w:eastAsia="de-DE"/>
        </w:rPr>
        <w:t xml:space="preserve"> </w:t>
      </w:r>
      <w:r w:rsidRPr="008537CA">
        <w:rPr>
          <w:rFonts w:eastAsia="Times New Roman" w:cs="Times New Roman"/>
          <w:lang w:eastAsia="de-DE"/>
        </w:rPr>
        <w:t xml:space="preserve">und Suffix 3. m. pl.) bedeutet „um ihnen zu dienen". Die Piel-Form von </w:t>
      </w:r>
      <w:r w:rsidRPr="008537CA">
        <w:rPr>
          <w:rFonts w:eastAsia="Times New Roman" w:cs="Times New Roman"/>
          <w:b/>
          <w:bCs/>
          <w:rtl/>
          <w:lang w:eastAsia="de-DE"/>
        </w:rPr>
        <w:t>שׁרת</w:t>
      </w:r>
      <w:r w:rsidRPr="008537CA">
        <w:rPr>
          <w:rFonts w:eastAsia="Times New Roman" w:cs="Times New Roman"/>
          <w:rtl/>
          <w:lang w:eastAsia="de-DE"/>
        </w:rPr>
        <w:t xml:space="preserve"> </w:t>
      </w:r>
      <w:r w:rsidRPr="008537CA">
        <w:rPr>
          <w:rFonts w:eastAsia="Times New Roman" w:cs="Times New Roman"/>
          <w:lang w:eastAsia="de-DE"/>
        </w:rPr>
        <w:t xml:space="preserve">hat intensive Bedeutung und bezeichnet kultischen oder offiziellen Dienst. Das Suffix </w:t>
      </w:r>
      <w:r w:rsidRPr="008537CA">
        <w:rPr>
          <w:rFonts w:eastAsia="Times New Roman" w:cs="Times New Roman"/>
          <w:b/>
          <w:bCs/>
          <w:rtl/>
          <w:lang w:eastAsia="de-DE"/>
        </w:rPr>
        <w:t>ָם</w:t>
      </w:r>
      <w:r w:rsidRPr="008537CA">
        <w:rPr>
          <w:rFonts w:eastAsia="Times New Roman" w:cs="Times New Roman"/>
          <w:b/>
          <w:bCs/>
          <w:lang w:eastAsia="de-DE"/>
        </w:rPr>
        <w:t>-</w:t>
      </w:r>
      <w:r w:rsidRPr="008537CA">
        <w:rPr>
          <w:rFonts w:eastAsia="Times New Roman" w:cs="Times New Roman"/>
          <w:lang w:eastAsia="de-DE"/>
        </w:rPr>
        <w:t xml:space="preserve"> bezieht sich auf die Gemeinde zurück.</w:t>
      </w:r>
    </w:p>
    <w:p w14:paraId="3BE571DC"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vier finalen Infinitivkonstruktionen sind koordiniert und erklären in zunehmender Detaillierung den Zweck der levitischen Aussonderung: näher zu Gott gebracht werden, den Heiligtumsdienst verrichten, vor der Gemeinde stehen und ihr dienen.</w:t>
      </w:r>
    </w:p>
    <w:p w14:paraId="234721FB" w14:textId="77777777" w:rsidR="00460B9A" w:rsidRDefault="008537CA" w:rsidP="00460B9A">
      <w:pPr>
        <w:pStyle w:val="KeinLeerraum"/>
        <w:rPr>
          <w:lang w:eastAsia="de-DE"/>
        </w:rPr>
      </w:pPr>
      <w:r w:rsidRPr="008537CA">
        <w:rPr>
          <w:b/>
          <w:bCs/>
          <w:lang w:eastAsia="de-DE"/>
        </w:rPr>
        <w:t>Die LXX</w:t>
      </w:r>
      <w:r w:rsidRPr="008537CA">
        <w:rPr>
          <w:lang w:eastAsia="de-DE"/>
        </w:rPr>
        <w:t xml:space="preserve"> übersetzt </w:t>
      </w:r>
      <w:r w:rsidRPr="008537CA">
        <w:rPr>
          <w:b/>
          <w:bCs/>
          <w:rtl/>
          <w:lang w:eastAsia="de-DE"/>
        </w:rPr>
        <w:t>הַמְעַט מִכֶּם</w:t>
      </w:r>
      <w:r w:rsidRPr="008537CA">
        <w:rPr>
          <w:rtl/>
          <w:lang w:eastAsia="de-DE"/>
        </w:rPr>
        <w:t xml:space="preserve"> </w:t>
      </w:r>
      <w:r w:rsidRPr="008537CA">
        <w:rPr>
          <w:lang w:eastAsia="de-DE"/>
        </w:rPr>
        <w:t xml:space="preserve">mit μικρόν ἐστιν ὑμῖν („ist es euch wenig"), was die rhetorische Frage bewahrt. </w:t>
      </w:r>
      <w:r w:rsidRPr="008537CA">
        <w:rPr>
          <w:b/>
          <w:bCs/>
          <w:rtl/>
          <w:lang w:eastAsia="de-DE"/>
        </w:rPr>
        <w:t>כִּי־הִבְדִּיל אֱלֹהֵי יִשְׂרָאֵל אֶתְכֶם</w:t>
      </w:r>
      <w:r w:rsidRPr="008537CA">
        <w:rPr>
          <w:rtl/>
          <w:lang w:eastAsia="de-DE"/>
        </w:rPr>
        <w:t xml:space="preserve"> </w:t>
      </w:r>
      <w:r w:rsidRPr="008537CA">
        <w:rPr>
          <w:lang w:eastAsia="de-DE"/>
        </w:rPr>
        <w:t xml:space="preserve">wird mit ὅτι διέστειλεν ὁ θεὸς Ισραηλ ὑμᾶς („dass der Gott Israels euch abgesondert hat") übersetzt. Die Präpositionalphrase wird mit ἐκ </w:t>
      </w:r>
      <w:r w:rsidRPr="008537CA">
        <w:rPr>
          <w:lang w:eastAsia="de-DE"/>
        </w:rPr>
        <w:lastRenderedPageBreak/>
        <w:t xml:space="preserve">συναγωγῆς Ισραηλ wiedergegeben. Die vier finalen Infinitive werden im Griechischen mit Infinitiven wiedergegeben, wobei die Struktur und der Sinn erhalten bleiben: </w:t>
      </w:r>
    </w:p>
    <w:p w14:paraId="6C6BDCF5" w14:textId="77777777" w:rsidR="00460B9A" w:rsidRDefault="008537CA" w:rsidP="00C15C06">
      <w:pPr>
        <w:pStyle w:val="KeinLeerraum"/>
        <w:numPr>
          <w:ilvl w:val="0"/>
          <w:numId w:val="6"/>
        </w:numPr>
        <w:rPr>
          <w:lang w:eastAsia="de-DE"/>
        </w:rPr>
      </w:pPr>
      <w:r w:rsidRPr="008537CA">
        <w:rPr>
          <w:lang w:eastAsia="de-DE"/>
        </w:rPr>
        <w:t xml:space="preserve">προσάγειν („nahen zu lassen"), </w:t>
      </w:r>
    </w:p>
    <w:p w14:paraId="43615A50" w14:textId="77777777" w:rsidR="00460B9A" w:rsidRDefault="008537CA" w:rsidP="00C15C06">
      <w:pPr>
        <w:pStyle w:val="KeinLeerraum"/>
        <w:numPr>
          <w:ilvl w:val="0"/>
          <w:numId w:val="6"/>
        </w:numPr>
        <w:rPr>
          <w:lang w:eastAsia="de-DE"/>
        </w:rPr>
      </w:pPr>
      <w:r w:rsidRPr="008537CA">
        <w:rPr>
          <w:lang w:eastAsia="de-DE"/>
        </w:rPr>
        <w:t xml:space="preserve">λειτουργεῖν („Dienst zu tun"), </w:t>
      </w:r>
    </w:p>
    <w:p w14:paraId="11A3EE7F" w14:textId="77777777" w:rsidR="00460B9A" w:rsidRDefault="008537CA" w:rsidP="00C15C06">
      <w:pPr>
        <w:pStyle w:val="KeinLeerraum"/>
        <w:numPr>
          <w:ilvl w:val="0"/>
          <w:numId w:val="6"/>
        </w:numPr>
        <w:rPr>
          <w:lang w:eastAsia="de-DE"/>
        </w:rPr>
      </w:pPr>
      <w:r w:rsidRPr="008537CA">
        <w:rPr>
          <w:lang w:eastAsia="de-DE"/>
        </w:rPr>
        <w:t xml:space="preserve">ἑστάναι („zu stehen"), </w:t>
      </w:r>
    </w:p>
    <w:p w14:paraId="6C4DDFF5" w14:textId="08D294D2" w:rsidR="008537CA" w:rsidRPr="008537CA" w:rsidRDefault="008537CA" w:rsidP="00C15C06">
      <w:pPr>
        <w:pStyle w:val="KeinLeerraum"/>
        <w:numPr>
          <w:ilvl w:val="0"/>
          <w:numId w:val="6"/>
        </w:numPr>
        <w:rPr>
          <w:lang w:eastAsia="de-DE"/>
        </w:rPr>
      </w:pPr>
      <w:r w:rsidRPr="008537CA">
        <w:rPr>
          <w:lang w:eastAsia="de-DE"/>
        </w:rPr>
        <w:t>λειτουργεῖν („zu dienen").</w:t>
      </w:r>
    </w:p>
    <w:p w14:paraId="0295AE72"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Satzstruktur zeigt einen Hauptsatz in Form einer rhetorischen Frage. Der durch die kausale Konjunktion eingeleitete Nebensatz enthält das Verb mit Subjekt, Objekt und Präpositionalphrase. An diesen Nebensatz schließen sich vier finale Infinitivkonstruktionen als weitere Nebensatzglieder an, die den Zweck der Aussonderung explizieren. Die Infinitive sind teils koordiniert, teils hierarchisch strukturiert.</w:t>
      </w:r>
    </w:p>
    <w:p w14:paraId="4352096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beginnt Moses Argumentation, die den Leviten ihren bereits privilegierten Status vor Augen führt und damit ihre Unzufriedenheit als undankbar erscheinen lässt.</w:t>
      </w:r>
    </w:p>
    <w:p w14:paraId="3D3EB066"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t>Numeri 16,10</w:t>
      </w:r>
    </w:p>
    <w:p w14:paraId="29020196"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וַיַּקְרֵב֙ אֹֽתְךָ֔ וְאֶת־כָּל־אַחֶ֥יךָ בְנֵי־לֵוִ֖י אִתָּ֑ךְ וּבִקַּשְׁתֶּ֖ם גַּם־כְּהֻנָּֽה׃</w:t>
      </w:r>
    </w:p>
    <w:p w14:paraId="4D03AABD"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Dass er dich und alle deine Brüder, die Söhne Levis, mit dir hat nahen lassen? Und ihr trachtet auch nach dem Priestertum!</w:t>
      </w:r>
    </w:p>
    <w:p w14:paraId="20B9E6EF"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pict w14:anchorId="299C37F8">
          <v:rect id="_x0000_i1548" style="width:0;height:1.5pt" o:hralign="center" o:hrstd="t" o:hr="t" fillcolor="#a0a0a0" stroked="f"/>
        </w:pict>
      </w:r>
    </w:p>
    <w:p w14:paraId="16DD233D"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Kommentar:</w:t>
      </w:r>
      <w:r w:rsidRPr="008537CA">
        <w:rPr>
          <w:rFonts w:eastAsia="Times New Roman" w:cs="Times New Roman"/>
          <w:lang w:eastAsia="de-DE"/>
        </w:rPr>
        <w:t xml:space="preserve"> Das Verb </w:t>
      </w:r>
      <w:r w:rsidRPr="008537CA">
        <w:rPr>
          <w:rFonts w:eastAsia="Times New Roman" w:cs="Times New Roman"/>
          <w:b/>
          <w:bCs/>
          <w:rtl/>
          <w:lang w:eastAsia="de-DE"/>
        </w:rPr>
        <w:t>וַיַּקְרֵב</w:t>
      </w:r>
      <w:r w:rsidRPr="008537CA">
        <w:rPr>
          <w:rFonts w:eastAsia="Times New Roman" w:cs="Times New Roman"/>
          <w:rtl/>
          <w:lang w:eastAsia="de-DE"/>
        </w:rPr>
        <w:t xml:space="preserve"> </w:t>
      </w:r>
      <w:r w:rsidRPr="008537CA">
        <w:rPr>
          <w:rFonts w:eastAsia="Times New Roman" w:cs="Times New Roman"/>
          <w:lang w:eastAsia="de-DE"/>
        </w:rPr>
        <w:t xml:space="preserve">(Wayyiqtol, 3. m. sg. von </w:t>
      </w:r>
      <w:r w:rsidRPr="008537CA">
        <w:rPr>
          <w:rFonts w:eastAsia="Times New Roman" w:cs="Times New Roman"/>
          <w:b/>
          <w:bCs/>
          <w:rtl/>
          <w:lang w:eastAsia="de-DE"/>
        </w:rPr>
        <w:t>קרב</w:t>
      </w:r>
      <w:r w:rsidRPr="008537CA">
        <w:rPr>
          <w:rFonts w:eastAsia="Times New Roman" w:cs="Times New Roman"/>
          <w:rtl/>
          <w:lang w:eastAsia="de-DE"/>
        </w:rPr>
        <w:t xml:space="preserve"> </w:t>
      </w:r>
      <w:r w:rsidRPr="008537CA">
        <w:rPr>
          <w:rFonts w:eastAsia="Times New Roman" w:cs="Times New Roman"/>
          <w:lang w:eastAsia="de-DE"/>
        </w:rPr>
        <w:t>Hifil) bedeutet „und er ließ nahen, brachte nahe". Die Hifil-Form ist kausativ. Die Form setzt die Argumentation aus Vers 9 fort und ist syntaktisch noch Teil der rhetorischen Frage, die dort begann. Das implizite Subjekt ist Gott.</w:t>
      </w:r>
    </w:p>
    <w:p w14:paraId="3C9D886B"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erste Objekt </w:t>
      </w:r>
      <w:r w:rsidRPr="008537CA">
        <w:rPr>
          <w:rFonts w:eastAsia="Times New Roman" w:cs="Times New Roman"/>
          <w:b/>
          <w:bCs/>
          <w:rtl/>
          <w:lang w:eastAsia="de-DE"/>
        </w:rPr>
        <w:t>אֹתְךָ</w:t>
      </w:r>
      <w:r w:rsidRPr="008537CA">
        <w:rPr>
          <w:rFonts w:eastAsia="Times New Roman" w:cs="Times New Roman"/>
          <w:rtl/>
          <w:lang w:eastAsia="de-DE"/>
        </w:rPr>
        <w:t xml:space="preserve"> </w:t>
      </w:r>
      <w:r w:rsidRPr="008537CA">
        <w:rPr>
          <w:rFonts w:eastAsia="Times New Roman" w:cs="Times New Roman"/>
          <w:lang w:eastAsia="de-DE"/>
        </w:rPr>
        <w:t xml:space="preserve">ist die Objektpartikel </w:t>
      </w:r>
      <w:r w:rsidRPr="008537CA">
        <w:rPr>
          <w:rFonts w:eastAsia="Times New Roman" w:cs="Times New Roman"/>
          <w:b/>
          <w:bCs/>
          <w:rtl/>
          <w:lang w:eastAsia="de-DE"/>
        </w:rPr>
        <w:t>אֶת</w:t>
      </w:r>
      <w:r w:rsidRPr="008537CA">
        <w:rPr>
          <w:rFonts w:eastAsia="Times New Roman" w:cs="Times New Roman"/>
          <w:rtl/>
          <w:lang w:eastAsia="de-DE"/>
        </w:rPr>
        <w:t xml:space="preserve"> </w:t>
      </w:r>
      <w:r w:rsidRPr="008537CA">
        <w:rPr>
          <w:rFonts w:eastAsia="Times New Roman" w:cs="Times New Roman"/>
          <w:lang w:eastAsia="de-DE"/>
        </w:rPr>
        <w:t>mit dem Suffix 2. m. sg. („dich"), das sich auf Korach bezieht. Mose wendet sich hier direkt an Korach persönlich.</w:t>
      </w:r>
    </w:p>
    <w:p w14:paraId="02873FA0"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zweite Objekt </w:t>
      </w:r>
      <w:r w:rsidRPr="008537CA">
        <w:rPr>
          <w:rFonts w:eastAsia="Times New Roman" w:cs="Times New Roman"/>
          <w:b/>
          <w:bCs/>
          <w:rtl/>
          <w:lang w:eastAsia="de-DE"/>
        </w:rPr>
        <w:t>וְאֶת־כָּל־אַחֶיךָ בְנֵי־לֵוִי</w:t>
      </w:r>
      <w:r w:rsidRPr="008537CA">
        <w:rPr>
          <w:rFonts w:eastAsia="Times New Roman" w:cs="Times New Roman"/>
          <w:rtl/>
          <w:lang w:eastAsia="de-DE"/>
        </w:rPr>
        <w:t xml:space="preserve"> </w:t>
      </w:r>
      <w:r w:rsidRPr="008537CA">
        <w:rPr>
          <w:rFonts w:eastAsia="Times New Roman" w:cs="Times New Roman"/>
          <w:lang w:eastAsia="de-DE"/>
        </w:rPr>
        <w:t xml:space="preserve">ist durch die Konjunktion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 xml:space="preserve">koordiniert. </w:t>
      </w:r>
      <w:r w:rsidRPr="008537CA">
        <w:rPr>
          <w:rFonts w:eastAsia="Times New Roman" w:cs="Times New Roman"/>
          <w:b/>
          <w:bCs/>
          <w:rtl/>
          <w:lang w:eastAsia="de-DE"/>
        </w:rPr>
        <w:t>אֶת</w:t>
      </w:r>
      <w:r w:rsidRPr="008537CA">
        <w:rPr>
          <w:rFonts w:eastAsia="Times New Roman" w:cs="Times New Roman"/>
          <w:rtl/>
          <w:lang w:eastAsia="de-DE"/>
        </w:rPr>
        <w:t xml:space="preserve"> </w:t>
      </w:r>
      <w:r w:rsidRPr="008537CA">
        <w:rPr>
          <w:rFonts w:eastAsia="Times New Roman" w:cs="Times New Roman"/>
          <w:lang w:eastAsia="de-DE"/>
        </w:rPr>
        <w:t xml:space="preserve">ist wieder die Objektpartikel, </w:t>
      </w:r>
      <w:r w:rsidRPr="008537CA">
        <w:rPr>
          <w:rFonts w:eastAsia="Times New Roman" w:cs="Times New Roman"/>
          <w:b/>
          <w:bCs/>
          <w:rtl/>
          <w:lang w:eastAsia="de-DE"/>
        </w:rPr>
        <w:t>כָּל־אַחֶיךָ</w:t>
      </w:r>
      <w:r w:rsidRPr="008537CA">
        <w:rPr>
          <w:rFonts w:eastAsia="Times New Roman" w:cs="Times New Roman"/>
          <w:rtl/>
          <w:lang w:eastAsia="de-DE"/>
        </w:rPr>
        <w:t xml:space="preserve"> </w:t>
      </w:r>
      <w:r w:rsidRPr="008537CA">
        <w:rPr>
          <w:rFonts w:eastAsia="Times New Roman" w:cs="Times New Roman"/>
          <w:lang w:eastAsia="de-DE"/>
        </w:rPr>
        <w:t xml:space="preserve">die Constructus-Verbindung: </w:t>
      </w:r>
      <w:r w:rsidRPr="008537CA">
        <w:rPr>
          <w:rFonts w:eastAsia="Times New Roman" w:cs="Times New Roman"/>
          <w:b/>
          <w:bCs/>
          <w:rtl/>
          <w:lang w:eastAsia="de-DE"/>
        </w:rPr>
        <w:t>כָּל</w:t>
      </w:r>
      <w:r w:rsidRPr="008537CA">
        <w:rPr>
          <w:rFonts w:eastAsia="Times New Roman" w:cs="Times New Roman"/>
          <w:rtl/>
          <w:lang w:eastAsia="de-DE"/>
        </w:rPr>
        <w:t xml:space="preserve"> </w:t>
      </w:r>
      <w:r w:rsidRPr="008537CA">
        <w:rPr>
          <w:rFonts w:eastAsia="Times New Roman" w:cs="Times New Roman"/>
          <w:lang w:eastAsia="de-DE"/>
        </w:rPr>
        <w:t xml:space="preserve">(„alle") im Constructus, </w:t>
      </w:r>
      <w:r w:rsidRPr="008537CA">
        <w:rPr>
          <w:rFonts w:eastAsia="Times New Roman" w:cs="Times New Roman"/>
          <w:b/>
          <w:bCs/>
          <w:rtl/>
          <w:lang w:eastAsia="de-DE"/>
        </w:rPr>
        <w:t>אַחֶיךָ</w:t>
      </w:r>
      <w:r w:rsidRPr="008537CA">
        <w:rPr>
          <w:rFonts w:eastAsia="Times New Roman" w:cs="Times New Roman"/>
          <w:rtl/>
          <w:lang w:eastAsia="de-DE"/>
        </w:rPr>
        <w:t xml:space="preserve"> </w:t>
      </w:r>
      <w:r w:rsidRPr="008537CA">
        <w:rPr>
          <w:rFonts w:eastAsia="Times New Roman" w:cs="Times New Roman"/>
          <w:lang w:eastAsia="de-DE"/>
        </w:rPr>
        <w:t>ist „deine Brüder" (</w:t>
      </w:r>
      <w:r w:rsidRPr="008537CA">
        <w:rPr>
          <w:rFonts w:eastAsia="Times New Roman" w:cs="Times New Roman"/>
          <w:b/>
          <w:bCs/>
          <w:rtl/>
          <w:lang w:eastAsia="de-DE"/>
        </w:rPr>
        <w:t>אָח</w:t>
      </w:r>
      <w:r w:rsidRPr="008537CA">
        <w:rPr>
          <w:rFonts w:eastAsia="Times New Roman" w:cs="Times New Roman"/>
          <w:rtl/>
          <w:lang w:eastAsia="de-DE"/>
        </w:rPr>
        <w:t xml:space="preserve"> </w:t>
      </w:r>
      <w:r w:rsidRPr="008537CA">
        <w:rPr>
          <w:rFonts w:eastAsia="Times New Roman" w:cs="Times New Roman"/>
          <w:lang w:eastAsia="de-DE"/>
        </w:rPr>
        <w:t xml:space="preserve">im Plural Constructus mit Suffix 2. m. sg.). Die Apposition </w:t>
      </w:r>
      <w:r w:rsidRPr="008537CA">
        <w:rPr>
          <w:rFonts w:eastAsia="Times New Roman" w:cs="Times New Roman"/>
          <w:b/>
          <w:bCs/>
          <w:rtl/>
          <w:lang w:eastAsia="de-DE"/>
        </w:rPr>
        <w:t>בְנֵי־לֵוִי</w:t>
      </w:r>
      <w:r w:rsidRPr="008537CA">
        <w:rPr>
          <w:rFonts w:eastAsia="Times New Roman" w:cs="Times New Roman"/>
          <w:rtl/>
          <w:lang w:eastAsia="de-DE"/>
        </w:rPr>
        <w:t xml:space="preserve"> </w:t>
      </w:r>
      <w:r w:rsidRPr="008537CA">
        <w:rPr>
          <w:rFonts w:eastAsia="Times New Roman" w:cs="Times New Roman"/>
          <w:lang w:eastAsia="de-DE"/>
        </w:rPr>
        <w:t xml:space="preserve">(„Söhne Levis") identifiziert diese Brüder als Leviten. </w:t>
      </w:r>
      <w:r w:rsidRPr="008537CA">
        <w:rPr>
          <w:rFonts w:eastAsia="Times New Roman" w:cs="Times New Roman"/>
          <w:b/>
          <w:bCs/>
          <w:rtl/>
          <w:lang w:eastAsia="de-DE"/>
        </w:rPr>
        <w:t>בְנֵי</w:t>
      </w:r>
      <w:r w:rsidRPr="008537CA">
        <w:rPr>
          <w:rFonts w:eastAsia="Times New Roman" w:cs="Times New Roman"/>
          <w:rtl/>
          <w:lang w:eastAsia="de-DE"/>
        </w:rPr>
        <w:t xml:space="preserve"> </w:t>
      </w:r>
      <w:r w:rsidRPr="008537CA">
        <w:rPr>
          <w:rFonts w:eastAsia="Times New Roman" w:cs="Times New Roman"/>
          <w:lang w:eastAsia="de-DE"/>
        </w:rPr>
        <w:t xml:space="preserve">ist Constructus Plural von </w:t>
      </w:r>
      <w:r w:rsidRPr="008537CA">
        <w:rPr>
          <w:rFonts w:eastAsia="Times New Roman" w:cs="Times New Roman"/>
          <w:b/>
          <w:bCs/>
          <w:rtl/>
          <w:lang w:eastAsia="de-DE"/>
        </w:rPr>
        <w:t>בֵּן</w:t>
      </w:r>
      <w:r w:rsidRPr="008537CA">
        <w:rPr>
          <w:rFonts w:eastAsia="Times New Roman" w:cs="Times New Roman"/>
          <w:lang w:eastAsia="de-DE"/>
        </w:rPr>
        <w:t xml:space="preserve">, </w:t>
      </w:r>
      <w:r w:rsidRPr="008537CA">
        <w:rPr>
          <w:rFonts w:eastAsia="Times New Roman" w:cs="Times New Roman"/>
          <w:b/>
          <w:bCs/>
          <w:rtl/>
          <w:lang w:eastAsia="de-DE"/>
        </w:rPr>
        <w:t>לֵוִי</w:t>
      </w:r>
      <w:r w:rsidRPr="008537CA">
        <w:rPr>
          <w:rFonts w:eastAsia="Times New Roman" w:cs="Times New Roman"/>
          <w:rtl/>
          <w:lang w:eastAsia="de-DE"/>
        </w:rPr>
        <w:t xml:space="preserve"> </w:t>
      </w:r>
      <w:r w:rsidRPr="008537CA">
        <w:rPr>
          <w:rFonts w:eastAsia="Times New Roman" w:cs="Times New Roman"/>
          <w:lang w:eastAsia="de-DE"/>
        </w:rPr>
        <w:t>der Stammesname.</w:t>
      </w:r>
    </w:p>
    <w:p w14:paraId="19A08CEF"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Präposition </w:t>
      </w:r>
      <w:r w:rsidRPr="008537CA">
        <w:rPr>
          <w:rFonts w:eastAsia="Times New Roman" w:cs="Times New Roman"/>
          <w:b/>
          <w:bCs/>
          <w:rtl/>
          <w:lang w:eastAsia="de-DE"/>
        </w:rPr>
        <w:t>אִתָּךְ</w:t>
      </w:r>
      <w:r w:rsidRPr="008537CA">
        <w:rPr>
          <w:rFonts w:eastAsia="Times New Roman" w:cs="Times New Roman"/>
          <w:rtl/>
          <w:lang w:eastAsia="de-DE"/>
        </w:rPr>
        <w:t xml:space="preserve"> </w:t>
      </w:r>
      <w:r w:rsidRPr="008537CA">
        <w:rPr>
          <w:rFonts w:eastAsia="Times New Roman" w:cs="Times New Roman"/>
          <w:lang w:eastAsia="de-DE"/>
        </w:rPr>
        <w:t>(„mit dir") mit Suffix 2. m. sg. unterstreicht, dass die gesamte levitische Gruppe gemeinsam mit Korach diese Ehre erhalten hat.</w:t>
      </w:r>
    </w:p>
    <w:p w14:paraId="3F4B5BF5"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koordinierte Verb </w:t>
      </w:r>
      <w:r w:rsidRPr="008537CA">
        <w:rPr>
          <w:rFonts w:eastAsia="Times New Roman" w:cs="Times New Roman"/>
          <w:b/>
          <w:bCs/>
          <w:rtl/>
          <w:lang w:eastAsia="de-DE"/>
        </w:rPr>
        <w:t>וּבִקַּשְׁתֶּם</w:t>
      </w:r>
      <w:r w:rsidRPr="008537CA">
        <w:rPr>
          <w:rFonts w:eastAsia="Times New Roman" w:cs="Times New Roman"/>
          <w:rtl/>
          <w:lang w:eastAsia="de-DE"/>
        </w:rPr>
        <w:t xml:space="preserve"> </w:t>
      </w:r>
      <w:r w:rsidRPr="008537CA">
        <w:rPr>
          <w:rFonts w:eastAsia="Times New Roman" w:cs="Times New Roman"/>
          <w:lang w:eastAsia="de-DE"/>
        </w:rPr>
        <w:t xml:space="preserve">(Waw + Piel Perfekt, 2. m. pl. von </w:t>
      </w:r>
      <w:r w:rsidRPr="008537CA">
        <w:rPr>
          <w:rFonts w:eastAsia="Times New Roman" w:cs="Times New Roman"/>
          <w:b/>
          <w:bCs/>
          <w:rtl/>
          <w:lang w:eastAsia="de-DE"/>
        </w:rPr>
        <w:t>בקשׁ</w:t>
      </w:r>
      <w:r w:rsidRPr="008537CA">
        <w:rPr>
          <w:rFonts w:eastAsia="Times New Roman" w:cs="Times New Roman"/>
          <w:lang w:eastAsia="de-DE"/>
        </w:rPr>
        <w:t xml:space="preserve">) bedeutet „und ihr habt gesucht, ihr trachtet". Die Piel-Form hat intensive Bedeutung. Das Perfekt drückt hier eine abgeschlossene oder andauernde Handlung aus, die bis in die Gegenwart reicht. Die Konjunktion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markiert einen Kontrast oder eine Steigerung: Trotz des bereits gewährten Privilegs suchen sie noch mehr.</w:t>
      </w:r>
    </w:p>
    <w:p w14:paraId="49139A26"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lastRenderedPageBreak/>
        <w:t xml:space="preserve">Die emphatische Partikel </w:t>
      </w:r>
      <w:r w:rsidRPr="008537CA">
        <w:rPr>
          <w:rFonts w:eastAsia="Times New Roman" w:cs="Times New Roman"/>
          <w:b/>
          <w:bCs/>
          <w:rtl/>
          <w:lang w:eastAsia="de-DE"/>
        </w:rPr>
        <w:t>גַּם</w:t>
      </w:r>
      <w:r w:rsidRPr="008537CA">
        <w:rPr>
          <w:rFonts w:eastAsia="Times New Roman" w:cs="Times New Roman"/>
          <w:rtl/>
          <w:lang w:eastAsia="de-DE"/>
        </w:rPr>
        <w:t xml:space="preserve"> </w:t>
      </w:r>
      <w:r w:rsidRPr="008537CA">
        <w:rPr>
          <w:rFonts w:eastAsia="Times New Roman" w:cs="Times New Roman"/>
          <w:lang w:eastAsia="de-DE"/>
        </w:rPr>
        <w:t>(„auch, sogar") verstärkt den Vorwurf und zeigt die Eskalation des Anspruchs.</w:t>
      </w:r>
    </w:p>
    <w:p w14:paraId="100D7CF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Objekt </w:t>
      </w:r>
      <w:r w:rsidRPr="008537CA">
        <w:rPr>
          <w:rFonts w:eastAsia="Times New Roman" w:cs="Times New Roman"/>
          <w:b/>
          <w:bCs/>
          <w:rtl/>
          <w:lang w:eastAsia="de-DE"/>
        </w:rPr>
        <w:t>כְּהֻנָּה</w:t>
      </w:r>
      <w:r w:rsidRPr="008537CA">
        <w:rPr>
          <w:rFonts w:eastAsia="Times New Roman" w:cs="Times New Roman"/>
          <w:rtl/>
          <w:lang w:eastAsia="de-DE"/>
        </w:rPr>
        <w:t xml:space="preserve"> </w:t>
      </w:r>
      <w:r w:rsidRPr="008537CA">
        <w:rPr>
          <w:rFonts w:eastAsia="Times New Roman" w:cs="Times New Roman"/>
          <w:lang w:eastAsia="de-DE"/>
        </w:rPr>
        <w:t>bedeutet „Priestertum, Priesteramt" und ist Femininum Singular. Die Akkusativpartikel fehlt hier, was bei abstrakten Begriffen häufig vorkommt. Der Begriff bezeichnet das exklusive Amt Aarons und seiner Nachkommen.</w:t>
      </w:r>
    </w:p>
    <w:p w14:paraId="708015C6"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kulminiert Moses Argumentation: Die Leviten haben bereits eine besondere Nähe zu Gott, aber das genügt ihnen nicht – sie verlangen auch noch das Priestertum, das Aaron vorbehalten ist.</w:t>
      </w:r>
    </w:p>
    <w:p w14:paraId="7CD04B68" w14:textId="696DF25C"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Die LXX</w:t>
      </w:r>
      <w:r w:rsidRPr="008537CA">
        <w:rPr>
          <w:rFonts w:eastAsia="Times New Roman" w:cs="Times New Roman"/>
          <w:lang w:eastAsia="de-DE"/>
        </w:rPr>
        <w:t xml:space="preserve"> übersetzt </w:t>
      </w:r>
      <w:r w:rsidRPr="008537CA">
        <w:rPr>
          <w:rFonts w:eastAsia="Times New Roman" w:cs="Times New Roman"/>
          <w:b/>
          <w:bCs/>
          <w:rtl/>
          <w:lang w:eastAsia="de-DE"/>
        </w:rPr>
        <w:t>וַיַּקְרֵב אֹתְךָ</w:t>
      </w:r>
      <w:r w:rsidRPr="008537CA">
        <w:rPr>
          <w:rFonts w:eastAsia="Times New Roman" w:cs="Times New Roman"/>
          <w:rtl/>
          <w:lang w:eastAsia="de-DE"/>
        </w:rPr>
        <w:t xml:space="preserve"> </w:t>
      </w:r>
      <w:r w:rsidRPr="008537CA">
        <w:rPr>
          <w:rFonts w:eastAsia="Times New Roman" w:cs="Times New Roman"/>
          <w:lang w:eastAsia="de-DE"/>
        </w:rPr>
        <w:t xml:space="preserve">mit καὶ προσήγαγέν σε („und er brachte dich nahe"). </w:t>
      </w:r>
      <w:r w:rsidRPr="008537CA">
        <w:rPr>
          <w:rFonts w:eastAsia="Times New Roman" w:cs="Times New Roman"/>
          <w:b/>
          <w:bCs/>
          <w:rtl/>
          <w:lang w:eastAsia="de-DE"/>
        </w:rPr>
        <w:t>וְאֶת־כָּל־אַחֶיךָ בְנֵי־לֵוִי אִתָּךְ</w:t>
      </w:r>
      <w:r w:rsidRPr="008537CA">
        <w:rPr>
          <w:rFonts w:eastAsia="Times New Roman" w:cs="Times New Roman"/>
          <w:rtl/>
          <w:lang w:eastAsia="de-DE"/>
        </w:rPr>
        <w:t xml:space="preserve"> </w:t>
      </w:r>
      <w:r w:rsidRPr="008537CA">
        <w:rPr>
          <w:rFonts w:eastAsia="Times New Roman" w:cs="Times New Roman"/>
          <w:lang w:eastAsia="de-DE"/>
        </w:rPr>
        <w:t xml:space="preserve">wird mit καὶ πάντας τοὺς ἀδελφούς σου υἱοὺς Λευι μετὰ σοῦ („und alle deine Brüder, die Söhne Levis, mit dir") wiedergegeben. </w:t>
      </w:r>
      <w:r w:rsidRPr="008537CA">
        <w:rPr>
          <w:rFonts w:eastAsia="Times New Roman" w:cs="Times New Roman"/>
          <w:b/>
          <w:bCs/>
          <w:rtl/>
          <w:lang w:eastAsia="de-DE"/>
        </w:rPr>
        <w:t>וּבִקַּשְׁתֶּם גַּם־כְּהֻנָּה</w:t>
      </w:r>
      <w:r w:rsidRPr="008537CA">
        <w:rPr>
          <w:rFonts w:eastAsia="Times New Roman" w:cs="Times New Roman"/>
          <w:rtl/>
          <w:lang w:eastAsia="de-DE"/>
        </w:rPr>
        <w:t xml:space="preserve"> </w:t>
      </w:r>
      <w:r w:rsidRPr="008537CA">
        <w:rPr>
          <w:rFonts w:eastAsia="Times New Roman" w:cs="Times New Roman"/>
          <w:lang w:eastAsia="de-DE"/>
        </w:rPr>
        <w:t xml:space="preserve">wird mit καὶ ζητεῖτε καὶ τὴν ἱερατείαν („und ihr sucht auch das Priestertum") übersetzt, wobei das griechische </w:t>
      </w:r>
      <w:r w:rsidRPr="008537CA">
        <w:rPr>
          <w:rFonts w:eastAsia="Times New Roman" w:cs="Times New Roman"/>
          <w:b/>
          <w:bCs/>
          <w:lang w:eastAsia="de-DE"/>
        </w:rPr>
        <w:t>καί</w:t>
      </w:r>
      <w:r w:rsidRPr="008537CA">
        <w:rPr>
          <w:rFonts w:eastAsia="Times New Roman" w:cs="Times New Roman"/>
          <w:lang w:eastAsia="de-DE"/>
        </w:rPr>
        <w:t xml:space="preserve"> das hebräische </w:t>
      </w:r>
      <w:r w:rsidRPr="008537CA">
        <w:rPr>
          <w:rFonts w:eastAsia="Times New Roman" w:cs="Times New Roman"/>
          <w:b/>
          <w:bCs/>
          <w:rtl/>
          <w:lang w:eastAsia="de-DE"/>
        </w:rPr>
        <w:t>גַּם</w:t>
      </w:r>
      <w:r w:rsidRPr="008537CA">
        <w:rPr>
          <w:rFonts w:eastAsia="Times New Roman" w:cs="Times New Roman"/>
          <w:rtl/>
          <w:lang w:eastAsia="de-DE"/>
        </w:rPr>
        <w:t xml:space="preserve"> </w:t>
      </w:r>
      <w:r w:rsidRPr="008537CA">
        <w:rPr>
          <w:rFonts w:eastAsia="Times New Roman" w:cs="Times New Roman"/>
          <w:lang w:eastAsia="de-DE"/>
        </w:rPr>
        <w:t>wiedergibt.</w:t>
      </w:r>
    </w:p>
    <w:p w14:paraId="5DE9C5FF"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Satzstruktur zeigt einen Hauptsatz, der die rhetorische Frage aus Vers 9 fortsetzt und abschließt. Das Verb hat ein doppeltes, koordiniertes Objekt mit Apposition und Präpositionalphrase. Ein zweiter Hauptsatz folgt mit kontrastiver Konjunktion, Verb im Perfekt und Objekt. Beide Sätze sind parataktisch durch die Konjunktion verbunden. Es gibt keine Nebensätze.</w:t>
      </w:r>
    </w:p>
    <w:p w14:paraId="6C5DB32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zeigt den Kern des Vorwurfs: Die Leviten sind mit ihrer privilegierten Stellung nicht zufrieden und begehren unrechtmäßig das Priestertum.</w:t>
      </w:r>
    </w:p>
    <w:p w14:paraId="61AEF878"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t>Numeri 16,11</w:t>
      </w:r>
    </w:p>
    <w:p w14:paraId="107F0603"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לָכֵ֗ן אַתָּה֙ וְכָל־עֲדָ֣תְךָ֔ הַנֹּעָדִ֖ים עַל־יְהוָ֑ה וְאַהֲרֹ֣ן מַה־ה֔וּא כִּ֥י תִלּוֹנ֖וּ עָלָֽיו׃</w:t>
      </w:r>
    </w:p>
    <w:p w14:paraId="74166293"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Darum rottet ihr euch zusammen, du und deine ganze Gemeinde, gegen den Ewigen. Denn was ist Aharon, dass ihr gegen ihn murrt?</w:t>
      </w:r>
    </w:p>
    <w:p w14:paraId="19D0982B"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pict w14:anchorId="691BE89A">
          <v:rect id="_x0000_i1549" style="width:0;height:1.5pt" o:hralign="center" o:hrstd="t" o:hr="t" fillcolor="#a0a0a0" stroked="f"/>
        </w:pict>
      </w:r>
    </w:p>
    <w:p w14:paraId="726A595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Kommentar:</w:t>
      </w:r>
      <w:r w:rsidRPr="008537CA">
        <w:rPr>
          <w:rFonts w:eastAsia="Times New Roman" w:cs="Times New Roman"/>
          <w:lang w:eastAsia="de-DE"/>
        </w:rPr>
        <w:t xml:space="preserve"> Die Partikel </w:t>
      </w:r>
      <w:r w:rsidRPr="008537CA">
        <w:rPr>
          <w:rFonts w:eastAsia="Times New Roman" w:cs="Times New Roman"/>
          <w:b/>
          <w:bCs/>
          <w:rtl/>
          <w:lang w:eastAsia="de-DE"/>
        </w:rPr>
        <w:t>לָכֵן</w:t>
      </w:r>
      <w:r w:rsidRPr="008537CA">
        <w:rPr>
          <w:rFonts w:eastAsia="Times New Roman" w:cs="Times New Roman"/>
          <w:rtl/>
          <w:lang w:eastAsia="de-DE"/>
        </w:rPr>
        <w:t xml:space="preserve"> </w:t>
      </w:r>
      <w:r w:rsidRPr="008537CA">
        <w:rPr>
          <w:rFonts w:eastAsia="Times New Roman" w:cs="Times New Roman"/>
          <w:lang w:eastAsia="de-DE"/>
        </w:rPr>
        <w:t>(„darum, deshalb") leitet die Schlussfolgerung aus der vorherigen Argumentation ein. Sie ist eine hinweisende Partikel, die kausale oder konsekutive Beziehungen ausdrückt.</w:t>
      </w:r>
    </w:p>
    <w:p w14:paraId="74F2A03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Subjekt </w:t>
      </w:r>
      <w:r w:rsidRPr="008537CA">
        <w:rPr>
          <w:rFonts w:eastAsia="Times New Roman" w:cs="Times New Roman"/>
          <w:b/>
          <w:bCs/>
          <w:rtl/>
          <w:lang w:eastAsia="de-DE"/>
        </w:rPr>
        <w:t>אַתָּה</w:t>
      </w:r>
      <w:r w:rsidRPr="008537CA">
        <w:rPr>
          <w:rFonts w:eastAsia="Times New Roman" w:cs="Times New Roman"/>
          <w:rtl/>
          <w:lang w:eastAsia="de-DE"/>
        </w:rPr>
        <w:t xml:space="preserve"> </w:t>
      </w:r>
      <w:r w:rsidRPr="008537CA">
        <w:rPr>
          <w:rFonts w:eastAsia="Times New Roman" w:cs="Times New Roman"/>
          <w:lang w:eastAsia="de-DE"/>
        </w:rPr>
        <w:t xml:space="preserve">ist das Personalpronomen 2. m. sg. („du"), das Korach direkt anspricht. Die Konjunktion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 xml:space="preserve">koordiniert das zweite Subjekt </w:t>
      </w:r>
      <w:r w:rsidRPr="008537CA">
        <w:rPr>
          <w:rFonts w:eastAsia="Times New Roman" w:cs="Times New Roman"/>
          <w:b/>
          <w:bCs/>
          <w:rtl/>
          <w:lang w:eastAsia="de-DE"/>
        </w:rPr>
        <w:t>כָל־עֲדָתְךָ</w:t>
      </w:r>
      <w:r w:rsidRPr="008537CA">
        <w:rPr>
          <w:rFonts w:eastAsia="Times New Roman" w:cs="Times New Roman"/>
          <w:lang w:eastAsia="de-DE"/>
        </w:rPr>
        <w:t xml:space="preserve">: </w:t>
      </w:r>
      <w:r w:rsidRPr="008537CA">
        <w:rPr>
          <w:rFonts w:eastAsia="Times New Roman" w:cs="Times New Roman"/>
          <w:b/>
          <w:bCs/>
          <w:rtl/>
          <w:lang w:eastAsia="de-DE"/>
        </w:rPr>
        <w:t>כָּל</w:t>
      </w:r>
      <w:r w:rsidRPr="008537CA">
        <w:rPr>
          <w:rFonts w:eastAsia="Times New Roman" w:cs="Times New Roman"/>
          <w:rtl/>
          <w:lang w:eastAsia="de-DE"/>
        </w:rPr>
        <w:t xml:space="preserve"> </w:t>
      </w:r>
      <w:r w:rsidRPr="008537CA">
        <w:rPr>
          <w:rFonts w:eastAsia="Times New Roman" w:cs="Times New Roman"/>
          <w:lang w:eastAsia="de-DE"/>
        </w:rPr>
        <w:t xml:space="preserve">ist „ganz, alle" im Constructus, </w:t>
      </w:r>
      <w:r w:rsidRPr="008537CA">
        <w:rPr>
          <w:rFonts w:eastAsia="Times New Roman" w:cs="Times New Roman"/>
          <w:b/>
          <w:bCs/>
          <w:rtl/>
          <w:lang w:eastAsia="de-DE"/>
        </w:rPr>
        <w:t>עֲדָתְךָ</w:t>
      </w:r>
      <w:r w:rsidRPr="008537CA">
        <w:rPr>
          <w:rFonts w:eastAsia="Times New Roman" w:cs="Times New Roman"/>
          <w:rtl/>
          <w:lang w:eastAsia="de-DE"/>
        </w:rPr>
        <w:t xml:space="preserve"> </w:t>
      </w:r>
      <w:r w:rsidRPr="008537CA">
        <w:rPr>
          <w:rFonts w:eastAsia="Times New Roman" w:cs="Times New Roman"/>
          <w:lang w:eastAsia="de-DE"/>
        </w:rPr>
        <w:t>ist „deine Gemeinde" (</w:t>
      </w:r>
      <w:r w:rsidRPr="008537CA">
        <w:rPr>
          <w:rFonts w:eastAsia="Times New Roman" w:cs="Times New Roman"/>
          <w:b/>
          <w:bCs/>
          <w:rtl/>
          <w:lang w:eastAsia="de-DE"/>
        </w:rPr>
        <w:t>עֵדָה</w:t>
      </w:r>
      <w:r w:rsidRPr="008537CA">
        <w:rPr>
          <w:rFonts w:eastAsia="Times New Roman" w:cs="Times New Roman"/>
          <w:rtl/>
          <w:lang w:eastAsia="de-DE"/>
        </w:rPr>
        <w:t xml:space="preserve"> </w:t>
      </w:r>
      <w:r w:rsidRPr="008537CA">
        <w:rPr>
          <w:rFonts w:eastAsia="Times New Roman" w:cs="Times New Roman"/>
          <w:lang w:eastAsia="de-DE"/>
        </w:rPr>
        <w:t>mit Possessivsuffix 2. m. sg.).</w:t>
      </w:r>
    </w:p>
    <w:p w14:paraId="1AF96BF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Partizip </w:t>
      </w:r>
      <w:r w:rsidRPr="008537CA">
        <w:rPr>
          <w:rFonts w:eastAsia="Times New Roman" w:cs="Times New Roman"/>
          <w:b/>
          <w:bCs/>
          <w:rtl/>
          <w:lang w:eastAsia="de-DE"/>
        </w:rPr>
        <w:t>הַנֹּעָדִים</w:t>
      </w:r>
      <w:r w:rsidRPr="008537CA">
        <w:rPr>
          <w:rFonts w:eastAsia="Times New Roman" w:cs="Times New Roman"/>
          <w:rtl/>
          <w:lang w:eastAsia="de-DE"/>
        </w:rPr>
        <w:t xml:space="preserve"> </w:t>
      </w:r>
      <w:r w:rsidRPr="008537CA">
        <w:rPr>
          <w:rFonts w:eastAsia="Times New Roman" w:cs="Times New Roman"/>
          <w:lang w:eastAsia="de-DE"/>
        </w:rPr>
        <w:t xml:space="preserve">(Nifal Partizip Plural maskulinum von </w:t>
      </w:r>
      <w:r w:rsidRPr="008537CA">
        <w:rPr>
          <w:rFonts w:eastAsia="Times New Roman" w:cs="Times New Roman"/>
          <w:b/>
          <w:bCs/>
          <w:rtl/>
          <w:lang w:eastAsia="de-DE"/>
        </w:rPr>
        <w:t>יעד</w:t>
      </w:r>
      <w:r w:rsidRPr="008537CA">
        <w:rPr>
          <w:rFonts w:eastAsia="Times New Roman" w:cs="Times New Roman"/>
          <w:rtl/>
          <w:lang w:eastAsia="de-DE"/>
        </w:rPr>
        <w:t xml:space="preserve"> </w:t>
      </w:r>
      <w:r w:rsidRPr="008537CA">
        <w:rPr>
          <w:rFonts w:eastAsia="Times New Roman" w:cs="Times New Roman"/>
          <w:lang w:eastAsia="de-DE"/>
        </w:rPr>
        <w:t xml:space="preserve">mit Artikel) bedeutet „die sich Versammelnden, die Zusammengerotteten". Die Nifal-Form hat passive oder reflexive Bedeutung. Das Partizip mit Artikel fungiert als attributive Apposition zu </w:t>
      </w:r>
      <w:r w:rsidRPr="008537CA">
        <w:rPr>
          <w:rFonts w:eastAsia="Times New Roman" w:cs="Times New Roman"/>
          <w:b/>
          <w:bCs/>
          <w:rtl/>
          <w:lang w:eastAsia="de-DE"/>
        </w:rPr>
        <w:t>כָל־עֲדָתְךָ</w:t>
      </w:r>
      <w:r w:rsidRPr="008537CA">
        <w:rPr>
          <w:rFonts w:eastAsia="Times New Roman" w:cs="Times New Roman"/>
          <w:rtl/>
          <w:lang w:eastAsia="de-DE"/>
        </w:rPr>
        <w:t xml:space="preserve"> </w:t>
      </w:r>
      <w:r w:rsidRPr="008537CA">
        <w:rPr>
          <w:rFonts w:eastAsia="Times New Roman" w:cs="Times New Roman"/>
          <w:lang w:eastAsia="de-DE"/>
        </w:rPr>
        <w:t>und charakterisiert die Gemeinde als eine Gruppe, die sich gegen jemanden zusammenrottet.</w:t>
      </w:r>
    </w:p>
    <w:p w14:paraId="6DAFEB06"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lastRenderedPageBreak/>
        <w:t xml:space="preserve">Die Präpositionalphrase </w:t>
      </w:r>
      <w:r w:rsidRPr="008537CA">
        <w:rPr>
          <w:rFonts w:eastAsia="Times New Roman" w:cs="Times New Roman"/>
          <w:b/>
          <w:bCs/>
          <w:rtl/>
          <w:lang w:eastAsia="de-DE"/>
        </w:rPr>
        <w:t>עַל־יְהוָה</w:t>
      </w:r>
      <w:r w:rsidRPr="008537CA">
        <w:rPr>
          <w:rFonts w:eastAsia="Times New Roman" w:cs="Times New Roman"/>
          <w:rtl/>
          <w:lang w:eastAsia="de-DE"/>
        </w:rPr>
        <w:t xml:space="preserve"> </w:t>
      </w:r>
      <w:r w:rsidRPr="008537CA">
        <w:rPr>
          <w:rFonts w:eastAsia="Times New Roman" w:cs="Times New Roman"/>
          <w:lang w:eastAsia="de-DE"/>
        </w:rPr>
        <w:t xml:space="preserve">gibt das Ziel der Verschwörung an: </w:t>
      </w:r>
      <w:r w:rsidRPr="008537CA">
        <w:rPr>
          <w:rFonts w:eastAsia="Times New Roman" w:cs="Times New Roman"/>
          <w:b/>
          <w:bCs/>
          <w:rtl/>
          <w:lang w:eastAsia="de-DE"/>
        </w:rPr>
        <w:t>עַל</w:t>
      </w:r>
      <w:r w:rsidRPr="008537CA">
        <w:rPr>
          <w:rFonts w:eastAsia="Times New Roman" w:cs="Times New Roman"/>
          <w:rtl/>
          <w:lang w:eastAsia="de-DE"/>
        </w:rPr>
        <w:t xml:space="preserve"> </w:t>
      </w:r>
      <w:r w:rsidRPr="008537CA">
        <w:rPr>
          <w:rFonts w:eastAsia="Times New Roman" w:cs="Times New Roman"/>
          <w:lang w:eastAsia="de-DE"/>
        </w:rPr>
        <w:t xml:space="preserve">bedeutet „gegen", </w:t>
      </w:r>
      <w:r w:rsidRPr="008537CA">
        <w:rPr>
          <w:rFonts w:eastAsia="Times New Roman" w:cs="Times New Roman"/>
          <w:b/>
          <w:bCs/>
          <w:rtl/>
          <w:lang w:eastAsia="de-DE"/>
        </w:rPr>
        <w:t>יְהוָה</w:t>
      </w:r>
      <w:r w:rsidRPr="008537CA">
        <w:rPr>
          <w:rFonts w:eastAsia="Times New Roman" w:cs="Times New Roman"/>
          <w:rtl/>
          <w:lang w:eastAsia="de-DE"/>
        </w:rPr>
        <w:t xml:space="preserve"> </w:t>
      </w:r>
      <w:r w:rsidRPr="008537CA">
        <w:rPr>
          <w:rFonts w:eastAsia="Times New Roman" w:cs="Times New Roman"/>
          <w:lang w:eastAsia="de-DE"/>
        </w:rPr>
        <w:t>ist das Tetragramm. Die zentrale Aussage ist, dass die Rebellion nicht gegen Mose und Aaron, sondern letztlich gegen JHWH selbst gerichtet ist.</w:t>
      </w:r>
    </w:p>
    <w:p w14:paraId="10D82E8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Konjunktion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 xml:space="preserve">leitet einen kontrastiven oder explanatorischen Satz ein. </w:t>
      </w:r>
      <w:r w:rsidRPr="008537CA">
        <w:rPr>
          <w:rFonts w:eastAsia="Times New Roman" w:cs="Times New Roman"/>
          <w:b/>
          <w:bCs/>
          <w:rtl/>
          <w:lang w:eastAsia="de-DE"/>
        </w:rPr>
        <w:t>אַהֲרֹן</w:t>
      </w:r>
      <w:r w:rsidRPr="008537CA">
        <w:rPr>
          <w:rFonts w:eastAsia="Times New Roman" w:cs="Times New Roman"/>
          <w:rtl/>
          <w:lang w:eastAsia="de-DE"/>
        </w:rPr>
        <w:t xml:space="preserve"> </w:t>
      </w:r>
      <w:r w:rsidRPr="008537CA">
        <w:rPr>
          <w:rFonts w:eastAsia="Times New Roman" w:cs="Times New Roman"/>
          <w:lang w:eastAsia="de-DE"/>
        </w:rPr>
        <w:t xml:space="preserve">ist der Eigenname als Subjekt. </w:t>
      </w:r>
      <w:r w:rsidRPr="008537CA">
        <w:rPr>
          <w:rFonts w:eastAsia="Times New Roman" w:cs="Times New Roman"/>
          <w:b/>
          <w:bCs/>
          <w:rtl/>
          <w:lang w:eastAsia="de-DE"/>
        </w:rPr>
        <w:t>מַה־הוּא</w:t>
      </w:r>
      <w:r w:rsidRPr="008537CA">
        <w:rPr>
          <w:rFonts w:eastAsia="Times New Roman" w:cs="Times New Roman"/>
          <w:rtl/>
          <w:lang w:eastAsia="de-DE"/>
        </w:rPr>
        <w:t xml:space="preserve"> </w:t>
      </w:r>
      <w:r w:rsidRPr="008537CA">
        <w:rPr>
          <w:rFonts w:eastAsia="Times New Roman" w:cs="Times New Roman"/>
          <w:lang w:eastAsia="de-DE"/>
        </w:rPr>
        <w:t xml:space="preserve">ist eine rhetorische Frage: </w:t>
      </w:r>
      <w:r w:rsidRPr="008537CA">
        <w:rPr>
          <w:rFonts w:eastAsia="Times New Roman" w:cs="Times New Roman"/>
          <w:b/>
          <w:bCs/>
          <w:rtl/>
          <w:lang w:eastAsia="de-DE"/>
        </w:rPr>
        <w:t>מַה</w:t>
      </w:r>
      <w:r w:rsidRPr="008537CA">
        <w:rPr>
          <w:rFonts w:eastAsia="Times New Roman" w:cs="Times New Roman"/>
          <w:rtl/>
          <w:lang w:eastAsia="de-DE"/>
        </w:rPr>
        <w:t xml:space="preserve"> </w:t>
      </w:r>
      <w:r w:rsidRPr="008537CA">
        <w:rPr>
          <w:rFonts w:eastAsia="Times New Roman" w:cs="Times New Roman"/>
          <w:lang w:eastAsia="de-DE"/>
        </w:rPr>
        <w:t xml:space="preserve">ist das Interrogativpronomen „was", </w:t>
      </w:r>
      <w:r w:rsidRPr="008537CA">
        <w:rPr>
          <w:rFonts w:eastAsia="Times New Roman" w:cs="Times New Roman"/>
          <w:b/>
          <w:bCs/>
          <w:rtl/>
          <w:lang w:eastAsia="de-DE"/>
        </w:rPr>
        <w:t>הוּא</w:t>
      </w:r>
      <w:r w:rsidRPr="008537CA">
        <w:rPr>
          <w:rFonts w:eastAsia="Times New Roman" w:cs="Times New Roman"/>
          <w:rtl/>
          <w:lang w:eastAsia="de-DE"/>
        </w:rPr>
        <w:t xml:space="preserve"> </w:t>
      </w:r>
      <w:r w:rsidRPr="008537CA">
        <w:rPr>
          <w:rFonts w:eastAsia="Times New Roman" w:cs="Times New Roman"/>
          <w:lang w:eastAsia="de-DE"/>
        </w:rPr>
        <w:t>das Personalpronomen 3. m. sg. („er"). Die Phrase bedeutet wörtlich „was (ist) er?" und drückt die Geringfügigkeit oder Unwichtigkeit Aarons im Vergleich zu Gott aus.</w:t>
      </w:r>
    </w:p>
    <w:p w14:paraId="507DD9DE"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kausale Konjunktion </w:t>
      </w:r>
      <w:r w:rsidRPr="008537CA">
        <w:rPr>
          <w:rFonts w:eastAsia="Times New Roman" w:cs="Times New Roman"/>
          <w:b/>
          <w:bCs/>
          <w:rtl/>
          <w:lang w:eastAsia="de-DE"/>
        </w:rPr>
        <w:t>כִּי</w:t>
      </w:r>
      <w:r w:rsidRPr="008537CA">
        <w:rPr>
          <w:rFonts w:eastAsia="Times New Roman" w:cs="Times New Roman"/>
          <w:rtl/>
          <w:lang w:eastAsia="de-DE"/>
        </w:rPr>
        <w:t xml:space="preserve"> </w:t>
      </w:r>
      <w:r w:rsidRPr="008537CA">
        <w:rPr>
          <w:rFonts w:eastAsia="Times New Roman" w:cs="Times New Roman"/>
          <w:lang w:eastAsia="de-DE"/>
        </w:rPr>
        <w:t>(„dass, weil") leitet den Nebensatz ein, der den Grund für die rhetorische Frage angibt.</w:t>
      </w:r>
    </w:p>
    <w:p w14:paraId="071BF7E9"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Verb </w:t>
      </w:r>
      <w:r w:rsidRPr="008537CA">
        <w:rPr>
          <w:rFonts w:eastAsia="Times New Roman" w:cs="Times New Roman"/>
          <w:b/>
          <w:bCs/>
          <w:rtl/>
          <w:lang w:eastAsia="de-DE"/>
        </w:rPr>
        <w:t>תִלּוֹנוּ</w:t>
      </w:r>
      <w:r w:rsidRPr="008537CA">
        <w:rPr>
          <w:rFonts w:eastAsia="Times New Roman" w:cs="Times New Roman"/>
          <w:rtl/>
          <w:lang w:eastAsia="de-DE"/>
        </w:rPr>
        <w:t xml:space="preserve"> </w:t>
      </w:r>
      <w:r w:rsidRPr="008537CA">
        <w:rPr>
          <w:rFonts w:eastAsia="Times New Roman" w:cs="Times New Roman"/>
          <w:lang w:eastAsia="de-DE"/>
        </w:rPr>
        <w:t xml:space="preserve">(Qal Imperfekt, 2. m. pl. von </w:t>
      </w:r>
      <w:r w:rsidRPr="008537CA">
        <w:rPr>
          <w:rFonts w:eastAsia="Times New Roman" w:cs="Times New Roman"/>
          <w:b/>
          <w:bCs/>
          <w:rtl/>
          <w:lang w:eastAsia="de-DE"/>
        </w:rPr>
        <w:t>לון</w:t>
      </w:r>
      <w:r w:rsidRPr="008537CA">
        <w:rPr>
          <w:rFonts w:eastAsia="Times New Roman" w:cs="Times New Roman"/>
          <w:lang w:eastAsia="de-DE"/>
        </w:rPr>
        <w:t xml:space="preserve">) bedeutet „ihr murrt". Das Verb </w:t>
      </w:r>
      <w:r w:rsidRPr="008537CA">
        <w:rPr>
          <w:rFonts w:eastAsia="Times New Roman" w:cs="Times New Roman"/>
          <w:b/>
          <w:bCs/>
          <w:rtl/>
          <w:lang w:eastAsia="de-DE"/>
        </w:rPr>
        <w:t>לון</w:t>
      </w:r>
      <w:r w:rsidRPr="008537CA">
        <w:rPr>
          <w:rFonts w:eastAsia="Times New Roman" w:cs="Times New Roman"/>
          <w:rtl/>
          <w:lang w:eastAsia="de-DE"/>
        </w:rPr>
        <w:t xml:space="preserve"> </w:t>
      </w:r>
      <w:r w:rsidRPr="008537CA">
        <w:rPr>
          <w:rFonts w:eastAsia="Times New Roman" w:cs="Times New Roman"/>
          <w:lang w:eastAsia="de-DE"/>
        </w:rPr>
        <w:t xml:space="preserve">(oder </w:t>
      </w:r>
      <w:r w:rsidRPr="008537CA">
        <w:rPr>
          <w:rFonts w:eastAsia="Times New Roman" w:cs="Times New Roman"/>
          <w:b/>
          <w:bCs/>
          <w:rtl/>
          <w:lang w:eastAsia="de-DE"/>
        </w:rPr>
        <w:t>לין</w:t>
      </w:r>
      <w:r w:rsidRPr="008537CA">
        <w:rPr>
          <w:rFonts w:eastAsia="Times New Roman" w:cs="Times New Roman"/>
          <w:lang w:eastAsia="de-DE"/>
        </w:rPr>
        <w:t>) bezeichnet das Klagen oder Murren, besonders gegen Autorität. Die Imperfektform drückt hier eine andauernde oder wiederholte Handlung aus.</w:t>
      </w:r>
    </w:p>
    <w:p w14:paraId="57026C73"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Präposition </w:t>
      </w:r>
      <w:r w:rsidRPr="008537CA">
        <w:rPr>
          <w:rFonts w:eastAsia="Times New Roman" w:cs="Times New Roman"/>
          <w:b/>
          <w:bCs/>
          <w:rtl/>
          <w:lang w:eastAsia="de-DE"/>
        </w:rPr>
        <w:t>עָלָיו</w:t>
      </w:r>
      <w:r w:rsidRPr="008537CA">
        <w:rPr>
          <w:rFonts w:eastAsia="Times New Roman" w:cs="Times New Roman"/>
          <w:rtl/>
          <w:lang w:eastAsia="de-DE"/>
        </w:rPr>
        <w:t xml:space="preserve"> </w:t>
      </w:r>
      <w:r w:rsidRPr="008537CA">
        <w:rPr>
          <w:rFonts w:eastAsia="Times New Roman" w:cs="Times New Roman"/>
          <w:lang w:eastAsia="de-DE"/>
        </w:rPr>
        <w:t>(„gegen ihn") mit Suffix 3. m. sg. bezieht sich auf Aaron zurück. Das Murren richtet sich gegen Aaron.</w:t>
      </w:r>
    </w:p>
    <w:p w14:paraId="13076A92"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rhetorische Struktur des Verses ist bemerkenswert: Mose stellt klar, dass das Murren gegen Aaron letztlich ein Aufstand gegen JHWH selbst ist, da Aaron nur JHWHs Beauftragter ist.</w:t>
      </w:r>
    </w:p>
    <w:p w14:paraId="1E902102" w14:textId="4C2C049A"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Die LXX</w:t>
      </w:r>
      <w:r w:rsidRPr="008537CA">
        <w:rPr>
          <w:rFonts w:eastAsia="Times New Roman" w:cs="Times New Roman"/>
          <w:lang w:eastAsia="de-DE"/>
        </w:rPr>
        <w:t xml:space="preserve"> übersetzt </w:t>
      </w:r>
      <w:r w:rsidRPr="008537CA">
        <w:rPr>
          <w:rFonts w:eastAsia="Times New Roman" w:cs="Times New Roman"/>
          <w:b/>
          <w:bCs/>
          <w:rtl/>
          <w:lang w:eastAsia="de-DE"/>
        </w:rPr>
        <w:t>לָכֵן</w:t>
      </w:r>
      <w:r w:rsidRPr="008537CA">
        <w:rPr>
          <w:rFonts w:eastAsia="Times New Roman" w:cs="Times New Roman"/>
          <w:rtl/>
          <w:lang w:eastAsia="de-DE"/>
        </w:rPr>
        <w:t xml:space="preserve"> </w:t>
      </w:r>
      <w:r w:rsidRPr="008537CA">
        <w:rPr>
          <w:rFonts w:eastAsia="Times New Roman" w:cs="Times New Roman"/>
          <w:lang w:eastAsia="de-DE"/>
        </w:rPr>
        <w:t xml:space="preserve">mit διὰ τοῦτο („deshalb"). </w:t>
      </w:r>
      <w:r w:rsidRPr="008537CA">
        <w:rPr>
          <w:rFonts w:eastAsia="Times New Roman" w:cs="Times New Roman"/>
          <w:b/>
          <w:bCs/>
          <w:rtl/>
          <w:lang w:eastAsia="de-DE"/>
        </w:rPr>
        <w:t>אַתָּה וְכָל־עֲדָתְךָ</w:t>
      </w:r>
      <w:r w:rsidRPr="008537CA">
        <w:rPr>
          <w:rFonts w:eastAsia="Times New Roman" w:cs="Times New Roman"/>
          <w:rtl/>
          <w:lang w:eastAsia="de-DE"/>
        </w:rPr>
        <w:t xml:space="preserve"> </w:t>
      </w:r>
      <w:r w:rsidRPr="008537CA">
        <w:rPr>
          <w:rFonts w:eastAsia="Times New Roman" w:cs="Times New Roman"/>
          <w:lang w:eastAsia="de-DE"/>
        </w:rPr>
        <w:t xml:space="preserve">wird mit σὺ καὶ πᾶσα ἡ συναγωγή σου („du und deine ganze Gemeinde") wiedergegeben. </w:t>
      </w:r>
      <w:r w:rsidRPr="008537CA">
        <w:rPr>
          <w:rFonts w:eastAsia="Times New Roman" w:cs="Times New Roman"/>
          <w:b/>
          <w:bCs/>
          <w:rtl/>
          <w:lang w:eastAsia="de-DE"/>
        </w:rPr>
        <w:t>הַנֹּעָדִים עַל־יְהוָה</w:t>
      </w:r>
      <w:r w:rsidRPr="008537CA">
        <w:rPr>
          <w:rFonts w:eastAsia="Times New Roman" w:cs="Times New Roman"/>
          <w:rtl/>
          <w:lang w:eastAsia="de-DE"/>
        </w:rPr>
        <w:t xml:space="preserve"> </w:t>
      </w:r>
      <w:r w:rsidRPr="008537CA">
        <w:rPr>
          <w:rFonts w:eastAsia="Times New Roman" w:cs="Times New Roman"/>
          <w:lang w:eastAsia="de-DE"/>
        </w:rPr>
        <w:t xml:space="preserve">wird mit ἡ συναθροισθεῖσα πρὸς τὸν θεόν („die sich versammelt hat gegen Gott") übersetzt, wobei das Partizip Aorist Passiv die hebräische Nifal-Form wiedergibt. </w:t>
      </w:r>
      <w:r w:rsidRPr="008537CA">
        <w:rPr>
          <w:rFonts w:eastAsia="Times New Roman" w:cs="Times New Roman"/>
          <w:b/>
          <w:bCs/>
          <w:rtl/>
          <w:lang w:eastAsia="de-DE"/>
        </w:rPr>
        <w:t>וְאַהֲרֹן מַה־הוּא</w:t>
      </w:r>
      <w:r w:rsidRPr="008537CA">
        <w:rPr>
          <w:rFonts w:eastAsia="Times New Roman" w:cs="Times New Roman"/>
          <w:rtl/>
          <w:lang w:eastAsia="de-DE"/>
        </w:rPr>
        <w:t xml:space="preserve"> </w:t>
      </w:r>
      <w:r w:rsidRPr="008537CA">
        <w:rPr>
          <w:rFonts w:eastAsia="Times New Roman" w:cs="Times New Roman"/>
          <w:lang w:eastAsia="de-DE"/>
        </w:rPr>
        <w:t xml:space="preserve">wird mit καὶ Ααρων τίς ἐστιν („und Aaron, wer ist er") übersetzt, wobei das griechische </w:t>
      </w:r>
      <w:r w:rsidRPr="008537CA">
        <w:rPr>
          <w:rFonts w:eastAsia="Times New Roman" w:cs="Times New Roman"/>
          <w:b/>
          <w:bCs/>
          <w:lang w:eastAsia="de-DE"/>
        </w:rPr>
        <w:t>τίς</w:t>
      </w:r>
      <w:r w:rsidRPr="008537CA">
        <w:rPr>
          <w:rFonts w:eastAsia="Times New Roman" w:cs="Times New Roman"/>
          <w:lang w:eastAsia="de-DE"/>
        </w:rPr>
        <w:t xml:space="preserve"> („wer") das hebräische </w:t>
      </w:r>
      <w:r w:rsidRPr="008537CA">
        <w:rPr>
          <w:rFonts w:eastAsia="Times New Roman" w:cs="Times New Roman"/>
          <w:b/>
          <w:bCs/>
          <w:rtl/>
          <w:lang w:eastAsia="de-DE"/>
        </w:rPr>
        <w:t>מַה</w:t>
      </w:r>
      <w:r w:rsidRPr="008537CA">
        <w:rPr>
          <w:rFonts w:eastAsia="Times New Roman" w:cs="Times New Roman"/>
          <w:rtl/>
          <w:lang w:eastAsia="de-DE"/>
        </w:rPr>
        <w:t xml:space="preserve"> </w:t>
      </w:r>
      <w:r w:rsidRPr="008537CA">
        <w:rPr>
          <w:rFonts w:eastAsia="Times New Roman" w:cs="Times New Roman"/>
          <w:lang w:eastAsia="de-DE"/>
        </w:rPr>
        <w:t xml:space="preserve">(„was") interpretiert. </w:t>
      </w:r>
      <w:r w:rsidRPr="008537CA">
        <w:rPr>
          <w:rFonts w:eastAsia="Times New Roman" w:cs="Times New Roman"/>
          <w:b/>
          <w:bCs/>
          <w:rtl/>
          <w:lang w:eastAsia="de-DE"/>
        </w:rPr>
        <w:t>כִּי תִלּוֹנוּ עָלָיו</w:t>
      </w:r>
      <w:r w:rsidRPr="008537CA">
        <w:rPr>
          <w:rFonts w:eastAsia="Times New Roman" w:cs="Times New Roman"/>
          <w:rtl/>
          <w:lang w:eastAsia="de-DE"/>
        </w:rPr>
        <w:t xml:space="preserve"> </w:t>
      </w:r>
      <w:r w:rsidRPr="008537CA">
        <w:rPr>
          <w:rFonts w:eastAsia="Times New Roman" w:cs="Times New Roman"/>
          <w:lang w:eastAsia="de-DE"/>
        </w:rPr>
        <w:t>wird mit ὅτι διαγογγύζετε κατ' αὐτοῦ („dass ihr gegen ihn murrt") wiedergegeben.</w:t>
      </w:r>
    </w:p>
    <w:p w14:paraId="1A4F0586"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Satzstruktur zeigt einen durch die hinweisende Partikel eingeleiteten Satz ohne explizites Verb (Nominalsatz). Das Subjekt ist doppelt (koordiniert), erweitert durch ein attributives Partizip mit Präpositionalphrase. Ein zweiter Hauptsatz folgt mit der Konjunktion, Subjekt und rhetorischer Frage. Daran schließt sich ein durch die kausale Konjunktion eingeleiteter Nebensatz mit Verb und Präpositionalphrase an.</w:t>
      </w:r>
    </w:p>
    <w:p w14:paraId="64939735"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deckt die eigentliche Dimension der Rebellion auf: Sie richtet sich nicht gegen menschliche Autoritäten, sondern gegen Gott selbst, der diese Autoritäten eingesetzt hat.</w:t>
      </w:r>
    </w:p>
    <w:p w14:paraId="0D1CA892"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t>Numeri 16,12</w:t>
      </w:r>
    </w:p>
    <w:p w14:paraId="1F7B9420"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וַיִּשְׁלַ֣ח מֹשֶׁ֔ה לִקְרֹ֛א לְדָתָ֥ן וְלַאֲבִירָ֖ם בְּנֵ֣י אֱלִיאָ֑ב וַיֹּאמְר֖וּ לֹ֥א נַעֲלֶֽה׃</w:t>
      </w:r>
    </w:p>
    <w:p w14:paraId="62EE541C"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Und Mosche sandte hin, um Datan und Aviram, die Söhne Eli'avs, zu rufen. Aber sie sprachen: Wir kommen nicht hinauf!</w:t>
      </w:r>
    </w:p>
    <w:p w14:paraId="6C1D90C2"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pict w14:anchorId="6EB74F08">
          <v:rect id="_x0000_i1550" style="width:0;height:1.5pt" o:hralign="center" o:hrstd="t" o:hr="t" fillcolor="#a0a0a0" stroked="f"/>
        </w:pict>
      </w:r>
    </w:p>
    <w:p w14:paraId="4547537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lastRenderedPageBreak/>
        <w:t>Kommentar:</w:t>
      </w:r>
      <w:r w:rsidRPr="008537CA">
        <w:rPr>
          <w:rFonts w:eastAsia="Times New Roman" w:cs="Times New Roman"/>
          <w:lang w:eastAsia="de-DE"/>
        </w:rPr>
        <w:t xml:space="preserve"> Das Verb </w:t>
      </w:r>
      <w:r w:rsidRPr="008537CA">
        <w:rPr>
          <w:rFonts w:eastAsia="Times New Roman" w:cs="Times New Roman"/>
          <w:b/>
          <w:bCs/>
          <w:rtl/>
          <w:lang w:eastAsia="de-DE"/>
        </w:rPr>
        <w:t>וַיִּשְׁלַח</w:t>
      </w:r>
      <w:r w:rsidRPr="008537CA">
        <w:rPr>
          <w:rFonts w:eastAsia="Times New Roman" w:cs="Times New Roman"/>
          <w:rtl/>
          <w:lang w:eastAsia="de-DE"/>
        </w:rPr>
        <w:t xml:space="preserve"> </w:t>
      </w:r>
      <w:r w:rsidRPr="008537CA">
        <w:rPr>
          <w:rFonts w:eastAsia="Times New Roman" w:cs="Times New Roman"/>
          <w:lang w:eastAsia="de-DE"/>
        </w:rPr>
        <w:t xml:space="preserve">(Wayyiqtol, 3. m. sg. von </w:t>
      </w:r>
      <w:r w:rsidRPr="008537CA">
        <w:rPr>
          <w:rFonts w:eastAsia="Times New Roman" w:cs="Times New Roman"/>
          <w:b/>
          <w:bCs/>
          <w:rtl/>
          <w:lang w:eastAsia="de-DE"/>
        </w:rPr>
        <w:t>שׁלח</w:t>
      </w:r>
      <w:r w:rsidRPr="008537CA">
        <w:rPr>
          <w:rFonts w:eastAsia="Times New Roman" w:cs="Times New Roman"/>
          <w:lang w:eastAsia="de-DE"/>
        </w:rPr>
        <w:t xml:space="preserve">) bedeutet „und er sandte". Die Form setzt die Erzählung fort. </w:t>
      </w:r>
      <w:r w:rsidRPr="008537CA">
        <w:rPr>
          <w:rFonts w:eastAsia="Times New Roman" w:cs="Times New Roman"/>
          <w:b/>
          <w:bCs/>
          <w:rtl/>
          <w:lang w:eastAsia="de-DE"/>
        </w:rPr>
        <w:t>מֹשֶׁה</w:t>
      </w:r>
      <w:r w:rsidRPr="008537CA">
        <w:rPr>
          <w:rFonts w:eastAsia="Times New Roman" w:cs="Times New Roman"/>
          <w:rtl/>
          <w:lang w:eastAsia="de-DE"/>
        </w:rPr>
        <w:t xml:space="preserve"> </w:t>
      </w:r>
      <w:r w:rsidRPr="008537CA">
        <w:rPr>
          <w:rFonts w:eastAsia="Times New Roman" w:cs="Times New Roman"/>
          <w:lang w:eastAsia="de-DE"/>
        </w:rPr>
        <w:t xml:space="preserve">ist das explizite Subjekt. </w:t>
      </w:r>
      <w:r w:rsidRPr="008537CA">
        <w:rPr>
          <w:rFonts w:eastAsia="Times New Roman" w:cs="Times New Roman"/>
          <w:b/>
          <w:bCs/>
          <w:rtl/>
          <w:lang w:eastAsia="de-DE"/>
        </w:rPr>
        <w:t>שׁלח</w:t>
      </w:r>
      <w:r w:rsidRPr="008537CA">
        <w:rPr>
          <w:rFonts w:eastAsia="Times New Roman" w:cs="Times New Roman"/>
          <w:rtl/>
          <w:lang w:eastAsia="de-DE"/>
        </w:rPr>
        <w:t xml:space="preserve"> </w:t>
      </w:r>
      <w:r w:rsidRPr="008537CA">
        <w:rPr>
          <w:rFonts w:eastAsia="Times New Roman" w:cs="Times New Roman"/>
          <w:lang w:eastAsia="de-DE"/>
        </w:rPr>
        <w:t>bedeutet „senden, schicken" und bezeichnet hier das Senden von Boten.</w:t>
      </w:r>
    </w:p>
    <w:p w14:paraId="5C59F922"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Der finale Infinitiv </w:t>
      </w:r>
      <w:r w:rsidRPr="008537CA">
        <w:rPr>
          <w:rFonts w:eastAsia="Times New Roman" w:cs="Times New Roman"/>
          <w:b/>
          <w:bCs/>
          <w:rtl/>
          <w:lang w:eastAsia="de-DE"/>
        </w:rPr>
        <w:t>לִקְרֹא</w:t>
      </w:r>
      <w:r w:rsidRPr="008537CA">
        <w:rPr>
          <w:rFonts w:eastAsia="Times New Roman" w:cs="Times New Roman"/>
          <w:rtl/>
          <w:lang w:eastAsia="de-DE"/>
        </w:rPr>
        <w:t xml:space="preserve"> </w:t>
      </w:r>
      <w:r w:rsidRPr="008537CA">
        <w:rPr>
          <w:rFonts w:eastAsia="Times New Roman" w:cs="Times New Roman"/>
          <w:lang w:eastAsia="de-DE"/>
        </w:rPr>
        <w:t xml:space="preserve">(Qal Infinitiv construct von </w:t>
      </w:r>
      <w:r w:rsidRPr="008537CA">
        <w:rPr>
          <w:rFonts w:eastAsia="Times New Roman" w:cs="Times New Roman"/>
          <w:b/>
          <w:bCs/>
          <w:rtl/>
          <w:lang w:eastAsia="de-DE"/>
        </w:rPr>
        <w:t>קרא</w:t>
      </w:r>
      <w:r w:rsidRPr="008537CA">
        <w:rPr>
          <w:rFonts w:eastAsia="Times New Roman" w:cs="Times New Roman"/>
          <w:rtl/>
          <w:lang w:eastAsia="de-DE"/>
        </w:rPr>
        <w:t xml:space="preserve"> </w:t>
      </w:r>
      <w:r w:rsidRPr="008537CA">
        <w:rPr>
          <w:rFonts w:eastAsia="Times New Roman" w:cs="Times New Roman"/>
          <w:lang w:eastAsia="de-DE"/>
        </w:rPr>
        <w:t xml:space="preserve">mit </w:t>
      </w:r>
      <w:r w:rsidRPr="008537CA">
        <w:rPr>
          <w:rFonts w:eastAsia="Times New Roman" w:cs="Times New Roman"/>
          <w:b/>
          <w:bCs/>
          <w:rtl/>
          <w:lang w:eastAsia="de-DE"/>
        </w:rPr>
        <w:t>לְ</w:t>
      </w:r>
      <w:r w:rsidRPr="008537CA">
        <w:rPr>
          <w:rFonts w:eastAsia="Times New Roman" w:cs="Times New Roman"/>
          <w:lang w:eastAsia="de-DE"/>
        </w:rPr>
        <w:t xml:space="preserve">) drückt den Zweck des Sendens aus: „um zu rufen". </w:t>
      </w:r>
      <w:r w:rsidRPr="008537CA">
        <w:rPr>
          <w:rFonts w:eastAsia="Times New Roman" w:cs="Times New Roman"/>
          <w:b/>
          <w:bCs/>
          <w:rtl/>
          <w:lang w:eastAsia="de-DE"/>
        </w:rPr>
        <w:t>קרא</w:t>
      </w:r>
      <w:r w:rsidRPr="008537CA">
        <w:rPr>
          <w:rFonts w:eastAsia="Times New Roman" w:cs="Times New Roman"/>
          <w:rtl/>
          <w:lang w:eastAsia="de-DE"/>
        </w:rPr>
        <w:t xml:space="preserve"> </w:t>
      </w:r>
      <w:r w:rsidRPr="008537CA">
        <w:rPr>
          <w:rFonts w:eastAsia="Times New Roman" w:cs="Times New Roman"/>
          <w:lang w:eastAsia="de-DE"/>
        </w:rPr>
        <w:t xml:space="preserve">mit der Präposition </w:t>
      </w:r>
      <w:r w:rsidRPr="008537CA">
        <w:rPr>
          <w:rFonts w:eastAsia="Times New Roman" w:cs="Times New Roman"/>
          <w:b/>
          <w:bCs/>
          <w:rtl/>
          <w:lang w:eastAsia="de-DE"/>
        </w:rPr>
        <w:t>לְ</w:t>
      </w:r>
      <w:r w:rsidRPr="008537CA">
        <w:rPr>
          <w:rFonts w:eastAsia="Times New Roman" w:cs="Times New Roman"/>
          <w:rtl/>
          <w:lang w:eastAsia="de-DE"/>
        </w:rPr>
        <w:t xml:space="preserve"> </w:t>
      </w:r>
      <w:r w:rsidRPr="008537CA">
        <w:rPr>
          <w:rFonts w:eastAsia="Times New Roman" w:cs="Times New Roman"/>
          <w:lang w:eastAsia="de-DE"/>
        </w:rPr>
        <w:t>bedeutet „rufen zu, herbeirufen, einladen".</w:t>
      </w:r>
    </w:p>
    <w:p w14:paraId="02B785B1"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Präposition </w:t>
      </w:r>
      <w:r w:rsidRPr="008537CA">
        <w:rPr>
          <w:rFonts w:eastAsia="Times New Roman" w:cs="Times New Roman"/>
          <w:b/>
          <w:bCs/>
          <w:rtl/>
          <w:lang w:eastAsia="de-DE"/>
        </w:rPr>
        <w:t>לְ</w:t>
      </w:r>
      <w:r w:rsidRPr="008537CA">
        <w:rPr>
          <w:rFonts w:eastAsia="Times New Roman" w:cs="Times New Roman"/>
          <w:rtl/>
          <w:lang w:eastAsia="de-DE"/>
        </w:rPr>
        <w:t xml:space="preserve"> </w:t>
      </w:r>
      <w:r w:rsidRPr="008537CA">
        <w:rPr>
          <w:rFonts w:eastAsia="Times New Roman" w:cs="Times New Roman"/>
          <w:lang w:eastAsia="de-DE"/>
        </w:rPr>
        <w:t xml:space="preserve">vor </w:t>
      </w:r>
      <w:r w:rsidRPr="008537CA">
        <w:rPr>
          <w:rFonts w:eastAsia="Times New Roman" w:cs="Times New Roman"/>
          <w:b/>
          <w:bCs/>
          <w:rtl/>
          <w:lang w:eastAsia="de-DE"/>
        </w:rPr>
        <w:t>דָתָן</w:t>
      </w:r>
      <w:r w:rsidRPr="008537CA">
        <w:rPr>
          <w:rFonts w:eastAsia="Times New Roman" w:cs="Times New Roman"/>
          <w:rtl/>
          <w:lang w:eastAsia="de-DE"/>
        </w:rPr>
        <w:t xml:space="preserve"> </w:t>
      </w:r>
      <w:r w:rsidRPr="008537CA">
        <w:rPr>
          <w:rFonts w:eastAsia="Times New Roman" w:cs="Times New Roman"/>
          <w:lang w:eastAsia="de-DE"/>
        </w:rPr>
        <w:t xml:space="preserve">leitet das indirekte Objekt ein: „zu Datan". Die koordinierte Phrase </w:t>
      </w:r>
      <w:r w:rsidRPr="008537CA">
        <w:rPr>
          <w:rFonts w:eastAsia="Times New Roman" w:cs="Times New Roman"/>
          <w:b/>
          <w:bCs/>
          <w:rtl/>
          <w:lang w:eastAsia="de-DE"/>
        </w:rPr>
        <w:t>וְלַאֲבִירָם</w:t>
      </w:r>
      <w:r w:rsidRPr="008537CA">
        <w:rPr>
          <w:rFonts w:eastAsia="Times New Roman" w:cs="Times New Roman"/>
          <w:rtl/>
          <w:lang w:eastAsia="de-DE"/>
        </w:rPr>
        <w:t xml:space="preserve"> </w:t>
      </w:r>
      <w:r w:rsidRPr="008537CA">
        <w:rPr>
          <w:rFonts w:eastAsia="Times New Roman" w:cs="Times New Roman"/>
          <w:lang w:eastAsia="de-DE"/>
        </w:rPr>
        <w:t xml:space="preserve">fügt den zweiten Namen hinzu: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 xml:space="preserve">ist die Konjunktion, </w:t>
      </w:r>
      <w:r w:rsidRPr="008537CA">
        <w:rPr>
          <w:rFonts w:eastAsia="Times New Roman" w:cs="Times New Roman"/>
          <w:b/>
          <w:bCs/>
          <w:rtl/>
          <w:lang w:eastAsia="de-DE"/>
        </w:rPr>
        <w:t>לְ</w:t>
      </w:r>
      <w:r w:rsidRPr="008537CA">
        <w:rPr>
          <w:rFonts w:eastAsia="Times New Roman" w:cs="Times New Roman"/>
          <w:rtl/>
          <w:lang w:eastAsia="de-DE"/>
        </w:rPr>
        <w:t xml:space="preserve"> </w:t>
      </w:r>
      <w:r w:rsidRPr="008537CA">
        <w:rPr>
          <w:rFonts w:eastAsia="Times New Roman" w:cs="Times New Roman"/>
          <w:lang w:eastAsia="de-DE"/>
        </w:rPr>
        <w:t xml:space="preserve">die Präposition, </w:t>
      </w:r>
      <w:r w:rsidRPr="008537CA">
        <w:rPr>
          <w:rFonts w:eastAsia="Times New Roman" w:cs="Times New Roman"/>
          <w:b/>
          <w:bCs/>
          <w:rtl/>
          <w:lang w:eastAsia="de-DE"/>
        </w:rPr>
        <w:t>אֲבִירָם</w:t>
      </w:r>
      <w:r w:rsidRPr="008537CA">
        <w:rPr>
          <w:rFonts w:eastAsia="Times New Roman" w:cs="Times New Roman"/>
          <w:rtl/>
          <w:lang w:eastAsia="de-DE"/>
        </w:rPr>
        <w:t xml:space="preserve"> </w:t>
      </w:r>
      <w:r w:rsidRPr="008537CA">
        <w:rPr>
          <w:rFonts w:eastAsia="Times New Roman" w:cs="Times New Roman"/>
          <w:lang w:eastAsia="de-DE"/>
        </w:rPr>
        <w:t xml:space="preserve">der Eigenname. Die Apposition </w:t>
      </w:r>
      <w:r w:rsidRPr="008537CA">
        <w:rPr>
          <w:rFonts w:eastAsia="Times New Roman" w:cs="Times New Roman"/>
          <w:b/>
          <w:bCs/>
          <w:rtl/>
          <w:lang w:eastAsia="de-DE"/>
        </w:rPr>
        <w:t>בְּנֵי אֱלִיאָב</w:t>
      </w:r>
      <w:r w:rsidRPr="008537CA">
        <w:rPr>
          <w:rFonts w:eastAsia="Times New Roman" w:cs="Times New Roman"/>
          <w:rtl/>
          <w:lang w:eastAsia="de-DE"/>
        </w:rPr>
        <w:t xml:space="preserve"> </w:t>
      </w:r>
      <w:r w:rsidRPr="008537CA">
        <w:rPr>
          <w:rFonts w:eastAsia="Times New Roman" w:cs="Times New Roman"/>
          <w:lang w:eastAsia="de-DE"/>
        </w:rPr>
        <w:t xml:space="preserve">identifiziert beide als „Söhne Eliabs". </w:t>
      </w:r>
      <w:r w:rsidRPr="008537CA">
        <w:rPr>
          <w:rFonts w:eastAsia="Times New Roman" w:cs="Times New Roman"/>
          <w:b/>
          <w:bCs/>
          <w:rtl/>
          <w:lang w:eastAsia="de-DE"/>
        </w:rPr>
        <w:t>בְּנֵי</w:t>
      </w:r>
      <w:r w:rsidRPr="008537CA">
        <w:rPr>
          <w:rFonts w:eastAsia="Times New Roman" w:cs="Times New Roman"/>
          <w:rtl/>
          <w:lang w:eastAsia="de-DE"/>
        </w:rPr>
        <w:t xml:space="preserve"> </w:t>
      </w:r>
      <w:r w:rsidRPr="008537CA">
        <w:rPr>
          <w:rFonts w:eastAsia="Times New Roman" w:cs="Times New Roman"/>
          <w:lang w:eastAsia="de-DE"/>
        </w:rPr>
        <w:t xml:space="preserve">ist Constructus Plural von </w:t>
      </w:r>
      <w:r w:rsidRPr="008537CA">
        <w:rPr>
          <w:rFonts w:eastAsia="Times New Roman" w:cs="Times New Roman"/>
          <w:b/>
          <w:bCs/>
          <w:rtl/>
          <w:lang w:eastAsia="de-DE"/>
        </w:rPr>
        <w:t>בֵּן</w:t>
      </w:r>
      <w:r w:rsidRPr="008537CA">
        <w:rPr>
          <w:rFonts w:eastAsia="Times New Roman" w:cs="Times New Roman"/>
          <w:lang w:eastAsia="de-DE"/>
        </w:rPr>
        <w:t xml:space="preserve">, </w:t>
      </w:r>
      <w:r w:rsidRPr="008537CA">
        <w:rPr>
          <w:rFonts w:eastAsia="Times New Roman" w:cs="Times New Roman"/>
          <w:b/>
          <w:bCs/>
          <w:rtl/>
          <w:lang w:eastAsia="de-DE"/>
        </w:rPr>
        <w:t>אֱלִיאָב</w:t>
      </w:r>
      <w:r w:rsidRPr="008537CA">
        <w:rPr>
          <w:rFonts w:eastAsia="Times New Roman" w:cs="Times New Roman"/>
          <w:rtl/>
          <w:lang w:eastAsia="de-DE"/>
        </w:rPr>
        <w:t xml:space="preserve"> </w:t>
      </w:r>
      <w:r w:rsidRPr="008537CA">
        <w:rPr>
          <w:rFonts w:eastAsia="Times New Roman" w:cs="Times New Roman"/>
          <w:lang w:eastAsia="de-DE"/>
        </w:rPr>
        <w:t>der Vatersname.</w:t>
      </w:r>
    </w:p>
    <w:p w14:paraId="55907FD6"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koordinierte Verb </w:t>
      </w:r>
      <w:r w:rsidRPr="008537CA">
        <w:rPr>
          <w:rFonts w:eastAsia="Times New Roman" w:cs="Times New Roman"/>
          <w:b/>
          <w:bCs/>
          <w:rtl/>
          <w:lang w:eastAsia="de-DE"/>
        </w:rPr>
        <w:t>וַיֹּאמְרוּ</w:t>
      </w:r>
      <w:r w:rsidRPr="008537CA">
        <w:rPr>
          <w:rFonts w:eastAsia="Times New Roman" w:cs="Times New Roman"/>
          <w:rtl/>
          <w:lang w:eastAsia="de-DE"/>
        </w:rPr>
        <w:t xml:space="preserve"> </w:t>
      </w:r>
      <w:r w:rsidRPr="008537CA">
        <w:rPr>
          <w:rFonts w:eastAsia="Times New Roman" w:cs="Times New Roman"/>
          <w:lang w:eastAsia="de-DE"/>
        </w:rPr>
        <w:t xml:space="preserve">(Wayyiqtol, 3. m. pl. von </w:t>
      </w:r>
      <w:r w:rsidRPr="008537CA">
        <w:rPr>
          <w:rFonts w:eastAsia="Times New Roman" w:cs="Times New Roman"/>
          <w:b/>
          <w:bCs/>
          <w:rtl/>
          <w:lang w:eastAsia="de-DE"/>
        </w:rPr>
        <w:t>אמר</w:t>
      </w:r>
      <w:r w:rsidRPr="008537CA">
        <w:rPr>
          <w:rFonts w:eastAsia="Times New Roman" w:cs="Times New Roman"/>
          <w:lang w:eastAsia="de-DE"/>
        </w:rPr>
        <w:t xml:space="preserve">) bedeutet „und sie sprachen". Das Plural-Subjekt bezieht sich auf Datan und Aviram. Die Konjunktion </w:t>
      </w:r>
      <w:r w:rsidRPr="008537CA">
        <w:rPr>
          <w:rFonts w:eastAsia="Times New Roman" w:cs="Times New Roman"/>
          <w:b/>
          <w:bCs/>
          <w:rtl/>
          <w:lang w:eastAsia="de-DE"/>
        </w:rPr>
        <w:t>וְ</w:t>
      </w:r>
      <w:r w:rsidRPr="008537CA">
        <w:rPr>
          <w:rFonts w:eastAsia="Times New Roman" w:cs="Times New Roman"/>
          <w:rtl/>
          <w:lang w:eastAsia="de-DE"/>
        </w:rPr>
        <w:t xml:space="preserve"> </w:t>
      </w:r>
      <w:r w:rsidRPr="008537CA">
        <w:rPr>
          <w:rFonts w:eastAsia="Times New Roman" w:cs="Times New Roman"/>
          <w:lang w:eastAsia="de-DE"/>
        </w:rPr>
        <w:t>markiert hier einen adversativen Kontrast: Mose ruft sie, aber sie weigern sich.</w:t>
      </w:r>
    </w:p>
    <w:p w14:paraId="238518DA"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Negation </w:t>
      </w:r>
      <w:r w:rsidRPr="008537CA">
        <w:rPr>
          <w:rFonts w:eastAsia="Times New Roman" w:cs="Times New Roman"/>
          <w:b/>
          <w:bCs/>
          <w:rtl/>
          <w:lang w:eastAsia="de-DE"/>
        </w:rPr>
        <w:t>לֹא</w:t>
      </w:r>
      <w:r w:rsidRPr="008537CA">
        <w:rPr>
          <w:rFonts w:eastAsia="Times New Roman" w:cs="Times New Roman"/>
          <w:rtl/>
          <w:lang w:eastAsia="de-DE"/>
        </w:rPr>
        <w:t xml:space="preserve"> </w:t>
      </w:r>
      <w:r w:rsidRPr="008537CA">
        <w:rPr>
          <w:rFonts w:eastAsia="Times New Roman" w:cs="Times New Roman"/>
          <w:lang w:eastAsia="de-DE"/>
        </w:rPr>
        <w:t>(„nicht") negiert das folgende Verb.</w:t>
      </w:r>
    </w:p>
    <w:p w14:paraId="44172116"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Verb </w:t>
      </w:r>
      <w:r w:rsidRPr="008537CA">
        <w:rPr>
          <w:rFonts w:eastAsia="Times New Roman" w:cs="Times New Roman"/>
          <w:b/>
          <w:bCs/>
          <w:rtl/>
          <w:lang w:eastAsia="de-DE"/>
        </w:rPr>
        <w:t>נַעֲלֶה</w:t>
      </w:r>
      <w:r w:rsidRPr="008537CA">
        <w:rPr>
          <w:rFonts w:eastAsia="Times New Roman" w:cs="Times New Roman"/>
          <w:rtl/>
          <w:lang w:eastAsia="de-DE"/>
        </w:rPr>
        <w:t xml:space="preserve"> </w:t>
      </w:r>
      <w:r w:rsidRPr="008537CA">
        <w:rPr>
          <w:rFonts w:eastAsia="Times New Roman" w:cs="Times New Roman"/>
          <w:lang w:eastAsia="de-DE"/>
        </w:rPr>
        <w:t xml:space="preserve">(Qal Imperfekt, 1. c. pl. von </w:t>
      </w:r>
      <w:r w:rsidRPr="008537CA">
        <w:rPr>
          <w:rFonts w:eastAsia="Times New Roman" w:cs="Times New Roman"/>
          <w:b/>
          <w:bCs/>
          <w:rtl/>
          <w:lang w:eastAsia="de-DE"/>
        </w:rPr>
        <w:t>עלה</w:t>
      </w:r>
      <w:r w:rsidRPr="008537CA">
        <w:rPr>
          <w:rFonts w:eastAsia="Times New Roman" w:cs="Times New Roman"/>
          <w:lang w:eastAsia="de-DE"/>
        </w:rPr>
        <w:t xml:space="preserve">) bedeutet „wir werden hinaufsteigen, wir kommen hinauf". </w:t>
      </w:r>
      <w:r w:rsidRPr="008537CA">
        <w:rPr>
          <w:rFonts w:eastAsia="Times New Roman" w:cs="Times New Roman"/>
          <w:b/>
          <w:bCs/>
          <w:rtl/>
          <w:lang w:eastAsia="de-DE"/>
        </w:rPr>
        <w:t>עלה</w:t>
      </w:r>
      <w:r w:rsidRPr="008537CA">
        <w:rPr>
          <w:rFonts w:eastAsia="Times New Roman" w:cs="Times New Roman"/>
          <w:rtl/>
          <w:lang w:eastAsia="de-DE"/>
        </w:rPr>
        <w:t xml:space="preserve"> </w:t>
      </w:r>
      <w:r w:rsidRPr="008537CA">
        <w:rPr>
          <w:rFonts w:eastAsia="Times New Roman" w:cs="Times New Roman"/>
          <w:lang w:eastAsia="de-DE"/>
        </w:rPr>
        <w:t>bedeutet „hinaufsteigen, hinaufgehen" und wird häufig für das Hingehen zu einem höher gelegenen oder wichtigeren Ort verwendet. Die Imperfektform drückt hier eine Weigerung aus: „wir werden nicht hinaufgehen".</w:t>
      </w:r>
    </w:p>
    <w:p w14:paraId="465D242E"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knappe, kategorische Ablehnung </w:t>
      </w:r>
      <w:r w:rsidRPr="008537CA">
        <w:rPr>
          <w:rFonts w:eastAsia="Times New Roman" w:cs="Times New Roman"/>
          <w:b/>
          <w:bCs/>
          <w:rtl/>
          <w:lang w:eastAsia="de-DE"/>
        </w:rPr>
        <w:t>לֹא נַעֲלֶה</w:t>
      </w:r>
      <w:r w:rsidRPr="008537CA">
        <w:rPr>
          <w:rFonts w:eastAsia="Times New Roman" w:cs="Times New Roman"/>
          <w:rtl/>
          <w:lang w:eastAsia="de-DE"/>
        </w:rPr>
        <w:t xml:space="preserve"> </w:t>
      </w:r>
      <w:r w:rsidRPr="008537CA">
        <w:rPr>
          <w:rFonts w:eastAsia="Times New Roman" w:cs="Times New Roman"/>
          <w:lang w:eastAsia="de-DE"/>
        </w:rPr>
        <w:t>zeigt die offene Rebellion und Respektlosigkeit gegenüber Moses Autorität.</w:t>
      </w:r>
    </w:p>
    <w:p w14:paraId="7E41D4B8" w14:textId="3C9E47CC"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Die LXX</w:t>
      </w:r>
      <w:r w:rsidRPr="008537CA">
        <w:rPr>
          <w:rFonts w:eastAsia="Times New Roman" w:cs="Times New Roman"/>
          <w:lang w:eastAsia="de-DE"/>
        </w:rPr>
        <w:t xml:space="preserve"> übersetzt </w:t>
      </w:r>
      <w:r w:rsidRPr="008537CA">
        <w:rPr>
          <w:rFonts w:eastAsia="Times New Roman" w:cs="Times New Roman"/>
          <w:b/>
          <w:bCs/>
          <w:rtl/>
          <w:lang w:eastAsia="de-DE"/>
        </w:rPr>
        <w:t>וַיִּשְׁלַח מֹשֶׁה</w:t>
      </w:r>
      <w:r w:rsidRPr="008537CA">
        <w:rPr>
          <w:rFonts w:eastAsia="Times New Roman" w:cs="Times New Roman"/>
          <w:rtl/>
          <w:lang w:eastAsia="de-DE"/>
        </w:rPr>
        <w:t xml:space="preserve"> </w:t>
      </w:r>
      <w:r w:rsidRPr="008537CA">
        <w:rPr>
          <w:rFonts w:eastAsia="Times New Roman" w:cs="Times New Roman"/>
          <w:lang w:eastAsia="de-DE"/>
        </w:rPr>
        <w:t xml:space="preserve">mit καὶ ἀπέστειλεν Μωυσῆς (kai apesteilen Mōysēs, „und Mose sandte"). </w:t>
      </w:r>
      <w:r w:rsidRPr="008537CA">
        <w:rPr>
          <w:rFonts w:eastAsia="Times New Roman" w:cs="Times New Roman"/>
          <w:b/>
          <w:bCs/>
          <w:rtl/>
          <w:lang w:eastAsia="de-DE"/>
        </w:rPr>
        <w:t>לִקְרֹא לְדָתָן וְלַאֲבִירָם</w:t>
      </w:r>
      <w:r w:rsidRPr="008537CA">
        <w:rPr>
          <w:rFonts w:eastAsia="Times New Roman" w:cs="Times New Roman"/>
          <w:rtl/>
          <w:lang w:eastAsia="de-DE"/>
        </w:rPr>
        <w:t xml:space="preserve"> </w:t>
      </w:r>
      <w:r w:rsidRPr="008537CA">
        <w:rPr>
          <w:rFonts w:eastAsia="Times New Roman" w:cs="Times New Roman"/>
          <w:lang w:eastAsia="de-DE"/>
        </w:rPr>
        <w:t xml:space="preserve">wird mit καλέσαι Δαθαν καὶ Αβιρων („zu rufen Datan und Abiron") wiedergegeben. </w:t>
      </w:r>
      <w:r w:rsidRPr="008537CA">
        <w:rPr>
          <w:rFonts w:eastAsia="Times New Roman" w:cs="Times New Roman"/>
          <w:b/>
          <w:bCs/>
          <w:rtl/>
          <w:lang w:eastAsia="de-DE"/>
        </w:rPr>
        <w:t>בְּנֵי אֱלִיאָב</w:t>
      </w:r>
      <w:r w:rsidRPr="008537CA">
        <w:rPr>
          <w:rFonts w:eastAsia="Times New Roman" w:cs="Times New Roman"/>
          <w:rtl/>
          <w:lang w:eastAsia="de-DE"/>
        </w:rPr>
        <w:t xml:space="preserve"> </w:t>
      </w:r>
      <w:r w:rsidRPr="008537CA">
        <w:rPr>
          <w:rFonts w:eastAsia="Times New Roman" w:cs="Times New Roman"/>
          <w:lang w:eastAsia="de-DE"/>
        </w:rPr>
        <w:t xml:space="preserve">wird mit υἱοὺς Ελιαβ übersetzt. </w:t>
      </w:r>
      <w:r w:rsidRPr="008537CA">
        <w:rPr>
          <w:rFonts w:eastAsia="Times New Roman" w:cs="Times New Roman"/>
          <w:b/>
          <w:bCs/>
          <w:rtl/>
          <w:lang w:eastAsia="de-DE"/>
        </w:rPr>
        <w:t>וַיֹּאמְרוּ לֹא נַעֲלֶה</w:t>
      </w:r>
      <w:r w:rsidRPr="008537CA">
        <w:rPr>
          <w:rFonts w:eastAsia="Times New Roman" w:cs="Times New Roman"/>
          <w:rtl/>
          <w:lang w:eastAsia="de-DE"/>
        </w:rPr>
        <w:t xml:space="preserve"> </w:t>
      </w:r>
      <w:r w:rsidRPr="008537CA">
        <w:rPr>
          <w:rFonts w:eastAsia="Times New Roman" w:cs="Times New Roman"/>
          <w:lang w:eastAsia="de-DE"/>
        </w:rPr>
        <w:t>wird mit καὶ εἶπαν οὐκ ἀναβαίνομεν („und sie sprachen: Wir steigen nicht hinauf") wiedergegeben.</w:t>
      </w:r>
    </w:p>
    <w:p w14:paraId="3E8A9925"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Die Satzstruktur zeigt einen Hauptsatz mit Verb, explizitem Subjekt und finalem Infinitiv mit doppeltem indirektem Objekt (koordiniert) und Apposition. Ein zweiter Hauptsatz folgt mit adversativer Konjunktion, Verb im Plural und direkter Rede (Hauptsatz mit Negation und Verb). Es gibt keine Nebensätze außer der finalen Infinitivkonstruktion.</w:t>
      </w:r>
    </w:p>
    <w:p w14:paraId="6621F57C"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markiert einen Wendepunkt: Die Erzählung wendet sich nun von Korach und den Leviten zu Datan und Aviram, den rubenitischen Rebellen, die Moses Autorität offen ablehnen.</w:t>
      </w:r>
    </w:p>
    <w:p w14:paraId="3FD3761B" w14:textId="77777777" w:rsidR="008537CA" w:rsidRPr="008537CA" w:rsidRDefault="008537CA" w:rsidP="008537CA">
      <w:pPr>
        <w:spacing w:before="100" w:beforeAutospacing="1" w:after="100" w:afterAutospacing="1" w:line="240" w:lineRule="auto"/>
        <w:outlineLvl w:val="0"/>
        <w:rPr>
          <w:rFonts w:eastAsia="Times New Roman" w:cs="Times New Roman"/>
          <w:b/>
          <w:bCs/>
          <w:kern w:val="36"/>
          <w:sz w:val="48"/>
          <w:szCs w:val="48"/>
          <w:lang w:eastAsia="de-DE"/>
        </w:rPr>
      </w:pPr>
      <w:r w:rsidRPr="008537CA">
        <w:rPr>
          <w:rFonts w:eastAsia="Times New Roman" w:cs="Times New Roman"/>
          <w:b/>
          <w:bCs/>
          <w:kern w:val="36"/>
          <w:sz w:val="48"/>
          <w:szCs w:val="48"/>
          <w:lang w:eastAsia="de-DE"/>
        </w:rPr>
        <w:t>Numeri 16,13</w:t>
      </w:r>
    </w:p>
    <w:p w14:paraId="2E66BE67"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Hebräisch:</w:t>
      </w:r>
      <w:r w:rsidRPr="008537CA">
        <w:rPr>
          <w:rFonts w:eastAsia="Times New Roman" w:cs="Times New Roman"/>
          <w:lang w:eastAsia="de-DE"/>
        </w:rPr>
        <w:t xml:space="preserve"> </w:t>
      </w:r>
      <w:r w:rsidRPr="008537CA">
        <w:rPr>
          <w:rFonts w:eastAsia="Times New Roman" w:cs="Times New Roman"/>
          <w:rtl/>
          <w:lang w:eastAsia="de-DE"/>
        </w:rPr>
        <w:t>הַמְעַ֗ט כִּ֤י הֶֽעֱלִיתָ֨נוּ֙ מֵאֶ֨רֶץ זָבַ֤ת חָלָב֙ וּדְבַ֔שׁ לַהֲמִיתֵ֖נוּ בַּמִּדְבָּ֑ר כִּֽי־תִשְׂתָּרֵ֥ר עָלֵ֖ינוּ גַּם־הִשְׂתָּרֵֽר׃</w:t>
      </w:r>
    </w:p>
    <w:p w14:paraId="36A3520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Deutsch:</w:t>
      </w:r>
      <w:r w:rsidRPr="008537CA">
        <w:rPr>
          <w:rFonts w:eastAsia="Times New Roman" w:cs="Times New Roman"/>
          <w:lang w:eastAsia="de-DE"/>
        </w:rPr>
        <w:t xml:space="preserve"> Ist es zu wenig, dass du uns aus einem Land, das von Milch und Honig fließt, heraufgeführt hast, um uns in der Wüste sterben zu lassen, dass du dich auch noch zum Herrscher über uns aufwirfst?</w:t>
      </w:r>
    </w:p>
    <w:p w14:paraId="328EC3DD" w14:textId="77777777" w:rsidR="008537CA" w:rsidRPr="008537CA" w:rsidRDefault="00F329DD" w:rsidP="008537CA">
      <w:pPr>
        <w:spacing w:after="0" w:line="240" w:lineRule="auto"/>
        <w:rPr>
          <w:rFonts w:eastAsia="Times New Roman" w:cs="Times New Roman"/>
          <w:lang w:eastAsia="de-DE"/>
        </w:rPr>
      </w:pPr>
      <w:r>
        <w:rPr>
          <w:rFonts w:eastAsia="Times New Roman" w:cs="Times New Roman"/>
          <w:noProof/>
          <w:lang w:eastAsia="de-DE"/>
        </w:rPr>
        <w:lastRenderedPageBreak/>
        <w:pict w14:anchorId="095FE61D">
          <v:rect id="_x0000_i1551" style="width:0;height:1.5pt" o:hralign="center" o:hrstd="t" o:hr="t" fillcolor="#a0a0a0" stroked="f"/>
        </w:pict>
      </w:r>
    </w:p>
    <w:p w14:paraId="29FCCFA6" w14:textId="3134B6D6"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Kommentar:</w:t>
      </w:r>
      <w:r w:rsidRPr="008537CA">
        <w:rPr>
          <w:rFonts w:eastAsia="Times New Roman" w:cs="Times New Roman"/>
          <w:lang w:eastAsia="de-DE"/>
        </w:rPr>
        <w:t xml:space="preserve"> Die rhetorische Frage </w:t>
      </w:r>
      <w:r w:rsidRPr="008537CA">
        <w:rPr>
          <w:rFonts w:eastAsia="Times New Roman" w:cs="Times New Roman"/>
          <w:b/>
          <w:bCs/>
          <w:rtl/>
          <w:lang w:eastAsia="de-DE"/>
        </w:rPr>
        <w:t>הַמְעַט</w:t>
      </w:r>
      <w:r w:rsidRPr="008537CA">
        <w:rPr>
          <w:rFonts w:eastAsia="Times New Roman" w:cs="Times New Roman"/>
          <w:rtl/>
          <w:lang w:eastAsia="de-DE"/>
        </w:rPr>
        <w:t xml:space="preserve"> </w:t>
      </w:r>
      <w:r w:rsidRPr="008537CA">
        <w:rPr>
          <w:rFonts w:eastAsia="Times New Roman" w:cs="Times New Roman"/>
          <w:lang w:eastAsia="de-DE"/>
        </w:rPr>
        <w:t xml:space="preserve">mit </w:t>
      </w:r>
      <w:r w:rsidRPr="008537CA">
        <w:rPr>
          <w:rFonts w:eastAsia="Times New Roman" w:cs="Times New Roman"/>
          <w:b/>
          <w:bCs/>
          <w:rtl/>
          <w:lang w:eastAsia="de-DE"/>
        </w:rPr>
        <w:t>הַ</w:t>
      </w:r>
      <w:r w:rsidRPr="008537CA">
        <w:rPr>
          <w:rFonts w:eastAsia="Times New Roman" w:cs="Times New Roman"/>
          <w:rtl/>
          <w:lang w:eastAsia="de-DE"/>
        </w:rPr>
        <w:t xml:space="preserve"> </w:t>
      </w:r>
      <w:r w:rsidRPr="008537CA">
        <w:rPr>
          <w:rFonts w:eastAsia="Times New Roman" w:cs="Times New Roman"/>
          <w:lang w:eastAsia="de-DE"/>
        </w:rPr>
        <w:t xml:space="preserve">als interrogativem Präfix und </w:t>
      </w:r>
      <w:r w:rsidRPr="008537CA">
        <w:rPr>
          <w:rFonts w:eastAsia="Times New Roman" w:cs="Times New Roman"/>
          <w:b/>
          <w:bCs/>
          <w:rtl/>
          <w:lang w:eastAsia="de-DE"/>
        </w:rPr>
        <w:t>מְעַט</w:t>
      </w:r>
      <w:r w:rsidRPr="008537CA">
        <w:rPr>
          <w:rFonts w:eastAsia="Times New Roman" w:cs="Times New Roman"/>
          <w:rtl/>
          <w:lang w:eastAsia="de-DE"/>
        </w:rPr>
        <w:t xml:space="preserve"> </w:t>
      </w:r>
      <w:r w:rsidRPr="008537CA">
        <w:rPr>
          <w:rFonts w:eastAsia="Times New Roman" w:cs="Times New Roman"/>
          <w:lang w:eastAsia="de-DE"/>
        </w:rPr>
        <w:t xml:space="preserve">(„wenig") eröffnet die Anklage. Die </w:t>
      </w:r>
      <w:r w:rsidR="00F133EC">
        <w:rPr>
          <w:rFonts w:eastAsia="Times New Roman" w:cs="Times New Roman"/>
          <w:lang w:eastAsia="de-DE"/>
        </w:rPr>
        <w:t>Construct</w:t>
      </w:r>
      <w:r w:rsidRPr="008537CA">
        <w:rPr>
          <w:rFonts w:eastAsia="Times New Roman" w:cs="Times New Roman"/>
          <w:lang w:eastAsia="de-DE"/>
        </w:rPr>
        <w:t>ion entspricht der in Vers 9 und drückt sarkastische Empörung aus.</w:t>
      </w:r>
    </w:p>
    <w:p w14:paraId="62B6EF64"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kausale Konjunktion </w:t>
      </w:r>
      <w:r w:rsidRPr="008537CA">
        <w:rPr>
          <w:rFonts w:eastAsia="Times New Roman" w:cs="Times New Roman"/>
          <w:b/>
          <w:bCs/>
          <w:rtl/>
          <w:lang w:eastAsia="de-DE"/>
        </w:rPr>
        <w:t>כִּי</w:t>
      </w:r>
      <w:r w:rsidRPr="008537CA">
        <w:rPr>
          <w:rFonts w:eastAsia="Times New Roman" w:cs="Times New Roman"/>
          <w:rtl/>
          <w:lang w:eastAsia="de-DE"/>
        </w:rPr>
        <w:t xml:space="preserve"> </w:t>
      </w:r>
      <w:r w:rsidRPr="008537CA">
        <w:rPr>
          <w:rFonts w:eastAsia="Times New Roman" w:cs="Times New Roman"/>
          <w:lang w:eastAsia="de-DE"/>
        </w:rPr>
        <w:t>(„dass, weil") leitet den Inhalt der rhetorischen Frage ein.</w:t>
      </w:r>
    </w:p>
    <w:p w14:paraId="1F0AB23C"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Das Verb </w:t>
      </w:r>
      <w:r w:rsidRPr="008537CA">
        <w:rPr>
          <w:rFonts w:eastAsia="Times New Roman" w:cs="Times New Roman"/>
          <w:b/>
          <w:bCs/>
          <w:rtl/>
          <w:lang w:eastAsia="de-DE"/>
        </w:rPr>
        <w:t>הֶעֱלִיתָנוּ</w:t>
      </w:r>
      <w:r w:rsidRPr="008537CA">
        <w:rPr>
          <w:rFonts w:eastAsia="Times New Roman" w:cs="Times New Roman"/>
          <w:rtl/>
          <w:lang w:eastAsia="de-DE"/>
        </w:rPr>
        <w:t xml:space="preserve"> </w:t>
      </w:r>
      <w:r w:rsidRPr="008537CA">
        <w:rPr>
          <w:rFonts w:eastAsia="Times New Roman" w:cs="Times New Roman"/>
          <w:lang w:eastAsia="de-DE"/>
        </w:rPr>
        <w:t xml:space="preserve">(Hifil Perfekt, 2. m. sg. von </w:t>
      </w:r>
      <w:r w:rsidRPr="008537CA">
        <w:rPr>
          <w:rFonts w:eastAsia="Times New Roman" w:cs="Times New Roman"/>
          <w:b/>
          <w:bCs/>
          <w:rtl/>
          <w:lang w:eastAsia="de-DE"/>
        </w:rPr>
        <w:t>עלה</w:t>
      </w:r>
      <w:r w:rsidRPr="008537CA">
        <w:rPr>
          <w:rFonts w:eastAsia="Times New Roman" w:cs="Times New Roman"/>
          <w:rtl/>
          <w:lang w:eastAsia="de-DE"/>
        </w:rPr>
        <w:t xml:space="preserve"> </w:t>
      </w:r>
      <w:r w:rsidRPr="008537CA">
        <w:rPr>
          <w:rFonts w:eastAsia="Times New Roman" w:cs="Times New Roman"/>
          <w:lang w:eastAsia="de-DE"/>
        </w:rPr>
        <w:t xml:space="preserve">mit Suffix 1. c. pl.) bedeutet „du hast uns heraufgeführt". Die Hifil-Form ist kausativ: „veranlassen hinaufzusteigen". Das Suffix </w:t>
      </w:r>
      <w:r w:rsidRPr="008537CA">
        <w:rPr>
          <w:rFonts w:eastAsia="Times New Roman" w:cs="Times New Roman"/>
          <w:b/>
          <w:bCs/>
          <w:rtl/>
          <w:lang w:eastAsia="de-DE"/>
        </w:rPr>
        <w:t>נוּ</w:t>
      </w:r>
      <w:r w:rsidRPr="008537CA">
        <w:rPr>
          <w:rFonts w:eastAsia="Times New Roman" w:cs="Times New Roman"/>
          <w:b/>
          <w:bCs/>
          <w:lang w:eastAsia="de-DE"/>
        </w:rPr>
        <w:t>-</w:t>
      </w:r>
      <w:r w:rsidRPr="008537CA">
        <w:rPr>
          <w:rFonts w:eastAsia="Times New Roman" w:cs="Times New Roman"/>
          <w:lang w:eastAsia="de-DE"/>
        </w:rPr>
        <w:t xml:space="preserve"> ist das Objektsuffix 1. Person Plural („uns"). Das Perfekt drückt eine abgeschlossene Handlung aus.</w:t>
      </w:r>
    </w:p>
    <w:p w14:paraId="786478A4"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Präpositionalphrase </w:t>
      </w:r>
      <w:r w:rsidRPr="008537CA">
        <w:rPr>
          <w:rFonts w:eastAsia="Times New Roman" w:cs="Times New Roman"/>
          <w:b/>
          <w:bCs/>
          <w:rtl/>
          <w:lang w:eastAsia="de-DE"/>
        </w:rPr>
        <w:t>מֵאֶרֶץ זָבַת חָלָב וּדְבַשׁ</w:t>
      </w:r>
      <w:r w:rsidRPr="008537CA">
        <w:rPr>
          <w:rFonts w:eastAsia="Times New Roman" w:cs="Times New Roman"/>
          <w:rtl/>
          <w:lang w:eastAsia="de-DE"/>
        </w:rPr>
        <w:t xml:space="preserve"> </w:t>
      </w:r>
      <w:r w:rsidRPr="008537CA">
        <w:rPr>
          <w:rFonts w:eastAsia="Times New Roman" w:cs="Times New Roman"/>
          <w:lang w:eastAsia="de-DE"/>
        </w:rPr>
        <w:t xml:space="preserve">ist die Herkunftsangabe. </w:t>
      </w:r>
      <w:r w:rsidRPr="008537CA">
        <w:rPr>
          <w:rFonts w:eastAsia="Times New Roman" w:cs="Times New Roman"/>
          <w:b/>
          <w:bCs/>
          <w:rtl/>
          <w:lang w:eastAsia="de-DE"/>
        </w:rPr>
        <w:t>מִן</w:t>
      </w:r>
      <w:r w:rsidRPr="008537CA">
        <w:rPr>
          <w:rFonts w:eastAsia="Times New Roman" w:cs="Times New Roman"/>
          <w:rtl/>
          <w:lang w:eastAsia="de-DE"/>
        </w:rPr>
        <w:t xml:space="preserve"> </w:t>
      </w:r>
      <w:r w:rsidRPr="008537CA">
        <w:rPr>
          <w:rFonts w:eastAsia="Times New Roman" w:cs="Times New Roman"/>
          <w:lang w:eastAsia="de-DE"/>
        </w:rPr>
        <w:t xml:space="preserve">ist die Präposition „aus", </w:t>
      </w:r>
      <w:r w:rsidRPr="008537CA">
        <w:rPr>
          <w:rFonts w:eastAsia="Times New Roman" w:cs="Times New Roman"/>
          <w:b/>
          <w:bCs/>
          <w:rtl/>
          <w:lang w:eastAsia="de-DE"/>
        </w:rPr>
        <w:t>אֶרֶץ</w:t>
      </w:r>
      <w:r w:rsidRPr="008537CA">
        <w:rPr>
          <w:rFonts w:eastAsia="Times New Roman" w:cs="Times New Roman"/>
          <w:rtl/>
          <w:lang w:eastAsia="de-DE"/>
        </w:rPr>
        <w:t xml:space="preserve"> </w:t>
      </w:r>
      <w:r w:rsidRPr="008537CA">
        <w:rPr>
          <w:rFonts w:eastAsia="Times New Roman" w:cs="Times New Roman"/>
          <w:lang w:eastAsia="de-DE"/>
        </w:rPr>
        <w:t xml:space="preserve">bedeutet „Land". </w:t>
      </w:r>
      <w:r w:rsidRPr="008537CA">
        <w:rPr>
          <w:rFonts w:eastAsia="Times New Roman" w:cs="Times New Roman"/>
          <w:b/>
          <w:bCs/>
          <w:rtl/>
          <w:lang w:eastAsia="de-DE"/>
        </w:rPr>
        <w:t>זָבַת</w:t>
      </w:r>
      <w:r w:rsidRPr="008537CA">
        <w:rPr>
          <w:rFonts w:eastAsia="Times New Roman" w:cs="Times New Roman"/>
          <w:rtl/>
          <w:lang w:eastAsia="de-DE"/>
        </w:rPr>
        <w:t xml:space="preserve"> </w:t>
      </w:r>
      <w:r w:rsidRPr="008537CA">
        <w:rPr>
          <w:rFonts w:eastAsia="Times New Roman" w:cs="Times New Roman"/>
          <w:lang w:eastAsia="de-DE"/>
        </w:rPr>
        <w:t xml:space="preserve">ist das Qal Partizip Femininum Singular von </w:t>
      </w:r>
      <w:r w:rsidRPr="008537CA">
        <w:rPr>
          <w:rFonts w:eastAsia="Times New Roman" w:cs="Times New Roman"/>
          <w:b/>
          <w:bCs/>
          <w:rtl/>
          <w:lang w:eastAsia="de-DE"/>
        </w:rPr>
        <w:t>זוב</w:t>
      </w:r>
      <w:r w:rsidRPr="008537CA">
        <w:rPr>
          <w:rFonts w:eastAsia="Times New Roman" w:cs="Times New Roman"/>
          <w:rtl/>
          <w:lang w:eastAsia="de-DE"/>
        </w:rPr>
        <w:t xml:space="preserve"> </w:t>
      </w:r>
      <w:r w:rsidRPr="008537CA">
        <w:rPr>
          <w:rFonts w:eastAsia="Times New Roman" w:cs="Times New Roman"/>
          <w:lang w:eastAsia="de-DE"/>
        </w:rPr>
        <w:t xml:space="preserve">(„fließen") im Constructus. </w:t>
      </w:r>
      <w:r w:rsidRPr="008537CA">
        <w:rPr>
          <w:rFonts w:eastAsia="Times New Roman" w:cs="Times New Roman"/>
          <w:b/>
          <w:bCs/>
          <w:rtl/>
          <w:lang w:eastAsia="de-DE"/>
        </w:rPr>
        <w:t>חָלָב וּדְבַשׁ</w:t>
      </w:r>
      <w:r w:rsidRPr="008537CA">
        <w:rPr>
          <w:rFonts w:eastAsia="Times New Roman" w:cs="Times New Roman"/>
          <w:rtl/>
          <w:lang w:eastAsia="de-DE"/>
        </w:rPr>
        <w:t xml:space="preserve"> </w:t>
      </w:r>
      <w:r w:rsidRPr="008537CA">
        <w:rPr>
          <w:rFonts w:eastAsia="Times New Roman" w:cs="Times New Roman"/>
          <w:lang w:eastAsia="de-DE"/>
        </w:rPr>
        <w:t xml:space="preserve">sind die koordinierten Objekte: </w:t>
      </w:r>
      <w:r w:rsidRPr="008537CA">
        <w:rPr>
          <w:rFonts w:eastAsia="Times New Roman" w:cs="Times New Roman"/>
          <w:b/>
          <w:bCs/>
          <w:rtl/>
          <w:lang w:eastAsia="de-DE"/>
        </w:rPr>
        <w:t>חָלָב</w:t>
      </w:r>
      <w:r w:rsidRPr="008537CA">
        <w:rPr>
          <w:rFonts w:eastAsia="Times New Roman" w:cs="Times New Roman"/>
          <w:rtl/>
          <w:lang w:eastAsia="de-DE"/>
        </w:rPr>
        <w:t xml:space="preserve"> </w:t>
      </w:r>
      <w:r w:rsidRPr="008537CA">
        <w:rPr>
          <w:rFonts w:eastAsia="Times New Roman" w:cs="Times New Roman"/>
          <w:lang w:eastAsia="de-DE"/>
        </w:rPr>
        <w:t xml:space="preserve">(„Milch") und </w:t>
      </w:r>
      <w:r w:rsidRPr="008537CA">
        <w:rPr>
          <w:rFonts w:eastAsia="Times New Roman" w:cs="Times New Roman"/>
          <w:b/>
          <w:bCs/>
          <w:rtl/>
          <w:lang w:eastAsia="de-DE"/>
        </w:rPr>
        <w:t>דְבַשׁ</w:t>
      </w:r>
      <w:r w:rsidRPr="008537CA">
        <w:rPr>
          <w:rFonts w:eastAsia="Times New Roman" w:cs="Times New Roman"/>
          <w:rtl/>
          <w:lang w:eastAsia="de-DE"/>
        </w:rPr>
        <w:t xml:space="preserve"> </w:t>
      </w:r>
      <w:r w:rsidRPr="008537CA">
        <w:rPr>
          <w:rFonts w:eastAsia="Times New Roman" w:cs="Times New Roman"/>
          <w:lang w:eastAsia="de-DE"/>
        </w:rPr>
        <w:t xml:space="preserve">(„Honig"), verbunden durch die Konjunktion </w:t>
      </w:r>
      <w:r w:rsidRPr="008537CA">
        <w:rPr>
          <w:rFonts w:eastAsia="Times New Roman" w:cs="Times New Roman"/>
          <w:b/>
          <w:bCs/>
          <w:rtl/>
          <w:lang w:eastAsia="de-DE"/>
        </w:rPr>
        <w:t>וּ</w:t>
      </w:r>
      <w:r w:rsidRPr="008537CA">
        <w:rPr>
          <w:rFonts w:eastAsia="Times New Roman" w:cs="Times New Roman"/>
          <w:lang w:eastAsia="de-DE"/>
        </w:rPr>
        <w:t xml:space="preserve">. Die stehende Wendung </w:t>
      </w:r>
      <w:r w:rsidRPr="008537CA">
        <w:rPr>
          <w:rFonts w:eastAsia="Times New Roman" w:cs="Times New Roman"/>
          <w:b/>
          <w:bCs/>
          <w:rtl/>
          <w:lang w:eastAsia="de-DE"/>
        </w:rPr>
        <w:t>ארץ זבת חלב ודבש</w:t>
      </w:r>
      <w:r w:rsidRPr="008537CA">
        <w:rPr>
          <w:rFonts w:eastAsia="Times New Roman" w:cs="Times New Roman"/>
          <w:rtl/>
          <w:lang w:eastAsia="de-DE"/>
        </w:rPr>
        <w:t xml:space="preserve"> </w:t>
      </w:r>
      <w:r w:rsidRPr="008537CA">
        <w:rPr>
          <w:rFonts w:eastAsia="Times New Roman" w:cs="Times New Roman"/>
          <w:lang w:eastAsia="de-DE"/>
        </w:rPr>
        <w:t>(„ein Land, das von Milch und Honig fließt") bezeichnet normalerweise das verheißene Land Kanaan. Die bittere Ironie liegt darin, dass Datan und Aviram diese Phrase auf Ägypten anwenden – eine drastische Umkehrung der Exodus-Theologie.</w:t>
      </w:r>
    </w:p>
    <w:p w14:paraId="41752B68"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Der finale Infinitiv </w:t>
      </w:r>
      <w:r w:rsidRPr="008537CA">
        <w:rPr>
          <w:rFonts w:eastAsia="Times New Roman" w:cs="Times New Roman"/>
          <w:b/>
          <w:bCs/>
          <w:rtl/>
          <w:lang w:eastAsia="de-DE"/>
        </w:rPr>
        <w:t>לַהֲמִיתֵנוּ</w:t>
      </w:r>
      <w:r w:rsidRPr="008537CA">
        <w:rPr>
          <w:rFonts w:eastAsia="Times New Roman" w:cs="Times New Roman"/>
          <w:rtl/>
          <w:lang w:eastAsia="de-DE"/>
        </w:rPr>
        <w:t xml:space="preserve"> </w:t>
      </w:r>
      <w:r w:rsidRPr="008537CA">
        <w:rPr>
          <w:rFonts w:eastAsia="Times New Roman" w:cs="Times New Roman"/>
          <w:lang w:eastAsia="de-DE"/>
        </w:rPr>
        <w:t xml:space="preserve">(Hifil Infinitiv construct von </w:t>
      </w:r>
      <w:r w:rsidRPr="008537CA">
        <w:rPr>
          <w:rFonts w:eastAsia="Times New Roman" w:cs="Times New Roman"/>
          <w:b/>
          <w:bCs/>
          <w:rtl/>
          <w:lang w:eastAsia="de-DE"/>
        </w:rPr>
        <w:t>מות</w:t>
      </w:r>
      <w:r w:rsidRPr="008537CA">
        <w:rPr>
          <w:rFonts w:eastAsia="Times New Roman" w:cs="Times New Roman"/>
          <w:rtl/>
          <w:lang w:eastAsia="de-DE"/>
        </w:rPr>
        <w:t xml:space="preserve"> </w:t>
      </w:r>
      <w:r w:rsidRPr="008537CA">
        <w:rPr>
          <w:rFonts w:eastAsia="Times New Roman" w:cs="Times New Roman"/>
          <w:lang w:eastAsia="de-DE"/>
        </w:rPr>
        <w:t xml:space="preserve">mit </w:t>
      </w:r>
      <w:r w:rsidRPr="008537CA">
        <w:rPr>
          <w:rFonts w:eastAsia="Times New Roman" w:cs="Times New Roman"/>
          <w:b/>
          <w:bCs/>
          <w:rtl/>
          <w:lang w:eastAsia="de-DE"/>
        </w:rPr>
        <w:t>לְ</w:t>
      </w:r>
      <w:r w:rsidRPr="008537CA">
        <w:rPr>
          <w:rFonts w:eastAsia="Times New Roman" w:cs="Times New Roman"/>
          <w:rtl/>
          <w:lang w:eastAsia="de-DE"/>
        </w:rPr>
        <w:t xml:space="preserve"> </w:t>
      </w:r>
      <w:r w:rsidRPr="008537CA">
        <w:rPr>
          <w:rFonts w:eastAsia="Times New Roman" w:cs="Times New Roman"/>
          <w:lang w:eastAsia="de-DE"/>
        </w:rPr>
        <w:t xml:space="preserve">und Suffix 1. c. pl.) drückt den (angeblichen) Zweck des Exodus aus: „um uns zu töten". Die Hifil-Form von </w:t>
      </w:r>
      <w:r w:rsidRPr="008537CA">
        <w:rPr>
          <w:rFonts w:eastAsia="Times New Roman" w:cs="Times New Roman"/>
          <w:b/>
          <w:bCs/>
          <w:rtl/>
          <w:lang w:eastAsia="de-DE"/>
        </w:rPr>
        <w:t>מות</w:t>
      </w:r>
      <w:r w:rsidRPr="008537CA">
        <w:rPr>
          <w:rFonts w:eastAsia="Times New Roman" w:cs="Times New Roman"/>
          <w:rtl/>
          <w:lang w:eastAsia="de-DE"/>
        </w:rPr>
        <w:t xml:space="preserve"> </w:t>
      </w:r>
      <w:r w:rsidRPr="008537CA">
        <w:rPr>
          <w:rFonts w:eastAsia="Times New Roman" w:cs="Times New Roman"/>
          <w:lang w:eastAsia="de-DE"/>
        </w:rPr>
        <w:t xml:space="preserve">ist kausativ: „sterben lassen, töten". Das Suffix </w:t>
      </w:r>
      <w:r w:rsidRPr="008537CA">
        <w:rPr>
          <w:rFonts w:eastAsia="Times New Roman" w:cs="Times New Roman"/>
          <w:b/>
          <w:bCs/>
          <w:rtl/>
          <w:lang w:eastAsia="de-DE"/>
        </w:rPr>
        <w:t>נוּ</w:t>
      </w:r>
      <w:r w:rsidRPr="008537CA">
        <w:rPr>
          <w:rFonts w:eastAsia="Times New Roman" w:cs="Times New Roman"/>
          <w:b/>
          <w:bCs/>
          <w:lang w:eastAsia="de-DE"/>
        </w:rPr>
        <w:t>-</w:t>
      </w:r>
      <w:r w:rsidRPr="008537CA">
        <w:rPr>
          <w:rFonts w:eastAsia="Times New Roman" w:cs="Times New Roman"/>
          <w:lang w:eastAsia="de-DE"/>
        </w:rPr>
        <w:t xml:space="preserve"> ist wieder „uns".</w:t>
      </w:r>
    </w:p>
    <w:p w14:paraId="470F0A20"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Präposition </w:t>
      </w:r>
      <w:r w:rsidRPr="008537CA">
        <w:rPr>
          <w:rFonts w:eastAsia="Times New Roman" w:cs="Times New Roman"/>
          <w:b/>
          <w:bCs/>
          <w:rtl/>
          <w:lang w:eastAsia="de-DE"/>
        </w:rPr>
        <w:t>בַּמִּדְבָּר</w:t>
      </w:r>
      <w:r w:rsidRPr="008537CA">
        <w:rPr>
          <w:rFonts w:eastAsia="Times New Roman" w:cs="Times New Roman"/>
          <w:rtl/>
          <w:lang w:eastAsia="de-DE"/>
        </w:rPr>
        <w:t xml:space="preserve"> </w:t>
      </w:r>
      <w:r w:rsidRPr="008537CA">
        <w:rPr>
          <w:rFonts w:eastAsia="Times New Roman" w:cs="Times New Roman"/>
          <w:lang w:eastAsia="de-DE"/>
        </w:rPr>
        <w:t xml:space="preserve">(„in der Wüste") mit Artikel gibt den Ort des angedrohten Todes an. </w:t>
      </w:r>
      <w:r w:rsidRPr="008537CA">
        <w:rPr>
          <w:rFonts w:eastAsia="Times New Roman" w:cs="Times New Roman"/>
          <w:b/>
          <w:bCs/>
          <w:rtl/>
          <w:lang w:eastAsia="de-DE"/>
        </w:rPr>
        <w:t>מִדְבָּר</w:t>
      </w:r>
      <w:r w:rsidRPr="008537CA">
        <w:rPr>
          <w:rFonts w:eastAsia="Times New Roman" w:cs="Times New Roman"/>
          <w:rtl/>
          <w:lang w:eastAsia="de-DE"/>
        </w:rPr>
        <w:t xml:space="preserve"> </w:t>
      </w:r>
      <w:r w:rsidRPr="008537CA">
        <w:rPr>
          <w:rFonts w:eastAsia="Times New Roman" w:cs="Times New Roman"/>
          <w:lang w:eastAsia="de-DE"/>
        </w:rPr>
        <w:t>bedeutet „Wüste, Steppe".</w:t>
      </w:r>
    </w:p>
    <w:p w14:paraId="27044332"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Konjunktion </w:t>
      </w:r>
      <w:r w:rsidRPr="008537CA">
        <w:rPr>
          <w:rFonts w:eastAsia="Times New Roman" w:cs="Times New Roman"/>
          <w:b/>
          <w:bCs/>
          <w:rtl/>
          <w:lang w:eastAsia="de-DE"/>
        </w:rPr>
        <w:t>כִּי</w:t>
      </w:r>
      <w:r w:rsidRPr="008537CA">
        <w:rPr>
          <w:rFonts w:eastAsia="Times New Roman" w:cs="Times New Roman"/>
          <w:rtl/>
          <w:lang w:eastAsia="de-DE"/>
        </w:rPr>
        <w:t xml:space="preserve"> </w:t>
      </w:r>
      <w:r w:rsidRPr="008537CA">
        <w:rPr>
          <w:rFonts w:eastAsia="Times New Roman" w:cs="Times New Roman"/>
          <w:lang w:eastAsia="de-DE"/>
        </w:rPr>
        <w:t xml:space="preserve">leitet einen weiteren Teil der Anklage ein. </w:t>
      </w:r>
      <w:r w:rsidRPr="008537CA">
        <w:rPr>
          <w:rFonts w:eastAsia="Times New Roman" w:cs="Times New Roman"/>
          <w:b/>
          <w:bCs/>
          <w:rtl/>
          <w:lang w:eastAsia="de-DE"/>
        </w:rPr>
        <w:t>תִשְׂתָּרֵר</w:t>
      </w:r>
      <w:r w:rsidRPr="008537CA">
        <w:rPr>
          <w:rFonts w:eastAsia="Times New Roman" w:cs="Times New Roman"/>
          <w:rtl/>
          <w:lang w:eastAsia="de-DE"/>
        </w:rPr>
        <w:t xml:space="preserve"> </w:t>
      </w:r>
      <w:r w:rsidRPr="008537CA">
        <w:rPr>
          <w:rFonts w:eastAsia="Times New Roman" w:cs="Times New Roman"/>
          <w:lang w:eastAsia="de-DE"/>
        </w:rPr>
        <w:t xml:space="preserve">(Hitpael Imperfekt, 2. m. sg. von </w:t>
      </w:r>
      <w:r w:rsidRPr="008537CA">
        <w:rPr>
          <w:rFonts w:eastAsia="Times New Roman" w:cs="Times New Roman"/>
          <w:b/>
          <w:bCs/>
          <w:rtl/>
          <w:lang w:eastAsia="de-DE"/>
        </w:rPr>
        <w:t>שׂרר</w:t>
      </w:r>
      <w:r w:rsidRPr="008537CA">
        <w:rPr>
          <w:rFonts w:eastAsia="Times New Roman" w:cs="Times New Roman"/>
          <w:lang w:eastAsia="de-DE"/>
        </w:rPr>
        <w:t xml:space="preserve">) bedeutet „du erhebst dich zum Herrscher, du herrschst". Die Hitpael-Form hat reflexive Bedeutung: „sich zum Herrscher machen". Die Präposition </w:t>
      </w:r>
      <w:r w:rsidRPr="008537CA">
        <w:rPr>
          <w:rFonts w:eastAsia="Times New Roman" w:cs="Times New Roman"/>
          <w:b/>
          <w:bCs/>
          <w:rtl/>
          <w:lang w:eastAsia="de-DE"/>
        </w:rPr>
        <w:t>עָלֵינוּ</w:t>
      </w:r>
      <w:r w:rsidRPr="008537CA">
        <w:rPr>
          <w:rFonts w:eastAsia="Times New Roman" w:cs="Times New Roman"/>
          <w:rtl/>
          <w:lang w:eastAsia="de-DE"/>
        </w:rPr>
        <w:t xml:space="preserve"> </w:t>
      </w:r>
      <w:r w:rsidRPr="008537CA">
        <w:rPr>
          <w:rFonts w:eastAsia="Times New Roman" w:cs="Times New Roman"/>
          <w:lang w:eastAsia="de-DE"/>
        </w:rPr>
        <w:t>(„über uns") mit Suffix 1. c. pl. gibt das Objekt der Herrschaft an.</w:t>
      </w:r>
    </w:p>
    <w:p w14:paraId="69929946" w14:textId="7C98C4FA"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emphatische Partikel </w:t>
      </w:r>
      <w:r w:rsidRPr="008537CA">
        <w:rPr>
          <w:rFonts w:eastAsia="Times New Roman" w:cs="Times New Roman"/>
          <w:b/>
          <w:bCs/>
          <w:rtl/>
          <w:lang w:eastAsia="de-DE"/>
        </w:rPr>
        <w:t>גַּם</w:t>
      </w:r>
      <w:r w:rsidRPr="008537CA">
        <w:rPr>
          <w:rFonts w:eastAsia="Times New Roman" w:cs="Times New Roman"/>
          <w:rtl/>
          <w:lang w:eastAsia="de-DE"/>
        </w:rPr>
        <w:t xml:space="preserve"> </w:t>
      </w:r>
      <w:r w:rsidRPr="008537CA">
        <w:rPr>
          <w:rFonts w:eastAsia="Times New Roman" w:cs="Times New Roman"/>
          <w:lang w:eastAsia="de-DE"/>
        </w:rPr>
        <w:t xml:space="preserve">(„auch, sogar") verstärkt den Vorwurf. </w:t>
      </w:r>
      <w:r w:rsidRPr="008537CA">
        <w:rPr>
          <w:rFonts w:eastAsia="Times New Roman" w:cs="Times New Roman"/>
          <w:b/>
          <w:bCs/>
          <w:rtl/>
          <w:lang w:eastAsia="de-DE"/>
        </w:rPr>
        <w:t>הִשְׂתָּרֵר</w:t>
      </w:r>
      <w:r w:rsidRPr="008537CA">
        <w:rPr>
          <w:rFonts w:eastAsia="Times New Roman" w:cs="Times New Roman"/>
          <w:rtl/>
          <w:lang w:eastAsia="de-DE"/>
        </w:rPr>
        <w:t xml:space="preserve"> </w:t>
      </w:r>
      <w:r w:rsidRPr="008537CA">
        <w:rPr>
          <w:rFonts w:eastAsia="Times New Roman" w:cs="Times New Roman"/>
          <w:lang w:eastAsia="de-DE"/>
        </w:rPr>
        <w:t xml:space="preserve">ist der Infinitiv absolutus von </w:t>
      </w:r>
      <w:r w:rsidRPr="008537CA">
        <w:rPr>
          <w:rFonts w:eastAsia="Times New Roman" w:cs="Times New Roman"/>
          <w:b/>
          <w:bCs/>
          <w:rtl/>
          <w:lang w:eastAsia="de-DE"/>
        </w:rPr>
        <w:t>שׂרר</w:t>
      </w:r>
      <w:r w:rsidRPr="008537CA">
        <w:rPr>
          <w:rFonts w:eastAsia="Times New Roman" w:cs="Times New Roman"/>
          <w:rtl/>
          <w:lang w:eastAsia="de-DE"/>
        </w:rPr>
        <w:t xml:space="preserve"> </w:t>
      </w:r>
      <w:r w:rsidRPr="008537CA">
        <w:rPr>
          <w:rFonts w:eastAsia="Times New Roman" w:cs="Times New Roman"/>
          <w:lang w:eastAsia="de-DE"/>
        </w:rPr>
        <w:t xml:space="preserve">Hitpael und steht hier zur Verstärkung des finiten Verbs: „auch noch (wirklich) herrschen". Diese </w:t>
      </w:r>
      <w:r w:rsidR="00F133EC">
        <w:rPr>
          <w:rFonts w:eastAsia="Times New Roman" w:cs="Times New Roman"/>
          <w:lang w:eastAsia="de-DE"/>
        </w:rPr>
        <w:t>Construct</w:t>
      </w:r>
      <w:r w:rsidRPr="008537CA">
        <w:rPr>
          <w:rFonts w:eastAsia="Times New Roman" w:cs="Times New Roman"/>
          <w:lang w:eastAsia="de-DE"/>
        </w:rPr>
        <w:t>ion (finites Verb + Infinitiv absolutus desselben Stammes) ist eine hebräische Emphaseform, die die Intensität oder Gewissheit der Handlung unterstreicht.</w:t>
      </w:r>
    </w:p>
    <w:p w14:paraId="380EF08A" w14:textId="62BCB588"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b/>
          <w:bCs/>
          <w:lang w:eastAsia="de-DE"/>
        </w:rPr>
        <w:t>Die LXX</w:t>
      </w:r>
      <w:r w:rsidRPr="008537CA">
        <w:rPr>
          <w:rFonts w:eastAsia="Times New Roman" w:cs="Times New Roman"/>
          <w:lang w:eastAsia="de-DE"/>
        </w:rPr>
        <w:t xml:space="preserve"> übersetzt </w:t>
      </w:r>
      <w:r w:rsidRPr="008537CA">
        <w:rPr>
          <w:rFonts w:eastAsia="Times New Roman" w:cs="Times New Roman"/>
          <w:b/>
          <w:bCs/>
          <w:rtl/>
          <w:lang w:eastAsia="de-DE"/>
        </w:rPr>
        <w:t>הַמְעַט כִּי הֶעֱלִיתָנוּ</w:t>
      </w:r>
      <w:r w:rsidRPr="008537CA">
        <w:rPr>
          <w:rFonts w:eastAsia="Times New Roman" w:cs="Times New Roman"/>
          <w:rtl/>
          <w:lang w:eastAsia="de-DE"/>
        </w:rPr>
        <w:t xml:space="preserve"> </w:t>
      </w:r>
      <w:r w:rsidRPr="008537CA">
        <w:rPr>
          <w:rFonts w:eastAsia="Times New Roman" w:cs="Times New Roman"/>
          <w:lang w:eastAsia="de-DE"/>
        </w:rPr>
        <w:t xml:space="preserve">mit μικρὸν ὅτι ἐξήγαγες ἡμᾶς („ist es wenig, dass du uns herausgeführt hast"). </w:t>
      </w:r>
      <w:r w:rsidRPr="008537CA">
        <w:rPr>
          <w:rFonts w:eastAsia="Times New Roman" w:cs="Times New Roman"/>
          <w:b/>
          <w:bCs/>
          <w:rtl/>
          <w:lang w:eastAsia="de-DE"/>
        </w:rPr>
        <w:t>מֵאֶרֶץ זָבַת חָלָב וּדְבַשׁ</w:t>
      </w:r>
      <w:r w:rsidRPr="008537CA">
        <w:rPr>
          <w:rFonts w:eastAsia="Times New Roman" w:cs="Times New Roman"/>
          <w:rtl/>
          <w:lang w:eastAsia="de-DE"/>
        </w:rPr>
        <w:t xml:space="preserve"> </w:t>
      </w:r>
      <w:r w:rsidRPr="008537CA">
        <w:rPr>
          <w:rFonts w:eastAsia="Times New Roman" w:cs="Times New Roman"/>
          <w:lang w:eastAsia="de-DE"/>
        </w:rPr>
        <w:t xml:space="preserve">wird mit ἐκ γῆς ῥεούσης γάλα καὶ μέλι („aus einem Land, das fließt von Milch und Honig") wiedergegeben, wobei das griechische Partizip Präsens das hebräische Partizip wiedergibt. </w:t>
      </w:r>
      <w:r w:rsidRPr="008537CA">
        <w:rPr>
          <w:rFonts w:eastAsia="Times New Roman" w:cs="Times New Roman"/>
          <w:b/>
          <w:bCs/>
          <w:rtl/>
          <w:lang w:eastAsia="de-DE"/>
        </w:rPr>
        <w:t>לַהֲמִיתֵנוּ בַּמִּדְבָּר</w:t>
      </w:r>
      <w:r w:rsidRPr="008537CA">
        <w:rPr>
          <w:rFonts w:eastAsia="Times New Roman" w:cs="Times New Roman"/>
          <w:rtl/>
          <w:lang w:eastAsia="de-DE"/>
        </w:rPr>
        <w:t xml:space="preserve"> </w:t>
      </w:r>
      <w:r w:rsidRPr="008537CA">
        <w:rPr>
          <w:rFonts w:eastAsia="Times New Roman" w:cs="Times New Roman"/>
          <w:lang w:eastAsia="de-DE"/>
        </w:rPr>
        <w:t xml:space="preserve">wird mit ἀποκτεῖναι ἡμᾶς ἐν τῇ ἐρήμῳ („uns in der Wüste zu töten") übersetzt. </w:t>
      </w:r>
      <w:r w:rsidRPr="008537CA">
        <w:rPr>
          <w:rFonts w:eastAsia="Times New Roman" w:cs="Times New Roman"/>
          <w:b/>
          <w:bCs/>
          <w:rtl/>
          <w:lang w:eastAsia="de-DE"/>
        </w:rPr>
        <w:t>כִּי־תִשְׂתָּרֵר עָלֵינוּ גַּם־הִשְׂתָּרֵר</w:t>
      </w:r>
      <w:r w:rsidRPr="008537CA">
        <w:rPr>
          <w:rFonts w:eastAsia="Times New Roman" w:cs="Times New Roman"/>
          <w:rtl/>
          <w:lang w:eastAsia="de-DE"/>
        </w:rPr>
        <w:t xml:space="preserve"> </w:t>
      </w:r>
      <w:r w:rsidRPr="008537CA">
        <w:rPr>
          <w:rFonts w:eastAsia="Times New Roman" w:cs="Times New Roman"/>
          <w:lang w:eastAsia="de-DE"/>
        </w:rPr>
        <w:t xml:space="preserve">wird mit ὅτι κατάρχεις ἡμῶν ἄρχων („dass du über uns herrschst als Herrscher") wiedergegeben, wobei das griechische Partizip </w:t>
      </w:r>
      <w:r w:rsidRPr="008537CA">
        <w:rPr>
          <w:rFonts w:eastAsia="Times New Roman" w:cs="Times New Roman"/>
          <w:b/>
          <w:bCs/>
          <w:lang w:eastAsia="de-DE"/>
        </w:rPr>
        <w:t>ἄρχων</w:t>
      </w:r>
      <w:r w:rsidRPr="008537CA">
        <w:rPr>
          <w:rFonts w:eastAsia="Times New Roman" w:cs="Times New Roman"/>
          <w:lang w:eastAsia="de-DE"/>
        </w:rPr>
        <w:t xml:space="preserve"> den hebräischen Infinitiv absolutus interpretativ wiedergibt.</w:t>
      </w:r>
    </w:p>
    <w:p w14:paraId="302EBD5E" w14:textId="5395ECC9"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 xml:space="preserve">Die Satzstruktur zeigt eine komplexe rhetorische Frage als Hauptsatz, eingeleitet durch die interrogative Partikel. Der durch die kausale Konjunktion eingeleitete Nebensatz enthält ein Verb mit Objekt (als Suffix) und Präpositionalphrase sowie einen finalen Infinitiv mit Suffix </w:t>
      </w:r>
      <w:r w:rsidRPr="008537CA">
        <w:rPr>
          <w:rFonts w:eastAsia="Times New Roman" w:cs="Times New Roman"/>
          <w:lang w:eastAsia="de-DE"/>
        </w:rPr>
        <w:lastRenderedPageBreak/>
        <w:t>und lokaler Präpositionalphrase. Ein zweiter durch die Konjunktion eingeleiteter Nebensatz folgt mit Verb, Präpositionalphrase und der emphatischen Infinitiv-absolutus-</w:t>
      </w:r>
      <w:r w:rsidR="00F133EC">
        <w:rPr>
          <w:rFonts w:eastAsia="Times New Roman" w:cs="Times New Roman"/>
          <w:lang w:eastAsia="de-DE"/>
        </w:rPr>
        <w:t>Construct</w:t>
      </w:r>
      <w:r w:rsidRPr="008537CA">
        <w:rPr>
          <w:rFonts w:eastAsia="Times New Roman" w:cs="Times New Roman"/>
          <w:lang w:eastAsia="de-DE"/>
        </w:rPr>
        <w:t>ion.</w:t>
      </w:r>
    </w:p>
    <w:p w14:paraId="0C2393D2" w14:textId="77777777" w:rsidR="008537CA" w:rsidRPr="008537CA" w:rsidRDefault="008537CA" w:rsidP="008537CA">
      <w:pPr>
        <w:spacing w:before="100" w:beforeAutospacing="1" w:after="100" w:afterAutospacing="1" w:line="240" w:lineRule="auto"/>
        <w:rPr>
          <w:rFonts w:eastAsia="Times New Roman" w:cs="Times New Roman"/>
          <w:lang w:eastAsia="de-DE"/>
        </w:rPr>
      </w:pPr>
      <w:r w:rsidRPr="008537CA">
        <w:rPr>
          <w:rFonts w:eastAsia="Times New Roman" w:cs="Times New Roman"/>
          <w:lang w:eastAsia="de-DE"/>
        </w:rPr>
        <w:t>Der Vers zeigt die radikale Verdrehung der Heilsgeschichte durch die Rebellen: Sie verklären Ägypten als das wahre Land der Verheißung und bezichtigen Mose, sie in den Tod geführt zu haben.</w:t>
      </w:r>
    </w:p>
    <w:p w14:paraId="192D7FA2"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16,14</w:t>
      </w:r>
    </w:p>
    <w:p w14:paraId="018637EE"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Hebräisch:</w:t>
      </w:r>
      <w:r w:rsidRPr="00FF7EC2">
        <w:rPr>
          <w:rFonts w:eastAsia="Times New Roman" w:cs="Times New Roman"/>
          <w:lang w:eastAsia="de-DE"/>
        </w:rPr>
        <w:t xml:space="preserve"> </w:t>
      </w:r>
      <w:r w:rsidRPr="00FF7EC2">
        <w:rPr>
          <w:rFonts w:eastAsia="Times New Roman" w:cs="Times New Roman"/>
          <w:rtl/>
          <w:lang w:eastAsia="de-DE"/>
        </w:rPr>
        <w:t>אַ֡ף לֹ֣א אֶל־אֶרֶץ֩ זָבַ֨ת חָלָ֤ב וּדְבַשׁ֙ הֲבִ֣יאֹתָ֔נוּ וַתִּ֨תֶּן־לָ֔נוּ נַחֲלַ֖ת שָׂדֶ֣ה וָכָ֑רֶם הַעֵינֵ֞י הָאֲנָשִׁ֥ים הָהֵ֛ם תְּנַקֵּ֖ר לֹ֥א נַעֲלֶֽה׃</w:t>
      </w:r>
    </w:p>
    <w:p w14:paraId="151C6348"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Deutsch:</w:t>
      </w:r>
      <w:r w:rsidRPr="00FF7EC2">
        <w:rPr>
          <w:rFonts w:eastAsia="Times New Roman" w:cs="Times New Roman"/>
          <w:lang w:eastAsia="de-DE"/>
        </w:rPr>
        <w:t xml:space="preserve"> Du hast uns keineswegs in ein Land gebracht, das von Milch und Honig fließt, noch uns Äcker und Weinberge als Erbteil gegeben! Willst du diesen Leuten die Augen ausstechen? Wir kommen nicht hinauf!</w:t>
      </w:r>
    </w:p>
    <w:p w14:paraId="7D196F03"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3BFB0A4D">
          <v:rect id="_x0000_i1552" style="width:0;height:1.5pt" o:hralign="center" o:hrstd="t" o:hr="t" fillcolor="#a0a0a0" stroked="f"/>
        </w:pict>
      </w:r>
    </w:p>
    <w:p w14:paraId="53C4B1B9"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Kommentar:</w:t>
      </w:r>
      <w:r w:rsidRPr="00FF7EC2">
        <w:rPr>
          <w:rFonts w:eastAsia="Times New Roman" w:cs="Times New Roman"/>
          <w:lang w:eastAsia="de-DE"/>
        </w:rPr>
        <w:t xml:space="preserve"> Die emphatische Partikel </w:t>
      </w:r>
      <w:r w:rsidRPr="00FF7EC2">
        <w:rPr>
          <w:rFonts w:eastAsia="Times New Roman" w:cs="Times New Roman"/>
          <w:b/>
          <w:bCs/>
          <w:rtl/>
          <w:lang w:eastAsia="de-DE"/>
        </w:rPr>
        <w:t>אַף</w:t>
      </w:r>
      <w:r w:rsidRPr="00FF7EC2">
        <w:rPr>
          <w:rFonts w:eastAsia="Times New Roman" w:cs="Times New Roman"/>
          <w:rtl/>
          <w:lang w:eastAsia="de-DE"/>
        </w:rPr>
        <w:t xml:space="preserve"> </w:t>
      </w:r>
      <w:r w:rsidRPr="00FF7EC2">
        <w:rPr>
          <w:rFonts w:eastAsia="Times New Roman" w:cs="Times New Roman"/>
          <w:lang w:eastAsia="de-DE"/>
        </w:rPr>
        <w:t xml:space="preserve">(„auch, sogar") verstärkt die Anklage und leitet eine Steigerung ein. Die Negation </w:t>
      </w:r>
      <w:r w:rsidRPr="00FF7EC2">
        <w:rPr>
          <w:rFonts w:eastAsia="Times New Roman" w:cs="Times New Roman"/>
          <w:b/>
          <w:bCs/>
          <w:rtl/>
          <w:lang w:eastAsia="de-DE"/>
        </w:rPr>
        <w:t>לֹא</w:t>
      </w:r>
      <w:r w:rsidRPr="00FF7EC2">
        <w:rPr>
          <w:rFonts w:eastAsia="Times New Roman" w:cs="Times New Roman"/>
          <w:rtl/>
          <w:lang w:eastAsia="de-DE"/>
        </w:rPr>
        <w:t xml:space="preserve"> </w:t>
      </w:r>
      <w:r w:rsidRPr="00FF7EC2">
        <w:rPr>
          <w:rFonts w:eastAsia="Times New Roman" w:cs="Times New Roman"/>
          <w:lang w:eastAsia="de-DE"/>
        </w:rPr>
        <w:t>(„nicht") negiert die folgende Aussage.</w:t>
      </w:r>
    </w:p>
    <w:p w14:paraId="3BE2F088"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Präpositionalphrase </w:t>
      </w:r>
      <w:r w:rsidRPr="00FF7EC2">
        <w:rPr>
          <w:rFonts w:eastAsia="Times New Roman" w:cs="Times New Roman"/>
          <w:b/>
          <w:bCs/>
          <w:rtl/>
          <w:lang w:eastAsia="de-DE"/>
        </w:rPr>
        <w:t>אֶל־אֶרֶץ זָבַת חָלָב וּדְבַשׁ</w:t>
      </w:r>
      <w:r w:rsidRPr="00FF7EC2">
        <w:rPr>
          <w:rFonts w:eastAsia="Times New Roman" w:cs="Times New Roman"/>
          <w:rtl/>
          <w:lang w:eastAsia="de-DE"/>
        </w:rPr>
        <w:t xml:space="preserve"> </w:t>
      </w:r>
      <w:r w:rsidRPr="00FF7EC2">
        <w:rPr>
          <w:rFonts w:eastAsia="Times New Roman" w:cs="Times New Roman"/>
          <w:lang w:eastAsia="de-DE"/>
        </w:rPr>
        <w:t xml:space="preserve">gibt das Ziel an: </w:t>
      </w:r>
      <w:r w:rsidRPr="00FF7EC2">
        <w:rPr>
          <w:rFonts w:eastAsia="Times New Roman" w:cs="Times New Roman"/>
          <w:b/>
          <w:bCs/>
          <w:rtl/>
          <w:lang w:eastAsia="de-DE"/>
        </w:rPr>
        <w:t>אֶל</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„zu, nach", </w:t>
      </w:r>
      <w:r w:rsidRPr="00FF7EC2">
        <w:rPr>
          <w:rFonts w:eastAsia="Times New Roman" w:cs="Times New Roman"/>
          <w:b/>
          <w:bCs/>
          <w:rtl/>
          <w:lang w:eastAsia="de-DE"/>
        </w:rPr>
        <w:t>אֶרֶץ</w:t>
      </w:r>
      <w:r w:rsidRPr="00FF7EC2">
        <w:rPr>
          <w:rFonts w:eastAsia="Times New Roman" w:cs="Times New Roman"/>
          <w:rtl/>
          <w:lang w:eastAsia="de-DE"/>
        </w:rPr>
        <w:t xml:space="preserve"> </w:t>
      </w:r>
      <w:r w:rsidRPr="00FF7EC2">
        <w:rPr>
          <w:rFonts w:eastAsia="Times New Roman" w:cs="Times New Roman"/>
          <w:lang w:eastAsia="de-DE"/>
        </w:rPr>
        <w:t xml:space="preserve">bedeutet „Land". </w:t>
      </w:r>
      <w:r w:rsidRPr="00FF7EC2">
        <w:rPr>
          <w:rFonts w:eastAsia="Times New Roman" w:cs="Times New Roman"/>
          <w:b/>
          <w:bCs/>
          <w:rtl/>
          <w:lang w:eastAsia="de-DE"/>
        </w:rPr>
        <w:t>זָבַת חָלָב וּדְבַשׁ</w:t>
      </w:r>
      <w:r w:rsidRPr="00FF7EC2">
        <w:rPr>
          <w:rFonts w:eastAsia="Times New Roman" w:cs="Times New Roman"/>
          <w:rtl/>
          <w:lang w:eastAsia="de-DE"/>
        </w:rPr>
        <w:t xml:space="preserve"> </w:t>
      </w:r>
      <w:r w:rsidRPr="00FF7EC2">
        <w:rPr>
          <w:rFonts w:eastAsia="Times New Roman" w:cs="Times New Roman"/>
          <w:lang w:eastAsia="de-DE"/>
        </w:rPr>
        <w:t xml:space="preserve">ist die bereits aus Vers 13 bekannte Constructus-Verbindung: </w:t>
      </w:r>
      <w:r w:rsidRPr="00FF7EC2">
        <w:rPr>
          <w:rFonts w:eastAsia="Times New Roman" w:cs="Times New Roman"/>
          <w:b/>
          <w:bCs/>
          <w:rtl/>
          <w:lang w:eastAsia="de-DE"/>
        </w:rPr>
        <w:t>זָבַת</w:t>
      </w:r>
      <w:r w:rsidRPr="00FF7EC2">
        <w:rPr>
          <w:rFonts w:eastAsia="Times New Roman" w:cs="Times New Roman"/>
          <w:rtl/>
          <w:lang w:eastAsia="de-DE"/>
        </w:rPr>
        <w:t xml:space="preserve"> </w:t>
      </w:r>
      <w:r w:rsidRPr="00FF7EC2">
        <w:rPr>
          <w:rFonts w:eastAsia="Times New Roman" w:cs="Times New Roman"/>
          <w:lang w:eastAsia="de-DE"/>
        </w:rPr>
        <w:t xml:space="preserve">ist das Qal Partizip Femininum Singular von </w:t>
      </w:r>
      <w:r w:rsidRPr="00FF7EC2">
        <w:rPr>
          <w:rFonts w:eastAsia="Times New Roman" w:cs="Times New Roman"/>
          <w:b/>
          <w:bCs/>
          <w:rtl/>
          <w:lang w:eastAsia="de-DE"/>
        </w:rPr>
        <w:t>זוב</w:t>
      </w:r>
      <w:r w:rsidRPr="00FF7EC2">
        <w:rPr>
          <w:rFonts w:eastAsia="Times New Roman" w:cs="Times New Roman"/>
          <w:rtl/>
          <w:lang w:eastAsia="de-DE"/>
        </w:rPr>
        <w:t xml:space="preserve"> </w:t>
      </w:r>
      <w:r w:rsidRPr="00FF7EC2">
        <w:rPr>
          <w:rFonts w:eastAsia="Times New Roman" w:cs="Times New Roman"/>
          <w:lang w:eastAsia="de-DE"/>
        </w:rPr>
        <w:t xml:space="preserve">(„fließen") im Constructus, </w:t>
      </w:r>
      <w:r w:rsidRPr="00FF7EC2">
        <w:rPr>
          <w:rFonts w:eastAsia="Times New Roman" w:cs="Times New Roman"/>
          <w:b/>
          <w:bCs/>
          <w:rtl/>
          <w:lang w:eastAsia="de-DE"/>
        </w:rPr>
        <w:t>חָלָב</w:t>
      </w:r>
      <w:r w:rsidRPr="00FF7EC2">
        <w:rPr>
          <w:rFonts w:eastAsia="Times New Roman" w:cs="Times New Roman"/>
          <w:rtl/>
          <w:lang w:eastAsia="de-DE"/>
        </w:rPr>
        <w:t xml:space="preserve"> </w:t>
      </w:r>
      <w:r w:rsidRPr="00FF7EC2">
        <w:rPr>
          <w:rFonts w:eastAsia="Times New Roman" w:cs="Times New Roman"/>
          <w:lang w:eastAsia="de-DE"/>
        </w:rPr>
        <w:t xml:space="preserve">(„Milch") und </w:t>
      </w:r>
      <w:r w:rsidRPr="00FF7EC2">
        <w:rPr>
          <w:rFonts w:eastAsia="Times New Roman" w:cs="Times New Roman"/>
          <w:b/>
          <w:bCs/>
          <w:rtl/>
          <w:lang w:eastAsia="de-DE"/>
        </w:rPr>
        <w:t>דְבַשׁ</w:t>
      </w:r>
      <w:r w:rsidRPr="00FF7EC2">
        <w:rPr>
          <w:rFonts w:eastAsia="Times New Roman" w:cs="Times New Roman"/>
          <w:rtl/>
          <w:lang w:eastAsia="de-DE"/>
        </w:rPr>
        <w:t xml:space="preserve"> </w:t>
      </w:r>
      <w:r w:rsidRPr="00FF7EC2">
        <w:rPr>
          <w:rFonts w:eastAsia="Times New Roman" w:cs="Times New Roman"/>
          <w:lang w:eastAsia="de-DE"/>
        </w:rPr>
        <w:t xml:space="preserve">(„Honig") sind durch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koordiniert. Hier wird die Phrase korrekt auf das verheißene Land Kanaan bezogen.</w:t>
      </w:r>
    </w:p>
    <w:p w14:paraId="0C326195"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Verb </w:t>
      </w:r>
      <w:r w:rsidRPr="00FF7EC2">
        <w:rPr>
          <w:rFonts w:eastAsia="Times New Roman" w:cs="Times New Roman"/>
          <w:b/>
          <w:bCs/>
          <w:rtl/>
          <w:lang w:eastAsia="de-DE"/>
        </w:rPr>
        <w:t>הֲבִיאֹתָנוּ</w:t>
      </w:r>
      <w:r w:rsidRPr="00FF7EC2">
        <w:rPr>
          <w:rFonts w:eastAsia="Times New Roman" w:cs="Times New Roman"/>
          <w:rtl/>
          <w:lang w:eastAsia="de-DE"/>
        </w:rPr>
        <w:t xml:space="preserve"> </w:t>
      </w:r>
      <w:r w:rsidRPr="00FF7EC2">
        <w:rPr>
          <w:rFonts w:eastAsia="Times New Roman" w:cs="Times New Roman"/>
          <w:lang w:eastAsia="de-DE"/>
        </w:rPr>
        <w:t xml:space="preserve">(Hifil Perfekt, 2. m. sg. von </w:t>
      </w:r>
      <w:r w:rsidRPr="00FF7EC2">
        <w:rPr>
          <w:rFonts w:eastAsia="Times New Roman" w:cs="Times New Roman"/>
          <w:b/>
          <w:bCs/>
          <w:rtl/>
          <w:lang w:eastAsia="de-DE"/>
        </w:rPr>
        <w:t>בוא</w:t>
      </w:r>
      <w:r w:rsidRPr="00FF7EC2">
        <w:rPr>
          <w:rFonts w:eastAsia="Times New Roman" w:cs="Times New Roman"/>
          <w:rtl/>
          <w:lang w:eastAsia="de-DE"/>
        </w:rPr>
        <w:t xml:space="preserve"> </w:t>
      </w:r>
      <w:r w:rsidRPr="00FF7EC2">
        <w:rPr>
          <w:rFonts w:eastAsia="Times New Roman" w:cs="Times New Roman"/>
          <w:lang w:eastAsia="de-DE"/>
        </w:rPr>
        <w:t xml:space="preserve">mit Suffix 1. c. pl.) bedeutet „du hast uns gebracht". Die Hifil-Form ist kausativ: „veranlassen zu kommen, bringen". Das Suffix </w:t>
      </w:r>
      <w:r w:rsidRPr="00FF7EC2">
        <w:rPr>
          <w:rFonts w:eastAsia="Times New Roman" w:cs="Times New Roman"/>
          <w:b/>
          <w:bCs/>
          <w:rtl/>
          <w:lang w:eastAsia="de-DE"/>
        </w:rPr>
        <w:t>נוּ</w:t>
      </w:r>
      <w:r w:rsidRPr="00FF7EC2">
        <w:rPr>
          <w:rFonts w:eastAsia="Times New Roman" w:cs="Times New Roman"/>
          <w:b/>
          <w:bCs/>
          <w:lang w:eastAsia="de-DE"/>
        </w:rPr>
        <w:t>-</w:t>
      </w:r>
      <w:r w:rsidRPr="00FF7EC2">
        <w:rPr>
          <w:rFonts w:eastAsia="Times New Roman" w:cs="Times New Roman"/>
          <w:lang w:eastAsia="de-DE"/>
        </w:rPr>
        <w:t xml:space="preserve"> ist das Objektsuffix 1. Person Plural. Die Negation </w:t>
      </w:r>
      <w:r w:rsidRPr="00FF7EC2">
        <w:rPr>
          <w:rFonts w:eastAsia="Times New Roman" w:cs="Times New Roman"/>
          <w:b/>
          <w:bCs/>
          <w:rtl/>
          <w:lang w:eastAsia="de-DE"/>
        </w:rPr>
        <w:t>לֹא</w:t>
      </w:r>
      <w:r w:rsidRPr="00FF7EC2">
        <w:rPr>
          <w:rFonts w:eastAsia="Times New Roman" w:cs="Times New Roman"/>
          <w:rtl/>
          <w:lang w:eastAsia="de-DE"/>
        </w:rPr>
        <w:t xml:space="preserve"> </w:t>
      </w:r>
      <w:r w:rsidRPr="00FF7EC2">
        <w:rPr>
          <w:rFonts w:eastAsia="Times New Roman" w:cs="Times New Roman"/>
          <w:lang w:eastAsia="de-DE"/>
        </w:rPr>
        <w:t xml:space="preserve">mit der emphatischen Partikel </w:t>
      </w:r>
      <w:r w:rsidRPr="00FF7EC2">
        <w:rPr>
          <w:rFonts w:eastAsia="Times New Roman" w:cs="Times New Roman"/>
          <w:b/>
          <w:bCs/>
          <w:rtl/>
          <w:lang w:eastAsia="de-DE"/>
        </w:rPr>
        <w:t>אַף</w:t>
      </w:r>
      <w:r w:rsidRPr="00FF7EC2">
        <w:rPr>
          <w:rFonts w:eastAsia="Times New Roman" w:cs="Times New Roman"/>
          <w:rtl/>
          <w:lang w:eastAsia="de-DE"/>
        </w:rPr>
        <w:t xml:space="preserve"> </w:t>
      </w:r>
      <w:r w:rsidRPr="00FF7EC2">
        <w:rPr>
          <w:rFonts w:eastAsia="Times New Roman" w:cs="Times New Roman"/>
          <w:lang w:eastAsia="de-DE"/>
        </w:rPr>
        <w:t>ergibt die Bedeutung „keineswegs hast du uns gebracht".</w:t>
      </w:r>
    </w:p>
    <w:p w14:paraId="03D6523F"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koordinierte Verb </w:t>
      </w:r>
      <w:r w:rsidRPr="00FF7EC2">
        <w:rPr>
          <w:rFonts w:eastAsia="Times New Roman" w:cs="Times New Roman"/>
          <w:b/>
          <w:bCs/>
          <w:rtl/>
          <w:lang w:eastAsia="de-DE"/>
        </w:rPr>
        <w:t>וַתִּתֶּן</w:t>
      </w:r>
      <w:r w:rsidRPr="00FF7EC2">
        <w:rPr>
          <w:rFonts w:eastAsia="Times New Roman" w:cs="Times New Roman"/>
          <w:rtl/>
          <w:lang w:eastAsia="de-DE"/>
        </w:rPr>
        <w:t xml:space="preserve"> </w:t>
      </w:r>
      <w:r w:rsidRPr="00FF7EC2">
        <w:rPr>
          <w:rFonts w:eastAsia="Times New Roman" w:cs="Times New Roman"/>
          <w:lang w:eastAsia="de-DE"/>
        </w:rPr>
        <w:t xml:space="preserve">(Wayyiqtol, 2. m. sg. von </w:t>
      </w:r>
      <w:r w:rsidRPr="00FF7EC2">
        <w:rPr>
          <w:rFonts w:eastAsia="Times New Roman" w:cs="Times New Roman"/>
          <w:b/>
          <w:bCs/>
          <w:rtl/>
          <w:lang w:eastAsia="de-DE"/>
        </w:rPr>
        <w:t>נתן</w:t>
      </w:r>
      <w:r w:rsidRPr="00FF7EC2">
        <w:rPr>
          <w:rFonts w:eastAsia="Times New Roman" w:cs="Times New Roman"/>
          <w:lang w:eastAsia="de-DE"/>
        </w:rPr>
        <w:t xml:space="preserve">) bedeutet „und du hast gegeben". </w:t>
      </w:r>
      <w:r w:rsidRPr="00FF7EC2">
        <w:rPr>
          <w:rFonts w:eastAsia="Times New Roman" w:cs="Times New Roman"/>
          <w:b/>
          <w:bCs/>
          <w:rtl/>
          <w:lang w:eastAsia="de-DE"/>
        </w:rPr>
        <w:t>לָנוּ</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w:t>
      </w:r>
      <w:r w:rsidRPr="00FF7EC2">
        <w:rPr>
          <w:rFonts w:eastAsia="Times New Roman" w:cs="Times New Roman"/>
          <w:b/>
          <w:bCs/>
          <w:rtl/>
          <w:lang w:eastAsia="de-DE"/>
        </w:rPr>
        <w:t>לְ</w:t>
      </w:r>
      <w:r w:rsidRPr="00FF7EC2">
        <w:rPr>
          <w:rFonts w:eastAsia="Times New Roman" w:cs="Times New Roman"/>
          <w:rtl/>
          <w:lang w:eastAsia="de-DE"/>
        </w:rPr>
        <w:t xml:space="preserve"> </w:t>
      </w:r>
      <w:r w:rsidRPr="00FF7EC2">
        <w:rPr>
          <w:rFonts w:eastAsia="Times New Roman" w:cs="Times New Roman"/>
          <w:lang w:eastAsia="de-DE"/>
        </w:rPr>
        <w:t>mit Suffix 1. c. pl. („uns").</w:t>
      </w:r>
    </w:p>
    <w:p w14:paraId="501DE871"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Objekt </w:t>
      </w:r>
      <w:r w:rsidRPr="00FF7EC2">
        <w:rPr>
          <w:rFonts w:eastAsia="Times New Roman" w:cs="Times New Roman"/>
          <w:b/>
          <w:bCs/>
          <w:rtl/>
          <w:lang w:eastAsia="de-DE"/>
        </w:rPr>
        <w:t>נַחֲלַת שָׂדֶה וָכָרֶם</w:t>
      </w:r>
      <w:r w:rsidRPr="00FF7EC2">
        <w:rPr>
          <w:rFonts w:eastAsia="Times New Roman" w:cs="Times New Roman"/>
          <w:rtl/>
          <w:lang w:eastAsia="de-DE"/>
        </w:rPr>
        <w:t xml:space="preserve"> </w:t>
      </w:r>
      <w:r w:rsidRPr="00FF7EC2">
        <w:rPr>
          <w:rFonts w:eastAsia="Times New Roman" w:cs="Times New Roman"/>
          <w:lang w:eastAsia="de-DE"/>
        </w:rPr>
        <w:t xml:space="preserve">ist eine Constructus-Verbindung: </w:t>
      </w:r>
      <w:r w:rsidRPr="00FF7EC2">
        <w:rPr>
          <w:rFonts w:eastAsia="Times New Roman" w:cs="Times New Roman"/>
          <w:b/>
          <w:bCs/>
          <w:rtl/>
          <w:lang w:eastAsia="de-DE"/>
        </w:rPr>
        <w:t>נַחֲלַת</w:t>
      </w:r>
      <w:r w:rsidRPr="00FF7EC2">
        <w:rPr>
          <w:rFonts w:eastAsia="Times New Roman" w:cs="Times New Roman"/>
          <w:rtl/>
          <w:lang w:eastAsia="de-DE"/>
        </w:rPr>
        <w:t xml:space="preserve"> </w:t>
      </w:r>
      <w:r w:rsidRPr="00FF7EC2">
        <w:rPr>
          <w:rFonts w:eastAsia="Times New Roman" w:cs="Times New Roman"/>
          <w:lang w:eastAsia="de-DE"/>
        </w:rPr>
        <w:t xml:space="preserve">ist der Constructus von </w:t>
      </w:r>
      <w:r w:rsidRPr="00FF7EC2">
        <w:rPr>
          <w:rFonts w:eastAsia="Times New Roman" w:cs="Times New Roman"/>
          <w:b/>
          <w:bCs/>
          <w:rtl/>
          <w:lang w:eastAsia="de-DE"/>
        </w:rPr>
        <w:t>נַחֲלָה</w:t>
      </w:r>
      <w:r w:rsidRPr="00FF7EC2">
        <w:rPr>
          <w:rFonts w:eastAsia="Times New Roman" w:cs="Times New Roman"/>
          <w:rtl/>
          <w:lang w:eastAsia="de-DE"/>
        </w:rPr>
        <w:t xml:space="preserve"> </w:t>
      </w:r>
      <w:r w:rsidRPr="00FF7EC2">
        <w:rPr>
          <w:rFonts w:eastAsia="Times New Roman" w:cs="Times New Roman"/>
          <w:lang w:eastAsia="de-DE"/>
        </w:rPr>
        <w:t xml:space="preserve">(„Erbteil, Erbbesitz"), </w:t>
      </w:r>
      <w:r w:rsidRPr="00FF7EC2">
        <w:rPr>
          <w:rFonts w:eastAsia="Times New Roman" w:cs="Times New Roman"/>
          <w:b/>
          <w:bCs/>
          <w:rtl/>
          <w:lang w:eastAsia="de-DE"/>
        </w:rPr>
        <w:t>שָׂדֶה</w:t>
      </w:r>
      <w:r w:rsidRPr="00FF7EC2">
        <w:rPr>
          <w:rFonts w:eastAsia="Times New Roman" w:cs="Times New Roman"/>
          <w:rtl/>
          <w:lang w:eastAsia="de-DE"/>
        </w:rPr>
        <w:t xml:space="preserve"> </w:t>
      </w:r>
      <w:r w:rsidRPr="00FF7EC2">
        <w:rPr>
          <w:rFonts w:eastAsia="Times New Roman" w:cs="Times New Roman"/>
          <w:lang w:eastAsia="de-DE"/>
        </w:rPr>
        <w:t xml:space="preserve">bedeutet „Feld, Acker". Die Konjunktion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 xml:space="preserve">koordiniert </w:t>
      </w:r>
      <w:r w:rsidRPr="00FF7EC2">
        <w:rPr>
          <w:rFonts w:eastAsia="Times New Roman" w:cs="Times New Roman"/>
          <w:b/>
          <w:bCs/>
          <w:rtl/>
          <w:lang w:eastAsia="de-DE"/>
        </w:rPr>
        <w:t>כָרֶם</w:t>
      </w:r>
      <w:r w:rsidRPr="00FF7EC2">
        <w:rPr>
          <w:rFonts w:eastAsia="Times New Roman" w:cs="Times New Roman"/>
          <w:rtl/>
          <w:lang w:eastAsia="de-DE"/>
        </w:rPr>
        <w:t xml:space="preserve"> </w:t>
      </w:r>
      <w:r w:rsidRPr="00FF7EC2">
        <w:rPr>
          <w:rFonts w:eastAsia="Times New Roman" w:cs="Times New Roman"/>
          <w:lang w:eastAsia="de-DE"/>
        </w:rPr>
        <w:t>(„Weinberg"). Die ganze Phrase bedeutet „Erbteil von Feld und Weinberg" und bezeichnet landwirtschaftlichen Besitz im verheißenen Land.</w:t>
      </w:r>
    </w:p>
    <w:p w14:paraId="266B21AD"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rhetorische Frage </w:t>
      </w:r>
      <w:r w:rsidRPr="00FF7EC2">
        <w:rPr>
          <w:rFonts w:eastAsia="Times New Roman" w:cs="Times New Roman"/>
          <w:b/>
          <w:bCs/>
          <w:rtl/>
          <w:lang w:eastAsia="de-DE"/>
        </w:rPr>
        <w:t>הַעֵינֵי הָאֲנָשִׁים הָהֵם תְּנַקֵּר</w:t>
      </w:r>
      <w:r w:rsidRPr="00FF7EC2">
        <w:rPr>
          <w:rFonts w:eastAsia="Times New Roman" w:cs="Times New Roman"/>
          <w:rtl/>
          <w:lang w:eastAsia="de-DE"/>
        </w:rPr>
        <w:t xml:space="preserve"> </w:t>
      </w:r>
      <w:r w:rsidRPr="00FF7EC2">
        <w:rPr>
          <w:rFonts w:eastAsia="Times New Roman" w:cs="Times New Roman"/>
          <w:lang w:eastAsia="de-DE"/>
        </w:rPr>
        <w:t xml:space="preserve">ist besonders drastisch. </w:t>
      </w:r>
      <w:r w:rsidRPr="00FF7EC2">
        <w:rPr>
          <w:rFonts w:eastAsia="Times New Roman" w:cs="Times New Roman"/>
          <w:b/>
          <w:bCs/>
          <w:rtl/>
          <w:lang w:eastAsia="de-DE"/>
        </w:rPr>
        <w:t>הַ</w:t>
      </w:r>
      <w:r w:rsidRPr="00FF7EC2">
        <w:rPr>
          <w:rFonts w:eastAsia="Times New Roman" w:cs="Times New Roman"/>
          <w:rtl/>
          <w:lang w:eastAsia="de-DE"/>
        </w:rPr>
        <w:t xml:space="preserve"> </w:t>
      </w:r>
      <w:r w:rsidRPr="00FF7EC2">
        <w:rPr>
          <w:rFonts w:eastAsia="Times New Roman" w:cs="Times New Roman"/>
          <w:lang w:eastAsia="de-DE"/>
        </w:rPr>
        <w:t xml:space="preserve">ist das interrogative Präfix. </w:t>
      </w:r>
      <w:r w:rsidRPr="00FF7EC2">
        <w:rPr>
          <w:rFonts w:eastAsia="Times New Roman" w:cs="Times New Roman"/>
          <w:b/>
          <w:bCs/>
          <w:rtl/>
          <w:lang w:eastAsia="de-DE"/>
        </w:rPr>
        <w:t>עֵינֵי</w:t>
      </w:r>
      <w:r w:rsidRPr="00FF7EC2">
        <w:rPr>
          <w:rFonts w:eastAsia="Times New Roman" w:cs="Times New Roman"/>
          <w:rtl/>
          <w:lang w:eastAsia="de-DE"/>
        </w:rPr>
        <w:t xml:space="preserve"> </w:t>
      </w:r>
      <w:r w:rsidRPr="00FF7EC2">
        <w:rPr>
          <w:rFonts w:eastAsia="Times New Roman" w:cs="Times New Roman"/>
          <w:lang w:eastAsia="de-DE"/>
        </w:rPr>
        <w:t xml:space="preserve">ist der Constructus Dual von </w:t>
      </w:r>
      <w:r w:rsidRPr="00FF7EC2">
        <w:rPr>
          <w:rFonts w:eastAsia="Times New Roman" w:cs="Times New Roman"/>
          <w:b/>
          <w:bCs/>
          <w:rtl/>
          <w:lang w:eastAsia="de-DE"/>
        </w:rPr>
        <w:t>עַיִן</w:t>
      </w:r>
      <w:r w:rsidRPr="00FF7EC2">
        <w:rPr>
          <w:rFonts w:eastAsia="Times New Roman" w:cs="Times New Roman"/>
          <w:rtl/>
          <w:lang w:eastAsia="de-DE"/>
        </w:rPr>
        <w:t xml:space="preserve"> </w:t>
      </w:r>
      <w:r w:rsidRPr="00FF7EC2">
        <w:rPr>
          <w:rFonts w:eastAsia="Times New Roman" w:cs="Times New Roman"/>
          <w:lang w:eastAsia="de-DE"/>
        </w:rPr>
        <w:t xml:space="preserve">(„Auge"), </w:t>
      </w:r>
      <w:r w:rsidRPr="00FF7EC2">
        <w:rPr>
          <w:rFonts w:eastAsia="Times New Roman" w:cs="Times New Roman"/>
          <w:b/>
          <w:bCs/>
          <w:rtl/>
          <w:lang w:eastAsia="de-DE"/>
        </w:rPr>
        <w:t>הָאֲנָשִׁים</w:t>
      </w:r>
      <w:r w:rsidRPr="00FF7EC2">
        <w:rPr>
          <w:rFonts w:eastAsia="Times New Roman" w:cs="Times New Roman"/>
          <w:rtl/>
          <w:lang w:eastAsia="de-DE"/>
        </w:rPr>
        <w:t xml:space="preserve"> </w:t>
      </w:r>
      <w:r w:rsidRPr="00FF7EC2">
        <w:rPr>
          <w:rFonts w:eastAsia="Times New Roman" w:cs="Times New Roman"/>
          <w:lang w:eastAsia="de-DE"/>
        </w:rPr>
        <w:t xml:space="preserve">ist „die Männer" (Plural von </w:t>
      </w:r>
      <w:r w:rsidRPr="00FF7EC2">
        <w:rPr>
          <w:rFonts w:eastAsia="Times New Roman" w:cs="Times New Roman"/>
          <w:b/>
          <w:bCs/>
          <w:rtl/>
          <w:lang w:eastAsia="de-DE"/>
        </w:rPr>
        <w:t>אִישׁ</w:t>
      </w:r>
      <w:r w:rsidRPr="00FF7EC2">
        <w:rPr>
          <w:rFonts w:eastAsia="Times New Roman" w:cs="Times New Roman"/>
          <w:rtl/>
          <w:lang w:eastAsia="de-DE"/>
        </w:rPr>
        <w:t xml:space="preserve"> </w:t>
      </w:r>
      <w:r w:rsidRPr="00FF7EC2">
        <w:rPr>
          <w:rFonts w:eastAsia="Times New Roman" w:cs="Times New Roman"/>
          <w:lang w:eastAsia="de-DE"/>
        </w:rPr>
        <w:t xml:space="preserve">mit Artikel), </w:t>
      </w:r>
      <w:r w:rsidRPr="00FF7EC2">
        <w:rPr>
          <w:rFonts w:eastAsia="Times New Roman" w:cs="Times New Roman"/>
          <w:b/>
          <w:bCs/>
          <w:rtl/>
          <w:lang w:eastAsia="de-DE"/>
        </w:rPr>
        <w:t>הָהֵם</w:t>
      </w:r>
      <w:r w:rsidRPr="00FF7EC2">
        <w:rPr>
          <w:rFonts w:eastAsia="Times New Roman" w:cs="Times New Roman"/>
          <w:rtl/>
          <w:lang w:eastAsia="de-DE"/>
        </w:rPr>
        <w:t xml:space="preserve"> </w:t>
      </w:r>
      <w:r w:rsidRPr="00FF7EC2">
        <w:rPr>
          <w:rFonts w:eastAsia="Times New Roman" w:cs="Times New Roman"/>
          <w:lang w:eastAsia="de-DE"/>
        </w:rPr>
        <w:t xml:space="preserve">ist das Demonstrativpronomen Plural „jene" mit Artikel. Die Phrase </w:t>
      </w:r>
      <w:r w:rsidRPr="00FF7EC2">
        <w:rPr>
          <w:rFonts w:eastAsia="Times New Roman" w:cs="Times New Roman"/>
          <w:b/>
          <w:bCs/>
          <w:rtl/>
          <w:lang w:eastAsia="de-DE"/>
        </w:rPr>
        <w:t>עֵינֵי הָאֲנָשִׁים הָהֵם</w:t>
      </w:r>
      <w:r w:rsidRPr="00FF7EC2">
        <w:rPr>
          <w:rFonts w:eastAsia="Times New Roman" w:cs="Times New Roman"/>
          <w:rtl/>
          <w:lang w:eastAsia="de-DE"/>
        </w:rPr>
        <w:t xml:space="preserve"> </w:t>
      </w:r>
      <w:r w:rsidRPr="00FF7EC2">
        <w:rPr>
          <w:rFonts w:eastAsia="Times New Roman" w:cs="Times New Roman"/>
          <w:lang w:eastAsia="de-DE"/>
        </w:rPr>
        <w:t>bedeutet „die Augen jener Männer" und bezieht sich vermutlich auf die Israeliten allgemein oder speziell auf Moses Gesandten.</w:t>
      </w:r>
    </w:p>
    <w:p w14:paraId="76F7AF87"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Verb </w:t>
      </w:r>
      <w:r w:rsidRPr="00FF7EC2">
        <w:rPr>
          <w:rFonts w:eastAsia="Times New Roman" w:cs="Times New Roman"/>
          <w:b/>
          <w:bCs/>
          <w:rtl/>
          <w:lang w:eastAsia="de-DE"/>
        </w:rPr>
        <w:t>תְּנַקֵּר</w:t>
      </w:r>
      <w:r w:rsidRPr="00FF7EC2">
        <w:rPr>
          <w:rFonts w:eastAsia="Times New Roman" w:cs="Times New Roman"/>
          <w:rtl/>
          <w:lang w:eastAsia="de-DE"/>
        </w:rPr>
        <w:t xml:space="preserve"> </w:t>
      </w:r>
      <w:r w:rsidRPr="00FF7EC2">
        <w:rPr>
          <w:rFonts w:eastAsia="Times New Roman" w:cs="Times New Roman"/>
          <w:lang w:eastAsia="de-DE"/>
        </w:rPr>
        <w:t xml:space="preserve">(Piel Imperfekt, 2. m. sg. von </w:t>
      </w:r>
      <w:r w:rsidRPr="00FF7EC2">
        <w:rPr>
          <w:rFonts w:eastAsia="Times New Roman" w:cs="Times New Roman"/>
          <w:b/>
          <w:bCs/>
          <w:rtl/>
          <w:lang w:eastAsia="de-DE"/>
        </w:rPr>
        <w:t>נקר</w:t>
      </w:r>
      <w:r w:rsidRPr="00FF7EC2">
        <w:rPr>
          <w:rFonts w:eastAsia="Times New Roman" w:cs="Times New Roman"/>
          <w:lang w:eastAsia="de-DE"/>
        </w:rPr>
        <w:t xml:space="preserve">) bedeutet „du wirst ausstechen, herausreißen". Die Piel-Form hat intensive Bedeutung. </w:t>
      </w:r>
      <w:r w:rsidRPr="00FF7EC2">
        <w:rPr>
          <w:rFonts w:eastAsia="Times New Roman" w:cs="Times New Roman"/>
          <w:b/>
          <w:bCs/>
          <w:rtl/>
          <w:lang w:eastAsia="de-DE"/>
        </w:rPr>
        <w:t>נקר</w:t>
      </w:r>
      <w:r w:rsidRPr="00FF7EC2">
        <w:rPr>
          <w:rFonts w:eastAsia="Times New Roman" w:cs="Times New Roman"/>
          <w:rtl/>
          <w:lang w:eastAsia="de-DE"/>
        </w:rPr>
        <w:t xml:space="preserve"> </w:t>
      </w:r>
      <w:r w:rsidRPr="00FF7EC2">
        <w:rPr>
          <w:rFonts w:eastAsia="Times New Roman" w:cs="Times New Roman"/>
          <w:lang w:eastAsia="de-DE"/>
        </w:rPr>
        <w:t xml:space="preserve">bedeutet „aushöhlen, ausstechen" und wird hier im übertragenen Sinne verwendet: „willst du sie täuschen, blenden?" Die </w:t>
      </w:r>
      <w:r w:rsidRPr="00FF7EC2">
        <w:rPr>
          <w:rFonts w:eastAsia="Times New Roman" w:cs="Times New Roman"/>
          <w:lang w:eastAsia="de-DE"/>
        </w:rPr>
        <w:lastRenderedPageBreak/>
        <w:t>wörtliche Bedeutung „Augen ausstechen" ist eine drastische Metapher für Täuschung und Manipulation.</w:t>
      </w:r>
    </w:p>
    <w:p w14:paraId="1715CB67"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abschließende Negation </w:t>
      </w:r>
      <w:r w:rsidRPr="00FF7EC2">
        <w:rPr>
          <w:rFonts w:eastAsia="Times New Roman" w:cs="Times New Roman"/>
          <w:b/>
          <w:bCs/>
          <w:rtl/>
          <w:lang w:eastAsia="de-DE"/>
        </w:rPr>
        <w:t>לֹא נַעֲלֶה</w:t>
      </w:r>
      <w:r w:rsidRPr="00FF7EC2">
        <w:rPr>
          <w:rFonts w:eastAsia="Times New Roman" w:cs="Times New Roman"/>
          <w:rtl/>
          <w:lang w:eastAsia="de-DE"/>
        </w:rPr>
        <w:t xml:space="preserve"> </w:t>
      </w:r>
      <w:r w:rsidRPr="00FF7EC2">
        <w:rPr>
          <w:rFonts w:eastAsia="Times New Roman" w:cs="Times New Roman"/>
          <w:lang w:eastAsia="de-DE"/>
        </w:rPr>
        <w:t xml:space="preserve">wiederholt die kategorische Weigerung aus Vers 12. </w:t>
      </w:r>
      <w:r w:rsidRPr="00FF7EC2">
        <w:rPr>
          <w:rFonts w:eastAsia="Times New Roman" w:cs="Times New Roman"/>
          <w:b/>
          <w:bCs/>
          <w:rtl/>
          <w:lang w:eastAsia="de-DE"/>
        </w:rPr>
        <w:t>לֹא</w:t>
      </w:r>
      <w:r w:rsidRPr="00FF7EC2">
        <w:rPr>
          <w:rFonts w:eastAsia="Times New Roman" w:cs="Times New Roman"/>
          <w:rtl/>
          <w:lang w:eastAsia="de-DE"/>
        </w:rPr>
        <w:t xml:space="preserve"> </w:t>
      </w:r>
      <w:r w:rsidRPr="00FF7EC2">
        <w:rPr>
          <w:rFonts w:eastAsia="Times New Roman" w:cs="Times New Roman"/>
          <w:lang w:eastAsia="de-DE"/>
        </w:rPr>
        <w:t xml:space="preserve">ist die Negation, </w:t>
      </w:r>
      <w:r w:rsidRPr="00FF7EC2">
        <w:rPr>
          <w:rFonts w:eastAsia="Times New Roman" w:cs="Times New Roman"/>
          <w:b/>
          <w:bCs/>
          <w:rtl/>
          <w:lang w:eastAsia="de-DE"/>
        </w:rPr>
        <w:t>נַעֲלֶה</w:t>
      </w:r>
      <w:r w:rsidRPr="00FF7EC2">
        <w:rPr>
          <w:rFonts w:eastAsia="Times New Roman" w:cs="Times New Roman"/>
          <w:rtl/>
          <w:lang w:eastAsia="de-DE"/>
        </w:rPr>
        <w:t xml:space="preserve"> </w:t>
      </w:r>
      <w:r w:rsidRPr="00FF7EC2">
        <w:rPr>
          <w:rFonts w:eastAsia="Times New Roman" w:cs="Times New Roman"/>
          <w:lang w:eastAsia="de-DE"/>
        </w:rPr>
        <w:t xml:space="preserve">(Qal Imperfekt, 1. c. pl. von </w:t>
      </w:r>
      <w:r w:rsidRPr="00FF7EC2">
        <w:rPr>
          <w:rFonts w:eastAsia="Times New Roman" w:cs="Times New Roman"/>
          <w:b/>
          <w:bCs/>
          <w:rtl/>
          <w:lang w:eastAsia="de-DE"/>
        </w:rPr>
        <w:t>עלה</w:t>
      </w:r>
      <w:r w:rsidRPr="00FF7EC2">
        <w:rPr>
          <w:rFonts w:eastAsia="Times New Roman" w:cs="Times New Roman"/>
          <w:lang w:eastAsia="de-DE"/>
        </w:rPr>
        <w:t>) bedeutet „wir werden hinaufsteigen". Die Wiederholung unterstreicht die Endgültigkeit der Ablehnung.</w:t>
      </w:r>
    </w:p>
    <w:p w14:paraId="3A28DD8C" w14:textId="34ED5C48"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Die LXX</w:t>
      </w:r>
      <w:r w:rsidRPr="00FF7EC2">
        <w:rPr>
          <w:rFonts w:eastAsia="Times New Roman" w:cs="Times New Roman"/>
          <w:lang w:eastAsia="de-DE"/>
        </w:rPr>
        <w:t xml:space="preserve"> </w:t>
      </w:r>
      <w:r w:rsidR="00ED3AE8">
        <w:t>übersetzt „</w:t>
      </w:r>
      <w:r w:rsidR="00ED3AE8">
        <w:rPr>
          <w:rtl/>
        </w:rPr>
        <w:t>ה</w:t>
      </w:r>
      <w:r w:rsidR="00ED3AE8" w:rsidRPr="00ED3AE8">
        <w:rPr>
          <w:b/>
          <w:bCs/>
          <w:rtl/>
        </w:rPr>
        <w:t>ַעֵינֵי הָאֲנָשִׁים הָהֵם תְּנַקֵּר</w:t>
      </w:r>
      <w:r w:rsidR="00ED3AE8">
        <w:t>" (willst du diesen Männern die Augen ausstechen?) mit „τοὺς ὀφθαλμοὺς τῶν ἀνθρώπων ἐκείνων ἄν ἐξέκοψας" (hättest du die Augen jener Männer ausgestochen), was den hypothetischen Charakter anders ausdrückt.</w:t>
      </w:r>
    </w:p>
    <w:p w14:paraId="4CC8275D"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einen ersten Hauptsatz mit emphatischer Negation, Präpositionalphrase und Verb mit Objektsuffix. Ein zweiter koordinierter Hauptsatz folgt mit Verb, indirektem Objekt (Präposition mit Suffix) und direktem Objekt (Constructus-Verbindung). Eine rhetorische Frage als dritter Hauptsatz folgt mit Subjekt (erweiterte Constructus-Verbindung mit Demonstrativpronomen) und Verb. Der abschließende vierte Hauptsatz wiederholt die kategorische Ablehnung. Es gibt keine Nebensätze.</w:t>
      </w:r>
    </w:p>
    <w:p w14:paraId="359AFD04"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kulminiert in der offenen Rebellion: Die rubenitischen Führer werfen Mose vor, sein Versprechen nicht erfüllt und das Volk in die Irre geführt zu haben.</w:t>
      </w:r>
    </w:p>
    <w:p w14:paraId="15E96151"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16,15</w:t>
      </w:r>
    </w:p>
    <w:p w14:paraId="35471241"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Hebräisch:</w:t>
      </w:r>
      <w:r w:rsidRPr="00FF7EC2">
        <w:rPr>
          <w:rFonts w:eastAsia="Times New Roman" w:cs="Times New Roman"/>
          <w:lang w:eastAsia="de-DE"/>
        </w:rPr>
        <w:t xml:space="preserve"> </w:t>
      </w:r>
      <w:r w:rsidRPr="00FF7EC2">
        <w:rPr>
          <w:rFonts w:eastAsia="Times New Roman" w:cs="Times New Roman"/>
          <w:rtl/>
          <w:lang w:eastAsia="de-DE"/>
        </w:rPr>
        <w:t>וַיִּ֤חַר לְמֹשֶׁה֙ מְאֹ֔ד וַיֹּ֨אמֶר֙ אֶל־יְהוָ֔ה אַל־תֵּ֖פֶן אֶל־מִנְחָתָ֑ם לֹ֠א חֲמ֨וֹר אֶחָ֤ד מֵהֶם֙ נָשָׂ֔אתִי וְלֹ֥א הֲרֵעֹ֖תִי אֶת־אַחַ֥ד מֵהֶֽם׃</w:t>
      </w:r>
    </w:p>
    <w:p w14:paraId="02941970"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Deutsch:</w:t>
      </w:r>
      <w:r w:rsidRPr="00FF7EC2">
        <w:rPr>
          <w:rFonts w:eastAsia="Times New Roman" w:cs="Times New Roman"/>
          <w:lang w:eastAsia="de-DE"/>
        </w:rPr>
        <w:t xml:space="preserve"> Da entbrannte Mosche sehr und sprach zu dem Ewigen: Wende dich nicht zu ihrer Opfergabe! Nicht einen Esel habe ich von ihnen genommen und keinem einzigen unter ihnen ein Leid getan.</w:t>
      </w:r>
    </w:p>
    <w:p w14:paraId="06A09EA7"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28C7085C">
          <v:rect id="_x0000_i1553" style="width:0;height:1.5pt" o:hralign="center" o:hrstd="t" o:hr="t" fillcolor="#a0a0a0" stroked="f"/>
        </w:pict>
      </w:r>
    </w:p>
    <w:p w14:paraId="5AF332A7" w14:textId="3DC5D685"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Kommentar:</w:t>
      </w:r>
      <w:r w:rsidRPr="00FF7EC2">
        <w:rPr>
          <w:rFonts w:eastAsia="Times New Roman" w:cs="Times New Roman"/>
          <w:lang w:eastAsia="de-DE"/>
        </w:rPr>
        <w:t xml:space="preserve"> Das Verb </w:t>
      </w:r>
      <w:r w:rsidRPr="00FF7EC2">
        <w:rPr>
          <w:rFonts w:eastAsia="Times New Roman" w:cs="Times New Roman"/>
          <w:b/>
          <w:bCs/>
          <w:rtl/>
          <w:lang w:eastAsia="de-DE"/>
        </w:rPr>
        <w:t>וַיִּחַר</w:t>
      </w:r>
      <w:r w:rsidRPr="00FF7EC2">
        <w:rPr>
          <w:rFonts w:eastAsia="Times New Roman" w:cs="Times New Roman"/>
          <w:rtl/>
          <w:lang w:eastAsia="de-DE"/>
        </w:rPr>
        <w:t xml:space="preserve"> </w:t>
      </w:r>
      <w:r w:rsidRPr="00FF7EC2">
        <w:rPr>
          <w:rFonts w:eastAsia="Times New Roman" w:cs="Times New Roman"/>
          <w:lang w:eastAsia="de-DE"/>
        </w:rPr>
        <w:t xml:space="preserve">(Wayyiqtol, 3. m. sg. von </w:t>
      </w:r>
      <w:r w:rsidRPr="00FF7EC2">
        <w:rPr>
          <w:rFonts w:eastAsia="Times New Roman" w:cs="Times New Roman"/>
          <w:b/>
          <w:bCs/>
          <w:rtl/>
          <w:lang w:eastAsia="de-DE"/>
        </w:rPr>
        <w:t>חרה</w:t>
      </w:r>
      <w:r w:rsidRPr="00FF7EC2">
        <w:rPr>
          <w:rFonts w:eastAsia="Times New Roman" w:cs="Times New Roman"/>
          <w:lang w:eastAsia="de-DE"/>
        </w:rPr>
        <w:t xml:space="preserve">) bedeutet „und es entbrannte, es wurde zornig". Die idiomatische </w:t>
      </w:r>
      <w:r w:rsidR="00F133EC">
        <w:rPr>
          <w:rFonts w:eastAsia="Times New Roman" w:cs="Times New Roman"/>
          <w:lang w:eastAsia="de-DE"/>
        </w:rPr>
        <w:t>Construct</w:t>
      </w:r>
      <w:r w:rsidRPr="00FF7EC2">
        <w:rPr>
          <w:rFonts w:eastAsia="Times New Roman" w:cs="Times New Roman"/>
          <w:lang w:eastAsia="de-DE"/>
        </w:rPr>
        <w:t xml:space="preserve">ion </w:t>
      </w:r>
      <w:r w:rsidRPr="00FF7EC2">
        <w:rPr>
          <w:rFonts w:eastAsia="Times New Roman" w:cs="Times New Roman"/>
          <w:b/>
          <w:bCs/>
          <w:rtl/>
          <w:lang w:eastAsia="de-DE"/>
        </w:rPr>
        <w:t>חרה ל</w:t>
      </w:r>
      <w:r w:rsidRPr="00FF7EC2">
        <w:rPr>
          <w:rFonts w:eastAsia="Times New Roman" w:cs="Times New Roman"/>
          <w:rtl/>
          <w:lang w:eastAsia="de-DE"/>
        </w:rPr>
        <w:t xml:space="preserve"> </w:t>
      </w:r>
      <w:r w:rsidRPr="00FF7EC2">
        <w:rPr>
          <w:rFonts w:eastAsia="Times New Roman" w:cs="Times New Roman"/>
          <w:lang w:eastAsia="de-DE"/>
        </w:rPr>
        <w:t xml:space="preserve">bedeutet „jemandem wurde zornig, jemand entbrannte im Zorn". </w:t>
      </w:r>
      <w:r w:rsidRPr="00FF7EC2">
        <w:rPr>
          <w:rFonts w:eastAsia="Times New Roman" w:cs="Times New Roman"/>
          <w:b/>
          <w:bCs/>
          <w:rtl/>
          <w:lang w:eastAsia="de-DE"/>
        </w:rPr>
        <w:t>לְמֹשֶׁה</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w:t>
      </w:r>
      <w:r w:rsidRPr="00FF7EC2">
        <w:rPr>
          <w:rFonts w:eastAsia="Times New Roman" w:cs="Times New Roman"/>
          <w:b/>
          <w:bCs/>
          <w:rtl/>
          <w:lang w:eastAsia="de-DE"/>
        </w:rPr>
        <w:t>לְ</w:t>
      </w:r>
      <w:r w:rsidRPr="00FF7EC2">
        <w:rPr>
          <w:rFonts w:eastAsia="Times New Roman" w:cs="Times New Roman"/>
          <w:rtl/>
          <w:lang w:eastAsia="de-DE"/>
        </w:rPr>
        <w:t xml:space="preserve"> </w:t>
      </w:r>
      <w:r w:rsidRPr="00FF7EC2">
        <w:rPr>
          <w:rFonts w:eastAsia="Times New Roman" w:cs="Times New Roman"/>
          <w:lang w:eastAsia="de-DE"/>
        </w:rPr>
        <w:t xml:space="preserve">mit dem Namen Mose: „dem Mose (entbrannte es)". Das unpersönliche Subjekt (oft </w:t>
      </w:r>
      <w:r w:rsidRPr="00FF7EC2">
        <w:rPr>
          <w:rFonts w:eastAsia="Times New Roman" w:cs="Times New Roman"/>
          <w:b/>
          <w:bCs/>
          <w:rtl/>
          <w:lang w:eastAsia="de-DE"/>
        </w:rPr>
        <w:t>אַף</w:t>
      </w:r>
      <w:r w:rsidRPr="00FF7EC2">
        <w:rPr>
          <w:rFonts w:eastAsia="Times New Roman" w:cs="Times New Roman"/>
          <w:lang w:eastAsia="de-DE"/>
        </w:rPr>
        <w:t>, „Nase, Zorn") ist hier nicht ausgedrückt.</w:t>
      </w:r>
    </w:p>
    <w:p w14:paraId="3EEB142A" w14:textId="098C05E9"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Adverb </w:t>
      </w:r>
      <w:r w:rsidRPr="00FF7EC2">
        <w:rPr>
          <w:rFonts w:eastAsia="Times New Roman" w:cs="Times New Roman"/>
          <w:b/>
          <w:bCs/>
          <w:rtl/>
          <w:lang w:eastAsia="de-DE"/>
        </w:rPr>
        <w:t>מְאֹד</w:t>
      </w:r>
      <w:r w:rsidRPr="00FF7EC2">
        <w:rPr>
          <w:rFonts w:eastAsia="Times New Roman" w:cs="Times New Roman"/>
          <w:rtl/>
          <w:lang w:eastAsia="de-DE"/>
        </w:rPr>
        <w:t xml:space="preserve"> </w:t>
      </w:r>
      <w:r w:rsidRPr="00FF7EC2">
        <w:rPr>
          <w:rFonts w:eastAsia="Times New Roman" w:cs="Times New Roman"/>
          <w:lang w:eastAsia="de-DE"/>
        </w:rPr>
        <w:t xml:space="preserve">(„sehr") intensiviert den Zorn. Die </w:t>
      </w:r>
      <w:r w:rsidR="00F133EC">
        <w:rPr>
          <w:rFonts w:eastAsia="Times New Roman" w:cs="Times New Roman"/>
          <w:lang w:eastAsia="de-DE"/>
        </w:rPr>
        <w:t>Construct</w:t>
      </w:r>
      <w:r w:rsidRPr="00FF7EC2">
        <w:rPr>
          <w:rFonts w:eastAsia="Times New Roman" w:cs="Times New Roman"/>
          <w:lang w:eastAsia="de-DE"/>
        </w:rPr>
        <w:t xml:space="preserve">ion </w:t>
      </w:r>
      <w:r w:rsidRPr="00FF7EC2">
        <w:rPr>
          <w:rFonts w:eastAsia="Times New Roman" w:cs="Times New Roman"/>
          <w:b/>
          <w:bCs/>
          <w:rtl/>
          <w:lang w:eastAsia="de-DE"/>
        </w:rPr>
        <w:t>ויחר למשה מאד</w:t>
      </w:r>
      <w:r w:rsidRPr="00FF7EC2">
        <w:rPr>
          <w:rFonts w:eastAsia="Times New Roman" w:cs="Times New Roman"/>
          <w:rtl/>
          <w:lang w:eastAsia="de-DE"/>
        </w:rPr>
        <w:t xml:space="preserve"> </w:t>
      </w:r>
      <w:r w:rsidRPr="00FF7EC2">
        <w:rPr>
          <w:rFonts w:eastAsia="Times New Roman" w:cs="Times New Roman"/>
          <w:lang w:eastAsia="de-DE"/>
        </w:rPr>
        <w:t>drückt starken, intensiven Zorn aus.</w:t>
      </w:r>
    </w:p>
    <w:p w14:paraId="5B716234"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koordinierte Verb </w:t>
      </w:r>
      <w:r w:rsidRPr="00FF7EC2">
        <w:rPr>
          <w:rFonts w:eastAsia="Times New Roman" w:cs="Times New Roman"/>
          <w:b/>
          <w:bCs/>
          <w:rtl/>
          <w:lang w:eastAsia="de-DE"/>
        </w:rPr>
        <w:t>וַיֹּאמֶר</w:t>
      </w:r>
      <w:r w:rsidRPr="00FF7EC2">
        <w:rPr>
          <w:rFonts w:eastAsia="Times New Roman" w:cs="Times New Roman"/>
          <w:rtl/>
          <w:lang w:eastAsia="de-DE"/>
        </w:rPr>
        <w:t xml:space="preserve"> </w:t>
      </w:r>
      <w:r w:rsidRPr="00FF7EC2">
        <w:rPr>
          <w:rFonts w:eastAsia="Times New Roman" w:cs="Times New Roman"/>
          <w:lang w:eastAsia="de-DE"/>
        </w:rPr>
        <w:t xml:space="preserve">(Wayyiqtol, 3. m. sg. von </w:t>
      </w:r>
      <w:r w:rsidRPr="00FF7EC2">
        <w:rPr>
          <w:rFonts w:eastAsia="Times New Roman" w:cs="Times New Roman"/>
          <w:b/>
          <w:bCs/>
          <w:rtl/>
          <w:lang w:eastAsia="de-DE"/>
        </w:rPr>
        <w:t>אמר</w:t>
      </w:r>
      <w:r w:rsidRPr="00FF7EC2">
        <w:rPr>
          <w:rFonts w:eastAsia="Times New Roman" w:cs="Times New Roman"/>
          <w:lang w:eastAsia="de-DE"/>
        </w:rPr>
        <w:t xml:space="preserve">) bedeutet „und er sprach". Die Präpositionalphrase </w:t>
      </w:r>
      <w:r w:rsidRPr="00FF7EC2">
        <w:rPr>
          <w:rFonts w:eastAsia="Times New Roman" w:cs="Times New Roman"/>
          <w:b/>
          <w:bCs/>
          <w:rtl/>
          <w:lang w:eastAsia="de-DE"/>
        </w:rPr>
        <w:t>אֶל־יְהוָה</w:t>
      </w:r>
      <w:r w:rsidRPr="00FF7EC2">
        <w:rPr>
          <w:rFonts w:eastAsia="Times New Roman" w:cs="Times New Roman"/>
          <w:rtl/>
          <w:lang w:eastAsia="de-DE"/>
        </w:rPr>
        <w:t xml:space="preserve"> </w:t>
      </w:r>
      <w:r w:rsidRPr="00FF7EC2">
        <w:rPr>
          <w:rFonts w:eastAsia="Times New Roman" w:cs="Times New Roman"/>
          <w:lang w:eastAsia="de-DE"/>
        </w:rPr>
        <w:t xml:space="preserve">gibt den Adressaten an: Mose wendet sich an JHWH. Die Konjunktion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verbindet die emotionale Reaktion mit der verbalen Äußerung.</w:t>
      </w:r>
    </w:p>
    <w:p w14:paraId="27D141A7" w14:textId="2641EC22"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Der negative Imperativ </w:t>
      </w:r>
      <w:r w:rsidRPr="00FF7EC2">
        <w:rPr>
          <w:rFonts w:eastAsia="Times New Roman" w:cs="Times New Roman"/>
          <w:b/>
          <w:bCs/>
          <w:rtl/>
          <w:lang w:eastAsia="de-DE"/>
        </w:rPr>
        <w:t>אַל־תֵּפֶן</w:t>
      </w:r>
      <w:r w:rsidRPr="00FF7EC2">
        <w:rPr>
          <w:rFonts w:eastAsia="Times New Roman" w:cs="Times New Roman"/>
          <w:rtl/>
          <w:lang w:eastAsia="de-DE"/>
        </w:rPr>
        <w:t xml:space="preserve"> </w:t>
      </w:r>
      <w:r w:rsidRPr="00FF7EC2">
        <w:rPr>
          <w:rFonts w:eastAsia="Times New Roman" w:cs="Times New Roman"/>
          <w:lang w:eastAsia="de-DE"/>
        </w:rPr>
        <w:t xml:space="preserve">ist eine Bitte oder ein Appell. </w:t>
      </w:r>
      <w:r w:rsidRPr="00FF7EC2">
        <w:rPr>
          <w:rFonts w:eastAsia="Times New Roman" w:cs="Times New Roman"/>
          <w:b/>
          <w:bCs/>
          <w:rtl/>
          <w:lang w:eastAsia="de-DE"/>
        </w:rPr>
        <w:t>אַל</w:t>
      </w:r>
      <w:r w:rsidRPr="00FF7EC2">
        <w:rPr>
          <w:rFonts w:eastAsia="Times New Roman" w:cs="Times New Roman"/>
          <w:rtl/>
          <w:lang w:eastAsia="de-DE"/>
        </w:rPr>
        <w:t xml:space="preserve"> </w:t>
      </w:r>
      <w:r w:rsidRPr="00FF7EC2">
        <w:rPr>
          <w:rFonts w:eastAsia="Times New Roman" w:cs="Times New Roman"/>
          <w:lang w:eastAsia="de-DE"/>
        </w:rPr>
        <w:t xml:space="preserve">ist die negative Partikel für den Jussiv/Imperativ, </w:t>
      </w:r>
      <w:r w:rsidRPr="00FF7EC2">
        <w:rPr>
          <w:rFonts w:eastAsia="Times New Roman" w:cs="Times New Roman"/>
          <w:b/>
          <w:bCs/>
          <w:rtl/>
          <w:lang w:eastAsia="de-DE"/>
        </w:rPr>
        <w:t>תֵּפֶן</w:t>
      </w:r>
      <w:r w:rsidRPr="00FF7EC2">
        <w:rPr>
          <w:rFonts w:eastAsia="Times New Roman" w:cs="Times New Roman"/>
          <w:rtl/>
          <w:lang w:eastAsia="de-DE"/>
        </w:rPr>
        <w:t xml:space="preserve"> </w:t>
      </w:r>
      <w:r w:rsidRPr="00FF7EC2">
        <w:rPr>
          <w:rFonts w:eastAsia="Times New Roman" w:cs="Times New Roman"/>
          <w:lang w:eastAsia="de-DE"/>
        </w:rPr>
        <w:t xml:space="preserve">(Qal Imperfekt/Jussiv, 2. m. sg. von </w:t>
      </w:r>
      <w:r w:rsidRPr="00FF7EC2">
        <w:rPr>
          <w:rFonts w:eastAsia="Times New Roman" w:cs="Times New Roman"/>
          <w:b/>
          <w:bCs/>
          <w:rtl/>
          <w:lang w:eastAsia="de-DE"/>
        </w:rPr>
        <w:t>פנה</w:t>
      </w:r>
      <w:r w:rsidRPr="00FF7EC2">
        <w:rPr>
          <w:rFonts w:eastAsia="Times New Roman" w:cs="Times New Roman"/>
          <w:lang w:eastAsia="de-DE"/>
        </w:rPr>
        <w:t xml:space="preserve">) bedeutet „du sollst dich wenden, wende dich". Die </w:t>
      </w:r>
      <w:r w:rsidR="00F133EC">
        <w:rPr>
          <w:rFonts w:eastAsia="Times New Roman" w:cs="Times New Roman"/>
          <w:lang w:eastAsia="de-DE"/>
        </w:rPr>
        <w:t>Construct</w:t>
      </w:r>
      <w:r w:rsidRPr="00FF7EC2">
        <w:rPr>
          <w:rFonts w:eastAsia="Times New Roman" w:cs="Times New Roman"/>
          <w:lang w:eastAsia="de-DE"/>
        </w:rPr>
        <w:t xml:space="preserve">ion </w:t>
      </w:r>
      <w:r w:rsidRPr="00FF7EC2">
        <w:rPr>
          <w:rFonts w:eastAsia="Times New Roman" w:cs="Times New Roman"/>
          <w:b/>
          <w:bCs/>
          <w:rtl/>
          <w:lang w:eastAsia="de-DE"/>
        </w:rPr>
        <w:t>אַל־תֵּפֶן אֶל</w:t>
      </w:r>
      <w:r w:rsidRPr="00FF7EC2">
        <w:rPr>
          <w:rFonts w:eastAsia="Times New Roman" w:cs="Times New Roman"/>
          <w:rtl/>
          <w:lang w:eastAsia="de-DE"/>
        </w:rPr>
        <w:t xml:space="preserve"> </w:t>
      </w:r>
      <w:r w:rsidRPr="00FF7EC2">
        <w:rPr>
          <w:rFonts w:eastAsia="Times New Roman" w:cs="Times New Roman"/>
          <w:lang w:eastAsia="de-DE"/>
        </w:rPr>
        <w:t xml:space="preserve">bedeutet „wende dich nicht zu, beachte nicht". Die Präpositionalphrase </w:t>
      </w:r>
      <w:r w:rsidRPr="00FF7EC2">
        <w:rPr>
          <w:rFonts w:eastAsia="Times New Roman" w:cs="Times New Roman"/>
          <w:b/>
          <w:bCs/>
          <w:rtl/>
          <w:lang w:eastAsia="de-DE"/>
        </w:rPr>
        <w:t>אֶל־מִנְחָתָם</w:t>
      </w:r>
      <w:r w:rsidRPr="00FF7EC2">
        <w:rPr>
          <w:rFonts w:eastAsia="Times New Roman" w:cs="Times New Roman"/>
          <w:rtl/>
          <w:lang w:eastAsia="de-DE"/>
        </w:rPr>
        <w:t xml:space="preserve"> </w:t>
      </w:r>
      <w:r w:rsidRPr="00FF7EC2">
        <w:rPr>
          <w:rFonts w:eastAsia="Times New Roman" w:cs="Times New Roman"/>
          <w:lang w:eastAsia="de-DE"/>
        </w:rPr>
        <w:t xml:space="preserve">gibt das Objekt an: </w:t>
      </w:r>
      <w:r w:rsidRPr="00FF7EC2">
        <w:rPr>
          <w:rFonts w:eastAsia="Times New Roman" w:cs="Times New Roman"/>
          <w:b/>
          <w:bCs/>
          <w:rtl/>
          <w:lang w:eastAsia="de-DE"/>
        </w:rPr>
        <w:t>אֶל</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„zu", </w:t>
      </w:r>
      <w:r w:rsidRPr="00FF7EC2">
        <w:rPr>
          <w:rFonts w:eastAsia="Times New Roman" w:cs="Times New Roman"/>
          <w:b/>
          <w:bCs/>
          <w:rtl/>
          <w:lang w:eastAsia="de-DE"/>
        </w:rPr>
        <w:lastRenderedPageBreak/>
        <w:t>מִנְחָתָם</w:t>
      </w:r>
      <w:r w:rsidRPr="00FF7EC2">
        <w:rPr>
          <w:rFonts w:eastAsia="Times New Roman" w:cs="Times New Roman"/>
          <w:rtl/>
          <w:lang w:eastAsia="de-DE"/>
        </w:rPr>
        <w:t xml:space="preserve"> </w:t>
      </w:r>
      <w:r w:rsidRPr="00FF7EC2">
        <w:rPr>
          <w:rFonts w:eastAsia="Times New Roman" w:cs="Times New Roman"/>
          <w:lang w:eastAsia="de-DE"/>
        </w:rPr>
        <w:t>ist „ihre Opfergabe" (</w:t>
      </w:r>
      <w:r w:rsidRPr="00FF7EC2">
        <w:rPr>
          <w:rFonts w:eastAsia="Times New Roman" w:cs="Times New Roman"/>
          <w:b/>
          <w:bCs/>
          <w:rtl/>
          <w:lang w:eastAsia="de-DE"/>
        </w:rPr>
        <w:t>מִנְחָה</w:t>
      </w:r>
      <w:r w:rsidRPr="00FF7EC2">
        <w:rPr>
          <w:rFonts w:eastAsia="Times New Roman" w:cs="Times New Roman"/>
          <w:rtl/>
          <w:lang w:eastAsia="de-DE"/>
        </w:rPr>
        <w:t xml:space="preserve"> </w:t>
      </w:r>
      <w:r w:rsidRPr="00FF7EC2">
        <w:rPr>
          <w:rFonts w:eastAsia="Times New Roman" w:cs="Times New Roman"/>
          <w:lang w:eastAsia="de-DE"/>
        </w:rPr>
        <w:t xml:space="preserve">mit Possessivsuffix 3. m. pl.). </w:t>
      </w:r>
      <w:r w:rsidRPr="00FF7EC2">
        <w:rPr>
          <w:rFonts w:eastAsia="Times New Roman" w:cs="Times New Roman"/>
          <w:b/>
          <w:bCs/>
          <w:rtl/>
          <w:lang w:eastAsia="de-DE"/>
        </w:rPr>
        <w:t>מִנְחָה</w:t>
      </w:r>
      <w:r w:rsidRPr="00FF7EC2">
        <w:rPr>
          <w:rFonts w:eastAsia="Times New Roman" w:cs="Times New Roman"/>
          <w:rtl/>
          <w:lang w:eastAsia="de-DE"/>
        </w:rPr>
        <w:t xml:space="preserve"> </w:t>
      </w:r>
      <w:r w:rsidRPr="00FF7EC2">
        <w:rPr>
          <w:rFonts w:eastAsia="Times New Roman" w:cs="Times New Roman"/>
          <w:lang w:eastAsia="de-DE"/>
        </w:rPr>
        <w:t>kann Speisopfer oder allgemein Opfergabe bedeuten und bezieht sich hier auf das bevorstehende Räucheropfer.</w:t>
      </w:r>
    </w:p>
    <w:p w14:paraId="21D07890"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Negation </w:t>
      </w:r>
      <w:r w:rsidRPr="00FF7EC2">
        <w:rPr>
          <w:rFonts w:eastAsia="Times New Roman" w:cs="Times New Roman"/>
          <w:b/>
          <w:bCs/>
          <w:rtl/>
          <w:lang w:eastAsia="de-DE"/>
        </w:rPr>
        <w:t>לֹא</w:t>
      </w:r>
      <w:r w:rsidRPr="00FF7EC2">
        <w:rPr>
          <w:rFonts w:eastAsia="Times New Roman" w:cs="Times New Roman"/>
          <w:rtl/>
          <w:lang w:eastAsia="de-DE"/>
        </w:rPr>
        <w:t xml:space="preserve"> </w:t>
      </w:r>
      <w:r w:rsidRPr="00FF7EC2">
        <w:rPr>
          <w:rFonts w:eastAsia="Times New Roman" w:cs="Times New Roman"/>
          <w:lang w:eastAsia="de-DE"/>
        </w:rPr>
        <w:t xml:space="preserve">leitet Moses Rechtfertigung ein. </w:t>
      </w:r>
      <w:r w:rsidRPr="00FF7EC2">
        <w:rPr>
          <w:rFonts w:eastAsia="Times New Roman" w:cs="Times New Roman"/>
          <w:b/>
          <w:bCs/>
          <w:rtl/>
          <w:lang w:eastAsia="de-DE"/>
        </w:rPr>
        <w:t>חֲמוֹר אֶחָד</w:t>
      </w:r>
      <w:r w:rsidRPr="00FF7EC2">
        <w:rPr>
          <w:rFonts w:eastAsia="Times New Roman" w:cs="Times New Roman"/>
          <w:rtl/>
          <w:lang w:eastAsia="de-DE"/>
        </w:rPr>
        <w:t xml:space="preserve"> </w:t>
      </w:r>
      <w:r w:rsidRPr="00FF7EC2">
        <w:rPr>
          <w:rFonts w:eastAsia="Times New Roman" w:cs="Times New Roman"/>
          <w:lang w:eastAsia="de-DE"/>
        </w:rPr>
        <w:t xml:space="preserve">ist „ein Esel": </w:t>
      </w:r>
      <w:r w:rsidRPr="00FF7EC2">
        <w:rPr>
          <w:rFonts w:eastAsia="Times New Roman" w:cs="Times New Roman"/>
          <w:b/>
          <w:bCs/>
          <w:rtl/>
          <w:lang w:eastAsia="de-DE"/>
        </w:rPr>
        <w:t>חֲמוֹר</w:t>
      </w:r>
      <w:r w:rsidRPr="00FF7EC2">
        <w:rPr>
          <w:rFonts w:eastAsia="Times New Roman" w:cs="Times New Roman"/>
          <w:rtl/>
          <w:lang w:eastAsia="de-DE"/>
        </w:rPr>
        <w:t xml:space="preserve"> </w:t>
      </w:r>
      <w:r w:rsidRPr="00FF7EC2">
        <w:rPr>
          <w:rFonts w:eastAsia="Times New Roman" w:cs="Times New Roman"/>
          <w:lang w:eastAsia="de-DE"/>
        </w:rPr>
        <w:t xml:space="preserve">bedeutet „Esel", </w:t>
      </w:r>
      <w:r w:rsidRPr="00FF7EC2">
        <w:rPr>
          <w:rFonts w:eastAsia="Times New Roman" w:cs="Times New Roman"/>
          <w:b/>
          <w:bCs/>
          <w:rtl/>
          <w:lang w:eastAsia="de-DE"/>
        </w:rPr>
        <w:t>אֶחָד</w:t>
      </w:r>
      <w:r w:rsidRPr="00FF7EC2">
        <w:rPr>
          <w:rFonts w:eastAsia="Times New Roman" w:cs="Times New Roman"/>
          <w:rtl/>
          <w:lang w:eastAsia="de-DE"/>
        </w:rPr>
        <w:t xml:space="preserve"> </w:t>
      </w:r>
      <w:r w:rsidRPr="00FF7EC2">
        <w:rPr>
          <w:rFonts w:eastAsia="Times New Roman" w:cs="Times New Roman"/>
          <w:lang w:eastAsia="de-DE"/>
        </w:rPr>
        <w:t xml:space="preserve">ist das Zahlwort „eins, ein einziger". Die Präposition </w:t>
      </w:r>
      <w:r w:rsidRPr="00FF7EC2">
        <w:rPr>
          <w:rFonts w:eastAsia="Times New Roman" w:cs="Times New Roman"/>
          <w:b/>
          <w:bCs/>
          <w:rtl/>
          <w:lang w:eastAsia="de-DE"/>
        </w:rPr>
        <w:t>מֵהֶם</w:t>
      </w:r>
      <w:r w:rsidRPr="00FF7EC2">
        <w:rPr>
          <w:rFonts w:eastAsia="Times New Roman" w:cs="Times New Roman"/>
          <w:rtl/>
          <w:lang w:eastAsia="de-DE"/>
        </w:rPr>
        <w:t xml:space="preserve"> </w:t>
      </w:r>
      <w:r w:rsidRPr="00FF7EC2">
        <w:rPr>
          <w:rFonts w:eastAsia="Times New Roman" w:cs="Times New Roman"/>
          <w:lang w:eastAsia="de-DE"/>
        </w:rPr>
        <w:t>(„von ihnen") mit Suffix 3. m. pl. gibt die Herkunft an.</w:t>
      </w:r>
    </w:p>
    <w:p w14:paraId="55ADFE6F"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Verb </w:t>
      </w:r>
      <w:r w:rsidRPr="00FF7EC2">
        <w:rPr>
          <w:rFonts w:eastAsia="Times New Roman" w:cs="Times New Roman"/>
          <w:b/>
          <w:bCs/>
          <w:rtl/>
          <w:lang w:eastAsia="de-DE"/>
        </w:rPr>
        <w:t>נָשָׂאתִי</w:t>
      </w:r>
      <w:r w:rsidRPr="00FF7EC2">
        <w:rPr>
          <w:rFonts w:eastAsia="Times New Roman" w:cs="Times New Roman"/>
          <w:rtl/>
          <w:lang w:eastAsia="de-DE"/>
        </w:rPr>
        <w:t xml:space="preserve"> </w:t>
      </w:r>
      <w:r w:rsidRPr="00FF7EC2">
        <w:rPr>
          <w:rFonts w:eastAsia="Times New Roman" w:cs="Times New Roman"/>
          <w:lang w:eastAsia="de-DE"/>
        </w:rPr>
        <w:t xml:space="preserve">(Qal Perfekt, 1. c. sg. von </w:t>
      </w:r>
      <w:r w:rsidRPr="00FF7EC2">
        <w:rPr>
          <w:rFonts w:eastAsia="Times New Roman" w:cs="Times New Roman"/>
          <w:b/>
          <w:bCs/>
          <w:rtl/>
          <w:lang w:eastAsia="de-DE"/>
        </w:rPr>
        <w:t>נשׂא</w:t>
      </w:r>
      <w:r w:rsidRPr="00FF7EC2">
        <w:rPr>
          <w:rFonts w:eastAsia="Times New Roman" w:cs="Times New Roman"/>
          <w:lang w:eastAsia="de-DE"/>
        </w:rPr>
        <w:t xml:space="preserve">) bedeutet „ich habe genommen, getragen". </w:t>
      </w:r>
      <w:r w:rsidRPr="00FF7EC2">
        <w:rPr>
          <w:rFonts w:eastAsia="Times New Roman" w:cs="Times New Roman"/>
          <w:b/>
          <w:bCs/>
          <w:rtl/>
          <w:lang w:eastAsia="de-DE"/>
        </w:rPr>
        <w:t>נשׂא</w:t>
      </w:r>
      <w:r w:rsidRPr="00FF7EC2">
        <w:rPr>
          <w:rFonts w:eastAsia="Times New Roman" w:cs="Times New Roman"/>
          <w:rtl/>
          <w:lang w:eastAsia="de-DE"/>
        </w:rPr>
        <w:t xml:space="preserve"> </w:t>
      </w:r>
      <w:r w:rsidRPr="00FF7EC2">
        <w:rPr>
          <w:rFonts w:eastAsia="Times New Roman" w:cs="Times New Roman"/>
          <w:lang w:eastAsia="de-DE"/>
        </w:rPr>
        <w:t xml:space="preserve">hat die Grundbedeutung „tragen, erheben" und kann auch „nehmen, wegnehmen" bedeuten. Die Aussage </w:t>
      </w:r>
      <w:r w:rsidRPr="00FF7EC2">
        <w:rPr>
          <w:rFonts w:eastAsia="Times New Roman" w:cs="Times New Roman"/>
          <w:b/>
          <w:bCs/>
          <w:rtl/>
          <w:lang w:eastAsia="de-DE"/>
        </w:rPr>
        <w:t>לֹא חֲמוֹר אֶחָד מֵהֶם נָשָׂאתִי</w:t>
      </w:r>
      <w:r w:rsidRPr="00FF7EC2">
        <w:rPr>
          <w:rFonts w:eastAsia="Times New Roman" w:cs="Times New Roman"/>
          <w:rtl/>
          <w:lang w:eastAsia="de-DE"/>
        </w:rPr>
        <w:t xml:space="preserve"> </w:t>
      </w:r>
      <w:r w:rsidRPr="00FF7EC2">
        <w:rPr>
          <w:rFonts w:eastAsia="Times New Roman" w:cs="Times New Roman"/>
          <w:lang w:eastAsia="de-DE"/>
        </w:rPr>
        <w:t>bedeutet „nicht einen einzigen Esel von ihnen habe ich genommen" und betont Moses Integrität.</w:t>
      </w:r>
    </w:p>
    <w:p w14:paraId="0F06C52A"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koordinierte Negation </w:t>
      </w:r>
      <w:r w:rsidRPr="00FF7EC2">
        <w:rPr>
          <w:rFonts w:eastAsia="Times New Roman" w:cs="Times New Roman"/>
          <w:b/>
          <w:bCs/>
          <w:rtl/>
          <w:lang w:eastAsia="de-DE"/>
        </w:rPr>
        <w:t>וְלֹא</w:t>
      </w:r>
      <w:r w:rsidRPr="00FF7EC2">
        <w:rPr>
          <w:rFonts w:eastAsia="Times New Roman" w:cs="Times New Roman"/>
          <w:rtl/>
          <w:lang w:eastAsia="de-DE"/>
        </w:rPr>
        <w:t xml:space="preserve"> </w:t>
      </w:r>
      <w:r w:rsidRPr="00FF7EC2">
        <w:rPr>
          <w:rFonts w:eastAsia="Times New Roman" w:cs="Times New Roman"/>
          <w:lang w:eastAsia="de-DE"/>
        </w:rPr>
        <w:t xml:space="preserve">leitet die zweite Rechtfertigung ein. Das Verb </w:t>
      </w:r>
      <w:r w:rsidRPr="00FF7EC2">
        <w:rPr>
          <w:rFonts w:eastAsia="Times New Roman" w:cs="Times New Roman"/>
          <w:b/>
          <w:bCs/>
          <w:rtl/>
          <w:lang w:eastAsia="de-DE"/>
        </w:rPr>
        <w:t>הֲרֵעֹתִי</w:t>
      </w:r>
      <w:r w:rsidRPr="00FF7EC2">
        <w:rPr>
          <w:rFonts w:eastAsia="Times New Roman" w:cs="Times New Roman"/>
          <w:rtl/>
          <w:lang w:eastAsia="de-DE"/>
        </w:rPr>
        <w:t xml:space="preserve"> </w:t>
      </w:r>
      <w:r w:rsidRPr="00FF7EC2">
        <w:rPr>
          <w:rFonts w:eastAsia="Times New Roman" w:cs="Times New Roman"/>
          <w:lang w:eastAsia="de-DE"/>
        </w:rPr>
        <w:t xml:space="preserve">(Hifil Perfekt, 1. c. sg. von </w:t>
      </w:r>
      <w:r w:rsidRPr="00FF7EC2">
        <w:rPr>
          <w:rFonts w:eastAsia="Times New Roman" w:cs="Times New Roman"/>
          <w:b/>
          <w:bCs/>
          <w:rtl/>
          <w:lang w:eastAsia="de-DE"/>
        </w:rPr>
        <w:t>רעע</w:t>
      </w:r>
      <w:r w:rsidRPr="00FF7EC2">
        <w:rPr>
          <w:rFonts w:eastAsia="Times New Roman" w:cs="Times New Roman"/>
          <w:lang w:eastAsia="de-DE"/>
        </w:rPr>
        <w:t xml:space="preserve">) bedeutet „ich habe Böses getan, Leid zugefügt". Die Hifil-Form von </w:t>
      </w:r>
      <w:r w:rsidRPr="00FF7EC2">
        <w:rPr>
          <w:rFonts w:eastAsia="Times New Roman" w:cs="Times New Roman"/>
          <w:b/>
          <w:bCs/>
          <w:rtl/>
          <w:lang w:eastAsia="de-DE"/>
        </w:rPr>
        <w:t>רעע</w:t>
      </w:r>
      <w:r w:rsidRPr="00FF7EC2">
        <w:rPr>
          <w:rFonts w:eastAsia="Times New Roman" w:cs="Times New Roman"/>
          <w:rtl/>
          <w:lang w:eastAsia="de-DE"/>
        </w:rPr>
        <w:t xml:space="preserve"> </w:t>
      </w:r>
      <w:r w:rsidRPr="00FF7EC2">
        <w:rPr>
          <w:rFonts w:eastAsia="Times New Roman" w:cs="Times New Roman"/>
          <w:lang w:eastAsia="de-DE"/>
        </w:rPr>
        <w:t xml:space="preserve">ist kausativ: „böse machen, schaden". </w:t>
      </w:r>
      <w:r w:rsidRPr="00FF7EC2">
        <w:rPr>
          <w:rFonts w:eastAsia="Times New Roman" w:cs="Times New Roman"/>
          <w:b/>
          <w:bCs/>
          <w:rtl/>
          <w:lang w:eastAsia="de-DE"/>
        </w:rPr>
        <w:t>אֶת־אַחַד מֵהֶם</w:t>
      </w:r>
      <w:r w:rsidRPr="00FF7EC2">
        <w:rPr>
          <w:rFonts w:eastAsia="Times New Roman" w:cs="Times New Roman"/>
          <w:rtl/>
          <w:lang w:eastAsia="de-DE"/>
        </w:rPr>
        <w:t xml:space="preserve"> </w:t>
      </w:r>
      <w:r w:rsidRPr="00FF7EC2">
        <w:rPr>
          <w:rFonts w:eastAsia="Times New Roman" w:cs="Times New Roman"/>
          <w:lang w:eastAsia="de-DE"/>
        </w:rPr>
        <w:t xml:space="preserve">ist die Objektphrase: </w:t>
      </w:r>
      <w:r w:rsidRPr="00FF7EC2">
        <w:rPr>
          <w:rFonts w:eastAsia="Times New Roman" w:cs="Times New Roman"/>
          <w:b/>
          <w:bCs/>
          <w:rtl/>
          <w:lang w:eastAsia="de-DE"/>
        </w:rPr>
        <w:t>אֶת</w:t>
      </w:r>
      <w:r w:rsidRPr="00FF7EC2">
        <w:rPr>
          <w:rFonts w:eastAsia="Times New Roman" w:cs="Times New Roman"/>
          <w:rtl/>
          <w:lang w:eastAsia="de-DE"/>
        </w:rPr>
        <w:t xml:space="preserve"> </w:t>
      </w:r>
      <w:r w:rsidRPr="00FF7EC2">
        <w:rPr>
          <w:rFonts w:eastAsia="Times New Roman" w:cs="Times New Roman"/>
          <w:lang w:eastAsia="de-DE"/>
        </w:rPr>
        <w:t xml:space="preserve">die Objektpartikel, </w:t>
      </w:r>
      <w:r w:rsidRPr="00FF7EC2">
        <w:rPr>
          <w:rFonts w:eastAsia="Times New Roman" w:cs="Times New Roman"/>
          <w:b/>
          <w:bCs/>
          <w:rtl/>
          <w:lang w:eastAsia="de-DE"/>
        </w:rPr>
        <w:t>אֶחָד</w:t>
      </w:r>
      <w:r w:rsidRPr="00FF7EC2">
        <w:rPr>
          <w:rFonts w:eastAsia="Times New Roman" w:cs="Times New Roman"/>
          <w:rtl/>
          <w:lang w:eastAsia="de-DE"/>
        </w:rPr>
        <w:t xml:space="preserve"> </w:t>
      </w:r>
      <w:r w:rsidRPr="00FF7EC2">
        <w:rPr>
          <w:rFonts w:eastAsia="Times New Roman" w:cs="Times New Roman"/>
          <w:lang w:eastAsia="de-DE"/>
        </w:rPr>
        <w:t xml:space="preserve">(„einen, einem") mit der Präposition </w:t>
      </w:r>
      <w:r w:rsidRPr="00FF7EC2">
        <w:rPr>
          <w:rFonts w:eastAsia="Times New Roman" w:cs="Times New Roman"/>
          <w:b/>
          <w:bCs/>
          <w:rtl/>
          <w:lang w:eastAsia="de-DE"/>
        </w:rPr>
        <w:t>מֵהֶם</w:t>
      </w:r>
      <w:r w:rsidRPr="00FF7EC2">
        <w:rPr>
          <w:rFonts w:eastAsia="Times New Roman" w:cs="Times New Roman"/>
          <w:rtl/>
          <w:lang w:eastAsia="de-DE"/>
        </w:rPr>
        <w:t xml:space="preserve"> </w:t>
      </w:r>
      <w:r w:rsidRPr="00FF7EC2">
        <w:rPr>
          <w:rFonts w:eastAsia="Times New Roman" w:cs="Times New Roman"/>
          <w:lang w:eastAsia="de-DE"/>
        </w:rPr>
        <w:t>(„von ihnen"). Die Aussage bedeutet „und keinem einzigen von ihnen habe ich geschadet".</w:t>
      </w:r>
    </w:p>
    <w:p w14:paraId="11C691C2"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beiden parallelen Aussagen betonen Moses völlige Unschuld gegenüber dem Volk: Er hat weder materiellen Vorteil aus seiner Position gezogen noch jemandem Unrecht getan.</w:t>
      </w:r>
    </w:p>
    <w:p w14:paraId="09D28D7B" w14:textId="6E54F2B6"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Die LXX</w:t>
      </w:r>
      <w:r w:rsidRPr="00FF7EC2">
        <w:rPr>
          <w:rFonts w:eastAsia="Times New Roman" w:cs="Times New Roman"/>
          <w:lang w:eastAsia="de-DE"/>
        </w:rPr>
        <w:t xml:space="preserve"> </w:t>
      </w:r>
      <w:r w:rsidR="00ED3AE8">
        <w:t>übersetzt „</w:t>
      </w:r>
      <w:r w:rsidR="00ED3AE8" w:rsidRPr="00ED3AE8">
        <w:rPr>
          <w:b/>
          <w:bCs/>
          <w:rtl/>
        </w:rPr>
        <w:t>וַיִּחַר לְמֹשֶׁה מְאֹד</w:t>
      </w:r>
      <w:r w:rsidR="00ED3AE8">
        <w:t>" (und Mose wurde sehr zornig) mit „καὶ ἐβαρυθύμησεν Μωυσῆς σφόδρα" (und Mose wurde sehr betrübt/niedergeschlagen), eine emotionale Verschiebung von Zorn zu Niedergeschlagenheit. Zudem wird „</w:t>
      </w:r>
      <w:r w:rsidR="00ED3AE8" w:rsidRPr="000039C6">
        <w:rPr>
          <w:b/>
          <w:bCs/>
          <w:rtl/>
        </w:rPr>
        <w:t>חֲמוֹר</w:t>
      </w:r>
      <w:r w:rsidR="00ED3AE8">
        <w:t>" (Esel) zu „ἐπιθύμημα" (Begehrenswertes/Wunsch), was die Bedeutung völlig verändert.</w:t>
      </w:r>
    </w:p>
    <w:p w14:paraId="6D8A5E87"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einen Hauptsatz mit unpersönlichem Verb, präpositionalem Dativ und Adverb. Ein zweiter Hauptsatz folgt mit Verb und Präpositionalphrase. Die direkte Rede beginnt mit einem negativen Imperativ (Jussiv) mit Präpositionalphrase. Zwei parallel strukturierte Hauptsätze folgen, jeweils mit Negation, Objekt und Verb im Perfekt sowie präpositionaler Ergänzung.</w:t>
      </w:r>
    </w:p>
    <w:p w14:paraId="70595FBE"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zeigt Moses emotionale Reaktion auf die schwere Anklage und seine Bitte an Gott, die Opfer der Rebellen nicht anzunehmen. Seine Selbstverteidigung betont seine Integrität als Führer.</w:t>
      </w:r>
    </w:p>
    <w:p w14:paraId="2FBB0239"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16,16</w:t>
      </w:r>
    </w:p>
    <w:p w14:paraId="34510479"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Hebräisch:</w:t>
      </w:r>
      <w:r w:rsidRPr="00FF7EC2">
        <w:rPr>
          <w:rFonts w:eastAsia="Times New Roman" w:cs="Times New Roman"/>
          <w:lang w:eastAsia="de-DE"/>
        </w:rPr>
        <w:t xml:space="preserve"> </w:t>
      </w:r>
      <w:r w:rsidRPr="00FF7EC2">
        <w:rPr>
          <w:rFonts w:eastAsia="Times New Roman" w:cs="Times New Roman"/>
          <w:rtl/>
          <w:lang w:eastAsia="de-DE"/>
        </w:rPr>
        <w:t>וַיֹּ֤אמֶר מֹשֶׁה֙ אֶל־קֹ֔רַח אַתָּה֙ וְכָל־עֲדָ֣תְךָ֔ הֱי֖וּ לִפְנֵ֣י יְהוָ֑ה אַתָּ֥ה וָהֵ֛ם וְאַהֲרֹ֖ן מָחָֽר׃</w:t>
      </w:r>
    </w:p>
    <w:p w14:paraId="23255F8A"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Deutsch:</w:t>
      </w:r>
      <w:r w:rsidRPr="00FF7EC2">
        <w:rPr>
          <w:rFonts w:eastAsia="Times New Roman" w:cs="Times New Roman"/>
          <w:lang w:eastAsia="de-DE"/>
        </w:rPr>
        <w:t xml:space="preserve"> Und Mosche sprach zu Korach: Du und deine ganze Gemeinde, seid morgen vor dem Ewigen, du und sie und Aharon.</w:t>
      </w:r>
    </w:p>
    <w:p w14:paraId="6BCEF2D8"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769889D6">
          <v:rect id="_x0000_i1554" style="width:0;height:1.5pt" o:hralign="center" o:hrstd="t" o:hr="t" fillcolor="#a0a0a0" stroked="f"/>
        </w:pict>
      </w:r>
    </w:p>
    <w:p w14:paraId="7D472DC5"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Kommentar:</w:t>
      </w:r>
      <w:r w:rsidRPr="00FF7EC2">
        <w:rPr>
          <w:rFonts w:eastAsia="Times New Roman" w:cs="Times New Roman"/>
          <w:lang w:eastAsia="de-DE"/>
        </w:rPr>
        <w:t xml:space="preserve"> Das Verb </w:t>
      </w:r>
      <w:r w:rsidRPr="00FF7EC2">
        <w:rPr>
          <w:rFonts w:eastAsia="Times New Roman" w:cs="Times New Roman"/>
          <w:b/>
          <w:bCs/>
          <w:rtl/>
          <w:lang w:eastAsia="de-DE"/>
        </w:rPr>
        <w:t>וַיֹּאמֶר</w:t>
      </w:r>
      <w:r w:rsidRPr="00FF7EC2">
        <w:rPr>
          <w:rFonts w:eastAsia="Times New Roman" w:cs="Times New Roman"/>
          <w:rtl/>
          <w:lang w:eastAsia="de-DE"/>
        </w:rPr>
        <w:t xml:space="preserve"> </w:t>
      </w:r>
      <w:r w:rsidRPr="00FF7EC2">
        <w:rPr>
          <w:rFonts w:eastAsia="Times New Roman" w:cs="Times New Roman"/>
          <w:lang w:eastAsia="de-DE"/>
        </w:rPr>
        <w:t xml:space="preserve">(Wayyiqtol, 3. m. sg. von </w:t>
      </w:r>
      <w:r w:rsidRPr="00FF7EC2">
        <w:rPr>
          <w:rFonts w:eastAsia="Times New Roman" w:cs="Times New Roman"/>
          <w:b/>
          <w:bCs/>
          <w:rtl/>
          <w:lang w:eastAsia="de-DE"/>
        </w:rPr>
        <w:t>אמר</w:t>
      </w:r>
      <w:r w:rsidRPr="00FF7EC2">
        <w:rPr>
          <w:rFonts w:eastAsia="Times New Roman" w:cs="Times New Roman"/>
          <w:lang w:eastAsia="de-DE"/>
        </w:rPr>
        <w:t xml:space="preserve">) bedeutet „und er sprach". </w:t>
      </w:r>
      <w:r w:rsidRPr="00FF7EC2">
        <w:rPr>
          <w:rFonts w:eastAsia="Times New Roman" w:cs="Times New Roman"/>
          <w:b/>
          <w:bCs/>
          <w:rtl/>
          <w:lang w:eastAsia="de-DE"/>
        </w:rPr>
        <w:t>מֹשֶׁה</w:t>
      </w:r>
      <w:r w:rsidRPr="00FF7EC2">
        <w:rPr>
          <w:rFonts w:eastAsia="Times New Roman" w:cs="Times New Roman"/>
          <w:rtl/>
          <w:lang w:eastAsia="de-DE"/>
        </w:rPr>
        <w:t xml:space="preserve"> </w:t>
      </w:r>
      <w:r w:rsidRPr="00FF7EC2">
        <w:rPr>
          <w:rFonts w:eastAsia="Times New Roman" w:cs="Times New Roman"/>
          <w:lang w:eastAsia="de-DE"/>
        </w:rPr>
        <w:t xml:space="preserve">ist das explizite Subjekt. Die Präpositionalphrase </w:t>
      </w:r>
      <w:r w:rsidRPr="00FF7EC2">
        <w:rPr>
          <w:rFonts w:eastAsia="Times New Roman" w:cs="Times New Roman"/>
          <w:b/>
          <w:bCs/>
          <w:rtl/>
          <w:lang w:eastAsia="de-DE"/>
        </w:rPr>
        <w:t>אֶל־קֹרַח</w:t>
      </w:r>
      <w:r w:rsidRPr="00FF7EC2">
        <w:rPr>
          <w:rFonts w:eastAsia="Times New Roman" w:cs="Times New Roman"/>
          <w:rtl/>
          <w:lang w:eastAsia="de-DE"/>
        </w:rPr>
        <w:t xml:space="preserve"> </w:t>
      </w:r>
      <w:r w:rsidRPr="00FF7EC2">
        <w:rPr>
          <w:rFonts w:eastAsia="Times New Roman" w:cs="Times New Roman"/>
          <w:lang w:eastAsia="de-DE"/>
        </w:rPr>
        <w:t>gibt den Adressaten an: Mose wendet sich wieder direkt an Korach.</w:t>
      </w:r>
    </w:p>
    <w:p w14:paraId="2EB3CE96"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lastRenderedPageBreak/>
        <w:t xml:space="preserve">Das Subjekt </w:t>
      </w:r>
      <w:r w:rsidRPr="00FF7EC2">
        <w:rPr>
          <w:rFonts w:eastAsia="Times New Roman" w:cs="Times New Roman"/>
          <w:b/>
          <w:bCs/>
          <w:rtl/>
          <w:lang w:eastAsia="de-DE"/>
        </w:rPr>
        <w:t>אַתָּה</w:t>
      </w:r>
      <w:r w:rsidRPr="00FF7EC2">
        <w:rPr>
          <w:rFonts w:eastAsia="Times New Roman" w:cs="Times New Roman"/>
          <w:rtl/>
          <w:lang w:eastAsia="de-DE"/>
        </w:rPr>
        <w:t xml:space="preserve"> </w:t>
      </w:r>
      <w:r w:rsidRPr="00FF7EC2">
        <w:rPr>
          <w:rFonts w:eastAsia="Times New Roman" w:cs="Times New Roman"/>
          <w:lang w:eastAsia="de-DE"/>
        </w:rPr>
        <w:t xml:space="preserve">ist das Personalpronomen 2. m. sg. („du"). Die koordinierte Phrase </w:t>
      </w:r>
      <w:r w:rsidRPr="00FF7EC2">
        <w:rPr>
          <w:rFonts w:eastAsia="Times New Roman" w:cs="Times New Roman"/>
          <w:b/>
          <w:bCs/>
          <w:rtl/>
          <w:lang w:eastAsia="de-DE"/>
        </w:rPr>
        <w:t>וְכָל־עֲדָתְךָ</w:t>
      </w:r>
      <w:r w:rsidRPr="00FF7EC2">
        <w:rPr>
          <w:rFonts w:eastAsia="Times New Roman" w:cs="Times New Roman"/>
          <w:rtl/>
          <w:lang w:eastAsia="de-DE"/>
        </w:rPr>
        <w:t xml:space="preserve"> </w:t>
      </w:r>
      <w:r w:rsidRPr="00FF7EC2">
        <w:rPr>
          <w:rFonts w:eastAsia="Times New Roman" w:cs="Times New Roman"/>
          <w:lang w:eastAsia="de-DE"/>
        </w:rPr>
        <w:t xml:space="preserve">fügt hinzu: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 xml:space="preserve">ist die Konjunktion, </w:t>
      </w:r>
      <w:r w:rsidRPr="00FF7EC2">
        <w:rPr>
          <w:rFonts w:eastAsia="Times New Roman" w:cs="Times New Roman"/>
          <w:b/>
          <w:bCs/>
          <w:rtl/>
          <w:lang w:eastAsia="de-DE"/>
        </w:rPr>
        <w:t>כָּל־עֲדָתְךָ</w:t>
      </w:r>
      <w:r w:rsidRPr="00FF7EC2">
        <w:rPr>
          <w:rFonts w:eastAsia="Times New Roman" w:cs="Times New Roman"/>
          <w:rtl/>
          <w:lang w:eastAsia="de-DE"/>
        </w:rPr>
        <w:t xml:space="preserve"> </w:t>
      </w:r>
      <w:r w:rsidRPr="00FF7EC2">
        <w:rPr>
          <w:rFonts w:eastAsia="Times New Roman" w:cs="Times New Roman"/>
          <w:lang w:eastAsia="de-DE"/>
        </w:rPr>
        <w:t>ist „deine ganze Gemeinde" (</w:t>
      </w:r>
      <w:r w:rsidRPr="00FF7EC2">
        <w:rPr>
          <w:rFonts w:eastAsia="Times New Roman" w:cs="Times New Roman"/>
          <w:b/>
          <w:bCs/>
          <w:rtl/>
          <w:lang w:eastAsia="de-DE"/>
        </w:rPr>
        <w:t>כָּל</w:t>
      </w:r>
      <w:r w:rsidRPr="00FF7EC2">
        <w:rPr>
          <w:rFonts w:eastAsia="Times New Roman" w:cs="Times New Roman"/>
          <w:rtl/>
          <w:lang w:eastAsia="de-DE"/>
        </w:rPr>
        <w:t xml:space="preserve"> </w:t>
      </w:r>
      <w:r w:rsidRPr="00FF7EC2">
        <w:rPr>
          <w:rFonts w:eastAsia="Times New Roman" w:cs="Times New Roman"/>
          <w:lang w:eastAsia="de-DE"/>
        </w:rPr>
        <w:t xml:space="preserve">im Constructus, </w:t>
      </w:r>
      <w:r w:rsidRPr="00FF7EC2">
        <w:rPr>
          <w:rFonts w:eastAsia="Times New Roman" w:cs="Times New Roman"/>
          <w:b/>
          <w:bCs/>
          <w:rtl/>
          <w:lang w:eastAsia="de-DE"/>
        </w:rPr>
        <w:t>עֲדָתְךָ</w:t>
      </w:r>
      <w:r w:rsidRPr="00FF7EC2">
        <w:rPr>
          <w:rFonts w:eastAsia="Times New Roman" w:cs="Times New Roman"/>
          <w:rtl/>
          <w:lang w:eastAsia="de-DE"/>
        </w:rPr>
        <w:t xml:space="preserve"> </w:t>
      </w:r>
      <w:r w:rsidRPr="00FF7EC2">
        <w:rPr>
          <w:rFonts w:eastAsia="Times New Roman" w:cs="Times New Roman"/>
          <w:lang w:eastAsia="de-DE"/>
        </w:rPr>
        <w:t xml:space="preserve">ist </w:t>
      </w:r>
      <w:r w:rsidRPr="00FF7EC2">
        <w:rPr>
          <w:rFonts w:eastAsia="Times New Roman" w:cs="Times New Roman"/>
          <w:b/>
          <w:bCs/>
          <w:rtl/>
          <w:lang w:eastAsia="de-DE"/>
        </w:rPr>
        <w:t>עֵדָה</w:t>
      </w:r>
      <w:r w:rsidRPr="00FF7EC2">
        <w:rPr>
          <w:rFonts w:eastAsia="Times New Roman" w:cs="Times New Roman"/>
          <w:rtl/>
          <w:lang w:eastAsia="de-DE"/>
        </w:rPr>
        <w:t xml:space="preserve"> </w:t>
      </w:r>
      <w:r w:rsidRPr="00FF7EC2">
        <w:rPr>
          <w:rFonts w:eastAsia="Times New Roman" w:cs="Times New Roman"/>
          <w:lang w:eastAsia="de-DE"/>
        </w:rPr>
        <w:t>mit Possessivsuffix 2. m. sg.).</w:t>
      </w:r>
    </w:p>
    <w:p w14:paraId="4309193F"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Verb </w:t>
      </w:r>
      <w:r w:rsidRPr="00FF7EC2">
        <w:rPr>
          <w:rFonts w:eastAsia="Times New Roman" w:cs="Times New Roman"/>
          <w:b/>
          <w:bCs/>
          <w:rtl/>
          <w:lang w:eastAsia="de-DE"/>
        </w:rPr>
        <w:t>הֱיוּ</w:t>
      </w:r>
      <w:r w:rsidRPr="00FF7EC2">
        <w:rPr>
          <w:rFonts w:eastAsia="Times New Roman" w:cs="Times New Roman"/>
          <w:rtl/>
          <w:lang w:eastAsia="de-DE"/>
        </w:rPr>
        <w:t xml:space="preserve"> </w:t>
      </w:r>
      <w:r w:rsidRPr="00FF7EC2">
        <w:rPr>
          <w:rFonts w:eastAsia="Times New Roman" w:cs="Times New Roman"/>
          <w:lang w:eastAsia="de-DE"/>
        </w:rPr>
        <w:t xml:space="preserve">(Qal Imperativ, 2. m. pl. von </w:t>
      </w:r>
      <w:r w:rsidRPr="00FF7EC2">
        <w:rPr>
          <w:rFonts w:eastAsia="Times New Roman" w:cs="Times New Roman"/>
          <w:b/>
          <w:bCs/>
          <w:rtl/>
          <w:lang w:eastAsia="de-DE"/>
        </w:rPr>
        <w:t>היה</w:t>
      </w:r>
      <w:r w:rsidRPr="00FF7EC2">
        <w:rPr>
          <w:rFonts w:eastAsia="Times New Roman" w:cs="Times New Roman"/>
          <w:lang w:eastAsia="de-DE"/>
        </w:rPr>
        <w:t>) bedeutet „seid". Der Imperativ Plural bezieht sich auf Korach und seine Gemeinde zusammen.</w:t>
      </w:r>
    </w:p>
    <w:p w14:paraId="4F1A6E09"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Präpositionalphrase </w:t>
      </w:r>
      <w:r w:rsidRPr="00FF7EC2">
        <w:rPr>
          <w:rFonts w:eastAsia="Times New Roman" w:cs="Times New Roman"/>
          <w:b/>
          <w:bCs/>
          <w:rtl/>
          <w:lang w:eastAsia="de-DE"/>
        </w:rPr>
        <w:t>לִפְנֵי יְהוָה</w:t>
      </w:r>
      <w:r w:rsidRPr="00FF7EC2">
        <w:rPr>
          <w:rFonts w:eastAsia="Times New Roman" w:cs="Times New Roman"/>
          <w:rtl/>
          <w:lang w:eastAsia="de-DE"/>
        </w:rPr>
        <w:t xml:space="preserve"> </w:t>
      </w:r>
      <w:r w:rsidRPr="00FF7EC2">
        <w:rPr>
          <w:rFonts w:eastAsia="Times New Roman" w:cs="Times New Roman"/>
          <w:lang w:eastAsia="de-DE"/>
        </w:rPr>
        <w:t xml:space="preserve">gibt den Ort an: </w:t>
      </w:r>
      <w:r w:rsidRPr="00FF7EC2">
        <w:rPr>
          <w:rFonts w:eastAsia="Times New Roman" w:cs="Times New Roman"/>
          <w:b/>
          <w:bCs/>
          <w:rtl/>
          <w:lang w:eastAsia="de-DE"/>
        </w:rPr>
        <w:t>לִפְנֵי</w:t>
      </w:r>
      <w:r w:rsidRPr="00FF7EC2">
        <w:rPr>
          <w:rFonts w:eastAsia="Times New Roman" w:cs="Times New Roman"/>
          <w:rtl/>
          <w:lang w:eastAsia="de-DE"/>
        </w:rPr>
        <w:t xml:space="preserve"> </w:t>
      </w:r>
      <w:r w:rsidRPr="00FF7EC2">
        <w:rPr>
          <w:rFonts w:eastAsia="Times New Roman" w:cs="Times New Roman"/>
          <w:lang w:eastAsia="de-DE"/>
        </w:rPr>
        <w:t xml:space="preserve">bedeutet „vor, angesichts von", </w:t>
      </w:r>
      <w:r w:rsidRPr="00FF7EC2">
        <w:rPr>
          <w:rFonts w:eastAsia="Times New Roman" w:cs="Times New Roman"/>
          <w:b/>
          <w:bCs/>
          <w:rtl/>
          <w:lang w:eastAsia="de-DE"/>
        </w:rPr>
        <w:t>יְהוָה</w:t>
      </w:r>
      <w:r w:rsidRPr="00FF7EC2">
        <w:rPr>
          <w:rFonts w:eastAsia="Times New Roman" w:cs="Times New Roman"/>
          <w:rtl/>
          <w:lang w:eastAsia="de-DE"/>
        </w:rPr>
        <w:t xml:space="preserve"> </w:t>
      </w:r>
      <w:r w:rsidRPr="00FF7EC2">
        <w:rPr>
          <w:rFonts w:eastAsia="Times New Roman" w:cs="Times New Roman"/>
          <w:lang w:eastAsia="de-DE"/>
        </w:rPr>
        <w:t>ist das Tetragramm. Die Phrase „vor JHWH" bezeichnet die formelle Präsenz im Heiligtum.</w:t>
      </w:r>
    </w:p>
    <w:p w14:paraId="43FC3B8A"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Apposition </w:t>
      </w:r>
      <w:r w:rsidRPr="00FF7EC2">
        <w:rPr>
          <w:rFonts w:eastAsia="Times New Roman" w:cs="Times New Roman"/>
          <w:b/>
          <w:bCs/>
          <w:rtl/>
          <w:lang w:eastAsia="de-DE"/>
        </w:rPr>
        <w:t>אַתָּה וָהֵם וְאַהֲרֹן</w:t>
      </w:r>
      <w:r w:rsidRPr="00FF7EC2">
        <w:rPr>
          <w:rFonts w:eastAsia="Times New Roman" w:cs="Times New Roman"/>
          <w:rtl/>
          <w:lang w:eastAsia="de-DE"/>
        </w:rPr>
        <w:t xml:space="preserve"> </w:t>
      </w:r>
      <w:r w:rsidRPr="00FF7EC2">
        <w:rPr>
          <w:rFonts w:eastAsia="Times New Roman" w:cs="Times New Roman"/>
          <w:lang w:eastAsia="de-DE"/>
        </w:rPr>
        <w:t xml:space="preserve">spezifiziert die Teilnehmer nochmals einzeln: </w:t>
      </w:r>
      <w:r w:rsidRPr="00FF7EC2">
        <w:rPr>
          <w:rFonts w:eastAsia="Times New Roman" w:cs="Times New Roman"/>
          <w:b/>
          <w:bCs/>
          <w:rtl/>
          <w:lang w:eastAsia="de-DE"/>
        </w:rPr>
        <w:t>אַתָּה</w:t>
      </w:r>
      <w:r w:rsidRPr="00FF7EC2">
        <w:rPr>
          <w:rFonts w:eastAsia="Times New Roman" w:cs="Times New Roman"/>
          <w:rtl/>
          <w:lang w:eastAsia="de-DE"/>
        </w:rPr>
        <w:t xml:space="preserve"> </w:t>
      </w:r>
      <w:r w:rsidRPr="00FF7EC2">
        <w:rPr>
          <w:rFonts w:eastAsia="Times New Roman" w:cs="Times New Roman"/>
          <w:lang w:eastAsia="de-DE"/>
        </w:rPr>
        <w:t xml:space="preserve">(„du", Korach), koordiniert durch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 xml:space="preserve">mit </w:t>
      </w:r>
      <w:r w:rsidRPr="00FF7EC2">
        <w:rPr>
          <w:rFonts w:eastAsia="Times New Roman" w:cs="Times New Roman"/>
          <w:b/>
          <w:bCs/>
          <w:rtl/>
          <w:lang w:eastAsia="de-DE"/>
        </w:rPr>
        <w:t>הֵם</w:t>
      </w:r>
      <w:r w:rsidRPr="00FF7EC2">
        <w:rPr>
          <w:rFonts w:eastAsia="Times New Roman" w:cs="Times New Roman"/>
          <w:rtl/>
          <w:lang w:eastAsia="de-DE"/>
        </w:rPr>
        <w:t xml:space="preserve"> </w:t>
      </w:r>
      <w:r w:rsidRPr="00FF7EC2">
        <w:rPr>
          <w:rFonts w:eastAsia="Times New Roman" w:cs="Times New Roman"/>
          <w:lang w:eastAsia="de-DE"/>
        </w:rPr>
        <w:t xml:space="preserve">(„sie", die Gemeinde), koordiniert durch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 xml:space="preserve">mit </w:t>
      </w:r>
      <w:r w:rsidRPr="00FF7EC2">
        <w:rPr>
          <w:rFonts w:eastAsia="Times New Roman" w:cs="Times New Roman"/>
          <w:b/>
          <w:bCs/>
          <w:rtl/>
          <w:lang w:eastAsia="de-DE"/>
        </w:rPr>
        <w:t>אַהֲרֹן</w:t>
      </w:r>
      <w:r w:rsidRPr="00FF7EC2">
        <w:rPr>
          <w:rFonts w:eastAsia="Times New Roman" w:cs="Times New Roman"/>
          <w:rtl/>
          <w:lang w:eastAsia="de-DE"/>
        </w:rPr>
        <w:t xml:space="preserve"> </w:t>
      </w:r>
      <w:r w:rsidRPr="00FF7EC2">
        <w:rPr>
          <w:rFonts w:eastAsia="Times New Roman" w:cs="Times New Roman"/>
          <w:lang w:eastAsia="de-DE"/>
        </w:rPr>
        <w:t>(Aaron). Die dreifache Aufzählung unterstreicht, dass alle Parteien anwesend sein müssen.</w:t>
      </w:r>
    </w:p>
    <w:p w14:paraId="3E850908"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temporale Adverb </w:t>
      </w:r>
      <w:r w:rsidRPr="00FF7EC2">
        <w:rPr>
          <w:rFonts w:eastAsia="Times New Roman" w:cs="Times New Roman"/>
          <w:b/>
          <w:bCs/>
          <w:rtl/>
          <w:lang w:eastAsia="de-DE"/>
        </w:rPr>
        <w:t>מָחָר</w:t>
      </w:r>
      <w:r w:rsidRPr="00FF7EC2">
        <w:rPr>
          <w:rFonts w:eastAsia="Times New Roman" w:cs="Times New Roman"/>
          <w:rtl/>
          <w:lang w:eastAsia="de-DE"/>
        </w:rPr>
        <w:t xml:space="preserve"> </w:t>
      </w:r>
      <w:r w:rsidRPr="00FF7EC2">
        <w:rPr>
          <w:rFonts w:eastAsia="Times New Roman" w:cs="Times New Roman"/>
          <w:lang w:eastAsia="de-DE"/>
        </w:rPr>
        <w:t>(„morgen") gibt den Zeitpunkt an und wiederholt die Zeitangabe aus den Versen 5 und 7.</w:t>
      </w:r>
    </w:p>
    <w:p w14:paraId="10B840F7" w14:textId="251E2FB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Die LXX</w:t>
      </w:r>
      <w:r w:rsidRPr="00FF7EC2">
        <w:rPr>
          <w:rFonts w:eastAsia="Times New Roman" w:cs="Times New Roman"/>
          <w:lang w:eastAsia="de-DE"/>
        </w:rPr>
        <w:t xml:space="preserve"> </w:t>
      </w:r>
      <w:r w:rsidR="000039C6">
        <w:t>fügt „Ἁγίασον τὴν συναγωγήν σου" (heilige deine Versammlung) hinzu, was im hebräischen Text nicht erscheint.</w:t>
      </w:r>
    </w:p>
    <w:p w14:paraId="07A0FB08"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einen Hauptsatz mit Verb, Subjekt und Präpositionalphrase. Die direkte Rede ist ein imperativer Hauptsatz mit doppeltem Subjekt (koordiniert), Imperativ und Präpositionalphrase, gefolgt von einer appositiven Wiederaufnahme der Subjekte und temporalem Adverb. Es gibt keine Nebensätze.</w:t>
      </w:r>
    </w:p>
    <w:p w14:paraId="45CB1755"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setzt den endgültigen Termin für die göttliche Probe fest: Alle Beteiligten sollen am nächsten Tag vor JHWH erscheinen.</w:t>
      </w:r>
    </w:p>
    <w:p w14:paraId="1B4ADEEA"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16,17</w:t>
      </w:r>
    </w:p>
    <w:p w14:paraId="225671FB"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Hebräisch:</w:t>
      </w:r>
      <w:r w:rsidRPr="00FF7EC2">
        <w:rPr>
          <w:rFonts w:eastAsia="Times New Roman" w:cs="Times New Roman"/>
          <w:lang w:eastAsia="de-DE"/>
        </w:rPr>
        <w:t xml:space="preserve"> </w:t>
      </w:r>
      <w:r w:rsidRPr="00FF7EC2">
        <w:rPr>
          <w:rFonts w:eastAsia="Times New Roman" w:cs="Times New Roman"/>
          <w:rtl/>
          <w:lang w:eastAsia="de-DE"/>
        </w:rPr>
        <w:t>וּקְח֣וּ׀ אִ֣ישׁ מַחְתָּתוֹ֗ וּנְתַתֶּ֤ם עֲלֵיהֶם֙ קְטֹ֔רֶת וְהִקְרַבְתֶּ֞ם לִפְנֵ֤י יְהוָה֙ אִ֣ישׁ מַחְתָּתוֹ֔ חֲמִשִּׁ֥ים וּמָאתַ֖יִם מַחְתֹּ֑ת וְאַתָּ֥ה וְאַהֲרֹ֖ן אִ֥ישׁ מַחְתָּתוֹֽ׃</w:t>
      </w:r>
    </w:p>
    <w:p w14:paraId="695F5BC9"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Deutsch:</w:t>
      </w:r>
      <w:r w:rsidRPr="00FF7EC2">
        <w:rPr>
          <w:rFonts w:eastAsia="Times New Roman" w:cs="Times New Roman"/>
          <w:lang w:eastAsia="de-DE"/>
        </w:rPr>
        <w:t xml:space="preserve"> Und nehmt ein jeder seine Räucherpfanne und legt Räucherwerk darauf, und bringt ein jeder seine Räucherpfanne dar vor dem Ewigen, 250 Räucherpfannen; und du und Aharon, ein jeder seine Räucherpfanne.</w:t>
      </w:r>
    </w:p>
    <w:p w14:paraId="0A51114E"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54ECBD78">
          <v:rect id="_x0000_i1555" style="width:0;height:1.5pt" o:hralign="center" o:hrstd="t" o:hr="t" fillcolor="#a0a0a0" stroked="f"/>
        </w:pict>
      </w:r>
    </w:p>
    <w:p w14:paraId="6311844C"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Kommentar:</w:t>
      </w:r>
      <w:r w:rsidRPr="00FF7EC2">
        <w:rPr>
          <w:rFonts w:eastAsia="Times New Roman" w:cs="Times New Roman"/>
          <w:lang w:eastAsia="de-DE"/>
        </w:rPr>
        <w:t xml:space="preserve"> Das Verb </w:t>
      </w:r>
      <w:r w:rsidRPr="00FF7EC2">
        <w:rPr>
          <w:rFonts w:eastAsia="Times New Roman" w:cs="Times New Roman"/>
          <w:b/>
          <w:bCs/>
          <w:rtl/>
          <w:lang w:eastAsia="de-DE"/>
        </w:rPr>
        <w:t>וּקְחוּ</w:t>
      </w:r>
      <w:r w:rsidRPr="00FF7EC2">
        <w:rPr>
          <w:rFonts w:eastAsia="Times New Roman" w:cs="Times New Roman"/>
          <w:rtl/>
          <w:lang w:eastAsia="de-DE"/>
        </w:rPr>
        <w:t xml:space="preserve"> </w:t>
      </w:r>
      <w:r w:rsidRPr="00FF7EC2">
        <w:rPr>
          <w:rFonts w:eastAsia="Times New Roman" w:cs="Times New Roman"/>
          <w:lang w:eastAsia="de-DE"/>
        </w:rPr>
        <w:t xml:space="preserve">(Waw + Qal Imperativ, 2. m. pl. von </w:t>
      </w:r>
      <w:r w:rsidRPr="00FF7EC2">
        <w:rPr>
          <w:rFonts w:eastAsia="Times New Roman" w:cs="Times New Roman"/>
          <w:b/>
          <w:bCs/>
          <w:rtl/>
          <w:lang w:eastAsia="de-DE"/>
        </w:rPr>
        <w:t>לקח</w:t>
      </w:r>
      <w:r w:rsidRPr="00FF7EC2">
        <w:rPr>
          <w:rFonts w:eastAsia="Times New Roman" w:cs="Times New Roman"/>
          <w:lang w:eastAsia="de-DE"/>
        </w:rPr>
        <w:t xml:space="preserve">) bedeutet „und nehmt". Die Konjunktion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setzt die Anweisungen fort.</w:t>
      </w:r>
    </w:p>
    <w:p w14:paraId="320D42D5" w14:textId="62724BC2"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Subjekt </w:t>
      </w:r>
      <w:r w:rsidRPr="00FF7EC2">
        <w:rPr>
          <w:rFonts w:eastAsia="Times New Roman" w:cs="Times New Roman"/>
          <w:b/>
          <w:bCs/>
          <w:rtl/>
          <w:lang w:eastAsia="de-DE"/>
        </w:rPr>
        <w:t>אִישׁ</w:t>
      </w:r>
      <w:r w:rsidRPr="00FF7EC2">
        <w:rPr>
          <w:rFonts w:eastAsia="Times New Roman" w:cs="Times New Roman"/>
          <w:rtl/>
          <w:lang w:eastAsia="de-DE"/>
        </w:rPr>
        <w:t xml:space="preserve"> </w:t>
      </w:r>
      <w:r w:rsidRPr="00FF7EC2">
        <w:rPr>
          <w:rFonts w:eastAsia="Times New Roman" w:cs="Times New Roman"/>
          <w:lang w:eastAsia="de-DE"/>
        </w:rPr>
        <w:t xml:space="preserve">(„Mann, jeder") steht distributiv: „ein jeder". </w:t>
      </w:r>
      <w:r w:rsidRPr="00FF7EC2">
        <w:rPr>
          <w:rFonts w:eastAsia="Times New Roman" w:cs="Times New Roman"/>
          <w:b/>
          <w:bCs/>
          <w:rtl/>
          <w:lang w:eastAsia="de-DE"/>
        </w:rPr>
        <w:t>מַחְתָּתוֹ</w:t>
      </w:r>
      <w:r w:rsidRPr="00FF7EC2">
        <w:rPr>
          <w:rFonts w:eastAsia="Times New Roman" w:cs="Times New Roman"/>
          <w:rtl/>
          <w:lang w:eastAsia="de-DE"/>
        </w:rPr>
        <w:t xml:space="preserve"> </w:t>
      </w:r>
      <w:r w:rsidRPr="00FF7EC2">
        <w:rPr>
          <w:rFonts w:eastAsia="Times New Roman" w:cs="Times New Roman"/>
          <w:lang w:eastAsia="de-DE"/>
        </w:rPr>
        <w:t>ist „seine Räucherpfanne" (</w:t>
      </w:r>
      <w:r w:rsidRPr="00FF7EC2">
        <w:rPr>
          <w:rFonts w:eastAsia="Times New Roman" w:cs="Times New Roman"/>
          <w:b/>
          <w:bCs/>
          <w:rtl/>
          <w:lang w:eastAsia="de-DE"/>
        </w:rPr>
        <w:t>מַחְתָּה</w:t>
      </w:r>
      <w:r w:rsidRPr="00FF7EC2">
        <w:rPr>
          <w:rFonts w:eastAsia="Times New Roman" w:cs="Times New Roman"/>
          <w:rtl/>
          <w:lang w:eastAsia="de-DE"/>
        </w:rPr>
        <w:t xml:space="preserve"> </w:t>
      </w:r>
      <w:r w:rsidRPr="00FF7EC2">
        <w:rPr>
          <w:rFonts w:eastAsia="Times New Roman" w:cs="Times New Roman"/>
          <w:lang w:eastAsia="de-DE"/>
        </w:rPr>
        <w:t xml:space="preserve">mit Possessivsuffix 3. m. sg.). Die </w:t>
      </w:r>
      <w:r w:rsidR="00F133EC">
        <w:rPr>
          <w:rFonts w:eastAsia="Times New Roman" w:cs="Times New Roman"/>
          <w:lang w:eastAsia="de-DE"/>
        </w:rPr>
        <w:t>Construct</w:t>
      </w:r>
      <w:r w:rsidRPr="00FF7EC2">
        <w:rPr>
          <w:rFonts w:eastAsia="Times New Roman" w:cs="Times New Roman"/>
          <w:lang w:eastAsia="de-DE"/>
        </w:rPr>
        <w:t xml:space="preserve">ion </w:t>
      </w:r>
      <w:r w:rsidRPr="00FF7EC2">
        <w:rPr>
          <w:rFonts w:eastAsia="Times New Roman" w:cs="Times New Roman"/>
          <w:b/>
          <w:bCs/>
          <w:rtl/>
          <w:lang w:eastAsia="de-DE"/>
        </w:rPr>
        <w:t>אִישׁ מַחְתָּתוֹ</w:t>
      </w:r>
      <w:r w:rsidRPr="00FF7EC2">
        <w:rPr>
          <w:rFonts w:eastAsia="Times New Roman" w:cs="Times New Roman"/>
          <w:rtl/>
          <w:lang w:eastAsia="de-DE"/>
        </w:rPr>
        <w:t xml:space="preserve"> </w:t>
      </w:r>
      <w:r w:rsidRPr="00FF7EC2">
        <w:rPr>
          <w:rFonts w:eastAsia="Times New Roman" w:cs="Times New Roman"/>
          <w:lang w:eastAsia="de-DE"/>
        </w:rPr>
        <w:t>bedeutet „jeder seine Räucherpfanne" und betont die individuelle Verantwortung.</w:t>
      </w:r>
    </w:p>
    <w:p w14:paraId="41C9BC72"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koordinierte Verb </w:t>
      </w:r>
      <w:r w:rsidRPr="00FF7EC2">
        <w:rPr>
          <w:rFonts w:eastAsia="Times New Roman" w:cs="Times New Roman"/>
          <w:b/>
          <w:bCs/>
          <w:rtl/>
          <w:lang w:eastAsia="de-DE"/>
        </w:rPr>
        <w:t>וּנְתַתֶּם</w:t>
      </w:r>
      <w:r w:rsidRPr="00FF7EC2">
        <w:rPr>
          <w:rFonts w:eastAsia="Times New Roman" w:cs="Times New Roman"/>
          <w:rtl/>
          <w:lang w:eastAsia="de-DE"/>
        </w:rPr>
        <w:t xml:space="preserve"> </w:t>
      </w:r>
      <w:r w:rsidRPr="00FF7EC2">
        <w:rPr>
          <w:rFonts w:eastAsia="Times New Roman" w:cs="Times New Roman"/>
          <w:lang w:eastAsia="de-DE"/>
        </w:rPr>
        <w:t xml:space="preserve">(Waw + Qal Perfekt, 2. m. pl. von </w:t>
      </w:r>
      <w:r w:rsidRPr="00FF7EC2">
        <w:rPr>
          <w:rFonts w:eastAsia="Times New Roman" w:cs="Times New Roman"/>
          <w:b/>
          <w:bCs/>
          <w:rtl/>
          <w:lang w:eastAsia="de-DE"/>
        </w:rPr>
        <w:t>נתן</w:t>
      </w:r>
      <w:r w:rsidRPr="00FF7EC2">
        <w:rPr>
          <w:rFonts w:eastAsia="Times New Roman" w:cs="Times New Roman"/>
          <w:lang w:eastAsia="de-DE"/>
        </w:rPr>
        <w:t xml:space="preserve">) bedeutet „und ihr sollt legen, gebt". Das Weqatal drückt hier imperativen Charakter aus (konsekutive Aufforderung). </w:t>
      </w:r>
      <w:r w:rsidRPr="00FF7EC2">
        <w:rPr>
          <w:rFonts w:eastAsia="Times New Roman" w:cs="Times New Roman"/>
          <w:b/>
          <w:bCs/>
          <w:rtl/>
          <w:lang w:eastAsia="de-DE"/>
        </w:rPr>
        <w:lastRenderedPageBreak/>
        <w:t>עֲלֵיהֶם</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w:t>
      </w:r>
      <w:r w:rsidRPr="00FF7EC2">
        <w:rPr>
          <w:rFonts w:eastAsia="Times New Roman" w:cs="Times New Roman"/>
          <w:b/>
          <w:bCs/>
          <w:rtl/>
          <w:lang w:eastAsia="de-DE"/>
        </w:rPr>
        <w:t>עַל</w:t>
      </w:r>
      <w:r w:rsidRPr="00FF7EC2">
        <w:rPr>
          <w:rFonts w:eastAsia="Times New Roman" w:cs="Times New Roman"/>
          <w:rtl/>
          <w:lang w:eastAsia="de-DE"/>
        </w:rPr>
        <w:t xml:space="preserve"> </w:t>
      </w:r>
      <w:r w:rsidRPr="00FF7EC2">
        <w:rPr>
          <w:rFonts w:eastAsia="Times New Roman" w:cs="Times New Roman"/>
          <w:lang w:eastAsia="de-DE"/>
        </w:rPr>
        <w:t>(„auf") mit Suffix 3. m. pl. („auf sie"), das sich auf die Räucherpfannen bezieht.</w:t>
      </w:r>
    </w:p>
    <w:p w14:paraId="734F3DCC"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Objekt </w:t>
      </w:r>
      <w:r w:rsidRPr="00FF7EC2">
        <w:rPr>
          <w:rFonts w:eastAsia="Times New Roman" w:cs="Times New Roman"/>
          <w:b/>
          <w:bCs/>
          <w:rtl/>
          <w:lang w:eastAsia="de-DE"/>
        </w:rPr>
        <w:t>קְטֹרֶת</w:t>
      </w:r>
      <w:r w:rsidRPr="00FF7EC2">
        <w:rPr>
          <w:rFonts w:eastAsia="Times New Roman" w:cs="Times New Roman"/>
          <w:rtl/>
          <w:lang w:eastAsia="de-DE"/>
        </w:rPr>
        <w:t xml:space="preserve"> </w:t>
      </w:r>
      <w:r w:rsidRPr="00FF7EC2">
        <w:rPr>
          <w:rFonts w:eastAsia="Times New Roman" w:cs="Times New Roman"/>
          <w:lang w:eastAsia="de-DE"/>
        </w:rPr>
        <w:t>(„Räucherwerk") ist bereits aus Vers 7 bekannt.</w:t>
      </w:r>
    </w:p>
    <w:p w14:paraId="4202B9E3"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koordinierte Verb </w:t>
      </w:r>
      <w:r w:rsidRPr="00FF7EC2">
        <w:rPr>
          <w:rFonts w:eastAsia="Times New Roman" w:cs="Times New Roman"/>
          <w:b/>
          <w:bCs/>
          <w:rtl/>
          <w:lang w:eastAsia="de-DE"/>
        </w:rPr>
        <w:t>וְהִקְרַבְתֶּם</w:t>
      </w:r>
      <w:r w:rsidRPr="00FF7EC2">
        <w:rPr>
          <w:rFonts w:eastAsia="Times New Roman" w:cs="Times New Roman"/>
          <w:rtl/>
          <w:lang w:eastAsia="de-DE"/>
        </w:rPr>
        <w:t xml:space="preserve"> </w:t>
      </w:r>
      <w:r w:rsidRPr="00FF7EC2">
        <w:rPr>
          <w:rFonts w:eastAsia="Times New Roman" w:cs="Times New Roman"/>
          <w:lang w:eastAsia="de-DE"/>
        </w:rPr>
        <w:t xml:space="preserve">(Waw + Hifil Perfekt, 2. m. pl. von </w:t>
      </w:r>
      <w:r w:rsidRPr="00FF7EC2">
        <w:rPr>
          <w:rFonts w:eastAsia="Times New Roman" w:cs="Times New Roman"/>
          <w:b/>
          <w:bCs/>
          <w:rtl/>
          <w:lang w:eastAsia="de-DE"/>
        </w:rPr>
        <w:t>קרב</w:t>
      </w:r>
      <w:r w:rsidRPr="00FF7EC2">
        <w:rPr>
          <w:rFonts w:eastAsia="Times New Roman" w:cs="Times New Roman"/>
          <w:lang w:eastAsia="de-DE"/>
        </w:rPr>
        <w:t>) bedeutet „und ihr sollt darbringen, nahen lassen". Die Hifil-Form ist kausativ: „veranlassen, dass etwas naht", hier im kultischen Sinne „opfern, darbringen". Das Weqatal hat wieder imperativen Charakter.</w:t>
      </w:r>
    </w:p>
    <w:p w14:paraId="7DA22030"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Präpositionalphrase </w:t>
      </w:r>
      <w:r w:rsidRPr="00FF7EC2">
        <w:rPr>
          <w:rFonts w:eastAsia="Times New Roman" w:cs="Times New Roman"/>
          <w:b/>
          <w:bCs/>
          <w:rtl/>
          <w:lang w:eastAsia="de-DE"/>
        </w:rPr>
        <w:t>לִפְנֵי יְהוָה</w:t>
      </w:r>
      <w:r w:rsidRPr="00FF7EC2">
        <w:rPr>
          <w:rFonts w:eastAsia="Times New Roman" w:cs="Times New Roman"/>
          <w:rtl/>
          <w:lang w:eastAsia="de-DE"/>
        </w:rPr>
        <w:t xml:space="preserve"> </w:t>
      </w:r>
      <w:r w:rsidRPr="00FF7EC2">
        <w:rPr>
          <w:rFonts w:eastAsia="Times New Roman" w:cs="Times New Roman"/>
          <w:lang w:eastAsia="de-DE"/>
        </w:rPr>
        <w:t>(„vor JHWH") gibt den Ort der Darbringung an.</w:t>
      </w:r>
    </w:p>
    <w:p w14:paraId="4FB9D2C3" w14:textId="5594274B"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Phrase </w:t>
      </w:r>
      <w:r w:rsidRPr="00FF7EC2">
        <w:rPr>
          <w:rFonts w:eastAsia="Times New Roman" w:cs="Times New Roman"/>
          <w:b/>
          <w:bCs/>
          <w:rtl/>
          <w:lang w:eastAsia="de-DE"/>
        </w:rPr>
        <w:t>אִישׁ מַחְתָּתוֹ</w:t>
      </w:r>
      <w:r w:rsidRPr="00FF7EC2">
        <w:rPr>
          <w:rFonts w:eastAsia="Times New Roman" w:cs="Times New Roman"/>
          <w:rtl/>
          <w:lang w:eastAsia="de-DE"/>
        </w:rPr>
        <w:t xml:space="preserve"> </w:t>
      </w:r>
      <w:r w:rsidRPr="00FF7EC2">
        <w:rPr>
          <w:rFonts w:eastAsia="Times New Roman" w:cs="Times New Roman"/>
          <w:lang w:eastAsia="de-DE"/>
        </w:rPr>
        <w:t xml:space="preserve">wiederholt die distributive </w:t>
      </w:r>
      <w:r w:rsidR="00F133EC">
        <w:rPr>
          <w:rFonts w:eastAsia="Times New Roman" w:cs="Times New Roman"/>
          <w:lang w:eastAsia="de-DE"/>
        </w:rPr>
        <w:t>Construct</w:t>
      </w:r>
      <w:r w:rsidRPr="00FF7EC2">
        <w:rPr>
          <w:rFonts w:eastAsia="Times New Roman" w:cs="Times New Roman"/>
          <w:lang w:eastAsia="de-DE"/>
        </w:rPr>
        <w:t>ion: „jeder seine Räucherpfanne".</w:t>
      </w:r>
    </w:p>
    <w:p w14:paraId="26D77076"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Zahlenangabe </w:t>
      </w:r>
      <w:r w:rsidRPr="00FF7EC2">
        <w:rPr>
          <w:rFonts w:eastAsia="Times New Roman" w:cs="Times New Roman"/>
          <w:b/>
          <w:bCs/>
          <w:rtl/>
          <w:lang w:eastAsia="de-DE"/>
        </w:rPr>
        <w:t>חֲמִשִּׁים וּמָאתַיִם מַחְתֹּת</w:t>
      </w:r>
      <w:r w:rsidRPr="00FF7EC2">
        <w:rPr>
          <w:rFonts w:eastAsia="Times New Roman" w:cs="Times New Roman"/>
          <w:rtl/>
          <w:lang w:eastAsia="de-DE"/>
        </w:rPr>
        <w:t xml:space="preserve"> </w:t>
      </w:r>
      <w:r w:rsidRPr="00FF7EC2">
        <w:rPr>
          <w:rFonts w:eastAsia="Times New Roman" w:cs="Times New Roman"/>
          <w:lang w:eastAsia="de-DE"/>
        </w:rPr>
        <w:t xml:space="preserve">präzisiert die Gesamtzahl: </w:t>
      </w:r>
      <w:r w:rsidRPr="00FF7EC2">
        <w:rPr>
          <w:rFonts w:eastAsia="Times New Roman" w:cs="Times New Roman"/>
          <w:b/>
          <w:bCs/>
          <w:rtl/>
          <w:lang w:eastAsia="de-DE"/>
        </w:rPr>
        <w:t>חֲמִשִּׁים</w:t>
      </w:r>
      <w:r w:rsidRPr="00FF7EC2">
        <w:rPr>
          <w:rFonts w:eastAsia="Times New Roman" w:cs="Times New Roman"/>
          <w:rtl/>
          <w:lang w:eastAsia="de-DE"/>
        </w:rPr>
        <w:t xml:space="preserve"> </w:t>
      </w:r>
      <w:r w:rsidRPr="00FF7EC2">
        <w:rPr>
          <w:rFonts w:eastAsia="Times New Roman" w:cs="Times New Roman"/>
          <w:lang w:eastAsia="de-DE"/>
        </w:rPr>
        <w:t xml:space="preserve">(„fünfzig"), koordiniert durch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 xml:space="preserve">mit </w:t>
      </w:r>
      <w:r w:rsidRPr="00FF7EC2">
        <w:rPr>
          <w:rFonts w:eastAsia="Times New Roman" w:cs="Times New Roman"/>
          <w:b/>
          <w:bCs/>
          <w:rtl/>
          <w:lang w:eastAsia="de-DE"/>
        </w:rPr>
        <w:t>מָאתַיִם</w:t>
      </w:r>
      <w:r w:rsidRPr="00FF7EC2">
        <w:rPr>
          <w:rFonts w:eastAsia="Times New Roman" w:cs="Times New Roman"/>
          <w:rtl/>
          <w:lang w:eastAsia="de-DE"/>
        </w:rPr>
        <w:t xml:space="preserve"> </w:t>
      </w:r>
      <w:r w:rsidRPr="00FF7EC2">
        <w:rPr>
          <w:rFonts w:eastAsia="Times New Roman" w:cs="Times New Roman"/>
          <w:lang w:eastAsia="de-DE"/>
        </w:rPr>
        <w:t xml:space="preserve">(„zweihundert"), zusammen „zweihundertfünfzig". </w:t>
      </w:r>
      <w:r w:rsidRPr="00FF7EC2">
        <w:rPr>
          <w:rFonts w:eastAsia="Times New Roman" w:cs="Times New Roman"/>
          <w:b/>
          <w:bCs/>
          <w:rtl/>
          <w:lang w:eastAsia="de-DE"/>
        </w:rPr>
        <w:t>מַחְתֹּת</w:t>
      </w:r>
      <w:r w:rsidRPr="00FF7EC2">
        <w:rPr>
          <w:rFonts w:eastAsia="Times New Roman" w:cs="Times New Roman"/>
          <w:rtl/>
          <w:lang w:eastAsia="de-DE"/>
        </w:rPr>
        <w:t xml:space="preserve"> </w:t>
      </w:r>
      <w:r w:rsidRPr="00FF7EC2">
        <w:rPr>
          <w:rFonts w:eastAsia="Times New Roman" w:cs="Times New Roman"/>
          <w:lang w:eastAsia="de-DE"/>
        </w:rPr>
        <w:t xml:space="preserve">ist der Plural von </w:t>
      </w:r>
      <w:r w:rsidRPr="00FF7EC2">
        <w:rPr>
          <w:rFonts w:eastAsia="Times New Roman" w:cs="Times New Roman"/>
          <w:b/>
          <w:bCs/>
          <w:rtl/>
          <w:lang w:eastAsia="de-DE"/>
        </w:rPr>
        <w:t>מַחְתָּה</w:t>
      </w:r>
      <w:r w:rsidRPr="00FF7EC2">
        <w:rPr>
          <w:rFonts w:eastAsia="Times New Roman" w:cs="Times New Roman"/>
          <w:rtl/>
          <w:lang w:eastAsia="de-DE"/>
        </w:rPr>
        <w:t xml:space="preserve"> </w:t>
      </w:r>
      <w:r w:rsidRPr="00FF7EC2">
        <w:rPr>
          <w:rFonts w:eastAsia="Times New Roman" w:cs="Times New Roman"/>
          <w:lang w:eastAsia="de-DE"/>
        </w:rPr>
        <w:t>(„Räucherpfannen"). Diese Zahl entspricht den 250 Männern aus Vers 2.</w:t>
      </w:r>
    </w:p>
    <w:p w14:paraId="32022EBE"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abschließende Phrase </w:t>
      </w:r>
      <w:r w:rsidRPr="00FF7EC2">
        <w:rPr>
          <w:rFonts w:eastAsia="Times New Roman" w:cs="Times New Roman"/>
          <w:b/>
          <w:bCs/>
          <w:rtl/>
          <w:lang w:eastAsia="de-DE"/>
        </w:rPr>
        <w:t>וְאַתָּה וְאַהֲרֹן אִישׁ מַחְתָּתוֹ</w:t>
      </w:r>
      <w:r w:rsidRPr="00FF7EC2">
        <w:rPr>
          <w:rFonts w:eastAsia="Times New Roman" w:cs="Times New Roman"/>
          <w:rtl/>
          <w:lang w:eastAsia="de-DE"/>
        </w:rPr>
        <w:t xml:space="preserve"> </w:t>
      </w:r>
      <w:r w:rsidRPr="00FF7EC2">
        <w:rPr>
          <w:rFonts w:eastAsia="Times New Roman" w:cs="Times New Roman"/>
          <w:lang w:eastAsia="de-DE"/>
        </w:rPr>
        <w:t xml:space="preserve">spezifiziert Mose und Aaron als zusätzliche Teilnehmer: </w:t>
      </w:r>
      <w:r w:rsidRPr="00FF7EC2">
        <w:rPr>
          <w:rFonts w:eastAsia="Times New Roman" w:cs="Times New Roman"/>
          <w:b/>
          <w:bCs/>
          <w:rtl/>
          <w:lang w:eastAsia="de-DE"/>
        </w:rPr>
        <w:t>וְאַתָּה</w:t>
      </w:r>
      <w:r w:rsidRPr="00FF7EC2">
        <w:rPr>
          <w:rFonts w:eastAsia="Times New Roman" w:cs="Times New Roman"/>
          <w:rtl/>
          <w:lang w:eastAsia="de-DE"/>
        </w:rPr>
        <w:t xml:space="preserve"> </w:t>
      </w:r>
      <w:r w:rsidRPr="00FF7EC2">
        <w:rPr>
          <w:rFonts w:eastAsia="Times New Roman" w:cs="Times New Roman"/>
          <w:lang w:eastAsia="de-DE"/>
        </w:rPr>
        <w:t xml:space="preserve">(„und du", Mose), koordiniert durch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 xml:space="preserve">mit </w:t>
      </w:r>
      <w:r w:rsidRPr="00FF7EC2">
        <w:rPr>
          <w:rFonts w:eastAsia="Times New Roman" w:cs="Times New Roman"/>
          <w:b/>
          <w:bCs/>
          <w:rtl/>
          <w:lang w:eastAsia="de-DE"/>
        </w:rPr>
        <w:t>אַהֲרֹן</w:t>
      </w:r>
      <w:r w:rsidRPr="00FF7EC2">
        <w:rPr>
          <w:rFonts w:eastAsia="Times New Roman" w:cs="Times New Roman"/>
          <w:rtl/>
          <w:lang w:eastAsia="de-DE"/>
        </w:rPr>
        <w:t xml:space="preserve"> </w:t>
      </w:r>
      <w:r w:rsidRPr="00FF7EC2">
        <w:rPr>
          <w:rFonts w:eastAsia="Times New Roman" w:cs="Times New Roman"/>
          <w:lang w:eastAsia="de-DE"/>
        </w:rPr>
        <w:t xml:space="preserve">(Aaron), gefolgt von der distributiven Formel </w:t>
      </w:r>
      <w:r w:rsidRPr="00FF7EC2">
        <w:rPr>
          <w:rFonts w:eastAsia="Times New Roman" w:cs="Times New Roman"/>
          <w:b/>
          <w:bCs/>
          <w:rtl/>
          <w:lang w:eastAsia="de-DE"/>
        </w:rPr>
        <w:t>אִישׁ מַחְתָּתוֹ</w:t>
      </w:r>
      <w:r w:rsidRPr="00FF7EC2">
        <w:rPr>
          <w:rFonts w:eastAsia="Times New Roman" w:cs="Times New Roman"/>
          <w:rtl/>
          <w:lang w:eastAsia="de-DE"/>
        </w:rPr>
        <w:t xml:space="preserve"> </w:t>
      </w:r>
      <w:r w:rsidRPr="00FF7EC2">
        <w:rPr>
          <w:rFonts w:eastAsia="Times New Roman" w:cs="Times New Roman"/>
          <w:lang w:eastAsia="de-DE"/>
        </w:rPr>
        <w:t>(„jeder seine Räucherpfanne"). Dies bedeutet, dass insgesamt 252 Räucherpfannen dargebracht werden sollen.</w:t>
      </w:r>
    </w:p>
    <w:p w14:paraId="18C7FAA1" w14:textId="30C0BD44"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Die LXX</w:t>
      </w:r>
      <w:r w:rsidRPr="00FF7EC2">
        <w:rPr>
          <w:rFonts w:eastAsia="Times New Roman" w:cs="Times New Roman"/>
          <w:lang w:eastAsia="de-DE"/>
        </w:rPr>
        <w:t xml:space="preserve"> übersetzt </w:t>
      </w:r>
      <w:r w:rsidRPr="00FF7EC2">
        <w:rPr>
          <w:rFonts w:eastAsia="Times New Roman" w:cs="Times New Roman"/>
          <w:b/>
          <w:bCs/>
          <w:rtl/>
          <w:lang w:eastAsia="de-DE"/>
        </w:rPr>
        <w:t>וּקְחוּ אִישׁ מַחְתָּתוֹ</w:t>
      </w:r>
      <w:r w:rsidRPr="00FF7EC2">
        <w:rPr>
          <w:rFonts w:eastAsia="Times New Roman" w:cs="Times New Roman"/>
          <w:rtl/>
          <w:lang w:eastAsia="de-DE"/>
        </w:rPr>
        <w:t xml:space="preserve"> </w:t>
      </w:r>
      <w:r w:rsidRPr="00FF7EC2">
        <w:rPr>
          <w:rFonts w:eastAsia="Times New Roman" w:cs="Times New Roman"/>
          <w:lang w:eastAsia="de-DE"/>
        </w:rPr>
        <w:t xml:space="preserve">mit καὶ λάβετε ἕκαστος τὸ πυρεῖον αὐτοῦ („und nehmt, jeder sein Feuerbecken"). </w:t>
      </w:r>
      <w:r w:rsidRPr="00FF7EC2">
        <w:rPr>
          <w:rFonts w:eastAsia="Times New Roman" w:cs="Times New Roman"/>
          <w:b/>
          <w:bCs/>
          <w:rtl/>
          <w:lang w:eastAsia="de-DE"/>
        </w:rPr>
        <w:t>וּנְתַתֶּם עֲלֵיהֶם קְטֹרֶת</w:t>
      </w:r>
      <w:r w:rsidRPr="00FF7EC2">
        <w:rPr>
          <w:rFonts w:eastAsia="Times New Roman" w:cs="Times New Roman"/>
          <w:rtl/>
          <w:lang w:eastAsia="de-DE"/>
        </w:rPr>
        <w:t xml:space="preserve"> </w:t>
      </w:r>
      <w:r w:rsidRPr="00FF7EC2">
        <w:rPr>
          <w:rFonts w:eastAsia="Times New Roman" w:cs="Times New Roman"/>
          <w:lang w:eastAsia="de-DE"/>
        </w:rPr>
        <w:t xml:space="preserve">wird mit καὶ ἐπιθήσετε ἐπ' αὐτὰ θυμίαμα („und ihr sollt auf sie Räucherwerk legen") wiedergegeben. </w:t>
      </w:r>
      <w:r w:rsidRPr="00FF7EC2">
        <w:rPr>
          <w:rFonts w:eastAsia="Times New Roman" w:cs="Times New Roman"/>
          <w:b/>
          <w:bCs/>
          <w:rtl/>
          <w:lang w:eastAsia="de-DE"/>
        </w:rPr>
        <w:t>וְהִקְרַבְתֶּם לִפְנֵי יְהוָה אִישׁ מַחְתָּתוֹ</w:t>
      </w:r>
      <w:r w:rsidRPr="00FF7EC2">
        <w:rPr>
          <w:rFonts w:eastAsia="Times New Roman" w:cs="Times New Roman"/>
          <w:rtl/>
          <w:lang w:eastAsia="de-DE"/>
        </w:rPr>
        <w:t xml:space="preserve"> </w:t>
      </w:r>
      <w:r w:rsidRPr="00FF7EC2">
        <w:rPr>
          <w:rFonts w:eastAsia="Times New Roman" w:cs="Times New Roman"/>
          <w:lang w:eastAsia="de-DE"/>
        </w:rPr>
        <w:t xml:space="preserve">wird mit καὶ προσάξετε ἔναντι κυρίου ἕκαστος τὸ πυρεῖον αὐτοῦ  übersetzt. Die Zahlenangabe wird mit πεντήκοντα καὶ διακόσια πυρεῖα wiedergegeben. </w:t>
      </w:r>
      <w:r w:rsidRPr="00FF7EC2">
        <w:rPr>
          <w:rFonts w:eastAsia="Times New Roman" w:cs="Times New Roman"/>
          <w:b/>
          <w:bCs/>
          <w:rtl/>
          <w:lang w:eastAsia="de-DE"/>
        </w:rPr>
        <w:t>וְאַתָּה וְאַהֲרֹן אִישׁ מַחְתָּתוֹ</w:t>
      </w:r>
      <w:r w:rsidRPr="00FF7EC2">
        <w:rPr>
          <w:rFonts w:eastAsia="Times New Roman" w:cs="Times New Roman"/>
          <w:rtl/>
          <w:lang w:eastAsia="de-DE"/>
        </w:rPr>
        <w:t xml:space="preserve"> </w:t>
      </w:r>
      <w:r w:rsidRPr="00FF7EC2">
        <w:rPr>
          <w:rFonts w:eastAsia="Times New Roman" w:cs="Times New Roman"/>
          <w:lang w:eastAsia="de-DE"/>
        </w:rPr>
        <w:t>wird mit καὶ σὺ καὶ Ααρων εἷς ἕκαστος τὸ πυρεῖον αὐτοῦ übersetzt.</w:t>
      </w:r>
    </w:p>
    <w:p w14:paraId="4AE6B087"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drei koordinierte Hauptsätze mit imperativischem Charakter: Der erste mit Imperativ, distributivem Subjekt und Objekt; der zweite mit Weqatal-Imperativ, Präpositionalphrase und Objekt; der dritte mit Weqatal-Imperativ, Präpositionalphrase und distributivem Objekt, gefolgt von einer präzisierenden Zahlenangabe. Eine abschließende nominale Ergänzung spezifiziert Mose und Aaron als weitere Teilnehmer. Es gibt keine Nebensätze.</w:t>
      </w:r>
    </w:p>
    <w:p w14:paraId="0F0F142C"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gibt detaillierte Anweisungen für das Ritual: Jeder der 250 Männer sowie Mose und Aaron sollen ihre eigene Räucherpfanne mit Räucherwerk vor JHWH darbringen.</w:t>
      </w:r>
    </w:p>
    <w:p w14:paraId="141BF75C"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16,18</w:t>
      </w:r>
    </w:p>
    <w:p w14:paraId="0FED44B7"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Hebräisch:</w:t>
      </w:r>
      <w:r w:rsidRPr="00FF7EC2">
        <w:rPr>
          <w:rFonts w:eastAsia="Times New Roman" w:cs="Times New Roman"/>
          <w:lang w:eastAsia="de-DE"/>
        </w:rPr>
        <w:t xml:space="preserve"> </w:t>
      </w:r>
      <w:r w:rsidRPr="00FF7EC2">
        <w:rPr>
          <w:rFonts w:eastAsia="Times New Roman" w:cs="Times New Roman"/>
          <w:rtl/>
          <w:lang w:eastAsia="de-DE"/>
        </w:rPr>
        <w:t>וַיִּקְח֞וּ אִ֣ישׁ מַחְתָּתוֹ֗ וַיִּתְּנ֤וּ עֲלֵיהֶם֙ אֵ֔שׁ וַיָּשִׂ֥ימוּ עֲלֵיהֶ֖ם קְטֹ֑רֶת וַֽיַּעַמְד֗וּ פֶּ֛תַח אֹ֥הֶל מוֹעֵ֖ד וּמֹשֶׁ֥ה וְאַהֲרֹֽן׃</w:t>
      </w:r>
    </w:p>
    <w:p w14:paraId="1C71CE1D"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Deutsch:</w:t>
      </w:r>
      <w:r w:rsidRPr="00FF7EC2">
        <w:rPr>
          <w:rFonts w:eastAsia="Times New Roman" w:cs="Times New Roman"/>
          <w:lang w:eastAsia="de-DE"/>
        </w:rPr>
        <w:t xml:space="preserve"> Und sie nahmen ein jeder seine Räucherpfanne und taten Feuer darauf und legten Räucherwerk darauf; und sie stellten sich an den Eingang des Zeltes der Begegnung, auch Mosche und Aharon.</w:t>
      </w:r>
    </w:p>
    <w:p w14:paraId="54FCF9C3"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24E3CCBB">
          <v:rect id="_x0000_i1556" style="width:0;height:1.5pt" o:hralign="center" o:hrstd="t" o:hr="t" fillcolor="#a0a0a0" stroked="f"/>
        </w:pict>
      </w:r>
    </w:p>
    <w:p w14:paraId="080695C5"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lastRenderedPageBreak/>
        <w:t>Kommentar:</w:t>
      </w:r>
      <w:r w:rsidRPr="00FF7EC2">
        <w:rPr>
          <w:rFonts w:eastAsia="Times New Roman" w:cs="Times New Roman"/>
          <w:lang w:eastAsia="de-DE"/>
        </w:rPr>
        <w:t xml:space="preserve"> Das Verb </w:t>
      </w:r>
      <w:r w:rsidRPr="00FF7EC2">
        <w:rPr>
          <w:rFonts w:eastAsia="Times New Roman" w:cs="Times New Roman"/>
          <w:b/>
          <w:bCs/>
          <w:rtl/>
          <w:lang w:eastAsia="de-DE"/>
        </w:rPr>
        <w:t>וַיִּקְחוּ</w:t>
      </w:r>
      <w:r w:rsidRPr="00FF7EC2">
        <w:rPr>
          <w:rFonts w:eastAsia="Times New Roman" w:cs="Times New Roman"/>
          <w:rtl/>
          <w:lang w:eastAsia="de-DE"/>
        </w:rPr>
        <w:t xml:space="preserve"> </w:t>
      </w:r>
      <w:r w:rsidRPr="00FF7EC2">
        <w:rPr>
          <w:rFonts w:eastAsia="Times New Roman" w:cs="Times New Roman"/>
          <w:lang w:eastAsia="de-DE"/>
        </w:rPr>
        <w:t xml:space="preserve">(Wayyiqtol, 3. m. pl. von </w:t>
      </w:r>
      <w:r w:rsidRPr="00FF7EC2">
        <w:rPr>
          <w:rFonts w:eastAsia="Times New Roman" w:cs="Times New Roman"/>
          <w:b/>
          <w:bCs/>
          <w:rtl/>
          <w:lang w:eastAsia="de-DE"/>
        </w:rPr>
        <w:t>לקח</w:t>
      </w:r>
      <w:r w:rsidRPr="00FF7EC2">
        <w:rPr>
          <w:rFonts w:eastAsia="Times New Roman" w:cs="Times New Roman"/>
          <w:lang w:eastAsia="de-DE"/>
        </w:rPr>
        <w:t>) bedeutet „und sie nahmen". Die Form setzt die Erzählung fort und beschreibt die Ausführung der Anweisungen aus Vers 17.</w:t>
      </w:r>
    </w:p>
    <w:p w14:paraId="7FAC5791"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distributive Subjekt </w:t>
      </w:r>
      <w:r w:rsidRPr="00FF7EC2">
        <w:rPr>
          <w:rFonts w:eastAsia="Times New Roman" w:cs="Times New Roman"/>
          <w:b/>
          <w:bCs/>
          <w:rtl/>
          <w:lang w:eastAsia="de-DE"/>
        </w:rPr>
        <w:t>אִישׁ מַחְתָּתוֹ</w:t>
      </w:r>
      <w:r w:rsidRPr="00FF7EC2">
        <w:rPr>
          <w:rFonts w:eastAsia="Times New Roman" w:cs="Times New Roman"/>
          <w:rtl/>
          <w:lang w:eastAsia="de-DE"/>
        </w:rPr>
        <w:t xml:space="preserve"> </w:t>
      </w:r>
      <w:r w:rsidRPr="00FF7EC2">
        <w:rPr>
          <w:rFonts w:eastAsia="Times New Roman" w:cs="Times New Roman"/>
          <w:lang w:eastAsia="de-DE"/>
        </w:rPr>
        <w:t xml:space="preserve">(„jeder seine Räucherpfanne") wiederholt die Formel aus Vers 17 und unterstreicht die individuelle Handlung jedes Teilnehmers. </w:t>
      </w:r>
      <w:r w:rsidRPr="00FF7EC2">
        <w:rPr>
          <w:rFonts w:eastAsia="Times New Roman" w:cs="Times New Roman"/>
          <w:b/>
          <w:bCs/>
          <w:rtl/>
          <w:lang w:eastAsia="de-DE"/>
        </w:rPr>
        <w:t>אִישׁ</w:t>
      </w:r>
      <w:r w:rsidRPr="00FF7EC2">
        <w:rPr>
          <w:rFonts w:eastAsia="Times New Roman" w:cs="Times New Roman"/>
          <w:rtl/>
          <w:lang w:eastAsia="de-DE"/>
        </w:rPr>
        <w:t xml:space="preserve"> </w:t>
      </w:r>
      <w:r w:rsidRPr="00FF7EC2">
        <w:rPr>
          <w:rFonts w:eastAsia="Times New Roman" w:cs="Times New Roman"/>
          <w:lang w:eastAsia="de-DE"/>
        </w:rPr>
        <w:t xml:space="preserve">steht distributiv, </w:t>
      </w:r>
      <w:r w:rsidRPr="00FF7EC2">
        <w:rPr>
          <w:rFonts w:eastAsia="Times New Roman" w:cs="Times New Roman"/>
          <w:b/>
          <w:bCs/>
          <w:rtl/>
          <w:lang w:eastAsia="de-DE"/>
        </w:rPr>
        <w:t>מַחְתָּתוֹ</w:t>
      </w:r>
      <w:r w:rsidRPr="00FF7EC2">
        <w:rPr>
          <w:rFonts w:eastAsia="Times New Roman" w:cs="Times New Roman"/>
          <w:rtl/>
          <w:lang w:eastAsia="de-DE"/>
        </w:rPr>
        <w:t xml:space="preserve"> </w:t>
      </w:r>
      <w:r w:rsidRPr="00FF7EC2">
        <w:rPr>
          <w:rFonts w:eastAsia="Times New Roman" w:cs="Times New Roman"/>
          <w:lang w:eastAsia="de-DE"/>
        </w:rPr>
        <w:t xml:space="preserve">ist </w:t>
      </w:r>
      <w:r w:rsidRPr="00FF7EC2">
        <w:rPr>
          <w:rFonts w:eastAsia="Times New Roman" w:cs="Times New Roman"/>
          <w:b/>
          <w:bCs/>
          <w:rtl/>
          <w:lang w:eastAsia="de-DE"/>
        </w:rPr>
        <w:t>מַחְתָּה</w:t>
      </w:r>
      <w:r w:rsidRPr="00FF7EC2">
        <w:rPr>
          <w:rFonts w:eastAsia="Times New Roman" w:cs="Times New Roman"/>
          <w:rtl/>
          <w:lang w:eastAsia="de-DE"/>
        </w:rPr>
        <w:t xml:space="preserve"> </w:t>
      </w:r>
      <w:r w:rsidRPr="00FF7EC2">
        <w:rPr>
          <w:rFonts w:eastAsia="Times New Roman" w:cs="Times New Roman"/>
          <w:lang w:eastAsia="de-DE"/>
        </w:rPr>
        <w:t>mit Possessivsuffix 3. m. sg.</w:t>
      </w:r>
    </w:p>
    <w:p w14:paraId="11A84DF0"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koordinierte Verb </w:t>
      </w:r>
      <w:r w:rsidRPr="00FF7EC2">
        <w:rPr>
          <w:rFonts w:eastAsia="Times New Roman" w:cs="Times New Roman"/>
          <w:b/>
          <w:bCs/>
          <w:rtl/>
          <w:lang w:eastAsia="de-DE"/>
        </w:rPr>
        <w:t>וַיִּתְּנוּ</w:t>
      </w:r>
      <w:r w:rsidRPr="00FF7EC2">
        <w:rPr>
          <w:rFonts w:eastAsia="Times New Roman" w:cs="Times New Roman"/>
          <w:rtl/>
          <w:lang w:eastAsia="de-DE"/>
        </w:rPr>
        <w:t xml:space="preserve"> </w:t>
      </w:r>
      <w:r w:rsidRPr="00FF7EC2">
        <w:rPr>
          <w:rFonts w:eastAsia="Times New Roman" w:cs="Times New Roman"/>
          <w:lang w:eastAsia="de-DE"/>
        </w:rPr>
        <w:t xml:space="preserve">(Wayyiqtol, 3. m. pl. von </w:t>
      </w:r>
      <w:r w:rsidRPr="00FF7EC2">
        <w:rPr>
          <w:rFonts w:eastAsia="Times New Roman" w:cs="Times New Roman"/>
          <w:b/>
          <w:bCs/>
          <w:rtl/>
          <w:lang w:eastAsia="de-DE"/>
        </w:rPr>
        <w:t>נתן</w:t>
      </w:r>
      <w:r w:rsidRPr="00FF7EC2">
        <w:rPr>
          <w:rFonts w:eastAsia="Times New Roman" w:cs="Times New Roman"/>
          <w:lang w:eastAsia="de-DE"/>
        </w:rPr>
        <w:t xml:space="preserve">) bedeutet „und sie gaben, taten hinein". </w:t>
      </w:r>
      <w:r w:rsidRPr="00FF7EC2">
        <w:rPr>
          <w:rFonts w:eastAsia="Times New Roman" w:cs="Times New Roman"/>
          <w:b/>
          <w:bCs/>
          <w:rtl/>
          <w:lang w:eastAsia="de-DE"/>
        </w:rPr>
        <w:t>עֲלֵיהֶם</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w:t>
      </w:r>
      <w:r w:rsidRPr="00FF7EC2">
        <w:rPr>
          <w:rFonts w:eastAsia="Times New Roman" w:cs="Times New Roman"/>
          <w:b/>
          <w:bCs/>
          <w:rtl/>
          <w:lang w:eastAsia="de-DE"/>
        </w:rPr>
        <w:t>עַל</w:t>
      </w:r>
      <w:r w:rsidRPr="00FF7EC2">
        <w:rPr>
          <w:rFonts w:eastAsia="Times New Roman" w:cs="Times New Roman"/>
          <w:rtl/>
          <w:lang w:eastAsia="de-DE"/>
        </w:rPr>
        <w:t xml:space="preserve"> </w:t>
      </w:r>
      <w:r w:rsidRPr="00FF7EC2">
        <w:rPr>
          <w:rFonts w:eastAsia="Times New Roman" w:cs="Times New Roman"/>
          <w:lang w:eastAsia="de-DE"/>
        </w:rPr>
        <w:t>mit Suffix 3. m. pl. („auf sie"), bezogen auf die Räucherpfannen.</w:t>
      </w:r>
    </w:p>
    <w:p w14:paraId="00C2B833"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Objekt </w:t>
      </w:r>
      <w:r w:rsidRPr="00FF7EC2">
        <w:rPr>
          <w:rFonts w:eastAsia="Times New Roman" w:cs="Times New Roman"/>
          <w:b/>
          <w:bCs/>
          <w:rtl/>
          <w:lang w:eastAsia="de-DE"/>
        </w:rPr>
        <w:t>אֵשׁ</w:t>
      </w:r>
      <w:r w:rsidRPr="00FF7EC2">
        <w:rPr>
          <w:rFonts w:eastAsia="Times New Roman" w:cs="Times New Roman"/>
          <w:rtl/>
          <w:lang w:eastAsia="de-DE"/>
        </w:rPr>
        <w:t xml:space="preserve"> </w:t>
      </w:r>
      <w:r w:rsidRPr="00FF7EC2">
        <w:rPr>
          <w:rFonts w:eastAsia="Times New Roman" w:cs="Times New Roman"/>
          <w:lang w:eastAsia="de-DE"/>
        </w:rPr>
        <w:t>(„Feuer") entspricht der Anweisung aus Vers 7.</w:t>
      </w:r>
    </w:p>
    <w:p w14:paraId="49211EFE"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koordinierte Verb </w:t>
      </w:r>
      <w:r w:rsidRPr="00FF7EC2">
        <w:rPr>
          <w:rFonts w:eastAsia="Times New Roman" w:cs="Times New Roman"/>
          <w:b/>
          <w:bCs/>
          <w:rtl/>
          <w:lang w:eastAsia="de-DE"/>
        </w:rPr>
        <w:t>וַיָּשִׂימוּ</w:t>
      </w:r>
      <w:r w:rsidRPr="00FF7EC2">
        <w:rPr>
          <w:rFonts w:eastAsia="Times New Roman" w:cs="Times New Roman"/>
          <w:rtl/>
          <w:lang w:eastAsia="de-DE"/>
        </w:rPr>
        <w:t xml:space="preserve"> </w:t>
      </w:r>
      <w:r w:rsidRPr="00FF7EC2">
        <w:rPr>
          <w:rFonts w:eastAsia="Times New Roman" w:cs="Times New Roman"/>
          <w:lang w:eastAsia="de-DE"/>
        </w:rPr>
        <w:t xml:space="preserve">(Wayyiqtol, 3. m. pl. von </w:t>
      </w:r>
      <w:r w:rsidRPr="00FF7EC2">
        <w:rPr>
          <w:rFonts w:eastAsia="Times New Roman" w:cs="Times New Roman"/>
          <w:b/>
          <w:bCs/>
          <w:rtl/>
          <w:lang w:eastAsia="de-DE"/>
        </w:rPr>
        <w:t>שׂים</w:t>
      </w:r>
      <w:r w:rsidRPr="00FF7EC2">
        <w:rPr>
          <w:rFonts w:eastAsia="Times New Roman" w:cs="Times New Roman"/>
          <w:lang w:eastAsia="de-DE"/>
        </w:rPr>
        <w:t xml:space="preserve">) bedeutet „und sie legten, setzten". </w:t>
      </w:r>
      <w:r w:rsidRPr="00FF7EC2">
        <w:rPr>
          <w:rFonts w:eastAsia="Times New Roman" w:cs="Times New Roman"/>
          <w:b/>
          <w:bCs/>
          <w:rtl/>
          <w:lang w:eastAsia="de-DE"/>
        </w:rPr>
        <w:t>עֲלֵיהֶם</w:t>
      </w:r>
      <w:r w:rsidRPr="00FF7EC2">
        <w:rPr>
          <w:rFonts w:eastAsia="Times New Roman" w:cs="Times New Roman"/>
          <w:rtl/>
          <w:lang w:eastAsia="de-DE"/>
        </w:rPr>
        <w:t xml:space="preserve"> </w:t>
      </w:r>
      <w:r w:rsidRPr="00FF7EC2">
        <w:rPr>
          <w:rFonts w:eastAsia="Times New Roman" w:cs="Times New Roman"/>
          <w:lang w:eastAsia="de-DE"/>
        </w:rPr>
        <w:t>wiederholt die Präposition mit Suffix („auf sie").</w:t>
      </w:r>
    </w:p>
    <w:p w14:paraId="16AEE565"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Objekt </w:t>
      </w:r>
      <w:r w:rsidRPr="00FF7EC2">
        <w:rPr>
          <w:rFonts w:eastAsia="Times New Roman" w:cs="Times New Roman"/>
          <w:b/>
          <w:bCs/>
          <w:rtl/>
          <w:lang w:eastAsia="de-DE"/>
        </w:rPr>
        <w:t>קְטֹרֶת</w:t>
      </w:r>
      <w:r w:rsidRPr="00FF7EC2">
        <w:rPr>
          <w:rFonts w:eastAsia="Times New Roman" w:cs="Times New Roman"/>
          <w:rtl/>
          <w:lang w:eastAsia="de-DE"/>
        </w:rPr>
        <w:t xml:space="preserve"> </w:t>
      </w:r>
      <w:r w:rsidRPr="00FF7EC2">
        <w:rPr>
          <w:rFonts w:eastAsia="Times New Roman" w:cs="Times New Roman"/>
          <w:lang w:eastAsia="de-DE"/>
        </w:rPr>
        <w:t>(„Räucherwerk") vollendet die rituelle Vorbereitung gemäß der Anweisung.</w:t>
      </w:r>
    </w:p>
    <w:p w14:paraId="4EA320F1"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koordinierte Verb </w:t>
      </w:r>
      <w:r w:rsidRPr="00FF7EC2">
        <w:rPr>
          <w:rFonts w:eastAsia="Times New Roman" w:cs="Times New Roman"/>
          <w:b/>
          <w:bCs/>
          <w:rtl/>
          <w:lang w:eastAsia="de-DE"/>
        </w:rPr>
        <w:t>וַיַּעַמְדוּ</w:t>
      </w:r>
      <w:r w:rsidRPr="00FF7EC2">
        <w:rPr>
          <w:rFonts w:eastAsia="Times New Roman" w:cs="Times New Roman"/>
          <w:rtl/>
          <w:lang w:eastAsia="de-DE"/>
        </w:rPr>
        <w:t xml:space="preserve"> </w:t>
      </w:r>
      <w:r w:rsidRPr="00FF7EC2">
        <w:rPr>
          <w:rFonts w:eastAsia="Times New Roman" w:cs="Times New Roman"/>
          <w:lang w:eastAsia="de-DE"/>
        </w:rPr>
        <w:t xml:space="preserve">(Wayyiqtol, 3. m. pl. von </w:t>
      </w:r>
      <w:r w:rsidRPr="00FF7EC2">
        <w:rPr>
          <w:rFonts w:eastAsia="Times New Roman" w:cs="Times New Roman"/>
          <w:b/>
          <w:bCs/>
          <w:rtl/>
          <w:lang w:eastAsia="de-DE"/>
        </w:rPr>
        <w:t>עמד</w:t>
      </w:r>
      <w:r w:rsidRPr="00FF7EC2">
        <w:rPr>
          <w:rFonts w:eastAsia="Times New Roman" w:cs="Times New Roman"/>
          <w:lang w:eastAsia="de-DE"/>
        </w:rPr>
        <w:t xml:space="preserve">) bedeutet „und sie stellten sich, standen". </w:t>
      </w:r>
      <w:r w:rsidRPr="00FF7EC2">
        <w:rPr>
          <w:rFonts w:eastAsia="Times New Roman" w:cs="Times New Roman"/>
          <w:b/>
          <w:bCs/>
          <w:rtl/>
          <w:lang w:eastAsia="de-DE"/>
        </w:rPr>
        <w:t>עמד</w:t>
      </w:r>
      <w:r w:rsidRPr="00FF7EC2">
        <w:rPr>
          <w:rFonts w:eastAsia="Times New Roman" w:cs="Times New Roman"/>
          <w:rtl/>
          <w:lang w:eastAsia="de-DE"/>
        </w:rPr>
        <w:t xml:space="preserve"> </w:t>
      </w:r>
      <w:r w:rsidRPr="00FF7EC2">
        <w:rPr>
          <w:rFonts w:eastAsia="Times New Roman" w:cs="Times New Roman"/>
          <w:lang w:eastAsia="de-DE"/>
        </w:rPr>
        <w:t>bedeutet „stehen" und bezeichnet hier die formelle Positionierung für die kultische Handlung.</w:t>
      </w:r>
    </w:p>
    <w:p w14:paraId="6333A1CE"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Ortsangabe </w:t>
      </w:r>
      <w:r w:rsidRPr="00FF7EC2">
        <w:rPr>
          <w:rFonts w:eastAsia="Times New Roman" w:cs="Times New Roman"/>
          <w:b/>
          <w:bCs/>
          <w:rtl/>
          <w:lang w:eastAsia="de-DE"/>
        </w:rPr>
        <w:t>פֶּתַח אֹהֶל מוֹעֵד</w:t>
      </w:r>
      <w:r w:rsidRPr="00FF7EC2">
        <w:rPr>
          <w:rFonts w:eastAsia="Times New Roman" w:cs="Times New Roman"/>
          <w:rtl/>
          <w:lang w:eastAsia="de-DE"/>
        </w:rPr>
        <w:t xml:space="preserve"> </w:t>
      </w:r>
      <w:r w:rsidRPr="00FF7EC2">
        <w:rPr>
          <w:rFonts w:eastAsia="Times New Roman" w:cs="Times New Roman"/>
          <w:lang w:eastAsia="de-DE"/>
        </w:rPr>
        <w:t xml:space="preserve">spezifiziert den Ort: </w:t>
      </w:r>
      <w:r w:rsidRPr="00FF7EC2">
        <w:rPr>
          <w:rFonts w:eastAsia="Times New Roman" w:cs="Times New Roman"/>
          <w:b/>
          <w:bCs/>
          <w:rtl/>
          <w:lang w:eastAsia="de-DE"/>
        </w:rPr>
        <w:t>פֶּתַח</w:t>
      </w:r>
      <w:r w:rsidRPr="00FF7EC2">
        <w:rPr>
          <w:rFonts w:eastAsia="Times New Roman" w:cs="Times New Roman"/>
          <w:rtl/>
          <w:lang w:eastAsia="de-DE"/>
        </w:rPr>
        <w:t xml:space="preserve"> </w:t>
      </w:r>
      <w:r w:rsidRPr="00FF7EC2">
        <w:rPr>
          <w:rFonts w:eastAsia="Times New Roman" w:cs="Times New Roman"/>
          <w:lang w:eastAsia="de-DE"/>
        </w:rPr>
        <w:t xml:space="preserve">bedeutet „Eingang, Öffnung", </w:t>
      </w:r>
      <w:r w:rsidRPr="00FF7EC2">
        <w:rPr>
          <w:rFonts w:eastAsia="Times New Roman" w:cs="Times New Roman"/>
          <w:b/>
          <w:bCs/>
          <w:rtl/>
          <w:lang w:eastAsia="de-DE"/>
        </w:rPr>
        <w:t>אֹהֶל מוֹעֵד</w:t>
      </w:r>
      <w:r w:rsidRPr="00FF7EC2">
        <w:rPr>
          <w:rFonts w:eastAsia="Times New Roman" w:cs="Times New Roman"/>
          <w:rtl/>
          <w:lang w:eastAsia="de-DE"/>
        </w:rPr>
        <w:t xml:space="preserve"> </w:t>
      </w:r>
      <w:r w:rsidRPr="00FF7EC2">
        <w:rPr>
          <w:rFonts w:eastAsia="Times New Roman" w:cs="Times New Roman"/>
          <w:lang w:eastAsia="de-DE"/>
        </w:rPr>
        <w:t>ist die Constructus-Verbindung „Zelt der Begegnung" (</w:t>
      </w:r>
      <w:r w:rsidRPr="00FF7EC2">
        <w:rPr>
          <w:rFonts w:eastAsia="Times New Roman" w:cs="Times New Roman"/>
          <w:b/>
          <w:bCs/>
          <w:rtl/>
          <w:lang w:eastAsia="de-DE"/>
        </w:rPr>
        <w:t>אֹהֶל</w:t>
      </w:r>
      <w:r w:rsidRPr="00FF7EC2">
        <w:rPr>
          <w:rFonts w:eastAsia="Times New Roman" w:cs="Times New Roman"/>
          <w:rtl/>
          <w:lang w:eastAsia="de-DE"/>
        </w:rPr>
        <w:t xml:space="preserve"> </w:t>
      </w:r>
      <w:r w:rsidRPr="00FF7EC2">
        <w:rPr>
          <w:rFonts w:eastAsia="Times New Roman" w:cs="Times New Roman"/>
          <w:lang w:eastAsia="de-DE"/>
        </w:rPr>
        <w:t xml:space="preserve">im Constructus, </w:t>
      </w:r>
      <w:r w:rsidRPr="00FF7EC2">
        <w:rPr>
          <w:rFonts w:eastAsia="Times New Roman" w:cs="Times New Roman"/>
          <w:b/>
          <w:bCs/>
          <w:rtl/>
          <w:lang w:eastAsia="de-DE"/>
        </w:rPr>
        <w:t>מוֹעֵד</w:t>
      </w:r>
      <w:r w:rsidRPr="00FF7EC2">
        <w:rPr>
          <w:rFonts w:eastAsia="Times New Roman" w:cs="Times New Roman"/>
          <w:rtl/>
          <w:lang w:eastAsia="de-DE"/>
        </w:rPr>
        <w:t xml:space="preserve"> </w:t>
      </w:r>
      <w:r w:rsidRPr="00FF7EC2">
        <w:rPr>
          <w:rFonts w:eastAsia="Times New Roman" w:cs="Times New Roman"/>
          <w:lang w:eastAsia="de-DE"/>
        </w:rPr>
        <w:t>„Versammlung, bestimmte Zeit"). Diese Bezeichnung für das Heiligtum betont den Ort der göttlichen Begegnung mit dem Volk.</w:t>
      </w:r>
    </w:p>
    <w:p w14:paraId="4ED33706"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abschließende Phrase </w:t>
      </w:r>
      <w:r w:rsidRPr="00FF7EC2">
        <w:rPr>
          <w:rFonts w:eastAsia="Times New Roman" w:cs="Times New Roman"/>
          <w:b/>
          <w:bCs/>
          <w:rtl/>
          <w:lang w:eastAsia="de-DE"/>
        </w:rPr>
        <w:t>וּמֹשֶׁה וְאַהֲרֹן</w:t>
      </w:r>
      <w:r w:rsidRPr="00FF7EC2">
        <w:rPr>
          <w:rFonts w:eastAsia="Times New Roman" w:cs="Times New Roman"/>
          <w:rtl/>
          <w:lang w:eastAsia="de-DE"/>
        </w:rPr>
        <w:t xml:space="preserve"> </w:t>
      </w:r>
      <w:r w:rsidRPr="00FF7EC2">
        <w:rPr>
          <w:rFonts w:eastAsia="Times New Roman" w:cs="Times New Roman"/>
          <w:lang w:eastAsia="de-DE"/>
        </w:rPr>
        <w:t xml:space="preserve">fügt hinzu: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 xml:space="preserve">ist die Konjunktion „und, auch", </w:t>
      </w:r>
      <w:r w:rsidRPr="00FF7EC2">
        <w:rPr>
          <w:rFonts w:eastAsia="Times New Roman" w:cs="Times New Roman"/>
          <w:b/>
          <w:bCs/>
          <w:rtl/>
          <w:lang w:eastAsia="de-DE"/>
        </w:rPr>
        <w:t>מֹשֶׁה</w:t>
      </w:r>
      <w:r w:rsidRPr="00FF7EC2">
        <w:rPr>
          <w:rFonts w:eastAsia="Times New Roman" w:cs="Times New Roman"/>
          <w:rtl/>
          <w:lang w:eastAsia="de-DE"/>
        </w:rPr>
        <w:t xml:space="preserve"> </w:t>
      </w:r>
      <w:r w:rsidRPr="00FF7EC2">
        <w:rPr>
          <w:rFonts w:eastAsia="Times New Roman" w:cs="Times New Roman"/>
          <w:lang w:eastAsia="de-DE"/>
        </w:rPr>
        <w:t xml:space="preserve">und </w:t>
      </w:r>
      <w:r w:rsidRPr="00FF7EC2">
        <w:rPr>
          <w:rFonts w:eastAsia="Times New Roman" w:cs="Times New Roman"/>
          <w:b/>
          <w:bCs/>
          <w:rtl/>
          <w:lang w:eastAsia="de-DE"/>
        </w:rPr>
        <w:t>אַהֲרֹן</w:t>
      </w:r>
      <w:r w:rsidRPr="00FF7EC2">
        <w:rPr>
          <w:rFonts w:eastAsia="Times New Roman" w:cs="Times New Roman"/>
          <w:rtl/>
          <w:lang w:eastAsia="de-DE"/>
        </w:rPr>
        <w:t xml:space="preserve"> </w:t>
      </w:r>
      <w:r w:rsidRPr="00FF7EC2">
        <w:rPr>
          <w:rFonts w:eastAsia="Times New Roman" w:cs="Times New Roman"/>
          <w:lang w:eastAsia="de-DE"/>
        </w:rPr>
        <w:t xml:space="preserve">sind die beiden Namen, koordiniert durch </w:t>
      </w:r>
      <w:r w:rsidRPr="00FF7EC2">
        <w:rPr>
          <w:rFonts w:eastAsia="Times New Roman" w:cs="Times New Roman"/>
          <w:b/>
          <w:bCs/>
          <w:rtl/>
          <w:lang w:eastAsia="de-DE"/>
        </w:rPr>
        <w:t>וְ</w:t>
      </w:r>
      <w:r w:rsidRPr="00FF7EC2">
        <w:rPr>
          <w:rFonts w:eastAsia="Times New Roman" w:cs="Times New Roman"/>
          <w:lang w:eastAsia="de-DE"/>
        </w:rPr>
        <w:t>. Die Phrase bedeutet „und (auch) Mose und Aaron" und zeigt, dass beide Autoritätsfiguren ebenfalls am Eingang des Zeltes standen.</w:t>
      </w:r>
    </w:p>
    <w:p w14:paraId="17F2BD32" w14:textId="0CA24910"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Die LXX</w:t>
      </w:r>
      <w:r w:rsidRPr="00FF7EC2">
        <w:rPr>
          <w:rFonts w:eastAsia="Times New Roman" w:cs="Times New Roman"/>
          <w:lang w:eastAsia="de-DE"/>
        </w:rPr>
        <w:t xml:space="preserve"> übersetzt </w:t>
      </w:r>
      <w:r w:rsidRPr="00FF7EC2">
        <w:rPr>
          <w:rFonts w:eastAsia="Times New Roman" w:cs="Times New Roman"/>
          <w:b/>
          <w:bCs/>
          <w:rtl/>
          <w:lang w:eastAsia="de-DE"/>
        </w:rPr>
        <w:t>וַיִּקְחוּ אִישׁ מַחְתָּתוֹ</w:t>
      </w:r>
      <w:r w:rsidRPr="00FF7EC2">
        <w:rPr>
          <w:rFonts w:eastAsia="Times New Roman" w:cs="Times New Roman"/>
          <w:rtl/>
          <w:lang w:eastAsia="de-DE"/>
        </w:rPr>
        <w:t xml:space="preserve"> </w:t>
      </w:r>
      <w:r w:rsidRPr="00FF7EC2">
        <w:rPr>
          <w:rFonts w:eastAsia="Times New Roman" w:cs="Times New Roman"/>
          <w:lang w:eastAsia="de-DE"/>
        </w:rPr>
        <w:t xml:space="preserve">mit καὶ ἔλαβον ἕκαστος τὸ πυρεῖον αὐτοῦ („und sie nahmen, jeder sein Feuerbecken"). </w:t>
      </w:r>
      <w:r w:rsidRPr="00FF7EC2">
        <w:rPr>
          <w:rFonts w:eastAsia="Times New Roman" w:cs="Times New Roman"/>
          <w:b/>
          <w:bCs/>
          <w:rtl/>
          <w:lang w:eastAsia="de-DE"/>
        </w:rPr>
        <w:t>וַיִּתְּנוּ עֲלֵיהֶם אֵשׁ</w:t>
      </w:r>
      <w:r w:rsidRPr="00FF7EC2">
        <w:rPr>
          <w:rFonts w:eastAsia="Times New Roman" w:cs="Times New Roman"/>
          <w:rtl/>
          <w:lang w:eastAsia="de-DE"/>
        </w:rPr>
        <w:t xml:space="preserve"> </w:t>
      </w:r>
      <w:r w:rsidRPr="00FF7EC2">
        <w:rPr>
          <w:rFonts w:eastAsia="Times New Roman" w:cs="Times New Roman"/>
          <w:lang w:eastAsia="de-DE"/>
        </w:rPr>
        <w:t xml:space="preserve">wird mit καὶ ἐπέθηκαν ἐπ' αὐτὰ πῦρ („und sie legten auf sie Feuer") wiedergegeben. </w:t>
      </w:r>
      <w:r w:rsidRPr="00FF7EC2">
        <w:rPr>
          <w:rFonts w:eastAsia="Times New Roman" w:cs="Times New Roman"/>
          <w:b/>
          <w:bCs/>
          <w:rtl/>
          <w:lang w:eastAsia="de-DE"/>
        </w:rPr>
        <w:t>וַיָּשִׂימוּ עֲלֵיהֶם קְטֹרֶת</w:t>
      </w:r>
      <w:r w:rsidRPr="00FF7EC2">
        <w:rPr>
          <w:rFonts w:eastAsia="Times New Roman" w:cs="Times New Roman"/>
          <w:rtl/>
          <w:lang w:eastAsia="de-DE"/>
        </w:rPr>
        <w:t xml:space="preserve"> </w:t>
      </w:r>
      <w:r w:rsidRPr="00FF7EC2">
        <w:rPr>
          <w:rFonts w:eastAsia="Times New Roman" w:cs="Times New Roman"/>
          <w:lang w:eastAsia="de-DE"/>
        </w:rPr>
        <w:t xml:space="preserve">wird mit καὶ ἐπέβαλον ἐπ' αὐτὰ θυμίαμα („und sie warfen auf sie Räucherwerk") übersetzt. </w:t>
      </w:r>
      <w:r w:rsidRPr="00FF7EC2">
        <w:rPr>
          <w:rFonts w:eastAsia="Times New Roman" w:cs="Times New Roman"/>
          <w:b/>
          <w:bCs/>
          <w:rtl/>
          <w:lang w:eastAsia="de-DE"/>
        </w:rPr>
        <w:t>וַיַּעַמְדוּ פֶּתַח אֹהֶל מוֹעֵד</w:t>
      </w:r>
      <w:r w:rsidRPr="00FF7EC2">
        <w:rPr>
          <w:rFonts w:eastAsia="Times New Roman" w:cs="Times New Roman"/>
          <w:rtl/>
          <w:lang w:eastAsia="de-DE"/>
        </w:rPr>
        <w:t xml:space="preserve"> </w:t>
      </w:r>
      <w:r w:rsidRPr="00FF7EC2">
        <w:rPr>
          <w:rFonts w:eastAsia="Times New Roman" w:cs="Times New Roman"/>
          <w:lang w:eastAsia="de-DE"/>
        </w:rPr>
        <w:t xml:space="preserve">wird mit καὶ ἔστησαν παρὰ τὴν θύραν τῆς σκηνῆς τοῦ μαρτυρίου („und sie stellten sich neben die Tür des Zeltes des Zeugnisses"). </w:t>
      </w:r>
      <w:r w:rsidRPr="00FF7EC2">
        <w:rPr>
          <w:rFonts w:eastAsia="Times New Roman" w:cs="Times New Roman"/>
          <w:b/>
          <w:bCs/>
          <w:rtl/>
          <w:lang w:eastAsia="de-DE"/>
        </w:rPr>
        <w:t>וּמֹשֶׁה וְאַהֲרֹן</w:t>
      </w:r>
      <w:r w:rsidRPr="00FF7EC2">
        <w:rPr>
          <w:rFonts w:eastAsia="Times New Roman" w:cs="Times New Roman"/>
          <w:rtl/>
          <w:lang w:eastAsia="de-DE"/>
        </w:rPr>
        <w:t xml:space="preserve"> </w:t>
      </w:r>
      <w:r w:rsidRPr="00FF7EC2">
        <w:rPr>
          <w:rFonts w:eastAsia="Times New Roman" w:cs="Times New Roman"/>
          <w:lang w:eastAsia="de-DE"/>
        </w:rPr>
        <w:t>wird mit καὶ Μωυσῆς καὶ Ααρων wiedergegeben.</w:t>
      </w:r>
    </w:p>
    <w:p w14:paraId="5650DCBD"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vier koordinierte Hauptsätze, alle mit Wayyiqtol-Verben: Der erste mit distributivem Subjekt, der zweite und dritte mit Präpositionalphrase und Objekt, der vierte mit Ortsangabe. Eine abschließende nominale Ergänzung fügt Mose und Aaron als weitere Teilnehmer hinzu. Es gibt keine Nebensätze.</w:t>
      </w:r>
    </w:p>
    <w:p w14:paraId="773113A0"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beschreibt die präzise Ausführung der rituellen Anweisungen: Alle Beteiligten haben ihre Räucherpfannen vorbereitet und sich am heiligen Ort versammelt.</w:t>
      </w:r>
    </w:p>
    <w:p w14:paraId="30CAE094"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16,19</w:t>
      </w:r>
    </w:p>
    <w:p w14:paraId="7216668E"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Hebräisch:</w:t>
      </w:r>
      <w:r w:rsidRPr="00FF7EC2">
        <w:rPr>
          <w:rFonts w:eastAsia="Times New Roman" w:cs="Times New Roman"/>
          <w:lang w:eastAsia="de-DE"/>
        </w:rPr>
        <w:t xml:space="preserve"> </w:t>
      </w:r>
      <w:r w:rsidRPr="00FF7EC2">
        <w:rPr>
          <w:rFonts w:eastAsia="Times New Roman" w:cs="Times New Roman"/>
          <w:rtl/>
          <w:lang w:eastAsia="de-DE"/>
        </w:rPr>
        <w:t>וַיַּקְהֵ֨ל עֲלֵיהֶ֥ם קֹ֨רַח֙ אֶת־כָּל־הָ֣עֵדָ֔ה אֶל־פֶּ֖תַח אֹ֣הֶל מוֹעֵ֑ד וַיֵּרָ֥א כְבוֹד־יְהוָ֖ה אֶל־כָּל־הָעֵדָֽה׃</w:t>
      </w:r>
    </w:p>
    <w:p w14:paraId="606938CA"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lastRenderedPageBreak/>
        <w:t>Deutsch:</w:t>
      </w:r>
      <w:r w:rsidRPr="00FF7EC2">
        <w:rPr>
          <w:rFonts w:eastAsia="Times New Roman" w:cs="Times New Roman"/>
          <w:lang w:eastAsia="de-DE"/>
        </w:rPr>
        <w:t xml:space="preserve"> Und Korach versammelte gegen sie die ganze Gemeinde an den Eingang des Zeltes der Begegnung. Da erschien die Herrlichkeit des Ewigen vor der ganzen Gemeinde.</w:t>
      </w:r>
    </w:p>
    <w:p w14:paraId="3FB48A1B"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5231DFD3">
          <v:rect id="_x0000_i1557" style="width:0;height:1.5pt" o:hralign="center" o:hrstd="t" o:hr="t" fillcolor="#a0a0a0" stroked="f"/>
        </w:pict>
      </w:r>
    </w:p>
    <w:p w14:paraId="0C22F6CB"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Kommentar:</w:t>
      </w:r>
      <w:r w:rsidRPr="00FF7EC2">
        <w:rPr>
          <w:rFonts w:eastAsia="Times New Roman" w:cs="Times New Roman"/>
          <w:lang w:eastAsia="de-DE"/>
        </w:rPr>
        <w:t xml:space="preserve"> Das Verb </w:t>
      </w:r>
      <w:r w:rsidRPr="00FF7EC2">
        <w:rPr>
          <w:rFonts w:eastAsia="Times New Roman" w:cs="Times New Roman"/>
          <w:b/>
          <w:bCs/>
          <w:rtl/>
          <w:lang w:eastAsia="de-DE"/>
        </w:rPr>
        <w:t>וַיַּקְהֵל</w:t>
      </w:r>
      <w:r w:rsidRPr="00FF7EC2">
        <w:rPr>
          <w:rFonts w:eastAsia="Times New Roman" w:cs="Times New Roman"/>
          <w:rtl/>
          <w:lang w:eastAsia="de-DE"/>
        </w:rPr>
        <w:t xml:space="preserve"> </w:t>
      </w:r>
      <w:r w:rsidRPr="00FF7EC2">
        <w:rPr>
          <w:rFonts w:eastAsia="Times New Roman" w:cs="Times New Roman"/>
          <w:lang w:eastAsia="de-DE"/>
        </w:rPr>
        <w:t xml:space="preserve">(Wayyiqtol, 3. m. sg. von </w:t>
      </w:r>
      <w:r w:rsidRPr="00FF7EC2">
        <w:rPr>
          <w:rFonts w:eastAsia="Times New Roman" w:cs="Times New Roman"/>
          <w:b/>
          <w:bCs/>
          <w:rtl/>
          <w:lang w:eastAsia="de-DE"/>
        </w:rPr>
        <w:t>קהל</w:t>
      </w:r>
      <w:r w:rsidRPr="00FF7EC2">
        <w:rPr>
          <w:rFonts w:eastAsia="Times New Roman" w:cs="Times New Roman"/>
          <w:rtl/>
          <w:lang w:eastAsia="de-DE"/>
        </w:rPr>
        <w:t xml:space="preserve"> </w:t>
      </w:r>
      <w:r w:rsidRPr="00FF7EC2">
        <w:rPr>
          <w:rFonts w:eastAsia="Times New Roman" w:cs="Times New Roman"/>
          <w:lang w:eastAsia="de-DE"/>
        </w:rPr>
        <w:t xml:space="preserve">Hifil) bedeutet „und er versammelte". Die Hifil-Form ist kausativ: „veranlassen, sich zu versammeln". </w:t>
      </w:r>
      <w:r w:rsidRPr="00FF7EC2">
        <w:rPr>
          <w:rFonts w:eastAsia="Times New Roman" w:cs="Times New Roman"/>
          <w:b/>
          <w:bCs/>
          <w:rtl/>
          <w:lang w:eastAsia="de-DE"/>
        </w:rPr>
        <w:t>קֹרַח</w:t>
      </w:r>
      <w:r w:rsidRPr="00FF7EC2">
        <w:rPr>
          <w:rFonts w:eastAsia="Times New Roman" w:cs="Times New Roman"/>
          <w:rtl/>
          <w:lang w:eastAsia="de-DE"/>
        </w:rPr>
        <w:t xml:space="preserve"> </w:t>
      </w:r>
      <w:r w:rsidRPr="00FF7EC2">
        <w:rPr>
          <w:rFonts w:eastAsia="Times New Roman" w:cs="Times New Roman"/>
          <w:lang w:eastAsia="de-DE"/>
        </w:rPr>
        <w:t>ist das explizite Subjekt.</w:t>
      </w:r>
    </w:p>
    <w:p w14:paraId="34627A13"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Präposition </w:t>
      </w:r>
      <w:r w:rsidRPr="00FF7EC2">
        <w:rPr>
          <w:rFonts w:eastAsia="Times New Roman" w:cs="Times New Roman"/>
          <w:b/>
          <w:bCs/>
          <w:rtl/>
          <w:lang w:eastAsia="de-DE"/>
        </w:rPr>
        <w:t>עֲלֵיהֶם</w:t>
      </w:r>
      <w:r w:rsidRPr="00FF7EC2">
        <w:rPr>
          <w:rFonts w:eastAsia="Times New Roman" w:cs="Times New Roman"/>
          <w:rtl/>
          <w:lang w:eastAsia="de-DE"/>
        </w:rPr>
        <w:t xml:space="preserve"> </w:t>
      </w:r>
      <w:r w:rsidRPr="00FF7EC2">
        <w:rPr>
          <w:rFonts w:eastAsia="Times New Roman" w:cs="Times New Roman"/>
          <w:lang w:eastAsia="de-DE"/>
        </w:rPr>
        <w:t xml:space="preserve">(„gegen sie") mit Suffix 3. m. pl. gibt die Richtung oder das Ziel der Versammlung an. Das Suffix bezieht sich auf Mose und Aaron zurück. Die adversative Bedeutung von </w:t>
      </w:r>
      <w:r w:rsidRPr="00FF7EC2">
        <w:rPr>
          <w:rFonts w:eastAsia="Times New Roman" w:cs="Times New Roman"/>
          <w:b/>
          <w:bCs/>
          <w:rtl/>
          <w:lang w:eastAsia="de-DE"/>
        </w:rPr>
        <w:t>עַל</w:t>
      </w:r>
      <w:r w:rsidRPr="00FF7EC2">
        <w:rPr>
          <w:rFonts w:eastAsia="Times New Roman" w:cs="Times New Roman"/>
          <w:rtl/>
          <w:lang w:eastAsia="de-DE"/>
        </w:rPr>
        <w:t xml:space="preserve"> </w:t>
      </w:r>
      <w:r w:rsidRPr="00FF7EC2">
        <w:rPr>
          <w:rFonts w:eastAsia="Times New Roman" w:cs="Times New Roman"/>
          <w:lang w:eastAsia="de-DE"/>
        </w:rPr>
        <w:t>(„gegen") unterstreicht die feindliche Absicht.</w:t>
      </w:r>
    </w:p>
    <w:p w14:paraId="40F20AD0"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Objekt </w:t>
      </w:r>
      <w:r w:rsidRPr="00FF7EC2">
        <w:rPr>
          <w:rFonts w:eastAsia="Times New Roman" w:cs="Times New Roman"/>
          <w:b/>
          <w:bCs/>
          <w:rtl/>
          <w:lang w:eastAsia="de-DE"/>
        </w:rPr>
        <w:t>אֶת־כָּל־הָעֵדָה</w:t>
      </w:r>
      <w:r w:rsidRPr="00FF7EC2">
        <w:rPr>
          <w:rFonts w:eastAsia="Times New Roman" w:cs="Times New Roman"/>
          <w:rtl/>
          <w:lang w:eastAsia="de-DE"/>
        </w:rPr>
        <w:t xml:space="preserve"> </w:t>
      </w:r>
      <w:r w:rsidRPr="00FF7EC2">
        <w:rPr>
          <w:rFonts w:eastAsia="Times New Roman" w:cs="Times New Roman"/>
          <w:lang w:eastAsia="de-DE"/>
        </w:rPr>
        <w:t xml:space="preserve">bezeichnet die Gesamtheit: </w:t>
      </w:r>
      <w:r w:rsidRPr="00FF7EC2">
        <w:rPr>
          <w:rFonts w:eastAsia="Times New Roman" w:cs="Times New Roman"/>
          <w:b/>
          <w:bCs/>
          <w:rtl/>
          <w:lang w:eastAsia="de-DE"/>
        </w:rPr>
        <w:t>אֶת</w:t>
      </w:r>
      <w:r w:rsidRPr="00FF7EC2">
        <w:rPr>
          <w:rFonts w:eastAsia="Times New Roman" w:cs="Times New Roman"/>
          <w:rtl/>
          <w:lang w:eastAsia="de-DE"/>
        </w:rPr>
        <w:t xml:space="preserve"> </w:t>
      </w:r>
      <w:r w:rsidRPr="00FF7EC2">
        <w:rPr>
          <w:rFonts w:eastAsia="Times New Roman" w:cs="Times New Roman"/>
          <w:lang w:eastAsia="de-DE"/>
        </w:rPr>
        <w:t xml:space="preserve">ist die Objektpartikel, </w:t>
      </w:r>
      <w:r w:rsidRPr="00FF7EC2">
        <w:rPr>
          <w:rFonts w:eastAsia="Times New Roman" w:cs="Times New Roman"/>
          <w:b/>
          <w:bCs/>
          <w:rtl/>
          <w:lang w:eastAsia="de-DE"/>
        </w:rPr>
        <w:t>כָּל־הָעֵדָה</w:t>
      </w:r>
      <w:r w:rsidRPr="00FF7EC2">
        <w:rPr>
          <w:rFonts w:eastAsia="Times New Roman" w:cs="Times New Roman"/>
          <w:rtl/>
          <w:lang w:eastAsia="de-DE"/>
        </w:rPr>
        <w:t xml:space="preserve"> </w:t>
      </w:r>
      <w:r w:rsidRPr="00FF7EC2">
        <w:rPr>
          <w:rFonts w:eastAsia="Times New Roman" w:cs="Times New Roman"/>
          <w:lang w:eastAsia="de-DE"/>
        </w:rPr>
        <w:t>ist „die ganze Gemeinde" (</w:t>
      </w:r>
      <w:r w:rsidRPr="00FF7EC2">
        <w:rPr>
          <w:rFonts w:eastAsia="Times New Roman" w:cs="Times New Roman"/>
          <w:b/>
          <w:bCs/>
          <w:rtl/>
          <w:lang w:eastAsia="de-DE"/>
        </w:rPr>
        <w:t>כָּל</w:t>
      </w:r>
      <w:r w:rsidRPr="00FF7EC2">
        <w:rPr>
          <w:rFonts w:eastAsia="Times New Roman" w:cs="Times New Roman"/>
          <w:rtl/>
          <w:lang w:eastAsia="de-DE"/>
        </w:rPr>
        <w:t xml:space="preserve"> </w:t>
      </w:r>
      <w:r w:rsidRPr="00FF7EC2">
        <w:rPr>
          <w:rFonts w:eastAsia="Times New Roman" w:cs="Times New Roman"/>
          <w:lang w:eastAsia="de-DE"/>
        </w:rPr>
        <w:t xml:space="preserve">im Constructus vor </w:t>
      </w:r>
      <w:r w:rsidRPr="00FF7EC2">
        <w:rPr>
          <w:rFonts w:eastAsia="Times New Roman" w:cs="Times New Roman"/>
          <w:b/>
          <w:bCs/>
          <w:rtl/>
          <w:lang w:eastAsia="de-DE"/>
        </w:rPr>
        <w:t>הָעֵדָה</w:t>
      </w:r>
      <w:r w:rsidRPr="00FF7EC2">
        <w:rPr>
          <w:rFonts w:eastAsia="Times New Roman" w:cs="Times New Roman"/>
          <w:rtl/>
          <w:lang w:eastAsia="de-DE"/>
        </w:rPr>
        <w:t xml:space="preserve"> </w:t>
      </w:r>
      <w:r w:rsidRPr="00FF7EC2">
        <w:rPr>
          <w:rFonts w:eastAsia="Times New Roman" w:cs="Times New Roman"/>
          <w:lang w:eastAsia="de-DE"/>
        </w:rPr>
        <w:t>mit Artikel). Korach mobilisiert das gesamte Volk gegen Mose und Aaron.</w:t>
      </w:r>
    </w:p>
    <w:p w14:paraId="20959439"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Präpositionalphrase </w:t>
      </w:r>
      <w:r w:rsidRPr="00FF7EC2">
        <w:rPr>
          <w:rFonts w:eastAsia="Times New Roman" w:cs="Times New Roman"/>
          <w:b/>
          <w:bCs/>
          <w:rtl/>
          <w:lang w:eastAsia="de-DE"/>
        </w:rPr>
        <w:t>אֶל־פֶּתַח אֹהֶל מוֹעֵד</w:t>
      </w:r>
      <w:r w:rsidRPr="00FF7EC2">
        <w:rPr>
          <w:rFonts w:eastAsia="Times New Roman" w:cs="Times New Roman"/>
          <w:rtl/>
          <w:lang w:eastAsia="de-DE"/>
        </w:rPr>
        <w:t xml:space="preserve"> </w:t>
      </w:r>
      <w:r w:rsidRPr="00FF7EC2">
        <w:rPr>
          <w:rFonts w:eastAsia="Times New Roman" w:cs="Times New Roman"/>
          <w:lang w:eastAsia="de-DE"/>
        </w:rPr>
        <w:t xml:space="preserve">gibt den Ort der Versammlung an: </w:t>
      </w:r>
      <w:r w:rsidRPr="00FF7EC2">
        <w:rPr>
          <w:rFonts w:eastAsia="Times New Roman" w:cs="Times New Roman"/>
          <w:b/>
          <w:bCs/>
          <w:rtl/>
          <w:lang w:eastAsia="de-DE"/>
        </w:rPr>
        <w:t>אֶל</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„zu, an", </w:t>
      </w:r>
      <w:r w:rsidRPr="00FF7EC2">
        <w:rPr>
          <w:rFonts w:eastAsia="Times New Roman" w:cs="Times New Roman"/>
          <w:b/>
          <w:bCs/>
          <w:rtl/>
          <w:lang w:eastAsia="de-DE"/>
        </w:rPr>
        <w:t>פֶּתַח</w:t>
      </w:r>
      <w:r w:rsidRPr="00FF7EC2">
        <w:rPr>
          <w:rFonts w:eastAsia="Times New Roman" w:cs="Times New Roman"/>
          <w:rtl/>
          <w:lang w:eastAsia="de-DE"/>
        </w:rPr>
        <w:t xml:space="preserve"> </w:t>
      </w:r>
      <w:r w:rsidRPr="00FF7EC2">
        <w:rPr>
          <w:rFonts w:eastAsia="Times New Roman" w:cs="Times New Roman"/>
          <w:lang w:eastAsia="de-DE"/>
        </w:rPr>
        <w:t xml:space="preserve">bedeutet „Eingang", </w:t>
      </w:r>
      <w:r w:rsidRPr="00FF7EC2">
        <w:rPr>
          <w:rFonts w:eastAsia="Times New Roman" w:cs="Times New Roman"/>
          <w:b/>
          <w:bCs/>
          <w:rtl/>
          <w:lang w:eastAsia="de-DE"/>
        </w:rPr>
        <w:t>אֹהֶל מוֹעֵד</w:t>
      </w:r>
      <w:r w:rsidRPr="00FF7EC2">
        <w:rPr>
          <w:rFonts w:eastAsia="Times New Roman" w:cs="Times New Roman"/>
          <w:rtl/>
          <w:lang w:eastAsia="de-DE"/>
        </w:rPr>
        <w:t xml:space="preserve"> </w:t>
      </w:r>
      <w:r w:rsidRPr="00FF7EC2">
        <w:rPr>
          <w:rFonts w:eastAsia="Times New Roman" w:cs="Times New Roman"/>
          <w:lang w:eastAsia="de-DE"/>
        </w:rPr>
        <w:t>ist die Constructus-Verbindung „Zelt der Begegnung". Die Phrase entspricht der Ortsangabe aus Vers 18.</w:t>
      </w:r>
    </w:p>
    <w:p w14:paraId="25640D33"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koordinierte Verb </w:t>
      </w:r>
      <w:r w:rsidRPr="00FF7EC2">
        <w:rPr>
          <w:rFonts w:eastAsia="Times New Roman" w:cs="Times New Roman"/>
          <w:b/>
          <w:bCs/>
          <w:rtl/>
          <w:lang w:eastAsia="de-DE"/>
        </w:rPr>
        <w:t>וַיֵּרָא</w:t>
      </w:r>
      <w:r w:rsidRPr="00FF7EC2">
        <w:rPr>
          <w:rFonts w:eastAsia="Times New Roman" w:cs="Times New Roman"/>
          <w:rtl/>
          <w:lang w:eastAsia="de-DE"/>
        </w:rPr>
        <w:t xml:space="preserve"> </w:t>
      </w:r>
      <w:r w:rsidRPr="00FF7EC2">
        <w:rPr>
          <w:rFonts w:eastAsia="Times New Roman" w:cs="Times New Roman"/>
          <w:lang w:eastAsia="de-DE"/>
        </w:rPr>
        <w:t xml:space="preserve">(Wayyiqtol, 3. m. sg. von </w:t>
      </w:r>
      <w:r w:rsidRPr="00FF7EC2">
        <w:rPr>
          <w:rFonts w:eastAsia="Times New Roman" w:cs="Times New Roman"/>
          <w:b/>
          <w:bCs/>
          <w:rtl/>
          <w:lang w:eastAsia="de-DE"/>
        </w:rPr>
        <w:t>ראה</w:t>
      </w:r>
      <w:r w:rsidRPr="00FF7EC2">
        <w:rPr>
          <w:rFonts w:eastAsia="Times New Roman" w:cs="Times New Roman"/>
          <w:rtl/>
          <w:lang w:eastAsia="de-DE"/>
        </w:rPr>
        <w:t xml:space="preserve"> </w:t>
      </w:r>
      <w:r w:rsidRPr="00FF7EC2">
        <w:rPr>
          <w:rFonts w:eastAsia="Times New Roman" w:cs="Times New Roman"/>
          <w:lang w:eastAsia="de-DE"/>
        </w:rPr>
        <w:t xml:space="preserve">Nifal) bedeutet „und es erschien, wurde sichtbar". Die Nifal-Form hat passive Bedeutung. Das Subjekt </w:t>
      </w:r>
      <w:r w:rsidRPr="00FF7EC2">
        <w:rPr>
          <w:rFonts w:eastAsia="Times New Roman" w:cs="Times New Roman"/>
          <w:b/>
          <w:bCs/>
          <w:rtl/>
          <w:lang w:eastAsia="de-DE"/>
        </w:rPr>
        <w:t>כְבוֹד־יְהוָה</w:t>
      </w:r>
      <w:r w:rsidRPr="00FF7EC2">
        <w:rPr>
          <w:rFonts w:eastAsia="Times New Roman" w:cs="Times New Roman"/>
          <w:rtl/>
          <w:lang w:eastAsia="de-DE"/>
        </w:rPr>
        <w:t xml:space="preserve"> </w:t>
      </w:r>
      <w:r w:rsidRPr="00FF7EC2">
        <w:rPr>
          <w:rFonts w:eastAsia="Times New Roman" w:cs="Times New Roman"/>
          <w:lang w:eastAsia="de-DE"/>
        </w:rPr>
        <w:t xml:space="preserve">ist die Constructus-Verbindung: </w:t>
      </w:r>
      <w:r w:rsidRPr="00FF7EC2">
        <w:rPr>
          <w:rFonts w:eastAsia="Times New Roman" w:cs="Times New Roman"/>
          <w:b/>
          <w:bCs/>
          <w:rtl/>
          <w:lang w:eastAsia="de-DE"/>
        </w:rPr>
        <w:t>כְבוֹד</w:t>
      </w:r>
      <w:r w:rsidRPr="00FF7EC2">
        <w:rPr>
          <w:rFonts w:eastAsia="Times New Roman" w:cs="Times New Roman"/>
          <w:rtl/>
          <w:lang w:eastAsia="de-DE"/>
        </w:rPr>
        <w:t xml:space="preserve"> </w:t>
      </w:r>
      <w:r w:rsidRPr="00FF7EC2">
        <w:rPr>
          <w:rFonts w:eastAsia="Times New Roman" w:cs="Times New Roman"/>
          <w:lang w:eastAsia="de-DE"/>
        </w:rPr>
        <w:t xml:space="preserve">bedeutet „Herrlichkeit, Ehre, Gewicht", </w:t>
      </w:r>
      <w:r w:rsidRPr="00FF7EC2">
        <w:rPr>
          <w:rFonts w:eastAsia="Times New Roman" w:cs="Times New Roman"/>
          <w:b/>
          <w:bCs/>
          <w:rtl/>
          <w:lang w:eastAsia="de-DE"/>
        </w:rPr>
        <w:t>יְהוָה</w:t>
      </w:r>
      <w:r w:rsidRPr="00FF7EC2">
        <w:rPr>
          <w:rFonts w:eastAsia="Times New Roman" w:cs="Times New Roman"/>
          <w:rtl/>
          <w:lang w:eastAsia="de-DE"/>
        </w:rPr>
        <w:t xml:space="preserve"> </w:t>
      </w:r>
      <w:r w:rsidRPr="00FF7EC2">
        <w:rPr>
          <w:rFonts w:eastAsia="Times New Roman" w:cs="Times New Roman"/>
          <w:lang w:eastAsia="de-DE"/>
        </w:rPr>
        <w:t xml:space="preserve">ist das Tetragramm. </w:t>
      </w:r>
      <w:r w:rsidRPr="00FF7EC2">
        <w:rPr>
          <w:rFonts w:eastAsia="Times New Roman" w:cs="Times New Roman"/>
          <w:b/>
          <w:bCs/>
          <w:rtl/>
          <w:lang w:eastAsia="de-DE"/>
        </w:rPr>
        <w:t>כבוד יהוה</w:t>
      </w:r>
      <w:r w:rsidRPr="00FF7EC2">
        <w:rPr>
          <w:rFonts w:eastAsia="Times New Roman" w:cs="Times New Roman"/>
          <w:rtl/>
          <w:lang w:eastAsia="de-DE"/>
        </w:rPr>
        <w:t xml:space="preserve"> </w:t>
      </w:r>
      <w:r w:rsidRPr="00FF7EC2">
        <w:rPr>
          <w:rFonts w:eastAsia="Times New Roman" w:cs="Times New Roman"/>
          <w:lang w:eastAsia="de-DE"/>
        </w:rPr>
        <w:t>ist ein zentraler theologischer Begriff für die sichtbare Manifestation der göttlichen Präsenz.</w:t>
      </w:r>
    </w:p>
    <w:p w14:paraId="0A5B23BD"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Präposition </w:t>
      </w:r>
      <w:r w:rsidRPr="00FF7EC2">
        <w:rPr>
          <w:rFonts w:eastAsia="Times New Roman" w:cs="Times New Roman"/>
          <w:b/>
          <w:bCs/>
          <w:rtl/>
          <w:lang w:eastAsia="de-DE"/>
        </w:rPr>
        <w:t>אֶל־כָּל־הָעֵדָה</w:t>
      </w:r>
      <w:r w:rsidRPr="00FF7EC2">
        <w:rPr>
          <w:rFonts w:eastAsia="Times New Roman" w:cs="Times New Roman"/>
          <w:rtl/>
          <w:lang w:eastAsia="de-DE"/>
        </w:rPr>
        <w:t xml:space="preserve"> </w:t>
      </w:r>
      <w:r w:rsidRPr="00FF7EC2">
        <w:rPr>
          <w:rFonts w:eastAsia="Times New Roman" w:cs="Times New Roman"/>
          <w:lang w:eastAsia="de-DE"/>
        </w:rPr>
        <w:t xml:space="preserve">gibt an, wem gegenüber die Erscheinung erfolgte: </w:t>
      </w:r>
      <w:r w:rsidRPr="00FF7EC2">
        <w:rPr>
          <w:rFonts w:eastAsia="Times New Roman" w:cs="Times New Roman"/>
          <w:b/>
          <w:bCs/>
          <w:rtl/>
          <w:lang w:eastAsia="de-DE"/>
        </w:rPr>
        <w:t>אֶל</w:t>
      </w:r>
      <w:r w:rsidRPr="00FF7EC2">
        <w:rPr>
          <w:rFonts w:eastAsia="Times New Roman" w:cs="Times New Roman"/>
          <w:rtl/>
          <w:lang w:eastAsia="de-DE"/>
        </w:rPr>
        <w:t xml:space="preserve"> </w:t>
      </w:r>
      <w:r w:rsidRPr="00FF7EC2">
        <w:rPr>
          <w:rFonts w:eastAsia="Times New Roman" w:cs="Times New Roman"/>
          <w:lang w:eastAsia="de-DE"/>
        </w:rPr>
        <w:t xml:space="preserve">kann hier „zu, vor" bedeuten, </w:t>
      </w:r>
      <w:r w:rsidRPr="00FF7EC2">
        <w:rPr>
          <w:rFonts w:eastAsia="Times New Roman" w:cs="Times New Roman"/>
          <w:b/>
          <w:bCs/>
          <w:rtl/>
          <w:lang w:eastAsia="de-DE"/>
        </w:rPr>
        <w:t>כָּל־הָעֵדָה</w:t>
      </w:r>
      <w:r w:rsidRPr="00FF7EC2">
        <w:rPr>
          <w:rFonts w:eastAsia="Times New Roman" w:cs="Times New Roman"/>
          <w:rtl/>
          <w:lang w:eastAsia="de-DE"/>
        </w:rPr>
        <w:t xml:space="preserve"> </w:t>
      </w:r>
      <w:r w:rsidRPr="00FF7EC2">
        <w:rPr>
          <w:rFonts w:eastAsia="Times New Roman" w:cs="Times New Roman"/>
          <w:lang w:eastAsia="de-DE"/>
        </w:rPr>
        <w:t>ist „die ganze Gemeinde". Die göttliche Herrlichkeit erscheint vor dem gesamten versammelten Volk.</w:t>
      </w:r>
    </w:p>
    <w:p w14:paraId="6576C4B4"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markiert den dramatischen Höhepunkt: Korach hat das Volk mobilisiert, aber statt eines menschlichen Triumphes folgt die göttliche Theophanie.</w:t>
      </w:r>
    </w:p>
    <w:p w14:paraId="18650C54" w14:textId="66BC53E9"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Die LXX</w:t>
      </w:r>
      <w:r w:rsidRPr="00FF7EC2">
        <w:rPr>
          <w:rFonts w:eastAsia="Times New Roman" w:cs="Times New Roman"/>
          <w:lang w:eastAsia="de-DE"/>
        </w:rPr>
        <w:t xml:space="preserve"> übersetzt </w:t>
      </w:r>
      <w:r w:rsidRPr="00FF7EC2">
        <w:rPr>
          <w:rFonts w:eastAsia="Times New Roman" w:cs="Times New Roman"/>
          <w:b/>
          <w:bCs/>
          <w:rtl/>
          <w:lang w:eastAsia="de-DE"/>
        </w:rPr>
        <w:t>וַיַּקְהֵל עֲלֵיהֶם קֹרַח אֶת־כָּל־הָעֵדָה</w:t>
      </w:r>
      <w:r w:rsidRPr="00FF7EC2">
        <w:rPr>
          <w:rFonts w:eastAsia="Times New Roman" w:cs="Times New Roman"/>
          <w:rtl/>
          <w:lang w:eastAsia="de-DE"/>
        </w:rPr>
        <w:t xml:space="preserve"> </w:t>
      </w:r>
      <w:r w:rsidRPr="00FF7EC2">
        <w:rPr>
          <w:rFonts w:eastAsia="Times New Roman" w:cs="Times New Roman"/>
          <w:lang w:eastAsia="de-DE"/>
        </w:rPr>
        <w:t xml:space="preserve">mit καὶ ἐπισυνέστησεν ἐπ' αὐτοὺς Κορε πᾶσαν τὴν συναγωγήν („und Kore versammelte gegen sie die ganze Gemeinde"). </w:t>
      </w:r>
      <w:r w:rsidRPr="00FF7EC2">
        <w:rPr>
          <w:rFonts w:eastAsia="Times New Roman" w:cs="Times New Roman"/>
          <w:b/>
          <w:bCs/>
          <w:rtl/>
          <w:lang w:eastAsia="de-DE"/>
        </w:rPr>
        <w:t>אֶל־פֶּתַח אֹהֶל מוֹעֵד</w:t>
      </w:r>
      <w:r w:rsidRPr="00FF7EC2">
        <w:rPr>
          <w:rFonts w:eastAsia="Times New Roman" w:cs="Times New Roman"/>
          <w:rtl/>
          <w:lang w:eastAsia="de-DE"/>
        </w:rPr>
        <w:t xml:space="preserve"> </w:t>
      </w:r>
      <w:r w:rsidRPr="00FF7EC2">
        <w:rPr>
          <w:rFonts w:eastAsia="Times New Roman" w:cs="Times New Roman"/>
          <w:lang w:eastAsia="de-DE"/>
        </w:rPr>
        <w:t xml:space="preserve">wird mit ἐπὶ τὴν θύραν τῆς σκηνῆς τοῦ μαρτυρίου („an die Tür des Zeltes des Zeugnisses") wiedergegeben. </w:t>
      </w:r>
      <w:r w:rsidRPr="00FF7EC2">
        <w:rPr>
          <w:rFonts w:eastAsia="Times New Roman" w:cs="Times New Roman"/>
          <w:b/>
          <w:bCs/>
          <w:rtl/>
          <w:lang w:eastAsia="de-DE"/>
        </w:rPr>
        <w:t>וַיֵּרָא כְבוֹד־יְהוָה אֶל־כָּל־הָעֵדָה</w:t>
      </w:r>
      <w:r w:rsidRPr="00FF7EC2">
        <w:rPr>
          <w:rFonts w:eastAsia="Times New Roman" w:cs="Times New Roman"/>
          <w:rtl/>
          <w:lang w:eastAsia="de-DE"/>
        </w:rPr>
        <w:t xml:space="preserve"> </w:t>
      </w:r>
      <w:r w:rsidRPr="00FF7EC2">
        <w:rPr>
          <w:rFonts w:eastAsia="Times New Roman" w:cs="Times New Roman"/>
          <w:lang w:eastAsia="de-DE"/>
        </w:rPr>
        <w:t>wird mit καὶ ὤφθη ἡ δόξα κυρίου πάσῃ τῇ συναγωγῇ („und die Herrlichkeit des Herrn erschien der ganzen Gemeinde") übersetzt.</w:t>
      </w:r>
    </w:p>
    <w:p w14:paraId="7796AB4F"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zwei koordinierte Hauptsätze: Der erste mit Hifil-Verb, explizitem Subjekt, Präpositionalphrase, Objekt und Ortsangabe; der zweite mit Nifal-Verb, Subjekt (Constructus-Verbindung) und Präpositionalphrase. Es gibt keine Nebensätze.</w:t>
      </w:r>
    </w:p>
    <w:p w14:paraId="6A36E9C3"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zeigt die Eskalation der Rebellion und die unmittelbare göttliche Reaktion: Die Herrlichkeit JHWHs erscheint, um die Situation zu entscheiden.</w:t>
      </w:r>
    </w:p>
    <w:p w14:paraId="57B2C59D"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16,20</w:t>
      </w:r>
    </w:p>
    <w:p w14:paraId="005407D5"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lastRenderedPageBreak/>
        <w:t>Hebräisch:</w:t>
      </w:r>
      <w:r w:rsidRPr="00FF7EC2">
        <w:rPr>
          <w:rFonts w:eastAsia="Times New Roman" w:cs="Times New Roman"/>
          <w:lang w:eastAsia="de-DE"/>
        </w:rPr>
        <w:t xml:space="preserve"> </w:t>
      </w:r>
      <w:r w:rsidRPr="00FF7EC2">
        <w:rPr>
          <w:rFonts w:eastAsia="Times New Roman" w:cs="Times New Roman"/>
          <w:rtl/>
          <w:lang w:eastAsia="de-DE"/>
        </w:rPr>
        <w:t>וַיְדַבֵּ֣ר יְהוָ֔ה אֶל־מֹשֶׁ֥ה וְאֶֽל־אַהֲרֹ֖ן לֵאמֹֽר׃</w:t>
      </w:r>
    </w:p>
    <w:p w14:paraId="32BD2A28"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Deutsch:</w:t>
      </w:r>
      <w:r w:rsidRPr="00FF7EC2">
        <w:rPr>
          <w:rFonts w:eastAsia="Times New Roman" w:cs="Times New Roman"/>
          <w:lang w:eastAsia="de-DE"/>
        </w:rPr>
        <w:t xml:space="preserve"> Und der Ewige redete zu Mosche und zu Aharon, sagend:</w:t>
      </w:r>
    </w:p>
    <w:p w14:paraId="1E0707B8"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5E647CD7">
          <v:rect id="_x0000_i1558" style="width:0;height:1.5pt" o:hralign="center" o:hrstd="t" o:hr="t" fillcolor="#a0a0a0" stroked="f"/>
        </w:pict>
      </w:r>
    </w:p>
    <w:p w14:paraId="0EBFCEC6"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Kommentar:</w:t>
      </w:r>
      <w:r w:rsidRPr="00FF7EC2">
        <w:rPr>
          <w:rFonts w:eastAsia="Times New Roman" w:cs="Times New Roman"/>
          <w:lang w:eastAsia="de-DE"/>
        </w:rPr>
        <w:t xml:space="preserve"> Das Verb </w:t>
      </w:r>
      <w:r w:rsidRPr="00FF7EC2">
        <w:rPr>
          <w:rFonts w:eastAsia="Times New Roman" w:cs="Times New Roman"/>
          <w:b/>
          <w:bCs/>
          <w:rtl/>
          <w:lang w:eastAsia="de-DE"/>
        </w:rPr>
        <w:t>וַיְדַבֵּר</w:t>
      </w:r>
      <w:r w:rsidRPr="00FF7EC2">
        <w:rPr>
          <w:rFonts w:eastAsia="Times New Roman" w:cs="Times New Roman"/>
          <w:rtl/>
          <w:lang w:eastAsia="de-DE"/>
        </w:rPr>
        <w:t xml:space="preserve"> </w:t>
      </w:r>
      <w:r w:rsidRPr="00FF7EC2">
        <w:rPr>
          <w:rFonts w:eastAsia="Times New Roman" w:cs="Times New Roman"/>
          <w:lang w:eastAsia="de-DE"/>
        </w:rPr>
        <w:t xml:space="preserve">(Wayyiqtol, 3. m. sg. von </w:t>
      </w:r>
      <w:r w:rsidRPr="00FF7EC2">
        <w:rPr>
          <w:rFonts w:eastAsia="Times New Roman" w:cs="Times New Roman"/>
          <w:b/>
          <w:bCs/>
          <w:rtl/>
          <w:lang w:eastAsia="de-DE"/>
        </w:rPr>
        <w:t>דבר</w:t>
      </w:r>
      <w:r w:rsidRPr="00FF7EC2">
        <w:rPr>
          <w:rFonts w:eastAsia="Times New Roman" w:cs="Times New Roman"/>
          <w:rtl/>
          <w:lang w:eastAsia="de-DE"/>
        </w:rPr>
        <w:t xml:space="preserve"> </w:t>
      </w:r>
      <w:r w:rsidRPr="00FF7EC2">
        <w:rPr>
          <w:rFonts w:eastAsia="Times New Roman" w:cs="Times New Roman"/>
          <w:lang w:eastAsia="de-DE"/>
        </w:rPr>
        <w:t xml:space="preserve">Piel) bedeutet „und er redete". Die Piel-Form hat intensive Bedeutung und bezeichnet autoritatives, formelles Reden. </w:t>
      </w:r>
      <w:r w:rsidRPr="00FF7EC2">
        <w:rPr>
          <w:rFonts w:eastAsia="Times New Roman" w:cs="Times New Roman"/>
          <w:b/>
          <w:bCs/>
          <w:rtl/>
          <w:lang w:eastAsia="de-DE"/>
        </w:rPr>
        <w:t>יְהוָה</w:t>
      </w:r>
      <w:r w:rsidRPr="00FF7EC2">
        <w:rPr>
          <w:rFonts w:eastAsia="Times New Roman" w:cs="Times New Roman"/>
          <w:rtl/>
          <w:lang w:eastAsia="de-DE"/>
        </w:rPr>
        <w:t xml:space="preserve"> </w:t>
      </w:r>
      <w:r w:rsidRPr="00FF7EC2">
        <w:rPr>
          <w:rFonts w:eastAsia="Times New Roman" w:cs="Times New Roman"/>
          <w:lang w:eastAsia="de-DE"/>
        </w:rPr>
        <w:t>ist das explizite Subjekt (Tetragramm).</w:t>
      </w:r>
    </w:p>
    <w:p w14:paraId="6F6C4CDB"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doppelte Präpositionalphrase </w:t>
      </w:r>
      <w:r w:rsidRPr="00FF7EC2">
        <w:rPr>
          <w:rFonts w:eastAsia="Times New Roman" w:cs="Times New Roman"/>
          <w:b/>
          <w:bCs/>
          <w:rtl/>
          <w:lang w:eastAsia="de-DE"/>
        </w:rPr>
        <w:t>אֶל־מֹשֶׁה וְאֶֽל־אַהֲרֹן</w:t>
      </w:r>
      <w:r w:rsidRPr="00FF7EC2">
        <w:rPr>
          <w:rFonts w:eastAsia="Times New Roman" w:cs="Times New Roman"/>
          <w:rtl/>
          <w:lang w:eastAsia="de-DE"/>
        </w:rPr>
        <w:t xml:space="preserve"> </w:t>
      </w:r>
      <w:r w:rsidRPr="00FF7EC2">
        <w:rPr>
          <w:rFonts w:eastAsia="Times New Roman" w:cs="Times New Roman"/>
          <w:lang w:eastAsia="de-DE"/>
        </w:rPr>
        <w:t xml:space="preserve">gibt die Adressaten an: </w:t>
      </w:r>
      <w:r w:rsidRPr="00FF7EC2">
        <w:rPr>
          <w:rFonts w:eastAsia="Times New Roman" w:cs="Times New Roman"/>
          <w:b/>
          <w:bCs/>
          <w:rtl/>
          <w:lang w:eastAsia="de-DE"/>
        </w:rPr>
        <w:t>אֶל</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„zu", </w:t>
      </w:r>
      <w:r w:rsidRPr="00FF7EC2">
        <w:rPr>
          <w:rFonts w:eastAsia="Times New Roman" w:cs="Times New Roman"/>
          <w:b/>
          <w:bCs/>
          <w:rtl/>
          <w:lang w:eastAsia="de-DE"/>
        </w:rPr>
        <w:t>מֹשֶׁה</w:t>
      </w:r>
      <w:r w:rsidRPr="00FF7EC2">
        <w:rPr>
          <w:rFonts w:eastAsia="Times New Roman" w:cs="Times New Roman"/>
          <w:rtl/>
          <w:lang w:eastAsia="de-DE"/>
        </w:rPr>
        <w:t xml:space="preserve"> </w:t>
      </w:r>
      <w:r w:rsidRPr="00FF7EC2">
        <w:rPr>
          <w:rFonts w:eastAsia="Times New Roman" w:cs="Times New Roman"/>
          <w:lang w:eastAsia="de-DE"/>
        </w:rPr>
        <w:t xml:space="preserve">(Mose) der erste Adressat, koordiniert durch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 xml:space="preserve">mit </w:t>
      </w:r>
      <w:r w:rsidRPr="00FF7EC2">
        <w:rPr>
          <w:rFonts w:eastAsia="Times New Roman" w:cs="Times New Roman"/>
          <w:b/>
          <w:bCs/>
          <w:rtl/>
          <w:lang w:eastAsia="de-DE"/>
        </w:rPr>
        <w:t>אַהֲרֹן</w:t>
      </w:r>
      <w:r w:rsidRPr="00FF7EC2">
        <w:rPr>
          <w:rFonts w:eastAsia="Times New Roman" w:cs="Times New Roman"/>
          <w:rtl/>
          <w:lang w:eastAsia="de-DE"/>
        </w:rPr>
        <w:t xml:space="preserve"> </w:t>
      </w:r>
      <w:r w:rsidRPr="00FF7EC2">
        <w:rPr>
          <w:rFonts w:eastAsia="Times New Roman" w:cs="Times New Roman"/>
          <w:lang w:eastAsia="de-DE"/>
        </w:rPr>
        <w:t xml:space="preserve">(Aaron) als zweitem Adressaten. Die Wiederholung der Präposition </w:t>
      </w:r>
      <w:r w:rsidRPr="00FF7EC2">
        <w:rPr>
          <w:rFonts w:eastAsia="Times New Roman" w:cs="Times New Roman"/>
          <w:b/>
          <w:bCs/>
          <w:rtl/>
          <w:lang w:eastAsia="de-DE"/>
        </w:rPr>
        <w:t>אֶל</w:t>
      </w:r>
      <w:r w:rsidRPr="00FF7EC2">
        <w:rPr>
          <w:rFonts w:eastAsia="Times New Roman" w:cs="Times New Roman"/>
          <w:rtl/>
          <w:lang w:eastAsia="de-DE"/>
        </w:rPr>
        <w:t xml:space="preserve"> </w:t>
      </w:r>
      <w:r w:rsidRPr="00FF7EC2">
        <w:rPr>
          <w:rFonts w:eastAsia="Times New Roman" w:cs="Times New Roman"/>
          <w:lang w:eastAsia="de-DE"/>
        </w:rPr>
        <w:t>unterstreicht, dass beide gleichermaßen angesprochen werden.</w:t>
      </w:r>
    </w:p>
    <w:p w14:paraId="28CD5FFA"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Verb </w:t>
      </w:r>
      <w:r w:rsidRPr="00FF7EC2">
        <w:rPr>
          <w:rFonts w:eastAsia="Times New Roman" w:cs="Times New Roman"/>
          <w:b/>
          <w:bCs/>
          <w:rtl/>
          <w:lang w:eastAsia="de-DE"/>
        </w:rPr>
        <w:t>לֵאמֹר</w:t>
      </w:r>
      <w:r w:rsidRPr="00FF7EC2">
        <w:rPr>
          <w:rFonts w:eastAsia="Times New Roman" w:cs="Times New Roman"/>
          <w:rtl/>
          <w:lang w:eastAsia="de-DE"/>
        </w:rPr>
        <w:t xml:space="preserve"> </w:t>
      </w:r>
      <w:r w:rsidRPr="00FF7EC2">
        <w:rPr>
          <w:rFonts w:eastAsia="Times New Roman" w:cs="Times New Roman"/>
          <w:lang w:eastAsia="de-DE"/>
        </w:rPr>
        <w:t xml:space="preserve">ist der Qal Infinitiv construct von </w:t>
      </w:r>
      <w:r w:rsidRPr="00FF7EC2">
        <w:rPr>
          <w:rFonts w:eastAsia="Times New Roman" w:cs="Times New Roman"/>
          <w:b/>
          <w:bCs/>
          <w:rtl/>
          <w:lang w:eastAsia="de-DE"/>
        </w:rPr>
        <w:t>אמר</w:t>
      </w:r>
      <w:r w:rsidRPr="00FF7EC2">
        <w:rPr>
          <w:rFonts w:eastAsia="Times New Roman" w:cs="Times New Roman"/>
          <w:rtl/>
          <w:lang w:eastAsia="de-DE"/>
        </w:rPr>
        <w:t xml:space="preserve"> </w:t>
      </w:r>
      <w:r w:rsidRPr="00FF7EC2">
        <w:rPr>
          <w:rFonts w:eastAsia="Times New Roman" w:cs="Times New Roman"/>
          <w:lang w:eastAsia="de-DE"/>
        </w:rPr>
        <w:t xml:space="preserve">mit der Präposition </w:t>
      </w:r>
      <w:r w:rsidRPr="00FF7EC2">
        <w:rPr>
          <w:rFonts w:eastAsia="Times New Roman" w:cs="Times New Roman"/>
          <w:b/>
          <w:bCs/>
          <w:rtl/>
          <w:lang w:eastAsia="de-DE"/>
        </w:rPr>
        <w:t>לְ</w:t>
      </w:r>
      <w:r w:rsidRPr="00FF7EC2">
        <w:rPr>
          <w:rFonts w:eastAsia="Times New Roman" w:cs="Times New Roman"/>
          <w:rtl/>
          <w:lang w:eastAsia="de-DE"/>
        </w:rPr>
        <w:t xml:space="preserve"> </w:t>
      </w:r>
      <w:r w:rsidRPr="00FF7EC2">
        <w:rPr>
          <w:rFonts w:eastAsia="Times New Roman" w:cs="Times New Roman"/>
          <w:lang w:eastAsia="de-DE"/>
        </w:rPr>
        <w:t>und dient als Redeeinleitung: „sprechend, sagend". Diese stereotypische Formel leitet die direkte göttliche Rede ein.</w:t>
      </w:r>
    </w:p>
    <w:p w14:paraId="69E7BB61"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ist eine klassische Redeeinleitungsformel, die in der priesterlichen Literatur des Pentateuch häufig vorkommt.</w:t>
      </w:r>
    </w:p>
    <w:p w14:paraId="7A0C75F7" w14:textId="337F9AB3"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Die LXX</w:t>
      </w:r>
      <w:r w:rsidRPr="00FF7EC2">
        <w:rPr>
          <w:rFonts w:eastAsia="Times New Roman" w:cs="Times New Roman"/>
          <w:lang w:eastAsia="de-DE"/>
        </w:rPr>
        <w:t xml:space="preserve"> übersetzt </w:t>
      </w:r>
      <w:r w:rsidRPr="00FF7EC2">
        <w:rPr>
          <w:rFonts w:eastAsia="Times New Roman" w:cs="Times New Roman"/>
          <w:b/>
          <w:bCs/>
          <w:rtl/>
          <w:lang w:eastAsia="de-DE"/>
        </w:rPr>
        <w:t>וַיְדַבֵּר יְהוָה אֶל־מֹשֶׁה וְאֶל־אַהֲרֹן</w:t>
      </w:r>
      <w:r w:rsidRPr="00FF7EC2">
        <w:rPr>
          <w:rFonts w:eastAsia="Times New Roman" w:cs="Times New Roman"/>
          <w:rtl/>
          <w:lang w:eastAsia="de-DE"/>
        </w:rPr>
        <w:t xml:space="preserve"> </w:t>
      </w:r>
      <w:r w:rsidRPr="00FF7EC2">
        <w:rPr>
          <w:rFonts w:eastAsia="Times New Roman" w:cs="Times New Roman"/>
          <w:lang w:eastAsia="de-DE"/>
        </w:rPr>
        <w:t xml:space="preserve">mit καὶ ἐλάλησεν κύριος πρὸς Μωυσῆν καὶ Ααρων („und der Herr sprach zu Mose und Aaron"). </w:t>
      </w:r>
      <w:r w:rsidRPr="00FF7EC2">
        <w:rPr>
          <w:rFonts w:eastAsia="Times New Roman" w:cs="Times New Roman"/>
          <w:b/>
          <w:bCs/>
          <w:rtl/>
          <w:lang w:eastAsia="de-DE"/>
        </w:rPr>
        <w:t>לֵאמֹר</w:t>
      </w:r>
      <w:r w:rsidRPr="00FF7EC2">
        <w:rPr>
          <w:rFonts w:eastAsia="Times New Roman" w:cs="Times New Roman"/>
          <w:rtl/>
          <w:lang w:eastAsia="de-DE"/>
        </w:rPr>
        <w:t xml:space="preserve"> </w:t>
      </w:r>
      <w:r w:rsidRPr="00FF7EC2">
        <w:rPr>
          <w:rFonts w:eastAsia="Times New Roman" w:cs="Times New Roman"/>
          <w:lang w:eastAsia="de-DE"/>
        </w:rPr>
        <w:t>wird mit λέγων („sagend") wiedergegeben.</w:t>
      </w:r>
    </w:p>
    <w:p w14:paraId="4B167CFD"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einen Hauptsatz mit Verb, explizitem Subjekt, doppelter Präpositionalphrase (koordiniert) und Redeeinleitung (Infinitiv construct). Es gibt keine Nebensätze.</w:t>
      </w:r>
    </w:p>
    <w:p w14:paraId="38C5E448"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leitet die göttliche Rede ein, die die Krise lösen wird.</w:t>
      </w:r>
    </w:p>
    <w:p w14:paraId="1AD366FD"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16,21</w:t>
      </w:r>
    </w:p>
    <w:p w14:paraId="3B22C0AB"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Hebräisch:</w:t>
      </w:r>
      <w:r w:rsidRPr="00FF7EC2">
        <w:rPr>
          <w:rFonts w:eastAsia="Times New Roman" w:cs="Times New Roman"/>
          <w:lang w:eastAsia="de-DE"/>
        </w:rPr>
        <w:t xml:space="preserve"> </w:t>
      </w:r>
      <w:r w:rsidRPr="00FF7EC2">
        <w:rPr>
          <w:rFonts w:eastAsia="Times New Roman" w:cs="Times New Roman"/>
          <w:rtl/>
          <w:lang w:eastAsia="de-DE"/>
        </w:rPr>
        <w:t>הִבָּ֣דְל֔וּ מִתּ֖וֹךְ הָעֵדָ֣ה הַזֹּ֑את וַאַכַלֶּ֥ה אֹתָ֖ם כְּרָֽגַע׃</w:t>
      </w:r>
    </w:p>
    <w:p w14:paraId="3F4621E9"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Deutsch:</w:t>
      </w:r>
      <w:r w:rsidRPr="00FF7EC2">
        <w:rPr>
          <w:rFonts w:eastAsia="Times New Roman" w:cs="Times New Roman"/>
          <w:lang w:eastAsia="de-DE"/>
        </w:rPr>
        <w:t xml:space="preserve"> Sondert euch ab aus der Mitte dieser Gemeinde, und ich werde sie in einem Augenblick vernichten!</w:t>
      </w:r>
    </w:p>
    <w:p w14:paraId="008FAD8F"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5016201E">
          <v:rect id="_x0000_i1559" style="width:0;height:1.5pt" o:hralign="center" o:hrstd="t" o:hr="t" fillcolor="#a0a0a0" stroked="f"/>
        </w:pict>
      </w:r>
    </w:p>
    <w:p w14:paraId="2301E61F"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Kommentar:</w:t>
      </w:r>
      <w:r w:rsidRPr="00FF7EC2">
        <w:rPr>
          <w:rFonts w:eastAsia="Times New Roman" w:cs="Times New Roman"/>
          <w:lang w:eastAsia="de-DE"/>
        </w:rPr>
        <w:t xml:space="preserve"> Das Verb </w:t>
      </w:r>
      <w:r w:rsidRPr="00FF7EC2">
        <w:rPr>
          <w:rFonts w:eastAsia="Times New Roman" w:cs="Times New Roman"/>
          <w:b/>
          <w:bCs/>
          <w:rtl/>
          <w:lang w:eastAsia="de-DE"/>
        </w:rPr>
        <w:t>הִבָּדְלוּ</w:t>
      </w:r>
      <w:r w:rsidRPr="00FF7EC2">
        <w:rPr>
          <w:rFonts w:eastAsia="Times New Roman" w:cs="Times New Roman"/>
          <w:rtl/>
          <w:lang w:eastAsia="de-DE"/>
        </w:rPr>
        <w:t xml:space="preserve"> </w:t>
      </w:r>
      <w:r w:rsidRPr="00FF7EC2">
        <w:rPr>
          <w:rFonts w:eastAsia="Times New Roman" w:cs="Times New Roman"/>
          <w:lang w:eastAsia="de-DE"/>
        </w:rPr>
        <w:t xml:space="preserve">(Nifal Imperativ, 2. m. pl. von </w:t>
      </w:r>
      <w:r w:rsidRPr="00FF7EC2">
        <w:rPr>
          <w:rFonts w:eastAsia="Times New Roman" w:cs="Times New Roman"/>
          <w:b/>
          <w:bCs/>
          <w:rtl/>
          <w:lang w:eastAsia="de-DE"/>
        </w:rPr>
        <w:t>בדל</w:t>
      </w:r>
      <w:r w:rsidRPr="00FF7EC2">
        <w:rPr>
          <w:rFonts w:eastAsia="Times New Roman" w:cs="Times New Roman"/>
          <w:lang w:eastAsia="de-DE"/>
        </w:rPr>
        <w:t>) bedeutet „sondert euch ab, trennt euch". Die Nifal-Form hat reflexive Bedeutung: „sich absondern". Der Imperativ Plural richtet sich an Mose und Aaron.</w:t>
      </w:r>
    </w:p>
    <w:p w14:paraId="1AE5FC52"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Präpositionalphrase </w:t>
      </w:r>
      <w:r w:rsidRPr="00FF7EC2">
        <w:rPr>
          <w:rFonts w:eastAsia="Times New Roman" w:cs="Times New Roman"/>
          <w:b/>
          <w:bCs/>
          <w:rtl/>
          <w:lang w:eastAsia="de-DE"/>
        </w:rPr>
        <w:t>מִתּוֹךְ הָעֵדָה הַזֹּאת</w:t>
      </w:r>
      <w:r w:rsidRPr="00FF7EC2">
        <w:rPr>
          <w:rFonts w:eastAsia="Times New Roman" w:cs="Times New Roman"/>
          <w:rtl/>
          <w:lang w:eastAsia="de-DE"/>
        </w:rPr>
        <w:t xml:space="preserve"> </w:t>
      </w:r>
      <w:r w:rsidRPr="00FF7EC2">
        <w:rPr>
          <w:rFonts w:eastAsia="Times New Roman" w:cs="Times New Roman"/>
          <w:lang w:eastAsia="de-DE"/>
        </w:rPr>
        <w:t xml:space="preserve">gibt an, wovon die Absonderung erfolgen soll: </w:t>
      </w:r>
      <w:r w:rsidRPr="00FF7EC2">
        <w:rPr>
          <w:rFonts w:eastAsia="Times New Roman" w:cs="Times New Roman"/>
          <w:b/>
          <w:bCs/>
          <w:rtl/>
          <w:lang w:eastAsia="de-DE"/>
        </w:rPr>
        <w:t>מִן</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„aus, von", </w:t>
      </w:r>
      <w:r w:rsidRPr="00FF7EC2">
        <w:rPr>
          <w:rFonts w:eastAsia="Times New Roman" w:cs="Times New Roman"/>
          <w:b/>
          <w:bCs/>
          <w:rtl/>
          <w:lang w:eastAsia="de-DE"/>
        </w:rPr>
        <w:t>תּוֹךְ</w:t>
      </w:r>
      <w:r w:rsidRPr="00FF7EC2">
        <w:rPr>
          <w:rFonts w:eastAsia="Times New Roman" w:cs="Times New Roman"/>
          <w:rtl/>
          <w:lang w:eastAsia="de-DE"/>
        </w:rPr>
        <w:t xml:space="preserve"> </w:t>
      </w:r>
      <w:r w:rsidRPr="00FF7EC2">
        <w:rPr>
          <w:rFonts w:eastAsia="Times New Roman" w:cs="Times New Roman"/>
          <w:lang w:eastAsia="de-DE"/>
        </w:rPr>
        <w:t xml:space="preserve">bedeutet „Mitte, Inneres", </w:t>
      </w:r>
      <w:r w:rsidRPr="00FF7EC2">
        <w:rPr>
          <w:rFonts w:eastAsia="Times New Roman" w:cs="Times New Roman"/>
          <w:b/>
          <w:bCs/>
          <w:rtl/>
          <w:lang w:eastAsia="de-DE"/>
        </w:rPr>
        <w:t>הָעֵדָה</w:t>
      </w:r>
      <w:r w:rsidRPr="00FF7EC2">
        <w:rPr>
          <w:rFonts w:eastAsia="Times New Roman" w:cs="Times New Roman"/>
          <w:rtl/>
          <w:lang w:eastAsia="de-DE"/>
        </w:rPr>
        <w:t xml:space="preserve"> </w:t>
      </w:r>
      <w:r w:rsidRPr="00FF7EC2">
        <w:rPr>
          <w:rFonts w:eastAsia="Times New Roman" w:cs="Times New Roman"/>
          <w:lang w:eastAsia="de-DE"/>
        </w:rPr>
        <w:t xml:space="preserve">ist „die Gemeinde" mit Artikel, </w:t>
      </w:r>
      <w:r w:rsidRPr="00FF7EC2">
        <w:rPr>
          <w:rFonts w:eastAsia="Times New Roman" w:cs="Times New Roman"/>
          <w:b/>
          <w:bCs/>
          <w:rtl/>
          <w:lang w:eastAsia="de-DE"/>
        </w:rPr>
        <w:t>הַזֹּאת</w:t>
      </w:r>
      <w:r w:rsidRPr="00FF7EC2">
        <w:rPr>
          <w:rFonts w:eastAsia="Times New Roman" w:cs="Times New Roman"/>
          <w:rtl/>
          <w:lang w:eastAsia="de-DE"/>
        </w:rPr>
        <w:t xml:space="preserve"> </w:t>
      </w:r>
      <w:r w:rsidRPr="00FF7EC2">
        <w:rPr>
          <w:rFonts w:eastAsia="Times New Roman" w:cs="Times New Roman"/>
          <w:lang w:eastAsia="de-DE"/>
        </w:rPr>
        <w:t>ist das Demonstrativpronomen Femininum Singular „diese" mit Artikel. Die ganze Phrase bedeutet „aus der Mitte dieser Gemeinde".</w:t>
      </w:r>
    </w:p>
    <w:p w14:paraId="040D9897"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lastRenderedPageBreak/>
        <w:t xml:space="preserve">Das koordinierte Verb </w:t>
      </w:r>
      <w:r w:rsidRPr="00FF7EC2">
        <w:rPr>
          <w:rFonts w:eastAsia="Times New Roman" w:cs="Times New Roman"/>
          <w:b/>
          <w:bCs/>
          <w:rtl/>
          <w:lang w:eastAsia="de-DE"/>
        </w:rPr>
        <w:t>וַאַכַלֶּה</w:t>
      </w:r>
      <w:r w:rsidRPr="00FF7EC2">
        <w:rPr>
          <w:rFonts w:eastAsia="Times New Roman" w:cs="Times New Roman"/>
          <w:rtl/>
          <w:lang w:eastAsia="de-DE"/>
        </w:rPr>
        <w:t xml:space="preserve"> </w:t>
      </w:r>
      <w:r w:rsidRPr="00FF7EC2">
        <w:rPr>
          <w:rFonts w:eastAsia="Times New Roman" w:cs="Times New Roman"/>
          <w:lang w:eastAsia="de-DE"/>
        </w:rPr>
        <w:t xml:space="preserve">(Waw + Piel Kohortativ, 1. c. sg. von </w:t>
      </w:r>
      <w:r w:rsidRPr="00FF7EC2">
        <w:rPr>
          <w:rFonts w:eastAsia="Times New Roman" w:cs="Times New Roman"/>
          <w:b/>
          <w:bCs/>
          <w:rtl/>
          <w:lang w:eastAsia="de-DE"/>
        </w:rPr>
        <w:t>כלה</w:t>
      </w:r>
      <w:r w:rsidRPr="00FF7EC2">
        <w:rPr>
          <w:rFonts w:eastAsia="Times New Roman" w:cs="Times New Roman"/>
          <w:lang w:eastAsia="de-DE"/>
        </w:rPr>
        <w:t xml:space="preserve">) bedeutet „und ich werde vernichten, verzehren". Die Piel-Form von </w:t>
      </w:r>
      <w:r w:rsidRPr="00FF7EC2">
        <w:rPr>
          <w:rFonts w:eastAsia="Times New Roman" w:cs="Times New Roman"/>
          <w:b/>
          <w:bCs/>
          <w:rtl/>
          <w:lang w:eastAsia="de-DE"/>
        </w:rPr>
        <w:t>כלה</w:t>
      </w:r>
      <w:r w:rsidRPr="00FF7EC2">
        <w:rPr>
          <w:rFonts w:eastAsia="Times New Roman" w:cs="Times New Roman"/>
          <w:rtl/>
          <w:lang w:eastAsia="de-DE"/>
        </w:rPr>
        <w:t xml:space="preserve"> </w:t>
      </w:r>
      <w:r w:rsidRPr="00FF7EC2">
        <w:rPr>
          <w:rFonts w:eastAsia="Times New Roman" w:cs="Times New Roman"/>
          <w:lang w:eastAsia="de-DE"/>
        </w:rPr>
        <w:t>hat intensive Bedeutung: „vollständig vernichten, zu Ende bringen". Der Kohortativ drückt die Absicht oder den Willen des Sprechers aus. Das implizite Subjekt ist JHWH.</w:t>
      </w:r>
    </w:p>
    <w:p w14:paraId="18A39CEE"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Objekt </w:t>
      </w:r>
      <w:r w:rsidRPr="00FF7EC2">
        <w:rPr>
          <w:rFonts w:eastAsia="Times New Roman" w:cs="Times New Roman"/>
          <w:b/>
          <w:bCs/>
          <w:rtl/>
          <w:lang w:eastAsia="de-DE"/>
        </w:rPr>
        <w:t>אֹתָם</w:t>
      </w:r>
      <w:r w:rsidRPr="00FF7EC2">
        <w:rPr>
          <w:rFonts w:eastAsia="Times New Roman" w:cs="Times New Roman"/>
          <w:rtl/>
          <w:lang w:eastAsia="de-DE"/>
        </w:rPr>
        <w:t xml:space="preserve"> </w:t>
      </w:r>
      <w:r w:rsidRPr="00FF7EC2">
        <w:rPr>
          <w:rFonts w:eastAsia="Times New Roman" w:cs="Times New Roman"/>
          <w:lang w:eastAsia="de-DE"/>
        </w:rPr>
        <w:t xml:space="preserve">ist die Objektpartikel </w:t>
      </w:r>
      <w:r w:rsidRPr="00FF7EC2">
        <w:rPr>
          <w:rFonts w:eastAsia="Times New Roman" w:cs="Times New Roman"/>
          <w:b/>
          <w:bCs/>
          <w:rtl/>
          <w:lang w:eastAsia="de-DE"/>
        </w:rPr>
        <w:t>אֶת</w:t>
      </w:r>
      <w:r w:rsidRPr="00FF7EC2">
        <w:rPr>
          <w:rFonts w:eastAsia="Times New Roman" w:cs="Times New Roman"/>
          <w:rtl/>
          <w:lang w:eastAsia="de-DE"/>
        </w:rPr>
        <w:t xml:space="preserve"> </w:t>
      </w:r>
      <w:r w:rsidRPr="00FF7EC2">
        <w:rPr>
          <w:rFonts w:eastAsia="Times New Roman" w:cs="Times New Roman"/>
          <w:lang w:eastAsia="de-DE"/>
        </w:rPr>
        <w:t>mit dem Suffix 3. m. pl. („sie"), das sich auf die Gemeinde bezieht.</w:t>
      </w:r>
    </w:p>
    <w:p w14:paraId="57C81DE7"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Adverb </w:t>
      </w:r>
      <w:r w:rsidRPr="00FF7EC2">
        <w:rPr>
          <w:rFonts w:eastAsia="Times New Roman" w:cs="Times New Roman"/>
          <w:b/>
          <w:bCs/>
          <w:rtl/>
          <w:lang w:eastAsia="de-DE"/>
        </w:rPr>
        <w:t>כְּרָגַע</w:t>
      </w:r>
      <w:r w:rsidRPr="00FF7EC2">
        <w:rPr>
          <w:rFonts w:eastAsia="Times New Roman" w:cs="Times New Roman"/>
          <w:rtl/>
          <w:lang w:eastAsia="de-DE"/>
        </w:rPr>
        <w:t xml:space="preserve"> </w:t>
      </w:r>
      <w:r w:rsidRPr="00FF7EC2">
        <w:rPr>
          <w:rFonts w:eastAsia="Times New Roman" w:cs="Times New Roman"/>
          <w:lang w:eastAsia="de-DE"/>
        </w:rPr>
        <w:t xml:space="preserve">ist eine Präpositionalphrase mit </w:t>
      </w:r>
      <w:r w:rsidRPr="00FF7EC2">
        <w:rPr>
          <w:rFonts w:eastAsia="Times New Roman" w:cs="Times New Roman"/>
          <w:b/>
          <w:bCs/>
          <w:rtl/>
          <w:lang w:eastAsia="de-DE"/>
        </w:rPr>
        <w:t>כְּ</w:t>
      </w:r>
      <w:r w:rsidRPr="00FF7EC2">
        <w:rPr>
          <w:rFonts w:eastAsia="Times New Roman" w:cs="Times New Roman"/>
          <w:rtl/>
          <w:lang w:eastAsia="de-DE"/>
        </w:rPr>
        <w:t xml:space="preserve"> </w:t>
      </w:r>
      <w:r w:rsidRPr="00FF7EC2">
        <w:rPr>
          <w:rFonts w:eastAsia="Times New Roman" w:cs="Times New Roman"/>
          <w:lang w:eastAsia="de-DE"/>
        </w:rPr>
        <w:t xml:space="preserve">(„wie, als") und </w:t>
      </w:r>
      <w:r w:rsidRPr="00FF7EC2">
        <w:rPr>
          <w:rFonts w:eastAsia="Times New Roman" w:cs="Times New Roman"/>
          <w:b/>
          <w:bCs/>
          <w:rtl/>
          <w:lang w:eastAsia="de-DE"/>
        </w:rPr>
        <w:t>רֶגַע</w:t>
      </w:r>
      <w:r w:rsidRPr="00FF7EC2">
        <w:rPr>
          <w:rFonts w:eastAsia="Times New Roman" w:cs="Times New Roman"/>
          <w:rtl/>
          <w:lang w:eastAsia="de-DE"/>
        </w:rPr>
        <w:t xml:space="preserve"> </w:t>
      </w:r>
      <w:r w:rsidRPr="00FF7EC2">
        <w:rPr>
          <w:rFonts w:eastAsia="Times New Roman" w:cs="Times New Roman"/>
          <w:lang w:eastAsia="de-DE"/>
        </w:rPr>
        <w:t>(„Augenblick, Moment"). Die Phrase bedeutet „in einem Augenblick, sofort" und betont die Unmittelbarkeit und Vollständigkeit der angedrohten Vernichtung.</w:t>
      </w:r>
    </w:p>
    <w:p w14:paraId="33301B65" w14:textId="14F9EA59"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Die LXX</w:t>
      </w:r>
      <w:r w:rsidRPr="00FF7EC2">
        <w:rPr>
          <w:rFonts w:eastAsia="Times New Roman" w:cs="Times New Roman"/>
          <w:lang w:eastAsia="de-DE"/>
        </w:rPr>
        <w:t xml:space="preserve"> übersetzt </w:t>
      </w:r>
      <w:r w:rsidRPr="00FF7EC2">
        <w:rPr>
          <w:rFonts w:eastAsia="Times New Roman" w:cs="Times New Roman"/>
          <w:b/>
          <w:bCs/>
          <w:rtl/>
          <w:lang w:eastAsia="de-DE"/>
        </w:rPr>
        <w:t>הִבָּדְלוּ מִתּוֹךְ הָעֵדָה הַזֹּאת</w:t>
      </w:r>
      <w:r w:rsidRPr="00FF7EC2">
        <w:rPr>
          <w:rFonts w:eastAsia="Times New Roman" w:cs="Times New Roman"/>
          <w:rtl/>
          <w:lang w:eastAsia="de-DE"/>
        </w:rPr>
        <w:t xml:space="preserve"> </w:t>
      </w:r>
      <w:r w:rsidRPr="00FF7EC2">
        <w:rPr>
          <w:rFonts w:eastAsia="Times New Roman" w:cs="Times New Roman"/>
          <w:lang w:eastAsia="de-DE"/>
        </w:rPr>
        <w:t xml:space="preserve">mit ἀναχωρήσατε ἐκ μέσου τῆς συναγωγῆς ταύτης („zieht euch zurück aus der Mitte dieser Gemeinde"). </w:t>
      </w:r>
      <w:r w:rsidRPr="00FF7EC2">
        <w:rPr>
          <w:rFonts w:eastAsia="Times New Roman" w:cs="Times New Roman"/>
          <w:b/>
          <w:bCs/>
          <w:rtl/>
          <w:lang w:eastAsia="de-DE"/>
        </w:rPr>
        <w:t>וַאַכַלֶּה אֹתָם כְּרָגַע</w:t>
      </w:r>
      <w:r w:rsidRPr="00FF7EC2">
        <w:rPr>
          <w:rFonts w:eastAsia="Times New Roman" w:cs="Times New Roman"/>
          <w:rtl/>
          <w:lang w:eastAsia="de-DE"/>
        </w:rPr>
        <w:t xml:space="preserve"> </w:t>
      </w:r>
      <w:r w:rsidRPr="00FF7EC2">
        <w:rPr>
          <w:rFonts w:eastAsia="Times New Roman" w:cs="Times New Roman"/>
          <w:lang w:eastAsia="de-DE"/>
        </w:rPr>
        <w:t>wird mit καὶ ἐξαναλώσω αὐτοὺς παραχρῆμα („und ich werde sie sofort völlig vernichten") wiedergegeben.</w:t>
      </w:r>
    </w:p>
    <w:p w14:paraId="5797C636"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zwei koordinierte Hauptsätze: Der erste ist ein Imperativsatz mit Präpositionalphrase, der zweite ein Aussagesatz mit Kohortativ, Objekt und Adverbialbestimmung. Es gibt keine Nebensätze.</w:t>
      </w:r>
    </w:p>
    <w:p w14:paraId="749BDB42"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zeigt die drastische göttliche Reaktion: JHWH will die rebellische Gemeinde sofort vernichten und befiehlt Mose und Aaron, sich zu distanzieren.</w:t>
      </w:r>
    </w:p>
    <w:p w14:paraId="1A37646C"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16,22</w:t>
      </w:r>
    </w:p>
    <w:p w14:paraId="5A143702"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Hebräisch:</w:t>
      </w:r>
      <w:r w:rsidRPr="00FF7EC2">
        <w:rPr>
          <w:rFonts w:eastAsia="Times New Roman" w:cs="Times New Roman"/>
          <w:lang w:eastAsia="de-DE"/>
        </w:rPr>
        <w:t xml:space="preserve"> </w:t>
      </w:r>
      <w:r w:rsidRPr="00FF7EC2">
        <w:rPr>
          <w:rFonts w:eastAsia="Times New Roman" w:cs="Times New Roman"/>
          <w:rtl/>
          <w:lang w:eastAsia="de-DE"/>
        </w:rPr>
        <w:t>וַיִּפְּל֤וּ עַל־פְּנֵיהֶם֙ וַיֹּ֣אמְר֔וּ אֵ֕ל אֱלֹהֵ֥י הָרוּחֹ֖ת לְכָל־בָּשָׂ֑ר הָאִ֤ישׁ אֶחָד֙ יֶחֱטָ֔א וְעַ֥ל כָּל־הָעֵדָ֖ה תִּקְצֹֽף׃</w:t>
      </w:r>
    </w:p>
    <w:p w14:paraId="548F3545"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Deutsch:</w:t>
      </w:r>
      <w:r w:rsidRPr="00FF7EC2">
        <w:rPr>
          <w:rFonts w:eastAsia="Times New Roman" w:cs="Times New Roman"/>
          <w:lang w:eastAsia="de-DE"/>
        </w:rPr>
        <w:t xml:space="preserve"> Und sie fielen auf ihr Angesicht und sprachen: El, Gott der Geister alles Fleisches! Ein einziger Mann will sündigen, und du solltest über die ganze Gemeinde zürnen?</w:t>
      </w:r>
    </w:p>
    <w:p w14:paraId="14FB8756"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7BDAFAD5">
          <v:rect id="_x0000_i1560" style="width:0;height:1.5pt" o:hralign="center" o:hrstd="t" o:hr="t" fillcolor="#a0a0a0" stroked="f"/>
        </w:pict>
      </w:r>
    </w:p>
    <w:p w14:paraId="1083BDF8"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Kommentar:</w:t>
      </w:r>
      <w:r w:rsidRPr="00FF7EC2">
        <w:rPr>
          <w:rFonts w:eastAsia="Times New Roman" w:cs="Times New Roman"/>
          <w:lang w:eastAsia="de-DE"/>
        </w:rPr>
        <w:t xml:space="preserve"> Das Verb </w:t>
      </w:r>
      <w:r w:rsidRPr="00FF7EC2">
        <w:rPr>
          <w:rFonts w:eastAsia="Times New Roman" w:cs="Times New Roman"/>
          <w:b/>
          <w:bCs/>
          <w:rtl/>
          <w:lang w:eastAsia="de-DE"/>
        </w:rPr>
        <w:t>וַיִּפְּלוּ</w:t>
      </w:r>
      <w:r w:rsidRPr="00FF7EC2">
        <w:rPr>
          <w:rFonts w:eastAsia="Times New Roman" w:cs="Times New Roman"/>
          <w:rtl/>
          <w:lang w:eastAsia="de-DE"/>
        </w:rPr>
        <w:t xml:space="preserve"> </w:t>
      </w:r>
      <w:r w:rsidRPr="00FF7EC2">
        <w:rPr>
          <w:rFonts w:eastAsia="Times New Roman" w:cs="Times New Roman"/>
          <w:lang w:eastAsia="de-DE"/>
        </w:rPr>
        <w:t xml:space="preserve">(Wayyiqtol, 3. m. pl. von </w:t>
      </w:r>
      <w:r w:rsidRPr="00FF7EC2">
        <w:rPr>
          <w:rFonts w:eastAsia="Times New Roman" w:cs="Times New Roman"/>
          <w:b/>
          <w:bCs/>
          <w:rtl/>
          <w:lang w:eastAsia="de-DE"/>
        </w:rPr>
        <w:t>נפל</w:t>
      </w:r>
      <w:r w:rsidRPr="00FF7EC2">
        <w:rPr>
          <w:rFonts w:eastAsia="Times New Roman" w:cs="Times New Roman"/>
          <w:lang w:eastAsia="de-DE"/>
        </w:rPr>
        <w:t xml:space="preserve">) bedeutet „und sie fielen". Das Subjekt sind Mose und Aaron. </w:t>
      </w:r>
      <w:r w:rsidRPr="00FF7EC2">
        <w:rPr>
          <w:rFonts w:eastAsia="Times New Roman" w:cs="Times New Roman"/>
          <w:b/>
          <w:bCs/>
          <w:rtl/>
          <w:lang w:eastAsia="de-DE"/>
        </w:rPr>
        <w:t>נפל</w:t>
      </w:r>
      <w:r w:rsidRPr="00FF7EC2">
        <w:rPr>
          <w:rFonts w:eastAsia="Times New Roman" w:cs="Times New Roman"/>
          <w:rtl/>
          <w:lang w:eastAsia="de-DE"/>
        </w:rPr>
        <w:t xml:space="preserve"> </w:t>
      </w:r>
      <w:r w:rsidRPr="00FF7EC2">
        <w:rPr>
          <w:rFonts w:eastAsia="Times New Roman" w:cs="Times New Roman"/>
          <w:lang w:eastAsia="de-DE"/>
        </w:rPr>
        <w:t>bedeutet „fallen".</w:t>
      </w:r>
    </w:p>
    <w:p w14:paraId="291B90C3"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Präpositionalphrase </w:t>
      </w:r>
      <w:r w:rsidRPr="00FF7EC2">
        <w:rPr>
          <w:rFonts w:eastAsia="Times New Roman" w:cs="Times New Roman"/>
          <w:b/>
          <w:bCs/>
          <w:rtl/>
          <w:lang w:eastAsia="de-DE"/>
        </w:rPr>
        <w:t>עַל־פְּנֵיהֶם</w:t>
      </w:r>
      <w:r w:rsidRPr="00FF7EC2">
        <w:rPr>
          <w:rFonts w:eastAsia="Times New Roman" w:cs="Times New Roman"/>
          <w:rtl/>
          <w:lang w:eastAsia="de-DE"/>
        </w:rPr>
        <w:t xml:space="preserve"> </w:t>
      </w:r>
      <w:r w:rsidRPr="00FF7EC2">
        <w:rPr>
          <w:rFonts w:eastAsia="Times New Roman" w:cs="Times New Roman"/>
          <w:lang w:eastAsia="de-DE"/>
        </w:rPr>
        <w:t xml:space="preserve">spezifiziert die Art des Fallens: </w:t>
      </w:r>
      <w:r w:rsidRPr="00FF7EC2">
        <w:rPr>
          <w:rFonts w:eastAsia="Times New Roman" w:cs="Times New Roman"/>
          <w:b/>
          <w:bCs/>
          <w:rtl/>
          <w:lang w:eastAsia="de-DE"/>
        </w:rPr>
        <w:t>עַל</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„auf", </w:t>
      </w:r>
      <w:r w:rsidRPr="00FF7EC2">
        <w:rPr>
          <w:rFonts w:eastAsia="Times New Roman" w:cs="Times New Roman"/>
          <w:b/>
          <w:bCs/>
          <w:rtl/>
          <w:lang w:eastAsia="de-DE"/>
        </w:rPr>
        <w:t>פְּנֵיהֶם</w:t>
      </w:r>
      <w:r w:rsidRPr="00FF7EC2">
        <w:rPr>
          <w:rFonts w:eastAsia="Times New Roman" w:cs="Times New Roman"/>
          <w:rtl/>
          <w:lang w:eastAsia="de-DE"/>
        </w:rPr>
        <w:t xml:space="preserve"> </w:t>
      </w:r>
      <w:r w:rsidRPr="00FF7EC2">
        <w:rPr>
          <w:rFonts w:eastAsia="Times New Roman" w:cs="Times New Roman"/>
          <w:lang w:eastAsia="de-DE"/>
        </w:rPr>
        <w:t xml:space="preserve">ist „ihre Angesichter" (Dual von </w:t>
      </w:r>
      <w:r w:rsidRPr="00FF7EC2">
        <w:rPr>
          <w:rFonts w:eastAsia="Times New Roman" w:cs="Times New Roman"/>
          <w:b/>
          <w:bCs/>
          <w:rtl/>
          <w:lang w:eastAsia="de-DE"/>
        </w:rPr>
        <w:t>פָּנֶה</w:t>
      </w:r>
      <w:r w:rsidRPr="00FF7EC2">
        <w:rPr>
          <w:rFonts w:eastAsia="Times New Roman" w:cs="Times New Roman"/>
          <w:rtl/>
          <w:lang w:eastAsia="de-DE"/>
        </w:rPr>
        <w:t xml:space="preserve"> </w:t>
      </w:r>
      <w:r w:rsidRPr="00FF7EC2">
        <w:rPr>
          <w:rFonts w:eastAsia="Times New Roman" w:cs="Times New Roman"/>
          <w:lang w:eastAsia="de-DE"/>
        </w:rPr>
        <w:t xml:space="preserve">mit Possessivsuffix 3. m. pl.). Die idiomatische Wendung </w:t>
      </w:r>
      <w:r w:rsidRPr="00FF7EC2">
        <w:rPr>
          <w:rFonts w:eastAsia="Times New Roman" w:cs="Times New Roman"/>
          <w:b/>
          <w:bCs/>
          <w:rtl/>
          <w:lang w:eastAsia="de-DE"/>
        </w:rPr>
        <w:t>נפל על־פנים</w:t>
      </w:r>
      <w:r w:rsidRPr="00FF7EC2">
        <w:rPr>
          <w:rFonts w:eastAsia="Times New Roman" w:cs="Times New Roman"/>
          <w:rtl/>
          <w:lang w:eastAsia="de-DE"/>
        </w:rPr>
        <w:t xml:space="preserve"> </w:t>
      </w:r>
      <w:r w:rsidRPr="00FF7EC2">
        <w:rPr>
          <w:rFonts w:eastAsia="Times New Roman" w:cs="Times New Roman"/>
          <w:lang w:eastAsia="de-DE"/>
        </w:rPr>
        <w:t xml:space="preserve">bedeutet „auf das Angesicht fallen" und bezeichnet Proskynese oder intensives Gebet. Der Dual </w:t>
      </w:r>
      <w:r w:rsidRPr="00FF7EC2">
        <w:rPr>
          <w:rFonts w:eastAsia="Times New Roman" w:cs="Times New Roman"/>
          <w:b/>
          <w:bCs/>
          <w:rtl/>
          <w:lang w:eastAsia="de-DE"/>
        </w:rPr>
        <w:t>פָּנִים</w:t>
      </w:r>
      <w:r w:rsidRPr="00FF7EC2">
        <w:rPr>
          <w:rFonts w:eastAsia="Times New Roman" w:cs="Times New Roman"/>
          <w:rtl/>
          <w:lang w:eastAsia="de-DE"/>
        </w:rPr>
        <w:t xml:space="preserve"> </w:t>
      </w:r>
      <w:r w:rsidRPr="00FF7EC2">
        <w:rPr>
          <w:rFonts w:eastAsia="Times New Roman" w:cs="Times New Roman"/>
          <w:lang w:eastAsia="de-DE"/>
        </w:rPr>
        <w:t>ist die normale Form für „Angesicht" im Hebräischen.</w:t>
      </w:r>
    </w:p>
    <w:p w14:paraId="218D4F20"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koordinierte Verb </w:t>
      </w:r>
      <w:r w:rsidRPr="00FF7EC2">
        <w:rPr>
          <w:rFonts w:eastAsia="Times New Roman" w:cs="Times New Roman"/>
          <w:b/>
          <w:bCs/>
          <w:rtl/>
          <w:lang w:eastAsia="de-DE"/>
        </w:rPr>
        <w:t>וַיֹּאמְרוּ</w:t>
      </w:r>
      <w:r w:rsidRPr="00FF7EC2">
        <w:rPr>
          <w:rFonts w:eastAsia="Times New Roman" w:cs="Times New Roman"/>
          <w:rtl/>
          <w:lang w:eastAsia="de-DE"/>
        </w:rPr>
        <w:t xml:space="preserve"> </w:t>
      </w:r>
      <w:r w:rsidRPr="00FF7EC2">
        <w:rPr>
          <w:rFonts w:eastAsia="Times New Roman" w:cs="Times New Roman"/>
          <w:lang w:eastAsia="de-DE"/>
        </w:rPr>
        <w:t xml:space="preserve">(Wayyiqtol, 3. m. pl. von </w:t>
      </w:r>
      <w:r w:rsidRPr="00FF7EC2">
        <w:rPr>
          <w:rFonts w:eastAsia="Times New Roman" w:cs="Times New Roman"/>
          <w:b/>
          <w:bCs/>
          <w:rtl/>
          <w:lang w:eastAsia="de-DE"/>
        </w:rPr>
        <w:t>אמר</w:t>
      </w:r>
      <w:r w:rsidRPr="00FF7EC2">
        <w:rPr>
          <w:rFonts w:eastAsia="Times New Roman" w:cs="Times New Roman"/>
          <w:lang w:eastAsia="de-DE"/>
        </w:rPr>
        <w:t xml:space="preserve">) bedeutet „und sie sprachen". Die Konjunktion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verbindet die Gebetsgeste mit der verbalen Fürbitte.</w:t>
      </w:r>
    </w:p>
    <w:p w14:paraId="452140A3"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Anrede </w:t>
      </w:r>
      <w:r w:rsidRPr="00FF7EC2">
        <w:rPr>
          <w:rFonts w:eastAsia="Times New Roman" w:cs="Times New Roman"/>
          <w:b/>
          <w:bCs/>
          <w:rtl/>
          <w:lang w:eastAsia="de-DE"/>
        </w:rPr>
        <w:t>אֵל</w:t>
      </w:r>
      <w:r w:rsidRPr="00FF7EC2">
        <w:rPr>
          <w:rFonts w:eastAsia="Times New Roman" w:cs="Times New Roman"/>
          <w:rtl/>
          <w:lang w:eastAsia="de-DE"/>
        </w:rPr>
        <w:t xml:space="preserve"> </w:t>
      </w:r>
      <w:r w:rsidRPr="00FF7EC2">
        <w:rPr>
          <w:rFonts w:eastAsia="Times New Roman" w:cs="Times New Roman"/>
          <w:lang w:eastAsia="de-DE"/>
        </w:rPr>
        <w:t xml:space="preserve">ist ein Gottesname, der „Gott, Macht" bedeutet. Die Apposition </w:t>
      </w:r>
      <w:r w:rsidRPr="00FF7EC2">
        <w:rPr>
          <w:rFonts w:eastAsia="Times New Roman" w:cs="Times New Roman"/>
          <w:b/>
          <w:bCs/>
          <w:rtl/>
          <w:lang w:eastAsia="de-DE"/>
        </w:rPr>
        <w:t>אֱלֹהֵי הָרוּחֹת לְכָל־בָּשָׂר</w:t>
      </w:r>
      <w:r w:rsidRPr="00FF7EC2">
        <w:rPr>
          <w:rFonts w:eastAsia="Times New Roman" w:cs="Times New Roman"/>
          <w:rtl/>
          <w:lang w:eastAsia="de-DE"/>
        </w:rPr>
        <w:t xml:space="preserve"> </w:t>
      </w:r>
      <w:r w:rsidRPr="00FF7EC2">
        <w:rPr>
          <w:rFonts w:eastAsia="Times New Roman" w:cs="Times New Roman"/>
          <w:lang w:eastAsia="de-DE"/>
        </w:rPr>
        <w:t xml:space="preserve">ist eine theologisch bedeutsame Gottesbezeichnung: </w:t>
      </w:r>
      <w:r w:rsidRPr="00FF7EC2">
        <w:rPr>
          <w:rFonts w:eastAsia="Times New Roman" w:cs="Times New Roman"/>
          <w:b/>
          <w:bCs/>
          <w:rtl/>
          <w:lang w:eastAsia="de-DE"/>
        </w:rPr>
        <w:t>אֱלֹהֵי</w:t>
      </w:r>
      <w:r w:rsidRPr="00FF7EC2">
        <w:rPr>
          <w:rFonts w:eastAsia="Times New Roman" w:cs="Times New Roman"/>
          <w:rtl/>
          <w:lang w:eastAsia="de-DE"/>
        </w:rPr>
        <w:t xml:space="preserve"> </w:t>
      </w:r>
      <w:r w:rsidRPr="00FF7EC2">
        <w:rPr>
          <w:rFonts w:eastAsia="Times New Roman" w:cs="Times New Roman"/>
          <w:lang w:eastAsia="de-DE"/>
        </w:rPr>
        <w:t xml:space="preserve">ist der Constructus Plural von </w:t>
      </w:r>
      <w:r w:rsidRPr="00FF7EC2">
        <w:rPr>
          <w:rFonts w:eastAsia="Times New Roman" w:cs="Times New Roman"/>
          <w:b/>
          <w:bCs/>
          <w:rtl/>
          <w:lang w:eastAsia="de-DE"/>
        </w:rPr>
        <w:t>אֱלֹהִים</w:t>
      </w:r>
      <w:r w:rsidRPr="00FF7EC2">
        <w:rPr>
          <w:rFonts w:eastAsia="Times New Roman" w:cs="Times New Roman"/>
          <w:rtl/>
          <w:lang w:eastAsia="de-DE"/>
        </w:rPr>
        <w:t xml:space="preserve"> </w:t>
      </w:r>
      <w:r w:rsidRPr="00FF7EC2">
        <w:rPr>
          <w:rFonts w:eastAsia="Times New Roman" w:cs="Times New Roman"/>
          <w:lang w:eastAsia="de-DE"/>
        </w:rPr>
        <w:t xml:space="preserve">(„Gott"), </w:t>
      </w:r>
      <w:r w:rsidRPr="00FF7EC2">
        <w:rPr>
          <w:rFonts w:eastAsia="Times New Roman" w:cs="Times New Roman"/>
          <w:b/>
          <w:bCs/>
          <w:rtl/>
          <w:lang w:eastAsia="de-DE"/>
        </w:rPr>
        <w:t>הָרוּחֹת</w:t>
      </w:r>
      <w:r w:rsidRPr="00FF7EC2">
        <w:rPr>
          <w:rFonts w:eastAsia="Times New Roman" w:cs="Times New Roman"/>
          <w:rtl/>
          <w:lang w:eastAsia="de-DE"/>
        </w:rPr>
        <w:t xml:space="preserve"> </w:t>
      </w:r>
      <w:r w:rsidRPr="00FF7EC2">
        <w:rPr>
          <w:rFonts w:eastAsia="Times New Roman" w:cs="Times New Roman"/>
          <w:lang w:eastAsia="de-DE"/>
        </w:rPr>
        <w:t xml:space="preserve">ist „die Geister" (Plural von </w:t>
      </w:r>
      <w:r w:rsidRPr="00FF7EC2">
        <w:rPr>
          <w:rFonts w:eastAsia="Times New Roman" w:cs="Times New Roman"/>
          <w:b/>
          <w:bCs/>
          <w:rtl/>
          <w:lang w:eastAsia="de-DE"/>
        </w:rPr>
        <w:t>רוּחַ</w:t>
      </w:r>
      <w:r w:rsidRPr="00FF7EC2">
        <w:rPr>
          <w:rFonts w:eastAsia="Times New Roman" w:cs="Times New Roman"/>
          <w:rtl/>
          <w:lang w:eastAsia="de-DE"/>
        </w:rPr>
        <w:t xml:space="preserve"> </w:t>
      </w:r>
      <w:r w:rsidRPr="00FF7EC2">
        <w:rPr>
          <w:rFonts w:eastAsia="Times New Roman" w:cs="Times New Roman"/>
          <w:lang w:eastAsia="de-DE"/>
        </w:rPr>
        <w:t xml:space="preserve">mit Artikel), </w:t>
      </w:r>
      <w:r w:rsidRPr="00FF7EC2">
        <w:rPr>
          <w:rFonts w:eastAsia="Times New Roman" w:cs="Times New Roman"/>
          <w:b/>
          <w:bCs/>
          <w:rtl/>
          <w:lang w:eastAsia="de-DE"/>
        </w:rPr>
        <w:t>לְכָל־בָּשָׂר</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Präpositionalphrase: </w:t>
      </w:r>
      <w:r w:rsidRPr="00FF7EC2">
        <w:rPr>
          <w:rFonts w:eastAsia="Times New Roman" w:cs="Times New Roman"/>
          <w:b/>
          <w:bCs/>
          <w:rtl/>
          <w:lang w:eastAsia="de-DE"/>
        </w:rPr>
        <w:t>לְ</w:t>
      </w:r>
      <w:r w:rsidRPr="00FF7EC2">
        <w:rPr>
          <w:rFonts w:eastAsia="Times New Roman" w:cs="Times New Roman"/>
          <w:rtl/>
          <w:lang w:eastAsia="de-DE"/>
        </w:rPr>
        <w:t xml:space="preserve"> </w:t>
      </w:r>
      <w:r w:rsidRPr="00FF7EC2">
        <w:rPr>
          <w:rFonts w:eastAsia="Times New Roman" w:cs="Times New Roman"/>
          <w:lang w:eastAsia="de-DE"/>
        </w:rPr>
        <w:t xml:space="preserve">bedeutet hier „von, für", </w:t>
      </w:r>
      <w:r w:rsidRPr="00FF7EC2">
        <w:rPr>
          <w:rFonts w:eastAsia="Times New Roman" w:cs="Times New Roman"/>
          <w:b/>
          <w:bCs/>
          <w:rtl/>
          <w:lang w:eastAsia="de-DE"/>
        </w:rPr>
        <w:t>כָּל</w:t>
      </w:r>
      <w:r w:rsidRPr="00FF7EC2">
        <w:rPr>
          <w:rFonts w:eastAsia="Times New Roman" w:cs="Times New Roman"/>
          <w:rtl/>
          <w:lang w:eastAsia="de-DE"/>
        </w:rPr>
        <w:t xml:space="preserve"> </w:t>
      </w:r>
      <w:r w:rsidRPr="00FF7EC2">
        <w:rPr>
          <w:rFonts w:eastAsia="Times New Roman" w:cs="Times New Roman"/>
          <w:lang w:eastAsia="de-DE"/>
        </w:rPr>
        <w:t xml:space="preserve">ist „alles" im Constructus, </w:t>
      </w:r>
      <w:r w:rsidRPr="00FF7EC2">
        <w:rPr>
          <w:rFonts w:eastAsia="Times New Roman" w:cs="Times New Roman"/>
          <w:b/>
          <w:bCs/>
          <w:rtl/>
          <w:lang w:eastAsia="de-DE"/>
        </w:rPr>
        <w:t>בָּשָׂר</w:t>
      </w:r>
      <w:r w:rsidRPr="00FF7EC2">
        <w:rPr>
          <w:rFonts w:eastAsia="Times New Roman" w:cs="Times New Roman"/>
          <w:rtl/>
          <w:lang w:eastAsia="de-DE"/>
        </w:rPr>
        <w:t xml:space="preserve"> </w:t>
      </w:r>
      <w:r w:rsidRPr="00FF7EC2">
        <w:rPr>
          <w:rFonts w:eastAsia="Times New Roman" w:cs="Times New Roman"/>
          <w:lang w:eastAsia="de-DE"/>
        </w:rPr>
        <w:t xml:space="preserve">bedeutet „Fleisch". Die ganze Phrase </w:t>
      </w:r>
      <w:r w:rsidRPr="00FF7EC2">
        <w:rPr>
          <w:rFonts w:eastAsia="Times New Roman" w:cs="Times New Roman"/>
          <w:b/>
          <w:bCs/>
          <w:rtl/>
          <w:lang w:eastAsia="de-DE"/>
        </w:rPr>
        <w:t>אל אלהי הרוחת לכל־בשר</w:t>
      </w:r>
      <w:r w:rsidRPr="00FF7EC2">
        <w:rPr>
          <w:rFonts w:eastAsia="Times New Roman" w:cs="Times New Roman"/>
          <w:rtl/>
          <w:lang w:eastAsia="de-DE"/>
        </w:rPr>
        <w:t xml:space="preserve"> </w:t>
      </w:r>
      <w:r w:rsidRPr="00FF7EC2">
        <w:rPr>
          <w:rFonts w:eastAsia="Times New Roman" w:cs="Times New Roman"/>
          <w:lang w:eastAsia="de-DE"/>
        </w:rPr>
        <w:t>bedeutet „El, Gott der Geister alles Fleisches" und betont Gottes universale Herrschaft über allen Lebensatem.</w:t>
      </w:r>
    </w:p>
    <w:p w14:paraId="27B98808"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lastRenderedPageBreak/>
        <w:t xml:space="preserve">Die rhetorische Frage beginnt mit </w:t>
      </w:r>
      <w:r w:rsidRPr="00FF7EC2">
        <w:rPr>
          <w:rFonts w:eastAsia="Times New Roman" w:cs="Times New Roman"/>
          <w:b/>
          <w:bCs/>
          <w:rtl/>
          <w:lang w:eastAsia="de-DE"/>
        </w:rPr>
        <w:t>הָאִישׁ אֶחָד יֶחֱטָא</w:t>
      </w:r>
      <w:r w:rsidRPr="00FF7EC2">
        <w:rPr>
          <w:rFonts w:eastAsia="Times New Roman" w:cs="Times New Roman"/>
          <w:lang w:eastAsia="de-DE"/>
        </w:rPr>
        <w:t xml:space="preserve">: </w:t>
      </w:r>
      <w:r w:rsidRPr="00FF7EC2">
        <w:rPr>
          <w:rFonts w:eastAsia="Times New Roman" w:cs="Times New Roman"/>
          <w:b/>
          <w:bCs/>
          <w:rtl/>
          <w:lang w:eastAsia="de-DE"/>
        </w:rPr>
        <w:t>הָ</w:t>
      </w:r>
      <w:r w:rsidRPr="00FF7EC2">
        <w:rPr>
          <w:rFonts w:eastAsia="Times New Roman" w:cs="Times New Roman"/>
          <w:rtl/>
          <w:lang w:eastAsia="de-DE"/>
        </w:rPr>
        <w:t xml:space="preserve"> </w:t>
      </w:r>
      <w:r w:rsidRPr="00FF7EC2">
        <w:rPr>
          <w:rFonts w:eastAsia="Times New Roman" w:cs="Times New Roman"/>
          <w:lang w:eastAsia="de-DE"/>
        </w:rPr>
        <w:t xml:space="preserve">ist das interrogative Präfix, </w:t>
      </w:r>
      <w:r w:rsidRPr="00FF7EC2">
        <w:rPr>
          <w:rFonts w:eastAsia="Times New Roman" w:cs="Times New Roman"/>
          <w:b/>
          <w:bCs/>
          <w:rtl/>
          <w:lang w:eastAsia="de-DE"/>
        </w:rPr>
        <w:t>אִישׁ אֶחָד</w:t>
      </w:r>
      <w:r w:rsidRPr="00FF7EC2">
        <w:rPr>
          <w:rFonts w:eastAsia="Times New Roman" w:cs="Times New Roman"/>
          <w:rtl/>
          <w:lang w:eastAsia="de-DE"/>
        </w:rPr>
        <w:t xml:space="preserve"> </w:t>
      </w:r>
      <w:r w:rsidRPr="00FF7EC2">
        <w:rPr>
          <w:rFonts w:eastAsia="Times New Roman" w:cs="Times New Roman"/>
          <w:lang w:eastAsia="de-DE"/>
        </w:rPr>
        <w:t>ist „ein Mann, ein einziger Mann" (</w:t>
      </w:r>
      <w:r w:rsidRPr="00FF7EC2">
        <w:rPr>
          <w:rFonts w:eastAsia="Times New Roman" w:cs="Times New Roman"/>
          <w:b/>
          <w:bCs/>
          <w:rtl/>
          <w:lang w:eastAsia="de-DE"/>
        </w:rPr>
        <w:t>אִישׁ</w:t>
      </w:r>
      <w:r w:rsidRPr="00FF7EC2">
        <w:rPr>
          <w:rFonts w:eastAsia="Times New Roman" w:cs="Times New Roman"/>
          <w:rtl/>
          <w:lang w:eastAsia="de-DE"/>
        </w:rPr>
        <w:t xml:space="preserve"> </w:t>
      </w:r>
      <w:r w:rsidRPr="00FF7EC2">
        <w:rPr>
          <w:rFonts w:eastAsia="Times New Roman" w:cs="Times New Roman"/>
          <w:lang w:eastAsia="de-DE"/>
        </w:rPr>
        <w:t xml:space="preserve">mit </w:t>
      </w:r>
      <w:r w:rsidRPr="00FF7EC2">
        <w:rPr>
          <w:rFonts w:eastAsia="Times New Roman" w:cs="Times New Roman"/>
          <w:b/>
          <w:bCs/>
          <w:rtl/>
          <w:lang w:eastAsia="de-DE"/>
        </w:rPr>
        <w:t>אֶחָד</w:t>
      </w:r>
      <w:r w:rsidRPr="00FF7EC2">
        <w:rPr>
          <w:rFonts w:eastAsia="Times New Roman" w:cs="Times New Roman"/>
          <w:lang w:eastAsia="de-DE"/>
        </w:rPr>
        <w:t xml:space="preserve">, dem Zahlwort „eins"). </w:t>
      </w:r>
      <w:r w:rsidRPr="00FF7EC2">
        <w:rPr>
          <w:rFonts w:eastAsia="Times New Roman" w:cs="Times New Roman"/>
          <w:b/>
          <w:bCs/>
          <w:rtl/>
          <w:lang w:eastAsia="de-DE"/>
        </w:rPr>
        <w:t>יֶחֱטָא</w:t>
      </w:r>
      <w:r w:rsidRPr="00FF7EC2">
        <w:rPr>
          <w:rFonts w:eastAsia="Times New Roman" w:cs="Times New Roman"/>
          <w:rtl/>
          <w:lang w:eastAsia="de-DE"/>
        </w:rPr>
        <w:t xml:space="preserve"> </w:t>
      </w:r>
      <w:r w:rsidRPr="00FF7EC2">
        <w:rPr>
          <w:rFonts w:eastAsia="Times New Roman" w:cs="Times New Roman"/>
          <w:lang w:eastAsia="de-DE"/>
        </w:rPr>
        <w:t xml:space="preserve">(Qal Imperfekt, 3. m. sg. von </w:t>
      </w:r>
      <w:r w:rsidRPr="00FF7EC2">
        <w:rPr>
          <w:rFonts w:eastAsia="Times New Roman" w:cs="Times New Roman"/>
          <w:b/>
          <w:bCs/>
          <w:rtl/>
          <w:lang w:eastAsia="de-DE"/>
        </w:rPr>
        <w:t>חטא</w:t>
      </w:r>
      <w:r w:rsidRPr="00FF7EC2">
        <w:rPr>
          <w:rFonts w:eastAsia="Times New Roman" w:cs="Times New Roman"/>
          <w:lang w:eastAsia="de-DE"/>
        </w:rPr>
        <w:t xml:space="preserve">) bedeutet „er sündigt, wird sündigen". </w:t>
      </w:r>
      <w:r w:rsidRPr="00FF7EC2">
        <w:rPr>
          <w:rFonts w:eastAsia="Times New Roman" w:cs="Times New Roman"/>
          <w:b/>
          <w:bCs/>
          <w:rtl/>
          <w:lang w:eastAsia="de-DE"/>
        </w:rPr>
        <w:t>חטא</w:t>
      </w:r>
      <w:r w:rsidRPr="00FF7EC2">
        <w:rPr>
          <w:rFonts w:eastAsia="Times New Roman" w:cs="Times New Roman"/>
          <w:rtl/>
          <w:lang w:eastAsia="de-DE"/>
        </w:rPr>
        <w:t xml:space="preserve"> </w:t>
      </w:r>
      <w:r w:rsidRPr="00FF7EC2">
        <w:rPr>
          <w:rFonts w:eastAsia="Times New Roman" w:cs="Times New Roman"/>
          <w:lang w:eastAsia="de-DE"/>
        </w:rPr>
        <w:t>ist das zentrale Verb für „sündigen, verfehlen". Die Frage impliziert: „Soll etwa ein einzelner Mann sündigen...?"</w:t>
      </w:r>
    </w:p>
    <w:p w14:paraId="13A45414"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koordinierte Phrase </w:t>
      </w:r>
      <w:r w:rsidRPr="00FF7EC2">
        <w:rPr>
          <w:rFonts w:eastAsia="Times New Roman" w:cs="Times New Roman"/>
          <w:b/>
          <w:bCs/>
          <w:rtl/>
          <w:lang w:eastAsia="de-DE"/>
        </w:rPr>
        <w:t>וְעַל כָּל־הָעֵדָה תִּקְצֹף</w:t>
      </w:r>
      <w:r w:rsidRPr="00FF7EC2">
        <w:rPr>
          <w:rFonts w:eastAsia="Times New Roman" w:cs="Times New Roman"/>
          <w:rtl/>
          <w:lang w:eastAsia="de-DE"/>
        </w:rPr>
        <w:t xml:space="preserve"> </w:t>
      </w:r>
      <w:r w:rsidRPr="00FF7EC2">
        <w:rPr>
          <w:rFonts w:eastAsia="Times New Roman" w:cs="Times New Roman"/>
          <w:lang w:eastAsia="de-DE"/>
        </w:rPr>
        <w:t xml:space="preserve">setzt die rhetorische Frage fort: </w:t>
      </w:r>
      <w:r w:rsidRPr="00FF7EC2">
        <w:rPr>
          <w:rFonts w:eastAsia="Times New Roman" w:cs="Times New Roman"/>
          <w:b/>
          <w:bCs/>
          <w:rtl/>
          <w:lang w:eastAsia="de-DE"/>
        </w:rPr>
        <w:t>וְ</w:t>
      </w:r>
      <w:r w:rsidRPr="00FF7EC2">
        <w:rPr>
          <w:rFonts w:eastAsia="Times New Roman" w:cs="Times New Roman"/>
          <w:rtl/>
          <w:lang w:eastAsia="de-DE"/>
        </w:rPr>
        <w:t xml:space="preserve"> </w:t>
      </w:r>
      <w:r w:rsidRPr="00FF7EC2">
        <w:rPr>
          <w:rFonts w:eastAsia="Times New Roman" w:cs="Times New Roman"/>
          <w:lang w:eastAsia="de-DE"/>
        </w:rPr>
        <w:t xml:space="preserve">ist die Konjunktion „und", </w:t>
      </w:r>
      <w:r w:rsidRPr="00FF7EC2">
        <w:rPr>
          <w:rFonts w:eastAsia="Times New Roman" w:cs="Times New Roman"/>
          <w:b/>
          <w:bCs/>
          <w:rtl/>
          <w:lang w:eastAsia="de-DE"/>
        </w:rPr>
        <w:t>עַל</w:t>
      </w:r>
      <w:r w:rsidRPr="00FF7EC2">
        <w:rPr>
          <w:rFonts w:eastAsia="Times New Roman" w:cs="Times New Roman"/>
          <w:rtl/>
          <w:lang w:eastAsia="de-DE"/>
        </w:rPr>
        <w:t xml:space="preserve"> </w:t>
      </w:r>
      <w:r w:rsidRPr="00FF7EC2">
        <w:rPr>
          <w:rFonts w:eastAsia="Times New Roman" w:cs="Times New Roman"/>
          <w:lang w:eastAsia="de-DE"/>
        </w:rPr>
        <w:t xml:space="preserve">die Präposition „über, gegen", </w:t>
      </w:r>
      <w:r w:rsidRPr="00FF7EC2">
        <w:rPr>
          <w:rFonts w:eastAsia="Times New Roman" w:cs="Times New Roman"/>
          <w:b/>
          <w:bCs/>
          <w:rtl/>
          <w:lang w:eastAsia="de-DE"/>
        </w:rPr>
        <w:t>כָּל־הָעֵדָה</w:t>
      </w:r>
      <w:r w:rsidRPr="00FF7EC2">
        <w:rPr>
          <w:rFonts w:eastAsia="Times New Roman" w:cs="Times New Roman"/>
          <w:rtl/>
          <w:lang w:eastAsia="de-DE"/>
        </w:rPr>
        <w:t xml:space="preserve"> </w:t>
      </w:r>
      <w:r w:rsidRPr="00FF7EC2">
        <w:rPr>
          <w:rFonts w:eastAsia="Times New Roman" w:cs="Times New Roman"/>
          <w:lang w:eastAsia="de-DE"/>
        </w:rPr>
        <w:t xml:space="preserve">ist „die ganze Gemeinde". </w:t>
      </w:r>
      <w:r w:rsidRPr="00FF7EC2">
        <w:rPr>
          <w:rFonts w:eastAsia="Times New Roman" w:cs="Times New Roman"/>
          <w:b/>
          <w:bCs/>
          <w:rtl/>
          <w:lang w:eastAsia="de-DE"/>
        </w:rPr>
        <w:t>תִּקְצֹף</w:t>
      </w:r>
      <w:r w:rsidRPr="00FF7EC2">
        <w:rPr>
          <w:rFonts w:eastAsia="Times New Roman" w:cs="Times New Roman"/>
          <w:rtl/>
          <w:lang w:eastAsia="de-DE"/>
        </w:rPr>
        <w:t xml:space="preserve"> </w:t>
      </w:r>
      <w:r w:rsidRPr="00FF7EC2">
        <w:rPr>
          <w:rFonts w:eastAsia="Times New Roman" w:cs="Times New Roman"/>
          <w:lang w:eastAsia="de-DE"/>
        </w:rPr>
        <w:t xml:space="preserve">(Qal Imperfekt, 2. m. sg. von </w:t>
      </w:r>
      <w:r w:rsidRPr="00FF7EC2">
        <w:rPr>
          <w:rFonts w:eastAsia="Times New Roman" w:cs="Times New Roman"/>
          <w:b/>
          <w:bCs/>
          <w:rtl/>
          <w:lang w:eastAsia="de-DE"/>
        </w:rPr>
        <w:t>קצף</w:t>
      </w:r>
      <w:r w:rsidRPr="00FF7EC2">
        <w:rPr>
          <w:rFonts w:eastAsia="Times New Roman" w:cs="Times New Roman"/>
          <w:lang w:eastAsia="de-DE"/>
        </w:rPr>
        <w:t xml:space="preserve">) bedeutet „du zürnst, wirst zürnen". </w:t>
      </w:r>
      <w:r w:rsidRPr="00FF7EC2">
        <w:rPr>
          <w:rFonts w:eastAsia="Times New Roman" w:cs="Times New Roman"/>
          <w:b/>
          <w:bCs/>
          <w:rtl/>
          <w:lang w:eastAsia="de-DE"/>
        </w:rPr>
        <w:t>קצף</w:t>
      </w:r>
      <w:r w:rsidRPr="00FF7EC2">
        <w:rPr>
          <w:rFonts w:eastAsia="Times New Roman" w:cs="Times New Roman"/>
          <w:rtl/>
          <w:lang w:eastAsia="de-DE"/>
        </w:rPr>
        <w:t xml:space="preserve"> </w:t>
      </w:r>
      <w:r w:rsidRPr="00FF7EC2">
        <w:rPr>
          <w:rFonts w:eastAsia="Times New Roman" w:cs="Times New Roman"/>
          <w:lang w:eastAsia="de-DE"/>
        </w:rPr>
        <w:t>bedeutet „zürnen, zornig sein". Die rhetorische Frage argumentiert: „Soll ein Einzelner sündigen, und du zürnst über die ganze Gemeinde?"</w:t>
      </w:r>
    </w:p>
    <w:p w14:paraId="223A4D72"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Fürbitte zeigt Moses und Aarons Verständnis von göttlicher Gerechtigkeit: Kollektivstrafe für individuelle Sünde wäre ungerecht.</w:t>
      </w:r>
    </w:p>
    <w:p w14:paraId="31B9E183" w14:textId="5B23A1BF"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Die LXX</w:t>
      </w:r>
      <w:r w:rsidRPr="00FF7EC2">
        <w:rPr>
          <w:rFonts w:eastAsia="Times New Roman" w:cs="Times New Roman"/>
          <w:lang w:eastAsia="de-DE"/>
        </w:rPr>
        <w:t xml:space="preserve"> übersetzt </w:t>
      </w:r>
      <w:r w:rsidRPr="00FF7EC2">
        <w:rPr>
          <w:rFonts w:eastAsia="Times New Roman" w:cs="Times New Roman"/>
          <w:b/>
          <w:bCs/>
          <w:rtl/>
          <w:lang w:eastAsia="de-DE"/>
        </w:rPr>
        <w:t>וַיִּפְּלוּ עַל־פְּנֵיהֶם</w:t>
      </w:r>
      <w:r w:rsidRPr="00FF7EC2">
        <w:rPr>
          <w:rFonts w:eastAsia="Times New Roman" w:cs="Times New Roman"/>
          <w:rtl/>
          <w:lang w:eastAsia="de-DE"/>
        </w:rPr>
        <w:t xml:space="preserve"> </w:t>
      </w:r>
      <w:r w:rsidRPr="00FF7EC2">
        <w:rPr>
          <w:rFonts w:eastAsia="Times New Roman" w:cs="Times New Roman"/>
          <w:lang w:eastAsia="de-DE"/>
        </w:rPr>
        <w:t xml:space="preserve">mit καὶ ἔπεσαν ἐπὶ πρόσωπον αὐτῶν („und sie fielen auf ihr Angesicht"). </w:t>
      </w:r>
      <w:r w:rsidRPr="00FF7EC2">
        <w:rPr>
          <w:rFonts w:eastAsia="Times New Roman" w:cs="Times New Roman"/>
          <w:b/>
          <w:bCs/>
          <w:rtl/>
          <w:lang w:eastAsia="de-DE"/>
        </w:rPr>
        <w:t>וַיֹּאמְרוּ אֵל אֱלֹהֵי הָרוּחֹת לְכָל־בָּשָׂר</w:t>
      </w:r>
      <w:r w:rsidRPr="00FF7EC2">
        <w:rPr>
          <w:rFonts w:eastAsia="Times New Roman" w:cs="Times New Roman"/>
          <w:rtl/>
          <w:lang w:eastAsia="de-DE"/>
        </w:rPr>
        <w:t xml:space="preserve"> </w:t>
      </w:r>
      <w:r w:rsidRPr="00FF7EC2">
        <w:rPr>
          <w:rFonts w:eastAsia="Times New Roman" w:cs="Times New Roman"/>
          <w:lang w:eastAsia="de-DE"/>
        </w:rPr>
        <w:t xml:space="preserve">wird mit καὶ εἶπαν θεὲ θεὲ τῶν πνευμάτων καὶ πάσης σαρκός („und sie sprachen: Gott, Gott der Geister und alles Fleisches") wiedergegeben. </w:t>
      </w:r>
      <w:r w:rsidRPr="00FF7EC2">
        <w:rPr>
          <w:rFonts w:eastAsia="Times New Roman" w:cs="Times New Roman"/>
          <w:b/>
          <w:bCs/>
          <w:rtl/>
          <w:lang w:eastAsia="de-DE"/>
        </w:rPr>
        <w:t>הָאִישׁ אֶחָד יֶחֱטָא</w:t>
      </w:r>
      <w:r w:rsidRPr="00FF7EC2">
        <w:rPr>
          <w:rFonts w:eastAsia="Times New Roman" w:cs="Times New Roman"/>
          <w:rtl/>
          <w:lang w:eastAsia="de-DE"/>
        </w:rPr>
        <w:t xml:space="preserve"> </w:t>
      </w:r>
      <w:r w:rsidRPr="00FF7EC2">
        <w:rPr>
          <w:rFonts w:eastAsia="Times New Roman" w:cs="Times New Roman"/>
          <w:lang w:eastAsia="de-DE"/>
        </w:rPr>
        <w:t xml:space="preserve">wird mit εἰ ἄνθρωπος εἷς ἥμαρτεν („wenn ein Mensch gesündigt hat") übersetzt. </w:t>
      </w:r>
      <w:r w:rsidRPr="00FF7EC2">
        <w:rPr>
          <w:rFonts w:eastAsia="Times New Roman" w:cs="Times New Roman"/>
          <w:b/>
          <w:bCs/>
          <w:rtl/>
          <w:lang w:eastAsia="de-DE"/>
        </w:rPr>
        <w:t>וְעַל כָּל־הָעֵדָה תִּקְצֹף</w:t>
      </w:r>
      <w:r w:rsidRPr="00FF7EC2">
        <w:rPr>
          <w:rFonts w:eastAsia="Times New Roman" w:cs="Times New Roman"/>
          <w:rtl/>
          <w:lang w:eastAsia="de-DE"/>
        </w:rPr>
        <w:t xml:space="preserve"> </w:t>
      </w:r>
      <w:r w:rsidRPr="00FF7EC2">
        <w:rPr>
          <w:rFonts w:eastAsia="Times New Roman" w:cs="Times New Roman"/>
          <w:lang w:eastAsia="de-DE"/>
        </w:rPr>
        <w:t>wird mit ἐπὶ πᾶσαν συναγωγὴν ὀργὴ κυρίου (epi pasan synagōgēn orgē kyriou, „über die ganze Gemeinde der Zorn des Herrn") wiedergegeben, wobei die LXX die rhetorische Struktur umformt.</w:t>
      </w:r>
    </w:p>
    <w:p w14:paraId="430D22ED"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zwei koordinierte Hauptsätze: Der erste mit Verb und Präpositionalphrase, der zweite mit Verb und erweiterter Anrede (Apposition). Die direkte Rede ist eine rhetorische Frage, die aus zwei koordinierten Gliedern besteht: Das erste mit interrogativem Präfix, Subjekt und Verb; das zweite mit Konjunktion, Präpositionalphrase und Verb. Es gibt keine Nebensätze.</w:t>
      </w:r>
    </w:p>
    <w:p w14:paraId="6A01AABF"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zeigt die mutige Fürbitte Moses und Aarons, die für das Volk eintreten und an Gottes Gerechtigkeit appellieren.</w:t>
      </w:r>
    </w:p>
    <w:p w14:paraId="5D005A9F" w14:textId="77777777" w:rsidR="00FF7EC2" w:rsidRPr="00FF7EC2" w:rsidRDefault="00FF7EC2" w:rsidP="00FF7EC2">
      <w:pPr>
        <w:spacing w:before="100" w:beforeAutospacing="1" w:after="100" w:afterAutospacing="1" w:line="240" w:lineRule="auto"/>
        <w:outlineLvl w:val="0"/>
        <w:rPr>
          <w:rFonts w:eastAsia="Times New Roman" w:cs="Times New Roman"/>
          <w:b/>
          <w:bCs/>
          <w:kern w:val="36"/>
          <w:sz w:val="48"/>
          <w:szCs w:val="48"/>
          <w:lang w:eastAsia="de-DE"/>
        </w:rPr>
      </w:pPr>
      <w:r w:rsidRPr="00FF7EC2">
        <w:rPr>
          <w:rFonts w:eastAsia="Times New Roman" w:cs="Times New Roman"/>
          <w:b/>
          <w:bCs/>
          <w:kern w:val="36"/>
          <w:sz w:val="48"/>
          <w:szCs w:val="48"/>
          <w:lang w:eastAsia="de-DE"/>
        </w:rPr>
        <w:t>Numeri 16,23</w:t>
      </w:r>
    </w:p>
    <w:p w14:paraId="71A15B8D"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Hebräisch:</w:t>
      </w:r>
      <w:r w:rsidRPr="00FF7EC2">
        <w:rPr>
          <w:rFonts w:eastAsia="Times New Roman" w:cs="Times New Roman"/>
          <w:lang w:eastAsia="de-DE"/>
        </w:rPr>
        <w:t xml:space="preserve"> </w:t>
      </w:r>
      <w:r w:rsidRPr="00FF7EC2">
        <w:rPr>
          <w:rFonts w:eastAsia="Times New Roman" w:cs="Times New Roman"/>
          <w:rtl/>
          <w:lang w:eastAsia="de-DE"/>
        </w:rPr>
        <w:t>וַיְדַבֵּ֥ר יְהוָ֖ה אֶל־מֹשֶׁ֥ה לֵּאמֹֽר׃</w:t>
      </w:r>
    </w:p>
    <w:p w14:paraId="56422F9A"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Deutsch:</w:t>
      </w:r>
      <w:r w:rsidRPr="00FF7EC2">
        <w:rPr>
          <w:rFonts w:eastAsia="Times New Roman" w:cs="Times New Roman"/>
          <w:lang w:eastAsia="de-DE"/>
        </w:rPr>
        <w:t xml:space="preserve"> Und der Ewige redete zu Mosche, sagend:</w:t>
      </w:r>
    </w:p>
    <w:p w14:paraId="4428F8B1" w14:textId="77777777" w:rsidR="00FF7EC2" w:rsidRPr="00FF7EC2" w:rsidRDefault="00F329DD" w:rsidP="00FF7EC2">
      <w:pPr>
        <w:spacing w:after="0" w:line="240" w:lineRule="auto"/>
        <w:rPr>
          <w:rFonts w:eastAsia="Times New Roman" w:cs="Times New Roman"/>
          <w:lang w:eastAsia="de-DE"/>
        </w:rPr>
      </w:pPr>
      <w:r>
        <w:rPr>
          <w:rFonts w:eastAsia="Times New Roman" w:cs="Times New Roman"/>
          <w:noProof/>
          <w:lang w:eastAsia="de-DE"/>
        </w:rPr>
        <w:pict w14:anchorId="1AD5B8B7">
          <v:rect id="_x0000_i1561" style="width:0;height:1.5pt" o:hralign="center" o:hrstd="t" o:hr="t" fillcolor="#a0a0a0" stroked="f"/>
        </w:pict>
      </w:r>
    </w:p>
    <w:p w14:paraId="72D97EA8"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t>Kommentar:</w:t>
      </w:r>
      <w:r w:rsidRPr="00FF7EC2">
        <w:rPr>
          <w:rFonts w:eastAsia="Times New Roman" w:cs="Times New Roman"/>
          <w:lang w:eastAsia="de-DE"/>
        </w:rPr>
        <w:t xml:space="preserve"> Das Verb </w:t>
      </w:r>
      <w:r w:rsidRPr="00FF7EC2">
        <w:rPr>
          <w:rFonts w:eastAsia="Times New Roman" w:cs="Times New Roman"/>
          <w:b/>
          <w:bCs/>
          <w:rtl/>
          <w:lang w:eastAsia="de-DE"/>
        </w:rPr>
        <w:t>וַיְדַבֵּר</w:t>
      </w:r>
      <w:r w:rsidRPr="00FF7EC2">
        <w:rPr>
          <w:rFonts w:eastAsia="Times New Roman" w:cs="Times New Roman"/>
          <w:rtl/>
          <w:lang w:eastAsia="de-DE"/>
        </w:rPr>
        <w:t xml:space="preserve"> </w:t>
      </w:r>
      <w:r w:rsidRPr="00FF7EC2">
        <w:rPr>
          <w:rFonts w:eastAsia="Times New Roman" w:cs="Times New Roman"/>
          <w:lang w:eastAsia="de-DE"/>
        </w:rPr>
        <w:t xml:space="preserve">(Wayyiqtol, 3. m. sg. von </w:t>
      </w:r>
      <w:r w:rsidRPr="00FF7EC2">
        <w:rPr>
          <w:rFonts w:eastAsia="Times New Roman" w:cs="Times New Roman"/>
          <w:b/>
          <w:bCs/>
          <w:rtl/>
          <w:lang w:eastAsia="de-DE"/>
        </w:rPr>
        <w:t>דבר</w:t>
      </w:r>
      <w:r w:rsidRPr="00FF7EC2">
        <w:rPr>
          <w:rFonts w:eastAsia="Times New Roman" w:cs="Times New Roman"/>
          <w:rtl/>
          <w:lang w:eastAsia="de-DE"/>
        </w:rPr>
        <w:t xml:space="preserve"> </w:t>
      </w:r>
      <w:r w:rsidRPr="00FF7EC2">
        <w:rPr>
          <w:rFonts w:eastAsia="Times New Roman" w:cs="Times New Roman"/>
          <w:lang w:eastAsia="de-DE"/>
        </w:rPr>
        <w:t xml:space="preserve">Piel) bedeutet „und er redete". Die Piel-Form bezeichnet autoritatives Reden. </w:t>
      </w:r>
      <w:r w:rsidRPr="00FF7EC2">
        <w:rPr>
          <w:rFonts w:eastAsia="Times New Roman" w:cs="Times New Roman"/>
          <w:b/>
          <w:bCs/>
          <w:rtl/>
          <w:lang w:eastAsia="de-DE"/>
        </w:rPr>
        <w:t>יְהוָה</w:t>
      </w:r>
      <w:r w:rsidRPr="00FF7EC2">
        <w:rPr>
          <w:rFonts w:eastAsia="Times New Roman" w:cs="Times New Roman"/>
          <w:rtl/>
          <w:lang w:eastAsia="de-DE"/>
        </w:rPr>
        <w:t xml:space="preserve"> </w:t>
      </w:r>
      <w:r w:rsidRPr="00FF7EC2">
        <w:rPr>
          <w:rFonts w:eastAsia="Times New Roman" w:cs="Times New Roman"/>
          <w:lang w:eastAsia="de-DE"/>
        </w:rPr>
        <w:t>ist das explizite Subjekt.</w:t>
      </w:r>
    </w:p>
    <w:p w14:paraId="1CDCE380"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Die Präpositionalphrase </w:t>
      </w:r>
      <w:r w:rsidRPr="00FF7EC2">
        <w:rPr>
          <w:rFonts w:eastAsia="Times New Roman" w:cs="Times New Roman"/>
          <w:b/>
          <w:bCs/>
          <w:rtl/>
          <w:lang w:eastAsia="de-DE"/>
        </w:rPr>
        <w:t>אֶל־מֹשֶׁה</w:t>
      </w:r>
      <w:r w:rsidRPr="00FF7EC2">
        <w:rPr>
          <w:rFonts w:eastAsia="Times New Roman" w:cs="Times New Roman"/>
          <w:rtl/>
          <w:lang w:eastAsia="de-DE"/>
        </w:rPr>
        <w:t xml:space="preserve"> </w:t>
      </w:r>
      <w:r w:rsidRPr="00FF7EC2">
        <w:rPr>
          <w:rFonts w:eastAsia="Times New Roman" w:cs="Times New Roman"/>
          <w:lang w:eastAsia="de-DE"/>
        </w:rPr>
        <w:t xml:space="preserve">gibt den Adressaten an: </w:t>
      </w:r>
      <w:r w:rsidRPr="00FF7EC2">
        <w:rPr>
          <w:rFonts w:eastAsia="Times New Roman" w:cs="Times New Roman"/>
          <w:b/>
          <w:bCs/>
          <w:rtl/>
          <w:lang w:eastAsia="de-DE"/>
        </w:rPr>
        <w:t>אֶל</w:t>
      </w:r>
      <w:r w:rsidRPr="00FF7EC2">
        <w:rPr>
          <w:rFonts w:eastAsia="Times New Roman" w:cs="Times New Roman"/>
          <w:rtl/>
          <w:lang w:eastAsia="de-DE"/>
        </w:rPr>
        <w:t xml:space="preserve"> </w:t>
      </w:r>
      <w:r w:rsidRPr="00FF7EC2">
        <w:rPr>
          <w:rFonts w:eastAsia="Times New Roman" w:cs="Times New Roman"/>
          <w:lang w:eastAsia="de-DE"/>
        </w:rPr>
        <w:t xml:space="preserve">ist die Präposition „zu", </w:t>
      </w:r>
      <w:r w:rsidRPr="00FF7EC2">
        <w:rPr>
          <w:rFonts w:eastAsia="Times New Roman" w:cs="Times New Roman"/>
          <w:b/>
          <w:bCs/>
          <w:rtl/>
          <w:lang w:eastAsia="de-DE"/>
        </w:rPr>
        <w:t>מֹשֶׁה</w:t>
      </w:r>
      <w:r w:rsidRPr="00FF7EC2">
        <w:rPr>
          <w:rFonts w:eastAsia="Times New Roman" w:cs="Times New Roman"/>
          <w:rtl/>
          <w:lang w:eastAsia="de-DE"/>
        </w:rPr>
        <w:t xml:space="preserve"> </w:t>
      </w:r>
      <w:r w:rsidRPr="00FF7EC2">
        <w:rPr>
          <w:rFonts w:eastAsia="Times New Roman" w:cs="Times New Roman"/>
          <w:lang w:eastAsia="de-DE"/>
        </w:rPr>
        <w:t>(Mose). Auffällig ist, dass Aaron hier nicht mehr als Adressat genannt wird, im Gegensatz zu Vers 20.</w:t>
      </w:r>
    </w:p>
    <w:p w14:paraId="611071B3"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 xml:space="preserve">Das Verb </w:t>
      </w:r>
      <w:r w:rsidRPr="00FF7EC2">
        <w:rPr>
          <w:rFonts w:eastAsia="Times New Roman" w:cs="Times New Roman"/>
          <w:b/>
          <w:bCs/>
          <w:rtl/>
          <w:lang w:eastAsia="de-DE"/>
        </w:rPr>
        <w:t>לֵּאמֹר</w:t>
      </w:r>
      <w:r w:rsidRPr="00FF7EC2">
        <w:rPr>
          <w:rFonts w:eastAsia="Times New Roman" w:cs="Times New Roman"/>
          <w:rtl/>
          <w:lang w:eastAsia="de-DE"/>
        </w:rPr>
        <w:t xml:space="preserve"> </w:t>
      </w:r>
      <w:r w:rsidRPr="00FF7EC2">
        <w:rPr>
          <w:rFonts w:eastAsia="Times New Roman" w:cs="Times New Roman"/>
          <w:lang w:eastAsia="de-DE"/>
        </w:rPr>
        <w:t xml:space="preserve">ist der Qal Infinitiv construct von </w:t>
      </w:r>
      <w:r w:rsidRPr="00FF7EC2">
        <w:rPr>
          <w:rFonts w:eastAsia="Times New Roman" w:cs="Times New Roman"/>
          <w:b/>
          <w:bCs/>
          <w:rtl/>
          <w:lang w:eastAsia="de-DE"/>
        </w:rPr>
        <w:t>אמר</w:t>
      </w:r>
      <w:r w:rsidRPr="00FF7EC2">
        <w:rPr>
          <w:rFonts w:eastAsia="Times New Roman" w:cs="Times New Roman"/>
          <w:rtl/>
          <w:lang w:eastAsia="de-DE"/>
        </w:rPr>
        <w:t xml:space="preserve"> </w:t>
      </w:r>
      <w:r w:rsidRPr="00FF7EC2">
        <w:rPr>
          <w:rFonts w:eastAsia="Times New Roman" w:cs="Times New Roman"/>
          <w:lang w:eastAsia="de-DE"/>
        </w:rPr>
        <w:t xml:space="preserve">mit der Präposition </w:t>
      </w:r>
      <w:r w:rsidRPr="00FF7EC2">
        <w:rPr>
          <w:rFonts w:eastAsia="Times New Roman" w:cs="Times New Roman"/>
          <w:b/>
          <w:bCs/>
          <w:rtl/>
          <w:lang w:eastAsia="de-DE"/>
        </w:rPr>
        <w:t>לְ</w:t>
      </w:r>
      <w:r w:rsidRPr="00FF7EC2">
        <w:rPr>
          <w:rFonts w:eastAsia="Times New Roman" w:cs="Times New Roman"/>
          <w:rtl/>
          <w:lang w:eastAsia="de-DE"/>
        </w:rPr>
        <w:t xml:space="preserve"> </w:t>
      </w:r>
      <w:r w:rsidRPr="00FF7EC2">
        <w:rPr>
          <w:rFonts w:eastAsia="Times New Roman" w:cs="Times New Roman"/>
          <w:lang w:eastAsia="de-DE"/>
        </w:rPr>
        <w:t>als Redeeinleitung: „sagend".</w:t>
      </w:r>
    </w:p>
    <w:p w14:paraId="4EE6D5D0" w14:textId="63F14506"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b/>
          <w:bCs/>
          <w:lang w:eastAsia="de-DE"/>
        </w:rPr>
        <w:lastRenderedPageBreak/>
        <w:t>Die LXX</w:t>
      </w:r>
      <w:r w:rsidRPr="00FF7EC2">
        <w:rPr>
          <w:rFonts w:eastAsia="Times New Roman" w:cs="Times New Roman"/>
          <w:lang w:eastAsia="de-DE"/>
        </w:rPr>
        <w:t xml:space="preserve"> übersetzt </w:t>
      </w:r>
      <w:r w:rsidRPr="00FF7EC2">
        <w:rPr>
          <w:rFonts w:eastAsia="Times New Roman" w:cs="Times New Roman"/>
          <w:b/>
          <w:bCs/>
          <w:rtl/>
          <w:lang w:eastAsia="de-DE"/>
        </w:rPr>
        <w:t>וַיְדַבֵּר יְהוָה אֶל־מֹשֶׁה לֵּאמֹר</w:t>
      </w:r>
      <w:r w:rsidRPr="00FF7EC2">
        <w:rPr>
          <w:rFonts w:eastAsia="Times New Roman" w:cs="Times New Roman"/>
          <w:rtl/>
          <w:lang w:eastAsia="de-DE"/>
        </w:rPr>
        <w:t xml:space="preserve"> </w:t>
      </w:r>
      <w:r w:rsidRPr="00FF7EC2">
        <w:rPr>
          <w:rFonts w:eastAsia="Times New Roman" w:cs="Times New Roman"/>
          <w:lang w:eastAsia="de-DE"/>
        </w:rPr>
        <w:t>mit καὶ ἐλάλησεν κύριος πρὸς Μωυσῆν λέγων.</w:t>
      </w:r>
    </w:p>
    <w:p w14:paraId="08A57B16"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Die Satzstruktur zeigt einen Hauptsatz mit Verb, explizitem Subjekt, Präpositionalphrase und Redeeinleitung. Es gibt keine Nebensätze.</w:t>
      </w:r>
    </w:p>
    <w:p w14:paraId="4F6FAB65" w14:textId="77777777" w:rsidR="00FF7EC2" w:rsidRPr="00FF7EC2" w:rsidRDefault="00FF7EC2" w:rsidP="00FF7EC2">
      <w:pPr>
        <w:spacing w:before="100" w:beforeAutospacing="1" w:after="100" w:afterAutospacing="1" w:line="240" w:lineRule="auto"/>
        <w:rPr>
          <w:rFonts w:eastAsia="Times New Roman" w:cs="Times New Roman"/>
          <w:lang w:eastAsia="de-DE"/>
        </w:rPr>
      </w:pPr>
      <w:r w:rsidRPr="00FF7EC2">
        <w:rPr>
          <w:rFonts w:eastAsia="Times New Roman" w:cs="Times New Roman"/>
          <w:lang w:eastAsia="de-DE"/>
        </w:rPr>
        <w:t>Der Vers ist eine stereotype Redeeinleitungsformel.</w:t>
      </w:r>
    </w:p>
    <w:p w14:paraId="7E354037" w14:textId="77777777" w:rsidR="00067E3D" w:rsidRPr="00067E3D" w:rsidRDefault="00067E3D" w:rsidP="00067E3D">
      <w:pPr>
        <w:spacing w:before="100" w:beforeAutospacing="1" w:after="100" w:afterAutospacing="1" w:line="240" w:lineRule="auto"/>
        <w:outlineLvl w:val="0"/>
        <w:rPr>
          <w:rFonts w:eastAsia="Times New Roman" w:cs="Times New Roman"/>
          <w:b/>
          <w:bCs/>
          <w:kern w:val="36"/>
          <w:sz w:val="48"/>
          <w:szCs w:val="48"/>
          <w:lang w:eastAsia="de-DE"/>
        </w:rPr>
      </w:pPr>
      <w:r w:rsidRPr="00067E3D">
        <w:rPr>
          <w:rFonts w:eastAsia="Times New Roman" w:cs="Times New Roman"/>
          <w:b/>
          <w:bCs/>
          <w:kern w:val="36"/>
          <w:sz w:val="48"/>
          <w:szCs w:val="48"/>
          <w:lang w:eastAsia="de-DE"/>
        </w:rPr>
        <w:t>Numeri 16,24</w:t>
      </w:r>
    </w:p>
    <w:p w14:paraId="5BED6E26"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Hebräisch:</w:t>
      </w:r>
      <w:r w:rsidRPr="00067E3D">
        <w:rPr>
          <w:rFonts w:eastAsia="Times New Roman" w:cs="Times New Roman"/>
          <w:lang w:eastAsia="de-DE"/>
        </w:rPr>
        <w:t xml:space="preserve"> </w:t>
      </w:r>
      <w:r w:rsidRPr="00067E3D">
        <w:rPr>
          <w:rFonts w:eastAsia="Times New Roman" w:cs="Times New Roman"/>
          <w:rtl/>
          <w:lang w:eastAsia="de-DE"/>
        </w:rPr>
        <w:t>דַּבֵּ֥ר אֶל־הָעֵדָ֖ה לֵאמֹ֑ר הֵֽעָלוּ֙ מִסָּבִ֔יב לְמִשְׁכַּן־קֹ֖רַח דָּתָ֥ן וַאֲבִירָֽם׃</w:t>
      </w:r>
    </w:p>
    <w:p w14:paraId="3EA77E7F"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Deutsch:</w:t>
      </w:r>
      <w:r w:rsidRPr="00067E3D">
        <w:rPr>
          <w:rFonts w:eastAsia="Times New Roman" w:cs="Times New Roman"/>
          <w:lang w:eastAsia="de-DE"/>
        </w:rPr>
        <w:t xml:space="preserve"> Rede zu der Gemeinde, sagend: Erhebt euch ringsum von der Wohnung Korachs, Datans und Avirams.</w:t>
      </w:r>
    </w:p>
    <w:p w14:paraId="3AACAE0C" w14:textId="77777777" w:rsidR="00067E3D" w:rsidRPr="00067E3D" w:rsidRDefault="00F329DD" w:rsidP="00067E3D">
      <w:pPr>
        <w:spacing w:after="0" w:line="240" w:lineRule="auto"/>
        <w:rPr>
          <w:rFonts w:eastAsia="Times New Roman" w:cs="Times New Roman"/>
          <w:lang w:eastAsia="de-DE"/>
        </w:rPr>
      </w:pPr>
      <w:r>
        <w:rPr>
          <w:rFonts w:eastAsia="Times New Roman" w:cs="Times New Roman"/>
          <w:noProof/>
          <w:lang w:eastAsia="de-DE"/>
        </w:rPr>
        <w:pict w14:anchorId="33799F5C">
          <v:rect id="_x0000_i1562" style="width:0;height:1.5pt" o:hralign="center" o:hrstd="t" o:hr="t" fillcolor="#a0a0a0" stroked="f"/>
        </w:pict>
      </w:r>
    </w:p>
    <w:p w14:paraId="0D9DC905"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Kommentar:</w:t>
      </w:r>
      <w:r w:rsidRPr="00067E3D">
        <w:rPr>
          <w:rFonts w:eastAsia="Times New Roman" w:cs="Times New Roman"/>
          <w:lang w:eastAsia="de-DE"/>
        </w:rPr>
        <w:t xml:space="preserve"> Das Verb </w:t>
      </w:r>
      <w:r w:rsidRPr="00067E3D">
        <w:rPr>
          <w:rFonts w:eastAsia="Times New Roman" w:cs="Times New Roman"/>
          <w:b/>
          <w:bCs/>
          <w:rtl/>
          <w:lang w:eastAsia="de-DE"/>
        </w:rPr>
        <w:t>דַּבֵּר</w:t>
      </w:r>
      <w:r w:rsidRPr="00067E3D">
        <w:rPr>
          <w:rFonts w:eastAsia="Times New Roman" w:cs="Times New Roman"/>
          <w:rtl/>
          <w:lang w:eastAsia="de-DE"/>
        </w:rPr>
        <w:t xml:space="preserve"> </w:t>
      </w:r>
      <w:r w:rsidRPr="00067E3D">
        <w:rPr>
          <w:rFonts w:eastAsia="Times New Roman" w:cs="Times New Roman"/>
          <w:lang w:eastAsia="de-DE"/>
        </w:rPr>
        <w:t xml:space="preserve">(Piel Imperativ, 2. m. sg. von </w:t>
      </w:r>
      <w:r w:rsidRPr="00067E3D">
        <w:rPr>
          <w:rFonts w:eastAsia="Times New Roman" w:cs="Times New Roman"/>
          <w:b/>
          <w:bCs/>
          <w:rtl/>
          <w:lang w:eastAsia="de-DE"/>
        </w:rPr>
        <w:t>דבר</w:t>
      </w:r>
      <w:r w:rsidRPr="00067E3D">
        <w:rPr>
          <w:rFonts w:eastAsia="Times New Roman" w:cs="Times New Roman"/>
          <w:lang w:eastAsia="de-DE"/>
        </w:rPr>
        <w:t xml:space="preserve">) bedeutet „rede" und richtet sich an Mose. Die Präpositionalphrase </w:t>
      </w:r>
      <w:r w:rsidRPr="00067E3D">
        <w:rPr>
          <w:rFonts w:eastAsia="Times New Roman" w:cs="Times New Roman"/>
          <w:b/>
          <w:bCs/>
          <w:rtl/>
          <w:lang w:eastAsia="de-DE"/>
        </w:rPr>
        <w:t>אֶל־הָעֵדָה</w:t>
      </w:r>
      <w:r w:rsidRPr="00067E3D">
        <w:rPr>
          <w:rFonts w:eastAsia="Times New Roman" w:cs="Times New Roman"/>
          <w:rtl/>
          <w:lang w:eastAsia="de-DE"/>
        </w:rPr>
        <w:t xml:space="preserve"> </w:t>
      </w:r>
      <w:r w:rsidRPr="00067E3D">
        <w:rPr>
          <w:rFonts w:eastAsia="Times New Roman" w:cs="Times New Roman"/>
          <w:lang w:eastAsia="de-DE"/>
        </w:rPr>
        <w:t xml:space="preserve">gibt den Adressaten an: Mose soll zum gesamten Volk sprechen. </w:t>
      </w:r>
      <w:r w:rsidRPr="00067E3D">
        <w:rPr>
          <w:rFonts w:eastAsia="Times New Roman" w:cs="Times New Roman"/>
          <w:b/>
          <w:bCs/>
          <w:rtl/>
          <w:lang w:eastAsia="de-DE"/>
        </w:rPr>
        <w:t>לֵאמֹר</w:t>
      </w:r>
      <w:r w:rsidRPr="00067E3D">
        <w:rPr>
          <w:rFonts w:eastAsia="Times New Roman" w:cs="Times New Roman"/>
          <w:rtl/>
          <w:lang w:eastAsia="de-DE"/>
        </w:rPr>
        <w:t xml:space="preserve"> </w:t>
      </w:r>
      <w:r w:rsidRPr="00067E3D">
        <w:rPr>
          <w:rFonts w:eastAsia="Times New Roman" w:cs="Times New Roman"/>
          <w:lang w:eastAsia="de-DE"/>
        </w:rPr>
        <w:t>ist der Qal Infinitiv construct als Redeeinleitung.</w:t>
      </w:r>
    </w:p>
    <w:p w14:paraId="7935834E"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Der Imperativ </w:t>
      </w:r>
      <w:r w:rsidRPr="00067E3D">
        <w:rPr>
          <w:rFonts w:eastAsia="Times New Roman" w:cs="Times New Roman"/>
          <w:b/>
          <w:bCs/>
          <w:rtl/>
          <w:lang w:eastAsia="de-DE"/>
        </w:rPr>
        <w:t>הֵעָלוּ</w:t>
      </w:r>
      <w:r w:rsidRPr="00067E3D">
        <w:rPr>
          <w:rFonts w:eastAsia="Times New Roman" w:cs="Times New Roman"/>
          <w:rtl/>
          <w:lang w:eastAsia="de-DE"/>
        </w:rPr>
        <w:t xml:space="preserve"> </w:t>
      </w:r>
      <w:r w:rsidRPr="00067E3D">
        <w:rPr>
          <w:rFonts w:eastAsia="Times New Roman" w:cs="Times New Roman"/>
          <w:lang w:eastAsia="de-DE"/>
        </w:rPr>
        <w:t xml:space="preserve">(Nifal Imperativ, 2. m. pl. von </w:t>
      </w:r>
      <w:r w:rsidRPr="00067E3D">
        <w:rPr>
          <w:rFonts w:eastAsia="Times New Roman" w:cs="Times New Roman"/>
          <w:b/>
          <w:bCs/>
          <w:rtl/>
          <w:lang w:eastAsia="de-DE"/>
        </w:rPr>
        <w:t>עלה</w:t>
      </w:r>
      <w:r w:rsidRPr="00067E3D">
        <w:rPr>
          <w:rFonts w:eastAsia="Times New Roman" w:cs="Times New Roman"/>
          <w:lang w:eastAsia="de-DE"/>
        </w:rPr>
        <w:t xml:space="preserve">) bedeutet „erhebt euch, entfernt euch" mit reflexiver Nifal-Bedeutung. Das Adverb </w:t>
      </w:r>
      <w:r w:rsidRPr="00067E3D">
        <w:rPr>
          <w:rFonts w:eastAsia="Times New Roman" w:cs="Times New Roman"/>
          <w:b/>
          <w:bCs/>
          <w:rtl/>
          <w:lang w:eastAsia="de-DE"/>
        </w:rPr>
        <w:t>מִסָּבִיב</w:t>
      </w:r>
      <w:r w:rsidRPr="00067E3D">
        <w:rPr>
          <w:rFonts w:eastAsia="Times New Roman" w:cs="Times New Roman"/>
          <w:rtl/>
          <w:lang w:eastAsia="de-DE"/>
        </w:rPr>
        <w:t xml:space="preserve"> </w:t>
      </w:r>
      <w:r w:rsidRPr="00067E3D">
        <w:rPr>
          <w:rFonts w:eastAsia="Times New Roman" w:cs="Times New Roman"/>
          <w:lang w:eastAsia="de-DE"/>
        </w:rPr>
        <w:t xml:space="preserve">(„ringsum, von allen Seiten") besteht aus der Präposition </w:t>
      </w:r>
      <w:r w:rsidRPr="00067E3D">
        <w:rPr>
          <w:rFonts w:eastAsia="Times New Roman" w:cs="Times New Roman"/>
          <w:b/>
          <w:bCs/>
          <w:rtl/>
          <w:lang w:eastAsia="de-DE"/>
        </w:rPr>
        <w:t>מִן</w:t>
      </w:r>
      <w:r w:rsidRPr="00067E3D">
        <w:rPr>
          <w:rFonts w:eastAsia="Times New Roman" w:cs="Times New Roman"/>
          <w:rtl/>
          <w:lang w:eastAsia="de-DE"/>
        </w:rPr>
        <w:t xml:space="preserve"> </w:t>
      </w:r>
      <w:r w:rsidRPr="00067E3D">
        <w:rPr>
          <w:rFonts w:eastAsia="Times New Roman" w:cs="Times New Roman"/>
          <w:lang w:eastAsia="de-DE"/>
        </w:rPr>
        <w:t xml:space="preserve">und </w:t>
      </w:r>
      <w:r w:rsidRPr="00067E3D">
        <w:rPr>
          <w:rFonts w:eastAsia="Times New Roman" w:cs="Times New Roman"/>
          <w:b/>
          <w:bCs/>
          <w:rtl/>
          <w:lang w:eastAsia="de-DE"/>
        </w:rPr>
        <w:t>סָבִיב</w:t>
      </w:r>
      <w:r w:rsidRPr="00067E3D">
        <w:rPr>
          <w:rFonts w:eastAsia="Times New Roman" w:cs="Times New Roman"/>
          <w:rtl/>
          <w:lang w:eastAsia="de-DE"/>
        </w:rPr>
        <w:t xml:space="preserve"> </w:t>
      </w:r>
      <w:r w:rsidRPr="00067E3D">
        <w:rPr>
          <w:rFonts w:eastAsia="Times New Roman" w:cs="Times New Roman"/>
          <w:lang w:eastAsia="de-DE"/>
        </w:rPr>
        <w:t>(„Umgebung") und bedeutet „zieht euch von ringsum zurück".</w:t>
      </w:r>
    </w:p>
    <w:p w14:paraId="14FB33E9" w14:textId="33606042"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Die Präpositionalphrase </w:t>
      </w:r>
      <w:r w:rsidRPr="00067E3D">
        <w:rPr>
          <w:rFonts w:eastAsia="Times New Roman" w:cs="Times New Roman"/>
          <w:b/>
          <w:bCs/>
          <w:rtl/>
          <w:lang w:eastAsia="de-DE"/>
        </w:rPr>
        <w:t>לְמִשְׁכַּן־קֹרַח דָּתָן וַאֲבִירָם</w:t>
      </w:r>
      <w:r w:rsidRPr="00067E3D">
        <w:rPr>
          <w:rFonts w:eastAsia="Times New Roman" w:cs="Times New Roman"/>
          <w:rtl/>
          <w:lang w:eastAsia="de-DE"/>
        </w:rPr>
        <w:t xml:space="preserve"> </w:t>
      </w:r>
      <w:r w:rsidRPr="00067E3D">
        <w:rPr>
          <w:rFonts w:eastAsia="Times New Roman" w:cs="Times New Roman"/>
          <w:lang w:eastAsia="de-DE"/>
        </w:rPr>
        <w:t xml:space="preserve">gibt an, wovon sich die Gemeinde entfernen soll: </w:t>
      </w:r>
      <w:r w:rsidRPr="00067E3D">
        <w:rPr>
          <w:rFonts w:eastAsia="Times New Roman" w:cs="Times New Roman"/>
          <w:b/>
          <w:bCs/>
          <w:rtl/>
          <w:lang w:eastAsia="de-DE"/>
        </w:rPr>
        <w:t>מִשְׁכַּן</w:t>
      </w:r>
      <w:r w:rsidRPr="00067E3D">
        <w:rPr>
          <w:rFonts w:eastAsia="Times New Roman" w:cs="Times New Roman"/>
          <w:rtl/>
          <w:lang w:eastAsia="de-DE"/>
        </w:rPr>
        <w:t xml:space="preserve"> </w:t>
      </w:r>
      <w:r w:rsidRPr="00067E3D">
        <w:rPr>
          <w:rFonts w:eastAsia="Times New Roman" w:cs="Times New Roman"/>
          <w:lang w:eastAsia="de-DE"/>
        </w:rPr>
        <w:t xml:space="preserve">bedeutet „Wohnung, Zeltwohnung" im Constructus vor den drei koordinierten Namen </w:t>
      </w:r>
      <w:r w:rsidRPr="00067E3D">
        <w:rPr>
          <w:rFonts w:eastAsia="Times New Roman" w:cs="Times New Roman"/>
          <w:b/>
          <w:bCs/>
          <w:rtl/>
          <w:lang w:eastAsia="de-DE"/>
        </w:rPr>
        <w:t>קֹרַח</w:t>
      </w:r>
      <w:r w:rsidRPr="00067E3D">
        <w:rPr>
          <w:rFonts w:eastAsia="Times New Roman" w:cs="Times New Roman"/>
          <w:lang w:eastAsia="de-DE"/>
        </w:rPr>
        <w:t xml:space="preserve">, </w:t>
      </w:r>
      <w:r w:rsidRPr="00067E3D">
        <w:rPr>
          <w:rFonts w:eastAsia="Times New Roman" w:cs="Times New Roman"/>
          <w:b/>
          <w:bCs/>
          <w:rtl/>
          <w:lang w:eastAsia="de-DE"/>
        </w:rPr>
        <w:t>דָּתָן</w:t>
      </w:r>
      <w:r w:rsidRPr="00067E3D">
        <w:rPr>
          <w:rFonts w:eastAsia="Times New Roman" w:cs="Times New Roman"/>
          <w:rtl/>
          <w:lang w:eastAsia="de-DE"/>
        </w:rPr>
        <w:t xml:space="preserve"> </w:t>
      </w:r>
      <w:r w:rsidRPr="00067E3D">
        <w:rPr>
          <w:rFonts w:eastAsia="Times New Roman" w:cs="Times New Roman"/>
          <w:lang w:eastAsia="de-DE"/>
        </w:rPr>
        <w:t xml:space="preserve">und </w:t>
      </w:r>
      <w:r w:rsidRPr="00067E3D">
        <w:rPr>
          <w:rFonts w:eastAsia="Times New Roman" w:cs="Times New Roman"/>
          <w:b/>
          <w:bCs/>
          <w:rtl/>
          <w:lang w:eastAsia="de-DE"/>
        </w:rPr>
        <w:t>אֲבִירָם</w:t>
      </w:r>
      <w:r w:rsidRPr="00067E3D">
        <w:rPr>
          <w:rFonts w:eastAsia="Times New Roman" w:cs="Times New Roman"/>
          <w:rtl/>
          <w:lang w:eastAsia="de-DE"/>
        </w:rPr>
        <w:t xml:space="preserve"> </w:t>
      </w:r>
      <w:r w:rsidRPr="00067E3D">
        <w:rPr>
          <w:rFonts w:eastAsia="Times New Roman" w:cs="Times New Roman"/>
          <w:lang w:eastAsia="de-DE"/>
        </w:rPr>
        <w:t xml:space="preserve">(durch </w:t>
      </w:r>
      <w:r w:rsidRPr="00067E3D">
        <w:rPr>
          <w:rFonts w:eastAsia="Times New Roman" w:cs="Times New Roman"/>
          <w:b/>
          <w:bCs/>
          <w:rtl/>
          <w:lang w:eastAsia="de-DE"/>
        </w:rPr>
        <w:t>וְ</w:t>
      </w:r>
      <w:r w:rsidRPr="00067E3D">
        <w:rPr>
          <w:rFonts w:eastAsia="Times New Roman" w:cs="Times New Roman"/>
          <w:rtl/>
          <w:lang w:eastAsia="de-DE"/>
        </w:rPr>
        <w:t xml:space="preserve"> </w:t>
      </w:r>
      <w:r w:rsidRPr="00067E3D">
        <w:rPr>
          <w:rFonts w:eastAsia="Times New Roman" w:cs="Times New Roman"/>
          <w:lang w:eastAsia="de-DE"/>
        </w:rPr>
        <w:t xml:space="preserve">verbunden). Die </w:t>
      </w:r>
      <w:r w:rsidR="00F133EC">
        <w:rPr>
          <w:rFonts w:eastAsia="Times New Roman" w:cs="Times New Roman"/>
          <w:lang w:eastAsia="de-DE"/>
        </w:rPr>
        <w:t>Construct</w:t>
      </w:r>
      <w:r w:rsidRPr="00067E3D">
        <w:rPr>
          <w:rFonts w:eastAsia="Times New Roman" w:cs="Times New Roman"/>
          <w:lang w:eastAsia="de-DE"/>
        </w:rPr>
        <w:t>ion „Wohnung von Korach, Datan und Aviram" bezieht sich auf ihre Zeltwohnungen im Lager.</w:t>
      </w:r>
    </w:p>
    <w:p w14:paraId="04032CC4" w14:textId="3E8960AB"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Die LXX</w:t>
      </w:r>
      <w:r w:rsidRPr="00067E3D">
        <w:rPr>
          <w:rFonts w:eastAsia="Times New Roman" w:cs="Times New Roman"/>
          <w:lang w:eastAsia="de-DE"/>
        </w:rPr>
        <w:t xml:space="preserve"> </w:t>
      </w:r>
      <w:r w:rsidR="000039C6">
        <w:t>verkürzt „</w:t>
      </w:r>
      <w:r w:rsidR="000039C6" w:rsidRPr="000039C6">
        <w:rPr>
          <w:b/>
          <w:bCs/>
          <w:rtl/>
        </w:rPr>
        <w:t>מִשְׁכַּן־קֹרַח דָּתָן וַאֲבִירָם</w:t>
      </w:r>
      <w:r w:rsidR="000039C6">
        <w:t>" (Wohnung Korachs, Datans und Abirams) zu nur „τῆς συναγωγῆς Κόρε" (der Versammlung Korachs), wobei Datan und Abiram weggelassen werden.</w:t>
      </w:r>
    </w:p>
    <w:p w14:paraId="08D91ABF"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Die Satzstruktur zeigt einen Hauptsatz mit Imperativ, Präpositionalphrase und Redeeinleitung. Die direkte Rede ist ein Imperativsatz mit Adverb und Präpositionalphrase (erweitert durch drei koordinierte Namen). Es gibt keine Nebensätze.</w:t>
      </w:r>
    </w:p>
    <w:p w14:paraId="0BE3C611"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Der Vers zeigt Gottes gnädige Reaktion auf die Fürbitte: Statt das gesamte Volk zu vernichten, gibt er eine Warnung, sich von den Rebellen zu distanzieren.</w:t>
      </w:r>
    </w:p>
    <w:p w14:paraId="3C3221E3" w14:textId="77777777" w:rsidR="00067E3D" w:rsidRPr="00067E3D" w:rsidRDefault="00067E3D" w:rsidP="00067E3D">
      <w:pPr>
        <w:spacing w:before="100" w:beforeAutospacing="1" w:after="100" w:afterAutospacing="1" w:line="240" w:lineRule="auto"/>
        <w:outlineLvl w:val="0"/>
        <w:rPr>
          <w:rFonts w:eastAsia="Times New Roman" w:cs="Times New Roman"/>
          <w:b/>
          <w:bCs/>
          <w:kern w:val="36"/>
          <w:sz w:val="48"/>
          <w:szCs w:val="48"/>
          <w:lang w:eastAsia="de-DE"/>
        </w:rPr>
      </w:pPr>
      <w:r w:rsidRPr="00067E3D">
        <w:rPr>
          <w:rFonts w:eastAsia="Times New Roman" w:cs="Times New Roman"/>
          <w:b/>
          <w:bCs/>
          <w:kern w:val="36"/>
          <w:sz w:val="48"/>
          <w:szCs w:val="48"/>
          <w:lang w:eastAsia="de-DE"/>
        </w:rPr>
        <w:t>Numeri 16,25</w:t>
      </w:r>
    </w:p>
    <w:p w14:paraId="6A4AE5A4"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Hebräisch:</w:t>
      </w:r>
      <w:r w:rsidRPr="00067E3D">
        <w:rPr>
          <w:rFonts w:eastAsia="Times New Roman" w:cs="Times New Roman"/>
          <w:lang w:eastAsia="de-DE"/>
        </w:rPr>
        <w:t xml:space="preserve"> </w:t>
      </w:r>
      <w:r w:rsidRPr="00067E3D">
        <w:rPr>
          <w:rFonts w:eastAsia="Times New Roman" w:cs="Times New Roman"/>
          <w:rtl/>
          <w:lang w:eastAsia="de-DE"/>
        </w:rPr>
        <w:t>וַיָּ֣קָם מֹשֶׁ֔ה וַיֵּ֖לֶךְ אֶל־דָּתָ֣ן וַאֲבִירָ֑ם וַיֵּלְכ֥וּ אַחֲרָ֖יו זִקְנֵ֥י יִשְׂרָאֵֽל׃</w:t>
      </w:r>
    </w:p>
    <w:p w14:paraId="5658BF29"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Deutsch:</w:t>
      </w:r>
      <w:r w:rsidRPr="00067E3D">
        <w:rPr>
          <w:rFonts w:eastAsia="Times New Roman" w:cs="Times New Roman"/>
          <w:lang w:eastAsia="de-DE"/>
        </w:rPr>
        <w:t xml:space="preserve"> Da stand Mosche auf und ging zu Datan und Aviram, und ihm nach gingen die Ältesten Jisra'els.</w:t>
      </w:r>
    </w:p>
    <w:p w14:paraId="25AA6808" w14:textId="77777777" w:rsidR="00067E3D" w:rsidRPr="00067E3D" w:rsidRDefault="00F329DD" w:rsidP="00067E3D">
      <w:pPr>
        <w:spacing w:after="0" w:line="240" w:lineRule="auto"/>
        <w:rPr>
          <w:rFonts w:eastAsia="Times New Roman" w:cs="Times New Roman"/>
          <w:lang w:eastAsia="de-DE"/>
        </w:rPr>
      </w:pPr>
      <w:r>
        <w:rPr>
          <w:rFonts w:eastAsia="Times New Roman" w:cs="Times New Roman"/>
          <w:noProof/>
          <w:lang w:eastAsia="de-DE"/>
        </w:rPr>
        <w:pict w14:anchorId="5BE35387">
          <v:rect id="_x0000_i1563" style="width:0;height:1.5pt" o:hralign="center" o:hrstd="t" o:hr="t" fillcolor="#a0a0a0" stroked="f"/>
        </w:pict>
      </w:r>
    </w:p>
    <w:p w14:paraId="1565B01C"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lastRenderedPageBreak/>
        <w:t>Kommentar:</w:t>
      </w:r>
      <w:r w:rsidRPr="00067E3D">
        <w:rPr>
          <w:rFonts w:eastAsia="Times New Roman" w:cs="Times New Roman"/>
          <w:lang w:eastAsia="de-DE"/>
        </w:rPr>
        <w:t xml:space="preserve"> Das Verb </w:t>
      </w:r>
      <w:r w:rsidRPr="00067E3D">
        <w:rPr>
          <w:rFonts w:eastAsia="Times New Roman" w:cs="Times New Roman"/>
          <w:b/>
          <w:bCs/>
          <w:rtl/>
          <w:lang w:eastAsia="de-DE"/>
        </w:rPr>
        <w:t>וַיָּקָם</w:t>
      </w:r>
      <w:r w:rsidRPr="00067E3D">
        <w:rPr>
          <w:rFonts w:eastAsia="Times New Roman" w:cs="Times New Roman"/>
          <w:rtl/>
          <w:lang w:eastAsia="de-DE"/>
        </w:rPr>
        <w:t xml:space="preserve"> </w:t>
      </w:r>
      <w:r w:rsidRPr="00067E3D">
        <w:rPr>
          <w:rFonts w:eastAsia="Times New Roman" w:cs="Times New Roman"/>
          <w:lang w:eastAsia="de-DE"/>
        </w:rPr>
        <w:t xml:space="preserve">(Wayyiqtol, 3. m. sg. von </w:t>
      </w:r>
      <w:r w:rsidRPr="00067E3D">
        <w:rPr>
          <w:rFonts w:eastAsia="Times New Roman" w:cs="Times New Roman"/>
          <w:b/>
          <w:bCs/>
          <w:rtl/>
          <w:lang w:eastAsia="de-DE"/>
        </w:rPr>
        <w:t>קום</w:t>
      </w:r>
      <w:r w:rsidRPr="00067E3D">
        <w:rPr>
          <w:rFonts w:eastAsia="Times New Roman" w:cs="Times New Roman"/>
          <w:lang w:eastAsia="de-DE"/>
        </w:rPr>
        <w:t xml:space="preserve">) bedeutet „und er stand auf" und beschreibt Moses unmittelbare Reaktion auf Gottes Befehl. </w:t>
      </w:r>
      <w:r w:rsidRPr="00067E3D">
        <w:rPr>
          <w:rFonts w:eastAsia="Times New Roman" w:cs="Times New Roman"/>
          <w:b/>
          <w:bCs/>
          <w:rtl/>
          <w:lang w:eastAsia="de-DE"/>
        </w:rPr>
        <w:t>מֹשֶׁה</w:t>
      </w:r>
      <w:r w:rsidRPr="00067E3D">
        <w:rPr>
          <w:rFonts w:eastAsia="Times New Roman" w:cs="Times New Roman"/>
          <w:rtl/>
          <w:lang w:eastAsia="de-DE"/>
        </w:rPr>
        <w:t xml:space="preserve"> </w:t>
      </w:r>
      <w:r w:rsidRPr="00067E3D">
        <w:rPr>
          <w:rFonts w:eastAsia="Times New Roman" w:cs="Times New Roman"/>
          <w:lang w:eastAsia="de-DE"/>
        </w:rPr>
        <w:t xml:space="preserve">ist das explizite Subjekt. Das koordinierte Verb </w:t>
      </w:r>
      <w:r w:rsidRPr="00067E3D">
        <w:rPr>
          <w:rFonts w:eastAsia="Times New Roman" w:cs="Times New Roman"/>
          <w:b/>
          <w:bCs/>
          <w:rtl/>
          <w:lang w:eastAsia="de-DE"/>
        </w:rPr>
        <w:t>וַיֵּלֶךְ</w:t>
      </w:r>
      <w:r w:rsidRPr="00067E3D">
        <w:rPr>
          <w:rFonts w:eastAsia="Times New Roman" w:cs="Times New Roman"/>
          <w:rtl/>
          <w:lang w:eastAsia="de-DE"/>
        </w:rPr>
        <w:t xml:space="preserve"> </w:t>
      </w:r>
      <w:r w:rsidRPr="00067E3D">
        <w:rPr>
          <w:rFonts w:eastAsia="Times New Roman" w:cs="Times New Roman"/>
          <w:lang w:eastAsia="de-DE"/>
        </w:rPr>
        <w:t xml:space="preserve">(Wayyiqtol, 3. m. sg. von </w:t>
      </w:r>
      <w:r w:rsidRPr="00067E3D">
        <w:rPr>
          <w:rFonts w:eastAsia="Times New Roman" w:cs="Times New Roman"/>
          <w:b/>
          <w:bCs/>
          <w:rtl/>
          <w:lang w:eastAsia="de-DE"/>
        </w:rPr>
        <w:t>הלך</w:t>
      </w:r>
      <w:r w:rsidRPr="00067E3D">
        <w:rPr>
          <w:rFonts w:eastAsia="Times New Roman" w:cs="Times New Roman"/>
          <w:lang w:eastAsia="de-DE"/>
        </w:rPr>
        <w:t>) bedeutet „und er ging".</w:t>
      </w:r>
    </w:p>
    <w:p w14:paraId="7921D44C"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Die Präpositionalphrase </w:t>
      </w:r>
      <w:r w:rsidRPr="00067E3D">
        <w:rPr>
          <w:rFonts w:eastAsia="Times New Roman" w:cs="Times New Roman"/>
          <w:b/>
          <w:bCs/>
          <w:rtl/>
          <w:lang w:eastAsia="de-DE"/>
        </w:rPr>
        <w:t>אֶל־דָּתָן וַאֲבִירָם</w:t>
      </w:r>
      <w:r w:rsidRPr="00067E3D">
        <w:rPr>
          <w:rFonts w:eastAsia="Times New Roman" w:cs="Times New Roman"/>
          <w:rtl/>
          <w:lang w:eastAsia="de-DE"/>
        </w:rPr>
        <w:t xml:space="preserve"> </w:t>
      </w:r>
      <w:r w:rsidRPr="00067E3D">
        <w:rPr>
          <w:rFonts w:eastAsia="Times New Roman" w:cs="Times New Roman"/>
          <w:lang w:eastAsia="de-DE"/>
        </w:rPr>
        <w:t xml:space="preserve">gibt das Ziel an: </w:t>
      </w:r>
      <w:r w:rsidRPr="00067E3D">
        <w:rPr>
          <w:rFonts w:eastAsia="Times New Roman" w:cs="Times New Roman"/>
          <w:b/>
          <w:bCs/>
          <w:rtl/>
          <w:lang w:eastAsia="de-DE"/>
        </w:rPr>
        <w:t>אֶל</w:t>
      </w:r>
      <w:r w:rsidRPr="00067E3D">
        <w:rPr>
          <w:rFonts w:eastAsia="Times New Roman" w:cs="Times New Roman"/>
          <w:rtl/>
          <w:lang w:eastAsia="de-DE"/>
        </w:rPr>
        <w:t xml:space="preserve"> </w:t>
      </w:r>
      <w:r w:rsidRPr="00067E3D">
        <w:rPr>
          <w:rFonts w:eastAsia="Times New Roman" w:cs="Times New Roman"/>
          <w:lang w:eastAsia="de-DE"/>
        </w:rPr>
        <w:t xml:space="preserve">ist „zu", </w:t>
      </w:r>
      <w:r w:rsidRPr="00067E3D">
        <w:rPr>
          <w:rFonts w:eastAsia="Times New Roman" w:cs="Times New Roman"/>
          <w:b/>
          <w:bCs/>
          <w:rtl/>
          <w:lang w:eastAsia="de-DE"/>
        </w:rPr>
        <w:t>דָּתָן</w:t>
      </w:r>
      <w:r w:rsidRPr="00067E3D">
        <w:rPr>
          <w:rFonts w:eastAsia="Times New Roman" w:cs="Times New Roman"/>
          <w:rtl/>
          <w:lang w:eastAsia="de-DE"/>
        </w:rPr>
        <w:t xml:space="preserve"> </w:t>
      </w:r>
      <w:r w:rsidRPr="00067E3D">
        <w:rPr>
          <w:rFonts w:eastAsia="Times New Roman" w:cs="Times New Roman"/>
          <w:lang w:eastAsia="de-DE"/>
        </w:rPr>
        <w:t xml:space="preserve">und </w:t>
      </w:r>
      <w:r w:rsidRPr="00067E3D">
        <w:rPr>
          <w:rFonts w:eastAsia="Times New Roman" w:cs="Times New Roman"/>
          <w:b/>
          <w:bCs/>
          <w:rtl/>
          <w:lang w:eastAsia="de-DE"/>
        </w:rPr>
        <w:t>אֲבִירָם</w:t>
      </w:r>
      <w:r w:rsidRPr="00067E3D">
        <w:rPr>
          <w:rFonts w:eastAsia="Times New Roman" w:cs="Times New Roman"/>
          <w:rtl/>
          <w:lang w:eastAsia="de-DE"/>
        </w:rPr>
        <w:t xml:space="preserve"> </w:t>
      </w:r>
      <w:r w:rsidRPr="00067E3D">
        <w:rPr>
          <w:rFonts w:eastAsia="Times New Roman" w:cs="Times New Roman"/>
          <w:lang w:eastAsia="de-DE"/>
        </w:rPr>
        <w:t xml:space="preserve">sind durch </w:t>
      </w:r>
      <w:r w:rsidRPr="00067E3D">
        <w:rPr>
          <w:rFonts w:eastAsia="Times New Roman" w:cs="Times New Roman"/>
          <w:b/>
          <w:bCs/>
          <w:rtl/>
          <w:lang w:eastAsia="de-DE"/>
        </w:rPr>
        <w:t>וְ</w:t>
      </w:r>
      <w:r w:rsidRPr="00067E3D">
        <w:rPr>
          <w:rFonts w:eastAsia="Times New Roman" w:cs="Times New Roman"/>
          <w:rtl/>
          <w:lang w:eastAsia="de-DE"/>
        </w:rPr>
        <w:t xml:space="preserve"> </w:t>
      </w:r>
      <w:r w:rsidRPr="00067E3D">
        <w:rPr>
          <w:rFonts w:eastAsia="Times New Roman" w:cs="Times New Roman"/>
          <w:lang w:eastAsia="de-DE"/>
        </w:rPr>
        <w:t>koordiniert. Auffällig ist, dass Korach hier nicht genannt wird, was auf die separate Behandlung der levitischen und rubenitischen Rebellion hindeutet.</w:t>
      </w:r>
    </w:p>
    <w:p w14:paraId="21DA554E"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Das koordinierte Verb </w:t>
      </w:r>
      <w:r w:rsidRPr="00067E3D">
        <w:rPr>
          <w:rFonts w:eastAsia="Times New Roman" w:cs="Times New Roman"/>
          <w:b/>
          <w:bCs/>
          <w:rtl/>
          <w:lang w:eastAsia="de-DE"/>
        </w:rPr>
        <w:t>וַיֵּלְכוּ</w:t>
      </w:r>
      <w:r w:rsidRPr="00067E3D">
        <w:rPr>
          <w:rFonts w:eastAsia="Times New Roman" w:cs="Times New Roman"/>
          <w:rtl/>
          <w:lang w:eastAsia="de-DE"/>
        </w:rPr>
        <w:t xml:space="preserve"> </w:t>
      </w:r>
      <w:r w:rsidRPr="00067E3D">
        <w:rPr>
          <w:rFonts w:eastAsia="Times New Roman" w:cs="Times New Roman"/>
          <w:lang w:eastAsia="de-DE"/>
        </w:rPr>
        <w:t xml:space="preserve">(Wayyiqtol, 3. m. pl. von </w:t>
      </w:r>
      <w:r w:rsidRPr="00067E3D">
        <w:rPr>
          <w:rFonts w:eastAsia="Times New Roman" w:cs="Times New Roman"/>
          <w:b/>
          <w:bCs/>
          <w:rtl/>
          <w:lang w:eastAsia="de-DE"/>
        </w:rPr>
        <w:t>הלך</w:t>
      </w:r>
      <w:r w:rsidRPr="00067E3D">
        <w:rPr>
          <w:rFonts w:eastAsia="Times New Roman" w:cs="Times New Roman"/>
          <w:lang w:eastAsia="de-DE"/>
        </w:rPr>
        <w:t xml:space="preserve">) bedeutet „und sie gingen". Das Subjekt </w:t>
      </w:r>
      <w:r w:rsidRPr="00067E3D">
        <w:rPr>
          <w:rFonts w:eastAsia="Times New Roman" w:cs="Times New Roman"/>
          <w:b/>
          <w:bCs/>
          <w:rtl/>
          <w:lang w:eastAsia="de-DE"/>
        </w:rPr>
        <w:t>זִקְנֵי יִשְׂרָאֵל</w:t>
      </w:r>
      <w:r w:rsidRPr="00067E3D">
        <w:rPr>
          <w:rFonts w:eastAsia="Times New Roman" w:cs="Times New Roman"/>
          <w:rtl/>
          <w:lang w:eastAsia="de-DE"/>
        </w:rPr>
        <w:t xml:space="preserve"> </w:t>
      </w:r>
      <w:r w:rsidRPr="00067E3D">
        <w:rPr>
          <w:rFonts w:eastAsia="Times New Roman" w:cs="Times New Roman"/>
          <w:lang w:eastAsia="de-DE"/>
        </w:rPr>
        <w:t>ist „die Ältesten Israels" (</w:t>
      </w:r>
      <w:r w:rsidRPr="00067E3D">
        <w:rPr>
          <w:rFonts w:eastAsia="Times New Roman" w:cs="Times New Roman"/>
          <w:b/>
          <w:bCs/>
          <w:rtl/>
          <w:lang w:eastAsia="de-DE"/>
        </w:rPr>
        <w:t>זְקֵנִים</w:t>
      </w:r>
      <w:r w:rsidRPr="00067E3D">
        <w:rPr>
          <w:rFonts w:eastAsia="Times New Roman" w:cs="Times New Roman"/>
          <w:rtl/>
          <w:lang w:eastAsia="de-DE"/>
        </w:rPr>
        <w:t xml:space="preserve"> </w:t>
      </w:r>
      <w:r w:rsidRPr="00067E3D">
        <w:rPr>
          <w:rFonts w:eastAsia="Times New Roman" w:cs="Times New Roman"/>
          <w:lang w:eastAsia="de-DE"/>
        </w:rPr>
        <w:t xml:space="preserve">im Constructus Plural, </w:t>
      </w:r>
      <w:r w:rsidRPr="00067E3D">
        <w:rPr>
          <w:rFonts w:eastAsia="Times New Roman" w:cs="Times New Roman"/>
          <w:b/>
          <w:bCs/>
          <w:rtl/>
          <w:lang w:eastAsia="de-DE"/>
        </w:rPr>
        <w:t>יִשְׂרָאֵל</w:t>
      </w:r>
      <w:r w:rsidRPr="00067E3D">
        <w:rPr>
          <w:rFonts w:eastAsia="Times New Roman" w:cs="Times New Roman"/>
          <w:rtl/>
          <w:lang w:eastAsia="de-DE"/>
        </w:rPr>
        <w:t xml:space="preserve"> </w:t>
      </w:r>
      <w:r w:rsidRPr="00067E3D">
        <w:rPr>
          <w:rFonts w:eastAsia="Times New Roman" w:cs="Times New Roman"/>
          <w:lang w:eastAsia="de-DE"/>
        </w:rPr>
        <w:t xml:space="preserve">der Volksname). Die Präposition </w:t>
      </w:r>
      <w:r w:rsidRPr="00067E3D">
        <w:rPr>
          <w:rFonts w:eastAsia="Times New Roman" w:cs="Times New Roman"/>
          <w:b/>
          <w:bCs/>
          <w:rtl/>
          <w:lang w:eastAsia="de-DE"/>
        </w:rPr>
        <w:t>אַחֲרָיו</w:t>
      </w:r>
      <w:r w:rsidRPr="00067E3D">
        <w:rPr>
          <w:rFonts w:eastAsia="Times New Roman" w:cs="Times New Roman"/>
          <w:rtl/>
          <w:lang w:eastAsia="de-DE"/>
        </w:rPr>
        <w:t xml:space="preserve"> </w:t>
      </w:r>
      <w:r w:rsidRPr="00067E3D">
        <w:rPr>
          <w:rFonts w:eastAsia="Times New Roman" w:cs="Times New Roman"/>
          <w:lang w:eastAsia="de-DE"/>
        </w:rPr>
        <w:t>(„hinter ihm, nach ihm") mit Suffix 3. m. sg. zeigt, dass die Ältesten Mose begleiten und seine Autorität unterstützen.</w:t>
      </w:r>
    </w:p>
    <w:p w14:paraId="5007682D" w14:textId="0B44FE6A"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Die LXX</w:t>
      </w:r>
      <w:r w:rsidRPr="00067E3D">
        <w:rPr>
          <w:rFonts w:eastAsia="Times New Roman" w:cs="Times New Roman"/>
          <w:lang w:eastAsia="de-DE"/>
        </w:rPr>
        <w:t xml:space="preserve"> übersetzt </w:t>
      </w:r>
      <w:r w:rsidRPr="00067E3D">
        <w:rPr>
          <w:rFonts w:eastAsia="Times New Roman" w:cs="Times New Roman"/>
          <w:b/>
          <w:bCs/>
          <w:rtl/>
          <w:lang w:eastAsia="de-DE"/>
        </w:rPr>
        <w:t>וַיָּקָם מֹשֶׁה וַיֵּלֶךְ אֶל־דָּתָן וַאֲבִירָם</w:t>
      </w:r>
      <w:r w:rsidRPr="00067E3D">
        <w:rPr>
          <w:rFonts w:eastAsia="Times New Roman" w:cs="Times New Roman"/>
          <w:rtl/>
          <w:lang w:eastAsia="de-DE"/>
        </w:rPr>
        <w:t xml:space="preserve"> </w:t>
      </w:r>
      <w:r w:rsidRPr="00067E3D">
        <w:rPr>
          <w:rFonts w:eastAsia="Times New Roman" w:cs="Times New Roman"/>
          <w:lang w:eastAsia="de-DE"/>
        </w:rPr>
        <w:t xml:space="preserve">mit καὶ ἀνέστη Μωυσῆς καὶ ἐπορεύθη πρὸς Δαθαν καὶ Αβιρων („und Mose stand auf und ging zu Dathan und Abiron"). </w:t>
      </w:r>
      <w:r w:rsidRPr="00067E3D">
        <w:rPr>
          <w:rFonts w:eastAsia="Times New Roman" w:cs="Times New Roman"/>
          <w:b/>
          <w:bCs/>
          <w:rtl/>
          <w:lang w:eastAsia="de-DE"/>
        </w:rPr>
        <w:t>וַיֵּלְכוּ אַחֲרָיו זִקְנֵי יִשְׂרָאֵל</w:t>
      </w:r>
      <w:r w:rsidRPr="00067E3D">
        <w:rPr>
          <w:rFonts w:eastAsia="Times New Roman" w:cs="Times New Roman"/>
          <w:rtl/>
          <w:lang w:eastAsia="de-DE"/>
        </w:rPr>
        <w:t xml:space="preserve"> </w:t>
      </w:r>
      <w:r w:rsidRPr="00067E3D">
        <w:rPr>
          <w:rFonts w:eastAsia="Times New Roman" w:cs="Times New Roman"/>
          <w:lang w:eastAsia="de-DE"/>
        </w:rPr>
        <w:t>wird mit καὶ ἐπορεύθησαν μετ' αὐτοῦ πάντες οἱ πρεσβύτεροι Ισραηλ („und es gingen mit ihm alle Ältesten Israels") wiedergegeben, wobei die LXX „alle" hinzufügt.</w:t>
      </w:r>
    </w:p>
    <w:p w14:paraId="47347431"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Die Satzstruktur zeigt drei koordinierte Hauptsätze: Der erste mit Verb und Subjekt, der zweite mit Verb und Präpositionalphrase, der dritte mit Verb, Präposition und Subjekt. Es gibt keine Nebensätze.</w:t>
      </w:r>
    </w:p>
    <w:p w14:paraId="425A6094"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Der Vers beschreibt Moses Gang zu den rubenitischen Rebellen, begleitet von den Ältesten als Zeugen der folgenden Ereignisse.</w:t>
      </w:r>
    </w:p>
    <w:p w14:paraId="2037F35F" w14:textId="77777777" w:rsidR="00067E3D" w:rsidRPr="00067E3D" w:rsidRDefault="00067E3D" w:rsidP="00067E3D">
      <w:pPr>
        <w:spacing w:before="100" w:beforeAutospacing="1" w:after="100" w:afterAutospacing="1" w:line="240" w:lineRule="auto"/>
        <w:outlineLvl w:val="0"/>
        <w:rPr>
          <w:rFonts w:eastAsia="Times New Roman" w:cs="Times New Roman"/>
          <w:b/>
          <w:bCs/>
          <w:kern w:val="36"/>
          <w:sz w:val="48"/>
          <w:szCs w:val="48"/>
          <w:lang w:eastAsia="de-DE"/>
        </w:rPr>
      </w:pPr>
      <w:r w:rsidRPr="00067E3D">
        <w:rPr>
          <w:rFonts w:eastAsia="Times New Roman" w:cs="Times New Roman"/>
          <w:b/>
          <w:bCs/>
          <w:kern w:val="36"/>
          <w:sz w:val="48"/>
          <w:szCs w:val="48"/>
          <w:lang w:eastAsia="de-DE"/>
        </w:rPr>
        <w:t>Numeri 16,26</w:t>
      </w:r>
    </w:p>
    <w:p w14:paraId="1D8042AE"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Hebräisch:</w:t>
      </w:r>
      <w:r w:rsidRPr="00067E3D">
        <w:rPr>
          <w:rFonts w:eastAsia="Times New Roman" w:cs="Times New Roman"/>
          <w:lang w:eastAsia="de-DE"/>
        </w:rPr>
        <w:t xml:space="preserve"> </w:t>
      </w:r>
      <w:r w:rsidRPr="00067E3D">
        <w:rPr>
          <w:rFonts w:eastAsia="Times New Roman" w:cs="Times New Roman"/>
          <w:rtl/>
          <w:lang w:eastAsia="de-DE"/>
        </w:rPr>
        <w:t>וַיְדַבֵּ֨ר אֶל־הָעֵדָ֜ה לֵאמֹ֗ר ס֣וּרוּ נָ֡א מֵעַל֩ אָהֳלֵ֨י הָאֲנָשִׁ֤ים הָֽרְשָׁעִים֙ הָאֵ֔לֶּה וְאַֽל־תִּגְּע֖וּ בְּכָל־אֲשֶׁ֣ר לָהֶ֑ם פֶּן־תִּסָּפ֖וּ בְּכָל־חַטֹּאתָֽם׃</w:t>
      </w:r>
    </w:p>
    <w:p w14:paraId="5C8AC568"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Deutsch:</w:t>
      </w:r>
      <w:r w:rsidRPr="00067E3D">
        <w:rPr>
          <w:rFonts w:eastAsia="Times New Roman" w:cs="Times New Roman"/>
          <w:lang w:eastAsia="de-DE"/>
        </w:rPr>
        <w:t xml:space="preserve"> Und er redete zu der Gemeinde, sagend: Weicht doch von den Zelten dieser frevelhaften Männer und rührt nichts an, was ihnen gehört, damit ihr nicht weggerafft werdet in allen ihren Sünden!</w:t>
      </w:r>
    </w:p>
    <w:p w14:paraId="52C40976" w14:textId="77777777" w:rsidR="00067E3D" w:rsidRPr="00067E3D" w:rsidRDefault="00F329DD" w:rsidP="00067E3D">
      <w:pPr>
        <w:spacing w:after="0" w:line="240" w:lineRule="auto"/>
        <w:rPr>
          <w:rFonts w:eastAsia="Times New Roman" w:cs="Times New Roman"/>
          <w:lang w:eastAsia="de-DE"/>
        </w:rPr>
      </w:pPr>
      <w:r>
        <w:rPr>
          <w:rFonts w:eastAsia="Times New Roman" w:cs="Times New Roman"/>
          <w:noProof/>
          <w:lang w:eastAsia="de-DE"/>
        </w:rPr>
        <w:pict w14:anchorId="3B084A58">
          <v:rect id="_x0000_i1564" style="width:0;height:1.5pt" o:hralign="center" o:hrstd="t" o:hr="t" fillcolor="#a0a0a0" stroked="f"/>
        </w:pict>
      </w:r>
    </w:p>
    <w:p w14:paraId="45ABD62C"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Kommentar:</w:t>
      </w:r>
      <w:r w:rsidRPr="00067E3D">
        <w:rPr>
          <w:rFonts w:eastAsia="Times New Roman" w:cs="Times New Roman"/>
          <w:lang w:eastAsia="de-DE"/>
        </w:rPr>
        <w:t xml:space="preserve"> Das Verb </w:t>
      </w:r>
      <w:r w:rsidRPr="00067E3D">
        <w:rPr>
          <w:rFonts w:eastAsia="Times New Roman" w:cs="Times New Roman"/>
          <w:b/>
          <w:bCs/>
          <w:rtl/>
          <w:lang w:eastAsia="de-DE"/>
        </w:rPr>
        <w:t>וַיְדַבֵּר</w:t>
      </w:r>
      <w:r w:rsidRPr="00067E3D">
        <w:rPr>
          <w:rFonts w:eastAsia="Times New Roman" w:cs="Times New Roman"/>
          <w:rtl/>
          <w:lang w:eastAsia="de-DE"/>
        </w:rPr>
        <w:t xml:space="preserve"> </w:t>
      </w:r>
      <w:r w:rsidRPr="00067E3D">
        <w:rPr>
          <w:rFonts w:eastAsia="Times New Roman" w:cs="Times New Roman"/>
          <w:lang w:eastAsia="de-DE"/>
        </w:rPr>
        <w:t xml:space="preserve">(Wayyiqtol, 3. m. sg. von </w:t>
      </w:r>
      <w:r w:rsidRPr="00067E3D">
        <w:rPr>
          <w:rFonts w:eastAsia="Times New Roman" w:cs="Times New Roman"/>
          <w:b/>
          <w:bCs/>
          <w:rtl/>
          <w:lang w:eastAsia="de-DE"/>
        </w:rPr>
        <w:t>דבר</w:t>
      </w:r>
      <w:r w:rsidRPr="00067E3D">
        <w:rPr>
          <w:rFonts w:eastAsia="Times New Roman" w:cs="Times New Roman"/>
          <w:rtl/>
          <w:lang w:eastAsia="de-DE"/>
        </w:rPr>
        <w:t xml:space="preserve"> </w:t>
      </w:r>
      <w:r w:rsidRPr="00067E3D">
        <w:rPr>
          <w:rFonts w:eastAsia="Times New Roman" w:cs="Times New Roman"/>
          <w:lang w:eastAsia="de-DE"/>
        </w:rPr>
        <w:t xml:space="preserve">Piel) bedeutet „und er redete". Die Präpositionalphrase </w:t>
      </w:r>
      <w:r w:rsidRPr="00067E3D">
        <w:rPr>
          <w:rFonts w:eastAsia="Times New Roman" w:cs="Times New Roman"/>
          <w:b/>
          <w:bCs/>
          <w:rtl/>
          <w:lang w:eastAsia="de-DE"/>
        </w:rPr>
        <w:t>אֶל־הָעֵדָה</w:t>
      </w:r>
      <w:r w:rsidRPr="00067E3D">
        <w:rPr>
          <w:rFonts w:eastAsia="Times New Roman" w:cs="Times New Roman"/>
          <w:rtl/>
          <w:lang w:eastAsia="de-DE"/>
        </w:rPr>
        <w:t xml:space="preserve"> </w:t>
      </w:r>
      <w:r w:rsidRPr="00067E3D">
        <w:rPr>
          <w:rFonts w:eastAsia="Times New Roman" w:cs="Times New Roman"/>
          <w:lang w:eastAsia="de-DE"/>
        </w:rPr>
        <w:t xml:space="preserve">(„zur Gemeinde") gibt den Adressaten an. </w:t>
      </w:r>
      <w:r w:rsidRPr="00067E3D">
        <w:rPr>
          <w:rFonts w:eastAsia="Times New Roman" w:cs="Times New Roman"/>
          <w:b/>
          <w:bCs/>
          <w:rtl/>
          <w:lang w:eastAsia="de-DE"/>
        </w:rPr>
        <w:t>לֵאמֹר</w:t>
      </w:r>
      <w:r w:rsidRPr="00067E3D">
        <w:rPr>
          <w:rFonts w:eastAsia="Times New Roman" w:cs="Times New Roman"/>
          <w:rtl/>
          <w:lang w:eastAsia="de-DE"/>
        </w:rPr>
        <w:t xml:space="preserve"> </w:t>
      </w:r>
      <w:r w:rsidRPr="00067E3D">
        <w:rPr>
          <w:rFonts w:eastAsia="Times New Roman" w:cs="Times New Roman"/>
          <w:lang w:eastAsia="de-DE"/>
        </w:rPr>
        <w:t xml:space="preserve">ist die Redeeinleitung. Der Imperativ </w:t>
      </w:r>
      <w:r w:rsidRPr="00067E3D">
        <w:rPr>
          <w:rFonts w:eastAsia="Times New Roman" w:cs="Times New Roman"/>
          <w:b/>
          <w:bCs/>
          <w:rtl/>
          <w:lang w:eastAsia="de-DE"/>
        </w:rPr>
        <w:t>סוּרוּ</w:t>
      </w:r>
      <w:r w:rsidRPr="00067E3D">
        <w:rPr>
          <w:rFonts w:eastAsia="Times New Roman" w:cs="Times New Roman"/>
          <w:rtl/>
          <w:lang w:eastAsia="de-DE"/>
        </w:rPr>
        <w:t xml:space="preserve"> </w:t>
      </w:r>
      <w:r w:rsidRPr="00067E3D">
        <w:rPr>
          <w:rFonts w:eastAsia="Times New Roman" w:cs="Times New Roman"/>
          <w:lang w:eastAsia="de-DE"/>
        </w:rPr>
        <w:t xml:space="preserve">(Qal Imperativ, 2. m. pl. von </w:t>
      </w:r>
      <w:r w:rsidRPr="00067E3D">
        <w:rPr>
          <w:rFonts w:eastAsia="Times New Roman" w:cs="Times New Roman"/>
          <w:b/>
          <w:bCs/>
          <w:rtl/>
          <w:lang w:eastAsia="de-DE"/>
        </w:rPr>
        <w:t>סור</w:t>
      </w:r>
      <w:r w:rsidRPr="00067E3D">
        <w:rPr>
          <w:rFonts w:eastAsia="Times New Roman" w:cs="Times New Roman"/>
          <w:lang w:eastAsia="de-DE"/>
        </w:rPr>
        <w:t xml:space="preserve">) bedeutet „weicht, wendet euch ab". Die Partikel </w:t>
      </w:r>
      <w:r w:rsidRPr="00067E3D">
        <w:rPr>
          <w:rFonts w:eastAsia="Times New Roman" w:cs="Times New Roman"/>
          <w:b/>
          <w:bCs/>
          <w:rtl/>
          <w:lang w:eastAsia="de-DE"/>
        </w:rPr>
        <w:t>נָא</w:t>
      </w:r>
      <w:r w:rsidRPr="00067E3D">
        <w:rPr>
          <w:rFonts w:eastAsia="Times New Roman" w:cs="Times New Roman"/>
          <w:rtl/>
          <w:lang w:eastAsia="de-DE"/>
        </w:rPr>
        <w:t xml:space="preserve"> </w:t>
      </w:r>
      <w:r w:rsidRPr="00067E3D">
        <w:rPr>
          <w:rFonts w:eastAsia="Times New Roman" w:cs="Times New Roman"/>
          <w:lang w:eastAsia="de-DE"/>
        </w:rPr>
        <w:t>(„doch, bitte") verleiht dringlichen Appell.</w:t>
      </w:r>
    </w:p>
    <w:p w14:paraId="6C443BCF"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Die Präpositionalphrase </w:t>
      </w:r>
      <w:r w:rsidRPr="00067E3D">
        <w:rPr>
          <w:rFonts w:eastAsia="Times New Roman" w:cs="Times New Roman"/>
          <w:b/>
          <w:bCs/>
          <w:rtl/>
          <w:lang w:eastAsia="de-DE"/>
        </w:rPr>
        <w:t>מֵעַל אָהֳלֵי הָאֲנָשִׁים הָרְשָׁעִים הָאֵלֶּה</w:t>
      </w:r>
      <w:r w:rsidRPr="00067E3D">
        <w:rPr>
          <w:rFonts w:eastAsia="Times New Roman" w:cs="Times New Roman"/>
          <w:rtl/>
          <w:lang w:eastAsia="de-DE"/>
        </w:rPr>
        <w:t xml:space="preserve"> </w:t>
      </w:r>
      <w:r w:rsidRPr="00067E3D">
        <w:rPr>
          <w:rFonts w:eastAsia="Times New Roman" w:cs="Times New Roman"/>
          <w:lang w:eastAsia="de-DE"/>
        </w:rPr>
        <w:t xml:space="preserve">gibt an, wovon die Gemeinde weichen soll: </w:t>
      </w:r>
      <w:r w:rsidRPr="00067E3D">
        <w:rPr>
          <w:rFonts w:eastAsia="Times New Roman" w:cs="Times New Roman"/>
          <w:b/>
          <w:bCs/>
          <w:rtl/>
          <w:lang w:eastAsia="de-DE"/>
        </w:rPr>
        <w:t>מֵעַל</w:t>
      </w:r>
      <w:r w:rsidRPr="00067E3D">
        <w:rPr>
          <w:rFonts w:eastAsia="Times New Roman" w:cs="Times New Roman"/>
          <w:rtl/>
          <w:lang w:eastAsia="de-DE"/>
        </w:rPr>
        <w:t xml:space="preserve"> </w:t>
      </w:r>
      <w:r w:rsidRPr="00067E3D">
        <w:rPr>
          <w:rFonts w:eastAsia="Times New Roman" w:cs="Times New Roman"/>
          <w:lang w:eastAsia="de-DE"/>
        </w:rPr>
        <w:t xml:space="preserve">ist die zusammengesetzte Präposition „von...weg", </w:t>
      </w:r>
      <w:r w:rsidRPr="00067E3D">
        <w:rPr>
          <w:rFonts w:eastAsia="Times New Roman" w:cs="Times New Roman"/>
          <w:b/>
          <w:bCs/>
          <w:rtl/>
          <w:lang w:eastAsia="de-DE"/>
        </w:rPr>
        <w:t>אָהֳלֵי</w:t>
      </w:r>
      <w:r w:rsidRPr="00067E3D">
        <w:rPr>
          <w:rFonts w:eastAsia="Times New Roman" w:cs="Times New Roman"/>
          <w:rtl/>
          <w:lang w:eastAsia="de-DE"/>
        </w:rPr>
        <w:t xml:space="preserve"> </w:t>
      </w:r>
      <w:r w:rsidRPr="00067E3D">
        <w:rPr>
          <w:rFonts w:eastAsia="Times New Roman" w:cs="Times New Roman"/>
          <w:lang w:eastAsia="de-DE"/>
        </w:rPr>
        <w:t xml:space="preserve">ist der Constructus Plural von </w:t>
      </w:r>
      <w:r w:rsidRPr="00067E3D">
        <w:rPr>
          <w:rFonts w:eastAsia="Times New Roman" w:cs="Times New Roman"/>
          <w:b/>
          <w:bCs/>
          <w:rtl/>
          <w:lang w:eastAsia="de-DE"/>
        </w:rPr>
        <w:t>אֹהֶל</w:t>
      </w:r>
      <w:r w:rsidRPr="00067E3D">
        <w:rPr>
          <w:rFonts w:eastAsia="Times New Roman" w:cs="Times New Roman"/>
          <w:rtl/>
          <w:lang w:eastAsia="de-DE"/>
        </w:rPr>
        <w:t xml:space="preserve"> </w:t>
      </w:r>
      <w:r w:rsidRPr="00067E3D">
        <w:rPr>
          <w:rFonts w:eastAsia="Times New Roman" w:cs="Times New Roman"/>
          <w:lang w:eastAsia="de-DE"/>
        </w:rPr>
        <w:t xml:space="preserve">(„Zelt"), </w:t>
      </w:r>
      <w:r w:rsidRPr="00067E3D">
        <w:rPr>
          <w:rFonts w:eastAsia="Times New Roman" w:cs="Times New Roman"/>
          <w:b/>
          <w:bCs/>
          <w:rtl/>
          <w:lang w:eastAsia="de-DE"/>
        </w:rPr>
        <w:t>הָאֲנָשִׁים הָרְשָׁעִים</w:t>
      </w:r>
      <w:r w:rsidRPr="00067E3D">
        <w:rPr>
          <w:rFonts w:eastAsia="Times New Roman" w:cs="Times New Roman"/>
          <w:rtl/>
          <w:lang w:eastAsia="de-DE"/>
        </w:rPr>
        <w:t xml:space="preserve"> </w:t>
      </w:r>
      <w:r w:rsidRPr="00067E3D">
        <w:rPr>
          <w:rFonts w:eastAsia="Times New Roman" w:cs="Times New Roman"/>
          <w:lang w:eastAsia="de-DE"/>
        </w:rPr>
        <w:t>ist „die frevelhaften Männer" (</w:t>
      </w:r>
      <w:r w:rsidRPr="00067E3D">
        <w:rPr>
          <w:rFonts w:eastAsia="Times New Roman" w:cs="Times New Roman"/>
          <w:b/>
          <w:bCs/>
          <w:rtl/>
          <w:lang w:eastAsia="de-DE"/>
        </w:rPr>
        <w:t>אֲנָשִׁים</w:t>
      </w:r>
      <w:r w:rsidRPr="00067E3D">
        <w:rPr>
          <w:rFonts w:eastAsia="Times New Roman" w:cs="Times New Roman"/>
          <w:rtl/>
          <w:lang w:eastAsia="de-DE"/>
        </w:rPr>
        <w:t xml:space="preserve"> </w:t>
      </w:r>
      <w:r w:rsidRPr="00067E3D">
        <w:rPr>
          <w:rFonts w:eastAsia="Times New Roman" w:cs="Times New Roman"/>
          <w:lang w:eastAsia="de-DE"/>
        </w:rPr>
        <w:t xml:space="preserve">mit dem Adjektiv </w:t>
      </w:r>
      <w:r w:rsidRPr="00067E3D">
        <w:rPr>
          <w:rFonts w:eastAsia="Times New Roman" w:cs="Times New Roman"/>
          <w:b/>
          <w:bCs/>
          <w:rtl/>
          <w:lang w:eastAsia="de-DE"/>
        </w:rPr>
        <w:t>רְשָׁעִים</w:t>
      </w:r>
      <w:r w:rsidRPr="00067E3D">
        <w:rPr>
          <w:rFonts w:eastAsia="Times New Roman" w:cs="Times New Roman"/>
          <w:rtl/>
          <w:lang w:eastAsia="de-DE"/>
        </w:rPr>
        <w:t xml:space="preserve"> </w:t>
      </w:r>
      <w:r w:rsidRPr="00067E3D">
        <w:rPr>
          <w:rFonts w:eastAsia="Times New Roman" w:cs="Times New Roman"/>
          <w:lang w:eastAsia="de-DE"/>
        </w:rPr>
        <w:t xml:space="preserve">von </w:t>
      </w:r>
      <w:r w:rsidRPr="00067E3D">
        <w:rPr>
          <w:rFonts w:eastAsia="Times New Roman" w:cs="Times New Roman"/>
          <w:b/>
          <w:bCs/>
          <w:rtl/>
          <w:lang w:eastAsia="de-DE"/>
        </w:rPr>
        <w:t>רָשָׁע</w:t>
      </w:r>
      <w:r w:rsidRPr="00067E3D">
        <w:rPr>
          <w:rFonts w:eastAsia="Times New Roman" w:cs="Times New Roman"/>
          <w:lang w:eastAsia="de-DE"/>
        </w:rPr>
        <w:t xml:space="preserve">, „frevelhaft, gottlos"), </w:t>
      </w:r>
      <w:r w:rsidRPr="00067E3D">
        <w:rPr>
          <w:rFonts w:eastAsia="Times New Roman" w:cs="Times New Roman"/>
          <w:b/>
          <w:bCs/>
          <w:rtl/>
          <w:lang w:eastAsia="de-DE"/>
        </w:rPr>
        <w:t>הָאֵלֶּה</w:t>
      </w:r>
      <w:r w:rsidRPr="00067E3D">
        <w:rPr>
          <w:rFonts w:eastAsia="Times New Roman" w:cs="Times New Roman"/>
          <w:rtl/>
          <w:lang w:eastAsia="de-DE"/>
        </w:rPr>
        <w:t xml:space="preserve"> </w:t>
      </w:r>
      <w:r w:rsidRPr="00067E3D">
        <w:rPr>
          <w:rFonts w:eastAsia="Times New Roman" w:cs="Times New Roman"/>
          <w:lang w:eastAsia="de-DE"/>
        </w:rPr>
        <w:t>ist das Demonstrativpronomen Plural „diese".</w:t>
      </w:r>
    </w:p>
    <w:p w14:paraId="10B76EA3"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Der negative Imperativ </w:t>
      </w:r>
      <w:r w:rsidRPr="00067E3D">
        <w:rPr>
          <w:rFonts w:eastAsia="Times New Roman" w:cs="Times New Roman"/>
          <w:b/>
          <w:bCs/>
          <w:rtl/>
          <w:lang w:eastAsia="de-DE"/>
        </w:rPr>
        <w:t>וְאַל־תִּגְּעוּ</w:t>
      </w:r>
      <w:r w:rsidRPr="00067E3D">
        <w:rPr>
          <w:rFonts w:eastAsia="Times New Roman" w:cs="Times New Roman"/>
          <w:rtl/>
          <w:lang w:eastAsia="de-DE"/>
        </w:rPr>
        <w:t xml:space="preserve"> </w:t>
      </w:r>
      <w:r w:rsidRPr="00067E3D">
        <w:rPr>
          <w:rFonts w:eastAsia="Times New Roman" w:cs="Times New Roman"/>
          <w:lang w:eastAsia="de-DE"/>
        </w:rPr>
        <w:t xml:space="preserve">besteht aus </w:t>
      </w:r>
      <w:r w:rsidRPr="00067E3D">
        <w:rPr>
          <w:rFonts w:eastAsia="Times New Roman" w:cs="Times New Roman"/>
          <w:b/>
          <w:bCs/>
          <w:rtl/>
          <w:lang w:eastAsia="de-DE"/>
        </w:rPr>
        <w:t>אַל</w:t>
      </w:r>
      <w:r w:rsidRPr="00067E3D">
        <w:rPr>
          <w:rFonts w:eastAsia="Times New Roman" w:cs="Times New Roman"/>
          <w:rtl/>
          <w:lang w:eastAsia="de-DE"/>
        </w:rPr>
        <w:t xml:space="preserve"> </w:t>
      </w:r>
      <w:r w:rsidRPr="00067E3D">
        <w:rPr>
          <w:rFonts w:eastAsia="Times New Roman" w:cs="Times New Roman"/>
          <w:lang w:eastAsia="de-DE"/>
        </w:rPr>
        <w:t xml:space="preserve">(Negationspartikel für Imperativ/Jussiv) und </w:t>
      </w:r>
      <w:r w:rsidRPr="00067E3D">
        <w:rPr>
          <w:rFonts w:eastAsia="Times New Roman" w:cs="Times New Roman"/>
          <w:b/>
          <w:bCs/>
          <w:rtl/>
          <w:lang w:eastAsia="de-DE"/>
        </w:rPr>
        <w:t>תִּגְּעוּ</w:t>
      </w:r>
      <w:r w:rsidRPr="00067E3D">
        <w:rPr>
          <w:rFonts w:eastAsia="Times New Roman" w:cs="Times New Roman"/>
          <w:rtl/>
          <w:lang w:eastAsia="de-DE"/>
        </w:rPr>
        <w:t xml:space="preserve"> </w:t>
      </w:r>
      <w:r w:rsidRPr="00067E3D">
        <w:rPr>
          <w:rFonts w:eastAsia="Times New Roman" w:cs="Times New Roman"/>
          <w:lang w:eastAsia="de-DE"/>
        </w:rPr>
        <w:t xml:space="preserve">(Qal Imperfekt, 2. m. pl. von </w:t>
      </w:r>
      <w:r w:rsidRPr="00067E3D">
        <w:rPr>
          <w:rFonts w:eastAsia="Times New Roman" w:cs="Times New Roman"/>
          <w:b/>
          <w:bCs/>
          <w:rtl/>
          <w:lang w:eastAsia="de-DE"/>
        </w:rPr>
        <w:t>נגע</w:t>
      </w:r>
      <w:r w:rsidRPr="00067E3D">
        <w:rPr>
          <w:rFonts w:eastAsia="Times New Roman" w:cs="Times New Roman"/>
          <w:lang w:eastAsia="de-DE"/>
        </w:rPr>
        <w:t xml:space="preserve">, „berühren, anrühren"). Die Präposition </w:t>
      </w:r>
      <w:r w:rsidRPr="00067E3D">
        <w:rPr>
          <w:rFonts w:eastAsia="Times New Roman" w:cs="Times New Roman"/>
          <w:b/>
          <w:bCs/>
          <w:rtl/>
          <w:lang w:eastAsia="de-DE"/>
        </w:rPr>
        <w:t>בְּכָל־אֲשֶׁר לָהֶם</w:t>
      </w:r>
      <w:r w:rsidRPr="00067E3D">
        <w:rPr>
          <w:rFonts w:eastAsia="Times New Roman" w:cs="Times New Roman"/>
          <w:rtl/>
          <w:lang w:eastAsia="de-DE"/>
        </w:rPr>
        <w:t xml:space="preserve"> </w:t>
      </w:r>
      <w:r w:rsidRPr="00067E3D">
        <w:rPr>
          <w:rFonts w:eastAsia="Times New Roman" w:cs="Times New Roman"/>
          <w:lang w:eastAsia="de-DE"/>
        </w:rPr>
        <w:t>bedeutet „an allem, was ihnen gehört" (</w:t>
      </w:r>
      <w:r w:rsidRPr="00067E3D">
        <w:rPr>
          <w:rFonts w:eastAsia="Times New Roman" w:cs="Times New Roman"/>
          <w:b/>
          <w:bCs/>
          <w:rtl/>
          <w:lang w:eastAsia="de-DE"/>
        </w:rPr>
        <w:t>בְּ</w:t>
      </w:r>
      <w:r w:rsidRPr="00067E3D">
        <w:rPr>
          <w:rFonts w:eastAsia="Times New Roman" w:cs="Times New Roman"/>
          <w:rtl/>
          <w:lang w:eastAsia="de-DE"/>
        </w:rPr>
        <w:t xml:space="preserve"> </w:t>
      </w:r>
      <w:r w:rsidRPr="00067E3D">
        <w:rPr>
          <w:rFonts w:eastAsia="Times New Roman" w:cs="Times New Roman"/>
          <w:lang w:eastAsia="de-DE"/>
        </w:rPr>
        <w:t xml:space="preserve">instrumental, </w:t>
      </w:r>
      <w:r w:rsidRPr="00067E3D">
        <w:rPr>
          <w:rFonts w:eastAsia="Times New Roman" w:cs="Times New Roman"/>
          <w:b/>
          <w:bCs/>
          <w:rtl/>
          <w:lang w:eastAsia="de-DE"/>
        </w:rPr>
        <w:t>כֹּל</w:t>
      </w:r>
      <w:r w:rsidRPr="00067E3D">
        <w:rPr>
          <w:rFonts w:eastAsia="Times New Roman" w:cs="Times New Roman"/>
          <w:rtl/>
          <w:lang w:eastAsia="de-DE"/>
        </w:rPr>
        <w:t xml:space="preserve"> </w:t>
      </w:r>
      <w:r w:rsidRPr="00067E3D">
        <w:rPr>
          <w:rFonts w:eastAsia="Times New Roman" w:cs="Times New Roman"/>
          <w:lang w:eastAsia="de-DE"/>
        </w:rPr>
        <w:t xml:space="preserve">im Constructus, </w:t>
      </w:r>
      <w:r w:rsidRPr="00067E3D">
        <w:rPr>
          <w:rFonts w:eastAsia="Times New Roman" w:cs="Times New Roman"/>
          <w:b/>
          <w:bCs/>
          <w:rtl/>
          <w:lang w:eastAsia="de-DE"/>
        </w:rPr>
        <w:t>אֲשֶׁר לָהֶם</w:t>
      </w:r>
      <w:r w:rsidRPr="00067E3D">
        <w:rPr>
          <w:rFonts w:eastAsia="Times New Roman" w:cs="Times New Roman"/>
          <w:rtl/>
          <w:lang w:eastAsia="de-DE"/>
        </w:rPr>
        <w:t xml:space="preserve"> </w:t>
      </w:r>
      <w:r w:rsidRPr="00067E3D">
        <w:rPr>
          <w:rFonts w:eastAsia="Times New Roman" w:cs="Times New Roman"/>
          <w:lang w:eastAsia="de-DE"/>
        </w:rPr>
        <w:lastRenderedPageBreak/>
        <w:t xml:space="preserve">Relativsatz). Die finale Konjunktion </w:t>
      </w:r>
      <w:r w:rsidRPr="00067E3D">
        <w:rPr>
          <w:rFonts w:eastAsia="Times New Roman" w:cs="Times New Roman"/>
          <w:b/>
          <w:bCs/>
          <w:rtl/>
          <w:lang w:eastAsia="de-DE"/>
        </w:rPr>
        <w:t>פֶּן</w:t>
      </w:r>
      <w:r w:rsidRPr="00067E3D">
        <w:rPr>
          <w:rFonts w:eastAsia="Times New Roman" w:cs="Times New Roman"/>
          <w:rtl/>
          <w:lang w:eastAsia="de-DE"/>
        </w:rPr>
        <w:t xml:space="preserve"> </w:t>
      </w:r>
      <w:r w:rsidRPr="00067E3D">
        <w:rPr>
          <w:rFonts w:eastAsia="Times New Roman" w:cs="Times New Roman"/>
          <w:lang w:eastAsia="de-DE"/>
        </w:rPr>
        <w:t xml:space="preserve">(„damit nicht, dass nicht") leitet einen Finalsatz ein und warnt vor der Konsequenz. Das Verb </w:t>
      </w:r>
      <w:r w:rsidRPr="00067E3D">
        <w:rPr>
          <w:rFonts w:eastAsia="Times New Roman" w:cs="Times New Roman"/>
          <w:b/>
          <w:bCs/>
          <w:rtl/>
          <w:lang w:eastAsia="de-DE"/>
        </w:rPr>
        <w:t>תִּסָּפוּ</w:t>
      </w:r>
      <w:r w:rsidRPr="00067E3D">
        <w:rPr>
          <w:rFonts w:eastAsia="Times New Roman" w:cs="Times New Roman"/>
          <w:rtl/>
          <w:lang w:eastAsia="de-DE"/>
        </w:rPr>
        <w:t xml:space="preserve"> </w:t>
      </w:r>
      <w:r w:rsidRPr="00067E3D">
        <w:rPr>
          <w:rFonts w:eastAsia="Times New Roman" w:cs="Times New Roman"/>
          <w:lang w:eastAsia="de-DE"/>
        </w:rPr>
        <w:t xml:space="preserve">(Nifal Imperfekt, 2. m. pl. von </w:t>
      </w:r>
      <w:r w:rsidRPr="00067E3D">
        <w:rPr>
          <w:rFonts w:eastAsia="Times New Roman" w:cs="Times New Roman"/>
          <w:b/>
          <w:bCs/>
          <w:rtl/>
          <w:lang w:eastAsia="de-DE"/>
        </w:rPr>
        <w:t>ספה</w:t>
      </w:r>
      <w:r w:rsidRPr="00067E3D">
        <w:rPr>
          <w:rFonts w:eastAsia="Times New Roman" w:cs="Times New Roman"/>
          <w:lang w:eastAsia="de-DE"/>
        </w:rPr>
        <w:t xml:space="preserve">) bedeutet „ihr werdet weggerafft, vernichtet". Die Nifal-Form hat passive Bedeutung. Die Präposition </w:t>
      </w:r>
      <w:r w:rsidRPr="00067E3D">
        <w:rPr>
          <w:rFonts w:eastAsia="Times New Roman" w:cs="Times New Roman"/>
          <w:b/>
          <w:bCs/>
          <w:rtl/>
          <w:lang w:eastAsia="de-DE"/>
        </w:rPr>
        <w:t>בְּכָל־חַטֹּאתָם</w:t>
      </w:r>
      <w:r w:rsidRPr="00067E3D">
        <w:rPr>
          <w:rFonts w:eastAsia="Times New Roman" w:cs="Times New Roman"/>
          <w:rtl/>
          <w:lang w:eastAsia="de-DE"/>
        </w:rPr>
        <w:t xml:space="preserve"> </w:t>
      </w:r>
      <w:r w:rsidRPr="00067E3D">
        <w:rPr>
          <w:rFonts w:eastAsia="Times New Roman" w:cs="Times New Roman"/>
          <w:lang w:eastAsia="de-DE"/>
        </w:rPr>
        <w:t xml:space="preserve">gibt den Grund oder Bereich der Vernichtung an: </w:t>
      </w:r>
      <w:r w:rsidRPr="00067E3D">
        <w:rPr>
          <w:rFonts w:eastAsia="Times New Roman" w:cs="Times New Roman"/>
          <w:b/>
          <w:bCs/>
          <w:rtl/>
          <w:lang w:eastAsia="de-DE"/>
        </w:rPr>
        <w:t>בְּ</w:t>
      </w:r>
      <w:r w:rsidRPr="00067E3D">
        <w:rPr>
          <w:rFonts w:eastAsia="Times New Roman" w:cs="Times New Roman"/>
          <w:rtl/>
          <w:lang w:eastAsia="de-DE"/>
        </w:rPr>
        <w:t xml:space="preserve"> </w:t>
      </w:r>
      <w:r w:rsidRPr="00067E3D">
        <w:rPr>
          <w:rFonts w:eastAsia="Times New Roman" w:cs="Times New Roman"/>
          <w:lang w:eastAsia="de-DE"/>
        </w:rPr>
        <w:t xml:space="preserve">instrumental oder kausal, </w:t>
      </w:r>
      <w:r w:rsidRPr="00067E3D">
        <w:rPr>
          <w:rFonts w:eastAsia="Times New Roman" w:cs="Times New Roman"/>
          <w:b/>
          <w:bCs/>
          <w:rtl/>
          <w:lang w:eastAsia="de-DE"/>
        </w:rPr>
        <w:t>כָּל</w:t>
      </w:r>
      <w:r w:rsidRPr="00067E3D">
        <w:rPr>
          <w:rFonts w:eastAsia="Times New Roman" w:cs="Times New Roman"/>
          <w:rtl/>
          <w:lang w:eastAsia="de-DE"/>
        </w:rPr>
        <w:t xml:space="preserve"> </w:t>
      </w:r>
      <w:r w:rsidRPr="00067E3D">
        <w:rPr>
          <w:rFonts w:eastAsia="Times New Roman" w:cs="Times New Roman"/>
          <w:lang w:eastAsia="de-DE"/>
        </w:rPr>
        <w:t xml:space="preserve">im Constructus, </w:t>
      </w:r>
      <w:r w:rsidRPr="00067E3D">
        <w:rPr>
          <w:rFonts w:eastAsia="Times New Roman" w:cs="Times New Roman"/>
          <w:b/>
          <w:bCs/>
          <w:rtl/>
          <w:lang w:eastAsia="de-DE"/>
        </w:rPr>
        <w:t>חַטֹּאתָם</w:t>
      </w:r>
      <w:r w:rsidRPr="00067E3D">
        <w:rPr>
          <w:rFonts w:eastAsia="Times New Roman" w:cs="Times New Roman"/>
          <w:rtl/>
          <w:lang w:eastAsia="de-DE"/>
        </w:rPr>
        <w:t xml:space="preserve"> </w:t>
      </w:r>
      <w:r w:rsidRPr="00067E3D">
        <w:rPr>
          <w:rFonts w:eastAsia="Times New Roman" w:cs="Times New Roman"/>
          <w:lang w:eastAsia="de-DE"/>
        </w:rPr>
        <w:t xml:space="preserve">ist „ihre Sünden" (Plural von </w:t>
      </w:r>
      <w:r w:rsidRPr="00067E3D">
        <w:rPr>
          <w:rFonts w:eastAsia="Times New Roman" w:cs="Times New Roman"/>
          <w:b/>
          <w:bCs/>
          <w:rtl/>
          <w:lang w:eastAsia="de-DE"/>
        </w:rPr>
        <w:t>חַטָּאת</w:t>
      </w:r>
      <w:r w:rsidRPr="00067E3D">
        <w:rPr>
          <w:rFonts w:eastAsia="Times New Roman" w:cs="Times New Roman"/>
          <w:rtl/>
          <w:lang w:eastAsia="de-DE"/>
        </w:rPr>
        <w:t xml:space="preserve"> </w:t>
      </w:r>
      <w:r w:rsidRPr="00067E3D">
        <w:rPr>
          <w:rFonts w:eastAsia="Times New Roman" w:cs="Times New Roman"/>
          <w:lang w:eastAsia="de-DE"/>
        </w:rPr>
        <w:t>mit Possessivsuffix 3. m. pl.).</w:t>
      </w:r>
    </w:p>
    <w:p w14:paraId="681C0F32" w14:textId="0EA4A269"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Die LXX</w:t>
      </w:r>
      <w:r w:rsidRPr="00067E3D">
        <w:rPr>
          <w:rFonts w:eastAsia="Times New Roman" w:cs="Times New Roman"/>
          <w:lang w:eastAsia="de-DE"/>
        </w:rPr>
        <w:t xml:space="preserve"> </w:t>
      </w:r>
      <w:r w:rsidR="000039C6">
        <w:t>übersetzt „</w:t>
      </w:r>
      <w:r w:rsidR="000039C6" w:rsidRPr="000039C6">
        <w:rPr>
          <w:b/>
          <w:bCs/>
          <w:rtl/>
        </w:rPr>
        <w:t>הָאֲנָשִׁים הָרְשָׁעִים</w:t>
      </w:r>
      <w:r w:rsidR="000039C6">
        <w:t>" (die bösen Männer) mit „τῶν ἀνθρώπων τῶν σκληρῶν" (die hartherzigen/harten Männer), was eine andere moralische Nuance hat.</w:t>
      </w:r>
    </w:p>
    <w:p w14:paraId="177FE2E8"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Die Satzstruktur zeigt einen Hauptsatz mit Verb und Präpositionalphrase sowie Redeeinleitung. Die direkte Rede enthält zwei koordinierte Imperative mit ihren jeweiligen Ergänzungen, gefolgt von einem durch die finale Konjunktion eingeleiteten Nebensatz (Finalsatz) mit Verb und Präpositionalphrase.</w:t>
      </w:r>
    </w:p>
    <w:p w14:paraId="2030ADC8"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Der Vers zeigt Moses dringende Warnung an das Volk: Jede Verbindung mit den Rebellen bringt Teilhabe an ihrem Gericht.</w:t>
      </w:r>
    </w:p>
    <w:p w14:paraId="0687A0C9" w14:textId="77777777" w:rsidR="00067E3D" w:rsidRPr="00067E3D" w:rsidRDefault="00067E3D" w:rsidP="00067E3D">
      <w:pPr>
        <w:spacing w:before="100" w:beforeAutospacing="1" w:after="100" w:afterAutospacing="1" w:line="240" w:lineRule="auto"/>
        <w:outlineLvl w:val="0"/>
        <w:rPr>
          <w:rFonts w:eastAsia="Times New Roman" w:cs="Times New Roman"/>
          <w:b/>
          <w:bCs/>
          <w:kern w:val="36"/>
          <w:sz w:val="48"/>
          <w:szCs w:val="48"/>
          <w:lang w:eastAsia="de-DE"/>
        </w:rPr>
      </w:pPr>
      <w:r w:rsidRPr="00067E3D">
        <w:rPr>
          <w:rFonts w:eastAsia="Times New Roman" w:cs="Times New Roman"/>
          <w:b/>
          <w:bCs/>
          <w:kern w:val="36"/>
          <w:sz w:val="48"/>
          <w:szCs w:val="48"/>
          <w:lang w:eastAsia="de-DE"/>
        </w:rPr>
        <w:t>Numeri 16,27</w:t>
      </w:r>
    </w:p>
    <w:p w14:paraId="1C2FEB4E"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Hebräisch:</w:t>
      </w:r>
      <w:r w:rsidRPr="00067E3D">
        <w:rPr>
          <w:rFonts w:eastAsia="Times New Roman" w:cs="Times New Roman"/>
          <w:lang w:eastAsia="de-DE"/>
        </w:rPr>
        <w:t xml:space="preserve"> </w:t>
      </w:r>
      <w:r w:rsidRPr="00067E3D">
        <w:rPr>
          <w:rFonts w:eastAsia="Times New Roman" w:cs="Times New Roman"/>
          <w:rtl/>
          <w:lang w:eastAsia="de-DE"/>
        </w:rPr>
        <w:t>וַיֵּעָל֗וּ מֵעַ֧ל מִשְׁכַּן־קֹ֛רֶח דָּתָ֥ן וַאֲבִירָ֖ם מִסָּבִ֑יב וְדָתָ֨ן וַאֲבִירָ֜ם יָצְא֣וּ נִצָּבִ֗ים פֶּ֚תַח אָֽהֳלֵיהֶ֔ם וּנְשֵׁיהֶ֥ם וּבְנֵיהֶ֖ם וְטַפָּֽם׃</w:t>
      </w:r>
    </w:p>
    <w:p w14:paraId="7562D039"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Deutsch:</w:t>
      </w:r>
      <w:r w:rsidRPr="00067E3D">
        <w:rPr>
          <w:rFonts w:eastAsia="Times New Roman" w:cs="Times New Roman"/>
          <w:lang w:eastAsia="de-DE"/>
        </w:rPr>
        <w:t xml:space="preserve"> Und sie erhoben sich ringsum von der Wohnung Korachs, Datans und Avirams. Und Datan und Aviram kamen heraus und standen am Eingang ihrer Zelte mit ihren Frauen und ihren Söhnen und ihren Kindlein.</w:t>
      </w:r>
    </w:p>
    <w:p w14:paraId="6ADB0015" w14:textId="77777777" w:rsidR="00067E3D" w:rsidRPr="00067E3D" w:rsidRDefault="00F329DD" w:rsidP="00067E3D">
      <w:pPr>
        <w:spacing w:after="0" w:line="240" w:lineRule="auto"/>
        <w:rPr>
          <w:rFonts w:eastAsia="Times New Roman" w:cs="Times New Roman"/>
          <w:lang w:eastAsia="de-DE"/>
        </w:rPr>
      </w:pPr>
      <w:r>
        <w:rPr>
          <w:rFonts w:eastAsia="Times New Roman" w:cs="Times New Roman"/>
          <w:noProof/>
          <w:lang w:eastAsia="de-DE"/>
        </w:rPr>
        <w:pict w14:anchorId="4818E5D0">
          <v:rect id="_x0000_i1565" style="width:0;height:1.5pt" o:hralign="center" o:hrstd="t" o:hr="t" fillcolor="#a0a0a0" stroked="f"/>
        </w:pict>
      </w:r>
    </w:p>
    <w:p w14:paraId="6E9F1CB0"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Kommentar:</w:t>
      </w:r>
      <w:r w:rsidRPr="00067E3D">
        <w:rPr>
          <w:rFonts w:eastAsia="Times New Roman" w:cs="Times New Roman"/>
          <w:lang w:eastAsia="de-DE"/>
        </w:rPr>
        <w:t xml:space="preserve"> Das Verb </w:t>
      </w:r>
      <w:r w:rsidRPr="00067E3D">
        <w:rPr>
          <w:rFonts w:eastAsia="Times New Roman" w:cs="Times New Roman"/>
          <w:b/>
          <w:bCs/>
          <w:rtl/>
          <w:lang w:eastAsia="de-DE"/>
        </w:rPr>
        <w:t>וַיֵּעָלוּ</w:t>
      </w:r>
      <w:r w:rsidRPr="00067E3D">
        <w:rPr>
          <w:rFonts w:eastAsia="Times New Roman" w:cs="Times New Roman"/>
          <w:rtl/>
          <w:lang w:eastAsia="de-DE"/>
        </w:rPr>
        <w:t xml:space="preserve"> </w:t>
      </w:r>
      <w:r w:rsidRPr="00067E3D">
        <w:rPr>
          <w:rFonts w:eastAsia="Times New Roman" w:cs="Times New Roman"/>
          <w:lang w:eastAsia="de-DE"/>
        </w:rPr>
        <w:t xml:space="preserve">(Wayyiqtol, 3. m. pl. von </w:t>
      </w:r>
      <w:r w:rsidRPr="00067E3D">
        <w:rPr>
          <w:rFonts w:eastAsia="Times New Roman" w:cs="Times New Roman"/>
          <w:b/>
          <w:bCs/>
          <w:rtl/>
          <w:lang w:eastAsia="de-DE"/>
        </w:rPr>
        <w:t>עלה</w:t>
      </w:r>
      <w:r w:rsidRPr="00067E3D">
        <w:rPr>
          <w:rFonts w:eastAsia="Times New Roman" w:cs="Times New Roman"/>
          <w:lang w:eastAsia="de-DE"/>
        </w:rPr>
        <w:t xml:space="preserve">) bedeutet „und sie stiegen hinauf, entfernten sich". Das Subjekt sind die Israeliten. Die Präpositionalphrase </w:t>
      </w:r>
      <w:r w:rsidRPr="00067E3D">
        <w:rPr>
          <w:rFonts w:eastAsia="Times New Roman" w:cs="Times New Roman"/>
          <w:b/>
          <w:bCs/>
          <w:rtl/>
          <w:lang w:eastAsia="de-DE"/>
        </w:rPr>
        <w:t>מֵעַל מִשְׁכַּן־קֹרֶח דָּתָן וַאֲבִירָם</w:t>
      </w:r>
      <w:r w:rsidRPr="00067E3D">
        <w:rPr>
          <w:rFonts w:eastAsia="Times New Roman" w:cs="Times New Roman"/>
          <w:rtl/>
          <w:lang w:eastAsia="de-DE"/>
        </w:rPr>
        <w:t xml:space="preserve"> </w:t>
      </w:r>
      <w:r w:rsidRPr="00067E3D">
        <w:rPr>
          <w:rFonts w:eastAsia="Times New Roman" w:cs="Times New Roman"/>
          <w:lang w:eastAsia="de-DE"/>
        </w:rPr>
        <w:t xml:space="preserve">gibt an, wovon sie sich entfernten: </w:t>
      </w:r>
      <w:r w:rsidRPr="00067E3D">
        <w:rPr>
          <w:rFonts w:eastAsia="Times New Roman" w:cs="Times New Roman"/>
          <w:b/>
          <w:bCs/>
          <w:rtl/>
          <w:lang w:eastAsia="de-DE"/>
        </w:rPr>
        <w:t>מֵעַל</w:t>
      </w:r>
      <w:r w:rsidRPr="00067E3D">
        <w:rPr>
          <w:rFonts w:eastAsia="Times New Roman" w:cs="Times New Roman"/>
          <w:rtl/>
          <w:lang w:eastAsia="de-DE"/>
        </w:rPr>
        <w:t xml:space="preserve"> </w:t>
      </w:r>
      <w:r w:rsidRPr="00067E3D">
        <w:rPr>
          <w:rFonts w:eastAsia="Times New Roman" w:cs="Times New Roman"/>
          <w:lang w:eastAsia="de-DE"/>
        </w:rPr>
        <w:t xml:space="preserve">ist „von...weg", </w:t>
      </w:r>
      <w:r w:rsidRPr="00067E3D">
        <w:rPr>
          <w:rFonts w:eastAsia="Times New Roman" w:cs="Times New Roman"/>
          <w:b/>
          <w:bCs/>
          <w:rtl/>
          <w:lang w:eastAsia="de-DE"/>
        </w:rPr>
        <w:t>מִשְׁכַּן</w:t>
      </w:r>
      <w:r w:rsidRPr="00067E3D">
        <w:rPr>
          <w:rFonts w:eastAsia="Times New Roman" w:cs="Times New Roman"/>
          <w:rtl/>
          <w:lang w:eastAsia="de-DE"/>
        </w:rPr>
        <w:t xml:space="preserve"> </w:t>
      </w:r>
      <w:r w:rsidRPr="00067E3D">
        <w:rPr>
          <w:rFonts w:eastAsia="Times New Roman" w:cs="Times New Roman"/>
          <w:lang w:eastAsia="de-DE"/>
        </w:rPr>
        <w:t xml:space="preserve">im Constructus vor den drei koordinierten Namen </w:t>
      </w:r>
      <w:r w:rsidRPr="00067E3D">
        <w:rPr>
          <w:rFonts w:eastAsia="Times New Roman" w:cs="Times New Roman"/>
          <w:b/>
          <w:bCs/>
          <w:rtl/>
          <w:lang w:eastAsia="de-DE"/>
        </w:rPr>
        <w:t>קֹרֶח</w:t>
      </w:r>
      <w:r w:rsidRPr="00067E3D">
        <w:rPr>
          <w:rFonts w:eastAsia="Times New Roman" w:cs="Times New Roman"/>
          <w:lang w:eastAsia="de-DE"/>
        </w:rPr>
        <w:t xml:space="preserve">, </w:t>
      </w:r>
      <w:r w:rsidRPr="00067E3D">
        <w:rPr>
          <w:rFonts w:eastAsia="Times New Roman" w:cs="Times New Roman"/>
          <w:b/>
          <w:bCs/>
          <w:rtl/>
          <w:lang w:eastAsia="de-DE"/>
        </w:rPr>
        <w:t>דָּתָן</w:t>
      </w:r>
      <w:r w:rsidRPr="00067E3D">
        <w:rPr>
          <w:rFonts w:eastAsia="Times New Roman" w:cs="Times New Roman"/>
          <w:rtl/>
          <w:lang w:eastAsia="de-DE"/>
        </w:rPr>
        <w:t xml:space="preserve"> </w:t>
      </w:r>
      <w:r w:rsidRPr="00067E3D">
        <w:rPr>
          <w:rFonts w:eastAsia="Times New Roman" w:cs="Times New Roman"/>
          <w:lang w:eastAsia="de-DE"/>
        </w:rPr>
        <w:t xml:space="preserve">und </w:t>
      </w:r>
      <w:r w:rsidRPr="00067E3D">
        <w:rPr>
          <w:rFonts w:eastAsia="Times New Roman" w:cs="Times New Roman"/>
          <w:b/>
          <w:bCs/>
          <w:rtl/>
          <w:lang w:eastAsia="de-DE"/>
        </w:rPr>
        <w:t>אֲבִירָם</w:t>
      </w:r>
      <w:r w:rsidRPr="00067E3D">
        <w:rPr>
          <w:rFonts w:eastAsia="Times New Roman" w:cs="Times New Roman"/>
          <w:lang w:eastAsia="de-DE"/>
        </w:rPr>
        <w:t xml:space="preserve">. Das Adverb </w:t>
      </w:r>
      <w:r w:rsidRPr="00067E3D">
        <w:rPr>
          <w:rFonts w:eastAsia="Times New Roman" w:cs="Times New Roman"/>
          <w:b/>
          <w:bCs/>
          <w:rtl/>
          <w:lang w:eastAsia="de-DE"/>
        </w:rPr>
        <w:t>מִסָּבִיב</w:t>
      </w:r>
      <w:r w:rsidRPr="00067E3D">
        <w:rPr>
          <w:rFonts w:eastAsia="Times New Roman" w:cs="Times New Roman"/>
          <w:rtl/>
          <w:lang w:eastAsia="de-DE"/>
        </w:rPr>
        <w:t xml:space="preserve"> </w:t>
      </w:r>
      <w:r w:rsidRPr="00067E3D">
        <w:rPr>
          <w:rFonts w:eastAsia="Times New Roman" w:cs="Times New Roman"/>
          <w:lang w:eastAsia="de-DE"/>
        </w:rPr>
        <w:t>(„ringsum") betont die vollständige Distanzierung von allen Seiten.</w:t>
      </w:r>
    </w:p>
    <w:p w14:paraId="691C7DE7"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Das koordinierte Verb </w:t>
      </w:r>
      <w:r w:rsidRPr="00067E3D">
        <w:rPr>
          <w:rFonts w:eastAsia="Times New Roman" w:cs="Times New Roman"/>
          <w:b/>
          <w:bCs/>
          <w:rtl/>
          <w:lang w:eastAsia="de-DE"/>
        </w:rPr>
        <w:t>יָצְאוּ</w:t>
      </w:r>
      <w:r w:rsidRPr="00067E3D">
        <w:rPr>
          <w:rFonts w:eastAsia="Times New Roman" w:cs="Times New Roman"/>
          <w:rtl/>
          <w:lang w:eastAsia="de-DE"/>
        </w:rPr>
        <w:t xml:space="preserve"> </w:t>
      </w:r>
      <w:r w:rsidRPr="00067E3D">
        <w:rPr>
          <w:rFonts w:eastAsia="Times New Roman" w:cs="Times New Roman"/>
          <w:lang w:eastAsia="de-DE"/>
        </w:rPr>
        <w:t xml:space="preserve">(Qal Perfekt, 3. c. pl. von </w:t>
      </w:r>
      <w:r w:rsidRPr="00067E3D">
        <w:rPr>
          <w:rFonts w:eastAsia="Times New Roman" w:cs="Times New Roman"/>
          <w:b/>
          <w:bCs/>
          <w:rtl/>
          <w:lang w:eastAsia="de-DE"/>
        </w:rPr>
        <w:t>יצא</w:t>
      </w:r>
      <w:r w:rsidRPr="00067E3D">
        <w:rPr>
          <w:rFonts w:eastAsia="Times New Roman" w:cs="Times New Roman"/>
          <w:lang w:eastAsia="de-DE"/>
        </w:rPr>
        <w:t xml:space="preserve">) bedeutet „sie kamen heraus". Die Subjekte </w:t>
      </w:r>
      <w:r w:rsidRPr="00067E3D">
        <w:rPr>
          <w:rFonts w:eastAsia="Times New Roman" w:cs="Times New Roman"/>
          <w:b/>
          <w:bCs/>
          <w:rtl/>
          <w:lang w:eastAsia="de-DE"/>
        </w:rPr>
        <w:t>דָתָן וַאֲבִירָם</w:t>
      </w:r>
      <w:r w:rsidRPr="00067E3D">
        <w:rPr>
          <w:rFonts w:eastAsia="Times New Roman" w:cs="Times New Roman"/>
          <w:rtl/>
          <w:lang w:eastAsia="de-DE"/>
        </w:rPr>
        <w:t xml:space="preserve"> </w:t>
      </w:r>
      <w:r w:rsidRPr="00067E3D">
        <w:rPr>
          <w:rFonts w:eastAsia="Times New Roman" w:cs="Times New Roman"/>
          <w:lang w:eastAsia="de-DE"/>
        </w:rPr>
        <w:t xml:space="preserve">sind explizit genannt. Das Partizip </w:t>
      </w:r>
      <w:r w:rsidRPr="00067E3D">
        <w:rPr>
          <w:rFonts w:eastAsia="Times New Roman" w:cs="Times New Roman"/>
          <w:b/>
          <w:bCs/>
          <w:rtl/>
          <w:lang w:eastAsia="de-DE"/>
        </w:rPr>
        <w:t>נִצָּבִים</w:t>
      </w:r>
      <w:r w:rsidRPr="00067E3D">
        <w:rPr>
          <w:rFonts w:eastAsia="Times New Roman" w:cs="Times New Roman"/>
          <w:rtl/>
          <w:lang w:eastAsia="de-DE"/>
        </w:rPr>
        <w:t xml:space="preserve"> </w:t>
      </w:r>
      <w:r w:rsidRPr="00067E3D">
        <w:rPr>
          <w:rFonts w:eastAsia="Times New Roman" w:cs="Times New Roman"/>
          <w:lang w:eastAsia="de-DE"/>
        </w:rPr>
        <w:t xml:space="preserve">(Nifal Partizip Plural maskulinum von </w:t>
      </w:r>
      <w:r w:rsidRPr="00067E3D">
        <w:rPr>
          <w:rFonts w:eastAsia="Times New Roman" w:cs="Times New Roman"/>
          <w:b/>
          <w:bCs/>
          <w:rtl/>
          <w:lang w:eastAsia="de-DE"/>
        </w:rPr>
        <w:t>נצב</w:t>
      </w:r>
      <w:r w:rsidRPr="00067E3D">
        <w:rPr>
          <w:rFonts w:eastAsia="Times New Roman" w:cs="Times New Roman"/>
          <w:lang w:eastAsia="de-DE"/>
        </w:rPr>
        <w:t>) bedeutet „stehend, sich stellend" und fungiert als Zustandsangabe.</w:t>
      </w:r>
    </w:p>
    <w:p w14:paraId="0516EB67"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Die Ortsangabe </w:t>
      </w:r>
      <w:r w:rsidRPr="00067E3D">
        <w:rPr>
          <w:rFonts w:eastAsia="Times New Roman" w:cs="Times New Roman"/>
          <w:b/>
          <w:bCs/>
          <w:rtl/>
          <w:lang w:eastAsia="de-DE"/>
        </w:rPr>
        <w:t>פֶּתַח אָהֳלֵיהֶם</w:t>
      </w:r>
      <w:r w:rsidRPr="00067E3D">
        <w:rPr>
          <w:rFonts w:eastAsia="Times New Roman" w:cs="Times New Roman"/>
          <w:rtl/>
          <w:lang w:eastAsia="de-DE"/>
        </w:rPr>
        <w:t xml:space="preserve"> </w:t>
      </w:r>
      <w:r w:rsidRPr="00067E3D">
        <w:rPr>
          <w:rFonts w:eastAsia="Times New Roman" w:cs="Times New Roman"/>
          <w:lang w:eastAsia="de-DE"/>
        </w:rPr>
        <w:t>ist „Eingang ihrer Zelte" (</w:t>
      </w:r>
      <w:r w:rsidRPr="00067E3D">
        <w:rPr>
          <w:rFonts w:eastAsia="Times New Roman" w:cs="Times New Roman"/>
          <w:b/>
          <w:bCs/>
          <w:rtl/>
          <w:lang w:eastAsia="de-DE"/>
        </w:rPr>
        <w:t>פֶּתַח</w:t>
      </w:r>
      <w:r w:rsidRPr="00067E3D">
        <w:rPr>
          <w:rFonts w:eastAsia="Times New Roman" w:cs="Times New Roman"/>
          <w:rtl/>
          <w:lang w:eastAsia="de-DE"/>
        </w:rPr>
        <w:t xml:space="preserve"> </w:t>
      </w:r>
      <w:r w:rsidRPr="00067E3D">
        <w:rPr>
          <w:rFonts w:eastAsia="Times New Roman" w:cs="Times New Roman"/>
          <w:lang w:eastAsia="de-DE"/>
        </w:rPr>
        <w:t xml:space="preserve">im Constructus, </w:t>
      </w:r>
      <w:r w:rsidRPr="00067E3D">
        <w:rPr>
          <w:rFonts w:eastAsia="Times New Roman" w:cs="Times New Roman"/>
          <w:b/>
          <w:bCs/>
          <w:rtl/>
          <w:lang w:eastAsia="de-DE"/>
        </w:rPr>
        <w:t>אָהֳלֵיהֶם</w:t>
      </w:r>
      <w:r w:rsidRPr="00067E3D">
        <w:rPr>
          <w:rFonts w:eastAsia="Times New Roman" w:cs="Times New Roman"/>
          <w:rtl/>
          <w:lang w:eastAsia="de-DE"/>
        </w:rPr>
        <w:t xml:space="preserve"> </w:t>
      </w:r>
      <w:r w:rsidRPr="00067E3D">
        <w:rPr>
          <w:rFonts w:eastAsia="Times New Roman" w:cs="Times New Roman"/>
          <w:lang w:eastAsia="de-DE"/>
        </w:rPr>
        <w:t xml:space="preserve">Plural mit Possessivsuffix 3. m. pl.). Die koordinierte Aufzählung </w:t>
      </w:r>
      <w:r w:rsidRPr="00067E3D">
        <w:rPr>
          <w:rFonts w:eastAsia="Times New Roman" w:cs="Times New Roman"/>
          <w:b/>
          <w:bCs/>
          <w:rtl/>
          <w:lang w:eastAsia="de-DE"/>
        </w:rPr>
        <w:t>וּנְשֵׁיהֶם וּבְנֵיהֶם וְטַפָּם</w:t>
      </w:r>
      <w:r w:rsidRPr="00067E3D">
        <w:rPr>
          <w:rFonts w:eastAsia="Times New Roman" w:cs="Times New Roman"/>
          <w:rtl/>
          <w:lang w:eastAsia="de-DE"/>
        </w:rPr>
        <w:t xml:space="preserve"> </w:t>
      </w:r>
      <w:r w:rsidRPr="00067E3D">
        <w:rPr>
          <w:rFonts w:eastAsia="Times New Roman" w:cs="Times New Roman"/>
          <w:lang w:eastAsia="de-DE"/>
        </w:rPr>
        <w:t xml:space="preserve">nennt die Begleitung: </w:t>
      </w:r>
      <w:r w:rsidRPr="00067E3D">
        <w:rPr>
          <w:rFonts w:eastAsia="Times New Roman" w:cs="Times New Roman"/>
          <w:b/>
          <w:bCs/>
          <w:rtl/>
          <w:lang w:eastAsia="de-DE"/>
        </w:rPr>
        <w:t>נְשֵׁיהֶם</w:t>
      </w:r>
      <w:r w:rsidRPr="00067E3D">
        <w:rPr>
          <w:rFonts w:eastAsia="Times New Roman" w:cs="Times New Roman"/>
          <w:rtl/>
          <w:lang w:eastAsia="de-DE"/>
        </w:rPr>
        <w:t xml:space="preserve"> </w:t>
      </w:r>
      <w:r w:rsidRPr="00067E3D">
        <w:rPr>
          <w:rFonts w:eastAsia="Times New Roman" w:cs="Times New Roman"/>
          <w:lang w:eastAsia="de-DE"/>
        </w:rPr>
        <w:t xml:space="preserve">(„ihre Frauen", Plural von </w:t>
      </w:r>
      <w:r w:rsidRPr="00067E3D">
        <w:rPr>
          <w:rFonts w:eastAsia="Times New Roman" w:cs="Times New Roman"/>
          <w:b/>
          <w:bCs/>
          <w:rtl/>
          <w:lang w:eastAsia="de-DE"/>
        </w:rPr>
        <w:t>אִשָּׁה</w:t>
      </w:r>
      <w:r w:rsidRPr="00067E3D">
        <w:rPr>
          <w:rFonts w:eastAsia="Times New Roman" w:cs="Times New Roman"/>
          <w:rtl/>
          <w:lang w:eastAsia="de-DE"/>
        </w:rPr>
        <w:t xml:space="preserve"> </w:t>
      </w:r>
      <w:r w:rsidRPr="00067E3D">
        <w:rPr>
          <w:rFonts w:eastAsia="Times New Roman" w:cs="Times New Roman"/>
          <w:lang w:eastAsia="de-DE"/>
        </w:rPr>
        <w:t xml:space="preserve">mit Suffix), </w:t>
      </w:r>
      <w:r w:rsidRPr="00067E3D">
        <w:rPr>
          <w:rFonts w:eastAsia="Times New Roman" w:cs="Times New Roman"/>
          <w:b/>
          <w:bCs/>
          <w:rtl/>
          <w:lang w:eastAsia="de-DE"/>
        </w:rPr>
        <w:t>בְּנֵיהֶם</w:t>
      </w:r>
      <w:r w:rsidRPr="00067E3D">
        <w:rPr>
          <w:rFonts w:eastAsia="Times New Roman" w:cs="Times New Roman"/>
          <w:rtl/>
          <w:lang w:eastAsia="de-DE"/>
        </w:rPr>
        <w:t xml:space="preserve"> </w:t>
      </w:r>
      <w:r w:rsidRPr="00067E3D">
        <w:rPr>
          <w:rFonts w:eastAsia="Times New Roman" w:cs="Times New Roman"/>
          <w:lang w:eastAsia="de-DE"/>
        </w:rPr>
        <w:t xml:space="preserve">(„ihre Söhne", Plural mit Suffix), </w:t>
      </w:r>
      <w:r w:rsidRPr="00067E3D">
        <w:rPr>
          <w:rFonts w:eastAsia="Times New Roman" w:cs="Times New Roman"/>
          <w:b/>
          <w:bCs/>
          <w:rtl/>
          <w:lang w:eastAsia="de-DE"/>
        </w:rPr>
        <w:t>טַפָּם</w:t>
      </w:r>
      <w:r w:rsidRPr="00067E3D">
        <w:rPr>
          <w:rFonts w:eastAsia="Times New Roman" w:cs="Times New Roman"/>
          <w:rtl/>
          <w:lang w:eastAsia="de-DE"/>
        </w:rPr>
        <w:t xml:space="preserve"> </w:t>
      </w:r>
      <w:r w:rsidRPr="00067E3D">
        <w:rPr>
          <w:rFonts w:eastAsia="Times New Roman" w:cs="Times New Roman"/>
          <w:lang w:eastAsia="de-DE"/>
        </w:rPr>
        <w:t>(„ihre Kleinkinder" mit Suffix). Die Erwähnung der ganzen Familie unterstreicht die Tragik des kommenden Gerichts.</w:t>
      </w:r>
    </w:p>
    <w:p w14:paraId="5B5171C8" w14:textId="2CCCCFC6"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Die LXX</w:t>
      </w:r>
      <w:r w:rsidRPr="00067E3D">
        <w:rPr>
          <w:rFonts w:eastAsia="Times New Roman" w:cs="Times New Roman"/>
          <w:lang w:eastAsia="de-DE"/>
        </w:rPr>
        <w:t xml:space="preserve"> </w:t>
      </w:r>
      <w:r w:rsidR="000039C6">
        <w:t>ersetzt „</w:t>
      </w:r>
      <w:r w:rsidR="000039C6" w:rsidRPr="000039C6">
        <w:rPr>
          <w:b/>
          <w:bCs/>
          <w:rtl/>
        </w:rPr>
        <w:t>וְטַפָּם</w:t>
      </w:r>
      <w:r w:rsidR="000039C6">
        <w:t>" (und ihre Kleinkinder) mit „καὶ ἡ ἀποσκευὴ αὐτῶν" (und ihr Gepäck), eine sachliche statt personelle Aufzählung.</w:t>
      </w:r>
    </w:p>
    <w:p w14:paraId="5E86FBAB"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lastRenderedPageBreak/>
        <w:t>Die Satzstruktur zeigt zwei Hauptsätze: Der erste mit Verb, Präpositionalphrase und Adverb; der zweite mit explizitem Subjekt (koordiniert), Verb, Partizip als Zustandsangabe, Ortsangabe und vier koordinierten nominalen Ergänzungen. Es gibt keine Nebensätze.</w:t>
      </w:r>
    </w:p>
    <w:p w14:paraId="7B71AC2E"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Der Vers beschreibt die Befolgung der Warnung durch das Volk und die trotzige Haltung Datans und Avirams, die mit ihren Familien demonstrativ vor ihren Zelten stehen bleiben.</w:t>
      </w:r>
    </w:p>
    <w:p w14:paraId="0D0D6A0A" w14:textId="77777777" w:rsidR="00067E3D" w:rsidRPr="00067E3D" w:rsidRDefault="00067E3D" w:rsidP="00067E3D">
      <w:pPr>
        <w:spacing w:before="100" w:beforeAutospacing="1" w:after="100" w:afterAutospacing="1" w:line="240" w:lineRule="auto"/>
        <w:outlineLvl w:val="0"/>
        <w:rPr>
          <w:rFonts w:eastAsia="Times New Roman" w:cs="Times New Roman"/>
          <w:b/>
          <w:bCs/>
          <w:kern w:val="36"/>
          <w:sz w:val="48"/>
          <w:szCs w:val="48"/>
          <w:lang w:eastAsia="de-DE"/>
        </w:rPr>
      </w:pPr>
      <w:r w:rsidRPr="00067E3D">
        <w:rPr>
          <w:rFonts w:eastAsia="Times New Roman" w:cs="Times New Roman"/>
          <w:b/>
          <w:bCs/>
          <w:kern w:val="36"/>
          <w:sz w:val="48"/>
          <w:szCs w:val="48"/>
          <w:lang w:eastAsia="de-DE"/>
        </w:rPr>
        <w:t>Numeri 16,28</w:t>
      </w:r>
    </w:p>
    <w:p w14:paraId="56A9AF90"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Hebräisch:</w:t>
      </w:r>
      <w:r w:rsidRPr="00067E3D">
        <w:rPr>
          <w:rFonts w:eastAsia="Times New Roman" w:cs="Times New Roman"/>
          <w:lang w:eastAsia="de-DE"/>
        </w:rPr>
        <w:t xml:space="preserve"> </w:t>
      </w:r>
      <w:r w:rsidRPr="00067E3D">
        <w:rPr>
          <w:rFonts w:eastAsia="Times New Roman" w:cs="Times New Roman"/>
          <w:rtl/>
          <w:lang w:eastAsia="de-DE"/>
        </w:rPr>
        <w:t>וַיֹּאמֶר֮ מֹשֶׁה֒ בְּזֹאת֙ תֵּֽדְע֔וּן כִּֽי־יְהוָ֣ה שְׁלָחַ֔נִי לַעֲשׂ֕וֹת אֵ֥ת כָּל־הַֽמַּעֲשִׂ֖ים הָאֵ֑לֶּה כִּי־לֹ֖א מִלִּבִּֽי׃</w:t>
      </w:r>
    </w:p>
    <w:p w14:paraId="46C10E6A"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Deutsch:</w:t>
      </w:r>
      <w:r w:rsidRPr="00067E3D">
        <w:rPr>
          <w:rFonts w:eastAsia="Times New Roman" w:cs="Times New Roman"/>
          <w:lang w:eastAsia="de-DE"/>
        </w:rPr>
        <w:t xml:space="preserve"> Und Mosche sprach: Daran sollt ihr erkennen, dass der Ewige mich gesandt hat, alle diese Taten zu tun, dass sie nicht aus meinem Herzen sind:</w:t>
      </w:r>
    </w:p>
    <w:p w14:paraId="7752CFF2" w14:textId="77777777" w:rsidR="00067E3D" w:rsidRPr="00067E3D" w:rsidRDefault="00F329DD" w:rsidP="00067E3D">
      <w:pPr>
        <w:spacing w:after="0" w:line="240" w:lineRule="auto"/>
        <w:rPr>
          <w:rFonts w:eastAsia="Times New Roman" w:cs="Times New Roman"/>
          <w:lang w:eastAsia="de-DE"/>
        </w:rPr>
      </w:pPr>
      <w:r>
        <w:rPr>
          <w:rFonts w:eastAsia="Times New Roman" w:cs="Times New Roman"/>
          <w:noProof/>
          <w:lang w:eastAsia="de-DE"/>
        </w:rPr>
        <w:pict w14:anchorId="6ED39E2D">
          <v:rect id="_x0000_i1566" style="width:0;height:1.5pt" o:hralign="center" o:hrstd="t" o:hr="t" fillcolor="#a0a0a0" stroked="f"/>
        </w:pict>
      </w:r>
    </w:p>
    <w:p w14:paraId="3F007625"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Kommentar:</w:t>
      </w:r>
      <w:r w:rsidRPr="00067E3D">
        <w:rPr>
          <w:rFonts w:eastAsia="Times New Roman" w:cs="Times New Roman"/>
          <w:lang w:eastAsia="de-DE"/>
        </w:rPr>
        <w:t xml:space="preserve"> Das Verb </w:t>
      </w:r>
      <w:r w:rsidRPr="00067E3D">
        <w:rPr>
          <w:rFonts w:eastAsia="Times New Roman" w:cs="Times New Roman"/>
          <w:b/>
          <w:bCs/>
          <w:rtl/>
          <w:lang w:eastAsia="de-DE"/>
        </w:rPr>
        <w:t>וַיֹּאמֶר</w:t>
      </w:r>
      <w:r w:rsidRPr="00067E3D">
        <w:rPr>
          <w:rFonts w:eastAsia="Times New Roman" w:cs="Times New Roman"/>
          <w:rtl/>
          <w:lang w:eastAsia="de-DE"/>
        </w:rPr>
        <w:t xml:space="preserve"> </w:t>
      </w:r>
      <w:r w:rsidRPr="00067E3D">
        <w:rPr>
          <w:rFonts w:eastAsia="Times New Roman" w:cs="Times New Roman"/>
          <w:lang w:eastAsia="de-DE"/>
        </w:rPr>
        <w:t xml:space="preserve">(Wayyiqtol, 3. m. sg. von </w:t>
      </w:r>
      <w:r w:rsidRPr="00067E3D">
        <w:rPr>
          <w:rFonts w:eastAsia="Times New Roman" w:cs="Times New Roman"/>
          <w:b/>
          <w:bCs/>
          <w:rtl/>
          <w:lang w:eastAsia="de-DE"/>
        </w:rPr>
        <w:t>אמר</w:t>
      </w:r>
      <w:r w:rsidRPr="00067E3D">
        <w:rPr>
          <w:rFonts w:eastAsia="Times New Roman" w:cs="Times New Roman"/>
          <w:lang w:eastAsia="de-DE"/>
        </w:rPr>
        <w:t xml:space="preserve">) bedeutet „und er sprach". </w:t>
      </w:r>
      <w:r w:rsidRPr="00067E3D">
        <w:rPr>
          <w:rFonts w:eastAsia="Times New Roman" w:cs="Times New Roman"/>
          <w:b/>
          <w:bCs/>
          <w:rtl/>
          <w:lang w:eastAsia="de-DE"/>
        </w:rPr>
        <w:t>מֹשֶׁה</w:t>
      </w:r>
      <w:r w:rsidRPr="00067E3D">
        <w:rPr>
          <w:rFonts w:eastAsia="Times New Roman" w:cs="Times New Roman"/>
          <w:rtl/>
          <w:lang w:eastAsia="de-DE"/>
        </w:rPr>
        <w:t xml:space="preserve"> </w:t>
      </w:r>
      <w:r w:rsidRPr="00067E3D">
        <w:rPr>
          <w:rFonts w:eastAsia="Times New Roman" w:cs="Times New Roman"/>
          <w:lang w:eastAsia="de-DE"/>
        </w:rPr>
        <w:t xml:space="preserve">ist das explizite Subjekt. Die Präposition </w:t>
      </w:r>
      <w:r w:rsidRPr="00067E3D">
        <w:rPr>
          <w:rFonts w:eastAsia="Times New Roman" w:cs="Times New Roman"/>
          <w:b/>
          <w:bCs/>
          <w:rtl/>
          <w:lang w:eastAsia="de-DE"/>
        </w:rPr>
        <w:t>בְּזֹאת</w:t>
      </w:r>
      <w:r w:rsidRPr="00067E3D">
        <w:rPr>
          <w:rFonts w:eastAsia="Times New Roman" w:cs="Times New Roman"/>
          <w:rtl/>
          <w:lang w:eastAsia="de-DE"/>
        </w:rPr>
        <w:t xml:space="preserve"> </w:t>
      </w:r>
      <w:r w:rsidRPr="00067E3D">
        <w:rPr>
          <w:rFonts w:eastAsia="Times New Roman" w:cs="Times New Roman"/>
          <w:lang w:eastAsia="de-DE"/>
        </w:rPr>
        <w:t xml:space="preserve">(„daran, dadurch") besteht aus </w:t>
      </w:r>
      <w:r w:rsidRPr="00067E3D">
        <w:rPr>
          <w:rFonts w:eastAsia="Times New Roman" w:cs="Times New Roman"/>
          <w:b/>
          <w:bCs/>
          <w:rtl/>
          <w:lang w:eastAsia="de-DE"/>
        </w:rPr>
        <w:t>בְּ</w:t>
      </w:r>
      <w:r w:rsidRPr="00067E3D">
        <w:rPr>
          <w:rFonts w:eastAsia="Times New Roman" w:cs="Times New Roman"/>
          <w:rtl/>
          <w:lang w:eastAsia="de-DE"/>
        </w:rPr>
        <w:t xml:space="preserve"> </w:t>
      </w:r>
      <w:r w:rsidRPr="00067E3D">
        <w:rPr>
          <w:rFonts w:eastAsia="Times New Roman" w:cs="Times New Roman"/>
          <w:lang w:eastAsia="de-DE"/>
        </w:rPr>
        <w:t xml:space="preserve">(„durch, mit") und dem Demonstrativpronomen </w:t>
      </w:r>
      <w:r w:rsidRPr="00067E3D">
        <w:rPr>
          <w:rFonts w:eastAsia="Times New Roman" w:cs="Times New Roman"/>
          <w:b/>
          <w:bCs/>
          <w:rtl/>
          <w:lang w:eastAsia="de-DE"/>
        </w:rPr>
        <w:t>זֹאת</w:t>
      </w:r>
      <w:r w:rsidRPr="00067E3D">
        <w:rPr>
          <w:rFonts w:eastAsia="Times New Roman" w:cs="Times New Roman"/>
          <w:rtl/>
          <w:lang w:eastAsia="de-DE"/>
        </w:rPr>
        <w:t xml:space="preserve"> </w:t>
      </w:r>
      <w:r w:rsidRPr="00067E3D">
        <w:rPr>
          <w:rFonts w:eastAsia="Times New Roman" w:cs="Times New Roman"/>
          <w:lang w:eastAsia="de-DE"/>
        </w:rPr>
        <w:t>(„dies") und verweist auf das folgende Zeichen.</w:t>
      </w:r>
    </w:p>
    <w:p w14:paraId="0FC12D68"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Das Verb </w:t>
      </w:r>
      <w:r w:rsidRPr="00067E3D">
        <w:rPr>
          <w:rFonts w:eastAsia="Times New Roman" w:cs="Times New Roman"/>
          <w:b/>
          <w:bCs/>
          <w:rtl/>
          <w:lang w:eastAsia="de-DE"/>
        </w:rPr>
        <w:t>תֵּדְעוּן</w:t>
      </w:r>
      <w:r w:rsidRPr="00067E3D">
        <w:rPr>
          <w:rFonts w:eastAsia="Times New Roman" w:cs="Times New Roman"/>
          <w:rtl/>
          <w:lang w:eastAsia="de-DE"/>
        </w:rPr>
        <w:t xml:space="preserve"> </w:t>
      </w:r>
      <w:r w:rsidRPr="00067E3D">
        <w:rPr>
          <w:rFonts w:eastAsia="Times New Roman" w:cs="Times New Roman"/>
          <w:lang w:eastAsia="de-DE"/>
        </w:rPr>
        <w:t xml:space="preserve">(Qal Imperfekt, 2. m. pl. von </w:t>
      </w:r>
      <w:r w:rsidRPr="00067E3D">
        <w:rPr>
          <w:rFonts w:eastAsia="Times New Roman" w:cs="Times New Roman"/>
          <w:b/>
          <w:bCs/>
          <w:rtl/>
          <w:lang w:eastAsia="de-DE"/>
        </w:rPr>
        <w:t>ידע</w:t>
      </w:r>
      <w:r w:rsidRPr="00067E3D">
        <w:rPr>
          <w:rFonts w:eastAsia="Times New Roman" w:cs="Times New Roman"/>
          <w:lang w:eastAsia="de-DE"/>
        </w:rPr>
        <w:t xml:space="preserve">) bedeutet „ihr werdet erkennen, sollt erkennen". Die kausale Konjunktion </w:t>
      </w:r>
      <w:r w:rsidRPr="00067E3D">
        <w:rPr>
          <w:rFonts w:eastAsia="Times New Roman" w:cs="Times New Roman"/>
          <w:b/>
          <w:bCs/>
          <w:rtl/>
          <w:lang w:eastAsia="de-DE"/>
        </w:rPr>
        <w:t>כִּי</w:t>
      </w:r>
      <w:r w:rsidRPr="00067E3D">
        <w:rPr>
          <w:rFonts w:eastAsia="Times New Roman" w:cs="Times New Roman"/>
          <w:rtl/>
          <w:lang w:eastAsia="de-DE"/>
        </w:rPr>
        <w:t xml:space="preserve"> </w:t>
      </w:r>
      <w:r w:rsidRPr="00067E3D">
        <w:rPr>
          <w:rFonts w:eastAsia="Times New Roman" w:cs="Times New Roman"/>
          <w:lang w:eastAsia="de-DE"/>
        </w:rPr>
        <w:t xml:space="preserve">(„dass, weil") leitet den Inhaltssatz ein. Das Verb </w:t>
      </w:r>
      <w:r w:rsidRPr="00067E3D">
        <w:rPr>
          <w:rFonts w:eastAsia="Times New Roman" w:cs="Times New Roman"/>
          <w:b/>
          <w:bCs/>
          <w:rtl/>
          <w:lang w:eastAsia="de-DE"/>
        </w:rPr>
        <w:t>שְׁלָחַנִי</w:t>
      </w:r>
      <w:r w:rsidRPr="00067E3D">
        <w:rPr>
          <w:rFonts w:eastAsia="Times New Roman" w:cs="Times New Roman"/>
          <w:rtl/>
          <w:lang w:eastAsia="de-DE"/>
        </w:rPr>
        <w:t xml:space="preserve"> </w:t>
      </w:r>
      <w:r w:rsidRPr="00067E3D">
        <w:rPr>
          <w:rFonts w:eastAsia="Times New Roman" w:cs="Times New Roman"/>
          <w:lang w:eastAsia="de-DE"/>
        </w:rPr>
        <w:t xml:space="preserve">(Qal Perfekt, 3. m. sg. von </w:t>
      </w:r>
      <w:r w:rsidRPr="00067E3D">
        <w:rPr>
          <w:rFonts w:eastAsia="Times New Roman" w:cs="Times New Roman"/>
          <w:b/>
          <w:bCs/>
          <w:rtl/>
          <w:lang w:eastAsia="de-DE"/>
        </w:rPr>
        <w:t>שׁלח</w:t>
      </w:r>
      <w:r w:rsidRPr="00067E3D">
        <w:rPr>
          <w:rFonts w:eastAsia="Times New Roman" w:cs="Times New Roman"/>
          <w:rtl/>
          <w:lang w:eastAsia="de-DE"/>
        </w:rPr>
        <w:t xml:space="preserve"> </w:t>
      </w:r>
      <w:r w:rsidRPr="00067E3D">
        <w:rPr>
          <w:rFonts w:eastAsia="Times New Roman" w:cs="Times New Roman"/>
          <w:lang w:eastAsia="de-DE"/>
        </w:rPr>
        <w:t xml:space="preserve">mit Suffix 1. c. sg.) bedeutet „er hat mich gesandt". </w:t>
      </w:r>
      <w:r w:rsidRPr="00067E3D">
        <w:rPr>
          <w:rFonts w:eastAsia="Times New Roman" w:cs="Times New Roman"/>
          <w:b/>
          <w:bCs/>
          <w:rtl/>
          <w:lang w:eastAsia="de-DE"/>
        </w:rPr>
        <w:t>יְהוָה</w:t>
      </w:r>
      <w:r w:rsidRPr="00067E3D">
        <w:rPr>
          <w:rFonts w:eastAsia="Times New Roman" w:cs="Times New Roman"/>
          <w:rtl/>
          <w:lang w:eastAsia="de-DE"/>
        </w:rPr>
        <w:t xml:space="preserve"> </w:t>
      </w:r>
      <w:r w:rsidRPr="00067E3D">
        <w:rPr>
          <w:rFonts w:eastAsia="Times New Roman" w:cs="Times New Roman"/>
          <w:lang w:eastAsia="de-DE"/>
        </w:rPr>
        <w:t>ist das Subjekt (Tetragramm).</w:t>
      </w:r>
    </w:p>
    <w:p w14:paraId="00F79898"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Der finale Infinitiv </w:t>
      </w:r>
      <w:r w:rsidRPr="00067E3D">
        <w:rPr>
          <w:rFonts w:eastAsia="Times New Roman" w:cs="Times New Roman"/>
          <w:b/>
          <w:bCs/>
          <w:rtl/>
          <w:lang w:eastAsia="de-DE"/>
        </w:rPr>
        <w:t>לַעֲשׂוֹת</w:t>
      </w:r>
      <w:r w:rsidRPr="00067E3D">
        <w:rPr>
          <w:rFonts w:eastAsia="Times New Roman" w:cs="Times New Roman"/>
          <w:rtl/>
          <w:lang w:eastAsia="de-DE"/>
        </w:rPr>
        <w:t xml:space="preserve"> </w:t>
      </w:r>
      <w:r w:rsidRPr="00067E3D">
        <w:rPr>
          <w:rFonts w:eastAsia="Times New Roman" w:cs="Times New Roman"/>
          <w:lang w:eastAsia="de-DE"/>
        </w:rPr>
        <w:t xml:space="preserve">(Qal Infinitiv construct von </w:t>
      </w:r>
      <w:r w:rsidRPr="00067E3D">
        <w:rPr>
          <w:rFonts w:eastAsia="Times New Roman" w:cs="Times New Roman"/>
          <w:b/>
          <w:bCs/>
          <w:rtl/>
          <w:lang w:eastAsia="de-DE"/>
        </w:rPr>
        <w:t>עשׂה</w:t>
      </w:r>
      <w:r w:rsidRPr="00067E3D">
        <w:rPr>
          <w:rFonts w:eastAsia="Times New Roman" w:cs="Times New Roman"/>
          <w:rtl/>
          <w:lang w:eastAsia="de-DE"/>
        </w:rPr>
        <w:t xml:space="preserve"> </w:t>
      </w:r>
      <w:r w:rsidRPr="00067E3D">
        <w:rPr>
          <w:rFonts w:eastAsia="Times New Roman" w:cs="Times New Roman"/>
          <w:lang w:eastAsia="de-DE"/>
        </w:rPr>
        <w:t xml:space="preserve">mit </w:t>
      </w:r>
      <w:r w:rsidRPr="00067E3D">
        <w:rPr>
          <w:rFonts w:eastAsia="Times New Roman" w:cs="Times New Roman"/>
          <w:b/>
          <w:bCs/>
          <w:rtl/>
          <w:lang w:eastAsia="de-DE"/>
        </w:rPr>
        <w:t>לְ</w:t>
      </w:r>
      <w:r w:rsidRPr="00067E3D">
        <w:rPr>
          <w:rFonts w:eastAsia="Times New Roman" w:cs="Times New Roman"/>
          <w:lang w:eastAsia="de-DE"/>
        </w:rPr>
        <w:t xml:space="preserve">) drückt den Zweck der Sendung aus: „um zu tun". Das Objekt </w:t>
      </w:r>
      <w:r w:rsidRPr="00067E3D">
        <w:rPr>
          <w:rFonts w:eastAsia="Times New Roman" w:cs="Times New Roman"/>
          <w:b/>
          <w:bCs/>
          <w:rtl/>
          <w:lang w:eastAsia="de-DE"/>
        </w:rPr>
        <w:t>אֵת כָּל־הַמַּעֲשִׂים הָאֵלֶּה</w:t>
      </w:r>
      <w:r w:rsidRPr="00067E3D">
        <w:rPr>
          <w:rFonts w:eastAsia="Times New Roman" w:cs="Times New Roman"/>
          <w:rtl/>
          <w:lang w:eastAsia="de-DE"/>
        </w:rPr>
        <w:t xml:space="preserve"> </w:t>
      </w:r>
      <w:r w:rsidRPr="00067E3D">
        <w:rPr>
          <w:rFonts w:eastAsia="Times New Roman" w:cs="Times New Roman"/>
          <w:lang w:eastAsia="de-DE"/>
        </w:rPr>
        <w:t xml:space="preserve">besteht aus der Objektpartikel </w:t>
      </w:r>
      <w:r w:rsidRPr="00067E3D">
        <w:rPr>
          <w:rFonts w:eastAsia="Times New Roman" w:cs="Times New Roman"/>
          <w:b/>
          <w:bCs/>
          <w:rtl/>
          <w:lang w:eastAsia="de-DE"/>
        </w:rPr>
        <w:t>אֵת</w:t>
      </w:r>
      <w:r w:rsidRPr="00067E3D">
        <w:rPr>
          <w:rFonts w:eastAsia="Times New Roman" w:cs="Times New Roman"/>
          <w:lang w:eastAsia="de-DE"/>
        </w:rPr>
        <w:t xml:space="preserve">, </w:t>
      </w:r>
      <w:r w:rsidRPr="00067E3D">
        <w:rPr>
          <w:rFonts w:eastAsia="Times New Roman" w:cs="Times New Roman"/>
          <w:b/>
          <w:bCs/>
          <w:rtl/>
          <w:lang w:eastAsia="de-DE"/>
        </w:rPr>
        <w:t>כָּל</w:t>
      </w:r>
      <w:r w:rsidRPr="00067E3D">
        <w:rPr>
          <w:rFonts w:eastAsia="Times New Roman" w:cs="Times New Roman"/>
          <w:rtl/>
          <w:lang w:eastAsia="de-DE"/>
        </w:rPr>
        <w:t xml:space="preserve"> </w:t>
      </w:r>
      <w:r w:rsidRPr="00067E3D">
        <w:rPr>
          <w:rFonts w:eastAsia="Times New Roman" w:cs="Times New Roman"/>
          <w:lang w:eastAsia="de-DE"/>
        </w:rPr>
        <w:t xml:space="preserve">im Constructus, </w:t>
      </w:r>
      <w:r w:rsidRPr="00067E3D">
        <w:rPr>
          <w:rFonts w:eastAsia="Times New Roman" w:cs="Times New Roman"/>
          <w:b/>
          <w:bCs/>
          <w:rtl/>
          <w:lang w:eastAsia="de-DE"/>
        </w:rPr>
        <w:t>הַמַּעֲשִׂים</w:t>
      </w:r>
      <w:r w:rsidRPr="00067E3D">
        <w:rPr>
          <w:rFonts w:eastAsia="Times New Roman" w:cs="Times New Roman"/>
          <w:rtl/>
          <w:lang w:eastAsia="de-DE"/>
        </w:rPr>
        <w:t xml:space="preserve"> </w:t>
      </w:r>
      <w:r w:rsidRPr="00067E3D">
        <w:rPr>
          <w:rFonts w:eastAsia="Times New Roman" w:cs="Times New Roman"/>
          <w:lang w:eastAsia="de-DE"/>
        </w:rPr>
        <w:t xml:space="preserve">(„die Taten", Plural von </w:t>
      </w:r>
      <w:r w:rsidRPr="00067E3D">
        <w:rPr>
          <w:rFonts w:eastAsia="Times New Roman" w:cs="Times New Roman"/>
          <w:b/>
          <w:bCs/>
          <w:rtl/>
          <w:lang w:eastAsia="de-DE"/>
        </w:rPr>
        <w:t>מַעֲשֶׂה</w:t>
      </w:r>
      <w:r w:rsidRPr="00067E3D">
        <w:rPr>
          <w:rFonts w:eastAsia="Times New Roman" w:cs="Times New Roman"/>
          <w:rtl/>
          <w:lang w:eastAsia="de-DE"/>
        </w:rPr>
        <w:t xml:space="preserve"> </w:t>
      </w:r>
      <w:r w:rsidRPr="00067E3D">
        <w:rPr>
          <w:rFonts w:eastAsia="Times New Roman" w:cs="Times New Roman"/>
          <w:lang w:eastAsia="de-DE"/>
        </w:rPr>
        <w:t xml:space="preserve">mit Artikel) und </w:t>
      </w:r>
      <w:r w:rsidRPr="00067E3D">
        <w:rPr>
          <w:rFonts w:eastAsia="Times New Roman" w:cs="Times New Roman"/>
          <w:b/>
          <w:bCs/>
          <w:rtl/>
          <w:lang w:eastAsia="de-DE"/>
        </w:rPr>
        <w:t>הָאֵלֶּה</w:t>
      </w:r>
      <w:r w:rsidRPr="00067E3D">
        <w:rPr>
          <w:rFonts w:eastAsia="Times New Roman" w:cs="Times New Roman"/>
          <w:rtl/>
          <w:lang w:eastAsia="de-DE"/>
        </w:rPr>
        <w:t xml:space="preserve"> </w:t>
      </w:r>
      <w:r w:rsidRPr="00067E3D">
        <w:rPr>
          <w:rFonts w:eastAsia="Times New Roman" w:cs="Times New Roman"/>
          <w:lang w:eastAsia="de-DE"/>
        </w:rPr>
        <w:t xml:space="preserve">(Demonstrativpronomen Plural „diese"). Die zweite kausale Konjunktion </w:t>
      </w:r>
      <w:r w:rsidRPr="00067E3D">
        <w:rPr>
          <w:rFonts w:eastAsia="Times New Roman" w:cs="Times New Roman"/>
          <w:b/>
          <w:bCs/>
          <w:rtl/>
          <w:lang w:eastAsia="de-DE"/>
        </w:rPr>
        <w:t>כִּי</w:t>
      </w:r>
      <w:r w:rsidRPr="00067E3D">
        <w:rPr>
          <w:rFonts w:eastAsia="Times New Roman" w:cs="Times New Roman"/>
          <w:rtl/>
          <w:lang w:eastAsia="de-DE"/>
        </w:rPr>
        <w:t xml:space="preserve"> </w:t>
      </w:r>
      <w:r w:rsidRPr="00067E3D">
        <w:rPr>
          <w:rFonts w:eastAsia="Times New Roman" w:cs="Times New Roman"/>
          <w:lang w:eastAsia="de-DE"/>
        </w:rPr>
        <w:t xml:space="preserve">(„dass") leitet einen weiteren Inhaltssatz ein. Die Negation </w:t>
      </w:r>
      <w:r w:rsidRPr="00067E3D">
        <w:rPr>
          <w:rFonts w:eastAsia="Times New Roman" w:cs="Times New Roman"/>
          <w:b/>
          <w:bCs/>
          <w:rtl/>
          <w:lang w:eastAsia="de-DE"/>
        </w:rPr>
        <w:t>לֹא</w:t>
      </w:r>
      <w:r w:rsidRPr="00067E3D">
        <w:rPr>
          <w:rFonts w:eastAsia="Times New Roman" w:cs="Times New Roman"/>
          <w:rtl/>
          <w:lang w:eastAsia="de-DE"/>
        </w:rPr>
        <w:t xml:space="preserve"> </w:t>
      </w:r>
      <w:r w:rsidRPr="00067E3D">
        <w:rPr>
          <w:rFonts w:eastAsia="Times New Roman" w:cs="Times New Roman"/>
          <w:lang w:eastAsia="de-DE"/>
        </w:rPr>
        <w:t xml:space="preserve">negiert die folgende Präpositionalphrase </w:t>
      </w:r>
      <w:r w:rsidRPr="00067E3D">
        <w:rPr>
          <w:rFonts w:eastAsia="Times New Roman" w:cs="Times New Roman"/>
          <w:b/>
          <w:bCs/>
          <w:rtl/>
          <w:lang w:eastAsia="de-DE"/>
        </w:rPr>
        <w:t>מִלִּבִּי</w:t>
      </w:r>
      <w:r w:rsidRPr="00067E3D">
        <w:rPr>
          <w:rFonts w:eastAsia="Times New Roman" w:cs="Times New Roman"/>
          <w:rtl/>
          <w:lang w:eastAsia="de-DE"/>
        </w:rPr>
        <w:t xml:space="preserve"> </w:t>
      </w:r>
      <w:r w:rsidRPr="00067E3D">
        <w:rPr>
          <w:rFonts w:eastAsia="Times New Roman" w:cs="Times New Roman"/>
          <w:lang w:eastAsia="de-DE"/>
        </w:rPr>
        <w:t xml:space="preserve">(„aus meinem Herzen"), wobei </w:t>
      </w:r>
      <w:r w:rsidRPr="00067E3D">
        <w:rPr>
          <w:rFonts w:eastAsia="Times New Roman" w:cs="Times New Roman"/>
          <w:b/>
          <w:bCs/>
          <w:rtl/>
          <w:lang w:eastAsia="de-DE"/>
        </w:rPr>
        <w:t>מִן</w:t>
      </w:r>
      <w:r w:rsidRPr="00067E3D">
        <w:rPr>
          <w:rFonts w:eastAsia="Times New Roman" w:cs="Times New Roman"/>
          <w:rtl/>
          <w:lang w:eastAsia="de-DE"/>
        </w:rPr>
        <w:t xml:space="preserve"> </w:t>
      </w:r>
      <w:r w:rsidRPr="00067E3D">
        <w:rPr>
          <w:rFonts w:eastAsia="Times New Roman" w:cs="Times New Roman"/>
          <w:lang w:eastAsia="de-DE"/>
        </w:rPr>
        <w:t xml:space="preserve">die Präposition „aus, von" und </w:t>
      </w:r>
      <w:r w:rsidRPr="00067E3D">
        <w:rPr>
          <w:rFonts w:eastAsia="Times New Roman" w:cs="Times New Roman"/>
          <w:b/>
          <w:bCs/>
          <w:rtl/>
          <w:lang w:eastAsia="de-DE"/>
        </w:rPr>
        <w:t>לִבִּי</w:t>
      </w:r>
      <w:r w:rsidRPr="00067E3D">
        <w:rPr>
          <w:rFonts w:eastAsia="Times New Roman" w:cs="Times New Roman"/>
          <w:rtl/>
          <w:lang w:eastAsia="de-DE"/>
        </w:rPr>
        <w:t xml:space="preserve"> </w:t>
      </w:r>
      <w:r w:rsidRPr="00067E3D">
        <w:rPr>
          <w:rFonts w:eastAsia="Times New Roman" w:cs="Times New Roman"/>
          <w:lang w:eastAsia="de-DE"/>
        </w:rPr>
        <w:t>„mein Herz" (</w:t>
      </w:r>
      <w:r w:rsidRPr="00067E3D">
        <w:rPr>
          <w:rFonts w:eastAsia="Times New Roman" w:cs="Times New Roman"/>
          <w:b/>
          <w:bCs/>
          <w:rtl/>
          <w:lang w:eastAsia="de-DE"/>
        </w:rPr>
        <w:t>לֵב</w:t>
      </w:r>
      <w:r w:rsidRPr="00067E3D">
        <w:rPr>
          <w:rFonts w:eastAsia="Times New Roman" w:cs="Times New Roman"/>
          <w:rtl/>
          <w:lang w:eastAsia="de-DE"/>
        </w:rPr>
        <w:t xml:space="preserve"> </w:t>
      </w:r>
      <w:r w:rsidRPr="00067E3D">
        <w:rPr>
          <w:rFonts w:eastAsia="Times New Roman" w:cs="Times New Roman"/>
          <w:lang w:eastAsia="de-DE"/>
        </w:rPr>
        <w:t>mit Possessivsuffix 1. c. sg.) ist. Die Phrase bedeutet: „nicht aus meinem eigenen Antrieb".</w:t>
      </w:r>
    </w:p>
    <w:p w14:paraId="35A5C055" w14:textId="7B48A92B"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Die LXX</w:t>
      </w:r>
      <w:r w:rsidRPr="00067E3D">
        <w:rPr>
          <w:rFonts w:eastAsia="Times New Roman" w:cs="Times New Roman"/>
          <w:lang w:eastAsia="de-DE"/>
        </w:rPr>
        <w:t xml:space="preserve"> übersetzt </w:t>
      </w:r>
      <w:r w:rsidRPr="00067E3D">
        <w:rPr>
          <w:rFonts w:eastAsia="Times New Roman" w:cs="Times New Roman"/>
          <w:b/>
          <w:bCs/>
          <w:rtl/>
          <w:lang w:eastAsia="de-DE"/>
        </w:rPr>
        <w:t>וַיֹּאמֶר מֹשֶׁה בְּזֹאת תֵּדְעוּן</w:t>
      </w:r>
      <w:r w:rsidRPr="00067E3D">
        <w:rPr>
          <w:rFonts w:eastAsia="Times New Roman" w:cs="Times New Roman"/>
          <w:rtl/>
          <w:lang w:eastAsia="de-DE"/>
        </w:rPr>
        <w:t xml:space="preserve"> </w:t>
      </w:r>
      <w:r w:rsidRPr="00067E3D">
        <w:rPr>
          <w:rFonts w:eastAsia="Times New Roman" w:cs="Times New Roman"/>
          <w:lang w:eastAsia="de-DE"/>
        </w:rPr>
        <w:t xml:space="preserve">mit καὶ εἶπεν Μωυσῆς ἐν τούτῳ γνώσεσθε („und Mose sprach: Daran werdet ihr erkennen"). </w:t>
      </w:r>
      <w:r w:rsidRPr="00067E3D">
        <w:rPr>
          <w:rFonts w:eastAsia="Times New Roman" w:cs="Times New Roman"/>
          <w:b/>
          <w:bCs/>
          <w:rtl/>
          <w:lang w:eastAsia="de-DE"/>
        </w:rPr>
        <w:t>כִּי־יְהוָה שְׁלָחַנִי לַעֲשׂוֹת אֵת כָּל־הַמַּעֲשִׂים הָאֵלֶּה</w:t>
      </w:r>
      <w:r w:rsidRPr="00067E3D">
        <w:rPr>
          <w:rFonts w:eastAsia="Times New Roman" w:cs="Times New Roman"/>
          <w:rtl/>
          <w:lang w:eastAsia="de-DE"/>
        </w:rPr>
        <w:t xml:space="preserve"> </w:t>
      </w:r>
      <w:r w:rsidRPr="00067E3D">
        <w:rPr>
          <w:rFonts w:eastAsia="Times New Roman" w:cs="Times New Roman"/>
          <w:lang w:eastAsia="de-DE"/>
        </w:rPr>
        <w:t xml:space="preserve">wird mit ὅτι κύριος ἀπέστειλέν με ποιῆσαι πάντα τὰ ἔργα ταῦτα („dass der Herr mich gesandt hat, all diese Werke zu tun") wiedergegeben. </w:t>
      </w:r>
      <w:r w:rsidRPr="00067E3D">
        <w:rPr>
          <w:rFonts w:eastAsia="Times New Roman" w:cs="Times New Roman"/>
          <w:b/>
          <w:bCs/>
          <w:rtl/>
          <w:lang w:eastAsia="de-DE"/>
        </w:rPr>
        <w:t>כִּי־לֹא מִלִּבִּי</w:t>
      </w:r>
      <w:r w:rsidRPr="00067E3D">
        <w:rPr>
          <w:rFonts w:eastAsia="Times New Roman" w:cs="Times New Roman"/>
          <w:rtl/>
          <w:lang w:eastAsia="de-DE"/>
        </w:rPr>
        <w:t xml:space="preserve"> </w:t>
      </w:r>
      <w:r w:rsidRPr="00067E3D">
        <w:rPr>
          <w:rFonts w:eastAsia="Times New Roman" w:cs="Times New Roman"/>
          <w:lang w:eastAsia="de-DE"/>
        </w:rPr>
        <w:t>wird mit ὅτι οὐκ ἀπ' ἐμαυτοῦ („dass nicht von mir selbst") übersetzt.</w:t>
      </w:r>
    </w:p>
    <w:p w14:paraId="32D050CD"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Die Satzstruktur zeigt einen Hauptsatz mit Verb und Subjekt. Die direkte Rede beginnt mit einer Präpositionalphrase und einem Verb. Ein durch die kausale Konjunktion eingeleiteter Nebensatz folgt mit Verb (mit Objektsuffix), Subjekt und finalem Infinitiv mit Objekt. Ein zweiter Nebensatz (ebenfalls mit kausaler Konjunktion) schließt mit Negation und Präpositionalphrase ab.</w:t>
      </w:r>
    </w:p>
    <w:p w14:paraId="7CB89831"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Der Vers leitet Moses Legitimationsbeweis ein: Das folgende Zeichen soll beweisen, dass er nicht aus eigener Vollmacht, sondern im göttlichen Auftrag handelt.</w:t>
      </w:r>
    </w:p>
    <w:p w14:paraId="50B39A31" w14:textId="77777777" w:rsidR="00067E3D" w:rsidRPr="00067E3D" w:rsidRDefault="00067E3D" w:rsidP="00067E3D">
      <w:pPr>
        <w:spacing w:before="100" w:beforeAutospacing="1" w:after="100" w:afterAutospacing="1" w:line="240" w:lineRule="auto"/>
        <w:outlineLvl w:val="0"/>
        <w:rPr>
          <w:rFonts w:eastAsia="Times New Roman" w:cs="Times New Roman"/>
          <w:b/>
          <w:bCs/>
          <w:kern w:val="36"/>
          <w:sz w:val="48"/>
          <w:szCs w:val="48"/>
          <w:lang w:eastAsia="de-DE"/>
        </w:rPr>
      </w:pPr>
      <w:r w:rsidRPr="00067E3D">
        <w:rPr>
          <w:rFonts w:eastAsia="Times New Roman" w:cs="Times New Roman"/>
          <w:b/>
          <w:bCs/>
          <w:kern w:val="36"/>
          <w:sz w:val="48"/>
          <w:szCs w:val="48"/>
          <w:lang w:eastAsia="de-DE"/>
        </w:rPr>
        <w:lastRenderedPageBreak/>
        <w:t>Numeri 16,29</w:t>
      </w:r>
    </w:p>
    <w:p w14:paraId="152F3686"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Hebräisch:</w:t>
      </w:r>
      <w:r w:rsidRPr="00067E3D">
        <w:rPr>
          <w:rFonts w:eastAsia="Times New Roman" w:cs="Times New Roman"/>
          <w:lang w:eastAsia="de-DE"/>
        </w:rPr>
        <w:t xml:space="preserve"> </w:t>
      </w:r>
      <w:r w:rsidRPr="00067E3D">
        <w:rPr>
          <w:rFonts w:eastAsia="Times New Roman" w:cs="Times New Roman"/>
          <w:rtl/>
          <w:lang w:eastAsia="de-DE"/>
        </w:rPr>
        <w:t>אִם־כְּמ֤וֹת כָּל־הָֽאָדָם֙ יְמֻת֣וּן אֵ֔לֶּה וּפְקֻדַּת֙ כָּל־הָ֣אָדָ֔ם יִפָּקֵ֖ד עֲלֵיהֶ֑ם לֹ֥א יְהוָ֖ה שְׁלָחָֽנִי׃</w:t>
      </w:r>
    </w:p>
    <w:p w14:paraId="4F4B7BA9"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Deutsch:</w:t>
      </w:r>
      <w:r w:rsidRPr="00067E3D">
        <w:rPr>
          <w:rFonts w:eastAsia="Times New Roman" w:cs="Times New Roman"/>
          <w:lang w:eastAsia="de-DE"/>
        </w:rPr>
        <w:t xml:space="preserve"> Wenn diese sterben, wie alle Menschen sterben, und mit der Heimsuchung aller Menschen heimgesucht werden, hat der Ewige mich nicht gesandt;</w:t>
      </w:r>
    </w:p>
    <w:p w14:paraId="1DD3D917" w14:textId="77777777" w:rsidR="00067E3D" w:rsidRPr="00067E3D" w:rsidRDefault="00F329DD" w:rsidP="00067E3D">
      <w:pPr>
        <w:spacing w:after="0" w:line="240" w:lineRule="auto"/>
        <w:rPr>
          <w:rFonts w:eastAsia="Times New Roman" w:cs="Times New Roman"/>
          <w:lang w:eastAsia="de-DE"/>
        </w:rPr>
      </w:pPr>
      <w:r>
        <w:rPr>
          <w:rFonts w:eastAsia="Times New Roman" w:cs="Times New Roman"/>
          <w:noProof/>
          <w:lang w:eastAsia="de-DE"/>
        </w:rPr>
        <w:pict w14:anchorId="4768248D">
          <v:rect id="_x0000_i1567" style="width:0;height:1.5pt" o:hralign="center" o:hrstd="t" o:hr="t" fillcolor="#a0a0a0" stroked="f"/>
        </w:pict>
      </w:r>
    </w:p>
    <w:p w14:paraId="633C00E6"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Kommentar:</w:t>
      </w:r>
      <w:r w:rsidRPr="00067E3D">
        <w:rPr>
          <w:rFonts w:eastAsia="Times New Roman" w:cs="Times New Roman"/>
          <w:lang w:eastAsia="de-DE"/>
        </w:rPr>
        <w:t xml:space="preserve"> Die konditionale Konjunktion </w:t>
      </w:r>
      <w:r w:rsidRPr="00067E3D">
        <w:rPr>
          <w:rFonts w:eastAsia="Times New Roman" w:cs="Times New Roman"/>
          <w:b/>
          <w:bCs/>
          <w:rtl/>
          <w:lang w:eastAsia="de-DE"/>
        </w:rPr>
        <w:t>אִם</w:t>
      </w:r>
      <w:r w:rsidRPr="00067E3D">
        <w:rPr>
          <w:rFonts w:eastAsia="Times New Roman" w:cs="Times New Roman"/>
          <w:rtl/>
          <w:lang w:eastAsia="de-DE"/>
        </w:rPr>
        <w:t xml:space="preserve"> </w:t>
      </w:r>
      <w:r w:rsidRPr="00067E3D">
        <w:rPr>
          <w:rFonts w:eastAsia="Times New Roman" w:cs="Times New Roman"/>
          <w:lang w:eastAsia="de-DE"/>
        </w:rPr>
        <w:t xml:space="preserve">(„wenn") leitet einen Bedingungssatz ein. Die Präposition </w:t>
      </w:r>
      <w:r w:rsidRPr="00067E3D">
        <w:rPr>
          <w:rFonts w:eastAsia="Times New Roman" w:cs="Times New Roman"/>
          <w:b/>
          <w:bCs/>
          <w:rtl/>
          <w:lang w:eastAsia="de-DE"/>
        </w:rPr>
        <w:t>כְּמוֹת</w:t>
      </w:r>
      <w:r w:rsidRPr="00067E3D">
        <w:rPr>
          <w:rFonts w:eastAsia="Times New Roman" w:cs="Times New Roman"/>
          <w:rtl/>
          <w:lang w:eastAsia="de-DE"/>
        </w:rPr>
        <w:t xml:space="preserve"> </w:t>
      </w:r>
      <w:r w:rsidRPr="00067E3D">
        <w:rPr>
          <w:rFonts w:eastAsia="Times New Roman" w:cs="Times New Roman"/>
          <w:lang w:eastAsia="de-DE"/>
        </w:rPr>
        <w:t xml:space="preserve">ist eine zusammengesetzte Form aus </w:t>
      </w:r>
      <w:r w:rsidRPr="00067E3D">
        <w:rPr>
          <w:rFonts w:eastAsia="Times New Roman" w:cs="Times New Roman"/>
          <w:b/>
          <w:bCs/>
          <w:rtl/>
          <w:lang w:eastAsia="de-DE"/>
        </w:rPr>
        <w:t>כְּ</w:t>
      </w:r>
      <w:r w:rsidRPr="00067E3D">
        <w:rPr>
          <w:rFonts w:eastAsia="Times New Roman" w:cs="Times New Roman"/>
          <w:rtl/>
          <w:lang w:eastAsia="de-DE"/>
        </w:rPr>
        <w:t xml:space="preserve"> </w:t>
      </w:r>
      <w:r w:rsidRPr="00067E3D">
        <w:rPr>
          <w:rFonts w:eastAsia="Times New Roman" w:cs="Times New Roman"/>
          <w:lang w:eastAsia="de-DE"/>
        </w:rPr>
        <w:t xml:space="preserve">(„wie") und dem Infinitiv construct von </w:t>
      </w:r>
      <w:r w:rsidRPr="00067E3D">
        <w:rPr>
          <w:rFonts w:eastAsia="Times New Roman" w:cs="Times New Roman"/>
          <w:b/>
          <w:bCs/>
          <w:rtl/>
          <w:lang w:eastAsia="de-DE"/>
        </w:rPr>
        <w:t>מות</w:t>
      </w:r>
      <w:r w:rsidRPr="00067E3D">
        <w:rPr>
          <w:rFonts w:eastAsia="Times New Roman" w:cs="Times New Roman"/>
          <w:rtl/>
          <w:lang w:eastAsia="de-DE"/>
        </w:rPr>
        <w:t xml:space="preserve"> </w:t>
      </w:r>
      <w:r w:rsidRPr="00067E3D">
        <w:rPr>
          <w:rFonts w:eastAsia="Times New Roman" w:cs="Times New Roman"/>
          <w:lang w:eastAsia="de-DE"/>
        </w:rPr>
        <w:t xml:space="preserve">(„sterben"), zusammen „wie das Sterben von". </w:t>
      </w:r>
      <w:r w:rsidRPr="00067E3D">
        <w:rPr>
          <w:rFonts w:eastAsia="Times New Roman" w:cs="Times New Roman"/>
          <w:b/>
          <w:bCs/>
          <w:rtl/>
          <w:lang w:eastAsia="de-DE"/>
        </w:rPr>
        <w:t>כָּל־הָאָדָם</w:t>
      </w:r>
      <w:r w:rsidRPr="00067E3D">
        <w:rPr>
          <w:rFonts w:eastAsia="Times New Roman" w:cs="Times New Roman"/>
          <w:rtl/>
          <w:lang w:eastAsia="de-DE"/>
        </w:rPr>
        <w:t xml:space="preserve"> </w:t>
      </w:r>
      <w:r w:rsidRPr="00067E3D">
        <w:rPr>
          <w:rFonts w:eastAsia="Times New Roman" w:cs="Times New Roman"/>
          <w:lang w:eastAsia="de-DE"/>
        </w:rPr>
        <w:t>ist „alle Menschen, die ganze Menschheit" (</w:t>
      </w:r>
      <w:r w:rsidRPr="00067E3D">
        <w:rPr>
          <w:rFonts w:eastAsia="Times New Roman" w:cs="Times New Roman"/>
          <w:b/>
          <w:bCs/>
          <w:rtl/>
          <w:lang w:eastAsia="de-DE"/>
        </w:rPr>
        <w:t>כָּל</w:t>
      </w:r>
      <w:r w:rsidRPr="00067E3D">
        <w:rPr>
          <w:rFonts w:eastAsia="Times New Roman" w:cs="Times New Roman"/>
          <w:rtl/>
          <w:lang w:eastAsia="de-DE"/>
        </w:rPr>
        <w:t xml:space="preserve"> </w:t>
      </w:r>
      <w:r w:rsidRPr="00067E3D">
        <w:rPr>
          <w:rFonts w:eastAsia="Times New Roman" w:cs="Times New Roman"/>
          <w:lang w:eastAsia="de-DE"/>
        </w:rPr>
        <w:t xml:space="preserve">im Constructus, </w:t>
      </w:r>
      <w:r w:rsidRPr="00067E3D">
        <w:rPr>
          <w:rFonts w:eastAsia="Times New Roman" w:cs="Times New Roman"/>
          <w:b/>
          <w:bCs/>
          <w:rtl/>
          <w:lang w:eastAsia="de-DE"/>
        </w:rPr>
        <w:t>הָאָדָם</w:t>
      </w:r>
      <w:r w:rsidRPr="00067E3D">
        <w:rPr>
          <w:rFonts w:eastAsia="Times New Roman" w:cs="Times New Roman"/>
          <w:rtl/>
          <w:lang w:eastAsia="de-DE"/>
        </w:rPr>
        <w:t xml:space="preserve"> </w:t>
      </w:r>
      <w:r w:rsidRPr="00067E3D">
        <w:rPr>
          <w:rFonts w:eastAsia="Times New Roman" w:cs="Times New Roman"/>
          <w:lang w:eastAsia="de-DE"/>
        </w:rPr>
        <w:t xml:space="preserve">mit Artikel). Das Verb </w:t>
      </w:r>
      <w:r w:rsidRPr="00067E3D">
        <w:rPr>
          <w:rFonts w:eastAsia="Times New Roman" w:cs="Times New Roman"/>
          <w:b/>
          <w:bCs/>
          <w:rtl/>
          <w:lang w:eastAsia="de-DE"/>
        </w:rPr>
        <w:t>יְמֻתוּן</w:t>
      </w:r>
      <w:r w:rsidRPr="00067E3D">
        <w:rPr>
          <w:rFonts w:eastAsia="Times New Roman" w:cs="Times New Roman"/>
          <w:rtl/>
          <w:lang w:eastAsia="de-DE"/>
        </w:rPr>
        <w:t xml:space="preserve"> </w:t>
      </w:r>
      <w:r w:rsidRPr="00067E3D">
        <w:rPr>
          <w:rFonts w:eastAsia="Times New Roman" w:cs="Times New Roman"/>
          <w:lang w:eastAsia="de-DE"/>
        </w:rPr>
        <w:t xml:space="preserve">(Qal Imperfekt, 3. m. pl. von </w:t>
      </w:r>
      <w:r w:rsidRPr="00067E3D">
        <w:rPr>
          <w:rFonts w:eastAsia="Times New Roman" w:cs="Times New Roman"/>
          <w:b/>
          <w:bCs/>
          <w:rtl/>
          <w:lang w:eastAsia="de-DE"/>
        </w:rPr>
        <w:t>מות</w:t>
      </w:r>
      <w:r w:rsidRPr="00067E3D">
        <w:rPr>
          <w:rFonts w:eastAsia="Times New Roman" w:cs="Times New Roman"/>
          <w:rtl/>
          <w:lang w:eastAsia="de-DE"/>
        </w:rPr>
        <w:t xml:space="preserve"> </w:t>
      </w:r>
      <w:r w:rsidRPr="00067E3D">
        <w:rPr>
          <w:rFonts w:eastAsia="Times New Roman" w:cs="Times New Roman"/>
          <w:lang w:eastAsia="de-DE"/>
        </w:rPr>
        <w:t xml:space="preserve">mit archaischem Nun energicum) bedeutet „sie werden sterben". Das Subjekt </w:t>
      </w:r>
      <w:r w:rsidRPr="00067E3D">
        <w:rPr>
          <w:rFonts w:eastAsia="Times New Roman" w:cs="Times New Roman"/>
          <w:b/>
          <w:bCs/>
          <w:rtl/>
          <w:lang w:eastAsia="de-DE"/>
        </w:rPr>
        <w:t>אֵלֶּה</w:t>
      </w:r>
      <w:r w:rsidRPr="00067E3D">
        <w:rPr>
          <w:rFonts w:eastAsia="Times New Roman" w:cs="Times New Roman"/>
          <w:rtl/>
          <w:lang w:eastAsia="de-DE"/>
        </w:rPr>
        <w:t xml:space="preserve"> </w:t>
      </w:r>
      <w:r w:rsidRPr="00067E3D">
        <w:rPr>
          <w:rFonts w:eastAsia="Times New Roman" w:cs="Times New Roman"/>
          <w:lang w:eastAsia="de-DE"/>
        </w:rPr>
        <w:t>ist das Demonstrativpronomen „diese" und bezieht sich auf die Rebellen.</w:t>
      </w:r>
    </w:p>
    <w:p w14:paraId="0FFB6494"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Die koordinierte Phrase </w:t>
      </w:r>
      <w:r w:rsidRPr="00067E3D">
        <w:rPr>
          <w:rFonts w:eastAsia="Times New Roman" w:cs="Times New Roman"/>
          <w:b/>
          <w:bCs/>
          <w:rtl/>
          <w:lang w:eastAsia="de-DE"/>
        </w:rPr>
        <w:t>וּפְקֻדַּת כָּל־הָאָדָם יִפָּקֵד עֲלֵיהֶם</w:t>
      </w:r>
      <w:r w:rsidRPr="00067E3D">
        <w:rPr>
          <w:rFonts w:eastAsia="Times New Roman" w:cs="Times New Roman"/>
          <w:rtl/>
          <w:lang w:eastAsia="de-DE"/>
        </w:rPr>
        <w:t xml:space="preserve"> </w:t>
      </w:r>
      <w:r w:rsidRPr="00067E3D">
        <w:rPr>
          <w:rFonts w:eastAsia="Times New Roman" w:cs="Times New Roman"/>
          <w:lang w:eastAsia="de-DE"/>
        </w:rPr>
        <w:t xml:space="preserve">setzt die Bedingung fort: </w:t>
      </w:r>
      <w:r w:rsidRPr="00067E3D">
        <w:rPr>
          <w:rFonts w:eastAsia="Times New Roman" w:cs="Times New Roman"/>
          <w:b/>
          <w:bCs/>
          <w:rtl/>
          <w:lang w:eastAsia="de-DE"/>
        </w:rPr>
        <w:t>פְקֻדַּת</w:t>
      </w:r>
      <w:r w:rsidRPr="00067E3D">
        <w:rPr>
          <w:rFonts w:eastAsia="Times New Roman" w:cs="Times New Roman"/>
          <w:rtl/>
          <w:lang w:eastAsia="de-DE"/>
        </w:rPr>
        <w:t xml:space="preserve"> </w:t>
      </w:r>
      <w:r w:rsidRPr="00067E3D">
        <w:rPr>
          <w:rFonts w:eastAsia="Times New Roman" w:cs="Times New Roman"/>
          <w:lang w:eastAsia="de-DE"/>
        </w:rPr>
        <w:t xml:space="preserve">ist der Constructus von </w:t>
      </w:r>
      <w:r w:rsidRPr="00067E3D">
        <w:rPr>
          <w:rFonts w:eastAsia="Times New Roman" w:cs="Times New Roman"/>
          <w:b/>
          <w:bCs/>
          <w:rtl/>
          <w:lang w:eastAsia="de-DE"/>
        </w:rPr>
        <w:t>פְּקֻדָּה</w:t>
      </w:r>
      <w:r w:rsidRPr="00067E3D">
        <w:rPr>
          <w:rFonts w:eastAsia="Times New Roman" w:cs="Times New Roman"/>
          <w:rtl/>
          <w:lang w:eastAsia="de-DE"/>
        </w:rPr>
        <w:t xml:space="preserve"> </w:t>
      </w:r>
      <w:r w:rsidRPr="00067E3D">
        <w:rPr>
          <w:rFonts w:eastAsia="Times New Roman" w:cs="Times New Roman"/>
          <w:lang w:eastAsia="de-DE"/>
        </w:rPr>
        <w:t xml:space="preserve">(„Heimsuchung, Bestrafung"), </w:t>
      </w:r>
      <w:r w:rsidRPr="00067E3D">
        <w:rPr>
          <w:rFonts w:eastAsia="Times New Roman" w:cs="Times New Roman"/>
          <w:b/>
          <w:bCs/>
          <w:rtl/>
          <w:lang w:eastAsia="de-DE"/>
        </w:rPr>
        <w:t>כָּל־הָאָדָם</w:t>
      </w:r>
      <w:r w:rsidRPr="00067E3D">
        <w:rPr>
          <w:rFonts w:eastAsia="Times New Roman" w:cs="Times New Roman"/>
          <w:rtl/>
          <w:lang w:eastAsia="de-DE"/>
        </w:rPr>
        <w:t xml:space="preserve"> </w:t>
      </w:r>
      <w:r w:rsidRPr="00067E3D">
        <w:rPr>
          <w:rFonts w:eastAsia="Times New Roman" w:cs="Times New Roman"/>
          <w:lang w:eastAsia="de-DE"/>
        </w:rPr>
        <w:t xml:space="preserve">wiederholt „alle Menschen". Das Verb </w:t>
      </w:r>
      <w:r w:rsidRPr="00067E3D">
        <w:rPr>
          <w:rFonts w:eastAsia="Times New Roman" w:cs="Times New Roman"/>
          <w:b/>
          <w:bCs/>
          <w:rtl/>
          <w:lang w:eastAsia="de-DE"/>
        </w:rPr>
        <w:t>יִפָּקֵד</w:t>
      </w:r>
      <w:r w:rsidRPr="00067E3D">
        <w:rPr>
          <w:rFonts w:eastAsia="Times New Roman" w:cs="Times New Roman"/>
          <w:rtl/>
          <w:lang w:eastAsia="de-DE"/>
        </w:rPr>
        <w:t xml:space="preserve"> </w:t>
      </w:r>
      <w:r w:rsidRPr="00067E3D">
        <w:rPr>
          <w:rFonts w:eastAsia="Times New Roman" w:cs="Times New Roman"/>
          <w:lang w:eastAsia="de-DE"/>
        </w:rPr>
        <w:t xml:space="preserve">(Nifal Imperfekt, 3. m. sg. von </w:t>
      </w:r>
      <w:r w:rsidRPr="00067E3D">
        <w:rPr>
          <w:rFonts w:eastAsia="Times New Roman" w:cs="Times New Roman"/>
          <w:b/>
          <w:bCs/>
          <w:rtl/>
          <w:lang w:eastAsia="de-DE"/>
        </w:rPr>
        <w:t>פקד</w:t>
      </w:r>
      <w:r w:rsidRPr="00067E3D">
        <w:rPr>
          <w:rFonts w:eastAsia="Times New Roman" w:cs="Times New Roman"/>
          <w:lang w:eastAsia="de-DE"/>
        </w:rPr>
        <w:t xml:space="preserve">) bedeutet „es wird heimgesucht werden" (passiv). Die Präposition </w:t>
      </w:r>
      <w:r w:rsidRPr="00067E3D">
        <w:rPr>
          <w:rFonts w:eastAsia="Times New Roman" w:cs="Times New Roman"/>
          <w:b/>
          <w:bCs/>
          <w:rtl/>
          <w:lang w:eastAsia="de-DE"/>
        </w:rPr>
        <w:t>עֲלֵיהֶם</w:t>
      </w:r>
      <w:r w:rsidRPr="00067E3D">
        <w:rPr>
          <w:rFonts w:eastAsia="Times New Roman" w:cs="Times New Roman"/>
          <w:rtl/>
          <w:lang w:eastAsia="de-DE"/>
        </w:rPr>
        <w:t xml:space="preserve"> </w:t>
      </w:r>
      <w:r w:rsidRPr="00067E3D">
        <w:rPr>
          <w:rFonts w:eastAsia="Times New Roman" w:cs="Times New Roman"/>
          <w:lang w:eastAsia="de-DE"/>
        </w:rPr>
        <w:t xml:space="preserve">(„über sie") mit Suffix 3. m. pl. gibt an, wen die Heimsuchung treffen würde. Die Phrase verwendet eine figura etymologica: das Nomen und Verb vom selben Stamm </w:t>
      </w:r>
      <w:r w:rsidRPr="00067E3D">
        <w:rPr>
          <w:rFonts w:eastAsia="Times New Roman" w:cs="Times New Roman"/>
          <w:b/>
          <w:bCs/>
          <w:rtl/>
          <w:lang w:eastAsia="de-DE"/>
        </w:rPr>
        <w:t>פקד</w:t>
      </w:r>
      <w:r w:rsidRPr="00067E3D">
        <w:rPr>
          <w:rFonts w:eastAsia="Times New Roman" w:cs="Times New Roman"/>
          <w:rtl/>
          <w:lang w:eastAsia="de-DE"/>
        </w:rPr>
        <w:t xml:space="preserve"> </w:t>
      </w:r>
      <w:r w:rsidRPr="00067E3D">
        <w:rPr>
          <w:rFonts w:eastAsia="Times New Roman" w:cs="Times New Roman"/>
          <w:lang w:eastAsia="de-DE"/>
        </w:rPr>
        <w:t>zur Verstärkung.</w:t>
      </w:r>
    </w:p>
    <w:p w14:paraId="3A4E4042"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Der Nachsatz </w:t>
      </w:r>
      <w:r w:rsidRPr="00067E3D">
        <w:rPr>
          <w:rFonts w:eastAsia="Times New Roman" w:cs="Times New Roman"/>
          <w:b/>
          <w:bCs/>
          <w:rtl/>
          <w:lang w:eastAsia="de-DE"/>
        </w:rPr>
        <w:t>לֹא יְהוָה שְׁלָחָנִי</w:t>
      </w:r>
      <w:r w:rsidRPr="00067E3D">
        <w:rPr>
          <w:rFonts w:eastAsia="Times New Roman" w:cs="Times New Roman"/>
          <w:rtl/>
          <w:lang w:eastAsia="de-DE"/>
        </w:rPr>
        <w:t xml:space="preserve"> </w:t>
      </w:r>
      <w:r w:rsidRPr="00067E3D">
        <w:rPr>
          <w:rFonts w:eastAsia="Times New Roman" w:cs="Times New Roman"/>
          <w:lang w:eastAsia="de-DE"/>
        </w:rPr>
        <w:t xml:space="preserve">enthält die Negation </w:t>
      </w:r>
      <w:r w:rsidRPr="00067E3D">
        <w:rPr>
          <w:rFonts w:eastAsia="Times New Roman" w:cs="Times New Roman"/>
          <w:b/>
          <w:bCs/>
          <w:rtl/>
          <w:lang w:eastAsia="de-DE"/>
        </w:rPr>
        <w:t>לֹא</w:t>
      </w:r>
      <w:r w:rsidRPr="00067E3D">
        <w:rPr>
          <w:rFonts w:eastAsia="Times New Roman" w:cs="Times New Roman"/>
          <w:lang w:eastAsia="de-DE"/>
        </w:rPr>
        <w:t xml:space="preserve">, das Subjekt </w:t>
      </w:r>
      <w:r w:rsidRPr="00067E3D">
        <w:rPr>
          <w:rFonts w:eastAsia="Times New Roman" w:cs="Times New Roman"/>
          <w:b/>
          <w:bCs/>
          <w:rtl/>
          <w:lang w:eastAsia="de-DE"/>
        </w:rPr>
        <w:t>יְהוָה</w:t>
      </w:r>
      <w:r w:rsidRPr="00067E3D">
        <w:rPr>
          <w:rFonts w:eastAsia="Times New Roman" w:cs="Times New Roman"/>
          <w:rtl/>
          <w:lang w:eastAsia="de-DE"/>
        </w:rPr>
        <w:t xml:space="preserve"> </w:t>
      </w:r>
      <w:r w:rsidRPr="00067E3D">
        <w:rPr>
          <w:rFonts w:eastAsia="Times New Roman" w:cs="Times New Roman"/>
          <w:lang w:eastAsia="de-DE"/>
        </w:rPr>
        <w:t xml:space="preserve">und das Verb </w:t>
      </w:r>
      <w:r w:rsidRPr="00067E3D">
        <w:rPr>
          <w:rFonts w:eastAsia="Times New Roman" w:cs="Times New Roman"/>
          <w:b/>
          <w:bCs/>
          <w:rtl/>
          <w:lang w:eastAsia="de-DE"/>
        </w:rPr>
        <w:t>שְׁלָחַנִי</w:t>
      </w:r>
      <w:r w:rsidRPr="00067E3D">
        <w:rPr>
          <w:rFonts w:eastAsia="Times New Roman" w:cs="Times New Roman"/>
          <w:rtl/>
          <w:lang w:eastAsia="de-DE"/>
        </w:rPr>
        <w:t xml:space="preserve"> </w:t>
      </w:r>
      <w:r w:rsidRPr="00067E3D">
        <w:rPr>
          <w:rFonts w:eastAsia="Times New Roman" w:cs="Times New Roman"/>
          <w:lang w:eastAsia="de-DE"/>
        </w:rPr>
        <w:t xml:space="preserve">(Qal Perfekt, 3. m. sg. von </w:t>
      </w:r>
      <w:r w:rsidRPr="00067E3D">
        <w:rPr>
          <w:rFonts w:eastAsia="Times New Roman" w:cs="Times New Roman"/>
          <w:b/>
          <w:bCs/>
          <w:rtl/>
          <w:lang w:eastAsia="de-DE"/>
        </w:rPr>
        <w:t>שׁלח</w:t>
      </w:r>
      <w:r w:rsidRPr="00067E3D">
        <w:rPr>
          <w:rFonts w:eastAsia="Times New Roman" w:cs="Times New Roman"/>
          <w:rtl/>
          <w:lang w:eastAsia="de-DE"/>
        </w:rPr>
        <w:t xml:space="preserve"> </w:t>
      </w:r>
      <w:r w:rsidRPr="00067E3D">
        <w:rPr>
          <w:rFonts w:eastAsia="Times New Roman" w:cs="Times New Roman"/>
          <w:lang w:eastAsia="de-DE"/>
        </w:rPr>
        <w:t>mit Suffix 1. c. sg., „hat mich gesandt"). Die Wortstellung (Negation vor Subjekt) ist emphatic: „dann hat JHWH mich nicht gesandt".</w:t>
      </w:r>
    </w:p>
    <w:p w14:paraId="6703EA2F" w14:textId="490AE494"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Die LXX</w:t>
      </w:r>
      <w:r w:rsidRPr="00067E3D">
        <w:rPr>
          <w:rFonts w:eastAsia="Times New Roman" w:cs="Times New Roman"/>
          <w:lang w:eastAsia="de-DE"/>
        </w:rPr>
        <w:t xml:space="preserve"> übersetzt </w:t>
      </w:r>
      <w:r w:rsidRPr="00067E3D">
        <w:rPr>
          <w:rFonts w:eastAsia="Times New Roman" w:cs="Times New Roman"/>
          <w:b/>
          <w:bCs/>
          <w:rtl/>
          <w:lang w:eastAsia="de-DE"/>
        </w:rPr>
        <w:t>אִם־כְּמוֹת כָּל־הָאָדָם יְמֻתוּן אֵלֶּה</w:t>
      </w:r>
      <w:r w:rsidRPr="00067E3D">
        <w:rPr>
          <w:rFonts w:eastAsia="Times New Roman" w:cs="Times New Roman"/>
          <w:rtl/>
          <w:lang w:eastAsia="de-DE"/>
        </w:rPr>
        <w:t xml:space="preserve"> </w:t>
      </w:r>
      <w:r w:rsidRPr="00067E3D">
        <w:rPr>
          <w:rFonts w:eastAsia="Times New Roman" w:cs="Times New Roman"/>
          <w:lang w:eastAsia="de-DE"/>
        </w:rPr>
        <w:t xml:space="preserve">mit εἰ κατὰ θάνατον πάντων ἀνθρώπων ἀποθανοῦνται οὗτοι („wenn gemäß dem Tod aller Menschen diese sterben werden"). </w:t>
      </w:r>
      <w:r w:rsidRPr="00067E3D">
        <w:rPr>
          <w:rFonts w:eastAsia="Times New Roman" w:cs="Times New Roman"/>
          <w:b/>
          <w:bCs/>
          <w:rtl/>
          <w:lang w:eastAsia="de-DE"/>
        </w:rPr>
        <w:t>וּפְקֻדַּת כָּל־הָאָדָם יִפָּקֵד עֲלֵיהֶם</w:t>
      </w:r>
      <w:r w:rsidRPr="00067E3D">
        <w:rPr>
          <w:rFonts w:eastAsia="Times New Roman" w:cs="Times New Roman"/>
          <w:rtl/>
          <w:lang w:eastAsia="de-DE"/>
        </w:rPr>
        <w:t xml:space="preserve"> </w:t>
      </w:r>
      <w:r w:rsidRPr="00067E3D">
        <w:rPr>
          <w:rFonts w:eastAsia="Times New Roman" w:cs="Times New Roman"/>
          <w:lang w:eastAsia="de-DE"/>
        </w:rPr>
        <w:t xml:space="preserve">wird mit καὶ κατὰ ἐπίσκεψιν πάντων ἀνθρώπων ἐπισκοπὴ ἔσται αὐτοῖς („und gemäß der Heimsuchung aller Menschen wird Heimsuchung ihnen sein") wiedergegeben. </w:t>
      </w:r>
      <w:r w:rsidRPr="00067E3D">
        <w:rPr>
          <w:rFonts w:eastAsia="Times New Roman" w:cs="Times New Roman"/>
          <w:b/>
          <w:bCs/>
          <w:rtl/>
          <w:lang w:eastAsia="de-DE"/>
        </w:rPr>
        <w:t>לֹא יְהוָה שְׁלָחָנִי</w:t>
      </w:r>
      <w:r w:rsidRPr="00067E3D">
        <w:rPr>
          <w:rFonts w:eastAsia="Times New Roman" w:cs="Times New Roman"/>
          <w:rtl/>
          <w:lang w:eastAsia="de-DE"/>
        </w:rPr>
        <w:t xml:space="preserve"> </w:t>
      </w:r>
      <w:r w:rsidRPr="00067E3D">
        <w:rPr>
          <w:rFonts w:eastAsia="Times New Roman" w:cs="Times New Roman"/>
          <w:lang w:eastAsia="de-DE"/>
        </w:rPr>
        <w:t>wird mit οὐχὶ κύριος ἀπέσταλκέν με („nicht der Herr hat mich gesandt") übersetzt.</w:t>
      </w:r>
    </w:p>
    <w:p w14:paraId="1C3BEE7C"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Die Satzstruktur zeigt einen komplexen Konditionalsatz: Der Vordersatz (Protasis) besteht aus der Kondition mit zwei koordinierten Aussagen (die erste mit Präposition, Verb und Subjekt; die zweite mit Subjekt, Verb und Präpositionalphrase). Der Nachsatz (Apodosis) ist ein einfacher Hauptsatz mit Negation, Subjekt und Verb. Insgesamt gibt es einen Nebensatz (Konditionalsatz) und einen Hauptsatz.</w:t>
      </w:r>
    </w:p>
    <w:p w14:paraId="4238C39E"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Der Vers formuliert die erste Alternative: Wenn die Rebellen eines natürlichen Todes sterben, wäre dies ein Beweis, dass Mose nicht von Gott gesandt wurde.</w:t>
      </w:r>
    </w:p>
    <w:p w14:paraId="16B5638F" w14:textId="77777777" w:rsidR="00067E3D" w:rsidRPr="00067E3D" w:rsidRDefault="00067E3D" w:rsidP="00067E3D">
      <w:pPr>
        <w:spacing w:before="100" w:beforeAutospacing="1" w:after="100" w:afterAutospacing="1" w:line="240" w:lineRule="auto"/>
        <w:outlineLvl w:val="0"/>
        <w:rPr>
          <w:rFonts w:eastAsia="Times New Roman" w:cs="Times New Roman"/>
          <w:b/>
          <w:bCs/>
          <w:kern w:val="36"/>
          <w:sz w:val="48"/>
          <w:szCs w:val="48"/>
          <w:lang w:eastAsia="de-DE"/>
        </w:rPr>
      </w:pPr>
      <w:r w:rsidRPr="00067E3D">
        <w:rPr>
          <w:rFonts w:eastAsia="Times New Roman" w:cs="Times New Roman"/>
          <w:b/>
          <w:bCs/>
          <w:kern w:val="36"/>
          <w:sz w:val="48"/>
          <w:szCs w:val="48"/>
          <w:lang w:eastAsia="de-DE"/>
        </w:rPr>
        <w:t>Numeri 16,30</w:t>
      </w:r>
    </w:p>
    <w:p w14:paraId="47B932A6"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Hebräisch:</w:t>
      </w:r>
      <w:r w:rsidRPr="00067E3D">
        <w:rPr>
          <w:rFonts w:eastAsia="Times New Roman" w:cs="Times New Roman"/>
          <w:lang w:eastAsia="de-DE"/>
        </w:rPr>
        <w:t xml:space="preserve"> </w:t>
      </w:r>
      <w:r w:rsidRPr="00067E3D">
        <w:rPr>
          <w:rFonts w:eastAsia="Times New Roman" w:cs="Times New Roman"/>
          <w:rtl/>
          <w:lang w:eastAsia="de-DE"/>
        </w:rPr>
        <w:t>וְאִם־בְּרִיאָ֞ה יִבְרָ֣א יְהוָ֗ה וּפָצְתָ֨ה הָאֲדָמָ֤ה אֶת־פִּ֨יהָ֙ וּבָלְעָ֤ה אֹתָם֙ וְאֶת־כָּל־אֲשֶׁ֣ר לָהֶ֔ם וְיָרְד֥וּ חַיִּ֖ים שְׁאֹ֑לָה וִֽידַעְתֶּ֕ם כִּ֧י נִֽאֲצ֛וּ הָאֲנָשִׁ֥ים הָאֵ֖לֶּה אֶת־יְהוָֽה׃</w:t>
      </w:r>
    </w:p>
    <w:p w14:paraId="26D8F202"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lastRenderedPageBreak/>
        <w:t>Deutsch:</w:t>
      </w:r>
      <w:r w:rsidRPr="00067E3D">
        <w:rPr>
          <w:rFonts w:eastAsia="Times New Roman" w:cs="Times New Roman"/>
          <w:lang w:eastAsia="de-DE"/>
        </w:rPr>
        <w:t xml:space="preserve"> Wenn aber der Ewige ein Neues schafft und der Erdboden seinen Mund auftut und sie verschlingt mit allem, was ihnen gehört, und sie lebendig in den Scheol hinabfahren, so werdet ihr erkennen, dass diese Männer den Ewigen verschmäht haben.</w:t>
      </w:r>
    </w:p>
    <w:p w14:paraId="6BC8F930" w14:textId="77777777" w:rsidR="00067E3D" w:rsidRPr="00067E3D" w:rsidRDefault="00F329DD" w:rsidP="00067E3D">
      <w:pPr>
        <w:spacing w:after="0" w:line="240" w:lineRule="auto"/>
        <w:rPr>
          <w:rFonts w:eastAsia="Times New Roman" w:cs="Times New Roman"/>
          <w:lang w:eastAsia="de-DE"/>
        </w:rPr>
      </w:pPr>
      <w:r>
        <w:rPr>
          <w:rFonts w:eastAsia="Times New Roman" w:cs="Times New Roman"/>
          <w:noProof/>
          <w:lang w:eastAsia="de-DE"/>
        </w:rPr>
        <w:pict w14:anchorId="014F1DE7">
          <v:rect id="_x0000_i1568" style="width:0;height:1.5pt" o:hralign="center" o:hrstd="t" o:hr="t" fillcolor="#a0a0a0" stroked="f"/>
        </w:pict>
      </w:r>
    </w:p>
    <w:p w14:paraId="180C84B3" w14:textId="6D6A6ABA"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Kommentar:</w:t>
      </w:r>
      <w:r w:rsidRPr="00067E3D">
        <w:rPr>
          <w:rFonts w:eastAsia="Times New Roman" w:cs="Times New Roman"/>
          <w:lang w:eastAsia="de-DE"/>
        </w:rPr>
        <w:t xml:space="preserve"> Die adversative konditionale Konjunktion </w:t>
      </w:r>
      <w:r w:rsidRPr="00067E3D">
        <w:rPr>
          <w:rFonts w:eastAsia="Times New Roman" w:cs="Times New Roman"/>
          <w:b/>
          <w:bCs/>
          <w:rtl/>
          <w:lang w:eastAsia="de-DE"/>
        </w:rPr>
        <w:t>וְאִם</w:t>
      </w:r>
      <w:r w:rsidRPr="00067E3D">
        <w:rPr>
          <w:rFonts w:eastAsia="Times New Roman" w:cs="Times New Roman"/>
          <w:rtl/>
          <w:lang w:eastAsia="de-DE"/>
        </w:rPr>
        <w:t xml:space="preserve"> </w:t>
      </w:r>
      <w:r w:rsidRPr="00067E3D">
        <w:rPr>
          <w:rFonts w:eastAsia="Times New Roman" w:cs="Times New Roman"/>
          <w:lang w:eastAsia="de-DE"/>
        </w:rPr>
        <w:t xml:space="preserve">(„aber wenn, wenn jedoch") leitet die alternative Bedingung ein. Das Objekt </w:t>
      </w:r>
      <w:r w:rsidRPr="00067E3D">
        <w:rPr>
          <w:rFonts w:eastAsia="Times New Roman" w:cs="Times New Roman"/>
          <w:b/>
          <w:bCs/>
          <w:rtl/>
          <w:lang w:eastAsia="de-DE"/>
        </w:rPr>
        <w:t>בְּרִיאָה</w:t>
      </w:r>
      <w:r w:rsidRPr="00067E3D">
        <w:rPr>
          <w:rFonts w:eastAsia="Times New Roman" w:cs="Times New Roman"/>
          <w:rtl/>
          <w:lang w:eastAsia="de-DE"/>
        </w:rPr>
        <w:t xml:space="preserve"> </w:t>
      </w:r>
      <w:r w:rsidRPr="00067E3D">
        <w:rPr>
          <w:rFonts w:eastAsia="Times New Roman" w:cs="Times New Roman"/>
          <w:lang w:eastAsia="de-DE"/>
        </w:rPr>
        <w:t xml:space="preserve">ist ein Nomen („Schöpfung, etwas Neues") mit der Präposition </w:t>
      </w:r>
      <w:r w:rsidRPr="00067E3D">
        <w:rPr>
          <w:rFonts w:eastAsia="Times New Roman" w:cs="Times New Roman"/>
          <w:b/>
          <w:bCs/>
          <w:rtl/>
          <w:lang w:eastAsia="de-DE"/>
        </w:rPr>
        <w:t>בְּ</w:t>
      </w:r>
      <w:r w:rsidRPr="00067E3D">
        <w:rPr>
          <w:rFonts w:eastAsia="Times New Roman" w:cs="Times New Roman"/>
          <w:lang w:eastAsia="de-DE"/>
        </w:rPr>
        <w:t xml:space="preserve">. Diese </w:t>
      </w:r>
      <w:r w:rsidR="00F133EC">
        <w:rPr>
          <w:rFonts w:eastAsia="Times New Roman" w:cs="Times New Roman"/>
          <w:lang w:eastAsia="de-DE"/>
        </w:rPr>
        <w:t>Construct</w:t>
      </w:r>
      <w:r w:rsidRPr="00067E3D">
        <w:rPr>
          <w:rFonts w:eastAsia="Times New Roman" w:cs="Times New Roman"/>
          <w:lang w:eastAsia="de-DE"/>
        </w:rPr>
        <w:t xml:space="preserve">ion </w:t>
      </w:r>
      <w:r w:rsidRPr="00067E3D">
        <w:rPr>
          <w:rFonts w:eastAsia="Times New Roman" w:cs="Times New Roman"/>
          <w:b/>
          <w:bCs/>
          <w:rtl/>
          <w:lang w:eastAsia="de-DE"/>
        </w:rPr>
        <w:t>בְּרִיאָה יִבְרָא</w:t>
      </w:r>
      <w:r w:rsidRPr="00067E3D">
        <w:rPr>
          <w:rFonts w:eastAsia="Times New Roman" w:cs="Times New Roman"/>
          <w:rtl/>
          <w:lang w:eastAsia="de-DE"/>
        </w:rPr>
        <w:t xml:space="preserve"> </w:t>
      </w:r>
      <w:r w:rsidRPr="00067E3D">
        <w:rPr>
          <w:rFonts w:eastAsia="Times New Roman" w:cs="Times New Roman"/>
          <w:lang w:eastAsia="de-DE"/>
        </w:rPr>
        <w:t xml:space="preserve">ist eine figura etymologica zur Verstärkung: das Nomen und das Verb stammen beide von </w:t>
      </w:r>
      <w:r w:rsidRPr="00067E3D">
        <w:rPr>
          <w:rFonts w:eastAsia="Times New Roman" w:cs="Times New Roman"/>
          <w:b/>
          <w:bCs/>
          <w:rtl/>
          <w:lang w:eastAsia="de-DE"/>
        </w:rPr>
        <w:t>ברא</w:t>
      </w:r>
      <w:r w:rsidRPr="00067E3D">
        <w:rPr>
          <w:rFonts w:eastAsia="Times New Roman" w:cs="Times New Roman"/>
          <w:rtl/>
          <w:lang w:eastAsia="de-DE"/>
        </w:rPr>
        <w:t xml:space="preserve"> </w:t>
      </w:r>
      <w:r w:rsidRPr="00067E3D">
        <w:rPr>
          <w:rFonts w:eastAsia="Times New Roman" w:cs="Times New Roman"/>
          <w:lang w:eastAsia="de-DE"/>
        </w:rPr>
        <w:t xml:space="preserve">(„schaffen"). Das Verb </w:t>
      </w:r>
      <w:r w:rsidRPr="00067E3D">
        <w:rPr>
          <w:rFonts w:eastAsia="Times New Roman" w:cs="Times New Roman"/>
          <w:b/>
          <w:bCs/>
          <w:rtl/>
          <w:lang w:eastAsia="de-DE"/>
        </w:rPr>
        <w:t>יִבְרָא</w:t>
      </w:r>
      <w:r w:rsidRPr="00067E3D">
        <w:rPr>
          <w:rFonts w:eastAsia="Times New Roman" w:cs="Times New Roman"/>
          <w:rtl/>
          <w:lang w:eastAsia="de-DE"/>
        </w:rPr>
        <w:t xml:space="preserve"> </w:t>
      </w:r>
      <w:r w:rsidRPr="00067E3D">
        <w:rPr>
          <w:rFonts w:eastAsia="Times New Roman" w:cs="Times New Roman"/>
          <w:lang w:eastAsia="de-DE"/>
        </w:rPr>
        <w:t xml:space="preserve">(Qal Imperfekt, 3. m. sg. von </w:t>
      </w:r>
      <w:r w:rsidRPr="00067E3D">
        <w:rPr>
          <w:rFonts w:eastAsia="Times New Roman" w:cs="Times New Roman"/>
          <w:b/>
          <w:bCs/>
          <w:rtl/>
          <w:lang w:eastAsia="de-DE"/>
        </w:rPr>
        <w:t>ברא</w:t>
      </w:r>
      <w:r w:rsidRPr="00067E3D">
        <w:rPr>
          <w:rFonts w:eastAsia="Times New Roman" w:cs="Times New Roman"/>
          <w:lang w:eastAsia="de-DE"/>
        </w:rPr>
        <w:t xml:space="preserve">) bedeutet „er wird schaffen". </w:t>
      </w:r>
      <w:r w:rsidRPr="00067E3D">
        <w:rPr>
          <w:rFonts w:eastAsia="Times New Roman" w:cs="Times New Roman"/>
          <w:b/>
          <w:bCs/>
          <w:rtl/>
          <w:lang w:eastAsia="de-DE"/>
        </w:rPr>
        <w:t>יְהוָה</w:t>
      </w:r>
      <w:r w:rsidRPr="00067E3D">
        <w:rPr>
          <w:rFonts w:eastAsia="Times New Roman" w:cs="Times New Roman"/>
          <w:rtl/>
          <w:lang w:eastAsia="de-DE"/>
        </w:rPr>
        <w:t xml:space="preserve"> </w:t>
      </w:r>
      <w:r w:rsidRPr="00067E3D">
        <w:rPr>
          <w:rFonts w:eastAsia="Times New Roman" w:cs="Times New Roman"/>
          <w:lang w:eastAsia="de-DE"/>
        </w:rPr>
        <w:t>ist das Subjekt. Die Phrase bedeutet „wenn JHWH wirklich etwas völlig Neues schafft".</w:t>
      </w:r>
    </w:p>
    <w:p w14:paraId="334B8DFC"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Das koordinierte Verb </w:t>
      </w:r>
      <w:r w:rsidRPr="00067E3D">
        <w:rPr>
          <w:rFonts w:eastAsia="Times New Roman" w:cs="Times New Roman"/>
          <w:b/>
          <w:bCs/>
          <w:rtl/>
          <w:lang w:eastAsia="de-DE"/>
        </w:rPr>
        <w:t>וּפָצְתָה</w:t>
      </w:r>
      <w:r w:rsidRPr="00067E3D">
        <w:rPr>
          <w:rFonts w:eastAsia="Times New Roman" w:cs="Times New Roman"/>
          <w:rtl/>
          <w:lang w:eastAsia="de-DE"/>
        </w:rPr>
        <w:t xml:space="preserve"> </w:t>
      </w:r>
      <w:r w:rsidRPr="00067E3D">
        <w:rPr>
          <w:rFonts w:eastAsia="Times New Roman" w:cs="Times New Roman"/>
          <w:lang w:eastAsia="de-DE"/>
        </w:rPr>
        <w:t xml:space="preserve">(Waw + Qal Perfekt, 3. f. sg. von </w:t>
      </w:r>
      <w:r w:rsidRPr="00067E3D">
        <w:rPr>
          <w:rFonts w:eastAsia="Times New Roman" w:cs="Times New Roman"/>
          <w:b/>
          <w:bCs/>
          <w:rtl/>
          <w:lang w:eastAsia="de-DE"/>
        </w:rPr>
        <w:t>פצה</w:t>
      </w:r>
      <w:r w:rsidRPr="00067E3D">
        <w:rPr>
          <w:rFonts w:eastAsia="Times New Roman" w:cs="Times New Roman"/>
          <w:lang w:eastAsia="de-DE"/>
        </w:rPr>
        <w:t xml:space="preserve">) bedeutet „und sie wird auftun, öffnen". Das Weqatal drückt konsekutive Zukunft aus. </w:t>
      </w:r>
      <w:r w:rsidRPr="00067E3D">
        <w:rPr>
          <w:rFonts w:eastAsia="Times New Roman" w:cs="Times New Roman"/>
          <w:b/>
          <w:bCs/>
          <w:rtl/>
          <w:lang w:eastAsia="de-DE"/>
        </w:rPr>
        <w:t>הָאֲדָמָה</w:t>
      </w:r>
      <w:r w:rsidRPr="00067E3D">
        <w:rPr>
          <w:rFonts w:eastAsia="Times New Roman" w:cs="Times New Roman"/>
          <w:rtl/>
          <w:lang w:eastAsia="de-DE"/>
        </w:rPr>
        <w:t xml:space="preserve"> </w:t>
      </w:r>
      <w:r w:rsidRPr="00067E3D">
        <w:rPr>
          <w:rFonts w:eastAsia="Times New Roman" w:cs="Times New Roman"/>
          <w:lang w:eastAsia="de-DE"/>
        </w:rPr>
        <w:t xml:space="preserve">(„der Erdboden, die Erde") ist das Subjekt. Das Objekt </w:t>
      </w:r>
      <w:r w:rsidRPr="00067E3D">
        <w:rPr>
          <w:rFonts w:eastAsia="Times New Roman" w:cs="Times New Roman"/>
          <w:b/>
          <w:bCs/>
          <w:rtl/>
          <w:lang w:eastAsia="de-DE"/>
        </w:rPr>
        <w:t>אֶת־פִּיהָ</w:t>
      </w:r>
      <w:r w:rsidRPr="00067E3D">
        <w:rPr>
          <w:rFonts w:eastAsia="Times New Roman" w:cs="Times New Roman"/>
          <w:rtl/>
          <w:lang w:eastAsia="de-DE"/>
        </w:rPr>
        <w:t xml:space="preserve"> </w:t>
      </w:r>
      <w:r w:rsidRPr="00067E3D">
        <w:rPr>
          <w:rFonts w:eastAsia="Times New Roman" w:cs="Times New Roman"/>
          <w:lang w:eastAsia="de-DE"/>
        </w:rPr>
        <w:t xml:space="preserve">besteht aus der Objektpartikel und </w:t>
      </w:r>
      <w:r w:rsidRPr="00067E3D">
        <w:rPr>
          <w:rFonts w:eastAsia="Times New Roman" w:cs="Times New Roman"/>
          <w:b/>
          <w:bCs/>
          <w:rtl/>
          <w:lang w:eastAsia="de-DE"/>
        </w:rPr>
        <w:t>פִּיהָ</w:t>
      </w:r>
      <w:r w:rsidRPr="00067E3D">
        <w:rPr>
          <w:rFonts w:eastAsia="Times New Roman" w:cs="Times New Roman"/>
          <w:rtl/>
          <w:lang w:eastAsia="de-DE"/>
        </w:rPr>
        <w:t xml:space="preserve"> </w:t>
      </w:r>
      <w:r w:rsidRPr="00067E3D">
        <w:rPr>
          <w:rFonts w:eastAsia="Times New Roman" w:cs="Times New Roman"/>
          <w:lang w:eastAsia="de-DE"/>
        </w:rPr>
        <w:t xml:space="preserve">(„ihr Mund", </w:t>
      </w:r>
      <w:r w:rsidRPr="00067E3D">
        <w:rPr>
          <w:rFonts w:eastAsia="Times New Roman" w:cs="Times New Roman"/>
          <w:b/>
          <w:bCs/>
          <w:rtl/>
          <w:lang w:eastAsia="de-DE"/>
        </w:rPr>
        <w:t>פֶּה</w:t>
      </w:r>
      <w:r w:rsidRPr="00067E3D">
        <w:rPr>
          <w:rFonts w:eastAsia="Times New Roman" w:cs="Times New Roman"/>
          <w:rtl/>
          <w:lang w:eastAsia="de-DE"/>
        </w:rPr>
        <w:t xml:space="preserve"> </w:t>
      </w:r>
      <w:r w:rsidRPr="00067E3D">
        <w:rPr>
          <w:rFonts w:eastAsia="Times New Roman" w:cs="Times New Roman"/>
          <w:lang w:eastAsia="de-DE"/>
        </w:rPr>
        <w:t>mit Possessivsuffix 3. f. sg.). Die Personifikation der Erde, die ihren Mund öffnet, ist dramatisch-poetisch.</w:t>
      </w:r>
    </w:p>
    <w:p w14:paraId="7492D6E8"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Das koordinierte Verb </w:t>
      </w:r>
      <w:r w:rsidRPr="00067E3D">
        <w:rPr>
          <w:rFonts w:eastAsia="Times New Roman" w:cs="Times New Roman"/>
          <w:b/>
          <w:bCs/>
          <w:rtl/>
          <w:lang w:eastAsia="de-DE"/>
        </w:rPr>
        <w:t>וּבָלְעָה</w:t>
      </w:r>
      <w:r w:rsidRPr="00067E3D">
        <w:rPr>
          <w:rFonts w:eastAsia="Times New Roman" w:cs="Times New Roman"/>
          <w:rtl/>
          <w:lang w:eastAsia="de-DE"/>
        </w:rPr>
        <w:t xml:space="preserve"> </w:t>
      </w:r>
      <w:r w:rsidRPr="00067E3D">
        <w:rPr>
          <w:rFonts w:eastAsia="Times New Roman" w:cs="Times New Roman"/>
          <w:lang w:eastAsia="de-DE"/>
        </w:rPr>
        <w:t xml:space="preserve">(Waw + Qal Perfekt, 3. f. sg. von </w:t>
      </w:r>
      <w:r w:rsidRPr="00067E3D">
        <w:rPr>
          <w:rFonts w:eastAsia="Times New Roman" w:cs="Times New Roman"/>
          <w:b/>
          <w:bCs/>
          <w:rtl/>
          <w:lang w:eastAsia="de-DE"/>
        </w:rPr>
        <w:t>בלע</w:t>
      </w:r>
      <w:r w:rsidRPr="00067E3D">
        <w:rPr>
          <w:rFonts w:eastAsia="Times New Roman" w:cs="Times New Roman"/>
          <w:lang w:eastAsia="de-DE"/>
        </w:rPr>
        <w:t xml:space="preserve">) bedeutet „und sie wird verschlingen". Das Verb </w:t>
      </w:r>
      <w:r w:rsidRPr="00067E3D">
        <w:rPr>
          <w:rFonts w:eastAsia="Times New Roman" w:cs="Times New Roman"/>
          <w:b/>
          <w:bCs/>
          <w:rtl/>
          <w:lang w:eastAsia="de-DE"/>
        </w:rPr>
        <w:t>בלע</w:t>
      </w:r>
      <w:r w:rsidRPr="00067E3D">
        <w:rPr>
          <w:rFonts w:eastAsia="Times New Roman" w:cs="Times New Roman"/>
          <w:rtl/>
          <w:lang w:eastAsia="de-DE"/>
        </w:rPr>
        <w:t xml:space="preserve"> </w:t>
      </w:r>
      <w:r w:rsidRPr="00067E3D">
        <w:rPr>
          <w:rFonts w:eastAsia="Times New Roman" w:cs="Times New Roman"/>
          <w:lang w:eastAsia="de-DE"/>
        </w:rPr>
        <w:t xml:space="preserve">bezeichnet das Hinunterschlucken oder Verschlingen. Das Objekt </w:t>
      </w:r>
      <w:r w:rsidRPr="00067E3D">
        <w:rPr>
          <w:rFonts w:eastAsia="Times New Roman" w:cs="Times New Roman"/>
          <w:b/>
          <w:bCs/>
          <w:rtl/>
          <w:lang w:eastAsia="de-DE"/>
        </w:rPr>
        <w:t>אֹתָם</w:t>
      </w:r>
      <w:r w:rsidRPr="00067E3D">
        <w:rPr>
          <w:rFonts w:eastAsia="Times New Roman" w:cs="Times New Roman"/>
          <w:rtl/>
          <w:lang w:eastAsia="de-DE"/>
        </w:rPr>
        <w:t xml:space="preserve"> </w:t>
      </w:r>
      <w:r w:rsidRPr="00067E3D">
        <w:rPr>
          <w:rFonts w:eastAsia="Times New Roman" w:cs="Times New Roman"/>
          <w:lang w:eastAsia="de-DE"/>
        </w:rPr>
        <w:t xml:space="preserve">ist die Objektpartikel mit Suffix 3. m. pl. („sie"). Die koordinierte Phrase </w:t>
      </w:r>
      <w:r w:rsidRPr="00067E3D">
        <w:rPr>
          <w:rFonts w:eastAsia="Times New Roman" w:cs="Times New Roman"/>
          <w:b/>
          <w:bCs/>
          <w:rtl/>
          <w:lang w:eastAsia="de-DE"/>
        </w:rPr>
        <w:t>וְאֶת־כָּל־אֲשֶׁר לָהֶם</w:t>
      </w:r>
      <w:r w:rsidRPr="00067E3D">
        <w:rPr>
          <w:rFonts w:eastAsia="Times New Roman" w:cs="Times New Roman"/>
          <w:rtl/>
          <w:lang w:eastAsia="de-DE"/>
        </w:rPr>
        <w:t xml:space="preserve"> </w:t>
      </w:r>
      <w:r w:rsidRPr="00067E3D">
        <w:rPr>
          <w:rFonts w:eastAsia="Times New Roman" w:cs="Times New Roman"/>
          <w:lang w:eastAsia="de-DE"/>
        </w:rPr>
        <w:t xml:space="preserve">erweitert das Objekt: </w:t>
      </w:r>
      <w:r w:rsidRPr="00067E3D">
        <w:rPr>
          <w:rFonts w:eastAsia="Times New Roman" w:cs="Times New Roman"/>
          <w:b/>
          <w:bCs/>
          <w:rtl/>
          <w:lang w:eastAsia="de-DE"/>
        </w:rPr>
        <w:t>אֵת</w:t>
      </w:r>
      <w:r w:rsidRPr="00067E3D">
        <w:rPr>
          <w:rFonts w:eastAsia="Times New Roman" w:cs="Times New Roman"/>
          <w:rtl/>
          <w:lang w:eastAsia="de-DE"/>
        </w:rPr>
        <w:t xml:space="preserve"> </w:t>
      </w:r>
      <w:r w:rsidRPr="00067E3D">
        <w:rPr>
          <w:rFonts w:eastAsia="Times New Roman" w:cs="Times New Roman"/>
          <w:lang w:eastAsia="de-DE"/>
        </w:rPr>
        <w:t xml:space="preserve">Objektpartikel, </w:t>
      </w:r>
      <w:r w:rsidRPr="00067E3D">
        <w:rPr>
          <w:rFonts w:eastAsia="Times New Roman" w:cs="Times New Roman"/>
          <w:b/>
          <w:bCs/>
          <w:rtl/>
          <w:lang w:eastAsia="de-DE"/>
        </w:rPr>
        <w:t>כָּל</w:t>
      </w:r>
      <w:r w:rsidRPr="00067E3D">
        <w:rPr>
          <w:rFonts w:eastAsia="Times New Roman" w:cs="Times New Roman"/>
          <w:rtl/>
          <w:lang w:eastAsia="de-DE"/>
        </w:rPr>
        <w:t xml:space="preserve"> </w:t>
      </w:r>
      <w:r w:rsidRPr="00067E3D">
        <w:rPr>
          <w:rFonts w:eastAsia="Times New Roman" w:cs="Times New Roman"/>
          <w:lang w:eastAsia="de-DE"/>
        </w:rPr>
        <w:t xml:space="preserve">im Constructus, </w:t>
      </w:r>
      <w:r w:rsidRPr="00067E3D">
        <w:rPr>
          <w:rFonts w:eastAsia="Times New Roman" w:cs="Times New Roman"/>
          <w:b/>
          <w:bCs/>
          <w:rtl/>
          <w:lang w:eastAsia="de-DE"/>
        </w:rPr>
        <w:t>אֲשֶׁר לָהֶם</w:t>
      </w:r>
      <w:r w:rsidRPr="00067E3D">
        <w:rPr>
          <w:rFonts w:eastAsia="Times New Roman" w:cs="Times New Roman"/>
          <w:rtl/>
          <w:lang w:eastAsia="de-DE"/>
        </w:rPr>
        <w:t xml:space="preserve"> </w:t>
      </w:r>
      <w:r w:rsidRPr="00067E3D">
        <w:rPr>
          <w:rFonts w:eastAsia="Times New Roman" w:cs="Times New Roman"/>
          <w:lang w:eastAsia="de-DE"/>
        </w:rPr>
        <w:t>Relativsatz („was ihnen gehört").</w:t>
      </w:r>
    </w:p>
    <w:p w14:paraId="404B84BB"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Das koordinierte Verb </w:t>
      </w:r>
      <w:r w:rsidRPr="00067E3D">
        <w:rPr>
          <w:rFonts w:eastAsia="Times New Roman" w:cs="Times New Roman"/>
          <w:b/>
          <w:bCs/>
          <w:rtl/>
          <w:lang w:eastAsia="de-DE"/>
        </w:rPr>
        <w:t>וְיָרְדוּ</w:t>
      </w:r>
      <w:r w:rsidRPr="00067E3D">
        <w:rPr>
          <w:rFonts w:eastAsia="Times New Roman" w:cs="Times New Roman"/>
          <w:rtl/>
          <w:lang w:eastAsia="de-DE"/>
        </w:rPr>
        <w:t xml:space="preserve"> </w:t>
      </w:r>
      <w:r w:rsidRPr="00067E3D">
        <w:rPr>
          <w:rFonts w:eastAsia="Times New Roman" w:cs="Times New Roman"/>
          <w:lang w:eastAsia="de-DE"/>
        </w:rPr>
        <w:t xml:space="preserve">(Waw + Qal Perfekt, 3. c. pl. von </w:t>
      </w:r>
      <w:r w:rsidRPr="00067E3D">
        <w:rPr>
          <w:rFonts w:eastAsia="Times New Roman" w:cs="Times New Roman"/>
          <w:b/>
          <w:bCs/>
          <w:rtl/>
          <w:lang w:eastAsia="de-DE"/>
        </w:rPr>
        <w:t>ירד</w:t>
      </w:r>
      <w:r w:rsidRPr="00067E3D">
        <w:rPr>
          <w:rFonts w:eastAsia="Times New Roman" w:cs="Times New Roman"/>
          <w:lang w:eastAsia="de-DE"/>
        </w:rPr>
        <w:t xml:space="preserve">) bedeutet „und sie werden hinabfahren". Das Adverb </w:t>
      </w:r>
      <w:r w:rsidRPr="00067E3D">
        <w:rPr>
          <w:rFonts w:eastAsia="Times New Roman" w:cs="Times New Roman"/>
          <w:b/>
          <w:bCs/>
          <w:rtl/>
          <w:lang w:eastAsia="de-DE"/>
        </w:rPr>
        <w:t>חַיִּים</w:t>
      </w:r>
      <w:r w:rsidRPr="00067E3D">
        <w:rPr>
          <w:rFonts w:eastAsia="Times New Roman" w:cs="Times New Roman"/>
          <w:rtl/>
          <w:lang w:eastAsia="de-DE"/>
        </w:rPr>
        <w:t xml:space="preserve"> </w:t>
      </w:r>
      <w:r w:rsidRPr="00067E3D">
        <w:rPr>
          <w:rFonts w:eastAsia="Times New Roman" w:cs="Times New Roman"/>
          <w:lang w:eastAsia="de-DE"/>
        </w:rPr>
        <w:t xml:space="preserve">(„lebendig", Plural von </w:t>
      </w:r>
      <w:r w:rsidRPr="00067E3D">
        <w:rPr>
          <w:rFonts w:eastAsia="Times New Roman" w:cs="Times New Roman"/>
          <w:b/>
          <w:bCs/>
          <w:rtl/>
          <w:lang w:eastAsia="de-DE"/>
        </w:rPr>
        <w:t>חַי</w:t>
      </w:r>
      <w:r w:rsidRPr="00067E3D">
        <w:rPr>
          <w:rFonts w:eastAsia="Times New Roman" w:cs="Times New Roman"/>
          <w:lang w:eastAsia="de-DE"/>
        </w:rPr>
        <w:t xml:space="preserve">) betont die Besonderheit: sie fahren lebend hinab, nicht als Tote. </w:t>
      </w:r>
      <w:r w:rsidRPr="00067E3D">
        <w:rPr>
          <w:rFonts w:eastAsia="Times New Roman" w:cs="Times New Roman"/>
          <w:b/>
          <w:bCs/>
          <w:rtl/>
          <w:lang w:eastAsia="de-DE"/>
        </w:rPr>
        <w:t>שְׁאֹלָה</w:t>
      </w:r>
      <w:r w:rsidRPr="00067E3D">
        <w:rPr>
          <w:rFonts w:eastAsia="Times New Roman" w:cs="Times New Roman"/>
          <w:rtl/>
          <w:lang w:eastAsia="de-DE"/>
        </w:rPr>
        <w:t xml:space="preserve"> </w:t>
      </w:r>
      <w:r w:rsidRPr="00067E3D">
        <w:rPr>
          <w:rFonts w:eastAsia="Times New Roman" w:cs="Times New Roman"/>
          <w:lang w:eastAsia="de-DE"/>
        </w:rPr>
        <w:t xml:space="preserve">ist die Richtungsangabe: </w:t>
      </w:r>
      <w:r w:rsidRPr="00067E3D">
        <w:rPr>
          <w:rFonts w:eastAsia="Times New Roman" w:cs="Times New Roman"/>
          <w:b/>
          <w:bCs/>
          <w:rtl/>
          <w:lang w:eastAsia="de-DE"/>
        </w:rPr>
        <w:t>שְׁאוֹל</w:t>
      </w:r>
      <w:r w:rsidRPr="00067E3D">
        <w:rPr>
          <w:rFonts w:eastAsia="Times New Roman" w:cs="Times New Roman"/>
          <w:rtl/>
          <w:lang w:eastAsia="de-DE"/>
        </w:rPr>
        <w:t xml:space="preserve"> </w:t>
      </w:r>
      <w:r w:rsidRPr="00067E3D">
        <w:rPr>
          <w:rFonts w:eastAsia="Times New Roman" w:cs="Times New Roman"/>
          <w:lang w:eastAsia="de-DE"/>
        </w:rPr>
        <w:t xml:space="preserve">mit dem archaischen lokativischen He, „zum Scheol hin". </w:t>
      </w:r>
      <w:r w:rsidRPr="00067E3D">
        <w:rPr>
          <w:rFonts w:eastAsia="Times New Roman" w:cs="Times New Roman"/>
          <w:b/>
          <w:bCs/>
          <w:rtl/>
          <w:lang w:eastAsia="de-DE"/>
        </w:rPr>
        <w:t>שאול</w:t>
      </w:r>
      <w:r w:rsidRPr="00067E3D">
        <w:rPr>
          <w:rFonts w:eastAsia="Times New Roman" w:cs="Times New Roman"/>
          <w:rtl/>
          <w:lang w:eastAsia="de-DE"/>
        </w:rPr>
        <w:t xml:space="preserve"> </w:t>
      </w:r>
      <w:r w:rsidRPr="00067E3D">
        <w:rPr>
          <w:rFonts w:eastAsia="Times New Roman" w:cs="Times New Roman"/>
          <w:lang w:eastAsia="de-DE"/>
        </w:rPr>
        <w:t>bezeichnet die Totenwelt, den Ort der Toten.</w:t>
      </w:r>
    </w:p>
    <w:p w14:paraId="2C2FDCEA"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Der Nachsatz </w:t>
      </w:r>
      <w:r w:rsidRPr="00067E3D">
        <w:rPr>
          <w:rFonts w:eastAsia="Times New Roman" w:cs="Times New Roman"/>
          <w:b/>
          <w:bCs/>
          <w:rtl/>
          <w:lang w:eastAsia="de-DE"/>
        </w:rPr>
        <w:t>וִידַעְתֶּם</w:t>
      </w:r>
      <w:r w:rsidRPr="00067E3D">
        <w:rPr>
          <w:rFonts w:eastAsia="Times New Roman" w:cs="Times New Roman"/>
          <w:rtl/>
          <w:lang w:eastAsia="de-DE"/>
        </w:rPr>
        <w:t xml:space="preserve"> </w:t>
      </w:r>
      <w:r w:rsidRPr="00067E3D">
        <w:rPr>
          <w:rFonts w:eastAsia="Times New Roman" w:cs="Times New Roman"/>
          <w:lang w:eastAsia="de-DE"/>
        </w:rPr>
        <w:t xml:space="preserve">(Waw + Qal Perfekt, 2. m. pl. von </w:t>
      </w:r>
      <w:r w:rsidRPr="00067E3D">
        <w:rPr>
          <w:rFonts w:eastAsia="Times New Roman" w:cs="Times New Roman"/>
          <w:b/>
          <w:bCs/>
          <w:rtl/>
          <w:lang w:eastAsia="de-DE"/>
        </w:rPr>
        <w:t>ידע</w:t>
      </w:r>
      <w:r w:rsidRPr="00067E3D">
        <w:rPr>
          <w:rFonts w:eastAsia="Times New Roman" w:cs="Times New Roman"/>
          <w:lang w:eastAsia="de-DE"/>
        </w:rPr>
        <w:t xml:space="preserve">) bedeutet „und ihr werdet erkennen". Das Weqatal leitet die Konsequenz ein. Die kausale Konjunktion </w:t>
      </w:r>
      <w:r w:rsidRPr="00067E3D">
        <w:rPr>
          <w:rFonts w:eastAsia="Times New Roman" w:cs="Times New Roman"/>
          <w:b/>
          <w:bCs/>
          <w:rtl/>
          <w:lang w:eastAsia="de-DE"/>
        </w:rPr>
        <w:t>כִּי</w:t>
      </w:r>
      <w:r w:rsidRPr="00067E3D">
        <w:rPr>
          <w:rFonts w:eastAsia="Times New Roman" w:cs="Times New Roman"/>
          <w:rtl/>
          <w:lang w:eastAsia="de-DE"/>
        </w:rPr>
        <w:t xml:space="preserve"> </w:t>
      </w:r>
      <w:r w:rsidRPr="00067E3D">
        <w:rPr>
          <w:rFonts w:eastAsia="Times New Roman" w:cs="Times New Roman"/>
          <w:lang w:eastAsia="de-DE"/>
        </w:rPr>
        <w:t xml:space="preserve">(„dass") führt ein, was erkannt werden soll. Das Verb </w:t>
      </w:r>
      <w:r w:rsidRPr="00067E3D">
        <w:rPr>
          <w:rFonts w:eastAsia="Times New Roman" w:cs="Times New Roman"/>
          <w:b/>
          <w:bCs/>
          <w:rtl/>
          <w:lang w:eastAsia="de-DE"/>
        </w:rPr>
        <w:t>נִאֲצוּ</w:t>
      </w:r>
      <w:r w:rsidRPr="00067E3D">
        <w:rPr>
          <w:rFonts w:eastAsia="Times New Roman" w:cs="Times New Roman"/>
          <w:rtl/>
          <w:lang w:eastAsia="de-DE"/>
        </w:rPr>
        <w:t xml:space="preserve"> </w:t>
      </w:r>
      <w:r w:rsidRPr="00067E3D">
        <w:rPr>
          <w:rFonts w:eastAsia="Times New Roman" w:cs="Times New Roman"/>
          <w:lang w:eastAsia="de-DE"/>
        </w:rPr>
        <w:t xml:space="preserve">(Piel Perfekt, 3. c. pl. von </w:t>
      </w:r>
      <w:r w:rsidRPr="00067E3D">
        <w:rPr>
          <w:rFonts w:eastAsia="Times New Roman" w:cs="Times New Roman"/>
          <w:b/>
          <w:bCs/>
          <w:rtl/>
          <w:lang w:eastAsia="de-DE"/>
        </w:rPr>
        <w:t>נאץ</w:t>
      </w:r>
      <w:r w:rsidRPr="00067E3D">
        <w:rPr>
          <w:rFonts w:eastAsia="Times New Roman" w:cs="Times New Roman"/>
          <w:lang w:eastAsia="de-DE"/>
        </w:rPr>
        <w:t xml:space="preserve">) bedeutet „sie haben verschmäht, verachtet, gelästert". Die Piel-Form hat intensive Bedeutung. Das Subjekt </w:t>
      </w:r>
      <w:r w:rsidRPr="00067E3D">
        <w:rPr>
          <w:rFonts w:eastAsia="Times New Roman" w:cs="Times New Roman"/>
          <w:b/>
          <w:bCs/>
          <w:rtl/>
          <w:lang w:eastAsia="de-DE"/>
        </w:rPr>
        <w:t>הָאֲנָשִׁים הָאֵלֶּה</w:t>
      </w:r>
      <w:r w:rsidRPr="00067E3D">
        <w:rPr>
          <w:rFonts w:eastAsia="Times New Roman" w:cs="Times New Roman"/>
          <w:rtl/>
          <w:lang w:eastAsia="de-DE"/>
        </w:rPr>
        <w:t xml:space="preserve"> </w:t>
      </w:r>
      <w:r w:rsidRPr="00067E3D">
        <w:rPr>
          <w:rFonts w:eastAsia="Times New Roman" w:cs="Times New Roman"/>
          <w:lang w:eastAsia="de-DE"/>
        </w:rPr>
        <w:t xml:space="preserve">ist „diese Männer" (mit Demonstrativpronomen). Das Objekt </w:t>
      </w:r>
      <w:r w:rsidRPr="00067E3D">
        <w:rPr>
          <w:rFonts w:eastAsia="Times New Roman" w:cs="Times New Roman"/>
          <w:b/>
          <w:bCs/>
          <w:rtl/>
          <w:lang w:eastAsia="de-DE"/>
        </w:rPr>
        <w:t>אֶת־יְהוָה</w:t>
      </w:r>
      <w:r w:rsidRPr="00067E3D">
        <w:rPr>
          <w:rFonts w:eastAsia="Times New Roman" w:cs="Times New Roman"/>
          <w:rtl/>
          <w:lang w:eastAsia="de-DE"/>
        </w:rPr>
        <w:t xml:space="preserve"> </w:t>
      </w:r>
      <w:r w:rsidRPr="00067E3D">
        <w:rPr>
          <w:rFonts w:eastAsia="Times New Roman" w:cs="Times New Roman"/>
          <w:lang w:eastAsia="de-DE"/>
        </w:rPr>
        <w:t>ist das Tetragramm mit Objektpartikel.</w:t>
      </w:r>
    </w:p>
    <w:p w14:paraId="433AD4D3" w14:textId="2E7F724A"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 xml:space="preserve">Die </w:t>
      </w:r>
      <w:r w:rsidR="000039C6">
        <w:t>fügt „ἐν φάσματι δείξει κύριος" (in einer Erscheinung wird der Herr zeigen) hinzu und übersetzt „</w:t>
      </w:r>
      <w:r w:rsidR="000039C6" w:rsidRPr="000039C6">
        <w:rPr>
          <w:b/>
          <w:bCs/>
          <w:rtl/>
        </w:rPr>
        <w:t>שְׁאֹלָה</w:t>
      </w:r>
      <w:r w:rsidR="000039C6">
        <w:t>" (Scheol) mit „ᾅδου" (Hades), die griechische Entsprechung der Unterwelt.</w:t>
      </w:r>
    </w:p>
    <w:p w14:paraId="430377FF"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Die Satzstruktur zeigt einen komplexen Konditionalsatz: Der Vordersatz enthält eine konditionale Konjunktion mit einem ersten Verb (figura etymologica mit Objekt und Subjekt), gefolgt von vier koordinierten Weqatal-Verben mit ihren jeweiligen Ergänzungen. Der Nachsatz ist ein Hauptsatz mit Weqatal-Verb, gefolgt von einem durch kausale Konjunktion eingeleiteten Nebensatz (Inhaltssatz) mit Verb, Subjekt und Objekt. Insgesamt gibt es einen Nebensatz (Konditionalsatz) mit eingebettetem Nebensatz (Inhaltssatz im Nachsatz).</w:t>
      </w:r>
    </w:p>
    <w:p w14:paraId="771F4734"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lastRenderedPageBreak/>
        <w:t>Der Vers formuliert die dramatische Alternative: Wenn Gott ein beispielloses Wunder wirkt und die Rebellen lebendig verschlingt, wird dies beweisen, dass sie Gott gelästert haben und Mose wirklich sein Gesandter ist.</w:t>
      </w:r>
    </w:p>
    <w:p w14:paraId="05FB805E" w14:textId="77777777" w:rsidR="00067E3D" w:rsidRPr="00067E3D" w:rsidRDefault="00067E3D" w:rsidP="00067E3D">
      <w:pPr>
        <w:spacing w:before="100" w:beforeAutospacing="1" w:after="100" w:afterAutospacing="1" w:line="240" w:lineRule="auto"/>
        <w:outlineLvl w:val="0"/>
        <w:rPr>
          <w:rFonts w:eastAsia="Times New Roman" w:cs="Times New Roman"/>
          <w:b/>
          <w:bCs/>
          <w:kern w:val="36"/>
          <w:sz w:val="48"/>
          <w:szCs w:val="48"/>
          <w:lang w:eastAsia="de-DE"/>
        </w:rPr>
      </w:pPr>
      <w:r w:rsidRPr="00067E3D">
        <w:rPr>
          <w:rFonts w:eastAsia="Times New Roman" w:cs="Times New Roman"/>
          <w:b/>
          <w:bCs/>
          <w:kern w:val="36"/>
          <w:sz w:val="48"/>
          <w:szCs w:val="48"/>
          <w:lang w:eastAsia="de-DE"/>
        </w:rPr>
        <w:t>Numeri 16,31</w:t>
      </w:r>
    </w:p>
    <w:p w14:paraId="1C784DF9"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Hebräisch:</w:t>
      </w:r>
      <w:r w:rsidRPr="00067E3D">
        <w:rPr>
          <w:rFonts w:eastAsia="Times New Roman" w:cs="Times New Roman"/>
          <w:lang w:eastAsia="de-DE"/>
        </w:rPr>
        <w:t xml:space="preserve"> </w:t>
      </w:r>
      <w:r w:rsidRPr="00067E3D">
        <w:rPr>
          <w:rFonts w:eastAsia="Times New Roman" w:cs="Times New Roman"/>
          <w:rtl/>
          <w:lang w:eastAsia="de-DE"/>
        </w:rPr>
        <w:t>וַיְהִי֙ כְּכַלֹּתוֹ֔ לְדַבֵּ֕ר אֵ֥ת כָּל־הַדְּבָרִ֖ים הָאֵ֑לֶּה וַתִּבָּקַ֥ע הָאֲדָמָ֖ה אֲשֶׁ֥ר תַּחְתֵּיהֶֽם׃</w:t>
      </w:r>
    </w:p>
    <w:p w14:paraId="4E54094C"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Deutsch:</w:t>
      </w:r>
      <w:r w:rsidRPr="00067E3D">
        <w:rPr>
          <w:rFonts w:eastAsia="Times New Roman" w:cs="Times New Roman"/>
          <w:lang w:eastAsia="de-DE"/>
        </w:rPr>
        <w:t xml:space="preserve"> Und es geschah, als er alle diese Worte ausgeredet hatte, da spaltete sich der Erdboden, der unter ihnen war,</w:t>
      </w:r>
    </w:p>
    <w:p w14:paraId="08F57929" w14:textId="77777777" w:rsidR="00067E3D" w:rsidRPr="00067E3D" w:rsidRDefault="00F329DD" w:rsidP="00067E3D">
      <w:pPr>
        <w:spacing w:after="0" w:line="240" w:lineRule="auto"/>
        <w:rPr>
          <w:rFonts w:eastAsia="Times New Roman" w:cs="Times New Roman"/>
          <w:lang w:eastAsia="de-DE"/>
        </w:rPr>
      </w:pPr>
      <w:r>
        <w:rPr>
          <w:rFonts w:eastAsia="Times New Roman" w:cs="Times New Roman"/>
          <w:noProof/>
          <w:lang w:eastAsia="de-DE"/>
        </w:rPr>
        <w:pict w14:anchorId="533AD0E1">
          <v:rect id="_x0000_i1569" style="width:0;height:1.5pt" o:hralign="center" o:hrstd="t" o:hr="t" fillcolor="#a0a0a0" stroked="f"/>
        </w:pict>
      </w:r>
    </w:p>
    <w:p w14:paraId="4C35D77C"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Kommentar:</w:t>
      </w:r>
      <w:r w:rsidRPr="00067E3D">
        <w:rPr>
          <w:rFonts w:eastAsia="Times New Roman" w:cs="Times New Roman"/>
          <w:lang w:eastAsia="de-DE"/>
        </w:rPr>
        <w:t xml:space="preserve"> Die Formel </w:t>
      </w:r>
      <w:r w:rsidRPr="00067E3D">
        <w:rPr>
          <w:rFonts w:eastAsia="Times New Roman" w:cs="Times New Roman"/>
          <w:b/>
          <w:bCs/>
          <w:rtl/>
          <w:lang w:eastAsia="de-DE"/>
        </w:rPr>
        <w:t>וַיְהִי</w:t>
      </w:r>
      <w:r w:rsidRPr="00067E3D">
        <w:rPr>
          <w:rFonts w:eastAsia="Times New Roman" w:cs="Times New Roman"/>
          <w:rtl/>
          <w:lang w:eastAsia="de-DE"/>
        </w:rPr>
        <w:t xml:space="preserve"> </w:t>
      </w:r>
      <w:r w:rsidRPr="00067E3D">
        <w:rPr>
          <w:rFonts w:eastAsia="Times New Roman" w:cs="Times New Roman"/>
          <w:lang w:eastAsia="de-DE"/>
        </w:rPr>
        <w:t xml:space="preserve">(Wayyiqtol, 3. m. sg. von </w:t>
      </w:r>
      <w:r w:rsidRPr="00067E3D">
        <w:rPr>
          <w:rFonts w:eastAsia="Times New Roman" w:cs="Times New Roman"/>
          <w:b/>
          <w:bCs/>
          <w:rtl/>
          <w:lang w:eastAsia="de-DE"/>
        </w:rPr>
        <w:t>היה</w:t>
      </w:r>
      <w:r w:rsidRPr="00067E3D">
        <w:rPr>
          <w:rFonts w:eastAsia="Times New Roman" w:cs="Times New Roman"/>
          <w:lang w:eastAsia="de-DE"/>
        </w:rPr>
        <w:t xml:space="preserve">) bedeutet „und es geschah" und ist eine stehende Wendung zur Einleitung bedeutsamer Ereignisse. Die Präposition </w:t>
      </w:r>
      <w:r w:rsidRPr="00067E3D">
        <w:rPr>
          <w:rFonts w:eastAsia="Times New Roman" w:cs="Times New Roman"/>
          <w:b/>
          <w:bCs/>
          <w:rtl/>
          <w:lang w:eastAsia="de-DE"/>
        </w:rPr>
        <w:t>כְּכַלֹּתוֹ</w:t>
      </w:r>
      <w:r w:rsidRPr="00067E3D">
        <w:rPr>
          <w:rFonts w:eastAsia="Times New Roman" w:cs="Times New Roman"/>
          <w:rtl/>
          <w:lang w:eastAsia="de-DE"/>
        </w:rPr>
        <w:t xml:space="preserve"> </w:t>
      </w:r>
      <w:r w:rsidRPr="00067E3D">
        <w:rPr>
          <w:rFonts w:eastAsia="Times New Roman" w:cs="Times New Roman"/>
          <w:lang w:eastAsia="de-DE"/>
        </w:rPr>
        <w:t xml:space="preserve">ist eine zusammengesetzte Form aus </w:t>
      </w:r>
      <w:r w:rsidRPr="00067E3D">
        <w:rPr>
          <w:rFonts w:eastAsia="Times New Roman" w:cs="Times New Roman"/>
          <w:b/>
          <w:bCs/>
          <w:rtl/>
          <w:lang w:eastAsia="de-DE"/>
        </w:rPr>
        <w:t>כְּ</w:t>
      </w:r>
      <w:r w:rsidRPr="00067E3D">
        <w:rPr>
          <w:rFonts w:eastAsia="Times New Roman" w:cs="Times New Roman"/>
          <w:rtl/>
          <w:lang w:eastAsia="de-DE"/>
        </w:rPr>
        <w:t xml:space="preserve"> </w:t>
      </w:r>
      <w:r w:rsidRPr="00067E3D">
        <w:rPr>
          <w:rFonts w:eastAsia="Times New Roman" w:cs="Times New Roman"/>
          <w:lang w:eastAsia="de-DE"/>
        </w:rPr>
        <w:t xml:space="preserve">(„als, wenn"), dem Piel Infinitiv construct von </w:t>
      </w:r>
      <w:r w:rsidRPr="00067E3D">
        <w:rPr>
          <w:rFonts w:eastAsia="Times New Roman" w:cs="Times New Roman"/>
          <w:b/>
          <w:bCs/>
          <w:rtl/>
          <w:lang w:eastAsia="de-DE"/>
        </w:rPr>
        <w:t>כלה</w:t>
      </w:r>
      <w:r w:rsidRPr="00067E3D">
        <w:rPr>
          <w:rFonts w:eastAsia="Times New Roman" w:cs="Times New Roman"/>
          <w:rtl/>
          <w:lang w:eastAsia="de-DE"/>
        </w:rPr>
        <w:t xml:space="preserve"> </w:t>
      </w:r>
      <w:r w:rsidRPr="00067E3D">
        <w:rPr>
          <w:rFonts w:eastAsia="Times New Roman" w:cs="Times New Roman"/>
          <w:lang w:eastAsia="de-DE"/>
        </w:rPr>
        <w:t xml:space="preserve">(„beenden, vollenden") und dem Possessivsuffix 3. m. sg., zusammen „als er beendet hatte". Der finale Infinitiv </w:t>
      </w:r>
      <w:r w:rsidRPr="00067E3D">
        <w:rPr>
          <w:rFonts w:eastAsia="Times New Roman" w:cs="Times New Roman"/>
          <w:b/>
          <w:bCs/>
          <w:rtl/>
          <w:lang w:eastAsia="de-DE"/>
        </w:rPr>
        <w:t>לְדַבֵּר</w:t>
      </w:r>
      <w:r w:rsidRPr="00067E3D">
        <w:rPr>
          <w:rFonts w:eastAsia="Times New Roman" w:cs="Times New Roman"/>
          <w:rtl/>
          <w:lang w:eastAsia="de-DE"/>
        </w:rPr>
        <w:t xml:space="preserve"> </w:t>
      </w:r>
      <w:r w:rsidRPr="00067E3D">
        <w:rPr>
          <w:rFonts w:eastAsia="Times New Roman" w:cs="Times New Roman"/>
          <w:lang w:eastAsia="de-DE"/>
        </w:rPr>
        <w:t xml:space="preserve">(Piel Infinitiv construct von </w:t>
      </w:r>
      <w:r w:rsidRPr="00067E3D">
        <w:rPr>
          <w:rFonts w:eastAsia="Times New Roman" w:cs="Times New Roman"/>
          <w:b/>
          <w:bCs/>
          <w:rtl/>
          <w:lang w:eastAsia="de-DE"/>
        </w:rPr>
        <w:t>דבר</w:t>
      </w:r>
      <w:r w:rsidRPr="00067E3D">
        <w:rPr>
          <w:rFonts w:eastAsia="Times New Roman" w:cs="Times New Roman"/>
          <w:rtl/>
          <w:lang w:eastAsia="de-DE"/>
        </w:rPr>
        <w:t xml:space="preserve"> </w:t>
      </w:r>
      <w:r w:rsidRPr="00067E3D">
        <w:rPr>
          <w:rFonts w:eastAsia="Times New Roman" w:cs="Times New Roman"/>
          <w:lang w:eastAsia="de-DE"/>
        </w:rPr>
        <w:t xml:space="preserve">mit </w:t>
      </w:r>
      <w:r w:rsidRPr="00067E3D">
        <w:rPr>
          <w:rFonts w:eastAsia="Times New Roman" w:cs="Times New Roman"/>
          <w:b/>
          <w:bCs/>
          <w:rtl/>
          <w:lang w:eastAsia="de-DE"/>
        </w:rPr>
        <w:t>לְ</w:t>
      </w:r>
      <w:r w:rsidRPr="00067E3D">
        <w:rPr>
          <w:rFonts w:eastAsia="Times New Roman" w:cs="Times New Roman"/>
          <w:lang w:eastAsia="de-DE"/>
        </w:rPr>
        <w:t xml:space="preserve">) bedeutet „zu reden". Das Objekt </w:t>
      </w:r>
      <w:r w:rsidRPr="00067E3D">
        <w:rPr>
          <w:rFonts w:eastAsia="Times New Roman" w:cs="Times New Roman"/>
          <w:b/>
          <w:bCs/>
          <w:rtl/>
          <w:lang w:eastAsia="de-DE"/>
        </w:rPr>
        <w:t>אֵת כָּל־הַדְּבָרִים הָאֵלֶּה</w:t>
      </w:r>
      <w:r w:rsidRPr="00067E3D">
        <w:rPr>
          <w:rFonts w:eastAsia="Times New Roman" w:cs="Times New Roman"/>
          <w:rtl/>
          <w:lang w:eastAsia="de-DE"/>
        </w:rPr>
        <w:t xml:space="preserve"> </w:t>
      </w:r>
      <w:r w:rsidRPr="00067E3D">
        <w:rPr>
          <w:rFonts w:eastAsia="Times New Roman" w:cs="Times New Roman"/>
          <w:lang w:eastAsia="de-DE"/>
        </w:rPr>
        <w:t xml:space="preserve">besteht aus der Objektpartikel, </w:t>
      </w:r>
      <w:r w:rsidRPr="00067E3D">
        <w:rPr>
          <w:rFonts w:eastAsia="Times New Roman" w:cs="Times New Roman"/>
          <w:b/>
          <w:bCs/>
          <w:rtl/>
          <w:lang w:eastAsia="de-DE"/>
        </w:rPr>
        <w:t>כָּל</w:t>
      </w:r>
      <w:r w:rsidRPr="00067E3D">
        <w:rPr>
          <w:rFonts w:eastAsia="Times New Roman" w:cs="Times New Roman"/>
          <w:rtl/>
          <w:lang w:eastAsia="de-DE"/>
        </w:rPr>
        <w:t xml:space="preserve"> </w:t>
      </w:r>
      <w:r w:rsidRPr="00067E3D">
        <w:rPr>
          <w:rFonts w:eastAsia="Times New Roman" w:cs="Times New Roman"/>
          <w:lang w:eastAsia="de-DE"/>
        </w:rPr>
        <w:t xml:space="preserve">im Constructus, </w:t>
      </w:r>
      <w:r w:rsidRPr="00067E3D">
        <w:rPr>
          <w:rFonts w:eastAsia="Times New Roman" w:cs="Times New Roman"/>
          <w:b/>
          <w:bCs/>
          <w:rtl/>
          <w:lang w:eastAsia="de-DE"/>
        </w:rPr>
        <w:t>הַדְּבָרִים</w:t>
      </w:r>
      <w:r w:rsidRPr="00067E3D">
        <w:rPr>
          <w:rFonts w:eastAsia="Times New Roman" w:cs="Times New Roman"/>
          <w:rtl/>
          <w:lang w:eastAsia="de-DE"/>
        </w:rPr>
        <w:t xml:space="preserve"> </w:t>
      </w:r>
      <w:r w:rsidRPr="00067E3D">
        <w:rPr>
          <w:rFonts w:eastAsia="Times New Roman" w:cs="Times New Roman"/>
          <w:lang w:eastAsia="de-DE"/>
        </w:rPr>
        <w:t xml:space="preserve">(„die Worte", Plural von </w:t>
      </w:r>
      <w:r w:rsidRPr="00067E3D">
        <w:rPr>
          <w:rFonts w:eastAsia="Times New Roman" w:cs="Times New Roman"/>
          <w:b/>
          <w:bCs/>
          <w:rtl/>
          <w:lang w:eastAsia="de-DE"/>
        </w:rPr>
        <w:t>דָּבָר</w:t>
      </w:r>
      <w:r w:rsidRPr="00067E3D">
        <w:rPr>
          <w:rFonts w:eastAsia="Times New Roman" w:cs="Times New Roman"/>
          <w:lang w:eastAsia="de-DE"/>
        </w:rPr>
        <w:t xml:space="preserve">) und dem Demonstrativpronomen </w:t>
      </w:r>
      <w:r w:rsidRPr="00067E3D">
        <w:rPr>
          <w:rFonts w:eastAsia="Times New Roman" w:cs="Times New Roman"/>
          <w:b/>
          <w:bCs/>
          <w:rtl/>
          <w:lang w:eastAsia="de-DE"/>
        </w:rPr>
        <w:t>הָאֵלֶּה</w:t>
      </w:r>
      <w:r w:rsidRPr="00067E3D">
        <w:rPr>
          <w:rFonts w:eastAsia="Times New Roman" w:cs="Times New Roman"/>
          <w:rtl/>
          <w:lang w:eastAsia="de-DE"/>
        </w:rPr>
        <w:t xml:space="preserve"> </w:t>
      </w:r>
      <w:r w:rsidRPr="00067E3D">
        <w:rPr>
          <w:rFonts w:eastAsia="Times New Roman" w:cs="Times New Roman"/>
          <w:lang w:eastAsia="de-DE"/>
        </w:rPr>
        <w:t>(„diese").</w:t>
      </w:r>
    </w:p>
    <w:p w14:paraId="489895B9"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Das koordinierte Verb </w:t>
      </w:r>
      <w:r w:rsidRPr="00067E3D">
        <w:rPr>
          <w:rFonts w:eastAsia="Times New Roman" w:cs="Times New Roman"/>
          <w:b/>
          <w:bCs/>
          <w:rtl/>
          <w:lang w:eastAsia="de-DE"/>
        </w:rPr>
        <w:t>וַתִּבָּקַע</w:t>
      </w:r>
      <w:r w:rsidRPr="00067E3D">
        <w:rPr>
          <w:rFonts w:eastAsia="Times New Roman" w:cs="Times New Roman"/>
          <w:rtl/>
          <w:lang w:eastAsia="de-DE"/>
        </w:rPr>
        <w:t xml:space="preserve"> </w:t>
      </w:r>
      <w:r w:rsidRPr="00067E3D">
        <w:rPr>
          <w:rFonts w:eastAsia="Times New Roman" w:cs="Times New Roman"/>
          <w:lang w:eastAsia="de-DE"/>
        </w:rPr>
        <w:t xml:space="preserve">(Wayyiqtol, 3. f. sg. von </w:t>
      </w:r>
      <w:r w:rsidRPr="00067E3D">
        <w:rPr>
          <w:rFonts w:eastAsia="Times New Roman" w:cs="Times New Roman"/>
          <w:b/>
          <w:bCs/>
          <w:rtl/>
          <w:lang w:eastAsia="de-DE"/>
        </w:rPr>
        <w:t>בקע</w:t>
      </w:r>
      <w:r w:rsidRPr="00067E3D">
        <w:rPr>
          <w:rFonts w:eastAsia="Times New Roman" w:cs="Times New Roman"/>
          <w:rtl/>
          <w:lang w:eastAsia="de-DE"/>
        </w:rPr>
        <w:t xml:space="preserve"> </w:t>
      </w:r>
      <w:r w:rsidRPr="00067E3D">
        <w:rPr>
          <w:rFonts w:eastAsia="Times New Roman" w:cs="Times New Roman"/>
          <w:lang w:eastAsia="de-DE"/>
        </w:rPr>
        <w:t xml:space="preserve">Nifal) bedeutet „und sie spaltete sich". Die Nifal-Form hat reflexive oder passive Bedeutung. </w:t>
      </w:r>
      <w:r w:rsidRPr="00067E3D">
        <w:rPr>
          <w:rFonts w:eastAsia="Times New Roman" w:cs="Times New Roman"/>
          <w:b/>
          <w:bCs/>
          <w:rtl/>
          <w:lang w:eastAsia="de-DE"/>
        </w:rPr>
        <w:t>הָאֲדָמָה</w:t>
      </w:r>
      <w:r w:rsidRPr="00067E3D">
        <w:rPr>
          <w:rFonts w:eastAsia="Times New Roman" w:cs="Times New Roman"/>
          <w:rtl/>
          <w:lang w:eastAsia="de-DE"/>
        </w:rPr>
        <w:t xml:space="preserve"> </w:t>
      </w:r>
      <w:r w:rsidRPr="00067E3D">
        <w:rPr>
          <w:rFonts w:eastAsia="Times New Roman" w:cs="Times New Roman"/>
          <w:lang w:eastAsia="de-DE"/>
        </w:rPr>
        <w:t xml:space="preserve">(„der Erdboden") ist das Subjekt. Der Relativsatz </w:t>
      </w:r>
      <w:r w:rsidRPr="00067E3D">
        <w:rPr>
          <w:rFonts w:eastAsia="Times New Roman" w:cs="Times New Roman"/>
          <w:b/>
          <w:bCs/>
          <w:rtl/>
          <w:lang w:eastAsia="de-DE"/>
        </w:rPr>
        <w:t>אֲשֶׁר תַּחְתֵּיהֶם</w:t>
      </w:r>
      <w:r w:rsidRPr="00067E3D">
        <w:rPr>
          <w:rFonts w:eastAsia="Times New Roman" w:cs="Times New Roman"/>
          <w:rtl/>
          <w:lang w:eastAsia="de-DE"/>
        </w:rPr>
        <w:t xml:space="preserve"> </w:t>
      </w:r>
      <w:r w:rsidRPr="00067E3D">
        <w:rPr>
          <w:rFonts w:eastAsia="Times New Roman" w:cs="Times New Roman"/>
          <w:lang w:eastAsia="de-DE"/>
        </w:rPr>
        <w:t xml:space="preserve">spezifiziert näher: </w:t>
      </w:r>
      <w:r w:rsidRPr="00067E3D">
        <w:rPr>
          <w:rFonts w:eastAsia="Times New Roman" w:cs="Times New Roman"/>
          <w:b/>
          <w:bCs/>
          <w:rtl/>
          <w:lang w:eastAsia="de-DE"/>
        </w:rPr>
        <w:t>אֲשֶׁר</w:t>
      </w:r>
      <w:r w:rsidRPr="00067E3D">
        <w:rPr>
          <w:rFonts w:eastAsia="Times New Roman" w:cs="Times New Roman"/>
          <w:rtl/>
          <w:lang w:eastAsia="de-DE"/>
        </w:rPr>
        <w:t xml:space="preserve"> </w:t>
      </w:r>
      <w:r w:rsidRPr="00067E3D">
        <w:rPr>
          <w:rFonts w:eastAsia="Times New Roman" w:cs="Times New Roman"/>
          <w:lang w:eastAsia="de-DE"/>
        </w:rPr>
        <w:t xml:space="preserve">ist das Relativpronomen, </w:t>
      </w:r>
      <w:r w:rsidRPr="00067E3D">
        <w:rPr>
          <w:rFonts w:eastAsia="Times New Roman" w:cs="Times New Roman"/>
          <w:b/>
          <w:bCs/>
          <w:rtl/>
          <w:lang w:eastAsia="de-DE"/>
        </w:rPr>
        <w:t>תַּחְתֵּיהֶם</w:t>
      </w:r>
      <w:r w:rsidRPr="00067E3D">
        <w:rPr>
          <w:rFonts w:eastAsia="Times New Roman" w:cs="Times New Roman"/>
          <w:rtl/>
          <w:lang w:eastAsia="de-DE"/>
        </w:rPr>
        <w:t xml:space="preserve"> </w:t>
      </w:r>
      <w:r w:rsidRPr="00067E3D">
        <w:rPr>
          <w:rFonts w:eastAsia="Times New Roman" w:cs="Times New Roman"/>
          <w:lang w:eastAsia="de-DE"/>
        </w:rPr>
        <w:t xml:space="preserve">ist die Präposition </w:t>
      </w:r>
      <w:r w:rsidRPr="00067E3D">
        <w:rPr>
          <w:rFonts w:eastAsia="Times New Roman" w:cs="Times New Roman"/>
          <w:b/>
          <w:bCs/>
          <w:rtl/>
          <w:lang w:eastAsia="de-DE"/>
        </w:rPr>
        <w:t>תַּחַת</w:t>
      </w:r>
      <w:r w:rsidRPr="00067E3D">
        <w:rPr>
          <w:rFonts w:eastAsia="Times New Roman" w:cs="Times New Roman"/>
          <w:rtl/>
          <w:lang w:eastAsia="de-DE"/>
        </w:rPr>
        <w:t xml:space="preserve"> </w:t>
      </w:r>
      <w:r w:rsidRPr="00067E3D">
        <w:rPr>
          <w:rFonts w:eastAsia="Times New Roman" w:cs="Times New Roman"/>
          <w:lang w:eastAsia="de-DE"/>
        </w:rPr>
        <w:t>(„unter") mit Possessivsuffix 3. m. pl., zusammen „der unter ihnen war".</w:t>
      </w:r>
    </w:p>
    <w:p w14:paraId="20B4C6B5" w14:textId="4BE759A2"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Die LXX</w:t>
      </w:r>
      <w:r w:rsidRPr="00067E3D">
        <w:rPr>
          <w:rFonts w:eastAsia="Times New Roman" w:cs="Times New Roman"/>
          <w:lang w:eastAsia="de-DE"/>
        </w:rPr>
        <w:t xml:space="preserve"> übersetzt </w:t>
      </w:r>
      <w:r w:rsidRPr="00067E3D">
        <w:rPr>
          <w:rFonts w:eastAsia="Times New Roman" w:cs="Times New Roman"/>
          <w:b/>
          <w:bCs/>
          <w:rtl/>
          <w:lang w:eastAsia="de-DE"/>
        </w:rPr>
        <w:t>וַיְהִי כְּכַלֹּתוֹ לְדַבֵּר אֵת כָּל־הַדְּבָרִים הָאֵלֶּה</w:t>
      </w:r>
      <w:r w:rsidRPr="00067E3D">
        <w:rPr>
          <w:rFonts w:eastAsia="Times New Roman" w:cs="Times New Roman"/>
          <w:rtl/>
          <w:lang w:eastAsia="de-DE"/>
        </w:rPr>
        <w:t xml:space="preserve"> </w:t>
      </w:r>
      <w:r w:rsidRPr="00067E3D">
        <w:rPr>
          <w:rFonts w:eastAsia="Times New Roman" w:cs="Times New Roman"/>
          <w:lang w:eastAsia="de-DE"/>
        </w:rPr>
        <w:t xml:space="preserve">mit ὡς δὲ ἐπαύσατο λαλῶν πάντας τοὺς λόγους τούτους („als er aber aufhörte, all diese Worte zu reden"). </w:t>
      </w:r>
      <w:r w:rsidRPr="00067E3D">
        <w:rPr>
          <w:rFonts w:eastAsia="Times New Roman" w:cs="Times New Roman"/>
          <w:b/>
          <w:bCs/>
          <w:rtl/>
          <w:lang w:eastAsia="de-DE"/>
        </w:rPr>
        <w:t>וַתִּבָּקַע הָאֲדָמָה אֲשֶׁר תַּחְתֵּיהֶם</w:t>
      </w:r>
      <w:r w:rsidRPr="00067E3D">
        <w:rPr>
          <w:rFonts w:eastAsia="Times New Roman" w:cs="Times New Roman"/>
          <w:rtl/>
          <w:lang w:eastAsia="de-DE"/>
        </w:rPr>
        <w:t xml:space="preserve"> </w:t>
      </w:r>
      <w:r w:rsidRPr="00067E3D">
        <w:rPr>
          <w:rFonts w:eastAsia="Times New Roman" w:cs="Times New Roman"/>
          <w:lang w:eastAsia="de-DE"/>
        </w:rPr>
        <w:t>wird mit ἐρράγη ἡ γῆ ὑποκάτω αὐτῶν („spaltete sich die Erde unter ihnen") wiedergegeben.</w:t>
      </w:r>
    </w:p>
    <w:p w14:paraId="5237C1D4"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Die Satzstruktur zeigt einen Hauptsatz mit der Formel und einer temporalen Infinitivkonstruktion (Nebensatz) mit finalem Infinitiv und Objekt. Ein zweiter Hauptsatz folgt mit Verb, Subjekt und Relativsatz zur näheren Bestimmung. Insgesamt gibt es zwei Nebensätze: einen temporalen Infinitivsatz und einen Relativsatz.</w:t>
      </w:r>
    </w:p>
    <w:p w14:paraId="4013C512"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Der Vers markiert den dramatischen Moment: Unmittelbar nach Moses Worten tritt das angekündigte Wunder ein.</w:t>
      </w:r>
    </w:p>
    <w:p w14:paraId="517C2253" w14:textId="77777777" w:rsidR="00067E3D" w:rsidRPr="00067E3D" w:rsidRDefault="00067E3D" w:rsidP="00067E3D">
      <w:pPr>
        <w:spacing w:before="100" w:beforeAutospacing="1" w:after="100" w:afterAutospacing="1" w:line="240" w:lineRule="auto"/>
        <w:outlineLvl w:val="0"/>
        <w:rPr>
          <w:rFonts w:eastAsia="Times New Roman" w:cs="Times New Roman"/>
          <w:b/>
          <w:bCs/>
          <w:kern w:val="36"/>
          <w:sz w:val="48"/>
          <w:szCs w:val="48"/>
          <w:lang w:eastAsia="de-DE"/>
        </w:rPr>
      </w:pPr>
      <w:r w:rsidRPr="00067E3D">
        <w:rPr>
          <w:rFonts w:eastAsia="Times New Roman" w:cs="Times New Roman"/>
          <w:b/>
          <w:bCs/>
          <w:kern w:val="36"/>
          <w:sz w:val="48"/>
          <w:szCs w:val="48"/>
          <w:lang w:eastAsia="de-DE"/>
        </w:rPr>
        <w:t>Numeri 16,32</w:t>
      </w:r>
    </w:p>
    <w:p w14:paraId="223D9B60"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Hebräisch:</w:t>
      </w:r>
      <w:r w:rsidRPr="00067E3D">
        <w:rPr>
          <w:rFonts w:eastAsia="Times New Roman" w:cs="Times New Roman"/>
          <w:lang w:eastAsia="de-DE"/>
        </w:rPr>
        <w:t xml:space="preserve"> </w:t>
      </w:r>
      <w:r w:rsidRPr="00067E3D">
        <w:rPr>
          <w:rFonts w:eastAsia="Times New Roman" w:cs="Times New Roman"/>
          <w:rtl/>
          <w:lang w:eastAsia="de-DE"/>
        </w:rPr>
        <w:t>וַתִּפְתַּ֤ח הָאָ֨רֶץ֙ אֶת־פִּ֔יהָ וַתִּבְלַ֥ע אֹתָ֖ם וְאֶת־בָּתֵּיהֶ֑ם וְאֵ֤ת כָּל־הָאָדָם֙ אֲשֶׁ֣ר לְקֹ֔רַח וְאֵ֖ת כָּל־הָרֲכֽוּשׁ׃</w:t>
      </w:r>
    </w:p>
    <w:p w14:paraId="307E87D2"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Deutsch:</w:t>
      </w:r>
      <w:r w:rsidRPr="00067E3D">
        <w:rPr>
          <w:rFonts w:eastAsia="Times New Roman" w:cs="Times New Roman"/>
          <w:lang w:eastAsia="de-DE"/>
        </w:rPr>
        <w:t xml:space="preserve"> Und die Erde öffnete ihren Mund und verschlang sie und ihre Häuser und alle Menschen, die zu Korach gehörten, und die ganze Habe.</w:t>
      </w:r>
    </w:p>
    <w:p w14:paraId="012D43E2" w14:textId="77777777" w:rsidR="00067E3D" w:rsidRPr="00067E3D" w:rsidRDefault="00F329DD" w:rsidP="00067E3D">
      <w:pPr>
        <w:spacing w:after="0" w:line="240" w:lineRule="auto"/>
        <w:rPr>
          <w:rFonts w:eastAsia="Times New Roman" w:cs="Times New Roman"/>
          <w:lang w:eastAsia="de-DE"/>
        </w:rPr>
      </w:pPr>
      <w:r>
        <w:rPr>
          <w:rFonts w:eastAsia="Times New Roman" w:cs="Times New Roman"/>
          <w:noProof/>
          <w:lang w:eastAsia="de-DE"/>
        </w:rPr>
        <w:pict w14:anchorId="126C16CB">
          <v:rect id="_x0000_i1570" style="width:0;height:1.5pt" o:hralign="center" o:hrstd="t" o:hr="t" fillcolor="#a0a0a0" stroked="f"/>
        </w:pict>
      </w:r>
    </w:p>
    <w:p w14:paraId="4091D83E"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lastRenderedPageBreak/>
        <w:t>Kommentar:</w:t>
      </w:r>
      <w:r w:rsidRPr="00067E3D">
        <w:rPr>
          <w:rFonts w:eastAsia="Times New Roman" w:cs="Times New Roman"/>
          <w:lang w:eastAsia="de-DE"/>
        </w:rPr>
        <w:t xml:space="preserve"> Das Verb </w:t>
      </w:r>
      <w:r w:rsidRPr="00067E3D">
        <w:rPr>
          <w:rFonts w:eastAsia="Times New Roman" w:cs="Times New Roman"/>
          <w:b/>
          <w:bCs/>
          <w:rtl/>
          <w:lang w:eastAsia="de-DE"/>
        </w:rPr>
        <w:t>וַתִּפְתַּח</w:t>
      </w:r>
      <w:r w:rsidRPr="00067E3D">
        <w:rPr>
          <w:rFonts w:eastAsia="Times New Roman" w:cs="Times New Roman"/>
          <w:rtl/>
          <w:lang w:eastAsia="de-DE"/>
        </w:rPr>
        <w:t xml:space="preserve"> </w:t>
      </w:r>
      <w:r w:rsidRPr="00067E3D">
        <w:rPr>
          <w:rFonts w:eastAsia="Times New Roman" w:cs="Times New Roman"/>
          <w:lang w:eastAsia="de-DE"/>
        </w:rPr>
        <w:t xml:space="preserve">(Wayyiqtol, 3. f. sg. von </w:t>
      </w:r>
      <w:r w:rsidRPr="00067E3D">
        <w:rPr>
          <w:rFonts w:eastAsia="Times New Roman" w:cs="Times New Roman"/>
          <w:b/>
          <w:bCs/>
          <w:rtl/>
          <w:lang w:eastAsia="de-DE"/>
        </w:rPr>
        <w:t>פתח</w:t>
      </w:r>
      <w:r w:rsidRPr="00067E3D">
        <w:rPr>
          <w:rFonts w:eastAsia="Times New Roman" w:cs="Times New Roman"/>
          <w:lang w:eastAsia="de-DE"/>
        </w:rPr>
        <w:t xml:space="preserve">) bedeutet „und sie öffnete". </w:t>
      </w:r>
      <w:r w:rsidRPr="00067E3D">
        <w:rPr>
          <w:rFonts w:eastAsia="Times New Roman" w:cs="Times New Roman"/>
          <w:b/>
          <w:bCs/>
          <w:rtl/>
          <w:lang w:eastAsia="de-DE"/>
        </w:rPr>
        <w:t>הָאָרֶץ</w:t>
      </w:r>
      <w:r w:rsidRPr="00067E3D">
        <w:rPr>
          <w:rFonts w:eastAsia="Times New Roman" w:cs="Times New Roman"/>
          <w:rtl/>
          <w:lang w:eastAsia="de-DE"/>
        </w:rPr>
        <w:t xml:space="preserve"> </w:t>
      </w:r>
      <w:r w:rsidRPr="00067E3D">
        <w:rPr>
          <w:rFonts w:eastAsia="Times New Roman" w:cs="Times New Roman"/>
          <w:lang w:eastAsia="de-DE"/>
        </w:rPr>
        <w:t xml:space="preserve">(„die Erde") ist das Subjekt. Das Objekt </w:t>
      </w:r>
      <w:r w:rsidRPr="00067E3D">
        <w:rPr>
          <w:rFonts w:eastAsia="Times New Roman" w:cs="Times New Roman"/>
          <w:b/>
          <w:bCs/>
          <w:rtl/>
          <w:lang w:eastAsia="de-DE"/>
        </w:rPr>
        <w:t>אֶת־פִּיהָ</w:t>
      </w:r>
      <w:r w:rsidRPr="00067E3D">
        <w:rPr>
          <w:rFonts w:eastAsia="Times New Roman" w:cs="Times New Roman"/>
          <w:rtl/>
          <w:lang w:eastAsia="de-DE"/>
        </w:rPr>
        <w:t xml:space="preserve"> </w:t>
      </w:r>
      <w:r w:rsidRPr="00067E3D">
        <w:rPr>
          <w:rFonts w:eastAsia="Times New Roman" w:cs="Times New Roman"/>
          <w:lang w:eastAsia="de-DE"/>
        </w:rPr>
        <w:t>ist „ihren Mund" (</w:t>
      </w:r>
      <w:r w:rsidRPr="00067E3D">
        <w:rPr>
          <w:rFonts w:eastAsia="Times New Roman" w:cs="Times New Roman"/>
          <w:b/>
          <w:bCs/>
          <w:rtl/>
          <w:lang w:eastAsia="de-DE"/>
        </w:rPr>
        <w:t>פֶּה</w:t>
      </w:r>
      <w:r w:rsidRPr="00067E3D">
        <w:rPr>
          <w:rFonts w:eastAsia="Times New Roman" w:cs="Times New Roman"/>
          <w:rtl/>
          <w:lang w:eastAsia="de-DE"/>
        </w:rPr>
        <w:t xml:space="preserve"> </w:t>
      </w:r>
      <w:r w:rsidRPr="00067E3D">
        <w:rPr>
          <w:rFonts w:eastAsia="Times New Roman" w:cs="Times New Roman"/>
          <w:lang w:eastAsia="de-DE"/>
        </w:rPr>
        <w:t xml:space="preserve">mit Possessivsuffix 3. f. sg.). Die Formulierung entspricht der Ankündigung in Vers 30, wo </w:t>
      </w:r>
      <w:r w:rsidRPr="00067E3D">
        <w:rPr>
          <w:rFonts w:eastAsia="Times New Roman" w:cs="Times New Roman"/>
          <w:b/>
          <w:bCs/>
          <w:rtl/>
          <w:lang w:eastAsia="de-DE"/>
        </w:rPr>
        <w:t>פצה</w:t>
      </w:r>
      <w:r w:rsidRPr="00067E3D">
        <w:rPr>
          <w:rFonts w:eastAsia="Times New Roman" w:cs="Times New Roman"/>
          <w:rtl/>
          <w:lang w:eastAsia="de-DE"/>
        </w:rPr>
        <w:t xml:space="preserve"> </w:t>
      </w:r>
      <w:r w:rsidRPr="00067E3D">
        <w:rPr>
          <w:rFonts w:eastAsia="Times New Roman" w:cs="Times New Roman"/>
          <w:lang w:eastAsia="de-DE"/>
        </w:rPr>
        <w:t xml:space="preserve">verwendet wurde; hier steht das synonyme </w:t>
      </w:r>
      <w:r w:rsidRPr="00067E3D">
        <w:rPr>
          <w:rFonts w:eastAsia="Times New Roman" w:cs="Times New Roman"/>
          <w:b/>
          <w:bCs/>
          <w:rtl/>
          <w:lang w:eastAsia="de-DE"/>
        </w:rPr>
        <w:t>פתח</w:t>
      </w:r>
      <w:r w:rsidRPr="00067E3D">
        <w:rPr>
          <w:rFonts w:eastAsia="Times New Roman" w:cs="Times New Roman"/>
          <w:lang w:eastAsia="de-DE"/>
        </w:rPr>
        <w:t>.</w:t>
      </w:r>
    </w:p>
    <w:p w14:paraId="3621A3A2"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Das koordinierte Verb </w:t>
      </w:r>
      <w:r w:rsidRPr="00067E3D">
        <w:rPr>
          <w:rFonts w:eastAsia="Times New Roman" w:cs="Times New Roman"/>
          <w:b/>
          <w:bCs/>
          <w:rtl/>
          <w:lang w:eastAsia="de-DE"/>
        </w:rPr>
        <w:t>וַתִּבְלַע</w:t>
      </w:r>
      <w:r w:rsidRPr="00067E3D">
        <w:rPr>
          <w:rFonts w:eastAsia="Times New Roman" w:cs="Times New Roman"/>
          <w:rtl/>
          <w:lang w:eastAsia="de-DE"/>
        </w:rPr>
        <w:t xml:space="preserve"> </w:t>
      </w:r>
      <w:r w:rsidRPr="00067E3D">
        <w:rPr>
          <w:rFonts w:eastAsia="Times New Roman" w:cs="Times New Roman"/>
          <w:lang w:eastAsia="de-DE"/>
        </w:rPr>
        <w:t xml:space="preserve">(Wayyiqtol, 3. f. sg. von </w:t>
      </w:r>
      <w:r w:rsidRPr="00067E3D">
        <w:rPr>
          <w:rFonts w:eastAsia="Times New Roman" w:cs="Times New Roman"/>
          <w:b/>
          <w:bCs/>
          <w:rtl/>
          <w:lang w:eastAsia="de-DE"/>
        </w:rPr>
        <w:t>בלע</w:t>
      </w:r>
      <w:r w:rsidRPr="00067E3D">
        <w:rPr>
          <w:rFonts w:eastAsia="Times New Roman" w:cs="Times New Roman"/>
          <w:lang w:eastAsia="de-DE"/>
        </w:rPr>
        <w:t xml:space="preserve">) bedeutet „und sie verschlang". Das erste Objekt </w:t>
      </w:r>
      <w:r w:rsidRPr="00067E3D">
        <w:rPr>
          <w:rFonts w:eastAsia="Times New Roman" w:cs="Times New Roman"/>
          <w:b/>
          <w:bCs/>
          <w:rtl/>
          <w:lang w:eastAsia="de-DE"/>
        </w:rPr>
        <w:t>אֹתָם</w:t>
      </w:r>
      <w:r w:rsidRPr="00067E3D">
        <w:rPr>
          <w:rFonts w:eastAsia="Times New Roman" w:cs="Times New Roman"/>
          <w:rtl/>
          <w:lang w:eastAsia="de-DE"/>
        </w:rPr>
        <w:t xml:space="preserve"> </w:t>
      </w:r>
      <w:r w:rsidRPr="00067E3D">
        <w:rPr>
          <w:rFonts w:eastAsia="Times New Roman" w:cs="Times New Roman"/>
          <w:lang w:eastAsia="de-DE"/>
        </w:rPr>
        <w:t xml:space="preserve">(„sie") bezieht sich auf Datan und Aviram. Die folgenden koordinierten Objekte erweitern den Umfang des Gerichts: </w:t>
      </w:r>
      <w:r w:rsidRPr="00067E3D">
        <w:rPr>
          <w:rFonts w:eastAsia="Times New Roman" w:cs="Times New Roman"/>
          <w:b/>
          <w:bCs/>
          <w:rtl/>
          <w:lang w:eastAsia="de-DE"/>
        </w:rPr>
        <w:t>וְאֶת־בָּתֵּיהֶם</w:t>
      </w:r>
      <w:r w:rsidRPr="00067E3D">
        <w:rPr>
          <w:rFonts w:eastAsia="Times New Roman" w:cs="Times New Roman"/>
          <w:rtl/>
          <w:lang w:eastAsia="de-DE"/>
        </w:rPr>
        <w:t xml:space="preserve"> </w:t>
      </w:r>
      <w:r w:rsidRPr="00067E3D">
        <w:rPr>
          <w:rFonts w:eastAsia="Times New Roman" w:cs="Times New Roman"/>
          <w:lang w:eastAsia="de-DE"/>
        </w:rPr>
        <w:t xml:space="preserve">(„und ihre Häuser", </w:t>
      </w:r>
      <w:r w:rsidRPr="00067E3D">
        <w:rPr>
          <w:rFonts w:eastAsia="Times New Roman" w:cs="Times New Roman"/>
          <w:b/>
          <w:bCs/>
          <w:rtl/>
          <w:lang w:eastAsia="de-DE"/>
        </w:rPr>
        <w:t>בַּיִת</w:t>
      </w:r>
      <w:r w:rsidRPr="00067E3D">
        <w:rPr>
          <w:rFonts w:eastAsia="Times New Roman" w:cs="Times New Roman"/>
          <w:rtl/>
          <w:lang w:eastAsia="de-DE"/>
        </w:rPr>
        <w:t xml:space="preserve"> </w:t>
      </w:r>
      <w:r w:rsidRPr="00067E3D">
        <w:rPr>
          <w:rFonts w:eastAsia="Times New Roman" w:cs="Times New Roman"/>
          <w:lang w:eastAsia="de-DE"/>
        </w:rPr>
        <w:t xml:space="preserve">Plural mit Possessivsuffix 3. m. pl.), </w:t>
      </w:r>
      <w:r w:rsidRPr="00067E3D">
        <w:rPr>
          <w:rFonts w:eastAsia="Times New Roman" w:cs="Times New Roman"/>
          <w:b/>
          <w:bCs/>
          <w:rtl/>
          <w:lang w:eastAsia="de-DE"/>
        </w:rPr>
        <w:t>וְאֵת כָּל־הָאָדָם אֲשֶׁר לְקֹרַח</w:t>
      </w:r>
      <w:r w:rsidRPr="00067E3D">
        <w:rPr>
          <w:rFonts w:eastAsia="Times New Roman" w:cs="Times New Roman"/>
          <w:rtl/>
          <w:lang w:eastAsia="de-DE"/>
        </w:rPr>
        <w:t xml:space="preserve"> </w:t>
      </w:r>
      <w:r w:rsidRPr="00067E3D">
        <w:rPr>
          <w:rFonts w:eastAsia="Times New Roman" w:cs="Times New Roman"/>
          <w:lang w:eastAsia="de-DE"/>
        </w:rPr>
        <w:t xml:space="preserve">(„und alle Menschen, die zu Korach gehörten", wobei </w:t>
      </w:r>
      <w:r w:rsidRPr="00067E3D">
        <w:rPr>
          <w:rFonts w:eastAsia="Times New Roman" w:cs="Times New Roman"/>
          <w:b/>
          <w:bCs/>
          <w:rtl/>
          <w:lang w:eastAsia="de-DE"/>
        </w:rPr>
        <w:t>כָּל</w:t>
      </w:r>
      <w:r w:rsidRPr="00067E3D">
        <w:rPr>
          <w:rFonts w:eastAsia="Times New Roman" w:cs="Times New Roman"/>
          <w:rtl/>
          <w:lang w:eastAsia="de-DE"/>
        </w:rPr>
        <w:t xml:space="preserve"> </w:t>
      </w:r>
      <w:r w:rsidRPr="00067E3D">
        <w:rPr>
          <w:rFonts w:eastAsia="Times New Roman" w:cs="Times New Roman"/>
          <w:lang w:eastAsia="de-DE"/>
        </w:rPr>
        <w:t xml:space="preserve">im Constructus, </w:t>
      </w:r>
      <w:r w:rsidRPr="00067E3D">
        <w:rPr>
          <w:rFonts w:eastAsia="Times New Roman" w:cs="Times New Roman"/>
          <w:b/>
          <w:bCs/>
          <w:rtl/>
          <w:lang w:eastAsia="de-DE"/>
        </w:rPr>
        <w:t>הָאָדָם</w:t>
      </w:r>
      <w:r w:rsidRPr="00067E3D">
        <w:rPr>
          <w:rFonts w:eastAsia="Times New Roman" w:cs="Times New Roman"/>
          <w:rtl/>
          <w:lang w:eastAsia="de-DE"/>
        </w:rPr>
        <w:t xml:space="preserve"> </w:t>
      </w:r>
      <w:r w:rsidRPr="00067E3D">
        <w:rPr>
          <w:rFonts w:eastAsia="Times New Roman" w:cs="Times New Roman"/>
          <w:lang w:eastAsia="de-DE"/>
        </w:rPr>
        <w:t xml:space="preserve">mit Artikel und </w:t>
      </w:r>
      <w:r w:rsidRPr="00067E3D">
        <w:rPr>
          <w:rFonts w:eastAsia="Times New Roman" w:cs="Times New Roman"/>
          <w:b/>
          <w:bCs/>
          <w:rtl/>
          <w:lang w:eastAsia="de-DE"/>
        </w:rPr>
        <w:t>אֲשֶׁר לְקֹרַח</w:t>
      </w:r>
      <w:r w:rsidRPr="00067E3D">
        <w:rPr>
          <w:rFonts w:eastAsia="Times New Roman" w:cs="Times New Roman"/>
          <w:rtl/>
          <w:lang w:eastAsia="de-DE"/>
        </w:rPr>
        <w:t xml:space="preserve"> </w:t>
      </w:r>
      <w:r w:rsidRPr="00067E3D">
        <w:rPr>
          <w:rFonts w:eastAsia="Times New Roman" w:cs="Times New Roman"/>
          <w:lang w:eastAsia="de-DE"/>
        </w:rPr>
        <w:t xml:space="preserve">ein Relativsatz ist), </w:t>
      </w:r>
      <w:r w:rsidRPr="00067E3D">
        <w:rPr>
          <w:rFonts w:eastAsia="Times New Roman" w:cs="Times New Roman"/>
          <w:b/>
          <w:bCs/>
          <w:rtl/>
          <w:lang w:eastAsia="de-DE"/>
        </w:rPr>
        <w:t>וְאֵת כָּל־הָרֲכוּשׁ</w:t>
      </w:r>
      <w:r w:rsidRPr="00067E3D">
        <w:rPr>
          <w:rFonts w:eastAsia="Times New Roman" w:cs="Times New Roman"/>
          <w:rtl/>
          <w:lang w:eastAsia="de-DE"/>
        </w:rPr>
        <w:t xml:space="preserve"> </w:t>
      </w:r>
      <w:r w:rsidRPr="00067E3D">
        <w:rPr>
          <w:rFonts w:eastAsia="Times New Roman" w:cs="Times New Roman"/>
          <w:lang w:eastAsia="de-DE"/>
        </w:rPr>
        <w:t xml:space="preserve">(„und die ganze Habe", </w:t>
      </w:r>
      <w:r w:rsidRPr="00067E3D">
        <w:rPr>
          <w:rFonts w:eastAsia="Times New Roman" w:cs="Times New Roman"/>
          <w:b/>
          <w:bCs/>
          <w:rtl/>
          <w:lang w:eastAsia="de-DE"/>
        </w:rPr>
        <w:t>רְכוּשׁ</w:t>
      </w:r>
      <w:r w:rsidRPr="00067E3D">
        <w:rPr>
          <w:rFonts w:eastAsia="Times New Roman" w:cs="Times New Roman"/>
          <w:rtl/>
          <w:lang w:eastAsia="de-DE"/>
        </w:rPr>
        <w:t xml:space="preserve"> </w:t>
      </w:r>
      <w:r w:rsidRPr="00067E3D">
        <w:rPr>
          <w:rFonts w:eastAsia="Times New Roman" w:cs="Times New Roman"/>
          <w:lang w:eastAsia="de-DE"/>
        </w:rPr>
        <w:t>bedeutet „Besitz, Habe").</w:t>
      </w:r>
    </w:p>
    <w:p w14:paraId="438F4C60"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 xml:space="preserve">Die vierfache Koordination durch </w:t>
      </w:r>
      <w:r w:rsidRPr="00067E3D">
        <w:rPr>
          <w:rFonts w:eastAsia="Times New Roman" w:cs="Times New Roman"/>
          <w:b/>
          <w:bCs/>
          <w:rtl/>
          <w:lang w:eastAsia="de-DE"/>
        </w:rPr>
        <w:t>וְ</w:t>
      </w:r>
      <w:r w:rsidRPr="00067E3D">
        <w:rPr>
          <w:rFonts w:eastAsia="Times New Roman" w:cs="Times New Roman"/>
          <w:rtl/>
          <w:lang w:eastAsia="de-DE"/>
        </w:rPr>
        <w:t xml:space="preserve"> </w:t>
      </w:r>
      <w:r w:rsidRPr="00067E3D">
        <w:rPr>
          <w:rFonts w:eastAsia="Times New Roman" w:cs="Times New Roman"/>
          <w:lang w:eastAsia="de-DE"/>
        </w:rPr>
        <w:t>betont die Vollständigkeit der Vernichtung: Personen, Wohnungen, Anhänger und Besitz werden verschlungen. Die Erwähnung von Korachs Anhängern zeigt die Verflechtung der levitischen und rubenitischen Rebellion.</w:t>
      </w:r>
    </w:p>
    <w:p w14:paraId="6B71E680" w14:textId="2FFB9B0D"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b/>
          <w:bCs/>
          <w:lang w:eastAsia="de-DE"/>
        </w:rPr>
        <w:t>Die LXX</w:t>
      </w:r>
      <w:r w:rsidRPr="00067E3D">
        <w:rPr>
          <w:rFonts w:eastAsia="Times New Roman" w:cs="Times New Roman"/>
          <w:lang w:eastAsia="de-DE"/>
        </w:rPr>
        <w:t xml:space="preserve"> übersetzt </w:t>
      </w:r>
      <w:r w:rsidRPr="00067E3D">
        <w:rPr>
          <w:rFonts w:eastAsia="Times New Roman" w:cs="Times New Roman"/>
          <w:b/>
          <w:bCs/>
          <w:rtl/>
          <w:lang w:eastAsia="de-DE"/>
        </w:rPr>
        <w:t>וַתִּפְתַּח הָאָרֶץ אֶת־פִּיהָ</w:t>
      </w:r>
      <w:r w:rsidRPr="00067E3D">
        <w:rPr>
          <w:rFonts w:eastAsia="Times New Roman" w:cs="Times New Roman"/>
          <w:rtl/>
          <w:lang w:eastAsia="de-DE"/>
        </w:rPr>
        <w:t xml:space="preserve"> </w:t>
      </w:r>
      <w:r w:rsidRPr="00067E3D">
        <w:rPr>
          <w:rFonts w:eastAsia="Times New Roman" w:cs="Times New Roman"/>
          <w:lang w:eastAsia="de-DE"/>
        </w:rPr>
        <w:t xml:space="preserve">mit καὶ ἠνοίχθη ἡ γῆ καὶ τὸ στόμα αὐτῆς („und die Erde wurde geöffnet und ihr Mund"), wobei das Passiv die aktive hebräische Form wiedergibt. </w:t>
      </w:r>
      <w:r w:rsidRPr="00067E3D">
        <w:rPr>
          <w:rFonts w:eastAsia="Times New Roman" w:cs="Times New Roman"/>
          <w:b/>
          <w:bCs/>
          <w:rtl/>
          <w:lang w:eastAsia="de-DE"/>
        </w:rPr>
        <w:t>וַתִּבְלַע אֹתָם</w:t>
      </w:r>
      <w:r w:rsidRPr="00067E3D">
        <w:rPr>
          <w:rFonts w:eastAsia="Times New Roman" w:cs="Times New Roman"/>
          <w:rtl/>
          <w:lang w:eastAsia="de-DE"/>
        </w:rPr>
        <w:t xml:space="preserve"> </w:t>
      </w:r>
      <w:r w:rsidRPr="00067E3D">
        <w:rPr>
          <w:rFonts w:eastAsia="Times New Roman" w:cs="Times New Roman"/>
          <w:lang w:eastAsia="de-DE"/>
        </w:rPr>
        <w:t xml:space="preserve">wird mit καὶ κατέπιεν αὐτούς („und verschlang sie") übersetzt. Die koordinierten Objekte werden entsprechend wiedergegeben: καὶ τοὺς οἴκους αὐτῶν („und ihre Häuser"), καὶ πάντας τοὺς ἀνθρώπους τοὺς ὄντας μετὰ Κορε ( „und alle Menschen, die mit Kore waren"), καὶ τὰ κτήνη αὐτῶν („und ihr Vieh"), wobei die LXX </w:t>
      </w:r>
      <w:r w:rsidRPr="00067E3D">
        <w:rPr>
          <w:rFonts w:eastAsia="Times New Roman" w:cs="Times New Roman"/>
          <w:b/>
          <w:bCs/>
          <w:rtl/>
          <w:lang w:eastAsia="de-DE"/>
        </w:rPr>
        <w:t>רכוש</w:t>
      </w:r>
      <w:r w:rsidRPr="00067E3D">
        <w:rPr>
          <w:rFonts w:eastAsia="Times New Roman" w:cs="Times New Roman"/>
          <w:rtl/>
          <w:lang w:eastAsia="de-DE"/>
        </w:rPr>
        <w:t xml:space="preserve"> </w:t>
      </w:r>
      <w:r w:rsidRPr="00067E3D">
        <w:rPr>
          <w:rFonts w:eastAsia="Times New Roman" w:cs="Times New Roman"/>
          <w:lang w:eastAsia="de-DE"/>
        </w:rPr>
        <w:t>mit „Vieh" interpretiert statt „Habe".</w:t>
      </w:r>
    </w:p>
    <w:p w14:paraId="0BA49E5C"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Die Satzstruktur zeigt zwei koordinierte Hauptsätze: Der erste mit Verb, Subjekt und Objekt; der zweite mit Verb und vier koordinierten Objekten (das dritte Objekt durch einen Relativsatz erweitert). Insgesamt gibt es einen Nebensatz (Relativsatz).</w:t>
      </w:r>
    </w:p>
    <w:p w14:paraId="455BEB97" w14:textId="77777777" w:rsidR="00067E3D" w:rsidRPr="00067E3D" w:rsidRDefault="00067E3D" w:rsidP="00067E3D">
      <w:pPr>
        <w:spacing w:before="100" w:beforeAutospacing="1" w:after="100" w:afterAutospacing="1" w:line="240" w:lineRule="auto"/>
        <w:rPr>
          <w:rFonts w:eastAsia="Times New Roman" w:cs="Times New Roman"/>
          <w:lang w:eastAsia="de-DE"/>
        </w:rPr>
      </w:pPr>
      <w:r w:rsidRPr="00067E3D">
        <w:rPr>
          <w:rFonts w:eastAsia="Times New Roman" w:cs="Times New Roman"/>
          <w:lang w:eastAsia="de-DE"/>
        </w:rPr>
        <w:t>Der Vers beschreibt die Ausführung des angekündigten Gerichts in allen Details.</w:t>
      </w:r>
    </w:p>
    <w:p w14:paraId="3A6E6537" w14:textId="77777777" w:rsidR="00CB7165" w:rsidRPr="00CB7165" w:rsidRDefault="00CB7165" w:rsidP="00CB7165">
      <w:pPr>
        <w:spacing w:before="100" w:beforeAutospacing="1" w:after="100" w:afterAutospacing="1" w:line="240" w:lineRule="auto"/>
        <w:outlineLvl w:val="0"/>
        <w:rPr>
          <w:rFonts w:eastAsia="Times New Roman" w:cs="Times New Roman"/>
          <w:b/>
          <w:bCs/>
          <w:kern w:val="36"/>
          <w:sz w:val="48"/>
          <w:szCs w:val="48"/>
          <w:lang w:eastAsia="de-DE"/>
        </w:rPr>
      </w:pPr>
      <w:r w:rsidRPr="00CB7165">
        <w:rPr>
          <w:rFonts w:eastAsia="Times New Roman" w:cs="Times New Roman"/>
          <w:b/>
          <w:bCs/>
          <w:kern w:val="36"/>
          <w:sz w:val="48"/>
          <w:szCs w:val="48"/>
          <w:lang w:eastAsia="de-DE"/>
        </w:rPr>
        <w:t>Numeri 16,33</w:t>
      </w:r>
    </w:p>
    <w:p w14:paraId="382DD4F5"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Hebräisch:</w:t>
      </w:r>
      <w:r w:rsidRPr="00CB7165">
        <w:rPr>
          <w:rFonts w:eastAsia="Times New Roman" w:cs="Times New Roman"/>
          <w:lang w:eastAsia="de-DE"/>
        </w:rPr>
        <w:t xml:space="preserve"> </w:t>
      </w:r>
      <w:r w:rsidRPr="00CB7165">
        <w:rPr>
          <w:rFonts w:eastAsia="Times New Roman" w:cs="Times New Roman"/>
          <w:rtl/>
          <w:lang w:eastAsia="de-DE"/>
        </w:rPr>
        <w:t>וַיֵּ֨רְד֜וּ הֵ֣ם וְכָל־אֲשֶׁ֥ר לָהֶ֛ם חַיִּ֖ים שְׁאֹ֑לָה וַתְּכַ֤ס עֲלֵיהֶם֙ הָאָ֔רֶץ וַיֹּאבְד֖וּ מִתּ֥וֹךְ הַקָּהָֽל׃</w:t>
      </w:r>
    </w:p>
    <w:p w14:paraId="514F9D02"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Deutsch:</w:t>
      </w:r>
      <w:r w:rsidRPr="00CB7165">
        <w:rPr>
          <w:rFonts w:eastAsia="Times New Roman" w:cs="Times New Roman"/>
          <w:lang w:eastAsia="de-DE"/>
        </w:rPr>
        <w:t xml:space="preserve"> Und sie fuhren, sie und alles, was ihnen gehörte, lebendig in den Scheol hinab; und die Erde bedeckte sie, und sie kamen um aus der Mitte der Versammlung.</w:t>
      </w:r>
    </w:p>
    <w:p w14:paraId="7647460B" w14:textId="77777777" w:rsidR="00CB7165" w:rsidRPr="00CB7165" w:rsidRDefault="00F329DD" w:rsidP="00CB7165">
      <w:pPr>
        <w:spacing w:after="0" w:line="240" w:lineRule="auto"/>
        <w:rPr>
          <w:rFonts w:eastAsia="Times New Roman" w:cs="Times New Roman"/>
          <w:lang w:eastAsia="de-DE"/>
        </w:rPr>
      </w:pPr>
      <w:r>
        <w:rPr>
          <w:rFonts w:eastAsia="Times New Roman" w:cs="Times New Roman"/>
          <w:noProof/>
          <w:lang w:eastAsia="de-DE"/>
        </w:rPr>
        <w:pict w14:anchorId="568A5B5E">
          <v:rect id="_x0000_i1571" style="width:0;height:1.5pt" o:hralign="center" o:hrstd="t" o:hr="t" fillcolor="#a0a0a0" stroked="f"/>
        </w:pict>
      </w:r>
    </w:p>
    <w:p w14:paraId="2756F88D"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Kommentar:</w:t>
      </w:r>
      <w:r w:rsidRPr="00CB7165">
        <w:rPr>
          <w:rFonts w:eastAsia="Times New Roman" w:cs="Times New Roman"/>
          <w:lang w:eastAsia="de-DE"/>
        </w:rPr>
        <w:t xml:space="preserve"> Das Verb </w:t>
      </w:r>
      <w:r w:rsidRPr="00CB7165">
        <w:rPr>
          <w:rFonts w:eastAsia="Times New Roman" w:cs="Times New Roman"/>
          <w:b/>
          <w:bCs/>
          <w:rtl/>
          <w:lang w:eastAsia="de-DE"/>
        </w:rPr>
        <w:t>וַיֵּרְדוּ</w:t>
      </w:r>
      <w:r w:rsidRPr="00CB7165">
        <w:rPr>
          <w:rFonts w:eastAsia="Times New Roman" w:cs="Times New Roman"/>
          <w:rtl/>
          <w:lang w:eastAsia="de-DE"/>
        </w:rPr>
        <w:t xml:space="preserve"> </w:t>
      </w:r>
      <w:r w:rsidRPr="00CB7165">
        <w:rPr>
          <w:rFonts w:eastAsia="Times New Roman" w:cs="Times New Roman"/>
          <w:lang w:eastAsia="de-DE"/>
        </w:rPr>
        <w:t xml:space="preserve">(Wayyiqtol, 3. m. pl. von </w:t>
      </w:r>
      <w:r w:rsidRPr="00CB7165">
        <w:rPr>
          <w:rFonts w:eastAsia="Times New Roman" w:cs="Times New Roman"/>
          <w:b/>
          <w:bCs/>
          <w:rtl/>
          <w:lang w:eastAsia="de-DE"/>
        </w:rPr>
        <w:t>ירד</w:t>
      </w:r>
      <w:r w:rsidRPr="00CB7165">
        <w:rPr>
          <w:rFonts w:eastAsia="Times New Roman" w:cs="Times New Roman"/>
          <w:lang w:eastAsia="de-DE"/>
        </w:rPr>
        <w:t xml:space="preserve">) bedeutet „und sie fuhren hinab". Das Subjekt </w:t>
      </w:r>
      <w:r w:rsidRPr="00CB7165">
        <w:rPr>
          <w:rFonts w:eastAsia="Times New Roman" w:cs="Times New Roman"/>
          <w:b/>
          <w:bCs/>
          <w:rtl/>
          <w:lang w:eastAsia="de-DE"/>
        </w:rPr>
        <w:t>הֵם</w:t>
      </w:r>
      <w:r w:rsidRPr="00CB7165">
        <w:rPr>
          <w:rFonts w:eastAsia="Times New Roman" w:cs="Times New Roman"/>
          <w:rtl/>
          <w:lang w:eastAsia="de-DE"/>
        </w:rPr>
        <w:t xml:space="preserve"> </w:t>
      </w:r>
      <w:r w:rsidRPr="00CB7165">
        <w:rPr>
          <w:rFonts w:eastAsia="Times New Roman" w:cs="Times New Roman"/>
          <w:lang w:eastAsia="de-DE"/>
        </w:rPr>
        <w:t xml:space="preserve">ist das Personalpronomen 3. m. pl. („sie"), das emphatisch vor der koordinierten Erweiterung steht. Die Phrase </w:t>
      </w:r>
      <w:r w:rsidRPr="00CB7165">
        <w:rPr>
          <w:rFonts w:eastAsia="Times New Roman" w:cs="Times New Roman"/>
          <w:b/>
          <w:bCs/>
          <w:rtl/>
          <w:lang w:eastAsia="de-DE"/>
        </w:rPr>
        <w:t>וְכָל־אֲשֶׁר לָהֶם</w:t>
      </w:r>
      <w:r w:rsidRPr="00CB7165">
        <w:rPr>
          <w:rFonts w:eastAsia="Times New Roman" w:cs="Times New Roman"/>
          <w:rtl/>
          <w:lang w:eastAsia="de-DE"/>
        </w:rPr>
        <w:t xml:space="preserve"> </w:t>
      </w:r>
      <w:r w:rsidRPr="00CB7165">
        <w:rPr>
          <w:rFonts w:eastAsia="Times New Roman" w:cs="Times New Roman"/>
          <w:lang w:eastAsia="de-DE"/>
        </w:rPr>
        <w:t xml:space="preserve">(„und alles, was ihnen gehörte") erweitert das Subjekt. Das Adverb </w:t>
      </w:r>
      <w:r w:rsidRPr="00CB7165">
        <w:rPr>
          <w:rFonts w:eastAsia="Times New Roman" w:cs="Times New Roman"/>
          <w:b/>
          <w:bCs/>
          <w:rtl/>
          <w:lang w:eastAsia="de-DE"/>
        </w:rPr>
        <w:t>חַיִּים</w:t>
      </w:r>
      <w:r w:rsidRPr="00CB7165">
        <w:rPr>
          <w:rFonts w:eastAsia="Times New Roman" w:cs="Times New Roman"/>
          <w:rtl/>
          <w:lang w:eastAsia="de-DE"/>
        </w:rPr>
        <w:t xml:space="preserve"> </w:t>
      </w:r>
      <w:r w:rsidRPr="00CB7165">
        <w:rPr>
          <w:rFonts w:eastAsia="Times New Roman" w:cs="Times New Roman"/>
          <w:lang w:eastAsia="de-DE"/>
        </w:rPr>
        <w:t xml:space="preserve">(„lebendig") betont wie in Vers 30 die besondere Art des Hinabfahrens. </w:t>
      </w:r>
      <w:r w:rsidRPr="00CB7165">
        <w:rPr>
          <w:rFonts w:eastAsia="Times New Roman" w:cs="Times New Roman"/>
          <w:b/>
          <w:bCs/>
          <w:rtl/>
          <w:lang w:eastAsia="de-DE"/>
        </w:rPr>
        <w:t>שְׁאֹלָה</w:t>
      </w:r>
      <w:r w:rsidRPr="00CB7165">
        <w:rPr>
          <w:rFonts w:eastAsia="Times New Roman" w:cs="Times New Roman"/>
          <w:rtl/>
          <w:lang w:eastAsia="de-DE"/>
        </w:rPr>
        <w:t xml:space="preserve"> </w:t>
      </w:r>
      <w:r w:rsidRPr="00CB7165">
        <w:rPr>
          <w:rFonts w:eastAsia="Times New Roman" w:cs="Times New Roman"/>
          <w:lang w:eastAsia="de-DE"/>
        </w:rPr>
        <w:t>ist die Richtungsangabe mit lokativischem He („zum Scheol hin").</w:t>
      </w:r>
    </w:p>
    <w:p w14:paraId="4E8A0A12"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 xml:space="preserve">Das koordinierte Verb </w:t>
      </w:r>
      <w:r w:rsidRPr="00CB7165">
        <w:rPr>
          <w:rFonts w:eastAsia="Times New Roman" w:cs="Times New Roman"/>
          <w:b/>
          <w:bCs/>
          <w:rtl/>
          <w:lang w:eastAsia="de-DE"/>
        </w:rPr>
        <w:t>וַתְּכַס</w:t>
      </w:r>
      <w:r w:rsidRPr="00CB7165">
        <w:rPr>
          <w:rFonts w:eastAsia="Times New Roman" w:cs="Times New Roman"/>
          <w:rtl/>
          <w:lang w:eastAsia="de-DE"/>
        </w:rPr>
        <w:t xml:space="preserve"> </w:t>
      </w:r>
      <w:r w:rsidRPr="00CB7165">
        <w:rPr>
          <w:rFonts w:eastAsia="Times New Roman" w:cs="Times New Roman"/>
          <w:lang w:eastAsia="de-DE"/>
        </w:rPr>
        <w:t xml:space="preserve">(Wayyiqtol, 3. f. sg. von </w:t>
      </w:r>
      <w:r w:rsidRPr="00CB7165">
        <w:rPr>
          <w:rFonts w:eastAsia="Times New Roman" w:cs="Times New Roman"/>
          <w:b/>
          <w:bCs/>
          <w:rtl/>
          <w:lang w:eastAsia="de-DE"/>
        </w:rPr>
        <w:t>כסה</w:t>
      </w:r>
      <w:r w:rsidRPr="00CB7165">
        <w:rPr>
          <w:rFonts w:eastAsia="Times New Roman" w:cs="Times New Roman"/>
          <w:rtl/>
          <w:lang w:eastAsia="de-DE"/>
        </w:rPr>
        <w:t xml:space="preserve"> </w:t>
      </w:r>
      <w:r w:rsidRPr="00CB7165">
        <w:rPr>
          <w:rFonts w:eastAsia="Times New Roman" w:cs="Times New Roman"/>
          <w:lang w:eastAsia="de-DE"/>
        </w:rPr>
        <w:t xml:space="preserve">Piel) bedeutet „und sie bedeckte". Die Piel-Form hat intensive Bedeutung. Die Präposition </w:t>
      </w:r>
      <w:r w:rsidRPr="00CB7165">
        <w:rPr>
          <w:rFonts w:eastAsia="Times New Roman" w:cs="Times New Roman"/>
          <w:b/>
          <w:bCs/>
          <w:rtl/>
          <w:lang w:eastAsia="de-DE"/>
        </w:rPr>
        <w:t>עֲלֵיהֶם</w:t>
      </w:r>
      <w:r w:rsidRPr="00CB7165">
        <w:rPr>
          <w:rFonts w:eastAsia="Times New Roman" w:cs="Times New Roman"/>
          <w:rtl/>
          <w:lang w:eastAsia="de-DE"/>
        </w:rPr>
        <w:t xml:space="preserve"> </w:t>
      </w:r>
      <w:r w:rsidRPr="00CB7165">
        <w:rPr>
          <w:rFonts w:eastAsia="Times New Roman" w:cs="Times New Roman"/>
          <w:lang w:eastAsia="de-DE"/>
        </w:rPr>
        <w:t xml:space="preserve">(„über sie") mit Suffix 3. m. pl. gibt an, was bedeckt wird. </w:t>
      </w:r>
      <w:r w:rsidRPr="00CB7165">
        <w:rPr>
          <w:rFonts w:eastAsia="Times New Roman" w:cs="Times New Roman"/>
          <w:b/>
          <w:bCs/>
          <w:rtl/>
          <w:lang w:eastAsia="de-DE"/>
        </w:rPr>
        <w:t>הָאָרֶץ</w:t>
      </w:r>
      <w:r w:rsidRPr="00CB7165">
        <w:rPr>
          <w:rFonts w:eastAsia="Times New Roman" w:cs="Times New Roman"/>
          <w:rtl/>
          <w:lang w:eastAsia="de-DE"/>
        </w:rPr>
        <w:t xml:space="preserve"> </w:t>
      </w:r>
      <w:r w:rsidRPr="00CB7165">
        <w:rPr>
          <w:rFonts w:eastAsia="Times New Roman" w:cs="Times New Roman"/>
          <w:lang w:eastAsia="de-DE"/>
        </w:rPr>
        <w:t>(„die Erde") ist das Subjekt.</w:t>
      </w:r>
    </w:p>
    <w:p w14:paraId="20B12E01"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lastRenderedPageBreak/>
        <w:t xml:space="preserve">Das koordinierte Verb </w:t>
      </w:r>
      <w:r w:rsidRPr="00CB7165">
        <w:rPr>
          <w:rFonts w:eastAsia="Times New Roman" w:cs="Times New Roman"/>
          <w:b/>
          <w:bCs/>
          <w:rtl/>
          <w:lang w:eastAsia="de-DE"/>
        </w:rPr>
        <w:t>וַיֹּאבְדוּ</w:t>
      </w:r>
      <w:r w:rsidRPr="00CB7165">
        <w:rPr>
          <w:rFonts w:eastAsia="Times New Roman" w:cs="Times New Roman"/>
          <w:rtl/>
          <w:lang w:eastAsia="de-DE"/>
        </w:rPr>
        <w:t xml:space="preserve"> </w:t>
      </w:r>
      <w:r w:rsidRPr="00CB7165">
        <w:rPr>
          <w:rFonts w:eastAsia="Times New Roman" w:cs="Times New Roman"/>
          <w:lang w:eastAsia="de-DE"/>
        </w:rPr>
        <w:t xml:space="preserve">(Wayyiqtol, 3. m. pl. von </w:t>
      </w:r>
      <w:r w:rsidRPr="00CB7165">
        <w:rPr>
          <w:rFonts w:eastAsia="Times New Roman" w:cs="Times New Roman"/>
          <w:b/>
          <w:bCs/>
          <w:rtl/>
          <w:lang w:eastAsia="de-DE"/>
        </w:rPr>
        <w:t>אבד</w:t>
      </w:r>
      <w:r w:rsidRPr="00CB7165">
        <w:rPr>
          <w:rFonts w:eastAsia="Times New Roman" w:cs="Times New Roman"/>
          <w:lang w:eastAsia="de-DE"/>
        </w:rPr>
        <w:t xml:space="preserve">) bedeutet „und sie kamen um, gingen verloren". Die Präposition </w:t>
      </w:r>
      <w:r w:rsidRPr="00CB7165">
        <w:rPr>
          <w:rFonts w:eastAsia="Times New Roman" w:cs="Times New Roman"/>
          <w:b/>
          <w:bCs/>
          <w:rtl/>
          <w:lang w:eastAsia="de-DE"/>
        </w:rPr>
        <w:t>מִתּוֹךְ הַקָּהָל</w:t>
      </w:r>
      <w:r w:rsidRPr="00CB7165">
        <w:rPr>
          <w:rFonts w:eastAsia="Times New Roman" w:cs="Times New Roman"/>
          <w:rtl/>
          <w:lang w:eastAsia="de-DE"/>
        </w:rPr>
        <w:t xml:space="preserve"> </w:t>
      </w:r>
      <w:r w:rsidRPr="00CB7165">
        <w:rPr>
          <w:rFonts w:eastAsia="Times New Roman" w:cs="Times New Roman"/>
          <w:lang w:eastAsia="de-DE"/>
        </w:rPr>
        <w:t xml:space="preserve">gibt an, woraus sie verschwanden: </w:t>
      </w:r>
      <w:r w:rsidRPr="00CB7165">
        <w:rPr>
          <w:rFonts w:eastAsia="Times New Roman" w:cs="Times New Roman"/>
          <w:b/>
          <w:bCs/>
          <w:rtl/>
          <w:lang w:eastAsia="de-DE"/>
        </w:rPr>
        <w:t>מִן</w:t>
      </w:r>
      <w:r w:rsidRPr="00CB7165">
        <w:rPr>
          <w:rFonts w:eastAsia="Times New Roman" w:cs="Times New Roman"/>
          <w:rtl/>
          <w:lang w:eastAsia="de-DE"/>
        </w:rPr>
        <w:t xml:space="preserve"> </w:t>
      </w:r>
      <w:r w:rsidRPr="00CB7165">
        <w:rPr>
          <w:rFonts w:eastAsia="Times New Roman" w:cs="Times New Roman"/>
          <w:lang w:eastAsia="de-DE"/>
        </w:rPr>
        <w:t xml:space="preserve">ist „aus", </w:t>
      </w:r>
      <w:r w:rsidRPr="00CB7165">
        <w:rPr>
          <w:rFonts w:eastAsia="Times New Roman" w:cs="Times New Roman"/>
          <w:b/>
          <w:bCs/>
          <w:rtl/>
          <w:lang w:eastAsia="de-DE"/>
        </w:rPr>
        <w:t>תּוֹךְ</w:t>
      </w:r>
      <w:r w:rsidRPr="00CB7165">
        <w:rPr>
          <w:rFonts w:eastAsia="Times New Roman" w:cs="Times New Roman"/>
          <w:rtl/>
          <w:lang w:eastAsia="de-DE"/>
        </w:rPr>
        <w:t xml:space="preserve"> </w:t>
      </w:r>
      <w:r w:rsidRPr="00CB7165">
        <w:rPr>
          <w:rFonts w:eastAsia="Times New Roman" w:cs="Times New Roman"/>
          <w:lang w:eastAsia="de-DE"/>
        </w:rPr>
        <w:t xml:space="preserve">bedeutet „Mitte", </w:t>
      </w:r>
      <w:r w:rsidRPr="00CB7165">
        <w:rPr>
          <w:rFonts w:eastAsia="Times New Roman" w:cs="Times New Roman"/>
          <w:b/>
          <w:bCs/>
          <w:rtl/>
          <w:lang w:eastAsia="de-DE"/>
        </w:rPr>
        <w:t>הַקָּהָל</w:t>
      </w:r>
      <w:r w:rsidRPr="00CB7165">
        <w:rPr>
          <w:rFonts w:eastAsia="Times New Roman" w:cs="Times New Roman"/>
          <w:rtl/>
          <w:lang w:eastAsia="de-DE"/>
        </w:rPr>
        <w:t xml:space="preserve"> </w:t>
      </w:r>
      <w:r w:rsidRPr="00CB7165">
        <w:rPr>
          <w:rFonts w:eastAsia="Times New Roman" w:cs="Times New Roman"/>
          <w:lang w:eastAsia="de-DE"/>
        </w:rPr>
        <w:t>ist „die Versammlung" mit Artikel. Die Phrase betont die endgültige Entfernung aus der Gemeinschaft Israels.</w:t>
      </w:r>
    </w:p>
    <w:p w14:paraId="483EB18E" w14:textId="7AD440F3"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Die LXX</w:t>
      </w:r>
      <w:r w:rsidRPr="00CB7165">
        <w:rPr>
          <w:rFonts w:eastAsia="Times New Roman" w:cs="Times New Roman"/>
          <w:lang w:eastAsia="de-DE"/>
        </w:rPr>
        <w:t xml:space="preserve"> </w:t>
      </w:r>
      <w:r w:rsidR="000039C6">
        <w:t>übersetzt „</w:t>
      </w:r>
      <w:r w:rsidR="000039C6" w:rsidRPr="000039C6">
        <w:rPr>
          <w:b/>
          <w:bCs/>
          <w:rtl/>
        </w:rPr>
        <w:t>הָרֲכוּשׁ</w:t>
      </w:r>
      <w:r w:rsidR="000039C6">
        <w:t>" (die Habe/Besitz) mit „τὰ κτήνη" (das Vieh), was nur einen Teil des Besitzes umfasst.</w:t>
      </w:r>
    </w:p>
    <w:p w14:paraId="282E8295"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Die Satzstruktur zeigt drei koordinierte Hauptsätze: Der erste mit Verb, emphatischem Subjekt (erweitert durch koordinierte Phrase), Adverb und Richtungsangabe; der zweite mit Verb, Präpositionalphrase und Subjekt; der dritte mit Verb und Präpositionalphrase. Es gibt keine Nebensätze.</w:t>
      </w:r>
    </w:p>
    <w:p w14:paraId="1B545A7C"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Der Vers fasst die Vollstreckung des Gerichts zusammen und betont die vollständige Auslöschung der Rebellen aus der Gemeinschaft.</w:t>
      </w:r>
    </w:p>
    <w:p w14:paraId="0E1FFE0C" w14:textId="77777777" w:rsidR="00CB7165" w:rsidRPr="00CB7165" w:rsidRDefault="00CB7165" w:rsidP="00CB7165">
      <w:pPr>
        <w:spacing w:before="100" w:beforeAutospacing="1" w:after="100" w:afterAutospacing="1" w:line="240" w:lineRule="auto"/>
        <w:outlineLvl w:val="0"/>
        <w:rPr>
          <w:rFonts w:eastAsia="Times New Roman" w:cs="Times New Roman"/>
          <w:b/>
          <w:bCs/>
          <w:kern w:val="36"/>
          <w:sz w:val="48"/>
          <w:szCs w:val="48"/>
          <w:lang w:eastAsia="de-DE"/>
        </w:rPr>
      </w:pPr>
      <w:r w:rsidRPr="00CB7165">
        <w:rPr>
          <w:rFonts w:eastAsia="Times New Roman" w:cs="Times New Roman"/>
          <w:b/>
          <w:bCs/>
          <w:kern w:val="36"/>
          <w:sz w:val="48"/>
          <w:szCs w:val="48"/>
          <w:lang w:eastAsia="de-DE"/>
        </w:rPr>
        <w:t>Numeri 16,34</w:t>
      </w:r>
    </w:p>
    <w:p w14:paraId="7C61D245"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Hebräisch:</w:t>
      </w:r>
      <w:r w:rsidRPr="00CB7165">
        <w:rPr>
          <w:rFonts w:eastAsia="Times New Roman" w:cs="Times New Roman"/>
          <w:lang w:eastAsia="de-DE"/>
        </w:rPr>
        <w:t xml:space="preserve"> </w:t>
      </w:r>
      <w:r w:rsidRPr="00CB7165">
        <w:rPr>
          <w:rFonts w:eastAsia="Times New Roman" w:cs="Times New Roman"/>
          <w:rtl/>
          <w:lang w:eastAsia="de-DE"/>
        </w:rPr>
        <w:t>וְכָל־יִשְׂרָאֵ֗ל אֲשֶׁ֛ר סְבִיבֹתֵיהֶ֖ם נָ֣סוּ לְקֹלָ֑ם כִּ֣י אָֽמְר֔וּ פֶּן־תִּבְלָעֵ֖נוּ הָאָֽרֶץ׃</w:t>
      </w:r>
    </w:p>
    <w:p w14:paraId="4FCC9EF2"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Deutsch:</w:t>
      </w:r>
      <w:r w:rsidRPr="00CB7165">
        <w:rPr>
          <w:rFonts w:eastAsia="Times New Roman" w:cs="Times New Roman"/>
          <w:lang w:eastAsia="de-DE"/>
        </w:rPr>
        <w:t xml:space="preserve"> Und ganz Jisra'el, das rings um sie war, floh bei ihrem Geschrei; denn sie sprachen: Dass die Erde uns nicht verschlinge!</w:t>
      </w:r>
    </w:p>
    <w:p w14:paraId="77FA89BF" w14:textId="77777777" w:rsidR="00CB7165" w:rsidRPr="00CB7165" w:rsidRDefault="00F329DD" w:rsidP="00CB7165">
      <w:pPr>
        <w:spacing w:after="0" w:line="240" w:lineRule="auto"/>
        <w:rPr>
          <w:rFonts w:eastAsia="Times New Roman" w:cs="Times New Roman"/>
          <w:lang w:eastAsia="de-DE"/>
        </w:rPr>
      </w:pPr>
      <w:r>
        <w:rPr>
          <w:rFonts w:eastAsia="Times New Roman" w:cs="Times New Roman"/>
          <w:noProof/>
          <w:lang w:eastAsia="de-DE"/>
        </w:rPr>
        <w:pict w14:anchorId="14E01312">
          <v:rect id="_x0000_i1572" style="width:0;height:1.5pt" o:hralign="center" o:hrstd="t" o:hr="t" fillcolor="#a0a0a0" stroked="f"/>
        </w:pict>
      </w:r>
    </w:p>
    <w:p w14:paraId="61834A70"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Kommentar:</w:t>
      </w:r>
      <w:r w:rsidRPr="00CB7165">
        <w:rPr>
          <w:rFonts w:eastAsia="Times New Roman" w:cs="Times New Roman"/>
          <w:lang w:eastAsia="de-DE"/>
        </w:rPr>
        <w:t xml:space="preserve"> Das Subjekt </w:t>
      </w:r>
      <w:r w:rsidRPr="00CB7165">
        <w:rPr>
          <w:rFonts w:eastAsia="Times New Roman" w:cs="Times New Roman"/>
          <w:b/>
          <w:bCs/>
          <w:rtl/>
          <w:lang w:eastAsia="de-DE"/>
        </w:rPr>
        <w:t>וְכָל־יִשְׂרָאֵל</w:t>
      </w:r>
      <w:r w:rsidRPr="00CB7165">
        <w:rPr>
          <w:rFonts w:eastAsia="Times New Roman" w:cs="Times New Roman"/>
          <w:rtl/>
          <w:lang w:eastAsia="de-DE"/>
        </w:rPr>
        <w:t xml:space="preserve"> </w:t>
      </w:r>
      <w:r w:rsidRPr="00CB7165">
        <w:rPr>
          <w:rFonts w:eastAsia="Times New Roman" w:cs="Times New Roman"/>
          <w:lang w:eastAsia="de-DE"/>
        </w:rPr>
        <w:t>ist „und ganz Israel" (</w:t>
      </w:r>
      <w:r w:rsidRPr="00CB7165">
        <w:rPr>
          <w:rFonts w:eastAsia="Times New Roman" w:cs="Times New Roman"/>
          <w:b/>
          <w:bCs/>
          <w:rtl/>
          <w:lang w:eastAsia="de-DE"/>
        </w:rPr>
        <w:t>כָּל</w:t>
      </w:r>
      <w:r w:rsidRPr="00CB7165">
        <w:rPr>
          <w:rFonts w:eastAsia="Times New Roman" w:cs="Times New Roman"/>
          <w:rtl/>
          <w:lang w:eastAsia="de-DE"/>
        </w:rPr>
        <w:t xml:space="preserve"> </w:t>
      </w:r>
      <w:r w:rsidRPr="00CB7165">
        <w:rPr>
          <w:rFonts w:eastAsia="Times New Roman" w:cs="Times New Roman"/>
          <w:lang w:eastAsia="de-DE"/>
        </w:rPr>
        <w:t xml:space="preserve">im Constructus vor </w:t>
      </w:r>
      <w:r w:rsidRPr="00CB7165">
        <w:rPr>
          <w:rFonts w:eastAsia="Times New Roman" w:cs="Times New Roman"/>
          <w:b/>
          <w:bCs/>
          <w:rtl/>
          <w:lang w:eastAsia="de-DE"/>
        </w:rPr>
        <w:t>יִשְׂרָאֵל</w:t>
      </w:r>
      <w:r w:rsidRPr="00CB7165">
        <w:rPr>
          <w:rFonts w:eastAsia="Times New Roman" w:cs="Times New Roman"/>
          <w:lang w:eastAsia="de-DE"/>
        </w:rPr>
        <w:t xml:space="preserve">). Der Relativsatz </w:t>
      </w:r>
      <w:r w:rsidRPr="00CB7165">
        <w:rPr>
          <w:rFonts w:eastAsia="Times New Roman" w:cs="Times New Roman"/>
          <w:b/>
          <w:bCs/>
          <w:rtl/>
          <w:lang w:eastAsia="de-DE"/>
        </w:rPr>
        <w:t>אֲשֶׁר סְבִיבֹתֵיהֶם</w:t>
      </w:r>
      <w:r w:rsidRPr="00CB7165">
        <w:rPr>
          <w:rFonts w:eastAsia="Times New Roman" w:cs="Times New Roman"/>
          <w:rtl/>
          <w:lang w:eastAsia="de-DE"/>
        </w:rPr>
        <w:t xml:space="preserve"> </w:t>
      </w:r>
      <w:r w:rsidRPr="00CB7165">
        <w:rPr>
          <w:rFonts w:eastAsia="Times New Roman" w:cs="Times New Roman"/>
          <w:lang w:eastAsia="de-DE"/>
        </w:rPr>
        <w:t xml:space="preserve">spezifiziert näher: </w:t>
      </w:r>
      <w:r w:rsidRPr="00CB7165">
        <w:rPr>
          <w:rFonts w:eastAsia="Times New Roman" w:cs="Times New Roman"/>
          <w:b/>
          <w:bCs/>
          <w:rtl/>
          <w:lang w:eastAsia="de-DE"/>
        </w:rPr>
        <w:t>אֲשֶׁר</w:t>
      </w:r>
      <w:r w:rsidRPr="00CB7165">
        <w:rPr>
          <w:rFonts w:eastAsia="Times New Roman" w:cs="Times New Roman"/>
          <w:rtl/>
          <w:lang w:eastAsia="de-DE"/>
        </w:rPr>
        <w:t xml:space="preserve"> </w:t>
      </w:r>
      <w:r w:rsidRPr="00CB7165">
        <w:rPr>
          <w:rFonts w:eastAsia="Times New Roman" w:cs="Times New Roman"/>
          <w:lang w:eastAsia="de-DE"/>
        </w:rPr>
        <w:t xml:space="preserve">ist das Relativpronomen, </w:t>
      </w:r>
      <w:r w:rsidRPr="00CB7165">
        <w:rPr>
          <w:rFonts w:eastAsia="Times New Roman" w:cs="Times New Roman"/>
          <w:b/>
          <w:bCs/>
          <w:rtl/>
          <w:lang w:eastAsia="de-DE"/>
        </w:rPr>
        <w:t>סְבִיבֹתֵיהֶם</w:t>
      </w:r>
      <w:r w:rsidRPr="00CB7165">
        <w:rPr>
          <w:rFonts w:eastAsia="Times New Roman" w:cs="Times New Roman"/>
          <w:rtl/>
          <w:lang w:eastAsia="de-DE"/>
        </w:rPr>
        <w:t xml:space="preserve"> </w:t>
      </w:r>
      <w:r w:rsidRPr="00CB7165">
        <w:rPr>
          <w:rFonts w:eastAsia="Times New Roman" w:cs="Times New Roman"/>
          <w:lang w:eastAsia="de-DE"/>
        </w:rPr>
        <w:t>ist „rings um sie" (</w:t>
      </w:r>
      <w:r w:rsidRPr="00CB7165">
        <w:rPr>
          <w:rFonts w:eastAsia="Times New Roman" w:cs="Times New Roman"/>
          <w:b/>
          <w:bCs/>
          <w:rtl/>
          <w:lang w:eastAsia="de-DE"/>
        </w:rPr>
        <w:t>סְבִיבָה</w:t>
      </w:r>
      <w:r w:rsidRPr="00CB7165">
        <w:rPr>
          <w:rFonts w:eastAsia="Times New Roman" w:cs="Times New Roman"/>
          <w:rtl/>
          <w:lang w:eastAsia="de-DE"/>
        </w:rPr>
        <w:t xml:space="preserve"> </w:t>
      </w:r>
      <w:r w:rsidRPr="00CB7165">
        <w:rPr>
          <w:rFonts w:eastAsia="Times New Roman" w:cs="Times New Roman"/>
          <w:lang w:eastAsia="de-DE"/>
        </w:rPr>
        <w:t>„Umgebung" mit Possessivsuffix 3. m. pl.). Die Phrase bedeutet „das rings um sie (herum war)".</w:t>
      </w:r>
    </w:p>
    <w:p w14:paraId="04CB93D1"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 xml:space="preserve">Das Verb </w:t>
      </w:r>
      <w:r w:rsidRPr="00CB7165">
        <w:rPr>
          <w:rFonts w:eastAsia="Times New Roman" w:cs="Times New Roman"/>
          <w:b/>
          <w:bCs/>
          <w:rtl/>
          <w:lang w:eastAsia="de-DE"/>
        </w:rPr>
        <w:t>נָסוּ</w:t>
      </w:r>
      <w:r w:rsidRPr="00CB7165">
        <w:rPr>
          <w:rFonts w:eastAsia="Times New Roman" w:cs="Times New Roman"/>
          <w:rtl/>
          <w:lang w:eastAsia="de-DE"/>
        </w:rPr>
        <w:t xml:space="preserve"> </w:t>
      </w:r>
      <w:r w:rsidRPr="00CB7165">
        <w:rPr>
          <w:rFonts w:eastAsia="Times New Roman" w:cs="Times New Roman"/>
          <w:lang w:eastAsia="de-DE"/>
        </w:rPr>
        <w:t xml:space="preserve">(Qal Perfekt, 3. c. pl. von </w:t>
      </w:r>
      <w:r w:rsidRPr="00CB7165">
        <w:rPr>
          <w:rFonts w:eastAsia="Times New Roman" w:cs="Times New Roman"/>
          <w:b/>
          <w:bCs/>
          <w:rtl/>
          <w:lang w:eastAsia="de-DE"/>
        </w:rPr>
        <w:t>נוס</w:t>
      </w:r>
      <w:r w:rsidRPr="00CB7165">
        <w:rPr>
          <w:rFonts w:eastAsia="Times New Roman" w:cs="Times New Roman"/>
          <w:lang w:eastAsia="de-DE"/>
        </w:rPr>
        <w:t xml:space="preserve">) bedeutet „sie flohen". Die Präposition </w:t>
      </w:r>
      <w:r w:rsidRPr="00CB7165">
        <w:rPr>
          <w:rFonts w:eastAsia="Times New Roman" w:cs="Times New Roman"/>
          <w:b/>
          <w:bCs/>
          <w:rtl/>
          <w:lang w:eastAsia="de-DE"/>
        </w:rPr>
        <w:t>לְקֹלָם</w:t>
      </w:r>
      <w:r w:rsidRPr="00CB7165">
        <w:rPr>
          <w:rFonts w:eastAsia="Times New Roman" w:cs="Times New Roman"/>
          <w:rtl/>
          <w:lang w:eastAsia="de-DE"/>
        </w:rPr>
        <w:t xml:space="preserve"> </w:t>
      </w:r>
      <w:r w:rsidRPr="00CB7165">
        <w:rPr>
          <w:rFonts w:eastAsia="Times New Roman" w:cs="Times New Roman"/>
          <w:lang w:eastAsia="de-DE"/>
        </w:rPr>
        <w:t xml:space="preserve">gibt den Anlass der Flucht an: </w:t>
      </w:r>
      <w:r w:rsidRPr="00CB7165">
        <w:rPr>
          <w:rFonts w:eastAsia="Times New Roman" w:cs="Times New Roman"/>
          <w:b/>
          <w:bCs/>
          <w:rtl/>
          <w:lang w:eastAsia="de-DE"/>
        </w:rPr>
        <w:t>לְ</w:t>
      </w:r>
      <w:r w:rsidRPr="00CB7165">
        <w:rPr>
          <w:rFonts w:eastAsia="Times New Roman" w:cs="Times New Roman"/>
          <w:rtl/>
          <w:lang w:eastAsia="de-DE"/>
        </w:rPr>
        <w:t xml:space="preserve"> </w:t>
      </w:r>
      <w:r w:rsidRPr="00CB7165">
        <w:rPr>
          <w:rFonts w:eastAsia="Times New Roman" w:cs="Times New Roman"/>
          <w:lang w:eastAsia="de-DE"/>
        </w:rPr>
        <w:t xml:space="preserve">kann hier kausal sein („wegen"), </w:t>
      </w:r>
      <w:r w:rsidRPr="00CB7165">
        <w:rPr>
          <w:rFonts w:eastAsia="Times New Roman" w:cs="Times New Roman"/>
          <w:b/>
          <w:bCs/>
          <w:rtl/>
          <w:lang w:eastAsia="de-DE"/>
        </w:rPr>
        <w:t>קֹלָם</w:t>
      </w:r>
      <w:r w:rsidRPr="00CB7165">
        <w:rPr>
          <w:rFonts w:eastAsia="Times New Roman" w:cs="Times New Roman"/>
          <w:rtl/>
          <w:lang w:eastAsia="de-DE"/>
        </w:rPr>
        <w:t xml:space="preserve"> </w:t>
      </w:r>
      <w:r w:rsidRPr="00CB7165">
        <w:rPr>
          <w:rFonts w:eastAsia="Times New Roman" w:cs="Times New Roman"/>
          <w:lang w:eastAsia="de-DE"/>
        </w:rPr>
        <w:t>ist „ihr Geschrei, ihre Stimme" (</w:t>
      </w:r>
      <w:r w:rsidRPr="00CB7165">
        <w:rPr>
          <w:rFonts w:eastAsia="Times New Roman" w:cs="Times New Roman"/>
          <w:b/>
          <w:bCs/>
          <w:rtl/>
          <w:lang w:eastAsia="de-DE"/>
        </w:rPr>
        <w:t>קוֹל</w:t>
      </w:r>
      <w:r w:rsidRPr="00CB7165">
        <w:rPr>
          <w:rFonts w:eastAsia="Times New Roman" w:cs="Times New Roman"/>
          <w:rtl/>
          <w:lang w:eastAsia="de-DE"/>
        </w:rPr>
        <w:t xml:space="preserve"> </w:t>
      </w:r>
      <w:r w:rsidRPr="00CB7165">
        <w:rPr>
          <w:rFonts w:eastAsia="Times New Roman" w:cs="Times New Roman"/>
          <w:lang w:eastAsia="de-DE"/>
        </w:rPr>
        <w:t>mit Possessivsuffix 3. m. pl.).</w:t>
      </w:r>
    </w:p>
    <w:p w14:paraId="10F26656" w14:textId="19069971"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 xml:space="preserve">Die kausale Konjunktion </w:t>
      </w:r>
      <w:r w:rsidRPr="00CB7165">
        <w:rPr>
          <w:rFonts w:eastAsia="Times New Roman" w:cs="Times New Roman"/>
          <w:b/>
          <w:bCs/>
          <w:rtl/>
          <w:lang w:eastAsia="de-DE"/>
        </w:rPr>
        <w:t>כִּי</w:t>
      </w:r>
      <w:r w:rsidRPr="00CB7165">
        <w:rPr>
          <w:rFonts w:eastAsia="Times New Roman" w:cs="Times New Roman"/>
          <w:rtl/>
          <w:lang w:eastAsia="de-DE"/>
        </w:rPr>
        <w:t xml:space="preserve"> </w:t>
      </w:r>
      <w:r w:rsidRPr="00CB7165">
        <w:rPr>
          <w:rFonts w:eastAsia="Times New Roman" w:cs="Times New Roman"/>
          <w:lang w:eastAsia="de-DE"/>
        </w:rPr>
        <w:t xml:space="preserve">(„denn, weil") leitet die Begründung ein. Das Verb </w:t>
      </w:r>
      <w:r w:rsidRPr="00CB7165">
        <w:rPr>
          <w:rFonts w:eastAsia="Times New Roman" w:cs="Times New Roman"/>
          <w:b/>
          <w:bCs/>
          <w:rtl/>
          <w:lang w:eastAsia="de-DE"/>
        </w:rPr>
        <w:t>אָמְרוּ</w:t>
      </w:r>
      <w:r w:rsidRPr="00CB7165">
        <w:rPr>
          <w:rFonts w:eastAsia="Times New Roman" w:cs="Times New Roman"/>
          <w:rtl/>
          <w:lang w:eastAsia="de-DE"/>
        </w:rPr>
        <w:t xml:space="preserve"> </w:t>
      </w:r>
      <w:r w:rsidRPr="00CB7165">
        <w:rPr>
          <w:rFonts w:eastAsia="Times New Roman" w:cs="Times New Roman"/>
          <w:lang w:eastAsia="de-DE"/>
        </w:rPr>
        <w:t xml:space="preserve">(Qal Perfekt, 3. c. pl. von </w:t>
      </w:r>
      <w:r w:rsidRPr="00CB7165">
        <w:rPr>
          <w:rFonts w:eastAsia="Times New Roman" w:cs="Times New Roman"/>
          <w:b/>
          <w:bCs/>
          <w:rtl/>
          <w:lang w:eastAsia="de-DE"/>
        </w:rPr>
        <w:t>אמר</w:t>
      </w:r>
      <w:r w:rsidRPr="00CB7165">
        <w:rPr>
          <w:rFonts w:eastAsia="Times New Roman" w:cs="Times New Roman"/>
          <w:lang w:eastAsia="de-DE"/>
        </w:rPr>
        <w:t xml:space="preserve">) bedeutet „sie sprachen, sagten". Die finale Konjunktion </w:t>
      </w:r>
      <w:r w:rsidRPr="00CB7165">
        <w:rPr>
          <w:rFonts w:eastAsia="Times New Roman" w:cs="Times New Roman"/>
          <w:b/>
          <w:bCs/>
          <w:rtl/>
          <w:lang w:eastAsia="de-DE"/>
        </w:rPr>
        <w:t>פֶּן</w:t>
      </w:r>
      <w:r w:rsidRPr="00CB7165">
        <w:rPr>
          <w:rFonts w:eastAsia="Times New Roman" w:cs="Times New Roman"/>
          <w:rtl/>
          <w:lang w:eastAsia="de-DE"/>
        </w:rPr>
        <w:t xml:space="preserve"> </w:t>
      </w:r>
      <w:r w:rsidRPr="00CB7165">
        <w:rPr>
          <w:rFonts w:eastAsia="Times New Roman" w:cs="Times New Roman"/>
          <w:lang w:eastAsia="de-DE"/>
        </w:rPr>
        <w:t xml:space="preserve">(„damit nicht, dass nicht") leitet einen Finalsatz ein und drückt die Furcht aus. Das Verb </w:t>
      </w:r>
      <w:r w:rsidRPr="00CB7165">
        <w:rPr>
          <w:rFonts w:eastAsia="Times New Roman" w:cs="Times New Roman"/>
          <w:b/>
          <w:bCs/>
          <w:rtl/>
          <w:lang w:eastAsia="de-DE"/>
        </w:rPr>
        <w:t>תִּבְלָעֵנוּ</w:t>
      </w:r>
      <w:r w:rsidRPr="00CB7165">
        <w:rPr>
          <w:rFonts w:eastAsia="Times New Roman" w:cs="Times New Roman"/>
          <w:rtl/>
          <w:lang w:eastAsia="de-DE"/>
        </w:rPr>
        <w:t xml:space="preserve"> </w:t>
      </w:r>
      <w:r w:rsidRPr="00CB7165">
        <w:rPr>
          <w:rFonts w:eastAsia="Times New Roman" w:cs="Times New Roman"/>
          <w:lang w:eastAsia="de-DE"/>
        </w:rPr>
        <w:t xml:space="preserve">(Qal Imperfekt, 3. f. sg. von </w:t>
      </w:r>
      <w:r w:rsidRPr="00CB7165">
        <w:rPr>
          <w:rFonts w:eastAsia="Times New Roman" w:cs="Times New Roman"/>
          <w:b/>
          <w:bCs/>
          <w:rtl/>
          <w:lang w:eastAsia="de-DE"/>
        </w:rPr>
        <w:t>בלע</w:t>
      </w:r>
      <w:r w:rsidRPr="00CB7165">
        <w:rPr>
          <w:rFonts w:eastAsia="Times New Roman" w:cs="Times New Roman"/>
          <w:rtl/>
          <w:lang w:eastAsia="de-DE"/>
        </w:rPr>
        <w:t xml:space="preserve"> </w:t>
      </w:r>
      <w:r w:rsidRPr="00CB7165">
        <w:rPr>
          <w:rFonts w:eastAsia="Times New Roman" w:cs="Times New Roman"/>
          <w:lang w:eastAsia="de-DE"/>
        </w:rPr>
        <w:t xml:space="preserve">mit Suffix 1. c. pl.) bedeutet „sie wird uns verschlingen". </w:t>
      </w:r>
      <w:r w:rsidRPr="00CB7165">
        <w:rPr>
          <w:rFonts w:eastAsia="Times New Roman" w:cs="Times New Roman"/>
          <w:b/>
          <w:bCs/>
          <w:rtl/>
          <w:lang w:eastAsia="de-DE"/>
        </w:rPr>
        <w:t>הָאָרֶץ</w:t>
      </w:r>
      <w:r w:rsidRPr="00CB7165">
        <w:rPr>
          <w:rFonts w:eastAsia="Times New Roman" w:cs="Times New Roman"/>
          <w:rtl/>
          <w:lang w:eastAsia="de-DE"/>
        </w:rPr>
        <w:t xml:space="preserve"> </w:t>
      </w:r>
      <w:r w:rsidRPr="00CB7165">
        <w:rPr>
          <w:rFonts w:eastAsia="Times New Roman" w:cs="Times New Roman"/>
          <w:lang w:eastAsia="de-DE"/>
        </w:rPr>
        <w:t xml:space="preserve">(„die Erde") ist das Subjekt. Die </w:t>
      </w:r>
      <w:r w:rsidR="00F133EC">
        <w:rPr>
          <w:rFonts w:eastAsia="Times New Roman" w:cs="Times New Roman"/>
          <w:lang w:eastAsia="de-DE"/>
        </w:rPr>
        <w:t>Construct</w:t>
      </w:r>
      <w:r w:rsidRPr="00CB7165">
        <w:rPr>
          <w:rFonts w:eastAsia="Times New Roman" w:cs="Times New Roman"/>
          <w:lang w:eastAsia="de-DE"/>
        </w:rPr>
        <w:t>ion drückt eine befürchtete Möglichkeit aus: „dass die Erde nicht etwa uns verschlinge".</w:t>
      </w:r>
    </w:p>
    <w:p w14:paraId="3E4CA791" w14:textId="6B44C5E2"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Die LXX</w:t>
      </w:r>
      <w:r w:rsidRPr="00CB7165">
        <w:rPr>
          <w:rFonts w:eastAsia="Times New Roman" w:cs="Times New Roman"/>
          <w:lang w:eastAsia="de-DE"/>
        </w:rPr>
        <w:t xml:space="preserve"> übersetzt </w:t>
      </w:r>
      <w:r w:rsidRPr="00CB7165">
        <w:rPr>
          <w:rFonts w:eastAsia="Times New Roman" w:cs="Times New Roman"/>
          <w:b/>
          <w:bCs/>
          <w:rtl/>
          <w:lang w:eastAsia="de-DE"/>
        </w:rPr>
        <w:t>וְכָל־יִשְׂרָאֵל אֲשֶׁר סְבִיבֹתֵיהֶם נָסוּ</w:t>
      </w:r>
      <w:r w:rsidRPr="00CB7165">
        <w:rPr>
          <w:rFonts w:eastAsia="Times New Roman" w:cs="Times New Roman"/>
          <w:rtl/>
          <w:lang w:eastAsia="de-DE"/>
        </w:rPr>
        <w:t xml:space="preserve"> </w:t>
      </w:r>
      <w:r w:rsidRPr="00CB7165">
        <w:rPr>
          <w:rFonts w:eastAsia="Times New Roman" w:cs="Times New Roman"/>
          <w:lang w:eastAsia="de-DE"/>
        </w:rPr>
        <w:t xml:space="preserve">mit καὶ πᾶς Ισραηλ οἱ κύκλῳ αὐτῶν ἔφυγον („und ganz Israel, die rings um sie, flohen"). </w:t>
      </w:r>
      <w:r w:rsidRPr="00CB7165">
        <w:rPr>
          <w:rFonts w:eastAsia="Times New Roman" w:cs="Times New Roman"/>
          <w:b/>
          <w:bCs/>
          <w:rtl/>
          <w:lang w:eastAsia="de-DE"/>
        </w:rPr>
        <w:t>לְקֹלָם</w:t>
      </w:r>
      <w:r w:rsidRPr="00CB7165">
        <w:rPr>
          <w:rFonts w:eastAsia="Times New Roman" w:cs="Times New Roman"/>
          <w:rtl/>
          <w:lang w:eastAsia="de-DE"/>
        </w:rPr>
        <w:t xml:space="preserve"> </w:t>
      </w:r>
      <w:r w:rsidRPr="00CB7165">
        <w:rPr>
          <w:rFonts w:eastAsia="Times New Roman" w:cs="Times New Roman"/>
          <w:lang w:eastAsia="de-DE"/>
        </w:rPr>
        <w:t xml:space="preserve">wird mit ἀπὸ τῆς φωνῆς αὐτῶν („vor ihrer Stimme") wiedergegeben. </w:t>
      </w:r>
      <w:r w:rsidRPr="00CB7165">
        <w:rPr>
          <w:rFonts w:eastAsia="Times New Roman" w:cs="Times New Roman"/>
          <w:b/>
          <w:bCs/>
          <w:rtl/>
          <w:lang w:eastAsia="de-DE"/>
        </w:rPr>
        <w:t>כִּי אָמְרוּ פֶּן־תִּבְלָעֵנוּ הָאָרֶץ</w:t>
      </w:r>
      <w:r w:rsidRPr="00CB7165">
        <w:rPr>
          <w:rFonts w:eastAsia="Times New Roman" w:cs="Times New Roman"/>
          <w:rtl/>
          <w:lang w:eastAsia="de-DE"/>
        </w:rPr>
        <w:t xml:space="preserve"> </w:t>
      </w:r>
      <w:r w:rsidRPr="00CB7165">
        <w:rPr>
          <w:rFonts w:eastAsia="Times New Roman" w:cs="Times New Roman"/>
          <w:lang w:eastAsia="de-DE"/>
        </w:rPr>
        <w:t>wird mit λέγοντες μήποτε καταπίῃ ἡμᾶς ἡ γῆ („sagend: Dass die Erde uns nicht verschlinge") übersetzt.</w:t>
      </w:r>
    </w:p>
    <w:p w14:paraId="1DC5339B"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 xml:space="preserve">Die Satzstruktur zeigt einen Hauptsatz mit Subjekt (durch Relativsatz erweitert), Verb und präpositionaler Bestimmung. Ein durch kausale Konjunktion eingeleiteter Nebensatz folgt mit Verb und direkter Rede. Die direkte Rede ist ein durch finale Konjunktion eingeleiteter </w:t>
      </w:r>
      <w:r w:rsidRPr="00CB7165">
        <w:rPr>
          <w:rFonts w:eastAsia="Times New Roman" w:cs="Times New Roman"/>
          <w:lang w:eastAsia="de-DE"/>
        </w:rPr>
        <w:lastRenderedPageBreak/>
        <w:t>Nebensatz mit Verb, Objekt (als Suffix) und Subjekt. Insgesamt gibt es drei Nebensätze: einen Relativsatz, einen kausalen Nebensatz und einen finalen Nebensatz.</w:t>
      </w:r>
    </w:p>
    <w:p w14:paraId="31597130"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Der Vers beschreibt die Reaktion des Volkes: Das dramatische Gericht versetzt ganz Israel in Schrecken und lässt sie um ihr eigenes Leben fürchten.</w:t>
      </w:r>
    </w:p>
    <w:p w14:paraId="4F581AE6" w14:textId="77777777" w:rsidR="00CB7165" w:rsidRPr="00CB7165" w:rsidRDefault="00CB7165" w:rsidP="00CB7165">
      <w:pPr>
        <w:spacing w:before="100" w:beforeAutospacing="1" w:after="100" w:afterAutospacing="1" w:line="240" w:lineRule="auto"/>
        <w:outlineLvl w:val="0"/>
        <w:rPr>
          <w:rFonts w:eastAsia="Times New Roman" w:cs="Times New Roman"/>
          <w:b/>
          <w:bCs/>
          <w:kern w:val="36"/>
          <w:sz w:val="48"/>
          <w:szCs w:val="48"/>
          <w:lang w:eastAsia="de-DE"/>
        </w:rPr>
      </w:pPr>
      <w:r w:rsidRPr="00CB7165">
        <w:rPr>
          <w:rFonts w:eastAsia="Times New Roman" w:cs="Times New Roman"/>
          <w:b/>
          <w:bCs/>
          <w:kern w:val="36"/>
          <w:sz w:val="48"/>
          <w:szCs w:val="48"/>
          <w:lang w:eastAsia="de-DE"/>
        </w:rPr>
        <w:t>Numeri 16,35</w:t>
      </w:r>
    </w:p>
    <w:p w14:paraId="020CC8F1"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Hebräisch:</w:t>
      </w:r>
      <w:r w:rsidRPr="00CB7165">
        <w:rPr>
          <w:rFonts w:eastAsia="Times New Roman" w:cs="Times New Roman"/>
          <w:lang w:eastAsia="de-DE"/>
        </w:rPr>
        <w:t xml:space="preserve"> </w:t>
      </w:r>
      <w:r w:rsidRPr="00CB7165">
        <w:rPr>
          <w:rFonts w:eastAsia="Times New Roman" w:cs="Times New Roman"/>
          <w:rtl/>
          <w:lang w:eastAsia="de-DE"/>
        </w:rPr>
        <w:t>וְאֵ֥שׁ יָצְאָ֖ה מֵאֵ֣ת יְהוָ֑ה וַתֹּ֗אכַל אֵ֣ת הַחֲמִשִּׁ֤ים וּמָאתַ֨יִם֙ אִ֔ישׁ מַקְרִיבֵ֖י הַקְּטֹֽרֶת׃</w:t>
      </w:r>
    </w:p>
    <w:p w14:paraId="3F8581CB"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Deutsch:</w:t>
      </w:r>
      <w:r w:rsidRPr="00CB7165">
        <w:rPr>
          <w:rFonts w:eastAsia="Times New Roman" w:cs="Times New Roman"/>
          <w:lang w:eastAsia="de-DE"/>
        </w:rPr>
        <w:t xml:space="preserve"> Und Feuer ging aus von dem Ewigen und fraß die 250 Männer, die das Räucherwerk dargebracht hatten.</w:t>
      </w:r>
    </w:p>
    <w:p w14:paraId="7FD12415" w14:textId="77777777" w:rsidR="00CB7165" w:rsidRPr="00CB7165" w:rsidRDefault="00F329DD" w:rsidP="00CB7165">
      <w:pPr>
        <w:spacing w:after="0" w:line="240" w:lineRule="auto"/>
        <w:rPr>
          <w:rFonts w:eastAsia="Times New Roman" w:cs="Times New Roman"/>
          <w:lang w:eastAsia="de-DE"/>
        </w:rPr>
      </w:pPr>
      <w:r>
        <w:rPr>
          <w:rFonts w:eastAsia="Times New Roman" w:cs="Times New Roman"/>
          <w:noProof/>
          <w:lang w:eastAsia="de-DE"/>
        </w:rPr>
        <w:pict w14:anchorId="73485EEB">
          <v:rect id="_x0000_i1573" style="width:0;height:1.5pt" o:hralign="center" o:hrstd="t" o:hr="t" fillcolor="#a0a0a0" stroked="f"/>
        </w:pict>
      </w:r>
    </w:p>
    <w:p w14:paraId="15623A95"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Kommentar:</w:t>
      </w:r>
      <w:r w:rsidRPr="00CB7165">
        <w:rPr>
          <w:rFonts w:eastAsia="Times New Roman" w:cs="Times New Roman"/>
          <w:lang w:eastAsia="de-DE"/>
        </w:rPr>
        <w:t xml:space="preserve"> Das Subjekt </w:t>
      </w:r>
      <w:r w:rsidRPr="00CB7165">
        <w:rPr>
          <w:rFonts w:eastAsia="Times New Roman" w:cs="Times New Roman"/>
          <w:b/>
          <w:bCs/>
          <w:rtl/>
          <w:lang w:eastAsia="de-DE"/>
        </w:rPr>
        <w:t>וְאֵשׁ</w:t>
      </w:r>
      <w:r w:rsidRPr="00CB7165">
        <w:rPr>
          <w:rFonts w:eastAsia="Times New Roman" w:cs="Times New Roman"/>
          <w:rtl/>
          <w:lang w:eastAsia="de-DE"/>
        </w:rPr>
        <w:t xml:space="preserve"> </w:t>
      </w:r>
      <w:r w:rsidRPr="00CB7165">
        <w:rPr>
          <w:rFonts w:eastAsia="Times New Roman" w:cs="Times New Roman"/>
          <w:lang w:eastAsia="de-DE"/>
        </w:rPr>
        <w:t xml:space="preserve">ist „und Feuer" (Femininum Singular). Das Verb </w:t>
      </w:r>
      <w:r w:rsidRPr="00CB7165">
        <w:rPr>
          <w:rFonts w:eastAsia="Times New Roman" w:cs="Times New Roman"/>
          <w:b/>
          <w:bCs/>
          <w:rtl/>
          <w:lang w:eastAsia="de-DE"/>
        </w:rPr>
        <w:t>יָצְאָה</w:t>
      </w:r>
      <w:r w:rsidRPr="00CB7165">
        <w:rPr>
          <w:rFonts w:eastAsia="Times New Roman" w:cs="Times New Roman"/>
          <w:rtl/>
          <w:lang w:eastAsia="de-DE"/>
        </w:rPr>
        <w:t xml:space="preserve"> </w:t>
      </w:r>
      <w:r w:rsidRPr="00CB7165">
        <w:rPr>
          <w:rFonts w:eastAsia="Times New Roman" w:cs="Times New Roman"/>
          <w:lang w:eastAsia="de-DE"/>
        </w:rPr>
        <w:t xml:space="preserve">(Qal Perfekt, 3. f. sg. von </w:t>
      </w:r>
      <w:r w:rsidRPr="00CB7165">
        <w:rPr>
          <w:rFonts w:eastAsia="Times New Roman" w:cs="Times New Roman"/>
          <w:b/>
          <w:bCs/>
          <w:rtl/>
          <w:lang w:eastAsia="de-DE"/>
        </w:rPr>
        <w:t>יצא</w:t>
      </w:r>
      <w:r w:rsidRPr="00CB7165">
        <w:rPr>
          <w:rFonts w:eastAsia="Times New Roman" w:cs="Times New Roman"/>
          <w:lang w:eastAsia="de-DE"/>
        </w:rPr>
        <w:t xml:space="preserve">) bedeutet „es ging aus, kam hervor". Die Präposition </w:t>
      </w:r>
      <w:r w:rsidRPr="00CB7165">
        <w:rPr>
          <w:rFonts w:eastAsia="Times New Roman" w:cs="Times New Roman"/>
          <w:b/>
          <w:bCs/>
          <w:rtl/>
          <w:lang w:eastAsia="de-DE"/>
        </w:rPr>
        <w:t>מֵאֵת יְהוָה</w:t>
      </w:r>
      <w:r w:rsidRPr="00CB7165">
        <w:rPr>
          <w:rFonts w:eastAsia="Times New Roman" w:cs="Times New Roman"/>
          <w:rtl/>
          <w:lang w:eastAsia="de-DE"/>
        </w:rPr>
        <w:t xml:space="preserve"> </w:t>
      </w:r>
      <w:r w:rsidRPr="00CB7165">
        <w:rPr>
          <w:rFonts w:eastAsia="Times New Roman" w:cs="Times New Roman"/>
          <w:lang w:eastAsia="de-DE"/>
        </w:rPr>
        <w:t xml:space="preserve">gibt die Quelle des Feuers an: </w:t>
      </w:r>
      <w:r w:rsidRPr="00CB7165">
        <w:rPr>
          <w:rFonts w:eastAsia="Times New Roman" w:cs="Times New Roman"/>
          <w:b/>
          <w:bCs/>
          <w:rtl/>
          <w:lang w:eastAsia="de-DE"/>
        </w:rPr>
        <w:t>מֵאֵת</w:t>
      </w:r>
      <w:r w:rsidRPr="00CB7165">
        <w:rPr>
          <w:rFonts w:eastAsia="Times New Roman" w:cs="Times New Roman"/>
          <w:rtl/>
          <w:lang w:eastAsia="de-DE"/>
        </w:rPr>
        <w:t xml:space="preserve"> </w:t>
      </w:r>
      <w:r w:rsidRPr="00CB7165">
        <w:rPr>
          <w:rFonts w:eastAsia="Times New Roman" w:cs="Times New Roman"/>
          <w:lang w:eastAsia="de-DE"/>
        </w:rPr>
        <w:t xml:space="preserve">ist eine zusammengesetzte Präposition „von bei, von", </w:t>
      </w:r>
      <w:r w:rsidRPr="00CB7165">
        <w:rPr>
          <w:rFonts w:eastAsia="Times New Roman" w:cs="Times New Roman"/>
          <w:b/>
          <w:bCs/>
          <w:rtl/>
          <w:lang w:eastAsia="de-DE"/>
        </w:rPr>
        <w:t>יְהוָה</w:t>
      </w:r>
      <w:r w:rsidRPr="00CB7165">
        <w:rPr>
          <w:rFonts w:eastAsia="Times New Roman" w:cs="Times New Roman"/>
          <w:rtl/>
          <w:lang w:eastAsia="de-DE"/>
        </w:rPr>
        <w:t xml:space="preserve"> </w:t>
      </w:r>
      <w:r w:rsidRPr="00CB7165">
        <w:rPr>
          <w:rFonts w:eastAsia="Times New Roman" w:cs="Times New Roman"/>
          <w:lang w:eastAsia="de-DE"/>
        </w:rPr>
        <w:t>ist das Tetragramm. Die Phrase betont, dass das Feuer direkt von JHWH ausging.</w:t>
      </w:r>
    </w:p>
    <w:p w14:paraId="746E30D4"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 xml:space="preserve">Das koordinierte Verb </w:t>
      </w:r>
      <w:r w:rsidRPr="00CB7165">
        <w:rPr>
          <w:rFonts w:eastAsia="Times New Roman" w:cs="Times New Roman"/>
          <w:b/>
          <w:bCs/>
          <w:rtl/>
          <w:lang w:eastAsia="de-DE"/>
        </w:rPr>
        <w:t>וַתֹּאכַל</w:t>
      </w:r>
      <w:r w:rsidRPr="00CB7165">
        <w:rPr>
          <w:rFonts w:eastAsia="Times New Roman" w:cs="Times New Roman"/>
          <w:rtl/>
          <w:lang w:eastAsia="de-DE"/>
        </w:rPr>
        <w:t xml:space="preserve"> </w:t>
      </w:r>
      <w:r w:rsidRPr="00CB7165">
        <w:rPr>
          <w:rFonts w:eastAsia="Times New Roman" w:cs="Times New Roman"/>
          <w:lang w:eastAsia="de-DE"/>
        </w:rPr>
        <w:t xml:space="preserve">(Wayyiqtol, 3. f. sg. von </w:t>
      </w:r>
      <w:r w:rsidRPr="00CB7165">
        <w:rPr>
          <w:rFonts w:eastAsia="Times New Roman" w:cs="Times New Roman"/>
          <w:b/>
          <w:bCs/>
          <w:rtl/>
          <w:lang w:eastAsia="de-DE"/>
        </w:rPr>
        <w:t>אכל</w:t>
      </w:r>
      <w:r w:rsidRPr="00CB7165">
        <w:rPr>
          <w:rFonts w:eastAsia="Times New Roman" w:cs="Times New Roman"/>
          <w:lang w:eastAsia="de-DE"/>
        </w:rPr>
        <w:t xml:space="preserve">) bedeutet „und es fraß, verzehrte". </w:t>
      </w:r>
      <w:r w:rsidRPr="00CB7165">
        <w:rPr>
          <w:rFonts w:eastAsia="Times New Roman" w:cs="Times New Roman"/>
          <w:b/>
          <w:bCs/>
          <w:rtl/>
          <w:lang w:eastAsia="de-DE"/>
        </w:rPr>
        <w:t>אכל</w:t>
      </w:r>
      <w:r w:rsidRPr="00CB7165">
        <w:rPr>
          <w:rFonts w:eastAsia="Times New Roman" w:cs="Times New Roman"/>
          <w:rtl/>
          <w:lang w:eastAsia="de-DE"/>
        </w:rPr>
        <w:t xml:space="preserve"> </w:t>
      </w:r>
      <w:r w:rsidRPr="00CB7165">
        <w:rPr>
          <w:rFonts w:eastAsia="Times New Roman" w:cs="Times New Roman"/>
          <w:lang w:eastAsia="de-DE"/>
        </w:rPr>
        <w:t xml:space="preserve">bedeutet „essen, fressen" und wird hier metaphorisch für das vernichtende Feuer verwendet. Das Objekt </w:t>
      </w:r>
      <w:r w:rsidRPr="00CB7165">
        <w:rPr>
          <w:rFonts w:eastAsia="Times New Roman" w:cs="Times New Roman"/>
          <w:b/>
          <w:bCs/>
          <w:rtl/>
          <w:lang w:eastAsia="de-DE"/>
        </w:rPr>
        <w:t>אֵת הַחֲמִשִּׁים וּמָאתַיִם אִישׁ</w:t>
      </w:r>
      <w:r w:rsidRPr="00CB7165">
        <w:rPr>
          <w:rFonts w:eastAsia="Times New Roman" w:cs="Times New Roman"/>
          <w:rtl/>
          <w:lang w:eastAsia="de-DE"/>
        </w:rPr>
        <w:t xml:space="preserve"> </w:t>
      </w:r>
      <w:r w:rsidRPr="00CB7165">
        <w:rPr>
          <w:rFonts w:eastAsia="Times New Roman" w:cs="Times New Roman"/>
          <w:lang w:eastAsia="de-DE"/>
        </w:rPr>
        <w:t xml:space="preserve">besteht aus der Objektpartikel, der Zahlenangabe </w:t>
      </w:r>
      <w:r w:rsidRPr="00CB7165">
        <w:rPr>
          <w:rFonts w:eastAsia="Times New Roman" w:cs="Times New Roman"/>
          <w:b/>
          <w:bCs/>
          <w:rtl/>
          <w:lang w:eastAsia="de-DE"/>
        </w:rPr>
        <w:t>הַחֲמִשִּׁים וּמָאתַיִם</w:t>
      </w:r>
      <w:r w:rsidRPr="00CB7165">
        <w:rPr>
          <w:rFonts w:eastAsia="Times New Roman" w:cs="Times New Roman"/>
          <w:rtl/>
          <w:lang w:eastAsia="de-DE"/>
        </w:rPr>
        <w:t xml:space="preserve"> </w:t>
      </w:r>
      <w:r w:rsidRPr="00CB7165">
        <w:rPr>
          <w:rFonts w:eastAsia="Times New Roman" w:cs="Times New Roman"/>
          <w:lang w:eastAsia="de-DE"/>
        </w:rPr>
        <w:t xml:space="preserve">(„die fünfzig und zweihundert", zusammen „die zweihundertfünfzig") und </w:t>
      </w:r>
      <w:r w:rsidRPr="00CB7165">
        <w:rPr>
          <w:rFonts w:eastAsia="Times New Roman" w:cs="Times New Roman"/>
          <w:b/>
          <w:bCs/>
          <w:rtl/>
          <w:lang w:eastAsia="de-DE"/>
        </w:rPr>
        <w:t>אִישׁ</w:t>
      </w:r>
      <w:r w:rsidRPr="00CB7165">
        <w:rPr>
          <w:rFonts w:eastAsia="Times New Roman" w:cs="Times New Roman"/>
          <w:rtl/>
          <w:lang w:eastAsia="de-DE"/>
        </w:rPr>
        <w:t xml:space="preserve"> </w:t>
      </w:r>
      <w:r w:rsidRPr="00CB7165">
        <w:rPr>
          <w:rFonts w:eastAsia="Times New Roman" w:cs="Times New Roman"/>
          <w:lang w:eastAsia="de-DE"/>
        </w:rPr>
        <w:t>(„Mann"). Diese 250 Männer sind die in Vers 2 genannten Anführer.</w:t>
      </w:r>
    </w:p>
    <w:p w14:paraId="425438E4"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 xml:space="preserve">Das Partizip </w:t>
      </w:r>
      <w:r w:rsidRPr="00CB7165">
        <w:rPr>
          <w:rFonts w:eastAsia="Times New Roman" w:cs="Times New Roman"/>
          <w:b/>
          <w:bCs/>
          <w:rtl/>
          <w:lang w:eastAsia="de-DE"/>
        </w:rPr>
        <w:t>מַקְרִיבֵי</w:t>
      </w:r>
      <w:r w:rsidRPr="00CB7165">
        <w:rPr>
          <w:rFonts w:eastAsia="Times New Roman" w:cs="Times New Roman"/>
          <w:rtl/>
          <w:lang w:eastAsia="de-DE"/>
        </w:rPr>
        <w:t xml:space="preserve"> </w:t>
      </w:r>
      <w:r w:rsidRPr="00CB7165">
        <w:rPr>
          <w:rFonts w:eastAsia="Times New Roman" w:cs="Times New Roman"/>
          <w:lang w:eastAsia="de-DE"/>
        </w:rPr>
        <w:t xml:space="preserve">(Hifil Partizip Plural construct von </w:t>
      </w:r>
      <w:r w:rsidRPr="00CB7165">
        <w:rPr>
          <w:rFonts w:eastAsia="Times New Roman" w:cs="Times New Roman"/>
          <w:b/>
          <w:bCs/>
          <w:rtl/>
          <w:lang w:eastAsia="de-DE"/>
        </w:rPr>
        <w:t>קרב</w:t>
      </w:r>
      <w:r w:rsidRPr="00CB7165">
        <w:rPr>
          <w:rFonts w:eastAsia="Times New Roman" w:cs="Times New Roman"/>
          <w:lang w:eastAsia="de-DE"/>
        </w:rPr>
        <w:t xml:space="preserve">) bedeutet „die Darbringenden, die darbrachten". Die Hifil-Form ist kausativ: „nahen lassen, darbringen". </w:t>
      </w:r>
      <w:r w:rsidRPr="00CB7165">
        <w:rPr>
          <w:rFonts w:eastAsia="Times New Roman" w:cs="Times New Roman"/>
          <w:b/>
          <w:bCs/>
          <w:rtl/>
          <w:lang w:eastAsia="de-DE"/>
        </w:rPr>
        <w:t>הַקְּטֹרֶת</w:t>
      </w:r>
      <w:r w:rsidRPr="00CB7165">
        <w:rPr>
          <w:rFonts w:eastAsia="Times New Roman" w:cs="Times New Roman"/>
          <w:rtl/>
          <w:lang w:eastAsia="de-DE"/>
        </w:rPr>
        <w:t xml:space="preserve"> </w:t>
      </w:r>
      <w:r w:rsidRPr="00CB7165">
        <w:rPr>
          <w:rFonts w:eastAsia="Times New Roman" w:cs="Times New Roman"/>
          <w:lang w:eastAsia="de-DE"/>
        </w:rPr>
        <w:t xml:space="preserve">(„das Räucherwerk") mit Artikel ist das Objekt der partizipialen Handlung. Die Phrase </w:t>
      </w:r>
      <w:r w:rsidRPr="00CB7165">
        <w:rPr>
          <w:rFonts w:eastAsia="Times New Roman" w:cs="Times New Roman"/>
          <w:b/>
          <w:bCs/>
          <w:rtl/>
          <w:lang w:eastAsia="de-DE"/>
        </w:rPr>
        <w:t>מַקְרִיבֵי הַקְּטֹרֶת</w:t>
      </w:r>
      <w:r w:rsidRPr="00CB7165">
        <w:rPr>
          <w:rFonts w:eastAsia="Times New Roman" w:cs="Times New Roman"/>
          <w:rtl/>
          <w:lang w:eastAsia="de-DE"/>
        </w:rPr>
        <w:t xml:space="preserve"> </w:t>
      </w:r>
      <w:r w:rsidRPr="00CB7165">
        <w:rPr>
          <w:rFonts w:eastAsia="Times New Roman" w:cs="Times New Roman"/>
          <w:lang w:eastAsia="de-DE"/>
        </w:rPr>
        <w:t>ist eine appositionelle Charakterisierung der 250 Männer.</w:t>
      </w:r>
    </w:p>
    <w:p w14:paraId="341750AE"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Der Vers beschreibt das parallele Gericht über die levitischen Rebellen um Korach, die beim Räucheropfer am Heiligtum durch göttliches Feuer getötet wurden, während Datan und Aviram von der Erde verschlungen wurden.</w:t>
      </w:r>
    </w:p>
    <w:p w14:paraId="7D7EF27B" w14:textId="284CD908"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Die LXX</w:t>
      </w:r>
      <w:r w:rsidRPr="00CB7165">
        <w:rPr>
          <w:rFonts w:eastAsia="Times New Roman" w:cs="Times New Roman"/>
          <w:lang w:eastAsia="de-DE"/>
        </w:rPr>
        <w:t xml:space="preserve"> übersetzt </w:t>
      </w:r>
      <w:r w:rsidRPr="00CB7165">
        <w:rPr>
          <w:rFonts w:eastAsia="Times New Roman" w:cs="Times New Roman"/>
          <w:b/>
          <w:bCs/>
          <w:rtl/>
          <w:lang w:eastAsia="de-DE"/>
        </w:rPr>
        <w:t>וְאֵשׁ יָצְאָה מֵאֵת יְהוָה</w:t>
      </w:r>
      <w:r w:rsidRPr="00CB7165">
        <w:rPr>
          <w:rFonts w:eastAsia="Times New Roman" w:cs="Times New Roman"/>
          <w:rtl/>
          <w:lang w:eastAsia="de-DE"/>
        </w:rPr>
        <w:t xml:space="preserve"> </w:t>
      </w:r>
      <w:r w:rsidRPr="00CB7165">
        <w:rPr>
          <w:rFonts w:eastAsia="Times New Roman" w:cs="Times New Roman"/>
          <w:lang w:eastAsia="de-DE"/>
        </w:rPr>
        <w:t xml:space="preserve">mit καὶ πῦρ ἐξῆλθεν παρὰ κυρίου („und Feuer ging aus von dem Herrn"). </w:t>
      </w:r>
      <w:r w:rsidRPr="00CB7165">
        <w:rPr>
          <w:rFonts w:eastAsia="Times New Roman" w:cs="Times New Roman"/>
          <w:b/>
          <w:bCs/>
          <w:rtl/>
          <w:lang w:eastAsia="de-DE"/>
        </w:rPr>
        <w:t>וַתֹּאכַל אֵת הַחֲמִשִּׁים וּמָאתַיִם אִישׁ</w:t>
      </w:r>
      <w:r w:rsidRPr="00CB7165">
        <w:rPr>
          <w:rFonts w:eastAsia="Times New Roman" w:cs="Times New Roman"/>
          <w:rtl/>
          <w:lang w:eastAsia="de-DE"/>
        </w:rPr>
        <w:t xml:space="preserve"> </w:t>
      </w:r>
      <w:r w:rsidRPr="00CB7165">
        <w:rPr>
          <w:rFonts w:eastAsia="Times New Roman" w:cs="Times New Roman"/>
          <w:lang w:eastAsia="de-DE"/>
        </w:rPr>
        <w:t xml:space="preserve">wird mit καὶ κατέφαγεν τοὺς πεντήκοντα καὶ διακοσίους ἄνδρας („und verzehrte die fünfzig und zweihundert Männer") wiedergegeben. </w:t>
      </w:r>
      <w:r w:rsidRPr="00CB7165">
        <w:rPr>
          <w:rFonts w:eastAsia="Times New Roman" w:cs="Times New Roman"/>
          <w:b/>
          <w:bCs/>
          <w:rtl/>
          <w:lang w:eastAsia="de-DE"/>
        </w:rPr>
        <w:t>מַקְרִיבֵי הַקְּטֹרֶת</w:t>
      </w:r>
      <w:r w:rsidRPr="00CB7165">
        <w:rPr>
          <w:rFonts w:eastAsia="Times New Roman" w:cs="Times New Roman"/>
          <w:rtl/>
          <w:lang w:eastAsia="de-DE"/>
        </w:rPr>
        <w:t xml:space="preserve"> </w:t>
      </w:r>
      <w:r w:rsidRPr="00CB7165">
        <w:rPr>
          <w:rFonts w:eastAsia="Times New Roman" w:cs="Times New Roman"/>
          <w:lang w:eastAsia="de-DE"/>
        </w:rPr>
        <w:t>wird mit τοὺς προσφέροντας τὸ θυμίαμα („die das Räucherwerk darbrachten") übersetzt.</w:t>
      </w:r>
    </w:p>
    <w:p w14:paraId="0A295FA2"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Die Satzstruktur zeigt zwei koordinierte Hauptsätze: Der erste mit Subjekt, Verb und Präpositionalphrase; der zweite mit Verb, Objekt (Zahlenangabe mit Nomen) und partizipialer Apposition mit Objekt. Es gibt keine Nebensätze.</w:t>
      </w:r>
    </w:p>
    <w:p w14:paraId="70468292"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Der Vers schließt die Gerichtserzählung ab, indem er das Schicksal der 250 Anführer beschreibt, die durch göttliches Feuer umkamen – ein Gericht, das an Nadab und Abihu in Levitikus 10 erinnert und zeigt, dass unrechtmäßiger Kult tödliche Folgen hat.</w:t>
      </w:r>
    </w:p>
    <w:p w14:paraId="7C69F275" w14:textId="39DD2294" w:rsidR="00CB7165" w:rsidRDefault="00CB7165" w:rsidP="00CB7165">
      <w:pPr>
        <w:pStyle w:val="KeinLeerraum"/>
      </w:pPr>
      <w:r>
        <w:lastRenderedPageBreak/>
        <w:t>Korach (ein Levit) zusammen mit Datan und Aviram (Rubeniter) sowie 250 weiteren Männern rebellieren gegen Mose und Aaron. Sie behaupten, die ganze Gemeinde sei heilig, weshalb Mose und Aaron keine Sonderstellung verdienen.</w:t>
      </w:r>
    </w:p>
    <w:p w14:paraId="07877782" w14:textId="77777777" w:rsidR="00CB7165" w:rsidRDefault="00CB7165" w:rsidP="00CB7165">
      <w:pPr>
        <w:pStyle w:val="KeinLeerraum"/>
      </w:pPr>
      <w:r>
        <w:t>Mose ordnet eine göttliche Probe an: Am nächsten Tag sollen alle Beteiligten mit Räucherpfannen vor JHWH treten. Er konfrontiert die Leviten mit ihrer Undankbarkeit – sie haben bereits den Heiligtumsdienst, begehren aber nun auch das Priestertum. Datan und Aviram verweigern den Gehorsam und verdrehen die Heilsgeschichte, indem sie Ägypten glorifizieren.</w:t>
      </w:r>
    </w:p>
    <w:p w14:paraId="73005EC3" w14:textId="77777777" w:rsidR="00CB7165" w:rsidRDefault="00CB7165" w:rsidP="00CB7165">
      <w:pPr>
        <w:pStyle w:val="KeinLeerraum"/>
      </w:pPr>
      <w:r>
        <w:t>Als die Herrlichkeit JHWHs erscheint und Gott das ganze Volk vernichten will, halten Mose und Aaron Fürbitte. Gott warnt das Volk, sich von den Rebellen zu distanzieren. Mose kündigt ein Zeichen an: Wenn die Rebellen eines natürlichen Todes sterben, hat JHWH ihn nicht gesandt; wenn aber die Erde sie lebendig verschlingt, ist seine Autorität bewiesen.</w:t>
      </w:r>
    </w:p>
    <w:p w14:paraId="704042F1" w14:textId="3F21A9A7" w:rsidR="00CB7165" w:rsidRDefault="00CB7165" w:rsidP="00CB7165">
      <w:pPr>
        <w:pStyle w:val="KeinLeerraum"/>
      </w:pPr>
      <w:r>
        <w:t>Sofort spaltet sich der Erdboden und verschlingt Datan, Aviram und ihre Familien lebendig. Gleichzeitig verzehrt göttliches Feuer die 250 Männer mit den Räucherpfannen. Das Volk flieht entsetzt. Das Doppelgericht bestätigt Moses göttliche Autorität und zeigt, dass die Rebellion gegen JHWH selbst gerichtet war.</w:t>
      </w:r>
    </w:p>
    <w:p w14:paraId="097635C7" w14:textId="16F9B90F" w:rsidR="000039C6" w:rsidRDefault="000039C6" w:rsidP="00CB7165">
      <w:pPr>
        <w:pStyle w:val="KeinLeerraum"/>
      </w:pPr>
    </w:p>
    <w:p w14:paraId="053D3CE9" w14:textId="47755CB7" w:rsidR="000039C6" w:rsidRDefault="000039C6" w:rsidP="00CB7165">
      <w:pPr>
        <w:pStyle w:val="KeinLeerraum"/>
      </w:pPr>
      <w:r>
        <w:rPr>
          <w:rStyle w:val="Fett"/>
        </w:rPr>
        <w:t>Verse 36-50 (MT) / Verse 36-50 (LXX):</w:t>
      </w:r>
      <w:r>
        <w:t xml:space="preserve"> </w:t>
      </w:r>
      <w:r>
        <w:rPr>
          <w:rStyle w:val="Fett"/>
        </w:rPr>
        <w:t>Die LXX</w:t>
      </w:r>
      <w:r>
        <w:t xml:space="preserve"> fügt Material hinzu, das im MT zu Kapitel 17 gehört. Die Verse über Eleasar, der die Räucherpfannen einsammelt (MT 17,1-5), sowie die Erzählung über die Plage und Aarons Sühnedienst (MT 17,6-15) erscheinen bereits in LXX Kapitel 16, was zu einer Verschiebung der Kapiteleinteilung führt.</w:t>
      </w:r>
    </w:p>
    <w:p w14:paraId="7C72A967" w14:textId="55D9C33C" w:rsidR="00DD1DF2" w:rsidRDefault="00DD1DF2" w:rsidP="00CB7165">
      <w:pPr>
        <w:pStyle w:val="KeinLeerraum"/>
      </w:pPr>
    </w:p>
    <w:p w14:paraId="5D60FA7A" w14:textId="77777777" w:rsidR="00DD1DF2" w:rsidRPr="00DD1DF2" w:rsidRDefault="00DD1DF2" w:rsidP="00B00345">
      <w:pPr>
        <w:pStyle w:val="berschrift4"/>
        <w:rPr>
          <w:rFonts w:eastAsia="Times New Roman"/>
          <w:lang w:eastAsia="de-DE"/>
        </w:rPr>
      </w:pPr>
      <w:r w:rsidRPr="00DD1DF2">
        <w:rPr>
          <w:rFonts w:eastAsia="Times New Roman"/>
          <w:lang w:eastAsia="de-DE"/>
        </w:rPr>
        <w:t>Exkurs: Feuer vom Herrn – Num 16,35 und Lev 10,1-2</w:t>
      </w:r>
    </w:p>
    <w:p w14:paraId="6C75FD86" w14:textId="3B9DC0A0" w:rsidR="00DD1DF2" w:rsidRDefault="00DD1DF2" w:rsidP="00DD1DF2">
      <w:pPr>
        <w:spacing w:before="100" w:beforeAutospacing="1" w:after="100" w:afterAutospacing="1" w:line="240" w:lineRule="auto"/>
        <w:rPr>
          <w:rFonts w:eastAsia="Times New Roman" w:cs="Times New Roman"/>
          <w:b/>
          <w:bCs/>
          <w:lang w:eastAsia="de-DE"/>
        </w:rPr>
      </w:pPr>
      <w:r w:rsidRPr="00DD1DF2">
        <w:rPr>
          <w:rFonts w:eastAsia="Times New Roman" w:cs="Times New Roman"/>
          <w:b/>
          <w:bCs/>
          <w:lang w:eastAsia="de-DE"/>
        </w:rPr>
        <w:t>Die Parallele:</w:t>
      </w:r>
    </w:p>
    <w:tbl>
      <w:tblPr>
        <w:tblStyle w:val="Tabellenraster"/>
        <w:tblW w:w="4994" w:type="pct"/>
        <w:tblLook w:val="04A0" w:firstRow="1" w:lastRow="0" w:firstColumn="1" w:lastColumn="0" w:noHBand="0" w:noVBand="1"/>
      </w:tblPr>
      <w:tblGrid>
        <w:gridCol w:w="1003"/>
        <w:gridCol w:w="4379"/>
        <w:gridCol w:w="3669"/>
      </w:tblGrid>
      <w:tr w:rsidR="00DD1DF2" w14:paraId="05D1DFFA" w14:textId="77777777" w:rsidTr="00DD1DF2">
        <w:tc>
          <w:tcPr>
            <w:tcW w:w="554" w:type="pct"/>
            <w:vAlign w:val="center"/>
          </w:tcPr>
          <w:p w14:paraId="6B75ADD3" w14:textId="2DE4724F" w:rsidR="00DD1DF2" w:rsidRDefault="00DD1DF2" w:rsidP="00DD1DF2">
            <w:pPr>
              <w:spacing w:before="100" w:beforeAutospacing="1" w:after="100" w:afterAutospacing="1" w:line="240" w:lineRule="auto"/>
              <w:rPr>
                <w:rFonts w:eastAsia="Times New Roman" w:cs="Times New Roman"/>
                <w:lang w:eastAsia="de-DE"/>
              </w:rPr>
            </w:pPr>
            <w:r w:rsidRPr="00DD1DF2">
              <w:rPr>
                <w:rFonts w:eastAsia="Times New Roman" w:cs="Times New Roman"/>
                <w:b/>
                <w:bCs/>
                <w:lang w:eastAsia="de-DE"/>
              </w:rPr>
              <w:t>Aspekt</w:t>
            </w:r>
          </w:p>
        </w:tc>
        <w:tc>
          <w:tcPr>
            <w:tcW w:w="2419" w:type="pct"/>
            <w:vAlign w:val="center"/>
          </w:tcPr>
          <w:p w14:paraId="1C9A5A1C" w14:textId="300205B6" w:rsidR="00DD1DF2" w:rsidRDefault="00DD1DF2" w:rsidP="00DD1DF2">
            <w:pPr>
              <w:spacing w:before="100" w:beforeAutospacing="1" w:after="100" w:afterAutospacing="1" w:line="240" w:lineRule="auto"/>
              <w:rPr>
                <w:rFonts w:eastAsia="Times New Roman" w:cs="Times New Roman"/>
                <w:lang w:eastAsia="de-DE"/>
              </w:rPr>
            </w:pPr>
            <w:r w:rsidRPr="00DD1DF2">
              <w:rPr>
                <w:rFonts w:eastAsia="Times New Roman" w:cs="Times New Roman"/>
                <w:b/>
                <w:bCs/>
                <w:lang w:eastAsia="de-DE"/>
              </w:rPr>
              <w:t>Lev 10,1-2: Nadab und Abihu</w:t>
            </w:r>
          </w:p>
        </w:tc>
        <w:tc>
          <w:tcPr>
            <w:tcW w:w="2027" w:type="pct"/>
            <w:vAlign w:val="center"/>
          </w:tcPr>
          <w:p w14:paraId="687FB1B8" w14:textId="58A1D5C2" w:rsidR="00DD1DF2" w:rsidRDefault="00DD1DF2" w:rsidP="00DD1DF2">
            <w:pPr>
              <w:spacing w:before="100" w:beforeAutospacing="1" w:after="100" w:afterAutospacing="1" w:line="240" w:lineRule="auto"/>
              <w:rPr>
                <w:rFonts w:eastAsia="Times New Roman" w:cs="Times New Roman"/>
                <w:lang w:eastAsia="de-DE"/>
              </w:rPr>
            </w:pPr>
            <w:r w:rsidRPr="00DD1DF2">
              <w:rPr>
                <w:rFonts w:eastAsia="Times New Roman" w:cs="Times New Roman"/>
                <w:b/>
                <w:bCs/>
                <w:lang w:eastAsia="de-DE"/>
              </w:rPr>
              <w:t>Num 16,35: Die 250 Männer</w:t>
            </w:r>
          </w:p>
        </w:tc>
      </w:tr>
      <w:tr w:rsidR="00DD1DF2" w14:paraId="72B0351F" w14:textId="77777777" w:rsidTr="00DD1DF2">
        <w:tc>
          <w:tcPr>
            <w:tcW w:w="554" w:type="pct"/>
            <w:vAlign w:val="center"/>
          </w:tcPr>
          <w:p w14:paraId="5F8A1E29" w14:textId="7CA6232A" w:rsidR="00DD1DF2" w:rsidRDefault="00DD1DF2" w:rsidP="00DD1DF2">
            <w:pPr>
              <w:pStyle w:val="KeinLeerraum"/>
              <w:rPr>
                <w:lang w:eastAsia="de-DE"/>
              </w:rPr>
            </w:pPr>
            <w:r w:rsidRPr="00DD1DF2">
              <w:rPr>
                <w:lang w:eastAsia="de-DE"/>
              </w:rPr>
              <w:t>Täter</w:t>
            </w:r>
          </w:p>
        </w:tc>
        <w:tc>
          <w:tcPr>
            <w:tcW w:w="2419" w:type="pct"/>
            <w:vAlign w:val="center"/>
          </w:tcPr>
          <w:p w14:paraId="50B3E868" w14:textId="0C9FFF77" w:rsidR="00DD1DF2" w:rsidRDefault="00DD1DF2" w:rsidP="00DD1DF2">
            <w:pPr>
              <w:pStyle w:val="KeinLeerraum"/>
              <w:rPr>
                <w:lang w:eastAsia="de-DE"/>
              </w:rPr>
            </w:pPr>
            <w:r w:rsidRPr="00DD1DF2">
              <w:rPr>
                <w:lang w:eastAsia="de-DE"/>
              </w:rPr>
              <w:t>Nadab und Abihu (Aarons Söhne, legitime Priester!)</w:t>
            </w:r>
          </w:p>
        </w:tc>
        <w:tc>
          <w:tcPr>
            <w:tcW w:w="2027" w:type="pct"/>
            <w:vAlign w:val="center"/>
          </w:tcPr>
          <w:p w14:paraId="20E7ABA2" w14:textId="71183FC9" w:rsidR="00DD1DF2" w:rsidRDefault="00DD1DF2" w:rsidP="00DD1DF2">
            <w:pPr>
              <w:pStyle w:val="KeinLeerraum"/>
              <w:rPr>
                <w:lang w:eastAsia="de-DE"/>
              </w:rPr>
            </w:pPr>
            <w:r w:rsidRPr="00DD1DF2">
              <w:rPr>
                <w:lang w:eastAsia="de-DE"/>
              </w:rPr>
              <w:t>250 Männer (Anführer, aber keine Priester!)</w:t>
            </w:r>
          </w:p>
        </w:tc>
      </w:tr>
      <w:tr w:rsidR="00DD1DF2" w14:paraId="5A2B2FEF" w14:textId="77777777" w:rsidTr="00DD1DF2">
        <w:tc>
          <w:tcPr>
            <w:tcW w:w="554" w:type="pct"/>
            <w:vAlign w:val="center"/>
          </w:tcPr>
          <w:p w14:paraId="6CF2ED35" w14:textId="15933C74" w:rsidR="00DD1DF2" w:rsidRDefault="00DD1DF2" w:rsidP="00DD1DF2">
            <w:pPr>
              <w:pStyle w:val="KeinLeerraum"/>
              <w:rPr>
                <w:lang w:eastAsia="de-DE"/>
              </w:rPr>
            </w:pPr>
            <w:r w:rsidRPr="00DD1DF2">
              <w:rPr>
                <w:lang w:eastAsia="de-DE"/>
              </w:rPr>
              <w:t>Tat</w:t>
            </w:r>
          </w:p>
        </w:tc>
        <w:tc>
          <w:tcPr>
            <w:tcW w:w="2419" w:type="pct"/>
            <w:vAlign w:val="center"/>
          </w:tcPr>
          <w:p w14:paraId="3E82E957" w14:textId="4C82F4C2" w:rsidR="00DD1DF2" w:rsidRDefault="00DD1DF2" w:rsidP="00DD1DF2">
            <w:pPr>
              <w:pStyle w:val="KeinLeerraum"/>
              <w:rPr>
                <w:lang w:eastAsia="de-DE"/>
              </w:rPr>
            </w:pPr>
            <w:r w:rsidRPr="00DD1DF2">
              <w:rPr>
                <w:rtl/>
                <w:lang w:eastAsia="de-DE"/>
              </w:rPr>
              <w:t xml:space="preserve">וַיַּקְרִבוּ לִפְנֵי יְהוָה אֵשׁ זָרָה </w:t>
            </w:r>
            <w:r w:rsidRPr="00DD1DF2">
              <w:rPr>
                <w:lang w:eastAsia="de-DE"/>
              </w:rPr>
              <w:t>(sie brachten fremdes Feuer dar)</w:t>
            </w:r>
          </w:p>
        </w:tc>
        <w:tc>
          <w:tcPr>
            <w:tcW w:w="2027" w:type="pct"/>
            <w:vAlign w:val="center"/>
          </w:tcPr>
          <w:p w14:paraId="3F3E756A" w14:textId="56F49406" w:rsidR="00DD1DF2" w:rsidRDefault="00DD1DF2" w:rsidP="00DD1DF2">
            <w:pPr>
              <w:pStyle w:val="KeinLeerraum"/>
              <w:rPr>
                <w:lang w:eastAsia="de-DE"/>
              </w:rPr>
            </w:pPr>
            <w:r w:rsidRPr="00DD1DF2">
              <w:rPr>
                <w:rtl/>
                <w:lang w:eastAsia="de-DE"/>
              </w:rPr>
              <w:t xml:space="preserve">מַקְרִיבֵי הַקְּטֹרֶת </w:t>
            </w:r>
            <w:r w:rsidRPr="00DD1DF2">
              <w:rPr>
                <w:lang w:eastAsia="de-DE"/>
              </w:rPr>
              <w:t>(sie brachten Räucherwerk dar)</w:t>
            </w:r>
          </w:p>
        </w:tc>
      </w:tr>
      <w:tr w:rsidR="00DD1DF2" w14:paraId="30799C62" w14:textId="77777777" w:rsidTr="00DD1DF2">
        <w:tc>
          <w:tcPr>
            <w:tcW w:w="554" w:type="pct"/>
            <w:vAlign w:val="center"/>
          </w:tcPr>
          <w:p w14:paraId="45DAC827" w14:textId="11336D3B" w:rsidR="00DD1DF2" w:rsidRDefault="00DD1DF2" w:rsidP="00DD1DF2">
            <w:pPr>
              <w:pStyle w:val="KeinLeerraum"/>
              <w:rPr>
                <w:lang w:eastAsia="de-DE"/>
              </w:rPr>
            </w:pPr>
            <w:r w:rsidRPr="00DD1DF2">
              <w:rPr>
                <w:lang w:eastAsia="de-DE"/>
              </w:rPr>
              <w:t>Gebot</w:t>
            </w:r>
          </w:p>
        </w:tc>
        <w:tc>
          <w:tcPr>
            <w:tcW w:w="2419" w:type="pct"/>
            <w:vAlign w:val="center"/>
          </w:tcPr>
          <w:p w14:paraId="753D6252" w14:textId="7CF22AE0" w:rsidR="00DD1DF2" w:rsidRDefault="00DD1DF2" w:rsidP="00DD1DF2">
            <w:pPr>
              <w:pStyle w:val="KeinLeerraum"/>
              <w:rPr>
                <w:lang w:eastAsia="de-DE"/>
              </w:rPr>
            </w:pPr>
            <w:r w:rsidRPr="00DD1DF2">
              <w:rPr>
                <w:rtl/>
                <w:lang w:eastAsia="de-DE"/>
              </w:rPr>
              <w:t xml:space="preserve">אֲשֶׁר לֹא צִוָּה אֹתָם </w:t>
            </w:r>
            <w:r w:rsidRPr="00DD1DF2">
              <w:rPr>
                <w:lang w:eastAsia="de-DE"/>
              </w:rPr>
              <w:t>(das er ihnen nicht geboten hatte)</w:t>
            </w:r>
          </w:p>
        </w:tc>
        <w:tc>
          <w:tcPr>
            <w:tcW w:w="2027" w:type="pct"/>
            <w:vAlign w:val="center"/>
          </w:tcPr>
          <w:p w14:paraId="4EF1E20B" w14:textId="7163C749" w:rsidR="00DD1DF2" w:rsidRDefault="00DD1DF2" w:rsidP="00DD1DF2">
            <w:pPr>
              <w:pStyle w:val="KeinLeerraum"/>
              <w:rPr>
                <w:lang w:eastAsia="de-DE"/>
              </w:rPr>
            </w:pPr>
            <w:r w:rsidRPr="00DD1DF2">
              <w:rPr>
                <w:rtl/>
                <w:lang w:eastAsia="de-DE"/>
              </w:rPr>
              <w:t xml:space="preserve">לֹא יְהוָה שְׁלָחָנִי </w:t>
            </w:r>
            <w:r w:rsidRPr="00DD1DF2">
              <w:rPr>
                <w:lang w:eastAsia="de-DE"/>
              </w:rPr>
              <w:t>(der Ewige hat mich nicht gesandt, V. 28)</w:t>
            </w:r>
          </w:p>
        </w:tc>
      </w:tr>
      <w:tr w:rsidR="00DD1DF2" w14:paraId="379C9AF5" w14:textId="77777777" w:rsidTr="00DD1DF2">
        <w:tc>
          <w:tcPr>
            <w:tcW w:w="554" w:type="pct"/>
            <w:vAlign w:val="center"/>
          </w:tcPr>
          <w:p w14:paraId="44713404" w14:textId="0F5994C9" w:rsidR="00DD1DF2" w:rsidRDefault="00DD1DF2" w:rsidP="00DD1DF2">
            <w:pPr>
              <w:pStyle w:val="KeinLeerraum"/>
              <w:rPr>
                <w:lang w:eastAsia="de-DE"/>
              </w:rPr>
            </w:pPr>
            <w:r w:rsidRPr="00DD1DF2">
              <w:rPr>
                <w:lang w:eastAsia="de-DE"/>
              </w:rPr>
              <w:t>Gericht</w:t>
            </w:r>
          </w:p>
        </w:tc>
        <w:tc>
          <w:tcPr>
            <w:tcW w:w="2419" w:type="pct"/>
            <w:vAlign w:val="center"/>
          </w:tcPr>
          <w:p w14:paraId="45E5642E" w14:textId="7AADAE9E" w:rsidR="00DD1DF2" w:rsidRDefault="00DD1DF2" w:rsidP="00DD1DF2">
            <w:pPr>
              <w:pStyle w:val="KeinLeerraum"/>
              <w:rPr>
                <w:lang w:eastAsia="de-DE"/>
              </w:rPr>
            </w:pPr>
            <w:r w:rsidRPr="00DD1DF2">
              <w:rPr>
                <w:rtl/>
                <w:lang w:eastAsia="de-DE"/>
              </w:rPr>
              <w:t>וַתֵּצֵא אֵשׁ מִלִּפְנֵי יְהוָה וַתֹּאכַל אוֹתָם</w:t>
            </w:r>
            <w:r w:rsidRPr="00DD1DF2">
              <w:rPr>
                <w:lang w:eastAsia="de-DE"/>
              </w:rPr>
              <w:t xml:space="preserve"> (Feuer ging aus von dem Ewigen und fraß sie)</w:t>
            </w:r>
          </w:p>
        </w:tc>
        <w:tc>
          <w:tcPr>
            <w:tcW w:w="2027" w:type="pct"/>
            <w:vAlign w:val="center"/>
          </w:tcPr>
          <w:p w14:paraId="0C4113AD" w14:textId="7410EE2A" w:rsidR="00DD1DF2" w:rsidRDefault="00DD1DF2" w:rsidP="00DD1DF2">
            <w:pPr>
              <w:pStyle w:val="KeinLeerraum"/>
              <w:rPr>
                <w:lang w:eastAsia="de-DE"/>
              </w:rPr>
            </w:pPr>
            <w:r w:rsidRPr="00DD1DF2">
              <w:rPr>
                <w:rtl/>
                <w:lang w:eastAsia="de-DE"/>
              </w:rPr>
              <w:t>וְאֵשׁ יָצְאָה מֵאֵת יְהוָה וַתֹּאכַל אֵת</w:t>
            </w:r>
            <w:r w:rsidRPr="00DD1DF2">
              <w:rPr>
                <w:lang w:eastAsia="de-DE"/>
              </w:rPr>
              <w:t>... (Feuer ging aus von dem Ewigen und fraß die 250 Männer)</w:t>
            </w:r>
          </w:p>
        </w:tc>
      </w:tr>
    </w:tbl>
    <w:p w14:paraId="2DF39491" w14:textId="77777777" w:rsidR="00DD1DF2" w:rsidRPr="00DD1DF2" w:rsidRDefault="00DD1DF2" w:rsidP="00DD1DF2">
      <w:pPr>
        <w:pStyle w:val="KeinLeerraum"/>
        <w:rPr>
          <w:lang w:eastAsia="de-DE"/>
        </w:rPr>
      </w:pPr>
    </w:p>
    <w:p w14:paraId="40D26B59" w14:textId="77777777" w:rsidR="00DD1DF2" w:rsidRPr="00DD1DF2" w:rsidRDefault="00DD1DF2" w:rsidP="00DD1DF2">
      <w:pPr>
        <w:spacing w:before="100" w:beforeAutospacing="1" w:after="100" w:afterAutospacing="1" w:line="240" w:lineRule="auto"/>
        <w:rPr>
          <w:rFonts w:eastAsia="Times New Roman" w:cs="Times New Roman"/>
          <w:lang w:eastAsia="de-DE"/>
        </w:rPr>
      </w:pPr>
      <w:r w:rsidRPr="00DD1DF2">
        <w:rPr>
          <w:rFonts w:eastAsia="Times New Roman" w:cs="Times New Roman"/>
          <w:b/>
          <w:bCs/>
          <w:lang w:eastAsia="de-DE"/>
        </w:rPr>
        <w:t>Die Botschaft:</w:t>
      </w:r>
    </w:p>
    <w:p w14:paraId="636D1CE2" w14:textId="77777777" w:rsidR="00DD1DF2" w:rsidRPr="00DD1DF2" w:rsidRDefault="00DD1DF2" w:rsidP="00DD1DF2">
      <w:pPr>
        <w:spacing w:before="100" w:beforeAutospacing="1" w:after="100" w:afterAutospacing="1" w:line="240" w:lineRule="auto"/>
        <w:rPr>
          <w:rFonts w:eastAsia="Times New Roman" w:cs="Times New Roman"/>
          <w:lang w:eastAsia="de-DE"/>
        </w:rPr>
      </w:pPr>
      <w:r w:rsidRPr="00DD1DF2">
        <w:rPr>
          <w:rFonts w:eastAsia="Times New Roman" w:cs="Times New Roman"/>
          <w:b/>
          <w:bCs/>
          <w:lang w:eastAsia="de-DE"/>
        </w:rPr>
        <w:t>1. Unrechtmäßiger Kult = Tod</w:t>
      </w:r>
    </w:p>
    <w:p w14:paraId="6BF9E4FD" w14:textId="77777777" w:rsidR="00DD1DF2" w:rsidRPr="00DD1DF2" w:rsidRDefault="00DD1DF2" w:rsidP="00DD1DF2">
      <w:pPr>
        <w:numPr>
          <w:ilvl w:val="0"/>
          <w:numId w:val="146"/>
        </w:numPr>
        <w:spacing w:before="100" w:beforeAutospacing="1" w:after="100" w:afterAutospacing="1" w:line="240" w:lineRule="auto"/>
        <w:rPr>
          <w:rFonts w:eastAsia="Times New Roman" w:cs="Times New Roman"/>
          <w:lang w:eastAsia="de-DE"/>
        </w:rPr>
      </w:pPr>
      <w:r w:rsidRPr="00DD1DF2">
        <w:rPr>
          <w:rFonts w:eastAsia="Times New Roman" w:cs="Times New Roman"/>
          <w:b/>
          <w:bCs/>
          <w:lang w:eastAsia="de-DE"/>
        </w:rPr>
        <w:t>Lev 10:</w:t>
      </w:r>
      <w:r w:rsidRPr="00DD1DF2">
        <w:rPr>
          <w:rFonts w:eastAsia="Times New Roman" w:cs="Times New Roman"/>
          <w:lang w:eastAsia="de-DE"/>
        </w:rPr>
        <w:t xml:space="preserve"> Selbst </w:t>
      </w:r>
      <w:r w:rsidRPr="00DD1DF2">
        <w:rPr>
          <w:rFonts w:eastAsia="Times New Roman" w:cs="Times New Roman"/>
          <w:b/>
          <w:bCs/>
          <w:lang w:eastAsia="de-DE"/>
        </w:rPr>
        <w:t>legitime</w:t>
      </w:r>
      <w:r w:rsidRPr="00DD1DF2">
        <w:rPr>
          <w:rFonts w:eastAsia="Times New Roman" w:cs="Times New Roman"/>
          <w:lang w:eastAsia="de-DE"/>
        </w:rPr>
        <w:t xml:space="preserve"> Priester sterben, wenn sie </w:t>
      </w:r>
      <w:r w:rsidRPr="00DD1DF2">
        <w:rPr>
          <w:rFonts w:eastAsia="Times New Roman" w:cs="Times New Roman"/>
          <w:b/>
          <w:bCs/>
          <w:lang w:eastAsia="de-DE"/>
        </w:rPr>
        <w:t>falsch</w:t>
      </w:r>
      <w:r w:rsidRPr="00DD1DF2">
        <w:rPr>
          <w:rFonts w:eastAsia="Times New Roman" w:cs="Times New Roman"/>
          <w:lang w:eastAsia="de-DE"/>
        </w:rPr>
        <w:t xml:space="preserve"> opfern</w:t>
      </w:r>
    </w:p>
    <w:p w14:paraId="6CD2A469" w14:textId="77777777" w:rsidR="00DD1DF2" w:rsidRPr="00DD1DF2" w:rsidRDefault="00DD1DF2" w:rsidP="00DD1DF2">
      <w:pPr>
        <w:numPr>
          <w:ilvl w:val="0"/>
          <w:numId w:val="146"/>
        </w:numPr>
        <w:spacing w:before="100" w:beforeAutospacing="1" w:after="100" w:afterAutospacing="1" w:line="240" w:lineRule="auto"/>
        <w:rPr>
          <w:rFonts w:eastAsia="Times New Roman" w:cs="Times New Roman"/>
          <w:lang w:eastAsia="de-DE"/>
        </w:rPr>
      </w:pPr>
      <w:r w:rsidRPr="00DD1DF2">
        <w:rPr>
          <w:rFonts w:eastAsia="Times New Roman" w:cs="Times New Roman"/>
          <w:b/>
          <w:bCs/>
          <w:lang w:eastAsia="de-DE"/>
        </w:rPr>
        <w:t>Num 16:</w:t>
      </w:r>
      <w:r w:rsidRPr="00DD1DF2">
        <w:rPr>
          <w:rFonts w:eastAsia="Times New Roman" w:cs="Times New Roman"/>
          <w:lang w:eastAsia="de-DE"/>
        </w:rPr>
        <w:t xml:space="preserve"> </w:t>
      </w:r>
      <w:r w:rsidRPr="00DD1DF2">
        <w:rPr>
          <w:rFonts w:eastAsia="Times New Roman" w:cs="Times New Roman"/>
          <w:b/>
          <w:bCs/>
          <w:lang w:eastAsia="de-DE"/>
        </w:rPr>
        <w:t>Illegitime</w:t>
      </w:r>
      <w:r w:rsidRPr="00DD1DF2">
        <w:rPr>
          <w:rFonts w:eastAsia="Times New Roman" w:cs="Times New Roman"/>
          <w:lang w:eastAsia="de-DE"/>
        </w:rPr>
        <w:t xml:space="preserve"> "Priester" sterben, wenn sie </w:t>
      </w:r>
      <w:r w:rsidRPr="00DD1DF2">
        <w:rPr>
          <w:rFonts w:eastAsia="Times New Roman" w:cs="Times New Roman"/>
          <w:b/>
          <w:bCs/>
          <w:lang w:eastAsia="de-DE"/>
        </w:rPr>
        <w:t>überhaupt</w:t>
      </w:r>
      <w:r w:rsidRPr="00DD1DF2">
        <w:rPr>
          <w:rFonts w:eastAsia="Times New Roman" w:cs="Times New Roman"/>
          <w:lang w:eastAsia="de-DE"/>
        </w:rPr>
        <w:t xml:space="preserve"> opfern</w:t>
      </w:r>
    </w:p>
    <w:p w14:paraId="67FA3C90" w14:textId="77777777" w:rsidR="00DD1DF2" w:rsidRPr="00DD1DF2" w:rsidRDefault="00DD1DF2" w:rsidP="00DD1DF2">
      <w:pPr>
        <w:spacing w:before="100" w:beforeAutospacing="1" w:after="100" w:afterAutospacing="1" w:line="240" w:lineRule="auto"/>
        <w:rPr>
          <w:rFonts w:eastAsia="Times New Roman" w:cs="Times New Roman"/>
          <w:lang w:eastAsia="de-DE"/>
        </w:rPr>
      </w:pPr>
      <w:r w:rsidRPr="00DD1DF2">
        <w:rPr>
          <w:rFonts w:eastAsia="Times New Roman" w:cs="Times New Roman"/>
          <w:b/>
          <w:bCs/>
          <w:lang w:eastAsia="de-DE"/>
        </w:rPr>
        <w:t>2. Nähe zu Gott ist gefährlich</w:t>
      </w:r>
    </w:p>
    <w:p w14:paraId="05F25A3A" w14:textId="77777777" w:rsidR="00DD1DF2" w:rsidRPr="00DD1DF2" w:rsidRDefault="00DD1DF2" w:rsidP="00DD1DF2">
      <w:pPr>
        <w:numPr>
          <w:ilvl w:val="0"/>
          <w:numId w:val="147"/>
        </w:numPr>
        <w:spacing w:before="100" w:beforeAutospacing="1" w:after="100" w:afterAutospacing="1" w:line="240" w:lineRule="auto"/>
        <w:rPr>
          <w:rFonts w:eastAsia="Times New Roman" w:cs="Times New Roman"/>
          <w:lang w:eastAsia="de-DE"/>
        </w:rPr>
      </w:pPr>
      <w:r w:rsidRPr="00DD1DF2">
        <w:rPr>
          <w:rFonts w:eastAsia="Times New Roman" w:cs="Times New Roman"/>
          <w:b/>
          <w:bCs/>
          <w:rtl/>
          <w:lang w:eastAsia="de-DE"/>
        </w:rPr>
        <w:t>קְדֹשׁ אֲנִי</w:t>
      </w:r>
      <w:r w:rsidRPr="00DD1DF2">
        <w:rPr>
          <w:rFonts w:eastAsia="Times New Roman" w:cs="Times New Roman"/>
          <w:rtl/>
          <w:lang w:eastAsia="de-DE"/>
        </w:rPr>
        <w:t xml:space="preserve"> </w:t>
      </w:r>
      <w:r w:rsidRPr="00DD1DF2">
        <w:rPr>
          <w:rFonts w:eastAsia="Times New Roman" w:cs="Times New Roman"/>
          <w:lang w:eastAsia="de-DE"/>
        </w:rPr>
        <w:t>(Ich bin heilig, Lev 11,44-45; 19,2; 20,26)</w:t>
      </w:r>
    </w:p>
    <w:p w14:paraId="3D7C047D" w14:textId="77777777" w:rsidR="00DD1DF2" w:rsidRPr="00DD1DF2" w:rsidRDefault="00DD1DF2" w:rsidP="00DD1DF2">
      <w:pPr>
        <w:numPr>
          <w:ilvl w:val="0"/>
          <w:numId w:val="147"/>
        </w:numPr>
        <w:spacing w:before="100" w:beforeAutospacing="1" w:after="100" w:afterAutospacing="1" w:line="240" w:lineRule="auto"/>
        <w:rPr>
          <w:rFonts w:eastAsia="Times New Roman" w:cs="Times New Roman"/>
          <w:lang w:eastAsia="de-DE"/>
        </w:rPr>
      </w:pPr>
      <w:r w:rsidRPr="00DD1DF2">
        <w:rPr>
          <w:rFonts w:eastAsia="Times New Roman" w:cs="Times New Roman"/>
          <w:lang w:eastAsia="de-DE"/>
        </w:rPr>
        <w:t xml:space="preserve">Heiligkeit Gottes erfordert </w:t>
      </w:r>
      <w:r w:rsidRPr="00DD1DF2">
        <w:rPr>
          <w:rFonts w:eastAsia="Times New Roman" w:cs="Times New Roman"/>
          <w:b/>
          <w:bCs/>
          <w:lang w:eastAsia="de-DE"/>
        </w:rPr>
        <w:t>Ehrfurcht</w:t>
      </w:r>
      <w:r w:rsidRPr="00DD1DF2">
        <w:rPr>
          <w:rFonts w:eastAsia="Times New Roman" w:cs="Times New Roman"/>
          <w:lang w:eastAsia="de-DE"/>
        </w:rPr>
        <w:t xml:space="preserve">, nicht </w:t>
      </w:r>
      <w:r w:rsidRPr="00DD1DF2">
        <w:rPr>
          <w:rFonts w:eastAsia="Times New Roman" w:cs="Times New Roman"/>
          <w:b/>
          <w:bCs/>
          <w:lang w:eastAsia="de-DE"/>
        </w:rPr>
        <w:t>Anmaßung</w:t>
      </w:r>
    </w:p>
    <w:p w14:paraId="082AB0EA" w14:textId="77777777" w:rsidR="00362A05" w:rsidRPr="00362A05" w:rsidRDefault="00DD1DF2" w:rsidP="00362A05">
      <w:pPr>
        <w:pStyle w:val="whitespace-normal"/>
      </w:pPr>
      <w:r w:rsidRPr="00DD1DF2">
        <w:rPr>
          <w:b/>
          <w:bCs/>
        </w:rPr>
        <w:lastRenderedPageBreak/>
        <w:t xml:space="preserve">3. </w:t>
      </w:r>
      <w:r w:rsidR="00362A05" w:rsidRPr="00362A05">
        <w:rPr>
          <w:b/>
          <w:bCs/>
        </w:rPr>
        <w:t>Gottes Souveränität</w:t>
      </w:r>
    </w:p>
    <w:p w14:paraId="68D1ACB0" w14:textId="77777777" w:rsidR="00362A05" w:rsidRPr="00362A05" w:rsidRDefault="00362A05" w:rsidP="00B358B7">
      <w:pPr>
        <w:numPr>
          <w:ilvl w:val="0"/>
          <w:numId w:val="148"/>
        </w:num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Gott bestimmt</w:t>
      </w:r>
      <w:r w:rsidRPr="00362A05">
        <w:rPr>
          <w:rFonts w:eastAsia="Times New Roman" w:cs="Times New Roman"/>
          <w:lang w:eastAsia="de-DE"/>
        </w:rPr>
        <w:t xml:space="preserve">, wer ihm </w:t>
      </w:r>
      <w:r w:rsidRPr="00362A05">
        <w:rPr>
          <w:rFonts w:eastAsia="Times New Roman" w:cs="Times New Roman"/>
          <w:b/>
          <w:bCs/>
          <w:lang w:eastAsia="de-DE"/>
        </w:rPr>
        <w:t>nahen</w:t>
      </w:r>
      <w:r w:rsidRPr="00362A05">
        <w:rPr>
          <w:rFonts w:eastAsia="Times New Roman" w:cs="Times New Roman"/>
          <w:lang w:eastAsia="de-DE"/>
        </w:rPr>
        <w:t xml:space="preserve"> darf (V. 5: </w:t>
      </w:r>
      <w:r w:rsidRPr="00362A05">
        <w:rPr>
          <w:rFonts w:eastAsia="Times New Roman" w:cs="Times New Roman"/>
          <w:rtl/>
          <w:lang w:eastAsia="de-DE"/>
        </w:rPr>
        <w:t>וְהִקְרִיב אֵלָיו</w:t>
      </w:r>
      <w:r w:rsidRPr="00362A05">
        <w:rPr>
          <w:rFonts w:eastAsia="Times New Roman" w:cs="Times New Roman"/>
          <w:lang w:eastAsia="de-DE"/>
        </w:rPr>
        <w:t>)</w:t>
      </w:r>
    </w:p>
    <w:p w14:paraId="4EDAD82B" w14:textId="77777777" w:rsidR="00362A05" w:rsidRPr="00362A05" w:rsidRDefault="00362A05" w:rsidP="00B358B7">
      <w:pPr>
        <w:numPr>
          <w:ilvl w:val="0"/>
          <w:numId w:val="148"/>
        </w:num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Nicht Abstammung</w:t>
      </w:r>
      <w:r w:rsidRPr="00362A05">
        <w:rPr>
          <w:rFonts w:eastAsia="Times New Roman" w:cs="Times New Roman"/>
          <w:lang w:eastAsia="de-DE"/>
        </w:rPr>
        <w:t xml:space="preserve"> (Nadab/Abihu waren Aarons Söhne!)</w:t>
      </w:r>
    </w:p>
    <w:p w14:paraId="3CA3C99B" w14:textId="77777777" w:rsidR="00362A05" w:rsidRPr="00362A05" w:rsidRDefault="00362A05" w:rsidP="00B358B7">
      <w:pPr>
        <w:numPr>
          <w:ilvl w:val="0"/>
          <w:numId w:val="148"/>
        </w:num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Nicht Status</w:t>
      </w:r>
      <w:r w:rsidRPr="00362A05">
        <w:rPr>
          <w:rFonts w:eastAsia="Times New Roman" w:cs="Times New Roman"/>
          <w:lang w:eastAsia="de-DE"/>
        </w:rPr>
        <w:t xml:space="preserve"> (die 250 waren "Männer von Namen"!)</w:t>
      </w:r>
    </w:p>
    <w:p w14:paraId="727A0CEE" w14:textId="77777777" w:rsidR="00362A05" w:rsidRPr="00362A05" w:rsidRDefault="00362A05" w:rsidP="00B358B7">
      <w:pPr>
        <w:numPr>
          <w:ilvl w:val="0"/>
          <w:numId w:val="148"/>
        </w:num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Nicht Mehrheit</w:t>
      </w:r>
      <w:r w:rsidRPr="00362A05">
        <w:rPr>
          <w:rFonts w:eastAsia="Times New Roman" w:cs="Times New Roman"/>
          <w:lang w:eastAsia="de-DE"/>
        </w:rPr>
        <w:t xml:space="preserve"> (250 gegen 2!)</w:t>
      </w:r>
    </w:p>
    <w:p w14:paraId="4F4F0D8E" w14:textId="77777777" w:rsidR="00362A05" w:rsidRPr="00362A05" w:rsidRDefault="00362A05" w:rsidP="00B358B7">
      <w:pPr>
        <w:numPr>
          <w:ilvl w:val="0"/>
          <w:numId w:val="148"/>
        </w:num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 xml:space="preserve">Sondern: </w:t>
      </w:r>
      <w:r w:rsidRPr="00362A05">
        <w:rPr>
          <w:rFonts w:eastAsia="Times New Roman" w:cs="Times New Roman"/>
          <w:b/>
          <w:bCs/>
          <w:lang w:eastAsia="de-DE"/>
        </w:rPr>
        <w:t>Gottes Erwählung</w:t>
      </w:r>
      <w:r w:rsidRPr="00362A05">
        <w:rPr>
          <w:rFonts w:eastAsia="Times New Roman" w:cs="Times New Roman"/>
          <w:lang w:eastAsia="de-DE"/>
        </w:rPr>
        <w:t xml:space="preserve"> (</w:t>
      </w:r>
      <w:r w:rsidRPr="00362A05">
        <w:rPr>
          <w:rFonts w:eastAsia="Times New Roman" w:cs="Times New Roman"/>
          <w:rtl/>
          <w:lang w:eastAsia="de-DE"/>
        </w:rPr>
        <w:t>אֵת אֲשֶׁר יִבְחַר־בּוֹ</w:t>
      </w:r>
      <w:r w:rsidRPr="00362A05">
        <w:rPr>
          <w:rFonts w:eastAsia="Times New Roman" w:cs="Times New Roman"/>
          <w:lang w:eastAsia="de-DE"/>
        </w:rPr>
        <w:t>, V. 5)</w:t>
      </w:r>
    </w:p>
    <w:p w14:paraId="26C7ED9C" w14:textId="24E2E860" w:rsidR="00362A05" w:rsidRPr="00362A05" w:rsidRDefault="00362A05" w:rsidP="00362A05">
      <w:pPr>
        <w:pStyle w:val="Listenabsatz"/>
        <w:numPr>
          <w:ilvl w:val="0"/>
          <w:numId w:val="5"/>
        </w:numPr>
        <w:spacing w:before="100" w:beforeAutospacing="1" w:after="100" w:afterAutospacing="1" w:line="240" w:lineRule="auto"/>
        <w:rPr>
          <w:rFonts w:eastAsia="Times New Roman" w:cs="Times New Roman"/>
          <w:b/>
          <w:bCs/>
          <w:lang w:eastAsia="de-DE"/>
        </w:rPr>
      </w:pPr>
      <w:r w:rsidRPr="00362A05">
        <w:rPr>
          <w:rFonts w:eastAsia="Times New Roman" w:cs="Times New Roman"/>
          <w:b/>
          <w:bCs/>
          <w:lang w:eastAsia="de-DE"/>
        </w:rPr>
        <w:t>Das Muster: Feuer vom Herrn</w:t>
      </w:r>
    </w:p>
    <w:tbl>
      <w:tblPr>
        <w:tblStyle w:val="Tabellenraster"/>
        <w:tblW w:w="4994" w:type="pct"/>
        <w:tblLook w:val="04A0" w:firstRow="1" w:lastRow="0" w:firstColumn="1" w:lastColumn="0" w:noHBand="0" w:noVBand="1"/>
      </w:tblPr>
      <w:tblGrid>
        <w:gridCol w:w="1696"/>
        <w:gridCol w:w="2835"/>
        <w:gridCol w:w="4520"/>
      </w:tblGrid>
      <w:tr w:rsidR="00B770B6" w14:paraId="226DF36A" w14:textId="77777777" w:rsidTr="00B770B6">
        <w:tc>
          <w:tcPr>
            <w:tcW w:w="937" w:type="pct"/>
            <w:vAlign w:val="center"/>
          </w:tcPr>
          <w:p w14:paraId="3A0B5C56" w14:textId="1A787F4F"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Stelle</w:t>
            </w:r>
          </w:p>
        </w:tc>
        <w:tc>
          <w:tcPr>
            <w:tcW w:w="1566" w:type="pct"/>
            <w:vAlign w:val="center"/>
          </w:tcPr>
          <w:p w14:paraId="60E22FE6" w14:textId="1BB8B6B2"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Kontext</w:t>
            </w:r>
          </w:p>
        </w:tc>
        <w:tc>
          <w:tcPr>
            <w:tcW w:w="2497" w:type="pct"/>
            <w:vAlign w:val="center"/>
          </w:tcPr>
          <w:p w14:paraId="60547088" w14:textId="18457899"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Ergebnis</w:t>
            </w:r>
          </w:p>
        </w:tc>
      </w:tr>
      <w:tr w:rsidR="00B770B6" w14:paraId="37992918" w14:textId="77777777" w:rsidTr="00B770B6">
        <w:tc>
          <w:tcPr>
            <w:tcW w:w="937" w:type="pct"/>
            <w:vAlign w:val="center"/>
          </w:tcPr>
          <w:p w14:paraId="6F1FF376" w14:textId="62C44F11"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Lev 9,24</w:t>
            </w:r>
          </w:p>
        </w:tc>
        <w:tc>
          <w:tcPr>
            <w:tcW w:w="1566" w:type="pct"/>
            <w:vAlign w:val="center"/>
          </w:tcPr>
          <w:p w14:paraId="37CBDA6C" w14:textId="201A1F50"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Einweihung der Stiftshütte</w:t>
            </w:r>
          </w:p>
        </w:tc>
        <w:tc>
          <w:tcPr>
            <w:tcW w:w="2497" w:type="pct"/>
            <w:vAlign w:val="center"/>
          </w:tcPr>
          <w:p w14:paraId="22873216" w14:textId="252FF543"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rtl/>
                <w:lang w:eastAsia="de-DE"/>
              </w:rPr>
              <w:t xml:space="preserve">וַתֵּצֵא אֵשׁ... וַתֹּאכַל... וַיַּרְא כָּל־הָעָם </w:t>
            </w:r>
            <w:r w:rsidRPr="00362A05">
              <w:rPr>
                <w:rFonts w:eastAsia="Times New Roman" w:cs="Times New Roman"/>
                <w:b/>
                <w:bCs/>
                <w:rtl/>
                <w:lang w:eastAsia="de-DE"/>
              </w:rPr>
              <w:t>וַיָּרֹנּוּ</w:t>
            </w:r>
            <w:r w:rsidRPr="00362A05">
              <w:rPr>
                <w:rFonts w:eastAsia="Times New Roman" w:cs="Times New Roman"/>
                <w:rtl/>
                <w:lang w:eastAsia="de-DE"/>
              </w:rPr>
              <w:t xml:space="preserve"> </w:t>
            </w:r>
            <w:r w:rsidRPr="00362A05">
              <w:rPr>
                <w:rFonts w:eastAsia="Times New Roman" w:cs="Times New Roman"/>
                <w:lang w:eastAsia="de-DE"/>
              </w:rPr>
              <w:t xml:space="preserve">(das Volk </w:t>
            </w:r>
            <w:r w:rsidRPr="00362A05">
              <w:rPr>
                <w:rFonts w:eastAsia="Times New Roman" w:cs="Times New Roman"/>
                <w:b/>
                <w:bCs/>
                <w:lang w:eastAsia="de-DE"/>
              </w:rPr>
              <w:t>jubelte</w:t>
            </w:r>
            <w:r w:rsidRPr="00362A05">
              <w:rPr>
                <w:rFonts w:eastAsia="Times New Roman" w:cs="Times New Roman"/>
                <w:lang w:eastAsia="de-DE"/>
              </w:rPr>
              <w:t>!)</w:t>
            </w:r>
          </w:p>
        </w:tc>
      </w:tr>
      <w:tr w:rsidR="00B770B6" w14:paraId="2DEA3CD3" w14:textId="77777777" w:rsidTr="00B770B6">
        <w:tc>
          <w:tcPr>
            <w:tcW w:w="937" w:type="pct"/>
            <w:vAlign w:val="center"/>
          </w:tcPr>
          <w:p w14:paraId="09CA52EA" w14:textId="2BF61962"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Lev 10,2</w:t>
            </w:r>
          </w:p>
        </w:tc>
        <w:tc>
          <w:tcPr>
            <w:tcW w:w="1566" w:type="pct"/>
            <w:vAlign w:val="center"/>
          </w:tcPr>
          <w:p w14:paraId="31DBA2A4" w14:textId="1B387CBA"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Nadab und Abihu</w:t>
            </w:r>
          </w:p>
        </w:tc>
        <w:tc>
          <w:tcPr>
            <w:tcW w:w="2497" w:type="pct"/>
            <w:vAlign w:val="center"/>
          </w:tcPr>
          <w:p w14:paraId="51FB39EE" w14:textId="6115A0EB"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rtl/>
                <w:lang w:eastAsia="de-DE"/>
              </w:rPr>
              <w:t xml:space="preserve">וַתֵּצֵא אֵשׁ... וַתֹּאכַל אוֹתָם </w:t>
            </w:r>
            <w:r w:rsidRPr="00362A05">
              <w:rPr>
                <w:rFonts w:eastAsia="Times New Roman" w:cs="Times New Roman"/>
                <w:b/>
                <w:bCs/>
                <w:rtl/>
                <w:lang w:eastAsia="de-DE"/>
              </w:rPr>
              <w:t>וַיָּמֻתוּ</w:t>
            </w:r>
            <w:r w:rsidRPr="00362A05">
              <w:rPr>
                <w:rFonts w:eastAsia="Times New Roman" w:cs="Times New Roman"/>
                <w:rtl/>
                <w:lang w:eastAsia="de-DE"/>
              </w:rPr>
              <w:t xml:space="preserve"> </w:t>
            </w:r>
            <w:r w:rsidRPr="00362A05">
              <w:rPr>
                <w:rFonts w:eastAsia="Times New Roman" w:cs="Times New Roman"/>
                <w:lang w:eastAsia="de-DE"/>
              </w:rPr>
              <w:t xml:space="preserve">(sie </w:t>
            </w:r>
            <w:r w:rsidRPr="00362A05">
              <w:rPr>
                <w:rFonts w:eastAsia="Times New Roman" w:cs="Times New Roman"/>
                <w:b/>
                <w:bCs/>
                <w:lang w:eastAsia="de-DE"/>
              </w:rPr>
              <w:t>starben</w:t>
            </w:r>
            <w:r w:rsidRPr="00362A05">
              <w:rPr>
                <w:rFonts w:eastAsia="Times New Roman" w:cs="Times New Roman"/>
                <w:lang w:eastAsia="de-DE"/>
              </w:rPr>
              <w:t>)</w:t>
            </w:r>
          </w:p>
        </w:tc>
      </w:tr>
      <w:tr w:rsidR="00B770B6" w14:paraId="19429BE8" w14:textId="77777777" w:rsidTr="00B770B6">
        <w:tc>
          <w:tcPr>
            <w:tcW w:w="937" w:type="pct"/>
            <w:vAlign w:val="center"/>
          </w:tcPr>
          <w:p w14:paraId="0E2C2A92" w14:textId="64A2A090"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Num 16,35</w:t>
            </w:r>
          </w:p>
        </w:tc>
        <w:tc>
          <w:tcPr>
            <w:tcW w:w="1566" w:type="pct"/>
            <w:vAlign w:val="center"/>
          </w:tcPr>
          <w:p w14:paraId="4F69D431" w14:textId="4DF696D8"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Die 250 Rebellen</w:t>
            </w:r>
          </w:p>
        </w:tc>
        <w:tc>
          <w:tcPr>
            <w:tcW w:w="2497" w:type="pct"/>
            <w:vAlign w:val="center"/>
          </w:tcPr>
          <w:p w14:paraId="29FE3BA3" w14:textId="0805B0D7"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rtl/>
                <w:lang w:eastAsia="de-DE"/>
              </w:rPr>
              <w:t>וְאֵשׁ יָצְאָה... וַתֹּאכַל אֵת הַחֲמִשִּׁים וּמָאתַיִם אִישׁ</w:t>
            </w:r>
          </w:p>
        </w:tc>
      </w:tr>
      <w:tr w:rsidR="00B770B6" w14:paraId="2684F65A" w14:textId="77777777" w:rsidTr="00B770B6">
        <w:tc>
          <w:tcPr>
            <w:tcW w:w="937" w:type="pct"/>
            <w:vAlign w:val="center"/>
          </w:tcPr>
          <w:p w14:paraId="2B63D5E5" w14:textId="5E7FF672"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2 Kön 1,10-12</w:t>
            </w:r>
          </w:p>
        </w:tc>
        <w:tc>
          <w:tcPr>
            <w:tcW w:w="1566" w:type="pct"/>
            <w:vAlign w:val="center"/>
          </w:tcPr>
          <w:p w14:paraId="30117807" w14:textId="6E1E5F88"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Ahasjas Hauptleute</w:t>
            </w:r>
          </w:p>
        </w:tc>
        <w:tc>
          <w:tcPr>
            <w:tcW w:w="2497" w:type="pct"/>
            <w:vAlign w:val="center"/>
          </w:tcPr>
          <w:p w14:paraId="2936631C" w14:textId="1E43E8BB" w:rsidR="00B770B6" w:rsidRDefault="00B770B6" w:rsidP="00B770B6">
            <w:pPr>
              <w:spacing w:before="100" w:beforeAutospacing="1" w:after="100" w:afterAutospacing="1" w:line="240" w:lineRule="auto"/>
              <w:rPr>
                <w:rFonts w:eastAsia="Times New Roman" w:cs="Times New Roman"/>
                <w:lang w:eastAsia="de-DE"/>
              </w:rPr>
            </w:pPr>
            <w:r w:rsidRPr="00362A05">
              <w:rPr>
                <w:rFonts w:eastAsia="Times New Roman" w:cs="Times New Roman"/>
                <w:rtl/>
                <w:lang w:eastAsia="de-DE"/>
              </w:rPr>
              <w:t>וַתֵּרֶד אֵשׁ מִן־הַשָּׁמַיִם וַתֹּאכַל אֹתוֹ</w:t>
            </w:r>
            <w:r w:rsidRPr="00362A05">
              <w:rPr>
                <w:rFonts w:eastAsia="Times New Roman" w:cs="Times New Roman"/>
                <w:lang w:eastAsia="de-DE"/>
              </w:rPr>
              <w:t xml:space="preserve"> (verzehrte ihn)</w:t>
            </w:r>
          </w:p>
        </w:tc>
      </w:tr>
    </w:tbl>
    <w:p w14:paraId="30937B03" w14:textId="77777777" w:rsidR="00362A05" w:rsidRPr="00362A05" w:rsidRDefault="00362A05" w:rsidP="00B770B6">
      <w:pPr>
        <w:pStyle w:val="KeinLeerraum"/>
        <w:rPr>
          <w:lang w:eastAsia="de-DE"/>
        </w:rPr>
      </w:pPr>
    </w:p>
    <w:p w14:paraId="509F4778" w14:textId="77777777" w:rsidR="00362A05" w:rsidRPr="00362A05" w:rsidRDefault="00362A05" w:rsidP="00362A05">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 Dasselbe Feuer, das akzeptierte Opfer verzehrt (Lev 9,24), verzehrt auch unrechtmäßige Anbeter (Lev 10,2; Num 16,35)!</w:t>
      </w:r>
    </w:p>
    <w:p w14:paraId="0985A2C2" w14:textId="77777777" w:rsidR="00362A05" w:rsidRPr="00362A05" w:rsidRDefault="00362A05" w:rsidP="00362A05">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5. NT-Parallele: Hebräer 12,28-29</w:t>
      </w:r>
    </w:p>
    <w:p w14:paraId="66C1AFFC" w14:textId="77777777" w:rsidR="00362A05" w:rsidRPr="00362A05" w:rsidRDefault="00362A05" w:rsidP="00362A05">
      <w:pPr>
        <w:spacing w:beforeAutospacing="1" w:after="100" w:afterAutospacing="1" w:line="240" w:lineRule="auto"/>
        <w:rPr>
          <w:rFonts w:eastAsia="Times New Roman" w:cs="Times New Roman"/>
          <w:lang w:eastAsia="de-DE"/>
        </w:rPr>
      </w:pPr>
      <w:r w:rsidRPr="00362A05">
        <w:rPr>
          <w:rFonts w:eastAsia="Times New Roman" w:cs="Times New Roman"/>
          <w:lang w:eastAsia="de-DE"/>
        </w:rPr>
        <w:t xml:space="preserve">διὸ βασιλείαν ἀσάλευτον παραλαμβάνοντες ἔχωμεν χάριν, δι' ἧς λατρεύωμεν εὐαρέστως τῷ θεῷ </w:t>
      </w:r>
      <w:r w:rsidRPr="00362A05">
        <w:rPr>
          <w:rFonts w:eastAsia="Times New Roman" w:cs="Times New Roman"/>
          <w:b/>
          <w:bCs/>
          <w:lang w:eastAsia="de-DE"/>
        </w:rPr>
        <w:t>μετὰ εὐλαβείας καὶ δέους</w:t>
      </w:r>
      <w:r w:rsidRPr="00362A05">
        <w:rPr>
          <w:rFonts w:eastAsia="Times New Roman" w:cs="Times New Roman"/>
          <w:lang w:eastAsia="de-DE"/>
        </w:rPr>
        <w:t xml:space="preserve">· καὶ γὰρ </w:t>
      </w:r>
      <w:r w:rsidRPr="00362A05">
        <w:rPr>
          <w:rFonts w:eastAsia="Times New Roman" w:cs="Times New Roman"/>
          <w:b/>
          <w:bCs/>
          <w:lang w:eastAsia="de-DE"/>
        </w:rPr>
        <w:t>ὁ θεὸς ἡμῶν πῦρ καταναλίσκον</w:t>
      </w:r>
      <w:r w:rsidRPr="00362A05">
        <w:rPr>
          <w:rFonts w:eastAsia="Times New Roman" w:cs="Times New Roman"/>
          <w:lang w:eastAsia="de-DE"/>
        </w:rPr>
        <w:t>.</w:t>
      </w:r>
    </w:p>
    <w:p w14:paraId="2F8949A3" w14:textId="77777777" w:rsidR="00362A05" w:rsidRPr="00362A05" w:rsidRDefault="00362A05" w:rsidP="00362A05">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 xml:space="preserve">"Darum, da wir ein unerschütterliches Reich empfangen, lasst uns dankbar sein und so Gott dienen </w:t>
      </w:r>
      <w:r w:rsidRPr="00362A05">
        <w:rPr>
          <w:rFonts w:eastAsia="Times New Roman" w:cs="Times New Roman"/>
          <w:b/>
          <w:bCs/>
          <w:lang w:eastAsia="de-DE"/>
        </w:rPr>
        <w:t>mit Ehrfurcht und Scheu</w:t>
      </w:r>
      <w:r w:rsidRPr="00362A05">
        <w:rPr>
          <w:rFonts w:eastAsia="Times New Roman" w:cs="Times New Roman"/>
          <w:lang w:eastAsia="de-DE"/>
        </w:rPr>
        <w:t xml:space="preserve">; denn </w:t>
      </w:r>
      <w:r w:rsidRPr="00362A05">
        <w:rPr>
          <w:rFonts w:eastAsia="Times New Roman" w:cs="Times New Roman"/>
          <w:b/>
          <w:bCs/>
          <w:lang w:eastAsia="de-DE"/>
        </w:rPr>
        <w:t>unser Gott ist ein verzehrendes Feuer</w:t>
      </w:r>
      <w:r w:rsidRPr="00362A05">
        <w:rPr>
          <w:rFonts w:eastAsia="Times New Roman" w:cs="Times New Roman"/>
          <w:lang w:eastAsia="de-DE"/>
        </w:rPr>
        <w:t>."</w:t>
      </w:r>
    </w:p>
    <w:p w14:paraId="40DACC0E" w14:textId="77777777" w:rsidR="00362A05" w:rsidRPr="00362A05" w:rsidRDefault="00362A05" w:rsidP="00362A05">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 Der liebende Gott des NT ist derselbe heilige Gott des AT!</w:t>
      </w:r>
    </w:p>
    <w:p w14:paraId="24D306C2" w14:textId="6867AF99" w:rsidR="00362A05" w:rsidRDefault="00362A05" w:rsidP="00362A05">
      <w:pPr>
        <w:spacing w:before="100" w:beforeAutospacing="1" w:after="100" w:afterAutospacing="1" w:line="240" w:lineRule="auto"/>
        <w:rPr>
          <w:rFonts w:eastAsia="Times New Roman" w:cs="Times New Roman"/>
          <w:b/>
          <w:bCs/>
          <w:lang w:eastAsia="de-DE"/>
        </w:rPr>
      </w:pPr>
      <w:r w:rsidRPr="00362A05">
        <w:rPr>
          <w:rFonts w:eastAsia="Times New Roman" w:cs="Times New Roman"/>
          <w:b/>
          <w:bCs/>
          <w:lang w:eastAsia="de-DE"/>
        </w:rPr>
        <w:t>Theologische Lektionen:</w:t>
      </w:r>
    </w:p>
    <w:tbl>
      <w:tblPr>
        <w:tblStyle w:val="Tabellenraster"/>
        <w:tblW w:w="4994" w:type="pct"/>
        <w:tblLook w:val="04A0" w:firstRow="1" w:lastRow="0" w:firstColumn="1" w:lastColumn="0" w:noHBand="0" w:noVBand="1"/>
      </w:tblPr>
      <w:tblGrid>
        <w:gridCol w:w="3823"/>
        <w:gridCol w:w="5228"/>
      </w:tblGrid>
      <w:tr w:rsidR="00182D84" w14:paraId="6101AD2D" w14:textId="77777777" w:rsidTr="00182D84">
        <w:tc>
          <w:tcPr>
            <w:tcW w:w="2112" w:type="pct"/>
            <w:vAlign w:val="center"/>
          </w:tcPr>
          <w:p w14:paraId="1A16D70D" w14:textId="1EBA9513"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Lektion</w:t>
            </w:r>
          </w:p>
        </w:tc>
        <w:tc>
          <w:tcPr>
            <w:tcW w:w="2888" w:type="pct"/>
            <w:vAlign w:val="center"/>
          </w:tcPr>
          <w:p w14:paraId="7944D739" w14:textId="76F5BBD6"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Begründung</w:t>
            </w:r>
          </w:p>
        </w:tc>
      </w:tr>
      <w:tr w:rsidR="00182D84" w14:paraId="6FC8E4D1" w14:textId="77777777" w:rsidTr="00182D84">
        <w:tc>
          <w:tcPr>
            <w:tcW w:w="2112" w:type="pct"/>
            <w:vAlign w:val="center"/>
          </w:tcPr>
          <w:p w14:paraId="185D80C6" w14:textId="2A8846A9"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1. Heiligkeit ist nicht verhandelbar</w:t>
            </w:r>
          </w:p>
        </w:tc>
        <w:tc>
          <w:tcPr>
            <w:tcW w:w="2888" w:type="pct"/>
            <w:vAlign w:val="center"/>
          </w:tcPr>
          <w:p w14:paraId="5621F535" w14:textId="490B7D90"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Gott bestimmt, wie man ihm naht (Joh 14,6)</w:t>
            </w:r>
          </w:p>
        </w:tc>
      </w:tr>
      <w:tr w:rsidR="00182D84" w14:paraId="7CB35AFA" w14:textId="77777777" w:rsidTr="00182D84">
        <w:tc>
          <w:tcPr>
            <w:tcW w:w="2112" w:type="pct"/>
            <w:vAlign w:val="center"/>
          </w:tcPr>
          <w:p w14:paraId="08FF1BB7" w14:textId="01DE467F"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2. Gute Absichten reichen nicht</w:t>
            </w:r>
          </w:p>
        </w:tc>
        <w:tc>
          <w:tcPr>
            <w:tcW w:w="2888" w:type="pct"/>
            <w:vAlign w:val="center"/>
          </w:tcPr>
          <w:p w14:paraId="3DD703A3" w14:textId="474336BA"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Nadab/Abihu wollten auch Gott ehren – aber falsch</w:t>
            </w:r>
          </w:p>
        </w:tc>
      </w:tr>
      <w:tr w:rsidR="00182D84" w14:paraId="0D7D096F" w14:textId="77777777" w:rsidTr="00182D84">
        <w:tc>
          <w:tcPr>
            <w:tcW w:w="2112" w:type="pct"/>
            <w:vAlign w:val="center"/>
          </w:tcPr>
          <w:p w14:paraId="07B63610" w14:textId="257F7E20"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3. Mehrheit ≠ Recht</w:t>
            </w:r>
          </w:p>
        </w:tc>
        <w:tc>
          <w:tcPr>
            <w:tcW w:w="2888" w:type="pct"/>
            <w:vAlign w:val="center"/>
          </w:tcPr>
          <w:p w14:paraId="7444C66C" w14:textId="271669BE"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250 einflussreiche Männer gegen 2 – Gott wählte die 2</w:t>
            </w:r>
          </w:p>
        </w:tc>
      </w:tr>
      <w:tr w:rsidR="00182D84" w14:paraId="6B56A8A6" w14:textId="77777777" w:rsidTr="00182D84">
        <w:tc>
          <w:tcPr>
            <w:tcW w:w="2112" w:type="pct"/>
            <w:vAlign w:val="center"/>
          </w:tcPr>
          <w:p w14:paraId="10DFA5E4" w14:textId="5EA0B5CA"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4. Nähe ohne Ehrfurcht = Tod</w:t>
            </w:r>
          </w:p>
        </w:tc>
        <w:tc>
          <w:tcPr>
            <w:tcW w:w="2888" w:type="pct"/>
            <w:vAlign w:val="center"/>
          </w:tcPr>
          <w:p w14:paraId="6EEBE900" w14:textId="566ADC53" w:rsidR="00182D84"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"Nahet zu Gott" (Jak 4,8) – aber mit Ehrfurcht!</w:t>
            </w:r>
          </w:p>
        </w:tc>
      </w:tr>
      <w:tr w:rsidR="00182D84" w14:paraId="05EFCEA5" w14:textId="77777777" w:rsidTr="00182D84">
        <w:tc>
          <w:tcPr>
            <w:tcW w:w="2112" w:type="pct"/>
            <w:vAlign w:val="center"/>
          </w:tcPr>
          <w:p w14:paraId="54EADA2B" w14:textId="16F1FD95" w:rsidR="00182D84" w:rsidRPr="00362A05" w:rsidRDefault="00182D84" w:rsidP="00182D84">
            <w:pPr>
              <w:spacing w:before="100" w:beforeAutospacing="1" w:after="100" w:afterAutospacing="1" w:line="240" w:lineRule="auto"/>
              <w:rPr>
                <w:rFonts w:eastAsia="Times New Roman" w:cs="Times New Roman"/>
                <w:b/>
                <w:bCs/>
                <w:lang w:eastAsia="de-DE"/>
              </w:rPr>
            </w:pPr>
            <w:r w:rsidRPr="00362A05">
              <w:rPr>
                <w:rFonts w:eastAsia="Times New Roman" w:cs="Times New Roman"/>
                <w:b/>
                <w:bCs/>
                <w:lang w:eastAsia="de-DE"/>
              </w:rPr>
              <w:t>5. Amt ≠ Garantie</w:t>
            </w:r>
          </w:p>
        </w:tc>
        <w:tc>
          <w:tcPr>
            <w:tcW w:w="2888" w:type="pct"/>
            <w:vAlign w:val="center"/>
          </w:tcPr>
          <w:p w14:paraId="50C08D0B" w14:textId="5C99EF54" w:rsidR="00182D84" w:rsidRPr="00362A05" w:rsidRDefault="00182D84" w:rsidP="00182D84">
            <w:pPr>
              <w:spacing w:before="100" w:beforeAutospacing="1" w:after="100" w:afterAutospacing="1" w:line="240" w:lineRule="auto"/>
              <w:rPr>
                <w:rFonts w:eastAsia="Times New Roman" w:cs="Times New Roman"/>
                <w:lang w:eastAsia="de-DE"/>
              </w:rPr>
            </w:pPr>
            <w:r w:rsidRPr="00362A05">
              <w:rPr>
                <w:rFonts w:eastAsia="Times New Roman" w:cs="Times New Roman"/>
                <w:lang w:eastAsia="de-DE"/>
              </w:rPr>
              <w:t>Selbst Aarons Söhne starben bei Ungehorsam</w:t>
            </w:r>
          </w:p>
        </w:tc>
      </w:tr>
    </w:tbl>
    <w:p w14:paraId="6CC85DB7" w14:textId="77777777" w:rsidR="00362A05" w:rsidRPr="00362A05" w:rsidRDefault="00362A05" w:rsidP="00362A05">
      <w:pPr>
        <w:spacing w:before="100" w:beforeAutospacing="1" w:after="100" w:afterAutospacing="1" w:line="240" w:lineRule="auto"/>
        <w:rPr>
          <w:rFonts w:eastAsia="Times New Roman" w:cs="Times New Roman"/>
          <w:lang w:eastAsia="de-DE"/>
        </w:rPr>
      </w:pPr>
    </w:p>
    <w:p w14:paraId="4DE64586" w14:textId="77777777" w:rsidR="00362A05" w:rsidRPr="00362A05" w:rsidRDefault="00362A05" w:rsidP="00362A05">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Fazit:</w:t>
      </w:r>
    </w:p>
    <w:p w14:paraId="1605F6D4" w14:textId="77777777" w:rsidR="00362A05" w:rsidRPr="00362A05" w:rsidRDefault="00362A05" w:rsidP="00362A05">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Numeri 16,35</w:t>
      </w:r>
      <w:r w:rsidRPr="00362A05">
        <w:rPr>
          <w:rFonts w:eastAsia="Times New Roman" w:cs="Times New Roman"/>
          <w:lang w:eastAsia="de-DE"/>
        </w:rPr>
        <w:t xml:space="preserve"> ist kein </w:t>
      </w:r>
      <w:r w:rsidRPr="00362A05">
        <w:rPr>
          <w:rFonts w:eastAsia="Times New Roman" w:cs="Times New Roman"/>
          <w:b/>
          <w:bCs/>
          <w:lang w:eastAsia="de-DE"/>
        </w:rPr>
        <w:t>isoliertes Ereignis</w:t>
      </w:r>
      <w:r w:rsidRPr="00362A05">
        <w:rPr>
          <w:rFonts w:eastAsia="Times New Roman" w:cs="Times New Roman"/>
          <w:lang w:eastAsia="de-DE"/>
        </w:rPr>
        <w:t xml:space="preserve">, sondern Teil eines </w:t>
      </w:r>
      <w:r w:rsidRPr="00362A05">
        <w:rPr>
          <w:rFonts w:eastAsia="Times New Roman" w:cs="Times New Roman"/>
          <w:b/>
          <w:bCs/>
          <w:lang w:eastAsia="de-DE"/>
        </w:rPr>
        <w:t>theologischen Musters</w:t>
      </w:r>
      <w:r w:rsidRPr="00362A05">
        <w:rPr>
          <w:rFonts w:eastAsia="Times New Roman" w:cs="Times New Roman"/>
          <w:lang w:eastAsia="de-DE"/>
        </w:rPr>
        <w:t xml:space="preserve">: Gott ist </w:t>
      </w:r>
      <w:r w:rsidRPr="00362A05">
        <w:rPr>
          <w:rFonts w:eastAsia="Times New Roman" w:cs="Times New Roman"/>
          <w:b/>
          <w:bCs/>
          <w:lang w:eastAsia="de-DE"/>
        </w:rPr>
        <w:t>heilig</w:t>
      </w:r>
      <w:r w:rsidRPr="00362A05">
        <w:rPr>
          <w:rFonts w:eastAsia="Times New Roman" w:cs="Times New Roman"/>
          <w:lang w:eastAsia="de-DE"/>
        </w:rPr>
        <w:t xml:space="preserve">, und </w:t>
      </w:r>
      <w:r w:rsidRPr="00362A05">
        <w:rPr>
          <w:rFonts w:eastAsia="Times New Roman" w:cs="Times New Roman"/>
          <w:b/>
          <w:bCs/>
          <w:lang w:eastAsia="de-DE"/>
        </w:rPr>
        <w:t>unrechtmäßige Annäherung</w:t>
      </w:r>
      <w:r w:rsidRPr="00362A05">
        <w:rPr>
          <w:rFonts w:eastAsia="Times New Roman" w:cs="Times New Roman"/>
          <w:lang w:eastAsia="de-DE"/>
        </w:rPr>
        <w:t xml:space="preserve"> an ihn ist </w:t>
      </w:r>
      <w:r w:rsidRPr="00362A05">
        <w:rPr>
          <w:rFonts w:eastAsia="Times New Roman" w:cs="Times New Roman"/>
          <w:b/>
          <w:bCs/>
          <w:lang w:eastAsia="de-DE"/>
        </w:rPr>
        <w:t>tödlich</w:t>
      </w:r>
      <w:r w:rsidRPr="00362A05">
        <w:rPr>
          <w:rFonts w:eastAsia="Times New Roman" w:cs="Times New Roman"/>
          <w:lang w:eastAsia="de-DE"/>
        </w:rPr>
        <w:t>. Das gilt für:</w:t>
      </w:r>
    </w:p>
    <w:p w14:paraId="7DDAF1FD" w14:textId="77777777" w:rsidR="00362A05" w:rsidRPr="00362A05" w:rsidRDefault="00362A05" w:rsidP="00B358B7">
      <w:pPr>
        <w:numPr>
          <w:ilvl w:val="0"/>
          <w:numId w:val="149"/>
        </w:numPr>
        <w:spacing w:before="100" w:beforeAutospacing="1" w:after="100" w:afterAutospacing="1" w:line="240" w:lineRule="auto"/>
        <w:rPr>
          <w:rFonts w:eastAsia="Times New Roman" w:cs="Times New Roman"/>
          <w:lang w:eastAsia="de-DE"/>
        </w:rPr>
      </w:pPr>
      <w:r w:rsidRPr="00362A05">
        <w:rPr>
          <w:rFonts w:ascii="Segoe UI Emoji" w:eastAsia="Times New Roman" w:hAnsi="Segoe UI Emoji" w:cs="Segoe UI Emoji"/>
          <w:lang w:eastAsia="de-DE"/>
        </w:rPr>
        <w:t>✅</w:t>
      </w:r>
      <w:r w:rsidRPr="00362A05">
        <w:rPr>
          <w:rFonts w:eastAsia="Times New Roman" w:cs="Times New Roman"/>
          <w:lang w:eastAsia="de-DE"/>
        </w:rPr>
        <w:t xml:space="preserve"> </w:t>
      </w:r>
      <w:r w:rsidRPr="00362A05">
        <w:rPr>
          <w:rFonts w:eastAsia="Times New Roman" w:cs="Times New Roman"/>
          <w:b/>
          <w:bCs/>
          <w:lang w:eastAsia="de-DE"/>
        </w:rPr>
        <w:t>Illegitime</w:t>
      </w:r>
      <w:r w:rsidRPr="00362A05">
        <w:rPr>
          <w:rFonts w:eastAsia="Times New Roman" w:cs="Times New Roman"/>
          <w:lang w:eastAsia="de-DE"/>
        </w:rPr>
        <w:t xml:space="preserve"> "Priester" (Num 16,35)</w:t>
      </w:r>
    </w:p>
    <w:p w14:paraId="538261FB" w14:textId="77777777" w:rsidR="00362A05" w:rsidRPr="00362A05" w:rsidRDefault="00362A05" w:rsidP="00B358B7">
      <w:pPr>
        <w:numPr>
          <w:ilvl w:val="0"/>
          <w:numId w:val="149"/>
        </w:numPr>
        <w:spacing w:before="100" w:beforeAutospacing="1" w:after="100" w:afterAutospacing="1" w:line="240" w:lineRule="auto"/>
        <w:rPr>
          <w:rFonts w:eastAsia="Times New Roman" w:cs="Times New Roman"/>
          <w:lang w:eastAsia="de-DE"/>
        </w:rPr>
      </w:pPr>
      <w:r w:rsidRPr="00362A05">
        <w:rPr>
          <w:rFonts w:ascii="Segoe UI Emoji" w:eastAsia="Times New Roman" w:hAnsi="Segoe UI Emoji" w:cs="Segoe UI Emoji"/>
          <w:lang w:eastAsia="de-DE"/>
        </w:rPr>
        <w:lastRenderedPageBreak/>
        <w:t>✅</w:t>
      </w:r>
      <w:r w:rsidRPr="00362A05">
        <w:rPr>
          <w:rFonts w:eastAsia="Times New Roman" w:cs="Times New Roman"/>
          <w:lang w:eastAsia="de-DE"/>
        </w:rPr>
        <w:t xml:space="preserve"> </w:t>
      </w:r>
      <w:r w:rsidRPr="00362A05">
        <w:rPr>
          <w:rFonts w:eastAsia="Times New Roman" w:cs="Times New Roman"/>
          <w:b/>
          <w:bCs/>
          <w:lang w:eastAsia="de-DE"/>
        </w:rPr>
        <w:t>Legitime</w:t>
      </w:r>
      <w:r w:rsidRPr="00362A05">
        <w:rPr>
          <w:rFonts w:eastAsia="Times New Roman" w:cs="Times New Roman"/>
          <w:lang w:eastAsia="de-DE"/>
        </w:rPr>
        <w:t xml:space="preserve"> Priester, die </w:t>
      </w:r>
      <w:r w:rsidRPr="00362A05">
        <w:rPr>
          <w:rFonts w:eastAsia="Times New Roman" w:cs="Times New Roman"/>
          <w:b/>
          <w:bCs/>
          <w:lang w:eastAsia="de-DE"/>
        </w:rPr>
        <w:t>falsch</w:t>
      </w:r>
      <w:r w:rsidRPr="00362A05">
        <w:rPr>
          <w:rFonts w:eastAsia="Times New Roman" w:cs="Times New Roman"/>
          <w:lang w:eastAsia="de-DE"/>
        </w:rPr>
        <w:t xml:space="preserve"> handeln (Lev 10,2)</w:t>
      </w:r>
    </w:p>
    <w:p w14:paraId="4BF5C9C0" w14:textId="77777777" w:rsidR="00362A05" w:rsidRPr="00362A05" w:rsidRDefault="00362A05" w:rsidP="00B358B7">
      <w:pPr>
        <w:numPr>
          <w:ilvl w:val="0"/>
          <w:numId w:val="149"/>
        </w:numPr>
        <w:spacing w:before="100" w:beforeAutospacing="1" w:after="100" w:afterAutospacing="1" w:line="240" w:lineRule="auto"/>
        <w:rPr>
          <w:rFonts w:eastAsia="Times New Roman" w:cs="Times New Roman"/>
          <w:lang w:eastAsia="de-DE"/>
        </w:rPr>
      </w:pPr>
      <w:r w:rsidRPr="00362A05">
        <w:rPr>
          <w:rFonts w:ascii="Segoe UI Emoji" w:eastAsia="Times New Roman" w:hAnsi="Segoe UI Emoji" w:cs="Segoe UI Emoji"/>
          <w:lang w:eastAsia="de-DE"/>
        </w:rPr>
        <w:t>✅</w:t>
      </w:r>
      <w:r w:rsidRPr="00362A05">
        <w:rPr>
          <w:rFonts w:eastAsia="Times New Roman" w:cs="Times New Roman"/>
          <w:lang w:eastAsia="de-DE"/>
        </w:rPr>
        <w:t xml:space="preserve"> Jede Generation, die Gottes </w:t>
      </w:r>
      <w:r w:rsidRPr="00362A05">
        <w:rPr>
          <w:rFonts w:eastAsia="Times New Roman" w:cs="Times New Roman"/>
          <w:b/>
          <w:bCs/>
          <w:lang w:eastAsia="de-DE"/>
        </w:rPr>
        <w:t>Heiligkeit</w:t>
      </w:r>
      <w:r w:rsidRPr="00362A05">
        <w:rPr>
          <w:rFonts w:eastAsia="Times New Roman" w:cs="Times New Roman"/>
          <w:lang w:eastAsia="de-DE"/>
        </w:rPr>
        <w:t xml:space="preserve"> missachtet</w:t>
      </w:r>
    </w:p>
    <w:p w14:paraId="2F49B659" w14:textId="77777777" w:rsidR="00362A05" w:rsidRPr="00362A05" w:rsidRDefault="00362A05" w:rsidP="00362A05">
      <w:pPr>
        <w:spacing w:before="100" w:beforeAutospacing="1" w:after="100" w:afterAutospacing="1" w:line="240" w:lineRule="auto"/>
        <w:rPr>
          <w:rFonts w:eastAsia="Times New Roman" w:cs="Times New Roman"/>
          <w:lang w:eastAsia="de-DE"/>
        </w:rPr>
      </w:pPr>
      <w:r w:rsidRPr="00362A05">
        <w:rPr>
          <w:rFonts w:eastAsia="Times New Roman" w:cs="Times New Roman"/>
          <w:b/>
          <w:bCs/>
          <w:lang w:eastAsia="de-DE"/>
        </w:rPr>
        <w:t>Anwendung:</w:t>
      </w:r>
      <w:r w:rsidRPr="00362A05">
        <w:rPr>
          <w:rFonts w:eastAsia="Times New Roman" w:cs="Times New Roman"/>
          <w:lang w:eastAsia="de-DE"/>
        </w:rPr>
        <w:t xml:space="preserve"> "</w:t>
      </w:r>
      <w:r w:rsidRPr="00362A05">
        <w:rPr>
          <w:rFonts w:eastAsia="Times New Roman" w:cs="Times New Roman"/>
          <w:b/>
          <w:bCs/>
          <w:lang w:eastAsia="de-DE"/>
        </w:rPr>
        <w:t>Gott lässt sich nicht spotten</w:t>
      </w:r>
      <w:r w:rsidRPr="00362A05">
        <w:rPr>
          <w:rFonts w:eastAsia="Times New Roman" w:cs="Times New Roman"/>
          <w:lang w:eastAsia="de-DE"/>
        </w:rPr>
        <w:t xml:space="preserve">" (Gal 6,7) – nicht aus </w:t>
      </w:r>
      <w:r w:rsidRPr="00362A05">
        <w:rPr>
          <w:rFonts w:eastAsia="Times New Roman" w:cs="Times New Roman"/>
          <w:b/>
          <w:bCs/>
          <w:lang w:eastAsia="de-DE"/>
        </w:rPr>
        <w:t>Willkür</w:t>
      </w:r>
      <w:r w:rsidRPr="00362A05">
        <w:rPr>
          <w:rFonts w:eastAsia="Times New Roman" w:cs="Times New Roman"/>
          <w:lang w:eastAsia="de-DE"/>
        </w:rPr>
        <w:t xml:space="preserve">, sondern weil seine </w:t>
      </w:r>
      <w:r w:rsidRPr="00362A05">
        <w:rPr>
          <w:rFonts w:eastAsia="Times New Roman" w:cs="Times New Roman"/>
          <w:b/>
          <w:bCs/>
          <w:lang w:eastAsia="de-DE"/>
        </w:rPr>
        <w:t>Heiligkeit</w:t>
      </w:r>
      <w:r w:rsidRPr="00362A05">
        <w:rPr>
          <w:rFonts w:eastAsia="Times New Roman" w:cs="Times New Roman"/>
          <w:lang w:eastAsia="de-DE"/>
        </w:rPr>
        <w:t xml:space="preserve"> real ist.</w:t>
      </w:r>
    </w:p>
    <w:p w14:paraId="1F725540" w14:textId="39E547E1" w:rsidR="00DD1DF2" w:rsidRPr="00CB7165" w:rsidRDefault="00CB7165" w:rsidP="00362A05">
      <w:pPr>
        <w:spacing w:before="100" w:beforeAutospacing="1" w:after="100" w:afterAutospacing="1" w:line="240" w:lineRule="auto"/>
        <w:rPr>
          <w:rFonts w:eastAsia="Times New Roman" w:cs="Times New Roman"/>
          <w:b/>
          <w:bCs/>
          <w:kern w:val="36"/>
          <w:sz w:val="48"/>
          <w:szCs w:val="48"/>
          <w:lang w:eastAsia="de-DE"/>
        </w:rPr>
      </w:pPr>
      <w:r w:rsidRPr="00CB7165">
        <w:rPr>
          <w:rFonts w:eastAsia="Times New Roman" w:cs="Times New Roman"/>
          <w:b/>
          <w:bCs/>
          <w:kern w:val="36"/>
          <w:sz w:val="48"/>
          <w:szCs w:val="48"/>
          <w:lang w:eastAsia="de-DE"/>
        </w:rPr>
        <w:t>Numeri 17,1</w:t>
      </w:r>
    </w:p>
    <w:p w14:paraId="102A27C8"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Hebräisch:</w:t>
      </w:r>
      <w:r w:rsidRPr="00CB7165">
        <w:rPr>
          <w:rFonts w:eastAsia="Times New Roman" w:cs="Times New Roman"/>
          <w:lang w:eastAsia="de-DE"/>
        </w:rPr>
        <w:t xml:space="preserve"> </w:t>
      </w:r>
      <w:r w:rsidRPr="00CB7165">
        <w:rPr>
          <w:rFonts w:eastAsia="Times New Roman" w:cs="Times New Roman"/>
          <w:rtl/>
          <w:lang w:eastAsia="de-DE"/>
        </w:rPr>
        <w:t>וַיְדַבֵּ֥ר יְהוָ֖ה אֶל־מֹשֶׁ֥ה לֵּאמֹֽר׃</w:t>
      </w:r>
    </w:p>
    <w:p w14:paraId="3C44E78B"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Deutsch:</w:t>
      </w:r>
      <w:r w:rsidRPr="00CB7165">
        <w:rPr>
          <w:rFonts w:eastAsia="Times New Roman" w:cs="Times New Roman"/>
          <w:lang w:eastAsia="de-DE"/>
        </w:rPr>
        <w:t xml:space="preserve"> Und der Ewige redete zu Mosche, sagend:</w:t>
      </w:r>
    </w:p>
    <w:p w14:paraId="3A7388B4" w14:textId="77777777" w:rsidR="00CB7165" w:rsidRPr="00CB7165" w:rsidRDefault="00F329DD" w:rsidP="00CB7165">
      <w:pPr>
        <w:spacing w:after="0" w:line="240" w:lineRule="auto"/>
        <w:rPr>
          <w:rFonts w:eastAsia="Times New Roman" w:cs="Times New Roman"/>
          <w:lang w:eastAsia="de-DE"/>
        </w:rPr>
      </w:pPr>
      <w:r>
        <w:rPr>
          <w:rFonts w:eastAsia="Times New Roman" w:cs="Times New Roman"/>
          <w:noProof/>
          <w:lang w:eastAsia="de-DE"/>
        </w:rPr>
        <w:pict w14:anchorId="135AFC79">
          <v:rect id="_x0000_i1574" style="width:0;height:1.5pt" o:hralign="center" o:hrstd="t" o:hr="t" fillcolor="#a0a0a0" stroked="f"/>
        </w:pict>
      </w:r>
    </w:p>
    <w:p w14:paraId="7D50269F"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Kommentar:</w:t>
      </w:r>
      <w:r w:rsidRPr="00CB7165">
        <w:rPr>
          <w:rFonts w:eastAsia="Times New Roman" w:cs="Times New Roman"/>
          <w:lang w:eastAsia="de-DE"/>
        </w:rPr>
        <w:t xml:space="preserve"> Das Verb </w:t>
      </w:r>
      <w:r w:rsidRPr="00CB7165">
        <w:rPr>
          <w:rFonts w:eastAsia="Times New Roman" w:cs="Times New Roman"/>
          <w:b/>
          <w:bCs/>
          <w:rtl/>
          <w:lang w:eastAsia="de-DE"/>
        </w:rPr>
        <w:t>וַיְדַבֵּר</w:t>
      </w:r>
      <w:r w:rsidRPr="00CB7165">
        <w:rPr>
          <w:rFonts w:eastAsia="Times New Roman" w:cs="Times New Roman"/>
          <w:rtl/>
          <w:lang w:eastAsia="de-DE"/>
        </w:rPr>
        <w:t xml:space="preserve"> </w:t>
      </w:r>
      <w:r w:rsidRPr="00CB7165">
        <w:rPr>
          <w:rFonts w:eastAsia="Times New Roman" w:cs="Times New Roman"/>
          <w:lang w:eastAsia="de-DE"/>
        </w:rPr>
        <w:t xml:space="preserve">(Wayyiqtol, 3. m. sg. von </w:t>
      </w:r>
      <w:r w:rsidRPr="00CB7165">
        <w:rPr>
          <w:rFonts w:eastAsia="Times New Roman" w:cs="Times New Roman"/>
          <w:b/>
          <w:bCs/>
          <w:rtl/>
          <w:lang w:eastAsia="de-DE"/>
        </w:rPr>
        <w:t>דבר</w:t>
      </w:r>
      <w:r w:rsidRPr="00CB7165">
        <w:rPr>
          <w:rFonts w:eastAsia="Times New Roman" w:cs="Times New Roman"/>
          <w:rtl/>
          <w:lang w:eastAsia="de-DE"/>
        </w:rPr>
        <w:t xml:space="preserve"> </w:t>
      </w:r>
      <w:r w:rsidRPr="00CB7165">
        <w:rPr>
          <w:rFonts w:eastAsia="Times New Roman" w:cs="Times New Roman"/>
          <w:lang w:eastAsia="de-DE"/>
        </w:rPr>
        <w:t xml:space="preserve">Piel) bedeutet „und er redete". Die Piel-Form bezeichnet autoritatives, formelles Reden. </w:t>
      </w:r>
      <w:r w:rsidRPr="00CB7165">
        <w:rPr>
          <w:rFonts w:eastAsia="Times New Roman" w:cs="Times New Roman"/>
          <w:b/>
          <w:bCs/>
          <w:rtl/>
          <w:lang w:eastAsia="de-DE"/>
        </w:rPr>
        <w:t>יְהוָה</w:t>
      </w:r>
      <w:r w:rsidRPr="00CB7165">
        <w:rPr>
          <w:rFonts w:eastAsia="Times New Roman" w:cs="Times New Roman"/>
          <w:rtl/>
          <w:lang w:eastAsia="de-DE"/>
        </w:rPr>
        <w:t xml:space="preserve"> </w:t>
      </w:r>
      <w:r w:rsidRPr="00CB7165">
        <w:rPr>
          <w:rFonts w:eastAsia="Times New Roman" w:cs="Times New Roman"/>
          <w:lang w:eastAsia="de-DE"/>
        </w:rPr>
        <w:t xml:space="preserve">ist das explizite Subjekt (Tetragramm). Die Präpositionalphrase </w:t>
      </w:r>
      <w:r w:rsidRPr="00CB7165">
        <w:rPr>
          <w:rFonts w:eastAsia="Times New Roman" w:cs="Times New Roman"/>
          <w:b/>
          <w:bCs/>
          <w:rtl/>
          <w:lang w:eastAsia="de-DE"/>
        </w:rPr>
        <w:t>אֶל־מֹשֶׁה</w:t>
      </w:r>
      <w:r w:rsidRPr="00CB7165">
        <w:rPr>
          <w:rFonts w:eastAsia="Times New Roman" w:cs="Times New Roman"/>
          <w:rtl/>
          <w:lang w:eastAsia="de-DE"/>
        </w:rPr>
        <w:t xml:space="preserve"> </w:t>
      </w:r>
      <w:r w:rsidRPr="00CB7165">
        <w:rPr>
          <w:rFonts w:eastAsia="Times New Roman" w:cs="Times New Roman"/>
          <w:lang w:eastAsia="de-DE"/>
        </w:rPr>
        <w:t xml:space="preserve">gibt den Adressaten an: </w:t>
      </w:r>
      <w:r w:rsidRPr="00CB7165">
        <w:rPr>
          <w:rFonts w:eastAsia="Times New Roman" w:cs="Times New Roman"/>
          <w:b/>
          <w:bCs/>
          <w:rtl/>
          <w:lang w:eastAsia="de-DE"/>
        </w:rPr>
        <w:t>אֶל</w:t>
      </w:r>
      <w:r w:rsidRPr="00CB7165">
        <w:rPr>
          <w:rFonts w:eastAsia="Times New Roman" w:cs="Times New Roman"/>
          <w:rtl/>
          <w:lang w:eastAsia="de-DE"/>
        </w:rPr>
        <w:t xml:space="preserve"> </w:t>
      </w:r>
      <w:r w:rsidRPr="00CB7165">
        <w:rPr>
          <w:rFonts w:eastAsia="Times New Roman" w:cs="Times New Roman"/>
          <w:lang w:eastAsia="de-DE"/>
        </w:rPr>
        <w:t xml:space="preserve">ist die Präposition „zu", </w:t>
      </w:r>
      <w:r w:rsidRPr="00CB7165">
        <w:rPr>
          <w:rFonts w:eastAsia="Times New Roman" w:cs="Times New Roman"/>
          <w:b/>
          <w:bCs/>
          <w:rtl/>
          <w:lang w:eastAsia="de-DE"/>
        </w:rPr>
        <w:t>מֹשֶׁה</w:t>
      </w:r>
      <w:r w:rsidRPr="00CB7165">
        <w:rPr>
          <w:rFonts w:eastAsia="Times New Roman" w:cs="Times New Roman"/>
          <w:rtl/>
          <w:lang w:eastAsia="de-DE"/>
        </w:rPr>
        <w:t xml:space="preserve"> </w:t>
      </w:r>
      <w:r w:rsidRPr="00CB7165">
        <w:rPr>
          <w:rFonts w:eastAsia="Times New Roman" w:cs="Times New Roman"/>
          <w:lang w:eastAsia="de-DE"/>
        </w:rPr>
        <w:t xml:space="preserve">(Mose). Das Verb </w:t>
      </w:r>
      <w:r w:rsidRPr="00CB7165">
        <w:rPr>
          <w:rFonts w:eastAsia="Times New Roman" w:cs="Times New Roman"/>
          <w:b/>
          <w:bCs/>
          <w:rtl/>
          <w:lang w:eastAsia="de-DE"/>
        </w:rPr>
        <w:t>לֵּאמֹר</w:t>
      </w:r>
      <w:r w:rsidRPr="00CB7165">
        <w:rPr>
          <w:rFonts w:eastAsia="Times New Roman" w:cs="Times New Roman"/>
          <w:rtl/>
          <w:lang w:eastAsia="de-DE"/>
        </w:rPr>
        <w:t xml:space="preserve"> </w:t>
      </w:r>
      <w:r w:rsidRPr="00CB7165">
        <w:rPr>
          <w:rFonts w:eastAsia="Times New Roman" w:cs="Times New Roman"/>
          <w:lang w:eastAsia="de-DE"/>
        </w:rPr>
        <w:t xml:space="preserve">ist der Qal Infinitiv construct von </w:t>
      </w:r>
      <w:r w:rsidRPr="00CB7165">
        <w:rPr>
          <w:rFonts w:eastAsia="Times New Roman" w:cs="Times New Roman"/>
          <w:b/>
          <w:bCs/>
          <w:rtl/>
          <w:lang w:eastAsia="de-DE"/>
        </w:rPr>
        <w:t>אמר</w:t>
      </w:r>
      <w:r w:rsidRPr="00CB7165">
        <w:rPr>
          <w:rFonts w:eastAsia="Times New Roman" w:cs="Times New Roman"/>
          <w:rtl/>
          <w:lang w:eastAsia="de-DE"/>
        </w:rPr>
        <w:t xml:space="preserve"> </w:t>
      </w:r>
      <w:r w:rsidRPr="00CB7165">
        <w:rPr>
          <w:rFonts w:eastAsia="Times New Roman" w:cs="Times New Roman"/>
          <w:lang w:eastAsia="de-DE"/>
        </w:rPr>
        <w:t xml:space="preserve">mit der Präposition </w:t>
      </w:r>
      <w:r w:rsidRPr="00CB7165">
        <w:rPr>
          <w:rFonts w:eastAsia="Times New Roman" w:cs="Times New Roman"/>
          <w:b/>
          <w:bCs/>
          <w:rtl/>
          <w:lang w:eastAsia="de-DE"/>
        </w:rPr>
        <w:t>לְ</w:t>
      </w:r>
      <w:r w:rsidRPr="00CB7165">
        <w:rPr>
          <w:rFonts w:eastAsia="Times New Roman" w:cs="Times New Roman"/>
          <w:rtl/>
          <w:lang w:eastAsia="de-DE"/>
        </w:rPr>
        <w:t xml:space="preserve"> </w:t>
      </w:r>
      <w:r w:rsidRPr="00CB7165">
        <w:rPr>
          <w:rFonts w:eastAsia="Times New Roman" w:cs="Times New Roman"/>
          <w:lang w:eastAsia="de-DE"/>
        </w:rPr>
        <w:t>als Redeeinleitung: „sagend".</w:t>
      </w:r>
    </w:p>
    <w:p w14:paraId="5F0C244B" w14:textId="77777777" w:rsidR="000039C6" w:rsidRDefault="000039C6" w:rsidP="00CB7165">
      <w:pPr>
        <w:spacing w:before="100" w:beforeAutospacing="1" w:after="100" w:afterAutospacing="1" w:line="240" w:lineRule="auto"/>
      </w:pPr>
      <w:r>
        <w:rPr>
          <w:rStyle w:val="Fett"/>
        </w:rPr>
        <w:t>Verse 1-15 (MT) fehlen in LXX Kapitel 17:</w:t>
      </w:r>
      <w:r>
        <w:t xml:space="preserve"> </w:t>
      </w:r>
      <w:r>
        <w:rPr>
          <w:rStyle w:val="Fett"/>
        </w:rPr>
        <w:t>Die LXX</w:t>
      </w:r>
      <w:r>
        <w:t xml:space="preserve"> hat die Verse über Eleasar, der die Räucherpfannen einsammelt (MT 17,1-5), sowie die Erzählung über die Plage und Aarons Sühnedienst (MT 17,6-15) bereits am Ende von Kapitel 16 eingefügt. Daher beginnt LXX Kapitel 17 direkt mit der Geschichte von Aarons Stab, was zu einer völligen Verschiebung der Versnummerierung führt.</w:t>
      </w:r>
    </w:p>
    <w:p w14:paraId="57EEDD57" w14:textId="052B0930"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Die Satzstruktur zeigt einen Hauptsatz mit Verb, explizitem Subjekt, Präpositionalphrase und Redeeinleitung (Infinitiv construct). Es gibt keine Nebensätze.</w:t>
      </w:r>
    </w:p>
    <w:p w14:paraId="01AE33DE"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Der Vers ist eine stereotype Redeeinleitungsformel, die die göttliche Anweisung zur Behandlung der heiligen Gegenstände nach dem Gericht einleitet.</w:t>
      </w:r>
    </w:p>
    <w:p w14:paraId="13087649" w14:textId="77777777" w:rsidR="00CB7165" w:rsidRPr="00CB7165" w:rsidRDefault="00CB7165" w:rsidP="00CB7165">
      <w:pPr>
        <w:spacing w:before="100" w:beforeAutospacing="1" w:after="100" w:afterAutospacing="1" w:line="240" w:lineRule="auto"/>
        <w:outlineLvl w:val="0"/>
        <w:rPr>
          <w:rFonts w:eastAsia="Times New Roman" w:cs="Times New Roman"/>
          <w:b/>
          <w:bCs/>
          <w:kern w:val="36"/>
          <w:sz w:val="48"/>
          <w:szCs w:val="48"/>
          <w:lang w:eastAsia="de-DE"/>
        </w:rPr>
      </w:pPr>
      <w:r w:rsidRPr="00CB7165">
        <w:rPr>
          <w:rFonts w:eastAsia="Times New Roman" w:cs="Times New Roman"/>
          <w:b/>
          <w:bCs/>
          <w:kern w:val="36"/>
          <w:sz w:val="48"/>
          <w:szCs w:val="48"/>
          <w:lang w:eastAsia="de-DE"/>
        </w:rPr>
        <w:t>Numeri 17,2</w:t>
      </w:r>
    </w:p>
    <w:p w14:paraId="46AE8F8F"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Hebräisch:</w:t>
      </w:r>
      <w:r w:rsidRPr="00CB7165">
        <w:rPr>
          <w:rFonts w:eastAsia="Times New Roman" w:cs="Times New Roman"/>
          <w:lang w:eastAsia="de-DE"/>
        </w:rPr>
        <w:t xml:space="preserve"> </w:t>
      </w:r>
      <w:r w:rsidRPr="00CB7165">
        <w:rPr>
          <w:rFonts w:eastAsia="Times New Roman" w:cs="Times New Roman"/>
          <w:rtl/>
          <w:lang w:eastAsia="de-DE"/>
        </w:rPr>
        <w:t>אֱמֹ֨ר אֶל־אֶלְעָזָ֜ר בֶּן־אַהֲרֹ֣ן הַכֹּהֵ֗ן וְיָרֵ֤ם אֶת־הַמַּחְתֹּת֙ מִבֵּ֣ין הַשְּׂרֵפָ֔ה וְאֶת־הָאֵ֖שׁ זְרֵה־הָ֑לְאָה כִּ֖י קָדֵֽשׁוּ׃</w:t>
      </w:r>
    </w:p>
    <w:p w14:paraId="31C644E8"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Deutsch:</w:t>
      </w:r>
      <w:r w:rsidRPr="00CB7165">
        <w:rPr>
          <w:rFonts w:eastAsia="Times New Roman" w:cs="Times New Roman"/>
          <w:lang w:eastAsia="de-DE"/>
        </w:rPr>
        <w:t xml:space="preserve"> Sprich zu Eleasar, dem Sohn Aharons, des Priesters, dass er die Räucherpfannen aus dem Brand aufhebe; und streue das Feuer weg, denn sie sind heilig geworden.</w:t>
      </w:r>
    </w:p>
    <w:p w14:paraId="1E4E3799" w14:textId="77777777" w:rsidR="00CB7165" w:rsidRPr="00CB7165" w:rsidRDefault="00F329DD" w:rsidP="00CB7165">
      <w:pPr>
        <w:spacing w:after="0" w:line="240" w:lineRule="auto"/>
        <w:rPr>
          <w:rFonts w:eastAsia="Times New Roman" w:cs="Times New Roman"/>
          <w:lang w:eastAsia="de-DE"/>
        </w:rPr>
      </w:pPr>
      <w:r>
        <w:rPr>
          <w:rFonts w:eastAsia="Times New Roman" w:cs="Times New Roman"/>
          <w:noProof/>
          <w:lang w:eastAsia="de-DE"/>
        </w:rPr>
        <w:pict w14:anchorId="24945FBF">
          <v:rect id="_x0000_i1575" style="width:0;height:1.5pt" o:hralign="center" o:hrstd="t" o:hr="t" fillcolor="#a0a0a0" stroked="f"/>
        </w:pict>
      </w:r>
    </w:p>
    <w:p w14:paraId="39B7AEB7"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Kommentar:</w:t>
      </w:r>
      <w:r w:rsidRPr="00CB7165">
        <w:rPr>
          <w:rFonts w:eastAsia="Times New Roman" w:cs="Times New Roman"/>
          <w:lang w:eastAsia="de-DE"/>
        </w:rPr>
        <w:t xml:space="preserve"> Das Verb </w:t>
      </w:r>
      <w:r w:rsidRPr="00CB7165">
        <w:rPr>
          <w:rFonts w:eastAsia="Times New Roman" w:cs="Times New Roman"/>
          <w:b/>
          <w:bCs/>
          <w:rtl/>
          <w:lang w:eastAsia="de-DE"/>
        </w:rPr>
        <w:t>אֱמֹר</w:t>
      </w:r>
      <w:r w:rsidRPr="00CB7165">
        <w:rPr>
          <w:rFonts w:eastAsia="Times New Roman" w:cs="Times New Roman"/>
          <w:rtl/>
          <w:lang w:eastAsia="de-DE"/>
        </w:rPr>
        <w:t xml:space="preserve"> </w:t>
      </w:r>
      <w:r w:rsidRPr="00CB7165">
        <w:rPr>
          <w:rFonts w:eastAsia="Times New Roman" w:cs="Times New Roman"/>
          <w:lang w:eastAsia="de-DE"/>
        </w:rPr>
        <w:t xml:space="preserve">(Qal Imperativ, 2. m. sg. von </w:t>
      </w:r>
      <w:r w:rsidRPr="00CB7165">
        <w:rPr>
          <w:rFonts w:eastAsia="Times New Roman" w:cs="Times New Roman"/>
          <w:b/>
          <w:bCs/>
          <w:rtl/>
          <w:lang w:eastAsia="de-DE"/>
        </w:rPr>
        <w:t>אמר</w:t>
      </w:r>
      <w:r w:rsidRPr="00CB7165">
        <w:rPr>
          <w:rFonts w:eastAsia="Times New Roman" w:cs="Times New Roman"/>
          <w:lang w:eastAsia="de-DE"/>
        </w:rPr>
        <w:t xml:space="preserve">) bedeutet „sprich". Der Imperativ richtet sich an Mose. Die Präpositionalphrase </w:t>
      </w:r>
      <w:r w:rsidRPr="00CB7165">
        <w:rPr>
          <w:rFonts w:eastAsia="Times New Roman" w:cs="Times New Roman"/>
          <w:b/>
          <w:bCs/>
          <w:rtl/>
          <w:lang w:eastAsia="de-DE"/>
        </w:rPr>
        <w:t>אֶל־אֶלְעָזָר בֶּן־אַהֲרֹן הַכֹּהֵן</w:t>
      </w:r>
      <w:r w:rsidRPr="00CB7165">
        <w:rPr>
          <w:rFonts w:eastAsia="Times New Roman" w:cs="Times New Roman"/>
          <w:rtl/>
          <w:lang w:eastAsia="de-DE"/>
        </w:rPr>
        <w:t xml:space="preserve"> </w:t>
      </w:r>
      <w:r w:rsidRPr="00CB7165">
        <w:rPr>
          <w:rFonts w:eastAsia="Times New Roman" w:cs="Times New Roman"/>
          <w:lang w:eastAsia="de-DE"/>
        </w:rPr>
        <w:t xml:space="preserve">gibt den Adressaten an: </w:t>
      </w:r>
      <w:r w:rsidRPr="00CB7165">
        <w:rPr>
          <w:rFonts w:eastAsia="Times New Roman" w:cs="Times New Roman"/>
          <w:b/>
          <w:bCs/>
          <w:rtl/>
          <w:lang w:eastAsia="de-DE"/>
        </w:rPr>
        <w:t>אֶל</w:t>
      </w:r>
      <w:r w:rsidRPr="00CB7165">
        <w:rPr>
          <w:rFonts w:eastAsia="Times New Roman" w:cs="Times New Roman"/>
          <w:rtl/>
          <w:lang w:eastAsia="de-DE"/>
        </w:rPr>
        <w:t xml:space="preserve"> </w:t>
      </w:r>
      <w:r w:rsidRPr="00CB7165">
        <w:rPr>
          <w:rFonts w:eastAsia="Times New Roman" w:cs="Times New Roman"/>
          <w:lang w:eastAsia="de-DE"/>
        </w:rPr>
        <w:t xml:space="preserve">ist „zu", </w:t>
      </w:r>
      <w:r w:rsidRPr="00CB7165">
        <w:rPr>
          <w:rFonts w:eastAsia="Times New Roman" w:cs="Times New Roman"/>
          <w:b/>
          <w:bCs/>
          <w:rtl/>
          <w:lang w:eastAsia="de-DE"/>
        </w:rPr>
        <w:t>אֶלְעָזָר</w:t>
      </w:r>
      <w:r w:rsidRPr="00CB7165">
        <w:rPr>
          <w:rFonts w:eastAsia="Times New Roman" w:cs="Times New Roman"/>
          <w:rtl/>
          <w:lang w:eastAsia="de-DE"/>
        </w:rPr>
        <w:t xml:space="preserve"> </w:t>
      </w:r>
      <w:r w:rsidRPr="00CB7165">
        <w:rPr>
          <w:rFonts w:eastAsia="Times New Roman" w:cs="Times New Roman"/>
          <w:lang w:eastAsia="de-DE"/>
        </w:rPr>
        <w:t xml:space="preserve">ist der Eigenname (Eleasar), </w:t>
      </w:r>
      <w:r w:rsidRPr="00CB7165">
        <w:rPr>
          <w:rFonts w:eastAsia="Times New Roman" w:cs="Times New Roman"/>
          <w:b/>
          <w:bCs/>
          <w:rtl/>
          <w:lang w:eastAsia="de-DE"/>
        </w:rPr>
        <w:t>בֶּן־אַהֲרֹן</w:t>
      </w:r>
      <w:r w:rsidRPr="00CB7165">
        <w:rPr>
          <w:rFonts w:eastAsia="Times New Roman" w:cs="Times New Roman"/>
          <w:rtl/>
          <w:lang w:eastAsia="de-DE"/>
        </w:rPr>
        <w:t xml:space="preserve"> </w:t>
      </w:r>
      <w:r w:rsidRPr="00CB7165">
        <w:rPr>
          <w:rFonts w:eastAsia="Times New Roman" w:cs="Times New Roman"/>
          <w:lang w:eastAsia="de-DE"/>
        </w:rPr>
        <w:t>ist „Sohn Aarons" (</w:t>
      </w:r>
      <w:r w:rsidRPr="00CB7165">
        <w:rPr>
          <w:rFonts w:eastAsia="Times New Roman" w:cs="Times New Roman"/>
          <w:b/>
          <w:bCs/>
          <w:rtl/>
          <w:lang w:eastAsia="de-DE"/>
        </w:rPr>
        <w:t>בֵּן</w:t>
      </w:r>
      <w:r w:rsidRPr="00CB7165">
        <w:rPr>
          <w:rFonts w:eastAsia="Times New Roman" w:cs="Times New Roman"/>
          <w:rtl/>
          <w:lang w:eastAsia="de-DE"/>
        </w:rPr>
        <w:t xml:space="preserve"> </w:t>
      </w:r>
      <w:r w:rsidRPr="00CB7165">
        <w:rPr>
          <w:rFonts w:eastAsia="Times New Roman" w:cs="Times New Roman"/>
          <w:lang w:eastAsia="de-DE"/>
        </w:rPr>
        <w:t xml:space="preserve">im Constructus), </w:t>
      </w:r>
      <w:r w:rsidRPr="00CB7165">
        <w:rPr>
          <w:rFonts w:eastAsia="Times New Roman" w:cs="Times New Roman"/>
          <w:b/>
          <w:bCs/>
          <w:rtl/>
          <w:lang w:eastAsia="de-DE"/>
        </w:rPr>
        <w:t>הַכֹּהֵן</w:t>
      </w:r>
      <w:r w:rsidRPr="00CB7165">
        <w:rPr>
          <w:rFonts w:eastAsia="Times New Roman" w:cs="Times New Roman"/>
          <w:rtl/>
          <w:lang w:eastAsia="de-DE"/>
        </w:rPr>
        <w:t xml:space="preserve"> </w:t>
      </w:r>
      <w:r w:rsidRPr="00CB7165">
        <w:rPr>
          <w:rFonts w:eastAsia="Times New Roman" w:cs="Times New Roman"/>
          <w:lang w:eastAsia="de-DE"/>
        </w:rPr>
        <w:t>ist die Apposition „der Priester". Eleasar wird genannt, weil Aaron als Hoherpriester sich nicht den Toten nähern darf.</w:t>
      </w:r>
    </w:p>
    <w:p w14:paraId="56B67CEB"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lastRenderedPageBreak/>
        <w:t xml:space="preserve">Das koordinierte Verb </w:t>
      </w:r>
      <w:r w:rsidRPr="00CB7165">
        <w:rPr>
          <w:rFonts w:eastAsia="Times New Roman" w:cs="Times New Roman"/>
          <w:b/>
          <w:bCs/>
          <w:rtl/>
          <w:lang w:eastAsia="de-DE"/>
        </w:rPr>
        <w:t>וְיָרֵם</w:t>
      </w:r>
      <w:r w:rsidRPr="00CB7165">
        <w:rPr>
          <w:rFonts w:eastAsia="Times New Roman" w:cs="Times New Roman"/>
          <w:rtl/>
          <w:lang w:eastAsia="de-DE"/>
        </w:rPr>
        <w:t xml:space="preserve"> </w:t>
      </w:r>
      <w:r w:rsidRPr="00CB7165">
        <w:rPr>
          <w:rFonts w:eastAsia="Times New Roman" w:cs="Times New Roman"/>
          <w:lang w:eastAsia="de-DE"/>
        </w:rPr>
        <w:t xml:space="preserve">(Waw + Hifil Imperfekt/Jussiv, 3. m. sg. von </w:t>
      </w:r>
      <w:r w:rsidRPr="00CB7165">
        <w:rPr>
          <w:rFonts w:eastAsia="Times New Roman" w:cs="Times New Roman"/>
          <w:b/>
          <w:bCs/>
          <w:rtl/>
          <w:lang w:eastAsia="de-DE"/>
        </w:rPr>
        <w:t>רום</w:t>
      </w:r>
      <w:r w:rsidRPr="00CB7165">
        <w:rPr>
          <w:rFonts w:eastAsia="Times New Roman" w:cs="Times New Roman"/>
          <w:lang w:eastAsia="de-DE"/>
        </w:rPr>
        <w:t xml:space="preserve">) bedeutet „und er soll aufheben, erheben". Die Hifil-Form ist kausativ. Das Objekt </w:t>
      </w:r>
      <w:r w:rsidRPr="00CB7165">
        <w:rPr>
          <w:rFonts w:eastAsia="Times New Roman" w:cs="Times New Roman"/>
          <w:b/>
          <w:bCs/>
          <w:rtl/>
          <w:lang w:eastAsia="de-DE"/>
        </w:rPr>
        <w:t>אֶת־הַמַּחְתֹּת</w:t>
      </w:r>
      <w:r w:rsidRPr="00CB7165">
        <w:rPr>
          <w:rFonts w:eastAsia="Times New Roman" w:cs="Times New Roman"/>
          <w:rtl/>
          <w:lang w:eastAsia="de-DE"/>
        </w:rPr>
        <w:t xml:space="preserve"> </w:t>
      </w:r>
      <w:r w:rsidRPr="00CB7165">
        <w:rPr>
          <w:rFonts w:eastAsia="Times New Roman" w:cs="Times New Roman"/>
          <w:lang w:eastAsia="de-DE"/>
        </w:rPr>
        <w:t xml:space="preserve">ist „die Räucherpfannen" (Plural von </w:t>
      </w:r>
      <w:r w:rsidRPr="00CB7165">
        <w:rPr>
          <w:rFonts w:eastAsia="Times New Roman" w:cs="Times New Roman"/>
          <w:b/>
          <w:bCs/>
          <w:rtl/>
          <w:lang w:eastAsia="de-DE"/>
        </w:rPr>
        <w:t>מַחְתָּה</w:t>
      </w:r>
      <w:r w:rsidRPr="00CB7165">
        <w:rPr>
          <w:rFonts w:eastAsia="Times New Roman" w:cs="Times New Roman"/>
          <w:rtl/>
          <w:lang w:eastAsia="de-DE"/>
        </w:rPr>
        <w:t xml:space="preserve"> </w:t>
      </w:r>
      <w:r w:rsidRPr="00CB7165">
        <w:rPr>
          <w:rFonts w:eastAsia="Times New Roman" w:cs="Times New Roman"/>
          <w:lang w:eastAsia="de-DE"/>
        </w:rPr>
        <w:t xml:space="preserve">mit Artikel und Objektpartikel). Die Präposition </w:t>
      </w:r>
      <w:r w:rsidRPr="00CB7165">
        <w:rPr>
          <w:rFonts w:eastAsia="Times New Roman" w:cs="Times New Roman"/>
          <w:b/>
          <w:bCs/>
          <w:rtl/>
          <w:lang w:eastAsia="de-DE"/>
        </w:rPr>
        <w:t>מִבֵּין הַשְּׂרֵפָה</w:t>
      </w:r>
      <w:r w:rsidRPr="00CB7165">
        <w:rPr>
          <w:rFonts w:eastAsia="Times New Roman" w:cs="Times New Roman"/>
          <w:rtl/>
          <w:lang w:eastAsia="de-DE"/>
        </w:rPr>
        <w:t xml:space="preserve"> </w:t>
      </w:r>
      <w:r w:rsidRPr="00CB7165">
        <w:rPr>
          <w:rFonts w:eastAsia="Times New Roman" w:cs="Times New Roman"/>
          <w:lang w:eastAsia="de-DE"/>
        </w:rPr>
        <w:t xml:space="preserve">gibt an, woher sie aufzuheben sind: </w:t>
      </w:r>
      <w:r w:rsidRPr="00CB7165">
        <w:rPr>
          <w:rFonts w:eastAsia="Times New Roman" w:cs="Times New Roman"/>
          <w:b/>
          <w:bCs/>
          <w:rtl/>
          <w:lang w:eastAsia="de-DE"/>
        </w:rPr>
        <w:t>מִבֵּין</w:t>
      </w:r>
      <w:r w:rsidRPr="00CB7165">
        <w:rPr>
          <w:rFonts w:eastAsia="Times New Roman" w:cs="Times New Roman"/>
          <w:rtl/>
          <w:lang w:eastAsia="de-DE"/>
        </w:rPr>
        <w:t xml:space="preserve"> </w:t>
      </w:r>
      <w:r w:rsidRPr="00CB7165">
        <w:rPr>
          <w:rFonts w:eastAsia="Times New Roman" w:cs="Times New Roman"/>
          <w:lang w:eastAsia="de-DE"/>
        </w:rPr>
        <w:t xml:space="preserve">ist „aus der Mitte von", </w:t>
      </w:r>
      <w:r w:rsidRPr="00CB7165">
        <w:rPr>
          <w:rFonts w:eastAsia="Times New Roman" w:cs="Times New Roman"/>
          <w:b/>
          <w:bCs/>
          <w:rtl/>
          <w:lang w:eastAsia="de-DE"/>
        </w:rPr>
        <w:t>הַשְּׂרֵפָה</w:t>
      </w:r>
      <w:r w:rsidRPr="00CB7165">
        <w:rPr>
          <w:rFonts w:eastAsia="Times New Roman" w:cs="Times New Roman"/>
          <w:rtl/>
          <w:lang w:eastAsia="de-DE"/>
        </w:rPr>
        <w:t xml:space="preserve"> </w:t>
      </w:r>
      <w:r w:rsidRPr="00CB7165">
        <w:rPr>
          <w:rFonts w:eastAsia="Times New Roman" w:cs="Times New Roman"/>
          <w:lang w:eastAsia="de-DE"/>
        </w:rPr>
        <w:t xml:space="preserve">ist „der Brand, das Verbrannte" (von </w:t>
      </w:r>
      <w:r w:rsidRPr="00CB7165">
        <w:rPr>
          <w:rFonts w:eastAsia="Times New Roman" w:cs="Times New Roman"/>
          <w:b/>
          <w:bCs/>
          <w:rtl/>
          <w:lang w:eastAsia="de-DE"/>
        </w:rPr>
        <w:t>שׂרף</w:t>
      </w:r>
      <w:r w:rsidRPr="00CB7165">
        <w:rPr>
          <w:rFonts w:eastAsia="Times New Roman" w:cs="Times New Roman"/>
          <w:lang w:eastAsia="de-DE"/>
        </w:rPr>
        <w:t>, „brennen").</w:t>
      </w:r>
    </w:p>
    <w:p w14:paraId="31E3266D"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 xml:space="preserve">Das koordinierte Objekt </w:t>
      </w:r>
      <w:r w:rsidRPr="00CB7165">
        <w:rPr>
          <w:rFonts w:eastAsia="Times New Roman" w:cs="Times New Roman"/>
          <w:b/>
          <w:bCs/>
          <w:rtl/>
          <w:lang w:eastAsia="de-DE"/>
        </w:rPr>
        <w:t>וְאֶת־הָאֵשׁ</w:t>
      </w:r>
      <w:r w:rsidRPr="00CB7165">
        <w:rPr>
          <w:rFonts w:eastAsia="Times New Roman" w:cs="Times New Roman"/>
          <w:rtl/>
          <w:lang w:eastAsia="de-DE"/>
        </w:rPr>
        <w:t xml:space="preserve"> </w:t>
      </w:r>
      <w:r w:rsidRPr="00CB7165">
        <w:rPr>
          <w:rFonts w:eastAsia="Times New Roman" w:cs="Times New Roman"/>
          <w:lang w:eastAsia="de-DE"/>
        </w:rPr>
        <w:t xml:space="preserve">(„und das Feuer") wird mit dem Imperativ </w:t>
      </w:r>
      <w:r w:rsidRPr="00CB7165">
        <w:rPr>
          <w:rFonts w:eastAsia="Times New Roman" w:cs="Times New Roman"/>
          <w:b/>
          <w:bCs/>
          <w:rtl/>
          <w:lang w:eastAsia="de-DE"/>
        </w:rPr>
        <w:t>זְרֵה־הָלְאָה</w:t>
      </w:r>
      <w:r w:rsidRPr="00CB7165">
        <w:rPr>
          <w:rFonts w:eastAsia="Times New Roman" w:cs="Times New Roman"/>
          <w:rtl/>
          <w:lang w:eastAsia="de-DE"/>
        </w:rPr>
        <w:t xml:space="preserve"> </w:t>
      </w:r>
      <w:r w:rsidRPr="00CB7165">
        <w:rPr>
          <w:rFonts w:eastAsia="Times New Roman" w:cs="Times New Roman"/>
          <w:lang w:eastAsia="de-DE"/>
        </w:rPr>
        <w:t xml:space="preserve">verbunden: </w:t>
      </w:r>
      <w:r w:rsidRPr="00CB7165">
        <w:rPr>
          <w:rFonts w:eastAsia="Times New Roman" w:cs="Times New Roman"/>
          <w:b/>
          <w:bCs/>
          <w:rtl/>
          <w:lang w:eastAsia="de-DE"/>
        </w:rPr>
        <w:t>זְרֵה</w:t>
      </w:r>
      <w:r w:rsidRPr="00CB7165">
        <w:rPr>
          <w:rFonts w:eastAsia="Times New Roman" w:cs="Times New Roman"/>
          <w:rtl/>
          <w:lang w:eastAsia="de-DE"/>
        </w:rPr>
        <w:t xml:space="preserve"> </w:t>
      </w:r>
      <w:r w:rsidRPr="00CB7165">
        <w:rPr>
          <w:rFonts w:eastAsia="Times New Roman" w:cs="Times New Roman"/>
          <w:lang w:eastAsia="de-DE"/>
        </w:rPr>
        <w:t xml:space="preserve">ist Qal Imperativ 2. m. sg. von </w:t>
      </w:r>
      <w:r w:rsidRPr="00CB7165">
        <w:rPr>
          <w:rFonts w:eastAsia="Times New Roman" w:cs="Times New Roman"/>
          <w:b/>
          <w:bCs/>
          <w:rtl/>
          <w:lang w:eastAsia="de-DE"/>
        </w:rPr>
        <w:t>זרה</w:t>
      </w:r>
      <w:r w:rsidRPr="00CB7165">
        <w:rPr>
          <w:rFonts w:eastAsia="Times New Roman" w:cs="Times New Roman"/>
          <w:rtl/>
          <w:lang w:eastAsia="de-DE"/>
        </w:rPr>
        <w:t xml:space="preserve"> </w:t>
      </w:r>
      <w:r w:rsidRPr="00CB7165">
        <w:rPr>
          <w:rFonts w:eastAsia="Times New Roman" w:cs="Times New Roman"/>
          <w:lang w:eastAsia="de-DE"/>
        </w:rPr>
        <w:t xml:space="preserve">(„streuen, zerstreuen"), </w:t>
      </w:r>
      <w:r w:rsidRPr="00CB7165">
        <w:rPr>
          <w:rFonts w:eastAsia="Times New Roman" w:cs="Times New Roman"/>
          <w:b/>
          <w:bCs/>
          <w:rtl/>
          <w:lang w:eastAsia="de-DE"/>
        </w:rPr>
        <w:t>הָלְאָה</w:t>
      </w:r>
      <w:r w:rsidRPr="00CB7165">
        <w:rPr>
          <w:rFonts w:eastAsia="Times New Roman" w:cs="Times New Roman"/>
          <w:rtl/>
          <w:lang w:eastAsia="de-DE"/>
        </w:rPr>
        <w:t xml:space="preserve"> </w:t>
      </w:r>
      <w:r w:rsidRPr="00CB7165">
        <w:rPr>
          <w:rFonts w:eastAsia="Times New Roman" w:cs="Times New Roman"/>
          <w:lang w:eastAsia="de-DE"/>
        </w:rPr>
        <w:t xml:space="preserve">ist das Adverb „hinweg, dorthin". Der Maqqef verbindet beide Wörter. Die kausale Konjunktion </w:t>
      </w:r>
      <w:r w:rsidRPr="00CB7165">
        <w:rPr>
          <w:rFonts w:eastAsia="Times New Roman" w:cs="Times New Roman"/>
          <w:b/>
          <w:bCs/>
          <w:rtl/>
          <w:lang w:eastAsia="de-DE"/>
        </w:rPr>
        <w:t>כִּי</w:t>
      </w:r>
      <w:r w:rsidRPr="00CB7165">
        <w:rPr>
          <w:rFonts w:eastAsia="Times New Roman" w:cs="Times New Roman"/>
          <w:rtl/>
          <w:lang w:eastAsia="de-DE"/>
        </w:rPr>
        <w:t xml:space="preserve"> </w:t>
      </w:r>
      <w:r w:rsidRPr="00CB7165">
        <w:rPr>
          <w:rFonts w:eastAsia="Times New Roman" w:cs="Times New Roman"/>
          <w:lang w:eastAsia="de-DE"/>
        </w:rPr>
        <w:t xml:space="preserve">(„denn, weil") leitet die Begründung ein. Das Verb </w:t>
      </w:r>
      <w:r w:rsidRPr="00CB7165">
        <w:rPr>
          <w:rFonts w:eastAsia="Times New Roman" w:cs="Times New Roman"/>
          <w:b/>
          <w:bCs/>
          <w:rtl/>
          <w:lang w:eastAsia="de-DE"/>
        </w:rPr>
        <w:t>קָדֵשׁוּ</w:t>
      </w:r>
      <w:r w:rsidRPr="00CB7165">
        <w:rPr>
          <w:rFonts w:eastAsia="Times New Roman" w:cs="Times New Roman"/>
          <w:rtl/>
          <w:lang w:eastAsia="de-DE"/>
        </w:rPr>
        <w:t xml:space="preserve"> </w:t>
      </w:r>
      <w:r w:rsidRPr="00CB7165">
        <w:rPr>
          <w:rFonts w:eastAsia="Times New Roman" w:cs="Times New Roman"/>
          <w:lang w:eastAsia="de-DE"/>
        </w:rPr>
        <w:t xml:space="preserve">(Qal Perfekt, 3. c. pl. von </w:t>
      </w:r>
      <w:r w:rsidRPr="00CB7165">
        <w:rPr>
          <w:rFonts w:eastAsia="Times New Roman" w:cs="Times New Roman"/>
          <w:b/>
          <w:bCs/>
          <w:rtl/>
          <w:lang w:eastAsia="de-DE"/>
        </w:rPr>
        <w:t>קדשׁ</w:t>
      </w:r>
      <w:r w:rsidRPr="00CB7165">
        <w:rPr>
          <w:rFonts w:eastAsia="Times New Roman" w:cs="Times New Roman"/>
          <w:lang w:eastAsia="de-DE"/>
        </w:rPr>
        <w:t>) bedeutet „sie sind heilig geworden". Die Räucherpfannen wurden durch ihren Gebrauch vor JHWH heilig, trotz der Sünde derer, die sie verwendeten.</w:t>
      </w:r>
    </w:p>
    <w:p w14:paraId="72460261" w14:textId="276AA28E"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Die LXX</w:t>
      </w:r>
      <w:r w:rsidRPr="00CB7165">
        <w:rPr>
          <w:rFonts w:eastAsia="Times New Roman" w:cs="Times New Roman"/>
          <w:lang w:eastAsia="de-DE"/>
        </w:rPr>
        <w:t xml:space="preserve"> übersetzt </w:t>
      </w:r>
      <w:r w:rsidRPr="00CB7165">
        <w:rPr>
          <w:rFonts w:eastAsia="Times New Roman" w:cs="Times New Roman"/>
          <w:b/>
          <w:bCs/>
          <w:rtl/>
          <w:lang w:eastAsia="de-DE"/>
        </w:rPr>
        <w:t>אֱמֹר אֶל־אֶלְעָזָר בֶּן־אַהֲרֹן הַכֹּהֵן</w:t>
      </w:r>
      <w:r w:rsidRPr="00CB7165">
        <w:rPr>
          <w:rFonts w:eastAsia="Times New Roman" w:cs="Times New Roman"/>
          <w:rtl/>
          <w:lang w:eastAsia="de-DE"/>
        </w:rPr>
        <w:t xml:space="preserve"> </w:t>
      </w:r>
      <w:r w:rsidRPr="00CB7165">
        <w:rPr>
          <w:rFonts w:eastAsia="Times New Roman" w:cs="Times New Roman"/>
          <w:lang w:eastAsia="de-DE"/>
        </w:rPr>
        <w:t xml:space="preserve">mit εἰπὸν Ελεαζαρ τῷ υἱῷ Ααρων τοῦ ἱερέως („sprich zu Eleasar, dem Sohn Aarons, des Priesters"). </w:t>
      </w:r>
      <w:r w:rsidRPr="00CB7165">
        <w:rPr>
          <w:rFonts w:eastAsia="Times New Roman" w:cs="Times New Roman"/>
          <w:b/>
          <w:bCs/>
          <w:rtl/>
          <w:lang w:eastAsia="de-DE"/>
        </w:rPr>
        <w:t>וְיָרֵם אֶת־הַמַּחְתֹּת מִבֵּין הַשְּׂרֵפָה</w:t>
      </w:r>
      <w:r w:rsidRPr="00CB7165">
        <w:rPr>
          <w:rFonts w:eastAsia="Times New Roman" w:cs="Times New Roman"/>
          <w:rtl/>
          <w:lang w:eastAsia="de-DE"/>
        </w:rPr>
        <w:t xml:space="preserve"> </w:t>
      </w:r>
      <w:r w:rsidRPr="00CB7165">
        <w:rPr>
          <w:rFonts w:eastAsia="Times New Roman" w:cs="Times New Roman"/>
          <w:lang w:eastAsia="de-DE"/>
        </w:rPr>
        <w:t xml:space="preserve">wird mit καὶ ἀνελέτω τὰ πυρεῖα τὰ χαλκᾶ ἐκ μέσου τῶν κατακεκαυμένων („und er soll die kupfernen Feuerbecken aufheben aus der Mitte der Verbrannten") wiedergegeben. </w:t>
      </w:r>
      <w:r w:rsidRPr="00CB7165">
        <w:rPr>
          <w:rFonts w:eastAsia="Times New Roman" w:cs="Times New Roman"/>
          <w:b/>
          <w:bCs/>
          <w:rtl/>
          <w:lang w:eastAsia="de-DE"/>
        </w:rPr>
        <w:t>וְאֶת־הָאֵשׁ זְרֵה־הָלְאָה</w:t>
      </w:r>
      <w:r w:rsidRPr="00CB7165">
        <w:rPr>
          <w:rFonts w:eastAsia="Times New Roman" w:cs="Times New Roman"/>
          <w:rtl/>
          <w:lang w:eastAsia="de-DE"/>
        </w:rPr>
        <w:t xml:space="preserve"> </w:t>
      </w:r>
      <w:r w:rsidRPr="00CB7165">
        <w:rPr>
          <w:rFonts w:eastAsia="Times New Roman" w:cs="Times New Roman"/>
          <w:lang w:eastAsia="de-DE"/>
        </w:rPr>
        <w:t xml:space="preserve">wird mit καὶ τὸ πῦρ τοῦτο διασκόρπισον ἐκεῖ („und dieses Feuer zerstreue dort") übersetzt. </w:t>
      </w:r>
      <w:r w:rsidRPr="00CB7165">
        <w:rPr>
          <w:rFonts w:eastAsia="Times New Roman" w:cs="Times New Roman"/>
          <w:b/>
          <w:bCs/>
          <w:rtl/>
          <w:lang w:eastAsia="de-DE"/>
        </w:rPr>
        <w:t>כִּי קָדֵשׁוּ</w:t>
      </w:r>
      <w:r w:rsidRPr="00CB7165">
        <w:rPr>
          <w:rFonts w:eastAsia="Times New Roman" w:cs="Times New Roman"/>
          <w:rtl/>
          <w:lang w:eastAsia="de-DE"/>
        </w:rPr>
        <w:t xml:space="preserve"> </w:t>
      </w:r>
      <w:r w:rsidRPr="00CB7165">
        <w:rPr>
          <w:rFonts w:eastAsia="Times New Roman" w:cs="Times New Roman"/>
          <w:lang w:eastAsia="de-DE"/>
        </w:rPr>
        <w:t>wird mit ὅτι ἡγίασαν („denn sie sind geheiligt worden") wiedergegeben.</w:t>
      </w:r>
    </w:p>
    <w:p w14:paraId="02D63AD4"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Die Satzstruktur zeigt einen Hauptsatz mit Imperativ und erweiterter Präpositionalphrase (Adressat mit Apposition). Die direkte Anweisung besteht aus zwei koordinierten Verben (Jussiv und Imperativ) mit ihren jeweiligen Objekten und Ergänzungen, gefolgt von einem durch kausale Konjunktion eingeleiteten Nebensatz mit Verb. Insgesamt gibt es einen Nebensatz (Kausalsatz).</w:t>
      </w:r>
    </w:p>
    <w:p w14:paraId="6F9B8698"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Der Vers ordnet die Bergung der heiligen Räucherpfannen an, die trotz des Gerichts über ihre Benutzer durch den kultischen Gebrauch vor JHWH geweiht wurden.</w:t>
      </w:r>
    </w:p>
    <w:p w14:paraId="3C875C2C" w14:textId="77777777" w:rsidR="00CB7165" w:rsidRPr="00CB7165" w:rsidRDefault="00CB7165" w:rsidP="00CB7165">
      <w:pPr>
        <w:spacing w:before="100" w:beforeAutospacing="1" w:after="100" w:afterAutospacing="1" w:line="240" w:lineRule="auto"/>
        <w:outlineLvl w:val="0"/>
        <w:rPr>
          <w:rFonts w:eastAsia="Times New Roman" w:cs="Times New Roman"/>
          <w:b/>
          <w:bCs/>
          <w:kern w:val="36"/>
          <w:sz w:val="48"/>
          <w:szCs w:val="48"/>
          <w:lang w:eastAsia="de-DE"/>
        </w:rPr>
      </w:pPr>
      <w:r w:rsidRPr="00CB7165">
        <w:rPr>
          <w:rFonts w:eastAsia="Times New Roman" w:cs="Times New Roman"/>
          <w:b/>
          <w:bCs/>
          <w:kern w:val="36"/>
          <w:sz w:val="48"/>
          <w:szCs w:val="48"/>
          <w:lang w:eastAsia="de-DE"/>
        </w:rPr>
        <w:t>Numeri 17,3</w:t>
      </w:r>
    </w:p>
    <w:p w14:paraId="2FE7E491"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Hebräisch:</w:t>
      </w:r>
      <w:r w:rsidRPr="00CB7165">
        <w:rPr>
          <w:rFonts w:eastAsia="Times New Roman" w:cs="Times New Roman"/>
          <w:lang w:eastAsia="de-DE"/>
        </w:rPr>
        <w:t xml:space="preserve"> </w:t>
      </w:r>
      <w:r w:rsidRPr="00CB7165">
        <w:rPr>
          <w:rFonts w:eastAsia="Times New Roman" w:cs="Times New Roman"/>
          <w:rtl/>
          <w:lang w:eastAsia="de-DE"/>
        </w:rPr>
        <w:t>אֵ֡ת מַחְתּוֹת֩ הַֽחַטָּאִ֨ים הָאֵ֜לֶּה בְּנַפְשֹׁתָ֗ם וְעָשׂ֨וּ אֹתָ֜ם רִקֻּעֵ֤י פַחִים֙ צִפּ֣וּי לַמִּזְבֵּ֔חַ כִּֽי־הִקְרִיבֻ֥ם לִפְנֵֽי־יְהוָ֖ה וַיִּקְדָּ֑שׁוּ וְיִֽהְי֥וּ לְא֖וֹת לִבְנֵ֥י יִשְׂרָאֵֽל׃</w:t>
      </w:r>
    </w:p>
    <w:p w14:paraId="6E386DAF"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Deutsch:</w:t>
      </w:r>
      <w:r w:rsidRPr="00CB7165">
        <w:rPr>
          <w:rFonts w:eastAsia="Times New Roman" w:cs="Times New Roman"/>
          <w:lang w:eastAsia="de-DE"/>
        </w:rPr>
        <w:t xml:space="preserve"> Die Räucherpfannen dieser gegen ihre Seelen Sündigenden, man mache sie zu breitgeschlagenen Blechen zum Überzug für den Altar; denn sie haben sie vor dem Ewigen dargebracht, und so sind sie heilig geworden; und sie sollen den Söhnen Jisra'els zum Zeichen sein.</w:t>
      </w:r>
    </w:p>
    <w:p w14:paraId="05D4B8B5" w14:textId="77777777" w:rsidR="00CB7165" w:rsidRPr="00CB7165" w:rsidRDefault="00F329DD" w:rsidP="00CB7165">
      <w:pPr>
        <w:spacing w:after="0" w:line="240" w:lineRule="auto"/>
        <w:rPr>
          <w:rFonts w:eastAsia="Times New Roman" w:cs="Times New Roman"/>
          <w:lang w:eastAsia="de-DE"/>
        </w:rPr>
      </w:pPr>
      <w:r>
        <w:rPr>
          <w:rFonts w:eastAsia="Times New Roman" w:cs="Times New Roman"/>
          <w:noProof/>
          <w:lang w:eastAsia="de-DE"/>
        </w:rPr>
        <w:pict w14:anchorId="6B29D5EB">
          <v:rect id="_x0000_i1576" style="width:0;height:1.5pt" o:hralign="center" o:hrstd="t" o:hr="t" fillcolor="#a0a0a0" stroked="f"/>
        </w:pict>
      </w:r>
    </w:p>
    <w:p w14:paraId="4CBE9B0B"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Kommentar:</w:t>
      </w:r>
      <w:r w:rsidRPr="00CB7165">
        <w:rPr>
          <w:rFonts w:eastAsia="Times New Roman" w:cs="Times New Roman"/>
          <w:lang w:eastAsia="de-DE"/>
        </w:rPr>
        <w:t xml:space="preserve"> Das Objekt </w:t>
      </w:r>
      <w:r w:rsidRPr="00CB7165">
        <w:rPr>
          <w:rFonts w:eastAsia="Times New Roman" w:cs="Times New Roman"/>
          <w:b/>
          <w:bCs/>
          <w:rtl/>
          <w:lang w:eastAsia="de-DE"/>
        </w:rPr>
        <w:t>אֵת מַחְתּוֹת</w:t>
      </w:r>
      <w:r w:rsidRPr="00CB7165">
        <w:rPr>
          <w:rFonts w:eastAsia="Times New Roman" w:cs="Times New Roman"/>
          <w:rtl/>
          <w:lang w:eastAsia="de-DE"/>
        </w:rPr>
        <w:t xml:space="preserve"> </w:t>
      </w:r>
      <w:r w:rsidRPr="00CB7165">
        <w:rPr>
          <w:rFonts w:eastAsia="Times New Roman" w:cs="Times New Roman"/>
          <w:lang w:eastAsia="de-DE"/>
        </w:rPr>
        <w:t xml:space="preserve">ist „die Räucherpfannen" mit Objektpartikel. Die Genitivverbindung </w:t>
      </w:r>
      <w:r w:rsidRPr="00CB7165">
        <w:rPr>
          <w:rFonts w:eastAsia="Times New Roman" w:cs="Times New Roman"/>
          <w:b/>
          <w:bCs/>
          <w:rtl/>
          <w:lang w:eastAsia="de-DE"/>
        </w:rPr>
        <w:t>הַחַטָּאִים הָאֵלֶּה</w:t>
      </w:r>
      <w:r w:rsidRPr="00CB7165">
        <w:rPr>
          <w:rFonts w:eastAsia="Times New Roman" w:cs="Times New Roman"/>
          <w:rtl/>
          <w:lang w:eastAsia="de-DE"/>
        </w:rPr>
        <w:t xml:space="preserve"> </w:t>
      </w:r>
      <w:r w:rsidRPr="00CB7165">
        <w:rPr>
          <w:rFonts w:eastAsia="Times New Roman" w:cs="Times New Roman"/>
          <w:lang w:eastAsia="de-DE"/>
        </w:rPr>
        <w:t xml:space="preserve">charakterisiert die Besitzer: </w:t>
      </w:r>
      <w:r w:rsidRPr="00CB7165">
        <w:rPr>
          <w:rFonts w:eastAsia="Times New Roman" w:cs="Times New Roman"/>
          <w:b/>
          <w:bCs/>
          <w:rtl/>
          <w:lang w:eastAsia="de-DE"/>
        </w:rPr>
        <w:t>הַחַטָּאִים</w:t>
      </w:r>
      <w:r w:rsidRPr="00CB7165">
        <w:rPr>
          <w:rFonts w:eastAsia="Times New Roman" w:cs="Times New Roman"/>
          <w:rtl/>
          <w:lang w:eastAsia="de-DE"/>
        </w:rPr>
        <w:t xml:space="preserve"> </w:t>
      </w:r>
      <w:r w:rsidRPr="00CB7165">
        <w:rPr>
          <w:rFonts w:eastAsia="Times New Roman" w:cs="Times New Roman"/>
          <w:lang w:eastAsia="de-DE"/>
        </w:rPr>
        <w:t xml:space="preserve">ist das Qal Partizip Plural maskulinum von </w:t>
      </w:r>
      <w:r w:rsidRPr="00CB7165">
        <w:rPr>
          <w:rFonts w:eastAsia="Times New Roman" w:cs="Times New Roman"/>
          <w:b/>
          <w:bCs/>
          <w:rtl/>
          <w:lang w:eastAsia="de-DE"/>
        </w:rPr>
        <w:t>חטא</w:t>
      </w:r>
      <w:r w:rsidRPr="00CB7165">
        <w:rPr>
          <w:rFonts w:eastAsia="Times New Roman" w:cs="Times New Roman"/>
          <w:rtl/>
          <w:lang w:eastAsia="de-DE"/>
        </w:rPr>
        <w:t xml:space="preserve"> </w:t>
      </w:r>
      <w:r w:rsidRPr="00CB7165">
        <w:rPr>
          <w:rFonts w:eastAsia="Times New Roman" w:cs="Times New Roman"/>
          <w:lang w:eastAsia="de-DE"/>
        </w:rPr>
        <w:t xml:space="preserve">mit Artikel („die Sündigenden"), </w:t>
      </w:r>
      <w:r w:rsidRPr="00CB7165">
        <w:rPr>
          <w:rFonts w:eastAsia="Times New Roman" w:cs="Times New Roman"/>
          <w:b/>
          <w:bCs/>
          <w:rtl/>
          <w:lang w:eastAsia="de-DE"/>
        </w:rPr>
        <w:t>הָאֵלֶּה</w:t>
      </w:r>
      <w:r w:rsidRPr="00CB7165">
        <w:rPr>
          <w:rFonts w:eastAsia="Times New Roman" w:cs="Times New Roman"/>
          <w:rtl/>
          <w:lang w:eastAsia="de-DE"/>
        </w:rPr>
        <w:t xml:space="preserve"> </w:t>
      </w:r>
      <w:r w:rsidRPr="00CB7165">
        <w:rPr>
          <w:rFonts w:eastAsia="Times New Roman" w:cs="Times New Roman"/>
          <w:lang w:eastAsia="de-DE"/>
        </w:rPr>
        <w:t xml:space="preserve">ist das Demonstrativpronomen Plural „diese". Die Präposition </w:t>
      </w:r>
      <w:r w:rsidRPr="00CB7165">
        <w:rPr>
          <w:rFonts w:eastAsia="Times New Roman" w:cs="Times New Roman"/>
          <w:b/>
          <w:bCs/>
          <w:rtl/>
          <w:lang w:eastAsia="de-DE"/>
        </w:rPr>
        <w:t>בְּנַפְשֹׁתָם</w:t>
      </w:r>
      <w:r w:rsidRPr="00CB7165">
        <w:rPr>
          <w:rFonts w:eastAsia="Times New Roman" w:cs="Times New Roman"/>
          <w:rtl/>
          <w:lang w:eastAsia="de-DE"/>
        </w:rPr>
        <w:t xml:space="preserve"> </w:t>
      </w:r>
      <w:r w:rsidRPr="00CB7165">
        <w:rPr>
          <w:rFonts w:eastAsia="Times New Roman" w:cs="Times New Roman"/>
          <w:lang w:eastAsia="de-DE"/>
        </w:rPr>
        <w:t xml:space="preserve">(„gegen ihre Seelen") mit </w:t>
      </w:r>
      <w:r w:rsidRPr="00CB7165">
        <w:rPr>
          <w:rFonts w:eastAsia="Times New Roman" w:cs="Times New Roman"/>
          <w:b/>
          <w:bCs/>
          <w:rtl/>
          <w:lang w:eastAsia="de-DE"/>
        </w:rPr>
        <w:t>נֶפֶשׁ</w:t>
      </w:r>
      <w:r w:rsidRPr="00CB7165">
        <w:rPr>
          <w:rFonts w:eastAsia="Times New Roman" w:cs="Times New Roman"/>
          <w:rtl/>
          <w:lang w:eastAsia="de-DE"/>
        </w:rPr>
        <w:t xml:space="preserve"> </w:t>
      </w:r>
      <w:r w:rsidRPr="00CB7165">
        <w:rPr>
          <w:rFonts w:eastAsia="Times New Roman" w:cs="Times New Roman"/>
          <w:lang w:eastAsia="de-DE"/>
        </w:rPr>
        <w:t>Plural und Possessivsuffix 3. m. pl. bedeutet „auf Kosten ihres Lebens" – sie haben mit ihrem Leben für ihre Sünde bezahlt.</w:t>
      </w:r>
    </w:p>
    <w:p w14:paraId="474EE40A" w14:textId="0733A64C"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lastRenderedPageBreak/>
        <w:t xml:space="preserve">Das Verb </w:t>
      </w:r>
      <w:r w:rsidRPr="00CB7165">
        <w:rPr>
          <w:rFonts w:eastAsia="Times New Roman" w:cs="Times New Roman"/>
          <w:b/>
          <w:bCs/>
          <w:rtl/>
          <w:lang w:eastAsia="de-DE"/>
        </w:rPr>
        <w:t>וְעָשׂוּ</w:t>
      </w:r>
      <w:r w:rsidRPr="00CB7165">
        <w:rPr>
          <w:rFonts w:eastAsia="Times New Roman" w:cs="Times New Roman"/>
          <w:rtl/>
          <w:lang w:eastAsia="de-DE"/>
        </w:rPr>
        <w:t xml:space="preserve"> </w:t>
      </w:r>
      <w:r w:rsidRPr="00CB7165">
        <w:rPr>
          <w:rFonts w:eastAsia="Times New Roman" w:cs="Times New Roman"/>
          <w:lang w:eastAsia="de-DE"/>
        </w:rPr>
        <w:t xml:space="preserve">(Waw + Qal Perfekt, 3. c. pl. von </w:t>
      </w:r>
      <w:r w:rsidRPr="00CB7165">
        <w:rPr>
          <w:rFonts w:eastAsia="Times New Roman" w:cs="Times New Roman"/>
          <w:b/>
          <w:bCs/>
          <w:rtl/>
          <w:lang w:eastAsia="de-DE"/>
        </w:rPr>
        <w:t>עשׂה</w:t>
      </w:r>
      <w:r w:rsidRPr="00CB7165">
        <w:rPr>
          <w:rFonts w:eastAsia="Times New Roman" w:cs="Times New Roman"/>
          <w:lang w:eastAsia="de-DE"/>
        </w:rPr>
        <w:t xml:space="preserve">) bedeutet „und man soll machen" (unpersönliche </w:t>
      </w:r>
      <w:r w:rsidR="00F133EC">
        <w:rPr>
          <w:rFonts w:eastAsia="Times New Roman" w:cs="Times New Roman"/>
          <w:lang w:eastAsia="de-DE"/>
        </w:rPr>
        <w:t>Construct</w:t>
      </w:r>
      <w:r w:rsidRPr="00CB7165">
        <w:rPr>
          <w:rFonts w:eastAsia="Times New Roman" w:cs="Times New Roman"/>
          <w:lang w:eastAsia="de-DE"/>
        </w:rPr>
        <w:t xml:space="preserve">ion). Das Objekt </w:t>
      </w:r>
      <w:r w:rsidRPr="00CB7165">
        <w:rPr>
          <w:rFonts w:eastAsia="Times New Roman" w:cs="Times New Roman"/>
          <w:b/>
          <w:bCs/>
          <w:rtl/>
          <w:lang w:eastAsia="de-DE"/>
        </w:rPr>
        <w:t>אֹתָם</w:t>
      </w:r>
      <w:r w:rsidRPr="00CB7165">
        <w:rPr>
          <w:rFonts w:eastAsia="Times New Roman" w:cs="Times New Roman"/>
          <w:rtl/>
          <w:lang w:eastAsia="de-DE"/>
        </w:rPr>
        <w:t xml:space="preserve"> </w:t>
      </w:r>
      <w:r w:rsidRPr="00CB7165">
        <w:rPr>
          <w:rFonts w:eastAsia="Times New Roman" w:cs="Times New Roman"/>
          <w:lang w:eastAsia="de-DE"/>
        </w:rPr>
        <w:t xml:space="preserve">(„sie") bezieht sich auf die Räucherpfannen zurück. </w:t>
      </w:r>
      <w:r w:rsidRPr="00CB7165">
        <w:rPr>
          <w:rFonts w:eastAsia="Times New Roman" w:cs="Times New Roman"/>
          <w:b/>
          <w:bCs/>
          <w:rtl/>
          <w:lang w:eastAsia="de-DE"/>
        </w:rPr>
        <w:t>רִקֻּעֵי פַחִים</w:t>
      </w:r>
      <w:r w:rsidRPr="00CB7165">
        <w:rPr>
          <w:rFonts w:eastAsia="Times New Roman" w:cs="Times New Roman"/>
          <w:rtl/>
          <w:lang w:eastAsia="de-DE"/>
        </w:rPr>
        <w:t xml:space="preserve"> </w:t>
      </w:r>
      <w:r w:rsidRPr="00CB7165">
        <w:rPr>
          <w:rFonts w:eastAsia="Times New Roman" w:cs="Times New Roman"/>
          <w:lang w:eastAsia="de-DE"/>
        </w:rPr>
        <w:t xml:space="preserve">ist eine doppelte Constructus-Verbindung: </w:t>
      </w:r>
      <w:r w:rsidRPr="00CB7165">
        <w:rPr>
          <w:rFonts w:eastAsia="Times New Roman" w:cs="Times New Roman"/>
          <w:b/>
          <w:bCs/>
          <w:rtl/>
          <w:lang w:eastAsia="de-DE"/>
        </w:rPr>
        <w:t>רִקֻּעֵי</w:t>
      </w:r>
      <w:r w:rsidRPr="00CB7165">
        <w:rPr>
          <w:rFonts w:eastAsia="Times New Roman" w:cs="Times New Roman"/>
          <w:rtl/>
          <w:lang w:eastAsia="de-DE"/>
        </w:rPr>
        <w:t xml:space="preserve"> </w:t>
      </w:r>
      <w:r w:rsidRPr="00CB7165">
        <w:rPr>
          <w:rFonts w:eastAsia="Times New Roman" w:cs="Times New Roman"/>
          <w:lang w:eastAsia="de-DE"/>
        </w:rPr>
        <w:t xml:space="preserve">ist der Constructus Plural von </w:t>
      </w:r>
      <w:r w:rsidRPr="00CB7165">
        <w:rPr>
          <w:rFonts w:eastAsia="Times New Roman" w:cs="Times New Roman"/>
          <w:b/>
          <w:bCs/>
          <w:rtl/>
          <w:lang w:eastAsia="de-DE"/>
        </w:rPr>
        <w:t>רִקֻּעַ</w:t>
      </w:r>
      <w:r w:rsidRPr="00CB7165">
        <w:rPr>
          <w:rFonts w:eastAsia="Times New Roman" w:cs="Times New Roman"/>
          <w:rtl/>
          <w:lang w:eastAsia="de-DE"/>
        </w:rPr>
        <w:t xml:space="preserve"> </w:t>
      </w:r>
      <w:r w:rsidRPr="00CB7165">
        <w:rPr>
          <w:rFonts w:eastAsia="Times New Roman" w:cs="Times New Roman"/>
          <w:lang w:eastAsia="de-DE"/>
        </w:rPr>
        <w:t xml:space="preserve">(„Breitgeschlagenes, Blech"), </w:t>
      </w:r>
      <w:r w:rsidRPr="00CB7165">
        <w:rPr>
          <w:rFonts w:eastAsia="Times New Roman" w:cs="Times New Roman"/>
          <w:b/>
          <w:bCs/>
          <w:rtl/>
          <w:lang w:eastAsia="de-DE"/>
        </w:rPr>
        <w:t>פַחִים</w:t>
      </w:r>
      <w:r w:rsidRPr="00CB7165">
        <w:rPr>
          <w:rFonts w:eastAsia="Times New Roman" w:cs="Times New Roman"/>
          <w:rtl/>
          <w:lang w:eastAsia="de-DE"/>
        </w:rPr>
        <w:t xml:space="preserve"> </w:t>
      </w:r>
      <w:r w:rsidRPr="00CB7165">
        <w:rPr>
          <w:rFonts w:eastAsia="Times New Roman" w:cs="Times New Roman"/>
          <w:lang w:eastAsia="de-DE"/>
        </w:rPr>
        <w:t xml:space="preserve">ist der Plural von </w:t>
      </w:r>
      <w:r w:rsidRPr="00CB7165">
        <w:rPr>
          <w:rFonts w:eastAsia="Times New Roman" w:cs="Times New Roman"/>
          <w:b/>
          <w:bCs/>
          <w:rtl/>
          <w:lang w:eastAsia="de-DE"/>
        </w:rPr>
        <w:t>פַּח</w:t>
      </w:r>
      <w:r w:rsidRPr="00CB7165">
        <w:rPr>
          <w:rFonts w:eastAsia="Times New Roman" w:cs="Times New Roman"/>
          <w:rtl/>
          <w:lang w:eastAsia="de-DE"/>
        </w:rPr>
        <w:t xml:space="preserve"> </w:t>
      </w:r>
      <w:r w:rsidRPr="00CB7165">
        <w:rPr>
          <w:rFonts w:eastAsia="Times New Roman" w:cs="Times New Roman"/>
          <w:lang w:eastAsia="de-DE"/>
        </w:rPr>
        <w:t xml:space="preserve">(„Blech, dünnes Metall"). </w:t>
      </w:r>
      <w:r w:rsidRPr="00CB7165">
        <w:rPr>
          <w:rFonts w:eastAsia="Times New Roman" w:cs="Times New Roman"/>
          <w:b/>
          <w:bCs/>
          <w:rtl/>
          <w:lang w:eastAsia="de-DE"/>
        </w:rPr>
        <w:t>צִפּוּי לַמִּזְבֵּחַ</w:t>
      </w:r>
      <w:r w:rsidRPr="00CB7165">
        <w:rPr>
          <w:rFonts w:eastAsia="Times New Roman" w:cs="Times New Roman"/>
          <w:rtl/>
          <w:lang w:eastAsia="de-DE"/>
        </w:rPr>
        <w:t xml:space="preserve"> </w:t>
      </w:r>
      <w:r w:rsidRPr="00CB7165">
        <w:rPr>
          <w:rFonts w:eastAsia="Times New Roman" w:cs="Times New Roman"/>
          <w:lang w:eastAsia="de-DE"/>
        </w:rPr>
        <w:t>ist „Überzug für den Altar" (</w:t>
      </w:r>
      <w:r w:rsidRPr="00CB7165">
        <w:rPr>
          <w:rFonts w:eastAsia="Times New Roman" w:cs="Times New Roman"/>
          <w:b/>
          <w:bCs/>
          <w:rtl/>
          <w:lang w:eastAsia="de-DE"/>
        </w:rPr>
        <w:t>צִפּוּי</w:t>
      </w:r>
      <w:r w:rsidRPr="00CB7165">
        <w:rPr>
          <w:rFonts w:eastAsia="Times New Roman" w:cs="Times New Roman"/>
          <w:rtl/>
          <w:lang w:eastAsia="de-DE"/>
        </w:rPr>
        <w:t xml:space="preserve"> </w:t>
      </w:r>
      <w:r w:rsidRPr="00CB7165">
        <w:rPr>
          <w:rFonts w:eastAsia="Times New Roman" w:cs="Times New Roman"/>
          <w:lang w:eastAsia="de-DE"/>
        </w:rPr>
        <w:t xml:space="preserve">von </w:t>
      </w:r>
      <w:r w:rsidRPr="00CB7165">
        <w:rPr>
          <w:rFonts w:eastAsia="Times New Roman" w:cs="Times New Roman"/>
          <w:b/>
          <w:bCs/>
          <w:rtl/>
          <w:lang w:eastAsia="de-DE"/>
        </w:rPr>
        <w:t>צפה</w:t>
      </w:r>
      <w:r w:rsidRPr="00CB7165">
        <w:rPr>
          <w:rFonts w:eastAsia="Times New Roman" w:cs="Times New Roman"/>
          <w:lang w:eastAsia="de-DE"/>
        </w:rPr>
        <w:t xml:space="preserve">, „überziehen", im Constructus vor </w:t>
      </w:r>
      <w:r w:rsidRPr="00CB7165">
        <w:rPr>
          <w:rFonts w:eastAsia="Times New Roman" w:cs="Times New Roman"/>
          <w:b/>
          <w:bCs/>
          <w:rtl/>
          <w:lang w:eastAsia="de-DE"/>
        </w:rPr>
        <w:t>מִזְבֵּחַ</w:t>
      </w:r>
      <w:r w:rsidRPr="00CB7165">
        <w:rPr>
          <w:rFonts w:eastAsia="Times New Roman" w:cs="Times New Roman"/>
          <w:rtl/>
          <w:lang w:eastAsia="de-DE"/>
        </w:rPr>
        <w:t xml:space="preserve"> </w:t>
      </w:r>
      <w:r w:rsidRPr="00CB7165">
        <w:rPr>
          <w:rFonts w:eastAsia="Times New Roman" w:cs="Times New Roman"/>
          <w:lang w:eastAsia="de-DE"/>
        </w:rPr>
        <w:t xml:space="preserve">mit Artikel und Präposition </w:t>
      </w:r>
      <w:r w:rsidRPr="00CB7165">
        <w:rPr>
          <w:rFonts w:eastAsia="Times New Roman" w:cs="Times New Roman"/>
          <w:b/>
          <w:bCs/>
          <w:rtl/>
          <w:lang w:eastAsia="de-DE"/>
        </w:rPr>
        <w:t>לְ</w:t>
      </w:r>
      <w:r w:rsidRPr="00CB7165">
        <w:rPr>
          <w:rFonts w:eastAsia="Times New Roman" w:cs="Times New Roman"/>
          <w:lang w:eastAsia="de-DE"/>
        </w:rPr>
        <w:t>).</w:t>
      </w:r>
    </w:p>
    <w:p w14:paraId="388F34D1"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 xml:space="preserve">Die kausale Konjunktion </w:t>
      </w:r>
      <w:r w:rsidRPr="00CB7165">
        <w:rPr>
          <w:rFonts w:eastAsia="Times New Roman" w:cs="Times New Roman"/>
          <w:b/>
          <w:bCs/>
          <w:rtl/>
          <w:lang w:eastAsia="de-DE"/>
        </w:rPr>
        <w:t>כִּי</w:t>
      </w:r>
      <w:r w:rsidRPr="00CB7165">
        <w:rPr>
          <w:rFonts w:eastAsia="Times New Roman" w:cs="Times New Roman"/>
          <w:rtl/>
          <w:lang w:eastAsia="de-DE"/>
        </w:rPr>
        <w:t xml:space="preserve"> </w:t>
      </w:r>
      <w:r w:rsidRPr="00CB7165">
        <w:rPr>
          <w:rFonts w:eastAsia="Times New Roman" w:cs="Times New Roman"/>
          <w:lang w:eastAsia="de-DE"/>
        </w:rPr>
        <w:t xml:space="preserve">(„denn") leitet die Begründung ein. Das Verb </w:t>
      </w:r>
      <w:r w:rsidRPr="00CB7165">
        <w:rPr>
          <w:rFonts w:eastAsia="Times New Roman" w:cs="Times New Roman"/>
          <w:b/>
          <w:bCs/>
          <w:rtl/>
          <w:lang w:eastAsia="de-DE"/>
        </w:rPr>
        <w:t>הִקְרִיבֻם</w:t>
      </w:r>
      <w:r w:rsidRPr="00CB7165">
        <w:rPr>
          <w:rFonts w:eastAsia="Times New Roman" w:cs="Times New Roman"/>
          <w:rtl/>
          <w:lang w:eastAsia="de-DE"/>
        </w:rPr>
        <w:t xml:space="preserve"> </w:t>
      </w:r>
      <w:r w:rsidRPr="00CB7165">
        <w:rPr>
          <w:rFonts w:eastAsia="Times New Roman" w:cs="Times New Roman"/>
          <w:lang w:eastAsia="de-DE"/>
        </w:rPr>
        <w:t xml:space="preserve">(Hifil Perfekt, 3. c. pl. von </w:t>
      </w:r>
      <w:r w:rsidRPr="00CB7165">
        <w:rPr>
          <w:rFonts w:eastAsia="Times New Roman" w:cs="Times New Roman"/>
          <w:b/>
          <w:bCs/>
          <w:rtl/>
          <w:lang w:eastAsia="de-DE"/>
        </w:rPr>
        <w:t>קרב</w:t>
      </w:r>
      <w:r w:rsidRPr="00CB7165">
        <w:rPr>
          <w:rFonts w:eastAsia="Times New Roman" w:cs="Times New Roman"/>
          <w:rtl/>
          <w:lang w:eastAsia="de-DE"/>
        </w:rPr>
        <w:t xml:space="preserve"> </w:t>
      </w:r>
      <w:r w:rsidRPr="00CB7165">
        <w:rPr>
          <w:rFonts w:eastAsia="Times New Roman" w:cs="Times New Roman"/>
          <w:lang w:eastAsia="de-DE"/>
        </w:rPr>
        <w:t xml:space="preserve">mit Objektsuffix 3. m. pl.) bedeutet „sie haben sie dargebracht". Die Präposition </w:t>
      </w:r>
      <w:r w:rsidRPr="00CB7165">
        <w:rPr>
          <w:rFonts w:eastAsia="Times New Roman" w:cs="Times New Roman"/>
          <w:b/>
          <w:bCs/>
          <w:rtl/>
          <w:lang w:eastAsia="de-DE"/>
        </w:rPr>
        <w:t>לִפְנֵי־יְהוָה</w:t>
      </w:r>
      <w:r w:rsidRPr="00CB7165">
        <w:rPr>
          <w:rFonts w:eastAsia="Times New Roman" w:cs="Times New Roman"/>
          <w:rtl/>
          <w:lang w:eastAsia="de-DE"/>
        </w:rPr>
        <w:t xml:space="preserve"> </w:t>
      </w:r>
      <w:r w:rsidRPr="00CB7165">
        <w:rPr>
          <w:rFonts w:eastAsia="Times New Roman" w:cs="Times New Roman"/>
          <w:lang w:eastAsia="de-DE"/>
        </w:rPr>
        <w:t xml:space="preserve">ist „vor JHWH". Das koordinierte Verb </w:t>
      </w:r>
      <w:r w:rsidRPr="00CB7165">
        <w:rPr>
          <w:rFonts w:eastAsia="Times New Roman" w:cs="Times New Roman"/>
          <w:b/>
          <w:bCs/>
          <w:rtl/>
          <w:lang w:eastAsia="de-DE"/>
        </w:rPr>
        <w:t>וַיִּקְדָּשׁוּ</w:t>
      </w:r>
      <w:r w:rsidRPr="00CB7165">
        <w:rPr>
          <w:rFonts w:eastAsia="Times New Roman" w:cs="Times New Roman"/>
          <w:rtl/>
          <w:lang w:eastAsia="de-DE"/>
        </w:rPr>
        <w:t xml:space="preserve"> </w:t>
      </w:r>
      <w:r w:rsidRPr="00CB7165">
        <w:rPr>
          <w:rFonts w:eastAsia="Times New Roman" w:cs="Times New Roman"/>
          <w:lang w:eastAsia="de-DE"/>
        </w:rPr>
        <w:t xml:space="preserve">(Wayyiqtol, 3. m. pl. von </w:t>
      </w:r>
      <w:r w:rsidRPr="00CB7165">
        <w:rPr>
          <w:rFonts w:eastAsia="Times New Roman" w:cs="Times New Roman"/>
          <w:b/>
          <w:bCs/>
          <w:rtl/>
          <w:lang w:eastAsia="de-DE"/>
        </w:rPr>
        <w:t>קדשׁ</w:t>
      </w:r>
      <w:r w:rsidRPr="00CB7165">
        <w:rPr>
          <w:rFonts w:eastAsia="Times New Roman" w:cs="Times New Roman"/>
          <w:lang w:eastAsia="de-DE"/>
        </w:rPr>
        <w:t>) bedeutet „und sie wurden heilig".</w:t>
      </w:r>
    </w:p>
    <w:p w14:paraId="68E9FFF4"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 xml:space="preserve">Das koordinierte Verb </w:t>
      </w:r>
      <w:r w:rsidRPr="00CB7165">
        <w:rPr>
          <w:rFonts w:eastAsia="Times New Roman" w:cs="Times New Roman"/>
          <w:b/>
          <w:bCs/>
          <w:rtl/>
          <w:lang w:eastAsia="de-DE"/>
        </w:rPr>
        <w:t>וְיִהְיוּ</w:t>
      </w:r>
      <w:r w:rsidRPr="00CB7165">
        <w:rPr>
          <w:rFonts w:eastAsia="Times New Roman" w:cs="Times New Roman"/>
          <w:rtl/>
          <w:lang w:eastAsia="de-DE"/>
        </w:rPr>
        <w:t xml:space="preserve"> </w:t>
      </w:r>
      <w:r w:rsidRPr="00CB7165">
        <w:rPr>
          <w:rFonts w:eastAsia="Times New Roman" w:cs="Times New Roman"/>
          <w:lang w:eastAsia="de-DE"/>
        </w:rPr>
        <w:t xml:space="preserve">(Waw + Qal Imperfekt, 3. m. pl. von </w:t>
      </w:r>
      <w:r w:rsidRPr="00CB7165">
        <w:rPr>
          <w:rFonts w:eastAsia="Times New Roman" w:cs="Times New Roman"/>
          <w:b/>
          <w:bCs/>
          <w:rtl/>
          <w:lang w:eastAsia="de-DE"/>
        </w:rPr>
        <w:t>היה</w:t>
      </w:r>
      <w:r w:rsidRPr="00CB7165">
        <w:rPr>
          <w:rFonts w:eastAsia="Times New Roman" w:cs="Times New Roman"/>
          <w:lang w:eastAsia="de-DE"/>
        </w:rPr>
        <w:t xml:space="preserve">) bedeutet „und sie sollen sein". Die Präposition </w:t>
      </w:r>
      <w:r w:rsidRPr="00CB7165">
        <w:rPr>
          <w:rFonts w:eastAsia="Times New Roman" w:cs="Times New Roman"/>
          <w:b/>
          <w:bCs/>
          <w:rtl/>
          <w:lang w:eastAsia="de-DE"/>
        </w:rPr>
        <w:t>לְאוֹת</w:t>
      </w:r>
      <w:r w:rsidRPr="00CB7165">
        <w:rPr>
          <w:rFonts w:eastAsia="Times New Roman" w:cs="Times New Roman"/>
          <w:rtl/>
          <w:lang w:eastAsia="de-DE"/>
        </w:rPr>
        <w:t xml:space="preserve"> </w:t>
      </w:r>
      <w:r w:rsidRPr="00CB7165">
        <w:rPr>
          <w:rFonts w:eastAsia="Times New Roman" w:cs="Times New Roman"/>
          <w:lang w:eastAsia="de-DE"/>
        </w:rPr>
        <w:t>ist „zum Zeichen" (</w:t>
      </w:r>
      <w:r w:rsidRPr="00CB7165">
        <w:rPr>
          <w:rFonts w:eastAsia="Times New Roman" w:cs="Times New Roman"/>
          <w:b/>
          <w:bCs/>
          <w:rtl/>
          <w:lang w:eastAsia="de-DE"/>
        </w:rPr>
        <w:t>אוֹת</w:t>
      </w:r>
      <w:r w:rsidRPr="00CB7165">
        <w:rPr>
          <w:rFonts w:eastAsia="Times New Roman" w:cs="Times New Roman"/>
          <w:rtl/>
          <w:lang w:eastAsia="de-DE"/>
        </w:rPr>
        <w:t xml:space="preserve"> </w:t>
      </w:r>
      <w:r w:rsidRPr="00CB7165">
        <w:rPr>
          <w:rFonts w:eastAsia="Times New Roman" w:cs="Times New Roman"/>
          <w:lang w:eastAsia="de-DE"/>
        </w:rPr>
        <w:t xml:space="preserve">bedeutet „Zeichen, Merkzeichen"). </w:t>
      </w:r>
      <w:r w:rsidRPr="00CB7165">
        <w:rPr>
          <w:rFonts w:eastAsia="Times New Roman" w:cs="Times New Roman"/>
          <w:b/>
          <w:bCs/>
          <w:rtl/>
          <w:lang w:eastAsia="de-DE"/>
        </w:rPr>
        <w:t>לִבְנֵי יִשְׂרָאֵל</w:t>
      </w:r>
      <w:r w:rsidRPr="00CB7165">
        <w:rPr>
          <w:rFonts w:eastAsia="Times New Roman" w:cs="Times New Roman"/>
          <w:rtl/>
          <w:lang w:eastAsia="de-DE"/>
        </w:rPr>
        <w:t xml:space="preserve"> </w:t>
      </w:r>
      <w:r w:rsidRPr="00CB7165">
        <w:rPr>
          <w:rFonts w:eastAsia="Times New Roman" w:cs="Times New Roman"/>
          <w:lang w:eastAsia="de-DE"/>
        </w:rPr>
        <w:t>ist „für die Söhne Israels" (</w:t>
      </w:r>
      <w:r w:rsidRPr="00CB7165">
        <w:rPr>
          <w:rFonts w:eastAsia="Times New Roman" w:cs="Times New Roman"/>
          <w:b/>
          <w:bCs/>
          <w:rtl/>
          <w:lang w:eastAsia="de-DE"/>
        </w:rPr>
        <w:t>בְּנֵי</w:t>
      </w:r>
      <w:r w:rsidRPr="00CB7165">
        <w:rPr>
          <w:rFonts w:eastAsia="Times New Roman" w:cs="Times New Roman"/>
          <w:rtl/>
          <w:lang w:eastAsia="de-DE"/>
        </w:rPr>
        <w:t xml:space="preserve"> </w:t>
      </w:r>
      <w:r w:rsidRPr="00CB7165">
        <w:rPr>
          <w:rFonts w:eastAsia="Times New Roman" w:cs="Times New Roman"/>
          <w:lang w:eastAsia="de-DE"/>
        </w:rPr>
        <w:t xml:space="preserve">Constructus Plural, </w:t>
      </w:r>
      <w:r w:rsidRPr="00CB7165">
        <w:rPr>
          <w:rFonts w:eastAsia="Times New Roman" w:cs="Times New Roman"/>
          <w:b/>
          <w:bCs/>
          <w:rtl/>
          <w:lang w:eastAsia="de-DE"/>
        </w:rPr>
        <w:t>יִשְׂרָאֵל</w:t>
      </w:r>
      <w:r w:rsidRPr="00CB7165">
        <w:rPr>
          <w:rFonts w:eastAsia="Times New Roman" w:cs="Times New Roman"/>
          <w:rtl/>
          <w:lang w:eastAsia="de-DE"/>
        </w:rPr>
        <w:t xml:space="preserve"> </w:t>
      </w:r>
      <w:r w:rsidRPr="00CB7165">
        <w:rPr>
          <w:rFonts w:eastAsia="Times New Roman" w:cs="Times New Roman"/>
          <w:lang w:eastAsia="de-DE"/>
        </w:rPr>
        <w:t>der Volksname).</w:t>
      </w:r>
    </w:p>
    <w:p w14:paraId="740D1F29" w14:textId="5067987B"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b/>
          <w:bCs/>
          <w:lang w:eastAsia="de-DE"/>
        </w:rPr>
        <w:t>Die LXX</w:t>
      </w:r>
      <w:r w:rsidRPr="00CB7165">
        <w:rPr>
          <w:rFonts w:eastAsia="Times New Roman" w:cs="Times New Roman"/>
          <w:lang w:eastAsia="de-DE"/>
        </w:rPr>
        <w:t xml:space="preserve"> übersetzt die komplexe Constructus-Verbindung am Anfang interpretativ und fügt erklärende Elemente hinzu. </w:t>
      </w:r>
      <w:r w:rsidRPr="00CB7165">
        <w:rPr>
          <w:rFonts w:eastAsia="Times New Roman" w:cs="Times New Roman"/>
          <w:b/>
          <w:bCs/>
          <w:rtl/>
          <w:lang w:eastAsia="de-DE"/>
        </w:rPr>
        <w:t>וְעָשׂוּ אֹתָם רִקֻּעֵי פַחִים צִפּוּי לַמִּזְבֵּחַ</w:t>
      </w:r>
      <w:r w:rsidRPr="00CB7165">
        <w:rPr>
          <w:rFonts w:eastAsia="Times New Roman" w:cs="Times New Roman"/>
          <w:rtl/>
          <w:lang w:eastAsia="de-DE"/>
        </w:rPr>
        <w:t xml:space="preserve"> </w:t>
      </w:r>
      <w:r w:rsidRPr="00CB7165">
        <w:rPr>
          <w:rFonts w:eastAsia="Times New Roman" w:cs="Times New Roman"/>
          <w:lang w:eastAsia="de-DE"/>
        </w:rPr>
        <w:t>wird mit καὶ ποίησον αὐτὰ λεπίδας ἐλατάς περίθεμα τῷ θυσιαστηρίῳ („und mache sie zu gehämmerten Platten als Umhüllung für den Altar") wiedergegeben. Die Begründung und der Zweck werden entsprechend übersetzt.</w:t>
      </w:r>
    </w:p>
    <w:p w14:paraId="36715AD6"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Die Satzstruktur zeigt einen Hauptsatz mit Objekt (erweitert durch partizipiale Charakterisierung) und Verb, gefolgt von den Angaben zur Verwendung. Ein durch kausale Konjunktion eingeleiteter Nebensatz mit zwei koordinierten Verben folgt. Ein weiterer koordinierter Hauptsatz mit finalem Charakter schließt ab. Insgesamt gibt es einen Nebensatz (Kausalsatz).</w:t>
      </w:r>
    </w:p>
    <w:p w14:paraId="35B68FCC" w14:textId="77777777" w:rsidR="00CB7165" w:rsidRPr="00CB7165" w:rsidRDefault="00CB7165" w:rsidP="00CB7165">
      <w:pPr>
        <w:spacing w:before="100" w:beforeAutospacing="1" w:after="100" w:afterAutospacing="1" w:line="240" w:lineRule="auto"/>
        <w:rPr>
          <w:rFonts w:eastAsia="Times New Roman" w:cs="Times New Roman"/>
          <w:lang w:eastAsia="de-DE"/>
        </w:rPr>
      </w:pPr>
      <w:r w:rsidRPr="00CB7165">
        <w:rPr>
          <w:rFonts w:eastAsia="Times New Roman" w:cs="Times New Roman"/>
          <w:lang w:eastAsia="de-DE"/>
        </w:rPr>
        <w:t>Der Vers bestimmt die weitere Verwendung der heiligen Räucherpfannen: Sie sollen zu einem bleibenden Mahnzeichen am Altar werden, das an die Folgen unrechtmäßigen Kultes erinnert.</w:t>
      </w:r>
    </w:p>
    <w:p w14:paraId="0B1FB398"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17,4</w:t>
      </w:r>
    </w:p>
    <w:p w14:paraId="5A3991CE"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וַיִּקַּ֞ח אֶלְעָזָ֣ר הַכֹּהֵ֗ן אֵ֚ת מַחְתּ֣וֹת הַנְּחֹ֔שֶׁת אֲשֶׁ֥ר הִקְרִ֖יבוּ הַשְּׂרֻפִ֑ים וַֽיְרַקְּע֖וּם צִפּ֥וּי לַמִּזְבֵּֽחַ׃</w:t>
      </w:r>
    </w:p>
    <w:p w14:paraId="6D9B5F87"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Eleasar, der Priester, nahm die kupfernen Räucherpfannen, welche die Verbrannten dargebracht hatten, und man schlug sie breit zum Überzug für den Altar,</w:t>
      </w:r>
    </w:p>
    <w:p w14:paraId="7CACBA1F"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67510B12">
          <v:rect id="_x0000_i1577" style="width:0;height:1.5pt" o:hralign="center" o:hrstd="t" o:hr="t" fillcolor="#a0a0a0" stroked="f"/>
        </w:pict>
      </w:r>
    </w:p>
    <w:p w14:paraId="096D2FA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Das Verb </w:t>
      </w:r>
      <w:r w:rsidRPr="00240935">
        <w:rPr>
          <w:rFonts w:eastAsia="Times New Roman" w:cs="Times New Roman"/>
          <w:b/>
          <w:bCs/>
          <w:rtl/>
          <w:lang w:eastAsia="de-DE"/>
        </w:rPr>
        <w:t>וַיִּקַּח</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לקח</w:t>
      </w:r>
      <w:r w:rsidRPr="00240935">
        <w:rPr>
          <w:rFonts w:eastAsia="Times New Roman" w:cs="Times New Roman"/>
          <w:lang w:eastAsia="de-DE"/>
        </w:rPr>
        <w:t xml:space="preserve">) bedeutet „und er nahm". </w:t>
      </w:r>
      <w:r w:rsidRPr="00240935">
        <w:rPr>
          <w:rFonts w:eastAsia="Times New Roman" w:cs="Times New Roman"/>
          <w:b/>
          <w:bCs/>
          <w:rtl/>
          <w:lang w:eastAsia="de-DE"/>
        </w:rPr>
        <w:t>אֶלְעָזָר הַכֹּהֵן</w:t>
      </w:r>
      <w:r w:rsidRPr="00240935">
        <w:rPr>
          <w:rFonts w:eastAsia="Times New Roman" w:cs="Times New Roman"/>
          <w:rtl/>
          <w:lang w:eastAsia="de-DE"/>
        </w:rPr>
        <w:t xml:space="preserve"> </w:t>
      </w:r>
      <w:r w:rsidRPr="00240935">
        <w:rPr>
          <w:rFonts w:eastAsia="Times New Roman" w:cs="Times New Roman"/>
          <w:lang w:eastAsia="de-DE"/>
        </w:rPr>
        <w:t xml:space="preserve">ist das explizite Subjekt: „Eleasar, der Priester" mit appositiver Charakterisierung. Das Objekt </w:t>
      </w:r>
      <w:r w:rsidRPr="00240935">
        <w:rPr>
          <w:rFonts w:eastAsia="Times New Roman" w:cs="Times New Roman"/>
          <w:b/>
          <w:bCs/>
          <w:rtl/>
          <w:lang w:eastAsia="de-DE"/>
        </w:rPr>
        <w:t>אֵת מַחְתּוֹת הַנְּחֹשֶׁת</w:t>
      </w:r>
      <w:r w:rsidRPr="00240935">
        <w:rPr>
          <w:rFonts w:eastAsia="Times New Roman" w:cs="Times New Roman"/>
          <w:rtl/>
          <w:lang w:eastAsia="de-DE"/>
        </w:rPr>
        <w:t xml:space="preserve"> </w:t>
      </w:r>
      <w:r w:rsidRPr="00240935">
        <w:rPr>
          <w:rFonts w:eastAsia="Times New Roman" w:cs="Times New Roman"/>
          <w:lang w:eastAsia="de-DE"/>
        </w:rPr>
        <w:t xml:space="preserve">besteht aus der Objektpartikel, </w:t>
      </w:r>
      <w:r w:rsidRPr="00240935">
        <w:rPr>
          <w:rFonts w:eastAsia="Times New Roman" w:cs="Times New Roman"/>
          <w:b/>
          <w:bCs/>
          <w:rtl/>
          <w:lang w:eastAsia="de-DE"/>
        </w:rPr>
        <w:t>מַחְתּוֹת</w:t>
      </w:r>
      <w:r w:rsidRPr="00240935">
        <w:rPr>
          <w:rFonts w:eastAsia="Times New Roman" w:cs="Times New Roman"/>
          <w:rtl/>
          <w:lang w:eastAsia="de-DE"/>
        </w:rPr>
        <w:t xml:space="preserve"> </w:t>
      </w:r>
      <w:r w:rsidRPr="00240935">
        <w:rPr>
          <w:rFonts w:eastAsia="Times New Roman" w:cs="Times New Roman"/>
          <w:lang w:eastAsia="de-DE"/>
        </w:rPr>
        <w:t xml:space="preserve">(„Räucherpfannen", Plural) und </w:t>
      </w:r>
      <w:r w:rsidRPr="00240935">
        <w:rPr>
          <w:rFonts w:eastAsia="Times New Roman" w:cs="Times New Roman"/>
          <w:b/>
          <w:bCs/>
          <w:rtl/>
          <w:lang w:eastAsia="de-DE"/>
        </w:rPr>
        <w:t>הַנְּחֹשֶׁת</w:t>
      </w:r>
      <w:r w:rsidRPr="00240935">
        <w:rPr>
          <w:rFonts w:eastAsia="Times New Roman" w:cs="Times New Roman"/>
          <w:rtl/>
          <w:lang w:eastAsia="de-DE"/>
        </w:rPr>
        <w:t xml:space="preserve"> </w:t>
      </w:r>
      <w:r w:rsidRPr="00240935">
        <w:rPr>
          <w:rFonts w:eastAsia="Times New Roman" w:cs="Times New Roman"/>
          <w:lang w:eastAsia="de-DE"/>
        </w:rPr>
        <w:t xml:space="preserve">(„die kupfernen", Adjektiv von </w:t>
      </w:r>
      <w:r w:rsidRPr="00240935">
        <w:rPr>
          <w:rFonts w:eastAsia="Times New Roman" w:cs="Times New Roman"/>
          <w:b/>
          <w:bCs/>
          <w:rtl/>
          <w:lang w:eastAsia="de-DE"/>
        </w:rPr>
        <w:t>נְחֹשֶׁת</w:t>
      </w:r>
      <w:r w:rsidRPr="00240935">
        <w:rPr>
          <w:rFonts w:eastAsia="Times New Roman" w:cs="Times New Roman"/>
          <w:lang w:eastAsia="de-DE"/>
        </w:rPr>
        <w:t xml:space="preserve">, „Kupfer, Bronze"). Der Relativsatz </w:t>
      </w:r>
      <w:r w:rsidRPr="00240935">
        <w:rPr>
          <w:rFonts w:eastAsia="Times New Roman" w:cs="Times New Roman"/>
          <w:b/>
          <w:bCs/>
          <w:rtl/>
          <w:lang w:eastAsia="de-DE"/>
        </w:rPr>
        <w:t>אֲשֶׁר הִקְרִיבוּ הַשְּׂרֻפִים</w:t>
      </w:r>
      <w:r w:rsidRPr="00240935">
        <w:rPr>
          <w:rFonts w:eastAsia="Times New Roman" w:cs="Times New Roman"/>
          <w:rtl/>
          <w:lang w:eastAsia="de-DE"/>
        </w:rPr>
        <w:t xml:space="preserve"> </w:t>
      </w:r>
      <w:r w:rsidRPr="00240935">
        <w:rPr>
          <w:rFonts w:eastAsia="Times New Roman" w:cs="Times New Roman"/>
          <w:lang w:eastAsia="de-DE"/>
        </w:rPr>
        <w:t xml:space="preserve">spezifiziert: </w:t>
      </w:r>
      <w:r w:rsidRPr="00240935">
        <w:rPr>
          <w:rFonts w:eastAsia="Times New Roman" w:cs="Times New Roman"/>
          <w:b/>
          <w:bCs/>
          <w:rtl/>
          <w:lang w:eastAsia="de-DE"/>
        </w:rPr>
        <w:t>אֲשֶׁר</w:t>
      </w:r>
      <w:r w:rsidRPr="00240935">
        <w:rPr>
          <w:rFonts w:eastAsia="Times New Roman" w:cs="Times New Roman"/>
          <w:rtl/>
          <w:lang w:eastAsia="de-DE"/>
        </w:rPr>
        <w:t xml:space="preserve"> </w:t>
      </w:r>
      <w:r w:rsidRPr="00240935">
        <w:rPr>
          <w:rFonts w:eastAsia="Times New Roman" w:cs="Times New Roman"/>
          <w:lang w:eastAsia="de-DE"/>
        </w:rPr>
        <w:t xml:space="preserve">ist das Relativpronomen, </w:t>
      </w:r>
      <w:r w:rsidRPr="00240935">
        <w:rPr>
          <w:rFonts w:eastAsia="Times New Roman" w:cs="Times New Roman"/>
          <w:b/>
          <w:bCs/>
          <w:rtl/>
          <w:lang w:eastAsia="de-DE"/>
        </w:rPr>
        <w:t>הִקְרִיבוּ</w:t>
      </w:r>
      <w:r w:rsidRPr="00240935">
        <w:rPr>
          <w:rFonts w:eastAsia="Times New Roman" w:cs="Times New Roman"/>
          <w:rtl/>
          <w:lang w:eastAsia="de-DE"/>
        </w:rPr>
        <w:t xml:space="preserve"> </w:t>
      </w:r>
      <w:r w:rsidRPr="00240935">
        <w:rPr>
          <w:rFonts w:eastAsia="Times New Roman" w:cs="Times New Roman"/>
          <w:lang w:eastAsia="de-DE"/>
        </w:rPr>
        <w:t xml:space="preserve">(Hifil Perfekt, 3. c. pl. von </w:t>
      </w:r>
      <w:r w:rsidRPr="00240935">
        <w:rPr>
          <w:rFonts w:eastAsia="Times New Roman" w:cs="Times New Roman"/>
          <w:b/>
          <w:bCs/>
          <w:rtl/>
          <w:lang w:eastAsia="de-DE"/>
        </w:rPr>
        <w:t>קרב</w:t>
      </w:r>
      <w:r w:rsidRPr="00240935">
        <w:rPr>
          <w:rFonts w:eastAsia="Times New Roman" w:cs="Times New Roman"/>
          <w:lang w:eastAsia="de-DE"/>
        </w:rPr>
        <w:t xml:space="preserve">) bedeutet „sie haben dargebracht", </w:t>
      </w:r>
      <w:r w:rsidRPr="00240935">
        <w:rPr>
          <w:rFonts w:eastAsia="Times New Roman" w:cs="Times New Roman"/>
          <w:b/>
          <w:bCs/>
          <w:rtl/>
          <w:lang w:eastAsia="de-DE"/>
        </w:rPr>
        <w:t>הַשְּׂרֻפִים</w:t>
      </w:r>
      <w:r w:rsidRPr="00240935">
        <w:rPr>
          <w:rFonts w:eastAsia="Times New Roman" w:cs="Times New Roman"/>
          <w:rtl/>
          <w:lang w:eastAsia="de-DE"/>
        </w:rPr>
        <w:t xml:space="preserve"> </w:t>
      </w:r>
      <w:r w:rsidRPr="00240935">
        <w:rPr>
          <w:rFonts w:eastAsia="Times New Roman" w:cs="Times New Roman"/>
          <w:lang w:eastAsia="de-DE"/>
        </w:rPr>
        <w:t xml:space="preserve">ist das Qal Partizip Passiv Plural maskulinum von </w:t>
      </w:r>
      <w:r w:rsidRPr="00240935">
        <w:rPr>
          <w:rFonts w:eastAsia="Times New Roman" w:cs="Times New Roman"/>
          <w:b/>
          <w:bCs/>
          <w:rtl/>
          <w:lang w:eastAsia="de-DE"/>
        </w:rPr>
        <w:t>שׂרף</w:t>
      </w:r>
      <w:r w:rsidRPr="00240935">
        <w:rPr>
          <w:rFonts w:eastAsia="Times New Roman" w:cs="Times New Roman"/>
          <w:rtl/>
          <w:lang w:eastAsia="de-DE"/>
        </w:rPr>
        <w:t xml:space="preserve"> </w:t>
      </w:r>
      <w:r w:rsidRPr="00240935">
        <w:rPr>
          <w:rFonts w:eastAsia="Times New Roman" w:cs="Times New Roman"/>
          <w:lang w:eastAsia="de-DE"/>
        </w:rPr>
        <w:t>mit Artikel: „die Verbrannten", ein euphemistischer Ausdruck für die durch göttliches Feuer Getöteten.</w:t>
      </w:r>
    </w:p>
    <w:p w14:paraId="3CCAAF6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lastRenderedPageBreak/>
        <w:t xml:space="preserve">Das koordinierte Verb </w:t>
      </w:r>
      <w:r w:rsidRPr="00240935">
        <w:rPr>
          <w:rFonts w:eastAsia="Times New Roman" w:cs="Times New Roman"/>
          <w:b/>
          <w:bCs/>
          <w:rtl/>
          <w:lang w:eastAsia="de-DE"/>
        </w:rPr>
        <w:t>וַיְרַקְּעוּם</w:t>
      </w:r>
      <w:r w:rsidRPr="00240935">
        <w:rPr>
          <w:rFonts w:eastAsia="Times New Roman" w:cs="Times New Roman"/>
          <w:rtl/>
          <w:lang w:eastAsia="de-DE"/>
        </w:rPr>
        <w:t xml:space="preserve"> </w:t>
      </w:r>
      <w:r w:rsidRPr="00240935">
        <w:rPr>
          <w:rFonts w:eastAsia="Times New Roman" w:cs="Times New Roman"/>
          <w:lang w:eastAsia="de-DE"/>
        </w:rPr>
        <w:t xml:space="preserve">(Wayyiqtol, 3. m. pl. von </w:t>
      </w:r>
      <w:r w:rsidRPr="00240935">
        <w:rPr>
          <w:rFonts w:eastAsia="Times New Roman" w:cs="Times New Roman"/>
          <w:b/>
          <w:bCs/>
          <w:rtl/>
          <w:lang w:eastAsia="de-DE"/>
        </w:rPr>
        <w:t>רקע</w:t>
      </w:r>
      <w:r w:rsidRPr="00240935">
        <w:rPr>
          <w:rFonts w:eastAsia="Times New Roman" w:cs="Times New Roman"/>
          <w:rtl/>
          <w:lang w:eastAsia="de-DE"/>
        </w:rPr>
        <w:t xml:space="preserve"> </w:t>
      </w:r>
      <w:r w:rsidRPr="00240935">
        <w:rPr>
          <w:rFonts w:eastAsia="Times New Roman" w:cs="Times New Roman"/>
          <w:lang w:eastAsia="de-DE"/>
        </w:rPr>
        <w:t xml:space="preserve">Piel mit Objektsuffix 3. m. pl.) bedeutet „und man schlug sie breit". Die Piel-Form hat intensive Bedeutung. Die unpersönliche Pluralform deutet auf Helfer hin. </w:t>
      </w:r>
      <w:r w:rsidRPr="00240935">
        <w:rPr>
          <w:rFonts w:eastAsia="Times New Roman" w:cs="Times New Roman"/>
          <w:b/>
          <w:bCs/>
          <w:rtl/>
          <w:lang w:eastAsia="de-DE"/>
        </w:rPr>
        <w:t>צִפּוּי לַמִּזְבֵּחַ</w:t>
      </w:r>
      <w:r w:rsidRPr="00240935">
        <w:rPr>
          <w:rFonts w:eastAsia="Times New Roman" w:cs="Times New Roman"/>
          <w:rtl/>
          <w:lang w:eastAsia="de-DE"/>
        </w:rPr>
        <w:t xml:space="preserve"> </w:t>
      </w:r>
      <w:r w:rsidRPr="00240935">
        <w:rPr>
          <w:rFonts w:eastAsia="Times New Roman" w:cs="Times New Roman"/>
          <w:lang w:eastAsia="de-DE"/>
        </w:rPr>
        <w:t>ist „Überzug für den Altar" (wie in Vers 3).</w:t>
      </w:r>
    </w:p>
    <w:p w14:paraId="46B8CF8D" w14:textId="2C7010F1"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w:t>
      </w:r>
      <w:r w:rsidRPr="00240935">
        <w:rPr>
          <w:rFonts w:eastAsia="Times New Roman" w:cs="Times New Roman"/>
          <w:b/>
          <w:bCs/>
          <w:rtl/>
          <w:lang w:eastAsia="de-DE"/>
        </w:rPr>
        <w:t>וַיִּקַּח אֶלְעָזָר הַכֹּהֵן אֵת מַחְתּוֹת הַנְּחֹשֶׁת</w:t>
      </w:r>
      <w:r w:rsidRPr="00240935">
        <w:rPr>
          <w:rFonts w:eastAsia="Times New Roman" w:cs="Times New Roman"/>
          <w:rtl/>
          <w:lang w:eastAsia="de-DE"/>
        </w:rPr>
        <w:t xml:space="preserve"> </w:t>
      </w:r>
      <w:r w:rsidRPr="00240935">
        <w:rPr>
          <w:rFonts w:eastAsia="Times New Roman" w:cs="Times New Roman"/>
          <w:lang w:eastAsia="de-DE"/>
        </w:rPr>
        <w:t xml:space="preserve">mit καὶ ἔλαβεν Ελεαζαρ υἱὸς Ααρων τοῦ ἱερέως τὰ πυρεῖα τὰ χαλκᾶ (kai elaben Eleazar hyios Aaron tou hiereōs ta pyreia ta chalka, „und Eleasar, Sohn Aarons des Priesters, nahm die kupfernen Feuerbecken"). </w:t>
      </w:r>
      <w:r w:rsidRPr="00240935">
        <w:rPr>
          <w:rFonts w:eastAsia="Times New Roman" w:cs="Times New Roman"/>
          <w:b/>
          <w:bCs/>
          <w:rtl/>
          <w:lang w:eastAsia="de-DE"/>
        </w:rPr>
        <w:t>אֲשֶׁר הִקְרִיבוּ הַשְּׂרֻפִים</w:t>
      </w:r>
      <w:r w:rsidRPr="00240935">
        <w:rPr>
          <w:rFonts w:eastAsia="Times New Roman" w:cs="Times New Roman"/>
          <w:rtl/>
          <w:lang w:eastAsia="de-DE"/>
        </w:rPr>
        <w:t xml:space="preserve"> </w:t>
      </w:r>
      <w:r w:rsidRPr="00240935">
        <w:rPr>
          <w:rFonts w:eastAsia="Times New Roman" w:cs="Times New Roman"/>
          <w:lang w:eastAsia="de-DE"/>
        </w:rPr>
        <w:t xml:space="preserve">wird mit ἃ προσήνεγκαν οἱ κατακεκαυμένοι („die die Verbrannten dargebracht hatten") wiedergegeben. </w:t>
      </w:r>
      <w:r w:rsidRPr="00240935">
        <w:rPr>
          <w:rFonts w:eastAsia="Times New Roman" w:cs="Times New Roman"/>
          <w:b/>
          <w:bCs/>
          <w:rtl/>
          <w:lang w:eastAsia="de-DE"/>
        </w:rPr>
        <w:t>וַיְרַקְּעוּם צִפּוּי לַמִּזְבֵּחַ</w:t>
      </w:r>
      <w:r w:rsidRPr="00240935">
        <w:rPr>
          <w:rFonts w:eastAsia="Times New Roman" w:cs="Times New Roman"/>
          <w:rtl/>
          <w:lang w:eastAsia="de-DE"/>
        </w:rPr>
        <w:t xml:space="preserve"> </w:t>
      </w:r>
      <w:r w:rsidRPr="00240935">
        <w:rPr>
          <w:rFonts w:eastAsia="Times New Roman" w:cs="Times New Roman"/>
          <w:lang w:eastAsia="de-DE"/>
        </w:rPr>
        <w:t>wird mit καὶ προσέθηκαν αὐτὰ ἐπὶ τὸ θυσιαστήριον (kai prosethēkan auta epi to thysiastērion, „und sie fügten sie zum Altar hinzu") übersetzt.</w:t>
      </w:r>
    </w:p>
    <w:p w14:paraId="3AFF1DBA"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zwei koordinierte Hauptsätze: Der erste mit Verb, explizitem Subjekt (mit Apposition), Objekt und Relativsatz; der zweite mit Verb (Objektsuffix) und Zweckangabe. Insgesamt gibt es einen Nebensatz (Relativsatz).</w:t>
      </w:r>
    </w:p>
    <w:p w14:paraId="682449A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Der Vers beschreibt die Ausführung der göttlichen Anweisung durch Eleasar: Die heiligen Räucherpfannen werden eingesammelt und zu Altarüberzug verarbeitet.</w:t>
      </w:r>
    </w:p>
    <w:p w14:paraId="532B5B45"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17,5</w:t>
      </w:r>
    </w:p>
    <w:p w14:paraId="415955B6"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זִכָּר֞וֹן לִבְנֵ֣י יִשְׂרָאֵ֗ל לְ֠מַעַן אֲשֶׁ֨ר לֹֽא־יִקְרַ֜ב אִ֣ישׁ זָ֗ר אֲ֠שֶׁר לֹ֣א מִזֶּ֤רַע אַהֲרֹן֙ ה֔וּא לְהַקְטִ֥יר קְטֹ֖רֶת לִפְנֵ֣י יְהוָ֑ה וְלֹֽא־יִהְיֶ֤ה כְקֹ֨רַח֙ וְכַ֣עֲדָתוֹ֔ כַּאֲשֶׁ֨ר דִּבֶּ֧ר יְהוָ֛ה בְּיַד־מֹשֶׁ֖ה לוֹֽ׃</w:t>
      </w:r>
    </w:p>
    <w:p w14:paraId="1B39F352"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Als Gedächtnis für die Söhne Jisra'els, damit kein fremder Mann, der nicht vom Samen Aharons ist, herzunahe, um Räucherwerk vor dem Ewigen zu räuchern, und es ihm nicht ergehe wie Korach und seiner Gemeinde, so wie der Ewige durch Mosche zu ihm geredet hatte.</w:t>
      </w:r>
    </w:p>
    <w:p w14:paraId="19386037"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2B228E01">
          <v:rect id="_x0000_i1578" style="width:0;height:1.5pt" o:hralign="center" o:hrstd="t" o:hr="t" fillcolor="#a0a0a0" stroked="f"/>
        </w:pict>
      </w:r>
    </w:p>
    <w:p w14:paraId="22CFE623"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Das Nomen </w:t>
      </w:r>
      <w:r w:rsidRPr="00240935">
        <w:rPr>
          <w:rFonts w:eastAsia="Times New Roman" w:cs="Times New Roman"/>
          <w:b/>
          <w:bCs/>
          <w:rtl/>
          <w:lang w:eastAsia="de-DE"/>
        </w:rPr>
        <w:t>זִכָּרוֹן</w:t>
      </w:r>
      <w:r w:rsidRPr="00240935">
        <w:rPr>
          <w:rFonts w:eastAsia="Times New Roman" w:cs="Times New Roman"/>
          <w:rtl/>
          <w:lang w:eastAsia="de-DE"/>
        </w:rPr>
        <w:t xml:space="preserve"> </w:t>
      </w:r>
      <w:r w:rsidRPr="00240935">
        <w:rPr>
          <w:rFonts w:eastAsia="Times New Roman" w:cs="Times New Roman"/>
          <w:lang w:eastAsia="de-DE"/>
        </w:rPr>
        <w:t xml:space="preserve">(„Gedächtnis, Erinnerungszeichen") steht am Anfang als Zweckangabe. Die Präposition </w:t>
      </w:r>
      <w:r w:rsidRPr="00240935">
        <w:rPr>
          <w:rFonts w:eastAsia="Times New Roman" w:cs="Times New Roman"/>
          <w:b/>
          <w:bCs/>
          <w:rtl/>
          <w:lang w:eastAsia="de-DE"/>
        </w:rPr>
        <w:t>לִבְנֵי יִשְׂרָאֵל</w:t>
      </w:r>
      <w:r w:rsidRPr="00240935">
        <w:rPr>
          <w:rFonts w:eastAsia="Times New Roman" w:cs="Times New Roman"/>
          <w:rtl/>
          <w:lang w:eastAsia="de-DE"/>
        </w:rPr>
        <w:t xml:space="preserve"> </w:t>
      </w:r>
      <w:r w:rsidRPr="00240935">
        <w:rPr>
          <w:rFonts w:eastAsia="Times New Roman" w:cs="Times New Roman"/>
          <w:lang w:eastAsia="de-DE"/>
        </w:rPr>
        <w:t xml:space="preserve">gibt an, für wen: „für die Söhne Israels". Die finale Präposition </w:t>
      </w:r>
      <w:r w:rsidRPr="00240935">
        <w:rPr>
          <w:rFonts w:eastAsia="Times New Roman" w:cs="Times New Roman"/>
          <w:b/>
          <w:bCs/>
          <w:rtl/>
          <w:lang w:eastAsia="de-DE"/>
        </w:rPr>
        <w:t>לְמַעַן</w:t>
      </w:r>
      <w:r w:rsidRPr="00240935">
        <w:rPr>
          <w:rFonts w:eastAsia="Times New Roman" w:cs="Times New Roman"/>
          <w:rtl/>
          <w:lang w:eastAsia="de-DE"/>
        </w:rPr>
        <w:t xml:space="preserve"> </w:t>
      </w:r>
      <w:r w:rsidRPr="00240935">
        <w:rPr>
          <w:rFonts w:eastAsia="Times New Roman" w:cs="Times New Roman"/>
          <w:lang w:eastAsia="de-DE"/>
        </w:rPr>
        <w:t xml:space="preserve">(„damit, auf dass") leitet den Zweck ein. Der Relativsatz </w:t>
      </w:r>
      <w:r w:rsidRPr="00240935">
        <w:rPr>
          <w:rFonts w:eastAsia="Times New Roman" w:cs="Times New Roman"/>
          <w:b/>
          <w:bCs/>
          <w:rtl/>
          <w:lang w:eastAsia="de-DE"/>
        </w:rPr>
        <w:t>אֲשֶׁר לֹא־יִקְרַב אִישׁ זָר</w:t>
      </w:r>
      <w:r w:rsidRPr="00240935">
        <w:rPr>
          <w:rFonts w:eastAsia="Times New Roman" w:cs="Times New Roman"/>
          <w:rtl/>
          <w:lang w:eastAsia="de-DE"/>
        </w:rPr>
        <w:t xml:space="preserve"> </w:t>
      </w:r>
      <w:r w:rsidRPr="00240935">
        <w:rPr>
          <w:rFonts w:eastAsia="Times New Roman" w:cs="Times New Roman"/>
          <w:lang w:eastAsia="de-DE"/>
        </w:rPr>
        <w:t xml:space="preserve">besteht aus </w:t>
      </w:r>
      <w:r w:rsidRPr="00240935">
        <w:rPr>
          <w:rFonts w:eastAsia="Times New Roman" w:cs="Times New Roman"/>
          <w:b/>
          <w:bCs/>
          <w:rtl/>
          <w:lang w:eastAsia="de-DE"/>
        </w:rPr>
        <w:t>אֲשֶׁר</w:t>
      </w:r>
      <w:r w:rsidRPr="00240935">
        <w:rPr>
          <w:rFonts w:eastAsia="Times New Roman" w:cs="Times New Roman"/>
          <w:rtl/>
          <w:lang w:eastAsia="de-DE"/>
        </w:rPr>
        <w:t xml:space="preserve"> </w:t>
      </w:r>
      <w:r w:rsidRPr="00240935">
        <w:rPr>
          <w:rFonts w:eastAsia="Times New Roman" w:cs="Times New Roman"/>
          <w:lang w:eastAsia="de-DE"/>
        </w:rPr>
        <w:t xml:space="preserve">(Relativpronomen), der Negation </w:t>
      </w:r>
      <w:r w:rsidRPr="00240935">
        <w:rPr>
          <w:rFonts w:eastAsia="Times New Roman" w:cs="Times New Roman"/>
          <w:b/>
          <w:bCs/>
          <w:rtl/>
          <w:lang w:eastAsia="de-DE"/>
        </w:rPr>
        <w:t>לֹא</w:t>
      </w:r>
      <w:r w:rsidRPr="00240935">
        <w:rPr>
          <w:rFonts w:eastAsia="Times New Roman" w:cs="Times New Roman"/>
          <w:lang w:eastAsia="de-DE"/>
        </w:rPr>
        <w:t xml:space="preserve">, dem Verb </w:t>
      </w:r>
      <w:r w:rsidRPr="00240935">
        <w:rPr>
          <w:rFonts w:eastAsia="Times New Roman" w:cs="Times New Roman"/>
          <w:b/>
          <w:bCs/>
          <w:rtl/>
          <w:lang w:eastAsia="de-DE"/>
        </w:rPr>
        <w:t>יִקְרַב</w:t>
      </w:r>
      <w:r w:rsidRPr="00240935">
        <w:rPr>
          <w:rFonts w:eastAsia="Times New Roman" w:cs="Times New Roman"/>
          <w:rtl/>
          <w:lang w:eastAsia="de-DE"/>
        </w:rPr>
        <w:t xml:space="preserve"> </w:t>
      </w:r>
      <w:r w:rsidRPr="00240935">
        <w:rPr>
          <w:rFonts w:eastAsia="Times New Roman" w:cs="Times New Roman"/>
          <w:lang w:eastAsia="de-DE"/>
        </w:rPr>
        <w:t xml:space="preserve">(Qal Imperfekt, 3. m. sg. von </w:t>
      </w:r>
      <w:r w:rsidRPr="00240935">
        <w:rPr>
          <w:rFonts w:eastAsia="Times New Roman" w:cs="Times New Roman"/>
          <w:b/>
          <w:bCs/>
          <w:rtl/>
          <w:lang w:eastAsia="de-DE"/>
        </w:rPr>
        <w:t>קרב</w:t>
      </w:r>
      <w:r w:rsidRPr="00240935">
        <w:rPr>
          <w:rFonts w:eastAsia="Times New Roman" w:cs="Times New Roman"/>
          <w:lang w:eastAsia="de-DE"/>
        </w:rPr>
        <w:t xml:space="preserve">, „nahen, sich nähern") und dem Subjekt </w:t>
      </w:r>
      <w:r w:rsidRPr="00240935">
        <w:rPr>
          <w:rFonts w:eastAsia="Times New Roman" w:cs="Times New Roman"/>
          <w:b/>
          <w:bCs/>
          <w:rtl/>
          <w:lang w:eastAsia="de-DE"/>
        </w:rPr>
        <w:t>אִישׁ זָר</w:t>
      </w:r>
      <w:r w:rsidRPr="00240935">
        <w:rPr>
          <w:rFonts w:eastAsia="Times New Roman" w:cs="Times New Roman"/>
          <w:rtl/>
          <w:lang w:eastAsia="de-DE"/>
        </w:rPr>
        <w:t xml:space="preserve"> </w:t>
      </w:r>
      <w:r w:rsidRPr="00240935">
        <w:rPr>
          <w:rFonts w:eastAsia="Times New Roman" w:cs="Times New Roman"/>
          <w:lang w:eastAsia="de-DE"/>
        </w:rPr>
        <w:t xml:space="preserve">(„ein fremder Mann", wobei </w:t>
      </w:r>
      <w:r w:rsidRPr="00240935">
        <w:rPr>
          <w:rFonts w:eastAsia="Times New Roman" w:cs="Times New Roman"/>
          <w:b/>
          <w:bCs/>
          <w:rtl/>
          <w:lang w:eastAsia="de-DE"/>
        </w:rPr>
        <w:t>זָר</w:t>
      </w:r>
      <w:r w:rsidRPr="00240935">
        <w:rPr>
          <w:rFonts w:eastAsia="Times New Roman" w:cs="Times New Roman"/>
          <w:rtl/>
          <w:lang w:eastAsia="de-DE"/>
        </w:rPr>
        <w:t xml:space="preserve"> </w:t>
      </w:r>
      <w:r w:rsidRPr="00240935">
        <w:rPr>
          <w:rFonts w:eastAsia="Times New Roman" w:cs="Times New Roman"/>
          <w:lang w:eastAsia="de-DE"/>
        </w:rPr>
        <w:t>„fremd, außenstehend" bedeutet – jemand ohne priesterliche Berechtigung).</w:t>
      </w:r>
    </w:p>
    <w:p w14:paraId="1CBCA37C"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Der zweite Relativsatz </w:t>
      </w:r>
      <w:r w:rsidRPr="00240935">
        <w:rPr>
          <w:rFonts w:eastAsia="Times New Roman" w:cs="Times New Roman"/>
          <w:b/>
          <w:bCs/>
          <w:rtl/>
          <w:lang w:eastAsia="de-DE"/>
        </w:rPr>
        <w:t>אֲשֶׁר לֹא מִזֶּרַע אַהֲרֹן הוּא</w:t>
      </w:r>
      <w:r w:rsidRPr="00240935">
        <w:rPr>
          <w:rFonts w:eastAsia="Times New Roman" w:cs="Times New Roman"/>
          <w:rtl/>
          <w:lang w:eastAsia="de-DE"/>
        </w:rPr>
        <w:t xml:space="preserve"> </w:t>
      </w:r>
      <w:r w:rsidRPr="00240935">
        <w:rPr>
          <w:rFonts w:eastAsia="Times New Roman" w:cs="Times New Roman"/>
          <w:lang w:eastAsia="de-DE"/>
        </w:rPr>
        <w:t xml:space="preserve">spezifiziert weiter: </w:t>
      </w:r>
      <w:r w:rsidRPr="00240935">
        <w:rPr>
          <w:rFonts w:eastAsia="Times New Roman" w:cs="Times New Roman"/>
          <w:b/>
          <w:bCs/>
          <w:rtl/>
          <w:lang w:eastAsia="de-DE"/>
        </w:rPr>
        <w:t>אֲשֶׁר</w:t>
      </w:r>
      <w:r w:rsidRPr="00240935">
        <w:rPr>
          <w:rFonts w:eastAsia="Times New Roman" w:cs="Times New Roman"/>
          <w:rtl/>
          <w:lang w:eastAsia="de-DE"/>
        </w:rPr>
        <w:t xml:space="preserve"> </w:t>
      </w:r>
      <w:r w:rsidRPr="00240935">
        <w:rPr>
          <w:rFonts w:eastAsia="Times New Roman" w:cs="Times New Roman"/>
          <w:lang w:eastAsia="de-DE"/>
        </w:rPr>
        <w:t xml:space="preserve">ist das Relativpronomen, </w:t>
      </w:r>
      <w:r w:rsidRPr="00240935">
        <w:rPr>
          <w:rFonts w:eastAsia="Times New Roman" w:cs="Times New Roman"/>
          <w:b/>
          <w:bCs/>
          <w:rtl/>
          <w:lang w:eastAsia="de-DE"/>
        </w:rPr>
        <w:t>לֹא</w:t>
      </w:r>
      <w:r w:rsidRPr="00240935">
        <w:rPr>
          <w:rFonts w:eastAsia="Times New Roman" w:cs="Times New Roman"/>
          <w:rtl/>
          <w:lang w:eastAsia="de-DE"/>
        </w:rPr>
        <w:t xml:space="preserve"> </w:t>
      </w:r>
      <w:r w:rsidRPr="00240935">
        <w:rPr>
          <w:rFonts w:eastAsia="Times New Roman" w:cs="Times New Roman"/>
          <w:lang w:eastAsia="de-DE"/>
        </w:rPr>
        <w:t xml:space="preserve">die Negation, </w:t>
      </w:r>
      <w:r w:rsidRPr="00240935">
        <w:rPr>
          <w:rFonts w:eastAsia="Times New Roman" w:cs="Times New Roman"/>
          <w:b/>
          <w:bCs/>
          <w:rtl/>
          <w:lang w:eastAsia="de-DE"/>
        </w:rPr>
        <w:t>מִזֶּרַע אַהֲרֹן</w:t>
      </w:r>
      <w:r w:rsidRPr="00240935">
        <w:rPr>
          <w:rFonts w:eastAsia="Times New Roman" w:cs="Times New Roman"/>
          <w:rtl/>
          <w:lang w:eastAsia="de-DE"/>
        </w:rPr>
        <w:t xml:space="preserve"> </w:t>
      </w:r>
      <w:r w:rsidRPr="00240935">
        <w:rPr>
          <w:rFonts w:eastAsia="Times New Roman" w:cs="Times New Roman"/>
          <w:lang w:eastAsia="de-DE"/>
        </w:rPr>
        <w:t>ist „vom Samen Aarons" (</w:t>
      </w:r>
      <w:r w:rsidRPr="00240935">
        <w:rPr>
          <w:rFonts w:eastAsia="Times New Roman" w:cs="Times New Roman"/>
          <w:b/>
          <w:bCs/>
          <w:rtl/>
          <w:lang w:eastAsia="de-DE"/>
        </w:rPr>
        <w:t>מִן</w:t>
      </w:r>
      <w:r w:rsidRPr="00240935">
        <w:rPr>
          <w:rFonts w:eastAsia="Times New Roman" w:cs="Times New Roman"/>
          <w:rtl/>
          <w:lang w:eastAsia="de-DE"/>
        </w:rPr>
        <w:t xml:space="preserve"> </w:t>
      </w:r>
      <w:r w:rsidRPr="00240935">
        <w:rPr>
          <w:rFonts w:eastAsia="Times New Roman" w:cs="Times New Roman"/>
          <w:lang w:eastAsia="de-DE"/>
        </w:rPr>
        <w:t xml:space="preserve">plus </w:t>
      </w:r>
      <w:r w:rsidRPr="00240935">
        <w:rPr>
          <w:rFonts w:eastAsia="Times New Roman" w:cs="Times New Roman"/>
          <w:b/>
          <w:bCs/>
          <w:rtl/>
          <w:lang w:eastAsia="de-DE"/>
        </w:rPr>
        <w:t>זֶרַע</w:t>
      </w:r>
      <w:r w:rsidRPr="00240935">
        <w:rPr>
          <w:rFonts w:eastAsia="Times New Roman" w:cs="Times New Roman"/>
          <w:rtl/>
          <w:lang w:eastAsia="de-DE"/>
        </w:rPr>
        <w:t xml:space="preserve"> </w:t>
      </w:r>
      <w:r w:rsidRPr="00240935">
        <w:rPr>
          <w:rFonts w:eastAsia="Times New Roman" w:cs="Times New Roman"/>
          <w:lang w:eastAsia="de-DE"/>
        </w:rPr>
        <w:t xml:space="preserve">im Constructus vor </w:t>
      </w:r>
      <w:r w:rsidRPr="00240935">
        <w:rPr>
          <w:rFonts w:eastAsia="Times New Roman" w:cs="Times New Roman"/>
          <w:b/>
          <w:bCs/>
          <w:rtl/>
          <w:lang w:eastAsia="de-DE"/>
        </w:rPr>
        <w:t>אַהֲרֹן</w:t>
      </w:r>
      <w:r w:rsidRPr="00240935">
        <w:rPr>
          <w:rFonts w:eastAsia="Times New Roman" w:cs="Times New Roman"/>
          <w:lang w:eastAsia="de-DE"/>
        </w:rPr>
        <w:t xml:space="preserve">), </w:t>
      </w:r>
      <w:r w:rsidRPr="00240935">
        <w:rPr>
          <w:rFonts w:eastAsia="Times New Roman" w:cs="Times New Roman"/>
          <w:b/>
          <w:bCs/>
          <w:rtl/>
          <w:lang w:eastAsia="de-DE"/>
        </w:rPr>
        <w:t>הוּא</w:t>
      </w:r>
      <w:r w:rsidRPr="00240935">
        <w:rPr>
          <w:rFonts w:eastAsia="Times New Roman" w:cs="Times New Roman"/>
          <w:rtl/>
          <w:lang w:eastAsia="de-DE"/>
        </w:rPr>
        <w:t xml:space="preserve"> </w:t>
      </w:r>
      <w:r w:rsidRPr="00240935">
        <w:rPr>
          <w:rFonts w:eastAsia="Times New Roman" w:cs="Times New Roman"/>
          <w:lang w:eastAsia="de-DE"/>
        </w:rPr>
        <w:t>ist das emphatische Pronomen 3. m. sg. („er"). Die Phrase bedeutet: „der nicht von Aarons Nachkommenschaft ist".</w:t>
      </w:r>
    </w:p>
    <w:p w14:paraId="0BD88C90"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Der finale Infinitiv </w:t>
      </w:r>
      <w:r w:rsidRPr="00240935">
        <w:rPr>
          <w:rFonts w:eastAsia="Times New Roman" w:cs="Times New Roman"/>
          <w:b/>
          <w:bCs/>
          <w:rtl/>
          <w:lang w:eastAsia="de-DE"/>
        </w:rPr>
        <w:t>לְהַקְטִיר</w:t>
      </w:r>
      <w:r w:rsidRPr="00240935">
        <w:rPr>
          <w:rFonts w:eastAsia="Times New Roman" w:cs="Times New Roman"/>
          <w:rtl/>
          <w:lang w:eastAsia="de-DE"/>
        </w:rPr>
        <w:t xml:space="preserve"> </w:t>
      </w:r>
      <w:r w:rsidRPr="00240935">
        <w:rPr>
          <w:rFonts w:eastAsia="Times New Roman" w:cs="Times New Roman"/>
          <w:lang w:eastAsia="de-DE"/>
        </w:rPr>
        <w:t xml:space="preserve">(Hifil Infinitiv construct von </w:t>
      </w:r>
      <w:r w:rsidRPr="00240935">
        <w:rPr>
          <w:rFonts w:eastAsia="Times New Roman" w:cs="Times New Roman"/>
          <w:b/>
          <w:bCs/>
          <w:rtl/>
          <w:lang w:eastAsia="de-DE"/>
        </w:rPr>
        <w:t>קטר</w:t>
      </w:r>
      <w:r w:rsidRPr="00240935">
        <w:rPr>
          <w:rFonts w:eastAsia="Times New Roman" w:cs="Times New Roman"/>
          <w:rtl/>
          <w:lang w:eastAsia="de-DE"/>
        </w:rPr>
        <w:t xml:space="preserve"> </w:t>
      </w:r>
      <w:r w:rsidRPr="00240935">
        <w:rPr>
          <w:rFonts w:eastAsia="Times New Roman" w:cs="Times New Roman"/>
          <w:lang w:eastAsia="de-DE"/>
        </w:rPr>
        <w:t xml:space="preserve">mit </w:t>
      </w:r>
      <w:r w:rsidRPr="00240935">
        <w:rPr>
          <w:rFonts w:eastAsia="Times New Roman" w:cs="Times New Roman"/>
          <w:b/>
          <w:bCs/>
          <w:rtl/>
          <w:lang w:eastAsia="de-DE"/>
        </w:rPr>
        <w:t>לְ</w:t>
      </w:r>
      <w:r w:rsidRPr="00240935">
        <w:rPr>
          <w:rFonts w:eastAsia="Times New Roman" w:cs="Times New Roman"/>
          <w:lang w:eastAsia="de-DE"/>
        </w:rPr>
        <w:t xml:space="preserve">) bedeutet „um zu räuchern, Rauchopfer darzubringen". Die Hifil-Form ist kausativ: „Rauch aufsteigen lassen". Das Objekt </w:t>
      </w:r>
      <w:r w:rsidRPr="00240935">
        <w:rPr>
          <w:rFonts w:eastAsia="Times New Roman" w:cs="Times New Roman"/>
          <w:b/>
          <w:bCs/>
          <w:rtl/>
          <w:lang w:eastAsia="de-DE"/>
        </w:rPr>
        <w:t>קְטֹרֶת</w:t>
      </w:r>
      <w:r w:rsidRPr="00240935">
        <w:rPr>
          <w:rFonts w:eastAsia="Times New Roman" w:cs="Times New Roman"/>
          <w:rtl/>
          <w:lang w:eastAsia="de-DE"/>
        </w:rPr>
        <w:t xml:space="preserve"> </w:t>
      </w:r>
      <w:r w:rsidRPr="00240935">
        <w:rPr>
          <w:rFonts w:eastAsia="Times New Roman" w:cs="Times New Roman"/>
          <w:lang w:eastAsia="de-DE"/>
        </w:rPr>
        <w:t xml:space="preserve">ist „Räucherwerk". Die Präposition </w:t>
      </w:r>
      <w:r w:rsidRPr="00240935">
        <w:rPr>
          <w:rFonts w:eastAsia="Times New Roman" w:cs="Times New Roman"/>
          <w:b/>
          <w:bCs/>
          <w:rtl/>
          <w:lang w:eastAsia="de-DE"/>
        </w:rPr>
        <w:t>לִפְנֵי יְהוָה</w:t>
      </w:r>
      <w:r w:rsidRPr="00240935">
        <w:rPr>
          <w:rFonts w:eastAsia="Times New Roman" w:cs="Times New Roman"/>
          <w:rtl/>
          <w:lang w:eastAsia="de-DE"/>
        </w:rPr>
        <w:t xml:space="preserve"> </w:t>
      </w:r>
      <w:r w:rsidRPr="00240935">
        <w:rPr>
          <w:rFonts w:eastAsia="Times New Roman" w:cs="Times New Roman"/>
          <w:lang w:eastAsia="de-DE"/>
        </w:rPr>
        <w:t>ist „vor JHWH".</w:t>
      </w:r>
    </w:p>
    <w:p w14:paraId="0D9532DA"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lastRenderedPageBreak/>
        <w:t xml:space="preserve">Die koordinierte negative Phrase </w:t>
      </w:r>
      <w:r w:rsidRPr="00240935">
        <w:rPr>
          <w:rFonts w:eastAsia="Times New Roman" w:cs="Times New Roman"/>
          <w:b/>
          <w:bCs/>
          <w:rtl/>
          <w:lang w:eastAsia="de-DE"/>
        </w:rPr>
        <w:t>וְלֹא־יִהְיֶה כְקֹרַח וְכַעֲדָתוֹ</w:t>
      </w:r>
      <w:r w:rsidRPr="00240935">
        <w:rPr>
          <w:rFonts w:eastAsia="Times New Roman" w:cs="Times New Roman"/>
          <w:rtl/>
          <w:lang w:eastAsia="de-DE"/>
        </w:rPr>
        <w:t xml:space="preserve"> </w:t>
      </w:r>
      <w:r w:rsidRPr="00240935">
        <w:rPr>
          <w:rFonts w:eastAsia="Times New Roman" w:cs="Times New Roman"/>
          <w:lang w:eastAsia="de-DE"/>
        </w:rPr>
        <w:t xml:space="preserve">drückt die Warnung aus: </w:t>
      </w:r>
      <w:r w:rsidRPr="00240935">
        <w:rPr>
          <w:rFonts w:eastAsia="Times New Roman" w:cs="Times New Roman"/>
          <w:b/>
          <w:bCs/>
          <w:rtl/>
          <w:lang w:eastAsia="de-DE"/>
        </w:rPr>
        <w:t>וְ</w:t>
      </w:r>
      <w:r w:rsidRPr="00240935">
        <w:rPr>
          <w:rFonts w:eastAsia="Times New Roman" w:cs="Times New Roman"/>
          <w:rtl/>
          <w:lang w:eastAsia="de-DE"/>
        </w:rPr>
        <w:t xml:space="preserve"> </w:t>
      </w:r>
      <w:r w:rsidRPr="00240935">
        <w:rPr>
          <w:rFonts w:eastAsia="Times New Roman" w:cs="Times New Roman"/>
          <w:lang w:eastAsia="de-DE"/>
        </w:rPr>
        <w:t xml:space="preserve">ist die Konjunktion, </w:t>
      </w:r>
      <w:r w:rsidRPr="00240935">
        <w:rPr>
          <w:rFonts w:eastAsia="Times New Roman" w:cs="Times New Roman"/>
          <w:b/>
          <w:bCs/>
          <w:rtl/>
          <w:lang w:eastAsia="de-DE"/>
        </w:rPr>
        <w:t>לֹא</w:t>
      </w:r>
      <w:r w:rsidRPr="00240935">
        <w:rPr>
          <w:rFonts w:eastAsia="Times New Roman" w:cs="Times New Roman"/>
          <w:rtl/>
          <w:lang w:eastAsia="de-DE"/>
        </w:rPr>
        <w:t xml:space="preserve"> </w:t>
      </w:r>
      <w:r w:rsidRPr="00240935">
        <w:rPr>
          <w:rFonts w:eastAsia="Times New Roman" w:cs="Times New Roman"/>
          <w:lang w:eastAsia="de-DE"/>
        </w:rPr>
        <w:t xml:space="preserve">die Negation, </w:t>
      </w:r>
      <w:r w:rsidRPr="00240935">
        <w:rPr>
          <w:rFonts w:eastAsia="Times New Roman" w:cs="Times New Roman"/>
          <w:b/>
          <w:bCs/>
          <w:rtl/>
          <w:lang w:eastAsia="de-DE"/>
        </w:rPr>
        <w:t>יִהְיֶה</w:t>
      </w:r>
      <w:r w:rsidRPr="00240935">
        <w:rPr>
          <w:rFonts w:eastAsia="Times New Roman" w:cs="Times New Roman"/>
          <w:rtl/>
          <w:lang w:eastAsia="de-DE"/>
        </w:rPr>
        <w:t xml:space="preserve"> </w:t>
      </w:r>
      <w:r w:rsidRPr="00240935">
        <w:rPr>
          <w:rFonts w:eastAsia="Times New Roman" w:cs="Times New Roman"/>
          <w:lang w:eastAsia="de-DE"/>
        </w:rPr>
        <w:t xml:space="preserve">(Qal Imperfekt, 3. m. sg. von </w:t>
      </w:r>
      <w:r w:rsidRPr="00240935">
        <w:rPr>
          <w:rFonts w:eastAsia="Times New Roman" w:cs="Times New Roman"/>
          <w:b/>
          <w:bCs/>
          <w:rtl/>
          <w:lang w:eastAsia="de-DE"/>
        </w:rPr>
        <w:t>היה</w:t>
      </w:r>
      <w:r w:rsidRPr="00240935">
        <w:rPr>
          <w:rFonts w:eastAsia="Times New Roman" w:cs="Times New Roman"/>
          <w:lang w:eastAsia="de-DE"/>
        </w:rPr>
        <w:t xml:space="preserve">) bedeutet „er wird sein", </w:t>
      </w:r>
      <w:r w:rsidRPr="00240935">
        <w:rPr>
          <w:rFonts w:eastAsia="Times New Roman" w:cs="Times New Roman"/>
          <w:b/>
          <w:bCs/>
          <w:rtl/>
          <w:lang w:eastAsia="de-DE"/>
        </w:rPr>
        <w:t>כְקֹרַח</w:t>
      </w:r>
      <w:r w:rsidRPr="00240935">
        <w:rPr>
          <w:rFonts w:eastAsia="Times New Roman" w:cs="Times New Roman"/>
          <w:rtl/>
          <w:lang w:eastAsia="de-DE"/>
        </w:rPr>
        <w:t xml:space="preserve"> </w:t>
      </w:r>
      <w:r w:rsidRPr="00240935">
        <w:rPr>
          <w:rFonts w:eastAsia="Times New Roman" w:cs="Times New Roman"/>
          <w:lang w:eastAsia="de-DE"/>
        </w:rPr>
        <w:t>ist „wie Korach" (</w:t>
      </w:r>
      <w:r w:rsidRPr="00240935">
        <w:rPr>
          <w:rFonts w:eastAsia="Times New Roman" w:cs="Times New Roman"/>
          <w:b/>
          <w:bCs/>
          <w:rtl/>
          <w:lang w:eastAsia="de-DE"/>
        </w:rPr>
        <w:t>כְּ</w:t>
      </w:r>
      <w:r w:rsidRPr="00240935">
        <w:rPr>
          <w:rFonts w:eastAsia="Times New Roman" w:cs="Times New Roman"/>
          <w:rtl/>
          <w:lang w:eastAsia="de-DE"/>
        </w:rPr>
        <w:t xml:space="preserve"> </w:t>
      </w:r>
      <w:r w:rsidRPr="00240935">
        <w:rPr>
          <w:rFonts w:eastAsia="Times New Roman" w:cs="Times New Roman"/>
          <w:lang w:eastAsia="de-DE"/>
        </w:rPr>
        <w:t xml:space="preserve">Präposition der Gleichheit), </w:t>
      </w:r>
      <w:r w:rsidRPr="00240935">
        <w:rPr>
          <w:rFonts w:eastAsia="Times New Roman" w:cs="Times New Roman"/>
          <w:b/>
          <w:bCs/>
          <w:rtl/>
          <w:lang w:eastAsia="de-DE"/>
        </w:rPr>
        <w:t>וְכַעֲדָתוֹ</w:t>
      </w:r>
      <w:r w:rsidRPr="00240935">
        <w:rPr>
          <w:rFonts w:eastAsia="Times New Roman" w:cs="Times New Roman"/>
          <w:rtl/>
          <w:lang w:eastAsia="de-DE"/>
        </w:rPr>
        <w:t xml:space="preserve"> </w:t>
      </w:r>
      <w:r w:rsidRPr="00240935">
        <w:rPr>
          <w:rFonts w:eastAsia="Times New Roman" w:cs="Times New Roman"/>
          <w:lang w:eastAsia="de-DE"/>
        </w:rPr>
        <w:t>ist „und wie seine Gemeinde" (</w:t>
      </w:r>
      <w:r w:rsidRPr="00240935">
        <w:rPr>
          <w:rFonts w:eastAsia="Times New Roman" w:cs="Times New Roman"/>
          <w:b/>
          <w:bCs/>
          <w:rtl/>
          <w:lang w:eastAsia="de-DE"/>
        </w:rPr>
        <w:t>עֵדָה</w:t>
      </w:r>
      <w:r w:rsidRPr="00240935">
        <w:rPr>
          <w:rFonts w:eastAsia="Times New Roman" w:cs="Times New Roman"/>
          <w:rtl/>
          <w:lang w:eastAsia="de-DE"/>
        </w:rPr>
        <w:t xml:space="preserve"> </w:t>
      </w:r>
      <w:r w:rsidRPr="00240935">
        <w:rPr>
          <w:rFonts w:eastAsia="Times New Roman" w:cs="Times New Roman"/>
          <w:lang w:eastAsia="de-DE"/>
        </w:rPr>
        <w:t>mit Possessivsuffix 3. m. sg.).</w:t>
      </w:r>
    </w:p>
    <w:p w14:paraId="2FCC9410"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Der Vergleichssatz </w:t>
      </w:r>
      <w:r w:rsidRPr="00240935">
        <w:rPr>
          <w:rFonts w:eastAsia="Times New Roman" w:cs="Times New Roman"/>
          <w:b/>
          <w:bCs/>
          <w:rtl/>
          <w:lang w:eastAsia="de-DE"/>
        </w:rPr>
        <w:t>כַּאֲשֶׁר דִּבֶּר יְהוָה בְּיַד־מֹשֶׁה לוֹ</w:t>
      </w:r>
      <w:r w:rsidRPr="00240935">
        <w:rPr>
          <w:rFonts w:eastAsia="Times New Roman" w:cs="Times New Roman"/>
          <w:rtl/>
          <w:lang w:eastAsia="de-DE"/>
        </w:rPr>
        <w:t xml:space="preserve"> </w:t>
      </w:r>
      <w:r w:rsidRPr="00240935">
        <w:rPr>
          <w:rFonts w:eastAsia="Times New Roman" w:cs="Times New Roman"/>
          <w:lang w:eastAsia="de-DE"/>
        </w:rPr>
        <w:t xml:space="preserve">bezieht sich auf die vorangegangene Warnung: </w:t>
      </w:r>
      <w:r w:rsidRPr="00240935">
        <w:rPr>
          <w:rFonts w:eastAsia="Times New Roman" w:cs="Times New Roman"/>
          <w:b/>
          <w:bCs/>
          <w:rtl/>
          <w:lang w:eastAsia="de-DE"/>
        </w:rPr>
        <w:t>כַּאֲשֶׁר</w:t>
      </w:r>
      <w:r w:rsidRPr="00240935">
        <w:rPr>
          <w:rFonts w:eastAsia="Times New Roman" w:cs="Times New Roman"/>
          <w:rtl/>
          <w:lang w:eastAsia="de-DE"/>
        </w:rPr>
        <w:t xml:space="preserve"> </w:t>
      </w:r>
      <w:r w:rsidRPr="00240935">
        <w:rPr>
          <w:rFonts w:eastAsia="Times New Roman" w:cs="Times New Roman"/>
          <w:lang w:eastAsia="de-DE"/>
        </w:rPr>
        <w:t xml:space="preserve">ist „wie, so wie", </w:t>
      </w:r>
      <w:r w:rsidRPr="00240935">
        <w:rPr>
          <w:rFonts w:eastAsia="Times New Roman" w:cs="Times New Roman"/>
          <w:b/>
          <w:bCs/>
          <w:rtl/>
          <w:lang w:eastAsia="de-DE"/>
        </w:rPr>
        <w:t>דִּבֶּר</w:t>
      </w:r>
      <w:r w:rsidRPr="00240935">
        <w:rPr>
          <w:rFonts w:eastAsia="Times New Roman" w:cs="Times New Roman"/>
          <w:rtl/>
          <w:lang w:eastAsia="de-DE"/>
        </w:rPr>
        <w:t xml:space="preserve"> </w:t>
      </w:r>
      <w:r w:rsidRPr="00240935">
        <w:rPr>
          <w:rFonts w:eastAsia="Times New Roman" w:cs="Times New Roman"/>
          <w:lang w:eastAsia="de-DE"/>
        </w:rPr>
        <w:t xml:space="preserve">(Piel Perfekt, 3. m. sg. von </w:t>
      </w:r>
      <w:r w:rsidRPr="00240935">
        <w:rPr>
          <w:rFonts w:eastAsia="Times New Roman" w:cs="Times New Roman"/>
          <w:b/>
          <w:bCs/>
          <w:rtl/>
          <w:lang w:eastAsia="de-DE"/>
        </w:rPr>
        <w:t>דבר</w:t>
      </w:r>
      <w:r w:rsidRPr="00240935">
        <w:rPr>
          <w:rFonts w:eastAsia="Times New Roman" w:cs="Times New Roman"/>
          <w:lang w:eastAsia="de-DE"/>
        </w:rPr>
        <w:t xml:space="preserve">) bedeutet „er hat geredet", </w:t>
      </w:r>
      <w:r w:rsidRPr="00240935">
        <w:rPr>
          <w:rFonts w:eastAsia="Times New Roman" w:cs="Times New Roman"/>
          <w:b/>
          <w:bCs/>
          <w:rtl/>
          <w:lang w:eastAsia="de-DE"/>
        </w:rPr>
        <w:t>יְהוָה</w:t>
      </w:r>
      <w:r w:rsidRPr="00240935">
        <w:rPr>
          <w:rFonts w:eastAsia="Times New Roman" w:cs="Times New Roman"/>
          <w:rtl/>
          <w:lang w:eastAsia="de-DE"/>
        </w:rPr>
        <w:t xml:space="preserve"> </w:t>
      </w:r>
      <w:r w:rsidRPr="00240935">
        <w:rPr>
          <w:rFonts w:eastAsia="Times New Roman" w:cs="Times New Roman"/>
          <w:lang w:eastAsia="de-DE"/>
        </w:rPr>
        <w:t xml:space="preserve">ist das Subjekt. Die Präposition </w:t>
      </w:r>
      <w:r w:rsidRPr="00240935">
        <w:rPr>
          <w:rFonts w:eastAsia="Times New Roman" w:cs="Times New Roman"/>
          <w:b/>
          <w:bCs/>
          <w:rtl/>
          <w:lang w:eastAsia="de-DE"/>
        </w:rPr>
        <w:t>בְּיַד־מֹשֶׁה</w:t>
      </w:r>
      <w:r w:rsidRPr="00240935">
        <w:rPr>
          <w:rFonts w:eastAsia="Times New Roman" w:cs="Times New Roman"/>
          <w:rtl/>
          <w:lang w:eastAsia="de-DE"/>
        </w:rPr>
        <w:t xml:space="preserve"> </w:t>
      </w:r>
      <w:r w:rsidRPr="00240935">
        <w:rPr>
          <w:rFonts w:eastAsia="Times New Roman" w:cs="Times New Roman"/>
          <w:lang w:eastAsia="de-DE"/>
        </w:rPr>
        <w:t xml:space="preserve">ist „durch die Hand Moses" – eine idiomatische Wendung für Vermittlung. </w:t>
      </w:r>
      <w:r w:rsidRPr="00240935">
        <w:rPr>
          <w:rFonts w:eastAsia="Times New Roman" w:cs="Times New Roman"/>
          <w:b/>
          <w:bCs/>
          <w:rtl/>
          <w:lang w:eastAsia="de-DE"/>
        </w:rPr>
        <w:t>לוֹ</w:t>
      </w:r>
      <w:r w:rsidRPr="00240935">
        <w:rPr>
          <w:rFonts w:eastAsia="Times New Roman" w:cs="Times New Roman"/>
          <w:rtl/>
          <w:lang w:eastAsia="de-DE"/>
        </w:rPr>
        <w:t xml:space="preserve"> </w:t>
      </w:r>
      <w:r w:rsidRPr="00240935">
        <w:rPr>
          <w:rFonts w:eastAsia="Times New Roman" w:cs="Times New Roman"/>
          <w:lang w:eastAsia="de-DE"/>
        </w:rPr>
        <w:t xml:space="preserve">ist die Präposition </w:t>
      </w:r>
      <w:r w:rsidRPr="00240935">
        <w:rPr>
          <w:rFonts w:eastAsia="Times New Roman" w:cs="Times New Roman"/>
          <w:b/>
          <w:bCs/>
          <w:rtl/>
          <w:lang w:eastAsia="de-DE"/>
        </w:rPr>
        <w:t>לְ</w:t>
      </w:r>
      <w:r w:rsidRPr="00240935">
        <w:rPr>
          <w:rFonts w:eastAsia="Times New Roman" w:cs="Times New Roman"/>
          <w:rtl/>
          <w:lang w:eastAsia="de-DE"/>
        </w:rPr>
        <w:t xml:space="preserve"> </w:t>
      </w:r>
      <w:r w:rsidRPr="00240935">
        <w:rPr>
          <w:rFonts w:eastAsia="Times New Roman" w:cs="Times New Roman"/>
          <w:lang w:eastAsia="de-DE"/>
        </w:rPr>
        <w:t>mit Suffix 3. m. sg. („zu ihm").</w:t>
      </w:r>
    </w:p>
    <w:p w14:paraId="5658EC7F" w14:textId="13CFF479"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w:t>
      </w:r>
      <w:r w:rsidRPr="00240935">
        <w:rPr>
          <w:rFonts w:eastAsia="Times New Roman" w:cs="Times New Roman"/>
          <w:b/>
          <w:bCs/>
          <w:rtl/>
          <w:lang w:eastAsia="de-DE"/>
        </w:rPr>
        <w:t>זִכָּרוֹן לִבְנֵי יִשְׂרָאֵל</w:t>
      </w:r>
      <w:r w:rsidRPr="00240935">
        <w:rPr>
          <w:rFonts w:eastAsia="Times New Roman" w:cs="Times New Roman"/>
          <w:rtl/>
          <w:lang w:eastAsia="de-DE"/>
        </w:rPr>
        <w:t xml:space="preserve"> </w:t>
      </w:r>
      <w:r w:rsidRPr="00240935">
        <w:rPr>
          <w:rFonts w:eastAsia="Times New Roman" w:cs="Times New Roman"/>
          <w:lang w:eastAsia="de-DE"/>
        </w:rPr>
        <w:t xml:space="preserve">mit μνημόσυνον τοῖς υἱοῖς Ισραηλ (mnēmosynon tois hyiois Israēl, „Gedenkzeichen für die Söhne Israels"). </w:t>
      </w:r>
      <w:r w:rsidRPr="00240935">
        <w:rPr>
          <w:rFonts w:eastAsia="Times New Roman" w:cs="Times New Roman"/>
          <w:b/>
          <w:bCs/>
          <w:rtl/>
          <w:lang w:eastAsia="de-DE"/>
        </w:rPr>
        <w:t>לְמַעַן אֲשֶׁר לֹא־יִקְרַב אִישׁ זָר</w:t>
      </w:r>
      <w:r w:rsidRPr="00240935">
        <w:rPr>
          <w:rFonts w:eastAsia="Times New Roman" w:cs="Times New Roman"/>
          <w:rtl/>
          <w:lang w:eastAsia="de-DE"/>
        </w:rPr>
        <w:t xml:space="preserve"> </w:t>
      </w:r>
      <w:r w:rsidRPr="00240935">
        <w:rPr>
          <w:rFonts w:eastAsia="Times New Roman" w:cs="Times New Roman"/>
          <w:lang w:eastAsia="de-DE"/>
        </w:rPr>
        <w:t>wird mit ὅπως ἂν μὴ προσέλθῃ μηδεὶς ἀλλογενής („damit nicht herzutrete irgendeiner, der fremdstämmig ist") wiedergegeben. Die weiteren Phrasen werden entsprechend übersetzt, wobei die LXX die komplexe Struktur weitgehend beibehält.</w:t>
      </w:r>
    </w:p>
    <w:p w14:paraId="2C75B74E" w14:textId="28393B78"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Die Satzstruktur zeigt eine nominale Eröffnung (Zweckangabe) mit Präpositionalphrase, gefolgt von einer durch finale Präposition eingeleiteten </w:t>
      </w:r>
      <w:r w:rsidR="00F133EC">
        <w:rPr>
          <w:rFonts w:eastAsia="Times New Roman" w:cs="Times New Roman"/>
          <w:lang w:eastAsia="de-DE"/>
        </w:rPr>
        <w:t>Construct</w:t>
      </w:r>
      <w:r w:rsidRPr="00240935">
        <w:rPr>
          <w:rFonts w:eastAsia="Times New Roman" w:cs="Times New Roman"/>
          <w:lang w:eastAsia="de-DE"/>
        </w:rPr>
        <w:t>ion. Diese enthält zwei koordinierte Relativsätze zur Subjektbestimmung, einen finalen Infinitiv mit Objekt und Präpositionalphrase, eine negative Folgeaussage mit Vergleich und einen abschließenden Vergleichssatz mit Verb, Subjekt und präpositionalen Ergänzungen. Insgesamt gibt es mehrere Nebensätze: zwei Relativsätze, einen finalen Infinitivsatz und einen Vergleichssatz.</w:t>
      </w:r>
    </w:p>
    <w:p w14:paraId="3B05E5C8"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Der Vers erklärt den Zweck des Altarüberzugs aus den Räucherpfannen: Er soll als dauerhaftes Mahnzeichen dienen, dass nur die aaronitischen Priester zum Räucherdienst berechtigt sind, und an das Schicksal Korachs und seiner Anhänger erinnern.</w:t>
      </w:r>
    </w:p>
    <w:p w14:paraId="6C4CF734"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17,6</w:t>
      </w:r>
    </w:p>
    <w:p w14:paraId="5FB48604"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וַיִּלֹּ֜נוּ כָּל־עֲדַ֤ת בְּנֵֽי־יִשְׂרָאֵל֙ מִֽמָּחֳרָ֔ת עַל־מֹשֶׁ֥ה וְעַֽל־אַהֲרֹ֖ן לֵאמֹ֑ר אַתֶּ֥ם הֲמִתֶּ֖ם אֶת־עַ֥ם יְהוָֽה׃</w:t>
      </w:r>
    </w:p>
    <w:p w14:paraId="2B8638AC"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die ganze Gemeinde der Söhne Jisra'els murrte am anderen Morgen gegen Mosche und gegen Aharon, sagend: Ihr habt das Volk des Ewigen getötet!</w:t>
      </w:r>
    </w:p>
    <w:p w14:paraId="5738E391"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67AE7562">
          <v:rect id="_x0000_i1579" style="width:0;height:1.5pt" o:hralign="center" o:hrstd="t" o:hr="t" fillcolor="#a0a0a0" stroked="f"/>
        </w:pict>
      </w:r>
    </w:p>
    <w:p w14:paraId="3C7F1DA6"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Das Verb </w:t>
      </w:r>
      <w:r w:rsidRPr="00240935">
        <w:rPr>
          <w:rFonts w:eastAsia="Times New Roman" w:cs="Times New Roman"/>
          <w:b/>
          <w:bCs/>
          <w:rtl/>
          <w:lang w:eastAsia="de-DE"/>
        </w:rPr>
        <w:t>וַיִּלֹּנוּ</w:t>
      </w:r>
      <w:r w:rsidRPr="00240935">
        <w:rPr>
          <w:rFonts w:eastAsia="Times New Roman" w:cs="Times New Roman"/>
          <w:rtl/>
          <w:lang w:eastAsia="de-DE"/>
        </w:rPr>
        <w:t xml:space="preserve"> </w:t>
      </w:r>
      <w:r w:rsidRPr="00240935">
        <w:rPr>
          <w:rFonts w:eastAsia="Times New Roman" w:cs="Times New Roman"/>
          <w:lang w:eastAsia="de-DE"/>
        </w:rPr>
        <w:t xml:space="preserve">(Wayyiqtol, 3. m. pl. von </w:t>
      </w:r>
      <w:r w:rsidRPr="00240935">
        <w:rPr>
          <w:rFonts w:eastAsia="Times New Roman" w:cs="Times New Roman"/>
          <w:b/>
          <w:bCs/>
          <w:rtl/>
          <w:lang w:eastAsia="de-DE"/>
        </w:rPr>
        <w:t>לון</w:t>
      </w:r>
      <w:r w:rsidRPr="00240935">
        <w:rPr>
          <w:rFonts w:eastAsia="Times New Roman" w:cs="Times New Roman"/>
          <w:lang w:eastAsia="de-DE"/>
        </w:rPr>
        <w:t xml:space="preserve">) bedeutet „und sie murrten". </w:t>
      </w:r>
      <w:r w:rsidRPr="00240935">
        <w:rPr>
          <w:rFonts w:eastAsia="Times New Roman" w:cs="Times New Roman"/>
          <w:b/>
          <w:bCs/>
          <w:rtl/>
          <w:lang w:eastAsia="de-DE"/>
        </w:rPr>
        <w:t>לון</w:t>
      </w:r>
      <w:r w:rsidRPr="00240935">
        <w:rPr>
          <w:rFonts w:eastAsia="Times New Roman" w:cs="Times New Roman"/>
          <w:rtl/>
          <w:lang w:eastAsia="de-DE"/>
        </w:rPr>
        <w:t xml:space="preserve"> </w:t>
      </w:r>
      <w:r w:rsidRPr="00240935">
        <w:rPr>
          <w:rFonts w:eastAsia="Times New Roman" w:cs="Times New Roman"/>
          <w:lang w:eastAsia="de-DE"/>
        </w:rPr>
        <w:t xml:space="preserve">(oder </w:t>
      </w:r>
      <w:r w:rsidRPr="00240935">
        <w:rPr>
          <w:rFonts w:eastAsia="Times New Roman" w:cs="Times New Roman"/>
          <w:b/>
          <w:bCs/>
          <w:rtl/>
          <w:lang w:eastAsia="de-DE"/>
        </w:rPr>
        <w:t>לין</w:t>
      </w:r>
      <w:r w:rsidRPr="00240935">
        <w:rPr>
          <w:rFonts w:eastAsia="Times New Roman" w:cs="Times New Roman"/>
          <w:lang w:eastAsia="de-DE"/>
        </w:rPr>
        <w:t xml:space="preserve">) bezeichnet das Klagen oder Murren gegen Autorität. Das Subjekt </w:t>
      </w:r>
      <w:r w:rsidRPr="00240935">
        <w:rPr>
          <w:rFonts w:eastAsia="Times New Roman" w:cs="Times New Roman"/>
          <w:b/>
          <w:bCs/>
          <w:rtl/>
          <w:lang w:eastAsia="de-DE"/>
        </w:rPr>
        <w:t>כָּל־עֲדַת בְּנֵי־יִשְׂרָאֵל</w:t>
      </w:r>
      <w:r w:rsidRPr="00240935">
        <w:rPr>
          <w:rFonts w:eastAsia="Times New Roman" w:cs="Times New Roman"/>
          <w:rtl/>
          <w:lang w:eastAsia="de-DE"/>
        </w:rPr>
        <w:t xml:space="preserve"> </w:t>
      </w:r>
      <w:r w:rsidRPr="00240935">
        <w:rPr>
          <w:rFonts w:eastAsia="Times New Roman" w:cs="Times New Roman"/>
          <w:lang w:eastAsia="de-DE"/>
        </w:rPr>
        <w:t>ist „die ganze Gemeinde der Söhne Israels" (</w:t>
      </w:r>
      <w:r w:rsidRPr="00240935">
        <w:rPr>
          <w:rFonts w:eastAsia="Times New Roman" w:cs="Times New Roman"/>
          <w:b/>
          <w:bCs/>
          <w:rtl/>
          <w:lang w:eastAsia="de-DE"/>
        </w:rPr>
        <w:t>כָּל</w:t>
      </w:r>
      <w:r w:rsidRPr="00240935">
        <w:rPr>
          <w:rFonts w:eastAsia="Times New Roman" w:cs="Times New Roman"/>
          <w:rtl/>
          <w:lang w:eastAsia="de-DE"/>
        </w:rPr>
        <w:t xml:space="preserve"> </w:t>
      </w:r>
      <w:r w:rsidRPr="00240935">
        <w:rPr>
          <w:rFonts w:eastAsia="Times New Roman" w:cs="Times New Roman"/>
          <w:lang w:eastAsia="de-DE"/>
        </w:rPr>
        <w:t xml:space="preserve">im Constructus, </w:t>
      </w:r>
      <w:r w:rsidRPr="00240935">
        <w:rPr>
          <w:rFonts w:eastAsia="Times New Roman" w:cs="Times New Roman"/>
          <w:b/>
          <w:bCs/>
          <w:rtl/>
          <w:lang w:eastAsia="de-DE"/>
        </w:rPr>
        <w:t>עֲדַת</w:t>
      </w:r>
      <w:r w:rsidRPr="00240935">
        <w:rPr>
          <w:rFonts w:eastAsia="Times New Roman" w:cs="Times New Roman"/>
          <w:rtl/>
          <w:lang w:eastAsia="de-DE"/>
        </w:rPr>
        <w:t xml:space="preserve"> </w:t>
      </w:r>
      <w:r w:rsidRPr="00240935">
        <w:rPr>
          <w:rFonts w:eastAsia="Times New Roman" w:cs="Times New Roman"/>
          <w:lang w:eastAsia="de-DE"/>
        </w:rPr>
        <w:t xml:space="preserve">Constructus von </w:t>
      </w:r>
      <w:r w:rsidRPr="00240935">
        <w:rPr>
          <w:rFonts w:eastAsia="Times New Roman" w:cs="Times New Roman"/>
          <w:b/>
          <w:bCs/>
          <w:rtl/>
          <w:lang w:eastAsia="de-DE"/>
        </w:rPr>
        <w:t>עֵדָה</w:t>
      </w:r>
      <w:r w:rsidRPr="00240935">
        <w:rPr>
          <w:rFonts w:eastAsia="Times New Roman" w:cs="Times New Roman"/>
          <w:lang w:eastAsia="de-DE"/>
        </w:rPr>
        <w:t xml:space="preserve">, </w:t>
      </w:r>
      <w:r w:rsidRPr="00240935">
        <w:rPr>
          <w:rFonts w:eastAsia="Times New Roman" w:cs="Times New Roman"/>
          <w:b/>
          <w:bCs/>
          <w:rtl/>
          <w:lang w:eastAsia="de-DE"/>
        </w:rPr>
        <w:t>בְּנֵי יִשְׂרָאֵל</w:t>
      </w:r>
      <w:r w:rsidRPr="00240935">
        <w:rPr>
          <w:rFonts w:eastAsia="Times New Roman" w:cs="Times New Roman"/>
          <w:rtl/>
          <w:lang w:eastAsia="de-DE"/>
        </w:rPr>
        <w:t xml:space="preserve"> </w:t>
      </w:r>
      <w:r w:rsidRPr="00240935">
        <w:rPr>
          <w:rFonts w:eastAsia="Times New Roman" w:cs="Times New Roman"/>
          <w:lang w:eastAsia="de-DE"/>
        </w:rPr>
        <w:t xml:space="preserve">im Genitiv). Das temporale Adverb </w:t>
      </w:r>
      <w:r w:rsidRPr="00240935">
        <w:rPr>
          <w:rFonts w:eastAsia="Times New Roman" w:cs="Times New Roman"/>
          <w:b/>
          <w:bCs/>
          <w:rtl/>
          <w:lang w:eastAsia="de-DE"/>
        </w:rPr>
        <w:t>מִמָּחֳרָת</w:t>
      </w:r>
      <w:r w:rsidRPr="00240935">
        <w:rPr>
          <w:rFonts w:eastAsia="Times New Roman" w:cs="Times New Roman"/>
          <w:rtl/>
          <w:lang w:eastAsia="de-DE"/>
        </w:rPr>
        <w:t xml:space="preserve"> </w:t>
      </w:r>
      <w:r w:rsidRPr="00240935">
        <w:rPr>
          <w:rFonts w:eastAsia="Times New Roman" w:cs="Times New Roman"/>
          <w:lang w:eastAsia="de-DE"/>
        </w:rPr>
        <w:t xml:space="preserve">(„am nächsten Morgen, am anderen Morgen") mit der Präposition </w:t>
      </w:r>
      <w:r w:rsidRPr="00240935">
        <w:rPr>
          <w:rFonts w:eastAsia="Times New Roman" w:cs="Times New Roman"/>
          <w:b/>
          <w:bCs/>
          <w:rtl/>
          <w:lang w:eastAsia="de-DE"/>
        </w:rPr>
        <w:t>מִן</w:t>
      </w:r>
      <w:r w:rsidRPr="00240935">
        <w:rPr>
          <w:rFonts w:eastAsia="Times New Roman" w:cs="Times New Roman"/>
          <w:rtl/>
          <w:lang w:eastAsia="de-DE"/>
        </w:rPr>
        <w:t xml:space="preserve"> </w:t>
      </w:r>
      <w:r w:rsidRPr="00240935">
        <w:rPr>
          <w:rFonts w:eastAsia="Times New Roman" w:cs="Times New Roman"/>
          <w:lang w:eastAsia="de-DE"/>
        </w:rPr>
        <w:t>gibt die Zeit an – unmittelbar nach dem dramatischen Gericht.</w:t>
      </w:r>
    </w:p>
    <w:p w14:paraId="73A13953"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Die doppelte Präpositionalphrase </w:t>
      </w:r>
      <w:r w:rsidRPr="00240935">
        <w:rPr>
          <w:rFonts w:eastAsia="Times New Roman" w:cs="Times New Roman"/>
          <w:b/>
          <w:bCs/>
          <w:rtl/>
          <w:lang w:eastAsia="de-DE"/>
        </w:rPr>
        <w:t>עַל־מֹשֶׁה וְעַל־אַהֲרֹן</w:t>
      </w:r>
      <w:r w:rsidRPr="00240935">
        <w:rPr>
          <w:rFonts w:eastAsia="Times New Roman" w:cs="Times New Roman"/>
          <w:rtl/>
          <w:lang w:eastAsia="de-DE"/>
        </w:rPr>
        <w:t xml:space="preserve"> </w:t>
      </w:r>
      <w:r w:rsidRPr="00240935">
        <w:rPr>
          <w:rFonts w:eastAsia="Times New Roman" w:cs="Times New Roman"/>
          <w:lang w:eastAsia="de-DE"/>
        </w:rPr>
        <w:t xml:space="preserve">gibt die Richtung des Murrens an: </w:t>
      </w:r>
      <w:r w:rsidRPr="00240935">
        <w:rPr>
          <w:rFonts w:eastAsia="Times New Roman" w:cs="Times New Roman"/>
          <w:b/>
          <w:bCs/>
          <w:rtl/>
          <w:lang w:eastAsia="de-DE"/>
        </w:rPr>
        <w:t>עַל</w:t>
      </w:r>
      <w:r w:rsidRPr="00240935">
        <w:rPr>
          <w:rFonts w:eastAsia="Times New Roman" w:cs="Times New Roman"/>
          <w:rtl/>
          <w:lang w:eastAsia="de-DE"/>
        </w:rPr>
        <w:t xml:space="preserve"> </w:t>
      </w:r>
      <w:r w:rsidRPr="00240935">
        <w:rPr>
          <w:rFonts w:eastAsia="Times New Roman" w:cs="Times New Roman"/>
          <w:lang w:eastAsia="de-DE"/>
        </w:rPr>
        <w:t xml:space="preserve">bedeutet „gegen", die Namen sind durch </w:t>
      </w:r>
      <w:r w:rsidRPr="00240935">
        <w:rPr>
          <w:rFonts w:eastAsia="Times New Roman" w:cs="Times New Roman"/>
          <w:b/>
          <w:bCs/>
          <w:rtl/>
          <w:lang w:eastAsia="de-DE"/>
        </w:rPr>
        <w:t>וְ</w:t>
      </w:r>
      <w:r w:rsidRPr="00240935">
        <w:rPr>
          <w:rFonts w:eastAsia="Times New Roman" w:cs="Times New Roman"/>
          <w:rtl/>
          <w:lang w:eastAsia="de-DE"/>
        </w:rPr>
        <w:t xml:space="preserve"> </w:t>
      </w:r>
      <w:r w:rsidRPr="00240935">
        <w:rPr>
          <w:rFonts w:eastAsia="Times New Roman" w:cs="Times New Roman"/>
          <w:lang w:eastAsia="de-DE"/>
        </w:rPr>
        <w:t xml:space="preserve">koordiniert. Die Wiederholung der Präposition unterstreicht, dass beide gleichermaßen angeklagt werden. </w:t>
      </w:r>
      <w:r w:rsidRPr="00240935">
        <w:rPr>
          <w:rFonts w:eastAsia="Times New Roman" w:cs="Times New Roman"/>
          <w:b/>
          <w:bCs/>
          <w:rtl/>
          <w:lang w:eastAsia="de-DE"/>
        </w:rPr>
        <w:t>לֵאמֹר</w:t>
      </w:r>
      <w:r w:rsidRPr="00240935">
        <w:rPr>
          <w:rFonts w:eastAsia="Times New Roman" w:cs="Times New Roman"/>
          <w:rtl/>
          <w:lang w:eastAsia="de-DE"/>
        </w:rPr>
        <w:t xml:space="preserve"> </w:t>
      </w:r>
      <w:r w:rsidRPr="00240935">
        <w:rPr>
          <w:rFonts w:eastAsia="Times New Roman" w:cs="Times New Roman"/>
          <w:lang w:eastAsia="de-DE"/>
        </w:rPr>
        <w:t>ist die Redeeinleitung.</w:t>
      </w:r>
    </w:p>
    <w:p w14:paraId="0B21250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Die direkte Rede </w:t>
      </w:r>
      <w:r w:rsidRPr="00240935">
        <w:rPr>
          <w:rFonts w:eastAsia="Times New Roman" w:cs="Times New Roman"/>
          <w:b/>
          <w:bCs/>
          <w:rtl/>
          <w:lang w:eastAsia="de-DE"/>
        </w:rPr>
        <w:t>אַתֶּם הֲמִתֶּם אֶת־עַם יְהוָה</w:t>
      </w:r>
      <w:r w:rsidRPr="00240935">
        <w:rPr>
          <w:rFonts w:eastAsia="Times New Roman" w:cs="Times New Roman"/>
          <w:rtl/>
          <w:lang w:eastAsia="de-DE"/>
        </w:rPr>
        <w:t xml:space="preserve"> </w:t>
      </w:r>
      <w:r w:rsidRPr="00240935">
        <w:rPr>
          <w:rFonts w:eastAsia="Times New Roman" w:cs="Times New Roman"/>
          <w:lang w:eastAsia="de-DE"/>
        </w:rPr>
        <w:t xml:space="preserve">ist die drastische Anklage: </w:t>
      </w:r>
      <w:r w:rsidRPr="00240935">
        <w:rPr>
          <w:rFonts w:eastAsia="Times New Roman" w:cs="Times New Roman"/>
          <w:b/>
          <w:bCs/>
          <w:rtl/>
          <w:lang w:eastAsia="de-DE"/>
        </w:rPr>
        <w:t>אַתֶּם</w:t>
      </w:r>
      <w:r w:rsidRPr="00240935">
        <w:rPr>
          <w:rFonts w:eastAsia="Times New Roman" w:cs="Times New Roman"/>
          <w:rtl/>
          <w:lang w:eastAsia="de-DE"/>
        </w:rPr>
        <w:t xml:space="preserve"> </w:t>
      </w:r>
      <w:r w:rsidRPr="00240935">
        <w:rPr>
          <w:rFonts w:eastAsia="Times New Roman" w:cs="Times New Roman"/>
          <w:lang w:eastAsia="de-DE"/>
        </w:rPr>
        <w:t xml:space="preserve">ist das emphatische Personalpronomen 2. m. pl. („ihr"), </w:t>
      </w:r>
      <w:r w:rsidRPr="00240935">
        <w:rPr>
          <w:rFonts w:eastAsia="Times New Roman" w:cs="Times New Roman"/>
          <w:b/>
          <w:bCs/>
          <w:rtl/>
          <w:lang w:eastAsia="de-DE"/>
        </w:rPr>
        <w:t>הֲמִתֶּם</w:t>
      </w:r>
      <w:r w:rsidRPr="00240935">
        <w:rPr>
          <w:rFonts w:eastAsia="Times New Roman" w:cs="Times New Roman"/>
          <w:rtl/>
          <w:lang w:eastAsia="de-DE"/>
        </w:rPr>
        <w:t xml:space="preserve"> </w:t>
      </w:r>
      <w:r w:rsidRPr="00240935">
        <w:rPr>
          <w:rFonts w:eastAsia="Times New Roman" w:cs="Times New Roman"/>
          <w:lang w:eastAsia="de-DE"/>
        </w:rPr>
        <w:t xml:space="preserve">(Hifil Perfekt, 2. m. pl. von </w:t>
      </w:r>
      <w:r w:rsidRPr="00240935">
        <w:rPr>
          <w:rFonts w:eastAsia="Times New Roman" w:cs="Times New Roman"/>
          <w:b/>
          <w:bCs/>
          <w:rtl/>
          <w:lang w:eastAsia="de-DE"/>
        </w:rPr>
        <w:t>מות</w:t>
      </w:r>
      <w:r w:rsidRPr="00240935">
        <w:rPr>
          <w:rFonts w:eastAsia="Times New Roman" w:cs="Times New Roman"/>
          <w:lang w:eastAsia="de-DE"/>
        </w:rPr>
        <w:t xml:space="preserve">) bedeutet „ihr habt </w:t>
      </w:r>
      <w:r w:rsidRPr="00240935">
        <w:rPr>
          <w:rFonts w:eastAsia="Times New Roman" w:cs="Times New Roman"/>
          <w:lang w:eastAsia="de-DE"/>
        </w:rPr>
        <w:lastRenderedPageBreak/>
        <w:t xml:space="preserve">getötet". Die Hifil-Form ist kausativ: „sterben lassen, töten". Das Objekt </w:t>
      </w:r>
      <w:r w:rsidRPr="00240935">
        <w:rPr>
          <w:rFonts w:eastAsia="Times New Roman" w:cs="Times New Roman"/>
          <w:b/>
          <w:bCs/>
          <w:rtl/>
          <w:lang w:eastAsia="de-DE"/>
        </w:rPr>
        <w:t>אֶת־עַם יְהוָה</w:t>
      </w:r>
      <w:r w:rsidRPr="00240935">
        <w:rPr>
          <w:rFonts w:eastAsia="Times New Roman" w:cs="Times New Roman"/>
          <w:rtl/>
          <w:lang w:eastAsia="de-DE"/>
        </w:rPr>
        <w:t xml:space="preserve"> </w:t>
      </w:r>
      <w:r w:rsidRPr="00240935">
        <w:rPr>
          <w:rFonts w:eastAsia="Times New Roman" w:cs="Times New Roman"/>
          <w:lang w:eastAsia="de-DE"/>
        </w:rPr>
        <w:t>ist „das Volk JHWHs" – eine ironische Bezeichnung, da gerade die Rebellen durch göttliches Gericht umkamen.</w:t>
      </w:r>
    </w:p>
    <w:p w14:paraId="11976653" w14:textId="3D1D1CB5"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w:t>
      </w:r>
      <w:r w:rsidRPr="00240935">
        <w:rPr>
          <w:rFonts w:eastAsia="Times New Roman" w:cs="Times New Roman"/>
          <w:b/>
          <w:bCs/>
          <w:rtl/>
          <w:lang w:eastAsia="de-DE"/>
        </w:rPr>
        <w:t>וַיִּלֹּנוּ כָּל־עֲדַת בְּנֵי־יִשְׂרָאֵל מִמָּחֳרָת</w:t>
      </w:r>
      <w:r w:rsidRPr="00240935">
        <w:rPr>
          <w:rFonts w:eastAsia="Times New Roman" w:cs="Times New Roman"/>
          <w:rtl/>
          <w:lang w:eastAsia="de-DE"/>
        </w:rPr>
        <w:t xml:space="preserve"> </w:t>
      </w:r>
      <w:r w:rsidRPr="00240935">
        <w:rPr>
          <w:rFonts w:eastAsia="Times New Roman" w:cs="Times New Roman"/>
          <w:lang w:eastAsia="de-DE"/>
        </w:rPr>
        <w:t xml:space="preserve">mit καὶ ἐγόγγυσαν πᾶσα συναγωγὴ υἱῶν Ισραηλ τῇ ἐπαύριον ( „und es murrte die ganze Gemeinde der Söhne Israels am folgenden Tag"). </w:t>
      </w:r>
      <w:r w:rsidRPr="00240935">
        <w:rPr>
          <w:rFonts w:eastAsia="Times New Roman" w:cs="Times New Roman"/>
          <w:b/>
          <w:bCs/>
          <w:rtl/>
          <w:lang w:eastAsia="de-DE"/>
        </w:rPr>
        <w:t>עַל־מֹשֶׁה וְעַל־אַהֲרֹן</w:t>
      </w:r>
      <w:r w:rsidRPr="00240935">
        <w:rPr>
          <w:rFonts w:eastAsia="Times New Roman" w:cs="Times New Roman"/>
          <w:rtl/>
          <w:lang w:eastAsia="de-DE"/>
        </w:rPr>
        <w:t xml:space="preserve"> </w:t>
      </w:r>
      <w:r w:rsidRPr="00240935">
        <w:rPr>
          <w:rFonts w:eastAsia="Times New Roman" w:cs="Times New Roman"/>
          <w:lang w:eastAsia="de-DE"/>
        </w:rPr>
        <w:t xml:space="preserve">wird mit ἐπὶ Μωυσῆν καὶ Ααρων wiedergegeben. </w:t>
      </w:r>
      <w:r w:rsidRPr="00240935">
        <w:rPr>
          <w:rFonts w:eastAsia="Times New Roman" w:cs="Times New Roman"/>
          <w:b/>
          <w:bCs/>
          <w:rtl/>
          <w:lang w:eastAsia="de-DE"/>
        </w:rPr>
        <w:t>אַתֶּם הֲמִתֶּם אֶת־עַם יְהוָה</w:t>
      </w:r>
      <w:r w:rsidRPr="00240935">
        <w:rPr>
          <w:rFonts w:eastAsia="Times New Roman" w:cs="Times New Roman"/>
          <w:rtl/>
          <w:lang w:eastAsia="de-DE"/>
        </w:rPr>
        <w:t xml:space="preserve"> </w:t>
      </w:r>
      <w:r w:rsidRPr="00240935">
        <w:rPr>
          <w:rFonts w:eastAsia="Times New Roman" w:cs="Times New Roman"/>
          <w:lang w:eastAsia="de-DE"/>
        </w:rPr>
        <w:t>wird mit ὑμεῖς ἀπεκτάγκατε τὸν λαὸν κυρίου („ihr habt getötet das Volk des Herrn") übersetzt.</w:t>
      </w:r>
    </w:p>
    <w:p w14:paraId="783D48A1"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einen Hauptsatz mit Verb, erweiterten Subjekt (dreifache Constructus-Verbindung), temporaler Bestimmung, doppelter Präpositionalphrase und Redeeinleitung. Die direkte Rede ist ein Aussagesatz mit emphatischem Pronomen, Verb und Objekt. Es gibt keine Nebensätze.</w:t>
      </w:r>
    </w:p>
    <w:p w14:paraId="62183775"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Der Vers zeigt die erschreckende Verstocktheit des Volkes: Trotz des dramatischen göttlichen Gerichts murrt die Gemeinde am nächsten Tag erneut und beschuldigt Mose und Aaron, „das Volk JHWHs" getötet zu haben – eine völlige Verkehrung der Tatsachen.</w:t>
      </w:r>
    </w:p>
    <w:p w14:paraId="56145DCB"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17,7</w:t>
      </w:r>
    </w:p>
    <w:p w14:paraId="665F09D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וַיְהִ֗י בְּהִקָּהֵ֤ל הָֽעֵדָה֙ עַל־מֹשֶׁ֣ה וְעַֽל־אַהֲרֹ֔ן וַיִּפְנוּ֙ אֶל־אֹ֣הֶל מוֹעֵ֔ד וְהִנֵּ֥ה כִסָּ֖הוּ הֶעָנָ֑ן וַיֵּרָ֖א כְּב֥וֹד יְהוָֽה׃</w:t>
      </w:r>
    </w:p>
    <w:p w14:paraId="670A4A4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es geschah, als die Gemeinde sich gegen Mosche und gegen Aharon versammelte, da wandten sie sich zum Zelt der Begegnung, und siehe, die Wolke bedeckte es, und die Herrlichkeit des Ewigen erschien.</w:t>
      </w:r>
    </w:p>
    <w:p w14:paraId="10D1AF8A"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2ADA1335">
          <v:rect id="_x0000_i1580" style="width:0;height:1.5pt" o:hralign="center" o:hrstd="t" o:hr="t" fillcolor="#a0a0a0" stroked="f"/>
        </w:pict>
      </w:r>
    </w:p>
    <w:p w14:paraId="5747F7C1"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Die Formel </w:t>
      </w:r>
      <w:r w:rsidRPr="00240935">
        <w:rPr>
          <w:rFonts w:eastAsia="Times New Roman" w:cs="Times New Roman"/>
          <w:b/>
          <w:bCs/>
          <w:rtl/>
          <w:lang w:eastAsia="de-DE"/>
        </w:rPr>
        <w:t>וַיְהִי</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היה</w:t>
      </w:r>
      <w:r w:rsidRPr="00240935">
        <w:rPr>
          <w:rFonts w:eastAsia="Times New Roman" w:cs="Times New Roman"/>
          <w:lang w:eastAsia="de-DE"/>
        </w:rPr>
        <w:t xml:space="preserve">) bedeutet „und es geschah" und leitet ein bedeutsames Ereignis ein. Die temporale Präposition </w:t>
      </w:r>
      <w:r w:rsidRPr="00240935">
        <w:rPr>
          <w:rFonts w:eastAsia="Times New Roman" w:cs="Times New Roman"/>
          <w:b/>
          <w:bCs/>
          <w:rtl/>
          <w:lang w:eastAsia="de-DE"/>
        </w:rPr>
        <w:t>בְּהִקָּהֵל</w:t>
      </w:r>
      <w:r w:rsidRPr="00240935">
        <w:rPr>
          <w:rFonts w:eastAsia="Times New Roman" w:cs="Times New Roman"/>
          <w:rtl/>
          <w:lang w:eastAsia="de-DE"/>
        </w:rPr>
        <w:t xml:space="preserve"> </w:t>
      </w:r>
      <w:r w:rsidRPr="00240935">
        <w:rPr>
          <w:rFonts w:eastAsia="Times New Roman" w:cs="Times New Roman"/>
          <w:lang w:eastAsia="de-DE"/>
        </w:rPr>
        <w:t xml:space="preserve">ist eine zusammengesetzte Form aus </w:t>
      </w:r>
      <w:r w:rsidRPr="00240935">
        <w:rPr>
          <w:rFonts w:eastAsia="Times New Roman" w:cs="Times New Roman"/>
          <w:b/>
          <w:bCs/>
          <w:rtl/>
          <w:lang w:eastAsia="de-DE"/>
        </w:rPr>
        <w:t>בְּ</w:t>
      </w:r>
      <w:r w:rsidRPr="00240935">
        <w:rPr>
          <w:rFonts w:eastAsia="Times New Roman" w:cs="Times New Roman"/>
          <w:rtl/>
          <w:lang w:eastAsia="de-DE"/>
        </w:rPr>
        <w:t xml:space="preserve"> </w:t>
      </w:r>
      <w:r w:rsidRPr="00240935">
        <w:rPr>
          <w:rFonts w:eastAsia="Times New Roman" w:cs="Times New Roman"/>
          <w:lang w:eastAsia="de-DE"/>
        </w:rPr>
        <w:t xml:space="preserve">(„als, während") und dem Nifal Infinitiv construct von </w:t>
      </w:r>
      <w:r w:rsidRPr="00240935">
        <w:rPr>
          <w:rFonts w:eastAsia="Times New Roman" w:cs="Times New Roman"/>
          <w:b/>
          <w:bCs/>
          <w:rtl/>
          <w:lang w:eastAsia="de-DE"/>
        </w:rPr>
        <w:t>קהל</w:t>
      </w:r>
      <w:r w:rsidRPr="00240935">
        <w:rPr>
          <w:rFonts w:eastAsia="Times New Roman" w:cs="Times New Roman"/>
          <w:rtl/>
          <w:lang w:eastAsia="de-DE"/>
        </w:rPr>
        <w:t xml:space="preserve"> </w:t>
      </w:r>
      <w:r w:rsidRPr="00240935">
        <w:rPr>
          <w:rFonts w:eastAsia="Times New Roman" w:cs="Times New Roman"/>
          <w:lang w:eastAsia="de-DE"/>
        </w:rPr>
        <w:t xml:space="preserve">mit Artikel: „als sich versammelte". Das Subjekt </w:t>
      </w:r>
      <w:r w:rsidRPr="00240935">
        <w:rPr>
          <w:rFonts w:eastAsia="Times New Roman" w:cs="Times New Roman"/>
          <w:b/>
          <w:bCs/>
          <w:rtl/>
          <w:lang w:eastAsia="de-DE"/>
        </w:rPr>
        <w:t>הָעֵדָה</w:t>
      </w:r>
      <w:r w:rsidRPr="00240935">
        <w:rPr>
          <w:rFonts w:eastAsia="Times New Roman" w:cs="Times New Roman"/>
          <w:rtl/>
          <w:lang w:eastAsia="de-DE"/>
        </w:rPr>
        <w:t xml:space="preserve"> </w:t>
      </w:r>
      <w:r w:rsidRPr="00240935">
        <w:rPr>
          <w:rFonts w:eastAsia="Times New Roman" w:cs="Times New Roman"/>
          <w:lang w:eastAsia="de-DE"/>
        </w:rPr>
        <w:t xml:space="preserve">ist „die Gemeinde". Die doppelte Präpositionalphrase </w:t>
      </w:r>
      <w:r w:rsidRPr="00240935">
        <w:rPr>
          <w:rFonts w:eastAsia="Times New Roman" w:cs="Times New Roman"/>
          <w:b/>
          <w:bCs/>
          <w:rtl/>
          <w:lang w:eastAsia="de-DE"/>
        </w:rPr>
        <w:t>עַל־מֹשֶׁה וְעַל־אַהֲרֹן</w:t>
      </w:r>
      <w:r w:rsidRPr="00240935">
        <w:rPr>
          <w:rFonts w:eastAsia="Times New Roman" w:cs="Times New Roman"/>
          <w:rtl/>
          <w:lang w:eastAsia="de-DE"/>
        </w:rPr>
        <w:t xml:space="preserve"> </w:t>
      </w:r>
      <w:r w:rsidRPr="00240935">
        <w:rPr>
          <w:rFonts w:eastAsia="Times New Roman" w:cs="Times New Roman"/>
          <w:lang w:eastAsia="de-DE"/>
        </w:rPr>
        <w:t>(„gegen Mose und gegen Aaron") gibt die feindliche Richtung an.</w:t>
      </w:r>
    </w:p>
    <w:p w14:paraId="7EF890E9"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Das koordinierte Verb </w:t>
      </w:r>
      <w:r w:rsidRPr="00240935">
        <w:rPr>
          <w:rFonts w:eastAsia="Times New Roman" w:cs="Times New Roman"/>
          <w:b/>
          <w:bCs/>
          <w:rtl/>
          <w:lang w:eastAsia="de-DE"/>
        </w:rPr>
        <w:t>וַיִּפְנוּ</w:t>
      </w:r>
      <w:r w:rsidRPr="00240935">
        <w:rPr>
          <w:rFonts w:eastAsia="Times New Roman" w:cs="Times New Roman"/>
          <w:rtl/>
          <w:lang w:eastAsia="de-DE"/>
        </w:rPr>
        <w:t xml:space="preserve"> </w:t>
      </w:r>
      <w:r w:rsidRPr="00240935">
        <w:rPr>
          <w:rFonts w:eastAsia="Times New Roman" w:cs="Times New Roman"/>
          <w:lang w:eastAsia="de-DE"/>
        </w:rPr>
        <w:t xml:space="preserve">(Wayyiqtol, 3. m. pl. von </w:t>
      </w:r>
      <w:r w:rsidRPr="00240935">
        <w:rPr>
          <w:rFonts w:eastAsia="Times New Roman" w:cs="Times New Roman"/>
          <w:b/>
          <w:bCs/>
          <w:rtl/>
          <w:lang w:eastAsia="de-DE"/>
        </w:rPr>
        <w:t>פנה</w:t>
      </w:r>
      <w:r w:rsidRPr="00240935">
        <w:rPr>
          <w:rFonts w:eastAsia="Times New Roman" w:cs="Times New Roman"/>
          <w:lang w:eastAsia="de-DE"/>
        </w:rPr>
        <w:t xml:space="preserve">) bedeutet „und sie wandten sich". Das Subjekt bezieht sich auf Mose und Aaron. Die Präposition </w:t>
      </w:r>
      <w:r w:rsidRPr="00240935">
        <w:rPr>
          <w:rFonts w:eastAsia="Times New Roman" w:cs="Times New Roman"/>
          <w:b/>
          <w:bCs/>
          <w:rtl/>
          <w:lang w:eastAsia="de-DE"/>
        </w:rPr>
        <w:t>אֶל־אֹהֶל מוֹעֵד</w:t>
      </w:r>
      <w:r w:rsidRPr="00240935">
        <w:rPr>
          <w:rFonts w:eastAsia="Times New Roman" w:cs="Times New Roman"/>
          <w:rtl/>
          <w:lang w:eastAsia="de-DE"/>
        </w:rPr>
        <w:t xml:space="preserve"> </w:t>
      </w:r>
      <w:r w:rsidRPr="00240935">
        <w:rPr>
          <w:rFonts w:eastAsia="Times New Roman" w:cs="Times New Roman"/>
          <w:lang w:eastAsia="de-DE"/>
        </w:rPr>
        <w:t>gibt die Richtung an: „zum Zelt der Begegnung".</w:t>
      </w:r>
    </w:p>
    <w:p w14:paraId="20DC26C5"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Die Interjektion </w:t>
      </w:r>
      <w:r w:rsidRPr="00240935">
        <w:rPr>
          <w:rFonts w:eastAsia="Times New Roman" w:cs="Times New Roman"/>
          <w:b/>
          <w:bCs/>
          <w:rtl/>
          <w:lang w:eastAsia="de-DE"/>
        </w:rPr>
        <w:t>וְהִנֵּה</w:t>
      </w:r>
      <w:r w:rsidRPr="00240935">
        <w:rPr>
          <w:rFonts w:eastAsia="Times New Roman" w:cs="Times New Roman"/>
          <w:rtl/>
          <w:lang w:eastAsia="de-DE"/>
        </w:rPr>
        <w:t xml:space="preserve"> </w:t>
      </w:r>
      <w:r w:rsidRPr="00240935">
        <w:rPr>
          <w:rFonts w:eastAsia="Times New Roman" w:cs="Times New Roman"/>
          <w:lang w:eastAsia="de-DE"/>
        </w:rPr>
        <w:t xml:space="preserve">(„und siehe") leitet eine überraschende Entdeckung ein. Das Verb </w:t>
      </w:r>
      <w:r w:rsidRPr="00240935">
        <w:rPr>
          <w:rFonts w:eastAsia="Times New Roman" w:cs="Times New Roman"/>
          <w:b/>
          <w:bCs/>
          <w:rtl/>
          <w:lang w:eastAsia="de-DE"/>
        </w:rPr>
        <w:t>כִסָּהוּ</w:t>
      </w:r>
      <w:r w:rsidRPr="00240935">
        <w:rPr>
          <w:rFonts w:eastAsia="Times New Roman" w:cs="Times New Roman"/>
          <w:rtl/>
          <w:lang w:eastAsia="de-DE"/>
        </w:rPr>
        <w:t xml:space="preserve"> </w:t>
      </w:r>
      <w:r w:rsidRPr="00240935">
        <w:rPr>
          <w:rFonts w:eastAsia="Times New Roman" w:cs="Times New Roman"/>
          <w:lang w:eastAsia="de-DE"/>
        </w:rPr>
        <w:t xml:space="preserve">(Piel Perfekt, 3. m. sg. von </w:t>
      </w:r>
      <w:r w:rsidRPr="00240935">
        <w:rPr>
          <w:rFonts w:eastAsia="Times New Roman" w:cs="Times New Roman"/>
          <w:b/>
          <w:bCs/>
          <w:rtl/>
          <w:lang w:eastAsia="de-DE"/>
        </w:rPr>
        <w:t>כסה</w:t>
      </w:r>
      <w:r w:rsidRPr="00240935">
        <w:rPr>
          <w:rFonts w:eastAsia="Times New Roman" w:cs="Times New Roman"/>
          <w:rtl/>
          <w:lang w:eastAsia="de-DE"/>
        </w:rPr>
        <w:t xml:space="preserve"> </w:t>
      </w:r>
      <w:r w:rsidRPr="00240935">
        <w:rPr>
          <w:rFonts w:eastAsia="Times New Roman" w:cs="Times New Roman"/>
          <w:lang w:eastAsia="de-DE"/>
        </w:rPr>
        <w:t xml:space="preserve">mit Objektsuffix 3. m. sg.) bedeutet „es bedeckte es". Die Piel-Form hat intensive Bedeutung. </w:t>
      </w:r>
      <w:r w:rsidRPr="00240935">
        <w:rPr>
          <w:rFonts w:eastAsia="Times New Roman" w:cs="Times New Roman"/>
          <w:b/>
          <w:bCs/>
          <w:rtl/>
          <w:lang w:eastAsia="de-DE"/>
        </w:rPr>
        <w:t>הֶעָנָן</w:t>
      </w:r>
      <w:r w:rsidRPr="00240935">
        <w:rPr>
          <w:rFonts w:eastAsia="Times New Roman" w:cs="Times New Roman"/>
          <w:rtl/>
          <w:lang w:eastAsia="de-DE"/>
        </w:rPr>
        <w:t xml:space="preserve"> </w:t>
      </w:r>
      <w:r w:rsidRPr="00240935">
        <w:rPr>
          <w:rFonts w:eastAsia="Times New Roman" w:cs="Times New Roman"/>
          <w:lang w:eastAsia="de-DE"/>
        </w:rPr>
        <w:t>(„die Wolke") ist das Subjekt – ein Zeichen der göttlichen Präsenz. Das Objektsuffix bezieht sich auf das Zelt.</w:t>
      </w:r>
    </w:p>
    <w:p w14:paraId="38C80B3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Das koordinierte Verb </w:t>
      </w:r>
      <w:r w:rsidRPr="00240935">
        <w:rPr>
          <w:rFonts w:eastAsia="Times New Roman" w:cs="Times New Roman"/>
          <w:b/>
          <w:bCs/>
          <w:rtl/>
          <w:lang w:eastAsia="de-DE"/>
        </w:rPr>
        <w:t>וַיֵּרָא</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ראה</w:t>
      </w:r>
      <w:r w:rsidRPr="00240935">
        <w:rPr>
          <w:rFonts w:eastAsia="Times New Roman" w:cs="Times New Roman"/>
          <w:rtl/>
          <w:lang w:eastAsia="de-DE"/>
        </w:rPr>
        <w:t xml:space="preserve"> </w:t>
      </w:r>
      <w:r w:rsidRPr="00240935">
        <w:rPr>
          <w:rFonts w:eastAsia="Times New Roman" w:cs="Times New Roman"/>
          <w:lang w:eastAsia="de-DE"/>
        </w:rPr>
        <w:t xml:space="preserve">Nifal) bedeutet „und es erschien, wurde sichtbar". Das Subjekt </w:t>
      </w:r>
      <w:r w:rsidRPr="00240935">
        <w:rPr>
          <w:rFonts w:eastAsia="Times New Roman" w:cs="Times New Roman"/>
          <w:b/>
          <w:bCs/>
          <w:rtl/>
          <w:lang w:eastAsia="de-DE"/>
        </w:rPr>
        <w:t>כְּבוֹד יְהוָה</w:t>
      </w:r>
      <w:r w:rsidRPr="00240935">
        <w:rPr>
          <w:rFonts w:eastAsia="Times New Roman" w:cs="Times New Roman"/>
          <w:rtl/>
          <w:lang w:eastAsia="de-DE"/>
        </w:rPr>
        <w:t xml:space="preserve"> </w:t>
      </w:r>
      <w:r w:rsidRPr="00240935">
        <w:rPr>
          <w:rFonts w:eastAsia="Times New Roman" w:cs="Times New Roman"/>
          <w:lang w:eastAsia="de-DE"/>
        </w:rPr>
        <w:t>ist „die Herrlichkeit JHWHs" – die sichtbare Manifestation der göttlichen Gegenwart.</w:t>
      </w:r>
    </w:p>
    <w:p w14:paraId="6D63FB6C" w14:textId="3E3E0648"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lastRenderedPageBreak/>
        <w:t>Die LXX</w:t>
      </w:r>
      <w:r w:rsidRPr="00240935">
        <w:rPr>
          <w:rFonts w:eastAsia="Times New Roman" w:cs="Times New Roman"/>
          <w:lang w:eastAsia="de-DE"/>
        </w:rPr>
        <w:t xml:space="preserve"> übersetzt </w:t>
      </w:r>
      <w:r w:rsidRPr="00240935">
        <w:rPr>
          <w:rFonts w:eastAsia="Times New Roman" w:cs="Times New Roman"/>
          <w:b/>
          <w:bCs/>
          <w:rtl/>
          <w:lang w:eastAsia="de-DE"/>
        </w:rPr>
        <w:t>וַיְהִי בְּהִקָּהֵל הָעֵדָה עַל־מֹשֶׁה וְעַל־אַהֲרֹן</w:t>
      </w:r>
      <w:r w:rsidRPr="00240935">
        <w:rPr>
          <w:rFonts w:eastAsia="Times New Roman" w:cs="Times New Roman"/>
          <w:rtl/>
          <w:lang w:eastAsia="de-DE"/>
        </w:rPr>
        <w:t xml:space="preserve"> </w:t>
      </w:r>
      <w:r w:rsidRPr="00240935">
        <w:rPr>
          <w:rFonts w:eastAsia="Times New Roman" w:cs="Times New Roman"/>
          <w:lang w:eastAsia="de-DE"/>
        </w:rPr>
        <w:t xml:space="preserve">mit καὶ ἐγένετο ἡνίκα ἐπησυνέστη ἡ συναγωγὴ ἐπὶ Μωυσῆν καὶ Ααρων „und es geschah, als sich die Gemeinde versammelte gegen Mose und Aaron"). </w:t>
      </w:r>
      <w:r w:rsidRPr="00240935">
        <w:rPr>
          <w:rFonts w:eastAsia="Times New Roman" w:cs="Times New Roman"/>
          <w:b/>
          <w:bCs/>
          <w:rtl/>
          <w:lang w:eastAsia="de-DE"/>
        </w:rPr>
        <w:t>וַיִּפְנוּ אֶל־אֹהֶל מוֹעֵד</w:t>
      </w:r>
      <w:r w:rsidRPr="00240935">
        <w:rPr>
          <w:rFonts w:eastAsia="Times New Roman" w:cs="Times New Roman"/>
          <w:rtl/>
          <w:lang w:eastAsia="de-DE"/>
        </w:rPr>
        <w:t xml:space="preserve"> </w:t>
      </w:r>
      <w:r w:rsidRPr="00240935">
        <w:rPr>
          <w:rFonts w:eastAsia="Times New Roman" w:cs="Times New Roman"/>
          <w:lang w:eastAsia="de-DE"/>
        </w:rPr>
        <w:t xml:space="preserve">wird mit καὶ ἐπέστρεψαν ἐπὶ τὴν σκηνὴν τοῦ μαρτυρίου </w:t>
      </w:r>
      <w:r>
        <w:rPr>
          <w:rFonts w:eastAsia="Times New Roman" w:cs="Times New Roman"/>
          <w:lang w:eastAsia="de-DE"/>
        </w:rPr>
        <w:t>(</w:t>
      </w:r>
      <w:r w:rsidRPr="00240935">
        <w:rPr>
          <w:rFonts w:eastAsia="Times New Roman" w:cs="Times New Roman"/>
          <w:lang w:eastAsia="de-DE"/>
        </w:rPr>
        <w:t xml:space="preserve">„und sie wandten sich zum Zelt des Zeugnisses") wiedergegeben. </w:t>
      </w:r>
      <w:r w:rsidRPr="00240935">
        <w:rPr>
          <w:rFonts w:eastAsia="Times New Roman" w:cs="Times New Roman"/>
          <w:b/>
          <w:bCs/>
          <w:rtl/>
          <w:lang w:eastAsia="de-DE"/>
        </w:rPr>
        <w:t>וְהִנֵּה כִסָּהוּ הֶעָנָן</w:t>
      </w:r>
      <w:r w:rsidRPr="00240935">
        <w:rPr>
          <w:rFonts w:eastAsia="Times New Roman" w:cs="Times New Roman"/>
          <w:rtl/>
          <w:lang w:eastAsia="de-DE"/>
        </w:rPr>
        <w:t xml:space="preserve"> </w:t>
      </w:r>
      <w:r w:rsidRPr="00240935">
        <w:rPr>
          <w:rFonts w:eastAsia="Times New Roman" w:cs="Times New Roman"/>
          <w:lang w:eastAsia="de-DE"/>
        </w:rPr>
        <w:t xml:space="preserve">wird mit καὶ ἰδοὺ ἐκάλυψεν αὐτὴν ἡ νεφέλη </w:t>
      </w:r>
      <w:r>
        <w:rPr>
          <w:rFonts w:eastAsia="Times New Roman" w:cs="Times New Roman"/>
          <w:lang w:eastAsia="de-DE"/>
        </w:rPr>
        <w:t>(</w:t>
      </w:r>
      <w:r w:rsidRPr="00240935">
        <w:rPr>
          <w:rFonts w:eastAsia="Times New Roman" w:cs="Times New Roman"/>
          <w:lang w:eastAsia="de-DE"/>
        </w:rPr>
        <w:t xml:space="preserve">„und siehe, die Wolke bedeckte es") übersetzt. </w:t>
      </w:r>
      <w:r w:rsidRPr="00240935">
        <w:rPr>
          <w:rFonts w:eastAsia="Times New Roman" w:cs="Times New Roman"/>
          <w:b/>
          <w:bCs/>
          <w:rtl/>
          <w:lang w:eastAsia="de-DE"/>
        </w:rPr>
        <w:t>וַיֵּרָא כְּבוֹד יְהוָה</w:t>
      </w:r>
      <w:r w:rsidRPr="00240935">
        <w:rPr>
          <w:rFonts w:eastAsia="Times New Roman" w:cs="Times New Roman"/>
          <w:rtl/>
          <w:lang w:eastAsia="de-DE"/>
        </w:rPr>
        <w:t xml:space="preserve"> </w:t>
      </w:r>
      <w:r w:rsidRPr="00240935">
        <w:rPr>
          <w:rFonts w:eastAsia="Times New Roman" w:cs="Times New Roman"/>
          <w:lang w:eastAsia="de-DE"/>
        </w:rPr>
        <w:t>wird mit καὶ ὤφθη ἡ δόξα κυρίου („und die Herrlichkeit des Herrn erschien") wiedergegeben.</w:t>
      </w:r>
    </w:p>
    <w:p w14:paraId="2FB15D64"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einen Hauptsatz mit der Ereignisformel und temporalem Infinitivsatz (Nebensatz) mit Subjekt und doppelter Präpositionalphrase. Drei koordinierte Hauptsätze folgen: der erste mit Verb und Präpositionalphrase, der zweite mit Interjektion, Verb (Objektsuffix) und Subjekt, der dritte mit Verb und Subjekt. Insgesamt gibt es einen Nebensatz (temporaler Infinitivsatz).</w:t>
      </w:r>
    </w:p>
    <w:p w14:paraId="4258823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Der Vers beschreibt die unmittelbare göttliche Reaktion auf das erneute Murren: Als sich die Gemeinde feindlich versammelt, erscheint die Herrlichkeit JHWHs im Zelt – ein Zeichen drohenden Gerichts.</w:t>
      </w:r>
    </w:p>
    <w:p w14:paraId="732C4078"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17,8</w:t>
      </w:r>
    </w:p>
    <w:p w14:paraId="03B237D4"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וַיָּבֹ֤א מֹשֶׁה֙ וְאַהֲרֹ֔ן אֶל־פְּנֵ֖י אֹ֥הֶל מוֹעֵֽד׃</w:t>
      </w:r>
    </w:p>
    <w:p w14:paraId="671479C9"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Da kamen Mosche und Aharon vor das Zelt der Begegnung.</w:t>
      </w:r>
    </w:p>
    <w:p w14:paraId="1790EF96"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7D937349">
          <v:rect id="_x0000_i1581" style="width:0;height:1.5pt" o:hralign="center" o:hrstd="t" o:hr="t" fillcolor="#a0a0a0" stroked="f"/>
        </w:pict>
      </w:r>
    </w:p>
    <w:p w14:paraId="2E43FF9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Das Verb </w:t>
      </w:r>
      <w:r w:rsidRPr="00240935">
        <w:rPr>
          <w:rFonts w:eastAsia="Times New Roman" w:cs="Times New Roman"/>
          <w:b/>
          <w:bCs/>
          <w:rtl/>
          <w:lang w:eastAsia="de-DE"/>
        </w:rPr>
        <w:t>וַיָּבֹא</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בוא</w:t>
      </w:r>
      <w:r w:rsidRPr="00240935">
        <w:rPr>
          <w:rFonts w:eastAsia="Times New Roman" w:cs="Times New Roman"/>
          <w:lang w:eastAsia="de-DE"/>
        </w:rPr>
        <w:t xml:space="preserve">) bedeutet „und er kam". Das doppelte Subjekt </w:t>
      </w:r>
      <w:r w:rsidRPr="00240935">
        <w:rPr>
          <w:rFonts w:eastAsia="Times New Roman" w:cs="Times New Roman"/>
          <w:b/>
          <w:bCs/>
          <w:rtl/>
          <w:lang w:eastAsia="de-DE"/>
        </w:rPr>
        <w:t>מֹשֶׁה וְאַהֲרֹן</w:t>
      </w:r>
      <w:r w:rsidRPr="00240935">
        <w:rPr>
          <w:rFonts w:eastAsia="Times New Roman" w:cs="Times New Roman"/>
          <w:rtl/>
          <w:lang w:eastAsia="de-DE"/>
        </w:rPr>
        <w:t xml:space="preserve"> </w:t>
      </w:r>
      <w:r w:rsidRPr="00240935">
        <w:rPr>
          <w:rFonts w:eastAsia="Times New Roman" w:cs="Times New Roman"/>
          <w:lang w:eastAsia="de-DE"/>
        </w:rPr>
        <w:t xml:space="preserve">zeigt beide Autoritätsfiguren koordiniert durch </w:t>
      </w:r>
      <w:r w:rsidRPr="00240935">
        <w:rPr>
          <w:rFonts w:eastAsia="Times New Roman" w:cs="Times New Roman"/>
          <w:b/>
          <w:bCs/>
          <w:rtl/>
          <w:lang w:eastAsia="de-DE"/>
        </w:rPr>
        <w:t>וְ</w:t>
      </w:r>
      <w:r w:rsidRPr="00240935">
        <w:rPr>
          <w:rFonts w:eastAsia="Times New Roman" w:cs="Times New Roman"/>
          <w:lang w:eastAsia="de-DE"/>
        </w:rPr>
        <w:t xml:space="preserve">. Die Präpositionalphrase </w:t>
      </w:r>
      <w:r w:rsidRPr="00240935">
        <w:rPr>
          <w:rFonts w:eastAsia="Times New Roman" w:cs="Times New Roman"/>
          <w:b/>
          <w:bCs/>
          <w:rtl/>
          <w:lang w:eastAsia="de-DE"/>
        </w:rPr>
        <w:t>אֶל־פְּנֵי אֹהֶל מוֹעֵד</w:t>
      </w:r>
      <w:r w:rsidRPr="00240935">
        <w:rPr>
          <w:rFonts w:eastAsia="Times New Roman" w:cs="Times New Roman"/>
          <w:rtl/>
          <w:lang w:eastAsia="de-DE"/>
        </w:rPr>
        <w:t xml:space="preserve"> </w:t>
      </w:r>
      <w:r w:rsidRPr="00240935">
        <w:rPr>
          <w:rFonts w:eastAsia="Times New Roman" w:cs="Times New Roman"/>
          <w:lang w:eastAsia="de-DE"/>
        </w:rPr>
        <w:t>bedeutet „vor das Angesicht des Zeltes der Begegnung" (</w:t>
      </w:r>
      <w:r w:rsidRPr="00240935">
        <w:rPr>
          <w:rFonts w:eastAsia="Times New Roman" w:cs="Times New Roman"/>
          <w:b/>
          <w:bCs/>
          <w:rtl/>
          <w:lang w:eastAsia="de-DE"/>
        </w:rPr>
        <w:t>אֶל</w:t>
      </w:r>
      <w:r w:rsidRPr="00240935">
        <w:rPr>
          <w:rFonts w:eastAsia="Times New Roman" w:cs="Times New Roman"/>
          <w:rtl/>
          <w:lang w:eastAsia="de-DE"/>
        </w:rPr>
        <w:t xml:space="preserve"> </w:t>
      </w:r>
      <w:r w:rsidRPr="00240935">
        <w:rPr>
          <w:rFonts w:eastAsia="Times New Roman" w:cs="Times New Roman"/>
          <w:lang w:eastAsia="de-DE"/>
        </w:rPr>
        <w:t xml:space="preserve">„zu", </w:t>
      </w:r>
      <w:r w:rsidRPr="00240935">
        <w:rPr>
          <w:rFonts w:eastAsia="Times New Roman" w:cs="Times New Roman"/>
          <w:b/>
          <w:bCs/>
          <w:rtl/>
          <w:lang w:eastAsia="de-DE"/>
        </w:rPr>
        <w:t>פְּנֵי</w:t>
      </w:r>
      <w:r w:rsidRPr="00240935">
        <w:rPr>
          <w:rFonts w:eastAsia="Times New Roman" w:cs="Times New Roman"/>
          <w:rtl/>
          <w:lang w:eastAsia="de-DE"/>
        </w:rPr>
        <w:t xml:space="preserve"> </w:t>
      </w:r>
      <w:r w:rsidRPr="00240935">
        <w:rPr>
          <w:rFonts w:eastAsia="Times New Roman" w:cs="Times New Roman"/>
          <w:lang w:eastAsia="de-DE"/>
        </w:rPr>
        <w:t xml:space="preserve">Constructus Plural von </w:t>
      </w:r>
      <w:r w:rsidRPr="00240935">
        <w:rPr>
          <w:rFonts w:eastAsia="Times New Roman" w:cs="Times New Roman"/>
          <w:b/>
          <w:bCs/>
          <w:rtl/>
          <w:lang w:eastAsia="de-DE"/>
        </w:rPr>
        <w:t>פָּנֶה</w:t>
      </w:r>
      <w:r w:rsidRPr="00240935">
        <w:rPr>
          <w:rFonts w:eastAsia="Times New Roman" w:cs="Times New Roman"/>
          <w:rtl/>
          <w:lang w:eastAsia="de-DE"/>
        </w:rPr>
        <w:t xml:space="preserve"> </w:t>
      </w:r>
      <w:r w:rsidRPr="00240935">
        <w:rPr>
          <w:rFonts w:eastAsia="Times New Roman" w:cs="Times New Roman"/>
          <w:lang w:eastAsia="de-DE"/>
        </w:rPr>
        <w:t xml:space="preserve">„Angesicht", </w:t>
      </w:r>
      <w:r w:rsidRPr="00240935">
        <w:rPr>
          <w:rFonts w:eastAsia="Times New Roman" w:cs="Times New Roman"/>
          <w:b/>
          <w:bCs/>
          <w:rtl/>
          <w:lang w:eastAsia="de-DE"/>
        </w:rPr>
        <w:t>אֹהֶל מוֹעֵד</w:t>
      </w:r>
      <w:r w:rsidRPr="00240935">
        <w:rPr>
          <w:rFonts w:eastAsia="Times New Roman" w:cs="Times New Roman"/>
          <w:rtl/>
          <w:lang w:eastAsia="de-DE"/>
        </w:rPr>
        <w:t xml:space="preserve"> </w:t>
      </w:r>
      <w:r w:rsidRPr="00240935">
        <w:rPr>
          <w:rFonts w:eastAsia="Times New Roman" w:cs="Times New Roman"/>
          <w:lang w:eastAsia="de-DE"/>
        </w:rPr>
        <w:t>die Constructus-Verbindung). Der Vers ist syntaktisch äußerst knapp und beschreibt die unmittelbare Reaktion auf die göttliche Erscheinung.</w:t>
      </w:r>
    </w:p>
    <w:p w14:paraId="01B23E19" w14:textId="7F13B018"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mit καὶ εἰσῆλθεν Μωυσῆς καὶ Ααρων κατὰ πρόσωπον τῆς σκηνῆς τοῦ μαρτυρίου.</w:t>
      </w:r>
    </w:p>
    <w:p w14:paraId="2E04F590"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einen einfachen Hauptsatz mit Verb, doppeltem Subjekt und Präpositionalphrase. Es gibt keine Nebensätze.</w:t>
      </w:r>
    </w:p>
    <w:p w14:paraId="0F4D5CCD"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17,9</w:t>
      </w:r>
    </w:p>
    <w:p w14:paraId="25EDD388"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וַיְדַבֵּ֥ר יְהוָ֖ה אֶל־מֹשֶׁ֥ה לֵּאמֹֽר׃</w:t>
      </w:r>
    </w:p>
    <w:p w14:paraId="2FD8BE95"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der Ewige redete zu Mosche, sagend:</w:t>
      </w:r>
    </w:p>
    <w:p w14:paraId="29141A1F"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1CBAAD76">
          <v:rect id="_x0000_i1582" style="width:0;height:1.5pt" o:hralign="center" o:hrstd="t" o:hr="t" fillcolor="#a0a0a0" stroked="f"/>
        </w:pict>
      </w:r>
    </w:p>
    <w:p w14:paraId="033ACF63"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lastRenderedPageBreak/>
        <w:t>Kommentar:</w:t>
      </w:r>
      <w:r w:rsidRPr="00240935">
        <w:rPr>
          <w:rFonts w:eastAsia="Times New Roman" w:cs="Times New Roman"/>
          <w:lang w:eastAsia="de-DE"/>
        </w:rPr>
        <w:t xml:space="preserve"> Das Verb </w:t>
      </w:r>
      <w:r w:rsidRPr="00240935">
        <w:rPr>
          <w:rFonts w:eastAsia="Times New Roman" w:cs="Times New Roman"/>
          <w:b/>
          <w:bCs/>
          <w:rtl/>
          <w:lang w:eastAsia="de-DE"/>
        </w:rPr>
        <w:t>וַיְדַבֵּר</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דבר</w:t>
      </w:r>
      <w:r w:rsidRPr="00240935">
        <w:rPr>
          <w:rFonts w:eastAsia="Times New Roman" w:cs="Times New Roman"/>
          <w:rtl/>
          <w:lang w:eastAsia="de-DE"/>
        </w:rPr>
        <w:t xml:space="preserve"> </w:t>
      </w:r>
      <w:r w:rsidRPr="00240935">
        <w:rPr>
          <w:rFonts w:eastAsia="Times New Roman" w:cs="Times New Roman"/>
          <w:lang w:eastAsia="de-DE"/>
        </w:rPr>
        <w:t xml:space="preserve">Piel) bedeutet „und er redete". </w:t>
      </w:r>
      <w:r w:rsidRPr="00240935">
        <w:rPr>
          <w:rFonts w:eastAsia="Times New Roman" w:cs="Times New Roman"/>
          <w:b/>
          <w:bCs/>
          <w:rtl/>
          <w:lang w:eastAsia="de-DE"/>
        </w:rPr>
        <w:t>יְהוָה</w:t>
      </w:r>
      <w:r w:rsidRPr="00240935">
        <w:rPr>
          <w:rFonts w:eastAsia="Times New Roman" w:cs="Times New Roman"/>
          <w:rtl/>
          <w:lang w:eastAsia="de-DE"/>
        </w:rPr>
        <w:t xml:space="preserve"> </w:t>
      </w:r>
      <w:r w:rsidRPr="00240935">
        <w:rPr>
          <w:rFonts w:eastAsia="Times New Roman" w:cs="Times New Roman"/>
          <w:lang w:eastAsia="de-DE"/>
        </w:rPr>
        <w:t xml:space="preserve">ist das explizite Subjekt. Die Präpositionalphrase </w:t>
      </w:r>
      <w:r w:rsidRPr="00240935">
        <w:rPr>
          <w:rFonts w:eastAsia="Times New Roman" w:cs="Times New Roman"/>
          <w:b/>
          <w:bCs/>
          <w:rtl/>
          <w:lang w:eastAsia="de-DE"/>
        </w:rPr>
        <w:t>אֶל־מֹשֶׁה</w:t>
      </w:r>
      <w:r w:rsidRPr="00240935">
        <w:rPr>
          <w:rFonts w:eastAsia="Times New Roman" w:cs="Times New Roman"/>
          <w:rtl/>
          <w:lang w:eastAsia="de-DE"/>
        </w:rPr>
        <w:t xml:space="preserve"> </w:t>
      </w:r>
      <w:r w:rsidRPr="00240935">
        <w:rPr>
          <w:rFonts w:eastAsia="Times New Roman" w:cs="Times New Roman"/>
          <w:lang w:eastAsia="de-DE"/>
        </w:rPr>
        <w:t xml:space="preserve">gibt den Adressaten an. </w:t>
      </w:r>
      <w:r w:rsidRPr="00240935">
        <w:rPr>
          <w:rFonts w:eastAsia="Times New Roman" w:cs="Times New Roman"/>
          <w:b/>
          <w:bCs/>
          <w:rtl/>
          <w:lang w:eastAsia="de-DE"/>
        </w:rPr>
        <w:t>לֵּאמֹר</w:t>
      </w:r>
      <w:r w:rsidRPr="00240935">
        <w:rPr>
          <w:rFonts w:eastAsia="Times New Roman" w:cs="Times New Roman"/>
          <w:rtl/>
          <w:lang w:eastAsia="de-DE"/>
        </w:rPr>
        <w:t xml:space="preserve"> </w:t>
      </w:r>
      <w:r w:rsidRPr="00240935">
        <w:rPr>
          <w:rFonts w:eastAsia="Times New Roman" w:cs="Times New Roman"/>
          <w:lang w:eastAsia="de-DE"/>
        </w:rPr>
        <w:t>ist die stereotype Redeeinleitung.</w:t>
      </w:r>
    </w:p>
    <w:p w14:paraId="0232BE51" w14:textId="34140514"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mit καὶ ἐλάλησεν κύριος πρὸς Μωυσῆν λέγων.</w:t>
      </w:r>
    </w:p>
    <w:p w14:paraId="6FBBE97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einen Hauptsatz mit Verb, Subjekt, Präpositionalphrase und Redeeinleitung.</w:t>
      </w:r>
    </w:p>
    <w:p w14:paraId="16F95CDD"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17,10</w:t>
      </w:r>
    </w:p>
    <w:p w14:paraId="776C513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הֵרֹ֗מּוּ מִתּוֹךְ֙ הָעֵדָ֣ה הַזֹּ֔את וַאֲכַלֶּ֥ה אֹתָ֖ם כְּרָ֑גַע וַֽיִּפְּל֖וּ עַל־פְּנֵיהֶֽם׃</w:t>
      </w:r>
    </w:p>
    <w:p w14:paraId="117591E4"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Erhebt euch aus der Mitte dieser Gemeinde, und ich werde sie in einem Augenblick vernichten! Da fielen sie auf ihr Angesicht.</w:t>
      </w:r>
    </w:p>
    <w:p w14:paraId="666A8DB3"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409D37BF">
          <v:rect id="_x0000_i1583" style="width:0;height:1.5pt" o:hralign="center" o:hrstd="t" o:hr="t" fillcolor="#a0a0a0" stroked="f"/>
        </w:pict>
      </w:r>
    </w:p>
    <w:p w14:paraId="20CAFCD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Das Verb </w:t>
      </w:r>
      <w:r w:rsidRPr="00240935">
        <w:rPr>
          <w:rFonts w:eastAsia="Times New Roman" w:cs="Times New Roman"/>
          <w:b/>
          <w:bCs/>
          <w:rtl/>
          <w:lang w:eastAsia="de-DE"/>
        </w:rPr>
        <w:t>הֵרֹמּוּ</w:t>
      </w:r>
      <w:r w:rsidRPr="00240935">
        <w:rPr>
          <w:rFonts w:eastAsia="Times New Roman" w:cs="Times New Roman"/>
          <w:rtl/>
          <w:lang w:eastAsia="de-DE"/>
        </w:rPr>
        <w:t xml:space="preserve"> </w:t>
      </w:r>
      <w:r w:rsidRPr="00240935">
        <w:rPr>
          <w:rFonts w:eastAsia="Times New Roman" w:cs="Times New Roman"/>
          <w:lang w:eastAsia="de-DE"/>
        </w:rPr>
        <w:t xml:space="preserve">(Nifal Imperativ, 2. m. pl. von </w:t>
      </w:r>
      <w:r w:rsidRPr="00240935">
        <w:rPr>
          <w:rFonts w:eastAsia="Times New Roman" w:cs="Times New Roman"/>
          <w:b/>
          <w:bCs/>
          <w:rtl/>
          <w:lang w:eastAsia="de-DE"/>
        </w:rPr>
        <w:t>רום</w:t>
      </w:r>
      <w:r w:rsidRPr="00240935">
        <w:rPr>
          <w:rFonts w:eastAsia="Times New Roman" w:cs="Times New Roman"/>
          <w:lang w:eastAsia="de-DE"/>
        </w:rPr>
        <w:t xml:space="preserve">) bedeutet „erhebt euch, entfernt euch". Die Nifal-Form hat reflexive Bedeutung. Die Präposition </w:t>
      </w:r>
      <w:r w:rsidRPr="00240935">
        <w:rPr>
          <w:rFonts w:eastAsia="Times New Roman" w:cs="Times New Roman"/>
          <w:b/>
          <w:bCs/>
          <w:rtl/>
          <w:lang w:eastAsia="de-DE"/>
        </w:rPr>
        <w:t>מִתּוֹךְ הָעֵדָה הַזֹּאת</w:t>
      </w:r>
      <w:r w:rsidRPr="00240935">
        <w:rPr>
          <w:rFonts w:eastAsia="Times New Roman" w:cs="Times New Roman"/>
          <w:rtl/>
          <w:lang w:eastAsia="de-DE"/>
        </w:rPr>
        <w:t xml:space="preserve"> </w:t>
      </w:r>
      <w:r w:rsidRPr="00240935">
        <w:rPr>
          <w:rFonts w:eastAsia="Times New Roman" w:cs="Times New Roman"/>
          <w:lang w:eastAsia="de-DE"/>
        </w:rPr>
        <w:t>bedeutet „aus der Mitte dieser Gemeinde" (</w:t>
      </w:r>
      <w:r w:rsidRPr="00240935">
        <w:rPr>
          <w:rFonts w:eastAsia="Times New Roman" w:cs="Times New Roman"/>
          <w:b/>
          <w:bCs/>
          <w:rtl/>
          <w:lang w:eastAsia="de-DE"/>
        </w:rPr>
        <w:t>מִן</w:t>
      </w:r>
      <w:r w:rsidRPr="00240935">
        <w:rPr>
          <w:rFonts w:eastAsia="Times New Roman" w:cs="Times New Roman"/>
          <w:rtl/>
          <w:lang w:eastAsia="de-DE"/>
        </w:rPr>
        <w:t xml:space="preserve"> </w:t>
      </w:r>
      <w:r w:rsidRPr="00240935">
        <w:rPr>
          <w:rFonts w:eastAsia="Times New Roman" w:cs="Times New Roman"/>
          <w:lang w:eastAsia="de-DE"/>
        </w:rPr>
        <w:t xml:space="preserve">„aus", </w:t>
      </w:r>
      <w:r w:rsidRPr="00240935">
        <w:rPr>
          <w:rFonts w:eastAsia="Times New Roman" w:cs="Times New Roman"/>
          <w:b/>
          <w:bCs/>
          <w:rtl/>
          <w:lang w:eastAsia="de-DE"/>
        </w:rPr>
        <w:t>תּוֹךְ</w:t>
      </w:r>
      <w:r w:rsidRPr="00240935">
        <w:rPr>
          <w:rFonts w:eastAsia="Times New Roman" w:cs="Times New Roman"/>
          <w:rtl/>
          <w:lang w:eastAsia="de-DE"/>
        </w:rPr>
        <w:t xml:space="preserve"> </w:t>
      </w:r>
      <w:r w:rsidRPr="00240935">
        <w:rPr>
          <w:rFonts w:eastAsia="Times New Roman" w:cs="Times New Roman"/>
          <w:lang w:eastAsia="de-DE"/>
        </w:rPr>
        <w:t xml:space="preserve">„Mitte", </w:t>
      </w:r>
      <w:r w:rsidRPr="00240935">
        <w:rPr>
          <w:rFonts w:eastAsia="Times New Roman" w:cs="Times New Roman"/>
          <w:b/>
          <w:bCs/>
          <w:rtl/>
          <w:lang w:eastAsia="de-DE"/>
        </w:rPr>
        <w:t>הָעֵדָה</w:t>
      </w:r>
      <w:r w:rsidRPr="00240935">
        <w:rPr>
          <w:rFonts w:eastAsia="Times New Roman" w:cs="Times New Roman"/>
          <w:rtl/>
          <w:lang w:eastAsia="de-DE"/>
        </w:rPr>
        <w:t xml:space="preserve"> </w:t>
      </w:r>
      <w:r w:rsidRPr="00240935">
        <w:rPr>
          <w:rFonts w:eastAsia="Times New Roman" w:cs="Times New Roman"/>
          <w:lang w:eastAsia="de-DE"/>
        </w:rPr>
        <w:t xml:space="preserve">mit Artikel, </w:t>
      </w:r>
      <w:r w:rsidRPr="00240935">
        <w:rPr>
          <w:rFonts w:eastAsia="Times New Roman" w:cs="Times New Roman"/>
          <w:b/>
          <w:bCs/>
          <w:rtl/>
          <w:lang w:eastAsia="de-DE"/>
        </w:rPr>
        <w:t>הַזֹּאת</w:t>
      </w:r>
      <w:r w:rsidRPr="00240935">
        <w:rPr>
          <w:rFonts w:eastAsia="Times New Roman" w:cs="Times New Roman"/>
          <w:rtl/>
          <w:lang w:eastAsia="de-DE"/>
        </w:rPr>
        <w:t xml:space="preserve"> </w:t>
      </w:r>
      <w:r w:rsidRPr="00240935">
        <w:rPr>
          <w:rFonts w:eastAsia="Times New Roman" w:cs="Times New Roman"/>
          <w:lang w:eastAsia="de-DE"/>
        </w:rPr>
        <w:t>Demonstrativpronomen). Die Formulierung entspricht fast wörtlich 16,21 und zeigt, dass sich die Situation wiederholt.</w:t>
      </w:r>
    </w:p>
    <w:p w14:paraId="2653BF9E"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Das koordinierte Verb </w:t>
      </w:r>
      <w:r w:rsidRPr="00240935">
        <w:rPr>
          <w:rFonts w:eastAsia="Times New Roman" w:cs="Times New Roman"/>
          <w:b/>
          <w:bCs/>
          <w:rtl/>
          <w:lang w:eastAsia="de-DE"/>
        </w:rPr>
        <w:t>וַאֲכַלֶּה</w:t>
      </w:r>
      <w:r w:rsidRPr="00240935">
        <w:rPr>
          <w:rFonts w:eastAsia="Times New Roman" w:cs="Times New Roman"/>
          <w:rtl/>
          <w:lang w:eastAsia="de-DE"/>
        </w:rPr>
        <w:t xml:space="preserve"> </w:t>
      </w:r>
      <w:r w:rsidRPr="00240935">
        <w:rPr>
          <w:rFonts w:eastAsia="Times New Roman" w:cs="Times New Roman"/>
          <w:lang w:eastAsia="de-DE"/>
        </w:rPr>
        <w:t xml:space="preserve">(Waw + Piel Kohortativ, 1. c. sg. von </w:t>
      </w:r>
      <w:r w:rsidRPr="00240935">
        <w:rPr>
          <w:rFonts w:eastAsia="Times New Roman" w:cs="Times New Roman"/>
          <w:b/>
          <w:bCs/>
          <w:rtl/>
          <w:lang w:eastAsia="de-DE"/>
        </w:rPr>
        <w:t>כלה</w:t>
      </w:r>
      <w:r w:rsidRPr="00240935">
        <w:rPr>
          <w:rFonts w:eastAsia="Times New Roman" w:cs="Times New Roman"/>
          <w:lang w:eastAsia="de-DE"/>
        </w:rPr>
        <w:t xml:space="preserve">) bedeutet „und ich werde vernichten". Das Objekt </w:t>
      </w:r>
      <w:r w:rsidRPr="00240935">
        <w:rPr>
          <w:rFonts w:eastAsia="Times New Roman" w:cs="Times New Roman"/>
          <w:b/>
          <w:bCs/>
          <w:rtl/>
          <w:lang w:eastAsia="de-DE"/>
        </w:rPr>
        <w:t>אֹתָם</w:t>
      </w:r>
      <w:r w:rsidRPr="00240935">
        <w:rPr>
          <w:rFonts w:eastAsia="Times New Roman" w:cs="Times New Roman"/>
          <w:rtl/>
          <w:lang w:eastAsia="de-DE"/>
        </w:rPr>
        <w:t xml:space="preserve"> </w:t>
      </w:r>
      <w:r w:rsidRPr="00240935">
        <w:rPr>
          <w:rFonts w:eastAsia="Times New Roman" w:cs="Times New Roman"/>
          <w:lang w:eastAsia="de-DE"/>
        </w:rPr>
        <w:t xml:space="preserve">(„sie") bezieht sich auf die Gemeinde. </w:t>
      </w:r>
      <w:r w:rsidRPr="00240935">
        <w:rPr>
          <w:rFonts w:eastAsia="Times New Roman" w:cs="Times New Roman"/>
          <w:b/>
          <w:bCs/>
          <w:rtl/>
          <w:lang w:eastAsia="de-DE"/>
        </w:rPr>
        <w:t>כְּרָגַע</w:t>
      </w:r>
      <w:r w:rsidRPr="00240935">
        <w:rPr>
          <w:rFonts w:eastAsia="Times New Roman" w:cs="Times New Roman"/>
          <w:rtl/>
          <w:lang w:eastAsia="de-DE"/>
        </w:rPr>
        <w:t xml:space="preserve"> </w:t>
      </w:r>
      <w:r w:rsidRPr="00240935">
        <w:rPr>
          <w:rFonts w:eastAsia="Times New Roman" w:cs="Times New Roman"/>
          <w:lang w:eastAsia="de-DE"/>
        </w:rPr>
        <w:t xml:space="preserve">(„in einem Augenblick") betont die Unmittelbarkeit. Das koordinierte Verb </w:t>
      </w:r>
      <w:r w:rsidRPr="00240935">
        <w:rPr>
          <w:rFonts w:eastAsia="Times New Roman" w:cs="Times New Roman"/>
          <w:b/>
          <w:bCs/>
          <w:rtl/>
          <w:lang w:eastAsia="de-DE"/>
        </w:rPr>
        <w:t>וַיִּפְּלוּ</w:t>
      </w:r>
      <w:r w:rsidRPr="00240935">
        <w:rPr>
          <w:rFonts w:eastAsia="Times New Roman" w:cs="Times New Roman"/>
          <w:rtl/>
          <w:lang w:eastAsia="de-DE"/>
        </w:rPr>
        <w:t xml:space="preserve"> </w:t>
      </w:r>
      <w:r w:rsidRPr="00240935">
        <w:rPr>
          <w:rFonts w:eastAsia="Times New Roman" w:cs="Times New Roman"/>
          <w:lang w:eastAsia="de-DE"/>
        </w:rPr>
        <w:t xml:space="preserve">(Wayyiqtol, 3. m. pl. von </w:t>
      </w:r>
      <w:r w:rsidRPr="00240935">
        <w:rPr>
          <w:rFonts w:eastAsia="Times New Roman" w:cs="Times New Roman"/>
          <w:b/>
          <w:bCs/>
          <w:rtl/>
          <w:lang w:eastAsia="de-DE"/>
        </w:rPr>
        <w:t>נפל</w:t>
      </w:r>
      <w:r w:rsidRPr="00240935">
        <w:rPr>
          <w:rFonts w:eastAsia="Times New Roman" w:cs="Times New Roman"/>
          <w:lang w:eastAsia="de-DE"/>
        </w:rPr>
        <w:t xml:space="preserve">) bedeutet „und sie fielen". Die Präposition </w:t>
      </w:r>
      <w:r w:rsidRPr="00240935">
        <w:rPr>
          <w:rFonts w:eastAsia="Times New Roman" w:cs="Times New Roman"/>
          <w:b/>
          <w:bCs/>
          <w:rtl/>
          <w:lang w:eastAsia="de-DE"/>
        </w:rPr>
        <w:t>עַל־פְּנֵיהֶם</w:t>
      </w:r>
      <w:r w:rsidRPr="00240935">
        <w:rPr>
          <w:rFonts w:eastAsia="Times New Roman" w:cs="Times New Roman"/>
          <w:rtl/>
          <w:lang w:eastAsia="de-DE"/>
        </w:rPr>
        <w:t xml:space="preserve"> </w:t>
      </w:r>
      <w:r w:rsidRPr="00240935">
        <w:rPr>
          <w:rFonts w:eastAsia="Times New Roman" w:cs="Times New Roman"/>
          <w:lang w:eastAsia="de-DE"/>
        </w:rPr>
        <w:t>(„auf ihre Angesichter") beschreibt die Gebetsgeste Moses und Aarons.</w:t>
      </w:r>
    </w:p>
    <w:p w14:paraId="75EAEA9C" w14:textId="61C3EACF"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w:t>
      </w:r>
      <w:r w:rsidRPr="00240935">
        <w:rPr>
          <w:rFonts w:eastAsia="Times New Roman" w:cs="Times New Roman"/>
          <w:b/>
          <w:bCs/>
          <w:rtl/>
          <w:lang w:eastAsia="de-DE"/>
        </w:rPr>
        <w:t>הֵרֹמּוּ מִתּוֹךְ הָעֵדָה הַזֹּאת</w:t>
      </w:r>
      <w:r w:rsidRPr="00240935">
        <w:rPr>
          <w:rFonts w:eastAsia="Times New Roman" w:cs="Times New Roman"/>
          <w:rtl/>
          <w:lang w:eastAsia="de-DE"/>
        </w:rPr>
        <w:t xml:space="preserve"> </w:t>
      </w:r>
      <w:r w:rsidRPr="00240935">
        <w:rPr>
          <w:rFonts w:eastAsia="Times New Roman" w:cs="Times New Roman"/>
          <w:lang w:eastAsia="de-DE"/>
        </w:rPr>
        <w:t xml:space="preserve">mit ἀναχωρήσατε ἐκ μέσου τῆς συναγωγῆς ταύτης. </w:t>
      </w:r>
      <w:r w:rsidRPr="00240935">
        <w:rPr>
          <w:rFonts w:eastAsia="Times New Roman" w:cs="Times New Roman"/>
          <w:b/>
          <w:bCs/>
          <w:rtl/>
          <w:lang w:eastAsia="de-DE"/>
        </w:rPr>
        <w:t>וַאֲכַלֶּה אֹתָם כְּרָגַע</w:t>
      </w:r>
      <w:r w:rsidRPr="00240935">
        <w:rPr>
          <w:rFonts w:eastAsia="Times New Roman" w:cs="Times New Roman"/>
          <w:rtl/>
          <w:lang w:eastAsia="de-DE"/>
        </w:rPr>
        <w:t xml:space="preserve"> </w:t>
      </w:r>
      <w:r w:rsidRPr="00240935">
        <w:rPr>
          <w:rFonts w:eastAsia="Times New Roman" w:cs="Times New Roman"/>
          <w:lang w:eastAsia="de-DE"/>
        </w:rPr>
        <w:t>wird mit καὶ ἐξαναλώσω αὐτοὺς παραχρῆμα (kai exanalōsō autous parachrēma) wiedergegeben.</w:t>
      </w:r>
    </w:p>
    <w:p w14:paraId="5037572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drei koordinierte Hauptsätze: Imperativ mit Präpositionalphrase, Kohortativ mit Objekt und Adverb, und Wayyiqtol mit Präpositionalphrase.</w:t>
      </w:r>
    </w:p>
    <w:p w14:paraId="7618914B"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17,11</w:t>
      </w:r>
    </w:p>
    <w:p w14:paraId="278AE7AE"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וַיֹּ֨אמֶר מֹשֶׁ֜ה אֶֽל־אַהֲרֹ֗ן קַ֣ח אֶת־הַ֠מַּחְתָּה וְתֶן־עָלֶ֨יהָ אֵ֜שׁ מֵעַ֤ל הַמִּזְבֵּ֨חַ֙ וְשִׂ֣ים קְטֹ֔רֶת וְהוֹלֵ֧ךְ מְהֵרָ֛ה אֶל־הָעֵדָ֖ה וְכַפֵּ֣ר עֲלֵיהֶ֑ם כִּֽי־יָצָ֥א הַקֶּ֛צֶף מִלִּפְנֵ֥י יְהוָ֖ה הֵחֵ֥ל הַנָּֽגֶף׃</w:t>
      </w:r>
    </w:p>
    <w:p w14:paraId="16E6B463"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Mosche sprach zu Aharon: Nimm die Räucherpfanne und tu Feuer vom Altar darauf und lege Räucherwerk darauf, und bringe es eilends zu der Gemeinde und schaffe Sühne für sie; denn der Zorn ist ausgegangen von dem Ewigen, die Plage hat begonnen.</w:t>
      </w:r>
    </w:p>
    <w:p w14:paraId="2BA2F9F5"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6A7076D9">
          <v:rect id="_x0000_i1584" style="width:0;height:1.5pt" o:hralign="center" o:hrstd="t" o:hr="t" fillcolor="#a0a0a0" stroked="f"/>
        </w:pict>
      </w:r>
    </w:p>
    <w:p w14:paraId="265BE421" w14:textId="614260F4"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lastRenderedPageBreak/>
        <w:t>Kommentar:</w:t>
      </w:r>
      <w:r w:rsidRPr="00240935">
        <w:rPr>
          <w:rFonts w:eastAsia="Times New Roman" w:cs="Times New Roman"/>
          <w:lang w:eastAsia="de-DE"/>
        </w:rPr>
        <w:t xml:space="preserve"> Das Verb </w:t>
      </w:r>
      <w:r w:rsidRPr="00240935">
        <w:rPr>
          <w:rFonts w:eastAsia="Times New Roman" w:cs="Times New Roman"/>
          <w:b/>
          <w:bCs/>
          <w:rtl/>
          <w:lang w:eastAsia="de-DE"/>
        </w:rPr>
        <w:t>וַיֹּאמֶר</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אמר</w:t>
      </w:r>
      <w:r w:rsidRPr="00240935">
        <w:rPr>
          <w:rFonts w:eastAsia="Times New Roman" w:cs="Times New Roman"/>
          <w:lang w:eastAsia="de-DE"/>
        </w:rPr>
        <w:t xml:space="preserve">) leitet Moses Anweisung ein. </w:t>
      </w:r>
      <w:r w:rsidRPr="00240935">
        <w:rPr>
          <w:rFonts w:eastAsia="Times New Roman" w:cs="Times New Roman"/>
          <w:b/>
          <w:bCs/>
          <w:rtl/>
          <w:lang w:eastAsia="de-DE"/>
        </w:rPr>
        <w:t>מֹשֶׁה</w:t>
      </w:r>
      <w:r w:rsidRPr="00240935">
        <w:rPr>
          <w:rFonts w:eastAsia="Times New Roman" w:cs="Times New Roman"/>
          <w:rtl/>
          <w:lang w:eastAsia="de-DE"/>
        </w:rPr>
        <w:t xml:space="preserve"> </w:t>
      </w:r>
      <w:r w:rsidRPr="00240935">
        <w:rPr>
          <w:rFonts w:eastAsia="Times New Roman" w:cs="Times New Roman"/>
          <w:lang w:eastAsia="de-DE"/>
        </w:rPr>
        <w:t xml:space="preserve">ist das Subjekt, </w:t>
      </w:r>
      <w:r w:rsidRPr="00240935">
        <w:rPr>
          <w:rFonts w:eastAsia="Times New Roman" w:cs="Times New Roman"/>
          <w:b/>
          <w:bCs/>
          <w:rtl/>
          <w:lang w:eastAsia="de-DE"/>
        </w:rPr>
        <w:t>אֶל־אַהֲרֹן</w:t>
      </w:r>
      <w:r w:rsidRPr="00240935">
        <w:rPr>
          <w:rFonts w:eastAsia="Times New Roman" w:cs="Times New Roman"/>
          <w:rtl/>
          <w:lang w:eastAsia="de-DE"/>
        </w:rPr>
        <w:t xml:space="preserve"> </w:t>
      </w:r>
      <w:r w:rsidRPr="00240935">
        <w:rPr>
          <w:rFonts w:eastAsia="Times New Roman" w:cs="Times New Roman"/>
          <w:lang w:eastAsia="de-DE"/>
        </w:rPr>
        <w:t xml:space="preserve">der Adressat. Die Serie von Imperativen zeigt die Dringlichkeit: </w:t>
      </w:r>
      <w:r w:rsidRPr="00240935">
        <w:rPr>
          <w:rFonts w:eastAsia="Times New Roman" w:cs="Times New Roman"/>
          <w:b/>
          <w:bCs/>
          <w:rtl/>
          <w:lang w:eastAsia="de-DE"/>
        </w:rPr>
        <w:t>קַח</w:t>
      </w:r>
      <w:r w:rsidRPr="00240935">
        <w:rPr>
          <w:rFonts w:eastAsia="Times New Roman" w:cs="Times New Roman"/>
          <w:rtl/>
          <w:lang w:eastAsia="de-DE"/>
        </w:rPr>
        <w:t xml:space="preserve"> </w:t>
      </w:r>
      <w:r w:rsidRPr="00240935">
        <w:rPr>
          <w:rFonts w:eastAsia="Times New Roman" w:cs="Times New Roman"/>
          <w:lang w:eastAsia="de-DE"/>
        </w:rPr>
        <w:t xml:space="preserve">(Qal Imperativ von </w:t>
      </w:r>
      <w:r w:rsidRPr="00240935">
        <w:rPr>
          <w:rFonts w:eastAsia="Times New Roman" w:cs="Times New Roman"/>
          <w:b/>
          <w:bCs/>
          <w:rtl/>
          <w:lang w:eastAsia="de-DE"/>
        </w:rPr>
        <w:t>לקח</w:t>
      </w:r>
      <w:r w:rsidRPr="00240935">
        <w:rPr>
          <w:rFonts w:eastAsia="Times New Roman" w:cs="Times New Roman"/>
          <w:lang w:eastAsia="de-DE"/>
        </w:rPr>
        <w:t xml:space="preserve">, „nimm") mit Objekt </w:t>
      </w:r>
      <w:r w:rsidRPr="00240935">
        <w:rPr>
          <w:rFonts w:eastAsia="Times New Roman" w:cs="Times New Roman"/>
          <w:b/>
          <w:bCs/>
          <w:rtl/>
          <w:lang w:eastAsia="de-DE"/>
        </w:rPr>
        <w:t>אֶת־הַמַּחְתָּה</w:t>
      </w:r>
      <w:r w:rsidRPr="00240935">
        <w:rPr>
          <w:rFonts w:eastAsia="Times New Roman" w:cs="Times New Roman"/>
          <w:rtl/>
          <w:lang w:eastAsia="de-DE"/>
        </w:rPr>
        <w:t xml:space="preserve"> </w:t>
      </w:r>
      <w:r w:rsidRPr="00240935">
        <w:rPr>
          <w:rFonts w:eastAsia="Times New Roman" w:cs="Times New Roman"/>
          <w:lang w:eastAsia="de-DE"/>
        </w:rPr>
        <w:t xml:space="preserve">(„die Räucherpfanne"). </w:t>
      </w:r>
      <w:r w:rsidRPr="00240935">
        <w:rPr>
          <w:rFonts w:eastAsia="Times New Roman" w:cs="Times New Roman"/>
          <w:b/>
          <w:bCs/>
          <w:rtl/>
          <w:lang w:eastAsia="de-DE"/>
        </w:rPr>
        <w:t>וְתֶן־עָלֶיהָ אֵשׁ</w:t>
      </w:r>
      <w:r w:rsidRPr="00240935">
        <w:rPr>
          <w:rFonts w:eastAsia="Times New Roman" w:cs="Times New Roman"/>
          <w:rtl/>
          <w:lang w:eastAsia="de-DE"/>
        </w:rPr>
        <w:t xml:space="preserve"> </w:t>
      </w:r>
      <w:r w:rsidRPr="00240935">
        <w:rPr>
          <w:rFonts w:eastAsia="Times New Roman" w:cs="Times New Roman"/>
          <w:lang w:eastAsia="de-DE"/>
        </w:rPr>
        <w:t xml:space="preserve">(Waw + Qal Imperativ von </w:t>
      </w:r>
      <w:r w:rsidRPr="00240935">
        <w:rPr>
          <w:rFonts w:eastAsia="Times New Roman" w:cs="Times New Roman"/>
          <w:b/>
          <w:bCs/>
          <w:rtl/>
          <w:lang w:eastAsia="de-DE"/>
        </w:rPr>
        <w:t>נתן</w:t>
      </w:r>
      <w:r w:rsidRPr="00240935">
        <w:rPr>
          <w:rFonts w:eastAsia="Times New Roman" w:cs="Times New Roman"/>
          <w:lang w:eastAsia="de-DE"/>
        </w:rPr>
        <w:t xml:space="preserve">, „gib, tu") bedeutet „und tu auf sie Feuer". Die Präposition </w:t>
      </w:r>
      <w:r w:rsidRPr="00240935">
        <w:rPr>
          <w:rFonts w:eastAsia="Times New Roman" w:cs="Times New Roman"/>
          <w:b/>
          <w:bCs/>
          <w:rtl/>
          <w:lang w:eastAsia="de-DE"/>
        </w:rPr>
        <w:t>מֵעַל הַמִּזְבֵּחַ</w:t>
      </w:r>
      <w:r w:rsidRPr="00240935">
        <w:rPr>
          <w:rFonts w:eastAsia="Times New Roman" w:cs="Times New Roman"/>
          <w:rtl/>
          <w:lang w:eastAsia="de-DE"/>
        </w:rPr>
        <w:t xml:space="preserve"> </w:t>
      </w:r>
      <w:r w:rsidRPr="00240935">
        <w:rPr>
          <w:rFonts w:eastAsia="Times New Roman" w:cs="Times New Roman"/>
          <w:lang w:eastAsia="de-DE"/>
        </w:rPr>
        <w:t xml:space="preserve">(„vom Altar") gibt die Quelle des heiligen Feuers an. </w:t>
      </w:r>
      <w:r w:rsidRPr="00240935">
        <w:rPr>
          <w:rFonts w:eastAsia="Times New Roman" w:cs="Times New Roman"/>
          <w:b/>
          <w:bCs/>
          <w:rtl/>
          <w:lang w:eastAsia="de-DE"/>
        </w:rPr>
        <w:t>וְשִׂים קְטֹרֶת</w:t>
      </w:r>
      <w:r w:rsidRPr="00240935">
        <w:rPr>
          <w:rFonts w:eastAsia="Times New Roman" w:cs="Times New Roman"/>
          <w:rtl/>
          <w:lang w:eastAsia="de-DE"/>
        </w:rPr>
        <w:t xml:space="preserve"> </w:t>
      </w:r>
      <w:r w:rsidRPr="00240935">
        <w:rPr>
          <w:rFonts w:eastAsia="Times New Roman" w:cs="Times New Roman"/>
          <w:lang w:eastAsia="de-DE"/>
        </w:rPr>
        <w:t xml:space="preserve">(Waw + Qal Imperativ von </w:t>
      </w:r>
      <w:r w:rsidRPr="00240935">
        <w:rPr>
          <w:rFonts w:eastAsia="Times New Roman" w:cs="Times New Roman"/>
          <w:b/>
          <w:bCs/>
          <w:rtl/>
          <w:lang w:eastAsia="de-DE"/>
        </w:rPr>
        <w:t>שׂים</w:t>
      </w:r>
      <w:r w:rsidRPr="00240935">
        <w:rPr>
          <w:rFonts w:eastAsia="Times New Roman" w:cs="Times New Roman"/>
          <w:lang w:eastAsia="de-DE"/>
        </w:rPr>
        <w:t xml:space="preserve">, „setze, lege") bedeutet „und lege Räucherwerk". </w:t>
      </w:r>
      <w:r w:rsidRPr="00240935">
        <w:rPr>
          <w:rFonts w:eastAsia="Times New Roman" w:cs="Times New Roman"/>
          <w:b/>
          <w:bCs/>
          <w:rtl/>
          <w:lang w:eastAsia="de-DE"/>
        </w:rPr>
        <w:t>וְהוֹלֵךְ מְהֵרָה</w:t>
      </w:r>
      <w:r w:rsidRPr="00240935">
        <w:rPr>
          <w:rFonts w:eastAsia="Times New Roman" w:cs="Times New Roman"/>
          <w:rtl/>
          <w:lang w:eastAsia="de-DE"/>
        </w:rPr>
        <w:t xml:space="preserve"> </w:t>
      </w:r>
      <w:r w:rsidRPr="00240935">
        <w:rPr>
          <w:rFonts w:eastAsia="Times New Roman" w:cs="Times New Roman"/>
          <w:lang w:eastAsia="de-DE"/>
        </w:rPr>
        <w:t xml:space="preserve">ist eine </w:t>
      </w:r>
      <w:r w:rsidR="00F133EC">
        <w:rPr>
          <w:rFonts w:eastAsia="Times New Roman" w:cs="Times New Roman"/>
          <w:lang w:eastAsia="de-DE"/>
        </w:rPr>
        <w:t>Construct</w:t>
      </w:r>
      <w:r w:rsidRPr="00240935">
        <w:rPr>
          <w:rFonts w:eastAsia="Times New Roman" w:cs="Times New Roman"/>
          <w:lang w:eastAsia="de-DE"/>
        </w:rPr>
        <w:t xml:space="preserve">ion aus der Konjunktion, dem Imperativ von </w:t>
      </w:r>
      <w:r w:rsidRPr="00240935">
        <w:rPr>
          <w:rFonts w:eastAsia="Times New Roman" w:cs="Times New Roman"/>
          <w:b/>
          <w:bCs/>
          <w:rtl/>
          <w:lang w:eastAsia="de-DE"/>
        </w:rPr>
        <w:t>הלך</w:t>
      </w:r>
      <w:r w:rsidRPr="00240935">
        <w:rPr>
          <w:rFonts w:eastAsia="Times New Roman" w:cs="Times New Roman"/>
          <w:rtl/>
          <w:lang w:eastAsia="de-DE"/>
        </w:rPr>
        <w:t xml:space="preserve"> </w:t>
      </w:r>
      <w:r w:rsidRPr="00240935">
        <w:rPr>
          <w:rFonts w:eastAsia="Times New Roman" w:cs="Times New Roman"/>
          <w:lang w:eastAsia="de-DE"/>
        </w:rPr>
        <w:t xml:space="preserve">(„gehen") und dem Adverb </w:t>
      </w:r>
      <w:r w:rsidRPr="00240935">
        <w:rPr>
          <w:rFonts w:eastAsia="Times New Roman" w:cs="Times New Roman"/>
          <w:b/>
          <w:bCs/>
          <w:rtl/>
          <w:lang w:eastAsia="de-DE"/>
        </w:rPr>
        <w:t>מְהֵרָה</w:t>
      </w:r>
      <w:r w:rsidRPr="00240935">
        <w:rPr>
          <w:rFonts w:eastAsia="Times New Roman" w:cs="Times New Roman"/>
          <w:rtl/>
          <w:lang w:eastAsia="de-DE"/>
        </w:rPr>
        <w:t xml:space="preserve"> </w:t>
      </w:r>
      <w:r w:rsidRPr="00240935">
        <w:rPr>
          <w:rFonts w:eastAsia="Times New Roman" w:cs="Times New Roman"/>
          <w:lang w:eastAsia="de-DE"/>
        </w:rPr>
        <w:t xml:space="preserve">(„schnell, eilends"). </w:t>
      </w:r>
      <w:r w:rsidRPr="00240935">
        <w:rPr>
          <w:rFonts w:eastAsia="Times New Roman" w:cs="Times New Roman"/>
          <w:b/>
          <w:bCs/>
          <w:rtl/>
          <w:lang w:eastAsia="de-DE"/>
        </w:rPr>
        <w:t>אֶל־הָעֵדָה</w:t>
      </w:r>
      <w:r w:rsidRPr="00240935">
        <w:rPr>
          <w:rFonts w:eastAsia="Times New Roman" w:cs="Times New Roman"/>
          <w:rtl/>
          <w:lang w:eastAsia="de-DE"/>
        </w:rPr>
        <w:t xml:space="preserve"> </w:t>
      </w:r>
      <w:r w:rsidRPr="00240935">
        <w:rPr>
          <w:rFonts w:eastAsia="Times New Roman" w:cs="Times New Roman"/>
          <w:lang w:eastAsia="de-DE"/>
        </w:rPr>
        <w:t xml:space="preserve">gibt das Ziel an. </w:t>
      </w:r>
      <w:r w:rsidRPr="00240935">
        <w:rPr>
          <w:rFonts w:eastAsia="Times New Roman" w:cs="Times New Roman"/>
          <w:b/>
          <w:bCs/>
          <w:rtl/>
          <w:lang w:eastAsia="de-DE"/>
        </w:rPr>
        <w:t>וְכַפֵּר עֲלֵיהֶם</w:t>
      </w:r>
      <w:r w:rsidRPr="00240935">
        <w:rPr>
          <w:rFonts w:eastAsia="Times New Roman" w:cs="Times New Roman"/>
          <w:rtl/>
          <w:lang w:eastAsia="de-DE"/>
        </w:rPr>
        <w:t xml:space="preserve"> </w:t>
      </w:r>
      <w:r w:rsidRPr="00240935">
        <w:rPr>
          <w:rFonts w:eastAsia="Times New Roman" w:cs="Times New Roman"/>
          <w:lang w:eastAsia="de-DE"/>
        </w:rPr>
        <w:t xml:space="preserve">(Waw + Piel Imperativ von </w:t>
      </w:r>
      <w:r w:rsidRPr="00240935">
        <w:rPr>
          <w:rFonts w:eastAsia="Times New Roman" w:cs="Times New Roman"/>
          <w:b/>
          <w:bCs/>
          <w:rtl/>
          <w:lang w:eastAsia="de-DE"/>
        </w:rPr>
        <w:t>כפר</w:t>
      </w:r>
      <w:r w:rsidRPr="00240935">
        <w:rPr>
          <w:rFonts w:eastAsia="Times New Roman" w:cs="Times New Roman"/>
          <w:lang w:eastAsia="de-DE"/>
        </w:rPr>
        <w:t>, „sühnen") mit Präposition bedeutet „und schaffe Sühne für sie".</w:t>
      </w:r>
    </w:p>
    <w:p w14:paraId="2E4B7B57"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Die kausale Konjunktion </w:t>
      </w:r>
      <w:r w:rsidRPr="00240935">
        <w:rPr>
          <w:rFonts w:eastAsia="Times New Roman" w:cs="Times New Roman"/>
          <w:b/>
          <w:bCs/>
          <w:rtl/>
          <w:lang w:eastAsia="de-DE"/>
        </w:rPr>
        <w:t>כִּי</w:t>
      </w:r>
      <w:r w:rsidRPr="00240935">
        <w:rPr>
          <w:rFonts w:eastAsia="Times New Roman" w:cs="Times New Roman"/>
          <w:rtl/>
          <w:lang w:eastAsia="de-DE"/>
        </w:rPr>
        <w:t xml:space="preserve"> </w:t>
      </w:r>
      <w:r w:rsidRPr="00240935">
        <w:rPr>
          <w:rFonts w:eastAsia="Times New Roman" w:cs="Times New Roman"/>
          <w:lang w:eastAsia="de-DE"/>
        </w:rPr>
        <w:t xml:space="preserve">(„denn") leitet die Begründung ein. </w:t>
      </w:r>
      <w:r w:rsidRPr="00240935">
        <w:rPr>
          <w:rFonts w:eastAsia="Times New Roman" w:cs="Times New Roman"/>
          <w:b/>
          <w:bCs/>
          <w:rtl/>
          <w:lang w:eastAsia="de-DE"/>
        </w:rPr>
        <w:t>יָצָא הַקֶּצֶף מִלִּפְנֵי יְהוָה</w:t>
      </w:r>
      <w:r w:rsidRPr="00240935">
        <w:rPr>
          <w:rFonts w:eastAsia="Times New Roman" w:cs="Times New Roman"/>
          <w:rtl/>
          <w:lang w:eastAsia="de-DE"/>
        </w:rPr>
        <w:t xml:space="preserve"> </w:t>
      </w:r>
      <w:r w:rsidRPr="00240935">
        <w:rPr>
          <w:rFonts w:eastAsia="Times New Roman" w:cs="Times New Roman"/>
          <w:lang w:eastAsia="de-DE"/>
        </w:rPr>
        <w:t xml:space="preserve">besteht aus dem Verb </w:t>
      </w:r>
      <w:r w:rsidRPr="00240935">
        <w:rPr>
          <w:rFonts w:eastAsia="Times New Roman" w:cs="Times New Roman"/>
          <w:b/>
          <w:bCs/>
          <w:rtl/>
          <w:lang w:eastAsia="de-DE"/>
        </w:rPr>
        <w:t>יָצָא</w:t>
      </w:r>
      <w:r w:rsidRPr="00240935">
        <w:rPr>
          <w:rFonts w:eastAsia="Times New Roman" w:cs="Times New Roman"/>
          <w:rtl/>
          <w:lang w:eastAsia="de-DE"/>
        </w:rPr>
        <w:t xml:space="preserve"> </w:t>
      </w:r>
      <w:r w:rsidRPr="00240935">
        <w:rPr>
          <w:rFonts w:eastAsia="Times New Roman" w:cs="Times New Roman"/>
          <w:lang w:eastAsia="de-DE"/>
        </w:rPr>
        <w:t xml:space="preserve">(Qal Perfekt von </w:t>
      </w:r>
      <w:r w:rsidRPr="00240935">
        <w:rPr>
          <w:rFonts w:eastAsia="Times New Roman" w:cs="Times New Roman"/>
          <w:b/>
          <w:bCs/>
          <w:rtl/>
          <w:lang w:eastAsia="de-DE"/>
        </w:rPr>
        <w:t>יצא</w:t>
      </w:r>
      <w:r w:rsidRPr="00240935">
        <w:rPr>
          <w:rFonts w:eastAsia="Times New Roman" w:cs="Times New Roman"/>
          <w:lang w:eastAsia="de-DE"/>
        </w:rPr>
        <w:t xml:space="preserve">, „ausgehen"), dem Subjekt </w:t>
      </w:r>
      <w:r w:rsidRPr="00240935">
        <w:rPr>
          <w:rFonts w:eastAsia="Times New Roman" w:cs="Times New Roman"/>
          <w:b/>
          <w:bCs/>
          <w:rtl/>
          <w:lang w:eastAsia="de-DE"/>
        </w:rPr>
        <w:t>הַקֶּצֶף</w:t>
      </w:r>
      <w:r w:rsidRPr="00240935">
        <w:rPr>
          <w:rFonts w:eastAsia="Times New Roman" w:cs="Times New Roman"/>
          <w:rtl/>
          <w:lang w:eastAsia="de-DE"/>
        </w:rPr>
        <w:t xml:space="preserve"> </w:t>
      </w:r>
      <w:r w:rsidRPr="00240935">
        <w:rPr>
          <w:rFonts w:eastAsia="Times New Roman" w:cs="Times New Roman"/>
          <w:lang w:eastAsia="de-DE"/>
        </w:rPr>
        <w:t xml:space="preserve">(„der Zorn") und der Präposition </w:t>
      </w:r>
      <w:r w:rsidRPr="00240935">
        <w:rPr>
          <w:rFonts w:eastAsia="Times New Roman" w:cs="Times New Roman"/>
          <w:b/>
          <w:bCs/>
          <w:rtl/>
          <w:lang w:eastAsia="de-DE"/>
        </w:rPr>
        <w:t>מִלִּפְנֵי יְהוָה</w:t>
      </w:r>
      <w:r w:rsidRPr="00240935">
        <w:rPr>
          <w:rFonts w:eastAsia="Times New Roman" w:cs="Times New Roman"/>
          <w:rtl/>
          <w:lang w:eastAsia="de-DE"/>
        </w:rPr>
        <w:t xml:space="preserve"> </w:t>
      </w:r>
      <w:r w:rsidRPr="00240935">
        <w:rPr>
          <w:rFonts w:eastAsia="Times New Roman" w:cs="Times New Roman"/>
          <w:lang w:eastAsia="de-DE"/>
        </w:rPr>
        <w:t xml:space="preserve">(„von vor JHWH"). </w:t>
      </w:r>
      <w:r w:rsidRPr="00240935">
        <w:rPr>
          <w:rFonts w:eastAsia="Times New Roman" w:cs="Times New Roman"/>
          <w:b/>
          <w:bCs/>
          <w:rtl/>
          <w:lang w:eastAsia="de-DE"/>
        </w:rPr>
        <w:t>הֵחֵל הַנֶּגֶף</w:t>
      </w:r>
      <w:r w:rsidRPr="00240935">
        <w:rPr>
          <w:rFonts w:eastAsia="Times New Roman" w:cs="Times New Roman"/>
          <w:rtl/>
          <w:lang w:eastAsia="de-DE"/>
        </w:rPr>
        <w:t xml:space="preserve"> </w:t>
      </w:r>
      <w:r w:rsidRPr="00240935">
        <w:rPr>
          <w:rFonts w:eastAsia="Times New Roman" w:cs="Times New Roman"/>
          <w:lang w:eastAsia="de-DE"/>
        </w:rPr>
        <w:t xml:space="preserve">besteht aus dem Verb </w:t>
      </w:r>
      <w:r w:rsidRPr="00240935">
        <w:rPr>
          <w:rFonts w:eastAsia="Times New Roman" w:cs="Times New Roman"/>
          <w:b/>
          <w:bCs/>
          <w:rtl/>
          <w:lang w:eastAsia="de-DE"/>
        </w:rPr>
        <w:t>הֵחֵל</w:t>
      </w:r>
      <w:r w:rsidRPr="00240935">
        <w:rPr>
          <w:rFonts w:eastAsia="Times New Roman" w:cs="Times New Roman"/>
          <w:rtl/>
          <w:lang w:eastAsia="de-DE"/>
        </w:rPr>
        <w:t xml:space="preserve"> </w:t>
      </w:r>
      <w:r w:rsidRPr="00240935">
        <w:rPr>
          <w:rFonts w:eastAsia="Times New Roman" w:cs="Times New Roman"/>
          <w:lang w:eastAsia="de-DE"/>
        </w:rPr>
        <w:t xml:space="preserve">(Hifil Perfekt von </w:t>
      </w:r>
      <w:r w:rsidRPr="00240935">
        <w:rPr>
          <w:rFonts w:eastAsia="Times New Roman" w:cs="Times New Roman"/>
          <w:b/>
          <w:bCs/>
          <w:rtl/>
          <w:lang w:eastAsia="de-DE"/>
        </w:rPr>
        <w:t>חלל</w:t>
      </w:r>
      <w:r w:rsidRPr="00240935">
        <w:rPr>
          <w:rFonts w:eastAsia="Times New Roman" w:cs="Times New Roman"/>
          <w:lang w:eastAsia="de-DE"/>
        </w:rPr>
        <w:t xml:space="preserve">, „beginnen") und dem Subjekt </w:t>
      </w:r>
      <w:r w:rsidRPr="00240935">
        <w:rPr>
          <w:rFonts w:eastAsia="Times New Roman" w:cs="Times New Roman"/>
          <w:b/>
          <w:bCs/>
          <w:rtl/>
          <w:lang w:eastAsia="de-DE"/>
        </w:rPr>
        <w:t>הַנֶּגֶף</w:t>
      </w:r>
      <w:r w:rsidRPr="00240935">
        <w:rPr>
          <w:rFonts w:eastAsia="Times New Roman" w:cs="Times New Roman"/>
          <w:rtl/>
          <w:lang w:eastAsia="de-DE"/>
        </w:rPr>
        <w:t xml:space="preserve"> </w:t>
      </w:r>
      <w:r w:rsidRPr="00240935">
        <w:rPr>
          <w:rFonts w:eastAsia="Times New Roman" w:cs="Times New Roman"/>
          <w:lang w:eastAsia="de-DE"/>
        </w:rPr>
        <w:t>(„die Plage, Seuche").</w:t>
      </w:r>
    </w:p>
    <w:p w14:paraId="20C778AC" w14:textId="137A9C1E"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die Imperativserie entsprechend und gibt die Dringlichkeit wieder. </w:t>
      </w:r>
      <w:r w:rsidRPr="00240935">
        <w:rPr>
          <w:rFonts w:eastAsia="Times New Roman" w:cs="Times New Roman"/>
          <w:b/>
          <w:bCs/>
          <w:rtl/>
          <w:lang w:eastAsia="de-DE"/>
        </w:rPr>
        <w:t>כִּי־יָצָא הַקֶּצֶף מִלִּפְנֵי יְהוָה הֵחֵל הַנָּגֶף</w:t>
      </w:r>
      <w:r w:rsidRPr="00240935">
        <w:rPr>
          <w:rFonts w:eastAsia="Times New Roman" w:cs="Times New Roman"/>
          <w:rtl/>
          <w:lang w:eastAsia="de-DE"/>
        </w:rPr>
        <w:t xml:space="preserve"> </w:t>
      </w:r>
      <w:r w:rsidRPr="00240935">
        <w:rPr>
          <w:rFonts w:eastAsia="Times New Roman" w:cs="Times New Roman"/>
          <w:lang w:eastAsia="de-DE"/>
        </w:rPr>
        <w:t>wird mit ὅτι ἐξῆλθεν ὀργὴ ἀπὸ προσώπου κυρίου ἦρκται θραύειν τὸν λαόν „denn ausgegangen ist Zorn vom Angesicht des Herrn, begonnen hat zu schlagen das Volk") übersetzt.</w:t>
      </w:r>
    </w:p>
    <w:p w14:paraId="1F6D1D94"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einen Hauptsatz mit Verb und Adressaten, gefolgt von einer Serie koordinierter Imperative mit ihren jeweiligen Objekten und Ergänzungen. Ein durch kausale Konjunktion eingeleiteter Nebensatz mit zwei Aussagen schließt ab.</w:t>
      </w:r>
    </w:p>
    <w:p w14:paraId="381467F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Der Vers zeigt Moses verzweifelte Rettungsaktion: Aaron soll durch ein Sühnopfer zwischen dem Volk und dem bereits begonnenen göttlichen Gericht vermitteln.</w:t>
      </w:r>
    </w:p>
    <w:p w14:paraId="01E66214"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17,12</w:t>
      </w:r>
    </w:p>
    <w:p w14:paraId="7E4D54D5"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וַיִּקַּ֨ח אַהֲרֹ֜ן כַּאֲשֶׁ֣ר׀ דִּבֶּ֣ר מֹשֶׁ֗ה וַיָּ֨רָץ֙ אֶל־תּ֣וֹך הַקָּהָ֔ל וְהִנֵּ֛ה הֵחֵ֥ל הַנֶּ֖גֶף בָּעָ֑ם וַיִּתֵּן֙ אֶֽת־הַקְּטֹ֔רֶת וַיְכַפֵּ֖ר עַל־הָעָֽם׃</w:t>
      </w:r>
    </w:p>
    <w:p w14:paraId="77BC58BA"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Aharon nahm es, wie Mosche geredet hatte, und lief mitten in die Versammlung, und siehe, die Plage hatte im Volk begonnen; und er legte das Räucherwerk darauf und schaffte Sühne für das Volk.</w:t>
      </w:r>
    </w:p>
    <w:p w14:paraId="0FA4D754"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778C4236">
          <v:rect id="_x0000_i1585" style="width:0;height:1.5pt" o:hralign="center" o:hrstd="t" o:hr="t" fillcolor="#a0a0a0" stroked="f"/>
        </w:pict>
      </w:r>
    </w:p>
    <w:p w14:paraId="41E55974"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Das Verb </w:t>
      </w:r>
      <w:r w:rsidRPr="00240935">
        <w:rPr>
          <w:rFonts w:eastAsia="Times New Roman" w:cs="Times New Roman"/>
          <w:b/>
          <w:bCs/>
          <w:rtl/>
          <w:lang w:eastAsia="de-DE"/>
        </w:rPr>
        <w:t>וַיִּקַּח</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לקח</w:t>
      </w:r>
      <w:r w:rsidRPr="00240935">
        <w:rPr>
          <w:rFonts w:eastAsia="Times New Roman" w:cs="Times New Roman"/>
          <w:lang w:eastAsia="de-DE"/>
        </w:rPr>
        <w:t xml:space="preserve">) bedeutet „und er nahm". </w:t>
      </w:r>
      <w:r w:rsidRPr="00240935">
        <w:rPr>
          <w:rFonts w:eastAsia="Times New Roman" w:cs="Times New Roman"/>
          <w:b/>
          <w:bCs/>
          <w:rtl/>
          <w:lang w:eastAsia="de-DE"/>
        </w:rPr>
        <w:t>אַהֲרֹן</w:t>
      </w:r>
      <w:r w:rsidRPr="00240935">
        <w:rPr>
          <w:rFonts w:eastAsia="Times New Roman" w:cs="Times New Roman"/>
          <w:rtl/>
          <w:lang w:eastAsia="de-DE"/>
        </w:rPr>
        <w:t xml:space="preserve"> </w:t>
      </w:r>
      <w:r w:rsidRPr="00240935">
        <w:rPr>
          <w:rFonts w:eastAsia="Times New Roman" w:cs="Times New Roman"/>
          <w:lang w:eastAsia="de-DE"/>
        </w:rPr>
        <w:t xml:space="preserve">ist das Subjekt. Die Vergleichsphrase </w:t>
      </w:r>
      <w:r w:rsidRPr="00240935">
        <w:rPr>
          <w:rFonts w:eastAsia="Times New Roman" w:cs="Times New Roman"/>
          <w:b/>
          <w:bCs/>
          <w:rtl/>
          <w:lang w:eastAsia="de-DE"/>
        </w:rPr>
        <w:t>כַּאֲשֶׁר דִּבֶּר מֹשֶׁה</w:t>
      </w:r>
      <w:r w:rsidRPr="00240935">
        <w:rPr>
          <w:rFonts w:eastAsia="Times New Roman" w:cs="Times New Roman"/>
          <w:rtl/>
          <w:lang w:eastAsia="de-DE"/>
        </w:rPr>
        <w:t xml:space="preserve"> </w:t>
      </w:r>
      <w:r w:rsidRPr="00240935">
        <w:rPr>
          <w:rFonts w:eastAsia="Times New Roman" w:cs="Times New Roman"/>
          <w:lang w:eastAsia="de-DE"/>
        </w:rPr>
        <w:t xml:space="preserve">(„wie Mose geredet hatte") zeigt Aarons sofortigen Gehorsam. Das Verb </w:t>
      </w:r>
      <w:r w:rsidRPr="00240935">
        <w:rPr>
          <w:rFonts w:eastAsia="Times New Roman" w:cs="Times New Roman"/>
          <w:b/>
          <w:bCs/>
          <w:rtl/>
          <w:lang w:eastAsia="de-DE"/>
        </w:rPr>
        <w:t>וַיָּרָץ</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רוץ</w:t>
      </w:r>
      <w:r w:rsidRPr="00240935">
        <w:rPr>
          <w:rFonts w:eastAsia="Times New Roman" w:cs="Times New Roman"/>
          <w:lang w:eastAsia="de-DE"/>
        </w:rPr>
        <w:t xml:space="preserve">) bedeutet „und er lief, rannte" – die Dringlichkeit wird durch die Wortwahl betont. Die Präposition </w:t>
      </w:r>
      <w:r w:rsidRPr="00240935">
        <w:rPr>
          <w:rFonts w:eastAsia="Times New Roman" w:cs="Times New Roman"/>
          <w:b/>
          <w:bCs/>
          <w:rtl/>
          <w:lang w:eastAsia="de-DE"/>
        </w:rPr>
        <w:t>אֶל־תּוֹךְ הַקָּהָל</w:t>
      </w:r>
      <w:r w:rsidRPr="00240935">
        <w:rPr>
          <w:rFonts w:eastAsia="Times New Roman" w:cs="Times New Roman"/>
          <w:rtl/>
          <w:lang w:eastAsia="de-DE"/>
        </w:rPr>
        <w:t xml:space="preserve"> </w:t>
      </w:r>
      <w:r w:rsidRPr="00240935">
        <w:rPr>
          <w:rFonts w:eastAsia="Times New Roman" w:cs="Times New Roman"/>
          <w:lang w:eastAsia="de-DE"/>
        </w:rPr>
        <w:t>(„mitten in die Versammlung") zeigt, dass Aaron sich direkt in die Gefahrenzone begibt.</w:t>
      </w:r>
    </w:p>
    <w:p w14:paraId="16A589D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Die Interjektion </w:t>
      </w:r>
      <w:r w:rsidRPr="00240935">
        <w:rPr>
          <w:rFonts w:eastAsia="Times New Roman" w:cs="Times New Roman"/>
          <w:b/>
          <w:bCs/>
          <w:rtl/>
          <w:lang w:eastAsia="de-DE"/>
        </w:rPr>
        <w:t>וְהִנֵּה</w:t>
      </w:r>
      <w:r w:rsidRPr="00240935">
        <w:rPr>
          <w:rFonts w:eastAsia="Times New Roman" w:cs="Times New Roman"/>
          <w:rtl/>
          <w:lang w:eastAsia="de-DE"/>
        </w:rPr>
        <w:t xml:space="preserve"> </w:t>
      </w:r>
      <w:r w:rsidRPr="00240935">
        <w:rPr>
          <w:rFonts w:eastAsia="Times New Roman" w:cs="Times New Roman"/>
          <w:lang w:eastAsia="de-DE"/>
        </w:rPr>
        <w:t xml:space="preserve">(„und siehe") leitet die schockierende Entdeckung ein. </w:t>
      </w:r>
      <w:r w:rsidRPr="00240935">
        <w:rPr>
          <w:rFonts w:eastAsia="Times New Roman" w:cs="Times New Roman"/>
          <w:b/>
          <w:bCs/>
          <w:rtl/>
          <w:lang w:eastAsia="de-DE"/>
        </w:rPr>
        <w:t>הֵחֵל הַנֶּגֶף בָּעָם</w:t>
      </w:r>
      <w:r w:rsidRPr="00240935">
        <w:rPr>
          <w:rFonts w:eastAsia="Times New Roman" w:cs="Times New Roman"/>
          <w:rtl/>
          <w:lang w:eastAsia="de-DE"/>
        </w:rPr>
        <w:t xml:space="preserve"> </w:t>
      </w:r>
      <w:r w:rsidRPr="00240935">
        <w:rPr>
          <w:rFonts w:eastAsia="Times New Roman" w:cs="Times New Roman"/>
          <w:lang w:eastAsia="de-DE"/>
        </w:rPr>
        <w:t xml:space="preserve">besteht aus dem Verb </w:t>
      </w:r>
      <w:r w:rsidRPr="00240935">
        <w:rPr>
          <w:rFonts w:eastAsia="Times New Roman" w:cs="Times New Roman"/>
          <w:b/>
          <w:bCs/>
          <w:rtl/>
          <w:lang w:eastAsia="de-DE"/>
        </w:rPr>
        <w:t>הֵחֵל</w:t>
      </w:r>
      <w:r w:rsidRPr="00240935">
        <w:rPr>
          <w:rFonts w:eastAsia="Times New Roman" w:cs="Times New Roman"/>
          <w:rtl/>
          <w:lang w:eastAsia="de-DE"/>
        </w:rPr>
        <w:t xml:space="preserve"> </w:t>
      </w:r>
      <w:r w:rsidRPr="00240935">
        <w:rPr>
          <w:rFonts w:eastAsia="Times New Roman" w:cs="Times New Roman"/>
          <w:lang w:eastAsia="de-DE"/>
        </w:rPr>
        <w:t xml:space="preserve">(Hifil Perfekt von </w:t>
      </w:r>
      <w:r w:rsidRPr="00240935">
        <w:rPr>
          <w:rFonts w:eastAsia="Times New Roman" w:cs="Times New Roman"/>
          <w:b/>
          <w:bCs/>
          <w:rtl/>
          <w:lang w:eastAsia="de-DE"/>
        </w:rPr>
        <w:t>חלל</w:t>
      </w:r>
      <w:r w:rsidRPr="00240935">
        <w:rPr>
          <w:rFonts w:eastAsia="Times New Roman" w:cs="Times New Roman"/>
          <w:lang w:eastAsia="de-DE"/>
        </w:rPr>
        <w:t xml:space="preserve">), dem Subjekt </w:t>
      </w:r>
      <w:r w:rsidRPr="00240935">
        <w:rPr>
          <w:rFonts w:eastAsia="Times New Roman" w:cs="Times New Roman"/>
          <w:b/>
          <w:bCs/>
          <w:rtl/>
          <w:lang w:eastAsia="de-DE"/>
        </w:rPr>
        <w:t>הַנֶּגֶף</w:t>
      </w:r>
      <w:r w:rsidRPr="00240935">
        <w:rPr>
          <w:rFonts w:eastAsia="Times New Roman" w:cs="Times New Roman"/>
          <w:rtl/>
          <w:lang w:eastAsia="de-DE"/>
        </w:rPr>
        <w:t xml:space="preserve"> </w:t>
      </w:r>
      <w:r w:rsidRPr="00240935">
        <w:rPr>
          <w:rFonts w:eastAsia="Times New Roman" w:cs="Times New Roman"/>
          <w:lang w:eastAsia="de-DE"/>
        </w:rPr>
        <w:t xml:space="preserve">und der Präposition </w:t>
      </w:r>
      <w:r w:rsidRPr="00240935">
        <w:rPr>
          <w:rFonts w:eastAsia="Times New Roman" w:cs="Times New Roman"/>
          <w:b/>
          <w:bCs/>
          <w:rtl/>
          <w:lang w:eastAsia="de-DE"/>
        </w:rPr>
        <w:t>בָּעָם</w:t>
      </w:r>
      <w:r w:rsidRPr="00240935">
        <w:rPr>
          <w:rFonts w:eastAsia="Times New Roman" w:cs="Times New Roman"/>
          <w:rtl/>
          <w:lang w:eastAsia="de-DE"/>
        </w:rPr>
        <w:t xml:space="preserve"> </w:t>
      </w:r>
      <w:r w:rsidRPr="00240935">
        <w:rPr>
          <w:rFonts w:eastAsia="Times New Roman" w:cs="Times New Roman"/>
          <w:lang w:eastAsia="de-DE"/>
        </w:rPr>
        <w:t xml:space="preserve">(„im Volk"). Das Verb </w:t>
      </w:r>
      <w:r w:rsidRPr="00240935">
        <w:rPr>
          <w:rFonts w:eastAsia="Times New Roman" w:cs="Times New Roman"/>
          <w:b/>
          <w:bCs/>
          <w:rtl/>
          <w:lang w:eastAsia="de-DE"/>
        </w:rPr>
        <w:t>וַיִּתֵּן</w:t>
      </w:r>
      <w:r w:rsidRPr="00240935">
        <w:rPr>
          <w:rFonts w:eastAsia="Times New Roman" w:cs="Times New Roman"/>
          <w:rtl/>
          <w:lang w:eastAsia="de-DE"/>
        </w:rPr>
        <w:t xml:space="preserve"> </w:t>
      </w:r>
      <w:r w:rsidRPr="00240935">
        <w:rPr>
          <w:rFonts w:eastAsia="Times New Roman" w:cs="Times New Roman"/>
          <w:lang w:eastAsia="de-DE"/>
        </w:rPr>
        <w:t xml:space="preserve">(Wayyiqtol von </w:t>
      </w:r>
      <w:r w:rsidRPr="00240935">
        <w:rPr>
          <w:rFonts w:eastAsia="Times New Roman" w:cs="Times New Roman"/>
          <w:b/>
          <w:bCs/>
          <w:rtl/>
          <w:lang w:eastAsia="de-DE"/>
        </w:rPr>
        <w:t>נתן</w:t>
      </w:r>
      <w:r w:rsidRPr="00240935">
        <w:rPr>
          <w:rFonts w:eastAsia="Times New Roman" w:cs="Times New Roman"/>
          <w:lang w:eastAsia="de-DE"/>
        </w:rPr>
        <w:t xml:space="preserve">) bedeutet „und er gab, legte". Das Objekt </w:t>
      </w:r>
      <w:r w:rsidRPr="00240935">
        <w:rPr>
          <w:rFonts w:eastAsia="Times New Roman" w:cs="Times New Roman"/>
          <w:b/>
          <w:bCs/>
          <w:rtl/>
          <w:lang w:eastAsia="de-DE"/>
        </w:rPr>
        <w:t>אֶת־הַקְּטֹרֶת</w:t>
      </w:r>
      <w:r w:rsidRPr="00240935">
        <w:rPr>
          <w:rFonts w:eastAsia="Times New Roman" w:cs="Times New Roman"/>
          <w:rtl/>
          <w:lang w:eastAsia="de-DE"/>
        </w:rPr>
        <w:t xml:space="preserve"> </w:t>
      </w:r>
      <w:r w:rsidRPr="00240935">
        <w:rPr>
          <w:rFonts w:eastAsia="Times New Roman" w:cs="Times New Roman"/>
          <w:lang w:eastAsia="de-DE"/>
        </w:rPr>
        <w:t xml:space="preserve">ist „das Räucherwerk". Das Verb </w:t>
      </w:r>
      <w:r w:rsidRPr="00240935">
        <w:rPr>
          <w:rFonts w:eastAsia="Times New Roman" w:cs="Times New Roman"/>
          <w:b/>
          <w:bCs/>
          <w:rtl/>
          <w:lang w:eastAsia="de-DE"/>
        </w:rPr>
        <w:t>וַיְכַפֵּר</w:t>
      </w:r>
      <w:r w:rsidRPr="00240935">
        <w:rPr>
          <w:rFonts w:eastAsia="Times New Roman" w:cs="Times New Roman"/>
          <w:rtl/>
          <w:lang w:eastAsia="de-DE"/>
        </w:rPr>
        <w:t xml:space="preserve"> </w:t>
      </w:r>
      <w:r w:rsidRPr="00240935">
        <w:rPr>
          <w:rFonts w:eastAsia="Times New Roman" w:cs="Times New Roman"/>
          <w:lang w:eastAsia="de-DE"/>
        </w:rPr>
        <w:t xml:space="preserve">(Wayyiqtol von </w:t>
      </w:r>
      <w:r w:rsidRPr="00240935">
        <w:rPr>
          <w:rFonts w:eastAsia="Times New Roman" w:cs="Times New Roman"/>
          <w:b/>
          <w:bCs/>
          <w:rtl/>
          <w:lang w:eastAsia="de-DE"/>
        </w:rPr>
        <w:t>כפר</w:t>
      </w:r>
      <w:r w:rsidRPr="00240935">
        <w:rPr>
          <w:rFonts w:eastAsia="Times New Roman" w:cs="Times New Roman"/>
          <w:rtl/>
          <w:lang w:eastAsia="de-DE"/>
        </w:rPr>
        <w:t xml:space="preserve"> </w:t>
      </w:r>
      <w:r w:rsidRPr="00240935">
        <w:rPr>
          <w:rFonts w:eastAsia="Times New Roman" w:cs="Times New Roman"/>
          <w:lang w:eastAsia="de-DE"/>
        </w:rPr>
        <w:t xml:space="preserve">Piel) bedeutet „und er sühnte". Die Präposition </w:t>
      </w:r>
      <w:r w:rsidRPr="00240935">
        <w:rPr>
          <w:rFonts w:eastAsia="Times New Roman" w:cs="Times New Roman"/>
          <w:b/>
          <w:bCs/>
          <w:rtl/>
          <w:lang w:eastAsia="de-DE"/>
        </w:rPr>
        <w:t>עַל־הָעָם</w:t>
      </w:r>
      <w:r w:rsidRPr="00240935">
        <w:rPr>
          <w:rFonts w:eastAsia="Times New Roman" w:cs="Times New Roman"/>
          <w:rtl/>
          <w:lang w:eastAsia="de-DE"/>
        </w:rPr>
        <w:t xml:space="preserve"> </w:t>
      </w:r>
      <w:r w:rsidRPr="00240935">
        <w:rPr>
          <w:rFonts w:eastAsia="Times New Roman" w:cs="Times New Roman"/>
          <w:lang w:eastAsia="de-DE"/>
        </w:rPr>
        <w:t>(„für das Volk") gibt an, für wen die Sühne geschah.</w:t>
      </w:r>
    </w:p>
    <w:p w14:paraId="67A6AB24" w14:textId="39552BB5"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lastRenderedPageBreak/>
        <w:t>Die LXX</w:t>
      </w:r>
      <w:r w:rsidRPr="00240935">
        <w:rPr>
          <w:rFonts w:eastAsia="Times New Roman" w:cs="Times New Roman"/>
          <w:lang w:eastAsia="de-DE"/>
        </w:rPr>
        <w:t xml:space="preserve"> übersetzt </w:t>
      </w:r>
      <w:r w:rsidRPr="00240935">
        <w:rPr>
          <w:rFonts w:eastAsia="Times New Roman" w:cs="Times New Roman"/>
          <w:b/>
          <w:bCs/>
          <w:rtl/>
          <w:lang w:eastAsia="de-DE"/>
        </w:rPr>
        <w:t>וַיִּקַּח אַהֲרֹן כַּאֲשֶׁר דִּבֶּר מֹשֶׁה</w:t>
      </w:r>
      <w:r w:rsidRPr="00240935">
        <w:rPr>
          <w:rFonts w:eastAsia="Times New Roman" w:cs="Times New Roman"/>
          <w:rtl/>
          <w:lang w:eastAsia="de-DE"/>
        </w:rPr>
        <w:t xml:space="preserve"> </w:t>
      </w:r>
      <w:r w:rsidRPr="00240935">
        <w:rPr>
          <w:rFonts w:eastAsia="Times New Roman" w:cs="Times New Roman"/>
          <w:lang w:eastAsia="de-DE"/>
        </w:rPr>
        <w:t xml:space="preserve">mit καὶ ἔλαβεν Ααρων καθάπερ ἐλάλησεν αὐτῷ Μωυσῆς. </w:t>
      </w:r>
      <w:r w:rsidRPr="00240935">
        <w:rPr>
          <w:rFonts w:eastAsia="Times New Roman" w:cs="Times New Roman"/>
          <w:b/>
          <w:bCs/>
          <w:rtl/>
          <w:lang w:eastAsia="de-DE"/>
        </w:rPr>
        <w:t>וַיָּרָץ אֶל־תּוֹךְ הַקָּהָל</w:t>
      </w:r>
      <w:r w:rsidRPr="00240935">
        <w:rPr>
          <w:rFonts w:eastAsia="Times New Roman" w:cs="Times New Roman"/>
          <w:rtl/>
          <w:lang w:eastAsia="de-DE"/>
        </w:rPr>
        <w:t xml:space="preserve"> </w:t>
      </w:r>
      <w:r w:rsidRPr="00240935">
        <w:rPr>
          <w:rFonts w:eastAsia="Times New Roman" w:cs="Times New Roman"/>
          <w:lang w:eastAsia="de-DE"/>
        </w:rPr>
        <w:t>wird mit καὶ ἔδραμεν εἰς τὴν συναγωγήν wiedergegeben. Die weiteren Verben werden entsprechend übersetzt.</w:t>
      </w:r>
    </w:p>
    <w:p w14:paraId="00006557"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fünf koordinierte Hauptsätze: Verb mit Subjekt und Vergleichsphrase, Verb mit Präpositionalphrase, Interjektion mit Perfektaussage, und zwei weitere Wayyiqtol-Verben mit ihren Ergänzungen.</w:t>
      </w:r>
    </w:p>
    <w:p w14:paraId="2A3C653E"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Der Vers beschreibt Aarons heldenhaften Gehorsam: Er läuft mit dem Räucherwerk mitten ins Volk, obwohl die tödliche Plage bereits begonnen hat, und vollzieht die Sühnehandlung.</w:t>
      </w:r>
    </w:p>
    <w:p w14:paraId="6A04BC8F"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17,13</w:t>
      </w:r>
    </w:p>
    <w:p w14:paraId="52C2BB0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וַיַּעֲמֹ֥ד בֵּֽין־הַמֵּתִ֖ים וּבֵ֣ין הַֽחַיִּ֑ים וַתֵּעָצַ֖ר הַמַּגֵּפָֽה׃</w:t>
      </w:r>
    </w:p>
    <w:p w14:paraId="138EBA4A"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er stand zwischen den Toten und den Lebenden, und der Plage wurde Einhalt getan.</w:t>
      </w:r>
    </w:p>
    <w:p w14:paraId="658D772E"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5AD51A96">
          <v:rect id="_x0000_i1586" style="width:0;height:1.5pt" o:hralign="center" o:hrstd="t" o:hr="t" fillcolor="#a0a0a0" stroked="f"/>
        </w:pict>
      </w:r>
    </w:p>
    <w:p w14:paraId="7F2218CB"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Das Verb </w:t>
      </w:r>
      <w:r w:rsidRPr="00240935">
        <w:rPr>
          <w:rFonts w:eastAsia="Times New Roman" w:cs="Times New Roman"/>
          <w:b/>
          <w:bCs/>
          <w:rtl/>
          <w:lang w:eastAsia="de-DE"/>
        </w:rPr>
        <w:t>וַיַּעֲמֹד</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עמד</w:t>
      </w:r>
      <w:r w:rsidRPr="00240935">
        <w:rPr>
          <w:rFonts w:eastAsia="Times New Roman" w:cs="Times New Roman"/>
          <w:lang w:eastAsia="de-DE"/>
        </w:rPr>
        <w:t xml:space="preserve">) bedeutet „und er stand". Die doppelte Präpositionalphrase </w:t>
      </w:r>
      <w:r w:rsidRPr="00240935">
        <w:rPr>
          <w:rFonts w:eastAsia="Times New Roman" w:cs="Times New Roman"/>
          <w:b/>
          <w:bCs/>
          <w:rtl/>
          <w:lang w:eastAsia="de-DE"/>
        </w:rPr>
        <w:t>בֵּין־הַמֵּתִים וּבֵין הַחַיִּים</w:t>
      </w:r>
      <w:r w:rsidRPr="00240935">
        <w:rPr>
          <w:rFonts w:eastAsia="Times New Roman" w:cs="Times New Roman"/>
          <w:rtl/>
          <w:lang w:eastAsia="de-DE"/>
        </w:rPr>
        <w:t xml:space="preserve"> </w:t>
      </w:r>
      <w:r w:rsidRPr="00240935">
        <w:rPr>
          <w:rFonts w:eastAsia="Times New Roman" w:cs="Times New Roman"/>
          <w:lang w:eastAsia="de-DE"/>
        </w:rPr>
        <w:t xml:space="preserve">ist dramatisch: </w:t>
      </w:r>
      <w:r w:rsidRPr="00240935">
        <w:rPr>
          <w:rFonts w:eastAsia="Times New Roman" w:cs="Times New Roman"/>
          <w:b/>
          <w:bCs/>
          <w:rtl/>
          <w:lang w:eastAsia="de-DE"/>
        </w:rPr>
        <w:t>בֵּין</w:t>
      </w:r>
      <w:r w:rsidRPr="00240935">
        <w:rPr>
          <w:rFonts w:eastAsia="Times New Roman" w:cs="Times New Roman"/>
          <w:rtl/>
          <w:lang w:eastAsia="de-DE"/>
        </w:rPr>
        <w:t xml:space="preserve"> </w:t>
      </w:r>
      <w:r w:rsidRPr="00240935">
        <w:rPr>
          <w:rFonts w:eastAsia="Times New Roman" w:cs="Times New Roman"/>
          <w:lang w:eastAsia="de-DE"/>
        </w:rPr>
        <w:t xml:space="preserve">bedeutet „zwischen", </w:t>
      </w:r>
      <w:r w:rsidRPr="00240935">
        <w:rPr>
          <w:rFonts w:eastAsia="Times New Roman" w:cs="Times New Roman"/>
          <w:b/>
          <w:bCs/>
          <w:rtl/>
          <w:lang w:eastAsia="de-DE"/>
        </w:rPr>
        <w:t>הַמֵּתִים</w:t>
      </w:r>
      <w:r w:rsidRPr="00240935">
        <w:rPr>
          <w:rFonts w:eastAsia="Times New Roman" w:cs="Times New Roman"/>
          <w:rtl/>
          <w:lang w:eastAsia="de-DE"/>
        </w:rPr>
        <w:t xml:space="preserve"> </w:t>
      </w:r>
      <w:r w:rsidRPr="00240935">
        <w:rPr>
          <w:rFonts w:eastAsia="Times New Roman" w:cs="Times New Roman"/>
          <w:lang w:eastAsia="de-DE"/>
        </w:rPr>
        <w:t xml:space="preserve">ist „die Toten" (Plural von </w:t>
      </w:r>
      <w:r w:rsidRPr="00240935">
        <w:rPr>
          <w:rFonts w:eastAsia="Times New Roman" w:cs="Times New Roman"/>
          <w:b/>
          <w:bCs/>
          <w:rtl/>
          <w:lang w:eastAsia="de-DE"/>
        </w:rPr>
        <w:t>מֵת</w:t>
      </w:r>
      <w:r w:rsidRPr="00240935">
        <w:rPr>
          <w:rFonts w:eastAsia="Times New Roman" w:cs="Times New Roman"/>
          <w:lang w:eastAsia="de-DE"/>
        </w:rPr>
        <w:t xml:space="preserve">), koordiniert durch </w:t>
      </w:r>
      <w:r w:rsidRPr="00240935">
        <w:rPr>
          <w:rFonts w:eastAsia="Times New Roman" w:cs="Times New Roman"/>
          <w:b/>
          <w:bCs/>
          <w:rtl/>
          <w:lang w:eastAsia="de-DE"/>
        </w:rPr>
        <w:t>וּ</w:t>
      </w:r>
      <w:r w:rsidRPr="00240935">
        <w:rPr>
          <w:rFonts w:eastAsia="Times New Roman" w:cs="Times New Roman"/>
          <w:rtl/>
          <w:lang w:eastAsia="de-DE"/>
        </w:rPr>
        <w:t xml:space="preserve"> </w:t>
      </w:r>
      <w:r w:rsidRPr="00240935">
        <w:rPr>
          <w:rFonts w:eastAsia="Times New Roman" w:cs="Times New Roman"/>
          <w:lang w:eastAsia="de-DE"/>
        </w:rPr>
        <w:t xml:space="preserve">mit </w:t>
      </w:r>
      <w:r w:rsidRPr="00240935">
        <w:rPr>
          <w:rFonts w:eastAsia="Times New Roman" w:cs="Times New Roman"/>
          <w:b/>
          <w:bCs/>
          <w:rtl/>
          <w:lang w:eastAsia="de-DE"/>
        </w:rPr>
        <w:t>הַחַיִּים</w:t>
      </w:r>
      <w:r w:rsidRPr="00240935">
        <w:rPr>
          <w:rFonts w:eastAsia="Times New Roman" w:cs="Times New Roman"/>
          <w:rtl/>
          <w:lang w:eastAsia="de-DE"/>
        </w:rPr>
        <w:t xml:space="preserve"> </w:t>
      </w:r>
      <w:r w:rsidRPr="00240935">
        <w:rPr>
          <w:rFonts w:eastAsia="Times New Roman" w:cs="Times New Roman"/>
          <w:lang w:eastAsia="de-DE"/>
        </w:rPr>
        <w:t xml:space="preserve">(„die Lebenden", Plural von </w:t>
      </w:r>
      <w:r w:rsidRPr="00240935">
        <w:rPr>
          <w:rFonts w:eastAsia="Times New Roman" w:cs="Times New Roman"/>
          <w:b/>
          <w:bCs/>
          <w:rtl/>
          <w:lang w:eastAsia="de-DE"/>
        </w:rPr>
        <w:t>חַי</w:t>
      </w:r>
      <w:r w:rsidRPr="00240935">
        <w:rPr>
          <w:rFonts w:eastAsia="Times New Roman" w:cs="Times New Roman"/>
          <w:lang w:eastAsia="de-DE"/>
        </w:rPr>
        <w:t>). Aaron steht buchstäblich an der Grenze zwischen Tod und Leben als Mittler.</w:t>
      </w:r>
    </w:p>
    <w:p w14:paraId="5A1E11F7"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 xml:space="preserve">Das Verb </w:t>
      </w:r>
      <w:r w:rsidRPr="00240935">
        <w:rPr>
          <w:rFonts w:eastAsia="Times New Roman" w:cs="Times New Roman"/>
          <w:b/>
          <w:bCs/>
          <w:rtl/>
          <w:lang w:eastAsia="de-DE"/>
        </w:rPr>
        <w:t>וַתֵּעָצַר</w:t>
      </w:r>
      <w:r w:rsidRPr="00240935">
        <w:rPr>
          <w:rFonts w:eastAsia="Times New Roman" w:cs="Times New Roman"/>
          <w:rtl/>
          <w:lang w:eastAsia="de-DE"/>
        </w:rPr>
        <w:t xml:space="preserve"> </w:t>
      </w:r>
      <w:r w:rsidRPr="00240935">
        <w:rPr>
          <w:rFonts w:eastAsia="Times New Roman" w:cs="Times New Roman"/>
          <w:lang w:eastAsia="de-DE"/>
        </w:rPr>
        <w:t xml:space="preserve">(Wayyiqtol, 3. f. sg. von </w:t>
      </w:r>
      <w:r w:rsidRPr="00240935">
        <w:rPr>
          <w:rFonts w:eastAsia="Times New Roman" w:cs="Times New Roman"/>
          <w:b/>
          <w:bCs/>
          <w:rtl/>
          <w:lang w:eastAsia="de-DE"/>
        </w:rPr>
        <w:t>עצר</w:t>
      </w:r>
      <w:r w:rsidRPr="00240935">
        <w:rPr>
          <w:rFonts w:eastAsia="Times New Roman" w:cs="Times New Roman"/>
          <w:rtl/>
          <w:lang w:eastAsia="de-DE"/>
        </w:rPr>
        <w:t xml:space="preserve"> </w:t>
      </w:r>
      <w:r w:rsidRPr="00240935">
        <w:rPr>
          <w:rFonts w:eastAsia="Times New Roman" w:cs="Times New Roman"/>
          <w:lang w:eastAsia="de-DE"/>
        </w:rPr>
        <w:t xml:space="preserve">Nifal) bedeutet „und sie wurde aufgehalten, gestoppt". Die Nifal-Form hat passive Bedeutung. </w:t>
      </w:r>
      <w:r w:rsidRPr="00240935">
        <w:rPr>
          <w:rFonts w:eastAsia="Times New Roman" w:cs="Times New Roman"/>
          <w:b/>
          <w:bCs/>
          <w:rtl/>
          <w:lang w:eastAsia="de-DE"/>
        </w:rPr>
        <w:t>הַמַּגֵּפָה</w:t>
      </w:r>
      <w:r w:rsidRPr="00240935">
        <w:rPr>
          <w:rFonts w:eastAsia="Times New Roman" w:cs="Times New Roman"/>
          <w:rtl/>
          <w:lang w:eastAsia="de-DE"/>
        </w:rPr>
        <w:t xml:space="preserve"> </w:t>
      </w:r>
      <w:r w:rsidRPr="00240935">
        <w:rPr>
          <w:rFonts w:eastAsia="Times New Roman" w:cs="Times New Roman"/>
          <w:lang w:eastAsia="de-DE"/>
        </w:rPr>
        <w:t xml:space="preserve">(„die Plage") ist das Subjekt – ein Synonym zu </w:t>
      </w:r>
      <w:r w:rsidRPr="00240935">
        <w:rPr>
          <w:rFonts w:eastAsia="Times New Roman" w:cs="Times New Roman"/>
          <w:b/>
          <w:bCs/>
          <w:rtl/>
          <w:lang w:eastAsia="de-DE"/>
        </w:rPr>
        <w:t>נֶגֶף</w:t>
      </w:r>
      <w:r w:rsidRPr="00240935">
        <w:rPr>
          <w:rFonts w:eastAsia="Times New Roman" w:cs="Times New Roman"/>
          <w:rtl/>
          <w:lang w:eastAsia="de-DE"/>
        </w:rPr>
        <w:t xml:space="preserve"> </w:t>
      </w:r>
      <w:r w:rsidRPr="00240935">
        <w:rPr>
          <w:rFonts w:eastAsia="Times New Roman" w:cs="Times New Roman"/>
          <w:lang w:eastAsia="de-DE"/>
        </w:rPr>
        <w:t>aus den vorherigen Versen.</w:t>
      </w:r>
    </w:p>
    <w:p w14:paraId="4EA41210" w14:textId="3F432173"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w:t>
      </w:r>
      <w:r w:rsidRPr="00240935">
        <w:rPr>
          <w:rFonts w:eastAsia="Times New Roman" w:cs="Times New Roman"/>
          <w:b/>
          <w:bCs/>
          <w:rtl/>
          <w:lang w:eastAsia="de-DE"/>
        </w:rPr>
        <w:t>וַיַּעֲמֹד בֵּין־הַמֵּתִים וּבֵין הַחַיִּים</w:t>
      </w:r>
      <w:r w:rsidRPr="00240935">
        <w:rPr>
          <w:rFonts w:eastAsia="Times New Roman" w:cs="Times New Roman"/>
          <w:rtl/>
          <w:lang w:eastAsia="de-DE"/>
        </w:rPr>
        <w:t xml:space="preserve"> </w:t>
      </w:r>
      <w:r w:rsidRPr="00240935">
        <w:rPr>
          <w:rFonts w:eastAsia="Times New Roman" w:cs="Times New Roman"/>
          <w:lang w:eastAsia="de-DE"/>
        </w:rPr>
        <w:t xml:space="preserve">mit καὶ ἔστη ἀνὰ μέσον τῶν τεθνηκότων καὶ ἀνὰ μέσον τῶν ζώντων („und er stand zwischen den Gestorbenen und zwischen den Lebenden"). </w:t>
      </w:r>
      <w:r w:rsidRPr="00240935">
        <w:rPr>
          <w:rFonts w:eastAsia="Times New Roman" w:cs="Times New Roman"/>
          <w:b/>
          <w:bCs/>
          <w:rtl/>
          <w:lang w:eastAsia="de-DE"/>
        </w:rPr>
        <w:t>וַתֵּעָצַר הַמַּגֵּפָה</w:t>
      </w:r>
      <w:r w:rsidRPr="00240935">
        <w:rPr>
          <w:rFonts w:eastAsia="Times New Roman" w:cs="Times New Roman"/>
          <w:rtl/>
          <w:lang w:eastAsia="de-DE"/>
        </w:rPr>
        <w:t xml:space="preserve"> </w:t>
      </w:r>
      <w:r w:rsidRPr="00240935">
        <w:rPr>
          <w:rFonts w:eastAsia="Times New Roman" w:cs="Times New Roman"/>
          <w:lang w:eastAsia="de-DE"/>
        </w:rPr>
        <w:t xml:space="preserve">wird mit καὶ ἐκόπασεν ἡ πληγή </w:t>
      </w:r>
      <w:r>
        <w:rPr>
          <w:rFonts w:eastAsia="Times New Roman" w:cs="Times New Roman"/>
          <w:lang w:eastAsia="de-DE"/>
        </w:rPr>
        <w:t>(</w:t>
      </w:r>
      <w:r w:rsidRPr="00240935">
        <w:rPr>
          <w:rFonts w:eastAsia="Times New Roman" w:cs="Times New Roman"/>
          <w:lang w:eastAsia="de-DE"/>
        </w:rPr>
        <w:t>„und die Plage hörte auf") wiedergegeben.</w:t>
      </w:r>
    </w:p>
    <w:p w14:paraId="0755C7C8"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zwei koordinierte Hauptsätze: Der erste mit Verb und doppelter Präpositionalphrase, der zweite mit Verb und Subjekt.</w:t>
      </w:r>
    </w:p>
    <w:p w14:paraId="00DE0094" w14:textId="2AEE3D0D" w:rsid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Der Vers ist einer der eindrucksvollsten im ganzen Pentateuch: Aaron steht als priesterlicher Mittler zwischen den bereits Toten und den noch Lebenden, und durch sein Sühnopfer wird die göttliche Plage gestoppt.</w:t>
      </w:r>
    </w:p>
    <w:p w14:paraId="72DA96BA" w14:textId="77777777" w:rsidR="009C568A" w:rsidRPr="009C568A" w:rsidRDefault="009C568A" w:rsidP="00B00345">
      <w:pPr>
        <w:pStyle w:val="berschrift4"/>
        <w:rPr>
          <w:rFonts w:eastAsia="Times New Roman"/>
          <w:lang w:eastAsia="de-DE"/>
        </w:rPr>
      </w:pPr>
      <w:r w:rsidRPr="009C568A">
        <w:rPr>
          <w:rFonts w:eastAsia="Times New Roman"/>
          <w:lang w:eastAsia="de-DE"/>
        </w:rPr>
        <w:t>Exkurs: Aaron zwischen Toten und Lebenden – Typologie des priesterlichen Mittlers</w:t>
      </w:r>
    </w:p>
    <w:p w14:paraId="46D55468"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Numeri 17,13:</w:t>
      </w:r>
    </w:p>
    <w:p w14:paraId="0113F6EC" w14:textId="77777777" w:rsidR="009C568A" w:rsidRPr="009C568A" w:rsidRDefault="009C568A" w:rsidP="009C568A">
      <w:pPr>
        <w:spacing w:beforeAutospacing="1" w:after="100" w:afterAutospacing="1" w:line="240" w:lineRule="auto"/>
        <w:rPr>
          <w:rFonts w:eastAsia="Times New Roman" w:cs="Times New Roman"/>
          <w:lang w:eastAsia="de-DE"/>
        </w:rPr>
      </w:pPr>
      <w:r w:rsidRPr="009C568A">
        <w:rPr>
          <w:rFonts w:eastAsia="Times New Roman" w:cs="Times New Roman"/>
          <w:rtl/>
          <w:lang w:eastAsia="de-DE"/>
        </w:rPr>
        <w:t>וַיַּעֲמֹד בֵּין־הַמֵּתִים וּבֵין הַחַיִּים וַתֵּעָצַר הַמַּגֵּפָה</w:t>
      </w:r>
      <w:r w:rsidRPr="009C568A">
        <w:rPr>
          <w:rFonts w:eastAsia="Times New Roman" w:cs="Times New Roman"/>
          <w:lang w:eastAsia="de-DE"/>
        </w:rPr>
        <w:br/>
        <w:t xml:space="preserve">"Und </w:t>
      </w:r>
      <w:r w:rsidRPr="009C568A">
        <w:rPr>
          <w:rFonts w:eastAsia="Times New Roman" w:cs="Times New Roman"/>
          <w:b/>
          <w:bCs/>
          <w:lang w:eastAsia="de-DE"/>
        </w:rPr>
        <w:t>er stand zwischen den Toten und den Lebenden</w:t>
      </w:r>
      <w:r w:rsidRPr="009C568A">
        <w:rPr>
          <w:rFonts w:eastAsia="Times New Roman" w:cs="Times New Roman"/>
          <w:lang w:eastAsia="de-DE"/>
        </w:rPr>
        <w:t>, und der Plage wurde Einhalt getan."</w:t>
      </w:r>
    </w:p>
    <w:p w14:paraId="75F466BE" w14:textId="53A529E1" w:rsidR="009C568A" w:rsidRDefault="009C568A" w:rsidP="009C568A">
      <w:pPr>
        <w:spacing w:before="100" w:beforeAutospacing="1" w:after="100" w:afterAutospacing="1" w:line="240" w:lineRule="auto"/>
        <w:rPr>
          <w:rFonts w:eastAsia="Times New Roman" w:cs="Times New Roman"/>
          <w:b/>
          <w:bCs/>
          <w:lang w:eastAsia="de-DE"/>
        </w:rPr>
      </w:pPr>
      <w:r w:rsidRPr="009C568A">
        <w:rPr>
          <w:rFonts w:eastAsia="Times New Roman" w:cs="Times New Roman"/>
          <w:b/>
          <w:bCs/>
          <w:lang w:eastAsia="de-DE"/>
        </w:rPr>
        <w:lastRenderedPageBreak/>
        <w:t>Die dramatische Szene:</w:t>
      </w:r>
    </w:p>
    <w:tbl>
      <w:tblPr>
        <w:tblStyle w:val="Tabellenraster"/>
        <w:tblW w:w="4994" w:type="pct"/>
        <w:tblLook w:val="04A0" w:firstRow="1" w:lastRow="0" w:firstColumn="1" w:lastColumn="0" w:noHBand="0" w:noVBand="1"/>
      </w:tblPr>
      <w:tblGrid>
        <w:gridCol w:w="1137"/>
        <w:gridCol w:w="3825"/>
        <w:gridCol w:w="4089"/>
      </w:tblGrid>
      <w:tr w:rsidR="009C568A" w14:paraId="721742D2" w14:textId="77777777" w:rsidTr="009C568A">
        <w:tc>
          <w:tcPr>
            <w:tcW w:w="624" w:type="pct"/>
            <w:vAlign w:val="center"/>
          </w:tcPr>
          <w:p w14:paraId="75BA8DEC" w14:textId="5C63D344"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Element</w:t>
            </w:r>
          </w:p>
        </w:tc>
        <w:tc>
          <w:tcPr>
            <w:tcW w:w="2115" w:type="pct"/>
            <w:vAlign w:val="center"/>
          </w:tcPr>
          <w:p w14:paraId="10E3906C" w14:textId="7CACB0CA"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Beschreibung</w:t>
            </w:r>
          </w:p>
        </w:tc>
        <w:tc>
          <w:tcPr>
            <w:tcW w:w="2261" w:type="pct"/>
            <w:vAlign w:val="center"/>
          </w:tcPr>
          <w:p w14:paraId="0528321D" w14:textId="08073477"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Bedeutung</w:t>
            </w:r>
          </w:p>
        </w:tc>
      </w:tr>
      <w:tr w:rsidR="009C568A" w14:paraId="0198EDA4" w14:textId="77777777" w:rsidTr="009C568A">
        <w:tc>
          <w:tcPr>
            <w:tcW w:w="624" w:type="pct"/>
            <w:vAlign w:val="center"/>
          </w:tcPr>
          <w:p w14:paraId="016B6CA7" w14:textId="31A57126"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Ort</w:t>
            </w:r>
          </w:p>
        </w:tc>
        <w:tc>
          <w:tcPr>
            <w:tcW w:w="2115" w:type="pct"/>
            <w:vAlign w:val="center"/>
          </w:tcPr>
          <w:p w14:paraId="1133E79C" w14:textId="32F286E3"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Mitten im Volk</w:t>
            </w:r>
            <w:r w:rsidRPr="009C568A">
              <w:rPr>
                <w:rFonts w:eastAsia="Times New Roman" w:cs="Times New Roman"/>
                <w:lang w:eastAsia="de-DE"/>
              </w:rPr>
              <w:t xml:space="preserve"> (</w:t>
            </w:r>
            <w:r w:rsidRPr="009C568A">
              <w:rPr>
                <w:rFonts w:eastAsia="Times New Roman" w:cs="Times New Roman"/>
                <w:rtl/>
                <w:lang w:eastAsia="de-DE"/>
              </w:rPr>
              <w:t>אֶל־תּוֹךְ הַקָּהָל</w:t>
            </w:r>
            <w:r w:rsidRPr="009C568A">
              <w:rPr>
                <w:rFonts w:eastAsia="Times New Roman" w:cs="Times New Roman"/>
                <w:lang w:eastAsia="de-DE"/>
              </w:rPr>
              <w:t>, V. 12)</w:t>
            </w:r>
          </w:p>
        </w:tc>
        <w:tc>
          <w:tcPr>
            <w:tcW w:w="2261" w:type="pct"/>
            <w:vAlign w:val="center"/>
          </w:tcPr>
          <w:p w14:paraId="0F491435" w14:textId="1D2D8244"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Aaron geht </w:t>
            </w:r>
            <w:r w:rsidRPr="009C568A">
              <w:rPr>
                <w:rFonts w:eastAsia="Times New Roman" w:cs="Times New Roman"/>
                <w:b/>
                <w:bCs/>
                <w:lang w:eastAsia="de-DE"/>
              </w:rPr>
              <w:t>in die Gefahrenzone</w:t>
            </w:r>
          </w:p>
        </w:tc>
      </w:tr>
      <w:tr w:rsidR="009C568A" w14:paraId="248DE343" w14:textId="77777777" w:rsidTr="009C568A">
        <w:tc>
          <w:tcPr>
            <w:tcW w:w="624" w:type="pct"/>
            <w:vAlign w:val="center"/>
          </w:tcPr>
          <w:p w14:paraId="62E16722" w14:textId="5CC96E2B"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Zeit</w:t>
            </w:r>
          </w:p>
        </w:tc>
        <w:tc>
          <w:tcPr>
            <w:tcW w:w="2115" w:type="pct"/>
            <w:vAlign w:val="center"/>
          </w:tcPr>
          <w:p w14:paraId="7C3E6E89" w14:textId="36944BBA"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Während die Plage wütet</w:t>
            </w:r>
            <w:r w:rsidRPr="009C568A">
              <w:rPr>
                <w:rFonts w:eastAsia="Times New Roman" w:cs="Times New Roman"/>
                <w:lang w:eastAsia="de-DE"/>
              </w:rPr>
              <w:t xml:space="preserve"> (</w:t>
            </w:r>
            <w:r w:rsidRPr="009C568A">
              <w:rPr>
                <w:rFonts w:eastAsia="Times New Roman" w:cs="Times New Roman"/>
                <w:rtl/>
                <w:lang w:eastAsia="de-DE"/>
              </w:rPr>
              <w:t>הֵחֵל הַנֶּגֶף בָּעָם</w:t>
            </w:r>
            <w:r w:rsidRPr="009C568A">
              <w:rPr>
                <w:rFonts w:eastAsia="Times New Roman" w:cs="Times New Roman"/>
                <w:lang w:eastAsia="de-DE"/>
              </w:rPr>
              <w:t>, V. 12)</w:t>
            </w:r>
          </w:p>
        </w:tc>
        <w:tc>
          <w:tcPr>
            <w:tcW w:w="2261" w:type="pct"/>
            <w:vAlign w:val="center"/>
          </w:tcPr>
          <w:p w14:paraId="0223700A" w14:textId="7229EBD2"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Nicht danach</w:t>
            </w:r>
            <w:r w:rsidRPr="009C568A">
              <w:rPr>
                <w:rFonts w:eastAsia="Times New Roman" w:cs="Times New Roman"/>
                <w:lang w:eastAsia="de-DE"/>
              </w:rPr>
              <w:t xml:space="preserve">, sondern </w:t>
            </w:r>
            <w:r w:rsidRPr="009C568A">
              <w:rPr>
                <w:rFonts w:eastAsia="Times New Roman" w:cs="Times New Roman"/>
                <w:b/>
                <w:bCs/>
                <w:lang w:eastAsia="de-DE"/>
              </w:rPr>
              <w:t>mittendrin</w:t>
            </w:r>
            <w:r w:rsidRPr="009C568A">
              <w:rPr>
                <w:rFonts w:eastAsia="Times New Roman" w:cs="Times New Roman"/>
                <w:lang w:eastAsia="de-DE"/>
              </w:rPr>
              <w:t>!</w:t>
            </w:r>
          </w:p>
        </w:tc>
      </w:tr>
      <w:tr w:rsidR="009C568A" w14:paraId="6BC36778" w14:textId="77777777" w:rsidTr="006D2A5F">
        <w:tc>
          <w:tcPr>
            <w:tcW w:w="624" w:type="pct"/>
            <w:vAlign w:val="center"/>
          </w:tcPr>
          <w:p w14:paraId="72543A96" w14:textId="4123CF99"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Mittel</w:t>
            </w:r>
          </w:p>
        </w:tc>
        <w:tc>
          <w:tcPr>
            <w:tcW w:w="2115" w:type="pct"/>
            <w:vAlign w:val="center"/>
          </w:tcPr>
          <w:p w14:paraId="245874A5" w14:textId="15DFE79E"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Räucherwerk</w:t>
            </w:r>
            <w:r w:rsidRPr="009C568A">
              <w:rPr>
                <w:rFonts w:eastAsia="Times New Roman" w:cs="Times New Roman"/>
                <w:lang w:eastAsia="de-DE"/>
              </w:rPr>
              <w:t xml:space="preserve"> (</w:t>
            </w:r>
            <w:r w:rsidRPr="009C568A">
              <w:rPr>
                <w:rFonts w:eastAsia="Times New Roman" w:cs="Times New Roman"/>
                <w:rtl/>
                <w:lang w:eastAsia="de-DE"/>
              </w:rPr>
              <w:t>קְטֹרֶת</w:t>
            </w:r>
            <w:r w:rsidRPr="009C568A">
              <w:rPr>
                <w:rFonts w:eastAsia="Times New Roman" w:cs="Times New Roman"/>
                <w:lang w:eastAsia="de-DE"/>
              </w:rPr>
              <w:t xml:space="preserve">) vom </w:t>
            </w:r>
            <w:r w:rsidRPr="009C568A">
              <w:rPr>
                <w:rFonts w:eastAsia="Times New Roman" w:cs="Times New Roman"/>
                <w:b/>
                <w:bCs/>
                <w:lang w:eastAsia="de-DE"/>
              </w:rPr>
              <w:t>heiligen Feuer</w:t>
            </w:r>
            <w:r w:rsidRPr="009C568A">
              <w:rPr>
                <w:rFonts w:eastAsia="Times New Roman" w:cs="Times New Roman"/>
                <w:lang w:eastAsia="de-DE"/>
              </w:rPr>
              <w:t xml:space="preserve"> (</w:t>
            </w:r>
            <w:r w:rsidRPr="009C568A">
              <w:rPr>
                <w:rFonts w:eastAsia="Times New Roman" w:cs="Times New Roman"/>
                <w:rtl/>
                <w:lang w:eastAsia="de-DE"/>
              </w:rPr>
              <w:t>מֵעַל הַמִּזְבֵּחַ</w:t>
            </w:r>
            <w:r w:rsidRPr="009C568A">
              <w:rPr>
                <w:rFonts w:eastAsia="Times New Roman" w:cs="Times New Roman"/>
                <w:lang w:eastAsia="de-DE"/>
              </w:rPr>
              <w:t>, V. 11)</w:t>
            </w:r>
          </w:p>
        </w:tc>
        <w:tc>
          <w:tcPr>
            <w:tcW w:w="2261" w:type="pct"/>
            <w:vAlign w:val="center"/>
          </w:tcPr>
          <w:p w14:paraId="707FA3FF" w14:textId="49C5535E"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Sühne</w:t>
            </w:r>
            <w:r w:rsidRPr="009C568A">
              <w:rPr>
                <w:rFonts w:eastAsia="Times New Roman" w:cs="Times New Roman"/>
                <w:lang w:eastAsia="de-DE"/>
              </w:rPr>
              <w:t xml:space="preserve"> durch Opfer</w:t>
            </w:r>
          </w:p>
        </w:tc>
      </w:tr>
      <w:tr w:rsidR="009C568A" w14:paraId="4BEA0428" w14:textId="77777777" w:rsidTr="0045599C">
        <w:tc>
          <w:tcPr>
            <w:tcW w:w="624" w:type="pct"/>
            <w:vAlign w:val="center"/>
          </w:tcPr>
          <w:p w14:paraId="42654DEC" w14:textId="7262E2B2"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Position</w:t>
            </w:r>
          </w:p>
        </w:tc>
        <w:tc>
          <w:tcPr>
            <w:tcW w:w="2115" w:type="pct"/>
            <w:vAlign w:val="center"/>
          </w:tcPr>
          <w:p w14:paraId="436B1CCB" w14:textId="569FAED0"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rtl/>
                <w:lang w:eastAsia="de-DE"/>
              </w:rPr>
              <w:t>בֵּין־הַמֵּתִים וּבֵין הַחַיִּים</w:t>
            </w:r>
          </w:p>
        </w:tc>
        <w:tc>
          <w:tcPr>
            <w:tcW w:w="2261" w:type="pct"/>
            <w:vAlign w:val="center"/>
          </w:tcPr>
          <w:p w14:paraId="7F3C6B36" w14:textId="47024DFC"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Grenze</w:t>
            </w:r>
            <w:r w:rsidRPr="009C568A">
              <w:rPr>
                <w:rFonts w:eastAsia="Times New Roman" w:cs="Times New Roman"/>
                <w:lang w:eastAsia="de-DE"/>
              </w:rPr>
              <w:t xml:space="preserve"> zwischen Tod und Leben</w:t>
            </w:r>
          </w:p>
        </w:tc>
      </w:tr>
      <w:tr w:rsidR="009C568A" w14:paraId="4F075E07" w14:textId="77777777" w:rsidTr="006745BC">
        <w:tc>
          <w:tcPr>
            <w:tcW w:w="624" w:type="pct"/>
            <w:vAlign w:val="center"/>
          </w:tcPr>
          <w:p w14:paraId="6BAE5103" w14:textId="005B4D1A"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Ergebnis</w:t>
            </w:r>
          </w:p>
        </w:tc>
        <w:tc>
          <w:tcPr>
            <w:tcW w:w="2115" w:type="pct"/>
            <w:vAlign w:val="center"/>
          </w:tcPr>
          <w:p w14:paraId="1966E22B" w14:textId="49A992F8"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rtl/>
                <w:lang w:eastAsia="de-DE"/>
              </w:rPr>
              <w:t>וַתֵּעָצַר הַמַּגֵּפָה</w:t>
            </w:r>
          </w:p>
        </w:tc>
        <w:tc>
          <w:tcPr>
            <w:tcW w:w="2261" w:type="pct"/>
            <w:vAlign w:val="center"/>
          </w:tcPr>
          <w:p w14:paraId="1AFF4BB0" w14:textId="09781A9A"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Die Plage </w:t>
            </w:r>
            <w:r w:rsidRPr="009C568A">
              <w:rPr>
                <w:rFonts w:eastAsia="Times New Roman" w:cs="Times New Roman"/>
                <w:b/>
                <w:bCs/>
                <w:lang w:eastAsia="de-DE"/>
              </w:rPr>
              <w:t>stoppt</w:t>
            </w:r>
            <w:r w:rsidRPr="009C568A">
              <w:rPr>
                <w:rFonts w:eastAsia="Times New Roman" w:cs="Times New Roman"/>
                <w:lang w:eastAsia="de-DE"/>
              </w:rPr>
              <w:t>!</w:t>
            </w:r>
          </w:p>
        </w:tc>
      </w:tr>
    </w:tbl>
    <w:p w14:paraId="45DC00BB"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Theologische Bedeutung:</w:t>
      </w:r>
    </w:p>
    <w:p w14:paraId="2414D3F0"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1. Aaron als Mittler:</w:t>
      </w:r>
    </w:p>
    <w:p w14:paraId="4E135509" w14:textId="77777777" w:rsidR="009C568A" w:rsidRPr="009C568A" w:rsidRDefault="009C568A" w:rsidP="00B358B7">
      <w:pPr>
        <w:numPr>
          <w:ilvl w:val="0"/>
          <w:numId w:val="150"/>
        </w:num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Nicht Mose</w:t>
      </w:r>
      <w:r w:rsidRPr="009C568A">
        <w:rPr>
          <w:rFonts w:eastAsia="Times New Roman" w:cs="Times New Roman"/>
          <w:lang w:eastAsia="de-DE"/>
        </w:rPr>
        <w:t xml:space="preserve"> (der Prophet), sondern </w:t>
      </w:r>
      <w:r w:rsidRPr="009C568A">
        <w:rPr>
          <w:rFonts w:eastAsia="Times New Roman" w:cs="Times New Roman"/>
          <w:b/>
          <w:bCs/>
          <w:lang w:eastAsia="de-DE"/>
        </w:rPr>
        <w:t>Aaron</w:t>
      </w:r>
      <w:r w:rsidRPr="009C568A">
        <w:rPr>
          <w:rFonts w:eastAsia="Times New Roman" w:cs="Times New Roman"/>
          <w:lang w:eastAsia="de-DE"/>
        </w:rPr>
        <w:t xml:space="preserve"> (der Priester) rettet</w:t>
      </w:r>
    </w:p>
    <w:p w14:paraId="56B2129C" w14:textId="77777777" w:rsidR="009C568A" w:rsidRPr="009C568A" w:rsidRDefault="009C568A" w:rsidP="00B358B7">
      <w:pPr>
        <w:numPr>
          <w:ilvl w:val="0"/>
          <w:numId w:val="150"/>
        </w:num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Aaron </w:t>
      </w:r>
      <w:r w:rsidRPr="009C568A">
        <w:rPr>
          <w:rFonts w:eastAsia="Times New Roman" w:cs="Times New Roman"/>
          <w:b/>
          <w:bCs/>
          <w:lang w:eastAsia="de-DE"/>
        </w:rPr>
        <w:t>vermittelt</w:t>
      </w:r>
      <w:r w:rsidRPr="009C568A">
        <w:rPr>
          <w:rFonts w:eastAsia="Times New Roman" w:cs="Times New Roman"/>
          <w:lang w:eastAsia="de-DE"/>
        </w:rPr>
        <w:t xml:space="preserve"> zwischen Gottes </w:t>
      </w:r>
      <w:r w:rsidRPr="009C568A">
        <w:rPr>
          <w:rFonts w:eastAsia="Times New Roman" w:cs="Times New Roman"/>
          <w:b/>
          <w:bCs/>
          <w:lang w:eastAsia="de-DE"/>
        </w:rPr>
        <w:t>Zorn</w:t>
      </w:r>
      <w:r w:rsidRPr="009C568A">
        <w:rPr>
          <w:rFonts w:eastAsia="Times New Roman" w:cs="Times New Roman"/>
          <w:lang w:eastAsia="de-DE"/>
        </w:rPr>
        <w:t xml:space="preserve"> und dem </w:t>
      </w:r>
      <w:r w:rsidRPr="009C568A">
        <w:rPr>
          <w:rFonts w:eastAsia="Times New Roman" w:cs="Times New Roman"/>
          <w:b/>
          <w:bCs/>
          <w:lang w:eastAsia="de-DE"/>
        </w:rPr>
        <w:t>Volk</w:t>
      </w:r>
    </w:p>
    <w:p w14:paraId="0880CA6F" w14:textId="77777777" w:rsidR="009C568A" w:rsidRPr="009C568A" w:rsidRDefault="009C568A" w:rsidP="00B358B7">
      <w:pPr>
        <w:numPr>
          <w:ilvl w:val="0"/>
          <w:numId w:val="150"/>
        </w:num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Durch </w:t>
      </w:r>
      <w:r w:rsidRPr="009C568A">
        <w:rPr>
          <w:rFonts w:eastAsia="Times New Roman" w:cs="Times New Roman"/>
          <w:b/>
          <w:bCs/>
          <w:lang w:eastAsia="de-DE"/>
        </w:rPr>
        <w:t>Sühne</w:t>
      </w:r>
      <w:r w:rsidRPr="009C568A">
        <w:rPr>
          <w:rFonts w:eastAsia="Times New Roman" w:cs="Times New Roman"/>
          <w:lang w:eastAsia="de-DE"/>
        </w:rPr>
        <w:t xml:space="preserve"> (</w:t>
      </w:r>
      <w:r w:rsidRPr="009C568A">
        <w:rPr>
          <w:rFonts w:eastAsia="Times New Roman" w:cs="Times New Roman"/>
          <w:rtl/>
          <w:lang w:eastAsia="de-DE"/>
        </w:rPr>
        <w:t>כפר</w:t>
      </w:r>
      <w:r w:rsidRPr="009C568A">
        <w:rPr>
          <w:rFonts w:eastAsia="Times New Roman" w:cs="Times New Roman"/>
          <w:lang w:eastAsia="de-DE"/>
        </w:rPr>
        <w:t xml:space="preserve">) wird das </w:t>
      </w:r>
      <w:r w:rsidRPr="009C568A">
        <w:rPr>
          <w:rFonts w:eastAsia="Times New Roman" w:cs="Times New Roman"/>
          <w:b/>
          <w:bCs/>
          <w:lang w:eastAsia="de-DE"/>
        </w:rPr>
        <w:t>Gericht gestoppt</w:t>
      </w:r>
    </w:p>
    <w:p w14:paraId="4FE2BD0B"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2. Das Räucherwerk:</w:t>
      </w:r>
    </w:p>
    <w:p w14:paraId="487B3C17" w14:textId="77777777" w:rsidR="009C568A" w:rsidRPr="009C568A" w:rsidRDefault="009C568A" w:rsidP="00B358B7">
      <w:pPr>
        <w:numPr>
          <w:ilvl w:val="0"/>
          <w:numId w:val="151"/>
        </w:numPr>
        <w:spacing w:before="100" w:beforeAutospacing="1" w:after="100" w:afterAutospacing="1" w:line="240" w:lineRule="auto"/>
        <w:rPr>
          <w:rFonts w:eastAsia="Times New Roman" w:cs="Times New Roman"/>
          <w:lang w:eastAsia="de-DE"/>
        </w:rPr>
      </w:pPr>
      <w:r w:rsidRPr="009C568A">
        <w:rPr>
          <w:rFonts w:eastAsia="Times New Roman" w:cs="Times New Roman"/>
          <w:b/>
          <w:bCs/>
          <w:rtl/>
          <w:lang w:eastAsia="de-DE"/>
        </w:rPr>
        <w:t>קְטֹרֶת</w:t>
      </w:r>
      <w:r w:rsidRPr="009C568A">
        <w:rPr>
          <w:rFonts w:eastAsia="Times New Roman" w:cs="Times New Roman"/>
          <w:rtl/>
          <w:lang w:eastAsia="de-DE"/>
        </w:rPr>
        <w:t xml:space="preserve"> </w:t>
      </w:r>
      <w:r w:rsidRPr="009C568A">
        <w:rPr>
          <w:rFonts w:eastAsia="Times New Roman" w:cs="Times New Roman"/>
          <w:lang w:eastAsia="de-DE"/>
        </w:rPr>
        <w:t xml:space="preserve">= Symbol für </w:t>
      </w:r>
      <w:r w:rsidRPr="009C568A">
        <w:rPr>
          <w:rFonts w:eastAsia="Times New Roman" w:cs="Times New Roman"/>
          <w:b/>
          <w:bCs/>
          <w:lang w:eastAsia="de-DE"/>
        </w:rPr>
        <w:t>Gebet</w:t>
      </w:r>
      <w:r w:rsidRPr="009C568A">
        <w:rPr>
          <w:rFonts w:eastAsia="Times New Roman" w:cs="Times New Roman"/>
          <w:lang w:eastAsia="de-DE"/>
        </w:rPr>
        <w:t xml:space="preserve"> (vgl. Ps 141,2; Offb 5,8; 8,3-4)</w:t>
      </w:r>
    </w:p>
    <w:p w14:paraId="3ABD2A2E" w14:textId="77777777" w:rsidR="009C568A" w:rsidRPr="009C568A" w:rsidRDefault="009C568A" w:rsidP="00B358B7">
      <w:pPr>
        <w:numPr>
          <w:ilvl w:val="0"/>
          <w:numId w:val="151"/>
        </w:num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Vom </w:t>
      </w:r>
      <w:r w:rsidRPr="009C568A">
        <w:rPr>
          <w:rFonts w:eastAsia="Times New Roman" w:cs="Times New Roman"/>
          <w:b/>
          <w:bCs/>
          <w:lang w:eastAsia="de-DE"/>
        </w:rPr>
        <w:t>Altar</w:t>
      </w:r>
      <w:r w:rsidRPr="009C568A">
        <w:rPr>
          <w:rFonts w:eastAsia="Times New Roman" w:cs="Times New Roman"/>
          <w:lang w:eastAsia="de-DE"/>
        </w:rPr>
        <w:t xml:space="preserve"> genommen = </w:t>
      </w:r>
      <w:r w:rsidRPr="009C568A">
        <w:rPr>
          <w:rFonts w:eastAsia="Times New Roman" w:cs="Times New Roman"/>
          <w:b/>
          <w:bCs/>
          <w:lang w:eastAsia="de-DE"/>
        </w:rPr>
        <w:t>heiliges</w:t>
      </w:r>
      <w:r w:rsidRPr="009C568A">
        <w:rPr>
          <w:rFonts w:eastAsia="Times New Roman" w:cs="Times New Roman"/>
          <w:lang w:eastAsia="de-DE"/>
        </w:rPr>
        <w:t xml:space="preserve"> Feuer (nicht fremdes Feuer wie Nadab/Abihu!)</w:t>
      </w:r>
    </w:p>
    <w:p w14:paraId="0607E8CD" w14:textId="77777777" w:rsidR="009C568A" w:rsidRPr="009C568A" w:rsidRDefault="009C568A" w:rsidP="00B358B7">
      <w:pPr>
        <w:numPr>
          <w:ilvl w:val="0"/>
          <w:numId w:val="151"/>
        </w:num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Wohlgefälliger Geruch</w:t>
      </w:r>
      <w:r w:rsidRPr="009C568A">
        <w:rPr>
          <w:rFonts w:eastAsia="Times New Roman" w:cs="Times New Roman"/>
          <w:lang w:eastAsia="de-DE"/>
        </w:rPr>
        <w:t xml:space="preserve"> → Gott </w:t>
      </w:r>
      <w:r w:rsidRPr="009C568A">
        <w:rPr>
          <w:rFonts w:eastAsia="Times New Roman" w:cs="Times New Roman"/>
          <w:b/>
          <w:bCs/>
          <w:lang w:eastAsia="de-DE"/>
        </w:rPr>
        <w:t>akzeptiert</w:t>
      </w:r>
      <w:r w:rsidRPr="009C568A">
        <w:rPr>
          <w:rFonts w:eastAsia="Times New Roman" w:cs="Times New Roman"/>
          <w:lang w:eastAsia="de-DE"/>
        </w:rPr>
        <w:t xml:space="preserve"> die Sühne</w:t>
      </w:r>
    </w:p>
    <w:p w14:paraId="787ABBE3"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3. Die Position "zwischen":</w:t>
      </w:r>
    </w:p>
    <w:p w14:paraId="1786F53E" w14:textId="77777777" w:rsidR="009C568A" w:rsidRPr="009C568A" w:rsidRDefault="009C568A" w:rsidP="00B358B7">
      <w:pPr>
        <w:numPr>
          <w:ilvl w:val="0"/>
          <w:numId w:val="152"/>
        </w:numPr>
        <w:spacing w:before="100" w:beforeAutospacing="1" w:after="100" w:afterAutospacing="1" w:line="240" w:lineRule="auto"/>
        <w:rPr>
          <w:rFonts w:eastAsia="Times New Roman" w:cs="Times New Roman"/>
          <w:lang w:eastAsia="de-DE"/>
        </w:rPr>
      </w:pPr>
      <w:r w:rsidRPr="009C568A">
        <w:rPr>
          <w:rFonts w:eastAsia="Times New Roman" w:cs="Times New Roman"/>
          <w:b/>
          <w:bCs/>
          <w:rtl/>
          <w:lang w:eastAsia="de-DE"/>
        </w:rPr>
        <w:t>בֵּין</w:t>
      </w:r>
      <w:r w:rsidRPr="009C568A">
        <w:rPr>
          <w:rFonts w:eastAsia="Times New Roman" w:cs="Times New Roman"/>
          <w:rtl/>
          <w:lang w:eastAsia="de-DE"/>
        </w:rPr>
        <w:t xml:space="preserve"> </w:t>
      </w:r>
      <w:r w:rsidRPr="009C568A">
        <w:rPr>
          <w:rFonts w:eastAsia="Times New Roman" w:cs="Times New Roman"/>
          <w:lang w:eastAsia="de-DE"/>
        </w:rPr>
        <w:t xml:space="preserve">(zwischen) = </w:t>
      </w:r>
      <w:r w:rsidRPr="009C568A">
        <w:rPr>
          <w:rFonts w:eastAsia="Times New Roman" w:cs="Times New Roman"/>
          <w:b/>
          <w:bCs/>
          <w:lang w:eastAsia="de-DE"/>
        </w:rPr>
        <w:t>Grenzlinie</w:t>
      </w:r>
      <w:r w:rsidRPr="009C568A">
        <w:rPr>
          <w:rFonts w:eastAsia="Times New Roman" w:cs="Times New Roman"/>
          <w:lang w:eastAsia="de-DE"/>
        </w:rPr>
        <w:t xml:space="preserve">, </w:t>
      </w:r>
      <w:r w:rsidRPr="009C568A">
        <w:rPr>
          <w:rFonts w:eastAsia="Times New Roman" w:cs="Times New Roman"/>
          <w:b/>
          <w:bCs/>
          <w:lang w:eastAsia="de-DE"/>
        </w:rPr>
        <w:t>Scheidewand</w:t>
      </w:r>
    </w:p>
    <w:p w14:paraId="2F7B1614" w14:textId="77777777" w:rsidR="009C568A" w:rsidRPr="009C568A" w:rsidRDefault="009C568A" w:rsidP="00B358B7">
      <w:pPr>
        <w:numPr>
          <w:ilvl w:val="0"/>
          <w:numId w:val="152"/>
        </w:num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Aaron </w:t>
      </w:r>
      <w:r w:rsidRPr="009C568A">
        <w:rPr>
          <w:rFonts w:eastAsia="Times New Roman" w:cs="Times New Roman"/>
          <w:b/>
          <w:bCs/>
          <w:lang w:eastAsia="de-DE"/>
        </w:rPr>
        <w:t>markiert die Grenze</w:t>
      </w:r>
      <w:r w:rsidRPr="009C568A">
        <w:rPr>
          <w:rFonts w:eastAsia="Times New Roman" w:cs="Times New Roman"/>
          <w:lang w:eastAsia="de-DE"/>
        </w:rPr>
        <w:t xml:space="preserve"> zwischen </w:t>
      </w:r>
      <w:r w:rsidRPr="009C568A">
        <w:rPr>
          <w:rFonts w:eastAsia="Times New Roman" w:cs="Times New Roman"/>
          <w:b/>
          <w:bCs/>
          <w:lang w:eastAsia="de-DE"/>
        </w:rPr>
        <w:t>Tod</w:t>
      </w:r>
      <w:r w:rsidRPr="009C568A">
        <w:rPr>
          <w:rFonts w:eastAsia="Times New Roman" w:cs="Times New Roman"/>
          <w:lang w:eastAsia="de-DE"/>
        </w:rPr>
        <w:t xml:space="preserve"> (Gottes Gericht) und </w:t>
      </w:r>
      <w:r w:rsidRPr="009C568A">
        <w:rPr>
          <w:rFonts w:eastAsia="Times New Roman" w:cs="Times New Roman"/>
          <w:b/>
          <w:bCs/>
          <w:lang w:eastAsia="de-DE"/>
        </w:rPr>
        <w:t>Leben</w:t>
      </w:r>
      <w:r w:rsidRPr="009C568A">
        <w:rPr>
          <w:rFonts w:eastAsia="Times New Roman" w:cs="Times New Roman"/>
          <w:lang w:eastAsia="de-DE"/>
        </w:rPr>
        <w:t xml:space="preserve"> (Gottes Gnade)</w:t>
      </w:r>
    </w:p>
    <w:p w14:paraId="200ACCD7" w14:textId="77777777" w:rsidR="009C568A" w:rsidRPr="009C568A" w:rsidRDefault="009C568A" w:rsidP="00B358B7">
      <w:pPr>
        <w:numPr>
          <w:ilvl w:val="0"/>
          <w:numId w:val="152"/>
        </w:num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Wer hinter Aaron steht</w:t>
      </w:r>
      <w:r w:rsidRPr="009C568A">
        <w:rPr>
          <w:rFonts w:eastAsia="Times New Roman" w:cs="Times New Roman"/>
          <w:lang w:eastAsia="de-DE"/>
        </w:rPr>
        <w:t xml:space="preserve"> = </w:t>
      </w:r>
      <w:r w:rsidRPr="009C568A">
        <w:rPr>
          <w:rFonts w:eastAsia="Times New Roman" w:cs="Times New Roman"/>
          <w:b/>
          <w:bCs/>
          <w:lang w:eastAsia="de-DE"/>
        </w:rPr>
        <w:t>lebt</w:t>
      </w:r>
      <w:r w:rsidRPr="009C568A">
        <w:rPr>
          <w:rFonts w:eastAsia="Times New Roman" w:cs="Times New Roman"/>
          <w:lang w:eastAsia="de-DE"/>
        </w:rPr>
        <w:t xml:space="preserve">; </w:t>
      </w:r>
      <w:r w:rsidRPr="009C568A">
        <w:rPr>
          <w:rFonts w:eastAsia="Times New Roman" w:cs="Times New Roman"/>
          <w:b/>
          <w:bCs/>
          <w:lang w:eastAsia="de-DE"/>
        </w:rPr>
        <w:t>wer vor ihm ist</w:t>
      </w:r>
      <w:r w:rsidRPr="009C568A">
        <w:rPr>
          <w:rFonts w:eastAsia="Times New Roman" w:cs="Times New Roman"/>
          <w:lang w:eastAsia="de-DE"/>
        </w:rPr>
        <w:t xml:space="preserve"> = </w:t>
      </w:r>
      <w:r w:rsidRPr="009C568A">
        <w:rPr>
          <w:rFonts w:eastAsia="Times New Roman" w:cs="Times New Roman"/>
          <w:b/>
          <w:bCs/>
          <w:lang w:eastAsia="de-DE"/>
        </w:rPr>
        <w:t>tot</w:t>
      </w:r>
    </w:p>
    <w:p w14:paraId="59612A32" w14:textId="5E3E2E16" w:rsidR="009C568A" w:rsidRDefault="009C568A" w:rsidP="009C568A">
      <w:pPr>
        <w:spacing w:before="100" w:beforeAutospacing="1" w:after="100" w:afterAutospacing="1" w:line="240" w:lineRule="auto"/>
        <w:rPr>
          <w:rFonts w:eastAsia="Times New Roman" w:cs="Times New Roman"/>
          <w:b/>
          <w:bCs/>
          <w:lang w:eastAsia="de-DE"/>
        </w:rPr>
      </w:pPr>
      <w:r w:rsidRPr="009C568A">
        <w:rPr>
          <w:rFonts w:eastAsia="Times New Roman" w:cs="Times New Roman"/>
          <w:b/>
          <w:bCs/>
          <w:lang w:eastAsia="de-DE"/>
        </w:rPr>
        <w:t>NT-Parallele: Christus als Mittler</w:t>
      </w:r>
    </w:p>
    <w:tbl>
      <w:tblPr>
        <w:tblStyle w:val="Tabellenraster"/>
        <w:tblW w:w="4994" w:type="pct"/>
        <w:tblLook w:val="04A0" w:firstRow="1" w:lastRow="0" w:firstColumn="1" w:lastColumn="0" w:noHBand="0" w:noVBand="1"/>
      </w:tblPr>
      <w:tblGrid>
        <w:gridCol w:w="1244"/>
        <w:gridCol w:w="3287"/>
        <w:gridCol w:w="4520"/>
      </w:tblGrid>
      <w:tr w:rsidR="009C568A" w14:paraId="2BE8349E" w14:textId="77777777" w:rsidTr="009C568A">
        <w:tc>
          <w:tcPr>
            <w:tcW w:w="687" w:type="pct"/>
            <w:vAlign w:val="center"/>
          </w:tcPr>
          <w:p w14:paraId="77106F08" w14:textId="79A8CAB1"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Aspekt</w:t>
            </w:r>
          </w:p>
        </w:tc>
        <w:tc>
          <w:tcPr>
            <w:tcW w:w="1816" w:type="pct"/>
            <w:vAlign w:val="center"/>
          </w:tcPr>
          <w:p w14:paraId="4C807733" w14:textId="5B74DDB6"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Aaron (Num 17,13)</w:t>
            </w:r>
          </w:p>
        </w:tc>
        <w:tc>
          <w:tcPr>
            <w:tcW w:w="2497" w:type="pct"/>
            <w:vAlign w:val="center"/>
          </w:tcPr>
          <w:p w14:paraId="7769AB94" w14:textId="2D6A813C"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Christus (NT)</w:t>
            </w:r>
          </w:p>
        </w:tc>
      </w:tr>
      <w:tr w:rsidR="009C568A" w14:paraId="675A22A5" w14:textId="77777777" w:rsidTr="009C568A">
        <w:tc>
          <w:tcPr>
            <w:tcW w:w="687" w:type="pct"/>
            <w:vAlign w:val="center"/>
          </w:tcPr>
          <w:p w14:paraId="063761F3" w14:textId="73A5774D"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Position</w:t>
            </w:r>
          </w:p>
        </w:tc>
        <w:tc>
          <w:tcPr>
            <w:tcW w:w="1816" w:type="pct"/>
            <w:vAlign w:val="center"/>
          </w:tcPr>
          <w:p w14:paraId="15B564DF" w14:textId="2DDEBA9D"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Zwischen</w:t>
            </w:r>
            <w:r w:rsidRPr="009C568A">
              <w:rPr>
                <w:rFonts w:eastAsia="Times New Roman" w:cs="Times New Roman"/>
                <w:lang w:eastAsia="de-DE"/>
              </w:rPr>
              <w:t xml:space="preserve"> Toten und Lebenden</w:t>
            </w:r>
          </w:p>
        </w:tc>
        <w:tc>
          <w:tcPr>
            <w:tcW w:w="2497" w:type="pct"/>
            <w:vAlign w:val="center"/>
          </w:tcPr>
          <w:p w14:paraId="0EC373B0" w14:textId="77777777" w:rsidR="009C568A" w:rsidRDefault="009C568A" w:rsidP="009C568A">
            <w:pPr>
              <w:pStyle w:val="KeinLeerraum"/>
              <w:rPr>
                <w:lang w:eastAsia="de-DE"/>
              </w:rPr>
            </w:pPr>
            <w:r w:rsidRPr="009C568A">
              <w:rPr>
                <w:b/>
                <w:bCs/>
                <w:lang w:eastAsia="de-DE"/>
              </w:rPr>
              <w:t>Mittler</w:t>
            </w:r>
            <w:r w:rsidRPr="009C568A">
              <w:rPr>
                <w:lang w:eastAsia="de-DE"/>
              </w:rPr>
              <w:t xml:space="preserve"> zwischen Gott und Menschen </w:t>
            </w:r>
          </w:p>
          <w:p w14:paraId="6AEB7E53" w14:textId="644A3AED" w:rsidR="009C568A" w:rsidRDefault="009C568A" w:rsidP="009C568A">
            <w:pPr>
              <w:pStyle w:val="KeinLeerraum"/>
              <w:rPr>
                <w:lang w:eastAsia="de-DE"/>
              </w:rPr>
            </w:pPr>
            <w:r w:rsidRPr="009C568A">
              <w:rPr>
                <w:lang w:eastAsia="de-DE"/>
              </w:rPr>
              <w:t>(1 Tim 2,5)</w:t>
            </w:r>
          </w:p>
        </w:tc>
      </w:tr>
      <w:tr w:rsidR="009C568A" w14:paraId="7E7C09F1" w14:textId="77777777" w:rsidTr="009C568A">
        <w:tc>
          <w:tcPr>
            <w:tcW w:w="687" w:type="pct"/>
            <w:vAlign w:val="center"/>
          </w:tcPr>
          <w:p w14:paraId="07F014BF" w14:textId="18C2154E"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Situation</w:t>
            </w:r>
          </w:p>
        </w:tc>
        <w:tc>
          <w:tcPr>
            <w:tcW w:w="1816" w:type="pct"/>
            <w:vAlign w:val="center"/>
          </w:tcPr>
          <w:p w14:paraId="2058A015" w14:textId="68B810B9"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Plage</w:t>
            </w:r>
            <w:r w:rsidRPr="009C568A">
              <w:rPr>
                <w:rFonts w:eastAsia="Times New Roman" w:cs="Times New Roman"/>
                <w:lang w:eastAsia="de-DE"/>
              </w:rPr>
              <w:t xml:space="preserve"> wütet</w:t>
            </w:r>
          </w:p>
        </w:tc>
        <w:tc>
          <w:tcPr>
            <w:tcW w:w="2497" w:type="pct"/>
            <w:vAlign w:val="center"/>
          </w:tcPr>
          <w:p w14:paraId="0301FE0E" w14:textId="78667CAB"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Zorn Gottes</w:t>
            </w:r>
            <w:r w:rsidRPr="009C568A">
              <w:rPr>
                <w:rFonts w:eastAsia="Times New Roman" w:cs="Times New Roman"/>
                <w:lang w:eastAsia="de-DE"/>
              </w:rPr>
              <w:t xml:space="preserve"> über Sünde (Röm 1,18)</w:t>
            </w:r>
          </w:p>
        </w:tc>
      </w:tr>
      <w:tr w:rsidR="009C568A" w14:paraId="2D4A8322" w14:textId="77777777" w:rsidTr="009C568A">
        <w:tc>
          <w:tcPr>
            <w:tcW w:w="687" w:type="pct"/>
            <w:vAlign w:val="center"/>
          </w:tcPr>
          <w:p w14:paraId="77965EDB" w14:textId="6EE4FC27"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Mittel</w:t>
            </w:r>
          </w:p>
        </w:tc>
        <w:tc>
          <w:tcPr>
            <w:tcW w:w="1816" w:type="pct"/>
            <w:vAlign w:val="center"/>
          </w:tcPr>
          <w:p w14:paraId="5EC1F583" w14:textId="61AA67AA"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Räucherwerk</w:t>
            </w:r>
            <w:r w:rsidRPr="009C568A">
              <w:rPr>
                <w:rFonts w:eastAsia="Times New Roman" w:cs="Times New Roman"/>
                <w:lang w:eastAsia="de-DE"/>
              </w:rPr>
              <w:t xml:space="preserve"> (Sühne)</w:t>
            </w:r>
          </w:p>
        </w:tc>
        <w:tc>
          <w:tcPr>
            <w:tcW w:w="2497" w:type="pct"/>
            <w:vAlign w:val="center"/>
          </w:tcPr>
          <w:p w14:paraId="51F48977" w14:textId="6157DC91"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Sein Blut</w:t>
            </w:r>
            <w:r w:rsidRPr="009C568A">
              <w:rPr>
                <w:rFonts w:eastAsia="Times New Roman" w:cs="Times New Roman"/>
                <w:lang w:eastAsia="de-DE"/>
              </w:rPr>
              <w:t xml:space="preserve"> (Hebr 9,12)</w:t>
            </w:r>
          </w:p>
        </w:tc>
      </w:tr>
      <w:tr w:rsidR="009C568A" w14:paraId="7E59688F" w14:textId="77777777" w:rsidTr="009C568A">
        <w:tc>
          <w:tcPr>
            <w:tcW w:w="687" w:type="pct"/>
            <w:vAlign w:val="center"/>
          </w:tcPr>
          <w:p w14:paraId="1E956E38" w14:textId="380FBFBE"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Ort</w:t>
            </w:r>
          </w:p>
        </w:tc>
        <w:tc>
          <w:tcPr>
            <w:tcW w:w="1816" w:type="pct"/>
            <w:vAlign w:val="center"/>
          </w:tcPr>
          <w:p w14:paraId="65B21D07" w14:textId="4F3BB32A"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Mitten im Volk</w:t>
            </w:r>
          </w:p>
        </w:tc>
        <w:tc>
          <w:tcPr>
            <w:tcW w:w="2497" w:type="pct"/>
            <w:vAlign w:val="center"/>
          </w:tcPr>
          <w:p w14:paraId="7D1088B4" w14:textId="4055359D"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Am Kreuz</w:t>
            </w:r>
            <w:r w:rsidRPr="009C568A">
              <w:rPr>
                <w:rFonts w:eastAsia="Times New Roman" w:cs="Times New Roman"/>
                <w:lang w:eastAsia="de-DE"/>
              </w:rPr>
              <w:t xml:space="preserve"> (zwischen Himmel und Erde, zwischen Gott und Mensch)</w:t>
            </w:r>
          </w:p>
        </w:tc>
      </w:tr>
      <w:tr w:rsidR="009C568A" w14:paraId="5345CAFF" w14:textId="77777777" w:rsidTr="009C568A">
        <w:tc>
          <w:tcPr>
            <w:tcW w:w="687" w:type="pct"/>
            <w:vAlign w:val="center"/>
          </w:tcPr>
          <w:p w14:paraId="470D29DD" w14:textId="16164F65"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Ergebnis</w:t>
            </w:r>
          </w:p>
        </w:tc>
        <w:tc>
          <w:tcPr>
            <w:tcW w:w="1816" w:type="pct"/>
            <w:vAlign w:val="center"/>
          </w:tcPr>
          <w:p w14:paraId="5F0BDD1F" w14:textId="70F097B3"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Plage </w:t>
            </w:r>
            <w:r w:rsidRPr="009C568A">
              <w:rPr>
                <w:rFonts w:eastAsia="Times New Roman" w:cs="Times New Roman"/>
                <w:b/>
                <w:bCs/>
                <w:lang w:eastAsia="de-DE"/>
              </w:rPr>
              <w:t>stoppt</w:t>
            </w:r>
          </w:p>
        </w:tc>
        <w:tc>
          <w:tcPr>
            <w:tcW w:w="2497" w:type="pct"/>
            <w:vAlign w:val="center"/>
          </w:tcPr>
          <w:p w14:paraId="652EE64B" w14:textId="58F8AF34"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Zorn Gottes </w:t>
            </w:r>
            <w:r w:rsidRPr="009C568A">
              <w:rPr>
                <w:rFonts w:eastAsia="Times New Roman" w:cs="Times New Roman"/>
                <w:b/>
                <w:bCs/>
                <w:lang w:eastAsia="de-DE"/>
              </w:rPr>
              <w:t>gestillt</w:t>
            </w:r>
            <w:r w:rsidRPr="009C568A">
              <w:rPr>
                <w:rFonts w:eastAsia="Times New Roman" w:cs="Times New Roman"/>
                <w:lang w:eastAsia="de-DE"/>
              </w:rPr>
              <w:t xml:space="preserve"> (Röm 5,9; 1 Thess 1,10)</w:t>
            </w:r>
          </w:p>
        </w:tc>
      </w:tr>
      <w:tr w:rsidR="009C568A" w14:paraId="08DD9724" w14:textId="77777777" w:rsidTr="009C568A">
        <w:tc>
          <w:tcPr>
            <w:tcW w:w="687" w:type="pct"/>
            <w:vAlign w:val="center"/>
          </w:tcPr>
          <w:p w14:paraId="7945A05E" w14:textId="7B46C3A0"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Zeitpunkt</w:t>
            </w:r>
          </w:p>
        </w:tc>
        <w:tc>
          <w:tcPr>
            <w:tcW w:w="1816" w:type="pct"/>
            <w:vAlign w:val="center"/>
          </w:tcPr>
          <w:p w14:paraId="7F26311A" w14:textId="64CBC7BC"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Während</w:t>
            </w:r>
            <w:r w:rsidRPr="009C568A">
              <w:rPr>
                <w:rFonts w:eastAsia="Times New Roman" w:cs="Times New Roman"/>
                <w:lang w:eastAsia="de-DE"/>
              </w:rPr>
              <w:t xml:space="preserve"> die Plage wütet</w:t>
            </w:r>
          </w:p>
        </w:tc>
        <w:tc>
          <w:tcPr>
            <w:tcW w:w="2497" w:type="pct"/>
            <w:vAlign w:val="center"/>
          </w:tcPr>
          <w:p w14:paraId="4828101C" w14:textId="77777777" w:rsidR="009C568A" w:rsidRDefault="009C568A" w:rsidP="009C568A">
            <w:pPr>
              <w:pStyle w:val="KeinLeerraum"/>
              <w:rPr>
                <w:lang w:eastAsia="de-DE"/>
              </w:rPr>
            </w:pPr>
            <w:r w:rsidRPr="009C568A">
              <w:rPr>
                <w:b/>
                <w:bCs/>
                <w:lang w:eastAsia="de-DE"/>
              </w:rPr>
              <w:t>Während</w:t>
            </w:r>
            <w:r w:rsidRPr="009C568A">
              <w:rPr>
                <w:lang w:eastAsia="de-DE"/>
              </w:rPr>
              <w:t xml:space="preserve"> wir noch Sünder waren </w:t>
            </w:r>
          </w:p>
          <w:p w14:paraId="7736B57E" w14:textId="1FC79EE9" w:rsidR="009C568A" w:rsidRDefault="009C568A" w:rsidP="009C568A">
            <w:pPr>
              <w:pStyle w:val="KeinLeerraum"/>
              <w:rPr>
                <w:lang w:eastAsia="de-DE"/>
              </w:rPr>
            </w:pPr>
            <w:r w:rsidRPr="009C568A">
              <w:rPr>
                <w:lang w:eastAsia="de-DE"/>
              </w:rPr>
              <w:t>(Röm 5,8)</w:t>
            </w:r>
          </w:p>
        </w:tc>
      </w:tr>
    </w:tbl>
    <w:p w14:paraId="127AE965" w14:textId="77777777" w:rsidR="009C568A" w:rsidRPr="009C568A" w:rsidRDefault="009C568A" w:rsidP="009C568A">
      <w:pPr>
        <w:pStyle w:val="KeinLeerraum"/>
        <w:rPr>
          <w:lang w:eastAsia="de-DE"/>
        </w:rPr>
      </w:pPr>
    </w:p>
    <w:p w14:paraId="3C5F611D"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Hebräer 7,25:</w:t>
      </w:r>
    </w:p>
    <w:p w14:paraId="321D5826" w14:textId="77777777" w:rsidR="009C568A" w:rsidRPr="009C568A" w:rsidRDefault="009C568A" w:rsidP="009C568A">
      <w:pPr>
        <w:spacing w:beforeAutospacing="1" w:after="100" w:afterAutospacing="1" w:line="240" w:lineRule="auto"/>
        <w:rPr>
          <w:rFonts w:eastAsia="Times New Roman" w:cs="Times New Roman"/>
          <w:lang w:eastAsia="de-DE"/>
        </w:rPr>
      </w:pPr>
      <w:r w:rsidRPr="009C568A">
        <w:rPr>
          <w:rFonts w:eastAsia="Times New Roman" w:cs="Times New Roman"/>
          <w:lang w:eastAsia="de-DE"/>
        </w:rPr>
        <w:lastRenderedPageBreak/>
        <w:t xml:space="preserve">ὅθεν καὶ σῴζειν εἰς τὸ παντελὲς δύναται τοὺς προσερχομένους δι' αὐτοῦ τῷ θεῷ, </w:t>
      </w:r>
      <w:r w:rsidRPr="009C568A">
        <w:rPr>
          <w:rFonts w:eastAsia="Times New Roman" w:cs="Times New Roman"/>
          <w:b/>
          <w:bCs/>
          <w:lang w:eastAsia="de-DE"/>
        </w:rPr>
        <w:t>πάντοτε ζῶν εἰς τὸ ἐντυγχάνειν ὑπὲρ αὐτῶν</w:t>
      </w:r>
      <w:r w:rsidRPr="009C568A">
        <w:rPr>
          <w:rFonts w:eastAsia="Times New Roman" w:cs="Times New Roman"/>
          <w:lang w:eastAsia="de-DE"/>
        </w:rPr>
        <w:t>.</w:t>
      </w:r>
    </w:p>
    <w:p w14:paraId="2ACB6FA4"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"Daher kann er auch </w:t>
      </w:r>
      <w:r w:rsidRPr="009C568A">
        <w:rPr>
          <w:rFonts w:eastAsia="Times New Roman" w:cs="Times New Roman"/>
          <w:b/>
          <w:bCs/>
          <w:lang w:eastAsia="de-DE"/>
        </w:rPr>
        <w:t>völlig erretten</w:t>
      </w:r>
      <w:r w:rsidRPr="009C568A">
        <w:rPr>
          <w:rFonts w:eastAsia="Times New Roman" w:cs="Times New Roman"/>
          <w:lang w:eastAsia="de-DE"/>
        </w:rPr>
        <w:t xml:space="preserve">, die durch ihn zu Gott kommen, weil er </w:t>
      </w:r>
      <w:r w:rsidRPr="009C568A">
        <w:rPr>
          <w:rFonts w:eastAsia="Times New Roman" w:cs="Times New Roman"/>
          <w:b/>
          <w:bCs/>
          <w:lang w:eastAsia="de-DE"/>
        </w:rPr>
        <w:t>immerdar lebt, um für sie einzutreten</w:t>
      </w:r>
      <w:r w:rsidRPr="009C568A">
        <w:rPr>
          <w:rFonts w:eastAsia="Times New Roman" w:cs="Times New Roman"/>
          <w:lang w:eastAsia="de-DE"/>
        </w:rPr>
        <w:t>."</w:t>
      </w:r>
    </w:p>
    <w:p w14:paraId="5986A524"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1. Timotheus 2,5-6:</w:t>
      </w:r>
    </w:p>
    <w:p w14:paraId="1D7A499F" w14:textId="77777777" w:rsidR="009C568A" w:rsidRPr="009C568A" w:rsidRDefault="009C568A" w:rsidP="009C568A">
      <w:pPr>
        <w:spacing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εἷς γὰρ θεός, </w:t>
      </w:r>
      <w:r w:rsidRPr="009C568A">
        <w:rPr>
          <w:rFonts w:eastAsia="Times New Roman" w:cs="Times New Roman"/>
          <w:b/>
          <w:bCs/>
          <w:lang w:eastAsia="de-DE"/>
        </w:rPr>
        <w:t>εἷς καὶ μεσίτης θεοῦ καὶ ἀνθρώπων</w:t>
      </w:r>
      <w:r w:rsidRPr="009C568A">
        <w:rPr>
          <w:rFonts w:eastAsia="Times New Roman" w:cs="Times New Roman"/>
          <w:lang w:eastAsia="de-DE"/>
        </w:rPr>
        <w:t xml:space="preserve">, ἄνθρωπος Χριστὸς Ἰησοῦς, ὁ δοὺς ἑαυτὸν </w:t>
      </w:r>
      <w:r w:rsidRPr="009C568A">
        <w:rPr>
          <w:rFonts w:eastAsia="Times New Roman" w:cs="Times New Roman"/>
          <w:b/>
          <w:bCs/>
          <w:lang w:eastAsia="de-DE"/>
        </w:rPr>
        <w:t>ἀντίλυτρον ὑπὲρ πάντων</w:t>
      </w:r>
      <w:r w:rsidRPr="009C568A">
        <w:rPr>
          <w:rFonts w:eastAsia="Times New Roman" w:cs="Times New Roman"/>
          <w:lang w:eastAsia="de-DE"/>
        </w:rPr>
        <w:t>.</w:t>
      </w:r>
    </w:p>
    <w:p w14:paraId="77670FAE"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"Denn es ist </w:t>
      </w:r>
      <w:r w:rsidRPr="009C568A">
        <w:rPr>
          <w:rFonts w:eastAsia="Times New Roman" w:cs="Times New Roman"/>
          <w:b/>
          <w:bCs/>
          <w:lang w:eastAsia="de-DE"/>
        </w:rPr>
        <w:t>ein Gott</w:t>
      </w:r>
      <w:r w:rsidRPr="009C568A">
        <w:rPr>
          <w:rFonts w:eastAsia="Times New Roman" w:cs="Times New Roman"/>
          <w:lang w:eastAsia="de-DE"/>
        </w:rPr>
        <w:t xml:space="preserve">, und </w:t>
      </w:r>
      <w:r w:rsidRPr="009C568A">
        <w:rPr>
          <w:rFonts w:eastAsia="Times New Roman" w:cs="Times New Roman"/>
          <w:b/>
          <w:bCs/>
          <w:lang w:eastAsia="de-DE"/>
        </w:rPr>
        <w:t>ein Mittler zwischen Gott und Menschen</w:t>
      </w:r>
      <w:r w:rsidRPr="009C568A">
        <w:rPr>
          <w:rFonts w:eastAsia="Times New Roman" w:cs="Times New Roman"/>
          <w:lang w:eastAsia="de-DE"/>
        </w:rPr>
        <w:t xml:space="preserve">, der Mensch Christus Jesus, der sich selbst als </w:t>
      </w:r>
      <w:r w:rsidRPr="009C568A">
        <w:rPr>
          <w:rFonts w:eastAsia="Times New Roman" w:cs="Times New Roman"/>
          <w:b/>
          <w:bCs/>
          <w:lang w:eastAsia="de-DE"/>
        </w:rPr>
        <w:t>Lösegeld für alle</w:t>
      </w:r>
      <w:r w:rsidRPr="009C568A">
        <w:rPr>
          <w:rFonts w:eastAsia="Times New Roman" w:cs="Times New Roman"/>
          <w:lang w:eastAsia="de-DE"/>
        </w:rPr>
        <w:t xml:space="preserve"> gegeben hat."</w:t>
      </w:r>
    </w:p>
    <w:p w14:paraId="47D18BE2"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Römer 5,8-9:</w:t>
      </w:r>
    </w:p>
    <w:p w14:paraId="4CF038BD" w14:textId="77777777" w:rsidR="009C568A" w:rsidRPr="009C568A" w:rsidRDefault="009C568A" w:rsidP="009C568A">
      <w:pPr>
        <w:spacing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συνίστησιν δὲ τὴν ἑαυτοῦ ἀγάπην εἰς ἡμᾶς ὁ θεός, ὅτι </w:t>
      </w:r>
      <w:r w:rsidRPr="009C568A">
        <w:rPr>
          <w:rFonts w:eastAsia="Times New Roman" w:cs="Times New Roman"/>
          <w:b/>
          <w:bCs/>
          <w:lang w:eastAsia="de-DE"/>
        </w:rPr>
        <w:t>ἔτι ἁμαρτωλῶν ὄντων ἡμῶν</w:t>
      </w:r>
      <w:r w:rsidRPr="009C568A">
        <w:rPr>
          <w:rFonts w:eastAsia="Times New Roman" w:cs="Times New Roman"/>
          <w:lang w:eastAsia="de-DE"/>
        </w:rPr>
        <w:t xml:space="preserve"> Χριστὸς ὑπὲρ ἡμῶν ἀπέθανεν. πολλῷ οὖν μᾶλλον δικαιωθέντες νῦν ἐν τῷ αἵματι αὐτοῦ </w:t>
      </w:r>
      <w:r w:rsidRPr="009C568A">
        <w:rPr>
          <w:rFonts w:eastAsia="Times New Roman" w:cs="Times New Roman"/>
          <w:b/>
          <w:bCs/>
          <w:lang w:eastAsia="de-DE"/>
        </w:rPr>
        <w:t>σωθησόμεθα δι' αὐτοῦ ἀπὸ τῆς ὀργῆς</w:t>
      </w:r>
      <w:r w:rsidRPr="009C568A">
        <w:rPr>
          <w:rFonts w:eastAsia="Times New Roman" w:cs="Times New Roman"/>
          <w:lang w:eastAsia="de-DE"/>
        </w:rPr>
        <w:t>.</w:t>
      </w:r>
    </w:p>
    <w:p w14:paraId="36BD8A1F"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"Gott aber erweist seine Liebe zu uns darin, dass Christus </w:t>
      </w:r>
      <w:r w:rsidRPr="009C568A">
        <w:rPr>
          <w:rFonts w:eastAsia="Times New Roman" w:cs="Times New Roman"/>
          <w:b/>
          <w:bCs/>
          <w:lang w:eastAsia="de-DE"/>
        </w:rPr>
        <w:t>als wir noch Sünder waren</w:t>
      </w:r>
      <w:r w:rsidRPr="009C568A">
        <w:rPr>
          <w:rFonts w:eastAsia="Times New Roman" w:cs="Times New Roman"/>
          <w:lang w:eastAsia="de-DE"/>
        </w:rPr>
        <w:t xml:space="preserve">, für uns gestorben ist. Viel mehr nun werden wir, die wir jetzt durch sein Blut gerechtfertigt sind, </w:t>
      </w:r>
      <w:r w:rsidRPr="009C568A">
        <w:rPr>
          <w:rFonts w:eastAsia="Times New Roman" w:cs="Times New Roman"/>
          <w:b/>
          <w:bCs/>
          <w:lang w:eastAsia="de-DE"/>
        </w:rPr>
        <w:t>durch ihn gerettet werden vom Zorn</w:t>
      </w:r>
      <w:r w:rsidRPr="009C568A">
        <w:rPr>
          <w:rFonts w:eastAsia="Times New Roman" w:cs="Times New Roman"/>
          <w:lang w:eastAsia="de-DE"/>
        </w:rPr>
        <w:t>."</w:t>
      </w:r>
    </w:p>
    <w:p w14:paraId="20688A7A" w14:textId="4A036AD1" w:rsidR="009C568A" w:rsidRDefault="009C568A" w:rsidP="009C568A">
      <w:pPr>
        <w:spacing w:before="100" w:beforeAutospacing="1" w:after="100" w:afterAutospacing="1" w:line="240" w:lineRule="auto"/>
        <w:rPr>
          <w:rFonts w:eastAsia="Times New Roman" w:cs="Times New Roman"/>
          <w:b/>
          <w:bCs/>
          <w:lang w:eastAsia="de-DE"/>
        </w:rPr>
      </w:pPr>
      <w:r w:rsidRPr="009C568A">
        <w:rPr>
          <w:rFonts w:eastAsia="Times New Roman" w:cs="Times New Roman"/>
          <w:b/>
          <w:bCs/>
          <w:lang w:eastAsia="de-DE"/>
        </w:rPr>
        <w:t>Die Parallelen:</w:t>
      </w:r>
    </w:p>
    <w:tbl>
      <w:tblPr>
        <w:tblStyle w:val="Tabellenraster"/>
        <w:tblW w:w="4994" w:type="pct"/>
        <w:tblLook w:val="04A0" w:firstRow="1" w:lastRow="0" w:firstColumn="1" w:lastColumn="0" w:noHBand="0" w:noVBand="1"/>
      </w:tblPr>
      <w:tblGrid>
        <w:gridCol w:w="1270"/>
        <w:gridCol w:w="2837"/>
        <w:gridCol w:w="4944"/>
      </w:tblGrid>
      <w:tr w:rsidR="009C568A" w14:paraId="6871C499" w14:textId="77777777" w:rsidTr="009C568A">
        <w:tc>
          <w:tcPr>
            <w:tcW w:w="702" w:type="pct"/>
            <w:vAlign w:val="center"/>
          </w:tcPr>
          <w:p w14:paraId="2C4CF9A8" w14:textId="45621761"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Element</w:t>
            </w:r>
          </w:p>
        </w:tc>
        <w:tc>
          <w:tcPr>
            <w:tcW w:w="1567" w:type="pct"/>
            <w:vAlign w:val="center"/>
          </w:tcPr>
          <w:p w14:paraId="201275F4" w14:textId="5F27BB27"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Aaron</w:t>
            </w:r>
          </w:p>
        </w:tc>
        <w:tc>
          <w:tcPr>
            <w:tcW w:w="2731" w:type="pct"/>
            <w:vAlign w:val="center"/>
          </w:tcPr>
          <w:p w14:paraId="7F43D5E6" w14:textId="1243BBFC"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Christus</w:t>
            </w:r>
          </w:p>
        </w:tc>
      </w:tr>
      <w:tr w:rsidR="009C568A" w14:paraId="6C5864F7" w14:textId="77777777" w:rsidTr="009C568A">
        <w:tc>
          <w:tcPr>
            <w:tcW w:w="702" w:type="pct"/>
            <w:vAlign w:val="center"/>
          </w:tcPr>
          <w:p w14:paraId="6F901F16" w14:textId="7E2D3FE4"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Wer?</w:t>
            </w:r>
          </w:p>
        </w:tc>
        <w:tc>
          <w:tcPr>
            <w:tcW w:w="1567" w:type="pct"/>
            <w:vAlign w:val="center"/>
          </w:tcPr>
          <w:p w14:paraId="0705725A" w14:textId="28F8FB13"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Hoherpriester</w:t>
            </w:r>
          </w:p>
        </w:tc>
        <w:tc>
          <w:tcPr>
            <w:tcW w:w="2731" w:type="pct"/>
            <w:vAlign w:val="center"/>
          </w:tcPr>
          <w:p w14:paraId="770094C6" w14:textId="72C4DB72"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Großer Hoherpriester</w:t>
            </w:r>
            <w:r w:rsidRPr="009C568A">
              <w:rPr>
                <w:rFonts w:eastAsia="Times New Roman" w:cs="Times New Roman"/>
                <w:lang w:eastAsia="de-DE"/>
              </w:rPr>
              <w:t xml:space="preserve"> (Hebr 4,14)</w:t>
            </w:r>
          </w:p>
        </w:tc>
      </w:tr>
      <w:tr w:rsidR="009C568A" w14:paraId="082738C6" w14:textId="77777777" w:rsidTr="009C568A">
        <w:tc>
          <w:tcPr>
            <w:tcW w:w="702" w:type="pct"/>
            <w:vAlign w:val="center"/>
          </w:tcPr>
          <w:p w14:paraId="16264D72" w14:textId="6CBEF215"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Wo?</w:t>
            </w:r>
          </w:p>
        </w:tc>
        <w:tc>
          <w:tcPr>
            <w:tcW w:w="1567" w:type="pct"/>
            <w:vAlign w:val="center"/>
          </w:tcPr>
          <w:p w14:paraId="5675CFAD" w14:textId="745A13A6"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Mitten im Volk</w:t>
            </w:r>
          </w:p>
        </w:tc>
        <w:tc>
          <w:tcPr>
            <w:tcW w:w="2731" w:type="pct"/>
            <w:vAlign w:val="center"/>
          </w:tcPr>
          <w:p w14:paraId="00AD01B5" w14:textId="3EB0C99B"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Am Kreuz</w:t>
            </w:r>
            <w:r w:rsidRPr="009C568A">
              <w:rPr>
                <w:rFonts w:eastAsia="Times New Roman" w:cs="Times New Roman"/>
                <w:lang w:eastAsia="de-DE"/>
              </w:rPr>
              <w:t xml:space="preserve"> (zwischen Himmel und Erde)</w:t>
            </w:r>
          </w:p>
        </w:tc>
      </w:tr>
      <w:tr w:rsidR="009C568A" w14:paraId="4C744215" w14:textId="77777777" w:rsidTr="009C568A">
        <w:tc>
          <w:tcPr>
            <w:tcW w:w="702" w:type="pct"/>
            <w:vAlign w:val="center"/>
          </w:tcPr>
          <w:p w14:paraId="63B9CA5D" w14:textId="342B61D9"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Wann?</w:t>
            </w:r>
          </w:p>
        </w:tc>
        <w:tc>
          <w:tcPr>
            <w:tcW w:w="1567" w:type="pct"/>
            <w:vAlign w:val="center"/>
          </w:tcPr>
          <w:p w14:paraId="69952D3C" w14:textId="7F558D82"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Während</w:t>
            </w:r>
            <w:r w:rsidRPr="009C568A">
              <w:rPr>
                <w:rFonts w:eastAsia="Times New Roman" w:cs="Times New Roman"/>
                <w:lang w:eastAsia="de-DE"/>
              </w:rPr>
              <w:t xml:space="preserve"> die Plage wütet</w:t>
            </w:r>
          </w:p>
        </w:tc>
        <w:tc>
          <w:tcPr>
            <w:tcW w:w="2731" w:type="pct"/>
            <w:vAlign w:val="center"/>
          </w:tcPr>
          <w:p w14:paraId="1AF5380E" w14:textId="10229F9A"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Als</w:t>
            </w:r>
            <w:r w:rsidRPr="009C568A">
              <w:rPr>
                <w:rFonts w:eastAsia="Times New Roman" w:cs="Times New Roman"/>
                <w:lang w:eastAsia="de-DE"/>
              </w:rPr>
              <w:t xml:space="preserve"> wir noch Sünder waren (Röm 5,8)</w:t>
            </w:r>
          </w:p>
        </w:tc>
      </w:tr>
      <w:tr w:rsidR="009C568A" w14:paraId="53678FCB" w14:textId="77777777" w:rsidTr="009C568A">
        <w:tc>
          <w:tcPr>
            <w:tcW w:w="702" w:type="pct"/>
            <w:vAlign w:val="center"/>
          </w:tcPr>
          <w:p w14:paraId="23180708" w14:textId="6C4161A0"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Womit?</w:t>
            </w:r>
          </w:p>
        </w:tc>
        <w:tc>
          <w:tcPr>
            <w:tcW w:w="1567" w:type="pct"/>
            <w:vAlign w:val="center"/>
          </w:tcPr>
          <w:p w14:paraId="6BD28ADB" w14:textId="234B2413"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Räucherwerk</w:t>
            </w:r>
            <w:r w:rsidRPr="009C568A">
              <w:rPr>
                <w:rFonts w:eastAsia="Times New Roman" w:cs="Times New Roman"/>
                <w:lang w:eastAsia="de-DE"/>
              </w:rPr>
              <w:t xml:space="preserve"> (Gebet)</w:t>
            </w:r>
          </w:p>
        </w:tc>
        <w:tc>
          <w:tcPr>
            <w:tcW w:w="2731" w:type="pct"/>
            <w:vAlign w:val="center"/>
          </w:tcPr>
          <w:p w14:paraId="0725E24E" w14:textId="14B3A494"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Sein Blut</w:t>
            </w:r>
            <w:r w:rsidRPr="009C568A">
              <w:rPr>
                <w:rFonts w:eastAsia="Times New Roman" w:cs="Times New Roman"/>
                <w:lang w:eastAsia="de-DE"/>
              </w:rPr>
              <w:t xml:space="preserve"> (Hebr 9,12)</w:t>
            </w:r>
          </w:p>
        </w:tc>
      </w:tr>
      <w:tr w:rsidR="009C568A" w14:paraId="343A9E12" w14:textId="77777777" w:rsidTr="008F0FB7">
        <w:tc>
          <w:tcPr>
            <w:tcW w:w="702" w:type="pct"/>
            <w:vAlign w:val="center"/>
          </w:tcPr>
          <w:p w14:paraId="47044732" w14:textId="0B830745"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Warum?</w:t>
            </w:r>
          </w:p>
        </w:tc>
        <w:tc>
          <w:tcPr>
            <w:tcW w:w="1567" w:type="pct"/>
            <w:vAlign w:val="center"/>
          </w:tcPr>
          <w:p w14:paraId="0A2C2AF3" w14:textId="3CBAA98C"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Sühne</w:t>
            </w:r>
            <w:r w:rsidRPr="009C568A">
              <w:rPr>
                <w:rFonts w:eastAsia="Times New Roman" w:cs="Times New Roman"/>
                <w:lang w:eastAsia="de-DE"/>
              </w:rPr>
              <w:t xml:space="preserve"> (</w:t>
            </w:r>
            <w:r w:rsidRPr="009C568A">
              <w:rPr>
                <w:rFonts w:eastAsia="Times New Roman" w:cs="Times New Roman"/>
                <w:rtl/>
                <w:lang w:eastAsia="de-DE"/>
              </w:rPr>
              <w:t>כפר</w:t>
            </w:r>
            <w:r w:rsidRPr="009C568A">
              <w:rPr>
                <w:rFonts w:eastAsia="Times New Roman" w:cs="Times New Roman"/>
                <w:lang w:eastAsia="de-DE"/>
              </w:rPr>
              <w:t>)</w:t>
            </w:r>
          </w:p>
        </w:tc>
        <w:tc>
          <w:tcPr>
            <w:tcW w:w="2731" w:type="pct"/>
            <w:vAlign w:val="center"/>
          </w:tcPr>
          <w:p w14:paraId="5B786153" w14:textId="600744A3"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Sühnung</w:t>
            </w:r>
            <w:r w:rsidRPr="009C568A">
              <w:rPr>
                <w:rFonts w:eastAsia="Times New Roman" w:cs="Times New Roman"/>
                <w:lang w:eastAsia="de-DE"/>
              </w:rPr>
              <w:t xml:space="preserve"> (ἱλασμός, 1 Joh 2,2; 4,10)</w:t>
            </w:r>
          </w:p>
        </w:tc>
      </w:tr>
      <w:tr w:rsidR="009C568A" w14:paraId="78AFD3B6" w14:textId="77777777" w:rsidTr="004E687A">
        <w:tc>
          <w:tcPr>
            <w:tcW w:w="702" w:type="pct"/>
            <w:vAlign w:val="center"/>
          </w:tcPr>
          <w:p w14:paraId="47CEE81D" w14:textId="638F63C0"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Ergebnis?</w:t>
            </w:r>
          </w:p>
        </w:tc>
        <w:tc>
          <w:tcPr>
            <w:tcW w:w="1567" w:type="pct"/>
            <w:vAlign w:val="center"/>
          </w:tcPr>
          <w:p w14:paraId="67AB76A0" w14:textId="0EF2B949"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Tod </w:t>
            </w:r>
            <w:r w:rsidRPr="009C568A">
              <w:rPr>
                <w:rFonts w:eastAsia="Times New Roman" w:cs="Times New Roman"/>
                <w:b/>
                <w:bCs/>
                <w:lang w:eastAsia="de-DE"/>
              </w:rPr>
              <w:t>stoppt</w:t>
            </w:r>
          </w:p>
        </w:tc>
        <w:tc>
          <w:tcPr>
            <w:tcW w:w="2731" w:type="pct"/>
            <w:vAlign w:val="center"/>
          </w:tcPr>
          <w:p w14:paraId="37F2CD04" w14:textId="10BAD4A7" w:rsid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Zorn Gottes </w:t>
            </w:r>
            <w:r w:rsidRPr="009C568A">
              <w:rPr>
                <w:rFonts w:eastAsia="Times New Roman" w:cs="Times New Roman"/>
                <w:b/>
                <w:bCs/>
                <w:lang w:eastAsia="de-DE"/>
              </w:rPr>
              <w:t>gestillt</w:t>
            </w:r>
          </w:p>
        </w:tc>
      </w:tr>
    </w:tbl>
    <w:p w14:paraId="0D991C8B"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Fazit:</w:t>
      </w:r>
    </w:p>
    <w:p w14:paraId="45E8B46C"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Aaron in Num 17,13</w:t>
      </w:r>
      <w:r w:rsidRPr="009C568A">
        <w:rPr>
          <w:rFonts w:eastAsia="Times New Roman" w:cs="Times New Roman"/>
          <w:lang w:eastAsia="de-DE"/>
        </w:rPr>
        <w:t xml:space="preserve"> ist ein </w:t>
      </w:r>
      <w:r w:rsidRPr="009C568A">
        <w:rPr>
          <w:rFonts w:eastAsia="Times New Roman" w:cs="Times New Roman"/>
          <w:b/>
          <w:bCs/>
          <w:lang w:eastAsia="de-DE"/>
        </w:rPr>
        <w:t>Typus</w:t>
      </w:r>
      <w:r w:rsidRPr="009C568A">
        <w:rPr>
          <w:rFonts w:eastAsia="Times New Roman" w:cs="Times New Roman"/>
          <w:lang w:eastAsia="de-DE"/>
        </w:rPr>
        <w:t xml:space="preserve"> (Vorausbild) von </w:t>
      </w:r>
      <w:r w:rsidRPr="009C568A">
        <w:rPr>
          <w:rFonts w:eastAsia="Times New Roman" w:cs="Times New Roman"/>
          <w:b/>
          <w:bCs/>
          <w:lang w:eastAsia="de-DE"/>
        </w:rPr>
        <w:t>Christus</w:t>
      </w:r>
      <w:r w:rsidRPr="009C568A">
        <w:rPr>
          <w:rFonts w:eastAsia="Times New Roman" w:cs="Times New Roman"/>
          <w:lang w:eastAsia="de-DE"/>
        </w:rPr>
        <w:t>:</w:t>
      </w:r>
    </w:p>
    <w:p w14:paraId="0B5E685B" w14:textId="77777777" w:rsidR="009C568A" w:rsidRPr="009C568A" w:rsidRDefault="009C568A" w:rsidP="00B358B7">
      <w:pPr>
        <w:numPr>
          <w:ilvl w:val="0"/>
          <w:numId w:val="153"/>
        </w:numPr>
        <w:spacing w:before="100" w:beforeAutospacing="1" w:after="100" w:afterAutospacing="1" w:line="240" w:lineRule="auto"/>
        <w:rPr>
          <w:rFonts w:eastAsia="Times New Roman" w:cs="Times New Roman"/>
          <w:lang w:eastAsia="de-DE"/>
        </w:rPr>
      </w:pPr>
      <w:r w:rsidRPr="009C568A">
        <w:rPr>
          <w:rFonts w:ascii="Segoe UI Emoji" w:eastAsia="Times New Roman" w:hAnsi="Segoe UI Emoji" w:cs="Segoe UI Emoji"/>
          <w:lang w:eastAsia="de-DE"/>
        </w:rPr>
        <w:t>✅</w:t>
      </w:r>
      <w:r w:rsidRPr="009C568A">
        <w:rPr>
          <w:rFonts w:eastAsia="Times New Roman" w:cs="Times New Roman"/>
          <w:lang w:eastAsia="de-DE"/>
        </w:rPr>
        <w:t xml:space="preserve"> </w:t>
      </w:r>
      <w:r w:rsidRPr="009C568A">
        <w:rPr>
          <w:rFonts w:eastAsia="Times New Roman" w:cs="Times New Roman"/>
          <w:b/>
          <w:bCs/>
          <w:lang w:eastAsia="de-DE"/>
        </w:rPr>
        <w:t>Mittler</w:t>
      </w:r>
      <w:r w:rsidRPr="009C568A">
        <w:rPr>
          <w:rFonts w:eastAsia="Times New Roman" w:cs="Times New Roman"/>
          <w:lang w:eastAsia="de-DE"/>
        </w:rPr>
        <w:t xml:space="preserve"> zwischen Gott und Mensch</w:t>
      </w:r>
    </w:p>
    <w:p w14:paraId="3FD62BB9" w14:textId="77777777" w:rsidR="009C568A" w:rsidRPr="009C568A" w:rsidRDefault="009C568A" w:rsidP="00B358B7">
      <w:pPr>
        <w:numPr>
          <w:ilvl w:val="0"/>
          <w:numId w:val="153"/>
        </w:numPr>
        <w:spacing w:before="100" w:beforeAutospacing="1" w:after="100" w:afterAutospacing="1" w:line="240" w:lineRule="auto"/>
        <w:rPr>
          <w:rFonts w:eastAsia="Times New Roman" w:cs="Times New Roman"/>
          <w:lang w:eastAsia="de-DE"/>
        </w:rPr>
      </w:pPr>
      <w:r w:rsidRPr="009C568A">
        <w:rPr>
          <w:rFonts w:ascii="Segoe UI Emoji" w:eastAsia="Times New Roman" w:hAnsi="Segoe UI Emoji" w:cs="Segoe UI Emoji"/>
          <w:lang w:eastAsia="de-DE"/>
        </w:rPr>
        <w:t>✅</w:t>
      </w:r>
      <w:r w:rsidRPr="009C568A">
        <w:rPr>
          <w:rFonts w:eastAsia="Times New Roman" w:cs="Times New Roman"/>
          <w:lang w:eastAsia="de-DE"/>
        </w:rPr>
        <w:t xml:space="preserve"> </w:t>
      </w:r>
      <w:r w:rsidRPr="009C568A">
        <w:rPr>
          <w:rFonts w:eastAsia="Times New Roman" w:cs="Times New Roman"/>
          <w:b/>
          <w:bCs/>
          <w:lang w:eastAsia="de-DE"/>
        </w:rPr>
        <w:t>Rettet</w:t>
      </w:r>
      <w:r w:rsidRPr="009C568A">
        <w:rPr>
          <w:rFonts w:eastAsia="Times New Roman" w:cs="Times New Roman"/>
          <w:lang w:eastAsia="de-DE"/>
        </w:rPr>
        <w:t xml:space="preserve"> durch </w:t>
      </w:r>
      <w:r w:rsidRPr="009C568A">
        <w:rPr>
          <w:rFonts w:eastAsia="Times New Roman" w:cs="Times New Roman"/>
          <w:b/>
          <w:bCs/>
          <w:lang w:eastAsia="de-DE"/>
        </w:rPr>
        <w:t>Sühne</w:t>
      </w:r>
    </w:p>
    <w:p w14:paraId="165828AF" w14:textId="77777777" w:rsidR="009C568A" w:rsidRPr="009C568A" w:rsidRDefault="009C568A" w:rsidP="00B358B7">
      <w:pPr>
        <w:numPr>
          <w:ilvl w:val="0"/>
          <w:numId w:val="153"/>
        </w:numPr>
        <w:spacing w:before="100" w:beforeAutospacing="1" w:after="100" w:afterAutospacing="1" w:line="240" w:lineRule="auto"/>
        <w:rPr>
          <w:rFonts w:eastAsia="Times New Roman" w:cs="Times New Roman"/>
          <w:lang w:eastAsia="de-DE"/>
        </w:rPr>
      </w:pPr>
      <w:r w:rsidRPr="009C568A">
        <w:rPr>
          <w:rFonts w:ascii="Segoe UI Emoji" w:eastAsia="Times New Roman" w:hAnsi="Segoe UI Emoji" w:cs="Segoe UI Emoji"/>
          <w:lang w:eastAsia="de-DE"/>
        </w:rPr>
        <w:t>✅</w:t>
      </w:r>
      <w:r w:rsidRPr="009C568A">
        <w:rPr>
          <w:rFonts w:eastAsia="Times New Roman" w:cs="Times New Roman"/>
          <w:lang w:eastAsia="de-DE"/>
        </w:rPr>
        <w:t xml:space="preserve"> </w:t>
      </w:r>
      <w:r w:rsidRPr="009C568A">
        <w:rPr>
          <w:rFonts w:eastAsia="Times New Roman" w:cs="Times New Roman"/>
          <w:b/>
          <w:bCs/>
          <w:lang w:eastAsia="de-DE"/>
        </w:rPr>
        <w:t>Steht</w:t>
      </w:r>
      <w:r w:rsidRPr="009C568A">
        <w:rPr>
          <w:rFonts w:eastAsia="Times New Roman" w:cs="Times New Roman"/>
          <w:lang w:eastAsia="de-DE"/>
        </w:rPr>
        <w:t xml:space="preserve"> zwischen </w:t>
      </w:r>
      <w:r w:rsidRPr="009C568A">
        <w:rPr>
          <w:rFonts w:eastAsia="Times New Roman" w:cs="Times New Roman"/>
          <w:b/>
          <w:bCs/>
          <w:lang w:eastAsia="de-DE"/>
        </w:rPr>
        <w:t>Tod</w:t>
      </w:r>
      <w:r w:rsidRPr="009C568A">
        <w:rPr>
          <w:rFonts w:eastAsia="Times New Roman" w:cs="Times New Roman"/>
          <w:lang w:eastAsia="de-DE"/>
        </w:rPr>
        <w:t xml:space="preserve"> (Gericht) und </w:t>
      </w:r>
      <w:r w:rsidRPr="009C568A">
        <w:rPr>
          <w:rFonts w:eastAsia="Times New Roman" w:cs="Times New Roman"/>
          <w:b/>
          <w:bCs/>
          <w:lang w:eastAsia="de-DE"/>
        </w:rPr>
        <w:t>Leben</w:t>
      </w:r>
      <w:r w:rsidRPr="009C568A">
        <w:rPr>
          <w:rFonts w:eastAsia="Times New Roman" w:cs="Times New Roman"/>
          <w:lang w:eastAsia="de-DE"/>
        </w:rPr>
        <w:t xml:space="preserve"> (Gnade)</w:t>
      </w:r>
    </w:p>
    <w:p w14:paraId="4F1D7832" w14:textId="77777777" w:rsidR="009C568A" w:rsidRPr="009C568A" w:rsidRDefault="009C568A" w:rsidP="00B358B7">
      <w:pPr>
        <w:numPr>
          <w:ilvl w:val="0"/>
          <w:numId w:val="153"/>
        </w:numPr>
        <w:spacing w:before="100" w:beforeAutospacing="1" w:after="100" w:afterAutospacing="1" w:line="240" w:lineRule="auto"/>
        <w:rPr>
          <w:rFonts w:eastAsia="Times New Roman" w:cs="Times New Roman"/>
          <w:lang w:eastAsia="de-DE"/>
        </w:rPr>
      </w:pPr>
      <w:r w:rsidRPr="009C568A">
        <w:rPr>
          <w:rFonts w:ascii="Segoe UI Emoji" w:eastAsia="Times New Roman" w:hAnsi="Segoe UI Emoji" w:cs="Segoe UI Emoji"/>
          <w:lang w:eastAsia="de-DE"/>
        </w:rPr>
        <w:t>✅</w:t>
      </w:r>
      <w:r w:rsidRPr="009C568A">
        <w:rPr>
          <w:rFonts w:eastAsia="Times New Roman" w:cs="Times New Roman"/>
          <w:lang w:eastAsia="de-DE"/>
        </w:rPr>
        <w:t xml:space="preserve"> </w:t>
      </w:r>
      <w:r w:rsidRPr="009C568A">
        <w:rPr>
          <w:rFonts w:eastAsia="Times New Roman" w:cs="Times New Roman"/>
          <w:b/>
          <w:bCs/>
          <w:lang w:eastAsia="de-DE"/>
        </w:rPr>
        <w:t>Handelt</w:t>
      </w:r>
      <w:r w:rsidRPr="009C568A">
        <w:rPr>
          <w:rFonts w:eastAsia="Times New Roman" w:cs="Times New Roman"/>
          <w:lang w:eastAsia="de-DE"/>
        </w:rPr>
        <w:t xml:space="preserve">, während das </w:t>
      </w:r>
      <w:r w:rsidRPr="009C568A">
        <w:rPr>
          <w:rFonts w:eastAsia="Times New Roman" w:cs="Times New Roman"/>
          <w:b/>
          <w:bCs/>
          <w:lang w:eastAsia="de-DE"/>
        </w:rPr>
        <w:t>Gericht</w:t>
      </w:r>
      <w:r w:rsidRPr="009C568A">
        <w:rPr>
          <w:rFonts w:eastAsia="Times New Roman" w:cs="Times New Roman"/>
          <w:lang w:eastAsia="de-DE"/>
        </w:rPr>
        <w:t xml:space="preserve"> bereits </w:t>
      </w:r>
      <w:r w:rsidRPr="009C568A">
        <w:rPr>
          <w:rFonts w:eastAsia="Times New Roman" w:cs="Times New Roman"/>
          <w:b/>
          <w:bCs/>
          <w:lang w:eastAsia="de-DE"/>
        </w:rPr>
        <w:t>im Gang</w:t>
      </w:r>
      <w:r w:rsidRPr="009C568A">
        <w:rPr>
          <w:rFonts w:eastAsia="Times New Roman" w:cs="Times New Roman"/>
          <w:lang w:eastAsia="de-DE"/>
        </w:rPr>
        <w:t xml:space="preserve"> ist</w:t>
      </w:r>
    </w:p>
    <w:p w14:paraId="3898FFF7" w14:textId="77777777" w:rsidR="009C568A" w:rsidRPr="009C568A" w:rsidRDefault="009C568A" w:rsidP="009C568A">
      <w:pPr>
        <w:spacing w:before="100" w:beforeAutospacing="1" w:after="100" w:afterAutospacing="1" w:line="240" w:lineRule="auto"/>
        <w:rPr>
          <w:rFonts w:eastAsia="Times New Roman" w:cs="Times New Roman"/>
          <w:lang w:eastAsia="de-DE"/>
        </w:rPr>
      </w:pPr>
      <w:r w:rsidRPr="009C568A">
        <w:rPr>
          <w:rFonts w:eastAsia="Times New Roman" w:cs="Times New Roman"/>
          <w:b/>
          <w:bCs/>
          <w:lang w:eastAsia="de-DE"/>
        </w:rPr>
        <w:t>Aber Christus ist größer:</w:t>
      </w:r>
    </w:p>
    <w:p w14:paraId="60A06C7D" w14:textId="77777777" w:rsidR="009C568A" w:rsidRPr="009C568A" w:rsidRDefault="009C568A" w:rsidP="00B358B7">
      <w:pPr>
        <w:numPr>
          <w:ilvl w:val="0"/>
          <w:numId w:val="154"/>
        </w:num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Aaron rettete </w:t>
      </w:r>
      <w:r w:rsidRPr="009C568A">
        <w:rPr>
          <w:rFonts w:eastAsia="Times New Roman" w:cs="Times New Roman"/>
          <w:b/>
          <w:bCs/>
          <w:lang w:eastAsia="de-DE"/>
        </w:rPr>
        <w:t>14.700</w:t>
      </w:r>
      <w:r w:rsidRPr="009C568A">
        <w:rPr>
          <w:rFonts w:eastAsia="Times New Roman" w:cs="Times New Roman"/>
          <w:lang w:eastAsia="de-DE"/>
        </w:rPr>
        <w:t xml:space="preserve"> – Christus rettet </w:t>
      </w:r>
      <w:r w:rsidRPr="009C568A">
        <w:rPr>
          <w:rFonts w:eastAsia="Times New Roman" w:cs="Times New Roman"/>
          <w:b/>
          <w:bCs/>
          <w:lang w:eastAsia="de-DE"/>
        </w:rPr>
        <w:t>"jeden, der glaubt"</w:t>
      </w:r>
      <w:r w:rsidRPr="009C568A">
        <w:rPr>
          <w:rFonts w:eastAsia="Times New Roman" w:cs="Times New Roman"/>
          <w:lang w:eastAsia="de-DE"/>
        </w:rPr>
        <w:t xml:space="preserve"> (Joh 3,16)</w:t>
      </w:r>
    </w:p>
    <w:p w14:paraId="056ED560" w14:textId="77777777" w:rsidR="009C568A" w:rsidRPr="009C568A" w:rsidRDefault="009C568A" w:rsidP="00B358B7">
      <w:pPr>
        <w:numPr>
          <w:ilvl w:val="0"/>
          <w:numId w:val="154"/>
        </w:num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Aaron </w:t>
      </w:r>
      <w:r w:rsidRPr="009C568A">
        <w:rPr>
          <w:rFonts w:eastAsia="Times New Roman" w:cs="Times New Roman"/>
          <w:b/>
          <w:bCs/>
          <w:lang w:eastAsia="de-DE"/>
        </w:rPr>
        <w:t>starb</w:t>
      </w:r>
      <w:r w:rsidRPr="009C568A">
        <w:rPr>
          <w:rFonts w:eastAsia="Times New Roman" w:cs="Times New Roman"/>
          <w:lang w:eastAsia="de-DE"/>
        </w:rPr>
        <w:t xml:space="preserve"> später – Christus </w:t>
      </w:r>
      <w:r w:rsidRPr="009C568A">
        <w:rPr>
          <w:rFonts w:eastAsia="Times New Roman" w:cs="Times New Roman"/>
          <w:b/>
          <w:bCs/>
          <w:lang w:eastAsia="de-DE"/>
        </w:rPr>
        <w:t>lebt ewig</w:t>
      </w:r>
      <w:r w:rsidRPr="009C568A">
        <w:rPr>
          <w:rFonts w:eastAsia="Times New Roman" w:cs="Times New Roman"/>
          <w:lang w:eastAsia="de-DE"/>
        </w:rPr>
        <w:t xml:space="preserve"> (Hebr 7,25)</w:t>
      </w:r>
    </w:p>
    <w:p w14:paraId="07FC6ED0" w14:textId="77777777" w:rsidR="009C568A" w:rsidRPr="009C568A" w:rsidRDefault="009C568A" w:rsidP="00B358B7">
      <w:pPr>
        <w:numPr>
          <w:ilvl w:val="0"/>
          <w:numId w:val="154"/>
        </w:numPr>
        <w:spacing w:before="100" w:beforeAutospacing="1" w:after="100" w:afterAutospacing="1" w:line="240" w:lineRule="auto"/>
        <w:rPr>
          <w:rFonts w:eastAsia="Times New Roman" w:cs="Times New Roman"/>
          <w:lang w:eastAsia="de-DE"/>
        </w:rPr>
      </w:pPr>
      <w:r w:rsidRPr="009C568A">
        <w:rPr>
          <w:rFonts w:eastAsia="Times New Roman" w:cs="Times New Roman"/>
          <w:lang w:eastAsia="de-DE"/>
        </w:rPr>
        <w:t xml:space="preserve">Aaron opferte </w:t>
      </w:r>
      <w:r w:rsidRPr="009C568A">
        <w:rPr>
          <w:rFonts w:eastAsia="Times New Roman" w:cs="Times New Roman"/>
          <w:b/>
          <w:bCs/>
          <w:lang w:eastAsia="de-DE"/>
        </w:rPr>
        <w:t>Räucherwerk</w:t>
      </w:r>
      <w:r w:rsidRPr="009C568A">
        <w:rPr>
          <w:rFonts w:eastAsia="Times New Roman" w:cs="Times New Roman"/>
          <w:lang w:eastAsia="de-DE"/>
        </w:rPr>
        <w:t xml:space="preserve"> – Christus opferte </w:t>
      </w:r>
      <w:r w:rsidRPr="009C568A">
        <w:rPr>
          <w:rFonts w:eastAsia="Times New Roman" w:cs="Times New Roman"/>
          <w:b/>
          <w:bCs/>
          <w:lang w:eastAsia="de-DE"/>
        </w:rPr>
        <w:t>sich selbst</w:t>
      </w:r>
      <w:r w:rsidRPr="009C568A">
        <w:rPr>
          <w:rFonts w:eastAsia="Times New Roman" w:cs="Times New Roman"/>
          <w:lang w:eastAsia="de-DE"/>
        </w:rPr>
        <w:t xml:space="preserve"> (Hebr 7,27)</w:t>
      </w:r>
    </w:p>
    <w:p w14:paraId="10A8E8D4" w14:textId="77777777" w:rsidR="009C568A" w:rsidRPr="00240935" w:rsidRDefault="009C568A" w:rsidP="00240935">
      <w:pPr>
        <w:spacing w:before="100" w:beforeAutospacing="1" w:after="100" w:afterAutospacing="1" w:line="240" w:lineRule="auto"/>
        <w:rPr>
          <w:rFonts w:eastAsia="Times New Roman" w:cs="Times New Roman"/>
          <w:lang w:eastAsia="de-DE"/>
        </w:rPr>
      </w:pPr>
    </w:p>
    <w:p w14:paraId="5FC8D4BA"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17,14</w:t>
      </w:r>
    </w:p>
    <w:p w14:paraId="3695CECB"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וַיִּהְי֗וּ הַמֵּתִים֙ בַּמַּגֵּפָ֔ה אַרְבָּעָ֥ה עָשָׂ֛ר אֶ֖לֶף וּשְׁבַ֣ע מֵא֑וֹת מִלְּבַ֥ד הַמֵּתִ֖ים עַל־דְּבַר־קֹֽרַח׃</w:t>
      </w:r>
    </w:p>
    <w:p w14:paraId="2C2B2447"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es waren die durch die Plage Gestorbenen 14.700, außer denen, die Korachs wegen gestorben waren.</w:t>
      </w:r>
    </w:p>
    <w:p w14:paraId="0E1B8C2A"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3C69C7D5">
          <v:rect id="_x0000_i1587" style="width:0;height:1.5pt" o:hralign="center" o:hrstd="t" o:hr="t" fillcolor="#a0a0a0" stroked="f"/>
        </w:pict>
      </w:r>
    </w:p>
    <w:p w14:paraId="51DCEEF7"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Das Verb </w:t>
      </w:r>
      <w:r w:rsidRPr="00240935">
        <w:rPr>
          <w:rFonts w:eastAsia="Times New Roman" w:cs="Times New Roman"/>
          <w:b/>
          <w:bCs/>
          <w:rtl/>
          <w:lang w:eastAsia="de-DE"/>
        </w:rPr>
        <w:t>וַיִּהְיוּ</w:t>
      </w:r>
      <w:r w:rsidRPr="00240935">
        <w:rPr>
          <w:rFonts w:eastAsia="Times New Roman" w:cs="Times New Roman"/>
          <w:rtl/>
          <w:lang w:eastAsia="de-DE"/>
        </w:rPr>
        <w:t xml:space="preserve"> </w:t>
      </w:r>
      <w:r w:rsidRPr="00240935">
        <w:rPr>
          <w:rFonts w:eastAsia="Times New Roman" w:cs="Times New Roman"/>
          <w:lang w:eastAsia="de-DE"/>
        </w:rPr>
        <w:t xml:space="preserve">(Wayyiqtol, 3. m. pl. von </w:t>
      </w:r>
      <w:r w:rsidRPr="00240935">
        <w:rPr>
          <w:rFonts w:eastAsia="Times New Roman" w:cs="Times New Roman"/>
          <w:b/>
          <w:bCs/>
          <w:rtl/>
          <w:lang w:eastAsia="de-DE"/>
        </w:rPr>
        <w:t>היה</w:t>
      </w:r>
      <w:r w:rsidRPr="00240935">
        <w:rPr>
          <w:rFonts w:eastAsia="Times New Roman" w:cs="Times New Roman"/>
          <w:lang w:eastAsia="de-DE"/>
        </w:rPr>
        <w:t xml:space="preserve">) bedeutet „und sie waren". Das Subjekt </w:t>
      </w:r>
      <w:r w:rsidRPr="00240935">
        <w:rPr>
          <w:rFonts w:eastAsia="Times New Roman" w:cs="Times New Roman"/>
          <w:b/>
          <w:bCs/>
          <w:rtl/>
          <w:lang w:eastAsia="de-DE"/>
        </w:rPr>
        <w:t>הַמֵּתִים</w:t>
      </w:r>
      <w:r w:rsidRPr="00240935">
        <w:rPr>
          <w:rFonts w:eastAsia="Times New Roman" w:cs="Times New Roman"/>
          <w:rtl/>
          <w:lang w:eastAsia="de-DE"/>
        </w:rPr>
        <w:t xml:space="preserve"> </w:t>
      </w:r>
      <w:r w:rsidRPr="00240935">
        <w:rPr>
          <w:rFonts w:eastAsia="Times New Roman" w:cs="Times New Roman"/>
          <w:lang w:eastAsia="de-DE"/>
        </w:rPr>
        <w:t xml:space="preserve">ist „die Toten". Die Präposition </w:t>
      </w:r>
      <w:r w:rsidRPr="00240935">
        <w:rPr>
          <w:rFonts w:eastAsia="Times New Roman" w:cs="Times New Roman"/>
          <w:b/>
          <w:bCs/>
          <w:rtl/>
          <w:lang w:eastAsia="de-DE"/>
        </w:rPr>
        <w:t>בַּמַּגֵּפָה</w:t>
      </w:r>
      <w:r w:rsidRPr="00240935">
        <w:rPr>
          <w:rFonts w:eastAsia="Times New Roman" w:cs="Times New Roman"/>
          <w:rtl/>
          <w:lang w:eastAsia="de-DE"/>
        </w:rPr>
        <w:t xml:space="preserve"> </w:t>
      </w:r>
      <w:r w:rsidRPr="00240935">
        <w:rPr>
          <w:rFonts w:eastAsia="Times New Roman" w:cs="Times New Roman"/>
          <w:lang w:eastAsia="de-DE"/>
        </w:rPr>
        <w:t xml:space="preserve">(„durch die Plage") gibt die Todesursache an. Die Zahlenangabe </w:t>
      </w:r>
      <w:r w:rsidRPr="00240935">
        <w:rPr>
          <w:rFonts w:eastAsia="Times New Roman" w:cs="Times New Roman"/>
          <w:b/>
          <w:bCs/>
          <w:rtl/>
          <w:lang w:eastAsia="de-DE"/>
        </w:rPr>
        <w:t>אַרְבָּעָה עָשָׂר אֶלֶף וּשְׁבַע מֵאוֹת</w:t>
      </w:r>
      <w:r w:rsidRPr="00240935">
        <w:rPr>
          <w:rFonts w:eastAsia="Times New Roman" w:cs="Times New Roman"/>
          <w:rtl/>
          <w:lang w:eastAsia="de-DE"/>
        </w:rPr>
        <w:t xml:space="preserve"> </w:t>
      </w:r>
      <w:r w:rsidRPr="00240935">
        <w:rPr>
          <w:rFonts w:eastAsia="Times New Roman" w:cs="Times New Roman"/>
          <w:lang w:eastAsia="de-DE"/>
        </w:rPr>
        <w:t xml:space="preserve">ist „vierzehn Tausend und siebenhundert" – insgesamt 14.700 Tote. Die Präposition </w:t>
      </w:r>
      <w:r w:rsidRPr="00240935">
        <w:rPr>
          <w:rFonts w:eastAsia="Times New Roman" w:cs="Times New Roman"/>
          <w:b/>
          <w:bCs/>
          <w:rtl/>
          <w:lang w:eastAsia="de-DE"/>
        </w:rPr>
        <w:t>מִלְּבַד</w:t>
      </w:r>
      <w:r w:rsidRPr="00240935">
        <w:rPr>
          <w:rFonts w:eastAsia="Times New Roman" w:cs="Times New Roman"/>
          <w:rtl/>
          <w:lang w:eastAsia="de-DE"/>
        </w:rPr>
        <w:t xml:space="preserve"> </w:t>
      </w:r>
      <w:r w:rsidRPr="00240935">
        <w:rPr>
          <w:rFonts w:eastAsia="Times New Roman" w:cs="Times New Roman"/>
          <w:lang w:eastAsia="de-DE"/>
        </w:rPr>
        <w:t xml:space="preserve">(„außer, abgesehen von") leitet eine Ausnahme ein. </w:t>
      </w:r>
      <w:r w:rsidRPr="00240935">
        <w:rPr>
          <w:rFonts w:eastAsia="Times New Roman" w:cs="Times New Roman"/>
          <w:b/>
          <w:bCs/>
          <w:rtl/>
          <w:lang w:eastAsia="de-DE"/>
        </w:rPr>
        <w:t>הַמֵּתִים עַל־דְּבַר־קֹרַח</w:t>
      </w:r>
      <w:r w:rsidRPr="00240935">
        <w:rPr>
          <w:rFonts w:eastAsia="Times New Roman" w:cs="Times New Roman"/>
          <w:rtl/>
          <w:lang w:eastAsia="de-DE"/>
        </w:rPr>
        <w:t xml:space="preserve"> </w:t>
      </w:r>
      <w:r w:rsidRPr="00240935">
        <w:rPr>
          <w:rFonts w:eastAsia="Times New Roman" w:cs="Times New Roman"/>
          <w:lang w:eastAsia="de-DE"/>
        </w:rPr>
        <w:t>bedeutet „die Toten wegen der Sache Korachs" (</w:t>
      </w:r>
      <w:r w:rsidRPr="00240935">
        <w:rPr>
          <w:rFonts w:eastAsia="Times New Roman" w:cs="Times New Roman"/>
          <w:b/>
          <w:bCs/>
          <w:rtl/>
          <w:lang w:eastAsia="de-DE"/>
        </w:rPr>
        <w:t>דָּבָר</w:t>
      </w:r>
      <w:r w:rsidRPr="00240935">
        <w:rPr>
          <w:rFonts w:eastAsia="Times New Roman" w:cs="Times New Roman"/>
          <w:rtl/>
          <w:lang w:eastAsia="de-DE"/>
        </w:rPr>
        <w:t xml:space="preserve"> </w:t>
      </w:r>
      <w:r w:rsidRPr="00240935">
        <w:rPr>
          <w:rFonts w:eastAsia="Times New Roman" w:cs="Times New Roman"/>
          <w:lang w:eastAsia="de-DE"/>
        </w:rPr>
        <w:t xml:space="preserve">„Sache, Angelegenheit" im Constructus vor </w:t>
      </w:r>
      <w:r w:rsidRPr="00240935">
        <w:rPr>
          <w:rFonts w:eastAsia="Times New Roman" w:cs="Times New Roman"/>
          <w:b/>
          <w:bCs/>
          <w:rtl/>
          <w:lang w:eastAsia="de-DE"/>
        </w:rPr>
        <w:t>קֹרַח</w:t>
      </w:r>
      <w:r w:rsidRPr="00240935">
        <w:rPr>
          <w:rFonts w:eastAsia="Times New Roman" w:cs="Times New Roman"/>
          <w:lang w:eastAsia="de-DE"/>
        </w:rPr>
        <w:t>) – also die 250 Männer plus Datan, Aviram und ihre Familien aus Kapitel 16.</w:t>
      </w:r>
    </w:p>
    <w:p w14:paraId="23C84D0E" w14:textId="7B9D009C"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w:t>
      </w:r>
      <w:r w:rsidRPr="00240935">
        <w:rPr>
          <w:rFonts w:eastAsia="Times New Roman" w:cs="Times New Roman"/>
          <w:b/>
          <w:bCs/>
          <w:rtl/>
          <w:lang w:eastAsia="de-DE"/>
        </w:rPr>
        <w:t>וַיִּהְיוּ הַמֵּתִים בַּמַּגֵּפָה</w:t>
      </w:r>
      <w:r w:rsidRPr="00240935">
        <w:rPr>
          <w:rFonts w:eastAsia="Times New Roman" w:cs="Times New Roman"/>
          <w:rtl/>
          <w:lang w:eastAsia="de-DE"/>
        </w:rPr>
        <w:t xml:space="preserve"> </w:t>
      </w:r>
      <w:r w:rsidRPr="00240935">
        <w:rPr>
          <w:rFonts w:eastAsia="Times New Roman" w:cs="Times New Roman"/>
          <w:lang w:eastAsia="de-DE"/>
        </w:rPr>
        <w:t xml:space="preserve">mit καὶ ἐγένοντο οἱ τεθνηκότες ἐν τῇ πληγῇ. Die Zahlenangabe wird mit τεσσαρεσκαίδεκα χιλιάδες καὶ ἑπτακόσιοι wiedergegeben. </w:t>
      </w:r>
      <w:r w:rsidRPr="00240935">
        <w:rPr>
          <w:rFonts w:eastAsia="Times New Roman" w:cs="Times New Roman"/>
          <w:b/>
          <w:bCs/>
          <w:rtl/>
          <w:lang w:eastAsia="de-DE"/>
        </w:rPr>
        <w:t>מִלְּבַד הַמֵּתִים עַל־דְּבַר־קֹרַח</w:t>
      </w:r>
      <w:r w:rsidRPr="00240935">
        <w:rPr>
          <w:rFonts w:eastAsia="Times New Roman" w:cs="Times New Roman"/>
          <w:rtl/>
          <w:lang w:eastAsia="de-DE"/>
        </w:rPr>
        <w:t xml:space="preserve"> </w:t>
      </w:r>
      <w:r w:rsidRPr="00240935">
        <w:rPr>
          <w:rFonts w:eastAsia="Times New Roman" w:cs="Times New Roman"/>
          <w:lang w:eastAsia="de-DE"/>
        </w:rPr>
        <w:t>wird mit χωρὶς τῶν τεθνηκότων ἕνεκεν Κορε („außer denen, die wegen Kore gestorben waren") übersetzt.</w:t>
      </w:r>
    </w:p>
    <w:p w14:paraId="5640C4F6"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einen Hauptsatz mit Verb, Subjekt, präpositionaler Bestimmung, Zahlenangabe und einer weiteren präpositionalen Ausnahmebestimmung.</w:t>
      </w:r>
    </w:p>
    <w:p w14:paraId="0DD0F806"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Der Vers gibt die erschreckende Bilanz: Fast 15.000 Menschen starben durch die Plage – zusätzlich zu den Opfern des ersten Gerichts.</w:t>
      </w:r>
    </w:p>
    <w:p w14:paraId="24C7ABD0"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17,15</w:t>
      </w:r>
    </w:p>
    <w:p w14:paraId="1B1715CB"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וַיָּ֤שָׁב אַהֲרֹן֙ אֶל־מֹשֶׁ֔ה אֶל־פֶּ֖תַח אֹ֣הֶל מוֹעֵ֑ד וְהַמַּגֵּפָ֖ה נֶעֱצָֽרָה׃</w:t>
      </w:r>
    </w:p>
    <w:p w14:paraId="5FABCE4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Aharon kam zurück zu Mosche an den Eingang des Zeltes der Begegnung, als der Plage Einhalt getan war.</w:t>
      </w:r>
    </w:p>
    <w:p w14:paraId="5D168410"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4123F9F7">
          <v:rect id="_x0000_i1588" style="width:0;height:1.5pt" o:hralign="center" o:hrstd="t" o:hr="t" fillcolor="#a0a0a0" stroked="f"/>
        </w:pict>
      </w:r>
    </w:p>
    <w:p w14:paraId="43D55213" w14:textId="53F0D2A2"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Das Verb </w:t>
      </w:r>
      <w:r w:rsidRPr="00240935">
        <w:rPr>
          <w:rFonts w:eastAsia="Times New Roman" w:cs="Times New Roman"/>
          <w:b/>
          <w:bCs/>
          <w:rtl/>
          <w:lang w:eastAsia="de-DE"/>
        </w:rPr>
        <w:t>וַיָּשָׁב</w:t>
      </w:r>
      <w:r w:rsidRPr="00240935">
        <w:rPr>
          <w:rFonts w:eastAsia="Times New Roman" w:cs="Times New Roman"/>
          <w:rtl/>
          <w:lang w:eastAsia="de-DE"/>
        </w:rPr>
        <w:t xml:space="preserve"> </w:t>
      </w:r>
      <w:r w:rsidRPr="00240935">
        <w:rPr>
          <w:rFonts w:eastAsia="Times New Roman" w:cs="Times New Roman"/>
          <w:lang w:eastAsia="de-DE"/>
        </w:rPr>
        <w:t xml:space="preserve">(Wayyiqtol, 3. m. sg. von </w:t>
      </w:r>
      <w:r w:rsidRPr="00240935">
        <w:rPr>
          <w:rFonts w:eastAsia="Times New Roman" w:cs="Times New Roman"/>
          <w:b/>
          <w:bCs/>
          <w:rtl/>
          <w:lang w:eastAsia="de-DE"/>
        </w:rPr>
        <w:t>שׁוב</w:t>
      </w:r>
      <w:r w:rsidRPr="00240935">
        <w:rPr>
          <w:rFonts w:eastAsia="Times New Roman" w:cs="Times New Roman"/>
          <w:lang w:eastAsia="de-DE"/>
        </w:rPr>
        <w:t xml:space="preserve">) bedeutet „und er kehrte zurück". </w:t>
      </w:r>
      <w:r w:rsidRPr="00240935">
        <w:rPr>
          <w:rFonts w:eastAsia="Times New Roman" w:cs="Times New Roman"/>
          <w:b/>
          <w:bCs/>
          <w:rtl/>
          <w:lang w:eastAsia="de-DE"/>
        </w:rPr>
        <w:t>אַהֲרֹן</w:t>
      </w:r>
      <w:r w:rsidRPr="00240935">
        <w:rPr>
          <w:rFonts w:eastAsia="Times New Roman" w:cs="Times New Roman"/>
          <w:rtl/>
          <w:lang w:eastAsia="de-DE"/>
        </w:rPr>
        <w:t xml:space="preserve"> </w:t>
      </w:r>
      <w:r w:rsidRPr="00240935">
        <w:rPr>
          <w:rFonts w:eastAsia="Times New Roman" w:cs="Times New Roman"/>
          <w:lang w:eastAsia="de-DE"/>
        </w:rPr>
        <w:t xml:space="preserve">ist das Subjekt. Die doppelte Präposition </w:t>
      </w:r>
      <w:r w:rsidRPr="00240935">
        <w:rPr>
          <w:rFonts w:eastAsia="Times New Roman" w:cs="Times New Roman"/>
          <w:b/>
          <w:bCs/>
          <w:rtl/>
          <w:lang w:eastAsia="de-DE"/>
        </w:rPr>
        <w:t>אֶל־מֹשֶׁה אֶל־פֶּתַח אֹהֶל מוֹעֵד</w:t>
      </w:r>
      <w:r w:rsidRPr="00240935">
        <w:rPr>
          <w:rFonts w:eastAsia="Times New Roman" w:cs="Times New Roman"/>
          <w:rtl/>
          <w:lang w:eastAsia="de-DE"/>
        </w:rPr>
        <w:t xml:space="preserve"> </w:t>
      </w:r>
      <w:r w:rsidRPr="00240935">
        <w:rPr>
          <w:rFonts w:eastAsia="Times New Roman" w:cs="Times New Roman"/>
          <w:lang w:eastAsia="de-DE"/>
        </w:rPr>
        <w:t xml:space="preserve">gibt das Ziel an: „zu Mose, zum Eingang des Zeltes der Begegnung". Die temporale Phrase </w:t>
      </w:r>
      <w:r w:rsidRPr="00240935">
        <w:rPr>
          <w:rFonts w:eastAsia="Times New Roman" w:cs="Times New Roman"/>
          <w:b/>
          <w:bCs/>
          <w:rtl/>
          <w:lang w:eastAsia="de-DE"/>
        </w:rPr>
        <w:t>וְהַמַּגֵּפָה נֶעֱצָרָה</w:t>
      </w:r>
      <w:r w:rsidRPr="00240935">
        <w:rPr>
          <w:rFonts w:eastAsia="Times New Roman" w:cs="Times New Roman"/>
          <w:rtl/>
          <w:lang w:eastAsia="de-DE"/>
        </w:rPr>
        <w:t xml:space="preserve"> </w:t>
      </w:r>
      <w:r w:rsidRPr="00240935">
        <w:rPr>
          <w:rFonts w:eastAsia="Times New Roman" w:cs="Times New Roman"/>
          <w:lang w:eastAsia="de-DE"/>
        </w:rPr>
        <w:t xml:space="preserve">besteht aus der Konjunktion </w:t>
      </w:r>
      <w:r w:rsidRPr="00240935">
        <w:rPr>
          <w:rFonts w:eastAsia="Times New Roman" w:cs="Times New Roman"/>
          <w:b/>
          <w:bCs/>
          <w:rtl/>
          <w:lang w:eastAsia="de-DE"/>
        </w:rPr>
        <w:t>וְ</w:t>
      </w:r>
      <w:r w:rsidRPr="00240935">
        <w:rPr>
          <w:rFonts w:eastAsia="Times New Roman" w:cs="Times New Roman"/>
          <w:lang w:eastAsia="de-DE"/>
        </w:rPr>
        <w:t xml:space="preserve">, dem Subjekt </w:t>
      </w:r>
      <w:r w:rsidRPr="00240935">
        <w:rPr>
          <w:rFonts w:eastAsia="Times New Roman" w:cs="Times New Roman"/>
          <w:b/>
          <w:bCs/>
          <w:rtl/>
          <w:lang w:eastAsia="de-DE"/>
        </w:rPr>
        <w:t>הַמַּגֵּפָה</w:t>
      </w:r>
      <w:r w:rsidRPr="00240935">
        <w:rPr>
          <w:rFonts w:eastAsia="Times New Roman" w:cs="Times New Roman"/>
          <w:rtl/>
          <w:lang w:eastAsia="de-DE"/>
        </w:rPr>
        <w:t xml:space="preserve"> </w:t>
      </w:r>
      <w:r w:rsidRPr="00240935">
        <w:rPr>
          <w:rFonts w:eastAsia="Times New Roman" w:cs="Times New Roman"/>
          <w:lang w:eastAsia="de-DE"/>
        </w:rPr>
        <w:t xml:space="preserve">und dem Verb </w:t>
      </w:r>
      <w:r w:rsidRPr="00240935">
        <w:rPr>
          <w:rFonts w:eastAsia="Times New Roman" w:cs="Times New Roman"/>
          <w:b/>
          <w:bCs/>
          <w:rtl/>
          <w:lang w:eastAsia="de-DE"/>
        </w:rPr>
        <w:t>נֶעֱצָרָה</w:t>
      </w:r>
      <w:r w:rsidRPr="00240935">
        <w:rPr>
          <w:rFonts w:eastAsia="Times New Roman" w:cs="Times New Roman"/>
          <w:rtl/>
          <w:lang w:eastAsia="de-DE"/>
        </w:rPr>
        <w:t xml:space="preserve"> </w:t>
      </w:r>
      <w:r w:rsidRPr="00240935">
        <w:rPr>
          <w:rFonts w:eastAsia="Times New Roman" w:cs="Times New Roman"/>
          <w:lang w:eastAsia="de-DE"/>
        </w:rPr>
        <w:t xml:space="preserve">(Nifal Perfekt, 3. f. sg. von </w:t>
      </w:r>
      <w:r w:rsidRPr="00240935">
        <w:rPr>
          <w:rFonts w:eastAsia="Times New Roman" w:cs="Times New Roman"/>
          <w:b/>
          <w:bCs/>
          <w:rtl/>
          <w:lang w:eastAsia="de-DE"/>
        </w:rPr>
        <w:t>עצר</w:t>
      </w:r>
      <w:r w:rsidRPr="00240935">
        <w:rPr>
          <w:rFonts w:eastAsia="Times New Roman" w:cs="Times New Roman"/>
          <w:lang w:eastAsia="de-DE"/>
        </w:rPr>
        <w:t xml:space="preserve">, „wurde aufgehalten"). Die </w:t>
      </w:r>
      <w:r w:rsidR="00F133EC">
        <w:rPr>
          <w:rFonts w:eastAsia="Times New Roman" w:cs="Times New Roman"/>
          <w:lang w:eastAsia="de-DE"/>
        </w:rPr>
        <w:t>Construct</w:t>
      </w:r>
      <w:r w:rsidRPr="00240935">
        <w:rPr>
          <w:rFonts w:eastAsia="Times New Roman" w:cs="Times New Roman"/>
          <w:lang w:eastAsia="de-DE"/>
        </w:rPr>
        <w:t>ion drückt einen Zustand aus: „während/als die Plage aufgehört hatte".</w:t>
      </w:r>
    </w:p>
    <w:p w14:paraId="69BA6AD5" w14:textId="2C280B23"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lastRenderedPageBreak/>
        <w:t>Die LXX</w:t>
      </w:r>
      <w:r w:rsidRPr="00240935">
        <w:rPr>
          <w:rFonts w:eastAsia="Times New Roman" w:cs="Times New Roman"/>
          <w:lang w:eastAsia="de-DE"/>
        </w:rPr>
        <w:t xml:space="preserve"> übersetzt </w:t>
      </w:r>
      <w:r w:rsidRPr="00240935">
        <w:rPr>
          <w:rFonts w:eastAsia="Times New Roman" w:cs="Times New Roman"/>
          <w:b/>
          <w:bCs/>
          <w:rtl/>
          <w:lang w:eastAsia="de-DE"/>
        </w:rPr>
        <w:t>וַיָּשָׁב אַהֲרֹן אֶל־מֹשֶׁה אֶל־פֶּתַח אֹהֶל מוֹעֵד</w:t>
      </w:r>
      <w:r w:rsidRPr="00240935">
        <w:rPr>
          <w:rFonts w:eastAsia="Times New Roman" w:cs="Times New Roman"/>
          <w:rtl/>
          <w:lang w:eastAsia="de-DE"/>
        </w:rPr>
        <w:t xml:space="preserve"> </w:t>
      </w:r>
      <w:r w:rsidRPr="00240935">
        <w:rPr>
          <w:rFonts w:eastAsia="Times New Roman" w:cs="Times New Roman"/>
          <w:lang w:eastAsia="de-DE"/>
        </w:rPr>
        <w:t xml:space="preserve">mit καὶ ἐπέστρεψεν Ααρων πρὸς Μωυσῆν ἐπὶ τὴν θύραν τῆς σκηνῆς τοῦ μαρτυρίου. </w:t>
      </w:r>
      <w:r w:rsidRPr="00240935">
        <w:rPr>
          <w:rFonts w:eastAsia="Times New Roman" w:cs="Times New Roman"/>
          <w:b/>
          <w:bCs/>
          <w:rtl/>
          <w:lang w:eastAsia="de-DE"/>
        </w:rPr>
        <w:t>וְהַמַּגֵּפָה נֶעֱצָרָה</w:t>
      </w:r>
      <w:r w:rsidRPr="00240935">
        <w:rPr>
          <w:rFonts w:eastAsia="Times New Roman" w:cs="Times New Roman"/>
          <w:rtl/>
          <w:lang w:eastAsia="de-DE"/>
        </w:rPr>
        <w:t xml:space="preserve"> </w:t>
      </w:r>
      <w:r w:rsidRPr="00240935">
        <w:rPr>
          <w:rFonts w:eastAsia="Times New Roman" w:cs="Times New Roman"/>
          <w:lang w:eastAsia="de-DE"/>
        </w:rPr>
        <w:t>wird mit καὶ ἡ πληγὴ ἐκόπασεν („und die Plage hatte aufgehört") wiedergegeben.</w:t>
      </w:r>
    </w:p>
    <w:p w14:paraId="2FA1559B"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Die Satzstruktur zeigt zwei koordinierte Hauptsätze: Der erste mit Verb, Subjekt und doppelter Präpositionalphrase; der zweite mit Subjekt und Verb (Zustandsbeschreibung).</w:t>
      </w:r>
    </w:p>
    <w:p w14:paraId="5B5DE82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t>Der Vers schließt die dramatische Episode ab: Aaron kehrt zurück, nachdem seine Sühnhandlung erfolgreich war.</w:t>
      </w:r>
    </w:p>
    <w:p w14:paraId="3CA13ADA"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17,16</w:t>
      </w:r>
    </w:p>
    <w:p w14:paraId="105B86A1"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וַיְדַבֵּ֥ר יְהוָ֖ה אֶל־מֹשֶׁ֥ה לֵּאמֹֽר׃</w:t>
      </w:r>
    </w:p>
    <w:p w14:paraId="22488244" w14:textId="6FD93160" w:rsid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Und der Ewige redete zu Mosche, sagend:</w:t>
      </w:r>
    </w:p>
    <w:p w14:paraId="7A4831CC" w14:textId="63AA977E" w:rsidR="000039C6" w:rsidRPr="00240935" w:rsidRDefault="000039C6" w:rsidP="00240935">
      <w:pPr>
        <w:spacing w:before="100" w:beforeAutospacing="1" w:after="100" w:afterAutospacing="1" w:line="240" w:lineRule="auto"/>
        <w:rPr>
          <w:rFonts w:eastAsia="Times New Roman" w:cs="Times New Roman"/>
          <w:lang w:eastAsia="de-DE"/>
        </w:rPr>
      </w:pPr>
      <w:r>
        <w:rPr>
          <w:rStyle w:val="Fett"/>
        </w:rPr>
        <w:t>Vers 16 (MT) / Vers 1 (LXX):</w:t>
      </w:r>
      <w:r>
        <w:t xml:space="preserve"> </w:t>
      </w:r>
      <w:r>
        <w:rPr>
          <w:rStyle w:val="Fett"/>
        </w:rPr>
        <w:t>Die LXX</w:t>
      </w:r>
      <w:r>
        <w:t xml:space="preserve"> nummeriert diesen Vers als 17,1, während er im MT 17,16 ist - eine Differenz von 15 Versen aufgrund der unterschiedlichen Kapiteleinteilung.</w:t>
      </w:r>
    </w:p>
    <w:p w14:paraId="52BA31E2"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1C394C6E">
          <v:rect id="_x0000_i1589" style="width:0;height:1.5pt" o:hralign="center" o:hrstd="t" o:hr="t" fillcolor="#a0a0a0" stroked="f"/>
        </w:pict>
      </w:r>
    </w:p>
    <w:p w14:paraId="4C189A5F"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Die stereotype Redeeinleitungsformel mit </w:t>
      </w:r>
      <w:r w:rsidRPr="00240935">
        <w:rPr>
          <w:rFonts w:eastAsia="Times New Roman" w:cs="Times New Roman"/>
          <w:b/>
          <w:bCs/>
          <w:rtl/>
          <w:lang w:eastAsia="de-DE"/>
        </w:rPr>
        <w:t>וַיְדַבֵּר</w:t>
      </w:r>
      <w:r w:rsidRPr="00240935">
        <w:rPr>
          <w:rFonts w:eastAsia="Times New Roman" w:cs="Times New Roman"/>
          <w:rtl/>
          <w:lang w:eastAsia="de-DE"/>
        </w:rPr>
        <w:t xml:space="preserve"> </w:t>
      </w:r>
      <w:r w:rsidRPr="00240935">
        <w:rPr>
          <w:rFonts w:eastAsia="Times New Roman" w:cs="Times New Roman"/>
          <w:lang w:eastAsia="de-DE"/>
        </w:rPr>
        <w:t xml:space="preserve">(Wayyiqtol von </w:t>
      </w:r>
      <w:r w:rsidRPr="00240935">
        <w:rPr>
          <w:rFonts w:eastAsia="Times New Roman" w:cs="Times New Roman"/>
          <w:b/>
          <w:bCs/>
          <w:rtl/>
          <w:lang w:eastAsia="de-DE"/>
        </w:rPr>
        <w:t>דבר</w:t>
      </w:r>
      <w:r w:rsidRPr="00240935">
        <w:rPr>
          <w:rFonts w:eastAsia="Times New Roman" w:cs="Times New Roman"/>
          <w:rtl/>
          <w:lang w:eastAsia="de-DE"/>
        </w:rPr>
        <w:t xml:space="preserve"> </w:t>
      </w:r>
      <w:r w:rsidRPr="00240935">
        <w:rPr>
          <w:rFonts w:eastAsia="Times New Roman" w:cs="Times New Roman"/>
          <w:lang w:eastAsia="de-DE"/>
        </w:rPr>
        <w:t xml:space="preserve">Piel), </w:t>
      </w:r>
      <w:r w:rsidRPr="00240935">
        <w:rPr>
          <w:rFonts w:eastAsia="Times New Roman" w:cs="Times New Roman"/>
          <w:b/>
          <w:bCs/>
          <w:rtl/>
          <w:lang w:eastAsia="de-DE"/>
        </w:rPr>
        <w:t>יְהוָה</w:t>
      </w:r>
      <w:r w:rsidRPr="00240935">
        <w:rPr>
          <w:rFonts w:eastAsia="Times New Roman" w:cs="Times New Roman"/>
          <w:rtl/>
          <w:lang w:eastAsia="de-DE"/>
        </w:rPr>
        <w:t xml:space="preserve"> </w:t>
      </w:r>
      <w:r w:rsidRPr="00240935">
        <w:rPr>
          <w:rFonts w:eastAsia="Times New Roman" w:cs="Times New Roman"/>
          <w:lang w:eastAsia="de-DE"/>
        </w:rPr>
        <w:t xml:space="preserve">als Subjekt, </w:t>
      </w:r>
      <w:r w:rsidRPr="00240935">
        <w:rPr>
          <w:rFonts w:eastAsia="Times New Roman" w:cs="Times New Roman"/>
          <w:b/>
          <w:bCs/>
          <w:rtl/>
          <w:lang w:eastAsia="de-DE"/>
        </w:rPr>
        <w:t>אֶל־מֹשֶׁה</w:t>
      </w:r>
      <w:r w:rsidRPr="00240935">
        <w:rPr>
          <w:rFonts w:eastAsia="Times New Roman" w:cs="Times New Roman"/>
          <w:rtl/>
          <w:lang w:eastAsia="de-DE"/>
        </w:rPr>
        <w:t xml:space="preserve"> </w:t>
      </w:r>
      <w:r w:rsidRPr="00240935">
        <w:rPr>
          <w:rFonts w:eastAsia="Times New Roman" w:cs="Times New Roman"/>
          <w:lang w:eastAsia="de-DE"/>
        </w:rPr>
        <w:t xml:space="preserve">als Adressatenangabe und </w:t>
      </w:r>
      <w:r w:rsidRPr="00240935">
        <w:rPr>
          <w:rFonts w:eastAsia="Times New Roman" w:cs="Times New Roman"/>
          <w:b/>
          <w:bCs/>
          <w:rtl/>
          <w:lang w:eastAsia="de-DE"/>
        </w:rPr>
        <w:t>לֵּאמֹר</w:t>
      </w:r>
      <w:r w:rsidRPr="00240935">
        <w:rPr>
          <w:rFonts w:eastAsia="Times New Roman" w:cs="Times New Roman"/>
          <w:rtl/>
          <w:lang w:eastAsia="de-DE"/>
        </w:rPr>
        <w:t xml:space="preserve"> </w:t>
      </w:r>
      <w:r w:rsidRPr="00240935">
        <w:rPr>
          <w:rFonts w:eastAsia="Times New Roman" w:cs="Times New Roman"/>
          <w:lang w:eastAsia="de-DE"/>
        </w:rPr>
        <w:t>als Redeeinleitung. Der Vers leitet eine neue göttliche Initiative ein: die Stabprobe, die endgültig Aarons Priestertum legitimieren soll.</w:t>
      </w:r>
    </w:p>
    <w:p w14:paraId="66E6FE3C" w14:textId="16D3CD74"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Die LXX</w:t>
      </w:r>
      <w:r w:rsidRPr="00240935">
        <w:rPr>
          <w:rFonts w:eastAsia="Times New Roman" w:cs="Times New Roman"/>
          <w:lang w:eastAsia="de-DE"/>
        </w:rPr>
        <w:t xml:space="preserve"> übersetzt mit καὶ ἐλάλησεν κύριος πρὸς Μωυσῆν λέγων.</w:t>
      </w:r>
    </w:p>
    <w:p w14:paraId="46B427D3" w14:textId="77777777" w:rsidR="00240935" w:rsidRPr="00240935" w:rsidRDefault="00240935" w:rsidP="00240935">
      <w:pPr>
        <w:spacing w:before="100" w:beforeAutospacing="1" w:after="100" w:afterAutospacing="1" w:line="240" w:lineRule="auto"/>
        <w:outlineLvl w:val="0"/>
        <w:rPr>
          <w:rFonts w:eastAsia="Times New Roman" w:cs="Times New Roman"/>
          <w:b/>
          <w:bCs/>
          <w:kern w:val="36"/>
          <w:sz w:val="48"/>
          <w:szCs w:val="48"/>
          <w:lang w:eastAsia="de-DE"/>
        </w:rPr>
      </w:pPr>
      <w:r w:rsidRPr="00240935">
        <w:rPr>
          <w:rFonts w:eastAsia="Times New Roman" w:cs="Times New Roman"/>
          <w:b/>
          <w:bCs/>
          <w:kern w:val="36"/>
          <w:sz w:val="48"/>
          <w:szCs w:val="48"/>
          <w:lang w:eastAsia="de-DE"/>
        </w:rPr>
        <w:t>Numeri 17,17</w:t>
      </w:r>
    </w:p>
    <w:p w14:paraId="0868B64D"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Hebräisch:</w:t>
      </w:r>
      <w:r w:rsidRPr="00240935">
        <w:rPr>
          <w:rFonts w:eastAsia="Times New Roman" w:cs="Times New Roman"/>
          <w:lang w:eastAsia="de-DE"/>
        </w:rPr>
        <w:t xml:space="preserve"> </w:t>
      </w:r>
      <w:r w:rsidRPr="00240935">
        <w:rPr>
          <w:rFonts w:eastAsia="Times New Roman" w:cs="Times New Roman"/>
          <w:rtl/>
          <w:lang w:eastAsia="de-DE"/>
        </w:rPr>
        <w:t>דַּבֵּ֣ר׀ אֶל־בְּנֵ֣י יִשְׂרָאֵ֗ל וְקַ֣ח מֵֽאִתָּ֡ם מַטֶּ֣ה מַטֶּה֩ לְבֵ֨ית אָ֜ב מֵאֵ֤ת כָּל־נְשִֽׂיאֵהֶם֙ לְבֵ֣ית אֲבֹתָ֔ם שְׁנֵ֥ים עָשָׂ֖ר מַטּ֑וֹת אִ֣ישׁ אֶת־שְׁמֹ֔ו תִּכְתֹּ֖ב עַל־מַטֵּֽהוּ׃</w:t>
      </w:r>
    </w:p>
    <w:p w14:paraId="342669FC" w14:textId="77777777"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Deutsch:</w:t>
      </w:r>
      <w:r w:rsidRPr="00240935">
        <w:rPr>
          <w:rFonts w:eastAsia="Times New Roman" w:cs="Times New Roman"/>
          <w:lang w:eastAsia="de-DE"/>
        </w:rPr>
        <w:t xml:space="preserve"> Rede zu den Söhnen Jisra'els und nimm von ihnen je einen Stab für ein Vaterhaus, von allen ihren Fürsten, nach ihren Vaterhäusern, zwölf Stäbe; du sollst den Namen eines jeden auf seinen Stab schreiben.</w:t>
      </w:r>
    </w:p>
    <w:p w14:paraId="40BCC35C" w14:textId="77777777" w:rsidR="00240935" w:rsidRPr="00240935" w:rsidRDefault="00F329DD" w:rsidP="00240935">
      <w:pPr>
        <w:spacing w:after="0" w:line="240" w:lineRule="auto"/>
        <w:rPr>
          <w:rFonts w:eastAsia="Times New Roman" w:cs="Times New Roman"/>
          <w:lang w:eastAsia="de-DE"/>
        </w:rPr>
      </w:pPr>
      <w:r>
        <w:rPr>
          <w:rFonts w:eastAsia="Times New Roman" w:cs="Times New Roman"/>
          <w:noProof/>
          <w:lang w:eastAsia="de-DE"/>
        </w:rPr>
        <w:pict w14:anchorId="5D35C750">
          <v:rect id="_x0000_i1590" style="width:0;height:1.5pt" o:hralign="center" o:hrstd="t" o:hr="t" fillcolor="#a0a0a0" stroked="f"/>
        </w:pict>
      </w:r>
    </w:p>
    <w:p w14:paraId="249F7FF5" w14:textId="5D8562D2"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b/>
          <w:bCs/>
          <w:lang w:eastAsia="de-DE"/>
        </w:rPr>
        <w:t>Kommentar:</w:t>
      </w:r>
      <w:r w:rsidRPr="00240935">
        <w:rPr>
          <w:rFonts w:eastAsia="Times New Roman" w:cs="Times New Roman"/>
          <w:lang w:eastAsia="de-DE"/>
        </w:rPr>
        <w:t xml:space="preserve"> Der Imperativ </w:t>
      </w:r>
      <w:r w:rsidRPr="00240935">
        <w:rPr>
          <w:rFonts w:eastAsia="Times New Roman" w:cs="Times New Roman"/>
          <w:b/>
          <w:bCs/>
          <w:rtl/>
          <w:lang w:eastAsia="de-DE"/>
        </w:rPr>
        <w:t>דַּבֵּר</w:t>
      </w:r>
      <w:r w:rsidRPr="00240935">
        <w:rPr>
          <w:rFonts w:eastAsia="Times New Roman" w:cs="Times New Roman"/>
          <w:rtl/>
          <w:lang w:eastAsia="de-DE"/>
        </w:rPr>
        <w:t xml:space="preserve"> </w:t>
      </w:r>
      <w:r w:rsidRPr="00240935">
        <w:rPr>
          <w:rFonts w:eastAsia="Times New Roman" w:cs="Times New Roman"/>
          <w:lang w:eastAsia="de-DE"/>
        </w:rPr>
        <w:t xml:space="preserve">(Piel von </w:t>
      </w:r>
      <w:r w:rsidRPr="00240935">
        <w:rPr>
          <w:rFonts w:eastAsia="Times New Roman" w:cs="Times New Roman"/>
          <w:b/>
          <w:bCs/>
          <w:rtl/>
          <w:lang w:eastAsia="de-DE"/>
        </w:rPr>
        <w:t>דבר</w:t>
      </w:r>
      <w:r w:rsidRPr="00240935">
        <w:rPr>
          <w:rFonts w:eastAsia="Times New Roman" w:cs="Times New Roman"/>
          <w:lang w:eastAsia="de-DE"/>
        </w:rPr>
        <w:t xml:space="preserve">) richtet sich an Mose. </w:t>
      </w:r>
      <w:r w:rsidRPr="00240935">
        <w:rPr>
          <w:rFonts w:eastAsia="Times New Roman" w:cs="Times New Roman"/>
          <w:b/>
          <w:bCs/>
          <w:rtl/>
          <w:lang w:eastAsia="de-DE"/>
        </w:rPr>
        <w:t>אֶל־בְּנֵי יִשְׂרָאֵל</w:t>
      </w:r>
      <w:r w:rsidRPr="00240935">
        <w:rPr>
          <w:rFonts w:eastAsia="Times New Roman" w:cs="Times New Roman"/>
          <w:rtl/>
          <w:lang w:eastAsia="de-DE"/>
        </w:rPr>
        <w:t xml:space="preserve"> </w:t>
      </w:r>
      <w:r w:rsidRPr="00240935">
        <w:rPr>
          <w:rFonts w:eastAsia="Times New Roman" w:cs="Times New Roman"/>
          <w:lang w:eastAsia="de-DE"/>
        </w:rPr>
        <w:t xml:space="preserve">gibt die Adressaten an. Das koordinierte Verb </w:t>
      </w:r>
      <w:r w:rsidRPr="00240935">
        <w:rPr>
          <w:rFonts w:eastAsia="Times New Roman" w:cs="Times New Roman"/>
          <w:b/>
          <w:bCs/>
          <w:rtl/>
          <w:lang w:eastAsia="de-DE"/>
        </w:rPr>
        <w:t>וְקַח</w:t>
      </w:r>
      <w:r w:rsidRPr="00240935">
        <w:rPr>
          <w:rFonts w:eastAsia="Times New Roman" w:cs="Times New Roman"/>
          <w:rtl/>
          <w:lang w:eastAsia="de-DE"/>
        </w:rPr>
        <w:t xml:space="preserve"> </w:t>
      </w:r>
      <w:r w:rsidRPr="00240935">
        <w:rPr>
          <w:rFonts w:eastAsia="Times New Roman" w:cs="Times New Roman"/>
          <w:lang w:eastAsia="de-DE"/>
        </w:rPr>
        <w:t xml:space="preserve">(Waw + Qal Imperativ von </w:t>
      </w:r>
      <w:r w:rsidRPr="00240935">
        <w:rPr>
          <w:rFonts w:eastAsia="Times New Roman" w:cs="Times New Roman"/>
          <w:b/>
          <w:bCs/>
          <w:rtl/>
          <w:lang w:eastAsia="de-DE"/>
        </w:rPr>
        <w:t>לקח</w:t>
      </w:r>
      <w:r w:rsidRPr="00240935">
        <w:rPr>
          <w:rFonts w:eastAsia="Times New Roman" w:cs="Times New Roman"/>
          <w:lang w:eastAsia="de-DE"/>
        </w:rPr>
        <w:t xml:space="preserve">, „nimm") leitet die Anweisung ein. Die Präposition </w:t>
      </w:r>
      <w:r w:rsidRPr="00240935">
        <w:rPr>
          <w:rFonts w:eastAsia="Times New Roman" w:cs="Times New Roman"/>
          <w:b/>
          <w:bCs/>
          <w:rtl/>
          <w:lang w:eastAsia="de-DE"/>
        </w:rPr>
        <w:t>מֵאִתָּם</w:t>
      </w:r>
      <w:r w:rsidRPr="00240935">
        <w:rPr>
          <w:rFonts w:eastAsia="Times New Roman" w:cs="Times New Roman"/>
          <w:rtl/>
          <w:lang w:eastAsia="de-DE"/>
        </w:rPr>
        <w:t xml:space="preserve"> </w:t>
      </w:r>
      <w:r w:rsidRPr="00240935">
        <w:rPr>
          <w:rFonts w:eastAsia="Times New Roman" w:cs="Times New Roman"/>
          <w:lang w:eastAsia="de-DE"/>
        </w:rPr>
        <w:t xml:space="preserve">(„von ihnen") gibt die Quelle an. </w:t>
      </w:r>
      <w:r w:rsidRPr="00240935">
        <w:rPr>
          <w:rFonts w:eastAsia="Times New Roman" w:cs="Times New Roman"/>
          <w:b/>
          <w:bCs/>
          <w:rtl/>
          <w:lang w:eastAsia="de-DE"/>
        </w:rPr>
        <w:t>מַטֶּה מַטֶּה לְבֵית אָב</w:t>
      </w:r>
      <w:r w:rsidRPr="00240935">
        <w:rPr>
          <w:rFonts w:eastAsia="Times New Roman" w:cs="Times New Roman"/>
          <w:rtl/>
          <w:lang w:eastAsia="de-DE"/>
        </w:rPr>
        <w:t xml:space="preserve"> </w:t>
      </w:r>
      <w:r w:rsidRPr="00240935">
        <w:rPr>
          <w:rFonts w:eastAsia="Times New Roman" w:cs="Times New Roman"/>
          <w:lang w:eastAsia="de-DE"/>
        </w:rPr>
        <w:t xml:space="preserve">ist eine distributive </w:t>
      </w:r>
      <w:r w:rsidR="00F133EC">
        <w:rPr>
          <w:rFonts w:eastAsia="Times New Roman" w:cs="Times New Roman"/>
          <w:lang w:eastAsia="de-DE"/>
        </w:rPr>
        <w:t>Construct</w:t>
      </w:r>
      <w:r w:rsidRPr="00240935">
        <w:rPr>
          <w:rFonts w:eastAsia="Times New Roman" w:cs="Times New Roman"/>
          <w:lang w:eastAsia="de-DE"/>
        </w:rPr>
        <w:t xml:space="preserve">ion: </w:t>
      </w:r>
      <w:r w:rsidRPr="00240935">
        <w:rPr>
          <w:rFonts w:eastAsia="Times New Roman" w:cs="Times New Roman"/>
          <w:b/>
          <w:bCs/>
          <w:rtl/>
          <w:lang w:eastAsia="de-DE"/>
        </w:rPr>
        <w:t>מַטֶּה</w:t>
      </w:r>
      <w:r w:rsidRPr="00240935">
        <w:rPr>
          <w:rFonts w:eastAsia="Times New Roman" w:cs="Times New Roman"/>
          <w:rtl/>
          <w:lang w:eastAsia="de-DE"/>
        </w:rPr>
        <w:t xml:space="preserve"> </w:t>
      </w:r>
      <w:r w:rsidRPr="00240935">
        <w:rPr>
          <w:rFonts w:eastAsia="Times New Roman" w:cs="Times New Roman"/>
          <w:lang w:eastAsia="de-DE"/>
        </w:rPr>
        <w:t xml:space="preserve">(„Stab") wird wiederholt, </w:t>
      </w:r>
      <w:r w:rsidRPr="00240935">
        <w:rPr>
          <w:rFonts w:eastAsia="Times New Roman" w:cs="Times New Roman"/>
          <w:b/>
          <w:bCs/>
          <w:rtl/>
          <w:lang w:eastAsia="de-DE"/>
        </w:rPr>
        <w:t>לְבֵית אָב</w:t>
      </w:r>
      <w:r w:rsidRPr="00240935">
        <w:rPr>
          <w:rFonts w:eastAsia="Times New Roman" w:cs="Times New Roman"/>
          <w:rtl/>
          <w:lang w:eastAsia="de-DE"/>
        </w:rPr>
        <w:t xml:space="preserve"> </w:t>
      </w:r>
      <w:r w:rsidRPr="00240935">
        <w:rPr>
          <w:rFonts w:eastAsia="Times New Roman" w:cs="Times New Roman"/>
          <w:lang w:eastAsia="de-DE"/>
        </w:rPr>
        <w:t>bedeutet „für ein Vaterhaus" (</w:t>
      </w:r>
      <w:r w:rsidRPr="00240935">
        <w:rPr>
          <w:rFonts w:eastAsia="Times New Roman" w:cs="Times New Roman"/>
          <w:b/>
          <w:bCs/>
          <w:rtl/>
          <w:lang w:eastAsia="de-DE"/>
        </w:rPr>
        <w:t>בַּיִת אָב</w:t>
      </w:r>
      <w:r w:rsidRPr="00240935">
        <w:rPr>
          <w:rFonts w:eastAsia="Times New Roman" w:cs="Times New Roman"/>
          <w:rtl/>
          <w:lang w:eastAsia="de-DE"/>
        </w:rPr>
        <w:t xml:space="preserve"> </w:t>
      </w:r>
      <w:r w:rsidRPr="00240935">
        <w:rPr>
          <w:rFonts w:eastAsia="Times New Roman" w:cs="Times New Roman"/>
          <w:lang w:eastAsia="de-DE"/>
        </w:rPr>
        <w:t xml:space="preserve">„Vaterhaus, Sippe"). Die Präposition </w:t>
      </w:r>
      <w:r w:rsidRPr="00240935">
        <w:rPr>
          <w:rFonts w:eastAsia="Times New Roman" w:cs="Times New Roman"/>
          <w:b/>
          <w:bCs/>
          <w:rtl/>
          <w:lang w:eastAsia="de-DE"/>
        </w:rPr>
        <w:t>מֵאֵת כָּל־נְשִׂיאֵהֶם</w:t>
      </w:r>
      <w:r w:rsidRPr="00240935">
        <w:rPr>
          <w:rFonts w:eastAsia="Times New Roman" w:cs="Times New Roman"/>
          <w:rtl/>
          <w:lang w:eastAsia="de-DE"/>
        </w:rPr>
        <w:t xml:space="preserve"> </w:t>
      </w:r>
      <w:r w:rsidRPr="00240935">
        <w:rPr>
          <w:rFonts w:eastAsia="Times New Roman" w:cs="Times New Roman"/>
          <w:lang w:eastAsia="de-DE"/>
        </w:rPr>
        <w:t xml:space="preserve">(„von allen ihren Fürsten") spezifiziert, wer die Stäbe gibt. </w:t>
      </w:r>
      <w:r w:rsidRPr="00240935">
        <w:rPr>
          <w:rFonts w:eastAsia="Times New Roman" w:cs="Times New Roman"/>
          <w:b/>
          <w:bCs/>
          <w:rtl/>
          <w:lang w:eastAsia="de-DE"/>
        </w:rPr>
        <w:t>לְבֵית אֲבֹתָם</w:t>
      </w:r>
      <w:r w:rsidRPr="00240935">
        <w:rPr>
          <w:rFonts w:eastAsia="Times New Roman" w:cs="Times New Roman"/>
          <w:rtl/>
          <w:lang w:eastAsia="de-DE"/>
        </w:rPr>
        <w:t xml:space="preserve"> </w:t>
      </w:r>
      <w:r w:rsidRPr="00240935">
        <w:rPr>
          <w:rFonts w:eastAsia="Times New Roman" w:cs="Times New Roman"/>
          <w:lang w:eastAsia="de-DE"/>
        </w:rPr>
        <w:t xml:space="preserve">(„nach ihren Vaterhäusern") gibt die Ordnung an. </w:t>
      </w:r>
      <w:r w:rsidRPr="00240935">
        <w:rPr>
          <w:rFonts w:eastAsia="Times New Roman" w:cs="Times New Roman"/>
          <w:b/>
          <w:bCs/>
          <w:rtl/>
          <w:lang w:eastAsia="de-DE"/>
        </w:rPr>
        <w:t>שְׁנֵים עָשָׂר מַטּוֹת</w:t>
      </w:r>
      <w:r w:rsidRPr="00240935">
        <w:rPr>
          <w:rFonts w:eastAsia="Times New Roman" w:cs="Times New Roman"/>
          <w:rtl/>
          <w:lang w:eastAsia="de-DE"/>
        </w:rPr>
        <w:t xml:space="preserve"> </w:t>
      </w:r>
      <w:r w:rsidRPr="00240935">
        <w:rPr>
          <w:rFonts w:eastAsia="Times New Roman" w:cs="Times New Roman"/>
          <w:lang w:eastAsia="de-DE"/>
        </w:rPr>
        <w:t>ist die Zahlenangabe: „zwölf Stäbe".</w:t>
      </w:r>
    </w:p>
    <w:p w14:paraId="15FCA430" w14:textId="17C9AD5B" w:rsidR="00240935" w:rsidRPr="00240935" w:rsidRDefault="00240935" w:rsidP="00240935">
      <w:pPr>
        <w:spacing w:before="100" w:beforeAutospacing="1" w:after="100" w:afterAutospacing="1" w:line="240" w:lineRule="auto"/>
        <w:rPr>
          <w:rFonts w:eastAsia="Times New Roman" w:cs="Times New Roman"/>
          <w:lang w:eastAsia="de-DE"/>
        </w:rPr>
      </w:pPr>
      <w:r w:rsidRPr="00240935">
        <w:rPr>
          <w:rFonts w:eastAsia="Times New Roman" w:cs="Times New Roman"/>
          <w:lang w:eastAsia="de-DE"/>
        </w:rPr>
        <w:lastRenderedPageBreak/>
        <w:t xml:space="preserve">Die distributive </w:t>
      </w:r>
      <w:r w:rsidR="00F133EC">
        <w:rPr>
          <w:rFonts w:eastAsia="Times New Roman" w:cs="Times New Roman"/>
          <w:lang w:eastAsia="de-DE"/>
        </w:rPr>
        <w:t>Construct</w:t>
      </w:r>
      <w:r w:rsidRPr="00240935">
        <w:rPr>
          <w:rFonts w:eastAsia="Times New Roman" w:cs="Times New Roman"/>
          <w:lang w:eastAsia="de-DE"/>
        </w:rPr>
        <w:t xml:space="preserve">ion </w:t>
      </w:r>
      <w:r w:rsidRPr="00240935">
        <w:rPr>
          <w:rFonts w:eastAsia="Times New Roman" w:cs="Times New Roman"/>
          <w:b/>
          <w:bCs/>
          <w:rtl/>
          <w:lang w:eastAsia="de-DE"/>
        </w:rPr>
        <w:t>אִישׁ אֶת־שְׁמוֹ תִּכְתֹּב עַל־מַטֵּהוּ</w:t>
      </w:r>
      <w:r w:rsidRPr="00240935">
        <w:rPr>
          <w:rFonts w:eastAsia="Times New Roman" w:cs="Times New Roman"/>
          <w:rtl/>
          <w:lang w:eastAsia="de-DE"/>
        </w:rPr>
        <w:t xml:space="preserve"> </w:t>
      </w:r>
      <w:r w:rsidRPr="00240935">
        <w:rPr>
          <w:rFonts w:eastAsia="Times New Roman" w:cs="Times New Roman"/>
          <w:lang w:eastAsia="de-DE"/>
        </w:rPr>
        <w:t xml:space="preserve">besteht aus </w:t>
      </w:r>
      <w:r w:rsidRPr="00240935">
        <w:rPr>
          <w:rFonts w:eastAsia="Times New Roman" w:cs="Times New Roman"/>
          <w:b/>
          <w:bCs/>
          <w:rtl/>
          <w:lang w:eastAsia="de-DE"/>
        </w:rPr>
        <w:t>אִישׁ</w:t>
      </w:r>
      <w:r w:rsidRPr="00240935">
        <w:rPr>
          <w:rFonts w:eastAsia="Times New Roman" w:cs="Times New Roman"/>
          <w:rtl/>
          <w:lang w:eastAsia="de-DE"/>
        </w:rPr>
        <w:t xml:space="preserve"> </w:t>
      </w:r>
      <w:r w:rsidRPr="00240935">
        <w:rPr>
          <w:rFonts w:eastAsia="Times New Roman" w:cs="Times New Roman"/>
          <w:lang w:eastAsia="de-DE"/>
        </w:rPr>
        <w:t xml:space="preserve">(„Mann, jeder"), </w:t>
      </w:r>
      <w:r w:rsidRPr="00240935">
        <w:rPr>
          <w:rFonts w:eastAsia="Times New Roman" w:cs="Times New Roman"/>
          <w:b/>
          <w:bCs/>
          <w:rtl/>
          <w:lang w:eastAsia="de-DE"/>
        </w:rPr>
        <w:t>אֶת־שְׁמוֹ</w:t>
      </w:r>
      <w:r w:rsidRPr="00240935">
        <w:rPr>
          <w:rFonts w:eastAsia="Times New Roman" w:cs="Times New Roman"/>
          <w:rtl/>
          <w:lang w:eastAsia="de-DE"/>
        </w:rPr>
        <w:t xml:space="preserve"> </w:t>
      </w:r>
      <w:r w:rsidRPr="00240935">
        <w:rPr>
          <w:rFonts w:eastAsia="Times New Roman" w:cs="Times New Roman"/>
          <w:lang w:eastAsia="de-DE"/>
        </w:rPr>
        <w:t xml:space="preserve">(„seinen Namen"), dem Verb </w:t>
      </w:r>
      <w:r w:rsidRPr="00240935">
        <w:rPr>
          <w:rFonts w:eastAsia="Times New Roman" w:cs="Times New Roman"/>
          <w:b/>
          <w:bCs/>
          <w:rtl/>
          <w:lang w:eastAsia="de-DE"/>
        </w:rPr>
        <w:t>תִּכְתֹּב</w:t>
      </w:r>
      <w:r w:rsidRPr="00240935">
        <w:rPr>
          <w:rFonts w:eastAsia="Times New Roman" w:cs="Times New Roman"/>
          <w:rtl/>
          <w:lang w:eastAsia="de-DE"/>
        </w:rPr>
        <w:t xml:space="preserve"> </w:t>
      </w:r>
      <w:r w:rsidRPr="00240935">
        <w:rPr>
          <w:rFonts w:eastAsia="Times New Roman" w:cs="Times New Roman"/>
          <w:lang w:eastAsia="de-DE"/>
        </w:rPr>
        <w:t xml:space="preserve">(Qal Imperfekt, 2. m. sg. von </w:t>
      </w:r>
      <w:r w:rsidRPr="00240935">
        <w:rPr>
          <w:rFonts w:eastAsia="Times New Roman" w:cs="Times New Roman"/>
          <w:b/>
          <w:bCs/>
          <w:rtl/>
          <w:lang w:eastAsia="de-DE"/>
        </w:rPr>
        <w:t>כתב</w:t>
      </w:r>
      <w:r w:rsidRPr="00240935">
        <w:rPr>
          <w:rFonts w:eastAsia="Times New Roman" w:cs="Times New Roman"/>
          <w:lang w:eastAsia="de-DE"/>
        </w:rPr>
        <w:t xml:space="preserve">, „du sollst schreiben") und </w:t>
      </w:r>
      <w:r w:rsidRPr="00240935">
        <w:rPr>
          <w:rFonts w:eastAsia="Times New Roman" w:cs="Times New Roman"/>
          <w:b/>
          <w:bCs/>
          <w:rtl/>
          <w:lang w:eastAsia="de-DE"/>
        </w:rPr>
        <w:t>עַל־מַטֵּהוּ</w:t>
      </w:r>
      <w:r w:rsidRPr="00240935">
        <w:rPr>
          <w:rFonts w:eastAsia="Times New Roman" w:cs="Times New Roman"/>
          <w:rtl/>
          <w:lang w:eastAsia="de-DE"/>
        </w:rPr>
        <w:t xml:space="preserve"> </w:t>
      </w:r>
      <w:r w:rsidRPr="00240935">
        <w:rPr>
          <w:rFonts w:eastAsia="Times New Roman" w:cs="Times New Roman"/>
          <w:lang w:eastAsia="de-DE"/>
        </w:rPr>
        <w:t>(„auf seinen Stab").</w:t>
      </w:r>
    </w:p>
    <w:p w14:paraId="1833722C" w14:textId="39A62E32" w:rsidR="00240935" w:rsidRPr="00240935" w:rsidRDefault="000039C6" w:rsidP="00240935">
      <w:pPr>
        <w:spacing w:before="100" w:beforeAutospacing="1" w:after="100" w:afterAutospacing="1" w:line="240" w:lineRule="auto"/>
        <w:rPr>
          <w:rFonts w:eastAsia="Times New Roman" w:cs="Times New Roman"/>
          <w:lang w:eastAsia="de-DE"/>
        </w:rPr>
      </w:pPr>
      <w:r>
        <w:rPr>
          <w:rStyle w:val="Fett"/>
        </w:rPr>
        <w:t>Vers 17 (MT) / Vers 2 (LXX):</w:t>
      </w:r>
      <w:r>
        <w:t xml:space="preserve"> </w:t>
      </w:r>
      <w:r>
        <w:rPr>
          <w:rStyle w:val="Fett"/>
        </w:rPr>
        <w:t>Die LXX</w:t>
      </w:r>
      <w:r>
        <w:t xml:space="preserve"> verwendet „κατʼ οἴκους πατριῶν" (nach Vaterhäusern) für das hebräische „</w:t>
      </w:r>
      <w:r w:rsidRPr="000039C6">
        <w:rPr>
          <w:b/>
          <w:bCs/>
          <w:rtl/>
        </w:rPr>
        <w:t>לְבֵית אָב</w:t>
      </w:r>
      <w:r>
        <w:t>" (für das Vaterhaus), eine idiomatische Übersetzung mit derselben Bedeutung.</w:t>
      </w:r>
    </w:p>
    <w:p w14:paraId="042A562E" w14:textId="02B07F20" w:rsidR="00240935" w:rsidRDefault="00240935" w:rsidP="00240935">
      <w:pPr>
        <w:pStyle w:val="whitespace-normal"/>
      </w:pPr>
      <w:r w:rsidRPr="00240935">
        <w:t>Die Satzstruktur zeigt einen Imperativ mit zwei koordinierten Verben und komplexen präpositionalen</w:t>
      </w:r>
      <w:r>
        <w:t xml:space="preserve"> Die Satzstruktur zeigt einen Imperativ mit Präpositionalphrase, gefolgt von einem koordinierten Imperativ mit komplexen präpositionalen Ergänzungen und Zahlenangabe. Eine distributive </w:t>
      </w:r>
      <w:r w:rsidR="00F133EC">
        <w:t>Construct</w:t>
      </w:r>
      <w:r>
        <w:t>ion mit Imperfekt schließt die Anweisung ab.</w:t>
      </w:r>
    </w:p>
    <w:p w14:paraId="6738C420" w14:textId="77777777" w:rsidR="00240935" w:rsidRDefault="00240935" w:rsidP="00240935">
      <w:pPr>
        <w:pStyle w:val="whitespace-normal"/>
      </w:pPr>
      <w:r>
        <w:t>Der Vers gibt die göttliche Anweisung für die Stabprobe: Von jedem der zwölf Stämme soll ein Stab mit dem Namen des jeweiligen Fürsten beschriftet werden.</w:t>
      </w:r>
    </w:p>
    <w:p w14:paraId="4B8F7C41"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17,18</w:t>
      </w:r>
    </w:p>
    <w:p w14:paraId="5A9EA6F9"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וְאֵת֙ שֵׁ֣ם אַהֲרֹ֔ן תִּכְתֹּ֖ב עַל־מַטֵּ֣ה לֵוִ֑י כִּ֚י מַטֶּ֣ה אֶחָ֔ד לְרֹ֖אשׁ בֵּ֥ית אֲבוֹתָֽם׃</w:t>
      </w:r>
    </w:p>
    <w:p w14:paraId="137884BD"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Und den Namen Aharons sollst du auf den Stab Levis schreiben; denn ein Stab soll für das Haupt ihrer Vaterhäuser sein.</w:t>
      </w:r>
    </w:p>
    <w:p w14:paraId="1188F7D1"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38595274">
          <v:rect id="_x0000_i1591" style="width:0;height:1.5pt" o:hralign="center" o:hrstd="t" o:hr="t" fillcolor="#a0a0a0" stroked="f"/>
        </w:pict>
      </w:r>
    </w:p>
    <w:p w14:paraId="4E97C665"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Das Objekt </w:t>
      </w:r>
      <w:r w:rsidRPr="00BA5394">
        <w:rPr>
          <w:rFonts w:eastAsia="Times New Roman" w:cs="Times New Roman"/>
          <w:b/>
          <w:bCs/>
          <w:rtl/>
          <w:lang w:eastAsia="de-DE"/>
        </w:rPr>
        <w:t>וְאֵת שֵׁם אַהֲרֹן</w:t>
      </w:r>
      <w:r w:rsidRPr="00BA5394">
        <w:rPr>
          <w:rFonts w:eastAsia="Times New Roman" w:cs="Times New Roman"/>
          <w:rtl/>
          <w:lang w:eastAsia="de-DE"/>
        </w:rPr>
        <w:t xml:space="preserve"> </w:t>
      </w:r>
      <w:r w:rsidRPr="00BA5394">
        <w:rPr>
          <w:rFonts w:eastAsia="Times New Roman" w:cs="Times New Roman"/>
          <w:lang w:eastAsia="de-DE"/>
        </w:rPr>
        <w:t xml:space="preserve">besteht aus der Konjunktion </w:t>
      </w:r>
      <w:r w:rsidRPr="00BA5394">
        <w:rPr>
          <w:rFonts w:eastAsia="Times New Roman" w:cs="Times New Roman"/>
          <w:b/>
          <w:bCs/>
          <w:rtl/>
          <w:lang w:eastAsia="de-DE"/>
        </w:rPr>
        <w:t>וְ</w:t>
      </w:r>
      <w:r w:rsidRPr="00BA5394">
        <w:rPr>
          <w:rFonts w:eastAsia="Times New Roman" w:cs="Times New Roman"/>
          <w:lang w:eastAsia="de-DE"/>
        </w:rPr>
        <w:t xml:space="preserve">, der Objektpartikel </w:t>
      </w:r>
      <w:r w:rsidRPr="00BA5394">
        <w:rPr>
          <w:rFonts w:eastAsia="Times New Roman" w:cs="Times New Roman"/>
          <w:b/>
          <w:bCs/>
          <w:rtl/>
          <w:lang w:eastAsia="de-DE"/>
        </w:rPr>
        <w:t>אֵת</w:t>
      </w:r>
      <w:r w:rsidRPr="00BA5394">
        <w:rPr>
          <w:rFonts w:eastAsia="Times New Roman" w:cs="Times New Roman"/>
          <w:rtl/>
          <w:lang w:eastAsia="de-DE"/>
        </w:rPr>
        <w:t xml:space="preserve"> </w:t>
      </w:r>
      <w:r w:rsidRPr="00BA5394">
        <w:rPr>
          <w:rFonts w:eastAsia="Times New Roman" w:cs="Times New Roman"/>
          <w:lang w:eastAsia="de-DE"/>
        </w:rPr>
        <w:t xml:space="preserve">und </w:t>
      </w:r>
      <w:r w:rsidRPr="00BA5394">
        <w:rPr>
          <w:rFonts w:eastAsia="Times New Roman" w:cs="Times New Roman"/>
          <w:b/>
          <w:bCs/>
          <w:rtl/>
          <w:lang w:eastAsia="de-DE"/>
        </w:rPr>
        <w:t>שֵׁם אַהֲרֹן</w:t>
      </w:r>
      <w:r w:rsidRPr="00BA5394">
        <w:rPr>
          <w:rFonts w:eastAsia="Times New Roman" w:cs="Times New Roman"/>
          <w:rtl/>
          <w:lang w:eastAsia="de-DE"/>
        </w:rPr>
        <w:t xml:space="preserve"> </w:t>
      </w:r>
      <w:r w:rsidRPr="00BA5394">
        <w:rPr>
          <w:rFonts w:eastAsia="Times New Roman" w:cs="Times New Roman"/>
          <w:lang w:eastAsia="de-DE"/>
        </w:rPr>
        <w:t xml:space="preserve">(„Name Aarons" im Constructus). Das Verb </w:t>
      </w:r>
      <w:r w:rsidRPr="00BA5394">
        <w:rPr>
          <w:rFonts w:eastAsia="Times New Roman" w:cs="Times New Roman"/>
          <w:b/>
          <w:bCs/>
          <w:rtl/>
          <w:lang w:eastAsia="de-DE"/>
        </w:rPr>
        <w:t>תִּכְתֹּב</w:t>
      </w:r>
      <w:r w:rsidRPr="00BA5394">
        <w:rPr>
          <w:rFonts w:eastAsia="Times New Roman" w:cs="Times New Roman"/>
          <w:rtl/>
          <w:lang w:eastAsia="de-DE"/>
        </w:rPr>
        <w:t xml:space="preserve"> </w:t>
      </w:r>
      <w:r w:rsidRPr="00BA5394">
        <w:rPr>
          <w:rFonts w:eastAsia="Times New Roman" w:cs="Times New Roman"/>
          <w:lang w:eastAsia="de-DE"/>
        </w:rPr>
        <w:t xml:space="preserve">(Qal Imperfekt, 2. m. sg. von </w:t>
      </w:r>
      <w:r w:rsidRPr="00BA5394">
        <w:rPr>
          <w:rFonts w:eastAsia="Times New Roman" w:cs="Times New Roman"/>
          <w:b/>
          <w:bCs/>
          <w:rtl/>
          <w:lang w:eastAsia="de-DE"/>
        </w:rPr>
        <w:t>כתב</w:t>
      </w:r>
      <w:r w:rsidRPr="00BA5394">
        <w:rPr>
          <w:rFonts w:eastAsia="Times New Roman" w:cs="Times New Roman"/>
          <w:lang w:eastAsia="de-DE"/>
        </w:rPr>
        <w:t xml:space="preserve">) bedeutet „du sollst schreiben". Die Präposition </w:t>
      </w:r>
      <w:r w:rsidRPr="00BA5394">
        <w:rPr>
          <w:rFonts w:eastAsia="Times New Roman" w:cs="Times New Roman"/>
          <w:b/>
          <w:bCs/>
          <w:rtl/>
          <w:lang w:eastAsia="de-DE"/>
        </w:rPr>
        <w:t>עַל־מַטֵּה לֵוִי</w:t>
      </w:r>
      <w:r w:rsidRPr="00BA5394">
        <w:rPr>
          <w:rFonts w:eastAsia="Times New Roman" w:cs="Times New Roman"/>
          <w:rtl/>
          <w:lang w:eastAsia="de-DE"/>
        </w:rPr>
        <w:t xml:space="preserve"> </w:t>
      </w:r>
      <w:r w:rsidRPr="00BA5394">
        <w:rPr>
          <w:rFonts w:eastAsia="Times New Roman" w:cs="Times New Roman"/>
          <w:lang w:eastAsia="de-DE"/>
        </w:rPr>
        <w:t>gibt an, wohin: „auf den Stab Levis".</w:t>
      </w:r>
    </w:p>
    <w:p w14:paraId="2FA2F6BF"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Die kausale Konjunktion </w:t>
      </w:r>
      <w:r w:rsidRPr="00BA5394">
        <w:rPr>
          <w:rFonts w:eastAsia="Times New Roman" w:cs="Times New Roman"/>
          <w:b/>
          <w:bCs/>
          <w:rtl/>
          <w:lang w:eastAsia="de-DE"/>
        </w:rPr>
        <w:t>כִּי</w:t>
      </w:r>
      <w:r w:rsidRPr="00BA5394">
        <w:rPr>
          <w:rFonts w:eastAsia="Times New Roman" w:cs="Times New Roman"/>
          <w:rtl/>
          <w:lang w:eastAsia="de-DE"/>
        </w:rPr>
        <w:t xml:space="preserve"> </w:t>
      </w:r>
      <w:r w:rsidRPr="00BA5394">
        <w:rPr>
          <w:rFonts w:eastAsia="Times New Roman" w:cs="Times New Roman"/>
          <w:lang w:eastAsia="de-DE"/>
        </w:rPr>
        <w:t xml:space="preserve">(„denn") leitet die Begründung ein. </w:t>
      </w:r>
      <w:r w:rsidRPr="00BA5394">
        <w:rPr>
          <w:rFonts w:eastAsia="Times New Roman" w:cs="Times New Roman"/>
          <w:b/>
          <w:bCs/>
          <w:rtl/>
          <w:lang w:eastAsia="de-DE"/>
        </w:rPr>
        <w:t>מַטֶּה אֶחָד</w:t>
      </w:r>
      <w:r w:rsidRPr="00BA5394">
        <w:rPr>
          <w:rFonts w:eastAsia="Times New Roman" w:cs="Times New Roman"/>
          <w:rtl/>
          <w:lang w:eastAsia="de-DE"/>
        </w:rPr>
        <w:t xml:space="preserve"> </w:t>
      </w:r>
      <w:r w:rsidRPr="00BA5394">
        <w:rPr>
          <w:rFonts w:eastAsia="Times New Roman" w:cs="Times New Roman"/>
          <w:lang w:eastAsia="de-DE"/>
        </w:rPr>
        <w:t xml:space="preserve">ist „ein Stab" (mit Zahlwort </w:t>
      </w:r>
      <w:r w:rsidRPr="00BA5394">
        <w:rPr>
          <w:rFonts w:eastAsia="Times New Roman" w:cs="Times New Roman"/>
          <w:b/>
          <w:bCs/>
          <w:rtl/>
          <w:lang w:eastAsia="de-DE"/>
        </w:rPr>
        <w:t>אֶחָד</w:t>
      </w:r>
      <w:r w:rsidRPr="00BA5394">
        <w:rPr>
          <w:rFonts w:eastAsia="Times New Roman" w:cs="Times New Roman"/>
          <w:lang w:eastAsia="de-DE"/>
        </w:rPr>
        <w:t xml:space="preserve">). Die Präposition </w:t>
      </w:r>
      <w:r w:rsidRPr="00BA5394">
        <w:rPr>
          <w:rFonts w:eastAsia="Times New Roman" w:cs="Times New Roman"/>
          <w:b/>
          <w:bCs/>
          <w:rtl/>
          <w:lang w:eastAsia="de-DE"/>
        </w:rPr>
        <w:t>לְרֹאשׁ בֵּית אֲבוֹתָם</w:t>
      </w:r>
      <w:r w:rsidRPr="00BA5394">
        <w:rPr>
          <w:rFonts w:eastAsia="Times New Roman" w:cs="Times New Roman"/>
          <w:rtl/>
          <w:lang w:eastAsia="de-DE"/>
        </w:rPr>
        <w:t xml:space="preserve"> </w:t>
      </w:r>
      <w:r w:rsidRPr="00BA5394">
        <w:rPr>
          <w:rFonts w:eastAsia="Times New Roman" w:cs="Times New Roman"/>
          <w:lang w:eastAsia="de-DE"/>
        </w:rPr>
        <w:t>bedeutet „für das Haupt ihrer Vaterhäuser" (</w:t>
      </w:r>
      <w:r w:rsidRPr="00BA5394">
        <w:rPr>
          <w:rFonts w:eastAsia="Times New Roman" w:cs="Times New Roman"/>
          <w:b/>
          <w:bCs/>
          <w:rtl/>
          <w:lang w:eastAsia="de-DE"/>
        </w:rPr>
        <w:t>רֹאשׁ</w:t>
      </w:r>
      <w:r w:rsidRPr="00BA5394">
        <w:rPr>
          <w:rFonts w:eastAsia="Times New Roman" w:cs="Times New Roman"/>
          <w:rtl/>
          <w:lang w:eastAsia="de-DE"/>
        </w:rPr>
        <w:t xml:space="preserve"> </w:t>
      </w:r>
      <w:r w:rsidRPr="00BA5394">
        <w:rPr>
          <w:rFonts w:eastAsia="Times New Roman" w:cs="Times New Roman"/>
          <w:lang w:eastAsia="de-DE"/>
        </w:rPr>
        <w:t xml:space="preserve">„Haupt, Oberhaupt" im Constructus vor </w:t>
      </w:r>
      <w:r w:rsidRPr="00BA5394">
        <w:rPr>
          <w:rFonts w:eastAsia="Times New Roman" w:cs="Times New Roman"/>
          <w:b/>
          <w:bCs/>
          <w:rtl/>
          <w:lang w:eastAsia="de-DE"/>
        </w:rPr>
        <w:t>בֵּית אֲבוֹתָם</w:t>
      </w:r>
      <w:r w:rsidRPr="00BA5394">
        <w:rPr>
          <w:rFonts w:eastAsia="Times New Roman" w:cs="Times New Roman"/>
          <w:lang w:eastAsia="de-DE"/>
        </w:rPr>
        <w:t xml:space="preserve">, wobei </w:t>
      </w:r>
      <w:r w:rsidRPr="00BA5394">
        <w:rPr>
          <w:rFonts w:eastAsia="Times New Roman" w:cs="Times New Roman"/>
          <w:b/>
          <w:bCs/>
          <w:rtl/>
          <w:lang w:eastAsia="de-DE"/>
        </w:rPr>
        <w:t>בַּיִת</w:t>
      </w:r>
      <w:r w:rsidRPr="00BA5394">
        <w:rPr>
          <w:rFonts w:eastAsia="Times New Roman" w:cs="Times New Roman"/>
          <w:rtl/>
          <w:lang w:eastAsia="de-DE"/>
        </w:rPr>
        <w:t xml:space="preserve"> </w:t>
      </w:r>
      <w:r w:rsidRPr="00BA5394">
        <w:rPr>
          <w:rFonts w:eastAsia="Times New Roman" w:cs="Times New Roman"/>
          <w:lang w:eastAsia="de-DE"/>
        </w:rPr>
        <w:t xml:space="preserve">im Constructus vor </w:t>
      </w:r>
      <w:r w:rsidRPr="00BA5394">
        <w:rPr>
          <w:rFonts w:eastAsia="Times New Roman" w:cs="Times New Roman"/>
          <w:b/>
          <w:bCs/>
          <w:rtl/>
          <w:lang w:eastAsia="de-DE"/>
        </w:rPr>
        <w:t>אֲבוֹתָם</w:t>
      </w:r>
      <w:r w:rsidRPr="00BA5394">
        <w:rPr>
          <w:rFonts w:eastAsia="Times New Roman" w:cs="Times New Roman"/>
          <w:rtl/>
          <w:lang w:eastAsia="de-DE"/>
        </w:rPr>
        <w:t xml:space="preserve"> </w:t>
      </w:r>
      <w:r w:rsidRPr="00BA5394">
        <w:rPr>
          <w:rFonts w:eastAsia="Times New Roman" w:cs="Times New Roman"/>
          <w:lang w:eastAsia="de-DE"/>
        </w:rPr>
        <w:t xml:space="preserve">steht, dem Plural von </w:t>
      </w:r>
      <w:r w:rsidRPr="00BA5394">
        <w:rPr>
          <w:rFonts w:eastAsia="Times New Roman" w:cs="Times New Roman"/>
          <w:b/>
          <w:bCs/>
          <w:rtl/>
          <w:lang w:eastAsia="de-DE"/>
        </w:rPr>
        <w:t>אָב</w:t>
      </w:r>
      <w:r w:rsidRPr="00BA5394">
        <w:rPr>
          <w:rFonts w:eastAsia="Times New Roman" w:cs="Times New Roman"/>
          <w:rtl/>
          <w:lang w:eastAsia="de-DE"/>
        </w:rPr>
        <w:t xml:space="preserve"> </w:t>
      </w:r>
      <w:r w:rsidRPr="00BA5394">
        <w:rPr>
          <w:rFonts w:eastAsia="Times New Roman" w:cs="Times New Roman"/>
          <w:lang w:eastAsia="de-DE"/>
        </w:rPr>
        <w:t>mit Possessivsuffix 3. m. pl.). Die Formulierung betont, dass Aaron als Repräsentant des gesamten Stammes Levi gilt.</w:t>
      </w:r>
    </w:p>
    <w:p w14:paraId="19E0C000"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Die LXX</w:t>
      </w:r>
      <w:r w:rsidRPr="00BA5394">
        <w:rPr>
          <w:rFonts w:eastAsia="Times New Roman" w:cs="Times New Roman"/>
          <w:lang w:eastAsia="de-DE"/>
        </w:rPr>
        <w:t xml:space="preserve"> folgt dem hebräischen Text eng.</w:t>
      </w:r>
    </w:p>
    <w:p w14:paraId="5E3285D5"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Die Satzstruktur zeigt einen Hauptsatz mit Objekt, Verb und Präpositionalphrase, gefolgt von einem durch kausale Konjunktion eingeleiteten Nebensatz mit Subjekt und präpositionaler Bestimmung. Insgesamt gibt es einen Nebensatz (Kausalsatz).</w:t>
      </w:r>
    </w:p>
    <w:p w14:paraId="5345214E"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Der Vers präzisiert eine wichtige Besonderheit: Obwohl zwölf Stämme repräsentiert werden, trägt der Stab Levis Aarons Namen, womit das Priestertum und der Stamm vereint werden.</w:t>
      </w:r>
    </w:p>
    <w:p w14:paraId="1E1BA0E1"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17,19</w:t>
      </w:r>
    </w:p>
    <w:p w14:paraId="24F78EAA"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וְהִנַּחְתָּ֖ם בְּאֹ֣הֶל מוֹעֵ֑ד לִפְנֵי֙ הָֽעֵד֔וּת אֲשֶׁ֛ר אִוָּעֵ֥ד לָכֶ֖ם שָֽׁמָּה׃</w:t>
      </w:r>
    </w:p>
    <w:p w14:paraId="4828C8B4"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lastRenderedPageBreak/>
        <w:t>Deutsch:</w:t>
      </w:r>
      <w:r w:rsidRPr="00BA5394">
        <w:rPr>
          <w:rFonts w:eastAsia="Times New Roman" w:cs="Times New Roman"/>
          <w:lang w:eastAsia="de-DE"/>
        </w:rPr>
        <w:t xml:space="preserve"> Und du sollst sie im Zelt der Begegnung vor dem Zeugnis niederlegen, wo ich mit euch zusammenkomme.</w:t>
      </w:r>
    </w:p>
    <w:p w14:paraId="5FA87D07"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55BD000F">
          <v:rect id="_x0000_i1592" style="width:0;height:1.5pt" o:hralign="center" o:hrstd="t" o:hr="t" fillcolor="#a0a0a0" stroked="f"/>
        </w:pict>
      </w:r>
    </w:p>
    <w:p w14:paraId="5DD15500"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Das Verb </w:t>
      </w:r>
      <w:r w:rsidRPr="00BA5394">
        <w:rPr>
          <w:rFonts w:eastAsia="Times New Roman" w:cs="Times New Roman"/>
          <w:b/>
          <w:bCs/>
          <w:rtl/>
          <w:lang w:eastAsia="de-DE"/>
        </w:rPr>
        <w:t>וְהִנַּחְתָּם</w:t>
      </w:r>
      <w:r w:rsidRPr="00BA5394">
        <w:rPr>
          <w:rFonts w:eastAsia="Times New Roman" w:cs="Times New Roman"/>
          <w:rtl/>
          <w:lang w:eastAsia="de-DE"/>
        </w:rPr>
        <w:t xml:space="preserve"> </w:t>
      </w:r>
      <w:r w:rsidRPr="00BA5394">
        <w:rPr>
          <w:rFonts w:eastAsia="Times New Roman" w:cs="Times New Roman"/>
          <w:lang w:eastAsia="de-DE"/>
        </w:rPr>
        <w:t xml:space="preserve">(Waw + Hifil Perfekt, 2. m. sg. von </w:t>
      </w:r>
      <w:r w:rsidRPr="00BA5394">
        <w:rPr>
          <w:rFonts w:eastAsia="Times New Roman" w:cs="Times New Roman"/>
          <w:b/>
          <w:bCs/>
          <w:rtl/>
          <w:lang w:eastAsia="de-DE"/>
        </w:rPr>
        <w:t>נוח</w:t>
      </w:r>
      <w:r w:rsidRPr="00BA5394">
        <w:rPr>
          <w:rFonts w:eastAsia="Times New Roman" w:cs="Times New Roman"/>
          <w:rtl/>
          <w:lang w:eastAsia="de-DE"/>
        </w:rPr>
        <w:t xml:space="preserve"> </w:t>
      </w:r>
      <w:r w:rsidRPr="00BA5394">
        <w:rPr>
          <w:rFonts w:eastAsia="Times New Roman" w:cs="Times New Roman"/>
          <w:lang w:eastAsia="de-DE"/>
        </w:rPr>
        <w:t xml:space="preserve">mit Objektsuffix 3. m. pl.) bedeutet „und du sollst sie niederlegen". Das Weqatal hat hier imperativen Charakter. Die Präposition </w:t>
      </w:r>
      <w:r w:rsidRPr="00BA5394">
        <w:rPr>
          <w:rFonts w:eastAsia="Times New Roman" w:cs="Times New Roman"/>
          <w:b/>
          <w:bCs/>
          <w:rtl/>
          <w:lang w:eastAsia="de-DE"/>
        </w:rPr>
        <w:t>בְּאֹהֶל מוֹעֵד</w:t>
      </w:r>
      <w:r w:rsidRPr="00BA5394">
        <w:rPr>
          <w:rFonts w:eastAsia="Times New Roman" w:cs="Times New Roman"/>
          <w:rtl/>
          <w:lang w:eastAsia="de-DE"/>
        </w:rPr>
        <w:t xml:space="preserve"> </w:t>
      </w:r>
      <w:r w:rsidRPr="00BA5394">
        <w:rPr>
          <w:rFonts w:eastAsia="Times New Roman" w:cs="Times New Roman"/>
          <w:lang w:eastAsia="de-DE"/>
        </w:rPr>
        <w:t xml:space="preserve">gibt den Ort an: „im Zelt der Begegnung". </w:t>
      </w:r>
      <w:r w:rsidRPr="00BA5394">
        <w:rPr>
          <w:rFonts w:eastAsia="Times New Roman" w:cs="Times New Roman"/>
          <w:b/>
          <w:bCs/>
          <w:rtl/>
          <w:lang w:eastAsia="de-DE"/>
        </w:rPr>
        <w:t>לִפְנֵי הָעֵדוּת</w:t>
      </w:r>
      <w:r w:rsidRPr="00BA5394">
        <w:rPr>
          <w:rFonts w:eastAsia="Times New Roman" w:cs="Times New Roman"/>
          <w:rtl/>
          <w:lang w:eastAsia="de-DE"/>
        </w:rPr>
        <w:t xml:space="preserve"> </w:t>
      </w:r>
      <w:r w:rsidRPr="00BA5394">
        <w:rPr>
          <w:rFonts w:eastAsia="Times New Roman" w:cs="Times New Roman"/>
          <w:lang w:eastAsia="de-DE"/>
        </w:rPr>
        <w:t>präzisiert: „vor dem Zeugnis" (</w:t>
      </w:r>
      <w:r w:rsidRPr="00BA5394">
        <w:rPr>
          <w:rFonts w:eastAsia="Times New Roman" w:cs="Times New Roman"/>
          <w:b/>
          <w:bCs/>
          <w:rtl/>
          <w:lang w:eastAsia="de-DE"/>
        </w:rPr>
        <w:t>עֵדוּת</w:t>
      </w:r>
      <w:r w:rsidRPr="00BA5394">
        <w:rPr>
          <w:rFonts w:eastAsia="Times New Roman" w:cs="Times New Roman"/>
          <w:rtl/>
          <w:lang w:eastAsia="de-DE"/>
        </w:rPr>
        <w:t xml:space="preserve"> </w:t>
      </w:r>
      <w:r w:rsidRPr="00BA5394">
        <w:rPr>
          <w:rFonts w:eastAsia="Times New Roman" w:cs="Times New Roman"/>
          <w:lang w:eastAsia="de-DE"/>
        </w:rPr>
        <w:t>bezieht sich auf die Bundeslade bzw. die Gesetzestafeln).</w:t>
      </w:r>
    </w:p>
    <w:p w14:paraId="42B6CA93"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Der Relativsatz </w:t>
      </w:r>
      <w:r w:rsidRPr="00BA5394">
        <w:rPr>
          <w:rFonts w:eastAsia="Times New Roman" w:cs="Times New Roman"/>
          <w:b/>
          <w:bCs/>
          <w:rtl/>
          <w:lang w:eastAsia="de-DE"/>
        </w:rPr>
        <w:t>אֲשֶׁר אִוָּעֵד לָכֶם שָׁמָּה</w:t>
      </w:r>
      <w:r w:rsidRPr="00BA5394">
        <w:rPr>
          <w:rFonts w:eastAsia="Times New Roman" w:cs="Times New Roman"/>
          <w:rtl/>
          <w:lang w:eastAsia="de-DE"/>
        </w:rPr>
        <w:t xml:space="preserve"> </w:t>
      </w:r>
      <w:r w:rsidRPr="00BA5394">
        <w:rPr>
          <w:rFonts w:eastAsia="Times New Roman" w:cs="Times New Roman"/>
          <w:lang w:eastAsia="de-DE"/>
        </w:rPr>
        <w:t xml:space="preserve">besteht aus </w:t>
      </w:r>
      <w:r w:rsidRPr="00BA5394">
        <w:rPr>
          <w:rFonts w:eastAsia="Times New Roman" w:cs="Times New Roman"/>
          <w:b/>
          <w:bCs/>
          <w:rtl/>
          <w:lang w:eastAsia="de-DE"/>
        </w:rPr>
        <w:t>אֲשֶׁר</w:t>
      </w:r>
      <w:r w:rsidRPr="00BA5394">
        <w:rPr>
          <w:rFonts w:eastAsia="Times New Roman" w:cs="Times New Roman"/>
          <w:rtl/>
          <w:lang w:eastAsia="de-DE"/>
        </w:rPr>
        <w:t xml:space="preserve"> </w:t>
      </w:r>
      <w:r w:rsidRPr="00BA5394">
        <w:rPr>
          <w:rFonts w:eastAsia="Times New Roman" w:cs="Times New Roman"/>
          <w:lang w:eastAsia="de-DE"/>
        </w:rPr>
        <w:t xml:space="preserve">(Relativpronomen), </w:t>
      </w:r>
      <w:r w:rsidRPr="00BA5394">
        <w:rPr>
          <w:rFonts w:eastAsia="Times New Roman" w:cs="Times New Roman"/>
          <w:b/>
          <w:bCs/>
          <w:rtl/>
          <w:lang w:eastAsia="de-DE"/>
        </w:rPr>
        <w:t>אִוָּעֵד</w:t>
      </w:r>
      <w:r w:rsidRPr="00BA5394">
        <w:rPr>
          <w:rFonts w:eastAsia="Times New Roman" w:cs="Times New Roman"/>
          <w:rtl/>
          <w:lang w:eastAsia="de-DE"/>
        </w:rPr>
        <w:t xml:space="preserve"> </w:t>
      </w:r>
      <w:r w:rsidRPr="00BA5394">
        <w:rPr>
          <w:rFonts w:eastAsia="Times New Roman" w:cs="Times New Roman"/>
          <w:lang w:eastAsia="de-DE"/>
        </w:rPr>
        <w:t xml:space="preserve">(Nifal Imperfekt, 1. c. sg. von </w:t>
      </w:r>
      <w:r w:rsidRPr="00BA5394">
        <w:rPr>
          <w:rFonts w:eastAsia="Times New Roman" w:cs="Times New Roman"/>
          <w:b/>
          <w:bCs/>
          <w:rtl/>
          <w:lang w:eastAsia="de-DE"/>
        </w:rPr>
        <w:t>יעד</w:t>
      </w:r>
      <w:r w:rsidRPr="00BA5394">
        <w:rPr>
          <w:rFonts w:eastAsia="Times New Roman" w:cs="Times New Roman"/>
          <w:lang w:eastAsia="de-DE"/>
        </w:rPr>
        <w:t xml:space="preserve">, „ich komme zusammen, treffe mich"), </w:t>
      </w:r>
      <w:r w:rsidRPr="00BA5394">
        <w:rPr>
          <w:rFonts w:eastAsia="Times New Roman" w:cs="Times New Roman"/>
          <w:b/>
          <w:bCs/>
          <w:rtl/>
          <w:lang w:eastAsia="de-DE"/>
        </w:rPr>
        <w:t>לָכֶם</w:t>
      </w:r>
      <w:r w:rsidRPr="00BA5394">
        <w:rPr>
          <w:rFonts w:eastAsia="Times New Roman" w:cs="Times New Roman"/>
          <w:rtl/>
          <w:lang w:eastAsia="de-DE"/>
        </w:rPr>
        <w:t xml:space="preserve"> </w:t>
      </w:r>
      <w:r w:rsidRPr="00BA5394">
        <w:rPr>
          <w:rFonts w:eastAsia="Times New Roman" w:cs="Times New Roman"/>
          <w:lang w:eastAsia="de-DE"/>
        </w:rPr>
        <w:t xml:space="preserve">(„mit euch", Präposition mit Suffix 2. m. pl.) und </w:t>
      </w:r>
      <w:r w:rsidRPr="00BA5394">
        <w:rPr>
          <w:rFonts w:eastAsia="Times New Roman" w:cs="Times New Roman"/>
          <w:b/>
          <w:bCs/>
          <w:rtl/>
          <w:lang w:eastAsia="de-DE"/>
        </w:rPr>
        <w:t>שָׁמָּה</w:t>
      </w:r>
      <w:r w:rsidRPr="00BA5394">
        <w:rPr>
          <w:rFonts w:eastAsia="Times New Roman" w:cs="Times New Roman"/>
          <w:rtl/>
          <w:lang w:eastAsia="de-DE"/>
        </w:rPr>
        <w:t xml:space="preserve"> </w:t>
      </w:r>
      <w:r w:rsidRPr="00BA5394">
        <w:rPr>
          <w:rFonts w:eastAsia="Times New Roman" w:cs="Times New Roman"/>
          <w:lang w:eastAsia="de-DE"/>
        </w:rPr>
        <w:t>(Adverb „dorthin, dort"). Die Phrase beschreibt das Zelt als Ort der göttlichen Begegnung mit Israel.</w:t>
      </w:r>
    </w:p>
    <w:p w14:paraId="52E0EE8A" w14:textId="342C762A" w:rsidR="000039C6" w:rsidRDefault="000039C6" w:rsidP="00BA5394">
      <w:pPr>
        <w:spacing w:before="100" w:beforeAutospacing="1" w:after="100" w:afterAutospacing="1" w:line="240" w:lineRule="auto"/>
      </w:pPr>
      <w:r>
        <w:rPr>
          <w:rStyle w:val="Fett"/>
        </w:rPr>
        <w:t>Vers 19 (MT) / Vers 4 (LXX):</w:t>
      </w:r>
      <w:r>
        <w:t xml:space="preserve"> </w:t>
      </w:r>
      <w:r>
        <w:rPr>
          <w:rStyle w:val="Fett"/>
        </w:rPr>
        <w:t>Die LXX</w:t>
      </w:r>
      <w:r>
        <w:t xml:space="preserve"> übersetzt „</w:t>
      </w:r>
      <w:r w:rsidRPr="000039C6">
        <w:rPr>
          <w:b/>
          <w:bCs/>
          <w:rtl/>
        </w:rPr>
        <w:t>אֲשֶׁר אִוָּעֵד לָכֶם שָׁמָּה</w:t>
      </w:r>
      <w:r>
        <w:t xml:space="preserve">" (wo ich mich mit euch treffen werde) mit „ἐν οἷς γνωσθήσομαί σοι ἐκεῖ" (wo ich dir dort bekannt gemacht werde), was eine passivere </w:t>
      </w:r>
      <w:r w:rsidR="00F133EC">
        <w:t>Construct</w:t>
      </w:r>
      <w:r>
        <w:t>ion darstellt.</w:t>
      </w:r>
    </w:p>
    <w:p w14:paraId="2E69D7B9" w14:textId="09BA8084"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Die Satzstruktur zeigt einen Hauptsatz mit Verb (Objektsuffix), Präpositionalphrase und zweiter Präpositionalphrase, die durch einen Relativsatz näher bestimmt wird. Insgesamt gibt es einen Nebensatz (Relativsatz).</w:t>
      </w:r>
    </w:p>
    <w:p w14:paraId="2D85A475"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Der Vers bestimmt den heiligsten Ort im Heiligtum als Aufbewahrungsort für die Stäbe – vor der Bundeslade, wo JHWH mit seinem Volk in Verbindung tritt.</w:t>
      </w:r>
    </w:p>
    <w:p w14:paraId="7B02E495"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17,20</w:t>
      </w:r>
    </w:p>
    <w:p w14:paraId="39081E4B"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וְהָיָ֗ה הָאִ֛ישׁ אֲשֶׁ֥ר אֶבְחַר־בּוֹ֖ מַטֵּ֣הוּ יִפְרָ֑ח וַהֲשִׁכֹּתִ֣י מֵֽעָלַ֗י אֶת־תְּלֻנּוֹת֙ בְּנֵ֣י יִשְׂרָאֵ֔ל אֲשֶׁ֛ר הֵ֥ם מַלִּינִ֖ם עֲלֵיכֶֽם׃</w:t>
      </w:r>
    </w:p>
    <w:p w14:paraId="077EE7F6"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Und es wird geschehen: Der Mann, den ich erwählen werde, dessen Stab wird sprossen; und so werde ich vor mir das Murren der Söhne Jisra'els zum Schweigen bringen, das sie gegen euch murren.</w:t>
      </w:r>
    </w:p>
    <w:p w14:paraId="2A956B23"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4EB82A12">
          <v:rect id="_x0000_i1593" style="width:0;height:1.5pt" o:hralign="center" o:hrstd="t" o:hr="t" fillcolor="#a0a0a0" stroked="f"/>
        </w:pict>
      </w:r>
    </w:p>
    <w:p w14:paraId="413BDBFB"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Die Formel </w:t>
      </w:r>
      <w:r w:rsidRPr="00BA5394">
        <w:rPr>
          <w:rFonts w:eastAsia="Times New Roman" w:cs="Times New Roman"/>
          <w:b/>
          <w:bCs/>
          <w:rtl/>
          <w:lang w:eastAsia="de-DE"/>
        </w:rPr>
        <w:t>וְהָיָה</w:t>
      </w:r>
      <w:r w:rsidRPr="00BA5394">
        <w:rPr>
          <w:rFonts w:eastAsia="Times New Roman" w:cs="Times New Roman"/>
          <w:rtl/>
          <w:lang w:eastAsia="de-DE"/>
        </w:rPr>
        <w:t xml:space="preserve"> </w:t>
      </w:r>
      <w:r w:rsidRPr="00BA5394">
        <w:rPr>
          <w:rFonts w:eastAsia="Times New Roman" w:cs="Times New Roman"/>
          <w:lang w:eastAsia="de-DE"/>
        </w:rPr>
        <w:t xml:space="preserve">(Waw + Qal Perfekt, 3. m. sg. von </w:t>
      </w:r>
      <w:r w:rsidRPr="00BA5394">
        <w:rPr>
          <w:rFonts w:eastAsia="Times New Roman" w:cs="Times New Roman"/>
          <w:b/>
          <w:bCs/>
          <w:rtl/>
          <w:lang w:eastAsia="de-DE"/>
        </w:rPr>
        <w:t>היה</w:t>
      </w:r>
      <w:r w:rsidRPr="00BA5394">
        <w:rPr>
          <w:rFonts w:eastAsia="Times New Roman" w:cs="Times New Roman"/>
          <w:lang w:eastAsia="de-DE"/>
        </w:rPr>
        <w:t xml:space="preserve">) bedeutet „und es wird geschehen" und leitet eine futurische Aussage ein. Das Subjekt </w:t>
      </w:r>
      <w:r w:rsidRPr="00BA5394">
        <w:rPr>
          <w:rFonts w:eastAsia="Times New Roman" w:cs="Times New Roman"/>
          <w:b/>
          <w:bCs/>
          <w:rtl/>
          <w:lang w:eastAsia="de-DE"/>
        </w:rPr>
        <w:t>הָאִישׁ</w:t>
      </w:r>
      <w:r w:rsidRPr="00BA5394">
        <w:rPr>
          <w:rFonts w:eastAsia="Times New Roman" w:cs="Times New Roman"/>
          <w:rtl/>
          <w:lang w:eastAsia="de-DE"/>
        </w:rPr>
        <w:t xml:space="preserve"> </w:t>
      </w:r>
      <w:r w:rsidRPr="00BA5394">
        <w:rPr>
          <w:rFonts w:eastAsia="Times New Roman" w:cs="Times New Roman"/>
          <w:lang w:eastAsia="de-DE"/>
        </w:rPr>
        <w:t xml:space="preserve">(„der Mann") wird durch den Relativsatz </w:t>
      </w:r>
      <w:r w:rsidRPr="00BA5394">
        <w:rPr>
          <w:rFonts w:eastAsia="Times New Roman" w:cs="Times New Roman"/>
          <w:b/>
          <w:bCs/>
          <w:rtl/>
          <w:lang w:eastAsia="de-DE"/>
        </w:rPr>
        <w:t>אֲשֶׁר אֶבְחַר־בּוֹ</w:t>
      </w:r>
      <w:r w:rsidRPr="00BA5394">
        <w:rPr>
          <w:rFonts w:eastAsia="Times New Roman" w:cs="Times New Roman"/>
          <w:rtl/>
          <w:lang w:eastAsia="de-DE"/>
        </w:rPr>
        <w:t xml:space="preserve"> </w:t>
      </w:r>
      <w:r w:rsidRPr="00BA5394">
        <w:rPr>
          <w:rFonts w:eastAsia="Times New Roman" w:cs="Times New Roman"/>
          <w:lang w:eastAsia="de-DE"/>
        </w:rPr>
        <w:t xml:space="preserve">näher bestimmt: </w:t>
      </w:r>
      <w:r w:rsidRPr="00BA5394">
        <w:rPr>
          <w:rFonts w:eastAsia="Times New Roman" w:cs="Times New Roman"/>
          <w:b/>
          <w:bCs/>
          <w:rtl/>
          <w:lang w:eastAsia="de-DE"/>
        </w:rPr>
        <w:t>אֲשֶׁר</w:t>
      </w:r>
      <w:r w:rsidRPr="00BA5394">
        <w:rPr>
          <w:rFonts w:eastAsia="Times New Roman" w:cs="Times New Roman"/>
          <w:rtl/>
          <w:lang w:eastAsia="de-DE"/>
        </w:rPr>
        <w:t xml:space="preserve"> </w:t>
      </w:r>
      <w:r w:rsidRPr="00BA5394">
        <w:rPr>
          <w:rFonts w:eastAsia="Times New Roman" w:cs="Times New Roman"/>
          <w:lang w:eastAsia="de-DE"/>
        </w:rPr>
        <w:t xml:space="preserve">ist das Relativpronomen, </w:t>
      </w:r>
      <w:r w:rsidRPr="00BA5394">
        <w:rPr>
          <w:rFonts w:eastAsia="Times New Roman" w:cs="Times New Roman"/>
          <w:b/>
          <w:bCs/>
          <w:rtl/>
          <w:lang w:eastAsia="de-DE"/>
        </w:rPr>
        <w:t>אֶבְחַר</w:t>
      </w:r>
      <w:r w:rsidRPr="00BA5394">
        <w:rPr>
          <w:rFonts w:eastAsia="Times New Roman" w:cs="Times New Roman"/>
          <w:rtl/>
          <w:lang w:eastAsia="de-DE"/>
        </w:rPr>
        <w:t xml:space="preserve"> </w:t>
      </w:r>
      <w:r w:rsidRPr="00BA5394">
        <w:rPr>
          <w:rFonts w:eastAsia="Times New Roman" w:cs="Times New Roman"/>
          <w:lang w:eastAsia="de-DE"/>
        </w:rPr>
        <w:t xml:space="preserve">(Qal Imperfekt, 1. c. sg. von </w:t>
      </w:r>
      <w:r w:rsidRPr="00BA5394">
        <w:rPr>
          <w:rFonts w:eastAsia="Times New Roman" w:cs="Times New Roman"/>
          <w:b/>
          <w:bCs/>
          <w:rtl/>
          <w:lang w:eastAsia="de-DE"/>
        </w:rPr>
        <w:t>בחר</w:t>
      </w:r>
      <w:r w:rsidRPr="00BA5394">
        <w:rPr>
          <w:rFonts w:eastAsia="Times New Roman" w:cs="Times New Roman"/>
          <w:lang w:eastAsia="de-DE"/>
        </w:rPr>
        <w:t xml:space="preserve">) bedeutet „ich werde erwählen", </w:t>
      </w:r>
      <w:r w:rsidRPr="00BA5394">
        <w:rPr>
          <w:rFonts w:eastAsia="Times New Roman" w:cs="Times New Roman"/>
          <w:b/>
          <w:bCs/>
          <w:rtl/>
          <w:lang w:eastAsia="de-DE"/>
        </w:rPr>
        <w:t>בּוֹ</w:t>
      </w:r>
      <w:r w:rsidRPr="00BA5394">
        <w:rPr>
          <w:rFonts w:eastAsia="Times New Roman" w:cs="Times New Roman"/>
          <w:rtl/>
          <w:lang w:eastAsia="de-DE"/>
        </w:rPr>
        <w:t xml:space="preserve"> </w:t>
      </w:r>
      <w:r w:rsidRPr="00BA5394">
        <w:rPr>
          <w:rFonts w:eastAsia="Times New Roman" w:cs="Times New Roman"/>
          <w:lang w:eastAsia="de-DE"/>
        </w:rPr>
        <w:t xml:space="preserve">ist die Präposition </w:t>
      </w:r>
      <w:r w:rsidRPr="00BA5394">
        <w:rPr>
          <w:rFonts w:eastAsia="Times New Roman" w:cs="Times New Roman"/>
          <w:b/>
          <w:bCs/>
          <w:rtl/>
          <w:lang w:eastAsia="de-DE"/>
        </w:rPr>
        <w:t>בְּ</w:t>
      </w:r>
      <w:r w:rsidRPr="00BA5394">
        <w:rPr>
          <w:rFonts w:eastAsia="Times New Roman" w:cs="Times New Roman"/>
          <w:rtl/>
          <w:lang w:eastAsia="de-DE"/>
        </w:rPr>
        <w:t xml:space="preserve"> </w:t>
      </w:r>
      <w:r w:rsidRPr="00BA5394">
        <w:rPr>
          <w:rFonts w:eastAsia="Times New Roman" w:cs="Times New Roman"/>
          <w:lang w:eastAsia="de-DE"/>
        </w:rPr>
        <w:t xml:space="preserve">mit Suffix 3. m. sg. („ihn"). Die Phrase </w:t>
      </w:r>
      <w:r w:rsidRPr="00BA5394">
        <w:rPr>
          <w:rFonts w:eastAsia="Times New Roman" w:cs="Times New Roman"/>
          <w:b/>
          <w:bCs/>
          <w:rtl/>
          <w:lang w:eastAsia="de-DE"/>
        </w:rPr>
        <w:t>מַטֵּהוּ יִפְרָח</w:t>
      </w:r>
      <w:r w:rsidRPr="00BA5394">
        <w:rPr>
          <w:rFonts w:eastAsia="Times New Roman" w:cs="Times New Roman"/>
          <w:rtl/>
          <w:lang w:eastAsia="de-DE"/>
        </w:rPr>
        <w:t xml:space="preserve"> </w:t>
      </w:r>
      <w:r w:rsidRPr="00BA5394">
        <w:rPr>
          <w:rFonts w:eastAsia="Times New Roman" w:cs="Times New Roman"/>
          <w:lang w:eastAsia="de-DE"/>
        </w:rPr>
        <w:t xml:space="preserve">besteht aus </w:t>
      </w:r>
      <w:r w:rsidRPr="00BA5394">
        <w:rPr>
          <w:rFonts w:eastAsia="Times New Roman" w:cs="Times New Roman"/>
          <w:b/>
          <w:bCs/>
          <w:rtl/>
          <w:lang w:eastAsia="de-DE"/>
        </w:rPr>
        <w:t>מַטֵּהוּ</w:t>
      </w:r>
      <w:r w:rsidRPr="00BA5394">
        <w:rPr>
          <w:rFonts w:eastAsia="Times New Roman" w:cs="Times New Roman"/>
          <w:rtl/>
          <w:lang w:eastAsia="de-DE"/>
        </w:rPr>
        <w:t xml:space="preserve"> </w:t>
      </w:r>
      <w:r w:rsidRPr="00BA5394">
        <w:rPr>
          <w:rFonts w:eastAsia="Times New Roman" w:cs="Times New Roman"/>
          <w:lang w:eastAsia="de-DE"/>
        </w:rPr>
        <w:t xml:space="preserve">(„sein Stab" mit Possessivsuffix 3. m. sg.) und </w:t>
      </w:r>
      <w:r w:rsidRPr="00BA5394">
        <w:rPr>
          <w:rFonts w:eastAsia="Times New Roman" w:cs="Times New Roman"/>
          <w:b/>
          <w:bCs/>
          <w:rtl/>
          <w:lang w:eastAsia="de-DE"/>
        </w:rPr>
        <w:t>יִפְרָח</w:t>
      </w:r>
      <w:r w:rsidRPr="00BA5394">
        <w:rPr>
          <w:rFonts w:eastAsia="Times New Roman" w:cs="Times New Roman"/>
          <w:rtl/>
          <w:lang w:eastAsia="de-DE"/>
        </w:rPr>
        <w:t xml:space="preserve"> </w:t>
      </w:r>
      <w:r w:rsidRPr="00BA5394">
        <w:rPr>
          <w:rFonts w:eastAsia="Times New Roman" w:cs="Times New Roman"/>
          <w:lang w:eastAsia="de-DE"/>
        </w:rPr>
        <w:t xml:space="preserve">(Qal Imperfekt, 3. m. sg. von </w:t>
      </w:r>
      <w:r w:rsidRPr="00BA5394">
        <w:rPr>
          <w:rFonts w:eastAsia="Times New Roman" w:cs="Times New Roman"/>
          <w:b/>
          <w:bCs/>
          <w:rtl/>
          <w:lang w:eastAsia="de-DE"/>
        </w:rPr>
        <w:t>פרח</w:t>
      </w:r>
      <w:r w:rsidRPr="00BA5394">
        <w:rPr>
          <w:rFonts w:eastAsia="Times New Roman" w:cs="Times New Roman"/>
          <w:lang w:eastAsia="de-DE"/>
        </w:rPr>
        <w:t>, „sprossen, blühen"). Dies ist das Zeichen der göttlichen Erwählung.</w:t>
      </w:r>
    </w:p>
    <w:p w14:paraId="307303DA"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Das koordinierte Verb </w:t>
      </w:r>
      <w:r w:rsidRPr="00BA5394">
        <w:rPr>
          <w:rFonts w:eastAsia="Times New Roman" w:cs="Times New Roman"/>
          <w:b/>
          <w:bCs/>
          <w:rtl/>
          <w:lang w:eastAsia="de-DE"/>
        </w:rPr>
        <w:t>וַהֲשִׁכֹּתִי</w:t>
      </w:r>
      <w:r w:rsidRPr="00BA5394">
        <w:rPr>
          <w:rFonts w:eastAsia="Times New Roman" w:cs="Times New Roman"/>
          <w:rtl/>
          <w:lang w:eastAsia="de-DE"/>
        </w:rPr>
        <w:t xml:space="preserve"> </w:t>
      </w:r>
      <w:r w:rsidRPr="00BA5394">
        <w:rPr>
          <w:rFonts w:eastAsia="Times New Roman" w:cs="Times New Roman"/>
          <w:lang w:eastAsia="de-DE"/>
        </w:rPr>
        <w:t xml:space="preserve">(Waw + Hifil Perfekt, 1. c. sg. von </w:t>
      </w:r>
      <w:r w:rsidRPr="00BA5394">
        <w:rPr>
          <w:rFonts w:eastAsia="Times New Roman" w:cs="Times New Roman"/>
          <w:b/>
          <w:bCs/>
          <w:rtl/>
          <w:lang w:eastAsia="de-DE"/>
        </w:rPr>
        <w:t>שׁכך</w:t>
      </w:r>
      <w:r w:rsidRPr="00BA5394">
        <w:rPr>
          <w:rFonts w:eastAsia="Times New Roman" w:cs="Times New Roman"/>
          <w:lang w:eastAsia="de-DE"/>
        </w:rPr>
        <w:t xml:space="preserve">) bedeutet „und ich werde zum Schweigen bringen, besänftigen". Die Hifil-Form ist kausativ. Die Präposition </w:t>
      </w:r>
      <w:r w:rsidRPr="00BA5394">
        <w:rPr>
          <w:rFonts w:eastAsia="Times New Roman" w:cs="Times New Roman"/>
          <w:b/>
          <w:bCs/>
          <w:rtl/>
          <w:lang w:eastAsia="de-DE"/>
        </w:rPr>
        <w:t>מֵעָלַי</w:t>
      </w:r>
      <w:r w:rsidRPr="00BA5394">
        <w:rPr>
          <w:rFonts w:eastAsia="Times New Roman" w:cs="Times New Roman"/>
          <w:rtl/>
          <w:lang w:eastAsia="de-DE"/>
        </w:rPr>
        <w:t xml:space="preserve"> </w:t>
      </w:r>
      <w:r w:rsidRPr="00BA5394">
        <w:rPr>
          <w:rFonts w:eastAsia="Times New Roman" w:cs="Times New Roman"/>
          <w:lang w:eastAsia="de-DE"/>
        </w:rPr>
        <w:t xml:space="preserve">(„von mir, vor mir") mit Suffix 1. c. sg. gibt an, von wem das Murren entfernt werden soll. Das Objekt </w:t>
      </w:r>
      <w:r w:rsidRPr="00BA5394">
        <w:rPr>
          <w:rFonts w:eastAsia="Times New Roman" w:cs="Times New Roman"/>
          <w:b/>
          <w:bCs/>
          <w:rtl/>
          <w:lang w:eastAsia="de-DE"/>
        </w:rPr>
        <w:t>אֶת־תְּלֻנּוֹת בְּנֵי יִשְׂרָאֵל</w:t>
      </w:r>
      <w:r w:rsidRPr="00BA5394">
        <w:rPr>
          <w:rFonts w:eastAsia="Times New Roman" w:cs="Times New Roman"/>
          <w:rtl/>
          <w:lang w:eastAsia="de-DE"/>
        </w:rPr>
        <w:t xml:space="preserve"> </w:t>
      </w:r>
      <w:r w:rsidRPr="00BA5394">
        <w:rPr>
          <w:rFonts w:eastAsia="Times New Roman" w:cs="Times New Roman"/>
          <w:lang w:eastAsia="de-DE"/>
        </w:rPr>
        <w:t xml:space="preserve">besteht aus der Objektpartikel, </w:t>
      </w:r>
      <w:r w:rsidRPr="00BA5394">
        <w:rPr>
          <w:rFonts w:eastAsia="Times New Roman" w:cs="Times New Roman"/>
          <w:b/>
          <w:bCs/>
          <w:rtl/>
          <w:lang w:eastAsia="de-DE"/>
        </w:rPr>
        <w:t>תְּלֻנּוֹת</w:t>
      </w:r>
      <w:r w:rsidRPr="00BA5394">
        <w:rPr>
          <w:rFonts w:eastAsia="Times New Roman" w:cs="Times New Roman"/>
          <w:rtl/>
          <w:lang w:eastAsia="de-DE"/>
        </w:rPr>
        <w:t xml:space="preserve"> </w:t>
      </w:r>
      <w:r w:rsidRPr="00BA5394">
        <w:rPr>
          <w:rFonts w:eastAsia="Times New Roman" w:cs="Times New Roman"/>
          <w:lang w:eastAsia="de-DE"/>
        </w:rPr>
        <w:t xml:space="preserve">(Plural von </w:t>
      </w:r>
      <w:r w:rsidRPr="00BA5394">
        <w:rPr>
          <w:rFonts w:eastAsia="Times New Roman" w:cs="Times New Roman"/>
          <w:b/>
          <w:bCs/>
          <w:rtl/>
          <w:lang w:eastAsia="de-DE"/>
        </w:rPr>
        <w:t>תְּלֻנָּה</w:t>
      </w:r>
      <w:r w:rsidRPr="00BA5394">
        <w:rPr>
          <w:rFonts w:eastAsia="Times New Roman" w:cs="Times New Roman"/>
          <w:lang w:eastAsia="de-DE"/>
        </w:rPr>
        <w:t xml:space="preserve">, „Murren, Klage") und </w:t>
      </w:r>
      <w:r w:rsidRPr="00BA5394">
        <w:rPr>
          <w:rFonts w:eastAsia="Times New Roman" w:cs="Times New Roman"/>
          <w:b/>
          <w:bCs/>
          <w:rtl/>
          <w:lang w:eastAsia="de-DE"/>
        </w:rPr>
        <w:t>בְּנֵי יִשְׂרָאֵל</w:t>
      </w:r>
      <w:r w:rsidRPr="00BA5394">
        <w:rPr>
          <w:rFonts w:eastAsia="Times New Roman" w:cs="Times New Roman"/>
          <w:rtl/>
          <w:lang w:eastAsia="de-DE"/>
        </w:rPr>
        <w:t xml:space="preserve"> </w:t>
      </w:r>
      <w:r w:rsidRPr="00BA5394">
        <w:rPr>
          <w:rFonts w:eastAsia="Times New Roman" w:cs="Times New Roman"/>
          <w:lang w:eastAsia="de-DE"/>
        </w:rPr>
        <w:t xml:space="preserve">im Genitiv. Der Relativsatz </w:t>
      </w:r>
      <w:r w:rsidRPr="00BA5394">
        <w:rPr>
          <w:rFonts w:eastAsia="Times New Roman" w:cs="Times New Roman"/>
          <w:b/>
          <w:bCs/>
          <w:rtl/>
          <w:lang w:eastAsia="de-DE"/>
        </w:rPr>
        <w:t>אֲשֶׁר הֵם מַלִּינִם עֲלֵיכֶם</w:t>
      </w:r>
      <w:r w:rsidRPr="00BA5394">
        <w:rPr>
          <w:rFonts w:eastAsia="Times New Roman" w:cs="Times New Roman"/>
          <w:rtl/>
          <w:lang w:eastAsia="de-DE"/>
        </w:rPr>
        <w:t xml:space="preserve"> </w:t>
      </w:r>
      <w:r w:rsidRPr="00BA5394">
        <w:rPr>
          <w:rFonts w:eastAsia="Times New Roman" w:cs="Times New Roman"/>
          <w:lang w:eastAsia="de-DE"/>
        </w:rPr>
        <w:t xml:space="preserve">beschreibt </w:t>
      </w:r>
      <w:r w:rsidRPr="00BA5394">
        <w:rPr>
          <w:rFonts w:eastAsia="Times New Roman" w:cs="Times New Roman"/>
          <w:lang w:eastAsia="de-DE"/>
        </w:rPr>
        <w:lastRenderedPageBreak/>
        <w:t xml:space="preserve">das Murren näher: </w:t>
      </w:r>
      <w:r w:rsidRPr="00BA5394">
        <w:rPr>
          <w:rFonts w:eastAsia="Times New Roman" w:cs="Times New Roman"/>
          <w:b/>
          <w:bCs/>
          <w:rtl/>
          <w:lang w:eastAsia="de-DE"/>
        </w:rPr>
        <w:t>אֲשֶׁר</w:t>
      </w:r>
      <w:r w:rsidRPr="00BA5394">
        <w:rPr>
          <w:rFonts w:eastAsia="Times New Roman" w:cs="Times New Roman"/>
          <w:rtl/>
          <w:lang w:eastAsia="de-DE"/>
        </w:rPr>
        <w:t xml:space="preserve"> </w:t>
      </w:r>
      <w:r w:rsidRPr="00BA5394">
        <w:rPr>
          <w:rFonts w:eastAsia="Times New Roman" w:cs="Times New Roman"/>
          <w:lang w:eastAsia="de-DE"/>
        </w:rPr>
        <w:t xml:space="preserve">ist das Relativpronomen, </w:t>
      </w:r>
      <w:r w:rsidRPr="00BA5394">
        <w:rPr>
          <w:rFonts w:eastAsia="Times New Roman" w:cs="Times New Roman"/>
          <w:b/>
          <w:bCs/>
          <w:rtl/>
          <w:lang w:eastAsia="de-DE"/>
        </w:rPr>
        <w:t>הֵם</w:t>
      </w:r>
      <w:r w:rsidRPr="00BA5394">
        <w:rPr>
          <w:rFonts w:eastAsia="Times New Roman" w:cs="Times New Roman"/>
          <w:rtl/>
          <w:lang w:eastAsia="de-DE"/>
        </w:rPr>
        <w:t xml:space="preserve"> </w:t>
      </w:r>
      <w:r w:rsidRPr="00BA5394">
        <w:rPr>
          <w:rFonts w:eastAsia="Times New Roman" w:cs="Times New Roman"/>
          <w:lang w:eastAsia="de-DE"/>
        </w:rPr>
        <w:t xml:space="preserve">das emphatische Pronomen 3. m. pl., </w:t>
      </w:r>
      <w:r w:rsidRPr="00BA5394">
        <w:rPr>
          <w:rFonts w:eastAsia="Times New Roman" w:cs="Times New Roman"/>
          <w:b/>
          <w:bCs/>
          <w:rtl/>
          <w:lang w:eastAsia="de-DE"/>
        </w:rPr>
        <w:t>מַלִּינִם</w:t>
      </w:r>
      <w:r w:rsidRPr="00BA5394">
        <w:rPr>
          <w:rFonts w:eastAsia="Times New Roman" w:cs="Times New Roman"/>
          <w:rtl/>
          <w:lang w:eastAsia="de-DE"/>
        </w:rPr>
        <w:t xml:space="preserve"> </w:t>
      </w:r>
      <w:r w:rsidRPr="00BA5394">
        <w:rPr>
          <w:rFonts w:eastAsia="Times New Roman" w:cs="Times New Roman"/>
          <w:lang w:eastAsia="de-DE"/>
        </w:rPr>
        <w:t xml:space="preserve">(Hifil Partizip Plural von </w:t>
      </w:r>
      <w:r w:rsidRPr="00BA5394">
        <w:rPr>
          <w:rFonts w:eastAsia="Times New Roman" w:cs="Times New Roman"/>
          <w:b/>
          <w:bCs/>
          <w:rtl/>
          <w:lang w:eastAsia="de-DE"/>
        </w:rPr>
        <w:t>לון</w:t>
      </w:r>
      <w:r w:rsidRPr="00BA5394">
        <w:rPr>
          <w:rFonts w:eastAsia="Times New Roman" w:cs="Times New Roman"/>
          <w:lang w:eastAsia="de-DE"/>
        </w:rPr>
        <w:t xml:space="preserve">) bedeutet „die Murrenden", </w:t>
      </w:r>
      <w:r w:rsidRPr="00BA5394">
        <w:rPr>
          <w:rFonts w:eastAsia="Times New Roman" w:cs="Times New Roman"/>
          <w:b/>
          <w:bCs/>
          <w:rtl/>
          <w:lang w:eastAsia="de-DE"/>
        </w:rPr>
        <w:t>עֲלֵיכֶם</w:t>
      </w:r>
      <w:r w:rsidRPr="00BA5394">
        <w:rPr>
          <w:rFonts w:eastAsia="Times New Roman" w:cs="Times New Roman"/>
          <w:rtl/>
          <w:lang w:eastAsia="de-DE"/>
        </w:rPr>
        <w:t xml:space="preserve"> </w:t>
      </w:r>
      <w:r w:rsidRPr="00BA5394">
        <w:rPr>
          <w:rFonts w:eastAsia="Times New Roman" w:cs="Times New Roman"/>
          <w:lang w:eastAsia="de-DE"/>
        </w:rPr>
        <w:t>ist „gegen euch" (Präposition mit Suffix 2. m. pl.).</w:t>
      </w:r>
    </w:p>
    <w:p w14:paraId="4767899A" w14:textId="3E842F40" w:rsidR="00BA5394" w:rsidRPr="00BA5394" w:rsidRDefault="000039C6" w:rsidP="00BA5394">
      <w:pPr>
        <w:spacing w:before="100" w:beforeAutospacing="1" w:after="100" w:afterAutospacing="1" w:line="240" w:lineRule="auto"/>
        <w:rPr>
          <w:rFonts w:eastAsia="Times New Roman" w:cs="Times New Roman"/>
          <w:lang w:eastAsia="de-DE"/>
        </w:rPr>
      </w:pPr>
      <w:r>
        <w:rPr>
          <w:rStyle w:val="Fett"/>
        </w:rPr>
        <w:t>Vers 20 (MT) / Vers 5 (LXX):</w:t>
      </w:r>
      <w:r>
        <w:t xml:space="preserve"> </w:t>
      </w:r>
      <w:r>
        <w:rPr>
          <w:rStyle w:val="Fett"/>
        </w:rPr>
        <w:t>Die LXX</w:t>
      </w:r>
      <w:r>
        <w:t xml:space="preserve"> übersetzt „</w:t>
      </w:r>
      <w:r w:rsidRPr="000039C6">
        <w:rPr>
          <w:b/>
          <w:bCs/>
          <w:rtl/>
        </w:rPr>
        <w:t>יִפְרָח</w:t>
      </w:r>
      <w:r>
        <w:t>" (wird blühen/sprossen) mit „ἐκβλαστήσει" (wird hervorsprossen), und das hebräische „</w:t>
      </w:r>
      <w:r w:rsidRPr="000039C6">
        <w:rPr>
          <w:b/>
          <w:bCs/>
          <w:rtl/>
        </w:rPr>
        <w:t>וַהֲשִׁכֹּתִי</w:t>
      </w:r>
      <w:r>
        <w:t>" (und ich werde zum Schweigen bringen) wird zu „καὶ περιελῶ" (und ich werde wegnehmen), eine unterschiedliche Nuance der Beendigung des Murrens.</w:t>
      </w:r>
    </w:p>
    <w:p w14:paraId="6A16B6C1"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Die Satzstruktur zeigt einen Hauptsatz mit der Ereignisformel, erweitertem Subjekt (durch Relativsatz), nominaler Aussage mit Subjekt und Verb. Ein zweiter koordinierter Hauptsatz folgt mit Verb, Präpositionalphrase und Objekt, das durch einen weiteren Relativsatz erweitert wird. Insgesamt gibt es zwei Nebensätze (beide Relativsätze).</w:t>
      </w:r>
    </w:p>
    <w:p w14:paraId="046DF3D7"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Der Vers erklärt den Zweck der Stabprobe: Das übernatürliche Zeichen des sprössenden Stabes wird endgültig zeigen, wen JHWH zum Priesterdienst erwählt hat, und damit dem ständigen Murren ein Ende setzen.</w:t>
      </w:r>
    </w:p>
    <w:p w14:paraId="09303DE6"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17,21</w:t>
      </w:r>
    </w:p>
    <w:p w14:paraId="1AC35C46"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וַיְדַבֵּ֨ר מֹשֶׁ֜ה אֶל־בְּנֵ֣י יִשְׂרָאֵ֗ל וַיִּתְּנ֣וּ אֵלָ֣יו׀ כָּֽל־נְשִֽׂיאֵיהֶ֡ם מַטֶּה֩ לְנָשִׂ֨יא אֶחָ֜ד מַטֶּ֨ה לְנָשִׂ֤יא אֶחָד֙ לְבֵ֣ית אֲבֹתָ֔ם שְׁנֵ֥ים עָשָׂ֖ר מַטּ֑וֹת וּמַטֵּ֥ה אַהֲרֹ֖ן בְּת֥וֹךְ מַטּוֹתָֽם׃</w:t>
      </w:r>
    </w:p>
    <w:p w14:paraId="53B7BA5A"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Und Mosche redete zu den Söhnen Jisra'els, und alle ihre Fürsten gaben ihm einen Stab für je einen Fürsten, nach ihren Vaterhäusern, zwölf Stäbe; und der Stab Aharons war unter ihren Stäben.</w:t>
      </w:r>
    </w:p>
    <w:p w14:paraId="4A74EF21"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0A32E097">
          <v:rect id="_x0000_i1594" style="width:0;height:1.5pt" o:hralign="center" o:hrstd="t" o:hr="t" fillcolor="#a0a0a0" stroked="f"/>
        </w:pict>
      </w:r>
    </w:p>
    <w:p w14:paraId="03069611"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Das Verb </w:t>
      </w:r>
      <w:r w:rsidRPr="00BA5394">
        <w:rPr>
          <w:rFonts w:eastAsia="Times New Roman" w:cs="Times New Roman"/>
          <w:b/>
          <w:bCs/>
          <w:rtl/>
          <w:lang w:eastAsia="de-DE"/>
        </w:rPr>
        <w:t>וַיְדַבֵּר</w:t>
      </w:r>
      <w:r w:rsidRPr="00BA5394">
        <w:rPr>
          <w:rFonts w:eastAsia="Times New Roman" w:cs="Times New Roman"/>
          <w:rtl/>
          <w:lang w:eastAsia="de-DE"/>
        </w:rPr>
        <w:t xml:space="preserve"> </w:t>
      </w:r>
      <w:r w:rsidRPr="00BA5394">
        <w:rPr>
          <w:rFonts w:eastAsia="Times New Roman" w:cs="Times New Roman"/>
          <w:lang w:eastAsia="de-DE"/>
        </w:rPr>
        <w:t xml:space="preserve">(Wayyiqtol, 3. m. sg. von </w:t>
      </w:r>
      <w:r w:rsidRPr="00BA5394">
        <w:rPr>
          <w:rFonts w:eastAsia="Times New Roman" w:cs="Times New Roman"/>
          <w:b/>
          <w:bCs/>
          <w:rtl/>
          <w:lang w:eastAsia="de-DE"/>
        </w:rPr>
        <w:t>דבר</w:t>
      </w:r>
      <w:r w:rsidRPr="00BA5394">
        <w:rPr>
          <w:rFonts w:eastAsia="Times New Roman" w:cs="Times New Roman"/>
          <w:rtl/>
          <w:lang w:eastAsia="de-DE"/>
        </w:rPr>
        <w:t xml:space="preserve"> </w:t>
      </w:r>
      <w:r w:rsidRPr="00BA5394">
        <w:rPr>
          <w:rFonts w:eastAsia="Times New Roman" w:cs="Times New Roman"/>
          <w:lang w:eastAsia="de-DE"/>
        </w:rPr>
        <w:t xml:space="preserve">Piel) bedeutet „und er redete". </w:t>
      </w:r>
      <w:r w:rsidRPr="00BA5394">
        <w:rPr>
          <w:rFonts w:eastAsia="Times New Roman" w:cs="Times New Roman"/>
          <w:b/>
          <w:bCs/>
          <w:rtl/>
          <w:lang w:eastAsia="de-DE"/>
        </w:rPr>
        <w:t>מֹשֶׁה</w:t>
      </w:r>
      <w:r w:rsidRPr="00BA5394">
        <w:rPr>
          <w:rFonts w:eastAsia="Times New Roman" w:cs="Times New Roman"/>
          <w:rtl/>
          <w:lang w:eastAsia="de-DE"/>
        </w:rPr>
        <w:t xml:space="preserve"> </w:t>
      </w:r>
      <w:r w:rsidRPr="00BA5394">
        <w:rPr>
          <w:rFonts w:eastAsia="Times New Roman" w:cs="Times New Roman"/>
          <w:lang w:eastAsia="de-DE"/>
        </w:rPr>
        <w:t xml:space="preserve">ist das Subjekt, </w:t>
      </w:r>
      <w:r w:rsidRPr="00BA5394">
        <w:rPr>
          <w:rFonts w:eastAsia="Times New Roman" w:cs="Times New Roman"/>
          <w:b/>
          <w:bCs/>
          <w:rtl/>
          <w:lang w:eastAsia="de-DE"/>
        </w:rPr>
        <w:t>אֶל־בְּנֵי יִשְׂרָאֵל</w:t>
      </w:r>
      <w:r w:rsidRPr="00BA5394">
        <w:rPr>
          <w:rFonts w:eastAsia="Times New Roman" w:cs="Times New Roman"/>
          <w:rtl/>
          <w:lang w:eastAsia="de-DE"/>
        </w:rPr>
        <w:t xml:space="preserve"> </w:t>
      </w:r>
      <w:r w:rsidRPr="00BA5394">
        <w:rPr>
          <w:rFonts w:eastAsia="Times New Roman" w:cs="Times New Roman"/>
          <w:lang w:eastAsia="de-DE"/>
        </w:rPr>
        <w:t xml:space="preserve">die Adressaten. Das koordinierte Verb </w:t>
      </w:r>
      <w:r w:rsidRPr="00BA5394">
        <w:rPr>
          <w:rFonts w:eastAsia="Times New Roman" w:cs="Times New Roman"/>
          <w:b/>
          <w:bCs/>
          <w:rtl/>
          <w:lang w:eastAsia="de-DE"/>
        </w:rPr>
        <w:t>וַיִּתְּנוּ</w:t>
      </w:r>
      <w:r w:rsidRPr="00BA5394">
        <w:rPr>
          <w:rFonts w:eastAsia="Times New Roman" w:cs="Times New Roman"/>
          <w:rtl/>
          <w:lang w:eastAsia="de-DE"/>
        </w:rPr>
        <w:t xml:space="preserve"> </w:t>
      </w:r>
      <w:r w:rsidRPr="00BA5394">
        <w:rPr>
          <w:rFonts w:eastAsia="Times New Roman" w:cs="Times New Roman"/>
          <w:lang w:eastAsia="de-DE"/>
        </w:rPr>
        <w:t xml:space="preserve">(Wayyiqtol, 3. m. pl. von </w:t>
      </w:r>
      <w:r w:rsidRPr="00BA5394">
        <w:rPr>
          <w:rFonts w:eastAsia="Times New Roman" w:cs="Times New Roman"/>
          <w:b/>
          <w:bCs/>
          <w:rtl/>
          <w:lang w:eastAsia="de-DE"/>
        </w:rPr>
        <w:t>נתן</w:t>
      </w:r>
      <w:r w:rsidRPr="00BA5394">
        <w:rPr>
          <w:rFonts w:eastAsia="Times New Roman" w:cs="Times New Roman"/>
          <w:lang w:eastAsia="de-DE"/>
        </w:rPr>
        <w:t xml:space="preserve">) bedeutet „und sie gaben". Das Subjekt </w:t>
      </w:r>
      <w:r w:rsidRPr="00BA5394">
        <w:rPr>
          <w:rFonts w:eastAsia="Times New Roman" w:cs="Times New Roman"/>
          <w:b/>
          <w:bCs/>
          <w:rtl/>
          <w:lang w:eastAsia="de-DE"/>
        </w:rPr>
        <w:t>כָּל־נְשִׂיאֵיהֶם</w:t>
      </w:r>
      <w:r w:rsidRPr="00BA5394">
        <w:rPr>
          <w:rFonts w:eastAsia="Times New Roman" w:cs="Times New Roman"/>
          <w:rtl/>
          <w:lang w:eastAsia="de-DE"/>
        </w:rPr>
        <w:t xml:space="preserve"> </w:t>
      </w:r>
      <w:r w:rsidRPr="00BA5394">
        <w:rPr>
          <w:rFonts w:eastAsia="Times New Roman" w:cs="Times New Roman"/>
          <w:lang w:eastAsia="de-DE"/>
        </w:rPr>
        <w:t>ist „alle ihre Fürsten" (</w:t>
      </w:r>
      <w:r w:rsidRPr="00BA5394">
        <w:rPr>
          <w:rFonts w:eastAsia="Times New Roman" w:cs="Times New Roman"/>
          <w:b/>
          <w:bCs/>
          <w:rtl/>
          <w:lang w:eastAsia="de-DE"/>
        </w:rPr>
        <w:t>כָּל</w:t>
      </w:r>
      <w:r w:rsidRPr="00BA5394">
        <w:rPr>
          <w:rFonts w:eastAsia="Times New Roman" w:cs="Times New Roman"/>
          <w:rtl/>
          <w:lang w:eastAsia="de-DE"/>
        </w:rPr>
        <w:t xml:space="preserve"> </w:t>
      </w:r>
      <w:r w:rsidRPr="00BA5394">
        <w:rPr>
          <w:rFonts w:eastAsia="Times New Roman" w:cs="Times New Roman"/>
          <w:lang w:eastAsia="de-DE"/>
        </w:rPr>
        <w:t xml:space="preserve">im Constructus, </w:t>
      </w:r>
      <w:r w:rsidRPr="00BA5394">
        <w:rPr>
          <w:rFonts w:eastAsia="Times New Roman" w:cs="Times New Roman"/>
          <w:b/>
          <w:bCs/>
          <w:rtl/>
          <w:lang w:eastAsia="de-DE"/>
        </w:rPr>
        <w:t>נְשִׂיאֵיהֶם</w:t>
      </w:r>
      <w:r w:rsidRPr="00BA5394">
        <w:rPr>
          <w:rFonts w:eastAsia="Times New Roman" w:cs="Times New Roman"/>
          <w:rtl/>
          <w:lang w:eastAsia="de-DE"/>
        </w:rPr>
        <w:t xml:space="preserve"> </w:t>
      </w:r>
      <w:r w:rsidRPr="00BA5394">
        <w:rPr>
          <w:rFonts w:eastAsia="Times New Roman" w:cs="Times New Roman"/>
          <w:lang w:eastAsia="de-DE"/>
        </w:rPr>
        <w:t xml:space="preserve">Plural von </w:t>
      </w:r>
      <w:r w:rsidRPr="00BA5394">
        <w:rPr>
          <w:rFonts w:eastAsia="Times New Roman" w:cs="Times New Roman"/>
          <w:b/>
          <w:bCs/>
          <w:rtl/>
          <w:lang w:eastAsia="de-DE"/>
        </w:rPr>
        <w:t>נָשִׂיא</w:t>
      </w:r>
      <w:r w:rsidRPr="00BA5394">
        <w:rPr>
          <w:rFonts w:eastAsia="Times New Roman" w:cs="Times New Roman"/>
          <w:rtl/>
          <w:lang w:eastAsia="de-DE"/>
        </w:rPr>
        <w:t xml:space="preserve"> </w:t>
      </w:r>
      <w:r w:rsidRPr="00BA5394">
        <w:rPr>
          <w:rFonts w:eastAsia="Times New Roman" w:cs="Times New Roman"/>
          <w:lang w:eastAsia="de-DE"/>
        </w:rPr>
        <w:t xml:space="preserve">mit Possessivsuffix 3. m. pl.). </w:t>
      </w:r>
      <w:r w:rsidRPr="00BA5394">
        <w:rPr>
          <w:rFonts w:eastAsia="Times New Roman" w:cs="Times New Roman"/>
          <w:b/>
          <w:bCs/>
          <w:rtl/>
          <w:lang w:eastAsia="de-DE"/>
        </w:rPr>
        <w:t>אֵלָיו</w:t>
      </w:r>
      <w:r w:rsidRPr="00BA5394">
        <w:rPr>
          <w:rFonts w:eastAsia="Times New Roman" w:cs="Times New Roman"/>
          <w:rtl/>
          <w:lang w:eastAsia="de-DE"/>
        </w:rPr>
        <w:t xml:space="preserve"> </w:t>
      </w:r>
      <w:r w:rsidRPr="00BA5394">
        <w:rPr>
          <w:rFonts w:eastAsia="Times New Roman" w:cs="Times New Roman"/>
          <w:lang w:eastAsia="de-DE"/>
        </w:rPr>
        <w:t>ist „zu ihm" (Präposition mit Suffix 3. m. sg., bezogen auf Mose).</w:t>
      </w:r>
    </w:p>
    <w:p w14:paraId="2EB7ABD2" w14:textId="1B41F680"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Die distributive </w:t>
      </w:r>
      <w:r w:rsidR="00F133EC">
        <w:rPr>
          <w:rFonts w:eastAsia="Times New Roman" w:cs="Times New Roman"/>
          <w:lang w:eastAsia="de-DE"/>
        </w:rPr>
        <w:t>Construct</w:t>
      </w:r>
      <w:r w:rsidRPr="00BA5394">
        <w:rPr>
          <w:rFonts w:eastAsia="Times New Roman" w:cs="Times New Roman"/>
          <w:lang w:eastAsia="de-DE"/>
        </w:rPr>
        <w:t xml:space="preserve">ion </w:t>
      </w:r>
      <w:r w:rsidRPr="00BA5394">
        <w:rPr>
          <w:rFonts w:eastAsia="Times New Roman" w:cs="Times New Roman"/>
          <w:b/>
          <w:bCs/>
          <w:rtl/>
          <w:lang w:eastAsia="de-DE"/>
        </w:rPr>
        <w:t>מַטֶּה לְנָשִׂיא אֶחָד מַטֶּה לְנָשִׂיא אֶחָד</w:t>
      </w:r>
      <w:r w:rsidRPr="00BA5394">
        <w:rPr>
          <w:rFonts w:eastAsia="Times New Roman" w:cs="Times New Roman"/>
          <w:rtl/>
          <w:lang w:eastAsia="de-DE"/>
        </w:rPr>
        <w:t xml:space="preserve"> </w:t>
      </w:r>
      <w:r w:rsidRPr="00BA5394">
        <w:rPr>
          <w:rFonts w:eastAsia="Times New Roman" w:cs="Times New Roman"/>
          <w:lang w:eastAsia="de-DE"/>
        </w:rPr>
        <w:t xml:space="preserve">wiederholt die Formulierung zur Betonung: </w:t>
      </w:r>
      <w:r w:rsidRPr="00BA5394">
        <w:rPr>
          <w:rFonts w:eastAsia="Times New Roman" w:cs="Times New Roman"/>
          <w:b/>
          <w:bCs/>
          <w:rtl/>
          <w:lang w:eastAsia="de-DE"/>
        </w:rPr>
        <w:t>מַטֶּה</w:t>
      </w:r>
      <w:r w:rsidRPr="00BA5394">
        <w:rPr>
          <w:rFonts w:eastAsia="Times New Roman" w:cs="Times New Roman"/>
          <w:rtl/>
          <w:lang w:eastAsia="de-DE"/>
        </w:rPr>
        <w:t xml:space="preserve"> </w:t>
      </w:r>
      <w:r w:rsidRPr="00BA5394">
        <w:rPr>
          <w:rFonts w:eastAsia="Times New Roman" w:cs="Times New Roman"/>
          <w:lang w:eastAsia="de-DE"/>
        </w:rPr>
        <w:t xml:space="preserve">(„Stab"), </w:t>
      </w:r>
      <w:r w:rsidRPr="00BA5394">
        <w:rPr>
          <w:rFonts w:eastAsia="Times New Roman" w:cs="Times New Roman"/>
          <w:b/>
          <w:bCs/>
          <w:rtl/>
          <w:lang w:eastAsia="de-DE"/>
        </w:rPr>
        <w:t>לְנָשִׂיא אֶחָד</w:t>
      </w:r>
      <w:r w:rsidRPr="00BA5394">
        <w:rPr>
          <w:rFonts w:eastAsia="Times New Roman" w:cs="Times New Roman"/>
          <w:rtl/>
          <w:lang w:eastAsia="de-DE"/>
        </w:rPr>
        <w:t xml:space="preserve"> </w:t>
      </w:r>
      <w:r w:rsidRPr="00BA5394">
        <w:rPr>
          <w:rFonts w:eastAsia="Times New Roman" w:cs="Times New Roman"/>
          <w:lang w:eastAsia="de-DE"/>
        </w:rPr>
        <w:t xml:space="preserve">(„für einen Fürsten"). Die Präposition </w:t>
      </w:r>
      <w:r w:rsidRPr="00BA5394">
        <w:rPr>
          <w:rFonts w:eastAsia="Times New Roman" w:cs="Times New Roman"/>
          <w:b/>
          <w:bCs/>
          <w:rtl/>
          <w:lang w:eastAsia="de-DE"/>
        </w:rPr>
        <w:t>לְבֵית אֲבֹתָם</w:t>
      </w:r>
      <w:r w:rsidRPr="00BA5394">
        <w:rPr>
          <w:rFonts w:eastAsia="Times New Roman" w:cs="Times New Roman"/>
          <w:rtl/>
          <w:lang w:eastAsia="de-DE"/>
        </w:rPr>
        <w:t xml:space="preserve"> </w:t>
      </w:r>
      <w:r w:rsidRPr="00BA5394">
        <w:rPr>
          <w:rFonts w:eastAsia="Times New Roman" w:cs="Times New Roman"/>
          <w:lang w:eastAsia="de-DE"/>
        </w:rPr>
        <w:t xml:space="preserve">(„nach ihren Vaterhäusern") gibt die Ordnung an. </w:t>
      </w:r>
      <w:r w:rsidRPr="00BA5394">
        <w:rPr>
          <w:rFonts w:eastAsia="Times New Roman" w:cs="Times New Roman"/>
          <w:b/>
          <w:bCs/>
          <w:rtl/>
          <w:lang w:eastAsia="de-DE"/>
        </w:rPr>
        <w:t>שְׁנֵים עָשָׂר מַטּוֹת</w:t>
      </w:r>
      <w:r w:rsidRPr="00BA5394">
        <w:rPr>
          <w:rFonts w:eastAsia="Times New Roman" w:cs="Times New Roman"/>
          <w:rtl/>
          <w:lang w:eastAsia="de-DE"/>
        </w:rPr>
        <w:t xml:space="preserve"> </w:t>
      </w:r>
      <w:r w:rsidRPr="00BA5394">
        <w:rPr>
          <w:rFonts w:eastAsia="Times New Roman" w:cs="Times New Roman"/>
          <w:lang w:eastAsia="de-DE"/>
        </w:rPr>
        <w:t xml:space="preserve">ist „zwölf Stäbe" (Zahlenangabe). Die abschließende Bemerkung </w:t>
      </w:r>
      <w:r w:rsidRPr="00BA5394">
        <w:rPr>
          <w:rFonts w:eastAsia="Times New Roman" w:cs="Times New Roman"/>
          <w:b/>
          <w:bCs/>
          <w:rtl/>
          <w:lang w:eastAsia="de-DE"/>
        </w:rPr>
        <w:t>וּמַטֵּה אַהֲרֹן בְּתוֹךְ מַטּוֹתָם</w:t>
      </w:r>
      <w:r w:rsidRPr="00BA5394">
        <w:rPr>
          <w:rFonts w:eastAsia="Times New Roman" w:cs="Times New Roman"/>
          <w:rtl/>
          <w:lang w:eastAsia="de-DE"/>
        </w:rPr>
        <w:t xml:space="preserve"> </w:t>
      </w:r>
      <w:r w:rsidRPr="00BA5394">
        <w:rPr>
          <w:rFonts w:eastAsia="Times New Roman" w:cs="Times New Roman"/>
          <w:lang w:eastAsia="de-DE"/>
        </w:rPr>
        <w:t xml:space="preserve">besteht aus </w:t>
      </w:r>
      <w:r w:rsidRPr="00BA5394">
        <w:rPr>
          <w:rFonts w:eastAsia="Times New Roman" w:cs="Times New Roman"/>
          <w:b/>
          <w:bCs/>
          <w:rtl/>
          <w:lang w:eastAsia="de-DE"/>
        </w:rPr>
        <w:t>וּ</w:t>
      </w:r>
      <w:r w:rsidRPr="00BA5394">
        <w:rPr>
          <w:rFonts w:eastAsia="Times New Roman" w:cs="Times New Roman"/>
          <w:rtl/>
          <w:lang w:eastAsia="de-DE"/>
        </w:rPr>
        <w:t xml:space="preserve"> </w:t>
      </w:r>
      <w:r w:rsidRPr="00BA5394">
        <w:rPr>
          <w:rFonts w:eastAsia="Times New Roman" w:cs="Times New Roman"/>
          <w:lang w:eastAsia="de-DE"/>
        </w:rPr>
        <w:t xml:space="preserve">(Konjunktion), </w:t>
      </w:r>
      <w:r w:rsidRPr="00BA5394">
        <w:rPr>
          <w:rFonts w:eastAsia="Times New Roman" w:cs="Times New Roman"/>
          <w:b/>
          <w:bCs/>
          <w:rtl/>
          <w:lang w:eastAsia="de-DE"/>
        </w:rPr>
        <w:t>מַטֵּה אַהֲרֹן</w:t>
      </w:r>
      <w:r w:rsidRPr="00BA5394">
        <w:rPr>
          <w:rFonts w:eastAsia="Times New Roman" w:cs="Times New Roman"/>
          <w:rtl/>
          <w:lang w:eastAsia="de-DE"/>
        </w:rPr>
        <w:t xml:space="preserve"> </w:t>
      </w:r>
      <w:r w:rsidRPr="00BA5394">
        <w:rPr>
          <w:rFonts w:eastAsia="Times New Roman" w:cs="Times New Roman"/>
          <w:lang w:eastAsia="de-DE"/>
        </w:rPr>
        <w:t xml:space="preserve">(„der Stab Aarons"), </w:t>
      </w:r>
      <w:r w:rsidRPr="00BA5394">
        <w:rPr>
          <w:rFonts w:eastAsia="Times New Roman" w:cs="Times New Roman"/>
          <w:b/>
          <w:bCs/>
          <w:rtl/>
          <w:lang w:eastAsia="de-DE"/>
        </w:rPr>
        <w:t>בְּתוֹךְ</w:t>
      </w:r>
      <w:r w:rsidRPr="00BA5394">
        <w:rPr>
          <w:rFonts w:eastAsia="Times New Roman" w:cs="Times New Roman"/>
          <w:rtl/>
          <w:lang w:eastAsia="de-DE"/>
        </w:rPr>
        <w:t xml:space="preserve"> </w:t>
      </w:r>
      <w:r w:rsidRPr="00BA5394">
        <w:rPr>
          <w:rFonts w:eastAsia="Times New Roman" w:cs="Times New Roman"/>
          <w:lang w:eastAsia="de-DE"/>
        </w:rPr>
        <w:t xml:space="preserve">(„in der Mitte von") und </w:t>
      </w:r>
      <w:r w:rsidRPr="00BA5394">
        <w:rPr>
          <w:rFonts w:eastAsia="Times New Roman" w:cs="Times New Roman"/>
          <w:b/>
          <w:bCs/>
          <w:rtl/>
          <w:lang w:eastAsia="de-DE"/>
        </w:rPr>
        <w:t>מַטּוֹתָם</w:t>
      </w:r>
      <w:r w:rsidRPr="00BA5394">
        <w:rPr>
          <w:rFonts w:eastAsia="Times New Roman" w:cs="Times New Roman"/>
          <w:rtl/>
          <w:lang w:eastAsia="de-DE"/>
        </w:rPr>
        <w:t xml:space="preserve"> </w:t>
      </w:r>
      <w:r w:rsidRPr="00BA5394">
        <w:rPr>
          <w:rFonts w:eastAsia="Times New Roman" w:cs="Times New Roman"/>
          <w:lang w:eastAsia="de-DE"/>
        </w:rPr>
        <w:t>(„ihre Stäbe" mit Possessivsuffix 3. m. pl.). Die Phrase betont, dass Aarons Stab unter den anderen platziert wurde – keine Sonderbehandlung.</w:t>
      </w:r>
    </w:p>
    <w:p w14:paraId="5747601F"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Die LXX</w:t>
      </w:r>
      <w:r w:rsidRPr="00BA5394">
        <w:rPr>
          <w:rFonts w:eastAsia="Times New Roman" w:cs="Times New Roman"/>
          <w:lang w:eastAsia="de-DE"/>
        </w:rPr>
        <w:t xml:space="preserve"> folgt dem hebräischen Text.</w:t>
      </w:r>
    </w:p>
    <w:p w14:paraId="683F6505" w14:textId="55EE1BF9"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Die Satzstruktur zeigt zwei koordinierte Hauptsätze: Der erste mit Verb, Subjekt und Präpositionalphrase; der zweite mit Verb, Subjekt, indirektem Objekt (Präposition mit Suffix), distributiver </w:t>
      </w:r>
      <w:r w:rsidR="00F133EC">
        <w:rPr>
          <w:rFonts w:eastAsia="Times New Roman" w:cs="Times New Roman"/>
          <w:lang w:eastAsia="de-DE"/>
        </w:rPr>
        <w:t>Construct</w:t>
      </w:r>
      <w:r w:rsidRPr="00BA5394">
        <w:rPr>
          <w:rFonts w:eastAsia="Times New Roman" w:cs="Times New Roman"/>
          <w:lang w:eastAsia="de-DE"/>
        </w:rPr>
        <w:t>ion, Präpositionalphrase und Zahlenangabe. Eine abschließende nominale Bemerkung mit Präpositionalphrase folgt.</w:t>
      </w:r>
    </w:p>
    <w:p w14:paraId="63134FE6"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lastRenderedPageBreak/>
        <w:t>Der Vers beschreibt die Ausführung: Die zwölf Stäbe werden eingesammelt, wobei Aarons Stab ohne besondere Kennzeichnung unter den anderen liegt.</w:t>
      </w:r>
    </w:p>
    <w:p w14:paraId="76ED17A6"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17,22</w:t>
      </w:r>
    </w:p>
    <w:p w14:paraId="00B12721"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וַיַּנַּ֥ח מֹשֶׁ֛ה אֶת־הַמַּטֹּ֖ת לִפְנֵ֣י יְהוָ֑ה בְּאֹ֖הֶל הָעֵדֻֽת׃</w:t>
      </w:r>
    </w:p>
    <w:p w14:paraId="2736DF27"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Und Mosche legte die Stäbe vor dem Ewigen nieder in dem Zelt des Zeugnisses.</w:t>
      </w:r>
    </w:p>
    <w:p w14:paraId="7F1B9D8D"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5CDEB17C">
          <v:rect id="_x0000_i1595" style="width:0;height:1.5pt" o:hralign="center" o:hrstd="t" o:hr="t" fillcolor="#a0a0a0" stroked="f"/>
        </w:pict>
      </w:r>
    </w:p>
    <w:p w14:paraId="61783361"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Das Verb </w:t>
      </w:r>
      <w:r w:rsidRPr="00BA5394">
        <w:rPr>
          <w:rFonts w:eastAsia="Times New Roman" w:cs="Times New Roman"/>
          <w:b/>
          <w:bCs/>
          <w:rtl/>
          <w:lang w:eastAsia="de-DE"/>
        </w:rPr>
        <w:t>וַיַּנַּח</w:t>
      </w:r>
      <w:r w:rsidRPr="00BA5394">
        <w:rPr>
          <w:rFonts w:eastAsia="Times New Roman" w:cs="Times New Roman"/>
          <w:rtl/>
          <w:lang w:eastAsia="de-DE"/>
        </w:rPr>
        <w:t xml:space="preserve"> </w:t>
      </w:r>
      <w:r w:rsidRPr="00BA5394">
        <w:rPr>
          <w:rFonts w:eastAsia="Times New Roman" w:cs="Times New Roman"/>
          <w:lang w:eastAsia="de-DE"/>
        </w:rPr>
        <w:t xml:space="preserve">(Wayyiqtol, 3. m. sg. von </w:t>
      </w:r>
      <w:r w:rsidRPr="00BA5394">
        <w:rPr>
          <w:rFonts w:eastAsia="Times New Roman" w:cs="Times New Roman"/>
          <w:b/>
          <w:bCs/>
          <w:rtl/>
          <w:lang w:eastAsia="de-DE"/>
        </w:rPr>
        <w:t>נוח</w:t>
      </w:r>
      <w:r w:rsidRPr="00BA5394">
        <w:rPr>
          <w:rFonts w:eastAsia="Times New Roman" w:cs="Times New Roman"/>
          <w:rtl/>
          <w:lang w:eastAsia="de-DE"/>
        </w:rPr>
        <w:t xml:space="preserve"> </w:t>
      </w:r>
      <w:r w:rsidRPr="00BA5394">
        <w:rPr>
          <w:rFonts w:eastAsia="Times New Roman" w:cs="Times New Roman"/>
          <w:lang w:eastAsia="de-DE"/>
        </w:rPr>
        <w:t xml:space="preserve">Hifil) bedeutet „und er legte nieder". Die Hifil-Form ist kausativ: „veranlassen zu ruhen, niederlegen". </w:t>
      </w:r>
      <w:r w:rsidRPr="00BA5394">
        <w:rPr>
          <w:rFonts w:eastAsia="Times New Roman" w:cs="Times New Roman"/>
          <w:b/>
          <w:bCs/>
          <w:rtl/>
          <w:lang w:eastAsia="de-DE"/>
        </w:rPr>
        <w:t>מֹשֶׁה</w:t>
      </w:r>
      <w:r w:rsidRPr="00BA5394">
        <w:rPr>
          <w:rFonts w:eastAsia="Times New Roman" w:cs="Times New Roman"/>
          <w:rtl/>
          <w:lang w:eastAsia="de-DE"/>
        </w:rPr>
        <w:t xml:space="preserve"> </w:t>
      </w:r>
      <w:r w:rsidRPr="00BA5394">
        <w:rPr>
          <w:rFonts w:eastAsia="Times New Roman" w:cs="Times New Roman"/>
          <w:lang w:eastAsia="de-DE"/>
        </w:rPr>
        <w:t xml:space="preserve">ist das Subjekt. Das Objekt </w:t>
      </w:r>
      <w:r w:rsidRPr="00BA5394">
        <w:rPr>
          <w:rFonts w:eastAsia="Times New Roman" w:cs="Times New Roman"/>
          <w:b/>
          <w:bCs/>
          <w:rtl/>
          <w:lang w:eastAsia="de-DE"/>
        </w:rPr>
        <w:t>אֶת־הַמַּטֹּת</w:t>
      </w:r>
      <w:r w:rsidRPr="00BA5394">
        <w:rPr>
          <w:rFonts w:eastAsia="Times New Roman" w:cs="Times New Roman"/>
          <w:rtl/>
          <w:lang w:eastAsia="de-DE"/>
        </w:rPr>
        <w:t xml:space="preserve"> </w:t>
      </w:r>
      <w:r w:rsidRPr="00BA5394">
        <w:rPr>
          <w:rFonts w:eastAsia="Times New Roman" w:cs="Times New Roman"/>
          <w:lang w:eastAsia="de-DE"/>
        </w:rPr>
        <w:t xml:space="preserve">ist „die Stäbe" (Plural von </w:t>
      </w:r>
      <w:r w:rsidRPr="00BA5394">
        <w:rPr>
          <w:rFonts w:eastAsia="Times New Roman" w:cs="Times New Roman"/>
          <w:b/>
          <w:bCs/>
          <w:rtl/>
          <w:lang w:eastAsia="de-DE"/>
        </w:rPr>
        <w:t>מַטֶּה</w:t>
      </w:r>
      <w:r w:rsidRPr="00BA5394">
        <w:rPr>
          <w:rFonts w:eastAsia="Times New Roman" w:cs="Times New Roman"/>
          <w:rtl/>
          <w:lang w:eastAsia="de-DE"/>
        </w:rPr>
        <w:t xml:space="preserve"> </w:t>
      </w:r>
      <w:r w:rsidRPr="00BA5394">
        <w:rPr>
          <w:rFonts w:eastAsia="Times New Roman" w:cs="Times New Roman"/>
          <w:lang w:eastAsia="de-DE"/>
        </w:rPr>
        <w:t xml:space="preserve">mit Artikel und Objektpartikel). Die Präposition </w:t>
      </w:r>
      <w:r w:rsidRPr="00BA5394">
        <w:rPr>
          <w:rFonts w:eastAsia="Times New Roman" w:cs="Times New Roman"/>
          <w:b/>
          <w:bCs/>
          <w:rtl/>
          <w:lang w:eastAsia="de-DE"/>
        </w:rPr>
        <w:t>לִפְנֵי יְהוָה</w:t>
      </w:r>
      <w:r w:rsidRPr="00BA5394">
        <w:rPr>
          <w:rFonts w:eastAsia="Times New Roman" w:cs="Times New Roman"/>
          <w:rtl/>
          <w:lang w:eastAsia="de-DE"/>
        </w:rPr>
        <w:t xml:space="preserve"> </w:t>
      </w:r>
      <w:r w:rsidRPr="00BA5394">
        <w:rPr>
          <w:rFonts w:eastAsia="Times New Roman" w:cs="Times New Roman"/>
          <w:lang w:eastAsia="de-DE"/>
        </w:rPr>
        <w:t>(„vor JHWH") gibt den heiligen Ort an.</w:t>
      </w:r>
    </w:p>
    <w:p w14:paraId="5B57E9ED"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Die lokale Präposition </w:t>
      </w:r>
      <w:r w:rsidRPr="00BA5394">
        <w:rPr>
          <w:rFonts w:eastAsia="Times New Roman" w:cs="Times New Roman"/>
          <w:b/>
          <w:bCs/>
          <w:rtl/>
          <w:lang w:eastAsia="de-DE"/>
        </w:rPr>
        <w:t>בְּאֹהֶל הָעֵדֻת</w:t>
      </w:r>
      <w:r w:rsidRPr="00BA5394">
        <w:rPr>
          <w:rFonts w:eastAsia="Times New Roman" w:cs="Times New Roman"/>
          <w:rtl/>
          <w:lang w:eastAsia="de-DE"/>
        </w:rPr>
        <w:t xml:space="preserve"> </w:t>
      </w:r>
      <w:r w:rsidRPr="00BA5394">
        <w:rPr>
          <w:rFonts w:eastAsia="Times New Roman" w:cs="Times New Roman"/>
          <w:lang w:eastAsia="de-DE"/>
        </w:rPr>
        <w:t xml:space="preserve">(„im Zelt des Zeugnisses") präzisiert den Ort. </w:t>
      </w:r>
      <w:r w:rsidRPr="00BA5394">
        <w:rPr>
          <w:rFonts w:eastAsia="Times New Roman" w:cs="Times New Roman"/>
          <w:b/>
          <w:bCs/>
          <w:rtl/>
          <w:lang w:eastAsia="de-DE"/>
        </w:rPr>
        <w:t>אֹהֶל הָעֵדֻת</w:t>
      </w:r>
      <w:r w:rsidRPr="00BA5394">
        <w:rPr>
          <w:rFonts w:eastAsia="Times New Roman" w:cs="Times New Roman"/>
          <w:rtl/>
          <w:lang w:eastAsia="de-DE"/>
        </w:rPr>
        <w:t xml:space="preserve"> </w:t>
      </w:r>
      <w:r w:rsidRPr="00BA5394">
        <w:rPr>
          <w:rFonts w:eastAsia="Times New Roman" w:cs="Times New Roman"/>
          <w:lang w:eastAsia="de-DE"/>
        </w:rPr>
        <w:t xml:space="preserve">ist eine Variante zu </w:t>
      </w:r>
      <w:r w:rsidRPr="00BA5394">
        <w:rPr>
          <w:rFonts w:eastAsia="Times New Roman" w:cs="Times New Roman"/>
          <w:b/>
          <w:bCs/>
          <w:rtl/>
          <w:lang w:eastAsia="de-DE"/>
        </w:rPr>
        <w:t>אֹהֶל מוֹעֵד</w:t>
      </w:r>
      <w:r w:rsidRPr="00BA5394">
        <w:rPr>
          <w:rFonts w:eastAsia="Times New Roman" w:cs="Times New Roman"/>
          <w:rtl/>
          <w:lang w:eastAsia="de-DE"/>
        </w:rPr>
        <w:t xml:space="preserve"> </w:t>
      </w:r>
      <w:r w:rsidRPr="00BA5394">
        <w:rPr>
          <w:rFonts w:eastAsia="Times New Roman" w:cs="Times New Roman"/>
          <w:lang w:eastAsia="de-DE"/>
        </w:rPr>
        <w:t>und betont den Aspekt des Zeugnisses (Bundeslade).</w:t>
      </w:r>
    </w:p>
    <w:p w14:paraId="56B61332"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Die LXX</w:t>
      </w:r>
      <w:r w:rsidRPr="00BA5394">
        <w:rPr>
          <w:rFonts w:eastAsia="Times New Roman" w:cs="Times New Roman"/>
          <w:lang w:eastAsia="de-DE"/>
        </w:rPr>
        <w:t xml:space="preserve"> folgt dem hebräischen Text.</w:t>
      </w:r>
    </w:p>
    <w:p w14:paraId="220B46CC"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Die Satzstruktur zeigt einen einfachen Hauptsatz mit Verb, Subjekt, Objekt und zwei Präpositionalphrasen als Ortsangaben. Es gibt keine Nebensätze.</w:t>
      </w:r>
    </w:p>
    <w:p w14:paraId="25A7CD96"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Der Vers beschreibt Moses Gehorsam: Er legt die Stäbe exakt nach göttlicher Anweisung vor der Bundeslade nieder.</w:t>
      </w:r>
    </w:p>
    <w:p w14:paraId="3186C64A"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17,23</w:t>
      </w:r>
    </w:p>
    <w:p w14:paraId="1A71D3B6"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וַיְהִ֣י מִֽמָּחֳרָ֗ת וַיָּבֹ֤א מֹשֶׁה֙ אֶל־אֹ֣הֶל הָעֵד֔וּת וְהִנֵּ֛ה פָּרַ֥ח מַטֵּֽה־אַהֲרֹ֖ן לְבֵ֣ית לֵוִ֑י וַיֹּ֤צֵֽא פֶ֨רַח֙ וַיָּ֣צֵֽץ צִ֔יץ וַיִּגְמֹ֖ל שְׁקֵדִֽים׃</w:t>
      </w:r>
    </w:p>
    <w:p w14:paraId="1BD3A3E4"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Und es geschah am nächsten Morgen, als Mosche in das Zelt des Zeugnisses hineinging, siehe, da hatte der Stab Aharons für das Haus Levi gesprosst: er hatte Sprossen getrieben und Blüten hervorgebracht und Mandeln gereift.</w:t>
      </w:r>
    </w:p>
    <w:p w14:paraId="21433334"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664BB777">
          <v:rect id="_x0000_i1596" style="width:0;height:1.5pt" o:hralign="center" o:hrstd="t" o:hr="t" fillcolor="#a0a0a0" stroked="f"/>
        </w:pict>
      </w:r>
    </w:p>
    <w:p w14:paraId="2A100F69"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Die Formel </w:t>
      </w:r>
      <w:r w:rsidRPr="00BA5394">
        <w:rPr>
          <w:rFonts w:eastAsia="Times New Roman" w:cs="Times New Roman"/>
          <w:b/>
          <w:bCs/>
          <w:rtl/>
          <w:lang w:eastAsia="de-DE"/>
        </w:rPr>
        <w:t>וַיְהִי</w:t>
      </w:r>
      <w:r w:rsidRPr="00BA5394">
        <w:rPr>
          <w:rFonts w:eastAsia="Times New Roman" w:cs="Times New Roman"/>
          <w:rtl/>
          <w:lang w:eastAsia="de-DE"/>
        </w:rPr>
        <w:t xml:space="preserve"> </w:t>
      </w:r>
      <w:r w:rsidRPr="00BA5394">
        <w:rPr>
          <w:rFonts w:eastAsia="Times New Roman" w:cs="Times New Roman"/>
          <w:lang w:eastAsia="de-DE"/>
        </w:rPr>
        <w:t xml:space="preserve">(Wayyiqtol von </w:t>
      </w:r>
      <w:r w:rsidRPr="00BA5394">
        <w:rPr>
          <w:rFonts w:eastAsia="Times New Roman" w:cs="Times New Roman"/>
          <w:b/>
          <w:bCs/>
          <w:rtl/>
          <w:lang w:eastAsia="de-DE"/>
        </w:rPr>
        <w:t>היה</w:t>
      </w:r>
      <w:r w:rsidRPr="00BA5394">
        <w:rPr>
          <w:rFonts w:eastAsia="Times New Roman" w:cs="Times New Roman"/>
          <w:lang w:eastAsia="de-DE"/>
        </w:rPr>
        <w:t xml:space="preserve">) leitet das bedeutsame Ereignis ein. Das temporale Adverb </w:t>
      </w:r>
      <w:r w:rsidRPr="00BA5394">
        <w:rPr>
          <w:rFonts w:eastAsia="Times New Roman" w:cs="Times New Roman"/>
          <w:b/>
          <w:bCs/>
          <w:rtl/>
          <w:lang w:eastAsia="de-DE"/>
        </w:rPr>
        <w:t>מִמָּחֳרָת</w:t>
      </w:r>
      <w:r w:rsidRPr="00BA5394">
        <w:rPr>
          <w:rFonts w:eastAsia="Times New Roman" w:cs="Times New Roman"/>
          <w:rtl/>
          <w:lang w:eastAsia="de-DE"/>
        </w:rPr>
        <w:t xml:space="preserve"> </w:t>
      </w:r>
      <w:r w:rsidRPr="00BA5394">
        <w:rPr>
          <w:rFonts w:eastAsia="Times New Roman" w:cs="Times New Roman"/>
          <w:lang w:eastAsia="de-DE"/>
        </w:rPr>
        <w:t xml:space="preserve">(„am nächsten Morgen") mit </w:t>
      </w:r>
      <w:r w:rsidRPr="00BA5394">
        <w:rPr>
          <w:rFonts w:eastAsia="Times New Roman" w:cs="Times New Roman"/>
          <w:b/>
          <w:bCs/>
          <w:rtl/>
          <w:lang w:eastAsia="de-DE"/>
        </w:rPr>
        <w:t>מִן</w:t>
      </w:r>
      <w:r w:rsidRPr="00BA5394">
        <w:rPr>
          <w:rFonts w:eastAsia="Times New Roman" w:cs="Times New Roman"/>
          <w:rtl/>
          <w:lang w:eastAsia="de-DE"/>
        </w:rPr>
        <w:t xml:space="preserve"> </w:t>
      </w:r>
      <w:r w:rsidRPr="00BA5394">
        <w:rPr>
          <w:rFonts w:eastAsia="Times New Roman" w:cs="Times New Roman"/>
          <w:lang w:eastAsia="de-DE"/>
        </w:rPr>
        <w:t xml:space="preserve">gibt die Zeit an. Das koordinierte Verb </w:t>
      </w:r>
      <w:r w:rsidRPr="00BA5394">
        <w:rPr>
          <w:rFonts w:eastAsia="Times New Roman" w:cs="Times New Roman"/>
          <w:b/>
          <w:bCs/>
          <w:rtl/>
          <w:lang w:eastAsia="de-DE"/>
        </w:rPr>
        <w:t>וַיָּבֹא</w:t>
      </w:r>
      <w:r w:rsidRPr="00BA5394">
        <w:rPr>
          <w:rFonts w:eastAsia="Times New Roman" w:cs="Times New Roman"/>
          <w:rtl/>
          <w:lang w:eastAsia="de-DE"/>
        </w:rPr>
        <w:t xml:space="preserve"> </w:t>
      </w:r>
      <w:r w:rsidRPr="00BA5394">
        <w:rPr>
          <w:rFonts w:eastAsia="Times New Roman" w:cs="Times New Roman"/>
          <w:lang w:eastAsia="de-DE"/>
        </w:rPr>
        <w:t xml:space="preserve">(Wayyiqtol von </w:t>
      </w:r>
      <w:r w:rsidRPr="00BA5394">
        <w:rPr>
          <w:rFonts w:eastAsia="Times New Roman" w:cs="Times New Roman"/>
          <w:b/>
          <w:bCs/>
          <w:rtl/>
          <w:lang w:eastAsia="de-DE"/>
        </w:rPr>
        <w:t>בוא</w:t>
      </w:r>
      <w:r w:rsidRPr="00BA5394">
        <w:rPr>
          <w:rFonts w:eastAsia="Times New Roman" w:cs="Times New Roman"/>
          <w:lang w:eastAsia="de-DE"/>
        </w:rPr>
        <w:t xml:space="preserve">) bedeutet „und er kam, ging hinein". </w:t>
      </w:r>
      <w:r w:rsidRPr="00BA5394">
        <w:rPr>
          <w:rFonts w:eastAsia="Times New Roman" w:cs="Times New Roman"/>
          <w:b/>
          <w:bCs/>
          <w:rtl/>
          <w:lang w:eastAsia="de-DE"/>
        </w:rPr>
        <w:t>מֹשֶׁה</w:t>
      </w:r>
      <w:r w:rsidRPr="00BA5394">
        <w:rPr>
          <w:rFonts w:eastAsia="Times New Roman" w:cs="Times New Roman"/>
          <w:rtl/>
          <w:lang w:eastAsia="de-DE"/>
        </w:rPr>
        <w:t xml:space="preserve"> </w:t>
      </w:r>
      <w:r w:rsidRPr="00BA5394">
        <w:rPr>
          <w:rFonts w:eastAsia="Times New Roman" w:cs="Times New Roman"/>
          <w:lang w:eastAsia="de-DE"/>
        </w:rPr>
        <w:t xml:space="preserve">ist das Subjekt. Die Präposition </w:t>
      </w:r>
      <w:r w:rsidRPr="00BA5394">
        <w:rPr>
          <w:rFonts w:eastAsia="Times New Roman" w:cs="Times New Roman"/>
          <w:b/>
          <w:bCs/>
          <w:rtl/>
          <w:lang w:eastAsia="de-DE"/>
        </w:rPr>
        <w:t>אֶל־אֹהֶל הָעֵדוּת</w:t>
      </w:r>
      <w:r w:rsidRPr="00BA5394">
        <w:rPr>
          <w:rFonts w:eastAsia="Times New Roman" w:cs="Times New Roman"/>
          <w:rtl/>
          <w:lang w:eastAsia="de-DE"/>
        </w:rPr>
        <w:t xml:space="preserve"> </w:t>
      </w:r>
      <w:r w:rsidRPr="00BA5394">
        <w:rPr>
          <w:rFonts w:eastAsia="Times New Roman" w:cs="Times New Roman"/>
          <w:lang w:eastAsia="de-DE"/>
        </w:rPr>
        <w:t>gibt das Ziel an.</w:t>
      </w:r>
    </w:p>
    <w:p w14:paraId="452BE77E"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Die Interjektion </w:t>
      </w:r>
      <w:r w:rsidRPr="00BA5394">
        <w:rPr>
          <w:rFonts w:eastAsia="Times New Roman" w:cs="Times New Roman"/>
          <w:b/>
          <w:bCs/>
          <w:rtl/>
          <w:lang w:eastAsia="de-DE"/>
        </w:rPr>
        <w:t>וְהִנֵּה</w:t>
      </w:r>
      <w:r w:rsidRPr="00BA5394">
        <w:rPr>
          <w:rFonts w:eastAsia="Times New Roman" w:cs="Times New Roman"/>
          <w:rtl/>
          <w:lang w:eastAsia="de-DE"/>
        </w:rPr>
        <w:t xml:space="preserve"> </w:t>
      </w:r>
      <w:r w:rsidRPr="00BA5394">
        <w:rPr>
          <w:rFonts w:eastAsia="Times New Roman" w:cs="Times New Roman"/>
          <w:lang w:eastAsia="de-DE"/>
        </w:rPr>
        <w:t xml:space="preserve">(„und siehe") leitet die überraschende Entdeckung ein. Das Verb </w:t>
      </w:r>
      <w:r w:rsidRPr="00BA5394">
        <w:rPr>
          <w:rFonts w:eastAsia="Times New Roman" w:cs="Times New Roman"/>
          <w:b/>
          <w:bCs/>
          <w:rtl/>
          <w:lang w:eastAsia="de-DE"/>
        </w:rPr>
        <w:t>פָּרַח</w:t>
      </w:r>
      <w:r w:rsidRPr="00BA5394">
        <w:rPr>
          <w:rFonts w:eastAsia="Times New Roman" w:cs="Times New Roman"/>
          <w:rtl/>
          <w:lang w:eastAsia="de-DE"/>
        </w:rPr>
        <w:t xml:space="preserve"> </w:t>
      </w:r>
      <w:r w:rsidRPr="00BA5394">
        <w:rPr>
          <w:rFonts w:eastAsia="Times New Roman" w:cs="Times New Roman"/>
          <w:lang w:eastAsia="de-DE"/>
        </w:rPr>
        <w:t xml:space="preserve">(Qal Perfekt, 3. m. sg. von </w:t>
      </w:r>
      <w:r w:rsidRPr="00BA5394">
        <w:rPr>
          <w:rFonts w:eastAsia="Times New Roman" w:cs="Times New Roman"/>
          <w:b/>
          <w:bCs/>
          <w:rtl/>
          <w:lang w:eastAsia="de-DE"/>
        </w:rPr>
        <w:t>פרח</w:t>
      </w:r>
      <w:r w:rsidRPr="00BA5394">
        <w:rPr>
          <w:rFonts w:eastAsia="Times New Roman" w:cs="Times New Roman"/>
          <w:lang w:eastAsia="de-DE"/>
        </w:rPr>
        <w:t xml:space="preserve">) bedeutet „er hat gesprosst, geblüht". Das Subjekt </w:t>
      </w:r>
      <w:r w:rsidRPr="00BA5394">
        <w:rPr>
          <w:rFonts w:eastAsia="Times New Roman" w:cs="Times New Roman"/>
          <w:b/>
          <w:bCs/>
          <w:rtl/>
          <w:lang w:eastAsia="de-DE"/>
        </w:rPr>
        <w:t>מַטֵּה־אַהֲרֹן</w:t>
      </w:r>
      <w:r w:rsidRPr="00BA5394">
        <w:rPr>
          <w:rFonts w:eastAsia="Times New Roman" w:cs="Times New Roman"/>
          <w:rtl/>
          <w:lang w:eastAsia="de-DE"/>
        </w:rPr>
        <w:t xml:space="preserve"> </w:t>
      </w:r>
      <w:r w:rsidRPr="00BA5394">
        <w:rPr>
          <w:rFonts w:eastAsia="Times New Roman" w:cs="Times New Roman"/>
          <w:lang w:eastAsia="de-DE"/>
        </w:rPr>
        <w:t xml:space="preserve">ist „der Stab Aarons". Die Präposition </w:t>
      </w:r>
      <w:r w:rsidRPr="00BA5394">
        <w:rPr>
          <w:rFonts w:eastAsia="Times New Roman" w:cs="Times New Roman"/>
          <w:b/>
          <w:bCs/>
          <w:rtl/>
          <w:lang w:eastAsia="de-DE"/>
        </w:rPr>
        <w:t>לְבֵית לֵוִי</w:t>
      </w:r>
      <w:r w:rsidRPr="00BA5394">
        <w:rPr>
          <w:rFonts w:eastAsia="Times New Roman" w:cs="Times New Roman"/>
          <w:rtl/>
          <w:lang w:eastAsia="de-DE"/>
        </w:rPr>
        <w:t xml:space="preserve"> </w:t>
      </w:r>
      <w:r w:rsidRPr="00BA5394">
        <w:rPr>
          <w:rFonts w:eastAsia="Times New Roman" w:cs="Times New Roman"/>
          <w:lang w:eastAsia="de-DE"/>
        </w:rPr>
        <w:t xml:space="preserve">(„für das Haus Levi") identifiziert den Stamm. Die drei koordinierten Verben beschreiben das Wunder in Steigerung: </w:t>
      </w:r>
      <w:r w:rsidRPr="00BA5394">
        <w:rPr>
          <w:rFonts w:eastAsia="Times New Roman" w:cs="Times New Roman"/>
          <w:b/>
          <w:bCs/>
          <w:rtl/>
          <w:lang w:eastAsia="de-DE"/>
        </w:rPr>
        <w:t>וַיֹּצֵא פֶרַח</w:t>
      </w:r>
      <w:r w:rsidRPr="00BA5394">
        <w:rPr>
          <w:rFonts w:eastAsia="Times New Roman" w:cs="Times New Roman"/>
          <w:rtl/>
          <w:lang w:eastAsia="de-DE"/>
        </w:rPr>
        <w:t xml:space="preserve"> </w:t>
      </w:r>
      <w:r w:rsidRPr="00BA5394">
        <w:rPr>
          <w:rFonts w:eastAsia="Times New Roman" w:cs="Times New Roman"/>
          <w:lang w:eastAsia="de-DE"/>
        </w:rPr>
        <w:t xml:space="preserve">(Wayyiqtol von </w:t>
      </w:r>
      <w:r w:rsidRPr="00BA5394">
        <w:rPr>
          <w:rFonts w:eastAsia="Times New Roman" w:cs="Times New Roman"/>
          <w:b/>
          <w:bCs/>
          <w:rtl/>
          <w:lang w:eastAsia="de-DE"/>
        </w:rPr>
        <w:t>יצא</w:t>
      </w:r>
      <w:r w:rsidRPr="00BA5394">
        <w:rPr>
          <w:rFonts w:eastAsia="Times New Roman" w:cs="Times New Roman"/>
          <w:rtl/>
          <w:lang w:eastAsia="de-DE"/>
        </w:rPr>
        <w:t xml:space="preserve"> </w:t>
      </w:r>
      <w:r w:rsidRPr="00BA5394">
        <w:rPr>
          <w:rFonts w:eastAsia="Times New Roman" w:cs="Times New Roman"/>
          <w:lang w:eastAsia="de-DE"/>
        </w:rPr>
        <w:t xml:space="preserve">plus Objekt </w:t>
      </w:r>
      <w:r w:rsidRPr="00BA5394">
        <w:rPr>
          <w:rFonts w:eastAsia="Times New Roman" w:cs="Times New Roman"/>
          <w:b/>
          <w:bCs/>
          <w:rtl/>
          <w:lang w:eastAsia="de-DE"/>
        </w:rPr>
        <w:t>פֶרַח</w:t>
      </w:r>
      <w:r w:rsidRPr="00BA5394">
        <w:rPr>
          <w:rFonts w:eastAsia="Times New Roman" w:cs="Times New Roman"/>
          <w:rtl/>
          <w:lang w:eastAsia="de-DE"/>
        </w:rPr>
        <w:t xml:space="preserve"> </w:t>
      </w:r>
      <w:r w:rsidRPr="00BA5394">
        <w:rPr>
          <w:rFonts w:eastAsia="Times New Roman" w:cs="Times New Roman"/>
          <w:lang w:eastAsia="de-DE"/>
        </w:rPr>
        <w:t xml:space="preserve">„Spross, Knospe") „und er brachte Sprossen hervor", </w:t>
      </w:r>
      <w:r w:rsidRPr="00BA5394">
        <w:rPr>
          <w:rFonts w:eastAsia="Times New Roman" w:cs="Times New Roman"/>
          <w:b/>
          <w:bCs/>
          <w:rtl/>
          <w:lang w:eastAsia="de-DE"/>
        </w:rPr>
        <w:t>וַיָּצֵץ צִיץ</w:t>
      </w:r>
      <w:r w:rsidRPr="00BA5394">
        <w:rPr>
          <w:rFonts w:eastAsia="Times New Roman" w:cs="Times New Roman"/>
          <w:rtl/>
          <w:lang w:eastAsia="de-DE"/>
        </w:rPr>
        <w:t xml:space="preserve"> </w:t>
      </w:r>
      <w:r w:rsidRPr="00BA5394">
        <w:rPr>
          <w:rFonts w:eastAsia="Times New Roman" w:cs="Times New Roman"/>
          <w:lang w:eastAsia="de-DE"/>
        </w:rPr>
        <w:lastRenderedPageBreak/>
        <w:t xml:space="preserve">(Wayyiqtol von </w:t>
      </w:r>
      <w:r w:rsidRPr="00BA5394">
        <w:rPr>
          <w:rFonts w:eastAsia="Times New Roman" w:cs="Times New Roman"/>
          <w:b/>
          <w:bCs/>
          <w:rtl/>
          <w:lang w:eastAsia="de-DE"/>
        </w:rPr>
        <w:t>נצץ</w:t>
      </w:r>
      <w:r w:rsidRPr="00BA5394">
        <w:rPr>
          <w:rFonts w:eastAsia="Times New Roman" w:cs="Times New Roman"/>
          <w:rtl/>
          <w:lang w:eastAsia="de-DE"/>
        </w:rPr>
        <w:t xml:space="preserve"> </w:t>
      </w:r>
      <w:r w:rsidRPr="00BA5394">
        <w:rPr>
          <w:rFonts w:eastAsia="Times New Roman" w:cs="Times New Roman"/>
          <w:lang w:eastAsia="de-DE"/>
        </w:rPr>
        <w:t xml:space="preserve">Hifil plus Objekt </w:t>
      </w:r>
      <w:r w:rsidRPr="00BA5394">
        <w:rPr>
          <w:rFonts w:eastAsia="Times New Roman" w:cs="Times New Roman"/>
          <w:b/>
          <w:bCs/>
          <w:rtl/>
          <w:lang w:eastAsia="de-DE"/>
        </w:rPr>
        <w:t>צִיץ</w:t>
      </w:r>
      <w:r w:rsidRPr="00BA5394">
        <w:rPr>
          <w:rFonts w:eastAsia="Times New Roman" w:cs="Times New Roman"/>
          <w:rtl/>
          <w:lang w:eastAsia="de-DE"/>
        </w:rPr>
        <w:t xml:space="preserve"> </w:t>
      </w:r>
      <w:r w:rsidRPr="00BA5394">
        <w:rPr>
          <w:rFonts w:eastAsia="Times New Roman" w:cs="Times New Roman"/>
          <w:lang w:eastAsia="de-DE"/>
        </w:rPr>
        <w:t xml:space="preserve">„Blüte") „und er ließ Blüten hervorbrechen", </w:t>
      </w:r>
      <w:r w:rsidRPr="00BA5394">
        <w:rPr>
          <w:rFonts w:eastAsia="Times New Roman" w:cs="Times New Roman"/>
          <w:b/>
          <w:bCs/>
          <w:rtl/>
          <w:lang w:eastAsia="de-DE"/>
        </w:rPr>
        <w:t>וַיִּגְמֹל שְׁקֵדִים</w:t>
      </w:r>
      <w:r w:rsidRPr="00BA5394">
        <w:rPr>
          <w:rFonts w:eastAsia="Times New Roman" w:cs="Times New Roman"/>
          <w:rtl/>
          <w:lang w:eastAsia="de-DE"/>
        </w:rPr>
        <w:t xml:space="preserve"> </w:t>
      </w:r>
      <w:r w:rsidRPr="00BA5394">
        <w:rPr>
          <w:rFonts w:eastAsia="Times New Roman" w:cs="Times New Roman"/>
          <w:lang w:eastAsia="de-DE"/>
        </w:rPr>
        <w:t xml:space="preserve">(Wayyiqtol von </w:t>
      </w:r>
      <w:r w:rsidRPr="00BA5394">
        <w:rPr>
          <w:rFonts w:eastAsia="Times New Roman" w:cs="Times New Roman"/>
          <w:b/>
          <w:bCs/>
          <w:rtl/>
          <w:lang w:eastAsia="de-DE"/>
        </w:rPr>
        <w:t>גמל</w:t>
      </w:r>
      <w:r w:rsidRPr="00BA5394">
        <w:rPr>
          <w:rFonts w:eastAsia="Times New Roman" w:cs="Times New Roman"/>
          <w:rtl/>
          <w:lang w:eastAsia="de-DE"/>
        </w:rPr>
        <w:t xml:space="preserve"> </w:t>
      </w:r>
      <w:r w:rsidRPr="00BA5394">
        <w:rPr>
          <w:rFonts w:eastAsia="Times New Roman" w:cs="Times New Roman"/>
          <w:lang w:eastAsia="de-DE"/>
        </w:rPr>
        <w:t xml:space="preserve">plus Objekt </w:t>
      </w:r>
      <w:r w:rsidRPr="00BA5394">
        <w:rPr>
          <w:rFonts w:eastAsia="Times New Roman" w:cs="Times New Roman"/>
          <w:b/>
          <w:bCs/>
          <w:rtl/>
          <w:lang w:eastAsia="de-DE"/>
        </w:rPr>
        <w:t>שְׁקֵדִים</w:t>
      </w:r>
      <w:r w:rsidRPr="00BA5394">
        <w:rPr>
          <w:rFonts w:eastAsia="Times New Roman" w:cs="Times New Roman"/>
          <w:lang w:eastAsia="de-DE"/>
        </w:rPr>
        <w:t xml:space="preserve">, Plural von </w:t>
      </w:r>
      <w:r w:rsidRPr="00BA5394">
        <w:rPr>
          <w:rFonts w:eastAsia="Times New Roman" w:cs="Times New Roman"/>
          <w:b/>
          <w:bCs/>
          <w:rtl/>
          <w:lang w:eastAsia="de-DE"/>
        </w:rPr>
        <w:t>שָׁקֵד</w:t>
      </w:r>
      <w:r w:rsidRPr="00BA5394">
        <w:rPr>
          <w:rFonts w:eastAsia="Times New Roman" w:cs="Times New Roman"/>
          <w:rtl/>
          <w:lang w:eastAsia="de-DE"/>
        </w:rPr>
        <w:t xml:space="preserve"> </w:t>
      </w:r>
      <w:r w:rsidRPr="00BA5394">
        <w:rPr>
          <w:rFonts w:eastAsia="Times New Roman" w:cs="Times New Roman"/>
          <w:lang w:eastAsia="de-DE"/>
        </w:rPr>
        <w:t>„Mandel") „und er reifte Mandeln". Die dreifache Steigerung vom Spross über die Blüte bis zur reifen Frucht unterstreicht das übernatürliche Wunder – ein kompletter Wachstumszyklus über Nacht.</w:t>
      </w:r>
    </w:p>
    <w:p w14:paraId="696C9E6B" w14:textId="77777777" w:rsidR="000039C6" w:rsidRDefault="000039C6" w:rsidP="00BA5394">
      <w:pPr>
        <w:spacing w:before="100" w:beforeAutospacing="1" w:after="100" w:afterAutospacing="1" w:line="240" w:lineRule="auto"/>
      </w:pPr>
      <w:r>
        <w:rPr>
          <w:rStyle w:val="Fett"/>
        </w:rPr>
        <w:t>Vers 23 (MT) / Vers 8 (LXX):</w:t>
      </w:r>
      <w:r>
        <w:t xml:space="preserve"> </w:t>
      </w:r>
      <w:r>
        <w:rPr>
          <w:rStyle w:val="Fett"/>
        </w:rPr>
        <w:t>Die LXX</w:t>
      </w:r>
      <w:r>
        <w:t xml:space="preserve"> fügt hinzu „καὶ εἰσῆλθεν Μωυσῆς καὶ Ἀαρών" (und Mose und Aaron gingen hinein), während das Hebräische nur Mose erwähnt. Zudem übersetzt die LXX „</w:t>
      </w:r>
      <w:r w:rsidRPr="000039C6">
        <w:rPr>
          <w:b/>
          <w:bCs/>
          <w:rtl/>
        </w:rPr>
        <w:t>שְׁקֵדִים</w:t>
      </w:r>
      <w:r>
        <w:t>" (Mandeln) mit „κάρυα" (Nüsse), was allgemeiner ist.</w:t>
      </w:r>
    </w:p>
    <w:p w14:paraId="3B1AC19B" w14:textId="0706608B"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Die Satzstruktur zeigt einen Hauptsatz mit der Ereignisformel und temporaler Bestimmung, gefolgt von einem koordinierten Hauptsatz mit Verb, Subjekt und Präpositionalphrase. Die Entdeckung wird mit Interjektion, Verb, Subjekt und Präpositionalphrase eingeleitet, gefolgt von drei koordinierten Hauptsätzen, die das Wunder beschreiben.</w:t>
      </w:r>
    </w:p>
    <w:p w14:paraId="0C823DE4" w14:textId="75DB63D1" w:rsid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Der Vers beschreibt das dramatische Ergebnis: Aarons Stab allein hat über Nacht nicht nur gesprosst, sondern den gesamten Wachstumszyklus vom Spross über die Blüte bis zur reifen Frucht durchlaufen – ein eindeutiges göttliches Zeichen.</w:t>
      </w:r>
    </w:p>
    <w:p w14:paraId="04C87E3E" w14:textId="77777777" w:rsidR="00DA2FFF" w:rsidRPr="00DA2FFF" w:rsidRDefault="00DA2FFF" w:rsidP="00B00345">
      <w:pPr>
        <w:pStyle w:val="berschrift4"/>
        <w:rPr>
          <w:rFonts w:eastAsia="Times New Roman"/>
          <w:lang w:eastAsia="de-DE"/>
        </w:rPr>
      </w:pPr>
      <w:r w:rsidRPr="00DA2FFF">
        <w:rPr>
          <w:rFonts w:eastAsia="Times New Roman"/>
          <w:lang w:eastAsia="de-DE"/>
        </w:rPr>
        <w:t xml:space="preserve">Exkurs: Warum Mandeln? Die Symbolik von </w:t>
      </w:r>
      <w:r w:rsidRPr="00B00345">
        <w:rPr>
          <w:rFonts w:eastAsia="Times New Roman"/>
          <w:i w:val="0"/>
          <w:iCs w:val="0"/>
          <w:rtl/>
          <w:lang w:eastAsia="de-DE"/>
        </w:rPr>
        <w:t>שָׁקֵד</w:t>
      </w:r>
    </w:p>
    <w:p w14:paraId="1A9FCB6B"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Numeri 17,23:</w:t>
      </w:r>
    </w:p>
    <w:p w14:paraId="7F4B98DD" w14:textId="77777777" w:rsidR="00DA2FFF" w:rsidRPr="00DA2FFF" w:rsidRDefault="00DA2FFF" w:rsidP="00DA2FFF">
      <w:pPr>
        <w:spacing w:beforeAutospacing="1" w:after="100" w:afterAutospacing="1" w:line="240" w:lineRule="auto"/>
        <w:rPr>
          <w:rFonts w:eastAsia="Times New Roman" w:cs="Times New Roman"/>
          <w:lang w:eastAsia="de-DE"/>
        </w:rPr>
      </w:pPr>
      <w:r w:rsidRPr="00DA2FFF">
        <w:rPr>
          <w:rFonts w:eastAsia="Times New Roman" w:cs="Times New Roman"/>
          <w:rtl/>
          <w:lang w:eastAsia="de-DE"/>
        </w:rPr>
        <w:t>וַיִּגְמֹל שְׁקֵדִים</w:t>
      </w:r>
      <w:r w:rsidRPr="00DA2FFF">
        <w:rPr>
          <w:rFonts w:eastAsia="Times New Roman" w:cs="Times New Roman"/>
          <w:lang w:eastAsia="de-DE"/>
        </w:rPr>
        <w:br/>
        <w:t xml:space="preserve">"Und er reifte </w:t>
      </w:r>
      <w:r w:rsidRPr="00DA2FFF">
        <w:rPr>
          <w:rFonts w:eastAsia="Times New Roman" w:cs="Times New Roman"/>
          <w:b/>
          <w:bCs/>
          <w:lang w:eastAsia="de-DE"/>
        </w:rPr>
        <w:t>Mandeln</w:t>
      </w:r>
      <w:r w:rsidRPr="00DA2FFF">
        <w:rPr>
          <w:rFonts w:eastAsia="Times New Roman" w:cs="Times New Roman"/>
          <w:lang w:eastAsia="de-DE"/>
        </w:rPr>
        <w:t>"</w:t>
      </w:r>
    </w:p>
    <w:p w14:paraId="1234640D"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Die Frage:</w:t>
      </w:r>
    </w:p>
    <w:p w14:paraId="7EEF13AC"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Warum ausgerechnet </w:t>
      </w:r>
      <w:r w:rsidRPr="00DA2FFF">
        <w:rPr>
          <w:rFonts w:eastAsia="Times New Roman" w:cs="Times New Roman"/>
          <w:b/>
          <w:bCs/>
          <w:lang w:eastAsia="de-DE"/>
        </w:rPr>
        <w:t>Mandeln</w:t>
      </w:r>
      <w:r w:rsidRPr="00DA2FFF">
        <w:rPr>
          <w:rFonts w:eastAsia="Times New Roman" w:cs="Times New Roman"/>
          <w:lang w:eastAsia="de-DE"/>
        </w:rPr>
        <w:t xml:space="preserve"> (</w:t>
      </w:r>
      <w:r w:rsidRPr="00DA2FFF">
        <w:rPr>
          <w:rFonts w:eastAsia="Times New Roman" w:cs="Times New Roman"/>
          <w:rtl/>
          <w:lang w:eastAsia="de-DE"/>
        </w:rPr>
        <w:t>שְׁקֵדִים</w:t>
      </w:r>
      <w:r w:rsidRPr="00DA2FFF">
        <w:rPr>
          <w:rFonts w:eastAsia="Times New Roman" w:cs="Times New Roman"/>
          <w:lang w:eastAsia="de-DE"/>
        </w:rPr>
        <w:t>)? Warum nicht Trauben, Feigen oder Oliven?</w:t>
      </w:r>
    </w:p>
    <w:p w14:paraId="34D29C3B"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 xml:space="preserve">1. Botanische Bedeutung: </w:t>
      </w:r>
      <w:r w:rsidRPr="00DA2FFF">
        <w:rPr>
          <w:rFonts w:eastAsia="Times New Roman" w:cs="Times New Roman"/>
          <w:b/>
          <w:bCs/>
          <w:rtl/>
          <w:lang w:eastAsia="de-DE"/>
        </w:rPr>
        <w:t>שָׁקֵד</w:t>
      </w:r>
      <w:r w:rsidRPr="00DA2FFF">
        <w:rPr>
          <w:rFonts w:eastAsia="Times New Roman" w:cs="Times New Roman"/>
          <w:b/>
          <w:bCs/>
          <w:lang w:eastAsia="de-DE"/>
        </w:rPr>
        <w:t xml:space="preserve"> = "Der Wachsame"</w:t>
      </w:r>
    </w:p>
    <w:p w14:paraId="0EC048E5"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Etymologie:</w:t>
      </w:r>
    </w:p>
    <w:p w14:paraId="01B93B48" w14:textId="77777777" w:rsidR="00DA2FFF" w:rsidRPr="00DA2FFF" w:rsidRDefault="00DA2FFF" w:rsidP="00B358B7">
      <w:pPr>
        <w:numPr>
          <w:ilvl w:val="0"/>
          <w:numId w:val="155"/>
        </w:numPr>
        <w:spacing w:before="100" w:beforeAutospacing="1" w:after="100" w:afterAutospacing="1" w:line="240" w:lineRule="auto"/>
        <w:rPr>
          <w:rFonts w:eastAsia="Times New Roman" w:cs="Times New Roman"/>
          <w:lang w:eastAsia="de-DE"/>
        </w:rPr>
      </w:pPr>
      <w:r w:rsidRPr="00DA2FFF">
        <w:rPr>
          <w:rFonts w:eastAsia="Times New Roman" w:cs="Times New Roman"/>
          <w:b/>
          <w:bCs/>
          <w:rtl/>
          <w:lang w:eastAsia="de-DE"/>
        </w:rPr>
        <w:t>שָׁקֵד</w:t>
      </w:r>
      <w:r w:rsidRPr="00DA2FFF">
        <w:rPr>
          <w:rFonts w:eastAsia="Times New Roman" w:cs="Times New Roman"/>
          <w:rtl/>
          <w:lang w:eastAsia="de-DE"/>
        </w:rPr>
        <w:t xml:space="preserve"> </w:t>
      </w:r>
      <w:r w:rsidRPr="00DA2FFF">
        <w:rPr>
          <w:rFonts w:eastAsia="Times New Roman" w:cs="Times New Roman"/>
          <w:lang w:eastAsia="de-DE"/>
        </w:rPr>
        <w:t>(shaqed) = Mandelbaum</w:t>
      </w:r>
    </w:p>
    <w:p w14:paraId="3A23F493" w14:textId="77777777" w:rsidR="00DA2FFF" w:rsidRPr="00DA2FFF" w:rsidRDefault="00DA2FFF" w:rsidP="00B358B7">
      <w:pPr>
        <w:numPr>
          <w:ilvl w:val="0"/>
          <w:numId w:val="155"/>
        </w:num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Von </w:t>
      </w:r>
      <w:r w:rsidRPr="00DA2FFF">
        <w:rPr>
          <w:rFonts w:eastAsia="Times New Roman" w:cs="Times New Roman"/>
          <w:b/>
          <w:bCs/>
          <w:rtl/>
          <w:lang w:eastAsia="de-DE"/>
        </w:rPr>
        <w:t>שָׁקַד</w:t>
      </w:r>
      <w:r w:rsidRPr="00DA2FFF">
        <w:rPr>
          <w:rFonts w:eastAsia="Times New Roman" w:cs="Times New Roman"/>
          <w:rtl/>
          <w:lang w:eastAsia="de-DE"/>
        </w:rPr>
        <w:t xml:space="preserve"> </w:t>
      </w:r>
      <w:r w:rsidRPr="00DA2FFF">
        <w:rPr>
          <w:rFonts w:eastAsia="Times New Roman" w:cs="Times New Roman"/>
          <w:lang w:eastAsia="de-DE"/>
        </w:rPr>
        <w:t xml:space="preserve">(shaqad) = </w:t>
      </w:r>
      <w:r w:rsidRPr="00DA2FFF">
        <w:rPr>
          <w:rFonts w:eastAsia="Times New Roman" w:cs="Times New Roman"/>
          <w:b/>
          <w:bCs/>
          <w:lang w:eastAsia="de-DE"/>
        </w:rPr>
        <w:t>wachen, wachsam sein, früh aufwachen</w:t>
      </w:r>
    </w:p>
    <w:p w14:paraId="106A86D2"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Botanische Besonderheit:</w:t>
      </w:r>
    </w:p>
    <w:p w14:paraId="61C2E17B"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Der Mandelbaum ist der </w:t>
      </w:r>
      <w:r w:rsidRPr="00DA2FFF">
        <w:rPr>
          <w:rFonts w:eastAsia="Times New Roman" w:cs="Times New Roman"/>
          <w:b/>
          <w:bCs/>
          <w:lang w:eastAsia="de-DE"/>
        </w:rPr>
        <w:t>erste Baum</w:t>
      </w:r>
      <w:r w:rsidRPr="00DA2FFF">
        <w:rPr>
          <w:rFonts w:eastAsia="Times New Roman" w:cs="Times New Roman"/>
          <w:lang w:eastAsia="de-DE"/>
        </w:rPr>
        <w:t xml:space="preserve">, der im </w:t>
      </w:r>
      <w:r w:rsidRPr="00DA2FFF">
        <w:rPr>
          <w:rFonts w:eastAsia="Times New Roman" w:cs="Times New Roman"/>
          <w:b/>
          <w:bCs/>
          <w:lang w:eastAsia="de-DE"/>
        </w:rPr>
        <w:t>israelitischen Winter</w:t>
      </w:r>
      <w:r w:rsidRPr="00DA2FFF">
        <w:rPr>
          <w:rFonts w:eastAsia="Times New Roman" w:cs="Times New Roman"/>
          <w:lang w:eastAsia="de-DE"/>
        </w:rPr>
        <w:t xml:space="preserve"> (Januar/Februar) </w:t>
      </w:r>
      <w:r w:rsidRPr="00DA2FFF">
        <w:rPr>
          <w:rFonts w:eastAsia="Times New Roman" w:cs="Times New Roman"/>
          <w:b/>
          <w:bCs/>
          <w:lang w:eastAsia="de-DE"/>
        </w:rPr>
        <w:t>blüht</w:t>
      </w:r>
      <w:r w:rsidRPr="00DA2FFF">
        <w:rPr>
          <w:rFonts w:eastAsia="Times New Roman" w:cs="Times New Roman"/>
          <w:lang w:eastAsia="de-DE"/>
        </w:rPr>
        <w:t xml:space="preserve"> – oft noch </w:t>
      </w:r>
      <w:r w:rsidRPr="00DA2FFF">
        <w:rPr>
          <w:rFonts w:eastAsia="Times New Roman" w:cs="Times New Roman"/>
          <w:b/>
          <w:bCs/>
          <w:lang w:eastAsia="de-DE"/>
        </w:rPr>
        <w:t>bei Schnee</w:t>
      </w:r>
      <w:r w:rsidRPr="00DA2FFF">
        <w:rPr>
          <w:rFonts w:eastAsia="Times New Roman" w:cs="Times New Roman"/>
          <w:lang w:eastAsia="de-DE"/>
        </w:rPr>
        <w:t>!</w:t>
      </w:r>
    </w:p>
    <w:p w14:paraId="0C51188F"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 Er "wacht" (</w:t>
      </w:r>
      <w:r w:rsidRPr="00DA2FFF">
        <w:rPr>
          <w:rFonts w:eastAsia="Times New Roman" w:cs="Times New Roman"/>
          <w:b/>
          <w:bCs/>
          <w:rtl/>
          <w:lang w:eastAsia="de-DE"/>
        </w:rPr>
        <w:t>שָׁקַד</w:t>
      </w:r>
      <w:r w:rsidRPr="00DA2FFF">
        <w:rPr>
          <w:rFonts w:eastAsia="Times New Roman" w:cs="Times New Roman"/>
          <w:b/>
          <w:bCs/>
          <w:lang w:eastAsia="de-DE"/>
        </w:rPr>
        <w:t>) als erster auf und verkündet den Frühling!</w:t>
      </w:r>
    </w:p>
    <w:p w14:paraId="1E27D681"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Jeremia 1,11-12 – Wortspiel:</w:t>
      </w:r>
    </w:p>
    <w:p w14:paraId="795CE14F" w14:textId="77777777" w:rsidR="00DA2FFF" w:rsidRPr="00DA2FFF" w:rsidRDefault="00DA2FFF" w:rsidP="00DA2FFF">
      <w:pPr>
        <w:spacing w:beforeAutospacing="1" w:after="100" w:afterAutospacing="1" w:line="240" w:lineRule="auto"/>
        <w:rPr>
          <w:rFonts w:eastAsia="Times New Roman" w:cs="Times New Roman"/>
          <w:lang w:eastAsia="de-DE"/>
        </w:rPr>
      </w:pPr>
      <w:r w:rsidRPr="00DA2FFF">
        <w:rPr>
          <w:rFonts w:eastAsia="Times New Roman" w:cs="Times New Roman"/>
          <w:rtl/>
          <w:lang w:eastAsia="de-DE"/>
        </w:rPr>
        <w:t xml:space="preserve">וַיְהִי דְבַר־יְהוָה אֵלַי לֵאמֹר מָה־אַתָּה רֹאֶה יִרְמְיָהוּ וָאֹמַר </w:t>
      </w:r>
      <w:r w:rsidRPr="00DA2FFF">
        <w:rPr>
          <w:rFonts w:eastAsia="Times New Roman" w:cs="Times New Roman"/>
          <w:b/>
          <w:bCs/>
          <w:rtl/>
          <w:lang w:eastAsia="de-DE"/>
        </w:rPr>
        <w:t>מַקֵּל שָׁקֵד</w:t>
      </w:r>
      <w:r w:rsidRPr="00DA2FFF">
        <w:rPr>
          <w:rFonts w:eastAsia="Times New Roman" w:cs="Times New Roman"/>
          <w:rtl/>
          <w:lang w:eastAsia="de-DE"/>
        </w:rPr>
        <w:t xml:space="preserve"> אֲנִי רֹאֶה׃</w:t>
      </w:r>
      <w:r w:rsidRPr="00DA2FFF">
        <w:rPr>
          <w:rFonts w:eastAsia="Times New Roman" w:cs="Times New Roman"/>
          <w:lang w:eastAsia="de-DE"/>
        </w:rPr>
        <w:br/>
      </w:r>
      <w:r w:rsidRPr="00DA2FFF">
        <w:rPr>
          <w:rFonts w:eastAsia="Times New Roman" w:cs="Times New Roman"/>
          <w:rtl/>
          <w:lang w:eastAsia="de-DE"/>
        </w:rPr>
        <w:t>וַיֹּאמֶר יְהוָה אֵלַי הֵיטַבְתָּ לִרְאוֹת כִּי־</w:t>
      </w:r>
      <w:r w:rsidRPr="00DA2FFF">
        <w:rPr>
          <w:rFonts w:eastAsia="Times New Roman" w:cs="Times New Roman"/>
          <w:b/>
          <w:bCs/>
          <w:rtl/>
          <w:lang w:eastAsia="de-DE"/>
        </w:rPr>
        <w:t>שֹׁקֵד</w:t>
      </w:r>
      <w:r w:rsidRPr="00DA2FFF">
        <w:rPr>
          <w:rFonts w:eastAsia="Times New Roman" w:cs="Times New Roman"/>
          <w:rtl/>
          <w:lang w:eastAsia="de-DE"/>
        </w:rPr>
        <w:t xml:space="preserve"> אֲנִי עַל־דְּבָרִי לַעֲשֹׂתוֹ׃</w:t>
      </w:r>
    </w:p>
    <w:p w14:paraId="7B3C9AB7" w14:textId="5B60CD72"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lastRenderedPageBreak/>
        <w:t xml:space="preserve">"Und das Wort des </w:t>
      </w:r>
      <w:r w:rsidR="00095BF0">
        <w:rPr>
          <w:rFonts w:eastAsia="Times New Roman" w:cs="Times New Roman"/>
          <w:lang w:eastAsia="de-DE"/>
        </w:rPr>
        <w:t>Ewigen</w:t>
      </w:r>
      <w:r w:rsidRPr="00DA2FFF">
        <w:rPr>
          <w:rFonts w:eastAsia="Times New Roman" w:cs="Times New Roman"/>
          <w:lang w:eastAsia="de-DE"/>
        </w:rPr>
        <w:t xml:space="preserve"> erging an mich: Was siehst du, Jeremia? Und ich sprach: Ich sehe einen </w:t>
      </w:r>
      <w:r w:rsidRPr="00DA2FFF">
        <w:rPr>
          <w:rFonts w:eastAsia="Times New Roman" w:cs="Times New Roman"/>
          <w:b/>
          <w:bCs/>
          <w:lang w:eastAsia="de-DE"/>
        </w:rPr>
        <w:t>Mandelzweig</w:t>
      </w:r>
      <w:r w:rsidRPr="00DA2FFF">
        <w:rPr>
          <w:rFonts w:eastAsia="Times New Roman" w:cs="Times New Roman"/>
          <w:lang w:eastAsia="de-DE"/>
        </w:rPr>
        <w:t xml:space="preserve"> (</w:t>
      </w:r>
      <w:r w:rsidRPr="00DA2FFF">
        <w:rPr>
          <w:rFonts w:eastAsia="Times New Roman" w:cs="Times New Roman"/>
          <w:rtl/>
          <w:lang w:eastAsia="de-DE"/>
        </w:rPr>
        <w:t>מַקֵּל שָׁקֵד</w:t>
      </w:r>
      <w:r w:rsidRPr="00DA2FFF">
        <w:rPr>
          <w:rFonts w:eastAsia="Times New Roman" w:cs="Times New Roman"/>
          <w:lang w:eastAsia="de-DE"/>
        </w:rPr>
        <w:t>).</w:t>
      </w:r>
      <w:r w:rsidRPr="00DA2FFF">
        <w:rPr>
          <w:rFonts w:eastAsia="Times New Roman" w:cs="Times New Roman"/>
          <w:lang w:eastAsia="de-DE"/>
        </w:rPr>
        <w:br/>
        <w:t xml:space="preserve">Und der HERR sprach zu mir: Du hast recht gesehen; denn ich </w:t>
      </w:r>
      <w:r w:rsidRPr="00DA2FFF">
        <w:rPr>
          <w:rFonts w:eastAsia="Times New Roman" w:cs="Times New Roman"/>
          <w:b/>
          <w:bCs/>
          <w:lang w:eastAsia="de-DE"/>
        </w:rPr>
        <w:t>wache</w:t>
      </w:r>
      <w:r w:rsidRPr="00DA2FFF">
        <w:rPr>
          <w:rFonts w:eastAsia="Times New Roman" w:cs="Times New Roman"/>
          <w:lang w:eastAsia="de-DE"/>
        </w:rPr>
        <w:t xml:space="preserve"> (</w:t>
      </w:r>
      <w:r w:rsidRPr="00DA2FFF">
        <w:rPr>
          <w:rFonts w:eastAsia="Times New Roman" w:cs="Times New Roman"/>
          <w:rtl/>
          <w:lang w:eastAsia="de-DE"/>
        </w:rPr>
        <w:t>שֹׁקֵד</w:t>
      </w:r>
      <w:r w:rsidRPr="00DA2FFF">
        <w:rPr>
          <w:rFonts w:eastAsia="Times New Roman" w:cs="Times New Roman"/>
          <w:lang w:eastAsia="de-DE"/>
        </w:rPr>
        <w:t>) über meinem Wort, es zu erfüllen."</w:t>
      </w:r>
    </w:p>
    <w:p w14:paraId="5F086AF8"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 xml:space="preserve">→ Wortspiel: </w:t>
      </w:r>
      <w:r w:rsidRPr="00DA2FFF">
        <w:rPr>
          <w:rFonts w:eastAsia="Times New Roman" w:cs="Times New Roman"/>
          <w:b/>
          <w:bCs/>
          <w:rtl/>
          <w:lang w:eastAsia="de-DE"/>
        </w:rPr>
        <w:t>שָׁקֵד</w:t>
      </w:r>
      <w:r w:rsidRPr="00DA2FFF">
        <w:rPr>
          <w:rFonts w:eastAsia="Times New Roman" w:cs="Times New Roman"/>
          <w:b/>
          <w:bCs/>
          <w:lang w:eastAsia="de-DE"/>
        </w:rPr>
        <w:t xml:space="preserve"> (Mandel) ↔ </w:t>
      </w:r>
      <w:r w:rsidRPr="00DA2FFF">
        <w:rPr>
          <w:rFonts w:eastAsia="Times New Roman" w:cs="Times New Roman"/>
          <w:b/>
          <w:bCs/>
          <w:rtl/>
          <w:lang w:eastAsia="de-DE"/>
        </w:rPr>
        <w:t>שֹׁקֵד</w:t>
      </w:r>
      <w:r w:rsidRPr="00DA2FFF">
        <w:rPr>
          <w:rFonts w:eastAsia="Times New Roman" w:cs="Times New Roman"/>
          <w:b/>
          <w:bCs/>
          <w:lang w:eastAsia="de-DE"/>
        </w:rPr>
        <w:t xml:space="preserve"> (wachend)!</w:t>
      </w:r>
    </w:p>
    <w:p w14:paraId="60FC9C1C" w14:textId="51D4D070" w:rsidR="00DA2FFF" w:rsidRDefault="00DA2FFF" w:rsidP="00DA2FFF">
      <w:pPr>
        <w:spacing w:before="100" w:beforeAutospacing="1" w:after="100" w:afterAutospacing="1" w:line="240" w:lineRule="auto"/>
        <w:rPr>
          <w:rFonts w:eastAsia="Times New Roman" w:cs="Times New Roman"/>
          <w:b/>
          <w:bCs/>
          <w:lang w:eastAsia="de-DE"/>
        </w:rPr>
      </w:pPr>
      <w:r w:rsidRPr="00DA2FFF">
        <w:rPr>
          <w:rFonts w:eastAsia="Times New Roman" w:cs="Times New Roman"/>
          <w:b/>
          <w:bCs/>
          <w:lang w:eastAsia="de-DE"/>
        </w:rPr>
        <w:t>Bedeutung für Num 17,23:</w:t>
      </w:r>
    </w:p>
    <w:tbl>
      <w:tblPr>
        <w:tblStyle w:val="Tabellenraster"/>
        <w:tblW w:w="4994" w:type="pct"/>
        <w:tblLook w:val="04A0" w:firstRow="1" w:lastRow="0" w:firstColumn="1" w:lastColumn="0" w:noHBand="0" w:noVBand="1"/>
      </w:tblPr>
      <w:tblGrid>
        <w:gridCol w:w="2829"/>
        <w:gridCol w:w="2978"/>
        <w:gridCol w:w="3244"/>
      </w:tblGrid>
      <w:tr w:rsidR="00DA2FFF" w14:paraId="0120F1FE" w14:textId="77777777" w:rsidTr="00DA2FFF">
        <w:tc>
          <w:tcPr>
            <w:tcW w:w="1563" w:type="pct"/>
            <w:vAlign w:val="center"/>
          </w:tcPr>
          <w:p w14:paraId="52888313" w14:textId="1D872363"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Symbol</w:t>
            </w:r>
          </w:p>
        </w:tc>
        <w:tc>
          <w:tcPr>
            <w:tcW w:w="1645" w:type="pct"/>
            <w:vAlign w:val="center"/>
          </w:tcPr>
          <w:p w14:paraId="5A196324" w14:textId="6465587E"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Bedeutung</w:t>
            </w:r>
          </w:p>
        </w:tc>
        <w:tc>
          <w:tcPr>
            <w:tcW w:w="1792" w:type="pct"/>
            <w:vAlign w:val="center"/>
          </w:tcPr>
          <w:p w14:paraId="1AFD43DB" w14:textId="1F00B736"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Anwendung auf Aaron</w:t>
            </w:r>
          </w:p>
        </w:tc>
      </w:tr>
      <w:tr w:rsidR="00DA2FFF" w14:paraId="3A1DDC60" w14:textId="77777777" w:rsidTr="00DA2FFF">
        <w:tc>
          <w:tcPr>
            <w:tcW w:w="1563" w:type="pct"/>
            <w:vAlign w:val="center"/>
          </w:tcPr>
          <w:p w14:paraId="67F0510C" w14:textId="0504CBCA"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rtl/>
                <w:lang w:eastAsia="de-DE"/>
              </w:rPr>
              <w:t>שָׁקֵד</w:t>
            </w:r>
            <w:r w:rsidRPr="00DA2FFF">
              <w:rPr>
                <w:rFonts w:eastAsia="Times New Roman" w:cs="Times New Roman"/>
                <w:b/>
                <w:bCs/>
                <w:lang w:eastAsia="de-DE"/>
              </w:rPr>
              <w:t xml:space="preserve"> = "Der Wachsame"</w:t>
            </w:r>
          </w:p>
        </w:tc>
        <w:tc>
          <w:tcPr>
            <w:tcW w:w="1645" w:type="pct"/>
            <w:vAlign w:val="center"/>
          </w:tcPr>
          <w:p w14:paraId="096226E9" w14:textId="240AACC5"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Mandelbaum wacht als </w:t>
            </w:r>
            <w:r w:rsidRPr="00DA2FFF">
              <w:rPr>
                <w:rFonts w:eastAsia="Times New Roman" w:cs="Times New Roman"/>
                <w:b/>
                <w:bCs/>
                <w:lang w:eastAsia="de-DE"/>
              </w:rPr>
              <w:t>erster</w:t>
            </w:r>
            <w:r w:rsidRPr="00DA2FFF">
              <w:rPr>
                <w:rFonts w:eastAsia="Times New Roman" w:cs="Times New Roman"/>
                <w:lang w:eastAsia="de-DE"/>
              </w:rPr>
              <w:t xml:space="preserve"> auf</w:t>
            </w:r>
          </w:p>
        </w:tc>
        <w:tc>
          <w:tcPr>
            <w:tcW w:w="1792" w:type="pct"/>
            <w:vAlign w:val="center"/>
          </w:tcPr>
          <w:p w14:paraId="157B66A7" w14:textId="4892D7BC"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Aaron ist </w:t>
            </w:r>
            <w:r w:rsidRPr="00DA2FFF">
              <w:rPr>
                <w:rFonts w:eastAsia="Times New Roman" w:cs="Times New Roman"/>
                <w:b/>
                <w:bCs/>
                <w:lang w:eastAsia="de-DE"/>
              </w:rPr>
              <w:t>erwacht</w:t>
            </w:r>
            <w:r w:rsidRPr="00DA2FFF">
              <w:rPr>
                <w:rFonts w:eastAsia="Times New Roman" w:cs="Times New Roman"/>
                <w:lang w:eastAsia="de-DE"/>
              </w:rPr>
              <w:t xml:space="preserve"> zum Leben – Gott hat ihn </w:t>
            </w:r>
            <w:r w:rsidRPr="00DA2FFF">
              <w:rPr>
                <w:rFonts w:eastAsia="Times New Roman" w:cs="Times New Roman"/>
                <w:b/>
                <w:bCs/>
                <w:lang w:eastAsia="de-DE"/>
              </w:rPr>
              <w:t>erwählt</w:t>
            </w:r>
          </w:p>
        </w:tc>
      </w:tr>
      <w:tr w:rsidR="00DA2FFF" w14:paraId="1AEEBD89" w14:textId="77777777" w:rsidTr="00DA2FFF">
        <w:tc>
          <w:tcPr>
            <w:tcW w:w="1563" w:type="pct"/>
            <w:vAlign w:val="center"/>
          </w:tcPr>
          <w:p w14:paraId="269C2232" w14:textId="07BD859A"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Früheste Blüte</w:t>
            </w:r>
          </w:p>
        </w:tc>
        <w:tc>
          <w:tcPr>
            <w:tcW w:w="1645" w:type="pct"/>
            <w:vAlign w:val="center"/>
          </w:tcPr>
          <w:p w14:paraId="4ED8B167" w14:textId="0CBB077E"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Blüht, wenn andere Bäume noch </w:t>
            </w:r>
            <w:r w:rsidRPr="00DA2FFF">
              <w:rPr>
                <w:rFonts w:eastAsia="Times New Roman" w:cs="Times New Roman"/>
                <w:b/>
                <w:bCs/>
                <w:lang w:eastAsia="de-DE"/>
              </w:rPr>
              <w:t>tot</w:t>
            </w:r>
            <w:r w:rsidRPr="00DA2FFF">
              <w:rPr>
                <w:rFonts w:eastAsia="Times New Roman" w:cs="Times New Roman"/>
                <w:lang w:eastAsia="de-DE"/>
              </w:rPr>
              <w:t xml:space="preserve"> scheinen</w:t>
            </w:r>
          </w:p>
        </w:tc>
        <w:tc>
          <w:tcPr>
            <w:tcW w:w="1792" w:type="pct"/>
            <w:vAlign w:val="center"/>
          </w:tcPr>
          <w:p w14:paraId="6A1AA311" w14:textId="7E1B1621"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Aarons Stab </w:t>
            </w:r>
            <w:r w:rsidRPr="00DA2FFF">
              <w:rPr>
                <w:rFonts w:eastAsia="Times New Roman" w:cs="Times New Roman"/>
                <w:b/>
                <w:bCs/>
                <w:lang w:eastAsia="de-DE"/>
              </w:rPr>
              <w:t>lebt</w:t>
            </w:r>
            <w:r w:rsidRPr="00DA2FFF">
              <w:rPr>
                <w:rFonts w:eastAsia="Times New Roman" w:cs="Times New Roman"/>
                <w:lang w:eastAsia="de-DE"/>
              </w:rPr>
              <w:t xml:space="preserve">, während alle anderen </w:t>
            </w:r>
            <w:r w:rsidRPr="00DA2FFF">
              <w:rPr>
                <w:rFonts w:eastAsia="Times New Roman" w:cs="Times New Roman"/>
                <w:b/>
                <w:bCs/>
                <w:lang w:eastAsia="de-DE"/>
              </w:rPr>
              <w:t>tot</w:t>
            </w:r>
            <w:r w:rsidRPr="00DA2FFF">
              <w:rPr>
                <w:rFonts w:eastAsia="Times New Roman" w:cs="Times New Roman"/>
                <w:lang w:eastAsia="de-DE"/>
              </w:rPr>
              <w:t xml:space="preserve"> bleiben</w:t>
            </w:r>
          </w:p>
        </w:tc>
      </w:tr>
      <w:tr w:rsidR="00DA2FFF" w14:paraId="5D7C391B" w14:textId="77777777" w:rsidTr="00DA2FFF">
        <w:tc>
          <w:tcPr>
            <w:tcW w:w="1563" w:type="pct"/>
            <w:vAlign w:val="center"/>
          </w:tcPr>
          <w:p w14:paraId="53E9FBFF" w14:textId="29B244E8"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Verkündet Frühling</w:t>
            </w:r>
          </w:p>
        </w:tc>
        <w:tc>
          <w:tcPr>
            <w:tcW w:w="1645" w:type="pct"/>
            <w:vAlign w:val="center"/>
          </w:tcPr>
          <w:p w14:paraId="52754D90" w14:textId="370A3FB0"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Zeichen des </w:t>
            </w:r>
            <w:r w:rsidRPr="00DA2FFF">
              <w:rPr>
                <w:rFonts w:eastAsia="Times New Roman" w:cs="Times New Roman"/>
                <w:b/>
                <w:bCs/>
                <w:lang w:eastAsia="de-DE"/>
              </w:rPr>
              <w:t>neuen Lebens</w:t>
            </w:r>
          </w:p>
        </w:tc>
        <w:tc>
          <w:tcPr>
            <w:tcW w:w="1792" w:type="pct"/>
            <w:vAlign w:val="center"/>
          </w:tcPr>
          <w:p w14:paraId="792D64AD" w14:textId="1F3A20C0"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Zeichen der </w:t>
            </w:r>
            <w:r w:rsidRPr="00DA2FFF">
              <w:rPr>
                <w:rFonts w:eastAsia="Times New Roman" w:cs="Times New Roman"/>
                <w:b/>
                <w:bCs/>
                <w:lang w:eastAsia="de-DE"/>
              </w:rPr>
              <w:t>göttlichen Erwählung</w:t>
            </w:r>
            <w:r w:rsidRPr="00DA2FFF">
              <w:rPr>
                <w:rFonts w:eastAsia="Times New Roman" w:cs="Times New Roman"/>
                <w:lang w:eastAsia="de-DE"/>
              </w:rPr>
              <w:t xml:space="preserve"> und des </w:t>
            </w:r>
            <w:r w:rsidRPr="00DA2FFF">
              <w:rPr>
                <w:rFonts w:eastAsia="Times New Roman" w:cs="Times New Roman"/>
                <w:b/>
                <w:bCs/>
                <w:lang w:eastAsia="de-DE"/>
              </w:rPr>
              <w:t>neuen Bundes</w:t>
            </w:r>
          </w:p>
        </w:tc>
      </w:tr>
      <w:tr w:rsidR="00DA2FFF" w14:paraId="15C4D3E8" w14:textId="77777777" w:rsidTr="00DA2FFF">
        <w:tc>
          <w:tcPr>
            <w:tcW w:w="1563" w:type="pct"/>
            <w:vAlign w:val="center"/>
          </w:tcPr>
          <w:p w14:paraId="01A7AF2F" w14:textId="15425BA3"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Gottes Wachsamkeit</w:t>
            </w:r>
          </w:p>
        </w:tc>
        <w:tc>
          <w:tcPr>
            <w:tcW w:w="1645" w:type="pct"/>
            <w:vAlign w:val="center"/>
          </w:tcPr>
          <w:p w14:paraId="18F8408B" w14:textId="2DC23AA2"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Gott </w:t>
            </w:r>
            <w:r w:rsidRPr="00DA2FFF">
              <w:rPr>
                <w:rFonts w:eastAsia="Times New Roman" w:cs="Times New Roman"/>
                <w:b/>
                <w:bCs/>
                <w:lang w:eastAsia="de-DE"/>
              </w:rPr>
              <w:t>wacht</w:t>
            </w:r>
            <w:r w:rsidRPr="00DA2FFF">
              <w:rPr>
                <w:rFonts w:eastAsia="Times New Roman" w:cs="Times New Roman"/>
                <w:lang w:eastAsia="de-DE"/>
              </w:rPr>
              <w:t xml:space="preserve"> über seinem Wort (Jer 1,12)</w:t>
            </w:r>
          </w:p>
        </w:tc>
        <w:tc>
          <w:tcPr>
            <w:tcW w:w="1792" w:type="pct"/>
            <w:vAlign w:val="center"/>
          </w:tcPr>
          <w:p w14:paraId="06D0DD42" w14:textId="0F501818"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Gott </w:t>
            </w:r>
            <w:r w:rsidRPr="00DA2FFF">
              <w:rPr>
                <w:rFonts w:eastAsia="Times New Roman" w:cs="Times New Roman"/>
                <w:b/>
                <w:bCs/>
                <w:lang w:eastAsia="de-DE"/>
              </w:rPr>
              <w:t>wacht</w:t>
            </w:r>
            <w:r w:rsidRPr="00DA2FFF">
              <w:rPr>
                <w:rFonts w:eastAsia="Times New Roman" w:cs="Times New Roman"/>
                <w:lang w:eastAsia="de-DE"/>
              </w:rPr>
              <w:t xml:space="preserve"> über seiner Erwählung Aarons</w:t>
            </w:r>
          </w:p>
        </w:tc>
      </w:tr>
    </w:tbl>
    <w:p w14:paraId="66D3EC7A"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2. Symbolik im Heiligtum: Der goldene Leuchter</w:t>
      </w:r>
    </w:p>
    <w:p w14:paraId="6B23E93F"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Exodus 25,31-34 (Anweisung für die Menora):</w:t>
      </w:r>
    </w:p>
    <w:p w14:paraId="5BB8096D" w14:textId="77777777" w:rsidR="00DA2FFF" w:rsidRPr="00DA2FFF" w:rsidRDefault="00DA2FFF" w:rsidP="00DA2FFF">
      <w:pPr>
        <w:spacing w:beforeAutospacing="1" w:after="100" w:afterAutospacing="1" w:line="240" w:lineRule="auto"/>
        <w:rPr>
          <w:rFonts w:eastAsia="Times New Roman" w:cs="Times New Roman"/>
          <w:lang w:eastAsia="de-DE"/>
        </w:rPr>
      </w:pPr>
      <w:r w:rsidRPr="00DA2FFF">
        <w:rPr>
          <w:rFonts w:eastAsia="Times New Roman" w:cs="Times New Roman"/>
          <w:rtl/>
          <w:lang w:eastAsia="de-DE"/>
        </w:rPr>
        <w:t>וְעָשִׂיתָ מְנֹרַת זָהָב טָהוֹר</w:t>
      </w:r>
      <w:r w:rsidRPr="00DA2FFF">
        <w:rPr>
          <w:rFonts w:eastAsia="Times New Roman" w:cs="Times New Roman"/>
          <w:lang w:eastAsia="de-DE"/>
        </w:rPr>
        <w:t xml:space="preserve">... </w:t>
      </w:r>
      <w:r w:rsidRPr="00DA2FFF">
        <w:rPr>
          <w:rFonts w:eastAsia="Times New Roman" w:cs="Times New Roman"/>
          <w:b/>
          <w:bCs/>
          <w:rtl/>
          <w:lang w:eastAsia="de-DE"/>
        </w:rPr>
        <w:t>גְּבִיעֶיהָ כַּפְתֹּרֶיהָ וּפְרָחֶיהָ</w:t>
      </w:r>
      <w:r w:rsidRPr="00DA2FFF">
        <w:rPr>
          <w:rFonts w:eastAsia="Times New Roman" w:cs="Times New Roman"/>
          <w:rtl/>
          <w:lang w:eastAsia="de-DE"/>
        </w:rPr>
        <w:t xml:space="preserve"> מִמֶּנָּה יִהְיוּ... וּבַמְּנֹרָה אַרְבָּעָה </w:t>
      </w:r>
      <w:r w:rsidRPr="00DA2FFF">
        <w:rPr>
          <w:rFonts w:eastAsia="Times New Roman" w:cs="Times New Roman"/>
          <w:b/>
          <w:bCs/>
          <w:rtl/>
          <w:lang w:eastAsia="de-DE"/>
        </w:rPr>
        <w:t>גְבִעִים מְשֻׁקָּדִים</w:t>
      </w:r>
      <w:r w:rsidRPr="00DA2FFF">
        <w:rPr>
          <w:rFonts w:eastAsia="Times New Roman" w:cs="Times New Roman"/>
          <w:rtl/>
          <w:lang w:eastAsia="de-DE"/>
        </w:rPr>
        <w:t xml:space="preserve"> כַּפְתֹּרֶיהָ וּפְרָחֶיהָ׃</w:t>
      </w:r>
    </w:p>
    <w:p w14:paraId="3E4E7809"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"Und du sollst einen Leuchter aus reinem Gold machen... </w:t>
      </w:r>
      <w:r w:rsidRPr="00DA2FFF">
        <w:rPr>
          <w:rFonts w:eastAsia="Times New Roman" w:cs="Times New Roman"/>
          <w:b/>
          <w:bCs/>
          <w:lang w:eastAsia="de-DE"/>
        </w:rPr>
        <w:t>seine Kelche, Knäufe und Blüten</w:t>
      </w:r>
      <w:r w:rsidRPr="00DA2FFF">
        <w:rPr>
          <w:rFonts w:eastAsia="Times New Roman" w:cs="Times New Roman"/>
          <w:lang w:eastAsia="de-DE"/>
        </w:rPr>
        <w:t xml:space="preserve"> sollen aus ihm sein... Und an dem Leuchter sollen vier </w:t>
      </w:r>
      <w:r w:rsidRPr="00DA2FFF">
        <w:rPr>
          <w:rFonts w:eastAsia="Times New Roman" w:cs="Times New Roman"/>
          <w:b/>
          <w:bCs/>
          <w:lang w:eastAsia="de-DE"/>
        </w:rPr>
        <w:t>mandelförmige Kelche</w:t>
      </w:r>
      <w:r w:rsidRPr="00DA2FFF">
        <w:rPr>
          <w:rFonts w:eastAsia="Times New Roman" w:cs="Times New Roman"/>
          <w:lang w:eastAsia="de-DE"/>
        </w:rPr>
        <w:t xml:space="preserve"> sein, mit ihren Knäufen und Blüten."</w:t>
      </w:r>
    </w:p>
    <w:p w14:paraId="635FB826" w14:textId="7E4756C9" w:rsidR="00DA2FFF" w:rsidRDefault="00DA2FFF" w:rsidP="00DA2FFF">
      <w:pPr>
        <w:spacing w:before="100" w:beforeAutospacing="1" w:after="100" w:afterAutospacing="1" w:line="240" w:lineRule="auto"/>
        <w:rPr>
          <w:rFonts w:eastAsia="Times New Roman" w:cs="Times New Roman"/>
          <w:b/>
          <w:bCs/>
          <w:lang w:eastAsia="de-DE"/>
        </w:rPr>
      </w:pPr>
      <w:r w:rsidRPr="00DA2FFF">
        <w:rPr>
          <w:rFonts w:eastAsia="Times New Roman" w:cs="Times New Roman"/>
          <w:b/>
          <w:bCs/>
          <w:lang w:eastAsia="de-DE"/>
        </w:rPr>
        <w:t>Die Verbindung:</w:t>
      </w:r>
    </w:p>
    <w:tbl>
      <w:tblPr>
        <w:tblStyle w:val="Tabellenraster"/>
        <w:tblW w:w="4994" w:type="pct"/>
        <w:tblLook w:val="04A0" w:firstRow="1" w:lastRow="0" w:firstColumn="1" w:lastColumn="0" w:noHBand="0" w:noVBand="1"/>
      </w:tblPr>
      <w:tblGrid>
        <w:gridCol w:w="4525"/>
        <w:gridCol w:w="4526"/>
      </w:tblGrid>
      <w:tr w:rsidR="00DA2FFF" w14:paraId="65375B8E" w14:textId="77777777" w:rsidTr="000304E9">
        <w:tc>
          <w:tcPr>
            <w:tcW w:w="2500" w:type="pct"/>
            <w:vAlign w:val="center"/>
          </w:tcPr>
          <w:p w14:paraId="55E6EB23" w14:textId="1F1076AC"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Menora (Ex 25)</w:t>
            </w:r>
          </w:p>
        </w:tc>
        <w:tc>
          <w:tcPr>
            <w:tcW w:w="2500" w:type="pct"/>
            <w:vAlign w:val="center"/>
          </w:tcPr>
          <w:p w14:paraId="16D785DE" w14:textId="55A5710F"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Aarons Stab (Num 17)</w:t>
            </w:r>
          </w:p>
        </w:tc>
      </w:tr>
      <w:tr w:rsidR="00DA2FFF" w14:paraId="7217BB1A" w14:textId="77777777" w:rsidTr="00022E43">
        <w:tc>
          <w:tcPr>
            <w:tcW w:w="2500" w:type="pct"/>
            <w:vAlign w:val="center"/>
          </w:tcPr>
          <w:p w14:paraId="17C0427C" w14:textId="6A0895F9"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Goldener Leuchter</w:t>
            </w:r>
          </w:p>
        </w:tc>
        <w:tc>
          <w:tcPr>
            <w:tcW w:w="2500" w:type="pct"/>
            <w:vAlign w:val="center"/>
          </w:tcPr>
          <w:p w14:paraId="45C3581A" w14:textId="666E7242"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Holzstab</w:t>
            </w:r>
          </w:p>
        </w:tc>
      </w:tr>
      <w:tr w:rsidR="00DA2FFF" w14:paraId="3D36B23D" w14:textId="77777777" w:rsidTr="002D5B88">
        <w:tc>
          <w:tcPr>
            <w:tcW w:w="2500" w:type="pct"/>
            <w:vAlign w:val="center"/>
          </w:tcPr>
          <w:p w14:paraId="1371D699" w14:textId="30792F1E"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Künstlich</w:t>
            </w:r>
            <w:r w:rsidRPr="00DA2FFF">
              <w:rPr>
                <w:rFonts w:eastAsia="Times New Roman" w:cs="Times New Roman"/>
                <w:lang w:eastAsia="de-DE"/>
              </w:rPr>
              <w:t xml:space="preserve"> in Mandelform</w:t>
            </w:r>
          </w:p>
        </w:tc>
        <w:tc>
          <w:tcPr>
            <w:tcW w:w="2500" w:type="pct"/>
            <w:vAlign w:val="center"/>
          </w:tcPr>
          <w:p w14:paraId="114272B1" w14:textId="3411637F"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Natürlich</w:t>
            </w:r>
            <w:r w:rsidRPr="00DA2FFF">
              <w:rPr>
                <w:rFonts w:eastAsia="Times New Roman" w:cs="Times New Roman"/>
                <w:lang w:eastAsia="de-DE"/>
              </w:rPr>
              <w:t xml:space="preserve"> – echter Mandelzweig</w:t>
            </w:r>
          </w:p>
        </w:tc>
      </w:tr>
      <w:tr w:rsidR="00DA2FFF" w14:paraId="05BF5DC6" w14:textId="77777777" w:rsidTr="00100451">
        <w:tc>
          <w:tcPr>
            <w:tcW w:w="2500" w:type="pct"/>
            <w:vAlign w:val="center"/>
          </w:tcPr>
          <w:p w14:paraId="7660A200" w14:textId="4ABF029A"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Symbol</w:t>
            </w:r>
            <w:r w:rsidRPr="00DA2FFF">
              <w:rPr>
                <w:rFonts w:eastAsia="Times New Roman" w:cs="Times New Roman"/>
                <w:lang w:eastAsia="de-DE"/>
              </w:rPr>
              <w:t xml:space="preserve"> des Lebens</w:t>
            </w:r>
          </w:p>
        </w:tc>
        <w:tc>
          <w:tcPr>
            <w:tcW w:w="2500" w:type="pct"/>
            <w:vAlign w:val="center"/>
          </w:tcPr>
          <w:p w14:paraId="7433E404" w14:textId="1CD3BC8B"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Beweis</w:t>
            </w:r>
            <w:r w:rsidRPr="00DA2FFF">
              <w:rPr>
                <w:rFonts w:eastAsia="Times New Roman" w:cs="Times New Roman"/>
                <w:lang w:eastAsia="de-DE"/>
              </w:rPr>
              <w:t xml:space="preserve"> des Lebens</w:t>
            </w:r>
          </w:p>
        </w:tc>
      </w:tr>
      <w:tr w:rsidR="00DA2FFF" w14:paraId="75219EC8" w14:textId="77777777" w:rsidTr="003441FB">
        <w:tc>
          <w:tcPr>
            <w:tcW w:w="2500" w:type="pct"/>
            <w:vAlign w:val="center"/>
          </w:tcPr>
          <w:p w14:paraId="197D3333" w14:textId="04CA56ED"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Im Heiligtum</w:t>
            </w:r>
            <w:r w:rsidRPr="00DA2FFF">
              <w:rPr>
                <w:rFonts w:eastAsia="Times New Roman" w:cs="Times New Roman"/>
                <w:lang w:eastAsia="de-DE"/>
              </w:rPr>
              <w:t xml:space="preserve"> (vor dem Vorhang)</w:t>
            </w:r>
          </w:p>
        </w:tc>
        <w:tc>
          <w:tcPr>
            <w:tcW w:w="2500" w:type="pct"/>
            <w:vAlign w:val="center"/>
          </w:tcPr>
          <w:p w14:paraId="7321DCD4" w14:textId="61758289"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Im Allerheiligsten</w:t>
            </w:r>
            <w:r w:rsidRPr="00DA2FFF">
              <w:rPr>
                <w:rFonts w:eastAsia="Times New Roman" w:cs="Times New Roman"/>
                <w:lang w:eastAsia="de-DE"/>
              </w:rPr>
              <w:t xml:space="preserve"> (vor der Bundeslade)</w:t>
            </w:r>
          </w:p>
        </w:tc>
      </w:tr>
      <w:tr w:rsidR="00DA2FFF" w14:paraId="6665A993" w14:textId="77777777" w:rsidTr="00710898">
        <w:tc>
          <w:tcPr>
            <w:tcW w:w="2500" w:type="pct"/>
            <w:vAlign w:val="center"/>
          </w:tcPr>
          <w:p w14:paraId="25D562E8" w14:textId="5A479C8F"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Dauerhaftes Zeichen</w:t>
            </w:r>
            <w:r w:rsidRPr="00DA2FFF">
              <w:rPr>
                <w:rFonts w:eastAsia="Times New Roman" w:cs="Times New Roman"/>
                <w:lang w:eastAsia="de-DE"/>
              </w:rPr>
              <w:t xml:space="preserve"> der Gegenwart Gottes</w:t>
            </w:r>
          </w:p>
        </w:tc>
        <w:tc>
          <w:tcPr>
            <w:tcW w:w="2500" w:type="pct"/>
            <w:vAlign w:val="center"/>
          </w:tcPr>
          <w:p w14:paraId="064028B0" w14:textId="084E0DB8"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Dauerhaftes Zeichen</w:t>
            </w:r>
            <w:r w:rsidRPr="00DA2FFF">
              <w:rPr>
                <w:rFonts w:eastAsia="Times New Roman" w:cs="Times New Roman"/>
                <w:lang w:eastAsia="de-DE"/>
              </w:rPr>
              <w:t xml:space="preserve"> der Erwählung Aarons</w:t>
            </w:r>
          </w:p>
        </w:tc>
      </w:tr>
    </w:tbl>
    <w:p w14:paraId="66B34738"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 Aarons Stab ist die natürliche Erfüllung dessen, was die Menora symbolisch darstellt!</w:t>
      </w:r>
    </w:p>
    <w:p w14:paraId="6ED83AE7" w14:textId="04B7FE52" w:rsidR="00DA2FFF" w:rsidRPr="00DA2FFF" w:rsidRDefault="00DA2FFF" w:rsidP="00DA2FFF">
      <w:pPr>
        <w:pStyle w:val="Listenabsatz"/>
        <w:numPr>
          <w:ilvl w:val="0"/>
          <w:numId w:val="113"/>
        </w:numPr>
        <w:spacing w:before="100" w:beforeAutospacing="1" w:after="100" w:afterAutospacing="1" w:line="240" w:lineRule="auto"/>
        <w:rPr>
          <w:rFonts w:eastAsia="Times New Roman" w:cs="Times New Roman"/>
          <w:b/>
          <w:bCs/>
          <w:lang w:eastAsia="de-DE"/>
        </w:rPr>
      </w:pPr>
      <w:r w:rsidRPr="00DA2FFF">
        <w:rPr>
          <w:rFonts w:eastAsia="Times New Roman" w:cs="Times New Roman"/>
          <w:b/>
          <w:bCs/>
          <w:lang w:eastAsia="de-DE"/>
        </w:rPr>
        <w:t>Theologische Bedeutung: Leben aus dem Tod</w:t>
      </w:r>
    </w:p>
    <w:p w14:paraId="1568A57C" w14:textId="21A4431E" w:rsidR="00DA2FFF" w:rsidRDefault="00DA2FFF" w:rsidP="00DA2FFF">
      <w:pPr>
        <w:spacing w:before="100" w:beforeAutospacing="1" w:after="100" w:afterAutospacing="1" w:line="240" w:lineRule="auto"/>
        <w:rPr>
          <w:rFonts w:eastAsia="Times New Roman" w:cs="Times New Roman"/>
          <w:b/>
          <w:bCs/>
          <w:lang w:eastAsia="de-DE"/>
        </w:rPr>
      </w:pPr>
      <w:r w:rsidRPr="00DA2FFF">
        <w:rPr>
          <w:rFonts w:eastAsia="Times New Roman" w:cs="Times New Roman"/>
          <w:b/>
          <w:bCs/>
          <w:lang w:eastAsia="de-DE"/>
        </w:rPr>
        <w:t>Das Wunder:</w:t>
      </w:r>
    </w:p>
    <w:tbl>
      <w:tblPr>
        <w:tblStyle w:val="Tabellenraster"/>
        <w:tblW w:w="4994" w:type="pct"/>
        <w:tblLook w:val="04A0" w:firstRow="1" w:lastRow="0" w:firstColumn="1" w:lastColumn="0" w:noHBand="0" w:noVBand="1"/>
      </w:tblPr>
      <w:tblGrid>
        <w:gridCol w:w="1696"/>
        <w:gridCol w:w="3119"/>
        <w:gridCol w:w="4236"/>
      </w:tblGrid>
      <w:tr w:rsidR="00DA2FFF" w14:paraId="379D4B1C" w14:textId="77777777" w:rsidTr="00DA2FFF">
        <w:tc>
          <w:tcPr>
            <w:tcW w:w="937" w:type="pct"/>
            <w:vAlign w:val="center"/>
          </w:tcPr>
          <w:p w14:paraId="0B2CEC07" w14:textId="23FF2E58"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Stadium</w:t>
            </w:r>
          </w:p>
        </w:tc>
        <w:tc>
          <w:tcPr>
            <w:tcW w:w="1723" w:type="pct"/>
            <w:vAlign w:val="center"/>
          </w:tcPr>
          <w:p w14:paraId="5567926C" w14:textId="0FA1A8A9"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Natürlicher Prozess</w:t>
            </w:r>
          </w:p>
        </w:tc>
        <w:tc>
          <w:tcPr>
            <w:tcW w:w="2340" w:type="pct"/>
            <w:vAlign w:val="center"/>
          </w:tcPr>
          <w:p w14:paraId="016916D3" w14:textId="47D001D5"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Aarons Stab (über Nacht!)</w:t>
            </w:r>
          </w:p>
        </w:tc>
      </w:tr>
      <w:tr w:rsidR="00DA2FFF" w14:paraId="2B9CEC31" w14:textId="77777777" w:rsidTr="00DA2FFF">
        <w:tc>
          <w:tcPr>
            <w:tcW w:w="937" w:type="pct"/>
            <w:vAlign w:val="center"/>
          </w:tcPr>
          <w:p w14:paraId="28573C54" w14:textId="07C2D9BC"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1. Spross</w:t>
            </w:r>
          </w:p>
        </w:tc>
        <w:tc>
          <w:tcPr>
            <w:tcW w:w="1723" w:type="pct"/>
            <w:vAlign w:val="center"/>
          </w:tcPr>
          <w:p w14:paraId="35B22893" w14:textId="5927A8B5"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Wochen</w:t>
            </w:r>
          </w:p>
        </w:tc>
        <w:tc>
          <w:tcPr>
            <w:tcW w:w="2340" w:type="pct"/>
            <w:vAlign w:val="center"/>
          </w:tcPr>
          <w:p w14:paraId="0ECB62E0" w14:textId="6180166C" w:rsidR="00DA2FFF" w:rsidRDefault="00DA2FFF" w:rsidP="00DA2FFF">
            <w:pPr>
              <w:spacing w:before="100" w:beforeAutospacing="1" w:after="100" w:afterAutospacing="1" w:line="240" w:lineRule="auto"/>
              <w:rPr>
                <w:rFonts w:eastAsia="Times New Roman" w:cs="Times New Roman"/>
                <w:lang w:eastAsia="de-DE"/>
              </w:rPr>
            </w:pPr>
            <w:r w:rsidRPr="00DA2FFF">
              <w:rPr>
                <w:rFonts w:ascii="Segoe UI Emoji" w:eastAsia="Times New Roman" w:hAnsi="Segoe UI Emoji" w:cs="Segoe UI Emoji"/>
                <w:lang w:eastAsia="de-DE"/>
              </w:rPr>
              <w:t>✅</w:t>
            </w:r>
            <w:r w:rsidRPr="00DA2FFF">
              <w:rPr>
                <w:rFonts w:eastAsia="Times New Roman" w:cs="Times New Roman"/>
                <w:lang w:eastAsia="de-DE"/>
              </w:rPr>
              <w:t xml:space="preserve"> </w:t>
            </w:r>
            <w:r w:rsidRPr="00DA2FFF">
              <w:rPr>
                <w:rFonts w:eastAsia="Times New Roman" w:cs="Times New Roman"/>
                <w:rtl/>
                <w:lang w:eastAsia="de-DE"/>
              </w:rPr>
              <w:t>פָּרַח</w:t>
            </w:r>
            <w:r w:rsidRPr="00DA2FFF">
              <w:rPr>
                <w:rFonts w:eastAsia="Times New Roman" w:cs="Times New Roman"/>
                <w:lang w:eastAsia="de-DE"/>
              </w:rPr>
              <w:t xml:space="preserve"> (gesprosst)</w:t>
            </w:r>
          </w:p>
        </w:tc>
      </w:tr>
      <w:tr w:rsidR="00DA2FFF" w14:paraId="2D25B45B" w14:textId="77777777" w:rsidTr="00DA2FFF">
        <w:tc>
          <w:tcPr>
            <w:tcW w:w="937" w:type="pct"/>
            <w:vAlign w:val="center"/>
          </w:tcPr>
          <w:p w14:paraId="3E1DCBD9" w14:textId="5BF9EC87"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lastRenderedPageBreak/>
              <w:t>2. Blüte</w:t>
            </w:r>
          </w:p>
        </w:tc>
        <w:tc>
          <w:tcPr>
            <w:tcW w:w="1723" w:type="pct"/>
            <w:vAlign w:val="center"/>
          </w:tcPr>
          <w:p w14:paraId="18221894" w14:textId="1DF3D8D4"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Wochen</w:t>
            </w:r>
          </w:p>
        </w:tc>
        <w:tc>
          <w:tcPr>
            <w:tcW w:w="2340" w:type="pct"/>
            <w:vAlign w:val="center"/>
          </w:tcPr>
          <w:p w14:paraId="6F15A9F3" w14:textId="2ED1F211" w:rsidR="00DA2FFF" w:rsidRDefault="00DA2FFF" w:rsidP="00DA2FFF">
            <w:pPr>
              <w:spacing w:before="100" w:beforeAutospacing="1" w:after="100" w:afterAutospacing="1" w:line="240" w:lineRule="auto"/>
              <w:rPr>
                <w:rFonts w:eastAsia="Times New Roman" w:cs="Times New Roman"/>
                <w:lang w:eastAsia="de-DE"/>
              </w:rPr>
            </w:pPr>
            <w:r w:rsidRPr="00DA2FFF">
              <w:rPr>
                <w:rFonts w:ascii="Segoe UI Emoji" w:eastAsia="Times New Roman" w:hAnsi="Segoe UI Emoji" w:cs="Segoe UI Emoji"/>
                <w:lang w:eastAsia="de-DE"/>
              </w:rPr>
              <w:t>✅</w:t>
            </w:r>
            <w:r w:rsidRPr="00DA2FFF">
              <w:rPr>
                <w:rFonts w:eastAsia="Times New Roman" w:cs="Times New Roman"/>
                <w:lang w:eastAsia="de-DE"/>
              </w:rPr>
              <w:t xml:space="preserve"> </w:t>
            </w:r>
            <w:r w:rsidRPr="00DA2FFF">
              <w:rPr>
                <w:rFonts w:eastAsia="Times New Roman" w:cs="Times New Roman"/>
                <w:rtl/>
                <w:lang w:eastAsia="de-DE"/>
              </w:rPr>
              <w:t>וַיָּצֵץ צִיץ</w:t>
            </w:r>
            <w:r w:rsidRPr="00DA2FFF">
              <w:rPr>
                <w:rFonts w:eastAsia="Times New Roman" w:cs="Times New Roman"/>
                <w:lang w:eastAsia="de-DE"/>
              </w:rPr>
              <w:t xml:space="preserve"> (Blüten hervorgebracht)</w:t>
            </w:r>
          </w:p>
        </w:tc>
      </w:tr>
      <w:tr w:rsidR="00DA2FFF" w14:paraId="0B68F3D2" w14:textId="77777777" w:rsidTr="00DA2FFF">
        <w:tc>
          <w:tcPr>
            <w:tcW w:w="937" w:type="pct"/>
            <w:vAlign w:val="center"/>
          </w:tcPr>
          <w:p w14:paraId="1A84E240" w14:textId="712D467C"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3. Frucht</w:t>
            </w:r>
          </w:p>
        </w:tc>
        <w:tc>
          <w:tcPr>
            <w:tcW w:w="1723" w:type="pct"/>
            <w:vAlign w:val="center"/>
          </w:tcPr>
          <w:p w14:paraId="76E866E5" w14:textId="70F5EF64"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Monate</w:t>
            </w:r>
          </w:p>
        </w:tc>
        <w:tc>
          <w:tcPr>
            <w:tcW w:w="2340" w:type="pct"/>
            <w:vAlign w:val="center"/>
          </w:tcPr>
          <w:p w14:paraId="4CC0617E" w14:textId="25EDC258" w:rsidR="00DA2FFF" w:rsidRDefault="00DA2FFF" w:rsidP="00DA2FFF">
            <w:pPr>
              <w:spacing w:before="100" w:beforeAutospacing="1" w:after="100" w:afterAutospacing="1" w:line="240" w:lineRule="auto"/>
              <w:rPr>
                <w:rFonts w:eastAsia="Times New Roman" w:cs="Times New Roman"/>
                <w:lang w:eastAsia="de-DE"/>
              </w:rPr>
            </w:pPr>
            <w:r w:rsidRPr="00DA2FFF">
              <w:rPr>
                <w:rFonts w:ascii="Segoe UI Emoji" w:eastAsia="Times New Roman" w:hAnsi="Segoe UI Emoji" w:cs="Segoe UI Emoji"/>
                <w:lang w:eastAsia="de-DE"/>
              </w:rPr>
              <w:t>✅</w:t>
            </w:r>
            <w:r w:rsidRPr="00DA2FFF">
              <w:rPr>
                <w:rFonts w:eastAsia="Times New Roman" w:cs="Times New Roman"/>
                <w:lang w:eastAsia="de-DE"/>
              </w:rPr>
              <w:t xml:space="preserve"> </w:t>
            </w:r>
            <w:r w:rsidRPr="00DA2FFF">
              <w:rPr>
                <w:rFonts w:eastAsia="Times New Roman" w:cs="Times New Roman"/>
                <w:rtl/>
                <w:lang w:eastAsia="de-DE"/>
              </w:rPr>
              <w:t>וַיִּגְמֹל שְׁקֵדִים</w:t>
            </w:r>
            <w:r w:rsidRPr="00DA2FFF">
              <w:rPr>
                <w:rFonts w:eastAsia="Times New Roman" w:cs="Times New Roman"/>
                <w:lang w:eastAsia="de-DE"/>
              </w:rPr>
              <w:t xml:space="preserve"> (Mandeln gereift)</w:t>
            </w:r>
          </w:p>
        </w:tc>
      </w:tr>
      <w:tr w:rsidR="00DA2FFF" w14:paraId="1EF89A43" w14:textId="77777777" w:rsidTr="00DA2FFF">
        <w:tc>
          <w:tcPr>
            <w:tcW w:w="937" w:type="pct"/>
            <w:vAlign w:val="center"/>
          </w:tcPr>
          <w:p w14:paraId="545E78FC" w14:textId="4CFB87A0"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Total</w:t>
            </w:r>
          </w:p>
        </w:tc>
        <w:tc>
          <w:tcPr>
            <w:tcW w:w="1723" w:type="pct"/>
            <w:vAlign w:val="center"/>
          </w:tcPr>
          <w:p w14:paraId="47543024" w14:textId="4FE13DE7"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w:t>
            </w:r>
            <w:r>
              <w:rPr>
                <w:rFonts w:eastAsia="Times New Roman" w:cs="Times New Roman"/>
                <w:b/>
                <w:bCs/>
                <w:lang w:eastAsia="de-DE"/>
              </w:rPr>
              <w:t xml:space="preserve"> </w:t>
            </w:r>
            <w:r w:rsidRPr="00DA2FFF">
              <w:rPr>
                <w:rFonts w:eastAsia="Times New Roman" w:cs="Times New Roman"/>
                <w:b/>
                <w:bCs/>
                <w:lang w:eastAsia="de-DE"/>
              </w:rPr>
              <w:t>6 Monate</w:t>
            </w:r>
          </w:p>
        </w:tc>
        <w:tc>
          <w:tcPr>
            <w:tcW w:w="2340" w:type="pct"/>
            <w:vAlign w:val="center"/>
          </w:tcPr>
          <w:p w14:paraId="03C7B1B2" w14:textId="4F2B9773"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Eine Nacht!</w:t>
            </w:r>
          </w:p>
        </w:tc>
      </w:tr>
    </w:tbl>
    <w:p w14:paraId="404890CF"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 Dies ist nicht Evolution, sondern Schöpfung!</w:t>
      </w:r>
    </w:p>
    <w:p w14:paraId="3AE83123"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Theologische Lektionen:</w:t>
      </w:r>
    </w:p>
    <w:p w14:paraId="78B1E0AE"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a) Leben aus dem Tod:</w:t>
      </w:r>
    </w:p>
    <w:p w14:paraId="5B0572AA" w14:textId="77777777" w:rsidR="00DA2FFF" w:rsidRPr="00DA2FFF" w:rsidRDefault="00DA2FFF" w:rsidP="00B358B7">
      <w:pPr>
        <w:numPr>
          <w:ilvl w:val="0"/>
          <w:numId w:val="156"/>
        </w:num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Der Stab war </w:t>
      </w:r>
      <w:r w:rsidRPr="00DA2FFF">
        <w:rPr>
          <w:rFonts w:eastAsia="Times New Roman" w:cs="Times New Roman"/>
          <w:b/>
          <w:bCs/>
          <w:lang w:eastAsia="de-DE"/>
        </w:rPr>
        <w:t>tot</w:t>
      </w:r>
      <w:r w:rsidRPr="00DA2FFF">
        <w:rPr>
          <w:rFonts w:eastAsia="Times New Roman" w:cs="Times New Roman"/>
          <w:lang w:eastAsia="de-DE"/>
        </w:rPr>
        <w:t xml:space="preserve"> (trockenes Holz)</w:t>
      </w:r>
    </w:p>
    <w:p w14:paraId="7B0CBC8B" w14:textId="77777777" w:rsidR="00DA2FFF" w:rsidRPr="00DA2FFF" w:rsidRDefault="00DA2FFF" w:rsidP="00B358B7">
      <w:pPr>
        <w:numPr>
          <w:ilvl w:val="0"/>
          <w:numId w:val="156"/>
        </w:num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Gott brachte </w:t>
      </w:r>
      <w:r w:rsidRPr="00DA2FFF">
        <w:rPr>
          <w:rFonts w:eastAsia="Times New Roman" w:cs="Times New Roman"/>
          <w:b/>
          <w:bCs/>
          <w:lang w:eastAsia="de-DE"/>
        </w:rPr>
        <w:t>Leben</w:t>
      </w:r>
      <w:r w:rsidRPr="00DA2FFF">
        <w:rPr>
          <w:rFonts w:eastAsia="Times New Roman" w:cs="Times New Roman"/>
          <w:lang w:eastAsia="de-DE"/>
        </w:rPr>
        <w:t xml:space="preserve"> hervor (Spross, Blüte, Frucht)</w:t>
      </w:r>
    </w:p>
    <w:p w14:paraId="32AA2A11" w14:textId="77777777" w:rsidR="00DA2FFF" w:rsidRPr="00DA2FFF" w:rsidRDefault="00DA2FFF" w:rsidP="00B358B7">
      <w:pPr>
        <w:numPr>
          <w:ilvl w:val="0"/>
          <w:numId w:val="156"/>
        </w:num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 </w:t>
      </w:r>
      <w:r w:rsidRPr="00DA2FFF">
        <w:rPr>
          <w:rFonts w:eastAsia="Times New Roman" w:cs="Times New Roman"/>
          <w:b/>
          <w:bCs/>
          <w:lang w:eastAsia="de-DE"/>
        </w:rPr>
        <w:t>Auferstehung</w:t>
      </w:r>
      <w:r w:rsidRPr="00DA2FFF">
        <w:rPr>
          <w:rFonts w:eastAsia="Times New Roman" w:cs="Times New Roman"/>
          <w:lang w:eastAsia="de-DE"/>
        </w:rPr>
        <w:t>-Motiv!</w:t>
      </w:r>
    </w:p>
    <w:p w14:paraId="451C9489"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b) Gottes Souveränität:</w:t>
      </w:r>
    </w:p>
    <w:p w14:paraId="747B14BF" w14:textId="77777777" w:rsidR="00DA2FFF" w:rsidRPr="00DA2FFF" w:rsidRDefault="00DA2FFF" w:rsidP="00B358B7">
      <w:pPr>
        <w:numPr>
          <w:ilvl w:val="0"/>
          <w:numId w:val="157"/>
        </w:num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Nicht</w:t>
      </w:r>
      <w:r w:rsidRPr="00DA2FFF">
        <w:rPr>
          <w:rFonts w:eastAsia="Times New Roman" w:cs="Times New Roman"/>
          <w:lang w:eastAsia="de-DE"/>
        </w:rPr>
        <w:t xml:space="preserve"> Aaron entschied (er war genauso überrascht wie die anderen!)</w:t>
      </w:r>
    </w:p>
    <w:p w14:paraId="30D7E071" w14:textId="77777777" w:rsidR="00DA2FFF" w:rsidRPr="00DA2FFF" w:rsidRDefault="00DA2FFF" w:rsidP="00B358B7">
      <w:pPr>
        <w:numPr>
          <w:ilvl w:val="0"/>
          <w:numId w:val="157"/>
        </w:num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Gott</w:t>
      </w:r>
      <w:r w:rsidRPr="00DA2FFF">
        <w:rPr>
          <w:rFonts w:eastAsia="Times New Roman" w:cs="Times New Roman"/>
          <w:lang w:eastAsia="de-DE"/>
        </w:rPr>
        <w:t xml:space="preserve"> erwählte (</w:t>
      </w:r>
      <w:r w:rsidRPr="00DA2FFF">
        <w:rPr>
          <w:rFonts w:eastAsia="Times New Roman" w:cs="Times New Roman"/>
          <w:rtl/>
          <w:lang w:eastAsia="de-DE"/>
        </w:rPr>
        <w:t>אֲשֶׁר אֶבְחַר־בּוֹ</w:t>
      </w:r>
      <w:r w:rsidRPr="00DA2FFF">
        <w:rPr>
          <w:rFonts w:eastAsia="Times New Roman" w:cs="Times New Roman"/>
          <w:lang w:eastAsia="de-DE"/>
        </w:rPr>
        <w:t>, V. 20)</w:t>
      </w:r>
    </w:p>
    <w:p w14:paraId="64CA2F08" w14:textId="77777777" w:rsidR="00DA2FFF" w:rsidRPr="00DA2FFF" w:rsidRDefault="00DA2FFF" w:rsidP="00B358B7">
      <w:pPr>
        <w:numPr>
          <w:ilvl w:val="0"/>
          <w:numId w:val="157"/>
        </w:num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 </w:t>
      </w:r>
      <w:r w:rsidRPr="00DA2FFF">
        <w:rPr>
          <w:rFonts w:eastAsia="Times New Roman" w:cs="Times New Roman"/>
          <w:b/>
          <w:bCs/>
          <w:lang w:eastAsia="de-DE"/>
        </w:rPr>
        <w:t>Gnade</w:t>
      </w:r>
      <w:r w:rsidRPr="00DA2FFF">
        <w:rPr>
          <w:rFonts w:eastAsia="Times New Roman" w:cs="Times New Roman"/>
          <w:lang w:eastAsia="de-DE"/>
        </w:rPr>
        <w:t xml:space="preserve">, nicht </w:t>
      </w:r>
      <w:r w:rsidRPr="00DA2FFF">
        <w:rPr>
          <w:rFonts w:eastAsia="Times New Roman" w:cs="Times New Roman"/>
          <w:b/>
          <w:bCs/>
          <w:lang w:eastAsia="de-DE"/>
        </w:rPr>
        <w:t>Verdienst</w:t>
      </w:r>
    </w:p>
    <w:p w14:paraId="3B7B39E5"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c) Fruchtbarkeit als Zeichen:</w:t>
      </w:r>
    </w:p>
    <w:p w14:paraId="0168E6EE" w14:textId="77777777" w:rsidR="00DA2FFF" w:rsidRPr="00DA2FFF" w:rsidRDefault="00DA2FFF" w:rsidP="00B358B7">
      <w:pPr>
        <w:numPr>
          <w:ilvl w:val="0"/>
          <w:numId w:val="158"/>
        </w:num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Nicht nur </w:t>
      </w:r>
      <w:r w:rsidRPr="00DA2FFF">
        <w:rPr>
          <w:rFonts w:eastAsia="Times New Roman" w:cs="Times New Roman"/>
          <w:b/>
          <w:bCs/>
          <w:lang w:eastAsia="de-DE"/>
        </w:rPr>
        <w:t>Spross</w:t>
      </w:r>
      <w:r w:rsidRPr="00DA2FFF">
        <w:rPr>
          <w:rFonts w:eastAsia="Times New Roman" w:cs="Times New Roman"/>
          <w:lang w:eastAsia="de-DE"/>
        </w:rPr>
        <w:t xml:space="preserve"> (Leben)</w:t>
      </w:r>
    </w:p>
    <w:p w14:paraId="306FD8AE" w14:textId="77777777" w:rsidR="00DA2FFF" w:rsidRPr="00DA2FFF" w:rsidRDefault="00DA2FFF" w:rsidP="00B358B7">
      <w:pPr>
        <w:numPr>
          <w:ilvl w:val="0"/>
          <w:numId w:val="158"/>
        </w:num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Nicht nur </w:t>
      </w:r>
      <w:r w:rsidRPr="00DA2FFF">
        <w:rPr>
          <w:rFonts w:eastAsia="Times New Roman" w:cs="Times New Roman"/>
          <w:b/>
          <w:bCs/>
          <w:lang w:eastAsia="de-DE"/>
        </w:rPr>
        <w:t>Blüte</w:t>
      </w:r>
      <w:r w:rsidRPr="00DA2FFF">
        <w:rPr>
          <w:rFonts w:eastAsia="Times New Roman" w:cs="Times New Roman"/>
          <w:lang w:eastAsia="de-DE"/>
        </w:rPr>
        <w:t xml:space="preserve"> (Schönheit)</w:t>
      </w:r>
    </w:p>
    <w:p w14:paraId="4DD86919" w14:textId="77777777" w:rsidR="00DA2FFF" w:rsidRPr="00DA2FFF" w:rsidRDefault="00DA2FFF" w:rsidP="00B358B7">
      <w:pPr>
        <w:numPr>
          <w:ilvl w:val="0"/>
          <w:numId w:val="158"/>
        </w:num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Sondern </w:t>
      </w:r>
      <w:r w:rsidRPr="00DA2FFF">
        <w:rPr>
          <w:rFonts w:eastAsia="Times New Roman" w:cs="Times New Roman"/>
          <w:b/>
          <w:bCs/>
          <w:lang w:eastAsia="de-DE"/>
        </w:rPr>
        <w:t>Frucht</w:t>
      </w:r>
      <w:r w:rsidRPr="00DA2FFF">
        <w:rPr>
          <w:rFonts w:eastAsia="Times New Roman" w:cs="Times New Roman"/>
          <w:lang w:eastAsia="de-DE"/>
        </w:rPr>
        <w:t xml:space="preserve"> (</w:t>
      </w:r>
      <w:r w:rsidRPr="00DA2FFF">
        <w:rPr>
          <w:rFonts w:eastAsia="Times New Roman" w:cs="Times New Roman"/>
          <w:rtl/>
          <w:lang w:eastAsia="de-DE"/>
        </w:rPr>
        <w:t>שְׁקֵדִים</w:t>
      </w:r>
      <w:r w:rsidRPr="00DA2FFF">
        <w:rPr>
          <w:rFonts w:eastAsia="Times New Roman" w:cs="Times New Roman"/>
          <w:lang w:eastAsia="de-DE"/>
        </w:rPr>
        <w:t xml:space="preserve">) → </w:t>
      </w:r>
      <w:r w:rsidRPr="00DA2FFF">
        <w:rPr>
          <w:rFonts w:eastAsia="Times New Roman" w:cs="Times New Roman"/>
          <w:b/>
          <w:bCs/>
          <w:lang w:eastAsia="de-DE"/>
        </w:rPr>
        <w:t>Produktivität</w:t>
      </w:r>
      <w:r w:rsidRPr="00DA2FFF">
        <w:rPr>
          <w:rFonts w:eastAsia="Times New Roman" w:cs="Times New Roman"/>
          <w:lang w:eastAsia="de-DE"/>
        </w:rPr>
        <w:t>!</w:t>
      </w:r>
    </w:p>
    <w:p w14:paraId="0244B9EB" w14:textId="77777777" w:rsidR="00DA2FFF" w:rsidRPr="00DA2FFF" w:rsidRDefault="00DA2FFF" w:rsidP="00B358B7">
      <w:pPr>
        <w:numPr>
          <w:ilvl w:val="0"/>
          <w:numId w:val="158"/>
        </w:num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 Wahres Priestertum ist </w:t>
      </w:r>
      <w:r w:rsidRPr="00DA2FFF">
        <w:rPr>
          <w:rFonts w:eastAsia="Times New Roman" w:cs="Times New Roman"/>
          <w:b/>
          <w:bCs/>
          <w:lang w:eastAsia="de-DE"/>
        </w:rPr>
        <w:t>fruchtbar</w:t>
      </w:r>
    </w:p>
    <w:p w14:paraId="219D0F4A"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4. NT-Parallele: Auferstehung Christi</w:t>
      </w:r>
    </w:p>
    <w:p w14:paraId="21605617"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Hebräer 9,4:</w:t>
      </w:r>
    </w:p>
    <w:p w14:paraId="07D3706C" w14:textId="77777777" w:rsidR="00DA2FFF" w:rsidRPr="00DA2FFF" w:rsidRDefault="00DA2FFF" w:rsidP="00DA2FFF">
      <w:pPr>
        <w:spacing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χρυσοῦν ἔχουσα θυμιατήριον καὶ τὴν κιβωτὸν τῆς διαθήκης... ἐν ᾗ... </w:t>
      </w:r>
      <w:r w:rsidRPr="00DA2FFF">
        <w:rPr>
          <w:rFonts w:eastAsia="Times New Roman" w:cs="Times New Roman"/>
          <w:b/>
          <w:bCs/>
          <w:lang w:eastAsia="de-DE"/>
        </w:rPr>
        <w:t>ἡ ῥάβδος Ἀαρὼν ἡ βλαστήσασα</w:t>
      </w:r>
    </w:p>
    <w:p w14:paraId="558C9E53"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"(Die Bundeslade) hatte das goldene Räuchergefäß und die Bundeslade... in der... </w:t>
      </w:r>
      <w:r w:rsidRPr="00DA2FFF">
        <w:rPr>
          <w:rFonts w:eastAsia="Times New Roman" w:cs="Times New Roman"/>
          <w:b/>
          <w:bCs/>
          <w:lang w:eastAsia="de-DE"/>
        </w:rPr>
        <w:t>der Stab Aarons, der gesprosst hatte</w:t>
      </w:r>
      <w:r w:rsidRPr="00DA2FFF">
        <w:rPr>
          <w:rFonts w:eastAsia="Times New Roman" w:cs="Times New Roman"/>
          <w:lang w:eastAsia="de-DE"/>
        </w:rPr>
        <w:t>"</w:t>
      </w:r>
    </w:p>
    <w:p w14:paraId="0EA2ADBF" w14:textId="6B5DB38D" w:rsidR="00DA2FFF" w:rsidRDefault="00DA2FFF" w:rsidP="00DA2FFF">
      <w:pPr>
        <w:spacing w:before="100" w:beforeAutospacing="1" w:after="100" w:afterAutospacing="1" w:line="240" w:lineRule="auto"/>
        <w:rPr>
          <w:rFonts w:eastAsia="Times New Roman" w:cs="Times New Roman"/>
          <w:b/>
          <w:bCs/>
          <w:lang w:eastAsia="de-DE"/>
        </w:rPr>
      </w:pPr>
      <w:r w:rsidRPr="00DA2FFF">
        <w:rPr>
          <w:rFonts w:eastAsia="Times New Roman" w:cs="Times New Roman"/>
          <w:b/>
          <w:bCs/>
          <w:lang w:eastAsia="de-DE"/>
        </w:rPr>
        <w:t>Die Typologie:</w:t>
      </w:r>
    </w:p>
    <w:tbl>
      <w:tblPr>
        <w:tblStyle w:val="Tabellenraster"/>
        <w:tblW w:w="4994" w:type="pct"/>
        <w:tblLook w:val="04A0" w:firstRow="1" w:lastRow="0" w:firstColumn="1" w:lastColumn="0" w:noHBand="0" w:noVBand="1"/>
      </w:tblPr>
      <w:tblGrid>
        <w:gridCol w:w="4249"/>
        <w:gridCol w:w="4802"/>
      </w:tblGrid>
      <w:tr w:rsidR="00DA2FFF" w14:paraId="448937B8" w14:textId="77777777" w:rsidTr="00DA2FFF">
        <w:tc>
          <w:tcPr>
            <w:tcW w:w="2347" w:type="pct"/>
            <w:vAlign w:val="center"/>
          </w:tcPr>
          <w:p w14:paraId="7B46FDC6" w14:textId="67732ACA"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Aarons Stab</w:t>
            </w:r>
          </w:p>
        </w:tc>
        <w:tc>
          <w:tcPr>
            <w:tcW w:w="2653" w:type="pct"/>
            <w:vAlign w:val="center"/>
          </w:tcPr>
          <w:p w14:paraId="6D828DDD" w14:textId="483D8842"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Christus</w:t>
            </w:r>
          </w:p>
        </w:tc>
      </w:tr>
      <w:tr w:rsidR="00DA2FFF" w14:paraId="691E2CF5" w14:textId="77777777" w:rsidTr="00DA2FFF">
        <w:tc>
          <w:tcPr>
            <w:tcW w:w="2347" w:type="pct"/>
            <w:vAlign w:val="center"/>
          </w:tcPr>
          <w:p w14:paraId="5F2B5EFD" w14:textId="3EB528F0"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Toter Stab</w:t>
            </w:r>
          </w:p>
        </w:tc>
        <w:tc>
          <w:tcPr>
            <w:tcW w:w="2653" w:type="pct"/>
            <w:vAlign w:val="center"/>
          </w:tcPr>
          <w:p w14:paraId="1DE80540" w14:textId="46F06158"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Gekreuzigt</w:t>
            </w:r>
            <w:r w:rsidRPr="00DA2FFF">
              <w:rPr>
                <w:rFonts w:eastAsia="Times New Roman" w:cs="Times New Roman"/>
                <w:lang w:eastAsia="de-DE"/>
              </w:rPr>
              <w:t xml:space="preserve"> – tot (Mt 27,50)</w:t>
            </w:r>
          </w:p>
        </w:tc>
      </w:tr>
      <w:tr w:rsidR="00DA2FFF" w14:paraId="724B24DE" w14:textId="77777777" w:rsidTr="00DA2FFF">
        <w:tc>
          <w:tcPr>
            <w:tcW w:w="2347" w:type="pct"/>
            <w:vAlign w:val="center"/>
          </w:tcPr>
          <w:p w14:paraId="45AFA27F" w14:textId="188D7E2C"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Über Nacht</w:t>
            </w:r>
            <w:r w:rsidRPr="00DA2FFF">
              <w:rPr>
                <w:rFonts w:eastAsia="Times New Roman" w:cs="Times New Roman"/>
                <w:lang w:eastAsia="de-DE"/>
              </w:rPr>
              <w:t xml:space="preserve"> erwacht zum Leben</w:t>
            </w:r>
          </w:p>
        </w:tc>
        <w:tc>
          <w:tcPr>
            <w:tcW w:w="2653" w:type="pct"/>
            <w:vAlign w:val="center"/>
          </w:tcPr>
          <w:p w14:paraId="7DF9C6C3" w14:textId="072E2B3D"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Am dritten Tag</w:t>
            </w:r>
            <w:r w:rsidRPr="00DA2FFF">
              <w:rPr>
                <w:rFonts w:eastAsia="Times New Roman" w:cs="Times New Roman"/>
                <w:lang w:eastAsia="de-DE"/>
              </w:rPr>
              <w:t xml:space="preserve"> auferstanden (1 Kor 15,4)</w:t>
            </w:r>
          </w:p>
        </w:tc>
      </w:tr>
      <w:tr w:rsidR="00DA2FFF" w14:paraId="77213495" w14:textId="77777777" w:rsidTr="00DA2FFF">
        <w:tc>
          <w:tcPr>
            <w:tcW w:w="2347" w:type="pct"/>
            <w:vAlign w:val="center"/>
          </w:tcPr>
          <w:p w14:paraId="47D24691" w14:textId="20BEC2BC"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Spross</w:t>
            </w:r>
            <w:r w:rsidRPr="00DA2FFF">
              <w:rPr>
                <w:rFonts w:eastAsia="Times New Roman" w:cs="Times New Roman"/>
                <w:lang w:eastAsia="de-DE"/>
              </w:rPr>
              <w:t xml:space="preserve"> (</w:t>
            </w:r>
            <w:r w:rsidRPr="00DA2FFF">
              <w:rPr>
                <w:rFonts w:eastAsia="Times New Roman" w:cs="Times New Roman"/>
                <w:rtl/>
                <w:lang w:eastAsia="de-DE"/>
              </w:rPr>
              <w:t>פֶּרַח</w:t>
            </w:r>
            <w:r w:rsidRPr="00DA2FFF">
              <w:rPr>
                <w:rFonts w:eastAsia="Times New Roman" w:cs="Times New Roman"/>
                <w:lang w:eastAsia="de-DE"/>
              </w:rPr>
              <w:t>)</w:t>
            </w:r>
          </w:p>
        </w:tc>
        <w:tc>
          <w:tcPr>
            <w:tcW w:w="2653" w:type="pct"/>
            <w:vAlign w:val="center"/>
          </w:tcPr>
          <w:p w14:paraId="68EA147F" w14:textId="51416BD4"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w:t>
            </w:r>
            <w:r w:rsidRPr="00DA2FFF">
              <w:rPr>
                <w:rFonts w:eastAsia="Times New Roman" w:cs="Times New Roman"/>
                <w:b/>
                <w:bCs/>
                <w:lang w:eastAsia="de-DE"/>
              </w:rPr>
              <w:t>Spross</w:t>
            </w:r>
            <w:r w:rsidRPr="00DA2FFF">
              <w:rPr>
                <w:rFonts w:eastAsia="Times New Roman" w:cs="Times New Roman"/>
                <w:lang w:eastAsia="de-DE"/>
              </w:rPr>
              <w:t>" (</w:t>
            </w:r>
            <w:r w:rsidRPr="00DA2FFF">
              <w:rPr>
                <w:rFonts w:eastAsia="Times New Roman" w:cs="Times New Roman"/>
                <w:rtl/>
                <w:lang w:eastAsia="de-DE"/>
              </w:rPr>
              <w:t>צֶמַח</w:t>
            </w:r>
            <w:r w:rsidRPr="00DA2FFF">
              <w:rPr>
                <w:rFonts w:eastAsia="Times New Roman" w:cs="Times New Roman"/>
                <w:lang w:eastAsia="de-DE"/>
              </w:rPr>
              <w:t>, Jes 11,1; Sach 3,8; 6,12)</w:t>
            </w:r>
          </w:p>
        </w:tc>
      </w:tr>
      <w:tr w:rsidR="00DA2FFF" w14:paraId="17B040E5" w14:textId="77777777" w:rsidTr="00DA2FFF">
        <w:tc>
          <w:tcPr>
            <w:tcW w:w="2347" w:type="pct"/>
            <w:vAlign w:val="center"/>
          </w:tcPr>
          <w:p w14:paraId="4FEB4046" w14:textId="3A0A2E25"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Blüte</w:t>
            </w:r>
            <w:r w:rsidRPr="00DA2FFF">
              <w:rPr>
                <w:rFonts w:eastAsia="Times New Roman" w:cs="Times New Roman"/>
                <w:lang w:eastAsia="de-DE"/>
              </w:rPr>
              <w:t xml:space="preserve"> (</w:t>
            </w:r>
            <w:r w:rsidRPr="00DA2FFF">
              <w:rPr>
                <w:rFonts w:eastAsia="Times New Roman" w:cs="Times New Roman"/>
                <w:rtl/>
                <w:lang w:eastAsia="de-DE"/>
              </w:rPr>
              <w:t>צִיץ</w:t>
            </w:r>
            <w:r w:rsidRPr="00DA2FFF">
              <w:rPr>
                <w:rFonts w:eastAsia="Times New Roman" w:cs="Times New Roman"/>
                <w:lang w:eastAsia="de-DE"/>
              </w:rPr>
              <w:t>)</w:t>
            </w:r>
          </w:p>
        </w:tc>
        <w:tc>
          <w:tcPr>
            <w:tcW w:w="2653" w:type="pct"/>
            <w:vAlign w:val="center"/>
          </w:tcPr>
          <w:p w14:paraId="0F0D98EC" w14:textId="33990CE5"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w:t>
            </w:r>
            <w:r w:rsidRPr="00DA2FFF">
              <w:rPr>
                <w:rFonts w:eastAsia="Times New Roman" w:cs="Times New Roman"/>
                <w:b/>
                <w:bCs/>
                <w:lang w:eastAsia="de-DE"/>
              </w:rPr>
              <w:t>Blume</w:t>
            </w:r>
            <w:r w:rsidRPr="00DA2FFF">
              <w:rPr>
                <w:rFonts w:eastAsia="Times New Roman" w:cs="Times New Roman"/>
                <w:lang w:eastAsia="de-DE"/>
              </w:rPr>
              <w:t>" (ἄνθος, 1 Petr 1,24; Jes 40,6-8)</w:t>
            </w:r>
          </w:p>
        </w:tc>
      </w:tr>
      <w:tr w:rsidR="00DA2FFF" w14:paraId="773C1325" w14:textId="77777777" w:rsidTr="00DA2FFF">
        <w:tc>
          <w:tcPr>
            <w:tcW w:w="2347" w:type="pct"/>
            <w:vAlign w:val="center"/>
          </w:tcPr>
          <w:p w14:paraId="5FB65CA5" w14:textId="62453EF4"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Frucht</w:t>
            </w:r>
            <w:r w:rsidRPr="00DA2FFF">
              <w:rPr>
                <w:rFonts w:eastAsia="Times New Roman" w:cs="Times New Roman"/>
                <w:lang w:eastAsia="de-DE"/>
              </w:rPr>
              <w:t xml:space="preserve"> (</w:t>
            </w:r>
            <w:r w:rsidRPr="00DA2FFF">
              <w:rPr>
                <w:rFonts w:eastAsia="Times New Roman" w:cs="Times New Roman"/>
                <w:rtl/>
                <w:lang w:eastAsia="de-DE"/>
              </w:rPr>
              <w:t>שְׁקֵדִים</w:t>
            </w:r>
            <w:r w:rsidRPr="00DA2FFF">
              <w:rPr>
                <w:rFonts w:eastAsia="Times New Roman" w:cs="Times New Roman"/>
                <w:lang w:eastAsia="de-DE"/>
              </w:rPr>
              <w:t>)</w:t>
            </w:r>
          </w:p>
        </w:tc>
        <w:tc>
          <w:tcPr>
            <w:tcW w:w="2653" w:type="pct"/>
            <w:vAlign w:val="center"/>
          </w:tcPr>
          <w:p w14:paraId="720CFC68" w14:textId="158CF38E"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w:t>
            </w:r>
            <w:r w:rsidRPr="00DA2FFF">
              <w:rPr>
                <w:rFonts w:eastAsia="Times New Roman" w:cs="Times New Roman"/>
                <w:b/>
                <w:bCs/>
                <w:lang w:eastAsia="de-DE"/>
              </w:rPr>
              <w:t>Frucht</w:t>
            </w:r>
            <w:r w:rsidRPr="00DA2FFF">
              <w:rPr>
                <w:rFonts w:eastAsia="Times New Roman" w:cs="Times New Roman"/>
                <w:lang w:eastAsia="de-DE"/>
              </w:rPr>
              <w:t xml:space="preserve"> bringen" (Joh 15,5.8.16)</w:t>
            </w:r>
          </w:p>
        </w:tc>
      </w:tr>
      <w:tr w:rsidR="00DA2FFF" w14:paraId="58DE0722" w14:textId="77777777" w:rsidTr="00DA2FFF">
        <w:tc>
          <w:tcPr>
            <w:tcW w:w="2347" w:type="pct"/>
            <w:vAlign w:val="center"/>
          </w:tcPr>
          <w:p w14:paraId="56B76BE6" w14:textId="5620BD4B"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Beweis</w:t>
            </w:r>
            <w:r w:rsidRPr="00DA2FFF">
              <w:rPr>
                <w:rFonts w:eastAsia="Times New Roman" w:cs="Times New Roman"/>
                <w:lang w:eastAsia="de-DE"/>
              </w:rPr>
              <w:t xml:space="preserve"> der Erwählung Aarons</w:t>
            </w:r>
          </w:p>
        </w:tc>
        <w:tc>
          <w:tcPr>
            <w:tcW w:w="2653" w:type="pct"/>
            <w:vAlign w:val="center"/>
          </w:tcPr>
          <w:p w14:paraId="55B34154" w14:textId="410AC541"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Beweis</w:t>
            </w:r>
            <w:r w:rsidRPr="00DA2FFF">
              <w:rPr>
                <w:rFonts w:eastAsia="Times New Roman" w:cs="Times New Roman"/>
                <w:lang w:eastAsia="de-DE"/>
              </w:rPr>
              <w:t xml:space="preserve"> der Sohnschaft Christi (Röm 1,4)</w:t>
            </w:r>
          </w:p>
        </w:tc>
      </w:tr>
      <w:tr w:rsidR="00DA2FFF" w14:paraId="4135958C" w14:textId="77777777" w:rsidTr="00DA2FFF">
        <w:tc>
          <w:tcPr>
            <w:tcW w:w="2347" w:type="pct"/>
            <w:vAlign w:val="center"/>
          </w:tcPr>
          <w:p w14:paraId="58C49877" w14:textId="2CADC9C1"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Aufbewahrt</w:t>
            </w:r>
            <w:r w:rsidRPr="00DA2FFF">
              <w:rPr>
                <w:rFonts w:eastAsia="Times New Roman" w:cs="Times New Roman"/>
                <w:lang w:eastAsia="de-DE"/>
              </w:rPr>
              <w:t xml:space="preserve"> vor der Bundeslade</w:t>
            </w:r>
          </w:p>
        </w:tc>
        <w:tc>
          <w:tcPr>
            <w:tcW w:w="2653" w:type="pct"/>
            <w:vAlign w:val="center"/>
          </w:tcPr>
          <w:p w14:paraId="0919E367" w14:textId="2221B839"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Zur Rechten Gottes</w:t>
            </w:r>
            <w:r w:rsidRPr="00DA2FFF">
              <w:rPr>
                <w:rFonts w:eastAsia="Times New Roman" w:cs="Times New Roman"/>
                <w:lang w:eastAsia="de-DE"/>
              </w:rPr>
              <w:t xml:space="preserve"> (Hebr 1,3; 8,1)</w:t>
            </w:r>
          </w:p>
        </w:tc>
      </w:tr>
    </w:tbl>
    <w:p w14:paraId="584C363E"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Johannes 12,24:</w:t>
      </w:r>
    </w:p>
    <w:p w14:paraId="7EC9CC83" w14:textId="77777777" w:rsidR="00DA2FFF" w:rsidRPr="00DA2FFF" w:rsidRDefault="00DA2FFF" w:rsidP="00DA2FFF">
      <w:pPr>
        <w:spacing w:beforeAutospacing="1" w:after="100" w:afterAutospacing="1" w:line="240" w:lineRule="auto"/>
        <w:rPr>
          <w:rFonts w:eastAsia="Times New Roman" w:cs="Times New Roman"/>
          <w:lang w:eastAsia="de-DE"/>
        </w:rPr>
      </w:pPr>
      <w:r w:rsidRPr="00DA2FFF">
        <w:rPr>
          <w:rFonts w:eastAsia="Times New Roman" w:cs="Times New Roman"/>
          <w:lang w:eastAsia="de-DE"/>
        </w:rPr>
        <w:lastRenderedPageBreak/>
        <w:t xml:space="preserve">ἀμὴν ἀμὴν λέγω ὑμῖν, ἐὰν μὴ ὁ κόκκος τοῦ σίτου πεσὼν εἰς τὴν γῆν </w:t>
      </w:r>
      <w:r w:rsidRPr="00DA2FFF">
        <w:rPr>
          <w:rFonts w:eastAsia="Times New Roman" w:cs="Times New Roman"/>
          <w:b/>
          <w:bCs/>
          <w:lang w:eastAsia="de-DE"/>
        </w:rPr>
        <w:t>ἀποθάνῃ</w:t>
      </w:r>
      <w:r w:rsidRPr="00DA2FFF">
        <w:rPr>
          <w:rFonts w:eastAsia="Times New Roman" w:cs="Times New Roman"/>
          <w:lang w:eastAsia="de-DE"/>
        </w:rPr>
        <w:t xml:space="preserve">, αὐτὸς μόνος μένει· ἐὰν δὲ </w:t>
      </w:r>
      <w:r w:rsidRPr="00DA2FFF">
        <w:rPr>
          <w:rFonts w:eastAsia="Times New Roman" w:cs="Times New Roman"/>
          <w:b/>
          <w:bCs/>
          <w:lang w:eastAsia="de-DE"/>
        </w:rPr>
        <w:t>ἀποθάνῃ, πολὺν καρπὸν φέρει</w:t>
      </w:r>
      <w:r w:rsidRPr="00DA2FFF">
        <w:rPr>
          <w:rFonts w:eastAsia="Times New Roman" w:cs="Times New Roman"/>
          <w:lang w:eastAsia="de-DE"/>
        </w:rPr>
        <w:t>.</w:t>
      </w:r>
    </w:p>
    <w:p w14:paraId="1EB7C570"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"Wahrlich, wahrlich, ich sage euch: Wenn das Weizenkorn nicht in die Erde fällt und </w:t>
      </w:r>
      <w:r w:rsidRPr="00DA2FFF">
        <w:rPr>
          <w:rFonts w:eastAsia="Times New Roman" w:cs="Times New Roman"/>
          <w:b/>
          <w:bCs/>
          <w:lang w:eastAsia="de-DE"/>
        </w:rPr>
        <w:t>stirbt</w:t>
      </w:r>
      <w:r w:rsidRPr="00DA2FFF">
        <w:rPr>
          <w:rFonts w:eastAsia="Times New Roman" w:cs="Times New Roman"/>
          <w:lang w:eastAsia="de-DE"/>
        </w:rPr>
        <w:t xml:space="preserve">, bleibt es allein; wenn es aber </w:t>
      </w:r>
      <w:r w:rsidRPr="00DA2FFF">
        <w:rPr>
          <w:rFonts w:eastAsia="Times New Roman" w:cs="Times New Roman"/>
          <w:b/>
          <w:bCs/>
          <w:lang w:eastAsia="de-DE"/>
        </w:rPr>
        <w:t>stirbt, bringt es viel Frucht</w:t>
      </w:r>
      <w:r w:rsidRPr="00DA2FFF">
        <w:rPr>
          <w:rFonts w:eastAsia="Times New Roman" w:cs="Times New Roman"/>
          <w:lang w:eastAsia="de-DE"/>
        </w:rPr>
        <w:t>."</w:t>
      </w:r>
    </w:p>
    <w:p w14:paraId="0B1E194E"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Römer 1,4:</w:t>
      </w:r>
    </w:p>
    <w:p w14:paraId="1CBD80FB" w14:textId="77777777" w:rsidR="00DA2FFF" w:rsidRPr="00DA2FFF" w:rsidRDefault="00DA2FFF" w:rsidP="00DA2FFF">
      <w:pPr>
        <w:spacing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τοῦ ὁρισθέντος υἱοῦ θεοῦ ἐν δυνάμει... </w:t>
      </w:r>
      <w:r w:rsidRPr="00DA2FFF">
        <w:rPr>
          <w:rFonts w:eastAsia="Times New Roman" w:cs="Times New Roman"/>
          <w:b/>
          <w:bCs/>
          <w:lang w:eastAsia="de-DE"/>
        </w:rPr>
        <w:t>ἐξ ἀναστάσεως νεκρῶν</w:t>
      </w:r>
    </w:p>
    <w:p w14:paraId="2D09E724"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"Der eingesetzt ist als Sohn Gottes in Kraft... </w:t>
      </w:r>
      <w:r w:rsidRPr="00DA2FFF">
        <w:rPr>
          <w:rFonts w:eastAsia="Times New Roman" w:cs="Times New Roman"/>
          <w:b/>
          <w:bCs/>
          <w:lang w:eastAsia="de-DE"/>
        </w:rPr>
        <w:t>durch die Auferstehung von den Toten</w:t>
      </w:r>
      <w:r w:rsidRPr="00DA2FFF">
        <w:rPr>
          <w:rFonts w:eastAsia="Times New Roman" w:cs="Times New Roman"/>
          <w:lang w:eastAsia="de-DE"/>
        </w:rPr>
        <w:t>"</w:t>
      </w:r>
    </w:p>
    <w:p w14:paraId="6FF50E44" w14:textId="64316318" w:rsidR="00DA2FFF" w:rsidRPr="00DA2FFF" w:rsidRDefault="00DA2FFF" w:rsidP="00DA2FFF">
      <w:pPr>
        <w:pStyle w:val="Listenabsatz"/>
        <w:numPr>
          <w:ilvl w:val="0"/>
          <w:numId w:val="113"/>
        </w:numPr>
        <w:spacing w:before="100" w:beforeAutospacing="1" w:after="100" w:afterAutospacing="1" w:line="240" w:lineRule="auto"/>
        <w:rPr>
          <w:rFonts w:eastAsia="Times New Roman" w:cs="Times New Roman"/>
          <w:b/>
          <w:bCs/>
          <w:lang w:eastAsia="de-DE"/>
        </w:rPr>
      </w:pPr>
      <w:r w:rsidRPr="00DA2FFF">
        <w:rPr>
          <w:rFonts w:eastAsia="Times New Roman" w:cs="Times New Roman"/>
          <w:b/>
          <w:bCs/>
          <w:lang w:eastAsia="de-DE"/>
        </w:rPr>
        <w:t>Warum Mandeln? – Zusammenfassung</w:t>
      </w:r>
    </w:p>
    <w:tbl>
      <w:tblPr>
        <w:tblStyle w:val="Tabellenraster"/>
        <w:tblW w:w="4994" w:type="pct"/>
        <w:tblLook w:val="04A0" w:firstRow="1" w:lastRow="0" w:firstColumn="1" w:lastColumn="0" w:noHBand="0" w:noVBand="1"/>
      </w:tblPr>
      <w:tblGrid>
        <w:gridCol w:w="1837"/>
        <w:gridCol w:w="7214"/>
      </w:tblGrid>
      <w:tr w:rsidR="00DA2FFF" w14:paraId="65AACD20" w14:textId="77777777" w:rsidTr="00DA2FFF">
        <w:tc>
          <w:tcPr>
            <w:tcW w:w="1015" w:type="pct"/>
            <w:vAlign w:val="center"/>
          </w:tcPr>
          <w:p w14:paraId="5A2954B5" w14:textId="7EEFDA58"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Grund</w:t>
            </w:r>
          </w:p>
        </w:tc>
        <w:tc>
          <w:tcPr>
            <w:tcW w:w="3985" w:type="pct"/>
            <w:vAlign w:val="center"/>
          </w:tcPr>
          <w:p w14:paraId="7EA39C29" w14:textId="52985E6D"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Erklärung</w:t>
            </w:r>
          </w:p>
        </w:tc>
      </w:tr>
      <w:tr w:rsidR="00DA2FFF" w14:paraId="773A121F" w14:textId="77777777" w:rsidTr="008E38E3">
        <w:tc>
          <w:tcPr>
            <w:tcW w:w="1015" w:type="pct"/>
            <w:vAlign w:val="center"/>
          </w:tcPr>
          <w:p w14:paraId="648C24C2" w14:textId="24998130"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1. Etymologie</w:t>
            </w:r>
          </w:p>
        </w:tc>
        <w:tc>
          <w:tcPr>
            <w:tcW w:w="3985" w:type="pct"/>
            <w:vAlign w:val="center"/>
          </w:tcPr>
          <w:p w14:paraId="6F6B0209" w14:textId="2FFDC7AF"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rtl/>
                <w:lang w:eastAsia="de-DE"/>
              </w:rPr>
              <w:t>שָׁקֵד</w:t>
            </w:r>
            <w:r w:rsidRPr="00DA2FFF">
              <w:rPr>
                <w:rFonts w:eastAsia="Times New Roman" w:cs="Times New Roman"/>
                <w:lang w:eastAsia="de-DE"/>
              </w:rPr>
              <w:t xml:space="preserve"> = "Der Wachsame" → Gott </w:t>
            </w:r>
            <w:r w:rsidRPr="00DA2FFF">
              <w:rPr>
                <w:rFonts w:eastAsia="Times New Roman" w:cs="Times New Roman"/>
                <w:b/>
                <w:bCs/>
                <w:lang w:eastAsia="de-DE"/>
              </w:rPr>
              <w:t>wacht</w:t>
            </w:r>
            <w:r w:rsidRPr="00DA2FFF">
              <w:rPr>
                <w:rFonts w:eastAsia="Times New Roman" w:cs="Times New Roman"/>
                <w:lang w:eastAsia="de-DE"/>
              </w:rPr>
              <w:t xml:space="preserve"> über seiner Erwählung</w:t>
            </w:r>
          </w:p>
        </w:tc>
      </w:tr>
      <w:tr w:rsidR="00DA2FFF" w14:paraId="752CCB12" w14:textId="77777777" w:rsidTr="002465A6">
        <w:tc>
          <w:tcPr>
            <w:tcW w:w="1015" w:type="pct"/>
            <w:vAlign w:val="center"/>
          </w:tcPr>
          <w:p w14:paraId="09D61D09" w14:textId="53C42EBD"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2. Botanik</w:t>
            </w:r>
          </w:p>
        </w:tc>
        <w:tc>
          <w:tcPr>
            <w:tcW w:w="3985" w:type="pct"/>
            <w:vAlign w:val="center"/>
          </w:tcPr>
          <w:p w14:paraId="762499CA" w14:textId="2841FB27"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Erste Blüte</w:t>
            </w:r>
            <w:r w:rsidRPr="00DA2FFF">
              <w:rPr>
                <w:rFonts w:eastAsia="Times New Roman" w:cs="Times New Roman"/>
                <w:lang w:eastAsia="de-DE"/>
              </w:rPr>
              <w:t xml:space="preserve"> im Jahr → Aaron ist der </w:t>
            </w:r>
            <w:r w:rsidRPr="00DA2FFF">
              <w:rPr>
                <w:rFonts w:eastAsia="Times New Roman" w:cs="Times New Roman"/>
                <w:b/>
                <w:bCs/>
                <w:lang w:eastAsia="de-DE"/>
              </w:rPr>
              <w:t>Erste/Erwählte</w:t>
            </w:r>
          </w:p>
        </w:tc>
      </w:tr>
      <w:tr w:rsidR="00DA2FFF" w14:paraId="31C2B66E" w14:textId="77777777" w:rsidTr="00D908D4">
        <w:tc>
          <w:tcPr>
            <w:tcW w:w="1015" w:type="pct"/>
            <w:vAlign w:val="center"/>
          </w:tcPr>
          <w:p w14:paraId="527778EF" w14:textId="519278B7"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3. Heiligtum</w:t>
            </w:r>
          </w:p>
        </w:tc>
        <w:tc>
          <w:tcPr>
            <w:tcW w:w="3985" w:type="pct"/>
            <w:vAlign w:val="center"/>
          </w:tcPr>
          <w:p w14:paraId="4C674B5B" w14:textId="7B2DD3D4"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Menora</w:t>
            </w:r>
            <w:r w:rsidRPr="00DA2FFF">
              <w:rPr>
                <w:rFonts w:eastAsia="Times New Roman" w:cs="Times New Roman"/>
                <w:lang w:eastAsia="de-DE"/>
              </w:rPr>
              <w:t xml:space="preserve"> ist mandelförmig → Aarons Stab </w:t>
            </w:r>
            <w:r w:rsidRPr="00DA2FFF">
              <w:rPr>
                <w:rFonts w:eastAsia="Times New Roman" w:cs="Times New Roman"/>
                <w:b/>
                <w:bCs/>
                <w:lang w:eastAsia="de-DE"/>
              </w:rPr>
              <w:t>erfüllt</w:t>
            </w:r>
            <w:r w:rsidRPr="00DA2FFF">
              <w:rPr>
                <w:rFonts w:eastAsia="Times New Roman" w:cs="Times New Roman"/>
                <w:lang w:eastAsia="de-DE"/>
              </w:rPr>
              <w:t xml:space="preserve"> das Symbol</w:t>
            </w:r>
          </w:p>
        </w:tc>
      </w:tr>
      <w:tr w:rsidR="00DA2FFF" w14:paraId="2795B84B" w14:textId="77777777" w:rsidTr="00975B9A">
        <w:tc>
          <w:tcPr>
            <w:tcW w:w="1015" w:type="pct"/>
            <w:vAlign w:val="center"/>
          </w:tcPr>
          <w:p w14:paraId="15DD61AC" w14:textId="63CC8455"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4. Theologie</w:t>
            </w:r>
          </w:p>
        </w:tc>
        <w:tc>
          <w:tcPr>
            <w:tcW w:w="3985" w:type="pct"/>
            <w:vAlign w:val="center"/>
          </w:tcPr>
          <w:p w14:paraId="68F8B070" w14:textId="37FDA398"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Leben aus Tod</w:t>
            </w:r>
            <w:r w:rsidRPr="00DA2FFF">
              <w:rPr>
                <w:rFonts w:eastAsia="Times New Roman" w:cs="Times New Roman"/>
                <w:lang w:eastAsia="de-DE"/>
              </w:rPr>
              <w:t xml:space="preserve"> → Auferstehung-Motiv</w:t>
            </w:r>
          </w:p>
        </w:tc>
      </w:tr>
      <w:tr w:rsidR="00DA2FFF" w14:paraId="0E15766F" w14:textId="77777777" w:rsidTr="000542E4">
        <w:tc>
          <w:tcPr>
            <w:tcW w:w="1015" w:type="pct"/>
            <w:vAlign w:val="center"/>
          </w:tcPr>
          <w:p w14:paraId="35CBD589" w14:textId="59FCBEBC"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5. Frucht</w:t>
            </w:r>
          </w:p>
        </w:tc>
        <w:tc>
          <w:tcPr>
            <w:tcW w:w="3985" w:type="pct"/>
            <w:vAlign w:val="center"/>
          </w:tcPr>
          <w:p w14:paraId="67CBBCC3" w14:textId="502E2011"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Produktivität</w:t>
            </w:r>
            <w:r w:rsidRPr="00DA2FFF">
              <w:rPr>
                <w:rFonts w:eastAsia="Times New Roman" w:cs="Times New Roman"/>
                <w:lang w:eastAsia="de-DE"/>
              </w:rPr>
              <w:t xml:space="preserve"> → Wahres Priestertum ist </w:t>
            </w:r>
            <w:r w:rsidRPr="00DA2FFF">
              <w:rPr>
                <w:rFonts w:eastAsia="Times New Roman" w:cs="Times New Roman"/>
                <w:b/>
                <w:bCs/>
                <w:lang w:eastAsia="de-DE"/>
              </w:rPr>
              <w:t>fruchtbar</w:t>
            </w:r>
          </w:p>
        </w:tc>
      </w:tr>
      <w:tr w:rsidR="00DA2FFF" w14:paraId="15795547" w14:textId="77777777" w:rsidTr="00D23862">
        <w:tc>
          <w:tcPr>
            <w:tcW w:w="1015" w:type="pct"/>
            <w:vAlign w:val="center"/>
          </w:tcPr>
          <w:p w14:paraId="686D41E2" w14:textId="4EA17915"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6. Typologie</w:t>
            </w:r>
          </w:p>
        </w:tc>
        <w:tc>
          <w:tcPr>
            <w:tcW w:w="3985" w:type="pct"/>
            <w:vAlign w:val="center"/>
          </w:tcPr>
          <w:p w14:paraId="428578D5" w14:textId="23AF0A93" w:rsid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Vorausbild</w:t>
            </w:r>
            <w:r w:rsidRPr="00DA2FFF">
              <w:rPr>
                <w:rFonts w:eastAsia="Times New Roman" w:cs="Times New Roman"/>
                <w:lang w:eastAsia="de-DE"/>
              </w:rPr>
              <w:t xml:space="preserve"> von Christi </w:t>
            </w:r>
            <w:r w:rsidRPr="00DA2FFF">
              <w:rPr>
                <w:rFonts w:eastAsia="Times New Roman" w:cs="Times New Roman"/>
                <w:b/>
                <w:bCs/>
                <w:lang w:eastAsia="de-DE"/>
              </w:rPr>
              <w:t>Auferstehung</w:t>
            </w:r>
          </w:p>
        </w:tc>
      </w:tr>
    </w:tbl>
    <w:p w14:paraId="4F0DECBC"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Fazit:</w:t>
      </w:r>
    </w:p>
    <w:p w14:paraId="643FD8FD"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Die </w:t>
      </w:r>
      <w:r w:rsidRPr="00DA2FFF">
        <w:rPr>
          <w:rFonts w:eastAsia="Times New Roman" w:cs="Times New Roman"/>
          <w:b/>
          <w:bCs/>
          <w:lang w:eastAsia="de-DE"/>
        </w:rPr>
        <w:t>Mandeln</w:t>
      </w:r>
      <w:r w:rsidRPr="00DA2FFF">
        <w:rPr>
          <w:rFonts w:eastAsia="Times New Roman" w:cs="Times New Roman"/>
          <w:lang w:eastAsia="de-DE"/>
        </w:rPr>
        <w:t xml:space="preserve"> (</w:t>
      </w:r>
      <w:r w:rsidRPr="00DA2FFF">
        <w:rPr>
          <w:rFonts w:eastAsia="Times New Roman" w:cs="Times New Roman"/>
          <w:rtl/>
          <w:lang w:eastAsia="de-DE"/>
        </w:rPr>
        <w:t>שְׁקֵדִים</w:t>
      </w:r>
      <w:r w:rsidRPr="00DA2FFF">
        <w:rPr>
          <w:rFonts w:eastAsia="Times New Roman" w:cs="Times New Roman"/>
          <w:lang w:eastAsia="de-DE"/>
        </w:rPr>
        <w:t xml:space="preserve">) auf Aarons Stab sind </w:t>
      </w:r>
      <w:r w:rsidRPr="00DA2FFF">
        <w:rPr>
          <w:rFonts w:eastAsia="Times New Roman" w:cs="Times New Roman"/>
          <w:b/>
          <w:bCs/>
          <w:lang w:eastAsia="de-DE"/>
        </w:rPr>
        <w:t>kein Zufall</w:t>
      </w:r>
      <w:r w:rsidRPr="00DA2FFF">
        <w:rPr>
          <w:rFonts w:eastAsia="Times New Roman" w:cs="Times New Roman"/>
          <w:lang w:eastAsia="de-DE"/>
        </w:rPr>
        <w:t xml:space="preserve">, sondern ein </w:t>
      </w:r>
      <w:r w:rsidRPr="00DA2FFF">
        <w:rPr>
          <w:rFonts w:eastAsia="Times New Roman" w:cs="Times New Roman"/>
          <w:b/>
          <w:bCs/>
          <w:lang w:eastAsia="de-DE"/>
        </w:rPr>
        <w:t>theologisches Statement</w:t>
      </w:r>
      <w:r w:rsidRPr="00DA2FFF">
        <w:rPr>
          <w:rFonts w:eastAsia="Times New Roman" w:cs="Times New Roman"/>
          <w:lang w:eastAsia="de-DE"/>
        </w:rPr>
        <w:t>:</w:t>
      </w:r>
    </w:p>
    <w:p w14:paraId="007442F2" w14:textId="77777777" w:rsidR="00DA2FFF" w:rsidRPr="00DA2FFF" w:rsidRDefault="00DA2FFF" w:rsidP="00B358B7">
      <w:pPr>
        <w:numPr>
          <w:ilvl w:val="0"/>
          <w:numId w:val="159"/>
        </w:numPr>
        <w:spacing w:before="100" w:beforeAutospacing="1" w:after="100" w:afterAutospacing="1" w:line="240" w:lineRule="auto"/>
        <w:rPr>
          <w:rFonts w:eastAsia="Times New Roman" w:cs="Times New Roman"/>
          <w:lang w:eastAsia="de-DE"/>
        </w:rPr>
      </w:pPr>
      <w:r w:rsidRPr="00DA2FFF">
        <w:rPr>
          <w:rFonts w:ascii="Segoe UI Emoji" w:eastAsia="Times New Roman" w:hAnsi="Segoe UI Emoji" w:cs="Segoe UI Emoji"/>
          <w:lang w:eastAsia="de-DE"/>
        </w:rPr>
        <w:t>✅</w:t>
      </w:r>
      <w:r w:rsidRPr="00DA2FFF">
        <w:rPr>
          <w:rFonts w:eastAsia="Times New Roman" w:cs="Times New Roman"/>
          <w:lang w:eastAsia="de-DE"/>
        </w:rPr>
        <w:t xml:space="preserve"> </w:t>
      </w:r>
      <w:r w:rsidRPr="00DA2FFF">
        <w:rPr>
          <w:rFonts w:eastAsia="Times New Roman" w:cs="Times New Roman"/>
          <w:b/>
          <w:bCs/>
          <w:lang w:eastAsia="de-DE"/>
        </w:rPr>
        <w:t>Gott wacht</w:t>
      </w:r>
      <w:r w:rsidRPr="00DA2FFF">
        <w:rPr>
          <w:rFonts w:eastAsia="Times New Roman" w:cs="Times New Roman"/>
          <w:lang w:eastAsia="de-DE"/>
        </w:rPr>
        <w:t xml:space="preserve"> (</w:t>
      </w:r>
      <w:r w:rsidRPr="00DA2FFF">
        <w:rPr>
          <w:rFonts w:eastAsia="Times New Roman" w:cs="Times New Roman"/>
          <w:rtl/>
          <w:lang w:eastAsia="de-DE"/>
        </w:rPr>
        <w:t>שֹׁקֵד</w:t>
      </w:r>
      <w:r w:rsidRPr="00DA2FFF">
        <w:rPr>
          <w:rFonts w:eastAsia="Times New Roman" w:cs="Times New Roman"/>
          <w:lang w:eastAsia="de-DE"/>
        </w:rPr>
        <w:t>) über seiner Erwählung</w:t>
      </w:r>
    </w:p>
    <w:p w14:paraId="0738FA03" w14:textId="77777777" w:rsidR="00DA2FFF" w:rsidRPr="00DA2FFF" w:rsidRDefault="00DA2FFF" w:rsidP="00B358B7">
      <w:pPr>
        <w:numPr>
          <w:ilvl w:val="0"/>
          <w:numId w:val="159"/>
        </w:numPr>
        <w:spacing w:before="100" w:beforeAutospacing="1" w:after="100" w:afterAutospacing="1" w:line="240" w:lineRule="auto"/>
        <w:rPr>
          <w:rFonts w:eastAsia="Times New Roman" w:cs="Times New Roman"/>
          <w:lang w:eastAsia="de-DE"/>
        </w:rPr>
      </w:pPr>
      <w:r w:rsidRPr="00DA2FFF">
        <w:rPr>
          <w:rFonts w:ascii="Segoe UI Emoji" w:eastAsia="Times New Roman" w:hAnsi="Segoe UI Emoji" w:cs="Segoe UI Emoji"/>
          <w:lang w:eastAsia="de-DE"/>
        </w:rPr>
        <w:t>✅</w:t>
      </w:r>
      <w:r w:rsidRPr="00DA2FFF">
        <w:rPr>
          <w:rFonts w:eastAsia="Times New Roman" w:cs="Times New Roman"/>
          <w:lang w:eastAsia="de-DE"/>
        </w:rPr>
        <w:t xml:space="preserve"> </w:t>
      </w:r>
      <w:r w:rsidRPr="00DA2FFF">
        <w:rPr>
          <w:rFonts w:eastAsia="Times New Roman" w:cs="Times New Roman"/>
          <w:b/>
          <w:bCs/>
          <w:lang w:eastAsia="de-DE"/>
        </w:rPr>
        <w:t>Aaron ist erwacht</w:t>
      </w:r>
      <w:r w:rsidRPr="00DA2FFF">
        <w:rPr>
          <w:rFonts w:eastAsia="Times New Roman" w:cs="Times New Roman"/>
          <w:lang w:eastAsia="de-DE"/>
        </w:rPr>
        <w:t xml:space="preserve"> (wie der Mandelbaum) zum Leben</w:t>
      </w:r>
    </w:p>
    <w:p w14:paraId="2FDBEC21" w14:textId="77777777" w:rsidR="00DA2FFF" w:rsidRPr="00DA2FFF" w:rsidRDefault="00DA2FFF" w:rsidP="00B358B7">
      <w:pPr>
        <w:numPr>
          <w:ilvl w:val="0"/>
          <w:numId w:val="159"/>
        </w:numPr>
        <w:spacing w:before="100" w:beforeAutospacing="1" w:after="100" w:afterAutospacing="1" w:line="240" w:lineRule="auto"/>
        <w:rPr>
          <w:rFonts w:eastAsia="Times New Roman" w:cs="Times New Roman"/>
          <w:lang w:eastAsia="de-DE"/>
        </w:rPr>
      </w:pPr>
      <w:r w:rsidRPr="00DA2FFF">
        <w:rPr>
          <w:rFonts w:ascii="Segoe UI Emoji" w:eastAsia="Times New Roman" w:hAnsi="Segoe UI Emoji" w:cs="Segoe UI Emoji"/>
          <w:lang w:eastAsia="de-DE"/>
        </w:rPr>
        <w:t>✅</w:t>
      </w:r>
      <w:r w:rsidRPr="00DA2FFF">
        <w:rPr>
          <w:rFonts w:eastAsia="Times New Roman" w:cs="Times New Roman"/>
          <w:lang w:eastAsia="de-DE"/>
        </w:rPr>
        <w:t xml:space="preserve"> </w:t>
      </w:r>
      <w:r w:rsidRPr="00DA2FFF">
        <w:rPr>
          <w:rFonts w:eastAsia="Times New Roman" w:cs="Times New Roman"/>
          <w:b/>
          <w:bCs/>
          <w:lang w:eastAsia="de-DE"/>
        </w:rPr>
        <w:t>Fruchtbarkeit</w:t>
      </w:r>
      <w:r w:rsidRPr="00DA2FFF">
        <w:rPr>
          <w:rFonts w:eastAsia="Times New Roman" w:cs="Times New Roman"/>
          <w:lang w:eastAsia="de-DE"/>
        </w:rPr>
        <w:t xml:space="preserve"> als Zeichen wahrer Berufung</w:t>
      </w:r>
    </w:p>
    <w:p w14:paraId="22FE8552" w14:textId="77777777" w:rsidR="00DA2FFF" w:rsidRPr="00DA2FFF" w:rsidRDefault="00DA2FFF" w:rsidP="00B358B7">
      <w:pPr>
        <w:numPr>
          <w:ilvl w:val="0"/>
          <w:numId w:val="159"/>
        </w:numPr>
        <w:spacing w:before="100" w:beforeAutospacing="1" w:after="100" w:afterAutospacing="1" w:line="240" w:lineRule="auto"/>
        <w:rPr>
          <w:rFonts w:eastAsia="Times New Roman" w:cs="Times New Roman"/>
          <w:lang w:eastAsia="de-DE"/>
        </w:rPr>
      </w:pPr>
      <w:r w:rsidRPr="00DA2FFF">
        <w:rPr>
          <w:rFonts w:ascii="Segoe UI Emoji" w:eastAsia="Times New Roman" w:hAnsi="Segoe UI Emoji" w:cs="Segoe UI Emoji"/>
          <w:lang w:eastAsia="de-DE"/>
        </w:rPr>
        <w:t>✅</w:t>
      </w:r>
      <w:r w:rsidRPr="00DA2FFF">
        <w:rPr>
          <w:rFonts w:eastAsia="Times New Roman" w:cs="Times New Roman"/>
          <w:lang w:eastAsia="de-DE"/>
        </w:rPr>
        <w:t xml:space="preserve"> </w:t>
      </w:r>
      <w:r w:rsidRPr="00DA2FFF">
        <w:rPr>
          <w:rFonts w:eastAsia="Times New Roman" w:cs="Times New Roman"/>
          <w:b/>
          <w:bCs/>
          <w:lang w:eastAsia="de-DE"/>
        </w:rPr>
        <w:t>Typus</w:t>
      </w:r>
      <w:r w:rsidRPr="00DA2FFF">
        <w:rPr>
          <w:rFonts w:eastAsia="Times New Roman" w:cs="Times New Roman"/>
          <w:lang w:eastAsia="de-DE"/>
        </w:rPr>
        <w:t xml:space="preserve"> der Auferstehung Christi</w:t>
      </w:r>
    </w:p>
    <w:p w14:paraId="194D5606" w14:textId="77777777" w:rsidR="00DA2FFF" w:rsidRPr="00DA2FFF" w:rsidRDefault="00DA2FFF" w:rsidP="00DA2FFF">
      <w:pPr>
        <w:spacing w:before="100" w:beforeAutospacing="1" w:after="100" w:afterAutospacing="1" w:line="240" w:lineRule="auto"/>
        <w:rPr>
          <w:rFonts w:eastAsia="Times New Roman" w:cs="Times New Roman"/>
          <w:lang w:eastAsia="de-DE"/>
        </w:rPr>
      </w:pPr>
      <w:r w:rsidRPr="00DA2FFF">
        <w:rPr>
          <w:rFonts w:eastAsia="Times New Roman" w:cs="Times New Roman"/>
          <w:b/>
          <w:bCs/>
          <w:lang w:eastAsia="de-DE"/>
        </w:rPr>
        <w:t>Anwendung:</w:t>
      </w:r>
    </w:p>
    <w:p w14:paraId="7C9130C6" w14:textId="1F196C04" w:rsidR="00DA2FFF" w:rsidRPr="00BA5394" w:rsidRDefault="00DA2FFF" w:rsidP="006A0345">
      <w:pPr>
        <w:spacing w:before="100" w:beforeAutospacing="1" w:after="100" w:afterAutospacing="1" w:line="240" w:lineRule="auto"/>
        <w:rPr>
          <w:rFonts w:eastAsia="Times New Roman" w:cs="Times New Roman"/>
          <w:lang w:eastAsia="de-DE"/>
        </w:rPr>
      </w:pPr>
      <w:r w:rsidRPr="00DA2FFF">
        <w:rPr>
          <w:rFonts w:eastAsia="Times New Roman" w:cs="Times New Roman"/>
          <w:lang w:eastAsia="de-DE"/>
        </w:rPr>
        <w:t xml:space="preserve">Wie der </w:t>
      </w:r>
      <w:r w:rsidRPr="00DA2FFF">
        <w:rPr>
          <w:rFonts w:eastAsia="Times New Roman" w:cs="Times New Roman"/>
          <w:b/>
          <w:bCs/>
          <w:lang w:eastAsia="de-DE"/>
        </w:rPr>
        <w:t>tote Stab</w:t>
      </w:r>
      <w:r w:rsidRPr="00DA2FFF">
        <w:rPr>
          <w:rFonts w:eastAsia="Times New Roman" w:cs="Times New Roman"/>
          <w:lang w:eastAsia="de-DE"/>
        </w:rPr>
        <w:t xml:space="preserve"> durch Gottes Macht </w:t>
      </w:r>
      <w:r w:rsidRPr="00DA2FFF">
        <w:rPr>
          <w:rFonts w:eastAsia="Times New Roman" w:cs="Times New Roman"/>
          <w:b/>
          <w:bCs/>
          <w:lang w:eastAsia="de-DE"/>
        </w:rPr>
        <w:t>lebendig</w:t>
      </w:r>
      <w:r w:rsidRPr="00DA2FFF">
        <w:rPr>
          <w:rFonts w:eastAsia="Times New Roman" w:cs="Times New Roman"/>
          <w:lang w:eastAsia="de-DE"/>
        </w:rPr>
        <w:t xml:space="preserve"> wurde und </w:t>
      </w:r>
      <w:r w:rsidRPr="00DA2FFF">
        <w:rPr>
          <w:rFonts w:eastAsia="Times New Roman" w:cs="Times New Roman"/>
          <w:b/>
          <w:bCs/>
          <w:lang w:eastAsia="de-DE"/>
        </w:rPr>
        <w:t>Frucht</w:t>
      </w:r>
      <w:r w:rsidRPr="00DA2FFF">
        <w:rPr>
          <w:rFonts w:eastAsia="Times New Roman" w:cs="Times New Roman"/>
          <w:lang w:eastAsia="de-DE"/>
        </w:rPr>
        <w:t xml:space="preserve"> brachte, so macht Gott auch </w:t>
      </w:r>
      <w:r w:rsidRPr="00DA2FFF">
        <w:rPr>
          <w:rFonts w:eastAsia="Times New Roman" w:cs="Times New Roman"/>
          <w:b/>
          <w:bCs/>
          <w:lang w:eastAsia="de-DE"/>
        </w:rPr>
        <w:t>uns</w:t>
      </w:r>
      <w:r w:rsidRPr="00DA2FFF">
        <w:rPr>
          <w:rFonts w:eastAsia="Times New Roman" w:cs="Times New Roman"/>
          <w:lang w:eastAsia="de-DE"/>
        </w:rPr>
        <w:t xml:space="preserve"> lebendig (Eph 2,5) und befähigt uns, </w:t>
      </w:r>
      <w:r w:rsidRPr="00DA2FFF">
        <w:rPr>
          <w:rFonts w:eastAsia="Times New Roman" w:cs="Times New Roman"/>
          <w:b/>
          <w:bCs/>
          <w:lang w:eastAsia="de-DE"/>
        </w:rPr>
        <w:t>Frucht</w:t>
      </w:r>
      <w:r w:rsidRPr="00DA2FFF">
        <w:rPr>
          <w:rFonts w:eastAsia="Times New Roman" w:cs="Times New Roman"/>
          <w:lang w:eastAsia="de-DE"/>
        </w:rPr>
        <w:t xml:space="preserve"> zu bringen (Joh 15,5.16) – </w:t>
      </w:r>
      <w:r w:rsidRPr="00DA2FFF">
        <w:rPr>
          <w:rFonts w:eastAsia="Times New Roman" w:cs="Times New Roman"/>
          <w:b/>
          <w:bCs/>
          <w:lang w:eastAsia="de-DE"/>
        </w:rPr>
        <w:t>nicht</w:t>
      </w:r>
      <w:r w:rsidRPr="00DA2FFF">
        <w:rPr>
          <w:rFonts w:eastAsia="Times New Roman" w:cs="Times New Roman"/>
          <w:lang w:eastAsia="de-DE"/>
        </w:rPr>
        <w:t xml:space="preserve"> durch eigene Kraft, sondern durch </w:t>
      </w:r>
      <w:r w:rsidRPr="00DA2FFF">
        <w:rPr>
          <w:rFonts w:eastAsia="Times New Roman" w:cs="Times New Roman"/>
          <w:b/>
          <w:bCs/>
          <w:lang w:eastAsia="de-DE"/>
        </w:rPr>
        <w:t>seine Erwählung und Gnade</w:t>
      </w:r>
      <w:r w:rsidRPr="00DA2FFF">
        <w:rPr>
          <w:rFonts w:eastAsia="Times New Roman" w:cs="Times New Roman"/>
          <w:lang w:eastAsia="de-DE"/>
        </w:rPr>
        <w:t>!</w:t>
      </w:r>
    </w:p>
    <w:p w14:paraId="7B8CFA7D"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17,24</w:t>
      </w:r>
    </w:p>
    <w:p w14:paraId="6A72831F"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וַיֹּצֵ֨א מֹשֶׁ֤ה אֶת־כָּל־הַמַּטֹּת֙ מִלִּפְנֵ֣י יְהוָ֔ה אֶֽל־כָּל־בְּנֵ֖י יִשְׂרָאֵ֑ל וַיִּרְא֥וּ וַיִּקְח֖וּ אִ֥ישׁ מַטֵּֽהוּ׃</w:t>
      </w:r>
    </w:p>
    <w:p w14:paraId="461D23E3"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Und Mosche brachte alle Stäbe vom Angesicht des Ewigen heraus zu allen Söhnen Jisra'els, und sie sahen sie und nahmen ein jeder seinen Stab.</w:t>
      </w:r>
    </w:p>
    <w:p w14:paraId="66F69D52"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01CA2CC5">
          <v:rect id="_x0000_i1597" style="width:0;height:1.5pt" o:hralign="center" o:hrstd="t" o:hr="t" fillcolor="#a0a0a0" stroked="f"/>
        </w:pict>
      </w:r>
    </w:p>
    <w:p w14:paraId="1DFE352C"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lastRenderedPageBreak/>
        <w:t>Kommentar:</w:t>
      </w:r>
      <w:r w:rsidRPr="00BA5394">
        <w:rPr>
          <w:rFonts w:eastAsia="Times New Roman" w:cs="Times New Roman"/>
          <w:lang w:eastAsia="de-DE"/>
        </w:rPr>
        <w:t xml:space="preserve"> Das Verb </w:t>
      </w:r>
      <w:r w:rsidRPr="00BA5394">
        <w:rPr>
          <w:rFonts w:eastAsia="Times New Roman" w:cs="Times New Roman"/>
          <w:b/>
          <w:bCs/>
          <w:rtl/>
          <w:lang w:eastAsia="de-DE"/>
        </w:rPr>
        <w:t>וַיֹּצֵא</w:t>
      </w:r>
      <w:r w:rsidRPr="00BA5394">
        <w:rPr>
          <w:rFonts w:eastAsia="Times New Roman" w:cs="Times New Roman"/>
          <w:rtl/>
          <w:lang w:eastAsia="de-DE"/>
        </w:rPr>
        <w:t xml:space="preserve"> </w:t>
      </w:r>
      <w:r w:rsidRPr="00BA5394">
        <w:rPr>
          <w:rFonts w:eastAsia="Times New Roman" w:cs="Times New Roman"/>
          <w:lang w:eastAsia="de-DE"/>
        </w:rPr>
        <w:t xml:space="preserve">(Wayyiqtol, 3. m. sg. von </w:t>
      </w:r>
      <w:r w:rsidRPr="00BA5394">
        <w:rPr>
          <w:rFonts w:eastAsia="Times New Roman" w:cs="Times New Roman"/>
          <w:b/>
          <w:bCs/>
          <w:rtl/>
          <w:lang w:eastAsia="de-DE"/>
        </w:rPr>
        <w:t>יצא</w:t>
      </w:r>
      <w:r w:rsidRPr="00BA5394">
        <w:rPr>
          <w:rFonts w:eastAsia="Times New Roman" w:cs="Times New Roman"/>
          <w:rtl/>
          <w:lang w:eastAsia="de-DE"/>
        </w:rPr>
        <w:t xml:space="preserve"> </w:t>
      </w:r>
      <w:r w:rsidRPr="00BA5394">
        <w:rPr>
          <w:rFonts w:eastAsia="Times New Roman" w:cs="Times New Roman"/>
          <w:lang w:eastAsia="de-DE"/>
        </w:rPr>
        <w:t xml:space="preserve">Hifil) bedeutet „und er brachte heraus". Die Hifil-Form ist kausativ. </w:t>
      </w:r>
      <w:r w:rsidRPr="00BA5394">
        <w:rPr>
          <w:rFonts w:eastAsia="Times New Roman" w:cs="Times New Roman"/>
          <w:b/>
          <w:bCs/>
          <w:rtl/>
          <w:lang w:eastAsia="de-DE"/>
        </w:rPr>
        <w:t>מֹשֶׁה</w:t>
      </w:r>
      <w:r w:rsidRPr="00BA5394">
        <w:rPr>
          <w:rFonts w:eastAsia="Times New Roman" w:cs="Times New Roman"/>
          <w:rtl/>
          <w:lang w:eastAsia="de-DE"/>
        </w:rPr>
        <w:t xml:space="preserve"> </w:t>
      </w:r>
      <w:r w:rsidRPr="00BA5394">
        <w:rPr>
          <w:rFonts w:eastAsia="Times New Roman" w:cs="Times New Roman"/>
          <w:lang w:eastAsia="de-DE"/>
        </w:rPr>
        <w:t xml:space="preserve">ist das Subjekt. Das Objekt </w:t>
      </w:r>
      <w:r w:rsidRPr="00BA5394">
        <w:rPr>
          <w:rFonts w:eastAsia="Times New Roman" w:cs="Times New Roman"/>
          <w:b/>
          <w:bCs/>
          <w:rtl/>
          <w:lang w:eastAsia="de-DE"/>
        </w:rPr>
        <w:t>אֶת־כָּל־הַמַּטֹּת</w:t>
      </w:r>
      <w:r w:rsidRPr="00BA5394">
        <w:rPr>
          <w:rFonts w:eastAsia="Times New Roman" w:cs="Times New Roman"/>
          <w:rtl/>
          <w:lang w:eastAsia="de-DE"/>
        </w:rPr>
        <w:t xml:space="preserve"> </w:t>
      </w:r>
      <w:r w:rsidRPr="00BA5394">
        <w:rPr>
          <w:rFonts w:eastAsia="Times New Roman" w:cs="Times New Roman"/>
          <w:lang w:eastAsia="de-DE"/>
        </w:rPr>
        <w:t>ist „alle Stäbe" (</w:t>
      </w:r>
      <w:r w:rsidRPr="00BA5394">
        <w:rPr>
          <w:rFonts w:eastAsia="Times New Roman" w:cs="Times New Roman"/>
          <w:b/>
          <w:bCs/>
          <w:rtl/>
          <w:lang w:eastAsia="de-DE"/>
        </w:rPr>
        <w:t>כָּל</w:t>
      </w:r>
      <w:r w:rsidRPr="00BA5394">
        <w:rPr>
          <w:rFonts w:eastAsia="Times New Roman" w:cs="Times New Roman"/>
          <w:rtl/>
          <w:lang w:eastAsia="de-DE"/>
        </w:rPr>
        <w:t xml:space="preserve"> </w:t>
      </w:r>
      <w:r w:rsidRPr="00BA5394">
        <w:rPr>
          <w:rFonts w:eastAsia="Times New Roman" w:cs="Times New Roman"/>
          <w:lang w:eastAsia="de-DE"/>
        </w:rPr>
        <w:t xml:space="preserve">im Constructus vor </w:t>
      </w:r>
      <w:r w:rsidRPr="00BA5394">
        <w:rPr>
          <w:rFonts w:eastAsia="Times New Roman" w:cs="Times New Roman"/>
          <w:b/>
          <w:bCs/>
          <w:rtl/>
          <w:lang w:eastAsia="de-DE"/>
        </w:rPr>
        <w:t>הַמַּטֹּת</w:t>
      </w:r>
      <w:r w:rsidRPr="00BA5394">
        <w:rPr>
          <w:rFonts w:eastAsia="Times New Roman" w:cs="Times New Roman"/>
          <w:lang w:eastAsia="de-DE"/>
        </w:rPr>
        <w:t xml:space="preserve">). Die Präposition </w:t>
      </w:r>
      <w:r w:rsidRPr="00BA5394">
        <w:rPr>
          <w:rFonts w:eastAsia="Times New Roman" w:cs="Times New Roman"/>
          <w:b/>
          <w:bCs/>
          <w:rtl/>
          <w:lang w:eastAsia="de-DE"/>
        </w:rPr>
        <w:t>מִלִּפְנֵי יְהוָה</w:t>
      </w:r>
      <w:r w:rsidRPr="00BA5394">
        <w:rPr>
          <w:rFonts w:eastAsia="Times New Roman" w:cs="Times New Roman"/>
          <w:rtl/>
          <w:lang w:eastAsia="de-DE"/>
        </w:rPr>
        <w:t xml:space="preserve"> </w:t>
      </w:r>
      <w:r w:rsidRPr="00BA5394">
        <w:rPr>
          <w:rFonts w:eastAsia="Times New Roman" w:cs="Times New Roman"/>
          <w:lang w:eastAsia="de-DE"/>
        </w:rPr>
        <w:t xml:space="preserve">(„von vor JHWH") gibt die Herkunft an. Die Präposition </w:t>
      </w:r>
      <w:r w:rsidRPr="00BA5394">
        <w:rPr>
          <w:rFonts w:eastAsia="Times New Roman" w:cs="Times New Roman"/>
          <w:b/>
          <w:bCs/>
          <w:rtl/>
          <w:lang w:eastAsia="de-DE"/>
        </w:rPr>
        <w:t>אֶל־כָּל־בְּנֵי יִשְׂרָאֵל</w:t>
      </w:r>
      <w:r w:rsidRPr="00BA5394">
        <w:rPr>
          <w:rFonts w:eastAsia="Times New Roman" w:cs="Times New Roman"/>
          <w:rtl/>
          <w:lang w:eastAsia="de-DE"/>
        </w:rPr>
        <w:t xml:space="preserve"> </w:t>
      </w:r>
      <w:r w:rsidRPr="00BA5394">
        <w:rPr>
          <w:rFonts w:eastAsia="Times New Roman" w:cs="Times New Roman"/>
          <w:lang w:eastAsia="de-DE"/>
        </w:rPr>
        <w:t>(„zu allen Söhnen Israels") gibt das Ziel an.</w:t>
      </w:r>
    </w:p>
    <w:p w14:paraId="3C4A9F6B"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Die zwei koordinierten Verben beschreiben die Reaktion: </w:t>
      </w:r>
      <w:r w:rsidRPr="00BA5394">
        <w:rPr>
          <w:rFonts w:eastAsia="Times New Roman" w:cs="Times New Roman"/>
          <w:b/>
          <w:bCs/>
          <w:rtl/>
          <w:lang w:eastAsia="de-DE"/>
        </w:rPr>
        <w:t>וַיִּרְאוּ</w:t>
      </w:r>
      <w:r w:rsidRPr="00BA5394">
        <w:rPr>
          <w:rFonts w:eastAsia="Times New Roman" w:cs="Times New Roman"/>
          <w:rtl/>
          <w:lang w:eastAsia="de-DE"/>
        </w:rPr>
        <w:t xml:space="preserve"> </w:t>
      </w:r>
      <w:r w:rsidRPr="00BA5394">
        <w:rPr>
          <w:rFonts w:eastAsia="Times New Roman" w:cs="Times New Roman"/>
          <w:lang w:eastAsia="de-DE"/>
        </w:rPr>
        <w:t xml:space="preserve">(Wayyiqtol, 3. m. pl. von </w:t>
      </w:r>
      <w:r w:rsidRPr="00BA5394">
        <w:rPr>
          <w:rFonts w:eastAsia="Times New Roman" w:cs="Times New Roman"/>
          <w:b/>
          <w:bCs/>
          <w:rtl/>
          <w:lang w:eastAsia="de-DE"/>
        </w:rPr>
        <w:t>ראה</w:t>
      </w:r>
      <w:r w:rsidRPr="00BA5394">
        <w:rPr>
          <w:rFonts w:eastAsia="Times New Roman" w:cs="Times New Roman"/>
          <w:lang w:eastAsia="de-DE"/>
        </w:rPr>
        <w:t xml:space="preserve">) „und sie sahen" und </w:t>
      </w:r>
      <w:r w:rsidRPr="00BA5394">
        <w:rPr>
          <w:rFonts w:eastAsia="Times New Roman" w:cs="Times New Roman"/>
          <w:b/>
          <w:bCs/>
          <w:rtl/>
          <w:lang w:eastAsia="de-DE"/>
        </w:rPr>
        <w:t>וַיִּקְחוּ</w:t>
      </w:r>
      <w:r w:rsidRPr="00BA5394">
        <w:rPr>
          <w:rFonts w:eastAsia="Times New Roman" w:cs="Times New Roman"/>
          <w:rtl/>
          <w:lang w:eastAsia="de-DE"/>
        </w:rPr>
        <w:t xml:space="preserve"> </w:t>
      </w:r>
      <w:r w:rsidRPr="00BA5394">
        <w:rPr>
          <w:rFonts w:eastAsia="Times New Roman" w:cs="Times New Roman"/>
          <w:lang w:eastAsia="de-DE"/>
        </w:rPr>
        <w:t xml:space="preserve">(Wayyiqtol, 3. m. pl. von </w:t>
      </w:r>
      <w:r w:rsidRPr="00BA5394">
        <w:rPr>
          <w:rFonts w:eastAsia="Times New Roman" w:cs="Times New Roman"/>
          <w:b/>
          <w:bCs/>
          <w:rtl/>
          <w:lang w:eastAsia="de-DE"/>
        </w:rPr>
        <w:t>לקח</w:t>
      </w:r>
      <w:r w:rsidRPr="00BA5394">
        <w:rPr>
          <w:rFonts w:eastAsia="Times New Roman" w:cs="Times New Roman"/>
          <w:lang w:eastAsia="de-DE"/>
        </w:rPr>
        <w:t xml:space="preserve">) „und sie nahmen". Die distributive Phrase </w:t>
      </w:r>
      <w:r w:rsidRPr="00BA5394">
        <w:rPr>
          <w:rFonts w:eastAsia="Times New Roman" w:cs="Times New Roman"/>
          <w:b/>
          <w:bCs/>
          <w:rtl/>
          <w:lang w:eastAsia="de-DE"/>
        </w:rPr>
        <w:t>אִישׁ מַטֵּהוּ</w:t>
      </w:r>
      <w:r w:rsidRPr="00BA5394">
        <w:rPr>
          <w:rFonts w:eastAsia="Times New Roman" w:cs="Times New Roman"/>
          <w:rtl/>
          <w:lang w:eastAsia="de-DE"/>
        </w:rPr>
        <w:t xml:space="preserve"> </w:t>
      </w:r>
      <w:r w:rsidRPr="00BA5394">
        <w:rPr>
          <w:rFonts w:eastAsia="Times New Roman" w:cs="Times New Roman"/>
          <w:lang w:eastAsia="de-DE"/>
        </w:rPr>
        <w:t>(„ein jeder seinen Stab") betont, dass jeder Fürst seinen eigenen Stab zurückbekam.</w:t>
      </w:r>
    </w:p>
    <w:p w14:paraId="15D29BD3"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Die LXX</w:t>
      </w:r>
      <w:r w:rsidRPr="00BA5394">
        <w:rPr>
          <w:rFonts w:eastAsia="Times New Roman" w:cs="Times New Roman"/>
          <w:lang w:eastAsia="de-DE"/>
        </w:rPr>
        <w:t xml:space="preserve"> folgt dem hebräischen Text.</w:t>
      </w:r>
    </w:p>
    <w:p w14:paraId="4BB099DC"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Die Satzstruktur zeigt drei koordinierte Hauptsätze: Der erste mit Verb, Subjekt, Objekt und zwei Präpositionalphrasen; der zweite und dritte mit Verb, und beim dritten eine distributive Objektangabe.</w:t>
      </w:r>
    </w:p>
    <w:p w14:paraId="510B6D34"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Der Vers beschreibt die öffentliche Bekanntmachung: Mose zeigt alle Stäbe dem gesamten Volk, damit alle das Wunder sehen können. Jeder Fürst nimmt seinen eigenen unveränderten Stab zurück – nur Aarons Stab hat das übernatürliche Zeichen empfangen.</w:t>
      </w:r>
    </w:p>
    <w:p w14:paraId="3E694D64"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17,25</w:t>
      </w:r>
    </w:p>
    <w:p w14:paraId="68CAC593"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וַיֹּ֨אמֶר יְהוָ֜ה אֶל־מֹשֶׁ֗ה הָשֵׁ֞ב אֶת־מַטֵּ֤ה אַהֲרֹן֙ לִפְנֵ֣י הָעֵד֔וּת לְמִשְׁמֶ֥רֶת לְא֖וֹת לִבְנֵי־מֶ֑רִי וּתְכַ֧ל תְּלוּנֹּתָ֛ם מֵעָלַ֖י וְלֹ֥א יָמֻֽתוּ׃</w:t>
      </w:r>
    </w:p>
    <w:p w14:paraId="460A86D9"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Und der Ewige sprach zu Mosche: Bring den Stab Aharons vor das Zeugnis zurück, um ihn als ein Zeichen für die Widerspenstigen aufzubewahren, und du wirst ihrem Murren vor mir ein Ende machen, und sie werden nicht sterben.</w:t>
      </w:r>
    </w:p>
    <w:p w14:paraId="1CE402A2"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4424418E">
          <v:rect id="_x0000_i1598" style="width:0;height:1.5pt" o:hralign="center" o:hrstd="t" o:hr="t" fillcolor="#a0a0a0" stroked="f"/>
        </w:pict>
      </w:r>
    </w:p>
    <w:p w14:paraId="7245C57C"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Das Verb </w:t>
      </w:r>
      <w:r w:rsidRPr="00BA5394">
        <w:rPr>
          <w:rFonts w:eastAsia="Times New Roman" w:cs="Times New Roman"/>
          <w:b/>
          <w:bCs/>
          <w:rtl/>
          <w:lang w:eastAsia="de-DE"/>
        </w:rPr>
        <w:t>וַיֹּאמֶר</w:t>
      </w:r>
      <w:r w:rsidRPr="00BA5394">
        <w:rPr>
          <w:rFonts w:eastAsia="Times New Roman" w:cs="Times New Roman"/>
          <w:rtl/>
          <w:lang w:eastAsia="de-DE"/>
        </w:rPr>
        <w:t xml:space="preserve"> </w:t>
      </w:r>
      <w:r w:rsidRPr="00BA5394">
        <w:rPr>
          <w:rFonts w:eastAsia="Times New Roman" w:cs="Times New Roman"/>
          <w:lang w:eastAsia="de-DE"/>
        </w:rPr>
        <w:t xml:space="preserve">(Wayyiqtol von </w:t>
      </w:r>
      <w:r w:rsidRPr="00BA5394">
        <w:rPr>
          <w:rFonts w:eastAsia="Times New Roman" w:cs="Times New Roman"/>
          <w:b/>
          <w:bCs/>
          <w:rtl/>
          <w:lang w:eastAsia="de-DE"/>
        </w:rPr>
        <w:t>אמר</w:t>
      </w:r>
      <w:r w:rsidRPr="00BA5394">
        <w:rPr>
          <w:rFonts w:eastAsia="Times New Roman" w:cs="Times New Roman"/>
          <w:lang w:eastAsia="de-DE"/>
        </w:rPr>
        <w:t xml:space="preserve">) leitet die göttliche Anweisung ein. </w:t>
      </w:r>
      <w:r w:rsidRPr="00BA5394">
        <w:rPr>
          <w:rFonts w:eastAsia="Times New Roman" w:cs="Times New Roman"/>
          <w:b/>
          <w:bCs/>
          <w:rtl/>
          <w:lang w:eastAsia="de-DE"/>
        </w:rPr>
        <w:t>יְהוָה</w:t>
      </w:r>
      <w:r w:rsidRPr="00BA5394">
        <w:rPr>
          <w:rFonts w:eastAsia="Times New Roman" w:cs="Times New Roman"/>
          <w:rtl/>
          <w:lang w:eastAsia="de-DE"/>
        </w:rPr>
        <w:t xml:space="preserve"> </w:t>
      </w:r>
      <w:r w:rsidRPr="00BA5394">
        <w:rPr>
          <w:rFonts w:eastAsia="Times New Roman" w:cs="Times New Roman"/>
          <w:lang w:eastAsia="de-DE"/>
        </w:rPr>
        <w:t xml:space="preserve">ist das Subjekt, </w:t>
      </w:r>
      <w:r w:rsidRPr="00BA5394">
        <w:rPr>
          <w:rFonts w:eastAsia="Times New Roman" w:cs="Times New Roman"/>
          <w:b/>
          <w:bCs/>
          <w:rtl/>
          <w:lang w:eastAsia="de-DE"/>
        </w:rPr>
        <w:t>אֶל־מֹשֶׁה</w:t>
      </w:r>
      <w:r w:rsidRPr="00BA5394">
        <w:rPr>
          <w:rFonts w:eastAsia="Times New Roman" w:cs="Times New Roman"/>
          <w:rtl/>
          <w:lang w:eastAsia="de-DE"/>
        </w:rPr>
        <w:t xml:space="preserve"> </w:t>
      </w:r>
      <w:r w:rsidRPr="00BA5394">
        <w:rPr>
          <w:rFonts w:eastAsia="Times New Roman" w:cs="Times New Roman"/>
          <w:lang w:eastAsia="de-DE"/>
        </w:rPr>
        <w:t xml:space="preserve">der Adressat. Der Imperativ </w:t>
      </w:r>
      <w:r w:rsidRPr="00BA5394">
        <w:rPr>
          <w:rFonts w:eastAsia="Times New Roman" w:cs="Times New Roman"/>
          <w:b/>
          <w:bCs/>
          <w:rtl/>
          <w:lang w:eastAsia="de-DE"/>
        </w:rPr>
        <w:t>הָשֵׁב</w:t>
      </w:r>
      <w:r w:rsidRPr="00BA5394">
        <w:rPr>
          <w:rFonts w:eastAsia="Times New Roman" w:cs="Times New Roman"/>
          <w:rtl/>
          <w:lang w:eastAsia="de-DE"/>
        </w:rPr>
        <w:t xml:space="preserve"> </w:t>
      </w:r>
      <w:r w:rsidRPr="00BA5394">
        <w:rPr>
          <w:rFonts w:eastAsia="Times New Roman" w:cs="Times New Roman"/>
          <w:lang w:eastAsia="de-DE"/>
        </w:rPr>
        <w:t xml:space="preserve">(Hifil Imperativ von </w:t>
      </w:r>
      <w:r w:rsidRPr="00BA5394">
        <w:rPr>
          <w:rFonts w:eastAsia="Times New Roman" w:cs="Times New Roman"/>
          <w:b/>
          <w:bCs/>
          <w:rtl/>
          <w:lang w:eastAsia="de-DE"/>
        </w:rPr>
        <w:t>שׁוב</w:t>
      </w:r>
      <w:r w:rsidRPr="00BA5394">
        <w:rPr>
          <w:rFonts w:eastAsia="Times New Roman" w:cs="Times New Roman"/>
          <w:lang w:eastAsia="de-DE"/>
        </w:rPr>
        <w:t xml:space="preserve">) bedeutet „bring zurück". Die Hifil-Form ist kausativ. Das Objekt </w:t>
      </w:r>
      <w:r w:rsidRPr="00BA5394">
        <w:rPr>
          <w:rFonts w:eastAsia="Times New Roman" w:cs="Times New Roman"/>
          <w:b/>
          <w:bCs/>
          <w:rtl/>
          <w:lang w:eastAsia="de-DE"/>
        </w:rPr>
        <w:t>אֶת־מַטֵּה אַהֲרֹן</w:t>
      </w:r>
      <w:r w:rsidRPr="00BA5394">
        <w:rPr>
          <w:rFonts w:eastAsia="Times New Roman" w:cs="Times New Roman"/>
          <w:rtl/>
          <w:lang w:eastAsia="de-DE"/>
        </w:rPr>
        <w:t xml:space="preserve"> </w:t>
      </w:r>
      <w:r w:rsidRPr="00BA5394">
        <w:rPr>
          <w:rFonts w:eastAsia="Times New Roman" w:cs="Times New Roman"/>
          <w:lang w:eastAsia="de-DE"/>
        </w:rPr>
        <w:t xml:space="preserve">ist „den Stab Aarons". Die Präposition </w:t>
      </w:r>
      <w:r w:rsidRPr="00BA5394">
        <w:rPr>
          <w:rFonts w:eastAsia="Times New Roman" w:cs="Times New Roman"/>
          <w:b/>
          <w:bCs/>
          <w:rtl/>
          <w:lang w:eastAsia="de-DE"/>
        </w:rPr>
        <w:t>לִפְנֵי הָעֵדוּת</w:t>
      </w:r>
      <w:r w:rsidRPr="00BA5394">
        <w:rPr>
          <w:rFonts w:eastAsia="Times New Roman" w:cs="Times New Roman"/>
          <w:rtl/>
          <w:lang w:eastAsia="de-DE"/>
        </w:rPr>
        <w:t xml:space="preserve"> </w:t>
      </w:r>
      <w:r w:rsidRPr="00BA5394">
        <w:rPr>
          <w:rFonts w:eastAsia="Times New Roman" w:cs="Times New Roman"/>
          <w:lang w:eastAsia="de-DE"/>
        </w:rPr>
        <w:t>(„vor das Zeugnis") gibt den Ort an.</w:t>
      </w:r>
    </w:p>
    <w:p w14:paraId="79B60E92"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Die finale Präposition </w:t>
      </w:r>
      <w:r w:rsidRPr="00BA5394">
        <w:rPr>
          <w:rFonts w:eastAsia="Times New Roman" w:cs="Times New Roman"/>
          <w:b/>
          <w:bCs/>
          <w:rtl/>
          <w:lang w:eastAsia="de-DE"/>
        </w:rPr>
        <w:t>לְמִשְׁמֶרֶת</w:t>
      </w:r>
      <w:r w:rsidRPr="00BA5394">
        <w:rPr>
          <w:rFonts w:eastAsia="Times New Roman" w:cs="Times New Roman"/>
          <w:rtl/>
          <w:lang w:eastAsia="de-DE"/>
        </w:rPr>
        <w:t xml:space="preserve"> </w:t>
      </w:r>
      <w:r w:rsidRPr="00BA5394">
        <w:rPr>
          <w:rFonts w:eastAsia="Times New Roman" w:cs="Times New Roman"/>
          <w:lang w:eastAsia="de-DE"/>
        </w:rPr>
        <w:t>(„zur Aufbewahrung") gibt den Zweck an (</w:t>
      </w:r>
      <w:r w:rsidRPr="00BA5394">
        <w:rPr>
          <w:rFonts w:eastAsia="Times New Roman" w:cs="Times New Roman"/>
          <w:b/>
          <w:bCs/>
          <w:rtl/>
          <w:lang w:eastAsia="de-DE"/>
        </w:rPr>
        <w:t>מִשְׁמֶרֶת</w:t>
      </w:r>
      <w:r w:rsidRPr="00BA5394">
        <w:rPr>
          <w:rFonts w:eastAsia="Times New Roman" w:cs="Times New Roman"/>
          <w:rtl/>
          <w:lang w:eastAsia="de-DE"/>
        </w:rPr>
        <w:t xml:space="preserve"> </w:t>
      </w:r>
      <w:r w:rsidRPr="00BA5394">
        <w:rPr>
          <w:rFonts w:eastAsia="Times New Roman" w:cs="Times New Roman"/>
          <w:lang w:eastAsia="de-DE"/>
        </w:rPr>
        <w:t xml:space="preserve">von </w:t>
      </w:r>
      <w:r w:rsidRPr="00BA5394">
        <w:rPr>
          <w:rFonts w:eastAsia="Times New Roman" w:cs="Times New Roman"/>
          <w:b/>
          <w:bCs/>
          <w:rtl/>
          <w:lang w:eastAsia="de-DE"/>
        </w:rPr>
        <w:t>שׁמר</w:t>
      </w:r>
      <w:r w:rsidRPr="00BA5394">
        <w:rPr>
          <w:rFonts w:eastAsia="Times New Roman" w:cs="Times New Roman"/>
          <w:lang w:eastAsia="de-DE"/>
        </w:rPr>
        <w:t xml:space="preserve">, „bewahren, hüten"). </w:t>
      </w:r>
      <w:r w:rsidRPr="00BA5394">
        <w:rPr>
          <w:rFonts w:eastAsia="Times New Roman" w:cs="Times New Roman"/>
          <w:b/>
          <w:bCs/>
          <w:rtl/>
          <w:lang w:eastAsia="de-DE"/>
        </w:rPr>
        <w:t>לְאוֹת</w:t>
      </w:r>
      <w:r w:rsidRPr="00BA5394">
        <w:rPr>
          <w:rFonts w:eastAsia="Times New Roman" w:cs="Times New Roman"/>
          <w:rtl/>
          <w:lang w:eastAsia="de-DE"/>
        </w:rPr>
        <w:t xml:space="preserve"> </w:t>
      </w:r>
      <w:r w:rsidRPr="00BA5394">
        <w:rPr>
          <w:rFonts w:eastAsia="Times New Roman" w:cs="Times New Roman"/>
          <w:lang w:eastAsia="de-DE"/>
        </w:rPr>
        <w:t xml:space="preserve">(„zum Zeichen") ist eine zweite finale Bestimmung. </w:t>
      </w:r>
      <w:r w:rsidRPr="00BA5394">
        <w:rPr>
          <w:rFonts w:eastAsia="Times New Roman" w:cs="Times New Roman"/>
          <w:b/>
          <w:bCs/>
          <w:rtl/>
          <w:lang w:eastAsia="de-DE"/>
        </w:rPr>
        <w:t>לִבְנֵי־מֶרִי</w:t>
      </w:r>
      <w:r w:rsidRPr="00BA5394">
        <w:rPr>
          <w:rFonts w:eastAsia="Times New Roman" w:cs="Times New Roman"/>
          <w:rtl/>
          <w:lang w:eastAsia="de-DE"/>
        </w:rPr>
        <w:t xml:space="preserve"> </w:t>
      </w:r>
      <w:r w:rsidRPr="00BA5394">
        <w:rPr>
          <w:rFonts w:eastAsia="Times New Roman" w:cs="Times New Roman"/>
          <w:lang w:eastAsia="de-DE"/>
        </w:rPr>
        <w:t>(„für die Söhne der Widerspenstigkeit") ist eine idiomatische Wendung (</w:t>
      </w:r>
      <w:r w:rsidRPr="00BA5394">
        <w:rPr>
          <w:rFonts w:eastAsia="Times New Roman" w:cs="Times New Roman"/>
          <w:b/>
          <w:bCs/>
          <w:rtl/>
          <w:lang w:eastAsia="de-DE"/>
        </w:rPr>
        <w:t>בְּנֵי</w:t>
      </w:r>
      <w:r w:rsidRPr="00BA5394">
        <w:rPr>
          <w:rFonts w:eastAsia="Times New Roman" w:cs="Times New Roman"/>
          <w:rtl/>
          <w:lang w:eastAsia="de-DE"/>
        </w:rPr>
        <w:t xml:space="preserve"> </w:t>
      </w:r>
      <w:r w:rsidRPr="00BA5394">
        <w:rPr>
          <w:rFonts w:eastAsia="Times New Roman" w:cs="Times New Roman"/>
          <w:lang w:eastAsia="de-DE"/>
        </w:rPr>
        <w:t xml:space="preserve">Constructus Plural, </w:t>
      </w:r>
      <w:r w:rsidRPr="00BA5394">
        <w:rPr>
          <w:rFonts w:eastAsia="Times New Roman" w:cs="Times New Roman"/>
          <w:b/>
          <w:bCs/>
          <w:rtl/>
          <w:lang w:eastAsia="de-DE"/>
        </w:rPr>
        <w:t>מֶרִי</w:t>
      </w:r>
      <w:r w:rsidRPr="00BA5394">
        <w:rPr>
          <w:rFonts w:eastAsia="Times New Roman" w:cs="Times New Roman"/>
          <w:rtl/>
          <w:lang w:eastAsia="de-DE"/>
        </w:rPr>
        <w:t xml:space="preserve"> </w:t>
      </w:r>
      <w:r w:rsidRPr="00BA5394">
        <w:rPr>
          <w:rFonts w:eastAsia="Times New Roman" w:cs="Times New Roman"/>
          <w:lang w:eastAsia="de-DE"/>
        </w:rPr>
        <w:t xml:space="preserve">„Widerspenstigkeit, Rebellion"). Das koordinierte Verb </w:t>
      </w:r>
      <w:r w:rsidRPr="00BA5394">
        <w:rPr>
          <w:rFonts w:eastAsia="Times New Roman" w:cs="Times New Roman"/>
          <w:b/>
          <w:bCs/>
          <w:rtl/>
          <w:lang w:eastAsia="de-DE"/>
        </w:rPr>
        <w:t>וּתְכַל</w:t>
      </w:r>
      <w:r w:rsidRPr="00BA5394">
        <w:rPr>
          <w:rFonts w:eastAsia="Times New Roman" w:cs="Times New Roman"/>
          <w:rtl/>
          <w:lang w:eastAsia="de-DE"/>
        </w:rPr>
        <w:t xml:space="preserve"> </w:t>
      </w:r>
      <w:r w:rsidRPr="00BA5394">
        <w:rPr>
          <w:rFonts w:eastAsia="Times New Roman" w:cs="Times New Roman"/>
          <w:lang w:eastAsia="de-DE"/>
        </w:rPr>
        <w:t xml:space="preserve">(Waw + Piel Imperfekt, 2. m. sg. von </w:t>
      </w:r>
      <w:r w:rsidRPr="00BA5394">
        <w:rPr>
          <w:rFonts w:eastAsia="Times New Roman" w:cs="Times New Roman"/>
          <w:b/>
          <w:bCs/>
          <w:rtl/>
          <w:lang w:eastAsia="de-DE"/>
        </w:rPr>
        <w:t>כלה</w:t>
      </w:r>
      <w:r w:rsidRPr="00BA5394">
        <w:rPr>
          <w:rFonts w:eastAsia="Times New Roman" w:cs="Times New Roman"/>
          <w:lang w:eastAsia="de-DE"/>
        </w:rPr>
        <w:t xml:space="preserve">) bedeutet „und du wirst ein Ende machen". Das Objekt </w:t>
      </w:r>
      <w:r w:rsidRPr="00BA5394">
        <w:rPr>
          <w:rFonts w:eastAsia="Times New Roman" w:cs="Times New Roman"/>
          <w:b/>
          <w:bCs/>
          <w:rtl/>
          <w:lang w:eastAsia="de-DE"/>
        </w:rPr>
        <w:t>תְּלוּנֹּתָם</w:t>
      </w:r>
      <w:r w:rsidRPr="00BA5394">
        <w:rPr>
          <w:rFonts w:eastAsia="Times New Roman" w:cs="Times New Roman"/>
          <w:rtl/>
          <w:lang w:eastAsia="de-DE"/>
        </w:rPr>
        <w:t xml:space="preserve"> </w:t>
      </w:r>
      <w:r w:rsidRPr="00BA5394">
        <w:rPr>
          <w:rFonts w:eastAsia="Times New Roman" w:cs="Times New Roman"/>
          <w:lang w:eastAsia="de-DE"/>
        </w:rPr>
        <w:t xml:space="preserve">ist „ihr Murren" mit Possessivsuffix 3. m. pl. Die Präposition </w:t>
      </w:r>
      <w:r w:rsidRPr="00BA5394">
        <w:rPr>
          <w:rFonts w:eastAsia="Times New Roman" w:cs="Times New Roman"/>
          <w:b/>
          <w:bCs/>
          <w:rtl/>
          <w:lang w:eastAsia="de-DE"/>
        </w:rPr>
        <w:t>מֵעָלַי</w:t>
      </w:r>
      <w:r w:rsidRPr="00BA5394">
        <w:rPr>
          <w:rFonts w:eastAsia="Times New Roman" w:cs="Times New Roman"/>
          <w:rtl/>
          <w:lang w:eastAsia="de-DE"/>
        </w:rPr>
        <w:t xml:space="preserve"> </w:t>
      </w:r>
      <w:r w:rsidRPr="00BA5394">
        <w:rPr>
          <w:rFonts w:eastAsia="Times New Roman" w:cs="Times New Roman"/>
          <w:lang w:eastAsia="de-DE"/>
        </w:rPr>
        <w:t xml:space="preserve">(„von mir") mit Suffix 1. c. sg. Das koordinierte Verb </w:t>
      </w:r>
      <w:r w:rsidRPr="00BA5394">
        <w:rPr>
          <w:rFonts w:eastAsia="Times New Roman" w:cs="Times New Roman"/>
          <w:b/>
          <w:bCs/>
          <w:rtl/>
          <w:lang w:eastAsia="de-DE"/>
        </w:rPr>
        <w:t>וְלֹא יָמֻתוּ</w:t>
      </w:r>
      <w:r w:rsidRPr="00BA5394">
        <w:rPr>
          <w:rFonts w:eastAsia="Times New Roman" w:cs="Times New Roman"/>
          <w:rtl/>
          <w:lang w:eastAsia="de-DE"/>
        </w:rPr>
        <w:t xml:space="preserve"> </w:t>
      </w:r>
      <w:r w:rsidRPr="00BA5394">
        <w:rPr>
          <w:rFonts w:eastAsia="Times New Roman" w:cs="Times New Roman"/>
          <w:lang w:eastAsia="de-DE"/>
        </w:rPr>
        <w:t xml:space="preserve">(Waw + Qal Imperfekt, 3. m. pl. von </w:t>
      </w:r>
      <w:r w:rsidRPr="00BA5394">
        <w:rPr>
          <w:rFonts w:eastAsia="Times New Roman" w:cs="Times New Roman"/>
          <w:b/>
          <w:bCs/>
          <w:rtl/>
          <w:lang w:eastAsia="de-DE"/>
        </w:rPr>
        <w:t>מות</w:t>
      </w:r>
      <w:r w:rsidRPr="00BA5394">
        <w:rPr>
          <w:rFonts w:eastAsia="Times New Roman" w:cs="Times New Roman"/>
          <w:rtl/>
          <w:lang w:eastAsia="de-DE"/>
        </w:rPr>
        <w:t xml:space="preserve"> </w:t>
      </w:r>
      <w:r w:rsidRPr="00BA5394">
        <w:rPr>
          <w:rFonts w:eastAsia="Times New Roman" w:cs="Times New Roman"/>
          <w:lang w:eastAsia="de-DE"/>
        </w:rPr>
        <w:t>mit Negation) bedeutet „und sie werden nicht sterben".</w:t>
      </w:r>
    </w:p>
    <w:p w14:paraId="5859DFDD" w14:textId="2443263C" w:rsidR="00BA5394" w:rsidRPr="00BA5394" w:rsidRDefault="000039C6" w:rsidP="00BA5394">
      <w:pPr>
        <w:spacing w:before="100" w:beforeAutospacing="1" w:after="100" w:afterAutospacing="1" w:line="240" w:lineRule="auto"/>
        <w:rPr>
          <w:rFonts w:eastAsia="Times New Roman" w:cs="Times New Roman"/>
          <w:lang w:eastAsia="de-DE"/>
        </w:rPr>
      </w:pPr>
      <w:r>
        <w:rPr>
          <w:rStyle w:val="Fett"/>
        </w:rPr>
        <w:t>Vers 25 (MT) / Vers 10 (LXX):</w:t>
      </w:r>
      <w:r>
        <w:t xml:space="preserve"> </w:t>
      </w:r>
      <w:r>
        <w:rPr>
          <w:rStyle w:val="Fett"/>
        </w:rPr>
        <w:t>Die LXX</w:t>
      </w:r>
      <w:r>
        <w:t xml:space="preserve"> übersetzt „</w:t>
      </w:r>
      <w:r w:rsidRPr="000039C6">
        <w:rPr>
          <w:b/>
          <w:bCs/>
          <w:rtl/>
        </w:rPr>
        <w:t>לִבְנֵי־מֶרִי</w:t>
      </w:r>
      <w:r>
        <w:t>" (für die rebellischen Söhne) mit „τοῖς υἱοῖς τῶν ἀνηκόων" (für die Söhne der Ungehorsamen), was eine etwas andere moralische Charakterisierung darstellt.</w:t>
      </w:r>
    </w:p>
    <w:p w14:paraId="0AEDFFA0"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lastRenderedPageBreak/>
        <w:t>Die Satzstruktur zeigt einen Hauptsatz mit Verb und Adressaten. Die direkte Rede beginnt mit einem Imperativ mit Objekt und Präpositionalphrase, gefolgt von zwei finalen Bestimmungen. Zwei koordinierte Hauptsätze mit Verben und ihren Ergänzungen schließen ab.</w:t>
      </w:r>
    </w:p>
    <w:p w14:paraId="67744489"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Der Vers befiehlt die dauerhafte Aufbewahrung von Aarons Stab als bleibendes Mahnzeichen gegen künftige Rebellion und als Schutz vor göttlichem Gericht.</w:t>
      </w:r>
    </w:p>
    <w:p w14:paraId="72762A70"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17,26</w:t>
      </w:r>
    </w:p>
    <w:p w14:paraId="3A46EF64"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וַיַּ֖עַשׂ מֹשֶׁ֑ה כַּאֲשֶׁ֨ר צִוָּ֧ה יְהוָ֛ה אֹתוֹ֖ כֵּ֥ן עָשָֽׂה׃</w:t>
      </w:r>
    </w:p>
    <w:p w14:paraId="4E5AADF6"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Und Mosche tat es; wie der Ewige ihm geboten hatte, so tat er.</w:t>
      </w:r>
    </w:p>
    <w:p w14:paraId="07D0A005"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3DF3C313">
          <v:rect id="_x0000_i1599" style="width:0;height:1.5pt" o:hralign="center" o:hrstd="t" o:hr="t" fillcolor="#a0a0a0" stroked="f"/>
        </w:pict>
      </w:r>
    </w:p>
    <w:p w14:paraId="699797A3"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Das Verb </w:t>
      </w:r>
      <w:r w:rsidRPr="00BA5394">
        <w:rPr>
          <w:rFonts w:eastAsia="Times New Roman" w:cs="Times New Roman"/>
          <w:b/>
          <w:bCs/>
          <w:rtl/>
          <w:lang w:eastAsia="de-DE"/>
        </w:rPr>
        <w:t>וַיַּעַשׂ</w:t>
      </w:r>
      <w:r w:rsidRPr="00BA5394">
        <w:rPr>
          <w:rFonts w:eastAsia="Times New Roman" w:cs="Times New Roman"/>
          <w:rtl/>
          <w:lang w:eastAsia="de-DE"/>
        </w:rPr>
        <w:t xml:space="preserve"> </w:t>
      </w:r>
      <w:r w:rsidRPr="00BA5394">
        <w:rPr>
          <w:rFonts w:eastAsia="Times New Roman" w:cs="Times New Roman"/>
          <w:lang w:eastAsia="de-DE"/>
        </w:rPr>
        <w:t xml:space="preserve">(Wayyiqtol von </w:t>
      </w:r>
      <w:r w:rsidRPr="00BA5394">
        <w:rPr>
          <w:rFonts w:eastAsia="Times New Roman" w:cs="Times New Roman"/>
          <w:b/>
          <w:bCs/>
          <w:rtl/>
          <w:lang w:eastAsia="de-DE"/>
        </w:rPr>
        <w:t>עשׂה</w:t>
      </w:r>
      <w:r w:rsidRPr="00BA5394">
        <w:rPr>
          <w:rFonts w:eastAsia="Times New Roman" w:cs="Times New Roman"/>
          <w:lang w:eastAsia="de-DE"/>
        </w:rPr>
        <w:t xml:space="preserve">) bedeutet „und er tat". </w:t>
      </w:r>
      <w:r w:rsidRPr="00BA5394">
        <w:rPr>
          <w:rFonts w:eastAsia="Times New Roman" w:cs="Times New Roman"/>
          <w:b/>
          <w:bCs/>
          <w:rtl/>
          <w:lang w:eastAsia="de-DE"/>
        </w:rPr>
        <w:t>מֹשֶׁה</w:t>
      </w:r>
      <w:r w:rsidRPr="00BA5394">
        <w:rPr>
          <w:rFonts w:eastAsia="Times New Roman" w:cs="Times New Roman"/>
          <w:rtl/>
          <w:lang w:eastAsia="de-DE"/>
        </w:rPr>
        <w:t xml:space="preserve"> </w:t>
      </w:r>
      <w:r w:rsidRPr="00BA5394">
        <w:rPr>
          <w:rFonts w:eastAsia="Times New Roman" w:cs="Times New Roman"/>
          <w:lang w:eastAsia="de-DE"/>
        </w:rPr>
        <w:t xml:space="preserve">ist das Subjekt. Die Vergleichsphrase </w:t>
      </w:r>
      <w:r w:rsidRPr="00BA5394">
        <w:rPr>
          <w:rFonts w:eastAsia="Times New Roman" w:cs="Times New Roman"/>
          <w:b/>
          <w:bCs/>
          <w:rtl/>
          <w:lang w:eastAsia="de-DE"/>
        </w:rPr>
        <w:t>כַּאֲשֶׁר צִוָּה יְהוָה אֹתוֹ</w:t>
      </w:r>
      <w:r w:rsidRPr="00BA5394">
        <w:rPr>
          <w:rFonts w:eastAsia="Times New Roman" w:cs="Times New Roman"/>
          <w:rtl/>
          <w:lang w:eastAsia="de-DE"/>
        </w:rPr>
        <w:t xml:space="preserve"> </w:t>
      </w:r>
      <w:r w:rsidRPr="00BA5394">
        <w:rPr>
          <w:rFonts w:eastAsia="Times New Roman" w:cs="Times New Roman"/>
          <w:lang w:eastAsia="de-DE"/>
        </w:rPr>
        <w:t xml:space="preserve">besteht aus </w:t>
      </w:r>
      <w:r w:rsidRPr="00BA5394">
        <w:rPr>
          <w:rFonts w:eastAsia="Times New Roman" w:cs="Times New Roman"/>
          <w:b/>
          <w:bCs/>
          <w:rtl/>
          <w:lang w:eastAsia="de-DE"/>
        </w:rPr>
        <w:t>כַּאֲשֶׁר</w:t>
      </w:r>
      <w:r w:rsidRPr="00BA5394">
        <w:rPr>
          <w:rFonts w:eastAsia="Times New Roman" w:cs="Times New Roman"/>
          <w:rtl/>
          <w:lang w:eastAsia="de-DE"/>
        </w:rPr>
        <w:t xml:space="preserve"> </w:t>
      </w:r>
      <w:r w:rsidRPr="00BA5394">
        <w:rPr>
          <w:rFonts w:eastAsia="Times New Roman" w:cs="Times New Roman"/>
          <w:lang w:eastAsia="de-DE"/>
        </w:rPr>
        <w:t xml:space="preserve">(„wie, so wie"), dem Verb </w:t>
      </w:r>
      <w:r w:rsidRPr="00BA5394">
        <w:rPr>
          <w:rFonts w:eastAsia="Times New Roman" w:cs="Times New Roman"/>
          <w:b/>
          <w:bCs/>
          <w:rtl/>
          <w:lang w:eastAsia="de-DE"/>
        </w:rPr>
        <w:t>צִוָּה</w:t>
      </w:r>
      <w:r w:rsidRPr="00BA5394">
        <w:rPr>
          <w:rFonts w:eastAsia="Times New Roman" w:cs="Times New Roman"/>
          <w:rtl/>
          <w:lang w:eastAsia="de-DE"/>
        </w:rPr>
        <w:t xml:space="preserve"> </w:t>
      </w:r>
      <w:r w:rsidRPr="00BA5394">
        <w:rPr>
          <w:rFonts w:eastAsia="Times New Roman" w:cs="Times New Roman"/>
          <w:lang w:eastAsia="de-DE"/>
        </w:rPr>
        <w:t xml:space="preserve">(Piel Perfekt von </w:t>
      </w:r>
      <w:r w:rsidRPr="00BA5394">
        <w:rPr>
          <w:rFonts w:eastAsia="Times New Roman" w:cs="Times New Roman"/>
          <w:b/>
          <w:bCs/>
          <w:rtl/>
          <w:lang w:eastAsia="de-DE"/>
        </w:rPr>
        <w:t>צוה</w:t>
      </w:r>
      <w:r w:rsidRPr="00BA5394">
        <w:rPr>
          <w:rFonts w:eastAsia="Times New Roman" w:cs="Times New Roman"/>
          <w:lang w:eastAsia="de-DE"/>
        </w:rPr>
        <w:t xml:space="preserve">, „befehlen, gebieten"), dem Subjekt </w:t>
      </w:r>
      <w:r w:rsidRPr="00BA5394">
        <w:rPr>
          <w:rFonts w:eastAsia="Times New Roman" w:cs="Times New Roman"/>
          <w:b/>
          <w:bCs/>
          <w:rtl/>
          <w:lang w:eastAsia="de-DE"/>
        </w:rPr>
        <w:t>יְהוָה</w:t>
      </w:r>
      <w:r w:rsidRPr="00BA5394">
        <w:rPr>
          <w:rFonts w:eastAsia="Times New Roman" w:cs="Times New Roman"/>
          <w:rtl/>
          <w:lang w:eastAsia="de-DE"/>
        </w:rPr>
        <w:t xml:space="preserve"> </w:t>
      </w:r>
      <w:r w:rsidRPr="00BA5394">
        <w:rPr>
          <w:rFonts w:eastAsia="Times New Roman" w:cs="Times New Roman"/>
          <w:lang w:eastAsia="de-DE"/>
        </w:rPr>
        <w:t xml:space="preserve">und dem Objekt </w:t>
      </w:r>
      <w:r w:rsidRPr="00BA5394">
        <w:rPr>
          <w:rFonts w:eastAsia="Times New Roman" w:cs="Times New Roman"/>
          <w:b/>
          <w:bCs/>
          <w:rtl/>
          <w:lang w:eastAsia="de-DE"/>
        </w:rPr>
        <w:t>אֹתוֹ</w:t>
      </w:r>
      <w:r w:rsidRPr="00BA5394">
        <w:rPr>
          <w:rFonts w:eastAsia="Times New Roman" w:cs="Times New Roman"/>
          <w:rtl/>
          <w:lang w:eastAsia="de-DE"/>
        </w:rPr>
        <w:t xml:space="preserve"> </w:t>
      </w:r>
      <w:r w:rsidRPr="00BA5394">
        <w:rPr>
          <w:rFonts w:eastAsia="Times New Roman" w:cs="Times New Roman"/>
          <w:lang w:eastAsia="de-DE"/>
        </w:rPr>
        <w:t xml:space="preserve">(Objektpartikel mit Suffix 3. m. sg., „ihn"). Die emphatische Wiederholung </w:t>
      </w:r>
      <w:r w:rsidRPr="00BA5394">
        <w:rPr>
          <w:rFonts w:eastAsia="Times New Roman" w:cs="Times New Roman"/>
          <w:b/>
          <w:bCs/>
          <w:rtl/>
          <w:lang w:eastAsia="de-DE"/>
        </w:rPr>
        <w:t>כֵּן עָשָׂה</w:t>
      </w:r>
      <w:r w:rsidRPr="00BA5394">
        <w:rPr>
          <w:rFonts w:eastAsia="Times New Roman" w:cs="Times New Roman"/>
          <w:rtl/>
          <w:lang w:eastAsia="de-DE"/>
        </w:rPr>
        <w:t xml:space="preserve"> </w:t>
      </w:r>
      <w:r w:rsidRPr="00BA5394">
        <w:rPr>
          <w:rFonts w:eastAsia="Times New Roman" w:cs="Times New Roman"/>
          <w:lang w:eastAsia="de-DE"/>
        </w:rPr>
        <w:t xml:space="preserve">(„so tat er") besteht aus </w:t>
      </w:r>
      <w:r w:rsidRPr="00BA5394">
        <w:rPr>
          <w:rFonts w:eastAsia="Times New Roman" w:cs="Times New Roman"/>
          <w:b/>
          <w:bCs/>
          <w:rtl/>
          <w:lang w:eastAsia="de-DE"/>
        </w:rPr>
        <w:t>כֵּן</w:t>
      </w:r>
      <w:r w:rsidRPr="00BA5394">
        <w:rPr>
          <w:rFonts w:eastAsia="Times New Roman" w:cs="Times New Roman"/>
          <w:rtl/>
          <w:lang w:eastAsia="de-DE"/>
        </w:rPr>
        <w:t xml:space="preserve"> </w:t>
      </w:r>
      <w:r w:rsidRPr="00BA5394">
        <w:rPr>
          <w:rFonts w:eastAsia="Times New Roman" w:cs="Times New Roman"/>
          <w:lang w:eastAsia="de-DE"/>
        </w:rPr>
        <w:t xml:space="preserve">(Adverb „so") und </w:t>
      </w:r>
      <w:r w:rsidRPr="00BA5394">
        <w:rPr>
          <w:rFonts w:eastAsia="Times New Roman" w:cs="Times New Roman"/>
          <w:b/>
          <w:bCs/>
          <w:rtl/>
          <w:lang w:eastAsia="de-DE"/>
        </w:rPr>
        <w:t>עָשָׂה</w:t>
      </w:r>
      <w:r w:rsidRPr="00BA5394">
        <w:rPr>
          <w:rFonts w:eastAsia="Times New Roman" w:cs="Times New Roman"/>
          <w:rtl/>
          <w:lang w:eastAsia="de-DE"/>
        </w:rPr>
        <w:t xml:space="preserve"> </w:t>
      </w:r>
      <w:r w:rsidRPr="00BA5394">
        <w:rPr>
          <w:rFonts w:eastAsia="Times New Roman" w:cs="Times New Roman"/>
          <w:lang w:eastAsia="de-DE"/>
        </w:rPr>
        <w:t xml:space="preserve">(Qal Perfekt von </w:t>
      </w:r>
      <w:r w:rsidRPr="00BA5394">
        <w:rPr>
          <w:rFonts w:eastAsia="Times New Roman" w:cs="Times New Roman"/>
          <w:b/>
          <w:bCs/>
          <w:rtl/>
          <w:lang w:eastAsia="de-DE"/>
        </w:rPr>
        <w:t>עשׂה</w:t>
      </w:r>
      <w:r w:rsidRPr="00BA5394">
        <w:rPr>
          <w:rFonts w:eastAsia="Times New Roman" w:cs="Times New Roman"/>
          <w:lang w:eastAsia="de-DE"/>
        </w:rPr>
        <w:t>). Diese Struktur betont Moses absoluten Gehorsam.</w:t>
      </w:r>
    </w:p>
    <w:p w14:paraId="4DA67ACF" w14:textId="77777777" w:rsidR="000039C6" w:rsidRDefault="000039C6" w:rsidP="00BA5394">
      <w:pPr>
        <w:spacing w:before="100" w:beforeAutospacing="1" w:after="100" w:afterAutospacing="1" w:line="240" w:lineRule="auto"/>
      </w:pPr>
      <w:r>
        <w:rPr>
          <w:rStyle w:val="Fett"/>
        </w:rPr>
        <w:t>Vers 26 (MT) / Vers 11 (LXX):</w:t>
      </w:r>
      <w:r>
        <w:t xml:space="preserve"> </w:t>
      </w:r>
      <w:r>
        <w:rPr>
          <w:rStyle w:val="Fett"/>
        </w:rPr>
        <w:t>Die LXX</w:t>
      </w:r>
      <w:r>
        <w:t xml:space="preserve"> fügt „καὶ Ἀαρών" (und Aaron) hinzu: „καὶ ἐποίησεν Μωυσῆς καὶ Ἀαρὼν" (und Mose und Aaron taten), während das Hebräische nur Mose erwähnt. </w:t>
      </w:r>
    </w:p>
    <w:p w14:paraId="7D7E8F6A" w14:textId="32359BCB"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Die Satzstruktur zeigt einen Hauptsatz mit Verb und Subjekt, gefolgt von einer Vergleichsphrase (Nebensatz) und einer emphatischen Wiederholung. Insgesamt gibt es einen Nebensatz (Vergleichssatz).</w:t>
      </w:r>
    </w:p>
    <w:p w14:paraId="7B50DFE6"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Der Vers unterstreicht Moses treuen Gehorsam gegenüber der göttlichen Anweisung – eine stereotype Formel, die häufig am Ende von Anweisungssequenzen steht.</w:t>
      </w:r>
    </w:p>
    <w:p w14:paraId="0B58B21D"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17,27</w:t>
      </w:r>
    </w:p>
    <w:p w14:paraId="64B5C3CC"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וַיֹּֽאמְרוּ֙ בְּנֵ֣י יִשְׂרָאֵ֔ל אֶל־מֹשֶׁ֖ה לֵאמֹ֑ר הֵ֥ן גָּוַ֛עְנוּ אָבַ֖דְנוּ כֻּלָּ֥נוּ אָבַֽדְנוּ׃</w:t>
      </w:r>
    </w:p>
    <w:p w14:paraId="2C254AF8"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Und die Söhne Jisra'els sprachen zu Mosche, sagend: Siehe, wir verscheiden, wir kommen um, wir kommen alle um!</w:t>
      </w:r>
    </w:p>
    <w:p w14:paraId="2DB9C81D"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55B53CEE">
          <v:rect id="_x0000_i1600" style="width:0;height:1.5pt" o:hralign="center" o:hrstd="t" o:hr="t" fillcolor="#a0a0a0" stroked="f"/>
        </w:pict>
      </w:r>
    </w:p>
    <w:p w14:paraId="4B3EC6F8"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Das Verb </w:t>
      </w:r>
      <w:r w:rsidRPr="00BA5394">
        <w:rPr>
          <w:rFonts w:eastAsia="Times New Roman" w:cs="Times New Roman"/>
          <w:b/>
          <w:bCs/>
          <w:rtl/>
          <w:lang w:eastAsia="de-DE"/>
        </w:rPr>
        <w:t>וַיֹּאמְרוּ</w:t>
      </w:r>
      <w:r w:rsidRPr="00BA5394">
        <w:rPr>
          <w:rFonts w:eastAsia="Times New Roman" w:cs="Times New Roman"/>
          <w:rtl/>
          <w:lang w:eastAsia="de-DE"/>
        </w:rPr>
        <w:t xml:space="preserve"> </w:t>
      </w:r>
      <w:r w:rsidRPr="00BA5394">
        <w:rPr>
          <w:rFonts w:eastAsia="Times New Roman" w:cs="Times New Roman"/>
          <w:lang w:eastAsia="de-DE"/>
        </w:rPr>
        <w:t xml:space="preserve">(Wayyiqtol, 3. m. pl. von </w:t>
      </w:r>
      <w:r w:rsidRPr="00BA5394">
        <w:rPr>
          <w:rFonts w:eastAsia="Times New Roman" w:cs="Times New Roman"/>
          <w:b/>
          <w:bCs/>
          <w:rtl/>
          <w:lang w:eastAsia="de-DE"/>
        </w:rPr>
        <w:t>אמר</w:t>
      </w:r>
      <w:r w:rsidRPr="00BA5394">
        <w:rPr>
          <w:rFonts w:eastAsia="Times New Roman" w:cs="Times New Roman"/>
          <w:lang w:eastAsia="de-DE"/>
        </w:rPr>
        <w:t xml:space="preserve">) bedeutet „und sie sprachen". Das Subjekt </w:t>
      </w:r>
      <w:r w:rsidRPr="00BA5394">
        <w:rPr>
          <w:rFonts w:eastAsia="Times New Roman" w:cs="Times New Roman"/>
          <w:b/>
          <w:bCs/>
          <w:rtl/>
          <w:lang w:eastAsia="de-DE"/>
        </w:rPr>
        <w:t>בְּנֵי יִשְׂרָאֵל</w:t>
      </w:r>
      <w:r w:rsidRPr="00BA5394">
        <w:rPr>
          <w:rFonts w:eastAsia="Times New Roman" w:cs="Times New Roman"/>
          <w:rtl/>
          <w:lang w:eastAsia="de-DE"/>
        </w:rPr>
        <w:t xml:space="preserve"> </w:t>
      </w:r>
      <w:r w:rsidRPr="00BA5394">
        <w:rPr>
          <w:rFonts w:eastAsia="Times New Roman" w:cs="Times New Roman"/>
          <w:lang w:eastAsia="de-DE"/>
        </w:rPr>
        <w:t xml:space="preserve">ist „die Söhne Israels". Die Präposition </w:t>
      </w:r>
      <w:r w:rsidRPr="00BA5394">
        <w:rPr>
          <w:rFonts w:eastAsia="Times New Roman" w:cs="Times New Roman"/>
          <w:b/>
          <w:bCs/>
          <w:rtl/>
          <w:lang w:eastAsia="de-DE"/>
        </w:rPr>
        <w:t>אֶל־מֹשֶׁה</w:t>
      </w:r>
      <w:r w:rsidRPr="00BA5394">
        <w:rPr>
          <w:rFonts w:eastAsia="Times New Roman" w:cs="Times New Roman"/>
          <w:rtl/>
          <w:lang w:eastAsia="de-DE"/>
        </w:rPr>
        <w:t xml:space="preserve"> </w:t>
      </w:r>
      <w:r w:rsidRPr="00BA5394">
        <w:rPr>
          <w:rFonts w:eastAsia="Times New Roman" w:cs="Times New Roman"/>
          <w:lang w:eastAsia="de-DE"/>
        </w:rPr>
        <w:t xml:space="preserve">gibt den Adressaten an. </w:t>
      </w:r>
      <w:r w:rsidRPr="00BA5394">
        <w:rPr>
          <w:rFonts w:eastAsia="Times New Roman" w:cs="Times New Roman"/>
          <w:b/>
          <w:bCs/>
          <w:rtl/>
          <w:lang w:eastAsia="de-DE"/>
        </w:rPr>
        <w:t>לֵאמֹר</w:t>
      </w:r>
      <w:r w:rsidRPr="00BA5394">
        <w:rPr>
          <w:rFonts w:eastAsia="Times New Roman" w:cs="Times New Roman"/>
          <w:rtl/>
          <w:lang w:eastAsia="de-DE"/>
        </w:rPr>
        <w:t xml:space="preserve"> </w:t>
      </w:r>
      <w:r w:rsidRPr="00BA5394">
        <w:rPr>
          <w:rFonts w:eastAsia="Times New Roman" w:cs="Times New Roman"/>
          <w:lang w:eastAsia="de-DE"/>
        </w:rPr>
        <w:t>ist die Redeeinleitung.</w:t>
      </w:r>
    </w:p>
    <w:p w14:paraId="4263E80B"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lastRenderedPageBreak/>
        <w:t xml:space="preserve">Die direkte Rede beginnt mit der Interjektion </w:t>
      </w:r>
      <w:r w:rsidRPr="00BA5394">
        <w:rPr>
          <w:rFonts w:eastAsia="Times New Roman" w:cs="Times New Roman"/>
          <w:b/>
          <w:bCs/>
          <w:rtl/>
          <w:lang w:eastAsia="de-DE"/>
        </w:rPr>
        <w:t>הֵן</w:t>
      </w:r>
      <w:r w:rsidRPr="00BA5394">
        <w:rPr>
          <w:rFonts w:eastAsia="Times New Roman" w:cs="Times New Roman"/>
          <w:rtl/>
          <w:lang w:eastAsia="de-DE"/>
        </w:rPr>
        <w:t xml:space="preserve"> </w:t>
      </w:r>
      <w:r w:rsidRPr="00BA5394">
        <w:rPr>
          <w:rFonts w:eastAsia="Times New Roman" w:cs="Times New Roman"/>
          <w:lang w:eastAsia="de-DE"/>
        </w:rPr>
        <w:t xml:space="preserve">(„siehe"), die auf etwas Bedeutsames hinweist. Drei koordinierte Perfektverben drücken die Verzweiflung des Volkes aus: </w:t>
      </w:r>
      <w:r w:rsidRPr="00BA5394">
        <w:rPr>
          <w:rFonts w:eastAsia="Times New Roman" w:cs="Times New Roman"/>
          <w:b/>
          <w:bCs/>
          <w:rtl/>
          <w:lang w:eastAsia="de-DE"/>
        </w:rPr>
        <w:t>גָּוַעְנוּ</w:t>
      </w:r>
      <w:r w:rsidRPr="00BA5394">
        <w:rPr>
          <w:rFonts w:eastAsia="Times New Roman" w:cs="Times New Roman"/>
          <w:rtl/>
          <w:lang w:eastAsia="de-DE"/>
        </w:rPr>
        <w:t xml:space="preserve"> </w:t>
      </w:r>
      <w:r w:rsidRPr="00BA5394">
        <w:rPr>
          <w:rFonts w:eastAsia="Times New Roman" w:cs="Times New Roman"/>
          <w:lang w:eastAsia="de-DE"/>
        </w:rPr>
        <w:t xml:space="preserve">(Qal Perfekt, 1. c. pl. von </w:t>
      </w:r>
      <w:r w:rsidRPr="00BA5394">
        <w:rPr>
          <w:rFonts w:eastAsia="Times New Roman" w:cs="Times New Roman"/>
          <w:b/>
          <w:bCs/>
          <w:rtl/>
          <w:lang w:eastAsia="de-DE"/>
        </w:rPr>
        <w:t>גוע</w:t>
      </w:r>
      <w:r w:rsidRPr="00BA5394">
        <w:rPr>
          <w:rFonts w:eastAsia="Times New Roman" w:cs="Times New Roman"/>
          <w:lang w:eastAsia="de-DE"/>
        </w:rPr>
        <w:t xml:space="preserve">) bedeutet „wir verscheiden, sterben", </w:t>
      </w:r>
      <w:r w:rsidRPr="00BA5394">
        <w:rPr>
          <w:rFonts w:eastAsia="Times New Roman" w:cs="Times New Roman"/>
          <w:b/>
          <w:bCs/>
          <w:rtl/>
          <w:lang w:eastAsia="de-DE"/>
        </w:rPr>
        <w:t>אָבַדְנוּ</w:t>
      </w:r>
      <w:r w:rsidRPr="00BA5394">
        <w:rPr>
          <w:rFonts w:eastAsia="Times New Roman" w:cs="Times New Roman"/>
          <w:rtl/>
          <w:lang w:eastAsia="de-DE"/>
        </w:rPr>
        <w:t xml:space="preserve"> </w:t>
      </w:r>
      <w:r w:rsidRPr="00BA5394">
        <w:rPr>
          <w:rFonts w:eastAsia="Times New Roman" w:cs="Times New Roman"/>
          <w:lang w:eastAsia="de-DE"/>
        </w:rPr>
        <w:t xml:space="preserve">(Qal Perfekt, 1. c. pl. von </w:t>
      </w:r>
      <w:r w:rsidRPr="00BA5394">
        <w:rPr>
          <w:rFonts w:eastAsia="Times New Roman" w:cs="Times New Roman"/>
          <w:b/>
          <w:bCs/>
          <w:rtl/>
          <w:lang w:eastAsia="de-DE"/>
        </w:rPr>
        <w:t>אבד</w:t>
      </w:r>
      <w:r w:rsidRPr="00BA5394">
        <w:rPr>
          <w:rFonts w:eastAsia="Times New Roman" w:cs="Times New Roman"/>
          <w:lang w:eastAsia="de-DE"/>
        </w:rPr>
        <w:t xml:space="preserve">) bedeutet „wir kommen um, gehen verloren". Das emphatische Pronomen </w:t>
      </w:r>
      <w:r w:rsidRPr="00BA5394">
        <w:rPr>
          <w:rFonts w:eastAsia="Times New Roman" w:cs="Times New Roman"/>
          <w:b/>
          <w:bCs/>
          <w:rtl/>
          <w:lang w:eastAsia="de-DE"/>
        </w:rPr>
        <w:t>כֻּלָּנוּ</w:t>
      </w:r>
      <w:r w:rsidRPr="00BA5394">
        <w:rPr>
          <w:rFonts w:eastAsia="Times New Roman" w:cs="Times New Roman"/>
          <w:rtl/>
          <w:lang w:eastAsia="de-DE"/>
        </w:rPr>
        <w:t xml:space="preserve"> </w:t>
      </w:r>
      <w:r w:rsidRPr="00BA5394">
        <w:rPr>
          <w:rFonts w:eastAsia="Times New Roman" w:cs="Times New Roman"/>
          <w:lang w:eastAsia="de-DE"/>
        </w:rPr>
        <w:t xml:space="preserve">(„wir alle") mit Suffix 1. c. pl. verstärkt die zweite Aussage. </w:t>
      </w:r>
      <w:r w:rsidRPr="00BA5394">
        <w:rPr>
          <w:rFonts w:eastAsia="Times New Roman" w:cs="Times New Roman"/>
          <w:b/>
          <w:bCs/>
          <w:rtl/>
          <w:lang w:eastAsia="de-DE"/>
        </w:rPr>
        <w:t>אָבַדְנוּ</w:t>
      </w:r>
      <w:r w:rsidRPr="00BA5394">
        <w:rPr>
          <w:rFonts w:eastAsia="Times New Roman" w:cs="Times New Roman"/>
          <w:rtl/>
          <w:lang w:eastAsia="de-DE"/>
        </w:rPr>
        <w:t xml:space="preserve"> </w:t>
      </w:r>
      <w:r w:rsidRPr="00BA5394">
        <w:rPr>
          <w:rFonts w:eastAsia="Times New Roman" w:cs="Times New Roman"/>
          <w:lang w:eastAsia="de-DE"/>
        </w:rPr>
        <w:t>wird ein drittes Mal wiederholt, was die Panik und Hoffnungslosigkeit des Volkes unterstreicht.</w:t>
      </w:r>
    </w:p>
    <w:p w14:paraId="0DC9C092"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Die LXX</w:t>
      </w:r>
      <w:r w:rsidRPr="00BA5394">
        <w:rPr>
          <w:rFonts w:eastAsia="Times New Roman" w:cs="Times New Roman"/>
          <w:lang w:eastAsia="de-DE"/>
        </w:rPr>
        <w:t xml:space="preserve"> folgt dem hebräischen Text eng.</w:t>
      </w:r>
    </w:p>
    <w:p w14:paraId="0FED5AF6"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Die Satzstruktur zeigt einen Hauptsatz mit Verb, Subjekt, Präpositionalphrase und Redeeinleitung. Die direkte Rede besteht aus drei koordinierten Hauptsätzen mit Interjektion und Perfektverben, wobei das zweite durch ein emphatisches Pronomen erweitert wird.</w:t>
      </w:r>
    </w:p>
    <w:p w14:paraId="1FC75281"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Der Vers zeigt die paradoxe Reaktion des Volkes: Nach dem eindeutigen göttlichen Zeichen, das Aarons Priestertum legitimiert, verfällt das Volk nicht in Anbetung, sondern in panische Todesangst vor der Heiligkeit Gottes.</w:t>
      </w:r>
    </w:p>
    <w:p w14:paraId="3CB4EF1D" w14:textId="77777777" w:rsidR="00BA5394" w:rsidRPr="00BA5394" w:rsidRDefault="00BA5394" w:rsidP="00BA5394">
      <w:pPr>
        <w:spacing w:before="100" w:beforeAutospacing="1" w:after="100" w:afterAutospacing="1" w:line="240" w:lineRule="auto"/>
        <w:outlineLvl w:val="0"/>
        <w:rPr>
          <w:rFonts w:eastAsia="Times New Roman" w:cs="Times New Roman"/>
          <w:b/>
          <w:bCs/>
          <w:kern w:val="36"/>
          <w:sz w:val="48"/>
          <w:szCs w:val="48"/>
          <w:lang w:eastAsia="de-DE"/>
        </w:rPr>
      </w:pPr>
      <w:r w:rsidRPr="00BA5394">
        <w:rPr>
          <w:rFonts w:eastAsia="Times New Roman" w:cs="Times New Roman"/>
          <w:b/>
          <w:bCs/>
          <w:kern w:val="36"/>
          <w:sz w:val="48"/>
          <w:szCs w:val="48"/>
          <w:lang w:eastAsia="de-DE"/>
        </w:rPr>
        <w:t>Numeri 17,28</w:t>
      </w:r>
    </w:p>
    <w:p w14:paraId="0445F39F"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Hebräisch:</w:t>
      </w:r>
      <w:r w:rsidRPr="00BA5394">
        <w:rPr>
          <w:rFonts w:eastAsia="Times New Roman" w:cs="Times New Roman"/>
          <w:lang w:eastAsia="de-DE"/>
        </w:rPr>
        <w:t xml:space="preserve"> </w:t>
      </w:r>
      <w:r w:rsidRPr="00BA5394">
        <w:rPr>
          <w:rFonts w:eastAsia="Times New Roman" w:cs="Times New Roman"/>
          <w:rtl/>
          <w:lang w:eastAsia="de-DE"/>
        </w:rPr>
        <w:t>כֹּ֣ל הַקָּרֵ֧ב׀ הַקָּרֵ֛ב אֶל־מִשְׁכַּ֥ן יְהוָ֖ה יָמ֑וּת הַאִ֥ם תַּ֖מְנוּ לִגְוֹֽעַ׃</w:t>
      </w:r>
    </w:p>
    <w:p w14:paraId="0A9FC433"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Deutsch:</w:t>
      </w:r>
      <w:r w:rsidRPr="00BA5394">
        <w:rPr>
          <w:rFonts w:eastAsia="Times New Roman" w:cs="Times New Roman"/>
          <w:lang w:eastAsia="de-DE"/>
        </w:rPr>
        <w:t xml:space="preserve"> Jeder, der irgend der Wohnung des Ewigen naht, wird sterben; sollen wir denn gewiss verscheiden?</w:t>
      </w:r>
    </w:p>
    <w:p w14:paraId="2E369D2A" w14:textId="77777777" w:rsidR="00BA5394" w:rsidRPr="00BA5394" w:rsidRDefault="00F329DD" w:rsidP="00BA5394">
      <w:pPr>
        <w:spacing w:after="0" w:line="240" w:lineRule="auto"/>
        <w:rPr>
          <w:rFonts w:eastAsia="Times New Roman" w:cs="Times New Roman"/>
          <w:lang w:eastAsia="de-DE"/>
        </w:rPr>
      </w:pPr>
      <w:r>
        <w:rPr>
          <w:rFonts w:eastAsia="Times New Roman" w:cs="Times New Roman"/>
          <w:noProof/>
          <w:lang w:eastAsia="de-DE"/>
        </w:rPr>
        <w:pict w14:anchorId="24EF4C8E">
          <v:rect id="_x0000_i1601" style="width:0;height:1.5pt" o:hralign="center" o:hrstd="t" o:hr="t" fillcolor="#a0a0a0" stroked="f"/>
        </w:pict>
      </w:r>
    </w:p>
    <w:p w14:paraId="0038166C" w14:textId="55FF63D0"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b/>
          <w:bCs/>
          <w:lang w:eastAsia="de-DE"/>
        </w:rPr>
        <w:t>Kommentar:</w:t>
      </w:r>
      <w:r w:rsidRPr="00BA5394">
        <w:rPr>
          <w:rFonts w:eastAsia="Times New Roman" w:cs="Times New Roman"/>
          <w:lang w:eastAsia="de-DE"/>
        </w:rPr>
        <w:t xml:space="preserve"> Das distributive </w:t>
      </w:r>
      <w:r w:rsidRPr="00BA5394">
        <w:rPr>
          <w:rFonts w:eastAsia="Times New Roman" w:cs="Times New Roman"/>
          <w:b/>
          <w:bCs/>
          <w:rtl/>
          <w:lang w:eastAsia="de-DE"/>
        </w:rPr>
        <w:t>כֹּל</w:t>
      </w:r>
      <w:r w:rsidRPr="00BA5394">
        <w:rPr>
          <w:rFonts w:eastAsia="Times New Roman" w:cs="Times New Roman"/>
          <w:rtl/>
          <w:lang w:eastAsia="de-DE"/>
        </w:rPr>
        <w:t xml:space="preserve"> </w:t>
      </w:r>
      <w:r w:rsidRPr="00BA5394">
        <w:rPr>
          <w:rFonts w:eastAsia="Times New Roman" w:cs="Times New Roman"/>
          <w:lang w:eastAsia="de-DE"/>
        </w:rPr>
        <w:t xml:space="preserve">(„jeder, alle") steht am Anfang. Die doppelte Formulierung </w:t>
      </w:r>
      <w:r w:rsidRPr="00BA5394">
        <w:rPr>
          <w:rFonts w:eastAsia="Times New Roman" w:cs="Times New Roman"/>
          <w:b/>
          <w:bCs/>
          <w:rtl/>
          <w:lang w:eastAsia="de-DE"/>
        </w:rPr>
        <w:t>הַקָּרֵב הַקָּרֵב</w:t>
      </w:r>
      <w:r w:rsidRPr="00BA5394">
        <w:rPr>
          <w:rFonts w:eastAsia="Times New Roman" w:cs="Times New Roman"/>
          <w:rtl/>
          <w:lang w:eastAsia="de-DE"/>
        </w:rPr>
        <w:t xml:space="preserve"> </w:t>
      </w:r>
      <w:r w:rsidRPr="00BA5394">
        <w:rPr>
          <w:rFonts w:eastAsia="Times New Roman" w:cs="Times New Roman"/>
          <w:lang w:eastAsia="de-DE"/>
        </w:rPr>
        <w:t xml:space="preserve">ist eine emphatische </w:t>
      </w:r>
      <w:r w:rsidR="00F133EC">
        <w:rPr>
          <w:rFonts w:eastAsia="Times New Roman" w:cs="Times New Roman"/>
          <w:lang w:eastAsia="de-DE"/>
        </w:rPr>
        <w:t>Construct</w:t>
      </w:r>
      <w:r w:rsidRPr="00BA5394">
        <w:rPr>
          <w:rFonts w:eastAsia="Times New Roman" w:cs="Times New Roman"/>
          <w:lang w:eastAsia="de-DE"/>
        </w:rPr>
        <w:t xml:space="preserve">ion: </w:t>
      </w:r>
      <w:r w:rsidRPr="00BA5394">
        <w:rPr>
          <w:rFonts w:eastAsia="Times New Roman" w:cs="Times New Roman"/>
          <w:b/>
          <w:bCs/>
          <w:rtl/>
          <w:lang w:eastAsia="de-DE"/>
        </w:rPr>
        <w:t>הַקָּרֵב</w:t>
      </w:r>
      <w:r w:rsidRPr="00BA5394">
        <w:rPr>
          <w:rFonts w:eastAsia="Times New Roman" w:cs="Times New Roman"/>
          <w:rtl/>
          <w:lang w:eastAsia="de-DE"/>
        </w:rPr>
        <w:t xml:space="preserve"> </w:t>
      </w:r>
      <w:r w:rsidRPr="00BA5394">
        <w:rPr>
          <w:rFonts w:eastAsia="Times New Roman" w:cs="Times New Roman"/>
          <w:lang w:eastAsia="de-DE"/>
        </w:rPr>
        <w:t xml:space="preserve">ist das Qal Partizip von </w:t>
      </w:r>
      <w:r w:rsidRPr="00BA5394">
        <w:rPr>
          <w:rFonts w:eastAsia="Times New Roman" w:cs="Times New Roman"/>
          <w:b/>
          <w:bCs/>
          <w:rtl/>
          <w:lang w:eastAsia="de-DE"/>
        </w:rPr>
        <w:t>קרב</w:t>
      </w:r>
      <w:r w:rsidRPr="00BA5394">
        <w:rPr>
          <w:rFonts w:eastAsia="Times New Roman" w:cs="Times New Roman"/>
          <w:rtl/>
          <w:lang w:eastAsia="de-DE"/>
        </w:rPr>
        <w:t xml:space="preserve"> </w:t>
      </w:r>
      <w:r w:rsidRPr="00BA5394">
        <w:rPr>
          <w:rFonts w:eastAsia="Times New Roman" w:cs="Times New Roman"/>
          <w:lang w:eastAsia="de-DE"/>
        </w:rPr>
        <w:t xml:space="preserve">mit Artikel („der Nahende"), wiederholt für Emphase. Diese Doppelung verstärkt die Totalität: „jeder, der auch nur naht". Die Präposition </w:t>
      </w:r>
      <w:r w:rsidRPr="00BA5394">
        <w:rPr>
          <w:rFonts w:eastAsia="Times New Roman" w:cs="Times New Roman"/>
          <w:b/>
          <w:bCs/>
          <w:rtl/>
          <w:lang w:eastAsia="de-DE"/>
        </w:rPr>
        <w:t>אֶל־מִשְׁכַּן יְהוָה</w:t>
      </w:r>
      <w:r w:rsidRPr="00BA5394">
        <w:rPr>
          <w:rFonts w:eastAsia="Times New Roman" w:cs="Times New Roman"/>
          <w:rtl/>
          <w:lang w:eastAsia="de-DE"/>
        </w:rPr>
        <w:t xml:space="preserve"> </w:t>
      </w:r>
      <w:r w:rsidRPr="00BA5394">
        <w:rPr>
          <w:rFonts w:eastAsia="Times New Roman" w:cs="Times New Roman"/>
          <w:lang w:eastAsia="de-DE"/>
        </w:rPr>
        <w:t>gibt das gefährliche Ziel an: „zur Wohnung JHWHs" (</w:t>
      </w:r>
      <w:r w:rsidRPr="00BA5394">
        <w:rPr>
          <w:rFonts w:eastAsia="Times New Roman" w:cs="Times New Roman"/>
          <w:b/>
          <w:bCs/>
          <w:rtl/>
          <w:lang w:eastAsia="de-DE"/>
        </w:rPr>
        <w:t>מִשְׁכָּן</w:t>
      </w:r>
      <w:r w:rsidRPr="00BA5394">
        <w:rPr>
          <w:rFonts w:eastAsia="Times New Roman" w:cs="Times New Roman"/>
          <w:rtl/>
          <w:lang w:eastAsia="de-DE"/>
        </w:rPr>
        <w:t xml:space="preserve"> </w:t>
      </w:r>
      <w:r w:rsidRPr="00BA5394">
        <w:rPr>
          <w:rFonts w:eastAsia="Times New Roman" w:cs="Times New Roman"/>
          <w:lang w:eastAsia="de-DE"/>
        </w:rPr>
        <w:t xml:space="preserve">im Constructus vor </w:t>
      </w:r>
      <w:r w:rsidRPr="00BA5394">
        <w:rPr>
          <w:rFonts w:eastAsia="Times New Roman" w:cs="Times New Roman"/>
          <w:b/>
          <w:bCs/>
          <w:rtl/>
          <w:lang w:eastAsia="de-DE"/>
        </w:rPr>
        <w:t>יְהוָה</w:t>
      </w:r>
      <w:r w:rsidRPr="00BA5394">
        <w:rPr>
          <w:rFonts w:eastAsia="Times New Roman" w:cs="Times New Roman"/>
          <w:lang w:eastAsia="de-DE"/>
        </w:rPr>
        <w:t>).</w:t>
      </w:r>
    </w:p>
    <w:p w14:paraId="02C0EFA0"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 xml:space="preserve">Das Verb </w:t>
      </w:r>
      <w:r w:rsidRPr="00BA5394">
        <w:rPr>
          <w:rFonts w:eastAsia="Times New Roman" w:cs="Times New Roman"/>
          <w:b/>
          <w:bCs/>
          <w:rtl/>
          <w:lang w:eastAsia="de-DE"/>
        </w:rPr>
        <w:t>יָמוּת</w:t>
      </w:r>
      <w:r w:rsidRPr="00BA5394">
        <w:rPr>
          <w:rFonts w:eastAsia="Times New Roman" w:cs="Times New Roman"/>
          <w:rtl/>
          <w:lang w:eastAsia="de-DE"/>
        </w:rPr>
        <w:t xml:space="preserve"> </w:t>
      </w:r>
      <w:r w:rsidRPr="00BA5394">
        <w:rPr>
          <w:rFonts w:eastAsia="Times New Roman" w:cs="Times New Roman"/>
          <w:lang w:eastAsia="de-DE"/>
        </w:rPr>
        <w:t xml:space="preserve">(Qal Imperfekt, 3. m. sg. von </w:t>
      </w:r>
      <w:r w:rsidRPr="00BA5394">
        <w:rPr>
          <w:rFonts w:eastAsia="Times New Roman" w:cs="Times New Roman"/>
          <w:b/>
          <w:bCs/>
          <w:rtl/>
          <w:lang w:eastAsia="de-DE"/>
        </w:rPr>
        <w:t>מות</w:t>
      </w:r>
      <w:r w:rsidRPr="00BA5394">
        <w:rPr>
          <w:rFonts w:eastAsia="Times New Roman" w:cs="Times New Roman"/>
          <w:lang w:eastAsia="de-DE"/>
        </w:rPr>
        <w:t xml:space="preserve">) bedeutet „er wird sterben". Die Imperfektform drückt hier eine allgemeine Wahrheit oder Befürchtung aus. Die rhetorische Frage </w:t>
      </w:r>
      <w:r w:rsidRPr="00BA5394">
        <w:rPr>
          <w:rFonts w:eastAsia="Times New Roman" w:cs="Times New Roman"/>
          <w:b/>
          <w:bCs/>
          <w:rtl/>
          <w:lang w:eastAsia="de-DE"/>
        </w:rPr>
        <w:t>הַאִם תַּמְנוּ לִגְוֹעַ</w:t>
      </w:r>
      <w:r w:rsidRPr="00BA5394">
        <w:rPr>
          <w:rFonts w:eastAsia="Times New Roman" w:cs="Times New Roman"/>
          <w:rtl/>
          <w:lang w:eastAsia="de-DE"/>
        </w:rPr>
        <w:t xml:space="preserve"> </w:t>
      </w:r>
      <w:r w:rsidRPr="00BA5394">
        <w:rPr>
          <w:rFonts w:eastAsia="Times New Roman" w:cs="Times New Roman"/>
          <w:lang w:eastAsia="de-DE"/>
        </w:rPr>
        <w:t xml:space="preserve">besteht aus </w:t>
      </w:r>
      <w:r w:rsidRPr="00BA5394">
        <w:rPr>
          <w:rFonts w:eastAsia="Times New Roman" w:cs="Times New Roman"/>
          <w:b/>
          <w:bCs/>
          <w:rtl/>
          <w:lang w:eastAsia="de-DE"/>
        </w:rPr>
        <w:t>הַאִם</w:t>
      </w:r>
      <w:r w:rsidRPr="00BA5394">
        <w:rPr>
          <w:rFonts w:eastAsia="Times New Roman" w:cs="Times New Roman"/>
          <w:rtl/>
          <w:lang w:eastAsia="de-DE"/>
        </w:rPr>
        <w:t xml:space="preserve"> </w:t>
      </w:r>
      <w:r w:rsidRPr="00BA5394">
        <w:rPr>
          <w:rFonts w:eastAsia="Times New Roman" w:cs="Times New Roman"/>
          <w:lang w:eastAsia="de-DE"/>
        </w:rPr>
        <w:t xml:space="preserve">(interrogative Partikel „etwa, denn"), </w:t>
      </w:r>
      <w:r w:rsidRPr="00BA5394">
        <w:rPr>
          <w:rFonts w:eastAsia="Times New Roman" w:cs="Times New Roman"/>
          <w:b/>
          <w:bCs/>
          <w:rtl/>
          <w:lang w:eastAsia="de-DE"/>
        </w:rPr>
        <w:t>תַּמְנוּ</w:t>
      </w:r>
      <w:r w:rsidRPr="00BA5394">
        <w:rPr>
          <w:rFonts w:eastAsia="Times New Roman" w:cs="Times New Roman"/>
          <w:rtl/>
          <w:lang w:eastAsia="de-DE"/>
        </w:rPr>
        <w:t xml:space="preserve"> </w:t>
      </w:r>
      <w:r w:rsidRPr="00BA5394">
        <w:rPr>
          <w:rFonts w:eastAsia="Times New Roman" w:cs="Times New Roman"/>
          <w:lang w:eastAsia="de-DE"/>
        </w:rPr>
        <w:t xml:space="preserve">(Qal Perfekt, 1. c. pl. von </w:t>
      </w:r>
      <w:r w:rsidRPr="00BA5394">
        <w:rPr>
          <w:rFonts w:eastAsia="Times New Roman" w:cs="Times New Roman"/>
          <w:b/>
          <w:bCs/>
          <w:rtl/>
          <w:lang w:eastAsia="de-DE"/>
        </w:rPr>
        <w:t>תמם</w:t>
      </w:r>
      <w:r w:rsidRPr="00BA5394">
        <w:rPr>
          <w:rFonts w:eastAsia="Times New Roman" w:cs="Times New Roman"/>
          <w:lang w:eastAsia="de-DE"/>
        </w:rPr>
        <w:t xml:space="preserve">, „zu Ende kommen, vollendet werden") und dem Infinitiv </w:t>
      </w:r>
      <w:r w:rsidRPr="00BA5394">
        <w:rPr>
          <w:rFonts w:eastAsia="Times New Roman" w:cs="Times New Roman"/>
          <w:b/>
          <w:bCs/>
          <w:rtl/>
          <w:lang w:eastAsia="de-DE"/>
        </w:rPr>
        <w:t>לִגְוֹעַ</w:t>
      </w:r>
      <w:r w:rsidRPr="00BA5394">
        <w:rPr>
          <w:rFonts w:eastAsia="Times New Roman" w:cs="Times New Roman"/>
          <w:rtl/>
          <w:lang w:eastAsia="de-DE"/>
        </w:rPr>
        <w:t xml:space="preserve"> </w:t>
      </w:r>
      <w:r w:rsidRPr="00BA5394">
        <w:rPr>
          <w:rFonts w:eastAsia="Times New Roman" w:cs="Times New Roman"/>
          <w:lang w:eastAsia="de-DE"/>
        </w:rPr>
        <w:t xml:space="preserve">(Qal Infinitiv construct von </w:t>
      </w:r>
      <w:r w:rsidRPr="00BA5394">
        <w:rPr>
          <w:rFonts w:eastAsia="Times New Roman" w:cs="Times New Roman"/>
          <w:b/>
          <w:bCs/>
          <w:rtl/>
          <w:lang w:eastAsia="de-DE"/>
        </w:rPr>
        <w:t>גוע</w:t>
      </w:r>
      <w:r w:rsidRPr="00BA5394">
        <w:rPr>
          <w:rFonts w:eastAsia="Times New Roman" w:cs="Times New Roman"/>
          <w:rtl/>
          <w:lang w:eastAsia="de-DE"/>
        </w:rPr>
        <w:t xml:space="preserve"> </w:t>
      </w:r>
      <w:r w:rsidRPr="00BA5394">
        <w:rPr>
          <w:rFonts w:eastAsia="Times New Roman" w:cs="Times New Roman"/>
          <w:lang w:eastAsia="de-DE"/>
        </w:rPr>
        <w:t xml:space="preserve">mit </w:t>
      </w:r>
      <w:r w:rsidRPr="00BA5394">
        <w:rPr>
          <w:rFonts w:eastAsia="Times New Roman" w:cs="Times New Roman"/>
          <w:b/>
          <w:bCs/>
          <w:rtl/>
          <w:lang w:eastAsia="de-DE"/>
        </w:rPr>
        <w:t>לְ</w:t>
      </w:r>
      <w:r w:rsidRPr="00BA5394">
        <w:rPr>
          <w:rFonts w:eastAsia="Times New Roman" w:cs="Times New Roman"/>
          <w:lang w:eastAsia="de-DE"/>
        </w:rPr>
        <w:t>, „zu verscheiden, zu sterben"). Die Phrase bedeutet wörtlich: „Sind wir dabei, völlig zu verscheiden?" oder „Sollen wir denn gänzlich umkommen?".</w:t>
      </w:r>
    </w:p>
    <w:p w14:paraId="3FB740B2" w14:textId="77777777" w:rsidR="000039C6" w:rsidRDefault="000039C6" w:rsidP="00BA5394">
      <w:pPr>
        <w:spacing w:before="100" w:beforeAutospacing="1" w:after="100" w:afterAutospacing="1" w:line="240" w:lineRule="auto"/>
      </w:pPr>
      <w:r>
        <w:rPr>
          <w:rStyle w:val="Fett"/>
        </w:rPr>
        <w:t>Vers 27-28 (MT) / Vers 12-13 (LXX):</w:t>
      </w:r>
      <w:r>
        <w:t xml:space="preserve"> </w:t>
      </w:r>
      <w:r>
        <w:rPr>
          <w:rStyle w:val="Fett"/>
        </w:rPr>
        <w:t>Die LXX</w:t>
      </w:r>
      <w:r>
        <w:t xml:space="preserve"> übersetzt „</w:t>
      </w:r>
      <w:r w:rsidRPr="000039C6">
        <w:rPr>
          <w:b/>
          <w:bCs/>
          <w:rtl/>
        </w:rPr>
        <w:t>גָּוַעְנוּ אָבַדְנוּ</w:t>
      </w:r>
      <w:r>
        <w:t>" (wir vergehen, wir sind verloren) mit „ἐξανηλώμεθα, ἀπολώλαμεν, παρανηλώμεθα" (wir sind aufgerieben, wir sind umgekommen, wir sind völlig aufgerieben), eine dreifache statt zweifache Wiederholung der Verzweiflung. Das hebräische „</w:t>
      </w:r>
      <w:r w:rsidRPr="000039C6">
        <w:rPr>
          <w:b/>
          <w:bCs/>
          <w:rtl/>
        </w:rPr>
        <w:t>הַאִם תַּמְנוּ לִגְוֹע</w:t>
      </w:r>
      <w:r>
        <w:rPr>
          <w:rtl/>
        </w:rPr>
        <w:t>ַ</w:t>
      </w:r>
      <w:r>
        <w:t>" (sollen wir alle zu Ende vergehen?) wird zu „ἕως εἰς τέλος ἀποθάνωμεν" (bis wir vollständig sterben?), was expliziter ist.</w:t>
      </w:r>
    </w:p>
    <w:p w14:paraId="53B1B863" w14:textId="0F3A03FA"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t>Die Satzstruktur zeigt einen Hauptsatz mit distributivem Subjekt (doppeltes Partizip mit Präpositionalphrase) und Verb. Eine rhetorische Frage als zweiter Hauptsatz folgt mit interrogativer Partikel, Verb und Infinitiv. Es gibt keine Nebensätze.</w:t>
      </w:r>
    </w:p>
    <w:p w14:paraId="63FB9BA8" w14:textId="77777777" w:rsidR="00BA5394" w:rsidRPr="00BA5394" w:rsidRDefault="00BA5394" w:rsidP="00BA5394">
      <w:pPr>
        <w:spacing w:before="100" w:beforeAutospacing="1" w:after="100" w:afterAutospacing="1" w:line="240" w:lineRule="auto"/>
        <w:rPr>
          <w:rFonts w:eastAsia="Times New Roman" w:cs="Times New Roman"/>
          <w:lang w:eastAsia="de-DE"/>
        </w:rPr>
      </w:pPr>
      <w:r w:rsidRPr="00BA5394">
        <w:rPr>
          <w:rFonts w:eastAsia="Times New Roman" w:cs="Times New Roman"/>
          <w:lang w:eastAsia="de-DE"/>
        </w:rPr>
        <w:lastRenderedPageBreak/>
        <w:t>Der Vers kulminiert in der verzweifelten Frage des Volkes: Die Heiligkeit Gottes, die durch Aarons Stab bestätigt wurde, erscheint ihnen nun nicht als Segen, sondern als tödliche Bedrohung. Diese Reaktion bereitet den Weg für die folgenden Kapitel, in denen die Rolle der Leviten und Priester als Mittler zwischen dem heiligen Gott und dem Volk näher definiert wird.</w:t>
      </w:r>
    </w:p>
    <w:p w14:paraId="1EFEF72A" w14:textId="77777777" w:rsidR="000C4DAD" w:rsidRDefault="000C4DAD" w:rsidP="000C4DAD">
      <w:pPr>
        <w:pStyle w:val="KeinLeerraum"/>
      </w:pPr>
      <w:r>
        <w:t>Nach dem Gericht über Korachs Rebellion befiehlt JHWH, die kupfernen Räucherpfannen der 250 getöteten Rebellen zu Altarüberzug zu verarbeiten. Obwohl ihre Besitzer Sünder waren, sind die Gefäße durch den Gebrauch vor JHWH heilig geworden und sollen als Mahnzeichen dienen, dass nur Aarons Nachkommen zum Räucherdienst berechtigt sind.</w:t>
      </w:r>
    </w:p>
    <w:p w14:paraId="365CC0ED" w14:textId="77777777" w:rsidR="000C4DAD" w:rsidRDefault="000C4DAD" w:rsidP="000C4DAD">
      <w:pPr>
        <w:pStyle w:val="KeinLeerraum"/>
      </w:pPr>
      <w:r>
        <w:t>Am nächsten Tag murrt das Volk erneut und beschuldigt Mose und Aaron, „das Volk JHWHs getötet" zu haben. Als göttliche Plage ausbricht, läuft Aaron mit Räucherwerk mitten ins Volk und vollzieht Sühne. Er steht buchstäblich zwischen den Toten und den Lebenden und stoppt die Plage, doch 14.700 Menschen sterben.</w:t>
      </w:r>
    </w:p>
    <w:p w14:paraId="1F62268E" w14:textId="77777777" w:rsidR="000C4DAD" w:rsidRDefault="000C4DAD" w:rsidP="000C4DAD">
      <w:pPr>
        <w:pStyle w:val="KeinLeerraum"/>
      </w:pPr>
      <w:r>
        <w:t>Um dem Murren endgültig ein Ende zu setzen, ordnet JHWH die Stabprobe an: Zwölf Stäbe der Stammesführer werden vor der Bundeslade niedergelegt, Aarons Name steht auf dem Stab Levis. Am nächsten Morgen hat Aarons Stab allein über Nacht gesprosst, geblüht und reife Mandeln hervorgebracht – ein übernatürliches Zeichen göttlicher Erwählung. Der Stab wird als dauerndes Mahnzeichen aufbewahrt.</w:t>
      </w:r>
    </w:p>
    <w:p w14:paraId="136DE2FD" w14:textId="77777777" w:rsidR="000C4DAD" w:rsidRDefault="000C4DAD" w:rsidP="000C4DAD">
      <w:pPr>
        <w:pStyle w:val="KeinLeerraum"/>
      </w:pPr>
      <w:r>
        <w:t>Das Volk reagiert jedoch mit panischer Todesangst: Jede Annäherung an Gottes Wohnung erscheint ihnen nun tödlich. Das Kapitel legitimiert endgültig Aarons Priestertum und zeigt die Notwendigkeit priesterlicher Mittlerschaft zwischen dem heiligen Gott und dem sündigen Volk.</w:t>
      </w:r>
    </w:p>
    <w:p w14:paraId="0B4C023B"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18,1</w:t>
      </w:r>
    </w:p>
    <w:p w14:paraId="7DFE3A57"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וַיֹּ֤אמֶר יְהוָה֙ אֶֽל־אַהֲרֹ֔ן אַתָּ֗ה וּבָנֶ֤יךָ וּבֵית־אָבִ֨יךָ֙ אִתָּ֔ךְ תִּשְׂא֖וּ אֶת־עֲוֹ֣ן הַמִּקְדָּ֑שׁ וְאַתָּה֙ וּבָנֶ֣יךָ אִתָּ֔ךְ תִּשְׂא֖וּ אֶת־עֲוֹ֥ן כְּהֻנַּתְכֶֽם׃</w:t>
      </w:r>
    </w:p>
    <w:p w14:paraId="1D11228E"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Und der Ewige sprach zu Aharon: Du und deine Söhne und das Haus deines Vaters mit dir, ihr sollt die Schuld des Heiligtums tragen; und du und deine Söhne mit dir, ihr sollt die Schuld eures Priestertums tragen.</w:t>
      </w:r>
    </w:p>
    <w:p w14:paraId="35675A4F"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3410BC35">
          <v:rect id="_x0000_i1602" style="width:0;height:1.5pt" o:hralign="center" o:hrstd="t" o:hr="t" fillcolor="#a0a0a0" stroked="f"/>
        </w:pict>
      </w:r>
    </w:p>
    <w:p w14:paraId="59004F6E"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Das Verb </w:t>
      </w:r>
      <w:r w:rsidRPr="0001206C">
        <w:rPr>
          <w:rFonts w:eastAsia="Times New Roman" w:cs="Times New Roman"/>
          <w:b/>
          <w:bCs/>
          <w:rtl/>
          <w:lang w:eastAsia="de-DE"/>
        </w:rPr>
        <w:t>וַיֹּאמֶר</w:t>
      </w:r>
      <w:r w:rsidRPr="0001206C">
        <w:rPr>
          <w:rFonts w:eastAsia="Times New Roman" w:cs="Times New Roman"/>
          <w:rtl/>
          <w:lang w:eastAsia="de-DE"/>
        </w:rPr>
        <w:t xml:space="preserve"> </w:t>
      </w:r>
      <w:r w:rsidRPr="0001206C">
        <w:rPr>
          <w:rFonts w:eastAsia="Times New Roman" w:cs="Times New Roman"/>
          <w:lang w:eastAsia="de-DE"/>
        </w:rPr>
        <w:t xml:space="preserve">(Wayyiqtol von </w:t>
      </w:r>
      <w:r w:rsidRPr="0001206C">
        <w:rPr>
          <w:rFonts w:eastAsia="Times New Roman" w:cs="Times New Roman"/>
          <w:b/>
          <w:bCs/>
          <w:rtl/>
          <w:lang w:eastAsia="de-DE"/>
        </w:rPr>
        <w:t>אמר</w:t>
      </w:r>
      <w:r w:rsidRPr="0001206C">
        <w:rPr>
          <w:rFonts w:eastAsia="Times New Roman" w:cs="Times New Roman"/>
          <w:lang w:eastAsia="de-DE"/>
        </w:rPr>
        <w:t xml:space="preserve">) leitet die göttliche Rede ein. </w:t>
      </w:r>
      <w:r w:rsidRPr="0001206C">
        <w:rPr>
          <w:rFonts w:eastAsia="Times New Roman" w:cs="Times New Roman"/>
          <w:b/>
          <w:bCs/>
          <w:rtl/>
          <w:lang w:eastAsia="de-DE"/>
        </w:rPr>
        <w:t>יְהוָה</w:t>
      </w:r>
      <w:r w:rsidRPr="0001206C">
        <w:rPr>
          <w:rFonts w:eastAsia="Times New Roman" w:cs="Times New Roman"/>
          <w:rtl/>
          <w:lang w:eastAsia="de-DE"/>
        </w:rPr>
        <w:t xml:space="preserve"> </w:t>
      </w:r>
      <w:r w:rsidRPr="0001206C">
        <w:rPr>
          <w:rFonts w:eastAsia="Times New Roman" w:cs="Times New Roman"/>
          <w:lang w:eastAsia="de-DE"/>
        </w:rPr>
        <w:t xml:space="preserve">ist das Subjekt, </w:t>
      </w:r>
      <w:r w:rsidRPr="0001206C">
        <w:rPr>
          <w:rFonts w:eastAsia="Times New Roman" w:cs="Times New Roman"/>
          <w:b/>
          <w:bCs/>
          <w:rtl/>
          <w:lang w:eastAsia="de-DE"/>
        </w:rPr>
        <w:t>אֶל־אַהֲרֹן</w:t>
      </w:r>
      <w:r w:rsidRPr="0001206C">
        <w:rPr>
          <w:rFonts w:eastAsia="Times New Roman" w:cs="Times New Roman"/>
          <w:rtl/>
          <w:lang w:eastAsia="de-DE"/>
        </w:rPr>
        <w:t xml:space="preserve"> </w:t>
      </w:r>
      <w:r w:rsidRPr="0001206C">
        <w:rPr>
          <w:rFonts w:eastAsia="Times New Roman" w:cs="Times New Roman"/>
          <w:lang w:eastAsia="de-DE"/>
        </w:rPr>
        <w:t xml:space="preserve">der Adressat. Bemerkenswert ist, dass JHWH hier direkt zu Aaron spricht – eine Reaktion auf die Todesangst des Volkes am Ende von Kapitel 17. Das Subjekt </w:t>
      </w:r>
      <w:r w:rsidRPr="0001206C">
        <w:rPr>
          <w:rFonts w:eastAsia="Times New Roman" w:cs="Times New Roman"/>
          <w:b/>
          <w:bCs/>
          <w:rtl/>
          <w:lang w:eastAsia="de-DE"/>
        </w:rPr>
        <w:t>אַתָּה וּבָנֶיךָ וּבֵית־אָבִיךָ אִתָּךְ</w:t>
      </w:r>
      <w:r w:rsidRPr="0001206C">
        <w:rPr>
          <w:rFonts w:eastAsia="Times New Roman" w:cs="Times New Roman"/>
          <w:rtl/>
          <w:lang w:eastAsia="de-DE"/>
        </w:rPr>
        <w:t xml:space="preserve"> </w:t>
      </w:r>
      <w:r w:rsidRPr="0001206C">
        <w:rPr>
          <w:rFonts w:eastAsia="Times New Roman" w:cs="Times New Roman"/>
          <w:lang w:eastAsia="de-DE"/>
        </w:rPr>
        <w:t xml:space="preserve">ist dreifach erweitert: </w:t>
      </w:r>
      <w:r w:rsidRPr="0001206C">
        <w:rPr>
          <w:rFonts w:eastAsia="Times New Roman" w:cs="Times New Roman"/>
          <w:b/>
          <w:bCs/>
          <w:rtl/>
          <w:lang w:eastAsia="de-DE"/>
        </w:rPr>
        <w:t>אַתָּה</w:t>
      </w:r>
      <w:r w:rsidRPr="0001206C">
        <w:rPr>
          <w:rFonts w:eastAsia="Times New Roman" w:cs="Times New Roman"/>
          <w:rtl/>
          <w:lang w:eastAsia="de-DE"/>
        </w:rPr>
        <w:t xml:space="preserve"> </w:t>
      </w:r>
      <w:r w:rsidRPr="0001206C">
        <w:rPr>
          <w:rFonts w:eastAsia="Times New Roman" w:cs="Times New Roman"/>
          <w:lang w:eastAsia="de-DE"/>
        </w:rPr>
        <w:t xml:space="preserve">(„du"), </w:t>
      </w:r>
      <w:r w:rsidRPr="0001206C">
        <w:rPr>
          <w:rFonts w:eastAsia="Times New Roman" w:cs="Times New Roman"/>
          <w:b/>
          <w:bCs/>
          <w:rtl/>
          <w:lang w:eastAsia="de-DE"/>
        </w:rPr>
        <w:t>בָנֶיךָ</w:t>
      </w:r>
      <w:r w:rsidRPr="0001206C">
        <w:rPr>
          <w:rFonts w:eastAsia="Times New Roman" w:cs="Times New Roman"/>
          <w:rtl/>
          <w:lang w:eastAsia="de-DE"/>
        </w:rPr>
        <w:t xml:space="preserve"> </w:t>
      </w:r>
      <w:r w:rsidRPr="0001206C">
        <w:rPr>
          <w:rFonts w:eastAsia="Times New Roman" w:cs="Times New Roman"/>
          <w:lang w:eastAsia="de-DE"/>
        </w:rPr>
        <w:t xml:space="preserve">(„deine Söhne"), </w:t>
      </w:r>
      <w:r w:rsidRPr="0001206C">
        <w:rPr>
          <w:rFonts w:eastAsia="Times New Roman" w:cs="Times New Roman"/>
          <w:b/>
          <w:bCs/>
          <w:rtl/>
          <w:lang w:eastAsia="de-DE"/>
        </w:rPr>
        <w:t>בֵית־אָבִיךָ אִתָּךְ</w:t>
      </w:r>
      <w:r w:rsidRPr="0001206C">
        <w:rPr>
          <w:rFonts w:eastAsia="Times New Roman" w:cs="Times New Roman"/>
          <w:rtl/>
          <w:lang w:eastAsia="de-DE"/>
        </w:rPr>
        <w:t xml:space="preserve"> </w:t>
      </w:r>
      <w:r w:rsidRPr="0001206C">
        <w:rPr>
          <w:rFonts w:eastAsia="Times New Roman" w:cs="Times New Roman"/>
          <w:lang w:eastAsia="de-DE"/>
        </w:rPr>
        <w:t>(„das Haus deines Vaters mit dir"). Diese Dreierstruktur umfasst die gesamte priesterliche Linie.</w:t>
      </w:r>
    </w:p>
    <w:p w14:paraId="7BF41AC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Das Verb </w:t>
      </w:r>
      <w:r w:rsidRPr="0001206C">
        <w:rPr>
          <w:rFonts w:eastAsia="Times New Roman" w:cs="Times New Roman"/>
          <w:b/>
          <w:bCs/>
          <w:rtl/>
          <w:lang w:eastAsia="de-DE"/>
        </w:rPr>
        <w:t>תִּשְׂאוּ</w:t>
      </w:r>
      <w:r w:rsidRPr="0001206C">
        <w:rPr>
          <w:rFonts w:eastAsia="Times New Roman" w:cs="Times New Roman"/>
          <w:rtl/>
          <w:lang w:eastAsia="de-DE"/>
        </w:rPr>
        <w:t xml:space="preserve"> </w:t>
      </w:r>
      <w:r w:rsidRPr="0001206C">
        <w:rPr>
          <w:rFonts w:eastAsia="Times New Roman" w:cs="Times New Roman"/>
          <w:lang w:eastAsia="de-DE"/>
        </w:rPr>
        <w:t xml:space="preserve">(Qal Imperfekt, 2. m. pl. von </w:t>
      </w:r>
      <w:r w:rsidRPr="0001206C">
        <w:rPr>
          <w:rFonts w:eastAsia="Times New Roman" w:cs="Times New Roman"/>
          <w:b/>
          <w:bCs/>
          <w:rtl/>
          <w:lang w:eastAsia="de-DE"/>
        </w:rPr>
        <w:t>נשׂא</w:t>
      </w:r>
      <w:r w:rsidRPr="0001206C">
        <w:rPr>
          <w:rFonts w:eastAsia="Times New Roman" w:cs="Times New Roman"/>
          <w:lang w:eastAsia="de-DE"/>
        </w:rPr>
        <w:t xml:space="preserve">) bedeutet „ihr sollt tragen". </w:t>
      </w:r>
      <w:r w:rsidRPr="0001206C">
        <w:rPr>
          <w:rFonts w:eastAsia="Times New Roman" w:cs="Times New Roman"/>
          <w:b/>
          <w:bCs/>
          <w:rtl/>
          <w:lang w:eastAsia="de-DE"/>
        </w:rPr>
        <w:t>נשׂא</w:t>
      </w:r>
      <w:r w:rsidRPr="0001206C">
        <w:rPr>
          <w:rFonts w:eastAsia="Times New Roman" w:cs="Times New Roman"/>
          <w:rtl/>
          <w:lang w:eastAsia="de-DE"/>
        </w:rPr>
        <w:t xml:space="preserve"> </w:t>
      </w:r>
      <w:r w:rsidRPr="0001206C">
        <w:rPr>
          <w:rFonts w:eastAsia="Times New Roman" w:cs="Times New Roman"/>
          <w:lang w:eastAsia="de-DE"/>
        </w:rPr>
        <w:t xml:space="preserve">mit </w:t>
      </w:r>
      <w:r w:rsidRPr="0001206C">
        <w:rPr>
          <w:rFonts w:eastAsia="Times New Roman" w:cs="Times New Roman"/>
          <w:b/>
          <w:bCs/>
          <w:rtl/>
          <w:lang w:eastAsia="de-DE"/>
        </w:rPr>
        <w:t>עָוֹן</w:t>
      </w:r>
      <w:r w:rsidRPr="0001206C">
        <w:rPr>
          <w:rFonts w:eastAsia="Times New Roman" w:cs="Times New Roman"/>
          <w:rtl/>
          <w:lang w:eastAsia="de-DE"/>
        </w:rPr>
        <w:t xml:space="preserve"> </w:t>
      </w:r>
      <w:r w:rsidRPr="0001206C">
        <w:rPr>
          <w:rFonts w:eastAsia="Times New Roman" w:cs="Times New Roman"/>
          <w:lang w:eastAsia="de-DE"/>
        </w:rPr>
        <w:t xml:space="preserve">bedeutet idiomatisch „Schuld/Verantwortung tragen". Das Objekt </w:t>
      </w:r>
      <w:r w:rsidRPr="0001206C">
        <w:rPr>
          <w:rFonts w:eastAsia="Times New Roman" w:cs="Times New Roman"/>
          <w:b/>
          <w:bCs/>
          <w:rtl/>
          <w:lang w:eastAsia="de-DE"/>
        </w:rPr>
        <w:t>אֶת־עֲוֹן הַמִּקְדָּשׁ</w:t>
      </w:r>
      <w:r w:rsidRPr="0001206C">
        <w:rPr>
          <w:rFonts w:eastAsia="Times New Roman" w:cs="Times New Roman"/>
          <w:rtl/>
          <w:lang w:eastAsia="de-DE"/>
        </w:rPr>
        <w:t xml:space="preserve"> </w:t>
      </w:r>
      <w:r w:rsidRPr="0001206C">
        <w:rPr>
          <w:rFonts w:eastAsia="Times New Roman" w:cs="Times New Roman"/>
          <w:lang w:eastAsia="de-DE"/>
        </w:rPr>
        <w:t>ist „die Schuld/Verantwortung des Heiligtums" (</w:t>
      </w:r>
      <w:r w:rsidRPr="0001206C">
        <w:rPr>
          <w:rFonts w:eastAsia="Times New Roman" w:cs="Times New Roman"/>
          <w:b/>
          <w:bCs/>
          <w:rtl/>
          <w:lang w:eastAsia="de-DE"/>
        </w:rPr>
        <w:t>עָוֹן</w:t>
      </w:r>
      <w:r w:rsidRPr="0001206C">
        <w:rPr>
          <w:rFonts w:eastAsia="Times New Roman" w:cs="Times New Roman"/>
          <w:rtl/>
          <w:lang w:eastAsia="de-DE"/>
        </w:rPr>
        <w:t xml:space="preserve"> </w:t>
      </w:r>
      <w:r w:rsidRPr="0001206C">
        <w:rPr>
          <w:rFonts w:eastAsia="Times New Roman" w:cs="Times New Roman"/>
          <w:lang w:eastAsia="de-DE"/>
        </w:rPr>
        <w:t xml:space="preserve">im Constructus vor </w:t>
      </w:r>
      <w:r w:rsidRPr="0001206C">
        <w:rPr>
          <w:rFonts w:eastAsia="Times New Roman" w:cs="Times New Roman"/>
          <w:b/>
          <w:bCs/>
          <w:rtl/>
          <w:lang w:eastAsia="de-DE"/>
        </w:rPr>
        <w:t>הַמִּקְדָּשׁ</w:t>
      </w:r>
      <w:r w:rsidRPr="0001206C">
        <w:rPr>
          <w:rFonts w:eastAsia="Times New Roman" w:cs="Times New Roman"/>
          <w:lang w:eastAsia="de-DE"/>
        </w:rPr>
        <w:t>). Die Phrase bedeutet, dass die Priester für alle Vergehen am Heiligtum verantwortlich sind – eine enorme Last.</w:t>
      </w:r>
    </w:p>
    <w:p w14:paraId="5EB4531B"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zweite Hälfte des Verses wiederholt die Struktur mit eingeschränktem Subjekt: </w:t>
      </w:r>
      <w:r w:rsidRPr="0001206C">
        <w:rPr>
          <w:rFonts w:eastAsia="Times New Roman" w:cs="Times New Roman"/>
          <w:b/>
          <w:bCs/>
          <w:rtl/>
          <w:lang w:eastAsia="de-DE"/>
        </w:rPr>
        <w:t>וְאַתָּה וּבָנֶיךָ אִתָּךְ</w:t>
      </w:r>
      <w:r w:rsidRPr="0001206C">
        <w:rPr>
          <w:rFonts w:eastAsia="Times New Roman" w:cs="Times New Roman"/>
          <w:rtl/>
          <w:lang w:eastAsia="de-DE"/>
        </w:rPr>
        <w:t xml:space="preserve"> </w:t>
      </w:r>
      <w:r w:rsidRPr="0001206C">
        <w:rPr>
          <w:rFonts w:eastAsia="Times New Roman" w:cs="Times New Roman"/>
          <w:lang w:eastAsia="de-DE"/>
        </w:rPr>
        <w:t xml:space="preserve">(„und du und deine Söhne mit dir") – nur die aaronitischen Priester, nicht die gesamte </w:t>
      </w:r>
      <w:r w:rsidRPr="0001206C">
        <w:rPr>
          <w:rFonts w:eastAsia="Times New Roman" w:cs="Times New Roman"/>
          <w:lang w:eastAsia="de-DE"/>
        </w:rPr>
        <w:lastRenderedPageBreak/>
        <w:t xml:space="preserve">levitische Linie. Das Verb </w:t>
      </w:r>
      <w:r w:rsidRPr="0001206C">
        <w:rPr>
          <w:rFonts w:eastAsia="Times New Roman" w:cs="Times New Roman"/>
          <w:b/>
          <w:bCs/>
          <w:rtl/>
          <w:lang w:eastAsia="de-DE"/>
        </w:rPr>
        <w:t>תִּשְׂאוּ</w:t>
      </w:r>
      <w:r w:rsidRPr="0001206C">
        <w:rPr>
          <w:rFonts w:eastAsia="Times New Roman" w:cs="Times New Roman"/>
          <w:rtl/>
          <w:lang w:eastAsia="de-DE"/>
        </w:rPr>
        <w:t xml:space="preserve"> </w:t>
      </w:r>
      <w:r w:rsidRPr="0001206C">
        <w:rPr>
          <w:rFonts w:eastAsia="Times New Roman" w:cs="Times New Roman"/>
          <w:lang w:eastAsia="de-DE"/>
        </w:rPr>
        <w:t xml:space="preserve">wird wiederholt. Das Objekt </w:t>
      </w:r>
      <w:r w:rsidRPr="0001206C">
        <w:rPr>
          <w:rFonts w:eastAsia="Times New Roman" w:cs="Times New Roman"/>
          <w:b/>
          <w:bCs/>
          <w:rtl/>
          <w:lang w:eastAsia="de-DE"/>
        </w:rPr>
        <w:t>אֶת־עֲוֹן כְּהֻנַּתְכֶם</w:t>
      </w:r>
      <w:r w:rsidRPr="0001206C">
        <w:rPr>
          <w:rFonts w:eastAsia="Times New Roman" w:cs="Times New Roman"/>
          <w:rtl/>
          <w:lang w:eastAsia="de-DE"/>
        </w:rPr>
        <w:t xml:space="preserve"> </w:t>
      </w:r>
      <w:r w:rsidRPr="0001206C">
        <w:rPr>
          <w:rFonts w:eastAsia="Times New Roman" w:cs="Times New Roman"/>
          <w:lang w:eastAsia="de-DE"/>
        </w:rPr>
        <w:t>ist „die Schuld eures Priestertums" – Verantwortung für den spezifisch priesterlichen Dienst.</w:t>
      </w:r>
    </w:p>
    <w:p w14:paraId="46E514BD" w14:textId="5DC93F09" w:rsidR="0001206C" w:rsidRPr="0001206C" w:rsidRDefault="00420C4D" w:rsidP="0001206C">
      <w:pPr>
        <w:spacing w:before="100" w:beforeAutospacing="1" w:after="100" w:afterAutospacing="1" w:line="240" w:lineRule="auto"/>
        <w:rPr>
          <w:rFonts w:eastAsia="Times New Roman" w:cs="Times New Roman"/>
          <w:lang w:eastAsia="de-DE"/>
        </w:rPr>
      </w:pPr>
      <w:r>
        <w:rPr>
          <w:rStyle w:val="Fett"/>
        </w:rPr>
        <w:t xml:space="preserve">Die LXX </w:t>
      </w:r>
      <w:r>
        <w:t>übersetzt „</w:t>
      </w:r>
      <w:r w:rsidRPr="00420C4D">
        <w:rPr>
          <w:b/>
          <w:bCs/>
          <w:rtl/>
        </w:rPr>
        <w:t>תִּשְׂאוּ אֶת־עֲוֹן</w:t>
      </w:r>
      <w:r>
        <w:t>" (ihr werdet tragen die Schuld) mit „λήμψεσθε τὰς ἁμαρτίας" (ihr werdet empfangen/nehmen die Sünden), was eine etwas andere Nuance der Verantwortungsübernahme darstellt.</w:t>
      </w:r>
    </w:p>
    <w:p w14:paraId="5D598002"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Satzstruktur zeigt einen Hauptsatz mit Verb und Adressaten. Die direkte Rede besteht aus zwei parallel strukturierten Hauptsätzen, jeweils mit erweitertem Subjekt, Verb und Objekt (Constructus-Verbindung).</w:t>
      </w:r>
    </w:p>
    <w:p w14:paraId="4D90B567"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antwortet auf die Panik des Volkes: Die Priester selbst tragen die Verantwortung für das Heiligtum, sodass das Volk nicht sterben muss, wenn es unabsichtlich zu nahe kommt.</w:t>
      </w:r>
    </w:p>
    <w:p w14:paraId="438C00BE"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18,2</w:t>
      </w:r>
    </w:p>
    <w:p w14:paraId="6D054812"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וְגַ֣ם אֶת־אַחֶיךָ֩ מַטֵּ֨ה לֵוִ֜י שֵׁ֤בֶט אָבִ֨יךָ֙ הַקְרֵ֣ב אִתָּ֔ךְ וְיִלָּו֥וּ עָלֶ֖יךָ וִֽישָׁרְת֑וּךָ וְאַתָּה֙ וּבָנֶ֣יךָ אִתָּ֔ךְ לִפְנֵ֖י אֹ֥הֶל הָעֵדֻֽת׃</w:t>
      </w:r>
    </w:p>
    <w:p w14:paraId="7EAACC94"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Und auch deine Brüder, den Stamm Levi, den Stamm deines Vaters, lass mit dir nahen, dass sie sich dir anschließen und dir dienen; du aber und deine Söhne mit dir, ihr sollt vor dem Zelt des Zeugnisses dienen.</w:t>
      </w:r>
    </w:p>
    <w:p w14:paraId="79773549"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01110A36">
          <v:rect id="_x0000_i1603" style="width:0;height:1.5pt" o:hralign="center" o:hrstd="t" o:hr="t" fillcolor="#a0a0a0" stroked="f"/>
        </w:pict>
      </w:r>
    </w:p>
    <w:p w14:paraId="6D44248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Die emphatische Partikel </w:t>
      </w:r>
      <w:r w:rsidRPr="0001206C">
        <w:rPr>
          <w:rFonts w:eastAsia="Times New Roman" w:cs="Times New Roman"/>
          <w:b/>
          <w:bCs/>
          <w:rtl/>
          <w:lang w:eastAsia="de-DE"/>
        </w:rPr>
        <w:t>וְגַם</w:t>
      </w:r>
      <w:r w:rsidRPr="0001206C">
        <w:rPr>
          <w:rFonts w:eastAsia="Times New Roman" w:cs="Times New Roman"/>
          <w:rtl/>
          <w:lang w:eastAsia="de-DE"/>
        </w:rPr>
        <w:t xml:space="preserve"> </w:t>
      </w:r>
      <w:r w:rsidRPr="0001206C">
        <w:rPr>
          <w:rFonts w:eastAsia="Times New Roman" w:cs="Times New Roman"/>
          <w:lang w:eastAsia="de-DE"/>
        </w:rPr>
        <w:t xml:space="preserve">(„und auch") leitet die Erweiterung ein. Das Objekt </w:t>
      </w:r>
      <w:r w:rsidRPr="0001206C">
        <w:rPr>
          <w:rFonts w:eastAsia="Times New Roman" w:cs="Times New Roman"/>
          <w:b/>
          <w:bCs/>
          <w:rtl/>
          <w:lang w:eastAsia="de-DE"/>
        </w:rPr>
        <w:t>אֶת־אַחֶיךָ</w:t>
      </w:r>
      <w:r w:rsidRPr="0001206C">
        <w:rPr>
          <w:rFonts w:eastAsia="Times New Roman" w:cs="Times New Roman"/>
          <w:rtl/>
          <w:lang w:eastAsia="de-DE"/>
        </w:rPr>
        <w:t xml:space="preserve"> </w:t>
      </w:r>
      <w:r w:rsidRPr="0001206C">
        <w:rPr>
          <w:rFonts w:eastAsia="Times New Roman" w:cs="Times New Roman"/>
          <w:lang w:eastAsia="de-DE"/>
        </w:rPr>
        <w:t xml:space="preserve">ist „deine Brüder" mit Possessivsuffix 2. m. sg. Die doppelte Apposition </w:t>
      </w:r>
      <w:r w:rsidRPr="0001206C">
        <w:rPr>
          <w:rFonts w:eastAsia="Times New Roman" w:cs="Times New Roman"/>
          <w:b/>
          <w:bCs/>
          <w:rtl/>
          <w:lang w:eastAsia="de-DE"/>
        </w:rPr>
        <w:t>מַטֵּה לֵוִי שֵׁבֶט אָבִיךָ</w:t>
      </w:r>
      <w:r w:rsidRPr="0001206C">
        <w:rPr>
          <w:rFonts w:eastAsia="Times New Roman" w:cs="Times New Roman"/>
          <w:rtl/>
          <w:lang w:eastAsia="de-DE"/>
        </w:rPr>
        <w:t xml:space="preserve"> </w:t>
      </w:r>
      <w:r w:rsidRPr="0001206C">
        <w:rPr>
          <w:rFonts w:eastAsia="Times New Roman" w:cs="Times New Roman"/>
          <w:lang w:eastAsia="de-DE"/>
        </w:rPr>
        <w:t xml:space="preserve">identifiziert diese Brüder: </w:t>
      </w:r>
      <w:r w:rsidRPr="0001206C">
        <w:rPr>
          <w:rFonts w:eastAsia="Times New Roman" w:cs="Times New Roman"/>
          <w:b/>
          <w:bCs/>
          <w:rtl/>
          <w:lang w:eastAsia="de-DE"/>
        </w:rPr>
        <w:t>מַטֵּה לֵוִי</w:t>
      </w:r>
      <w:r w:rsidRPr="0001206C">
        <w:rPr>
          <w:rFonts w:eastAsia="Times New Roman" w:cs="Times New Roman"/>
          <w:rtl/>
          <w:lang w:eastAsia="de-DE"/>
        </w:rPr>
        <w:t xml:space="preserve"> </w:t>
      </w:r>
      <w:r w:rsidRPr="0001206C">
        <w:rPr>
          <w:rFonts w:eastAsia="Times New Roman" w:cs="Times New Roman"/>
          <w:lang w:eastAsia="de-DE"/>
        </w:rPr>
        <w:t xml:space="preserve">(„Stamm Levi") und </w:t>
      </w:r>
      <w:r w:rsidRPr="0001206C">
        <w:rPr>
          <w:rFonts w:eastAsia="Times New Roman" w:cs="Times New Roman"/>
          <w:b/>
          <w:bCs/>
          <w:rtl/>
          <w:lang w:eastAsia="de-DE"/>
        </w:rPr>
        <w:t>שֵׁבֶט אָבִיךָ</w:t>
      </w:r>
      <w:r w:rsidRPr="0001206C">
        <w:rPr>
          <w:rFonts w:eastAsia="Times New Roman" w:cs="Times New Roman"/>
          <w:rtl/>
          <w:lang w:eastAsia="de-DE"/>
        </w:rPr>
        <w:t xml:space="preserve"> </w:t>
      </w:r>
      <w:r w:rsidRPr="0001206C">
        <w:rPr>
          <w:rFonts w:eastAsia="Times New Roman" w:cs="Times New Roman"/>
          <w:lang w:eastAsia="de-DE"/>
        </w:rPr>
        <w:t>(„Stamm deines Vaters") sind synonyme Constructus-Verbindungen. Die Wiederholung betont die enge Verwandtschaft.</w:t>
      </w:r>
    </w:p>
    <w:p w14:paraId="6A3A6EB7"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Der Imperativ </w:t>
      </w:r>
      <w:r w:rsidRPr="0001206C">
        <w:rPr>
          <w:rFonts w:eastAsia="Times New Roman" w:cs="Times New Roman"/>
          <w:b/>
          <w:bCs/>
          <w:rtl/>
          <w:lang w:eastAsia="de-DE"/>
        </w:rPr>
        <w:t>הַקְרֵב</w:t>
      </w:r>
      <w:r w:rsidRPr="0001206C">
        <w:rPr>
          <w:rFonts w:eastAsia="Times New Roman" w:cs="Times New Roman"/>
          <w:rtl/>
          <w:lang w:eastAsia="de-DE"/>
        </w:rPr>
        <w:t xml:space="preserve"> </w:t>
      </w:r>
      <w:r w:rsidRPr="0001206C">
        <w:rPr>
          <w:rFonts w:eastAsia="Times New Roman" w:cs="Times New Roman"/>
          <w:lang w:eastAsia="de-DE"/>
        </w:rPr>
        <w:t xml:space="preserve">(Hifil Imperativ von </w:t>
      </w:r>
      <w:r w:rsidRPr="0001206C">
        <w:rPr>
          <w:rFonts w:eastAsia="Times New Roman" w:cs="Times New Roman"/>
          <w:b/>
          <w:bCs/>
          <w:rtl/>
          <w:lang w:eastAsia="de-DE"/>
        </w:rPr>
        <w:t>קרב</w:t>
      </w:r>
      <w:r w:rsidRPr="0001206C">
        <w:rPr>
          <w:rFonts w:eastAsia="Times New Roman" w:cs="Times New Roman"/>
          <w:lang w:eastAsia="de-DE"/>
        </w:rPr>
        <w:t xml:space="preserve">) bedeutet „lass nahen, bringe nahe". Die Hifil-Form ist kausativ. </w:t>
      </w:r>
      <w:r w:rsidRPr="0001206C">
        <w:rPr>
          <w:rFonts w:eastAsia="Times New Roman" w:cs="Times New Roman"/>
          <w:b/>
          <w:bCs/>
          <w:rtl/>
          <w:lang w:eastAsia="de-DE"/>
        </w:rPr>
        <w:t>אִתָּךְ</w:t>
      </w:r>
      <w:r w:rsidRPr="0001206C">
        <w:rPr>
          <w:rFonts w:eastAsia="Times New Roman" w:cs="Times New Roman"/>
          <w:rtl/>
          <w:lang w:eastAsia="de-DE"/>
        </w:rPr>
        <w:t xml:space="preserve"> </w:t>
      </w:r>
      <w:r w:rsidRPr="0001206C">
        <w:rPr>
          <w:rFonts w:eastAsia="Times New Roman" w:cs="Times New Roman"/>
          <w:lang w:eastAsia="de-DE"/>
        </w:rPr>
        <w:t xml:space="preserve">(„mit dir") zeigt die Zusammenarbeit an. Das koordinierte Verb </w:t>
      </w:r>
      <w:r w:rsidRPr="0001206C">
        <w:rPr>
          <w:rFonts w:eastAsia="Times New Roman" w:cs="Times New Roman"/>
          <w:b/>
          <w:bCs/>
          <w:rtl/>
          <w:lang w:eastAsia="de-DE"/>
        </w:rPr>
        <w:t>וְיִלָּווּ</w:t>
      </w:r>
      <w:r w:rsidRPr="0001206C">
        <w:rPr>
          <w:rFonts w:eastAsia="Times New Roman" w:cs="Times New Roman"/>
          <w:rtl/>
          <w:lang w:eastAsia="de-DE"/>
        </w:rPr>
        <w:t xml:space="preserve"> </w:t>
      </w:r>
      <w:r w:rsidRPr="0001206C">
        <w:rPr>
          <w:rFonts w:eastAsia="Times New Roman" w:cs="Times New Roman"/>
          <w:lang w:eastAsia="de-DE"/>
        </w:rPr>
        <w:t xml:space="preserve">(Waw + Nifal Imperfekt, 3. m. pl. von </w:t>
      </w:r>
      <w:r w:rsidRPr="0001206C">
        <w:rPr>
          <w:rFonts w:eastAsia="Times New Roman" w:cs="Times New Roman"/>
          <w:b/>
          <w:bCs/>
          <w:rtl/>
          <w:lang w:eastAsia="de-DE"/>
        </w:rPr>
        <w:t>לוה</w:t>
      </w:r>
      <w:r w:rsidRPr="0001206C">
        <w:rPr>
          <w:rFonts w:eastAsia="Times New Roman" w:cs="Times New Roman"/>
          <w:lang w:eastAsia="de-DE"/>
        </w:rPr>
        <w:t xml:space="preserve">) bedeutet „und sie sollen sich anschließen". Die Nifal-Form hat reflexive Bedeutung. </w:t>
      </w:r>
      <w:r w:rsidRPr="0001206C">
        <w:rPr>
          <w:rFonts w:eastAsia="Times New Roman" w:cs="Times New Roman"/>
          <w:b/>
          <w:bCs/>
          <w:rtl/>
          <w:lang w:eastAsia="de-DE"/>
        </w:rPr>
        <w:t>עָלֶיךָ</w:t>
      </w:r>
      <w:r w:rsidRPr="0001206C">
        <w:rPr>
          <w:rFonts w:eastAsia="Times New Roman" w:cs="Times New Roman"/>
          <w:rtl/>
          <w:lang w:eastAsia="de-DE"/>
        </w:rPr>
        <w:t xml:space="preserve"> </w:t>
      </w:r>
      <w:r w:rsidRPr="0001206C">
        <w:rPr>
          <w:rFonts w:eastAsia="Times New Roman" w:cs="Times New Roman"/>
          <w:lang w:eastAsia="de-DE"/>
        </w:rPr>
        <w:t xml:space="preserve">(„an dich") gibt die Richtung an. Das Wortspiel </w:t>
      </w:r>
      <w:r w:rsidRPr="0001206C">
        <w:rPr>
          <w:rFonts w:eastAsia="Times New Roman" w:cs="Times New Roman"/>
          <w:b/>
          <w:bCs/>
          <w:rtl/>
          <w:lang w:eastAsia="de-DE"/>
        </w:rPr>
        <w:t>לֵוִי</w:t>
      </w:r>
      <w:r w:rsidRPr="0001206C">
        <w:rPr>
          <w:rFonts w:eastAsia="Times New Roman" w:cs="Times New Roman"/>
          <w:rtl/>
          <w:lang w:eastAsia="de-DE"/>
        </w:rPr>
        <w:t xml:space="preserve"> </w:t>
      </w:r>
      <w:r w:rsidRPr="0001206C">
        <w:rPr>
          <w:rFonts w:eastAsia="Times New Roman" w:cs="Times New Roman"/>
          <w:lang w:eastAsia="de-DE"/>
        </w:rPr>
        <w:t xml:space="preserve">– </w:t>
      </w:r>
      <w:r w:rsidRPr="0001206C">
        <w:rPr>
          <w:rFonts w:eastAsia="Times New Roman" w:cs="Times New Roman"/>
          <w:b/>
          <w:bCs/>
          <w:rtl/>
          <w:lang w:eastAsia="de-DE"/>
        </w:rPr>
        <w:t>יִלָּווּ</w:t>
      </w:r>
      <w:r w:rsidRPr="0001206C">
        <w:rPr>
          <w:rFonts w:eastAsia="Times New Roman" w:cs="Times New Roman"/>
          <w:rtl/>
          <w:lang w:eastAsia="de-DE"/>
        </w:rPr>
        <w:t xml:space="preserve"> </w:t>
      </w:r>
      <w:r w:rsidRPr="0001206C">
        <w:rPr>
          <w:rFonts w:eastAsia="Times New Roman" w:cs="Times New Roman"/>
          <w:lang w:eastAsia="de-DE"/>
        </w:rPr>
        <w:t>ist deutlich: Die Leviten (</w:t>
      </w:r>
      <w:r w:rsidRPr="0001206C">
        <w:rPr>
          <w:rFonts w:eastAsia="Times New Roman" w:cs="Times New Roman"/>
          <w:rtl/>
          <w:lang w:eastAsia="de-DE"/>
        </w:rPr>
        <w:t>לֵוִי</w:t>
      </w:r>
      <w:r w:rsidRPr="0001206C">
        <w:rPr>
          <w:rFonts w:eastAsia="Times New Roman" w:cs="Times New Roman"/>
          <w:lang w:eastAsia="de-DE"/>
        </w:rPr>
        <w:t>) sollen sich „anschließen" (</w:t>
      </w:r>
      <w:r w:rsidRPr="0001206C">
        <w:rPr>
          <w:rFonts w:eastAsia="Times New Roman" w:cs="Times New Roman"/>
          <w:rtl/>
          <w:lang w:eastAsia="de-DE"/>
        </w:rPr>
        <w:t>לוה</w:t>
      </w:r>
      <w:r w:rsidRPr="0001206C">
        <w:rPr>
          <w:rFonts w:eastAsia="Times New Roman" w:cs="Times New Roman"/>
          <w:lang w:eastAsia="de-DE"/>
        </w:rPr>
        <w:t>).</w:t>
      </w:r>
    </w:p>
    <w:p w14:paraId="5EB63F51"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Das koordinierte Verb </w:t>
      </w:r>
      <w:r w:rsidRPr="0001206C">
        <w:rPr>
          <w:rFonts w:eastAsia="Times New Roman" w:cs="Times New Roman"/>
          <w:b/>
          <w:bCs/>
          <w:rtl/>
          <w:lang w:eastAsia="de-DE"/>
        </w:rPr>
        <w:t>וִישָׁרְתוּךָ</w:t>
      </w:r>
      <w:r w:rsidRPr="0001206C">
        <w:rPr>
          <w:rFonts w:eastAsia="Times New Roman" w:cs="Times New Roman"/>
          <w:rtl/>
          <w:lang w:eastAsia="de-DE"/>
        </w:rPr>
        <w:t xml:space="preserve"> </w:t>
      </w:r>
      <w:r w:rsidRPr="0001206C">
        <w:rPr>
          <w:rFonts w:eastAsia="Times New Roman" w:cs="Times New Roman"/>
          <w:lang w:eastAsia="de-DE"/>
        </w:rPr>
        <w:t xml:space="preserve">(Waw + Piel Imperfekt, 3. m. pl. von </w:t>
      </w:r>
      <w:r w:rsidRPr="0001206C">
        <w:rPr>
          <w:rFonts w:eastAsia="Times New Roman" w:cs="Times New Roman"/>
          <w:b/>
          <w:bCs/>
          <w:rtl/>
          <w:lang w:eastAsia="de-DE"/>
        </w:rPr>
        <w:t>שׁרת</w:t>
      </w:r>
      <w:r w:rsidRPr="0001206C">
        <w:rPr>
          <w:rFonts w:eastAsia="Times New Roman" w:cs="Times New Roman"/>
          <w:rtl/>
          <w:lang w:eastAsia="de-DE"/>
        </w:rPr>
        <w:t xml:space="preserve"> </w:t>
      </w:r>
      <w:r w:rsidRPr="0001206C">
        <w:rPr>
          <w:rFonts w:eastAsia="Times New Roman" w:cs="Times New Roman"/>
          <w:lang w:eastAsia="de-DE"/>
        </w:rPr>
        <w:t xml:space="preserve">mit Suffix 2. m. sg.) bedeutet „und sie sollen dir dienen". Die Piel-Form hat intensive Bedeutung. Das kontrastierende </w:t>
      </w:r>
      <w:r w:rsidRPr="0001206C">
        <w:rPr>
          <w:rFonts w:eastAsia="Times New Roman" w:cs="Times New Roman"/>
          <w:b/>
          <w:bCs/>
          <w:rtl/>
          <w:lang w:eastAsia="de-DE"/>
        </w:rPr>
        <w:t>וְאַתָּה וּבָנֶיךָ אִתָּךְ</w:t>
      </w:r>
      <w:r w:rsidRPr="0001206C">
        <w:rPr>
          <w:rFonts w:eastAsia="Times New Roman" w:cs="Times New Roman"/>
          <w:rtl/>
          <w:lang w:eastAsia="de-DE"/>
        </w:rPr>
        <w:t xml:space="preserve"> </w:t>
      </w:r>
      <w:r w:rsidRPr="0001206C">
        <w:rPr>
          <w:rFonts w:eastAsia="Times New Roman" w:cs="Times New Roman"/>
          <w:lang w:eastAsia="de-DE"/>
        </w:rPr>
        <w:t xml:space="preserve">(„du aber und deine Söhne mit dir") grenzt die priesterliche Rolle ab. Die Präposition </w:t>
      </w:r>
      <w:r w:rsidRPr="0001206C">
        <w:rPr>
          <w:rFonts w:eastAsia="Times New Roman" w:cs="Times New Roman"/>
          <w:b/>
          <w:bCs/>
          <w:rtl/>
          <w:lang w:eastAsia="de-DE"/>
        </w:rPr>
        <w:t>לִפְנֵי אֹהֶל הָעֵדֻת</w:t>
      </w:r>
      <w:r w:rsidRPr="0001206C">
        <w:rPr>
          <w:rFonts w:eastAsia="Times New Roman" w:cs="Times New Roman"/>
          <w:rtl/>
          <w:lang w:eastAsia="de-DE"/>
        </w:rPr>
        <w:t xml:space="preserve"> </w:t>
      </w:r>
      <w:r w:rsidRPr="0001206C">
        <w:rPr>
          <w:rFonts w:eastAsia="Times New Roman" w:cs="Times New Roman"/>
          <w:lang w:eastAsia="de-DE"/>
        </w:rPr>
        <w:t>(„vor dem Zelt des Zeugnisses") bezeichnet den spezifisch priesterlichen Dienst im heiligsten Bereich.</w:t>
      </w:r>
    </w:p>
    <w:p w14:paraId="10A7E24B" w14:textId="75002438"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w:t>
      </w:r>
      <w:r w:rsidR="00420C4D">
        <w:t>übersetzt „</w:t>
      </w:r>
      <w:r w:rsidR="00420C4D" w:rsidRPr="00420C4D">
        <w:rPr>
          <w:b/>
          <w:bCs/>
          <w:rtl/>
        </w:rPr>
        <w:t>וְיִלָּווּ עָלֶיךָ</w:t>
      </w:r>
      <w:r w:rsidR="00420C4D">
        <w:t xml:space="preserve">" (und sie werden sich dir anschließen) mit „καὶ προστεθήτωσάν σοι" (und sie sollen zu dir hinzugefügt werden), was denselben Wortstamm wie "Levi" verwendet, aber mit einer passiveren </w:t>
      </w:r>
      <w:r w:rsidR="00F133EC">
        <w:t>Construct</w:t>
      </w:r>
      <w:r w:rsidR="00420C4D">
        <w:t>ion.</w:t>
      </w:r>
    </w:p>
    <w:p w14:paraId="13A0FEE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lastRenderedPageBreak/>
        <w:t>Die Satzstruktur zeigt einen Hauptsatz mit emphatischer Partikel, Objekt (mit doppelter Apposition), Imperativ und Präposition, gefolgt von zwei koordinierten finalen Imperfekten. Ein kontrastierender Hauptsatz mit Subjekt und präpositionaler Ortsangabe schließt ab.</w:t>
      </w:r>
    </w:p>
    <w:p w14:paraId="225F0151"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definiert die Rollenverteilung: Die Leviten assistieren den Priestern, aber nur die aaronitischen Priester dienen direkt vor dem Heiligtum.</w:t>
      </w:r>
    </w:p>
    <w:p w14:paraId="31C23267"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18,3</w:t>
      </w:r>
    </w:p>
    <w:p w14:paraId="0214792E"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וְשָֽׁמְרוּ֙ מִֽשְׁמַרְתְּךָ֔ וּמִשְׁמֶ֖רֶת כָּל־הָאֹ֑הֶל אַךְ֩ אֶל־כְּלֵ֨י הַקֹּ֤דֶשׁ וְאֶל־הַמִּזְבֵּ֨חַ֙ לֹ֣א יִקְרָ֔בוּ וְלֹֽא־יָמֻ֥תוּ גַם־הֵ֖ם גַּם־אַתֶּֽם׃</w:t>
      </w:r>
    </w:p>
    <w:p w14:paraId="6679926E"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Und sie sollen deine Anordnung versehen und die Anordnung des ganzen Zeltes; nur den Geräten des Heiligtums und dem Altar sollen sie nicht nahen, dass sie nicht sterben, sie und auch ihr.</w:t>
      </w:r>
    </w:p>
    <w:p w14:paraId="60F3730F"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05C15BA3">
          <v:rect id="_x0000_i1604" style="width:0;height:1.5pt" o:hralign="center" o:hrstd="t" o:hr="t" fillcolor="#a0a0a0" stroked="f"/>
        </w:pict>
      </w:r>
    </w:p>
    <w:p w14:paraId="7691E2E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Das Verb </w:t>
      </w:r>
      <w:r w:rsidRPr="0001206C">
        <w:rPr>
          <w:rFonts w:eastAsia="Times New Roman" w:cs="Times New Roman"/>
          <w:b/>
          <w:bCs/>
          <w:rtl/>
          <w:lang w:eastAsia="de-DE"/>
        </w:rPr>
        <w:t>וְשָׁמְרוּ</w:t>
      </w:r>
      <w:r w:rsidRPr="0001206C">
        <w:rPr>
          <w:rFonts w:eastAsia="Times New Roman" w:cs="Times New Roman"/>
          <w:rtl/>
          <w:lang w:eastAsia="de-DE"/>
        </w:rPr>
        <w:t xml:space="preserve"> </w:t>
      </w:r>
      <w:r w:rsidRPr="0001206C">
        <w:rPr>
          <w:rFonts w:eastAsia="Times New Roman" w:cs="Times New Roman"/>
          <w:lang w:eastAsia="de-DE"/>
        </w:rPr>
        <w:t xml:space="preserve">(Waw + Qal Perfekt, 3. m. pl. von </w:t>
      </w:r>
      <w:r w:rsidRPr="0001206C">
        <w:rPr>
          <w:rFonts w:eastAsia="Times New Roman" w:cs="Times New Roman"/>
          <w:b/>
          <w:bCs/>
          <w:rtl/>
          <w:lang w:eastAsia="de-DE"/>
        </w:rPr>
        <w:t>שׁמר</w:t>
      </w:r>
      <w:r w:rsidRPr="0001206C">
        <w:rPr>
          <w:rFonts w:eastAsia="Times New Roman" w:cs="Times New Roman"/>
          <w:lang w:eastAsia="de-DE"/>
        </w:rPr>
        <w:t xml:space="preserve">) bedeutet „und sie sollen versehen, bewahren". Das Weqatal hat imperativen Charakter. Das erste Objekt </w:t>
      </w:r>
      <w:r w:rsidRPr="0001206C">
        <w:rPr>
          <w:rFonts w:eastAsia="Times New Roman" w:cs="Times New Roman"/>
          <w:b/>
          <w:bCs/>
          <w:rtl/>
          <w:lang w:eastAsia="de-DE"/>
        </w:rPr>
        <w:t>מִשְׁמַרְתְּךָ</w:t>
      </w:r>
      <w:r w:rsidRPr="0001206C">
        <w:rPr>
          <w:rFonts w:eastAsia="Times New Roman" w:cs="Times New Roman"/>
          <w:rtl/>
          <w:lang w:eastAsia="de-DE"/>
        </w:rPr>
        <w:t xml:space="preserve"> </w:t>
      </w:r>
      <w:r w:rsidRPr="0001206C">
        <w:rPr>
          <w:rFonts w:eastAsia="Times New Roman" w:cs="Times New Roman"/>
          <w:lang w:eastAsia="de-DE"/>
        </w:rPr>
        <w:t>ist „deine Anordnung, deine Dienstpflicht" (</w:t>
      </w:r>
      <w:r w:rsidRPr="0001206C">
        <w:rPr>
          <w:rFonts w:eastAsia="Times New Roman" w:cs="Times New Roman"/>
          <w:b/>
          <w:bCs/>
          <w:rtl/>
          <w:lang w:eastAsia="de-DE"/>
        </w:rPr>
        <w:t>מִשְׁמֶרֶת</w:t>
      </w:r>
      <w:r w:rsidRPr="0001206C">
        <w:rPr>
          <w:rFonts w:eastAsia="Times New Roman" w:cs="Times New Roman"/>
          <w:rtl/>
          <w:lang w:eastAsia="de-DE"/>
        </w:rPr>
        <w:t xml:space="preserve"> </w:t>
      </w:r>
      <w:r w:rsidRPr="0001206C">
        <w:rPr>
          <w:rFonts w:eastAsia="Times New Roman" w:cs="Times New Roman"/>
          <w:lang w:eastAsia="de-DE"/>
        </w:rPr>
        <w:t xml:space="preserve">von </w:t>
      </w:r>
      <w:r w:rsidRPr="0001206C">
        <w:rPr>
          <w:rFonts w:eastAsia="Times New Roman" w:cs="Times New Roman"/>
          <w:b/>
          <w:bCs/>
          <w:rtl/>
          <w:lang w:eastAsia="de-DE"/>
        </w:rPr>
        <w:t>שׁמר</w:t>
      </w:r>
      <w:r w:rsidRPr="0001206C">
        <w:rPr>
          <w:rFonts w:eastAsia="Times New Roman" w:cs="Times New Roman"/>
          <w:rtl/>
          <w:lang w:eastAsia="de-DE"/>
        </w:rPr>
        <w:t xml:space="preserve"> </w:t>
      </w:r>
      <w:r w:rsidRPr="0001206C">
        <w:rPr>
          <w:rFonts w:eastAsia="Times New Roman" w:cs="Times New Roman"/>
          <w:lang w:eastAsia="de-DE"/>
        </w:rPr>
        <w:t xml:space="preserve">mit Possessivsuffix 2. m. sg.). Das koordinierte zweite Objekt </w:t>
      </w:r>
      <w:r w:rsidRPr="0001206C">
        <w:rPr>
          <w:rFonts w:eastAsia="Times New Roman" w:cs="Times New Roman"/>
          <w:b/>
          <w:bCs/>
          <w:rtl/>
          <w:lang w:eastAsia="de-DE"/>
        </w:rPr>
        <w:t>וּמִשְׁמֶרֶת כָּל־הָאֹהֶל</w:t>
      </w:r>
      <w:r w:rsidRPr="0001206C">
        <w:rPr>
          <w:rFonts w:eastAsia="Times New Roman" w:cs="Times New Roman"/>
          <w:rtl/>
          <w:lang w:eastAsia="de-DE"/>
        </w:rPr>
        <w:t xml:space="preserve"> </w:t>
      </w:r>
      <w:r w:rsidRPr="0001206C">
        <w:rPr>
          <w:rFonts w:eastAsia="Times New Roman" w:cs="Times New Roman"/>
          <w:lang w:eastAsia="de-DE"/>
        </w:rPr>
        <w:t>ist „und die Anordnung des ganzen Zeltes" (</w:t>
      </w:r>
      <w:r w:rsidRPr="0001206C">
        <w:rPr>
          <w:rFonts w:eastAsia="Times New Roman" w:cs="Times New Roman"/>
          <w:b/>
          <w:bCs/>
          <w:rtl/>
          <w:lang w:eastAsia="de-DE"/>
        </w:rPr>
        <w:t>כָּל</w:t>
      </w:r>
      <w:r w:rsidRPr="0001206C">
        <w:rPr>
          <w:rFonts w:eastAsia="Times New Roman" w:cs="Times New Roman"/>
          <w:rtl/>
          <w:lang w:eastAsia="de-DE"/>
        </w:rPr>
        <w:t xml:space="preserve"> </w:t>
      </w:r>
      <w:r w:rsidRPr="0001206C">
        <w:rPr>
          <w:rFonts w:eastAsia="Times New Roman" w:cs="Times New Roman"/>
          <w:lang w:eastAsia="de-DE"/>
        </w:rPr>
        <w:t xml:space="preserve">im Constructus vor </w:t>
      </w:r>
      <w:r w:rsidRPr="0001206C">
        <w:rPr>
          <w:rFonts w:eastAsia="Times New Roman" w:cs="Times New Roman"/>
          <w:b/>
          <w:bCs/>
          <w:rtl/>
          <w:lang w:eastAsia="de-DE"/>
        </w:rPr>
        <w:t>הָאֹהֶל</w:t>
      </w:r>
      <w:r w:rsidRPr="0001206C">
        <w:rPr>
          <w:rFonts w:eastAsia="Times New Roman" w:cs="Times New Roman"/>
          <w:lang w:eastAsia="de-DE"/>
        </w:rPr>
        <w:t>).</w:t>
      </w:r>
    </w:p>
    <w:p w14:paraId="55BAE407"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restriktive Partikel </w:t>
      </w:r>
      <w:r w:rsidRPr="0001206C">
        <w:rPr>
          <w:rFonts w:eastAsia="Times New Roman" w:cs="Times New Roman"/>
          <w:b/>
          <w:bCs/>
          <w:rtl/>
          <w:lang w:eastAsia="de-DE"/>
        </w:rPr>
        <w:t>אַךְ</w:t>
      </w:r>
      <w:r w:rsidRPr="0001206C">
        <w:rPr>
          <w:rFonts w:eastAsia="Times New Roman" w:cs="Times New Roman"/>
          <w:rtl/>
          <w:lang w:eastAsia="de-DE"/>
        </w:rPr>
        <w:t xml:space="preserve"> </w:t>
      </w:r>
      <w:r w:rsidRPr="0001206C">
        <w:rPr>
          <w:rFonts w:eastAsia="Times New Roman" w:cs="Times New Roman"/>
          <w:lang w:eastAsia="de-DE"/>
        </w:rPr>
        <w:t xml:space="preserve">(„nur, jedoch") leitet die entscheidende Einschränkung ein. Die doppelte Präpositionalphrase </w:t>
      </w:r>
      <w:r w:rsidRPr="0001206C">
        <w:rPr>
          <w:rFonts w:eastAsia="Times New Roman" w:cs="Times New Roman"/>
          <w:b/>
          <w:bCs/>
          <w:rtl/>
          <w:lang w:eastAsia="de-DE"/>
        </w:rPr>
        <w:t>אֶל־כְּלֵי הַקֹּדֶשׁ וְאֶל־הַמִּזְבֵּחַ</w:t>
      </w:r>
      <w:r w:rsidRPr="0001206C">
        <w:rPr>
          <w:rFonts w:eastAsia="Times New Roman" w:cs="Times New Roman"/>
          <w:rtl/>
          <w:lang w:eastAsia="de-DE"/>
        </w:rPr>
        <w:t xml:space="preserve"> </w:t>
      </w:r>
      <w:r w:rsidRPr="0001206C">
        <w:rPr>
          <w:rFonts w:eastAsia="Times New Roman" w:cs="Times New Roman"/>
          <w:lang w:eastAsia="de-DE"/>
        </w:rPr>
        <w:t xml:space="preserve">nennt die verbotenen Bereiche: </w:t>
      </w:r>
      <w:r w:rsidRPr="0001206C">
        <w:rPr>
          <w:rFonts w:eastAsia="Times New Roman" w:cs="Times New Roman"/>
          <w:b/>
          <w:bCs/>
          <w:rtl/>
          <w:lang w:eastAsia="de-DE"/>
        </w:rPr>
        <w:t>כְּלֵי הַקֹּדֶשׁ</w:t>
      </w:r>
      <w:r w:rsidRPr="0001206C">
        <w:rPr>
          <w:rFonts w:eastAsia="Times New Roman" w:cs="Times New Roman"/>
          <w:rtl/>
          <w:lang w:eastAsia="de-DE"/>
        </w:rPr>
        <w:t xml:space="preserve"> </w:t>
      </w:r>
      <w:r w:rsidRPr="0001206C">
        <w:rPr>
          <w:rFonts w:eastAsia="Times New Roman" w:cs="Times New Roman"/>
          <w:lang w:eastAsia="de-DE"/>
        </w:rPr>
        <w:t xml:space="preserve">(„Geräte des Heiligtums", Constructus Plural mit Artikel) und </w:t>
      </w:r>
      <w:r w:rsidRPr="0001206C">
        <w:rPr>
          <w:rFonts w:eastAsia="Times New Roman" w:cs="Times New Roman"/>
          <w:b/>
          <w:bCs/>
          <w:rtl/>
          <w:lang w:eastAsia="de-DE"/>
        </w:rPr>
        <w:t>הַמִּזְבֵּחַ</w:t>
      </w:r>
      <w:r w:rsidRPr="0001206C">
        <w:rPr>
          <w:rFonts w:eastAsia="Times New Roman" w:cs="Times New Roman"/>
          <w:rtl/>
          <w:lang w:eastAsia="de-DE"/>
        </w:rPr>
        <w:t xml:space="preserve"> </w:t>
      </w:r>
      <w:r w:rsidRPr="0001206C">
        <w:rPr>
          <w:rFonts w:eastAsia="Times New Roman" w:cs="Times New Roman"/>
          <w:lang w:eastAsia="de-DE"/>
        </w:rPr>
        <w:t xml:space="preserve">(„der Altar"). Die Negation </w:t>
      </w:r>
      <w:r w:rsidRPr="0001206C">
        <w:rPr>
          <w:rFonts w:eastAsia="Times New Roman" w:cs="Times New Roman"/>
          <w:b/>
          <w:bCs/>
          <w:rtl/>
          <w:lang w:eastAsia="de-DE"/>
        </w:rPr>
        <w:t>לֹא</w:t>
      </w:r>
      <w:r w:rsidRPr="0001206C">
        <w:rPr>
          <w:rFonts w:eastAsia="Times New Roman" w:cs="Times New Roman"/>
          <w:rtl/>
          <w:lang w:eastAsia="de-DE"/>
        </w:rPr>
        <w:t xml:space="preserve"> </w:t>
      </w:r>
      <w:r w:rsidRPr="0001206C">
        <w:rPr>
          <w:rFonts w:eastAsia="Times New Roman" w:cs="Times New Roman"/>
          <w:lang w:eastAsia="de-DE"/>
        </w:rPr>
        <w:t xml:space="preserve">mit </w:t>
      </w:r>
      <w:r w:rsidRPr="0001206C">
        <w:rPr>
          <w:rFonts w:eastAsia="Times New Roman" w:cs="Times New Roman"/>
          <w:b/>
          <w:bCs/>
          <w:rtl/>
          <w:lang w:eastAsia="de-DE"/>
        </w:rPr>
        <w:t>יִקְרָבוּ</w:t>
      </w:r>
      <w:r w:rsidRPr="0001206C">
        <w:rPr>
          <w:rFonts w:eastAsia="Times New Roman" w:cs="Times New Roman"/>
          <w:rtl/>
          <w:lang w:eastAsia="de-DE"/>
        </w:rPr>
        <w:t xml:space="preserve"> </w:t>
      </w:r>
      <w:r w:rsidRPr="0001206C">
        <w:rPr>
          <w:rFonts w:eastAsia="Times New Roman" w:cs="Times New Roman"/>
          <w:lang w:eastAsia="de-DE"/>
        </w:rPr>
        <w:t xml:space="preserve">(Qal Imperfekt, 3. m. pl. von </w:t>
      </w:r>
      <w:r w:rsidRPr="0001206C">
        <w:rPr>
          <w:rFonts w:eastAsia="Times New Roman" w:cs="Times New Roman"/>
          <w:b/>
          <w:bCs/>
          <w:rtl/>
          <w:lang w:eastAsia="de-DE"/>
        </w:rPr>
        <w:t>קרב</w:t>
      </w:r>
      <w:r w:rsidRPr="0001206C">
        <w:rPr>
          <w:rFonts w:eastAsia="Times New Roman" w:cs="Times New Roman"/>
          <w:lang w:eastAsia="de-DE"/>
        </w:rPr>
        <w:t>, „sie sollen nicht nahen") verbietet kategorisch die Berührung.</w:t>
      </w:r>
    </w:p>
    <w:p w14:paraId="7DCAC33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Konsequenz </w:t>
      </w:r>
      <w:r w:rsidRPr="0001206C">
        <w:rPr>
          <w:rFonts w:eastAsia="Times New Roman" w:cs="Times New Roman"/>
          <w:b/>
          <w:bCs/>
          <w:rtl/>
          <w:lang w:eastAsia="de-DE"/>
        </w:rPr>
        <w:t>וְלֹא־יָמֻתוּ</w:t>
      </w:r>
      <w:r w:rsidRPr="0001206C">
        <w:rPr>
          <w:rFonts w:eastAsia="Times New Roman" w:cs="Times New Roman"/>
          <w:rtl/>
          <w:lang w:eastAsia="de-DE"/>
        </w:rPr>
        <w:t xml:space="preserve"> </w:t>
      </w:r>
      <w:r w:rsidRPr="0001206C">
        <w:rPr>
          <w:rFonts w:eastAsia="Times New Roman" w:cs="Times New Roman"/>
          <w:lang w:eastAsia="de-DE"/>
        </w:rPr>
        <w:t xml:space="preserve">(Waw + Qal Imperfekt, 3. m. pl. von </w:t>
      </w:r>
      <w:r w:rsidRPr="0001206C">
        <w:rPr>
          <w:rFonts w:eastAsia="Times New Roman" w:cs="Times New Roman"/>
          <w:b/>
          <w:bCs/>
          <w:rtl/>
          <w:lang w:eastAsia="de-DE"/>
        </w:rPr>
        <w:t>מות</w:t>
      </w:r>
      <w:r w:rsidRPr="0001206C">
        <w:rPr>
          <w:rFonts w:eastAsia="Times New Roman" w:cs="Times New Roman"/>
          <w:rtl/>
          <w:lang w:eastAsia="de-DE"/>
        </w:rPr>
        <w:t xml:space="preserve"> </w:t>
      </w:r>
      <w:r w:rsidRPr="0001206C">
        <w:rPr>
          <w:rFonts w:eastAsia="Times New Roman" w:cs="Times New Roman"/>
          <w:lang w:eastAsia="de-DE"/>
        </w:rPr>
        <w:t xml:space="preserve">mit Negation) bedeutet „und sie sollen nicht sterben" – ein finaler Nebensatz. Die doppelte emphatische Phrase </w:t>
      </w:r>
      <w:r w:rsidRPr="0001206C">
        <w:rPr>
          <w:rFonts w:eastAsia="Times New Roman" w:cs="Times New Roman"/>
          <w:b/>
          <w:bCs/>
          <w:rtl/>
          <w:lang w:eastAsia="de-DE"/>
        </w:rPr>
        <w:t>גַם־הֵם גַּם־אַתֶּם</w:t>
      </w:r>
      <w:r w:rsidRPr="0001206C">
        <w:rPr>
          <w:rFonts w:eastAsia="Times New Roman" w:cs="Times New Roman"/>
          <w:rtl/>
          <w:lang w:eastAsia="de-DE"/>
        </w:rPr>
        <w:t xml:space="preserve"> </w:t>
      </w:r>
      <w:r w:rsidRPr="0001206C">
        <w:rPr>
          <w:rFonts w:eastAsia="Times New Roman" w:cs="Times New Roman"/>
          <w:lang w:eastAsia="de-DE"/>
        </w:rPr>
        <w:t xml:space="preserve">(„sowohl sie als auch ihr") mit der Partikel </w:t>
      </w:r>
      <w:r w:rsidRPr="0001206C">
        <w:rPr>
          <w:rFonts w:eastAsia="Times New Roman" w:cs="Times New Roman"/>
          <w:b/>
          <w:bCs/>
          <w:rtl/>
          <w:lang w:eastAsia="de-DE"/>
        </w:rPr>
        <w:t>גַם</w:t>
      </w:r>
      <w:r w:rsidRPr="0001206C">
        <w:rPr>
          <w:rFonts w:eastAsia="Times New Roman" w:cs="Times New Roman"/>
          <w:rtl/>
          <w:lang w:eastAsia="de-DE"/>
        </w:rPr>
        <w:t xml:space="preserve"> </w:t>
      </w:r>
      <w:r w:rsidRPr="0001206C">
        <w:rPr>
          <w:rFonts w:eastAsia="Times New Roman" w:cs="Times New Roman"/>
          <w:lang w:eastAsia="de-DE"/>
        </w:rPr>
        <w:t>(„auch, sowohl") zeigt, dass beide Gruppen sterben würden: die übergriffigen Leviten und die verantwortlichen Priester.</w:t>
      </w:r>
    </w:p>
    <w:p w14:paraId="66B0440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folgt dem hebräischen Text eng.</w:t>
      </w:r>
    </w:p>
    <w:p w14:paraId="132E0CEC"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Satzstruktur zeigt einen Hauptsatz mit Verb und zwei koordinierten Objekten. Eine durch restriktive Partikel eingeleitete Einschränkung folgt mit doppelter Präpositionalphrase, Negation und Verb. Ein finaler Nebensatz mit doppelter emphatischer Subjektangabe schließt ab.</w:t>
      </w:r>
    </w:p>
    <w:p w14:paraId="68B26770"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definiert präzise die Grenze: Die Leviten dienen am Zelt, dürfen aber die heiligsten Gegenstände nicht berühren – bei Todesstrafe für beide Seiten.</w:t>
      </w:r>
    </w:p>
    <w:p w14:paraId="1F372C40"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18,4</w:t>
      </w:r>
    </w:p>
    <w:p w14:paraId="22A950B1"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וְנִלְו֣וּ עָלֶ֔יךָ וְשָֽׁמְר֗וּ אֶת־מִשְׁמֶ֨רֶת֙ אֹ֣הֶל מוֹעֵ֔ד לְכֹ֖ל עֲבֹדַ֣ת הָאֹ֑הֶל וְזָ֖ר לֹא־יִקְרַ֥ב אֲלֵיכֶֽם׃</w:t>
      </w:r>
    </w:p>
    <w:p w14:paraId="54896E0A"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lastRenderedPageBreak/>
        <w:t>Deutsch:</w:t>
      </w:r>
      <w:r w:rsidRPr="0001206C">
        <w:rPr>
          <w:rFonts w:eastAsia="Times New Roman" w:cs="Times New Roman"/>
          <w:lang w:eastAsia="de-DE"/>
        </w:rPr>
        <w:t xml:space="preserve"> Und sie sollen sich dir anschließen und der Anordnung des Zeltes der Begegnung versehen nach allem Dienst des Zeltes; aber kein Fremder soll euch nahen.</w:t>
      </w:r>
    </w:p>
    <w:p w14:paraId="374F6A5F"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65E54186">
          <v:rect id="_x0000_i1605" style="width:0;height:1.5pt" o:hralign="center" o:hrstd="t" o:hr="t" fillcolor="#a0a0a0" stroked="f"/>
        </w:pict>
      </w:r>
    </w:p>
    <w:p w14:paraId="7CB0983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Das Verb </w:t>
      </w:r>
      <w:r w:rsidRPr="0001206C">
        <w:rPr>
          <w:rFonts w:eastAsia="Times New Roman" w:cs="Times New Roman"/>
          <w:b/>
          <w:bCs/>
          <w:rtl/>
          <w:lang w:eastAsia="de-DE"/>
        </w:rPr>
        <w:t>וְנִלְווּ</w:t>
      </w:r>
      <w:r w:rsidRPr="0001206C">
        <w:rPr>
          <w:rFonts w:eastAsia="Times New Roman" w:cs="Times New Roman"/>
          <w:rtl/>
          <w:lang w:eastAsia="de-DE"/>
        </w:rPr>
        <w:t xml:space="preserve"> </w:t>
      </w:r>
      <w:r w:rsidRPr="0001206C">
        <w:rPr>
          <w:rFonts w:eastAsia="Times New Roman" w:cs="Times New Roman"/>
          <w:lang w:eastAsia="de-DE"/>
        </w:rPr>
        <w:t xml:space="preserve">(Waw + Nifal Perfekt, 3. m. pl. von </w:t>
      </w:r>
      <w:r w:rsidRPr="0001206C">
        <w:rPr>
          <w:rFonts w:eastAsia="Times New Roman" w:cs="Times New Roman"/>
          <w:b/>
          <w:bCs/>
          <w:rtl/>
          <w:lang w:eastAsia="de-DE"/>
        </w:rPr>
        <w:t>לוה</w:t>
      </w:r>
      <w:r w:rsidRPr="0001206C">
        <w:rPr>
          <w:rFonts w:eastAsia="Times New Roman" w:cs="Times New Roman"/>
          <w:lang w:eastAsia="de-DE"/>
        </w:rPr>
        <w:t xml:space="preserve">) wiederholt das Wortspiel aus Vers 2: „und sie sollen sich anschließen". </w:t>
      </w:r>
      <w:r w:rsidRPr="0001206C">
        <w:rPr>
          <w:rFonts w:eastAsia="Times New Roman" w:cs="Times New Roman"/>
          <w:b/>
          <w:bCs/>
          <w:rtl/>
          <w:lang w:eastAsia="de-DE"/>
        </w:rPr>
        <w:t>עָלֶיךָ</w:t>
      </w:r>
      <w:r w:rsidRPr="0001206C">
        <w:rPr>
          <w:rFonts w:eastAsia="Times New Roman" w:cs="Times New Roman"/>
          <w:rtl/>
          <w:lang w:eastAsia="de-DE"/>
        </w:rPr>
        <w:t xml:space="preserve"> </w:t>
      </w:r>
      <w:r w:rsidRPr="0001206C">
        <w:rPr>
          <w:rFonts w:eastAsia="Times New Roman" w:cs="Times New Roman"/>
          <w:lang w:eastAsia="de-DE"/>
        </w:rPr>
        <w:t xml:space="preserve">(„an dich") gibt die Richtung an. Das koordinierte Verb </w:t>
      </w:r>
      <w:r w:rsidRPr="0001206C">
        <w:rPr>
          <w:rFonts w:eastAsia="Times New Roman" w:cs="Times New Roman"/>
          <w:b/>
          <w:bCs/>
          <w:rtl/>
          <w:lang w:eastAsia="de-DE"/>
        </w:rPr>
        <w:t>וְשָׁמְרוּ</w:t>
      </w:r>
      <w:r w:rsidRPr="0001206C">
        <w:rPr>
          <w:rFonts w:eastAsia="Times New Roman" w:cs="Times New Roman"/>
          <w:rtl/>
          <w:lang w:eastAsia="de-DE"/>
        </w:rPr>
        <w:t xml:space="preserve"> </w:t>
      </w:r>
      <w:r w:rsidRPr="0001206C">
        <w:rPr>
          <w:rFonts w:eastAsia="Times New Roman" w:cs="Times New Roman"/>
          <w:lang w:eastAsia="de-DE"/>
        </w:rPr>
        <w:t xml:space="preserve">(Waw + Qal Perfekt, 3. m. pl. von </w:t>
      </w:r>
      <w:r w:rsidRPr="0001206C">
        <w:rPr>
          <w:rFonts w:eastAsia="Times New Roman" w:cs="Times New Roman"/>
          <w:b/>
          <w:bCs/>
          <w:rtl/>
          <w:lang w:eastAsia="de-DE"/>
        </w:rPr>
        <w:t>שׁמר</w:t>
      </w:r>
      <w:r w:rsidRPr="0001206C">
        <w:rPr>
          <w:rFonts w:eastAsia="Times New Roman" w:cs="Times New Roman"/>
          <w:lang w:eastAsia="de-DE"/>
        </w:rPr>
        <w:t xml:space="preserve">) bedeutet „und sie sollen versehen". Das Objekt </w:t>
      </w:r>
      <w:r w:rsidRPr="0001206C">
        <w:rPr>
          <w:rFonts w:eastAsia="Times New Roman" w:cs="Times New Roman"/>
          <w:b/>
          <w:bCs/>
          <w:rtl/>
          <w:lang w:eastAsia="de-DE"/>
        </w:rPr>
        <w:t>אֶת־מִשְׁמֶרֶת אֹהֶל מוֹעֵד</w:t>
      </w:r>
      <w:r w:rsidRPr="0001206C">
        <w:rPr>
          <w:rFonts w:eastAsia="Times New Roman" w:cs="Times New Roman"/>
          <w:rtl/>
          <w:lang w:eastAsia="de-DE"/>
        </w:rPr>
        <w:t xml:space="preserve"> </w:t>
      </w:r>
      <w:r w:rsidRPr="0001206C">
        <w:rPr>
          <w:rFonts w:eastAsia="Times New Roman" w:cs="Times New Roman"/>
          <w:lang w:eastAsia="de-DE"/>
        </w:rPr>
        <w:t xml:space="preserve">ist „die Anordnung des Zeltes der Begegnung" (Constructus-Verbindung). Die Präposition </w:t>
      </w:r>
      <w:r w:rsidRPr="0001206C">
        <w:rPr>
          <w:rFonts w:eastAsia="Times New Roman" w:cs="Times New Roman"/>
          <w:b/>
          <w:bCs/>
          <w:rtl/>
          <w:lang w:eastAsia="de-DE"/>
        </w:rPr>
        <w:t>לְכֹל עֲבֹדַת הָאֹהֶל</w:t>
      </w:r>
      <w:r w:rsidRPr="0001206C">
        <w:rPr>
          <w:rFonts w:eastAsia="Times New Roman" w:cs="Times New Roman"/>
          <w:rtl/>
          <w:lang w:eastAsia="de-DE"/>
        </w:rPr>
        <w:t xml:space="preserve"> </w:t>
      </w:r>
      <w:r w:rsidRPr="0001206C">
        <w:rPr>
          <w:rFonts w:eastAsia="Times New Roman" w:cs="Times New Roman"/>
          <w:lang w:eastAsia="de-DE"/>
        </w:rPr>
        <w:t xml:space="preserve">(„nach allem Dienst des Zeltes") spezifiziert den Umfang: </w:t>
      </w:r>
      <w:r w:rsidRPr="0001206C">
        <w:rPr>
          <w:rFonts w:eastAsia="Times New Roman" w:cs="Times New Roman"/>
          <w:b/>
          <w:bCs/>
          <w:rtl/>
          <w:lang w:eastAsia="de-DE"/>
        </w:rPr>
        <w:t>לְ</w:t>
      </w:r>
      <w:r w:rsidRPr="0001206C">
        <w:rPr>
          <w:rFonts w:eastAsia="Times New Roman" w:cs="Times New Roman"/>
          <w:rtl/>
          <w:lang w:eastAsia="de-DE"/>
        </w:rPr>
        <w:t xml:space="preserve"> </w:t>
      </w:r>
      <w:r w:rsidRPr="0001206C">
        <w:rPr>
          <w:rFonts w:eastAsia="Times New Roman" w:cs="Times New Roman"/>
          <w:lang w:eastAsia="de-DE"/>
        </w:rPr>
        <w:t xml:space="preserve">„gemäß", </w:t>
      </w:r>
      <w:r w:rsidRPr="0001206C">
        <w:rPr>
          <w:rFonts w:eastAsia="Times New Roman" w:cs="Times New Roman"/>
          <w:b/>
          <w:bCs/>
          <w:rtl/>
          <w:lang w:eastAsia="de-DE"/>
        </w:rPr>
        <w:t>כֹּל</w:t>
      </w:r>
      <w:r w:rsidRPr="0001206C">
        <w:rPr>
          <w:rFonts w:eastAsia="Times New Roman" w:cs="Times New Roman"/>
          <w:rtl/>
          <w:lang w:eastAsia="de-DE"/>
        </w:rPr>
        <w:t xml:space="preserve"> </w:t>
      </w:r>
      <w:r w:rsidRPr="0001206C">
        <w:rPr>
          <w:rFonts w:eastAsia="Times New Roman" w:cs="Times New Roman"/>
          <w:lang w:eastAsia="de-DE"/>
        </w:rPr>
        <w:t xml:space="preserve">im Constructus, </w:t>
      </w:r>
      <w:r w:rsidRPr="0001206C">
        <w:rPr>
          <w:rFonts w:eastAsia="Times New Roman" w:cs="Times New Roman"/>
          <w:b/>
          <w:bCs/>
          <w:rtl/>
          <w:lang w:eastAsia="de-DE"/>
        </w:rPr>
        <w:t>עֲבֹדַת הָאֹהֶל</w:t>
      </w:r>
      <w:r w:rsidRPr="0001206C">
        <w:rPr>
          <w:rFonts w:eastAsia="Times New Roman" w:cs="Times New Roman"/>
          <w:rtl/>
          <w:lang w:eastAsia="de-DE"/>
        </w:rPr>
        <w:t xml:space="preserve"> </w:t>
      </w:r>
      <w:r w:rsidRPr="0001206C">
        <w:rPr>
          <w:rFonts w:eastAsia="Times New Roman" w:cs="Times New Roman"/>
          <w:lang w:eastAsia="de-DE"/>
        </w:rPr>
        <w:t>weitere Constructus-Verbindung.</w:t>
      </w:r>
    </w:p>
    <w:p w14:paraId="1DCBC6A1"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adversative Konjunktion </w:t>
      </w:r>
      <w:r w:rsidRPr="0001206C">
        <w:rPr>
          <w:rFonts w:eastAsia="Times New Roman" w:cs="Times New Roman"/>
          <w:b/>
          <w:bCs/>
          <w:rtl/>
          <w:lang w:eastAsia="de-DE"/>
        </w:rPr>
        <w:t>וְ</w:t>
      </w:r>
      <w:r w:rsidRPr="0001206C">
        <w:rPr>
          <w:rFonts w:eastAsia="Times New Roman" w:cs="Times New Roman"/>
          <w:rtl/>
          <w:lang w:eastAsia="de-DE"/>
        </w:rPr>
        <w:t xml:space="preserve"> </w:t>
      </w:r>
      <w:r w:rsidRPr="0001206C">
        <w:rPr>
          <w:rFonts w:eastAsia="Times New Roman" w:cs="Times New Roman"/>
          <w:lang w:eastAsia="de-DE"/>
        </w:rPr>
        <w:t xml:space="preserve">leitet den Kontrast ein. </w:t>
      </w:r>
      <w:r w:rsidRPr="0001206C">
        <w:rPr>
          <w:rFonts w:eastAsia="Times New Roman" w:cs="Times New Roman"/>
          <w:b/>
          <w:bCs/>
          <w:rtl/>
          <w:lang w:eastAsia="de-DE"/>
        </w:rPr>
        <w:t>זָר</w:t>
      </w:r>
      <w:r w:rsidRPr="0001206C">
        <w:rPr>
          <w:rFonts w:eastAsia="Times New Roman" w:cs="Times New Roman"/>
          <w:rtl/>
          <w:lang w:eastAsia="de-DE"/>
        </w:rPr>
        <w:t xml:space="preserve"> </w:t>
      </w:r>
      <w:r w:rsidRPr="0001206C">
        <w:rPr>
          <w:rFonts w:eastAsia="Times New Roman" w:cs="Times New Roman"/>
          <w:lang w:eastAsia="de-DE"/>
        </w:rPr>
        <w:t xml:space="preserve">(„Fremder, Außenstehender") bezeichnet jeden Nicht-Leviten. Die Negation </w:t>
      </w:r>
      <w:r w:rsidRPr="0001206C">
        <w:rPr>
          <w:rFonts w:eastAsia="Times New Roman" w:cs="Times New Roman"/>
          <w:b/>
          <w:bCs/>
          <w:rtl/>
          <w:lang w:eastAsia="de-DE"/>
        </w:rPr>
        <w:t>לֹא</w:t>
      </w:r>
      <w:r w:rsidRPr="0001206C">
        <w:rPr>
          <w:rFonts w:eastAsia="Times New Roman" w:cs="Times New Roman"/>
          <w:rtl/>
          <w:lang w:eastAsia="de-DE"/>
        </w:rPr>
        <w:t xml:space="preserve"> </w:t>
      </w:r>
      <w:r w:rsidRPr="0001206C">
        <w:rPr>
          <w:rFonts w:eastAsia="Times New Roman" w:cs="Times New Roman"/>
          <w:lang w:eastAsia="de-DE"/>
        </w:rPr>
        <w:t xml:space="preserve">mit </w:t>
      </w:r>
      <w:r w:rsidRPr="0001206C">
        <w:rPr>
          <w:rFonts w:eastAsia="Times New Roman" w:cs="Times New Roman"/>
          <w:b/>
          <w:bCs/>
          <w:rtl/>
          <w:lang w:eastAsia="de-DE"/>
        </w:rPr>
        <w:t>יִקְרַב</w:t>
      </w:r>
      <w:r w:rsidRPr="0001206C">
        <w:rPr>
          <w:rFonts w:eastAsia="Times New Roman" w:cs="Times New Roman"/>
          <w:rtl/>
          <w:lang w:eastAsia="de-DE"/>
        </w:rPr>
        <w:t xml:space="preserve"> </w:t>
      </w:r>
      <w:r w:rsidRPr="0001206C">
        <w:rPr>
          <w:rFonts w:eastAsia="Times New Roman" w:cs="Times New Roman"/>
          <w:lang w:eastAsia="de-DE"/>
        </w:rPr>
        <w:t xml:space="preserve">(Qal Imperfekt, 3. m. sg. von </w:t>
      </w:r>
      <w:r w:rsidRPr="0001206C">
        <w:rPr>
          <w:rFonts w:eastAsia="Times New Roman" w:cs="Times New Roman"/>
          <w:b/>
          <w:bCs/>
          <w:rtl/>
          <w:lang w:eastAsia="de-DE"/>
        </w:rPr>
        <w:t>קרב</w:t>
      </w:r>
      <w:r w:rsidRPr="0001206C">
        <w:rPr>
          <w:rFonts w:eastAsia="Times New Roman" w:cs="Times New Roman"/>
          <w:lang w:eastAsia="de-DE"/>
        </w:rPr>
        <w:t xml:space="preserve">, „er soll nahen") verbietet jede Annäherung. </w:t>
      </w:r>
      <w:r w:rsidRPr="0001206C">
        <w:rPr>
          <w:rFonts w:eastAsia="Times New Roman" w:cs="Times New Roman"/>
          <w:b/>
          <w:bCs/>
          <w:rtl/>
          <w:lang w:eastAsia="de-DE"/>
        </w:rPr>
        <w:t>אֲלֵיכֶם</w:t>
      </w:r>
      <w:r w:rsidRPr="0001206C">
        <w:rPr>
          <w:rFonts w:eastAsia="Times New Roman" w:cs="Times New Roman"/>
          <w:rtl/>
          <w:lang w:eastAsia="de-DE"/>
        </w:rPr>
        <w:t xml:space="preserve"> </w:t>
      </w:r>
      <w:r w:rsidRPr="0001206C">
        <w:rPr>
          <w:rFonts w:eastAsia="Times New Roman" w:cs="Times New Roman"/>
          <w:lang w:eastAsia="de-DE"/>
        </w:rPr>
        <w:t>(„zu euch") mit Pluralsuffix 2. m. bezieht sich auf Priester und Leviten zusammen.</w:t>
      </w:r>
    </w:p>
    <w:p w14:paraId="2D8FC9C2"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folgt dem hebräischen Text.</w:t>
      </w:r>
    </w:p>
    <w:p w14:paraId="003BE4F5"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Satzstruktur zeigt zwei koordinierte Hauptsätze mit Weqatal-Verben, Präposition bzw. Objekt und präpositionaler Ergänzung. Ein kontrastierender Hauptsatz mit Subjekt, Negation, Verb und Präpositionalphrase schließt ab.</w:t>
      </w:r>
    </w:p>
    <w:p w14:paraId="14CB3770"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wiederholt die levitische Aufgabe und fügt eine wichtige Schutzbestimmung hinzu: Kein Laie darf sich dem heiligen Bereich nähern – die Leviten fungieren als Puffer zwischen Volk und Heiligtum.</w:t>
      </w:r>
    </w:p>
    <w:p w14:paraId="531A9283"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18,5</w:t>
      </w:r>
    </w:p>
    <w:p w14:paraId="3D73971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וּשְׁמַרְתֶּ֗ם אֵ֚ת מִשְׁמֶ֣רֶת הַקֹּ֔דֶשׁ וְאֵ֖ת מִשְׁמֶ֣רֶת הַמִּזְבֵּ֑חַ וְלֹֽא־יִהְיֶ֥ה ע֛וֹד קֶ֖צֶף עַל־בְּנֵ֥י יִשְׂרָאֵֽל׃</w:t>
      </w:r>
    </w:p>
    <w:p w14:paraId="1678482A"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Und ihr sollt der Anordnung des Heiligtums und der Anordnung des Altars versehen, dass kein Zorn mehr über die Söhne Jisra'els komme.</w:t>
      </w:r>
    </w:p>
    <w:p w14:paraId="1F7541EF"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270F97B1">
          <v:rect id="_x0000_i1606" style="width:0;height:1.5pt" o:hralign="center" o:hrstd="t" o:hr="t" fillcolor="#a0a0a0" stroked="f"/>
        </w:pict>
      </w:r>
    </w:p>
    <w:p w14:paraId="706F3D05"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Das Verb </w:t>
      </w:r>
      <w:r w:rsidRPr="0001206C">
        <w:rPr>
          <w:rFonts w:eastAsia="Times New Roman" w:cs="Times New Roman"/>
          <w:b/>
          <w:bCs/>
          <w:rtl/>
          <w:lang w:eastAsia="de-DE"/>
        </w:rPr>
        <w:t>וּשְׁמַרְתֶּם</w:t>
      </w:r>
      <w:r w:rsidRPr="0001206C">
        <w:rPr>
          <w:rFonts w:eastAsia="Times New Roman" w:cs="Times New Roman"/>
          <w:rtl/>
          <w:lang w:eastAsia="de-DE"/>
        </w:rPr>
        <w:t xml:space="preserve"> </w:t>
      </w:r>
      <w:r w:rsidRPr="0001206C">
        <w:rPr>
          <w:rFonts w:eastAsia="Times New Roman" w:cs="Times New Roman"/>
          <w:lang w:eastAsia="de-DE"/>
        </w:rPr>
        <w:t xml:space="preserve">(Waw + Qal Perfekt, 2. m. pl. von </w:t>
      </w:r>
      <w:r w:rsidRPr="0001206C">
        <w:rPr>
          <w:rFonts w:eastAsia="Times New Roman" w:cs="Times New Roman"/>
          <w:b/>
          <w:bCs/>
          <w:rtl/>
          <w:lang w:eastAsia="de-DE"/>
        </w:rPr>
        <w:t>שׁמר</w:t>
      </w:r>
      <w:r w:rsidRPr="0001206C">
        <w:rPr>
          <w:rFonts w:eastAsia="Times New Roman" w:cs="Times New Roman"/>
          <w:lang w:eastAsia="de-DE"/>
        </w:rPr>
        <w:t xml:space="preserve">) bedeutet „und ihr sollt versehen". Das Weqatal richtet sich an die Priester (Pluralsuffix 2. m.). Das doppelte Objekt </w:t>
      </w:r>
      <w:r w:rsidRPr="0001206C">
        <w:rPr>
          <w:rFonts w:eastAsia="Times New Roman" w:cs="Times New Roman"/>
          <w:b/>
          <w:bCs/>
          <w:rtl/>
          <w:lang w:eastAsia="de-DE"/>
        </w:rPr>
        <w:t>אֵת מִשְׁמֶרֶת הַקֹּדֶשׁ וְאֵת מִשְׁמֶרֶת הַמִּזְבֵּחַ</w:t>
      </w:r>
      <w:r w:rsidRPr="0001206C">
        <w:rPr>
          <w:rFonts w:eastAsia="Times New Roman" w:cs="Times New Roman"/>
          <w:rtl/>
          <w:lang w:eastAsia="de-DE"/>
        </w:rPr>
        <w:t xml:space="preserve"> </w:t>
      </w:r>
      <w:r w:rsidRPr="0001206C">
        <w:rPr>
          <w:rFonts w:eastAsia="Times New Roman" w:cs="Times New Roman"/>
          <w:lang w:eastAsia="de-DE"/>
        </w:rPr>
        <w:t>nennt die beiden höchsten Verantwortungsbereiche: „die Anordnung des Heiligtums" und „die Anordnung des Altars" (beide Constructus-Verbindungen). Diese sind den Priestern allein vorbehalten.</w:t>
      </w:r>
    </w:p>
    <w:p w14:paraId="7684E8CA" w14:textId="72AEA1C2"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finale </w:t>
      </w:r>
      <w:r w:rsidR="00F133EC">
        <w:rPr>
          <w:rFonts w:eastAsia="Times New Roman" w:cs="Times New Roman"/>
          <w:lang w:eastAsia="de-DE"/>
        </w:rPr>
        <w:t>Construct</w:t>
      </w:r>
      <w:r w:rsidRPr="0001206C">
        <w:rPr>
          <w:rFonts w:eastAsia="Times New Roman" w:cs="Times New Roman"/>
          <w:lang w:eastAsia="de-DE"/>
        </w:rPr>
        <w:t xml:space="preserve">ion </w:t>
      </w:r>
      <w:r w:rsidRPr="0001206C">
        <w:rPr>
          <w:rFonts w:eastAsia="Times New Roman" w:cs="Times New Roman"/>
          <w:b/>
          <w:bCs/>
          <w:rtl/>
          <w:lang w:eastAsia="de-DE"/>
        </w:rPr>
        <w:t>וְלֹא־יִהְיֶה עוֹד קֶצֶף עַל־בְּנֵי יִשְׂרָאֵל</w:t>
      </w:r>
      <w:r w:rsidRPr="0001206C">
        <w:rPr>
          <w:rFonts w:eastAsia="Times New Roman" w:cs="Times New Roman"/>
          <w:rtl/>
          <w:lang w:eastAsia="de-DE"/>
        </w:rPr>
        <w:t xml:space="preserve"> </w:t>
      </w:r>
      <w:r w:rsidRPr="0001206C">
        <w:rPr>
          <w:rFonts w:eastAsia="Times New Roman" w:cs="Times New Roman"/>
          <w:lang w:eastAsia="de-DE"/>
        </w:rPr>
        <w:t xml:space="preserve">drückt den Zweck aus: </w:t>
      </w:r>
      <w:r w:rsidRPr="0001206C">
        <w:rPr>
          <w:rFonts w:eastAsia="Times New Roman" w:cs="Times New Roman"/>
          <w:b/>
          <w:bCs/>
          <w:rtl/>
          <w:lang w:eastAsia="de-DE"/>
        </w:rPr>
        <w:t>וְ</w:t>
      </w:r>
      <w:r w:rsidRPr="0001206C">
        <w:rPr>
          <w:rFonts w:eastAsia="Times New Roman" w:cs="Times New Roman"/>
          <w:rtl/>
          <w:lang w:eastAsia="de-DE"/>
        </w:rPr>
        <w:t xml:space="preserve"> </w:t>
      </w:r>
      <w:r w:rsidRPr="0001206C">
        <w:rPr>
          <w:rFonts w:eastAsia="Times New Roman" w:cs="Times New Roman"/>
          <w:lang w:eastAsia="de-DE"/>
        </w:rPr>
        <w:t xml:space="preserve">Konjunktion, </w:t>
      </w:r>
      <w:r w:rsidRPr="0001206C">
        <w:rPr>
          <w:rFonts w:eastAsia="Times New Roman" w:cs="Times New Roman"/>
          <w:b/>
          <w:bCs/>
          <w:rtl/>
          <w:lang w:eastAsia="de-DE"/>
        </w:rPr>
        <w:t>לֹא</w:t>
      </w:r>
      <w:r w:rsidRPr="0001206C">
        <w:rPr>
          <w:rFonts w:eastAsia="Times New Roman" w:cs="Times New Roman"/>
          <w:rtl/>
          <w:lang w:eastAsia="de-DE"/>
        </w:rPr>
        <w:t xml:space="preserve"> </w:t>
      </w:r>
      <w:r w:rsidRPr="0001206C">
        <w:rPr>
          <w:rFonts w:eastAsia="Times New Roman" w:cs="Times New Roman"/>
          <w:lang w:eastAsia="de-DE"/>
        </w:rPr>
        <w:t xml:space="preserve">Negation, </w:t>
      </w:r>
      <w:r w:rsidRPr="0001206C">
        <w:rPr>
          <w:rFonts w:eastAsia="Times New Roman" w:cs="Times New Roman"/>
          <w:b/>
          <w:bCs/>
          <w:rtl/>
          <w:lang w:eastAsia="de-DE"/>
        </w:rPr>
        <w:t>יִהְיֶה</w:t>
      </w:r>
      <w:r w:rsidRPr="0001206C">
        <w:rPr>
          <w:rFonts w:eastAsia="Times New Roman" w:cs="Times New Roman"/>
          <w:rtl/>
          <w:lang w:eastAsia="de-DE"/>
        </w:rPr>
        <w:t xml:space="preserve"> </w:t>
      </w:r>
      <w:r w:rsidRPr="0001206C">
        <w:rPr>
          <w:rFonts w:eastAsia="Times New Roman" w:cs="Times New Roman"/>
          <w:lang w:eastAsia="de-DE"/>
        </w:rPr>
        <w:t xml:space="preserve">(Qal Imperfekt von </w:t>
      </w:r>
      <w:r w:rsidRPr="0001206C">
        <w:rPr>
          <w:rFonts w:eastAsia="Times New Roman" w:cs="Times New Roman"/>
          <w:b/>
          <w:bCs/>
          <w:rtl/>
          <w:lang w:eastAsia="de-DE"/>
        </w:rPr>
        <w:t>היה</w:t>
      </w:r>
      <w:r w:rsidRPr="0001206C">
        <w:rPr>
          <w:rFonts w:eastAsia="Times New Roman" w:cs="Times New Roman"/>
          <w:lang w:eastAsia="de-DE"/>
        </w:rPr>
        <w:t xml:space="preserve">, „er wird sein"), </w:t>
      </w:r>
      <w:r w:rsidRPr="0001206C">
        <w:rPr>
          <w:rFonts w:eastAsia="Times New Roman" w:cs="Times New Roman"/>
          <w:b/>
          <w:bCs/>
          <w:rtl/>
          <w:lang w:eastAsia="de-DE"/>
        </w:rPr>
        <w:t>עוֹד</w:t>
      </w:r>
      <w:r w:rsidRPr="0001206C">
        <w:rPr>
          <w:rFonts w:eastAsia="Times New Roman" w:cs="Times New Roman"/>
          <w:rtl/>
          <w:lang w:eastAsia="de-DE"/>
        </w:rPr>
        <w:t xml:space="preserve"> </w:t>
      </w:r>
      <w:r w:rsidRPr="0001206C">
        <w:rPr>
          <w:rFonts w:eastAsia="Times New Roman" w:cs="Times New Roman"/>
          <w:lang w:eastAsia="de-DE"/>
        </w:rPr>
        <w:t xml:space="preserve">(„noch, mehr"), </w:t>
      </w:r>
      <w:r w:rsidRPr="0001206C">
        <w:rPr>
          <w:rFonts w:eastAsia="Times New Roman" w:cs="Times New Roman"/>
          <w:b/>
          <w:bCs/>
          <w:rtl/>
          <w:lang w:eastAsia="de-DE"/>
        </w:rPr>
        <w:t>קֶצֶף</w:t>
      </w:r>
      <w:r w:rsidRPr="0001206C">
        <w:rPr>
          <w:rFonts w:eastAsia="Times New Roman" w:cs="Times New Roman"/>
          <w:rtl/>
          <w:lang w:eastAsia="de-DE"/>
        </w:rPr>
        <w:t xml:space="preserve"> </w:t>
      </w:r>
      <w:r w:rsidRPr="0001206C">
        <w:rPr>
          <w:rFonts w:eastAsia="Times New Roman" w:cs="Times New Roman"/>
          <w:lang w:eastAsia="de-DE"/>
        </w:rPr>
        <w:t xml:space="preserve">(„Zorn"), </w:t>
      </w:r>
      <w:r w:rsidRPr="0001206C">
        <w:rPr>
          <w:rFonts w:eastAsia="Times New Roman" w:cs="Times New Roman"/>
          <w:b/>
          <w:bCs/>
          <w:rtl/>
          <w:lang w:eastAsia="de-DE"/>
        </w:rPr>
        <w:t>עַל־בְּנֵי יִשְׂרָאֵל</w:t>
      </w:r>
      <w:r w:rsidRPr="0001206C">
        <w:rPr>
          <w:rFonts w:eastAsia="Times New Roman" w:cs="Times New Roman"/>
          <w:rtl/>
          <w:lang w:eastAsia="de-DE"/>
        </w:rPr>
        <w:t xml:space="preserve"> </w:t>
      </w:r>
      <w:r w:rsidRPr="0001206C">
        <w:rPr>
          <w:rFonts w:eastAsia="Times New Roman" w:cs="Times New Roman"/>
          <w:lang w:eastAsia="de-DE"/>
        </w:rPr>
        <w:t>(„über die Söhne Israels"). Die Phrase bedeutet „damit kein Zorn mehr über Israel komme". Dies ist die entscheidende Antwort auf die Angst aus 17,27-28: Durch die klare Aufgabenteilung wird künftiger göttlicher Zorn verhindert.</w:t>
      </w:r>
    </w:p>
    <w:p w14:paraId="63E396E0"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lastRenderedPageBreak/>
        <w:t>Die LXX</w:t>
      </w:r>
      <w:r w:rsidRPr="0001206C">
        <w:rPr>
          <w:rFonts w:eastAsia="Times New Roman" w:cs="Times New Roman"/>
          <w:lang w:eastAsia="de-DE"/>
        </w:rPr>
        <w:t xml:space="preserve"> folgt dem hebräischen Text.</w:t>
      </w:r>
    </w:p>
    <w:p w14:paraId="2D1FF534"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Satzstruktur zeigt einen Hauptsatz mit Verb und doppeltem koordinierten Objekt, gefolgt von einem finalen Nebensatz mit Negation, Verb, Adverb, Subjekt und Präpositionalphrase.</w:t>
      </w:r>
    </w:p>
    <w:p w14:paraId="3E0E9FF6"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nennt den Kern der priesterlichen Aufgabe und ihren heilsamen Zweck: Durch treue Erfüllung ihrer Pflichten schützen die Priester das Volk vor göttlichem Zorn.</w:t>
      </w:r>
    </w:p>
    <w:p w14:paraId="521B7290"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18,6</w:t>
      </w:r>
    </w:p>
    <w:p w14:paraId="0206E21F"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וַאֲנִ֗י הִנֵּ֤ה לָקַ֨חְתִּי֙ אֶת־אֲחֵיכֶ֣ם הַלְוִיִּ֔ם מִתּ֖וֹךְ בְּנֵ֣י יִשְׂרָאֵ֑ל לָכֶ֞ם מַתָּנָ֤ה נְתֻנִים֙ לַֽיהוָ֔ה לַעֲבֹ֕ד אֶת־עֲבֹדַ֖ת אֹ֥הֶל מוֹעֵֽד׃</w:t>
      </w:r>
    </w:p>
    <w:p w14:paraId="5D1D70A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Und ich, siehe, ich habe eure Brüder, die Leviten, aus der Mitte der Söhne Jisra'els genommen; euch als Geschenk sind sie dem Ewigen gegeben, um den Dienst des Zeltes der Begegnung zu verrichten.</w:t>
      </w:r>
    </w:p>
    <w:p w14:paraId="4D7711F4"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1C3B2C02">
          <v:rect id="_x0000_i1607" style="width:0;height:1.5pt" o:hralign="center" o:hrstd="t" o:hr="t" fillcolor="#a0a0a0" stroked="f"/>
        </w:pict>
      </w:r>
    </w:p>
    <w:p w14:paraId="6BF8AE55"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Das emphatische Pronomen </w:t>
      </w:r>
      <w:r w:rsidRPr="0001206C">
        <w:rPr>
          <w:rFonts w:eastAsia="Times New Roman" w:cs="Times New Roman"/>
          <w:b/>
          <w:bCs/>
          <w:rtl/>
          <w:lang w:eastAsia="de-DE"/>
        </w:rPr>
        <w:t>וַאֲנִי</w:t>
      </w:r>
      <w:r w:rsidRPr="0001206C">
        <w:rPr>
          <w:rFonts w:eastAsia="Times New Roman" w:cs="Times New Roman"/>
          <w:rtl/>
          <w:lang w:eastAsia="de-DE"/>
        </w:rPr>
        <w:t xml:space="preserve"> </w:t>
      </w:r>
      <w:r w:rsidRPr="0001206C">
        <w:rPr>
          <w:rFonts w:eastAsia="Times New Roman" w:cs="Times New Roman"/>
          <w:lang w:eastAsia="de-DE"/>
        </w:rPr>
        <w:t xml:space="preserve">(„und ich") mit der Interjektion </w:t>
      </w:r>
      <w:r w:rsidRPr="0001206C">
        <w:rPr>
          <w:rFonts w:eastAsia="Times New Roman" w:cs="Times New Roman"/>
          <w:b/>
          <w:bCs/>
          <w:rtl/>
          <w:lang w:eastAsia="de-DE"/>
        </w:rPr>
        <w:t>הִנֵּה</w:t>
      </w:r>
      <w:r w:rsidRPr="0001206C">
        <w:rPr>
          <w:rFonts w:eastAsia="Times New Roman" w:cs="Times New Roman"/>
          <w:rtl/>
          <w:lang w:eastAsia="de-DE"/>
        </w:rPr>
        <w:t xml:space="preserve"> </w:t>
      </w:r>
      <w:r w:rsidRPr="0001206C">
        <w:rPr>
          <w:rFonts w:eastAsia="Times New Roman" w:cs="Times New Roman"/>
          <w:lang w:eastAsia="de-DE"/>
        </w:rPr>
        <w:t xml:space="preserve">(„siehe") betont JHWHs persönliches Handeln. Das Verb </w:t>
      </w:r>
      <w:r w:rsidRPr="0001206C">
        <w:rPr>
          <w:rFonts w:eastAsia="Times New Roman" w:cs="Times New Roman"/>
          <w:b/>
          <w:bCs/>
          <w:rtl/>
          <w:lang w:eastAsia="de-DE"/>
        </w:rPr>
        <w:t>לָקַחְתִּי</w:t>
      </w:r>
      <w:r w:rsidRPr="0001206C">
        <w:rPr>
          <w:rFonts w:eastAsia="Times New Roman" w:cs="Times New Roman"/>
          <w:rtl/>
          <w:lang w:eastAsia="de-DE"/>
        </w:rPr>
        <w:t xml:space="preserve"> </w:t>
      </w:r>
      <w:r w:rsidRPr="0001206C">
        <w:rPr>
          <w:rFonts w:eastAsia="Times New Roman" w:cs="Times New Roman"/>
          <w:lang w:eastAsia="de-DE"/>
        </w:rPr>
        <w:t xml:space="preserve">(Qal Perfekt, 1. c. sg. von </w:t>
      </w:r>
      <w:r w:rsidRPr="0001206C">
        <w:rPr>
          <w:rFonts w:eastAsia="Times New Roman" w:cs="Times New Roman"/>
          <w:b/>
          <w:bCs/>
          <w:rtl/>
          <w:lang w:eastAsia="de-DE"/>
        </w:rPr>
        <w:t>לקח</w:t>
      </w:r>
      <w:r w:rsidRPr="0001206C">
        <w:rPr>
          <w:rFonts w:eastAsia="Times New Roman" w:cs="Times New Roman"/>
          <w:lang w:eastAsia="de-DE"/>
        </w:rPr>
        <w:t xml:space="preserve">) bedeutet „ich habe genommen". Das Objekt </w:t>
      </w:r>
      <w:r w:rsidRPr="0001206C">
        <w:rPr>
          <w:rFonts w:eastAsia="Times New Roman" w:cs="Times New Roman"/>
          <w:b/>
          <w:bCs/>
          <w:rtl/>
          <w:lang w:eastAsia="de-DE"/>
        </w:rPr>
        <w:t>אֶת־אֲחֵיכֶם הַלְוִיִּם</w:t>
      </w:r>
      <w:r w:rsidRPr="0001206C">
        <w:rPr>
          <w:rFonts w:eastAsia="Times New Roman" w:cs="Times New Roman"/>
          <w:rtl/>
          <w:lang w:eastAsia="de-DE"/>
        </w:rPr>
        <w:t xml:space="preserve"> </w:t>
      </w:r>
      <w:r w:rsidRPr="0001206C">
        <w:rPr>
          <w:rFonts w:eastAsia="Times New Roman" w:cs="Times New Roman"/>
          <w:lang w:eastAsia="de-DE"/>
        </w:rPr>
        <w:t xml:space="preserve">ist „eure Brüder, die Leviten" (Apposition). Die Präposition </w:t>
      </w:r>
      <w:r w:rsidRPr="0001206C">
        <w:rPr>
          <w:rFonts w:eastAsia="Times New Roman" w:cs="Times New Roman"/>
          <w:b/>
          <w:bCs/>
          <w:rtl/>
          <w:lang w:eastAsia="de-DE"/>
        </w:rPr>
        <w:t>מִתּוֹךְ בְּנֵי יִשְׂרָאֵל</w:t>
      </w:r>
      <w:r w:rsidRPr="0001206C">
        <w:rPr>
          <w:rFonts w:eastAsia="Times New Roman" w:cs="Times New Roman"/>
          <w:rtl/>
          <w:lang w:eastAsia="de-DE"/>
        </w:rPr>
        <w:t xml:space="preserve"> </w:t>
      </w:r>
      <w:r w:rsidRPr="0001206C">
        <w:rPr>
          <w:rFonts w:eastAsia="Times New Roman" w:cs="Times New Roman"/>
          <w:lang w:eastAsia="de-DE"/>
        </w:rPr>
        <w:t>(„aus der Mitte der Söhne Israels") zeigt die Herkunft an.</w:t>
      </w:r>
    </w:p>
    <w:p w14:paraId="3E44D3E9"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Phrase </w:t>
      </w:r>
      <w:r w:rsidRPr="0001206C">
        <w:rPr>
          <w:rFonts w:eastAsia="Times New Roman" w:cs="Times New Roman"/>
          <w:b/>
          <w:bCs/>
          <w:rtl/>
          <w:lang w:eastAsia="de-DE"/>
        </w:rPr>
        <w:t>לָכֶם מַתָּנָה נְתֻנִים לַיהוָה</w:t>
      </w:r>
      <w:r w:rsidRPr="0001206C">
        <w:rPr>
          <w:rFonts w:eastAsia="Times New Roman" w:cs="Times New Roman"/>
          <w:rtl/>
          <w:lang w:eastAsia="de-DE"/>
        </w:rPr>
        <w:t xml:space="preserve"> </w:t>
      </w:r>
      <w:r w:rsidRPr="0001206C">
        <w:rPr>
          <w:rFonts w:eastAsia="Times New Roman" w:cs="Times New Roman"/>
          <w:lang w:eastAsia="de-DE"/>
        </w:rPr>
        <w:t xml:space="preserve">ist syntaktisch komplex: </w:t>
      </w:r>
      <w:r w:rsidRPr="0001206C">
        <w:rPr>
          <w:rFonts w:eastAsia="Times New Roman" w:cs="Times New Roman"/>
          <w:b/>
          <w:bCs/>
          <w:rtl/>
          <w:lang w:eastAsia="de-DE"/>
        </w:rPr>
        <w:t>לָכֶם</w:t>
      </w:r>
      <w:r w:rsidRPr="0001206C">
        <w:rPr>
          <w:rFonts w:eastAsia="Times New Roman" w:cs="Times New Roman"/>
          <w:rtl/>
          <w:lang w:eastAsia="de-DE"/>
        </w:rPr>
        <w:t xml:space="preserve"> </w:t>
      </w:r>
      <w:r w:rsidRPr="0001206C">
        <w:rPr>
          <w:rFonts w:eastAsia="Times New Roman" w:cs="Times New Roman"/>
          <w:lang w:eastAsia="de-DE"/>
        </w:rPr>
        <w:t xml:space="preserve">(„euch") Dativ, </w:t>
      </w:r>
      <w:r w:rsidRPr="0001206C">
        <w:rPr>
          <w:rFonts w:eastAsia="Times New Roman" w:cs="Times New Roman"/>
          <w:b/>
          <w:bCs/>
          <w:rtl/>
          <w:lang w:eastAsia="de-DE"/>
        </w:rPr>
        <w:t>מַתָּנָה</w:t>
      </w:r>
      <w:r w:rsidRPr="0001206C">
        <w:rPr>
          <w:rFonts w:eastAsia="Times New Roman" w:cs="Times New Roman"/>
          <w:rtl/>
          <w:lang w:eastAsia="de-DE"/>
        </w:rPr>
        <w:t xml:space="preserve"> </w:t>
      </w:r>
      <w:r w:rsidRPr="0001206C">
        <w:rPr>
          <w:rFonts w:eastAsia="Times New Roman" w:cs="Times New Roman"/>
          <w:lang w:eastAsia="de-DE"/>
        </w:rPr>
        <w:t xml:space="preserve">(„Geschenk") Zustandsangabe, </w:t>
      </w:r>
      <w:r w:rsidRPr="0001206C">
        <w:rPr>
          <w:rFonts w:eastAsia="Times New Roman" w:cs="Times New Roman"/>
          <w:b/>
          <w:bCs/>
          <w:rtl/>
          <w:lang w:eastAsia="de-DE"/>
        </w:rPr>
        <w:t>נְתֻנִים</w:t>
      </w:r>
      <w:r w:rsidRPr="0001206C">
        <w:rPr>
          <w:rFonts w:eastAsia="Times New Roman" w:cs="Times New Roman"/>
          <w:rtl/>
          <w:lang w:eastAsia="de-DE"/>
        </w:rPr>
        <w:t xml:space="preserve"> </w:t>
      </w:r>
      <w:r w:rsidRPr="0001206C">
        <w:rPr>
          <w:rFonts w:eastAsia="Times New Roman" w:cs="Times New Roman"/>
          <w:lang w:eastAsia="de-DE"/>
        </w:rPr>
        <w:t xml:space="preserve">(Qal Partizip Passiv Plural von </w:t>
      </w:r>
      <w:r w:rsidRPr="0001206C">
        <w:rPr>
          <w:rFonts w:eastAsia="Times New Roman" w:cs="Times New Roman"/>
          <w:b/>
          <w:bCs/>
          <w:rtl/>
          <w:lang w:eastAsia="de-DE"/>
        </w:rPr>
        <w:t>נתן</w:t>
      </w:r>
      <w:r w:rsidRPr="0001206C">
        <w:rPr>
          <w:rFonts w:eastAsia="Times New Roman" w:cs="Times New Roman"/>
          <w:lang w:eastAsia="de-DE"/>
        </w:rPr>
        <w:t xml:space="preserve">, „gegeben") Prädikat, </w:t>
      </w:r>
      <w:r w:rsidRPr="0001206C">
        <w:rPr>
          <w:rFonts w:eastAsia="Times New Roman" w:cs="Times New Roman"/>
          <w:b/>
          <w:bCs/>
          <w:rtl/>
          <w:lang w:eastAsia="de-DE"/>
        </w:rPr>
        <w:t>לַיהוָה</w:t>
      </w:r>
      <w:r w:rsidRPr="0001206C">
        <w:rPr>
          <w:rFonts w:eastAsia="Times New Roman" w:cs="Times New Roman"/>
          <w:rtl/>
          <w:lang w:eastAsia="de-DE"/>
        </w:rPr>
        <w:t xml:space="preserve"> </w:t>
      </w:r>
      <w:r w:rsidRPr="0001206C">
        <w:rPr>
          <w:rFonts w:eastAsia="Times New Roman" w:cs="Times New Roman"/>
          <w:lang w:eastAsia="de-DE"/>
        </w:rPr>
        <w:t>(„dem JHWH") indirektes Objekt. Die Phrase bedeutet: „euch als Geschenk sind sie JHWH gegeben" – die Leviten sind JHWH geweiht, aber den Priestern zur Unterstützung gegeben.</w:t>
      </w:r>
    </w:p>
    <w:p w14:paraId="7182742C"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Der finale Infinitiv </w:t>
      </w:r>
      <w:r w:rsidRPr="0001206C">
        <w:rPr>
          <w:rFonts w:eastAsia="Times New Roman" w:cs="Times New Roman"/>
          <w:b/>
          <w:bCs/>
          <w:rtl/>
          <w:lang w:eastAsia="de-DE"/>
        </w:rPr>
        <w:t>לַעֲבֹד</w:t>
      </w:r>
      <w:r w:rsidRPr="0001206C">
        <w:rPr>
          <w:rFonts w:eastAsia="Times New Roman" w:cs="Times New Roman"/>
          <w:rtl/>
          <w:lang w:eastAsia="de-DE"/>
        </w:rPr>
        <w:t xml:space="preserve"> </w:t>
      </w:r>
      <w:r w:rsidRPr="0001206C">
        <w:rPr>
          <w:rFonts w:eastAsia="Times New Roman" w:cs="Times New Roman"/>
          <w:lang w:eastAsia="de-DE"/>
        </w:rPr>
        <w:t xml:space="preserve">(Qal Infinitiv construct von </w:t>
      </w:r>
      <w:r w:rsidRPr="0001206C">
        <w:rPr>
          <w:rFonts w:eastAsia="Times New Roman" w:cs="Times New Roman"/>
          <w:b/>
          <w:bCs/>
          <w:rtl/>
          <w:lang w:eastAsia="de-DE"/>
        </w:rPr>
        <w:t>עבד</w:t>
      </w:r>
      <w:r w:rsidRPr="0001206C">
        <w:rPr>
          <w:rFonts w:eastAsia="Times New Roman" w:cs="Times New Roman"/>
          <w:rtl/>
          <w:lang w:eastAsia="de-DE"/>
        </w:rPr>
        <w:t xml:space="preserve"> </w:t>
      </w:r>
      <w:r w:rsidRPr="0001206C">
        <w:rPr>
          <w:rFonts w:eastAsia="Times New Roman" w:cs="Times New Roman"/>
          <w:lang w:eastAsia="de-DE"/>
        </w:rPr>
        <w:t xml:space="preserve">mit </w:t>
      </w:r>
      <w:r w:rsidRPr="0001206C">
        <w:rPr>
          <w:rFonts w:eastAsia="Times New Roman" w:cs="Times New Roman"/>
          <w:b/>
          <w:bCs/>
          <w:rtl/>
          <w:lang w:eastAsia="de-DE"/>
        </w:rPr>
        <w:t>לְ</w:t>
      </w:r>
      <w:r w:rsidRPr="0001206C">
        <w:rPr>
          <w:rFonts w:eastAsia="Times New Roman" w:cs="Times New Roman"/>
          <w:lang w:eastAsia="de-DE"/>
        </w:rPr>
        <w:t xml:space="preserve">) drückt den Zweck aus: „um zu dienen". Das Objekt </w:t>
      </w:r>
      <w:r w:rsidRPr="0001206C">
        <w:rPr>
          <w:rFonts w:eastAsia="Times New Roman" w:cs="Times New Roman"/>
          <w:b/>
          <w:bCs/>
          <w:rtl/>
          <w:lang w:eastAsia="de-DE"/>
        </w:rPr>
        <w:t>אֶת־עֲבֹדַת אֹהֶל מוֹעֵד</w:t>
      </w:r>
      <w:r w:rsidRPr="0001206C">
        <w:rPr>
          <w:rFonts w:eastAsia="Times New Roman" w:cs="Times New Roman"/>
          <w:rtl/>
          <w:lang w:eastAsia="de-DE"/>
        </w:rPr>
        <w:t xml:space="preserve"> </w:t>
      </w:r>
      <w:r w:rsidRPr="0001206C">
        <w:rPr>
          <w:rFonts w:eastAsia="Times New Roman" w:cs="Times New Roman"/>
          <w:lang w:eastAsia="de-DE"/>
        </w:rPr>
        <w:t>ist „den Dienst des Zeltes der Begegnung" (Constructus-Verbindung mit Objektpartikel).</w:t>
      </w:r>
    </w:p>
    <w:p w14:paraId="34AFB6B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folgt dem hebräischen Text eng.</w:t>
      </w:r>
    </w:p>
    <w:p w14:paraId="540178B3" w14:textId="4DF844AF"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Satzstruktur zeigt einen Hauptsatz mit emphatischem Pronomen, Interjektion, Verb, Objekt (mit Apposition) und Präpositionalphrase. Eine komplexe nominale </w:t>
      </w:r>
      <w:r w:rsidR="00F133EC">
        <w:rPr>
          <w:rFonts w:eastAsia="Times New Roman" w:cs="Times New Roman"/>
          <w:lang w:eastAsia="de-DE"/>
        </w:rPr>
        <w:t>Construct</w:t>
      </w:r>
      <w:r w:rsidRPr="0001206C">
        <w:rPr>
          <w:rFonts w:eastAsia="Times New Roman" w:cs="Times New Roman"/>
          <w:lang w:eastAsia="de-DE"/>
        </w:rPr>
        <w:t>ion mit Dativ, Zustandsangabe, Partizip und indirektem Objekt folgt. Ein finaler Infinitiv mit Objekt schließt ab.</w:t>
      </w:r>
    </w:p>
    <w:p w14:paraId="57804C4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betont: Die Leviten sind Gottes Geschenk an die Priester – zur Entlastung und zum Schutz des Volkes.</w:t>
      </w:r>
    </w:p>
    <w:p w14:paraId="6FFB5D84"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18,7</w:t>
      </w:r>
    </w:p>
    <w:p w14:paraId="193F785B"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lastRenderedPageBreak/>
        <w:t>Hebräisch:</w:t>
      </w:r>
      <w:r w:rsidRPr="0001206C">
        <w:rPr>
          <w:rFonts w:eastAsia="Times New Roman" w:cs="Times New Roman"/>
          <w:lang w:eastAsia="de-DE"/>
        </w:rPr>
        <w:t xml:space="preserve"> </w:t>
      </w:r>
      <w:r w:rsidRPr="0001206C">
        <w:rPr>
          <w:rFonts w:eastAsia="Times New Roman" w:cs="Times New Roman"/>
          <w:rtl/>
          <w:lang w:eastAsia="de-DE"/>
        </w:rPr>
        <w:t>וְאַתָּ֣ה וּבָנֶ֣יךָ אִ֠תְּךָ תִּשְׁמְר֨וּ אֶת־כְּהֻנַּתְכֶ֜ם לְכָל־דְּבַ֧ר הַמִּזְבֵּ֛חַ וּלְמִבֵּ֥ית לַפָּרֹ֖כֶת וַעֲבַדְתֶּ֑ם עֲבֹדַ֣ת מַתָּנָ֗ה אֶתֵּן֙ אֶת־כְּהֻנַּתְכֶ֔ם וְהַזָּ֥ר הַקָּרֵ֖ב יוּמָֽת׃</w:t>
      </w:r>
    </w:p>
    <w:p w14:paraId="32F9080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Du aber und deine Söhne mit dir, ihr sollt eures Priestertums warten, in allem, was den Altar betrifft, und innerhalb des Vorhangs, und so den Dienst tun; als einen geschenkten Dienst gebe ich euch das Priestertum. Der Fremde aber, der naht, soll getötet werden.</w:t>
      </w:r>
    </w:p>
    <w:p w14:paraId="16B52379"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2513FFE0">
          <v:rect id="_x0000_i1608" style="width:0;height:1.5pt" o:hralign="center" o:hrstd="t" o:hr="t" fillcolor="#a0a0a0" stroked="f"/>
        </w:pict>
      </w:r>
    </w:p>
    <w:p w14:paraId="3E1E9E44"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Das kontrastierende </w:t>
      </w:r>
      <w:r w:rsidRPr="0001206C">
        <w:rPr>
          <w:rFonts w:eastAsia="Times New Roman" w:cs="Times New Roman"/>
          <w:b/>
          <w:bCs/>
          <w:rtl/>
          <w:lang w:eastAsia="de-DE"/>
        </w:rPr>
        <w:t>וְאַתָּה וּבָנֶיךָ אִתְּךָ</w:t>
      </w:r>
      <w:r w:rsidRPr="0001206C">
        <w:rPr>
          <w:rFonts w:eastAsia="Times New Roman" w:cs="Times New Roman"/>
          <w:rtl/>
          <w:lang w:eastAsia="de-DE"/>
        </w:rPr>
        <w:t xml:space="preserve"> </w:t>
      </w:r>
      <w:r w:rsidRPr="0001206C">
        <w:rPr>
          <w:rFonts w:eastAsia="Times New Roman" w:cs="Times New Roman"/>
          <w:lang w:eastAsia="de-DE"/>
        </w:rPr>
        <w:t xml:space="preserve">(„du aber und deine Söhne mit dir") grenzt die priesterliche Rolle ab. Das Verb </w:t>
      </w:r>
      <w:r w:rsidRPr="0001206C">
        <w:rPr>
          <w:rFonts w:eastAsia="Times New Roman" w:cs="Times New Roman"/>
          <w:b/>
          <w:bCs/>
          <w:rtl/>
          <w:lang w:eastAsia="de-DE"/>
        </w:rPr>
        <w:t>תִּשְׁמְרוּ</w:t>
      </w:r>
      <w:r w:rsidRPr="0001206C">
        <w:rPr>
          <w:rFonts w:eastAsia="Times New Roman" w:cs="Times New Roman"/>
          <w:rtl/>
          <w:lang w:eastAsia="de-DE"/>
        </w:rPr>
        <w:t xml:space="preserve"> </w:t>
      </w:r>
      <w:r w:rsidRPr="0001206C">
        <w:rPr>
          <w:rFonts w:eastAsia="Times New Roman" w:cs="Times New Roman"/>
          <w:lang w:eastAsia="de-DE"/>
        </w:rPr>
        <w:t xml:space="preserve">(Qal Imperfekt, 2. m. pl. von </w:t>
      </w:r>
      <w:r w:rsidRPr="0001206C">
        <w:rPr>
          <w:rFonts w:eastAsia="Times New Roman" w:cs="Times New Roman"/>
          <w:b/>
          <w:bCs/>
          <w:rtl/>
          <w:lang w:eastAsia="de-DE"/>
        </w:rPr>
        <w:t>שׁמר</w:t>
      </w:r>
      <w:r w:rsidRPr="0001206C">
        <w:rPr>
          <w:rFonts w:eastAsia="Times New Roman" w:cs="Times New Roman"/>
          <w:lang w:eastAsia="de-DE"/>
        </w:rPr>
        <w:t xml:space="preserve">) bedeutet „ihr sollt bewahren, warten". Das Objekt </w:t>
      </w:r>
      <w:r w:rsidRPr="0001206C">
        <w:rPr>
          <w:rFonts w:eastAsia="Times New Roman" w:cs="Times New Roman"/>
          <w:b/>
          <w:bCs/>
          <w:rtl/>
          <w:lang w:eastAsia="de-DE"/>
        </w:rPr>
        <w:t>אֶת־כְּהֻנַּתְכֶם</w:t>
      </w:r>
      <w:r w:rsidRPr="0001206C">
        <w:rPr>
          <w:rFonts w:eastAsia="Times New Roman" w:cs="Times New Roman"/>
          <w:rtl/>
          <w:lang w:eastAsia="de-DE"/>
        </w:rPr>
        <w:t xml:space="preserve"> </w:t>
      </w:r>
      <w:r w:rsidRPr="0001206C">
        <w:rPr>
          <w:rFonts w:eastAsia="Times New Roman" w:cs="Times New Roman"/>
          <w:lang w:eastAsia="de-DE"/>
        </w:rPr>
        <w:t xml:space="preserve">ist „euer Priestertum" mit Possessivsuffix 2. m. pl. Die doppelte Präpositionalphrase </w:t>
      </w:r>
      <w:r w:rsidRPr="0001206C">
        <w:rPr>
          <w:rFonts w:eastAsia="Times New Roman" w:cs="Times New Roman"/>
          <w:b/>
          <w:bCs/>
          <w:rtl/>
          <w:lang w:eastAsia="de-DE"/>
        </w:rPr>
        <w:t>לְכָל־דְּבַר הַמִּזְבֵּחַ וּלְמִבֵּית לַפָּרֹכֶת</w:t>
      </w:r>
      <w:r w:rsidRPr="0001206C">
        <w:rPr>
          <w:rFonts w:eastAsia="Times New Roman" w:cs="Times New Roman"/>
          <w:rtl/>
          <w:lang w:eastAsia="de-DE"/>
        </w:rPr>
        <w:t xml:space="preserve"> </w:t>
      </w:r>
      <w:r w:rsidRPr="0001206C">
        <w:rPr>
          <w:rFonts w:eastAsia="Times New Roman" w:cs="Times New Roman"/>
          <w:lang w:eastAsia="de-DE"/>
        </w:rPr>
        <w:t xml:space="preserve">definiert den Bereich: </w:t>
      </w:r>
      <w:r w:rsidRPr="0001206C">
        <w:rPr>
          <w:rFonts w:eastAsia="Times New Roman" w:cs="Times New Roman"/>
          <w:b/>
          <w:bCs/>
          <w:rtl/>
          <w:lang w:eastAsia="de-DE"/>
        </w:rPr>
        <w:t>לְכָל־דְּבַר הַמִּזְבֵּחַ</w:t>
      </w:r>
      <w:r w:rsidRPr="0001206C">
        <w:rPr>
          <w:rFonts w:eastAsia="Times New Roman" w:cs="Times New Roman"/>
          <w:rtl/>
          <w:lang w:eastAsia="de-DE"/>
        </w:rPr>
        <w:t xml:space="preserve"> </w:t>
      </w:r>
      <w:r w:rsidRPr="0001206C">
        <w:rPr>
          <w:rFonts w:eastAsia="Times New Roman" w:cs="Times New Roman"/>
          <w:lang w:eastAsia="de-DE"/>
        </w:rPr>
        <w:t xml:space="preserve">(„für alles, was den Altar betrifft", </w:t>
      </w:r>
      <w:r w:rsidRPr="0001206C">
        <w:rPr>
          <w:rFonts w:eastAsia="Times New Roman" w:cs="Times New Roman"/>
          <w:b/>
          <w:bCs/>
          <w:rtl/>
          <w:lang w:eastAsia="de-DE"/>
        </w:rPr>
        <w:t>דָּבָר</w:t>
      </w:r>
      <w:r w:rsidRPr="0001206C">
        <w:rPr>
          <w:rFonts w:eastAsia="Times New Roman" w:cs="Times New Roman"/>
          <w:rtl/>
          <w:lang w:eastAsia="de-DE"/>
        </w:rPr>
        <w:t xml:space="preserve"> </w:t>
      </w:r>
      <w:r w:rsidRPr="0001206C">
        <w:rPr>
          <w:rFonts w:eastAsia="Times New Roman" w:cs="Times New Roman"/>
          <w:lang w:eastAsia="de-DE"/>
        </w:rPr>
        <w:t xml:space="preserve">im Constructus), </w:t>
      </w:r>
      <w:r w:rsidRPr="0001206C">
        <w:rPr>
          <w:rFonts w:eastAsia="Times New Roman" w:cs="Times New Roman"/>
          <w:b/>
          <w:bCs/>
          <w:rtl/>
          <w:lang w:eastAsia="de-DE"/>
        </w:rPr>
        <w:t>וּלְמִבֵּית לַפָּרֹכֶת</w:t>
      </w:r>
      <w:r w:rsidRPr="0001206C">
        <w:rPr>
          <w:rFonts w:eastAsia="Times New Roman" w:cs="Times New Roman"/>
          <w:rtl/>
          <w:lang w:eastAsia="de-DE"/>
        </w:rPr>
        <w:t xml:space="preserve"> </w:t>
      </w:r>
      <w:r w:rsidRPr="0001206C">
        <w:rPr>
          <w:rFonts w:eastAsia="Times New Roman" w:cs="Times New Roman"/>
          <w:lang w:eastAsia="de-DE"/>
        </w:rPr>
        <w:t xml:space="preserve">(„und für innerhalb des Vorhangs", </w:t>
      </w:r>
      <w:r w:rsidRPr="0001206C">
        <w:rPr>
          <w:rFonts w:eastAsia="Times New Roman" w:cs="Times New Roman"/>
          <w:b/>
          <w:bCs/>
          <w:rtl/>
          <w:lang w:eastAsia="de-DE"/>
        </w:rPr>
        <w:t>מִבַּיִת</w:t>
      </w:r>
      <w:r w:rsidRPr="0001206C">
        <w:rPr>
          <w:rFonts w:eastAsia="Times New Roman" w:cs="Times New Roman"/>
          <w:rtl/>
          <w:lang w:eastAsia="de-DE"/>
        </w:rPr>
        <w:t xml:space="preserve"> </w:t>
      </w:r>
      <w:r w:rsidRPr="0001206C">
        <w:rPr>
          <w:rFonts w:eastAsia="Times New Roman" w:cs="Times New Roman"/>
          <w:lang w:eastAsia="de-DE"/>
        </w:rPr>
        <w:t xml:space="preserve">Präposition „innerhalb", </w:t>
      </w:r>
      <w:r w:rsidRPr="0001206C">
        <w:rPr>
          <w:rFonts w:eastAsia="Times New Roman" w:cs="Times New Roman"/>
          <w:b/>
          <w:bCs/>
          <w:rtl/>
          <w:lang w:eastAsia="de-DE"/>
        </w:rPr>
        <w:t>פָּרֹכֶת</w:t>
      </w:r>
      <w:r w:rsidRPr="0001206C">
        <w:rPr>
          <w:rFonts w:eastAsia="Times New Roman" w:cs="Times New Roman"/>
          <w:rtl/>
          <w:lang w:eastAsia="de-DE"/>
        </w:rPr>
        <w:t xml:space="preserve"> </w:t>
      </w:r>
      <w:r w:rsidRPr="0001206C">
        <w:rPr>
          <w:rFonts w:eastAsia="Times New Roman" w:cs="Times New Roman"/>
          <w:lang w:eastAsia="de-DE"/>
        </w:rPr>
        <w:t>„Vorhang" – der Zugang zum Allerheiligsten).</w:t>
      </w:r>
    </w:p>
    <w:p w14:paraId="37AA713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Das koordinierte Verb </w:t>
      </w:r>
      <w:r w:rsidRPr="0001206C">
        <w:rPr>
          <w:rFonts w:eastAsia="Times New Roman" w:cs="Times New Roman"/>
          <w:b/>
          <w:bCs/>
          <w:rtl/>
          <w:lang w:eastAsia="de-DE"/>
        </w:rPr>
        <w:t>וַעֲבַדְתֶּם</w:t>
      </w:r>
      <w:r w:rsidRPr="0001206C">
        <w:rPr>
          <w:rFonts w:eastAsia="Times New Roman" w:cs="Times New Roman"/>
          <w:rtl/>
          <w:lang w:eastAsia="de-DE"/>
        </w:rPr>
        <w:t xml:space="preserve"> </w:t>
      </w:r>
      <w:r w:rsidRPr="0001206C">
        <w:rPr>
          <w:rFonts w:eastAsia="Times New Roman" w:cs="Times New Roman"/>
          <w:lang w:eastAsia="de-DE"/>
        </w:rPr>
        <w:t xml:space="preserve">(Waw + Qal Perfekt, 2. m. pl. von </w:t>
      </w:r>
      <w:r w:rsidRPr="0001206C">
        <w:rPr>
          <w:rFonts w:eastAsia="Times New Roman" w:cs="Times New Roman"/>
          <w:b/>
          <w:bCs/>
          <w:rtl/>
          <w:lang w:eastAsia="de-DE"/>
        </w:rPr>
        <w:t>עבד</w:t>
      </w:r>
      <w:r w:rsidRPr="0001206C">
        <w:rPr>
          <w:rFonts w:eastAsia="Times New Roman" w:cs="Times New Roman"/>
          <w:lang w:eastAsia="de-DE"/>
        </w:rPr>
        <w:t xml:space="preserve">) bedeutet „und ihr sollt dienen". Die Phrase </w:t>
      </w:r>
      <w:r w:rsidRPr="0001206C">
        <w:rPr>
          <w:rFonts w:eastAsia="Times New Roman" w:cs="Times New Roman"/>
          <w:b/>
          <w:bCs/>
          <w:rtl/>
          <w:lang w:eastAsia="de-DE"/>
        </w:rPr>
        <w:t>עֲבֹדַת מַתָּנָה</w:t>
      </w:r>
      <w:r w:rsidRPr="0001206C">
        <w:rPr>
          <w:rFonts w:eastAsia="Times New Roman" w:cs="Times New Roman"/>
          <w:rtl/>
          <w:lang w:eastAsia="de-DE"/>
        </w:rPr>
        <w:t xml:space="preserve"> </w:t>
      </w:r>
      <w:r w:rsidRPr="0001206C">
        <w:rPr>
          <w:rFonts w:eastAsia="Times New Roman" w:cs="Times New Roman"/>
          <w:lang w:eastAsia="de-DE"/>
        </w:rPr>
        <w:t xml:space="preserve">ist „Dienst als Geschenk" (Constructus-Verbindung). Das Verb </w:t>
      </w:r>
      <w:r w:rsidRPr="0001206C">
        <w:rPr>
          <w:rFonts w:eastAsia="Times New Roman" w:cs="Times New Roman"/>
          <w:b/>
          <w:bCs/>
          <w:rtl/>
          <w:lang w:eastAsia="de-DE"/>
        </w:rPr>
        <w:t>אֶתֵּן</w:t>
      </w:r>
      <w:r w:rsidRPr="0001206C">
        <w:rPr>
          <w:rFonts w:eastAsia="Times New Roman" w:cs="Times New Roman"/>
          <w:rtl/>
          <w:lang w:eastAsia="de-DE"/>
        </w:rPr>
        <w:t xml:space="preserve"> </w:t>
      </w:r>
      <w:r w:rsidRPr="0001206C">
        <w:rPr>
          <w:rFonts w:eastAsia="Times New Roman" w:cs="Times New Roman"/>
          <w:lang w:eastAsia="de-DE"/>
        </w:rPr>
        <w:t xml:space="preserve">(Qal Imperfekt, 1. c. sg. von </w:t>
      </w:r>
      <w:r w:rsidRPr="0001206C">
        <w:rPr>
          <w:rFonts w:eastAsia="Times New Roman" w:cs="Times New Roman"/>
          <w:b/>
          <w:bCs/>
          <w:rtl/>
          <w:lang w:eastAsia="de-DE"/>
        </w:rPr>
        <w:t>נתן</w:t>
      </w:r>
      <w:r w:rsidRPr="0001206C">
        <w:rPr>
          <w:rFonts w:eastAsia="Times New Roman" w:cs="Times New Roman"/>
          <w:lang w:eastAsia="de-DE"/>
        </w:rPr>
        <w:t xml:space="preserve">) bedeutet „ich gebe". Das Objekt </w:t>
      </w:r>
      <w:r w:rsidRPr="0001206C">
        <w:rPr>
          <w:rFonts w:eastAsia="Times New Roman" w:cs="Times New Roman"/>
          <w:b/>
          <w:bCs/>
          <w:rtl/>
          <w:lang w:eastAsia="de-DE"/>
        </w:rPr>
        <w:t>אֶת־כְּהֻנַּתְכֶם</w:t>
      </w:r>
      <w:r w:rsidRPr="0001206C">
        <w:rPr>
          <w:rFonts w:eastAsia="Times New Roman" w:cs="Times New Roman"/>
          <w:rtl/>
          <w:lang w:eastAsia="de-DE"/>
        </w:rPr>
        <w:t xml:space="preserve"> </w:t>
      </w:r>
      <w:r w:rsidRPr="0001206C">
        <w:rPr>
          <w:rFonts w:eastAsia="Times New Roman" w:cs="Times New Roman"/>
          <w:lang w:eastAsia="de-DE"/>
        </w:rPr>
        <w:t>wiederholt „euer Priestertum". Die Formulierung betont: Das Priestertum ist Gottes Gabe, kein menschlicher Anspruch.</w:t>
      </w:r>
    </w:p>
    <w:p w14:paraId="20C63502"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Warnung </w:t>
      </w:r>
      <w:r w:rsidRPr="0001206C">
        <w:rPr>
          <w:rFonts w:eastAsia="Times New Roman" w:cs="Times New Roman"/>
          <w:b/>
          <w:bCs/>
          <w:rtl/>
          <w:lang w:eastAsia="de-DE"/>
        </w:rPr>
        <w:t>וְהַזָּר הַקָּרֵב יוּמָת</w:t>
      </w:r>
      <w:r w:rsidRPr="0001206C">
        <w:rPr>
          <w:rFonts w:eastAsia="Times New Roman" w:cs="Times New Roman"/>
          <w:rtl/>
          <w:lang w:eastAsia="de-DE"/>
        </w:rPr>
        <w:t xml:space="preserve"> </w:t>
      </w:r>
      <w:r w:rsidRPr="0001206C">
        <w:rPr>
          <w:rFonts w:eastAsia="Times New Roman" w:cs="Times New Roman"/>
          <w:lang w:eastAsia="de-DE"/>
        </w:rPr>
        <w:t xml:space="preserve">besteht aus </w:t>
      </w:r>
      <w:r w:rsidRPr="0001206C">
        <w:rPr>
          <w:rFonts w:eastAsia="Times New Roman" w:cs="Times New Roman"/>
          <w:b/>
          <w:bCs/>
          <w:rtl/>
          <w:lang w:eastAsia="de-DE"/>
        </w:rPr>
        <w:t>הַזָּר</w:t>
      </w:r>
      <w:r w:rsidRPr="0001206C">
        <w:rPr>
          <w:rFonts w:eastAsia="Times New Roman" w:cs="Times New Roman"/>
          <w:rtl/>
          <w:lang w:eastAsia="de-DE"/>
        </w:rPr>
        <w:t xml:space="preserve"> </w:t>
      </w:r>
      <w:r w:rsidRPr="0001206C">
        <w:rPr>
          <w:rFonts w:eastAsia="Times New Roman" w:cs="Times New Roman"/>
          <w:lang w:eastAsia="de-DE"/>
        </w:rPr>
        <w:t xml:space="preserve">(„der Fremde") mit </w:t>
      </w:r>
      <w:r w:rsidRPr="0001206C">
        <w:rPr>
          <w:rFonts w:eastAsia="Times New Roman" w:cs="Times New Roman"/>
          <w:b/>
          <w:bCs/>
          <w:rtl/>
          <w:lang w:eastAsia="de-DE"/>
        </w:rPr>
        <w:t>הַקָּרֵב</w:t>
      </w:r>
      <w:r w:rsidRPr="0001206C">
        <w:rPr>
          <w:rFonts w:eastAsia="Times New Roman" w:cs="Times New Roman"/>
          <w:rtl/>
          <w:lang w:eastAsia="de-DE"/>
        </w:rPr>
        <w:t xml:space="preserve"> </w:t>
      </w:r>
      <w:r w:rsidRPr="0001206C">
        <w:rPr>
          <w:rFonts w:eastAsia="Times New Roman" w:cs="Times New Roman"/>
          <w:lang w:eastAsia="de-DE"/>
        </w:rPr>
        <w:t xml:space="preserve">(Qal Partizip von </w:t>
      </w:r>
      <w:r w:rsidRPr="0001206C">
        <w:rPr>
          <w:rFonts w:eastAsia="Times New Roman" w:cs="Times New Roman"/>
          <w:b/>
          <w:bCs/>
          <w:rtl/>
          <w:lang w:eastAsia="de-DE"/>
        </w:rPr>
        <w:t>קרב</w:t>
      </w:r>
      <w:r w:rsidRPr="0001206C">
        <w:rPr>
          <w:rFonts w:eastAsia="Times New Roman" w:cs="Times New Roman"/>
          <w:rtl/>
          <w:lang w:eastAsia="de-DE"/>
        </w:rPr>
        <w:t xml:space="preserve"> </w:t>
      </w:r>
      <w:r w:rsidRPr="0001206C">
        <w:rPr>
          <w:rFonts w:eastAsia="Times New Roman" w:cs="Times New Roman"/>
          <w:lang w:eastAsia="de-DE"/>
        </w:rPr>
        <w:t xml:space="preserve">mit Artikel, „der Nahende") als Apposition und </w:t>
      </w:r>
      <w:r w:rsidRPr="0001206C">
        <w:rPr>
          <w:rFonts w:eastAsia="Times New Roman" w:cs="Times New Roman"/>
          <w:b/>
          <w:bCs/>
          <w:rtl/>
          <w:lang w:eastAsia="de-DE"/>
        </w:rPr>
        <w:t>יוּמָת</w:t>
      </w:r>
      <w:r w:rsidRPr="0001206C">
        <w:rPr>
          <w:rFonts w:eastAsia="Times New Roman" w:cs="Times New Roman"/>
          <w:rtl/>
          <w:lang w:eastAsia="de-DE"/>
        </w:rPr>
        <w:t xml:space="preserve"> </w:t>
      </w:r>
      <w:r w:rsidRPr="0001206C">
        <w:rPr>
          <w:rFonts w:eastAsia="Times New Roman" w:cs="Times New Roman"/>
          <w:lang w:eastAsia="de-DE"/>
        </w:rPr>
        <w:t xml:space="preserve">(Hofal Imperfekt, 3. m. sg. von </w:t>
      </w:r>
      <w:r w:rsidRPr="0001206C">
        <w:rPr>
          <w:rFonts w:eastAsia="Times New Roman" w:cs="Times New Roman"/>
          <w:b/>
          <w:bCs/>
          <w:rtl/>
          <w:lang w:eastAsia="de-DE"/>
        </w:rPr>
        <w:t>מות</w:t>
      </w:r>
      <w:r w:rsidRPr="0001206C">
        <w:rPr>
          <w:rFonts w:eastAsia="Times New Roman" w:cs="Times New Roman"/>
          <w:lang w:eastAsia="de-DE"/>
        </w:rPr>
        <w:t>, „er soll getötet werden"). Die Hofal-Form ist passiv-kausativ: „er wird zum Tode gebracht werden".</w:t>
      </w:r>
    </w:p>
    <w:p w14:paraId="6EEC4206"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folgt dem hebräischen Text.</w:t>
      </w:r>
    </w:p>
    <w:p w14:paraId="78ADD82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Satzstruktur zeigt einen Hauptsatz mit kontrastierendem Subjekt, Verb, Objekt und doppelter Präpositionalphrase. Ein koordinierter Hauptsatz mit Verb folgt, dann eine nominale Phrase, Verb und Objekt. Ein abschließender Hauptsatz mit Subjekt (erweitert durch Partizip) und passivem Verb warnt vor Übertretung.</w:t>
      </w:r>
    </w:p>
    <w:p w14:paraId="4049AF9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fasst die priesterliche Rolle zusammen: Dienst an Altar und im Allerheiligsten ist ihr exklusives Privileg und ihre schwere Verantwortung – bei Todesstrafe für Übergriffe.</w:t>
      </w:r>
    </w:p>
    <w:p w14:paraId="4959EE19"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18,8</w:t>
      </w:r>
    </w:p>
    <w:p w14:paraId="1A10221B"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וַיְדַבֵּ֣ר יְהוָה֮ אֶֽל־אַהֲרֹן֒ וַאֲנִי֙ הִנֵּ֣ה נָתַ֣תִּֽי לְךָ֔ אֶת־מִשְׁמֶ֖רֶת תְּרוּמֹתָ֑י לְכָל־קָדְשֵׁ֣י בְנֵֽי־יִ֠שְׂרָאֵל לְךָ֙ נְתַתִּ֧ים לְמָשְׁחָ֛ה וּלְבָנֶ֖יךָ לְחָק־עוֹלָֽם׃</w:t>
      </w:r>
    </w:p>
    <w:p w14:paraId="77F9244C"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Und der Ewige redete zu Aharon: Und ich, siehe, ich habe dir die Anordnung meiner Hebopfer gegeben; von allen heiligen Dingen der Söhne Jisra'els habe ich sie dir und deinen Söhnen gegeben, als Salbungsteil, als eine ewige Gebühr.</w:t>
      </w:r>
    </w:p>
    <w:p w14:paraId="2BF2642F"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67133B6D">
          <v:rect id="_x0000_i1609" style="width:0;height:1.5pt" o:hralign="center" o:hrstd="t" o:hr="t" fillcolor="#a0a0a0" stroked="f"/>
        </w:pict>
      </w:r>
    </w:p>
    <w:p w14:paraId="0CFA1A32"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lastRenderedPageBreak/>
        <w:t>Kommentar:</w:t>
      </w:r>
      <w:r w:rsidRPr="0001206C">
        <w:rPr>
          <w:rFonts w:eastAsia="Times New Roman" w:cs="Times New Roman"/>
          <w:lang w:eastAsia="de-DE"/>
        </w:rPr>
        <w:t xml:space="preserve"> Das Verb </w:t>
      </w:r>
      <w:r w:rsidRPr="0001206C">
        <w:rPr>
          <w:rFonts w:eastAsia="Times New Roman" w:cs="Times New Roman"/>
          <w:b/>
          <w:bCs/>
          <w:rtl/>
          <w:lang w:eastAsia="de-DE"/>
        </w:rPr>
        <w:t>וַיְדַבֵּר</w:t>
      </w:r>
      <w:r w:rsidRPr="0001206C">
        <w:rPr>
          <w:rFonts w:eastAsia="Times New Roman" w:cs="Times New Roman"/>
          <w:rtl/>
          <w:lang w:eastAsia="de-DE"/>
        </w:rPr>
        <w:t xml:space="preserve"> </w:t>
      </w:r>
      <w:r w:rsidRPr="0001206C">
        <w:rPr>
          <w:rFonts w:eastAsia="Times New Roman" w:cs="Times New Roman"/>
          <w:lang w:eastAsia="de-DE"/>
        </w:rPr>
        <w:t xml:space="preserve">(Wayyiqtol von </w:t>
      </w:r>
      <w:r w:rsidRPr="0001206C">
        <w:rPr>
          <w:rFonts w:eastAsia="Times New Roman" w:cs="Times New Roman"/>
          <w:b/>
          <w:bCs/>
          <w:rtl/>
          <w:lang w:eastAsia="de-DE"/>
        </w:rPr>
        <w:t>דבר</w:t>
      </w:r>
      <w:r w:rsidRPr="0001206C">
        <w:rPr>
          <w:rFonts w:eastAsia="Times New Roman" w:cs="Times New Roman"/>
          <w:rtl/>
          <w:lang w:eastAsia="de-DE"/>
        </w:rPr>
        <w:t xml:space="preserve"> </w:t>
      </w:r>
      <w:r w:rsidRPr="0001206C">
        <w:rPr>
          <w:rFonts w:eastAsia="Times New Roman" w:cs="Times New Roman"/>
          <w:lang w:eastAsia="de-DE"/>
        </w:rPr>
        <w:t xml:space="preserve">Piel) leitet eine neue Rede ein. </w:t>
      </w:r>
      <w:r w:rsidRPr="0001206C">
        <w:rPr>
          <w:rFonts w:eastAsia="Times New Roman" w:cs="Times New Roman"/>
          <w:b/>
          <w:bCs/>
          <w:rtl/>
          <w:lang w:eastAsia="de-DE"/>
        </w:rPr>
        <w:t>יְהוָה</w:t>
      </w:r>
      <w:r w:rsidRPr="0001206C">
        <w:rPr>
          <w:rFonts w:eastAsia="Times New Roman" w:cs="Times New Roman"/>
          <w:rtl/>
          <w:lang w:eastAsia="de-DE"/>
        </w:rPr>
        <w:t xml:space="preserve"> </w:t>
      </w:r>
      <w:r w:rsidRPr="0001206C">
        <w:rPr>
          <w:rFonts w:eastAsia="Times New Roman" w:cs="Times New Roman"/>
          <w:lang w:eastAsia="de-DE"/>
        </w:rPr>
        <w:t xml:space="preserve">ist das Subjekt, </w:t>
      </w:r>
      <w:r w:rsidRPr="0001206C">
        <w:rPr>
          <w:rFonts w:eastAsia="Times New Roman" w:cs="Times New Roman"/>
          <w:b/>
          <w:bCs/>
          <w:rtl/>
          <w:lang w:eastAsia="de-DE"/>
        </w:rPr>
        <w:t>אֶל־אַהֲרֹן</w:t>
      </w:r>
      <w:r w:rsidRPr="0001206C">
        <w:rPr>
          <w:rFonts w:eastAsia="Times New Roman" w:cs="Times New Roman"/>
          <w:rtl/>
          <w:lang w:eastAsia="de-DE"/>
        </w:rPr>
        <w:t xml:space="preserve"> </w:t>
      </w:r>
      <w:r w:rsidRPr="0001206C">
        <w:rPr>
          <w:rFonts w:eastAsia="Times New Roman" w:cs="Times New Roman"/>
          <w:lang w:eastAsia="de-DE"/>
        </w:rPr>
        <w:t xml:space="preserve">der Adressat. Diese zweite direkte Anrede an Aaron im selben Kapitel unterstreicht die Bedeutung. Die emphatische Phrase </w:t>
      </w:r>
      <w:r w:rsidRPr="0001206C">
        <w:rPr>
          <w:rFonts w:eastAsia="Times New Roman" w:cs="Times New Roman"/>
          <w:b/>
          <w:bCs/>
          <w:rtl/>
          <w:lang w:eastAsia="de-DE"/>
        </w:rPr>
        <w:t>וַאֲנִי הִנֵּה</w:t>
      </w:r>
      <w:r w:rsidRPr="0001206C">
        <w:rPr>
          <w:rFonts w:eastAsia="Times New Roman" w:cs="Times New Roman"/>
          <w:rtl/>
          <w:lang w:eastAsia="de-DE"/>
        </w:rPr>
        <w:t xml:space="preserve"> </w:t>
      </w:r>
      <w:r w:rsidRPr="0001206C">
        <w:rPr>
          <w:rFonts w:eastAsia="Times New Roman" w:cs="Times New Roman"/>
          <w:lang w:eastAsia="de-DE"/>
        </w:rPr>
        <w:t xml:space="preserve">(„und ich, siehe") betont JHWHs persönliches Geben. Das Verb </w:t>
      </w:r>
      <w:r w:rsidRPr="0001206C">
        <w:rPr>
          <w:rFonts w:eastAsia="Times New Roman" w:cs="Times New Roman"/>
          <w:b/>
          <w:bCs/>
          <w:rtl/>
          <w:lang w:eastAsia="de-DE"/>
        </w:rPr>
        <w:t>נָתַתִּי</w:t>
      </w:r>
      <w:r w:rsidRPr="0001206C">
        <w:rPr>
          <w:rFonts w:eastAsia="Times New Roman" w:cs="Times New Roman"/>
          <w:rtl/>
          <w:lang w:eastAsia="de-DE"/>
        </w:rPr>
        <w:t xml:space="preserve"> </w:t>
      </w:r>
      <w:r w:rsidRPr="0001206C">
        <w:rPr>
          <w:rFonts w:eastAsia="Times New Roman" w:cs="Times New Roman"/>
          <w:lang w:eastAsia="de-DE"/>
        </w:rPr>
        <w:t xml:space="preserve">(Qal Perfekt, 1. c. sg. von </w:t>
      </w:r>
      <w:r w:rsidRPr="0001206C">
        <w:rPr>
          <w:rFonts w:eastAsia="Times New Roman" w:cs="Times New Roman"/>
          <w:b/>
          <w:bCs/>
          <w:rtl/>
          <w:lang w:eastAsia="de-DE"/>
        </w:rPr>
        <w:t>נתן</w:t>
      </w:r>
      <w:r w:rsidRPr="0001206C">
        <w:rPr>
          <w:rFonts w:eastAsia="Times New Roman" w:cs="Times New Roman"/>
          <w:lang w:eastAsia="de-DE"/>
        </w:rPr>
        <w:t xml:space="preserve">) bedeutet „ich habe gegeben". </w:t>
      </w:r>
      <w:r w:rsidRPr="0001206C">
        <w:rPr>
          <w:rFonts w:eastAsia="Times New Roman" w:cs="Times New Roman"/>
          <w:b/>
          <w:bCs/>
          <w:rtl/>
          <w:lang w:eastAsia="de-DE"/>
        </w:rPr>
        <w:t>לְךָ</w:t>
      </w:r>
      <w:r w:rsidRPr="0001206C">
        <w:rPr>
          <w:rFonts w:eastAsia="Times New Roman" w:cs="Times New Roman"/>
          <w:rtl/>
          <w:lang w:eastAsia="de-DE"/>
        </w:rPr>
        <w:t xml:space="preserve"> </w:t>
      </w:r>
      <w:r w:rsidRPr="0001206C">
        <w:rPr>
          <w:rFonts w:eastAsia="Times New Roman" w:cs="Times New Roman"/>
          <w:lang w:eastAsia="de-DE"/>
        </w:rPr>
        <w:t xml:space="preserve">(„dir") ist das indirekte Objekt. Das Objekt </w:t>
      </w:r>
      <w:r w:rsidRPr="0001206C">
        <w:rPr>
          <w:rFonts w:eastAsia="Times New Roman" w:cs="Times New Roman"/>
          <w:b/>
          <w:bCs/>
          <w:rtl/>
          <w:lang w:eastAsia="de-DE"/>
        </w:rPr>
        <w:t>אֶת־מִשְׁמֶרֶת תְּרוּמֹתָי</w:t>
      </w:r>
      <w:r w:rsidRPr="0001206C">
        <w:rPr>
          <w:rFonts w:eastAsia="Times New Roman" w:cs="Times New Roman"/>
          <w:rtl/>
          <w:lang w:eastAsia="de-DE"/>
        </w:rPr>
        <w:t xml:space="preserve"> </w:t>
      </w:r>
      <w:r w:rsidRPr="0001206C">
        <w:rPr>
          <w:rFonts w:eastAsia="Times New Roman" w:cs="Times New Roman"/>
          <w:lang w:eastAsia="de-DE"/>
        </w:rPr>
        <w:t>ist „die Anordnung/Verantwortung für meine Hebopfer" (</w:t>
      </w:r>
      <w:r w:rsidRPr="0001206C">
        <w:rPr>
          <w:rFonts w:eastAsia="Times New Roman" w:cs="Times New Roman"/>
          <w:b/>
          <w:bCs/>
          <w:rtl/>
          <w:lang w:eastAsia="de-DE"/>
        </w:rPr>
        <w:t>מִשְׁמֶרֶת</w:t>
      </w:r>
      <w:r w:rsidRPr="0001206C">
        <w:rPr>
          <w:rFonts w:eastAsia="Times New Roman" w:cs="Times New Roman"/>
          <w:rtl/>
          <w:lang w:eastAsia="de-DE"/>
        </w:rPr>
        <w:t xml:space="preserve"> </w:t>
      </w:r>
      <w:r w:rsidRPr="0001206C">
        <w:rPr>
          <w:rFonts w:eastAsia="Times New Roman" w:cs="Times New Roman"/>
          <w:lang w:eastAsia="de-DE"/>
        </w:rPr>
        <w:t xml:space="preserve">im Constructus vor </w:t>
      </w:r>
      <w:r w:rsidRPr="0001206C">
        <w:rPr>
          <w:rFonts w:eastAsia="Times New Roman" w:cs="Times New Roman"/>
          <w:b/>
          <w:bCs/>
          <w:rtl/>
          <w:lang w:eastAsia="de-DE"/>
        </w:rPr>
        <w:t>תְּרוּמֹתָי</w:t>
      </w:r>
      <w:r w:rsidRPr="0001206C">
        <w:rPr>
          <w:rFonts w:eastAsia="Times New Roman" w:cs="Times New Roman"/>
          <w:lang w:eastAsia="de-DE"/>
        </w:rPr>
        <w:t>, „meine Hebopfer" mit Possessivsuffix 1. c. sg.).</w:t>
      </w:r>
    </w:p>
    <w:p w14:paraId="71CBAFB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Präpositionalphrase </w:t>
      </w:r>
      <w:r w:rsidRPr="0001206C">
        <w:rPr>
          <w:rFonts w:eastAsia="Times New Roman" w:cs="Times New Roman"/>
          <w:b/>
          <w:bCs/>
          <w:rtl/>
          <w:lang w:eastAsia="de-DE"/>
        </w:rPr>
        <w:t>לְכָל־קָדְשֵׁי בְנֵי־יִשְׂרָאֵל</w:t>
      </w:r>
      <w:r w:rsidRPr="0001206C">
        <w:rPr>
          <w:rFonts w:eastAsia="Times New Roman" w:cs="Times New Roman"/>
          <w:rtl/>
          <w:lang w:eastAsia="de-DE"/>
        </w:rPr>
        <w:t xml:space="preserve"> </w:t>
      </w:r>
      <w:r w:rsidRPr="0001206C">
        <w:rPr>
          <w:rFonts w:eastAsia="Times New Roman" w:cs="Times New Roman"/>
          <w:lang w:eastAsia="de-DE"/>
        </w:rPr>
        <w:t xml:space="preserve">spezifiziert: „von allen heiligen Dingen der Söhne Israels" (dreifache Constructus-Verbindung). Das wiederholte </w:t>
      </w:r>
      <w:r w:rsidRPr="0001206C">
        <w:rPr>
          <w:rFonts w:eastAsia="Times New Roman" w:cs="Times New Roman"/>
          <w:b/>
          <w:bCs/>
          <w:rtl/>
          <w:lang w:eastAsia="de-DE"/>
        </w:rPr>
        <w:t>לְךָ נְתַתִּים</w:t>
      </w:r>
      <w:r w:rsidRPr="0001206C">
        <w:rPr>
          <w:rFonts w:eastAsia="Times New Roman" w:cs="Times New Roman"/>
          <w:rtl/>
          <w:lang w:eastAsia="de-DE"/>
        </w:rPr>
        <w:t xml:space="preserve"> </w:t>
      </w:r>
      <w:r w:rsidRPr="0001206C">
        <w:rPr>
          <w:rFonts w:eastAsia="Times New Roman" w:cs="Times New Roman"/>
          <w:lang w:eastAsia="de-DE"/>
        </w:rPr>
        <w:t xml:space="preserve">(„dir habe ich sie gegeben") mit </w:t>
      </w:r>
      <w:r w:rsidRPr="0001206C">
        <w:rPr>
          <w:rFonts w:eastAsia="Times New Roman" w:cs="Times New Roman"/>
          <w:b/>
          <w:bCs/>
          <w:rtl/>
          <w:lang w:eastAsia="de-DE"/>
        </w:rPr>
        <w:t>נְתַתִּים</w:t>
      </w:r>
      <w:r w:rsidRPr="0001206C">
        <w:rPr>
          <w:rFonts w:eastAsia="Times New Roman" w:cs="Times New Roman"/>
          <w:rtl/>
          <w:lang w:eastAsia="de-DE"/>
        </w:rPr>
        <w:t xml:space="preserve"> </w:t>
      </w:r>
      <w:r w:rsidRPr="0001206C">
        <w:rPr>
          <w:rFonts w:eastAsia="Times New Roman" w:cs="Times New Roman"/>
          <w:lang w:eastAsia="de-DE"/>
        </w:rPr>
        <w:t xml:space="preserve">(Qal Perfekt, 1. c. sg. von </w:t>
      </w:r>
      <w:r w:rsidRPr="0001206C">
        <w:rPr>
          <w:rFonts w:eastAsia="Times New Roman" w:cs="Times New Roman"/>
          <w:b/>
          <w:bCs/>
          <w:rtl/>
          <w:lang w:eastAsia="de-DE"/>
        </w:rPr>
        <w:t>נתן</w:t>
      </w:r>
      <w:r w:rsidRPr="0001206C">
        <w:rPr>
          <w:rFonts w:eastAsia="Times New Roman" w:cs="Times New Roman"/>
          <w:rtl/>
          <w:lang w:eastAsia="de-DE"/>
        </w:rPr>
        <w:t xml:space="preserve"> </w:t>
      </w:r>
      <w:r w:rsidRPr="0001206C">
        <w:rPr>
          <w:rFonts w:eastAsia="Times New Roman" w:cs="Times New Roman"/>
          <w:lang w:eastAsia="de-DE"/>
        </w:rPr>
        <w:t xml:space="preserve">mit Objektsuffix 3. m. pl.) betont nochmals die Gabe. </w:t>
      </w:r>
      <w:r w:rsidRPr="0001206C">
        <w:rPr>
          <w:rFonts w:eastAsia="Times New Roman" w:cs="Times New Roman"/>
          <w:b/>
          <w:bCs/>
          <w:rtl/>
          <w:lang w:eastAsia="de-DE"/>
        </w:rPr>
        <w:t>לְמָשְׁחָה</w:t>
      </w:r>
      <w:r w:rsidRPr="0001206C">
        <w:rPr>
          <w:rFonts w:eastAsia="Times New Roman" w:cs="Times New Roman"/>
          <w:rtl/>
          <w:lang w:eastAsia="de-DE"/>
        </w:rPr>
        <w:t xml:space="preserve"> </w:t>
      </w:r>
      <w:r w:rsidRPr="0001206C">
        <w:rPr>
          <w:rFonts w:eastAsia="Times New Roman" w:cs="Times New Roman"/>
          <w:lang w:eastAsia="de-DE"/>
        </w:rPr>
        <w:t>ist „als Salbungsteil" (</w:t>
      </w:r>
      <w:r w:rsidRPr="0001206C">
        <w:rPr>
          <w:rFonts w:eastAsia="Times New Roman" w:cs="Times New Roman"/>
          <w:b/>
          <w:bCs/>
          <w:rtl/>
          <w:lang w:eastAsia="de-DE"/>
        </w:rPr>
        <w:t>מָשְׁחָה</w:t>
      </w:r>
      <w:r w:rsidRPr="0001206C">
        <w:rPr>
          <w:rFonts w:eastAsia="Times New Roman" w:cs="Times New Roman"/>
          <w:rtl/>
          <w:lang w:eastAsia="de-DE"/>
        </w:rPr>
        <w:t xml:space="preserve"> </w:t>
      </w:r>
      <w:r w:rsidRPr="0001206C">
        <w:rPr>
          <w:rFonts w:eastAsia="Times New Roman" w:cs="Times New Roman"/>
          <w:lang w:eastAsia="de-DE"/>
        </w:rPr>
        <w:t xml:space="preserve">von </w:t>
      </w:r>
      <w:r w:rsidRPr="0001206C">
        <w:rPr>
          <w:rFonts w:eastAsia="Times New Roman" w:cs="Times New Roman"/>
          <w:b/>
          <w:bCs/>
          <w:rtl/>
          <w:lang w:eastAsia="de-DE"/>
        </w:rPr>
        <w:t>משׁח</w:t>
      </w:r>
      <w:r w:rsidRPr="0001206C">
        <w:rPr>
          <w:rFonts w:eastAsia="Times New Roman" w:cs="Times New Roman"/>
          <w:lang w:eastAsia="de-DE"/>
        </w:rPr>
        <w:t xml:space="preserve">, „salben" – Anteil der Gesalbten). </w:t>
      </w:r>
      <w:r w:rsidRPr="0001206C">
        <w:rPr>
          <w:rFonts w:eastAsia="Times New Roman" w:cs="Times New Roman"/>
          <w:b/>
          <w:bCs/>
          <w:rtl/>
          <w:lang w:eastAsia="de-DE"/>
        </w:rPr>
        <w:t>וּלְבָנֶיךָ</w:t>
      </w:r>
      <w:r w:rsidRPr="0001206C">
        <w:rPr>
          <w:rFonts w:eastAsia="Times New Roman" w:cs="Times New Roman"/>
          <w:rtl/>
          <w:lang w:eastAsia="de-DE"/>
        </w:rPr>
        <w:t xml:space="preserve"> </w:t>
      </w:r>
      <w:r w:rsidRPr="0001206C">
        <w:rPr>
          <w:rFonts w:eastAsia="Times New Roman" w:cs="Times New Roman"/>
          <w:lang w:eastAsia="de-DE"/>
        </w:rPr>
        <w:t xml:space="preserve">(„und für deine Söhne") erweitert die Empfänger. </w:t>
      </w:r>
      <w:r w:rsidRPr="0001206C">
        <w:rPr>
          <w:rFonts w:eastAsia="Times New Roman" w:cs="Times New Roman"/>
          <w:b/>
          <w:bCs/>
          <w:rtl/>
          <w:lang w:eastAsia="de-DE"/>
        </w:rPr>
        <w:t>לְחָק־עוֹלָם</w:t>
      </w:r>
      <w:r w:rsidRPr="0001206C">
        <w:rPr>
          <w:rFonts w:eastAsia="Times New Roman" w:cs="Times New Roman"/>
          <w:rtl/>
          <w:lang w:eastAsia="de-DE"/>
        </w:rPr>
        <w:t xml:space="preserve"> </w:t>
      </w:r>
      <w:r w:rsidRPr="0001206C">
        <w:rPr>
          <w:rFonts w:eastAsia="Times New Roman" w:cs="Times New Roman"/>
          <w:lang w:eastAsia="de-DE"/>
        </w:rPr>
        <w:t>ist „als ewige Gebühr/Satzung" (Constructus-Verbindung).</w:t>
      </w:r>
    </w:p>
    <w:p w14:paraId="2E20676E" w14:textId="6C5E1726"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w:t>
      </w:r>
      <w:r w:rsidR="00420C4D">
        <w:t>übersetzt „</w:t>
      </w:r>
      <w:r w:rsidR="00420C4D" w:rsidRPr="00420C4D">
        <w:rPr>
          <w:b/>
          <w:bCs/>
          <w:rtl/>
        </w:rPr>
        <w:t>תְּרוּמֹתָי</w:t>
      </w:r>
      <w:r w:rsidR="00420C4D">
        <w:t>" (meine Hebopfer) mit „τῶν ἀπαρχῶν" (der Erstlingsfrüchte), was spezifischer ist als das allgemeine hebräische Wort für Hebopfer. Zudem wird „</w:t>
      </w:r>
      <w:r w:rsidR="00420C4D" w:rsidRPr="00420C4D">
        <w:rPr>
          <w:b/>
          <w:bCs/>
          <w:rtl/>
        </w:rPr>
        <w:t>לְמָשְׁחָה</w:t>
      </w:r>
      <w:r w:rsidR="00420C4D">
        <w:t>" (zur Salbung) mit „εἰς γέρας" (als Ehrengabe/Privileg) übersetzt, eine völlig andere Bedeutung.</w:t>
      </w:r>
    </w:p>
    <w:p w14:paraId="2C2CB51D"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Satzstruktur zeigt einen Hauptsatz mit Verb und Adressaten. Die direkte Rede beginnt mit emphatischem Pronomen, Interjektion, Verb, indirektem Objekt und direktem Objekt (Constructus-Verbindung). Eine Präpositionalphrase spezifiziert die Quelle. Ein wiederholtes Verb mit Objektsuffix, indirektem Objekt und zwei präpositionalen Bestimmungen schließt ab.</w:t>
      </w:r>
    </w:p>
    <w:p w14:paraId="4A2CDE52"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leitet den zweiten Hauptteil des Kapitels ein: die Versorgung der Priester durch Opferanteile als Kompensation für ihren Dienst und Landverzicht.</w:t>
      </w:r>
    </w:p>
    <w:p w14:paraId="3659BFE3"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18,9</w:t>
      </w:r>
    </w:p>
    <w:p w14:paraId="2C2347F9"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זֶֽה־יִהְיֶ֥ה לְךָ֛ מִקֹּ֥דֶשׁ הַקֳּדָשִׁ֖ים מִן־הָאֵ֑שׁ כָּל־קָ֠רְבָּנָם לְֽכָל־מִנְחָתָ֞ם וּלְכָל־חַטָּאתָ֗ם וּלְכָל־אֲשָׁמָם֙ אֲשֶׁ֣ר יָשִׁ֣יבוּ לִ֔י קֹ֣דֶשׁ קָֽדָשִׁ֥ים לְךָ֛ ה֖וּא וּלְבָנֶֽיךָ׃</w:t>
      </w:r>
    </w:p>
    <w:p w14:paraId="608CF37F"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Dies soll dir gehören von dem Hochheiligen, das nicht verbrannt wird: alle ihre Opfergaben nach allen ihren Speisopfern und nach allen ihren Sündopfern und nach allen ihren Schuldopfern, die sie mir darbringen, als ein Hochheiliges soll es dir und deinen Söhnen gehören.</w:t>
      </w:r>
    </w:p>
    <w:p w14:paraId="1A663963"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67DBA481">
          <v:rect id="_x0000_i1610" style="width:0;height:1.5pt" o:hralign="center" o:hrstd="t" o:hr="t" fillcolor="#a0a0a0" stroked="f"/>
        </w:pict>
      </w:r>
    </w:p>
    <w:p w14:paraId="5EB4542B"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Das Demonstrativpronomen </w:t>
      </w:r>
      <w:r w:rsidRPr="0001206C">
        <w:rPr>
          <w:rFonts w:eastAsia="Times New Roman" w:cs="Times New Roman"/>
          <w:b/>
          <w:bCs/>
          <w:rtl/>
          <w:lang w:eastAsia="de-DE"/>
        </w:rPr>
        <w:t>זֶה</w:t>
      </w:r>
      <w:r w:rsidRPr="0001206C">
        <w:rPr>
          <w:rFonts w:eastAsia="Times New Roman" w:cs="Times New Roman"/>
          <w:rtl/>
          <w:lang w:eastAsia="de-DE"/>
        </w:rPr>
        <w:t xml:space="preserve"> </w:t>
      </w:r>
      <w:r w:rsidRPr="0001206C">
        <w:rPr>
          <w:rFonts w:eastAsia="Times New Roman" w:cs="Times New Roman"/>
          <w:lang w:eastAsia="de-DE"/>
        </w:rPr>
        <w:t xml:space="preserve">(„dies") verweist auf die folgende Aufzählung. Das Verb </w:t>
      </w:r>
      <w:r w:rsidRPr="0001206C">
        <w:rPr>
          <w:rFonts w:eastAsia="Times New Roman" w:cs="Times New Roman"/>
          <w:b/>
          <w:bCs/>
          <w:rtl/>
          <w:lang w:eastAsia="de-DE"/>
        </w:rPr>
        <w:t>יִהְיֶה</w:t>
      </w:r>
      <w:r w:rsidRPr="0001206C">
        <w:rPr>
          <w:rFonts w:eastAsia="Times New Roman" w:cs="Times New Roman"/>
          <w:rtl/>
          <w:lang w:eastAsia="de-DE"/>
        </w:rPr>
        <w:t xml:space="preserve"> </w:t>
      </w:r>
      <w:r w:rsidRPr="0001206C">
        <w:rPr>
          <w:rFonts w:eastAsia="Times New Roman" w:cs="Times New Roman"/>
          <w:lang w:eastAsia="de-DE"/>
        </w:rPr>
        <w:t xml:space="preserve">(Qal Imperfekt, 3. m. sg. von </w:t>
      </w:r>
      <w:r w:rsidRPr="0001206C">
        <w:rPr>
          <w:rFonts w:eastAsia="Times New Roman" w:cs="Times New Roman"/>
          <w:b/>
          <w:bCs/>
          <w:rtl/>
          <w:lang w:eastAsia="de-DE"/>
        </w:rPr>
        <w:t>היה</w:t>
      </w:r>
      <w:r w:rsidRPr="0001206C">
        <w:rPr>
          <w:rFonts w:eastAsia="Times New Roman" w:cs="Times New Roman"/>
          <w:lang w:eastAsia="de-DE"/>
        </w:rPr>
        <w:t xml:space="preserve">) bedeutet „es wird sein". </w:t>
      </w:r>
      <w:r w:rsidRPr="0001206C">
        <w:rPr>
          <w:rFonts w:eastAsia="Times New Roman" w:cs="Times New Roman"/>
          <w:b/>
          <w:bCs/>
          <w:rtl/>
          <w:lang w:eastAsia="de-DE"/>
        </w:rPr>
        <w:t>לְךָ</w:t>
      </w:r>
      <w:r w:rsidRPr="0001206C">
        <w:rPr>
          <w:rFonts w:eastAsia="Times New Roman" w:cs="Times New Roman"/>
          <w:rtl/>
          <w:lang w:eastAsia="de-DE"/>
        </w:rPr>
        <w:t xml:space="preserve"> </w:t>
      </w:r>
      <w:r w:rsidRPr="0001206C">
        <w:rPr>
          <w:rFonts w:eastAsia="Times New Roman" w:cs="Times New Roman"/>
          <w:lang w:eastAsia="de-DE"/>
        </w:rPr>
        <w:t xml:space="preserve">(„dir") gibt den Empfänger an. Die Präposition </w:t>
      </w:r>
      <w:r w:rsidRPr="0001206C">
        <w:rPr>
          <w:rFonts w:eastAsia="Times New Roman" w:cs="Times New Roman"/>
          <w:b/>
          <w:bCs/>
          <w:rtl/>
          <w:lang w:eastAsia="de-DE"/>
        </w:rPr>
        <w:t>מִקֹּדֶשׁ הַקֳּדָשִׁים</w:t>
      </w:r>
      <w:r w:rsidRPr="0001206C">
        <w:rPr>
          <w:rFonts w:eastAsia="Times New Roman" w:cs="Times New Roman"/>
          <w:rtl/>
          <w:lang w:eastAsia="de-DE"/>
        </w:rPr>
        <w:t xml:space="preserve"> </w:t>
      </w:r>
      <w:r w:rsidRPr="0001206C">
        <w:rPr>
          <w:rFonts w:eastAsia="Times New Roman" w:cs="Times New Roman"/>
          <w:lang w:eastAsia="de-DE"/>
        </w:rPr>
        <w:t>ist „von dem Hochheiligen" (</w:t>
      </w:r>
      <w:r w:rsidRPr="0001206C">
        <w:rPr>
          <w:rFonts w:eastAsia="Times New Roman" w:cs="Times New Roman"/>
          <w:b/>
          <w:bCs/>
          <w:rtl/>
          <w:lang w:eastAsia="de-DE"/>
        </w:rPr>
        <w:t>קֹדֶשׁ הַקֳּדָשִׁים</w:t>
      </w:r>
      <w:r w:rsidRPr="0001206C">
        <w:rPr>
          <w:rFonts w:eastAsia="Times New Roman" w:cs="Times New Roman"/>
          <w:rtl/>
          <w:lang w:eastAsia="de-DE"/>
        </w:rPr>
        <w:t xml:space="preserve"> </w:t>
      </w:r>
      <w:r w:rsidRPr="0001206C">
        <w:rPr>
          <w:rFonts w:eastAsia="Times New Roman" w:cs="Times New Roman"/>
          <w:lang w:eastAsia="de-DE"/>
        </w:rPr>
        <w:t xml:space="preserve">ist eine Superlativkonstruktion: „Heiliges der Heiligen"). Die Präposition </w:t>
      </w:r>
      <w:r w:rsidRPr="0001206C">
        <w:rPr>
          <w:rFonts w:eastAsia="Times New Roman" w:cs="Times New Roman"/>
          <w:b/>
          <w:bCs/>
          <w:rtl/>
          <w:lang w:eastAsia="de-DE"/>
        </w:rPr>
        <w:t>מִן־הָאֵשׁ</w:t>
      </w:r>
      <w:r w:rsidRPr="0001206C">
        <w:rPr>
          <w:rFonts w:eastAsia="Times New Roman" w:cs="Times New Roman"/>
          <w:rtl/>
          <w:lang w:eastAsia="de-DE"/>
        </w:rPr>
        <w:t xml:space="preserve"> </w:t>
      </w:r>
      <w:r w:rsidRPr="0001206C">
        <w:rPr>
          <w:rFonts w:eastAsia="Times New Roman" w:cs="Times New Roman"/>
          <w:lang w:eastAsia="de-DE"/>
        </w:rPr>
        <w:t>(„von dem Feuer") bedeutet hier „was nicht vollständig verbrannt wird" – also Opferteile, die den Priestern zufallen.</w:t>
      </w:r>
    </w:p>
    <w:p w14:paraId="470DE13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umfassende Aufzählung </w:t>
      </w:r>
      <w:r w:rsidRPr="0001206C">
        <w:rPr>
          <w:rFonts w:eastAsia="Times New Roman" w:cs="Times New Roman"/>
          <w:b/>
          <w:bCs/>
          <w:rtl/>
          <w:lang w:eastAsia="de-DE"/>
        </w:rPr>
        <w:t>כָּל־קָרְבָּנָם לְכָל־מִנְחָתָם וּלְכָל־חַטָּאתָם וּלְכָל־אֲשָׁמָם</w:t>
      </w:r>
      <w:r w:rsidRPr="0001206C">
        <w:rPr>
          <w:rFonts w:eastAsia="Times New Roman" w:cs="Times New Roman"/>
          <w:rtl/>
          <w:lang w:eastAsia="de-DE"/>
        </w:rPr>
        <w:t xml:space="preserve"> </w:t>
      </w:r>
      <w:r w:rsidRPr="0001206C">
        <w:rPr>
          <w:rFonts w:eastAsia="Times New Roman" w:cs="Times New Roman"/>
          <w:lang w:eastAsia="de-DE"/>
        </w:rPr>
        <w:t xml:space="preserve">nennt drei Hauptopfertypen: </w:t>
      </w:r>
      <w:r w:rsidRPr="0001206C">
        <w:rPr>
          <w:rFonts w:eastAsia="Times New Roman" w:cs="Times New Roman"/>
          <w:b/>
          <w:bCs/>
          <w:rtl/>
          <w:lang w:eastAsia="de-DE"/>
        </w:rPr>
        <w:t>קָרְבָּנָם</w:t>
      </w:r>
      <w:r w:rsidRPr="0001206C">
        <w:rPr>
          <w:rFonts w:eastAsia="Times New Roman" w:cs="Times New Roman"/>
          <w:rtl/>
          <w:lang w:eastAsia="de-DE"/>
        </w:rPr>
        <w:t xml:space="preserve"> </w:t>
      </w:r>
      <w:r w:rsidRPr="0001206C">
        <w:rPr>
          <w:rFonts w:eastAsia="Times New Roman" w:cs="Times New Roman"/>
          <w:lang w:eastAsia="de-DE"/>
        </w:rPr>
        <w:t xml:space="preserve">(„ihre Opfergaben", allgemein), </w:t>
      </w:r>
      <w:r w:rsidRPr="0001206C">
        <w:rPr>
          <w:rFonts w:eastAsia="Times New Roman" w:cs="Times New Roman"/>
          <w:b/>
          <w:bCs/>
          <w:rtl/>
          <w:lang w:eastAsia="de-DE"/>
        </w:rPr>
        <w:t>מִנְחָתָם</w:t>
      </w:r>
      <w:r w:rsidRPr="0001206C">
        <w:rPr>
          <w:rFonts w:eastAsia="Times New Roman" w:cs="Times New Roman"/>
          <w:rtl/>
          <w:lang w:eastAsia="de-DE"/>
        </w:rPr>
        <w:t xml:space="preserve"> </w:t>
      </w:r>
      <w:r w:rsidRPr="0001206C">
        <w:rPr>
          <w:rFonts w:eastAsia="Times New Roman" w:cs="Times New Roman"/>
          <w:lang w:eastAsia="de-DE"/>
        </w:rPr>
        <w:t xml:space="preserve">(„ihre Speisopfer"), </w:t>
      </w:r>
      <w:r w:rsidRPr="0001206C">
        <w:rPr>
          <w:rFonts w:eastAsia="Times New Roman" w:cs="Times New Roman"/>
          <w:b/>
          <w:bCs/>
          <w:rtl/>
          <w:lang w:eastAsia="de-DE"/>
        </w:rPr>
        <w:t>חַטָּאתָם</w:t>
      </w:r>
      <w:r w:rsidRPr="0001206C">
        <w:rPr>
          <w:rFonts w:eastAsia="Times New Roman" w:cs="Times New Roman"/>
          <w:rtl/>
          <w:lang w:eastAsia="de-DE"/>
        </w:rPr>
        <w:t xml:space="preserve"> </w:t>
      </w:r>
      <w:r w:rsidRPr="0001206C">
        <w:rPr>
          <w:rFonts w:eastAsia="Times New Roman" w:cs="Times New Roman"/>
          <w:lang w:eastAsia="de-DE"/>
        </w:rPr>
        <w:lastRenderedPageBreak/>
        <w:t xml:space="preserve">(„ihre Sündopfer"), </w:t>
      </w:r>
      <w:r w:rsidRPr="0001206C">
        <w:rPr>
          <w:rFonts w:eastAsia="Times New Roman" w:cs="Times New Roman"/>
          <w:b/>
          <w:bCs/>
          <w:rtl/>
          <w:lang w:eastAsia="de-DE"/>
        </w:rPr>
        <w:t>אֲשָׁמָם</w:t>
      </w:r>
      <w:r w:rsidRPr="0001206C">
        <w:rPr>
          <w:rFonts w:eastAsia="Times New Roman" w:cs="Times New Roman"/>
          <w:rtl/>
          <w:lang w:eastAsia="de-DE"/>
        </w:rPr>
        <w:t xml:space="preserve"> </w:t>
      </w:r>
      <w:r w:rsidRPr="0001206C">
        <w:rPr>
          <w:rFonts w:eastAsia="Times New Roman" w:cs="Times New Roman"/>
          <w:lang w:eastAsia="de-DE"/>
        </w:rPr>
        <w:t xml:space="preserve">(„ihre Schuldopfer"). Alle mit </w:t>
      </w:r>
      <w:r w:rsidRPr="0001206C">
        <w:rPr>
          <w:rFonts w:eastAsia="Times New Roman" w:cs="Times New Roman"/>
          <w:b/>
          <w:bCs/>
          <w:rtl/>
          <w:lang w:eastAsia="de-DE"/>
        </w:rPr>
        <w:t>כָּל</w:t>
      </w:r>
      <w:r w:rsidRPr="0001206C">
        <w:rPr>
          <w:rFonts w:eastAsia="Times New Roman" w:cs="Times New Roman"/>
          <w:rtl/>
          <w:lang w:eastAsia="de-DE"/>
        </w:rPr>
        <w:t xml:space="preserve"> </w:t>
      </w:r>
      <w:r w:rsidRPr="0001206C">
        <w:rPr>
          <w:rFonts w:eastAsia="Times New Roman" w:cs="Times New Roman"/>
          <w:lang w:eastAsia="de-DE"/>
        </w:rPr>
        <w:t xml:space="preserve">im Constructus, was die Totalität betont. Der Relativsatz </w:t>
      </w:r>
      <w:r w:rsidRPr="0001206C">
        <w:rPr>
          <w:rFonts w:eastAsia="Times New Roman" w:cs="Times New Roman"/>
          <w:b/>
          <w:bCs/>
          <w:rtl/>
          <w:lang w:eastAsia="de-DE"/>
        </w:rPr>
        <w:t>אֲשֶׁר יָשִׁיבוּ לִי</w:t>
      </w:r>
      <w:r w:rsidRPr="0001206C">
        <w:rPr>
          <w:rFonts w:eastAsia="Times New Roman" w:cs="Times New Roman"/>
          <w:rtl/>
          <w:lang w:eastAsia="de-DE"/>
        </w:rPr>
        <w:t xml:space="preserve"> </w:t>
      </w:r>
      <w:r w:rsidRPr="0001206C">
        <w:rPr>
          <w:rFonts w:eastAsia="Times New Roman" w:cs="Times New Roman"/>
          <w:lang w:eastAsia="de-DE"/>
        </w:rPr>
        <w:t xml:space="preserve">besteht aus </w:t>
      </w:r>
      <w:r w:rsidRPr="0001206C">
        <w:rPr>
          <w:rFonts w:eastAsia="Times New Roman" w:cs="Times New Roman"/>
          <w:b/>
          <w:bCs/>
          <w:rtl/>
          <w:lang w:eastAsia="de-DE"/>
        </w:rPr>
        <w:t>אֲשֶׁר</w:t>
      </w:r>
      <w:r w:rsidRPr="0001206C">
        <w:rPr>
          <w:rFonts w:eastAsia="Times New Roman" w:cs="Times New Roman"/>
          <w:rtl/>
          <w:lang w:eastAsia="de-DE"/>
        </w:rPr>
        <w:t xml:space="preserve"> </w:t>
      </w:r>
      <w:r w:rsidRPr="0001206C">
        <w:rPr>
          <w:rFonts w:eastAsia="Times New Roman" w:cs="Times New Roman"/>
          <w:lang w:eastAsia="de-DE"/>
        </w:rPr>
        <w:t xml:space="preserve">(Relativpronomen), </w:t>
      </w:r>
      <w:r w:rsidRPr="0001206C">
        <w:rPr>
          <w:rFonts w:eastAsia="Times New Roman" w:cs="Times New Roman"/>
          <w:b/>
          <w:bCs/>
          <w:rtl/>
          <w:lang w:eastAsia="de-DE"/>
        </w:rPr>
        <w:t>יָשִׁיבוּ</w:t>
      </w:r>
      <w:r w:rsidRPr="0001206C">
        <w:rPr>
          <w:rFonts w:eastAsia="Times New Roman" w:cs="Times New Roman"/>
          <w:rtl/>
          <w:lang w:eastAsia="de-DE"/>
        </w:rPr>
        <w:t xml:space="preserve"> </w:t>
      </w:r>
      <w:r w:rsidRPr="0001206C">
        <w:rPr>
          <w:rFonts w:eastAsia="Times New Roman" w:cs="Times New Roman"/>
          <w:lang w:eastAsia="de-DE"/>
        </w:rPr>
        <w:t xml:space="preserve">(Hifil Imperfekt, 3. m. pl. von </w:t>
      </w:r>
      <w:r w:rsidRPr="0001206C">
        <w:rPr>
          <w:rFonts w:eastAsia="Times New Roman" w:cs="Times New Roman"/>
          <w:b/>
          <w:bCs/>
          <w:rtl/>
          <w:lang w:eastAsia="de-DE"/>
        </w:rPr>
        <w:t>שׁוב</w:t>
      </w:r>
      <w:r w:rsidRPr="0001206C">
        <w:rPr>
          <w:rFonts w:eastAsia="Times New Roman" w:cs="Times New Roman"/>
          <w:lang w:eastAsia="de-DE"/>
        </w:rPr>
        <w:t xml:space="preserve">, „sie bringen zurück, erstatten") und </w:t>
      </w:r>
      <w:r w:rsidRPr="0001206C">
        <w:rPr>
          <w:rFonts w:eastAsia="Times New Roman" w:cs="Times New Roman"/>
          <w:b/>
          <w:bCs/>
          <w:rtl/>
          <w:lang w:eastAsia="de-DE"/>
        </w:rPr>
        <w:t>לִי</w:t>
      </w:r>
      <w:r w:rsidRPr="0001206C">
        <w:rPr>
          <w:rFonts w:eastAsia="Times New Roman" w:cs="Times New Roman"/>
          <w:rtl/>
          <w:lang w:eastAsia="de-DE"/>
        </w:rPr>
        <w:t xml:space="preserve"> </w:t>
      </w:r>
      <w:r w:rsidRPr="0001206C">
        <w:rPr>
          <w:rFonts w:eastAsia="Times New Roman" w:cs="Times New Roman"/>
          <w:lang w:eastAsia="de-DE"/>
        </w:rPr>
        <w:t>(„mir"). Die Phrase betont, dass diese Opfer JHWH gebracht werden.</w:t>
      </w:r>
    </w:p>
    <w:p w14:paraId="7A85F4E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emphatische Wiederholung </w:t>
      </w:r>
      <w:r w:rsidRPr="0001206C">
        <w:rPr>
          <w:rFonts w:eastAsia="Times New Roman" w:cs="Times New Roman"/>
          <w:b/>
          <w:bCs/>
          <w:rtl/>
          <w:lang w:eastAsia="de-DE"/>
        </w:rPr>
        <w:t>קֹדֶשׁ קָדָשִׁים לְךָ הוּא וּלְבָנֶיךָ</w:t>
      </w:r>
      <w:r w:rsidRPr="0001206C">
        <w:rPr>
          <w:rFonts w:eastAsia="Times New Roman" w:cs="Times New Roman"/>
          <w:rtl/>
          <w:lang w:eastAsia="de-DE"/>
        </w:rPr>
        <w:t xml:space="preserve"> </w:t>
      </w:r>
      <w:r w:rsidRPr="0001206C">
        <w:rPr>
          <w:rFonts w:eastAsia="Times New Roman" w:cs="Times New Roman"/>
          <w:lang w:eastAsia="de-DE"/>
        </w:rPr>
        <w:t xml:space="preserve">besteht aus der Superlativkonstruktion </w:t>
      </w:r>
      <w:r w:rsidRPr="0001206C">
        <w:rPr>
          <w:rFonts w:eastAsia="Times New Roman" w:cs="Times New Roman"/>
          <w:b/>
          <w:bCs/>
          <w:rtl/>
          <w:lang w:eastAsia="de-DE"/>
        </w:rPr>
        <w:t>קֹדֶשׁ קָדָשִׁים</w:t>
      </w:r>
      <w:r w:rsidRPr="0001206C">
        <w:rPr>
          <w:rFonts w:eastAsia="Times New Roman" w:cs="Times New Roman"/>
          <w:rtl/>
          <w:lang w:eastAsia="de-DE"/>
        </w:rPr>
        <w:t xml:space="preserve"> </w:t>
      </w:r>
      <w:r w:rsidRPr="0001206C">
        <w:rPr>
          <w:rFonts w:eastAsia="Times New Roman" w:cs="Times New Roman"/>
          <w:lang w:eastAsia="de-DE"/>
        </w:rPr>
        <w:t xml:space="preserve">(„Hochheiliges"), </w:t>
      </w:r>
      <w:r w:rsidRPr="0001206C">
        <w:rPr>
          <w:rFonts w:eastAsia="Times New Roman" w:cs="Times New Roman"/>
          <w:b/>
          <w:bCs/>
          <w:rtl/>
          <w:lang w:eastAsia="de-DE"/>
        </w:rPr>
        <w:t>לְךָ</w:t>
      </w:r>
      <w:r w:rsidRPr="0001206C">
        <w:rPr>
          <w:rFonts w:eastAsia="Times New Roman" w:cs="Times New Roman"/>
          <w:rtl/>
          <w:lang w:eastAsia="de-DE"/>
        </w:rPr>
        <w:t xml:space="preserve"> </w:t>
      </w:r>
      <w:r w:rsidRPr="0001206C">
        <w:rPr>
          <w:rFonts w:eastAsia="Times New Roman" w:cs="Times New Roman"/>
          <w:lang w:eastAsia="de-DE"/>
        </w:rPr>
        <w:t xml:space="preserve">(„dir"), dem emphatischen Pronomen </w:t>
      </w:r>
      <w:r w:rsidRPr="0001206C">
        <w:rPr>
          <w:rFonts w:eastAsia="Times New Roman" w:cs="Times New Roman"/>
          <w:b/>
          <w:bCs/>
          <w:rtl/>
          <w:lang w:eastAsia="de-DE"/>
        </w:rPr>
        <w:t>הוּא</w:t>
      </w:r>
      <w:r w:rsidRPr="0001206C">
        <w:rPr>
          <w:rFonts w:eastAsia="Times New Roman" w:cs="Times New Roman"/>
          <w:rtl/>
          <w:lang w:eastAsia="de-DE"/>
        </w:rPr>
        <w:t xml:space="preserve"> </w:t>
      </w:r>
      <w:r w:rsidRPr="0001206C">
        <w:rPr>
          <w:rFonts w:eastAsia="Times New Roman" w:cs="Times New Roman"/>
          <w:lang w:eastAsia="de-DE"/>
        </w:rPr>
        <w:t xml:space="preserve">(„es") und </w:t>
      </w:r>
      <w:r w:rsidRPr="0001206C">
        <w:rPr>
          <w:rFonts w:eastAsia="Times New Roman" w:cs="Times New Roman"/>
          <w:b/>
          <w:bCs/>
          <w:rtl/>
          <w:lang w:eastAsia="de-DE"/>
        </w:rPr>
        <w:t>וּלְבָנֶיךָ</w:t>
      </w:r>
      <w:r w:rsidRPr="0001206C">
        <w:rPr>
          <w:rFonts w:eastAsia="Times New Roman" w:cs="Times New Roman"/>
          <w:rtl/>
          <w:lang w:eastAsia="de-DE"/>
        </w:rPr>
        <w:t xml:space="preserve"> </w:t>
      </w:r>
      <w:r w:rsidRPr="0001206C">
        <w:rPr>
          <w:rFonts w:eastAsia="Times New Roman" w:cs="Times New Roman"/>
          <w:lang w:eastAsia="de-DE"/>
        </w:rPr>
        <w:t>(„und deinen Söhnen").</w:t>
      </w:r>
    </w:p>
    <w:p w14:paraId="0010969D" w14:textId="60B4E57E"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w:t>
      </w:r>
      <w:r w:rsidR="00420C4D">
        <w:t>fügt „καὶ ἀπὸ πάντων τῶν θυσιασμάτων" (und von allen Opfern) hinzu, was im hebräischen Text nicht explizit erwähnt wird, obwohl es impliziert sein könnte.</w:t>
      </w:r>
    </w:p>
    <w:p w14:paraId="176EB91D"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Satzstruktur zeigt einen Hauptsatz mit Demonstrativpronomen, Verb, indirektem Objekt und zwei Präpositionalphrasen. Eine umfassende Aufzählung mit vier koordinierten Objekten (das letzte durch Relativsatz erweitert) folgt. Eine emphatische nominale Wiederholung mit Subjekt, Präpositionalphrasen und Pronomen schließt ab.</w:t>
      </w:r>
    </w:p>
    <w:p w14:paraId="0DC04A3B"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definiert die hochheiligen Opferanteile der Priester: Teile von Speisopfern, Sünd- und Schuldopfern, die nicht vollständig verbrannt werden.</w:t>
      </w:r>
    </w:p>
    <w:p w14:paraId="24EC7F83"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18,10</w:t>
      </w:r>
    </w:p>
    <w:p w14:paraId="1FE49037"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בְּקֹ֥דֶשׁ הַקֳּדָשִׁ֖ים תֹּאכֲלֶ֑נּוּ כָּל־זָכָר֙ יֹאכַ֣ל אֹתוֹ֔ קֹ֖דֶשׁ יִֽהְיֶה־לָּֽךְ׃</w:t>
      </w:r>
    </w:p>
    <w:p w14:paraId="1E7D442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An hochheiligem Ort sollst du es essen, alles Männliche soll es essen; es soll dir heilig sein.</w:t>
      </w:r>
    </w:p>
    <w:p w14:paraId="46AC7285"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7042D5E2">
          <v:rect id="_x0000_i1611" style="width:0;height:1.5pt" o:hralign="center" o:hrstd="t" o:hr="t" fillcolor="#a0a0a0" stroked="f"/>
        </w:pict>
      </w:r>
    </w:p>
    <w:p w14:paraId="60B236CD"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Die Präpositionalphrase </w:t>
      </w:r>
      <w:r w:rsidRPr="0001206C">
        <w:rPr>
          <w:rFonts w:eastAsia="Times New Roman" w:cs="Times New Roman"/>
          <w:b/>
          <w:bCs/>
          <w:rtl/>
          <w:lang w:eastAsia="de-DE"/>
        </w:rPr>
        <w:t>בְּקֹדֶשׁ הַקֳּדָשִׁים</w:t>
      </w:r>
      <w:r w:rsidRPr="0001206C">
        <w:rPr>
          <w:rFonts w:eastAsia="Times New Roman" w:cs="Times New Roman"/>
          <w:rtl/>
          <w:lang w:eastAsia="de-DE"/>
        </w:rPr>
        <w:t xml:space="preserve"> </w:t>
      </w:r>
      <w:r w:rsidRPr="0001206C">
        <w:rPr>
          <w:rFonts w:eastAsia="Times New Roman" w:cs="Times New Roman"/>
          <w:lang w:eastAsia="de-DE"/>
        </w:rPr>
        <w:t xml:space="preserve">(„an hochheiligem Ort") gibt den Verzehrort an – nur im Heiligtum selbst. Das Verb </w:t>
      </w:r>
      <w:r w:rsidRPr="0001206C">
        <w:rPr>
          <w:rFonts w:eastAsia="Times New Roman" w:cs="Times New Roman"/>
          <w:b/>
          <w:bCs/>
          <w:rtl/>
          <w:lang w:eastAsia="de-DE"/>
        </w:rPr>
        <w:t>תֹּאכֲלֶנּוּ</w:t>
      </w:r>
      <w:r w:rsidRPr="0001206C">
        <w:rPr>
          <w:rFonts w:eastAsia="Times New Roman" w:cs="Times New Roman"/>
          <w:rtl/>
          <w:lang w:eastAsia="de-DE"/>
        </w:rPr>
        <w:t xml:space="preserve"> </w:t>
      </w:r>
      <w:r w:rsidRPr="0001206C">
        <w:rPr>
          <w:rFonts w:eastAsia="Times New Roman" w:cs="Times New Roman"/>
          <w:lang w:eastAsia="de-DE"/>
        </w:rPr>
        <w:t xml:space="preserve">(Qal Imperfekt, 2. m. sg. von </w:t>
      </w:r>
      <w:r w:rsidRPr="0001206C">
        <w:rPr>
          <w:rFonts w:eastAsia="Times New Roman" w:cs="Times New Roman"/>
          <w:b/>
          <w:bCs/>
          <w:rtl/>
          <w:lang w:eastAsia="de-DE"/>
        </w:rPr>
        <w:t>אכל</w:t>
      </w:r>
      <w:r w:rsidRPr="0001206C">
        <w:rPr>
          <w:rFonts w:eastAsia="Times New Roman" w:cs="Times New Roman"/>
          <w:rtl/>
          <w:lang w:eastAsia="de-DE"/>
        </w:rPr>
        <w:t xml:space="preserve"> </w:t>
      </w:r>
      <w:r w:rsidRPr="0001206C">
        <w:rPr>
          <w:rFonts w:eastAsia="Times New Roman" w:cs="Times New Roman"/>
          <w:lang w:eastAsia="de-DE"/>
        </w:rPr>
        <w:t xml:space="preserve">mit Objektsuffix 3. m. sg.) bedeutet „du sollst es essen". Die distributive Phrase </w:t>
      </w:r>
      <w:r w:rsidRPr="0001206C">
        <w:rPr>
          <w:rFonts w:eastAsia="Times New Roman" w:cs="Times New Roman"/>
          <w:b/>
          <w:bCs/>
          <w:rtl/>
          <w:lang w:eastAsia="de-DE"/>
        </w:rPr>
        <w:t>כָּל־זָכָר</w:t>
      </w:r>
      <w:r w:rsidRPr="0001206C">
        <w:rPr>
          <w:rFonts w:eastAsia="Times New Roman" w:cs="Times New Roman"/>
          <w:rtl/>
          <w:lang w:eastAsia="de-DE"/>
        </w:rPr>
        <w:t xml:space="preserve"> </w:t>
      </w:r>
      <w:r w:rsidRPr="0001206C">
        <w:rPr>
          <w:rFonts w:eastAsia="Times New Roman" w:cs="Times New Roman"/>
          <w:lang w:eastAsia="de-DE"/>
        </w:rPr>
        <w:t xml:space="preserve">(„alles Männliche, jeder Mann") schränkt ein: nur männliche Priester dürfen diese hochheiligen Opfer verzehren. </w:t>
      </w:r>
      <w:r w:rsidRPr="0001206C">
        <w:rPr>
          <w:rFonts w:eastAsia="Times New Roman" w:cs="Times New Roman"/>
          <w:b/>
          <w:bCs/>
          <w:rtl/>
          <w:lang w:eastAsia="de-DE"/>
        </w:rPr>
        <w:t>יֹאכַל אֹתוֹ</w:t>
      </w:r>
      <w:r w:rsidRPr="0001206C">
        <w:rPr>
          <w:rFonts w:eastAsia="Times New Roman" w:cs="Times New Roman"/>
          <w:rtl/>
          <w:lang w:eastAsia="de-DE"/>
        </w:rPr>
        <w:t xml:space="preserve"> </w:t>
      </w:r>
      <w:r w:rsidRPr="0001206C">
        <w:rPr>
          <w:rFonts w:eastAsia="Times New Roman" w:cs="Times New Roman"/>
          <w:lang w:eastAsia="de-DE"/>
        </w:rPr>
        <w:t xml:space="preserve">(Qal Imperfekt, 3. m. sg. von </w:t>
      </w:r>
      <w:r w:rsidRPr="0001206C">
        <w:rPr>
          <w:rFonts w:eastAsia="Times New Roman" w:cs="Times New Roman"/>
          <w:b/>
          <w:bCs/>
          <w:rtl/>
          <w:lang w:eastAsia="de-DE"/>
        </w:rPr>
        <w:t>אכל</w:t>
      </w:r>
      <w:r w:rsidRPr="0001206C">
        <w:rPr>
          <w:rFonts w:eastAsia="Times New Roman" w:cs="Times New Roman"/>
          <w:rtl/>
          <w:lang w:eastAsia="de-DE"/>
        </w:rPr>
        <w:t xml:space="preserve"> </w:t>
      </w:r>
      <w:r w:rsidRPr="0001206C">
        <w:rPr>
          <w:rFonts w:eastAsia="Times New Roman" w:cs="Times New Roman"/>
          <w:lang w:eastAsia="de-DE"/>
        </w:rPr>
        <w:t xml:space="preserve">plus Objekt mit Objektpartikel) bedeutet „er soll es essen". Die abschließende Formel </w:t>
      </w:r>
      <w:r w:rsidRPr="0001206C">
        <w:rPr>
          <w:rFonts w:eastAsia="Times New Roman" w:cs="Times New Roman"/>
          <w:b/>
          <w:bCs/>
          <w:rtl/>
          <w:lang w:eastAsia="de-DE"/>
        </w:rPr>
        <w:t>קֹדֶשׁ יִהְיֶה־לָּךְ</w:t>
      </w:r>
      <w:r w:rsidRPr="0001206C">
        <w:rPr>
          <w:rFonts w:eastAsia="Times New Roman" w:cs="Times New Roman"/>
          <w:rtl/>
          <w:lang w:eastAsia="de-DE"/>
        </w:rPr>
        <w:t xml:space="preserve"> </w:t>
      </w:r>
      <w:r w:rsidRPr="0001206C">
        <w:rPr>
          <w:rFonts w:eastAsia="Times New Roman" w:cs="Times New Roman"/>
          <w:lang w:eastAsia="de-DE"/>
        </w:rPr>
        <w:t>(„heilig soll es dir sein") betont den sakralen Charakter.</w:t>
      </w:r>
    </w:p>
    <w:p w14:paraId="2FED3230"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folgt dem hebräischen Text.</w:t>
      </w:r>
    </w:p>
    <w:p w14:paraId="39AB1B80"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Satzstruktur zeigt drei koordinierte Hauptsätze: Der erste mit Präpositionalphrase, Verb und Objektsuffix; der zweite mit distributivem Subjekt, Verb und Objekt; der dritte mit Prädikatsnomen, Verb und Dativ.</w:t>
      </w:r>
    </w:p>
    <w:p w14:paraId="744AE2F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gibt die strengen Bedingungen für den Verzehr hochheiliger Opfer: nur im Heiligtum, nur durch männliche Priester.</w:t>
      </w:r>
    </w:p>
    <w:p w14:paraId="77F1823B"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18,11</w:t>
      </w:r>
    </w:p>
    <w:p w14:paraId="071DF850"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lastRenderedPageBreak/>
        <w:t>Hebräisch:</w:t>
      </w:r>
      <w:r w:rsidRPr="0001206C">
        <w:rPr>
          <w:rFonts w:eastAsia="Times New Roman" w:cs="Times New Roman"/>
          <w:lang w:eastAsia="de-DE"/>
        </w:rPr>
        <w:t xml:space="preserve"> </w:t>
      </w:r>
      <w:r w:rsidRPr="0001206C">
        <w:rPr>
          <w:rFonts w:eastAsia="Times New Roman" w:cs="Times New Roman"/>
          <w:rtl/>
          <w:lang w:eastAsia="de-DE"/>
        </w:rPr>
        <w:t>וְזֶה־לְּךָ֞ תְּרוּמַ֣ת מַתָּנָ֗ם לְכָל־תְּנוּפֹת֮ בְּנֵ֣י יִשְׂרָאֵל֒ לְךָ֣ נְתַתִּ֗ים וּלְבָנֶ֧יךָ וְלִבְנֹתֶ֛יךָ אִתְּךָ֖ לְחָק־עוֹלָ֑ם כָּל־טָה֥וֹר בְּבֵיתְךָ֖ יֹאכַ֥ל אֹתוֹֽ׃</w:t>
      </w:r>
    </w:p>
    <w:p w14:paraId="23CBD7AD"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Und dies soll dir gehören: das Hebopfer ihrer Gaben, nach allen Schwingopfern der Söhne Jisra'els; dir und deinen Söhnen und deinen Töchtern mit dir habe ich sie als eine ewige Gebühr gegeben; jeder Reine in deinem Haus soll es essen.</w:t>
      </w:r>
    </w:p>
    <w:p w14:paraId="5E1DCDAE"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4F1423F4">
          <v:rect id="_x0000_i1612" style="width:0;height:1.5pt" o:hralign="center" o:hrstd="t" o:hr="t" fillcolor="#a0a0a0" stroked="f"/>
        </w:pict>
      </w:r>
    </w:p>
    <w:p w14:paraId="38687124"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Die Formel </w:t>
      </w:r>
      <w:r w:rsidRPr="0001206C">
        <w:rPr>
          <w:rFonts w:eastAsia="Times New Roman" w:cs="Times New Roman"/>
          <w:b/>
          <w:bCs/>
          <w:rtl/>
          <w:lang w:eastAsia="de-DE"/>
        </w:rPr>
        <w:t>וְזֶה־לְּךָ</w:t>
      </w:r>
      <w:r w:rsidRPr="0001206C">
        <w:rPr>
          <w:rFonts w:eastAsia="Times New Roman" w:cs="Times New Roman"/>
          <w:rtl/>
          <w:lang w:eastAsia="de-DE"/>
        </w:rPr>
        <w:t xml:space="preserve"> </w:t>
      </w:r>
      <w:r w:rsidRPr="0001206C">
        <w:rPr>
          <w:rFonts w:eastAsia="Times New Roman" w:cs="Times New Roman"/>
          <w:lang w:eastAsia="de-DE"/>
        </w:rPr>
        <w:t xml:space="preserve">(„und dies dir") leitet eine zweite Kategorie ein. </w:t>
      </w:r>
      <w:r w:rsidRPr="0001206C">
        <w:rPr>
          <w:rFonts w:eastAsia="Times New Roman" w:cs="Times New Roman"/>
          <w:b/>
          <w:bCs/>
          <w:rtl/>
          <w:lang w:eastAsia="de-DE"/>
        </w:rPr>
        <w:t>תְּרוּמַת מַתָּנָם</w:t>
      </w:r>
      <w:r w:rsidRPr="0001206C">
        <w:rPr>
          <w:rFonts w:eastAsia="Times New Roman" w:cs="Times New Roman"/>
          <w:rtl/>
          <w:lang w:eastAsia="de-DE"/>
        </w:rPr>
        <w:t xml:space="preserve"> </w:t>
      </w:r>
      <w:r w:rsidRPr="0001206C">
        <w:rPr>
          <w:rFonts w:eastAsia="Times New Roman" w:cs="Times New Roman"/>
          <w:lang w:eastAsia="de-DE"/>
        </w:rPr>
        <w:t xml:space="preserve">ist „das Hebopfer ihrer Gaben" (Constructus-Verbindung). </w:t>
      </w:r>
      <w:r w:rsidRPr="0001206C">
        <w:rPr>
          <w:rFonts w:eastAsia="Times New Roman" w:cs="Times New Roman"/>
          <w:b/>
          <w:bCs/>
          <w:rtl/>
          <w:lang w:eastAsia="de-DE"/>
        </w:rPr>
        <w:t>לְכָל־תְּנוּפֹת בְּנֵי יִשְׂרָאֵל</w:t>
      </w:r>
      <w:r w:rsidRPr="0001206C">
        <w:rPr>
          <w:rFonts w:eastAsia="Times New Roman" w:cs="Times New Roman"/>
          <w:rtl/>
          <w:lang w:eastAsia="de-DE"/>
        </w:rPr>
        <w:t xml:space="preserve"> </w:t>
      </w:r>
      <w:r w:rsidRPr="0001206C">
        <w:rPr>
          <w:rFonts w:eastAsia="Times New Roman" w:cs="Times New Roman"/>
          <w:lang w:eastAsia="de-DE"/>
        </w:rPr>
        <w:t>spezifiziert: „nach allen Schwingopfern der Söhne Israels" (</w:t>
      </w:r>
      <w:r w:rsidRPr="0001206C">
        <w:rPr>
          <w:rFonts w:eastAsia="Times New Roman" w:cs="Times New Roman"/>
          <w:b/>
          <w:bCs/>
          <w:rtl/>
          <w:lang w:eastAsia="de-DE"/>
        </w:rPr>
        <w:t>תְּנוּפָה</w:t>
      </w:r>
      <w:r w:rsidRPr="0001206C">
        <w:rPr>
          <w:rFonts w:eastAsia="Times New Roman" w:cs="Times New Roman"/>
          <w:rtl/>
          <w:lang w:eastAsia="de-DE"/>
        </w:rPr>
        <w:t xml:space="preserve"> </w:t>
      </w:r>
      <w:r w:rsidRPr="0001206C">
        <w:rPr>
          <w:rFonts w:eastAsia="Times New Roman" w:cs="Times New Roman"/>
          <w:lang w:eastAsia="de-DE"/>
        </w:rPr>
        <w:t xml:space="preserve">„Schwingopfer" im Plural). Diese Opfer haben einen niedrigeren Heiligkeitsgrad als die hochheiligen. Die wiederholte Phrase </w:t>
      </w:r>
      <w:r w:rsidRPr="0001206C">
        <w:rPr>
          <w:rFonts w:eastAsia="Times New Roman" w:cs="Times New Roman"/>
          <w:b/>
          <w:bCs/>
          <w:rtl/>
          <w:lang w:eastAsia="de-DE"/>
        </w:rPr>
        <w:t>לְךָ נְתַתִּים</w:t>
      </w:r>
      <w:r w:rsidRPr="0001206C">
        <w:rPr>
          <w:rFonts w:eastAsia="Times New Roman" w:cs="Times New Roman"/>
          <w:rtl/>
          <w:lang w:eastAsia="de-DE"/>
        </w:rPr>
        <w:t xml:space="preserve"> </w:t>
      </w:r>
      <w:r w:rsidRPr="0001206C">
        <w:rPr>
          <w:rFonts w:eastAsia="Times New Roman" w:cs="Times New Roman"/>
          <w:lang w:eastAsia="de-DE"/>
        </w:rPr>
        <w:t xml:space="preserve">(„dir habe ich sie gegeben") wird erweitert durch </w:t>
      </w:r>
      <w:r w:rsidRPr="0001206C">
        <w:rPr>
          <w:rFonts w:eastAsia="Times New Roman" w:cs="Times New Roman"/>
          <w:b/>
          <w:bCs/>
          <w:rtl/>
          <w:lang w:eastAsia="de-DE"/>
        </w:rPr>
        <w:t>וּלְבָנֶיךָ וְלִבְנֹתֶיךָ אִתְּךָ</w:t>
      </w:r>
      <w:r w:rsidRPr="0001206C">
        <w:rPr>
          <w:rFonts w:eastAsia="Times New Roman" w:cs="Times New Roman"/>
          <w:rtl/>
          <w:lang w:eastAsia="de-DE"/>
        </w:rPr>
        <w:t xml:space="preserve"> </w:t>
      </w:r>
      <w:r w:rsidRPr="0001206C">
        <w:rPr>
          <w:rFonts w:eastAsia="Times New Roman" w:cs="Times New Roman"/>
          <w:lang w:eastAsia="de-DE"/>
        </w:rPr>
        <w:t xml:space="preserve">(„und deinen Söhnen und deinen Töchtern mit dir") – nun dürfen auch Priesterinnen mitessen. </w:t>
      </w:r>
      <w:r w:rsidRPr="0001206C">
        <w:rPr>
          <w:rFonts w:eastAsia="Times New Roman" w:cs="Times New Roman"/>
          <w:b/>
          <w:bCs/>
          <w:rtl/>
          <w:lang w:eastAsia="de-DE"/>
        </w:rPr>
        <w:t>לְחָק־עוֹלָם</w:t>
      </w:r>
      <w:r w:rsidRPr="0001206C">
        <w:rPr>
          <w:rFonts w:eastAsia="Times New Roman" w:cs="Times New Roman"/>
          <w:rtl/>
          <w:lang w:eastAsia="de-DE"/>
        </w:rPr>
        <w:t xml:space="preserve"> </w:t>
      </w:r>
      <w:r w:rsidRPr="0001206C">
        <w:rPr>
          <w:rFonts w:eastAsia="Times New Roman" w:cs="Times New Roman"/>
          <w:lang w:eastAsia="de-DE"/>
        </w:rPr>
        <w:t>(„als ewige Gebühr") wiederholt die Formel aus Vers 8.</w:t>
      </w:r>
    </w:p>
    <w:p w14:paraId="19C93F42"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Verzehrbestimmung </w:t>
      </w:r>
      <w:r w:rsidRPr="0001206C">
        <w:rPr>
          <w:rFonts w:eastAsia="Times New Roman" w:cs="Times New Roman"/>
          <w:b/>
          <w:bCs/>
          <w:rtl/>
          <w:lang w:eastAsia="de-DE"/>
        </w:rPr>
        <w:t>כָּל־טָהוֹר בְּבֵיתְךָ יֹאכַל אֹתוֹ</w:t>
      </w:r>
      <w:r w:rsidRPr="0001206C">
        <w:rPr>
          <w:rFonts w:eastAsia="Times New Roman" w:cs="Times New Roman"/>
          <w:rtl/>
          <w:lang w:eastAsia="de-DE"/>
        </w:rPr>
        <w:t xml:space="preserve"> </w:t>
      </w:r>
      <w:r w:rsidRPr="0001206C">
        <w:rPr>
          <w:rFonts w:eastAsia="Times New Roman" w:cs="Times New Roman"/>
          <w:lang w:eastAsia="de-DE"/>
        </w:rPr>
        <w:t xml:space="preserve">erweitert den Kreis: </w:t>
      </w:r>
      <w:r w:rsidRPr="0001206C">
        <w:rPr>
          <w:rFonts w:eastAsia="Times New Roman" w:cs="Times New Roman"/>
          <w:b/>
          <w:bCs/>
          <w:rtl/>
          <w:lang w:eastAsia="de-DE"/>
        </w:rPr>
        <w:t>כָּל־טָהוֹר</w:t>
      </w:r>
      <w:r w:rsidRPr="0001206C">
        <w:rPr>
          <w:rFonts w:eastAsia="Times New Roman" w:cs="Times New Roman"/>
          <w:rtl/>
          <w:lang w:eastAsia="de-DE"/>
        </w:rPr>
        <w:t xml:space="preserve"> </w:t>
      </w:r>
      <w:r w:rsidRPr="0001206C">
        <w:rPr>
          <w:rFonts w:eastAsia="Times New Roman" w:cs="Times New Roman"/>
          <w:lang w:eastAsia="de-DE"/>
        </w:rPr>
        <w:t xml:space="preserve">(„jeder Reine"), </w:t>
      </w:r>
      <w:r w:rsidRPr="0001206C">
        <w:rPr>
          <w:rFonts w:eastAsia="Times New Roman" w:cs="Times New Roman"/>
          <w:b/>
          <w:bCs/>
          <w:rtl/>
          <w:lang w:eastAsia="de-DE"/>
        </w:rPr>
        <w:t>בְּבֵיתְךָ</w:t>
      </w:r>
      <w:r w:rsidRPr="0001206C">
        <w:rPr>
          <w:rFonts w:eastAsia="Times New Roman" w:cs="Times New Roman"/>
          <w:rtl/>
          <w:lang w:eastAsia="de-DE"/>
        </w:rPr>
        <w:t xml:space="preserve"> </w:t>
      </w:r>
      <w:r w:rsidRPr="0001206C">
        <w:rPr>
          <w:rFonts w:eastAsia="Times New Roman" w:cs="Times New Roman"/>
          <w:lang w:eastAsia="de-DE"/>
        </w:rPr>
        <w:t xml:space="preserve">(„in deinem Haus"), </w:t>
      </w:r>
      <w:r w:rsidRPr="0001206C">
        <w:rPr>
          <w:rFonts w:eastAsia="Times New Roman" w:cs="Times New Roman"/>
          <w:b/>
          <w:bCs/>
          <w:rtl/>
          <w:lang w:eastAsia="de-DE"/>
        </w:rPr>
        <w:t>יֹאכַל אֹתוֹ</w:t>
      </w:r>
      <w:r w:rsidRPr="0001206C">
        <w:rPr>
          <w:rFonts w:eastAsia="Times New Roman" w:cs="Times New Roman"/>
          <w:rtl/>
          <w:lang w:eastAsia="de-DE"/>
        </w:rPr>
        <w:t xml:space="preserve"> </w:t>
      </w:r>
      <w:r w:rsidRPr="0001206C">
        <w:rPr>
          <w:rFonts w:eastAsia="Times New Roman" w:cs="Times New Roman"/>
          <w:lang w:eastAsia="de-DE"/>
        </w:rPr>
        <w:t>(„soll es essen"). Die Bedingung ist rituelle Reinheit, nicht Geschlecht.</w:t>
      </w:r>
    </w:p>
    <w:p w14:paraId="588C7DE6"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folgt dem hebräischen Text.</w:t>
      </w:r>
    </w:p>
    <w:p w14:paraId="20C6BFDE"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Satzstruktur zeigt einen Hauptsatz mit Formel, Subjekt (Constructus-Verbindung) und Präpositionalphrase. Verb, indirekte Objekte (dreifach koordiniert) und präpositionaler Bestimmung folgen. Ein abschließender Hauptsatz mit distributivem Subjekt, Präpositionalphrase, Verb und Objekt gibt die Verzehrbestimmung.</w:t>
      </w:r>
    </w:p>
    <w:p w14:paraId="03BB5CED"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Der Vers definiert eine zweite, weniger heilige Kategorie von Priesteranteilen, die auch weibliche Familienmitglieder verzehren dürfen.</w:t>
      </w:r>
    </w:p>
    <w:p w14:paraId="45E8A931"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18,12-13</w:t>
      </w:r>
    </w:p>
    <w:p w14:paraId="09AFA661"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כֹּ֚ל חֵ֣לֶב יִצְהָ֔ר וְכָל־חֵ֖לֶב תִּיר֣וֹשׁ וְדָגָ֑ן רֵאשִׁיתָ֛ם אֲשֶׁר־יִתְּנ֥וּ לַֽיהוָ֖ה לְךָ֥ נְתַתִּֽים׃ בִּכּוּרֵ֞י כָּל־אֲשֶׁ֧ר בְּאַרְצָ֛ם אֲשֶׁר־יָבִ֥יאוּ לַיהוָ֖ה לְךָ֣ יִהְיֶ֑ה כָּל־טָה֥וֹר בְּבֵיתְךָ֖ יֹאכֲלֶֽנּוּ׃</w:t>
      </w:r>
    </w:p>
    <w:p w14:paraId="328E881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Alles Beste vom Öl und alles Beste vom Most und Getreide, ihre Erstlinge, die sie dem Ewigen geben, dir habe ich sie gegeben. Die ersten Früchte von allem, was in ihrem Land ist, die sie dem Ewigen bringen, sollen dir gehören; jeder Reine in deinem Haus soll davon essen.</w:t>
      </w:r>
    </w:p>
    <w:p w14:paraId="2107C4AE"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52B4345C">
          <v:rect id="_x0000_i1613" style="width:0;height:1.5pt" o:hralign="center" o:hrstd="t" o:hr="t" fillcolor="#a0a0a0" stroked="f"/>
        </w:pict>
      </w:r>
    </w:p>
    <w:p w14:paraId="42111762"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Die dreifache Aufzählung </w:t>
      </w:r>
      <w:r w:rsidRPr="0001206C">
        <w:rPr>
          <w:rFonts w:eastAsia="Times New Roman" w:cs="Times New Roman"/>
          <w:b/>
          <w:bCs/>
          <w:rtl/>
          <w:lang w:eastAsia="de-DE"/>
        </w:rPr>
        <w:t>כֹּל חֵלֶב יִצְהָר וְכָל־חֵלֶב תִּירוֹשׁ וְדָגָן</w:t>
      </w:r>
      <w:r w:rsidRPr="0001206C">
        <w:rPr>
          <w:rFonts w:eastAsia="Times New Roman" w:cs="Times New Roman"/>
          <w:rtl/>
          <w:lang w:eastAsia="de-DE"/>
        </w:rPr>
        <w:t xml:space="preserve"> </w:t>
      </w:r>
      <w:r w:rsidRPr="0001206C">
        <w:rPr>
          <w:rFonts w:eastAsia="Times New Roman" w:cs="Times New Roman"/>
          <w:lang w:eastAsia="de-DE"/>
        </w:rPr>
        <w:t xml:space="preserve">nennt landwirtschaftliche Erstlinge: </w:t>
      </w:r>
      <w:r w:rsidRPr="0001206C">
        <w:rPr>
          <w:rFonts w:eastAsia="Times New Roman" w:cs="Times New Roman"/>
          <w:b/>
          <w:bCs/>
          <w:rtl/>
          <w:lang w:eastAsia="de-DE"/>
        </w:rPr>
        <w:t>חֵלֶב</w:t>
      </w:r>
      <w:r w:rsidRPr="0001206C">
        <w:rPr>
          <w:rFonts w:eastAsia="Times New Roman" w:cs="Times New Roman"/>
          <w:rtl/>
          <w:lang w:eastAsia="de-DE"/>
        </w:rPr>
        <w:t xml:space="preserve"> </w:t>
      </w:r>
      <w:r w:rsidRPr="0001206C">
        <w:rPr>
          <w:rFonts w:eastAsia="Times New Roman" w:cs="Times New Roman"/>
          <w:lang w:eastAsia="de-DE"/>
        </w:rPr>
        <w:t xml:space="preserve">bedeutet hier „das Beste, der fetteste Teil" im Constructus vor </w:t>
      </w:r>
      <w:r w:rsidRPr="0001206C">
        <w:rPr>
          <w:rFonts w:eastAsia="Times New Roman" w:cs="Times New Roman"/>
          <w:b/>
          <w:bCs/>
          <w:rtl/>
          <w:lang w:eastAsia="de-DE"/>
        </w:rPr>
        <w:t>יִצְהָר</w:t>
      </w:r>
      <w:r w:rsidRPr="0001206C">
        <w:rPr>
          <w:rFonts w:eastAsia="Times New Roman" w:cs="Times New Roman"/>
          <w:rtl/>
          <w:lang w:eastAsia="de-DE"/>
        </w:rPr>
        <w:t xml:space="preserve"> </w:t>
      </w:r>
      <w:r w:rsidRPr="0001206C">
        <w:rPr>
          <w:rFonts w:eastAsia="Times New Roman" w:cs="Times New Roman"/>
          <w:lang w:eastAsia="de-DE"/>
        </w:rPr>
        <w:t xml:space="preserve">(„Öl"), </w:t>
      </w:r>
      <w:r w:rsidRPr="0001206C">
        <w:rPr>
          <w:rFonts w:eastAsia="Times New Roman" w:cs="Times New Roman"/>
          <w:b/>
          <w:bCs/>
          <w:rtl/>
          <w:lang w:eastAsia="de-DE"/>
        </w:rPr>
        <w:t>תִּירוֹשׁ</w:t>
      </w:r>
      <w:r w:rsidRPr="0001206C">
        <w:rPr>
          <w:rFonts w:eastAsia="Times New Roman" w:cs="Times New Roman"/>
          <w:rtl/>
          <w:lang w:eastAsia="de-DE"/>
        </w:rPr>
        <w:t xml:space="preserve"> </w:t>
      </w:r>
      <w:r w:rsidRPr="0001206C">
        <w:rPr>
          <w:rFonts w:eastAsia="Times New Roman" w:cs="Times New Roman"/>
          <w:lang w:eastAsia="de-DE"/>
        </w:rPr>
        <w:t xml:space="preserve">(„Most, neuer Wein") und </w:t>
      </w:r>
      <w:r w:rsidRPr="0001206C">
        <w:rPr>
          <w:rFonts w:eastAsia="Times New Roman" w:cs="Times New Roman"/>
          <w:b/>
          <w:bCs/>
          <w:rtl/>
          <w:lang w:eastAsia="de-DE"/>
        </w:rPr>
        <w:t>דָגָן</w:t>
      </w:r>
      <w:r w:rsidRPr="0001206C">
        <w:rPr>
          <w:rFonts w:eastAsia="Times New Roman" w:cs="Times New Roman"/>
          <w:rtl/>
          <w:lang w:eastAsia="de-DE"/>
        </w:rPr>
        <w:t xml:space="preserve"> </w:t>
      </w:r>
      <w:r w:rsidRPr="0001206C">
        <w:rPr>
          <w:rFonts w:eastAsia="Times New Roman" w:cs="Times New Roman"/>
          <w:lang w:eastAsia="de-DE"/>
        </w:rPr>
        <w:t xml:space="preserve">(„Getreide"). </w:t>
      </w:r>
      <w:r w:rsidRPr="0001206C">
        <w:rPr>
          <w:rFonts w:eastAsia="Times New Roman" w:cs="Times New Roman"/>
          <w:b/>
          <w:bCs/>
          <w:rtl/>
          <w:lang w:eastAsia="de-DE"/>
        </w:rPr>
        <w:t>רֵאשִׁיתָם</w:t>
      </w:r>
      <w:r w:rsidRPr="0001206C">
        <w:rPr>
          <w:rFonts w:eastAsia="Times New Roman" w:cs="Times New Roman"/>
          <w:rtl/>
          <w:lang w:eastAsia="de-DE"/>
        </w:rPr>
        <w:t xml:space="preserve"> </w:t>
      </w:r>
      <w:r w:rsidRPr="0001206C">
        <w:rPr>
          <w:rFonts w:eastAsia="Times New Roman" w:cs="Times New Roman"/>
          <w:lang w:eastAsia="de-DE"/>
        </w:rPr>
        <w:t xml:space="preserve">(„ihre Erstlinge") mit Possessivsuffix 3. m. pl. ist Apposition. Der Relativsatz </w:t>
      </w:r>
      <w:r w:rsidRPr="0001206C">
        <w:rPr>
          <w:rFonts w:eastAsia="Times New Roman" w:cs="Times New Roman"/>
          <w:b/>
          <w:bCs/>
          <w:rtl/>
          <w:lang w:eastAsia="de-DE"/>
        </w:rPr>
        <w:t>אֲשֶׁר־יִתְּנוּ לַיהוָה</w:t>
      </w:r>
      <w:r w:rsidRPr="0001206C">
        <w:rPr>
          <w:rFonts w:eastAsia="Times New Roman" w:cs="Times New Roman"/>
          <w:rtl/>
          <w:lang w:eastAsia="de-DE"/>
        </w:rPr>
        <w:t xml:space="preserve"> </w:t>
      </w:r>
      <w:r w:rsidRPr="0001206C">
        <w:rPr>
          <w:rFonts w:eastAsia="Times New Roman" w:cs="Times New Roman"/>
          <w:lang w:eastAsia="de-DE"/>
        </w:rPr>
        <w:t xml:space="preserve">(„die sie JHWH geben") spezifiziert. </w:t>
      </w:r>
      <w:r w:rsidRPr="0001206C">
        <w:rPr>
          <w:rFonts w:eastAsia="Times New Roman" w:cs="Times New Roman"/>
          <w:b/>
          <w:bCs/>
          <w:rtl/>
          <w:lang w:eastAsia="de-DE"/>
        </w:rPr>
        <w:t>לְךָ נְתַתִּים</w:t>
      </w:r>
      <w:r w:rsidRPr="0001206C">
        <w:rPr>
          <w:rFonts w:eastAsia="Times New Roman" w:cs="Times New Roman"/>
          <w:rtl/>
          <w:lang w:eastAsia="de-DE"/>
        </w:rPr>
        <w:t xml:space="preserve"> </w:t>
      </w:r>
      <w:r w:rsidRPr="0001206C">
        <w:rPr>
          <w:rFonts w:eastAsia="Times New Roman" w:cs="Times New Roman"/>
          <w:lang w:eastAsia="de-DE"/>
        </w:rPr>
        <w:t>ist die bekannte Formel.</w:t>
      </w:r>
    </w:p>
    <w:p w14:paraId="24BAF214"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lastRenderedPageBreak/>
        <w:t xml:space="preserve">Vers 13 erweitert mit </w:t>
      </w:r>
      <w:r w:rsidRPr="0001206C">
        <w:rPr>
          <w:rFonts w:eastAsia="Times New Roman" w:cs="Times New Roman"/>
          <w:b/>
          <w:bCs/>
          <w:rtl/>
          <w:lang w:eastAsia="de-DE"/>
        </w:rPr>
        <w:t>בִּכּוּרֵי כָּל־אֲשֶׁר בְּאַרְצָם</w:t>
      </w:r>
      <w:r w:rsidRPr="0001206C">
        <w:rPr>
          <w:rFonts w:eastAsia="Times New Roman" w:cs="Times New Roman"/>
          <w:rtl/>
          <w:lang w:eastAsia="de-DE"/>
        </w:rPr>
        <w:t xml:space="preserve"> </w:t>
      </w:r>
      <w:r w:rsidRPr="0001206C">
        <w:rPr>
          <w:rFonts w:eastAsia="Times New Roman" w:cs="Times New Roman"/>
          <w:lang w:eastAsia="de-DE"/>
        </w:rPr>
        <w:t xml:space="preserve">(„die ersten Früchte von allem, was in ihrem Land ist"), wobei </w:t>
      </w:r>
      <w:r w:rsidRPr="0001206C">
        <w:rPr>
          <w:rFonts w:eastAsia="Times New Roman" w:cs="Times New Roman"/>
          <w:b/>
          <w:bCs/>
          <w:rtl/>
          <w:lang w:eastAsia="de-DE"/>
        </w:rPr>
        <w:t>בִּכּוּרֵי</w:t>
      </w:r>
      <w:r w:rsidRPr="0001206C">
        <w:rPr>
          <w:rFonts w:eastAsia="Times New Roman" w:cs="Times New Roman"/>
          <w:rtl/>
          <w:lang w:eastAsia="de-DE"/>
        </w:rPr>
        <w:t xml:space="preserve"> </w:t>
      </w:r>
      <w:r w:rsidRPr="0001206C">
        <w:rPr>
          <w:rFonts w:eastAsia="Times New Roman" w:cs="Times New Roman"/>
          <w:lang w:eastAsia="de-DE"/>
        </w:rPr>
        <w:t xml:space="preserve">(„Erstlingsfrüchte") im Constructus vor einem langen Relativsatz steht. </w:t>
      </w:r>
      <w:r w:rsidRPr="0001206C">
        <w:rPr>
          <w:rFonts w:eastAsia="Times New Roman" w:cs="Times New Roman"/>
          <w:b/>
          <w:bCs/>
          <w:rtl/>
          <w:lang w:eastAsia="de-DE"/>
        </w:rPr>
        <w:t>אֲשֶׁר־יָבִיאוּ לַיהוָה</w:t>
      </w:r>
      <w:r w:rsidRPr="0001206C">
        <w:rPr>
          <w:rFonts w:eastAsia="Times New Roman" w:cs="Times New Roman"/>
          <w:rtl/>
          <w:lang w:eastAsia="de-DE"/>
        </w:rPr>
        <w:t xml:space="preserve"> </w:t>
      </w:r>
      <w:r w:rsidRPr="0001206C">
        <w:rPr>
          <w:rFonts w:eastAsia="Times New Roman" w:cs="Times New Roman"/>
          <w:lang w:eastAsia="de-DE"/>
        </w:rPr>
        <w:t xml:space="preserve">(„die sie JHWH bringen") ist ein zweiter Relativsatz. </w:t>
      </w:r>
      <w:r w:rsidRPr="0001206C">
        <w:rPr>
          <w:rFonts w:eastAsia="Times New Roman" w:cs="Times New Roman"/>
          <w:b/>
          <w:bCs/>
          <w:rtl/>
          <w:lang w:eastAsia="de-DE"/>
        </w:rPr>
        <w:t>לְךָ יִהְיֶה</w:t>
      </w:r>
      <w:r w:rsidRPr="0001206C">
        <w:rPr>
          <w:rFonts w:eastAsia="Times New Roman" w:cs="Times New Roman"/>
          <w:rtl/>
          <w:lang w:eastAsia="de-DE"/>
        </w:rPr>
        <w:t xml:space="preserve"> </w:t>
      </w:r>
      <w:r w:rsidRPr="0001206C">
        <w:rPr>
          <w:rFonts w:eastAsia="Times New Roman" w:cs="Times New Roman"/>
          <w:lang w:eastAsia="de-DE"/>
        </w:rPr>
        <w:t xml:space="preserve">(„dir soll es sein") wiederholt die Zuweisungsformel. Die Verzehrbestimmung </w:t>
      </w:r>
      <w:r w:rsidRPr="0001206C">
        <w:rPr>
          <w:rFonts w:eastAsia="Times New Roman" w:cs="Times New Roman"/>
          <w:b/>
          <w:bCs/>
          <w:rtl/>
          <w:lang w:eastAsia="de-DE"/>
        </w:rPr>
        <w:t>כָּל־טָהוֹר בְּבֵיתְךָ יֹאכֲלֶנּוּ</w:t>
      </w:r>
      <w:r w:rsidRPr="0001206C">
        <w:rPr>
          <w:rFonts w:eastAsia="Times New Roman" w:cs="Times New Roman"/>
          <w:rtl/>
          <w:lang w:eastAsia="de-DE"/>
        </w:rPr>
        <w:t xml:space="preserve"> </w:t>
      </w:r>
      <w:r w:rsidRPr="0001206C">
        <w:rPr>
          <w:rFonts w:eastAsia="Times New Roman" w:cs="Times New Roman"/>
          <w:lang w:eastAsia="de-DE"/>
        </w:rPr>
        <w:t>wiederholt Vers 11.</w:t>
      </w:r>
    </w:p>
    <w:p w14:paraId="32E5BD30" w14:textId="7508A3AD"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w:t>
      </w:r>
      <w:r w:rsidR="00420C4D">
        <w:t>übersetzt „</w:t>
      </w:r>
      <w:r w:rsidR="00420C4D" w:rsidRPr="00420C4D">
        <w:rPr>
          <w:b/>
          <w:bCs/>
          <w:rtl/>
        </w:rPr>
        <w:t>חֵלֶב</w:t>
      </w:r>
      <w:r w:rsidR="00420C4D">
        <w:t>" (das Beste/Fett) mit „ἀπαρχή" (Erstlingsfrucht), was die Qualität anders ausdrückt - nicht als "Fett" sondern als "Erstes".</w:t>
      </w:r>
    </w:p>
    <w:p w14:paraId="32979EB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Verse zählen die landwirtschaftlichen Erstlinge auf, die den Priestern zufallen – als Kompensation für ihren Landverzicht.</w:t>
      </w:r>
    </w:p>
    <w:p w14:paraId="7DAFFEB5"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18,14-15</w:t>
      </w:r>
    </w:p>
    <w:p w14:paraId="63CB631B"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Hebräisch:</w:t>
      </w:r>
      <w:r w:rsidRPr="0001206C">
        <w:rPr>
          <w:rFonts w:eastAsia="Times New Roman" w:cs="Times New Roman"/>
          <w:lang w:eastAsia="de-DE"/>
        </w:rPr>
        <w:t xml:space="preserve"> </w:t>
      </w:r>
      <w:r w:rsidRPr="0001206C">
        <w:rPr>
          <w:rFonts w:eastAsia="Times New Roman" w:cs="Times New Roman"/>
          <w:rtl/>
          <w:lang w:eastAsia="de-DE"/>
        </w:rPr>
        <w:t>כָּל־חֵ֥רֶם בְּיִשְׂרָאֵ֖ל לְךָ֥ יִהְיֶֽה׃ כָּל־פֶּ֣טֶר רֶ֠חֶם לְֽכָל־בָּשָׂ֞ר אֲשֶׁר־יַקְרִ֧יבוּ לַֽיהוָ֛ה בָּאָדָ֥ם וּבַבְּהֵמָ֖ה יִֽהְיֶה־לָּ֑ךְ אַ֣ךְ׀ פָּדֹ֣ה תִפְדֶּ֗ה אֵ֚ת בְּכ֣וֹר הָֽאָדָ֔ם וְאֵ֛ת בְּכֽוֹר־הַבְּהֵמָ֥ה הַטְּמֵאָ֖ה תִּפְדֶּֽה׃</w:t>
      </w:r>
    </w:p>
    <w:p w14:paraId="0CA5FEAB"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Alles Verbannte in Jisra'el soll dir gehören. Alles, was den Mutterschoß öffnet, von allem Fleisch, das sie dem Ewigen darbringen, an Menschen und an Vieh, soll dir gehören; nur sollst du gewiss die Erstgeburt vom Menschen lösen, und die Erstgeburt vom unreinen Vieh sollst du lösen.</w:t>
      </w:r>
    </w:p>
    <w:p w14:paraId="5727A343"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66499CC3">
          <v:rect id="_x0000_i1614" style="width:0;height:1.5pt" o:hralign="center" o:hrstd="t" o:hr="t" fillcolor="#a0a0a0" stroked="f"/>
        </w:pict>
      </w:r>
    </w:p>
    <w:p w14:paraId="26AF239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Vers 14 ist knapp: </w:t>
      </w:r>
      <w:r w:rsidRPr="0001206C">
        <w:rPr>
          <w:rFonts w:eastAsia="Times New Roman" w:cs="Times New Roman"/>
          <w:b/>
          <w:bCs/>
          <w:rtl/>
          <w:lang w:eastAsia="de-DE"/>
        </w:rPr>
        <w:t>כָּל־חֵרֶם בְּיִשְׂרָאֵל</w:t>
      </w:r>
      <w:r w:rsidRPr="0001206C">
        <w:rPr>
          <w:rFonts w:eastAsia="Times New Roman" w:cs="Times New Roman"/>
          <w:rtl/>
          <w:lang w:eastAsia="de-DE"/>
        </w:rPr>
        <w:t xml:space="preserve"> </w:t>
      </w:r>
      <w:r w:rsidRPr="0001206C">
        <w:rPr>
          <w:rFonts w:eastAsia="Times New Roman" w:cs="Times New Roman"/>
          <w:lang w:eastAsia="de-DE"/>
        </w:rPr>
        <w:t xml:space="preserve">(„alles Verbannte in Israel") bezeichnet Dinge, die JHWH geweiht und damit dem profanen Gebrauch entzogen sind. </w:t>
      </w:r>
      <w:r w:rsidRPr="0001206C">
        <w:rPr>
          <w:rFonts w:eastAsia="Times New Roman" w:cs="Times New Roman"/>
          <w:b/>
          <w:bCs/>
          <w:rtl/>
          <w:lang w:eastAsia="de-DE"/>
        </w:rPr>
        <w:t>לְךָ יִהְיֶה</w:t>
      </w:r>
      <w:r w:rsidRPr="0001206C">
        <w:rPr>
          <w:rFonts w:eastAsia="Times New Roman" w:cs="Times New Roman"/>
          <w:rtl/>
          <w:lang w:eastAsia="de-DE"/>
        </w:rPr>
        <w:t xml:space="preserve"> </w:t>
      </w:r>
      <w:r w:rsidRPr="0001206C">
        <w:rPr>
          <w:rFonts w:eastAsia="Times New Roman" w:cs="Times New Roman"/>
          <w:lang w:eastAsia="de-DE"/>
        </w:rPr>
        <w:t>weist sie den Priestern zu.</w:t>
      </w:r>
    </w:p>
    <w:p w14:paraId="27F476E6"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Vers 15 behandelt Erstgeburten: </w:t>
      </w:r>
      <w:r w:rsidRPr="0001206C">
        <w:rPr>
          <w:rFonts w:eastAsia="Times New Roman" w:cs="Times New Roman"/>
          <w:b/>
          <w:bCs/>
          <w:rtl/>
          <w:lang w:eastAsia="de-DE"/>
        </w:rPr>
        <w:t>כָּל־פֶּטֶר רֶחֶם</w:t>
      </w:r>
      <w:r w:rsidRPr="0001206C">
        <w:rPr>
          <w:rFonts w:eastAsia="Times New Roman" w:cs="Times New Roman"/>
          <w:rtl/>
          <w:lang w:eastAsia="de-DE"/>
        </w:rPr>
        <w:t xml:space="preserve"> </w:t>
      </w:r>
      <w:r w:rsidRPr="0001206C">
        <w:rPr>
          <w:rFonts w:eastAsia="Times New Roman" w:cs="Times New Roman"/>
          <w:lang w:eastAsia="de-DE"/>
        </w:rPr>
        <w:t xml:space="preserve">(„alles, was den Mutterschoß öffnet") ist eine umfassende Formel. </w:t>
      </w:r>
      <w:r w:rsidRPr="0001206C">
        <w:rPr>
          <w:rFonts w:eastAsia="Times New Roman" w:cs="Times New Roman"/>
          <w:b/>
          <w:bCs/>
          <w:rtl/>
          <w:lang w:eastAsia="de-DE"/>
        </w:rPr>
        <w:t>לְכָל־בָּשָׂר</w:t>
      </w:r>
      <w:r w:rsidRPr="0001206C">
        <w:rPr>
          <w:rFonts w:eastAsia="Times New Roman" w:cs="Times New Roman"/>
          <w:rtl/>
          <w:lang w:eastAsia="de-DE"/>
        </w:rPr>
        <w:t xml:space="preserve"> </w:t>
      </w:r>
      <w:r w:rsidRPr="0001206C">
        <w:rPr>
          <w:rFonts w:eastAsia="Times New Roman" w:cs="Times New Roman"/>
          <w:lang w:eastAsia="de-DE"/>
        </w:rPr>
        <w:t xml:space="preserve">(„von allem Fleisch") universalisiert. Der Relativsatz </w:t>
      </w:r>
      <w:r w:rsidRPr="0001206C">
        <w:rPr>
          <w:rFonts w:eastAsia="Times New Roman" w:cs="Times New Roman"/>
          <w:b/>
          <w:bCs/>
          <w:rtl/>
          <w:lang w:eastAsia="de-DE"/>
        </w:rPr>
        <w:t>אֲשֶׁר־יַקְרִיבוּ לַיהוָה</w:t>
      </w:r>
      <w:r w:rsidRPr="0001206C">
        <w:rPr>
          <w:rFonts w:eastAsia="Times New Roman" w:cs="Times New Roman"/>
          <w:rtl/>
          <w:lang w:eastAsia="de-DE"/>
        </w:rPr>
        <w:t xml:space="preserve"> </w:t>
      </w:r>
      <w:r w:rsidRPr="0001206C">
        <w:rPr>
          <w:rFonts w:eastAsia="Times New Roman" w:cs="Times New Roman"/>
          <w:lang w:eastAsia="de-DE"/>
        </w:rPr>
        <w:t xml:space="preserve">(„die sie JHWH darbringen") spezifiziert kultische Darbringung. </w:t>
      </w:r>
      <w:r w:rsidRPr="0001206C">
        <w:rPr>
          <w:rFonts w:eastAsia="Times New Roman" w:cs="Times New Roman"/>
          <w:b/>
          <w:bCs/>
          <w:rtl/>
          <w:lang w:eastAsia="de-DE"/>
        </w:rPr>
        <w:t>בָּאָדָם וּבַבְּהֵמָה</w:t>
      </w:r>
      <w:r w:rsidRPr="0001206C">
        <w:rPr>
          <w:rFonts w:eastAsia="Times New Roman" w:cs="Times New Roman"/>
          <w:rtl/>
          <w:lang w:eastAsia="de-DE"/>
        </w:rPr>
        <w:t xml:space="preserve"> </w:t>
      </w:r>
      <w:r w:rsidRPr="0001206C">
        <w:rPr>
          <w:rFonts w:eastAsia="Times New Roman" w:cs="Times New Roman"/>
          <w:lang w:eastAsia="de-DE"/>
        </w:rPr>
        <w:t xml:space="preserve">(„an Menschen und an Vieh") unterscheidet die beiden Kategorien. </w:t>
      </w:r>
      <w:r w:rsidRPr="0001206C">
        <w:rPr>
          <w:rFonts w:eastAsia="Times New Roman" w:cs="Times New Roman"/>
          <w:b/>
          <w:bCs/>
          <w:rtl/>
          <w:lang w:eastAsia="de-DE"/>
        </w:rPr>
        <w:t>יִהְיֶה־לָּךְ</w:t>
      </w:r>
      <w:r w:rsidRPr="0001206C">
        <w:rPr>
          <w:rFonts w:eastAsia="Times New Roman" w:cs="Times New Roman"/>
          <w:rtl/>
          <w:lang w:eastAsia="de-DE"/>
        </w:rPr>
        <w:t xml:space="preserve"> </w:t>
      </w:r>
      <w:r w:rsidRPr="0001206C">
        <w:rPr>
          <w:rFonts w:eastAsia="Times New Roman" w:cs="Times New Roman"/>
          <w:lang w:eastAsia="de-DE"/>
        </w:rPr>
        <w:t>weist sie zu.</w:t>
      </w:r>
    </w:p>
    <w:p w14:paraId="68822DBE" w14:textId="06D6F5EE"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Die restriktive Partikel </w:t>
      </w:r>
      <w:r w:rsidRPr="0001206C">
        <w:rPr>
          <w:rFonts w:eastAsia="Times New Roman" w:cs="Times New Roman"/>
          <w:b/>
          <w:bCs/>
          <w:rtl/>
          <w:lang w:eastAsia="de-DE"/>
        </w:rPr>
        <w:t>אַךְ</w:t>
      </w:r>
      <w:r w:rsidRPr="0001206C">
        <w:rPr>
          <w:rFonts w:eastAsia="Times New Roman" w:cs="Times New Roman"/>
          <w:rtl/>
          <w:lang w:eastAsia="de-DE"/>
        </w:rPr>
        <w:t xml:space="preserve"> </w:t>
      </w:r>
      <w:r w:rsidRPr="0001206C">
        <w:rPr>
          <w:rFonts w:eastAsia="Times New Roman" w:cs="Times New Roman"/>
          <w:lang w:eastAsia="de-DE"/>
        </w:rPr>
        <w:t xml:space="preserve">(„jedoch, nur") leitet Ausnahmen ein. Die emphatische </w:t>
      </w:r>
      <w:r w:rsidR="00F133EC">
        <w:rPr>
          <w:rFonts w:eastAsia="Times New Roman" w:cs="Times New Roman"/>
          <w:lang w:eastAsia="de-DE"/>
        </w:rPr>
        <w:t>Construct</w:t>
      </w:r>
      <w:r w:rsidRPr="0001206C">
        <w:rPr>
          <w:rFonts w:eastAsia="Times New Roman" w:cs="Times New Roman"/>
          <w:lang w:eastAsia="de-DE"/>
        </w:rPr>
        <w:t xml:space="preserve">ion </w:t>
      </w:r>
      <w:r w:rsidRPr="0001206C">
        <w:rPr>
          <w:rFonts w:eastAsia="Times New Roman" w:cs="Times New Roman"/>
          <w:b/>
          <w:bCs/>
          <w:rtl/>
          <w:lang w:eastAsia="de-DE"/>
        </w:rPr>
        <w:t>פָּדֹה תִפְדֶּה</w:t>
      </w:r>
      <w:r w:rsidRPr="0001206C">
        <w:rPr>
          <w:rFonts w:eastAsia="Times New Roman" w:cs="Times New Roman"/>
          <w:rtl/>
          <w:lang w:eastAsia="de-DE"/>
        </w:rPr>
        <w:t xml:space="preserve"> </w:t>
      </w:r>
      <w:r w:rsidRPr="0001206C">
        <w:rPr>
          <w:rFonts w:eastAsia="Times New Roman" w:cs="Times New Roman"/>
          <w:lang w:eastAsia="de-DE"/>
        </w:rPr>
        <w:t xml:space="preserve">(Infinitiv absolutus plus finites Verb von </w:t>
      </w:r>
      <w:r w:rsidRPr="0001206C">
        <w:rPr>
          <w:rFonts w:eastAsia="Times New Roman" w:cs="Times New Roman"/>
          <w:b/>
          <w:bCs/>
          <w:rtl/>
          <w:lang w:eastAsia="de-DE"/>
        </w:rPr>
        <w:t>פדה</w:t>
      </w:r>
      <w:r w:rsidRPr="0001206C">
        <w:rPr>
          <w:rFonts w:eastAsia="Times New Roman" w:cs="Times New Roman"/>
          <w:lang w:eastAsia="de-DE"/>
        </w:rPr>
        <w:t xml:space="preserve">, „lösen") bedeutet „du sollst gewiss lösen". </w:t>
      </w:r>
      <w:r w:rsidRPr="0001206C">
        <w:rPr>
          <w:rFonts w:eastAsia="Times New Roman" w:cs="Times New Roman"/>
          <w:b/>
          <w:bCs/>
          <w:rtl/>
          <w:lang w:eastAsia="de-DE"/>
        </w:rPr>
        <w:t>אֵת בְּכוֹר הָאָדָם</w:t>
      </w:r>
      <w:r w:rsidRPr="0001206C">
        <w:rPr>
          <w:rFonts w:eastAsia="Times New Roman" w:cs="Times New Roman"/>
          <w:rtl/>
          <w:lang w:eastAsia="de-DE"/>
        </w:rPr>
        <w:t xml:space="preserve"> </w:t>
      </w:r>
      <w:r w:rsidRPr="0001206C">
        <w:rPr>
          <w:rFonts w:eastAsia="Times New Roman" w:cs="Times New Roman"/>
          <w:lang w:eastAsia="de-DE"/>
        </w:rPr>
        <w:t xml:space="preserve">(„die Erstgeburt vom Menschen") muss ausgelöst werden – Menschenopfer sind verboten. </w:t>
      </w:r>
      <w:r w:rsidRPr="0001206C">
        <w:rPr>
          <w:rFonts w:eastAsia="Times New Roman" w:cs="Times New Roman"/>
          <w:b/>
          <w:bCs/>
          <w:rtl/>
          <w:lang w:eastAsia="de-DE"/>
        </w:rPr>
        <w:t>וְאֵת בְּכוֹר־הַבְּהֵמָה הַטְּמֵאָה תִּפְדֶּה</w:t>
      </w:r>
      <w:r w:rsidRPr="0001206C">
        <w:rPr>
          <w:rFonts w:eastAsia="Times New Roman" w:cs="Times New Roman"/>
          <w:rtl/>
          <w:lang w:eastAsia="de-DE"/>
        </w:rPr>
        <w:t xml:space="preserve"> </w:t>
      </w:r>
      <w:r w:rsidRPr="0001206C">
        <w:rPr>
          <w:rFonts w:eastAsia="Times New Roman" w:cs="Times New Roman"/>
          <w:lang w:eastAsia="de-DE"/>
        </w:rPr>
        <w:t>(„und die Erstgeburt vom unreinen Vieh sollst du lösen") – unreine Tiere können nicht geopfert werden, müssen aber ausgelöst werden.</w:t>
      </w:r>
    </w:p>
    <w:p w14:paraId="6521CA35"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folgt dem hebräischen Text.</w:t>
      </w:r>
    </w:p>
    <w:p w14:paraId="5C573A94"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 Verse behandeln zwei besondere Kategorien: Bannware und Erstgeburten, mit wichtigen Ausnahmen für Menschen und unreine Tiere.</w:t>
      </w:r>
    </w:p>
    <w:p w14:paraId="196F2C1D" w14:textId="77777777" w:rsidR="0001206C" w:rsidRPr="0001206C" w:rsidRDefault="0001206C" w:rsidP="0001206C">
      <w:pPr>
        <w:spacing w:before="100" w:beforeAutospacing="1" w:after="100" w:afterAutospacing="1" w:line="240" w:lineRule="auto"/>
        <w:outlineLvl w:val="0"/>
        <w:rPr>
          <w:rFonts w:eastAsia="Times New Roman" w:cs="Times New Roman"/>
          <w:b/>
          <w:bCs/>
          <w:kern w:val="36"/>
          <w:sz w:val="48"/>
          <w:szCs w:val="48"/>
          <w:lang w:eastAsia="de-DE"/>
        </w:rPr>
      </w:pPr>
      <w:r w:rsidRPr="0001206C">
        <w:rPr>
          <w:rFonts w:eastAsia="Times New Roman" w:cs="Times New Roman"/>
          <w:b/>
          <w:bCs/>
          <w:kern w:val="36"/>
          <w:sz w:val="48"/>
          <w:szCs w:val="48"/>
          <w:lang w:eastAsia="de-DE"/>
        </w:rPr>
        <w:t>Numeri 18,16-18</w:t>
      </w:r>
    </w:p>
    <w:p w14:paraId="58FC2109"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lastRenderedPageBreak/>
        <w:t>Hebräisch:</w:t>
      </w:r>
      <w:r w:rsidRPr="0001206C">
        <w:rPr>
          <w:rFonts w:eastAsia="Times New Roman" w:cs="Times New Roman"/>
          <w:lang w:eastAsia="de-DE"/>
        </w:rPr>
        <w:t xml:space="preserve"> </w:t>
      </w:r>
      <w:r w:rsidRPr="0001206C">
        <w:rPr>
          <w:rFonts w:eastAsia="Times New Roman" w:cs="Times New Roman"/>
          <w:rtl/>
          <w:lang w:eastAsia="de-DE"/>
        </w:rPr>
        <w:t>וּפְדוּיָו֙ מִבֶּן־חֹ֣דֶשׁ תִּפְדֶּ֔ה בְּעֶ֨רְכְּךָ֔ כֶּ֛סֶף חֲמֵ֥שֶׁת שְׁקָלִ֖ים בְּשֶׁ֣קֶל הַקֹּ֑דֶשׁ עֶשְׂרִ֥ים גֵּרָ֖ה הֽוּא׃ אַ֣ךְ בְּֽכוֹר־שׁ֡וֹר אֽוֹ־בְכ֨וֹר כֶּ֜שֶׂב אֽוֹ־בְכ֥וֹר עֵ֛ז לֹ֥א תִפְדֶּ֖ה קֹ֣דֶשׁ הֵ֑ם אֶת־דָּמָ֞ם תִּזְרֹ֤ק עַל־הַמִּזְבֵּ֨חַ֙ וְאֶת־חֶלְבָּ֣ם תַּקְטִ֔יר אִשֶּׁ֛ה לְרֵ֥יחַ נִיחֹ֖חַ לַֽיהוָֽה׃ וּבְשָׂרָ֖ם יִהְיֶה־לָּ֑ךְ כַּחֲזֵ֧ה הַתְּנוּפָ֛ה וּכְשׁ֥וֹק הַיָּמִ֖ין לְךָ֥ יִהְיֶֽה׃</w:t>
      </w:r>
    </w:p>
    <w:p w14:paraId="5B8C4191"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Deutsch:</w:t>
      </w:r>
      <w:r w:rsidRPr="0001206C">
        <w:rPr>
          <w:rFonts w:eastAsia="Times New Roman" w:cs="Times New Roman"/>
          <w:lang w:eastAsia="de-DE"/>
        </w:rPr>
        <w:t xml:space="preserve"> Und die zu Lösenden unter ihnen sollst du von einem Monat an lösen, nach deiner Schätzung, für fünf Schekel Silber, nach dem Schekel des Heiligtums, der 20 Gera ist. Aber die Erstgeburt vom Rind oder die Erstgeburt vom Schaf oder die Erstgeburt von der Ziege sollst du nicht lösen; sie sind heilig. Ihr Blut sollst du an den Altar sprengen, und ihr Fett sollst du als Feueropfer räuchern zum wohlgefälligenden Geruch für den Ewigen. Und ihr Fleisch soll dir gehören; wie die Brust des Schwingopfers und wie der rechte Schenkel soll es dir gehören.</w:t>
      </w:r>
    </w:p>
    <w:p w14:paraId="2EBC35B6" w14:textId="77777777" w:rsidR="0001206C" w:rsidRPr="0001206C" w:rsidRDefault="00F329DD" w:rsidP="0001206C">
      <w:pPr>
        <w:spacing w:after="0" w:line="240" w:lineRule="auto"/>
        <w:rPr>
          <w:rFonts w:eastAsia="Times New Roman" w:cs="Times New Roman"/>
          <w:lang w:eastAsia="de-DE"/>
        </w:rPr>
      </w:pPr>
      <w:r>
        <w:rPr>
          <w:rFonts w:eastAsia="Times New Roman" w:cs="Times New Roman"/>
          <w:noProof/>
          <w:lang w:eastAsia="de-DE"/>
        </w:rPr>
        <w:pict w14:anchorId="310FE1E5">
          <v:rect id="_x0000_i1615" style="width:0;height:1.5pt" o:hralign="center" o:hrstd="t" o:hr="t" fillcolor="#a0a0a0" stroked="f"/>
        </w:pict>
      </w:r>
    </w:p>
    <w:p w14:paraId="05655F63"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Kommentar:</w:t>
      </w:r>
      <w:r w:rsidRPr="0001206C">
        <w:rPr>
          <w:rFonts w:eastAsia="Times New Roman" w:cs="Times New Roman"/>
          <w:lang w:eastAsia="de-DE"/>
        </w:rPr>
        <w:t xml:space="preserve"> Vers 16 präzisiert die Auslösung: </w:t>
      </w:r>
      <w:r w:rsidRPr="0001206C">
        <w:rPr>
          <w:rFonts w:eastAsia="Times New Roman" w:cs="Times New Roman"/>
          <w:b/>
          <w:bCs/>
          <w:rtl/>
          <w:lang w:eastAsia="de-DE"/>
        </w:rPr>
        <w:t>וּפְדוּיָו</w:t>
      </w:r>
      <w:r w:rsidRPr="0001206C">
        <w:rPr>
          <w:rFonts w:eastAsia="Times New Roman" w:cs="Times New Roman"/>
          <w:rtl/>
          <w:lang w:eastAsia="de-DE"/>
        </w:rPr>
        <w:t xml:space="preserve"> </w:t>
      </w:r>
      <w:r w:rsidRPr="0001206C">
        <w:rPr>
          <w:rFonts w:eastAsia="Times New Roman" w:cs="Times New Roman"/>
          <w:lang w:eastAsia="de-DE"/>
        </w:rPr>
        <w:t xml:space="preserve">(„und seine Auslösung", Plural mit Possessivsuffix 3. m. sg.) bezieht sich auf die Erstgeburt. </w:t>
      </w:r>
      <w:r w:rsidRPr="0001206C">
        <w:rPr>
          <w:rFonts w:eastAsia="Times New Roman" w:cs="Times New Roman"/>
          <w:b/>
          <w:bCs/>
          <w:rtl/>
          <w:lang w:eastAsia="de-DE"/>
        </w:rPr>
        <w:t>מִבֶּן־חֹדֶשׁ</w:t>
      </w:r>
      <w:r w:rsidRPr="0001206C">
        <w:rPr>
          <w:rFonts w:eastAsia="Times New Roman" w:cs="Times New Roman"/>
          <w:rtl/>
          <w:lang w:eastAsia="de-DE"/>
        </w:rPr>
        <w:t xml:space="preserve"> </w:t>
      </w:r>
      <w:r w:rsidRPr="0001206C">
        <w:rPr>
          <w:rFonts w:eastAsia="Times New Roman" w:cs="Times New Roman"/>
          <w:lang w:eastAsia="de-DE"/>
        </w:rPr>
        <w:t xml:space="preserve">(„von einem Monat an") gibt das Mindestalter an. </w:t>
      </w:r>
      <w:r w:rsidRPr="0001206C">
        <w:rPr>
          <w:rFonts w:eastAsia="Times New Roman" w:cs="Times New Roman"/>
          <w:b/>
          <w:bCs/>
          <w:rtl/>
          <w:lang w:eastAsia="de-DE"/>
        </w:rPr>
        <w:t>תִּפְדֶּה</w:t>
      </w:r>
      <w:r w:rsidRPr="0001206C">
        <w:rPr>
          <w:rFonts w:eastAsia="Times New Roman" w:cs="Times New Roman"/>
          <w:rtl/>
          <w:lang w:eastAsia="de-DE"/>
        </w:rPr>
        <w:t xml:space="preserve"> </w:t>
      </w:r>
      <w:r w:rsidRPr="0001206C">
        <w:rPr>
          <w:rFonts w:eastAsia="Times New Roman" w:cs="Times New Roman"/>
          <w:lang w:eastAsia="de-DE"/>
        </w:rPr>
        <w:t xml:space="preserve">(Qal Imperfekt, 2. m. sg. von </w:t>
      </w:r>
      <w:r w:rsidRPr="0001206C">
        <w:rPr>
          <w:rFonts w:eastAsia="Times New Roman" w:cs="Times New Roman"/>
          <w:b/>
          <w:bCs/>
          <w:rtl/>
          <w:lang w:eastAsia="de-DE"/>
        </w:rPr>
        <w:t>פדה</w:t>
      </w:r>
      <w:r w:rsidRPr="0001206C">
        <w:rPr>
          <w:rFonts w:eastAsia="Times New Roman" w:cs="Times New Roman"/>
          <w:lang w:eastAsia="de-DE"/>
        </w:rPr>
        <w:t xml:space="preserve">) „du sollst lösen". </w:t>
      </w:r>
      <w:r w:rsidRPr="0001206C">
        <w:rPr>
          <w:rFonts w:eastAsia="Times New Roman" w:cs="Times New Roman"/>
          <w:b/>
          <w:bCs/>
          <w:rtl/>
          <w:lang w:eastAsia="de-DE"/>
        </w:rPr>
        <w:t>בְּעֶרְכְּךָ</w:t>
      </w:r>
      <w:r w:rsidRPr="0001206C">
        <w:rPr>
          <w:rFonts w:eastAsia="Times New Roman" w:cs="Times New Roman"/>
          <w:rtl/>
          <w:lang w:eastAsia="de-DE"/>
        </w:rPr>
        <w:t xml:space="preserve"> </w:t>
      </w:r>
      <w:r w:rsidRPr="0001206C">
        <w:rPr>
          <w:rFonts w:eastAsia="Times New Roman" w:cs="Times New Roman"/>
          <w:lang w:eastAsia="de-DE"/>
        </w:rPr>
        <w:t xml:space="preserve">(„nach deiner Schätzung") gibt den Maßstab an. </w:t>
      </w:r>
      <w:r w:rsidRPr="0001206C">
        <w:rPr>
          <w:rFonts w:eastAsia="Times New Roman" w:cs="Times New Roman"/>
          <w:b/>
          <w:bCs/>
          <w:rtl/>
          <w:lang w:eastAsia="de-DE"/>
        </w:rPr>
        <w:t>כֶּסֶף חֲמֵשֶׁת שְׁקָלִים</w:t>
      </w:r>
      <w:r w:rsidRPr="0001206C">
        <w:rPr>
          <w:rFonts w:eastAsia="Times New Roman" w:cs="Times New Roman"/>
          <w:rtl/>
          <w:lang w:eastAsia="de-DE"/>
        </w:rPr>
        <w:t xml:space="preserve"> </w:t>
      </w:r>
      <w:r w:rsidRPr="0001206C">
        <w:rPr>
          <w:rFonts w:eastAsia="Times New Roman" w:cs="Times New Roman"/>
          <w:lang w:eastAsia="de-DE"/>
        </w:rPr>
        <w:t xml:space="preserve">(„Silber, fünf Schekel") ist der Betrag. </w:t>
      </w:r>
      <w:r w:rsidRPr="0001206C">
        <w:rPr>
          <w:rFonts w:eastAsia="Times New Roman" w:cs="Times New Roman"/>
          <w:b/>
          <w:bCs/>
          <w:rtl/>
          <w:lang w:eastAsia="de-DE"/>
        </w:rPr>
        <w:t>בְּשֶׁקֶל הַקֹּדֶשׁ</w:t>
      </w:r>
      <w:r w:rsidRPr="0001206C">
        <w:rPr>
          <w:rFonts w:eastAsia="Times New Roman" w:cs="Times New Roman"/>
          <w:rtl/>
          <w:lang w:eastAsia="de-DE"/>
        </w:rPr>
        <w:t xml:space="preserve"> </w:t>
      </w:r>
      <w:r w:rsidRPr="0001206C">
        <w:rPr>
          <w:rFonts w:eastAsia="Times New Roman" w:cs="Times New Roman"/>
          <w:lang w:eastAsia="de-DE"/>
        </w:rPr>
        <w:t xml:space="preserve">(„nach dem Schekel des Heiligtums") spezifiziert das Gewichtsmaß. </w:t>
      </w:r>
      <w:r w:rsidRPr="0001206C">
        <w:rPr>
          <w:rFonts w:eastAsia="Times New Roman" w:cs="Times New Roman"/>
          <w:b/>
          <w:bCs/>
          <w:rtl/>
          <w:lang w:eastAsia="de-DE"/>
        </w:rPr>
        <w:t>עֶשְׂרִים גֵּרָה הוּא</w:t>
      </w:r>
      <w:r w:rsidRPr="0001206C">
        <w:rPr>
          <w:rFonts w:eastAsia="Times New Roman" w:cs="Times New Roman"/>
          <w:rtl/>
          <w:lang w:eastAsia="de-DE"/>
        </w:rPr>
        <w:t xml:space="preserve"> </w:t>
      </w:r>
      <w:r w:rsidRPr="0001206C">
        <w:rPr>
          <w:rFonts w:eastAsia="Times New Roman" w:cs="Times New Roman"/>
          <w:lang w:eastAsia="de-DE"/>
        </w:rPr>
        <w:t>(„zwanzig Gera ist er") definiert den Standard-Schekel.</w:t>
      </w:r>
    </w:p>
    <w:p w14:paraId="1D090B65"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Vers 17 behandelt reine Erstgeburtstiere: </w:t>
      </w:r>
      <w:r w:rsidRPr="0001206C">
        <w:rPr>
          <w:rFonts w:eastAsia="Times New Roman" w:cs="Times New Roman"/>
          <w:b/>
          <w:bCs/>
          <w:rtl/>
          <w:lang w:eastAsia="de-DE"/>
        </w:rPr>
        <w:t>אַךְ בְּכוֹר־שׁוֹר אוֹ־בְכוֹר כֶּשֶׂב אוֹ־בְכוֹר עֵז</w:t>
      </w:r>
      <w:r w:rsidRPr="0001206C">
        <w:rPr>
          <w:rFonts w:eastAsia="Times New Roman" w:cs="Times New Roman"/>
          <w:rtl/>
          <w:lang w:eastAsia="de-DE"/>
        </w:rPr>
        <w:t xml:space="preserve"> </w:t>
      </w:r>
      <w:r w:rsidRPr="0001206C">
        <w:rPr>
          <w:rFonts w:eastAsia="Times New Roman" w:cs="Times New Roman"/>
          <w:lang w:eastAsia="de-DE"/>
        </w:rPr>
        <w:t xml:space="preserve">zählt die drei Hauptopfertiere auf (Rind, Schaf, Ziege). </w:t>
      </w:r>
      <w:r w:rsidRPr="0001206C">
        <w:rPr>
          <w:rFonts w:eastAsia="Times New Roman" w:cs="Times New Roman"/>
          <w:b/>
          <w:bCs/>
          <w:rtl/>
          <w:lang w:eastAsia="de-DE"/>
        </w:rPr>
        <w:t>לֹא תִפְדֶּה</w:t>
      </w:r>
      <w:r w:rsidRPr="0001206C">
        <w:rPr>
          <w:rFonts w:eastAsia="Times New Roman" w:cs="Times New Roman"/>
          <w:rtl/>
          <w:lang w:eastAsia="de-DE"/>
        </w:rPr>
        <w:t xml:space="preserve"> </w:t>
      </w:r>
      <w:r w:rsidRPr="0001206C">
        <w:rPr>
          <w:rFonts w:eastAsia="Times New Roman" w:cs="Times New Roman"/>
          <w:lang w:eastAsia="de-DE"/>
        </w:rPr>
        <w:t xml:space="preserve">(„du sollst nicht lösen") verbietet Auslösung. </w:t>
      </w:r>
      <w:r w:rsidRPr="0001206C">
        <w:rPr>
          <w:rFonts w:eastAsia="Times New Roman" w:cs="Times New Roman"/>
          <w:b/>
          <w:bCs/>
          <w:rtl/>
          <w:lang w:eastAsia="de-DE"/>
        </w:rPr>
        <w:t>קֹדֶשׁ הֵם</w:t>
      </w:r>
      <w:r w:rsidRPr="0001206C">
        <w:rPr>
          <w:rFonts w:eastAsia="Times New Roman" w:cs="Times New Roman"/>
          <w:rtl/>
          <w:lang w:eastAsia="de-DE"/>
        </w:rPr>
        <w:t xml:space="preserve"> </w:t>
      </w:r>
      <w:r w:rsidRPr="0001206C">
        <w:rPr>
          <w:rFonts w:eastAsia="Times New Roman" w:cs="Times New Roman"/>
          <w:lang w:eastAsia="de-DE"/>
        </w:rPr>
        <w:t xml:space="preserve">(„heilig sind sie") begründet: sie müssen geopfert werden. Die Opferpraxis wird beschrieben: </w:t>
      </w:r>
      <w:r w:rsidRPr="0001206C">
        <w:rPr>
          <w:rFonts w:eastAsia="Times New Roman" w:cs="Times New Roman"/>
          <w:b/>
          <w:bCs/>
          <w:rtl/>
          <w:lang w:eastAsia="de-DE"/>
        </w:rPr>
        <w:t>אֶת־דָּמָם תִּזְרֹק עַל־הַמִּזְבֵּחַ</w:t>
      </w:r>
      <w:r w:rsidRPr="0001206C">
        <w:rPr>
          <w:rFonts w:eastAsia="Times New Roman" w:cs="Times New Roman"/>
          <w:rtl/>
          <w:lang w:eastAsia="de-DE"/>
        </w:rPr>
        <w:t xml:space="preserve"> </w:t>
      </w:r>
      <w:r w:rsidRPr="0001206C">
        <w:rPr>
          <w:rFonts w:eastAsia="Times New Roman" w:cs="Times New Roman"/>
          <w:lang w:eastAsia="de-DE"/>
        </w:rPr>
        <w:t xml:space="preserve">(„ihr Blut sollst du an den Altar sprengen"), </w:t>
      </w:r>
      <w:r w:rsidRPr="0001206C">
        <w:rPr>
          <w:rFonts w:eastAsia="Times New Roman" w:cs="Times New Roman"/>
          <w:b/>
          <w:bCs/>
          <w:rtl/>
          <w:lang w:eastAsia="de-DE"/>
        </w:rPr>
        <w:t>וְאֶת־חֶלְבָּם תַּקְטִיר</w:t>
      </w:r>
      <w:r w:rsidRPr="0001206C">
        <w:rPr>
          <w:rFonts w:eastAsia="Times New Roman" w:cs="Times New Roman"/>
          <w:rtl/>
          <w:lang w:eastAsia="de-DE"/>
        </w:rPr>
        <w:t xml:space="preserve"> </w:t>
      </w:r>
      <w:r w:rsidRPr="0001206C">
        <w:rPr>
          <w:rFonts w:eastAsia="Times New Roman" w:cs="Times New Roman"/>
          <w:lang w:eastAsia="de-DE"/>
        </w:rPr>
        <w:t xml:space="preserve">(„und ihr Fett sollst du räuchern"), </w:t>
      </w:r>
      <w:r w:rsidRPr="0001206C">
        <w:rPr>
          <w:rFonts w:eastAsia="Times New Roman" w:cs="Times New Roman"/>
          <w:b/>
          <w:bCs/>
          <w:rtl/>
          <w:lang w:eastAsia="de-DE"/>
        </w:rPr>
        <w:t>אִשֶּׁה לְרֵיחַ נִיחֹחַ לַיהוָה</w:t>
      </w:r>
      <w:r w:rsidRPr="0001206C">
        <w:rPr>
          <w:rFonts w:eastAsia="Times New Roman" w:cs="Times New Roman"/>
          <w:rtl/>
          <w:lang w:eastAsia="de-DE"/>
        </w:rPr>
        <w:t xml:space="preserve"> </w:t>
      </w:r>
      <w:r w:rsidRPr="0001206C">
        <w:rPr>
          <w:rFonts w:eastAsia="Times New Roman" w:cs="Times New Roman"/>
          <w:lang w:eastAsia="de-DE"/>
        </w:rPr>
        <w:t>(„Feueropfer zum wohlgefälligen Geruch für JHWH" – eine stereotype Opferformel).</w:t>
      </w:r>
    </w:p>
    <w:p w14:paraId="7F06DE88"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 xml:space="preserve">Vers 18 gibt die Priesterportion an: </w:t>
      </w:r>
      <w:r w:rsidRPr="0001206C">
        <w:rPr>
          <w:rFonts w:eastAsia="Times New Roman" w:cs="Times New Roman"/>
          <w:b/>
          <w:bCs/>
          <w:rtl/>
          <w:lang w:eastAsia="de-DE"/>
        </w:rPr>
        <w:t>וּבְשָׂרָם יִהְיֶה־לָּךְ</w:t>
      </w:r>
      <w:r w:rsidRPr="0001206C">
        <w:rPr>
          <w:rFonts w:eastAsia="Times New Roman" w:cs="Times New Roman"/>
          <w:rtl/>
          <w:lang w:eastAsia="de-DE"/>
        </w:rPr>
        <w:t xml:space="preserve"> </w:t>
      </w:r>
      <w:r w:rsidRPr="0001206C">
        <w:rPr>
          <w:rFonts w:eastAsia="Times New Roman" w:cs="Times New Roman"/>
          <w:lang w:eastAsia="de-DE"/>
        </w:rPr>
        <w:t xml:space="preserve">(„und ihr Fleisch soll dir sein"). Die Vergleiche </w:t>
      </w:r>
      <w:r w:rsidRPr="0001206C">
        <w:rPr>
          <w:rFonts w:eastAsia="Times New Roman" w:cs="Times New Roman"/>
          <w:b/>
          <w:bCs/>
          <w:rtl/>
          <w:lang w:eastAsia="de-DE"/>
        </w:rPr>
        <w:t>כַּחֲזֵה הַתְּנוּפָה</w:t>
      </w:r>
      <w:r w:rsidRPr="0001206C">
        <w:rPr>
          <w:rFonts w:eastAsia="Times New Roman" w:cs="Times New Roman"/>
          <w:rtl/>
          <w:lang w:eastAsia="de-DE"/>
        </w:rPr>
        <w:t xml:space="preserve"> </w:t>
      </w:r>
      <w:r w:rsidRPr="0001206C">
        <w:rPr>
          <w:rFonts w:eastAsia="Times New Roman" w:cs="Times New Roman"/>
          <w:lang w:eastAsia="de-DE"/>
        </w:rPr>
        <w:t xml:space="preserve">(„wie die Brust des Schwingopfers") und </w:t>
      </w:r>
      <w:r w:rsidRPr="0001206C">
        <w:rPr>
          <w:rFonts w:eastAsia="Times New Roman" w:cs="Times New Roman"/>
          <w:b/>
          <w:bCs/>
          <w:rtl/>
          <w:lang w:eastAsia="de-DE"/>
        </w:rPr>
        <w:t>וּכְשׁוֹק הַיָּמִין</w:t>
      </w:r>
      <w:r w:rsidRPr="0001206C">
        <w:rPr>
          <w:rFonts w:eastAsia="Times New Roman" w:cs="Times New Roman"/>
          <w:rtl/>
          <w:lang w:eastAsia="de-DE"/>
        </w:rPr>
        <w:t xml:space="preserve"> </w:t>
      </w:r>
      <w:r w:rsidRPr="0001206C">
        <w:rPr>
          <w:rFonts w:eastAsia="Times New Roman" w:cs="Times New Roman"/>
          <w:lang w:eastAsia="de-DE"/>
        </w:rPr>
        <w:t>(„und wie der rechte Schenkel") beziehen sich auf bekannte Priesteranteile.</w:t>
      </w:r>
    </w:p>
    <w:p w14:paraId="4593F421" w14:textId="27324068"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b/>
          <w:bCs/>
          <w:lang w:eastAsia="de-DE"/>
        </w:rPr>
        <w:t>Die LXX</w:t>
      </w:r>
      <w:r w:rsidRPr="0001206C">
        <w:rPr>
          <w:rFonts w:eastAsia="Times New Roman" w:cs="Times New Roman"/>
          <w:lang w:eastAsia="de-DE"/>
        </w:rPr>
        <w:t xml:space="preserve"> </w:t>
      </w:r>
      <w:r w:rsidR="00420C4D">
        <w:t xml:space="preserve">übersetzt in </w:t>
      </w:r>
      <w:r w:rsidR="00420C4D" w:rsidRPr="00420C4D">
        <w:rPr>
          <w:b/>
          <w:bCs/>
        </w:rPr>
        <w:t>Vers 17</w:t>
      </w:r>
      <w:r w:rsidR="00420C4D">
        <w:t xml:space="preserve"> „</w:t>
      </w:r>
      <w:r w:rsidR="00420C4D" w:rsidRPr="00420C4D">
        <w:rPr>
          <w:b/>
          <w:bCs/>
          <w:rtl/>
        </w:rPr>
        <w:t>תַּקְטִיר</w:t>
      </w:r>
      <w:r w:rsidR="00420C4D">
        <w:t xml:space="preserve">" (sollst in Rauch aufgehen lassen) mit „ἀνοίσεις" (sollst hinaufbringen), was weniger spezifisch auf das Verbrennen hinweist. In </w:t>
      </w:r>
      <w:r w:rsidR="00420C4D">
        <w:rPr>
          <w:rStyle w:val="Fett"/>
        </w:rPr>
        <w:t>Vers 18:</w:t>
      </w:r>
      <w:r w:rsidR="00420C4D">
        <w:t xml:space="preserve"> </w:t>
      </w:r>
      <w:r w:rsidR="00420C4D">
        <w:rPr>
          <w:rStyle w:val="Fett"/>
        </w:rPr>
        <w:t>Die LXX</w:t>
      </w:r>
      <w:r w:rsidR="00420C4D">
        <w:t xml:space="preserve"> übersetzt „</w:t>
      </w:r>
      <w:r w:rsidR="00420C4D" w:rsidRPr="00420C4D">
        <w:rPr>
          <w:b/>
          <w:bCs/>
          <w:rtl/>
        </w:rPr>
        <w:t>חֲזֵה</w:t>
      </w:r>
      <w:r w:rsidR="00420C4D">
        <w:rPr>
          <w:rtl/>
        </w:rPr>
        <w:t xml:space="preserve"> </w:t>
      </w:r>
      <w:r w:rsidR="00420C4D" w:rsidRPr="00420C4D">
        <w:rPr>
          <w:b/>
          <w:bCs/>
          <w:rtl/>
        </w:rPr>
        <w:t>הַתְּנוּפָה</w:t>
      </w:r>
      <w:r w:rsidR="00420C4D">
        <w:t>" (die Brust der Schwingung) mit „τὸ στηθύνιον τοῦ ἐπιθέματος" (die Brust der Auflegung), und „</w:t>
      </w:r>
      <w:r w:rsidR="00420C4D" w:rsidRPr="00420C4D">
        <w:rPr>
          <w:b/>
          <w:bCs/>
          <w:rtl/>
        </w:rPr>
        <w:t>שׁוֹק</w:t>
      </w:r>
      <w:r w:rsidR="00420C4D">
        <w:rPr>
          <w:rtl/>
        </w:rPr>
        <w:t xml:space="preserve"> </w:t>
      </w:r>
      <w:r w:rsidR="00420C4D" w:rsidRPr="00420C4D">
        <w:rPr>
          <w:b/>
          <w:bCs/>
          <w:rtl/>
        </w:rPr>
        <w:t>הַיָּמִין</w:t>
      </w:r>
      <w:r w:rsidR="00420C4D">
        <w:t>" (die rechte Keule) wird zu „βραχίονα τὸν δεξιόν" (der rechte Arm/Schulter), was anatomisch eine etwas andere Beschreibung ist.</w:t>
      </w:r>
    </w:p>
    <w:p w14:paraId="58095F0B" w14:textId="77777777" w:rsidR="0001206C" w:rsidRPr="0001206C" w:rsidRDefault="0001206C" w:rsidP="0001206C">
      <w:pPr>
        <w:spacing w:before="100" w:beforeAutospacing="1" w:after="100" w:afterAutospacing="1" w:line="240" w:lineRule="auto"/>
        <w:rPr>
          <w:rFonts w:eastAsia="Times New Roman" w:cs="Times New Roman"/>
          <w:lang w:eastAsia="de-DE"/>
        </w:rPr>
      </w:pPr>
      <w:r w:rsidRPr="0001206C">
        <w:rPr>
          <w:rFonts w:eastAsia="Times New Roman" w:cs="Times New Roman"/>
          <w:lang w:eastAsia="de-DE"/>
        </w:rPr>
        <w:t>Diese Verse regeln detailliert die Erstgeburten: Menschen und unreine Tiere werden ausgelöst, reine Opfertiere werden geopfert, und die Priester erhalten das Fleisch.</w:t>
      </w:r>
    </w:p>
    <w:p w14:paraId="59542845"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18,19</w:t>
      </w:r>
    </w:p>
    <w:p w14:paraId="0C99D11C"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כֹּ֣ל׀ תְּרוּמֹ֣ת הַקֳּדָשִׁ֗ים אֲשֶׁ֨ר יָרִ֥ימוּ בְנֵֽי־יִשְׂרָאֵל֮ לַֽיהוָה֒ נָתַ֣תִּֽי לְךָ֗ וּלְבָנֶ֧יךָ וְלִבְנֹתֶ֛יךָ אִתְּךָ֖ לְחָק־עוֹלָ֑ם בְּרִית֩ מֶ֨לַח עוֹלָ֥ם הִוא֙ לִפְנֵ֣י יְהוָ֔ה לְךָ֖ וּלְזַרְעֲךָ֥ אִתָּֽךְ׃</w:t>
      </w:r>
    </w:p>
    <w:p w14:paraId="03F7E42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Alle Hebopfer der heiligen Dinge, welche die Söhne Jisra'els dem Ewigen anheben, habe ich dir gegeben und deinen Söhnen und deinen Töchtern mit dir als eine ewige Gebühr; es ist ein ewiger Salzbund vor dem Ewigen für dich und für deinen Samen mit dir.</w:t>
      </w:r>
    </w:p>
    <w:p w14:paraId="57F99DB7"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lastRenderedPageBreak/>
        <w:pict w14:anchorId="250CD396">
          <v:rect id="_x0000_i1616" style="width:0;height:1.5pt" o:hralign="center" o:hrstd="t" o:hr="t" fillcolor="#a0a0a0" stroked="f"/>
        </w:pict>
      </w:r>
    </w:p>
    <w:p w14:paraId="1E2449A1"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Die umfassende Phrase </w:t>
      </w:r>
      <w:r w:rsidRPr="00C416BE">
        <w:rPr>
          <w:rFonts w:eastAsia="Times New Roman" w:cs="Times New Roman"/>
          <w:b/>
          <w:bCs/>
          <w:rtl/>
          <w:lang w:eastAsia="de-DE"/>
        </w:rPr>
        <w:t>כֹּל תְּרוּמֹת הַקֳּדָשִׁים</w:t>
      </w:r>
      <w:r w:rsidRPr="00C416BE">
        <w:rPr>
          <w:rFonts w:eastAsia="Times New Roman" w:cs="Times New Roman"/>
          <w:rtl/>
          <w:lang w:eastAsia="de-DE"/>
        </w:rPr>
        <w:t xml:space="preserve"> </w:t>
      </w:r>
      <w:r w:rsidRPr="00C416BE">
        <w:rPr>
          <w:rFonts w:eastAsia="Times New Roman" w:cs="Times New Roman"/>
          <w:lang w:eastAsia="de-DE"/>
        </w:rPr>
        <w:t xml:space="preserve">(„alle Hebopfer der heiligen Dinge") fasst alle bisherigen Gaben zusammen. </w:t>
      </w:r>
      <w:r w:rsidRPr="00C416BE">
        <w:rPr>
          <w:rFonts w:eastAsia="Times New Roman" w:cs="Times New Roman"/>
          <w:b/>
          <w:bCs/>
          <w:rtl/>
          <w:lang w:eastAsia="de-DE"/>
        </w:rPr>
        <w:t>כֹּל</w:t>
      </w:r>
      <w:r w:rsidRPr="00C416BE">
        <w:rPr>
          <w:rFonts w:eastAsia="Times New Roman" w:cs="Times New Roman"/>
          <w:rtl/>
          <w:lang w:eastAsia="de-DE"/>
        </w:rPr>
        <w:t xml:space="preserve"> </w:t>
      </w:r>
      <w:r w:rsidRPr="00C416BE">
        <w:rPr>
          <w:rFonts w:eastAsia="Times New Roman" w:cs="Times New Roman"/>
          <w:lang w:eastAsia="de-DE"/>
        </w:rPr>
        <w:t xml:space="preserve">steht im Constructus vor </w:t>
      </w:r>
      <w:r w:rsidRPr="00C416BE">
        <w:rPr>
          <w:rFonts w:eastAsia="Times New Roman" w:cs="Times New Roman"/>
          <w:b/>
          <w:bCs/>
          <w:rtl/>
          <w:lang w:eastAsia="de-DE"/>
        </w:rPr>
        <w:t>תְּרוּמֹת</w:t>
      </w:r>
      <w:r w:rsidRPr="00C416BE">
        <w:rPr>
          <w:rFonts w:eastAsia="Times New Roman" w:cs="Times New Roman"/>
          <w:rtl/>
          <w:lang w:eastAsia="de-DE"/>
        </w:rPr>
        <w:t xml:space="preserve"> </w:t>
      </w:r>
      <w:r w:rsidRPr="00C416BE">
        <w:rPr>
          <w:rFonts w:eastAsia="Times New Roman" w:cs="Times New Roman"/>
          <w:lang w:eastAsia="de-DE"/>
        </w:rPr>
        <w:t xml:space="preserve">(Plural von </w:t>
      </w:r>
      <w:r w:rsidRPr="00C416BE">
        <w:rPr>
          <w:rFonts w:eastAsia="Times New Roman" w:cs="Times New Roman"/>
          <w:b/>
          <w:bCs/>
          <w:rtl/>
          <w:lang w:eastAsia="de-DE"/>
        </w:rPr>
        <w:t>תְּרוּמָה</w:t>
      </w:r>
      <w:r w:rsidRPr="00C416BE">
        <w:rPr>
          <w:rFonts w:eastAsia="Times New Roman" w:cs="Times New Roman"/>
          <w:rtl/>
          <w:lang w:eastAsia="de-DE"/>
        </w:rPr>
        <w:t xml:space="preserve"> </w:t>
      </w:r>
      <w:r w:rsidRPr="00C416BE">
        <w:rPr>
          <w:rFonts w:eastAsia="Times New Roman" w:cs="Times New Roman"/>
          <w:lang w:eastAsia="de-DE"/>
        </w:rPr>
        <w:t xml:space="preserve">„Hebopfer"), das wiederum im Constructus vor </w:t>
      </w:r>
      <w:r w:rsidRPr="00C416BE">
        <w:rPr>
          <w:rFonts w:eastAsia="Times New Roman" w:cs="Times New Roman"/>
          <w:b/>
          <w:bCs/>
          <w:rtl/>
          <w:lang w:eastAsia="de-DE"/>
        </w:rPr>
        <w:t>הַקֳּדָשִׁים</w:t>
      </w:r>
      <w:r w:rsidRPr="00C416BE">
        <w:rPr>
          <w:rFonts w:eastAsia="Times New Roman" w:cs="Times New Roman"/>
          <w:rtl/>
          <w:lang w:eastAsia="de-DE"/>
        </w:rPr>
        <w:t xml:space="preserve"> </w:t>
      </w:r>
      <w:r w:rsidRPr="00C416BE">
        <w:rPr>
          <w:rFonts w:eastAsia="Times New Roman" w:cs="Times New Roman"/>
          <w:lang w:eastAsia="de-DE"/>
        </w:rPr>
        <w:t xml:space="preserve">(Plural von </w:t>
      </w:r>
      <w:r w:rsidRPr="00C416BE">
        <w:rPr>
          <w:rFonts w:eastAsia="Times New Roman" w:cs="Times New Roman"/>
          <w:b/>
          <w:bCs/>
          <w:rtl/>
          <w:lang w:eastAsia="de-DE"/>
        </w:rPr>
        <w:t>קֹדֶשׁ</w:t>
      </w:r>
      <w:r w:rsidRPr="00C416BE">
        <w:rPr>
          <w:rFonts w:eastAsia="Times New Roman" w:cs="Times New Roman"/>
          <w:rtl/>
          <w:lang w:eastAsia="de-DE"/>
        </w:rPr>
        <w:t xml:space="preserve"> </w:t>
      </w:r>
      <w:r w:rsidRPr="00C416BE">
        <w:rPr>
          <w:rFonts w:eastAsia="Times New Roman" w:cs="Times New Roman"/>
          <w:lang w:eastAsia="de-DE"/>
        </w:rPr>
        <w:t xml:space="preserve">„Heiliges" mit Artikel) steht. Der Relativsatz </w:t>
      </w:r>
      <w:r w:rsidRPr="00C416BE">
        <w:rPr>
          <w:rFonts w:eastAsia="Times New Roman" w:cs="Times New Roman"/>
          <w:b/>
          <w:bCs/>
          <w:rtl/>
          <w:lang w:eastAsia="de-DE"/>
        </w:rPr>
        <w:t>אֲשֶׁר יָרִימוּ בְנֵי־יִשְׂרָאֵל לַיהוָה</w:t>
      </w:r>
      <w:r w:rsidRPr="00C416BE">
        <w:rPr>
          <w:rFonts w:eastAsia="Times New Roman" w:cs="Times New Roman"/>
          <w:rtl/>
          <w:lang w:eastAsia="de-DE"/>
        </w:rPr>
        <w:t xml:space="preserve"> </w:t>
      </w:r>
      <w:r w:rsidRPr="00C416BE">
        <w:rPr>
          <w:rFonts w:eastAsia="Times New Roman" w:cs="Times New Roman"/>
          <w:lang w:eastAsia="de-DE"/>
        </w:rPr>
        <w:t xml:space="preserve">besteht aus </w:t>
      </w:r>
      <w:r w:rsidRPr="00C416BE">
        <w:rPr>
          <w:rFonts w:eastAsia="Times New Roman" w:cs="Times New Roman"/>
          <w:b/>
          <w:bCs/>
          <w:rtl/>
          <w:lang w:eastAsia="de-DE"/>
        </w:rPr>
        <w:t>אֲשֶׁר</w:t>
      </w:r>
      <w:r w:rsidRPr="00C416BE">
        <w:rPr>
          <w:rFonts w:eastAsia="Times New Roman" w:cs="Times New Roman"/>
          <w:rtl/>
          <w:lang w:eastAsia="de-DE"/>
        </w:rPr>
        <w:t xml:space="preserve"> </w:t>
      </w:r>
      <w:r w:rsidRPr="00C416BE">
        <w:rPr>
          <w:rFonts w:eastAsia="Times New Roman" w:cs="Times New Roman"/>
          <w:lang w:eastAsia="de-DE"/>
        </w:rPr>
        <w:t xml:space="preserve">(Relativpronomen), </w:t>
      </w:r>
      <w:r w:rsidRPr="00C416BE">
        <w:rPr>
          <w:rFonts w:eastAsia="Times New Roman" w:cs="Times New Roman"/>
          <w:b/>
          <w:bCs/>
          <w:rtl/>
          <w:lang w:eastAsia="de-DE"/>
        </w:rPr>
        <w:t>יָרִימוּ</w:t>
      </w:r>
      <w:r w:rsidRPr="00C416BE">
        <w:rPr>
          <w:rFonts w:eastAsia="Times New Roman" w:cs="Times New Roman"/>
          <w:rtl/>
          <w:lang w:eastAsia="de-DE"/>
        </w:rPr>
        <w:t xml:space="preserve"> </w:t>
      </w:r>
      <w:r w:rsidRPr="00C416BE">
        <w:rPr>
          <w:rFonts w:eastAsia="Times New Roman" w:cs="Times New Roman"/>
          <w:lang w:eastAsia="de-DE"/>
        </w:rPr>
        <w:t xml:space="preserve">(Hifil Imperfekt, 3. m. pl. von </w:t>
      </w:r>
      <w:r w:rsidRPr="00C416BE">
        <w:rPr>
          <w:rFonts w:eastAsia="Times New Roman" w:cs="Times New Roman"/>
          <w:b/>
          <w:bCs/>
          <w:rtl/>
          <w:lang w:eastAsia="de-DE"/>
        </w:rPr>
        <w:t>רום</w:t>
      </w:r>
      <w:r w:rsidRPr="00C416BE">
        <w:rPr>
          <w:rFonts w:eastAsia="Times New Roman" w:cs="Times New Roman"/>
          <w:lang w:eastAsia="de-DE"/>
        </w:rPr>
        <w:t xml:space="preserve">, „sie heben an"), </w:t>
      </w:r>
      <w:r w:rsidRPr="00C416BE">
        <w:rPr>
          <w:rFonts w:eastAsia="Times New Roman" w:cs="Times New Roman"/>
          <w:b/>
          <w:bCs/>
          <w:rtl/>
          <w:lang w:eastAsia="de-DE"/>
        </w:rPr>
        <w:t>בְּנֵי־יִשְׂרָאֵל</w:t>
      </w:r>
      <w:r w:rsidRPr="00C416BE">
        <w:rPr>
          <w:rFonts w:eastAsia="Times New Roman" w:cs="Times New Roman"/>
          <w:rtl/>
          <w:lang w:eastAsia="de-DE"/>
        </w:rPr>
        <w:t xml:space="preserve"> </w:t>
      </w:r>
      <w:r w:rsidRPr="00C416BE">
        <w:rPr>
          <w:rFonts w:eastAsia="Times New Roman" w:cs="Times New Roman"/>
          <w:lang w:eastAsia="de-DE"/>
        </w:rPr>
        <w:t xml:space="preserve">(Subjekt) und </w:t>
      </w:r>
      <w:r w:rsidRPr="00C416BE">
        <w:rPr>
          <w:rFonts w:eastAsia="Times New Roman" w:cs="Times New Roman"/>
          <w:b/>
          <w:bCs/>
          <w:rtl/>
          <w:lang w:eastAsia="de-DE"/>
        </w:rPr>
        <w:t>לַיהוָה</w:t>
      </w:r>
      <w:r w:rsidRPr="00C416BE">
        <w:rPr>
          <w:rFonts w:eastAsia="Times New Roman" w:cs="Times New Roman"/>
          <w:rtl/>
          <w:lang w:eastAsia="de-DE"/>
        </w:rPr>
        <w:t xml:space="preserve"> </w:t>
      </w:r>
      <w:r w:rsidRPr="00C416BE">
        <w:rPr>
          <w:rFonts w:eastAsia="Times New Roman" w:cs="Times New Roman"/>
          <w:lang w:eastAsia="de-DE"/>
        </w:rPr>
        <w:t>(indirektes Objekt).</w:t>
      </w:r>
    </w:p>
    <w:p w14:paraId="71295849"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Das Verb </w:t>
      </w:r>
      <w:r w:rsidRPr="00C416BE">
        <w:rPr>
          <w:rFonts w:eastAsia="Times New Roman" w:cs="Times New Roman"/>
          <w:b/>
          <w:bCs/>
          <w:rtl/>
          <w:lang w:eastAsia="de-DE"/>
        </w:rPr>
        <w:t>נָתַתִּי</w:t>
      </w:r>
      <w:r w:rsidRPr="00C416BE">
        <w:rPr>
          <w:rFonts w:eastAsia="Times New Roman" w:cs="Times New Roman"/>
          <w:rtl/>
          <w:lang w:eastAsia="de-DE"/>
        </w:rPr>
        <w:t xml:space="preserve"> </w:t>
      </w:r>
      <w:r w:rsidRPr="00C416BE">
        <w:rPr>
          <w:rFonts w:eastAsia="Times New Roman" w:cs="Times New Roman"/>
          <w:lang w:eastAsia="de-DE"/>
        </w:rPr>
        <w:t xml:space="preserve">(Qal Perfekt, 1. c. sg. von </w:t>
      </w:r>
      <w:r w:rsidRPr="00C416BE">
        <w:rPr>
          <w:rFonts w:eastAsia="Times New Roman" w:cs="Times New Roman"/>
          <w:b/>
          <w:bCs/>
          <w:rtl/>
          <w:lang w:eastAsia="de-DE"/>
        </w:rPr>
        <w:t>נתן</w:t>
      </w:r>
      <w:r w:rsidRPr="00C416BE">
        <w:rPr>
          <w:rFonts w:eastAsia="Times New Roman" w:cs="Times New Roman"/>
          <w:lang w:eastAsia="de-DE"/>
        </w:rPr>
        <w:t xml:space="preserve">) bedeutet „ich habe gegeben". Die dreifache Empfängerangabe </w:t>
      </w:r>
      <w:r w:rsidRPr="00C416BE">
        <w:rPr>
          <w:rFonts w:eastAsia="Times New Roman" w:cs="Times New Roman"/>
          <w:b/>
          <w:bCs/>
          <w:rtl/>
          <w:lang w:eastAsia="de-DE"/>
        </w:rPr>
        <w:t>לְךָ וּלְבָנֶיךָ וְלִבְנֹתֶיךָ אִתְּךָ</w:t>
      </w:r>
      <w:r w:rsidRPr="00C416BE">
        <w:rPr>
          <w:rFonts w:eastAsia="Times New Roman" w:cs="Times New Roman"/>
          <w:rtl/>
          <w:lang w:eastAsia="de-DE"/>
        </w:rPr>
        <w:t xml:space="preserve"> </w:t>
      </w:r>
      <w:r w:rsidRPr="00C416BE">
        <w:rPr>
          <w:rFonts w:eastAsia="Times New Roman" w:cs="Times New Roman"/>
          <w:lang w:eastAsia="de-DE"/>
        </w:rPr>
        <w:t xml:space="preserve">umfasst Aaron, seine Söhne und seine Töchter – die ganze Priesterfamilie. </w:t>
      </w:r>
      <w:r w:rsidRPr="00C416BE">
        <w:rPr>
          <w:rFonts w:eastAsia="Times New Roman" w:cs="Times New Roman"/>
          <w:b/>
          <w:bCs/>
          <w:rtl/>
          <w:lang w:eastAsia="de-DE"/>
        </w:rPr>
        <w:t>אִתְּךָ</w:t>
      </w:r>
      <w:r w:rsidRPr="00C416BE">
        <w:rPr>
          <w:rFonts w:eastAsia="Times New Roman" w:cs="Times New Roman"/>
          <w:rtl/>
          <w:lang w:eastAsia="de-DE"/>
        </w:rPr>
        <w:t xml:space="preserve"> </w:t>
      </w:r>
      <w:r w:rsidRPr="00C416BE">
        <w:rPr>
          <w:rFonts w:eastAsia="Times New Roman" w:cs="Times New Roman"/>
          <w:lang w:eastAsia="de-DE"/>
        </w:rPr>
        <w:t xml:space="preserve">(„mit dir") betont die Gemeinschaft. </w:t>
      </w:r>
      <w:r w:rsidRPr="00C416BE">
        <w:rPr>
          <w:rFonts w:eastAsia="Times New Roman" w:cs="Times New Roman"/>
          <w:b/>
          <w:bCs/>
          <w:rtl/>
          <w:lang w:eastAsia="de-DE"/>
        </w:rPr>
        <w:t>לְחָק־עוֹלָם</w:t>
      </w:r>
      <w:r w:rsidRPr="00C416BE">
        <w:rPr>
          <w:rFonts w:eastAsia="Times New Roman" w:cs="Times New Roman"/>
          <w:rtl/>
          <w:lang w:eastAsia="de-DE"/>
        </w:rPr>
        <w:t xml:space="preserve"> </w:t>
      </w:r>
      <w:r w:rsidRPr="00C416BE">
        <w:rPr>
          <w:rFonts w:eastAsia="Times New Roman" w:cs="Times New Roman"/>
          <w:lang w:eastAsia="de-DE"/>
        </w:rPr>
        <w:t>ist die Formel „als ewige Gebühr" (Constructus-Verbindung).</w:t>
      </w:r>
    </w:p>
    <w:p w14:paraId="5A2CEE91"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theologisch bedeutsame Phrase </w:t>
      </w:r>
      <w:r w:rsidRPr="00C416BE">
        <w:rPr>
          <w:rFonts w:eastAsia="Times New Roman" w:cs="Times New Roman"/>
          <w:b/>
          <w:bCs/>
          <w:rtl/>
          <w:lang w:eastAsia="de-DE"/>
        </w:rPr>
        <w:t>בְּרִית מֶלַח עוֹלָם</w:t>
      </w:r>
      <w:r w:rsidRPr="00C416BE">
        <w:rPr>
          <w:rFonts w:eastAsia="Times New Roman" w:cs="Times New Roman"/>
          <w:rtl/>
          <w:lang w:eastAsia="de-DE"/>
        </w:rPr>
        <w:t xml:space="preserve"> </w:t>
      </w:r>
      <w:r w:rsidRPr="00C416BE">
        <w:rPr>
          <w:rFonts w:eastAsia="Times New Roman" w:cs="Times New Roman"/>
          <w:lang w:eastAsia="de-DE"/>
        </w:rPr>
        <w:t xml:space="preserve">(„ein ewiger Salzbund") ist eine dreifache Constructus-Verbindung: </w:t>
      </w:r>
      <w:r w:rsidRPr="00C416BE">
        <w:rPr>
          <w:rFonts w:eastAsia="Times New Roman" w:cs="Times New Roman"/>
          <w:b/>
          <w:bCs/>
          <w:rtl/>
          <w:lang w:eastAsia="de-DE"/>
        </w:rPr>
        <w:t>בְּרִית</w:t>
      </w:r>
      <w:r w:rsidRPr="00C416BE">
        <w:rPr>
          <w:rFonts w:eastAsia="Times New Roman" w:cs="Times New Roman"/>
          <w:rtl/>
          <w:lang w:eastAsia="de-DE"/>
        </w:rPr>
        <w:t xml:space="preserve"> </w:t>
      </w:r>
      <w:r w:rsidRPr="00C416BE">
        <w:rPr>
          <w:rFonts w:eastAsia="Times New Roman" w:cs="Times New Roman"/>
          <w:lang w:eastAsia="de-DE"/>
        </w:rPr>
        <w:t xml:space="preserve">(„Bund") im Constructus vor </w:t>
      </w:r>
      <w:r w:rsidRPr="00C416BE">
        <w:rPr>
          <w:rFonts w:eastAsia="Times New Roman" w:cs="Times New Roman"/>
          <w:b/>
          <w:bCs/>
          <w:rtl/>
          <w:lang w:eastAsia="de-DE"/>
        </w:rPr>
        <w:t>מֶלַח</w:t>
      </w:r>
      <w:r w:rsidRPr="00C416BE">
        <w:rPr>
          <w:rFonts w:eastAsia="Times New Roman" w:cs="Times New Roman"/>
          <w:rtl/>
          <w:lang w:eastAsia="de-DE"/>
        </w:rPr>
        <w:t xml:space="preserve"> </w:t>
      </w:r>
      <w:r w:rsidRPr="00C416BE">
        <w:rPr>
          <w:rFonts w:eastAsia="Times New Roman" w:cs="Times New Roman"/>
          <w:lang w:eastAsia="de-DE"/>
        </w:rPr>
        <w:t xml:space="preserve">(„Salz"), das wiederum im Constructus vor </w:t>
      </w:r>
      <w:r w:rsidRPr="00C416BE">
        <w:rPr>
          <w:rFonts w:eastAsia="Times New Roman" w:cs="Times New Roman"/>
          <w:b/>
          <w:bCs/>
          <w:rtl/>
          <w:lang w:eastAsia="de-DE"/>
        </w:rPr>
        <w:t>עוֹלָם</w:t>
      </w:r>
      <w:r w:rsidRPr="00C416BE">
        <w:rPr>
          <w:rFonts w:eastAsia="Times New Roman" w:cs="Times New Roman"/>
          <w:rtl/>
          <w:lang w:eastAsia="de-DE"/>
        </w:rPr>
        <w:t xml:space="preserve"> </w:t>
      </w:r>
      <w:r w:rsidRPr="00C416BE">
        <w:rPr>
          <w:rFonts w:eastAsia="Times New Roman" w:cs="Times New Roman"/>
          <w:lang w:eastAsia="de-DE"/>
        </w:rPr>
        <w:t xml:space="preserve">(„Ewigkeit") steht. Salz konserviert und symbolisiert Unvergänglichkeit und Beständigkeit – ein Bund, der niemals verdirbt. </w:t>
      </w:r>
      <w:r w:rsidRPr="00C416BE">
        <w:rPr>
          <w:rFonts w:eastAsia="Times New Roman" w:cs="Times New Roman"/>
          <w:b/>
          <w:bCs/>
          <w:rtl/>
          <w:lang w:eastAsia="de-DE"/>
        </w:rPr>
        <w:t>הִוא</w:t>
      </w:r>
      <w:r w:rsidRPr="00C416BE">
        <w:rPr>
          <w:rFonts w:eastAsia="Times New Roman" w:cs="Times New Roman"/>
          <w:rtl/>
          <w:lang w:eastAsia="de-DE"/>
        </w:rPr>
        <w:t xml:space="preserve"> </w:t>
      </w:r>
      <w:r w:rsidRPr="00C416BE">
        <w:rPr>
          <w:rFonts w:eastAsia="Times New Roman" w:cs="Times New Roman"/>
          <w:lang w:eastAsia="de-DE"/>
        </w:rPr>
        <w:t xml:space="preserve">ist das emphatische Pronomen („es"). </w:t>
      </w:r>
      <w:r w:rsidRPr="00C416BE">
        <w:rPr>
          <w:rFonts w:eastAsia="Times New Roman" w:cs="Times New Roman"/>
          <w:b/>
          <w:bCs/>
          <w:rtl/>
          <w:lang w:eastAsia="de-DE"/>
        </w:rPr>
        <w:t>לִפְנֵי יְהוָה</w:t>
      </w:r>
      <w:r w:rsidRPr="00C416BE">
        <w:rPr>
          <w:rFonts w:eastAsia="Times New Roman" w:cs="Times New Roman"/>
          <w:rtl/>
          <w:lang w:eastAsia="de-DE"/>
        </w:rPr>
        <w:t xml:space="preserve"> </w:t>
      </w:r>
      <w:r w:rsidRPr="00C416BE">
        <w:rPr>
          <w:rFonts w:eastAsia="Times New Roman" w:cs="Times New Roman"/>
          <w:lang w:eastAsia="de-DE"/>
        </w:rPr>
        <w:t xml:space="preserve">(„vor JHWH") betont, dass dieser Bund unter göttlicher Bezeugung steht. Die Empfänger werden feierlich wiederholt: </w:t>
      </w:r>
      <w:r w:rsidRPr="00C416BE">
        <w:rPr>
          <w:rFonts w:eastAsia="Times New Roman" w:cs="Times New Roman"/>
          <w:b/>
          <w:bCs/>
          <w:rtl/>
          <w:lang w:eastAsia="de-DE"/>
        </w:rPr>
        <w:t>לְךָ וּלְזַרְעֲךָ אִתָּךְ</w:t>
      </w:r>
      <w:r w:rsidRPr="00C416BE">
        <w:rPr>
          <w:rFonts w:eastAsia="Times New Roman" w:cs="Times New Roman"/>
          <w:rtl/>
          <w:lang w:eastAsia="de-DE"/>
        </w:rPr>
        <w:t xml:space="preserve"> </w:t>
      </w:r>
      <w:r w:rsidRPr="00C416BE">
        <w:rPr>
          <w:rFonts w:eastAsia="Times New Roman" w:cs="Times New Roman"/>
          <w:lang w:eastAsia="de-DE"/>
        </w:rPr>
        <w:t xml:space="preserve">(„für dich und deinen Samen mit dir"), wobei </w:t>
      </w:r>
      <w:r w:rsidRPr="00C416BE">
        <w:rPr>
          <w:rFonts w:eastAsia="Times New Roman" w:cs="Times New Roman"/>
          <w:b/>
          <w:bCs/>
          <w:rtl/>
          <w:lang w:eastAsia="de-DE"/>
        </w:rPr>
        <w:t>זֶרַע</w:t>
      </w:r>
      <w:r w:rsidRPr="00C416BE">
        <w:rPr>
          <w:rFonts w:eastAsia="Times New Roman" w:cs="Times New Roman"/>
          <w:rtl/>
          <w:lang w:eastAsia="de-DE"/>
        </w:rPr>
        <w:t xml:space="preserve"> </w:t>
      </w:r>
      <w:r w:rsidRPr="00C416BE">
        <w:rPr>
          <w:rFonts w:eastAsia="Times New Roman" w:cs="Times New Roman"/>
          <w:lang w:eastAsia="de-DE"/>
        </w:rPr>
        <w:t>(„Same") die Nachkommenschaft bezeichnet.</w:t>
      </w:r>
    </w:p>
    <w:p w14:paraId="08C908DF" w14:textId="049CE15B"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w:t>
      </w:r>
      <w:r w:rsidR="00420C4D">
        <w:t>übersetzt „</w:t>
      </w:r>
      <w:r w:rsidR="00420C4D" w:rsidRPr="00420C4D">
        <w:rPr>
          <w:b/>
          <w:bCs/>
          <w:rtl/>
        </w:rPr>
        <w:t>בְּרִית מֶלַח עוֹלָם</w:t>
      </w:r>
      <w:r w:rsidR="00420C4D">
        <w:t xml:space="preserve">" (ein ewiger Salzbund) mit „διαθήκη ἁλὸς αἰωνίου" (ein ewiger Bund des Salzes), wobei die griechische </w:t>
      </w:r>
      <w:r w:rsidR="00F133EC">
        <w:t>Construct</w:t>
      </w:r>
      <w:r w:rsidR="00420C4D">
        <w:t>ion die Wortstellung leicht verändert.</w:t>
      </w:r>
    </w:p>
    <w:p w14:paraId="2365FE79"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Hauptsatz mit umfassendem Subjekt (durch Relativsatz erweitert), Verb und dreifachem koordinierten indirekten Objekt sowie präpositionaler Bestimmung. Eine feierliche nominale Aussage mit Subjekt (Constructus-Verbindung), emphatischem Pronomen, Präpositionalphrase und wiederholter Empfängerangabe schließt ab. Insgesamt gibt es einen Nebensatz (Relativsatz).</w:t>
      </w:r>
    </w:p>
    <w:p w14:paraId="1AE028EC" w14:textId="2F7AFE29" w:rsid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kulminiert feierlich: Alle priesterlichen Gaben sind ein unvergänglicher Bund – so beständig wie Salz, das nie verdirbt.</w:t>
      </w:r>
    </w:p>
    <w:p w14:paraId="3B96CD77" w14:textId="77777777" w:rsidR="006A0345" w:rsidRPr="006A0345" w:rsidRDefault="006A0345" w:rsidP="00B00345">
      <w:pPr>
        <w:pStyle w:val="berschrift4"/>
        <w:rPr>
          <w:rFonts w:eastAsia="Times New Roman"/>
          <w:lang w:eastAsia="de-DE"/>
        </w:rPr>
      </w:pPr>
      <w:r w:rsidRPr="006A0345">
        <w:rPr>
          <w:rFonts w:eastAsia="Times New Roman"/>
          <w:lang w:eastAsia="de-DE"/>
        </w:rPr>
        <w:t>Exkurs: "Salzbund" (</w:t>
      </w:r>
      <w:r w:rsidRPr="00B00345">
        <w:rPr>
          <w:rFonts w:eastAsia="Times New Roman"/>
          <w:i w:val="0"/>
          <w:iCs w:val="0"/>
          <w:rtl/>
          <w:lang w:eastAsia="de-DE"/>
        </w:rPr>
        <w:t>בְּרִית מֶלַח</w:t>
      </w:r>
      <w:r w:rsidRPr="006A0345">
        <w:rPr>
          <w:rFonts w:eastAsia="Times New Roman"/>
          <w:lang w:eastAsia="de-DE"/>
        </w:rPr>
        <w:t>) – Altorientalische Parallelen</w:t>
      </w:r>
    </w:p>
    <w:p w14:paraId="23552BD1"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Numeri 18,19:</w:t>
      </w:r>
    </w:p>
    <w:p w14:paraId="157EC5BF" w14:textId="108DCE7F" w:rsidR="006A0345" w:rsidRPr="006A0345" w:rsidRDefault="006A0345" w:rsidP="006A0345">
      <w:pPr>
        <w:spacing w:beforeAutospacing="1" w:after="100" w:afterAutospacing="1" w:line="240" w:lineRule="auto"/>
        <w:rPr>
          <w:rFonts w:eastAsia="Times New Roman" w:cs="Times New Roman"/>
          <w:lang w:eastAsia="de-DE"/>
        </w:rPr>
      </w:pPr>
      <w:r w:rsidRPr="006A0345">
        <w:rPr>
          <w:rFonts w:eastAsia="Times New Roman" w:cs="Times New Roman"/>
          <w:rtl/>
          <w:lang w:eastAsia="de-DE"/>
        </w:rPr>
        <w:t>בְּרִית מֶלַח עוֹלָם הִוא לִפְנֵי יְהוָה</w:t>
      </w:r>
      <w:r w:rsidRPr="006A0345">
        <w:rPr>
          <w:rFonts w:eastAsia="Times New Roman" w:cs="Times New Roman"/>
          <w:lang w:eastAsia="de-DE"/>
        </w:rPr>
        <w:br/>
        <w:t xml:space="preserve">"Ein </w:t>
      </w:r>
      <w:r w:rsidRPr="006A0345">
        <w:rPr>
          <w:rFonts w:eastAsia="Times New Roman" w:cs="Times New Roman"/>
          <w:b/>
          <w:bCs/>
          <w:lang w:eastAsia="de-DE"/>
        </w:rPr>
        <w:t>ewiger Salzbund</w:t>
      </w:r>
      <w:r w:rsidRPr="006A0345">
        <w:rPr>
          <w:rFonts w:eastAsia="Times New Roman" w:cs="Times New Roman"/>
          <w:lang w:eastAsia="de-DE"/>
        </w:rPr>
        <w:t xml:space="preserve"> ist es vor dem </w:t>
      </w:r>
      <w:r w:rsidR="00095BF0">
        <w:rPr>
          <w:rFonts w:eastAsia="Times New Roman" w:cs="Times New Roman"/>
          <w:lang w:eastAsia="de-DE"/>
        </w:rPr>
        <w:t>Ewigen</w:t>
      </w:r>
      <w:r w:rsidRPr="006A0345">
        <w:rPr>
          <w:rFonts w:eastAsia="Times New Roman" w:cs="Times New Roman"/>
          <w:lang w:eastAsia="de-DE"/>
        </w:rPr>
        <w:t>"</w:t>
      </w:r>
    </w:p>
    <w:p w14:paraId="3B74FB8A"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Die Frage:</w:t>
      </w:r>
    </w:p>
    <w:p w14:paraId="11E2BE18"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Warum </w:t>
      </w:r>
      <w:r w:rsidRPr="006A0345">
        <w:rPr>
          <w:rFonts w:eastAsia="Times New Roman" w:cs="Times New Roman"/>
          <w:b/>
          <w:bCs/>
          <w:lang w:eastAsia="de-DE"/>
        </w:rPr>
        <w:t>Salz</w:t>
      </w:r>
      <w:r w:rsidRPr="006A0345">
        <w:rPr>
          <w:rFonts w:eastAsia="Times New Roman" w:cs="Times New Roman"/>
          <w:lang w:eastAsia="de-DE"/>
        </w:rPr>
        <w:t xml:space="preserve"> (</w:t>
      </w:r>
      <w:r w:rsidRPr="006A0345">
        <w:rPr>
          <w:rFonts w:eastAsia="Times New Roman" w:cs="Times New Roman"/>
          <w:rtl/>
          <w:lang w:eastAsia="de-DE"/>
        </w:rPr>
        <w:t>מֶלַח</w:t>
      </w:r>
      <w:r w:rsidRPr="006A0345">
        <w:rPr>
          <w:rFonts w:eastAsia="Times New Roman" w:cs="Times New Roman"/>
          <w:lang w:eastAsia="de-DE"/>
        </w:rPr>
        <w:t>)? Was macht einen Bund zum "</w:t>
      </w:r>
      <w:r w:rsidRPr="006A0345">
        <w:rPr>
          <w:rFonts w:eastAsia="Times New Roman" w:cs="Times New Roman"/>
          <w:b/>
          <w:bCs/>
          <w:lang w:eastAsia="de-DE"/>
        </w:rPr>
        <w:t>Salzbund</w:t>
      </w:r>
      <w:r w:rsidRPr="006A0345">
        <w:rPr>
          <w:rFonts w:eastAsia="Times New Roman" w:cs="Times New Roman"/>
          <w:lang w:eastAsia="de-DE"/>
        </w:rPr>
        <w:t>"?</w:t>
      </w:r>
    </w:p>
    <w:p w14:paraId="42A353D8"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1. Altorientalische Praxis: Salz bei Vertragsschlüssen</w:t>
      </w:r>
    </w:p>
    <w:p w14:paraId="0ED456FE"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A. Mesopotamien:</w:t>
      </w:r>
    </w:p>
    <w:p w14:paraId="031A19BB"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lastRenderedPageBreak/>
        <w:t xml:space="preserve">In </w:t>
      </w:r>
      <w:r w:rsidRPr="006A0345">
        <w:rPr>
          <w:rFonts w:eastAsia="Times New Roman" w:cs="Times New Roman"/>
          <w:b/>
          <w:bCs/>
          <w:lang w:eastAsia="de-DE"/>
        </w:rPr>
        <w:t>akkadischen Texten</w:t>
      </w:r>
      <w:r w:rsidRPr="006A0345">
        <w:rPr>
          <w:rFonts w:eastAsia="Times New Roman" w:cs="Times New Roman"/>
          <w:lang w:eastAsia="de-DE"/>
        </w:rPr>
        <w:t xml:space="preserve"> wird Salz bei Vertragsschlüssen erwähnt:</w:t>
      </w:r>
    </w:p>
    <w:p w14:paraId="1B59CB0A" w14:textId="77777777" w:rsidR="006A0345" w:rsidRPr="006A0345" w:rsidRDefault="006A0345" w:rsidP="00B358B7">
      <w:pPr>
        <w:numPr>
          <w:ilvl w:val="0"/>
          <w:numId w:val="160"/>
        </w:num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"ṭuppi mēlulti"</w:t>
      </w:r>
      <w:r w:rsidRPr="006A0345">
        <w:rPr>
          <w:rFonts w:eastAsia="Times New Roman" w:cs="Times New Roman"/>
          <w:lang w:eastAsia="de-DE"/>
        </w:rPr>
        <w:t xml:space="preserve"> (Salzvertrag) = bindender Vertrag</w:t>
      </w:r>
    </w:p>
    <w:p w14:paraId="5ECF09A3" w14:textId="77777777" w:rsidR="006A0345" w:rsidRPr="006A0345" w:rsidRDefault="006A0345" w:rsidP="00B358B7">
      <w:pPr>
        <w:numPr>
          <w:ilvl w:val="0"/>
          <w:numId w:val="160"/>
        </w:num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Salz wurde </w:t>
      </w:r>
      <w:r w:rsidRPr="006A0345">
        <w:rPr>
          <w:rFonts w:eastAsia="Times New Roman" w:cs="Times New Roman"/>
          <w:b/>
          <w:bCs/>
          <w:lang w:eastAsia="de-DE"/>
        </w:rPr>
        <w:t>gemeinsam gegessen</w:t>
      </w:r>
      <w:r w:rsidRPr="006A0345">
        <w:rPr>
          <w:rFonts w:eastAsia="Times New Roman" w:cs="Times New Roman"/>
          <w:lang w:eastAsia="de-DE"/>
        </w:rPr>
        <w:t xml:space="preserve"> als Zeichen der </w:t>
      </w:r>
      <w:r w:rsidRPr="006A0345">
        <w:rPr>
          <w:rFonts w:eastAsia="Times New Roman" w:cs="Times New Roman"/>
          <w:b/>
          <w:bCs/>
          <w:lang w:eastAsia="de-DE"/>
        </w:rPr>
        <w:t>Treue</w:t>
      </w:r>
    </w:p>
    <w:p w14:paraId="47B19C3D"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B. Arabische Tradition:</w:t>
      </w:r>
    </w:p>
    <w:p w14:paraId="03C3AAD4"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Bis heute gilt im arabischen Raum:</w:t>
      </w:r>
    </w:p>
    <w:p w14:paraId="047D3241" w14:textId="77777777" w:rsidR="006A0345" w:rsidRPr="006A0345" w:rsidRDefault="006A0345" w:rsidP="00B358B7">
      <w:pPr>
        <w:numPr>
          <w:ilvl w:val="0"/>
          <w:numId w:val="161"/>
        </w:num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"Brot und Salz teilen"</w:t>
      </w:r>
      <w:r w:rsidRPr="006A0345">
        <w:rPr>
          <w:rFonts w:eastAsia="Times New Roman" w:cs="Times New Roman"/>
          <w:lang w:eastAsia="de-DE"/>
        </w:rPr>
        <w:t xml:space="preserve"> = </w:t>
      </w:r>
      <w:r w:rsidRPr="006A0345">
        <w:rPr>
          <w:rFonts w:eastAsia="Times New Roman" w:cs="Times New Roman"/>
          <w:b/>
          <w:bCs/>
          <w:lang w:eastAsia="de-DE"/>
        </w:rPr>
        <w:t>unverbrüchliche Treue</w:t>
      </w:r>
    </w:p>
    <w:p w14:paraId="51FD93AC" w14:textId="77777777" w:rsidR="006A0345" w:rsidRPr="006A0345" w:rsidRDefault="006A0345" w:rsidP="00B358B7">
      <w:pPr>
        <w:numPr>
          <w:ilvl w:val="0"/>
          <w:numId w:val="161"/>
        </w:num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Wer dein </w:t>
      </w:r>
      <w:r w:rsidRPr="006A0345">
        <w:rPr>
          <w:rFonts w:eastAsia="Times New Roman" w:cs="Times New Roman"/>
          <w:b/>
          <w:bCs/>
          <w:lang w:eastAsia="de-DE"/>
        </w:rPr>
        <w:t>Salz gegessen</w:t>
      </w:r>
      <w:r w:rsidRPr="006A0345">
        <w:rPr>
          <w:rFonts w:eastAsia="Times New Roman" w:cs="Times New Roman"/>
          <w:lang w:eastAsia="de-DE"/>
        </w:rPr>
        <w:t xml:space="preserve"> hat, ist </w:t>
      </w:r>
      <w:r w:rsidRPr="006A0345">
        <w:rPr>
          <w:rFonts w:eastAsia="Times New Roman" w:cs="Times New Roman"/>
          <w:b/>
          <w:bCs/>
          <w:lang w:eastAsia="de-DE"/>
        </w:rPr>
        <w:t>verpflichtet</w:t>
      </w:r>
      <w:r w:rsidRPr="006A0345">
        <w:rPr>
          <w:rFonts w:eastAsia="Times New Roman" w:cs="Times New Roman"/>
          <w:lang w:eastAsia="de-DE"/>
        </w:rPr>
        <w:t>, dir treu zu bleiben</w:t>
      </w:r>
    </w:p>
    <w:p w14:paraId="0816FFD6"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C. Griechisch-römische Welt:</w:t>
      </w:r>
    </w:p>
    <w:p w14:paraId="756159C1" w14:textId="77777777" w:rsidR="006A0345" w:rsidRPr="006A0345" w:rsidRDefault="006A0345" w:rsidP="00B358B7">
      <w:pPr>
        <w:numPr>
          <w:ilvl w:val="0"/>
          <w:numId w:val="162"/>
        </w:num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Plinius</w:t>
      </w:r>
      <w:r w:rsidRPr="006A0345">
        <w:rPr>
          <w:rFonts w:eastAsia="Times New Roman" w:cs="Times New Roman"/>
          <w:lang w:eastAsia="de-DE"/>
        </w:rPr>
        <w:t xml:space="preserve"> (Naturalis Historia 31.7.41): "</w:t>
      </w:r>
      <w:r w:rsidRPr="006A0345">
        <w:rPr>
          <w:rFonts w:eastAsia="Times New Roman" w:cs="Times New Roman"/>
          <w:i/>
          <w:iCs/>
          <w:lang w:eastAsia="de-DE"/>
        </w:rPr>
        <w:t>Nihil sole et sale utilius</w:t>
      </w:r>
      <w:r w:rsidRPr="006A0345">
        <w:rPr>
          <w:rFonts w:eastAsia="Times New Roman" w:cs="Times New Roman"/>
          <w:lang w:eastAsia="de-DE"/>
        </w:rPr>
        <w:t>" (Nichts ist nützlicher als Sonne und Salz)</w:t>
      </w:r>
    </w:p>
    <w:p w14:paraId="32BD36FA" w14:textId="77777777" w:rsidR="006A0345" w:rsidRPr="006A0345" w:rsidRDefault="006A0345" w:rsidP="00B358B7">
      <w:pPr>
        <w:numPr>
          <w:ilvl w:val="0"/>
          <w:numId w:val="162"/>
        </w:num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Salz war </w:t>
      </w:r>
      <w:r w:rsidRPr="006A0345">
        <w:rPr>
          <w:rFonts w:eastAsia="Times New Roman" w:cs="Times New Roman"/>
          <w:b/>
          <w:bCs/>
          <w:lang w:eastAsia="de-DE"/>
        </w:rPr>
        <w:t>wertvoll</w:t>
      </w:r>
      <w:r w:rsidRPr="006A0345">
        <w:rPr>
          <w:rFonts w:eastAsia="Times New Roman" w:cs="Times New Roman"/>
          <w:lang w:eastAsia="de-DE"/>
        </w:rPr>
        <w:t xml:space="preserve"> (daher: "Salär" = Sold/Lohn)</w:t>
      </w:r>
    </w:p>
    <w:p w14:paraId="1FF2E406" w14:textId="0F7AC9DA" w:rsidR="006A0345" w:rsidRPr="006A0345" w:rsidRDefault="006A0345" w:rsidP="006A0345">
      <w:pPr>
        <w:pStyle w:val="Listenabsatz"/>
        <w:numPr>
          <w:ilvl w:val="0"/>
          <w:numId w:val="2"/>
        </w:numPr>
        <w:spacing w:before="100" w:beforeAutospacing="1" w:after="100" w:afterAutospacing="1" w:line="240" w:lineRule="auto"/>
        <w:rPr>
          <w:rFonts w:eastAsia="Times New Roman" w:cs="Times New Roman"/>
          <w:b/>
          <w:bCs/>
          <w:lang w:eastAsia="de-DE"/>
        </w:rPr>
      </w:pPr>
      <w:r w:rsidRPr="006A0345">
        <w:rPr>
          <w:rFonts w:eastAsia="Times New Roman" w:cs="Times New Roman"/>
          <w:b/>
          <w:bCs/>
          <w:lang w:eastAsia="de-DE"/>
        </w:rPr>
        <w:t>Symbolik des Salzes im AT</w:t>
      </w:r>
    </w:p>
    <w:tbl>
      <w:tblPr>
        <w:tblStyle w:val="Tabellenraster"/>
        <w:tblW w:w="4994" w:type="pct"/>
        <w:tblLook w:val="04A0" w:firstRow="1" w:lastRow="0" w:firstColumn="1" w:lastColumn="0" w:noHBand="0" w:noVBand="1"/>
      </w:tblPr>
      <w:tblGrid>
        <w:gridCol w:w="3015"/>
        <w:gridCol w:w="3018"/>
        <w:gridCol w:w="3018"/>
      </w:tblGrid>
      <w:tr w:rsidR="006A0345" w14:paraId="3EF95378" w14:textId="77777777" w:rsidTr="00F54C59">
        <w:tc>
          <w:tcPr>
            <w:tcW w:w="1666" w:type="pct"/>
            <w:vAlign w:val="center"/>
          </w:tcPr>
          <w:p w14:paraId="6D0439DB" w14:textId="28E01EE8"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Eigenschaft</w:t>
            </w:r>
          </w:p>
        </w:tc>
        <w:tc>
          <w:tcPr>
            <w:tcW w:w="1667" w:type="pct"/>
            <w:vAlign w:val="center"/>
          </w:tcPr>
          <w:p w14:paraId="562C7B5F" w14:textId="390E797B"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Bedeutung</w:t>
            </w:r>
          </w:p>
        </w:tc>
        <w:tc>
          <w:tcPr>
            <w:tcW w:w="1667" w:type="pct"/>
            <w:vAlign w:val="center"/>
          </w:tcPr>
          <w:p w14:paraId="0385CC40" w14:textId="7B573D4B"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Anwendung</w:t>
            </w:r>
          </w:p>
        </w:tc>
      </w:tr>
      <w:tr w:rsidR="006A0345" w14:paraId="5F0DCCCA" w14:textId="77777777" w:rsidTr="00F27E4F">
        <w:tc>
          <w:tcPr>
            <w:tcW w:w="1666" w:type="pct"/>
            <w:vAlign w:val="center"/>
          </w:tcPr>
          <w:p w14:paraId="7E04007A" w14:textId="70D11A8A"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Konserviert</w:t>
            </w:r>
          </w:p>
        </w:tc>
        <w:tc>
          <w:tcPr>
            <w:tcW w:w="1667" w:type="pct"/>
            <w:vAlign w:val="center"/>
          </w:tcPr>
          <w:p w14:paraId="7A933902" w14:textId="20F41E64"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Verhindert </w:t>
            </w:r>
            <w:r w:rsidRPr="006A0345">
              <w:rPr>
                <w:rFonts w:eastAsia="Times New Roman" w:cs="Times New Roman"/>
                <w:b/>
                <w:bCs/>
                <w:lang w:eastAsia="de-DE"/>
              </w:rPr>
              <w:t>Verderben</w:t>
            </w:r>
          </w:p>
        </w:tc>
        <w:tc>
          <w:tcPr>
            <w:tcW w:w="1667" w:type="pct"/>
            <w:vAlign w:val="center"/>
          </w:tcPr>
          <w:p w14:paraId="7CFF091E" w14:textId="503E985A"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Bund bleibt </w:t>
            </w:r>
            <w:r w:rsidRPr="006A0345">
              <w:rPr>
                <w:rFonts w:eastAsia="Times New Roman" w:cs="Times New Roman"/>
                <w:b/>
                <w:bCs/>
                <w:lang w:eastAsia="de-DE"/>
              </w:rPr>
              <w:t>unverdorben</w:t>
            </w:r>
          </w:p>
        </w:tc>
      </w:tr>
      <w:tr w:rsidR="006A0345" w14:paraId="48E5C4EE" w14:textId="77777777" w:rsidTr="00A21A4F">
        <w:tc>
          <w:tcPr>
            <w:tcW w:w="1666" w:type="pct"/>
            <w:vAlign w:val="center"/>
          </w:tcPr>
          <w:p w14:paraId="2F765C31" w14:textId="08EF6BD3"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Würzt</w:t>
            </w:r>
          </w:p>
        </w:tc>
        <w:tc>
          <w:tcPr>
            <w:tcW w:w="1667" w:type="pct"/>
            <w:vAlign w:val="center"/>
          </w:tcPr>
          <w:p w14:paraId="6ABB9279" w14:textId="640842F6"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Macht </w:t>
            </w:r>
            <w:r w:rsidRPr="006A0345">
              <w:rPr>
                <w:rFonts w:eastAsia="Times New Roman" w:cs="Times New Roman"/>
                <w:b/>
                <w:bCs/>
                <w:lang w:eastAsia="de-DE"/>
              </w:rPr>
              <w:t>schmackhaft</w:t>
            </w:r>
          </w:p>
        </w:tc>
        <w:tc>
          <w:tcPr>
            <w:tcW w:w="1667" w:type="pct"/>
            <w:vAlign w:val="center"/>
          </w:tcPr>
          <w:p w14:paraId="38EF2185" w14:textId="2BFDB1E2"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Bund ist </w:t>
            </w:r>
            <w:r w:rsidRPr="006A0345">
              <w:rPr>
                <w:rFonts w:eastAsia="Times New Roman" w:cs="Times New Roman"/>
                <w:b/>
                <w:bCs/>
                <w:lang w:eastAsia="de-DE"/>
              </w:rPr>
              <w:t>wohlgefällig</w:t>
            </w:r>
          </w:p>
        </w:tc>
      </w:tr>
      <w:tr w:rsidR="006A0345" w14:paraId="7B5AD63E" w14:textId="77777777" w:rsidTr="00A21A4F">
        <w:tc>
          <w:tcPr>
            <w:tcW w:w="1666" w:type="pct"/>
            <w:vAlign w:val="center"/>
          </w:tcPr>
          <w:p w14:paraId="31C0C198" w14:textId="3E9DEEC3"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Reint</w:t>
            </w:r>
          </w:p>
        </w:tc>
        <w:tc>
          <w:tcPr>
            <w:tcW w:w="1667" w:type="pct"/>
            <w:vAlign w:val="center"/>
          </w:tcPr>
          <w:p w14:paraId="4ACFA39C" w14:textId="4BDD8981"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Desinfiziert</w:t>
            </w:r>
          </w:p>
        </w:tc>
        <w:tc>
          <w:tcPr>
            <w:tcW w:w="1667" w:type="pct"/>
            <w:vAlign w:val="center"/>
          </w:tcPr>
          <w:p w14:paraId="1AC464C7" w14:textId="0CF0EB77"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Bund ist </w:t>
            </w:r>
            <w:r w:rsidRPr="006A0345">
              <w:rPr>
                <w:rFonts w:eastAsia="Times New Roman" w:cs="Times New Roman"/>
                <w:b/>
                <w:bCs/>
                <w:lang w:eastAsia="de-DE"/>
              </w:rPr>
              <w:t>rein</w:t>
            </w:r>
          </w:p>
        </w:tc>
      </w:tr>
      <w:tr w:rsidR="006A0345" w14:paraId="2CFD3B14" w14:textId="77777777" w:rsidTr="00A21A4F">
        <w:tc>
          <w:tcPr>
            <w:tcW w:w="1666" w:type="pct"/>
            <w:vAlign w:val="center"/>
          </w:tcPr>
          <w:p w14:paraId="66DA1251" w14:textId="1185E04B"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Dauerhaft</w:t>
            </w:r>
          </w:p>
        </w:tc>
        <w:tc>
          <w:tcPr>
            <w:tcW w:w="1667" w:type="pct"/>
            <w:vAlign w:val="center"/>
          </w:tcPr>
          <w:p w14:paraId="56FD88C3" w14:textId="57FA493A"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Löst sich nicht auf</w:t>
            </w:r>
          </w:p>
        </w:tc>
        <w:tc>
          <w:tcPr>
            <w:tcW w:w="1667" w:type="pct"/>
            <w:vAlign w:val="center"/>
          </w:tcPr>
          <w:p w14:paraId="57748ACA" w14:textId="37D827D0"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Bund ist </w:t>
            </w:r>
            <w:r w:rsidRPr="006A0345">
              <w:rPr>
                <w:rFonts w:eastAsia="Times New Roman" w:cs="Times New Roman"/>
                <w:b/>
                <w:bCs/>
                <w:lang w:eastAsia="de-DE"/>
              </w:rPr>
              <w:t>ewig</w:t>
            </w:r>
          </w:p>
        </w:tc>
      </w:tr>
      <w:tr w:rsidR="006A0345" w14:paraId="3C6F80FA" w14:textId="77777777" w:rsidTr="00A21A4F">
        <w:tc>
          <w:tcPr>
            <w:tcW w:w="1666" w:type="pct"/>
            <w:vAlign w:val="center"/>
          </w:tcPr>
          <w:p w14:paraId="09D043FD" w14:textId="7A7C260F"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Wertvoll</w:t>
            </w:r>
          </w:p>
        </w:tc>
        <w:tc>
          <w:tcPr>
            <w:tcW w:w="1667" w:type="pct"/>
            <w:vAlign w:val="center"/>
          </w:tcPr>
          <w:p w14:paraId="15CCEC99" w14:textId="07CD02F1"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Kostbar</w:t>
            </w:r>
          </w:p>
        </w:tc>
        <w:tc>
          <w:tcPr>
            <w:tcW w:w="1667" w:type="pct"/>
            <w:vAlign w:val="center"/>
          </w:tcPr>
          <w:p w14:paraId="719D5915" w14:textId="5EF683D5"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Bund ist </w:t>
            </w:r>
            <w:r w:rsidRPr="006A0345">
              <w:rPr>
                <w:rFonts w:eastAsia="Times New Roman" w:cs="Times New Roman"/>
                <w:b/>
                <w:bCs/>
                <w:lang w:eastAsia="de-DE"/>
              </w:rPr>
              <w:t>ehrenvoll</w:t>
            </w:r>
          </w:p>
        </w:tc>
      </w:tr>
    </w:tbl>
    <w:p w14:paraId="2C5A9240"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3. AT-Stellen zum Salzbund</w:t>
      </w:r>
    </w:p>
    <w:p w14:paraId="29A962D0"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A. 2 Chronik 13,5:</w:t>
      </w:r>
    </w:p>
    <w:p w14:paraId="62409CED" w14:textId="77777777" w:rsidR="006A0345" w:rsidRPr="006A0345" w:rsidRDefault="006A0345" w:rsidP="006A0345">
      <w:pPr>
        <w:spacing w:beforeAutospacing="1" w:after="100" w:afterAutospacing="1" w:line="240" w:lineRule="auto"/>
        <w:rPr>
          <w:rFonts w:eastAsia="Times New Roman" w:cs="Times New Roman"/>
          <w:lang w:eastAsia="de-DE"/>
        </w:rPr>
      </w:pPr>
      <w:r w:rsidRPr="006A0345">
        <w:rPr>
          <w:rFonts w:eastAsia="Times New Roman" w:cs="Times New Roman"/>
          <w:rtl/>
          <w:lang w:eastAsia="de-DE"/>
        </w:rPr>
        <w:t xml:space="preserve">הֲלוֹא לָכֶם לָדַעַת כִּי יְהוָה אֱלֹהֵי יִשְׂרָאֵל נָתַן מַמְלָכָה לְדָוִיד עַל־יִשְׂרָאֵל לְעוֹלָם לוֹ וּלְבָנָיו </w:t>
      </w:r>
      <w:r w:rsidRPr="006A0345">
        <w:rPr>
          <w:rFonts w:eastAsia="Times New Roman" w:cs="Times New Roman"/>
          <w:b/>
          <w:bCs/>
          <w:rtl/>
          <w:lang w:eastAsia="de-DE"/>
        </w:rPr>
        <w:t>בְּרִית מֶלַח</w:t>
      </w:r>
      <w:r w:rsidRPr="006A0345">
        <w:rPr>
          <w:rFonts w:eastAsia="Times New Roman" w:cs="Times New Roman"/>
          <w:rtl/>
          <w:lang w:eastAsia="de-DE"/>
        </w:rPr>
        <w:t>׃</w:t>
      </w:r>
    </w:p>
    <w:p w14:paraId="63D1285B"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"Wisst ihr nicht, dass der HERR, der Gott Israels, David die Herrschaft über Israel für ewig gegeben hat, ihm und seinen Söhnen, </w:t>
      </w:r>
      <w:r w:rsidRPr="006A0345">
        <w:rPr>
          <w:rFonts w:eastAsia="Times New Roman" w:cs="Times New Roman"/>
          <w:b/>
          <w:bCs/>
          <w:lang w:eastAsia="de-DE"/>
        </w:rPr>
        <w:t>durch einen Salzbund</w:t>
      </w:r>
      <w:r w:rsidRPr="006A0345">
        <w:rPr>
          <w:rFonts w:eastAsia="Times New Roman" w:cs="Times New Roman"/>
          <w:lang w:eastAsia="de-DE"/>
        </w:rPr>
        <w:t>?"</w:t>
      </w:r>
    </w:p>
    <w:p w14:paraId="6A06195A"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 Auch das davidische Königtum ist ein Salzbund!</w:t>
      </w:r>
    </w:p>
    <w:p w14:paraId="070779ED"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B. Levitikus 2,13:</w:t>
      </w:r>
    </w:p>
    <w:p w14:paraId="44DD1F9C" w14:textId="77777777" w:rsidR="006A0345" w:rsidRPr="006A0345" w:rsidRDefault="006A0345" w:rsidP="006A0345">
      <w:pPr>
        <w:spacing w:beforeAutospacing="1" w:after="100" w:afterAutospacing="1" w:line="240" w:lineRule="auto"/>
        <w:rPr>
          <w:rFonts w:eastAsia="Times New Roman" w:cs="Times New Roman"/>
          <w:lang w:eastAsia="de-DE"/>
        </w:rPr>
      </w:pPr>
      <w:r w:rsidRPr="006A0345">
        <w:rPr>
          <w:rFonts w:eastAsia="Times New Roman" w:cs="Times New Roman"/>
          <w:rtl/>
          <w:lang w:eastAsia="de-DE"/>
        </w:rPr>
        <w:t xml:space="preserve">וְכָל־קָרְבַּן מִנְחָתְךָ בַּמֶּלַח תִּמְלָח וְלֹא תַשְׁבִּית </w:t>
      </w:r>
      <w:r w:rsidRPr="006A0345">
        <w:rPr>
          <w:rFonts w:eastAsia="Times New Roman" w:cs="Times New Roman"/>
          <w:b/>
          <w:bCs/>
          <w:rtl/>
          <w:lang w:eastAsia="de-DE"/>
        </w:rPr>
        <w:t>מֶלַח בְּרִית אֱלֹהֶיךָ</w:t>
      </w:r>
      <w:r w:rsidRPr="006A0345">
        <w:rPr>
          <w:rFonts w:eastAsia="Times New Roman" w:cs="Times New Roman"/>
          <w:rtl/>
          <w:lang w:eastAsia="de-DE"/>
        </w:rPr>
        <w:t xml:space="preserve"> מֵעַל מִנְחָתֶךָ עַל כָּל־קָרְבָּנְךָ תַּקְרִיב מֶלַח׃</w:t>
      </w:r>
    </w:p>
    <w:p w14:paraId="72128B72"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"Und alle deine Speisopfergaben sollst du mit Salz salzen und sollst nicht fehlen lassen das </w:t>
      </w:r>
      <w:r w:rsidRPr="006A0345">
        <w:rPr>
          <w:rFonts w:eastAsia="Times New Roman" w:cs="Times New Roman"/>
          <w:b/>
          <w:bCs/>
          <w:lang w:eastAsia="de-DE"/>
        </w:rPr>
        <w:t>Salz des Bundes deines Gottes</w:t>
      </w:r>
      <w:r w:rsidRPr="006A0345">
        <w:rPr>
          <w:rFonts w:eastAsia="Times New Roman" w:cs="Times New Roman"/>
          <w:lang w:eastAsia="de-DE"/>
        </w:rPr>
        <w:t xml:space="preserve"> bei deinem Speisopfer; bei all deinen Opfergaben sollst du Salz darbringen."</w:t>
      </w:r>
    </w:p>
    <w:p w14:paraId="4C7C8435"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 Alle Opfer müssen gesalzen werden – Zeichen des Bundes!</w:t>
      </w:r>
    </w:p>
    <w:p w14:paraId="5FE8BF64"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C. Hesekiel 43,24:</w:t>
      </w:r>
    </w:p>
    <w:p w14:paraId="7F034CDF" w14:textId="77777777" w:rsidR="006A0345" w:rsidRPr="006A0345" w:rsidRDefault="006A0345" w:rsidP="006A0345">
      <w:pPr>
        <w:spacing w:beforeAutospacing="1" w:after="100" w:afterAutospacing="1" w:line="240" w:lineRule="auto"/>
        <w:rPr>
          <w:rFonts w:eastAsia="Times New Roman" w:cs="Times New Roman"/>
          <w:lang w:eastAsia="de-DE"/>
        </w:rPr>
      </w:pPr>
      <w:r w:rsidRPr="006A0345">
        <w:rPr>
          <w:rFonts w:eastAsia="Times New Roman" w:cs="Times New Roman"/>
          <w:rtl/>
          <w:lang w:eastAsia="de-DE"/>
        </w:rPr>
        <w:lastRenderedPageBreak/>
        <w:t xml:space="preserve">וְהִקְרַבְתָּם לִפְנֵי יְהוָה וְהִשְׁלִיכוּ הַכֹּהֲנִים עֲלֵיהֶם </w:t>
      </w:r>
      <w:r w:rsidRPr="006A0345">
        <w:rPr>
          <w:rFonts w:eastAsia="Times New Roman" w:cs="Times New Roman"/>
          <w:b/>
          <w:bCs/>
          <w:rtl/>
          <w:lang w:eastAsia="de-DE"/>
        </w:rPr>
        <w:t>מֶלַח</w:t>
      </w:r>
      <w:r w:rsidRPr="006A0345">
        <w:rPr>
          <w:rFonts w:eastAsia="Times New Roman" w:cs="Times New Roman"/>
          <w:rtl/>
          <w:lang w:eastAsia="de-DE"/>
        </w:rPr>
        <w:t xml:space="preserve"> וְהֶעֱלוּ אוֹתָם עֹלָה לַיהוָה׃</w:t>
      </w:r>
    </w:p>
    <w:p w14:paraId="3CA8F648" w14:textId="42C55F1E"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"Und du sollst sie vor den </w:t>
      </w:r>
      <w:r w:rsidR="00095BF0">
        <w:rPr>
          <w:rFonts w:eastAsia="Times New Roman" w:cs="Times New Roman"/>
          <w:lang w:eastAsia="de-DE"/>
        </w:rPr>
        <w:t>Ewigen</w:t>
      </w:r>
      <w:r w:rsidRPr="006A0345">
        <w:rPr>
          <w:rFonts w:eastAsia="Times New Roman" w:cs="Times New Roman"/>
          <w:lang w:eastAsia="de-DE"/>
        </w:rPr>
        <w:t xml:space="preserve"> bringen, und die Priester sollen </w:t>
      </w:r>
      <w:r w:rsidRPr="006A0345">
        <w:rPr>
          <w:rFonts w:eastAsia="Times New Roman" w:cs="Times New Roman"/>
          <w:b/>
          <w:bCs/>
          <w:lang w:eastAsia="de-DE"/>
        </w:rPr>
        <w:t>Salz</w:t>
      </w:r>
      <w:r w:rsidRPr="006A0345">
        <w:rPr>
          <w:rFonts w:eastAsia="Times New Roman" w:cs="Times New Roman"/>
          <w:lang w:eastAsia="de-DE"/>
        </w:rPr>
        <w:t xml:space="preserve"> auf sie werfen und sie als </w:t>
      </w:r>
      <w:r w:rsidR="00F133EC">
        <w:rPr>
          <w:rFonts w:eastAsia="Times New Roman" w:cs="Times New Roman"/>
          <w:lang w:eastAsia="de-DE"/>
        </w:rPr>
        <w:t>Aufsteigeopfer</w:t>
      </w:r>
      <w:r w:rsidRPr="006A0345">
        <w:rPr>
          <w:rFonts w:eastAsia="Times New Roman" w:cs="Times New Roman"/>
          <w:lang w:eastAsia="de-DE"/>
        </w:rPr>
        <w:t xml:space="preserve"> für den </w:t>
      </w:r>
      <w:r w:rsidR="00095BF0">
        <w:rPr>
          <w:rFonts w:eastAsia="Times New Roman" w:cs="Times New Roman"/>
          <w:lang w:eastAsia="de-DE"/>
        </w:rPr>
        <w:t>Ewigen</w:t>
      </w:r>
      <w:r w:rsidRPr="006A0345">
        <w:rPr>
          <w:rFonts w:eastAsia="Times New Roman" w:cs="Times New Roman"/>
          <w:lang w:eastAsia="de-DE"/>
        </w:rPr>
        <w:t xml:space="preserve"> darbringen."</w:t>
      </w:r>
    </w:p>
    <w:p w14:paraId="38FCF7F5"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4. Negative Verwendung: Salz als Fluch</w:t>
      </w:r>
    </w:p>
    <w:p w14:paraId="5BC136A3"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A. Richter 9,45:</w:t>
      </w:r>
    </w:p>
    <w:p w14:paraId="1E59F3BE" w14:textId="77777777" w:rsidR="006A0345" w:rsidRPr="006A0345" w:rsidRDefault="006A0345" w:rsidP="006A0345">
      <w:pPr>
        <w:spacing w:beforeAutospacing="1" w:after="100" w:afterAutospacing="1" w:line="240" w:lineRule="auto"/>
        <w:rPr>
          <w:rFonts w:eastAsia="Times New Roman" w:cs="Times New Roman"/>
          <w:lang w:eastAsia="de-DE"/>
        </w:rPr>
      </w:pPr>
      <w:r w:rsidRPr="006A0345">
        <w:rPr>
          <w:rFonts w:eastAsia="Times New Roman" w:cs="Times New Roman"/>
          <w:rtl/>
          <w:lang w:eastAsia="de-DE"/>
        </w:rPr>
        <w:t xml:space="preserve">וַאֲבִימֶלֶךְ נִלְחָם בָּעִיר כֹּל הַיּוֹם הַהוּא וַיִּלְכֹּד אֶת־הָעִיר וְאֶת־הָעָם אֲשֶׁר־בָּהּ הָרָג וַיִּתֹּץ אֶת־הָעִיר </w:t>
      </w:r>
      <w:r w:rsidRPr="006A0345">
        <w:rPr>
          <w:rFonts w:eastAsia="Times New Roman" w:cs="Times New Roman"/>
          <w:b/>
          <w:bCs/>
          <w:rtl/>
          <w:lang w:eastAsia="de-DE"/>
        </w:rPr>
        <w:t>וַיִּזְרָעֶהָ מֶלַח</w:t>
      </w:r>
      <w:r w:rsidRPr="006A0345">
        <w:rPr>
          <w:rFonts w:eastAsia="Times New Roman" w:cs="Times New Roman"/>
          <w:rtl/>
          <w:lang w:eastAsia="de-DE"/>
        </w:rPr>
        <w:t>׃</w:t>
      </w:r>
    </w:p>
    <w:p w14:paraId="7BE88268"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"Und Abimelech kämpfte gegen die Stadt den ganzen Tag und eroberte die Stadt und tötete das Volk, das darin war, und riss die Stadt nieder und </w:t>
      </w:r>
      <w:r w:rsidRPr="006A0345">
        <w:rPr>
          <w:rFonts w:eastAsia="Times New Roman" w:cs="Times New Roman"/>
          <w:b/>
          <w:bCs/>
          <w:lang w:eastAsia="de-DE"/>
        </w:rPr>
        <w:t>säte sie mit Salz</w:t>
      </w:r>
      <w:r w:rsidRPr="006A0345">
        <w:rPr>
          <w:rFonts w:eastAsia="Times New Roman" w:cs="Times New Roman"/>
          <w:lang w:eastAsia="de-DE"/>
        </w:rPr>
        <w:t>."</w:t>
      </w:r>
    </w:p>
    <w:p w14:paraId="21DFCD70"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 Salz macht Land unfruchtbar – ewige Verwüstung!</w:t>
      </w:r>
    </w:p>
    <w:p w14:paraId="72952EF3"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B. Deuteronomium 29,22:</w:t>
      </w:r>
    </w:p>
    <w:p w14:paraId="60371996" w14:textId="77777777" w:rsidR="006A0345" w:rsidRPr="006A0345" w:rsidRDefault="006A0345" w:rsidP="006A0345">
      <w:pPr>
        <w:spacing w:beforeAutospacing="1" w:after="100" w:afterAutospacing="1" w:line="240" w:lineRule="auto"/>
        <w:rPr>
          <w:rFonts w:eastAsia="Times New Roman" w:cs="Times New Roman"/>
          <w:lang w:eastAsia="de-DE"/>
        </w:rPr>
      </w:pPr>
      <w:r w:rsidRPr="006A0345">
        <w:rPr>
          <w:rFonts w:eastAsia="Times New Roman" w:cs="Times New Roman"/>
          <w:rtl/>
          <w:lang w:eastAsia="de-DE"/>
        </w:rPr>
        <w:t xml:space="preserve">גָּפְרִית </w:t>
      </w:r>
      <w:r w:rsidRPr="006A0345">
        <w:rPr>
          <w:rFonts w:eastAsia="Times New Roman" w:cs="Times New Roman"/>
          <w:b/>
          <w:bCs/>
          <w:rtl/>
          <w:lang w:eastAsia="de-DE"/>
        </w:rPr>
        <w:t>וָמֶלַח</w:t>
      </w:r>
      <w:r w:rsidRPr="006A0345">
        <w:rPr>
          <w:rFonts w:eastAsia="Times New Roman" w:cs="Times New Roman"/>
          <w:rtl/>
          <w:lang w:eastAsia="de-DE"/>
        </w:rPr>
        <w:t xml:space="preserve"> שְׂרֵפָה כָל־אַרְצָהּ לֹא תִזָּרַע וְלֹא תַצְמִחַ וְלֹא יַעֲלֶה בָהּ כָּל־עֵשֶׂב כְּמַהְפֵּכַת סְדֹם וַעֲמֹרָה</w:t>
      </w:r>
    </w:p>
    <w:p w14:paraId="3CDD8342"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"Schwefel und </w:t>
      </w:r>
      <w:r w:rsidRPr="006A0345">
        <w:rPr>
          <w:rFonts w:eastAsia="Times New Roman" w:cs="Times New Roman"/>
          <w:b/>
          <w:bCs/>
          <w:lang w:eastAsia="de-DE"/>
        </w:rPr>
        <w:t>Salz</w:t>
      </w:r>
      <w:r w:rsidRPr="006A0345">
        <w:rPr>
          <w:rFonts w:eastAsia="Times New Roman" w:cs="Times New Roman"/>
          <w:lang w:eastAsia="de-DE"/>
        </w:rPr>
        <w:t>, verbrannt ist das ganze Land, es wird nicht besät und lässt nichts sprossen, und es kommt kein Kraut darin auf, wie bei der Zerstörung von Sodom und Gomorra"</w:t>
      </w:r>
    </w:p>
    <w:p w14:paraId="190146CF"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 Salz symbolisiert Ambivalenz: Segen (Bund) oder Fluch (Verwüstung)!</w:t>
      </w:r>
    </w:p>
    <w:p w14:paraId="61061FC8" w14:textId="390A6EEB" w:rsidR="006A0345" w:rsidRPr="006A0345" w:rsidRDefault="006A0345" w:rsidP="006A0345">
      <w:pPr>
        <w:pStyle w:val="Listenabsatz"/>
        <w:numPr>
          <w:ilvl w:val="0"/>
          <w:numId w:val="2"/>
        </w:numPr>
        <w:spacing w:before="100" w:beforeAutospacing="1" w:after="100" w:afterAutospacing="1" w:line="240" w:lineRule="auto"/>
        <w:rPr>
          <w:rFonts w:eastAsia="Times New Roman" w:cs="Times New Roman"/>
          <w:b/>
          <w:bCs/>
          <w:lang w:eastAsia="de-DE"/>
        </w:rPr>
      </w:pPr>
      <w:r w:rsidRPr="006A0345">
        <w:rPr>
          <w:rFonts w:eastAsia="Times New Roman" w:cs="Times New Roman"/>
          <w:b/>
          <w:bCs/>
          <w:lang w:eastAsia="de-DE"/>
        </w:rPr>
        <w:t>Warum "Salzbund" für das Priestertum?</w:t>
      </w:r>
    </w:p>
    <w:tbl>
      <w:tblPr>
        <w:tblStyle w:val="Tabellenraster"/>
        <w:tblW w:w="4994" w:type="pct"/>
        <w:tblLook w:val="04A0" w:firstRow="1" w:lastRow="0" w:firstColumn="1" w:lastColumn="0" w:noHBand="0" w:noVBand="1"/>
      </w:tblPr>
      <w:tblGrid>
        <w:gridCol w:w="1736"/>
        <w:gridCol w:w="3220"/>
        <w:gridCol w:w="4095"/>
      </w:tblGrid>
      <w:tr w:rsidR="006A0345" w14:paraId="2872364C" w14:textId="77777777" w:rsidTr="006A0345">
        <w:tc>
          <w:tcPr>
            <w:tcW w:w="959" w:type="pct"/>
            <w:vAlign w:val="center"/>
          </w:tcPr>
          <w:p w14:paraId="19EB83DA" w14:textId="3FBB987B"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Grund</w:t>
            </w:r>
          </w:p>
        </w:tc>
        <w:tc>
          <w:tcPr>
            <w:tcW w:w="1779" w:type="pct"/>
            <w:vAlign w:val="center"/>
          </w:tcPr>
          <w:p w14:paraId="7B2DF8E4" w14:textId="1AD58BB1"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Erklärung</w:t>
            </w:r>
          </w:p>
        </w:tc>
        <w:tc>
          <w:tcPr>
            <w:tcW w:w="2262" w:type="pct"/>
            <w:vAlign w:val="center"/>
          </w:tcPr>
          <w:p w14:paraId="2DB23399" w14:textId="0D5CB316"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Anwendung auf Num 18,19</w:t>
            </w:r>
          </w:p>
        </w:tc>
      </w:tr>
      <w:tr w:rsidR="006A0345" w14:paraId="7064E40D" w14:textId="77777777" w:rsidTr="006A0345">
        <w:tc>
          <w:tcPr>
            <w:tcW w:w="959" w:type="pct"/>
            <w:vAlign w:val="center"/>
          </w:tcPr>
          <w:p w14:paraId="4099C08D" w14:textId="0BCF3684"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Unvergänglich</w:t>
            </w:r>
          </w:p>
        </w:tc>
        <w:tc>
          <w:tcPr>
            <w:tcW w:w="1779" w:type="pct"/>
            <w:vAlign w:val="center"/>
          </w:tcPr>
          <w:p w14:paraId="657CAAE0" w14:textId="276B1A2E"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Salz </w:t>
            </w:r>
            <w:r w:rsidRPr="006A0345">
              <w:rPr>
                <w:rFonts w:eastAsia="Times New Roman" w:cs="Times New Roman"/>
                <w:b/>
                <w:bCs/>
                <w:lang w:eastAsia="de-DE"/>
              </w:rPr>
              <w:t>verdirbt nie</w:t>
            </w:r>
          </w:p>
        </w:tc>
        <w:tc>
          <w:tcPr>
            <w:tcW w:w="2262" w:type="pct"/>
            <w:vAlign w:val="center"/>
          </w:tcPr>
          <w:p w14:paraId="7AB4426A" w14:textId="52D82157"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Priestertum ist </w:t>
            </w:r>
            <w:r w:rsidRPr="006A0345">
              <w:rPr>
                <w:rFonts w:eastAsia="Times New Roman" w:cs="Times New Roman"/>
                <w:b/>
                <w:bCs/>
                <w:lang w:eastAsia="de-DE"/>
              </w:rPr>
              <w:t>ewig</w:t>
            </w:r>
          </w:p>
        </w:tc>
      </w:tr>
      <w:tr w:rsidR="006A0345" w14:paraId="745EE589" w14:textId="77777777" w:rsidTr="006A0345">
        <w:tc>
          <w:tcPr>
            <w:tcW w:w="959" w:type="pct"/>
            <w:vAlign w:val="center"/>
          </w:tcPr>
          <w:p w14:paraId="698DB730" w14:textId="4883DD26"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Konservierend</w:t>
            </w:r>
          </w:p>
        </w:tc>
        <w:tc>
          <w:tcPr>
            <w:tcW w:w="1779" w:type="pct"/>
            <w:vAlign w:val="center"/>
          </w:tcPr>
          <w:p w14:paraId="7CB99F00" w14:textId="05C7CCC8"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Salz </w:t>
            </w:r>
            <w:r w:rsidRPr="006A0345">
              <w:rPr>
                <w:rFonts w:eastAsia="Times New Roman" w:cs="Times New Roman"/>
                <w:b/>
                <w:bCs/>
                <w:lang w:eastAsia="de-DE"/>
              </w:rPr>
              <w:t>bewahrt</w:t>
            </w:r>
          </w:p>
        </w:tc>
        <w:tc>
          <w:tcPr>
            <w:tcW w:w="2262" w:type="pct"/>
            <w:vAlign w:val="center"/>
          </w:tcPr>
          <w:p w14:paraId="7815B8C9" w14:textId="5D07BD31"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Priestertum </w:t>
            </w:r>
            <w:r w:rsidRPr="006A0345">
              <w:rPr>
                <w:rFonts w:eastAsia="Times New Roman" w:cs="Times New Roman"/>
                <w:b/>
                <w:bCs/>
                <w:lang w:eastAsia="de-DE"/>
              </w:rPr>
              <w:t>bewahrt</w:t>
            </w:r>
            <w:r w:rsidRPr="006A0345">
              <w:rPr>
                <w:rFonts w:eastAsia="Times New Roman" w:cs="Times New Roman"/>
                <w:lang w:eastAsia="de-DE"/>
              </w:rPr>
              <w:t xml:space="preserve"> das Heilige</w:t>
            </w:r>
          </w:p>
        </w:tc>
      </w:tr>
      <w:tr w:rsidR="006A0345" w14:paraId="0843221E" w14:textId="77777777" w:rsidTr="006A0345">
        <w:tc>
          <w:tcPr>
            <w:tcW w:w="959" w:type="pct"/>
            <w:vAlign w:val="center"/>
          </w:tcPr>
          <w:p w14:paraId="7798B5F9" w14:textId="0CF1E4E9"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Wertvoll</w:t>
            </w:r>
          </w:p>
        </w:tc>
        <w:tc>
          <w:tcPr>
            <w:tcW w:w="1779" w:type="pct"/>
            <w:vAlign w:val="center"/>
          </w:tcPr>
          <w:p w14:paraId="3889FF61" w14:textId="36E76588"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Salz war </w:t>
            </w:r>
            <w:r w:rsidRPr="006A0345">
              <w:rPr>
                <w:rFonts w:eastAsia="Times New Roman" w:cs="Times New Roman"/>
                <w:b/>
                <w:bCs/>
                <w:lang w:eastAsia="de-DE"/>
              </w:rPr>
              <w:t>kostbar</w:t>
            </w:r>
          </w:p>
        </w:tc>
        <w:tc>
          <w:tcPr>
            <w:tcW w:w="2262" w:type="pct"/>
            <w:vAlign w:val="center"/>
          </w:tcPr>
          <w:p w14:paraId="2116F1B3" w14:textId="662EF6A9"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Priestertum ist </w:t>
            </w:r>
            <w:r w:rsidRPr="006A0345">
              <w:rPr>
                <w:rFonts w:eastAsia="Times New Roman" w:cs="Times New Roman"/>
                <w:b/>
                <w:bCs/>
                <w:lang w:eastAsia="de-DE"/>
              </w:rPr>
              <w:t>Privileg</w:t>
            </w:r>
          </w:p>
        </w:tc>
      </w:tr>
      <w:tr w:rsidR="006A0345" w14:paraId="31142EF8" w14:textId="77777777" w:rsidTr="006A0345">
        <w:tc>
          <w:tcPr>
            <w:tcW w:w="959" w:type="pct"/>
            <w:vAlign w:val="center"/>
          </w:tcPr>
          <w:p w14:paraId="12809452" w14:textId="32B98C95"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Reinigend</w:t>
            </w:r>
          </w:p>
        </w:tc>
        <w:tc>
          <w:tcPr>
            <w:tcW w:w="1779" w:type="pct"/>
            <w:vAlign w:val="center"/>
          </w:tcPr>
          <w:p w14:paraId="69C6C2D6" w14:textId="13530C25"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Salz </w:t>
            </w:r>
            <w:r w:rsidRPr="006A0345">
              <w:rPr>
                <w:rFonts w:eastAsia="Times New Roman" w:cs="Times New Roman"/>
                <w:b/>
                <w:bCs/>
                <w:lang w:eastAsia="de-DE"/>
              </w:rPr>
              <w:t>desinfiziert</w:t>
            </w:r>
          </w:p>
        </w:tc>
        <w:tc>
          <w:tcPr>
            <w:tcW w:w="2262" w:type="pct"/>
            <w:vAlign w:val="center"/>
          </w:tcPr>
          <w:p w14:paraId="092D7CAA" w14:textId="74059D03"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Priestertum </w:t>
            </w:r>
            <w:r w:rsidRPr="006A0345">
              <w:rPr>
                <w:rFonts w:eastAsia="Times New Roman" w:cs="Times New Roman"/>
                <w:b/>
                <w:bCs/>
                <w:lang w:eastAsia="de-DE"/>
              </w:rPr>
              <w:t>reinigt</w:t>
            </w:r>
            <w:r w:rsidRPr="006A0345">
              <w:rPr>
                <w:rFonts w:eastAsia="Times New Roman" w:cs="Times New Roman"/>
                <w:lang w:eastAsia="de-DE"/>
              </w:rPr>
              <w:t xml:space="preserve"> durch Opfer</w:t>
            </w:r>
          </w:p>
        </w:tc>
      </w:tr>
      <w:tr w:rsidR="006A0345" w14:paraId="2E4AEB22" w14:textId="77777777" w:rsidTr="006A0345">
        <w:tc>
          <w:tcPr>
            <w:tcW w:w="959" w:type="pct"/>
            <w:vAlign w:val="center"/>
          </w:tcPr>
          <w:p w14:paraId="6E5AB62F" w14:textId="1665776D"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Verpflichtend</w:t>
            </w:r>
          </w:p>
        </w:tc>
        <w:tc>
          <w:tcPr>
            <w:tcW w:w="1779" w:type="pct"/>
            <w:vAlign w:val="center"/>
          </w:tcPr>
          <w:p w14:paraId="290C1DF7" w14:textId="4DA34379"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Salz teilen = </w:t>
            </w:r>
            <w:r w:rsidRPr="006A0345">
              <w:rPr>
                <w:rFonts w:eastAsia="Times New Roman" w:cs="Times New Roman"/>
                <w:b/>
                <w:bCs/>
                <w:lang w:eastAsia="de-DE"/>
              </w:rPr>
              <w:t>Treue</w:t>
            </w:r>
          </w:p>
        </w:tc>
        <w:tc>
          <w:tcPr>
            <w:tcW w:w="2262" w:type="pct"/>
            <w:vAlign w:val="center"/>
          </w:tcPr>
          <w:p w14:paraId="50E64DFE" w14:textId="0B605F9D"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Gott ist </w:t>
            </w:r>
            <w:r w:rsidRPr="006A0345">
              <w:rPr>
                <w:rFonts w:eastAsia="Times New Roman" w:cs="Times New Roman"/>
                <w:b/>
                <w:bCs/>
                <w:lang w:eastAsia="de-DE"/>
              </w:rPr>
              <w:t>treu</w:t>
            </w:r>
            <w:r w:rsidRPr="006A0345">
              <w:rPr>
                <w:rFonts w:eastAsia="Times New Roman" w:cs="Times New Roman"/>
                <w:lang w:eastAsia="de-DE"/>
              </w:rPr>
              <w:t xml:space="preserve"> zu Aaron</w:t>
            </w:r>
          </w:p>
        </w:tc>
      </w:tr>
      <w:tr w:rsidR="006A0345" w14:paraId="7C3268DA" w14:textId="77777777" w:rsidTr="006A0345">
        <w:tc>
          <w:tcPr>
            <w:tcW w:w="959" w:type="pct"/>
            <w:vAlign w:val="center"/>
          </w:tcPr>
          <w:p w14:paraId="0B2B335F" w14:textId="0B40B7AC"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Bei Opfern</w:t>
            </w:r>
          </w:p>
        </w:tc>
        <w:tc>
          <w:tcPr>
            <w:tcW w:w="1779" w:type="pct"/>
            <w:vAlign w:val="center"/>
          </w:tcPr>
          <w:p w14:paraId="135E89F3" w14:textId="4CD2E659"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Alle Opfer mit </w:t>
            </w:r>
            <w:r w:rsidRPr="006A0345">
              <w:rPr>
                <w:rFonts w:eastAsia="Times New Roman" w:cs="Times New Roman"/>
                <w:b/>
                <w:bCs/>
                <w:lang w:eastAsia="de-DE"/>
              </w:rPr>
              <w:t>Salz</w:t>
            </w:r>
            <w:r w:rsidRPr="006A0345">
              <w:rPr>
                <w:rFonts w:eastAsia="Times New Roman" w:cs="Times New Roman"/>
                <w:lang w:eastAsia="de-DE"/>
              </w:rPr>
              <w:t xml:space="preserve"> (Lev 2,13)</w:t>
            </w:r>
          </w:p>
        </w:tc>
        <w:tc>
          <w:tcPr>
            <w:tcW w:w="2262" w:type="pct"/>
            <w:vAlign w:val="center"/>
          </w:tcPr>
          <w:p w14:paraId="2CDED8DD" w14:textId="51DBCC42" w:rsid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Priestertum </w:t>
            </w:r>
            <w:r w:rsidRPr="006A0345">
              <w:rPr>
                <w:rFonts w:eastAsia="Times New Roman" w:cs="Times New Roman"/>
                <w:b/>
                <w:bCs/>
                <w:lang w:eastAsia="de-DE"/>
              </w:rPr>
              <w:t>empfängt</w:t>
            </w:r>
            <w:r w:rsidRPr="006A0345">
              <w:rPr>
                <w:rFonts w:eastAsia="Times New Roman" w:cs="Times New Roman"/>
                <w:lang w:eastAsia="de-DE"/>
              </w:rPr>
              <w:t xml:space="preserve"> gesalzene Opfer</w:t>
            </w:r>
          </w:p>
        </w:tc>
      </w:tr>
    </w:tbl>
    <w:p w14:paraId="407E97A1"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6. NT-Parallele: Christen als "Salz der Erde"</w:t>
      </w:r>
    </w:p>
    <w:p w14:paraId="538BD9D2"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Matthäus 5,13:</w:t>
      </w:r>
    </w:p>
    <w:p w14:paraId="3730416E" w14:textId="77777777" w:rsidR="006A0345" w:rsidRPr="006A0345" w:rsidRDefault="006A0345" w:rsidP="006A0345">
      <w:pPr>
        <w:spacing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ὑμεῖς ἐστε </w:t>
      </w:r>
      <w:r w:rsidRPr="006A0345">
        <w:rPr>
          <w:rFonts w:eastAsia="Times New Roman" w:cs="Times New Roman"/>
          <w:b/>
          <w:bCs/>
          <w:lang w:eastAsia="de-DE"/>
        </w:rPr>
        <w:t>τὸ ἅλας τῆς γῆς</w:t>
      </w:r>
      <w:r w:rsidRPr="006A0345">
        <w:rPr>
          <w:rFonts w:eastAsia="Times New Roman" w:cs="Times New Roman"/>
          <w:lang w:eastAsia="de-DE"/>
        </w:rPr>
        <w:t>· ἐὰν δὲ τὸ ἅλας μωρανθῇ, ἐν τίνι ἁλισθήσεται;</w:t>
      </w:r>
    </w:p>
    <w:p w14:paraId="514AE144"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w:t>
      </w:r>
      <w:r w:rsidRPr="006A0345">
        <w:rPr>
          <w:rFonts w:eastAsia="Times New Roman" w:cs="Times New Roman"/>
          <w:b/>
          <w:bCs/>
          <w:lang w:eastAsia="de-DE"/>
        </w:rPr>
        <w:t>Ihr seid das Salz der Erde</w:t>
      </w:r>
      <w:r w:rsidRPr="006A0345">
        <w:rPr>
          <w:rFonts w:eastAsia="Times New Roman" w:cs="Times New Roman"/>
          <w:lang w:eastAsia="de-DE"/>
        </w:rPr>
        <w:t>; wenn aber das Salz fade wird, womit soll es gesalzen werden?"</w:t>
      </w:r>
    </w:p>
    <w:p w14:paraId="40B0D268"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Markus 9,49-50:</w:t>
      </w:r>
    </w:p>
    <w:p w14:paraId="5A84BE6A" w14:textId="77777777" w:rsidR="006A0345" w:rsidRPr="006A0345" w:rsidRDefault="006A0345" w:rsidP="006A0345">
      <w:pPr>
        <w:spacing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πᾶς γὰρ </w:t>
      </w:r>
      <w:r w:rsidRPr="006A0345">
        <w:rPr>
          <w:rFonts w:eastAsia="Times New Roman" w:cs="Times New Roman"/>
          <w:b/>
          <w:bCs/>
          <w:lang w:eastAsia="de-DE"/>
        </w:rPr>
        <w:t>πυρὶ ἁλισθήσεται</w:t>
      </w:r>
      <w:r w:rsidRPr="006A0345">
        <w:rPr>
          <w:rFonts w:eastAsia="Times New Roman" w:cs="Times New Roman"/>
          <w:lang w:eastAsia="de-DE"/>
        </w:rPr>
        <w:t xml:space="preserve">... </w:t>
      </w:r>
      <w:r w:rsidRPr="006A0345">
        <w:rPr>
          <w:rFonts w:eastAsia="Times New Roman" w:cs="Times New Roman"/>
          <w:b/>
          <w:bCs/>
          <w:lang w:eastAsia="de-DE"/>
        </w:rPr>
        <w:t>καλὸν τὸ ἅλας</w:t>
      </w:r>
      <w:r w:rsidRPr="006A0345">
        <w:rPr>
          <w:rFonts w:eastAsia="Times New Roman" w:cs="Times New Roman"/>
          <w:lang w:eastAsia="de-DE"/>
        </w:rPr>
        <w:t xml:space="preserve">· ἐὰν δὲ τὸ ἅλας ἄναλον γένηται, ἐν τίνι αὐτὸ ἀρτύσετε; ἔχετε </w:t>
      </w:r>
      <w:r w:rsidRPr="006A0345">
        <w:rPr>
          <w:rFonts w:eastAsia="Times New Roman" w:cs="Times New Roman"/>
          <w:b/>
          <w:bCs/>
          <w:lang w:eastAsia="de-DE"/>
        </w:rPr>
        <w:t>ἐν ἑαυτοῖς ἅλα</w:t>
      </w:r>
      <w:r w:rsidRPr="006A0345">
        <w:rPr>
          <w:rFonts w:eastAsia="Times New Roman" w:cs="Times New Roman"/>
          <w:lang w:eastAsia="de-DE"/>
        </w:rPr>
        <w:t>, καὶ εἰρηνεύετε ἐν ἀλλήλοις.</w:t>
      </w:r>
    </w:p>
    <w:p w14:paraId="3189D228"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lastRenderedPageBreak/>
        <w:t xml:space="preserve">"Denn jeder wird </w:t>
      </w:r>
      <w:r w:rsidRPr="006A0345">
        <w:rPr>
          <w:rFonts w:eastAsia="Times New Roman" w:cs="Times New Roman"/>
          <w:b/>
          <w:bCs/>
          <w:lang w:eastAsia="de-DE"/>
        </w:rPr>
        <w:t>mit Feuer gesalzen</w:t>
      </w:r>
      <w:r w:rsidRPr="006A0345">
        <w:rPr>
          <w:rFonts w:eastAsia="Times New Roman" w:cs="Times New Roman"/>
          <w:lang w:eastAsia="de-DE"/>
        </w:rPr>
        <w:t xml:space="preserve"> werden... </w:t>
      </w:r>
      <w:r w:rsidRPr="006A0345">
        <w:rPr>
          <w:rFonts w:eastAsia="Times New Roman" w:cs="Times New Roman"/>
          <w:b/>
          <w:bCs/>
          <w:lang w:eastAsia="de-DE"/>
        </w:rPr>
        <w:t>Gut ist das Salz</w:t>
      </w:r>
      <w:r w:rsidRPr="006A0345">
        <w:rPr>
          <w:rFonts w:eastAsia="Times New Roman" w:cs="Times New Roman"/>
          <w:lang w:eastAsia="de-DE"/>
        </w:rPr>
        <w:t xml:space="preserve">; wenn aber das Salz fade wird, womit werdet ihr es würzen? </w:t>
      </w:r>
      <w:r w:rsidRPr="006A0345">
        <w:rPr>
          <w:rFonts w:eastAsia="Times New Roman" w:cs="Times New Roman"/>
          <w:b/>
          <w:bCs/>
          <w:lang w:eastAsia="de-DE"/>
        </w:rPr>
        <w:t>Habt Salz in euch selbst</w:t>
      </w:r>
      <w:r w:rsidRPr="006A0345">
        <w:rPr>
          <w:rFonts w:eastAsia="Times New Roman" w:cs="Times New Roman"/>
          <w:lang w:eastAsia="de-DE"/>
        </w:rPr>
        <w:t xml:space="preserve"> und habt Frieden untereinander."</w:t>
      </w:r>
    </w:p>
    <w:p w14:paraId="0F5026B8"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Kolosser 4,6:</w:t>
      </w:r>
    </w:p>
    <w:p w14:paraId="10EA20B0" w14:textId="77777777" w:rsidR="006A0345" w:rsidRPr="00863E9D" w:rsidRDefault="006A0345" w:rsidP="006A0345">
      <w:pPr>
        <w:spacing w:beforeAutospacing="1" w:after="100" w:afterAutospacing="1" w:line="240" w:lineRule="auto"/>
        <w:rPr>
          <w:rFonts w:eastAsia="Times New Roman" w:cs="Times New Roman"/>
          <w:lang w:val="el-GR" w:eastAsia="de-DE"/>
        </w:rPr>
      </w:pPr>
      <w:r w:rsidRPr="00863E9D">
        <w:rPr>
          <w:rFonts w:eastAsia="Times New Roman" w:cs="Times New Roman"/>
          <w:lang w:val="el-GR" w:eastAsia="de-DE"/>
        </w:rPr>
        <w:t xml:space="preserve">ὁ λόγος ὑμῶν πάντοτε ἐν χάριτι, </w:t>
      </w:r>
      <w:r w:rsidRPr="00863E9D">
        <w:rPr>
          <w:rFonts w:eastAsia="Times New Roman" w:cs="Times New Roman"/>
          <w:b/>
          <w:bCs/>
          <w:lang w:val="el-GR" w:eastAsia="de-DE"/>
        </w:rPr>
        <w:t>ἅλατι ἠρτυμένος</w:t>
      </w:r>
    </w:p>
    <w:p w14:paraId="00F4AA20"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"Euer Wort sei allezeit in Gnade, </w:t>
      </w:r>
      <w:r w:rsidRPr="006A0345">
        <w:rPr>
          <w:rFonts w:eastAsia="Times New Roman" w:cs="Times New Roman"/>
          <w:b/>
          <w:bCs/>
          <w:lang w:eastAsia="de-DE"/>
        </w:rPr>
        <w:t>mit Salz gewürzt</w:t>
      </w:r>
      <w:r w:rsidRPr="006A0345">
        <w:rPr>
          <w:rFonts w:eastAsia="Times New Roman" w:cs="Times New Roman"/>
          <w:lang w:eastAsia="de-DE"/>
        </w:rPr>
        <w:t>"</w:t>
      </w:r>
    </w:p>
    <w:p w14:paraId="452F4B37" w14:textId="46E2F0C4" w:rsidR="006A0345" w:rsidRDefault="006A0345" w:rsidP="006A0345">
      <w:pPr>
        <w:spacing w:before="100" w:beforeAutospacing="1" w:after="100" w:afterAutospacing="1" w:line="240" w:lineRule="auto"/>
        <w:rPr>
          <w:rFonts w:eastAsia="Times New Roman" w:cs="Times New Roman"/>
          <w:b/>
          <w:bCs/>
          <w:lang w:eastAsia="de-DE"/>
        </w:rPr>
      </w:pPr>
      <w:r w:rsidRPr="006A0345">
        <w:rPr>
          <w:rFonts w:eastAsia="Times New Roman" w:cs="Times New Roman"/>
          <w:b/>
          <w:bCs/>
          <w:lang w:eastAsia="de-DE"/>
        </w:rPr>
        <w:t>Die Typologie:</w:t>
      </w:r>
    </w:p>
    <w:tbl>
      <w:tblPr>
        <w:tblStyle w:val="Tabellenraster"/>
        <w:tblW w:w="4994" w:type="pct"/>
        <w:tblLook w:val="04A0" w:firstRow="1" w:lastRow="0" w:firstColumn="1" w:lastColumn="0" w:noHBand="0" w:noVBand="1"/>
      </w:tblPr>
      <w:tblGrid>
        <w:gridCol w:w="3964"/>
        <w:gridCol w:w="5087"/>
      </w:tblGrid>
      <w:tr w:rsidR="00095BF0" w14:paraId="498FC436" w14:textId="77777777" w:rsidTr="00095BF0">
        <w:tc>
          <w:tcPr>
            <w:tcW w:w="2190" w:type="pct"/>
            <w:vAlign w:val="center"/>
          </w:tcPr>
          <w:p w14:paraId="3091E97B" w14:textId="515A2726"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AT: Salzbund des Priestertums</w:t>
            </w:r>
          </w:p>
        </w:tc>
        <w:tc>
          <w:tcPr>
            <w:tcW w:w="2810" w:type="pct"/>
            <w:vAlign w:val="center"/>
          </w:tcPr>
          <w:p w14:paraId="68B6D82A" w14:textId="0A9CC82E"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NT: Christen als Salz</w:t>
            </w:r>
          </w:p>
        </w:tc>
      </w:tr>
      <w:tr w:rsidR="00095BF0" w14:paraId="59ED5EEE" w14:textId="77777777" w:rsidTr="00095BF0">
        <w:tc>
          <w:tcPr>
            <w:tcW w:w="2190" w:type="pct"/>
            <w:vAlign w:val="center"/>
          </w:tcPr>
          <w:p w14:paraId="2B67163F" w14:textId="435F6E0A"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Priester</w:t>
            </w:r>
            <w:r w:rsidRPr="006A0345">
              <w:rPr>
                <w:rFonts w:eastAsia="Times New Roman" w:cs="Times New Roman"/>
                <w:lang w:eastAsia="de-DE"/>
              </w:rPr>
              <w:t xml:space="preserve"> = Salz des Bundes</w:t>
            </w:r>
          </w:p>
        </w:tc>
        <w:tc>
          <w:tcPr>
            <w:tcW w:w="2810" w:type="pct"/>
            <w:vAlign w:val="center"/>
          </w:tcPr>
          <w:p w14:paraId="2CCD456E" w14:textId="3F0D5611"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Christen</w:t>
            </w:r>
            <w:r w:rsidRPr="006A0345">
              <w:rPr>
                <w:rFonts w:eastAsia="Times New Roman" w:cs="Times New Roman"/>
                <w:lang w:eastAsia="de-DE"/>
              </w:rPr>
              <w:t xml:space="preserve"> = Salz der Erde (Mt 5,13)</w:t>
            </w:r>
          </w:p>
        </w:tc>
      </w:tr>
      <w:tr w:rsidR="00095BF0" w14:paraId="0CCA8052" w14:textId="77777777" w:rsidTr="00095BF0">
        <w:tc>
          <w:tcPr>
            <w:tcW w:w="2190" w:type="pct"/>
            <w:vAlign w:val="center"/>
          </w:tcPr>
          <w:p w14:paraId="025FC5BA" w14:textId="7DAB9B3F"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Konserviert</w:t>
            </w:r>
            <w:r w:rsidRPr="006A0345">
              <w:rPr>
                <w:rFonts w:eastAsia="Times New Roman" w:cs="Times New Roman"/>
                <w:lang w:eastAsia="de-DE"/>
              </w:rPr>
              <w:t xml:space="preserve"> das Heilige</w:t>
            </w:r>
          </w:p>
        </w:tc>
        <w:tc>
          <w:tcPr>
            <w:tcW w:w="2810" w:type="pct"/>
            <w:vAlign w:val="center"/>
          </w:tcPr>
          <w:p w14:paraId="2F312E50" w14:textId="3B6FAE42"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Konserviert</w:t>
            </w:r>
            <w:r w:rsidRPr="006A0345">
              <w:rPr>
                <w:rFonts w:eastAsia="Times New Roman" w:cs="Times New Roman"/>
                <w:lang w:eastAsia="de-DE"/>
              </w:rPr>
              <w:t xml:space="preserve"> die Welt vor Verderben</w:t>
            </w:r>
          </w:p>
        </w:tc>
      </w:tr>
      <w:tr w:rsidR="00095BF0" w14:paraId="5EF7CE7B" w14:textId="77777777" w:rsidTr="00095BF0">
        <w:tc>
          <w:tcPr>
            <w:tcW w:w="2190" w:type="pct"/>
            <w:vAlign w:val="center"/>
          </w:tcPr>
          <w:p w14:paraId="4FA97852" w14:textId="467CE2E2"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Würzt</w:t>
            </w:r>
            <w:r w:rsidRPr="006A0345">
              <w:rPr>
                <w:rFonts w:eastAsia="Times New Roman" w:cs="Times New Roman"/>
                <w:lang w:eastAsia="de-DE"/>
              </w:rPr>
              <w:t xml:space="preserve"> Opfer (Lev 2,13)</w:t>
            </w:r>
          </w:p>
        </w:tc>
        <w:tc>
          <w:tcPr>
            <w:tcW w:w="2810" w:type="pct"/>
            <w:vAlign w:val="center"/>
          </w:tcPr>
          <w:p w14:paraId="3379B3E9" w14:textId="4018C7D3"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Würzt</w:t>
            </w:r>
            <w:r w:rsidRPr="006A0345">
              <w:rPr>
                <w:rFonts w:eastAsia="Times New Roman" w:cs="Times New Roman"/>
                <w:lang w:eastAsia="de-DE"/>
              </w:rPr>
              <w:t xml:space="preserve"> Rede (Kol 4,6)</w:t>
            </w:r>
          </w:p>
        </w:tc>
      </w:tr>
      <w:tr w:rsidR="00095BF0" w14:paraId="531D9D22" w14:textId="77777777" w:rsidTr="00095BF0">
        <w:tc>
          <w:tcPr>
            <w:tcW w:w="2190" w:type="pct"/>
            <w:vAlign w:val="center"/>
          </w:tcPr>
          <w:p w14:paraId="63B9208B" w14:textId="11B6CDAF"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Ewiger Bund</w:t>
            </w:r>
            <w:r w:rsidRPr="006A0345">
              <w:rPr>
                <w:rFonts w:eastAsia="Times New Roman" w:cs="Times New Roman"/>
                <w:lang w:eastAsia="de-DE"/>
              </w:rPr>
              <w:t xml:space="preserve"> (</w:t>
            </w:r>
            <w:r w:rsidRPr="006A0345">
              <w:rPr>
                <w:rFonts w:eastAsia="Times New Roman" w:cs="Times New Roman"/>
                <w:rtl/>
                <w:lang w:eastAsia="de-DE"/>
              </w:rPr>
              <w:t>עוֹלָם</w:t>
            </w:r>
            <w:r w:rsidRPr="006A0345">
              <w:rPr>
                <w:rFonts w:eastAsia="Times New Roman" w:cs="Times New Roman"/>
                <w:lang w:eastAsia="de-DE"/>
              </w:rPr>
              <w:t>)</w:t>
            </w:r>
          </w:p>
        </w:tc>
        <w:tc>
          <w:tcPr>
            <w:tcW w:w="2810" w:type="pct"/>
            <w:vAlign w:val="center"/>
          </w:tcPr>
          <w:p w14:paraId="502268DC" w14:textId="2CFD78DC"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Königliches Priestertum</w:t>
            </w:r>
            <w:r w:rsidRPr="006A0345">
              <w:rPr>
                <w:rFonts w:eastAsia="Times New Roman" w:cs="Times New Roman"/>
                <w:lang w:eastAsia="de-DE"/>
              </w:rPr>
              <w:t xml:space="preserve"> (1 Petr 2,9)</w:t>
            </w:r>
          </w:p>
        </w:tc>
      </w:tr>
      <w:tr w:rsidR="00095BF0" w14:paraId="0A04AD89" w14:textId="77777777" w:rsidTr="00095BF0">
        <w:tc>
          <w:tcPr>
            <w:tcW w:w="2190" w:type="pct"/>
            <w:vAlign w:val="center"/>
          </w:tcPr>
          <w:p w14:paraId="3221F9B1" w14:textId="131251F0"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Aaron</w:t>
            </w:r>
            <w:r w:rsidRPr="006A0345">
              <w:rPr>
                <w:rFonts w:eastAsia="Times New Roman" w:cs="Times New Roman"/>
                <w:lang w:eastAsia="de-DE"/>
              </w:rPr>
              <w:t xml:space="preserve"> = Mittler</w:t>
            </w:r>
          </w:p>
        </w:tc>
        <w:tc>
          <w:tcPr>
            <w:tcW w:w="2810" w:type="pct"/>
            <w:vAlign w:val="center"/>
          </w:tcPr>
          <w:p w14:paraId="5C74DB0F" w14:textId="40DE18A3"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Christus</w:t>
            </w:r>
            <w:r w:rsidRPr="006A0345">
              <w:rPr>
                <w:rFonts w:eastAsia="Times New Roman" w:cs="Times New Roman"/>
                <w:lang w:eastAsia="de-DE"/>
              </w:rPr>
              <w:t xml:space="preserve"> = großer Hoherpriester (Hebr 4,14)</w:t>
            </w:r>
          </w:p>
        </w:tc>
      </w:tr>
    </w:tbl>
    <w:p w14:paraId="4A9C6765" w14:textId="3C0FCB9C" w:rsidR="006A0345" w:rsidRPr="00095BF0" w:rsidRDefault="006A0345" w:rsidP="00095BF0">
      <w:pPr>
        <w:pStyle w:val="Listenabsatz"/>
        <w:numPr>
          <w:ilvl w:val="0"/>
          <w:numId w:val="113"/>
        </w:numPr>
        <w:spacing w:before="100" w:beforeAutospacing="1" w:after="100" w:afterAutospacing="1" w:line="240" w:lineRule="auto"/>
        <w:rPr>
          <w:rFonts w:eastAsia="Times New Roman" w:cs="Times New Roman"/>
          <w:b/>
          <w:bCs/>
          <w:lang w:eastAsia="de-DE"/>
        </w:rPr>
      </w:pPr>
      <w:r w:rsidRPr="00095BF0">
        <w:rPr>
          <w:rFonts w:eastAsia="Times New Roman" w:cs="Times New Roman"/>
          <w:b/>
          <w:bCs/>
          <w:lang w:eastAsia="de-DE"/>
        </w:rPr>
        <w:t>Zusammenfassung: Was macht einen "Salzbund" aus?</w:t>
      </w:r>
    </w:p>
    <w:tbl>
      <w:tblPr>
        <w:tblStyle w:val="Tabellenraster"/>
        <w:tblW w:w="4994" w:type="pct"/>
        <w:tblLook w:val="04A0" w:firstRow="1" w:lastRow="0" w:firstColumn="1" w:lastColumn="0" w:noHBand="0" w:noVBand="1"/>
      </w:tblPr>
      <w:tblGrid>
        <w:gridCol w:w="4525"/>
        <w:gridCol w:w="4526"/>
      </w:tblGrid>
      <w:tr w:rsidR="00095BF0" w14:paraId="2A4CB6AA" w14:textId="77777777" w:rsidTr="00BE11AD">
        <w:tc>
          <w:tcPr>
            <w:tcW w:w="2500" w:type="pct"/>
            <w:vAlign w:val="center"/>
          </w:tcPr>
          <w:p w14:paraId="532B56EF" w14:textId="55FB9CDA"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Element</w:t>
            </w:r>
          </w:p>
        </w:tc>
        <w:tc>
          <w:tcPr>
            <w:tcW w:w="2500" w:type="pct"/>
            <w:vAlign w:val="center"/>
          </w:tcPr>
          <w:p w14:paraId="40B2E6CA" w14:textId="30BD39E1"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Bedeutung</w:t>
            </w:r>
          </w:p>
        </w:tc>
      </w:tr>
      <w:tr w:rsidR="00095BF0" w14:paraId="228B9F44" w14:textId="77777777" w:rsidTr="00506B08">
        <w:tc>
          <w:tcPr>
            <w:tcW w:w="2500" w:type="pct"/>
            <w:vAlign w:val="center"/>
          </w:tcPr>
          <w:p w14:paraId="5C086515" w14:textId="5A5FFB17"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1. Unvergänglichkeit</w:t>
            </w:r>
          </w:p>
        </w:tc>
        <w:tc>
          <w:tcPr>
            <w:tcW w:w="2500" w:type="pct"/>
            <w:vAlign w:val="center"/>
          </w:tcPr>
          <w:p w14:paraId="491AC1DA" w14:textId="2F307FB1"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Der Bund </w:t>
            </w:r>
            <w:r w:rsidRPr="006A0345">
              <w:rPr>
                <w:rFonts w:eastAsia="Times New Roman" w:cs="Times New Roman"/>
                <w:b/>
                <w:bCs/>
                <w:lang w:eastAsia="de-DE"/>
              </w:rPr>
              <w:t>verdirbt nie</w:t>
            </w:r>
            <w:r w:rsidRPr="006A0345">
              <w:rPr>
                <w:rFonts w:eastAsia="Times New Roman" w:cs="Times New Roman"/>
                <w:lang w:eastAsia="de-DE"/>
              </w:rPr>
              <w:t xml:space="preserve"> (wie Salz)</w:t>
            </w:r>
          </w:p>
        </w:tc>
      </w:tr>
      <w:tr w:rsidR="00095BF0" w14:paraId="18E1D647" w14:textId="77777777" w:rsidTr="00506B08">
        <w:tc>
          <w:tcPr>
            <w:tcW w:w="2500" w:type="pct"/>
            <w:vAlign w:val="center"/>
          </w:tcPr>
          <w:p w14:paraId="6169A9BA" w14:textId="729F7713"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2. Wertschätzung</w:t>
            </w:r>
          </w:p>
        </w:tc>
        <w:tc>
          <w:tcPr>
            <w:tcW w:w="2500" w:type="pct"/>
            <w:vAlign w:val="center"/>
          </w:tcPr>
          <w:p w14:paraId="2DA11CFD" w14:textId="6AA80292"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Der Bund ist </w:t>
            </w:r>
            <w:r w:rsidRPr="006A0345">
              <w:rPr>
                <w:rFonts w:eastAsia="Times New Roman" w:cs="Times New Roman"/>
                <w:b/>
                <w:bCs/>
                <w:lang w:eastAsia="de-DE"/>
              </w:rPr>
              <w:t>kostbar</w:t>
            </w:r>
            <w:r w:rsidRPr="006A0345">
              <w:rPr>
                <w:rFonts w:eastAsia="Times New Roman" w:cs="Times New Roman"/>
                <w:lang w:eastAsia="de-DE"/>
              </w:rPr>
              <w:t xml:space="preserve"> (Salz war Währung)</w:t>
            </w:r>
          </w:p>
        </w:tc>
      </w:tr>
      <w:tr w:rsidR="00095BF0" w14:paraId="0FCA656A" w14:textId="77777777" w:rsidTr="00506B08">
        <w:tc>
          <w:tcPr>
            <w:tcW w:w="2500" w:type="pct"/>
            <w:vAlign w:val="center"/>
          </w:tcPr>
          <w:p w14:paraId="2AE61665" w14:textId="4A777FD1"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3. Gemeinsames Essen</w:t>
            </w:r>
          </w:p>
        </w:tc>
        <w:tc>
          <w:tcPr>
            <w:tcW w:w="2500" w:type="pct"/>
            <w:vAlign w:val="center"/>
          </w:tcPr>
          <w:p w14:paraId="57F5E7CC" w14:textId="656F5A87"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Salz teilen = </w:t>
            </w:r>
            <w:r w:rsidRPr="006A0345">
              <w:rPr>
                <w:rFonts w:eastAsia="Times New Roman" w:cs="Times New Roman"/>
                <w:b/>
                <w:bCs/>
                <w:lang w:eastAsia="de-DE"/>
              </w:rPr>
              <w:t>Treue</w:t>
            </w:r>
            <w:r w:rsidRPr="006A0345">
              <w:rPr>
                <w:rFonts w:eastAsia="Times New Roman" w:cs="Times New Roman"/>
                <w:lang w:eastAsia="de-DE"/>
              </w:rPr>
              <w:t xml:space="preserve"> (altorientalisch)</w:t>
            </w:r>
          </w:p>
        </w:tc>
      </w:tr>
      <w:tr w:rsidR="00095BF0" w14:paraId="43E03D7B" w14:textId="77777777" w:rsidTr="00506B08">
        <w:tc>
          <w:tcPr>
            <w:tcW w:w="2500" w:type="pct"/>
            <w:vAlign w:val="center"/>
          </w:tcPr>
          <w:p w14:paraId="62A140FD" w14:textId="7BF0D291"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4. Konservierung</w:t>
            </w:r>
          </w:p>
        </w:tc>
        <w:tc>
          <w:tcPr>
            <w:tcW w:w="2500" w:type="pct"/>
            <w:vAlign w:val="center"/>
          </w:tcPr>
          <w:p w14:paraId="5F470D90" w14:textId="60CB0999"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Der Bund </w:t>
            </w:r>
            <w:r w:rsidRPr="006A0345">
              <w:rPr>
                <w:rFonts w:eastAsia="Times New Roman" w:cs="Times New Roman"/>
                <w:b/>
                <w:bCs/>
                <w:lang w:eastAsia="de-DE"/>
              </w:rPr>
              <w:t>bewahrt</w:t>
            </w:r>
            <w:r w:rsidRPr="006A0345">
              <w:rPr>
                <w:rFonts w:eastAsia="Times New Roman" w:cs="Times New Roman"/>
                <w:lang w:eastAsia="de-DE"/>
              </w:rPr>
              <w:t xml:space="preserve"> vor Verderben</w:t>
            </w:r>
          </w:p>
        </w:tc>
      </w:tr>
      <w:tr w:rsidR="00095BF0" w14:paraId="381ED3C9" w14:textId="77777777" w:rsidTr="00506B08">
        <w:tc>
          <w:tcPr>
            <w:tcW w:w="2500" w:type="pct"/>
            <w:vAlign w:val="center"/>
          </w:tcPr>
          <w:p w14:paraId="0CA36E4E" w14:textId="683C1569"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5. Reinigung</w:t>
            </w:r>
          </w:p>
        </w:tc>
        <w:tc>
          <w:tcPr>
            <w:tcW w:w="2500" w:type="pct"/>
            <w:vAlign w:val="center"/>
          </w:tcPr>
          <w:p w14:paraId="74CB58E9" w14:textId="640E4D63"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Der Bund ist </w:t>
            </w:r>
            <w:r w:rsidRPr="006A0345">
              <w:rPr>
                <w:rFonts w:eastAsia="Times New Roman" w:cs="Times New Roman"/>
                <w:b/>
                <w:bCs/>
                <w:lang w:eastAsia="de-DE"/>
              </w:rPr>
              <w:t>rein</w:t>
            </w:r>
            <w:r w:rsidRPr="006A0345">
              <w:rPr>
                <w:rFonts w:eastAsia="Times New Roman" w:cs="Times New Roman"/>
                <w:lang w:eastAsia="de-DE"/>
              </w:rPr>
              <w:t xml:space="preserve"> und </w:t>
            </w:r>
            <w:r w:rsidRPr="006A0345">
              <w:rPr>
                <w:rFonts w:eastAsia="Times New Roman" w:cs="Times New Roman"/>
                <w:b/>
                <w:bCs/>
                <w:lang w:eastAsia="de-DE"/>
              </w:rPr>
              <w:t>heilig</w:t>
            </w:r>
          </w:p>
        </w:tc>
      </w:tr>
      <w:tr w:rsidR="00095BF0" w14:paraId="7A7E0CDC" w14:textId="77777777" w:rsidTr="00506B08">
        <w:tc>
          <w:tcPr>
            <w:tcW w:w="2500" w:type="pct"/>
            <w:vAlign w:val="center"/>
          </w:tcPr>
          <w:p w14:paraId="11AFAAA7" w14:textId="13BBAC8E"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6. Bei Opfern</w:t>
            </w:r>
          </w:p>
        </w:tc>
        <w:tc>
          <w:tcPr>
            <w:tcW w:w="2500" w:type="pct"/>
            <w:vAlign w:val="center"/>
          </w:tcPr>
          <w:p w14:paraId="1B3279F9" w14:textId="21D7720B"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Alle Opfer werden </w:t>
            </w:r>
            <w:r w:rsidRPr="006A0345">
              <w:rPr>
                <w:rFonts w:eastAsia="Times New Roman" w:cs="Times New Roman"/>
                <w:b/>
                <w:bCs/>
                <w:lang w:eastAsia="de-DE"/>
              </w:rPr>
              <w:t>gesalzen</w:t>
            </w:r>
            <w:r w:rsidRPr="006A0345">
              <w:rPr>
                <w:rFonts w:eastAsia="Times New Roman" w:cs="Times New Roman"/>
                <w:lang w:eastAsia="de-DE"/>
              </w:rPr>
              <w:t xml:space="preserve"> (Lev 2,13)</w:t>
            </w:r>
          </w:p>
        </w:tc>
      </w:tr>
      <w:tr w:rsidR="00095BF0" w14:paraId="73662634" w14:textId="77777777" w:rsidTr="00506B08">
        <w:tc>
          <w:tcPr>
            <w:tcW w:w="2500" w:type="pct"/>
            <w:vAlign w:val="center"/>
          </w:tcPr>
          <w:p w14:paraId="50C05818" w14:textId="613EDB26"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7. Göttliche Treue</w:t>
            </w:r>
          </w:p>
        </w:tc>
        <w:tc>
          <w:tcPr>
            <w:tcW w:w="2500" w:type="pct"/>
            <w:vAlign w:val="center"/>
          </w:tcPr>
          <w:p w14:paraId="7E007A70" w14:textId="436A21C3" w:rsidR="00095BF0" w:rsidRDefault="00095BF0" w:rsidP="00095BF0">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Gott selbst</w:t>
            </w:r>
            <w:r w:rsidRPr="006A0345">
              <w:rPr>
                <w:rFonts w:eastAsia="Times New Roman" w:cs="Times New Roman"/>
                <w:lang w:eastAsia="de-DE"/>
              </w:rPr>
              <w:t xml:space="preserve"> garantiert den Bund</w:t>
            </w:r>
          </w:p>
        </w:tc>
      </w:tr>
    </w:tbl>
    <w:p w14:paraId="57E95896"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Fazit:</w:t>
      </w:r>
    </w:p>
    <w:p w14:paraId="2DF84E6E"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Der </w:t>
      </w:r>
      <w:r w:rsidRPr="006A0345">
        <w:rPr>
          <w:rFonts w:eastAsia="Times New Roman" w:cs="Times New Roman"/>
          <w:b/>
          <w:bCs/>
          <w:lang w:eastAsia="de-DE"/>
        </w:rPr>
        <w:t>"Salzbund"</w:t>
      </w:r>
      <w:r w:rsidRPr="006A0345">
        <w:rPr>
          <w:rFonts w:eastAsia="Times New Roman" w:cs="Times New Roman"/>
          <w:lang w:eastAsia="de-DE"/>
        </w:rPr>
        <w:t xml:space="preserve"> (</w:t>
      </w:r>
      <w:r w:rsidRPr="006A0345">
        <w:rPr>
          <w:rFonts w:eastAsia="Times New Roman" w:cs="Times New Roman"/>
          <w:rtl/>
          <w:lang w:eastAsia="de-DE"/>
        </w:rPr>
        <w:t>בְּרִית מֶלַח</w:t>
      </w:r>
      <w:r w:rsidRPr="006A0345">
        <w:rPr>
          <w:rFonts w:eastAsia="Times New Roman" w:cs="Times New Roman"/>
          <w:lang w:eastAsia="de-DE"/>
        </w:rPr>
        <w:t xml:space="preserve">) in Num 18,19 ist mehr als eine Metapher – er ist ein </w:t>
      </w:r>
      <w:r w:rsidRPr="006A0345">
        <w:rPr>
          <w:rFonts w:eastAsia="Times New Roman" w:cs="Times New Roman"/>
          <w:b/>
          <w:bCs/>
          <w:lang w:eastAsia="de-DE"/>
        </w:rPr>
        <w:t>altorientalischer Rechtsbegriff</w:t>
      </w:r>
      <w:r w:rsidRPr="006A0345">
        <w:rPr>
          <w:rFonts w:eastAsia="Times New Roman" w:cs="Times New Roman"/>
          <w:lang w:eastAsia="de-DE"/>
        </w:rPr>
        <w:t xml:space="preserve"> für einen </w:t>
      </w:r>
      <w:r w:rsidRPr="006A0345">
        <w:rPr>
          <w:rFonts w:eastAsia="Times New Roman" w:cs="Times New Roman"/>
          <w:b/>
          <w:bCs/>
          <w:lang w:eastAsia="de-DE"/>
        </w:rPr>
        <w:t>unverbrüchlichen Vertrag</w:t>
      </w:r>
      <w:r w:rsidRPr="006A0345">
        <w:rPr>
          <w:rFonts w:eastAsia="Times New Roman" w:cs="Times New Roman"/>
          <w:lang w:eastAsia="de-DE"/>
        </w:rPr>
        <w:t>:</w:t>
      </w:r>
    </w:p>
    <w:p w14:paraId="29E5A6EE" w14:textId="77777777" w:rsidR="006A0345" w:rsidRPr="006A0345" w:rsidRDefault="006A0345" w:rsidP="00B358B7">
      <w:pPr>
        <w:numPr>
          <w:ilvl w:val="0"/>
          <w:numId w:val="163"/>
        </w:numPr>
        <w:spacing w:before="100" w:beforeAutospacing="1" w:after="100" w:afterAutospacing="1" w:line="240" w:lineRule="auto"/>
        <w:rPr>
          <w:rFonts w:eastAsia="Times New Roman" w:cs="Times New Roman"/>
          <w:lang w:eastAsia="de-DE"/>
        </w:rPr>
      </w:pPr>
      <w:r w:rsidRPr="006A0345">
        <w:rPr>
          <w:rFonts w:ascii="Segoe UI Emoji" w:eastAsia="Times New Roman" w:hAnsi="Segoe UI Emoji" w:cs="Segoe UI Emoji"/>
          <w:lang w:eastAsia="de-DE"/>
        </w:rPr>
        <w:t>✅</w:t>
      </w:r>
      <w:r w:rsidRPr="006A0345">
        <w:rPr>
          <w:rFonts w:eastAsia="Times New Roman" w:cs="Times New Roman"/>
          <w:lang w:eastAsia="de-DE"/>
        </w:rPr>
        <w:t xml:space="preserve"> </w:t>
      </w:r>
      <w:r w:rsidRPr="006A0345">
        <w:rPr>
          <w:rFonts w:eastAsia="Times New Roman" w:cs="Times New Roman"/>
          <w:b/>
          <w:bCs/>
          <w:lang w:eastAsia="de-DE"/>
        </w:rPr>
        <w:t>Ewig</w:t>
      </w:r>
      <w:r w:rsidRPr="006A0345">
        <w:rPr>
          <w:rFonts w:eastAsia="Times New Roman" w:cs="Times New Roman"/>
          <w:lang w:eastAsia="de-DE"/>
        </w:rPr>
        <w:t xml:space="preserve"> wie Salz (nie verderbend)</w:t>
      </w:r>
    </w:p>
    <w:p w14:paraId="6A41D18C" w14:textId="77777777" w:rsidR="006A0345" w:rsidRPr="006A0345" w:rsidRDefault="006A0345" w:rsidP="00B358B7">
      <w:pPr>
        <w:numPr>
          <w:ilvl w:val="0"/>
          <w:numId w:val="163"/>
        </w:numPr>
        <w:spacing w:before="100" w:beforeAutospacing="1" w:after="100" w:afterAutospacing="1" w:line="240" w:lineRule="auto"/>
        <w:rPr>
          <w:rFonts w:eastAsia="Times New Roman" w:cs="Times New Roman"/>
          <w:lang w:eastAsia="de-DE"/>
        </w:rPr>
      </w:pPr>
      <w:r w:rsidRPr="006A0345">
        <w:rPr>
          <w:rFonts w:ascii="Segoe UI Emoji" w:eastAsia="Times New Roman" w:hAnsi="Segoe UI Emoji" w:cs="Segoe UI Emoji"/>
          <w:lang w:eastAsia="de-DE"/>
        </w:rPr>
        <w:t>✅</w:t>
      </w:r>
      <w:r w:rsidRPr="006A0345">
        <w:rPr>
          <w:rFonts w:eastAsia="Times New Roman" w:cs="Times New Roman"/>
          <w:lang w:eastAsia="de-DE"/>
        </w:rPr>
        <w:t xml:space="preserve"> </w:t>
      </w:r>
      <w:r w:rsidRPr="006A0345">
        <w:rPr>
          <w:rFonts w:eastAsia="Times New Roman" w:cs="Times New Roman"/>
          <w:b/>
          <w:bCs/>
          <w:lang w:eastAsia="de-DE"/>
        </w:rPr>
        <w:t>Wertvoll</w:t>
      </w:r>
      <w:r w:rsidRPr="006A0345">
        <w:rPr>
          <w:rFonts w:eastAsia="Times New Roman" w:cs="Times New Roman"/>
          <w:lang w:eastAsia="de-DE"/>
        </w:rPr>
        <w:t xml:space="preserve"> wie Salz (kostbares Gut)</w:t>
      </w:r>
    </w:p>
    <w:p w14:paraId="7A10E6EF" w14:textId="77777777" w:rsidR="006A0345" w:rsidRPr="006A0345" w:rsidRDefault="006A0345" w:rsidP="00B358B7">
      <w:pPr>
        <w:numPr>
          <w:ilvl w:val="0"/>
          <w:numId w:val="163"/>
        </w:numPr>
        <w:spacing w:before="100" w:beforeAutospacing="1" w:after="100" w:afterAutospacing="1" w:line="240" w:lineRule="auto"/>
        <w:rPr>
          <w:rFonts w:eastAsia="Times New Roman" w:cs="Times New Roman"/>
          <w:lang w:eastAsia="de-DE"/>
        </w:rPr>
      </w:pPr>
      <w:r w:rsidRPr="006A0345">
        <w:rPr>
          <w:rFonts w:ascii="Segoe UI Emoji" w:eastAsia="Times New Roman" w:hAnsi="Segoe UI Emoji" w:cs="Segoe UI Emoji"/>
          <w:lang w:eastAsia="de-DE"/>
        </w:rPr>
        <w:t>✅</w:t>
      </w:r>
      <w:r w:rsidRPr="006A0345">
        <w:rPr>
          <w:rFonts w:eastAsia="Times New Roman" w:cs="Times New Roman"/>
          <w:lang w:eastAsia="de-DE"/>
        </w:rPr>
        <w:t xml:space="preserve"> </w:t>
      </w:r>
      <w:r w:rsidRPr="006A0345">
        <w:rPr>
          <w:rFonts w:eastAsia="Times New Roman" w:cs="Times New Roman"/>
          <w:b/>
          <w:bCs/>
          <w:lang w:eastAsia="de-DE"/>
        </w:rPr>
        <w:t>Verpflichtend</w:t>
      </w:r>
      <w:r w:rsidRPr="006A0345">
        <w:rPr>
          <w:rFonts w:eastAsia="Times New Roman" w:cs="Times New Roman"/>
          <w:lang w:eastAsia="de-DE"/>
        </w:rPr>
        <w:t xml:space="preserve"> wie Salz (gemeinsam gegessen = Treue)</w:t>
      </w:r>
    </w:p>
    <w:p w14:paraId="7578616C" w14:textId="77777777" w:rsidR="006A0345" w:rsidRPr="006A0345" w:rsidRDefault="006A0345" w:rsidP="00B358B7">
      <w:pPr>
        <w:numPr>
          <w:ilvl w:val="0"/>
          <w:numId w:val="163"/>
        </w:numPr>
        <w:spacing w:before="100" w:beforeAutospacing="1" w:after="100" w:afterAutospacing="1" w:line="240" w:lineRule="auto"/>
        <w:rPr>
          <w:rFonts w:eastAsia="Times New Roman" w:cs="Times New Roman"/>
          <w:lang w:eastAsia="de-DE"/>
        </w:rPr>
      </w:pPr>
      <w:r w:rsidRPr="006A0345">
        <w:rPr>
          <w:rFonts w:ascii="Segoe UI Emoji" w:eastAsia="Times New Roman" w:hAnsi="Segoe UI Emoji" w:cs="Segoe UI Emoji"/>
          <w:lang w:eastAsia="de-DE"/>
        </w:rPr>
        <w:t>✅</w:t>
      </w:r>
      <w:r w:rsidRPr="006A0345">
        <w:rPr>
          <w:rFonts w:eastAsia="Times New Roman" w:cs="Times New Roman"/>
          <w:lang w:eastAsia="de-DE"/>
        </w:rPr>
        <w:t xml:space="preserve"> </w:t>
      </w:r>
      <w:r w:rsidRPr="006A0345">
        <w:rPr>
          <w:rFonts w:eastAsia="Times New Roman" w:cs="Times New Roman"/>
          <w:b/>
          <w:bCs/>
          <w:lang w:eastAsia="de-DE"/>
        </w:rPr>
        <w:t>Heilig</w:t>
      </w:r>
      <w:r w:rsidRPr="006A0345">
        <w:rPr>
          <w:rFonts w:eastAsia="Times New Roman" w:cs="Times New Roman"/>
          <w:lang w:eastAsia="de-DE"/>
        </w:rPr>
        <w:t xml:space="preserve"> wie Salz (bei allen Opfern verwendet)</w:t>
      </w:r>
    </w:p>
    <w:p w14:paraId="263E5D27"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b/>
          <w:bCs/>
          <w:lang w:eastAsia="de-DE"/>
        </w:rPr>
        <w:t>Anwendung:</w:t>
      </w:r>
    </w:p>
    <w:p w14:paraId="418870D1" w14:textId="77777777" w:rsidR="006A0345" w:rsidRPr="006A0345" w:rsidRDefault="006A0345" w:rsidP="006A0345">
      <w:pPr>
        <w:spacing w:before="100" w:beforeAutospacing="1" w:after="100" w:afterAutospacing="1" w:line="240" w:lineRule="auto"/>
        <w:rPr>
          <w:rFonts w:eastAsia="Times New Roman" w:cs="Times New Roman"/>
          <w:lang w:eastAsia="de-DE"/>
        </w:rPr>
      </w:pPr>
      <w:r w:rsidRPr="006A0345">
        <w:rPr>
          <w:rFonts w:eastAsia="Times New Roman" w:cs="Times New Roman"/>
          <w:lang w:eastAsia="de-DE"/>
        </w:rPr>
        <w:t xml:space="preserve">Gottes Verheißungen an das Priestertum sind </w:t>
      </w:r>
      <w:r w:rsidRPr="006A0345">
        <w:rPr>
          <w:rFonts w:eastAsia="Times New Roman" w:cs="Times New Roman"/>
          <w:b/>
          <w:bCs/>
          <w:lang w:eastAsia="de-DE"/>
        </w:rPr>
        <w:t>nicht widerrufbar</w:t>
      </w:r>
      <w:r w:rsidRPr="006A0345">
        <w:rPr>
          <w:rFonts w:eastAsia="Times New Roman" w:cs="Times New Roman"/>
          <w:lang w:eastAsia="de-DE"/>
        </w:rPr>
        <w:t xml:space="preserve"> – so unveränderlich wie die </w:t>
      </w:r>
      <w:r w:rsidRPr="006A0345">
        <w:rPr>
          <w:rFonts w:eastAsia="Times New Roman" w:cs="Times New Roman"/>
          <w:b/>
          <w:bCs/>
          <w:lang w:eastAsia="de-DE"/>
        </w:rPr>
        <w:t>konservierende Kraft des Salzes</w:t>
      </w:r>
      <w:r w:rsidRPr="006A0345">
        <w:rPr>
          <w:rFonts w:eastAsia="Times New Roman" w:cs="Times New Roman"/>
          <w:lang w:eastAsia="de-DE"/>
        </w:rPr>
        <w:t xml:space="preserve">. Was Gott </w:t>
      </w:r>
      <w:r w:rsidRPr="006A0345">
        <w:rPr>
          <w:rFonts w:eastAsia="Times New Roman" w:cs="Times New Roman"/>
          <w:b/>
          <w:bCs/>
          <w:lang w:eastAsia="de-DE"/>
        </w:rPr>
        <w:t>zusagt</w:t>
      </w:r>
      <w:r w:rsidRPr="006A0345">
        <w:rPr>
          <w:rFonts w:eastAsia="Times New Roman" w:cs="Times New Roman"/>
          <w:lang w:eastAsia="de-DE"/>
        </w:rPr>
        <w:t xml:space="preserve">, das </w:t>
      </w:r>
      <w:r w:rsidRPr="006A0345">
        <w:rPr>
          <w:rFonts w:eastAsia="Times New Roman" w:cs="Times New Roman"/>
          <w:b/>
          <w:bCs/>
          <w:lang w:eastAsia="de-DE"/>
        </w:rPr>
        <w:t>hält</w:t>
      </w:r>
      <w:r w:rsidRPr="006A0345">
        <w:rPr>
          <w:rFonts w:eastAsia="Times New Roman" w:cs="Times New Roman"/>
          <w:lang w:eastAsia="de-DE"/>
        </w:rPr>
        <w:t xml:space="preserve"> er – </w:t>
      </w:r>
      <w:r w:rsidRPr="006A0345">
        <w:rPr>
          <w:rFonts w:eastAsia="Times New Roman" w:cs="Times New Roman"/>
          <w:b/>
          <w:bCs/>
          <w:lang w:eastAsia="de-DE"/>
        </w:rPr>
        <w:t>ewig</w:t>
      </w:r>
      <w:r w:rsidRPr="006A0345">
        <w:rPr>
          <w:rFonts w:eastAsia="Times New Roman" w:cs="Times New Roman"/>
          <w:lang w:eastAsia="de-DE"/>
        </w:rPr>
        <w:t>!</w:t>
      </w:r>
    </w:p>
    <w:p w14:paraId="1C754915" w14:textId="77777777" w:rsidR="006A0345" w:rsidRPr="00C416BE" w:rsidRDefault="006A0345" w:rsidP="00C416BE">
      <w:pPr>
        <w:spacing w:before="100" w:beforeAutospacing="1" w:after="100" w:afterAutospacing="1" w:line="240" w:lineRule="auto"/>
        <w:rPr>
          <w:rFonts w:eastAsia="Times New Roman" w:cs="Times New Roman"/>
          <w:lang w:eastAsia="de-DE"/>
        </w:rPr>
      </w:pPr>
    </w:p>
    <w:p w14:paraId="248EABB8"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18,20</w:t>
      </w:r>
    </w:p>
    <w:p w14:paraId="105E7E59"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lastRenderedPageBreak/>
        <w:t>Hebräisch:</w:t>
      </w:r>
      <w:r w:rsidRPr="00C416BE">
        <w:rPr>
          <w:rFonts w:eastAsia="Times New Roman" w:cs="Times New Roman"/>
          <w:lang w:eastAsia="de-DE"/>
        </w:rPr>
        <w:t xml:space="preserve"> </w:t>
      </w:r>
      <w:r w:rsidRPr="00C416BE">
        <w:rPr>
          <w:rFonts w:eastAsia="Times New Roman" w:cs="Times New Roman"/>
          <w:rtl/>
          <w:lang w:eastAsia="de-DE"/>
        </w:rPr>
        <w:t>וַיֹּ֨אמֶר יְהוָ֜ה אֶֽל־אַהֲרֹ֗ן בְּאַרְצָם֙ לֹ֣א תִנְחָ֔ל וְחֵ֕לֶק לֹא־יִהְיֶ֥ה לְךָ֖ בְּתוֹכָ֑ם אֲנִ֤י חֶלְקְךָ֙ וְנַחֲלָ֣תְךָ֔ בְּת֖וֹךְ בְּנֵ֥י יִשְׂרָאֵֽל׃</w:t>
      </w:r>
    </w:p>
    <w:p w14:paraId="1421E145"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Und der Ewige sprach zu Aharon: In ihrem Land sollst du nichts erben und sollst kein Teil in ihrer Mitte haben; ich bin dein Teil und dein Erbe inmitten der Söhne Jisra'els.</w:t>
      </w:r>
    </w:p>
    <w:p w14:paraId="72CBCBBC"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781DE6F3">
          <v:rect id="_x0000_i1617" style="width:0;height:1.5pt" o:hralign="center" o:hrstd="t" o:hr="t" fillcolor="#a0a0a0" stroked="f"/>
        </w:pict>
      </w:r>
    </w:p>
    <w:p w14:paraId="0F53E9EE"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Das Verb </w:t>
      </w:r>
      <w:r w:rsidRPr="00C416BE">
        <w:rPr>
          <w:rFonts w:eastAsia="Times New Roman" w:cs="Times New Roman"/>
          <w:b/>
          <w:bCs/>
          <w:rtl/>
          <w:lang w:eastAsia="de-DE"/>
        </w:rPr>
        <w:t>וַיֹּאמֶר</w:t>
      </w:r>
      <w:r w:rsidRPr="00C416BE">
        <w:rPr>
          <w:rFonts w:eastAsia="Times New Roman" w:cs="Times New Roman"/>
          <w:rtl/>
          <w:lang w:eastAsia="de-DE"/>
        </w:rPr>
        <w:t xml:space="preserve"> </w:t>
      </w:r>
      <w:r w:rsidRPr="00C416BE">
        <w:rPr>
          <w:rFonts w:eastAsia="Times New Roman" w:cs="Times New Roman"/>
          <w:lang w:eastAsia="de-DE"/>
        </w:rPr>
        <w:t xml:space="preserve">(Wayyiqtol, 3. m. sg. von </w:t>
      </w:r>
      <w:r w:rsidRPr="00C416BE">
        <w:rPr>
          <w:rFonts w:eastAsia="Times New Roman" w:cs="Times New Roman"/>
          <w:b/>
          <w:bCs/>
          <w:rtl/>
          <w:lang w:eastAsia="de-DE"/>
        </w:rPr>
        <w:t>אמר</w:t>
      </w:r>
      <w:r w:rsidRPr="00C416BE">
        <w:rPr>
          <w:rFonts w:eastAsia="Times New Roman" w:cs="Times New Roman"/>
          <w:lang w:eastAsia="de-DE"/>
        </w:rPr>
        <w:t xml:space="preserve">) leitet eine neue göttliche Aussage ein. </w:t>
      </w:r>
      <w:r w:rsidRPr="00C416BE">
        <w:rPr>
          <w:rFonts w:eastAsia="Times New Roman" w:cs="Times New Roman"/>
          <w:b/>
          <w:bCs/>
          <w:rtl/>
          <w:lang w:eastAsia="de-DE"/>
        </w:rPr>
        <w:t>יְהוָה</w:t>
      </w:r>
      <w:r w:rsidRPr="00C416BE">
        <w:rPr>
          <w:rFonts w:eastAsia="Times New Roman" w:cs="Times New Roman"/>
          <w:rtl/>
          <w:lang w:eastAsia="de-DE"/>
        </w:rPr>
        <w:t xml:space="preserve"> </w:t>
      </w:r>
      <w:r w:rsidRPr="00C416BE">
        <w:rPr>
          <w:rFonts w:eastAsia="Times New Roman" w:cs="Times New Roman"/>
          <w:lang w:eastAsia="de-DE"/>
        </w:rPr>
        <w:t xml:space="preserve">ist das explizite Subjekt, </w:t>
      </w:r>
      <w:r w:rsidRPr="00C416BE">
        <w:rPr>
          <w:rFonts w:eastAsia="Times New Roman" w:cs="Times New Roman"/>
          <w:b/>
          <w:bCs/>
          <w:rtl/>
          <w:lang w:eastAsia="de-DE"/>
        </w:rPr>
        <w:t>אֶל־אַהֲרֹן</w:t>
      </w:r>
      <w:r w:rsidRPr="00C416BE">
        <w:rPr>
          <w:rFonts w:eastAsia="Times New Roman" w:cs="Times New Roman"/>
          <w:rtl/>
          <w:lang w:eastAsia="de-DE"/>
        </w:rPr>
        <w:t xml:space="preserve"> </w:t>
      </w:r>
      <w:r w:rsidRPr="00C416BE">
        <w:rPr>
          <w:rFonts w:eastAsia="Times New Roman" w:cs="Times New Roman"/>
          <w:lang w:eastAsia="de-DE"/>
        </w:rPr>
        <w:t>der Adressat. Diese direkte Anrede unterstreicht die persönliche Bedeutung.</w:t>
      </w:r>
    </w:p>
    <w:p w14:paraId="2142020A"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Präposition </w:t>
      </w:r>
      <w:r w:rsidRPr="00C416BE">
        <w:rPr>
          <w:rFonts w:eastAsia="Times New Roman" w:cs="Times New Roman"/>
          <w:b/>
          <w:bCs/>
          <w:rtl/>
          <w:lang w:eastAsia="de-DE"/>
        </w:rPr>
        <w:t>בְּאַרְצָם</w:t>
      </w:r>
      <w:r w:rsidRPr="00C416BE">
        <w:rPr>
          <w:rFonts w:eastAsia="Times New Roman" w:cs="Times New Roman"/>
          <w:rtl/>
          <w:lang w:eastAsia="de-DE"/>
        </w:rPr>
        <w:t xml:space="preserve"> </w:t>
      </w:r>
      <w:r w:rsidRPr="00C416BE">
        <w:rPr>
          <w:rFonts w:eastAsia="Times New Roman" w:cs="Times New Roman"/>
          <w:lang w:eastAsia="de-DE"/>
        </w:rPr>
        <w:t xml:space="preserve">(„in ihrem Land") gibt den Bereich an, wobei das Suffix 3. m. pl. auf die anderen Stämme Israels verweist. Die Negation </w:t>
      </w:r>
      <w:r w:rsidRPr="00C416BE">
        <w:rPr>
          <w:rFonts w:eastAsia="Times New Roman" w:cs="Times New Roman"/>
          <w:b/>
          <w:bCs/>
          <w:rtl/>
          <w:lang w:eastAsia="de-DE"/>
        </w:rPr>
        <w:t>לֹא</w:t>
      </w:r>
      <w:r w:rsidRPr="00C416BE">
        <w:rPr>
          <w:rFonts w:eastAsia="Times New Roman" w:cs="Times New Roman"/>
          <w:rtl/>
          <w:lang w:eastAsia="de-DE"/>
        </w:rPr>
        <w:t xml:space="preserve"> </w:t>
      </w:r>
      <w:r w:rsidRPr="00C416BE">
        <w:rPr>
          <w:rFonts w:eastAsia="Times New Roman" w:cs="Times New Roman"/>
          <w:lang w:eastAsia="de-DE"/>
        </w:rPr>
        <w:t xml:space="preserve">mit dem Verb </w:t>
      </w:r>
      <w:r w:rsidRPr="00C416BE">
        <w:rPr>
          <w:rFonts w:eastAsia="Times New Roman" w:cs="Times New Roman"/>
          <w:b/>
          <w:bCs/>
          <w:rtl/>
          <w:lang w:eastAsia="de-DE"/>
        </w:rPr>
        <w:t>תִנְחָל</w:t>
      </w:r>
      <w:r w:rsidRPr="00C416BE">
        <w:rPr>
          <w:rFonts w:eastAsia="Times New Roman" w:cs="Times New Roman"/>
          <w:rtl/>
          <w:lang w:eastAsia="de-DE"/>
        </w:rPr>
        <w:t xml:space="preserve"> </w:t>
      </w:r>
      <w:r w:rsidRPr="00C416BE">
        <w:rPr>
          <w:rFonts w:eastAsia="Times New Roman" w:cs="Times New Roman"/>
          <w:lang w:eastAsia="de-DE"/>
        </w:rPr>
        <w:t xml:space="preserve">(Qal Imperfekt, 2. m. sg. von </w:t>
      </w:r>
      <w:r w:rsidRPr="00C416BE">
        <w:rPr>
          <w:rFonts w:eastAsia="Times New Roman" w:cs="Times New Roman"/>
          <w:b/>
          <w:bCs/>
          <w:rtl/>
          <w:lang w:eastAsia="de-DE"/>
        </w:rPr>
        <w:t>נחל</w:t>
      </w:r>
      <w:r w:rsidRPr="00C416BE">
        <w:rPr>
          <w:rFonts w:eastAsia="Times New Roman" w:cs="Times New Roman"/>
          <w:lang w:eastAsia="de-DE"/>
        </w:rPr>
        <w:t xml:space="preserve">, „du sollst erben") verbietet kategorisch Landbesitz für die Priester. Die koordinierte Negation </w:t>
      </w:r>
      <w:r w:rsidRPr="00C416BE">
        <w:rPr>
          <w:rFonts w:eastAsia="Times New Roman" w:cs="Times New Roman"/>
          <w:b/>
          <w:bCs/>
          <w:rtl/>
          <w:lang w:eastAsia="de-DE"/>
        </w:rPr>
        <w:t>וְחֵלֶק לֹא־יִהְיֶה לְךָ בְּתוֹכָם</w:t>
      </w:r>
      <w:r w:rsidRPr="00C416BE">
        <w:rPr>
          <w:rFonts w:eastAsia="Times New Roman" w:cs="Times New Roman"/>
          <w:rtl/>
          <w:lang w:eastAsia="de-DE"/>
        </w:rPr>
        <w:t xml:space="preserve"> </w:t>
      </w:r>
      <w:r w:rsidRPr="00C416BE">
        <w:rPr>
          <w:rFonts w:eastAsia="Times New Roman" w:cs="Times New Roman"/>
          <w:lang w:eastAsia="de-DE"/>
        </w:rPr>
        <w:t xml:space="preserve">verstärkt das Verbot: </w:t>
      </w:r>
      <w:r w:rsidRPr="00C416BE">
        <w:rPr>
          <w:rFonts w:eastAsia="Times New Roman" w:cs="Times New Roman"/>
          <w:b/>
          <w:bCs/>
          <w:rtl/>
          <w:lang w:eastAsia="de-DE"/>
        </w:rPr>
        <w:t>חֵלֶק</w:t>
      </w:r>
      <w:r w:rsidRPr="00C416BE">
        <w:rPr>
          <w:rFonts w:eastAsia="Times New Roman" w:cs="Times New Roman"/>
          <w:rtl/>
          <w:lang w:eastAsia="de-DE"/>
        </w:rPr>
        <w:t xml:space="preserve"> </w:t>
      </w:r>
      <w:r w:rsidRPr="00C416BE">
        <w:rPr>
          <w:rFonts w:eastAsia="Times New Roman" w:cs="Times New Roman"/>
          <w:lang w:eastAsia="de-DE"/>
        </w:rPr>
        <w:t xml:space="preserve">(„Teil, Anteil") Subjekt, </w:t>
      </w:r>
      <w:r w:rsidRPr="00C416BE">
        <w:rPr>
          <w:rFonts w:eastAsia="Times New Roman" w:cs="Times New Roman"/>
          <w:b/>
          <w:bCs/>
          <w:rtl/>
          <w:lang w:eastAsia="de-DE"/>
        </w:rPr>
        <w:t>לֹא־יִהְיֶה</w:t>
      </w:r>
      <w:r w:rsidRPr="00C416BE">
        <w:rPr>
          <w:rFonts w:eastAsia="Times New Roman" w:cs="Times New Roman"/>
          <w:rtl/>
          <w:lang w:eastAsia="de-DE"/>
        </w:rPr>
        <w:t xml:space="preserve"> </w:t>
      </w:r>
      <w:r w:rsidRPr="00C416BE">
        <w:rPr>
          <w:rFonts w:eastAsia="Times New Roman" w:cs="Times New Roman"/>
          <w:lang w:eastAsia="de-DE"/>
        </w:rPr>
        <w:t xml:space="preserve">(Negation plus Qal Imperfekt, 3. m. sg. von </w:t>
      </w:r>
      <w:r w:rsidRPr="00C416BE">
        <w:rPr>
          <w:rFonts w:eastAsia="Times New Roman" w:cs="Times New Roman"/>
          <w:b/>
          <w:bCs/>
          <w:rtl/>
          <w:lang w:eastAsia="de-DE"/>
        </w:rPr>
        <w:t>היה</w:t>
      </w:r>
      <w:r w:rsidRPr="00C416BE">
        <w:rPr>
          <w:rFonts w:eastAsia="Times New Roman" w:cs="Times New Roman"/>
          <w:lang w:eastAsia="de-DE"/>
        </w:rPr>
        <w:t xml:space="preserve">, „es soll nicht sein"), </w:t>
      </w:r>
      <w:r w:rsidRPr="00C416BE">
        <w:rPr>
          <w:rFonts w:eastAsia="Times New Roman" w:cs="Times New Roman"/>
          <w:b/>
          <w:bCs/>
          <w:rtl/>
          <w:lang w:eastAsia="de-DE"/>
        </w:rPr>
        <w:t>לְךָ</w:t>
      </w:r>
      <w:r w:rsidRPr="00C416BE">
        <w:rPr>
          <w:rFonts w:eastAsia="Times New Roman" w:cs="Times New Roman"/>
          <w:rtl/>
          <w:lang w:eastAsia="de-DE"/>
        </w:rPr>
        <w:t xml:space="preserve"> </w:t>
      </w:r>
      <w:r w:rsidRPr="00C416BE">
        <w:rPr>
          <w:rFonts w:eastAsia="Times New Roman" w:cs="Times New Roman"/>
          <w:lang w:eastAsia="de-DE"/>
        </w:rPr>
        <w:t xml:space="preserve">(„dir") Dativ, </w:t>
      </w:r>
      <w:r w:rsidRPr="00C416BE">
        <w:rPr>
          <w:rFonts w:eastAsia="Times New Roman" w:cs="Times New Roman"/>
          <w:b/>
          <w:bCs/>
          <w:rtl/>
          <w:lang w:eastAsia="de-DE"/>
        </w:rPr>
        <w:t>בְּתוֹכָם</w:t>
      </w:r>
      <w:r w:rsidRPr="00C416BE">
        <w:rPr>
          <w:rFonts w:eastAsia="Times New Roman" w:cs="Times New Roman"/>
          <w:rtl/>
          <w:lang w:eastAsia="de-DE"/>
        </w:rPr>
        <w:t xml:space="preserve"> </w:t>
      </w:r>
      <w:r w:rsidRPr="00C416BE">
        <w:rPr>
          <w:rFonts w:eastAsia="Times New Roman" w:cs="Times New Roman"/>
          <w:lang w:eastAsia="de-DE"/>
        </w:rPr>
        <w:t>(„in ihrer Mitte") mit Suffix 3. m. pl.</w:t>
      </w:r>
    </w:p>
    <w:p w14:paraId="7C550468"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theologisch tiefste Aussage folgt als Kontrapunkt: </w:t>
      </w:r>
      <w:r w:rsidRPr="00C416BE">
        <w:rPr>
          <w:rFonts w:eastAsia="Times New Roman" w:cs="Times New Roman"/>
          <w:b/>
          <w:bCs/>
          <w:rtl/>
          <w:lang w:eastAsia="de-DE"/>
        </w:rPr>
        <w:t>אֲנִי חֶלְקְךָ וְנַחֲלָתְךָ</w:t>
      </w:r>
      <w:r w:rsidRPr="00C416BE">
        <w:rPr>
          <w:rFonts w:eastAsia="Times New Roman" w:cs="Times New Roman"/>
          <w:rtl/>
          <w:lang w:eastAsia="de-DE"/>
        </w:rPr>
        <w:t xml:space="preserve"> </w:t>
      </w:r>
      <w:r w:rsidRPr="00C416BE">
        <w:rPr>
          <w:rFonts w:eastAsia="Times New Roman" w:cs="Times New Roman"/>
          <w:lang w:eastAsia="de-DE"/>
        </w:rPr>
        <w:t xml:space="preserve">ist ein nominaler Satz. </w:t>
      </w:r>
      <w:r w:rsidRPr="00C416BE">
        <w:rPr>
          <w:rFonts w:eastAsia="Times New Roman" w:cs="Times New Roman"/>
          <w:b/>
          <w:bCs/>
          <w:rtl/>
          <w:lang w:eastAsia="de-DE"/>
        </w:rPr>
        <w:t>אֲנִי</w:t>
      </w:r>
      <w:r w:rsidRPr="00C416BE">
        <w:rPr>
          <w:rFonts w:eastAsia="Times New Roman" w:cs="Times New Roman"/>
          <w:rtl/>
          <w:lang w:eastAsia="de-DE"/>
        </w:rPr>
        <w:t xml:space="preserve"> </w:t>
      </w:r>
      <w:r w:rsidRPr="00C416BE">
        <w:rPr>
          <w:rFonts w:eastAsia="Times New Roman" w:cs="Times New Roman"/>
          <w:lang w:eastAsia="de-DE"/>
        </w:rPr>
        <w:t xml:space="preserve">(„ich") ist das emphatische Subjekt – JHWH selbst spricht. </w:t>
      </w:r>
      <w:r w:rsidRPr="00C416BE">
        <w:rPr>
          <w:rFonts w:eastAsia="Times New Roman" w:cs="Times New Roman"/>
          <w:b/>
          <w:bCs/>
          <w:rtl/>
          <w:lang w:eastAsia="de-DE"/>
        </w:rPr>
        <w:t>חֶלְקְךָ</w:t>
      </w:r>
      <w:r w:rsidRPr="00C416BE">
        <w:rPr>
          <w:rFonts w:eastAsia="Times New Roman" w:cs="Times New Roman"/>
          <w:rtl/>
          <w:lang w:eastAsia="de-DE"/>
        </w:rPr>
        <w:t xml:space="preserve"> </w:t>
      </w:r>
      <w:r w:rsidRPr="00C416BE">
        <w:rPr>
          <w:rFonts w:eastAsia="Times New Roman" w:cs="Times New Roman"/>
          <w:lang w:eastAsia="de-DE"/>
        </w:rPr>
        <w:t xml:space="preserve">(„dein Teil") mit Possessivsuffix 2. m. sg. und </w:t>
      </w:r>
      <w:r w:rsidRPr="00C416BE">
        <w:rPr>
          <w:rFonts w:eastAsia="Times New Roman" w:cs="Times New Roman"/>
          <w:b/>
          <w:bCs/>
          <w:rtl/>
          <w:lang w:eastAsia="de-DE"/>
        </w:rPr>
        <w:t>נַחֲלָתְךָ</w:t>
      </w:r>
      <w:r w:rsidRPr="00C416BE">
        <w:rPr>
          <w:rFonts w:eastAsia="Times New Roman" w:cs="Times New Roman"/>
          <w:rtl/>
          <w:lang w:eastAsia="de-DE"/>
        </w:rPr>
        <w:t xml:space="preserve"> </w:t>
      </w:r>
      <w:r w:rsidRPr="00C416BE">
        <w:rPr>
          <w:rFonts w:eastAsia="Times New Roman" w:cs="Times New Roman"/>
          <w:lang w:eastAsia="de-DE"/>
        </w:rPr>
        <w:t xml:space="preserve">(„dein Erbe") mit demselben Suffix sind koordinierte Prädikatsnomina. Die Phrase ist von erhabener Schlichtheit: „Ich (bin) dein Teil und dein Erbe". Die Präposition </w:t>
      </w:r>
      <w:r w:rsidRPr="00C416BE">
        <w:rPr>
          <w:rFonts w:eastAsia="Times New Roman" w:cs="Times New Roman"/>
          <w:b/>
          <w:bCs/>
          <w:rtl/>
          <w:lang w:eastAsia="de-DE"/>
        </w:rPr>
        <w:t>בְּתוֹךְ בְּנֵי יִשְׂרָאֵל</w:t>
      </w:r>
      <w:r w:rsidRPr="00C416BE">
        <w:rPr>
          <w:rFonts w:eastAsia="Times New Roman" w:cs="Times New Roman"/>
          <w:rtl/>
          <w:lang w:eastAsia="de-DE"/>
        </w:rPr>
        <w:t xml:space="preserve"> </w:t>
      </w:r>
      <w:r w:rsidRPr="00C416BE">
        <w:rPr>
          <w:rFonts w:eastAsia="Times New Roman" w:cs="Times New Roman"/>
          <w:lang w:eastAsia="de-DE"/>
        </w:rPr>
        <w:t>(„inmitten der Söhne Israels") kontextualisiert: Während andere Stämme Land besitzen, besitzt Aaron JHWH selbst.</w:t>
      </w:r>
    </w:p>
    <w:p w14:paraId="6497149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übersetzt treu und bewahrt die Kraft der Aussage: ἐγὼ μερίς σου καὶ κληρονομία σου (egō meris sou kai klēronomia sou).</w:t>
      </w:r>
    </w:p>
    <w:p w14:paraId="12FF07E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Hauptsatz mit Verb, Subjekt und Adressaten. Die direkte Rede enthält zwei koordinierte negative Hauptsätze mit Präpositionalphrase, Negation und Verb bzw. Subjekt, Negation, Verb, Dativ und Präpositionalphrase. Ein kontrastierender nominaler Hauptsatz mit emphatischem Pronomen als Subjekt, zwei koordinierten Prädikatsnomina (Possessivsuffixe) und abschließender Präpositionalphrase bildet den theologischen Höhepunkt.</w:t>
      </w:r>
    </w:p>
    <w:p w14:paraId="5CE00C14" w14:textId="5C722A89" w:rsid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erklärt die Kehrseite der priesterlichen Versorgung: Kein irdischer Landbesitz, aber dafür JHWH selbst als Erbteil – ein unvergleichliches, transzendentes Privileg, das alle materiellen Güter übersteigt.</w:t>
      </w:r>
      <w:r w:rsidR="00FE7F02">
        <w:rPr>
          <w:rFonts w:eastAsia="Times New Roman" w:cs="Times New Roman"/>
          <w:lang w:eastAsia="de-DE"/>
        </w:rPr>
        <w:br/>
      </w:r>
    </w:p>
    <w:p w14:paraId="42323EE4" w14:textId="77777777" w:rsidR="00FE7F02" w:rsidRPr="00FE7F02" w:rsidRDefault="00FE7F02" w:rsidP="00B00345">
      <w:pPr>
        <w:pStyle w:val="berschrift4"/>
        <w:rPr>
          <w:rFonts w:eastAsia="Times New Roman"/>
          <w:lang w:eastAsia="de-DE"/>
        </w:rPr>
      </w:pPr>
      <w:r w:rsidRPr="00FE7F02">
        <w:rPr>
          <w:rFonts w:eastAsia="Times New Roman"/>
          <w:lang w:eastAsia="de-DE"/>
        </w:rPr>
        <w:t>Exkurs: "Der HERR ist mein Erbteil" – Psalmen 16 &amp; 73</w:t>
      </w:r>
    </w:p>
    <w:p w14:paraId="1CA380DB"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Numeri 18,20:</w:t>
      </w:r>
    </w:p>
    <w:p w14:paraId="479304BC" w14:textId="77777777" w:rsidR="00FE7F02" w:rsidRPr="00FE7F02" w:rsidRDefault="00FE7F02" w:rsidP="00FE7F02">
      <w:pPr>
        <w:spacing w:beforeAutospacing="1" w:after="100" w:afterAutospacing="1" w:line="240" w:lineRule="auto"/>
        <w:rPr>
          <w:rFonts w:eastAsia="Times New Roman" w:cs="Times New Roman"/>
          <w:lang w:eastAsia="de-DE"/>
        </w:rPr>
      </w:pPr>
      <w:r w:rsidRPr="00FE7F02">
        <w:rPr>
          <w:rFonts w:eastAsia="Times New Roman" w:cs="Times New Roman"/>
          <w:b/>
          <w:bCs/>
          <w:rtl/>
          <w:lang w:eastAsia="de-DE"/>
        </w:rPr>
        <w:t>אֲנִי חֶלְקְךָ וְנַחֲלָתְךָ</w:t>
      </w:r>
      <w:r w:rsidRPr="00FE7F02">
        <w:rPr>
          <w:rFonts w:eastAsia="Times New Roman" w:cs="Times New Roman"/>
          <w:rtl/>
          <w:lang w:eastAsia="de-DE"/>
        </w:rPr>
        <w:t xml:space="preserve"> בְּתוֹךְ בְּנֵי יִשְׂרָאֵל</w:t>
      </w:r>
      <w:r w:rsidRPr="00FE7F02">
        <w:rPr>
          <w:rFonts w:eastAsia="Times New Roman" w:cs="Times New Roman"/>
          <w:lang w:eastAsia="de-DE"/>
        </w:rPr>
        <w:br/>
        <w:t>"</w:t>
      </w:r>
      <w:r w:rsidRPr="00FE7F02">
        <w:rPr>
          <w:rFonts w:eastAsia="Times New Roman" w:cs="Times New Roman"/>
          <w:b/>
          <w:bCs/>
          <w:lang w:eastAsia="de-DE"/>
        </w:rPr>
        <w:t>Ich bin dein Teil und dein Erbe</w:t>
      </w:r>
      <w:r w:rsidRPr="00FE7F02">
        <w:rPr>
          <w:rFonts w:eastAsia="Times New Roman" w:cs="Times New Roman"/>
          <w:lang w:eastAsia="de-DE"/>
        </w:rPr>
        <w:t xml:space="preserve"> inmitten der Söhne Israels"</w:t>
      </w:r>
    </w:p>
    <w:p w14:paraId="6E297C75"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Die Frage:</w:t>
      </w:r>
    </w:p>
    <w:p w14:paraId="48987E61"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lastRenderedPageBreak/>
        <w:t xml:space="preserve">Ist </w:t>
      </w:r>
      <w:r w:rsidRPr="00FE7F02">
        <w:rPr>
          <w:rFonts w:eastAsia="Times New Roman" w:cs="Times New Roman"/>
          <w:b/>
          <w:bCs/>
          <w:lang w:eastAsia="de-DE"/>
        </w:rPr>
        <w:t>Gott als Erbteil</w:t>
      </w:r>
      <w:r w:rsidRPr="00FE7F02">
        <w:rPr>
          <w:rFonts w:eastAsia="Times New Roman" w:cs="Times New Roman"/>
          <w:lang w:eastAsia="de-DE"/>
        </w:rPr>
        <w:t xml:space="preserve"> nur ein </w:t>
      </w:r>
      <w:r w:rsidRPr="00FE7F02">
        <w:rPr>
          <w:rFonts w:eastAsia="Times New Roman" w:cs="Times New Roman"/>
          <w:b/>
          <w:bCs/>
          <w:lang w:eastAsia="de-DE"/>
        </w:rPr>
        <w:t>priesterliches Privileg</w:t>
      </w:r>
      <w:r w:rsidRPr="00FE7F02">
        <w:rPr>
          <w:rFonts w:eastAsia="Times New Roman" w:cs="Times New Roman"/>
          <w:lang w:eastAsia="de-DE"/>
        </w:rPr>
        <w:t xml:space="preserve">, oder kann </w:t>
      </w:r>
      <w:r w:rsidRPr="00FE7F02">
        <w:rPr>
          <w:rFonts w:eastAsia="Times New Roman" w:cs="Times New Roman"/>
          <w:b/>
          <w:bCs/>
          <w:lang w:eastAsia="de-DE"/>
        </w:rPr>
        <w:t>jeder Gläubige</w:t>
      </w:r>
      <w:r w:rsidRPr="00FE7F02">
        <w:rPr>
          <w:rFonts w:eastAsia="Times New Roman" w:cs="Times New Roman"/>
          <w:lang w:eastAsia="de-DE"/>
        </w:rPr>
        <w:t xml:space="preserve"> diese Erfahrung machen?</w:t>
      </w:r>
    </w:p>
    <w:p w14:paraId="1D351C0B"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Die Antwort: Psalm 16 + 73</w:t>
      </w:r>
    </w:p>
    <w:p w14:paraId="19818C71" w14:textId="77777777" w:rsidR="00FE7F02" w:rsidRPr="00FE7F02" w:rsidRDefault="00F329DD" w:rsidP="00FE7F02">
      <w:pPr>
        <w:spacing w:after="0" w:line="240" w:lineRule="auto"/>
        <w:rPr>
          <w:rFonts w:eastAsia="Times New Roman" w:cs="Times New Roman"/>
          <w:lang w:eastAsia="de-DE"/>
        </w:rPr>
      </w:pPr>
      <w:r>
        <w:rPr>
          <w:rFonts w:eastAsia="Times New Roman" w:cs="Times New Roman"/>
          <w:lang w:eastAsia="de-DE"/>
        </w:rPr>
        <w:pict w14:anchorId="60ADCB96">
          <v:rect id="_x0000_i1618" style="width:0;height:1.5pt" o:hralign="center" o:hrstd="t" o:hr="t" fillcolor="#a0a0a0" stroked="f"/>
        </w:pict>
      </w:r>
    </w:p>
    <w:p w14:paraId="19F5989B"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1. Psalm 16,5-6 – David spricht wie ein Priester!</w:t>
      </w:r>
    </w:p>
    <w:p w14:paraId="7DEC25B5"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Hebräisch:</w:t>
      </w:r>
    </w:p>
    <w:p w14:paraId="676F81D2" w14:textId="77777777" w:rsidR="00FE7F02" w:rsidRPr="00FE7F02" w:rsidRDefault="00FE7F02" w:rsidP="00FE7F02">
      <w:pPr>
        <w:spacing w:beforeAutospacing="1" w:after="100" w:afterAutospacing="1" w:line="240" w:lineRule="auto"/>
        <w:rPr>
          <w:rFonts w:eastAsia="Times New Roman" w:cs="Times New Roman"/>
          <w:lang w:eastAsia="de-DE"/>
        </w:rPr>
      </w:pPr>
      <w:r w:rsidRPr="00FE7F02">
        <w:rPr>
          <w:rFonts w:eastAsia="Times New Roman" w:cs="Times New Roman"/>
          <w:rtl/>
          <w:lang w:eastAsia="de-DE"/>
        </w:rPr>
        <w:t xml:space="preserve">יְהוָה </w:t>
      </w:r>
      <w:r w:rsidRPr="00FE7F02">
        <w:rPr>
          <w:rFonts w:eastAsia="Times New Roman" w:cs="Times New Roman"/>
          <w:b/>
          <w:bCs/>
          <w:rtl/>
          <w:lang w:eastAsia="de-DE"/>
        </w:rPr>
        <w:t>מְנָת־חֶלְקִי</w:t>
      </w:r>
      <w:r w:rsidRPr="00FE7F02">
        <w:rPr>
          <w:rFonts w:eastAsia="Times New Roman" w:cs="Times New Roman"/>
          <w:rtl/>
          <w:lang w:eastAsia="de-DE"/>
        </w:rPr>
        <w:t xml:space="preserve"> וְכוֹסִי אַתָּה תּוֹמִיךְ גּוֹרָלִי׃</w:t>
      </w:r>
      <w:r w:rsidRPr="00FE7F02">
        <w:rPr>
          <w:rFonts w:eastAsia="Times New Roman" w:cs="Times New Roman"/>
          <w:lang w:eastAsia="de-DE"/>
        </w:rPr>
        <w:br/>
      </w:r>
      <w:r w:rsidRPr="00FE7F02">
        <w:rPr>
          <w:rFonts w:eastAsia="Times New Roman" w:cs="Times New Roman"/>
          <w:b/>
          <w:bCs/>
          <w:rtl/>
          <w:lang w:eastAsia="de-DE"/>
        </w:rPr>
        <w:t>חֲבָלִים נָפְלוּ־לִי בַּנְּעִמִים</w:t>
      </w:r>
      <w:r w:rsidRPr="00FE7F02">
        <w:rPr>
          <w:rFonts w:eastAsia="Times New Roman" w:cs="Times New Roman"/>
          <w:rtl/>
          <w:lang w:eastAsia="de-DE"/>
        </w:rPr>
        <w:t xml:space="preserve"> אַף־</w:t>
      </w:r>
      <w:r w:rsidRPr="00FE7F02">
        <w:rPr>
          <w:rFonts w:eastAsia="Times New Roman" w:cs="Times New Roman"/>
          <w:b/>
          <w:bCs/>
          <w:rtl/>
          <w:lang w:eastAsia="de-DE"/>
        </w:rPr>
        <w:t>נַחֲלָת שָׁפְרָה עָלָי</w:t>
      </w:r>
      <w:r w:rsidRPr="00FE7F02">
        <w:rPr>
          <w:rFonts w:eastAsia="Times New Roman" w:cs="Times New Roman"/>
          <w:rtl/>
          <w:lang w:eastAsia="de-DE"/>
        </w:rPr>
        <w:t>׃</w:t>
      </w:r>
    </w:p>
    <w:p w14:paraId="3BD432E0"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"Der HERR ist </w:t>
      </w:r>
      <w:r w:rsidRPr="00FE7F02">
        <w:rPr>
          <w:rFonts w:eastAsia="Times New Roman" w:cs="Times New Roman"/>
          <w:b/>
          <w:bCs/>
          <w:lang w:eastAsia="de-DE"/>
        </w:rPr>
        <w:t>mein zugeteilter Teil</w:t>
      </w:r>
      <w:r w:rsidRPr="00FE7F02">
        <w:rPr>
          <w:rFonts w:eastAsia="Times New Roman" w:cs="Times New Roman"/>
          <w:lang w:eastAsia="de-DE"/>
        </w:rPr>
        <w:t xml:space="preserve"> und mein Becher; du erhältst mein Los.</w:t>
      </w:r>
      <w:r w:rsidRPr="00FE7F02">
        <w:rPr>
          <w:rFonts w:eastAsia="Times New Roman" w:cs="Times New Roman"/>
          <w:lang w:eastAsia="de-DE"/>
        </w:rPr>
        <w:br/>
        <w:t xml:space="preserve">Die </w:t>
      </w:r>
      <w:r w:rsidRPr="00FE7F02">
        <w:rPr>
          <w:rFonts w:eastAsia="Times New Roman" w:cs="Times New Roman"/>
          <w:b/>
          <w:bCs/>
          <w:lang w:eastAsia="de-DE"/>
        </w:rPr>
        <w:t>Messschnüre sind mir gefallen in lieblichen Örtern</w:t>
      </w:r>
      <w:r w:rsidRPr="00FE7F02">
        <w:rPr>
          <w:rFonts w:eastAsia="Times New Roman" w:cs="Times New Roman"/>
          <w:lang w:eastAsia="de-DE"/>
        </w:rPr>
        <w:t xml:space="preserve">, ja, ein </w:t>
      </w:r>
      <w:r w:rsidRPr="00FE7F02">
        <w:rPr>
          <w:rFonts w:eastAsia="Times New Roman" w:cs="Times New Roman"/>
          <w:b/>
          <w:bCs/>
          <w:lang w:eastAsia="de-DE"/>
        </w:rPr>
        <w:t>schönes Erbe</w:t>
      </w:r>
      <w:r w:rsidRPr="00FE7F02">
        <w:rPr>
          <w:rFonts w:eastAsia="Times New Roman" w:cs="Times New Roman"/>
          <w:lang w:eastAsia="de-DE"/>
        </w:rPr>
        <w:t xml:space="preserve"> ist mir geworden."</w:t>
      </w:r>
    </w:p>
    <w:p w14:paraId="56B09031" w14:textId="1317ACAD" w:rsidR="00FE7F02" w:rsidRDefault="00FE7F02" w:rsidP="00FE7F02">
      <w:pPr>
        <w:spacing w:before="100" w:beforeAutospacing="1" w:after="100" w:afterAutospacing="1" w:line="240" w:lineRule="auto"/>
        <w:rPr>
          <w:rFonts w:eastAsia="Times New Roman" w:cs="Times New Roman"/>
          <w:b/>
          <w:bCs/>
          <w:lang w:eastAsia="de-DE"/>
        </w:rPr>
      </w:pPr>
      <w:r w:rsidRPr="00FE7F02">
        <w:rPr>
          <w:rFonts w:eastAsia="Times New Roman" w:cs="Times New Roman"/>
          <w:b/>
          <w:bCs/>
          <w:lang w:eastAsia="de-DE"/>
        </w:rPr>
        <w:t>Die Parallele:</w:t>
      </w:r>
    </w:p>
    <w:tbl>
      <w:tblPr>
        <w:tblStyle w:val="Tabellenraster"/>
        <w:tblW w:w="4994" w:type="pct"/>
        <w:tblLook w:val="04A0" w:firstRow="1" w:lastRow="0" w:firstColumn="1" w:lastColumn="0" w:noHBand="0" w:noVBand="1"/>
      </w:tblPr>
      <w:tblGrid>
        <w:gridCol w:w="4525"/>
        <w:gridCol w:w="4526"/>
      </w:tblGrid>
      <w:tr w:rsidR="00FE7F02" w14:paraId="51A6D907" w14:textId="77777777" w:rsidTr="00056A0C">
        <w:tc>
          <w:tcPr>
            <w:tcW w:w="2500" w:type="pct"/>
            <w:vAlign w:val="center"/>
          </w:tcPr>
          <w:p w14:paraId="592C64F8" w14:textId="27C15A9A"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Numeri 18,20 (Aaron)</w:t>
            </w:r>
          </w:p>
        </w:tc>
        <w:tc>
          <w:tcPr>
            <w:tcW w:w="2500" w:type="pct"/>
            <w:vAlign w:val="center"/>
          </w:tcPr>
          <w:p w14:paraId="172A6D11" w14:textId="3FBD9DE9"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Psalm 16,5-6 (David)</w:t>
            </w:r>
          </w:p>
        </w:tc>
      </w:tr>
      <w:tr w:rsidR="00FE7F02" w14:paraId="3DD47FE0" w14:textId="77777777" w:rsidTr="003A13CF">
        <w:tc>
          <w:tcPr>
            <w:tcW w:w="2500" w:type="pct"/>
            <w:vAlign w:val="center"/>
          </w:tcPr>
          <w:p w14:paraId="08E0AFB2" w14:textId="119B8E02"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rtl/>
                <w:lang w:eastAsia="de-DE"/>
              </w:rPr>
              <w:t xml:space="preserve">אֲנִי </w:t>
            </w:r>
            <w:r w:rsidRPr="00FE7F02">
              <w:rPr>
                <w:rFonts w:eastAsia="Times New Roman" w:cs="Times New Roman"/>
                <w:b/>
                <w:bCs/>
                <w:rtl/>
                <w:lang w:eastAsia="de-DE"/>
              </w:rPr>
              <w:t>חֶלְקְךָ</w:t>
            </w:r>
          </w:p>
        </w:tc>
        <w:tc>
          <w:tcPr>
            <w:tcW w:w="2500" w:type="pct"/>
            <w:vAlign w:val="center"/>
          </w:tcPr>
          <w:p w14:paraId="2EC10473" w14:textId="17A38ABE"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rtl/>
                <w:lang w:eastAsia="de-DE"/>
              </w:rPr>
              <w:t xml:space="preserve">יְהוָה </w:t>
            </w:r>
            <w:r w:rsidRPr="00FE7F02">
              <w:rPr>
                <w:rFonts w:eastAsia="Times New Roman" w:cs="Times New Roman"/>
                <w:b/>
                <w:bCs/>
                <w:rtl/>
                <w:lang w:eastAsia="de-DE"/>
              </w:rPr>
              <w:t>מְנָת־חֶלְקִי</w:t>
            </w:r>
          </w:p>
        </w:tc>
      </w:tr>
      <w:tr w:rsidR="00FE7F02" w14:paraId="3F50A154" w14:textId="77777777" w:rsidTr="003A13CF">
        <w:tc>
          <w:tcPr>
            <w:tcW w:w="2500" w:type="pct"/>
            <w:vAlign w:val="center"/>
          </w:tcPr>
          <w:p w14:paraId="1C3A94E3" w14:textId="780E4E59"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rtl/>
                <w:lang w:eastAsia="de-DE"/>
              </w:rPr>
              <w:t xml:space="preserve">אֲנִי </w:t>
            </w:r>
            <w:r w:rsidRPr="00FE7F02">
              <w:rPr>
                <w:rFonts w:eastAsia="Times New Roman" w:cs="Times New Roman"/>
                <w:b/>
                <w:bCs/>
                <w:rtl/>
                <w:lang w:eastAsia="de-DE"/>
              </w:rPr>
              <w:t>נַחֲלָתְךָ</w:t>
            </w:r>
          </w:p>
        </w:tc>
        <w:tc>
          <w:tcPr>
            <w:tcW w:w="2500" w:type="pct"/>
            <w:vAlign w:val="center"/>
          </w:tcPr>
          <w:p w14:paraId="0E6E7A25" w14:textId="57E0966E"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b/>
                <w:bCs/>
                <w:rtl/>
                <w:lang w:eastAsia="de-DE"/>
              </w:rPr>
              <w:t>נַחֲלָת</w:t>
            </w:r>
            <w:r w:rsidRPr="00FE7F02">
              <w:rPr>
                <w:rFonts w:eastAsia="Times New Roman" w:cs="Times New Roman"/>
                <w:rtl/>
                <w:lang w:eastAsia="de-DE"/>
              </w:rPr>
              <w:t xml:space="preserve"> שָׁפְרָה עָלָי</w:t>
            </w:r>
          </w:p>
        </w:tc>
      </w:tr>
      <w:tr w:rsidR="00FE7F02" w14:paraId="4BF14498" w14:textId="77777777" w:rsidTr="003A13CF">
        <w:tc>
          <w:tcPr>
            <w:tcW w:w="2500" w:type="pct"/>
            <w:vAlign w:val="center"/>
          </w:tcPr>
          <w:p w14:paraId="1349DCB9" w14:textId="5DF7DB97"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rtl/>
                <w:lang w:eastAsia="de-DE"/>
              </w:rPr>
              <w:t>בְּתוֹךְ בְּנֵי יִשְׂרָאֵל</w:t>
            </w:r>
            <w:r w:rsidRPr="00FE7F02">
              <w:rPr>
                <w:rFonts w:eastAsia="Times New Roman" w:cs="Times New Roman"/>
                <w:lang w:eastAsia="de-DE"/>
              </w:rPr>
              <w:t xml:space="preserve"> (kein Land!)</w:t>
            </w:r>
          </w:p>
        </w:tc>
        <w:tc>
          <w:tcPr>
            <w:tcW w:w="2500" w:type="pct"/>
            <w:vAlign w:val="center"/>
          </w:tcPr>
          <w:p w14:paraId="13A56A72" w14:textId="08B023B3"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rtl/>
                <w:lang w:eastAsia="de-DE"/>
              </w:rPr>
              <w:t>חֲבָלִים נָפְלוּ־לִי בַּנְּעִמִים</w:t>
            </w:r>
            <w:r w:rsidRPr="00FE7F02">
              <w:rPr>
                <w:rFonts w:eastAsia="Times New Roman" w:cs="Times New Roman"/>
                <w:lang w:eastAsia="de-DE"/>
              </w:rPr>
              <w:t xml:space="preserve"> (geistliches "Land"!)</w:t>
            </w:r>
          </w:p>
        </w:tc>
      </w:tr>
    </w:tbl>
    <w:p w14:paraId="70BDB051"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 David, ein König (kein Priester!), spricht die priesterliche Sprache von Num 18,20!</w:t>
      </w:r>
    </w:p>
    <w:p w14:paraId="382209AA"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Theologische Bedeutung:</w:t>
      </w:r>
    </w:p>
    <w:p w14:paraId="0CD98A84" w14:textId="77777777" w:rsidR="00FE7F02" w:rsidRPr="00FE7F02" w:rsidRDefault="00FE7F02" w:rsidP="00B358B7">
      <w:pPr>
        <w:numPr>
          <w:ilvl w:val="0"/>
          <w:numId w:val="164"/>
        </w:num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Aaron</w:t>
      </w:r>
      <w:r w:rsidRPr="00FE7F02">
        <w:rPr>
          <w:rFonts w:eastAsia="Times New Roman" w:cs="Times New Roman"/>
          <w:lang w:eastAsia="de-DE"/>
        </w:rPr>
        <w:t xml:space="preserve"> hatte </w:t>
      </w:r>
      <w:r w:rsidRPr="00FE7F02">
        <w:rPr>
          <w:rFonts w:eastAsia="Times New Roman" w:cs="Times New Roman"/>
          <w:b/>
          <w:bCs/>
          <w:lang w:eastAsia="de-DE"/>
        </w:rPr>
        <w:t>kein physisches Erbe</w:t>
      </w:r>
      <w:r w:rsidRPr="00FE7F02">
        <w:rPr>
          <w:rFonts w:eastAsia="Times New Roman" w:cs="Times New Roman"/>
          <w:lang w:eastAsia="de-DE"/>
        </w:rPr>
        <w:t xml:space="preserve"> → </w:t>
      </w:r>
      <w:r w:rsidRPr="00FE7F02">
        <w:rPr>
          <w:rFonts w:eastAsia="Times New Roman" w:cs="Times New Roman"/>
          <w:b/>
          <w:bCs/>
          <w:lang w:eastAsia="de-DE"/>
        </w:rPr>
        <w:t>Gott</w:t>
      </w:r>
      <w:r w:rsidRPr="00FE7F02">
        <w:rPr>
          <w:rFonts w:eastAsia="Times New Roman" w:cs="Times New Roman"/>
          <w:lang w:eastAsia="de-DE"/>
        </w:rPr>
        <w:t xml:space="preserve"> war sein Erbe</w:t>
      </w:r>
    </w:p>
    <w:p w14:paraId="10A38F92" w14:textId="77777777" w:rsidR="00FE7F02" w:rsidRPr="00FE7F02" w:rsidRDefault="00FE7F02" w:rsidP="00B358B7">
      <w:pPr>
        <w:numPr>
          <w:ilvl w:val="0"/>
          <w:numId w:val="164"/>
        </w:num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David</w:t>
      </w:r>
      <w:r w:rsidRPr="00FE7F02">
        <w:rPr>
          <w:rFonts w:eastAsia="Times New Roman" w:cs="Times New Roman"/>
          <w:lang w:eastAsia="de-DE"/>
        </w:rPr>
        <w:t xml:space="preserve"> hatte ein </w:t>
      </w:r>
      <w:r w:rsidRPr="00FE7F02">
        <w:rPr>
          <w:rFonts w:eastAsia="Times New Roman" w:cs="Times New Roman"/>
          <w:b/>
          <w:bCs/>
          <w:lang w:eastAsia="de-DE"/>
        </w:rPr>
        <w:t>Königreich</w:t>
      </w:r>
      <w:r w:rsidRPr="00FE7F02">
        <w:rPr>
          <w:rFonts w:eastAsia="Times New Roman" w:cs="Times New Roman"/>
          <w:lang w:eastAsia="de-DE"/>
        </w:rPr>
        <w:t xml:space="preserve"> → aber er </w:t>
      </w:r>
      <w:r w:rsidRPr="00FE7F02">
        <w:rPr>
          <w:rFonts w:eastAsia="Times New Roman" w:cs="Times New Roman"/>
          <w:b/>
          <w:bCs/>
          <w:lang w:eastAsia="de-DE"/>
        </w:rPr>
        <w:t>wählte Gott</w:t>
      </w:r>
      <w:r w:rsidRPr="00FE7F02">
        <w:rPr>
          <w:rFonts w:eastAsia="Times New Roman" w:cs="Times New Roman"/>
          <w:lang w:eastAsia="de-DE"/>
        </w:rPr>
        <w:t xml:space="preserve"> als sein wahres Erbe</w:t>
      </w:r>
    </w:p>
    <w:p w14:paraId="6DC78E8E" w14:textId="77777777" w:rsidR="00FE7F02" w:rsidRPr="00FE7F02" w:rsidRDefault="00FE7F02" w:rsidP="00B358B7">
      <w:pPr>
        <w:numPr>
          <w:ilvl w:val="0"/>
          <w:numId w:val="164"/>
        </w:num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 Das </w:t>
      </w:r>
      <w:r w:rsidRPr="00FE7F02">
        <w:rPr>
          <w:rFonts w:eastAsia="Times New Roman" w:cs="Times New Roman"/>
          <w:b/>
          <w:bCs/>
          <w:lang w:eastAsia="de-DE"/>
        </w:rPr>
        <w:t>priesterliche Privileg</w:t>
      </w:r>
      <w:r w:rsidRPr="00FE7F02">
        <w:rPr>
          <w:rFonts w:eastAsia="Times New Roman" w:cs="Times New Roman"/>
          <w:lang w:eastAsia="de-DE"/>
        </w:rPr>
        <w:t xml:space="preserve"> wird zur </w:t>
      </w:r>
      <w:r w:rsidRPr="00FE7F02">
        <w:rPr>
          <w:rFonts w:eastAsia="Times New Roman" w:cs="Times New Roman"/>
          <w:b/>
          <w:bCs/>
          <w:lang w:eastAsia="de-DE"/>
        </w:rPr>
        <w:t>spirituellen Wahrheit</w:t>
      </w:r>
      <w:r w:rsidRPr="00FE7F02">
        <w:rPr>
          <w:rFonts w:eastAsia="Times New Roman" w:cs="Times New Roman"/>
          <w:lang w:eastAsia="de-DE"/>
        </w:rPr>
        <w:t xml:space="preserve"> für alle Gläubigen!</w:t>
      </w:r>
    </w:p>
    <w:p w14:paraId="1BB4D879" w14:textId="77777777" w:rsidR="00FE7F02" w:rsidRPr="00FE7F02" w:rsidRDefault="00F329DD" w:rsidP="00FE7F02">
      <w:pPr>
        <w:spacing w:after="0" w:line="240" w:lineRule="auto"/>
        <w:rPr>
          <w:rFonts w:eastAsia="Times New Roman" w:cs="Times New Roman"/>
          <w:lang w:eastAsia="de-DE"/>
        </w:rPr>
      </w:pPr>
      <w:r>
        <w:rPr>
          <w:rFonts w:eastAsia="Times New Roman" w:cs="Times New Roman"/>
          <w:lang w:eastAsia="de-DE"/>
        </w:rPr>
        <w:pict w14:anchorId="06683401">
          <v:rect id="_x0000_i1619" style="width:0;height:1.5pt" o:hralign="center" o:hrstd="t" o:hr="t" fillcolor="#a0a0a0" stroked="f"/>
        </w:pict>
      </w:r>
    </w:p>
    <w:p w14:paraId="03E1493E"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2. Psalm 73,25-26 – Asaph überwindet Zweifel</w:t>
      </w:r>
    </w:p>
    <w:p w14:paraId="74C3743C"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Kontext:</w:t>
      </w:r>
      <w:r w:rsidRPr="00FE7F02">
        <w:rPr>
          <w:rFonts w:eastAsia="Times New Roman" w:cs="Times New Roman"/>
          <w:lang w:eastAsia="de-DE"/>
        </w:rPr>
        <w:t xml:space="preserve"> Asaph (ein Levit!) ist </w:t>
      </w:r>
      <w:r w:rsidRPr="00FE7F02">
        <w:rPr>
          <w:rFonts w:eastAsia="Times New Roman" w:cs="Times New Roman"/>
          <w:b/>
          <w:bCs/>
          <w:lang w:eastAsia="de-DE"/>
        </w:rPr>
        <w:t>neidisch</w:t>
      </w:r>
      <w:r w:rsidRPr="00FE7F02">
        <w:rPr>
          <w:rFonts w:eastAsia="Times New Roman" w:cs="Times New Roman"/>
          <w:lang w:eastAsia="de-DE"/>
        </w:rPr>
        <w:t xml:space="preserve"> auf die Gottlosen (V. 2-14), weil sie </w:t>
      </w:r>
      <w:r w:rsidRPr="00FE7F02">
        <w:rPr>
          <w:rFonts w:eastAsia="Times New Roman" w:cs="Times New Roman"/>
          <w:b/>
          <w:bCs/>
          <w:lang w:eastAsia="de-DE"/>
        </w:rPr>
        <w:t>Wohlstand</w:t>
      </w:r>
      <w:r w:rsidRPr="00FE7F02">
        <w:rPr>
          <w:rFonts w:eastAsia="Times New Roman" w:cs="Times New Roman"/>
          <w:lang w:eastAsia="de-DE"/>
        </w:rPr>
        <w:t xml:space="preserve"> haben (V. 3-12). Dann kommt die </w:t>
      </w:r>
      <w:r w:rsidRPr="00FE7F02">
        <w:rPr>
          <w:rFonts w:eastAsia="Times New Roman" w:cs="Times New Roman"/>
          <w:b/>
          <w:bCs/>
          <w:lang w:eastAsia="de-DE"/>
        </w:rPr>
        <w:t>Wende</w:t>
      </w:r>
      <w:r w:rsidRPr="00FE7F02">
        <w:rPr>
          <w:rFonts w:eastAsia="Times New Roman" w:cs="Times New Roman"/>
          <w:lang w:eastAsia="de-DE"/>
        </w:rPr>
        <w:t xml:space="preserve"> im Heiligtum (V. 17):</w:t>
      </w:r>
    </w:p>
    <w:p w14:paraId="094F2227"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Hebräisch (V. 25-26):</w:t>
      </w:r>
    </w:p>
    <w:p w14:paraId="3BDDEB7D" w14:textId="77777777" w:rsidR="00FE7F02" w:rsidRPr="00FE7F02" w:rsidRDefault="00FE7F02" w:rsidP="00FE7F02">
      <w:pPr>
        <w:spacing w:beforeAutospacing="1" w:after="100" w:afterAutospacing="1" w:line="240" w:lineRule="auto"/>
        <w:rPr>
          <w:rFonts w:eastAsia="Times New Roman" w:cs="Times New Roman"/>
          <w:lang w:eastAsia="de-DE"/>
        </w:rPr>
      </w:pPr>
      <w:r w:rsidRPr="00FE7F02">
        <w:rPr>
          <w:rFonts w:eastAsia="Times New Roman" w:cs="Times New Roman"/>
          <w:rtl/>
          <w:lang w:eastAsia="de-DE"/>
        </w:rPr>
        <w:t xml:space="preserve">מִי־לִי בַשָּׁמָיִם וְעִמְּךָ </w:t>
      </w:r>
      <w:r w:rsidRPr="00FE7F02">
        <w:rPr>
          <w:rFonts w:eastAsia="Times New Roman" w:cs="Times New Roman"/>
          <w:b/>
          <w:bCs/>
          <w:rtl/>
          <w:lang w:eastAsia="de-DE"/>
        </w:rPr>
        <w:t>לֹא־חָפַצְתִּי בָאָרֶץ</w:t>
      </w:r>
      <w:r w:rsidRPr="00FE7F02">
        <w:rPr>
          <w:rFonts w:eastAsia="Times New Roman" w:cs="Times New Roman"/>
          <w:rtl/>
          <w:lang w:eastAsia="de-DE"/>
        </w:rPr>
        <w:t>׃</w:t>
      </w:r>
      <w:r w:rsidRPr="00FE7F02">
        <w:rPr>
          <w:rFonts w:eastAsia="Times New Roman" w:cs="Times New Roman"/>
          <w:lang w:eastAsia="de-DE"/>
        </w:rPr>
        <w:br/>
      </w:r>
      <w:r w:rsidRPr="00FE7F02">
        <w:rPr>
          <w:rFonts w:eastAsia="Times New Roman" w:cs="Times New Roman"/>
          <w:rtl/>
          <w:lang w:eastAsia="de-DE"/>
        </w:rPr>
        <w:t xml:space="preserve">כָּלָה שְׁאֵרִי וּלְבָבִי </w:t>
      </w:r>
      <w:r w:rsidRPr="00FE7F02">
        <w:rPr>
          <w:rFonts w:eastAsia="Times New Roman" w:cs="Times New Roman"/>
          <w:b/>
          <w:bCs/>
          <w:rtl/>
          <w:lang w:eastAsia="de-DE"/>
        </w:rPr>
        <w:t>צוּר־לְבָבִי וְחֶלְקִי</w:t>
      </w:r>
      <w:r w:rsidRPr="00FE7F02">
        <w:rPr>
          <w:rFonts w:eastAsia="Times New Roman" w:cs="Times New Roman"/>
          <w:rtl/>
          <w:lang w:eastAsia="de-DE"/>
        </w:rPr>
        <w:t xml:space="preserve"> אֱלֹהִים לְעוֹלָם׃</w:t>
      </w:r>
    </w:p>
    <w:p w14:paraId="4B9FF287"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"Wen habe ich im Himmel? Und neben dir </w:t>
      </w:r>
      <w:r w:rsidRPr="00FE7F02">
        <w:rPr>
          <w:rFonts w:eastAsia="Times New Roman" w:cs="Times New Roman"/>
          <w:b/>
          <w:bCs/>
          <w:lang w:eastAsia="de-DE"/>
        </w:rPr>
        <w:t>habe ich an nichts Gefallen auf Erden</w:t>
      </w:r>
      <w:r w:rsidRPr="00FE7F02">
        <w:rPr>
          <w:rFonts w:eastAsia="Times New Roman" w:cs="Times New Roman"/>
          <w:lang w:eastAsia="de-DE"/>
        </w:rPr>
        <w:t>.</w:t>
      </w:r>
      <w:r w:rsidRPr="00FE7F02">
        <w:rPr>
          <w:rFonts w:eastAsia="Times New Roman" w:cs="Times New Roman"/>
          <w:lang w:eastAsia="de-DE"/>
        </w:rPr>
        <w:br/>
        <w:t xml:space="preserve">Mag auch mein Leib und mein Herz verschmachten – </w:t>
      </w:r>
      <w:r w:rsidRPr="00FE7F02">
        <w:rPr>
          <w:rFonts w:eastAsia="Times New Roman" w:cs="Times New Roman"/>
          <w:b/>
          <w:bCs/>
          <w:lang w:eastAsia="de-DE"/>
        </w:rPr>
        <w:t>meines Herzens Fels und mein Teil</w:t>
      </w:r>
      <w:r w:rsidRPr="00FE7F02">
        <w:rPr>
          <w:rFonts w:eastAsia="Times New Roman" w:cs="Times New Roman"/>
          <w:lang w:eastAsia="de-DE"/>
        </w:rPr>
        <w:t xml:space="preserve"> ist Gott auf ewig!"</w:t>
      </w:r>
    </w:p>
    <w:p w14:paraId="5227EFE5" w14:textId="67065378" w:rsidR="00FE7F02" w:rsidRDefault="00FE7F02" w:rsidP="00FE7F02">
      <w:pPr>
        <w:spacing w:before="100" w:beforeAutospacing="1" w:after="100" w:afterAutospacing="1" w:line="240" w:lineRule="auto"/>
        <w:rPr>
          <w:rFonts w:eastAsia="Times New Roman" w:cs="Times New Roman"/>
          <w:b/>
          <w:bCs/>
          <w:lang w:eastAsia="de-DE"/>
        </w:rPr>
      </w:pPr>
      <w:r w:rsidRPr="00FE7F02">
        <w:rPr>
          <w:rFonts w:eastAsia="Times New Roman" w:cs="Times New Roman"/>
          <w:b/>
          <w:bCs/>
          <w:lang w:eastAsia="de-DE"/>
        </w:rPr>
        <w:lastRenderedPageBreak/>
        <w:t>Die Parallele:</w:t>
      </w:r>
    </w:p>
    <w:tbl>
      <w:tblPr>
        <w:tblStyle w:val="Tabellenraster"/>
        <w:tblW w:w="4994" w:type="pct"/>
        <w:tblLook w:val="04A0" w:firstRow="1" w:lastRow="0" w:firstColumn="1" w:lastColumn="0" w:noHBand="0" w:noVBand="1"/>
      </w:tblPr>
      <w:tblGrid>
        <w:gridCol w:w="4525"/>
        <w:gridCol w:w="4526"/>
      </w:tblGrid>
      <w:tr w:rsidR="00FE7F02" w14:paraId="61BD6436" w14:textId="77777777" w:rsidTr="002879B6">
        <w:tc>
          <w:tcPr>
            <w:tcW w:w="2500" w:type="pct"/>
            <w:vAlign w:val="center"/>
          </w:tcPr>
          <w:p w14:paraId="39A177C0" w14:textId="0C59A776"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Numeri 18,20 (Aaron)</w:t>
            </w:r>
          </w:p>
        </w:tc>
        <w:tc>
          <w:tcPr>
            <w:tcW w:w="2500" w:type="pct"/>
            <w:vAlign w:val="center"/>
          </w:tcPr>
          <w:p w14:paraId="027BC83C" w14:textId="667A0DF1"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Psalm 73,26 (Asaph)</w:t>
            </w:r>
          </w:p>
        </w:tc>
      </w:tr>
      <w:tr w:rsidR="00FE7F02" w14:paraId="6E48DFDE" w14:textId="77777777" w:rsidTr="00154F54">
        <w:tc>
          <w:tcPr>
            <w:tcW w:w="2500" w:type="pct"/>
            <w:vAlign w:val="center"/>
          </w:tcPr>
          <w:p w14:paraId="39BA5139" w14:textId="15631EFE"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rtl/>
                <w:lang w:eastAsia="de-DE"/>
              </w:rPr>
              <w:t xml:space="preserve">אֲנִי </w:t>
            </w:r>
            <w:r w:rsidRPr="00FE7F02">
              <w:rPr>
                <w:rFonts w:eastAsia="Times New Roman" w:cs="Times New Roman"/>
                <w:b/>
                <w:bCs/>
                <w:rtl/>
                <w:lang w:eastAsia="de-DE"/>
              </w:rPr>
              <w:t>חֶלְקְךָ</w:t>
            </w:r>
          </w:p>
        </w:tc>
        <w:tc>
          <w:tcPr>
            <w:tcW w:w="2500" w:type="pct"/>
            <w:vAlign w:val="center"/>
          </w:tcPr>
          <w:p w14:paraId="3BCACDE0" w14:textId="16A8AA20"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b/>
                <w:bCs/>
                <w:rtl/>
                <w:lang w:eastAsia="de-DE"/>
              </w:rPr>
              <w:t>חֶלְקִי</w:t>
            </w:r>
            <w:r w:rsidRPr="00FE7F02">
              <w:rPr>
                <w:rFonts w:eastAsia="Times New Roman" w:cs="Times New Roman"/>
                <w:rtl/>
                <w:lang w:eastAsia="de-DE"/>
              </w:rPr>
              <w:t xml:space="preserve"> אֱלֹהִים</w:t>
            </w:r>
          </w:p>
        </w:tc>
      </w:tr>
      <w:tr w:rsidR="00FE7F02" w14:paraId="5DEF7CFD" w14:textId="77777777" w:rsidTr="00154F54">
        <w:tc>
          <w:tcPr>
            <w:tcW w:w="2500" w:type="pct"/>
            <w:vAlign w:val="center"/>
          </w:tcPr>
          <w:p w14:paraId="7CC12B26" w14:textId="5F935BC6"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rtl/>
                <w:lang w:eastAsia="de-DE"/>
              </w:rPr>
              <w:t xml:space="preserve">אֲנִי </w:t>
            </w:r>
            <w:r w:rsidRPr="00FE7F02">
              <w:rPr>
                <w:rFonts w:eastAsia="Times New Roman" w:cs="Times New Roman"/>
                <w:b/>
                <w:bCs/>
                <w:rtl/>
                <w:lang w:eastAsia="de-DE"/>
              </w:rPr>
              <w:t>נַחֲלָתְךָ</w:t>
            </w:r>
          </w:p>
        </w:tc>
        <w:tc>
          <w:tcPr>
            <w:tcW w:w="2500" w:type="pct"/>
            <w:vAlign w:val="center"/>
          </w:tcPr>
          <w:p w14:paraId="19A15967" w14:textId="3334A614"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lang w:eastAsia="de-DE"/>
              </w:rPr>
              <w:t>(impliziert)</w:t>
            </w:r>
          </w:p>
        </w:tc>
      </w:tr>
      <w:tr w:rsidR="00FE7F02" w14:paraId="2F89C8DD" w14:textId="77777777" w:rsidTr="00154F54">
        <w:tc>
          <w:tcPr>
            <w:tcW w:w="2500" w:type="pct"/>
            <w:vAlign w:val="center"/>
          </w:tcPr>
          <w:p w14:paraId="479AD512" w14:textId="05D41D5E"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rtl/>
                <w:lang w:eastAsia="de-DE"/>
              </w:rPr>
              <w:t xml:space="preserve">בְּאַרְצָם </w:t>
            </w:r>
            <w:r w:rsidRPr="00FE7F02">
              <w:rPr>
                <w:rFonts w:eastAsia="Times New Roman" w:cs="Times New Roman"/>
                <w:b/>
                <w:bCs/>
                <w:rtl/>
                <w:lang w:eastAsia="de-DE"/>
              </w:rPr>
              <w:t>לֹא תִנְחָל</w:t>
            </w:r>
            <w:r w:rsidRPr="00FE7F02">
              <w:rPr>
                <w:rFonts w:eastAsia="Times New Roman" w:cs="Times New Roman"/>
                <w:rtl/>
                <w:lang w:eastAsia="de-DE"/>
              </w:rPr>
              <w:t xml:space="preserve"> </w:t>
            </w:r>
            <w:r w:rsidRPr="00FE7F02">
              <w:rPr>
                <w:rFonts w:eastAsia="Times New Roman" w:cs="Times New Roman"/>
                <w:lang w:eastAsia="de-DE"/>
              </w:rPr>
              <w:t>(kein Land!)</w:t>
            </w:r>
          </w:p>
        </w:tc>
        <w:tc>
          <w:tcPr>
            <w:tcW w:w="2500" w:type="pct"/>
            <w:vAlign w:val="center"/>
          </w:tcPr>
          <w:p w14:paraId="19ECE13E" w14:textId="3577594B"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b/>
                <w:bCs/>
                <w:rtl/>
                <w:lang w:eastAsia="de-DE"/>
              </w:rPr>
              <w:t>לֹא־חָפַצְתִּי בָאָרֶץ</w:t>
            </w:r>
            <w:r w:rsidRPr="00FE7F02">
              <w:rPr>
                <w:rFonts w:eastAsia="Times New Roman" w:cs="Times New Roman"/>
                <w:rtl/>
                <w:lang w:eastAsia="de-DE"/>
              </w:rPr>
              <w:t xml:space="preserve"> </w:t>
            </w:r>
            <w:r w:rsidRPr="00FE7F02">
              <w:rPr>
                <w:rFonts w:eastAsia="Times New Roman" w:cs="Times New Roman"/>
                <w:lang w:eastAsia="de-DE"/>
              </w:rPr>
              <w:t>(kein Begehren nach Erde!)</w:t>
            </w:r>
          </w:p>
        </w:tc>
      </w:tr>
    </w:tbl>
    <w:p w14:paraId="258FEB75"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 Asaph, der Levit, erkennt: Gott allein genügt – selbst wenn der Körper verschmachtet!</w:t>
      </w:r>
    </w:p>
    <w:p w14:paraId="1D489C1B" w14:textId="2EFE432C" w:rsidR="00FE7F02" w:rsidRDefault="00FE7F02" w:rsidP="00FE7F02">
      <w:pPr>
        <w:spacing w:before="100" w:beforeAutospacing="1" w:after="100" w:afterAutospacing="1" w:line="240" w:lineRule="auto"/>
        <w:rPr>
          <w:rFonts w:eastAsia="Times New Roman" w:cs="Times New Roman"/>
          <w:b/>
          <w:bCs/>
          <w:lang w:eastAsia="de-DE"/>
        </w:rPr>
      </w:pPr>
      <w:r w:rsidRPr="00FE7F02">
        <w:rPr>
          <w:rFonts w:eastAsia="Times New Roman" w:cs="Times New Roman"/>
          <w:b/>
          <w:bCs/>
          <w:lang w:eastAsia="de-DE"/>
        </w:rPr>
        <w:t>Theologische Progression:</w:t>
      </w:r>
    </w:p>
    <w:tbl>
      <w:tblPr>
        <w:tblStyle w:val="Tabellenraster"/>
        <w:tblW w:w="4994" w:type="pct"/>
        <w:tblLook w:val="04A0" w:firstRow="1" w:lastRow="0" w:firstColumn="1" w:lastColumn="0" w:noHBand="0" w:noVBand="1"/>
      </w:tblPr>
      <w:tblGrid>
        <w:gridCol w:w="2251"/>
        <w:gridCol w:w="1029"/>
        <w:gridCol w:w="2527"/>
        <w:gridCol w:w="3244"/>
      </w:tblGrid>
      <w:tr w:rsidR="00FE7F02" w14:paraId="1DA690BA" w14:textId="77777777" w:rsidTr="00FE7F02">
        <w:tc>
          <w:tcPr>
            <w:tcW w:w="1244" w:type="pct"/>
            <w:vAlign w:val="center"/>
          </w:tcPr>
          <w:p w14:paraId="5C21EF66" w14:textId="45EA99F1"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Person</w:t>
            </w:r>
          </w:p>
        </w:tc>
        <w:tc>
          <w:tcPr>
            <w:tcW w:w="568" w:type="pct"/>
            <w:vAlign w:val="center"/>
          </w:tcPr>
          <w:p w14:paraId="1CEA0781" w14:textId="54207AA2"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Status</w:t>
            </w:r>
          </w:p>
        </w:tc>
        <w:tc>
          <w:tcPr>
            <w:tcW w:w="1396" w:type="pct"/>
            <w:vAlign w:val="center"/>
          </w:tcPr>
          <w:p w14:paraId="592EA578" w14:textId="7D0D68A6"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Erbe</w:t>
            </w:r>
          </w:p>
        </w:tc>
        <w:tc>
          <w:tcPr>
            <w:tcW w:w="1792" w:type="pct"/>
            <w:vAlign w:val="center"/>
          </w:tcPr>
          <w:p w14:paraId="6D8EE2FA" w14:textId="0674934E"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Bedeutung</w:t>
            </w:r>
          </w:p>
        </w:tc>
      </w:tr>
      <w:tr w:rsidR="00FE7F02" w14:paraId="202C6B4E" w14:textId="77777777" w:rsidTr="00FE7F02">
        <w:tc>
          <w:tcPr>
            <w:tcW w:w="1244" w:type="pct"/>
            <w:vAlign w:val="center"/>
          </w:tcPr>
          <w:p w14:paraId="1A0AE572" w14:textId="3AF8F775"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Aaron</w:t>
            </w:r>
            <w:r w:rsidRPr="00FE7F02">
              <w:rPr>
                <w:rFonts w:eastAsia="Times New Roman" w:cs="Times New Roman"/>
                <w:lang w:eastAsia="de-DE"/>
              </w:rPr>
              <w:t xml:space="preserve"> (Num 18,20)</w:t>
            </w:r>
          </w:p>
        </w:tc>
        <w:tc>
          <w:tcPr>
            <w:tcW w:w="568" w:type="pct"/>
            <w:vAlign w:val="center"/>
          </w:tcPr>
          <w:p w14:paraId="2F1110E5" w14:textId="7C3A2069"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Priester</w:t>
            </w:r>
          </w:p>
        </w:tc>
        <w:tc>
          <w:tcPr>
            <w:tcW w:w="1396" w:type="pct"/>
            <w:vAlign w:val="center"/>
          </w:tcPr>
          <w:p w14:paraId="3CC1E9CC" w14:textId="5CFA6556"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Muss</w:t>
            </w:r>
            <w:r w:rsidRPr="00FE7F02">
              <w:rPr>
                <w:rFonts w:eastAsia="Times New Roman" w:cs="Times New Roman"/>
                <w:lang w:eastAsia="de-DE"/>
              </w:rPr>
              <w:t xml:space="preserve"> ohne Land leben</w:t>
            </w:r>
          </w:p>
        </w:tc>
        <w:tc>
          <w:tcPr>
            <w:tcW w:w="1792" w:type="pct"/>
            <w:vAlign w:val="center"/>
          </w:tcPr>
          <w:p w14:paraId="76331152" w14:textId="0D0E8490"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Pflicht</w:t>
            </w:r>
            <w:r w:rsidRPr="00FE7F02">
              <w:rPr>
                <w:rFonts w:eastAsia="Times New Roman" w:cs="Times New Roman"/>
                <w:lang w:eastAsia="de-DE"/>
              </w:rPr>
              <w:t xml:space="preserve"> (Gott als Kompensation)</w:t>
            </w:r>
          </w:p>
        </w:tc>
      </w:tr>
      <w:tr w:rsidR="00FE7F02" w14:paraId="14DF97FE" w14:textId="77777777" w:rsidTr="00FE7F02">
        <w:tc>
          <w:tcPr>
            <w:tcW w:w="1244" w:type="pct"/>
            <w:vAlign w:val="center"/>
          </w:tcPr>
          <w:p w14:paraId="631D5431" w14:textId="01004682"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David</w:t>
            </w:r>
            <w:r w:rsidRPr="00FE7F02">
              <w:rPr>
                <w:rFonts w:eastAsia="Times New Roman" w:cs="Times New Roman"/>
                <w:lang w:eastAsia="de-DE"/>
              </w:rPr>
              <w:t xml:space="preserve"> (Ps 16,5)</w:t>
            </w:r>
          </w:p>
        </w:tc>
        <w:tc>
          <w:tcPr>
            <w:tcW w:w="568" w:type="pct"/>
            <w:vAlign w:val="center"/>
          </w:tcPr>
          <w:p w14:paraId="7733D93A" w14:textId="029D9391"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König</w:t>
            </w:r>
          </w:p>
        </w:tc>
        <w:tc>
          <w:tcPr>
            <w:tcW w:w="1396" w:type="pct"/>
            <w:vAlign w:val="center"/>
          </w:tcPr>
          <w:p w14:paraId="1B2188D3" w14:textId="7232C6D7"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Könnte</w:t>
            </w:r>
            <w:r w:rsidRPr="00FE7F02">
              <w:rPr>
                <w:rFonts w:eastAsia="Times New Roman" w:cs="Times New Roman"/>
                <w:lang w:eastAsia="de-DE"/>
              </w:rPr>
              <w:t xml:space="preserve"> Land haben</w:t>
            </w:r>
          </w:p>
        </w:tc>
        <w:tc>
          <w:tcPr>
            <w:tcW w:w="1792" w:type="pct"/>
            <w:vAlign w:val="center"/>
          </w:tcPr>
          <w:p w14:paraId="708AB8C7" w14:textId="21030F0B"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Wahl</w:t>
            </w:r>
            <w:r w:rsidRPr="00FE7F02">
              <w:rPr>
                <w:rFonts w:eastAsia="Times New Roman" w:cs="Times New Roman"/>
                <w:lang w:eastAsia="de-DE"/>
              </w:rPr>
              <w:t xml:space="preserve"> (Gott ist besser!)</w:t>
            </w:r>
          </w:p>
        </w:tc>
      </w:tr>
      <w:tr w:rsidR="00FE7F02" w14:paraId="384982B0" w14:textId="77777777" w:rsidTr="00FE7F02">
        <w:tc>
          <w:tcPr>
            <w:tcW w:w="1244" w:type="pct"/>
            <w:vAlign w:val="center"/>
          </w:tcPr>
          <w:p w14:paraId="60D69BC0" w14:textId="0D64D791"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Asaph</w:t>
            </w:r>
            <w:r w:rsidRPr="00FE7F02">
              <w:rPr>
                <w:rFonts w:eastAsia="Times New Roman" w:cs="Times New Roman"/>
                <w:lang w:eastAsia="de-DE"/>
              </w:rPr>
              <w:t xml:space="preserve"> (Ps 73,26)</w:t>
            </w:r>
          </w:p>
        </w:tc>
        <w:tc>
          <w:tcPr>
            <w:tcW w:w="568" w:type="pct"/>
            <w:vAlign w:val="center"/>
          </w:tcPr>
          <w:p w14:paraId="24220299" w14:textId="70AE7C7C"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Levit</w:t>
            </w:r>
          </w:p>
        </w:tc>
        <w:tc>
          <w:tcPr>
            <w:tcW w:w="1396" w:type="pct"/>
            <w:vAlign w:val="center"/>
          </w:tcPr>
          <w:p w14:paraId="47CA65FF" w14:textId="70EAA4B1"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Hat</w:t>
            </w:r>
            <w:r w:rsidRPr="00FE7F02">
              <w:rPr>
                <w:rFonts w:eastAsia="Times New Roman" w:cs="Times New Roman"/>
                <w:lang w:eastAsia="de-DE"/>
              </w:rPr>
              <w:t xml:space="preserve"> kein Land</w:t>
            </w:r>
          </w:p>
        </w:tc>
        <w:tc>
          <w:tcPr>
            <w:tcW w:w="1792" w:type="pct"/>
            <w:vAlign w:val="center"/>
          </w:tcPr>
          <w:p w14:paraId="3AB7CD3D" w14:textId="74BD200B"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Überzeugung</w:t>
            </w:r>
            <w:r w:rsidRPr="00FE7F02">
              <w:rPr>
                <w:rFonts w:eastAsia="Times New Roman" w:cs="Times New Roman"/>
                <w:lang w:eastAsia="de-DE"/>
              </w:rPr>
              <w:t xml:space="preserve"> (Gott genügt!)</w:t>
            </w:r>
          </w:p>
        </w:tc>
      </w:tr>
    </w:tbl>
    <w:p w14:paraId="62D27FC7"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 Von Pflicht (Aaron) über Wahl (David) zu Überzeugung (Asaph)!</w:t>
      </w:r>
    </w:p>
    <w:p w14:paraId="407CE17D" w14:textId="77777777" w:rsidR="00FE7F02" w:rsidRPr="00FE7F02" w:rsidRDefault="00F329DD" w:rsidP="00FE7F02">
      <w:pPr>
        <w:spacing w:after="0" w:line="240" w:lineRule="auto"/>
        <w:rPr>
          <w:rFonts w:eastAsia="Times New Roman" w:cs="Times New Roman"/>
          <w:lang w:eastAsia="de-DE"/>
        </w:rPr>
      </w:pPr>
      <w:r>
        <w:rPr>
          <w:rFonts w:eastAsia="Times New Roman" w:cs="Times New Roman"/>
          <w:lang w:eastAsia="de-DE"/>
        </w:rPr>
        <w:pict w14:anchorId="669FBD2A">
          <v:rect id="_x0000_i1620" style="width:0;height:1.5pt" o:hralign="center" o:hrstd="t" o:hr="t" fillcolor="#a0a0a0" stroked="f"/>
        </w:pict>
      </w:r>
    </w:p>
    <w:p w14:paraId="11E35D57"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3. NT-Parallele: Philipper 3,7-8 – Paulus' "Gewinn-Verlust-Rechnung"</w:t>
      </w:r>
    </w:p>
    <w:p w14:paraId="5A809FC8"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Griechisch:</w:t>
      </w:r>
    </w:p>
    <w:p w14:paraId="137E98F2" w14:textId="77777777" w:rsidR="00FE7F02" w:rsidRPr="00FE7F02" w:rsidRDefault="00FE7F02" w:rsidP="00FE7F02">
      <w:pPr>
        <w:spacing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ἀλλὰ ἅτινα ἦν μοι κέρδη, ταῦτα ἥγημαι διὰ τὸν Χριστὸν ζημίαν. ἀλλὰ μενοῦνγε καὶ </w:t>
      </w:r>
      <w:r w:rsidRPr="00FE7F02">
        <w:rPr>
          <w:rFonts w:eastAsia="Times New Roman" w:cs="Times New Roman"/>
          <w:b/>
          <w:bCs/>
          <w:lang w:eastAsia="de-DE"/>
        </w:rPr>
        <w:t>ἡγοῦμαι πάντα ζημίαν εἶναι</w:t>
      </w:r>
      <w:r w:rsidRPr="00FE7F02">
        <w:rPr>
          <w:rFonts w:eastAsia="Times New Roman" w:cs="Times New Roman"/>
          <w:lang w:eastAsia="de-DE"/>
        </w:rPr>
        <w:t xml:space="preserve"> διὰ τὸ ὑπερέχον τῆς γνώσεως Χριστοῦ Ἰησοῦ τοῦ κυρίου μου, δι' ὃν τὰ πάντα ἐζημιώθην, καὶ </w:t>
      </w:r>
      <w:r w:rsidRPr="00FE7F02">
        <w:rPr>
          <w:rFonts w:eastAsia="Times New Roman" w:cs="Times New Roman"/>
          <w:b/>
          <w:bCs/>
          <w:lang w:eastAsia="de-DE"/>
        </w:rPr>
        <w:t>ἡγοῦμαι σκύβαλα</w:t>
      </w:r>
      <w:r w:rsidRPr="00FE7F02">
        <w:rPr>
          <w:rFonts w:eastAsia="Times New Roman" w:cs="Times New Roman"/>
          <w:lang w:eastAsia="de-DE"/>
        </w:rPr>
        <w:t xml:space="preserve"> ἵνα Χριστὸν κερδήσω</w:t>
      </w:r>
    </w:p>
    <w:p w14:paraId="7ABE34DB"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"Aber was mir </w:t>
      </w:r>
      <w:r w:rsidRPr="00FE7F02">
        <w:rPr>
          <w:rFonts w:eastAsia="Times New Roman" w:cs="Times New Roman"/>
          <w:b/>
          <w:bCs/>
          <w:lang w:eastAsia="de-DE"/>
        </w:rPr>
        <w:t>Gewinn</w:t>
      </w:r>
      <w:r w:rsidRPr="00FE7F02">
        <w:rPr>
          <w:rFonts w:eastAsia="Times New Roman" w:cs="Times New Roman"/>
          <w:lang w:eastAsia="de-DE"/>
        </w:rPr>
        <w:t xml:space="preserve"> war, das habe ich um Christi willen für </w:t>
      </w:r>
      <w:r w:rsidRPr="00FE7F02">
        <w:rPr>
          <w:rFonts w:eastAsia="Times New Roman" w:cs="Times New Roman"/>
          <w:b/>
          <w:bCs/>
          <w:lang w:eastAsia="de-DE"/>
        </w:rPr>
        <w:t>Schaden</w:t>
      </w:r>
      <w:r w:rsidRPr="00FE7F02">
        <w:rPr>
          <w:rFonts w:eastAsia="Times New Roman" w:cs="Times New Roman"/>
          <w:lang w:eastAsia="de-DE"/>
        </w:rPr>
        <w:t xml:space="preserve"> geachtet. Ja, ich achte auch </w:t>
      </w:r>
      <w:r w:rsidRPr="00FE7F02">
        <w:rPr>
          <w:rFonts w:eastAsia="Times New Roman" w:cs="Times New Roman"/>
          <w:b/>
          <w:bCs/>
          <w:lang w:eastAsia="de-DE"/>
        </w:rPr>
        <w:t>alles für Schaden</w:t>
      </w:r>
      <w:r w:rsidRPr="00FE7F02">
        <w:rPr>
          <w:rFonts w:eastAsia="Times New Roman" w:cs="Times New Roman"/>
          <w:lang w:eastAsia="de-DE"/>
        </w:rPr>
        <w:t xml:space="preserve"> gegenüber der überschwänglichen Erkenntnis Christi Jesu, meines Herrn, um dessentwillen ich alles eingebüßt habe und achte es für </w:t>
      </w:r>
      <w:r w:rsidRPr="00FE7F02">
        <w:rPr>
          <w:rFonts w:eastAsia="Times New Roman" w:cs="Times New Roman"/>
          <w:b/>
          <w:bCs/>
          <w:lang w:eastAsia="de-DE"/>
        </w:rPr>
        <w:t>Dreck</w:t>
      </w:r>
      <w:r w:rsidRPr="00FE7F02">
        <w:rPr>
          <w:rFonts w:eastAsia="Times New Roman" w:cs="Times New Roman"/>
          <w:lang w:eastAsia="de-DE"/>
        </w:rPr>
        <w:t xml:space="preserve"> (σκύβαλα!), damit ich Christus gewinne"</w:t>
      </w:r>
    </w:p>
    <w:p w14:paraId="6DFEB78F" w14:textId="276F906A" w:rsidR="00FE7F02" w:rsidRDefault="00FE7F02" w:rsidP="00FE7F02">
      <w:pPr>
        <w:spacing w:before="100" w:beforeAutospacing="1" w:after="100" w:afterAutospacing="1" w:line="240" w:lineRule="auto"/>
        <w:rPr>
          <w:rFonts w:eastAsia="Times New Roman" w:cs="Times New Roman"/>
          <w:b/>
          <w:bCs/>
          <w:lang w:eastAsia="de-DE"/>
        </w:rPr>
      </w:pPr>
      <w:r w:rsidRPr="00FE7F02">
        <w:rPr>
          <w:rFonts w:eastAsia="Times New Roman" w:cs="Times New Roman"/>
          <w:b/>
          <w:bCs/>
          <w:lang w:eastAsia="de-DE"/>
        </w:rPr>
        <w:t>Die Parallele:</w:t>
      </w:r>
    </w:p>
    <w:tbl>
      <w:tblPr>
        <w:tblStyle w:val="Tabellenraster"/>
        <w:tblW w:w="4994" w:type="pct"/>
        <w:tblLook w:val="04A0" w:firstRow="1" w:lastRow="0" w:firstColumn="1" w:lastColumn="0" w:noHBand="0" w:noVBand="1"/>
      </w:tblPr>
      <w:tblGrid>
        <w:gridCol w:w="4106"/>
        <w:gridCol w:w="4945"/>
      </w:tblGrid>
      <w:tr w:rsidR="00FE7F02" w14:paraId="1F0F8717" w14:textId="77777777" w:rsidTr="00FE7F02">
        <w:tc>
          <w:tcPr>
            <w:tcW w:w="2268" w:type="pct"/>
            <w:vAlign w:val="center"/>
          </w:tcPr>
          <w:p w14:paraId="67E88E18" w14:textId="297396A9"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AT: Priester verzichten auf Land</w:t>
            </w:r>
          </w:p>
        </w:tc>
        <w:tc>
          <w:tcPr>
            <w:tcW w:w="2732" w:type="pct"/>
            <w:vAlign w:val="center"/>
          </w:tcPr>
          <w:p w14:paraId="5FA02DF2" w14:textId="5267AA42"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NT: Paulus verzichtet auf alles</w:t>
            </w:r>
          </w:p>
        </w:tc>
      </w:tr>
      <w:tr w:rsidR="00FE7F02" w14:paraId="4250A193" w14:textId="77777777" w:rsidTr="00FE7F02">
        <w:tc>
          <w:tcPr>
            <w:tcW w:w="2268" w:type="pct"/>
            <w:vAlign w:val="center"/>
          </w:tcPr>
          <w:p w14:paraId="31BE3F98" w14:textId="4882D8B9"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b/>
                <w:bCs/>
                <w:rtl/>
                <w:lang w:eastAsia="de-DE"/>
              </w:rPr>
              <w:t>בְּאַרְצָם לֹא תִנְחָל</w:t>
            </w:r>
            <w:r w:rsidRPr="00FE7F02">
              <w:rPr>
                <w:rFonts w:eastAsia="Times New Roman" w:cs="Times New Roman"/>
                <w:rtl/>
                <w:lang w:eastAsia="de-DE"/>
              </w:rPr>
              <w:t xml:space="preserve"> </w:t>
            </w:r>
            <w:r w:rsidRPr="00FE7F02">
              <w:rPr>
                <w:rFonts w:eastAsia="Times New Roman" w:cs="Times New Roman"/>
                <w:lang w:eastAsia="de-DE"/>
              </w:rPr>
              <w:t>(kein Land)</w:t>
            </w:r>
          </w:p>
        </w:tc>
        <w:tc>
          <w:tcPr>
            <w:tcW w:w="2732" w:type="pct"/>
            <w:vAlign w:val="center"/>
          </w:tcPr>
          <w:p w14:paraId="6A9A7392" w14:textId="5EC109B2"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b/>
                <w:bCs/>
                <w:lang w:eastAsia="de-DE"/>
              </w:rPr>
              <w:t>τὰ πάντα ἐζημιώθην</w:t>
            </w:r>
            <w:r w:rsidRPr="00FE7F02">
              <w:rPr>
                <w:rFonts w:eastAsia="Times New Roman" w:cs="Times New Roman"/>
                <w:lang w:eastAsia="de-DE"/>
              </w:rPr>
              <w:t xml:space="preserve"> (alles verloren)</w:t>
            </w:r>
          </w:p>
        </w:tc>
      </w:tr>
      <w:tr w:rsidR="00FE7F02" w14:paraId="12C312C5" w14:textId="77777777" w:rsidTr="00FE7F02">
        <w:tc>
          <w:tcPr>
            <w:tcW w:w="2268" w:type="pct"/>
            <w:vAlign w:val="center"/>
          </w:tcPr>
          <w:p w14:paraId="2A534FB5" w14:textId="2E9DDF5C"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b/>
                <w:bCs/>
                <w:rtl/>
                <w:lang w:eastAsia="de-DE"/>
              </w:rPr>
              <w:t>אֲנִי חֶלְקְךָ</w:t>
            </w:r>
            <w:r w:rsidRPr="00FE7F02">
              <w:rPr>
                <w:rFonts w:eastAsia="Times New Roman" w:cs="Times New Roman"/>
                <w:rtl/>
                <w:lang w:eastAsia="de-DE"/>
              </w:rPr>
              <w:t xml:space="preserve"> </w:t>
            </w:r>
            <w:r w:rsidRPr="00FE7F02">
              <w:rPr>
                <w:rFonts w:eastAsia="Times New Roman" w:cs="Times New Roman"/>
                <w:lang w:eastAsia="de-DE"/>
              </w:rPr>
              <w:t>(Gott ist mein Teil)</w:t>
            </w:r>
          </w:p>
        </w:tc>
        <w:tc>
          <w:tcPr>
            <w:tcW w:w="2732" w:type="pct"/>
            <w:vAlign w:val="center"/>
          </w:tcPr>
          <w:p w14:paraId="59259B49" w14:textId="798EA343"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b/>
                <w:bCs/>
                <w:lang w:eastAsia="de-DE"/>
              </w:rPr>
              <w:t>ἵνα Χριστὸν κερδήσω</w:t>
            </w:r>
            <w:r w:rsidRPr="00FE7F02">
              <w:rPr>
                <w:rFonts w:eastAsia="Times New Roman" w:cs="Times New Roman"/>
                <w:lang w:eastAsia="de-DE"/>
              </w:rPr>
              <w:t xml:space="preserve"> (damit ich Christus gewinne)</w:t>
            </w:r>
          </w:p>
        </w:tc>
      </w:tr>
      <w:tr w:rsidR="00FE7F02" w14:paraId="3465088E" w14:textId="77777777" w:rsidTr="00FE7F02">
        <w:tc>
          <w:tcPr>
            <w:tcW w:w="2268" w:type="pct"/>
            <w:vAlign w:val="center"/>
          </w:tcPr>
          <w:p w14:paraId="60B3BB79" w14:textId="701A2F2F"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b/>
                <w:bCs/>
                <w:rtl/>
                <w:lang w:eastAsia="de-DE"/>
              </w:rPr>
              <w:t>נַחֲלָה</w:t>
            </w:r>
            <w:r w:rsidRPr="00FE7F02">
              <w:rPr>
                <w:rFonts w:eastAsia="Times New Roman" w:cs="Times New Roman"/>
                <w:rtl/>
                <w:lang w:eastAsia="de-DE"/>
              </w:rPr>
              <w:t xml:space="preserve"> </w:t>
            </w:r>
            <w:r w:rsidRPr="00FE7F02">
              <w:rPr>
                <w:rFonts w:eastAsia="Times New Roman" w:cs="Times New Roman"/>
                <w:lang w:eastAsia="de-DE"/>
              </w:rPr>
              <w:t>= Erbe</w:t>
            </w:r>
          </w:p>
        </w:tc>
        <w:tc>
          <w:tcPr>
            <w:tcW w:w="2732" w:type="pct"/>
            <w:vAlign w:val="center"/>
          </w:tcPr>
          <w:p w14:paraId="6A2BFBBA" w14:textId="37910301" w:rsidR="00FE7F02" w:rsidRDefault="00FE7F02" w:rsidP="00FE7F02">
            <w:pPr>
              <w:spacing w:before="100" w:beforeAutospacing="1" w:after="100" w:afterAutospacing="1" w:line="240" w:lineRule="auto"/>
              <w:jc w:val="right"/>
              <w:rPr>
                <w:rFonts w:eastAsia="Times New Roman" w:cs="Times New Roman"/>
                <w:lang w:eastAsia="de-DE"/>
              </w:rPr>
            </w:pPr>
            <w:r w:rsidRPr="00FE7F02">
              <w:rPr>
                <w:rFonts w:eastAsia="Times New Roman" w:cs="Times New Roman"/>
                <w:b/>
                <w:bCs/>
                <w:lang w:eastAsia="de-DE"/>
              </w:rPr>
              <w:t>κερδήσω</w:t>
            </w:r>
            <w:r w:rsidRPr="00FE7F02">
              <w:rPr>
                <w:rFonts w:eastAsia="Times New Roman" w:cs="Times New Roman"/>
                <w:lang w:eastAsia="de-DE"/>
              </w:rPr>
              <w:t xml:space="preserve"> = Gewinn</w:t>
            </w:r>
          </w:p>
        </w:tc>
      </w:tr>
    </w:tbl>
    <w:p w14:paraId="0F4EDAED"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 Paulus spricht wie ein Priester: Christus statt alles andere!</w:t>
      </w:r>
    </w:p>
    <w:p w14:paraId="5F3169B9" w14:textId="77777777" w:rsidR="00FE7F02" w:rsidRPr="00FE7F02" w:rsidRDefault="00F329DD" w:rsidP="00FE7F02">
      <w:pPr>
        <w:spacing w:after="0" w:line="240" w:lineRule="auto"/>
        <w:rPr>
          <w:rFonts w:eastAsia="Times New Roman" w:cs="Times New Roman"/>
          <w:lang w:eastAsia="de-DE"/>
        </w:rPr>
      </w:pPr>
      <w:r>
        <w:rPr>
          <w:rFonts w:eastAsia="Times New Roman" w:cs="Times New Roman"/>
          <w:lang w:eastAsia="de-DE"/>
        </w:rPr>
        <w:pict w14:anchorId="1928D3F2">
          <v:rect id="_x0000_i1621" style="width:0;height:1.5pt" o:hralign="center" o:hrstd="t" o:hr="t" fillcolor="#a0a0a0" stroked="f"/>
        </w:pict>
      </w:r>
    </w:p>
    <w:p w14:paraId="05B1BDD2"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4. Hebräer 13,14 – "Wir haben hier keine bleibende Stadt"</w:t>
      </w:r>
    </w:p>
    <w:p w14:paraId="0ECBCC14"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lastRenderedPageBreak/>
        <w:t>Griechisch:</w:t>
      </w:r>
    </w:p>
    <w:p w14:paraId="3B60C3E1" w14:textId="77777777" w:rsidR="00FE7F02" w:rsidRPr="00FE7F02" w:rsidRDefault="00FE7F02" w:rsidP="00FE7F02">
      <w:pPr>
        <w:spacing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οὐ γὰρ </w:t>
      </w:r>
      <w:r w:rsidRPr="00FE7F02">
        <w:rPr>
          <w:rFonts w:eastAsia="Times New Roman" w:cs="Times New Roman"/>
          <w:b/>
          <w:bCs/>
          <w:lang w:eastAsia="de-DE"/>
        </w:rPr>
        <w:t>ἔχομεν ὧδε μένουσαν πόλιν</w:t>
      </w:r>
      <w:r w:rsidRPr="00FE7F02">
        <w:rPr>
          <w:rFonts w:eastAsia="Times New Roman" w:cs="Times New Roman"/>
          <w:lang w:eastAsia="de-DE"/>
        </w:rPr>
        <w:t xml:space="preserve"> ἀλλὰ τὴν μέλλουσαν </w:t>
      </w:r>
      <w:r w:rsidRPr="00FE7F02">
        <w:rPr>
          <w:rFonts w:eastAsia="Times New Roman" w:cs="Times New Roman"/>
          <w:b/>
          <w:bCs/>
          <w:lang w:eastAsia="de-DE"/>
        </w:rPr>
        <w:t>ἐπιζητοῦμεν</w:t>
      </w:r>
    </w:p>
    <w:p w14:paraId="0A475373"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"Denn </w:t>
      </w:r>
      <w:r w:rsidRPr="00FE7F02">
        <w:rPr>
          <w:rFonts w:eastAsia="Times New Roman" w:cs="Times New Roman"/>
          <w:b/>
          <w:bCs/>
          <w:lang w:eastAsia="de-DE"/>
        </w:rPr>
        <w:t>wir haben hier keine bleibende Stadt</w:t>
      </w:r>
      <w:r w:rsidRPr="00FE7F02">
        <w:rPr>
          <w:rFonts w:eastAsia="Times New Roman" w:cs="Times New Roman"/>
          <w:lang w:eastAsia="de-DE"/>
        </w:rPr>
        <w:t xml:space="preserve">, sondern die zukünftige </w:t>
      </w:r>
      <w:r w:rsidRPr="00FE7F02">
        <w:rPr>
          <w:rFonts w:eastAsia="Times New Roman" w:cs="Times New Roman"/>
          <w:b/>
          <w:bCs/>
          <w:lang w:eastAsia="de-DE"/>
        </w:rPr>
        <w:t>suchen wir</w:t>
      </w:r>
      <w:r w:rsidRPr="00FE7F02">
        <w:rPr>
          <w:rFonts w:eastAsia="Times New Roman" w:cs="Times New Roman"/>
          <w:lang w:eastAsia="de-DE"/>
        </w:rPr>
        <w:t>"</w:t>
      </w:r>
    </w:p>
    <w:p w14:paraId="6D592BE8" w14:textId="1E2E5942" w:rsidR="00FE7F02" w:rsidRDefault="00FE7F02" w:rsidP="00FE7F02">
      <w:pPr>
        <w:spacing w:before="100" w:beforeAutospacing="1" w:after="100" w:afterAutospacing="1" w:line="240" w:lineRule="auto"/>
        <w:rPr>
          <w:rFonts w:eastAsia="Times New Roman" w:cs="Times New Roman"/>
          <w:b/>
          <w:bCs/>
          <w:lang w:eastAsia="de-DE"/>
        </w:rPr>
      </w:pPr>
      <w:r w:rsidRPr="00FE7F02">
        <w:rPr>
          <w:rFonts w:eastAsia="Times New Roman" w:cs="Times New Roman"/>
          <w:b/>
          <w:bCs/>
          <w:lang w:eastAsia="de-DE"/>
        </w:rPr>
        <w:t>Die Parallele:</w:t>
      </w:r>
    </w:p>
    <w:tbl>
      <w:tblPr>
        <w:tblStyle w:val="Tabellenraster"/>
        <w:tblW w:w="4994" w:type="pct"/>
        <w:tblLook w:val="04A0" w:firstRow="1" w:lastRow="0" w:firstColumn="1" w:lastColumn="0" w:noHBand="0" w:noVBand="1"/>
      </w:tblPr>
      <w:tblGrid>
        <w:gridCol w:w="2972"/>
        <w:gridCol w:w="6079"/>
      </w:tblGrid>
      <w:tr w:rsidR="00FE7F02" w14:paraId="56401C5E" w14:textId="77777777" w:rsidTr="00FE7F02">
        <w:tc>
          <w:tcPr>
            <w:tcW w:w="1642" w:type="pct"/>
            <w:vAlign w:val="center"/>
          </w:tcPr>
          <w:p w14:paraId="771511EA" w14:textId="433BCBE1"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Numeri 18,20 (Aaron)</w:t>
            </w:r>
          </w:p>
        </w:tc>
        <w:tc>
          <w:tcPr>
            <w:tcW w:w="3358" w:type="pct"/>
            <w:vAlign w:val="center"/>
          </w:tcPr>
          <w:p w14:paraId="7E5D2422" w14:textId="68094F00"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Hebräer 13,14 (Christen)</w:t>
            </w:r>
          </w:p>
        </w:tc>
      </w:tr>
      <w:tr w:rsidR="00FE7F02" w:rsidRPr="00B34258" w14:paraId="2F29C89E" w14:textId="77777777" w:rsidTr="00FE7F02">
        <w:tc>
          <w:tcPr>
            <w:tcW w:w="1642" w:type="pct"/>
            <w:vAlign w:val="center"/>
          </w:tcPr>
          <w:p w14:paraId="748D3144" w14:textId="7C26B32F" w:rsid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rtl/>
                <w:lang w:eastAsia="de-DE"/>
              </w:rPr>
              <w:t xml:space="preserve">בְּאַרְצָם </w:t>
            </w:r>
            <w:r w:rsidRPr="00FE7F02">
              <w:rPr>
                <w:rFonts w:eastAsia="Times New Roman" w:cs="Times New Roman"/>
                <w:b/>
                <w:bCs/>
                <w:rtl/>
                <w:lang w:eastAsia="de-DE"/>
              </w:rPr>
              <w:t>לֹא תִנְחָל</w:t>
            </w:r>
          </w:p>
        </w:tc>
        <w:tc>
          <w:tcPr>
            <w:tcW w:w="3358" w:type="pct"/>
            <w:vAlign w:val="center"/>
          </w:tcPr>
          <w:p w14:paraId="67A7E5DA" w14:textId="73B51712" w:rsidR="00FE7F02" w:rsidRPr="00FE7F02" w:rsidRDefault="00FE7F02" w:rsidP="00FE7F02">
            <w:pPr>
              <w:spacing w:before="100" w:beforeAutospacing="1" w:after="100" w:afterAutospacing="1" w:line="240" w:lineRule="auto"/>
              <w:rPr>
                <w:rFonts w:eastAsia="Times New Roman" w:cs="Times New Roman"/>
                <w:lang w:val="el-GR" w:eastAsia="de-DE"/>
              </w:rPr>
            </w:pPr>
            <w:r w:rsidRPr="00FE7F02">
              <w:rPr>
                <w:rFonts w:eastAsia="Times New Roman" w:cs="Times New Roman"/>
                <w:b/>
                <w:bCs/>
                <w:lang w:val="el-GR" w:eastAsia="de-DE"/>
              </w:rPr>
              <w:t>οὐ... ἔχομεν ὧδε μένουσαν πόλιν</w:t>
            </w:r>
          </w:p>
        </w:tc>
      </w:tr>
      <w:tr w:rsidR="00FE7F02" w:rsidRPr="00FE7F02" w14:paraId="7F8D8422" w14:textId="77777777" w:rsidTr="00FE7F02">
        <w:tc>
          <w:tcPr>
            <w:tcW w:w="1642" w:type="pct"/>
            <w:vAlign w:val="center"/>
          </w:tcPr>
          <w:p w14:paraId="710228DE" w14:textId="6EF1D075" w:rsidR="00FE7F02" w:rsidRPr="00FE7F02" w:rsidRDefault="00FE7F02" w:rsidP="00FE7F02">
            <w:pPr>
              <w:spacing w:before="100" w:beforeAutospacing="1" w:after="100" w:afterAutospacing="1" w:line="240" w:lineRule="auto"/>
              <w:rPr>
                <w:rFonts w:eastAsia="Times New Roman" w:cs="Times New Roman"/>
                <w:lang w:val="el-GR" w:eastAsia="de-DE"/>
              </w:rPr>
            </w:pPr>
            <w:r w:rsidRPr="00FE7F02">
              <w:rPr>
                <w:rFonts w:eastAsia="Times New Roman" w:cs="Times New Roman"/>
                <w:rtl/>
                <w:lang w:eastAsia="de-DE"/>
              </w:rPr>
              <w:t>אֲנִי חֶלְקְךָ</w:t>
            </w:r>
            <w:r w:rsidRPr="00FE7F02">
              <w:rPr>
                <w:rFonts w:eastAsia="Times New Roman" w:cs="Times New Roman"/>
                <w:lang w:eastAsia="de-DE"/>
              </w:rPr>
              <w:t xml:space="preserve"> (Gott ist dein Teil)</w:t>
            </w:r>
          </w:p>
        </w:tc>
        <w:tc>
          <w:tcPr>
            <w:tcW w:w="3358" w:type="pct"/>
            <w:vAlign w:val="center"/>
          </w:tcPr>
          <w:p w14:paraId="7AE6B3D2" w14:textId="4DD7199B"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τὴν μέλλουσαν ἐπιζητοῦμεν (die zukünftige Stadt suchen)</w:t>
            </w:r>
          </w:p>
        </w:tc>
      </w:tr>
    </w:tbl>
    <w:p w14:paraId="4D397F12"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 Alle Christen sind wie Priester: Pilger ohne irdische Stadt, aber mit himmlischem Erbe!</w:t>
      </w:r>
    </w:p>
    <w:p w14:paraId="31CCA6EA" w14:textId="77777777" w:rsidR="00FE7F02" w:rsidRPr="00FE7F02" w:rsidRDefault="00F329DD" w:rsidP="00FE7F02">
      <w:pPr>
        <w:spacing w:after="0" w:line="240" w:lineRule="auto"/>
        <w:rPr>
          <w:rFonts w:eastAsia="Times New Roman" w:cs="Times New Roman"/>
          <w:lang w:eastAsia="de-DE"/>
        </w:rPr>
      </w:pPr>
      <w:r>
        <w:rPr>
          <w:rFonts w:eastAsia="Times New Roman" w:cs="Times New Roman"/>
          <w:lang w:eastAsia="de-DE"/>
        </w:rPr>
        <w:pict w14:anchorId="4E579CAA">
          <v:rect id="_x0000_i1622" style="width:0;height:1.5pt" o:hralign="center" o:hrstd="t" o:hr="t" fillcolor="#a0a0a0" stroked="f"/>
        </w:pict>
      </w:r>
    </w:p>
    <w:p w14:paraId="132C1C87" w14:textId="0AB6772C" w:rsidR="00FE7F02" w:rsidRPr="00FE7F02" w:rsidRDefault="00FE7F02" w:rsidP="00FE7F02">
      <w:pPr>
        <w:pStyle w:val="Listenabsatz"/>
        <w:numPr>
          <w:ilvl w:val="0"/>
          <w:numId w:val="2"/>
        </w:numPr>
        <w:spacing w:before="100" w:beforeAutospacing="1" w:after="100" w:afterAutospacing="1" w:line="240" w:lineRule="auto"/>
        <w:rPr>
          <w:rFonts w:eastAsia="Times New Roman" w:cs="Times New Roman"/>
          <w:b/>
          <w:bCs/>
          <w:lang w:eastAsia="de-DE"/>
        </w:rPr>
      </w:pPr>
      <w:r w:rsidRPr="00FE7F02">
        <w:rPr>
          <w:rFonts w:eastAsia="Times New Roman" w:cs="Times New Roman"/>
          <w:b/>
          <w:bCs/>
          <w:lang w:eastAsia="de-DE"/>
        </w:rPr>
        <w:t>Die theologische Progression: Von Aaron zu allen Gläubigen</w:t>
      </w:r>
    </w:p>
    <w:tbl>
      <w:tblPr>
        <w:tblStyle w:val="Tabellenraster"/>
        <w:tblW w:w="4994" w:type="pct"/>
        <w:tblLook w:val="04A0" w:firstRow="1" w:lastRow="0" w:firstColumn="1" w:lastColumn="0" w:noHBand="0" w:noVBand="1"/>
      </w:tblPr>
      <w:tblGrid>
        <w:gridCol w:w="1838"/>
        <w:gridCol w:w="1986"/>
        <w:gridCol w:w="1417"/>
        <w:gridCol w:w="3810"/>
      </w:tblGrid>
      <w:tr w:rsidR="005D3CC1" w14:paraId="61CB3F7C" w14:textId="77777777" w:rsidTr="005D3CC1">
        <w:tc>
          <w:tcPr>
            <w:tcW w:w="1015" w:type="pct"/>
            <w:vAlign w:val="center"/>
          </w:tcPr>
          <w:p w14:paraId="17BF434C" w14:textId="159A5C71"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Stufe</w:t>
            </w:r>
          </w:p>
        </w:tc>
        <w:tc>
          <w:tcPr>
            <w:tcW w:w="1097" w:type="pct"/>
            <w:vAlign w:val="center"/>
          </w:tcPr>
          <w:p w14:paraId="1F858AB6" w14:textId="5DD9278D"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Wer?</w:t>
            </w:r>
          </w:p>
        </w:tc>
        <w:tc>
          <w:tcPr>
            <w:tcW w:w="783" w:type="pct"/>
            <w:vAlign w:val="center"/>
          </w:tcPr>
          <w:p w14:paraId="61272243" w14:textId="6ECF3784"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Text</w:t>
            </w:r>
          </w:p>
        </w:tc>
        <w:tc>
          <w:tcPr>
            <w:tcW w:w="2105" w:type="pct"/>
            <w:vAlign w:val="center"/>
          </w:tcPr>
          <w:p w14:paraId="355A3C62" w14:textId="1E91C75B"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Aussage</w:t>
            </w:r>
          </w:p>
        </w:tc>
      </w:tr>
      <w:tr w:rsidR="005D3CC1" w14:paraId="201F56E7" w14:textId="77777777" w:rsidTr="005D3CC1">
        <w:tc>
          <w:tcPr>
            <w:tcW w:w="1015" w:type="pct"/>
            <w:vAlign w:val="center"/>
          </w:tcPr>
          <w:p w14:paraId="4D4F679D" w14:textId="5F111B69"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1. Gebot</w:t>
            </w:r>
          </w:p>
        </w:tc>
        <w:tc>
          <w:tcPr>
            <w:tcW w:w="1097" w:type="pct"/>
            <w:vAlign w:val="center"/>
          </w:tcPr>
          <w:p w14:paraId="7A46DDA1" w14:textId="2E558162"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Aaron</w:t>
            </w:r>
            <w:r w:rsidRPr="00FE7F02">
              <w:rPr>
                <w:rFonts w:eastAsia="Times New Roman" w:cs="Times New Roman"/>
                <w:lang w:eastAsia="de-DE"/>
              </w:rPr>
              <w:t xml:space="preserve"> (Priester)</w:t>
            </w:r>
          </w:p>
        </w:tc>
        <w:tc>
          <w:tcPr>
            <w:tcW w:w="783" w:type="pct"/>
            <w:vAlign w:val="center"/>
          </w:tcPr>
          <w:p w14:paraId="0BB16366" w14:textId="21515835"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Num 18,20</w:t>
            </w:r>
          </w:p>
        </w:tc>
        <w:tc>
          <w:tcPr>
            <w:tcW w:w="2105" w:type="pct"/>
            <w:vAlign w:val="center"/>
          </w:tcPr>
          <w:p w14:paraId="2F3F07EA" w14:textId="48B1A74B"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"Ich bin dein Erbteil"</w:t>
            </w:r>
            <w:r w:rsidRPr="00FE7F02">
              <w:rPr>
                <w:rFonts w:eastAsia="Times New Roman" w:cs="Times New Roman"/>
                <w:lang w:eastAsia="de-DE"/>
              </w:rPr>
              <w:t xml:space="preserve"> (Pflicht, kein Land)</w:t>
            </w:r>
          </w:p>
        </w:tc>
      </w:tr>
      <w:tr w:rsidR="005D3CC1" w14:paraId="1A8B7A8B" w14:textId="77777777" w:rsidTr="005D3CC1">
        <w:tc>
          <w:tcPr>
            <w:tcW w:w="1015" w:type="pct"/>
            <w:vAlign w:val="center"/>
          </w:tcPr>
          <w:p w14:paraId="6D55ACEA" w14:textId="626BD15E"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2. Erfahrung</w:t>
            </w:r>
          </w:p>
        </w:tc>
        <w:tc>
          <w:tcPr>
            <w:tcW w:w="1097" w:type="pct"/>
            <w:vAlign w:val="center"/>
          </w:tcPr>
          <w:p w14:paraId="0AD7746A" w14:textId="5D4BFD48"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David</w:t>
            </w:r>
            <w:r w:rsidRPr="00FE7F02">
              <w:rPr>
                <w:rFonts w:eastAsia="Times New Roman" w:cs="Times New Roman"/>
                <w:lang w:eastAsia="de-DE"/>
              </w:rPr>
              <w:t xml:space="preserve"> (König)</w:t>
            </w:r>
          </w:p>
        </w:tc>
        <w:tc>
          <w:tcPr>
            <w:tcW w:w="783" w:type="pct"/>
            <w:vAlign w:val="center"/>
          </w:tcPr>
          <w:p w14:paraId="0699AD1A" w14:textId="47408FD8"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Ps 16,5</w:t>
            </w:r>
          </w:p>
        </w:tc>
        <w:tc>
          <w:tcPr>
            <w:tcW w:w="2105" w:type="pct"/>
            <w:vAlign w:val="center"/>
          </w:tcPr>
          <w:p w14:paraId="50926076" w14:textId="12DB1F66"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"Der HERR ist mein Teil"</w:t>
            </w:r>
            <w:r w:rsidRPr="00FE7F02">
              <w:rPr>
                <w:rFonts w:eastAsia="Times New Roman" w:cs="Times New Roman"/>
                <w:lang w:eastAsia="de-DE"/>
              </w:rPr>
              <w:t xml:space="preserve"> (Wahl, trotz Land)</w:t>
            </w:r>
          </w:p>
        </w:tc>
      </w:tr>
      <w:tr w:rsidR="005D3CC1" w14:paraId="2EAF6E32" w14:textId="77777777" w:rsidTr="005D3CC1">
        <w:tc>
          <w:tcPr>
            <w:tcW w:w="1015" w:type="pct"/>
            <w:vAlign w:val="center"/>
          </w:tcPr>
          <w:p w14:paraId="73E8DAA5" w14:textId="7B503BEE"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3. Überzeugung</w:t>
            </w:r>
          </w:p>
        </w:tc>
        <w:tc>
          <w:tcPr>
            <w:tcW w:w="1097" w:type="pct"/>
            <w:vAlign w:val="center"/>
          </w:tcPr>
          <w:p w14:paraId="4718D5F7" w14:textId="50181C49"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Asaph</w:t>
            </w:r>
            <w:r w:rsidRPr="00FE7F02">
              <w:rPr>
                <w:rFonts w:eastAsia="Times New Roman" w:cs="Times New Roman"/>
                <w:lang w:eastAsia="de-DE"/>
              </w:rPr>
              <w:t xml:space="preserve"> (Levit)</w:t>
            </w:r>
          </w:p>
        </w:tc>
        <w:tc>
          <w:tcPr>
            <w:tcW w:w="783" w:type="pct"/>
            <w:vAlign w:val="center"/>
          </w:tcPr>
          <w:p w14:paraId="1ED53F79" w14:textId="4801FC0E"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Ps 73,26</w:t>
            </w:r>
          </w:p>
        </w:tc>
        <w:tc>
          <w:tcPr>
            <w:tcW w:w="2105" w:type="pct"/>
            <w:vAlign w:val="center"/>
          </w:tcPr>
          <w:p w14:paraId="75F0B728" w14:textId="0F2F6F45"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"Mein Teil ist Gott"</w:t>
            </w:r>
            <w:r w:rsidRPr="00FE7F02">
              <w:rPr>
                <w:rFonts w:eastAsia="Times New Roman" w:cs="Times New Roman"/>
                <w:lang w:eastAsia="de-DE"/>
              </w:rPr>
              <w:t xml:space="preserve"> (Genüge, statt Neid)</w:t>
            </w:r>
          </w:p>
        </w:tc>
      </w:tr>
      <w:tr w:rsidR="005D3CC1" w14:paraId="661A4FFA" w14:textId="77777777" w:rsidTr="005D3CC1">
        <w:tc>
          <w:tcPr>
            <w:tcW w:w="1015" w:type="pct"/>
            <w:vAlign w:val="center"/>
          </w:tcPr>
          <w:p w14:paraId="1B2346F6" w14:textId="29CC56CD"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4. Erfüllung</w:t>
            </w:r>
          </w:p>
        </w:tc>
        <w:tc>
          <w:tcPr>
            <w:tcW w:w="1097" w:type="pct"/>
            <w:vAlign w:val="center"/>
          </w:tcPr>
          <w:p w14:paraId="33661A31" w14:textId="1F2ABACF"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Paulus</w:t>
            </w:r>
            <w:r w:rsidRPr="00FE7F02">
              <w:rPr>
                <w:rFonts w:eastAsia="Times New Roman" w:cs="Times New Roman"/>
                <w:lang w:eastAsia="de-DE"/>
              </w:rPr>
              <w:t xml:space="preserve"> (Apostel)</w:t>
            </w:r>
          </w:p>
        </w:tc>
        <w:tc>
          <w:tcPr>
            <w:tcW w:w="783" w:type="pct"/>
            <w:vAlign w:val="center"/>
          </w:tcPr>
          <w:p w14:paraId="6F07A6EF" w14:textId="454D63DA"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Phil 3,8</w:t>
            </w:r>
          </w:p>
        </w:tc>
        <w:tc>
          <w:tcPr>
            <w:tcW w:w="2105" w:type="pct"/>
            <w:vAlign w:val="center"/>
          </w:tcPr>
          <w:p w14:paraId="139C1690" w14:textId="44FC7511"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"Christus ist Gewinn"</w:t>
            </w:r>
            <w:r w:rsidRPr="00FE7F02">
              <w:rPr>
                <w:rFonts w:eastAsia="Times New Roman" w:cs="Times New Roman"/>
                <w:lang w:eastAsia="de-DE"/>
              </w:rPr>
              <w:t xml:space="preserve"> (alles andere = Dreck)</w:t>
            </w:r>
          </w:p>
        </w:tc>
      </w:tr>
      <w:tr w:rsidR="005D3CC1" w14:paraId="5E8E7449" w14:textId="77777777" w:rsidTr="005D3CC1">
        <w:tc>
          <w:tcPr>
            <w:tcW w:w="1015" w:type="pct"/>
            <w:vAlign w:val="center"/>
          </w:tcPr>
          <w:p w14:paraId="1A7B1678" w14:textId="2423E2F8"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5. Verheißung</w:t>
            </w:r>
          </w:p>
        </w:tc>
        <w:tc>
          <w:tcPr>
            <w:tcW w:w="1097" w:type="pct"/>
            <w:vAlign w:val="center"/>
          </w:tcPr>
          <w:p w14:paraId="7F19BB9A" w14:textId="0FC71D1D"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Alle Gläubigen</w:t>
            </w:r>
          </w:p>
        </w:tc>
        <w:tc>
          <w:tcPr>
            <w:tcW w:w="783" w:type="pct"/>
            <w:vAlign w:val="center"/>
          </w:tcPr>
          <w:p w14:paraId="193F0420" w14:textId="64B48CEB"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Hebr 13,14</w:t>
            </w:r>
          </w:p>
        </w:tc>
        <w:tc>
          <w:tcPr>
            <w:tcW w:w="2105" w:type="pct"/>
            <w:vAlign w:val="center"/>
          </w:tcPr>
          <w:p w14:paraId="218DF8CC" w14:textId="7D8EF3BA"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"Keine bleibende Stadt hier"</w:t>
            </w:r>
            <w:r w:rsidRPr="00FE7F02">
              <w:rPr>
                <w:rFonts w:eastAsia="Times New Roman" w:cs="Times New Roman"/>
                <w:lang w:eastAsia="de-DE"/>
              </w:rPr>
              <w:t xml:space="preserve"> (Pilger)</w:t>
            </w:r>
          </w:p>
        </w:tc>
      </w:tr>
    </w:tbl>
    <w:p w14:paraId="7B10C8C1"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 Was als priesterliches Gebot (Num 18,20) begann, wird zur universellen Berufung aller Gläubigen!</w:t>
      </w:r>
    </w:p>
    <w:p w14:paraId="4DF2A09A" w14:textId="77777777" w:rsidR="00FE7F02" w:rsidRPr="00FE7F02" w:rsidRDefault="00F329DD" w:rsidP="00FE7F02">
      <w:pPr>
        <w:spacing w:after="0" w:line="240" w:lineRule="auto"/>
        <w:rPr>
          <w:rFonts w:eastAsia="Times New Roman" w:cs="Times New Roman"/>
          <w:lang w:eastAsia="de-DE"/>
        </w:rPr>
      </w:pPr>
      <w:r>
        <w:rPr>
          <w:rFonts w:eastAsia="Times New Roman" w:cs="Times New Roman"/>
          <w:lang w:eastAsia="de-DE"/>
        </w:rPr>
        <w:pict w14:anchorId="122216FA">
          <v:rect id="_x0000_i1623" style="width:0;height:1.5pt" o:hralign="center" o:hrstd="t" o:hr="t" fillcolor="#a0a0a0" stroked="f"/>
        </w:pict>
      </w:r>
    </w:p>
    <w:p w14:paraId="700823F6"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6. Praktische Anwendung: "Gott genügt"</w:t>
      </w:r>
    </w:p>
    <w:p w14:paraId="0358836A"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Die Frage:</w:t>
      </w:r>
      <w:r w:rsidRPr="00FE7F02">
        <w:rPr>
          <w:rFonts w:eastAsia="Times New Roman" w:cs="Times New Roman"/>
          <w:lang w:eastAsia="de-DE"/>
        </w:rPr>
        <w:t xml:space="preserve"> Ist </w:t>
      </w:r>
      <w:r w:rsidRPr="00FE7F02">
        <w:rPr>
          <w:rFonts w:eastAsia="Times New Roman" w:cs="Times New Roman"/>
          <w:b/>
          <w:bCs/>
          <w:lang w:eastAsia="de-DE"/>
        </w:rPr>
        <w:t>Gott allein genug</w:t>
      </w:r>
      <w:r w:rsidRPr="00FE7F02">
        <w:rPr>
          <w:rFonts w:eastAsia="Times New Roman" w:cs="Times New Roman"/>
          <w:lang w:eastAsia="de-DE"/>
        </w:rPr>
        <w:t xml:space="preserve"> für mich?</w:t>
      </w:r>
    </w:p>
    <w:p w14:paraId="75B63479" w14:textId="53225FD6" w:rsidR="00FE7F02" w:rsidRDefault="00FE7F02" w:rsidP="00FE7F02">
      <w:pPr>
        <w:spacing w:before="100" w:beforeAutospacing="1" w:after="100" w:afterAutospacing="1" w:line="240" w:lineRule="auto"/>
        <w:rPr>
          <w:rFonts w:eastAsia="Times New Roman" w:cs="Times New Roman"/>
          <w:b/>
          <w:bCs/>
          <w:lang w:eastAsia="de-DE"/>
        </w:rPr>
      </w:pPr>
      <w:r w:rsidRPr="00FE7F02">
        <w:rPr>
          <w:rFonts w:eastAsia="Times New Roman" w:cs="Times New Roman"/>
          <w:b/>
          <w:bCs/>
          <w:lang w:eastAsia="de-DE"/>
        </w:rPr>
        <w:t>Der Test:</w:t>
      </w:r>
    </w:p>
    <w:tbl>
      <w:tblPr>
        <w:tblStyle w:val="Tabellenraster"/>
        <w:tblW w:w="4994" w:type="pct"/>
        <w:tblLook w:val="04A0" w:firstRow="1" w:lastRow="0" w:firstColumn="1" w:lastColumn="0" w:noHBand="0" w:noVBand="1"/>
      </w:tblPr>
      <w:tblGrid>
        <w:gridCol w:w="2263"/>
        <w:gridCol w:w="6788"/>
      </w:tblGrid>
      <w:tr w:rsidR="005D3CC1" w14:paraId="0C6F79F3" w14:textId="77777777" w:rsidTr="005D3CC1">
        <w:tc>
          <w:tcPr>
            <w:tcW w:w="1250" w:type="pct"/>
            <w:vAlign w:val="center"/>
          </w:tcPr>
          <w:p w14:paraId="3BD2BD49" w14:textId="79060A40"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Wenn ich verliere...</w:t>
            </w:r>
          </w:p>
        </w:tc>
        <w:tc>
          <w:tcPr>
            <w:tcW w:w="3750" w:type="pct"/>
            <w:vAlign w:val="center"/>
          </w:tcPr>
          <w:p w14:paraId="1EB47815" w14:textId="77C441C4"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Genügt mir Gott?</w:t>
            </w:r>
          </w:p>
        </w:tc>
      </w:tr>
      <w:tr w:rsidR="005D3CC1" w14:paraId="2725810E" w14:textId="77777777" w:rsidTr="001B11C3">
        <w:tc>
          <w:tcPr>
            <w:tcW w:w="1250" w:type="pct"/>
            <w:vAlign w:val="center"/>
          </w:tcPr>
          <w:p w14:paraId="2BA61B39" w14:textId="0ED72622"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Gesundheit</w:t>
            </w:r>
          </w:p>
        </w:tc>
        <w:tc>
          <w:tcPr>
            <w:tcW w:w="3750" w:type="pct"/>
            <w:vAlign w:val="center"/>
          </w:tcPr>
          <w:p w14:paraId="1E6F192C" w14:textId="6EDE939B"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Ps 73,26: "Mag auch mein Leib verschmachten – </w:t>
            </w:r>
            <w:r w:rsidRPr="00FE7F02">
              <w:rPr>
                <w:rFonts w:eastAsia="Times New Roman" w:cs="Times New Roman"/>
                <w:b/>
                <w:bCs/>
                <w:lang w:eastAsia="de-DE"/>
              </w:rPr>
              <w:t>mein Teil ist Gott</w:t>
            </w:r>
            <w:r w:rsidRPr="00FE7F02">
              <w:rPr>
                <w:rFonts w:eastAsia="Times New Roman" w:cs="Times New Roman"/>
                <w:lang w:eastAsia="de-DE"/>
              </w:rPr>
              <w:t>"</w:t>
            </w:r>
          </w:p>
        </w:tc>
      </w:tr>
      <w:tr w:rsidR="005D3CC1" w14:paraId="7132961B" w14:textId="77777777" w:rsidTr="001B11C3">
        <w:tc>
          <w:tcPr>
            <w:tcW w:w="1250" w:type="pct"/>
            <w:vAlign w:val="center"/>
          </w:tcPr>
          <w:p w14:paraId="64D4C848" w14:textId="6BD1966B"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Wohlstand</w:t>
            </w:r>
          </w:p>
        </w:tc>
        <w:tc>
          <w:tcPr>
            <w:tcW w:w="3750" w:type="pct"/>
            <w:vAlign w:val="center"/>
          </w:tcPr>
          <w:p w14:paraId="521455F6" w14:textId="6284837A"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Ps 16,5: "Der HERR ist </w:t>
            </w:r>
            <w:r w:rsidRPr="00FE7F02">
              <w:rPr>
                <w:rFonts w:eastAsia="Times New Roman" w:cs="Times New Roman"/>
                <w:b/>
                <w:bCs/>
                <w:lang w:eastAsia="de-DE"/>
              </w:rPr>
              <w:t>mein Teil</w:t>
            </w:r>
            <w:r w:rsidRPr="00FE7F02">
              <w:rPr>
                <w:rFonts w:eastAsia="Times New Roman" w:cs="Times New Roman"/>
                <w:lang w:eastAsia="de-DE"/>
              </w:rPr>
              <w:t xml:space="preserve"> und mein Becher"</w:t>
            </w:r>
          </w:p>
        </w:tc>
      </w:tr>
      <w:tr w:rsidR="005D3CC1" w14:paraId="266F96B3" w14:textId="77777777" w:rsidTr="001B11C3">
        <w:tc>
          <w:tcPr>
            <w:tcW w:w="1250" w:type="pct"/>
            <w:vAlign w:val="center"/>
          </w:tcPr>
          <w:p w14:paraId="3CB57E8C" w14:textId="10B4BBDC"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Familie</w:t>
            </w:r>
          </w:p>
        </w:tc>
        <w:tc>
          <w:tcPr>
            <w:tcW w:w="3750" w:type="pct"/>
            <w:vAlign w:val="center"/>
          </w:tcPr>
          <w:p w14:paraId="19C49AB3" w14:textId="0097A6EA"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Hiob 1,21: "Der HERR hat's gegeben, der HERR hat's genommen; </w:t>
            </w:r>
            <w:r w:rsidRPr="00FE7F02">
              <w:rPr>
                <w:rFonts w:eastAsia="Times New Roman" w:cs="Times New Roman"/>
                <w:b/>
                <w:bCs/>
                <w:lang w:eastAsia="de-DE"/>
              </w:rPr>
              <w:t>der Name des HERRN sei gelobt</w:t>
            </w:r>
            <w:r w:rsidRPr="00FE7F02">
              <w:rPr>
                <w:rFonts w:eastAsia="Times New Roman" w:cs="Times New Roman"/>
                <w:lang w:eastAsia="de-DE"/>
              </w:rPr>
              <w:t>"</w:t>
            </w:r>
          </w:p>
        </w:tc>
      </w:tr>
      <w:tr w:rsidR="005D3CC1" w14:paraId="3BF49FD6" w14:textId="77777777" w:rsidTr="001B11C3">
        <w:tc>
          <w:tcPr>
            <w:tcW w:w="1250" w:type="pct"/>
            <w:vAlign w:val="center"/>
          </w:tcPr>
          <w:p w14:paraId="21F52A6B" w14:textId="54EB1721"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Ansehen</w:t>
            </w:r>
          </w:p>
        </w:tc>
        <w:tc>
          <w:tcPr>
            <w:tcW w:w="3750" w:type="pct"/>
            <w:vAlign w:val="center"/>
          </w:tcPr>
          <w:p w14:paraId="55691918" w14:textId="59E328B3"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Phil 3,8: "Ich achte alles für </w:t>
            </w:r>
            <w:r w:rsidRPr="00FE7F02">
              <w:rPr>
                <w:rFonts w:eastAsia="Times New Roman" w:cs="Times New Roman"/>
                <w:b/>
                <w:bCs/>
                <w:lang w:eastAsia="de-DE"/>
              </w:rPr>
              <w:t>Dreck</w:t>
            </w:r>
            <w:r w:rsidRPr="00FE7F02">
              <w:rPr>
                <w:rFonts w:eastAsia="Times New Roman" w:cs="Times New Roman"/>
                <w:lang w:eastAsia="de-DE"/>
              </w:rPr>
              <w:t>, damit ich Christus gewinne"</w:t>
            </w:r>
          </w:p>
        </w:tc>
      </w:tr>
      <w:tr w:rsidR="005D3CC1" w14:paraId="274E1B17" w14:textId="77777777" w:rsidTr="001B11C3">
        <w:tc>
          <w:tcPr>
            <w:tcW w:w="1250" w:type="pct"/>
            <w:vAlign w:val="center"/>
          </w:tcPr>
          <w:p w14:paraId="32A4A0B8" w14:textId="7A9D4CEA"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lastRenderedPageBreak/>
              <w:t>Leben</w:t>
            </w:r>
          </w:p>
        </w:tc>
        <w:tc>
          <w:tcPr>
            <w:tcW w:w="3750" w:type="pct"/>
            <w:vAlign w:val="center"/>
          </w:tcPr>
          <w:p w14:paraId="70B693B9" w14:textId="7F9CB0CE" w:rsidR="005D3CC1" w:rsidRDefault="005D3CC1" w:rsidP="005D3CC1">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Phil 1,21: "Christus ist mein </w:t>
            </w:r>
            <w:r w:rsidRPr="00FE7F02">
              <w:rPr>
                <w:rFonts w:eastAsia="Times New Roman" w:cs="Times New Roman"/>
                <w:b/>
                <w:bCs/>
                <w:lang w:eastAsia="de-DE"/>
              </w:rPr>
              <w:t>Leben</w:t>
            </w:r>
            <w:r w:rsidRPr="00FE7F02">
              <w:rPr>
                <w:rFonts w:eastAsia="Times New Roman" w:cs="Times New Roman"/>
                <w:lang w:eastAsia="de-DE"/>
              </w:rPr>
              <w:t xml:space="preserve">, und Sterben ist mein </w:t>
            </w:r>
            <w:r w:rsidRPr="00FE7F02">
              <w:rPr>
                <w:rFonts w:eastAsia="Times New Roman" w:cs="Times New Roman"/>
                <w:b/>
                <w:bCs/>
                <w:lang w:eastAsia="de-DE"/>
              </w:rPr>
              <w:t>Gewinn</w:t>
            </w:r>
            <w:r w:rsidRPr="00FE7F02">
              <w:rPr>
                <w:rFonts w:eastAsia="Times New Roman" w:cs="Times New Roman"/>
                <w:lang w:eastAsia="de-DE"/>
              </w:rPr>
              <w:t>"</w:t>
            </w:r>
          </w:p>
        </w:tc>
      </w:tr>
    </w:tbl>
    <w:p w14:paraId="20036C97"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Augustinus (Confessiones 1.1):</w:t>
      </w:r>
    </w:p>
    <w:p w14:paraId="3E6993B4" w14:textId="77777777" w:rsidR="00FE7F02" w:rsidRPr="00FE7F02" w:rsidRDefault="00FE7F02" w:rsidP="00FE7F02">
      <w:pPr>
        <w:spacing w:beforeAutospacing="1" w:after="100" w:afterAutospacing="1" w:line="240" w:lineRule="auto"/>
        <w:rPr>
          <w:rFonts w:eastAsia="Times New Roman" w:cs="Times New Roman"/>
          <w:lang w:eastAsia="de-DE"/>
        </w:rPr>
      </w:pPr>
      <w:r w:rsidRPr="00FE7F02">
        <w:rPr>
          <w:rFonts w:eastAsia="Times New Roman" w:cs="Times New Roman"/>
          <w:i/>
          <w:iCs/>
          <w:lang w:eastAsia="de-DE"/>
        </w:rPr>
        <w:t xml:space="preserve">"Fecisti nos ad te, et inquietum est cor nostrum, </w:t>
      </w:r>
      <w:r w:rsidRPr="00FE7F02">
        <w:rPr>
          <w:rFonts w:eastAsia="Times New Roman" w:cs="Times New Roman"/>
          <w:b/>
          <w:bCs/>
          <w:i/>
          <w:iCs/>
          <w:lang w:eastAsia="de-DE"/>
        </w:rPr>
        <w:t>donec requiescat in te</w:t>
      </w:r>
      <w:r w:rsidRPr="00FE7F02">
        <w:rPr>
          <w:rFonts w:eastAsia="Times New Roman" w:cs="Times New Roman"/>
          <w:i/>
          <w:iCs/>
          <w:lang w:eastAsia="de-DE"/>
        </w:rPr>
        <w:t>."</w:t>
      </w:r>
    </w:p>
    <w:p w14:paraId="735438BA"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lang w:eastAsia="de-DE"/>
        </w:rPr>
        <w:t xml:space="preserve">"Du hast uns zu dir hin geschaffen, und </w:t>
      </w:r>
      <w:r w:rsidRPr="00FE7F02">
        <w:rPr>
          <w:rFonts w:eastAsia="Times New Roman" w:cs="Times New Roman"/>
          <w:b/>
          <w:bCs/>
          <w:lang w:eastAsia="de-DE"/>
        </w:rPr>
        <w:t>unruhig ist unser Herz, bis es Ruhe findet in dir</w:t>
      </w:r>
      <w:r w:rsidRPr="00FE7F02">
        <w:rPr>
          <w:rFonts w:eastAsia="Times New Roman" w:cs="Times New Roman"/>
          <w:lang w:eastAsia="de-DE"/>
        </w:rPr>
        <w:t>."</w:t>
      </w:r>
    </w:p>
    <w:p w14:paraId="01113DB2" w14:textId="77777777" w:rsidR="00FE7F02" w:rsidRPr="00FE7F02" w:rsidRDefault="00F329DD" w:rsidP="00FE7F02">
      <w:pPr>
        <w:spacing w:after="0" w:line="240" w:lineRule="auto"/>
        <w:rPr>
          <w:rFonts w:eastAsia="Times New Roman" w:cs="Times New Roman"/>
          <w:lang w:eastAsia="de-DE"/>
        </w:rPr>
      </w:pPr>
      <w:r>
        <w:rPr>
          <w:rFonts w:eastAsia="Times New Roman" w:cs="Times New Roman"/>
          <w:lang w:eastAsia="de-DE"/>
        </w:rPr>
        <w:pict w14:anchorId="40D839E8">
          <v:rect id="_x0000_i1624" style="width:0;height:1.5pt" o:hralign="center" o:hrstd="t" o:hr="t" fillcolor="#a0a0a0" stroked="f"/>
        </w:pict>
      </w:r>
    </w:p>
    <w:p w14:paraId="0D788E8A"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Fazit:</w:t>
      </w:r>
    </w:p>
    <w:p w14:paraId="6500F270" w14:textId="77777777" w:rsidR="00FE7F02" w:rsidRPr="00FE7F02" w:rsidRDefault="00FE7F02" w:rsidP="00FE7F02">
      <w:pPr>
        <w:spacing w:before="100" w:beforeAutospacing="1" w:after="100" w:afterAutospacing="1" w:line="240" w:lineRule="auto"/>
        <w:rPr>
          <w:rFonts w:eastAsia="Times New Roman" w:cs="Times New Roman"/>
          <w:lang w:eastAsia="de-DE"/>
        </w:rPr>
      </w:pPr>
      <w:r w:rsidRPr="00FE7F02">
        <w:rPr>
          <w:rFonts w:eastAsia="Times New Roman" w:cs="Times New Roman"/>
          <w:b/>
          <w:bCs/>
          <w:lang w:eastAsia="de-DE"/>
        </w:rPr>
        <w:t>Numeri 18,20</w:t>
      </w:r>
      <w:r w:rsidRPr="00FE7F02">
        <w:rPr>
          <w:rFonts w:eastAsia="Times New Roman" w:cs="Times New Roman"/>
          <w:lang w:eastAsia="de-DE"/>
        </w:rPr>
        <w:t xml:space="preserve"> ist nicht nur eine </w:t>
      </w:r>
      <w:r w:rsidRPr="00FE7F02">
        <w:rPr>
          <w:rFonts w:eastAsia="Times New Roman" w:cs="Times New Roman"/>
          <w:b/>
          <w:bCs/>
          <w:lang w:eastAsia="de-DE"/>
        </w:rPr>
        <w:t>administrative Regelung</w:t>
      </w:r>
      <w:r w:rsidRPr="00FE7F02">
        <w:rPr>
          <w:rFonts w:eastAsia="Times New Roman" w:cs="Times New Roman"/>
          <w:lang w:eastAsia="de-DE"/>
        </w:rPr>
        <w:t xml:space="preserve"> für Priester, sondern ein </w:t>
      </w:r>
      <w:r w:rsidRPr="00FE7F02">
        <w:rPr>
          <w:rFonts w:eastAsia="Times New Roman" w:cs="Times New Roman"/>
          <w:b/>
          <w:bCs/>
          <w:lang w:eastAsia="de-DE"/>
        </w:rPr>
        <w:t>theologisches Prinzip</w:t>
      </w:r>
      <w:r w:rsidRPr="00FE7F02">
        <w:rPr>
          <w:rFonts w:eastAsia="Times New Roman" w:cs="Times New Roman"/>
          <w:lang w:eastAsia="de-DE"/>
        </w:rPr>
        <w:t xml:space="preserve"> für alle Gläubigen:</w:t>
      </w:r>
    </w:p>
    <w:p w14:paraId="7061A1C4" w14:textId="77777777" w:rsidR="00FE7F02" w:rsidRPr="00FE7F02" w:rsidRDefault="00FE7F02" w:rsidP="00B358B7">
      <w:pPr>
        <w:numPr>
          <w:ilvl w:val="0"/>
          <w:numId w:val="165"/>
        </w:numPr>
        <w:spacing w:before="100" w:beforeAutospacing="1" w:after="100" w:afterAutospacing="1" w:line="240" w:lineRule="auto"/>
        <w:rPr>
          <w:rFonts w:eastAsia="Times New Roman" w:cs="Times New Roman"/>
          <w:lang w:eastAsia="de-DE"/>
        </w:rPr>
      </w:pPr>
      <w:r w:rsidRPr="00FE7F02">
        <w:rPr>
          <w:rFonts w:ascii="Segoe UI Emoji" w:eastAsia="Times New Roman" w:hAnsi="Segoe UI Emoji" w:cs="Segoe UI Emoji"/>
          <w:lang w:eastAsia="de-DE"/>
        </w:rPr>
        <w:t>✅</w:t>
      </w:r>
      <w:r w:rsidRPr="00FE7F02">
        <w:rPr>
          <w:rFonts w:eastAsia="Times New Roman" w:cs="Times New Roman"/>
          <w:lang w:eastAsia="de-DE"/>
        </w:rPr>
        <w:t xml:space="preserve"> </w:t>
      </w:r>
      <w:r w:rsidRPr="00FE7F02">
        <w:rPr>
          <w:rFonts w:eastAsia="Times New Roman" w:cs="Times New Roman"/>
          <w:b/>
          <w:bCs/>
          <w:lang w:eastAsia="de-DE"/>
        </w:rPr>
        <w:t>Aaron</w:t>
      </w:r>
      <w:r w:rsidRPr="00FE7F02">
        <w:rPr>
          <w:rFonts w:eastAsia="Times New Roman" w:cs="Times New Roman"/>
          <w:lang w:eastAsia="de-DE"/>
        </w:rPr>
        <w:t xml:space="preserve"> musste ohne Land leben → </w:t>
      </w:r>
      <w:r w:rsidRPr="00FE7F02">
        <w:rPr>
          <w:rFonts w:eastAsia="Times New Roman" w:cs="Times New Roman"/>
          <w:b/>
          <w:bCs/>
          <w:lang w:eastAsia="de-DE"/>
        </w:rPr>
        <w:t>Gott war sein Erbe</w:t>
      </w:r>
    </w:p>
    <w:p w14:paraId="6C87D416" w14:textId="77777777" w:rsidR="00FE7F02" w:rsidRPr="00FE7F02" w:rsidRDefault="00FE7F02" w:rsidP="00B358B7">
      <w:pPr>
        <w:numPr>
          <w:ilvl w:val="0"/>
          <w:numId w:val="165"/>
        </w:numPr>
        <w:spacing w:before="100" w:beforeAutospacing="1" w:after="100" w:afterAutospacing="1" w:line="240" w:lineRule="auto"/>
        <w:rPr>
          <w:rFonts w:eastAsia="Times New Roman" w:cs="Times New Roman"/>
          <w:lang w:eastAsia="de-DE"/>
        </w:rPr>
      </w:pPr>
      <w:r w:rsidRPr="00FE7F02">
        <w:rPr>
          <w:rFonts w:ascii="Segoe UI Emoji" w:eastAsia="Times New Roman" w:hAnsi="Segoe UI Emoji" w:cs="Segoe UI Emoji"/>
          <w:lang w:eastAsia="de-DE"/>
        </w:rPr>
        <w:t>✅</w:t>
      </w:r>
      <w:r w:rsidRPr="00FE7F02">
        <w:rPr>
          <w:rFonts w:eastAsia="Times New Roman" w:cs="Times New Roman"/>
          <w:lang w:eastAsia="de-DE"/>
        </w:rPr>
        <w:t xml:space="preserve"> </w:t>
      </w:r>
      <w:r w:rsidRPr="00FE7F02">
        <w:rPr>
          <w:rFonts w:eastAsia="Times New Roman" w:cs="Times New Roman"/>
          <w:b/>
          <w:bCs/>
          <w:lang w:eastAsia="de-DE"/>
        </w:rPr>
        <w:t>David</w:t>
      </w:r>
      <w:r w:rsidRPr="00FE7F02">
        <w:rPr>
          <w:rFonts w:eastAsia="Times New Roman" w:cs="Times New Roman"/>
          <w:lang w:eastAsia="de-DE"/>
        </w:rPr>
        <w:t xml:space="preserve"> wählte Gott → </w:t>
      </w:r>
      <w:r w:rsidRPr="00FE7F02">
        <w:rPr>
          <w:rFonts w:eastAsia="Times New Roman" w:cs="Times New Roman"/>
          <w:b/>
          <w:bCs/>
          <w:lang w:eastAsia="de-DE"/>
        </w:rPr>
        <w:t>trotz Königreich</w:t>
      </w:r>
    </w:p>
    <w:p w14:paraId="31E041CF" w14:textId="77777777" w:rsidR="00FE7F02" w:rsidRPr="00FE7F02" w:rsidRDefault="00FE7F02" w:rsidP="00B358B7">
      <w:pPr>
        <w:numPr>
          <w:ilvl w:val="0"/>
          <w:numId w:val="165"/>
        </w:numPr>
        <w:spacing w:before="100" w:beforeAutospacing="1" w:after="100" w:afterAutospacing="1" w:line="240" w:lineRule="auto"/>
        <w:rPr>
          <w:rFonts w:eastAsia="Times New Roman" w:cs="Times New Roman"/>
          <w:lang w:eastAsia="de-DE"/>
        </w:rPr>
      </w:pPr>
      <w:r w:rsidRPr="00FE7F02">
        <w:rPr>
          <w:rFonts w:ascii="Segoe UI Emoji" w:eastAsia="Times New Roman" w:hAnsi="Segoe UI Emoji" w:cs="Segoe UI Emoji"/>
          <w:lang w:eastAsia="de-DE"/>
        </w:rPr>
        <w:t>✅</w:t>
      </w:r>
      <w:r w:rsidRPr="00FE7F02">
        <w:rPr>
          <w:rFonts w:eastAsia="Times New Roman" w:cs="Times New Roman"/>
          <w:lang w:eastAsia="de-DE"/>
        </w:rPr>
        <w:t xml:space="preserve"> </w:t>
      </w:r>
      <w:r w:rsidRPr="00FE7F02">
        <w:rPr>
          <w:rFonts w:eastAsia="Times New Roman" w:cs="Times New Roman"/>
          <w:b/>
          <w:bCs/>
          <w:lang w:eastAsia="de-DE"/>
        </w:rPr>
        <w:t>Asaph</w:t>
      </w:r>
      <w:r w:rsidRPr="00FE7F02">
        <w:rPr>
          <w:rFonts w:eastAsia="Times New Roman" w:cs="Times New Roman"/>
          <w:lang w:eastAsia="de-DE"/>
        </w:rPr>
        <w:t xml:space="preserve"> fand Genüge → </w:t>
      </w:r>
      <w:r w:rsidRPr="00FE7F02">
        <w:rPr>
          <w:rFonts w:eastAsia="Times New Roman" w:cs="Times New Roman"/>
          <w:b/>
          <w:bCs/>
          <w:lang w:eastAsia="de-DE"/>
        </w:rPr>
        <w:t>trotz Neid</w:t>
      </w:r>
    </w:p>
    <w:p w14:paraId="034978BF" w14:textId="77777777" w:rsidR="00FE7F02" w:rsidRPr="00FE7F02" w:rsidRDefault="00FE7F02" w:rsidP="00B358B7">
      <w:pPr>
        <w:numPr>
          <w:ilvl w:val="0"/>
          <w:numId w:val="165"/>
        </w:numPr>
        <w:spacing w:before="100" w:beforeAutospacing="1" w:after="100" w:afterAutospacing="1" w:line="240" w:lineRule="auto"/>
        <w:rPr>
          <w:rFonts w:eastAsia="Times New Roman" w:cs="Times New Roman"/>
          <w:lang w:eastAsia="de-DE"/>
        </w:rPr>
      </w:pPr>
      <w:r w:rsidRPr="00FE7F02">
        <w:rPr>
          <w:rFonts w:ascii="Segoe UI Emoji" w:eastAsia="Times New Roman" w:hAnsi="Segoe UI Emoji" w:cs="Segoe UI Emoji"/>
          <w:lang w:eastAsia="de-DE"/>
        </w:rPr>
        <w:t>✅</w:t>
      </w:r>
      <w:r w:rsidRPr="00FE7F02">
        <w:rPr>
          <w:rFonts w:eastAsia="Times New Roman" w:cs="Times New Roman"/>
          <w:lang w:eastAsia="de-DE"/>
        </w:rPr>
        <w:t xml:space="preserve"> </w:t>
      </w:r>
      <w:r w:rsidRPr="00FE7F02">
        <w:rPr>
          <w:rFonts w:eastAsia="Times New Roman" w:cs="Times New Roman"/>
          <w:b/>
          <w:bCs/>
          <w:lang w:eastAsia="de-DE"/>
        </w:rPr>
        <w:t>Paulus</w:t>
      </w:r>
      <w:r w:rsidRPr="00FE7F02">
        <w:rPr>
          <w:rFonts w:eastAsia="Times New Roman" w:cs="Times New Roman"/>
          <w:lang w:eastAsia="de-DE"/>
        </w:rPr>
        <w:t xml:space="preserve"> verlor alles → </w:t>
      </w:r>
      <w:r w:rsidRPr="00FE7F02">
        <w:rPr>
          <w:rFonts w:eastAsia="Times New Roman" w:cs="Times New Roman"/>
          <w:b/>
          <w:bCs/>
          <w:lang w:eastAsia="de-DE"/>
        </w:rPr>
        <w:t>gewann Christus</w:t>
      </w:r>
    </w:p>
    <w:p w14:paraId="34A9E2FF" w14:textId="77777777" w:rsidR="00FE7F02" w:rsidRPr="00FE7F02" w:rsidRDefault="00FE7F02" w:rsidP="00B358B7">
      <w:pPr>
        <w:numPr>
          <w:ilvl w:val="0"/>
          <w:numId w:val="165"/>
        </w:numPr>
        <w:spacing w:before="100" w:beforeAutospacing="1" w:after="100" w:afterAutospacing="1" w:line="240" w:lineRule="auto"/>
        <w:rPr>
          <w:rFonts w:eastAsia="Times New Roman" w:cs="Times New Roman"/>
          <w:lang w:eastAsia="de-DE"/>
        </w:rPr>
      </w:pPr>
      <w:r w:rsidRPr="00FE7F02">
        <w:rPr>
          <w:rFonts w:ascii="Segoe UI Emoji" w:eastAsia="Times New Roman" w:hAnsi="Segoe UI Emoji" w:cs="Segoe UI Emoji"/>
          <w:lang w:eastAsia="de-DE"/>
        </w:rPr>
        <w:t>✅</w:t>
      </w:r>
      <w:r w:rsidRPr="00FE7F02">
        <w:rPr>
          <w:rFonts w:eastAsia="Times New Roman" w:cs="Times New Roman"/>
          <w:lang w:eastAsia="de-DE"/>
        </w:rPr>
        <w:t xml:space="preserve"> </w:t>
      </w:r>
      <w:r w:rsidRPr="00FE7F02">
        <w:rPr>
          <w:rFonts w:eastAsia="Times New Roman" w:cs="Times New Roman"/>
          <w:b/>
          <w:bCs/>
          <w:lang w:eastAsia="de-DE"/>
        </w:rPr>
        <w:t>Christen</w:t>
      </w:r>
      <w:r w:rsidRPr="00FE7F02">
        <w:rPr>
          <w:rFonts w:eastAsia="Times New Roman" w:cs="Times New Roman"/>
          <w:lang w:eastAsia="de-DE"/>
        </w:rPr>
        <w:t xml:space="preserve"> sind Pilger → </w:t>
      </w:r>
      <w:r w:rsidRPr="00FE7F02">
        <w:rPr>
          <w:rFonts w:eastAsia="Times New Roman" w:cs="Times New Roman"/>
          <w:b/>
          <w:bCs/>
          <w:lang w:eastAsia="de-DE"/>
        </w:rPr>
        <w:t>suchen die zukünftige Stadt</w:t>
      </w:r>
    </w:p>
    <w:p w14:paraId="01FC1B76" w14:textId="77777777" w:rsidR="00FE7F02" w:rsidRDefault="00FE7F02" w:rsidP="00FE7F02">
      <w:pPr>
        <w:spacing w:before="100" w:beforeAutospacing="1" w:after="100" w:afterAutospacing="1" w:line="240" w:lineRule="auto"/>
        <w:rPr>
          <w:rFonts w:eastAsia="Times New Roman" w:cs="Times New Roman"/>
          <w:b/>
          <w:bCs/>
          <w:lang w:eastAsia="de-DE"/>
        </w:rPr>
      </w:pPr>
      <w:r w:rsidRPr="00FE7F02">
        <w:rPr>
          <w:rFonts w:eastAsia="Times New Roman" w:cs="Times New Roman"/>
          <w:b/>
          <w:bCs/>
          <w:lang w:eastAsia="de-DE"/>
        </w:rPr>
        <w:t xml:space="preserve">Die größte Kompensation ist keine Kompensation, sondern das ORIGINAL: </w:t>
      </w:r>
    </w:p>
    <w:p w14:paraId="3762981C" w14:textId="5409B2A8" w:rsidR="00FE7F02" w:rsidRPr="00FE7F02" w:rsidRDefault="00FE7F02" w:rsidP="00FE7F02">
      <w:pPr>
        <w:spacing w:before="100" w:beforeAutospacing="1" w:after="100" w:afterAutospacing="1" w:line="240" w:lineRule="auto"/>
        <w:jc w:val="center"/>
        <w:rPr>
          <w:rFonts w:eastAsia="Times New Roman" w:cs="Times New Roman"/>
          <w:sz w:val="32"/>
          <w:szCs w:val="32"/>
          <w:lang w:eastAsia="de-DE"/>
        </w:rPr>
      </w:pPr>
      <w:r w:rsidRPr="00FE7F02">
        <w:rPr>
          <w:rFonts w:eastAsia="Times New Roman" w:cs="Times New Roman"/>
          <w:b/>
          <w:bCs/>
          <w:sz w:val="32"/>
          <w:szCs w:val="32"/>
          <w:lang w:eastAsia="de-DE"/>
        </w:rPr>
        <w:t>GOTT SELBST!</w:t>
      </w:r>
    </w:p>
    <w:p w14:paraId="1A3C3435"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18,21</w:t>
      </w:r>
    </w:p>
    <w:p w14:paraId="12ABA009"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וְלִבְנֵ֣י לֵוִ֔י הִנֵּ֥ה נָתַ֛תִּי כָּל־מַֽעֲשֵׂ֥ר בְּיִשְׂרָאֵ֖ל לְנַחֲלָ֑ה חֵ֤לֶף עֲבֹֽדָתָם֙ אֲשֶׁר־הֵ֣ם עֹֽבְדִ֔ים אֶת־עֲבֹדַ֖ת אֹ֥הֶל מוֹעֵֽד׃</w:t>
      </w:r>
    </w:p>
    <w:p w14:paraId="5D273762"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Und siehe, den Söhnen Levis habe ich allen Zehnten in Jisra'el zum Erbteil gegeben für ihren Dienst, den sie verrichten, den Dienst am Zelt der Begegnung.</w:t>
      </w:r>
    </w:p>
    <w:p w14:paraId="44849AB2"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2E31E0BB">
          <v:rect id="_x0000_i1625" style="width:0;height:1.5pt" o:hralign="center" o:hrstd="t" o:hr="t" fillcolor="#a0a0a0" stroked="f"/>
        </w:pict>
      </w:r>
    </w:p>
    <w:p w14:paraId="2E2F6E50"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Die Dativkonstruktion </w:t>
      </w:r>
      <w:r w:rsidRPr="00C416BE">
        <w:rPr>
          <w:rFonts w:eastAsia="Times New Roman" w:cs="Times New Roman"/>
          <w:b/>
          <w:bCs/>
          <w:rtl/>
          <w:lang w:eastAsia="de-DE"/>
        </w:rPr>
        <w:t>וְלִבְנֵי לֵוִי</w:t>
      </w:r>
      <w:r w:rsidRPr="00C416BE">
        <w:rPr>
          <w:rFonts w:eastAsia="Times New Roman" w:cs="Times New Roman"/>
          <w:rtl/>
          <w:lang w:eastAsia="de-DE"/>
        </w:rPr>
        <w:t xml:space="preserve"> </w:t>
      </w:r>
      <w:r w:rsidRPr="00C416BE">
        <w:rPr>
          <w:rFonts w:eastAsia="Times New Roman" w:cs="Times New Roman"/>
          <w:lang w:eastAsia="de-DE"/>
        </w:rPr>
        <w:t xml:space="preserve">(„und den Söhnen Levis") leitet die Versorgungsregelung für die Leviten ein. </w:t>
      </w:r>
      <w:r w:rsidRPr="00C416BE">
        <w:rPr>
          <w:rFonts w:eastAsia="Times New Roman" w:cs="Times New Roman"/>
          <w:b/>
          <w:bCs/>
          <w:rtl/>
          <w:lang w:eastAsia="de-DE"/>
        </w:rPr>
        <w:t>בְּנֵי לֵוִי</w:t>
      </w:r>
      <w:r w:rsidRPr="00C416BE">
        <w:rPr>
          <w:rFonts w:eastAsia="Times New Roman" w:cs="Times New Roman"/>
          <w:rtl/>
          <w:lang w:eastAsia="de-DE"/>
        </w:rPr>
        <w:t xml:space="preserve"> </w:t>
      </w:r>
      <w:r w:rsidRPr="00C416BE">
        <w:rPr>
          <w:rFonts w:eastAsia="Times New Roman" w:cs="Times New Roman"/>
          <w:lang w:eastAsia="de-DE"/>
        </w:rPr>
        <w:t xml:space="preserve">ist eine Constructus-Verbindung. Die Interjektion </w:t>
      </w:r>
      <w:r w:rsidRPr="00C416BE">
        <w:rPr>
          <w:rFonts w:eastAsia="Times New Roman" w:cs="Times New Roman"/>
          <w:b/>
          <w:bCs/>
          <w:rtl/>
          <w:lang w:eastAsia="de-DE"/>
        </w:rPr>
        <w:t>הִנֵּה</w:t>
      </w:r>
      <w:r w:rsidRPr="00C416BE">
        <w:rPr>
          <w:rFonts w:eastAsia="Times New Roman" w:cs="Times New Roman"/>
          <w:rtl/>
          <w:lang w:eastAsia="de-DE"/>
        </w:rPr>
        <w:t xml:space="preserve"> </w:t>
      </w:r>
      <w:r w:rsidRPr="00C416BE">
        <w:rPr>
          <w:rFonts w:eastAsia="Times New Roman" w:cs="Times New Roman"/>
          <w:lang w:eastAsia="de-DE"/>
        </w:rPr>
        <w:t>(„siehe") betont die folgende Aussage und lenkt die Aufmerksamkeit auf Gottes Gabe.</w:t>
      </w:r>
    </w:p>
    <w:p w14:paraId="6CA7D01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Das Verb </w:t>
      </w:r>
      <w:r w:rsidRPr="00C416BE">
        <w:rPr>
          <w:rFonts w:eastAsia="Times New Roman" w:cs="Times New Roman"/>
          <w:b/>
          <w:bCs/>
          <w:rtl/>
          <w:lang w:eastAsia="de-DE"/>
        </w:rPr>
        <w:t>נָתַתִּי</w:t>
      </w:r>
      <w:r w:rsidRPr="00C416BE">
        <w:rPr>
          <w:rFonts w:eastAsia="Times New Roman" w:cs="Times New Roman"/>
          <w:rtl/>
          <w:lang w:eastAsia="de-DE"/>
        </w:rPr>
        <w:t xml:space="preserve"> </w:t>
      </w:r>
      <w:r w:rsidRPr="00C416BE">
        <w:rPr>
          <w:rFonts w:eastAsia="Times New Roman" w:cs="Times New Roman"/>
          <w:lang w:eastAsia="de-DE"/>
        </w:rPr>
        <w:t xml:space="preserve">(Qal Perfekt, 1. c. sg. von </w:t>
      </w:r>
      <w:r w:rsidRPr="00C416BE">
        <w:rPr>
          <w:rFonts w:eastAsia="Times New Roman" w:cs="Times New Roman"/>
          <w:b/>
          <w:bCs/>
          <w:rtl/>
          <w:lang w:eastAsia="de-DE"/>
        </w:rPr>
        <w:t>נתן</w:t>
      </w:r>
      <w:r w:rsidRPr="00C416BE">
        <w:rPr>
          <w:rFonts w:eastAsia="Times New Roman" w:cs="Times New Roman"/>
          <w:lang w:eastAsia="de-DE"/>
        </w:rPr>
        <w:t xml:space="preserve">) bedeutet „ich habe gegeben". Das Objekt </w:t>
      </w:r>
      <w:r w:rsidRPr="00C416BE">
        <w:rPr>
          <w:rFonts w:eastAsia="Times New Roman" w:cs="Times New Roman"/>
          <w:b/>
          <w:bCs/>
          <w:rtl/>
          <w:lang w:eastAsia="de-DE"/>
        </w:rPr>
        <w:t>כָּל־מַעֲשֵׂר בְּיִשְׂרָאֵל</w:t>
      </w:r>
      <w:r w:rsidRPr="00C416BE">
        <w:rPr>
          <w:rFonts w:eastAsia="Times New Roman" w:cs="Times New Roman"/>
          <w:rtl/>
          <w:lang w:eastAsia="de-DE"/>
        </w:rPr>
        <w:t xml:space="preserve"> </w:t>
      </w:r>
      <w:r w:rsidRPr="00C416BE">
        <w:rPr>
          <w:rFonts w:eastAsia="Times New Roman" w:cs="Times New Roman"/>
          <w:lang w:eastAsia="de-DE"/>
        </w:rPr>
        <w:t xml:space="preserve">besteht aus </w:t>
      </w:r>
      <w:r w:rsidRPr="00C416BE">
        <w:rPr>
          <w:rFonts w:eastAsia="Times New Roman" w:cs="Times New Roman"/>
          <w:b/>
          <w:bCs/>
          <w:rtl/>
          <w:lang w:eastAsia="de-DE"/>
        </w:rPr>
        <w:t>כָּל</w:t>
      </w:r>
      <w:r w:rsidRPr="00C416BE">
        <w:rPr>
          <w:rFonts w:eastAsia="Times New Roman" w:cs="Times New Roman"/>
          <w:rtl/>
          <w:lang w:eastAsia="de-DE"/>
        </w:rPr>
        <w:t xml:space="preserve"> </w:t>
      </w:r>
      <w:r w:rsidRPr="00C416BE">
        <w:rPr>
          <w:rFonts w:eastAsia="Times New Roman" w:cs="Times New Roman"/>
          <w:lang w:eastAsia="de-DE"/>
        </w:rPr>
        <w:t xml:space="preserve">im Constructus vor </w:t>
      </w:r>
      <w:r w:rsidRPr="00C416BE">
        <w:rPr>
          <w:rFonts w:eastAsia="Times New Roman" w:cs="Times New Roman"/>
          <w:b/>
          <w:bCs/>
          <w:rtl/>
          <w:lang w:eastAsia="de-DE"/>
        </w:rPr>
        <w:t>מַעֲשֵׂר</w:t>
      </w:r>
      <w:r w:rsidRPr="00C416BE">
        <w:rPr>
          <w:rFonts w:eastAsia="Times New Roman" w:cs="Times New Roman"/>
          <w:rtl/>
          <w:lang w:eastAsia="de-DE"/>
        </w:rPr>
        <w:t xml:space="preserve"> </w:t>
      </w:r>
      <w:r w:rsidRPr="00C416BE">
        <w:rPr>
          <w:rFonts w:eastAsia="Times New Roman" w:cs="Times New Roman"/>
          <w:lang w:eastAsia="de-DE"/>
        </w:rPr>
        <w:t xml:space="preserve">(„Zehnter, Zehnt"), mit der Ortsangabe </w:t>
      </w:r>
      <w:r w:rsidRPr="00C416BE">
        <w:rPr>
          <w:rFonts w:eastAsia="Times New Roman" w:cs="Times New Roman"/>
          <w:b/>
          <w:bCs/>
          <w:rtl/>
          <w:lang w:eastAsia="de-DE"/>
        </w:rPr>
        <w:t>בְּיִשְׂרָאֵל</w:t>
      </w:r>
      <w:r w:rsidRPr="00C416BE">
        <w:rPr>
          <w:rFonts w:eastAsia="Times New Roman" w:cs="Times New Roman"/>
          <w:rtl/>
          <w:lang w:eastAsia="de-DE"/>
        </w:rPr>
        <w:t xml:space="preserve"> </w:t>
      </w:r>
      <w:r w:rsidRPr="00C416BE">
        <w:rPr>
          <w:rFonts w:eastAsia="Times New Roman" w:cs="Times New Roman"/>
          <w:lang w:eastAsia="de-DE"/>
        </w:rPr>
        <w:t xml:space="preserve">(„in Israel"). Die umfassende Formulierung „allen Zehnten" betont die Totalität. </w:t>
      </w:r>
      <w:r w:rsidRPr="00C416BE">
        <w:rPr>
          <w:rFonts w:eastAsia="Times New Roman" w:cs="Times New Roman"/>
          <w:b/>
          <w:bCs/>
          <w:rtl/>
          <w:lang w:eastAsia="de-DE"/>
        </w:rPr>
        <w:t>לְנַחֲלָה</w:t>
      </w:r>
      <w:r w:rsidRPr="00C416BE">
        <w:rPr>
          <w:rFonts w:eastAsia="Times New Roman" w:cs="Times New Roman"/>
          <w:rtl/>
          <w:lang w:eastAsia="de-DE"/>
        </w:rPr>
        <w:t xml:space="preserve"> </w:t>
      </w:r>
      <w:r w:rsidRPr="00C416BE">
        <w:rPr>
          <w:rFonts w:eastAsia="Times New Roman" w:cs="Times New Roman"/>
          <w:lang w:eastAsia="de-DE"/>
        </w:rPr>
        <w:t>(„zum Erbteil") gibt den Zweck an – der Zehnte funktiert als „Erbbesitz" für die landlosen Leviten.</w:t>
      </w:r>
    </w:p>
    <w:p w14:paraId="7CE82607"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Präposition </w:t>
      </w:r>
      <w:r w:rsidRPr="00C416BE">
        <w:rPr>
          <w:rFonts w:eastAsia="Times New Roman" w:cs="Times New Roman"/>
          <w:b/>
          <w:bCs/>
          <w:rtl/>
          <w:lang w:eastAsia="de-DE"/>
        </w:rPr>
        <w:t>חֵלֶף</w:t>
      </w:r>
      <w:r w:rsidRPr="00C416BE">
        <w:rPr>
          <w:rFonts w:eastAsia="Times New Roman" w:cs="Times New Roman"/>
          <w:rtl/>
          <w:lang w:eastAsia="de-DE"/>
        </w:rPr>
        <w:t xml:space="preserve"> </w:t>
      </w:r>
      <w:r w:rsidRPr="00C416BE">
        <w:rPr>
          <w:rFonts w:eastAsia="Times New Roman" w:cs="Times New Roman"/>
          <w:lang w:eastAsia="de-DE"/>
        </w:rPr>
        <w:t xml:space="preserve">(„für, anstelle von, als Ersatz für") leitet die Begründung ein. </w:t>
      </w:r>
      <w:r w:rsidRPr="00C416BE">
        <w:rPr>
          <w:rFonts w:eastAsia="Times New Roman" w:cs="Times New Roman"/>
          <w:b/>
          <w:bCs/>
          <w:rtl/>
          <w:lang w:eastAsia="de-DE"/>
        </w:rPr>
        <w:t>עֲבֹדָתָם</w:t>
      </w:r>
      <w:r w:rsidRPr="00C416BE">
        <w:rPr>
          <w:rFonts w:eastAsia="Times New Roman" w:cs="Times New Roman"/>
          <w:rtl/>
          <w:lang w:eastAsia="de-DE"/>
        </w:rPr>
        <w:t xml:space="preserve"> </w:t>
      </w:r>
      <w:r w:rsidRPr="00C416BE">
        <w:rPr>
          <w:rFonts w:eastAsia="Times New Roman" w:cs="Times New Roman"/>
          <w:lang w:eastAsia="de-DE"/>
        </w:rPr>
        <w:t>ist „ihr Dienst" (</w:t>
      </w:r>
      <w:r w:rsidRPr="00C416BE">
        <w:rPr>
          <w:rFonts w:eastAsia="Times New Roman" w:cs="Times New Roman"/>
          <w:b/>
          <w:bCs/>
          <w:rtl/>
          <w:lang w:eastAsia="de-DE"/>
        </w:rPr>
        <w:t>עֲבֹדָה</w:t>
      </w:r>
      <w:r w:rsidRPr="00C416BE">
        <w:rPr>
          <w:rFonts w:eastAsia="Times New Roman" w:cs="Times New Roman"/>
          <w:rtl/>
          <w:lang w:eastAsia="de-DE"/>
        </w:rPr>
        <w:t xml:space="preserve"> </w:t>
      </w:r>
      <w:r w:rsidRPr="00C416BE">
        <w:rPr>
          <w:rFonts w:eastAsia="Times New Roman" w:cs="Times New Roman"/>
          <w:lang w:eastAsia="de-DE"/>
        </w:rPr>
        <w:t xml:space="preserve">mit Possessivsuffix 3. m. pl.). Der Relativsatz </w:t>
      </w:r>
      <w:r w:rsidRPr="00C416BE">
        <w:rPr>
          <w:rFonts w:eastAsia="Times New Roman" w:cs="Times New Roman"/>
          <w:b/>
          <w:bCs/>
          <w:rtl/>
          <w:lang w:eastAsia="de-DE"/>
        </w:rPr>
        <w:t>אֲשֶׁר־הֵם עֹבְדִים</w:t>
      </w:r>
      <w:r w:rsidRPr="00C416BE">
        <w:rPr>
          <w:rFonts w:eastAsia="Times New Roman" w:cs="Times New Roman"/>
          <w:rtl/>
          <w:lang w:eastAsia="de-DE"/>
        </w:rPr>
        <w:t xml:space="preserve"> </w:t>
      </w:r>
      <w:r w:rsidRPr="00C416BE">
        <w:rPr>
          <w:rFonts w:eastAsia="Times New Roman" w:cs="Times New Roman"/>
          <w:lang w:eastAsia="de-DE"/>
        </w:rPr>
        <w:t xml:space="preserve">spezifiziert: </w:t>
      </w:r>
      <w:r w:rsidRPr="00C416BE">
        <w:rPr>
          <w:rFonts w:eastAsia="Times New Roman" w:cs="Times New Roman"/>
          <w:b/>
          <w:bCs/>
          <w:rtl/>
          <w:lang w:eastAsia="de-DE"/>
        </w:rPr>
        <w:lastRenderedPageBreak/>
        <w:t>אֲשֶׁר</w:t>
      </w:r>
      <w:r w:rsidRPr="00C416BE">
        <w:rPr>
          <w:rFonts w:eastAsia="Times New Roman" w:cs="Times New Roman"/>
          <w:rtl/>
          <w:lang w:eastAsia="de-DE"/>
        </w:rPr>
        <w:t xml:space="preserve"> </w:t>
      </w:r>
      <w:r w:rsidRPr="00C416BE">
        <w:rPr>
          <w:rFonts w:eastAsia="Times New Roman" w:cs="Times New Roman"/>
          <w:lang w:eastAsia="de-DE"/>
        </w:rPr>
        <w:t xml:space="preserve">Relativpronomen, </w:t>
      </w:r>
      <w:r w:rsidRPr="00C416BE">
        <w:rPr>
          <w:rFonts w:eastAsia="Times New Roman" w:cs="Times New Roman"/>
          <w:b/>
          <w:bCs/>
          <w:rtl/>
          <w:lang w:eastAsia="de-DE"/>
        </w:rPr>
        <w:t>הֵם</w:t>
      </w:r>
      <w:r w:rsidRPr="00C416BE">
        <w:rPr>
          <w:rFonts w:eastAsia="Times New Roman" w:cs="Times New Roman"/>
          <w:rtl/>
          <w:lang w:eastAsia="de-DE"/>
        </w:rPr>
        <w:t xml:space="preserve"> </w:t>
      </w:r>
      <w:r w:rsidRPr="00C416BE">
        <w:rPr>
          <w:rFonts w:eastAsia="Times New Roman" w:cs="Times New Roman"/>
          <w:lang w:eastAsia="de-DE"/>
        </w:rPr>
        <w:t xml:space="preserve">emphatisches Pronomen 3. m. pl. („sie"), </w:t>
      </w:r>
      <w:r w:rsidRPr="00C416BE">
        <w:rPr>
          <w:rFonts w:eastAsia="Times New Roman" w:cs="Times New Roman"/>
          <w:b/>
          <w:bCs/>
          <w:rtl/>
          <w:lang w:eastAsia="de-DE"/>
        </w:rPr>
        <w:t>עֹבְדִים</w:t>
      </w:r>
      <w:r w:rsidRPr="00C416BE">
        <w:rPr>
          <w:rFonts w:eastAsia="Times New Roman" w:cs="Times New Roman"/>
          <w:rtl/>
          <w:lang w:eastAsia="de-DE"/>
        </w:rPr>
        <w:t xml:space="preserve"> </w:t>
      </w:r>
      <w:r w:rsidRPr="00C416BE">
        <w:rPr>
          <w:rFonts w:eastAsia="Times New Roman" w:cs="Times New Roman"/>
          <w:lang w:eastAsia="de-DE"/>
        </w:rPr>
        <w:t xml:space="preserve">(Qal Partizip Plural maskulinum von </w:t>
      </w:r>
      <w:r w:rsidRPr="00C416BE">
        <w:rPr>
          <w:rFonts w:eastAsia="Times New Roman" w:cs="Times New Roman"/>
          <w:b/>
          <w:bCs/>
          <w:rtl/>
          <w:lang w:eastAsia="de-DE"/>
        </w:rPr>
        <w:t>עבד</w:t>
      </w:r>
      <w:r w:rsidRPr="00C416BE">
        <w:rPr>
          <w:rFonts w:eastAsia="Times New Roman" w:cs="Times New Roman"/>
          <w:lang w:eastAsia="de-DE"/>
        </w:rPr>
        <w:t xml:space="preserve">, „die Dienenden, die verrichten"). Das Objekt </w:t>
      </w:r>
      <w:r w:rsidRPr="00C416BE">
        <w:rPr>
          <w:rFonts w:eastAsia="Times New Roman" w:cs="Times New Roman"/>
          <w:b/>
          <w:bCs/>
          <w:rtl/>
          <w:lang w:eastAsia="de-DE"/>
        </w:rPr>
        <w:t>אֶת־עֲבֹדַת אֹהֶל מוֹעֵד</w:t>
      </w:r>
      <w:r w:rsidRPr="00C416BE">
        <w:rPr>
          <w:rFonts w:eastAsia="Times New Roman" w:cs="Times New Roman"/>
          <w:rtl/>
          <w:lang w:eastAsia="de-DE"/>
        </w:rPr>
        <w:t xml:space="preserve"> </w:t>
      </w:r>
      <w:r w:rsidRPr="00C416BE">
        <w:rPr>
          <w:rFonts w:eastAsia="Times New Roman" w:cs="Times New Roman"/>
          <w:lang w:eastAsia="de-DE"/>
        </w:rPr>
        <w:t xml:space="preserve">ist eine Constructus-Verbindung mit Objektpartikel: „den Dienst des Zeltes der Begegnung". Die Wiederholung von </w:t>
      </w:r>
      <w:r w:rsidRPr="00C416BE">
        <w:rPr>
          <w:rFonts w:eastAsia="Times New Roman" w:cs="Times New Roman"/>
          <w:b/>
          <w:bCs/>
          <w:rtl/>
          <w:lang w:eastAsia="de-DE"/>
        </w:rPr>
        <w:t>עבד</w:t>
      </w:r>
      <w:r w:rsidRPr="00C416BE">
        <w:rPr>
          <w:rFonts w:eastAsia="Times New Roman" w:cs="Times New Roman"/>
          <w:rtl/>
          <w:lang w:eastAsia="de-DE"/>
        </w:rPr>
        <w:t xml:space="preserve"> </w:t>
      </w:r>
      <w:r w:rsidRPr="00C416BE">
        <w:rPr>
          <w:rFonts w:eastAsia="Times New Roman" w:cs="Times New Roman"/>
          <w:lang w:eastAsia="de-DE"/>
        </w:rPr>
        <w:t>in verschiedenen Formen (</w:t>
      </w:r>
      <w:r w:rsidRPr="00C416BE">
        <w:rPr>
          <w:rFonts w:eastAsia="Times New Roman" w:cs="Times New Roman"/>
          <w:b/>
          <w:bCs/>
          <w:rtl/>
          <w:lang w:eastAsia="de-DE"/>
        </w:rPr>
        <w:t>עֲבֹדָתָם</w:t>
      </w:r>
      <w:r w:rsidRPr="00C416BE">
        <w:rPr>
          <w:rFonts w:eastAsia="Times New Roman" w:cs="Times New Roman"/>
          <w:lang w:eastAsia="de-DE"/>
        </w:rPr>
        <w:t xml:space="preserve">, </w:t>
      </w:r>
      <w:r w:rsidRPr="00C416BE">
        <w:rPr>
          <w:rFonts w:eastAsia="Times New Roman" w:cs="Times New Roman"/>
          <w:b/>
          <w:bCs/>
          <w:rtl/>
          <w:lang w:eastAsia="de-DE"/>
        </w:rPr>
        <w:t>עֹבְדִים</w:t>
      </w:r>
      <w:r w:rsidRPr="00C416BE">
        <w:rPr>
          <w:rFonts w:eastAsia="Times New Roman" w:cs="Times New Roman"/>
          <w:lang w:eastAsia="de-DE"/>
        </w:rPr>
        <w:t xml:space="preserve">, </w:t>
      </w:r>
      <w:r w:rsidRPr="00C416BE">
        <w:rPr>
          <w:rFonts w:eastAsia="Times New Roman" w:cs="Times New Roman"/>
          <w:b/>
          <w:bCs/>
          <w:rtl/>
          <w:lang w:eastAsia="de-DE"/>
        </w:rPr>
        <w:t>עֲבֹדַת</w:t>
      </w:r>
      <w:r w:rsidRPr="00C416BE">
        <w:rPr>
          <w:rFonts w:eastAsia="Times New Roman" w:cs="Times New Roman"/>
          <w:lang w:eastAsia="de-DE"/>
        </w:rPr>
        <w:t>) unterstreicht thematisch den Dienst als Grundlage der Versorgung.</w:t>
      </w:r>
    </w:p>
    <w:p w14:paraId="7107C29E" w14:textId="2EC5A92A"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folgt dem hebräischen Text eng und gibt die </w:t>
      </w:r>
      <w:r w:rsidR="00F133EC">
        <w:rPr>
          <w:rFonts w:eastAsia="Times New Roman" w:cs="Times New Roman"/>
          <w:lang w:eastAsia="de-DE"/>
        </w:rPr>
        <w:t>Construct</w:t>
      </w:r>
      <w:r w:rsidRPr="00C416BE">
        <w:rPr>
          <w:rFonts w:eastAsia="Times New Roman" w:cs="Times New Roman"/>
          <w:lang w:eastAsia="de-DE"/>
        </w:rPr>
        <w:t>ionen entsprechend wieder.</w:t>
      </w:r>
    </w:p>
    <w:p w14:paraId="51C20CC7"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Hauptsatz mit Dativkonstruktion, Interjektion, Verb, Objekt (Constructus-Verbindung mit Ortsangabe) und Zweckangabe, gefolgt von einer präpositionalen Begründung mit Objekt (Possessivsuffix) und erweitertem Relativsatz mit emphatischem Pronomen, Partizip und Objekt (Constructus-Verbindung). Insgesamt gibt es einen Nebensatz (Relativsatz).</w:t>
      </w:r>
    </w:p>
    <w:p w14:paraId="1C70FEFE"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definiert die levitische Versorgung analog zur priesterlichen: Der Zehnte aller Israeliten ist ihr „Erbteil" als gerechte Kompensation für ihren unverzichtbaren Dienst am Heiligtum.</w:t>
      </w:r>
    </w:p>
    <w:p w14:paraId="35F321CD"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18,22</w:t>
      </w:r>
    </w:p>
    <w:p w14:paraId="4B6492E8"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וְלֹא־יִקְרְב֥וּ ע֛וֹד בְּנֵ֥י יִשְׂרָאֵ֖ל אֶל־אֹ֣הֶל מוֹעֵ֑ד לָשֵׂ֥את חֵ֖טְא לָמֽוּת׃</w:t>
      </w:r>
    </w:p>
    <w:p w14:paraId="6C64BB86"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Und die Söhne Jisra'els sollen nicht mehr zum Zelt der Begegnung nahen, um Sünde auf sich zu laden, dass sie sterben;</w:t>
      </w:r>
    </w:p>
    <w:p w14:paraId="6F7AFD70"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4A872180">
          <v:rect id="_x0000_i1626" style="width:0;height:1.5pt" o:hralign="center" o:hrstd="t" o:hr="t" fillcolor="#a0a0a0" stroked="f"/>
        </w:pict>
      </w:r>
    </w:p>
    <w:p w14:paraId="5C5991F8"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Die Konjunktion </w:t>
      </w:r>
      <w:r w:rsidRPr="00C416BE">
        <w:rPr>
          <w:rFonts w:eastAsia="Times New Roman" w:cs="Times New Roman"/>
          <w:b/>
          <w:bCs/>
          <w:rtl/>
          <w:lang w:eastAsia="de-DE"/>
        </w:rPr>
        <w:t>וְ</w:t>
      </w:r>
      <w:r w:rsidRPr="00C416BE">
        <w:rPr>
          <w:rFonts w:eastAsia="Times New Roman" w:cs="Times New Roman"/>
          <w:rtl/>
          <w:lang w:eastAsia="de-DE"/>
        </w:rPr>
        <w:t xml:space="preserve"> </w:t>
      </w:r>
      <w:r w:rsidRPr="00C416BE">
        <w:rPr>
          <w:rFonts w:eastAsia="Times New Roman" w:cs="Times New Roman"/>
          <w:lang w:eastAsia="de-DE"/>
        </w:rPr>
        <w:t xml:space="preserve">verbindet mit dem vorherigen Kontext. Die Negation </w:t>
      </w:r>
      <w:r w:rsidRPr="00C416BE">
        <w:rPr>
          <w:rFonts w:eastAsia="Times New Roman" w:cs="Times New Roman"/>
          <w:b/>
          <w:bCs/>
          <w:rtl/>
          <w:lang w:eastAsia="de-DE"/>
        </w:rPr>
        <w:t>לֹא</w:t>
      </w:r>
      <w:r w:rsidRPr="00C416BE">
        <w:rPr>
          <w:rFonts w:eastAsia="Times New Roman" w:cs="Times New Roman"/>
          <w:rtl/>
          <w:lang w:eastAsia="de-DE"/>
        </w:rPr>
        <w:t xml:space="preserve"> </w:t>
      </w:r>
      <w:r w:rsidRPr="00C416BE">
        <w:rPr>
          <w:rFonts w:eastAsia="Times New Roman" w:cs="Times New Roman"/>
          <w:lang w:eastAsia="de-DE"/>
        </w:rPr>
        <w:t xml:space="preserve">mit dem Verb </w:t>
      </w:r>
      <w:r w:rsidRPr="00C416BE">
        <w:rPr>
          <w:rFonts w:eastAsia="Times New Roman" w:cs="Times New Roman"/>
          <w:b/>
          <w:bCs/>
          <w:rtl/>
          <w:lang w:eastAsia="de-DE"/>
        </w:rPr>
        <w:t>יִקְרְבוּ</w:t>
      </w:r>
      <w:r w:rsidRPr="00C416BE">
        <w:rPr>
          <w:rFonts w:eastAsia="Times New Roman" w:cs="Times New Roman"/>
          <w:rtl/>
          <w:lang w:eastAsia="de-DE"/>
        </w:rPr>
        <w:t xml:space="preserve"> </w:t>
      </w:r>
      <w:r w:rsidRPr="00C416BE">
        <w:rPr>
          <w:rFonts w:eastAsia="Times New Roman" w:cs="Times New Roman"/>
          <w:lang w:eastAsia="de-DE"/>
        </w:rPr>
        <w:t xml:space="preserve">(Qal Imperfekt, 3. m. pl. von </w:t>
      </w:r>
      <w:r w:rsidRPr="00C416BE">
        <w:rPr>
          <w:rFonts w:eastAsia="Times New Roman" w:cs="Times New Roman"/>
          <w:b/>
          <w:bCs/>
          <w:rtl/>
          <w:lang w:eastAsia="de-DE"/>
        </w:rPr>
        <w:t>קרב</w:t>
      </w:r>
      <w:r w:rsidRPr="00C416BE">
        <w:rPr>
          <w:rFonts w:eastAsia="Times New Roman" w:cs="Times New Roman"/>
          <w:lang w:eastAsia="de-DE"/>
        </w:rPr>
        <w:t xml:space="preserve">, „sie sollen nahen") verbietet kategorisch. Das Adverb </w:t>
      </w:r>
      <w:r w:rsidRPr="00C416BE">
        <w:rPr>
          <w:rFonts w:eastAsia="Times New Roman" w:cs="Times New Roman"/>
          <w:b/>
          <w:bCs/>
          <w:rtl/>
          <w:lang w:eastAsia="de-DE"/>
        </w:rPr>
        <w:t>עוֹד</w:t>
      </w:r>
      <w:r w:rsidRPr="00C416BE">
        <w:rPr>
          <w:rFonts w:eastAsia="Times New Roman" w:cs="Times New Roman"/>
          <w:rtl/>
          <w:lang w:eastAsia="de-DE"/>
        </w:rPr>
        <w:t xml:space="preserve"> </w:t>
      </w:r>
      <w:r w:rsidRPr="00C416BE">
        <w:rPr>
          <w:rFonts w:eastAsia="Times New Roman" w:cs="Times New Roman"/>
          <w:lang w:eastAsia="de-DE"/>
        </w:rPr>
        <w:t>(„noch, mehr") verstärkt: „nicht mehr" – nach den Ereignissen von Kapitel 16-17 ist die Grenze klar.</w:t>
      </w:r>
    </w:p>
    <w:p w14:paraId="7341C0AA"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Das Subjekt </w:t>
      </w:r>
      <w:r w:rsidRPr="00C416BE">
        <w:rPr>
          <w:rFonts w:eastAsia="Times New Roman" w:cs="Times New Roman"/>
          <w:b/>
          <w:bCs/>
          <w:rtl/>
          <w:lang w:eastAsia="de-DE"/>
        </w:rPr>
        <w:t>בְּנֵי יִשְׂרָאֵל</w:t>
      </w:r>
      <w:r w:rsidRPr="00C416BE">
        <w:rPr>
          <w:rFonts w:eastAsia="Times New Roman" w:cs="Times New Roman"/>
          <w:rtl/>
          <w:lang w:eastAsia="de-DE"/>
        </w:rPr>
        <w:t xml:space="preserve"> </w:t>
      </w:r>
      <w:r w:rsidRPr="00C416BE">
        <w:rPr>
          <w:rFonts w:eastAsia="Times New Roman" w:cs="Times New Roman"/>
          <w:lang w:eastAsia="de-DE"/>
        </w:rPr>
        <w:t xml:space="preserve">bezeichnet die gewöhnlichen Israeliten, die Laien. Die Präposition </w:t>
      </w:r>
      <w:r w:rsidRPr="00C416BE">
        <w:rPr>
          <w:rFonts w:eastAsia="Times New Roman" w:cs="Times New Roman"/>
          <w:b/>
          <w:bCs/>
          <w:rtl/>
          <w:lang w:eastAsia="de-DE"/>
        </w:rPr>
        <w:t>אֶל־אֹהֶל מוֹעֵד</w:t>
      </w:r>
      <w:r w:rsidRPr="00C416BE">
        <w:rPr>
          <w:rFonts w:eastAsia="Times New Roman" w:cs="Times New Roman"/>
          <w:rtl/>
          <w:lang w:eastAsia="de-DE"/>
        </w:rPr>
        <w:t xml:space="preserve"> </w:t>
      </w:r>
      <w:r w:rsidRPr="00C416BE">
        <w:rPr>
          <w:rFonts w:eastAsia="Times New Roman" w:cs="Times New Roman"/>
          <w:lang w:eastAsia="de-DE"/>
        </w:rPr>
        <w:t xml:space="preserve">(„zum Zelt der Begegnung") gibt das verbotene Ziel an. Der finale Infinitiv </w:t>
      </w:r>
      <w:r w:rsidRPr="00C416BE">
        <w:rPr>
          <w:rFonts w:eastAsia="Times New Roman" w:cs="Times New Roman"/>
          <w:b/>
          <w:bCs/>
          <w:rtl/>
          <w:lang w:eastAsia="de-DE"/>
        </w:rPr>
        <w:t>לָשֵׂאת</w:t>
      </w:r>
      <w:r w:rsidRPr="00C416BE">
        <w:rPr>
          <w:rFonts w:eastAsia="Times New Roman" w:cs="Times New Roman"/>
          <w:rtl/>
          <w:lang w:eastAsia="de-DE"/>
        </w:rPr>
        <w:t xml:space="preserve"> </w:t>
      </w:r>
      <w:r w:rsidRPr="00C416BE">
        <w:rPr>
          <w:rFonts w:eastAsia="Times New Roman" w:cs="Times New Roman"/>
          <w:lang w:eastAsia="de-DE"/>
        </w:rPr>
        <w:t xml:space="preserve">(Qal Infinitiv construct von </w:t>
      </w:r>
      <w:r w:rsidRPr="00C416BE">
        <w:rPr>
          <w:rFonts w:eastAsia="Times New Roman" w:cs="Times New Roman"/>
          <w:b/>
          <w:bCs/>
          <w:rtl/>
          <w:lang w:eastAsia="de-DE"/>
        </w:rPr>
        <w:t>נשׂא</w:t>
      </w:r>
      <w:r w:rsidRPr="00C416BE">
        <w:rPr>
          <w:rFonts w:eastAsia="Times New Roman" w:cs="Times New Roman"/>
          <w:rtl/>
          <w:lang w:eastAsia="de-DE"/>
        </w:rPr>
        <w:t xml:space="preserve"> </w:t>
      </w:r>
      <w:r w:rsidRPr="00C416BE">
        <w:rPr>
          <w:rFonts w:eastAsia="Times New Roman" w:cs="Times New Roman"/>
          <w:lang w:eastAsia="de-DE"/>
        </w:rPr>
        <w:t xml:space="preserve">mit </w:t>
      </w:r>
      <w:r w:rsidRPr="00C416BE">
        <w:rPr>
          <w:rFonts w:eastAsia="Times New Roman" w:cs="Times New Roman"/>
          <w:b/>
          <w:bCs/>
          <w:rtl/>
          <w:lang w:eastAsia="de-DE"/>
        </w:rPr>
        <w:t>לְ</w:t>
      </w:r>
      <w:r w:rsidRPr="00C416BE">
        <w:rPr>
          <w:rFonts w:eastAsia="Times New Roman" w:cs="Times New Roman"/>
          <w:lang w:eastAsia="de-DE"/>
        </w:rPr>
        <w:t xml:space="preserve">, „um zu tragen") mit dem Objekt </w:t>
      </w:r>
      <w:r w:rsidRPr="00C416BE">
        <w:rPr>
          <w:rFonts w:eastAsia="Times New Roman" w:cs="Times New Roman"/>
          <w:b/>
          <w:bCs/>
          <w:rtl/>
          <w:lang w:eastAsia="de-DE"/>
        </w:rPr>
        <w:t>חֵטְא</w:t>
      </w:r>
      <w:r w:rsidRPr="00C416BE">
        <w:rPr>
          <w:rFonts w:eastAsia="Times New Roman" w:cs="Times New Roman"/>
          <w:rtl/>
          <w:lang w:eastAsia="de-DE"/>
        </w:rPr>
        <w:t xml:space="preserve"> </w:t>
      </w:r>
      <w:r w:rsidRPr="00C416BE">
        <w:rPr>
          <w:rFonts w:eastAsia="Times New Roman" w:cs="Times New Roman"/>
          <w:lang w:eastAsia="de-DE"/>
        </w:rPr>
        <w:t xml:space="preserve">(„Sünde") drückt die Konsequenz aus: </w:t>
      </w:r>
      <w:r w:rsidRPr="00C416BE">
        <w:rPr>
          <w:rFonts w:eastAsia="Times New Roman" w:cs="Times New Roman"/>
          <w:b/>
          <w:bCs/>
          <w:rtl/>
          <w:lang w:eastAsia="de-DE"/>
        </w:rPr>
        <w:t>נשׂא חטא</w:t>
      </w:r>
      <w:r w:rsidRPr="00C416BE">
        <w:rPr>
          <w:rFonts w:eastAsia="Times New Roman" w:cs="Times New Roman"/>
          <w:rtl/>
          <w:lang w:eastAsia="de-DE"/>
        </w:rPr>
        <w:t xml:space="preserve"> </w:t>
      </w:r>
      <w:r w:rsidRPr="00C416BE">
        <w:rPr>
          <w:rFonts w:eastAsia="Times New Roman" w:cs="Times New Roman"/>
          <w:lang w:eastAsia="de-DE"/>
        </w:rPr>
        <w:t>ist eine idiomatische Wendung für „Schuld/Sünde auf sich laden, Verantwortung für Sünde tragen".</w:t>
      </w:r>
    </w:p>
    <w:p w14:paraId="3C893757" w14:textId="047A09C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Der zweite finale Infinitiv </w:t>
      </w:r>
      <w:r w:rsidRPr="00C416BE">
        <w:rPr>
          <w:rFonts w:eastAsia="Times New Roman" w:cs="Times New Roman"/>
          <w:b/>
          <w:bCs/>
          <w:rtl/>
          <w:lang w:eastAsia="de-DE"/>
        </w:rPr>
        <w:t>לָמוּת</w:t>
      </w:r>
      <w:r w:rsidRPr="00C416BE">
        <w:rPr>
          <w:rFonts w:eastAsia="Times New Roman" w:cs="Times New Roman"/>
          <w:rtl/>
          <w:lang w:eastAsia="de-DE"/>
        </w:rPr>
        <w:t xml:space="preserve"> </w:t>
      </w:r>
      <w:r w:rsidRPr="00C416BE">
        <w:rPr>
          <w:rFonts w:eastAsia="Times New Roman" w:cs="Times New Roman"/>
          <w:lang w:eastAsia="de-DE"/>
        </w:rPr>
        <w:t xml:space="preserve">(Qal Infinitiv construct von </w:t>
      </w:r>
      <w:r w:rsidRPr="00C416BE">
        <w:rPr>
          <w:rFonts w:eastAsia="Times New Roman" w:cs="Times New Roman"/>
          <w:b/>
          <w:bCs/>
          <w:rtl/>
          <w:lang w:eastAsia="de-DE"/>
        </w:rPr>
        <w:t>מות</w:t>
      </w:r>
      <w:r w:rsidRPr="00C416BE">
        <w:rPr>
          <w:rFonts w:eastAsia="Times New Roman" w:cs="Times New Roman"/>
          <w:rtl/>
          <w:lang w:eastAsia="de-DE"/>
        </w:rPr>
        <w:t xml:space="preserve"> </w:t>
      </w:r>
      <w:r w:rsidRPr="00C416BE">
        <w:rPr>
          <w:rFonts w:eastAsia="Times New Roman" w:cs="Times New Roman"/>
          <w:lang w:eastAsia="de-DE"/>
        </w:rPr>
        <w:t xml:space="preserve">mit </w:t>
      </w:r>
      <w:r w:rsidRPr="00C416BE">
        <w:rPr>
          <w:rFonts w:eastAsia="Times New Roman" w:cs="Times New Roman"/>
          <w:b/>
          <w:bCs/>
          <w:rtl/>
          <w:lang w:eastAsia="de-DE"/>
        </w:rPr>
        <w:t>לְ</w:t>
      </w:r>
      <w:r w:rsidRPr="00C416BE">
        <w:rPr>
          <w:rFonts w:eastAsia="Times New Roman" w:cs="Times New Roman"/>
          <w:lang w:eastAsia="de-DE"/>
        </w:rPr>
        <w:t xml:space="preserve">, „zum Sterben") gibt die letale Folge an. Die </w:t>
      </w:r>
      <w:r w:rsidR="00F133EC">
        <w:rPr>
          <w:rFonts w:eastAsia="Times New Roman" w:cs="Times New Roman"/>
          <w:lang w:eastAsia="de-DE"/>
        </w:rPr>
        <w:t>Construct</w:t>
      </w:r>
      <w:r w:rsidRPr="00C416BE">
        <w:rPr>
          <w:rFonts w:eastAsia="Times New Roman" w:cs="Times New Roman"/>
          <w:lang w:eastAsia="de-DE"/>
        </w:rPr>
        <w:t xml:space="preserve">ion </w:t>
      </w:r>
      <w:r w:rsidRPr="00C416BE">
        <w:rPr>
          <w:rFonts w:eastAsia="Times New Roman" w:cs="Times New Roman"/>
          <w:b/>
          <w:bCs/>
          <w:rtl/>
          <w:lang w:eastAsia="de-DE"/>
        </w:rPr>
        <w:t>לָשֵׂאת חֵטְא לָמוּת</w:t>
      </w:r>
      <w:r w:rsidRPr="00C416BE">
        <w:rPr>
          <w:rFonts w:eastAsia="Times New Roman" w:cs="Times New Roman"/>
          <w:rtl/>
          <w:lang w:eastAsia="de-DE"/>
        </w:rPr>
        <w:t xml:space="preserve"> </w:t>
      </w:r>
      <w:r w:rsidRPr="00C416BE">
        <w:rPr>
          <w:rFonts w:eastAsia="Times New Roman" w:cs="Times New Roman"/>
          <w:lang w:eastAsia="de-DE"/>
        </w:rPr>
        <w:t>bedeutet: „um Sünde zu tragen, sodass sie sterben" – die Annäherung selbst ist die tödliche Sünde. Dies beantwortet die Angst aus 17,27-28: Das Volk muss nicht nahen, deshalb wird es nicht sterben.</w:t>
      </w:r>
    </w:p>
    <w:p w14:paraId="771CC890"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folgt dem hebräischen Text.</w:t>
      </w:r>
    </w:p>
    <w:p w14:paraId="264732DA"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Hauptsatz mit Konjunktion, Negation, Adverb, Verb, Subjekt und Präpositionalphrase, gefolgt von zwei finalen Infinitivkonstruktionen (Nebensätze), die die Konsequenz ausdrücken. Insgesamt gibt es zwei Nebensätze (finale Infinitivsätze).</w:t>
      </w:r>
    </w:p>
    <w:p w14:paraId="14769676"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lastRenderedPageBreak/>
        <w:t>Der Vers ist die direkte Antwort auf die Todesangst des Volkes: Sie sollen nicht nahen – deshalb werden sie nicht sterben. Die Leviten und Priester fungieren als schützende Barriere.</w:t>
      </w:r>
    </w:p>
    <w:p w14:paraId="2476E85D"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18,23</w:t>
      </w:r>
    </w:p>
    <w:p w14:paraId="00BCF3C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וְעָבַ֨ד הַלֵּוִ֜י ה֗וּא אֶת־עֲבֹדַת֙ אֹ֣הֶל מוֹעֵ֔ד וְהֵ֖ם יִשְׂא֣וּ עֲוֹנָ֑ם חֻקַּ֤ת עוֹלָם֙ לְדֹרֹ֣תֵיכֶ֔ם וּבְתוֹךְ֙ בְּנֵ֣י יִשְׂרָאֵ֔ל לֹ֥א יִנְחֲל֖וּ נַחֲלָֽה׃</w:t>
      </w:r>
    </w:p>
    <w:p w14:paraId="6BE1EC44"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Sondern Levi, er soll den Dienst am Zelt der Begegnung verrichten, und sie sollen ihre Schuld tragen: eine ewige Satzung bei euren Generationen. Aber inmitten der Söhne Jisra'els sollen sie kein Erbteil besitzen;</w:t>
      </w:r>
    </w:p>
    <w:p w14:paraId="5531E304"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3D1D14DA">
          <v:rect id="_x0000_i1627" style="width:0;height:1.5pt" o:hralign="center" o:hrstd="t" o:hr="t" fillcolor="#a0a0a0" stroked="f"/>
        </w:pict>
      </w:r>
    </w:p>
    <w:p w14:paraId="75DEEEA3"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Die adversative Konjunktion </w:t>
      </w:r>
      <w:r w:rsidRPr="00C416BE">
        <w:rPr>
          <w:rFonts w:eastAsia="Times New Roman" w:cs="Times New Roman"/>
          <w:b/>
          <w:bCs/>
          <w:rtl/>
          <w:lang w:eastAsia="de-DE"/>
        </w:rPr>
        <w:t>וְ</w:t>
      </w:r>
      <w:r w:rsidRPr="00C416BE">
        <w:rPr>
          <w:rFonts w:eastAsia="Times New Roman" w:cs="Times New Roman"/>
          <w:rtl/>
          <w:lang w:eastAsia="de-DE"/>
        </w:rPr>
        <w:t xml:space="preserve"> </w:t>
      </w:r>
      <w:r w:rsidRPr="00C416BE">
        <w:rPr>
          <w:rFonts w:eastAsia="Times New Roman" w:cs="Times New Roman"/>
          <w:lang w:eastAsia="de-DE"/>
        </w:rPr>
        <w:t xml:space="preserve">markiert den Kontrast: Nicht das Volk, sondern die Leviten. Das Verb </w:t>
      </w:r>
      <w:r w:rsidRPr="00C416BE">
        <w:rPr>
          <w:rFonts w:eastAsia="Times New Roman" w:cs="Times New Roman"/>
          <w:b/>
          <w:bCs/>
          <w:rtl/>
          <w:lang w:eastAsia="de-DE"/>
        </w:rPr>
        <w:t>עָבַד</w:t>
      </w:r>
      <w:r w:rsidRPr="00C416BE">
        <w:rPr>
          <w:rFonts w:eastAsia="Times New Roman" w:cs="Times New Roman"/>
          <w:rtl/>
          <w:lang w:eastAsia="de-DE"/>
        </w:rPr>
        <w:t xml:space="preserve"> </w:t>
      </w:r>
      <w:r w:rsidRPr="00C416BE">
        <w:rPr>
          <w:rFonts w:eastAsia="Times New Roman" w:cs="Times New Roman"/>
          <w:lang w:eastAsia="de-DE"/>
        </w:rPr>
        <w:t xml:space="preserve">(Qal Perfekt, 3. m. sg. von </w:t>
      </w:r>
      <w:r w:rsidRPr="00C416BE">
        <w:rPr>
          <w:rFonts w:eastAsia="Times New Roman" w:cs="Times New Roman"/>
          <w:b/>
          <w:bCs/>
          <w:rtl/>
          <w:lang w:eastAsia="de-DE"/>
        </w:rPr>
        <w:t>עבד</w:t>
      </w:r>
      <w:r w:rsidRPr="00C416BE">
        <w:rPr>
          <w:rFonts w:eastAsia="Times New Roman" w:cs="Times New Roman"/>
          <w:lang w:eastAsia="de-DE"/>
        </w:rPr>
        <w:t xml:space="preserve">) bedeutet „er soll dienen". Das Subjekt </w:t>
      </w:r>
      <w:r w:rsidRPr="00C416BE">
        <w:rPr>
          <w:rFonts w:eastAsia="Times New Roman" w:cs="Times New Roman"/>
          <w:b/>
          <w:bCs/>
          <w:rtl/>
          <w:lang w:eastAsia="de-DE"/>
        </w:rPr>
        <w:t>הַלֵּוִי</w:t>
      </w:r>
      <w:r w:rsidRPr="00C416BE">
        <w:rPr>
          <w:rFonts w:eastAsia="Times New Roman" w:cs="Times New Roman"/>
          <w:rtl/>
          <w:lang w:eastAsia="de-DE"/>
        </w:rPr>
        <w:t xml:space="preserve"> </w:t>
      </w:r>
      <w:r w:rsidRPr="00C416BE">
        <w:rPr>
          <w:rFonts w:eastAsia="Times New Roman" w:cs="Times New Roman"/>
          <w:lang w:eastAsia="de-DE"/>
        </w:rPr>
        <w:t xml:space="preserve">(„der Levit") mit Artikel bezeichnet den Stamm kollektiv. Das emphatische Pronomen </w:t>
      </w:r>
      <w:r w:rsidRPr="00C416BE">
        <w:rPr>
          <w:rFonts w:eastAsia="Times New Roman" w:cs="Times New Roman"/>
          <w:b/>
          <w:bCs/>
          <w:rtl/>
          <w:lang w:eastAsia="de-DE"/>
        </w:rPr>
        <w:t>הוּא</w:t>
      </w:r>
      <w:r w:rsidRPr="00C416BE">
        <w:rPr>
          <w:rFonts w:eastAsia="Times New Roman" w:cs="Times New Roman"/>
          <w:rtl/>
          <w:lang w:eastAsia="de-DE"/>
        </w:rPr>
        <w:t xml:space="preserve"> </w:t>
      </w:r>
      <w:r w:rsidRPr="00C416BE">
        <w:rPr>
          <w:rFonts w:eastAsia="Times New Roman" w:cs="Times New Roman"/>
          <w:lang w:eastAsia="de-DE"/>
        </w:rPr>
        <w:t xml:space="preserve">(„er") betont: „er selbst". Das Objekt </w:t>
      </w:r>
      <w:r w:rsidRPr="00C416BE">
        <w:rPr>
          <w:rFonts w:eastAsia="Times New Roman" w:cs="Times New Roman"/>
          <w:b/>
          <w:bCs/>
          <w:rtl/>
          <w:lang w:eastAsia="de-DE"/>
        </w:rPr>
        <w:t>אֶת־עֲבֹדַת אֹהֶל מוֹעֵד</w:t>
      </w:r>
      <w:r w:rsidRPr="00C416BE">
        <w:rPr>
          <w:rFonts w:eastAsia="Times New Roman" w:cs="Times New Roman"/>
          <w:rtl/>
          <w:lang w:eastAsia="de-DE"/>
        </w:rPr>
        <w:t xml:space="preserve"> </w:t>
      </w:r>
      <w:r w:rsidRPr="00C416BE">
        <w:rPr>
          <w:rFonts w:eastAsia="Times New Roman" w:cs="Times New Roman"/>
          <w:lang w:eastAsia="de-DE"/>
        </w:rPr>
        <w:t>ist die Constructus-Verbindung „den Dienst des Zeltes der Begegnung" mit Objektpartikel.</w:t>
      </w:r>
    </w:p>
    <w:p w14:paraId="0475C96C"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Das koordinierte </w:t>
      </w:r>
      <w:r w:rsidRPr="00C416BE">
        <w:rPr>
          <w:rFonts w:eastAsia="Times New Roman" w:cs="Times New Roman"/>
          <w:b/>
          <w:bCs/>
          <w:rtl/>
          <w:lang w:eastAsia="de-DE"/>
        </w:rPr>
        <w:t>וְהֵם יִשְׂאוּ עֲוֹנָם</w:t>
      </w:r>
      <w:r w:rsidRPr="00C416BE">
        <w:rPr>
          <w:rFonts w:eastAsia="Times New Roman" w:cs="Times New Roman"/>
          <w:rtl/>
          <w:lang w:eastAsia="de-DE"/>
        </w:rPr>
        <w:t xml:space="preserve"> </w:t>
      </w:r>
      <w:r w:rsidRPr="00C416BE">
        <w:rPr>
          <w:rFonts w:eastAsia="Times New Roman" w:cs="Times New Roman"/>
          <w:lang w:eastAsia="de-DE"/>
        </w:rPr>
        <w:t xml:space="preserve">wiederholt das Thema aus Vers 1: </w:t>
      </w:r>
      <w:r w:rsidRPr="00C416BE">
        <w:rPr>
          <w:rFonts w:eastAsia="Times New Roman" w:cs="Times New Roman"/>
          <w:b/>
          <w:bCs/>
          <w:rtl/>
          <w:lang w:eastAsia="de-DE"/>
        </w:rPr>
        <w:t>וְ</w:t>
      </w:r>
      <w:r w:rsidRPr="00C416BE">
        <w:rPr>
          <w:rFonts w:eastAsia="Times New Roman" w:cs="Times New Roman"/>
          <w:rtl/>
          <w:lang w:eastAsia="de-DE"/>
        </w:rPr>
        <w:t xml:space="preserve"> </w:t>
      </w:r>
      <w:r w:rsidRPr="00C416BE">
        <w:rPr>
          <w:rFonts w:eastAsia="Times New Roman" w:cs="Times New Roman"/>
          <w:lang w:eastAsia="de-DE"/>
        </w:rPr>
        <w:t xml:space="preserve">Konjunktion, </w:t>
      </w:r>
      <w:r w:rsidRPr="00C416BE">
        <w:rPr>
          <w:rFonts w:eastAsia="Times New Roman" w:cs="Times New Roman"/>
          <w:b/>
          <w:bCs/>
          <w:rtl/>
          <w:lang w:eastAsia="de-DE"/>
        </w:rPr>
        <w:t>הֵם</w:t>
      </w:r>
      <w:r w:rsidRPr="00C416BE">
        <w:rPr>
          <w:rFonts w:eastAsia="Times New Roman" w:cs="Times New Roman"/>
          <w:rtl/>
          <w:lang w:eastAsia="de-DE"/>
        </w:rPr>
        <w:t xml:space="preserve"> </w:t>
      </w:r>
      <w:r w:rsidRPr="00C416BE">
        <w:rPr>
          <w:rFonts w:eastAsia="Times New Roman" w:cs="Times New Roman"/>
          <w:lang w:eastAsia="de-DE"/>
        </w:rPr>
        <w:t xml:space="preserve">emphatisches Pronomen 3. m. pl. („sie"), </w:t>
      </w:r>
      <w:r w:rsidRPr="00C416BE">
        <w:rPr>
          <w:rFonts w:eastAsia="Times New Roman" w:cs="Times New Roman"/>
          <w:b/>
          <w:bCs/>
          <w:rtl/>
          <w:lang w:eastAsia="de-DE"/>
        </w:rPr>
        <w:t>יִשְׂאוּ</w:t>
      </w:r>
      <w:r w:rsidRPr="00C416BE">
        <w:rPr>
          <w:rFonts w:eastAsia="Times New Roman" w:cs="Times New Roman"/>
          <w:rtl/>
          <w:lang w:eastAsia="de-DE"/>
        </w:rPr>
        <w:t xml:space="preserve"> </w:t>
      </w:r>
      <w:r w:rsidRPr="00C416BE">
        <w:rPr>
          <w:rFonts w:eastAsia="Times New Roman" w:cs="Times New Roman"/>
          <w:lang w:eastAsia="de-DE"/>
        </w:rPr>
        <w:t xml:space="preserve">(Qal Imperfekt, 3. m. pl. von </w:t>
      </w:r>
      <w:r w:rsidRPr="00C416BE">
        <w:rPr>
          <w:rFonts w:eastAsia="Times New Roman" w:cs="Times New Roman"/>
          <w:b/>
          <w:bCs/>
          <w:rtl/>
          <w:lang w:eastAsia="de-DE"/>
        </w:rPr>
        <w:t>נשׂא</w:t>
      </w:r>
      <w:r w:rsidRPr="00C416BE">
        <w:rPr>
          <w:rFonts w:eastAsia="Times New Roman" w:cs="Times New Roman"/>
          <w:lang w:eastAsia="de-DE"/>
        </w:rPr>
        <w:t xml:space="preserve">, „sie sollen tragen"), </w:t>
      </w:r>
      <w:r w:rsidRPr="00C416BE">
        <w:rPr>
          <w:rFonts w:eastAsia="Times New Roman" w:cs="Times New Roman"/>
          <w:b/>
          <w:bCs/>
          <w:rtl/>
          <w:lang w:eastAsia="de-DE"/>
        </w:rPr>
        <w:t>עֲוֹנָם</w:t>
      </w:r>
      <w:r w:rsidRPr="00C416BE">
        <w:rPr>
          <w:rFonts w:eastAsia="Times New Roman" w:cs="Times New Roman"/>
          <w:rtl/>
          <w:lang w:eastAsia="de-DE"/>
        </w:rPr>
        <w:t xml:space="preserve"> </w:t>
      </w:r>
      <w:r w:rsidRPr="00C416BE">
        <w:rPr>
          <w:rFonts w:eastAsia="Times New Roman" w:cs="Times New Roman"/>
          <w:lang w:eastAsia="de-DE"/>
        </w:rPr>
        <w:t>„ihre Schuld/Verantwortung" (</w:t>
      </w:r>
      <w:r w:rsidRPr="00C416BE">
        <w:rPr>
          <w:rFonts w:eastAsia="Times New Roman" w:cs="Times New Roman"/>
          <w:b/>
          <w:bCs/>
          <w:rtl/>
          <w:lang w:eastAsia="de-DE"/>
        </w:rPr>
        <w:t>עָוֹן</w:t>
      </w:r>
      <w:r w:rsidRPr="00C416BE">
        <w:rPr>
          <w:rFonts w:eastAsia="Times New Roman" w:cs="Times New Roman"/>
          <w:rtl/>
          <w:lang w:eastAsia="de-DE"/>
        </w:rPr>
        <w:t xml:space="preserve"> </w:t>
      </w:r>
      <w:r w:rsidRPr="00C416BE">
        <w:rPr>
          <w:rFonts w:eastAsia="Times New Roman" w:cs="Times New Roman"/>
          <w:lang w:eastAsia="de-DE"/>
        </w:rPr>
        <w:t>mit Possessivsuffix 3. m. pl.). Die Leviten tragen die Verantwortung für Vergehen am Heiligtum – sie schützen das Volk durch ihre vermittelnde Position.</w:t>
      </w:r>
    </w:p>
    <w:p w14:paraId="35BCDE6C"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Formel </w:t>
      </w:r>
      <w:r w:rsidRPr="00C416BE">
        <w:rPr>
          <w:rFonts w:eastAsia="Times New Roman" w:cs="Times New Roman"/>
          <w:b/>
          <w:bCs/>
          <w:rtl/>
          <w:lang w:eastAsia="de-DE"/>
        </w:rPr>
        <w:t>חֻקַּת עוֹלָם לְדֹרֹתֵיכֶם</w:t>
      </w:r>
      <w:r w:rsidRPr="00C416BE">
        <w:rPr>
          <w:rFonts w:eastAsia="Times New Roman" w:cs="Times New Roman"/>
          <w:rtl/>
          <w:lang w:eastAsia="de-DE"/>
        </w:rPr>
        <w:t xml:space="preserve"> </w:t>
      </w:r>
      <w:r w:rsidRPr="00C416BE">
        <w:rPr>
          <w:rFonts w:eastAsia="Times New Roman" w:cs="Times New Roman"/>
          <w:lang w:eastAsia="de-DE"/>
        </w:rPr>
        <w:t xml:space="preserve">ist eine Perpetuitätsformel: </w:t>
      </w:r>
      <w:r w:rsidRPr="00C416BE">
        <w:rPr>
          <w:rFonts w:eastAsia="Times New Roman" w:cs="Times New Roman"/>
          <w:b/>
          <w:bCs/>
          <w:rtl/>
          <w:lang w:eastAsia="de-DE"/>
        </w:rPr>
        <w:t>חֻקַּת עוֹלָם</w:t>
      </w:r>
      <w:r w:rsidRPr="00C416BE">
        <w:rPr>
          <w:rFonts w:eastAsia="Times New Roman" w:cs="Times New Roman"/>
          <w:rtl/>
          <w:lang w:eastAsia="de-DE"/>
        </w:rPr>
        <w:t xml:space="preserve"> </w:t>
      </w:r>
      <w:r w:rsidRPr="00C416BE">
        <w:rPr>
          <w:rFonts w:eastAsia="Times New Roman" w:cs="Times New Roman"/>
          <w:lang w:eastAsia="de-DE"/>
        </w:rPr>
        <w:t xml:space="preserve">(„ewige Satzung", Constructus-Verbindung) </w:t>
      </w:r>
      <w:r w:rsidRPr="00C416BE">
        <w:rPr>
          <w:rFonts w:eastAsia="Times New Roman" w:cs="Times New Roman"/>
          <w:b/>
          <w:bCs/>
          <w:rtl/>
          <w:lang w:eastAsia="de-DE"/>
        </w:rPr>
        <w:t>לְדֹרֹתֵיכֶם</w:t>
      </w:r>
      <w:r w:rsidRPr="00C416BE">
        <w:rPr>
          <w:rFonts w:eastAsia="Times New Roman" w:cs="Times New Roman"/>
          <w:rtl/>
          <w:lang w:eastAsia="de-DE"/>
        </w:rPr>
        <w:t xml:space="preserve"> </w:t>
      </w:r>
      <w:r w:rsidRPr="00C416BE">
        <w:rPr>
          <w:rFonts w:eastAsia="Times New Roman" w:cs="Times New Roman"/>
          <w:lang w:eastAsia="de-DE"/>
        </w:rPr>
        <w:t xml:space="preserve">(„für eure Generationen", </w:t>
      </w:r>
      <w:r w:rsidRPr="00C416BE">
        <w:rPr>
          <w:rFonts w:eastAsia="Times New Roman" w:cs="Times New Roman"/>
          <w:b/>
          <w:bCs/>
          <w:rtl/>
          <w:lang w:eastAsia="de-DE"/>
        </w:rPr>
        <w:t>דּוֹר</w:t>
      </w:r>
      <w:r w:rsidRPr="00C416BE">
        <w:rPr>
          <w:rFonts w:eastAsia="Times New Roman" w:cs="Times New Roman"/>
          <w:rtl/>
          <w:lang w:eastAsia="de-DE"/>
        </w:rPr>
        <w:t xml:space="preserve"> </w:t>
      </w:r>
      <w:r w:rsidRPr="00C416BE">
        <w:rPr>
          <w:rFonts w:eastAsia="Times New Roman" w:cs="Times New Roman"/>
          <w:lang w:eastAsia="de-DE"/>
        </w:rPr>
        <w:t>Plural im Constructus mit Possessivsuffix 2. m. pl.). Diese Ordnung gilt für immer.</w:t>
      </w:r>
    </w:p>
    <w:p w14:paraId="29AD92D4"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kontrastierende Aussage </w:t>
      </w:r>
      <w:r w:rsidRPr="00C416BE">
        <w:rPr>
          <w:rFonts w:eastAsia="Times New Roman" w:cs="Times New Roman"/>
          <w:b/>
          <w:bCs/>
          <w:rtl/>
          <w:lang w:eastAsia="de-DE"/>
        </w:rPr>
        <w:t>וּבְתוֹךְ בְּנֵי יִשְׂרָאֵל לֹא יִנְחֲלוּ נַחֲלָה</w:t>
      </w:r>
      <w:r w:rsidRPr="00C416BE">
        <w:rPr>
          <w:rFonts w:eastAsia="Times New Roman" w:cs="Times New Roman"/>
          <w:rtl/>
          <w:lang w:eastAsia="de-DE"/>
        </w:rPr>
        <w:t xml:space="preserve"> </w:t>
      </w:r>
      <w:r w:rsidRPr="00C416BE">
        <w:rPr>
          <w:rFonts w:eastAsia="Times New Roman" w:cs="Times New Roman"/>
          <w:lang w:eastAsia="de-DE"/>
        </w:rPr>
        <w:t xml:space="preserve">wiederholt den Landverzicht: </w:t>
      </w:r>
      <w:r w:rsidRPr="00C416BE">
        <w:rPr>
          <w:rFonts w:eastAsia="Times New Roman" w:cs="Times New Roman"/>
          <w:b/>
          <w:bCs/>
          <w:rtl/>
          <w:lang w:eastAsia="de-DE"/>
        </w:rPr>
        <w:t>וּ</w:t>
      </w:r>
      <w:r w:rsidRPr="00C416BE">
        <w:rPr>
          <w:rFonts w:eastAsia="Times New Roman" w:cs="Times New Roman"/>
          <w:rtl/>
          <w:lang w:eastAsia="de-DE"/>
        </w:rPr>
        <w:t xml:space="preserve"> </w:t>
      </w:r>
      <w:r w:rsidRPr="00C416BE">
        <w:rPr>
          <w:rFonts w:eastAsia="Times New Roman" w:cs="Times New Roman"/>
          <w:lang w:eastAsia="de-DE"/>
        </w:rPr>
        <w:t xml:space="preserve">Konjunktion, </w:t>
      </w:r>
      <w:r w:rsidRPr="00C416BE">
        <w:rPr>
          <w:rFonts w:eastAsia="Times New Roman" w:cs="Times New Roman"/>
          <w:b/>
          <w:bCs/>
          <w:rtl/>
          <w:lang w:eastAsia="de-DE"/>
        </w:rPr>
        <w:t>בְּתוֹךְ בְּנֵי יִשְׂרָאֵל</w:t>
      </w:r>
      <w:r w:rsidRPr="00C416BE">
        <w:rPr>
          <w:rFonts w:eastAsia="Times New Roman" w:cs="Times New Roman"/>
          <w:rtl/>
          <w:lang w:eastAsia="de-DE"/>
        </w:rPr>
        <w:t xml:space="preserve"> </w:t>
      </w:r>
      <w:r w:rsidRPr="00C416BE">
        <w:rPr>
          <w:rFonts w:eastAsia="Times New Roman" w:cs="Times New Roman"/>
          <w:lang w:eastAsia="de-DE"/>
        </w:rPr>
        <w:t xml:space="preserve">(„inmitten der Söhne Israels"), </w:t>
      </w:r>
      <w:r w:rsidRPr="00C416BE">
        <w:rPr>
          <w:rFonts w:eastAsia="Times New Roman" w:cs="Times New Roman"/>
          <w:b/>
          <w:bCs/>
          <w:rtl/>
          <w:lang w:eastAsia="de-DE"/>
        </w:rPr>
        <w:t>לֹא</w:t>
      </w:r>
      <w:r w:rsidRPr="00C416BE">
        <w:rPr>
          <w:rFonts w:eastAsia="Times New Roman" w:cs="Times New Roman"/>
          <w:rtl/>
          <w:lang w:eastAsia="de-DE"/>
        </w:rPr>
        <w:t xml:space="preserve"> </w:t>
      </w:r>
      <w:r w:rsidRPr="00C416BE">
        <w:rPr>
          <w:rFonts w:eastAsia="Times New Roman" w:cs="Times New Roman"/>
          <w:lang w:eastAsia="de-DE"/>
        </w:rPr>
        <w:t xml:space="preserve">Negation, </w:t>
      </w:r>
      <w:r w:rsidRPr="00C416BE">
        <w:rPr>
          <w:rFonts w:eastAsia="Times New Roman" w:cs="Times New Roman"/>
          <w:b/>
          <w:bCs/>
          <w:rtl/>
          <w:lang w:eastAsia="de-DE"/>
        </w:rPr>
        <w:t>יִנְחֲלוּ</w:t>
      </w:r>
      <w:r w:rsidRPr="00C416BE">
        <w:rPr>
          <w:rFonts w:eastAsia="Times New Roman" w:cs="Times New Roman"/>
          <w:rtl/>
          <w:lang w:eastAsia="de-DE"/>
        </w:rPr>
        <w:t xml:space="preserve"> </w:t>
      </w:r>
      <w:r w:rsidRPr="00C416BE">
        <w:rPr>
          <w:rFonts w:eastAsia="Times New Roman" w:cs="Times New Roman"/>
          <w:lang w:eastAsia="de-DE"/>
        </w:rPr>
        <w:t xml:space="preserve">(Qal Imperfekt, 3. m. pl. von </w:t>
      </w:r>
      <w:r w:rsidRPr="00C416BE">
        <w:rPr>
          <w:rFonts w:eastAsia="Times New Roman" w:cs="Times New Roman"/>
          <w:b/>
          <w:bCs/>
          <w:rtl/>
          <w:lang w:eastAsia="de-DE"/>
        </w:rPr>
        <w:t>נחל</w:t>
      </w:r>
      <w:r w:rsidRPr="00C416BE">
        <w:rPr>
          <w:rFonts w:eastAsia="Times New Roman" w:cs="Times New Roman"/>
          <w:lang w:eastAsia="de-DE"/>
        </w:rPr>
        <w:t xml:space="preserve">, „sie sollen erben"), </w:t>
      </w:r>
      <w:r w:rsidRPr="00C416BE">
        <w:rPr>
          <w:rFonts w:eastAsia="Times New Roman" w:cs="Times New Roman"/>
          <w:b/>
          <w:bCs/>
          <w:rtl/>
          <w:lang w:eastAsia="de-DE"/>
        </w:rPr>
        <w:t>נַחֲלָה</w:t>
      </w:r>
      <w:r w:rsidRPr="00C416BE">
        <w:rPr>
          <w:rFonts w:eastAsia="Times New Roman" w:cs="Times New Roman"/>
          <w:rtl/>
          <w:lang w:eastAsia="de-DE"/>
        </w:rPr>
        <w:t xml:space="preserve"> </w:t>
      </w:r>
      <w:r w:rsidRPr="00C416BE">
        <w:rPr>
          <w:rFonts w:eastAsia="Times New Roman" w:cs="Times New Roman"/>
          <w:lang w:eastAsia="de-DE"/>
        </w:rPr>
        <w:t>(„Erbteil"). Die figura etymologica (</w:t>
      </w:r>
      <w:r w:rsidRPr="00C416BE">
        <w:rPr>
          <w:rFonts w:eastAsia="Times New Roman" w:cs="Times New Roman"/>
          <w:b/>
          <w:bCs/>
          <w:rtl/>
          <w:lang w:eastAsia="de-DE"/>
        </w:rPr>
        <w:t>נחל</w:t>
      </w:r>
      <w:r w:rsidRPr="00C416BE">
        <w:rPr>
          <w:rFonts w:eastAsia="Times New Roman" w:cs="Times New Roman"/>
          <w:rtl/>
          <w:lang w:eastAsia="de-DE"/>
        </w:rPr>
        <w:t xml:space="preserve"> </w:t>
      </w:r>
      <w:r w:rsidRPr="00C416BE">
        <w:rPr>
          <w:rFonts w:eastAsia="Times New Roman" w:cs="Times New Roman"/>
          <w:lang w:eastAsia="de-DE"/>
        </w:rPr>
        <w:t xml:space="preserve">– </w:t>
      </w:r>
      <w:r w:rsidRPr="00C416BE">
        <w:rPr>
          <w:rFonts w:eastAsia="Times New Roman" w:cs="Times New Roman"/>
          <w:b/>
          <w:bCs/>
          <w:rtl/>
          <w:lang w:eastAsia="de-DE"/>
        </w:rPr>
        <w:t>נַחֲלָה</w:t>
      </w:r>
      <w:r w:rsidRPr="00C416BE">
        <w:rPr>
          <w:rFonts w:eastAsia="Times New Roman" w:cs="Times New Roman"/>
          <w:lang w:eastAsia="de-DE"/>
        </w:rPr>
        <w:t>) verstärkt die Aussage.</w:t>
      </w:r>
    </w:p>
    <w:p w14:paraId="02E68E56"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folgt dem hebräischen Text.</w:t>
      </w:r>
    </w:p>
    <w:p w14:paraId="61EF1903"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drei koordinierte Hauptsätze: Der erste mit adversativer Konjunktion, Verb, Subjekt (mit Artikel), emphatischem Pronomen und Objekt; der zweite mit Konjunktion, emphatischem Pronomen, Verb und Objekt (Possessivsuffix); der dritte eine nominale Perpetuitätsformel. Ein vierter kontrastierender Hauptsatz mit Konjunktion, Präpositionalphrase, Negation, Verb und Objekt (figura etymologica) schließt ab.</w:t>
      </w:r>
    </w:p>
    <w:p w14:paraId="2C9F6288"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definiert klar die levitische Position: Dienst am Heiligtum, Verantwortungstragung, kein Landbesitz – eine ewige Ordnung, die das Volk schützt.</w:t>
      </w:r>
    </w:p>
    <w:p w14:paraId="7993CF19"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18,24</w:t>
      </w:r>
    </w:p>
    <w:p w14:paraId="367CEE2A"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lastRenderedPageBreak/>
        <w:t>Hebräisch:</w:t>
      </w:r>
      <w:r w:rsidRPr="00C416BE">
        <w:rPr>
          <w:rFonts w:eastAsia="Times New Roman" w:cs="Times New Roman"/>
          <w:lang w:eastAsia="de-DE"/>
        </w:rPr>
        <w:t xml:space="preserve"> </w:t>
      </w:r>
      <w:r w:rsidRPr="00C416BE">
        <w:rPr>
          <w:rFonts w:eastAsia="Times New Roman" w:cs="Times New Roman"/>
          <w:rtl/>
          <w:lang w:eastAsia="de-DE"/>
        </w:rPr>
        <w:t>כִּ֞י אֶת־מַעְשַׂ֣ר בְּנֵֽי־יִשְׂרָאֵ֗ל אֲשֶׁ֨ר יָרִ֤ימוּ לַֽיהוָה֙ תְּרוּמָ֔ה נָתַ֥תִּי לַלְוִיִּ֖ם לְנַחֲלָ֑ה עַל־כֵּן֙ אָמַ֣רְתִּי לָהֶ֔ם בְּתוֹךְ֙ בְּנֵ֣י יִשְׂרָאֵ֔ל לֹ֥א יִנְחֲל֖וּ נַחֲלָֽה׃</w:t>
      </w:r>
    </w:p>
    <w:p w14:paraId="71C9934D"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Denn den Zehnten der Söhne Jisra'els, den sie dem Ewigen als Hebopfer anheben, habe ich Levi zum Erbteil gegeben; darum habe ich von ihnen gesagt, dass sie inmitten der Söhne Jisra'els kein Erbteil besitzen sollen.</w:t>
      </w:r>
    </w:p>
    <w:p w14:paraId="5D24ED34"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1FB5B182">
          <v:rect id="_x0000_i1628" style="width:0;height:1.5pt" o:hralign="center" o:hrstd="t" o:hr="t" fillcolor="#a0a0a0" stroked="f"/>
        </w:pict>
      </w:r>
    </w:p>
    <w:p w14:paraId="6CACC405"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Die kausale Konjunktion </w:t>
      </w:r>
      <w:r w:rsidRPr="00C416BE">
        <w:rPr>
          <w:rFonts w:eastAsia="Times New Roman" w:cs="Times New Roman"/>
          <w:b/>
          <w:bCs/>
          <w:rtl/>
          <w:lang w:eastAsia="de-DE"/>
        </w:rPr>
        <w:t>כִּי</w:t>
      </w:r>
      <w:r w:rsidRPr="00C416BE">
        <w:rPr>
          <w:rFonts w:eastAsia="Times New Roman" w:cs="Times New Roman"/>
          <w:rtl/>
          <w:lang w:eastAsia="de-DE"/>
        </w:rPr>
        <w:t xml:space="preserve"> </w:t>
      </w:r>
      <w:r w:rsidRPr="00C416BE">
        <w:rPr>
          <w:rFonts w:eastAsia="Times New Roman" w:cs="Times New Roman"/>
          <w:lang w:eastAsia="de-DE"/>
        </w:rPr>
        <w:t xml:space="preserve">(„denn, weil") leitet die Begründung für den levitischen Landverzicht ein. Das Objekt </w:t>
      </w:r>
      <w:r w:rsidRPr="00C416BE">
        <w:rPr>
          <w:rFonts w:eastAsia="Times New Roman" w:cs="Times New Roman"/>
          <w:b/>
          <w:bCs/>
          <w:rtl/>
          <w:lang w:eastAsia="de-DE"/>
        </w:rPr>
        <w:t>אֶת־מַעְשַׂר בְּנֵי־יִשְׂרָאֵל</w:t>
      </w:r>
      <w:r w:rsidRPr="00C416BE">
        <w:rPr>
          <w:rFonts w:eastAsia="Times New Roman" w:cs="Times New Roman"/>
          <w:rtl/>
          <w:lang w:eastAsia="de-DE"/>
        </w:rPr>
        <w:t xml:space="preserve"> </w:t>
      </w:r>
      <w:r w:rsidRPr="00C416BE">
        <w:rPr>
          <w:rFonts w:eastAsia="Times New Roman" w:cs="Times New Roman"/>
          <w:lang w:eastAsia="de-DE"/>
        </w:rPr>
        <w:t xml:space="preserve">ist „den Zehnten der Söhne Israels" (Constructus-Verbindung mit Objektpartikel). Der Relativsatz </w:t>
      </w:r>
      <w:r w:rsidRPr="00C416BE">
        <w:rPr>
          <w:rFonts w:eastAsia="Times New Roman" w:cs="Times New Roman"/>
          <w:b/>
          <w:bCs/>
          <w:rtl/>
          <w:lang w:eastAsia="de-DE"/>
        </w:rPr>
        <w:t>אֲשֶׁר יָרִימוּ לַיהוָה תְּרוּמָה</w:t>
      </w:r>
      <w:r w:rsidRPr="00C416BE">
        <w:rPr>
          <w:rFonts w:eastAsia="Times New Roman" w:cs="Times New Roman"/>
          <w:rtl/>
          <w:lang w:eastAsia="de-DE"/>
        </w:rPr>
        <w:t xml:space="preserve"> </w:t>
      </w:r>
      <w:r w:rsidRPr="00C416BE">
        <w:rPr>
          <w:rFonts w:eastAsia="Times New Roman" w:cs="Times New Roman"/>
          <w:lang w:eastAsia="de-DE"/>
        </w:rPr>
        <w:t xml:space="preserve">spezifiziert die kultische Handlung: </w:t>
      </w:r>
      <w:r w:rsidRPr="00C416BE">
        <w:rPr>
          <w:rFonts w:eastAsia="Times New Roman" w:cs="Times New Roman"/>
          <w:b/>
          <w:bCs/>
          <w:rtl/>
          <w:lang w:eastAsia="de-DE"/>
        </w:rPr>
        <w:t>אֲשֶׁר</w:t>
      </w:r>
      <w:r w:rsidRPr="00C416BE">
        <w:rPr>
          <w:rFonts w:eastAsia="Times New Roman" w:cs="Times New Roman"/>
          <w:rtl/>
          <w:lang w:eastAsia="de-DE"/>
        </w:rPr>
        <w:t xml:space="preserve"> </w:t>
      </w:r>
      <w:r w:rsidRPr="00C416BE">
        <w:rPr>
          <w:rFonts w:eastAsia="Times New Roman" w:cs="Times New Roman"/>
          <w:lang w:eastAsia="de-DE"/>
        </w:rPr>
        <w:t xml:space="preserve">Relativpronomen, </w:t>
      </w:r>
      <w:r w:rsidRPr="00C416BE">
        <w:rPr>
          <w:rFonts w:eastAsia="Times New Roman" w:cs="Times New Roman"/>
          <w:b/>
          <w:bCs/>
          <w:rtl/>
          <w:lang w:eastAsia="de-DE"/>
        </w:rPr>
        <w:t>יָרִימוּ</w:t>
      </w:r>
      <w:r w:rsidRPr="00C416BE">
        <w:rPr>
          <w:rFonts w:eastAsia="Times New Roman" w:cs="Times New Roman"/>
          <w:rtl/>
          <w:lang w:eastAsia="de-DE"/>
        </w:rPr>
        <w:t xml:space="preserve"> </w:t>
      </w:r>
      <w:r w:rsidRPr="00C416BE">
        <w:rPr>
          <w:rFonts w:eastAsia="Times New Roman" w:cs="Times New Roman"/>
          <w:lang w:eastAsia="de-DE"/>
        </w:rPr>
        <w:t xml:space="preserve">(Hifil Imperfekt, 3. m. pl. von </w:t>
      </w:r>
      <w:r w:rsidRPr="00C416BE">
        <w:rPr>
          <w:rFonts w:eastAsia="Times New Roman" w:cs="Times New Roman"/>
          <w:b/>
          <w:bCs/>
          <w:rtl/>
          <w:lang w:eastAsia="de-DE"/>
        </w:rPr>
        <w:t>רום</w:t>
      </w:r>
      <w:r w:rsidRPr="00C416BE">
        <w:rPr>
          <w:rFonts w:eastAsia="Times New Roman" w:cs="Times New Roman"/>
          <w:lang w:eastAsia="de-DE"/>
        </w:rPr>
        <w:t xml:space="preserve">, „sie heben an"), </w:t>
      </w:r>
      <w:r w:rsidRPr="00C416BE">
        <w:rPr>
          <w:rFonts w:eastAsia="Times New Roman" w:cs="Times New Roman"/>
          <w:b/>
          <w:bCs/>
          <w:rtl/>
          <w:lang w:eastAsia="de-DE"/>
        </w:rPr>
        <w:t>לַיהוָה</w:t>
      </w:r>
      <w:r w:rsidRPr="00C416BE">
        <w:rPr>
          <w:rFonts w:eastAsia="Times New Roman" w:cs="Times New Roman"/>
          <w:rtl/>
          <w:lang w:eastAsia="de-DE"/>
        </w:rPr>
        <w:t xml:space="preserve"> </w:t>
      </w:r>
      <w:r w:rsidRPr="00C416BE">
        <w:rPr>
          <w:rFonts w:eastAsia="Times New Roman" w:cs="Times New Roman"/>
          <w:lang w:eastAsia="de-DE"/>
        </w:rPr>
        <w:t xml:space="preserve">indirektes Objekt, </w:t>
      </w:r>
      <w:r w:rsidRPr="00C416BE">
        <w:rPr>
          <w:rFonts w:eastAsia="Times New Roman" w:cs="Times New Roman"/>
          <w:b/>
          <w:bCs/>
          <w:rtl/>
          <w:lang w:eastAsia="de-DE"/>
        </w:rPr>
        <w:t>תְּרוּמָה</w:t>
      </w:r>
      <w:r w:rsidRPr="00C416BE">
        <w:rPr>
          <w:rFonts w:eastAsia="Times New Roman" w:cs="Times New Roman"/>
          <w:rtl/>
          <w:lang w:eastAsia="de-DE"/>
        </w:rPr>
        <w:t xml:space="preserve"> </w:t>
      </w:r>
      <w:r w:rsidRPr="00C416BE">
        <w:rPr>
          <w:rFonts w:eastAsia="Times New Roman" w:cs="Times New Roman"/>
          <w:lang w:eastAsia="de-DE"/>
        </w:rPr>
        <w:t>(„Hebopfer") als Apposition oder adverbielle Bestimmung – „als Hebopfer".</w:t>
      </w:r>
    </w:p>
    <w:p w14:paraId="3AE8F5BE"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Das Verb </w:t>
      </w:r>
      <w:r w:rsidRPr="00C416BE">
        <w:rPr>
          <w:rFonts w:eastAsia="Times New Roman" w:cs="Times New Roman"/>
          <w:b/>
          <w:bCs/>
          <w:rtl/>
          <w:lang w:eastAsia="de-DE"/>
        </w:rPr>
        <w:t>נָתַתִּי</w:t>
      </w:r>
      <w:r w:rsidRPr="00C416BE">
        <w:rPr>
          <w:rFonts w:eastAsia="Times New Roman" w:cs="Times New Roman"/>
          <w:rtl/>
          <w:lang w:eastAsia="de-DE"/>
        </w:rPr>
        <w:t xml:space="preserve"> </w:t>
      </w:r>
      <w:r w:rsidRPr="00C416BE">
        <w:rPr>
          <w:rFonts w:eastAsia="Times New Roman" w:cs="Times New Roman"/>
          <w:lang w:eastAsia="de-DE"/>
        </w:rPr>
        <w:t xml:space="preserve">(Qal Perfekt, 1. c. sg. von </w:t>
      </w:r>
      <w:r w:rsidRPr="00C416BE">
        <w:rPr>
          <w:rFonts w:eastAsia="Times New Roman" w:cs="Times New Roman"/>
          <w:b/>
          <w:bCs/>
          <w:rtl/>
          <w:lang w:eastAsia="de-DE"/>
        </w:rPr>
        <w:t>נתן</w:t>
      </w:r>
      <w:r w:rsidRPr="00C416BE">
        <w:rPr>
          <w:rFonts w:eastAsia="Times New Roman" w:cs="Times New Roman"/>
          <w:lang w:eastAsia="de-DE"/>
        </w:rPr>
        <w:t xml:space="preserve">) bedeutet „ich habe gegeben". </w:t>
      </w:r>
      <w:r w:rsidRPr="00C416BE">
        <w:rPr>
          <w:rFonts w:eastAsia="Times New Roman" w:cs="Times New Roman"/>
          <w:b/>
          <w:bCs/>
          <w:rtl/>
          <w:lang w:eastAsia="de-DE"/>
        </w:rPr>
        <w:t>לַלְוִיִּם</w:t>
      </w:r>
      <w:r w:rsidRPr="00C416BE">
        <w:rPr>
          <w:rFonts w:eastAsia="Times New Roman" w:cs="Times New Roman"/>
          <w:rtl/>
          <w:lang w:eastAsia="de-DE"/>
        </w:rPr>
        <w:t xml:space="preserve"> </w:t>
      </w:r>
      <w:r w:rsidRPr="00C416BE">
        <w:rPr>
          <w:rFonts w:eastAsia="Times New Roman" w:cs="Times New Roman"/>
          <w:lang w:eastAsia="de-DE"/>
        </w:rPr>
        <w:t xml:space="preserve">(„den Leviten") mit Artikel ist das indirekte Objekt. </w:t>
      </w:r>
      <w:r w:rsidRPr="00C416BE">
        <w:rPr>
          <w:rFonts w:eastAsia="Times New Roman" w:cs="Times New Roman"/>
          <w:b/>
          <w:bCs/>
          <w:rtl/>
          <w:lang w:eastAsia="de-DE"/>
        </w:rPr>
        <w:t>לְנַחֲלָה</w:t>
      </w:r>
      <w:r w:rsidRPr="00C416BE">
        <w:rPr>
          <w:rFonts w:eastAsia="Times New Roman" w:cs="Times New Roman"/>
          <w:rtl/>
          <w:lang w:eastAsia="de-DE"/>
        </w:rPr>
        <w:t xml:space="preserve"> </w:t>
      </w:r>
      <w:r w:rsidRPr="00C416BE">
        <w:rPr>
          <w:rFonts w:eastAsia="Times New Roman" w:cs="Times New Roman"/>
          <w:lang w:eastAsia="de-DE"/>
        </w:rPr>
        <w:t>(„zum Erbteil") gibt den Zweck an – der Zehnte ist ihr „Erbbesitz".</w:t>
      </w:r>
    </w:p>
    <w:p w14:paraId="162852AB"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konsekutive Phrase </w:t>
      </w:r>
      <w:r w:rsidRPr="00C416BE">
        <w:rPr>
          <w:rFonts w:eastAsia="Times New Roman" w:cs="Times New Roman"/>
          <w:b/>
          <w:bCs/>
          <w:rtl/>
          <w:lang w:eastAsia="de-DE"/>
        </w:rPr>
        <w:t>עַל־כֵּן אָמַרְתִּי לָהֶם</w:t>
      </w:r>
      <w:r w:rsidRPr="00C416BE">
        <w:rPr>
          <w:rFonts w:eastAsia="Times New Roman" w:cs="Times New Roman"/>
          <w:rtl/>
          <w:lang w:eastAsia="de-DE"/>
        </w:rPr>
        <w:t xml:space="preserve"> </w:t>
      </w:r>
      <w:r w:rsidRPr="00C416BE">
        <w:rPr>
          <w:rFonts w:eastAsia="Times New Roman" w:cs="Times New Roman"/>
          <w:lang w:eastAsia="de-DE"/>
        </w:rPr>
        <w:t xml:space="preserve">leitet die Schlussfolgerung ein: </w:t>
      </w:r>
      <w:r w:rsidRPr="00C416BE">
        <w:rPr>
          <w:rFonts w:eastAsia="Times New Roman" w:cs="Times New Roman"/>
          <w:b/>
          <w:bCs/>
          <w:rtl/>
          <w:lang w:eastAsia="de-DE"/>
        </w:rPr>
        <w:t>עַל־כֵּן</w:t>
      </w:r>
      <w:r w:rsidRPr="00C416BE">
        <w:rPr>
          <w:rFonts w:eastAsia="Times New Roman" w:cs="Times New Roman"/>
          <w:rtl/>
          <w:lang w:eastAsia="de-DE"/>
        </w:rPr>
        <w:t xml:space="preserve"> </w:t>
      </w:r>
      <w:r w:rsidRPr="00C416BE">
        <w:rPr>
          <w:rFonts w:eastAsia="Times New Roman" w:cs="Times New Roman"/>
          <w:lang w:eastAsia="de-DE"/>
        </w:rPr>
        <w:t xml:space="preserve">ist eine zusammengesetzte Präposition („darum, deshalb"), </w:t>
      </w:r>
      <w:r w:rsidRPr="00C416BE">
        <w:rPr>
          <w:rFonts w:eastAsia="Times New Roman" w:cs="Times New Roman"/>
          <w:b/>
          <w:bCs/>
          <w:rtl/>
          <w:lang w:eastAsia="de-DE"/>
        </w:rPr>
        <w:t>אָמַרְתִּי</w:t>
      </w:r>
      <w:r w:rsidRPr="00C416BE">
        <w:rPr>
          <w:rFonts w:eastAsia="Times New Roman" w:cs="Times New Roman"/>
          <w:rtl/>
          <w:lang w:eastAsia="de-DE"/>
        </w:rPr>
        <w:t xml:space="preserve"> </w:t>
      </w:r>
      <w:r w:rsidRPr="00C416BE">
        <w:rPr>
          <w:rFonts w:eastAsia="Times New Roman" w:cs="Times New Roman"/>
          <w:lang w:eastAsia="de-DE"/>
        </w:rPr>
        <w:t xml:space="preserve">(Qal Perfekt, 1. c. sg. von </w:t>
      </w:r>
      <w:r w:rsidRPr="00C416BE">
        <w:rPr>
          <w:rFonts w:eastAsia="Times New Roman" w:cs="Times New Roman"/>
          <w:b/>
          <w:bCs/>
          <w:rtl/>
          <w:lang w:eastAsia="de-DE"/>
        </w:rPr>
        <w:t>אמר</w:t>
      </w:r>
      <w:r w:rsidRPr="00C416BE">
        <w:rPr>
          <w:rFonts w:eastAsia="Times New Roman" w:cs="Times New Roman"/>
          <w:lang w:eastAsia="de-DE"/>
        </w:rPr>
        <w:t xml:space="preserve">, „ich habe gesagt"), </w:t>
      </w:r>
      <w:r w:rsidRPr="00C416BE">
        <w:rPr>
          <w:rFonts w:eastAsia="Times New Roman" w:cs="Times New Roman"/>
          <w:b/>
          <w:bCs/>
          <w:rtl/>
          <w:lang w:eastAsia="de-DE"/>
        </w:rPr>
        <w:t>לָהֶם</w:t>
      </w:r>
      <w:r w:rsidRPr="00C416BE">
        <w:rPr>
          <w:rFonts w:eastAsia="Times New Roman" w:cs="Times New Roman"/>
          <w:rtl/>
          <w:lang w:eastAsia="de-DE"/>
        </w:rPr>
        <w:t xml:space="preserve"> </w:t>
      </w:r>
      <w:r w:rsidRPr="00C416BE">
        <w:rPr>
          <w:rFonts w:eastAsia="Times New Roman" w:cs="Times New Roman"/>
          <w:lang w:eastAsia="de-DE"/>
        </w:rPr>
        <w:t xml:space="preserve">(„von/über sie" oder „zu ihnen"). Die indirekte Rede </w:t>
      </w:r>
      <w:r w:rsidRPr="00C416BE">
        <w:rPr>
          <w:rFonts w:eastAsia="Times New Roman" w:cs="Times New Roman"/>
          <w:b/>
          <w:bCs/>
          <w:rtl/>
          <w:lang w:eastAsia="de-DE"/>
        </w:rPr>
        <w:t>בְּתוֹךְ בְּנֵי יִשְׂרָאֵל לֹא יִנְחֲלוּ נַחֲלָה</w:t>
      </w:r>
      <w:r w:rsidRPr="00C416BE">
        <w:rPr>
          <w:rFonts w:eastAsia="Times New Roman" w:cs="Times New Roman"/>
          <w:rtl/>
          <w:lang w:eastAsia="de-DE"/>
        </w:rPr>
        <w:t xml:space="preserve"> </w:t>
      </w:r>
      <w:r w:rsidRPr="00C416BE">
        <w:rPr>
          <w:rFonts w:eastAsia="Times New Roman" w:cs="Times New Roman"/>
          <w:lang w:eastAsia="de-DE"/>
        </w:rPr>
        <w:t xml:space="preserve">wiederholt wörtlich die Formulierung aus Vers 23: Präpositionalphrase, Negation, Verb (Imperfekt von </w:t>
      </w:r>
      <w:r w:rsidRPr="00C416BE">
        <w:rPr>
          <w:rFonts w:eastAsia="Times New Roman" w:cs="Times New Roman"/>
          <w:b/>
          <w:bCs/>
          <w:rtl/>
          <w:lang w:eastAsia="de-DE"/>
        </w:rPr>
        <w:t>נחל</w:t>
      </w:r>
      <w:r w:rsidRPr="00C416BE">
        <w:rPr>
          <w:rFonts w:eastAsia="Times New Roman" w:cs="Times New Roman"/>
          <w:lang w:eastAsia="de-DE"/>
        </w:rPr>
        <w:t>) und Objekt (figura etymologica).</w:t>
      </w:r>
    </w:p>
    <w:p w14:paraId="23F81907"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folgt dem hebräischen Text eng.</w:t>
      </w:r>
    </w:p>
    <w:p w14:paraId="7FE4F024"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durch kausale Konjunktion eingeleiteten Nebensatz (Kausalsatz) mit Objekt (Constructus-Verbindung mit Objektpartikel), das durch einen Relativsatz erweitert wird, sowie Verb, indirektem Objekt und Zweckangabe. Ein Hauptsatz mit konsekutiver Präposition, Verb und Präpositionalphrase folgt, der eine indirekte Rede einleitet (Nebensatz) mit Präpositionalphrase, Negation, Verb und Objekt. Insgesamt gibt es drei Nebensätze: einen Kausalsatz mit eingebettetem Relativsatz und einen indirekten Redesatz.</w:t>
      </w:r>
    </w:p>
    <w:p w14:paraId="0CDD83AD"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erklärt die Logik: Weil die Leviten den Zehnten als Erbteil haben, brauchen sie kein Land – der Zehnte ist ihr territorialer Ersatz.</w:t>
      </w:r>
    </w:p>
    <w:p w14:paraId="29113B39"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18,25</w:t>
      </w:r>
    </w:p>
    <w:p w14:paraId="1519B61A"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וַיְדַבֵּ֥ר יְהוָ֖ה אֶל־מֹשֶׁ֥ה לֵּאמֹֽר׃</w:t>
      </w:r>
    </w:p>
    <w:p w14:paraId="166BC65C"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Und der Ewige redete zu Mosche, sagend:</w:t>
      </w:r>
    </w:p>
    <w:p w14:paraId="3FA572C4"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1867988D">
          <v:rect id="_x0000_i1629" style="width:0;height:1.5pt" o:hralign="center" o:hrstd="t" o:hr="t" fillcolor="#a0a0a0" stroked="f"/>
        </w:pict>
      </w:r>
    </w:p>
    <w:p w14:paraId="49309DA6"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Das Verb </w:t>
      </w:r>
      <w:r w:rsidRPr="00C416BE">
        <w:rPr>
          <w:rFonts w:eastAsia="Times New Roman" w:cs="Times New Roman"/>
          <w:b/>
          <w:bCs/>
          <w:rtl/>
          <w:lang w:eastAsia="de-DE"/>
        </w:rPr>
        <w:t>וַיְדַבֵּר</w:t>
      </w:r>
      <w:r w:rsidRPr="00C416BE">
        <w:rPr>
          <w:rFonts w:eastAsia="Times New Roman" w:cs="Times New Roman"/>
          <w:rtl/>
          <w:lang w:eastAsia="de-DE"/>
        </w:rPr>
        <w:t xml:space="preserve"> </w:t>
      </w:r>
      <w:r w:rsidRPr="00C416BE">
        <w:rPr>
          <w:rFonts w:eastAsia="Times New Roman" w:cs="Times New Roman"/>
          <w:lang w:eastAsia="de-DE"/>
        </w:rPr>
        <w:t xml:space="preserve">(Wayyiqtol, 3. m. sg. von </w:t>
      </w:r>
      <w:r w:rsidRPr="00C416BE">
        <w:rPr>
          <w:rFonts w:eastAsia="Times New Roman" w:cs="Times New Roman"/>
          <w:b/>
          <w:bCs/>
          <w:rtl/>
          <w:lang w:eastAsia="de-DE"/>
        </w:rPr>
        <w:t>דבר</w:t>
      </w:r>
      <w:r w:rsidRPr="00C416BE">
        <w:rPr>
          <w:rFonts w:eastAsia="Times New Roman" w:cs="Times New Roman"/>
          <w:rtl/>
          <w:lang w:eastAsia="de-DE"/>
        </w:rPr>
        <w:t xml:space="preserve"> </w:t>
      </w:r>
      <w:r w:rsidRPr="00C416BE">
        <w:rPr>
          <w:rFonts w:eastAsia="Times New Roman" w:cs="Times New Roman"/>
          <w:lang w:eastAsia="de-DE"/>
        </w:rPr>
        <w:t xml:space="preserve">Piel) bedeutet „und er redete". Die Piel-Form bezeichnet formelles, autoritatives Reden. </w:t>
      </w:r>
      <w:r w:rsidRPr="00C416BE">
        <w:rPr>
          <w:rFonts w:eastAsia="Times New Roman" w:cs="Times New Roman"/>
          <w:b/>
          <w:bCs/>
          <w:rtl/>
          <w:lang w:eastAsia="de-DE"/>
        </w:rPr>
        <w:t>יְהוָה</w:t>
      </w:r>
      <w:r w:rsidRPr="00C416BE">
        <w:rPr>
          <w:rFonts w:eastAsia="Times New Roman" w:cs="Times New Roman"/>
          <w:rtl/>
          <w:lang w:eastAsia="de-DE"/>
        </w:rPr>
        <w:t xml:space="preserve"> </w:t>
      </w:r>
      <w:r w:rsidRPr="00C416BE">
        <w:rPr>
          <w:rFonts w:eastAsia="Times New Roman" w:cs="Times New Roman"/>
          <w:lang w:eastAsia="de-DE"/>
        </w:rPr>
        <w:t xml:space="preserve">ist das explizite Subjekt (Tetragramm). Die Präpositionalphrase </w:t>
      </w:r>
      <w:r w:rsidRPr="00C416BE">
        <w:rPr>
          <w:rFonts w:eastAsia="Times New Roman" w:cs="Times New Roman"/>
          <w:b/>
          <w:bCs/>
          <w:rtl/>
          <w:lang w:eastAsia="de-DE"/>
        </w:rPr>
        <w:t>אֶל־מֹשֶׁה</w:t>
      </w:r>
      <w:r w:rsidRPr="00C416BE">
        <w:rPr>
          <w:rFonts w:eastAsia="Times New Roman" w:cs="Times New Roman"/>
          <w:rtl/>
          <w:lang w:eastAsia="de-DE"/>
        </w:rPr>
        <w:t xml:space="preserve"> </w:t>
      </w:r>
      <w:r w:rsidRPr="00C416BE">
        <w:rPr>
          <w:rFonts w:eastAsia="Times New Roman" w:cs="Times New Roman"/>
          <w:lang w:eastAsia="de-DE"/>
        </w:rPr>
        <w:t xml:space="preserve">gibt den Adressaten an: </w:t>
      </w:r>
      <w:r w:rsidRPr="00C416BE">
        <w:rPr>
          <w:rFonts w:eastAsia="Times New Roman" w:cs="Times New Roman"/>
          <w:b/>
          <w:bCs/>
          <w:rtl/>
          <w:lang w:eastAsia="de-DE"/>
        </w:rPr>
        <w:t>אֶל</w:t>
      </w:r>
      <w:r w:rsidRPr="00C416BE">
        <w:rPr>
          <w:rFonts w:eastAsia="Times New Roman" w:cs="Times New Roman"/>
          <w:rtl/>
          <w:lang w:eastAsia="de-DE"/>
        </w:rPr>
        <w:t xml:space="preserve"> </w:t>
      </w:r>
      <w:r w:rsidRPr="00C416BE">
        <w:rPr>
          <w:rFonts w:eastAsia="Times New Roman" w:cs="Times New Roman"/>
          <w:lang w:eastAsia="de-DE"/>
        </w:rPr>
        <w:t xml:space="preserve">ist die Präposition </w:t>
      </w:r>
      <w:r w:rsidRPr="00C416BE">
        <w:rPr>
          <w:rFonts w:eastAsia="Times New Roman" w:cs="Times New Roman"/>
          <w:lang w:eastAsia="de-DE"/>
        </w:rPr>
        <w:lastRenderedPageBreak/>
        <w:t xml:space="preserve">„zu", </w:t>
      </w:r>
      <w:r w:rsidRPr="00C416BE">
        <w:rPr>
          <w:rFonts w:eastAsia="Times New Roman" w:cs="Times New Roman"/>
          <w:b/>
          <w:bCs/>
          <w:rtl/>
          <w:lang w:eastAsia="de-DE"/>
        </w:rPr>
        <w:t>מֹשֶׁה</w:t>
      </w:r>
      <w:r w:rsidRPr="00C416BE">
        <w:rPr>
          <w:rFonts w:eastAsia="Times New Roman" w:cs="Times New Roman"/>
          <w:rtl/>
          <w:lang w:eastAsia="de-DE"/>
        </w:rPr>
        <w:t xml:space="preserve"> </w:t>
      </w:r>
      <w:r w:rsidRPr="00C416BE">
        <w:rPr>
          <w:rFonts w:eastAsia="Times New Roman" w:cs="Times New Roman"/>
          <w:lang w:eastAsia="de-DE"/>
        </w:rPr>
        <w:t xml:space="preserve">(Mose). Nach der direkten Anrede an Aaron kehrt die Rede zu Mose zurück, der als Vermittler zu den Leviten sprechen soll. </w:t>
      </w:r>
      <w:r w:rsidRPr="00C416BE">
        <w:rPr>
          <w:rFonts w:eastAsia="Times New Roman" w:cs="Times New Roman"/>
          <w:b/>
          <w:bCs/>
          <w:rtl/>
          <w:lang w:eastAsia="de-DE"/>
        </w:rPr>
        <w:t>לֵּאמֹר</w:t>
      </w:r>
      <w:r w:rsidRPr="00C416BE">
        <w:rPr>
          <w:rFonts w:eastAsia="Times New Roman" w:cs="Times New Roman"/>
          <w:rtl/>
          <w:lang w:eastAsia="de-DE"/>
        </w:rPr>
        <w:t xml:space="preserve"> </w:t>
      </w:r>
      <w:r w:rsidRPr="00C416BE">
        <w:rPr>
          <w:rFonts w:eastAsia="Times New Roman" w:cs="Times New Roman"/>
          <w:lang w:eastAsia="de-DE"/>
        </w:rPr>
        <w:t xml:space="preserve">ist der Qal Infinitiv construct von </w:t>
      </w:r>
      <w:r w:rsidRPr="00C416BE">
        <w:rPr>
          <w:rFonts w:eastAsia="Times New Roman" w:cs="Times New Roman"/>
          <w:b/>
          <w:bCs/>
          <w:rtl/>
          <w:lang w:eastAsia="de-DE"/>
        </w:rPr>
        <w:t>אמר</w:t>
      </w:r>
      <w:r w:rsidRPr="00C416BE">
        <w:rPr>
          <w:rFonts w:eastAsia="Times New Roman" w:cs="Times New Roman"/>
          <w:rtl/>
          <w:lang w:eastAsia="de-DE"/>
        </w:rPr>
        <w:t xml:space="preserve"> </w:t>
      </w:r>
      <w:r w:rsidRPr="00C416BE">
        <w:rPr>
          <w:rFonts w:eastAsia="Times New Roman" w:cs="Times New Roman"/>
          <w:lang w:eastAsia="de-DE"/>
        </w:rPr>
        <w:t xml:space="preserve">mit der Präposition </w:t>
      </w:r>
      <w:r w:rsidRPr="00C416BE">
        <w:rPr>
          <w:rFonts w:eastAsia="Times New Roman" w:cs="Times New Roman"/>
          <w:b/>
          <w:bCs/>
          <w:rtl/>
          <w:lang w:eastAsia="de-DE"/>
        </w:rPr>
        <w:t>לְ</w:t>
      </w:r>
      <w:r w:rsidRPr="00C416BE">
        <w:rPr>
          <w:rFonts w:eastAsia="Times New Roman" w:cs="Times New Roman"/>
          <w:rtl/>
          <w:lang w:eastAsia="de-DE"/>
        </w:rPr>
        <w:t xml:space="preserve"> </w:t>
      </w:r>
      <w:r w:rsidRPr="00C416BE">
        <w:rPr>
          <w:rFonts w:eastAsia="Times New Roman" w:cs="Times New Roman"/>
          <w:lang w:eastAsia="de-DE"/>
        </w:rPr>
        <w:t>als stereotype Redeeinleitung: „sagend".</w:t>
      </w:r>
    </w:p>
    <w:p w14:paraId="691CB7FA"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folgt dem hebräischen Text.</w:t>
      </w:r>
    </w:p>
    <w:p w14:paraId="0DCAE763"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einfachen Hauptsatz mit Verb, explizitem Subjekt, Präpositionalphrase (Adressatenangabe) und Redeeinleitung (Infinitiv construct). Es gibt keine Nebensätze.</w:t>
      </w:r>
    </w:p>
    <w:p w14:paraId="3C1B7437"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ist eine stereotype Redeeinleitungsformel, die einen neuen Abschnitt einleitet: die Regelung des Zehnten vom Zehnten, den die Leviten den Priestern geben müssen.</w:t>
      </w:r>
    </w:p>
    <w:p w14:paraId="79A64D2D"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18,26</w:t>
      </w:r>
    </w:p>
    <w:p w14:paraId="7BEBACD5"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וְאֶל־הַלְוִיִּ֣ם תְּדַבֵּר֮ וְאָמַרְתָּ֣ אֲלֵהֶם֒ כִּֽי־תִ֠קְחוּ מֵאֵ֨ת בְּנֵֽי־יִשְׂרָאֵ֜ל אֶת־הַֽמַּעֲשֵׂ֗ר אֲשֶׁ֨ר נָתַ֧תִּי לָכֶ֛ם מֵאִתָּ֖ם בְּנַחֲלַתְכֶ֑ם וַהֲרֵמֹתֶ֤ם מִמֶּ֨נּוּ֙ תְּרוּמַ֣ת יְהוָ֔ה מַעֲשֵׂ֖ר מִן־הַֽמַּעֲשֵֽׂר׃</w:t>
      </w:r>
    </w:p>
    <w:p w14:paraId="1B526064"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Und zu den Leviten sollst du reden und zu ihnen sprechen: Wenn ihr von den Söhnen Jisra'els den Zehnten nehmt, den ich euch von ihnen als euer Erbteil gegeben habe, so sollt ihr davon ein Hebopfer für den Ewigen anheben, den Zehnten von dem Zehnten.</w:t>
      </w:r>
    </w:p>
    <w:p w14:paraId="42489D4B"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01A9DAE8">
          <v:rect id="_x0000_i1630" style="width:0;height:1.5pt" o:hralign="center" o:hrstd="t" o:hr="t" fillcolor="#a0a0a0" stroked="f"/>
        </w:pict>
      </w:r>
    </w:p>
    <w:p w14:paraId="76C70C3A"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Die doppelte Redeeinleitung </w:t>
      </w:r>
      <w:r w:rsidRPr="00C416BE">
        <w:rPr>
          <w:rFonts w:eastAsia="Times New Roman" w:cs="Times New Roman"/>
          <w:b/>
          <w:bCs/>
          <w:rtl/>
          <w:lang w:eastAsia="de-DE"/>
        </w:rPr>
        <w:t>וְאֶל־הַלְוִיִּם תְּדַבֵּר וְאָמַרְתָּ אֲלֵהֶם</w:t>
      </w:r>
      <w:r w:rsidRPr="00C416BE">
        <w:rPr>
          <w:rFonts w:eastAsia="Times New Roman" w:cs="Times New Roman"/>
          <w:rtl/>
          <w:lang w:eastAsia="de-DE"/>
        </w:rPr>
        <w:t xml:space="preserve"> </w:t>
      </w:r>
      <w:r w:rsidRPr="00C416BE">
        <w:rPr>
          <w:rFonts w:eastAsia="Times New Roman" w:cs="Times New Roman"/>
          <w:lang w:eastAsia="de-DE"/>
        </w:rPr>
        <w:t xml:space="preserve">betont die Wichtigkeit: </w:t>
      </w:r>
      <w:r w:rsidRPr="00C416BE">
        <w:rPr>
          <w:rFonts w:eastAsia="Times New Roman" w:cs="Times New Roman"/>
          <w:b/>
          <w:bCs/>
          <w:rtl/>
          <w:lang w:eastAsia="de-DE"/>
        </w:rPr>
        <w:t>וְאֶל־הַלְוִיִּם</w:t>
      </w:r>
      <w:r w:rsidRPr="00C416BE">
        <w:rPr>
          <w:rFonts w:eastAsia="Times New Roman" w:cs="Times New Roman"/>
          <w:rtl/>
          <w:lang w:eastAsia="de-DE"/>
        </w:rPr>
        <w:t xml:space="preserve"> </w:t>
      </w:r>
      <w:r w:rsidRPr="00C416BE">
        <w:rPr>
          <w:rFonts w:eastAsia="Times New Roman" w:cs="Times New Roman"/>
          <w:lang w:eastAsia="de-DE"/>
        </w:rPr>
        <w:t xml:space="preserve">(„und zu den Leviten") mit Artikel gibt die Adressaten an, </w:t>
      </w:r>
      <w:r w:rsidRPr="00C416BE">
        <w:rPr>
          <w:rFonts w:eastAsia="Times New Roman" w:cs="Times New Roman"/>
          <w:b/>
          <w:bCs/>
          <w:rtl/>
          <w:lang w:eastAsia="de-DE"/>
        </w:rPr>
        <w:t>תְּדַבֵּר</w:t>
      </w:r>
      <w:r w:rsidRPr="00C416BE">
        <w:rPr>
          <w:rFonts w:eastAsia="Times New Roman" w:cs="Times New Roman"/>
          <w:rtl/>
          <w:lang w:eastAsia="de-DE"/>
        </w:rPr>
        <w:t xml:space="preserve"> </w:t>
      </w:r>
      <w:r w:rsidRPr="00C416BE">
        <w:rPr>
          <w:rFonts w:eastAsia="Times New Roman" w:cs="Times New Roman"/>
          <w:lang w:eastAsia="de-DE"/>
        </w:rPr>
        <w:t xml:space="preserve">(Piel Imperfekt, 2. m. sg. von </w:t>
      </w:r>
      <w:r w:rsidRPr="00C416BE">
        <w:rPr>
          <w:rFonts w:eastAsia="Times New Roman" w:cs="Times New Roman"/>
          <w:b/>
          <w:bCs/>
          <w:rtl/>
          <w:lang w:eastAsia="de-DE"/>
        </w:rPr>
        <w:t>דבר</w:t>
      </w:r>
      <w:r w:rsidRPr="00C416BE">
        <w:rPr>
          <w:rFonts w:eastAsia="Times New Roman" w:cs="Times New Roman"/>
          <w:lang w:eastAsia="de-DE"/>
        </w:rPr>
        <w:t xml:space="preserve">, „du sollst reden") ist das erste Verb, </w:t>
      </w:r>
      <w:r w:rsidRPr="00C416BE">
        <w:rPr>
          <w:rFonts w:eastAsia="Times New Roman" w:cs="Times New Roman"/>
          <w:b/>
          <w:bCs/>
          <w:rtl/>
          <w:lang w:eastAsia="de-DE"/>
        </w:rPr>
        <w:t>וְאָמַרְתָּ</w:t>
      </w:r>
      <w:r w:rsidRPr="00C416BE">
        <w:rPr>
          <w:rFonts w:eastAsia="Times New Roman" w:cs="Times New Roman"/>
          <w:rtl/>
          <w:lang w:eastAsia="de-DE"/>
        </w:rPr>
        <w:t xml:space="preserve"> </w:t>
      </w:r>
      <w:r w:rsidRPr="00C416BE">
        <w:rPr>
          <w:rFonts w:eastAsia="Times New Roman" w:cs="Times New Roman"/>
          <w:lang w:eastAsia="de-DE"/>
        </w:rPr>
        <w:t xml:space="preserve">(Waw + Qal Perfekt, 2. m. sg. von </w:t>
      </w:r>
      <w:r w:rsidRPr="00C416BE">
        <w:rPr>
          <w:rFonts w:eastAsia="Times New Roman" w:cs="Times New Roman"/>
          <w:b/>
          <w:bCs/>
          <w:rtl/>
          <w:lang w:eastAsia="de-DE"/>
        </w:rPr>
        <w:t>אמר</w:t>
      </w:r>
      <w:r w:rsidRPr="00C416BE">
        <w:rPr>
          <w:rFonts w:eastAsia="Times New Roman" w:cs="Times New Roman"/>
          <w:lang w:eastAsia="de-DE"/>
        </w:rPr>
        <w:t xml:space="preserve">, „und du sollst sprechen") das zweite Verb mit Weqatal, </w:t>
      </w:r>
      <w:r w:rsidRPr="00C416BE">
        <w:rPr>
          <w:rFonts w:eastAsia="Times New Roman" w:cs="Times New Roman"/>
          <w:b/>
          <w:bCs/>
          <w:rtl/>
          <w:lang w:eastAsia="de-DE"/>
        </w:rPr>
        <w:t>אֲלֵהֶם</w:t>
      </w:r>
      <w:r w:rsidRPr="00C416BE">
        <w:rPr>
          <w:rFonts w:eastAsia="Times New Roman" w:cs="Times New Roman"/>
          <w:rtl/>
          <w:lang w:eastAsia="de-DE"/>
        </w:rPr>
        <w:t xml:space="preserve"> </w:t>
      </w:r>
      <w:r w:rsidRPr="00C416BE">
        <w:rPr>
          <w:rFonts w:eastAsia="Times New Roman" w:cs="Times New Roman"/>
          <w:lang w:eastAsia="de-DE"/>
        </w:rPr>
        <w:t>(„zu ihnen") mit Präpositionalphrase wiederholt die Adressatenangabe.</w:t>
      </w:r>
    </w:p>
    <w:p w14:paraId="4D2CFFE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Der konditionale Temporalsatz </w:t>
      </w:r>
      <w:r w:rsidRPr="00C416BE">
        <w:rPr>
          <w:rFonts w:eastAsia="Times New Roman" w:cs="Times New Roman"/>
          <w:b/>
          <w:bCs/>
          <w:rtl/>
          <w:lang w:eastAsia="de-DE"/>
        </w:rPr>
        <w:t>כִּי־תִקְחוּ מֵאֵת בְּנֵי־יִשְׂרָאֵל אֶת־הַמַּעֲשֵׂר</w:t>
      </w:r>
      <w:r w:rsidRPr="00C416BE">
        <w:rPr>
          <w:rFonts w:eastAsia="Times New Roman" w:cs="Times New Roman"/>
          <w:rtl/>
          <w:lang w:eastAsia="de-DE"/>
        </w:rPr>
        <w:t xml:space="preserve"> </w:t>
      </w:r>
      <w:r w:rsidRPr="00C416BE">
        <w:rPr>
          <w:rFonts w:eastAsia="Times New Roman" w:cs="Times New Roman"/>
          <w:lang w:eastAsia="de-DE"/>
        </w:rPr>
        <w:t xml:space="preserve">leitet die Bedingung ein: </w:t>
      </w:r>
      <w:r w:rsidRPr="00C416BE">
        <w:rPr>
          <w:rFonts w:eastAsia="Times New Roman" w:cs="Times New Roman"/>
          <w:b/>
          <w:bCs/>
          <w:rtl/>
          <w:lang w:eastAsia="de-DE"/>
        </w:rPr>
        <w:t>כִּי</w:t>
      </w:r>
      <w:r w:rsidRPr="00C416BE">
        <w:rPr>
          <w:rFonts w:eastAsia="Times New Roman" w:cs="Times New Roman"/>
          <w:rtl/>
          <w:lang w:eastAsia="de-DE"/>
        </w:rPr>
        <w:t xml:space="preserve"> </w:t>
      </w:r>
      <w:r w:rsidRPr="00C416BE">
        <w:rPr>
          <w:rFonts w:eastAsia="Times New Roman" w:cs="Times New Roman"/>
          <w:lang w:eastAsia="de-DE"/>
        </w:rPr>
        <w:t xml:space="preserve">(„wenn, wann") mit temporaler Bedeutung, </w:t>
      </w:r>
      <w:r w:rsidRPr="00C416BE">
        <w:rPr>
          <w:rFonts w:eastAsia="Times New Roman" w:cs="Times New Roman"/>
          <w:b/>
          <w:bCs/>
          <w:rtl/>
          <w:lang w:eastAsia="de-DE"/>
        </w:rPr>
        <w:t>תִּקְחוּ</w:t>
      </w:r>
      <w:r w:rsidRPr="00C416BE">
        <w:rPr>
          <w:rFonts w:eastAsia="Times New Roman" w:cs="Times New Roman"/>
          <w:rtl/>
          <w:lang w:eastAsia="de-DE"/>
        </w:rPr>
        <w:t xml:space="preserve"> </w:t>
      </w:r>
      <w:r w:rsidRPr="00C416BE">
        <w:rPr>
          <w:rFonts w:eastAsia="Times New Roman" w:cs="Times New Roman"/>
          <w:lang w:eastAsia="de-DE"/>
        </w:rPr>
        <w:t xml:space="preserve">(Qal Imperfekt, 2. m. pl. von </w:t>
      </w:r>
      <w:r w:rsidRPr="00C416BE">
        <w:rPr>
          <w:rFonts w:eastAsia="Times New Roman" w:cs="Times New Roman"/>
          <w:b/>
          <w:bCs/>
          <w:rtl/>
          <w:lang w:eastAsia="de-DE"/>
        </w:rPr>
        <w:t>לקח</w:t>
      </w:r>
      <w:r w:rsidRPr="00C416BE">
        <w:rPr>
          <w:rFonts w:eastAsia="Times New Roman" w:cs="Times New Roman"/>
          <w:lang w:eastAsia="de-DE"/>
        </w:rPr>
        <w:t xml:space="preserve">, „ihr nehmt"), </w:t>
      </w:r>
      <w:r w:rsidRPr="00C416BE">
        <w:rPr>
          <w:rFonts w:eastAsia="Times New Roman" w:cs="Times New Roman"/>
          <w:b/>
          <w:bCs/>
          <w:rtl/>
          <w:lang w:eastAsia="de-DE"/>
        </w:rPr>
        <w:t>מֵאֵת בְּנֵי־יִשְׂרָאֵל</w:t>
      </w:r>
      <w:r w:rsidRPr="00C416BE">
        <w:rPr>
          <w:rFonts w:eastAsia="Times New Roman" w:cs="Times New Roman"/>
          <w:rtl/>
          <w:lang w:eastAsia="de-DE"/>
        </w:rPr>
        <w:t xml:space="preserve"> </w:t>
      </w:r>
      <w:r w:rsidRPr="00C416BE">
        <w:rPr>
          <w:rFonts w:eastAsia="Times New Roman" w:cs="Times New Roman"/>
          <w:lang w:eastAsia="de-DE"/>
        </w:rPr>
        <w:t xml:space="preserve">(„von den Söhnen Israels"), </w:t>
      </w:r>
      <w:r w:rsidRPr="00C416BE">
        <w:rPr>
          <w:rFonts w:eastAsia="Times New Roman" w:cs="Times New Roman"/>
          <w:b/>
          <w:bCs/>
          <w:rtl/>
          <w:lang w:eastAsia="de-DE"/>
        </w:rPr>
        <w:t>אֶת־הַמַּעֲשֵׂר</w:t>
      </w:r>
      <w:r w:rsidRPr="00C416BE">
        <w:rPr>
          <w:rFonts w:eastAsia="Times New Roman" w:cs="Times New Roman"/>
          <w:rtl/>
          <w:lang w:eastAsia="de-DE"/>
        </w:rPr>
        <w:t xml:space="preserve"> </w:t>
      </w:r>
      <w:r w:rsidRPr="00C416BE">
        <w:rPr>
          <w:rFonts w:eastAsia="Times New Roman" w:cs="Times New Roman"/>
          <w:lang w:eastAsia="de-DE"/>
        </w:rPr>
        <w:t>(„den Zehnten") Objekt mit Artikel und Objektpartikel.</w:t>
      </w:r>
    </w:p>
    <w:p w14:paraId="52635F32"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Der Relativsatz </w:t>
      </w:r>
      <w:r w:rsidRPr="00C416BE">
        <w:rPr>
          <w:rFonts w:eastAsia="Times New Roman" w:cs="Times New Roman"/>
          <w:b/>
          <w:bCs/>
          <w:rtl/>
          <w:lang w:eastAsia="de-DE"/>
        </w:rPr>
        <w:t>אֲשֶׁר נָתַתִּי לָכֶם מֵאִתָּם בְּנַחֲלַתְכֶם</w:t>
      </w:r>
      <w:r w:rsidRPr="00C416BE">
        <w:rPr>
          <w:rFonts w:eastAsia="Times New Roman" w:cs="Times New Roman"/>
          <w:rtl/>
          <w:lang w:eastAsia="de-DE"/>
        </w:rPr>
        <w:t xml:space="preserve"> </w:t>
      </w:r>
      <w:r w:rsidRPr="00C416BE">
        <w:rPr>
          <w:rFonts w:eastAsia="Times New Roman" w:cs="Times New Roman"/>
          <w:lang w:eastAsia="de-DE"/>
        </w:rPr>
        <w:t xml:space="preserve">erweitert: </w:t>
      </w:r>
      <w:r w:rsidRPr="00C416BE">
        <w:rPr>
          <w:rFonts w:eastAsia="Times New Roman" w:cs="Times New Roman"/>
          <w:b/>
          <w:bCs/>
          <w:rtl/>
          <w:lang w:eastAsia="de-DE"/>
        </w:rPr>
        <w:t>אֲשֶׁר</w:t>
      </w:r>
      <w:r w:rsidRPr="00C416BE">
        <w:rPr>
          <w:rFonts w:eastAsia="Times New Roman" w:cs="Times New Roman"/>
          <w:rtl/>
          <w:lang w:eastAsia="de-DE"/>
        </w:rPr>
        <w:t xml:space="preserve"> </w:t>
      </w:r>
      <w:r w:rsidRPr="00C416BE">
        <w:rPr>
          <w:rFonts w:eastAsia="Times New Roman" w:cs="Times New Roman"/>
          <w:lang w:eastAsia="de-DE"/>
        </w:rPr>
        <w:t xml:space="preserve">Relativpronomen, </w:t>
      </w:r>
      <w:r w:rsidRPr="00C416BE">
        <w:rPr>
          <w:rFonts w:eastAsia="Times New Roman" w:cs="Times New Roman"/>
          <w:b/>
          <w:bCs/>
          <w:rtl/>
          <w:lang w:eastAsia="de-DE"/>
        </w:rPr>
        <w:t>נָתַתִּי</w:t>
      </w:r>
      <w:r w:rsidRPr="00C416BE">
        <w:rPr>
          <w:rFonts w:eastAsia="Times New Roman" w:cs="Times New Roman"/>
          <w:rtl/>
          <w:lang w:eastAsia="de-DE"/>
        </w:rPr>
        <w:t xml:space="preserve"> </w:t>
      </w:r>
      <w:r w:rsidRPr="00C416BE">
        <w:rPr>
          <w:rFonts w:eastAsia="Times New Roman" w:cs="Times New Roman"/>
          <w:lang w:eastAsia="de-DE"/>
        </w:rPr>
        <w:t xml:space="preserve">(Qal Perfekt, 1. c. sg. von </w:t>
      </w:r>
      <w:r w:rsidRPr="00C416BE">
        <w:rPr>
          <w:rFonts w:eastAsia="Times New Roman" w:cs="Times New Roman"/>
          <w:b/>
          <w:bCs/>
          <w:rtl/>
          <w:lang w:eastAsia="de-DE"/>
        </w:rPr>
        <w:t>נתן</w:t>
      </w:r>
      <w:r w:rsidRPr="00C416BE">
        <w:rPr>
          <w:rFonts w:eastAsia="Times New Roman" w:cs="Times New Roman"/>
          <w:lang w:eastAsia="de-DE"/>
        </w:rPr>
        <w:t xml:space="preserve">, „ich habe gegeben"), </w:t>
      </w:r>
      <w:r w:rsidRPr="00C416BE">
        <w:rPr>
          <w:rFonts w:eastAsia="Times New Roman" w:cs="Times New Roman"/>
          <w:b/>
          <w:bCs/>
          <w:rtl/>
          <w:lang w:eastAsia="de-DE"/>
        </w:rPr>
        <w:t>לָכֶם</w:t>
      </w:r>
      <w:r w:rsidRPr="00C416BE">
        <w:rPr>
          <w:rFonts w:eastAsia="Times New Roman" w:cs="Times New Roman"/>
          <w:rtl/>
          <w:lang w:eastAsia="de-DE"/>
        </w:rPr>
        <w:t xml:space="preserve"> </w:t>
      </w:r>
      <w:r w:rsidRPr="00C416BE">
        <w:rPr>
          <w:rFonts w:eastAsia="Times New Roman" w:cs="Times New Roman"/>
          <w:lang w:eastAsia="de-DE"/>
        </w:rPr>
        <w:t xml:space="preserve">(„euch") indirektes Objekt mit Possessivsuffix 2. m. pl., </w:t>
      </w:r>
      <w:r w:rsidRPr="00C416BE">
        <w:rPr>
          <w:rFonts w:eastAsia="Times New Roman" w:cs="Times New Roman"/>
          <w:b/>
          <w:bCs/>
          <w:rtl/>
          <w:lang w:eastAsia="de-DE"/>
        </w:rPr>
        <w:t>מֵאִתָּם</w:t>
      </w:r>
      <w:r w:rsidRPr="00C416BE">
        <w:rPr>
          <w:rFonts w:eastAsia="Times New Roman" w:cs="Times New Roman"/>
          <w:rtl/>
          <w:lang w:eastAsia="de-DE"/>
        </w:rPr>
        <w:t xml:space="preserve"> </w:t>
      </w:r>
      <w:r w:rsidRPr="00C416BE">
        <w:rPr>
          <w:rFonts w:eastAsia="Times New Roman" w:cs="Times New Roman"/>
          <w:lang w:eastAsia="de-DE"/>
        </w:rPr>
        <w:t xml:space="preserve">(„von ihnen") mit Suffix 3. m. pl., </w:t>
      </w:r>
      <w:r w:rsidRPr="00C416BE">
        <w:rPr>
          <w:rFonts w:eastAsia="Times New Roman" w:cs="Times New Roman"/>
          <w:b/>
          <w:bCs/>
          <w:rtl/>
          <w:lang w:eastAsia="de-DE"/>
        </w:rPr>
        <w:t>בְּנַחֲלַתְכֶם</w:t>
      </w:r>
      <w:r w:rsidRPr="00C416BE">
        <w:rPr>
          <w:rFonts w:eastAsia="Times New Roman" w:cs="Times New Roman"/>
          <w:rtl/>
          <w:lang w:eastAsia="de-DE"/>
        </w:rPr>
        <w:t xml:space="preserve"> </w:t>
      </w:r>
      <w:r w:rsidRPr="00C416BE">
        <w:rPr>
          <w:rFonts w:eastAsia="Times New Roman" w:cs="Times New Roman"/>
          <w:lang w:eastAsia="de-DE"/>
        </w:rPr>
        <w:t xml:space="preserve">(„als euer Erbteil") mit </w:t>
      </w:r>
      <w:r w:rsidRPr="00C416BE">
        <w:rPr>
          <w:rFonts w:eastAsia="Times New Roman" w:cs="Times New Roman"/>
          <w:b/>
          <w:bCs/>
          <w:rtl/>
          <w:lang w:eastAsia="de-DE"/>
        </w:rPr>
        <w:t>בְּ</w:t>
      </w:r>
      <w:r w:rsidRPr="00C416BE">
        <w:rPr>
          <w:rFonts w:eastAsia="Times New Roman" w:cs="Times New Roman"/>
          <w:rtl/>
          <w:lang w:eastAsia="de-DE"/>
        </w:rPr>
        <w:t xml:space="preserve"> </w:t>
      </w:r>
      <w:r w:rsidRPr="00C416BE">
        <w:rPr>
          <w:rFonts w:eastAsia="Times New Roman" w:cs="Times New Roman"/>
          <w:lang w:eastAsia="de-DE"/>
        </w:rPr>
        <w:t>instrumentalis und Possessivsuffix 2. m. pl.</w:t>
      </w:r>
    </w:p>
    <w:p w14:paraId="4947E62B"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Der Hauptsatz </w:t>
      </w:r>
      <w:r w:rsidRPr="00C416BE">
        <w:rPr>
          <w:rFonts w:eastAsia="Times New Roman" w:cs="Times New Roman"/>
          <w:b/>
          <w:bCs/>
          <w:rtl/>
          <w:lang w:eastAsia="de-DE"/>
        </w:rPr>
        <w:t>וַהֲרֵמֹתֶם מִמֶּנּוּ תְּרוּמַת יְהוָה מַעֲשֵׂר מִן־הַמַּעֲשֵׂר</w:t>
      </w:r>
      <w:r w:rsidRPr="00C416BE">
        <w:rPr>
          <w:rFonts w:eastAsia="Times New Roman" w:cs="Times New Roman"/>
          <w:rtl/>
          <w:lang w:eastAsia="de-DE"/>
        </w:rPr>
        <w:t xml:space="preserve"> </w:t>
      </w:r>
      <w:r w:rsidRPr="00C416BE">
        <w:rPr>
          <w:rFonts w:eastAsia="Times New Roman" w:cs="Times New Roman"/>
          <w:lang w:eastAsia="de-DE"/>
        </w:rPr>
        <w:t xml:space="preserve">gibt die Verpflichtung an: </w:t>
      </w:r>
      <w:r w:rsidRPr="00C416BE">
        <w:rPr>
          <w:rFonts w:eastAsia="Times New Roman" w:cs="Times New Roman"/>
          <w:b/>
          <w:bCs/>
          <w:rtl/>
          <w:lang w:eastAsia="de-DE"/>
        </w:rPr>
        <w:t>וַהֲרֵמֹתֶם</w:t>
      </w:r>
      <w:r w:rsidRPr="00C416BE">
        <w:rPr>
          <w:rFonts w:eastAsia="Times New Roman" w:cs="Times New Roman"/>
          <w:rtl/>
          <w:lang w:eastAsia="de-DE"/>
        </w:rPr>
        <w:t xml:space="preserve"> </w:t>
      </w:r>
      <w:r w:rsidRPr="00C416BE">
        <w:rPr>
          <w:rFonts w:eastAsia="Times New Roman" w:cs="Times New Roman"/>
          <w:lang w:eastAsia="de-DE"/>
        </w:rPr>
        <w:t xml:space="preserve">(Waw + Hifil Perfekt, 2. m. pl. von </w:t>
      </w:r>
      <w:r w:rsidRPr="00C416BE">
        <w:rPr>
          <w:rFonts w:eastAsia="Times New Roman" w:cs="Times New Roman"/>
          <w:b/>
          <w:bCs/>
          <w:rtl/>
          <w:lang w:eastAsia="de-DE"/>
        </w:rPr>
        <w:t>רום</w:t>
      </w:r>
      <w:r w:rsidRPr="00C416BE">
        <w:rPr>
          <w:rFonts w:eastAsia="Times New Roman" w:cs="Times New Roman"/>
          <w:lang w:eastAsia="de-DE"/>
        </w:rPr>
        <w:t xml:space="preserve">, „und ihr sollt anheben") mit Weqatal, </w:t>
      </w:r>
      <w:r w:rsidRPr="00C416BE">
        <w:rPr>
          <w:rFonts w:eastAsia="Times New Roman" w:cs="Times New Roman"/>
          <w:b/>
          <w:bCs/>
          <w:rtl/>
          <w:lang w:eastAsia="de-DE"/>
        </w:rPr>
        <w:t>מִמֶּנּוּ</w:t>
      </w:r>
      <w:r w:rsidRPr="00C416BE">
        <w:rPr>
          <w:rFonts w:eastAsia="Times New Roman" w:cs="Times New Roman"/>
          <w:rtl/>
          <w:lang w:eastAsia="de-DE"/>
        </w:rPr>
        <w:t xml:space="preserve"> </w:t>
      </w:r>
      <w:r w:rsidRPr="00C416BE">
        <w:rPr>
          <w:rFonts w:eastAsia="Times New Roman" w:cs="Times New Roman"/>
          <w:lang w:eastAsia="de-DE"/>
        </w:rPr>
        <w:t xml:space="preserve">(„davon") mit Suffix 3. m. sg., </w:t>
      </w:r>
      <w:r w:rsidRPr="00C416BE">
        <w:rPr>
          <w:rFonts w:eastAsia="Times New Roman" w:cs="Times New Roman"/>
          <w:b/>
          <w:bCs/>
          <w:rtl/>
          <w:lang w:eastAsia="de-DE"/>
        </w:rPr>
        <w:t>תְּרוּמַת יְהוָה</w:t>
      </w:r>
      <w:r w:rsidRPr="00C416BE">
        <w:rPr>
          <w:rFonts w:eastAsia="Times New Roman" w:cs="Times New Roman"/>
          <w:rtl/>
          <w:lang w:eastAsia="de-DE"/>
        </w:rPr>
        <w:t xml:space="preserve"> </w:t>
      </w:r>
      <w:r w:rsidRPr="00C416BE">
        <w:rPr>
          <w:rFonts w:eastAsia="Times New Roman" w:cs="Times New Roman"/>
          <w:lang w:eastAsia="de-DE"/>
        </w:rPr>
        <w:t xml:space="preserve">(„Hebopfer für JHWH") Constructus-Verbindung, </w:t>
      </w:r>
      <w:r w:rsidRPr="00C416BE">
        <w:rPr>
          <w:rFonts w:eastAsia="Times New Roman" w:cs="Times New Roman"/>
          <w:b/>
          <w:bCs/>
          <w:rtl/>
          <w:lang w:eastAsia="de-DE"/>
        </w:rPr>
        <w:t>מַעֲשֵׂר מִן־הַמַּעֲשֵׂר</w:t>
      </w:r>
      <w:r w:rsidRPr="00C416BE">
        <w:rPr>
          <w:rFonts w:eastAsia="Times New Roman" w:cs="Times New Roman"/>
          <w:rtl/>
          <w:lang w:eastAsia="de-DE"/>
        </w:rPr>
        <w:t xml:space="preserve"> </w:t>
      </w:r>
      <w:r w:rsidRPr="00C416BE">
        <w:rPr>
          <w:rFonts w:eastAsia="Times New Roman" w:cs="Times New Roman"/>
          <w:lang w:eastAsia="de-DE"/>
        </w:rPr>
        <w:t xml:space="preserve">(„Zehnter vom Zehnten") – die Präposition </w:t>
      </w:r>
      <w:r w:rsidRPr="00C416BE">
        <w:rPr>
          <w:rFonts w:eastAsia="Times New Roman" w:cs="Times New Roman"/>
          <w:b/>
          <w:bCs/>
          <w:rtl/>
          <w:lang w:eastAsia="de-DE"/>
        </w:rPr>
        <w:t>מִן</w:t>
      </w:r>
      <w:r w:rsidRPr="00C416BE">
        <w:rPr>
          <w:rFonts w:eastAsia="Times New Roman" w:cs="Times New Roman"/>
          <w:rtl/>
          <w:lang w:eastAsia="de-DE"/>
        </w:rPr>
        <w:t xml:space="preserve"> </w:t>
      </w:r>
      <w:r w:rsidRPr="00C416BE">
        <w:rPr>
          <w:rFonts w:eastAsia="Times New Roman" w:cs="Times New Roman"/>
          <w:lang w:eastAsia="de-DE"/>
        </w:rPr>
        <w:t>zeigt den partitiven Genitiv an. Diese Phrase ist der Kern: Die Leviten müssen von ihrem empfangenen Zehnten selbst einen Zehnten abgeben.</w:t>
      </w:r>
    </w:p>
    <w:p w14:paraId="6655D3C3"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folgt dem hebräischen Text und gibt die komplexe Struktur entsprechend wieder.</w:t>
      </w:r>
    </w:p>
    <w:p w14:paraId="05A9DF5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lastRenderedPageBreak/>
        <w:t>Die Satzstruktur zeigt einen Hauptsatz mit doppelter Redeeinleitung (zwei koordinierte Verben mit Präpositionalphrasen). Die direkte Rede enthält einen konditionalen Temporalsatz (Nebensatz) mit Verb, Präpositionalphrase und Objekt, erweitert durch einen Relativsatz (eingebetteter Nebensatz) mit Verb, indirektem Objekt und zwei Präpositionalphrasen. Der Hauptsatz folgt mit Weqatal-Verb, Präpositionalphrase, Objekt (Constructus-Verbindung) und präzisierender Apposition (partitiver Genitiv). Insgesamt gibt es zwei Nebensätze: einen konditionalen Temporalsatz mit eingebettetem Relativsatz.</w:t>
      </w:r>
    </w:p>
    <w:p w14:paraId="60EAF8D5"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etabliert eine wichtige Reziprozität: Auch die Leviten müssen vom empfangenen Zehnten einen Zehnten geben – an die Priester, die keinen direkten Anteil vom Volk erhalten.</w:t>
      </w:r>
    </w:p>
    <w:p w14:paraId="3158DB7F"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18,27</w:t>
      </w:r>
    </w:p>
    <w:p w14:paraId="38E961FE"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וְנֶחְשַׁ֥ב לָכֶ֖ם תְּרוּמַתְכֶ֑ם כַּדָּגָן֙ מִן־הַגֹּ֔רֶן וְכַֽמְלֵאָ֖ה מִן־הַיָּֽקֶב׃</w:t>
      </w:r>
    </w:p>
    <w:p w14:paraId="6C61125B"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Und euer Hebopfer wird euch gerechnet werden wie das Getreide von der Tenne und wie die Fülle von der Kelter.</w:t>
      </w:r>
    </w:p>
    <w:p w14:paraId="630A1907"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6C3FAACE">
          <v:rect id="_x0000_i1631" style="width:0;height:1.5pt" o:hralign="center" o:hrstd="t" o:hr="t" fillcolor="#a0a0a0" stroked="f"/>
        </w:pict>
      </w:r>
    </w:p>
    <w:p w14:paraId="156F1802"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Die Konjunktion </w:t>
      </w:r>
      <w:r w:rsidRPr="00C416BE">
        <w:rPr>
          <w:rFonts w:eastAsia="Times New Roman" w:cs="Times New Roman"/>
          <w:b/>
          <w:bCs/>
          <w:rtl/>
          <w:lang w:eastAsia="de-DE"/>
        </w:rPr>
        <w:t>וְ</w:t>
      </w:r>
      <w:r w:rsidRPr="00C416BE">
        <w:rPr>
          <w:rFonts w:eastAsia="Times New Roman" w:cs="Times New Roman"/>
          <w:rtl/>
          <w:lang w:eastAsia="de-DE"/>
        </w:rPr>
        <w:t xml:space="preserve"> </w:t>
      </w:r>
      <w:r w:rsidRPr="00C416BE">
        <w:rPr>
          <w:rFonts w:eastAsia="Times New Roman" w:cs="Times New Roman"/>
          <w:lang w:eastAsia="de-DE"/>
        </w:rPr>
        <w:t xml:space="preserve">verbindet mit dem vorherigen Vers. Das Verb </w:t>
      </w:r>
      <w:r w:rsidRPr="00C416BE">
        <w:rPr>
          <w:rFonts w:eastAsia="Times New Roman" w:cs="Times New Roman"/>
          <w:b/>
          <w:bCs/>
          <w:rtl/>
          <w:lang w:eastAsia="de-DE"/>
        </w:rPr>
        <w:t>נֶחְשַׁב</w:t>
      </w:r>
      <w:r w:rsidRPr="00C416BE">
        <w:rPr>
          <w:rFonts w:eastAsia="Times New Roman" w:cs="Times New Roman"/>
          <w:rtl/>
          <w:lang w:eastAsia="de-DE"/>
        </w:rPr>
        <w:t xml:space="preserve"> </w:t>
      </w:r>
      <w:r w:rsidRPr="00C416BE">
        <w:rPr>
          <w:rFonts w:eastAsia="Times New Roman" w:cs="Times New Roman"/>
          <w:lang w:eastAsia="de-DE"/>
        </w:rPr>
        <w:t xml:space="preserve">(Nifal Perfekt, 3. m. sg. von </w:t>
      </w:r>
      <w:r w:rsidRPr="00C416BE">
        <w:rPr>
          <w:rFonts w:eastAsia="Times New Roman" w:cs="Times New Roman"/>
          <w:b/>
          <w:bCs/>
          <w:rtl/>
          <w:lang w:eastAsia="de-DE"/>
        </w:rPr>
        <w:t>חשׁב</w:t>
      </w:r>
      <w:r w:rsidRPr="00C416BE">
        <w:rPr>
          <w:rFonts w:eastAsia="Times New Roman" w:cs="Times New Roman"/>
          <w:lang w:eastAsia="de-DE"/>
        </w:rPr>
        <w:t xml:space="preserve">) bedeutet „es wird gerechnet werden". Die Nifal-Form hat passive Bedeutung. </w:t>
      </w:r>
      <w:r w:rsidRPr="00C416BE">
        <w:rPr>
          <w:rFonts w:eastAsia="Times New Roman" w:cs="Times New Roman"/>
          <w:b/>
          <w:bCs/>
          <w:rtl/>
          <w:lang w:eastAsia="de-DE"/>
        </w:rPr>
        <w:t>לָכֶם</w:t>
      </w:r>
      <w:r w:rsidRPr="00C416BE">
        <w:rPr>
          <w:rFonts w:eastAsia="Times New Roman" w:cs="Times New Roman"/>
          <w:rtl/>
          <w:lang w:eastAsia="de-DE"/>
        </w:rPr>
        <w:t xml:space="preserve"> </w:t>
      </w:r>
      <w:r w:rsidRPr="00C416BE">
        <w:rPr>
          <w:rFonts w:eastAsia="Times New Roman" w:cs="Times New Roman"/>
          <w:lang w:eastAsia="de-DE"/>
        </w:rPr>
        <w:t xml:space="preserve">(„euch") mit Possessivsuffix 2. m. pl. ist das indirekte Objekt – „euch wird es gerechnet". Das Subjekt </w:t>
      </w:r>
      <w:r w:rsidRPr="00C416BE">
        <w:rPr>
          <w:rFonts w:eastAsia="Times New Roman" w:cs="Times New Roman"/>
          <w:b/>
          <w:bCs/>
          <w:rtl/>
          <w:lang w:eastAsia="de-DE"/>
        </w:rPr>
        <w:t>תְּרוּמַתְכֶם</w:t>
      </w:r>
      <w:r w:rsidRPr="00C416BE">
        <w:rPr>
          <w:rFonts w:eastAsia="Times New Roman" w:cs="Times New Roman"/>
          <w:rtl/>
          <w:lang w:eastAsia="de-DE"/>
        </w:rPr>
        <w:t xml:space="preserve"> </w:t>
      </w:r>
      <w:r w:rsidRPr="00C416BE">
        <w:rPr>
          <w:rFonts w:eastAsia="Times New Roman" w:cs="Times New Roman"/>
          <w:lang w:eastAsia="de-DE"/>
        </w:rPr>
        <w:t>ist „euer Hebopfer" (</w:t>
      </w:r>
      <w:r w:rsidRPr="00C416BE">
        <w:rPr>
          <w:rFonts w:eastAsia="Times New Roman" w:cs="Times New Roman"/>
          <w:b/>
          <w:bCs/>
          <w:rtl/>
          <w:lang w:eastAsia="de-DE"/>
        </w:rPr>
        <w:t>תְּרוּמָה</w:t>
      </w:r>
      <w:r w:rsidRPr="00C416BE">
        <w:rPr>
          <w:rFonts w:eastAsia="Times New Roman" w:cs="Times New Roman"/>
          <w:rtl/>
          <w:lang w:eastAsia="de-DE"/>
        </w:rPr>
        <w:t xml:space="preserve"> </w:t>
      </w:r>
      <w:r w:rsidRPr="00C416BE">
        <w:rPr>
          <w:rFonts w:eastAsia="Times New Roman" w:cs="Times New Roman"/>
          <w:lang w:eastAsia="de-DE"/>
        </w:rPr>
        <w:t>mit Possessivsuffix 2. m. pl.).</w:t>
      </w:r>
    </w:p>
    <w:p w14:paraId="61F8BED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doppelte Vergleichsphrase definiert die rechtliche Stellung des levitischen Zehnten: </w:t>
      </w:r>
      <w:r w:rsidRPr="00C416BE">
        <w:rPr>
          <w:rFonts w:eastAsia="Times New Roman" w:cs="Times New Roman"/>
          <w:b/>
          <w:bCs/>
          <w:rtl/>
          <w:lang w:eastAsia="de-DE"/>
        </w:rPr>
        <w:t>כַּדָּגָן מִן־הַגֹּרֶן</w:t>
      </w:r>
      <w:r w:rsidRPr="00C416BE">
        <w:rPr>
          <w:rFonts w:eastAsia="Times New Roman" w:cs="Times New Roman"/>
          <w:rtl/>
          <w:lang w:eastAsia="de-DE"/>
        </w:rPr>
        <w:t xml:space="preserve"> </w:t>
      </w:r>
      <w:r w:rsidRPr="00C416BE">
        <w:rPr>
          <w:rFonts w:eastAsia="Times New Roman" w:cs="Times New Roman"/>
          <w:lang w:eastAsia="de-DE"/>
        </w:rPr>
        <w:t xml:space="preserve">(„wie das Getreide von der Tenne") – </w:t>
      </w:r>
      <w:r w:rsidRPr="00C416BE">
        <w:rPr>
          <w:rFonts w:eastAsia="Times New Roman" w:cs="Times New Roman"/>
          <w:b/>
          <w:bCs/>
          <w:rtl/>
          <w:lang w:eastAsia="de-DE"/>
        </w:rPr>
        <w:t>כְּ</w:t>
      </w:r>
      <w:r w:rsidRPr="00C416BE">
        <w:rPr>
          <w:rFonts w:eastAsia="Times New Roman" w:cs="Times New Roman"/>
          <w:rtl/>
          <w:lang w:eastAsia="de-DE"/>
        </w:rPr>
        <w:t xml:space="preserve"> </w:t>
      </w:r>
      <w:r w:rsidRPr="00C416BE">
        <w:rPr>
          <w:rFonts w:eastAsia="Times New Roman" w:cs="Times New Roman"/>
          <w:lang w:eastAsia="de-DE"/>
        </w:rPr>
        <w:t xml:space="preserve">Präposition des Vergleichs, </w:t>
      </w:r>
      <w:r w:rsidRPr="00C416BE">
        <w:rPr>
          <w:rFonts w:eastAsia="Times New Roman" w:cs="Times New Roman"/>
          <w:b/>
          <w:bCs/>
          <w:rtl/>
          <w:lang w:eastAsia="de-DE"/>
        </w:rPr>
        <w:t>דָּגָן</w:t>
      </w:r>
      <w:r w:rsidRPr="00C416BE">
        <w:rPr>
          <w:rFonts w:eastAsia="Times New Roman" w:cs="Times New Roman"/>
          <w:rtl/>
          <w:lang w:eastAsia="de-DE"/>
        </w:rPr>
        <w:t xml:space="preserve"> </w:t>
      </w:r>
      <w:r w:rsidRPr="00C416BE">
        <w:rPr>
          <w:rFonts w:eastAsia="Times New Roman" w:cs="Times New Roman"/>
          <w:lang w:eastAsia="de-DE"/>
        </w:rPr>
        <w:t xml:space="preserve">„Getreide" mit Artikel, </w:t>
      </w:r>
      <w:r w:rsidRPr="00C416BE">
        <w:rPr>
          <w:rFonts w:eastAsia="Times New Roman" w:cs="Times New Roman"/>
          <w:b/>
          <w:bCs/>
          <w:rtl/>
          <w:lang w:eastAsia="de-DE"/>
        </w:rPr>
        <w:t>מִן־הַגֹּרֶן</w:t>
      </w:r>
      <w:r w:rsidRPr="00C416BE">
        <w:rPr>
          <w:rFonts w:eastAsia="Times New Roman" w:cs="Times New Roman"/>
          <w:rtl/>
          <w:lang w:eastAsia="de-DE"/>
        </w:rPr>
        <w:t xml:space="preserve"> </w:t>
      </w:r>
      <w:r w:rsidRPr="00C416BE">
        <w:rPr>
          <w:rFonts w:eastAsia="Times New Roman" w:cs="Times New Roman"/>
          <w:lang w:eastAsia="de-DE"/>
        </w:rPr>
        <w:t>„von der Tenne" (</w:t>
      </w:r>
      <w:r w:rsidRPr="00C416BE">
        <w:rPr>
          <w:rFonts w:eastAsia="Times New Roman" w:cs="Times New Roman"/>
          <w:b/>
          <w:bCs/>
          <w:rtl/>
          <w:lang w:eastAsia="de-DE"/>
        </w:rPr>
        <w:t>גֹּרֶן</w:t>
      </w:r>
      <w:r w:rsidRPr="00C416BE">
        <w:rPr>
          <w:rFonts w:eastAsia="Times New Roman" w:cs="Times New Roman"/>
          <w:rtl/>
          <w:lang w:eastAsia="de-DE"/>
        </w:rPr>
        <w:t xml:space="preserve"> </w:t>
      </w:r>
      <w:r w:rsidRPr="00C416BE">
        <w:rPr>
          <w:rFonts w:eastAsia="Times New Roman" w:cs="Times New Roman"/>
          <w:lang w:eastAsia="de-DE"/>
        </w:rPr>
        <w:t xml:space="preserve">„Dreschplatz, Tenne" mit Artikel). </w:t>
      </w:r>
      <w:r w:rsidRPr="00C416BE">
        <w:rPr>
          <w:rFonts w:eastAsia="Times New Roman" w:cs="Times New Roman"/>
          <w:b/>
          <w:bCs/>
          <w:rtl/>
          <w:lang w:eastAsia="de-DE"/>
        </w:rPr>
        <w:t>וְכַמְלֵאָה מִן־הַיָּקֶב</w:t>
      </w:r>
      <w:r w:rsidRPr="00C416BE">
        <w:rPr>
          <w:rFonts w:eastAsia="Times New Roman" w:cs="Times New Roman"/>
          <w:rtl/>
          <w:lang w:eastAsia="de-DE"/>
        </w:rPr>
        <w:t xml:space="preserve"> </w:t>
      </w:r>
      <w:r w:rsidRPr="00C416BE">
        <w:rPr>
          <w:rFonts w:eastAsia="Times New Roman" w:cs="Times New Roman"/>
          <w:lang w:eastAsia="de-DE"/>
        </w:rPr>
        <w:t xml:space="preserve">(„und wie die Fülle von der Kelter") – </w:t>
      </w:r>
      <w:r w:rsidRPr="00C416BE">
        <w:rPr>
          <w:rFonts w:eastAsia="Times New Roman" w:cs="Times New Roman"/>
          <w:b/>
          <w:bCs/>
          <w:rtl/>
          <w:lang w:eastAsia="de-DE"/>
        </w:rPr>
        <w:t>מְלֵאָה</w:t>
      </w:r>
      <w:r w:rsidRPr="00C416BE">
        <w:rPr>
          <w:rFonts w:eastAsia="Times New Roman" w:cs="Times New Roman"/>
          <w:rtl/>
          <w:lang w:eastAsia="de-DE"/>
        </w:rPr>
        <w:t xml:space="preserve"> </w:t>
      </w:r>
      <w:r w:rsidRPr="00C416BE">
        <w:rPr>
          <w:rFonts w:eastAsia="Times New Roman" w:cs="Times New Roman"/>
          <w:lang w:eastAsia="de-DE"/>
        </w:rPr>
        <w:t xml:space="preserve">„Fülle, das Volle" (von </w:t>
      </w:r>
      <w:r w:rsidRPr="00C416BE">
        <w:rPr>
          <w:rFonts w:eastAsia="Times New Roman" w:cs="Times New Roman"/>
          <w:b/>
          <w:bCs/>
          <w:rtl/>
          <w:lang w:eastAsia="de-DE"/>
        </w:rPr>
        <w:t>מלא</w:t>
      </w:r>
      <w:r w:rsidRPr="00C416BE">
        <w:rPr>
          <w:rFonts w:eastAsia="Times New Roman" w:cs="Times New Roman"/>
          <w:rtl/>
          <w:lang w:eastAsia="de-DE"/>
        </w:rPr>
        <w:t xml:space="preserve"> </w:t>
      </w:r>
      <w:r w:rsidRPr="00C416BE">
        <w:rPr>
          <w:rFonts w:eastAsia="Times New Roman" w:cs="Times New Roman"/>
          <w:lang w:eastAsia="de-DE"/>
        </w:rPr>
        <w:t xml:space="preserve">„füllen"), </w:t>
      </w:r>
      <w:r w:rsidRPr="00C416BE">
        <w:rPr>
          <w:rFonts w:eastAsia="Times New Roman" w:cs="Times New Roman"/>
          <w:b/>
          <w:bCs/>
          <w:rtl/>
          <w:lang w:eastAsia="de-DE"/>
        </w:rPr>
        <w:t>מִן־הַיָּקֶב</w:t>
      </w:r>
      <w:r w:rsidRPr="00C416BE">
        <w:rPr>
          <w:rFonts w:eastAsia="Times New Roman" w:cs="Times New Roman"/>
          <w:rtl/>
          <w:lang w:eastAsia="de-DE"/>
        </w:rPr>
        <w:t xml:space="preserve"> </w:t>
      </w:r>
      <w:r w:rsidRPr="00C416BE">
        <w:rPr>
          <w:rFonts w:eastAsia="Times New Roman" w:cs="Times New Roman"/>
          <w:lang w:eastAsia="de-DE"/>
        </w:rPr>
        <w:t>„von der Kelter" (</w:t>
      </w:r>
      <w:r w:rsidRPr="00C416BE">
        <w:rPr>
          <w:rFonts w:eastAsia="Times New Roman" w:cs="Times New Roman"/>
          <w:b/>
          <w:bCs/>
          <w:rtl/>
          <w:lang w:eastAsia="de-DE"/>
        </w:rPr>
        <w:t>יֶקֶב</w:t>
      </w:r>
      <w:r w:rsidRPr="00C416BE">
        <w:rPr>
          <w:rFonts w:eastAsia="Times New Roman" w:cs="Times New Roman"/>
          <w:rtl/>
          <w:lang w:eastAsia="de-DE"/>
        </w:rPr>
        <w:t xml:space="preserve"> </w:t>
      </w:r>
      <w:r w:rsidRPr="00C416BE">
        <w:rPr>
          <w:rFonts w:eastAsia="Times New Roman" w:cs="Times New Roman"/>
          <w:lang w:eastAsia="de-DE"/>
        </w:rPr>
        <w:t>„Kelter, Weinpresse" mit Artikel).</w:t>
      </w:r>
    </w:p>
    <w:p w14:paraId="1EBF490E"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beiden Vergleiche zeigen: Der Zehnte, den die Leviten weitergeben, wird ihnen so angerechnet, als wäre er ihre eigene Ernte. Sie sind keine bloßen Vermittler, sondern der Zehnte ist rechtlich ihr Eigentum, von dem sie dann ihren eigenen Zehnten geben – wie jeder andere Bauer vom Ertrag seiner Tenne oder Kelter.</w:t>
      </w:r>
    </w:p>
    <w:p w14:paraId="2B6261F9" w14:textId="3BFBC3CF"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w:t>
      </w:r>
      <w:r w:rsidR="00420C4D">
        <w:t>übersetzt „</w:t>
      </w:r>
      <w:r w:rsidR="00420C4D" w:rsidRPr="00420C4D">
        <w:rPr>
          <w:b/>
          <w:bCs/>
          <w:rtl/>
        </w:rPr>
        <w:t>כַּדָּגָן</w:t>
      </w:r>
      <w:r w:rsidR="00420C4D">
        <w:rPr>
          <w:rtl/>
        </w:rPr>
        <w:t xml:space="preserve"> </w:t>
      </w:r>
      <w:r w:rsidR="00420C4D" w:rsidRPr="00420C4D">
        <w:rPr>
          <w:b/>
          <w:bCs/>
          <w:rtl/>
        </w:rPr>
        <w:t>מִן־הַגֹּרֶן</w:t>
      </w:r>
      <w:r w:rsidR="00420C4D">
        <w:t>" (wie Getreide von der Tenne) mit „ὡς σῖτος ἀπὸ ἅλωνος" (wie Weizen von der Tenne), was spezifischer ist, und „</w:t>
      </w:r>
      <w:r w:rsidR="00420C4D" w:rsidRPr="00420C4D">
        <w:rPr>
          <w:b/>
          <w:bCs/>
          <w:rtl/>
        </w:rPr>
        <w:t>וְכַמְלֵאָה</w:t>
      </w:r>
      <w:r w:rsidR="00420C4D">
        <w:rPr>
          <w:rtl/>
        </w:rPr>
        <w:t xml:space="preserve"> </w:t>
      </w:r>
      <w:r w:rsidR="00420C4D" w:rsidRPr="00420C4D">
        <w:rPr>
          <w:b/>
          <w:bCs/>
          <w:rtl/>
        </w:rPr>
        <w:t>מִן־הַיָּקֶב</w:t>
      </w:r>
      <w:r w:rsidR="00420C4D">
        <w:t>" (und wie Fülle von der Kelter) wird zu „καὶ ὡς ἀφαίρεμα ἀπὸ ληνοῦ" (und wie Hebopfer von der Kelter), was die Metapher der "Fülle" zu "Hebopfer" ändert.</w:t>
      </w:r>
    </w:p>
    <w:p w14:paraId="785556A9"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Hauptsatz mit Konjunktion, passivem Verb (Nifal), indirektem Objekt, Subjekt (Possessivsuffix) und zwei koordinierten Vergleichsphrasen (präpositionale Constructus-Verbindungen). Es gibt keine Nebensätze.</w:t>
      </w:r>
    </w:p>
    <w:p w14:paraId="7CEA7CFD"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sichert den Leviten rechtliche Gleichstellung zu: Ihr Zehnter vom Zehnten wird wie eigene Ernte behandelt – sie geben von ihrem Eigentum, nicht von fremdem Gut.</w:t>
      </w:r>
    </w:p>
    <w:p w14:paraId="4AC9EFD1"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lastRenderedPageBreak/>
        <w:t>Numeri 18,28</w:t>
      </w:r>
    </w:p>
    <w:p w14:paraId="40021325"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כֵּ֣ן תָּרִ֤ימוּ גַם־אַתֶּם֙ תְּרוּמַ֣ת יְהוָ֔ה מִכֹּל֙ מַעְשְׂרֹ֣תֵיכֶ֔ם אֲשֶׁ֣ר תִּקְח֔וּ מֵאֵ֖ת בְּנֵ֣י יִשְׂרָאֵ֑ל וּנְתַתֶּ֤ם מִמֶּ֨נּוּ֙ אֶת־תְּרוּמַ֣ת יְהוָ֔ה לְאַהֲרֹ֖ן הַכֹּהֵֽן׃</w:t>
      </w:r>
    </w:p>
    <w:p w14:paraId="2AA553B3"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Also sollt auch ihr ein Hebopfer für den Ewigen anheben von allen euren Zehnten, die ihr von den Söhnen Jisra'els nehmt, und davon das Hebopfer für den Ewigen Aaron, dem Priester, geben.</w:t>
      </w:r>
    </w:p>
    <w:p w14:paraId="2388CB07"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61888756">
          <v:rect id="_x0000_i1632" style="width:0;height:1.5pt" o:hralign="center" o:hrstd="t" o:hr="t" fillcolor="#a0a0a0" stroked="f"/>
        </w:pict>
      </w:r>
    </w:p>
    <w:p w14:paraId="51E18C94"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Das Adverb </w:t>
      </w:r>
      <w:r w:rsidRPr="00C416BE">
        <w:rPr>
          <w:rFonts w:eastAsia="Times New Roman" w:cs="Times New Roman"/>
          <w:b/>
          <w:bCs/>
          <w:rtl/>
          <w:lang w:eastAsia="de-DE"/>
        </w:rPr>
        <w:t>כֵּן</w:t>
      </w:r>
      <w:r w:rsidRPr="00C416BE">
        <w:rPr>
          <w:rFonts w:eastAsia="Times New Roman" w:cs="Times New Roman"/>
          <w:rtl/>
          <w:lang w:eastAsia="de-DE"/>
        </w:rPr>
        <w:t xml:space="preserve"> </w:t>
      </w:r>
      <w:r w:rsidRPr="00C416BE">
        <w:rPr>
          <w:rFonts w:eastAsia="Times New Roman" w:cs="Times New Roman"/>
          <w:lang w:eastAsia="de-DE"/>
        </w:rPr>
        <w:t xml:space="preserve">(„so, also") leitet die konsekutive Anwendung ein. Das Verb </w:t>
      </w:r>
      <w:r w:rsidRPr="00C416BE">
        <w:rPr>
          <w:rFonts w:eastAsia="Times New Roman" w:cs="Times New Roman"/>
          <w:b/>
          <w:bCs/>
          <w:rtl/>
          <w:lang w:eastAsia="de-DE"/>
        </w:rPr>
        <w:t>תָּרִימוּ</w:t>
      </w:r>
      <w:r w:rsidRPr="00C416BE">
        <w:rPr>
          <w:rFonts w:eastAsia="Times New Roman" w:cs="Times New Roman"/>
          <w:rtl/>
          <w:lang w:eastAsia="de-DE"/>
        </w:rPr>
        <w:t xml:space="preserve"> </w:t>
      </w:r>
      <w:r w:rsidRPr="00C416BE">
        <w:rPr>
          <w:rFonts w:eastAsia="Times New Roman" w:cs="Times New Roman"/>
          <w:lang w:eastAsia="de-DE"/>
        </w:rPr>
        <w:t xml:space="preserve">(Hifil Imperfekt, 2. m. pl. von </w:t>
      </w:r>
      <w:r w:rsidRPr="00C416BE">
        <w:rPr>
          <w:rFonts w:eastAsia="Times New Roman" w:cs="Times New Roman"/>
          <w:b/>
          <w:bCs/>
          <w:rtl/>
          <w:lang w:eastAsia="de-DE"/>
        </w:rPr>
        <w:t>רום</w:t>
      </w:r>
      <w:r w:rsidRPr="00C416BE">
        <w:rPr>
          <w:rFonts w:eastAsia="Times New Roman" w:cs="Times New Roman"/>
          <w:lang w:eastAsia="de-DE"/>
        </w:rPr>
        <w:t xml:space="preserve">, „ihr sollt anheben") fordert die Handlung. Die emphatische Phrase </w:t>
      </w:r>
      <w:r w:rsidRPr="00C416BE">
        <w:rPr>
          <w:rFonts w:eastAsia="Times New Roman" w:cs="Times New Roman"/>
          <w:b/>
          <w:bCs/>
          <w:rtl/>
          <w:lang w:eastAsia="de-DE"/>
        </w:rPr>
        <w:t>גַם־אַתֶּם</w:t>
      </w:r>
      <w:r w:rsidRPr="00C416BE">
        <w:rPr>
          <w:rFonts w:eastAsia="Times New Roman" w:cs="Times New Roman"/>
          <w:rtl/>
          <w:lang w:eastAsia="de-DE"/>
        </w:rPr>
        <w:t xml:space="preserve"> </w:t>
      </w:r>
      <w:r w:rsidRPr="00C416BE">
        <w:rPr>
          <w:rFonts w:eastAsia="Times New Roman" w:cs="Times New Roman"/>
          <w:lang w:eastAsia="de-DE"/>
        </w:rPr>
        <w:t xml:space="preserve">(„auch ihr") mit der Partikel </w:t>
      </w:r>
      <w:r w:rsidRPr="00C416BE">
        <w:rPr>
          <w:rFonts w:eastAsia="Times New Roman" w:cs="Times New Roman"/>
          <w:b/>
          <w:bCs/>
          <w:rtl/>
          <w:lang w:eastAsia="de-DE"/>
        </w:rPr>
        <w:t>גַם</w:t>
      </w:r>
      <w:r w:rsidRPr="00C416BE">
        <w:rPr>
          <w:rFonts w:eastAsia="Times New Roman" w:cs="Times New Roman"/>
          <w:rtl/>
          <w:lang w:eastAsia="de-DE"/>
        </w:rPr>
        <w:t xml:space="preserve"> </w:t>
      </w:r>
      <w:r w:rsidRPr="00C416BE">
        <w:rPr>
          <w:rFonts w:eastAsia="Times New Roman" w:cs="Times New Roman"/>
          <w:lang w:eastAsia="de-DE"/>
        </w:rPr>
        <w:t xml:space="preserve">(„auch, sogar") und dem Pronomen </w:t>
      </w:r>
      <w:r w:rsidRPr="00C416BE">
        <w:rPr>
          <w:rFonts w:eastAsia="Times New Roman" w:cs="Times New Roman"/>
          <w:b/>
          <w:bCs/>
          <w:rtl/>
          <w:lang w:eastAsia="de-DE"/>
        </w:rPr>
        <w:t>אַתֶּם</w:t>
      </w:r>
      <w:r w:rsidRPr="00C416BE">
        <w:rPr>
          <w:rFonts w:eastAsia="Times New Roman" w:cs="Times New Roman"/>
          <w:rtl/>
          <w:lang w:eastAsia="de-DE"/>
        </w:rPr>
        <w:t xml:space="preserve"> </w:t>
      </w:r>
      <w:r w:rsidRPr="00C416BE">
        <w:rPr>
          <w:rFonts w:eastAsia="Times New Roman" w:cs="Times New Roman"/>
          <w:lang w:eastAsia="de-DE"/>
        </w:rPr>
        <w:t xml:space="preserve">(2. m. pl.) betont: Auch die Leviten sind zur Abgabe verpflichtet, wie alle anderen Israeliten. Das Objekt </w:t>
      </w:r>
      <w:r w:rsidRPr="00C416BE">
        <w:rPr>
          <w:rFonts w:eastAsia="Times New Roman" w:cs="Times New Roman"/>
          <w:b/>
          <w:bCs/>
          <w:rtl/>
          <w:lang w:eastAsia="de-DE"/>
        </w:rPr>
        <w:t>תְּרוּמַת יְהוָה</w:t>
      </w:r>
      <w:r w:rsidRPr="00C416BE">
        <w:rPr>
          <w:rFonts w:eastAsia="Times New Roman" w:cs="Times New Roman"/>
          <w:rtl/>
          <w:lang w:eastAsia="de-DE"/>
        </w:rPr>
        <w:t xml:space="preserve"> </w:t>
      </w:r>
      <w:r w:rsidRPr="00C416BE">
        <w:rPr>
          <w:rFonts w:eastAsia="Times New Roman" w:cs="Times New Roman"/>
          <w:lang w:eastAsia="de-DE"/>
        </w:rPr>
        <w:t>ist „Hebopfer für JHWH" (Constructus-Verbindung).</w:t>
      </w:r>
    </w:p>
    <w:p w14:paraId="54DAFD14"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Präpositionalphrase </w:t>
      </w:r>
      <w:r w:rsidRPr="00C416BE">
        <w:rPr>
          <w:rFonts w:eastAsia="Times New Roman" w:cs="Times New Roman"/>
          <w:b/>
          <w:bCs/>
          <w:rtl/>
          <w:lang w:eastAsia="de-DE"/>
        </w:rPr>
        <w:t>מִכֹּל מַעְשְׂרֹתֵיכֶם</w:t>
      </w:r>
      <w:r w:rsidRPr="00C416BE">
        <w:rPr>
          <w:rFonts w:eastAsia="Times New Roman" w:cs="Times New Roman"/>
          <w:rtl/>
          <w:lang w:eastAsia="de-DE"/>
        </w:rPr>
        <w:t xml:space="preserve"> </w:t>
      </w:r>
      <w:r w:rsidRPr="00C416BE">
        <w:rPr>
          <w:rFonts w:eastAsia="Times New Roman" w:cs="Times New Roman"/>
          <w:lang w:eastAsia="de-DE"/>
        </w:rPr>
        <w:t xml:space="preserve">(„von allen euren Zehnten") spezifiziert die Quelle: </w:t>
      </w:r>
      <w:r w:rsidRPr="00C416BE">
        <w:rPr>
          <w:rFonts w:eastAsia="Times New Roman" w:cs="Times New Roman"/>
          <w:b/>
          <w:bCs/>
          <w:rtl/>
          <w:lang w:eastAsia="de-DE"/>
        </w:rPr>
        <w:t>מִן</w:t>
      </w:r>
      <w:r w:rsidRPr="00C416BE">
        <w:rPr>
          <w:rFonts w:eastAsia="Times New Roman" w:cs="Times New Roman"/>
          <w:rtl/>
          <w:lang w:eastAsia="de-DE"/>
        </w:rPr>
        <w:t xml:space="preserve"> </w:t>
      </w:r>
      <w:r w:rsidRPr="00C416BE">
        <w:rPr>
          <w:rFonts w:eastAsia="Times New Roman" w:cs="Times New Roman"/>
          <w:lang w:eastAsia="de-DE"/>
        </w:rPr>
        <w:t xml:space="preserve">partitiv, </w:t>
      </w:r>
      <w:r w:rsidRPr="00C416BE">
        <w:rPr>
          <w:rFonts w:eastAsia="Times New Roman" w:cs="Times New Roman"/>
          <w:b/>
          <w:bCs/>
          <w:rtl/>
          <w:lang w:eastAsia="de-DE"/>
        </w:rPr>
        <w:t>כֹּל</w:t>
      </w:r>
      <w:r w:rsidRPr="00C416BE">
        <w:rPr>
          <w:rFonts w:eastAsia="Times New Roman" w:cs="Times New Roman"/>
          <w:rtl/>
          <w:lang w:eastAsia="de-DE"/>
        </w:rPr>
        <w:t xml:space="preserve"> </w:t>
      </w:r>
      <w:r w:rsidRPr="00C416BE">
        <w:rPr>
          <w:rFonts w:eastAsia="Times New Roman" w:cs="Times New Roman"/>
          <w:lang w:eastAsia="de-DE"/>
        </w:rPr>
        <w:t xml:space="preserve">im Constructus vor </w:t>
      </w:r>
      <w:r w:rsidRPr="00C416BE">
        <w:rPr>
          <w:rFonts w:eastAsia="Times New Roman" w:cs="Times New Roman"/>
          <w:b/>
          <w:bCs/>
          <w:rtl/>
          <w:lang w:eastAsia="de-DE"/>
        </w:rPr>
        <w:t>מַעְשְׂרֹתֵיכֶם</w:t>
      </w:r>
      <w:r w:rsidRPr="00C416BE">
        <w:rPr>
          <w:rFonts w:eastAsia="Times New Roman" w:cs="Times New Roman"/>
          <w:rtl/>
          <w:lang w:eastAsia="de-DE"/>
        </w:rPr>
        <w:t xml:space="preserve"> </w:t>
      </w:r>
      <w:r w:rsidRPr="00C416BE">
        <w:rPr>
          <w:rFonts w:eastAsia="Times New Roman" w:cs="Times New Roman"/>
          <w:lang w:eastAsia="de-DE"/>
        </w:rPr>
        <w:t xml:space="preserve">(Plural von </w:t>
      </w:r>
      <w:r w:rsidRPr="00C416BE">
        <w:rPr>
          <w:rFonts w:eastAsia="Times New Roman" w:cs="Times New Roman"/>
          <w:b/>
          <w:bCs/>
          <w:rtl/>
          <w:lang w:eastAsia="de-DE"/>
        </w:rPr>
        <w:t>מַעֲשֵׂר</w:t>
      </w:r>
      <w:r w:rsidRPr="00C416BE">
        <w:rPr>
          <w:rFonts w:eastAsia="Times New Roman" w:cs="Times New Roman"/>
          <w:rtl/>
          <w:lang w:eastAsia="de-DE"/>
        </w:rPr>
        <w:t xml:space="preserve"> </w:t>
      </w:r>
      <w:r w:rsidRPr="00C416BE">
        <w:rPr>
          <w:rFonts w:eastAsia="Times New Roman" w:cs="Times New Roman"/>
          <w:lang w:eastAsia="de-DE"/>
        </w:rPr>
        <w:t xml:space="preserve">mit Possessivsuffix 2. m. pl.). Der Relativsatz </w:t>
      </w:r>
      <w:r w:rsidRPr="00C416BE">
        <w:rPr>
          <w:rFonts w:eastAsia="Times New Roman" w:cs="Times New Roman"/>
          <w:b/>
          <w:bCs/>
          <w:rtl/>
          <w:lang w:eastAsia="de-DE"/>
        </w:rPr>
        <w:t>אֲשֶׁר תִּקְחוּ מֵאֵת בְּנֵי יִשְׂרָאֵל</w:t>
      </w:r>
      <w:r w:rsidRPr="00C416BE">
        <w:rPr>
          <w:rFonts w:eastAsia="Times New Roman" w:cs="Times New Roman"/>
          <w:rtl/>
          <w:lang w:eastAsia="de-DE"/>
        </w:rPr>
        <w:t xml:space="preserve"> </w:t>
      </w:r>
      <w:r w:rsidRPr="00C416BE">
        <w:rPr>
          <w:rFonts w:eastAsia="Times New Roman" w:cs="Times New Roman"/>
          <w:lang w:eastAsia="de-DE"/>
        </w:rPr>
        <w:t xml:space="preserve">wiederholt die Herkunft: </w:t>
      </w:r>
      <w:r w:rsidRPr="00C416BE">
        <w:rPr>
          <w:rFonts w:eastAsia="Times New Roman" w:cs="Times New Roman"/>
          <w:b/>
          <w:bCs/>
          <w:rtl/>
          <w:lang w:eastAsia="de-DE"/>
        </w:rPr>
        <w:t>אֲשֶׁר</w:t>
      </w:r>
      <w:r w:rsidRPr="00C416BE">
        <w:rPr>
          <w:rFonts w:eastAsia="Times New Roman" w:cs="Times New Roman"/>
          <w:rtl/>
          <w:lang w:eastAsia="de-DE"/>
        </w:rPr>
        <w:t xml:space="preserve"> </w:t>
      </w:r>
      <w:r w:rsidRPr="00C416BE">
        <w:rPr>
          <w:rFonts w:eastAsia="Times New Roman" w:cs="Times New Roman"/>
          <w:lang w:eastAsia="de-DE"/>
        </w:rPr>
        <w:t xml:space="preserve">Relativpronomen, </w:t>
      </w:r>
      <w:r w:rsidRPr="00C416BE">
        <w:rPr>
          <w:rFonts w:eastAsia="Times New Roman" w:cs="Times New Roman"/>
          <w:b/>
          <w:bCs/>
          <w:rtl/>
          <w:lang w:eastAsia="de-DE"/>
        </w:rPr>
        <w:t>תִּקְחוּ</w:t>
      </w:r>
      <w:r w:rsidRPr="00C416BE">
        <w:rPr>
          <w:rFonts w:eastAsia="Times New Roman" w:cs="Times New Roman"/>
          <w:rtl/>
          <w:lang w:eastAsia="de-DE"/>
        </w:rPr>
        <w:t xml:space="preserve"> </w:t>
      </w:r>
      <w:r w:rsidRPr="00C416BE">
        <w:rPr>
          <w:rFonts w:eastAsia="Times New Roman" w:cs="Times New Roman"/>
          <w:lang w:eastAsia="de-DE"/>
        </w:rPr>
        <w:t xml:space="preserve">(Qal Imperfekt, 2. m. pl. von </w:t>
      </w:r>
      <w:r w:rsidRPr="00C416BE">
        <w:rPr>
          <w:rFonts w:eastAsia="Times New Roman" w:cs="Times New Roman"/>
          <w:b/>
          <w:bCs/>
          <w:rtl/>
          <w:lang w:eastAsia="de-DE"/>
        </w:rPr>
        <w:t>לקח</w:t>
      </w:r>
      <w:r w:rsidRPr="00C416BE">
        <w:rPr>
          <w:rFonts w:eastAsia="Times New Roman" w:cs="Times New Roman"/>
          <w:lang w:eastAsia="de-DE"/>
        </w:rPr>
        <w:t xml:space="preserve">, „ihr nehmt"), </w:t>
      </w:r>
      <w:r w:rsidRPr="00C416BE">
        <w:rPr>
          <w:rFonts w:eastAsia="Times New Roman" w:cs="Times New Roman"/>
          <w:b/>
          <w:bCs/>
          <w:rtl/>
          <w:lang w:eastAsia="de-DE"/>
        </w:rPr>
        <w:t>מֵאֵת בְּנֵי יִשְׂרָאֵל</w:t>
      </w:r>
      <w:r w:rsidRPr="00C416BE">
        <w:rPr>
          <w:rFonts w:eastAsia="Times New Roman" w:cs="Times New Roman"/>
          <w:rtl/>
          <w:lang w:eastAsia="de-DE"/>
        </w:rPr>
        <w:t xml:space="preserve"> </w:t>
      </w:r>
      <w:r w:rsidRPr="00C416BE">
        <w:rPr>
          <w:rFonts w:eastAsia="Times New Roman" w:cs="Times New Roman"/>
          <w:lang w:eastAsia="de-DE"/>
        </w:rPr>
        <w:t>„von den Söhnen Israels".</w:t>
      </w:r>
    </w:p>
    <w:p w14:paraId="702BD702"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Das koordinierte Verb </w:t>
      </w:r>
      <w:r w:rsidRPr="00C416BE">
        <w:rPr>
          <w:rFonts w:eastAsia="Times New Roman" w:cs="Times New Roman"/>
          <w:b/>
          <w:bCs/>
          <w:rtl/>
          <w:lang w:eastAsia="de-DE"/>
        </w:rPr>
        <w:t>וּנְתַתֶּם</w:t>
      </w:r>
      <w:r w:rsidRPr="00C416BE">
        <w:rPr>
          <w:rFonts w:eastAsia="Times New Roman" w:cs="Times New Roman"/>
          <w:rtl/>
          <w:lang w:eastAsia="de-DE"/>
        </w:rPr>
        <w:t xml:space="preserve"> </w:t>
      </w:r>
      <w:r w:rsidRPr="00C416BE">
        <w:rPr>
          <w:rFonts w:eastAsia="Times New Roman" w:cs="Times New Roman"/>
          <w:lang w:eastAsia="de-DE"/>
        </w:rPr>
        <w:t xml:space="preserve">(Waw + Qal Perfekt, 2. m. pl. von </w:t>
      </w:r>
      <w:r w:rsidRPr="00C416BE">
        <w:rPr>
          <w:rFonts w:eastAsia="Times New Roman" w:cs="Times New Roman"/>
          <w:b/>
          <w:bCs/>
          <w:rtl/>
          <w:lang w:eastAsia="de-DE"/>
        </w:rPr>
        <w:t>נתן</w:t>
      </w:r>
      <w:r w:rsidRPr="00C416BE">
        <w:rPr>
          <w:rFonts w:eastAsia="Times New Roman" w:cs="Times New Roman"/>
          <w:lang w:eastAsia="de-DE"/>
        </w:rPr>
        <w:t xml:space="preserve">, „und ihr sollt geben") mit Weqatal gibt die Weitergabe an. </w:t>
      </w:r>
      <w:r w:rsidRPr="00C416BE">
        <w:rPr>
          <w:rFonts w:eastAsia="Times New Roman" w:cs="Times New Roman"/>
          <w:b/>
          <w:bCs/>
          <w:rtl/>
          <w:lang w:eastAsia="de-DE"/>
        </w:rPr>
        <w:t>מִמֶּנּוּ</w:t>
      </w:r>
      <w:r w:rsidRPr="00C416BE">
        <w:rPr>
          <w:rFonts w:eastAsia="Times New Roman" w:cs="Times New Roman"/>
          <w:rtl/>
          <w:lang w:eastAsia="de-DE"/>
        </w:rPr>
        <w:t xml:space="preserve"> </w:t>
      </w:r>
      <w:r w:rsidRPr="00C416BE">
        <w:rPr>
          <w:rFonts w:eastAsia="Times New Roman" w:cs="Times New Roman"/>
          <w:lang w:eastAsia="de-DE"/>
        </w:rPr>
        <w:t xml:space="preserve">(„davon") mit Suffix 3. m. sg. Das Objekt </w:t>
      </w:r>
      <w:r w:rsidRPr="00C416BE">
        <w:rPr>
          <w:rFonts w:eastAsia="Times New Roman" w:cs="Times New Roman"/>
          <w:b/>
          <w:bCs/>
          <w:rtl/>
          <w:lang w:eastAsia="de-DE"/>
        </w:rPr>
        <w:t>אֶת־תְּרוּמַת יְהוָה</w:t>
      </w:r>
      <w:r w:rsidRPr="00C416BE">
        <w:rPr>
          <w:rFonts w:eastAsia="Times New Roman" w:cs="Times New Roman"/>
          <w:rtl/>
          <w:lang w:eastAsia="de-DE"/>
        </w:rPr>
        <w:t xml:space="preserve"> </w:t>
      </w:r>
      <w:r w:rsidRPr="00C416BE">
        <w:rPr>
          <w:rFonts w:eastAsia="Times New Roman" w:cs="Times New Roman"/>
          <w:lang w:eastAsia="de-DE"/>
        </w:rPr>
        <w:t xml:space="preserve">wiederholt „das Hebopfer JHWHs". Der Empfänger </w:t>
      </w:r>
      <w:r w:rsidRPr="00C416BE">
        <w:rPr>
          <w:rFonts w:eastAsia="Times New Roman" w:cs="Times New Roman"/>
          <w:b/>
          <w:bCs/>
          <w:rtl/>
          <w:lang w:eastAsia="de-DE"/>
        </w:rPr>
        <w:t>לְאַהֲרֹן הַכֹּהֵן</w:t>
      </w:r>
      <w:r w:rsidRPr="00C416BE">
        <w:rPr>
          <w:rFonts w:eastAsia="Times New Roman" w:cs="Times New Roman"/>
          <w:rtl/>
          <w:lang w:eastAsia="de-DE"/>
        </w:rPr>
        <w:t xml:space="preserve"> </w:t>
      </w:r>
      <w:r w:rsidRPr="00C416BE">
        <w:rPr>
          <w:rFonts w:eastAsia="Times New Roman" w:cs="Times New Roman"/>
          <w:lang w:eastAsia="de-DE"/>
        </w:rPr>
        <w:t xml:space="preserve">(„Aaron, dem Priester") wird mit Titel genannt – </w:t>
      </w:r>
      <w:r w:rsidRPr="00C416BE">
        <w:rPr>
          <w:rFonts w:eastAsia="Times New Roman" w:cs="Times New Roman"/>
          <w:b/>
          <w:bCs/>
          <w:rtl/>
          <w:lang w:eastAsia="de-DE"/>
        </w:rPr>
        <w:t>הַכֹּהֵן</w:t>
      </w:r>
      <w:r w:rsidRPr="00C416BE">
        <w:rPr>
          <w:rFonts w:eastAsia="Times New Roman" w:cs="Times New Roman"/>
          <w:rtl/>
          <w:lang w:eastAsia="de-DE"/>
        </w:rPr>
        <w:t xml:space="preserve"> </w:t>
      </w:r>
      <w:r w:rsidRPr="00C416BE">
        <w:rPr>
          <w:rFonts w:eastAsia="Times New Roman" w:cs="Times New Roman"/>
          <w:lang w:eastAsia="de-DE"/>
        </w:rPr>
        <w:t>ist Apposition mit Artikel, was die priesterliche Funktion betont.</w:t>
      </w:r>
    </w:p>
    <w:p w14:paraId="5CE45366"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folgt dem hebräischen Text.</w:t>
      </w:r>
    </w:p>
    <w:p w14:paraId="3E604AA5"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Hauptsatz mit konsekutivem Adverb, Verb, emphatischer Phrase, Objekt (Constructus-Verbindung), Präpositionalphrase (Constructus-Verbindung mit Possessivsuffix), die durch einen Relativsatz erweitert wird. Ein koordinierter Hauptsatz mit Verb, Präpositionalphrase, Objekt und Empfängerangabe (mit Apposition) folgt. Insgesamt gibt es einen Nebensatz (Relativsatz).</w:t>
      </w:r>
    </w:p>
    <w:p w14:paraId="0F1C6693"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konkretisiert: Die Leviten geben ihren Zehnten vom Zehnten direkt an Aaron – die priesterliche Versorgung kommt aus dem levitischen Einkommen.</w:t>
      </w:r>
    </w:p>
    <w:p w14:paraId="4F97C595"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18,29</w:t>
      </w:r>
    </w:p>
    <w:p w14:paraId="0C83B71B"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מִכֹּל֙ מַתְּנֹ֣תֵיכֶ֔ם תָּרִ֕ימוּ אֵ֖ת כָּל־תְּרוּמַ֣ת יְהוָ֑ה מִכָּל־חֶלְבֹּ֔ו אֶֽת־מִקְדְּשֹׁ֖ו מִמֶּֽנּוּ׃</w:t>
      </w:r>
    </w:p>
    <w:p w14:paraId="34142F59"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Von allem euch Gegebenen sollt ihr alles Hebopfer des Ewigen anheben, von allem Besten desselben das Geheiligte davon.</w:t>
      </w:r>
    </w:p>
    <w:p w14:paraId="05692714"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4DBCE634">
          <v:rect id="_x0000_i1633" style="width:0;height:1.5pt" o:hralign="center" o:hrstd="t" o:hr="t" fillcolor="#a0a0a0" stroked="f"/>
        </w:pict>
      </w:r>
    </w:p>
    <w:p w14:paraId="2E0CD128"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lastRenderedPageBreak/>
        <w:t>Kommentar:</w:t>
      </w:r>
      <w:r w:rsidRPr="00C416BE">
        <w:rPr>
          <w:rFonts w:eastAsia="Times New Roman" w:cs="Times New Roman"/>
          <w:lang w:eastAsia="de-DE"/>
        </w:rPr>
        <w:t xml:space="preserve"> Die Präpositionalphrase </w:t>
      </w:r>
      <w:r w:rsidRPr="00C416BE">
        <w:rPr>
          <w:rFonts w:eastAsia="Times New Roman" w:cs="Times New Roman"/>
          <w:b/>
          <w:bCs/>
          <w:rtl/>
          <w:lang w:eastAsia="de-DE"/>
        </w:rPr>
        <w:t>מִכֹּל מַתְּנֹתֵיכֶם</w:t>
      </w:r>
      <w:r w:rsidRPr="00C416BE">
        <w:rPr>
          <w:rFonts w:eastAsia="Times New Roman" w:cs="Times New Roman"/>
          <w:rtl/>
          <w:lang w:eastAsia="de-DE"/>
        </w:rPr>
        <w:t xml:space="preserve"> </w:t>
      </w:r>
      <w:r w:rsidRPr="00C416BE">
        <w:rPr>
          <w:rFonts w:eastAsia="Times New Roman" w:cs="Times New Roman"/>
          <w:lang w:eastAsia="de-DE"/>
        </w:rPr>
        <w:t xml:space="preserve">(„von allen euren Gaben") steht betont am Anfang: </w:t>
      </w:r>
      <w:r w:rsidRPr="00C416BE">
        <w:rPr>
          <w:rFonts w:eastAsia="Times New Roman" w:cs="Times New Roman"/>
          <w:b/>
          <w:bCs/>
          <w:rtl/>
          <w:lang w:eastAsia="de-DE"/>
        </w:rPr>
        <w:t>מִן</w:t>
      </w:r>
      <w:r w:rsidRPr="00C416BE">
        <w:rPr>
          <w:rFonts w:eastAsia="Times New Roman" w:cs="Times New Roman"/>
          <w:rtl/>
          <w:lang w:eastAsia="de-DE"/>
        </w:rPr>
        <w:t xml:space="preserve"> </w:t>
      </w:r>
      <w:r w:rsidRPr="00C416BE">
        <w:rPr>
          <w:rFonts w:eastAsia="Times New Roman" w:cs="Times New Roman"/>
          <w:lang w:eastAsia="de-DE"/>
        </w:rPr>
        <w:t xml:space="preserve">partitiv, </w:t>
      </w:r>
      <w:r w:rsidRPr="00C416BE">
        <w:rPr>
          <w:rFonts w:eastAsia="Times New Roman" w:cs="Times New Roman"/>
          <w:b/>
          <w:bCs/>
          <w:rtl/>
          <w:lang w:eastAsia="de-DE"/>
        </w:rPr>
        <w:t>כֹּל</w:t>
      </w:r>
      <w:r w:rsidRPr="00C416BE">
        <w:rPr>
          <w:rFonts w:eastAsia="Times New Roman" w:cs="Times New Roman"/>
          <w:rtl/>
          <w:lang w:eastAsia="de-DE"/>
        </w:rPr>
        <w:t xml:space="preserve"> </w:t>
      </w:r>
      <w:r w:rsidRPr="00C416BE">
        <w:rPr>
          <w:rFonts w:eastAsia="Times New Roman" w:cs="Times New Roman"/>
          <w:lang w:eastAsia="de-DE"/>
        </w:rPr>
        <w:t xml:space="preserve">im Constructus vor </w:t>
      </w:r>
      <w:r w:rsidRPr="00C416BE">
        <w:rPr>
          <w:rFonts w:eastAsia="Times New Roman" w:cs="Times New Roman"/>
          <w:b/>
          <w:bCs/>
          <w:rtl/>
          <w:lang w:eastAsia="de-DE"/>
        </w:rPr>
        <w:t>מַתְּנֹתֵיכֶם</w:t>
      </w:r>
      <w:r w:rsidRPr="00C416BE">
        <w:rPr>
          <w:rFonts w:eastAsia="Times New Roman" w:cs="Times New Roman"/>
          <w:rtl/>
          <w:lang w:eastAsia="de-DE"/>
        </w:rPr>
        <w:t xml:space="preserve"> </w:t>
      </w:r>
      <w:r w:rsidRPr="00C416BE">
        <w:rPr>
          <w:rFonts w:eastAsia="Times New Roman" w:cs="Times New Roman"/>
          <w:lang w:eastAsia="de-DE"/>
        </w:rPr>
        <w:t xml:space="preserve">(Plural von </w:t>
      </w:r>
      <w:r w:rsidRPr="00C416BE">
        <w:rPr>
          <w:rFonts w:eastAsia="Times New Roman" w:cs="Times New Roman"/>
          <w:b/>
          <w:bCs/>
          <w:rtl/>
          <w:lang w:eastAsia="de-DE"/>
        </w:rPr>
        <w:t>מַתָּנָה</w:t>
      </w:r>
      <w:r w:rsidRPr="00C416BE">
        <w:rPr>
          <w:rFonts w:eastAsia="Times New Roman" w:cs="Times New Roman"/>
          <w:rtl/>
          <w:lang w:eastAsia="de-DE"/>
        </w:rPr>
        <w:t xml:space="preserve"> </w:t>
      </w:r>
      <w:r w:rsidRPr="00C416BE">
        <w:rPr>
          <w:rFonts w:eastAsia="Times New Roman" w:cs="Times New Roman"/>
          <w:lang w:eastAsia="de-DE"/>
        </w:rPr>
        <w:t xml:space="preserve">„Gabe, Geschenk" mit Possessivsuffix 2. m. pl.). Das Verb </w:t>
      </w:r>
      <w:r w:rsidRPr="00C416BE">
        <w:rPr>
          <w:rFonts w:eastAsia="Times New Roman" w:cs="Times New Roman"/>
          <w:b/>
          <w:bCs/>
          <w:rtl/>
          <w:lang w:eastAsia="de-DE"/>
        </w:rPr>
        <w:t>תָּרִימוּ</w:t>
      </w:r>
      <w:r w:rsidRPr="00C416BE">
        <w:rPr>
          <w:rFonts w:eastAsia="Times New Roman" w:cs="Times New Roman"/>
          <w:rtl/>
          <w:lang w:eastAsia="de-DE"/>
        </w:rPr>
        <w:t xml:space="preserve"> </w:t>
      </w:r>
      <w:r w:rsidRPr="00C416BE">
        <w:rPr>
          <w:rFonts w:eastAsia="Times New Roman" w:cs="Times New Roman"/>
          <w:lang w:eastAsia="de-DE"/>
        </w:rPr>
        <w:t xml:space="preserve">(Hifil Imperfekt, 2. m. pl. von </w:t>
      </w:r>
      <w:r w:rsidRPr="00C416BE">
        <w:rPr>
          <w:rFonts w:eastAsia="Times New Roman" w:cs="Times New Roman"/>
          <w:b/>
          <w:bCs/>
          <w:rtl/>
          <w:lang w:eastAsia="de-DE"/>
        </w:rPr>
        <w:t>רום</w:t>
      </w:r>
      <w:r w:rsidRPr="00C416BE">
        <w:rPr>
          <w:rFonts w:eastAsia="Times New Roman" w:cs="Times New Roman"/>
          <w:lang w:eastAsia="de-DE"/>
        </w:rPr>
        <w:t>, „ihr sollt anheben") fordert die Handlung.</w:t>
      </w:r>
    </w:p>
    <w:p w14:paraId="3CC0A96C"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Das Objekt </w:t>
      </w:r>
      <w:r w:rsidRPr="00C416BE">
        <w:rPr>
          <w:rFonts w:eastAsia="Times New Roman" w:cs="Times New Roman"/>
          <w:b/>
          <w:bCs/>
          <w:rtl/>
          <w:lang w:eastAsia="de-DE"/>
        </w:rPr>
        <w:t>אֵת כָּל־תְּרוּמַת יְהוָה</w:t>
      </w:r>
      <w:r w:rsidRPr="00C416BE">
        <w:rPr>
          <w:rFonts w:eastAsia="Times New Roman" w:cs="Times New Roman"/>
          <w:rtl/>
          <w:lang w:eastAsia="de-DE"/>
        </w:rPr>
        <w:t xml:space="preserve"> </w:t>
      </w:r>
      <w:r w:rsidRPr="00C416BE">
        <w:rPr>
          <w:rFonts w:eastAsia="Times New Roman" w:cs="Times New Roman"/>
          <w:lang w:eastAsia="de-DE"/>
        </w:rPr>
        <w:t xml:space="preserve">ist umfassend: </w:t>
      </w:r>
      <w:r w:rsidRPr="00C416BE">
        <w:rPr>
          <w:rFonts w:eastAsia="Times New Roman" w:cs="Times New Roman"/>
          <w:b/>
          <w:bCs/>
          <w:rtl/>
          <w:lang w:eastAsia="de-DE"/>
        </w:rPr>
        <w:t>אֵת</w:t>
      </w:r>
      <w:r w:rsidRPr="00C416BE">
        <w:rPr>
          <w:rFonts w:eastAsia="Times New Roman" w:cs="Times New Roman"/>
          <w:rtl/>
          <w:lang w:eastAsia="de-DE"/>
        </w:rPr>
        <w:t xml:space="preserve"> </w:t>
      </w:r>
      <w:r w:rsidRPr="00C416BE">
        <w:rPr>
          <w:rFonts w:eastAsia="Times New Roman" w:cs="Times New Roman"/>
          <w:lang w:eastAsia="de-DE"/>
        </w:rPr>
        <w:t xml:space="preserve">Objektpartikel, </w:t>
      </w:r>
      <w:r w:rsidRPr="00C416BE">
        <w:rPr>
          <w:rFonts w:eastAsia="Times New Roman" w:cs="Times New Roman"/>
          <w:b/>
          <w:bCs/>
          <w:rtl/>
          <w:lang w:eastAsia="de-DE"/>
        </w:rPr>
        <w:t>כָּל</w:t>
      </w:r>
      <w:r w:rsidRPr="00C416BE">
        <w:rPr>
          <w:rFonts w:eastAsia="Times New Roman" w:cs="Times New Roman"/>
          <w:rtl/>
          <w:lang w:eastAsia="de-DE"/>
        </w:rPr>
        <w:t xml:space="preserve"> </w:t>
      </w:r>
      <w:r w:rsidRPr="00C416BE">
        <w:rPr>
          <w:rFonts w:eastAsia="Times New Roman" w:cs="Times New Roman"/>
          <w:lang w:eastAsia="de-DE"/>
        </w:rPr>
        <w:t xml:space="preserve">im Constructus vor </w:t>
      </w:r>
      <w:r w:rsidRPr="00C416BE">
        <w:rPr>
          <w:rFonts w:eastAsia="Times New Roman" w:cs="Times New Roman"/>
          <w:b/>
          <w:bCs/>
          <w:rtl/>
          <w:lang w:eastAsia="de-DE"/>
        </w:rPr>
        <w:t>תְּרוּמַת יְהוָה</w:t>
      </w:r>
      <w:r w:rsidRPr="00C416BE">
        <w:rPr>
          <w:rFonts w:eastAsia="Times New Roman" w:cs="Times New Roman"/>
          <w:rtl/>
          <w:lang w:eastAsia="de-DE"/>
        </w:rPr>
        <w:t xml:space="preserve"> </w:t>
      </w:r>
      <w:r w:rsidRPr="00C416BE">
        <w:rPr>
          <w:rFonts w:eastAsia="Times New Roman" w:cs="Times New Roman"/>
          <w:lang w:eastAsia="de-DE"/>
        </w:rPr>
        <w:t xml:space="preserve">(Constructus-Verbindung „alles Hebopfer JHWHs"). Die doppelte Verwendung von </w:t>
      </w:r>
      <w:r w:rsidRPr="00C416BE">
        <w:rPr>
          <w:rFonts w:eastAsia="Times New Roman" w:cs="Times New Roman"/>
          <w:b/>
          <w:bCs/>
          <w:rtl/>
          <w:lang w:eastAsia="de-DE"/>
        </w:rPr>
        <w:t>כֹּל</w:t>
      </w:r>
      <w:r w:rsidRPr="00C416BE">
        <w:rPr>
          <w:rFonts w:eastAsia="Times New Roman" w:cs="Times New Roman"/>
          <w:rtl/>
          <w:lang w:eastAsia="de-DE"/>
        </w:rPr>
        <w:t xml:space="preserve"> </w:t>
      </w:r>
      <w:r w:rsidRPr="00C416BE">
        <w:rPr>
          <w:rFonts w:eastAsia="Times New Roman" w:cs="Times New Roman"/>
          <w:lang w:eastAsia="de-DE"/>
        </w:rPr>
        <w:t xml:space="preserve">/ </w:t>
      </w:r>
      <w:r w:rsidRPr="00C416BE">
        <w:rPr>
          <w:rFonts w:eastAsia="Times New Roman" w:cs="Times New Roman"/>
          <w:b/>
          <w:bCs/>
          <w:rtl/>
          <w:lang w:eastAsia="de-DE"/>
        </w:rPr>
        <w:t>כָּל</w:t>
      </w:r>
      <w:r w:rsidRPr="00C416BE">
        <w:rPr>
          <w:rFonts w:eastAsia="Times New Roman" w:cs="Times New Roman"/>
          <w:rtl/>
          <w:lang w:eastAsia="de-DE"/>
        </w:rPr>
        <w:t xml:space="preserve"> </w:t>
      </w:r>
      <w:r w:rsidRPr="00C416BE">
        <w:rPr>
          <w:rFonts w:eastAsia="Times New Roman" w:cs="Times New Roman"/>
          <w:lang w:eastAsia="de-DE"/>
        </w:rPr>
        <w:t>(„alle... alles") unterstreicht die Totalität.</w:t>
      </w:r>
    </w:p>
    <w:p w14:paraId="46306F6C"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präzisierende Phrase </w:t>
      </w:r>
      <w:r w:rsidRPr="00C416BE">
        <w:rPr>
          <w:rFonts w:eastAsia="Times New Roman" w:cs="Times New Roman"/>
          <w:b/>
          <w:bCs/>
          <w:rtl/>
          <w:lang w:eastAsia="de-DE"/>
        </w:rPr>
        <w:t>מִכָּל־חֶלְבּוֹ אֶת־מִקְדְּשׁוֹ מִמֶּנּוּ</w:t>
      </w:r>
      <w:r w:rsidRPr="00C416BE">
        <w:rPr>
          <w:rFonts w:eastAsia="Times New Roman" w:cs="Times New Roman"/>
          <w:rtl/>
          <w:lang w:eastAsia="de-DE"/>
        </w:rPr>
        <w:t xml:space="preserve"> </w:t>
      </w:r>
      <w:r w:rsidRPr="00C416BE">
        <w:rPr>
          <w:rFonts w:eastAsia="Times New Roman" w:cs="Times New Roman"/>
          <w:lang w:eastAsia="de-DE"/>
        </w:rPr>
        <w:t xml:space="preserve">ist syntaktisch dicht: </w:t>
      </w:r>
      <w:r w:rsidRPr="00C416BE">
        <w:rPr>
          <w:rFonts w:eastAsia="Times New Roman" w:cs="Times New Roman"/>
          <w:b/>
          <w:bCs/>
          <w:rtl/>
          <w:lang w:eastAsia="de-DE"/>
        </w:rPr>
        <w:t>מִכָּל־חֶלְבּוֹ</w:t>
      </w:r>
      <w:r w:rsidRPr="00C416BE">
        <w:rPr>
          <w:rFonts w:eastAsia="Times New Roman" w:cs="Times New Roman"/>
          <w:rtl/>
          <w:lang w:eastAsia="de-DE"/>
        </w:rPr>
        <w:t xml:space="preserve"> </w:t>
      </w:r>
      <w:r w:rsidRPr="00C416BE">
        <w:rPr>
          <w:rFonts w:eastAsia="Times New Roman" w:cs="Times New Roman"/>
          <w:lang w:eastAsia="de-DE"/>
        </w:rPr>
        <w:t xml:space="preserve">(„von allem Besten davon") – </w:t>
      </w:r>
      <w:r w:rsidRPr="00C416BE">
        <w:rPr>
          <w:rFonts w:eastAsia="Times New Roman" w:cs="Times New Roman"/>
          <w:b/>
          <w:bCs/>
          <w:rtl/>
          <w:lang w:eastAsia="de-DE"/>
        </w:rPr>
        <w:t>חֵלֶב</w:t>
      </w:r>
      <w:r w:rsidRPr="00C416BE">
        <w:rPr>
          <w:rFonts w:eastAsia="Times New Roman" w:cs="Times New Roman"/>
          <w:rtl/>
          <w:lang w:eastAsia="de-DE"/>
        </w:rPr>
        <w:t xml:space="preserve"> </w:t>
      </w:r>
      <w:r w:rsidRPr="00C416BE">
        <w:rPr>
          <w:rFonts w:eastAsia="Times New Roman" w:cs="Times New Roman"/>
          <w:lang w:eastAsia="de-DE"/>
        </w:rPr>
        <w:t xml:space="preserve">bedeutet hier „das Beste, der fetteste Teil" (nicht nur tierisches Fett) mit Possessivsuffix 3. m. sg. </w:t>
      </w:r>
      <w:r w:rsidRPr="00C416BE">
        <w:rPr>
          <w:rFonts w:eastAsia="Times New Roman" w:cs="Times New Roman"/>
          <w:b/>
          <w:bCs/>
          <w:rtl/>
          <w:lang w:eastAsia="de-DE"/>
        </w:rPr>
        <w:t>אֶת־מִקְדְּשׁוֹ</w:t>
      </w:r>
      <w:r w:rsidRPr="00C416BE">
        <w:rPr>
          <w:rFonts w:eastAsia="Times New Roman" w:cs="Times New Roman"/>
          <w:rtl/>
          <w:lang w:eastAsia="de-DE"/>
        </w:rPr>
        <w:t xml:space="preserve"> </w:t>
      </w:r>
      <w:r w:rsidRPr="00C416BE">
        <w:rPr>
          <w:rFonts w:eastAsia="Times New Roman" w:cs="Times New Roman"/>
          <w:lang w:eastAsia="de-DE"/>
        </w:rPr>
        <w:t>ist „das Geheiligte davon" (</w:t>
      </w:r>
      <w:r w:rsidRPr="00C416BE">
        <w:rPr>
          <w:rFonts w:eastAsia="Times New Roman" w:cs="Times New Roman"/>
          <w:b/>
          <w:bCs/>
          <w:rtl/>
          <w:lang w:eastAsia="de-DE"/>
        </w:rPr>
        <w:t>מִקְדָּשׁ</w:t>
      </w:r>
      <w:r w:rsidRPr="00C416BE">
        <w:rPr>
          <w:rFonts w:eastAsia="Times New Roman" w:cs="Times New Roman"/>
          <w:rtl/>
          <w:lang w:eastAsia="de-DE"/>
        </w:rPr>
        <w:t xml:space="preserve"> </w:t>
      </w:r>
      <w:r w:rsidRPr="00C416BE">
        <w:rPr>
          <w:rFonts w:eastAsia="Times New Roman" w:cs="Times New Roman"/>
          <w:lang w:eastAsia="de-DE"/>
        </w:rPr>
        <w:t xml:space="preserve">von </w:t>
      </w:r>
      <w:r w:rsidRPr="00C416BE">
        <w:rPr>
          <w:rFonts w:eastAsia="Times New Roman" w:cs="Times New Roman"/>
          <w:b/>
          <w:bCs/>
          <w:rtl/>
          <w:lang w:eastAsia="de-DE"/>
        </w:rPr>
        <w:t>קדשׁ</w:t>
      </w:r>
      <w:r w:rsidRPr="00C416BE">
        <w:rPr>
          <w:rFonts w:eastAsia="Times New Roman" w:cs="Times New Roman"/>
          <w:rtl/>
          <w:lang w:eastAsia="de-DE"/>
        </w:rPr>
        <w:t xml:space="preserve"> </w:t>
      </w:r>
      <w:r w:rsidRPr="00C416BE">
        <w:rPr>
          <w:rFonts w:eastAsia="Times New Roman" w:cs="Times New Roman"/>
          <w:lang w:eastAsia="de-DE"/>
        </w:rPr>
        <w:t xml:space="preserve">„heiligen", hier substantiviert, mit Possessivsuffix 3. m. sg.). </w:t>
      </w:r>
      <w:r w:rsidRPr="00C416BE">
        <w:rPr>
          <w:rFonts w:eastAsia="Times New Roman" w:cs="Times New Roman"/>
          <w:b/>
          <w:bCs/>
          <w:rtl/>
          <w:lang w:eastAsia="de-DE"/>
        </w:rPr>
        <w:t>מִמֶּנּוּ</w:t>
      </w:r>
      <w:r w:rsidRPr="00C416BE">
        <w:rPr>
          <w:rFonts w:eastAsia="Times New Roman" w:cs="Times New Roman"/>
          <w:rtl/>
          <w:lang w:eastAsia="de-DE"/>
        </w:rPr>
        <w:t xml:space="preserve"> </w:t>
      </w:r>
      <w:r w:rsidRPr="00C416BE">
        <w:rPr>
          <w:rFonts w:eastAsia="Times New Roman" w:cs="Times New Roman"/>
          <w:lang w:eastAsia="de-DE"/>
        </w:rPr>
        <w:t>(„davon") mit Suffix 3. m. sg. wiederholt die Herkunft. Die Leviten sollen nicht das Schlechteste, sondern das Beste als Hebopfer geben.</w:t>
      </w:r>
    </w:p>
    <w:p w14:paraId="4B2F5E3F" w14:textId="1506EA4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w:t>
      </w:r>
      <w:r w:rsidR="00420C4D">
        <w:t>übersetzt „</w:t>
      </w:r>
      <w:r w:rsidR="00420C4D" w:rsidRPr="00420C4D">
        <w:rPr>
          <w:b/>
          <w:bCs/>
          <w:rtl/>
        </w:rPr>
        <w:t>מִכָּל־חֶלְבּוֹ</w:t>
      </w:r>
      <w:r w:rsidR="00420C4D">
        <w:rPr>
          <w:rtl/>
        </w:rPr>
        <w:t xml:space="preserve"> </w:t>
      </w:r>
      <w:r w:rsidR="00420C4D" w:rsidRPr="00420C4D">
        <w:rPr>
          <w:b/>
          <w:bCs/>
          <w:rtl/>
        </w:rPr>
        <w:t>אֶת־מִקְדְּשׁוֹ</w:t>
      </w:r>
      <w:r w:rsidR="00420C4D">
        <w:t>" (von all seinem Besten seinen heiligen Teil) mit „ἀπὸ πάντων τῶν ἀπαρχῶν τὸ ἡγιασμένον" (von allen Erstlingsfrüchten das Geheiligte), was eine andere Betonung setzt.</w:t>
      </w:r>
    </w:p>
    <w:p w14:paraId="733F72D2"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Satzstruktur zeigt einen Hauptsatz mit präponierter Präpositionalphrase (betont), Verb, Objekt (Constructus-Verbindung mit </w:t>
      </w:r>
      <w:r w:rsidRPr="00C416BE">
        <w:rPr>
          <w:rFonts w:eastAsia="Times New Roman" w:cs="Times New Roman"/>
          <w:b/>
          <w:bCs/>
          <w:rtl/>
          <w:lang w:eastAsia="de-DE"/>
        </w:rPr>
        <w:t>כָּל</w:t>
      </w:r>
      <w:r w:rsidRPr="00C416BE">
        <w:rPr>
          <w:rFonts w:eastAsia="Times New Roman" w:cs="Times New Roman"/>
          <w:lang w:eastAsia="de-DE"/>
        </w:rPr>
        <w:t>) und präzisierender Apposition (zwei Präpositionalphrasen mit Possessivsuffixen). Es gibt keine Nebensätze.</w:t>
      </w:r>
    </w:p>
    <w:p w14:paraId="6424DD9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betont die Qualität: Vom Besten soll das Heiligste gegeben werden – die Leviten dürfen nicht das Minderwertige abgeben.</w:t>
      </w:r>
    </w:p>
    <w:p w14:paraId="7556F600"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18,30</w:t>
      </w:r>
    </w:p>
    <w:p w14:paraId="242844A7"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וְאָמַרְתָּ֖ אֲלֵהֶ֑ם בַּהֲרִֽימְכֶ֤ם אֶת־חֶלְבּוֹ֙ מִמֶּ֔נּוּ וְנֶחְשַׁב֙ לַלְוִיִּ֔ם כִּתְבוּאַ֥ת גֹּ֖רֶן וְכִתְבוּאַ֥ת יָֽקֶב׃</w:t>
      </w:r>
    </w:p>
    <w:p w14:paraId="37DE8ED0"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Und du sollst zu ihnen sagen: Wenn ihr das Beste davon hebt, so wird es den Leviten berechnet werden wie der Ertrag der Tenne und wie der Ertrag der Kelter.</w:t>
      </w:r>
    </w:p>
    <w:p w14:paraId="70199AB9"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62D82B4F">
          <v:rect id="_x0000_i1634" style="width:0;height:1.5pt" o:hralign="center" o:hrstd="t" o:hr="t" fillcolor="#a0a0a0" stroked="f"/>
        </w:pict>
      </w:r>
    </w:p>
    <w:p w14:paraId="2151B142"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Das Verb </w:t>
      </w:r>
      <w:r w:rsidRPr="00C416BE">
        <w:rPr>
          <w:rFonts w:eastAsia="Times New Roman" w:cs="Times New Roman"/>
          <w:b/>
          <w:bCs/>
          <w:rtl/>
          <w:lang w:eastAsia="de-DE"/>
        </w:rPr>
        <w:t>וְאָמַרְתָּ</w:t>
      </w:r>
      <w:r w:rsidRPr="00C416BE">
        <w:rPr>
          <w:rFonts w:eastAsia="Times New Roman" w:cs="Times New Roman"/>
          <w:rtl/>
          <w:lang w:eastAsia="de-DE"/>
        </w:rPr>
        <w:t xml:space="preserve"> </w:t>
      </w:r>
      <w:r w:rsidRPr="00C416BE">
        <w:rPr>
          <w:rFonts w:eastAsia="Times New Roman" w:cs="Times New Roman"/>
          <w:lang w:eastAsia="de-DE"/>
        </w:rPr>
        <w:t xml:space="preserve">(Waw + Qal Perfekt, 2. m. sg. von </w:t>
      </w:r>
      <w:r w:rsidRPr="00C416BE">
        <w:rPr>
          <w:rFonts w:eastAsia="Times New Roman" w:cs="Times New Roman"/>
          <w:b/>
          <w:bCs/>
          <w:rtl/>
          <w:lang w:eastAsia="de-DE"/>
        </w:rPr>
        <w:t>אמר</w:t>
      </w:r>
      <w:r w:rsidRPr="00C416BE">
        <w:rPr>
          <w:rFonts w:eastAsia="Times New Roman" w:cs="Times New Roman"/>
          <w:lang w:eastAsia="de-DE"/>
        </w:rPr>
        <w:t xml:space="preserve">, „und du sollst sagen") mit Weqatal leitet eine weitere Anweisung an Mose ein. </w:t>
      </w:r>
      <w:r w:rsidRPr="00C416BE">
        <w:rPr>
          <w:rFonts w:eastAsia="Times New Roman" w:cs="Times New Roman"/>
          <w:b/>
          <w:bCs/>
          <w:rtl/>
          <w:lang w:eastAsia="de-DE"/>
        </w:rPr>
        <w:t>אֲלֵהֶם</w:t>
      </w:r>
      <w:r w:rsidRPr="00C416BE">
        <w:rPr>
          <w:rFonts w:eastAsia="Times New Roman" w:cs="Times New Roman"/>
          <w:rtl/>
          <w:lang w:eastAsia="de-DE"/>
        </w:rPr>
        <w:t xml:space="preserve"> </w:t>
      </w:r>
      <w:r w:rsidRPr="00C416BE">
        <w:rPr>
          <w:rFonts w:eastAsia="Times New Roman" w:cs="Times New Roman"/>
          <w:lang w:eastAsia="de-DE"/>
        </w:rPr>
        <w:t>(„zu ihnen") gibt die Adressaten (die Leviten) an.</w:t>
      </w:r>
    </w:p>
    <w:p w14:paraId="5609E2CE"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Der temporale Infinitiv </w:t>
      </w:r>
      <w:r w:rsidRPr="00C416BE">
        <w:rPr>
          <w:rFonts w:eastAsia="Times New Roman" w:cs="Times New Roman"/>
          <w:b/>
          <w:bCs/>
          <w:rtl/>
          <w:lang w:eastAsia="de-DE"/>
        </w:rPr>
        <w:t>בַּהֲרִימְכֶם אֶת־חֶלְבּוֹ מִמֶּנּוּ</w:t>
      </w:r>
      <w:r w:rsidRPr="00C416BE">
        <w:rPr>
          <w:rFonts w:eastAsia="Times New Roman" w:cs="Times New Roman"/>
          <w:rtl/>
          <w:lang w:eastAsia="de-DE"/>
        </w:rPr>
        <w:t xml:space="preserve"> </w:t>
      </w:r>
      <w:r w:rsidRPr="00C416BE">
        <w:rPr>
          <w:rFonts w:eastAsia="Times New Roman" w:cs="Times New Roman"/>
          <w:lang w:eastAsia="de-DE"/>
        </w:rPr>
        <w:t xml:space="preserve">bildet die Bedingung: </w:t>
      </w:r>
      <w:r w:rsidRPr="00C416BE">
        <w:rPr>
          <w:rFonts w:eastAsia="Times New Roman" w:cs="Times New Roman"/>
          <w:b/>
          <w:bCs/>
          <w:rtl/>
          <w:lang w:eastAsia="de-DE"/>
        </w:rPr>
        <w:t>בְּ</w:t>
      </w:r>
      <w:r w:rsidRPr="00C416BE">
        <w:rPr>
          <w:rFonts w:eastAsia="Times New Roman" w:cs="Times New Roman"/>
          <w:rtl/>
          <w:lang w:eastAsia="de-DE"/>
        </w:rPr>
        <w:t xml:space="preserve"> </w:t>
      </w:r>
      <w:r w:rsidRPr="00C416BE">
        <w:rPr>
          <w:rFonts w:eastAsia="Times New Roman" w:cs="Times New Roman"/>
          <w:lang w:eastAsia="de-DE"/>
        </w:rPr>
        <w:t xml:space="preserve">mit Hifil Infinitiv construct von </w:t>
      </w:r>
      <w:r w:rsidRPr="00C416BE">
        <w:rPr>
          <w:rFonts w:eastAsia="Times New Roman" w:cs="Times New Roman"/>
          <w:b/>
          <w:bCs/>
          <w:rtl/>
          <w:lang w:eastAsia="de-DE"/>
        </w:rPr>
        <w:t>רום</w:t>
      </w:r>
      <w:r w:rsidRPr="00C416BE">
        <w:rPr>
          <w:rFonts w:eastAsia="Times New Roman" w:cs="Times New Roman"/>
          <w:rtl/>
          <w:lang w:eastAsia="de-DE"/>
        </w:rPr>
        <w:t xml:space="preserve"> </w:t>
      </w:r>
      <w:r w:rsidRPr="00C416BE">
        <w:rPr>
          <w:rFonts w:eastAsia="Times New Roman" w:cs="Times New Roman"/>
          <w:lang w:eastAsia="de-DE"/>
        </w:rPr>
        <w:t xml:space="preserve">plus Possessivsuffix 2. m. pl. bedeutet „wenn/indem ihr anhebt", </w:t>
      </w:r>
      <w:r w:rsidRPr="00C416BE">
        <w:rPr>
          <w:rFonts w:eastAsia="Times New Roman" w:cs="Times New Roman"/>
          <w:b/>
          <w:bCs/>
          <w:rtl/>
          <w:lang w:eastAsia="de-DE"/>
        </w:rPr>
        <w:t>אֶת־חֶלְבּוֹ</w:t>
      </w:r>
      <w:r w:rsidRPr="00C416BE">
        <w:rPr>
          <w:rFonts w:eastAsia="Times New Roman" w:cs="Times New Roman"/>
          <w:rtl/>
          <w:lang w:eastAsia="de-DE"/>
        </w:rPr>
        <w:t xml:space="preserve"> </w:t>
      </w:r>
      <w:r w:rsidRPr="00C416BE">
        <w:rPr>
          <w:rFonts w:eastAsia="Times New Roman" w:cs="Times New Roman"/>
          <w:lang w:eastAsia="de-DE"/>
        </w:rPr>
        <w:t xml:space="preserve">(„das Beste davon") Objekt mit Possessivsuffix 3. m. sg., </w:t>
      </w:r>
      <w:r w:rsidRPr="00C416BE">
        <w:rPr>
          <w:rFonts w:eastAsia="Times New Roman" w:cs="Times New Roman"/>
          <w:b/>
          <w:bCs/>
          <w:rtl/>
          <w:lang w:eastAsia="de-DE"/>
        </w:rPr>
        <w:t>מִמֶּנּוּ</w:t>
      </w:r>
      <w:r w:rsidRPr="00C416BE">
        <w:rPr>
          <w:rFonts w:eastAsia="Times New Roman" w:cs="Times New Roman"/>
          <w:rtl/>
          <w:lang w:eastAsia="de-DE"/>
        </w:rPr>
        <w:t xml:space="preserve"> </w:t>
      </w:r>
      <w:r w:rsidRPr="00C416BE">
        <w:rPr>
          <w:rFonts w:eastAsia="Times New Roman" w:cs="Times New Roman"/>
          <w:lang w:eastAsia="de-DE"/>
        </w:rPr>
        <w:t>(„davon") verstärkt die Herkunft.</w:t>
      </w:r>
    </w:p>
    <w:p w14:paraId="544ECAA8"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Das Hauptverb </w:t>
      </w:r>
      <w:r w:rsidRPr="00C416BE">
        <w:rPr>
          <w:rFonts w:eastAsia="Times New Roman" w:cs="Times New Roman"/>
          <w:b/>
          <w:bCs/>
          <w:rtl/>
          <w:lang w:eastAsia="de-DE"/>
        </w:rPr>
        <w:t>וְנֶחְשַׁב</w:t>
      </w:r>
      <w:r w:rsidRPr="00C416BE">
        <w:rPr>
          <w:rFonts w:eastAsia="Times New Roman" w:cs="Times New Roman"/>
          <w:rtl/>
          <w:lang w:eastAsia="de-DE"/>
        </w:rPr>
        <w:t xml:space="preserve"> </w:t>
      </w:r>
      <w:r w:rsidRPr="00C416BE">
        <w:rPr>
          <w:rFonts w:eastAsia="Times New Roman" w:cs="Times New Roman"/>
          <w:lang w:eastAsia="de-DE"/>
        </w:rPr>
        <w:t xml:space="preserve">(Waw + Nifal Perfekt, 3. m. sg. von </w:t>
      </w:r>
      <w:r w:rsidRPr="00C416BE">
        <w:rPr>
          <w:rFonts w:eastAsia="Times New Roman" w:cs="Times New Roman"/>
          <w:b/>
          <w:bCs/>
          <w:rtl/>
          <w:lang w:eastAsia="de-DE"/>
        </w:rPr>
        <w:t>חשׁב</w:t>
      </w:r>
      <w:r w:rsidRPr="00C416BE">
        <w:rPr>
          <w:rFonts w:eastAsia="Times New Roman" w:cs="Times New Roman"/>
          <w:lang w:eastAsia="de-DE"/>
        </w:rPr>
        <w:t xml:space="preserve">, „und es wird gerechnet werden") mit Weqatal ist passiv. </w:t>
      </w:r>
      <w:r w:rsidRPr="00C416BE">
        <w:rPr>
          <w:rFonts w:eastAsia="Times New Roman" w:cs="Times New Roman"/>
          <w:b/>
          <w:bCs/>
          <w:rtl/>
          <w:lang w:eastAsia="de-DE"/>
        </w:rPr>
        <w:t>לַלְוִיִּם</w:t>
      </w:r>
      <w:r w:rsidRPr="00C416BE">
        <w:rPr>
          <w:rFonts w:eastAsia="Times New Roman" w:cs="Times New Roman"/>
          <w:rtl/>
          <w:lang w:eastAsia="de-DE"/>
        </w:rPr>
        <w:t xml:space="preserve"> </w:t>
      </w:r>
      <w:r w:rsidRPr="00C416BE">
        <w:rPr>
          <w:rFonts w:eastAsia="Times New Roman" w:cs="Times New Roman"/>
          <w:lang w:eastAsia="de-DE"/>
        </w:rPr>
        <w:t xml:space="preserve">(„den Leviten") mit Artikel ist das indirekte Objekt. Die doppelte Vergleichsphrase </w:t>
      </w:r>
      <w:r w:rsidRPr="00C416BE">
        <w:rPr>
          <w:rFonts w:eastAsia="Times New Roman" w:cs="Times New Roman"/>
          <w:b/>
          <w:bCs/>
          <w:rtl/>
          <w:lang w:eastAsia="de-DE"/>
        </w:rPr>
        <w:t>כִּתְבוּאַת גֹּרֶן וְכִתְבוּאַת יָקֶב</w:t>
      </w:r>
      <w:r w:rsidRPr="00C416BE">
        <w:rPr>
          <w:rFonts w:eastAsia="Times New Roman" w:cs="Times New Roman"/>
          <w:rtl/>
          <w:lang w:eastAsia="de-DE"/>
        </w:rPr>
        <w:t xml:space="preserve"> </w:t>
      </w:r>
      <w:r w:rsidRPr="00C416BE">
        <w:rPr>
          <w:rFonts w:eastAsia="Times New Roman" w:cs="Times New Roman"/>
          <w:lang w:eastAsia="de-DE"/>
        </w:rPr>
        <w:t xml:space="preserve">wiederholt die Struktur aus Vers 27: </w:t>
      </w:r>
      <w:r w:rsidRPr="00C416BE">
        <w:rPr>
          <w:rFonts w:eastAsia="Times New Roman" w:cs="Times New Roman"/>
          <w:b/>
          <w:bCs/>
          <w:rtl/>
          <w:lang w:eastAsia="de-DE"/>
        </w:rPr>
        <w:t>כְּ</w:t>
      </w:r>
      <w:r w:rsidRPr="00C416BE">
        <w:rPr>
          <w:rFonts w:eastAsia="Times New Roman" w:cs="Times New Roman"/>
          <w:rtl/>
          <w:lang w:eastAsia="de-DE"/>
        </w:rPr>
        <w:t xml:space="preserve"> </w:t>
      </w:r>
      <w:r w:rsidRPr="00C416BE">
        <w:rPr>
          <w:rFonts w:eastAsia="Times New Roman" w:cs="Times New Roman"/>
          <w:lang w:eastAsia="de-DE"/>
        </w:rPr>
        <w:lastRenderedPageBreak/>
        <w:t xml:space="preserve">Vergleichspräposition, </w:t>
      </w:r>
      <w:r w:rsidRPr="00C416BE">
        <w:rPr>
          <w:rFonts w:eastAsia="Times New Roman" w:cs="Times New Roman"/>
          <w:b/>
          <w:bCs/>
          <w:rtl/>
          <w:lang w:eastAsia="de-DE"/>
        </w:rPr>
        <w:t>תְּבוּאַת גֹּרֶן</w:t>
      </w:r>
      <w:r w:rsidRPr="00C416BE">
        <w:rPr>
          <w:rFonts w:eastAsia="Times New Roman" w:cs="Times New Roman"/>
          <w:rtl/>
          <w:lang w:eastAsia="de-DE"/>
        </w:rPr>
        <w:t xml:space="preserve"> </w:t>
      </w:r>
      <w:r w:rsidRPr="00C416BE">
        <w:rPr>
          <w:rFonts w:eastAsia="Times New Roman" w:cs="Times New Roman"/>
          <w:lang w:eastAsia="de-DE"/>
        </w:rPr>
        <w:t xml:space="preserve">(„Ertrag der Tenne", Constructus-Verbindung), </w:t>
      </w:r>
      <w:r w:rsidRPr="00C416BE">
        <w:rPr>
          <w:rFonts w:eastAsia="Times New Roman" w:cs="Times New Roman"/>
          <w:b/>
          <w:bCs/>
          <w:rtl/>
          <w:lang w:eastAsia="de-DE"/>
        </w:rPr>
        <w:t>וְכִתְבוּאַת יָקֶב</w:t>
      </w:r>
      <w:r w:rsidRPr="00C416BE">
        <w:rPr>
          <w:rFonts w:eastAsia="Times New Roman" w:cs="Times New Roman"/>
          <w:rtl/>
          <w:lang w:eastAsia="de-DE"/>
        </w:rPr>
        <w:t xml:space="preserve"> </w:t>
      </w:r>
      <w:r w:rsidRPr="00C416BE">
        <w:rPr>
          <w:rFonts w:eastAsia="Times New Roman" w:cs="Times New Roman"/>
          <w:lang w:eastAsia="de-DE"/>
        </w:rPr>
        <w:t xml:space="preserve">(„und wie Ertrag der Kelter"). </w:t>
      </w:r>
      <w:r w:rsidRPr="00C416BE">
        <w:rPr>
          <w:rFonts w:eastAsia="Times New Roman" w:cs="Times New Roman"/>
          <w:b/>
          <w:bCs/>
          <w:rtl/>
          <w:lang w:eastAsia="de-DE"/>
        </w:rPr>
        <w:t>תְּבוּאָה</w:t>
      </w:r>
      <w:r w:rsidRPr="00C416BE">
        <w:rPr>
          <w:rFonts w:eastAsia="Times New Roman" w:cs="Times New Roman"/>
          <w:rtl/>
          <w:lang w:eastAsia="de-DE"/>
        </w:rPr>
        <w:t xml:space="preserve"> </w:t>
      </w:r>
      <w:r w:rsidRPr="00C416BE">
        <w:rPr>
          <w:rFonts w:eastAsia="Times New Roman" w:cs="Times New Roman"/>
          <w:lang w:eastAsia="de-DE"/>
        </w:rPr>
        <w:t>bedeutet „Ertrag, Ernte".</w:t>
      </w:r>
    </w:p>
    <w:p w14:paraId="6DC1765B" w14:textId="76A5AFDA"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w:t>
      </w:r>
      <w:r w:rsidR="00420C4D">
        <w:t>übersetzt „</w:t>
      </w:r>
      <w:r w:rsidR="00420C4D" w:rsidRPr="00420C4D">
        <w:rPr>
          <w:b/>
          <w:bCs/>
          <w:rtl/>
        </w:rPr>
        <w:t>כִּתְבוּאַת</w:t>
      </w:r>
      <w:r w:rsidR="00420C4D">
        <w:rPr>
          <w:rtl/>
        </w:rPr>
        <w:t xml:space="preserve"> </w:t>
      </w:r>
      <w:r w:rsidR="00420C4D" w:rsidRPr="00420C4D">
        <w:rPr>
          <w:b/>
          <w:bCs/>
          <w:rtl/>
        </w:rPr>
        <w:t>גֹּרֶן</w:t>
      </w:r>
      <w:r w:rsidR="00420C4D">
        <w:t>" (wie Ertrag der Tenne) mit „ὡς γένημα ἀπὸ ἅλωνος" (wie Erzeugnis von der Tenne), wobei beide ähnliche Bedeutungen haben, aber unterschiedliche griechische Begriffe verwenden.</w:t>
      </w:r>
    </w:p>
    <w:p w14:paraId="31E66D68"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Hauptsatz mit Verb und Präpositionalphrase (Adressatenangabe). Die direkte Rede enthält einen temporalen Infinitivsatz (Nebensatz) mit Präposition, Infinitiv (Possessivsuffix), Objekt und weiterer Präpositionalphrase. Der Hauptsatz folgt mit passivem Verb (Nifal), indirektem Objekt und zwei koordinierten Vergleichsphrasen (Constructus-Verbindungen). Insgesamt gibt es einen Nebensatz (temporaler Infinitivsatz).</w:t>
      </w:r>
    </w:p>
    <w:p w14:paraId="6FFFFB6E"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Der Vers wiederholt die Zusicherung aus Vers 27: Nach Abgabe des Besten wird der verbleibende Zehnte den Leviten wie eigene Ernte angerechnet.</w:t>
      </w:r>
    </w:p>
    <w:p w14:paraId="4A5DA432"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18,31</w:t>
      </w:r>
    </w:p>
    <w:p w14:paraId="0570E81C"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וַאֲכַלְתֶּ֤ם אֹתוֹ֙ בְּכָל־מָק֔וֹם אַתֶּ֖ם וּבֵֽיתְכֶ֑ם כִּֽי־שָׂכָ֥ר הוּא֙ לָכֶ֔ם חֵ֥לֶף עֲבֹֽדַתְכֶ֖ם בְּאֹ֥הֶל מוֹעֵֽד׃</w:t>
      </w:r>
    </w:p>
    <w:p w14:paraId="57853AC2"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Und ihr mögt ihn essen an jedem Ort, ihr und euer Haus; denn es ist euer Lohn für euren Dienst am Zelt der Begegnung.</w:t>
      </w:r>
    </w:p>
    <w:p w14:paraId="2D2C1459"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1A026E69">
          <v:rect id="_x0000_i1635" style="width:0;height:1.5pt" o:hralign="center" o:hrstd="t" o:hr="t" fillcolor="#a0a0a0" stroked="f"/>
        </w:pict>
      </w:r>
    </w:p>
    <w:p w14:paraId="0F155514"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Das Verb </w:t>
      </w:r>
      <w:r w:rsidRPr="00C416BE">
        <w:rPr>
          <w:rFonts w:eastAsia="Times New Roman" w:cs="Times New Roman"/>
          <w:b/>
          <w:bCs/>
          <w:rtl/>
          <w:lang w:eastAsia="de-DE"/>
        </w:rPr>
        <w:t>וַאֲכַלְתֶּם</w:t>
      </w:r>
      <w:r w:rsidRPr="00C416BE">
        <w:rPr>
          <w:rFonts w:eastAsia="Times New Roman" w:cs="Times New Roman"/>
          <w:rtl/>
          <w:lang w:eastAsia="de-DE"/>
        </w:rPr>
        <w:t xml:space="preserve"> </w:t>
      </w:r>
      <w:r w:rsidRPr="00C416BE">
        <w:rPr>
          <w:rFonts w:eastAsia="Times New Roman" w:cs="Times New Roman"/>
          <w:lang w:eastAsia="de-DE"/>
        </w:rPr>
        <w:t xml:space="preserve">(Waw + Qal Perfekt, 2. m. pl. von </w:t>
      </w:r>
      <w:r w:rsidRPr="00C416BE">
        <w:rPr>
          <w:rFonts w:eastAsia="Times New Roman" w:cs="Times New Roman"/>
          <w:b/>
          <w:bCs/>
          <w:rtl/>
          <w:lang w:eastAsia="de-DE"/>
        </w:rPr>
        <w:t>אכל</w:t>
      </w:r>
      <w:r w:rsidRPr="00C416BE">
        <w:rPr>
          <w:rFonts w:eastAsia="Times New Roman" w:cs="Times New Roman"/>
          <w:lang w:eastAsia="de-DE"/>
        </w:rPr>
        <w:t xml:space="preserve">, „und ihr mögt essen") mit Weqatal erlaubt den Verzehr. </w:t>
      </w:r>
      <w:r w:rsidRPr="00C416BE">
        <w:rPr>
          <w:rFonts w:eastAsia="Times New Roman" w:cs="Times New Roman"/>
          <w:b/>
          <w:bCs/>
          <w:rtl/>
          <w:lang w:eastAsia="de-DE"/>
        </w:rPr>
        <w:t>אֹתוֹ</w:t>
      </w:r>
      <w:r w:rsidRPr="00C416BE">
        <w:rPr>
          <w:rFonts w:eastAsia="Times New Roman" w:cs="Times New Roman"/>
          <w:rtl/>
          <w:lang w:eastAsia="de-DE"/>
        </w:rPr>
        <w:t xml:space="preserve"> </w:t>
      </w:r>
      <w:r w:rsidRPr="00C416BE">
        <w:rPr>
          <w:rFonts w:eastAsia="Times New Roman" w:cs="Times New Roman"/>
          <w:lang w:eastAsia="de-DE"/>
        </w:rPr>
        <w:t xml:space="preserve">(„ihn") mit Objektpartikel und Suffix 3. m. sg. bezieht sich auf den verbleibenden Zehnten. Die Präpositionalphrase </w:t>
      </w:r>
      <w:r w:rsidRPr="00C416BE">
        <w:rPr>
          <w:rFonts w:eastAsia="Times New Roman" w:cs="Times New Roman"/>
          <w:b/>
          <w:bCs/>
          <w:rtl/>
          <w:lang w:eastAsia="de-DE"/>
        </w:rPr>
        <w:t>בְּכָל־מָקוֹם</w:t>
      </w:r>
      <w:r w:rsidRPr="00C416BE">
        <w:rPr>
          <w:rFonts w:eastAsia="Times New Roman" w:cs="Times New Roman"/>
          <w:rtl/>
          <w:lang w:eastAsia="de-DE"/>
        </w:rPr>
        <w:t xml:space="preserve"> </w:t>
      </w:r>
      <w:r w:rsidRPr="00C416BE">
        <w:rPr>
          <w:rFonts w:eastAsia="Times New Roman" w:cs="Times New Roman"/>
          <w:lang w:eastAsia="de-DE"/>
        </w:rPr>
        <w:t xml:space="preserve">(„an jedem Ort") ist bemerkenswert liberal: </w:t>
      </w:r>
      <w:r w:rsidRPr="00C416BE">
        <w:rPr>
          <w:rFonts w:eastAsia="Times New Roman" w:cs="Times New Roman"/>
          <w:b/>
          <w:bCs/>
          <w:rtl/>
          <w:lang w:eastAsia="de-DE"/>
        </w:rPr>
        <w:t>כָּל</w:t>
      </w:r>
      <w:r w:rsidRPr="00C416BE">
        <w:rPr>
          <w:rFonts w:eastAsia="Times New Roman" w:cs="Times New Roman"/>
          <w:rtl/>
          <w:lang w:eastAsia="de-DE"/>
        </w:rPr>
        <w:t xml:space="preserve"> </w:t>
      </w:r>
      <w:r w:rsidRPr="00C416BE">
        <w:rPr>
          <w:rFonts w:eastAsia="Times New Roman" w:cs="Times New Roman"/>
          <w:lang w:eastAsia="de-DE"/>
        </w:rPr>
        <w:t xml:space="preserve">im Constructus vor </w:t>
      </w:r>
      <w:r w:rsidRPr="00C416BE">
        <w:rPr>
          <w:rFonts w:eastAsia="Times New Roman" w:cs="Times New Roman"/>
          <w:b/>
          <w:bCs/>
          <w:rtl/>
          <w:lang w:eastAsia="de-DE"/>
        </w:rPr>
        <w:t>מָקוֹם</w:t>
      </w:r>
      <w:r w:rsidRPr="00C416BE">
        <w:rPr>
          <w:rFonts w:eastAsia="Times New Roman" w:cs="Times New Roman"/>
          <w:rtl/>
          <w:lang w:eastAsia="de-DE"/>
        </w:rPr>
        <w:t xml:space="preserve"> </w:t>
      </w:r>
      <w:r w:rsidRPr="00C416BE">
        <w:rPr>
          <w:rFonts w:eastAsia="Times New Roman" w:cs="Times New Roman"/>
          <w:lang w:eastAsia="de-DE"/>
        </w:rPr>
        <w:t xml:space="preserve">(„Ort") mit </w:t>
      </w:r>
      <w:r w:rsidRPr="00C416BE">
        <w:rPr>
          <w:rFonts w:eastAsia="Times New Roman" w:cs="Times New Roman"/>
          <w:b/>
          <w:bCs/>
          <w:rtl/>
          <w:lang w:eastAsia="de-DE"/>
        </w:rPr>
        <w:t>בְּ</w:t>
      </w:r>
      <w:r w:rsidRPr="00C416BE">
        <w:rPr>
          <w:rFonts w:eastAsia="Times New Roman" w:cs="Times New Roman"/>
          <w:rtl/>
          <w:lang w:eastAsia="de-DE"/>
        </w:rPr>
        <w:t xml:space="preserve"> </w:t>
      </w:r>
      <w:r w:rsidRPr="00C416BE">
        <w:rPr>
          <w:rFonts w:eastAsia="Times New Roman" w:cs="Times New Roman"/>
          <w:lang w:eastAsia="de-DE"/>
        </w:rPr>
        <w:t>lokativ. Im Gegensatz zu den hochheiligen Opfern (Vers 10) oder den weniger heiligen Priesteranteilen gibt es hier keine Ortsbeschränkung.</w:t>
      </w:r>
    </w:p>
    <w:p w14:paraId="406DA354"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emphatische Doppelnennung </w:t>
      </w:r>
      <w:r w:rsidRPr="00C416BE">
        <w:rPr>
          <w:rFonts w:eastAsia="Times New Roman" w:cs="Times New Roman"/>
          <w:b/>
          <w:bCs/>
          <w:rtl/>
          <w:lang w:eastAsia="de-DE"/>
        </w:rPr>
        <w:t>אַתֶּם וּבֵיתְכֶם</w:t>
      </w:r>
      <w:r w:rsidRPr="00C416BE">
        <w:rPr>
          <w:rFonts w:eastAsia="Times New Roman" w:cs="Times New Roman"/>
          <w:rtl/>
          <w:lang w:eastAsia="de-DE"/>
        </w:rPr>
        <w:t xml:space="preserve"> </w:t>
      </w:r>
      <w:r w:rsidRPr="00C416BE">
        <w:rPr>
          <w:rFonts w:eastAsia="Times New Roman" w:cs="Times New Roman"/>
          <w:lang w:eastAsia="de-DE"/>
        </w:rPr>
        <w:t xml:space="preserve">(„ihr und euer Haus") erweitert den Kreis: </w:t>
      </w:r>
      <w:r w:rsidRPr="00C416BE">
        <w:rPr>
          <w:rFonts w:eastAsia="Times New Roman" w:cs="Times New Roman"/>
          <w:b/>
          <w:bCs/>
          <w:rtl/>
          <w:lang w:eastAsia="de-DE"/>
        </w:rPr>
        <w:t>אַתֶּם</w:t>
      </w:r>
      <w:r w:rsidRPr="00C416BE">
        <w:rPr>
          <w:rFonts w:eastAsia="Times New Roman" w:cs="Times New Roman"/>
          <w:rtl/>
          <w:lang w:eastAsia="de-DE"/>
        </w:rPr>
        <w:t xml:space="preserve"> </w:t>
      </w:r>
      <w:r w:rsidRPr="00C416BE">
        <w:rPr>
          <w:rFonts w:eastAsia="Times New Roman" w:cs="Times New Roman"/>
          <w:lang w:eastAsia="de-DE"/>
        </w:rPr>
        <w:t xml:space="preserve">Pronomen 2. m. pl., </w:t>
      </w:r>
      <w:r w:rsidRPr="00C416BE">
        <w:rPr>
          <w:rFonts w:eastAsia="Times New Roman" w:cs="Times New Roman"/>
          <w:b/>
          <w:bCs/>
          <w:rtl/>
          <w:lang w:eastAsia="de-DE"/>
        </w:rPr>
        <w:t>וּבֵיתְכֶם</w:t>
      </w:r>
      <w:r w:rsidRPr="00C416BE">
        <w:rPr>
          <w:rFonts w:eastAsia="Times New Roman" w:cs="Times New Roman"/>
          <w:rtl/>
          <w:lang w:eastAsia="de-DE"/>
        </w:rPr>
        <w:t xml:space="preserve"> </w:t>
      </w:r>
      <w:r w:rsidRPr="00C416BE">
        <w:rPr>
          <w:rFonts w:eastAsia="Times New Roman" w:cs="Times New Roman"/>
          <w:lang w:eastAsia="de-DE"/>
        </w:rPr>
        <w:t>„und euer Haus" mit Possessivsuffix 2. m. pl. – die ganze levitische Familie darf davon essen.</w:t>
      </w:r>
    </w:p>
    <w:p w14:paraId="491F96CC"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kausale Begründung </w:t>
      </w:r>
      <w:r w:rsidRPr="00C416BE">
        <w:rPr>
          <w:rFonts w:eastAsia="Times New Roman" w:cs="Times New Roman"/>
          <w:b/>
          <w:bCs/>
          <w:rtl/>
          <w:lang w:eastAsia="de-DE"/>
        </w:rPr>
        <w:t>כִּי־שָׂכָר הוּא לָכֶם</w:t>
      </w:r>
      <w:r w:rsidRPr="00C416BE">
        <w:rPr>
          <w:rFonts w:eastAsia="Times New Roman" w:cs="Times New Roman"/>
          <w:rtl/>
          <w:lang w:eastAsia="de-DE"/>
        </w:rPr>
        <w:t xml:space="preserve"> </w:t>
      </w:r>
      <w:r w:rsidRPr="00C416BE">
        <w:rPr>
          <w:rFonts w:eastAsia="Times New Roman" w:cs="Times New Roman"/>
          <w:lang w:eastAsia="de-DE"/>
        </w:rPr>
        <w:t xml:space="preserve">erklärt den Grund: </w:t>
      </w:r>
      <w:r w:rsidRPr="00C416BE">
        <w:rPr>
          <w:rFonts w:eastAsia="Times New Roman" w:cs="Times New Roman"/>
          <w:b/>
          <w:bCs/>
          <w:rtl/>
          <w:lang w:eastAsia="de-DE"/>
        </w:rPr>
        <w:t>כִּי</w:t>
      </w:r>
      <w:r w:rsidRPr="00C416BE">
        <w:rPr>
          <w:rFonts w:eastAsia="Times New Roman" w:cs="Times New Roman"/>
          <w:rtl/>
          <w:lang w:eastAsia="de-DE"/>
        </w:rPr>
        <w:t xml:space="preserve"> </w:t>
      </w:r>
      <w:r w:rsidRPr="00C416BE">
        <w:rPr>
          <w:rFonts w:eastAsia="Times New Roman" w:cs="Times New Roman"/>
          <w:lang w:eastAsia="de-DE"/>
        </w:rPr>
        <w:t xml:space="preserve">„denn", </w:t>
      </w:r>
      <w:r w:rsidRPr="00C416BE">
        <w:rPr>
          <w:rFonts w:eastAsia="Times New Roman" w:cs="Times New Roman"/>
          <w:b/>
          <w:bCs/>
          <w:rtl/>
          <w:lang w:eastAsia="de-DE"/>
        </w:rPr>
        <w:t>שָׂכָר</w:t>
      </w:r>
      <w:r w:rsidRPr="00C416BE">
        <w:rPr>
          <w:rFonts w:eastAsia="Times New Roman" w:cs="Times New Roman"/>
          <w:rtl/>
          <w:lang w:eastAsia="de-DE"/>
        </w:rPr>
        <w:t xml:space="preserve"> </w:t>
      </w:r>
      <w:r w:rsidRPr="00C416BE">
        <w:rPr>
          <w:rFonts w:eastAsia="Times New Roman" w:cs="Times New Roman"/>
          <w:lang w:eastAsia="de-DE"/>
        </w:rPr>
        <w:t xml:space="preserve">(„Lohn, Bezahlung") Subjekt, </w:t>
      </w:r>
      <w:r w:rsidRPr="00C416BE">
        <w:rPr>
          <w:rFonts w:eastAsia="Times New Roman" w:cs="Times New Roman"/>
          <w:b/>
          <w:bCs/>
          <w:rtl/>
          <w:lang w:eastAsia="de-DE"/>
        </w:rPr>
        <w:t>הוּא</w:t>
      </w:r>
      <w:r w:rsidRPr="00C416BE">
        <w:rPr>
          <w:rFonts w:eastAsia="Times New Roman" w:cs="Times New Roman"/>
          <w:rtl/>
          <w:lang w:eastAsia="de-DE"/>
        </w:rPr>
        <w:t xml:space="preserve"> </w:t>
      </w:r>
      <w:r w:rsidRPr="00C416BE">
        <w:rPr>
          <w:rFonts w:eastAsia="Times New Roman" w:cs="Times New Roman"/>
          <w:lang w:eastAsia="de-DE"/>
        </w:rPr>
        <w:t xml:space="preserve">emphatisches Pronomen, </w:t>
      </w:r>
      <w:r w:rsidRPr="00C416BE">
        <w:rPr>
          <w:rFonts w:eastAsia="Times New Roman" w:cs="Times New Roman"/>
          <w:b/>
          <w:bCs/>
          <w:rtl/>
          <w:lang w:eastAsia="de-DE"/>
        </w:rPr>
        <w:t>לָכֶם</w:t>
      </w:r>
      <w:r w:rsidRPr="00C416BE">
        <w:rPr>
          <w:rFonts w:eastAsia="Times New Roman" w:cs="Times New Roman"/>
          <w:rtl/>
          <w:lang w:eastAsia="de-DE"/>
        </w:rPr>
        <w:t xml:space="preserve"> </w:t>
      </w:r>
      <w:r w:rsidRPr="00C416BE">
        <w:rPr>
          <w:rFonts w:eastAsia="Times New Roman" w:cs="Times New Roman"/>
          <w:lang w:eastAsia="de-DE"/>
        </w:rPr>
        <w:t xml:space="preserve">„euch" Dativ. Der Zehnte ist nicht Almosen, sondern verdienter Lohn. Die Präpositionalphrase </w:t>
      </w:r>
      <w:r w:rsidRPr="00C416BE">
        <w:rPr>
          <w:rFonts w:eastAsia="Times New Roman" w:cs="Times New Roman"/>
          <w:b/>
          <w:bCs/>
          <w:rtl/>
          <w:lang w:eastAsia="de-DE"/>
        </w:rPr>
        <w:t>חֵלֶף עֲבֹדַתְכֶם בְּאֹהֶל מוֹעֵד</w:t>
      </w:r>
      <w:r w:rsidRPr="00C416BE">
        <w:rPr>
          <w:rFonts w:eastAsia="Times New Roman" w:cs="Times New Roman"/>
          <w:rtl/>
          <w:lang w:eastAsia="de-DE"/>
        </w:rPr>
        <w:t xml:space="preserve"> </w:t>
      </w:r>
      <w:r w:rsidRPr="00C416BE">
        <w:rPr>
          <w:rFonts w:eastAsia="Times New Roman" w:cs="Times New Roman"/>
          <w:lang w:eastAsia="de-DE"/>
        </w:rPr>
        <w:t xml:space="preserve">spezifiziert: </w:t>
      </w:r>
      <w:r w:rsidRPr="00C416BE">
        <w:rPr>
          <w:rFonts w:eastAsia="Times New Roman" w:cs="Times New Roman"/>
          <w:b/>
          <w:bCs/>
          <w:rtl/>
          <w:lang w:eastAsia="de-DE"/>
        </w:rPr>
        <w:t>חֵלֶף</w:t>
      </w:r>
      <w:r w:rsidRPr="00C416BE">
        <w:rPr>
          <w:rFonts w:eastAsia="Times New Roman" w:cs="Times New Roman"/>
          <w:rtl/>
          <w:lang w:eastAsia="de-DE"/>
        </w:rPr>
        <w:t xml:space="preserve"> </w:t>
      </w:r>
      <w:r w:rsidRPr="00C416BE">
        <w:rPr>
          <w:rFonts w:eastAsia="Times New Roman" w:cs="Times New Roman"/>
          <w:lang w:eastAsia="de-DE"/>
        </w:rPr>
        <w:t xml:space="preserve">„für, als Ersatz für", </w:t>
      </w:r>
      <w:r w:rsidRPr="00C416BE">
        <w:rPr>
          <w:rFonts w:eastAsia="Times New Roman" w:cs="Times New Roman"/>
          <w:b/>
          <w:bCs/>
          <w:rtl/>
          <w:lang w:eastAsia="de-DE"/>
        </w:rPr>
        <w:t>עֲבֹדַתְכֶם</w:t>
      </w:r>
      <w:r w:rsidRPr="00C416BE">
        <w:rPr>
          <w:rFonts w:eastAsia="Times New Roman" w:cs="Times New Roman"/>
          <w:rtl/>
          <w:lang w:eastAsia="de-DE"/>
        </w:rPr>
        <w:t xml:space="preserve"> </w:t>
      </w:r>
      <w:r w:rsidRPr="00C416BE">
        <w:rPr>
          <w:rFonts w:eastAsia="Times New Roman" w:cs="Times New Roman"/>
          <w:lang w:eastAsia="de-DE"/>
        </w:rPr>
        <w:t xml:space="preserve">„euer Dienst" (Possessivsuffix 2. m. pl.), </w:t>
      </w:r>
      <w:r w:rsidRPr="00C416BE">
        <w:rPr>
          <w:rFonts w:eastAsia="Times New Roman" w:cs="Times New Roman"/>
          <w:b/>
          <w:bCs/>
          <w:rtl/>
          <w:lang w:eastAsia="de-DE"/>
        </w:rPr>
        <w:t>בְּאֹהֶל מוֹעֵד</w:t>
      </w:r>
      <w:r w:rsidRPr="00C416BE">
        <w:rPr>
          <w:rFonts w:eastAsia="Times New Roman" w:cs="Times New Roman"/>
          <w:rtl/>
          <w:lang w:eastAsia="de-DE"/>
        </w:rPr>
        <w:t xml:space="preserve"> </w:t>
      </w:r>
      <w:r w:rsidRPr="00C416BE">
        <w:rPr>
          <w:rFonts w:eastAsia="Times New Roman" w:cs="Times New Roman"/>
          <w:lang w:eastAsia="de-DE"/>
        </w:rPr>
        <w:t>„am Zelt der Begegnung" (Constructus-Verbindung mit Lokativ-</w:t>
      </w:r>
      <w:r w:rsidRPr="00C416BE">
        <w:rPr>
          <w:rFonts w:eastAsia="Times New Roman" w:cs="Times New Roman"/>
          <w:b/>
          <w:bCs/>
          <w:rtl/>
          <w:lang w:eastAsia="de-DE"/>
        </w:rPr>
        <w:t>בְּ</w:t>
      </w:r>
      <w:r w:rsidRPr="00C416BE">
        <w:rPr>
          <w:rFonts w:eastAsia="Times New Roman" w:cs="Times New Roman"/>
          <w:lang w:eastAsia="de-DE"/>
        </w:rPr>
        <w:t>).</w:t>
      </w:r>
    </w:p>
    <w:p w14:paraId="5BE8DC4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folgt dem hebräischen Text und gibt die Begründungsstruktur entsprechend wieder.</w:t>
      </w:r>
    </w:p>
    <w:p w14:paraId="0F58B87D"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Die Satzstruktur zeigt einen Hauptsatz mit Verb, Objekt, Präpositionalphrase und doppeltem Subjekt. Ein kausaler Nebensatz folgt mit Konjunktion, Subjekt, emphatischem Pronomen, Dativ und präpositionaler Spezifizierung. Insgesamt gibt es einen Nebensatz (Kausalsatz).</w:t>
      </w:r>
    </w:p>
    <w:p w14:paraId="59AA5B91"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lastRenderedPageBreak/>
        <w:t>Der Vers gibt den Leviten Freiheit: Nach Abgabe des priesterlichen Zehnten ist der Rest profaner Lohn, der überall und von der ganzen Familie verzehrt werden darf.</w:t>
      </w:r>
    </w:p>
    <w:p w14:paraId="7787A071" w14:textId="77777777" w:rsidR="00C416BE" w:rsidRPr="00C416BE" w:rsidRDefault="00C416BE" w:rsidP="00C416BE">
      <w:pPr>
        <w:spacing w:before="100" w:beforeAutospacing="1" w:after="100" w:afterAutospacing="1" w:line="240" w:lineRule="auto"/>
        <w:outlineLvl w:val="0"/>
        <w:rPr>
          <w:rFonts w:eastAsia="Times New Roman" w:cs="Times New Roman"/>
          <w:b/>
          <w:bCs/>
          <w:kern w:val="36"/>
          <w:sz w:val="48"/>
          <w:szCs w:val="48"/>
          <w:lang w:eastAsia="de-DE"/>
        </w:rPr>
      </w:pPr>
      <w:r w:rsidRPr="00C416BE">
        <w:rPr>
          <w:rFonts w:eastAsia="Times New Roman" w:cs="Times New Roman"/>
          <w:b/>
          <w:bCs/>
          <w:kern w:val="36"/>
          <w:sz w:val="48"/>
          <w:szCs w:val="48"/>
          <w:lang w:eastAsia="de-DE"/>
        </w:rPr>
        <w:t>Numeri 18,32</w:t>
      </w:r>
    </w:p>
    <w:p w14:paraId="2922F5EE"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Hebräisch:</w:t>
      </w:r>
      <w:r w:rsidRPr="00C416BE">
        <w:rPr>
          <w:rFonts w:eastAsia="Times New Roman" w:cs="Times New Roman"/>
          <w:lang w:eastAsia="de-DE"/>
        </w:rPr>
        <w:t xml:space="preserve"> </w:t>
      </w:r>
      <w:r w:rsidRPr="00C416BE">
        <w:rPr>
          <w:rFonts w:eastAsia="Times New Roman" w:cs="Times New Roman"/>
          <w:rtl/>
          <w:lang w:eastAsia="de-DE"/>
        </w:rPr>
        <w:t>וְלֹֽא־תִשְׂא֤וּ עָלָיו֙ חֵ֔טְא בַּהֲרִֽימְכֶ֥ם אֶת־חֶלְבֹּ֖ו מִמֶּ֑נּוּ וְאֶת־קָדְשֵׁ֧י בְנֵי־יִשְׂרָאֵ֛ל לֹ֥א תְחַלְּל֖וּ וְלֹ֥א תָמֽוּתוּ׃</w:t>
      </w:r>
    </w:p>
    <w:p w14:paraId="3D416E13"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Deutsch:</w:t>
      </w:r>
      <w:r w:rsidRPr="00C416BE">
        <w:rPr>
          <w:rFonts w:eastAsia="Times New Roman" w:cs="Times New Roman"/>
          <w:lang w:eastAsia="de-DE"/>
        </w:rPr>
        <w:t xml:space="preserve"> Und ihr werdet seinetwegen keine Sünde auf euch laden, wenn ihr das Beste davon hebt, und werdet die heiligen Dinge der Söhne Jisra'els nicht entweihen und nicht sterben.</w:t>
      </w:r>
    </w:p>
    <w:p w14:paraId="122894BD" w14:textId="77777777" w:rsidR="00C416BE" w:rsidRPr="00C416BE" w:rsidRDefault="00F329DD" w:rsidP="00C416BE">
      <w:pPr>
        <w:spacing w:after="0" w:line="240" w:lineRule="auto"/>
        <w:rPr>
          <w:rFonts w:eastAsia="Times New Roman" w:cs="Times New Roman"/>
          <w:lang w:eastAsia="de-DE"/>
        </w:rPr>
      </w:pPr>
      <w:r>
        <w:rPr>
          <w:rFonts w:eastAsia="Times New Roman" w:cs="Times New Roman"/>
          <w:noProof/>
          <w:lang w:eastAsia="de-DE"/>
        </w:rPr>
        <w:pict w14:anchorId="6A527D85">
          <v:rect id="_x0000_i1636" style="width:0;height:1.5pt" o:hralign="center" o:hrstd="t" o:hr="t" fillcolor="#a0a0a0" stroked="f"/>
        </w:pict>
      </w:r>
    </w:p>
    <w:p w14:paraId="39DED53A"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Kommentar:</w:t>
      </w:r>
      <w:r w:rsidRPr="00C416BE">
        <w:rPr>
          <w:rFonts w:eastAsia="Times New Roman" w:cs="Times New Roman"/>
          <w:lang w:eastAsia="de-DE"/>
        </w:rPr>
        <w:t xml:space="preserve"> Die Negation </w:t>
      </w:r>
      <w:r w:rsidRPr="00C416BE">
        <w:rPr>
          <w:rFonts w:eastAsia="Times New Roman" w:cs="Times New Roman"/>
          <w:b/>
          <w:bCs/>
          <w:rtl/>
          <w:lang w:eastAsia="de-DE"/>
        </w:rPr>
        <w:t>וְלֹא</w:t>
      </w:r>
      <w:r w:rsidRPr="00C416BE">
        <w:rPr>
          <w:rFonts w:eastAsia="Times New Roman" w:cs="Times New Roman"/>
          <w:rtl/>
          <w:lang w:eastAsia="de-DE"/>
        </w:rPr>
        <w:t xml:space="preserve"> </w:t>
      </w:r>
      <w:r w:rsidRPr="00C416BE">
        <w:rPr>
          <w:rFonts w:eastAsia="Times New Roman" w:cs="Times New Roman"/>
          <w:lang w:eastAsia="de-DE"/>
        </w:rPr>
        <w:t xml:space="preserve">leitet die Verheißung ein. Das Verb </w:t>
      </w:r>
      <w:r w:rsidRPr="00C416BE">
        <w:rPr>
          <w:rFonts w:eastAsia="Times New Roman" w:cs="Times New Roman"/>
          <w:b/>
          <w:bCs/>
          <w:rtl/>
          <w:lang w:eastAsia="de-DE"/>
        </w:rPr>
        <w:t>תִּשְׂאוּ</w:t>
      </w:r>
      <w:r w:rsidRPr="00C416BE">
        <w:rPr>
          <w:rFonts w:eastAsia="Times New Roman" w:cs="Times New Roman"/>
          <w:rtl/>
          <w:lang w:eastAsia="de-DE"/>
        </w:rPr>
        <w:t xml:space="preserve"> </w:t>
      </w:r>
      <w:r w:rsidRPr="00C416BE">
        <w:rPr>
          <w:rFonts w:eastAsia="Times New Roman" w:cs="Times New Roman"/>
          <w:lang w:eastAsia="de-DE"/>
        </w:rPr>
        <w:t xml:space="preserve">(Qal Imperfekt, 2. m. pl. von </w:t>
      </w:r>
      <w:r w:rsidRPr="00C416BE">
        <w:rPr>
          <w:rFonts w:eastAsia="Times New Roman" w:cs="Times New Roman"/>
          <w:b/>
          <w:bCs/>
          <w:rtl/>
          <w:lang w:eastAsia="de-DE"/>
        </w:rPr>
        <w:t>נשׂא</w:t>
      </w:r>
      <w:r w:rsidRPr="00C416BE">
        <w:rPr>
          <w:rFonts w:eastAsia="Times New Roman" w:cs="Times New Roman"/>
          <w:lang w:eastAsia="de-DE"/>
        </w:rPr>
        <w:t xml:space="preserve">, „ihr werdet tragen") mit </w:t>
      </w:r>
      <w:r w:rsidRPr="00C416BE">
        <w:rPr>
          <w:rFonts w:eastAsia="Times New Roman" w:cs="Times New Roman"/>
          <w:b/>
          <w:bCs/>
          <w:rtl/>
          <w:lang w:eastAsia="de-DE"/>
        </w:rPr>
        <w:t>חֵטְא</w:t>
      </w:r>
      <w:r w:rsidRPr="00C416BE">
        <w:rPr>
          <w:rFonts w:eastAsia="Times New Roman" w:cs="Times New Roman"/>
          <w:rtl/>
          <w:lang w:eastAsia="de-DE"/>
        </w:rPr>
        <w:t xml:space="preserve"> </w:t>
      </w:r>
      <w:r w:rsidRPr="00C416BE">
        <w:rPr>
          <w:rFonts w:eastAsia="Times New Roman" w:cs="Times New Roman"/>
          <w:lang w:eastAsia="de-DE"/>
        </w:rPr>
        <w:t xml:space="preserve">(„Sünde") bildet die idiomatische Wendung </w:t>
      </w:r>
      <w:r w:rsidRPr="00C416BE">
        <w:rPr>
          <w:rFonts w:eastAsia="Times New Roman" w:cs="Times New Roman"/>
          <w:b/>
          <w:bCs/>
          <w:rtl/>
          <w:lang w:eastAsia="de-DE"/>
        </w:rPr>
        <w:t>נשׂא חטא</w:t>
      </w:r>
      <w:r w:rsidRPr="00C416BE">
        <w:rPr>
          <w:rFonts w:eastAsia="Times New Roman" w:cs="Times New Roman"/>
          <w:rtl/>
          <w:lang w:eastAsia="de-DE"/>
        </w:rPr>
        <w:t xml:space="preserve"> </w:t>
      </w:r>
      <w:r w:rsidRPr="00C416BE">
        <w:rPr>
          <w:rFonts w:eastAsia="Times New Roman" w:cs="Times New Roman"/>
          <w:lang w:eastAsia="de-DE"/>
        </w:rPr>
        <w:t xml:space="preserve">„Sünde tragen, Schuld auf sich laden". </w:t>
      </w:r>
      <w:r w:rsidRPr="00C416BE">
        <w:rPr>
          <w:rFonts w:eastAsia="Times New Roman" w:cs="Times New Roman"/>
          <w:b/>
          <w:bCs/>
          <w:rtl/>
          <w:lang w:eastAsia="de-DE"/>
        </w:rPr>
        <w:t>עָלָיו</w:t>
      </w:r>
      <w:r w:rsidRPr="00C416BE">
        <w:rPr>
          <w:rFonts w:eastAsia="Times New Roman" w:cs="Times New Roman"/>
          <w:rtl/>
          <w:lang w:eastAsia="de-DE"/>
        </w:rPr>
        <w:t xml:space="preserve"> </w:t>
      </w:r>
      <w:r w:rsidRPr="00C416BE">
        <w:rPr>
          <w:rFonts w:eastAsia="Times New Roman" w:cs="Times New Roman"/>
          <w:lang w:eastAsia="de-DE"/>
        </w:rPr>
        <w:t>(„seinetwegen, darüber") mit Suffix 3. m. sg. bezieht sich auf den Zehnten.</w:t>
      </w:r>
    </w:p>
    <w:p w14:paraId="34A6DF3F"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Der konditionale Temporalsatz </w:t>
      </w:r>
      <w:r w:rsidRPr="00C416BE">
        <w:rPr>
          <w:rFonts w:eastAsia="Times New Roman" w:cs="Times New Roman"/>
          <w:b/>
          <w:bCs/>
          <w:rtl/>
          <w:lang w:eastAsia="de-DE"/>
        </w:rPr>
        <w:t>בַּהֲרִימְכֶם אֶת־חֶלְבּוֹ מִמֶּנּוּ</w:t>
      </w:r>
      <w:r w:rsidRPr="00C416BE">
        <w:rPr>
          <w:rFonts w:eastAsia="Times New Roman" w:cs="Times New Roman"/>
          <w:rtl/>
          <w:lang w:eastAsia="de-DE"/>
        </w:rPr>
        <w:t xml:space="preserve"> </w:t>
      </w:r>
      <w:r w:rsidRPr="00C416BE">
        <w:rPr>
          <w:rFonts w:eastAsia="Times New Roman" w:cs="Times New Roman"/>
          <w:lang w:eastAsia="de-DE"/>
        </w:rPr>
        <w:t xml:space="preserve">wiederholt die Struktur aus Vers 30: </w:t>
      </w:r>
      <w:r w:rsidRPr="00C416BE">
        <w:rPr>
          <w:rFonts w:eastAsia="Times New Roman" w:cs="Times New Roman"/>
          <w:b/>
          <w:bCs/>
          <w:rtl/>
          <w:lang w:eastAsia="de-DE"/>
        </w:rPr>
        <w:t>בְּ</w:t>
      </w:r>
      <w:r w:rsidRPr="00C416BE">
        <w:rPr>
          <w:rFonts w:eastAsia="Times New Roman" w:cs="Times New Roman"/>
          <w:rtl/>
          <w:lang w:eastAsia="de-DE"/>
        </w:rPr>
        <w:t xml:space="preserve"> </w:t>
      </w:r>
      <w:r w:rsidRPr="00C416BE">
        <w:rPr>
          <w:rFonts w:eastAsia="Times New Roman" w:cs="Times New Roman"/>
          <w:lang w:eastAsia="de-DE"/>
        </w:rPr>
        <w:t xml:space="preserve">mit Hifil Infinitiv construct von </w:t>
      </w:r>
      <w:r w:rsidRPr="00C416BE">
        <w:rPr>
          <w:rFonts w:eastAsia="Times New Roman" w:cs="Times New Roman"/>
          <w:b/>
          <w:bCs/>
          <w:rtl/>
          <w:lang w:eastAsia="de-DE"/>
        </w:rPr>
        <w:t>רום</w:t>
      </w:r>
      <w:r w:rsidRPr="00C416BE">
        <w:rPr>
          <w:rFonts w:eastAsia="Times New Roman" w:cs="Times New Roman"/>
          <w:rtl/>
          <w:lang w:eastAsia="de-DE"/>
        </w:rPr>
        <w:t xml:space="preserve"> </w:t>
      </w:r>
      <w:r w:rsidRPr="00C416BE">
        <w:rPr>
          <w:rFonts w:eastAsia="Times New Roman" w:cs="Times New Roman"/>
          <w:lang w:eastAsia="de-DE"/>
        </w:rPr>
        <w:t xml:space="preserve">plus Possessivsuffix 2. m. pl. („wenn/indem ihr anhebt"), </w:t>
      </w:r>
      <w:r w:rsidRPr="00C416BE">
        <w:rPr>
          <w:rFonts w:eastAsia="Times New Roman" w:cs="Times New Roman"/>
          <w:b/>
          <w:bCs/>
          <w:rtl/>
          <w:lang w:eastAsia="de-DE"/>
        </w:rPr>
        <w:t>אֶת־חֶלְבּוֹ מִמֶּנּוּ</w:t>
      </w:r>
      <w:r w:rsidRPr="00C416BE">
        <w:rPr>
          <w:rFonts w:eastAsia="Times New Roman" w:cs="Times New Roman"/>
          <w:rtl/>
          <w:lang w:eastAsia="de-DE"/>
        </w:rPr>
        <w:t xml:space="preserve"> </w:t>
      </w:r>
      <w:r w:rsidRPr="00C416BE">
        <w:rPr>
          <w:rFonts w:eastAsia="Times New Roman" w:cs="Times New Roman"/>
          <w:lang w:eastAsia="de-DE"/>
        </w:rPr>
        <w:t>(„das Beste davon"). Die Bedingung ist klar: Solange die Leviten das Beste abgeben, laden sie keine Schuld auf sich.</w:t>
      </w:r>
    </w:p>
    <w:p w14:paraId="00CF512D"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Das koordinierte </w:t>
      </w:r>
      <w:r w:rsidRPr="00C416BE">
        <w:rPr>
          <w:rFonts w:eastAsia="Times New Roman" w:cs="Times New Roman"/>
          <w:b/>
          <w:bCs/>
          <w:rtl/>
          <w:lang w:eastAsia="de-DE"/>
        </w:rPr>
        <w:t>וְאֶת־קָדְשֵׁי בְנֵי־יִשְׂרָאֵל לֹא תְחַלְּלוּ</w:t>
      </w:r>
      <w:r w:rsidRPr="00C416BE">
        <w:rPr>
          <w:rFonts w:eastAsia="Times New Roman" w:cs="Times New Roman"/>
          <w:rtl/>
          <w:lang w:eastAsia="de-DE"/>
        </w:rPr>
        <w:t xml:space="preserve"> </w:t>
      </w:r>
      <w:r w:rsidRPr="00C416BE">
        <w:rPr>
          <w:rFonts w:eastAsia="Times New Roman" w:cs="Times New Roman"/>
          <w:lang w:eastAsia="de-DE"/>
        </w:rPr>
        <w:t xml:space="preserve">warnt vor Entweihung: </w:t>
      </w:r>
      <w:r w:rsidRPr="00C416BE">
        <w:rPr>
          <w:rFonts w:eastAsia="Times New Roman" w:cs="Times New Roman"/>
          <w:b/>
          <w:bCs/>
          <w:rtl/>
          <w:lang w:eastAsia="de-DE"/>
        </w:rPr>
        <w:t>וְ</w:t>
      </w:r>
      <w:r w:rsidRPr="00C416BE">
        <w:rPr>
          <w:rFonts w:eastAsia="Times New Roman" w:cs="Times New Roman"/>
          <w:rtl/>
          <w:lang w:eastAsia="de-DE"/>
        </w:rPr>
        <w:t xml:space="preserve"> </w:t>
      </w:r>
      <w:r w:rsidRPr="00C416BE">
        <w:rPr>
          <w:rFonts w:eastAsia="Times New Roman" w:cs="Times New Roman"/>
          <w:lang w:eastAsia="de-DE"/>
        </w:rPr>
        <w:t xml:space="preserve">Konjunktion, </w:t>
      </w:r>
      <w:r w:rsidRPr="00C416BE">
        <w:rPr>
          <w:rFonts w:eastAsia="Times New Roman" w:cs="Times New Roman"/>
          <w:b/>
          <w:bCs/>
          <w:rtl/>
          <w:lang w:eastAsia="de-DE"/>
        </w:rPr>
        <w:t>אֶת־קָדְשֵׁי בְנֵי־יִשְׂרָאֵל</w:t>
      </w:r>
      <w:r w:rsidRPr="00C416BE">
        <w:rPr>
          <w:rFonts w:eastAsia="Times New Roman" w:cs="Times New Roman"/>
          <w:rtl/>
          <w:lang w:eastAsia="de-DE"/>
        </w:rPr>
        <w:t xml:space="preserve"> </w:t>
      </w:r>
      <w:r w:rsidRPr="00C416BE">
        <w:rPr>
          <w:rFonts w:eastAsia="Times New Roman" w:cs="Times New Roman"/>
          <w:lang w:eastAsia="de-DE"/>
        </w:rPr>
        <w:t xml:space="preserve">(„die heiligen Dinge der Söhne Israels", Constructus-Verbindung mit Objektpartikel), </w:t>
      </w:r>
      <w:r w:rsidRPr="00C416BE">
        <w:rPr>
          <w:rFonts w:eastAsia="Times New Roman" w:cs="Times New Roman"/>
          <w:b/>
          <w:bCs/>
          <w:rtl/>
          <w:lang w:eastAsia="de-DE"/>
        </w:rPr>
        <w:t>לֹא תְחַלְּלוּ</w:t>
      </w:r>
      <w:r w:rsidRPr="00C416BE">
        <w:rPr>
          <w:rFonts w:eastAsia="Times New Roman" w:cs="Times New Roman"/>
          <w:rtl/>
          <w:lang w:eastAsia="de-DE"/>
        </w:rPr>
        <w:t xml:space="preserve"> </w:t>
      </w:r>
      <w:r w:rsidRPr="00C416BE">
        <w:rPr>
          <w:rFonts w:eastAsia="Times New Roman" w:cs="Times New Roman"/>
          <w:lang w:eastAsia="de-DE"/>
        </w:rPr>
        <w:t xml:space="preserve">(Negation plus Piel Imperfekt, 2. m. pl. von </w:t>
      </w:r>
      <w:r w:rsidRPr="00C416BE">
        <w:rPr>
          <w:rFonts w:eastAsia="Times New Roman" w:cs="Times New Roman"/>
          <w:b/>
          <w:bCs/>
          <w:rtl/>
          <w:lang w:eastAsia="de-DE"/>
        </w:rPr>
        <w:t>חלל</w:t>
      </w:r>
      <w:r w:rsidRPr="00C416BE">
        <w:rPr>
          <w:rFonts w:eastAsia="Times New Roman" w:cs="Times New Roman"/>
          <w:lang w:eastAsia="de-DE"/>
        </w:rPr>
        <w:t>, „ihr werdet nicht entweihen"). Die Piel-Form hat intensive/faktitive Bedeutung: „profan machen, entweihen".</w:t>
      </w:r>
    </w:p>
    <w:p w14:paraId="2C69E44B"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lang w:eastAsia="de-DE"/>
        </w:rPr>
        <w:t xml:space="preserve">Die letzte Warnung </w:t>
      </w:r>
      <w:r w:rsidRPr="00C416BE">
        <w:rPr>
          <w:rFonts w:eastAsia="Times New Roman" w:cs="Times New Roman"/>
          <w:b/>
          <w:bCs/>
          <w:rtl/>
          <w:lang w:eastAsia="de-DE"/>
        </w:rPr>
        <w:t>וְלֹא תָמוּתוּ</w:t>
      </w:r>
      <w:r w:rsidRPr="00C416BE">
        <w:rPr>
          <w:rFonts w:eastAsia="Times New Roman" w:cs="Times New Roman"/>
          <w:rtl/>
          <w:lang w:eastAsia="de-DE"/>
        </w:rPr>
        <w:t xml:space="preserve"> </w:t>
      </w:r>
      <w:r w:rsidRPr="00C416BE">
        <w:rPr>
          <w:rFonts w:eastAsia="Times New Roman" w:cs="Times New Roman"/>
          <w:lang w:eastAsia="de-DE"/>
        </w:rPr>
        <w:t xml:space="preserve">ist kurz und eindringlich: </w:t>
      </w:r>
      <w:r w:rsidRPr="00C416BE">
        <w:rPr>
          <w:rFonts w:eastAsia="Times New Roman" w:cs="Times New Roman"/>
          <w:b/>
          <w:bCs/>
          <w:rtl/>
          <w:lang w:eastAsia="de-DE"/>
        </w:rPr>
        <w:t>וְלֹא</w:t>
      </w:r>
      <w:r w:rsidRPr="00C416BE">
        <w:rPr>
          <w:rFonts w:eastAsia="Times New Roman" w:cs="Times New Roman"/>
          <w:rtl/>
          <w:lang w:eastAsia="de-DE"/>
        </w:rPr>
        <w:t xml:space="preserve"> </w:t>
      </w:r>
      <w:r w:rsidRPr="00C416BE">
        <w:rPr>
          <w:rFonts w:eastAsia="Times New Roman" w:cs="Times New Roman"/>
          <w:lang w:eastAsia="de-DE"/>
        </w:rPr>
        <w:t xml:space="preserve">Negation, </w:t>
      </w:r>
      <w:r w:rsidRPr="00C416BE">
        <w:rPr>
          <w:rFonts w:eastAsia="Times New Roman" w:cs="Times New Roman"/>
          <w:b/>
          <w:bCs/>
          <w:rtl/>
          <w:lang w:eastAsia="de-DE"/>
        </w:rPr>
        <w:t>תָּמוּתוּ</w:t>
      </w:r>
      <w:r w:rsidRPr="00C416BE">
        <w:rPr>
          <w:rFonts w:eastAsia="Times New Roman" w:cs="Times New Roman"/>
          <w:rtl/>
          <w:lang w:eastAsia="de-DE"/>
        </w:rPr>
        <w:t xml:space="preserve"> </w:t>
      </w:r>
      <w:r w:rsidRPr="00C416BE">
        <w:rPr>
          <w:rFonts w:eastAsia="Times New Roman" w:cs="Times New Roman"/>
          <w:lang w:eastAsia="de-DE"/>
        </w:rPr>
        <w:t xml:space="preserve">(Qal Imperfekt, 2. m. pl. von </w:t>
      </w:r>
      <w:r w:rsidRPr="00C416BE">
        <w:rPr>
          <w:rFonts w:eastAsia="Times New Roman" w:cs="Times New Roman"/>
          <w:b/>
          <w:bCs/>
          <w:rtl/>
          <w:lang w:eastAsia="de-DE"/>
        </w:rPr>
        <w:t>מות</w:t>
      </w:r>
      <w:r w:rsidRPr="00C416BE">
        <w:rPr>
          <w:rFonts w:eastAsia="Times New Roman" w:cs="Times New Roman"/>
          <w:lang w:eastAsia="de-DE"/>
        </w:rPr>
        <w:t>, „ihr werdet sterben") – „und ihr werdet nicht sterben". Dies erinnert an die Todesdrohungen in den vorherigen Versen (V. 3, 7, 22) und schließt das Kapitel mit einer positiven Note: Gehorsam führt zu Leben.</w:t>
      </w:r>
    </w:p>
    <w:p w14:paraId="7567ECE2" w14:textId="77777777" w:rsidR="00C416BE" w:rsidRPr="00C416BE" w:rsidRDefault="00C416BE" w:rsidP="00C416BE">
      <w:pPr>
        <w:spacing w:before="100" w:beforeAutospacing="1" w:after="100" w:afterAutospacing="1" w:line="240" w:lineRule="auto"/>
        <w:rPr>
          <w:rFonts w:eastAsia="Times New Roman" w:cs="Times New Roman"/>
          <w:lang w:eastAsia="de-DE"/>
        </w:rPr>
      </w:pPr>
      <w:r w:rsidRPr="00C416BE">
        <w:rPr>
          <w:rFonts w:eastAsia="Times New Roman" w:cs="Times New Roman"/>
          <w:b/>
          <w:bCs/>
          <w:lang w:eastAsia="de-DE"/>
        </w:rPr>
        <w:t>Die LXX</w:t>
      </w:r>
      <w:r w:rsidRPr="00C416BE">
        <w:rPr>
          <w:rFonts w:eastAsia="Times New Roman" w:cs="Times New Roman"/>
          <w:lang w:eastAsia="de-DE"/>
        </w:rPr>
        <w:t xml:space="preserve"> folgt dem hebräischen Text und bewahrt die dreifache Struktur der Verheißungen.</w:t>
      </w:r>
    </w:p>
    <w:p w14:paraId="1D6A539D" w14:textId="77777777" w:rsidR="00C416BE" w:rsidRDefault="00C416BE" w:rsidP="00C416BE">
      <w:pPr>
        <w:pStyle w:val="whitespace-normal"/>
      </w:pPr>
      <w:r>
        <w:t>Die Satzstruktur zeigt drei koordinierte negative Hauptsätze: Der erste mit Konjunktion, Negation, Verb, Präpositionalphrase und Objekt, unterbrochen durch einen konditionalen Temporalsatz (Nebensatz) mit Präposition, Infinitiv (Possessivsuffix) und Objekt. Der zweite Hauptsatz mit Konjunktion, Objekt (Constructus-Verbindung), Negation und Verb. Der dritte Hauptsatz mit Konjunktion, Negation und Verb. Insgesamt gibt es einen Nebensatz (konditionaler Temporalsatz).</w:t>
      </w:r>
    </w:p>
    <w:p w14:paraId="131664F6" w14:textId="77777777" w:rsidR="00C416BE" w:rsidRDefault="00C416BE" w:rsidP="00C416BE">
      <w:pPr>
        <w:pStyle w:val="whitespace-normal"/>
      </w:pPr>
      <w:r>
        <w:t>Der Vers schließt das Kapitel mit einer dreifachen Verheißung: Bei treuer Erfüllung ihrer Pflicht werden die Leviten keine Schuld tragen, die heiligen Gaben nicht entweihen und nicht sterben – Leben statt Tod durch Gehorsam.</w:t>
      </w:r>
    </w:p>
    <w:p w14:paraId="7B8C2128" w14:textId="77777777" w:rsidR="00C416BE" w:rsidRDefault="00C416BE" w:rsidP="00C416BE">
      <w:pPr>
        <w:pStyle w:val="whitespace-normal"/>
      </w:pPr>
      <w:r>
        <w:t>Numeri 18 beantwortet die Todesangst des Volkes durch klare Aufgabenteilung: Die Priester tragen Verantwortung für das Heiligtum, die Leviten dienen als Helfer und Puffer, das Volk bleibt fern. Diese Ordnung verhindert göttlichen Zorn.</w:t>
      </w:r>
    </w:p>
    <w:p w14:paraId="49E101BA" w14:textId="77777777" w:rsidR="00C416BE" w:rsidRDefault="00C416BE" w:rsidP="00C416BE">
      <w:pPr>
        <w:pStyle w:val="whitespace-normal"/>
      </w:pPr>
      <w:r>
        <w:lastRenderedPageBreak/>
        <w:t>Als Kompensation für Dienst und Landverzicht erhalten die Priester Opferanteile, Erstlinge und Erstgeburten – ein „ewiger Salzbund". JHWH selbst ist ihr Erbteil statt Land. Die Leviten erhalten den Zehnten Israels als ihr Erbteil, müssen davon aber selbst einen Zehnten an die Priester geben. Der Rest ist ihr Lohn.</w:t>
      </w:r>
    </w:p>
    <w:p w14:paraId="580C22B2" w14:textId="77777777" w:rsidR="00C416BE" w:rsidRDefault="00C416BE" w:rsidP="00C416BE">
      <w:pPr>
        <w:pStyle w:val="whitespace-normal"/>
      </w:pPr>
      <w:r>
        <w:t>Das Kapitel etabliert ein System gegenseitiger Verantwortung und Versorgung, das das Volk schützt und alle Beteiligten versorgt.</w:t>
      </w:r>
    </w:p>
    <w:p w14:paraId="10C46D6D"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w:t>
      </w:r>
    </w:p>
    <w:p w14:paraId="5AA6AD3D"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וַיְדַבֵּ֣ר יְהוָ֔ה אֶל־מֹשֶׁ֥ה וְאֶֽל־אַהֲרֹ֖ן לֵאמֹֽר׃</w:t>
      </w:r>
    </w:p>
    <w:p w14:paraId="4750D14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der Ewige redete zu Mosche und zu Aharon, sagend:</w:t>
      </w:r>
    </w:p>
    <w:p w14:paraId="027A7681"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5A50DF18">
          <v:rect id="_x0000_i1637" style="width:0;height:1.5pt" o:hralign="center" o:hrstd="t" o:hr="t" fillcolor="#a0a0a0" stroked="f"/>
        </w:pict>
      </w:r>
    </w:p>
    <w:p w14:paraId="2F20EC2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וַיְדַבֵּר</w:t>
      </w:r>
      <w:r w:rsidRPr="001D73EC">
        <w:rPr>
          <w:rFonts w:eastAsia="Times New Roman" w:cs="Times New Roman"/>
          <w:rtl/>
          <w:lang w:eastAsia="de-DE"/>
        </w:rPr>
        <w:t xml:space="preserve"> </w:t>
      </w:r>
      <w:r w:rsidRPr="001D73EC">
        <w:rPr>
          <w:rFonts w:eastAsia="Times New Roman" w:cs="Times New Roman"/>
          <w:lang w:eastAsia="de-DE"/>
        </w:rPr>
        <w:t xml:space="preserve">(Wayyiqtol, 3. m. sg. von </w:t>
      </w:r>
      <w:r w:rsidRPr="001D73EC">
        <w:rPr>
          <w:rFonts w:eastAsia="Times New Roman" w:cs="Times New Roman"/>
          <w:b/>
          <w:bCs/>
          <w:rtl/>
          <w:lang w:eastAsia="de-DE"/>
        </w:rPr>
        <w:t>דבר</w:t>
      </w:r>
      <w:r w:rsidRPr="001D73EC">
        <w:rPr>
          <w:rFonts w:eastAsia="Times New Roman" w:cs="Times New Roman"/>
          <w:rtl/>
          <w:lang w:eastAsia="de-DE"/>
        </w:rPr>
        <w:t xml:space="preserve"> </w:t>
      </w:r>
      <w:r w:rsidRPr="001D73EC">
        <w:rPr>
          <w:rFonts w:eastAsia="Times New Roman" w:cs="Times New Roman"/>
          <w:lang w:eastAsia="de-DE"/>
        </w:rPr>
        <w:t xml:space="preserve">Piel) bedeutet „und er redete". Die Piel-Form bezeichnet autoritatives, formelles Reden. </w:t>
      </w:r>
      <w:r w:rsidRPr="001D73EC">
        <w:rPr>
          <w:rFonts w:eastAsia="Times New Roman" w:cs="Times New Roman"/>
          <w:b/>
          <w:bCs/>
          <w:rtl/>
          <w:lang w:eastAsia="de-DE"/>
        </w:rPr>
        <w:t>יְהוָה</w:t>
      </w:r>
      <w:r w:rsidRPr="001D73EC">
        <w:rPr>
          <w:rFonts w:eastAsia="Times New Roman" w:cs="Times New Roman"/>
          <w:rtl/>
          <w:lang w:eastAsia="de-DE"/>
        </w:rPr>
        <w:t xml:space="preserve"> </w:t>
      </w:r>
      <w:r w:rsidRPr="001D73EC">
        <w:rPr>
          <w:rFonts w:eastAsia="Times New Roman" w:cs="Times New Roman"/>
          <w:lang w:eastAsia="de-DE"/>
        </w:rPr>
        <w:t xml:space="preserve">ist das explizite Subjekt (Tetragramm). Die doppelte Adressatenangabe </w:t>
      </w:r>
      <w:r w:rsidRPr="001D73EC">
        <w:rPr>
          <w:rFonts w:eastAsia="Times New Roman" w:cs="Times New Roman"/>
          <w:b/>
          <w:bCs/>
          <w:rtl/>
          <w:lang w:eastAsia="de-DE"/>
        </w:rPr>
        <w:t>אֶל־מֹשֶׁה וְאֶל־אַהֲרֹן</w:t>
      </w:r>
      <w:r w:rsidRPr="001D73EC">
        <w:rPr>
          <w:rFonts w:eastAsia="Times New Roman" w:cs="Times New Roman"/>
          <w:rtl/>
          <w:lang w:eastAsia="de-DE"/>
        </w:rPr>
        <w:t xml:space="preserve"> </w:t>
      </w:r>
      <w:r w:rsidRPr="001D73EC">
        <w:rPr>
          <w:rFonts w:eastAsia="Times New Roman" w:cs="Times New Roman"/>
          <w:lang w:eastAsia="de-DE"/>
        </w:rPr>
        <w:t xml:space="preserve">ist bemerkenswert: Beide werden gleichzeitig angesprochen, was die Bedeutung des folgenden Rituals unterstreicht – es betrifft sowohl die allgemeine Führung (Mose) als auch das Priestertum (Aaron). </w:t>
      </w:r>
      <w:r w:rsidRPr="001D73EC">
        <w:rPr>
          <w:rFonts w:eastAsia="Times New Roman" w:cs="Times New Roman"/>
          <w:b/>
          <w:bCs/>
          <w:rtl/>
          <w:lang w:eastAsia="de-DE"/>
        </w:rPr>
        <w:t>לֵאמֹר</w:t>
      </w:r>
      <w:r w:rsidRPr="001D73EC">
        <w:rPr>
          <w:rFonts w:eastAsia="Times New Roman" w:cs="Times New Roman"/>
          <w:rtl/>
          <w:lang w:eastAsia="de-DE"/>
        </w:rPr>
        <w:t xml:space="preserve"> </w:t>
      </w:r>
      <w:r w:rsidRPr="001D73EC">
        <w:rPr>
          <w:rFonts w:eastAsia="Times New Roman" w:cs="Times New Roman"/>
          <w:lang w:eastAsia="de-DE"/>
        </w:rPr>
        <w:t xml:space="preserve">ist der Qal Infinitiv construct von </w:t>
      </w:r>
      <w:r w:rsidRPr="001D73EC">
        <w:rPr>
          <w:rFonts w:eastAsia="Times New Roman" w:cs="Times New Roman"/>
          <w:b/>
          <w:bCs/>
          <w:rtl/>
          <w:lang w:eastAsia="de-DE"/>
        </w:rPr>
        <w:t>אמר</w:t>
      </w:r>
      <w:r w:rsidRPr="001D73EC">
        <w:rPr>
          <w:rFonts w:eastAsia="Times New Roman" w:cs="Times New Roman"/>
          <w:rtl/>
          <w:lang w:eastAsia="de-DE"/>
        </w:rPr>
        <w:t xml:space="preserve"> </w:t>
      </w:r>
      <w:r w:rsidRPr="001D73EC">
        <w:rPr>
          <w:rFonts w:eastAsia="Times New Roman" w:cs="Times New Roman"/>
          <w:lang w:eastAsia="de-DE"/>
        </w:rPr>
        <w:t xml:space="preserve">mit </w:t>
      </w:r>
      <w:r w:rsidRPr="001D73EC">
        <w:rPr>
          <w:rFonts w:eastAsia="Times New Roman" w:cs="Times New Roman"/>
          <w:b/>
          <w:bCs/>
          <w:rtl/>
          <w:lang w:eastAsia="de-DE"/>
        </w:rPr>
        <w:t>לְ</w:t>
      </w:r>
      <w:r w:rsidRPr="001D73EC">
        <w:rPr>
          <w:rFonts w:eastAsia="Times New Roman" w:cs="Times New Roman"/>
          <w:rtl/>
          <w:lang w:eastAsia="de-DE"/>
        </w:rPr>
        <w:t xml:space="preserve"> </w:t>
      </w:r>
      <w:r w:rsidRPr="001D73EC">
        <w:rPr>
          <w:rFonts w:eastAsia="Times New Roman" w:cs="Times New Roman"/>
          <w:lang w:eastAsia="de-DE"/>
        </w:rPr>
        <w:t>als stereotype Redeeinleitung.</w:t>
      </w:r>
    </w:p>
    <w:p w14:paraId="1D119F3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w:t>
      </w:r>
    </w:p>
    <w:p w14:paraId="4814FCA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einen einfachen Hauptsatz mit Verb, explizitem Subjekt, doppelter koordinierter Präpositionalphrase (Adressatenangabe) und Redeeinleitung (Infinitiv construct). Es gibt keine Nebensätze.</w:t>
      </w:r>
    </w:p>
    <w:p w14:paraId="682D9B69"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leitet eines der rätselhaftesten Rituale des Alten Testaments ein: das Ritual der roten Kuh zur Reinigung von Totenunreinheit.</w:t>
      </w:r>
    </w:p>
    <w:p w14:paraId="38AFF7F1"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19,2</w:t>
      </w:r>
    </w:p>
    <w:p w14:paraId="51C7A880"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זֹ֚את חֻקַּ֣ת הַתּוֹרָ֔ה אֲשֶׁר־צִוָּ֥ה יְהוָ֖ה לֵאמֹ֑ר דַּבֵּ֣ר׀ אֶל־בְּנֵ֣י יִשְׂרָאֵ֗ל וְיִקְח֣וּ אֵלֶיךָ֩ פָרָ֨ה אֲדֻמָּ֜ה תְּמִימָ֗ה אֲשֶׁ֤ר אֵֽין־בָּהּ֙ מ֔וּם אֲשֶׁ֛ר לֹא־עָלָ֥ה עָלֶ֖יהָ עֹֽל׃</w:t>
      </w:r>
    </w:p>
    <w:p w14:paraId="73980911" w14:textId="4E9D87F3"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Dies ist die Satzung der </w:t>
      </w:r>
      <w:r w:rsidR="00525AC4">
        <w:rPr>
          <w:rFonts w:eastAsia="Times New Roman" w:cs="Times New Roman"/>
          <w:lang w:eastAsia="de-DE"/>
        </w:rPr>
        <w:t>Torah</w:t>
      </w:r>
      <w:r w:rsidRPr="001D73EC">
        <w:rPr>
          <w:rFonts w:eastAsia="Times New Roman" w:cs="Times New Roman"/>
          <w:lang w:eastAsia="de-DE"/>
        </w:rPr>
        <w:t>, die der Ewige geboten hat, sagend: Rede zu den Söhnen Jisra'els, dass sie dir eine rote Kuh nehmen, makellos, an der kein Fehler ist, auf die noch kein Joch gekommen ist.</w:t>
      </w:r>
    </w:p>
    <w:p w14:paraId="2AA0D7D3"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6B8B734F">
          <v:rect id="_x0000_i1638" style="width:0;height:1.5pt" o:hralign="center" o:hrstd="t" o:hr="t" fillcolor="#a0a0a0" stroked="f"/>
        </w:pict>
      </w:r>
    </w:p>
    <w:p w14:paraId="77847CDC" w14:textId="750FD11A"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Demonstrativpronomen </w:t>
      </w:r>
      <w:r w:rsidRPr="001D73EC">
        <w:rPr>
          <w:rFonts w:eastAsia="Times New Roman" w:cs="Times New Roman"/>
          <w:b/>
          <w:bCs/>
          <w:rtl/>
          <w:lang w:eastAsia="de-DE"/>
        </w:rPr>
        <w:t>זֹאת</w:t>
      </w:r>
      <w:r w:rsidRPr="001D73EC">
        <w:rPr>
          <w:rFonts w:eastAsia="Times New Roman" w:cs="Times New Roman"/>
          <w:rtl/>
          <w:lang w:eastAsia="de-DE"/>
        </w:rPr>
        <w:t xml:space="preserve"> </w:t>
      </w:r>
      <w:r w:rsidRPr="001D73EC">
        <w:rPr>
          <w:rFonts w:eastAsia="Times New Roman" w:cs="Times New Roman"/>
          <w:lang w:eastAsia="de-DE"/>
        </w:rPr>
        <w:t xml:space="preserve">(„dies") verweist auf das folgende Ritual. Die Phrase </w:t>
      </w:r>
      <w:r w:rsidRPr="001D73EC">
        <w:rPr>
          <w:rFonts w:eastAsia="Times New Roman" w:cs="Times New Roman"/>
          <w:b/>
          <w:bCs/>
          <w:rtl/>
          <w:lang w:eastAsia="de-DE"/>
        </w:rPr>
        <w:t>חֻקַּת הַתּוֹרָה</w:t>
      </w:r>
      <w:r w:rsidRPr="001D73EC">
        <w:rPr>
          <w:rFonts w:eastAsia="Times New Roman" w:cs="Times New Roman"/>
          <w:rtl/>
          <w:lang w:eastAsia="de-DE"/>
        </w:rPr>
        <w:t xml:space="preserve"> </w:t>
      </w:r>
      <w:r w:rsidRPr="001D73EC">
        <w:rPr>
          <w:rFonts w:eastAsia="Times New Roman" w:cs="Times New Roman"/>
          <w:lang w:eastAsia="de-DE"/>
        </w:rPr>
        <w:t xml:space="preserve">ist bemerkenswert: </w:t>
      </w:r>
      <w:r w:rsidRPr="001D73EC">
        <w:rPr>
          <w:rFonts w:eastAsia="Times New Roman" w:cs="Times New Roman"/>
          <w:b/>
          <w:bCs/>
          <w:rtl/>
          <w:lang w:eastAsia="de-DE"/>
        </w:rPr>
        <w:t>חֻקַּת</w:t>
      </w:r>
      <w:r w:rsidRPr="001D73EC">
        <w:rPr>
          <w:rFonts w:eastAsia="Times New Roman" w:cs="Times New Roman"/>
          <w:rtl/>
          <w:lang w:eastAsia="de-DE"/>
        </w:rPr>
        <w:t xml:space="preserve"> </w:t>
      </w:r>
      <w:r w:rsidRPr="001D73EC">
        <w:rPr>
          <w:rFonts w:eastAsia="Times New Roman" w:cs="Times New Roman"/>
          <w:lang w:eastAsia="de-DE"/>
        </w:rPr>
        <w:t xml:space="preserve">(Constructus von </w:t>
      </w:r>
      <w:r w:rsidRPr="001D73EC">
        <w:rPr>
          <w:rFonts w:eastAsia="Times New Roman" w:cs="Times New Roman"/>
          <w:b/>
          <w:bCs/>
          <w:rtl/>
          <w:lang w:eastAsia="de-DE"/>
        </w:rPr>
        <w:t>חֻקָּה</w:t>
      </w:r>
      <w:r w:rsidRPr="001D73EC">
        <w:rPr>
          <w:rFonts w:eastAsia="Times New Roman" w:cs="Times New Roman"/>
          <w:rtl/>
          <w:lang w:eastAsia="de-DE"/>
        </w:rPr>
        <w:t xml:space="preserve"> </w:t>
      </w:r>
      <w:r w:rsidRPr="001D73EC">
        <w:rPr>
          <w:rFonts w:eastAsia="Times New Roman" w:cs="Times New Roman"/>
          <w:lang w:eastAsia="de-DE"/>
        </w:rPr>
        <w:t xml:space="preserve">„Satzung, Ordnung") vor </w:t>
      </w:r>
      <w:r w:rsidRPr="001D73EC">
        <w:rPr>
          <w:rFonts w:eastAsia="Times New Roman" w:cs="Times New Roman"/>
          <w:b/>
          <w:bCs/>
          <w:rtl/>
          <w:lang w:eastAsia="de-DE"/>
        </w:rPr>
        <w:t>הַתּוֹרָה</w:t>
      </w:r>
      <w:r w:rsidRPr="001D73EC">
        <w:rPr>
          <w:rFonts w:eastAsia="Times New Roman" w:cs="Times New Roman"/>
          <w:rtl/>
          <w:lang w:eastAsia="de-DE"/>
        </w:rPr>
        <w:t xml:space="preserve"> </w:t>
      </w:r>
      <w:r w:rsidRPr="001D73EC">
        <w:rPr>
          <w:rFonts w:eastAsia="Times New Roman" w:cs="Times New Roman"/>
          <w:lang w:eastAsia="de-DE"/>
        </w:rPr>
        <w:t xml:space="preserve">(„die </w:t>
      </w:r>
      <w:r w:rsidR="00525AC4">
        <w:rPr>
          <w:rFonts w:eastAsia="Times New Roman" w:cs="Times New Roman"/>
          <w:lang w:eastAsia="de-DE"/>
        </w:rPr>
        <w:t>Torah</w:t>
      </w:r>
      <w:r w:rsidRPr="001D73EC">
        <w:rPr>
          <w:rFonts w:eastAsia="Times New Roman" w:cs="Times New Roman"/>
          <w:lang w:eastAsia="de-DE"/>
        </w:rPr>
        <w:t xml:space="preserve">, die Weisung" mit Artikel). </w:t>
      </w:r>
      <w:r w:rsidRPr="001D73EC">
        <w:rPr>
          <w:rFonts w:eastAsia="Times New Roman" w:cs="Times New Roman"/>
          <w:b/>
          <w:bCs/>
          <w:rtl/>
          <w:lang w:eastAsia="de-DE"/>
        </w:rPr>
        <w:t>חֻקָּה</w:t>
      </w:r>
      <w:r w:rsidRPr="001D73EC">
        <w:rPr>
          <w:rFonts w:eastAsia="Times New Roman" w:cs="Times New Roman"/>
          <w:rtl/>
          <w:lang w:eastAsia="de-DE"/>
        </w:rPr>
        <w:t xml:space="preserve"> </w:t>
      </w:r>
      <w:r w:rsidRPr="001D73EC">
        <w:rPr>
          <w:rFonts w:eastAsia="Times New Roman" w:cs="Times New Roman"/>
          <w:lang w:eastAsia="de-DE"/>
        </w:rPr>
        <w:t xml:space="preserve">bezeichnet oft ein Gebot, dessen rationaler Grund nicht offensichtlich ist – ein „Mysterium der </w:t>
      </w:r>
      <w:r w:rsidR="00525AC4">
        <w:rPr>
          <w:rFonts w:eastAsia="Times New Roman" w:cs="Times New Roman"/>
          <w:lang w:eastAsia="de-DE"/>
        </w:rPr>
        <w:t>Torah</w:t>
      </w:r>
      <w:r w:rsidRPr="001D73EC">
        <w:rPr>
          <w:rFonts w:eastAsia="Times New Roman" w:cs="Times New Roman"/>
          <w:lang w:eastAsia="de-DE"/>
        </w:rPr>
        <w:t xml:space="preserve">". Der Relativsatz </w:t>
      </w:r>
      <w:r w:rsidRPr="001D73EC">
        <w:rPr>
          <w:rFonts w:eastAsia="Times New Roman" w:cs="Times New Roman"/>
          <w:b/>
          <w:bCs/>
          <w:rtl/>
          <w:lang w:eastAsia="de-DE"/>
        </w:rPr>
        <w:t xml:space="preserve">אֲשֶׁר־צִוָּה יְהוָה </w:t>
      </w:r>
      <w:r w:rsidRPr="001D73EC">
        <w:rPr>
          <w:rFonts w:eastAsia="Times New Roman" w:cs="Times New Roman"/>
          <w:b/>
          <w:bCs/>
          <w:rtl/>
          <w:lang w:eastAsia="de-DE"/>
        </w:rPr>
        <w:lastRenderedPageBreak/>
        <w:t>לֵאמֹר</w:t>
      </w:r>
      <w:r w:rsidRPr="001D73EC">
        <w:rPr>
          <w:rFonts w:eastAsia="Times New Roman" w:cs="Times New Roman"/>
          <w:rtl/>
          <w:lang w:eastAsia="de-DE"/>
        </w:rPr>
        <w:t xml:space="preserve"> </w:t>
      </w:r>
      <w:r w:rsidRPr="001D73EC">
        <w:rPr>
          <w:rFonts w:eastAsia="Times New Roman" w:cs="Times New Roman"/>
          <w:lang w:eastAsia="de-DE"/>
        </w:rPr>
        <w:t xml:space="preserve">besteht aus </w:t>
      </w:r>
      <w:r w:rsidRPr="001D73EC">
        <w:rPr>
          <w:rFonts w:eastAsia="Times New Roman" w:cs="Times New Roman"/>
          <w:b/>
          <w:bCs/>
          <w:rtl/>
          <w:lang w:eastAsia="de-DE"/>
        </w:rPr>
        <w:t>אֲשֶׁר</w:t>
      </w:r>
      <w:r w:rsidRPr="001D73EC">
        <w:rPr>
          <w:rFonts w:eastAsia="Times New Roman" w:cs="Times New Roman"/>
          <w:rtl/>
          <w:lang w:eastAsia="de-DE"/>
        </w:rPr>
        <w:t xml:space="preserve"> </w:t>
      </w:r>
      <w:r w:rsidRPr="001D73EC">
        <w:rPr>
          <w:rFonts w:eastAsia="Times New Roman" w:cs="Times New Roman"/>
          <w:lang w:eastAsia="de-DE"/>
        </w:rPr>
        <w:t xml:space="preserve">Relativpronomen, </w:t>
      </w:r>
      <w:r w:rsidRPr="001D73EC">
        <w:rPr>
          <w:rFonts w:eastAsia="Times New Roman" w:cs="Times New Roman"/>
          <w:b/>
          <w:bCs/>
          <w:rtl/>
          <w:lang w:eastAsia="de-DE"/>
        </w:rPr>
        <w:t>צִוָּה</w:t>
      </w:r>
      <w:r w:rsidRPr="001D73EC">
        <w:rPr>
          <w:rFonts w:eastAsia="Times New Roman" w:cs="Times New Roman"/>
          <w:rtl/>
          <w:lang w:eastAsia="de-DE"/>
        </w:rPr>
        <w:t xml:space="preserve"> </w:t>
      </w:r>
      <w:r w:rsidRPr="001D73EC">
        <w:rPr>
          <w:rFonts w:eastAsia="Times New Roman" w:cs="Times New Roman"/>
          <w:lang w:eastAsia="de-DE"/>
        </w:rPr>
        <w:t xml:space="preserve">(Piel Perfekt, 3. m. sg. von </w:t>
      </w:r>
      <w:r w:rsidRPr="001D73EC">
        <w:rPr>
          <w:rFonts w:eastAsia="Times New Roman" w:cs="Times New Roman"/>
          <w:b/>
          <w:bCs/>
          <w:rtl/>
          <w:lang w:eastAsia="de-DE"/>
        </w:rPr>
        <w:t>צוה</w:t>
      </w:r>
      <w:r w:rsidRPr="001D73EC">
        <w:rPr>
          <w:rFonts w:eastAsia="Times New Roman" w:cs="Times New Roman"/>
          <w:lang w:eastAsia="de-DE"/>
        </w:rPr>
        <w:t xml:space="preserve">, „er hat geboten"), </w:t>
      </w:r>
      <w:r w:rsidRPr="001D73EC">
        <w:rPr>
          <w:rFonts w:eastAsia="Times New Roman" w:cs="Times New Roman"/>
          <w:b/>
          <w:bCs/>
          <w:rtl/>
          <w:lang w:eastAsia="de-DE"/>
        </w:rPr>
        <w:t>יְהוָה</w:t>
      </w:r>
      <w:r w:rsidRPr="001D73EC">
        <w:rPr>
          <w:rFonts w:eastAsia="Times New Roman" w:cs="Times New Roman"/>
          <w:rtl/>
          <w:lang w:eastAsia="de-DE"/>
        </w:rPr>
        <w:t xml:space="preserve"> </w:t>
      </w:r>
      <w:r w:rsidRPr="001D73EC">
        <w:rPr>
          <w:rFonts w:eastAsia="Times New Roman" w:cs="Times New Roman"/>
          <w:lang w:eastAsia="de-DE"/>
        </w:rPr>
        <w:t xml:space="preserve">Subjekt, </w:t>
      </w:r>
      <w:r w:rsidRPr="001D73EC">
        <w:rPr>
          <w:rFonts w:eastAsia="Times New Roman" w:cs="Times New Roman"/>
          <w:b/>
          <w:bCs/>
          <w:rtl/>
          <w:lang w:eastAsia="de-DE"/>
        </w:rPr>
        <w:t>לֵאמֹר</w:t>
      </w:r>
      <w:r w:rsidRPr="001D73EC">
        <w:rPr>
          <w:rFonts w:eastAsia="Times New Roman" w:cs="Times New Roman"/>
          <w:rtl/>
          <w:lang w:eastAsia="de-DE"/>
        </w:rPr>
        <w:t xml:space="preserve"> </w:t>
      </w:r>
      <w:r w:rsidRPr="001D73EC">
        <w:rPr>
          <w:rFonts w:eastAsia="Times New Roman" w:cs="Times New Roman"/>
          <w:lang w:eastAsia="de-DE"/>
        </w:rPr>
        <w:t>Infinitiv construct als Redeeinleitung.</w:t>
      </w:r>
    </w:p>
    <w:p w14:paraId="30B7018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Der Imperativ </w:t>
      </w:r>
      <w:r w:rsidRPr="001D73EC">
        <w:rPr>
          <w:rFonts w:eastAsia="Times New Roman" w:cs="Times New Roman"/>
          <w:b/>
          <w:bCs/>
          <w:rtl/>
          <w:lang w:eastAsia="de-DE"/>
        </w:rPr>
        <w:t>דַּבֵּר</w:t>
      </w:r>
      <w:r w:rsidRPr="001D73EC">
        <w:rPr>
          <w:rFonts w:eastAsia="Times New Roman" w:cs="Times New Roman"/>
          <w:rtl/>
          <w:lang w:eastAsia="de-DE"/>
        </w:rPr>
        <w:t xml:space="preserve"> </w:t>
      </w:r>
      <w:r w:rsidRPr="001D73EC">
        <w:rPr>
          <w:rFonts w:eastAsia="Times New Roman" w:cs="Times New Roman"/>
          <w:lang w:eastAsia="de-DE"/>
        </w:rPr>
        <w:t xml:space="preserve">(Piel Imperativ von </w:t>
      </w:r>
      <w:r w:rsidRPr="001D73EC">
        <w:rPr>
          <w:rFonts w:eastAsia="Times New Roman" w:cs="Times New Roman"/>
          <w:b/>
          <w:bCs/>
          <w:rtl/>
          <w:lang w:eastAsia="de-DE"/>
        </w:rPr>
        <w:t>דבר</w:t>
      </w:r>
      <w:r w:rsidRPr="001D73EC">
        <w:rPr>
          <w:rFonts w:eastAsia="Times New Roman" w:cs="Times New Roman"/>
          <w:lang w:eastAsia="de-DE"/>
        </w:rPr>
        <w:t xml:space="preserve">, „rede") richtet sich an Mose. </w:t>
      </w:r>
      <w:r w:rsidRPr="001D73EC">
        <w:rPr>
          <w:rFonts w:eastAsia="Times New Roman" w:cs="Times New Roman"/>
          <w:b/>
          <w:bCs/>
          <w:rtl/>
          <w:lang w:eastAsia="de-DE"/>
        </w:rPr>
        <w:t>אֶל־בְּנֵי יִשְׂרָאֵל</w:t>
      </w:r>
      <w:r w:rsidRPr="001D73EC">
        <w:rPr>
          <w:rFonts w:eastAsia="Times New Roman" w:cs="Times New Roman"/>
          <w:rtl/>
          <w:lang w:eastAsia="de-DE"/>
        </w:rPr>
        <w:t xml:space="preserve"> </w:t>
      </w:r>
      <w:r w:rsidRPr="001D73EC">
        <w:rPr>
          <w:rFonts w:eastAsia="Times New Roman" w:cs="Times New Roman"/>
          <w:lang w:eastAsia="de-DE"/>
        </w:rPr>
        <w:t xml:space="preserve">gibt die Adressaten an. Das koordinierte Verb </w:t>
      </w:r>
      <w:r w:rsidRPr="001D73EC">
        <w:rPr>
          <w:rFonts w:eastAsia="Times New Roman" w:cs="Times New Roman"/>
          <w:b/>
          <w:bCs/>
          <w:rtl/>
          <w:lang w:eastAsia="de-DE"/>
        </w:rPr>
        <w:t>וְיִקְחוּ</w:t>
      </w:r>
      <w:r w:rsidRPr="001D73EC">
        <w:rPr>
          <w:rFonts w:eastAsia="Times New Roman" w:cs="Times New Roman"/>
          <w:rtl/>
          <w:lang w:eastAsia="de-DE"/>
        </w:rPr>
        <w:t xml:space="preserve"> </w:t>
      </w:r>
      <w:r w:rsidRPr="001D73EC">
        <w:rPr>
          <w:rFonts w:eastAsia="Times New Roman" w:cs="Times New Roman"/>
          <w:lang w:eastAsia="de-DE"/>
        </w:rPr>
        <w:t xml:space="preserve">(Waw + Qal Imperfekt, 3. m. pl. von </w:t>
      </w:r>
      <w:r w:rsidRPr="001D73EC">
        <w:rPr>
          <w:rFonts w:eastAsia="Times New Roman" w:cs="Times New Roman"/>
          <w:b/>
          <w:bCs/>
          <w:rtl/>
          <w:lang w:eastAsia="de-DE"/>
        </w:rPr>
        <w:t>לקח</w:t>
      </w:r>
      <w:r w:rsidRPr="001D73EC">
        <w:rPr>
          <w:rFonts w:eastAsia="Times New Roman" w:cs="Times New Roman"/>
          <w:lang w:eastAsia="de-DE"/>
        </w:rPr>
        <w:t xml:space="preserve">, „und sie sollen nehmen") mit Jussiv-Funktion drückt den göttlichen Befehl aus. </w:t>
      </w:r>
      <w:r w:rsidRPr="001D73EC">
        <w:rPr>
          <w:rFonts w:eastAsia="Times New Roman" w:cs="Times New Roman"/>
          <w:b/>
          <w:bCs/>
          <w:rtl/>
          <w:lang w:eastAsia="de-DE"/>
        </w:rPr>
        <w:t>אֵלֶיךָ</w:t>
      </w:r>
      <w:r w:rsidRPr="001D73EC">
        <w:rPr>
          <w:rFonts w:eastAsia="Times New Roman" w:cs="Times New Roman"/>
          <w:rtl/>
          <w:lang w:eastAsia="de-DE"/>
        </w:rPr>
        <w:t xml:space="preserve"> </w:t>
      </w:r>
      <w:r w:rsidRPr="001D73EC">
        <w:rPr>
          <w:rFonts w:eastAsia="Times New Roman" w:cs="Times New Roman"/>
          <w:lang w:eastAsia="de-DE"/>
        </w:rPr>
        <w:t>(„zu dir") mit Suffix 2. m. sg. bezieht sich auf Mose.</w:t>
      </w:r>
    </w:p>
    <w:p w14:paraId="77C175D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Objekt </w:t>
      </w:r>
      <w:r w:rsidRPr="001D73EC">
        <w:rPr>
          <w:rFonts w:eastAsia="Times New Roman" w:cs="Times New Roman"/>
          <w:b/>
          <w:bCs/>
          <w:rtl/>
          <w:lang w:eastAsia="de-DE"/>
        </w:rPr>
        <w:t>פָרָה אֲדֻמָּה תְּמִימָה</w:t>
      </w:r>
      <w:r w:rsidRPr="001D73EC">
        <w:rPr>
          <w:rFonts w:eastAsia="Times New Roman" w:cs="Times New Roman"/>
          <w:rtl/>
          <w:lang w:eastAsia="de-DE"/>
        </w:rPr>
        <w:t xml:space="preserve"> </w:t>
      </w:r>
      <w:r w:rsidRPr="001D73EC">
        <w:rPr>
          <w:rFonts w:eastAsia="Times New Roman" w:cs="Times New Roman"/>
          <w:lang w:eastAsia="de-DE"/>
        </w:rPr>
        <w:t xml:space="preserve">ist dreifach qualifiziert: </w:t>
      </w:r>
      <w:r w:rsidRPr="001D73EC">
        <w:rPr>
          <w:rFonts w:eastAsia="Times New Roman" w:cs="Times New Roman"/>
          <w:b/>
          <w:bCs/>
          <w:rtl/>
          <w:lang w:eastAsia="de-DE"/>
        </w:rPr>
        <w:t>פָרָה</w:t>
      </w:r>
      <w:r w:rsidRPr="001D73EC">
        <w:rPr>
          <w:rFonts w:eastAsia="Times New Roman" w:cs="Times New Roman"/>
          <w:rtl/>
          <w:lang w:eastAsia="de-DE"/>
        </w:rPr>
        <w:t xml:space="preserve"> </w:t>
      </w:r>
      <w:r w:rsidRPr="001D73EC">
        <w:rPr>
          <w:rFonts w:eastAsia="Times New Roman" w:cs="Times New Roman"/>
          <w:lang w:eastAsia="de-DE"/>
        </w:rPr>
        <w:t xml:space="preserve">(„Kuh") – nicht </w:t>
      </w:r>
      <w:r w:rsidRPr="001D73EC">
        <w:rPr>
          <w:rFonts w:eastAsia="Times New Roman" w:cs="Times New Roman"/>
          <w:b/>
          <w:bCs/>
          <w:rtl/>
          <w:lang w:eastAsia="de-DE"/>
        </w:rPr>
        <w:t>פַּר</w:t>
      </w:r>
      <w:r w:rsidRPr="001D73EC">
        <w:rPr>
          <w:rFonts w:eastAsia="Times New Roman" w:cs="Times New Roman"/>
          <w:rtl/>
          <w:lang w:eastAsia="de-DE"/>
        </w:rPr>
        <w:t xml:space="preserve"> </w:t>
      </w:r>
      <w:r w:rsidRPr="001D73EC">
        <w:rPr>
          <w:rFonts w:eastAsia="Times New Roman" w:cs="Times New Roman"/>
          <w:lang w:eastAsia="de-DE"/>
        </w:rPr>
        <w:t xml:space="preserve">(„Stier"), sondern weiblich; </w:t>
      </w:r>
      <w:r w:rsidRPr="001D73EC">
        <w:rPr>
          <w:rFonts w:eastAsia="Times New Roman" w:cs="Times New Roman"/>
          <w:b/>
          <w:bCs/>
          <w:rtl/>
          <w:lang w:eastAsia="de-DE"/>
        </w:rPr>
        <w:t>אֲדֻמָּה</w:t>
      </w:r>
      <w:r w:rsidRPr="001D73EC">
        <w:rPr>
          <w:rFonts w:eastAsia="Times New Roman" w:cs="Times New Roman"/>
          <w:rtl/>
          <w:lang w:eastAsia="de-DE"/>
        </w:rPr>
        <w:t xml:space="preserve"> </w:t>
      </w:r>
      <w:r w:rsidRPr="001D73EC">
        <w:rPr>
          <w:rFonts w:eastAsia="Times New Roman" w:cs="Times New Roman"/>
          <w:lang w:eastAsia="de-DE"/>
        </w:rPr>
        <w:t xml:space="preserve">(Adjektiv „rot"), </w:t>
      </w:r>
      <w:r w:rsidRPr="001D73EC">
        <w:rPr>
          <w:rFonts w:eastAsia="Times New Roman" w:cs="Times New Roman"/>
          <w:b/>
          <w:bCs/>
          <w:rtl/>
          <w:lang w:eastAsia="de-DE"/>
        </w:rPr>
        <w:t>תְּמִימָה</w:t>
      </w:r>
      <w:r w:rsidRPr="001D73EC">
        <w:rPr>
          <w:rFonts w:eastAsia="Times New Roman" w:cs="Times New Roman"/>
          <w:rtl/>
          <w:lang w:eastAsia="de-DE"/>
        </w:rPr>
        <w:t xml:space="preserve"> </w:t>
      </w:r>
      <w:r w:rsidRPr="001D73EC">
        <w:rPr>
          <w:rFonts w:eastAsia="Times New Roman" w:cs="Times New Roman"/>
          <w:lang w:eastAsia="de-DE"/>
        </w:rPr>
        <w:t xml:space="preserve">(„makellos, vollkommen"). Der erste Relativsatz </w:t>
      </w:r>
      <w:r w:rsidRPr="001D73EC">
        <w:rPr>
          <w:rFonts w:eastAsia="Times New Roman" w:cs="Times New Roman"/>
          <w:b/>
          <w:bCs/>
          <w:rtl/>
          <w:lang w:eastAsia="de-DE"/>
        </w:rPr>
        <w:t>אֲשֶׁר אֵין־בָּהּ מוּם</w:t>
      </w:r>
      <w:r w:rsidRPr="001D73EC">
        <w:rPr>
          <w:rFonts w:eastAsia="Times New Roman" w:cs="Times New Roman"/>
          <w:rtl/>
          <w:lang w:eastAsia="de-DE"/>
        </w:rPr>
        <w:t xml:space="preserve"> </w:t>
      </w:r>
      <w:r w:rsidRPr="001D73EC">
        <w:rPr>
          <w:rFonts w:eastAsia="Times New Roman" w:cs="Times New Roman"/>
          <w:lang w:eastAsia="de-DE"/>
        </w:rPr>
        <w:t xml:space="preserve">spezifiziert weiter: </w:t>
      </w:r>
      <w:r w:rsidRPr="001D73EC">
        <w:rPr>
          <w:rFonts w:eastAsia="Times New Roman" w:cs="Times New Roman"/>
          <w:b/>
          <w:bCs/>
          <w:rtl/>
          <w:lang w:eastAsia="de-DE"/>
        </w:rPr>
        <w:t>אֲשֶׁר</w:t>
      </w:r>
      <w:r w:rsidRPr="001D73EC">
        <w:rPr>
          <w:rFonts w:eastAsia="Times New Roman" w:cs="Times New Roman"/>
          <w:rtl/>
          <w:lang w:eastAsia="de-DE"/>
        </w:rPr>
        <w:t xml:space="preserve"> </w:t>
      </w:r>
      <w:r w:rsidRPr="001D73EC">
        <w:rPr>
          <w:rFonts w:eastAsia="Times New Roman" w:cs="Times New Roman"/>
          <w:lang w:eastAsia="de-DE"/>
        </w:rPr>
        <w:t xml:space="preserve">Relativpronomen, </w:t>
      </w:r>
      <w:r w:rsidRPr="001D73EC">
        <w:rPr>
          <w:rFonts w:eastAsia="Times New Roman" w:cs="Times New Roman"/>
          <w:b/>
          <w:bCs/>
          <w:rtl/>
          <w:lang w:eastAsia="de-DE"/>
        </w:rPr>
        <w:t>אֵין</w:t>
      </w:r>
      <w:r w:rsidRPr="001D73EC">
        <w:rPr>
          <w:rFonts w:eastAsia="Times New Roman" w:cs="Times New Roman"/>
          <w:rtl/>
          <w:lang w:eastAsia="de-DE"/>
        </w:rPr>
        <w:t xml:space="preserve"> </w:t>
      </w:r>
      <w:r w:rsidRPr="001D73EC">
        <w:rPr>
          <w:rFonts w:eastAsia="Times New Roman" w:cs="Times New Roman"/>
          <w:lang w:eastAsia="de-DE"/>
        </w:rPr>
        <w:t xml:space="preserve">Existenznegation, </w:t>
      </w:r>
      <w:r w:rsidRPr="001D73EC">
        <w:rPr>
          <w:rFonts w:eastAsia="Times New Roman" w:cs="Times New Roman"/>
          <w:b/>
          <w:bCs/>
          <w:rtl/>
          <w:lang w:eastAsia="de-DE"/>
        </w:rPr>
        <w:t>בָּהּ</w:t>
      </w:r>
      <w:r w:rsidRPr="001D73EC">
        <w:rPr>
          <w:rFonts w:eastAsia="Times New Roman" w:cs="Times New Roman"/>
          <w:rtl/>
          <w:lang w:eastAsia="de-DE"/>
        </w:rPr>
        <w:t xml:space="preserve"> </w:t>
      </w:r>
      <w:r w:rsidRPr="001D73EC">
        <w:rPr>
          <w:rFonts w:eastAsia="Times New Roman" w:cs="Times New Roman"/>
          <w:lang w:eastAsia="de-DE"/>
        </w:rPr>
        <w:t xml:space="preserve">„in ihr" (Präposition mit Suffix 3. f. sg.), </w:t>
      </w:r>
      <w:r w:rsidRPr="001D73EC">
        <w:rPr>
          <w:rFonts w:eastAsia="Times New Roman" w:cs="Times New Roman"/>
          <w:b/>
          <w:bCs/>
          <w:rtl/>
          <w:lang w:eastAsia="de-DE"/>
        </w:rPr>
        <w:t>מוּם</w:t>
      </w:r>
      <w:r w:rsidRPr="001D73EC">
        <w:rPr>
          <w:rFonts w:eastAsia="Times New Roman" w:cs="Times New Roman"/>
          <w:rtl/>
          <w:lang w:eastAsia="de-DE"/>
        </w:rPr>
        <w:t xml:space="preserve"> </w:t>
      </w:r>
      <w:r w:rsidRPr="001D73EC">
        <w:rPr>
          <w:rFonts w:eastAsia="Times New Roman" w:cs="Times New Roman"/>
          <w:lang w:eastAsia="de-DE"/>
        </w:rPr>
        <w:t xml:space="preserve">(„Fehler, Makel"). Der zweite Relativsatz </w:t>
      </w:r>
      <w:r w:rsidRPr="001D73EC">
        <w:rPr>
          <w:rFonts w:eastAsia="Times New Roman" w:cs="Times New Roman"/>
          <w:b/>
          <w:bCs/>
          <w:rtl/>
          <w:lang w:eastAsia="de-DE"/>
        </w:rPr>
        <w:t>אֲשֶׁר לֹא־עָלָה עָלֶיהָ עֹל</w:t>
      </w:r>
      <w:r w:rsidRPr="001D73EC">
        <w:rPr>
          <w:rFonts w:eastAsia="Times New Roman" w:cs="Times New Roman"/>
          <w:rtl/>
          <w:lang w:eastAsia="de-DE"/>
        </w:rPr>
        <w:t xml:space="preserve"> </w:t>
      </w:r>
      <w:r w:rsidRPr="001D73EC">
        <w:rPr>
          <w:rFonts w:eastAsia="Times New Roman" w:cs="Times New Roman"/>
          <w:lang w:eastAsia="de-DE"/>
        </w:rPr>
        <w:t xml:space="preserve">fügt eine rituelle Bedingung hinzu: </w:t>
      </w:r>
      <w:r w:rsidRPr="001D73EC">
        <w:rPr>
          <w:rFonts w:eastAsia="Times New Roman" w:cs="Times New Roman"/>
          <w:b/>
          <w:bCs/>
          <w:rtl/>
          <w:lang w:eastAsia="de-DE"/>
        </w:rPr>
        <w:t>אֲשֶׁר</w:t>
      </w:r>
      <w:r w:rsidRPr="001D73EC">
        <w:rPr>
          <w:rFonts w:eastAsia="Times New Roman" w:cs="Times New Roman"/>
          <w:rtl/>
          <w:lang w:eastAsia="de-DE"/>
        </w:rPr>
        <w:t xml:space="preserve"> </w:t>
      </w:r>
      <w:r w:rsidRPr="001D73EC">
        <w:rPr>
          <w:rFonts w:eastAsia="Times New Roman" w:cs="Times New Roman"/>
          <w:lang w:eastAsia="de-DE"/>
        </w:rPr>
        <w:t xml:space="preserve">Relativpronomen, </w:t>
      </w:r>
      <w:r w:rsidRPr="001D73EC">
        <w:rPr>
          <w:rFonts w:eastAsia="Times New Roman" w:cs="Times New Roman"/>
          <w:b/>
          <w:bCs/>
          <w:rtl/>
          <w:lang w:eastAsia="de-DE"/>
        </w:rPr>
        <w:t>לֹא־עָלָה</w:t>
      </w:r>
      <w:r w:rsidRPr="001D73EC">
        <w:rPr>
          <w:rFonts w:eastAsia="Times New Roman" w:cs="Times New Roman"/>
          <w:rtl/>
          <w:lang w:eastAsia="de-DE"/>
        </w:rPr>
        <w:t xml:space="preserve"> </w:t>
      </w:r>
      <w:r w:rsidRPr="001D73EC">
        <w:rPr>
          <w:rFonts w:eastAsia="Times New Roman" w:cs="Times New Roman"/>
          <w:lang w:eastAsia="de-DE"/>
        </w:rPr>
        <w:t xml:space="preserve">(Negation plus Qal Perfekt, 3. m. sg. von </w:t>
      </w:r>
      <w:r w:rsidRPr="001D73EC">
        <w:rPr>
          <w:rFonts w:eastAsia="Times New Roman" w:cs="Times New Roman"/>
          <w:b/>
          <w:bCs/>
          <w:rtl/>
          <w:lang w:eastAsia="de-DE"/>
        </w:rPr>
        <w:t>עלה</w:t>
      </w:r>
      <w:r w:rsidRPr="001D73EC">
        <w:rPr>
          <w:rFonts w:eastAsia="Times New Roman" w:cs="Times New Roman"/>
          <w:lang w:eastAsia="de-DE"/>
        </w:rPr>
        <w:t xml:space="preserve">, „er ist hinaufgekommen, gekommen"), </w:t>
      </w:r>
      <w:r w:rsidRPr="001D73EC">
        <w:rPr>
          <w:rFonts w:eastAsia="Times New Roman" w:cs="Times New Roman"/>
          <w:b/>
          <w:bCs/>
          <w:rtl/>
          <w:lang w:eastAsia="de-DE"/>
        </w:rPr>
        <w:t>עָלֶיהָ</w:t>
      </w:r>
      <w:r w:rsidRPr="001D73EC">
        <w:rPr>
          <w:rFonts w:eastAsia="Times New Roman" w:cs="Times New Roman"/>
          <w:rtl/>
          <w:lang w:eastAsia="de-DE"/>
        </w:rPr>
        <w:t xml:space="preserve"> </w:t>
      </w:r>
      <w:r w:rsidRPr="001D73EC">
        <w:rPr>
          <w:rFonts w:eastAsia="Times New Roman" w:cs="Times New Roman"/>
          <w:lang w:eastAsia="de-DE"/>
        </w:rPr>
        <w:t xml:space="preserve">„auf sie" (Präposition mit Suffix 3. f. sg.), </w:t>
      </w:r>
      <w:r w:rsidRPr="001D73EC">
        <w:rPr>
          <w:rFonts w:eastAsia="Times New Roman" w:cs="Times New Roman"/>
          <w:b/>
          <w:bCs/>
          <w:rtl/>
          <w:lang w:eastAsia="de-DE"/>
        </w:rPr>
        <w:t>עֹל</w:t>
      </w:r>
      <w:r w:rsidRPr="001D73EC">
        <w:rPr>
          <w:rFonts w:eastAsia="Times New Roman" w:cs="Times New Roman"/>
          <w:rtl/>
          <w:lang w:eastAsia="de-DE"/>
        </w:rPr>
        <w:t xml:space="preserve"> </w:t>
      </w:r>
      <w:r w:rsidRPr="001D73EC">
        <w:rPr>
          <w:rFonts w:eastAsia="Times New Roman" w:cs="Times New Roman"/>
          <w:lang w:eastAsia="de-DE"/>
        </w:rPr>
        <w:t>(„Joch"). Die Kuh darf nie als Arbeitstier verwendet worden sein.</w:t>
      </w:r>
    </w:p>
    <w:p w14:paraId="53D1EFD3" w14:textId="747864A8"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420C4D">
        <w:t>übersetzt „</w:t>
      </w:r>
      <w:r w:rsidR="00420C4D" w:rsidRPr="00420C4D">
        <w:rPr>
          <w:b/>
          <w:bCs/>
          <w:rtl/>
        </w:rPr>
        <w:t>חֻקַּת</w:t>
      </w:r>
      <w:r w:rsidR="00420C4D">
        <w:rPr>
          <w:rtl/>
        </w:rPr>
        <w:t xml:space="preserve"> </w:t>
      </w:r>
      <w:r w:rsidR="00420C4D" w:rsidRPr="00420C4D">
        <w:rPr>
          <w:b/>
          <w:bCs/>
          <w:rtl/>
        </w:rPr>
        <w:t>הַתּוֹרָה</w:t>
      </w:r>
      <w:r w:rsidR="00420C4D">
        <w:t xml:space="preserve">" (Satzung der </w:t>
      </w:r>
      <w:r w:rsidR="00525AC4">
        <w:t>Torah</w:t>
      </w:r>
      <w:r w:rsidR="00420C4D">
        <w:t>) mit „ἡ διαστολὴ τοῦ νόμου" (die Unterscheidung/Verordnung des Gesetzes), was eine andere Nuance hat - eher "Unterscheidung" als "Satzung". Zudem wird „</w:t>
      </w:r>
      <w:r w:rsidR="00420C4D">
        <w:rPr>
          <w:rtl/>
        </w:rPr>
        <w:t>פָרָה אֲדֻמָּה</w:t>
      </w:r>
      <w:r w:rsidR="00420C4D">
        <w:t>" (rote Kuh) zu „δάμαλιν πυρράν" (feuerrote junge Kuh), wobei das griechische Wort spezifischer eine junge Kuh bezeichnet.</w:t>
      </w:r>
    </w:p>
    <w:p w14:paraId="37EA5947"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einen nominalen Hauptsatz mit Demonstrativpronomen und Subjekt (Constructus-Verbindung), erweitert durch einen Relativsatz mit Verb, Subjekt und Infinitiv. Eine imperativische direkte Rede folgt mit Imperativ, Präpositionalphrase, koordiniertem Verb (Jussiv) mit Präpositionalphrase und dreifach qualifiziertem Objekt, das durch zwei Relativsätze weiter spezifiziert wird. Insgesamt gibt es drei Nebensätze: einen Relativsatz im Hauptsatz und zwei Relativsätze in der direkten Rede.</w:t>
      </w:r>
    </w:p>
    <w:p w14:paraId="346FDAA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etabliert die außergewöhnlichen Anforderungen: eine rote, makellose, nie bearbeitete Kuh – höchst seltene Kriterien, die das Ritual als außerordentlich kennzeichnen.</w:t>
      </w:r>
    </w:p>
    <w:p w14:paraId="4223F4B0"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19,3</w:t>
      </w:r>
    </w:p>
    <w:p w14:paraId="786ECA5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וּנְתַתֶּ֣ם אֹתָ֔הּ אֶל־אֶלְעָזָ֖ר הַכֹּהֵ֑ן וְהוֹצִ֤יא אֹתָהּ֙ אֶל־מִח֣וּץ לַֽמַּחֲנֶ֔ה וְשָׁחַ֥ט אֹתָ֖הּ לְפָנָֽיו׃</w:t>
      </w:r>
    </w:p>
    <w:p w14:paraId="4D566E7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ihr sollt sie Eleasar, dem Priester, geben, und er soll sie außerhalb des Lagers hinausführen, und man soll sie vor ihm schlachten.</w:t>
      </w:r>
    </w:p>
    <w:p w14:paraId="07D87784"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5FD38480">
          <v:rect id="_x0000_i1639" style="width:0;height:1.5pt" o:hralign="center" o:hrstd="t" o:hr="t" fillcolor="#a0a0a0" stroked="f"/>
        </w:pict>
      </w:r>
    </w:p>
    <w:p w14:paraId="166DC3D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וּנְתַתֶּם</w:t>
      </w:r>
      <w:r w:rsidRPr="001D73EC">
        <w:rPr>
          <w:rFonts w:eastAsia="Times New Roman" w:cs="Times New Roman"/>
          <w:rtl/>
          <w:lang w:eastAsia="de-DE"/>
        </w:rPr>
        <w:t xml:space="preserve"> </w:t>
      </w:r>
      <w:r w:rsidRPr="001D73EC">
        <w:rPr>
          <w:rFonts w:eastAsia="Times New Roman" w:cs="Times New Roman"/>
          <w:lang w:eastAsia="de-DE"/>
        </w:rPr>
        <w:t xml:space="preserve">(Waw + Qal Perfekt, 2. m. pl. von </w:t>
      </w:r>
      <w:r w:rsidRPr="001D73EC">
        <w:rPr>
          <w:rFonts w:eastAsia="Times New Roman" w:cs="Times New Roman"/>
          <w:b/>
          <w:bCs/>
          <w:rtl/>
          <w:lang w:eastAsia="de-DE"/>
        </w:rPr>
        <w:t>נתן</w:t>
      </w:r>
      <w:r w:rsidRPr="001D73EC">
        <w:rPr>
          <w:rFonts w:eastAsia="Times New Roman" w:cs="Times New Roman"/>
          <w:lang w:eastAsia="de-DE"/>
        </w:rPr>
        <w:t xml:space="preserve">, „und ihr sollt geben") mit Weqatal hat imperativen Charakter. </w:t>
      </w:r>
      <w:r w:rsidRPr="001D73EC">
        <w:rPr>
          <w:rFonts w:eastAsia="Times New Roman" w:cs="Times New Roman"/>
          <w:b/>
          <w:bCs/>
          <w:rtl/>
          <w:lang w:eastAsia="de-DE"/>
        </w:rPr>
        <w:t>אֹתָהּ</w:t>
      </w:r>
      <w:r w:rsidRPr="001D73EC">
        <w:rPr>
          <w:rFonts w:eastAsia="Times New Roman" w:cs="Times New Roman"/>
          <w:rtl/>
          <w:lang w:eastAsia="de-DE"/>
        </w:rPr>
        <w:t xml:space="preserve"> </w:t>
      </w:r>
      <w:r w:rsidRPr="001D73EC">
        <w:rPr>
          <w:rFonts w:eastAsia="Times New Roman" w:cs="Times New Roman"/>
          <w:lang w:eastAsia="de-DE"/>
        </w:rPr>
        <w:t xml:space="preserve">(„sie") mit Objektpartikel und Suffix 3. f. sg. bezieht sich auf die Kuh. Die Präposition </w:t>
      </w:r>
      <w:r w:rsidRPr="001D73EC">
        <w:rPr>
          <w:rFonts w:eastAsia="Times New Roman" w:cs="Times New Roman"/>
          <w:b/>
          <w:bCs/>
          <w:rtl/>
          <w:lang w:eastAsia="de-DE"/>
        </w:rPr>
        <w:t>אֶל־אֶלְעָזָ֖ר הַכֹּהֵן</w:t>
      </w:r>
      <w:r w:rsidRPr="001D73EC">
        <w:rPr>
          <w:rFonts w:eastAsia="Times New Roman" w:cs="Times New Roman"/>
          <w:rtl/>
          <w:lang w:eastAsia="de-DE"/>
        </w:rPr>
        <w:t xml:space="preserve"> </w:t>
      </w:r>
      <w:r w:rsidRPr="001D73EC">
        <w:rPr>
          <w:rFonts w:eastAsia="Times New Roman" w:cs="Times New Roman"/>
          <w:lang w:eastAsia="de-DE"/>
        </w:rPr>
        <w:t xml:space="preserve">gibt den Empfänger an: Eleasar, Aarons Sohn, wird genannt – nicht Aaron selbst. </w:t>
      </w:r>
      <w:r w:rsidRPr="001D73EC">
        <w:rPr>
          <w:rFonts w:eastAsia="Times New Roman" w:cs="Times New Roman"/>
          <w:b/>
          <w:bCs/>
          <w:rtl/>
          <w:lang w:eastAsia="de-DE"/>
        </w:rPr>
        <w:t>הַכֹּהֵן</w:t>
      </w:r>
      <w:r w:rsidRPr="001D73EC">
        <w:rPr>
          <w:rFonts w:eastAsia="Times New Roman" w:cs="Times New Roman"/>
          <w:rtl/>
          <w:lang w:eastAsia="de-DE"/>
        </w:rPr>
        <w:t xml:space="preserve"> </w:t>
      </w:r>
      <w:r w:rsidRPr="001D73EC">
        <w:rPr>
          <w:rFonts w:eastAsia="Times New Roman" w:cs="Times New Roman"/>
          <w:lang w:eastAsia="de-DE"/>
        </w:rPr>
        <w:t>(„der Priester") ist Apposition mit Artikel. Die Tatsache, dass nicht der Hohepriester (Aaron), sondern sein Sohn das Ritual durchführt, unterstreicht den paradoxen Charakter: Der Ausführende wird unrein (Vers 7).</w:t>
      </w:r>
    </w:p>
    <w:p w14:paraId="0BFEF47D"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koordinierte Verb </w:t>
      </w:r>
      <w:r w:rsidRPr="001D73EC">
        <w:rPr>
          <w:rFonts w:eastAsia="Times New Roman" w:cs="Times New Roman"/>
          <w:b/>
          <w:bCs/>
          <w:rtl/>
          <w:lang w:eastAsia="de-DE"/>
        </w:rPr>
        <w:t>וְהוֹצִיא</w:t>
      </w:r>
      <w:r w:rsidRPr="001D73EC">
        <w:rPr>
          <w:rFonts w:eastAsia="Times New Roman" w:cs="Times New Roman"/>
          <w:rtl/>
          <w:lang w:eastAsia="de-DE"/>
        </w:rPr>
        <w:t xml:space="preserve"> </w:t>
      </w:r>
      <w:r w:rsidRPr="001D73EC">
        <w:rPr>
          <w:rFonts w:eastAsia="Times New Roman" w:cs="Times New Roman"/>
          <w:lang w:eastAsia="de-DE"/>
        </w:rPr>
        <w:t xml:space="preserve">(Waw + Hifil Perfekt, 3. m. sg. von </w:t>
      </w:r>
      <w:r w:rsidRPr="001D73EC">
        <w:rPr>
          <w:rFonts w:eastAsia="Times New Roman" w:cs="Times New Roman"/>
          <w:b/>
          <w:bCs/>
          <w:rtl/>
          <w:lang w:eastAsia="de-DE"/>
        </w:rPr>
        <w:t>יצא</w:t>
      </w:r>
      <w:r w:rsidRPr="001D73EC">
        <w:rPr>
          <w:rFonts w:eastAsia="Times New Roman" w:cs="Times New Roman"/>
          <w:lang w:eastAsia="de-DE"/>
        </w:rPr>
        <w:t xml:space="preserve">, „und er soll hinausführen") mit Weqatal ist kausativ. </w:t>
      </w:r>
      <w:r w:rsidRPr="001D73EC">
        <w:rPr>
          <w:rFonts w:eastAsia="Times New Roman" w:cs="Times New Roman"/>
          <w:b/>
          <w:bCs/>
          <w:rtl/>
          <w:lang w:eastAsia="de-DE"/>
        </w:rPr>
        <w:t>אֹתָהּ</w:t>
      </w:r>
      <w:r w:rsidRPr="001D73EC">
        <w:rPr>
          <w:rFonts w:eastAsia="Times New Roman" w:cs="Times New Roman"/>
          <w:rtl/>
          <w:lang w:eastAsia="de-DE"/>
        </w:rPr>
        <w:t xml:space="preserve"> </w:t>
      </w:r>
      <w:r w:rsidRPr="001D73EC">
        <w:rPr>
          <w:rFonts w:eastAsia="Times New Roman" w:cs="Times New Roman"/>
          <w:lang w:eastAsia="de-DE"/>
        </w:rPr>
        <w:t xml:space="preserve">wiederholt das Objekt. Die Präposition </w:t>
      </w:r>
      <w:r w:rsidRPr="001D73EC">
        <w:rPr>
          <w:rFonts w:eastAsia="Times New Roman" w:cs="Times New Roman"/>
          <w:b/>
          <w:bCs/>
          <w:rtl/>
          <w:lang w:eastAsia="de-DE"/>
        </w:rPr>
        <w:t xml:space="preserve">אֶל־מִחוּץ </w:t>
      </w:r>
      <w:r w:rsidRPr="001D73EC">
        <w:rPr>
          <w:rFonts w:eastAsia="Times New Roman" w:cs="Times New Roman"/>
          <w:b/>
          <w:bCs/>
          <w:rtl/>
          <w:lang w:eastAsia="de-DE"/>
        </w:rPr>
        <w:lastRenderedPageBreak/>
        <w:t>לַמַּחֲנֶה</w:t>
      </w:r>
      <w:r w:rsidRPr="001D73EC">
        <w:rPr>
          <w:rFonts w:eastAsia="Times New Roman" w:cs="Times New Roman"/>
          <w:rtl/>
          <w:lang w:eastAsia="de-DE"/>
        </w:rPr>
        <w:t xml:space="preserve"> </w:t>
      </w:r>
      <w:r w:rsidRPr="001D73EC">
        <w:rPr>
          <w:rFonts w:eastAsia="Times New Roman" w:cs="Times New Roman"/>
          <w:lang w:eastAsia="de-DE"/>
        </w:rPr>
        <w:t xml:space="preserve">gibt das Ziel an: </w:t>
      </w:r>
      <w:r w:rsidRPr="001D73EC">
        <w:rPr>
          <w:rFonts w:eastAsia="Times New Roman" w:cs="Times New Roman"/>
          <w:b/>
          <w:bCs/>
          <w:rtl/>
          <w:lang w:eastAsia="de-DE"/>
        </w:rPr>
        <w:t>מִחוּץ</w:t>
      </w:r>
      <w:r w:rsidRPr="001D73EC">
        <w:rPr>
          <w:rFonts w:eastAsia="Times New Roman" w:cs="Times New Roman"/>
          <w:rtl/>
          <w:lang w:eastAsia="de-DE"/>
        </w:rPr>
        <w:t xml:space="preserve"> </w:t>
      </w:r>
      <w:r w:rsidRPr="001D73EC">
        <w:rPr>
          <w:rFonts w:eastAsia="Times New Roman" w:cs="Times New Roman"/>
          <w:lang w:eastAsia="de-DE"/>
        </w:rPr>
        <w:t xml:space="preserve">ist „außerhalb" (Präposition mit </w:t>
      </w:r>
      <w:r w:rsidRPr="001D73EC">
        <w:rPr>
          <w:rFonts w:eastAsia="Times New Roman" w:cs="Times New Roman"/>
          <w:b/>
          <w:bCs/>
          <w:rtl/>
          <w:lang w:eastAsia="de-DE"/>
        </w:rPr>
        <w:t>מִן</w:t>
      </w:r>
      <w:r w:rsidRPr="001D73EC">
        <w:rPr>
          <w:rFonts w:eastAsia="Times New Roman" w:cs="Times New Roman"/>
          <w:lang w:eastAsia="de-DE"/>
        </w:rPr>
        <w:t xml:space="preserve">), </w:t>
      </w:r>
      <w:r w:rsidRPr="001D73EC">
        <w:rPr>
          <w:rFonts w:eastAsia="Times New Roman" w:cs="Times New Roman"/>
          <w:b/>
          <w:bCs/>
          <w:rtl/>
          <w:lang w:eastAsia="de-DE"/>
        </w:rPr>
        <w:t>לַמַּחֲנֶה</w:t>
      </w:r>
      <w:r w:rsidRPr="001D73EC">
        <w:rPr>
          <w:rFonts w:eastAsia="Times New Roman" w:cs="Times New Roman"/>
          <w:rtl/>
          <w:lang w:eastAsia="de-DE"/>
        </w:rPr>
        <w:t xml:space="preserve"> </w:t>
      </w:r>
      <w:r w:rsidRPr="001D73EC">
        <w:rPr>
          <w:rFonts w:eastAsia="Times New Roman" w:cs="Times New Roman"/>
          <w:lang w:eastAsia="de-DE"/>
        </w:rPr>
        <w:t>„vom/zum Lager". Die Schlachtung findet außerhalb des heiligen Bereichs statt – ungewöhnlich für ein rituelles Opfer.</w:t>
      </w:r>
    </w:p>
    <w:p w14:paraId="4EF609A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dritte Verb </w:t>
      </w:r>
      <w:r w:rsidRPr="001D73EC">
        <w:rPr>
          <w:rFonts w:eastAsia="Times New Roman" w:cs="Times New Roman"/>
          <w:b/>
          <w:bCs/>
          <w:rtl/>
          <w:lang w:eastAsia="de-DE"/>
        </w:rPr>
        <w:t>וְשָׁחַט</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שׁחט</w:t>
      </w:r>
      <w:r w:rsidRPr="001D73EC">
        <w:rPr>
          <w:rFonts w:eastAsia="Times New Roman" w:cs="Times New Roman"/>
          <w:lang w:eastAsia="de-DE"/>
        </w:rPr>
        <w:t xml:space="preserve">, „und er/man soll schlachten") mit Weqatal ist unpersönlich konstruiert. </w:t>
      </w:r>
      <w:r w:rsidRPr="001D73EC">
        <w:rPr>
          <w:rFonts w:eastAsia="Times New Roman" w:cs="Times New Roman"/>
          <w:b/>
          <w:bCs/>
          <w:rtl/>
          <w:lang w:eastAsia="de-DE"/>
        </w:rPr>
        <w:t>אֹתָהּ</w:t>
      </w:r>
      <w:r w:rsidRPr="001D73EC">
        <w:rPr>
          <w:rFonts w:eastAsia="Times New Roman" w:cs="Times New Roman"/>
          <w:rtl/>
          <w:lang w:eastAsia="de-DE"/>
        </w:rPr>
        <w:t xml:space="preserve"> </w:t>
      </w:r>
      <w:r w:rsidRPr="001D73EC">
        <w:rPr>
          <w:rFonts w:eastAsia="Times New Roman" w:cs="Times New Roman"/>
          <w:lang w:eastAsia="de-DE"/>
        </w:rPr>
        <w:t xml:space="preserve">ist das Objekt. </w:t>
      </w:r>
      <w:r w:rsidRPr="001D73EC">
        <w:rPr>
          <w:rFonts w:eastAsia="Times New Roman" w:cs="Times New Roman"/>
          <w:b/>
          <w:bCs/>
          <w:rtl/>
          <w:lang w:eastAsia="de-DE"/>
        </w:rPr>
        <w:t>לְפָנָיו</w:t>
      </w:r>
      <w:r w:rsidRPr="001D73EC">
        <w:rPr>
          <w:rFonts w:eastAsia="Times New Roman" w:cs="Times New Roman"/>
          <w:rtl/>
          <w:lang w:eastAsia="de-DE"/>
        </w:rPr>
        <w:t xml:space="preserve"> </w:t>
      </w:r>
      <w:r w:rsidRPr="001D73EC">
        <w:rPr>
          <w:rFonts w:eastAsia="Times New Roman" w:cs="Times New Roman"/>
          <w:lang w:eastAsia="de-DE"/>
        </w:rPr>
        <w:t>(„vor ihm") mit Suffix 3. m. sg. bedeutet: in Eleasars Gegenwart, aber nicht notwendigerweise durch ihn selbst.</w:t>
      </w:r>
    </w:p>
    <w:p w14:paraId="20EB8200" w14:textId="77777777" w:rsidR="00420C4D" w:rsidRDefault="001D73EC" w:rsidP="00420C4D">
      <w:pPr>
        <w:spacing w:before="100" w:beforeAutospacing="1" w:after="100" w:afterAutospacing="1" w:line="240" w:lineRule="auto"/>
      </w:pPr>
      <w:r w:rsidRPr="001D73EC">
        <w:rPr>
          <w:rFonts w:eastAsia="Times New Roman" w:cs="Times New Roman"/>
          <w:b/>
          <w:bCs/>
          <w:lang w:eastAsia="de-DE"/>
        </w:rPr>
        <w:t>Die LXX</w:t>
      </w:r>
      <w:r w:rsidRPr="001D73EC">
        <w:rPr>
          <w:rFonts w:eastAsia="Times New Roman" w:cs="Times New Roman"/>
          <w:lang w:eastAsia="de-DE"/>
        </w:rPr>
        <w:t xml:space="preserve"> </w:t>
      </w:r>
      <w:r w:rsidR="00420C4D">
        <w:t>fügt „εἰς τόπον καθαρόν" (an einen reinen Ort) hinzu, was im hebräischen Text nicht erscheint, und verwendet Plural „ἐξάξουσιν" und „σφάξουσιν" (sie werden hinausführen/schlachten) statt des hebräischen Singulars, was impliziert, dass mehrere Personen beteiligt sind.</w:t>
      </w:r>
    </w:p>
    <w:p w14:paraId="0B83178E" w14:textId="5456CC61" w:rsidR="001D73EC" w:rsidRPr="001D73EC" w:rsidRDefault="001D73EC" w:rsidP="00420C4D">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drei koordinierte Hauptsätze mit Weqatal-Verben: Der erste mit Verb, Objekt und Präpositionalphrase (Empfänger mit Apposition); der zweite mit Verb, Objekt und Präpositionalphrase (Zielort); der dritte mit Verb, Objekt und Präpositionalphrase. Es gibt keine Nebensätze.</w:t>
      </w:r>
    </w:p>
    <w:p w14:paraId="3F2B691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ist bemerkenswert: Nicht der Hohepriester selbst, sondern Eleasar; nicht im Heiligtum, sondern außerhalb des Lagers – dies ist kein gewöhnliches Opfer.</w:t>
      </w:r>
    </w:p>
    <w:p w14:paraId="7F6B94A2"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19,4</w:t>
      </w:r>
    </w:p>
    <w:p w14:paraId="5D31FFAA"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וְלָקַ֞ח אֶלְעָזָ֧ר הַכֹּהֵ֛ן מִדָּמָ֖הּ בְּאֶצְבָּעֹ֑ו וְהִזָּ֞ה אֶל־נֹ֨כַח פְּנֵ֧י אֹֽהֶל־מוֹעֵ֛ד מִדָּמָ֖הּ שֶׁ֥בַע פְּעָמִֽים׃</w:t>
      </w:r>
    </w:p>
    <w:p w14:paraId="6229FD7D"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Eleasar, der Priester, soll von ihrem Blut mit seinem Finger nehmen und siebenmal von ihrem Blut gegen die Vorderseite des Zeltes der Begegnung sprengen.</w:t>
      </w:r>
    </w:p>
    <w:p w14:paraId="7FEE915A"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508F046E">
          <v:rect id="_x0000_i1640" style="width:0;height:1.5pt" o:hralign="center" o:hrstd="t" o:hr="t" fillcolor="#a0a0a0" stroked="f"/>
        </w:pict>
      </w:r>
    </w:p>
    <w:p w14:paraId="7E4B2DF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וְלָקַח</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לקח</w:t>
      </w:r>
      <w:r w:rsidRPr="001D73EC">
        <w:rPr>
          <w:rFonts w:eastAsia="Times New Roman" w:cs="Times New Roman"/>
          <w:lang w:eastAsia="de-DE"/>
        </w:rPr>
        <w:t xml:space="preserve">, „und er soll nehmen") mit Weqatal ist imperativ. Das Subjekt </w:t>
      </w:r>
      <w:r w:rsidRPr="001D73EC">
        <w:rPr>
          <w:rFonts w:eastAsia="Times New Roman" w:cs="Times New Roman"/>
          <w:b/>
          <w:bCs/>
          <w:rtl/>
          <w:lang w:eastAsia="de-DE"/>
        </w:rPr>
        <w:t>אֶלְעָזָר הַכֹּהֵן</w:t>
      </w:r>
      <w:r w:rsidRPr="001D73EC">
        <w:rPr>
          <w:rFonts w:eastAsia="Times New Roman" w:cs="Times New Roman"/>
          <w:rtl/>
          <w:lang w:eastAsia="de-DE"/>
        </w:rPr>
        <w:t xml:space="preserve"> </w:t>
      </w:r>
      <w:r w:rsidRPr="001D73EC">
        <w:rPr>
          <w:rFonts w:eastAsia="Times New Roman" w:cs="Times New Roman"/>
          <w:lang w:eastAsia="de-DE"/>
        </w:rPr>
        <w:t xml:space="preserve">wird explizit genannt. Die Präposition </w:t>
      </w:r>
      <w:r w:rsidRPr="001D73EC">
        <w:rPr>
          <w:rFonts w:eastAsia="Times New Roman" w:cs="Times New Roman"/>
          <w:b/>
          <w:bCs/>
          <w:rtl/>
          <w:lang w:eastAsia="de-DE"/>
        </w:rPr>
        <w:t>מִדָּמָהּ</w:t>
      </w:r>
      <w:r w:rsidRPr="001D73EC">
        <w:rPr>
          <w:rFonts w:eastAsia="Times New Roman" w:cs="Times New Roman"/>
          <w:rtl/>
          <w:lang w:eastAsia="de-DE"/>
        </w:rPr>
        <w:t xml:space="preserve"> </w:t>
      </w:r>
      <w:r w:rsidRPr="001D73EC">
        <w:rPr>
          <w:rFonts w:eastAsia="Times New Roman" w:cs="Times New Roman"/>
          <w:lang w:eastAsia="de-DE"/>
        </w:rPr>
        <w:t xml:space="preserve">(„von ihrem Blut") mit partitivem </w:t>
      </w:r>
      <w:r w:rsidRPr="001D73EC">
        <w:rPr>
          <w:rFonts w:eastAsia="Times New Roman" w:cs="Times New Roman"/>
          <w:b/>
          <w:bCs/>
          <w:rtl/>
          <w:lang w:eastAsia="de-DE"/>
        </w:rPr>
        <w:t>מִן</w:t>
      </w:r>
      <w:r w:rsidRPr="001D73EC">
        <w:rPr>
          <w:rFonts w:eastAsia="Times New Roman" w:cs="Times New Roman"/>
          <w:rtl/>
          <w:lang w:eastAsia="de-DE"/>
        </w:rPr>
        <w:t xml:space="preserve"> </w:t>
      </w:r>
      <w:r w:rsidRPr="001D73EC">
        <w:rPr>
          <w:rFonts w:eastAsia="Times New Roman" w:cs="Times New Roman"/>
          <w:lang w:eastAsia="de-DE"/>
        </w:rPr>
        <w:t xml:space="preserve">und Possessivsuffix 3. f. sg. gibt die Quelle an. </w:t>
      </w:r>
      <w:r w:rsidRPr="001D73EC">
        <w:rPr>
          <w:rFonts w:eastAsia="Times New Roman" w:cs="Times New Roman"/>
          <w:b/>
          <w:bCs/>
          <w:rtl/>
          <w:lang w:eastAsia="de-DE"/>
        </w:rPr>
        <w:t>בְּאֶצְבָּעוֹ</w:t>
      </w:r>
      <w:r w:rsidRPr="001D73EC">
        <w:rPr>
          <w:rFonts w:eastAsia="Times New Roman" w:cs="Times New Roman"/>
          <w:rtl/>
          <w:lang w:eastAsia="de-DE"/>
        </w:rPr>
        <w:t xml:space="preserve"> </w:t>
      </w:r>
      <w:r w:rsidRPr="001D73EC">
        <w:rPr>
          <w:rFonts w:eastAsia="Times New Roman" w:cs="Times New Roman"/>
          <w:lang w:eastAsia="de-DE"/>
        </w:rPr>
        <w:t xml:space="preserve">(„mit seinem Finger") mit </w:t>
      </w:r>
      <w:r w:rsidRPr="001D73EC">
        <w:rPr>
          <w:rFonts w:eastAsia="Times New Roman" w:cs="Times New Roman"/>
          <w:b/>
          <w:bCs/>
          <w:rtl/>
          <w:lang w:eastAsia="de-DE"/>
        </w:rPr>
        <w:t>בְּ</w:t>
      </w:r>
      <w:r w:rsidRPr="001D73EC">
        <w:rPr>
          <w:rFonts w:eastAsia="Times New Roman" w:cs="Times New Roman"/>
          <w:rtl/>
          <w:lang w:eastAsia="de-DE"/>
        </w:rPr>
        <w:t xml:space="preserve"> </w:t>
      </w:r>
      <w:r w:rsidRPr="001D73EC">
        <w:rPr>
          <w:rFonts w:eastAsia="Times New Roman" w:cs="Times New Roman"/>
          <w:lang w:eastAsia="de-DE"/>
        </w:rPr>
        <w:t>instrumentalis und Possessivsuffix 3. m. sg. spezifiziert das Instrument – der Finger macht die Handlung persönlich und direkt.</w:t>
      </w:r>
    </w:p>
    <w:p w14:paraId="252E675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koordinierte Verb </w:t>
      </w:r>
      <w:r w:rsidRPr="001D73EC">
        <w:rPr>
          <w:rFonts w:eastAsia="Times New Roman" w:cs="Times New Roman"/>
          <w:b/>
          <w:bCs/>
          <w:rtl/>
          <w:lang w:eastAsia="de-DE"/>
        </w:rPr>
        <w:t>וְהִזָּה</w:t>
      </w:r>
      <w:r w:rsidRPr="001D73EC">
        <w:rPr>
          <w:rFonts w:eastAsia="Times New Roman" w:cs="Times New Roman"/>
          <w:rtl/>
          <w:lang w:eastAsia="de-DE"/>
        </w:rPr>
        <w:t xml:space="preserve"> </w:t>
      </w:r>
      <w:r w:rsidRPr="001D73EC">
        <w:rPr>
          <w:rFonts w:eastAsia="Times New Roman" w:cs="Times New Roman"/>
          <w:lang w:eastAsia="de-DE"/>
        </w:rPr>
        <w:t xml:space="preserve">(Waw + Hifil Perfekt, 3. m. sg. von </w:t>
      </w:r>
      <w:r w:rsidRPr="001D73EC">
        <w:rPr>
          <w:rFonts w:eastAsia="Times New Roman" w:cs="Times New Roman"/>
          <w:b/>
          <w:bCs/>
          <w:rtl/>
          <w:lang w:eastAsia="de-DE"/>
        </w:rPr>
        <w:t>נזה</w:t>
      </w:r>
      <w:r w:rsidRPr="001D73EC">
        <w:rPr>
          <w:rFonts w:eastAsia="Times New Roman" w:cs="Times New Roman"/>
          <w:lang w:eastAsia="de-DE"/>
        </w:rPr>
        <w:t xml:space="preserve">, „und er soll sprengen") mit Weqatal bezeichnet die rituelle Sprengung. Die Präposition </w:t>
      </w:r>
      <w:r w:rsidRPr="001D73EC">
        <w:rPr>
          <w:rFonts w:eastAsia="Times New Roman" w:cs="Times New Roman"/>
          <w:b/>
          <w:bCs/>
          <w:rtl/>
          <w:lang w:eastAsia="de-DE"/>
        </w:rPr>
        <w:t>אֶל־נֹכַח פְּנֵי אֹהֶל־מוֹעֵד</w:t>
      </w:r>
      <w:r w:rsidRPr="001D73EC">
        <w:rPr>
          <w:rFonts w:eastAsia="Times New Roman" w:cs="Times New Roman"/>
          <w:rtl/>
          <w:lang w:eastAsia="de-DE"/>
        </w:rPr>
        <w:t xml:space="preserve"> </w:t>
      </w:r>
      <w:r w:rsidRPr="001D73EC">
        <w:rPr>
          <w:rFonts w:eastAsia="Times New Roman" w:cs="Times New Roman"/>
          <w:lang w:eastAsia="de-DE"/>
        </w:rPr>
        <w:t xml:space="preserve">gibt die Richtung an: </w:t>
      </w:r>
      <w:r w:rsidRPr="001D73EC">
        <w:rPr>
          <w:rFonts w:eastAsia="Times New Roman" w:cs="Times New Roman"/>
          <w:b/>
          <w:bCs/>
          <w:rtl/>
          <w:lang w:eastAsia="de-DE"/>
        </w:rPr>
        <w:t>אֶל</w:t>
      </w:r>
      <w:r w:rsidRPr="001D73EC">
        <w:rPr>
          <w:rFonts w:eastAsia="Times New Roman" w:cs="Times New Roman"/>
          <w:rtl/>
          <w:lang w:eastAsia="de-DE"/>
        </w:rPr>
        <w:t xml:space="preserve"> </w:t>
      </w:r>
      <w:r w:rsidRPr="001D73EC">
        <w:rPr>
          <w:rFonts w:eastAsia="Times New Roman" w:cs="Times New Roman"/>
          <w:lang w:eastAsia="de-DE"/>
        </w:rPr>
        <w:t xml:space="preserve">„zu, gegen", </w:t>
      </w:r>
      <w:r w:rsidRPr="001D73EC">
        <w:rPr>
          <w:rFonts w:eastAsia="Times New Roman" w:cs="Times New Roman"/>
          <w:b/>
          <w:bCs/>
          <w:rtl/>
          <w:lang w:eastAsia="de-DE"/>
        </w:rPr>
        <w:t>נֹכַח</w:t>
      </w:r>
      <w:r w:rsidRPr="001D73EC">
        <w:rPr>
          <w:rFonts w:eastAsia="Times New Roman" w:cs="Times New Roman"/>
          <w:rtl/>
          <w:lang w:eastAsia="de-DE"/>
        </w:rPr>
        <w:t xml:space="preserve"> </w:t>
      </w:r>
      <w:r w:rsidRPr="001D73EC">
        <w:rPr>
          <w:rFonts w:eastAsia="Times New Roman" w:cs="Times New Roman"/>
          <w:lang w:eastAsia="de-DE"/>
        </w:rPr>
        <w:t xml:space="preserve">„gegenüber, in Richtung von", </w:t>
      </w:r>
      <w:r w:rsidRPr="001D73EC">
        <w:rPr>
          <w:rFonts w:eastAsia="Times New Roman" w:cs="Times New Roman"/>
          <w:b/>
          <w:bCs/>
          <w:rtl/>
          <w:lang w:eastAsia="de-DE"/>
        </w:rPr>
        <w:t>פְּנֵי</w:t>
      </w:r>
      <w:r w:rsidRPr="001D73EC">
        <w:rPr>
          <w:rFonts w:eastAsia="Times New Roman" w:cs="Times New Roman"/>
          <w:rtl/>
          <w:lang w:eastAsia="de-DE"/>
        </w:rPr>
        <w:t xml:space="preserve"> </w:t>
      </w:r>
      <w:r w:rsidRPr="001D73EC">
        <w:rPr>
          <w:rFonts w:eastAsia="Times New Roman" w:cs="Times New Roman"/>
          <w:lang w:eastAsia="de-DE"/>
        </w:rPr>
        <w:t xml:space="preserve">(„Vorderseite, Angesicht") im Constructus vor </w:t>
      </w:r>
      <w:r w:rsidRPr="001D73EC">
        <w:rPr>
          <w:rFonts w:eastAsia="Times New Roman" w:cs="Times New Roman"/>
          <w:b/>
          <w:bCs/>
          <w:rtl/>
          <w:lang w:eastAsia="de-DE"/>
        </w:rPr>
        <w:t>אֹהֶל־מוֹעֵד</w:t>
      </w:r>
      <w:r w:rsidRPr="001D73EC">
        <w:rPr>
          <w:rFonts w:eastAsia="Times New Roman" w:cs="Times New Roman"/>
          <w:rtl/>
          <w:lang w:eastAsia="de-DE"/>
        </w:rPr>
        <w:t xml:space="preserve"> </w:t>
      </w:r>
      <w:r w:rsidRPr="001D73EC">
        <w:rPr>
          <w:rFonts w:eastAsia="Times New Roman" w:cs="Times New Roman"/>
          <w:lang w:eastAsia="de-DE"/>
        </w:rPr>
        <w:t>(weitere Constructus-Verbindung „Zelt der Begegnung"). Eleasar steht außerhalb des Lagers, sprengt aber in Richtung des Heiligtums – eine symbolische Verbindung.</w:t>
      </w:r>
    </w:p>
    <w:p w14:paraId="003E768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rtl/>
          <w:lang w:eastAsia="de-DE"/>
        </w:rPr>
        <w:t>מִדָּמָהּ</w:t>
      </w:r>
      <w:r w:rsidRPr="001D73EC">
        <w:rPr>
          <w:rFonts w:eastAsia="Times New Roman" w:cs="Times New Roman"/>
          <w:rtl/>
          <w:lang w:eastAsia="de-DE"/>
        </w:rPr>
        <w:t xml:space="preserve"> </w:t>
      </w:r>
      <w:r w:rsidRPr="001D73EC">
        <w:rPr>
          <w:rFonts w:eastAsia="Times New Roman" w:cs="Times New Roman"/>
          <w:lang w:eastAsia="de-DE"/>
        </w:rPr>
        <w:t xml:space="preserve">(„von ihrem Blut") wird wiederholt – Betonung des Blutes als reinigendem Element. Die Zahlenangabe </w:t>
      </w:r>
      <w:r w:rsidRPr="001D73EC">
        <w:rPr>
          <w:rFonts w:eastAsia="Times New Roman" w:cs="Times New Roman"/>
          <w:b/>
          <w:bCs/>
          <w:rtl/>
          <w:lang w:eastAsia="de-DE"/>
        </w:rPr>
        <w:t>שֶׁבַע פְּעָמִים</w:t>
      </w:r>
      <w:r w:rsidRPr="001D73EC">
        <w:rPr>
          <w:rFonts w:eastAsia="Times New Roman" w:cs="Times New Roman"/>
          <w:rtl/>
          <w:lang w:eastAsia="de-DE"/>
        </w:rPr>
        <w:t xml:space="preserve"> </w:t>
      </w:r>
      <w:r w:rsidRPr="001D73EC">
        <w:rPr>
          <w:rFonts w:eastAsia="Times New Roman" w:cs="Times New Roman"/>
          <w:lang w:eastAsia="de-DE"/>
        </w:rPr>
        <w:t xml:space="preserve">(„sieben Mal") besteht aus </w:t>
      </w:r>
      <w:r w:rsidRPr="001D73EC">
        <w:rPr>
          <w:rFonts w:eastAsia="Times New Roman" w:cs="Times New Roman"/>
          <w:b/>
          <w:bCs/>
          <w:rtl/>
          <w:lang w:eastAsia="de-DE"/>
        </w:rPr>
        <w:t>שֶׁבַע</w:t>
      </w:r>
      <w:r w:rsidRPr="001D73EC">
        <w:rPr>
          <w:rFonts w:eastAsia="Times New Roman" w:cs="Times New Roman"/>
          <w:rtl/>
          <w:lang w:eastAsia="de-DE"/>
        </w:rPr>
        <w:t xml:space="preserve"> </w:t>
      </w:r>
      <w:r w:rsidRPr="001D73EC">
        <w:rPr>
          <w:rFonts w:eastAsia="Times New Roman" w:cs="Times New Roman"/>
          <w:lang w:eastAsia="de-DE"/>
        </w:rPr>
        <w:t xml:space="preserve">(Zahlwort „sieben") und </w:t>
      </w:r>
      <w:r w:rsidRPr="001D73EC">
        <w:rPr>
          <w:rFonts w:eastAsia="Times New Roman" w:cs="Times New Roman"/>
          <w:b/>
          <w:bCs/>
          <w:rtl/>
          <w:lang w:eastAsia="de-DE"/>
        </w:rPr>
        <w:t>פְּעָמִים</w:t>
      </w:r>
      <w:r w:rsidRPr="001D73EC">
        <w:rPr>
          <w:rFonts w:eastAsia="Times New Roman" w:cs="Times New Roman"/>
          <w:rtl/>
          <w:lang w:eastAsia="de-DE"/>
        </w:rPr>
        <w:t xml:space="preserve"> </w:t>
      </w:r>
      <w:r w:rsidRPr="001D73EC">
        <w:rPr>
          <w:rFonts w:eastAsia="Times New Roman" w:cs="Times New Roman"/>
          <w:lang w:eastAsia="de-DE"/>
        </w:rPr>
        <w:t xml:space="preserve">(Plural von </w:t>
      </w:r>
      <w:r w:rsidRPr="001D73EC">
        <w:rPr>
          <w:rFonts w:eastAsia="Times New Roman" w:cs="Times New Roman"/>
          <w:b/>
          <w:bCs/>
          <w:rtl/>
          <w:lang w:eastAsia="de-DE"/>
        </w:rPr>
        <w:t>פַּעַם</w:t>
      </w:r>
      <w:r w:rsidRPr="001D73EC">
        <w:rPr>
          <w:rFonts w:eastAsia="Times New Roman" w:cs="Times New Roman"/>
          <w:rtl/>
          <w:lang w:eastAsia="de-DE"/>
        </w:rPr>
        <w:t xml:space="preserve"> </w:t>
      </w:r>
      <w:r w:rsidRPr="001D73EC">
        <w:rPr>
          <w:rFonts w:eastAsia="Times New Roman" w:cs="Times New Roman"/>
          <w:lang w:eastAsia="de-DE"/>
        </w:rPr>
        <w:t>„Mal, Schlag"). Die Zahl Sieben symbolisiert Vollständigkeit.</w:t>
      </w:r>
    </w:p>
    <w:p w14:paraId="7754F1CD"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w:t>
      </w:r>
    </w:p>
    <w:p w14:paraId="10CD357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lastRenderedPageBreak/>
        <w:t>Die Satzstruktur zeigt zwei koordinierte Hauptsätze mit Weqatal-Verben: Der erste mit Verb, explizitem Subjekt, Präpositionalphrase (partitiv) und Instrumentalphrase; der zweite mit Verb, komplexer Präpositionalphrase (Richtung), wiederholter Präpositionalphrase und Zahlenangabe. Es gibt keine Nebensätze.</w:t>
      </w:r>
    </w:p>
    <w:p w14:paraId="2B89F9E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beschreibt die symbolische Sprengung des Blutes in Richtung Heiligtum – obwohl außerhalb geschlachtet, hat das Ritual Bezug zum heiligen Zentrum.</w:t>
      </w:r>
    </w:p>
    <w:p w14:paraId="6745695C"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19,5</w:t>
      </w:r>
    </w:p>
    <w:p w14:paraId="6CE7E91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וְשָׂרַ֥ף אֶת־הַפָּרָ֖ה לְעֵינָ֑יו אֶת־עֹרָ֤הּ וְאֶת־בְּשָׂרָהּ֙ וְאֶת־דָּמָ֔הּ עַל־פִּרְשָׁ֖הּ יִשְׂרֹֽף׃</w:t>
      </w:r>
    </w:p>
    <w:p w14:paraId="17E58B5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man soll die Kuh vor seinen Augen verbrennen; ihre Haut und ihr Fleisch und ihr Blut samt ihrem Mist soll man verbrennen.</w:t>
      </w:r>
    </w:p>
    <w:p w14:paraId="5C206C97"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19A9D950">
          <v:rect id="_x0000_i1641" style="width:0;height:1.5pt" o:hralign="center" o:hrstd="t" o:hr="t" fillcolor="#a0a0a0" stroked="f"/>
        </w:pict>
      </w:r>
    </w:p>
    <w:p w14:paraId="62F2B5B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וְשָׂרַף</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שׂרף</w:t>
      </w:r>
      <w:r w:rsidRPr="001D73EC">
        <w:rPr>
          <w:rFonts w:eastAsia="Times New Roman" w:cs="Times New Roman"/>
          <w:lang w:eastAsia="de-DE"/>
        </w:rPr>
        <w:t xml:space="preserve">, „und er/man soll verbrennen") mit Weqatal ist unpersönlich. </w:t>
      </w:r>
      <w:r w:rsidRPr="001D73EC">
        <w:rPr>
          <w:rFonts w:eastAsia="Times New Roman" w:cs="Times New Roman"/>
          <w:b/>
          <w:bCs/>
          <w:rtl/>
          <w:lang w:eastAsia="de-DE"/>
        </w:rPr>
        <w:t>אֶת־הַפָּרָה</w:t>
      </w:r>
      <w:r w:rsidRPr="001D73EC">
        <w:rPr>
          <w:rFonts w:eastAsia="Times New Roman" w:cs="Times New Roman"/>
          <w:rtl/>
          <w:lang w:eastAsia="de-DE"/>
        </w:rPr>
        <w:t xml:space="preserve"> </w:t>
      </w:r>
      <w:r w:rsidRPr="001D73EC">
        <w:rPr>
          <w:rFonts w:eastAsia="Times New Roman" w:cs="Times New Roman"/>
          <w:lang w:eastAsia="de-DE"/>
        </w:rPr>
        <w:t xml:space="preserve">(„die Kuh") ist das Objekt mit Artikel. </w:t>
      </w:r>
      <w:r w:rsidRPr="001D73EC">
        <w:rPr>
          <w:rFonts w:eastAsia="Times New Roman" w:cs="Times New Roman"/>
          <w:b/>
          <w:bCs/>
          <w:rtl/>
          <w:lang w:eastAsia="de-DE"/>
        </w:rPr>
        <w:t>לְעֵינָיו</w:t>
      </w:r>
      <w:r w:rsidRPr="001D73EC">
        <w:rPr>
          <w:rFonts w:eastAsia="Times New Roman" w:cs="Times New Roman"/>
          <w:rtl/>
          <w:lang w:eastAsia="de-DE"/>
        </w:rPr>
        <w:t xml:space="preserve"> </w:t>
      </w:r>
      <w:r w:rsidRPr="001D73EC">
        <w:rPr>
          <w:rFonts w:eastAsia="Times New Roman" w:cs="Times New Roman"/>
          <w:lang w:eastAsia="de-DE"/>
        </w:rPr>
        <w:t xml:space="preserve">(„vor seinen Augen") mit </w:t>
      </w:r>
      <w:r w:rsidRPr="001D73EC">
        <w:rPr>
          <w:rFonts w:eastAsia="Times New Roman" w:cs="Times New Roman"/>
          <w:b/>
          <w:bCs/>
          <w:rtl/>
          <w:lang w:eastAsia="de-DE"/>
        </w:rPr>
        <w:t>לְ</w:t>
      </w:r>
      <w:r w:rsidRPr="001D73EC">
        <w:rPr>
          <w:rFonts w:eastAsia="Times New Roman" w:cs="Times New Roman"/>
          <w:rtl/>
          <w:lang w:eastAsia="de-DE"/>
        </w:rPr>
        <w:t xml:space="preserve"> </w:t>
      </w:r>
      <w:r w:rsidRPr="001D73EC">
        <w:rPr>
          <w:rFonts w:eastAsia="Times New Roman" w:cs="Times New Roman"/>
          <w:lang w:eastAsia="de-DE"/>
        </w:rPr>
        <w:t>und Possessivsuffix 3. m. sg. bedeutet: in Eleasars Gegenwart. Dies unterscheidet sich von normalen Opfern, wo nur bestimmte Teile verbrannt werden.</w:t>
      </w:r>
    </w:p>
    <w:p w14:paraId="14323E05"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dreifache Aufzählung </w:t>
      </w:r>
      <w:r w:rsidRPr="001D73EC">
        <w:rPr>
          <w:rFonts w:eastAsia="Times New Roman" w:cs="Times New Roman"/>
          <w:b/>
          <w:bCs/>
          <w:rtl/>
          <w:lang w:eastAsia="de-DE"/>
        </w:rPr>
        <w:t>אֶת־עֹרָהּ וְאֶת־בְּשָׂרָהּ וְאֶת־דָּמָהּ</w:t>
      </w:r>
      <w:r w:rsidRPr="001D73EC">
        <w:rPr>
          <w:rFonts w:eastAsia="Times New Roman" w:cs="Times New Roman"/>
          <w:rtl/>
          <w:lang w:eastAsia="de-DE"/>
        </w:rPr>
        <w:t xml:space="preserve"> </w:t>
      </w:r>
      <w:r w:rsidRPr="001D73EC">
        <w:rPr>
          <w:rFonts w:eastAsia="Times New Roman" w:cs="Times New Roman"/>
          <w:lang w:eastAsia="de-DE"/>
        </w:rPr>
        <w:t xml:space="preserve">spezifiziert: </w:t>
      </w:r>
      <w:r w:rsidRPr="001D73EC">
        <w:rPr>
          <w:rFonts w:eastAsia="Times New Roman" w:cs="Times New Roman"/>
          <w:b/>
          <w:bCs/>
          <w:rtl/>
          <w:lang w:eastAsia="de-DE"/>
        </w:rPr>
        <w:t>עֹרָהּ</w:t>
      </w:r>
      <w:r w:rsidRPr="001D73EC">
        <w:rPr>
          <w:rFonts w:eastAsia="Times New Roman" w:cs="Times New Roman"/>
          <w:rtl/>
          <w:lang w:eastAsia="de-DE"/>
        </w:rPr>
        <w:t xml:space="preserve"> </w:t>
      </w:r>
      <w:r w:rsidRPr="001D73EC">
        <w:rPr>
          <w:rFonts w:eastAsia="Times New Roman" w:cs="Times New Roman"/>
          <w:lang w:eastAsia="de-DE"/>
        </w:rPr>
        <w:t xml:space="preserve">(„ihre Haut"), </w:t>
      </w:r>
      <w:r w:rsidRPr="001D73EC">
        <w:rPr>
          <w:rFonts w:eastAsia="Times New Roman" w:cs="Times New Roman"/>
          <w:b/>
          <w:bCs/>
          <w:rtl/>
          <w:lang w:eastAsia="de-DE"/>
        </w:rPr>
        <w:t>בְּשָׂרָהּ</w:t>
      </w:r>
      <w:r w:rsidRPr="001D73EC">
        <w:rPr>
          <w:rFonts w:eastAsia="Times New Roman" w:cs="Times New Roman"/>
          <w:rtl/>
          <w:lang w:eastAsia="de-DE"/>
        </w:rPr>
        <w:t xml:space="preserve"> </w:t>
      </w:r>
      <w:r w:rsidRPr="001D73EC">
        <w:rPr>
          <w:rFonts w:eastAsia="Times New Roman" w:cs="Times New Roman"/>
          <w:lang w:eastAsia="de-DE"/>
        </w:rPr>
        <w:t xml:space="preserve">(„ihr Fleisch"), </w:t>
      </w:r>
      <w:r w:rsidRPr="001D73EC">
        <w:rPr>
          <w:rFonts w:eastAsia="Times New Roman" w:cs="Times New Roman"/>
          <w:b/>
          <w:bCs/>
          <w:rtl/>
          <w:lang w:eastAsia="de-DE"/>
        </w:rPr>
        <w:t>דָּמָהּ</w:t>
      </w:r>
      <w:r w:rsidRPr="001D73EC">
        <w:rPr>
          <w:rFonts w:eastAsia="Times New Roman" w:cs="Times New Roman"/>
          <w:rtl/>
          <w:lang w:eastAsia="de-DE"/>
        </w:rPr>
        <w:t xml:space="preserve"> </w:t>
      </w:r>
      <w:r w:rsidRPr="001D73EC">
        <w:rPr>
          <w:rFonts w:eastAsia="Times New Roman" w:cs="Times New Roman"/>
          <w:lang w:eastAsia="de-DE"/>
        </w:rPr>
        <w:t xml:space="preserve">(„ihr Blut") – alle mit Objektpartikel und Possessivsuffix 3. f. sg. Normalerweise wird Blut nicht verbrannt, sondern ausgegossen – hier ist es anders. </w:t>
      </w:r>
      <w:r w:rsidRPr="001D73EC">
        <w:rPr>
          <w:rFonts w:eastAsia="Times New Roman" w:cs="Times New Roman"/>
          <w:b/>
          <w:bCs/>
          <w:rtl/>
          <w:lang w:eastAsia="de-DE"/>
        </w:rPr>
        <w:t>עַל־פִּרְשָׁהּ</w:t>
      </w:r>
      <w:r w:rsidRPr="001D73EC">
        <w:rPr>
          <w:rFonts w:eastAsia="Times New Roman" w:cs="Times New Roman"/>
          <w:rtl/>
          <w:lang w:eastAsia="de-DE"/>
        </w:rPr>
        <w:t xml:space="preserve"> </w:t>
      </w:r>
      <w:r w:rsidRPr="001D73EC">
        <w:rPr>
          <w:rFonts w:eastAsia="Times New Roman" w:cs="Times New Roman"/>
          <w:lang w:eastAsia="de-DE"/>
        </w:rPr>
        <w:t xml:space="preserve">(„samt/mit ihrem Mist") ist bemerkenswert: </w:t>
      </w:r>
      <w:r w:rsidRPr="001D73EC">
        <w:rPr>
          <w:rFonts w:eastAsia="Times New Roman" w:cs="Times New Roman"/>
          <w:b/>
          <w:bCs/>
          <w:rtl/>
          <w:lang w:eastAsia="de-DE"/>
        </w:rPr>
        <w:t>עַל</w:t>
      </w:r>
      <w:r w:rsidRPr="001D73EC">
        <w:rPr>
          <w:rFonts w:eastAsia="Times New Roman" w:cs="Times New Roman"/>
          <w:rtl/>
          <w:lang w:eastAsia="de-DE"/>
        </w:rPr>
        <w:t xml:space="preserve"> </w:t>
      </w:r>
      <w:r w:rsidRPr="001D73EC">
        <w:rPr>
          <w:rFonts w:eastAsia="Times New Roman" w:cs="Times New Roman"/>
          <w:lang w:eastAsia="de-DE"/>
        </w:rPr>
        <w:t xml:space="preserve">hat hier die Bedeutung „zusammen mit", </w:t>
      </w:r>
      <w:r w:rsidRPr="001D73EC">
        <w:rPr>
          <w:rFonts w:eastAsia="Times New Roman" w:cs="Times New Roman"/>
          <w:b/>
          <w:bCs/>
          <w:rtl/>
          <w:lang w:eastAsia="de-DE"/>
        </w:rPr>
        <w:t>פִּרְשָׁהּ</w:t>
      </w:r>
      <w:r w:rsidRPr="001D73EC">
        <w:rPr>
          <w:rFonts w:eastAsia="Times New Roman" w:cs="Times New Roman"/>
          <w:rtl/>
          <w:lang w:eastAsia="de-DE"/>
        </w:rPr>
        <w:t xml:space="preserve"> </w:t>
      </w:r>
      <w:r w:rsidRPr="001D73EC">
        <w:rPr>
          <w:rFonts w:eastAsia="Times New Roman" w:cs="Times New Roman"/>
          <w:lang w:eastAsia="de-DE"/>
        </w:rPr>
        <w:t>(„ihr Mist, ihre Exkremente") mit Possessivsuffix. Normalerweise würde man die Eingeweide entfernen – hier wird alles verbrannt, auch das Unreinste.</w:t>
      </w:r>
    </w:p>
    <w:p w14:paraId="6682080D"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wiederholte Verb </w:t>
      </w:r>
      <w:r w:rsidRPr="001D73EC">
        <w:rPr>
          <w:rFonts w:eastAsia="Times New Roman" w:cs="Times New Roman"/>
          <w:b/>
          <w:bCs/>
          <w:rtl/>
          <w:lang w:eastAsia="de-DE"/>
        </w:rPr>
        <w:t>יִשְׂרֹף</w:t>
      </w:r>
      <w:r w:rsidRPr="001D73EC">
        <w:rPr>
          <w:rFonts w:eastAsia="Times New Roman" w:cs="Times New Roman"/>
          <w:rtl/>
          <w:lang w:eastAsia="de-DE"/>
        </w:rPr>
        <w:t xml:space="preserve"> </w:t>
      </w:r>
      <w:r w:rsidRPr="001D73EC">
        <w:rPr>
          <w:rFonts w:eastAsia="Times New Roman" w:cs="Times New Roman"/>
          <w:lang w:eastAsia="de-DE"/>
        </w:rPr>
        <w:t xml:space="preserve">(Qal Imperfekt, 3. m. sg. von </w:t>
      </w:r>
      <w:r w:rsidRPr="001D73EC">
        <w:rPr>
          <w:rFonts w:eastAsia="Times New Roman" w:cs="Times New Roman"/>
          <w:b/>
          <w:bCs/>
          <w:rtl/>
          <w:lang w:eastAsia="de-DE"/>
        </w:rPr>
        <w:t>שׂרף</w:t>
      </w:r>
      <w:r w:rsidRPr="001D73EC">
        <w:rPr>
          <w:rFonts w:eastAsia="Times New Roman" w:cs="Times New Roman"/>
          <w:lang w:eastAsia="de-DE"/>
        </w:rPr>
        <w:t>, „er soll verbrennen") betont die vollständige Verbrennung.</w:t>
      </w:r>
    </w:p>
    <w:p w14:paraId="257BCA7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 übersetzt </w:t>
      </w:r>
      <w:r w:rsidRPr="001D73EC">
        <w:rPr>
          <w:rFonts w:eastAsia="Times New Roman" w:cs="Times New Roman"/>
          <w:b/>
          <w:bCs/>
          <w:rtl/>
          <w:lang w:eastAsia="de-DE"/>
        </w:rPr>
        <w:t>פִּרְשָׁהּ</w:t>
      </w:r>
      <w:r w:rsidRPr="001D73EC">
        <w:rPr>
          <w:rFonts w:eastAsia="Times New Roman" w:cs="Times New Roman"/>
          <w:rtl/>
          <w:lang w:eastAsia="de-DE"/>
        </w:rPr>
        <w:t xml:space="preserve"> </w:t>
      </w:r>
      <w:r w:rsidRPr="001D73EC">
        <w:rPr>
          <w:rFonts w:eastAsia="Times New Roman" w:cs="Times New Roman"/>
          <w:lang w:eastAsia="de-DE"/>
        </w:rPr>
        <w:t>mit τὴν κόπρον αὐτῆς (die Exkremente).</w:t>
      </w:r>
    </w:p>
    <w:p w14:paraId="19122439"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zwei koordinierte Hauptsätze: Der erste mit Verb, Objekt und Präpositionalphrase; der zweite mit dreifachem koordinierten Objekt (alle mit Possessivsuffixen), Präpositionalphrase und wiederholtem Verb zur Betonung. Es gibt keine Nebensätze.</w:t>
      </w:r>
    </w:p>
    <w:p w14:paraId="68046A0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beschreibt die totale Verbrennung – ein einzigartiges Ritual, bei dem sogar Blut und Exkremente verbrannt werden, was die absolute Vollständigkeit unterstreicht.</w:t>
      </w:r>
    </w:p>
    <w:p w14:paraId="0C63BDA0"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19,6</w:t>
      </w:r>
    </w:p>
    <w:p w14:paraId="696E500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וְלָקַ֣ח הַכֹּהֵ֗ן עֵ֥ץ אֶ֛רֶז וְאֵז֖וֹב וּשְׁנִ֣י תוֹלָ֑עַת וְהִשְׁלִ֕יךְ אֶל־תּ֖וֹךְ שְׂרֵפַ֥ת הַפָּרָֽה׃</w:t>
      </w:r>
    </w:p>
    <w:p w14:paraId="48002EF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lastRenderedPageBreak/>
        <w:t>Deutsch:</w:t>
      </w:r>
      <w:r w:rsidRPr="001D73EC">
        <w:rPr>
          <w:rFonts w:eastAsia="Times New Roman" w:cs="Times New Roman"/>
          <w:lang w:eastAsia="de-DE"/>
        </w:rPr>
        <w:t xml:space="preserve"> Und der Priester soll Zedernholz und Ysop und Karmesinwolle nehmen und in die Mitte des Brandes der Kuh werfen.</w:t>
      </w:r>
    </w:p>
    <w:p w14:paraId="4A17D769"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24029460">
          <v:rect id="_x0000_i1642" style="width:0;height:1.5pt" o:hralign="center" o:hrstd="t" o:hr="t" fillcolor="#a0a0a0" stroked="f"/>
        </w:pict>
      </w:r>
    </w:p>
    <w:p w14:paraId="0FAFAAC5"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וְלָקַח</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לקח</w:t>
      </w:r>
      <w:r w:rsidRPr="001D73EC">
        <w:rPr>
          <w:rFonts w:eastAsia="Times New Roman" w:cs="Times New Roman"/>
          <w:lang w:eastAsia="de-DE"/>
        </w:rPr>
        <w:t xml:space="preserve">, „und er soll nehmen") mit Weqatal. Das Subjekt </w:t>
      </w:r>
      <w:r w:rsidRPr="001D73EC">
        <w:rPr>
          <w:rFonts w:eastAsia="Times New Roman" w:cs="Times New Roman"/>
          <w:b/>
          <w:bCs/>
          <w:rtl/>
          <w:lang w:eastAsia="de-DE"/>
        </w:rPr>
        <w:t>הַכֹּהֵן</w:t>
      </w:r>
      <w:r w:rsidRPr="001D73EC">
        <w:rPr>
          <w:rFonts w:eastAsia="Times New Roman" w:cs="Times New Roman"/>
          <w:rtl/>
          <w:lang w:eastAsia="de-DE"/>
        </w:rPr>
        <w:t xml:space="preserve"> </w:t>
      </w:r>
      <w:r w:rsidRPr="001D73EC">
        <w:rPr>
          <w:rFonts w:eastAsia="Times New Roman" w:cs="Times New Roman"/>
          <w:lang w:eastAsia="de-DE"/>
        </w:rPr>
        <w:t xml:space="preserve">(„der Priester") mit Artikel bezieht sich auf Eleasar. Die dreifache Objektliste </w:t>
      </w:r>
      <w:r w:rsidRPr="001D73EC">
        <w:rPr>
          <w:rFonts w:eastAsia="Times New Roman" w:cs="Times New Roman"/>
          <w:b/>
          <w:bCs/>
          <w:rtl/>
          <w:lang w:eastAsia="de-DE"/>
        </w:rPr>
        <w:t>עֵץ אֶרֶז וְאֵזוֹב וּשְׁנִי תוֹלָעַת</w:t>
      </w:r>
      <w:r w:rsidRPr="001D73EC">
        <w:rPr>
          <w:rFonts w:eastAsia="Times New Roman" w:cs="Times New Roman"/>
          <w:rtl/>
          <w:lang w:eastAsia="de-DE"/>
        </w:rPr>
        <w:t xml:space="preserve"> </w:t>
      </w:r>
      <w:r w:rsidRPr="001D73EC">
        <w:rPr>
          <w:rFonts w:eastAsia="Times New Roman" w:cs="Times New Roman"/>
          <w:lang w:eastAsia="de-DE"/>
        </w:rPr>
        <w:t xml:space="preserve">nennt symbolische Substanzen: </w:t>
      </w:r>
      <w:r w:rsidRPr="001D73EC">
        <w:rPr>
          <w:rFonts w:eastAsia="Times New Roman" w:cs="Times New Roman"/>
          <w:b/>
          <w:bCs/>
          <w:rtl/>
          <w:lang w:eastAsia="de-DE"/>
        </w:rPr>
        <w:t>עֵץ אֶרֶז</w:t>
      </w:r>
      <w:r w:rsidRPr="001D73EC">
        <w:rPr>
          <w:rFonts w:eastAsia="Times New Roman" w:cs="Times New Roman"/>
          <w:rtl/>
          <w:lang w:eastAsia="de-DE"/>
        </w:rPr>
        <w:t xml:space="preserve"> </w:t>
      </w:r>
      <w:r w:rsidRPr="001D73EC">
        <w:rPr>
          <w:rFonts w:eastAsia="Times New Roman" w:cs="Times New Roman"/>
          <w:lang w:eastAsia="de-DE"/>
        </w:rPr>
        <w:t xml:space="preserve">(„Zedernholz", Constructus-Verbindung) – die Zeder symbolisiert das Höchste, Majestätische; </w:t>
      </w:r>
      <w:r w:rsidRPr="001D73EC">
        <w:rPr>
          <w:rFonts w:eastAsia="Times New Roman" w:cs="Times New Roman"/>
          <w:b/>
          <w:bCs/>
          <w:rtl/>
          <w:lang w:eastAsia="de-DE"/>
        </w:rPr>
        <w:t>אֵזוֹב</w:t>
      </w:r>
      <w:r w:rsidRPr="001D73EC">
        <w:rPr>
          <w:rFonts w:eastAsia="Times New Roman" w:cs="Times New Roman"/>
          <w:rtl/>
          <w:lang w:eastAsia="de-DE"/>
        </w:rPr>
        <w:t xml:space="preserve"> </w:t>
      </w:r>
      <w:r w:rsidRPr="001D73EC">
        <w:rPr>
          <w:rFonts w:eastAsia="Times New Roman" w:cs="Times New Roman"/>
          <w:lang w:eastAsia="de-DE"/>
        </w:rPr>
        <w:t xml:space="preserve">(„Ysop") – ein niedriges Kraut, Symbol der Demut, verwendet bei Reinigungsriten (vgl. Lev 14, Ps 51,9); </w:t>
      </w:r>
      <w:r w:rsidRPr="001D73EC">
        <w:rPr>
          <w:rFonts w:eastAsia="Times New Roman" w:cs="Times New Roman"/>
          <w:b/>
          <w:bCs/>
          <w:rtl/>
          <w:lang w:eastAsia="de-DE"/>
        </w:rPr>
        <w:t>שְׁנִי תוֹלָעַת</w:t>
      </w:r>
      <w:r w:rsidRPr="001D73EC">
        <w:rPr>
          <w:rFonts w:eastAsia="Times New Roman" w:cs="Times New Roman"/>
          <w:rtl/>
          <w:lang w:eastAsia="de-DE"/>
        </w:rPr>
        <w:t xml:space="preserve"> </w:t>
      </w:r>
      <w:r w:rsidRPr="001D73EC">
        <w:rPr>
          <w:rFonts w:eastAsia="Times New Roman" w:cs="Times New Roman"/>
          <w:lang w:eastAsia="de-DE"/>
        </w:rPr>
        <w:t xml:space="preserve">(„Karmesinwolle", Constructus-Verbindung) – </w:t>
      </w:r>
      <w:r w:rsidRPr="001D73EC">
        <w:rPr>
          <w:rFonts w:eastAsia="Times New Roman" w:cs="Times New Roman"/>
          <w:b/>
          <w:bCs/>
          <w:rtl/>
          <w:lang w:eastAsia="de-DE"/>
        </w:rPr>
        <w:t>שָׁנִי</w:t>
      </w:r>
      <w:r w:rsidRPr="001D73EC">
        <w:rPr>
          <w:rFonts w:eastAsia="Times New Roman" w:cs="Times New Roman"/>
          <w:rtl/>
          <w:lang w:eastAsia="de-DE"/>
        </w:rPr>
        <w:t xml:space="preserve"> </w:t>
      </w:r>
      <w:r w:rsidRPr="001D73EC">
        <w:rPr>
          <w:rFonts w:eastAsia="Times New Roman" w:cs="Times New Roman"/>
          <w:lang w:eastAsia="de-DE"/>
        </w:rPr>
        <w:t xml:space="preserve">bedeutet „Karmesin, Scharlach", </w:t>
      </w:r>
      <w:r w:rsidRPr="001D73EC">
        <w:rPr>
          <w:rFonts w:eastAsia="Times New Roman" w:cs="Times New Roman"/>
          <w:b/>
          <w:bCs/>
          <w:rtl/>
          <w:lang w:eastAsia="de-DE"/>
        </w:rPr>
        <w:t>תּוֹלַעַת</w:t>
      </w:r>
      <w:r w:rsidRPr="001D73EC">
        <w:rPr>
          <w:rFonts w:eastAsia="Times New Roman" w:cs="Times New Roman"/>
          <w:rtl/>
          <w:lang w:eastAsia="de-DE"/>
        </w:rPr>
        <w:t xml:space="preserve"> </w:t>
      </w:r>
      <w:r w:rsidRPr="001D73EC">
        <w:rPr>
          <w:rFonts w:eastAsia="Times New Roman" w:cs="Times New Roman"/>
          <w:lang w:eastAsia="de-DE"/>
        </w:rPr>
        <w:t>„Wurm, Schildlaus" (aus der der rote Farbstoff gewonnen wird).</w:t>
      </w:r>
    </w:p>
    <w:p w14:paraId="6136EFF3"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koordinierte Verb </w:t>
      </w:r>
      <w:r w:rsidRPr="001D73EC">
        <w:rPr>
          <w:rFonts w:eastAsia="Times New Roman" w:cs="Times New Roman"/>
          <w:b/>
          <w:bCs/>
          <w:rtl/>
          <w:lang w:eastAsia="de-DE"/>
        </w:rPr>
        <w:t>וְהִשְׁלִיךְ</w:t>
      </w:r>
      <w:r w:rsidRPr="001D73EC">
        <w:rPr>
          <w:rFonts w:eastAsia="Times New Roman" w:cs="Times New Roman"/>
          <w:rtl/>
          <w:lang w:eastAsia="de-DE"/>
        </w:rPr>
        <w:t xml:space="preserve"> </w:t>
      </w:r>
      <w:r w:rsidRPr="001D73EC">
        <w:rPr>
          <w:rFonts w:eastAsia="Times New Roman" w:cs="Times New Roman"/>
          <w:lang w:eastAsia="de-DE"/>
        </w:rPr>
        <w:t xml:space="preserve">(Waw + Hifil Perfekt, 3. m. sg. von </w:t>
      </w:r>
      <w:r w:rsidRPr="001D73EC">
        <w:rPr>
          <w:rFonts w:eastAsia="Times New Roman" w:cs="Times New Roman"/>
          <w:b/>
          <w:bCs/>
          <w:rtl/>
          <w:lang w:eastAsia="de-DE"/>
        </w:rPr>
        <w:t>שׁלך</w:t>
      </w:r>
      <w:r w:rsidRPr="001D73EC">
        <w:rPr>
          <w:rFonts w:eastAsia="Times New Roman" w:cs="Times New Roman"/>
          <w:lang w:eastAsia="de-DE"/>
        </w:rPr>
        <w:t xml:space="preserve">, „und er soll werfen") mit Weqatal ist kausativ. Die Präposition </w:t>
      </w:r>
      <w:r w:rsidRPr="001D73EC">
        <w:rPr>
          <w:rFonts w:eastAsia="Times New Roman" w:cs="Times New Roman"/>
          <w:b/>
          <w:bCs/>
          <w:rtl/>
          <w:lang w:eastAsia="de-DE"/>
        </w:rPr>
        <w:t>אֶל־תּוֹךְ שְׂרֵפַת הַפָּרָה</w:t>
      </w:r>
      <w:r w:rsidRPr="001D73EC">
        <w:rPr>
          <w:rFonts w:eastAsia="Times New Roman" w:cs="Times New Roman"/>
          <w:rtl/>
          <w:lang w:eastAsia="de-DE"/>
        </w:rPr>
        <w:t xml:space="preserve"> </w:t>
      </w:r>
      <w:r w:rsidRPr="001D73EC">
        <w:rPr>
          <w:rFonts w:eastAsia="Times New Roman" w:cs="Times New Roman"/>
          <w:lang w:eastAsia="de-DE"/>
        </w:rPr>
        <w:t xml:space="preserve">gibt das Ziel an: </w:t>
      </w:r>
      <w:r w:rsidRPr="001D73EC">
        <w:rPr>
          <w:rFonts w:eastAsia="Times New Roman" w:cs="Times New Roman"/>
          <w:b/>
          <w:bCs/>
          <w:rtl/>
          <w:lang w:eastAsia="de-DE"/>
        </w:rPr>
        <w:t>אֶל</w:t>
      </w:r>
      <w:r w:rsidRPr="001D73EC">
        <w:rPr>
          <w:rFonts w:eastAsia="Times New Roman" w:cs="Times New Roman"/>
          <w:rtl/>
          <w:lang w:eastAsia="de-DE"/>
        </w:rPr>
        <w:t xml:space="preserve"> </w:t>
      </w:r>
      <w:r w:rsidRPr="001D73EC">
        <w:rPr>
          <w:rFonts w:eastAsia="Times New Roman" w:cs="Times New Roman"/>
          <w:lang w:eastAsia="de-DE"/>
        </w:rPr>
        <w:t xml:space="preserve">„zu, in", </w:t>
      </w:r>
      <w:r w:rsidRPr="001D73EC">
        <w:rPr>
          <w:rFonts w:eastAsia="Times New Roman" w:cs="Times New Roman"/>
          <w:b/>
          <w:bCs/>
          <w:rtl/>
          <w:lang w:eastAsia="de-DE"/>
        </w:rPr>
        <w:t>תּוֹךְ</w:t>
      </w:r>
      <w:r w:rsidRPr="001D73EC">
        <w:rPr>
          <w:rFonts w:eastAsia="Times New Roman" w:cs="Times New Roman"/>
          <w:rtl/>
          <w:lang w:eastAsia="de-DE"/>
        </w:rPr>
        <w:t xml:space="preserve"> </w:t>
      </w:r>
      <w:r w:rsidRPr="001D73EC">
        <w:rPr>
          <w:rFonts w:eastAsia="Times New Roman" w:cs="Times New Roman"/>
          <w:lang w:eastAsia="de-DE"/>
        </w:rPr>
        <w:t xml:space="preserve">„Mitte, Inneres", </w:t>
      </w:r>
      <w:r w:rsidRPr="001D73EC">
        <w:rPr>
          <w:rFonts w:eastAsia="Times New Roman" w:cs="Times New Roman"/>
          <w:b/>
          <w:bCs/>
          <w:rtl/>
          <w:lang w:eastAsia="de-DE"/>
        </w:rPr>
        <w:t>שְׂרֵפַת הַפָּרָה</w:t>
      </w:r>
      <w:r w:rsidRPr="001D73EC">
        <w:rPr>
          <w:rFonts w:eastAsia="Times New Roman" w:cs="Times New Roman"/>
          <w:rtl/>
          <w:lang w:eastAsia="de-DE"/>
        </w:rPr>
        <w:t xml:space="preserve"> </w:t>
      </w:r>
      <w:r w:rsidRPr="001D73EC">
        <w:rPr>
          <w:rFonts w:eastAsia="Times New Roman" w:cs="Times New Roman"/>
          <w:lang w:eastAsia="de-DE"/>
        </w:rPr>
        <w:t>(„Brand/Verbrennung der Kuh", Constructus-Verbindung mit Artikel). Die drei Substanzen werden in das brennende Feuer geworfen.</w:t>
      </w:r>
    </w:p>
    <w:p w14:paraId="13A039D0" w14:textId="25799232"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420C4D">
        <w:t>übersetzt „</w:t>
      </w:r>
      <w:r w:rsidR="00420C4D" w:rsidRPr="00420C4D">
        <w:rPr>
          <w:b/>
          <w:bCs/>
          <w:rtl/>
        </w:rPr>
        <w:t>שְׁנִי</w:t>
      </w:r>
      <w:r w:rsidR="00420C4D">
        <w:rPr>
          <w:rtl/>
        </w:rPr>
        <w:t xml:space="preserve"> </w:t>
      </w:r>
      <w:r w:rsidR="00420C4D" w:rsidRPr="00420C4D">
        <w:rPr>
          <w:b/>
          <w:bCs/>
          <w:rtl/>
        </w:rPr>
        <w:t>תוֹלָעַת</w:t>
      </w:r>
      <w:r w:rsidR="00420C4D">
        <w:t>" (Karmesinwolle, wörtlich: Wurmscharlach) mit „κόκκινον" (Scharlach), was die wörtliche Bedeutung des "Wurms" weglässt, und verwendet Plural „ἐμβαλοῦσιν" (sie werden hineinwerfen) statt des hebräischen Singulars.</w:t>
      </w:r>
    </w:p>
    <w:p w14:paraId="04D68FB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zwei koordinierte Hauptsätze mit Weqatal-Verben: Der erste mit Verb, Subjekt und dreifachem koordinierten Objekt; der zweite mit Verb und Präpositionalphrase (Constructus-Verbindung). Es gibt keine Nebensätze.</w:t>
      </w:r>
    </w:p>
    <w:p w14:paraId="36535CCE" w14:textId="68883F5A" w:rsid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fügt symbolische Elemente hinzu, die an andere Reinigungsrituale erinnern (vgl. Lev 14) – Zeder (hoch), Ysop (niedrig), Karmesin (Farbe des Lebens/Blutes).</w:t>
      </w:r>
    </w:p>
    <w:p w14:paraId="7F6DAAF0" w14:textId="5056DB5A" w:rsidR="00C61AD3" w:rsidRDefault="00C61AD3" w:rsidP="00C61AD3"/>
    <w:p w14:paraId="2D43B951" w14:textId="77777777" w:rsidR="00C61AD3" w:rsidRPr="00B00345" w:rsidRDefault="00C61AD3" w:rsidP="00B00345">
      <w:pPr>
        <w:pStyle w:val="berschrift4"/>
      </w:pPr>
      <w:r w:rsidRPr="00B00345">
        <w:rPr>
          <w:rStyle w:val="Fett"/>
          <w:b w:val="0"/>
          <w:bCs w:val="0"/>
        </w:rPr>
        <w:t xml:space="preserve">Exkurs: Warum eine ROTE Kuh? Die Symbolik von </w:t>
      </w:r>
      <w:r w:rsidRPr="00B00345">
        <w:rPr>
          <w:rStyle w:val="Fett"/>
          <w:b w:val="0"/>
          <w:bCs w:val="0"/>
          <w:i w:val="0"/>
          <w:iCs w:val="0"/>
          <w:rtl/>
        </w:rPr>
        <w:t>אָדֹם</w:t>
      </w:r>
    </w:p>
    <w:p w14:paraId="1A292348" w14:textId="77777777" w:rsidR="00C61AD3" w:rsidRDefault="00C61AD3" w:rsidP="00C61AD3">
      <w:pPr>
        <w:pStyle w:val="whitespace-normal"/>
      </w:pPr>
      <w:r>
        <w:rPr>
          <w:rStyle w:val="Fett"/>
        </w:rPr>
        <w:t>Numeri 19,2:</w:t>
      </w:r>
    </w:p>
    <w:p w14:paraId="373B463E" w14:textId="77777777" w:rsidR="00C61AD3" w:rsidRDefault="00C61AD3" w:rsidP="00C61AD3">
      <w:pPr>
        <w:pStyle w:val="whitespace-normal"/>
      </w:pPr>
      <w:r>
        <w:rPr>
          <w:rtl/>
        </w:rPr>
        <w:t xml:space="preserve">פָרָה </w:t>
      </w:r>
      <w:r>
        <w:rPr>
          <w:rStyle w:val="Fett"/>
          <w:rtl/>
        </w:rPr>
        <w:t>אֲדֻמָּה</w:t>
      </w:r>
      <w:r>
        <w:rPr>
          <w:rtl/>
        </w:rPr>
        <w:t xml:space="preserve"> תְּמִימָה</w:t>
      </w:r>
      <w:r>
        <w:br/>
        <w:t xml:space="preserve">"Eine </w:t>
      </w:r>
      <w:r>
        <w:rPr>
          <w:rStyle w:val="Fett"/>
        </w:rPr>
        <w:t>rote</w:t>
      </w:r>
      <w:r>
        <w:t xml:space="preserve"> Kuh, makellos"</w:t>
      </w:r>
    </w:p>
    <w:p w14:paraId="78027E21" w14:textId="77777777" w:rsidR="00C61AD3" w:rsidRDefault="00C61AD3" w:rsidP="00C61AD3">
      <w:pPr>
        <w:pStyle w:val="whitespace-normal"/>
      </w:pPr>
      <w:r>
        <w:rPr>
          <w:rStyle w:val="Fett"/>
        </w:rPr>
        <w:t>Die Frage:</w:t>
      </w:r>
    </w:p>
    <w:p w14:paraId="12ADAE61" w14:textId="77777777" w:rsidR="00C61AD3" w:rsidRDefault="00C61AD3" w:rsidP="00C61AD3">
      <w:pPr>
        <w:pStyle w:val="whitespace-normal"/>
      </w:pPr>
      <w:r>
        <w:t xml:space="preserve">Warum muss die Kuh </w:t>
      </w:r>
      <w:r>
        <w:rPr>
          <w:rStyle w:val="Fett"/>
        </w:rPr>
        <w:t>rot</w:t>
      </w:r>
      <w:r>
        <w:t xml:space="preserve"> (</w:t>
      </w:r>
      <w:r>
        <w:rPr>
          <w:rtl/>
        </w:rPr>
        <w:t>אָדֹם</w:t>
      </w:r>
      <w:r>
        <w:t>) sein? Was bedeutet diese Farbe?</w:t>
      </w:r>
    </w:p>
    <w:p w14:paraId="2C07726A" w14:textId="77777777" w:rsidR="00C61AD3" w:rsidRDefault="00F329DD" w:rsidP="00C61AD3">
      <w:r>
        <w:pict w14:anchorId="3EB22798">
          <v:rect id="_x0000_i1643" style="width:0;height:1.5pt" o:hralign="center" o:hrstd="t" o:hr="t" fillcolor="#a0a0a0" stroked="f"/>
        </w:pict>
      </w:r>
    </w:p>
    <w:p w14:paraId="34BD28AC" w14:textId="77777777" w:rsidR="00C61AD3" w:rsidRDefault="00C61AD3" w:rsidP="00C61AD3">
      <w:pPr>
        <w:pStyle w:val="berschrift3"/>
      </w:pPr>
      <w:r>
        <w:rPr>
          <w:rStyle w:val="Fett"/>
          <w:b w:val="0"/>
          <w:bCs w:val="0"/>
        </w:rPr>
        <w:t>1. Die Farbe ROT (</w:t>
      </w:r>
      <w:r>
        <w:rPr>
          <w:rStyle w:val="Fett"/>
          <w:b w:val="0"/>
          <w:bCs w:val="0"/>
          <w:rtl/>
        </w:rPr>
        <w:t>אָדֹם</w:t>
      </w:r>
      <w:r>
        <w:rPr>
          <w:rStyle w:val="Fett"/>
          <w:b w:val="0"/>
          <w:bCs w:val="0"/>
        </w:rPr>
        <w:t>) im AT</w:t>
      </w:r>
    </w:p>
    <w:p w14:paraId="57CE11FE" w14:textId="77777777" w:rsidR="00C61AD3" w:rsidRDefault="00C61AD3" w:rsidP="00C61AD3">
      <w:pPr>
        <w:pStyle w:val="whitespace-normal"/>
      </w:pPr>
      <w:r>
        <w:rPr>
          <w:rStyle w:val="Fett"/>
        </w:rPr>
        <w:t>A. Etymologie:</w:t>
      </w:r>
    </w:p>
    <w:p w14:paraId="1795305E" w14:textId="77777777" w:rsidR="00C61AD3" w:rsidRDefault="00C61AD3" w:rsidP="00B358B7">
      <w:pPr>
        <w:pStyle w:val="whitespace-normal"/>
        <w:numPr>
          <w:ilvl w:val="0"/>
          <w:numId w:val="166"/>
        </w:numPr>
      </w:pPr>
      <w:r>
        <w:rPr>
          <w:rStyle w:val="Fett"/>
          <w:rtl/>
        </w:rPr>
        <w:t>אָדֹם</w:t>
      </w:r>
      <w:r>
        <w:rPr>
          <w:rtl/>
        </w:rPr>
        <w:t xml:space="preserve"> </w:t>
      </w:r>
      <w:r>
        <w:t>(adom) = rot</w:t>
      </w:r>
    </w:p>
    <w:p w14:paraId="516D39A0" w14:textId="77777777" w:rsidR="00C61AD3" w:rsidRDefault="00C61AD3" w:rsidP="00B358B7">
      <w:pPr>
        <w:pStyle w:val="whitespace-normal"/>
        <w:numPr>
          <w:ilvl w:val="0"/>
          <w:numId w:val="166"/>
        </w:numPr>
      </w:pPr>
      <w:r>
        <w:rPr>
          <w:rStyle w:val="Fett"/>
          <w:rtl/>
        </w:rPr>
        <w:lastRenderedPageBreak/>
        <w:t>אָדָם</w:t>
      </w:r>
      <w:r>
        <w:rPr>
          <w:rtl/>
        </w:rPr>
        <w:t xml:space="preserve"> </w:t>
      </w:r>
      <w:r>
        <w:t>(adam) = Mensch, Adam</w:t>
      </w:r>
    </w:p>
    <w:p w14:paraId="664880CB" w14:textId="77777777" w:rsidR="00C61AD3" w:rsidRDefault="00C61AD3" w:rsidP="00B358B7">
      <w:pPr>
        <w:pStyle w:val="whitespace-normal"/>
        <w:numPr>
          <w:ilvl w:val="0"/>
          <w:numId w:val="166"/>
        </w:numPr>
      </w:pPr>
      <w:r>
        <w:rPr>
          <w:rStyle w:val="Fett"/>
          <w:rtl/>
        </w:rPr>
        <w:t>אֲדָמָה</w:t>
      </w:r>
      <w:r>
        <w:rPr>
          <w:rtl/>
        </w:rPr>
        <w:t xml:space="preserve"> </w:t>
      </w:r>
      <w:r>
        <w:t>(adamah) = Erde, Erdboden</w:t>
      </w:r>
    </w:p>
    <w:p w14:paraId="0681EB81" w14:textId="77777777" w:rsidR="00C61AD3" w:rsidRDefault="00C61AD3" w:rsidP="00B358B7">
      <w:pPr>
        <w:pStyle w:val="whitespace-normal"/>
        <w:numPr>
          <w:ilvl w:val="0"/>
          <w:numId w:val="166"/>
        </w:numPr>
      </w:pPr>
      <w:r>
        <w:rPr>
          <w:rStyle w:val="Fett"/>
          <w:rtl/>
        </w:rPr>
        <w:t>דָּם</w:t>
      </w:r>
      <w:r>
        <w:rPr>
          <w:rtl/>
        </w:rPr>
        <w:t xml:space="preserve"> </w:t>
      </w:r>
      <w:r>
        <w:t xml:space="preserve">(dam) = </w:t>
      </w:r>
      <w:r>
        <w:rPr>
          <w:rStyle w:val="Fett"/>
        </w:rPr>
        <w:t>Blut</w:t>
      </w:r>
    </w:p>
    <w:p w14:paraId="41345BBA" w14:textId="77777777" w:rsidR="00C61AD3" w:rsidRDefault="00C61AD3" w:rsidP="00C61AD3">
      <w:pPr>
        <w:pStyle w:val="whitespace-normal"/>
      </w:pPr>
      <w:r>
        <w:rPr>
          <w:rStyle w:val="Fett"/>
        </w:rPr>
        <w:t>→ Alle verwandt! Rot = Farbe des Blutes = Farbe des Lebens = Farbe der Erde (aus der der Mensch gemacht ist)!</w:t>
      </w:r>
    </w:p>
    <w:p w14:paraId="10AFBA53" w14:textId="2F29F053" w:rsidR="00C61AD3" w:rsidRDefault="00C61AD3" w:rsidP="00C61AD3">
      <w:pPr>
        <w:pStyle w:val="whitespace-normal"/>
        <w:rPr>
          <w:rStyle w:val="Fett"/>
        </w:rPr>
      </w:pPr>
      <w:r>
        <w:rPr>
          <w:rStyle w:val="Fett"/>
        </w:rPr>
        <w:t xml:space="preserve">B. AT-Stellen für </w:t>
      </w:r>
      <w:r>
        <w:rPr>
          <w:rStyle w:val="Fett"/>
          <w:rtl/>
        </w:rPr>
        <w:t>אָדֹם</w:t>
      </w:r>
      <w:r>
        <w:rPr>
          <w:rStyle w:val="Fett"/>
        </w:rPr>
        <w:t xml:space="preserve"> (rot):</w:t>
      </w:r>
    </w:p>
    <w:tbl>
      <w:tblPr>
        <w:tblStyle w:val="Tabellenraster"/>
        <w:tblW w:w="4994" w:type="pct"/>
        <w:tblLook w:val="04A0" w:firstRow="1" w:lastRow="0" w:firstColumn="1" w:lastColumn="0" w:noHBand="0" w:noVBand="1"/>
      </w:tblPr>
      <w:tblGrid>
        <w:gridCol w:w="1414"/>
        <w:gridCol w:w="4393"/>
        <w:gridCol w:w="3244"/>
      </w:tblGrid>
      <w:tr w:rsidR="009970B6" w14:paraId="4FE63982" w14:textId="77777777" w:rsidTr="009970B6">
        <w:tc>
          <w:tcPr>
            <w:tcW w:w="781" w:type="pct"/>
            <w:vAlign w:val="center"/>
          </w:tcPr>
          <w:p w14:paraId="05BDC1A8" w14:textId="574C7CBC" w:rsidR="009970B6" w:rsidRDefault="009970B6" w:rsidP="009970B6">
            <w:pPr>
              <w:pStyle w:val="whitespace-normal"/>
            </w:pPr>
            <w:r>
              <w:rPr>
                <w:b/>
                <w:bCs/>
              </w:rPr>
              <w:t>Stelle</w:t>
            </w:r>
          </w:p>
        </w:tc>
        <w:tc>
          <w:tcPr>
            <w:tcW w:w="2427" w:type="pct"/>
            <w:vAlign w:val="center"/>
          </w:tcPr>
          <w:p w14:paraId="5BBAFDCE" w14:textId="2C5A1FD9" w:rsidR="009970B6" w:rsidRDefault="009970B6" w:rsidP="009970B6">
            <w:pPr>
              <w:pStyle w:val="whitespace-normal"/>
            </w:pPr>
            <w:r>
              <w:rPr>
                <w:b/>
                <w:bCs/>
              </w:rPr>
              <w:t>Kontext</w:t>
            </w:r>
          </w:p>
        </w:tc>
        <w:tc>
          <w:tcPr>
            <w:tcW w:w="1792" w:type="pct"/>
            <w:vAlign w:val="center"/>
          </w:tcPr>
          <w:p w14:paraId="2FA7B562" w14:textId="1884A2B9" w:rsidR="009970B6" w:rsidRDefault="009970B6" w:rsidP="009970B6">
            <w:pPr>
              <w:pStyle w:val="whitespace-normal"/>
            </w:pPr>
            <w:r>
              <w:rPr>
                <w:b/>
                <w:bCs/>
              </w:rPr>
              <w:t>Bedeutung</w:t>
            </w:r>
          </w:p>
        </w:tc>
      </w:tr>
      <w:tr w:rsidR="009970B6" w14:paraId="47EC6AB5" w14:textId="77777777" w:rsidTr="009970B6">
        <w:tc>
          <w:tcPr>
            <w:tcW w:w="781" w:type="pct"/>
            <w:vAlign w:val="center"/>
          </w:tcPr>
          <w:p w14:paraId="4E38FFF3" w14:textId="752202D0" w:rsidR="009970B6" w:rsidRDefault="009970B6" w:rsidP="009970B6">
            <w:pPr>
              <w:pStyle w:val="whitespace-normal"/>
            </w:pPr>
            <w:r>
              <w:rPr>
                <w:rStyle w:val="Fett"/>
              </w:rPr>
              <w:t>Gen 25,25</w:t>
            </w:r>
          </w:p>
        </w:tc>
        <w:tc>
          <w:tcPr>
            <w:tcW w:w="2427" w:type="pct"/>
            <w:vAlign w:val="center"/>
          </w:tcPr>
          <w:p w14:paraId="7BBFF14E" w14:textId="34D2C8FE" w:rsidR="009970B6" w:rsidRDefault="009970B6" w:rsidP="009970B6">
            <w:pPr>
              <w:pStyle w:val="whitespace-normal"/>
            </w:pPr>
            <w:r>
              <w:t xml:space="preserve">Esau wird geboren: </w:t>
            </w:r>
            <w:r>
              <w:rPr>
                <w:rStyle w:val="Fett"/>
                <w:rtl/>
              </w:rPr>
              <w:t>אַדְמוֹנִי</w:t>
            </w:r>
            <w:r>
              <w:rPr>
                <w:rtl/>
              </w:rPr>
              <w:t xml:space="preserve"> </w:t>
            </w:r>
            <w:r>
              <w:t>(rötlich)</w:t>
            </w:r>
          </w:p>
        </w:tc>
        <w:tc>
          <w:tcPr>
            <w:tcW w:w="1792" w:type="pct"/>
            <w:vAlign w:val="center"/>
          </w:tcPr>
          <w:p w14:paraId="0D9929FC" w14:textId="1575939D" w:rsidR="009970B6" w:rsidRDefault="009970B6" w:rsidP="009970B6">
            <w:pPr>
              <w:pStyle w:val="whitespace-normal"/>
            </w:pPr>
            <w:r>
              <w:t>Esau = "der Rote" → Edom</w:t>
            </w:r>
          </w:p>
        </w:tc>
      </w:tr>
      <w:tr w:rsidR="009970B6" w14:paraId="1836BDED" w14:textId="77777777" w:rsidTr="009970B6">
        <w:tc>
          <w:tcPr>
            <w:tcW w:w="781" w:type="pct"/>
            <w:vAlign w:val="center"/>
          </w:tcPr>
          <w:p w14:paraId="53C68A81" w14:textId="5AACB19F" w:rsidR="009970B6" w:rsidRDefault="009970B6" w:rsidP="009970B6">
            <w:pPr>
              <w:pStyle w:val="whitespace-normal"/>
            </w:pPr>
            <w:r>
              <w:rPr>
                <w:rStyle w:val="Fett"/>
              </w:rPr>
              <w:t>Gen 25,30</w:t>
            </w:r>
          </w:p>
        </w:tc>
        <w:tc>
          <w:tcPr>
            <w:tcW w:w="2427" w:type="pct"/>
            <w:vAlign w:val="center"/>
          </w:tcPr>
          <w:p w14:paraId="02BC4E29" w14:textId="2E26F475" w:rsidR="009970B6" w:rsidRDefault="009970B6" w:rsidP="009970B6">
            <w:pPr>
              <w:pStyle w:val="whitespace-normal"/>
            </w:pPr>
            <w:r>
              <w:t xml:space="preserve">Esau verkauft Erstgeburt für </w:t>
            </w:r>
            <w:r>
              <w:rPr>
                <w:rStyle w:val="Fett"/>
                <w:rtl/>
              </w:rPr>
              <w:t>הָאָדֹם</w:t>
            </w:r>
            <w:r>
              <w:rPr>
                <w:rtl/>
              </w:rPr>
              <w:t xml:space="preserve"> </w:t>
            </w:r>
            <w:r>
              <w:t>(rotes Linsengericht)</w:t>
            </w:r>
          </w:p>
        </w:tc>
        <w:tc>
          <w:tcPr>
            <w:tcW w:w="1792" w:type="pct"/>
            <w:vAlign w:val="center"/>
          </w:tcPr>
          <w:p w14:paraId="0D0F1F77" w14:textId="277D0239" w:rsidR="009970B6" w:rsidRDefault="009970B6" w:rsidP="009970B6">
            <w:pPr>
              <w:pStyle w:val="whitespace-normal"/>
            </w:pPr>
            <w:r>
              <w:t>Rot = Begierde, Fleischlichkeit</w:t>
            </w:r>
          </w:p>
        </w:tc>
      </w:tr>
      <w:tr w:rsidR="009970B6" w14:paraId="286F1609" w14:textId="77777777" w:rsidTr="009970B6">
        <w:tc>
          <w:tcPr>
            <w:tcW w:w="781" w:type="pct"/>
            <w:vAlign w:val="center"/>
          </w:tcPr>
          <w:p w14:paraId="0720DF38" w14:textId="01CB16C2" w:rsidR="009970B6" w:rsidRDefault="009970B6" w:rsidP="009970B6">
            <w:pPr>
              <w:pStyle w:val="whitespace-normal"/>
            </w:pPr>
            <w:r>
              <w:rPr>
                <w:rStyle w:val="Fett"/>
              </w:rPr>
              <w:t>Ex 25,5</w:t>
            </w:r>
          </w:p>
        </w:tc>
        <w:tc>
          <w:tcPr>
            <w:tcW w:w="2427" w:type="pct"/>
            <w:vAlign w:val="center"/>
          </w:tcPr>
          <w:p w14:paraId="13201F6E" w14:textId="6734BFFB" w:rsidR="009970B6" w:rsidRDefault="009970B6" w:rsidP="009970B6">
            <w:pPr>
              <w:pStyle w:val="whitespace-normal"/>
            </w:pPr>
            <w:r>
              <w:t xml:space="preserve">Stiftshütte: </w:t>
            </w:r>
            <w:r>
              <w:rPr>
                <w:rStyle w:val="Fett"/>
                <w:rtl/>
              </w:rPr>
              <w:t>עֹרֹת אֵילִם מְאָדָּמִים</w:t>
            </w:r>
            <w:r>
              <w:rPr>
                <w:rtl/>
              </w:rPr>
              <w:t xml:space="preserve"> </w:t>
            </w:r>
            <w:r>
              <w:t>(rot gefärbte Widderfelle)</w:t>
            </w:r>
          </w:p>
        </w:tc>
        <w:tc>
          <w:tcPr>
            <w:tcW w:w="1792" w:type="pct"/>
            <w:vAlign w:val="center"/>
          </w:tcPr>
          <w:p w14:paraId="52628402" w14:textId="6DB5E02B" w:rsidR="009970B6" w:rsidRDefault="009970B6" w:rsidP="009970B6">
            <w:pPr>
              <w:pStyle w:val="whitespace-normal"/>
            </w:pPr>
            <w:r>
              <w:t>Rot = Opfer, Bedeckung</w:t>
            </w:r>
          </w:p>
        </w:tc>
      </w:tr>
      <w:tr w:rsidR="009970B6" w14:paraId="39FC985B" w14:textId="77777777" w:rsidTr="009970B6">
        <w:tc>
          <w:tcPr>
            <w:tcW w:w="781" w:type="pct"/>
            <w:vAlign w:val="center"/>
          </w:tcPr>
          <w:p w14:paraId="48AD1636" w14:textId="7565B63F" w:rsidR="009970B6" w:rsidRDefault="009970B6" w:rsidP="009970B6">
            <w:pPr>
              <w:pStyle w:val="whitespace-normal"/>
            </w:pPr>
            <w:r>
              <w:rPr>
                <w:rStyle w:val="Fett"/>
              </w:rPr>
              <w:t>Jes 1,18</w:t>
            </w:r>
          </w:p>
        </w:tc>
        <w:tc>
          <w:tcPr>
            <w:tcW w:w="2427" w:type="pct"/>
            <w:vAlign w:val="center"/>
          </w:tcPr>
          <w:p w14:paraId="3339DF46" w14:textId="5A0D8CFD" w:rsidR="009970B6" w:rsidRDefault="009970B6" w:rsidP="009970B6">
            <w:pPr>
              <w:pStyle w:val="whitespace-normal"/>
            </w:pPr>
            <w:r>
              <w:t xml:space="preserve">"Wenn eure Sünden </w:t>
            </w:r>
            <w:r>
              <w:rPr>
                <w:rStyle w:val="Fett"/>
                <w:rtl/>
              </w:rPr>
              <w:t>כַּשָּׁנִים</w:t>
            </w:r>
            <w:r>
              <w:rPr>
                <w:rtl/>
              </w:rPr>
              <w:t xml:space="preserve"> </w:t>
            </w:r>
            <w:r>
              <w:t xml:space="preserve">(scharlachrot) sind... </w:t>
            </w:r>
            <w:r>
              <w:rPr>
                <w:rStyle w:val="Fett"/>
                <w:rtl/>
              </w:rPr>
              <w:t>כַּשֶּׁלֶג</w:t>
            </w:r>
            <w:r>
              <w:rPr>
                <w:rtl/>
              </w:rPr>
              <w:t xml:space="preserve"> </w:t>
            </w:r>
            <w:r>
              <w:t>(wie Schnee) werden sie"</w:t>
            </w:r>
          </w:p>
        </w:tc>
        <w:tc>
          <w:tcPr>
            <w:tcW w:w="1792" w:type="pct"/>
            <w:vAlign w:val="center"/>
          </w:tcPr>
          <w:p w14:paraId="4E37491C" w14:textId="54E6BAB9" w:rsidR="009970B6" w:rsidRDefault="009970B6" w:rsidP="009970B6">
            <w:pPr>
              <w:pStyle w:val="whitespace-normal"/>
            </w:pPr>
            <w:r>
              <w:t xml:space="preserve">Rot = </w:t>
            </w:r>
            <w:r>
              <w:rPr>
                <w:rStyle w:val="Fett"/>
              </w:rPr>
              <w:t>Sünde</w:t>
            </w:r>
            <w:r>
              <w:t>, Weiß = Reinheit</w:t>
            </w:r>
          </w:p>
        </w:tc>
      </w:tr>
      <w:tr w:rsidR="009970B6" w14:paraId="09515950" w14:textId="77777777" w:rsidTr="009970B6">
        <w:tc>
          <w:tcPr>
            <w:tcW w:w="781" w:type="pct"/>
            <w:vAlign w:val="center"/>
          </w:tcPr>
          <w:p w14:paraId="2A6DA517" w14:textId="543E5252" w:rsidR="009970B6" w:rsidRDefault="009970B6" w:rsidP="009970B6">
            <w:pPr>
              <w:pStyle w:val="whitespace-normal"/>
            </w:pPr>
            <w:r>
              <w:rPr>
                <w:rStyle w:val="Fett"/>
              </w:rPr>
              <w:t>Jes 63,2</w:t>
            </w:r>
          </w:p>
        </w:tc>
        <w:tc>
          <w:tcPr>
            <w:tcW w:w="2427" w:type="pct"/>
            <w:vAlign w:val="center"/>
          </w:tcPr>
          <w:p w14:paraId="4B632884" w14:textId="75E8EF46" w:rsidR="009970B6" w:rsidRDefault="009970B6" w:rsidP="009970B6">
            <w:pPr>
              <w:pStyle w:val="whitespace-normal"/>
            </w:pPr>
            <w:r>
              <w:t xml:space="preserve">Gott kommt von Edom: "Warum ist dein Gewand </w:t>
            </w:r>
            <w:r>
              <w:rPr>
                <w:rStyle w:val="Fett"/>
                <w:rtl/>
              </w:rPr>
              <w:t>אָדֹם</w:t>
            </w:r>
            <w:r>
              <w:rPr>
                <w:rtl/>
              </w:rPr>
              <w:t xml:space="preserve"> </w:t>
            </w:r>
            <w:r>
              <w:t>(rot)?"</w:t>
            </w:r>
          </w:p>
        </w:tc>
        <w:tc>
          <w:tcPr>
            <w:tcW w:w="1792" w:type="pct"/>
            <w:vAlign w:val="center"/>
          </w:tcPr>
          <w:p w14:paraId="36161C88" w14:textId="04304852" w:rsidR="009970B6" w:rsidRDefault="009970B6" w:rsidP="009970B6">
            <w:pPr>
              <w:pStyle w:val="whitespace-normal"/>
            </w:pPr>
            <w:r>
              <w:t xml:space="preserve">Rot = </w:t>
            </w:r>
            <w:r>
              <w:rPr>
                <w:rStyle w:val="Fett"/>
              </w:rPr>
              <w:t>Gericht</w:t>
            </w:r>
            <w:r>
              <w:t>, Blut der Feinde</w:t>
            </w:r>
          </w:p>
        </w:tc>
      </w:tr>
      <w:tr w:rsidR="009970B6" w14:paraId="1AD77780" w14:textId="77777777" w:rsidTr="009970B6">
        <w:tc>
          <w:tcPr>
            <w:tcW w:w="781" w:type="pct"/>
            <w:vAlign w:val="center"/>
          </w:tcPr>
          <w:p w14:paraId="10DC059E" w14:textId="4B5316E1" w:rsidR="009970B6" w:rsidRDefault="009970B6" w:rsidP="009970B6">
            <w:pPr>
              <w:pStyle w:val="whitespace-normal"/>
            </w:pPr>
            <w:r>
              <w:rPr>
                <w:rStyle w:val="Fett"/>
              </w:rPr>
              <w:t>Offb 12,3</w:t>
            </w:r>
          </w:p>
        </w:tc>
        <w:tc>
          <w:tcPr>
            <w:tcW w:w="2427" w:type="pct"/>
            <w:vAlign w:val="center"/>
          </w:tcPr>
          <w:p w14:paraId="63D030AC" w14:textId="4DA18C34" w:rsidR="009970B6" w:rsidRDefault="009970B6" w:rsidP="009970B6">
            <w:pPr>
              <w:pStyle w:val="whitespace-normal"/>
            </w:pPr>
            <w:r>
              <w:t xml:space="preserve">Der Drache: </w:t>
            </w:r>
            <w:r>
              <w:rPr>
                <w:rStyle w:val="Fett"/>
              </w:rPr>
              <w:t>πυρρός</w:t>
            </w:r>
            <w:r>
              <w:t xml:space="preserve"> (feuerrot)</w:t>
            </w:r>
          </w:p>
        </w:tc>
        <w:tc>
          <w:tcPr>
            <w:tcW w:w="1792" w:type="pct"/>
            <w:vAlign w:val="center"/>
          </w:tcPr>
          <w:p w14:paraId="44E8321E" w14:textId="498C9842" w:rsidR="009970B6" w:rsidRDefault="009970B6" w:rsidP="009970B6">
            <w:pPr>
              <w:pStyle w:val="whitespace-normal"/>
            </w:pPr>
            <w:r>
              <w:t>Rot = Satan, Zerstörung</w:t>
            </w:r>
          </w:p>
        </w:tc>
      </w:tr>
    </w:tbl>
    <w:p w14:paraId="058781AE" w14:textId="77777777" w:rsidR="00C61AD3" w:rsidRDefault="00C61AD3" w:rsidP="00C61AD3">
      <w:pPr>
        <w:pStyle w:val="whitespace-normal"/>
      </w:pPr>
      <w:r>
        <w:rPr>
          <w:rStyle w:val="Fett"/>
        </w:rPr>
        <w:t>→ Rot hat ambivalente Bedeutung: Leben (Blut) UND Tod (Sünde/Gericht)!</w:t>
      </w:r>
    </w:p>
    <w:p w14:paraId="3A86AD47" w14:textId="77777777" w:rsidR="00C61AD3" w:rsidRDefault="00F329DD" w:rsidP="00C61AD3">
      <w:r>
        <w:pict w14:anchorId="53A5C829">
          <v:rect id="_x0000_i1644" style="width:0;height:1.5pt" o:hralign="center" o:hrstd="t" o:hr="t" fillcolor="#a0a0a0" stroked="f"/>
        </w:pict>
      </w:r>
    </w:p>
    <w:p w14:paraId="5BB2580E" w14:textId="77777777" w:rsidR="00C61AD3" w:rsidRDefault="00C61AD3" w:rsidP="00C61AD3">
      <w:pPr>
        <w:pStyle w:val="berschrift3"/>
      </w:pPr>
      <w:r>
        <w:rPr>
          <w:rStyle w:val="Fett"/>
          <w:b w:val="0"/>
          <w:bCs w:val="0"/>
        </w:rPr>
        <w:t>2. Warum ROT für die Reinigungskuh?</w:t>
      </w:r>
    </w:p>
    <w:p w14:paraId="63E8F410" w14:textId="77777777" w:rsidR="00C61AD3" w:rsidRDefault="00C61AD3" w:rsidP="00C61AD3">
      <w:pPr>
        <w:pStyle w:val="whitespace-normal"/>
      </w:pPr>
      <w:r>
        <w:rPr>
          <w:rStyle w:val="Fett"/>
        </w:rPr>
        <w:t>Drei Interpretationen:</w:t>
      </w:r>
    </w:p>
    <w:p w14:paraId="7AE807FD" w14:textId="77777777" w:rsidR="00C61AD3" w:rsidRDefault="00C61AD3" w:rsidP="00C61AD3">
      <w:pPr>
        <w:pStyle w:val="berschrift4"/>
      </w:pPr>
      <w:r>
        <w:rPr>
          <w:rStyle w:val="Fett"/>
          <w:b w:val="0"/>
          <w:bCs w:val="0"/>
        </w:rPr>
        <w:t>A. Rot = Farbe des BLUTES (Leben)</w:t>
      </w:r>
    </w:p>
    <w:p w14:paraId="3287709E" w14:textId="77777777" w:rsidR="00C61AD3" w:rsidRDefault="00C61AD3" w:rsidP="00C61AD3">
      <w:pPr>
        <w:pStyle w:val="whitespace-normal"/>
      </w:pPr>
      <w:r>
        <w:rPr>
          <w:rStyle w:val="Fett"/>
        </w:rPr>
        <w:t>Lev 17,11:</w:t>
      </w:r>
    </w:p>
    <w:p w14:paraId="10F8330B" w14:textId="77777777" w:rsidR="00C61AD3" w:rsidRDefault="00C61AD3" w:rsidP="00C61AD3">
      <w:pPr>
        <w:pStyle w:val="whitespace-normal"/>
      </w:pPr>
      <w:r>
        <w:rPr>
          <w:rtl/>
        </w:rPr>
        <w:t xml:space="preserve">כִּי נֶפֶשׁ הַבָּשָׂר </w:t>
      </w:r>
      <w:r>
        <w:rPr>
          <w:rStyle w:val="Fett"/>
          <w:rtl/>
        </w:rPr>
        <w:t>בַּדָּם</w:t>
      </w:r>
      <w:r>
        <w:rPr>
          <w:rtl/>
        </w:rPr>
        <w:t xml:space="preserve"> הִוא וַאֲנִי נְתַתִּיו לָכֶם עַל־הַמִּזְבֵּחַ לְכַפֵּר עַל־נַפְשֹׁתֵיכֶם כִּי־</w:t>
      </w:r>
      <w:r>
        <w:rPr>
          <w:rStyle w:val="Fett"/>
          <w:rtl/>
        </w:rPr>
        <w:t>הַדָּם</w:t>
      </w:r>
      <w:r>
        <w:rPr>
          <w:rtl/>
        </w:rPr>
        <w:t xml:space="preserve"> הוּא בַּנֶּפֶשׁ יְכַפֵּר</w:t>
      </w:r>
    </w:p>
    <w:p w14:paraId="1CCAF814" w14:textId="77777777" w:rsidR="00C61AD3" w:rsidRDefault="00C61AD3" w:rsidP="00C61AD3">
      <w:pPr>
        <w:pStyle w:val="whitespace-normal"/>
      </w:pPr>
      <w:r>
        <w:t xml:space="preserve">"Denn die Seele des Fleisches ist </w:t>
      </w:r>
      <w:r>
        <w:rPr>
          <w:rStyle w:val="Fett"/>
        </w:rPr>
        <w:t>im Blut</w:t>
      </w:r>
      <w:r>
        <w:t xml:space="preserve">, und ich habe es euch auf den Altar gegeben, Sühne zu schaffen für eure Seelen; denn </w:t>
      </w:r>
      <w:r>
        <w:rPr>
          <w:rStyle w:val="Fett"/>
        </w:rPr>
        <w:t>das Blut</w:t>
      </w:r>
      <w:r>
        <w:t xml:space="preserve"> ist es, das Sühne schafft durch die Seele"</w:t>
      </w:r>
    </w:p>
    <w:p w14:paraId="319BCAE4" w14:textId="77777777" w:rsidR="00C61AD3" w:rsidRDefault="00C61AD3" w:rsidP="00C61AD3">
      <w:pPr>
        <w:pStyle w:val="whitespace-normal"/>
      </w:pPr>
      <w:r>
        <w:rPr>
          <w:rStyle w:val="Fett"/>
        </w:rPr>
        <w:t>→ Blut = Leben → Rot = Lebenssymbol</w:t>
      </w:r>
    </w:p>
    <w:p w14:paraId="40C36C70" w14:textId="77777777" w:rsidR="00C61AD3" w:rsidRDefault="00C61AD3" w:rsidP="00C61AD3">
      <w:pPr>
        <w:pStyle w:val="whitespace-normal"/>
      </w:pPr>
      <w:r>
        <w:rPr>
          <w:rStyle w:val="Fett"/>
        </w:rPr>
        <w:t>Anwendung auf Num 19:</w:t>
      </w:r>
    </w:p>
    <w:p w14:paraId="2423D5D6" w14:textId="77777777" w:rsidR="00C61AD3" w:rsidRDefault="00C61AD3" w:rsidP="00B358B7">
      <w:pPr>
        <w:pStyle w:val="whitespace-normal"/>
        <w:numPr>
          <w:ilvl w:val="0"/>
          <w:numId w:val="167"/>
        </w:numPr>
      </w:pPr>
      <w:r>
        <w:t xml:space="preserve">Die </w:t>
      </w:r>
      <w:r>
        <w:rPr>
          <w:rStyle w:val="Fett"/>
        </w:rPr>
        <w:t>rote Kuh</w:t>
      </w:r>
      <w:r>
        <w:t xml:space="preserve"> symbolisiert </w:t>
      </w:r>
      <w:r>
        <w:rPr>
          <w:rStyle w:val="Fett"/>
        </w:rPr>
        <w:t>Leben</w:t>
      </w:r>
      <w:r>
        <w:t xml:space="preserve"> (Blutfarbe)</w:t>
      </w:r>
    </w:p>
    <w:p w14:paraId="0DCF41B8" w14:textId="77777777" w:rsidR="00C61AD3" w:rsidRDefault="00C61AD3" w:rsidP="00B358B7">
      <w:pPr>
        <w:pStyle w:val="whitespace-normal"/>
        <w:numPr>
          <w:ilvl w:val="0"/>
          <w:numId w:val="167"/>
        </w:numPr>
      </w:pPr>
      <w:r>
        <w:t xml:space="preserve">Sie wird </w:t>
      </w:r>
      <w:r>
        <w:rPr>
          <w:rStyle w:val="Fett"/>
        </w:rPr>
        <w:t>verbrannt</w:t>
      </w:r>
      <w:r>
        <w:t xml:space="preserve"> → Leben wird </w:t>
      </w:r>
      <w:r>
        <w:rPr>
          <w:rStyle w:val="Fett"/>
        </w:rPr>
        <w:t>vernichtet</w:t>
      </w:r>
    </w:p>
    <w:p w14:paraId="6318F48D" w14:textId="77777777" w:rsidR="00C61AD3" w:rsidRDefault="00C61AD3" w:rsidP="00B358B7">
      <w:pPr>
        <w:pStyle w:val="whitespace-normal"/>
        <w:numPr>
          <w:ilvl w:val="0"/>
          <w:numId w:val="167"/>
        </w:numPr>
      </w:pPr>
      <w:r>
        <w:t xml:space="preserve">Ihre </w:t>
      </w:r>
      <w:r>
        <w:rPr>
          <w:rStyle w:val="Fett"/>
        </w:rPr>
        <w:t>Asche</w:t>
      </w:r>
      <w:r>
        <w:t xml:space="preserve"> wird mit </w:t>
      </w:r>
      <w:r>
        <w:rPr>
          <w:rStyle w:val="Fett"/>
        </w:rPr>
        <w:t>lebendigem Wasser</w:t>
      </w:r>
      <w:r>
        <w:t xml:space="preserve"> (</w:t>
      </w:r>
      <w:r>
        <w:rPr>
          <w:rtl/>
        </w:rPr>
        <w:t>מַיִם חַיִּים</w:t>
      </w:r>
      <w:r>
        <w:t>) gemischt</w:t>
      </w:r>
    </w:p>
    <w:p w14:paraId="4F6AB4B7" w14:textId="77777777" w:rsidR="00C61AD3" w:rsidRDefault="00C61AD3" w:rsidP="00B358B7">
      <w:pPr>
        <w:pStyle w:val="whitespace-normal"/>
        <w:numPr>
          <w:ilvl w:val="0"/>
          <w:numId w:val="167"/>
        </w:numPr>
      </w:pPr>
      <w:r>
        <w:t xml:space="preserve">→ </w:t>
      </w:r>
      <w:r>
        <w:rPr>
          <w:rStyle w:val="Fett"/>
        </w:rPr>
        <w:t>Totes Leben</w:t>
      </w:r>
      <w:r>
        <w:t xml:space="preserve"> (Asche) + </w:t>
      </w:r>
      <w:r>
        <w:rPr>
          <w:rStyle w:val="Fett"/>
        </w:rPr>
        <w:t>lebendiges Wasser</w:t>
      </w:r>
      <w:r>
        <w:t xml:space="preserve"> = Reinigung von </w:t>
      </w:r>
      <w:r>
        <w:rPr>
          <w:rStyle w:val="Fett"/>
        </w:rPr>
        <w:t>Todesunreinheit</w:t>
      </w:r>
      <w:r>
        <w:t>!</w:t>
      </w:r>
    </w:p>
    <w:p w14:paraId="4BA3B51C" w14:textId="77777777" w:rsidR="00C61AD3" w:rsidRDefault="00C61AD3" w:rsidP="00C61AD3">
      <w:pPr>
        <w:pStyle w:val="whitespace-normal"/>
      </w:pPr>
      <w:r>
        <w:rPr>
          <w:rStyle w:val="Fett"/>
        </w:rPr>
        <w:t>→ Leben (rot) überwindet Tod (Unreinheit)!</w:t>
      </w:r>
    </w:p>
    <w:p w14:paraId="6267CAD6" w14:textId="77777777" w:rsidR="00C61AD3" w:rsidRDefault="00F329DD" w:rsidP="00C61AD3">
      <w:r>
        <w:lastRenderedPageBreak/>
        <w:pict w14:anchorId="19FCB3D9">
          <v:rect id="_x0000_i1645" style="width:0;height:1.5pt" o:hralign="center" o:hrstd="t" o:hr="t" fillcolor="#a0a0a0" stroked="f"/>
        </w:pict>
      </w:r>
    </w:p>
    <w:p w14:paraId="42DD6183" w14:textId="77777777" w:rsidR="00C61AD3" w:rsidRDefault="00C61AD3" w:rsidP="00C61AD3">
      <w:pPr>
        <w:pStyle w:val="berschrift4"/>
      </w:pPr>
      <w:r>
        <w:rPr>
          <w:rStyle w:val="Fett"/>
          <w:b w:val="0"/>
          <w:bCs w:val="0"/>
        </w:rPr>
        <w:t>B. Rot = Farbe der SÜNDE (Jes 1,18)</w:t>
      </w:r>
    </w:p>
    <w:p w14:paraId="41F2BC66" w14:textId="77777777" w:rsidR="00C61AD3" w:rsidRDefault="00C61AD3" w:rsidP="00C61AD3">
      <w:pPr>
        <w:pStyle w:val="whitespace-normal"/>
      </w:pPr>
      <w:r>
        <w:rPr>
          <w:rStyle w:val="Fett"/>
        </w:rPr>
        <w:t>Jesaja 1,18:</w:t>
      </w:r>
    </w:p>
    <w:p w14:paraId="18327EC8" w14:textId="77777777" w:rsidR="00C61AD3" w:rsidRDefault="00C61AD3" w:rsidP="00C61AD3">
      <w:pPr>
        <w:pStyle w:val="whitespace-normal"/>
      </w:pPr>
      <w:r>
        <w:rPr>
          <w:rtl/>
        </w:rPr>
        <w:t xml:space="preserve">אִם־יִהְיוּ חֲטָאֵיכֶם </w:t>
      </w:r>
      <w:r>
        <w:rPr>
          <w:rStyle w:val="Fett"/>
          <w:rtl/>
        </w:rPr>
        <w:t>כַּשָּׁנִים כַּשֶּׁלֶג יַלְבִּינוּ</w:t>
      </w:r>
      <w:r>
        <w:rPr>
          <w:rtl/>
        </w:rPr>
        <w:t xml:space="preserve"> אִם־יַאְדִּימוּ </w:t>
      </w:r>
      <w:r>
        <w:rPr>
          <w:rStyle w:val="Fett"/>
          <w:rtl/>
        </w:rPr>
        <w:t>כַתּוֹלָע</w:t>
      </w:r>
      <w:r>
        <w:rPr>
          <w:rtl/>
        </w:rPr>
        <w:t xml:space="preserve"> כַּצֶּמֶר יִהְיוּ</w:t>
      </w:r>
    </w:p>
    <w:p w14:paraId="64367D72" w14:textId="77777777" w:rsidR="00C61AD3" w:rsidRDefault="00C61AD3" w:rsidP="00C61AD3">
      <w:pPr>
        <w:pStyle w:val="whitespace-normal"/>
      </w:pPr>
      <w:r>
        <w:t xml:space="preserve">"Wenn eure Sünden </w:t>
      </w:r>
      <w:r>
        <w:rPr>
          <w:rStyle w:val="Fett"/>
        </w:rPr>
        <w:t>scharlachrot</w:t>
      </w:r>
      <w:r>
        <w:t xml:space="preserve"> sind, </w:t>
      </w:r>
      <w:r>
        <w:rPr>
          <w:rStyle w:val="Fett"/>
        </w:rPr>
        <w:t>wie Schnee sollen sie weiß werden</w:t>
      </w:r>
      <w:r>
        <w:t xml:space="preserve">; wenn sie </w:t>
      </w:r>
      <w:r>
        <w:rPr>
          <w:rStyle w:val="Fett"/>
        </w:rPr>
        <w:t>rot wie Karmesin</w:t>
      </w:r>
      <w:r>
        <w:t xml:space="preserve"> sind, wie Wolle sollen sie werden"</w:t>
      </w:r>
    </w:p>
    <w:p w14:paraId="1977607F" w14:textId="77777777" w:rsidR="00C61AD3" w:rsidRDefault="00C61AD3" w:rsidP="00C61AD3">
      <w:pPr>
        <w:pStyle w:val="whitespace-normal"/>
      </w:pPr>
      <w:r>
        <w:rPr>
          <w:rStyle w:val="Fett"/>
        </w:rPr>
        <w:t>→ Rot (</w:t>
      </w:r>
      <w:r>
        <w:rPr>
          <w:rStyle w:val="Fett"/>
          <w:rtl/>
        </w:rPr>
        <w:t>שָׁנִי / תּוֹלַע</w:t>
      </w:r>
      <w:r>
        <w:rPr>
          <w:rStyle w:val="Fett"/>
        </w:rPr>
        <w:t>) = Farbe der Sünde!</w:t>
      </w:r>
    </w:p>
    <w:p w14:paraId="13BDB910" w14:textId="77777777" w:rsidR="00C61AD3" w:rsidRDefault="00C61AD3" w:rsidP="00C61AD3">
      <w:pPr>
        <w:pStyle w:val="whitespace-normal"/>
      </w:pPr>
      <w:r>
        <w:rPr>
          <w:rStyle w:val="Fett"/>
        </w:rPr>
        <w:t>Anwendung auf Num 19:</w:t>
      </w:r>
    </w:p>
    <w:p w14:paraId="707154E1" w14:textId="77777777" w:rsidR="00C61AD3" w:rsidRDefault="00C61AD3" w:rsidP="00B358B7">
      <w:pPr>
        <w:pStyle w:val="whitespace-normal"/>
        <w:numPr>
          <w:ilvl w:val="0"/>
          <w:numId w:val="168"/>
        </w:numPr>
      </w:pPr>
      <w:r>
        <w:t xml:space="preserve">Die </w:t>
      </w:r>
      <w:r>
        <w:rPr>
          <w:rStyle w:val="Fett"/>
        </w:rPr>
        <w:t>rote Kuh</w:t>
      </w:r>
      <w:r>
        <w:t xml:space="preserve"> repräsentiert </w:t>
      </w:r>
      <w:r>
        <w:rPr>
          <w:rStyle w:val="Fett"/>
        </w:rPr>
        <w:t>Sünde</w:t>
      </w:r>
      <w:r>
        <w:t xml:space="preserve"> (rot wie Blut der Schuld)</w:t>
      </w:r>
    </w:p>
    <w:p w14:paraId="46D2332D" w14:textId="77777777" w:rsidR="00C61AD3" w:rsidRDefault="00C61AD3" w:rsidP="00B358B7">
      <w:pPr>
        <w:pStyle w:val="whitespace-normal"/>
        <w:numPr>
          <w:ilvl w:val="0"/>
          <w:numId w:val="168"/>
        </w:numPr>
      </w:pPr>
      <w:r>
        <w:t xml:space="preserve">Sie wird </w:t>
      </w:r>
      <w:r>
        <w:rPr>
          <w:rStyle w:val="Fett"/>
        </w:rPr>
        <w:t>verbrannt</w:t>
      </w:r>
      <w:r>
        <w:t xml:space="preserve"> → Sünde wird </w:t>
      </w:r>
      <w:r>
        <w:rPr>
          <w:rStyle w:val="Fett"/>
        </w:rPr>
        <w:t>vernichtet</w:t>
      </w:r>
    </w:p>
    <w:p w14:paraId="09020D82" w14:textId="77777777" w:rsidR="00C61AD3" w:rsidRDefault="00C61AD3" w:rsidP="00B358B7">
      <w:pPr>
        <w:pStyle w:val="whitespace-normal"/>
        <w:numPr>
          <w:ilvl w:val="0"/>
          <w:numId w:val="168"/>
        </w:numPr>
      </w:pPr>
      <w:r>
        <w:t xml:space="preserve">Ihre </w:t>
      </w:r>
      <w:r>
        <w:rPr>
          <w:rStyle w:val="Fett"/>
        </w:rPr>
        <w:t>Asche</w:t>
      </w:r>
      <w:r>
        <w:t xml:space="preserve"> reinigt von </w:t>
      </w:r>
      <w:r>
        <w:rPr>
          <w:rStyle w:val="Fett"/>
        </w:rPr>
        <w:t>Todesunreinheit</w:t>
      </w:r>
      <w:r>
        <w:t xml:space="preserve"> (Folge der Sünde)</w:t>
      </w:r>
    </w:p>
    <w:p w14:paraId="2ECCE4A2" w14:textId="77777777" w:rsidR="00C61AD3" w:rsidRDefault="00C61AD3" w:rsidP="00B358B7">
      <w:pPr>
        <w:pStyle w:val="whitespace-normal"/>
        <w:numPr>
          <w:ilvl w:val="0"/>
          <w:numId w:val="168"/>
        </w:numPr>
      </w:pPr>
      <w:r>
        <w:t xml:space="preserve">→ Die Kuh </w:t>
      </w:r>
      <w:r>
        <w:rPr>
          <w:rStyle w:val="Fett"/>
        </w:rPr>
        <w:t>trägt</w:t>
      </w:r>
      <w:r>
        <w:t xml:space="preserve"> die Sünde (wie der Sündenbock in Lev 16)!</w:t>
      </w:r>
    </w:p>
    <w:p w14:paraId="056BDB5E" w14:textId="5417598B" w:rsidR="00C61AD3" w:rsidRDefault="00C61AD3" w:rsidP="00C61AD3">
      <w:pPr>
        <w:pStyle w:val="whitespace-normal"/>
        <w:rPr>
          <w:rStyle w:val="Fett"/>
        </w:rPr>
      </w:pPr>
      <w:r>
        <w:rPr>
          <w:rStyle w:val="Fett"/>
        </w:rPr>
        <w:t>Parallele zu Lev 16 (Jom Kippur):</w:t>
      </w:r>
    </w:p>
    <w:tbl>
      <w:tblPr>
        <w:tblStyle w:val="Tabellenraster"/>
        <w:tblW w:w="4994" w:type="pct"/>
        <w:tblLook w:val="04A0" w:firstRow="1" w:lastRow="0" w:firstColumn="1" w:lastColumn="0" w:noHBand="0" w:noVBand="1"/>
      </w:tblPr>
      <w:tblGrid>
        <w:gridCol w:w="4106"/>
        <w:gridCol w:w="4945"/>
      </w:tblGrid>
      <w:tr w:rsidR="009970B6" w14:paraId="517A793C" w14:textId="77777777" w:rsidTr="009970B6">
        <w:tc>
          <w:tcPr>
            <w:tcW w:w="2268" w:type="pct"/>
            <w:vAlign w:val="center"/>
          </w:tcPr>
          <w:p w14:paraId="13FDD437" w14:textId="56B4D56B" w:rsidR="009970B6" w:rsidRDefault="009970B6" w:rsidP="009970B6">
            <w:pPr>
              <w:pStyle w:val="whitespace-normal"/>
            </w:pPr>
            <w:r>
              <w:rPr>
                <w:b/>
                <w:bCs/>
              </w:rPr>
              <w:t>Lev 16: Sündenbock</w:t>
            </w:r>
          </w:p>
        </w:tc>
        <w:tc>
          <w:tcPr>
            <w:tcW w:w="2732" w:type="pct"/>
            <w:vAlign w:val="center"/>
          </w:tcPr>
          <w:p w14:paraId="0BC2F695" w14:textId="726C419C" w:rsidR="009970B6" w:rsidRDefault="009970B6" w:rsidP="009970B6">
            <w:pPr>
              <w:pStyle w:val="whitespace-normal"/>
            </w:pPr>
            <w:r>
              <w:rPr>
                <w:b/>
                <w:bCs/>
              </w:rPr>
              <w:t>Num 19: Rote Kuh</w:t>
            </w:r>
          </w:p>
        </w:tc>
      </w:tr>
      <w:tr w:rsidR="009970B6" w14:paraId="6FCD64C0" w14:textId="77777777" w:rsidTr="009970B6">
        <w:tc>
          <w:tcPr>
            <w:tcW w:w="2268" w:type="pct"/>
            <w:vAlign w:val="center"/>
          </w:tcPr>
          <w:p w14:paraId="6289DB18" w14:textId="7743CB7E" w:rsidR="009970B6" w:rsidRDefault="009970B6" w:rsidP="009970B6">
            <w:pPr>
              <w:pStyle w:val="whitespace-normal"/>
            </w:pPr>
            <w:r>
              <w:t xml:space="preserve">Trägt </w:t>
            </w:r>
            <w:r>
              <w:rPr>
                <w:rStyle w:val="Fett"/>
              </w:rPr>
              <w:t>Sünden</w:t>
            </w:r>
            <w:r>
              <w:t xml:space="preserve"> des Volkes (16,21)</w:t>
            </w:r>
          </w:p>
        </w:tc>
        <w:tc>
          <w:tcPr>
            <w:tcW w:w="2732" w:type="pct"/>
            <w:vAlign w:val="center"/>
          </w:tcPr>
          <w:p w14:paraId="5DA721ED" w14:textId="7EE2906A" w:rsidR="009970B6" w:rsidRDefault="009970B6" w:rsidP="009970B6">
            <w:pPr>
              <w:pStyle w:val="whitespace-normal"/>
            </w:pPr>
            <w:r>
              <w:rPr>
                <w:rStyle w:val="Fett"/>
              </w:rPr>
              <w:t>Rot</w:t>
            </w:r>
            <w:r>
              <w:t xml:space="preserve"> = Farbe der Sünde</w:t>
            </w:r>
          </w:p>
        </w:tc>
      </w:tr>
      <w:tr w:rsidR="009970B6" w14:paraId="581B6CB8" w14:textId="77777777" w:rsidTr="009970B6">
        <w:tc>
          <w:tcPr>
            <w:tcW w:w="2268" w:type="pct"/>
            <w:vAlign w:val="center"/>
          </w:tcPr>
          <w:p w14:paraId="359F09EB" w14:textId="799790C7" w:rsidR="009970B6" w:rsidRDefault="009970B6" w:rsidP="009970B6">
            <w:pPr>
              <w:pStyle w:val="whitespace-normal"/>
            </w:pPr>
            <w:r>
              <w:t xml:space="preserve">Wird in die </w:t>
            </w:r>
            <w:r>
              <w:rPr>
                <w:rStyle w:val="Fett"/>
              </w:rPr>
              <w:t>Wüste</w:t>
            </w:r>
            <w:r>
              <w:t xml:space="preserve"> geschickt (16,22)</w:t>
            </w:r>
          </w:p>
        </w:tc>
        <w:tc>
          <w:tcPr>
            <w:tcW w:w="2732" w:type="pct"/>
            <w:vAlign w:val="center"/>
          </w:tcPr>
          <w:p w14:paraId="314C5310" w14:textId="469A1190" w:rsidR="009970B6" w:rsidRDefault="009970B6" w:rsidP="009970B6">
            <w:pPr>
              <w:pStyle w:val="whitespace-normal"/>
            </w:pPr>
            <w:r>
              <w:t xml:space="preserve">Wird </w:t>
            </w:r>
            <w:r>
              <w:rPr>
                <w:rStyle w:val="Fett"/>
              </w:rPr>
              <w:t>außerhalb</w:t>
            </w:r>
            <w:r>
              <w:t xml:space="preserve"> des Lagers verbrannt (19,3)</w:t>
            </w:r>
          </w:p>
        </w:tc>
      </w:tr>
      <w:tr w:rsidR="009970B6" w14:paraId="71B31549" w14:textId="77777777" w:rsidTr="00E95F2D">
        <w:tc>
          <w:tcPr>
            <w:tcW w:w="2268" w:type="pct"/>
            <w:vAlign w:val="center"/>
          </w:tcPr>
          <w:p w14:paraId="2F26BBDE" w14:textId="04A05333" w:rsidR="009970B6" w:rsidRDefault="009970B6" w:rsidP="009970B6">
            <w:pPr>
              <w:pStyle w:val="whitespace-normal"/>
            </w:pPr>
            <w:r>
              <w:rPr>
                <w:rStyle w:val="Fett"/>
              </w:rPr>
              <w:t>Entfernt</w:t>
            </w:r>
            <w:r>
              <w:t xml:space="preserve"> Sünde</w:t>
            </w:r>
          </w:p>
        </w:tc>
        <w:tc>
          <w:tcPr>
            <w:tcW w:w="2732" w:type="pct"/>
            <w:vAlign w:val="center"/>
          </w:tcPr>
          <w:p w14:paraId="7C01F223" w14:textId="15A48094" w:rsidR="009970B6" w:rsidRDefault="009970B6" w:rsidP="009970B6">
            <w:pPr>
              <w:pStyle w:val="whitespace-normal"/>
            </w:pPr>
            <w:r>
              <w:rPr>
                <w:rStyle w:val="Fett"/>
              </w:rPr>
              <w:t>Reinigt</w:t>
            </w:r>
            <w:r>
              <w:t xml:space="preserve"> von Todesunreinheit</w:t>
            </w:r>
          </w:p>
        </w:tc>
      </w:tr>
      <w:tr w:rsidR="009970B6" w14:paraId="5284D4E7" w14:textId="77777777" w:rsidTr="00F86FDA">
        <w:tc>
          <w:tcPr>
            <w:tcW w:w="2268" w:type="pct"/>
            <w:vAlign w:val="center"/>
          </w:tcPr>
          <w:p w14:paraId="7E4472FF" w14:textId="3EA09050" w:rsidR="009970B6" w:rsidRDefault="009970B6" w:rsidP="009970B6">
            <w:pPr>
              <w:pStyle w:val="whitespace-normal"/>
            </w:pPr>
            <w:r>
              <w:rPr>
                <w:rStyle w:val="Fett"/>
              </w:rPr>
              <w:t>Jährlich</w:t>
            </w:r>
          </w:p>
        </w:tc>
        <w:tc>
          <w:tcPr>
            <w:tcW w:w="2732" w:type="pct"/>
            <w:vAlign w:val="center"/>
          </w:tcPr>
          <w:p w14:paraId="22FCACFB" w14:textId="30CD1751" w:rsidR="009970B6" w:rsidRDefault="009970B6" w:rsidP="009970B6">
            <w:pPr>
              <w:pStyle w:val="whitespace-normal"/>
            </w:pPr>
            <w:r>
              <w:t xml:space="preserve">Asche </w:t>
            </w:r>
            <w:r>
              <w:rPr>
                <w:rStyle w:val="Fett"/>
              </w:rPr>
              <w:t>dauerhaft</w:t>
            </w:r>
            <w:r>
              <w:t xml:space="preserve"> aufbewahrt (19,9)</w:t>
            </w:r>
          </w:p>
        </w:tc>
      </w:tr>
    </w:tbl>
    <w:p w14:paraId="4D082A60" w14:textId="77777777" w:rsidR="00C61AD3" w:rsidRDefault="00C61AD3" w:rsidP="00C61AD3">
      <w:pPr>
        <w:pStyle w:val="whitespace-normal"/>
      </w:pPr>
      <w:r>
        <w:rPr>
          <w:rStyle w:val="Fett"/>
        </w:rPr>
        <w:t>→ Die rote Kuh ist wie ein permanenter Sündenbock – sie trägt Sünde weg!</w:t>
      </w:r>
    </w:p>
    <w:p w14:paraId="4D4E71C0" w14:textId="77777777" w:rsidR="00C61AD3" w:rsidRDefault="00F329DD" w:rsidP="00C61AD3">
      <w:r>
        <w:pict w14:anchorId="0E8C5557">
          <v:rect id="_x0000_i1646" style="width:0;height:1.5pt" o:hralign="center" o:hrstd="t" o:hr="t" fillcolor="#a0a0a0" stroked="f"/>
        </w:pict>
      </w:r>
    </w:p>
    <w:p w14:paraId="556EBA86" w14:textId="77777777" w:rsidR="00C61AD3" w:rsidRDefault="00C61AD3" w:rsidP="00C61AD3">
      <w:pPr>
        <w:pStyle w:val="berschrift4"/>
      </w:pPr>
      <w:r>
        <w:rPr>
          <w:rStyle w:val="Fett"/>
          <w:b w:val="0"/>
          <w:bCs w:val="0"/>
        </w:rPr>
        <w:t>C. Rot = Farbe der ERDE (</w:t>
      </w:r>
      <w:r>
        <w:rPr>
          <w:rStyle w:val="Fett"/>
          <w:b w:val="0"/>
          <w:bCs w:val="0"/>
          <w:rtl/>
        </w:rPr>
        <w:t>אֲדָמָה</w:t>
      </w:r>
      <w:r>
        <w:rPr>
          <w:rStyle w:val="Fett"/>
          <w:b w:val="0"/>
          <w:bCs w:val="0"/>
        </w:rPr>
        <w:t>) – Sterblichkeit</w:t>
      </w:r>
    </w:p>
    <w:p w14:paraId="13F6967A" w14:textId="77777777" w:rsidR="00C61AD3" w:rsidRDefault="00C61AD3" w:rsidP="00C61AD3">
      <w:pPr>
        <w:pStyle w:val="whitespace-normal"/>
      </w:pPr>
      <w:r>
        <w:rPr>
          <w:rStyle w:val="Fett"/>
        </w:rPr>
        <w:t>Genesis 2,7:</w:t>
      </w:r>
    </w:p>
    <w:p w14:paraId="75F77A18" w14:textId="77777777" w:rsidR="00C61AD3" w:rsidRDefault="00C61AD3" w:rsidP="00C61AD3">
      <w:pPr>
        <w:pStyle w:val="whitespace-normal"/>
      </w:pPr>
      <w:r>
        <w:rPr>
          <w:rtl/>
        </w:rPr>
        <w:t>וַיִּיצֶר יְהוָה אֱלֹהִים אֶת־הָאָדָם עָפָר מִן־</w:t>
      </w:r>
      <w:r>
        <w:rPr>
          <w:rStyle w:val="Fett"/>
          <w:rtl/>
        </w:rPr>
        <w:t>הָאֲדָמָה</w:t>
      </w:r>
    </w:p>
    <w:p w14:paraId="3213D844" w14:textId="77777777" w:rsidR="00C61AD3" w:rsidRDefault="00C61AD3" w:rsidP="00C61AD3">
      <w:pPr>
        <w:pStyle w:val="whitespace-normal"/>
      </w:pPr>
      <w:r>
        <w:t xml:space="preserve">"Und JHWH Gott bildete den Menschen, Staub von der </w:t>
      </w:r>
      <w:r>
        <w:rPr>
          <w:rStyle w:val="Fett"/>
        </w:rPr>
        <w:t>Erde</w:t>
      </w:r>
      <w:r>
        <w:t xml:space="preserve"> (adamah)"</w:t>
      </w:r>
    </w:p>
    <w:p w14:paraId="3E5C71C2" w14:textId="77777777" w:rsidR="00C61AD3" w:rsidRDefault="00C61AD3" w:rsidP="00C61AD3">
      <w:pPr>
        <w:pStyle w:val="whitespace-normal"/>
      </w:pPr>
      <w:r>
        <w:rPr>
          <w:rStyle w:val="Fett"/>
        </w:rPr>
        <w:t>Genesis 3,19:</w:t>
      </w:r>
    </w:p>
    <w:p w14:paraId="7B84FD22" w14:textId="77777777" w:rsidR="00C61AD3" w:rsidRDefault="00C61AD3" w:rsidP="00C61AD3">
      <w:pPr>
        <w:pStyle w:val="whitespace-normal"/>
      </w:pPr>
      <w:r>
        <w:rPr>
          <w:rtl/>
        </w:rPr>
        <w:t>כִּי־עָפָר אַתָּה וְאֶל־עָפָר תָּשׁוּב</w:t>
      </w:r>
    </w:p>
    <w:p w14:paraId="37F00381" w14:textId="77777777" w:rsidR="00C61AD3" w:rsidRDefault="00C61AD3" w:rsidP="00C61AD3">
      <w:pPr>
        <w:pStyle w:val="whitespace-normal"/>
      </w:pPr>
      <w:r>
        <w:t>"Denn Staub bist du, und zum Staub wirst du zurückkehren"</w:t>
      </w:r>
    </w:p>
    <w:p w14:paraId="0DC332F9" w14:textId="77777777" w:rsidR="00C61AD3" w:rsidRDefault="00C61AD3" w:rsidP="00C61AD3">
      <w:pPr>
        <w:pStyle w:val="whitespace-normal"/>
      </w:pPr>
      <w:r>
        <w:rPr>
          <w:rStyle w:val="Fett"/>
        </w:rPr>
        <w:t xml:space="preserve">→ </w:t>
      </w:r>
      <w:r>
        <w:rPr>
          <w:rStyle w:val="Fett"/>
          <w:rtl/>
        </w:rPr>
        <w:t>אָדֹם</w:t>
      </w:r>
      <w:r>
        <w:rPr>
          <w:rStyle w:val="Fett"/>
        </w:rPr>
        <w:t xml:space="preserve"> (rot) → </w:t>
      </w:r>
      <w:r>
        <w:rPr>
          <w:rStyle w:val="Fett"/>
          <w:rtl/>
        </w:rPr>
        <w:t>אֲדָמָה</w:t>
      </w:r>
      <w:r>
        <w:rPr>
          <w:rStyle w:val="Fett"/>
        </w:rPr>
        <w:t xml:space="preserve"> (Erde) → </w:t>
      </w:r>
      <w:r>
        <w:rPr>
          <w:rStyle w:val="Fett"/>
          <w:rtl/>
        </w:rPr>
        <w:t>אָדָם</w:t>
      </w:r>
      <w:r>
        <w:rPr>
          <w:rStyle w:val="Fett"/>
        </w:rPr>
        <w:t xml:space="preserve"> (Mensch) → Sterblichkeit!</w:t>
      </w:r>
    </w:p>
    <w:p w14:paraId="14873C66" w14:textId="77777777" w:rsidR="00C61AD3" w:rsidRDefault="00C61AD3" w:rsidP="00C61AD3">
      <w:pPr>
        <w:pStyle w:val="whitespace-normal"/>
      </w:pPr>
      <w:r>
        <w:rPr>
          <w:rStyle w:val="Fett"/>
        </w:rPr>
        <w:t>Anwendung auf Num 19:</w:t>
      </w:r>
    </w:p>
    <w:p w14:paraId="2324C28A" w14:textId="77777777" w:rsidR="00C61AD3" w:rsidRDefault="00C61AD3" w:rsidP="00B358B7">
      <w:pPr>
        <w:pStyle w:val="whitespace-normal"/>
        <w:numPr>
          <w:ilvl w:val="0"/>
          <w:numId w:val="169"/>
        </w:numPr>
      </w:pPr>
      <w:r>
        <w:lastRenderedPageBreak/>
        <w:t xml:space="preserve">Die </w:t>
      </w:r>
      <w:r>
        <w:rPr>
          <w:rStyle w:val="Fett"/>
        </w:rPr>
        <w:t>rote Kuh</w:t>
      </w:r>
      <w:r>
        <w:t xml:space="preserve"> symbolisiert </w:t>
      </w:r>
      <w:r>
        <w:rPr>
          <w:rStyle w:val="Fett"/>
        </w:rPr>
        <w:t>Sterblichkeit</w:t>
      </w:r>
      <w:r>
        <w:t xml:space="preserve"> (Erdfarbe)</w:t>
      </w:r>
    </w:p>
    <w:p w14:paraId="5447E56C" w14:textId="77777777" w:rsidR="00C61AD3" w:rsidRDefault="00C61AD3" w:rsidP="00B358B7">
      <w:pPr>
        <w:pStyle w:val="whitespace-normal"/>
        <w:numPr>
          <w:ilvl w:val="0"/>
          <w:numId w:val="169"/>
        </w:numPr>
      </w:pPr>
      <w:r>
        <w:t xml:space="preserve">Sie wird zu </w:t>
      </w:r>
      <w:r>
        <w:rPr>
          <w:rStyle w:val="Fett"/>
        </w:rPr>
        <w:t>Asche</w:t>
      </w:r>
      <w:r>
        <w:t xml:space="preserve"> (</w:t>
      </w:r>
      <w:r>
        <w:rPr>
          <w:rtl/>
        </w:rPr>
        <w:t>עָפָר</w:t>
      </w:r>
      <w:r>
        <w:t>) → zurück zur Erde (Gen 3,19)</w:t>
      </w:r>
    </w:p>
    <w:p w14:paraId="65395066" w14:textId="77777777" w:rsidR="00C61AD3" w:rsidRDefault="00C61AD3" w:rsidP="00B358B7">
      <w:pPr>
        <w:pStyle w:val="whitespace-normal"/>
        <w:numPr>
          <w:ilvl w:val="0"/>
          <w:numId w:val="169"/>
        </w:numPr>
      </w:pPr>
      <w:r>
        <w:t xml:space="preserve">Diese </w:t>
      </w:r>
      <w:r>
        <w:rPr>
          <w:rStyle w:val="Fett"/>
        </w:rPr>
        <w:t>Asche</w:t>
      </w:r>
      <w:r>
        <w:t xml:space="preserve"> reinigt von </w:t>
      </w:r>
      <w:r>
        <w:rPr>
          <w:rStyle w:val="Fett"/>
        </w:rPr>
        <w:t>Todesunreinheit</w:t>
      </w:r>
    </w:p>
    <w:p w14:paraId="62CE5609" w14:textId="77777777" w:rsidR="00C61AD3" w:rsidRDefault="00C61AD3" w:rsidP="00B358B7">
      <w:pPr>
        <w:pStyle w:val="whitespace-normal"/>
        <w:numPr>
          <w:ilvl w:val="0"/>
          <w:numId w:val="169"/>
        </w:numPr>
      </w:pPr>
      <w:r>
        <w:t xml:space="preserve">→ </w:t>
      </w:r>
      <w:r>
        <w:rPr>
          <w:rStyle w:val="Fett"/>
        </w:rPr>
        <w:t>Tod</w:t>
      </w:r>
      <w:r>
        <w:t xml:space="preserve"> (Asche) überwindet </w:t>
      </w:r>
      <w:r>
        <w:rPr>
          <w:rStyle w:val="Fett"/>
        </w:rPr>
        <w:t>Tod</w:t>
      </w:r>
      <w:r>
        <w:t xml:space="preserve"> (Unreinheit)!</w:t>
      </w:r>
    </w:p>
    <w:p w14:paraId="20C77036" w14:textId="77777777" w:rsidR="00C61AD3" w:rsidRDefault="00C61AD3" w:rsidP="00C61AD3">
      <w:pPr>
        <w:pStyle w:val="whitespace-normal"/>
      </w:pPr>
      <w:r>
        <w:rPr>
          <w:rStyle w:val="Fett"/>
        </w:rPr>
        <w:t>→ Nur der Tod selbst kann Todesunreinheit überwinden – ein tiefes Paradoxon!</w:t>
      </w:r>
    </w:p>
    <w:p w14:paraId="1E289266" w14:textId="77777777" w:rsidR="00C61AD3" w:rsidRDefault="00F329DD" w:rsidP="00C61AD3">
      <w:r>
        <w:pict w14:anchorId="38B2A55A">
          <v:rect id="_x0000_i1647" style="width:0;height:1.5pt" o:hralign="center" o:hrstd="t" o:hr="t" fillcolor="#a0a0a0" stroked="f"/>
        </w:pict>
      </w:r>
    </w:p>
    <w:p w14:paraId="1585112C" w14:textId="77777777" w:rsidR="00C61AD3" w:rsidRDefault="00C61AD3" w:rsidP="00C61AD3">
      <w:pPr>
        <w:pStyle w:val="berschrift3"/>
      </w:pPr>
      <w:r>
        <w:rPr>
          <w:rStyle w:val="Fett"/>
          <w:b w:val="0"/>
          <w:bCs w:val="0"/>
        </w:rPr>
        <w:t>3. Zusätzliche Symbolik: Zeder + Ysop + Karmesinwolle (V. 6)</w:t>
      </w:r>
    </w:p>
    <w:p w14:paraId="2CF08EB7" w14:textId="77777777" w:rsidR="00C61AD3" w:rsidRDefault="00C61AD3" w:rsidP="00C61AD3">
      <w:pPr>
        <w:pStyle w:val="whitespace-normal"/>
      </w:pPr>
      <w:r>
        <w:rPr>
          <w:rStyle w:val="Fett"/>
        </w:rPr>
        <w:t>Numeri 19,6:</w:t>
      </w:r>
    </w:p>
    <w:p w14:paraId="239FD222" w14:textId="77777777" w:rsidR="00C61AD3" w:rsidRDefault="00C61AD3" w:rsidP="00C61AD3">
      <w:pPr>
        <w:pStyle w:val="whitespace-normal"/>
      </w:pPr>
      <w:r>
        <w:rPr>
          <w:rtl/>
        </w:rPr>
        <w:t>עֵץ אֶרֶז וְאֵזוֹב וּ</w:t>
      </w:r>
      <w:r>
        <w:rPr>
          <w:rStyle w:val="Fett"/>
          <w:rtl/>
        </w:rPr>
        <w:t>שְׁנִי תוֹלָעַת</w:t>
      </w:r>
      <w:r>
        <w:br/>
        <w:t xml:space="preserve">"Zedernholz und Ysop und </w:t>
      </w:r>
      <w:r>
        <w:rPr>
          <w:rStyle w:val="Fett"/>
        </w:rPr>
        <w:t>Karmesinwolle</w:t>
      </w:r>
      <w:r>
        <w:t>"</w:t>
      </w:r>
    </w:p>
    <w:p w14:paraId="454D190D" w14:textId="1BF0E390" w:rsidR="00C61AD3" w:rsidRDefault="00C61AD3" w:rsidP="00C61AD3">
      <w:pPr>
        <w:pStyle w:val="whitespace-normal"/>
      </w:pPr>
      <w:r>
        <w:rPr>
          <w:rStyle w:val="Fett"/>
        </w:rPr>
        <w:t>Beachte:</w:t>
      </w:r>
      <w:r>
        <w:t xml:space="preserve"> Auch hier </w:t>
      </w:r>
      <w:r>
        <w:rPr>
          <w:rStyle w:val="Fett"/>
        </w:rPr>
        <w:t>ROT</w:t>
      </w:r>
      <w:r>
        <w:t xml:space="preserve"> (</w:t>
      </w:r>
      <w:r>
        <w:rPr>
          <w:rtl/>
        </w:rPr>
        <w:t>שָׁנִי תוֹלָעַת</w:t>
      </w:r>
      <w:r>
        <w:t>)!</w:t>
      </w:r>
    </w:p>
    <w:tbl>
      <w:tblPr>
        <w:tblStyle w:val="Tabellenraster"/>
        <w:tblW w:w="4994" w:type="pct"/>
        <w:tblLook w:val="04A0" w:firstRow="1" w:lastRow="0" w:firstColumn="1" w:lastColumn="0" w:noHBand="0" w:noVBand="1"/>
      </w:tblPr>
      <w:tblGrid>
        <w:gridCol w:w="3015"/>
        <w:gridCol w:w="3018"/>
        <w:gridCol w:w="3018"/>
      </w:tblGrid>
      <w:tr w:rsidR="009970B6" w14:paraId="2F5DCF05" w14:textId="77777777" w:rsidTr="002A08DB">
        <w:tc>
          <w:tcPr>
            <w:tcW w:w="1666" w:type="pct"/>
            <w:vAlign w:val="center"/>
          </w:tcPr>
          <w:p w14:paraId="39A51A5D" w14:textId="59021D80" w:rsidR="009970B6" w:rsidRDefault="009970B6" w:rsidP="009970B6">
            <w:pPr>
              <w:pStyle w:val="whitespace-normal"/>
            </w:pPr>
            <w:r>
              <w:rPr>
                <w:b/>
                <w:bCs/>
              </w:rPr>
              <w:t>Element</w:t>
            </w:r>
          </w:p>
        </w:tc>
        <w:tc>
          <w:tcPr>
            <w:tcW w:w="1667" w:type="pct"/>
            <w:vAlign w:val="center"/>
          </w:tcPr>
          <w:p w14:paraId="0DF12766" w14:textId="4132917D" w:rsidR="009970B6" w:rsidRDefault="009970B6" w:rsidP="009970B6">
            <w:pPr>
              <w:pStyle w:val="whitespace-normal"/>
            </w:pPr>
            <w:r>
              <w:rPr>
                <w:b/>
                <w:bCs/>
              </w:rPr>
              <w:t>Symbolik</w:t>
            </w:r>
          </w:p>
        </w:tc>
        <w:tc>
          <w:tcPr>
            <w:tcW w:w="1667" w:type="pct"/>
            <w:vAlign w:val="center"/>
          </w:tcPr>
          <w:p w14:paraId="77811DB6" w14:textId="4C044805" w:rsidR="009970B6" w:rsidRDefault="009970B6" w:rsidP="009970B6">
            <w:pPr>
              <w:pStyle w:val="whitespace-normal"/>
            </w:pPr>
            <w:r>
              <w:rPr>
                <w:b/>
                <w:bCs/>
              </w:rPr>
              <w:t>Bedeutung</w:t>
            </w:r>
          </w:p>
        </w:tc>
      </w:tr>
      <w:tr w:rsidR="009970B6" w14:paraId="365D815F" w14:textId="77777777" w:rsidTr="00017F86">
        <w:tc>
          <w:tcPr>
            <w:tcW w:w="1666" w:type="pct"/>
            <w:vAlign w:val="center"/>
          </w:tcPr>
          <w:p w14:paraId="3CDBCF0E" w14:textId="7D8885A6" w:rsidR="009970B6" w:rsidRDefault="009970B6" w:rsidP="009970B6">
            <w:pPr>
              <w:pStyle w:val="whitespace-normal"/>
            </w:pPr>
            <w:r>
              <w:rPr>
                <w:rStyle w:val="Fett"/>
              </w:rPr>
              <w:t>Zeder</w:t>
            </w:r>
            <w:r>
              <w:t xml:space="preserve"> (</w:t>
            </w:r>
            <w:r>
              <w:rPr>
                <w:rtl/>
              </w:rPr>
              <w:t>אֶרֶז</w:t>
            </w:r>
            <w:r>
              <w:t>)</w:t>
            </w:r>
          </w:p>
        </w:tc>
        <w:tc>
          <w:tcPr>
            <w:tcW w:w="1667" w:type="pct"/>
            <w:vAlign w:val="center"/>
          </w:tcPr>
          <w:p w14:paraId="57A31690" w14:textId="797C3241" w:rsidR="009970B6" w:rsidRDefault="009970B6" w:rsidP="009970B6">
            <w:pPr>
              <w:pStyle w:val="whitespace-normal"/>
            </w:pPr>
            <w:r>
              <w:t>Höchster Baum</w:t>
            </w:r>
          </w:p>
        </w:tc>
        <w:tc>
          <w:tcPr>
            <w:tcW w:w="1667" w:type="pct"/>
            <w:vAlign w:val="center"/>
          </w:tcPr>
          <w:p w14:paraId="26A58148" w14:textId="2CA0D8AE" w:rsidR="009970B6" w:rsidRDefault="009970B6" w:rsidP="009970B6">
            <w:pPr>
              <w:pStyle w:val="whitespace-normal"/>
            </w:pPr>
            <w:r>
              <w:rPr>
                <w:rStyle w:val="Fett"/>
              </w:rPr>
              <w:t>Stolz</w:t>
            </w:r>
            <w:r>
              <w:t>, Majestät</w:t>
            </w:r>
          </w:p>
        </w:tc>
      </w:tr>
      <w:tr w:rsidR="009970B6" w14:paraId="4A156CCD" w14:textId="77777777" w:rsidTr="00017F86">
        <w:tc>
          <w:tcPr>
            <w:tcW w:w="1666" w:type="pct"/>
            <w:vAlign w:val="center"/>
          </w:tcPr>
          <w:p w14:paraId="3C38E7AA" w14:textId="31A568CC" w:rsidR="009970B6" w:rsidRDefault="009970B6" w:rsidP="009970B6">
            <w:pPr>
              <w:pStyle w:val="whitespace-normal"/>
            </w:pPr>
            <w:r>
              <w:rPr>
                <w:rStyle w:val="Fett"/>
              </w:rPr>
              <w:t>Ysop</w:t>
            </w:r>
            <w:r>
              <w:t xml:space="preserve"> (</w:t>
            </w:r>
            <w:r>
              <w:rPr>
                <w:rtl/>
              </w:rPr>
              <w:t>אֵזוֹב</w:t>
            </w:r>
            <w:r>
              <w:t>)</w:t>
            </w:r>
          </w:p>
        </w:tc>
        <w:tc>
          <w:tcPr>
            <w:tcW w:w="1667" w:type="pct"/>
            <w:vAlign w:val="center"/>
          </w:tcPr>
          <w:p w14:paraId="6E1C298A" w14:textId="31B22EEE" w:rsidR="009970B6" w:rsidRDefault="009970B6" w:rsidP="009970B6">
            <w:pPr>
              <w:pStyle w:val="whitespace-normal"/>
            </w:pPr>
            <w:r>
              <w:t>Niedrigstes Kraut</w:t>
            </w:r>
          </w:p>
        </w:tc>
        <w:tc>
          <w:tcPr>
            <w:tcW w:w="1667" w:type="pct"/>
            <w:vAlign w:val="center"/>
          </w:tcPr>
          <w:p w14:paraId="49728998" w14:textId="1BBF2B9E" w:rsidR="009970B6" w:rsidRDefault="009970B6" w:rsidP="009970B6">
            <w:pPr>
              <w:pStyle w:val="whitespace-normal"/>
            </w:pPr>
            <w:r>
              <w:rPr>
                <w:rStyle w:val="Fett"/>
              </w:rPr>
              <w:t>Demut</w:t>
            </w:r>
            <w:r>
              <w:t>, Niedrigkeit</w:t>
            </w:r>
          </w:p>
        </w:tc>
      </w:tr>
      <w:tr w:rsidR="009970B6" w14:paraId="3DC86128" w14:textId="77777777" w:rsidTr="00017F86">
        <w:tc>
          <w:tcPr>
            <w:tcW w:w="1666" w:type="pct"/>
            <w:vAlign w:val="center"/>
          </w:tcPr>
          <w:p w14:paraId="32FBD37C" w14:textId="0FF906FF" w:rsidR="009970B6" w:rsidRDefault="009970B6" w:rsidP="009970B6">
            <w:pPr>
              <w:pStyle w:val="whitespace-normal"/>
            </w:pPr>
            <w:r>
              <w:rPr>
                <w:rStyle w:val="Fett"/>
              </w:rPr>
              <w:t>Karmesin</w:t>
            </w:r>
            <w:r>
              <w:t xml:space="preserve"> (</w:t>
            </w:r>
            <w:r>
              <w:rPr>
                <w:rtl/>
              </w:rPr>
              <w:t>שָׁנִי</w:t>
            </w:r>
            <w:r>
              <w:t>)</w:t>
            </w:r>
          </w:p>
        </w:tc>
        <w:tc>
          <w:tcPr>
            <w:tcW w:w="1667" w:type="pct"/>
            <w:vAlign w:val="center"/>
          </w:tcPr>
          <w:p w14:paraId="01ECFBD1" w14:textId="5F8E19C2" w:rsidR="009970B6" w:rsidRDefault="009970B6" w:rsidP="009970B6">
            <w:pPr>
              <w:pStyle w:val="whitespace-normal"/>
            </w:pPr>
            <w:r>
              <w:rPr>
                <w:rStyle w:val="Fett"/>
              </w:rPr>
              <w:t>ROT</w:t>
            </w:r>
            <w:r>
              <w:t xml:space="preserve"> wie Blut/Sünde</w:t>
            </w:r>
          </w:p>
        </w:tc>
        <w:tc>
          <w:tcPr>
            <w:tcW w:w="1667" w:type="pct"/>
            <w:vAlign w:val="center"/>
          </w:tcPr>
          <w:p w14:paraId="7B852424" w14:textId="697F1F5C" w:rsidR="009970B6" w:rsidRDefault="009970B6" w:rsidP="009970B6">
            <w:pPr>
              <w:pStyle w:val="whitespace-normal"/>
            </w:pPr>
            <w:r>
              <w:t>Leben/Sünde</w:t>
            </w:r>
          </w:p>
        </w:tc>
      </w:tr>
    </w:tbl>
    <w:p w14:paraId="67A5443C" w14:textId="77777777" w:rsidR="00C61AD3" w:rsidRDefault="00C61AD3" w:rsidP="00C61AD3">
      <w:pPr>
        <w:pStyle w:val="whitespace-normal"/>
      </w:pPr>
      <w:r>
        <w:rPr>
          <w:rStyle w:val="Fett"/>
        </w:rPr>
        <w:t>Psalm 51,9:</w:t>
      </w:r>
    </w:p>
    <w:p w14:paraId="4A37A962" w14:textId="77777777" w:rsidR="00C61AD3" w:rsidRDefault="00C61AD3" w:rsidP="00C61AD3">
      <w:pPr>
        <w:pStyle w:val="whitespace-normal"/>
      </w:pPr>
      <w:r>
        <w:rPr>
          <w:rtl/>
        </w:rPr>
        <w:t xml:space="preserve">תְּחַטְּאֵנִי </w:t>
      </w:r>
      <w:r>
        <w:rPr>
          <w:rStyle w:val="Fett"/>
          <w:rtl/>
        </w:rPr>
        <w:t>בְאֵזוֹב</w:t>
      </w:r>
      <w:r>
        <w:rPr>
          <w:rtl/>
        </w:rPr>
        <w:t xml:space="preserve"> וְאֶטְהָר תְּכַבְּסֵנִי וּמִשֶּׁלֶג אַלְבִּין</w:t>
      </w:r>
    </w:p>
    <w:p w14:paraId="5469EA8B" w14:textId="77777777" w:rsidR="00C61AD3" w:rsidRDefault="00C61AD3" w:rsidP="00C61AD3">
      <w:pPr>
        <w:pStyle w:val="whitespace-normal"/>
      </w:pPr>
      <w:r>
        <w:t xml:space="preserve">"Entsündige mich </w:t>
      </w:r>
      <w:r>
        <w:rPr>
          <w:rStyle w:val="Fett"/>
        </w:rPr>
        <w:t>mit Ysop</w:t>
      </w:r>
      <w:r>
        <w:t>, und ich werde rein sein; wasche mich, und ich werde weißer als Schnee"</w:t>
      </w:r>
    </w:p>
    <w:p w14:paraId="7E57BD72" w14:textId="77777777" w:rsidR="00C61AD3" w:rsidRDefault="00C61AD3" w:rsidP="00C61AD3">
      <w:pPr>
        <w:pStyle w:val="whitespace-normal"/>
      </w:pPr>
      <w:r>
        <w:rPr>
          <w:rStyle w:val="Fett"/>
        </w:rPr>
        <w:t>→ Ysop = Reinigungsmittel → wird auch in Num 19,18 verwendet!</w:t>
      </w:r>
    </w:p>
    <w:p w14:paraId="070BAE49" w14:textId="77777777" w:rsidR="00C61AD3" w:rsidRDefault="00C61AD3" w:rsidP="00C61AD3">
      <w:pPr>
        <w:pStyle w:val="whitespace-normal"/>
      </w:pPr>
      <w:r>
        <w:rPr>
          <w:rStyle w:val="Fett"/>
        </w:rPr>
        <w:t>Die Kombination:</w:t>
      </w:r>
    </w:p>
    <w:p w14:paraId="6629E156" w14:textId="77777777" w:rsidR="00C61AD3" w:rsidRDefault="00C61AD3" w:rsidP="00B358B7">
      <w:pPr>
        <w:pStyle w:val="whitespace-normal"/>
        <w:numPr>
          <w:ilvl w:val="0"/>
          <w:numId w:val="170"/>
        </w:numPr>
      </w:pPr>
      <w:r>
        <w:rPr>
          <w:rStyle w:val="Fett"/>
        </w:rPr>
        <w:t>Hoch</w:t>
      </w:r>
      <w:r>
        <w:t xml:space="preserve"> (Zeder) + </w:t>
      </w:r>
      <w:r>
        <w:rPr>
          <w:rStyle w:val="Fett"/>
        </w:rPr>
        <w:t>Niedrig</w:t>
      </w:r>
      <w:r>
        <w:t xml:space="preserve"> (Ysop) = </w:t>
      </w:r>
      <w:r>
        <w:rPr>
          <w:rStyle w:val="Fett"/>
        </w:rPr>
        <w:t>Vollständigkeit</w:t>
      </w:r>
      <w:r>
        <w:t xml:space="preserve"> (von oben bis unten)</w:t>
      </w:r>
    </w:p>
    <w:p w14:paraId="6FB690A2" w14:textId="77777777" w:rsidR="00C61AD3" w:rsidRDefault="00C61AD3" w:rsidP="00B358B7">
      <w:pPr>
        <w:pStyle w:val="whitespace-normal"/>
        <w:numPr>
          <w:ilvl w:val="0"/>
          <w:numId w:val="170"/>
        </w:numPr>
      </w:pPr>
      <w:r>
        <w:rPr>
          <w:rStyle w:val="Fett"/>
        </w:rPr>
        <w:t>Rot</w:t>
      </w:r>
      <w:r>
        <w:t xml:space="preserve"> (Karmesin) = </w:t>
      </w:r>
      <w:r>
        <w:rPr>
          <w:rStyle w:val="Fett"/>
        </w:rPr>
        <w:t>Blut/Sünde/Leben</w:t>
      </w:r>
    </w:p>
    <w:p w14:paraId="49D78260" w14:textId="77777777" w:rsidR="00C61AD3" w:rsidRDefault="00C61AD3" w:rsidP="00B358B7">
      <w:pPr>
        <w:pStyle w:val="whitespace-normal"/>
        <w:numPr>
          <w:ilvl w:val="0"/>
          <w:numId w:val="170"/>
        </w:numPr>
      </w:pPr>
      <w:r>
        <w:t xml:space="preserve">→ Die </w:t>
      </w:r>
      <w:r>
        <w:rPr>
          <w:rStyle w:val="Fett"/>
        </w:rPr>
        <w:t>ganze Schöpfung</w:t>
      </w:r>
      <w:r>
        <w:t xml:space="preserve"> (hoch + niedrig) und das </w:t>
      </w:r>
      <w:r>
        <w:rPr>
          <w:rStyle w:val="Fett"/>
        </w:rPr>
        <w:t>ganze Leben</w:t>
      </w:r>
      <w:r>
        <w:t xml:space="preserve"> (rot = Blut) wird ins Feuer geworfen!</w:t>
      </w:r>
    </w:p>
    <w:p w14:paraId="6BB16986" w14:textId="77777777" w:rsidR="00C61AD3" w:rsidRDefault="00F329DD" w:rsidP="00C61AD3">
      <w:r>
        <w:pict w14:anchorId="387E30C2">
          <v:rect id="_x0000_i1648" style="width:0;height:1.5pt" o:hralign="center" o:hrstd="t" o:hr="t" fillcolor="#a0a0a0" stroked="f"/>
        </w:pict>
      </w:r>
    </w:p>
    <w:p w14:paraId="102A32EB" w14:textId="77777777" w:rsidR="00C61AD3" w:rsidRDefault="00C61AD3" w:rsidP="00C61AD3">
      <w:pPr>
        <w:pStyle w:val="berschrift3"/>
      </w:pPr>
      <w:r>
        <w:rPr>
          <w:rStyle w:val="Fett"/>
          <w:b w:val="0"/>
          <w:bCs w:val="0"/>
        </w:rPr>
        <w:t>4. NT-Typologie: Die rote Kuh und Christus</w:t>
      </w:r>
    </w:p>
    <w:p w14:paraId="3DF010F3" w14:textId="77777777" w:rsidR="00C61AD3" w:rsidRDefault="00C61AD3" w:rsidP="00C61AD3">
      <w:pPr>
        <w:pStyle w:val="whitespace-normal"/>
      </w:pPr>
      <w:r>
        <w:rPr>
          <w:rStyle w:val="Fett"/>
        </w:rPr>
        <w:t>Hebräer 9,13-14:</w:t>
      </w:r>
    </w:p>
    <w:p w14:paraId="3DC7213B" w14:textId="77777777" w:rsidR="00C61AD3" w:rsidRDefault="00C61AD3" w:rsidP="00C61AD3">
      <w:pPr>
        <w:pStyle w:val="whitespace-normal"/>
      </w:pPr>
      <w:r>
        <w:t xml:space="preserve">εἰ γὰρ τὸ αἷμα τράγων καὶ ταύρων καὶ </w:t>
      </w:r>
      <w:r>
        <w:rPr>
          <w:rStyle w:val="Fett"/>
        </w:rPr>
        <w:t>σποδὸς δαμάλεως ῥαντίζουσα</w:t>
      </w:r>
      <w:r>
        <w:t xml:space="preserve"> τοὺς κεκοινωμένους ἁγιάζει πρὸς τὴν τῆς σαρκὸς καθαρότητα, πόσῳ μᾶλλον </w:t>
      </w:r>
      <w:r>
        <w:rPr>
          <w:rStyle w:val="Fett"/>
        </w:rPr>
        <w:t>τὸ αἷμα τοῦ Χριστοῦ</w:t>
      </w:r>
      <w:r>
        <w:t>... καθαριεῖ τὴν συνείδησιν ἡμῶν</w:t>
      </w:r>
    </w:p>
    <w:p w14:paraId="1B529DF1" w14:textId="77777777" w:rsidR="00C61AD3" w:rsidRDefault="00C61AD3" w:rsidP="00C61AD3">
      <w:pPr>
        <w:pStyle w:val="whitespace-normal"/>
      </w:pPr>
      <w:r>
        <w:lastRenderedPageBreak/>
        <w:t xml:space="preserve">"Denn wenn das Blut von Böcken und Stieren und </w:t>
      </w:r>
      <w:r>
        <w:rPr>
          <w:rStyle w:val="Fett"/>
        </w:rPr>
        <w:t>die Asche einer jungen Kuh</w:t>
      </w:r>
      <w:r>
        <w:t xml:space="preserve">, gesprengt auf die Verunreinigten, heiligt zur Reinheit des Fleisches, </w:t>
      </w:r>
      <w:r>
        <w:rPr>
          <w:rStyle w:val="Fett"/>
        </w:rPr>
        <w:t>wieviel mehr wird das Blut Christi</w:t>
      </w:r>
      <w:r>
        <w:t>... unser Gewissen reinigen"</w:t>
      </w:r>
    </w:p>
    <w:p w14:paraId="4B81E14B" w14:textId="1421877C" w:rsidR="00C61AD3" w:rsidRDefault="00C61AD3" w:rsidP="00C61AD3">
      <w:pPr>
        <w:pStyle w:val="whitespace-normal"/>
        <w:rPr>
          <w:rStyle w:val="Fett"/>
        </w:rPr>
      </w:pPr>
      <w:r>
        <w:rPr>
          <w:rStyle w:val="Fett"/>
        </w:rPr>
        <w:t>Die Typologie:</w:t>
      </w:r>
    </w:p>
    <w:tbl>
      <w:tblPr>
        <w:tblStyle w:val="Tabellenraster"/>
        <w:tblW w:w="4994" w:type="pct"/>
        <w:tblLook w:val="04A0" w:firstRow="1" w:lastRow="0" w:firstColumn="1" w:lastColumn="0" w:noHBand="0" w:noVBand="1"/>
      </w:tblPr>
      <w:tblGrid>
        <w:gridCol w:w="4525"/>
        <w:gridCol w:w="4526"/>
      </w:tblGrid>
      <w:tr w:rsidR="009970B6" w14:paraId="4FA47A5D" w14:textId="77777777" w:rsidTr="00B47AC4">
        <w:tc>
          <w:tcPr>
            <w:tcW w:w="2500" w:type="pct"/>
            <w:vAlign w:val="center"/>
          </w:tcPr>
          <w:p w14:paraId="00CBA2E6" w14:textId="156D0792" w:rsidR="009970B6" w:rsidRDefault="009970B6" w:rsidP="009970B6">
            <w:pPr>
              <w:pStyle w:val="whitespace-normal"/>
            </w:pPr>
            <w:r>
              <w:rPr>
                <w:b/>
                <w:bCs/>
              </w:rPr>
              <w:t>Rote Kuh (Num 19)</w:t>
            </w:r>
          </w:p>
        </w:tc>
        <w:tc>
          <w:tcPr>
            <w:tcW w:w="2500" w:type="pct"/>
            <w:vAlign w:val="center"/>
          </w:tcPr>
          <w:p w14:paraId="1F350243" w14:textId="12C837CB" w:rsidR="009970B6" w:rsidRDefault="009970B6" w:rsidP="009970B6">
            <w:pPr>
              <w:pStyle w:val="whitespace-normal"/>
            </w:pPr>
            <w:r>
              <w:rPr>
                <w:b/>
                <w:bCs/>
              </w:rPr>
              <w:t>Christus (NT)</w:t>
            </w:r>
          </w:p>
        </w:tc>
      </w:tr>
      <w:tr w:rsidR="009970B6" w14:paraId="7E9B9001" w14:textId="77777777" w:rsidTr="00930DE0">
        <w:tc>
          <w:tcPr>
            <w:tcW w:w="2500" w:type="pct"/>
            <w:vAlign w:val="center"/>
          </w:tcPr>
          <w:p w14:paraId="73F725B3" w14:textId="7D4FAD18" w:rsidR="009970B6" w:rsidRDefault="009970B6" w:rsidP="009970B6">
            <w:pPr>
              <w:pStyle w:val="whitespace-normal"/>
            </w:pPr>
            <w:r>
              <w:rPr>
                <w:rStyle w:val="Fett"/>
              </w:rPr>
              <w:t>Rot</w:t>
            </w:r>
            <w:r>
              <w:t xml:space="preserve"> = Blutfarbe</w:t>
            </w:r>
          </w:p>
        </w:tc>
        <w:tc>
          <w:tcPr>
            <w:tcW w:w="2500" w:type="pct"/>
            <w:vAlign w:val="center"/>
          </w:tcPr>
          <w:p w14:paraId="6B6E395D" w14:textId="74B075E4" w:rsidR="009970B6" w:rsidRDefault="009970B6" w:rsidP="009970B6">
            <w:pPr>
              <w:pStyle w:val="whitespace-normal"/>
            </w:pPr>
            <w:r>
              <w:rPr>
                <w:rStyle w:val="Fett"/>
              </w:rPr>
              <w:t>Blut Christi</w:t>
            </w:r>
            <w:r>
              <w:t xml:space="preserve"> (Hebr 9,14)</w:t>
            </w:r>
          </w:p>
        </w:tc>
      </w:tr>
      <w:tr w:rsidR="009970B6" w14:paraId="1375AD88" w14:textId="77777777" w:rsidTr="00930DE0">
        <w:tc>
          <w:tcPr>
            <w:tcW w:w="2500" w:type="pct"/>
            <w:vAlign w:val="center"/>
          </w:tcPr>
          <w:p w14:paraId="30F073DF" w14:textId="30A7958E" w:rsidR="009970B6" w:rsidRDefault="009970B6" w:rsidP="009970B6">
            <w:pPr>
              <w:pStyle w:val="whitespace-normal"/>
            </w:pPr>
            <w:r>
              <w:rPr>
                <w:rStyle w:val="Fett"/>
              </w:rPr>
              <w:t>Makellos</w:t>
            </w:r>
            <w:r>
              <w:t xml:space="preserve"> (</w:t>
            </w:r>
            <w:r>
              <w:rPr>
                <w:rtl/>
              </w:rPr>
              <w:t>תְּמִימָה</w:t>
            </w:r>
            <w:r>
              <w:t>, V. 2)</w:t>
            </w:r>
          </w:p>
        </w:tc>
        <w:tc>
          <w:tcPr>
            <w:tcW w:w="2500" w:type="pct"/>
            <w:vAlign w:val="center"/>
          </w:tcPr>
          <w:p w14:paraId="1399EF15" w14:textId="28212774" w:rsidR="009970B6" w:rsidRDefault="009970B6" w:rsidP="009970B6">
            <w:pPr>
              <w:pStyle w:val="whitespace-normal"/>
            </w:pPr>
            <w:r>
              <w:rPr>
                <w:rStyle w:val="Fett"/>
              </w:rPr>
              <w:t>Ohne Sünde</w:t>
            </w:r>
            <w:r>
              <w:t xml:space="preserve"> (Hebr 4,15)</w:t>
            </w:r>
          </w:p>
        </w:tc>
      </w:tr>
      <w:tr w:rsidR="009970B6" w14:paraId="02D9A3FC" w14:textId="77777777" w:rsidTr="00930DE0">
        <w:tc>
          <w:tcPr>
            <w:tcW w:w="2500" w:type="pct"/>
            <w:vAlign w:val="center"/>
          </w:tcPr>
          <w:p w14:paraId="248EF706" w14:textId="1AF34FD4" w:rsidR="009970B6" w:rsidRDefault="009970B6" w:rsidP="009970B6">
            <w:pPr>
              <w:pStyle w:val="whitespace-normal"/>
            </w:pPr>
            <w:r>
              <w:rPr>
                <w:rStyle w:val="Fett"/>
              </w:rPr>
              <w:t>Nie Joch getragen</w:t>
            </w:r>
            <w:r>
              <w:t xml:space="preserve"> (V. 2)</w:t>
            </w:r>
          </w:p>
        </w:tc>
        <w:tc>
          <w:tcPr>
            <w:tcW w:w="2500" w:type="pct"/>
            <w:vAlign w:val="center"/>
          </w:tcPr>
          <w:p w14:paraId="1BA77900" w14:textId="034A44D2" w:rsidR="009970B6" w:rsidRDefault="009970B6" w:rsidP="009970B6">
            <w:pPr>
              <w:pStyle w:val="whitespace-normal"/>
            </w:pPr>
            <w:r>
              <w:rPr>
                <w:rStyle w:val="Fett"/>
              </w:rPr>
              <w:t>Freiwillig</w:t>
            </w:r>
            <w:r>
              <w:t xml:space="preserve"> (Joh 10,18)</w:t>
            </w:r>
          </w:p>
        </w:tc>
      </w:tr>
      <w:tr w:rsidR="009970B6" w14:paraId="3EB820D2" w14:textId="77777777" w:rsidTr="00930DE0">
        <w:tc>
          <w:tcPr>
            <w:tcW w:w="2500" w:type="pct"/>
            <w:vAlign w:val="center"/>
          </w:tcPr>
          <w:p w14:paraId="7274A9C0" w14:textId="533EE6BB" w:rsidR="009970B6" w:rsidRDefault="009970B6" w:rsidP="009970B6">
            <w:pPr>
              <w:pStyle w:val="whitespace-normal"/>
            </w:pPr>
            <w:r>
              <w:rPr>
                <w:rStyle w:val="Fett"/>
              </w:rPr>
              <w:t>Außerhalb</w:t>
            </w:r>
            <w:r>
              <w:t xml:space="preserve"> des Lagers (V. 3)</w:t>
            </w:r>
          </w:p>
        </w:tc>
        <w:tc>
          <w:tcPr>
            <w:tcW w:w="2500" w:type="pct"/>
            <w:vAlign w:val="center"/>
          </w:tcPr>
          <w:p w14:paraId="00A1153B" w14:textId="2F2687DA" w:rsidR="009970B6" w:rsidRDefault="009970B6" w:rsidP="009970B6">
            <w:pPr>
              <w:pStyle w:val="whitespace-normal"/>
            </w:pPr>
            <w:r>
              <w:rPr>
                <w:rStyle w:val="Fett"/>
              </w:rPr>
              <w:t>Außerhalb des Tores</w:t>
            </w:r>
            <w:r>
              <w:t xml:space="preserve"> (Hebr 13,12)</w:t>
            </w:r>
          </w:p>
        </w:tc>
      </w:tr>
      <w:tr w:rsidR="009970B6" w14:paraId="28B88D5B" w14:textId="77777777" w:rsidTr="00930DE0">
        <w:tc>
          <w:tcPr>
            <w:tcW w:w="2500" w:type="pct"/>
            <w:vAlign w:val="center"/>
          </w:tcPr>
          <w:p w14:paraId="38CFEE75" w14:textId="74368099" w:rsidR="009970B6" w:rsidRDefault="009970B6" w:rsidP="009970B6">
            <w:pPr>
              <w:pStyle w:val="whitespace-normal"/>
            </w:pPr>
            <w:r>
              <w:rPr>
                <w:rStyle w:val="Fett"/>
              </w:rPr>
              <w:t>Ganz verbrannt</w:t>
            </w:r>
            <w:r>
              <w:t xml:space="preserve"> (V. 5)</w:t>
            </w:r>
          </w:p>
        </w:tc>
        <w:tc>
          <w:tcPr>
            <w:tcW w:w="2500" w:type="pct"/>
            <w:vAlign w:val="center"/>
          </w:tcPr>
          <w:p w14:paraId="1BFBDF77" w14:textId="69F05595" w:rsidR="009970B6" w:rsidRDefault="009970B6" w:rsidP="009970B6">
            <w:pPr>
              <w:pStyle w:val="whitespace-normal"/>
            </w:pPr>
            <w:r>
              <w:rPr>
                <w:rStyle w:val="Fett"/>
              </w:rPr>
              <w:t>Völlig hingegeben</w:t>
            </w:r>
            <w:r>
              <w:t xml:space="preserve"> (Phil 2,8)</w:t>
            </w:r>
          </w:p>
        </w:tc>
      </w:tr>
      <w:tr w:rsidR="009970B6" w14:paraId="39AB4299" w14:textId="77777777" w:rsidTr="00930DE0">
        <w:tc>
          <w:tcPr>
            <w:tcW w:w="2500" w:type="pct"/>
            <w:vAlign w:val="center"/>
          </w:tcPr>
          <w:p w14:paraId="4B13AD95" w14:textId="44101377" w:rsidR="009970B6" w:rsidRDefault="009970B6" w:rsidP="009970B6">
            <w:pPr>
              <w:pStyle w:val="whitespace-normal"/>
            </w:pPr>
            <w:r>
              <w:rPr>
                <w:rStyle w:val="Fett"/>
              </w:rPr>
              <w:t>Reinigt von Todesunreinheit</w:t>
            </w:r>
          </w:p>
        </w:tc>
        <w:tc>
          <w:tcPr>
            <w:tcW w:w="2500" w:type="pct"/>
            <w:vAlign w:val="center"/>
          </w:tcPr>
          <w:p w14:paraId="4CF6F895" w14:textId="37C78A02" w:rsidR="009970B6" w:rsidRDefault="009970B6" w:rsidP="009970B6">
            <w:pPr>
              <w:pStyle w:val="whitespace-normal"/>
            </w:pPr>
            <w:r>
              <w:rPr>
                <w:rStyle w:val="Fett"/>
              </w:rPr>
              <w:t>Reinigt von Sünde</w:t>
            </w:r>
            <w:r>
              <w:t xml:space="preserve"> (1 Joh 1,7)</w:t>
            </w:r>
          </w:p>
        </w:tc>
      </w:tr>
      <w:tr w:rsidR="009970B6" w14:paraId="7C2D4051" w14:textId="77777777" w:rsidTr="00930DE0">
        <w:tc>
          <w:tcPr>
            <w:tcW w:w="2500" w:type="pct"/>
            <w:vAlign w:val="center"/>
          </w:tcPr>
          <w:p w14:paraId="7A26B295" w14:textId="7D063707" w:rsidR="009970B6" w:rsidRDefault="009970B6" w:rsidP="009970B6">
            <w:pPr>
              <w:pStyle w:val="whitespace-normal"/>
            </w:pPr>
            <w:r>
              <w:rPr>
                <w:rStyle w:val="Fett"/>
              </w:rPr>
              <w:t>Asche dauerhaft</w:t>
            </w:r>
            <w:r>
              <w:t xml:space="preserve"> aufbewahrt (V. 9)</w:t>
            </w:r>
          </w:p>
        </w:tc>
        <w:tc>
          <w:tcPr>
            <w:tcW w:w="2500" w:type="pct"/>
            <w:vAlign w:val="center"/>
          </w:tcPr>
          <w:p w14:paraId="399DF783" w14:textId="727A129B" w:rsidR="009970B6" w:rsidRDefault="009970B6" w:rsidP="009970B6">
            <w:pPr>
              <w:pStyle w:val="whitespace-normal"/>
            </w:pPr>
            <w:r>
              <w:rPr>
                <w:rStyle w:val="Fett"/>
              </w:rPr>
              <w:t>Opfer ein für alle Mal</w:t>
            </w:r>
            <w:r>
              <w:t xml:space="preserve"> (Hebr 10,10)</w:t>
            </w:r>
          </w:p>
        </w:tc>
      </w:tr>
      <w:tr w:rsidR="009970B6" w14:paraId="3D8DAACA" w14:textId="77777777" w:rsidTr="00930DE0">
        <w:tc>
          <w:tcPr>
            <w:tcW w:w="2500" w:type="pct"/>
            <w:vAlign w:val="center"/>
          </w:tcPr>
          <w:p w14:paraId="4D9E5654" w14:textId="5028C94E" w:rsidR="009970B6" w:rsidRDefault="009970B6" w:rsidP="009970B6">
            <w:pPr>
              <w:pStyle w:val="whitespace-normal"/>
            </w:pPr>
            <w:r>
              <w:rPr>
                <w:rStyle w:val="Fett"/>
              </w:rPr>
              <w:t>Priester wird unrein</w:t>
            </w:r>
            <w:r>
              <w:t xml:space="preserve"> (V. 7)</w:t>
            </w:r>
          </w:p>
        </w:tc>
        <w:tc>
          <w:tcPr>
            <w:tcW w:w="2500" w:type="pct"/>
            <w:vAlign w:val="center"/>
          </w:tcPr>
          <w:p w14:paraId="4E62C0DD" w14:textId="47BF9F0F" w:rsidR="009970B6" w:rsidRDefault="009970B6" w:rsidP="009970B6">
            <w:pPr>
              <w:pStyle w:val="whitespace-normal"/>
            </w:pPr>
            <w:r>
              <w:rPr>
                <w:rStyle w:val="Fett"/>
              </w:rPr>
              <w:t>Christus trägt unsere Sünde</w:t>
            </w:r>
            <w:r>
              <w:t xml:space="preserve"> (2 Kor 5,21)</w:t>
            </w:r>
          </w:p>
        </w:tc>
      </w:tr>
    </w:tbl>
    <w:p w14:paraId="213BADE2" w14:textId="77777777" w:rsidR="00C61AD3" w:rsidRDefault="00C61AD3" w:rsidP="00C61AD3">
      <w:pPr>
        <w:pStyle w:val="whitespace-normal"/>
      </w:pPr>
      <w:r>
        <w:rPr>
          <w:rStyle w:val="Fett"/>
        </w:rPr>
        <w:t>Hebräer 13,11-12:</w:t>
      </w:r>
    </w:p>
    <w:p w14:paraId="098A82A3" w14:textId="77777777" w:rsidR="00C61AD3" w:rsidRDefault="00C61AD3" w:rsidP="00C61AD3">
      <w:pPr>
        <w:pStyle w:val="whitespace-normal"/>
      </w:pPr>
      <w:r>
        <w:t xml:space="preserve">ὧν γὰρ εἰσφέρεται ζῴων τὸ αἷμα... </w:t>
      </w:r>
      <w:r>
        <w:rPr>
          <w:rStyle w:val="Fett"/>
        </w:rPr>
        <w:t>ἔξω τῆς παρεμβολῆς</w:t>
      </w:r>
      <w:r>
        <w:t xml:space="preserve"> κατακαίεται τὰ σώματα, διὸ καὶ Ἰησοῦς... </w:t>
      </w:r>
      <w:r>
        <w:rPr>
          <w:rStyle w:val="Fett"/>
        </w:rPr>
        <w:t>ἔξω τῆς πύλης</w:t>
      </w:r>
      <w:r>
        <w:t xml:space="preserve"> ἔπαθεν</w:t>
      </w:r>
    </w:p>
    <w:p w14:paraId="21C24EEE" w14:textId="29E6994D" w:rsidR="00C61AD3" w:rsidRDefault="00C61AD3" w:rsidP="00C61AD3">
      <w:pPr>
        <w:pStyle w:val="whitespace-normal"/>
      </w:pPr>
      <w:r>
        <w:t xml:space="preserve">"Denn die Körper der Tiere, deren Blut... </w:t>
      </w:r>
      <w:r>
        <w:rPr>
          <w:rStyle w:val="Fett"/>
        </w:rPr>
        <w:t>außerhalb des Lagers</w:t>
      </w:r>
      <w:r>
        <w:t xml:space="preserve"> verbrannt werden, deshalb hat auch </w:t>
      </w:r>
      <w:r w:rsidR="00F44D88">
        <w:t>Christus</w:t>
      </w:r>
      <w:r>
        <w:t xml:space="preserve"> </w:t>
      </w:r>
      <w:r>
        <w:rPr>
          <w:rStyle w:val="Fett"/>
        </w:rPr>
        <w:t>außerhalb des Tores</w:t>
      </w:r>
      <w:r>
        <w:t xml:space="preserve"> gelitten"</w:t>
      </w:r>
    </w:p>
    <w:p w14:paraId="365ABE47" w14:textId="77777777" w:rsidR="00C61AD3" w:rsidRDefault="00C61AD3" w:rsidP="00C61AD3">
      <w:pPr>
        <w:pStyle w:val="whitespace-normal"/>
      </w:pPr>
      <w:r>
        <w:rPr>
          <w:rStyle w:val="Fett"/>
        </w:rPr>
        <w:t>→ Die rote Kuh ist ein Typus Christi!</w:t>
      </w:r>
    </w:p>
    <w:p w14:paraId="52427E03" w14:textId="77777777" w:rsidR="00C61AD3" w:rsidRDefault="00C61AD3" w:rsidP="00C61AD3">
      <w:pPr>
        <w:pStyle w:val="whitespace-normal"/>
      </w:pPr>
      <w:r>
        <w:rPr>
          <w:rStyle w:val="Fett"/>
        </w:rPr>
        <w:t>Das Paradoxon bleibt:</w:t>
      </w:r>
    </w:p>
    <w:p w14:paraId="5BE91939" w14:textId="77777777" w:rsidR="00C61AD3" w:rsidRDefault="00C61AD3" w:rsidP="00B358B7">
      <w:pPr>
        <w:pStyle w:val="whitespace-normal"/>
        <w:numPr>
          <w:ilvl w:val="0"/>
          <w:numId w:val="171"/>
        </w:numPr>
      </w:pPr>
      <w:r>
        <w:t xml:space="preserve">Die </w:t>
      </w:r>
      <w:r>
        <w:rPr>
          <w:rStyle w:val="Fett"/>
        </w:rPr>
        <w:t>rote Kuh</w:t>
      </w:r>
      <w:r>
        <w:t xml:space="preserve"> reinigt, macht aber die </w:t>
      </w:r>
      <w:r>
        <w:rPr>
          <w:rStyle w:val="Fett"/>
        </w:rPr>
        <w:t>Beteiligten unrein</w:t>
      </w:r>
    </w:p>
    <w:p w14:paraId="18797B46" w14:textId="77777777" w:rsidR="00C61AD3" w:rsidRDefault="00C61AD3" w:rsidP="00B358B7">
      <w:pPr>
        <w:pStyle w:val="whitespace-normal"/>
        <w:numPr>
          <w:ilvl w:val="0"/>
          <w:numId w:val="171"/>
        </w:numPr>
      </w:pPr>
      <w:r>
        <w:rPr>
          <w:rStyle w:val="Fett"/>
        </w:rPr>
        <w:t>Christus</w:t>
      </w:r>
      <w:r>
        <w:t xml:space="preserve"> reinigt uns, aber wurde selbst </w:t>
      </w:r>
      <w:r>
        <w:rPr>
          <w:rStyle w:val="Fett"/>
        </w:rPr>
        <w:t>zur Sünde gemacht</w:t>
      </w:r>
      <w:r>
        <w:t xml:space="preserve"> (2 Kor 5,21)</w:t>
      </w:r>
    </w:p>
    <w:p w14:paraId="077ADE8F" w14:textId="77777777" w:rsidR="00C61AD3" w:rsidRDefault="00F329DD" w:rsidP="00C61AD3">
      <w:r>
        <w:pict w14:anchorId="5C214BC1">
          <v:rect id="_x0000_i1649" style="width:0;height:1.5pt" o:hralign="center" o:hrstd="t" o:hr="t" fillcolor="#a0a0a0" stroked="f"/>
        </w:pict>
      </w:r>
    </w:p>
    <w:p w14:paraId="0FB8DB49" w14:textId="77777777" w:rsidR="00C61AD3" w:rsidRDefault="00C61AD3" w:rsidP="00C61AD3">
      <w:pPr>
        <w:pStyle w:val="berschrift3"/>
      </w:pPr>
      <w:r>
        <w:rPr>
          <w:rStyle w:val="Fett"/>
          <w:b w:val="0"/>
          <w:bCs w:val="0"/>
        </w:rPr>
        <w:t>5. Rabbinische Deutungen</w:t>
      </w:r>
    </w:p>
    <w:p w14:paraId="41C13000" w14:textId="77777777" w:rsidR="00C61AD3" w:rsidRDefault="00C61AD3" w:rsidP="00C61AD3">
      <w:pPr>
        <w:pStyle w:val="whitespace-normal"/>
      </w:pPr>
      <w:r>
        <w:rPr>
          <w:rStyle w:val="Fett"/>
        </w:rPr>
        <w:t>Mischna Parah 3,5:</w:t>
      </w:r>
    </w:p>
    <w:p w14:paraId="2B5B377C" w14:textId="77777777" w:rsidR="00C61AD3" w:rsidRDefault="00C61AD3" w:rsidP="00C61AD3">
      <w:pPr>
        <w:pStyle w:val="whitespace-normal"/>
      </w:pPr>
      <w:r>
        <w:t>"Fünf rote Kühe wurden von Mose bis zur Zerstörung des Tempels dargebracht"</w:t>
      </w:r>
    </w:p>
    <w:p w14:paraId="656C4E76" w14:textId="77777777" w:rsidR="00C61AD3" w:rsidRDefault="00C61AD3" w:rsidP="00C61AD3">
      <w:pPr>
        <w:pStyle w:val="whitespace-normal"/>
      </w:pPr>
      <w:r>
        <w:rPr>
          <w:rStyle w:val="Fett"/>
        </w:rPr>
        <w:t>→ Extrem selten! Nur 5 Mal in 1500 Jahren!</w:t>
      </w:r>
    </w:p>
    <w:p w14:paraId="070AEA79" w14:textId="77777777" w:rsidR="00C61AD3" w:rsidRDefault="00C61AD3" w:rsidP="00C61AD3">
      <w:pPr>
        <w:pStyle w:val="whitespace-normal"/>
      </w:pPr>
      <w:r>
        <w:rPr>
          <w:rStyle w:val="Fett"/>
        </w:rPr>
        <w:t>Numeri Rabba 19,6:</w:t>
      </w:r>
    </w:p>
    <w:p w14:paraId="48D1E31F" w14:textId="77777777" w:rsidR="00C61AD3" w:rsidRDefault="00C61AD3" w:rsidP="00C61AD3">
      <w:pPr>
        <w:pStyle w:val="whitespace-normal"/>
      </w:pPr>
      <w:r>
        <w:t>"Rabbi Yochanan sagte: Die rote Kuh ist wie eine Magd, die den Palast reinigt, nachdem der Sohn des Königs ihn beschmutzt hat."</w:t>
      </w:r>
    </w:p>
    <w:p w14:paraId="3702FAD2" w14:textId="77777777" w:rsidR="00C61AD3" w:rsidRDefault="00C61AD3" w:rsidP="00C61AD3">
      <w:pPr>
        <w:pStyle w:val="whitespace-normal"/>
      </w:pPr>
      <w:r>
        <w:rPr>
          <w:rStyle w:val="Fett"/>
        </w:rPr>
        <w:t>→ Die Kuh reinigt die Verschmutzung (Sünde)!</w:t>
      </w:r>
    </w:p>
    <w:p w14:paraId="085D2CF9" w14:textId="77777777" w:rsidR="00C61AD3" w:rsidRDefault="00C61AD3" w:rsidP="00C61AD3">
      <w:pPr>
        <w:pStyle w:val="whitespace-normal"/>
      </w:pPr>
      <w:r>
        <w:rPr>
          <w:rStyle w:val="Fett"/>
        </w:rPr>
        <w:t>Numeri Rabba 19,8:</w:t>
      </w:r>
    </w:p>
    <w:p w14:paraId="79930865" w14:textId="77777777" w:rsidR="00C61AD3" w:rsidRDefault="00C61AD3" w:rsidP="00C61AD3">
      <w:pPr>
        <w:pStyle w:val="whitespace-normal"/>
      </w:pPr>
      <w:r>
        <w:lastRenderedPageBreak/>
        <w:t xml:space="preserve">"Dies ist eine </w:t>
      </w:r>
      <w:r>
        <w:rPr>
          <w:rtl/>
        </w:rPr>
        <w:t>חֻקָּה</w:t>
      </w:r>
      <w:r>
        <w:t xml:space="preserve"> (Satzung), ein Dekret von mir [Gott]; du hast nicht das Recht, es zu hinterfragen."</w:t>
      </w:r>
    </w:p>
    <w:p w14:paraId="18B616E3" w14:textId="77777777" w:rsidR="00C61AD3" w:rsidRDefault="00C61AD3" w:rsidP="00C61AD3">
      <w:pPr>
        <w:pStyle w:val="whitespace-normal"/>
      </w:pPr>
      <w:r>
        <w:rPr>
          <w:rStyle w:val="Fett"/>
        </w:rPr>
        <w:t>→ Es ist ein Mysterium – akzeptiere es!</w:t>
      </w:r>
    </w:p>
    <w:p w14:paraId="1C98B040" w14:textId="77777777" w:rsidR="00C61AD3" w:rsidRDefault="00F329DD" w:rsidP="00C61AD3">
      <w:r>
        <w:pict w14:anchorId="04641DAF">
          <v:rect id="_x0000_i1650" style="width:0;height:1.5pt" o:hralign="center" o:hrstd="t" o:hr="t" fillcolor="#a0a0a0" stroked="f"/>
        </w:pict>
      </w:r>
    </w:p>
    <w:p w14:paraId="28AE3A0E" w14:textId="77777777" w:rsidR="00C61AD3" w:rsidRDefault="00C61AD3" w:rsidP="00C61AD3">
      <w:pPr>
        <w:pStyle w:val="berschrift3"/>
      </w:pPr>
      <w:r>
        <w:rPr>
          <w:rStyle w:val="Fett"/>
          <w:b w:val="0"/>
          <w:bCs w:val="0"/>
        </w:rPr>
        <w:t>6. Zusammenfassung: Warum ROT?</w:t>
      </w:r>
    </w:p>
    <w:p w14:paraId="3EF5E468" w14:textId="4CAF2ABB" w:rsidR="00C61AD3" w:rsidRDefault="00C61AD3" w:rsidP="00C61AD3">
      <w:pPr>
        <w:pStyle w:val="whitespace-normal"/>
        <w:rPr>
          <w:rStyle w:val="Fett"/>
        </w:rPr>
      </w:pPr>
      <w:r>
        <w:rPr>
          <w:rStyle w:val="Fett"/>
        </w:rPr>
        <w:t>Drei Deutungen (alle wahr!):</w:t>
      </w:r>
    </w:p>
    <w:tbl>
      <w:tblPr>
        <w:tblStyle w:val="Tabellenraster"/>
        <w:tblW w:w="4994" w:type="pct"/>
        <w:tblLook w:val="04A0" w:firstRow="1" w:lastRow="0" w:firstColumn="1" w:lastColumn="0" w:noHBand="0" w:noVBand="1"/>
      </w:tblPr>
      <w:tblGrid>
        <w:gridCol w:w="1981"/>
        <w:gridCol w:w="3117"/>
        <w:gridCol w:w="3953"/>
      </w:tblGrid>
      <w:tr w:rsidR="009970B6" w14:paraId="141D3511" w14:textId="77777777" w:rsidTr="009970B6">
        <w:tc>
          <w:tcPr>
            <w:tcW w:w="1094" w:type="pct"/>
            <w:vAlign w:val="center"/>
          </w:tcPr>
          <w:p w14:paraId="568A6AE7" w14:textId="47121D7C" w:rsidR="009970B6" w:rsidRDefault="009970B6" w:rsidP="009970B6">
            <w:pPr>
              <w:pStyle w:val="whitespace-normal"/>
            </w:pPr>
            <w:r>
              <w:rPr>
                <w:b/>
                <w:bCs/>
              </w:rPr>
              <w:t>Deutung</w:t>
            </w:r>
          </w:p>
        </w:tc>
        <w:tc>
          <w:tcPr>
            <w:tcW w:w="1722" w:type="pct"/>
            <w:vAlign w:val="center"/>
          </w:tcPr>
          <w:p w14:paraId="17341077" w14:textId="1D02048D" w:rsidR="009970B6" w:rsidRDefault="009970B6" w:rsidP="009970B6">
            <w:pPr>
              <w:pStyle w:val="whitespace-normal"/>
            </w:pPr>
            <w:r>
              <w:rPr>
                <w:b/>
                <w:bCs/>
              </w:rPr>
              <w:t>Symbolik</w:t>
            </w:r>
          </w:p>
        </w:tc>
        <w:tc>
          <w:tcPr>
            <w:tcW w:w="2184" w:type="pct"/>
            <w:vAlign w:val="center"/>
          </w:tcPr>
          <w:p w14:paraId="436851F6" w14:textId="71755B47" w:rsidR="009970B6" w:rsidRDefault="009970B6" w:rsidP="009970B6">
            <w:pPr>
              <w:pStyle w:val="whitespace-normal"/>
            </w:pPr>
            <w:r>
              <w:rPr>
                <w:b/>
                <w:bCs/>
              </w:rPr>
              <w:t>Bedeutung</w:t>
            </w:r>
          </w:p>
        </w:tc>
      </w:tr>
      <w:tr w:rsidR="009970B6" w14:paraId="322D7AFE" w14:textId="77777777" w:rsidTr="009970B6">
        <w:tc>
          <w:tcPr>
            <w:tcW w:w="1094" w:type="pct"/>
            <w:vAlign w:val="center"/>
          </w:tcPr>
          <w:p w14:paraId="3F8999D4" w14:textId="687F129B" w:rsidR="009970B6" w:rsidRDefault="009970B6" w:rsidP="009970B6">
            <w:pPr>
              <w:pStyle w:val="whitespace-normal"/>
            </w:pPr>
            <w:r>
              <w:rPr>
                <w:rStyle w:val="Fett"/>
              </w:rPr>
              <w:t>1. Rot = BLUT</w:t>
            </w:r>
          </w:p>
        </w:tc>
        <w:tc>
          <w:tcPr>
            <w:tcW w:w="1722" w:type="pct"/>
            <w:vAlign w:val="center"/>
          </w:tcPr>
          <w:p w14:paraId="1CDF2CE4" w14:textId="6DF9B227" w:rsidR="009970B6" w:rsidRDefault="009970B6" w:rsidP="009970B6">
            <w:pPr>
              <w:pStyle w:val="whitespace-normal"/>
            </w:pPr>
            <w:r>
              <w:t>Leben (Lev 17,11)</w:t>
            </w:r>
          </w:p>
        </w:tc>
        <w:tc>
          <w:tcPr>
            <w:tcW w:w="2184" w:type="pct"/>
            <w:vAlign w:val="center"/>
          </w:tcPr>
          <w:p w14:paraId="38C9D642" w14:textId="1F3466F3" w:rsidR="009970B6" w:rsidRDefault="009970B6" w:rsidP="009970B6">
            <w:pPr>
              <w:pStyle w:val="whitespace-normal"/>
            </w:pPr>
            <w:r>
              <w:rPr>
                <w:rStyle w:val="Fett"/>
              </w:rPr>
              <w:t>Leben</w:t>
            </w:r>
            <w:r>
              <w:t xml:space="preserve"> überwindet </w:t>
            </w:r>
            <w:r>
              <w:rPr>
                <w:rStyle w:val="Fett"/>
              </w:rPr>
              <w:t>Tod</w:t>
            </w:r>
          </w:p>
        </w:tc>
      </w:tr>
      <w:tr w:rsidR="009970B6" w14:paraId="15FE3A45" w14:textId="77777777" w:rsidTr="009970B6">
        <w:tc>
          <w:tcPr>
            <w:tcW w:w="1094" w:type="pct"/>
            <w:vAlign w:val="center"/>
          </w:tcPr>
          <w:p w14:paraId="15D43406" w14:textId="385E3798" w:rsidR="009970B6" w:rsidRDefault="009970B6" w:rsidP="009970B6">
            <w:pPr>
              <w:pStyle w:val="whitespace-normal"/>
            </w:pPr>
            <w:r>
              <w:rPr>
                <w:rStyle w:val="Fett"/>
              </w:rPr>
              <w:t>2. Rot = SÜNDE</w:t>
            </w:r>
          </w:p>
        </w:tc>
        <w:tc>
          <w:tcPr>
            <w:tcW w:w="1722" w:type="pct"/>
            <w:vAlign w:val="center"/>
          </w:tcPr>
          <w:p w14:paraId="08DC842E" w14:textId="1187885B" w:rsidR="009970B6" w:rsidRDefault="009970B6" w:rsidP="009970B6">
            <w:pPr>
              <w:pStyle w:val="whitespace-normal"/>
            </w:pPr>
            <w:r>
              <w:t>Jesaja 1,18</w:t>
            </w:r>
          </w:p>
        </w:tc>
        <w:tc>
          <w:tcPr>
            <w:tcW w:w="2184" w:type="pct"/>
            <w:vAlign w:val="center"/>
          </w:tcPr>
          <w:p w14:paraId="0EC77C74" w14:textId="1786BF23" w:rsidR="009970B6" w:rsidRDefault="009970B6" w:rsidP="009970B6">
            <w:pPr>
              <w:pStyle w:val="whitespace-normal"/>
            </w:pPr>
            <w:r>
              <w:t xml:space="preserve">Kuh </w:t>
            </w:r>
            <w:r>
              <w:rPr>
                <w:rStyle w:val="Fett"/>
              </w:rPr>
              <w:t>trägt Sünde</w:t>
            </w:r>
            <w:r>
              <w:t xml:space="preserve"> (wie Sündenbock)</w:t>
            </w:r>
          </w:p>
        </w:tc>
      </w:tr>
      <w:tr w:rsidR="009970B6" w14:paraId="2BC91B17" w14:textId="77777777" w:rsidTr="009970B6">
        <w:tc>
          <w:tcPr>
            <w:tcW w:w="1094" w:type="pct"/>
            <w:vAlign w:val="center"/>
          </w:tcPr>
          <w:p w14:paraId="550E3185" w14:textId="275F5E69" w:rsidR="009970B6" w:rsidRDefault="009970B6" w:rsidP="009970B6">
            <w:pPr>
              <w:pStyle w:val="whitespace-normal"/>
            </w:pPr>
            <w:r>
              <w:rPr>
                <w:rStyle w:val="Fett"/>
              </w:rPr>
              <w:t>3. Rot = ERDE</w:t>
            </w:r>
          </w:p>
        </w:tc>
        <w:tc>
          <w:tcPr>
            <w:tcW w:w="1722" w:type="pct"/>
            <w:vAlign w:val="center"/>
          </w:tcPr>
          <w:p w14:paraId="1C8EADF6" w14:textId="10B59A92" w:rsidR="009970B6" w:rsidRDefault="009970B6" w:rsidP="009970B6">
            <w:pPr>
              <w:pStyle w:val="whitespace-normal"/>
            </w:pPr>
            <w:r>
              <w:t>Sterblichkeit (Gen 2,7; 3,19)</w:t>
            </w:r>
          </w:p>
        </w:tc>
        <w:tc>
          <w:tcPr>
            <w:tcW w:w="2184" w:type="pct"/>
            <w:vAlign w:val="center"/>
          </w:tcPr>
          <w:p w14:paraId="28B46666" w14:textId="21F77DE6" w:rsidR="009970B6" w:rsidRDefault="009970B6" w:rsidP="009970B6">
            <w:pPr>
              <w:pStyle w:val="whitespace-normal"/>
            </w:pPr>
            <w:r>
              <w:rPr>
                <w:rStyle w:val="Fett"/>
              </w:rPr>
              <w:t>Tod</w:t>
            </w:r>
            <w:r>
              <w:t xml:space="preserve"> überwindet </w:t>
            </w:r>
            <w:r>
              <w:rPr>
                <w:rStyle w:val="Fett"/>
              </w:rPr>
              <w:t>Tod</w:t>
            </w:r>
            <w:r>
              <w:t xml:space="preserve"> (Paradoxon!)</w:t>
            </w:r>
          </w:p>
        </w:tc>
      </w:tr>
    </w:tbl>
    <w:p w14:paraId="20A55F2A" w14:textId="77777777" w:rsidR="00C61AD3" w:rsidRDefault="00C61AD3" w:rsidP="00C61AD3">
      <w:pPr>
        <w:pStyle w:val="whitespace-normal"/>
      </w:pPr>
      <w:r>
        <w:rPr>
          <w:rStyle w:val="Fett"/>
        </w:rPr>
        <w:t>Alle drei zusammen:</w:t>
      </w:r>
    </w:p>
    <w:p w14:paraId="0340875B" w14:textId="77777777" w:rsidR="00C61AD3" w:rsidRDefault="00C61AD3" w:rsidP="00B358B7">
      <w:pPr>
        <w:pStyle w:val="whitespace-normal"/>
        <w:numPr>
          <w:ilvl w:val="0"/>
          <w:numId w:val="172"/>
        </w:numPr>
      </w:pPr>
      <w:r>
        <w:t xml:space="preserve">Die </w:t>
      </w:r>
      <w:r>
        <w:rPr>
          <w:rStyle w:val="Fett"/>
        </w:rPr>
        <w:t>rote Kuh</w:t>
      </w:r>
      <w:r>
        <w:t xml:space="preserve"> repräsentiert </w:t>
      </w:r>
      <w:r>
        <w:rPr>
          <w:rStyle w:val="Fett"/>
        </w:rPr>
        <w:t>Leben</w:t>
      </w:r>
      <w:r>
        <w:t xml:space="preserve"> (Blut), </w:t>
      </w:r>
      <w:r>
        <w:rPr>
          <w:rStyle w:val="Fett"/>
        </w:rPr>
        <w:t>Sünde</w:t>
      </w:r>
      <w:r>
        <w:t xml:space="preserve"> und </w:t>
      </w:r>
      <w:r>
        <w:rPr>
          <w:rStyle w:val="Fett"/>
        </w:rPr>
        <w:t>Sterblichkeit</w:t>
      </w:r>
    </w:p>
    <w:p w14:paraId="5D957145" w14:textId="77777777" w:rsidR="00C61AD3" w:rsidRDefault="00C61AD3" w:rsidP="00B358B7">
      <w:pPr>
        <w:pStyle w:val="whitespace-normal"/>
        <w:numPr>
          <w:ilvl w:val="0"/>
          <w:numId w:val="172"/>
        </w:numPr>
      </w:pPr>
      <w:r>
        <w:t xml:space="preserve">Sie wird </w:t>
      </w:r>
      <w:r>
        <w:rPr>
          <w:rStyle w:val="Fett"/>
        </w:rPr>
        <w:t>total vernichtet</w:t>
      </w:r>
      <w:r>
        <w:t xml:space="preserve"> → </w:t>
      </w:r>
      <w:r>
        <w:rPr>
          <w:rStyle w:val="Fett"/>
        </w:rPr>
        <w:t>Sünde</w:t>
      </w:r>
      <w:r>
        <w:t xml:space="preserve"> und </w:t>
      </w:r>
      <w:r>
        <w:rPr>
          <w:rStyle w:val="Fett"/>
        </w:rPr>
        <w:t>Tod</w:t>
      </w:r>
      <w:r>
        <w:t xml:space="preserve"> werden vernichtet</w:t>
      </w:r>
    </w:p>
    <w:p w14:paraId="49273B49" w14:textId="77777777" w:rsidR="00C61AD3" w:rsidRDefault="00C61AD3" w:rsidP="00B358B7">
      <w:pPr>
        <w:pStyle w:val="whitespace-normal"/>
        <w:numPr>
          <w:ilvl w:val="0"/>
          <w:numId w:val="172"/>
        </w:numPr>
      </w:pPr>
      <w:r>
        <w:t xml:space="preserve">Ihre </w:t>
      </w:r>
      <w:r>
        <w:rPr>
          <w:rStyle w:val="Fett"/>
        </w:rPr>
        <w:t>Asche</w:t>
      </w:r>
      <w:r>
        <w:t xml:space="preserve"> (Tod) + </w:t>
      </w:r>
      <w:r>
        <w:rPr>
          <w:rStyle w:val="Fett"/>
        </w:rPr>
        <w:t>lebendiges Wasser</w:t>
      </w:r>
      <w:r>
        <w:t xml:space="preserve"> (Leben) = </w:t>
      </w:r>
      <w:r>
        <w:rPr>
          <w:rStyle w:val="Fett"/>
        </w:rPr>
        <w:t>Reinigung</w:t>
      </w:r>
    </w:p>
    <w:p w14:paraId="011A3A7D" w14:textId="77777777" w:rsidR="00C61AD3" w:rsidRDefault="00C61AD3" w:rsidP="00B358B7">
      <w:pPr>
        <w:pStyle w:val="whitespace-normal"/>
        <w:numPr>
          <w:ilvl w:val="0"/>
          <w:numId w:val="172"/>
        </w:numPr>
      </w:pPr>
      <w:r>
        <w:t xml:space="preserve">→ </w:t>
      </w:r>
      <w:r>
        <w:rPr>
          <w:rStyle w:val="Fett"/>
        </w:rPr>
        <w:t>Leben durch Tod</w:t>
      </w:r>
      <w:r>
        <w:t xml:space="preserve"> – das zentrale Evangelium!</w:t>
      </w:r>
    </w:p>
    <w:p w14:paraId="66426E27" w14:textId="77777777" w:rsidR="00C61AD3" w:rsidRDefault="00C61AD3" w:rsidP="00C61AD3">
      <w:pPr>
        <w:pStyle w:val="whitespace-normal"/>
      </w:pPr>
      <w:r>
        <w:rPr>
          <w:rStyle w:val="Fett"/>
        </w:rPr>
        <w:t>NT-Erfüllung:</w:t>
      </w:r>
      <w:r>
        <w:t xml:space="preserve"> </w:t>
      </w:r>
      <w:r>
        <w:rPr>
          <w:rStyle w:val="Fett"/>
        </w:rPr>
        <w:t>Christus</w:t>
      </w:r>
      <w:r>
        <w:t xml:space="preserve"> (rot = Blut am Kreuz) wurde </w:t>
      </w:r>
      <w:r>
        <w:rPr>
          <w:rStyle w:val="Fett"/>
        </w:rPr>
        <w:t>außerhalb</w:t>
      </w:r>
      <w:r>
        <w:t xml:space="preserve"> des Lagers </w:t>
      </w:r>
      <w:r>
        <w:rPr>
          <w:rStyle w:val="Fett"/>
        </w:rPr>
        <w:t>geopfert</w:t>
      </w:r>
      <w:r>
        <w:t xml:space="preserve">, damit wir von </w:t>
      </w:r>
      <w:r>
        <w:rPr>
          <w:rStyle w:val="Fett"/>
        </w:rPr>
        <w:t>Todesunreinheit</w:t>
      </w:r>
      <w:r>
        <w:t xml:space="preserve"> (Sünde) </w:t>
      </w:r>
      <w:r>
        <w:rPr>
          <w:rStyle w:val="Fett"/>
        </w:rPr>
        <w:t>gereinigt</w:t>
      </w:r>
      <w:r>
        <w:t xml:space="preserve"> werden!</w:t>
      </w:r>
    </w:p>
    <w:p w14:paraId="1D88B679" w14:textId="77777777" w:rsidR="00C61AD3" w:rsidRDefault="00C61AD3" w:rsidP="00C61AD3">
      <w:pPr>
        <w:pStyle w:val="whitespace-normal"/>
      </w:pPr>
      <w:r>
        <w:rPr>
          <w:rStyle w:val="Fett"/>
        </w:rPr>
        <w:t>Johannes 12,24:</w:t>
      </w:r>
    </w:p>
    <w:p w14:paraId="20CCF8E8" w14:textId="77777777" w:rsidR="00C61AD3" w:rsidRDefault="00C61AD3" w:rsidP="00C61AD3">
      <w:pPr>
        <w:pStyle w:val="whitespace-normal"/>
      </w:pPr>
      <w:r>
        <w:t xml:space="preserve">ἐὰν μὴ ὁ κόκκος τοῦ σίτου πεσὼν εἰς τὴν γῆν </w:t>
      </w:r>
      <w:r>
        <w:rPr>
          <w:rStyle w:val="Fett"/>
        </w:rPr>
        <w:t>ἀποθάνῃ</w:t>
      </w:r>
      <w:r>
        <w:t xml:space="preserve">, αὐτὸς μόνος μένει· ἐὰν δὲ </w:t>
      </w:r>
      <w:r>
        <w:rPr>
          <w:rStyle w:val="Fett"/>
        </w:rPr>
        <w:t>ἀποθάνῃ, πολὺν καρπὸν φέρει</w:t>
      </w:r>
    </w:p>
    <w:p w14:paraId="7275918D" w14:textId="77777777" w:rsidR="00C61AD3" w:rsidRDefault="00C61AD3" w:rsidP="00C61AD3">
      <w:pPr>
        <w:pStyle w:val="whitespace-normal"/>
      </w:pPr>
      <w:r>
        <w:t xml:space="preserve">"Wenn das Weizenkorn nicht in die Erde fällt und </w:t>
      </w:r>
      <w:r>
        <w:rPr>
          <w:rStyle w:val="Fett"/>
        </w:rPr>
        <w:t>stirbt</w:t>
      </w:r>
      <w:r>
        <w:t xml:space="preserve">, bleibt es allein; wenn es aber </w:t>
      </w:r>
      <w:r>
        <w:rPr>
          <w:rStyle w:val="Fett"/>
        </w:rPr>
        <w:t>stirbt, bringt es viel Frucht</w:t>
      </w:r>
      <w:r>
        <w:t>"</w:t>
      </w:r>
    </w:p>
    <w:p w14:paraId="4DF3594E" w14:textId="0A9D8B66" w:rsidR="00C61AD3" w:rsidRPr="001D73EC" w:rsidRDefault="00C61AD3" w:rsidP="009970B6">
      <w:pPr>
        <w:pStyle w:val="whitespace-normal"/>
      </w:pPr>
      <w:r>
        <w:rPr>
          <w:rStyle w:val="Fett"/>
        </w:rPr>
        <w:t>→ Leben durch Tod – das Geheimnis der roten Kuh!</w:t>
      </w:r>
    </w:p>
    <w:p w14:paraId="371C2D11"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19,7</w:t>
      </w:r>
    </w:p>
    <w:p w14:paraId="4EF9C409"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וְכִבֶּ֨ס בְּגָדָ֜יו הַכֹּהֵ֗ן וְרָחַ֤ץ בְּשָׂרוֹ֙ בַּמַּ֔יִם וְאַחַ֖ר יָב֣וֹא אֶל־הַֽמַּחֲנֶ֑ה וְטָמֵ֥א הַכֹּהֵ֖ן עַד־הָעָֽרֶב׃</w:t>
      </w:r>
    </w:p>
    <w:p w14:paraId="5EE26575"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der Priester soll seine Kleider waschen und seinen Leib mit Wasser baden, und danach darf er ins Lager kommen; aber der Priester wird unrein bis zum Abend.</w:t>
      </w:r>
    </w:p>
    <w:p w14:paraId="2E5B31B1"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1202F734">
          <v:rect id="_x0000_i1651" style="width:0;height:1.5pt" o:hralign="center" o:hrstd="t" o:hr="t" fillcolor="#a0a0a0" stroked="f"/>
        </w:pict>
      </w:r>
    </w:p>
    <w:p w14:paraId="7B8E1443"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וְכִבֶּס</w:t>
      </w:r>
      <w:r w:rsidRPr="001D73EC">
        <w:rPr>
          <w:rFonts w:eastAsia="Times New Roman" w:cs="Times New Roman"/>
          <w:rtl/>
          <w:lang w:eastAsia="de-DE"/>
        </w:rPr>
        <w:t xml:space="preserve"> </w:t>
      </w:r>
      <w:r w:rsidRPr="001D73EC">
        <w:rPr>
          <w:rFonts w:eastAsia="Times New Roman" w:cs="Times New Roman"/>
          <w:lang w:eastAsia="de-DE"/>
        </w:rPr>
        <w:t xml:space="preserve">(Waw + Piel Perfekt, 3. m. sg. von </w:t>
      </w:r>
      <w:r w:rsidRPr="001D73EC">
        <w:rPr>
          <w:rFonts w:eastAsia="Times New Roman" w:cs="Times New Roman"/>
          <w:b/>
          <w:bCs/>
          <w:rtl/>
          <w:lang w:eastAsia="de-DE"/>
        </w:rPr>
        <w:t>כבס</w:t>
      </w:r>
      <w:r w:rsidRPr="001D73EC">
        <w:rPr>
          <w:rFonts w:eastAsia="Times New Roman" w:cs="Times New Roman"/>
          <w:lang w:eastAsia="de-DE"/>
        </w:rPr>
        <w:t xml:space="preserve">, „und er soll waschen") mit Weqatal bezeichnet die rituelle Reinigung. Die Piel-Form ist intensiv. Das Objekt </w:t>
      </w:r>
      <w:r w:rsidRPr="001D73EC">
        <w:rPr>
          <w:rFonts w:eastAsia="Times New Roman" w:cs="Times New Roman"/>
          <w:b/>
          <w:bCs/>
          <w:rtl/>
          <w:lang w:eastAsia="de-DE"/>
        </w:rPr>
        <w:t>בְּגָדָיו</w:t>
      </w:r>
      <w:r w:rsidRPr="001D73EC">
        <w:rPr>
          <w:rFonts w:eastAsia="Times New Roman" w:cs="Times New Roman"/>
          <w:rtl/>
          <w:lang w:eastAsia="de-DE"/>
        </w:rPr>
        <w:t xml:space="preserve"> </w:t>
      </w:r>
      <w:r w:rsidRPr="001D73EC">
        <w:rPr>
          <w:rFonts w:eastAsia="Times New Roman" w:cs="Times New Roman"/>
          <w:lang w:eastAsia="de-DE"/>
        </w:rPr>
        <w:t xml:space="preserve">(„seine Kleider", Plural mit Possessivsuffix 3. m. sg.). Das Subjekt </w:t>
      </w:r>
      <w:r w:rsidRPr="001D73EC">
        <w:rPr>
          <w:rFonts w:eastAsia="Times New Roman" w:cs="Times New Roman"/>
          <w:b/>
          <w:bCs/>
          <w:rtl/>
          <w:lang w:eastAsia="de-DE"/>
        </w:rPr>
        <w:t>הַכֹּהֵן</w:t>
      </w:r>
      <w:r w:rsidRPr="001D73EC">
        <w:rPr>
          <w:rFonts w:eastAsia="Times New Roman" w:cs="Times New Roman"/>
          <w:rtl/>
          <w:lang w:eastAsia="de-DE"/>
        </w:rPr>
        <w:t xml:space="preserve"> </w:t>
      </w:r>
      <w:r w:rsidRPr="001D73EC">
        <w:rPr>
          <w:rFonts w:eastAsia="Times New Roman" w:cs="Times New Roman"/>
          <w:lang w:eastAsia="de-DE"/>
        </w:rPr>
        <w:t xml:space="preserve">(„der Priester") mit Artikel wird nachgestellt zur Betonung. Das koordinierte Verb </w:t>
      </w:r>
      <w:r w:rsidRPr="001D73EC">
        <w:rPr>
          <w:rFonts w:eastAsia="Times New Roman" w:cs="Times New Roman"/>
          <w:b/>
          <w:bCs/>
          <w:rtl/>
          <w:lang w:eastAsia="de-DE"/>
        </w:rPr>
        <w:t>וְרָחַץ</w:t>
      </w:r>
      <w:r w:rsidRPr="001D73EC">
        <w:rPr>
          <w:rFonts w:eastAsia="Times New Roman" w:cs="Times New Roman"/>
          <w:rtl/>
          <w:lang w:eastAsia="de-DE"/>
        </w:rPr>
        <w:t xml:space="preserve"> </w:t>
      </w:r>
      <w:r w:rsidRPr="001D73EC">
        <w:rPr>
          <w:rFonts w:eastAsia="Times New Roman" w:cs="Times New Roman"/>
          <w:lang w:eastAsia="de-DE"/>
        </w:rPr>
        <w:t xml:space="preserve">(Waw + Qal Perfekt, 3. </w:t>
      </w:r>
      <w:r w:rsidRPr="001D73EC">
        <w:rPr>
          <w:rFonts w:eastAsia="Times New Roman" w:cs="Times New Roman"/>
          <w:lang w:eastAsia="de-DE"/>
        </w:rPr>
        <w:lastRenderedPageBreak/>
        <w:t xml:space="preserve">m. sg. von </w:t>
      </w:r>
      <w:r w:rsidRPr="001D73EC">
        <w:rPr>
          <w:rFonts w:eastAsia="Times New Roman" w:cs="Times New Roman"/>
          <w:b/>
          <w:bCs/>
          <w:rtl/>
          <w:lang w:eastAsia="de-DE"/>
        </w:rPr>
        <w:t>רחץ</w:t>
      </w:r>
      <w:r w:rsidRPr="001D73EC">
        <w:rPr>
          <w:rFonts w:eastAsia="Times New Roman" w:cs="Times New Roman"/>
          <w:lang w:eastAsia="de-DE"/>
        </w:rPr>
        <w:t xml:space="preserve">, „und er soll baden") mit Weqatal. Das Objekt </w:t>
      </w:r>
      <w:r w:rsidRPr="001D73EC">
        <w:rPr>
          <w:rFonts w:eastAsia="Times New Roman" w:cs="Times New Roman"/>
          <w:b/>
          <w:bCs/>
          <w:rtl/>
          <w:lang w:eastAsia="de-DE"/>
        </w:rPr>
        <w:t>בְּשָׂרוֹ</w:t>
      </w:r>
      <w:r w:rsidRPr="001D73EC">
        <w:rPr>
          <w:rFonts w:eastAsia="Times New Roman" w:cs="Times New Roman"/>
          <w:rtl/>
          <w:lang w:eastAsia="de-DE"/>
        </w:rPr>
        <w:t xml:space="preserve"> </w:t>
      </w:r>
      <w:r w:rsidRPr="001D73EC">
        <w:rPr>
          <w:rFonts w:eastAsia="Times New Roman" w:cs="Times New Roman"/>
          <w:lang w:eastAsia="de-DE"/>
        </w:rPr>
        <w:t xml:space="preserve">(„seinen Leib, sein Fleisch") mit Possessivsuffix 3. m. sg. </w:t>
      </w:r>
      <w:r w:rsidRPr="001D73EC">
        <w:rPr>
          <w:rFonts w:eastAsia="Times New Roman" w:cs="Times New Roman"/>
          <w:b/>
          <w:bCs/>
          <w:rtl/>
          <w:lang w:eastAsia="de-DE"/>
        </w:rPr>
        <w:t>בַּמַּיִם</w:t>
      </w:r>
      <w:r w:rsidRPr="001D73EC">
        <w:rPr>
          <w:rFonts w:eastAsia="Times New Roman" w:cs="Times New Roman"/>
          <w:rtl/>
          <w:lang w:eastAsia="de-DE"/>
        </w:rPr>
        <w:t xml:space="preserve"> </w:t>
      </w:r>
      <w:r w:rsidRPr="001D73EC">
        <w:rPr>
          <w:rFonts w:eastAsia="Times New Roman" w:cs="Times New Roman"/>
          <w:lang w:eastAsia="de-DE"/>
        </w:rPr>
        <w:t xml:space="preserve">(„mit Wasser") mit </w:t>
      </w:r>
      <w:r w:rsidRPr="001D73EC">
        <w:rPr>
          <w:rFonts w:eastAsia="Times New Roman" w:cs="Times New Roman"/>
          <w:b/>
          <w:bCs/>
          <w:rtl/>
          <w:lang w:eastAsia="de-DE"/>
        </w:rPr>
        <w:t>בְּ</w:t>
      </w:r>
      <w:r w:rsidRPr="001D73EC">
        <w:rPr>
          <w:rFonts w:eastAsia="Times New Roman" w:cs="Times New Roman"/>
          <w:rtl/>
          <w:lang w:eastAsia="de-DE"/>
        </w:rPr>
        <w:t xml:space="preserve"> </w:t>
      </w:r>
      <w:r w:rsidRPr="001D73EC">
        <w:rPr>
          <w:rFonts w:eastAsia="Times New Roman" w:cs="Times New Roman"/>
          <w:lang w:eastAsia="de-DE"/>
        </w:rPr>
        <w:t>instrumentalis.</w:t>
      </w:r>
    </w:p>
    <w:p w14:paraId="14AC3AB0"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temporale </w:t>
      </w:r>
      <w:r w:rsidRPr="001D73EC">
        <w:rPr>
          <w:rFonts w:eastAsia="Times New Roman" w:cs="Times New Roman"/>
          <w:b/>
          <w:bCs/>
          <w:rtl/>
          <w:lang w:eastAsia="de-DE"/>
        </w:rPr>
        <w:t>וְאַחַר</w:t>
      </w:r>
      <w:r w:rsidRPr="001D73EC">
        <w:rPr>
          <w:rFonts w:eastAsia="Times New Roman" w:cs="Times New Roman"/>
          <w:rtl/>
          <w:lang w:eastAsia="de-DE"/>
        </w:rPr>
        <w:t xml:space="preserve"> </w:t>
      </w:r>
      <w:r w:rsidRPr="001D73EC">
        <w:rPr>
          <w:rFonts w:eastAsia="Times New Roman" w:cs="Times New Roman"/>
          <w:lang w:eastAsia="de-DE"/>
        </w:rPr>
        <w:t xml:space="preserve">(„und danach") leitet die Erlaubnis ein. </w:t>
      </w:r>
      <w:r w:rsidRPr="001D73EC">
        <w:rPr>
          <w:rFonts w:eastAsia="Times New Roman" w:cs="Times New Roman"/>
          <w:b/>
          <w:bCs/>
          <w:rtl/>
          <w:lang w:eastAsia="de-DE"/>
        </w:rPr>
        <w:t>יָבוֹא</w:t>
      </w:r>
      <w:r w:rsidRPr="001D73EC">
        <w:rPr>
          <w:rFonts w:eastAsia="Times New Roman" w:cs="Times New Roman"/>
          <w:rtl/>
          <w:lang w:eastAsia="de-DE"/>
        </w:rPr>
        <w:t xml:space="preserve"> </w:t>
      </w:r>
      <w:r w:rsidRPr="001D73EC">
        <w:rPr>
          <w:rFonts w:eastAsia="Times New Roman" w:cs="Times New Roman"/>
          <w:lang w:eastAsia="de-DE"/>
        </w:rPr>
        <w:t xml:space="preserve">(Qal Imperfekt, 3. m. sg. von </w:t>
      </w:r>
      <w:r w:rsidRPr="001D73EC">
        <w:rPr>
          <w:rFonts w:eastAsia="Times New Roman" w:cs="Times New Roman"/>
          <w:b/>
          <w:bCs/>
          <w:rtl/>
          <w:lang w:eastAsia="de-DE"/>
        </w:rPr>
        <w:t>בוא</w:t>
      </w:r>
      <w:r w:rsidRPr="001D73EC">
        <w:rPr>
          <w:rFonts w:eastAsia="Times New Roman" w:cs="Times New Roman"/>
          <w:lang w:eastAsia="de-DE"/>
        </w:rPr>
        <w:t xml:space="preserve">, „er darf kommen") hat permissive Bedeutung. </w:t>
      </w:r>
      <w:r w:rsidRPr="001D73EC">
        <w:rPr>
          <w:rFonts w:eastAsia="Times New Roman" w:cs="Times New Roman"/>
          <w:b/>
          <w:bCs/>
          <w:rtl/>
          <w:lang w:eastAsia="de-DE"/>
        </w:rPr>
        <w:t>אֶל־הַמַּחֲנֶה</w:t>
      </w:r>
      <w:r w:rsidRPr="001D73EC">
        <w:rPr>
          <w:rFonts w:eastAsia="Times New Roman" w:cs="Times New Roman"/>
          <w:rtl/>
          <w:lang w:eastAsia="de-DE"/>
        </w:rPr>
        <w:t xml:space="preserve"> </w:t>
      </w:r>
      <w:r w:rsidRPr="001D73EC">
        <w:rPr>
          <w:rFonts w:eastAsia="Times New Roman" w:cs="Times New Roman"/>
          <w:lang w:eastAsia="de-DE"/>
        </w:rPr>
        <w:t>(„ins Lager") gibt das Ziel an.</w:t>
      </w:r>
    </w:p>
    <w:p w14:paraId="2E543E97"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adversative </w:t>
      </w:r>
      <w:r w:rsidRPr="001D73EC">
        <w:rPr>
          <w:rFonts w:eastAsia="Times New Roman" w:cs="Times New Roman"/>
          <w:b/>
          <w:bCs/>
          <w:rtl/>
          <w:lang w:eastAsia="de-DE"/>
        </w:rPr>
        <w:t>וְטָמֵא</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טמא</w:t>
      </w:r>
      <w:r w:rsidRPr="001D73EC">
        <w:rPr>
          <w:rFonts w:eastAsia="Times New Roman" w:cs="Times New Roman"/>
          <w:lang w:eastAsia="de-DE"/>
        </w:rPr>
        <w:t xml:space="preserve">, „und er ist unrein") drückt das Paradoxon aus: Trotz Waschung bleibt Unreinheit. Das wiederholte Subjekt </w:t>
      </w:r>
      <w:r w:rsidRPr="001D73EC">
        <w:rPr>
          <w:rFonts w:eastAsia="Times New Roman" w:cs="Times New Roman"/>
          <w:b/>
          <w:bCs/>
          <w:rtl/>
          <w:lang w:eastAsia="de-DE"/>
        </w:rPr>
        <w:t>הַכֹּהֵן</w:t>
      </w:r>
      <w:r w:rsidRPr="001D73EC">
        <w:rPr>
          <w:rFonts w:eastAsia="Times New Roman" w:cs="Times New Roman"/>
          <w:rtl/>
          <w:lang w:eastAsia="de-DE"/>
        </w:rPr>
        <w:t xml:space="preserve"> </w:t>
      </w:r>
      <w:r w:rsidRPr="001D73EC">
        <w:rPr>
          <w:rFonts w:eastAsia="Times New Roman" w:cs="Times New Roman"/>
          <w:lang w:eastAsia="de-DE"/>
        </w:rPr>
        <w:t xml:space="preserve">betont. Die Zeitangabe </w:t>
      </w:r>
      <w:r w:rsidRPr="001D73EC">
        <w:rPr>
          <w:rFonts w:eastAsia="Times New Roman" w:cs="Times New Roman"/>
          <w:b/>
          <w:bCs/>
          <w:rtl/>
          <w:lang w:eastAsia="de-DE"/>
        </w:rPr>
        <w:t>עַד־הָעָרֶב</w:t>
      </w:r>
      <w:r w:rsidRPr="001D73EC">
        <w:rPr>
          <w:rFonts w:eastAsia="Times New Roman" w:cs="Times New Roman"/>
          <w:rtl/>
          <w:lang w:eastAsia="de-DE"/>
        </w:rPr>
        <w:t xml:space="preserve"> </w:t>
      </w:r>
      <w:r w:rsidRPr="001D73EC">
        <w:rPr>
          <w:rFonts w:eastAsia="Times New Roman" w:cs="Times New Roman"/>
          <w:lang w:eastAsia="de-DE"/>
        </w:rPr>
        <w:t>(„bis zum Abend") gibt die Dauer an – die übliche Frist für temporäre Unreinheit.</w:t>
      </w:r>
    </w:p>
    <w:p w14:paraId="70F1F9B9"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w:t>
      </w:r>
    </w:p>
    <w:p w14:paraId="0E062A5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vier koordinierte Hauptsätze: Die ersten beiden mit Weqatal-Verben, Objekt (Possessivsuffix) und nachgestelltem bzw. ausgelassenem Subjekt, der zweite mit zusätzlicher Instrumentalphrase; der dritte mit temporalem Adverb, Verb (permissiv) und Präpositionalphrase; der vierte adversativ mit Verb, Subjekt und Zeitangabe. Es gibt keine Nebensätze.</w:t>
      </w:r>
    </w:p>
    <w:p w14:paraId="1D940AE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enthält das zentrale Paradoxon: Der Priester, der das Reinigungsmittel herstellt, wird selbst unrein – ein tiefes theologisches Rätsel des Rituals.</w:t>
      </w:r>
    </w:p>
    <w:p w14:paraId="53720C17"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19,8</w:t>
      </w:r>
    </w:p>
    <w:p w14:paraId="5946AA97"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וְהַשֹּׂרֵ֣ף אֹתָ֔הּ יְכַבֵּ֤ס בְּגָדָיו֙ בַּמַּ֔יִם וְרָחַ֥ץ בְּשָׂרֹ֖ו בַּמָּ֑יִם וְטָמֵ֖א עַד־הָעָֽרֶב׃</w:t>
      </w:r>
    </w:p>
    <w:p w14:paraId="070B53B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der sie Verbrennende soll seine Kleider mit Wasser waschen und seinen Leib mit Wasser baden, und er wird unrein bis zum Abend.</w:t>
      </w:r>
    </w:p>
    <w:p w14:paraId="5896C2A2"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16D22E94">
          <v:rect id="_x0000_i1652" style="width:0;height:1.5pt" o:hralign="center" o:hrstd="t" o:hr="t" fillcolor="#a0a0a0" stroked="f"/>
        </w:pict>
      </w:r>
    </w:p>
    <w:p w14:paraId="2AB59B1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Subjekt </w:t>
      </w:r>
      <w:r w:rsidRPr="001D73EC">
        <w:rPr>
          <w:rFonts w:eastAsia="Times New Roman" w:cs="Times New Roman"/>
          <w:b/>
          <w:bCs/>
          <w:rtl/>
          <w:lang w:eastAsia="de-DE"/>
        </w:rPr>
        <w:t>וְהַשֹּׂרֵף אֹתָהּ</w:t>
      </w:r>
      <w:r w:rsidRPr="001D73EC">
        <w:rPr>
          <w:rFonts w:eastAsia="Times New Roman" w:cs="Times New Roman"/>
          <w:rtl/>
          <w:lang w:eastAsia="de-DE"/>
        </w:rPr>
        <w:t xml:space="preserve"> </w:t>
      </w:r>
      <w:r w:rsidRPr="001D73EC">
        <w:rPr>
          <w:rFonts w:eastAsia="Times New Roman" w:cs="Times New Roman"/>
          <w:lang w:eastAsia="de-DE"/>
        </w:rPr>
        <w:t xml:space="preserve">(„und der sie Verbrennende") besteht aus </w:t>
      </w:r>
      <w:r w:rsidRPr="001D73EC">
        <w:rPr>
          <w:rFonts w:eastAsia="Times New Roman" w:cs="Times New Roman"/>
          <w:b/>
          <w:bCs/>
          <w:rtl/>
          <w:lang w:eastAsia="de-DE"/>
        </w:rPr>
        <w:t>וְ</w:t>
      </w:r>
      <w:r w:rsidRPr="001D73EC">
        <w:rPr>
          <w:rFonts w:eastAsia="Times New Roman" w:cs="Times New Roman"/>
          <w:rtl/>
          <w:lang w:eastAsia="de-DE"/>
        </w:rPr>
        <w:t xml:space="preserve"> </w:t>
      </w:r>
      <w:r w:rsidRPr="001D73EC">
        <w:rPr>
          <w:rFonts w:eastAsia="Times New Roman" w:cs="Times New Roman"/>
          <w:lang w:eastAsia="de-DE"/>
        </w:rPr>
        <w:t xml:space="preserve">Konjunktion, </w:t>
      </w:r>
      <w:r w:rsidRPr="001D73EC">
        <w:rPr>
          <w:rFonts w:eastAsia="Times New Roman" w:cs="Times New Roman"/>
          <w:b/>
          <w:bCs/>
          <w:rtl/>
          <w:lang w:eastAsia="de-DE"/>
        </w:rPr>
        <w:t>הַשֹּׂרֵף</w:t>
      </w:r>
      <w:r w:rsidRPr="001D73EC">
        <w:rPr>
          <w:rFonts w:eastAsia="Times New Roman" w:cs="Times New Roman"/>
          <w:rtl/>
          <w:lang w:eastAsia="de-DE"/>
        </w:rPr>
        <w:t xml:space="preserve"> </w:t>
      </w:r>
      <w:r w:rsidRPr="001D73EC">
        <w:rPr>
          <w:rFonts w:eastAsia="Times New Roman" w:cs="Times New Roman"/>
          <w:lang w:eastAsia="de-DE"/>
        </w:rPr>
        <w:t xml:space="preserve">(Qal Partizip maskulinum singular von </w:t>
      </w:r>
      <w:r w:rsidRPr="001D73EC">
        <w:rPr>
          <w:rFonts w:eastAsia="Times New Roman" w:cs="Times New Roman"/>
          <w:b/>
          <w:bCs/>
          <w:rtl/>
          <w:lang w:eastAsia="de-DE"/>
        </w:rPr>
        <w:t>שׂרף</w:t>
      </w:r>
      <w:r w:rsidRPr="001D73EC">
        <w:rPr>
          <w:rFonts w:eastAsia="Times New Roman" w:cs="Times New Roman"/>
          <w:rtl/>
          <w:lang w:eastAsia="de-DE"/>
        </w:rPr>
        <w:t xml:space="preserve"> </w:t>
      </w:r>
      <w:r w:rsidRPr="001D73EC">
        <w:rPr>
          <w:rFonts w:eastAsia="Times New Roman" w:cs="Times New Roman"/>
          <w:lang w:eastAsia="de-DE"/>
        </w:rPr>
        <w:t xml:space="preserve">„verbrennen" mit Artikel, substantiviert) und </w:t>
      </w:r>
      <w:r w:rsidRPr="001D73EC">
        <w:rPr>
          <w:rFonts w:eastAsia="Times New Roman" w:cs="Times New Roman"/>
          <w:b/>
          <w:bCs/>
          <w:rtl/>
          <w:lang w:eastAsia="de-DE"/>
        </w:rPr>
        <w:t>אֹתָהּ</w:t>
      </w:r>
      <w:r w:rsidRPr="001D73EC">
        <w:rPr>
          <w:rFonts w:eastAsia="Times New Roman" w:cs="Times New Roman"/>
          <w:rtl/>
          <w:lang w:eastAsia="de-DE"/>
        </w:rPr>
        <w:t xml:space="preserve"> </w:t>
      </w:r>
      <w:r w:rsidRPr="001D73EC">
        <w:rPr>
          <w:rFonts w:eastAsia="Times New Roman" w:cs="Times New Roman"/>
          <w:lang w:eastAsia="de-DE"/>
        </w:rPr>
        <w:t xml:space="preserve">(Objektpartikel mit Suffix 3. f. sg.). Das Partizip fungiert als Subjekt: „derjenige, der sie verbrennt". Das Verb </w:t>
      </w:r>
      <w:r w:rsidRPr="001D73EC">
        <w:rPr>
          <w:rFonts w:eastAsia="Times New Roman" w:cs="Times New Roman"/>
          <w:b/>
          <w:bCs/>
          <w:rtl/>
          <w:lang w:eastAsia="de-DE"/>
        </w:rPr>
        <w:t>יְכַבֵּס</w:t>
      </w:r>
      <w:r w:rsidRPr="001D73EC">
        <w:rPr>
          <w:rFonts w:eastAsia="Times New Roman" w:cs="Times New Roman"/>
          <w:rtl/>
          <w:lang w:eastAsia="de-DE"/>
        </w:rPr>
        <w:t xml:space="preserve"> </w:t>
      </w:r>
      <w:r w:rsidRPr="001D73EC">
        <w:rPr>
          <w:rFonts w:eastAsia="Times New Roman" w:cs="Times New Roman"/>
          <w:lang w:eastAsia="de-DE"/>
        </w:rPr>
        <w:t xml:space="preserve">(Piel Imperfekt, 3. m. sg. von </w:t>
      </w:r>
      <w:r w:rsidRPr="001D73EC">
        <w:rPr>
          <w:rFonts w:eastAsia="Times New Roman" w:cs="Times New Roman"/>
          <w:b/>
          <w:bCs/>
          <w:rtl/>
          <w:lang w:eastAsia="de-DE"/>
        </w:rPr>
        <w:t>כבס</w:t>
      </w:r>
      <w:r w:rsidRPr="001D73EC">
        <w:rPr>
          <w:rFonts w:eastAsia="Times New Roman" w:cs="Times New Roman"/>
          <w:lang w:eastAsia="de-DE"/>
        </w:rPr>
        <w:t xml:space="preserve">, „er soll waschen") mit </w:t>
      </w:r>
      <w:r w:rsidRPr="001D73EC">
        <w:rPr>
          <w:rFonts w:eastAsia="Times New Roman" w:cs="Times New Roman"/>
          <w:b/>
          <w:bCs/>
          <w:rtl/>
          <w:lang w:eastAsia="de-DE"/>
        </w:rPr>
        <w:t>בְּגָדָיו בַּמַּיִם</w:t>
      </w:r>
      <w:r w:rsidRPr="001D73EC">
        <w:rPr>
          <w:rFonts w:eastAsia="Times New Roman" w:cs="Times New Roman"/>
          <w:rtl/>
          <w:lang w:eastAsia="de-DE"/>
        </w:rPr>
        <w:t xml:space="preserve"> </w:t>
      </w:r>
      <w:r w:rsidRPr="001D73EC">
        <w:rPr>
          <w:rFonts w:eastAsia="Times New Roman" w:cs="Times New Roman"/>
          <w:lang w:eastAsia="de-DE"/>
        </w:rPr>
        <w:t>(„seine Kleider mit Wasser").</w:t>
      </w:r>
    </w:p>
    <w:p w14:paraId="140AA95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koordinierte </w:t>
      </w:r>
      <w:r w:rsidRPr="001D73EC">
        <w:rPr>
          <w:rFonts w:eastAsia="Times New Roman" w:cs="Times New Roman"/>
          <w:b/>
          <w:bCs/>
          <w:rtl/>
          <w:lang w:eastAsia="de-DE"/>
        </w:rPr>
        <w:t>וְרָחַץ בְּשָׂרוֹ בַּמַּיִם</w:t>
      </w:r>
      <w:r w:rsidRPr="001D73EC">
        <w:rPr>
          <w:rFonts w:eastAsia="Times New Roman" w:cs="Times New Roman"/>
          <w:rtl/>
          <w:lang w:eastAsia="de-DE"/>
        </w:rPr>
        <w:t xml:space="preserve"> </w:t>
      </w:r>
      <w:r w:rsidRPr="001D73EC">
        <w:rPr>
          <w:rFonts w:eastAsia="Times New Roman" w:cs="Times New Roman"/>
          <w:lang w:eastAsia="de-DE"/>
        </w:rPr>
        <w:t xml:space="preserve">wiederholt die Struktur aus Vers 7. Die dritte Aussage </w:t>
      </w:r>
      <w:r w:rsidRPr="001D73EC">
        <w:rPr>
          <w:rFonts w:eastAsia="Times New Roman" w:cs="Times New Roman"/>
          <w:b/>
          <w:bCs/>
          <w:rtl/>
          <w:lang w:eastAsia="de-DE"/>
        </w:rPr>
        <w:t>וְטָמֵא עַד־הָעָרֶב</w:t>
      </w:r>
      <w:r w:rsidRPr="001D73EC">
        <w:rPr>
          <w:rFonts w:eastAsia="Times New Roman" w:cs="Times New Roman"/>
          <w:rtl/>
          <w:lang w:eastAsia="de-DE"/>
        </w:rPr>
        <w:t xml:space="preserve"> </w:t>
      </w:r>
      <w:r w:rsidRPr="001D73EC">
        <w:rPr>
          <w:rFonts w:eastAsia="Times New Roman" w:cs="Times New Roman"/>
          <w:lang w:eastAsia="de-DE"/>
        </w:rPr>
        <w:t>ist identisch mit Vers 7 – auch der Ausführende der Verbrennung wird unrein.</w:t>
      </w:r>
    </w:p>
    <w:p w14:paraId="780EC04C"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w:t>
      </w:r>
    </w:p>
    <w:p w14:paraId="68F41A1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drei koordinierte Hauptsätze: Der erste mit partizipialem Subjekt (mit Objekt), Verb, Objekt und Instrumentalphrase; der zweite mit Verb, Objekt und Instrumentalphrase; der dritte mit Verb und Zeitangabe. Es gibt keine Nebensätze.</w:t>
      </w:r>
    </w:p>
    <w:p w14:paraId="7799051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erweitert das Paradoxon: Nicht nur der überwachende Priester, sondern auch der tatsächlich Verbrennende wird unrein – alle Beteiligten werden von der hergestellten Reinheit kontaminiert.</w:t>
      </w:r>
    </w:p>
    <w:p w14:paraId="44665545"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lastRenderedPageBreak/>
        <w:t>Numeri 19,9</w:t>
      </w:r>
    </w:p>
    <w:p w14:paraId="24E21E3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וְאָסַ֣ף׀ אִ֣ישׁ טָה֗וֹר אֵ֚ת אֵ֣פֶר הַפָּרָ֔ה וְהִנִּ֛יחַ מִח֥וּץ לַֽמַּחֲנֶ֖ה בְּמָק֣וֹם טָה֑וֹר וְ֠הָיְתָה לַעֲדַ֨ת בְּנֵֽי־יִשְׂרָאֵ֧ל לְמִשְׁמֶ֛רֶת לְמֵ֥י נִדָּ֖ה חַטָּ֥את הִֽוא׃</w:t>
      </w:r>
    </w:p>
    <w:p w14:paraId="11AD2DB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ein reiner Mann soll die Asche der Kuh sammeln und sie außerhalb des Lagers an einem reinen Ort niederlegen; und sie soll für die Gemeinde der Söhne Jisra'els zur Aufbewahrung sein, für das Reinigungswasser – ein Sündopfer ist es.</w:t>
      </w:r>
    </w:p>
    <w:p w14:paraId="3BC0BA19"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1851AF72">
          <v:rect id="_x0000_i1653" style="width:0;height:1.5pt" o:hralign="center" o:hrstd="t" o:hr="t" fillcolor="#a0a0a0" stroked="f"/>
        </w:pict>
      </w:r>
    </w:p>
    <w:p w14:paraId="6BB0366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וְאָסַף</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אסף</w:t>
      </w:r>
      <w:r w:rsidRPr="001D73EC">
        <w:rPr>
          <w:rFonts w:eastAsia="Times New Roman" w:cs="Times New Roman"/>
          <w:lang w:eastAsia="de-DE"/>
        </w:rPr>
        <w:t xml:space="preserve">, „und er soll sammeln") mit Weqatal. Das Subjekt </w:t>
      </w:r>
      <w:r w:rsidRPr="001D73EC">
        <w:rPr>
          <w:rFonts w:eastAsia="Times New Roman" w:cs="Times New Roman"/>
          <w:b/>
          <w:bCs/>
          <w:rtl/>
          <w:lang w:eastAsia="de-DE"/>
        </w:rPr>
        <w:t>אִישׁ טָהוֹר</w:t>
      </w:r>
      <w:r w:rsidRPr="001D73EC">
        <w:rPr>
          <w:rFonts w:eastAsia="Times New Roman" w:cs="Times New Roman"/>
          <w:rtl/>
          <w:lang w:eastAsia="de-DE"/>
        </w:rPr>
        <w:t xml:space="preserve"> </w:t>
      </w:r>
      <w:r w:rsidRPr="001D73EC">
        <w:rPr>
          <w:rFonts w:eastAsia="Times New Roman" w:cs="Times New Roman"/>
          <w:lang w:eastAsia="de-DE"/>
        </w:rPr>
        <w:t xml:space="preserve">(„ein reiner Mann") betont: Ein rituell Reiner muss dies tun, denn er wird dabei nicht unrein (im Gegensatz zu den vorherigen Versen). Das Objekt </w:t>
      </w:r>
      <w:r w:rsidRPr="001D73EC">
        <w:rPr>
          <w:rFonts w:eastAsia="Times New Roman" w:cs="Times New Roman"/>
          <w:b/>
          <w:bCs/>
          <w:rtl/>
          <w:lang w:eastAsia="de-DE"/>
        </w:rPr>
        <w:t>אֵת אֵפֶר הַפָּרָה</w:t>
      </w:r>
      <w:r w:rsidRPr="001D73EC">
        <w:rPr>
          <w:rFonts w:eastAsia="Times New Roman" w:cs="Times New Roman"/>
          <w:rtl/>
          <w:lang w:eastAsia="de-DE"/>
        </w:rPr>
        <w:t xml:space="preserve"> </w:t>
      </w:r>
      <w:r w:rsidRPr="001D73EC">
        <w:rPr>
          <w:rFonts w:eastAsia="Times New Roman" w:cs="Times New Roman"/>
          <w:lang w:eastAsia="de-DE"/>
        </w:rPr>
        <w:t>ist „die Asche der Kuh" (Constructus-Verbindung mit Artikel und Objektpartikel).</w:t>
      </w:r>
    </w:p>
    <w:p w14:paraId="68216B56" w14:textId="77777777" w:rsidR="001D73EC" w:rsidRDefault="001D73EC" w:rsidP="001D73EC">
      <w:pPr>
        <w:pStyle w:val="whitespace-normal"/>
      </w:pPr>
      <w:r>
        <w:t xml:space="preserve">Das koordinierte Verb </w:t>
      </w:r>
      <w:r>
        <w:rPr>
          <w:rStyle w:val="Fett"/>
          <w:rtl/>
        </w:rPr>
        <w:t>וְהִנִּיחַ</w:t>
      </w:r>
      <w:r>
        <w:rPr>
          <w:rtl/>
        </w:rPr>
        <w:t xml:space="preserve"> </w:t>
      </w:r>
      <w:r>
        <w:t xml:space="preserve">(Waw + Hifil Perfekt, 3. m. sg. von </w:t>
      </w:r>
      <w:r>
        <w:rPr>
          <w:rStyle w:val="Fett"/>
          <w:rtl/>
        </w:rPr>
        <w:t>נוח</w:t>
      </w:r>
      <w:r>
        <w:t xml:space="preserve">, „und er soll niederlegen") mit Weqatal ist kausativ: „veranlassen zu ruhen, deponieren". Die Präposition </w:t>
      </w:r>
      <w:r>
        <w:rPr>
          <w:rStyle w:val="Fett"/>
          <w:rtl/>
        </w:rPr>
        <w:t>מִחוּץ לַמַּחֲנֶה</w:t>
      </w:r>
      <w:r>
        <w:rPr>
          <w:rtl/>
        </w:rPr>
        <w:t xml:space="preserve"> </w:t>
      </w:r>
      <w:r>
        <w:t xml:space="preserve">(„außerhalb des Lagers") mit </w:t>
      </w:r>
      <w:r>
        <w:rPr>
          <w:rStyle w:val="Fett"/>
          <w:rtl/>
        </w:rPr>
        <w:t>מִן</w:t>
      </w:r>
      <w:r>
        <w:rPr>
          <w:rtl/>
        </w:rPr>
        <w:t xml:space="preserve"> </w:t>
      </w:r>
      <w:r>
        <w:t xml:space="preserve">gibt die Lage an. </w:t>
      </w:r>
      <w:r>
        <w:rPr>
          <w:rStyle w:val="Fett"/>
          <w:rtl/>
        </w:rPr>
        <w:t>בְּמָקוֹם טָהוֹר</w:t>
      </w:r>
      <w:r>
        <w:rPr>
          <w:rtl/>
        </w:rPr>
        <w:t xml:space="preserve"> </w:t>
      </w:r>
      <w:r>
        <w:t xml:space="preserve">(„an einem reinen Ort") mit </w:t>
      </w:r>
      <w:r>
        <w:rPr>
          <w:rStyle w:val="Fett"/>
          <w:rtl/>
        </w:rPr>
        <w:t>בְּ</w:t>
      </w:r>
      <w:r>
        <w:rPr>
          <w:rtl/>
        </w:rPr>
        <w:t xml:space="preserve"> </w:t>
      </w:r>
      <w:r>
        <w:t xml:space="preserve">lokativ und Adjektiv </w:t>
      </w:r>
      <w:r>
        <w:rPr>
          <w:rStyle w:val="Fett"/>
          <w:rtl/>
        </w:rPr>
        <w:t>טָהוֹר</w:t>
      </w:r>
      <w:r>
        <w:rPr>
          <w:rtl/>
        </w:rPr>
        <w:t xml:space="preserve"> </w:t>
      </w:r>
      <w:r>
        <w:t>spezifiziert: ein rituell reiner Aufbewahrungsort – die Asche ist paradoxerweise heilig, obwohl sie unrein macht.</w:t>
      </w:r>
    </w:p>
    <w:p w14:paraId="651FA046" w14:textId="2DD4A4CE" w:rsidR="001D73EC" w:rsidRDefault="001D73EC" w:rsidP="001D73EC">
      <w:pPr>
        <w:pStyle w:val="whitespace-normal"/>
      </w:pPr>
      <w:r>
        <w:t xml:space="preserve">Die nominale </w:t>
      </w:r>
      <w:r w:rsidR="00F133EC">
        <w:t>Construct</w:t>
      </w:r>
      <w:r>
        <w:t xml:space="preserve">ion </w:t>
      </w:r>
      <w:r>
        <w:rPr>
          <w:rStyle w:val="Fett"/>
          <w:rtl/>
        </w:rPr>
        <w:t>וְהָיְתָה לַעֲדַת בְּנֵי־יִשְׂרָאֵל לְמִשְׁמֶרֶת</w:t>
      </w:r>
      <w:r>
        <w:rPr>
          <w:rtl/>
        </w:rPr>
        <w:t xml:space="preserve"> </w:t>
      </w:r>
      <w:r>
        <w:t xml:space="preserve">beginnt mit </w:t>
      </w:r>
      <w:r>
        <w:rPr>
          <w:rStyle w:val="Fett"/>
          <w:rtl/>
        </w:rPr>
        <w:t>וְהָיְתָה</w:t>
      </w:r>
      <w:r>
        <w:rPr>
          <w:rtl/>
        </w:rPr>
        <w:t xml:space="preserve"> </w:t>
      </w:r>
      <w:r>
        <w:t xml:space="preserve">(Waw + Qal Perfekt, 3. f. sg. von </w:t>
      </w:r>
      <w:r>
        <w:rPr>
          <w:rStyle w:val="Fett"/>
          <w:rtl/>
        </w:rPr>
        <w:t>היה</w:t>
      </w:r>
      <w:r>
        <w:t>, „und sie soll sein") – das feminine Verb bezieht sich auf die Asche (</w:t>
      </w:r>
      <w:r>
        <w:rPr>
          <w:rtl/>
        </w:rPr>
        <w:t>אֵפֶר</w:t>
      </w:r>
      <w:r>
        <w:t xml:space="preserve"> ist maskulin, aber die </w:t>
      </w:r>
      <w:r w:rsidR="00F133EC">
        <w:t>Construct</w:t>
      </w:r>
      <w:r>
        <w:t xml:space="preserve">ion ist feminin). </w:t>
      </w:r>
      <w:r>
        <w:rPr>
          <w:rStyle w:val="Fett"/>
          <w:rtl/>
        </w:rPr>
        <w:t>לַעֲדַת בְּנֵי־יִשְׂרָאֵל</w:t>
      </w:r>
      <w:r>
        <w:rPr>
          <w:rtl/>
        </w:rPr>
        <w:t xml:space="preserve"> </w:t>
      </w:r>
      <w:r>
        <w:t xml:space="preserve">(„für die Gemeinde der Söhne Israels", doppelte Constructus-Verbindung) gibt den Zweck an. </w:t>
      </w:r>
      <w:r>
        <w:rPr>
          <w:rStyle w:val="Fett"/>
          <w:rtl/>
        </w:rPr>
        <w:t>לְמִשְׁמֶרֶת</w:t>
      </w:r>
      <w:r>
        <w:rPr>
          <w:rtl/>
        </w:rPr>
        <w:t xml:space="preserve"> </w:t>
      </w:r>
      <w:r>
        <w:t xml:space="preserve">(„zur Aufbewahrung, zur Verwahrung") von </w:t>
      </w:r>
      <w:r>
        <w:rPr>
          <w:rStyle w:val="Fett"/>
          <w:rtl/>
        </w:rPr>
        <w:t>שׁמר</w:t>
      </w:r>
      <w:r>
        <w:rPr>
          <w:rtl/>
        </w:rPr>
        <w:t xml:space="preserve"> </w:t>
      </w:r>
      <w:r>
        <w:t xml:space="preserve">mit </w:t>
      </w:r>
      <w:r>
        <w:rPr>
          <w:rStyle w:val="Fett"/>
          <w:rtl/>
        </w:rPr>
        <w:t>לְ</w:t>
      </w:r>
      <w:r>
        <w:rPr>
          <w:rtl/>
        </w:rPr>
        <w:t xml:space="preserve"> </w:t>
      </w:r>
      <w:r>
        <w:t>finalis.</w:t>
      </w:r>
    </w:p>
    <w:p w14:paraId="09549C10" w14:textId="77777777" w:rsidR="001D73EC" w:rsidRDefault="001D73EC" w:rsidP="001D73EC">
      <w:pPr>
        <w:pStyle w:val="whitespace-normal"/>
      </w:pPr>
      <w:r>
        <w:t xml:space="preserve">Die Phrase </w:t>
      </w:r>
      <w:r>
        <w:rPr>
          <w:rStyle w:val="Fett"/>
          <w:rtl/>
        </w:rPr>
        <w:t>לְמֵי נִדָּה</w:t>
      </w:r>
      <w:r>
        <w:rPr>
          <w:rtl/>
        </w:rPr>
        <w:t xml:space="preserve"> </w:t>
      </w:r>
      <w:r>
        <w:t xml:space="preserve">(„für Reinigungswasser") ist eine Constructus-Verbindung: </w:t>
      </w:r>
      <w:r>
        <w:rPr>
          <w:rStyle w:val="Fett"/>
          <w:rtl/>
        </w:rPr>
        <w:t>מַיִם</w:t>
      </w:r>
      <w:r>
        <w:rPr>
          <w:rtl/>
        </w:rPr>
        <w:t xml:space="preserve"> </w:t>
      </w:r>
      <w:r>
        <w:t xml:space="preserve">(„Wasser") im Plural Constructus vor </w:t>
      </w:r>
      <w:r>
        <w:rPr>
          <w:rStyle w:val="Fett"/>
          <w:rtl/>
        </w:rPr>
        <w:t>נִדָּה</w:t>
      </w:r>
      <w:r>
        <w:t xml:space="preserve">. </w:t>
      </w:r>
      <w:r>
        <w:rPr>
          <w:rStyle w:val="Fett"/>
          <w:rtl/>
        </w:rPr>
        <w:t>נִדָּה</w:t>
      </w:r>
      <w:r>
        <w:rPr>
          <w:rtl/>
        </w:rPr>
        <w:t xml:space="preserve"> </w:t>
      </w:r>
      <w:r>
        <w:t xml:space="preserve">bedeutet eigentlich „Absonderung, Unreinheit", wird hier aber für das reinigende Wasser verwendet – ein weiteres Paradoxon. Die abschließende Identifikation </w:t>
      </w:r>
      <w:r>
        <w:rPr>
          <w:rStyle w:val="Fett"/>
          <w:rtl/>
        </w:rPr>
        <w:t>חַטָּאת הִוא</w:t>
      </w:r>
      <w:r>
        <w:rPr>
          <w:rtl/>
        </w:rPr>
        <w:t xml:space="preserve"> </w:t>
      </w:r>
      <w:r>
        <w:t xml:space="preserve">besteht aus </w:t>
      </w:r>
      <w:r>
        <w:rPr>
          <w:rStyle w:val="Fett"/>
          <w:rtl/>
        </w:rPr>
        <w:t>חַטָּאת</w:t>
      </w:r>
      <w:r>
        <w:rPr>
          <w:rtl/>
        </w:rPr>
        <w:t xml:space="preserve"> </w:t>
      </w:r>
      <w:r>
        <w:t xml:space="preserve">(„Sündopfer") und dem emphatischen Pronomen </w:t>
      </w:r>
      <w:r>
        <w:rPr>
          <w:rStyle w:val="Fett"/>
          <w:rtl/>
        </w:rPr>
        <w:t>הִוא</w:t>
      </w:r>
      <w:r>
        <w:rPr>
          <w:rtl/>
        </w:rPr>
        <w:t xml:space="preserve"> </w:t>
      </w:r>
      <w:r>
        <w:t>(„es"). Die Asche wird als „Sündopfer" klassifiziert, obwohl das Ritual ganz anders verläuft als normale Sündopfer.</w:t>
      </w:r>
    </w:p>
    <w:p w14:paraId="0DF3C43E" w14:textId="08572864" w:rsidR="001D73EC" w:rsidRDefault="001D73EC" w:rsidP="001D73EC">
      <w:pPr>
        <w:pStyle w:val="whitespace-normal"/>
      </w:pPr>
      <w:r>
        <w:rPr>
          <w:rStyle w:val="Fett"/>
        </w:rPr>
        <w:t>Die LXX</w:t>
      </w:r>
      <w:r>
        <w:t xml:space="preserve"> </w:t>
      </w:r>
      <w:r w:rsidR="00420C4D">
        <w:t>übersetzt „</w:t>
      </w:r>
      <w:r w:rsidR="00420C4D" w:rsidRPr="00420C4D">
        <w:rPr>
          <w:b/>
          <w:bCs/>
          <w:rtl/>
        </w:rPr>
        <w:t>מֵי</w:t>
      </w:r>
      <w:r w:rsidR="00420C4D">
        <w:rPr>
          <w:rtl/>
        </w:rPr>
        <w:t xml:space="preserve"> </w:t>
      </w:r>
      <w:r w:rsidR="00420C4D" w:rsidRPr="00420C4D">
        <w:rPr>
          <w:b/>
          <w:bCs/>
          <w:rtl/>
        </w:rPr>
        <w:t>נִדָּה</w:t>
      </w:r>
      <w:r w:rsidR="00420C4D">
        <w:t>" (Wasser der Unreinheit/Absonderung) mit „ὕδωρ ῥαντισμοῦ" (Besprengungswasser), was die Funktion statt des Zustands betont, und „</w:t>
      </w:r>
      <w:r w:rsidR="00420C4D" w:rsidRPr="00C229FD">
        <w:rPr>
          <w:b/>
          <w:bCs/>
          <w:rtl/>
        </w:rPr>
        <w:t>חַטָּאת</w:t>
      </w:r>
      <w:r w:rsidR="00420C4D">
        <w:rPr>
          <w:rtl/>
        </w:rPr>
        <w:t xml:space="preserve"> </w:t>
      </w:r>
      <w:r w:rsidR="00420C4D" w:rsidRPr="00C229FD">
        <w:rPr>
          <w:b/>
          <w:bCs/>
          <w:rtl/>
        </w:rPr>
        <w:t>הִוא</w:t>
      </w:r>
      <w:r w:rsidR="00420C4D">
        <w:t>" (es ist ein Sündopfer) wird zu „ἅγνισμά ἐστιν" (es ist eine Reinigung), was die positive Seite der Reinigung statt der negativen Seite der Sünde hervorhebt.</w:t>
      </w:r>
    </w:p>
    <w:p w14:paraId="5BBC3B5D" w14:textId="77777777" w:rsidR="001D73EC" w:rsidRDefault="001D73EC" w:rsidP="001D73EC">
      <w:pPr>
        <w:pStyle w:val="whitespace-normal"/>
      </w:pPr>
      <w:r>
        <w:t>Die Satzstruktur zeigt drei koordinierte Hauptsätze: Der erste mit Verb, Subjekt (mit Adjektiv), Objekt (Constructus-Verbindung); der zweite mit Verb und zwei Präpositionalphrasen; der dritte mit Verb, doppelter präpositionaler Bestimmung (Constructus-Verbindungen), weiterer finaler Präpositionalphrase und nominaler Identifikation mit emphatischem Pronomen. Es gibt keine Nebensätze.</w:t>
      </w:r>
    </w:p>
    <w:p w14:paraId="5F3E4B81" w14:textId="77777777" w:rsidR="001D73EC" w:rsidRDefault="001D73EC" w:rsidP="001D73EC">
      <w:pPr>
        <w:pStyle w:val="whitespace-normal"/>
      </w:pPr>
      <w:r>
        <w:t>Der Vers beschreibt die Aufbewahrung der Asche als heiliges Reinigungsmittel für ganz Israel – ein dauerhafter Vorrat für künftige Reinigungen.</w:t>
      </w:r>
    </w:p>
    <w:p w14:paraId="484ECFD5"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lastRenderedPageBreak/>
        <w:t>Numeri 19,10</w:t>
      </w:r>
    </w:p>
    <w:p w14:paraId="1287F5E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וְ֠כִבֶּס הָאֹסֵ֨ף אֶת־אֵ֤פֶר הַפָּרָה֙ אֶת־בְּגָדָ֔יו וְטָמֵ֖א עַד־הָעָ֑רֶב וְֽהָיְתָ֞ה לִבְנֵ֣י יִשְׂרָאֵ֗ל וְלַגֵּ֛ר הַגָּ֥ר בְּתוֹכָ֖ם לְחֻקַּ֥ת עוֹלָֽם׃</w:t>
      </w:r>
    </w:p>
    <w:p w14:paraId="04F13207"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der Sammelnde die Asche der Kuh soll seine Kleider waschen und wird unrein bis zum Abend; und es soll den Söhnen Jisra'els und dem Fremdling, der in ihrer Mitte wohnt, zur ewigen Satzung sein.</w:t>
      </w:r>
    </w:p>
    <w:p w14:paraId="3418F63C"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21615BA0">
          <v:rect id="_x0000_i1654" style="width:0;height:1.5pt" o:hralign="center" o:hrstd="t" o:hr="t" fillcolor="#a0a0a0" stroked="f"/>
        </w:pict>
      </w:r>
    </w:p>
    <w:p w14:paraId="3CAB1E69"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וְכִבֶּס</w:t>
      </w:r>
      <w:r w:rsidRPr="001D73EC">
        <w:rPr>
          <w:rFonts w:eastAsia="Times New Roman" w:cs="Times New Roman"/>
          <w:rtl/>
          <w:lang w:eastAsia="de-DE"/>
        </w:rPr>
        <w:t xml:space="preserve"> </w:t>
      </w:r>
      <w:r w:rsidRPr="001D73EC">
        <w:rPr>
          <w:rFonts w:eastAsia="Times New Roman" w:cs="Times New Roman"/>
          <w:lang w:eastAsia="de-DE"/>
        </w:rPr>
        <w:t xml:space="preserve">(Waw + Piel Perfekt, 3. m. sg. von </w:t>
      </w:r>
      <w:r w:rsidRPr="001D73EC">
        <w:rPr>
          <w:rFonts w:eastAsia="Times New Roman" w:cs="Times New Roman"/>
          <w:b/>
          <w:bCs/>
          <w:rtl/>
          <w:lang w:eastAsia="de-DE"/>
        </w:rPr>
        <w:t>כבס</w:t>
      </w:r>
      <w:r w:rsidRPr="001D73EC">
        <w:rPr>
          <w:rFonts w:eastAsia="Times New Roman" w:cs="Times New Roman"/>
          <w:lang w:eastAsia="de-DE"/>
        </w:rPr>
        <w:t xml:space="preserve">, „und er soll waschen") mit Weqatal. Das Subjekt </w:t>
      </w:r>
      <w:r w:rsidRPr="001D73EC">
        <w:rPr>
          <w:rFonts w:eastAsia="Times New Roman" w:cs="Times New Roman"/>
          <w:b/>
          <w:bCs/>
          <w:rtl/>
          <w:lang w:eastAsia="de-DE"/>
        </w:rPr>
        <w:t>הָאֹסֵף אֶת־אֵפֶר הַפָּרָה</w:t>
      </w:r>
      <w:r w:rsidRPr="001D73EC">
        <w:rPr>
          <w:rFonts w:eastAsia="Times New Roman" w:cs="Times New Roman"/>
          <w:rtl/>
          <w:lang w:eastAsia="de-DE"/>
        </w:rPr>
        <w:t xml:space="preserve"> </w:t>
      </w:r>
      <w:r w:rsidRPr="001D73EC">
        <w:rPr>
          <w:rFonts w:eastAsia="Times New Roman" w:cs="Times New Roman"/>
          <w:lang w:eastAsia="de-DE"/>
        </w:rPr>
        <w:t xml:space="preserve">ist partizipial: </w:t>
      </w:r>
      <w:r w:rsidRPr="001D73EC">
        <w:rPr>
          <w:rFonts w:eastAsia="Times New Roman" w:cs="Times New Roman"/>
          <w:b/>
          <w:bCs/>
          <w:rtl/>
          <w:lang w:eastAsia="de-DE"/>
        </w:rPr>
        <w:t>הָאֹסֵף</w:t>
      </w:r>
      <w:r w:rsidRPr="001D73EC">
        <w:rPr>
          <w:rFonts w:eastAsia="Times New Roman" w:cs="Times New Roman"/>
          <w:rtl/>
          <w:lang w:eastAsia="de-DE"/>
        </w:rPr>
        <w:t xml:space="preserve"> </w:t>
      </w:r>
      <w:r w:rsidRPr="001D73EC">
        <w:rPr>
          <w:rFonts w:eastAsia="Times New Roman" w:cs="Times New Roman"/>
          <w:lang w:eastAsia="de-DE"/>
        </w:rPr>
        <w:t xml:space="preserve">(Qal Partizip von </w:t>
      </w:r>
      <w:r w:rsidRPr="001D73EC">
        <w:rPr>
          <w:rFonts w:eastAsia="Times New Roman" w:cs="Times New Roman"/>
          <w:b/>
          <w:bCs/>
          <w:rtl/>
          <w:lang w:eastAsia="de-DE"/>
        </w:rPr>
        <w:t>אסף</w:t>
      </w:r>
      <w:r w:rsidRPr="001D73EC">
        <w:rPr>
          <w:rFonts w:eastAsia="Times New Roman" w:cs="Times New Roman"/>
          <w:rtl/>
          <w:lang w:eastAsia="de-DE"/>
        </w:rPr>
        <w:t xml:space="preserve"> </w:t>
      </w:r>
      <w:r w:rsidRPr="001D73EC">
        <w:rPr>
          <w:rFonts w:eastAsia="Times New Roman" w:cs="Times New Roman"/>
          <w:lang w:eastAsia="de-DE"/>
        </w:rPr>
        <w:t xml:space="preserve">„sammeln" mit Artikel, „der Sammelnde") mit Objekt </w:t>
      </w:r>
      <w:r w:rsidRPr="001D73EC">
        <w:rPr>
          <w:rFonts w:eastAsia="Times New Roman" w:cs="Times New Roman"/>
          <w:b/>
          <w:bCs/>
          <w:rtl/>
          <w:lang w:eastAsia="de-DE"/>
        </w:rPr>
        <w:t>אֶת־אֵפֶר הַפָּרָה</w:t>
      </w:r>
      <w:r w:rsidRPr="001D73EC">
        <w:rPr>
          <w:rFonts w:eastAsia="Times New Roman" w:cs="Times New Roman"/>
          <w:rtl/>
          <w:lang w:eastAsia="de-DE"/>
        </w:rPr>
        <w:t xml:space="preserve"> </w:t>
      </w:r>
      <w:r w:rsidRPr="001D73EC">
        <w:rPr>
          <w:rFonts w:eastAsia="Times New Roman" w:cs="Times New Roman"/>
          <w:lang w:eastAsia="de-DE"/>
        </w:rPr>
        <w:t xml:space="preserve">(Constructus-Verbindung). Das Objekt des Waschens ist </w:t>
      </w:r>
      <w:r w:rsidRPr="001D73EC">
        <w:rPr>
          <w:rFonts w:eastAsia="Times New Roman" w:cs="Times New Roman"/>
          <w:b/>
          <w:bCs/>
          <w:rtl/>
          <w:lang w:eastAsia="de-DE"/>
        </w:rPr>
        <w:t>אֶת־בְּגָדָיו</w:t>
      </w:r>
      <w:r w:rsidRPr="001D73EC">
        <w:rPr>
          <w:rFonts w:eastAsia="Times New Roman" w:cs="Times New Roman"/>
          <w:rtl/>
          <w:lang w:eastAsia="de-DE"/>
        </w:rPr>
        <w:t xml:space="preserve"> </w:t>
      </w:r>
      <w:r w:rsidRPr="001D73EC">
        <w:rPr>
          <w:rFonts w:eastAsia="Times New Roman" w:cs="Times New Roman"/>
          <w:lang w:eastAsia="de-DE"/>
        </w:rPr>
        <w:t>(„seine Kleider").</w:t>
      </w:r>
    </w:p>
    <w:p w14:paraId="0BBA67F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koordinierte Aussage </w:t>
      </w:r>
      <w:r w:rsidRPr="001D73EC">
        <w:rPr>
          <w:rFonts w:eastAsia="Times New Roman" w:cs="Times New Roman"/>
          <w:b/>
          <w:bCs/>
          <w:rtl/>
          <w:lang w:eastAsia="de-DE"/>
        </w:rPr>
        <w:t>וְטָמֵא עַד־הָעָרֶב</w:t>
      </w:r>
      <w:r w:rsidRPr="001D73EC">
        <w:rPr>
          <w:rFonts w:eastAsia="Times New Roman" w:cs="Times New Roman"/>
          <w:rtl/>
          <w:lang w:eastAsia="de-DE"/>
        </w:rPr>
        <w:t xml:space="preserve"> </w:t>
      </w:r>
      <w:r w:rsidRPr="001D73EC">
        <w:rPr>
          <w:rFonts w:eastAsia="Times New Roman" w:cs="Times New Roman"/>
          <w:lang w:eastAsia="de-DE"/>
        </w:rPr>
        <w:t xml:space="preserve">(„und er wird unrein bis zum Abend") wiederholt das Paradoxon: Obwohl in Vers 9 gesagt wurde, dass ein </w:t>
      </w:r>
      <w:r w:rsidRPr="001D73EC">
        <w:rPr>
          <w:rFonts w:eastAsia="Times New Roman" w:cs="Times New Roman"/>
          <w:b/>
          <w:bCs/>
          <w:rtl/>
          <w:lang w:eastAsia="de-DE"/>
        </w:rPr>
        <w:t>אִישׁ טָהוֹר</w:t>
      </w:r>
      <w:r w:rsidRPr="001D73EC">
        <w:rPr>
          <w:rFonts w:eastAsia="Times New Roman" w:cs="Times New Roman"/>
          <w:rtl/>
          <w:lang w:eastAsia="de-DE"/>
        </w:rPr>
        <w:t xml:space="preserve"> </w:t>
      </w:r>
      <w:r w:rsidRPr="001D73EC">
        <w:rPr>
          <w:rFonts w:eastAsia="Times New Roman" w:cs="Times New Roman"/>
          <w:lang w:eastAsia="de-DE"/>
        </w:rPr>
        <w:t>(„reiner Mann") die Asche sammelt, wird auch er unrein – ein Mann kann nur rein sein, bevor er die Asche berührt. Sobald er sie sammelt, wird er unrein, muss sich waschen, bleibt aber unrein bis zum Abend.</w:t>
      </w:r>
    </w:p>
    <w:p w14:paraId="0933C6C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Perpetuitätsformel </w:t>
      </w:r>
      <w:r w:rsidRPr="001D73EC">
        <w:rPr>
          <w:rFonts w:eastAsia="Times New Roman" w:cs="Times New Roman"/>
          <w:b/>
          <w:bCs/>
          <w:rtl/>
          <w:lang w:eastAsia="de-DE"/>
        </w:rPr>
        <w:t>וְהָיְתָה לִבְנֵי יִשְׂרָאֵל וְלַגֵּר הַגָּר בְּתוֹכָם לְחֻקַּת עוֹלָם</w:t>
      </w:r>
      <w:r w:rsidRPr="001D73EC">
        <w:rPr>
          <w:rFonts w:eastAsia="Times New Roman" w:cs="Times New Roman"/>
          <w:rtl/>
          <w:lang w:eastAsia="de-DE"/>
        </w:rPr>
        <w:t xml:space="preserve"> </w:t>
      </w:r>
      <w:r w:rsidRPr="001D73EC">
        <w:rPr>
          <w:rFonts w:eastAsia="Times New Roman" w:cs="Times New Roman"/>
          <w:lang w:eastAsia="de-DE"/>
        </w:rPr>
        <w:t xml:space="preserve">schließt den Abschnitt: </w:t>
      </w:r>
      <w:r w:rsidRPr="001D73EC">
        <w:rPr>
          <w:rFonts w:eastAsia="Times New Roman" w:cs="Times New Roman"/>
          <w:b/>
          <w:bCs/>
          <w:rtl/>
          <w:lang w:eastAsia="de-DE"/>
        </w:rPr>
        <w:t>וְהָיְתָה</w:t>
      </w:r>
      <w:r w:rsidRPr="001D73EC">
        <w:rPr>
          <w:rFonts w:eastAsia="Times New Roman" w:cs="Times New Roman"/>
          <w:rtl/>
          <w:lang w:eastAsia="de-DE"/>
        </w:rPr>
        <w:t xml:space="preserve"> </w:t>
      </w:r>
      <w:r w:rsidRPr="001D73EC">
        <w:rPr>
          <w:rFonts w:eastAsia="Times New Roman" w:cs="Times New Roman"/>
          <w:lang w:eastAsia="de-DE"/>
        </w:rPr>
        <w:t xml:space="preserve">(Waw + Qal Perfekt, 3. f. sg. von </w:t>
      </w:r>
      <w:r w:rsidRPr="001D73EC">
        <w:rPr>
          <w:rFonts w:eastAsia="Times New Roman" w:cs="Times New Roman"/>
          <w:b/>
          <w:bCs/>
          <w:rtl/>
          <w:lang w:eastAsia="de-DE"/>
        </w:rPr>
        <w:t>היה</w:t>
      </w:r>
      <w:r w:rsidRPr="001D73EC">
        <w:rPr>
          <w:rFonts w:eastAsia="Times New Roman" w:cs="Times New Roman"/>
          <w:lang w:eastAsia="de-DE"/>
        </w:rPr>
        <w:t xml:space="preserve">), </w:t>
      </w:r>
      <w:r w:rsidRPr="001D73EC">
        <w:rPr>
          <w:rFonts w:eastAsia="Times New Roman" w:cs="Times New Roman"/>
          <w:b/>
          <w:bCs/>
          <w:rtl/>
          <w:lang w:eastAsia="de-DE"/>
        </w:rPr>
        <w:t>לִבְנֵי יִשְׂרָאֵל</w:t>
      </w:r>
      <w:r w:rsidRPr="001D73EC">
        <w:rPr>
          <w:rFonts w:eastAsia="Times New Roman" w:cs="Times New Roman"/>
          <w:rtl/>
          <w:lang w:eastAsia="de-DE"/>
        </w:rPr>
        <w:t xml:space="preserve"> </w:t>
      </w:r>
      <w:r w:rsidRPr="001D73EC">
        <w:rPr>
          <w:rFonts w:eastAsia="Times New Roman" w:cs="Times New Roman"/>
          <w:lang w:eastAsia="de-DE"/>
        </w:rPr>
        <w:t xml:space="preserve">(„für die Söhne Israels"), </w:t>
      </w:r>
      <w:r w:rsidRPr="001D73EC">
        <w:rPr>
          <w:rFonts w:eastAsia="Times New Roman" w:cs="Times New Roman"/>
          <w:b/>
          <w:bCs/>
          <w:rtl/>
          <w:lang w:eastAsia="de-DE"/>
        </w:rPr>
        <w:t>וְלַגֵּר הַגָּר בְּתוֹכָם</w:t>
      </w:r>
      <w:r w:rsidRPr="001D73EC">
        <w:rPr>
          <w:rFonts w:eastAsia="Times New Roman" w:cs="Times New Roman"/>
          <w:rtl/>
          <w:lang w:eastAsia="de-DE"/>
        </w:rPr>
        <w:t xml:space="preserve"> </w:t>
      </w:r>
      <w:r w:rsidRPr="001D73EC">
        <w:rPr>
          <w:rFonts w:eastAsia="Times New Roman" w:cs="Times New Roman"/>
          <w:lang w:eastAsia="de-DE"/>
        </w:rPr>
        <w:t xml:space="preserve">(„und für den Fremdling, der in ihrer Mitte wohnt") – </w:t>
      </w:r>
      <w:r w:rsidRPr="001D73EC">
        <w:rPr>
          <w:rFonts w:eastAsia="Times New Roman" w:cs="Times New Roman"/>
          <w:b/>
          <w:bCs/>
          <w:rtl/>
          <w:lang w:eastAsia="de-DE"/>
        </w:rPr>
        <w:t>גֵּר</w:t>
      </w:r>
      <w:r w:rsidRPr="001D73EC">
        <w:rPr>
          <w:rFonts w:eastAsia="Times New Roman" w:cs="Times New Roman"/>
          <w:rtl/>
          <w:lang w:eastAsia="de-DE"/>
        </w:rPr>
        <w:t xml:space="preserve"> </w:t>
      </w:r>
      <w:r w:rsidRPr="001D73EC">
        <w:rPr>
          <w:rFonts w:eastAsia="Times New Roman" w:cs="Times New Roman"/>
          <w:lang w:eastAsia="de-DE"/>
        </w:rPr>
        <w:t xml:space="preserve">„Fremder, Beisasse" mit Artikel, </w:t>
      </w:r>
      <w:r w:rsidRPr="001D73EC">
        <w:rPr>
          <w:rFonts w:eastAsia="Times New Roman" w:cs="Times New Roman"/>
          <w:b/>
          <w:bCs/>
          <w:rtl/>
          <w:lang w:eastAsia="de-DE"/>
        </w:rPr>
        <w:t>הַגָּר</w:t>
      </w:r>
      <w:r w:rsidRPr="001D73EC">
        <w:rPr>
          <w:rFonts w:eastAsia="Times New Roman" w:cs="Times New Roman"/>
          <w:rtl/>
          <w:lang w:eastAsia="de-DE"/>
        </w:rPr>
        <w:t xml:space="preserve"> </w:t>
      </w:r>
      <w:r w:rsidRPr="001D73EC">
        <w:rPr>
          <w:rFonts w:eastAsia="Times New Roman" w:cs="Times New Roman"/>
          <w:lang w:eastAsia="de-DE"/>
        </w:rPr>
        <w:t xml:space="preserve">(Qal Partizip von </w:t>
      </w:r>
      <w:r w:rsidRPr="001D73EC">
        <w:rPr>
          <w:rFonts w:eastAsia="Times New Roman" w:cs="Times New Roman"/>
          <w:b/>
          <w:bCs/>
          <w:rtl/>
          <w:lang w:eastAsia="de-DE"/>
        </w:rPr>
        <w:t>גור</w:t>
      </w:r>
      <w:r w:rsidRPr="001D73EC">
        <w:rPr>
          <w:rFonts w:eastAsia="Times New Roman" w:cs="Times New Roman"/>
          <w:rtl/>
          <w:lang w:eastAsia="de-DE"/>
        </w:rPr>
        <w:t xml:space="preserve"> </w:t>
      </w:r>
      <w:r w:rsidRPr="001D73EC">
        <w:rPr>
          <w:rFonts w:eastAsia="Times New Roman" w:cs="Times New Roman"/>
          <w:lang w:eastAsia="de-DE"/>
        </w:rPr>
        <w:t xml:space="preserve">„wohnen, sich aufhalten" mit Artikel) als Apposition, </w:t>
      </w:r>
      <w:r w:rsidRPr="001D73EC">
        <w:rPr>
          <w:rFonts w:eastAsia="Times New Roman" w:cs="Times New Roman"/>
          <w:b/>
          <w:bCs/>
          <w:rtl/>
          <w:lang w:eastAsia="de-DE"/>
        </w:rPr>
        <w:t>בְּתוֹכָם</w:t>
      </w:r>
      <w:r w:rsidRPr="001D73EC">
        <w:rPr>
          <w:rFonts w:eastAsia="Times New Roman" w:cs="Times New Roman"/>
          <w:rtl/>
          <w:lang w:eastAsia="de-DE"/>
        </w:rPr>
        <w:t xml:space="preserve"> </w:t>
      </w:r>
      <w:r w:rsidRPr="001D73EC">
        <w:rPr>
          <w:rFonts w:eastAsia="Times New Roman" w:cs="Times New Roman"/>
          <w:lang w:eastAsia="de-DE"/>
        </w:rPr>
        <w:t xml:space="preserve">„in ihrer Mitte" mit Possessivsuffix 3. m. pl. Die Formel </w:t>
      </w:r>
      <w:r w:rsidRPr="001D73EC">
        <w:rPr>
          <w:rFonts w:eastAsia="Times New Roman" w:cs="Times New Roman"/>
          <w:b/>
          <w:bCs/>
          <w:rtl/>
          <w:lang w:eastAsia="de-DE"/>
        </w:rPr>
        <w:t>לְחֻקַּת עוֹלָם</w:t>
      </w:r>
      <w:r w:rsidRPr="001D73EC">
        <w:rPr>
          <w:rFonts w:eastAsia="Times New Roman" w:cs="Times New Roman"/>
          <w:rtl/>
          <w:lang w:eastAsia="de-DE"/>
        </w:rPr>
        <w:t xml:space="preserve"> </w:t>
      </w:r>
      <w:r w:rsidRPr="001D73EC">
        <w:rPr>
          <w:rFonts w:eastAsia="Times New Roman" w:cs="Times New Roman"/>
          <w:lang w:eastAsia="de-DE"/>
        </w:rPr>
        <w:t>(„zur ewigen Satzung", Constructus-Verbindung) schließt ab.</w:t>
      </w:r>
    </w:p>
    <w:p w14:paraId="225C80E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 und übersetzt </w:t>
      </w:r>
      <w:r w:rsidRPr="001D73EC">
        <w:rPr>
          <w:rFonts w:eastAsia="Times New Roman" w:cs="Times New Roman"/>
          <w:b/>
          <w:bCs/>
          <w:rtl/>
          <w:lang w:eastAsia="de-DE"/>
        </w:rPr>
        <w:t>גֵּר</w:t>
      </w:r>
      <w:r w:rsidRPr="001D73EC">
        <w:rPr>
          <w:rFonts w:eastAsia="Times New Roman" w:cs="Times New Roman"/>
          <w:rtl/>
          <w:lang w:eastAsia="de-DE"/>
        </w:rPr>
        <w:t xml:space="preserve"> </w:t>
      </w:r>
      <w:r w:rsidRPr="001D73EC">
        <w:rPr>
          <w:rFonts w:eastAsia="Times New Roman" w:cs="Times New Roman"/>
          <w:lang w:eastAsia="de-DE"/>
        </w:rPr>
        <w:t>mit προσήλυτος (prosēlytos, „Proselyt, Beisasse").</w:t>
      </w:r>
    </w:p>
    <w:p w14:paraId="51CAE16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drei koordinierte Hauptsätze: Der erste mit Verb, partizipialem Subjekt (mit Objekt) und weiterem Objekt; der zweite mit Verb und Zeitangabe; der dritte mit Verb, doppelter präpositionaler Bestimmung (die zweite mit partizipialer Apposition und Präpositionalphrase) und abschließender Formel (Constructus-Verbindung). Es gibt keine Nebensätze.</w:t>
      </w:r>
    </w:p>
    <w:p w14:paraId="6F354BE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schließt die Herstellung des Reinigungsmittels ab und universalisiert die Regel: auch für Fremdlinge gilt diese ewige Satzung – ein inklusiver Aspekt.</w:t>
      </w:r>
    </w:p>
    <w:p w14:paraId="6AAE0548"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19,11</w:t>
      </w:r>
    </w:p>
    <w:p w14:paraId="310D7AB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הַנֹּגֵ֥עַ בְּמֵ֖ת לְכָל־נֶ֣פֶשׁ אָדָ֑ם וְטָמֵ֖א שִׁבְעַ֥ת יָמִֽים׃</w:t>
      </w:r>
    </w:p>
    <w:p w14:paraId="6D28A27A"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Wer einen Toten berührt, irgendeine menschliche Person, wird unrein sieben Tage.</w:t>
      </w:r>
    </w:p>
    <w:p w14:paraId="4AEE1BC7"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2F04D9F9">
          <v:rect id="_x0000_i1655" style="width:0;height:1.5pt" o:hralign="center" o:hrstd="t" o:hr="t" fillcolor="#a0a0a0" stroked="f"/>
        </w:pict>
      </w:r>
    </w:p>
    <w:p w14:paraId="2BAC8C1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lastRenderedPageBreak/>
        <w:t>Kommentar:</w:t>
      </w:r>
      <w:r w:rsidRPr="001D73EC">
        <w:rPr>
          <w:rFonts w:eastAsia="Times New Roman" w:cs="Times New Roman"/>
          <w:lang w:eastAsia="de-DE"/>
        </w:rPr>
        <w:t xml:space="preserve"> Das Subjekt </w:t>
      </w:r>
      <w:r w:rsidRPr="001D73EC">
        <w:rPr>
          <w:rFonts w:eastAsia="Times New Roman" w:cs="Times New Roman"/>
          <w:b/>
          <w:bCs/>
          <w:rtl/>
          <w:lang w:eastAsia="de-DE"/>
        </w:rPr>
        <w:t>הַנֹּגֵעַ בְּמֵת</w:t>
      </w:r>
      <w:r w:rsidRPr="001D73EC">
        <w:rPr>
          <w:rFonts w:eastAsia="Times New Roman" w:cs="Times New Roman"/>
          <w:rtl/>
          <w:lang w:eastAsia="de-DE"/>
        </w:rPr>
        <w:t xml:space="preserve"> </w:t>
      </w:r>
      <w:r w:rsidRPr="001D73EC">
        <w:rPr>
          <w:rFonts w:eastAsia="Times New Roman" w:cs="Times New Roman"/>
          <w:lang w:eastAsia="de-DE"/>
        </w:rPr>
        <w:t xml:space="preserve">ist partizipial: </w:t>
      </w:r>
      <w:r w:rsidRPr="001D73EC">
        <w:rPr>
          <w:rFonts w:eastAsia="Times New Roman" w:cs="Times New Roman"/>
          <w:b/>
          <w:bCs/>
          <w:rtl/>
          <w:lang w:eastAsia="de-DE"/>
        </w:rPr>
        <w:t>הַנֹּגֵעַ</w:t>
      </w:r>
      <w:r w:rsidRPr="001D73EC">
        <w:rPr>
          <w:rFonts w:eastAsia="Times New Roman" w:cs="Times New Roman"/>
          <w:rtl/>
          <w:lang w:eastAsia="de-DE"/>
        </w:rPr>
        <w:t xml:space="preserve"> </w:t>
      </w:r>
      <w:r w:rsidRPr="001D73EC">
        <w:rPr>
          <w:rFonts w:eastAsia="Times New Roman" w:cs="Times New Roman"/>
          <w:lang w:eastAsia="de-DE"/>
        </w:rPr>
        <w:t xml:space="preserve">(Qal Partizip von </w:t>
      </w:r>
      <w:r w:rsidRPr="001D73EC">
        <w:rPr>
          <w:rFonts w:eastAsia="Times New Roman" w:cs="Times New Roman"/>
          <w:b/>
          <w:bCs/>
          <w:rtl/>
          <w:lang w:eastAsia="de-DE"/>
        </w:rPr>
        <w:t>נגע</w:t>
      </w:r>
      <w:r w:rsidRPr="001D73EC">
        <w:rPr>
          <w:rFonts w:eastAsia="Times New Roman" w:cs="Times New Roman"/>
          <w:rtl/>
          <w:lang w:eastAsia="de-DE"/>
        </w:rPr>
        <w:t xml:space="preserve"> </w:t>
      </w:r>
      <w:r w:rsidRPr="001D73EC">
        <w:rPr>
          <w:rFonts w:eastAsia="Times New Roman" w:cs="Times New Roman"/>
          <w:lang w:eastAsia="de-DE"/>
        </w:rPr>
        <w:t xml:space="preserve">„berühren" mit Artikel, „der Berührende") mit Präpositionalphrase </w:t>
      </w:r>
      <w:r w:rsidRPr="001D73EC">
        <w:rPr>
          <w:rFonts w:eastAsia="Times New Roman" w:cs="Times New Roman"/>
          <w:b/>
          <w:bCs/>
          <w:rtl/>
          <w:lang w:eastAsia="de-DE"/>
        </w:rPr>
        <w:t>בְּמֵת</w:t>
      </w:r>
      <w:r w:rsidRPr="001D73EC">
        <w:rPr>
          <w:rFonts w:eastAsia="Times New Roman" w:cs="Times New Roman"/>
          <w:rtl/>
          <w:lang w:eastAsia="de-DE"/>
        </w:rPr>
        <w:t xml:space="preserve"> </w:t>
      </w:r>
      <w:r w:rsidRPr="001D73EC">
        <w:rPr>
          <w:rFonts w:eastAsia="Times New Roman" w:cs="Times New Roman"/>
          <w:lang w:eastAsia="de-DE"/>
        </w:rPr>
        <w:t xml:space="preserve">(„an einem Toten", </w:t>
      </w:r>
      <w:r w:rsidRPr="001D73EC">
        <w:rPr>
          <w:rFonts w:eastAsia="Times New Roman" w:cs="Times New Roman"/>
          <w:b/>
          <w:bCs/>
          <w:rtl/>
          <w:lang w:eastAsia="de-DE"/>
        </w:rPr>
        <w:t>מֵת</w:t>
      </w:r>
      <w:r w:rsidRPr="001D73EC">
        <w:rPr>
          <w:rFonts w:eastAsia="Times New Roman" w:cs="Times New Roman"/>
          <w:rtl/>
          <w:lang w:eastAsia="de-DE"/>
        </w:rPr>
        <w:t xml:space="preserve"> </w:t>
      </w:r>
      <w:r w:rsidRPr="001D73EC">
        <w:rPr>
          <w:rFonts w:eastAsia="Times New Roman" w:cs="Times New Roman"/>
          <w:lang w:eastAsia="de-DE"/>
        </w:rPr>
        <w:t xml:space="preserve">Qal Partizip von </w:t>
      </w:r>
      <w:r w:rsidRPr="001D73EC">
        <w:rPr>
          <w:rFonts w:eastAsia="Times New Roman" w:cs="Times New Roman"/>
          <w:b/>
          <w:bCs/>
          <w:rtl/>
          <w:lang w:eastAsia="de-DE"/>
        </w:rPr>
        <w:t>מות</w:t>
      </w:r>
      <w:r w:rsidRPr="001D73EC">
        <w:rPr>
          <w:rFonts w:eastAsia="Times New Roman" w:cs="Times New Roman"/>
          <w:rtl/>
          <w:lang w:eastAsia="de-DE"/>
        </w:rPr>
        <w:t xml:space="preserve"> </w:t>
      </w:r>
      <w:r w:rsidRPr="001D73EC">
        <w:rPr>
          <w:rFonts w:eastAsia="Times New Roman" w:cs="Times New Roman"/>
          <w:lang w:eastAsia="de-DE"/>
        </w:rPr>
        <w:t xml:space="preserve">„sterben" als Substantiv „Toter"). Die präzisierende Phrase </w:t>
      </w:r>
      <w:r w:rsidRPr="001D73EC">
        <w:rPr>
          <w:rFonts w:eastAsia="Times New Roman" w:cs="Times New Roman"/>
          <w:b/>
          <w:bCs/>
          <w:rtl/>
          <w:lang w:eastAsia="de-DE"/>
        </w:rPr>
        <w:t>לְכָל־נֶפֶשׁ אָדָם</w:t>
      </w:r>
      <w:r w:rsidRPr="001D73EC">
        <w:rPr>
          <w:rFonts w:eastAsia="Times New Roman" w:cs="Times New Roman"/>
          <w:rtl/>
          <w:lang w:eastAsia="de-DE"/>
        </w:rPr>
        <w:t xml:space="preserve"> </w:t>
      </w:r>
      <w:r w:rsidRPr="001D73EC">
        <w:rPr>
          <w:rFonts w:eastAsia="Times New Roman" w:cs="Times New Roman"/>
          <w:lang w:eastAsia="de-DE"/>
        </w:rPr>
        <w:t xml:space="preserve">erweitert: </w:t>
      </w:r>
      <w:r w:rsidRPr="001D73EC">
        <w:rPr>
          <w:rFonts w:eastAsia="Times New Roman" w:cs="Times New Roman"/>
          <w:b/>
          <w:bCs/>
          <w:rtl/>
          <w:lang w:eastAsia="de-DE"/>
        </w:rPr>
        <w:t>לְ</w:t>
      </w:r>
      <w:r w:rsidRPr="001D73EC">
        <w:rPr>
          <w:rFonts w:eastAsia="Times New Roman" w:cs="Times New Roman"/>
          <w:rtl/>
          <w:lang w:eastAsia="de-DE"/>
        </w:rPr>
        <w:t xml:space="preserve"> </w:t>
      </w:r>
      <w:r w:rsidRPr="001D73EC">
        <w:rPr>
          <w:rFonts w:eastAsia="Times New Roman" w:cs="Times New Roman"/>
          <w:lang w:eastAsia="de-DE"/>
        </w:rPr>
        <w:t xml:space="preserve">mit distributivem </w:t>
      </w:r>
      <w:r w:rsidRPr="001D73EC">
        <w:rPr>
          <w:rFonts w:eastAsia="Times New Roman" w:cs="Times New Roman"/>
          <w:b/>
          <w:bCs/>
          <w:rtl/>
          <w:lang w:eastAsia="de-DE"/>
        </w:rPr>
        <w:t>כָּל</w:t>
      </w:r>
      <w:r w:rsidRPr="001D73EC">
        <w:rPr>
          <w:rFonts w:eastAsia="Times New Roman" w:cs="Times New Roman"/>
          <w:rtl/>
          <w:lang w:eastAsia="de-DE"/>
        </w:rPr>
        <w:t xml:space="preserve"> </w:t>
      </w:r>
      <w:r w:rsidRPr="001D73EC">
        <w:rPr>
          <w:rFonts w:eastAsia="Times New Roman" w:cs="Times New Roman"/>
          <w:lang w:eastAsia="de-DE"/>
        </w:rPr>
        <w:t xml:space="preserve">(„für/bei jeder"), </w:t>
      </w:r>
      <w:r w:rsidRPr="001D73EC">
        <w:rPr>
          <w:rFonts w:eastAsia="Times New Roman" w:cs="Times New Roman"/>
          <w:b/>
          <w:bCs/>
          <w:rtl/>
          <w:lang w:eastAsia="de-DE"/>
        </w:rPr>
        <w:t>נֶפֶשׁ אָדָם</w:t>
      </w:r>
      <w:r w:rsidRPr="001D73EC">
        <w:rPr>
          <w:rFonts w:eastAsia="Times New Roman" w:cs="Times New Roman"/>
          <w:rtl/>
          <w:lang w:eastAsia="de-DE"/>
        </w:rPr>
        <w:t xml:space="preserve"> </w:t>
      </w:r>
      <w:r w:rsidRPr="001D73EC">
        <w:rPr>
          <w:rFonts w:eastAsia="Times New Roman" w:cs="Times New Roman"/>
          <w:lang w:eastAsia="de-DE"/>
        </w:rPr>
        <w:t>(„Person/Seele eines Menschen", Constructus-Verbindung) – jede Art menschlicher Leiche verursacht Unreinheit.</w:t>
      </w:r>
    </w:p>
    <w:p w14:paraId="15863BCC"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Verb </w:t>
      </w:r>
      <w:r w:rsidRPr="001D73EC">
        <w:rPr>
          <w:rFonts w:eastAsia="Times New Roman" w:cs="Times New Roman"/>
          <w:b/>
          <w:bCs/>
          <w:rtl/>
          <w:lang w:eastAsia="de-DE"/>
        </w:rPr>
        <w:t>וְטָמֵא</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טמא</w:t>
      </w:r>
      <w:r w:rsidRPr="001D73EC">
        <w:rPr>
          <w:rFonts w:eastAsia="Times New Roman" w:cs="Times New Roman"/>
          <w:lang w:eastAsia="de-DE"/>
        </w:rPr>
        <w:t xml:space="preserve">, „und er wird unrein") drückt die Konsequenz aus. Die Zeitangabe </w:t>
      </w:r>
      <w:r w:rsidRPr="001D73EC">
        <w:rPr>
          <w:rFonts w:eastAsia="Times New Roman" w:cs="Times New Roman"/>
          <w:b/>
          <w:bCs/>
          <w:rtl/>
          <w:lang w:eastAsia="de-DE"/>
        </w:rPr>
        <w:t>שִׁבְעַת יָמִים</w:t>
      </w:r>
      <w:r w:rsidRPr="001D73EC">
        <w:rPr>
          <w:rFonts w:eastAsia="Times New Roman" w:cs="Times New Roman"/>
          <w:rtl/>
          <w:lang w:eastAsia="de-DE"/>
        </w:rPr>
        <w:t xml:space="preserve"> </w:t>
      </w:r>
      <w:r w:rsidRPr="001D73EC">
        <w:rPr>
          <w:rFonts w:eastAsia="Times New Roman" w:cs="Times New Roman"/>
          <w:lang w:eastAsia="de-DE"/>
        </w:rPr>
        <w:t>(„sieben Tage") ist eine Constructus-Verbindung – die längste Unreinheitsfrist, anders als die Ein-Tages-Unreinheit in den vorherigen Versen. Totenunreinheit ist die schwerste Form ritueller Unreinheit.</w:t>
      </w:r>
    </w:p>
    <w:p w14:paraId="59B0CFDC"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 übersetzt </w:t>
      </w:r>
      <w:r w:rsidRPr="001D73EC">
        <w:rPr>
          <w:rFonts w:eastAsia="Times New Roman" w:cs="Times New Roman"/>
          <w:b/>
          <w:bCs/>
          <w:rtl/>
          <w:lang w:eastAsia="de-DE"/>
        </w:rPr>
        <w:t>נֶפֶשׁ אָדָם</w:t>
      </w:r>
      <w:r w:rsidRPr="001D73EC">
        <w:rPr>
          <w:rFonts w:eastAsia="Times New Roman" w:cs="Times New Roman"/>
          <w:rtl/>
          <w:lang w:eastAsia="de-DE"/>
        </w:rPr>
        <w:t xml:space="preserve"> </w:t>
      </w:r>
      <w:r w:rsidRPr="001D73EC">
        <w:rPr>
          <w:rFonts w:eastAsia="Times New Roman" w:cs="Times New Roman"/>
          <w:lang w:eastAsia="de-DE"/>
        </w:rPr>
        <w:t>mit ψυχὴ ἀνθρώπου (psychē anthrōpou, „Seele/Person eines Menschen").</w:t>
      </w:r>
    </w:p>
    <w:p w14:paraId="6F23011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einen Hauptsatz mit partizipialem Subjekt (mit Präpositionalphrase), präzisierender Phrase (Constructus-Verbindung) und Verb mit Zeitangabe (Constructus-Verbindung). Es gibt keine Nebensätze.</w:t>
      </w:r>
    </w:p>
    <w:p w14:paraId="2CEDA4DA"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beginnt die Anwendungsregeln: Leichenkontakt verursacht siebentägige Unreinheit – die schwerste Form, die das in den vorherigen Versen hergestellte Reinigungswasser erfordert.</w:t>
      </w:r>
    </w:p>
    <w:p w14:paraId="33D9FC6A"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19,12</w:t>
      </w:r>
    </w:p>
    <w:p w14:paraId="4CB5315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ה֣וּא יִתְחַטָּא־בוֹ֞ בַּיּ֧וֹם הַשְּׁלִישִׁ֛י וּבַיּ֥וֹם הַשְּׁבִיעִ֖י יִטְהָ֑ר וְאִם־לֹ֨א יִתְחַטָּ֜א בַּיּ֧וֹם הַשְּׁלִישִׁ֛י וּבַיּ֥וֹם הַשְּׁבִיעִ֖י לֹ֥א יִטְהָֽר׃</w:t>
      </w:r>
    </w:p>
    <w:p w14:paraId="5E32D7B5"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Er soll sich damit entsündigen am dritten Tag und am siebten Tag, dann wird er rein; aber wenn er sich nicht entsündigt am dritten Tag und am siebten Tag, wird er nicht rein.</w:t>
      </w:r>
    </w:p>
    <w:p w14:paraId="5F8A1351"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682AFEEB">
          <v:rect id="_x0000_i1656" style="width:0;height:1.5pt" o:hralign="center" o:hrstd="t" o:hr="t" fillcolor="#a0a0a0" stroked="f"/>
        </w:pict>
      </w:r>
    </w:p>
    <w:p w14:paraId="4F13FF17"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emphatische Pronomen </w:t>
      </w:r>
      <w:r w:rsidRPr="001D73EC">
        <w:rPr>
          <w:rFonts w:eastAsia="Times New Roman" w:cs="Times New Roman"/>
          <w:b/>
          <w:bCs/>
          <w:rtl/>
          <w:lang w:eastAsia="de-DE"/>
        </w:rPr>
        <w:t>הוּא</w:t>
      </w:r>
      <w:r w:rsidRPr="001D73EC">
        <w:rPr>
          <w:rFonts w:eastAsia="Times New Roman" w:cs="Times New Roman"/>
          <w:rtl/>
          <w:lang w:eastAsia="de-DE"/>
        </w:rPr>
        <w:t xml:space="preserve"> </w:t>
      </w:r>
      <w:r w:rsidRPr="001D73EC">
        <w:rPr>
          <w:rFonts w:eastAsia="Times New Roman" w:cs="Times New Roman"/>
          <w:lang w:eastAsia="de-DE"/>
        </w:rPr>
        <w:t xml:space="preserve">(„er") betont das Subjekt. Das Verb </w:t>
      </w:r>
      <w:r w:rsidRPr="001D73EC">
        <w:rPr>
          <w:rFonts w:eastAsia="Times New Roman" w:cs="Times New Roman"/>
          <w:b/>
          <w:bCs/>
          <w:rtl/>
          <w:lang w:eastAsia="de-DE"/>
        </w:rPr>
        <w:t>יִתְחַטָּא</w:t>
      </w:r>
      <w:r w:rsidRPr="001D73EC">
        <w:rPr>
          <w:rFonts w:eastAsia="Times New Roman" w:cs="Times New Roman"/>
          <w:rtl/>
          <w:lang w:eastAsia="de-DE"/>
        </w:rPr>
        <w:t xml:space="preserve"> </w:t>
      </w:r>
      <w:r w:rsidRPr="001D73EC">
        <w:rPr>
          <w:rFonts w:eastAsia="Times New Roman" w:cs="Times New Roman"/>
          <w:lang w:eastAsia="de-DE"/>
        </w:rPr>
        <w:t xml:space="preserve">(Hitpael Imperfekt, 3. m. sg. von </w:t>
      </w:r>
      <w:r w:rsidRPr="001D73EC">
        <w:rPr>
          <w:rFonts w:eastAsia="Times New Roman" w:cs="Times New Roman"/>
          <w:b/>
          <w:bCs/>
          <w:rtl/>
          <w:lang w:eastAsia="de-DE"/>
        </w:rPr>
        <w:t>חטא</w:t>
      </w:r>
      <w:r w:rsidRPr="001D73EC">
        <w:rPr>
          <w:rFonts w:eastAsia="Times New Roman" w:cs="Times New Roman"/>
          <w:lang w:eastAsia="de-DE"/>
        </w:rPr>
        <w:t xml:space="preserve">, „er soll sich entsündigen") mit reflexiver Hitpael-Form bedeutet „sich reinigen, sich entsündigen". </w:t>
      </w:r>
      <w:r w:rsidRPr="001D73EC">
        <w:rPr>
          <w:rFonts w:eastAsia="Times New Roman" w:cs="Times New Roman"/>
          <w:b/>
          <w:bCs/>
          <w:rtl/>
          <w:lang w:eastAsia="de-DE"/>
        </w:rPr>
        <w:t>בוֹ</w:t>
      </w:r>
      <w:r w:rsidRPr="001D73EC">
        <w:rPr>
          <w:rFonts w:eastAsia="Times New Roman" w:cs="Times New Roman"/>
          <w:rtl/>
          <w:lang w:eastAsia="de-DE"/>
        </w:rPr>
        <w:t xml:space="preserve"> </w:t>
      </w:r>
      <w:r w:rsidRPr="001D73EC">
        <w:rPr>
          <w:rFonts w:eastAsia="Times New Roman" w:cs="Times New Roman"/>
          <w:lang w:eastAsia="de-DE"/>
        </w:rPr>
        <w:t xml:space="preserve">(„damit, dadurch") mit Suffix 3. m. sg. bezieht sich auf das Reinigungswasser. Die doppelte Zeitangabe </w:t>
      </w:r>
      <w:r w:rsidRPr="001D73EC">
        <w:rPr>
          <w:rFonts w:eastAsia="Times New Roman" w:cs="Times New Roman"/>
          <w:b/>
          <w:bCs/>
          <w:rtl/>
          <w:lang w:eastAsia="de-DE"/>
        </w:rPr>
        <w:t>בַּיּוֹם הַשְּׁלִישִׁי וּבַיּוֹם הַשְּׁבִיעִי</w:t>
      </w:r>
      <w:r w:rsidRPr="001D73EC">
        <w:rPr>
          <w:rFonts w:eastAsia="Times New Roman" w:cs="Times New Roman"/>
          <w:rtl/>
          <w:lang w:eastAsia="de-DE"/>
        </w:rPr>
        <w:t xml:space="preserve"> </w:t>
      </w:r>
      <w:r w:rsidRPr="001D73EC">
        <w:rPr>
          <w:rFonts w:eastAsia="Times New Roman" w:cs="Times New Roman"/>
          <w:lang w:eastAsia="de-DE"/>
        </w:rPr>
        <w:t>(„am dritten Tag und am siebten Tag") gibt die genauen Tage an – ein zweiteiliger Reinigungsprozess.</w:t>
      </w:r>
    </w:p>
    <w:p w14:paraId="4D2DE813"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Verb </w:t>
      </w:r>
      <w:r w:rsidRPr="001D73EC">
        <w:rPr>
          <w:rFonts w:eastAsia="Times New Roman" w:cs="Times New Roman"/>
          <w:b/>
          <w:bCs/>
          <w:rtl/>
          <w:lang w:eastAsia="de-DE"/>
        </w:rPr>
        <w:t>יִטְהָר</w:t>
      </w:r>
      <w:r w:rsidRPr="001D73EC">
        <w:rPr>
          <w:rFonts w:eastAsia="Times New Roman" w:cs="Times New Roman"/>
          <w:rtl/>
          <w:lang w:eastAsia="de-DE"/>
        </w:rPr>
        <w:t xml:space="preserve"> </w:t>
      </w:r>
      <w:r w:rsidRPr="001D73EC">
        <w:rPr>
          <w:rFonts w:eastAsia="Times New Roman" w:cs="Times New Roman"/>
          <w:lang w:eastAsia="de-DE"/>
        </w:rPr>
        <w:t xml:space="preserve">(Qal Imperfekt, 3. m. sg. von </w:t>
      </w:r>
      <w:r w:rsidRPr="001D73EC">
        <w:rPr>
          <w:rFonts w:eastAsia="Times New Roman" w:cs="Times New Roman"/>
          <w:b/>
          <w:bCs/>
          <w:rtl/>
          <w:lang w:eastAsia="de-DE"/>
        </w:rPr>
        <w:t>טהר</w:t>
      </w:r>
      <w:r w:rsidRPr="001D73EC">
        <w:rPr>
          <w:rFonts w:eastAsia="Times New Roman" w:cs="Times New Roman"/>
          <w:lang w:eastAsia="de-DE"/>
        </w:rPr>
        <w:t>, „er wird rein") drückt das Ergebnis aus.</w:t>
      </w:r>
    </w:p>
    <w:p w14:paraId="752D0F1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konditionale Negation </w:t>
      </w:r>
      <w:r w:rsidRPr="001D73EC">
        <w:rPr>
          <w:rFonts w:eastAsia="Times New Roman" w:cs="Times New Roman"/>
          <w:b/>
          <w:bCs/>
          <w:rtl/>
          <w:lang w:eastAsia="de-DE"/>
        </w:rPr>
        <w:t>וְאִם־לֹא יִתְחַטָּא בַּיּוֹם הַשְּׁלִישִׁי וּבַיּוֹם הַשְּׁבִיעִי</w:t>
      </w:r>
      <w:r w:rsidRPr="001D73EC">
        <w:rPr>
          <w:rFonts w:eastAsia="Times New Roman" w:cs="Times New Roman"/>
          <w:rtl/>
          <w:lang w:eastAsia="de-DE"/>
        </w:rPr>
        <w:t xml:space="preserve"> </w:t>
      </w:r>
      <w:r w:rsidRPr="001D73EC">
        <w:rPr>
          <w:rFonts w:eastAsia="Times New Roman" w:cs="Times New Roman"/>
          <w:lang w:eastAsia="de-DE"/>
        </w:rPr>
        <w:t xml:space="preserve">wiederholt die Struktur negativ: </w:t>
      </w:r>
      <w:r w:rsidRPr="001D73EC">
        <w:rPr>
          <w:rFonts w:eastAsia="Times New Roman" w:cs="Times New Roman"/>
          <w:b/>
          <w:bCs/>
          <w:rtl/>
          <w:lang w:eastAsia="de-DE"/>
        </w:rPr>
        <w:t>וְאִם</w:t>
      </w:r>
      <w:r w:rsidRPr="001D73EC">
        <w:rPr>
          <w:rFonts w:eastAsia="Times New Roman" w:cs="Times New Roman"/>
          <w:rtl/>
          <w:lang w:eastAsia="de-DE"/>
        </w:rPr>
        <w:t xml:space="preserve"> </w:t>
      </w:r>
      <w:r w:rsidRPr="001D73EC">
        <w:rPr>
          <w:rFonts w:eastAsia="Times New Roman" w:cs="Times New Roman"/>
          <w:lang w:eastAsia="de-DE"/>
        </w:rPr>
        <w:t xml:space="preserve">(„und wenn"), </w:t>
      </w:r>
      <w:r w:rsidRPr="001D73EC">
        <w:rPr>
          <w:rFonts w:eastAsia="Times New Roman" w:cs="Times New Roman"/>
          <w:b/>
          <w:bCs/>
          <w:rtl/>
          <w:lang w:eastAsia="de-DE"/>
        </w:rPr>
        <w:t>לֹא</w:t>
      </w:r>
      <w:r w:rsidRPr="001D73EC">
        <w:rPr>
          <w:rFonts w:eastAsia="Times New Roman" w:cs="Times New Roman"/>
          <w:rtl/>
          <w:lang w:eastAsia="de-DE"/>
        </w:rPr>
        <w:t xml:space="preserve"> </w:t>
      </w:r>
      <w:r w:rsidRPr="001D73EC">
        <w:rPr>
          <w:rFonts w:eastAsia="Times New Roman" w:cs="Times New Roman"/>
          <w:lang w:eastAsia="de-DE"/>
        </w:rPr>
        <w:t xml:space="preserve">Negation, dasselbe Verb und dieselben Zeitangaben. Die Konsequenz </w:t>
      </w:r>
      <w:r w:rsidRPr="001D73EC">
        <w:rPr>
          <w:rFonts w:eastAsia="Times New Roman" w:cs="Times New Roman"/>
          <w:b/>
          <w:bCs/>
          <w:rtl/>
          <w:lang w:eastAsia="de-DE"/>
        </w:rPr>
        <w:t>לֹא יִטְהָר</w:t>
      </w:r>
      <w:r w:rsidRPr="001D73EC">
        <w:rPr>
          <w:rFonts w:eastAsia="Times New Roman" w:cs="Times New Roman"/>
          <w:rtl/>
          <w:lang w:eastAsia="de-DE"/>
        </w:rPr>
        <w:t xml:space="preserve"> </w:t>
      </w:r>
      <w:r w:rsidRPr="001D73EC">
        <w:rPr>
          <w:rFonts w:eastAsia="Times New Roman" w:cs="Times New Roman"/>
          <w:lang w:eastAsia="de-DE"/>
        </w:rPr>
        <w:t>(„er wird nicht rein") ist kategorisch – beide Reinigungen sind verpflichtend.</w:t>
      </w:r>
    </w:p>
    <w:p w14:paraId="5CA9F984" w14:textId="2BDB45EA"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C229FD">
        <w:t>verwendet „ἁγνισθήσεται" (er wird gereinigt werden) für das hebräische „</w:t>
      </w:r>
      <w:r w:rsidR="00C229FD" w:rsidRPr="00C229FD">
        <w:rPr>
          <w:b/>
          <w:bCs/>
          <w:rtl/>
        </w:rPr>
        <w:t>יִתְחַטָּא</w:t>
      </w:r>
      <w:r w:rsidR="00C229FD">
        <w:t>" (er wird sich entsündigen), eine Verschiebung vom Entsündigen zum Reinigen.</w:t>
      </w:r>
    </w:p>
    <w:p w14:paraId="7FD6347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lastRenderedPageBreak/>
        <w:t>Die Satzstruktur zeigt einen Hauptsatz mit emphatischem Pronomen, reflexivem Verb, Präpositionalphrase und doppelter Zeitangabe, gefolgt von einem Hauptsatz mit Verb. Ein konditionaler Nebensatz mit Negation, Verb und wiederholter doppelter Zeitangabe folgt, dann ein Hauptsatz mit Negation und Verb. Insgesamt gibt es einen Nebensatz (Konditionalsatz).</w:t>
      </w:r>
    </w:p>
    <w:p w14:paraId="57A7883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präzisiert das Reinigungsverfahren: zwei Besprengungen an Tag 3 und Tag 7 – beide sind obligatorisch für vollständige Reinigung.</w:t>
      </w:r>
    </w:p>
    <w:p w14:paraId="51211E1D"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19,13</w:t>
      </w:r>
    </w:p>
    <w:p w14:paraId="7E8D1599"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כָּֽל־הַנֹּגֵ֡עַ בְּמֵ֣ת בְּנֶפֶשׁ֩ הָאָדָ֨ם אֲשֶׁר־יָמ֜וּת וְלֹ֣א יִתְחַטָּ֗א אֶת־מִשְׁכַּ֤ן יְהוָה֙ טִמֵּ֔א וְנִכְרְתָ֛ה הַנֶּ֥פֶשׁ הַהִ֖וא מִיִּשְׂרָאֵ֑ל כִּי֩ מֵ֨י נִדָּ֜ה לֹא־זֹרַ֤ק עָלָיו֙ טָמֵ֣א יִהְיֶ֔ה ע֖וֹד טֻמְאָתוֹ֥ בוֹֽ׃</w:t>
      </w:r>
    </w:p>
    <w:p w14:paraId="0582915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Jeder, der einen Toten berührt, die Person eines Menschen, der gestorben ist, und sich nicht entsündigt, der hat die Wohnung des Ewigen verunreinigt, und diese Person soll aus Israel ausgerottet werden; denn das Reinigungswasser wurde nicht auf ihn gesprengt, unrein wird er bleiben, seine Unreinheit ist noch an ihm.</w:t>
      </w:r>
    </w:p>
    <w:p w14:paraId="7D0E425E"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548278ED">
          <v:rect id="_x0000_i1657" style="width:0;height:1.5pt" o:hralign="center" o:hrstd="t" o:hr="t" fillcolor="#a0a0a0" stroked="f"/>
        </w:pict>
      </w:r>
    </w:p>
    <w:p w14:paraId="2714FDD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distributive </w:t>
      </w:r>
      <w:r w:rsidRPr="001D73EC">
        <w:rPr>
          <w:rFonts w:eastAsia="Times New Roman" w:cs="Times New Roman"/>
          <w:b/>
          <w:bCs/>
          <w:rtl/>
          <w:lang w:eastAsia="de-DE"/>
        </w:rPr>
        <w:t>כָּל־הַנֹּגֵעַ בְּמֵת</w:t>
      </w:r>
      <w:r w:rsidRPr="001D73EC">
        <w:rPr>
          <w:rFonts w:eastAsia="Times New Roman" w:cs="Times New Roman"/>
          <w:rtl/>
          <w:lang w:eastAsia="de-DE"/>
        </w:rPr>
        <w:t xml:space="preserve"> </w:t>
      </w:r>
      <w:r w:rsidRPr="001D73EC">
        <w:rPr>
          <w:rFonts w:eastAsia="Times New Roman" w:cs="Times New Roman"/>
          <w:lang w:eastAsia="de-DE"/>
        </w:rPr>
        <w:t xml:space="preserve">(„jeder, der einen Toten berührt") wiederholt die Struktur aus Vers 11. Die Präzisierung </w:t>
      </w:r>
      <w:r w:rsidRPr="001D73EC">
        <w:rPr>
          <w:rFonts w:eastAsia="Times New Roman" w:cs="Times New Roman"/>
          <w:b/>
          <w:bCs/>
          <w:rtl/>
          <w:lang w:eastAsia="de-DE"/>
        </w:rPr>
        <w:t>בְּנֶפֶשׁ הָאָדָם אֲשֶׁר־יָמוּת</w:t>
      </w:r>
      <w:r w:rsidRPr="001D73EC">
        <w:rPr>
          <w:rFonts w:eastAsia="Times New Roman" w:cs="Times New Roman"/>
          <w:rtl/>
          <w:lang w:eastAsia="de-DE"/>
        </w:rPr>
        <w:t xml:space="preserve"> </w:t>
      </w:r>
      <w:r w:rsidRPr="001D73EC">
        <w:rPr>
          <w:rFonts w:eastAsia="Times New Roman" w:cs="Times New Roman"/>
          <w:lang w:eastAsia="de-DE"/>
        </w:rPr>
        <w:t xml:space="preserve">erweitert: </w:t>
      </w:r>
      <w:r w:rsidRPr="001D73EC">
        <w:rPr>
          <w:rFonts w:eastAsia="Times New Roman" w:cs="Times New Roman"/>
          <w:b/>
          <w:bCs/>
          <w:rtl/>
          <w:lang w:eastAsia="de-DE"/>
        </w:rPr>
        <w:t>בְּנֶפֶשׁ הָאָדָם</w:t>
      </w:r>
      <w:r w:rsidRPr="001D73EC">
        <w:rPr>
          <w:rFonts w:eastAsia="Times New Roman" w:cs="Times New Roman"/>
          <w:rtl/>
          <w:lang w:eastAsia="de-DE"/>
        </w:rPr>
        <w:t xml:space="preserve"> </w:t>
      </w:r>
      <w:r w:rsidRPr="001D73EC">
        <w:rPr>
          <w:rFonts w:eastAsia="Times New Roman" w:cs="Times New Roman"/>
          <w:lang w:eastAsia="de-DE"/>
        </w:rPr>
        <w:t xml:space="preserve">(„an der Person des Menschen", Constructus-Verbindung mit Artikel und </w:t>
      </w:r>
      <w:r w:rsidRPr="001D73EC">
        <w:rPr>
          <w:rFonts w:eastAsia="Times New Roman" w:cs="Times New Roman"/>
          <w:b/>
          <w:bCs/>
          <w:rtl/>
          <w:lang w:eastAsia="de-DE"/>
        </w:rPr>
        <w:t>בְּ</w:t>
      </w:r>
      <w:r w:rsidRPr="001D73EC">
        <w:rPr>
          <w:rFonts w:eastAsia="Times New Roman" w:cs="Times New Roman"/>
          <w:lang w:eastAsia="de-DE"/>
        </w:rPr>
        <w:t xml:space="preserve">), </w:t>
      </w:r>
      <w:r w:rsidRPr="001D73EC">
        <w:rPr>
          <w:rFonts w:eastAsia="Times New Roman" w:cs="Times New Roman"/>
          <w:b/>
          <w:bCs/>
          <w:rtl/>
          <w:lang w:eastAsia="de-DE"/>
        </w:rPr>
        <w:t>אֲשֶׁר־יָמוּת</w:t>
      </w:r>
      <w:r w:rsidRPr="001D73EC">
        <w:rPr>
          <w:rFonts w:eastAsia="Times New Roman" w:cs="Times New Roman"/>
          <w:rtl/>
          <w:lang w:eastAsia="de-DE"/>
        </w:rPr>
        <w:t xml:space="preserve"> </w:t>
      </w:r>
      <w:r w:rsidRPr="001D73EC">
        <w:rPr>
          <w:rFonts w:eastAsia="Times New Roman" w:cs="Times New Roman"/>
          <w:lang w:eastAsia="de-DE"/>
        </w:rPr>
        <w:t xml:space="preserve">(Relativsatz: </w:t>
      </w:r>
      <w:r w:rsidRPr="001D73EC">
        <w:rPr>
          <w:rFonts w:eastAsia="Times New Roman" w:cs="Times New Roman"/>
          <w:b/>
          <w:bCs/>
          <w:rtl/>
          <w:lang w:eastAsia="de-DE"/>
        </w:rPr>
        <w:t>אֲשֶׁר</w:t>
      </w:r>
      <w:r w:rsidRPr="001D73EC">
        <w:rPr>
          <w:rFonts w:eastAsia="Times New Roman" w:cs="Times New Roman"/>
          <w:rtl/>
          <w:lang w:eastAsia="de-DE"/>
        </w:rPr>
        <w:t xml:space="preserve"> </w:t>
      </w:r>
      <w:r w:rsidRPr="001D73EC">
        <w:rPr>
          <w:rFonts w:eastAsia="Times New Roman" w:cs="Times New Roman"/>
          <w:lang w:eastAsia="de-DE"/>
        </w:rPr>
        <w:t xml:space="preserve">Relativpronomen, </w:t>
      </w:r>
      <w:r w:rsidRPr="001D73EC">
        <w:rPr>
          <w:rFonts w:eastAsia="Times New Roman" w:cs="Times New Roman"/>
          <w:b/>
          <w:bCs/>
          <w:rtl/>
          <w:lang w:eastAsia="de-DE"/>
        </w:rPr>
        <w:t>יָמוּת</w:t>
      </w:r>
      <w:r w:rsidRPr="001D73EC">
        <w:rPr>
          <w:rFonts w:eastAsia="Times New Roman" w:cs="Times New Roman"/>
          <w:rtl/>
          <w:lang w:eastAsia="de-DE"/>
        </w:rPr>
        <w:t xml:space="preserve"> </w:t>
      </w:r>
      <w:r w:rsidRPr="001D73EC">
        <w:rPr>
          <w:rFonts w:eastAsia="Times New Roman" w:cs="Times New Roman"/>
          <w:lang w:eastAsia="de-DE"/>
        </w:rPr>
        <w:t xml:space="preserve">Qal Imperfekt, 3. m. sg. von </w:t>
      </w:r>
      <w:r w:rsidRPr="001D73EC">
        <w:rPr>
          <w:rFonts w:eastAsia="Times New Roman" w:cs="Times New Roman"/>
          <w:b/>
          <w:bCs/>
          <w:rtl/>
          <w:lang w:eastAsia="de-DE"/>
        </w:rPr>
        <w:t>מות</w:t>
      </w:r>
      <w:r w:rsidRPr="001D73EC">
        <w:rPr>
          <w:rFonts w:eastAsia="Times New Roman" w:cs="Times New Roman"/>
          <w:lang w:eastAsia="de-DE"/>
        </w:rPr>
        <w:t>, „der stirbt/gestorben ist").</w:t>
      </w:r>
    </w:p>
    <w:p w14:paraId="6B5B1E4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negative Bedingung </w:t>
      </w:r>
      <w:r w:rsidRPr="001D73EC">
        <w:rPr>
          <w:rFonts w:eastAsia="Times New Roman" w:cs="Times New Roman"/>
          <w:b/>
          <w:bCs/>
          <w:rtl/>
          <w:lang w:eastAsia="de-DE"/>
        </w:rPr>
        <w:t>וְלֹא יִתְחַטָּא</w:t>
      </w:r>
      <w:r w:rsidRPr="001D73EC">
        <w:rPr>
          <w:rFonts w:eastAsia="Times New Roman" w:cs="Times New Roman"/>
          <w:rtl/>
          <w:lang w:eastAsia="de-DE"/>
        </w:rPr>
        <w:t xml:space="preserve"> </w:t>
      </w:r>
      <w:r w:rsidRPr="001D73EC">
        <w:rPr>
          <w:rFonts w:eastAsia="Times New Roman" w:cs="Times New Roman"/>
          <w:lang w:eastAsia="de-DE"/>
        </w:rPr>
        <w:t xml:space="preserve">(„und sich nicht entsündigt") führt zu schweren Konsequenzen. Das Objekt </w:t>
      </w:r>
      <w:r w:rsidRPr="001D73EC">
        <w:rPr>
          <w:rFonts w:eastAsia="Times New Roman" w:cs="Times New Roman"/>
          <w:b/>
          <w:bCs/>
          <w:rtl/>
          <w:lang w:eastAsia="de-DE"/>
        </w:rPr>
        <w:t>אֶת־מִשְׁכַּן יְהוָה</w:t>
      </w:r>
      <w:r w:rsidRPr="001D73EC">
        <w:rPr>
          <w:rFonts w:eastAsia="Times New Roman" w:cs="Times New Roman"/>
          <w:rtl/>
          <w:lang w:eastAsia="de-DE"/>
        </w:rPr>
        <w:t xml:space="preserve"> </w:t>
      </w:r>
      <w:r w:rsidRPr="001D73EC">
        <w:rPr>
          <w:rFonts w:eastAsia="Times New Roman" w:cs="Times New Roman"/>
          <w:lang w:eastAsia="de-DE"/>
        </w:rPr>
        <w:t xml:space="preserve">(„die Wohnung JHWHs", Constructus-Verbindung) wird durch das Verb </w:t>
      </w:r>
      <w:r w:rsidRPr="001D73EC">
        <w:rPr>
          <w:rFonts w:eastAsia="Times New Roman" w:cs="Times New Roman"/>
          <w:b/>
          <w:bCs/>
          <w:rtl/>
          <w:lang w:eastAsia="de-DE"/>
        </w:rPr>
        <w:t>טִמֵּא</w:t>
      </w:r>
      <w:r w:rsidRPr="001D73EC">
        <w:rPr>
          <w:rFonts w:eastAsia="Times New Roman" w:cs="Times New Roman"/>
          <w:rtl/>
          <w:lang w:eastAsia="de-DE"/>
        </w:rPr>
        <w:t xml:space="preserve"> </w:t>
      </w:r>
      <w:r w:rsidRPr="001D73EC">
        <w:rPr>
          <w:rFonts w:eastAsia="Times New Roman" w:cs="Times New Roman"/>
          <w:lang w:eastAsia="de-DE"/>
        </w:rPr>
        <w:t xml:space="preserve">(Piel Perfekt, 3. m. sg. von </w:t>
      </w:r>
      <w:r w:rsidRPr="001D73EC">
        <w:rPr>
          <w:rFonts w:eastAsia="Times New Roman" w:cs="Times New Roman"/>
          <w:b/>
          <w:bCs/>
          <w:rtl/>
          <w:lang w:eastAsia="de-DE"/>
        </w:rPr>
        <w:t>טמא</w:t>
      </w:r>
      <w:r w:rsidRPr="001D73EC">
        <w:rPr>
          <w:rFonts w:eastAsia="Times New Roman" w:cs="Times New Roman"/>
          <w:lang w:eastAsia="de-DE"/>
        </w:rPr>
        <w:t>, „er hat verunreinigt") verunreinigt – selbst Fernkontakt mit dem Heiligtum wird dadurch gefährlich.</w:t>
      </w:r>
    </w:p>
    <w:p w14:paraId="21A6AA8C"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Strafe </w:t>
      </w:r>
      <w:r w:rsidRPr="001D73EC">
        <w:rPr>
          <w:rFonts w:eastAsia="Times New Roman" w:cs="Times New Roman"/>
          <w:b/>
          <w:bCs/>
          <w:rtl/>
          <w:lang w:eastAsia="de-DE"/>
        </w:rPr>
        <w:t>וְנִכְרְתָה הַנֶּפֶשׁ הַהִוא מִיִּשְׂרָאֵל</w:t>
      </w:r>
      <w:r w:rsidRPr="001D73EC">
        <w:rPr>
          <w:rFonts w:eastAsia="Times New Roman" w:cs="Times New Roman"/>
          <w:rtl/>
          <w:lang w:eastAsia="de-DE"/>
        </w:rPr>
        <w:t xml:space="preserve"> </w:t>
      </w:r>
      <w:r w:rsidRPr="001D73EC">
        <w:rPr>
          <w:rFonts w:eastAsia="Times New Roman" w:cs="Times New Roman"/>
          <w:lang w:eastAsia="de-DE"/>
        </w:rPr>
        <w:t xml:space="preserve">ist drastisch: </w:t>
      </w:r>
      <w:r w:rsidRPr="001D73EC">
        <w:rPr>
          <w:rFonts w:eastAsia="Times New Roman" w:cs="Times New Roman"/>
          <w:b/>
          <w:bCs/>
          <w:rtl/>
          <w:lang w:eastAsia="de-DE"/>
        </w:rPr>
        <w:t>וְנִכְרְתָה</w:t>
      </w:r>
      <w:r w:rsidRPr="001D73EC">
        <w:rPr>
          <w:rFonts w:eastAsia="Times New Roman" w:cs="Times New Roman"/>
          <w:rtl/>
          <w:lang w:eastAsia="de-DE"/>
        </w:rPr>
        <w:t xml:space="preserve"> </w:t>
      </w:r>
      <w:r w:rsidRPr="001D73EC">
        <w:rPr>
          <w:rFonts w:eastAsia="Times New Roman" w:cs="Times New Roman"/>
          <w:lang w:eastAsia="de-DE"/>
        </w:rPr>
        <w:t xml:space="preserve">(Waw + Nifal Perfekt, 3. f. sg. von </w:t>
      </w:r>
      <w:r w:rsidRPr="001D73EC">
        <w:rPr>
          <w:rFonts w:eastAsia="Times New Roman" w:cs="Times New Roman"/>
          <w:b/>
          <w:bCs/>
          <w:rtl/>
          <w:lang w:eastAsia="de-DE"/>
        </w:rPr>
        <w:t>כרת</w:t>
      </w:r>
      <w:r w:rsidRPr="001D73EC">
        <w:rPr>
          <w:rFonts w:eastAsia="Times New Roman" w:cs="Times New Roman"/>
          <w:lang w:eastAsia="de-DE"/>
        </w:rPr>
        <w:t xml:space="preserve">, „und sie soll ausgerottet werden") – die </w:t>
      </w:r>
      <w:r w:rsidRPr="001D73EC">
        <w:rPr>
          <w:rFonts w:eastAsia="Times New Roman" w:cs="Times New Roman"/>
          <w:b/>
          <w:bCs/>
          <w:rtl/>
          <w:lang w:eastAsia="de-DE"/>
        </w:rPr>
        <w:t>כרת</w:t>
      </w:r>
      <w:r w:rsidRPr="001D73EC">
        <w:rPr>
          <w:rFonts w:eastAsia="Times New Roman" w:cs="Times New Roman"/>
          <w:lang w:eastAsia="de-DE"/>
        </w:rPr>
        <w:t xml:space="preserve">-Strafe, göttliche Ausrottung. </w:t>
      </w:r>
      <w:r w:rsidRPr="001D73EC">
        <w:rPr>
          <w:rFonts w:eastAsia="Times New Roman" w:cs="Times New Roman"/>
          <w:b/>
          <w:bCs/>
          <w:rtl/>
          <w:lang w:eastAsia="de-DE"/>
        </w:rPr>
        <w:t>הַנֶּפֶשׁ הַהִוא</w:t>
      </w:r>
      <w:r w:rsidRPr="001D73EC">
        <w:rPr>
          <w:rFonts w:eastAsia="Times New Roman" w:cs="Times New Roman"/>
          <w:rtl/>
          <w:lang w:eastAsia="de-DE"/>
        </w:rPr>
        <w:t xml:space="preserve"> </w:t>
      </w:r>
      <w:r w:rsidRPr="001D73EC">
        <w:rPr>
          <w:rFonts w:eastAsia="Times New Roman" w:cs="Times New Roman"/>
          <w:lang w:eastAsia="de-DE"/>
        </w:rPr>
        <w:t xml:space="preserve">(„diese Person") mit demonstrativem Pronomen, </w:t>
      </w:r>
      <w:r w:rsidRPr="001D73EC">
        <w:rPr>
          <w:rFonts w:eastAsia="Times New Roman" w:cs="Times New Roman"/>
          <w:b/>
          <w:bCs/>
          <w:rtl/>
          <w:lang w:eastAsia="de-DE"/>
        </w:rPr>
        <w:t>מִיִּשְׂרָאֵל</w:t>
      </w:r>
      <w:r w:rsidRPr="001D73EC">
        <w:rPr>
          <w:rFonts w:eastAsia="Times New Roman" w:cs="Times New Roman"/>
          <w:rtl/>
          <w:lang w:eastAsia="de-DE"/>
        </w:rPr>
        <w:t xml:space="preserve"> </w:t>
      </w:r>
      <w:r w:rsidRPr="001D73EC">
        <w:rPr>
          <w:rFonts w:eastAsia="Times New Roman" w:cs="Times New Roman"/>
          <w:lang w:eastAsia="de-DE"/>
        </w:rPr>
        <w:t>(„aus Israel").</w:t>
      </w:r>
    </w:p>
    <w:p w14:paraId="11E97B6D"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kausale Begründung </w:t>
      </w:r>
      <w:r w:rsidRPr="001D73EC">
        <w:rPr>
          <w:rFonts w:eastAsia="Times New Roman" w:cs="Times New Roman"/>
          <w:b/>
          <w:bCs/>
          <w:rtl/>
          <w:lang w:eastAsia="de-DE"/>
        </w:rPr>
        <w:t>כִּי מֵי נִדָּה לֹא־זֹרַק עָלָיו</w:t>
      </w:r>
      <w:r w:rsidRPr="001D73EC">
        <w:rPr>
          <w:rFonts w:eastAsia="Times New Roman" w:cs="Times New Roman"/>
          <w:rtl/>
          <w:lang w:eastAsia="de-DE"/>
        </w:rPr>
        <w:t xml:space="preserve"> </w:t>
      </w:r>
      <w:r w:rsidRPr="001D73EC">
        <w:rPr>
          <w:rFonts w:eastAsia="Times New Roman" w:cs="Times New Roman"/>
          <w:lang w:eastAsia="de-DE"/>
        </w:rPr>
        <w:t xml:space="preserve">besteht aus </w:t>
      </w:r>
      <w:r w:rsidRPr="001D73EC">
        <w:rPr>
          <w:rFonts w:eastAsia="Times New Roman" w:cs="Times New Roman"/>
          <w:b/>
          <w:bCs/>
          <w:rtl/>
          <w:lang w:eastAsia="de-DE"/>
        </w:rPr>
        <w:t>כִּי</w:t>
      </w:r>
      <w:r w:rsidRPr="001D73EC">
        <w:rPr>
          <w:rFonts w:eastAsia="Times New Roman" w:cs="Times New Roman"/>
          <w:rtl/>
          <w:lang w:eastAsia="de-DE"/>
        </w:rPr>
        <w:t xml:space="preserve"> </w:t>
      </w:r>
      <w:r w:rsidRPr="001D73EC">
        <w:rPr>
          <w:rFonts w:eastAsia="Times New Roman" w:cs="Times New Roman"/>
          <w:lang w:eastAsia="de-DE"/>
        </w:rPr>
        <w:t xml:space="preserve">(„denn"), </w:t>
      </w:r>
      <w:r w:rsidRPr="001D73EC">
        <w:rPr>
          <w:rFonts w:eastAsia="Times New Roman" w:cs="Times New Roman"/>
          <w:b/>
          <w:bCs/>
          <w:rtl/>
          <w:lang w:eastAsia="de-DE"/>
        </w:rPr>
        <w:t>מֵי נִדָּה</w:t>
      </w:r>
      <w:r w:rsidRPr="001D73EC">
        <w:rPr>
          <w:rFonts w:eastAsia="Times New Roman" w:cs="Times New Roman"/>
          <w:rtl/>
          <w:lang w:eastAsia="de-DE"/>
        </w:rPr>
        <w:t xml:space="preserve"> </w:t>
      </w:r>
      <w:r w:rsidRPr="001D73EC">
        <w:rPr>
          <w:rFonts w:eastAsia="Times New Roman" w:cs="Times New Roman"/>
          <w:lang w:eastAsia="de-DE"/>
        </w:rPr>
        <w:t xml:space="preserve">(„Reinigungswasser", Constructus-Verbindung), </w:t>
      </w:r>
      <w:r w:rsidRPr="001D73EC">
        <w:rPr>
          <w:rFonts w:eastAsia="Times New Roman" w:cs="Times New Roman"/>
          <w:b/>
          <w:bCs/>
          <w:rtl/>
          <w:lang w:eastAsia="de-DE"/>
        </w:rPr>
        <w:t>לֹא־זֹרַק</w:t>
      </w:r>
      <w:r w:rsidRPr="001D73EC">
        <w:rPr>
          <w:rFonts w:eastAsia="Times New Roman" w:cs="Times New Roman"/>
          <w:rtl/>
          <w:lang w:eastAsia="de-DE"/>
        </w:rPr>
        <w:t xml:space="preserve"> </w:t>
      </w:r>
      <w:r w:rsidRPr="001D73EC">
        <w:rPr>
          <w:rFonts w:eastAsia="Times New Roman" w:cs="Times New Roman"/>
          <w:lang w:eastAsia="de-DE"/>
        </w:rPr>
        <w:t xml:space="preserve">(Negation plus Qal Perfekt, 3. m. sg. von </w:t>
      </w:r>
      <w:r w:rsidRPr="001D73EC">
        <w:rPr>
          <w:rFonts w:eastAsia="Times New Roman" w:cs="Times New Roman"/>
          <w:b/>
          <w:bCs/>
          <w:rtl/>
          <w:lang w:eastAsia="de-DE"/>
        </w:rPr>
        <w:t>זרק</w:t>
      </w:r>
      <w:r w:rsidRPr="001D73EC">
        <w:rPr>
          <w:rFonts w:eastAsia="Times New Roman" w:cs="Times New Roman"/>
          <w:lang w:eastAsia="de-DE"/>
        </w:rPr>
        <w:t xml:space="preserve">, „er wurde gesprengt" – unpersönlich), </w:t>
      </w:r>
      <w:r w:rsidRPr="001D73EC">
        <w:rPr>
          <w:rFonts w:eastAsia="Times New Roman" w:cs="Times New Roman"/>
          <w:b/>
          <w:bCs/>
          <w:rtl/>
          <w:lang w:eastAsia="de-DE"/>
        </w:rPr>
        <w:t>עָלָיו</w:t>
      </w:r>
      <w:r w:rsidRPr="001D73EC">
        <w:rPr>
          <w:rFonts w:eastAsia="Times New Roman" w:cs="Times New Roman"/>
          <w:rtl/>
          <w:lang w:eastAsia="de-DE"/>
        </w:rPr>
        <w:t xml:space="preserve"> </w:t>
      </w:r>
      <w:r w:rsidRPr="001D73EC">
        <w:rPr>
          <w:rFonts w:eastAsia="Times New Roman" w:cs="Times New Roman"/>
          <w:lang w:eastAsia="de-DE"/>
        </w:rPr>
        <w:t xml:space="preserve">(„auf ihn"). Die nominale Aussage </w:t>
      </w:r>
      <w:r w:rsidRPr="001D73EC">
        <w:rPr>
          <w:rFonts w:eastAsia="Times New Roman" w:cs="Times New Roman"/>
          <w:b/>
          <w:bCs/>
          <w:rtl/>
          <w:lang w:eastAsia="de-DE"/>
        </w:rPr>
        <w:t>טָמֵא יִהְיֶה</w:t>
      </w:r>
      <w:r w:rsidRPr="001D73EC">
        <w:rPr>
          <w:rFonts w:eastAsia="Times New Roman" w:cs="Times New Roman"/>
          <w:rtl/>
          <w:lang w:eastAsia="de-DE"/>
        </w:rPr>
        <w:t xml:space="preserve"> </w:t>
      </w:r>
      <w:r w:rsidRPr="001D73EC">
        <w:rPr>
          <w:rFonts w:eastAsia="Times New Roman" w:cs="Times New Roman"/>
          <w:lang w:eastAsia="de-DE"/>
        </w:rPr>
        <w:t xml:space="preserve">(„unrein wird er bleiben") mit </w:t>
      </w:r>
      <w:r w:rsidRPr="001D73EC">
        <w:rPr>
          <w:rFonts w:eastAsia="Times New Roman" w:cs="Times New Roman"/>
          <w:b/>
          <w:bCs/>
          <w:rtl/>
          <w:lang w:eastAsia="de-DE"/>
        </w:rPr>
        <w:t>עוֹד</w:t>
      </w:r>
      <w:r w:rsidRPr="001D73EC">
        <w:rPr>
          <w:rFonts w:eastAsia="Times New Roman" w:cs="Times New Roman"/>
          <w:rtl/>
          <w:lang w:eastAsia="de-DE"/>
        </w:rPr>
        <w:t xml:space="preserve"> </w:t>
      </w:r>
      <w:r w:rsidRPr="001D73EC">
        <w:rPr>
          <w:rFonts w:eastAsia="Times New Roman" w:cs="Times New Roman"/>
          <w:lang w:eastAsia="de-DE"/>
        </w:rPr>
        <w:t xml:space="preserve">(„noch, weiterhin") und </w:t>
      </w:r>
      <w:r w:rsidRPr="001D73EC">
        <w:rPr>
          <w:rFonts w:eastAsia="Times New Roman" w:cs="Times New Roman"/>
          <w:b/>
          <w:bCs/>
          <w:rtl/>
          <w:lang w:eastAsia="de-DE"/>
        </w:rPr>
        <w:t>טֻמְאָתוֹ בוֹ</w:t>
      </w:r>
      <w:r w:rsidRPr="001D73EC">
        <w:rPr>
          <w:rFonts w:eastAsia="Times New Roman" w:cs="Times New Roman"/>
          <w:rtl/>
          <w:lang w:eastAsia="de-DE"/>
        </w:rPr>
        <w:t xml:space="preserve"> </w:t>
      </w:r>
      <w:r w:rsidRPr="001D73EC">
        <w:rPr>
          <w:rFonts w:eastAsia="Times New Roman" w:cs="Times New Roman"/>
          <w:lang w:eastAsia="de-DE"/>
        </w:rPr>
        <w:t xml:space="preserve">(„seine Unreinheit an ihm", </w:t>
      </w:r>
      <w:r w:rsidRPr="001D73EC">
        <w:rPr>
          <w:rFonts w:eastAsia="Times New Roman" w:cs="Times New Roman"/>
          <w:b/>
          <w:bCs/>
          <w:rtl/>
          <w:lang w:eastAsia="de-DE"/>
        </w:rPr>
        <w:t>טֻמְאָה</w:t>
      </w:r>
      <w:r w:rsidRPr="001D73EC">
        <w:rPr>
          <w:rFonts w:eastAsia="Times New Roman" w:cs="Times New Roman"/>
          <w:rtl/>
          <w:lang w:eastAsia="de-DE"/>
        </w:rPr>
        <w:t xml:space="preserve"> </w:t>
      </w:r>
      <w:r w:rsidRPr="001D73EC">
        <w:rPr>
          <w:rFonts w:eastAsia="Times New Roman" w:cs="Times New Roman"/>
          <w:lang w:eastAsia="de-DE"/>
        </w:rPr>
        <w:t xml:space="preserve">mit Possessivsuffix 3. m. sg., </w:t>
      </w:r>
      <w:r w:rsidRPr="001D73EC">
        <w:rPr>
          <w:rFonts w:eastAsia="Times New Roman" w:cs="Times New Roman"/>
          <w:b/>
          <w:bCs/>
          <w:rtl/>
          <w:lang w:eastAsia="de-DE"/>
        </w:rPr>
        <w:t>בּוֹ</w:t>
      </w:r>
      <w:r w:rsidRPr="001D73EC">
        <w:rPr>
          <w:rFonts w:eastAsia="Times New Roman" w:cs="Times New Roman"/>
          <w:rtl/>
          <w:lang w:eastAsia="de-DE"/>
        </w:rPr>
        <w:t xml:space="preserve"> </w:t>
      </w:r>
      <w:r w:rsidRPr="001D73EC">
        <w:rPr>
          <w:rFonts w:eastAsia="Times New Roman" w:cs="Times New Roman"/>
          <w:lang w:eastAsia="de-DE"/>
        </w:rPr>
        <w:t>„an ihm") betont die Permanenz der Unreinheit ohne Reinigung.</w:t>
      </w:r>
    </w:p>
    <w:p w14:paraId="4530D1C6" w14:textId="768C0BF2"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C229FD">
        <w:t>übersetzt „</w:t>
      </w:r>
      <w:r w:rsidR="00C229FD" w:rsidRPr="00C229FD">
        <w:rPr>
          <w:b/>
          <w:bCs/>
          <w:rtl/>
        </w:rPr>
        <w:t>לֹא־זֹרַק</w:t>
      </w:r>
      <w:r w:rsidR="00C229FD">
        <w:rPr>
          <w:rtl/>
        </w:rPr>
        <w:t xml:space="preserve"> </w:t>
      </w:r>
      <w:r w:rsidR="00C229FD" w:rsidRPr="00C229FD">
        <w:rPr>
          <w:b/>
          <w:bCs/>
          <w:rtl/>
        </w:rPr>
        <w:t>עָלָיו</w:t>
      </w:r>
      <w:r w:rsidR="00C229FD">
        <w:t>" (nicht gesprengt wurde auf ihn) mit „οὐ περιερραντίσθη ἐπʼ αὐτόν" (nicht ringsum besprengt wurde auf ihn), wobei das griechische Verb das "Ringsum"-Element betont.</w:t>
      </w:r>
    </w:p>
    <w:p w14:paraId="7CEC763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Satzstruktur zeigt einen Hauptsatz mit distributivem partizipialen Subjekt, präzisierender Phrase (Constructus-Verbindung) mit Relativsatz und negativer Bedingung, gefolgt von Objekt (Constructus-Verbindung) und Verb. Ein koordinierter Hauptsatz folgt mit Verb (Nifal </w:t>
      </w:r>
      <w:r w:rsidRPr="001D73EC">
        <w:rPr>
          <w:rFonts w:eastAsia="Times New Roman" w:cs="Times New Roman"/>
          <w:lang w:eastAsia="de-DE"/>
        </w:rPr>
        <w:lastRenderedPageBreak/>
        <w:t>passiv), Subjekt und Präpositionalphrase. Ein kausaler Nebensatz mit Subjekt (Constructus-Verbindung), negiertem Verb und Präpositionalphrase begründet. Zwei koordinierte nominale Hauptsätze mit Adjektiv, Verb, Adverb und abschließender Phrase (Possessivsuffix) beschließen. Insgesamt gibt es zwei Nebensätze: einen Relativsatz und einen Kausalsatz.</w:t>
      </w:r>
    </w:p>
    <w:p w14:paraId="167FFB4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Der Vers droht mit der schwersten Strafe – </w:t>
      </w:r>
      <w:r w:rsidRPr="001D73EC">
        <w:rPr>
          <w:rFonts w:eastAsia="Times New Roman" w:cs="Times New Roman"/>
          <w:b/>
          <w:bCs/>
          <w:rtl/>
          <w:lang w:eastAsia="de-DE"/>
        </w:rPr>
        <w:t>כרת</w:t>
      </w:r>
      <w:r w:rsidRPr="001D73EC">
        <w:rPr>
          <w:rFonts w:eastAsia="Times New Roman" w:cs="Times New Roman"/>
          <w:lang w:eastAsia="de-DE"/>
        </w:rPr>
        <w:t>, göttliche Ausrottung – für absichtliche Vernachlässigung der Reinigung. Unreinheit gefährdet nicht nur den Einzelnen, sondern das gesamte Heiligtum.</w:t>
      </w:r>
    </w:p>
    <w:p w14:paraId="46D82185"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19,14</w:t>
      </w:r>
    </w:p>
    <w:p w14:paraId="6C8ACAC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זֹ֚את הַתּוֹרָ֔ה אָדָ֖ם כִּֽי־יָמ֣וּת בְּאֹ֑הֶל כָּל־הַבָּ֤א אֶל־הָאֹ֨הֶל֙ וְכָל־אֲשֶׁ֣ר בָּאֹ֔הֶל יִטְמָ֖א שִׁבְעַ֥ת יָמִֽים׃</w:t>
      </w:r>
    </w:p>
    <w:p w14:paraId="2391F78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Dies ist die Weisung: Wenn ein Mensch in einem Zelt stirbt, so wird jeder, der in das Zelt hineinkommt, und alles, was im Zelt ist, unrein sieben Tage.</w:t>
      </w:r>
    </w:p>
    <w:p w14:paraId="31D0E728"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2C660A18">
          <v:rect id="_x0000_i1658" style="width:0;height:1.5pt" o:hralign="center" o:hrstd="t" o:hr="t" fillcolor="#a0a0a0" stroked="f"/>
        </w:pict>
      </w:r>
    </w:p>
    <w:p w14:paraId="3640B476" w14:textId="126CF303"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Die Formel </w:t>
      </w:r>
      <w:r w:rsidRPr="001D73EC">
        <w:rPr>
          <w:rFonts w:eastAsia="Times New Roman" w:cs="Times New Roman"/>
          <w:b/>
          <w:bCs/>
          <w:rtl/>
          <w:lang w:eastAsia="de-DE"/>
        </w:rPr>
        <w:t>זֹאת הַתּוֹרָה</w:t>
      </w:r>
      <w:r w:rsidRPr="001D73EC">
        <w:rPr>
          <w:rFonts w:eastAsia="Times New Roman" w:cs="Times New Roman"/>
          <w:rtl/>
          <w:lang w:eastAsia="de-DE"/>
        </w:rPr>
        <w:t xml:space="preserve"> </w:t>
      </w:r>
      <w:r w:rsidRPr="001D73EC">
        <w:rPr>
          <w:rFonts w:eastAsia="Times New Roman" w:cs="Times New Roman"/>
          <w:lang w:eastAsia="de-DE"/>
        </w:rPr>
        <w:t>(„dies ist die Weisung/</w:t>
      </w:r>
      <w:r w:rsidR="00525AC4">
        <w:rPr>
          <w:rFonts w:eastAsia="Times New Roman" w:cs="Times New Roman"/>
          <w:lang w:eastAsia="de-DE"/>
        </w:rPr>
        <w:t>Torah</w:t>
      </w:r>
      <w:r w:rsidRPr="001D73EC">
        <w:rPr>
          <w:rFonts w:eastAsia="Times New Roman" w:cs="Times New Roman"/>
          <w:lang w:eastAsia="de-DE"/>
        </w:rPr>
        <w:t xml:space="preserve">") leitet eine spezifische Regelung ein. Das Subjekt </w:t>
      </w:r>
      <w:r w:rsidRPr="001D73EC">
        <w:rPr>
          <w:rFonts w:eastAsia="Times New Roman" w:cs="Times New Roman"/>
          <w:b/>
          <w:bCs/>
          <w:rtl/>
          <w:lang w:eastAsia="de-DE"/>
        </w:rPr>
        <w:t>אָדָם</w:t>
      </w:r>
      <w:r w:rsidRPr="001D73EC">
        <w:rPr>
          <w:rFonts w:eastAsia="Times New Roman" w:cs="Times New Roman"/>
          <w:rtl/>
          <w:lang w:eastAsia="de-DE"/>
        </w:rPr>
        <w:t xml:space="preserve"> </w:t>
      </w:r>
      <w:r w:rsidRPr="001D73EC">
        <w:rPr>
          <w:rFonts w:eastAsia="Times New Roman" w:cs="Times New Roman"/>
          <w:lang w:eastAsia="de-DE"/>
        </w:rPr>
        <w:t xml:space="preserve">(„ein Mensch, Mensch") mit der konditionalen Konjunktion </w:t>
      </w:r>
      <w:r w:rsidRPr="001D73EC">
        <w:rPr>
          <w:rFonts w:eastAsia="Times New Roman" w:cs="Times New Roman"/>
          <w:b/>
          <w:bCs/>
          <w:rtl/>
          <w:lang w:eastAsia="de-DE"/>
        </w:rPr>
        <w:t>כִּי־יָמוּת</w:t>
      </w:r>
      <w:r w:rsidRPr="001D73EC">
        <w:rPr>
          <w:rFonts w:eastAsia="Times New Roman" w:cs="Times New Roman"/>
          <w:rtl/>
          <w:lang w:eastAsia="de-DE"/>
        </w:rPr>
        <w:t xml:space="preserve"> </w:t>
      </w:r>
      <w:r w:rsidRPr="001D73EC">
        <w:rPr>
          <w:rFonts w:eastAsia="Times New Roman" w:cs="Times New Roman"/>
          <w:lang w:eastAsia="de-DE"/>
        </w:rPr>
        <w:t xml:space="preserve">(„wenn er stirbt") und der Ortsangabe </w:t>
      </w:r>
      <w:r w:rsidRPr="001D73EC">
        <w:rPr>
          <w:rFonts w:eastAsia="Times New Roman" w:cs="Times New Roman"/>
          <w:b/>
          <w:bCs/>
          <w:rtl/>
          <w:lang w:eastAsia="de-DE"/>
        </w:rPr>
        <w:t>בְּאֹהֶל</w:t>
      </w:r>
      <w:r w:rsidRPr="001D73EC">
        <w:rPr>
          <w:rFonts w:eastAsia="Times New Roman" w:cs="Times New Roman"/>
          <w:rtl/>
          <w:lang w:eastAsia="de-DE"/>
        </w:rPr>
        <w:t xml:space="preserve"> </w:t>
      </w:r>
      <w:r w:rsidRPr="001D73EC">
        <w:rPr>
          <w:rFonts w:eastAsia="Times New Roman" w:cs="Times New Roman"/>
          <w:lang w:eastAsia="de-DE"/>
        </w:rPr>
        <w:t>(„in einem Zelt") beschreibt den Fall.</w:t>
      </w:r>
    </w:p>
    <w:p w14:paraId="6B57DEE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distributive </w:t>
      </w:r>
      <w:r w:rsidRPr="001D73EC">
        <w:rPr>
          <w:rFonts w:eastAsia="Times New Roman" w:cs="Times New Roman"/>
          <w:b/>
          <w:bCs/>
          <w:rtl/>
          <w:lang w:eastAsia="de-DE"/>
        </w:rPr>
        <w:t>כָּל־הַבָּא אֶל־הָאֹהֶל</w:t>
      </w:r>
      <w:r w:rsidRPr="001D73EC">
        <w:rPr>
          <w:rFonts w:eastAsia="Times New Roman" w:cs="Times New Roman"/>
          <w:rtl/>
          <w:lang w:eastAsia="de-DE"/>
        </w:rPr>
        <w:t xml:space="preserve"> </w:t>
      </w:r>
      <w:r w:rsidRPr="001D73EC">
        <w:rPr>
          <w:rFonts w:eastAsia="Times New Roman" w:cs="Times New Roman"/>
          <w:lang w:eastAsia="de-DE"/>
        </w:rPr>
        <w:t xml:space="preserve">(„jeder, der in das Zelt hineinkommt") besteht aus </w:t>
      </w:r>
      <w:r w:rsidRPr="001D73EC">
        <w:rPr>
          <w:rFonts w:eastAsia="Times New Roman" w:cs="Times New Roman"/>
          <w:b/>
          <w:bCs/>
          <w:rtl/>
          <w:lang w:eastAsia="de-DE"/>
        </w:rPr>
        <w:t>כָּל</w:t>
      </w:r>
      <w:r w:rsidRPr="001D73EC">
        <w:rPr>
          <w:rFonts w:eastAsia="Times New Roman" w:cs="Times New Roman"/>
          <w:rtl/>
          <w:lang w:eastAsia="de-DE"/>
        </w:rPr>
        <w:t xml:space="preserve"> </w:t>
      </w:r>
      <w:r w:rsidRPr="001D73EC">
        <w:rPr>
          <w:rFonts w:eastAsia="Times New Roman" w:cs="Times New Roman"/>
          <w:lang w:eastAsia="de-DE"/>
        </w:rPr>
        <w:t xml:space="preserve">im Constructus, </w:t>
      </w:r>
      <w:r w:rsidRPr="001D73EC">
        <w:rPr>
          <w:rFonts w:eastAsia="Times New Roman" w:cs="Times New Roman"/>
          <w:b/>
          <w:bCs/>
          <w:rtl/>
          <w:lang w:eastAsia="de-DE"/>
        </w:rPr>
        <w:t>הַבָּא</w:t>
      </w:r>
      <w:r w:rsidRPr="001D73EC">
        <w:rPr>
          <w:rFonts w:eastAsia="Times New Roman" w:cs="Times New Roman"/>
          <w:rtl/>
          <w:lang w:eastAsia="de-DE"/>
        </w:rPr>
        <w:t xml:space="preserve"> </w:t>
      </w:r>
      <w:r w:rsidRPr="001D73EC">
        <w:rPr>
          <w:rFonts w:eastAsia="Times New Roman" w:cs="Times New Roman"/>
          <w:lang w:eastAsia="de-DE"/>
        </w:rPr>
        <w:t xml:space="preserve">(Qal Partizip von </w:t>
      </w:r>
      <w:r w:rsidRPr="001D73EC">
        <w:rPr>
          <w:rFonts w:eastAsia="Times New Roman" w:cs="Times New Roman"/>
          <w:b/>
          <w:bCs/>
          <w:rtl/>
          <w:lang w:eastAsia="de-DE"/>
        </w:rPr>
        <w:t>בוא</w:t>
      </w:r>
      <w:r w:rsidRPr="001D73EC">
        <w:rPr>
          <w:rFonts w:eastAsia="Times New Roman" w:cs="Times New Roman"/>
          <w:rtl/>
          <w:lang w:eastAsia="de-DE"/>
        </w:rPr>
        <w:t xml:space="preserve"> </w:t>
      </w:r>
      <w:r w:rsidRPr="001D73EC">
        <w:rPr>
          <w:rFonts w:eastAsia="Times New Roman" w:cs="Times New Roman"/>
          <w:lang w:eastAsia="de-DE"/>
        </w:rPr>
        <w:t xml:space="preserve">„kommen" mit Artikel) und </w:t>
      </w:r>
      <w:r w:rsidRPr="001D73EC">
        <w:rPr>
          <w:rFonts w:eastAsia="Times New Roman" w:cs="Times New Roman"/>
          <w:b/>
          <w:bCs/>
          <w:rtl/>
          <w:lang w:eastAsia="de-DE"/>
        </w:rPr>
        <w:t>אֶל־הָאֹהֶל</w:t>
      </w:r>
      <w:r w:rsidRPr="001D73EC">
        <w:rPr>
          <w:rFonts w:eastAsia="Times New Roman" w:cs="Times New Roman"/>
          <w:rtl/>
          <w:lang w:eastAsia="de-DE"/>
        </w:rPr>
        <w:t xml:space="preserve"> </w:t>
      </w:r>
      <w:r w:rsidRPr="001D73EC">
        <w:rPr>
          <w:rFonts w:eastAsia="Times New Roman" w:cs="Times New Roman"/>
          <w:lang w:eastAsia="de-DE"/>
        </w:rPr>
        <w:t xml:space="preserve">(„in das Zelt" mit Artikel). Das koordinierte </w:t>
      </w:r>
      <w:r w:rsidRPr="001D73EC">
        <w:rPr>
          <w:rFonts w:eastAsia="Times New Roman" w:cs="Times New Roman"/>
          <w:b/>
          <w:bCs/>
          <w:rtl/>
          <w:lang w:eastAsia="de-DE"/>
        </w:rPr>
        <w:t>וְכָל־אֲשֶׁר בָּאֹהֶל</w:t>
      </w:r>
      <w:r w:rsidRPr="001D73EC">
        <w:rPr>
          <w:rFonts w:eastAsia="Times New Roman" w:cs="Times New Roman"/>
          <w:rtl/>
          <w:lang w:eastAsia="de-DE"/>
        </w:rPr>
        <w:t xml:space="preserve"> </w:t>
      </w:r>
      <w:r w:rsidRPr="001D73EC">
        <w:rPr>
          <w:rFonts w:eastAsia="Times New Roman" w:cs="Times New Roman"/>
          <w:lang w:eastAsia="de-DE"/>
        </w:rPr>
        <w:t xml:space="preserve">(„und alles, was im Zelt ist") besteht aus </w:t>
      </w:r>
      <w:r w:rsidRPr="001D73EC">
        <w:rPr>
          <w:rFonts w:eastAsia="Times New Roman" w:cs="Times New Roman"/>
          <w:b/>
          <w:bCs/>
          <w:rtl/>
          <w:lang w:eastAsia="de-DE"/>
        </w:rPr>
        <w:t>וְכָל</w:t>
      </w:r>
      <w:r w:rsidRPr="001D73EC">
        <w:rPr>
          <w:rFonts w:eastAsia="Times New Roman" w:cs="Times New Roman"/>
          <w:rtl/>
          <w:lang w:eastAsia="de-DE"/>
        </w:rPr>
        <w:t xml:space="preserve"> </w:t>
      </w:r>
      <w:r w:rsidRPr="001D73EC">
        <w:rPr>
          <w:rFonts w:eastAsia="Times New Roman" w:cs="Times New Roman"/>
          <w:lang w:eastAsia="de-DE"/>
        </w:rPr>
        <w:t xml:space="preserve">im Constructus, Relativpronomen </w:t>
      </w:r>
      <w:r w:rsidRPr="001D73EC">
        <w:rPr>
          <w:rFonts w:eastAsia="Times New Roman" w:cs="Times New Roman"/>
          <w:b/>
          <w:bCs/>
          <w:rtl/>
          <w:lang w:eastAsia="de-DE"/>
        </w:rPr>
        <w:t>אֲשֶׁר</w:t>
      </w:r>
      <w:r w:rsidRPr="001D73EC">
        <w:rPr>
          <w:rFonts w:eastAsia="Times New Roman" w:cs="Times New Roman"/>
          <w:rtl/>
          <w:lang w:eastAsia="de-DE"/>
        </w:rPr>
        <w:t xml:space="preserve"> </w:t>
      </w:r>
      <w:r w:rsidRPr="001D73EC">
        <w:rPr>
          <w:rFonts w:eastAsia="Times New Roman" w:cs="Times New Roman"/>
          <w:lang w:eastAsia="de-DE"/>
        </w:rPr>
        <w:t xml:space="preserve">und Ortsangabe </w:t>
      </w:r>
      <w:r w:rsidRPr="001D73EC">
        <w:rPr>
          <w:rFonts w:eastAsia="Times New Roman" w:cs="Times New Roman"/>
          <w:b/>
          <w:bCs/>
          <w:rtl/>
          <w:lang w:eastAsia="de-DE"/>
        </w:rPr>
        <w:t>בָּאֹהֶל</w:t>
      </w:r>
      <w:r w:rsidRPr="001D73EC">
        <w:rPr>
          <w:rFonts w:eastAsia="Times New Roman" w:cs="Times New Roman"/>
          <w:rtl/>
          <w:lang w:eastAsia="de-DE"/>
        </w:rPr>
        <w:t xml:space="preserve"> </w:t>
      </w:r>
      <w:r w:rsidRPr="001D73EC">
        <w:rPr>
          <w:rFonts w:eastAsia="Times New Roman" w:cs="Times New Roman"/>
          <w:lang w:eastAsia="de-DE"/>
        </w:rPr>
        <w:t xml:space="preserve">(„im Zelt" mit Artikel) – nicht nur Personen, sondern auch Gegenstände werden unrein. Das Verb </w:t>
      </w:r>
      <w:r w:rsidRPr="001D73EC">
        <w:rPr>
          <w:rFonts w:eastAsia="Times New Roman" w:cs="Times New Roman"/>
          <w:b/>
          <w:bCs/>
          <w:rtl/>
          <w:lang w:eastAsia="de-DE"/>
        </w:rPr>
        <w:t>יִטְמָא</w:t>
      </w:r>
      <w:r w:rsidRPr="001D73EC">
        <w:rPr>
          <w:rFonts w:eastAsia="Times New Roman" w:cs="Times New Roman"/>
          <w:rtl/>
          <w:lang w:eastAsia="de-DE"/>
        </w:rPr>
        <w:t xml:space="preserve"> </w:t>
      </w:r>
      <w:r w:rsidRPr="001D73EC">
        <w:rPr>
          <w:rFonts w:eastAsia="Times New Roman" w:cs="Times New Roman"/>
          <w:lang w:eastAsia="de-DE"/>
        </w:rPr>
        <w:t xml:space="preserve">(Qal Imperfekt, 3. m. sg. von </w:t>
      </w:r>
      <w:r w:rsidRPr="001D73EC">
        <w:rPr>
          <w:rFonts w:eastAsia="Times New Roman" w:cs="Times New Roman"/>
          <w:b/>
          <w:bCs/>
          <w:rtl/>
          <w:lang w:eastAsia="de-DE"/>
        </w:rPr>
        <w:t>טמא</w:t>
      </w:r>
      <w:r w:rsidRPr="001D73EC">
        <w:rPr>
          <w:rFonts w:eastAsia="Times New Roman" w:cs="Times New Roman"/>
          <w:lang w:eastAsia="de-DE"/>
        </w:rPr>
        <w:t xml:space="preserve">, „er/es wird unrein") gilt für beide. Die Zeitangabe </w:t>
      </w:r>
      <w:r w:rsidRPr="001D73EC">
        <w:rPr>
          <w:rFonts w:eastAsia="Times New Roman" w:cs="Times New Roman"/>
          <w:b/>
          <w:bCs/>
          <w:rtl/>
          <w:lang w:eastAsia="de-DE"/>
        </w:rPr>
        <w:t>שִׁבְעַת יָמִים</w:t>
      </w:r>
      <w:r w:rsidRPr="001D73EC">
        <w:rPr>
          <w:rFonts w:eastAsia="Times New Roman" w:cs="Times New Roman"/>
          <w:rtl/>
          <w:lang w:eastAsia="de-DE"/>
        </w:rPr>
        <w:t xml:space="preserve"> </w:t>
      </w:r>
      <w:r w:rsidRPr="001D73EC">
        <w:rPr>
          <w:rFonts w:eastAsia="Times New Roman" w:cs="Times New Roman"/>
          <w:lang w:eastAsia="de-DE"/>
        </w:rPr>
        <w:t>(„sieben Tage") wiederholt die Dauer aus Vers 11.</w:t>
      </w:r>
    </w:p>
    <w:p w14:paraId="6E87A0ED" w14:textId="77777777" w:rsidR="00C229FD" w:rsidRDefault="001D73EC" w:rsidP="00C229FD">
      <w:pPr>
        <w:spacing w:before="100" w:beforeAutospacing="1" w:after="100" w:afterAutospacing="1" w:line="240" w:lineRule="auto"/>
      </w:pPr>
      <w:r w:rsidRPr="001D73EC">
        <w:rPr>
          <w:rFonts w:eastAsia="Times New Roman" w:cs="Times New Roman"/>
          <w:b/>
          <w:bCs/>
          <w:lang w:eastAsia="de-DE"/>
        </w:rPr>
        <w:t>Die LXX</w:t>
      </w:r>
      <w:r w:rsidRPr="001D73EC">
        <w:rPr>
          <w:rFonts w:eastAsia="Times New Roman" w:cs="Times New Roman"/>
          <w:lang w:eastAsia="de-DE"/>
        </w:rPr>
        <w:t xml:space="preserve"> </w:t>
      </w:r>
      <w:r w:rsidR="00C229FD">
        <w:t>übersetzt „</w:t>
      </w:r>
      <w:r w:rsidR="00C229FD" w:rsidRPr="00C229FD">
        <w:rPr>
          <w:b/>
          <w:bCs/>
          <w:rtl/>
        </w:rPr>
        <w:t>אֹהֶל</w:t>
      </w:r>
      <w:r w:rsidR="00C229FD">
        <w:t>" (Zelt) mit „οἰκίᾳ" (Haus), was die Anwendung vom nomadischen Kontext auf einen sesshaften Kontext verschiebt.</w:t>
      </w:r>
    </w:p>
    <w:p w14:paraId="690DEC41" w14:textId="0EF8815E" w:rsidR="001D73EC" w:rsidRPr="001D73EC" w:rsidRDefault="001D73EC" w:rsidP="00C229FD">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einen nominalen Hauptsatz mit Formel und Subjekt, gefolgt von einem konditionalen Nebensatz mit Verb und Ortsangabe. Zwei koordinierte distributive Subjekte (partizipial bzw. mit Relativsatz) folgen mit Verb und Zeitangabe. Insgesamt gibt es zwei Nebensätze: einen Konditionalsatz und einen eingebetteten Relativsatz.</w:t>
      </w:r>
    </w:p>
    <w:p w14:paraId="562D5D9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spezifiziert: Tod in einem geschlossenen Raum (Zelt) verunreinigt alles und jeden darin – die Unreinheit ist räumlich übertragbar.</w:t>
      </w:r>
    </w:p>
    <w:p w14:paraId="256B695B"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19,15</w:t>
      </w:r>
    </w:p>
    <w:p w14:paraId="24B58E3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וְכֹל֙ כְּלִ֣י פָת֔וּחַ אֲשֶׁ֛ר אֵין־צָמִ֥יד פָּתִ֖יל עָלָ֑יו טָמֵ֖א הֽוּא׃</w:t>
      </w:r>
    </w:p>
    <w:p w14:paraId="641CC83D"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jedes offene Gefäß, an dem keine Schnurumwicklung darauf ist, ist unrein.</w:t>
      </w:r>
    </w:p>
    <w:p w14:paraId="3F3AAF37"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619E0712">
          <v:rect id="_x0000_i1659" style="width:0;height:1.5pt" o:hralign="center" o:hrstd="t" o:hr="t" fillcolor="#a0a0a0" stroked="f"/>
        </w:pict>
      </w:r>
    </w:p>
    <w:p w14:paraId="4960AFC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lastRenderedPageBreak/>
        <w:t>Kommentar:</w:t>
      </w:r>
      <w:r w:rsidRPr="001D73EC">
        <w:rPr>
          <w:rFonts w:eastAsia="Times New Roman" w:cs="Times New Roman"/>
          <w:lang w:eastAsia="de-DE"/>
        </w:rPr>
        <w:t xml:space="preserve"> Das distributive </w:t>
      </w:r>
      <w:r w:rsidRPr="001D73EC">
        <w:rPr>
          <w:rFonts w:eastAsia="Times New Roman" w:cs="Times New Roman"/>
          <w:b/>
          <w:bCs/>
          <w:rtl/>
          <w:lang w:eastAsia="de-DE"/>
        </w:rPr>
        <w:t>וְכֹל כְּלִי פָתוּחַ</w:t>
      </w:r>
      <w:r w:rsidRPr="001D73EC">
        <w:rPr>
          <w:rFonts w:eastAsia="Times New Roman" w:cs="Times New Roman"/>
          <w:rtl/>
          <w:lang w:eastAsia="de-DE"/>
        </w:rPr>
        <w:t xml:space="preserve"> </w:t>
      </w:r>
      <w:r w:rsidRPr="001D73EC">
        <w:rPr>
          <w:rFonts w:eastAsia="Times New Roman" w:cs="Times New Roman"/>
          <w:lang w:eastAsia="de-DE"/>
        </w:rPr>
        <w:t xml:space="preserve">besteht aus </w:t>
      </w:r>
      <w:r w:rsidRPr="001D73EC">
        <w:rPr>
          <w:rFonts w:eastAsia="Times New Roman" w:cs="Times New Roman"/>
          <w:b/>
          <w:bCs/>
          <w:rtl/>
          <w:lang w:eastAsia="de-DE"/>
        </w:rPr>
        <w:t>כֹּל</w:t>
      </w:r>
      <w:r w:rsidRPr="001D73EC">
        <w:rPr>
          <w:rFonts w:eastAsia="Times New Roman" w:cs="Times New Roman"/>
          <w:rtl/>
          <w:lang w:eastAsia="de-DE"/>
        </w:rPr>
        <w:t xml:space="preserve"> </w:t>
      </w:r>
      <w:r w:rsidRPr="001D73EC">
        <w:rPr>
          <w:rFonts w:eastAsia="Times New Roman" w:cs="Times New Roman"/>
          <w:lang w:eastAsia="de-DE"/>
        </w:rPr>
        <w:t xml:space="preserve">(„jedes") im Constructus, </w:t>
      </w:r>
      <w:r w:rsidRPr="001D73EC">
        <w:rPr>
          <w:rFonts w:eastAsia="Times New Roman" w:cs="Times New Roman"/>
          <w:b/>
          <w:bCs/>
          <w:rtl/>
          <w:lang w:eastAsia="de-DE"/>
        </w:rPr>
        <w:t>כְּלִי</w:t>
      </w:r>
      <w:r w:rsidRPr="001D73EC">
        <w:rPr>
          <w:rFonts w:eastAsia="Times New Roman" w:cs="Times New Roman"/>
          <w:rtl/>
          <w:lang w:eastAsia="de-DE"/>
        </w:rPr>
        <w:t xml:space="preserve"> </w:t>
      </w:r>
      <w:r w:rsidRPr="001D73EC">
        <w:rPr>
          <w:rFonts w:eastAsia="Times New Roman" w:cs="Times New Roman"/>
          <w:lang w:eastAsia="de-DE"/>
        </w:rPr>
        <w:t xml:space="preserve">(„Gefäß") und </w:t>
      </w:r>
      <w:r w:rsidRPr="001D73EC">
        <w:rPr>
          <w:rFonts w:eastAsia="Times New Roman" w:cs="Times New Roman"/>
          <w:b/>
          <w:bCs/>
          <w:rtl/>
          <w:lang w:eastAsia="de-DE"/>
        </w:rPr>
        <w:t>פָּתוּחַ</w:t>
      </w:r>
      <w:r w:rsidRPr="001D73EC">
        <w:rPr>
          <w:rFonts w:eastAsia="Times New Roman" w:cs="Times New Roman"/>
          <w:rtl/>
          <w:lang w:eastAsia="de-DE"/>
        </w:rPr>
        <w:t xml:space="preserve"> </w:t>
      </w:r>
      <w:r w:rsidRPr="001D73EC">
        <w:rPr>
          <w:rFonts w:eastAsia="Times New Roman" w:cs="Times New Roman"/>
          <w:lang w:eastAsia="de-DE"/>
        </w:rPr>
        <w:t xml:space="preserve">(Qal Partizip Passiv von </w:t>
      </w:r>
      <w:r w:rsidRPr="001D73EC">
        <w:rPr>
          <w:rFonts w:eastAsia="Times New Roman" w:cs="Times New Roman"/>
          <w:b/>
          <w:bCs/>
          <w:rtl/>
          <w:lang w:eastAsia="de-DE"/>
        </w:rPr>
        <w:t>פתח</w:t>
      </w:r>
      <w:r w:rsidRPr="001D73EC">
        <w:rPr>
          <w:rFonts w:eastAsia="Times New Roman" w:cs="Times New Roman"/>
          <w:rtl/>
          <w:lang w:eastAsia="de-DE"/>
        </w:rPr>
        <w:t xml:space="preserve"> </w:t>
      </w:r>
      <w:r w:rsidRPr="001D73EC">
        <w:rPr>
          <w:rFonts w:eastAsia="Times New Roman" w:cs="Times New Roman"/>
          <w:lang w:eastAsia="de-DE"/>
        </w:rPr>
        <w:t xml:space="preserve">„öffnen", „offen, geöffnet"). Der Relativsatz </w:t>
      </w:r>
      <w:r w:rsidRPr="001D73EC">
        <w:rPr>
          <w:rFonts w:eastAsia="Times New Roman" w:cs="Times New Roman"/>
          <w:b/>
          <w:bCs/>
          <w:rtl/>
          <w:lang w:eastAsia="de-DE"/>
        </w:rPr>
        <w:t>אֲשֶׁר אֵין־צָמִיד פָּתִיל עָלָיו</w:t>
      </w:r>
      <w:r w:rsidRPr="001D73EC">
        <w:rPr>
          <w:rFonts w:eastAsia="Times New Roman" w:cs="Times New Roman"/>
          <w:rtl/>
          <w:lang w:eastAsia="de-DE"/>
        </w:rPr>
        <w:t xml:space="preserve"> </w:t>
      </w:r>
      <w:r w:rsidRPr="001D73EC">
        <w:rPr>
          <w:rFonts w:eastAsia="Times New Roman" w:cs="Times New Roman"/>
          <w:lang w:eastAsia="de-DE"/>
        </w:rPr>
        <w:t xml:space="preserve">spezifiziert die Bedingung: </w:t>
      </w:r>
      <w:r w:rsidRPr="001D73EC">
        <w:rPr>
          <w:rFonts w:eastAsia="Times New Roman" w:cs="Times New Roman"/>
          <w:b/>
          <w:bCs/>
          <w:rtl/>
          <w:lang w:eastAsia="de-DE"/>
        </w:rPr>
        <w:t>אֲשֶׁר</w:t>
      </w:r>
      <w:r w:rsidRPr="001D73EC">
        <w:rPr>
          <w:rFonts w:eastAsia="Times New Roman" w:cs="Times New Roman"/>
          <w:rtl/>
          <w:lang w:eastAsia="de-DE"/>
        </w:rPr>
        <w:t xml:space="preserve"> </w:t>
      </w:r>
      <w:r w:rsidRPr="001D73EC">
        <w:rPr>
          <w:rFonts w:eastAsia="Times New Roman" w:cs="Times New Roman"/>
          <w:lang w:eastAsia="de-DE"/>
        </w:rPr>
        <w:t xml:space="preserve">Relativpronomen, </w:t>
      </w:r>
      <w:r w:rsidRPr="001D73EC">
        <w:rPr>
          <w:rFonts w:eastAsia="Times New Roman" w:cs="Times New Roman"/>
          <w:b/>
          <w:bCs/>
          <w:rtl/>
          <w:lang w:eastAsia="de-DE"/>
        </w:rPr>
        <w:t>אֵין</w:t>
      </w:r>
      <w:r w:rsidRPr="001D73EC">
        <w:rPr>
          <w:rFonts w:eastAsia="Times New Roman" w:cs="Times New Roman"/>
          <w:rtl/>
          <w:lang w:eastAsia="de-DE"/>
        </w:rPr>
        <w:t xml:space="preserve"> </w:t>
      </w:r>
      <w:r w:rsidRPr="001D73EC">
        <w:rPr>
          <w:rFonts w:eastAsia="Times New Roman" w:cs="Times New Roman"/>
          <w:lang w:eastAsia="de-DE"/>
        </w:rPr>
        <w:t xml:space="preserve">Existenznegation, </w:t>
      </w:r>
      <w:r w:rsidRPr="001D73EC">
        <w:rPr>
          <w:rFonts w:eastAsia="Times New Roman" w:cs="Times New Roman"/>
          <w:b/>
          <w:bCs/>
          <w:rtl/>
          <w:lang w:eastAsia="de-DE"/>
        </w:rPr>
        <w:t>צָמִיד פָּתִיל</w:t>
      </w:r>
      <w:r w:rsidRPr="001D73EC">
        <w:rPr>
          <w:rFonts w:eastAsia="Times New Roman" w:cs="Times New Roman"/>
          <w:rtl/>
          <w:lang w:eastAsia="de-DE"/>
        </w:rPr>
        <w:t xml:space="preserve"> </w:t>
      </w:r>
      <w:r w:rsidRPr="001D73EC">
        <w:rPr>
          <w:rFonts w:eastAsia="Times New Roman" w:cs="Times New Roman"/>
          <w:lang w:eastAsia="de-DE"/>
        </w:rPr>
        <w:t xml:space="preserve">(„Schnur-Umwicklung, Schnur-Verschluss") – </w:t>
      </w:r>
      <w:r w:rsidRPr="001D73EC">
        <w:rPr>
          <w:rFonts w:eastAsia="Times New Roman" w:cs="Times New Roman"/>
          <w:b/>
          <w:bCs/>
          <w:rtl/>
          <w:lang w:eastAsia="de-DE"/>
        </w:rPr>
        <w:t>צָמִיד</w:t>
      </w:r>
      <w:r w:rsidRPr="001D73EC">
        <w:rPr>
          <w:rFonts w:eastAsia="Times New Roman" w:cs="Times New Roman"/>
          <w:rtl/>
          <w:lang w:eastAsia="de-DE"/>
        </w:rPr>
        <w:t xml:space="preserve"> </w:t>
      </w:r>
      <w:r w:rsidRPr="001D73EC">
        <w:rPr>
          <w:rFonts w:eastAsia="Times New Roman" w:cs="Times New Roman"/>
          <w:lang w:eastAsia="de-DE"/>
        </w:rPr>
        <w:t xml:space="preserve">von </w:t>
      </w:r>
      <w:r w:rsidRPr="001D73EC">
        <w:rPr>
          <w:rFonts w:eastAsia="Times New Roman" w:cs="Times New Roman"/>
          <w:b/>
          <w:bCs/>
          <w:rtl/>
          <w:lang w:eastAsia="de-DE"/>
        </w:rPr>
        <w:t>צמד</w:t>
      </w:r>
      <w:r w:rsidRPr="001D73EC">
        <w:rPr>
          <w:rFonts w:eastAsia="Times New Roman" w:cs="Times New Roman"/>
          <w:rtl/>
          <w:lang w:eastAsia="de-DE"/>
        </w:rPr>
        <w:t xml:space="preserve"> </w:t>
      </w:r>
      <w:r w:rsidRPr="001D73EC">
        <w:rPr>
          <w:rFonts w:eastAsia="Times New Roman" w:cs="Times New Roman"/>
          <w:lang w:eastAsia="de-DE"/>
        </w:rPr>
        <w:t xml:space="preserve">„verbinden, befestigen", </w:t>
      </w:r>
      <w:r w:rsidRPr="001D73EC">
        <w:rPr>
          <w:rFonts w:eastAsia="Times New Roman" w:cs="Times New Roman"/>
          <w:b/>
          <w:bCs/>
          <w:rtl/>
          <w:lang w:eastAsia="de-DE"/>
        </w:rPr>
        <w:t>פָּתִיל</w:t>
      </w:r>
      <w:r w:rsidRPr="001D73EC">
        <w:rPr>
          <w:rFonts w:eastAsia="Times New Roman" w:cs="Times New Roman"/>
          <w:rtl/>
          <w:lang w:eastAsia="de-DE"/>
        </w:rPr>
        <w:t xml:space="preserve"> </w:t>
      </w:r>
      <w:r w:rsidRPr="001D73EC">
        <w:rPr>
          <w:rFonts w:eastAsia="Times New Roman" w:cs="Times New Roman"/>
          <w:lang w:eastAsia="de-DE"/>
        </w:rPr>
        <w:t xml:space="preserve">„Schnur, Faden" (beides in Constructus-Verbindung), </w:t>
      </w:r>
      <w:r w:rsidRPr="001D73EC">
        <w:rPr>
          <w:rFonts w:eastAsia="Times New Roman" w:cs="Times New Roman"/>
          <w:b/>
          <w:bCs/>
          <w:rtl/>
          <w:lang w:eastAsia="de-DE"/>
        </w:rPr>
        <w:t>עָלָיו</w:t>
      </w:r>
      <w:r w:rsidRPr="001D73EC">
        <w:rPr>
          <w:rFonts w:eastAsia="Times New Roman" w:cs="Times New Roman"/>
          <w:rtl/>
          <w:lang w:eastAsia="de-DE"/>
        </w:rPr>
        <w:t xml:space="preserve"> </w:t>
      </w:r>
      <w:r w:rsidRPr="001D73EC">
        <w:rPr>
          <w:rFonts w:eastAsia="Times New Roman" w:cs="Times New Roman"/>
          <w:lang w:eastAsia="de-DE"/>
        </w:rPr>
        <w:t>(„darauf, darüber") mit Suffix 3. m. sg. Ein fest verschlossenes Gefäß schützt vor Unreinheit, ein offenes oder lose verschlossenes nicht.</w:t>
      </w:r>
    </w:p>
    <w:p w14:paraId="1D43C36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nominale Aussage </w:t>
      </w:r>
      <w:r w:rsidRPr="001D73EC">
        <w:rPr>
          <w:rFonts w:eastAsia="Times New Roman" w:cs="Times New Roman"/>
          <w:b/>
          <w:bCs/>
          <w:rtl/>
          <w:lang w:eastAsia="de-DE"/>
        </w:rPr>
        <w:t>טָמֵא הוּא</w:t>
      </w:r>
      <w:r w:rsidRPr="001D73EC">
        <w:rPr>
          <w:rFonts w:eastAsia="Times New Roman" w:cs="Times New Roman"/>
          <w:rtl/>
          <w:lang w:eastAsia="de-DE"/>
        </w:rPr>
        <w:t xml:space="preserve"> </w:t>
      </w:r>
      <w:r w:rsidRPr="001D73EC">
        <w:rPr>
          <w:rFonts w:eastAsia="Times New Roman" w:cs="Times New Roman"/>
          <w:lang w:eastAsia="de-DE"/>
        </w:rPr>
        <w:t>(„es ist unrein") mit emphatischem Pronomen klassifiziert.</w:t>
      </w:r>
    </w:p>
    <w:p w14:paraId="4BAD028A" w14:textId="57F5593E"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C229FD">
        <w:t>übersetzt „</w:t>
      </w:r>
      <w:r w:rsidR="00C229FD" w:rsidRPr="00C229FD">
        <w:rPr>
          <w:b/>
          <w:bCs/>
          <w:rtl/>
        </w:rPr>
        <w:t>צָמִיד</w:t>
      </w:r>
      <w:r w:rsidR="00C229FD">
        <w:rPr>
          <w:rtl/>
        </w:rPr>
        <w:t xml:space="preserve"> </w:t>
      </w:r>
      <w:r w:rsidR="00C229FD" w:rsidRPr="00C229FD">
        <w:rPr>
          <w:b/>
          <w:bCs/>
          <w:rtl/>
        </w:rPr>
        <w:t>פָּתִיל</w:t>
      </w:r>
      <w:r w:rsidR="00C229FD">
        <w:t>" (fest gebundener Deckel) mit „δεσμὸν καταδέδεται" (Bindung fest gebunden ist), eine etwas allgemeinere Beschreibung der Versiegelung.</w:t>
      </w:r>
    </w:p>
    <w:p w14:paraId="47474F1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einen Hauptsatz mit distributivem Subjekt (Constructus-Verbindung mit Partizip), erweitert durch einen Relativsatz mit Existenznegation, Subjekt (Constructus-Verbindung) und Präpositionalphrase. Eine nominale Aussage mit Adjektiv und emphatischem Pronomen folgt. Insgesamt gibt es einen Nebensatz (Relativsatz).</w:t>
      </w:r>
    </w:p>
    <w:p w14:paraId="15B1C880"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gibt eine praktische Regelung: Nur fest verschlossene Gefäße bleiben in einem Todesraum rein – ein früher Versuch hygienischer Schutzmaßnahmen.</w:t>
      </w:r>
    </w:p>
    <w:p w14:paraId="6065913E"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19,16</w:t>
      </w:r>
    </w:p>
    <w:p w14:paraId="3381E0F3"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וְכֹ֨ל אֲשֶׁר־יִגַּ֜ע עַל־פְּנֵ֣י הַשָּׂדֶ֗ה בַּֽחֲלַל־חֶ֨רֶב֙ א֣וֹ בְמֵ֔ת אֽוֹ־בְעֶ֥צֶם אָדָ֖ם א֣וֹ בְקָ֑בֶר יִטְמָ֖א שִׁבְעַ֥ת יָמִֽים׃</w:t>
      </w:r>
    </w:p>
    <w:p w14:paraId="189F938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jeder, der auf freiem Feld einen durch das Schwert Erschlagenen oder einen Toten oder Menschenknochen oder ein Grab berührt, wird unrein sieben Tage.</w:t>
      </w:r>
    </w:p>
    <w:p w14:paraId="3CECA127"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06821AE7">
          <v:rect id="_x0000_i1660" style="width:0;height:1.5pt" o:hralign="center" o:hrstd="t" o:hr="t" fillcolor="#a0a0a0" stroked="f"/>
        </w:pict>
      </w:r>
    </w:p>
    <w:p w14:paraId="5CEF2497"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distributive </w:t>
      </w:r>
      <w:r w:rsidRPr="001D73EC">
        <w:rPr>
          <w:rFonts w:eastAsia="Times New Roman" w:cs="Times New Roman"/>
          <w:b/>
          <w:bCs/>
          <w:rtl/>
          <w:lang w:eastAsia="de-DE"/>
        </w:rPr>
        <w:t>וְכֹל אֲשֶׁר־יִגַּע</w:t>
      </w:r>
      <w:r w:rsidRPr="001D73EC">
        <w:rPr>
          <w:rFonts w:eastAsia="Times New Roman" w:cs="Times New Roman"/>
          <w:rtl/>
          <w:lang w:eastAsia="de-DE"/>
        </w:rPr>
        <w:t xml:space="preserve"> </w:t>
      </w:r>
      <w:r w:rsidRPr="001D73EC">
        <w:rPr>
          <w:rFonts w:eastAsia="Times New Roman" w:cs="Times New Roman"/>
          <w:lang w:eastAsia="de-DE"/>
        </w:rPr>
        <w:t xml:space="preserve">(„und jeder, der berührt") besteht aus </w:t>
      </w:r>
      <w:r w:rsidRPr="001D73EC">
        <w:rPr>
          <w:rFonts w:eastAsia="Times New Roman" w:cs="Times New Roman"/>
          <w:b/>
          <w:bCs/>
          <w:rtl/>
          <w:lang w:eastAsia="de-DE"/>
        </w:rPr>
        <w:t>כֹּל</w:t>
      </w:r>
      <w:r w:rsidRPr="001D73EC">
        <w:rPr>
          <w:rFonts w:eastAsia="Times New Roman" w:cs="Times New Roman"/>
          <w:rtl/>
          <w:lang w:eastAsia="de-DE"/>
        </w:rPr>
        <w:t xml:space="preserve"> </w:t>
      </w:r>
      <w:r w:rsidRPr="001D73EC">
        <w:rPr>
          <w:rFonts w:eastAsia="Times New Roman" w:cs="Times New Roman"/>
          <w:lang w:eastAsia="de-DE"/>
        </w:rPr>
        <w:t xml:space="preserve">Constructus, Relativpronomen </w:t>
      </w:r>
      <w:r w:rsidRPr="001D73EC">
        <w:rPr>
          <w:rFonts w:eastAsia="Times New Roman" w:cs="Times New Roman"/>
          <w:b/>
          <w:bCs/>
          <w:rtl/>
          <w:lang w:eastAsia="de-DE"/>
        </w:rPr>
        <w:t>אֲשֶׁר</w:t>
      </w:r>
      <w:r w:rsidRPr="001D73EC">
        <w:rPr>
          <w:rFonts w:eastAsia="Times New Roman" w:cs="Times New Roman"/>
          <w:rtl/>
          <w:lang w:eastAsia="de-DE"/>
        </w:rPr>
        <w:t xml:space="preserve"> </w:t>
      </w:r>
      <w:r w:rsidRPr="001D73EC">
        <w:rPr>
          <w:rFonts w:eastAsia="Times New Roman" w:cs="Times New Roman"/>
          <w:lang w:eastAsia="de-DE"/>
        </w:rPr>
        <w:t xml:space="preserve">und </w:t>
      </w:r>
      <w:r w:rsidRPr="001D73EC">
        <w:rPr>
          <w:rFonts w:eastAsia="Times New Roman" w:cs="Times New Roman"/>
          <w:b/>
          <w:bCs/>
          <w:rtl/>
          <w:lang w:eastAsia="de-DE"/>
        </w:rPr>
        <w:t>יִגַּע</w:t>
      </w:r>
      <w:r w:rsidRPr="001D73EC">
        <w:rPr>
          <w:rFonts w:eastAsia="Times New Roman" w:cs="Times New Roman"/>
          <w:rtl/>
          <w:lang w:eastAsia="de-DE"/>
        </w:rPr>
        <w:t xml:space="preserve"> </w:t>
      </w:r>
      <w:r w:rsidRPr="001D73EC">
        <w:rPr>
          <w:rFonts w:eastAsia="Times New Roman" w:cs="Times New Roman"/>
          <w:lang w:eastAsia="de-DE"/>
        </w:rPr>
        <w:t xml:space="preserve">(Qal Imperfekt, 3. m. sg. von </w:t>
      </w:r>
      <w:r w:rsidRPr="001D73EC">
        <w:rPr>
          <w:rFonts w:eastAsia="Times New Roman" w:cs="Times New Roman"/>
          <w:b/>
          <w:bCs/>
          <w:rtl/>
          <w:lang w:eastAsia="de-DE"/>
        </w:rPr>
        <w:t>נגע</w:t>
      </w:r>
      <w:r w:rsidRPr="001D73EC">
        <w:rPr>
          <w:rFonts w:eastAsia="Times New Roman" w:cs="Times New Roman"/>
          <w:lang w:eastAsia="de-DE"/>
        </w:rPr>
        <w:t xml:space="preserve">, „er berührt"). Die Ortsangabe </w:t>
      </w:r>
      <w:r w:rsidRPr="001D73EC">
        <w:rPr>
          <w:rFonts w:eastAsia="Times New Roman" w:cs="Times New Roman"/>
          <w:b/>
          <w:bCs/>
          <w:rtl/>
          <w:lang w:eastAsia="de-DE"/>
        </w:rPr>
        <w:t>עַל־פְּנֵי הַשָּׂדֶה</w:t>
      </w:r>
      <w:r w:rsidRPr="001D73EC">
        <w:rPr>
          <w:rFonts w:eastAsia="Times New Roman" w:cs="Times New Roman"/>
          <w:rtl/>
          <w:lang w:eastAsia="de-DE"/>
        </w:rPr>
        <w:t xml:space="preserve"> </w:t>
      </w:r>
      <w:r w:rsidRPr="001D73EC">
        <w:rPr>
          <w:rFonts w:eastAsia="Times New Roman" w:cs="Times New Roman"/>
          <w:lang w:eastAsia="de-DE"/>
        </w:rPr>
        <w:t>(„auf dem Angesicht des Feldes", idiomatisch: „auf freiem Feld") unterscheidet von Vers 14 (im Zelt).</w:t>
      </w:r>
    </w:p>
    <w:p w14:paraId="5D5BA360"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vierfache Aufzählung nennt verschiedene Unreinheitsquellen: </w:t>
      </w:r>
      <w:r w:rsidRPr="001D73EC">
        <w:rPr>
          <w:rFonts w:eastAsia="Times New Roman" w:cs="Times New Roman"/>
          <w:b/>
          <w:bCs/>
          <w:rtl/>
          <w:lang w:eastAsia="de-DE"/>
        </w:rPr>
        <w:t>בַּחֲלַל־חֶרֶב</w:t>
      </w:r>
      <w:r w:rsidRPr="001D73EC">
        <w:rPr>
          <w:rFonts w:eastAsia="Times New Roman" w:cs="Times New Roman"/>
          <w:rtl/>
          <w:lang w:eastAsia="de-DE"/>
        </w:rPr>
        <w:t xml:space="preserve"> </w:t>
      </w:r>
      <w:r w:rsidRPr="001D73EC">
        <w:rPr>
          <w:rFonts w:eastAsia="Times New Roman" w:cs="Times New Roman"/>
          <w:lang w:eastAsia="de-DE"/>
        </w:rPr>
        <w:t xml:space="preserve">(„an einem durch das Schwert Erschlagenen") – </w:t>
      </w:r>
      <w:r w:rsidRPr="001D73EC">
        <w:rPr>
          <w:rFonts w:eastAsia="Times New Roman" w:cs="Times New Roman"/>
          <w:b/>
          <w:bCs/>
          <w:rtl/>
          <w:lang w:eastAsia="de-DE"/>
        </w:rPr>
        <w:t>חָלָל</w:t>
      </w:r>
      <w:r w:rsidRPr="001D73EC">
        <w:rPr>
          <w:rFonts w:eastAsia="Times New Roman" w:cs="Times New Roman"/>
          <w:rtl/>
          <w:lang w:eastAsia="de-DE"/>
        </w:rPr>
        <w:t xml:space="preserve"> </w:t>
      </w:r>
      <w:r w:rsidRPr="001D73EC">
        <w:rPr>
          <w:rFonts w:eastAsia="Times New Roman" w:cs="Times New Roman"/>
          <w:lang w:eastAsia="de-DE"/>
        </w:rPr>
        <w:t xml:space="preserve">„Erschlagener, Durchbohrter" im Constructus vor </w:t>
      </w:r>
      <w:r w:rsidRPr="001D73EC">
        <w:rPr>
          <w:rFonts w:eastAsia="Times New Roman" w:cs="Times New Roman"/>
          <w:b/>
          <w:bCs/>
          <w:rtl/>
          <w:lang w:eastAsia="de-DE"/>
        </w:rPr>
        <w:t>חֶרֶב</w:t>
      </w:r>
      <w:r w:rsidRPr="001D73EC">
        <w:rPr>
          <w:rFonts w:eastAsia="Times New Roman" w:cs="Times New Roman"/>
          <w:rtl/>
          <w:lang w:eastAsia="de-DE"/>
        </w:rPr>
        <w:t xml:space="preserve"> </w:t>
      </w:r>
      <w:r w:rsidRPr="001D73EC">
        <w:rPr>
          <w:rFonts w:eastAsia="Times New Roman" w:cs="Times New Roman"/>
          <w:lang w:eastAsia="de-DE"/>
        </w:rPr>
        <w:t xml:space="preserve">„Schwert" mit </w:t>
      </w:r>
      <w:r w:rsidRPr="001D73EC">
        <w:rPr>
          <w:rFonts w:eastAsia="Times New Roman" w:cs="Times New Roman"/>
          <w:b/>
          <w:bCs/>
          <w:rtl/>
          <w:lang w:eastAsia="de-DE"/>
        </w:rPr>
        <w:t>בְּ</w:t>
      </w:r>
      <w:r w:rsidRPr="001D73EC">
        <w:rPr>
          <w:rFonts w:eastAsia="Times New Roman" w:cs="Times New Roman"/>
          <w:lang w:eastAsia="de-DE"/>
        </w:rPr>
        <w:t xml:space="preserve">; </w:t>
      </w:r>
      <w:r w:rsidRPr="001D73EC">
        <w:rPr>
          <w:rFonts w:eastAsia="Times New Roman" w:cs="Times New Roman"/>
          <w:b/>
          <w:bCs/>
          <w:rtl/>
          <w:lang w:eastAsia="de-DE"/>
        </w:rPr>
        <w:t>אוֹ בְמֵת</w:t>
      </w:r>
      <w:r w:rsidRPr="001D73EC">
        <w:rPr>
          <w:rFonts w:eastAsia="Times New Roman" w:cs="Times New Roman"/>
          <w:rtl/>
          <w:lang w:eastAsia="de-DE"/>
        </w:rPr>
        <w:t xml:space="preserve"> </w:t>
      </w:r>
      <w:r w:rsidRPr="001D73EC">
        <w:rPr>
          <w:rFonts w:eastAsia="Times New Roman" w:cs="Times New Roman"/>
          <w:lang w:eastAsia="de-DE"/>
        </w:rPr>
        <w:t xml:space="preserve">(„oder an einem Toten"); </w:t>
      </w:r>
      <w:r w:rsidRPr="001D73EC">
        <w:rPr>
          <w:rFonts w:eastAsia="Times New Roman" w:cs="Times New Roman"/>
          <w:b/>
          <w:bCs/>
          <w:rtl/>
          <w:lang w:eastAsia="de-DE"/>
        </w:rPr>
        <w:t>אוֹ־בְעֶצֶם אָדָם</w:t>
      </w:r>
      <w:r w:rsidRPr="001D73EC">
        <w:rPr>
          <w:rFonts w:eastAsia="Times New Roman" w:cs="Times New Roman"/>
          <w:rtl/>
          <w:lang w:eastAsia="de-DE"/>
        </w:rPr>
        <w:t xml:space="preserve"> </w:t>
      </w:r>
      <w:r w:rsidRPr="001D73EC">
        <w:rPr>
          <w:rFonts w:eastAsia="Times New Roman" w:cs="Times New Roman"/>
          <w:lang w:eastAsia="de-DE"/>
        </w:rPr>
        <w:t xml:space="preserve">(„oder an Menschenknochen", </w:t>
      </w:r>
      <w:r w:rsidRPr="001D73EC">
        <w:rPr>
          <w:rFonts w:eastAsia="Times New Roman" w:cs="Times New Roman"/>
          <w:b/>
          <w:bCs/>
          <w:rtl/>
          <w:lang w:eastAsia="de-DE"/>
        </w:rPr>
        <w:t>עֶצֶם</w:t>
      </w:r>
      <w:r w:rsidRPr="001D73EC">
        <w:rPr>
          <w:rFonts w:eastAsia="Times New Roman" w:cs="Times New Roman"/>
          <w:rtl/>
          <w:lang w:eastAsia="de-DE"/>
        </w:rPr>
        <w:t xml:space="preserve"> </w:t>
      </w:r>
      <w:r w:rsidRPr="001D73EC">
        <w:rPr>
          <w:rFonts w:eastAsia="Times New Roman" w:cs="Times New Roman"/>
          <w:lang w:eastAsia="de-DE"/>
        </w:rPr>
        <w:t xml:space="preserve">„Knochen" im Constructus vor </w:t>
      </w:r>
      <w:r w:rsidRPr="001D73EC">
        <w:rPr>
          <w:rFonts w:eastAsia="Times New Roman" w:cs="Times New Roman"/>
          <w:b/>
          <w:bCs/>
          <w:rtl/>
          <w:lang w:eastAsia="de-DE"/>
        </w:rPr>
        <w:t>אָדָם</w:t>
      </w:r>
      <w:r w:rsidRPr="001D73EC">
        <w:rPr>
          <w:rFonts w:eastAsia="Times New Roman" w:cs="Times New Roman"/>
          <w:lang w:eastAsia="de-DE"/>
        </w:rPr>
        <w:t xml:space="preserve">); </w:t>
      </w:r>
      <w:r w:rsidRPr="001D73EC">
        <w:rPr>
          <w:rFonts w:eastAsia="Times New Roman" w:cs="Times New Roman"/>
          <w:b/>
          <w:bCs/>
          <w:rtl/>
          <w:lang w:eastAsia="de-DE"/>
        </w:rPr>
        <w:t>אוֹ בְקָבֶר</w:t>
      </w:r>
      <w:r w:rsidRPr="001D73EC">
        <w:rPr>
          <w:rFonts w:eastAsia="Times New Roman" w:cs="Times New Roman"/>
          <w:rtl/>
          <w:lang w:eastAsia="de-DE"/>
        </w:rPr>
        <w:t xml:space="preserve"> </w:t>
      </w:r>
      <w:r w:rsidRPr="001D73EC">
        <w:rPr>
          <w:rFonts w:eastAsia="Times New Roman" w:cs="Times New Roman"/>
          <w:lang w:eastAsia="de-DE"/>
        </w:rPr>
        <w:t>(„oder an einem Grab"). Die Aufzählung deckt alle Formen des Totenkontakts ab – von ganzen Leichen bis zu einzelnen Knochen oder sogar nur dem Grab.</w:t>
      </w:r>
    </w:p>
    <w:p w14:paraId="1F9770A5"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Verb </w:t>
      </w:r>
      <w:r w:rsidRPr="001D73EC">
        <w:rPr>
          <w:rFonts w:eastAsia="Times New Roman" w:cs="Times New Roman"/>
          <w:b/>
          <w:bCs/>
          <w:rtl/>
          <w:lang w:eastAsia="de-DE"/>
        </w:rPr>
        <w:t>יִטְמָא שִׁבְעַת יָמִים</w:t>
      </w:r>
      <w:r w:rsidRPr="001D73EC">
        <w:rPr>
          <w:rFonts w:eastAsia="Times New Roman" w:cs="Times New Roman"/>
          <w:rtl/>
          <w:lang w:eastAsia="de-DE"/>
        </w:rPr>
        <w:t xml:space="preserve"> </w:t>
      </w:r>
      <w:r w:rsidRPr="001D73EC">
        <w:rPr>
          <w:rFonts w:eastAsia="Times New Roman" w:cs="Times New Roman"/>
          <w:lang w:eastAsia="de-DE"/>
        </w:rPr>
        <w:t>wiederholt die Standardformel.</w:t>
      </w:r>
    </w:p>
    <w:p w14:paraId="0FC92A75" w14:textId="6E59D74A"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C229FD">
        <w:t>übersetzt „</w:t>
      </w:r>
      <w:r w:rsidR="00C229FD" w:rsidRPr="00C229FD">
        <w:rPr>
          <w:b/>
          <w:bCs/>
          <w:rtl/>
        </w:rPr>
        <w:t>בַּחֲלַל־חֶרֶב</w:t>
      </w:r>
      <w:r w:rsidR="00C229FD">
        <w:t>" (von einem durch das Schwert Erschlagenen) mit „τραυματίου" (eines Verwundeten), was nicht spezifisch das Schwert erwähnt, und verwendet „μνήματος" (Grab) für „</w:t>
      </w:r>
      <w:r w:rsidR="00C229FD" w:rsidRPr="00C229FD">
        <w:rPr>
          <w:b/>
          <w:bCs/>
          <w:rtl/>
        </w:rPr>
        <w:t>קָבֶר</w:t>
      </w:r>
      <w:r w:rsidR="00C229FD">
        <w:t>" (Grab), wobei beide Wörter ähnliche Bedeutungen haben.</w:t>
      </w:r>
    </w:p>
    <w:p w14:paraId="336E8D0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lastRenderedPageBreak/>
        <w:t>Die Satzstruktur zeigt einen Hauptsatz mit distributivem Subjekt (mit Relativsatz), Ortsangabe, vierfach koordinierter Präpositionalphrase, Verb und Zeitangabe. Insgesamt gibt es einen Nebensatz (Relativsatz).</w:t>
      </w:r>
    </w:p>
    <w:p w14:paraId="33259DDD"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erweitert die Regelung auf freies Feld: Auch dort verursacht jeder Kontakt mit Totem – ob ganze Leiche, Knochenteil oder Grab – siebentägige Unreinheit.</w:t>
      </w:r>
    </w:p>
    <w:p w14:paraId="518F40BA"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19,17</w:t>
      </w:r>
    </w:p>
    <w:p w14:paraId="7FB3067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וְלָֽקְחוּ֙ לַטָּמֵ֔א מֵעֲפַ֖ר שְׂרֵפַ֣ת הַֽחַטָּ֑את וְנָתַ֥ן עָלָ֛יו מַ֥יִם חַיִּ֖ים אֶל־כֶּֽלִי׃</w:t>
      </w:r>
    </w:p>
    <w:p w14:paraId="120B2C5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man soll für den Unreinen von der Asche des verbrannten Sündopfers nehmen und darauf lebendes Wasser in ein Gefäß tun.</w:t>
      </w:r>
    </w:p>
    <w:p w14:paraId="51AFDE4A"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4FB1CE87">
          <v:rect id="_x0000_i1661" style="width:0;height:1.5pt" o:hralign="center" o:hrstd="t" o:hr="t" fillcolor="#a0a0a0" stroked="f"/>
        </w:pict>
      </w:r>
    </w:p>
    <w:p w14:paraId="62EFA5E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וְלָקְחוּ</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pl. von </w:t>
      </w:r>
      <w:r w:rsidRPr="001D73EC">
        <w:rPr>
          <w:rFonts w:eastAsia="Times New Roman" w:cs="Times New Roman"/>
          <w:b/>
          <w:bCs/>
          <w:rtl/>
          <w:lang w:eastAsia="de-DE"/>
        </w:rPr>
        <w:t>לקח</w:t>
      </w:r>
      <w:r w:rsidRPr="001D73EC">
        <w:rPr>
          <w:rFonts w:eastAsia="Times New Roman" w:cs="Times New Roman"/>
          <w:lang w:eastAsia="de-DE"/>
        </w:rPr>
        <w:t xml:space="preserve">, „und sie sollen nehmen") mit Weqatal ist unpersönlich: „man soll nehmen". </w:t>
      </w:r>
      <w:r w:rsidRPr="001D73EC">
        <w:rPr>
          <w:rFonts w:eastAsia="Times New Roman" w:cs="Times New Roman"/>
          <w:b/>
          <w:bCs/>
          <w:rtl/>
          <w:lang w:eastAsia="de-DE"/>
        </w:rPr>
        <w:t>לַטָּמֵא</w:t>
      </w:r>
      <w:r w:rsidRPr="001D73EC">
        <w:rPr>
          <w:rFonts w:eastAsia="Times New Roman" w:cs="Times New Roman"/>
          <w:rtl/>
          <w:lang w:eastAsia="de-DE"/>
        </w:rPr>
        <w:t xml:space="preserve"> </w:t>
      </w:r>
      <w:r w:rsidRPr="001D73EC">
        <w:rPr>
          <w:rFonts w:eastAsia="Times New Roman" w:cs="Times New Roman"/>
          <w:lang w:eastAsia="de-DE"/>
        </w:rPr>
        <w:t xml:space="preserve">(„für den Unreinen") mit Artikel gibt den Zweck an. Die Präposition </w:t>
      </w:r>
      <w:r w:rsidRPr="001D73EC">
        <w:rPr>
          <w:rFonts w:eastAsia="Times New Roman" w:cs="Times New Roman"/>
          <w:b/>
          <w:bCs/>
          <w:rtl/>
          <w:lang w:eastAsia="de-DE"/>
        </w:rPr>
        <w:t>מֵעֲפַר שְׂרֵפַת הַחַטָּאת</w:t>
      </w:r>
      <w:r w:rsidRPr="001D73EC">
        <w:rPr>
          <w:rFonts w:eastAsia="Times New Roman" w:cs="Times New Roman"/>
          <w:rtl/>
          <w:lang w:eastAsia="de-DE"/>
        </w:rPr>
        <w:t xml:space="preserve"> </w:t>
      </w:r>
      <w:r w:rsidRPr="001D73EC">
        <w:rPr>
          <w:rFonts w:eastAsia="Times New Roman" w:cs="Times New Roman"/>
          <w:lang w:eastAsia="de-DE"/>
        </w:rPr>
        <w:t xml:space="preserve">spezifiziert die Quelle: </w:t>
      </w:r>
      <w:r w:rsidRPr="001D73EC">
        <w:rPr>
          <w:rFonts w:eastAsia="Times New Roman" w:cs="Times New Roman"/>
          <w:b/>
          <w:bCs/>
          <w:rtl/>
          <w:lang w:eastAsia="de-DE"/>
        </w:rPr>
        <w:t>מִן</w:t>
      </w:r>
      <w:r w:rsidRPr="001D73EC">
        <w:rPr>
          <w:rFonts w:eastAsia="Times New Roman" w:cs="Times New Roman"/>
          <w:rtl/>
          <w:lang w:eastAsia="de-DE"/>
        </w:rPr>
        <w:t xml:space="preserve"> </w:t>
      </w:r>
      <w:r w:rsidRPr="001D73EC">
        <w:rPr>
          <w:rFonts w:eastAsia="Times New Roman" w:cs="Times New Roman"/>
          <w:lang w:eastAsia="de-DE"/>
        </w:rPr>
        <w:t xml:space="preserve">partitiv, </w:t>
      </w:r>
      <w:r w:rsidRPr="001D73EC">
        <w:rPr>
          <w:rFonts w:eastAsia="Times New Roman" w:cs="Times New Roman"/>
          <w:b/>
          <w:bCs/>
          <w:rtl/>
          <w:lang w:eastAsia="de-DE"/>
        </w:rPr>
        <w:t>עֲפַר</w:t>
      </w:r>
      <w:r w:rsidRPr="001D73EC">
        <w:rPr>
          <w:rFonts w:eastAsia="Times New Roman" w:cs="Times New Roman"/>
          <w:rtl/>
          <w:lang w:eastAsia="de-DE"/>
        </w:rPr>
        <w:t xml:space="preserve"> </w:t>
      </w:r>
      <w:r w:rsidRPr="001D73EC">
        <w:rPr>
          <w:rFonts w:eastAsia="Times New Roman" w:cs="Times New Roman"/>
          <w:lang w:eastAsia="de-DE"/>
        </w:rPr>
        <w:t xml:space="preserve">„Asche, Staub", </w:t>
      </w:r>
      <w:r w:rsidRPr="001D73EC">
        <w:rPr>
          <w:rFonts w:eastAsia="Times New Roman" w:cs="Times New Roman"/>
          <w:b/>
          <w:bCs/>
          <w:rtl/>
          <w:lang w:eastAsia="de-DE"/>
        </w:rPr>
        <w:t>שְׂרֵפַת הַחַטָּאת</w:t>
      </w:r>
      <w:r w:rsidRPr="001D73EC">
        <w:rPr>
          <w:rFonts w:eastAsia="Times New Roman" w:cs="Times New Roman"/>
          <w:rtl/>
          <w:lang w:eastAsia="de-DE"/>
        </w:rPr>
        <w:t xml:space="preserve"> </w:t>
      </w:r>
      <w:r w:rsidRPr="001D73EC">
        <w:rPr>
          <w:rFonts w:eastAsia="Times New Roman" w:cs="Times New Roman"/>
          <w:lang w:eastAsia="de-DE"/>
        </w:rPr>
        <w:t>(„Verbrennung des Sündopfers", doppelte Constructus-Verbindung mit Artikel) – die in Vers 9 hergestellte und aufbewahrte Asche.</w:t>
      </w:r>
    </w:p>
    <w:p w14:paraId="1EBD8EA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koordinierte Verb </w:t>
      </w:r>
      <w:r w:rsidRPr="001D73EC">
        <w:rPr>
          <w:rFonts w:eastAsia="Times New Roman" w:cs="Times New Roman"/>
          <w:b/>
          <w:bCs/>
          <w:rtl/>
          <w:lang w:eastAsia="de-DE"/>
        </w:rPr>
        <w:t>וְנָתַן</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נתן</w:t>
      </w:r>
      <w:r w:rsidRPr="001D73EC">
        <w:rPr>
          <w:rFonts w:eastAsia="Times New Roman" w:cs="Times New Roman"/>
          <w:lang w:eastAsia="de-DE"/>
        </w:rPr>
        <w:t xml:space="preserve">, „und er soll geben") mit Weqatal. </w:t>
      </w:r>
      <w:r w:rsidRPr="001D73EC">
        <w:rPr>
          <w:rFonts w:eastAsia="Times New Roman" w:cs="Times New Roman"/>
          <w:b/>
          <w:bCs/>
          <w:rtl/>
          <w:lang w:eastAsia="de-DE"/>
        </w:rPr>
        <w:t>עָלָיו</w:t>
      </w:r>
      <w:r w:rsidRPr="001D73EC">
        <w:rPr>
          <w:rFonts w:eastAsia="Times New Roman" w:cs="Times New Roman"/>
          <w:rtl/>
          <w:lang w:eastAsia="de-DE"/>
        </w:rPr>
        <w:t xml:space="preserve"> </w:t>
      </w:r>
      <w:r w:rsidRPr="001D73EC">
        <w:rPr>
          <w:rFonts w:eastAsia="Times New Roman" w:cs="Times New Roman"/>
          <w:lang w:eastAsia="de-DE"/>
        </w:rPr>
        <w:t xml:space="preserve">(„darauf") mit Suffix 3. m. sg. bezieht sich auf die Asche. Das Objekt </w:t>
      </w:r>
      <w:r w:rsidRPr="001D73EC">
        <w:rPr>
          <w:rFonts w:eastAsia="Times New Roman" w:cs="Times New Roman"/>
          <w:b/>
          <w:bCs/>
          <w:rtl/>
          <w:lang w:eastAsia="de-DE"/>
        </w:rPr>
        <w:t>מַיִם חַיִּים</w:t>
      </w:r>
      <w:r w:rsidRPr="001D73EC">
        <w:rPr>
          <w:rFonts w:eastAsia="Times New Roman" w:cs="Times New Roman"/>
          <w:rtl/>
          <w:lang w:eastAsia="de-DE"/>
        </w:rPr>
        <w:t xml:space="preserve"> </w:t>
      </w:r>
      <w:r w:rsidRPr="001D73EC">
        <w:rPr>
          <w:rFonts w:eastAsia="Times New Roman" w:cs="Times New Roman"/>
          <w:lang w:eastAsia="de-DE"/>
        </w:rPr>
        <w:t xml:space="preserve">(„lebendiges Wasser") ist bemerkenswert: </w:t>
      </w:r>
      <w:r w:rsidRPr="001D73EC">
        <w:rPr>
          <w:rFonts w:eastAsia="Times New Roman" w:cs="Times New Roman"/>
          <w:b/>
          <w:bCs/>
          <w:rtl/>
          <w:lang w:eastAsia="de-DE"/>
        </w:rPr>
        <w:t>מַיִם</w:t>
      </w:r>
      <w:r w:rsidRPr="001D73EC">
        <w:rPr>
          <w:rFonts w:eastAsia="Times New Roman" w:cs="Times New Roman"/>
          <w:rtl/>
          <w:lang w:eastAsia="de-DE"/>
        </w:rPr>
        <w:t xml:space="preserve"> </w:t>
      </w:r>
      <w:r w:rsidRPr="001D73EC">
        <w:rPr>
          <w:rFonts w:eastAsia="Times New Roman" w:cs="Times New Roman"/>
          <w:lang w:eastAsia="de-DE"/>
        </w:rPr>
        <w:t xml:space="preserve">Plural „Wasser", </w:t>
      </w:r>
      <w:r w:rsidRPr="001D73EC">
        <w:rPr>
          <w:rFonts w:eastAsia="Times New Roman" w:cs="Times New Roman"/>
          <w:b/>
          <w:bCs/>
          <w:rtl/>
          <w:lang w:eastAsia="de-DE"/>
        </w:rPr>
        <w:t>חַיִּים</w:t>
      </w:r>
      <w:r w:rsidRPr="001D73EC">
        <w:rPr>
          <w:rFonts w:eastAsia="Times New Roman" w:cs="Times New Roman"/>
          <w:rtl/>
          <w:lang w:eastAsia="de-DE"/>
        </w:rPr>
        <w:t xml:space="preserve"> </w:t>
      </w:r>
      <w:r w:rsidRPr="001D73EC">
        <w:rPr>
          <w:rFonts w:eastAsia="Times New Roman" w:cs="Times New Roman"/>
          <w:lang w:eastAsia="de-DE"/>
        </w:rPr>
        <w:t xml:space="preserve">Plural Adjektiv von </w:t>
      </w:r>
      <w:r w:rsidRPr="001D73EC">
        <w:rPr>
          <w:rFonts w:eastAsia="Times New Roman" w:cs="Times New Roman"/>
          <w:b/>
          <w:bCs/>
          <w:rtl/>
          <w:lang w:eastAsia="de-DE"/>
        </w:rPr>
        <w:t>חַי</w:t>
      </w:r>
      <w:r w:rsidRPr="001D73EC">
        <w:rPr>
          <w:rFonts w:eastAsia="Times New Roman" w:cs="Times New Roman"/>
          <w:rtl/>
          <w:lang w:eastAsia="de-DE"/>
        </w:rPr>
        <w:t xml:space="preserve"> </w:t>
      </w:r>
      <w:r w:rsidRPr="001D73EC">
        <w:rPr>
          <w:rFonts w:eastAsia="Times New Roman" w:cs="Times New Roman"/>
          <w:lang w:eastAsia="de-DE"/>
        </w:rPr>
        <w:t xml:space="preserve">„lebendig" – frisches, fließendes Quellwasser, nicht stehendes Wasser. </w:t>
      </w:r>
      <w:r w:rsidRPr="001D73EC">
        <w:rPr>
          <w:rFonts w:eastAsia="Times New Roman" w:cs="Times New Roman"/>
          <w:b/>
          <w:bCs/>
          <w:rtl/>
          <w:lang w:eastAsia="de-DE"/>
        </w:rPr>
        <w:t>אֶל־כֶּלִי</w:t>
      </w:r>
      <w:r w:rsidRPr="001D73EC">
        <w:rPr>
          <w:rFonts w:eastAsia="Times New Roman" w:cs="Times New Roman"/>
          <w:rtl/>
          <w:lang w:eastAsia="de-DE"/>
        </w:rPr>
        <w:t xml:space="preserve"> </w:t>
      </w:r>
      <w:r w:rsidRPr="001D73EC">
        <w:rPr>
          <w:rFonts w:eastAsia="Times New Roman" w:cs="Times New Roman"/>
          <w:lang w:eastAsia="de-DE"/>
        </w:rPr>
        <w:t>(„in ein Gefäß") gibt den Ort an.</w:t>
      </w:r>
    </w:p>
    <w:p w14:paraId="691570EE" w14:textId="7FEDCD23"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C229FD">
        <w:t>übersetzt „</w:t>
      </w:r>
      <w:r w:rsidR="00C229FD" w:rsidRPr="00C229FD">
        <w:rPr>
          <w:b/>
          <w:bCs/>
          <w:rtl/>
        </w:rPr>
        <w:t>שְׂרֵפַת</w:t>
      </w:r>
      <w:r w:rsidR="00C229FD">
        <w:rPr>
          <w:rtl/>
        </w:rPr>
        <w:t xml:space="preserve"> </w:t>
      </w:r>
      <w:r w:rsidR="00C229FD" w:rsidRPr="00C229FD">
        <w:rPr>
          <w:b/>
          <w:bCs/>
          <w:rtl/>
        </w:rPr>
        <w:t>הַחַטָּאת</w:t>
      </w:r>
      <w:r w:rsidR="00C229FD">
        <w:t>" (Verbrennung des Sündopfers) mit „τῆς κατακεκαυμένης τοῦ ἁγνισμοῦ" (der Verbrannten der Reinigung), wiederum die Betonung von Sünde zu Reinigung verschiebend.</w:t>
      </w:r>
    </w:p>
    <w:p w14:paraId="769A4E5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zwei koordinierte Hauptsätze mit Weqatal-Verben: Der erste mit Verb, Präpositionalphrase (Zweck) und Präpositionalphrase (Quelle als doppelte Constructus-Verbindung); der zweite mit Verb, Präpositionalphrase, Objekt und Präpositionalphrase. Es gibt keine Nebensätze.</w:t>
      </w:r>
    </w:p>
    <w:p w14:paraId="18BD92A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beschreibt die Zubereitung des Reinigungswassers: Asche der roten Kuh wird mit frischem Quellwasser gemischt – die Kombination von Feuer (Asche) und Leben (lebendiges Wasser).</w:t>
      </w:r>
    </w:p>
    <w:p w14:paraId="3BAF686F"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19,18</w:t>
      </w:r>
    </w:p>
    <w:p w14:paraId="53462F6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וְלָקַ֨ח אֵז֜וֹב וְטָבַ֣ל בַּמַּיִם֮ אִ֣ישׁ טָהוֹר֒ וְהִזָּ֤ה עַל־הָאֹ֨הֶל֙ וְעַל־כָּל־הַכֵּלִ֔ים וְעַל־הַנְּפָשׁ֖וֹת אֲשֶׁ֣ר הָֽיוּ־שָׁ֑ם וְעַל־הַנֹּגֵ֗עַ בַּעֶ֨צֶם֙ א֣וֹ בֶֽחָלָ֔ל א֥וֹ בַמֵּ֖ת א֥וֹ בַקָּֽבֶר׃</w:t>
      </w:r>
    </w:p>
    <w:p w14:paraId="469594C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lastRenderedPageBreak/>
        <w:t>Deutsch:</w:t>
      </w:r>
      <w:r w:rsidRPr="001D73EC">
        <w:rPr>
          <w:rFonts w:eastAsia="Times New Roman" w:cs="Times New Roman"/>
          <w:lang w:eastAsia="de-DE"/>
        </w:rPr>
        <w:t xml:space="preserve"> Und ein reiner Mann soll Ysop nehmen und ihn in das Wasser tauchen und soll auf das Zelt sprengen und auf alle Geräte und auf die Personen, die dort waren, und auf den, der das Gebein oder den Erschlagenen oder den Gestorbenen oder das Grab berührt hat.</w:t>
      </w:r>
    </w:p>
    <w:p w14:paraId="73788022"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734CE0FD">
          <v:rect id="_x0000_i1662" style="width:0;height:1.5pt" o:hralign="center" o:hrstd="t" o:hr="t" fillcolor="#a0a0a0" stroked="f"/>
        </w:pict>
      </w:r>
    </w:p>
    <w:p w14:paraId="70D89840"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וְלָקַח</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לקח</w:t>
      </w:r>
      <w:r w:rsidRPr="001D73EC">
        <w:rPr>
          <w:rFonts w:eastAsia="Times New Roman" w:cs="Times New Roman"/>
          <w:lang w:eastAsia="de-DE"/>
        </w:rPr>
        <w:t xml:space="preserve">, „und er soll nehmen") mit Weqatal. Das Objekt </w:t>
      </w:r>
      <w:r w:rsidRPr="001D73EC">
        <w:rPr>
          <w:rFonts w:eastAsia="Times New Roman" w:cs="Times New Roman"/>
          <w:b/>
          <w:bCs/>
          <w:rtl/>
          <w:lang w:eastAsia="de-DE"/>
        </w:rPr>
        <w:t>אֵזוֹב</w:t>
      </w:r>
      <w:r w:rsidRPr="001D73EC">
        <w:rPr>
          <w:rFonts w:eastAsia="Times New Roman" w:cs="Times New Roman"/>
          <w:rtl/>
          <w:lang w:eastAsia="de-DE"/>
        </w:rPr>
        <w:t xml:space="preserve"> </w:t>
      </w:r>
      <w:r w:rsidRPr="001D73EC">
        <w:rPr>
          <w:rFonts w:eastAsia="Times New Roman" w:cs="Times New Roman"/>
          <w:lang w:eastAsia="de-DE"/>
        </w:rPr>
        <w:t xml:space="preserve">(„Ysop") – dasselbe Kraut wie in Vers 6. Das Subjekt </w:t>
      </w:r>
      <w:r w:rsidRPr="001D73EC">
        <w:rPr>
          <w:rFonts w:eastAsia="Times New Roman" w:cs="Times New Roman"/>
          <w:b/>
          <w:bCs/>
          <w:rtl/>
          <w:lang w:eastAsia="de-DE"/>
        </w:rPr>
        <w:t>אִישׁ טָהוֹר</w:t>
      </w:r>
      <w:r w:rsidRPr="001D73EC">
        <w:rPr>
          <w:rFonts w:eastAsia="Times New Roman" w:cs="Times New Roman"/>
          <w:rtl/>
          <w:lang w:eastAsia="de-DE"/>
        </w:rPr>
        <w:t xml:space="preserve"> </w:t>
      </w:r>
      <w:r w:rsidRPr="001D73EC">
        <w:rPr>
          <w:rFonts w:eastAsia="Times New Roman" w:cs="Times New Roman"/>
          <w:lang w:eastAsia="de-DE"/>
        </w:rPr>
        <w:t>(„ein reiner Mann") wird nachgestellt betont – nur ein Reiner darf das Ritual durchführen.</w:t>
      </w:r>
    </w:p>
    <w:p w14:paraId="4055D1DA"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koordinierte Verb </w:t>
      </w:r>
      <w:r w:rsidRPr="001D73EC">
        <w:rPr>
          <w:rFonts w:eastAsia="Times New Roman" w:cs="Times New Roman"/>
          <w:b/>
          <w:bCs/>
          <w:rtl/>
          <w:lang w:eastAsia="de-DE"/>
        </w:rPr>
        <w:t>וְטָבַל</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טבל</w:t>
      </w:r>
      <w:r w:rsidRPr="001D73EC">
        <w:rPr>
          <w:rFonts w:eastAsia="Times New Roman" w:cs="Times New Roman"/>
          <w:lang w:eastAsia="de-DE"/>
        </w:rPr>
        <w:t xml:space="preserve">, „und er soll eintauchen") mit Weqatal. </w:t>
      </w:r>
      <w:r w:rsidRPr="001D73EC">
        <w:rPr>
          <w:rFonts w:eastAsia="Times New Roman" w:cs="Times New Roman"/>
          <w:b/>
          <w:bCs/>
          <w:rtl/>
          <w:lang w:eastAsia="de-DE"/>
        </w:rPr>
        <w:t>בַּמַּיִם</w:t>
      </w:r>
      <w:r w:rsidRPr="001D73EC">
        <w:rPr>
          <w:rFonts w:eastAsia="Times New Roman" w:cs="Times New Roman"/>
          <w:rtl/>
          <w:lang w:eastAsia="de-DE"/>
        </w:rPr>
        <w:t xml:space="preserve"> </w:t>
      </w:r>
      <w:r w:rsidRPr="001D73EC">
        <w:rPr>
          <w:rFonts w:eastAsia="Times New Roman" w:cs="Times New Roman"/>
          <w:lang w:eastAsia="de-DE"/>
        </w:rPr>
        <w:t xml:space="preserve">(„in das Wasser") mit </w:t>
      </w:r>
      <w:r w:rsidRPr="001D73EC">
        <w:rPr>
          <w:rFonts w:eastAsia="Times New Roman" w:cs="Times New Roman"/>
          <w:b/>
          <w:bCs/>
          <w:rtl/>
          <w:lang w:eastAsia="de-DE"/>
        </w:rPr>
        <w:t>בְּ</w:t>
      </w:r>
      <w:r w:rsidRPr="001D73EC">
        <w:rPr>
          <w:rFonts w:eastAsia="Times New Roman" w:cs="Times New Roman"/>
          <w:rtl/>
          <w:lang w:eastAsia="de-DE"/>
        </w:rPr>
        <w:t xml:space="preserve"> </w:t>
      </w:r>
      <w:r w:rsidRPr="001D73EC">
        <w:rPr>
          <w:rFonts w:eastAsia="Times New Roman" w:cs="Times New Roman"/>
          <w:lang w:eastAsia="de-DE"/>
        </w:rPr>
        <w:t>– das in Vers 17 zubereitete Reinigungswasser.</w:t>
      </w:r>
    </w:p>
    <w:p w14:paraId="376062C0"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dritte Verb </w:t>
      </w:r>
      <w:r w:rsidRPr="001D73EC">
        <w:rPr>
          <w:rFonts w:eastAsia="Times New Roman" w:cs="Times New Roman"/>
          <w:b/>
          <w:bCs/>
          <w:rtl/>
          <w:lang w:eastAsia="de-DE"/>
        </w:rPr>
        <w:t>וְהִזָּה</w:t>
      </w:r>
      <w:r w:rsidRPr="001D73EC">
        <w:rPr>
          <w:rFonts w:eastAsia="Times New Roman" w:cs="Times New Roman"/>
          <w:rtl/>
          <w:lang w:eastAsia="de-DE"/>
        </w:rPr>
        <w:t xml:space="preserve"> </w:t>
      </w:r>
      <w:r w:rsidRPr="001D73EC">
        <w:rPr>
          <w:rFonts w:eastAsia="Times New Roman" w:cs="Times New Roman"/>
          <w:lang w:eastAsia="de-DE"/>
        </w:rPr>
        <w:t xml:space="preserve">(Waw + Hifil Perfekt, 3. m. sg. von </w:t>
      </w:r>
      <w:r w:rsidRPr="001D73EC">
        <w:rPr>
          <w:rFonts w:eastAsia="Times New Roman" w:cs="Times New Roman"/>
          <w:b/>
          <w:bCs/>
          <w:rtl/>
          <w:lang w:eastAsia="de-DE"/>
        </w:rPr>
        <w:t>נזה</w:t>
      </w:r>
      <w:r w:rsidRPr="001D73EC">
        <w:rPr>
          <w:rFonts w:eastAsia="Times New Roman" w:cs="Times New Roman"/>
          <w:lang w:eastAsia="de-DE"/>
        </w:rPr>
        <w:t xml:space="preserve">, „und er soll sprengen") mit Weqatal bezeichnet die rituelle Besprengung. Die fünffache Präpositionalphrase gibt die Ziele an: </w:t>
      </w:r>
      <w:r w:rsidRPr="001D73EC">
        <w:rPr>
          <w:rFonts w:eastAsia="Times New Roman" w:cs="Times New Roman"/>
          <w:b/>
          <w:bCs/>
          <w:rtl/>
          <w:lang w:eastAsia="de-DE"/>
        </w:rPr>
        <w:t>עַל־הָאֹהֶל</w:t>
      </w:r>
      <w:r w:rsidRPr="001D73EC">
        <w:rPr>
          <w:rFonts w:eastAsia="Times New Roman" w:cs="Times New Roman"/>
          <w:rtl/>
          <w:lang w:eastAsia="de-DE"/>
        </w:rPr>
        <w:t xml:space="preserve"> </w:t>
      </w:r>
      <w:r w:rsidRPr="001D73EC">
        <w:rPr>
          <w:rFonts w:eastAsia="Times New Roman" w:cs="Times New Roman"/>
          <w:lang w:eastAsia="de-DE"/>
        </w:rPr>
        <w:t xml:space="preserve">(„auf das Zelt"), </w:t>
      </w:r>
      <w:r w:rsidRPr="001D73EC">
        <w:rPr>
          <w:rFonts w:eastAsia="Times New Roman" w:cs="Times New Roman"/>
          <w:b/>
          <w:bCs/>
          <w:rtl/>
          <w:lang w:eastAsia="de-DE"/>
        </w:rPr>
        <w:t>וְעַל־כָּל־הַכֵּלִים</w:t>
      </w:r>
      <w:r w:rsidRPr="001D73EC">
        <w:rPr>
          <w:rFonts w:eastAsia="Times New Roman" w:cs="Times New Roman"/>
          <w:rtl/>
          <w:lang w:eastAsia="de-DE"/>
        </w:rPr>
        <w:t xml:space="preserve"> </w:t>
      </w:r>
      <w:r w:rsidRPr="001D73EC">
        <w:rPr>
          <w:rFonts w:eastAsia="Times New Roman" w:cs="Times New Roman"/>
          <w:lang w:eastAsia="de-DE"/>
        </w:rPr>
        <w:t xml:space="preserve">(„und auf alle Geräte" mit </w:t>
      </w:r>
      <w:r w:rsidRPr="001D73EC">
        <w:rPr>
          <w:rFonts w:eastAsia="Times New Roman" w:cs="Times New Roman"/>
          <w:b/>
          <w:bCs/>
          <w:rtl/>
          <w:lang w:eastAsia="de-DE"/>
        </w:rPr>
        <w:t>כָּל</w:t>
      </w:r>
      <w:r w:rsidRPr="001D73EC">
        <w:rPr>
          <w:rFonts w:eastAsia="Times New Roman" w:cs="Times New Roman"/>
          <w:rtl/>
          <w:lang w:eastAsia="de-DE"/>
        </w:rPr>
        <w:t xml:space="preserve"> </w:t>
      </w:r>
      <w:r w:rsidRPr="001D73EC">
        <w:rPr>
          <w:rFonts w:eastAsia="Times New Roman" w:cs="Times New Roman"/>
          <w:lang w:eastAsia="de-DE"/>
        </w:rPr>
        <w:t xml:space="preserve">im Constructus), </w:t>
      </w:r>
      <w:r w:rsidRPr="001D73EC">
        <w:rPr>
          <w:rFonts w:eastAsia="Times New Roman" w:cs="Times New Roman"/>
          <w:b/>
          <w:bCs/>
          <w:rtl/>
          <w:lang w:eastAsia="de-DE"/>
        </w:rPr>
        <w:t>וְעַל־הַנְּפָשׁוֹת אֲשֶׁר הָיוּ־שָׁם</w:t>
      </w:r>
      <w:r w:rsidRPr="001D73EC">
        <w:rPr>
          <w:rFonts w:eastAsia="Times New Roman" w:cs="Times New Roman"/>
          <w:rtl/>
          <w:lang w:eastAsia="de-DE"/>
        </w:rPr>
        <w:t xml:space="preserve"> </w:t>
      </w:r>
      <w:r w:rsidRPr="001D73EC">
        <w:rPr>
          <w:rFonts w:eastAsia="Times New Roman" w:cs="Times New Roman"/>
          <w:lang w:eastAsia="de-DE"/>
        </w:rPr>
        <w:t xml:space="preserve">(„und auf die Personen, die dort waren" – </w:t>
      </w:r>
      <w:r w:rsidRPr="001D73EC">
        <w:rPr>
          <w:rFonts w:eastAsia="Times New Roman" w:cs="Times New Roman"/>
          <w:b/>
          <w:bCs/>
          <w:rtl/>
          <w:lang w:eastAsia="de-DE"/>
        </w:rPr>
        <w:t>נֶפֶשׁ</w:t>
      </w:r>
      <w:r w:rsidRPr="001D73EC">
        <w:rPr>
          <w:rFonts w:eastAsia="Times New Roman" w:cs="Times New Roman"/>
          <w:rtl/>
          <w:lang w:eastAsia="de-DE"/>
        </w:rPr>
        <w:t xml:space="preserve"> </w:t>
      </w:r>
      <w:r w:rsidRPr="001D73EC">
        <w:rPr>
          <w:rFonts w:eastAsia="Times New Roman" w:cs="Times New Roman"/>
          <w:lang w:eastAsia="de-DE"/>
        </w:rPr>
        <w:t xml:space="preserve">im Plural mit Artikel, erweitert durch Relativsatz mit </w:t>
      </w:r>
      <w:r w:rsidRPr="001D73EC">
        <w:rPr>
          <w:rFonts w:eastAsia="Times New Roman" w:cs="Times New Roman"/>
          <w:b/>
          <w:bCs/>
          <w:rtl/>
          <w:lang w:eastAsia="de-DE"/>
        </w:rPr>
        <w:t>אֲשֶׁר</w:t>
      </w:r>
      <w:r w:rsidRPr="001D73EC">
        <w:rPr>
          <w:rFonts w:eastAsia="Times New Roman" w:cs="Times New Roman"/>
          <w:lang w:eastAsia="de-DE"/>
        </w:rPr>
        <w:t xml:space="preserve">, </w:t>
      </w:r>
      <w:r w:rsidRPr="001D73EC">
        <w:rPr>
          <w:rFonts w:eastAsia="Times New Roman" w:cs="Times New Roman"/>
          <w:b/>
          <w:bCs/>
          <w:rtl/>
          <w:lang w:eastAsia="de-DE"/>
        </w:rPr>
        <w:t>הָיוּ</w:t>
      </w:r>
      <w:r w:rsidRPr="001D73EC">
        <w:rPr>
          <w:rFonts w:eastAsia="Times New Roman" w:cs="Times New Roman"/>
          <w:rtl/>
          <w:lang w:eastAsia="de-DE"/>
        </w:rPr>
        <w:t xml:space="preserve"> </w:t>
      </w:r>
      <w:r w:rsidRPr="001D73EC">
        <w:rPr>
          <w:rFonts w:eastAsia="Times New Roman" w:cs="Times New Roman"/>
          <w:lang w:eastAsia="de-DE"/>
        </w:rPr>
        <w:t xml:space="preserve">Qal Perfekt 3. c. pl. von </w:t>
      </w:r>
      <w:r w:rsidRPr="001D73EC">
        <w:rPr>
          <w:rFonts w:eastAsia="Times New Roman" w:cs="Times New Roman"/>
          <w:b/>
          <w:bCs/>
          <w:rtl/>
          <w:lang w:eastAsia="de-DE"/>
        </w:rPr>
        <w:t>היה</w:t>
      </w:r>
      <w:r w:rsidRPr="001D73EC">
        <w:rPr>
          <w:rFonts w:eastAsia="Times New Roman" w:cs="Times New Roman"/>
          <w:rtl/>
          <w:lang w:eastAsia="de-DE"/>
        </w:rPr>
        <w:t xml:space="preserve"> </w:t>
      </w:r>
      <w:r w:rsidRPr="001D73EC">
        <w:rPr>
          <w:rFonts w:eastAsia="Times New Roman" w:cs="Times New Roman"/>
          <w:lang w:eastAsia="de-DE"/>
        </w:rPr>
        <w:t xml:space="preserve">und </w:t>
      </w:r>
      <w:r w:rsidRPr="001D73EC">
        <w:rPr>
          <w:rFonts w:eastAsia="Times New Roman" w:cs="Times New Roman"/>
          <w:b/>
          <w:bCs/>
          <w:rtl/>
          <w:lang w:eastAsia="de-DE"/>
        </w:rPr>
        <w:t>שָׁם</w:t>
      </w:r>
      <w:r w:rsidRPr="001D73EC">
        <w:rPr>
          <w:rFonts w:eastAsia="Times New Roman" w:cs="Times New Roman"/>
          <w:rtl/>
          <w:lang w:eastAsia="de-DE"/>
        </w:rPr>
        <w:t xml:space="preserve"> </w:t>
      </w:r>
      <w:r w:rsidRPr="001D73EC">
        <w:rPr>
          <w:rFonts w:eastAsia="Times New Roman" w:cs="Times New Roman"/>
          <w:lang w:eastAsia="de-DE"/>
        </w:rPr>
        <w:t xml:space="preserve">„dort"), </w:t>
      </w:r>
      <w:r w:rsidRPr="001D73EC">
        <w:rPr>
          <w:rFonts w:eastAsia="Times New Roman" w:cs="Times New Roman"/>
          <w:b/>
          <w:bCs/>
          <w:rtl/>
          <w:lang w:eastAsia="de-DE"/>
        </w:rPr>
        <w:t>וְעַל־הַנֹּגֵעַ בַּעֶצֶם</w:t>
      </w:r>
      <w:r w:rsidRPr="001D73EC">
        <w:rPr>
          <w:rFonts w:eastAsia="Times New Roman" w:cs="Times New Roman"/>
          <w:rtl/>
          <w:lang w:eastAsia="de-DE"/>
        </w:rPr>
        <w:t xml:space="preserve"> </w:t>
      </w:r>
      <w:r w:rsidRPr="001D73EC">
        <w:rPr>
          <w:rFonts w:eastAsia="Times New Roman" w:cs="Times New Roman"/>
          <w:lang w:eastAsia="de-DE"/>
        </w:rPr>
        <w:t xml:space="preserve">(„und auf den Berührenden an den Knochen" – Partizip mit </w:t>
      </w:r>
      <w:r w:rsidRPr="001D73EC">
        <w:rPr>
          <w:rFonts w:eastAsia="Times New Roman" w:cs="Times New Roman"/>
          <w:b/>
          <w:bCs/>
          <w:rtl/>
          <w:lang w:eastAsia="de-DE"/>
        </w:rPr>
        <w:t>בְּ</w:t>
      </w:r>
      <w:r w:rsidRPr="001D73EC">
        <w:rPr>
          <w:rFonts w:eastAsia="Times New Roman" w:cs="Times New Roman"/>
          <w:rtl/>
          <w:lang w:eastAsia="de-DE"/>
        </w:rPr>
        <w:t xml:space="preserve"> </w:t>
      </w:r>
      <w:r w:rsidRPr="001D73EC">
        <w:rPr>
          <w:rFonts w:eastAsia="Times New Roman" w:cs="Times New Roman"/>
          <w:lang w:eastAsia="de-DE"/>
        </w:rPr>
        <w:t xml:space="preserve">und </w:t>
      </w:r>
      <w:r w:rsidRPr="001D73EC">
        <w:rPr>
          <w:rFonts w:eastAsia="Times New Roman" w:cs="Times New Roman"/>
          <w:b/>
          <w:bCs/>
          <w:rtl/>
          <w:lang w:eastAsia="de-DE"/>
        </w:rPr>
        <w:t>עֶצֶם</w:t>
      </w:r>
      <w:r w:rsidRPr="001D73EC">
        <w:rPr>
          <w:rFonts w:eastAsia="Times New Roman" w:cs="Times New Roman"/>
          <w:rtl/>
          <w:lang w:eastAsia="de-DE"/>
        </w:rPr>
        <w:t xml:space="preserve"> </w:t>
      </w:r>
      <w:r w:rsidRPr="001D73EC">
        <w:rPr>
          <w:rFonts w:eastAsia="Times New Roman" w:cs="Times New Roman"/>
          <w:lang w:eastAsia="de-DE"/>
        </w:rPr>
        <w:t>„Knochen, Gebein").</w:t>
      </w:r>
    </w:p>
    <w:p w14:paraId="07B92F5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vierfache weitere Spezifizierung </w:t>
      </w:r>
      <w:r w:rsidRPr="001D73EC">
        <w:rPr>
          <w:rFonts w:eastAsia="Times New Roman" w:cs="Times New Roman"/>
          <w:b/>
          <w:bCs/>
          <w:rtl/>
          <w:lang w:eastAsia="de-DE"/>
        </w:rPr>
        <w:t>אוֹ בֶחָלָל אוֹ בַמֵּת אוֹ בַקָּבֶר</w:t>
      </w:r>
      <w:r w:rsidRPr="001D73EC">
        <w:rPr>
          <w:rFonts w:eastAsia="Times New Roman" w:cs="Times New Roman"/>
          <w:rtl/>
          <w:lang w:eastAsia="de-DE"/>
        </w:rPr>
        <w:t xml:space="preserve"> </w:t>
      </w:r>
      <w:r w:rsidRPr="001D73EC">
        <w:rPr>
          <w:rFonts w:eastAsia="Times New Roman" w:cs="Times New Roman"/>
          <w:lang w:eastAsia="de-DE"/>
        </w:rPr>
        <w:t xml:space="preserve">wiederholt die Unreinheitsquellen aus Vers 16: </w:t>
      </w:r>
      <w:r w:rsidRPr="001D73EC">
        <w:rPr>
          <w:rFonts w:eastAsia="Times New Roman" w:cs="Times New Roman"/>
          <w:b/>
          <w:bCs/>
          <w:rtl/>
          <w:lang w:eastAsia="de-DE"/>
        </w:rPr>
        <w:t>חָלָל</w:t>
      </w:r>
      <w:r w:rsidRPr="001D73EC">
        <w:rPr>
          <w:rFonts w:eastAsia="Times New Roman" w:cs="Times New Roman"/>
          <w:rtl/>
          <w:lang w:eastAsia="de-DE"/>
        </w:rPr>
        <w:t xml:space="preserve"> </w:t>
      </w:r>
      <w:r w:rsidRPr="001D73EC">
        <w:rPr>
          <w:rFonts w:eastAsia="Times New Roman" w:cs="Times New Roman"/>
          <w:lang w:eastAsia="de-DE"/>
        </w:rPr>
        <w:t xml:space="preserve">„Erschlagener", </w:t>
      </w:r>
      <w:r w:rsidRPr="001D73EC">
        <w:rPr>
          <w:rFonts w:eastAsia="Times New Roman" w:cs="Times New Roman"/>
          <w:b/>
          <w:bCs/>
          <w:rtl/>
          <w:lang w:eastAsia="de-DE"/>
        </w:rPr>
        <w:t>מֵת</w:t>
      </w:r>
      <w:r w:rsidRPr="001D73EC">
        <w:rPr>
          <w:rFonts w:eastAsia="Times New Roman" w:cs="Times New Roman"/>
          <w:rtl/>
          <w:lang w:eastAsia="de-DE"/>
        </w:rPr>
        <w:t xml:space="preserve"> </w:t>
      </w:r>
      <w:r w:rsidRPr="001D73EC">
        <w:rPr>
          <w:rFonts w:eastAsia="Times New Roman" w:cs="Times New Roman"/>
          <w:lang w:eastAsia="de-DE"/>
        </w:rPr>
        <w:t xml:space="preserve">„Toter", </w:t>
      </w:r>
      <w:r w:rsidRPr="001D73EC">
        <w:rPr>
          <w:rFonts w:eastAsia="Times New Roman" w:cs="Times New Roman"/>
          <w:b/>
          <w:bCs/>
          <w:rtl/>
          <w:lang w:eastAsia="de-DE"/>
        </w:rPr>
        <w:t>קֶבֶר</w:t>
      </w:r>
      <w:r w:rsidRPr="001D73EC">
        <w:rPr>
          <w:rFonts w:eastAsia="Times New Roman" w:cs="Times New Roman"/>
          <w:rtl/>
          <w:lang w:eastAsia="de-DE"/>
        </w:rPr>
        <w:t xml:space="preserve"> </w:t>
      </w:r>
      <w:r w:rsidRPr="001D73EC">
        <w:rPr>
          <w:rFonts w:eastAsia="Times New Roman" w:cs="Times New Roman"/>
          <w:lang w:eastAsia="de-DE"/>
        </w:rPr>
        <w:t xml:space="preserve">„Grab", alle mit </w:t>
      </w:r>
      <w:r w:rsidRPr="001D73EC">
        <w:rPr>
          <w:rFonts w:eastAsia="Times New Roman" w:cs="Times New Roman"/>
          <w:b/>
          <w:bCs/>
          <w:rtl/>
          <w:lang w:eastAsia="de-DE"/>
        </w:rPr>
        <w:t>בְּ</w:t>
      </w:r>
      <w:r w:rsidRPr="001D73EC">
        <w:rPr>
          <w:rFonts w:eastAsia="Times New Roman" w:cs="Times New Roman"/>
          <w:lang w:eastAsia="de-DE"/>
        </w:rPr>
        <w:t>.</w:t>
      </w:r>
    </w:p>
    <w:p w14:paraId="58E338E1" w14:textId="77777777" w:rsidR="00C229FD" w:rsidRDefault="001D73EC" w:rsidP="00C229FD">
      <w:pPr>
        <w:spacing w:before="100" w:beforeAutospacing="1" w:after="100" w:afterAutospacing="1" w:line="240" w:lineRule="auto"/>
      </w:pPr>
      <w:r w:rsidRPr="001D73EC">
        <w:rPr>
          <w:rFonts w:eastAsia="Times New Roman" w:cs="Times New Roman"/>
          <w:b/>
          <w:bCs/>
          <w:lang w:eastAsia="de-DE"/>
        </w:rPr>
        <w:t>Die LXX</w:t>
      </w:r>
      <w:r w:rsidRPr="001D73EC">
        <w:rPr>
          <w:rFonts w:eastAsia="Times New Roman" w:cs="Times New Roman"/>
          <w:lang w:eastAsia="de-DE"/>
        </w:rPr>
        <w:t xml:space="preserve"> </w:t>
      </w:r>
      <w:r w:rsidR="00C229FD">
        <w:t>verwendet „περιρρανεῖ" (wird ringsum besprengen) für das hebräische „</w:t>
      </w:r>
      <w:r w:rsidR="00C229FD" w:rsidRPr="00C229FD">
        <w:rPr>
          <w:b/>
          <w:bCs/>
          <w:rtl/>
        </w:rPr>
        <w:t>וְהִזָּה</w:t>
      </w:r>
      <w:r w:rsidR="00C229FD">
        <w:t>" (und er wird sprengen), was das "Ringsum"-Element hinzufügt.</w:t>
      </w:r>
    </w:p>
    <w:p w14:paraId="0CC1946A" w14:textId="64FCFF83" w:rsidR="001D73EC" w:rsidRPr="001D73EC" w:rsidRDefault="001D73EC" w:rsidP="00C229FD">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drei koordinierte Hauptsätze mit Weqatal-Verben: Der erste mit Verb, Objekt und nachgestelltem Subjekt; der zweite mit Verb und Präpositionalphrase; der dritte mit Verb und fünffach koordinierter Präpositionalphrase, wobei die dritte durch einen Relativsatz und die vierte durch vierfache koordinierte präpositionale Spezifizierung erweitert wird. Insgesamt gibt es einen Nebensatz (Relativsatz).</w:t>
      </w:r>
    </w:p>
    <w:p w14:paraId="796767C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beschreibt die umfassende Besprengung: Raum, Gegenstände, anwesende Personen und speziell die Unreinen werden mit dem Ysopbüschel besprengt – ein gründliches Reinigungsritual.</w:t>
      </w:r>
    </w:p>
    <w:p w14:paraId="0F04D26D"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19,19</w:t>
      </w:r>
    </w:p>
    <w:p w14:paraId="47095BC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וְהִזָּ֤ה הַטָּהֹר֙ עַל־הַטָּמֵ֔א בַּיּ֥וֹם הַשְּׁלִישִׁ֖י וּבַיּ֣וֹם הַשְּׁבִיעִ֑י וְחִטְּאוֹ֙ בַּיּ֣וֹם הַשְּׁבִיעִ֔י וְכִבֶּ֧ס בְּגָדָ֛יו וְרָחַ֥ץ בַּמַּ֖יִם וְטָהֵ֥ר בָּעָֽרֶב׃</w:t>
      </w:r>
    </w:p>
    <w:p w14:paraId="4D12429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der Reine soll auf den Unreinen am dritten Tag und am siebten Tag sprengen und soll ihn am siebten Tag entsündigen; und er soll seine Kleider waschen und sich in Wasser baden, und am Abend wird er rein sein.</w:t>
      </w:r>
    </w:p>
    <w:p w14:paraId="5090C91C"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676042D8">
          <v:rect id="_x0000_i1663" style="width:0;height:1.5pt" o:hralign="center" o:hrstd="t" o:hr="t" fillcolor="#a0a0a0" stroked="f"/>
        </w:pict>
      </w:r>
    </w:p>
    <w:p w14:paraId="5D800A7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lastRenderedPageBreak/>
        <w:t>Kommentar:</w:t>
      </w:r>
      <w:r w:rsidRPr="001D73EC">
        <w:rPr>
          <w:rFonts w:eastAsia="Times New Roman" w:cs="Times New Roman"/>
          <w:lang w:eastAsia="de-DE"/>
        </w:rPr>
        <w:t xml:space="preserve"> Das Verb </w:t>
      </w:r>
      <w:r w:rsidRPr="001D73EC">
        <w:rPr>
          <w:rFonts w:eastAsia="Times New Roman" w:cs="Times New Roman"/>
          <w:b/>
          <w:bCs/>
          <w:rtl/>
          <w:lang w:eastAsia="de-DE"/>
        </w:rPr>
        <w:t>וְהִזָּה</w:t>
      </w:r>
      <w:r w:rsidRPr="001D73EC">
        <w:rPr>
          <w:rFonts w:eastAsia="Times New Roman" w:cs="Times New Roman"/>
          <w:rtl/>
          <w:lang w:eastAsia="de-DE"/>
        </w:rPr>
        <w:t xml:space="preserve"> </w:t>
      </w:r>
      <w:r w:rsidRPr="001D73EC">
        <w:rPr>
          <w:rFonts w:eastAsia="Times New Roman" w:cs="Times New Roman"/>
          <w:lang w:eastAsia="de-DE"/>
        </w:rPr>
        <w:t xml:space="preserve">(Waw + Hifil Perfekt, 3. m. sg. von </w:t>
      </w:r>
      <w:r w:rsidRPr="001D73EC">
        <w:rPr>
          <w:rFonts w:eastAsia="Times New Roman" w:cs="Times New Roman"/>
          <w:b/>
          <w:bCs/>
          <w:rtl/>
          <w:lang w:eastAsia="de-DE"/>
        </w:rPr>
        <w:t>נזה</w:t>
      </w:r>
      <w:r w:rsidRPr="001D73EC">
        <w:rPr>
          <w:rFonts w:eastAsia="Times New Roman" w:cs="Times New Roman"/>
          <w:lang w:eastAsia="de-DE"/>
        </w:rPr>
        <w:t xml:space="preserve">, „und er soll sprengen") mit Weqatal. Das Subjekt </w:t>
      </w:r>
      <w:r w:rsidRPr="001D73EC">
        <w:rPr>
          <w:rFonts w:eastAsia="Times New Roman" w:cs="Times New Roman"/>
          <w:b/>
          <w:bCs/>
          <w:rtl/>
          <w:lang w:eastAsia="de-DE"/>
        </w:rPr>
        <w:t>הַטָּהֹר</w:t>
      </w:r>
      <w:r w:rsidRPr="001D73EC">
        <w:rPr>
          <w:rFonts w:eastAsia="Times New Roman" w:cs="Times New Roman"/>
          <w:rtl/>
          <w:lang w:eastAsia="de-DE"/>
        </w:rPr>
        <w:t xml:space="preserve"> </w:t>
      </w:r>
      <w:r w:rsidRPr="001D73EC">
        <w:rPr>
          <w:rFonts w:eastAsia="Times New Roman" w:cs="Times New Roman"/>
          <w:lang w:eastAsia="de-DE"/>
        </w:rPr>
        <w:t xml:space="preserve">(„der Reine") mit Artikel. </w:t>
      </w:r>
      <w:r w:rsidRPr="001D73EC">
        <w:rPr>
          <w:rFonts w:eastAsia="Times New Roman" w:cs="Times New Roman"/>
          <w:b/>
          <w:bCs/>
          <w:rtl/>
          <w:lang w:eastAsia="de-DE"/>
        </w:rPr>
        <w:t>עַל־הַטָּמֵא</w:t>
      </w:r>
      <w:r w:rsidRPr="001D73EC">
        <w:rPr>
          <w:rFonts w:eastAsia="Times New Roman" w:cs="Times New Roman"/>
          <w:rtl/>
          <w:lang w:eastAsia="de-DE"/>
        </w:rPr>
        <w:t xml:space="preserve"> </w:t>
      </w:r>
      <w:r w:rsidRPr="001D73EC">
        <w:rPr>
          <w:rFonts w:eastAsia="Times New Roman" w:cs="Times New Roman"/>
          <w:lang w:eastAsia="de-DE"/>
        </w:rPr>
        <w:t xml:space="preserve">(„auf den Unreinen") mit Artikel ist das Ziel. Die doppelte Zeitangabe </w:t>
      </w:r>
      <w:r w:rsidRPr="001D73EC">
        <w:rPr>
          <w:rFonts w:eastAsia="Times New Roman" w:cs="Times New Roman"/>
          <w:b/>
          <w:bCs/>
          <w:rtl/>
          <w:lang w:eastAsia="de-DE"/>
        </w:rPr>
        <w:t>בַּיּוֹם הַשְּׁלִישִׁי וּבַיּוֹם הַשְּׁבִיעִ</w:t>
      </w:r>
      <w:r w:rsidRPr="001D73EC">
        <w:rPr>
          <w:rFonts w:eastAsia="Times New Roman" w:cs="Times New Roman"/>
          <w:rtl/>
          <w:lang w:eastAsia="de-DE"/>
        </w:rPr>
        <w:t>י</w:t>
      </w:r>
      <w:r w:rsidRPr="001D73EC">
        <w:rPr>
          <w:rFonts w:eastAsia="Times New Roman" w:cs="Times New Roman"/>
          <w:lang w:eastAsia="de-DE"/>
        </w:rPr>
        <w:t xml:space="preserve"> („am dritten Tag und am siebten Tag") wiederholt das Schema aus Vers 12.</w:t>
      </w:r>
    </w:p>
    <w:p w14:paraId="141F5D0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koordinierte Verb </w:t>
      </w:r>
      <w:r w:rsidRPr="001D73EC">
        <w:rPr>
          <w:rFonts w:eastAsia="Times New Roman" w:cs="Times New Roman"/>
          <w:b/>
          <w:bCs/>
          <w:rtl/>
          <w:lang w:eastAsia="de-DE"/>
        </w:rPr>
        <w:t>וְחִטְּאוֹ</w:t>
      </w:r>
      <w:r w:rsidRPr="001D73EC">
        <w:rPr>
          <w:rFonts w:eastAsia="Times New Roman" w:cs="Times New Roman"/>
          <w:rtl/>
          <w:lang w:eastAsia="de-DE"/>
        </w:rPr>
        <w:t xml:space="preserve"> </w:t>
      </w:r>
      <w:r w:rsidRPr="001D73EC">
        <w:rPr>
          <w:rFonts w:eastAsia="Times New Roman" w:cs="Times New Roman"/>
          <w:lang w:eastAsia="de-DE"/>
        </w:rPr>
        <w:t xml:space="preserve">(Waw + Piel Perfekt, 3. m. sg. von </w:t>
      </w:r>
      <w:r w:rsidRPr="001D73EC">
        <w:rPr>
          <w:rFonts w:eastAsia="Times New Roman" w:cs="Times New Roman"/>
          <w:b/>
          <w:bCs/>
          <w:rtl/>
          <w:lang w:eastAsia="de-DE"/>
        </w:rPr>
        <w:t>חטא</w:t>
      </w:r>
      <w:r w:rsidRPr="001D73EC">
        <w:rPr>
          <w:rFonts w:eastAsia="Times New Roman" w:cs="Times New Roman"/>
          <w:rtl/>
          <w:lang w:eastAsia="de-DE"/>
        </w:rPr>
        <w:t xml:space="preserve"> </w:t>
      </w:r>
      <w:r w:rsidRPr="001D73EC">
        <w:rPr>
          <w:rFonts w:eastAsia="Times New Roman" w:cs="Times New Roman"/>
          <w:lang w:eastAsia="de-DE"/>
        </w:rPr>
        <w:t xml:space="preserve">mit Objektsuffix 3. m. sg., „und er soll ihn entsündigen") mit Weqatal. Die Zeitangabe </w:t>
      </w:r>
      <w:r w:rsidRPr="001D73EC">
        <w:rPr>
          <w:rFonts w:eastAsia="Times New Roman" w:cs="Times New Roman"/>
          <w:b/>
          <w:bCs/>
          <w:rtl/>
          <w:lang w:eastAsia="de-DE"/>
        </w:rPr>
        <w:t>בַּיּוֹם הַשְּׁבִיעִי</w:t>
      </w:r>
      <w:r w:rsidRPr="001D73EC">
        <w:rPr>
          <w:rFonts w:eastAsia="Times New Roman" w:cs="Times New Roman"/>
          <w:rtl/>
          <w:lang w:eastAsia="de-DE"/>
        </w:rPr>
        <w:t xml:space="preserve"> </w:t>
      </w:r>
      <w:r w:rsidRPr="001D73EC">
        <w:rPr>
          <w:rFonts w:eastAsia="Times New Roman" w:cs="Times New Roman"/>
          <w:lang w:eastAsia="de-DE"/>
        </w:rPr>
        <w:t>(„am siebten Tag") spezifiziert: Die eigentliche Entsündigung erfolgt am letzten Tag.</w:t>
      </w:r>
    </w:p>
    <w:p w14:paraId="124022B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dreifache Fortsetzung beschreibt die Reinigung des Unreinen selbst: </w:t>
      </w:r>
      <w:r w:rsidRPr="001D73EC">
        <w:rPr>
          <w:rFonts w:eastAsia="Times New Roman" w:cs="Times New Roman"/>
          <w:b/>
          <w:bCs/>
          <w:rtl/>
          <w:lang w:eastAsia="de-DE"/>
        </w:rPr>
        <w:t>וְכִבֶּס בְּגָדָיו</w:t>
      </w:r>
      <w:r w:rsidRPr="001D73EC">
        <w:rPr>
          <w:rFonts w:eastAsia="Times New Roman" w:cs="Times New Roman"/>
          <w:rtl/>
          <w:lang w:eastAsia="de-DE"/>
        </w:rPr>
        <w:t xml:space="preserve"> </w:t>
      </w:r>
      <w:r w:rsidRPr="001D73EC">
        <w:rPr>
          <w:rFonts w:eastAsia="Times New Roman" w:cs="Times New Roman"/>
          <w:lang w:eastAsia="de-DE"/>
        </w:rPr>
        <w:t xml:space="preserve">(„und er soll seine Kleider waschen"), </w:t>
      </w:r>
      <w:r w:rsidRPr="001D73EC">
        <w:rPr>
          <w:rFonts w:eastAsia="Times New Roman" w:cs="Times New Roman"/>
          <w:b/>
          <w:bCs/>
          <w:rtl/>
          <w:lang w:eastAsia="de-DE"/>
        </w:rPr>
        <w:t>וְרָחַץ בַּמַּיִם</w:t>
      </w:r>
      <w:r w:rsidRPr="001D73EC">
        <w:rPr>
          <w:rFonts w:eastAsia="Times New Roman" w:cs="Times New Roman"/>
          <w:rtl/>
          <w:lang w:eastAsia="de-DE"/>
        </w:rPr>
        <w:t xml:space="preserve"> </w:t>
      </w:r>
      <w:r w:rsidRPr="001D73EC">
        <w:rPr>
          <w:rFonts w:eastAsia="Times New Roman" w:cs="Times New Roman"/>
          <w:lang w:eastAsia="de-DE"/>
        </w:rPr>
        <w:t xml:space="preserve">(„und sich in Wasser baden"), </w:t>
      </w:r>
      <w:r w:rsidRPr="001D73EC">
        <w:rPr>
          <w:rFonts w:eastAsia="Times New Roman" w:cs="Times New Roman"/>
          <w:b/>
          <w:bCs/>
          <w:rtl/>
          <w:lang w:eastAsia="de-DE"/>
        </w:rPr>
        <w:t>וְטָהֵר בָּעָרֶב</w:t>
      </w:r>
      <w:r w:rsidRPr="001D73EC">
        <w:rPr>
          <w:rFonts w:eastAsia="Times New Roman" w:cs="Times New Roman"/>
          <w:rtl/>
          <w:lang w:eastAsia="de-DE"/>
        </w:rPr>
        <w:t xml:space="preserve"> </w:t>
      </w:r>
      <w:r w:rsidRPr="001D73EC">
        <w:rPr>
          <w:rFonts w:eastAsia="Times New Roman" w:cs="Times New Roman"/>
          <w:lang w:eastAsia="de-DE"/>
        </w:rPr>
        <w:t xml:space="preserve">(„und am Abend wird er rein sein"). Alle drei Verben mit Weqatal. Die Struktur entspricht den vorherigen Reinigungsformeln (Vers 7-8), aber hier mit dem entscheidenden Unterschied: </w:t>
      </w:r>
      <w:r w:rsidRPr="001D73EC">
        <w:rPr>
          <w:rFonts w:eastAsia="Times New Roman" w:cs="Times New Roman"/>
          <w:b/>
          <w:bCs/>
          <w:rtl/>
          <w:lang w:eastAsia="de-DE"/>
        </w:rPr>
        <w:t>טָהֵר</w:t>
      </w:r>
      <w:r w:rsidRPr="001D73EC">
        <w:rPr>
          <w:rFonts w:eastAsia="Times New Roman" w:cs="Times New Roman"/>
          <w:rtl/>
          <w:lang w:eastAsia="de-DE"/>
        </w:rPr>
        <w:t xml:space="preserve"> </w:t>
      </w:r>
      <w:r w:rsidRPr="001D73EC">
        <w:rPr>
          <w:rFonts w:eastAsia="Times New Roman" w:cs="Times New Roman"/>
          <w:lang w:eastAsia="de-DE"/>
        </w:rPr>
        <w:t xml:space="preserve">(Qal Perfekt, 3. m. sg. von </w:t>
      </w:r>
      <w:r w:rsidRPr="001D73EC">
        <w:rPr>
          <w:rFonts w:eastAsia="Times New Roman" w:cs="Times New Roman"/>
          <w:b/>
          <w:bCs/>
          <w:rtl/>
          <w:lang w:eastAsia="de-DE"/>
        </w:rPr>
        <w:t>טהר</w:t>
      </w:r>
      <w:r w:rsidRPr="001D73EC">
        <w:rPr>
          <w:rFonts w:eastAsia="Times New Roman" w:cs="Times New Roman"/>
          <w:lang w:eastAsia="de-DE"/>
        </w:rPr>
        <w:t xml:space="preserve">, „er wird rein") statt </w:t>
      </w:r>
      <w:r w:rsidRPr="001D73EC">
        <w:rPr>
          <w:rFonts w:eastAsia="Times New Roman" w:cs="Times New Roman"/>
          <w:b/>
          <w:bCs/>
          <w:rtl/>
          <w:lang w:eastAsia="de-DE"/>
        </w:rPr>
        <w:t>טָמֵא</w:t>
      </w:r>
      <w:r w:rsidRPr="001D73EC">
        <w:rPr>
          <w:rFonts w:eastAsia="Times New Roman" w:cs="Times New Roman"/>
          <w:rtl/>
          <w:lang w:eastAsia="de-DE"/>
        </w:rPr>
        <w:t xml:space="preserve"> </w:t>
      </w:r>
      <w:r w:rsidRPr="001D73EC">
        <w:rPr>
          <w:rFonts w:eastAsia="Times New Roman" w:cs="Times New Roman"/>
          <w:lang w:eastAsia="de-DE"/>
        </w:rPr>
        <w:t>(„er wird unrein") – nach vollständigem Ritual wird der Unreine wieder rein.</w:t>
      </w:r>
    </w:p>
    <w:p w14:paraId="4181A705" w14:textId="74E4963C"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C229FD">
        <w:t>übersetzt „</w:t>
      </w:r>
      <w:r w:rsidR="00C229FD" w:rsidRPr="00C229FD">
        <w:rPr>
          <w:b/>
          <w:bCs/>
          <w:rtl/>
        </w:rPr>
        <w:t>וְחִטְּאוֹ</w:t>
      </w:r>
      <w:r w:rsidR="00C229FD">
        <w:t>" (und er wird ihn entsündigen) mit „καὶ ἀφαγνισθήσεται" (und er wird gereinigt werden), erneut die Verschiebung von Entsündigung zu Reinigung.</w:t>
      </w:r>
    </w:p>
    <w:p w14:paraId="25F1360C"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fünf koordinierte Hauptsätze mit Weqatal-Verben: Der erste mit Verb, Subjekt, Präpositionalphrase und doppelter Zeitangabe; der zweite mit Verb (Objektsuffix) und Zeitangabe; die drei folgenden mit Verb, Objekt bzw. Präpositionalphrase bzw. Zeitangabe. Es gibt keine Nebensätze.</w:t>
      </w:r>
    </w:p>
    <w:p w14:paraId="31B32BEC"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fasst das vollständige Reinigungsverfahren zusammen: Zweifache Besprengung (Tag 3 und 7), Entsündigung am siebten Tag, dann Waschung – und endlich Reinheit am Abend.</w:t>
      </w:r>
    </w:p>
    <w:p w14:paraId="41A8D41A"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19,20</w:t>
      </w:r>
    </w:p>
    <w:p w14:paraId="04DDBB59"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וְאִ֤ישׁ אֲשֶׁר־יִטְמָא֙ וְלֹ֣א יִתְחַטָּ֔א וְנִכְרְתָ֛ה הַנֶּ֥פֶשׁ הַהִ֖וא מִתּ֣וֹךְ הַקָּהָ֑ל כִּי֩ אֶת־מִקְדַּ֨שׁ יְהוָ֜ה טִמֵּ֗א מֵ֥י נִדָּ֛ה לֹא־זֹרַ֥ק עָלָ֖יו טָמֵ֥א הֽוּא׃</w:t>
      </w:r>
    </w:p>
    <w:p w14:paraId="4968E6E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der Mann, der unrein wird und sich nicht entsündigt, jene Person soll ausgerottet werden aus der Mitte der Versammlung; denn er hat das Heiligtum des Ewigen verunreinigt: Das Reinigungswasser ist nicht auf ihn gesprengt worden, er ist unrein.</w:t>
      </w:r>
    </w:p>
    <w:p w14:paraId="586EEDC7"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72F138E6">
          <v:rect id="_x0000_i1664" style="width:0;height:1.5pt" o:hralign="center" o:hrstd="t" o:hr="t" fillcolor="#a0a0a0" stroked="f"/>
        </w:pict>
      </w:r>
    </w:p>
    <w:p w14:paraId="32A4DE89"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Subjekt </w:t>
      </w:r>
      <w:r w:rsidRPr="001D73EC">
        <w:rPr>
          <w:rFonts w:eastAsia="Times New Roman" w:cs="Times New Roman"/>
          <w:b/>
          <w:bCs/>
          <w:rtl/>
          <w:lang w:eastAsia="de-DE"/>
        </w:rPr>
        <w:t>וְאִישׁ אֲשֶׁר־יִטְמָא</w:t>
      </w:r>
      <w:r w:rsidRPr="001D73EC">
        <w:rPr>
          <w:rFonts w:eastAsia="Times New Roman" w:cs="Times New Roman"/>
          <w:rtl/>
          <w:lang w:eastAsia="de-DE"/>
        </w:rPr>
        <w:t xml:space="preserve"> </w:t>
      </w:r>
      <w:r w:rsidRPr="001D73EC">
        <w:rPr>
          <w:rFonts w:eastAsia="Times New Roman" w:cs="Times New Roman"/>
          <w:lang w:eastAsia="de-DE"/>
        </w:rPr>
        <w:t xml:space="preserve">besteht aus </w:t>
      </w:r>
      <w:r w:rsidRPr="001D73EC">
        <w:rPr>
          <w:rFonts w:eastAsia="Times New Roman" w:cs="Times New Roman"/>
          <w:b/>
          <w:bCs/>
          <w:rtl/>
          <w:lang w:eastAsia="de-DE"/>
        </w:rPr>
        <w:t>וְאִישׁ</w:t>
      </w:r>
      <w:r w:rsidRPr="001D73EC">
        <w:rPr>
          <w:rFonts w:eastAsia="Times New Roman" w:cs="Times New Roman"/>
          <w:rtl/>
          <w:lang w:eastAsia="de-DE"/>
        </w:rPr>
        <w:t xml:space="preserve"> </w:t>
      </w:r>
      <w:r w:rsidRPr="001D73EC">
        <w:rPr>
          <w:rFonts w:eastAsia="Times New Roman" w:cs="Times New Roman"/>
          <w:lang w:eastAsia="de-DE"/>
        </w:rPr>
        <w:t xml:space="preserve">(„und ein Mann"), dem Relativsatz </w:t>
      </w:r>
      <w:r w:rsidRPr="001D73EC">
        <w:rPr>
          <w:rFonts w:eastAsia="Times New Roman" w:cs="Times New Roman"/>
          <w:b/>
          <w:bCs/>
          <w:rtl/>
          <w:lang w:eastAsia="de-DE"/>
        </w:rPr>
        <w:t>אֲשֶׁר־יִטְמָא</w:t>
      </w:r>
      <w:r w:rsidRPr="001D73EC">
        <w:rPr>
          <w:rFonts w:eastAsia="Times New Roman" w:cs="Times New Roman"/>
          <w:rtl/>
          <w:lang w:eastAsia="de-DE"/>
        </w:rPr>
        <w:t xml:space="preserve"> </w:t>
      </w:r>
      <w:r w:rsidRPr="001D73EC">
        <w:rPr>
          <w:rFonts w:eastAsia="Times New Roman" w:cs="Times New Roman"/>
          <w:lang w:eastAsia="de-DE"/>
        </w:rPr>
        <w:t xml:space="preserve">(Relativpronomen plus Qal Imperfekt, 3. m. sg. von </w:t>
      </w:r>
      <w:r w:rsidRPr="001D73EC">
        <w:rPr>
          <w:rFonts w:eastAsia="Times New Roman" w:cs="Times New Roman"/>
          <w:b/>
          <w:bCs/>
          <w:rtl/>
          <w:lang w:eastAsia="de-DE"/>
        </w:rPr>
        <w:t>טמא</w:t>
      </w:r>
      <w:r w:rsidRPr="001D73EC">
        <w:rPr>
          <w:rFonts w:eastAsia="Times New Roman" w:cs="Times New Roman"/>
          <w:lang w:eastAsia="de-DE"/>
        </w:rPr>
        <w:t xml:space="preserve">, „der unrein wird"). Die negative Bedingung </w:t>
      </w:r>
      <w:r w:rsidRPr="001D73EC">
        <w:rPr>
          <w:rFonts w:eastAsia="Times New Roman" w:cs="Times New Roman"/>
          <w:b/>
          <w:bCs/>
          <w:rtl/>
          <w:lang w:eastAsia="de-DE"/>
        </w:rPr>
        <w:t>וְלֹא יִתְחַטָּא</w:t>
      </w:r>
      <w:r w:rsidRPr="001D73EC">
        <w:rPr>
          <w:rFonts w:eastAsia="Times New Roman" w:cs="Times New Roman"/>
          <w:rtl/>
          <w:lang w:eastAsia="de-DE"/>
        </w:rPr>
        <w:t xml:space="preserve"> </w:t>
      </w:r>
      <w:r w:rsidRPr="001D73EC">
        <w:rPr>
          <w:rFonts w:eastAsia="Times New Roman" w:cs="Times New Roman"/>
          <w:lang w:eastAsia="de-DE"/>
        </w:rPr>
        <w:t xml:space="preserve">(„und sich nicht entsündigt") mit Hitpael Imperfekt von </w:t>
      </w:r>
      <w:r w:rsidRPr="001D73EC">
        <w:rPr>
          <w:rFonts w:eastAsia="Times New Roman" w:cs="Times New Roman"/>
          <w:b/>
          <w:bCs/>
          <w:rtl/>
          <w:lang w:eastAsia="de-DE"/>
        </w:rPr>
        <w:t>חטא</w:t>
      </w:r>
      <w:r w:rsidRPr="001D73EC">
        <w:rPr>
          <w:rFonts w:eastAsia="Times New Roman" w:cs="Times New Roman"/>
          <w:rtl/>
          <w:lang w:eastAsia="de-DE"/>
        </w:rPr>
        <w:t xml:space="preserve"> </w:t>
      </w:r>
      <w:r w:rsidRPr="001D73EC">
        <w:rPr>
          <w:rFonts w:eastAsia="Times New Roman" w:cs="Times New Roman"/>
          <w:lang w:eastAsia="de-DE"/>
        </w:rPr>
        <w:t>wiederholt Vers 13.</w:t>
      </w:r>
    </w:p>
    <w:p w14:paraId="79F9EF2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Strafe </w:t>
      </w:r>
      <w:r w:rsidRPr="001D73EC">
        <w:rPr>
          <w:rFonts w:eastAsia="Times New Roman" w:cs="Times New Roman"/>
          <w:b/>
          <w:bCs/>
          <w:rtl/>
          <w:lang w:eastAsia="de-DE"/>
        </w:rPr>
        <w:t>וְנִכְרְתָה הַנֶּפֶשׁ הַהִוא מִתּוֹךְ הַקָּהָל</w:t>
      </w:r>
      <w:r w:rsidRPr="001D73EC">
        <w:rPr>
          <w:rFonts w:eastAsia="Times New Roman" w:cs="Times New Roman"/>
          <w:rtl/>
          <w:lang w:eastAsia="de-DE"/>
        </w:rPr>
        <w:t xml:space="preserve"> </w:t>
      </w:r>
      <w:r w:rsidRPr="001D73EC">
        <w:rPr>
          <w:rFonts w:eastAsia="Times New Roman" w:cs="Times New Roman"/>
          <w:lang w:eastAsia="de-DE"/>
        </w:rPr>
        <w:t xml:space="preserve">wiederholt die </w:t>
      </w:r>
      <w:r w:rsidRPr="001D73EC">
        <w:rPr>
          <w:rFonts w:eastAsia="Times New Roman" w:cs="Times New Roman"/>
          <w:b/>
          <w:bCs/>
          <w:rtl/>
          <w:lang w:eastAsia="de-DE"/>
        </w:rPr>
        <w:t>כרת</w:t>
      </w:r>
      <w:r w:rsidRPr="001D73EC">
        <w:rPr>
          <w:rFonts w:eastAsia="Times New Roman" w:cs="Times New Roman"/>
          <w:lang w:eastAsia="de-DE"/>
        </w:rPr>
        <w:t xml:space="preserve">-Formel: </w:t>
      </w:r>
      <w:r w:rsidRPr="001D73EC">
        <w:rPr>
          <w:rFonts w:eastAsia="Times New Roman" w:cs="Times New Roman"/>
          <w:b/>
          <w:bCs/>
          <w:rtl/>
          <w:lang w:eastAsia="de-DE"/>
        </w:rPr>
        <w:t>וְנִכְרְתָה</w:t>
      </w:r>
      <w:r w:rsidRPr="001D73EC">
        <w:rPr>
          <w:rFonts w:eastAsia="Times New Roman" w:cs="Times New Roman"/>
          <w:rtl/>
          <w:lang w:eastAsia="de-DE"/>
        </w:rPr>
        <w:t xml:space="preserve"> </w:t>
      </w:r>
      <w:r w:rsidRPr="001D73EC">
        <w:rPr>
          <w:rFonts w:eastAsia="Times New Roman" w:cs="Times New Roman"/>
          <w:lang w:eastAsia="de-DE"/>
        </w:rPr>
        <w:t xml:space="preserve">(Nifal Perfekt von </w:t>
      </w:r>
      <w:r w:rsidRPr="001D73EC">
        <w:rPr>
          <w:rFonts w:eastAsia="Times New Roman" w:cs="Times New Roman"/>
          <w:b/>
          <w:bCs/>
          <w:rtl/>
          <w:lang w:eastAsia="de-DE"/>
        </w:rPr>
        <w:t>כרת</w:t>
      </w:r>
      <w:r w:rsidRPr="001D73EC">
        <w:rPr>
          <w:rFonts w:eastAsia="Times New Roman" w:cs="Times New Roman"/>
          <w:lang w:eastAsia="de-DE"/>
        </w:rPr>
        <w:t xml:space="preserve">), </w:t>
      </w:r>
      <w:r w:rsidRPr="001D73EC">
        <w:rPr>
          <w:rFonts w:eastAsia="Times New Roman" w:cs="Times New Roman"/>
          <w:b/>
          <w:bCs/>
          <w:rtl/>
          <w:lang w:eastAsia="de-DE"/>
        </w:rPr>
        <w:t>הַנֶּפֶשׁ הַהִוא</w:t>
      </w:r>
      <w:r w:rsidRPr="001D73EC">
        <w:rPr>
          <w:rFonts w:eastAsia="Times New Roman" w:cs="Times New Roman"/>
          <w:rtl/>
          <w:lang w:eastAsia="de-DE"/>
        </w:rPr>
        <w:t xml:space="preserve"> </w:t>
      </w:r>
      <w:r w:rsidRPr="001D73EC">
        <w:rPr>
          <w:rFonts w:eastAsia="Times New Roman" w:cs="Times New Roman"/>
          <w:lang w:eastAsia="de-DE"/>
        </w:rPr>
        <w:t xml:space="preserve">(„jene Person") mit Demonstrativpronomen, </w:t>
      </w:r>
      <w:r w:rsidRPr="001D73EC">
        <w:rPr>
          <w:rFonts w:eastAsia="Times New Roman" w:cs="Times New Roman"/>
          <w:b/>
          <w:bCs/>
          <w:rtl/>
          <w:lang w:eastAsia="de-DE"/>
        </w:rPr>
        <w:t>מִתּוֹךְ הַקָּהָל</w:t>
      </w:r>
      <w:r w:rsidRPr="001D73EC">
        <w:rPr>
          <w:rFonts w:eastAsia="Times New Roman" w:cs="Times New Roman"/>
          <w:rtl/>
          <w:lang w:eastAsia="de-DE"/>
        </w:rPr>
        <w:t xml:space="preserve"> </w:t>
      </w:r>
      <w:r w:rsidRPr="001D73EC">
        <w:rPr>
          <w:rFonts w:eastAsia="Times New Roman" w:cs="Times New Roman"/>
          <w:lang w:eastAsia="de-DE"/>
        </w:rPr>
        <w:t xml:space="preserve">(„aus der Mitte der Versammlung") – </w:t>
      </w:r>
      <w:r w:rsidRPr="001D73EC">
        <w:rPr>
          <w:rFonts w:eastAsia="Times New Roman" w:cs="Times New Roman"/>
          <w:b/>
          <w:bCs/>
          <w:rtl/>
          <w:lang w:eastAsia="de-DE"/>
        </w:rPr>
        <w:t>קָהָל</w:t>
      </w:r>
      <w:r w:rsidRPr="001D73EC">
        <w:rPr>
          <w:rFonts w:eastAsia="Times New Roman" w:cs="Times New Roman"/>
          <w:rtl/>
          <w:lang w:eastAsia="de-DE"/>
        </w:rPr>
        <w:t xml:space="preserve"> </w:t>
      </w:r>
      <w:r w:rsidRPr="001D73EC">
        <w:rPr>
          <w:rFonts w:eastAsia="Times New Roman" w:cs="Times New Roman"/>
          <w:lang w:eastAsia="de-DE"/>
        </w:rPr>
        <w:t xml:space="preserve">„Versammlung, Gemeinde" statt </w:t>
      </w:r>
      <w:r w:rsidRPr="001D73EC">
        <w:rPr>
          <w:rFonts w:eastAsia="Times New Roman" w:cs="Times New Roman"/>
          <w:b/>
          <w:bCs/>
          <w:rtl/>
          <w:lang w:eastAsia="de-DE"/>
        </w:rPr>
        <w:t>יִשְׂרָאֵל</w:t>
      </w:r>
      <w:r w:rsidRPr="001D73EC">
        <w:rPr>
          <w:rFonts w:eastAsia="Times New Roman" w:cs="Times New Roman"/>
          <w:rtl/>
          <w:lang w:eastAsia="de-DE"/>
        </w:rPr>
        <w:t xml:space="preserve"> </w:t>
      </w:r>
      <w:r w:rsidRPr="001D73EC">
        <w:rPr>
          <w:rFonts w:eastAsia="Times New Roman" w:cs="Times New Roman"/>
          <w:lang w:eastAsia="de-DE"/>
        </w:rPr>
        <w:t>in Vers 13.</w:t>
      </w:r>
    </w:p>
    <w:p w14:paraId="0459A78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lastRenderedPageBreak/>
        <w:t xml:space="preserve">Die kausale Begründung </w:t>
      </w:r>
      <w:r w:rsidRPr="001D73EC">
        <w:rPr>
          <w:rFonts w:eastAsia="Times New Roman" w:cs="Times New Roman"/>
          <w:b/>
          <w:bCs/>
          <w:rtl/>
          <w:lang w:eastAsia="de-DE"/>
        </w:rPr>
        <w:t>כִּי אֶת־מִקְדַּשׁ יְהוָה טִמֵּא</w:t>
      </w:r>
      <w:r w:rsidRPr="001D73EC">
        <w:rPr>
          <w:rFonts w:eastAsia="Times New Roman" w:cs="Times New Roman"/>
          <w:rtl/>
          <w:lang w:eastAsia="de-DE"/>
        </w:rPr>
        <w:t xml:space="preserve"> </w:t>
      </w:r>
      <w:r w:rsidRPr="001D73EC">
        <w:rPr>
          <w:rFonts w:eastAsia="Times New Roman" w:cs="Times New Roman"/>
          <w:lang w:eastAsia="de-DE"/>
        </w:rPr>
        <w:t xml:space="preserve">besteht aus </w:t>
      </w:r>
      <w:r w:rsidRPr="001D73EC">
        <w:rPr>
          <w:rFonts w:eastAsia="Times New Roman" w:cs="Times New Roman"/>
          <w:b/>
          <w:bCs/>
          <w:rtl/>
          <w:lang w:eastAsia="de-DE"/>
        </w:rPr>
        <w:t>כִּי</w:t>
      </w:r>
      <w:r w:rsidRPr="001D73EC">
        <w:rPr>
          <w:rFonts w:eastAsia="Times New Roman" w:cs="Times New Roman"/>
          <w:lang w:eastAsia="de-DE"/>
        </w:rPr>
        <w:t xml:space="preserve">, Objekt </w:t>
      </w:r>
      <w:r w:rsidRPr="001D73EC">
        <w:rPr>
          <w:rFonts w:eastAsia="Times New Roman" w:cs="Times New Roman"/>
          <w:b/>
          <w:bCs/>
          <w:rtl/>
          <w:lang w:eastAsia="de-DE"/>
        </w:rPr>
        <w:t>אֶת־מִקְדַּשׁ יְהוָה</w:t>
      </w:r>
      <w:r w:rsidRPr="001D73EC">
        <w:rPr>
          <w:rFonts w:eastAsia="Times New Roman" w:cs="Times New Roman"/>
          <w:rtl/>
          <w:lang w:eastAsia="de-DE"/>
        </w:rPr>
        <w:t xml:space="preserve"> </w:t>
      </w:r>
      <w:r w:rsidRPr="001D73EC">
        <w:rPr>
          <w:rFonts w:eastAsia="Times New Roman" w:cs="Times New Roman"/>
          <w:lang w:eastAsia="de-DE"/>
        </w:rPr>
        <w:t xml:space="preserve">(„das Heiligtum JHWHs", Constructus-Verbindung) und Verb </w:t>
      </w:r>
      <w:r w:rsidRPr="001D73EC">
        <w:rPr>
          <w:rFonts w:eastAsia="Times New Roman" w:cs="Times New Roman"/>
          <w:b/>
          <w:bCs/>
          <w:rtl/>
          <w:lang w:eastAsia="de-DE"/>
        </w:rPr>
        <w:t>טִמֵּא</w:t>
      </w:r>
      <w:r w:rsidRPr="001D73EC">
        <w:rPr>
          <w:rFonts w:eastAsia="Times New Roman" w:cs="Times New Roman"/>
          <w:rtl/>
          <w:lang w:eastAsia="de-DE"/>
        </w:rPr>
        <w:t xml:space="preserve"> </w:t>
      </w:r>
      <w:r w:rsidRPr="001D73EC">
        <w:rPr>
          <w:rFonts w:eastAsia="Times New Roman" w:cs="Times New Roman"/>
          <w:lang w:eastAsia="de-DE"/>
        </w:rPr>
        <w:t xml:space="preserve">(Piel Perfekt von </w:t>
      </w:r>
      <w:r w:rsidRPr="001D73EC">
        <w:rPr>
          <w:rFonts w:eastAsia="Times New Roman" w:cs="Times New Roman"/>
          <w:b/>
          <w:bCs/>
          <w:rtl/>
          <w:lang w:eastAsia="de-DE"/>
        </w:rPr>
        <w:t>טמא</w:t>
      </w:r>
      <w:r w:rsidRPr="001D73EC">
        <w:rPr>
          <w:rFonts w:eastAsia="Times New Roman" w:cs="Times New Roman"/>
          <w:lang w:eastAsia="de-DE"/>
        </w:rPr>
        <w:t xml:space="preserve">, „er hat verunreinigt"). Die Erklärung </w:t>
      </w:r>
      <w:r w:rsidRPr="001D73EC">
        <w:rPr>
          <w:rFonts w:eastAsia="Times New Roman" w:cs="Times New Roman"/>
          <w:b/>
          <w:bCs/>
          <w:rtl/>
          <w:lang w:eastAsia="de-DE"/>
        </w:rPr>
        <w:t>מֵי נִדָּה לֹא־זֹרַק עָלָיו</w:t>
      </w:r>
      <w:r w:rsidRPr="001D73EC">
        <w:rPr>
          <w:rFonts w:eastAsia="Times New Roman" w:cs="Times New Roman"/>
          <w:rtl/>
          <w:lang w:eastAsia="de-DE"/>
        </w:rPr>
        <w:t xml:space="preserve"> </w:t>
      </w:r>
      <w:r w:rsidRPr="001D73EC">
        <w:rPr>
          <w:rFonts w:eastAsia="Times New Roman" w:cs="Times New Roman"/>
          <w:lang w:eastAsia="de-DE"/>
        </w:rPr>
        <w:t xml:space="preserve">wiederholt fast wörtlich Vers 13. Die abschließende Feststellung </w:t>
      </w:r>
      <w:r w:rsidRPr="001D73EC">
        <w:rPr>
          <w:rFonts w:eastAsia="Times New Roman" w:cs="Times New Roman"/>
          <w:b/>
          <w:bCs/>
          <w:rtl/>
          <w:lang w:eastAsia="de-DE"/>
        </w:rPr>
        <w:t>טָמֵא הוּא</w:t>
      </w:r>
      <w:r w:rsidRPr="001D73EC">
        <w:rPr>
          <w:rFonts w:eastAsia="Times New Roman" w:cs="Times New Roman"/>
          <w:rtl/>
          <w:lang w:eastAsia="de-DE"/>
        </w:rPr>
        <w:t xml:space="preserve"> </w:t>
      </w:r>
      <w:r w:rsidRPr="001D73EC">
        <w:rPr>
          <w:rFonts w:eastAsia="Times New Roman" w:cs="Times New Roman"/>
          <w:lang w:eastAsia="de-DE"/>
        </w:rPr>
        <w:t>(„er ist unrein") mit emphatischem Pronomen ist endgültig.</w:t>
      </w:r>
    </w:p>
    <w:p w14:paraId="7E7BDA00" w14:textId="2F9CE558"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C229FD">
        <w:t>übersetzt „</w:t>
      </w:r>
      <w:r w:rsidR="00C229FD" w:rsidRPr="00C229FD">
        <w:rPr>
          <w:b/>
          <w:bCs/>
          <w:rtl/>
        </w:rPr>
        <w:t>מִקְדַּשׁ</w:t>
      </w:r>
      <w:r w:rsidR="00C229FD">
        <w:rPr>
          <w:rtl/>
        </w:rPr>
        <w:t xml:space="preserve"> </w:t>
      </w:r>
      <w:r w:rsidR="00C229FD" w:rsidRPr="00C229FD">
        <w:rPr>
          <w:b/>
          <w:bCs/>
          <w:rtl/>
        </w:rPr>
        <w:t>יְהוָה</w:t>
      </w:r>
      <w:r w:rsidR="00C229FD">
        <w:t>" (das Heiligtum des Ewigen) mit „τὰ ἅγια κυρίου" (die heiligen Dinge des Herrn), was pluralisch und allgemeiner ist.</w:t>
      </w:r>
    </w:p>
    <w:p w14:paraId="70671F8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einen Hauptsatz mit Subjekt (erweitert durch Relativsatz) und negative Bedingung, gefolgt von einem Hauptsatz mit passivem Verb (Nifal), Subjekt (mit Demonstrativpronomen) und Präpositionalphrase. Ein kausaler Nebensatz mit Objekt (Constructus-Verbindung) und Verb folgt. Eine erklärende Aussage mit Subjekt (Constructus-Verbindung), negiertem Verb und Präpositionalphrase sowie eine nominale Feststellung mit Adjektiv und Pronomen schließen ab. Insgesamt gibt es zwei Nebensätze: einen Relativsatz und einen Kausalsatz.</w:t>
      </w:r>
    </w:p>
    <w:p w14:paraId="3F3206EA"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wiederholt eindringlich die Drohung aus Vers 13: Wer die Reinigung verweigert, gefährdet das Heiligtum und wird ausgerottet – die Gemeinschaft muss geschützt werden.</w:t>
      </w:r>
    </w:p>
    <w:p w14:paraId="7D401CBD"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19,21</w:t>
      </w:r>
    </w:p>
    <w:p w14:paraId="1F9B87C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וְהָיְתָ֥ה לָּהֶ֖ם לְחֻקַּ֣ת עוֹלָ֑ם וּמַזֵּ֤ה מֵֽי־הַנִּדָּה֙ יְכַבֵּ֣ס בְּגָדָ֔יו וְהַנֹּגֵ֨עַ֙ בְּמֵ֣י הַנִּדָּ֔ה יִטְמָ֖א עַד־הָעָֽרֶב׃</w:t>
      </w:r>
    </w:p>
    <w:p w14:paraId="2CB4C6B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es soll ihnen zur ewigen Satzung sein. Und wer das Reinigungswasser sprengt, soll seine Kleider waschen; und wer das Reinigungswasser berührt, wird bis zum Abend unrein sein.</w:t>
      </w:r>
    </w:p>
    <w:p w14:paraId="2E384A20"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2B20C6FE">
          <v:rect id="_x0000_i1665" style="width:0;height:1.5pt" o:hralign="center" o:hrstd="t" o:hr="t" fillcolor="#a0a0a0" stroked="f"/>
        </w:pict>
      </w:r>
    </w:p>
    <w:p w14:paraId="408079D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וְהָיְתָה</w:t>
      </w:r>
      <w:r w:rsidRPr="001D73EC">
        <w:rPr>
          <w:rFonts w:eastAsia="Times New Roman" w:cs="Times New Roman"/>
          <w:rtl/>
          <w:lang w:eastAsia="de-DE"/>
        </w:rPr>
        <w:t xml:space="preserve"> </w:t>
      </w:r>
      <w:r w:rsidRPr="001D73EC">
        <w:rPr>
          <w:rFonts w:eastAsia="Times New Roman" w:cs="Times New Roman"/>
          <w:lang w:eastAsia="de-DE"/>
        </w:rPr>
        <w:t xml:space="preserve">(Waw + Qal Perfekt, 3. f. sg. von </w:t>
      </w:r>
      <w:r w:rsidRPr="001D73EC">
        <w:rPr>
          <w:rFonts w:eastAsia="Times New Roman" w:cs="Times New Roman"/>
          <w:b/>
          <w:bCs/>
          <w:rtl/>
          <w:lang w:eastAsia="de-DE"/>
        </w:rPr>
        <w:t>היה</w:t>
      </w:r>
      <w:r w:rsidRPr="001D73EC">
        <w:rPr>
          <w:rFonts w:eastAsia="Times New Roman" w:cs="Times New Roman"/>
          <w:lang w:eastAsia="de-DE"/>
        </w:rPr>
        <w:t xml:space="preserve">, „und es soll sein") leitet die Perpetuitätsformel ein. </w:t>
      </w:r>
      <w:r w:rsidRPr="001D73EC">
        <w:rPr>
          <w:rFonts w:eastAsia="Times New Roman" w:cs="Times New Roman"/>
          <w:b/>
          <w:bCs/>
          <w:rtl/>
          <w:lang w:eastAsia="de-DE"/>
        </w:rPr>
        <w:t>לָּהֶם</w:t>
      </w:r>
      <w:r w:rsidRPr="001D73EC">
        <w:rPr>
          <w:rFonts w:eastAsia="Times New Roman" w:cs="Times New Roman"/>
          <w:rtl/>
          <w:lang w:eastAsia="de-DE"/>
        </w:rPr>
        <w:t xml:space="preserve"> </w:t>
      </w:r>
      <w:r w:rsidRPr="001D73EC">
        <w:rPr>
          <w:rFonts w:eastAsia="Times New Roman" w:cs="Times New Roman"/>
          <w:lang w:eastAsia="de-DE"/>
        </w:rPr>
        <w:t xml:space="preserve">(„ihnen") mit Suffix 3. m. pl. </w:t>
      </w:r>
      <w:r w:rsidRPr="001D73EC">
        <w:rPr>
          <w:rFonts w:eastAsia="Times New Roman" w:cs="Times New Roman"/>
          <w:b/>
          <w:bCs/>
          <w:rtl/>
          <w:lang w:eastAsia="de-DE"/>
        </w:rPr>
        <w:t>לְחֻקַּת עוֹלָם</w:t>
      </w:r>
      <w:r w:rsidRPr="001D73EC">
        <w:rPr>
          <w:rFonts w:eastAsia="Times New Roman" w:cs="Times New Roman"/>
          <w:rtl/>
          <w:lang w:eastAsia="de-DE"/>
        </w:rPr>
        <w:t xml:space="preserve"> </w:t>
      </w:r>
      <w:r w:rsidRPr="001D73EC">
        <w:rPr>
          <w:rFonts w:eastAsia="Times New Roman" w:cs="Times New Roman"/>
          <w:lang w:eastAsia="de-DE"/>
        </w:rPr>
        <w:t>(„zur ewigen Satzung", Constructus-Verbindung) schließt das gesamte Ritual ab.</w:t>
      </w:r>
    </w:p>
    <w:p w14:paraId="1BCE8971"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partizipiale Subjekt </w:t>
      </w:r>
      <w:r w:rsidRPr="001D73EC">
        <w:rPr>
          <w:rFonts w:eastAsia="Times New Roman" w:cs="Times New Roman"/>
          <w:b/>
          <w:bCs/>
          <w:rtl/>
          <w:lang w:eastAsia="de-DE"/>
        </w:rPr>
        <w:t>וּמַזֵּה מֵי־הַנִּדָּה</w:t>
      </w:r>
      <w:r w:rsidRPr="001D73EC">
        <w:rPr>
          <w:rFonts w:eastAsia="Times New Roman" w:cs="Times New Roman"/>
          <w:rtl/>
          <w:lang w:eastAsia="de-DE"/>
        </w:rPr>
        <w:t xml:space="preserve"> </w:t>
      </w:r>
      <w:r w:rsidRPr="001D73EC">
        <w:rPr>
          <w:rFonts w:eastAsia="Times New Roman" w:cs="Times New Roman"/>
          <w:lang w:eastAsia="de-DE"/>
        </w:rPr>
        <w:t xml:space="preserve">besteht aus </w:t>
      </w:r>
      <w:r w:rsidRPr="001D73EC">
        <w:rPr>
          <w:rFonts w:eastAsia="Times New Roman" w:cs="Times New Roman"/>
          <w:b/>
          <w:bCs/>
          <w:rtl/>
          <w:lang w:eastAsia="de-DE"/>
        </w:rPr>
        <w:t>מַזֵּה</w:t>
      </w:r>
      <w:r w:rsidRPr="001D73EC">
        <w:rPr>
          <w:rFonts w:eastAsia="Times New Roman" w:cs="Times New Roman"/>
          <w:rtl/>
          <w:lang w:eastAsia="de-DE"/>
        </w:rPr>
        <w:t xml:space="preserve"> </w:t>
      </w:r>
      <w:r w:rsidRPr="001D73EC">
        <w:rPr>
          <w:rFonts w:eastAsia="Times New Roman" w:cs="Times New Roman"/>
          <w:lang w:eastAsia="de-DE"/>
        </w:rPr>
        <w:t xml:space="preserve">(Hifil Partizip von </w:t>
      </w:r>
      <w:r w:rsidRPr="001D73EC">
        <w:rPr>
          <w:rFonts w:eastAsia="Times New Roman" w:cs="Times New Roman"/>
          <w:b/>
          <w:bCs/>
          <w:rtl/>
          <w:lang w:eastAsia="de-DE"/>
        </w:rPr>
        <w:t>נזה</w:t>
      </w:r>
      <w:r w:rsidRPr="001D73EC">
        <w:rPr>
          <w:rFonts w:eastAsia="Times New Roman" w:cs="Times New Roman"/>
          <w:rtl/>
          <w:lang w:eastAsia="de-DE"/>
        </w:rPr>
        <w:t xml:space="preserve"> </w:t>
      </w:r>
      <w:r w:rsidRPr="001D73EC">
        <w:rPr>
          <w:rFonts w:eastAsia="Times New Roman" w:cs="Times New Roman"/>
          <w:lang w:eastAsia="de-DE"/>
        </w:rPr>
        <w:t xml:space="preserve">„sprengen" mit Artikel, „der Sprengende") und Objekt </w:t>
      </w:r>
      <w:r w:rsidRPr="001D73EC">
        <w:rPr>
          <w:rFonts w:eastAsia="Times New Roman" w:cs="Times New Roman"/>
          <w:b/>
          <w:bCs/>
          <w:rtl/>
          <w:lang w:eastAsia="de-DE"/>
        </w:rPr>
        <w:t>מֵי־הַנִּדָּה</w:t>
      </w:r>
      <w:r w:rsidRPr="001D73EC">
        <w:rPr>
          <w:rFonts w:eastAsia="Times New Roman" w:cs="Times New Roman"/>
          <w:rtl/>
          <w:lang w:eastAsia="de-DE"/>
        </w:rPr>
        <w:t xml:space="preserve"> </w:t>
      </w:r>
      <w:r w:rsidRPr="001D73EC">
        <w:rPr>
          <w:rFonts w:eastAsia="Times New Roman" w:cs="Times New Roman"/>
          <w:lang w:eastAsia="de-DE"/>
        </w:rPr>
        <w:t xml:space="preserve">(„das Reinigungswasser", Constructus-Verbindung mit Artikel). Das Verb </w:t>
      </w:r>
      <w:r w:rsidRPr="001D73EC">
        <w:rPr>
          <w:rFonts w:eastAsia="Times New Roman" w:cs="Times New Roman"/>
          <w:b/>
          <w:bCs/>
          <w:rtl/>
          <w:lang w:eastAsia="de-DE"/>
        </w:rPr>
        <w:t>יְכַבֵּס בְּגָדָיו</w:t>
      </w:r>
      <w:r w:rsidRPr="001D73EC">
        <w:rPr>
          <w:rFonts w:eastAsia="Times New Roman" w:cs="Times New Roman"/>
          <w:rtl/>
          <w:lang w:eastAsia="de-DE"/>
        </w:rPr>
        <w:t xml:space="preserve"> </w:t>
      </w:r>
      <w:r w:rsidRPr="001D73EC">
        <w:rPr>
          <w:rFonts w:eastAsia="Times New Roman" w:cs="Times New Roman"/>
          <w:lang w:eastAsia="de-DE"/>
        </w:rPr>
        <w:t>(„er soll seine Kleider waschen") gibt die Verpflichtung an – selbst der Sprengende muss sich reinigen, ein weiteres Paradoxon.</w:t>
      </w:r>
    </w:p>
    <w:p w14:paraId="5D7B7C35"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zweite partizipiale Subjekt </w:t>
      </w:r>
      <w:r w:rsidRPr="001D73EC">
        <w:rPr>
          <w:rFonts w:eastAsia="Times New Roman" w:cs="Times New Roman"/>
          <w:b/>
          <w:bCs/>
          <w:rtl/>
          <w:lang w:eastAsia="de-DE"/>
        </w:rPr>
        <w:t>וְהַנֹּגֵעַ בְּמֵי הַנִּדָּה</w:t>
      </w:r>
      <w:r w:rsidRPr="001D73EC">
        <w:rPr>
          <w:rFonts w:eastAsia="Times New Roman" w:cs="Times New Roman"/>
          <w:rtl/>
          <w:lang w:eastAsia="de-DE"/>
        </w:rPr>
        <w:t xml:space="preserve"> </w:t>
      </w:r>
      <w:r w:rsidRPr="001D73EC">
        <w:rPr>
          <w:rFonts w:eastAsia="Times New Roman" w:cs="Times New Roman"/>
          <w:lang w:eastAsia="de-DE"/>
        </w:rPr>
        <w:t xml:space="preserve">(„und der Berührende das Reinigungswasser") wird unrein: </w:t>
      </w:r>
      <w:r w:rsidRPr="001D73EC">
        <w:rPr>
          <w:rFonts w:eastAsia="Times New Roman" w:cs="Times New Roman"/>
          <w:b/>
          <w:bCs/>
          <w:rtl/>
          <w:lang w:eastAsia="de-DE"/>
        </w:rPr>
        <w:t>יִטְמָא עַד־הָעָרֶב</w:t>
      </w:r>
      <w:r w:rsidRPr="001D73EC">
        <w:rPr>
          <w:rFonts w:eastAsia="Times New Roman" w:cs="Times New Roman"/>
          <w:rtl/>
          <w:lang w:eastAsia="de-DE"/>
        </w:rPr>
        <w:t xml:space="preserve"> </w:t>
      </w:r>
      <w:r w:rsidRPr="001D73EC">
        <w:rPr>
          <w:rFonts w:eastAsia="Times New Roman" w:cs="Times New Roman"/>
          <w:lang w:eastAsia="de-DE"/>
        </w:rPr>
        <w:t>(„er wird unrein bis zum Abend"). Das Reinigungswasser selbst macht unrein, wenn man es berührt – das zentrale Paradoxon des ganzen Kapitels: Was reinigt, verunreinigt zugleich.</w:t>
      </w:r>
    </w:p>
    <w:p w14:paraId="6558D405"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 und bewahrt die paradoxe Struktur.</w:t>
      </w:r>
    </w:p>
    <w:p w14:paraId="1BCAAAB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Satzstruktur zeigt drei koordinierte Hauptsätze: Der erste mit Verb, Präpositionalphrase und abschließender Formel (Constructus-Verbindung); der zweite mit partizipialem Subjekt (mit Objekt als Constructus-Verbindung), Verb und Objekt; der dritte mit partizipialem </w:t>
      </w:r>
      <w:r w:rsidRPr="001D73EC">
        <w:rPr>
          <w:rFonts w:eastAsia="Times New Roman" w:cs="Times New Roman"/>
          <w:lang w:eastAsia="de-DE"/>
        </w:rPr>
        <w:lastRenderedPageBreak/>
        <w:t>Subjekt (mit Präpositionalphrase als Constructus-Verbindung), Verb und Zeitangabe. Es gibt keine Nebensätze.</w:t>
      </w:r>
    </w:p>
    <w:p w14:paraId="74B49135" w14:textId="2AC63D89" w:rsidR="009970B6" w:rsidRDefault="001D73EC" w:rsidP="009970B6">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schließt mit dem größten Paradoxon: Selbst die Herstellung und Verwendung des Reinigungsmittels macht unrein – die Reinigung erfordert Unreinheit.</w:t>
      </w:r>
    </w:p>
    <w:p w14:paraId="4D6C5EF6" w14:textId="77777777" w:rsidR="009970B6" w:rsidRDefault="009970B6" w:rsidP="00B00345">
      <w:pPr>
        <w:pStyle w:val="berschrift4"/>
      </w:pPr>
      <w:r>
        <w:rPr>
          <w:rStyle w:val="Fett"/>
          <w:b w:val="0"/>
          <w:bCs w:val="0"/>
        </w:rPr>
        <w:t>Exkurs: Das Paradoxon der roten Kuh und 2 Korinther 5,21</w:t>
      </w:r>
    </w:p>
    <w:p w14:paraId="5183D4D0" w14:textId="77777777" w:rsidR="009970B6" w:rsidRDefault="009970B6" w:rsidP="009970B6">
      <w:pPr>
        <w:pStyle w:val="whitespace-normal"/>
      </w:pPr>
      <w:r>
        <w:rPr>
          <w:rStyle w:val="Fett"/>
        </w:rPr>
        <w:t>Das zentrale Paradoxon von Numeri 19:</w:t>
      </w:r>
    </w:p>
    <w:p w14:paraId="49881A69" w14:textId="77777777" w:rsidR="009970B6" w:rsidRDefault="009970B6" w:rsidP="009970B6">
      <w:pPr>
        <w:pStyle w:val="whitespace-normal"/>
      </w:pPr>
      <w:r>
        <w:rPr>
          <w:rStyle w:val="Fett"/>
        </w:rPr>
        <w:t>Was reinigt, macht unrein</w:t>
      </w:r>
      <w:r>
        <w:br/>
      </w:r>
      <w:r>
        <w:rPr>
          <w:rStyle w:val="Fett"/>
        </w:rPr>
        <w:t>Was heilig ist, verunreinigt die Berührenden</w:t>
      </w:r>
      <w:r>
        <w:br/>
      </w:r>
      <w:r>
        <w:rPr>
          <w:rStyle w:val="Fett"/>
        </w:rPr>
        <w:t>Die Herstellung der Reinheit erfordert Unreinheit</w:t>
      </w:r>
    </w:p>
    <w:p w14:paraId="056A08BD" w14:textId="77777777" w:rsidR="009970B6" w:rsidRDefault="00F329DD" w:rsidP="009970B6">
      <w:r>
        <w:pict w14:anchorId="60A68525">
          <v:rect id="_x0000_i1666" style="width:0;height:1.5pt" o:hralign="center" o:hrstd="t" o:hr="t" fillcolor="#a0a0a0" stroked="f"/>
        </w:pict>
      </w:r>
    </w:p>
    <w:p w14:paraId="4FDDDEED" w14:textId="08464744" w:rsidR="009970B6" w:rsidRDefault="009970B6" w:rsidP="009970B6">
      <w:pPr>
        <w:pStyle w:val="berschrift3"/>
        <w:rPr>
          <w:rStyle w:val="Fett"/>
          <w:b w:val="0"/>
          <w:bCs w:val="0"/>
        </w:rPr>
      </w:pPr>
      <w:r>
        <w:rPr>
          <w:rStyle w:val="Fett"/>
          <w:b w:val="0"/>
          <w:bCs w:val="0"/>
        </w:rPr>
        <w:t>1. Das Paradoxon im Detail</w:t>
      </w:r>
    </w:p>
    <w:p w14:paraId="0B28B121" w14:textId="2F23C8C0" w:rsidR="00045675" w:rsidRDefault="00045675" w:rsidP="00045675"/>
    <w:tbl>
      <w:tblPr>
        <w:tblStyle w:val="Tabellenraster"/>
        <w:tblW w:w="4994" w:type="pct"/>
        <w:tblLook w:val="04A0" w:firstRow="1" w:lastRow="0" w:firstColumn="1" w:lastColumn="0" w:noHBand="0" w:noVBand="1"/>
      </w:tblPr>
      <w:tblGrid>
        <w:gridCol w:w="2547"/>
        <w:gridCol w:w="3486"/>
        <w:gridCol w:w="3018"/>
      </w:tblGrid>
      <w:tr w:rsidR="00045675" w14:paraId="6EC56D85" w14:textId="77777777" w:rsidTr="00045675">
        <w:tc>
          <w:tcPr>
            <w:tcW w:w="1407" w:type="pct"/>
          </w:tcPr>
          <w:p w14:paraId="53337FF8" w14:textId="7346A8B9" w:rsidR="00045675" w:rsidRDefault="00045675" w:rsidP="00045675">
            <w:r>
              <w:rPr>
                <w:rFonts w:cs="Times New Roman"/>
                <w:b/>
                <w:bCs/>
              </w:rPr>
              <w:t>Person/Gegenstand</w:t>
            </w:r>
          </w:p>
        </w:tc>
        <w:tc>
          <w:tcPr>
            <w:tcW w:w="1926" w:type="pct"/>
            <w:vAlign w:val="center"/>
          </w:tcPr>
          <w:p w14:paraId="79C1285A" w14:textId="09B8D113" w:rsidR="00045675" w:rsidRDefault="00045675" w:rsidP="00045675">
            <w:r>
              <w:rPr>
                <w:b/>
                <w:bCs/>
              </w:rPr>
              <w:t>Funktion</w:t>
            </w:r>
          </w:p>
        </w:tc>
        <w:tc>
          <w:tcPr>
            <w:tcW w:w="1667" w:type="pct"/>
            <w:vAlign w:val="center"/>
          </w:tcPr>
          <w:p w14:paraId="02360E0B" w14:textId="12396A2C" w:rsidR="00045675" w:rsidRDefault="00045675" w:rsidP="00045675">
            <w:r>
              <w:rPr>
                <w:b/>
                <w:bCs/>
              </w:rPr>
              <w:t>Zustand danach</w:t>
            </w:r>
          </w:p>
        </w:tc>
      </w:tr>
      <w:tr w:rsidR="00045675" w14:paraId="035F8638" w14:textId="77777777" w:rsidTr="00045675">
        <w:tc>
          <w:tcPr>
            <w:tcW w:w="1407" w:type="pct"/>
            <w:vAlign w:val="center"/>
          </w:tcPr>
          <w:p w14:paraId="270789FF" w14:textId="76111A4A" w:rsidR="00045675" w:rsidRDefault="00045675" w:rsidP="00045675">
            <w:r>
              <w:rPr>
                <w:rStyle w:val="Fett"/>
              </w:rPr>
              <w:t>Eleasar</w:t>
            </w:r>
            <w:r>
              <w:t xml:space="preserve"> (V. 3-4)</w:t>
            </w:r>
          </w:p>
        </w:tc>
        <w:tc>
          <w:tcPr>
            <w:tcW w:w="1926" w:type="pct"/>
            <w:vAlign w:val="center"/>
          </w:tcPr>
          <w:p w14:paraId="6745BDCC" w14:textId="092A7947" w:rsidR="00045675" w:rsidRDefault="00045675" w:rsidP="00045675">
            <w:r>
              <w:t>Überwacht Schlachtung + Sprengung</w:t>
            </w:r>
          </w:p>
        </w:tc>
        <w:tc>
          <w:tcPr>
            <w:tcW w:w="1667" w:type="pct"/>
            <w:vAlign w:val="center"/>
          </w:tcPr>
          <w:p w14:paraId="798F23DB" w14:textId="3D7B5DF4" w:rsidR="00045675" w:rsidRDefault="00045675" w:rsidP="00045675">
            <w:r>
              <w:rPr>
                <w:rStyle w:val="Fett"/>
              </w:rPr>
              <w:t>Unrein</w:t>
            </w:r>
            <w:r>
              <w:t xml:space="preserve"> bis Abend (V. 7)</w:t>
            </w:r>
          </w:p>
        </w:tc>
      </w:tr>
      <w:tr w:rsidR="00045675" w14:paraId="3529378F" w14:textId="77777777" w:rsidTr="00045675">
        <w:tc>
          <w:tcPr>
            <w:tcW w:w="1407" w:type="pct"/>
            <w:vAlign w:val="center"/>
          </w:tcPr>
          <w:p w14:paraId="6A8C47A2" w14:textId="77777777" w:rsidR="00045675" w:rsidRDefault="00045675" w:rsidP="00045675">
            <w:r>
              <w:rPr>
                <w:rStyle w:val="Fett"/>
              </w:rPr>
              <w:t>Der Verbrenner</w:t>
            </w:r>
            <w:r>
              <w:t xml:space="preserve"> </w:t>
            </w:r>
          </w:p>
          <w:p w14:paraId="02ACB6FD" w14:textId="63CDD5B4" w:rsidR="00045675" w:rsidRDefault="00045675" w:rsidP="00045675">
            <w:r>
              <w:t>(V. 5+8)</w:t>
            </w:r>
          </w:p>
        </w:tc>
        <w:tc>
          <w:tcPr>
            <w:tcW w:w="1926" w:type="pct"/>
            <w:vAlign w:val="center"/>
          </w:tcPr>
          <w:p w14:paraId="36F4B491" w14:textId="0C56FE40" w:rsidR="00045675" w:rsidRDefault="00045675" w:rsidP="00045675">
            <w:r>
              <w:t>Verbrennt die Kuh</w:t>
            </w:r>
          </w:p>
        </w:tc>
        <w:tc>
          <w:tcPr>
            <w:tcW w:w="1667" w:type="pct"/>
            <w:vAlign w:val="center"/>
          </w:tcPr>
          <w:p w14:paraId="64C00268" w14:textId="006490CE" w:rsidR="00045675" w:rsidRDefault="00045675" w:rsidP="00045675">
            <w:r>
              <w:rPr>
                <w:rStyle w:val="Fett"/>
              </w:rPr>
              <w:t>Unrein</w:t>
            </w:r>
            <w:r>
              <w:t xml:space="preserve"> bis Abend (V. 8)</w:t>
            </w:r>
          </w:p>
        </w:tc>
      </w:tr>
      <w:tr w:rsidR="00045675" w14:paraId="52EABD24" w14:textId="77777777" w:rsidTr="00045675">
        <w:tc>
          <w:tcPr>
            <w:tcW w:w="1407" w:type="pct"/>
            <w:vAlign w:val="center"/>
          </w:tcPr>
          <w:p w14:paraId="30BB3FE2" w14:textId="77777777" w:rsidR="00045675" w:rsidRDefault="00045675" w:rsidP="00045675">
            <w:r>
              <w:rPr>
                <w:rStyle w:val="Fett"/>
              </w:rPr>
              <w:t>Der Sammler</w:t>
            </w:r>
            <w:r>
              <w:t xml:space="preserve"> </w:t>
            </w:r>
          </w:p>
          <w:p w14:paraId="09453262" w14:textId="22A50B9D" w:rsidR="00045675" w:rsidRDefault="00045675" w:rsidP="00045675">
            <w:r>
              <w:t>(V. 9-10)</w:t>
            </w:r>
          </w:p>
        </w:tc>
        <w:tc>
          <w:tcPr>
            <w:tcW w:w="1926" w:type="pct"/>
            <w:vAlign w:val="center"/>
          </w:tcPr>
          <w:p w14:paraId="3EAA8D61" w14:textId="6EAFEACD" w:rsidR="00045675" w:rsidRDefault="00045675" w:rsidP="00045675">
            <w:r>
              <w:t xml:space="preserve">Sammelt die </w:t>
            </w:r>
            <w:r>
              <w:rPr>
                <w:rStyle w:val="Fett"/>
              </w:rPr>
              <w:t>heilige</w:t>
            </w:r>
            <w:r>
              <w:t xml:space="preserve"> Asche</w:t>
            </w:r>
          </w:p>
        </w:tc>
        <w:tc>
          <w:tcPr>
            <w:tcW w:w="1667" w:type="pct"/>
            <w:vAlign w:val="center"/>
          </w:tcPr>
          <w:p w14:paraId="2FFE896C" w14:textId="6DCFBDD2" w:rsidR="00045675" w:rsidRDefault="00045675" w:rsidP="00045675">
            <w:r>
              <w:rPr>
                <w:rStyle w:val="Fett"/>
              </w:rPr>
              <w:t>Unrein</w:t>
            </w:r>
            <w:r>
              <w:t xml:space="preserve"> bis Abend (V. 10)</w:t>
            </w:r>
          </w:p>
        </w:tc>
      </w:tr>
      <w:tr w:rsidR="00045675" w14:paraId="04D20FD2" w14:textId="77777777" w:rsidTr="00045675">
        <w:tc>
          <w:tcPr>
            <w:tcW w:w="1407" w:type="pct"/>
            <w:vAlign w:val="center"/>
          </w:tcPr>
          <w:p w14:paraId="6768946F" w14:textId="77777777" w:rsidR="00045675" w:rsidRDefault="00045675" w:rsidP="00045675">
            <w:r>
              <w:rPr>
                <w:rStyle w:val="Fett"/>
              </w:rPr>
              <w:t>Der Sprengende</w:t>
            </w:r>
            <w:r>
              <w:t xml:space="preserve"> </w:t>
            </w:r>
          </w:p>
          <w:p w14:paraId="1266DDCE" w14:textId="1A8E7D46" w:rsidR="00045675" w:rsidRDefault="00045675" w:rsidP="00045675">
            <w:r>
              <w:t>(V. 21a)</w:t>
            </w:r>
          </w:p>
        </w:tc>
        <w:tc>
          <w:tcPr>
            <w:tcW w:w="1926" w:type="pct"/>
            <w:vAlign w:val="center"/>
          </w:tcPr>
          <w:p w14:paraId="0F57E581" w14:textId="2A631710" w:rsidR="00045675" w:rsidRDefault="00045675" w:rsidP="00045675">
            <w:r>
              <w:t xml:space="preserve">Sprengt das </w:t>
            </w:r>
            <w:r>
              <w:rPr>
                <w:rStyle w:val="Fett"/>
              </w:rPr>
              <w:t>Reinigungswasser</w:t>
            </w:r>
          </w:p>
        </w:tc>
        <w:tc>
          <w:tcPr>
            <w:tcW w:w="1667" w:type="pct"/>
            <w:vAlign w:val="center"/>
          </w:tcPr>
          <w:p w14:paraId="3A0C4C26" w14:textId="36787B42" w:rsidR="00045675" w:rsidRDefault="00045675" w:rsidP="00045675">
            <w:r>
              <w:t>Muss Kleider waschen (V. 21a)</w:t>
            </w:r>
          </w:p>
        </w:tc>
      </w:tr>
      <w:tr w:rsidR="00045675" w14:paraId="212E8811" w14:textId="77777777" w:rsidTr="00045675">
        <w:tc>
          <w:tcPr>
            <w:tcW w:w="1407" w:type="pct"/>
            <w:vAlign w:val="center"/>
          </w:tcPr>
          <w:p w14:paraId="09B59FBE" w14:textId="471D6087" w:rsidR="00045675" w:rsidRDefault="00045675" w:rsidP="00045675">
            <w:r>
              <w:rPr>
                <w:rStyle w:val="Fett"/>
              </w:rPr>
              <w:t>Das Reinigungswasser</w:t>
            </w:r>
            <w:r>
              <w:t xml:space="preserve"> (V. 21b)</w:t>
            </w:r>
          </w:p>
        </w:tc>
        <w:tc>
          <w:tcPr>
            <w:tcW w:w="1926" w:type="pct"/>
            <w:vAlign w:val="center"/>
          </w:tcPr>
          <w:p w14:paraId="17BDF532" w14:textId="4D0CF4CE" w:rsidR="00045675" w:rsidRDefault="00045675" w:rsidP="00045675">
            <w:r>
              <w:rPr>
                <w:rStyle w:val="Fett"/>
              </w:rPr>
              <w:t>Reinigt</w:t>
            </w:r>
            <w:r>
              <w:t xml:space="preserve"> von Todesunreinheit</w:t>
            </w:r>
          </w:p>
        </w:tc>
        <w:tc>
          <w:tcPr>
            <w:tcW w:w="1667" w:type="pct"/>
            <w:vAlign w:val="center"/>
          </w:tcPr>
          <w:p w14:paraId="6D744957" w14:textId="051873E8" w:rsidR="00045675" w:rsidRDefault="00045675" w:rsidP="00045675">
            <w:r>
              <w:rPr>
                <w:rStyle w:val="Fett"/>
              </w:rPr>
              <w:t>Macht unrein</w:t>
            </w:r>
            <w:r>
              <w:t xml:space="preserve"> bei Berührung (V. 21b)</w:t>
            </w:r>
          </w:p>
        </w:tc>
      </w:tr>
    </w:tbl>
    <w:p w14:paraId="77850B93" w14:textId="77777777" w:rsidR="009970B6" w:rsidRDefault="009970B6" w:rsidP="009970B6">
      <w:pPr>
        <w:pStyle w:val="whitespace-normal"/>
      </w:pPr>
      <w:r>
        <w:rPr>
          <w:rStyle w:val="Fett"/>
        </w:rPr>
        <w:t>→ ALLE Beteiligten werden unrein, obwohl sie das Reinigungsmittel herstellen!</w:t>
      </w:r>
    </w:p>
    <w:p w14:paraId="461A0901" w14:textId="77777777" w:rsidR="009970B6" w:rsidRDefault="00F329DD" w:rsidP="009970B6">
      <w:r>
        <w:pict w14:anchorId="6F4EBB4C">
          <v:rect id="_x0000_i1667" style="width:0;height:1.5pt" o:hralign="center" o:hrstd="t" o:hr="t" fillcolor="#a0a0a0" stroked="f"/>
        </w:pict>
      </w:r>
    </w:p>
    <w:p w14:paraId="6FD835EA" w14:textId="77777777" w:rsidR="009970B6" w:rsidRDefault="009970B6" w:rsidP="009970B6">
      <w:pPr>
        <w:pStyle w:val="berschrift3"/>
      </w:pPr>
      <w:r>
        <w:rPr>
          <w:rStyle w:val="Fett"/>
          <w:b w:val="0"/>
          <w:bCs w:val="0"/>
        </w:rPr>
        <w:t>2. Die theologische Spannung</w:t>
      </w:r>
    </w:p>
    <w:p w14:paraId="549947F2" w14:textId="77777777" w:rsidR="009970B6" w:rsidRDefault="009970B6" w:rsidP="009970B6">
      <w:pPr>
        <w:pStyle w:val="whitespace-normal"/>
      </w:pPr>
      <w:r>
        <w:rPr>
          <w:rStyle w:val="Fett"/>
        </w:rPr>
        <w:t>Die Frage:</w:t>
      </w:r>
    </w:p>
    <w:p w14:paraId="1769E529" w14:textId="77777777" w:rsidR="009970B6" w:rsidRDefault="009970B6" w:rsidP="009970B6">
      <w:pPr>
        <w:pStyle w:val="whitespace-normal"/>
      </w:pPr>
      <w:r>
        <w:rPr>
          <w:rStyle w:val="Fett"/>
        </w:rPr>
        <w:t xml:space="preserve">Wie kann etwas HEILIGES (die Asche ist "für JHWH", V. 9: </w:t>
      </w:r>
      <w:r>
        <w:rPr>
          <w:rStyle w:val="Fett"/>
          <w:rtl/>
        </w:rPr>
        <w:t>חַטָּאת הִוא</w:t>
      </w:r>
      <w:r>
        <w:rPr>
          <w:rStyle w:val="Fett"/>
        </w:rPr>
        <w:t>) zugleich UNREIN MACHEN?</w:t>
      </w:r>
    </w:p>
    <w:p w14:paraId="54890BFE" w14:textId="77777777" w:rsidR="009970B6" w:rsidRDefault="009970B6" w:rsidP="009970B6">
      <w:pPr>
        <w:pStyle w:val="whitespace-normal"/>
      </w:pPr>
      <w:r>
        <w:rPr>
          <w:rStyle w:val="Fett"/>
        </w:rPr>
        <w:t>Normalerweise im AT:</w:t>
      </w:r>
    </w:p>
    <w:p w14:paraId="289DEEA9" w14:textId="77777777" w:rsidR="009970B6" w:rsidRDefault="009970B6" w:rsidP="00B358B7">
      <w:pPr>
        <w:pStyle w:val="whitespace-normal"/>
        <w:numPr>
          <w:ilvl w:val="0"/>
          <w:numId w:val="173"/>
        </w:numPr>
      </w:pPr>
      <w:r>
        <w:rPr>
          <w:rStyle w:val="Fett"/>
        </w:rPr>
        <w:t>Heilig</w:t>
      </w:r>
      <w:r>
        <w:t xml:space="preserve"> ≠ </w:t>
      </w:r>
      <w:r>
        <w:rPr>
          <w:rStyle w:val="Fett"/>
        </w:rPr>
        <w:t>Unrein</w:t>
      </w:r>
      <w:r>
        <w:t xml:space="preserve"> (totaler Gegensatz!)</w:t>
      </w:r>
    </w:p>
    <w:p w14:paraId="4DD985A3" w14:textId="77777777" w:rsidR="009970B6" w:rsidRDefault="009970B6" w:rsidP="00B358B7">
      <w:pPr>
        <w:pStyle w:val="whitespace-normal"/>
        <w:numPr>
          <w:ilvl w:val="0"/>
          <w:numId w:val="173"/>
        </w:numPr>
      </w:pPr>
      <w:r>
        <w:rPr>
          <w:rStyle w:val="Fett"/>
        </w:rPr>
        <w:t>Heiliges</w:t>
      </w:r>
      <w:r>
        <w:t xml:space="preserve"> macht </w:t>
      </w:r>
      <w:r>
        <w:rPr>
          <w:rStyle w:val="Fett"/>
        </w:rPr>
        <w:t>heilig</w:t>
      </w:r>
      <w:r>
        <w:t xml:space="preserve"> (Ex 29,37: "alles, was den Altar berührt, wird heilig")</w:t>
      </w:r>
    </w:p>
    <w:p w14:paraId="2CE8998E" w14:textId="77777777" w:rsidR="009970B6" w:rsidRDefault="009970B6" w:rsidP="00B358B7">
      <w:pPr>
        <w:pStyle w:val="whitespace-normal"/>
        <w:numPr>
          <w:ilvl w:val="0"/>
          <w:numId w:val="173"/>
        </w:numPr>
      </w:pPr>
      <w:r>
        <w:rPr>
          <w:rStyle w:val="Fett"/>
        </w:rPr>
        <w:t>Unreines</w:t>
      </w:r>
      <w:r>
        <w:t xml:space="preserve"> macht </w:t>
      </w:r>
      <w:r>
        <w:rPr>
          <w:rStyle w:val="Fett"/>
        </w:rPr>
        <w:t>unrein</w:t>
      </w:r>
      <w:r>
        <w:t xml:space="preserve"> (Lev 11: Unreinheit ist ansteckend)</w:t>
      </w:r>
    </w:p>
    <w:p w14:paraId="7257A02B" w14:textId="77777777" w:rsidR="009970B6" w:rsidRDefault="009970B6" w:rsidP="009970B6">
      <w:pPr>
        <w:pStyle w:val="whitespace-normal"/>
      </w:pPr>
      <w:r>
        <w:rPr>
          <w:rStyle w:val="Fett"/>
        </w:rPr>
        <w:t>Aber in Num 19:</w:t>
      </w:r>
    </w:p>
    <w:p w14:paraId="26A88BAE" w14:textId="77777777" w:rsidR="009970B6" w:rsidRDefault="009970B6" w:rsidP="00B358B7">
      <w:pPr>
        <w:pStyle w:val="whitespace-normal"/>
        <w:numPr>
          <w:ilvl w:val="0"/>
          <w:numId w:val="174"/>
        </w:numPr>
      </w:pPr>
      <w:r>
        <w:rPr>
          <w:rStyle w:val="Fett"/>
        </w:rPr>
        <w:lastRenderedPageBreak/>
        <w:t>Heilige Asche</w:t>
      </w:r>
      <w:r>
        <w:t xml:space="preserve"> (V. 9: </w:t>
      </w:r>
      <w:r>
        <w:rPr>
          <w:rtl/>
        </w:rPr>
        <w:t>חַטָּאת</w:t>
      </w:r>
      <w:r>
        <w:t xml:space="preserve"> = Sündopfer = heilig!)</w:t>
      </w:r>
    </w:p>
    <w:p w14:paraId="2B036801" w14:textId="77777777" w:rsidR="009970B6" w:rsidRDefault="009970B6" w:rsidP="00B358B7">
      <w:pPr>
        <w:pStyle w:val="whitespace-normal"/>
        <w:numPr>
          <w:ilvl w:val="0"/>
          <w:numId w:val="174"/>
        </w:numPr>
      </w:pPr>
      <w:r>
        <w:t xml:space="preserve">→ macht die </w:t>
      </w:r>
      <w:r>
        <w:rPr>
          <w:rStyle w:val="Fett"/>
        </w:rPr>
        <w:t>Hersteller</w:t>
      </w:r>
      <w:r>
        <w:t xml:space="preserve"> unrein (V. 7-8, 10)</w:t>
      </w:r>
    </w:p>
    <w:p w14:paraId="3CB9C761" w14:textId="77777777" w:rsidR="009970B6" w:rsidRDefault="009970B6" w:rsidP="00B358B7">
      <w:pPr>
        <w:pStyle w:val="whitespace-normal"/>
        <w:numPr>
          <w:ilvl w:val="0"/>
          <w:numId w:val="174"/>
        </w:numPr>
      </w:pPr>
      <w:r>
        <w:t xml:space="preserve">→ macht die </w:t>
      </w:r>
      <w:r>
        <w:rPr>
          <w:rStyle w:val="Fett"/>
        </w:rPr>
        <w:t>Benutzer</w:t>
      </w:r>
      <w:r>
        <w:t xml:space="preserve"> unrein (V. 21)</w:t>
      </w:r>
    </w:p>
    <w:p w14:paraId="3E22A5FC" w14:textId="77777777" w:rsidR="009970B6" w:rsidRDefault="009970B6" w:rsidP="00B358B7">
      <w:pPr>
        <w:pStyle w:val="whitespace-normal"/>
        <w:numPr>
          <w:ilvl w:val="0"/>
          <w:numId w:val="174"/>
        </w:numPr>
      </w:pPr>
      <w:r>
        <w:t xml:space="preserve">→ </w:t>
      </w:r>
      <w:r>
        <w:rPr>
          <w:rStyle w:val="Fett"/>
        </w:rPr>
        <w:t>reinigt</w:t>
      </w:r>
      <w:r>
        <w:t xml:space="preserve"> aber von </w:t>
      </w:r>
      <w:r>
        <w:rPr>
          <w:rStyle w:val="Fett"/>
        </w:rPr>
        <w:t>Todesunreinheit</w:t>
      </w:r>
      <w:r>
        <w:t xml:space="preserve"> (V. 12, 19)!</w:t>
      </w:r>
    </w:p>
    <w:p w14:paraId="524694E7" w14:textId="77777777" w:rsidR="009970B6" w:rsidRDefault="009970B6" w:rsidP="009970B6">
      <w:pPr>
        <w:pStyle w:val="whitespace-normal"/>
      </w:pPr>
      <w:r>
        <w:rPr>
          <w:rStyle w:val="Fett"/>
        </w:rPr>
        <w:t>→ PARADOXON: Heilig + Unrein + Reinigend zugleich!</w:t>
      </w:r>
    </w:p>
    <w:p w14:paraId="78CB5262" w14:textId="77777777" w:rsidR="009970B6" w:rsidRDefault="00F329DD" w:rsidP="009970B6">
      <w:r>
        <w:pict w14:anchorId="3A74512A">
          <v:rect id="_x0000_i1668" style="width:0;height:1.5pt" o:hralign="center" o:hrstd="t" o:hr="t" fillcolor="#a0a0a0" stroked="f"/>
        </w:pict>
      </w:r>
    </w:p>
    <w:p w14:paraId="2B246C18" w14:textId="77777777" w:rsidR="009970B6" w:rsidRDefault="009970B6" w:rsidP="009970B6">
      <w:pPr>
        <w:pStyle w:val="berschrift3"/>
      </w:pPr>
      <w:r>
        <w:rPr>
          <w:rStyle w:val="Fett"/>
          <w:b w:val="0"/>
          <w:bCs w:val="0"/>
        </w:rPr>
        <w:t>3. Die rabbinische Ratlosigkeit</w:t>
      </w:r>
    </w:p>
    <w:p w14:paraId="2F539D2D" w14:textId="77777777" w:rsidR="009970B6" w:rsidRDefault="009970B6" w:rsidP="009970B6">
      <w:pPr>
        <w:pStyle w:val="whitespace-normal"/>
      </w:pPr>
      <w:r>
        <w:rPr>
          <w:rStyle w:val="Fett"/>
        </w:rPr>
        <w:t>Numeri Rabba 19,8:</w:t>
      </w:r>
    </w:p>
    <w:p w14:paraId="35C193A0" w14:textId="77777777" w:rsidR="009970B6" w:rsidRDefault="009970B6" w:rsidP="009970B6">
      <w:pPr>
        <w:pStyle w:val="whitespace-normal"/>
      </w:pPr>
      <w:r>
        <w:t xml:space="preserve">"Rabbi Yochanan ben Zakkai sagte zu seinen Schülern: 'Bei eurem Leben! Der Tote macht nicht unrein, und das Wasser macht nicht rein. Vielmehr ist es </w:t>
      </w:r>
      <w:r>
        <w:rPr>
          <w:rStyle w:val="Fett"/>
        </w:rPr>
        <w:t>ein Dekret des Königs aller Könige</w:t>
      </w:r>
      <w:r>
        <w:t xml:space="preserve">. Der Heilige, gepriesen sei Er, hat gesagt: </w:t>
      </w:r>
      <w:r>
        <w:rPr>
          <w:rStyle w:val="Fett"/>
        </w:rPr>
        <w:t>Ich habe eine Satzung (</w:t>
      </w:r>
      <w:r>
        <w:rPr>
          <w:rStyle w:val="Fett"/>
          <w:rtl/>
        </w:rPr>
        <w:t>חֻקָּה</w:t>
      </w:r>
      <w:r>
        <w:rPr>
          <w:rStyle w:val="Fett"/>
        </w:rPr>
        <w:t>) erlassen, ein Dekret verordnet; du darfst mein Dekret nicht übertreten.</w:t>
      </w:r>
      <w:r>
        <w:t>'"</w:t>
      </w:r>
    </w:p>
    <w:p w14:paraId="6C5DA5B1" w14:textId="77777777" w:rsidR="00AA1547" w:rsidRDefault="009970B6" w:rsidP="00AA1547">
      <w:pPr>
        <w:pStyle w:val="KeinLeerraum"/>
        <w:rPr>
          <w:rStyle w:val="Fett"/>
        </w:rPr>
      </w:pPr>
      <w:r>
        <w:rPr>
          <w:rStyle w:val="Fett"/>
        </w:rPr>
        <w:t xml:space="preserve">→ Die Rabbinen geben zu: </w:t>
      </w:r>
    </w:p>
    <w:p w14:paraId="5E493784" w14:textId="004DA810" w:rsidR="009970B6" w:rsidRDefault="009970B6" w:rsidP="00AA1547">
      <w:pPr>
        <w:pStyle w:val="KeinLeerraum"/>
      </w:pPr>
      <w:r>
        <w:rPr>
          <w:rStyle w:val="Fett"/>
        </w:rPr>
        <w:t xml:space="preserve">Wir verstehen es NICHT – es ist ein </w:t>
      </w:r>
      <w:r>
        <w:rPr>
          <w:rStyle w:val="Fett"/>
          <w:rtl/>
        </w:rPr>
        <w:t xml:space="preserve">חֻקָּה </w:t>
      </w:r>
      <w:r>
        <w:rPr>
          <w:rStyle w:val="Fett"/>
        </w:rPr>
        <w:t>(unerklärliches Gesetz)!</w:t>
      </w:r>
    </w:p>
    <w:p w14:paraId="39E3AD5A" w14:textId="77777777" w:rsidR="009970B6" w:rsidRDefault="009970B6" w:rsidP="009970B6">
      <w:pPr>
        <w:pStyle w:val="whitespace-normal"/>
      </w:pPr>
      <w:r>
        <w:rPr>
          <w:rStyle w:val="Fett"/>
        </w:rPr>
        <w:t>König Salomo (Kohelet Rabba 7,23):</w:t>
      </w:r>
    </w:p>
    <w:p w14:paraId="6E7E2CD6" w14:textId="77777777" w:rsidR="009970B6" w:rsidRDefault="009970B6" w:rsidP="009970B6">
      <w:pPr>
        <w:pStyle w:val="whitespace-normal"/>
      </w:pPr>
      <w:r>
        <w:t xml:space="preserve">"Salomo sagte: 'Alles habe ich verstanden, </w:t>
      </w:r>
      <w:r>
        <w:rPr>
          <w:rStyle w:val="Fett"/>
        </w:rPr>
        <w:t>aber das Kapitel über die rote Kuh</w:t>
      </w:r>
      <w:r>
        <w:t xml:space="preserve"> – ich dachte, ich könnte weise werden, </w:t>
      </w:r>
      <w:r>
        <w:rPr>
          <w:rStyle w:val="Fett"/>
        </w:rPr>
        <w:t>aber es ist fern von mir</w:t>
      </w:r>
      <w:r>
        <w:t>'" (vgl. Koh 7,23)</w:t>
      </w:r>
    </w:p>
    <w:p w14:paraId="798AF118" w14:textId="77777777" w:rsidR="009970B6" w:rsidRDefault="009970B6" w:rsidP="009970B6">
      <w:pPr>
        <w:pStyle w:val="whitespace-normal"/>
      </w:pPr>
      <w:r>
        <w:rPr>
          <w:rStyle w:val="Fett"/>
        </w:rPr>
        <w:t>→ Selbst der weiseste Mensch (Salomo) versteht es nicht!</w:t>
      </w:r>
    </w:p>
    <w:p w14:paraId="62502086" w14:textId="77777777" w:rsidR="009970B6" w:rsidRDefault="00F329DD" w:rsidP="009970B6">
      <w:r>
        <w:pict w14:anchorId="1B5A8A28">
          <v:rect id="_x0000_i1669" style="width:0;height:1.5pt" o:hralign="center" o:hrstd="t" o:hr="t" fillcolor="#a0a0a0" stroked="f"/>
        </w:pict>
      </w:r>
    </w:p>
    <w:p w14:paraId="36FCA9CB" w14:textId="77777777" w:rsidR="009970B6" w:rsidRDefault="009970B6" w:rsidP="009970B6">
      <w:pPr>
        <w:pStyle w:val="berschrift3"/>
      </w:pPr>
      <w:r>
        <w:rPr>
          <w:rStyle w:val="Fett"/>
          <w:b w:val="0"/>
          <w:bCs w:val="0"/>
        </w:rPr>
        <w:t>4. Die NT-Lösung: 2 Korinther 5,21</w:t>
      </w:r>
    </w:p>
    <w:p w14:paraId="160AA6EB" w14:textId="77777777" w:rsidR="009970B6" w:rsidRDefault="009970B6" w:rsidP="009970B6">
      <w:pPr>
        <w:pStyle w:val="whitespace-normal"/>
      </w:pPr>
      <w:r>
        <w:rPr>
          <w:rStyle w:val="Fett"/>
        </w:rPr>
        <w:t>Griechisch:</w:t>
      </w:r>
    </w:p>
    <w:p w14:paraId="31B23481" w14:textId="77777777" w:rsidR="009970B6" w:rsidRDefault="009970B6" w:rsidP="009970B6">
      <w:pPr>
        <w:pStyle w:val="whitespace-normal"/>
      </w:pPr>
      <w:r>
        <w:t xml:space="preserve">τὸν μὴ γνόντα ἁμαρτίαν </w:t>
      </w:r>
      <w:r>
        <w:rPr>
          <w:rStyle w:val="Fett"/>
        </w:rPr>
        <w:t>ὑπὲρ ἡμῶν ἁμαρτίαν ἐποίησεν</w:t>
      </w:r>
      <w:r>
        <w:t>, ἵνα ἡμεῖς γενώμεθα δικαιοσύνη θεοῦ ἐν αὐτῷ</w:t>
      </w:r>
    </w:p>
    <w:p w14:paraId="1C94F602" w14:textId="77777777" w:rsidR="009970B6" w:rsidRDefault="009970B6" w:rsidP="009970B6">
      <w:pPr>
        <w:pStyle w:val="whitespace-normal"/>
      </w:pPr>
      <w:r>
        <w:rPr>
          <w:rStyle w:val="Fett"/>
        </w:rPr>
        <w:t>Deutsch:</w:t>
      </w:r>
    </w:p>
    <w:p w14:paraId="19AE6699" w14:textId="77777777" w:rsidR="009970B6" w:rsidRDefault="009970B6" w:rsidP="009970B6">
      <w:pPr>
        <w:pStyle w:val="whitespace-normal"/>
      </w:pPr>
      <w:r>
        <w:t xml:space="preserve">"Den, der </w:t>
      </w:r>
      <w:r>
        <w:rPr>
          <w:rStyle w:val="Fett"/>
        </w:rPr>
        <w:t>Sünde nicht kannte</w:t>
      </w:r>
      <w:r>
        <w:t xml:space="preserve">, hat er </w:t>
      </w:r>
      <w:r>
        <w:rPr>
          <w:rStyle w:val="Fett"/>
        </w:rPr>
        <w:t>für uns zur Sünde gemacht</w:t>
      </w:r>
      <w:r>
        <w:t>, damit wir Gottes Gerechtigkeit würden in ihm"</w:t>
      </w:r>
    </w:p>
    <w:p w14:paraId="52A2B414" w14:textId="77777777" w:rsidR="009970B6" w:rsidRDefault="00F329DD" w:rsidP="009970B6">
      <w:r>
        <w:pict w14:anchorId="7B72E876">
          <v:rect id="_x0000_i1670" style="width:0;height:1.5pt" o:hralign="center" o:hrstd="t" o:hr="t" fillcolor="#a0a0a0" stroked="f"/>
        </w:pict>
      </w:r>
    </w:p>
    <w:p w14:paraId="2FF4AAF1" w14:textId="5EC67307" w:rsidR="00AA1547" w:rsidRDefault="009970B6" w:rsidP="00AA1547">
      <w:pPr>
        <w:pStyle w:val="berschrift3"/>
        <w:rPr>
          <w:rStyle w:val="Fett"/>
          <w:b w:val="0"/>
          <w:bCs w:val="0"/>
        </w:rPr>
      </w:pPr>
      <w:r>
        <w:rPr>
          <w:rStyle w:val="Fett"/>
          <w:b w:val="0"/>
          <w:bCs w:val="0"/>
        </w:rPr>
        <w:t>Die Parallele:</w:t>
      </w:r>
    </w:p>
    <w:tbl>
      <w:tblPr>
        <w:tblStyle w:val="Tabellenraster"/>
        <w:tblW w:w="4994" w:type="pct"/>
        <w:tblLook w:val="04A0" w:firstRow="1" w:lastRow="0" w:firstColumn="1" w:lastColumn="0" w:noHBand="0" w:noVBand="1"/>
      </w:tblPr>
      <w:tblGrid>
        <w:gridCol w:w="3964"/>
        <w:gridCol w:w="5087"/>
      </w:tblGrid>
      <w:tr w:rsidR="00AA1547" w14:paraId="580AC671" w14:textId="77777777" w:rsidTr="00AA1547">
        <w:tc>
          <w:tcPr>
            <w:tcW w:w="2190" w:type="pct"/>
            <w:vAlign w:val="center"/>
          </w:tcPr>
          <w:p w14:paraId="3E172346" w14:textId="4F243AE6" w:rsidR="00AA1547" w:rsidRDefault="00AA1547" w:rsidP="00AA1547">
            <w:r>
              <w:rPr>
                <w:rFonts w:cs="Times New Roman"/>
                <w:b/>
                <w:bCs/>
              </w:rPr>
              <w:t>Rote Kuh (Num 19)</w:t>
            </w:r>
          </w:p>
        </w:tc>
        <w:tc>
          <w:tcPr>
            <w:tcW w:w="2810" w:type="pct"/>
            <w:vAlign w:val="center"/>
          </w:tcPr>
          <w:p w14:paraId="18B0F745" w14:textId="3BF46A70" w:rsidR="00AA1547" w:rsidRDefault="00AA1547" w:rsidP="00AA1547">
            <w:r>
              <w:rPr>
                <w:b/>
                <w:bCs/>
              </w:rPr>
              <w:t>Christus (2 Kor 5,21)</w:t>
            </w:r>
          </w:p>
        </w:tc>
      </w:tr>
      <w:tr w:rsidR="00AA1547" w14:paraId="75DC71BF" w14:textId="77777777" w:rsidTr="00AA1547">
        <w:tc>
          <w:tcPr>
            <w:tcW w:w="2190" w:type="pct"/>
            <w:vAlign w:val="center"/>
          </w:tcPr>
          <w:p w14:paraId="306BB59E" w14:textId="5445260A" w:rsidR="00AA1547" w:rsidRDefault="00AA1547" w:rsidP="00AA1547">
            <w:r>
              <w:rPr>
                <w:rStyle w:val="Fett"/>
              </w:rPr>
              <w:t>Makellos</w:t>
            </w:r>
            <w:r>
              <w:t xml:space="preserve"> (</w:t>
            </w:r>
            <w:r>
              <w:rPr>
                <w:rtl/>
              </w:rPr>
              <w:t>תְּמִימָה</w:t>
            </w:r>
            <w:r>
              <w:t>, V. 2)</w:t>
            </w:r>
          </w:p>
        </w:tc>
        <w:tc>
          <w:tcPr>
            <w:tcW w:w="2810" w:type="pct"/>
            <w:vAlign w:val="center"/>
          </w:tcPr>
          <w:p w14:paraId="2F233CB3" w14:textId="7BD13AF3" w:rsidR="00AA1547" w:rsidRDefault="00AA1547" w:rsidP="00AA1547">
            <w:r>
              <w:rPr>
                <w:rStyle w:val="Fett"/>
              </w:rPr>
              <w:t>Kannte Sünde nicht</w:t>
            </w:r>
            <w:r>
              <w:t xml:space="preserve"> (μὴ γνόντα ἁμαρτίαν)</w:t>
            </w:r>
          </w:p>
        </w:tc>
      </w:tr>
      <w:tr w:rsidR="00AA1547" w14:paraId="2F94248C" w14:textId="77777777" w:rsidTr="00AA1547">
        <w:tc>
          <w:tcPr>
            <w:tcW w:w="2190" w:type="pct"/>
            <w:vAlign w:val="center"/>
          </w:tcPr>
          <w:p w14:paraId="25049A9C" w14:textId="68D543DE" w:rsidR="00AA1547" w:rsidRDefault="00AA1547" w:rsidP="00AA1547">
            <w:r>
              <w:rPr>
                <w:rStyle w:val="Fett"/>
              </w:rPr>
              <w:t>Heilig</w:t>
            </w:r>
            <w:r>
              <w:t xml:space="preserve"> (</w:t>
            </w:r>
            <w:r>
              <w:rPr>
                <w:rtl/>
              </w:rPr>
              <w:t>חַטָּאת</w:t>
            </w:r>
            <w:r>
              <w:t>, V. 9)</w:t>
            </w:r>
          </w:p>
        </w:tc>
        <w:tc>
          <w:tcPr>
            <w:tcW w:w="2810" w:type="pct"/>
            <w:vAlign w:val="center"/>
          </w:tcPr>
          <w:p w14:paraId="3CAC0DA4" w14:textId="589989DE" w:rsidR="00AA1547" w:rsidRDefault="00AA1547" w:rsidP="00AA1547">
            <w:r>
              <w:rPr>
                <w:rStyle w:val="Fett"/>
              </w:rPr>
              <w:t>Heilig</w:t>
            </w:r>
            <w:r>
              <w:t xml:space="preserve"> (Hebr 7,26: ἅγιος)</w:t>
            </w:r>
          </w:p>
        </w:tc>
      </w:tr>
      <w:tr w:rsidR="00AA1547" w14:paraId="5DD2BE9F" w14:textId="77777777" w:rsidTr="00AA1547">
        <w:tc>
          <w:tcPr>
            <w:tcW w:w="2190" w:type="pct"/>
            <w:vAlign w:val="center"/>
          </w:tcPr>
          <w:p w14:paraId="614ACBC6" w14:textId="154AEAE9" w:rsidR="00AA1547" w:rsidRDefault="00AA1547" w:rsidP="00AA1547">
            <w:r>
              <w:rPr>
                <w:rStyle w:val="Fett"/>
              </w:rPr>
              <w:t>Wird verbrannt</w:t>
            </w:r>
            <w:r>
              <w:t xml:space="preserve"> → Asche</w:t>
            </w:r>
          </w:p>
        </w:tc>
        <w:tc>
          <w:tcPr>
            <w:tcW w:w="2810" w:type="pct"/>
            <w:vAlign w:val="center"/>
          </w:tcPr>
          <w:p w14:paraId="0D785E9F" w14:textId="76229747" w:rsidR="00AA1547" w:rsidRDefault="00AA1547" w:rsidP="00AA1547">
            <w:r>
              <w:rPr>
                <w:rStyle w:val="Fett"/>
              </w:rPr>
              <w:t>Stirbt</w:t>
            </w:r>
            <w:r>
              <w:t xml:space="preserve"> → wird "zur Sünde"</w:t>
            </w:r>
          </w:p>
        </w:tc>
      </w:tr>
      <w:tr w:rsidR="00AA1547" w14:paraId="6511F4E8" w14:textId="77777777" w:rsidTr="00AA1547">
        <w:tc>
          <w:tcPr>
            <w:tcW w:w="2190" w:type="pct"/>
            <w:vAlign w:val="center"/>
          </w:tcPr>
          <w:p w14:paraId="78E7B0D3" w14:textId="28126632" w:rsidR="00AA1547" w:rsidRDefault="00AA1547" w:rsidP="00AA1547">
            <w:r>
              <w:rPr>
                <w:rStyle w:val="Fett"/>
              </w:rPr>
              <w:t>Asche macht unrein</w:t>
            </w:r>
            <w:r>
              <w:t xml:space="preserve"> (V. 7-8, 10, 21)</w:t>
            </w:r>
          </w:p>
        </w:tc>
        <w:tc>
          <w:tcPr>
            <w:tcW w:w="2810" w:type="pct"/>
            <w:vAlign w:val="center"/>
          </w:tcPr>
          <w:p w14:paraId="6B779166" w14:textId="64E7591D" w:rsidR="00AA1547" w:rsidRDefault="00AA1547" w:rsidP="00AA1547">
            <w:r>
              <w:rPr>
                <w:rStyle w:val="Fett"/>
              </w:rPr>
              <w:t>Wurde zur Sünde gemacht</w:t>
            </w:r>
            <w:r>
              <w:t xml:space="preserve"> (ἁμαρτίαν ἐποίησεν)</w:t>
            </w:r>
          </w:p>
        </w:tc>
      </w:tr>
      <w:tr w:rsidR="00AA1547" w14:paraId="1B396122" w14:textId="77777777" w:rsidTr="00AA1547">
        <w:tc>
          <w:tcPr>
            <w:tcW w:w="2190" w:type="pct"/>
            <w:vAlign w:val="center"/>
          </w:tcPr>
          <w:p w14:paraId="7CED560C" w14:textId="1A529C48" w:rsidR="00AA1547" w:rsidRDefault="00AA1547" w:rsidP="00AA1547">
            <w:r>
              <w:rPr>
                <w:rStyle w:val="Fett"/>
              </w:rPr>
              <w:lastRenderedPageBreak/>
              <w:t>Aber reinigt</w:t>
            </w:r>
            <w:r>
              <w:t xml:space="preserve"> von Todesunreinheit (V. 12, 19)</w:t>
            </w:r>
          </w:p>
        </w:tc>
        <w:tc>
          <w:tcPr>
            <w:tcW w:w="2810" w:type="pct"/>
            <w:vAlign w:val="center"/>
          </w:tcPr>
          <w:p w14:paraId="380B0E89" w14:textId="6E423B76" w:rsidR="00AA1547" w:rsidRDefault="00AA1547" w:rsidP="00AA1547">
            <w:r>
              <w:rPr>
                <w:rStyle w:val="Fett"/>
              </w:rPr>
              <w:t>Aber macht gerecht</w:t>
            </w:r>
            <w:r>
              <w:t xml:space="preserve"> (δικαιοσύνη θεοῦ)</w:t>
            </w:r>
          </w:p>
        </w:tc>
      </w:tr>
    </w:tbl>
    <w:p w14:paraId="69893E4B" w14:textId="77777777" w:rsidR="009970B6" w:rsidRDefault="009970B6" w:rsidP="009970B6">
      <w:pPr>
        <w:pStyle w:val="whitespace-normal"/>
      </w:pPr>
      <w:r>
        <w:rPr>
          <w:rStyle w:val="Fett"/>
        </w:rPr>
        <w:t>→ Das Paradoxon der roten Kuh wird in Christus erfüllt und erklärt!</w:t>
      </w:r>
    </w:p>
    <w:p w14:paraId="5127B776" w14:textId="77777777" w:rsidR="009970B6" w:rsidRDefault="00F329DD" w:rsidP="009970B6">
      <w:r>
        <w:pict w14:anchorId="024CDF19">
          <v:rect id="_x0000_i1671" style="width:0;height:1.5pt" o:hralign="center" o:hrstd="t" o:hr="t" fillcolor="#a0a0a0" stroked="f"/>
        </w:pict>
      </w:r>
    </w:p>
    <w:p w14:paraId="7BB5F923" w14:textId="77777777" w:rsidR="009970B6" w:rsidRDefault="009970B6" w:rsidP="009970B6">
      <w:pPr>
        <w:pStyle w:val="berschrift3"/>
      </w:pPr>
      <w:r>
        <w:rPr>
          <w:rStyle w:val="Fett"/>
          <w:b w:val="0"/>
          <w:bCs w:val="0"/>
        </w:rPr>
        <w:t>5. Die theologische Lösung</w:t>
      </w:r>
    </w:p>
    <w:p w14:paraId="0F23BAAA" w14:textId="77777777" w:rsidR="009970B6" w:rsidRDefault="009970B6" w:rsidP="009970B6">
      <w:pPr>
        <w:pStyle w:val="whitespace-normal"/>
      </w:pPr>
      <w:r>
        <w:rPr>
          <w:rStyle w:val="Fett"/>
        </w:rPr>
        <w:t>A. Christus WURDE zur Sünde:</w:t>
      </w:r>
    </w:p>
    <w:p w14:paraId="68BCC47A" w14:textId="77777777" w:rsidR="009970B6" w:rsidRDefault="009970B6" w:rsidP="009970B6">
      <w:pPr>
        <w:pStyle w:val="whitespace-normal"/>
      </w:pPr>
      <w:r>
        <w:rPr>
          <w:rStyle w:val="Fett"/>
        </w:rPr>
        <w:t>2 Korinther 5,21:</w:t>
      </w:r>
    </w:p>
    <w:p w14:paraId="2CCA696B" w14:textId="77777777" w:rsidR="009970B6" w:rsidRDefault="009970B6" w:rsidP="009970B6">
      <w:pPr>
        <w:pStyle w:val="whitespace-normal"/>
      </w:pPr>
      <w:r>
        <w:t xml:space="preserve">ἁμαρτίαν </w:t>
      </w:r>
      <w:r>
        <w:rPr>
          <w:rStyle w:val="Fett"/>
        </w:rPr>
        <w:t>ἐποίησεν</w:t>
      </w:r>
      <w:r>
        <w:br/>
        <w:t xml:space="preserve">"Er </w:t>
      </w:r>
      <w:r>
        <w:rPr>
          <w:rStyle w:val="Fett"/>
        </w:rPr>
        <w:t>machte</w:t>
      </w:r>
      <w:r>
        <w:t xml:space="preserve"> (ihn) zur Sünde"</w:t>
      </w:r>
    </w:p>
    <w:p w14:paraId="6C3AF354" w14:textId="77777777" w:rsidR="009970B6" w:rsidRDefault="009970B6" w:rsidP="009970B6">
      <w:pPr>
        <w:pStyle w:val="whitespace-normal"/>
      </w:pPr>
      <w:r>
        <w:rPr>
          <w:rStyle w:val="Fett"/>
        </w:rPr>
        <w:t>→ Nicht "er hatte Sünde", sondern "er wurde Sünde"!</w:t>
      </w:r>
    </w:p>
    <w:p w14:paraId="2C95C5F8" w14:textId="77777777" w:rsidR="009970B6" w:rsidRDefault="009970B6" w:rsidP="009970B6">
      <w:pPr>
        <w:pStyle w:val="whitespace-normal"/>
      </w:pPr>
      <w:r>
        <w:rPr>
          <w:rStyle w:val="Fett"/>
        </w:rPr>
        <w:t>Galater 3,13:</w:t>
      </w:r>
    </w:p>
    <w:p w14:paraId="08D876AA" w14:textId="77777777" w:rsidR="009970B6" w:rsidRDefault="009970B6" w:rsidP="009970B6">
      <w:pPr>
        <w:pStyle w:val="whitespace-normal"/>
      </w:pPr>
      <w:r>
        <w:t xml:space="preserve">Χριστὸς ἡμᾶς ἐξηγόρασεν ἐκ τῆς κατάρας τοῦ νόμου </w:t>
      </w:r>
      <w:r>
        <w:rPr>
          <w:rStyle w:val="Fett"/>
        </w:rPr>
        <w:t>γενόμενος ὑπὲρ ἡμῶν κατάρα</w:t>
      </w:r>
    </w:p>
    <w:p w14:paraId="734D1ABE" w14:textId="77777777" w:rsidR="009970B6" w:rsidRDefault="009970B6" w:rsidP="009970B6">
      <w:pPr>
        <w:pStyle w:val="whitespace-normal"/>
      </w:pPr>
      <w:r>
        <w:t xml:space="preserve">"Christus hat uns losgekauft vom Fluch des Gesetzes, indem er </w:t>
      </w:r>
      <w:r>
        <w:rPr>
          <w:rStyle w:val="Fett"/>
        </w:rPr>
        <w:t>für uns zum Fluch wurde</w:t>
      </w:r>
      <w:r>
        <w:t>"</w:t>
      </w:r>
    </w:p>
    <w:p w14:paraId="7007D3B2" w14:textId="77777777" w:rsidR="009970B6" w:rsidRDefault="009970B6" w:rsidP="009970B6">
      <w:pPr>
        <w:pStyle w:val="whitespace-normal"/>
      </w:pPr>
      <w:r>
        <w:rPr>
          <w:rStyle w:val="Fett"/>
        </w:rPr>
        <w:t>→ Christus wurde Fluch, wurde Sünde – stellvertretend!</w:t>
      </w:r>
    </w:p>
    <w:p w14:paraId="77514A6C" w14:textId="77777777" w:rsidR="009970B6" w:rsidRDefault="00F329DD" w:rsidP="009970B6">
      <w:r>
        <w:pict w14:anchorId="5A1768AB">
          <v:rect id="_x0000_i1672" style="width:0;height:1.5pt" o:hralign="center" o:hrstd="t" o:hr="t" fillcolor="#a0a0a0" stroked="f"/>
        </w:pict>
      </w:r>
    </w:p>
    <w:p w14:paraId="04A10DB2" w14:textId="77777777" w:rsidR="009970B6" w:rsidRDefault="009970B6" w:rsidP="009970B6">
      <w:pPr>
        <w:pStyle w:val="whitespace-normal"/>
      </w:pPr>
      <w:r>
        <w:rPr>
          <w:rStyle w:val="Fett"/>
        </w:rPr>
        <w:t>B. Deshalb konnte er reinigen:</w:t>
      </w:r>
    </w:p>
    <w:p w14:paraId="31970DE7" w14:textId="77777777" w:rsidR="009970B6" w:rsidRDefault="009970B6" w:rsidP="009970B6">
      <w:pPr>
        <w:pStyle w:val="whitespace-normal"/>
      </w:pPr>
      <w:r>
        <w:rPr>
          <w:rStyle w:val="Fett"/>
        </w:rPr>
        <w:t>Hebräer 9,13-14:</w:t>
      </w:r>
    </w:p>
    <w:p w14:paraId="0AFD1F27" w14:textId="77777777" w:rsidR="009970B6" w:rsidRDefault="009970B6" w:rsidP="009970B6">
      <w:pPr>
        <w:pStyle w:val="whitespace-normal"/>
      </w:pPr>
      <w:r>
        <w:t xml:space="preserve">εἰ γὰρ τὸ αἷμα τράγων καὶ ταύρων καὶ </w:t>
      </w:r>
      <w:r>
        <w:rPr>
          <w:rStyle w:val="Fett"/>
        </w:rPr>
        <w:t>σποδὸς δαμάλεως</w:t>
      </w:r>
      <w:r>
        <w:t xml:space="preserve"> ῥαντίζουσα τοὺς κεκοινωμένους ἁγιάζει πρὸς τὴν τῆς σαρκὸς καθαρότητα, πόσῳ μᾶλλον </w:t>
      </w:r>
      <w:r>
        <w:rPr>
          <w:rStyle w:val="Fett"/>
        </w:rPr>
        <w:t>τὸ αἷμα τοῦ Χριστοῦ</w:t>
      </w:r>
      <w:r>
        <w:t xml:space="preserve">... </w:t>
      </w:r>
      <w:r>
        <w:rPr>
          <w:rStyle w:val="Fett"/>
        </w:rPr>
        <w:t>καθαριεῖ τὴν συνείδησιν ἡμῶν</w:t>
      </w:r>
      <w:r>
        <w:t xml:space="preserve"> ἀπὸ νεκρῶν ἔργων</w:t>
      </w:r>
    </w:p>
    <w:p w14:paraId="2BA0D28B" w14:textId="77777777" w:rsidR="009970B6" w:rsidRDefault="009970B6" w:rsidP="009970B6">
      <w:pPr>
        <w:pStyle w:val="whitespace-normal"/>
      </w:pPr>
      <w:r>
        <w:t xml:space="preserve">"Denn wenn das Blut von Böcken und Stieren und </w:t>
      </w:r>
      <w:r>
        <w:rPr>
          <w:rStyle w:val="Fett"/>
        </w:rPr>
        <w:t>die Asche einer jungen Kuh</w:t>
      </w:r>
      <w:r>
        <w:t xml:space="preserve">, gesprengt auf die Verunreinigten, heiligt zur Reinheit des Fleisches, wieviel mehr wird </w:t>
      </w:r>
      <w:r>
        <w:rPr>
          <w:rStyle w:val="Fett"/>
        </w:rPr>
        <w:t>das Blut Christi... unser Gewissen reinigen</w:t>
      </w:r>
      <w:r>
        <w:t xml:space="preserve"> von toten Werken"</w:t>
      </w:r>
    </w:p>
    <w:p w14:paraId="53B9DAE3" w14:textId="77777777" w:rsidR="009970B6" w:rsidRDefault="009970B6" w:rsidP="009970B6">
      <w:pPr>
        <w:pStyle w:val="whitespace-normal"/>
      </w:pPr>
      <w:r>
        <w:rPr>
          <w:rStyle w:val="Fett"/>
        </w:rPr>
        <w:t>Die Logik:</w:t>
      </w:r>
    </w:p>
    <w:p w14:paraId="1C0F1FBE" w14:textId="77777777" w:rsidR="009970B6" w:rsidRDefault="009970B6" w:rsidP="00B358B7">
      <w:pPr>
        <w:pStyle w:val="whitespace-normal"/>
        <w:numPr>
          <w:ilvl w:val="0"/>
          <w:numId w:val="175"/>
        </w:numPr>
      </w:pPr>
      <w:r>
        <w:rPr>
          <w:rStyle w:val="Fett"/>
        </w:rPr>
        <w:t>Asche der roten Kuh</w:t>
      </w:r>
      <w:r>
        <w:t xml:space="preserve"> reinigt von </w:t>
      </w:r>
      <w:r>
        <w:rPr>
          <w:rStyle w:val="Fett"/>
        </w:rPr>
        <w:t>Todesunreinheit</w:t>
      </w:r>
      <w:r>
        <w:t xml:space="preserve"> (äußerlich)</w:t>
      </w:r>
    </w:p>
    <w:p w14:paraId="0B41775F" w14:textId="77777777" w:rsidR="009970B6" w:rsidRDefault="009970B6" w:rsidP="00B358B7">
      <w:pPr>
        <w:pStyle w:val="whitespace-normal"/>
        <w:numPr>
          <w:ilvl w:val="0"/>
          <w:numId w:val="175"/>
        </w:numPr>
      </w:pPr>
      <w:r>
        <w:rPr>
          <w:rStyle w:val="Fett"/>
        </w:rPr>
        <w:t>ABER:</w:t>
      </w:r>
      <w:r>
        <w:t xml:space="preserve"> "wieviel mehr" (πόσῳ μᾶλλον)</w:t>
      </w:r>
    </w:p>
    <w:p w14:paraId="698D2597" w14:textId="77777777" w:rsidR="009970B6" w:rsidRDefault="009970B6" w:rsidP="00B358B7">
      <w:pPr>
        <w:pStyle w:val="whitespace-normal"/>
        <w:numPr>
          <w:ilvl w:val="0"/>
          <w:numId w:val="175"/>
        </w:numPr>
      </w:pPr>
      <w:r>
        <w:rPr>
          <w:rStyle w:val="Fett"/>
        </w:rPr>
        <w:t>Blut Christi</w:t>
      </w:r>
      <w:r>
        <w:t xml:space="preserve"> reinigt das </w:t>
      </w:r>
      <w:r>
        <w:rPr>
          <w:rStyle w:val="Fett"/>
        </w:rPr>
        <w:t>Gewissen</w:t>
      </w:r>
      <w:r>
        <w:t xml:space="preserve"> (innerlich) von </w:t>
      </w:r>
      <w:r>
        <w:rPr>
          <w:rStyle w:val="Fett"/>
        </w:rPr>
        <w:t>toten Werken</w:t>
      </w:r>
    </w:p>
    <w:p w14:paraId="66E806E4" w14:textId="77777777" w:rsidR="009970B6" w:rsidRDefault="009970B6" w:rsidP="009970B6">
      <w:pPr>
        <w:pStyle w:val="whitespace-normal"/>
      </w:pPr>
      <w:r>
        <w:rPr>
          <w:rStyle w:val="Fett"/>
        </w:rPr>
        <w:t>→ Die rote Kuh ist nur ein Schatten (Hebr 10,1) – Christus ist die Wirklichkeit!</w:t>
      </w:r>
    </w:p>
    <w:p w14:paraId="6E5D4E63" w14:textId="77777777" w:rsidR="009970B6" w:rsidRDefault="00F329DD" w:rsidP="009970B6">
      <w:r>
        <w:pict w14:anchorId="4F1756DE">
          <v:rect id="_x0000_i1673" style="width:0;height:1.5pt" o:hralign="center" o:hrstd="t" o:hr="t" fillcolor="#a0a0a0" stroked="f"/>
        </w:pict>
      </w:r>
    </w:p>
    <w:p w14:paraId="0C952BF2" w14:textId="77777777" w:rsidR="009970B6" w:rsidRDefault="009970B6" w:rsidP="009970B6">
      <w:pPr>
        <w:pStyle w:val="berschrift3"/>
      </w:pPr>
      <w:r>
        <w:rPr>
          <w:rStyle w:val="Fett"/>
          <w:b w:val="0"/>
          <w:bCs w:val="0"/>
        </w:rPr>
        <w:lastRenderedPageBreak/>
        <w:t>6. Die Auflösung des Paradoxons</w:t>
      </w:r>
    </w:p>
    <w:p w14:paraId="51C39FAE" w14:textId="77777777" w:rsidR="009970B6" w:rsidRDefault="009970B6" w:rsidP="009970B6">
      <w:pPr>
        <w:pStyle w:val="whitespace-normal"/>
      </w:pPr>
      <w:r>
        <w:rPr>
          <w:rStyle w:val="Fett"/>
        </w:rPr>
        <w:t>Das Paradoxon von Num 19:</w:t>
      </w:r>
    </w:p>
    <w:p w14:paraId="58D1BBF6" w14:textId="77777777" w:rsidR="009970B6" w:rsidRDefault="009970B6" w:rsidP="009970B6">
      <w:pPr>
        <w:pStyle w:val="whitespace-normal"/>
      </w:pPr>
      <w:r>
        <w:rPr>
          <w:rStyle w:val="Fett"/>
        </w:rPr>
        <w:t>Heilig</w:t>
      </w:r>
      <w:r>
        <w:t xml:space="preserve"> (V. 9: </w:t>
      </w:r>
      <w:r>
        <w:rPr>
          <w:rtl/>
        </w:rPr>
        <w:t>חַטָּאת</w:t>
      </w:r>
      <w:r>
        <w:t xml:space="preserve">) + </w:t>
      </w:r>
      <w:r>
        <w:rPr>
          <w:rStyle w:val="Fett"/>
        </w:rPr>
        <w:t>Macht unrein</w:t>
      </w:r>
      <w:r>
        <w:t xml:space="preserve"> (V. 7-8, 10, 21) = ???</w:t>
      </w:r>
    </w:p>
    <w:p w14:paraId="0124BFD6" w14:textId="77777777" w:rsidR="009970B6" w:rsidRDefault="009970B6" w:rsidP="009970B6">
      <w:pPr>
        <w:pStyle w:val="whitespace-normal"/>
      </w:pPr>
      <w:r>
        <w:rPr>
          <w:rStyle w:val="Fett"/>
        </w:rPr>
        <w:t>Die Lösung in Christus:</w:t>
      </w:r>
    </w:p>
    <w:p w14:paraId="79E024B1" w14:textId="77777777" w:rsidR="009970B6" w:rsidRDefault="009970B6" w:rsidP="009970B6">
      <w:pPr>
        <w:pStyle w:val="whitespace-normal"/>
      </w:pPr>
      <w:r>
        <w:rPr>
          <w:rStyle w:val="Fett"/>
        </w:rPr>
        <w:t>Christus war:</w:t>
      </w:r>
    </w:p>
    <w:p w14:paraId="26ECA419" w14:textId="77777777" w:rsidR="009970B6" w:rsidRDefault="009970B6" w:rsidP="00B358B7">
      <w:pPr>
        <w:pStyle w:val="whitespace-normal"/>
        <w:numPr>
          <w:ilvl w:val="0"/>
          <w:numId w:val="176"/>
        </w:numPr>
      </w:pPr>
      <w:r>
        <w:rPr>
          <w:rStyle w:val="Fett"/>
        </w:rPr>
        <w:t>Heilig</w:t>
      </w:r>
      <w:r>
        <w:t xml:space="preserve"> (ohne Sünde, Hebr 4,15; 7,26)</w:t>
      </w:r>
    </w:p>
    <w:p w14:paraId="00245FA3" w14:textId="089111F9" w:rsidR="00AA1547" w:rsidRPr="00AA1547" w:rsidRDefault="009970B6" w:rsidP="00B358B7">
      <w:pPr>
        <w:pStyle w:val="whitespace-normal"/>
        <w:numPr>
          <w:ilvl w:val="0"/>
          <w:numId w:val="176"/>
        </w:numPr>
      </w:pPr>
      <w:r>
        <w:rPr>
          <w:rStyle w:val="Fett"/>
        </w:rPr>
        <w:t>Wurde zur Sünde</w:t>
      </w:r>
      <w:r>
        <w:t xml:space="preserve"> (2 Kor 5,21) / zum Fluch (Gal 3,13)</w:t>
      </w:r>
    </w:p>
    <w:p w14:paraId="1A8356C2" w14:textId="55FA5890" w:rsidR="001D73EC" w:rsidRPr="00AA1547" w:rsidRDefault="001D73EC" w:rsidP="00AA1547">
      <w:pPr>
        <w:pStyle w:val="whitespace-normal"/>
      </w:pPr>
      <w:r w:rsidRPr="00AA1547">
        <w:rPr>
          <w:b/>
          <w:bCs/>
          <w:kern w:val="36"/>
          <w:sz w:val="48"/>
          <w:szCs w:val="48"/>
        </w:rPr>
        <w:t>Numeri 19,22</w:t>
      </w:r>
    </w:p>
    <w:p w14:paraId="3BA4132A"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וְכֹ֛ל אֲשֶׁר־יִגַּע־בּוֹ֥ הַטָּמֵ֖א יִטְמָ֑א וְהַנֶּ֥פֶשׁ הַנֹּגַ֖עַת תִּטְמָ֥א עַד־הָעָֽרֶב׃</w:t>
      </w:r>
    </w:p>
    <w:p w14:paraId="207FFF10"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alles, was der Unreine anrührt, wird unrein sein; und die Person, die ihn anrührt, wird unrein sein bis zum Abend.</w:t>
      </w:r>
    </w:p>
    <w:p w14:paraId="6968C341"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237EC66E">
          <v:rect id="_x0000_i1674" style="width:0;height:1.5pt" o:hralign="center" o:hrstd="t" o:hr="t" fillcolor="#a0a0a0" stroked="f"/>
        </w:pict>
      </w:r>
    </w:p>
    <w:p w14:paraId="73178886" w14:textId="4975FC25"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distributive </w:t>
      </w:r>
      <w:r w:rsidRPr="001D73EC">
        <w:rPr>
          <w:rFonts w:eastAsia="Times New Roman" w:cs="Times New Roman"/>
          <w:b/>
          <w:bCs/>
          <w:rtl/>
          <w:lang w:eastAsia="de-DE"/>
        </w:rPr>
        <w:t>וְכֹל אֲשֶׁר־יִגַּע־בּוֹ הַטָּמֵא</w:t>
      </w:r>
      <w:r w:rsidRPr="001D73EC">
        <w:rPr>
          <w:rFonts w:eastAsia="Times New Roman" w:cs="Times New Roman"/>
          <w:rtl/>
          <w:lang w:eastAsia="de-DE"/>
        </w:rPr>
        <w:t xml:space="preserve"> </w:t>
      </w:r>
      <w:r w:rsidRPr="001D73EC">
        <w:rPr>
          <w:rFonts w:eastAsia="Times New Roman" w:cs="Times New Roman"/>
          <w:lang w:eastAsia="de-DE"/>
        </w:rPr>
        <w:t xml:space="preserve">besteht aus </w:t>
      </w:r>
      <w:r w:rsidRPr="001D73EC">
        <w:rPr>
          <w:rFonts w:eastAsia="Times New Roman" w:cs="Times New Roman"/>
          <w:b/>
          <w:bCs/>
          <w:rtl/>
          <w:lang w:eastAsia="de-DE"/>
        </w:rPr>
        <w:t>וְכֹל</w:t>
      </w:r>
      <w:r w:rsidRPr="001D73EC">
        <w:rPr>
          <w:rFonts w:eastAsia="Times New Roman" w:cs="Times New Roman"/>
          <w:rtl/>
          <w:lang w:eastAsia="de-DE"/>
        </w:rPr>
        <w:t xml:space="preserve"> </w:t>
      </w:r>
      <w:r w:rsidRPr="001D73EC">
        <w:rPr>
          <w:rFonts w:eastAsia="Times New Roman" w:cs="Times New Roman"/>
          <w:lang w:eastAsia="de-DE"/>
        </w:rPr>
        <w:t xml:space="preserve">im Constructus, Relativsatz </w:t>
      </w:r>
      <w:r w:rsidRPr="001D73EC">
        <w:rPr>
          <w:rFonts w:eastAsia="Times New Roman" w:cs="Times New Roman"/>
          <w:b/>
          <w:bCs/>
          <w:rtl/>
          <w:lang w:eastAsia="de-DE"/>
        </w:rPr>
        <w:t>אֲשֶׁר־יִגַּע־בּוֹ</w:t>
      </w:r>
      <w:r w:rsidRPr="001D73EC">
        <w:rPr>
          <w:rFonts w:eastAsia="Times New Roman" w:cs="Times New Roman"/>
          <w:rtl/>
          <w:lang w:eastAsia="de-DE"/>
        </w:rPr>
        <w:t xml:space="preserve"> </w:t>
      </w:r>
      <w:r w:rsidRPr="001D73EC">
        <w:rPr>
          <w:rFonts w:eastAsia="Times New Roman" w:cs="Times New Roman"/>
          <w:lang w:eastAsia="de-DE"/>
        </w:rPr>
        <w:t xml:space="preserve">(Relativpronomen, Qal Imperfekt, 3. m. sg. von </w:t>
      </w:r>
      <w:r w:rsidRPr="001D73EC">
        <w:rPr>
          <w:rFonts w:eastAsia="Times New Roman" w:cs="Times New Roman"/>
          <w:b/>
          <w:bCs/>
          <w:rtl/>
          <w:lang w:eastAsia="de-DE"/>
        </w:rPr>
        <w:t>נגע</w:t>
      </w:r>
      <w:r w:rsidRPr="001D73EC">
        <w:rPr>
          <w:rFonts w:eastAsia="Times New Roman" w:cs="Times New Roman"/>
          <w:rtl/>
          <w:lang w:eastAsia="de-DE"/>
        </w:rPr>
        <w:t xml:space="preserve"> </w:t>
      </w:r>
      <w:r w:rsidRPr="001D73EC">
        <w:rPr>
          <w:rFonts w:eastAsia="Times New Roman" w:cs="Times New Roman"/>
          <w:lang w:eastAsia="de-DE"/>
        </w:rPr>
        <w:t xml:space="preserve">„berühren", </w:t>
      </w:r>
      <w:r w:rsidRPr="001D73EC">
        <w:rPr>
          <w:rFonts w:eastAsia="Times New Roman" w:cs="Times New Roman"/>
          <w:b/>
          <w:bCs/>
          <w:rtl/>
          <w:lang w:eastAsia="de-DE"/>
        </w:rPr>
        <w:t>בּוֹ</w:t>
      </w:r>
      <w:r w:rsidRPr="001D73EC">
        <w:rPr>
          <w:rFonts w:eastAsia="Times New Roman" w:cs="Times New Roman"/>
          <w:rtl/>
          <w:lang w:eastAsia="de-DE"/>
        </w:rPr>
        <w:t xml:space="preserve"> </w:t>
      </w:r>
      <w:r w:rsidRPr="001D73EC">
        <w:rPr>
          <w:rFonts w:eastAsia="Times New Roman" w:cs="Times New Roman"/>
          <w:lang w:eastAsia="de-DE"/>
        </w:rPr>
        <w:t xml:space="preserve">„es" Suffix 3. m. sg.) und Subjekt </w:t>
      </w:r>
      <w:r w:rsidRPr="001D73EC">
        <w:rPr>
          <w:rFonts w:eastAsia="Times New Roman" w:cs="Times New Roman"/>
          <w:b/>
          <w:bCs/>
          <w:rtl/>
          <w:lang w:eastAsia="de-DE"/>
        </w:rPr>
        <w:t>הַטָּמֵא</w:t>
      </w:r>
      <w:r w:rsidRPr="001D73EC">
        <w:rPr>
          <w:rFonts w:eastAsia="Times New Roman" w:cs="Times New Roman"/>
          <w:rtl/>
          <w:lang w:eastAsia="de-DE"/>
        </w:rPr>
        <w:t xml:space="preserve"> </w:t>
      </w:r>
      <w:r w:rsidRPr="001D73EC">
        <w:rPr>
          <w:rFonts w:eastAsia="Times New Roman" w:cs="Times New Roman"/>
          <w:lang w:eastAsia="de-DE"/>
        </w:rPr>
        <w:t xml:space="preserve">(„der Unreine") mit Artikel. Die </w:t>
      </w:r>
      <w:r w:rsidR="00F133EC">
        <w:rPr>
          <w:rFonts w:eastAsia="Times New Roman" w:cs="Times New Roman"/>
          <w:lang w:eastAsia="de-DE"/>
        </w:rPr>
        <w:t>Construct</w:t>
      </w:r>
      <w:r w:rsidRPr="001D73EC">
        <w:rPr>
          <w:rFonts w:eastAsia="Times New Roman" w:cs="Times New Roman"/>
          <w:lang w:eastAsia="de-DE"/>
        </w:rPr>
        <w:t xml:space="preserve">ion bedeutet: „alles, was der Unreine berührt". Das Verb </w:t>
      </w:r>
      <w:r w:rsidRPr="001D73EC">
        <w:rPr>
          <w:rFonts w:eastAsia="Times New Roman" w:cs="Times New Roman"/>
          <w:b/>
          <w:bCs/>
          <w:rtl/>
          <w:lang w:eastAsia="de-DE"/>
        </w:rPr>
        <w:t>יִטְמָא</w:t>
      </w:r>
      <w:r w:rsidRPr="001D73EC">
        <w:rPr>
          <w:rFonts w:eastAsia="Times New Roman" w:cs="Times New Roman"/>
          <w:rtl/>
          <w:lang w:eastAsia="de-DE"/>
        </w:rPr>
        <w:t xml:space="preserve"> </w:t>
      </w:r>
      <w:r w:rsidRPr="001D73EC">
        <w:rPr>
          <w:rFonts w:eastAsia="Times New Roman" w:cs="Times New Roman"/>
          <w:lang w:eastAsia="de-DE"/>
        </w:rPr>
        <w:t xml:space="preserve">(Qal Imperfekt, 3. m. sg. von </w:t>
      </w:r>
      <w:r w:rsidRPr="001D73EC">
        <w:rPr>
          <w:rFonts w:eastAsia="Times New Roman" w:cs="Times New Roman"/>
          <w:b/>
          <w:bCs/>
          <w:rtl/>
          <w:lang w:eastAsia="de-DE"/>
        </w:rPr>
        <w:t>טמא</w:t>
      </w:r>
      <w:r w:rsidRPr="001D73EC">
        <w:rPr>
          <w:rFonts w:eastAsia="Times New Roman" w:cs="Times New Roman"/>
          <w:lang w:eastAsia="de-DE"/>
        </w:rPr>
        <w:t>, „es wird unrein") gibt die Konsequenz an – Unreinheit ist übertragbar auf Gegenstände.</w:t>
      </w:r>
    </w:p>
    <w:p w14:paraId="68DD7CC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zweite Subjekt </w:t>
      </w:r>
      <w:r w:rsidRPr="001D73EC">
        <w:rPr>
          <w:rFonts w:eastAsia="Times New Roman" w:cs="Times New Roman"/>
          <w:b/>
          <w:bCs/>
          <w:rtl/>
          <w:lang w:eastAsia="de-DE"/>
        </w:rPr>
        <w:t>וְהַנֶּפֶשׁ הַנֹּגַעַת</w:t>
      </w:r>
      <w:r w:rsidRPr="001D73EC">
        <w:rPr>
          <w:rFonts w:eastAsia="Times New Roman" w:cs="Times New Roman"/>
          <w:rtl/>
          <w:lang w:eastAsia="de-DE"/>
        </w:rPr>
        <w:t xml:space="preserve"> </w:t>
      </w:r>
      <w:r w:rsidRPr="001D73EC">
        <w:rPr>
          <w:rFonts w:eastAsia="Times New Roman" w:cs="Times New Roman"/>
          <w:lang w:eastAsia="de-DE"/>
        </w:rPr>
        <w:t xml:space="preserve">(„und die Person, die berührt") besteht aus </w:t>
      </w:r>
      <w:r w:rsidRPr="001D73EC">
        <w:rPr>
          <w:rFonts w:eastAsia="Times New Roman" w:cs="Times New Roman"/>
          <w:b/>
          <w:bCs/>
          <w:rtl/>
          <w:lang w:eastAsia="de-DE"/>
        </w:rPr>
        <w:t>וְהַנֶּפֶשׁ</w:t>
      </w:r>
      <w:r w:rsidRPr="001D73EC">
        <w:rPr>
          <w:rFonts w:eastAsia="Times New Roman" w:cs="Times New Roman"/>
          <w:rtl/>
          <w:lang w:eastAsia="de-DE"/>
        </w:rPr>
        <w:t xml:space="preserve"> </w:t>
      </w:r>
      <w:r w:rsidRPr="001D73EC">
        <w:rPr>
          <w:rFonts w:eastAsia="Times New Roman" w:cs="Times New Roman"/>
          <w:lang w:eastAsia="de-DE"/>
        </w:rPr>
        <w:t xml:space="preserve">(„die Person") mit Artikel und </w:t>
      </w:r>
      <w:r w:rsidRPr="001D73EC">
        <w:rPr>
          <w:rFonts w:eastAsia="Times New Roman" w:cs="Times New Roman"/>
          <w:b/>
          <w:bCs/>
          <w:rtl/>
          <w:lang w:eastAsia="de-DE"/>
        </w:rPr>
        <w:t>הַנֹּגַעַת</w:t>
      </w:r>
      <w:r w:rsidRPr="001D73EC">
        <w:rPr>
          <w:rFonts w:eastAsia="Times New Roman" w:cs="Times New Roman"/>
          <w:rtl/>
          <w:lang w:eastAsia="de-DE"/>
        </w:rPr>
        <w:t xml:space="preserve"> </w:t>
      </w:r>
      <w:r w:rsidRPr="001D73EC">
        <w:rPr>
          <w:rFonts w:eastAsia="Times New Roman" w:cs="Times New Roman"/>
          <w:lang w:eastAsia="de-DE"/>
        </w:rPr>
        <w:t xml:space="preserve">(Qal Partizip feminin von </w:t>
      </w:r>
      <w:r w:rsidRPr="001D73EC">
        <w:rPr>
          <w:rFonts w:eastAsia="Times New Roman" w:cs="Times New Roman"/>
          <w:b/>
          <w:bCs/>
          <w:rtl/>
          <w:lang w:eastAsia="de-DE"/>
        </w:rPr>
        <w:t>נגע</w:t>
      </w:r>
      <w:r w:rsidRPr="001D73EC">
        <w:rPr>
          <w:rFonts w:eastAsia="Times New Roman" w:cs="Times New Roman"/>
          <w:rtl/>
          <w:lang w:eastAsia="de-DE"/>
        </w:rPr>
        <w:t xml:space="preserve"> </w:t>
      </w:r>
      <w:r w:rsidRPr="001D73EC">
        <w:rPr>
          <w:rFonts w:eastAsia="Times New Roman" w:cs="Times New Roman"/>
          <w:lang w:eastAsia="de-DE"/>
        </w:rPr>
        <w:t xml:space="preserve">mit Artikel, „die Berührende"). Das Verb </w:t>
      </w:r>
      <w:r w:rsidRPr="001D73EC">
        <w:rPr>
          <w:rFonts w:eastAsia="Times New Roman" w:cs="Times New Roman"/>
          <w:b/>
          <w:bCs/>
          <w:rtl/>
          <w:lang w:eastAsia="de-DE"/>
        </w:rPr>
        <w:t>תִּטְמָא</w:t>
      </w:r>
      <w:r w:rsidRPr="001D73EC">
        <w:rPr>
          <w:rFonts w:eastAsia="Times New Roman" w:cs="Times New Roman"/>
          <w:rtl/>
          <w:lang w:eastAsia="de-DE"/>
        </w:rPr>
        <w:t xml:space="preserve"> </w:t>
      </w:r>
      <w:r w:rsidRPr="001D73EC">
        <w:rPr>
          <w:rFonts w:eastAsia="Times New Roman" w:cs="Times New Roman"/>
          <w:lang w:eastAsia="de-DE"/>
        </w:rPr>
        <w:t xml:space="preserve">(Qal Imperfekt, 3. f. sg. von </w:t>
      </w:r>
      <w:r w:rsidRPr="001D73EC">
        <w:rPr>
          <w:rFonts w:eastAsia="Times New Roman" w:cs="Times New Roman"/>
          <w:b/>
          <w:bCs/>
          <w:rtl/>
          <w:lang w:eastAsia="de-DE"/>
        </w:rPr>
        <w:t>טמא</w:t>
      </w:r>
      <w:r w:rsidRPr="001D73EC">
        <w:rPr>
          <w:rFonts w:eastAsia="Times New Roman" w:cs="Times New Roman"/>
          <w:lang w:eastAsia="de-DE"/>
        </w:rPr>
        <w:t xml:space="preserve">, „sie wird unrein") mit femininer Form passt zu </w:t>
      </w:r>
      <w:r w:rsidRPr="001D73EC">
        <w:rPr>
          <w:rFonts w:eastAsia="Times New Roman" w:cs="Times New Roman"/>
          <w:b/>
          <w:bCs/>
          <w:rtl/>
          <w:lang w:eastAsia="de-DE"/>
        </w:rPr>
        <w:t>נֶפֶשׁ</w:t>
      </w:r>
      <w:r w:rsidRPr="001D73EC">
        <w:rPr>
          <w:rFonts w:eastAsia="Times New Roman" w:cs="Times New Roman"/>
          <w:rtl/>
          <w:lang w:eastAsia="de-DE"/>
        </w:rPr>
        <w:t xml:space="preserve"> </w:t>
      </w:r>
      <w:r w:rsidRPr="001D73EC">
        <w:rPr>
          <w:rFonts w:eastAsia="Times New Roman" w:cs="Times New Roman"/>
          <w:lang w:eastAsia="de-DE"/>
        </w:rPr>
        <w:t xml:space="preserve">(grammatisch feminin). Die Zeitangabe </w:t>
      </w:r>
      <w:r w:rsidRPr="001D73EC">
        <w:rPr>
          <w:rFonts w:eastAsia="Times New Roman" w:cs="Times New Roman"/>
          <w:b/>
          <w:bCs/>
          <w:rtl/>
          <w:lang w:eastAsia="de-DE"/>
        </w:rPr>
        <w:t>עַד־הָעָרֶב</w:t>
      </w:r>
      <w:r w:rsidRPr="001D73EC">
        <w:rPr>
          <w:rFonts w:eastAsia="Times New Roman" w:cs="Times New Roman"/>
          <w:rtl/>
          <w:lang w:eastAsia="de-DE"/>
        </w:rPr>
        <w:t xml:space="preserve"> </w:t>
      </w:r>
      <w:r w:rsidRPr="001D73EC">
        <w:rPr>
          <w:rFonts w:eastAsia="Times New Roman" w:cs="Times New Roman"/>
          <w:lang w:eastAsia="de-DE"/>
        </w:rPr>
        <w:t>(„bis zum Abend") zeigt: Personenkontakt verursacht nur temporäre, eintägige Unreinheit, nicht die siebentägige wie Leichenkontakt.</w:t>
      </w:r>
    </w:p>
    <w:p w14:paraId="1409DC0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w:t>
      </w:r>
    </w:p>
    <w:p w14:paraId="594BCA2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zwei koordinierte Hauptsätze: Der erste mit distributivem Subjekt (mit eingebettetem Relativsatz und nachgestelltem eigentlichem Subjekt) und Verb; der zweite mit Subjekt (mit Partizip-Apposition) und Verb mit Zeitangabe. Insgesamt gibt es einen Nebensatz (Relativsatz).</w:t>
      </w:r>
    </w:p>
    <w:p w14:paraId="4B97BF98"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schließt das Kapitel mit der Warnung vor sekundärer Kontamination: Der Unreine macht alles unrein, was er berührt, und wer ihn berührt, wird ebenfalls (temporär) unrein – ein komplexes System der Unreinheitsübertragung.</w:t>
      </w:r>
    </w:p>
    <w:p w14:paraId="0680D8A2" w14:textId="77777777" w:rsidR="001D73EC" w:rsidRDefault="001D73EC" w:rsidP="001D73EC">
      <w:pPr>
        <w:pStyle w:val="whitespace-normal"/>
      </w:pPr>
      <w:r>
        <w:t xml:space="preserve">Numeri 19 behandelt das paradoxe Ritual der roten Kuh zur Reinigung von Totenunreinheit. Eine makellose rote Kuh wird außerhalb des Lagers verbrannt, ihre Asche mit lebendem </w:t>
      </w:r>
      <w:r>
        <w:lastRenderedPageBreak/>
        <w:t>Wasser gemischt und als Reinigungsmittel aufbewahrt. Das zentrale Paradoxon: Alle Beteiligten an der Herstellung werden unrein, obwohl sie das Reinigungsmittel herstellen.</w:t>
      </w:r>
    </w:p>
    <w:p w14:paraId="18036657" w14:textId="77777777" w:rsidR="001D73EC" w:rsidRDefault="001D73EC" w:rsidP="001D73EC">
      <w:pPr>
        <w:pStyle w:val="whitespace-normal"/>
      </w:pPr>
      <w:r>
        <w:t>Leichenkontakt verursacht siebentägige Unreinheit – die schwerste Form. Die Reinigung erfordert zweifache Besprengung mit dem Reinigungswasser an Tag 3 und 7 plus Waschung. Wer sich nicht reinigt, verunreinigt das Heiligtum und wird mit göttlicher Ausrottung bestraft.</w:t>
      </w:r>
    </w:p>
    <w:p w14:paraId="5579E6E1" w14:textId="199B6187" w:rsidR="001D73EC" w:rsidRDefault="001D73EC" w:rsidP="001D73EC">
      <w:pPr>
        <w:pStyle w:val="whitespace-normal"/>
      </w:pPr>
      <w:r>
        <w:t xml:space="preserve">Das Ritual ist eine </w:t>
      </w:r>
      <w:r>
        <w:rPr>
          <w:rStyle w:val="Fett"/>
          <w:rtl/>
        </w:rPr>
        <w:t>חֻקָּה</w:t>
      </w:r>
      <w:r>
        <w:rPr>
          <w:rtl/>
        </w:rPr>
        <w:t xml:space="preserve"> </w:t>
      </w:r>
      <w:r>
        <w:t xml:space="preserve">– ein Gebot ohne erkennbare rationale Begründung. Was reinigt, verunreinigt zugleich – ein tiefes Mysterium der </w:t>
      </w:r>
      <w:r w:rsidR="00525AC4">
        <w:t>Torah</w:t>
      </w:r>
      <w:r>
        <w:t>, das sich menschlichem Verstehen entzieht.</w:t>
      </w:r>
    </w:p>
    <w:p w14:paraId="71C7AD77"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20,1</w:t>
      </w:r>
    </w:p>
    <w:p w14:paraId="1456A90A"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וַיָּבֹ֣אוּ בְנֵֽי־יִ֠שְׂרָאֵל כָּל־הָ֨עֵדָ֤ה מִדְבַּר־צִן֙ בַּחֹ֣דֶשׁ הָֽרִאשׁ֔וֹן וַיֵּ֥שֶׁב הָעָ֖ם בְּקָדֵ֑שׁ וַתָּ֤מָת שָׁם֙ מִרְיָ֔ם וַתִּקָּבֵ֖ר שָֽׁם׃</w:t>
      </w:r>
    </w:p>
    <w:p w14:paraId="5B9FB36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die Söhne Jisra'els, die ganze Gemeinde, kamen in die Wüste Zin, im ersten Monat; und das Volk blieb in Kadesch; und Mirjam starb daselbst und wurde daselbst begraben.</w:t>
      </w:r>
    </w:p>
    <w:p w14:paraId="18B18CC6"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68595246">
          <v:rect id="_x0000_i1675" style="width:0;height:1.5pt" o:hralign="center" o:hrstd="t" o:hr="t" fillcolor="#a0a0a0" stroked="f"/>
        </w:pict>
      </w:r>
    </w:p>
    <w:p w14:paraId="6E72370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וַיָּבֹאוּ</w:t>
      </w:r>
      <w:r w:rsidRPr="001D73EC">
        <w:rPr>
          <w:rFonts w:eastAsia="Times New Roman" w:cs="Times New Roman"/>
          <w:rtl/>
          <w:lang w:eastAsia="de-DE"/>
        </w:rPr>
        <w:t xml:space="preserve"> </w:t>
      </w:r>
      <w:r w:rsidRPr="001D73EC">
        <w:rPr>
          <w:rFonts w:eastAsia="Times New Roman" w:cs="Times New Roman"/>
          <w:lang w:eastAsia="de-DE"/>
        </w:rPr>
        <w:t xml:space="preserve">(Wayyiqtol, 3. m. pl. von </w:t>
      </w:r>
      <w:r w:rsidRPr="001D73EC">
        <w:rPr>
          <w:rFonts w:eastAsia="Times New Roman" w:cs="Times New Roman"/>
          <w:b/>
          <w:bCs/>
          <w:rtl/>
          <w:lang w:eastAsia="de-DE"/>
        </w:rPr>
        <w:t>בוא</w:t>
      </w:r>
      <w:r w:rsidRPr="001D73EC">
        <w:rPr>
          <w:rFonts w:eastAsia="Times New Roman" w:cs="Times New Roman"/>
          <w:lang w:eastAsia="de-DE"/>
        </w:rPr>
        <w:t xml:space="preserve">, „und sie kamen") leitet einen dramatischen Zeitsprung ein – etwa 38 Jahre seit den Ereignissen in Kapitel 14. Das Subjekt </w:t>
      </w:r>
      <w:r w:rsidRPr="001D73EC">
        <w:rPr>
          <w:rFonts w:eastAsia="Times New Roman" w:cs="Times New Roman"/>
          <w:b/>
          <w:bCs/>
          <w:rtl/>
          <w:lang w:eastAsia="de-DE"/>
        </w:rPr>
        <w:t>בְנֵי־יִשְׂרָאֵל כָּל־הָעֵדָה</w:t>
      </w:r>
      <w:r w:rsidRPr="001D73EC">
        <w:rPr>
          <w:rFonts w:eastAsia="Times New Roman" w:cs="Times New Roman"/>
          <w:rtl/>
          <w:lang w:eastAsia="de-DE"/>
        </w:rPr>
        <w:t xml:space="preserve"> </w:t>
      </w:r>
      <w:r w:rsidRPr="001D73EC">
        <w:rPr>
          <w:rFonts w:eastAsia="Times New Roman" w:cs="Times New Roman"/>
          <w:lang w:eastAsia="de-DE"/>
        </w:rPr>
        <w:t xml:space="preserve">ist doppelt: </w:t>
      </w:r>
      <w:r w:rsidRPr="001D73EC">
        <w:rPr>
          <w:rFonts w:eastAsia="Times New Roman" w:cs="Times New Roman"/>
          <w:b/>
          <w:bCs/>
          <w:rtl/>
          <w:lang w:eastAsia="de-DE"/>
        </w:rPr>
        <w:t>בְנֵי־יִשְׂרָאֵל</w:t>
      </w:r>
      <w:r w:rsidRPr="001D73EC">
        <w:rPr>
          <w:rFonts w:eastAsia="Times New Roman" w:cs="Times New Roman"/>
          <w:rtl/>
          <w:lang w:eastAsia="de-DE"/>
        </w:rPr>
        <w:t xml:space="preserve"> </w:t>
      </w:r>
      <w:r w:rsidRPr="001D73EC">
        <w:rPr>
          <w:rFonts w:eastAsia="Times New Roman" w:cs="Times New Roman"/>
          <w:lang w:eastAsia="de-DE"/>
        </w:rPr>
        <w:t xml:space="preserve">(Constructus-Verbindung) und </w:t>
      </w:r>
      <w:r w:rsidRPr="001D73EC">
        <w:rPr>
          <w:rFonts w:eastAsia="Times New Roman" w:cs="Times New Roman"/>
          <w:b/>
          <w:bCs/>
          <w:rtl/>
          <w:lang w:eastAsia="de-DE"/>
        </w:rPr>
        <w:t>כָּל־הָעֵדָה</w:t>
      </w:r>
      <w:r w:rsidRPr="001D73EC">
        <w:rPr>
          <w:rFonts w:eastAsia="Times New Roman" w:cs="Times New Roman"/>
          <w:rtl/>
          <w:lang w:eastAsia="de-DE"/>
        </w:rPr>
        <w:t xml:space="preserve"> </w:t>
      </w:r>
      <w:r w:rsidRPr="001D73EC">
        <w:rPr>
          <w:rFonts w:eastAsia="Times New Roman" w:cs="Times New Roman"/>
          <w:lang w:eastAsia="de-DE"/>
        </w:rPr>
        <w:t xml:space="preserve">(„die ganze Gemeinde", Constructus-Verbindung) als Apposition. Die Ortsangabe </w:t>
      </w:r>
      <w:r w:rsidRPr="001D73EC">
        <w:rPr>
          <w:rFonts w:eastAsia="Times New Roman" w:cs="Times New Roman"/>
          <w:b/>
          <w:bCs/>
          <w:rtl/>
          <w:lang w:eastAsia="de-DE"/>
        </w:rPr>
        <w:t>מִדְבַּר־צִן</w:t>
      </w:r>
      <w:r w:rsidRPr="001D73EC">
        <w:rPr>
          <w:rFonts w:eastAsia="Times New Roman" w:cs="Times New Roman"/>
          <w:rtl/>
          <w:lang w:eastAsia="de-DE"/>
        </w:rPr>
        <w:t xml:space="preserve"> </w:t>
      </w:r>
      <w:r w:rsidRPr="001D73EC">
        <w:rPr>
          <w:rFonts w:eastAsia="Times New Roman" w:cs="Times New Roman"/>
          <w:lang w:eastAsia="de-DE"/>
        </w:rPr>
        <w:t xml:space="preserve">(„Wüste Zin") mit </w:t>
      </w:r>
      <w:r w:rsidRPr="001D73EC">
        <w:rPr>
          <w:rFonts w:eastAsia="Times New Roman" w:cs="Times New Roman"/>
          <w:b/>
          <w:bCs/>
          <w:rtl/>
          <w:lang w:eastAsia="de-DE"/>
        </w:rPr>
        <w:t>מִן</w:t>
      </w:r>
      <w:r w:rsidRPr="001D73EC">
        <w:rPr>
          <w:rFonts w:eastAsia="Times New Roman" w:cs="Times New Roman"/>
          <w:rtl/>
          <w:lang w:eastAsia="de-DE"/>
        </w:rPr>
        <w:t xml:space="preserve"> </w:t>
      </w:r>
      <w:r w:rsidRPr="001D73EC">
        <w:rPr>
          <w:rFonts w:eastAsia="Times New Roman" w:cs="Times New Roman"/>
          <w:lang w:eastAsia="de-DE"/>
        </w:rPr>
        <w:t xml:space="preserve">gibt nicht die Herkunft, sondern das Ziel an (lokativ). Die Zeitangabe </w:t>
      </w:r>
      <w:r w:rsidRPr="001D73EC">
        <w:rPr>
          <w:rFonts w:eastAsia="Times New Roman" w:cs="Times New Roman"/>
          <w:b/>
          <w:bCs/>
          <w:rtl/>
          <w:lang w:eastAsia="de-DE"/>
        </w:rPr>
        <w:t>בַּחֹדֶשׁ הָרִאשׁוֹן</w:t>
      </w:r>
      <w:r w:rsidRPr="001D73EC">
        <w:rPr>
          <w:rFonts w:eastAsia="Times New Roman" w:cs="Times New Roman"/>
          <w:rtl/>
          <w:lang w:eastAsia="de-DE"/>
        </w:rPr>
        <w:t xml:space="preserve"> </w:t>
      </w:r>
      <w:r w:rsidRPr="001D73EC">
        <w:rPr>
          <w:rFonts w:eastAsia="Times New Roman" w:cs="Times New Roman"/>
          <w:lang w:eastAsia="de-DE"/>
        </w:rPr>
        <w:t>(„im ersten Monat") ist unvollständig – kein Jahr wird genannt, aber der Kontext deutet auf das 40. Jahr der Wüstenzeit.</w:t>
      </w:r>
    </w:p>
    <w:p w14:paraId="2EB71DF5"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Verb </w:t>
      </w:r>
      <w:r w:rsidRPr="001D73EC">
        <w:rPr>
          <w:rFonts w:eastAsia="Times New Roman" w:cs="Times New Roman"/>
          <w:b/>
          <w:bCs/>
          <w:rtl/>
          <w:lang w:eastAsia="de-DE"/>
        </w:rPr>
        <w:t>וַיֵּשֶׁב</w:t>
      </w:r>
      <w:r w:rsidRPr="001D73EC">
        <w:rPr>
          <w:rFonts w:eastAsia="Times New Roman" w:cs="Times New Roman"/>
          <w:rtl/>
          <w:lang w:eastAsia="de-DE"/>
        </w:rPr>
        <w:t xml:space="preserve"> </w:t>
      </w:r>
      <w:r w:rsidRPr="001D73EC">
        <w:rPr>
          <w:rFonts w:eastAsia="Times New Roman" w:cs="Times New Roman"/>
          <w:lang w:eastAsia="de-DE"/>
        </w:rPr>
        <w:t xml:space="preserve">(Wayyiqtol, 3. m. sg. von </w:t>
      </w:r>
      <w:r w:rsidRPr="001D73EC">
        <w:rPr>
          <w:rFonts w:eastAsia="Times New Roman" w:cs="Times New Roman"/>
          <w:b/>
          <w:bCs/>
          <w:rtl/>
          <w:lang w:eastAsia="de-DE"/>
        </w:rPr>
        <w:t>ישׁב</w:t>
      </w:r>
      <w:r w:rsidRPr="001D73EC">
        <w:rPr>
          <w:rFonts w:eastAsia="Times New Roman" w:cs="Times New Roman"/>
          <w:lang w:eastAsia="de-DE"/>
        </w:rPr>
        <w:t xml:space="preserve">, „und er/es blieb, lagerte") mit kollektivem Subjekt </w:t>
      </w:r>
      <w:r w:rsidRPr="001D73EC">
        <w:rPr>
          <w:rFonts w:eastAsia="Times New Roman" w:cs="Times New Roman"/>
          <w:b/>
          <w:bCs/>
          <w:rtl/>
          <w:lang w:eastAsia="de-DE"/>
        </w:rPr>
        <w:t>הָעָם</w:t>
      </w:r>
      <w:r w:rsidRPr="001D73EC">
        <w:rPr>
          <w:rFonts w:eastAsia="Times New Roman" w:cs="Times New Roman"/>
          <w:rtl/>
          <w:lang w:eastAsia="de-DE"/>
        </w:rPr>
        <w:t xml:space="preserve"> </w:t>
      </w:r>
      <w:r w:rsidRPr="001D73EC">
        <w:rPr>
          <w:rFonts w:eastAsia="Times New Roman" w:cs="Times New Roman"/>
          <w:lang w:eastAsia="de-DE"/>
        </w:rPr>
        <w:t xml:space="preserve">(„das Volk"). </w:t>
      </w:r>
      <w:r w:rsidRPr="001D73EC">
        <w:rPr>
          <w:rFonts w:eastAsia="Times New Roman" w:cs="Times New Roman"/>
          <w:b/>
          <w:bCs/>
          <w:rtl/>
          <w:lang w:eastAsia="de-DE"/>
        </w:rPr>
        <w:t>בְּקָדֵשׁ</w:t>
      </w:r>
      <w:r w:rsidRPr="001D73EC">
        <w:rPr>
          <w:rFonts w:eastAsia="Times New Roman" w:cs="Times New Roman"/>
          <w:rtl/>
          <w:lang w:eastAsia="de-DE"/>
        </w:rPr>
        <w:t xml:space="preserve"> </w:t>
      </w:r>
      <w:r w:rsidRPr="001D73EC">
        <w:rPr>
          <w:rFonts w:eastAsia="Times New Roman" w:cs="Times New Roman"/>
          <w:lang w:eastAsia="de-DE"/>
        </w:rPr>
        <w:t>(„in Kadesch") ist derselbe Ort wie in 13,26 – eine Rückkehr nach fast 40 Jahren.</w:t>
      </w:r>
    </w:p>
    <w:p w14:paraId="4204FBD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beiden Verben </w:t>
      </w:r>
      <w:r w:rsidRPr="001D73EC">
        <w:rPr>
          <w:rFonts w:eastAsia="Times New Roman" w:cs="Times New Roman"/>
          <w:b/>
          <w:bCs/>
          <w:rtl/>
          <w:lang w:eastAsia="de-DE"/>
        </w:rPr>
        <w:t>וַתָּמָת</w:t>
      </w:r>
      <w:r w:rsidRPr="001D73EC">
        <w:rPr>
          <w:rFonts w:eastAsia="Times New Roman" w:cs="Times New Roman"/>
          <w:rtl/>
          <w:lang w:eastAsia="de-DE"/>
        </w:rPr>
        <w:t xml:space="preserve"> </w:t>
      </w:r>
      <w:r w:rsidRPr="001D73EC">
        <w:rPr>
          <w:rFonts w:eastAsia="Times New Roman" w:cs="Times New Roman"/>
          <w:lang w:eastAsia="de-DE"/>
        </w:rPr>
        <w:t xml:space="preserve">(Wayyiqtol, 3. f. sg. von </w:t>
      </w:r>
      <w:r w:rsidRPr="001D73EC">
        <w:rPr>
          <w:rFonts w:eastAsia="Times New Roman" w:cs="Times New Roman"/>
          <w:b/>
          <w:bCs/>
          <w:rtl/>
          <w:lang w:eastAsia="de-DE"/>
        </w:rPr>
        <w:t>מות</w:t>
      </w:r>
      <w:r w:rsidRPr="001D73EC">
        <w:rPr>
          <w:rFonts w:eastAsia="Times New Roman" w:cs="Times New Roman"/>
          <w:lang w:eastAsia="de-DE"/>
        </w:rPr>
        <w:t xml:space="preserve">, „und sie starb") und </w:t>
      </w:r>
      <w:r w:rsidRPr="001D73EC">
        <w:rPr>
          <w:rFonts w:eastAsia="Times New Roman" w:cs="Times New Roman"/>
          <w:b/>
          <w:bCs/>
          <w:rtl/>
          <w:lang w:eastAsia="de-DE"/>
        </w:rPr>
        <w:t>וַתִּקָּבֵר</w:t>
      </w:r>
      <w:r w:rsidRPr="001D73EC">
        <w:rPr>
          <w:rFonts w:eastAsia="Times New Roman" w:cs="Times New Roman"/>
          <w:rtl/>
          <w:lang w:eastAsia="de-DE"/>
        </w:rPr>
        <w:t xml:space="preserve"> </w:t>
      </w:r>
      <w:r w:rsidRPr="001D73EC">
        <w:rPr>
          <w:rFonts w:eastAsia="Times New Roman" w:cs="Times New Roman"/>
          <w:lang w:eastAsia="de-DE"/>
        </w:rPr>
        <w:t xml:space="preserve">(Wayyiqtol, 3. f. sg. von </w:t>
      </w:r>
      <w:r w:rsidRPr="001D73EC">
        <w:rPr>
          <w:rFonts w:eastAsia="Times New Roman" w:cs="Times New Roman"/>
          <w:b/>
          <w:bCs/>
          <w:rtl/>
          <w:lang w:eastAsia="de-DE"/>
        </w:rPr>
        <w:t>קבר</w:t>
      </w:r>
      <w:r w:rsidRPr="001D73EC">
        <w:rPr>
          <w:rFonts w:eastAsia="Times New Roman" w:cs="Times New Roman"/>
          <w:lang w:eastAsia="de-DE"/>
        </w:rPr>
        <w:t xml:space="preserve">, „und sie wurde begraben") sind knapp und würdevoll. Das Subjekt </w:t>
      </w:r>
      <w:r w:rsidRPr="001D73EC">
        <w:rPr>
          <w:rFonts w:eastAsia="Times New Roman" w:cs="Times New Roman"/>
          <w:b/>
          <w:bCs/>
          <w:rtl/>
          <w:lang w:eastAsia="de-DE"/>
        </w:rPr>
        <w:t>מִרְיָם</w:t>
      </w:r>
      <w:r w:rsidRPr="001D73EC">
        <w:rPr>
          <w:rFonts w:eastAsia="Times New Roman" w:cs="Times New Roman"/>
          <w:rtl/>
          <w:lang w:eastAsia="de-DE"/>
        </w:rPr>
        <w:t xml:space="preserve"> </w:t>
      </w:r>
      <w:r w:rsidRPr="001D73EC">
        <w:rPr>
          <w:rFonts w:eastAsia="Times New Roman" w:cs="Times New Roman"/>
          <w:lang w:eastAsia="de-DE"/>
        </w:rPr>
        <w:t xml:space="preserve">wird genannt – die Prophetin und Schwester Moses. </w:t>
      </w:r>
      <w:r w:rsidRPr="001D73EC">
        <w:rPr>
          <w:rFonts w:eastAsia="Times New Roman" w:cs="Times New Roman"/>
          <w:b/>
          <w:bCs/>
          <w:rtl/>
          <w:lang w:eastAsia="de-DE"/>
        </w:rPr>
        <w:t>שָׁם</w:t>
      </w:r>
      <w:r w:rsidRPr="001D73EC">
        <w:rPr>
          <w:rFonts w:eastAsia="Times New Roman" w:cs="Times New Roman"/>
          <w:rtl/>
          <w:lang w:eastAsia="de-DE"/>
        </w:rPr>
        <w:t xml:space="preserve"> </w:t>
      </w:r>
      <w:r w:rsidRPr="001D73EC">
        <w:rPr>
          <w:rFonts w:eastAsia="Times New Roman" w:cs="Times New Roman"/>
          <w:lang w:eastAsia="de-DE"/>
        </w:rPr>
        <w:t>(„dort, daselbst") wird zweimal wiederholt. Der Tod Mirjams wird ohne weitere Kommentierung berichtet – eine der drei führenden Gestalten des Exodus stirbt.</w:t>
      </w:r>
    </w:p>
    <w:p w14:paraId="543F78DF"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w:t>
      </w:r>
    </w:p>
    <w:p w14:paraId="220CDB3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Satzstruktur zeigt vier koordinierte Hauptsätze: Der erste mit Verb, doppeltem Subjekt, Ortsangabe (mit </w:t>
      </w:r>
      <w:r w:rsidRPr="001D73EC">
        <w:rPr>
          <w:rFonts w:eastAsia="Times New Roman" w:cs="Times New Roman"/>
          <w:b/>
          <w:bCs/>
          <w:rtl/>
          <w:lang w:eastAsia="de-DE"/>
        </w:rPr>
        <w:t>מִן</w:t>
      </w:r>
      <w:r w:rsidRPr="001D73EC">
        <w:rPr>
          <w:rFonts w:eastAsia="Times New Roman" w:cs="Times New Roman"/>
          <w:rtl/>
          <w:lang w:eastAsia="de-DE"/>
        </w:rPr>
        <w:t xml:space="preserve"> </w:t>
      </w:r>
      <w:r w:rsidRPr="001D73EC">
        <w:rPr>
          <w:rFonts w:eastAsia="Times New Roman" w:cs="Times New Roman"/>
          <w:lang w:eastAsia="de-DE"/>
        </w:rPr>
        <w:t>lokativ) und Zeitangabe; der zweite mit Verb, Subjekt und Ortsangabe; die beiden letzten mit Verb, Subjekt und wiederholtem Adverb. Es gibt keine Nebensätze.</w:t>
      </w:r>
    </w:p>
    <w:p w14:paraId="62422BB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markiert einen dramatischen Wendepunkt: die Generation des Exodus stirbt aus. Mirjams Tod wird lakonisch berichtet – nach ihr werden auch Aaron (V. 28) und Mose (Dtn 34) sterben.</w:t>
      </w:r>
    </w:p>
    <w:p w14:paraId="1F93CC72"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lastRenderedPageBreak/>
        <w:t>Numeri 20,2</w:t>
      </w:r>
    </w:p>
    <w:p w14:paraId="0416F767"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וְלֹא־הָ֥יָה מַ֖יִם לָעֵדָ֑ה וַיִּקָּ֣הֲל֔וּ עַל־מֹשֶׁ֖ה וְעַֽל־אַהֲרֹֽן׃</w:t>
      </w:r>
    </w:p>
    <w:p w14:paraId="001DD090"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es war kein Wasser da für die Gemeinde, und sie versammelten sich gegen Mosche und gegen Aharon.</w:t>
      </w:r>
    </w:p>
    <w:p w14:paraId="12D6C2E3"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45B626AA">
          <v:rect id="_x0000_i1676" style="width:0;height:1.5pt" o:hralign="center" o:hrstd="t" o:hr="t" fillcolor="#a0a0a0" stroked="f"/>
        </w:pict>
      </w:r>
    </w:p>
    <w:p w14:paraId="53FF3623"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Die Existenznegation </w:t>
      </w:r>
      <w:r w:rsidRPr="001D73EC">
        <w:rPr>
          <w:rFonts w:eastAsia="Times New Roman" w:cs="Times New Roman"/>
          <w:b/>
          <w:bCs/>
          <w:rtl/>
          <w:lang w:eastAsia="de-DE"/>
        </w:rPr>
        <w:t>וְלֹא־הָיָה</w:t>
      </w:r>
      <w:r w:rsidRPr="001D73EC">
        <w:rPr>
          <w:rFonts w:eastAsia="Times New Roman" w:cs="Times New Roman"/>
          <w:rtl/>
          <w:lang w:eastAsia="de-DE"/>
        </w:rPr>
        <w:t xml:space="preserve"> </w:t>
      </w:r>
      <w:r w:rsidRPr="001D73EC">
        <w:rPr>
          <w:rFonts w:eastAsia="Times New Roman" w:cs="Times New Roman"/>
          <w:lang w:eastAsia="de-DE"/>
        </w:rPr>
        <w:t xml:space="preserve">(Waw + Qal Perfekt, 3. m. sg. von </w:t>
      </w:r>
      <w:r w:rsidRPr="001D73EC">
        <w:rPr>
          <w:rFonts w:eastAsia="Times New Roman" w:cs="Times New Roman"/>
          <w:b/>
          <w:bCs/>
          <w:rtl/>
          <w:lang w:eastAsia="de-DE"/>
        </w:rPr>
        <w:t>היה</w:t>
      </w:r>
      <w:r w:rsidRPr="001D73EC">
        <w:rPr>
          <w:rFonts w:eastAsia="Times New Roman" w:cs="Times New Roman"/>
          <w:rtl/>
          <w:lang w:eastAsia="de-DE"/>
        </w:rPr>
        <w:t xml:space="preserve"> </w:t>
      </w:r>
      <w:r w:rsidRPr="001D73EC">
        <w:rPr>
          <w:rFonts w:eastAsia="Times New Roman" w:cs="Times New Roman"/>
          <w:lang w:eastAsia="de-DE"/>
        </w:rPr>
        <w:t xml:space="preserve">mit Negation, „und es war nicht") leitet die Krise ein. Das Subjekt </w:t>
      </w:r>
      <w:r w:rsidRPr="001D73EC">
        <w:rPr>
          <w:rFonts w:eastAsia="Times New Roman" w:cs="Times New Roman"/>
          <w:b/>
          <w:bCs/>
          <w:rtl/>
          <w:lang w:eastAsia="de-DE"/>
        </w:rPr>
        <w:t>מַיִם</w:t>
      </w:r>
      <w:r w:rsidRPr="001D73EC">
        <w:rPr>
          <w:rFonts w:eastAsia="Times New Roman" w:cs="Times New Roman"/>
          <w:rtl/>
          <w:lang w:eastAsia="de-DE"/>
        </w:rPr>
        <w:t xml:space="preserve"> </w:t>
      </w:r>
      <w:r w:rsidRPr="001D73EC">
        <w:rPr>
          <w:rFonts w:eastAsia="Times New Roman" w:cs="Times New Roman"/>
          <w:lang w:eastAsia="de-DE"/>
        </w:rPr>
        <w:t xml:space="preserve">(„Wasser") Plural. </w:t>
      </w:r>
      <w:r w:rsidRPr="001D73EC">
        <w:rPr>
          <w:rFonts w:eastAsia="Times New Roman" w:cs="Times New Roman"/>
          <w:b/>
          <w:bCs/>
          <w:rtl/>
          <w:lang w:eastAsia="de-DE"/>
        </w:rPr>
        <w:t>לָעֵדָה</w:t>
      </w:r>
      <w:r w:rsidRPr="001D73EC">
        <w:rPr>
          <w:rFonts w:eastAsia="Times New Roman" w:cs="Times New Roman"/>
          <w:rtl/>
          <w:lang w:eastAsia="de-DE"/>
        </w:rPr>
        <w:t xml:space="preserve"> </w:t>
      </w:r>
      <w:r w:rsidRPr="001D73EC">
        <w:rPr>
          <w:rFonts w:eastAsia="Times New Roman" w:cs="Times New Roman"/>
          <w:lang w:eastAsia="de-DE"/>
        </w:rPr>
        <w:t>(„für die Gemeinde") mit Artikel gibt den Betroffenen an. Das Fehlen von Wasser direkt nach Mirjams Tod hat rabbinische Kommentatoren dazu geführt, Mirjam mit einem Wasser spendenden „Brunnen" zu verbinden (vgl. Talmud).</w:t>
      </w:r>
    </w:p>
    <w:p w14:paraId="00CCC35A"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Das Verb </w:t>
      </w:r>
      <w:r w:rsidRPr="001D73EC">
        <w:rPr>
          <w:rFonts w:eastAsia="Times New Roman" w:cs="Times New Roman"/>
          <w:b/>
          <w:bCs/>
          <w:rtl/>
          <w:lang w:eastAsia="de-DE"/>
        </w:rPr>
        <w:t>וַיִּקָּהֲלוּ</w:t>
      </w:r>
      <w:r w:rsidRPr="001D73EC">
        <w:rPr>
          <w:rFonts w:eastAsia="Times New Roman" w:cs="Times New Roman"/>
          <w:rtl/>
          <w:lang w:eastAsia="de-DE"/>
        </w:rPr>
        <w:t xml:space="preserve"> </w:t>
      </w:r>
      <w:r w:rsidRPr="001D73EC">
        <w:rPr>
          <w:rFonts w:eastAsia="Times New Roman" w:cs="Times New Roman"/>
          <w:lang w:eastAsia="de-DE"/>
        </w:rPr>
        <w:t xml:space="preserve">(Wayyiqtol, 3. m. pl. von </w:t>
      </w:r>
      <w:r w:rsidRPr="001D73EC">
        <w:rPr>
          <w:rFonts w:eastAsia="Times New Roman" w:cs="Times New Roman"/>
          <w:b/>
          <w:bCs/>
          <w:rtl/>
          <w:lang w:eastAsia="de-DE"/>
        </w:rPr>
        <w:t>קהל</w:t>
      </w:r>
      <w:r w:rsidRPr="001D73EC">
        <w:rPr>
          <w:rFonts w:eastAsia="Times New Roman" w:cs="Times New Roman"/>
          <w:rtl/>
          <w:lang w:eastAsia="de-DE"/>
        </w:rPr>
        <w:t xml:space="preserve"> </w:t>
      </w:r>
      <w:r w:rsidRPr="001D73EC">
        <w:rPr>
          <w:rFonts w:eastAsia="Times New Roman" w:cs="Times New Roman"/>
          <w:lang w:eastAsia="de-DE"/>
        </w:rPr>
        <w:t xml:space="preserve">Nifal, „und sie versammelten sich") hat hier negative Konnotation. Die doppelte Präposition </w:t>
      </w:r>
      <w:r w:rsidRPr="001D73EC">
        <w:rPr>
          <w:rFonts w:eastAsia="Times New Roman" w:cs="Times New Roman"/>
          <w:b/>
          <w:bCs/>
          <w:rtl/>
          <w:lang w:eastAsia="de-DE"/>
        </w:rPr>
        <w:t>עַל־מֹשֶׁה וְעַֽל־אַהֲרֹן</w:t>
      </w:r>
      <w:r w:rsidRPr="001D73EC">
        <w:rPr>
          <w:rFonts w:eastAsia="Times New Roman" w:cs="Times New Roman"/>
          <w:rtl/>
          <w:lang w:eastAsia="de-DE"/>
        </w:rPr>
        <w:t xml:space="preserve"> </w:t>
      </w:r>
      <w:r w:rsidRPr="001D73EC">
        <w:rPr>
          <w:rFonts w:eastAsia="Times New Roman" w:cs="Times New Roman"/>
          <w:lang w:eastAsia="de-DE"/>
        </w:rPr>
        <w:t xml:space="preserve">(„gegen Mose und gegen Aaron") mit </w:t>
      </w:r>
      <w:r w:rsidRPr="001D73EC">
        <w:rPr>
          <w:rFonts w:eastAsia="Times New Roman" w:cs="Times New Roman"/>
          <w:b/>
          <w:bCs/>
          <w:rtl/>
          <w:lang w:eastAsia="de-DE"/>
        </w:rPr>
        <w:t>עַל</w:t>
      </w:r>
      <w:r w:rsidRPr="001D73EC">
        <w:rPr>
          <w:rFonts w:eastAsia="Times New Roman" w:cs="Times New Roman"/>
          <w:rtl/>
          <w:lang w:eastAsia="de-DE"/>
        </w:rPr>
        <w:t xml:space="preserve"> </w:t>
      </w:r>
      <w:r w:rsidRPr="001D73EC">
        <w:rPr>
          <w:rFonts w:eastAsia="Times New Roman" w:cs="Times New Roman"/>
          <w:lang w:eastAsia="de-DE"/>
        </w:rPr>
        <w:t>im Sinne von „gegen" zeigt Feindseligkeit, nicht neutrale Versammlung.</w:t>
      </w:r>
    </w:p>
    <w:p w14:paraId="4A6F093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w:t>
      </w:r>
    </w:p>
    <w:p w14:paraId="20C0912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zwei koordinierte Hauptsätze: Der erste mit Konjunktion, Existenznegation, Verb, Subjekt und Präpositionalphrase; der zweite mit Verb und doppelter Präpositionalphrase. Es gibt keine Nebensätze.</w:t>
      </w:r>
    </w:p>
    <w:p w14:paraId="168DE0EF" w14:textId="1008BBA1" w:rsid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verbindet Mirjams Tod mit Wassermangel und erneutem Aufruhr – die alte Generation murrt ein letztes Mal.</w:t>
      </w:r>
    </w:p>
    <w:p w14:paraId="63C9BE72" w14:textId="77777777" w:rsidR="00B00345" w:rsidRDefault="00B00345" w:rsidP="00B00345">
      <w:pPr>
        <w:pStyle w:val="berschrift2"/>
      </w:pPr>
      <w:r>
        <w:rPr>
          <w:rStyle w:val="Fett"/>
          <w:b w:val="0"/>
          <w:bCs w:val="0"/>
        </w:rPr>
        <w:t>Exkurs: Mirjams Tod und der Brunnen Mirjams</w:t>
      </w:r>
    </w:p>
    <w:p w14:paraId="4D9C0776" w14:textId="77777777" w:rsidR="00B00345" w:rsidRDefault="00B00345" w:rsidP="00B00345">
      <w:pPr>
        <w:pStyle w:val="whitespace-normal"/>
      </w:pPr>
      <w:r>
        <w:rPr>
          <w:rStyle w:val="Fett"/>
        </w:rPr>
        <w:t>Numeri 20,1:</w:t>
      </w:r>
    </w:p>
    <w:p w14:paraId="75D710DB" w14:textId="77777777" w:rsidR="00B00345" w:rsidRDefault="00B00345" w:rsidP="00B00345">
      <w:pPr>
        <w:pStyle w:val="whitespace-normal"/>
      </w:pPr>
      <w:r>
        <w:rPr>
          <w:rtl/>
        </w:rPr>
        <w:t>וַתָּמָת שָׁם מִרְיָם וַתִּקָּבֵר שָׁם</w:t>
      </w:r>
      <w:r>
        <w:br/>
        <w:t xml:space="preserve">"Und </w:t>
      </w:r>
      <w:r>
        <w:rPr>
          <w:rStyle w:val="Fett"/>
        </w:rPr>
        <w:t>Mirjam starb dort</w:t>
      </w:r>
      <w:r>
        <w:t xml:space="preserve"> und wurde dort begraben"</w:t>
      </w:r>
    </w:p>
    <w:p w14:paraId="56AE9D57" w14:textId="77777777" w:rsidR="00B00345" w:rsidRDefault="00B00345" w:rsidP="00B00345">
      <w:pPr>
        <w:pStyle w:val="whitespace-normal"/>
      </w:pPr>
      <w:r>
        <w:rPr>
          <w:rStyle w:val="Fett"/>
        </w:rPr>
        <w:t>Numeri 20,2:</w:t>
      </w:r>
    </w:p>
    <w:p w14:paraId="03D6EF25" w14:textId="77777777" w:rsidR="00B00345" w:rsidRDefault="00B00345" w:rsidP="00B00345">
      <w:pPr>
        <w:pStyle w:val="whitespace-normal"/>
      </w:pPr>
      <w:r>
        <w:rPr>
          <w:rtl/>
        </w:rPr>
        <w:t>וְלֹא־הָיָה מַיִם לָעֵדָה</w:t>
      </w:r>
      <w:r>
        <w:br/>
        <w:t xml:space="preserve">"Und </w:t>
      </w:r>
      <w:r>
        <w:rPr>
          <w:rStyle w:val="Fett"/>
        </w:rPr>
        <w:t>es war kein Wasser</w:t>
      </w:r>
      <w:r>
        <w:t xml:space="preserve"> da für die Gemeinde"</w:t>
      </w:r>
    </w:p>
    <w:p w14:paraId="67A11E6E" w14:textId="77777777" w:rsidR="00B00345" w:rsidRDefault="00B00345" w:rsidP="00B00345">
      <w:pPr>
        <w:pStyle w:val="whitespace-normal"/>
      </w:pPr>
      <w:r>
        <w:rPr>
          <w:rStyle w:val="Fett"/>
        </w:rPr>
        <w:t>Die Frage:</w:t>
      </w:r>
    </w:p>
    <w:p w14:paraId="2B194072" w14:textId="77777777" w:rsidR="00B00345" w:rsidRDefault="00B00345" w:rsidP="00B00345">
      <w:pPr>
        <w:pStyle w:val="whitespace-normal"/>
      </w:pPr>
      <w:r>
        <w:t xml:space="preserve">Warum wird Mirjams Tod so </w:t>
      </w:r>
      <w:r>
        <w:rPr>
          <w:rStyle w:val="Fett"/>
        </w:rPr>
        <w:t>lakonisch</w:t>
      </w:r>
      <w:r>
        <w:t xml:space="preserve"> berichtet? Und warum </w:t>
      </w:r>
      <w:r>
        <w:rPr>
          <w:rStyle w:val="Fett"/>
        </w:rPr>
        <w:t>direkt danach</w:t>
      </w:r>
      <w:r>
        <w:t xml:space="preserve"> Wassermangel?</w:t>
      </w:r>
    </w:p>
    <w:p w14:paraId="02CA3121" w14:textId="77777777" w:rsidR="00B00345" w:rsidRDefault="00F329DD" w:rsidP="00B00345">
      <w:r>
        <w:pict w14:anchorId="3B0D0368">
          <v:rect id="_x0000_i1677" style="width:0;height:1.5pt" o:hralign="center" o:hrstd="t" o:hr="t" fillcolor="#a0a0a0" stroked="f"/>
        </w:pict>
      </w:r>
    </w:p>
    <w:p w14:paraId="21CB7F0E" w14:textId="77777777" w:rsidR="00B00345" w:rsidRDefault="00B00345" w:rsidP="00B00345">
      <w:pPr>
        <w:pStyle w:val="berschrift3"/>
      </w:pPr>
      <w:r>
        <w:rPr>
          <w:rStyle w:val="Fett"/>
          <w:b w:val="0"/>
          <w:bCs w:val="0"/>
        </w:rPr>
        <w:lastRenderedPageBreak/>
        <w:t>1. Mirjam - Die vergessene Führerin</w:t>
      </w:r>
    </w:p>
    <w:p w14:paraId="16D5FB2E" w14:textId="1435A4FD" w:rsidR="00B00345" w:rsidRDefault="00B00345" w:rsidP="00B00345">
      <w:pPr>
        <w:pStyle w:val="whitespace-normal"/>
        <w:rPr>
          <w:rStyle w:val="Fett"/>
        </w:rPr>
      </w:pPr>
      <w:r>
        <w:rPr>
          <w:rStyle w:val="Fett"/>
        </w:rPr>
        <w:t>A. Ihre Rolle in der Exodusgeschichte:</w:t>
      </w:r>
    </w:p>
    <w:tbl>
      <w:tblPr>
        <w:tblStyle w:val="Tabellenraster"/>
        <w:tblW w:w="4994" w:type="pct"/>
        <w:tblLook w:val="04A0" w:firstRow="1" w:lastRow="0" w:firstColumn="1" w:lastColumn="0" w:noHBand="0" w:noVBand="1"/>
      </w:tblPr>
      <w:tblGrid>
        <w:gridCol w:w="3015"/>
        <w:gridCol w:w="3018"/>
        <w:gridCol w:w="3018"/>
      </w:tblGrid>
      <w:tr w:rsidR="00913A2D" w14:paraId="0F11D3A3" w14:textId="77777777" w:rsidTr="00D2023B">
        <w:tc>
          <w:tcPr>
            <w:tcW w:w="1666" w:type="pct"/>
            <w:vAlign w:val="center"/>
          </w:tcPr>
          <w:p w14:paraId="0E3D98DA" w14:textId="3CFDE8F8" w:rsidR="00913A2D" w:rsidRDefault="00913A2D" w:rsidP="00913A2D">
            <w:pPr>
              <w:pStyle w:val="whitespace-normal"/>
            </w:pPr>
            <w:r>
              <w:rPr>
                <w:b/>
                <w:bCs/>
              </w:rPr>
              <w:t>Stelle</w:t>
            </w:r>
          </w:p>
        </w:tc>
        <w:tc>
          <w:tcPr>
            <w:tcW w:w="1667" w:type="pct"/>
            <w:vAlign w:val="center"/>
          </w:tcPr>
          <w:p w14:paraId="6C1D8A88" w14:textId="73DF5646" w:rsidR="00913A2D" w:rsidRDefault="00913A2D" w:rsidP="00913A2D">
            <w:pPr>
              <w:pStyle w:val="whitespace-normal"/>
            </w:pPr>
            <w:r>
              <w:rPr>
                <w:b/>
                <w:bCs/>
              </w:rPr>
              <w:t>Rolle</w:t>
            </w:r>
          </w:p>
        </w:tc>
        <w:tc>
          <w:tcPr>
            <w:tcW w:w="1667" w:type="pct"/>
            <w:vAlign w:val="center"/>
          </w:tcPr>
          <w:p w14:paraId="44586B1B" w14:textId="59FDA6A7" w:rsidR="00913A2D" w:rsidRDefault="00913A2D" w:rsidP="00913A2D">
            <w:pPr>
              <w:pStyle w:val="whitespace-normal"/>
            </w:pPr>
            <w:r>
              <w:rPr>
                <w:b/>
                <w:bCs/>
              </w:rPr>
              <w:t>Bedeutung</w:t>
            </w:r>
          </w:p>
        </w:tc>
      </w:tr>
      <w:tr w:rsidR="00913A2D" w14:paraId="395CE605" w14:textId="77777777" w:rsidTr="00E63ED2">
        <w:tc>
          <w:tcPr>
            <w:tcW w:w="1666" w:type="pct"/>
            <w:vAlign w:val="center"/>
          </w:tcPr>
          <w:p w14:paraId="39F0CC1D" w14:textId="38DBFFF7" w:rsidR="00913A2D" w:rsidRDefault="00913A2D" w:rsidP="00913A2D">
            <w:pPr>
              <w:pStyle w:val="whitespace-normal"/>
            </w:pPr>
            <w:r>
              <w:rPr>
                <w:rStyle w:val="Fett"/>
              </w:rPr>
              <w:t>Ex 2,4-8</w:t>
            </w:r>
          </w:p>
        </w:tc>
        <w:tc>
          <w:tcPr>
            <w:tcW w:w="1667" w:type="pct"/>
            <w:vAlign w:val="center"/>
          </w:tcPr>
          <w:p w14:paraId="65D33B57" w14:textId="6AF76E96" w:rsidR="00913A2D" w:rsidRDefault="00913A2D" w:rsidP="00913A2D">
            <w:pPr>
              <w:pStyle w:val="whitespace-normal"/>
            </w:pPr>
            <w:r>
              <w:t>Rettet Mose als Baby</w:t>
            </w:r>
          </w:p>
        </w:tc>
        <w:tc>
          <w:tcPr>
            <w:tcW w:w="1667" w:type="pct"/>
            <w:vAlign w:val="center"/>
          </w:tcPr>
          <w:p w14:paraId="73986B65" w14:textId="315A51C0" w:rsidR="00913A2D" w:rsidRDefault="00913A2D" w:rsidP="00913A2D">
            <w:pPr>
              <w:pStyle w:val="whitespace-normal"/>
            </w:pPr>
            <w:r>
              <w:rPr>
                <w:rStyle w:val="Fett"/>
              </w:rPr>
              <w:t>Vermittlerin</w:t>
            </w:r>
            <w:r>
              <w:t xml:space="preserve"> der Rettung</w:t>
            </w:r>
          </w:p>
        </w:tc>
      </w:tr>
      <w:tr w:rsidR="00913A2D" w14:paraId="69B95897" w14:textId="77777777" w:rsidTr="00662459">
        <w:tc>
          <w:tcPr>
            <w:tcW w:w="1666" w:type="pct"/>
            <w:vAlign w:val="center"/>
          </w:tcPr>
          <w:p w14:paraId="3BF1300C" w14:textId="198960A0" w:rsidR="00913A2D" w:rsidRDefault="00913A2D" w:rsidP="00913A2D">
            <w:pPr>
              <w:pStyle w:val="whitespace-normal"/>
            </w:pPr>
            <w:r>
              <w:rPr>
                <w:rStyle w:val="Fett"/>
              </w:rPr>
              <w:t>Ex 15,20-21</w:t>
            </w:r>
          </w:p>
        </w:tc>
        <w:tc>
          <w:tcPr>
            <w:tcW w:w="1667" w:type="pct"/>
            <w:vAlign w:val="center"/>
          </w:tcPr>
          <w:p w14:paraId="2ECD1B38" w14:textId="464C8D3A" w:rsidR="00913A2D" w:rsidRDefault="00913A2D" w:rsidP="00913A2D">
            <w:pPr>
              <w:pStyle w:val="whitespace-normal"/>
            </w:pPr>
            <w:r>
              <w:rPr>
                <w:rStyle w:val="Fett"/>
              </w:rPr>
              <w:t>Prophetin</w:t>
            </w:r>
            <w:r>
              <w:t xml:space="preserve"> (</w:t>
            </w:r>
            <w:r>
              <w:rPr>
                <w:rtl/>
              </w:rPr>
              <w:t>הַנְּבִיאָה</w:t>
            </w:r>
            <w:r>
              <w:t>), führt Lobgesang</w:t>
            </w:r>
          </w:p>
        </w:tc>
        <w:tc>
          <w:tcPr>
            <w:tcW w:w="1667" w:type="pct"/>
            <w:vAlign w:val="center"/>
          </w:tcPr>
          <w:p w14:paraId="0D9A0B8A" w14:textId="01D2BF45" w:rsidR="00913A2D" w:rsidRDefault="00913A2D" w:rsidP="00913A2D">
            <w:pPr>
              <w:pStyle w:val="whitespace-normal"/>
            </w:pPr>
            <w:r>
              <w:rPr>
                <w:rStyle w:val="Fett"/>
              </w:rPr>
              <w:t>Geistliche Führerin</w:t>
            </w:r>
          </w:p>
        </w:tc>
      </w:tr>
      <w:tr w:rsidR="00913A2D" w14:paraId="42D0ED93" w14:textId="77777777" w:rsidTr="00991781">
        <w:tc>
          <w:tcPr>
            <w:tcW w:w="1666" w:type="pct"/>
            <w:vAlign w:val="center"/>
          </w:tcPr>
          <w:p w14:paraId="0688802F" w14:textId="6D3FC501" w:rsidR="00913A2D" w:rsidRDefault="00913A2D" w:rsidP="00913A2D">
            <w:pPr>
              <w:pStyle w:val="whitespace-normal"/>
            </w:pPr>
            <w:r>
              <w:rPr>
                <w:rStyle w:val="Fett"/>
              </w:rPr>
              <w:t>Num 12,1-15</w:t>
            </w:r>
          </w:p>
        </w:tc>
        <w:tc>
          <w:tcPr>
            <w:tcW w:w="1667" w:type="pct"/>
            <w:vAlign w:val="center"/>
          </w:tcPr>
          <w:p w14:paraId="3DAA510F" w14:textId="4275A309" w:rsidR="00913A2D" w:rsidRDefault="00913A2D" w:rsidP="00913A2D">
            <w:pPr>
              <w:pStyle w:val="whitespace-normal"/>
            </w:pPr>
            <w:r>
              <w:t>Rebelliert gegen Mose → Aussatz → Heilung</w:t>
            </w:r>
          </w:p>
        </w:tc>
        <w:tc>
          <w:tcPr>
            <w:tcW w:w="1667" w:type="pct"/>
            <w:vAlign w:val="center"/>
          </w:tcPr>
          <w:p w14:paraId="49F478F3" w14:textId="35FC6ADC" w:rsidR="00913A2D" w:rsidRDefault="00913A2D" w:rsidP="00913A2D">
            <w:pPr>
              <w:pStyle w:val="whitespace-normal"/>
            </w:pPr>
            <w:r>
              <w:rPr>
                <w:rStyle w:val="Fett"/>
              </w:rPr>
              <w:t>Mit-Führerin</w:t>
            </w:r>
            <w:r>
              <w:t xml:space="preserve"> (aber untergeordnet)</w:t>
            </w:r>
          </w:p>
        </w:tc>
      </w:tr>
      <w:tr w:rsidR="00913A2D" w14:paraId="208C1A2B" w14:textId="77777777" w:rsidTr="00991781">
        <w:tc>
          <w:tcPr>
            <w:tcW w:w="1666" w:type="pct"/>
            <w:vAlign w:val="center"/>
          </w:tcPr>
          <w:p w14:paraId="6436FE6F" w14:textId="2F9C448D" w:rsidR="00913A2D" w:rsidRDefault="00913A2D" w:rsidP="00913A2D">
            <w:pPr>
              <w:pStyle w:val="whitespace-normal"/>
            </w:pPr>
            <w:r>
              <w:rPr>
                <w:rStyle w:val="Fett"/>
              </w:rPr>
              <w:t>Num 20,1</w:t>
            </w:r>
          </w:p>
        </w:tc>
        <w:tc>
          <w:tcPr>
            <w:tcW w:w="1667" w:type="pct"/>
            <w:vAlign w:val="center"/>
          </w:tcPr>
          <w:p w14:paraId="2CCBE6F4" w14:textId="18FEABC4" w:rsidR="00913A2D" w:rsidRDefault="00913A2D" w:rsidP="00913A2D">
            <w:pPr>
              <w:pStyle w:val="whitespace-normal"/>
            </w:pPr>
            <w:r>
              <w:rPr>
                <w:rStyle w:val="Fett"/>
              </w:rPr>
              <w:t>Tod</w:t>
            </w:r>
            <w:r>
              <w:t xml:space="preserve"> (ohne Kommentar)</w:t>
            </w:r>
          </w:p>
        </w:tc>
        <w:tc>
          <w:tcPr>
            <w:tcW w:w="1667" w:type="pct"/>
            <w:vAlign w:val="center"/>
          </w:tcPr>
          <w:p w14:paraId="2567F76F" w14:textId="7D10502C" w:rsidR="00913A2D" w:rsidRDefault="00913A2D" w:rsidP="00913A2D">
            <w:pPr>
              <w:pStyle w:val="whitespace-normal"/>
            </w:pPr>
            <w:r>
              <w:rPr>
                <w:rStyle w:val="Fett"/>
              </w:rPr>
              <w:t>Ende einer Ära</w:t>
            </w:r>
          </w:p>
        </w:tc>
      </w:tr>
    </w:tbl>
    <w:p w14:paraId="7B9CD96C" w14:textId="77777777" w:rsidR="00B00345" w:rsidRDefault="00B00345" w:rsidP="00B00345">
      <w:pPr>
        <w:pStyle w:val="whitespace-normal"/>
      </w:pPr>
      <w:r>
        <w:rPr>
          <w:rStyle w:val="Fett"/>
        </w:rPr>
        <w:t>Micha 6,4:</w:t>
      </w:r>
    </w:p>
    <w:p w14:paraId="4B4DECD5" w14:textId="77777777" w:rsidR="00B00345" w:rsidRDefault="00B00345" w:rsidP="00B00345">
      <w:pPr>
        <w:pStyle w:val="whitespace-normal"/>
      </w:pPr>
      <w:r>
        <w:rPr>
          <w:rtl/>
        </w:rPr>
        <w:t>וָאֶשְׁלַח לְפָנֶיךָ אֶת־</w:t>
      </w:r>
      <w:r>
        <w:rPr>
          <w:rStyle w:val="Fett"/>
          <w:rtl/>
        </w:rPr>
        <w:t>מֹשֶׁה אַהֲרֹן וּמִרְיָם</w:t>
      </w:r>
      <w:r>
        <w:br/>
        <w:t xml:space="preserve">"Und ich sandte </w:t>
      </w:r>
      <w:r>
        <w:rPr>
          <w:rStyle w:val="Fett"/>
        </w:rPr>
        <w:t>vor dir her Mose, Aaron und Mirjam</w:t>
      </w:r>
      <w:r>
        <w:t>"</w:t>
      </w:r>
    </w:p>
    <w:p w14:paraId="0783971A" w14:textId="77777777" w:rsidR="00B00345" w:rsidRDefault="00B00345" w:rsidP="00B00345">
      <w:pPr>
        <w:pStyle w:val="whitespace-normal"/>
      </w:pPr>
      <w:r>
        <w:rPr>
          <w:rStyle w:val="Fett"/>
        </w:rPr>
        <w:t>→ Mirjam wird als gleichrangige Führerin mit Mose und Aaron genannt!</w:t>
      </w:r>
    </w:p>
    <w:p w14:paraId="5E486D40" w14:textId="77777777" w:rsidR="00B00345" w:rsidRDefault="00F329DD" w:rsidP="00B00345">
      <w:r>
        <w:pict w14:anchorId="7D4887AA">
          <v:rect id="_x0000_i1678" style="width:0;height:1.5pt" o:hralign="center" o:hrstd="t" o:hr="t" fillcolor="#a0a0a0" stroked="f"/>
        </w:pict>
      </w:r>
    </w:p>
    <w:p w14:paraId="1B9421EB" w14:textId="77777777" w:rsidR="00B00345" w:rsidRDefault="00B00345" w:rsidP="00B00345">
      <w:pPr>
        <w:pStyle w:val="whitespace-normal"/>
      </w:pPr>
      <w:r>
        <w:rPr>
          <w:rStyle w:val="Fett"/>
        </w:rPr>
        <w:t>B. Warum so lakonisch?</w:t>
      </w:r>
    </w:p>
    <w:p w14:paraId="1CE5FCE7" w14:textId="2B770797" w:rsidR="00B00345" w:rsidRDefault="00B00345" w:rsidP="00B00345">
      <w:pPr>
        <w:pStyle w:val="whitespace-normal"/>
        <w:rPr>
          <w:rStyle w:val="Fett"/>
        </w:rPr>
      </w:pPr>
      <w:r>
        <w:rPr>
          <w:rStyle w:val="Fett"/>
        </w:rPr>
        <w:t>Vergleich der drei Todesfälle:</w:t>
      </w:r>
    </w:p>
    <w:tbl>
      <w:tblPr>
        <w:tblStyle w:val="Tabellenraster"/>
        <w:tblW w:w="4994" w:type="pct"/>
        <w:tblLook w:val="04A0" w:firstRow="1" w:lastRow="0" w:firstColumn="1" w:lastColumn="0" w:noHBand="0" w:noVBand="1"/>
      </w:tblPr>
      <w:tblGrid>
        <w:gridCol w:w="2124"/>
        <w:gridCol w:w="1982"/>
        <w:gridCol w:w="2127"/>
        <w:gridCol w:w="2818"/>
      </w:tblGrid>
      <w:tr w:rsidR="00913A2D" w14:paraId="770DBC4D" w14:textId="77777777" w:rsidTr="00913A2D">
        <w:tc>
          <w:tcPr>
            <w:tcW w:w="1173" w:type="pct"/>
            <w:vAlign w:val="center"/>
          </w:tcPr>
          <w:p w14:paraId="58ABFC4B" w14:textId="243367C4" w:rsidR="00913A2D" w:rsidRDefault="00913A2D" w:rsidP="00913A2D">
            <w:pPr>
              <w:pStyle w:val="whitespace-normal"/>
            </w:pPr>
            <w:r>
              <w:rPr>
                <w:b/>
                <w:bCs/>
              </w:rPr>
              <w:t>Person</w:t>
            </w:r>
          </w:p>
        </w:tc>
        <w:tc>
          <w:tcPr>
            <w:tcW w:w="1095" w:type="pct"/>
            <w:vAlign w:val="center"/>
          </w:tcPr>
          <w:p w14:paraId="58FAB54B" w14:textId="6320A2EB" w:rsidR="00913A2D" w:rsidRDefault="00913A2D" w:rsidP="00913A2D">
            <w:pPr>
              <w:pStyle w:val="whitespace-normal"/>
            </w:pPr>
            <w:r>
              <w:rPr>
                <w:b/>
                <w:bCs/>
              </w:rPr>
              <w:t>Tod</w:t>
            </w:r>
          </w:p>
        </w:tc>
        <w:tc>
          <w:tcPr>
            <w:tcW w:w="1175" w:type="pct"/>
            <w:vAlign w:val="center"/>
          </w:tcPr>
          <w:p w14:paraId="2509D53D" w14:textId="7616ED9B" w:rsidR="00913A2D" w:rsidRDefault="00913A2D" w:rsidP="00913A2D">
            <w:pPr>
              <w:pStyle w:val="whitespace-normal"/>
            </w:pPr>
            <w:r>
              <w:rPr>
                <w:b/>
                <w:bCs/>
              </w:rPr>
              <w:t>Trauerzeit</w:t>
            </w:r>
          </w:p>
        </w:tc>
        <w:tc>
          <w:tcPr>
            <w:tcW w:w="1557" w:type="pct"/>
            <w:vAlign w:val="center"/>
          </w:tcPr>
          <w:p w14:paraId="05465A95" w14:textId="68A64426" w:rsidR="00913A2D" w:rsidRDefault="00913A2D" w:rsidP="00913A2D">
            <w:pPr>
              <w:pStyle w:val="whitespace-normal"/>
            </w:pPr>
            <w:r>
              <w:rPr>
                <w:b/>
                <w:bCs/>
              </w:rPr>
              <w:t>Besonderheiten</w:t>
            </w:r>
          </w:p>
        </w:tc>
      </w:tr>
      <w:tr w:rsidR="00913A2D" w14:paraId="60B86647" w14:textId="77777777" w:rsidTr="00913A2D">
        <w:tc>
          <w:tcPr>
            <w:tcW w:w="1173" w:type="pct"/>
            <w:vAlign w:val="center"/>
          </w:tcPr>
          <w:p w14:paraId="64FDBC53" w14:textId="768C06BD" w:rsidR="00913A2D" w:rsidRDefault="00913A2D" w:rsidP="00913A2D">
            <w:pPr>
              <w:pStyle w:val="whitespace-normal"/>
            </w:pPr>
            <w:r>
              <w:rPr>
                <w:rStyle w:val="Fett"/>
              </w:rPr>
              <w:t>Mirjam</w:t>
            </w:r>
            <w:r>
              <w:t xml:space="preserve"> (20,1)</w:t>
            </w:r>
          </w:p>
        </w:tc>
        <w:tc>
          <w:tcPr>
            <w:tcW w:w="1095" w:type="pct"/>
            <w:vAlign w:val="center"/>
          </w:tcPr>
          <w:p w14:paraId="752E9AC9" w14:textId="74EB7745" w:rsidR="00913A2D" w:rsidRDefault="00913A2D" w:rsidP="00913A2D">
            <w:pPr>
              <w:pStyle w:val="whitespace-normal"/>
              <w:jc w:val="right"/>
            </w:pPr>
            <w:r>
              <w:rPr>
                <w:rtl/>
              </w:rPr>
              <w:t>וַתָּמָת שָׁם וַתִּקָּבֵר שָׁם</w:t>
            </w:r>
          </w:p>
        </w:tc>
        <w:tc>
          <w:tcPr>
            <w:tcW w:w="1175" w:type="pct"/>
            <w:vAlign w:val="center"/>
          </w:tcPr>
          <w:p w14:paraId="17F4FAAC" w14:textId="084B8097" w:rsidR="00913A2D" w:rsidRDefault="00913A2D" w:rsidP="00913A2D">
            <w:pPr>
              <w:pStyle w:val="whitespace-normal"/>
            </w:pPr>
            <w:r>
              <w:rPr>
                <w:rStyle w:val="Fett"/>
              </w:rPr>
              <w:t>KEINE</w:t>
            </w:r>
            <w:r>
              <w:t xml:space="preserve"> erwähnt</w:t>
            </w:r>
          </w:p>
        </w:tc>
        <w:tc>
          <w:tcPr>
            <w:tcW w:w="1557" w:type="pct"/>
            <w:vAlign w:val="center"/>
          </w:tcPr>
          <w:p w14:paraId="2C415075" w14:textId="5390D155" w:rsidR="00913A2D" w:rsidRDefault="00913A2D" w:rsidP="00913A2D">
            <w:pPr>
              <w:pStyle w:val="whitespace-normal"/>
            </w:pPr>
            <w:r>
              <w:t>Nur 1 Vers, keine Details</w:t>
            </w:r>
          </w:p>
        </w:tc>
      </w:tr>
      <w:tr w:rsidR="00913A2D" w14:paraId="63965C89" w14:textId="77777777" w:rsidTr="00913A2D">
        <w:tc>
          <w:tcPr>
            <w:tcW w:w="1173" w:type="pct"/>
            <w:vAlign w:val="center"/>
          </w:tcPr>
          <w:p w14:paraId="1D38A077" w14:textId="75BB97B9" w:rsidR="00913A2D" w:rsidRDefault="00913A2D" w:rsidP="00913A2D">
            <w:pPr>
              <w:pStyle w:val="whitespace-normal"/>
            </w:pPr>
            <w:r>
              <w:rPr>
                <w:rStyle w:val="Fett"/>
              </w:rPr>
              <w:t>Aaron</w:t>
            </w:r>
            <w:r>
              <w:t xml:space="preserve"> (20,28-29)</w:t>
            </w:r>
          </w:p>
        </w:tc>
        <w:tc>
          <w:tcPr>
            <w:tcW w:w="1095" w:type="pct"/>
            <w:vAlign w:val="center"/>
          </w:tcPr>
          <w:p w14:paraId="2070B393" w14:textId="38B878FD" w:rsidR="00913A2D" w:rsidRDefault="00913A2D" w:rsidP="00913A2D">
            <w:pPr>
              <w:pStyle w:val="whitespace-normal"/>
              <w:jc w:val="right"/>
            </w:pPr>
            <w:r>
              <w:rPr>
                <w:rtl/>
              </w:rPr>
              <w:t>וַיָּמָת אַהֲרֹן שָׁם</w:t>
            </w:r>
          </w:p>
        </w:tc>
        <w:tc>
          <w:tcPr>
            <w:tcW w:w="1175" w:type="pct"/>
            <w:vAlign w:val="center"/>
          </w:tcPr>
          <w:p w14:paraId="1EA5C6AD" w14:textId="1806413A" w:rsidR="00913A2D" w:rsidRDefault="00913A2D" w:rsidP="00913A2D">
            <w:pPr>
              <w:pStyle w:val="whitespace-normal"/>
            </w:pPr>
            <w:r>
              <w:rPr>
                <w:rStyle w:val="Fett"/>
              </w:rPr>
              <w:t>30 Tage</w:t>
            </w:r>
            <w:r>
              <w:t xml:space="preserve"> (</w:t>
            </w:r>
            <w:r>
              <w:rPr>
                <w:rtl/>
              </w:rPr>
              <w:t>כָּל בֵּית יִשְׂרָאֵל</w:t>
            </w:r>
            <w:r>
              <w:t>)</w:t>
            </w:r>
          </w:p>
        </w:tc>
        <w:tc>
          <w:tcPr>
            <w:tcW w:w="1557" w:type="pct"/>
            <w:vAlign w:val="center"/>
          </w:tcPr>
          <w:p w14:paraId="58C39E22" w14:textId="43011434" w:rsidR="00913A2D" w:rsidRDefault="00913A2D" w:rsidP="00913A2D">
            <w:pPr>
              <w:pStyle w:val="whitespace-normal"/>
            </w:pPr>
            <w:r>
              <w:t>Ritual auf Berg Hor, Amtsübergabe</w:t>
            </w:r>
          </w:p>
        </w:tc>
      </w:tr>
      <w:tr w:rsidR="00913A2D" w14:paraId="41C8BF04" w14:textId="77777777" w:rsidTr="00913A2D">
        <w:tc>
          <w:tcPr>
            <w:tcW w:w="1173" w:type="pct"/>
            <w:vAlign w:val="center"/>
          </w:tcPr>
          <w:p w14:paraId="1A68D9F9" w14:textId="1B70E955" w:rsidR="00913A2D" w:rsidRDefault="00913A2D" w:rsidP="00913A2D">
            <w:pPr>
              <w:pStyle w:val="whitespace-normal"/>
            </w:pPr>
            <w:r>
              <w:rPr>
                <w:rStyle w:val="Fett"/>
              </w:rPr>
              <w:t>Mose</w:t>
            </w:r>
            <w:r>
              <w:t xml:space="preserve"> (Dtn 34,5-8)</w:t>
            </w:r>
          </w:p>
        </w:tc>
        <w:tc>
          <w:tcPr>
            <w:tcW w:w="1095" w:type="pct"/>
            <w:vAlign w:val="center"/>
          </w:tcPr>
          <w:p w14:paraId="437EF601" w14:textId="55B41E92" w:rsidR="00913A2D" w:rsidRDefault="00913A2D" w:rsidP="00913A2D">
            <w:pPr>
              <w:pStyle w:val="whitespace-normal"/>
              <w:jc w:val="right"/>
            </w:pPr>
            <w:r>
              <w:rPr>
                <w:rtl/>
              </w:rPr>
              <w:t>וַיָּמָת שָׁם מֹשֶׁה</w:t>
            </w:r>
          </w:p>
        </w:tc>
        <w:tc>
          <w:tcPr>
            <w:tcW w:w="1175" w:type="pct"/>
            <w:vAlign w:val="center"/>
          </w:tcPr>
          <w:p w14:paraId="78B06851" w14:textId="7A05A5D2" w:rsidR="00913A2D" w:rsidRDefault="00913A2D" w:rsidP="00913A2D">
            <w:pPr>
              <w:pStyle w:val="whitespace-normal"/>
            </w:pPr>
            <w:r>
              <w:rPr>
                <w:rStyle w:val="Fett"/>
              </w:rPr>
              <w:t>30 Tage</w:t>
            </w:r>
            <w:r>
              <w:t xml:space="preserve"> (</w:t>
            </w:r>
            <w:r>
              <w:rPr>
                <w:rtl/>
              </w:rPr>
              <w:t>בְּנֵי יִשְׂרָאֵל</w:t>
            </w:r>
            <w:r>
              <w:t>)</w:t>
            </w:r>
          </w:p>
        </w:tc>
        <w:tc>
          <w:tcPr>
            <w:tcW w:w="1557" w:type="pct"/>
            <w:vAlign w:val="center"/>
          </w:tcPr>
          <w:p w14:paraId="229ED11B" w14:textId="45B760E0" w:rsidR="00913A2D" w:rsidRDefault="00913A2D" w:rsidP="00913A2D">
            <w:pPr>
              <w:pStyle w:val="whitespace-normal"/>
            </w:pPr>
            <w:r>
              <w:t>Gott selbst begräbt ihn!</w:t>
            </w:r>
          </w:p>
        </w:tc>
      </w:tr>
    </w:tbl>
    <w:p w14:paraId="53022B33" w14:textId="77777777" w:rsidR="00B00345" w:rsidRDefault="00B00345" w:rsidP="00B00345">
      <w:pPr>
        <w:pStyle w:val="whitespace-normal"/>
      </w:pPr>
      <w:r>
        <w:rPr>
          <w:rStyle w:val="Fett"/>
        </w:rPr>
        <w:t>→ Nur Mirjam: KEINE Trauerzeit erwähnt, KEINE Würdigung, KEINE Details!</w:t>
      </w:r>
    </w:p>
    <w:p w14:paraId="154021CA" w14:textId="77777777" w:rsidR="00B00345" w:rsidRDefault="00B00345" w:rsidP="00B00345">
      <w:pPr>
        <w:pStyle w:val="whitespace-normal"/>
      </w:pPr>
      <w:r>
        <w:rPr>
          <w:rStyle w:val="Fett"/>
        </w:rPr>
        <w:t>Mögliche Gründe:</w:t>
      </w:r>
    </w:p>
    <w:p w14:paraId="585D0930" w14:textId="77777777" w:rsidR="00B00345" w:rsidRDefault="00B00345" w:rsidP="00B358B7">
      <w:pPr>
        <w:pStyle w:val="whitespace-normal"/>
        <w:numPr>
          <w:ilvl w:val="0"/>
          <w:numId w:val="177"/>
        </w:numPr>
      </w:pPr>
      <w:r>
        <w:rPr>
          <w:rStyle w:val="Fett"/>
        </w:rPr>
        <w:t>Patriarchalische Erzählstruktur:</w:t>
      </w:r>
      <w:r>
        <w:t xml:space="preserve"> Frauen werden oft weniger ausführlich behandelt (trotz ihrer Bedeutung)</w:t>
      </w:r>
    </w:p>
    <w:p w14:paraId="0436693B" w14:textId="77777777" w:rsidR="00B00345" w:rsidRDefault="00B00345" w:rsidP="00B358B7">
      <w:pPr>
        <w:pStyle w:val="whitespace-normal"/>
        <w:numPr>
          <w:ilvl w:val="0"/>
          <w:numId w:val="177"/>
        </w:numPr>
      </w:pPr>
      <w:r>
        <w:rPr>
          <w:rStyle w:val="Fett"/>
        </w:rPr>
        <w:t>Fokus auf Priestertum:</w:t>
      </w:r>
      <w:r>
        <w:t xml:space="preserve"> Aaron ist Hoherpriester → ausführlicher</w:t>
      </w:r>
    </w:p>
    <w:p w14:paraId="366FBA66" w14:textId="77777777" w:rsidR="00B00345" w:rsidRDefault="00B00345" w:rsidP="00B358B7">
      <w:pPr>
        <w:pStyle w:val="whitespace-normal"/>
        <w:numPr>
          <w:ilvl w:val="0"/>
          <w:numId w:val="177"/>
        </w:numPr>
      </w:pPr>
      <w:r>
        <w:rPr>
          <w:rStyle w:val="Fett"/>
        </w:rPr>
        <w:t>Fokus auf Prophetie/Gesetz:</w:t>
      </w:r>
      <w:r>
        <w:t xml:space="preserve"> Mose ist der Gesetzgeber → ausführlicher</w:t>
      </w:r>
    </w:p>
    <w:p w14:paraId="774EBD35" w14:textId="77777777" w:rsidR="00B00345" w:rsidRDefault="00B00345" w:rsidP="00B358B7">
      <w:pPr>
        <w:pStyle w:val="whitespace-normal"/>
        <w:numPr>
          <w:ilvl w:val="0"/>
          <w:numId w:val="177"/>
        </w:numPr>
      </w:pPr>
      <w:r>
        <w:rPr>
          <w:rStyle w:val="Fett"/>
        </w:rPr>
        <w:t>Aber:</w:t>
      </w:r>
      <w:r>
        <w:t xml:space="preserve"> Die rabbinische Tradition </w:t>
      </w:r>
      <w:r>
        <w:rPr>
          <w:rStyle w:val="Fett"/>
        </w:rPr>
        <w:t>korrigiert</w:t>
      </w:r>
      <w:r>
        <w:t xml:space="preserve"> diese Lakonie!</w:t>
      </w:r>
    </w:p>
    <w:p w14:paraId="22BD9883" w14:textId="77777777" w:rsidR="00B00345" w:rsidRDefault="00F329DD" w:rsidP="00B00345">
      <w:r>
        <w:pict w14:anchorId="6289919F">
          <v:rect id="_x0000_i1679" style="width:0;height:1.5pt" o:hralign="center" o:hrstd="t" o:hr="t" fillcolor="#a0a0a0" stroked="f"/>
        </w:pict>
      </w:r>
    </w:p>
    <w:p w14:paraId="5E908F9D" w14:textId="77777777" w:rsidR="00B00345" w:rsidRDefault="00B00345" w:rsidP="00B00345">
      <w:pPr>
        <w:pStyle w:val="berschrift3"/>
      </w:pPr>
      <w:r>
        <w:rPr>
          <w:rStyle w:val="Fett"/>
          <w:b w:val="0"/>
          <w:bCs w:val="0"/>
        </w:rPr>
        <w:t>2. Der "Brunnen Mirjams" (</w:t>
      </w:r>
      <w:r>
        <w:rPr>
          <w:rStyle w:val="Fett"/>
          <w:b w:val="0"/>
          <w:bCs w:val="0"/>
          <w:rtl/>
        </w:rPr>
        <w:t>באר מרים</w:t>
      </w:r>
      <w:r>
        <w:rPr>
          <w:rStyle w:val="Fett"/>
          <w:b w:val="0"/>
          <w:bCs w:val="0"/>
        </w:rPr>
        <w:t>)</w:t>
      </w:r>
    </w:p>
    <w:p w14:paraId="6AE25273" w14:textId="77777777" w:rsidR="00B00345" w:rsidRDefault="00B00345" w:rsidP="00B00345">
      <w:pPr>
        <w:pStyle w:val="whitespace-normal"/>
      </w:pPr>
      <w:r>
        <w:rPr>
          <w:rStyle w:val="Fett"/>
        </w:rPr>
        <w:t>Talmud Taanit 9a:</w:t>
      </w:r>
    </w:p>
    <w:p w14:paraId="0781EC82" w14:textId="77777777" w:rsidR="00B00345" w:rsidRDefault="00B00345" w:rsidP="00B00345">
      <w:pPr>
        <w:pStyle w:val="whitespace-normal"/>
      </w:pPr>
      <w:r>
        <w:t xml:space="preserve">"Rabbi Yose, Sohn des Rabbi Yehuda, sagte: Drei gute Versorger standen für Israel auf: </w:t>
      </w:r>
      <w:r>
        <w:rPr>
          <w:rStyle w:val="Fett"/>
        </w:rPr>
        <w:t>Mose, Aaron und Mirjam</w:t>
      </w:r>
      <w:r>
        <w:t xml:space="preserve">. Und drei gute Gaben wurden ihretwegen gegeben: </w:t>
      </w:r>
      <w:r>
        <w:rPr>
          <w:rStyle w:val="Fett"/>
        </w:rPr>
        <w:t>Der Brunnen</w:t>
      </w:r>
      <w:r>
        <w:t xml:space="preserve"> </w:t>
      </w:r>
      <w:r>
        <w:lastRenderedPageBreak/>
        <w:t xml:space="preserve">(wegen Mirjam), </w:t>
      </w:r>
      <w:r>
        <w:rPr>
          <w:rStyle w:val="Fett"/>
        </w:rPr>
        <w:t>die Wolkensäule</w:t>
      </w:r>
      <w:r>
        <w:t xml:space="preserve"> (wegen Aaron), und </w:t>
      </w:r>
      <w:r>
        <w:rPr>
          <w:rStyle w:val="Fett"/>
        </w:rPr>
        <w:t>das Manna</w:t>
      </w:r>
      <w:r>
        <w:t xml:space="preserve"> (wegen Mose). Als </w:t>
      </w:r>
      <w:r>
        <w:rPr>
          <w:rStyle w:val="Fett"/>
        </w:rPr>
        <w:t>Mirjam starb</w:t>
      </w:r>
      <w:r>
        <w:t xml:space="preserve">, </w:t>
      </w:r>
      <w:r>
        <w:rPr>
          <w:rStyle w:val="Fett"/>
        </w:rPr>
        <w:t>verschwand der Brunnen</w:t>
      </w:r>
      <w:r>
        <w:t>, wie es heißt: 'Und Mirjam starb dort' (Num 20,1), und unmittelbar danach: 'Und es war kein Wasser da' (Num 20,2)."</w:t>
      </w:r>
    </w:p>
    <w:p w14:paraId="1E5AEBE7" w14:textId="77777777" w:rsidR="00B00345" w:rsidRDefault="00B00345" w:rsidP="00B00345">
      <w:pPr>
        <w:pStyle w:val="whitespace-normal"/>
      </w:pPr>
      <w:r>
        <w:rPr>
          <w:rStyle w:val="Fett"/>
        </w:rPr>
        <w:t>→ Die Rabbinen verbinden Mirjams Tod direkt mit Wassermangel!</w:t>
      </w:r>
    </w:p>
    <w:p w14:paraId="2118CAFF" w14:textId="77777777" w:rsidR="00B00345" w:rsidRDefault="00B00345" w:rsidP="00B00345">
      <w:pPr>
        <w:pStyle w:val="whitespace-normal"/>
      </w:pPr>
      <w:r>
        <w:rPr>
          <w:rStyle w:val="Fett"/>
        </w:rPr>
        <w:t>Die Legende:</w:t>
      </w:r>
    </w:p>
    <w:p w14:paraId="4F305674" w14:textId="77777777" w:rsidR="00B00345" w:rsidRDefault="00B00345" w:rsidP="00B00345">
      <w:pPr>
        <w:pStyle w:val="whitespace-normal"/>
      </w:pPr>
      <w:r>
        <w:t xml:space="preserve">Nach rabbinischer Tradition gab es einen </w:t>
      </w:r>
      <w:r>
        <w:rPr>
          <w:rStyle w:val="Fett"/>
        </w:rPr>
        <w:t>wunderbaren Brunnen</w:t>
      </w:r>
      <w:r>
        <w:t xml:space="preserve"> (ein rollender Felsen mit Wasser), der Israel durch die Wüste begleitete – der </w:t>
      </w:r>
      <w:r>
        <w:rPr>
          <w:rStyle w:val="Fett"/>
        </w:rPr>
        <w:t>"Brunnen Mirjams"</w:t>
      </w:r>
      <w:r>
        <w:t xml:space="preserve"> (</w:t>
      </w:r>
      <w:r>
        <w:rPr>
          <w:rtl/>
        </w:rPr>
        <w:t>באר מרים</w:t>
      </w:r>
      <w:r>
        <w:t>). Dieser Brunnen:</w:t>
      </w:r>
    </w:p>
    <w:p w14:paraId="0C71745D" w14:textId="77777777" w:rsidR="00B00345" w:rsidRDefault="00B00345" w:rsidP="00B358B7">
      <w:pPr>
        <w:pStyle w:val="whitespace-normal"/>
        <w:numPr>
          <w:ilvl w:val="0"/>
          <w:numId w:val="178"/>
        </w:numPr>
      </w:pPr>
      <w:r>
        <w:t xml:space="preserve">Sprudelte </w:t>
      </w:r>
      <w:r>
        <w:rPr>
          <w:rStyle w:val="Fett"/>
        </w:rPr>
        <w:t>überall</w:t>
      </w:r>
      <w:r>
        <w:t>, wo Israel lagerte</w:t>
      </w:r>
    </w:p>
    <w:p w14:paraId="7789CD8D" w14:textId="77777777" w:rsidR="00B00345" w:rsidRDefault="00B00345" w:rsidP="00B358B7">
      <w:pPr>
        <w:pStyle w:val="whitespace-normal"/>
        <w:numPr>
          <w:ilvl w:val="0"/>
          <w:numId w:val="178"/>
        </w:numPr>
      </w:pPr>
      <w:r>
        <w:t xml:space="preserve">War ein </w:t>
      </w:r>
      <w:r>
        <w:rPr>
          <w:rStyle w:val="Fett"/>
        </w:rPr>
        <w:t>Geschenk</w:t>
      </w:r>
      <w:r>
        <w:t xml:space="preserve"> Gottes </w:t>
      </w:r>
      <w:r>
        <w:rPr>
          <w:rStyle w:val="Fett"/>
        </w:rPr>
        <w:t>wegen Mirjam</w:t>
      </w:r>
    </w:p>
    <w:p w14:paraId="7C9F9C25" w14:textId="77777777" w:rsidR="00B00345" w:rsidRDefault="00B00345" w:rsidP="00B358B7">
      <w:pPr>
        <w:pStyle w:val="whitespace-normal"/>
        <w:numPr>
          <w:ilvl w:val="0"/>
          <w:numId w:val="178"/>
        </w:numPr>
      </w:pPr>
      <w:r>
        <w:rPr>
          <w:rStyle w:val="Fett"/>
        </w:rPr>
        <w:t>Verschwand</w:t>
      </w:r>
      <w:r>
        <w:t>, als Mirjam starb (Num 20,1)</w:t>
      </w:r>
    </w:p>
    <w:p w14:paraId="12363673" w14:textId="77777777" w:rsidR="00B00345" w:rsidRDefault="00B00345" w:rsidP="00B358B7">
      <w:pPr>
        <w:pStyle w:val="whitespace-normal"/>
        <w:numPr>
          <w:ilvl w:val="0"/>
          <w:numId w:val="178"/>
        </w:numPr>
      </w:pPr>
      <w:r>
        <w:t xml:space="preserve">→ Deshalb </w:t>
      </w:r>
      <w:r>
        <w:rPr>
          <w:rStyle w:val="Fett"/>
        </w:rPr>
        <w:t>sofort</w:t>
      </w:r>
      <w:r>
        <w:t xml:space="preserve"> Wassermangel (Num 20,2)!</w:t>
      </w:r>
    </w:p>
    <w:p w14:paraId="44D388C2" w14:textId="77777777" w:rsidR="00B00345" w:rsidRDefault="00B00345" w:rsidP="00B00345">
      <w:pPr>
        <w:pStyle w:val="whitespace-normal"/>
      </w:pPr>
      <w:r>
        <w:rPr>
          <w:rStyle w:val="Fett"/>
        </w:rPr>
        <w:t>Numeri Rabba 1,2:</w:t>
      </w:r>
    </w:p>
    <w:p w14:paraId="0232500C" w14:textId="77777777" w:rsidR="00B00345" w:rsidRDefault="00B00345" w:rsidP="00B00345">
      <w:pPr>
        <w:pStyle w:val="whitespace-normal"/>
      </w:pPr>
      <w:r>
        <w:t xml:space="preserve">"Der Brunnen war ein </w:t>
      </w:r>
      <w:r>
        <w:rPr>
          <w:rStyle w:val="Fett"/>
        </w:rPr>
        <w:t>Felsen</w:t>
      </w:r>
      <w:r>
        <w:t xml:space="preserve">, aus dem Wasser hervorsprudelte wie aus einer Flasche, und er </w:t>
      </w:r>
      <w:r>
        <w:rPr>
          <w:rStyle w:val="Fett"/>
        </w:rPr>
        <w:t>rollte mit ihnen</w:t>
      </w:r>
      <w:r>
        <w:t xml:space="preserve"> in den Tälern und stieg mit ihnen auf die Berge."</w:t>
      </w:r>
    </w:p>
    <w:p w14:paraId="5F35A078" w14:textId="77777777" w:rsidR="00B00345" w:rsidRDefault="00F329DD" w:rsidP="00B00345">
      <w:r>
        <w:pict w14:anchorId="52A46D2F">
          <v:rect id="_x0000_i1680" style="width:0;height:1.5pt" o:hralign="center" o:hrstd="t" o:hr="t" fillcolor="#a0a0a0" stroked="f"/>
        </w:pict>
      </w:r>
    </w:p>
    <w:p w14:paraId="2759F9B5" w14:textId="77777777" w:rsidR="00B00345" w:rsidRDefault="00B00345" w:rsidP="00B00345">
      <w:pPr>
        <w:pStyle w:val="berschrift3"/>
      </w:pPr>
      <w:r>
        <w:rPr>
          <w:rStyle w:val="Fett"/>
          <w:b w:val="0"/>
          <w:bCs w:val="0"/>
        </w:rPr>
        <w:t>3. NT-Parallele: 1 Korinther 10,4</w:t>
      </w:r>
    </w:p>
    <w:p w14:paraId="41CD64A1" w14:textId="77777777" w:rsidR="00B00345" w:rsidRDefault="00B00345" w:rsidP="00B00345">
      <w:pPr>
        <w:pStyle w:val="whitespace-normal"/>
      </w:pPr>
      <w:r>
        <w:rPr>
          <w:rStyle w:val="Fett"/>
        </w:rPr>
        <w:t>Griechisch:</w:t>
      </w:r>
    </w:p>
    <w:p w14:paraId="7F9A4016" w14:textId="77777777" w:rsidR="00B00345" w:rsidRDefault="00B00345" w:rsidP="00B00345">
      <w:pPr>
        <w:pStyle w:val="whitespace-normal"/>
      </w:pPr>
      <w:r>
        <w:t xml:space="preserve">καὶ πάντες τὸ αὐτὸ πνευματικὸν ἔπιον πόμα· </w:t>
      </w:r>
      <w:r>
        <w:rPr>
          <w:rStyle w:val="Fett"/>
        </w:rPr>
        <w:t>ἔπινον γὰρ ἐκ πνευματικῆς ἀκολουθούσης πέτρας· ἡ πέτρα δὲ ἦν ὁ Χριστός</w:t>
      </w:r>
      <w:r>
        <w:t>.</w:t>
      </w:r>
    </w:p>
    <w:p w14:paraId="5B9996C2" w14:textId="77777777" w:rsidR="00B00345" w:rsidRDefault="00B00345" w:rsidP="00B00345">
      <w:pPr>
        <w:pStyle w:val="whitespace-normal"/>
      </w:pPr>
      <w:r>
        <w:rPr>
          <w:rStyle w:val="Fett"/>
        </w:rPr>
        <w:t>Deutsch:</w:t>
      </w:r>
    </w:p>
    <w:p w14:paraId="2E39799A" w14:textId="77777777" w:rsidR="00B00345" w:rsidRDefault="00B00345" w:rsidP="00B00345">
      <w:pPr>
        <w:pStyle w:val="whitespace-normal"/>
      </w:pPr>
      <w:r>
        <w:t xml:space="preserve">"Und alle tranken denselben geistlichen Trank; </w:t>
      </w:r>
      <w:r>
        <w:rPr>
          <w:rStyle w:val="Fett"/>
        </w:rPr>
        <w:t>denn sie tranken aus einem geistlichen Felsen, der ihnen folgte; der Fels aber war Christus</w:t>
      </w:r>
      <w:r>
        <w:t>."</w:t>
      </w:r>
    </w:p>
    <w:p w14:paraId="6DFADCB6" w14:textId="77777777" w:rsidR="00B00345" w:rsidRDefault="00B00345" w:rsidP="00B00345">
      <w:pPr>
        <w:pStyle w:val="whitespace-normal"/>
      </w:pPr>
      <w:r>
        <w:rPr>
          <w:rStyle w:val="Fett"/>
        </w:rPr>
        <w:t>→ Paulus kennt die Tradition des "folgenden Felsens" (ἀκολουθούσης πέτρας)!</w:t>
      </w:r>
    </w:p>
    <w:p w14:paraId="4BF2352B" w14:textId="77777777" w:rsidR="00B00345" w:rsidRDefault="00B00345" w:rsidP="00B00345">
      <w:pPr>
        <w:pStyle w:val="whitespace-normal"/>
      </w:pPr>
      <w:r>
        <w:rPr>
          <w:rStyle w:val="Fett"/>
        </w:rPr>
        <w:t>Die Verbindung:</w:t>
      </w:r>
    </w:p>
    <w:p w14:paraId="25EE80A0" w14:textId="77777777" w:rsidR="00B00345" w:rsidRDefault="00B00345" w:rsidP="00B358B7">
      <w:pPr>
        <w:pStyle w:val="whitespace-normal"/>
        <w:numPr>
          <w:ilvl w:val="0"/>
          <w:numId w:val="179"/>
        </w:numPr>
      </w:pPr>
      <w:r>
        <w:rPr>
          <w:rStyle w:val="Fett"/>
        </w:rPr>
        <w:t>Rabbinische Tradition:</w:t>
      </w:r>
      <w:r>
        <w:t xml:space="preserve"> Der Brunnen </w:t>
      </w:r>
      <w:r>
        <w:rPr>
          <w:rStyle w:val="Fett"/>
        </w:rPr>
        <w:t>folgte</w:t>
      </w:r>
      <w:r>
        <w:t xml:space="preserve"> Israel (wegen Mirjam)</w:t>
      </w:r>
    </w:p>
    <w:p w14:paraId="49C930F9" w14:textId="77777777" w:rsidR="00B00345" w:rsidRDefault="00B00345" w:rsidP="00B358B7">
      <w:pPr>
        <w:pStyle w:val="whitespace-normal"/>
        <w:numPr>
          <w:ilvl w:val="0"/>
          <w:numId w:val="179"/>
        </w:numPr>
      </w:pPr>
      <w:r>
        <w:rPr>
          <w:rStyle w:val="Fett"/>
        </w:rPr>
        <w:t>Paulus (1 Kor 10,4):</w:t>
      </w:r>
      <w:r>
        <w:t xml:space="preserve"> Der Fels </w:t>
      </w:r>
      <w:r>
        <w:rPr>
          <w:rStyle w:val="Fett"/>
        </w:rPr>
        <w:t>folgte</w:t>
      </w:r>
      <w:r>
        <w:t xml:space="preserve"> Israel → = </w:t>
      </w:r>
      <w:r>
        <w:rPr>
          <w:rStyle w:val="Fett"/>
        </w:rPr>
        <w:t>Christus</w:t>
      </w:r>
      <w:r>
        <w:t>!</w:t>
      </w:r>
    </w:p>
    <w:p w14:paraId="466898CC" w14:textId="77777777" w:rsidR="00B00345" w:rsidRDefault="00B00345" w:rsidP="00B358B7">
      <w:pPr>
        <w:pStyle w:val="whitespace-normal"/>
        <w:numPr>
          <w:ilvl w:val="0"/>
          <w:numId w:val="179"/>
        </w:numPr>
      </w:pPr>
      <w:r>
        <w:t xml:space="preserve">→ Paulus </w:t>
      </w:r>
      <w:r>
        <w:rPr>
          <w:rStyle w:val="Fett"/>
        </w:rPr>
        <w:t>übernimmt</w:t>
      </w:r>
      <w:r>
        <w:t xml:space="preserve"> die jüdische Tradition, aber </w:t>
      </w:r>
      <w:r>
        <w:rPr>
          <w:rStyle w:val="Fett"/>
        </w:rPr>
        <w:t>deutet</w:t>
      </w:r>
      <w:r>
        <w:t xml:space="preserve"> sie christologisch um!</w:t>
      </w:r>
    </w:p>
    <w:p w14:paraId="35BAA9DE" w14:textId="77777777" w:rsidR="00B00345" w:rsidRDefault="00F329DD" w:rsidP="00B00345">
      <w:r>
        <w:pict w14:anchorId="08FD778C">
          <v:rect id="_x0000_i1681" style="width:0;height:1.5pt" o:hralign="center" o:hrstd="t" o:hr="t" fillcolor="#a0a0a0" stroked="f"/>
        </w:pict>
      </w:r>
    </w:p>
    <w:p w14:paraId="551388BB" w14:textId="77777777" w:rsidR="00B00345" w:rsidRDefault="00B00345" w:rsidP="00B00345">
      <w:pPr>
        <w:pStyle w:val="berschrift3"/>
      </w:pPr>
      <w:r>
        <w:rPr>
          <w:rStyle w:val="Fett"/>
          <w:b w:val="0"/>
          <w:bCs w:val="0"/>
        </w:rPr>
        <w:t>4. Die Würdigung Mirjams in der Tradition</w:t>
      </w:r>
    </w:p>
    <w:p w14:paraId="69715B07" w14:textId="77777777" w:rsidR="00B00345" w:rsidRDefault="00B00345" w:rsidP="00B00345">
      <w:pPr>
        <w:pStyle w:val="whitespace-normal"/>
      </w:pPr>
      <w:r>
        <w:rPr>
          <w:rStyle w:val="Fett"/>
        </w:rPr>
        <w:t>A. Ihr Lobgesang (Ex 15,20-21):</w:t>
      </w:r>
    </w:p>
    <w:p w14:paraId="3CBE075E" w14:textId="77777777" w:rsidR="00B00345" w:rsidRDefault="00B00345" w:rsidP="00B00345">
      <w:pPr>
        <w:pStyle w:val="whitespace-normal"/>
      </w:pPr>
      <w:r>
        <w:rPr>
          <w:rtl/>
        </w:rPr>
        <w:lastRenderedPageBreak/>
        <w:t xml:space="preserve">וַתִּקַּח מִרְיָם </w:t>
      </w:r>
      <w:r>
        <w:rPr>
          <w:rStyle w:val="Fett"/>
          <w:rtl/>
        </w:rPr>
        <w:t>הַנְּבִיאָה</w:t>
      </w:r>
      <w:r>
        <w:rPr>
          <w:rtl/>
        </w:rPr>
        <w:t xml:space="preserve"> אֲחוֹת אַהֲרֹן אֶת־הַתֹּף בְּיָדָהּ וַתֵּצֶאןָ כָל־הַנָּשִׁים אַחֲרֶיהָ בְּתֻפִּים וּבִמְחֹלֹת</w:t>
      </w:r>
      <w:r>
        <w:br/>
        <w:t xml:space="preserve">"Und Mirjam, </w:t>
      </w:r>
      <w:r>
        <w:rPr>
          <w:rStyle w:val="Fett"/>
        </w:rPr>
        <w:t>die Prophetin</w:t>
      </w:r>
      <w:r>
        <w:t>, die Schwester Aarons, nahm die Pauke in ihre Hand, und alle Frauen zogen aus hinter ihr her mit Pauken und Reigen"</w:t>
      </w:r>
    </w:p>
    <w:p w14:paraId="612D633C" w14:textId="77777777" w:rsidR="00B00345" w:rsidRDefault="00B00345" w:rsidP="00B00345">
      <w:pPr>
        <w:pStyle w:val="whitespace-normal"/>
      </w:pPr>
      <w:r>
        <w:rPr>
          <w:rStyle w:val="Fett"/>
        </w:rPr>
        <w:t>→ Sie wird "die Prophetin" (</w:t>
      </w:r>
      <w:r>
        <w:rPr>
          <w:rStyle w:val="Fett"/>
          <w:rtl/>
        </w:rPr>
        <w:t>הַנְּבִיאָה</w:t>
      </w:r>
      <w:r>
        <w:rPr>
          <w:rStyle w:val="Fett"/>
        </w:rPr>
        <w:t>) genannt – eine der wenigen Frauen mit diesem Titel!</w:t>
      </w:r>
    </w:p>
    <w:p w14:paraId="2544D695" w14:textId="77777777" w:rsidR="00B00345" w:rsidRDefault="00B00345" w:rsidP="00B00345">
      <w:pPr>
        <w:pStyle w:val="whitespace-normal"/>
      </w:pPr>
      <w:r>
        <w:rPr>
          <w:rStyle w:val="Fett"/>
        </w:rPr>
        <w:t>B. Ihre Fürbitte (Num 12,13):</w:t>
      </w:r>
    </w:p>
    <w:p w14:paraId="5CE8C72D" w14:textId="77777777" w:rsidR="00B00345" w:rsidRDefault="00B00345" w:rsidP="00B00345">
      <w:pPr>
        <w:pStyle w:val="whitespace-normal"/>
      </w:pPr>
      <w:r>
        <w:t xml:space="preserve">Als Mirjam Aussatz bekommt wegen ihrer Rebellion, </w:t>
      </w:r>
      <w:r>
        <w:rPr>
          <w:rStyle w:val="Fett"/>
        </w:rPr>
        <w:t>betet Mose für sie</w:t>
      </w:r>
      <w:r>
        <w:t>:</w:t>
      </w:r>
    </w:p>
    <w:p w14:paraId="692DFA43" w14:textId="77777777" w:rsidR="00B00345" w:rsidRDefault="00B00345" w:rsidP="00B00345">
      <w:pPr>
        <w:pStyle w:val="whitespace-normal"/>
      </w:pPr>
      <w:r>
        <w:rPr>
          <w:rtl/>
        </w:rPr>
        <w:t>אֵל נָא רְפָא נָא לָהּ</w:t>
      </w:r>
      <w:r>
        <w:br/>
        <w:t>"</w:t>
      </w:r>
      <w:r>
        <w:rPr>
          <w:rStyle w:val="Fett"/>
        </w:rPr>
        <w:t>Gott, bitte, heile sie doch!</w:t>
      </w:r>
      <w:r>
        <w:t>"</w:t>
      </w:r>
    </w:p>
    <w:p w14:paraId="23E6D247" w14:textId="77777777" w:rsidR="00B00345" w:rsidRDefault="00B00345" w:rsidP="00B00345">
      <w:pPr>
        <w:pStyle w:val="whitespace-normal"/>
      </w:pPr>
      <w:r>
        <w:rPr>
          <w:rStyle w:val="Fett"/>
        </w:rPr>
        <w:t>→ Moses kürzestes und innigstes Gebet – für seine Schwester!</w:t>
      </w:r>
    </w:p>
    <w:p w14:paraId="691DC3E2" w14:textId="77777777" w:rsidR="00B00345" w:rsidRDefault="00B00345" w:rsidP="00B00345">
      <w:pPr>
        <w:pStyle w:val="whitespace-normal"/>
      </w:pPr>
      <w:r>
        <w:rPr>
          <w:rStyle w:val="Fett"/>
        </w:rPr>
        <w:t>C. Ihr Grab:</w:t>
      </w:r>
    </w:p>
    <w:p w14:paraId="35F0A9FE" w14:textId="77777777" w:rsidR="00B00345" w:rsidRDefault="00B00345" w:rsidP="00B00345">
      <w:pPr>
        <w:pStyle w:val="whitespace-normal"/>
      </w:pPr>
      <w:r>
        <w:rPr>
          <w:rStyle w:val="Fett"/>
        </w:rPr>
        <w:t>Numeri 20,1:</w:t>
      </w:r>
    </w:p>
    <w:p w14:paraId="6CB63689" w14:textId="77777777" w:rsidR="00B00345" w:rsidRDefault="00B00345" w:rsidP="00B00345">
      <w:pPr>
        <w:pStyle w:val="whitespace-normal"/>
      </w:pPr>
      <w:r>
        <w:rPr>
          <w:rtl/>
        </w:rPr>
        <w:t xml:space="preserve">וַתִּקָּבֵר </w:t>
      </w:r>
      <w:r>
        <w:rPr>
          <w:rStyle w:val="Fett"/>
          <w:rtl/>
        </w:rPr>
        <w:t>שָׁם</w:t>
      </w:r>
      <w:r>
        <w:br/>
        <w:t xml:space="preserve">"Und sie wurde </w:t>
      </w:r>
      <w:r>
        <w:rPr>
          <w:rStyle w:val="Fett"/>
        </w:rPr>
        <w:t>dort</w:t>
      </w:r>
      <w:r>
        <w:t xml:space="preserve"> begraben"</w:t>
      </w:r>
    </w:p>
    <w:p w14:paraId="255707A1" w14:textId="77777777" w:rsidR="00B00345" w:rsidRDefault="00B00345" w:rsidP="00B00345">
      <w:pPr>
        <w:pStyle w:val="whitespace-normal"/>
      </w:pPr>
      <w:r>
        <w:rPr>
          <w:rStyle w:val="Fett"/>
        </w:rPr>
        <w:t>Wo?</w:t>
      </w:r>
      <w:r>
        <w:t xml:space="preserve"> In </w:t>
      </w:r>
      <w:r>
        <w:rPr>
          <w:rStyle w:val="Fett"/>
        </w:rPr>
        <w:t>Kadesch</w:t>
      </w:r>
      <w:r>
        <w:t xml:space="preserve"> (Num 20,1). Rabbinische Tradition:</w:t>
      </w:r>
    </w:p>
    <w:p w14:paraId="16CC67A9" w14:textId="77777777" w:rsidR="00B00345" w:rsidRDefault="00B00345" w:rsidP="00B358B7">
      <w:pPr>
        <w:pStyle w:val="whitespace-normal"/>
        <w:numPr>
          <w:ilvl w:val="0"/>
          <w:numId w:val="180"/>
        </w:numPr>
      </w:pPr>
      <w:r>
        <w:rPr>
          <w:rStyle w:val="Fett"/>
        </w:rPr>
        <w:t>Mirjams Grab</w:t>
      </w:r>
      <w:r>
        <w:t xml:space="preserve"> ist in Kadesch</w:t>
      </w:r>
    </w:p>
    <w:p w14:paraId="3AB16C67" w14:textId="77777777" w:rsidR="00B00345" w:rsidRDefault="00B00345" w:rsidP="00B358B7">
      <w:pPr>
        <w:pStyle w:val="whitespace-normal"/>
        <w:numPr>
          <w:ilvl w:val="0"/>
          <w:numId w:val="180"/>
        </w:numPr>
      </w:pPr>
      <w:r>
        <w:rPr>
          <w:rStyle w:val="Fett"/>
        </w:rPr>
        <w:t>Aarons Grab</w:t>
      </w:r>
      <w:r>
        <w:t xml:space="preserve"> ist auf dem Berg Hor (Num 20,28)</w:t>
      </w:r>
    </w:p>
    <w:p w14:paraId="43987320" w14:textId="77777777" w:rsidR="00B00345" w:rsidRDefault="00B00345" w:rsidP="00B358B7">
      <w:pPr>
        <w:pStyle w:val="whitespace-normal"/>
        <w:numPr>
          <w:ilvl w:val="0"/>
          <w:numId w:val="180"/>
        </w:numPr>
      </w:pPr>
      <w:r>
        <w:rPr>
          <w:rStyle w:val="Fett"/>
        </w:rPr>
        <w:t>Moses Grab</w:t>
      </w:r>
      <w:r>
        <w:t xml:space="preserve"> ist unbekannt – "niemand kennt sein Grab" (Dtn 34,6)</w:t>
      </w:r>
    </w:p>
    <w:p w14:paraId="4A8565F2" w14:textId="77777777" w:rsidR="00B00345" w:rsidRDefault="00B00345" w:rsidP="00B00345">
      <w:pPr>
        <w:pStyle w:val="whitespace-normal"/>
      </w:pPr>
      <w:r>
        <w:rPr>
          <w:rStyle w:val="Fett"/>
        </w:rPr>
        <w:t>→ Von den drei Führern ist nur Mirjams Grab bekannt und wurde verehrt!</w:t>
      </w:r>
    </w:p>
    <w:p w14:paraId="7AA4CE27" w14:textId="77777777" w:rsidR="00B00345" w:rsidRDefault="00F329DD" w:rsidP="00B00345">
      <w:r>
        <w:pict w14:anchorId="7EDFF6AB">
          <v:rect id="_x0000_i1682" style="width:0;height:1.5pt" o:hralign="center" o:hrstd="t" o:hr="t" fillcolor="#a0a0a0" stroked="f"/>
        </w:pict>
      </w:r>
    </w:p>
    <w:p w14:paraId="1F8594D2" w14:textId="77777777" w:rsidR="00B00345" w:rsidRDefault="00B00345" w:rsidP="00B00345">
      <w:pPr>
        <w:pStyle w:val="berschrift3"/>
      </w:pPr>
      <w:r>
        <w:rPr>
          <w:rStyle w:val="Fett"/>
          <w:b w:val="0"/>
          <w:bCs w:val="0"/>
        </w:rPr>
        <w:t>5. Theologische Bedeutung: Frauen als Mittler des Lebens</w:t>
      </w:r>
    </w:p>
    <w:p w14:paraId="62AB106F" w14:textId="2C9AB1AD" w:rsidR="00B00345" w:rsidRDefault="00B00345" w:rsidP="00B00345">
      <w:pPr>
        <w:pStyle w:val="whitespace-normal"/>
        <w:rPr>
          <w:rStyle w:val="Fett"/>
        </w:rPr>
      </w:pPr>
      <w:r>
        <w:rPr>
          <w:rStyle w:val="Fett"/>
        </w:rPr>
        <w:t>Die Parallelen:</w:t>
      </w:r>
    </w:p>
    <w:tbl>
      <w:tblPr>
        <w:tblStyle w:val="Tabellenraster"/>
        <w:tblW w:w="4994" w:type="pct"/>
        <w:tblLook w:val="04A0" w:firstRow="1" w:lastRow="0" w:firstColumn="1" w:lastColumn="0" w:noHBand="0" w:noVBand="1"/>
      </w:tblPr>
      <w:tblGrid>
        <w:gridCol w:w="4525"/>
        <w:gridCol w:w="4526"/>
      </w:tblGrid>
      <w:tr w:rsidR="00913A2D" w14:paraId="1492E95F" w14:textId="77777777" w:rsidTr="00424FBE">
        <w:tc>
          <w:tcPr>
            <w:tcW w:w="2500" w:type="pct"/>
            <w:vAlign w:val="center"/>
          </w:tcPr>
          <w:p w14:paraId="667A97F9" w14:textId="62DA613A" w:rsidR="00913A2D" w:rsidRDefault="00913A2D" w:rsidP="00913A2D">
            <w:pPr>
              <w:pStyle w:val="whitespace-normal"/>
            </w:pPr>
            <w:r>
              <w:rPr>
                <w:b/>
                <w:bCs/>
              </w:rPr>
              <w:t>Mirjam</w:t>
            </w:r>
          </w:p>
        </w:tc>
        <w:tc>
          <w:tcPr>
            <w:tcW w:w="2500" w:type="pct"/>
            <w:vAlign w:val="center"/>
          </w:tcPr>
          <w:p w14:paraId="08252897" w14:textId="6ED0E79A" w:rsidR="00913A2D" w:rsidRDefault="00913A2D" w:rsidP="00913A2D">
            <w:pPr>
              <w:pStyle w:val="whitespace-normal"/>
            </w:pPr>
            <w:r>
              <w:rPr>
                <w:b/>
                <w:bCs/>
              </w:rPr>
              <w:t>Bedeutung</w:t>
            </w:r>
          </w:p>
        </w:tc>
      </w:tr>
      <w:tr w:rsidR="00913A2D" w14:paraId="4D1B748B" w14:textId="77777777" w:rsidTr="00EA0E90">
        <w:tc>
          <w:tcPr>
            <w:tcW w:w="2500" w:type="pct"/>
            <w:vAlign w:val="center"/>
          </w:tcPr>
          <w:p w14:paraId="630FA40C" w14:textId="6D32357E" w:rsidR="00913A2D" w:rsidRDefault="00913A2D" w:rsidP="00913A2D">
            <w:pPr>
              <w:pStyle w:val="whitespace-normal"/>
            </w:pPr>
            <w:r>
              <w:rPr>
                <w:rStyle w:val="Fett"/>
              </w:rPr>
              <w:t>Rettet Mose</w:t>
            </w:r>
            <w:r>
              <w:t xml:space="preserve"> als Baby (Ex 2,4-8)</w:t>
            </w:r>
          </w:p>
        </w:tc>
        <w:tc>
          <w:tcPr>
            <w:tcW w:w="2500" w:type="pct"/>
            <w:vAlign w:val="center"/>
          </w:tcPr>
          <w:p w14:paraId="6A154596" w14:textId="3A3B272C" w:rsidR="00913A2D" w:rsidRDefault="00913A2D" w:rsidP="00913A2D">
            <w:pPr>
              <w:pStyle w:val="whitespace-normal"/>
            </w:pPr>
            <w:r>
              <w:t xml:space="preserve">Vermittlerin der </w:t>
            </w:r>
            <w:r>
              <w:rPr>
                <w:rStyle w:val="Fett"/>
              </w:rPr>
              <w:t>Rettung</w:t>
            </w:r>
          </w:p>
        </w:tc>
      </w:tr>
      <w:tr w:rsidR="00913A2D" w14:paraId="5D73376C" w14:textId="77777777" w:rsidTr="00EA0E90">
        <w:tc>
          <w:tcPr>
            <w:tcW w:w="2500" w:type="pct"/>
            <w:vAlign w:val="center"/>
          </w:tcPr>
          <w:p w14:paraId="3152C54C" w14:textId="0A5A9B54" w:rsidR="00913A2D" w:rsidRDefault="00913A2D" w:rsidP="00913A2D">
            <w:pPr>
              <w:pStyle w:val="whitespace-normal"/>
            </w:pPr>
            <w:r>
              <w:rPr>
                <w:rStyle w:val="Fett"/>
              </w:rPr>
              <w:t>Prophetin</w:t>
            </w:r>
            <w:r>
              <w:t xml:space="preserve"> (Ex 15,20)</w:t>
            </w:r>
          </w:p>
        </w:tc>
        <w:tc>
          <w:tcPr>
            <w:tcW w:w="2500" w:type="pct"/>
            <w:vAlign w:val="center"/>
          </w:tcPr>
          <w:p w14:paraId="4F67D56B" w14:textId="51059EE9" w:rsidR="00913A2D" w:rsidRDefault="00913A2D" w:rsidP="00913A2D">
            <w:pPr>
              <w:pStyle w:val="whitespace-normal"/>
            </w:pPr>
            <w:r>
              <w:t xml:space="preserve">Vermittlerin des </w:t>
            </w:r>
            <w:r>
              <w:rPr>
                <w:rStyle w:val="Fett"/>
              </w:rPr>
              <w:t>Lobes</w:t>
            </w:r>
          </w:p>
        </w:tc>
      </w:tr>
      <w:tr w:rsidR="00913A2D" w14:paraId="70725CE6" w14:textId="77777777" w:rsidTr="00EA0E90">
        <w:tc>
          <w:tcPr>
            <w:tcW w:w="2500" w:type="pct"/>
            <w:vAlign w:val="center"/>
          </w:tcPr>
          <w:p w14:paraId="28220400" w14:textId="5FAE2FBA" w:rsidR="00913A2D" w:rsidRDefault="00913A2D" w:rsidP="00913A2D">
            <w:pPr>
              <w:pStyle w:val="whitespace-normal"/>
            </w:pPr>
            <w:r>
              <w:rPr>
                <w:rStyle w:val="Fett"/>
              </w:rPr>
              <w:t>Wegen ihr: Brunnen</w:t>
            </w:r>
            <w:r>
              <w:t xml:space="preserve"> (Talmud)</w:t>
            </w:r>
          </w:p>
        </w:tc>
        <w:tc>
          <w:tcPr>
            <w:tcW w:w="2500" w:type="pct"/>
            <w:vAlign w:val="center"/>
          </w:tcPr>
          <w:p w14:paraId="3C003EB4" w14:textId="3869DFAB" w:rsidR="00913A2D" w:rsidRDefault="00913A2D" w:rsidP="00913A2D">
            <w:pPr>
              <w:pStyle w:val="whitespace-normal"/>
            </w:pPr>
            <w:r>
              <w:t xml:space="preserve">Vermittlerin des </w:t>
            </w:r>
            <w:r>
              <w:rPr>
                <w:rStyle w:val="Fett"/>
              </w:rPr>
              <w:t>Wassers/Lebens</w:t>
            </w:r>
          </w:p>
        </w:tc>
      </w:tr>
      <w:tr w:rsidR="00913A2D" w14:paraId="4F5E4BA2" w14:textId="77777777" w:rsidTr="00EA6C4A">
        <w:tc>
          <w:tcPr>
            <w:tcW w:w="2500" w:type="pct"/>
            <w:vAlign w:val="center"/>
          </w:tcPr>
          <w:p w14:paraId="6E62D7C4" w14:textId="322791D5" w:rsidR="00913A2D" w:rsidRDefault="00913A2D" w:rsidP="00913A2D">
            <w:pPr>
              <w:pStyle w:val="whitespace-normal"/>
            </w:pPr>
            <w:r>
              <w:t xml:space="preserve">Ihr </w:t>
            </w:r>
            <w:r>
              <w:rPr>
                <w:rStyle w:val="Fett"/>
              </w:rPr>
              <w:t>Tod</w:t>
            </w:r>
            <w:r>
              <w:t xml:space="preserve"> → kein Wasser (Num 20,1-2)</w:t>
            </w:r>
          </w:p>
        </w:tc>
        <w:tc>
          <w:tcPr>
            <w:tcW w:w="2500" w:type="pct"/>
            <w:vAlign w:val="center"/>
          </w:tcPr>
          <w:p w14:paraId="60FC6FEA" w14:textId="3312590B" w:rsidR="00913A2D" w:rsidRDefault="00913A2D" w:rsidP="00913A2D">
            <w:pPr>
              <w:pStyle w:val="whitespace-normal"/>
            </w:pPr>
            <w:r>
              <w:rPr>
                <w:rStyle w:val="Fett"/>
              </w:rPr>
              <w:t>Leben hängt an ihr</w:t>
            </w:r>
          </w:p>
        </w:tc>
      </w:tr>
    </w:tbl>
    <w:p w14:paraId="5A81B516" w14:textId="77777777" w:rsidR="00B00345" w:rsidRDefault="00B00345" w:rsidP="00B00345">
      <w:pPr>
        <w:pStyle w:val="whitespace-normal"/>
      </w:pPr>
      <w:r>
        <w:rPr>
          <w:rStyle w:val="Fett"/>
        </w:rPr>
        <w:t>→ Mirjam = Symbol für Leben (Wasser) und Lobpreis!</w:t>
      </w:r>
    </w:p>
    <w:p w14:paraId="3D0D04E1" w14:textId="1D68E700" w:rsidR="00B00345" w:rsidRDefault="00B00345" w:rsidP="00B00345">
      <w:pPr>
        <w:pStyle w:val="whitespace-normal"/>
        <w:rPr>
          <w:rStyle w:val="Fett"/>
        </w:rPr>
      </w:pPr>
      <w:r>
        <w:rPr>
          <w:rStyle w:val="Fett"/>
        </w:rPr>
        <w:t>NT-Parallele:</w:t>
      </w:r>
    </w:p>
    <w:tbl>
      <w:tblPr>
        <w:tblStyle w:val="Tabellenraster"/>
        <w:tblW w:w="4994" w:type="pct"/>
        <w:tblLook w:val="04A0" w:firstRow="1" w:lastRow="0" w:firstColumn="1" w:lastColumn="0" w:noHBand="0" w:noVBand="1"/>
      </w:tblPr>
      <w:tblGrid>
        <w:gridCol w:w="4525"/>
        <w:gridCol w:w="4526"/>
      </w:tblGrid>
      <w:tr w:rsidR="00913A2D" w14:paraId="521A6D40" w14:textId="77777777" w:rsidTr="00716641">
        <w:tc>
          <w:tcPr>
            <w:tcW w:w="2500" w:type="pct"/>
            <w:vAlign w:val="center"/>
          </w:tcPr>
          <w:p w14:paraId="0802247C" w14:textId="1B8B2B26" w:rsidR="00913A2D" w:rsidRDefault="00913A2D" w:rsidP="00913A2D">
            <w:pPr>
              <w:pStyle w:val="whitespace-normal"/>
            </w:pPr>
            <w:r>
              <w:rPr>
                <w:b/>
                <w:bCs/>
              </w:rPr>
              <w:t>AT: Mirjam</w:t>
            </w:r>
          </w:p>
        </w:tc>
        <w:tc>
          <w:tcPr>
            <w:tcW w:w="2500" w:type="pct"/>
            <w:vAlign w:val="center"/>
          </w:tcPr>
          <w:p w14:paraId="553E4CF0" w14:textId="45030601" w:rsidR="00913A2D" w:rsidRDefault="00913A2D" w:rsidP="00913A2D">
            <w:pPr>
              <w:pStyle w:val="whitespace-normal"/>
            </w:pPr>
            <w:r>
              <w:rPr>
                <w:b/>
                <w:bCs/>
              </w:rPr>
              <w:t>NT: Frauen als Zeuginnen</w:t>
            </w:r>
          </w:p>
        </w:tc>
      </w:tr>
      <w:tr w:rsidR="00913A2D" w14:paraId="5088C558" w14:textId="77777777" w:rsidTr="00B97C6E">
        <w:tc>
          <w:tcPr>
            <w:tcW w:w="2500" w:type="pct"/>
            <w:vAlign w:val="center"/>
          </w:tcPr>
          <w:p w14:paraId="5ADE16D3" w14:textId="684FF2F5" w:rsidR="00913A2D" w:rsidRDefault="00913A2D" w:rsidP="00913A2D">
            <w:pPr>
              <w:pStyle w:val="whitespace-normal"/>
            </w:pPr>
            <w:r>
              <w:lastRenderedPageBreak/>
              <w:t xml:space="preserve">Erste beim </w:t>
            </w:r>
            <w:r>
              <w:rPr>
                <w:rStyle w:val="Fett"/>
              </w:rPr>
              <w:t>Lobgesang</w:t>
            </w:r>
            <w:r>
              <w:t xml:space="preserve"> nach Rettung (Ex 15,20-21)</w:t>
            </w:r>
          </w:p>
        </w:tc>
        <w:tc>
          <w:tcPr>
            <w:tcW w:w="2500" w:type="pct"/>
            <w:vAlign w:val="center"/>
          </w:tcPr>
          <w:p w14:paraId="151E900B" w14:textId="5E289178" w:rsidR="00913A2D" w:rsidRDefault="00913A2D" w:rsidP="00913A2D">
            <w:pPr>
              <w:pStyle w:val="whitespace-normal"/>
            </w:pPr>
            <w:r>
              <w:t xml:space="preserve">Erste bei der </w:t>
            </w:r>
            <w:r>
              <w:rPr>
                <w:rStyle w:val="Fett"/>
              </w:rPr>
              <w:t>Auferstehung</w:t>
            </w:r>
            <w:r>
              <w:t xml:space="preserve"> (Mk 16,1-8)</w:t>
            </w:r>
          </w:p>
        </w:tc>
      </w:tr>
      <w:tr w:rsidR="00913A2D" w14:paraId="52DE9E64" w14:textId="77777777" w:rsidTr="00B97C6E">
        <w:tc>
          <w:tcPr>
            <w:tcW w:w="2500" w:type="pct"/>
            <w:vAlign w:val="center"/>
          </w:tcPr>
          <w:p w14:paraId="2A07A885" w14:textId="55619B15" w:rsidR="00913A2D" w:rsidRDefault="00913A2D" w:rsidP="00913A2D">
            <w:pPr>
              <w:pStyle w:val="whitespace-normal"/>
            </w:pPr>
            <w:r>
              <w:rPr>
                <w:rStyle w:val="Fett"/>
              </w:rPr>
              <w:t>Prophetin</w:t>
            </w:r>
            <w:r>
              <w:t xml:space="preserve"> (Ex 15,20)</w:t>
            </w:r>
          </w:p>
        </w:tc>
        <w:tc>
          <w:tcPr>
            <w:tcW w:w="2500" w:type="pct"/>
            <w:vAlign w:val="center"/>
          </w:tcPr>
          <w:p w14:paraId="02D8D135" w14:textId="1C876373" w:rsidR="00913A2D" w:rsidRDefault="00913A2D" w:rsidP="00913A2D">
            <w:pPr>
              <w:pStyle w:val="whitespace-normal"/>
            </w:pPr>
            <w:r>
              <w:rPr>
                <w:rStyle w:val="Fett"/>
              </w:rPr>
              <w:t>Prophetinnen</w:t>
            </w:r>
            <w:r>
              <w:t xml:space="preserve"> (Lk 2,36: Anna; Apg 21,9: Töchter des Philippus)</w:t>
            </w:r>
          </w:p>
        </w:tc>
      </w:tr>
      <w:tr w:rsidR="00913A2D" w14:paraId="685496D1" w14:textId="77777777" w:rsidTr="00B97C6E">
        <w:tc>
          <w:tcPr>
            <w:tcW w:w="2500" w:type="pct"/>
            <w:vAlign w:val="center"/>
          </w:tcPr>
          <w:p w14:paraId="416F4EC0" w14:textId="10FEFF0F" w:rsidR="00913A2D" w:rsidRDefault="00913A2D" w:rsidP="00913A2D">
            <w:pPr>
              <w:pStyle w:val="whitespace-normal"/>
            </w:pPr>
            <w:r>
              <w:t xml:space="preserve">Vermittlerin des </w:t>
            </w:r>
            <w:r>
              <w:rPr>
                <w:rStyle w:val="Fett"/>
              </w:rPr>
              <w:t>Wassers</w:t>
            </w:r>
          </w:p>
        </w:tc>
        <w:tc>
          <w:tcPr>
            <w:tcW w:w="2500" w:type="pct"/>
            <w:vAlign w:val="center"/>
          </w:tcPr>
          <w:p w14:paraId="662D0639" w14:textId="218B927B" w:rsidR="00913A2D" w:rsidRDefault="00913A2D" w:rsidP="00913A2D">
            <w:pPr>
              <w:pStyle w:val="whitespace-normal"/>
            </w:pPr>
            <w:r>
              <w:t xml:space="preserve">Samariterin am </w:t>
            </w:r>
            <w:r>
              <w:rPr>
                <w:rStyle w:val="Fett"/>
              </w:rPr>
              <w:t>Brunnen</w:t>
            </w:r>
            <w:r>
              <w:t xml:space="preserve"> (Joh 4)</w:t>
            </w:r>
          </w:p>
        </w:tc>
      </w:tr>
    </w:tbl>
    <w:p w14:paraId="194B67C8" w14:textId="77777777" w:rsidR="00B00345" w:rsidRDefault="00B00345" w:rsidP="00B00345">
      <w:pPr>
        <w:pStyle w:val="whitespace-normal"/>
      </w:pPr>
      <w:r>
        <w:rPr>
          <w:rStyle w:val="Fett"/>
        </w:rPr>
        <w:t>→ Frauen als erste Zeuginnen des Lebens/der Auferstehung!</w:t>
      </w:r>
    </w:p>
    <w:p w14:paraId="7CD9110F" w14:textId="77777777" w:rsidR="00B00345" w:rsidRDefault="00F329DD" w:rsidP="00B00345">
      <w:r>
        <w:pict w14:anchorId="710702E4">
          <v:rect id="_x0000_i1683" style="width:0;height:1.5pt" o:hralign="center" o:hrstd="t" o:hr="t" fillcolor="#a0a0a0" stroked="f"/>
        </w:pict>
      </w:r>
    </w:p>
    <w:p w14:paraId="2E706F80" w14:textId="77777777" w:rsidR="00B00345" w:rsidRDefault="00B00345" w:rsidP="00B00345">
      <w:pPr>
        <w:pStyle w:val="berschrift3"/>
      </w:pPr>
      <w:r>
        <w:rPr>
          <w:rStyle w:val="Fett"/>
          <w:b w:val="0"/>
          <w:bCs w:val="0"/>
        </w:rPr>
        <w:t>6. Zusammenfassung: Warum fehlt Würdigung?</w:t>
      </w:r>
    </w:p>
    <w:p w14:paraId="2A724F81" w14:textId="77777777" w:rsidR="00B00345" w:rsidRDefault="00B00345" w:rsidP="00B00345">
      <w:pPr>
        <w:pStyle w:val="whitespace-normal"/>
      </w:pPr>
      <w:r>
        <w:rPr>
          <w:rStyle w:val="Fett"/>
        </w:rPr>
        <w:t>Drei Antworten:</w:t>
      </w:r>
    </w:p>
    <w:p w14:paraId="7E60BEB5" w14:textId="77777777" w:rsidR="00B00345" w:rsidRDefault="00B00345" w:rsidP="00B00345">
      <w:pPr>
        <w:pStyle w:val="whitespace-normal"/>
      </w:pPr>
      <w:r>
        <w:rPr>
          <w:rStyle w:val="Fett"/>
        </w:rPr>
        <w:t>1. Textliche Knappheit ≠ fehlende Bedeutung:</w:t>
      </w:r>
    </w:p>
    <w:p w14:paraId="60812475" w14:textId="77777777" w:rsidR="00B00345" w:rsidRDefault="00B00345" w:rsidP="00B358B7">
      <w:pPr>
        <w:pStyle w:val="whitespace-normal"/>
        <w:numPr>
          <w:ilvl w:val="0"/>
          <w:numId w:val="181"/>
        </w:numPr>
      </w:pPr>
      <w:r>
        <w:t xml:space="preserve">Der Text ist </w:t>
      </w:r>
      <w:r>
        <w:rPr>
          <w:rStyle w:val="Fett"/>
        </w:rPr>
        <w:t>lakonisch</w:t>
      </w:r>
      <w:r>
        <w:t xml:space="preserve">, aber die </w:t>
      </w:r>
      <w:r>
        <w:rPr>
          <w:rStyle w:val="Fett"/>
        </w:rPr>
        <w:t>Tradition würdigt</w:t>
      </w:r>
      <w:r>
        <w:t xml:space="preserve"> sie!</w:t>
      </w:r>
    </w:p>
    <w:p w14:paraId="55607C56" w14:textId="77777777" w:rsidR="00B00345" w:rsidRDefault="00B00345" w:rsidP="00B358B7">
      <w:pPr>
        <w:pStyle w:val="whitespace-normal"/>
        <w:numPr>
          <w:ilvl w:val="0"/>
          <w:numId w:val="181"/>
        </w:numPr>
      </w:pPr>
      <w:r>
        <w:rPr>
          <w:rStyle w:val="Fett"/>
        </w:rPr>
        <w:t>Micha 6,4</w:t>
      </w:r>
      <w:r>
        <w:t xml:space="preserve"> nennt sie </w:t>
      </w:r>
      <w:r>
        <w:rPr>
          <w:rStyle w:val="Fett"/>
        </w:rPr>
        <w:t>gleichrangig</w:t>
      </w:r>
      <w:r>
        <w:t xml:space="preserve"> mit Mose und Aaron</w:t>
      </w:r>
    </w:p>
    <w:p w14:paraId="718ED54B" w14:textId="77777777" w:rsidR="00B00345" w:rsidRDefault="00B00345" w:rsidP="00B358B7">
      <w:pPr>
        <w:pStyle w:val="whitespace-normal"/>
        <w:numPr>
          <w:ilvl w:val="0"/>
          <w:numId w:val="181"/>
        </w:numPr>
      </w:pPr>
      <w:r>
        <w:rPr>
          <w:rStyle w:val="Fett"/>
        </w:rPr>
        <w:t>Talmud</w:t>
      </w:r>
      <w:r>
        <w:t xml:space="preserve"> verbindet sie mit dem </w:t>
      </w:r>
      <w:r>
        <w:rPr>
          <w:rStyle w:val="Fett"/>
        </w:rPr>
        <w:t>Brunnen</w:t>
      </w:r>
      <w:r>
        <w:t xml:space="preserve"> (Lebenswasser)</w:t>
      </w:r>
    </w:p>
    <w:p w14:paraId="0F998739" w14:textId="77777777" w:rsidR="00B00345" w:rsidRDefault="00B00345" w:rsidP="00B00345">
      <w:pPr>
        <w:pStyle w:val="whitespace-normal"/>
      </w:pPr>
      <w:r>
        <w:rPr>
          <w:rStyle w:val="Fett"/>
        </w:rPr>
        <w:t>2. Ihr Tod markiert das Ende der Versorgung:</w:t>
      </w:r>
    </w:p>
    <w:p w14:paraId="0FE55B9E" w14:textId="77777777" w:rsidR="00B00345" w:rsidRDefault="00B00345" w:rsidP="00B358B7">
      <w:pPr>
        <w:pStyle w:val="whitespace-normal"/>
        <w:numPr>
          <w:ilvl w:val="0"/>
          <w:numId w:val="182"/>
        </w:numPr>
      </w:pPr>
      <w:r>
        <w:t xml:space="preserve">Tod Mirjams → </w:t>
      </w:r>
      <w:r>
        <w:rPr>
          <w:rStyle w:val="Fett"/>
        </w:rPr>
        <w:t>Kein Wasser</w:t>
      </w:r>
      <w:r>
        <w:t xml:space="preserve"> (Num 20,1-2)</w:t>
      </w:r>
    </w:p>
    <w:p w14:paraId="6CF881EE" w14:textId="77777777" w:rsidR="00B00345" w:rsidRDefault="00B00345" w:rsidP="00B358B7">
      <w:pPr>
        <w:pStyle w:val="whitespace-normal"/>
        <w:numPr>
          <w:ilvl w:val="0"/>
          <w:numId w:val="182"/>
        </w:numPr>
      </w:pPr>
      <w:r>
        <w:t xml:space="preserve">Tod Aarons → später: </w:t>
      </w:r>
      <w:r>
        <w:rPr>
          <w:rStyle w:val="Fett"/>
        </w:rPr>
        <w:t>Kein Sühnedienst</w:t>
      </w:r>
      <w:r>
        <w:t xml:space="preserve"> mehr (für ihn)</w:t>
      </w:r>
    </w:p>
    <w:p w14:paraId="149D76E2" w14:textId="77777777" w:rsidR="00B00345" w:rsidRDefault="00B00345" w:rsidP="00B358B7">
      <w:pPr>
        <w:pStyle w:val="whitespace-normal"/>
        <w:numPr>
          <w:ilvl w:val="0"/>
          <w:numId w:val="182"/>
        </w:numPr>
      </w:pPr>
      <w:r>
        <w:t xml:space="preserve">Tod Moses → später: </w:t>
      </w:r>
      <w:r>
        <w:rPr>
          <w:rStyle w:val="Fett"/>
        </w:rPr>
        <w:t>Keine Prophetie</w:t>
      </w:r>
      <w:r>
        <w:t xml:space="preserve"> mehr wie Mose (Dtn 34,10)</w:t>
      </w:r>
    </w:p>
    <w:p w14:paraId="77E67378" w14:textId="77777777" w:rsidR="00B00345" w:rsidRDefault="00B00345" w:rsidP="00B00345">
      <w:pPr>
        <w:pStyle w:val="whitespace-normal"/>
      </w:pPr>
      <w:r>
        <w:rPr>
          <w:rStyle w:val="Fett"/>
        </w:rPr>
        <w:t>3. Frauen als "unsichtbare" Trägerinnen:</w:t>
      </w:r>
    </w:p>
    <w:p w14:paraId="5EE8CBB6" w14:textId="77777777" w:rsidR="00B00345" w:rsidRDefault="00B00345" w:rsidP="00B358B7">
      <w:pPr>
        <w:pStyle w:val="whitespace-normal"/>
        <w:numPr>
          <w:ilvl w:val="0"/>
          <w:numId w:val="183"/>
        </w:numPr>
      </w:pPr>
      <w:r>
        <w:rPr>
          <w:rStyle w:val="Fett"/>
        </w:rPr>
        <w:t>Mirjam</w:t>
      </w:r>
      <w:r>
        <w:t xml:space="preserve"> rettet Mose (Ex 2) → ohne sie kein Exodus!</w:t>
      </w:r>
    </w:p>
    <w:p w14:paraId="23DBEE8B" w14:textId="77777777" w:rsidR="00B00345" w:rsidRDefault="00B00345" w:rsidP="00B358B7">
      <w:pPr>
        <w:pStyle w:val="whitespace-normal"/>
        <w:numPr>
          <w:ilvl w:val="0"/>
          <w:numId w:val="183"/>
        </w:numPr>
      </w:pPr>
      <w:r>
        <w:rPr>
          <w:rStyle w:val="Fett"/>
        </w:rPr>
        <w:t>Zippora</w:t>
      </w:r>
      <w:r>
        <w:t xml:space="preserve"> rettet Mose durch Beschneidung (Ex 4,24-26)</w:t>
      </w:r>
    </w:p>
    <w:p w14:paraId="475B13C7" w14:textId="77777777" w:rsidR="00B00345" w:rsidRDefault="00B00345" w:rsidP="00B358B7">
      <w:pPr>
        <w:pStyle w:val="whitespace-normal"/>
        <w:numPr>
          <w:ilvl w:val="0"/>
          <w:numId w:val="183"/>
        </w:numPr>
      </w:pPr>
      <w:r>
        <w:rPr>
          <w:rStyle w:val="Fett"/>
        </w:rPr>
        <w:t>Frauen</w:t>
      </w:r>
      <w:r>
        <w:t xml:space="preserve"> am Grab → erste </w:t>
      </w:r>
      <w:r>
        <w:rPr>
          <w:rStyle w:val="Fett"/>
        </w:rPr>
        <w:t>Auferstehungszeuginnen</w:t>
      </w:r>
      <w:r>
        <w:t xml:space="preserve"> (Mk 16)</w:t>
      </w:r>
    </w:p>
    <w:p w14:paraId="0C128580" w14:textId="77777777" w:rsidR="00B00345" w:rsidRDefault="00B00345" w:rsidP="00B00345">
      <w:pPr>
        <w:pStyle w:val="whitespace-normal"/>
      </w:pPr>
      <w:r>
        <w:rPr>
          <w:rStyle w:val="Fett"/>
        </w:rPr>
        <w:t>→ Oft lakonisch berichtet, aber essentiell für die Geschichte!</w:t>
      </w:r>
    </w:p>
    <w:p w14:paraId="3D982890" w14:textId="77777777" w:rsidR="00B00345" w:rsidRDefault="00F329DD" w:rsidP="00B00345">
      <w:r>
        <w:pict w14:anchorId="3506DFF0">
          <v:rect id="_x0000_i1684" style="width:0;height:1.5pt" o:hralign="center" o:hrstd="t" o:hr="t" fillcolor="#a0a0a0" stroked="f"/>
        </w:pict>
      </w:r>
    </w:p>
    <w:p w14:paraId="1158E479" w14:textId="77777777" w:rsidR="00B00345" w:rsidRDefault="00B00345" w:rsidP="00B00345">
      <w:pPr>
        <w:pStyle w:val="whitespace-normal"/>
      </w:pPr>
      <w:r>
        <w:rPr>
          <w:rStyle w:val="Fett"/>
        </w:rPr>
        <w:t>Fazit:</w:t>
      </w:r>
    </w:p>
    <w:p w14:paraId="1A41A65D" w14:textId="77777777" w:rsidR="00B00345" w:rsidRDefault="00B00345" w:rsidP="00B00345">
      <w:pPr>
        <w:pStyle w:val="whitespace-normal"/>
      </w:pPr>
      <w:r>
        <w:rPr>
          <w:rStyle w:val="Fett"/>
        </w:rPr>
        <w:t>Mirjams Tod</w:t>
      </w:r>
      <w:r>
        <w:t xml:space="preserve"> (Num 20,1) ist </w:t>
      </w:r>
      <w:r>
        <w:rPr>
          <w:rStyle w:val="Fett"/>
        </w:rPr>
        <w:t>lakonisch</w:t>
      </w:r>
      <w:r>
        <w:t xml:space="preserve"> im Text, aber </w:t>
      </w:r>
      <w:r>
        <w:rPr>
          <w:rStyle w:val="Fett"/>
        </w:rPr>
        <w:t>bedeutsam</w:t>
      </w:r>
      <w:r>
        <w:t xml:space="preserve"> in der Wirkung:</w:t>
      </w:r>
    </w:p>
    <w:p w14:paraId="6397FE4C" w14:textId="77777777" w:rsidR="00B00345" w:rsidRDefault="00B00345" w:rsidP="00B358B7">
      <w:pPr>
        <w:pStyle w:val="whitespace-normal"/>
        <w:numPr>
          <w:ilvl w:val="0"/>
          <w:numId w:val="184"/>
        </w:numPr>
      </w:pPr>
      <w:r>
        <w:rPr>
          <w:rStyle w:val="Fett"/>
        </w:rPr>
        <w:t>Sofort</w:t>
      </w:r>
      <w:r>
        <w:t xml:space="preserve"> danach: </w:t>
      </w:r>
      <w:r>
        <w:rPr>
          <w:rStyle w:val="Fett"/>
        </w:rPr>
        <w:t>Kein Wasser</w:t>
      </w:r>
      <w:r>
        <w:t xml:space="preserve"> (V. 2)</w:t>
      </w:r>
    </w:p>
    <w:p w14:paraId="59039282" w14:textId="77777777" w:rsidR="00B00345" w:rsidRDefault="00B00345" w:rsidP="00B358B7">
      <w:pPr>
        <w:pStyle w:val="whitespace-normal"/>
        <w:numPr>
          <w:ilvl w:val="0"/>
          <w:numId w:val="184"/>
        </w:numPr>
      </w:pPr>
      <w:r>
        <w:rPr>
          <w:rStyle w:val="Fett"/>
        </w:rPr>
        <w:t>Rabbinische Tradition:</w:t>
      </w:r>
      <w:r>
        <w:t xml:space="preserve"> Der </w:t>
      </w:r>
      <w:r>
        <w:rPr>
          <w:rStyle w:val="Fett"/>
        </w:rPr>
        <w:t>Brunnen Mirjams</w:t>
      </w:r>
      <w:r>
        <w:t xml:space="preserve"> verschwindet</w:t>
      </w:r>
    </w:p>
    <w:p w14:paraId="79186A74" w14:textId="77777777" w:rsidR="00B00345" w:rsidRDefault="00B00345" w:rsidP="00B358B7">
      <w:pPr>
        <w:pStyle w:val="whitespace-normal"/>
        <w:numPr>
          <w:ilvl w:val="0"/>
          <w:numId w:val="184"/>
        </w:numPr>
      </w:pPr>
      <w:r>
        <w:rPr>
          <w:rStyle w:val="Fett"/>
        </w:rPr>
        <w:t>Paulus</w:t>
      </w:r>
      <w:r>
        <w:t xml:space="preserve"> (1 Kor 10,4) kennt den "</w:t>
      </w:r>
      <w:r>
        <w:rPr>
          <w:rStyle w:val="Fett"/>
        </w:rPr>
        <w:t>folgenden Felsen</w:t>
      </w:r>
      <w:r>
        <w:t>"</w:t>
      </w:r>
    </w:p>
    <w:p w14:paraId="38B8CD31" w14:textId="77777777" w:rsidR="00B00345" w:rsidRDefault="00B00345" w:rsidP="00B358B7">
      <w:pPr>
        <w:pStyle w:val="whitespace-normal"/>
        <w:numPr>
          <w:ilvl w:val="0"/>
          <w:numId w:val="184"/>
        </w:numPr>
      </w:pPr>
      <w:r>
        <w:rPr>
          <w:rStyle w:val="Fett"/>
        </w:rPr>
        <w:t>Würdigung:</w:t>
      </w:r>
      <w:r>
        <w:t xml:space="preserve"> Sie war </w:t>
      </w:r>
      <w:r>
        <w:rPr>
          <w:rStyle w:val="Fett"/>
        </w:rPr>
        <w:t>Prophetin</w:t>
      </w:r>
      <w:r>
        <w:t xml:space="preserve">, </w:t>
      </w:r>
      <w:r>
        <w:rPr>
          <w:rStyle w:val="Fett"/>
        </w:rPr>
        <w:t>Retterin</w:t>
      </w:r>
      <w:r>
        <w:t xml:space="preserve">, </w:t>
      </w:r>
      <w:r>
        <w:rPr>
          <w:rStyle w:val="Fett"/>
        </w:rPr>
        <w:t>Lobpreiserin</w:t>
      </w:r>
    </w:p>
    <w:p w14:paraId="3A12B793" w14:textId="0874D93B" w:rsidR="00B00345" w:rsidRPr="001D73EC" w:rsidRDefault="00B00345" w:rsidP="00913A2D">
      <w:pPr>
        <w:pStyle w:val="whitespace-normal"/>
      </w:pPr>
      <w:r>
        <w:rPr>
          <w:rStyle w:val="Fett"/>
        </w:rPr>
        <w:t>Die Lakonie des Textes</w:t>
      </w:r>
      <w:r>
        <w:t xml:space="preserve"> sollte </w:t>
      </w:r>
      <w:r>
        <w:rPr>
          <w:rStyle w:val="Fett"/>
        </w:rPr>
        <w:t>nicht täuschen</w:t>
      </w:r>
      <w:r>
        <w:t xml:space="preserve">: Mirjam war eine der </w:t>
      </w:r>
      <w:r>
        <w:rPr>
          <w:rStyle w:val="Fett"/>
        </w:rPr>
        <w:t>drei Führer</w:t>
      </w:r>
      <w:r>
        <w:t xml:space="preserve"> Israels (Micha 6,4), und ihr Tod markiert das </w:t>
      </w:r>
      <w:r>
        <w:rPr>
          <w:rStyle w:val="Fett"/>
        </w:rPr>
        <w:t>Ende einer Ära</w:t>
      </w:r>
      <w:r>
        <w:t xml:space="preserve"> – genau wie bei Aaron und Mose!</w:t>
      </w:r>
    </w:p>
    <w:p w14:paraId="5BFB0125"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20,3</w:t>
      </w:r>
    </w:p>
    <w:p w14:paraId="4767DDD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lastRenderedPageBreak/>
        <w:t>Hebräisch:</w:t>
      </w:r>
      <w:r w:rsidRPr="001D73EC">
        <w:rPr>
          <w:rFonts w:eastAsia="Times New Roman" w:cs="Times New Roman"/>
          <w:lang w:eastAsia="de-DE"/>
        </w:rPr>
        <w:t xml:space="preserve"> </w:t>
      </w:r>
      <w:r w:rsidRPr="001D73EC">
        <w:rPr>
          <w:rFonts w:eastAsia="Times New Roman" w:cs="Times New Roman"/>
          <w:rtl/>
          <w:lang w:eastAsia="de-DE"/>
        </w:rPr>
        <w:t>וַיָּ֥רֶב הָעָ֖ם עִם־מֹשֶׁ֑ה וַיֹּאמְר֣וּ לֵאמֹ֔ר וְל֥וּ גָוַ֛עְנוּ בִּגְוַ֥ע אַחֵ֖ינוּ לִפְנֵ֥י יְהוָֽה׃</w:t>
      </w:r>
    </w:p>
    <w:p w14:paraId="76B6E63C"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das Volk stritt mit Mosche, und sie sprachen, sagend: Wären wir doch umgekommen beim Umkommen unserer Brüder vor dem Angesicht des Ewigen!</w:t>
      </w:r>
    </w:p>
    <w:p w14:paraId="61AB772B"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77F61C6C">
          <v:rect id="_x0000_i1685" style="width:0;height:1.5pt" o:hralign="center" o:hrstd="t" o:hr="t" fillcolor="#a0a0a0" stroked="f"/>
        </w:pict>
      </w:r>
    </w:p>
    <w:p w14:paraId="0A0791B4" w14:textId="63BED01B"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Das Verb </w:t>
      </w:r>
      <w:r w:rsidRPr="001D73EC">
        <w:rPr>
          <w:rFonts w:eastAsia="Times New Roman" w:cs="Times New Roman"/>
          <w:b/>
          <w:bCs/>
          <w:rtl/>
          <w:lang w:eastAsia="de-DE"/>
        </w:rPr>
        <w:t>וַיָּרֶב</w:t>
      </w:r>
      <w:r w:rsidRPr="001D73EC">
        <w:rPr>
          <w:rFonts w:eastAsia="Times New Roman" w:cs="Times New Roman"/>
          <w:rtl/>
          <w:lang w:eastAsia="de-DE"/>
        </w:rPr>
        <w:t xml:space="preserve"> </w:t>
      </w:r>
      <w:r w:rsidRPr="001D73EC">
        <w:rPr>
          <w:rFonts w:eastAsia="Times New Roman" w:cs="Times New Roman"/>
          <w:lang w:eastAsia="de-DE"/>
        </w:rPr>
        <w:t xml:space="preserve">(Wayyiqtol, 3. m. sg. von </w:t>
      </w:r>
      <w:r w:rsidRPr="001D73EC">
        <w:rPr>
          <w:rFonts w:eastAsia="Times New Roman" w:cs="Times New Roman"/>
          <w:b/>
          <w:bCs/>
          <w:rtl/>
          <w:lang w:eastAsia="de-DE"/>
        </w:rPr>
        <w:t>ריב</w:t>
      </w:r>
      <w:r w:rsidRPr="001D73EC">
        <w:rPr>
          <w:rFonts w:eastAsia="Times New Roman" w:cs="Times New Roman"/>
          <w:lang w:eastAsia="de-DE"/>
        </w:rPr>
        <w:t xml:space="preserve">, „und es stritt") ist dasselbe Wort, das zum Namen </w:t>
      </w:r>
      <w:r w:rsidRPr="001D73EC">
        <w:rPr>
          <w:rFonts w:eastAsia="Times New Roman" w:cs="Times New Roman"/>
          <w:b/>
          <w:bCs/>
          <w:rtl/>
          <w:lang w:eastAsia="de-DE"/>
        </w:rPr>
        <w:t>מְרִיבָה</w:t>
      </w:r>
      <w:r w:rsidRPr="001D73EC">
        <w:rPr>
          <w:rFonts w:eastAsia="Times New Roman" w:cs="Times New Roman"/>
          <w:rtl/>
          <w:lang w:eastAsia="de-DE"/>
        </w:rPr>
        <w:t xml:space="preserve"> </w:t>
      </w:r>
      <w:r w:rsidRPr="001D73EC">
        <w:rPr>
          <w:rFonts w:eastAsia="Times New Roman" w:cs="Times New Roman"/>
          <w:lang w:eastAsia="de-DE"/>
        </w:rPr>
        <w:t>(</w:t>
      </w:r>
      <w:r w:rsidR="00DE119B">
        <w:rPr>
          <w:rFonts w:eastAsia="Times New Roman" w:cs="Times New Roman"/>
          <w:lang w:eastAsia="de-DE"/>
        </w:rPr>
        <w:t>Meriva</w:t>
      </w:r>
      <w:r w:rsidRPr="001D73EC">
        <w:rPr>
          <w:rFonts w:eastAsia="Times New Roman" w:cs="Times New Roman"/>
          <w:lang w:eastAsia="de-DE"/>
        </w:rPr>
        <w:t xml:space="preserve">, „Streit") in Vers 13 führt. Das Subjekt </w:t>
      </w:r>
      <w:r w:rsidRPr="001D73EC">
        <w:rPr>
          <w:rFonts w:eastAsia="Times New Roman" w:cs="Times New Roman"/>
          <w:b/>
          <w:bCs/>
          <w:rtl/>
          <w:lang w:eastAsia="de-DE"/>
        </w:rPr>
        <w:t>הָעָם</w:t>
      </w:r>
      <w:r w:rsidRPr="001D73EC">
        <w:rPr>
          <w:rFonts w:eastAsia="Times New Roman" w:cs="Times New Roman"/>
          <w:rtl/>
          <w:lang w:eastAsia="de-DE"/>
        </w:rPr>
        <w:t xml:space="preserve"> </w:t>
      </w:r>
      <w:r w:rsidRPr="001D73EC">
        <w:rPr>
          <w:rFonts w:eastAsia="Times New Roman" w:cs="Times New Roman"/>
          <w:lang w:eastAsia="de-DE"/>
        </w:rPr>
        <w:t xml:space="preserve">(„das Volk"). </w:t>
      </w:r>
      <w:r w:rsidRPr="001D73EC">
        <w:rPr>
          <w:rFonts w:eastAsia="Times New Roman" w:cs="Times New Roman"/>
          <w:b/>
          <w:bCs/>
          <w:rtl/>
          <w:lang w:eastAsia="de-DE"/>
        </w:rPr>
        <w:t>עִם־מֹשֶׁה</w:t>
      </w:r>
      <w:r w:rsidRPr="001D73EC">
        <w:rPr>
          <w:rFonts w:eastAsia="Times New Roman" w:cs="Times New Roman"/>
          <w:rtl/>
          <w:lang w:eastAsia="de-DE"/>
        </w:rPr>
        <w:t xml:space="preserve"> </w:t>
      </w:r>
      <w:r w:rsidRPr="001D73EC">
        <w:rPr>
          <w:rFonts w:eastAsia="Times New Roman" w:cs="Times New Roman"/>
          <w:lang w:eastAsia="de-DE"/>
        </w:rPr>
        <w:t>(„mit Mose") gibt den Kontrahenten an.</w:t>
      </w:r>
    </w:p>
    <w:p w14:paraId="5F6D5B23"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Redeeinleitung </w:t>
      </w:r>
      <w:r w:rsidRPr="001D73EC">
        <w:rPr>
          <w:rFonts w:eastAsia="Times New Roman" w:cs="Times New Roman"/>
          <w:b/>
          <w:bCs/>
          <w:rtl/>
          <w:lang w:eastAsia="de-DE"/>
        </w:rPr>
        <w:t>וַיֹּאמְרוּ לֵאמֹר</w:t>
      </w:r>
      <w:r w:rsidRPr="001D73EC">
        <w:rPr>
          <w:rFonts w:eastAsia="Times New Roman" w:cs="Times New Roman"/>
          <w:rtl/>
          <w:lang w:eastAsia="de-DE"/>
        </w:rPr>
        <w:t xml:space="preserve"> </w:t>
      </w:r>
      <w:r w:rsidRPr="001D73EC">
        <w:rPr>
          <w:rFonts w:eastAsia="Times New Roman" w:cs="Times New Roman"/>
          <w:lang w:eastAsia="de-DE"/>
        </w:rPr>
        <w:t xml:space="preserve">ist doppelt: Wayyiqtol von </w:t>
      </w:r>
      <w:r w:rsidRPr="001D73EC">
        <w:rPr>
          <w:rFonts w:eastAsia="Times New Roman" w:cs="Times New Roman"/>
          <w:b/>
          <w:bCs/>
          <w:rtl/>
          <w:lang w:eastAsia="de-DE"/>
        </w:rPr>
        <w:t>אמר</w:t>
      </w:r>
      <w:r w:rsidRPr="001D73EC">
        <w:rPr>
          <w:rFonts w:eastAsia="Times New Roman" w:cs="Times New Roman"/>
          <w:rtl/>
          <w:lang w:eastAsia="de-DE"/>
        </w:rPr>
        <w:t xml:space="preserve"> </w:t>
      </w:r>
      <w:r w:rsidRPr="001D73EC">
        <w:rPr>
          <w:rFonts w:eastAsia="Times New Roman" w:cs="Times New Roman"/>
          <w:lang w:eastAsia="de-DE"/>
        </w:rPr>
        <w:t xml:space="preserve">plus Infinitiv construct </w:t>
      </w:r>
      <w:r w:rsidRPr="001D73EC">
        <w:rPr>
          <w:rFonts w:eastAsia="Times New Roman" w:cs="Times New Roman"/>
          <w:b/>
          <w:bCs/>
          <w:rtl/>
          <w:lang w:eastAsia="de-DE"/>
        </w:rPr>
        <w:t>לֵאמֹר</w:t>
      </w:r>
      <w:r w:rsidRPr="001D73EC">
        <w:rPr>
          <w:rFonts w:eastAsia="Times New Roman" w:cs="Times New Roman"/>
          <w:lang w:eastAsia="de-DE"/>
        </w:rPr>
        <w:t xml:space="preserve">. Der optative Wunsch </w:t>
      </w:r>
      <w:r w:rsidRPr="001D73EC">
        <w:rPr>
          <w:rFonts w:eastAsia="Times New Roman" w:cs="Times New Roman"/>
          <w:b/>
          <w:bCs/>
          <w:rtl/>
          <w:lang w:eastAsia="de-DE"/>
        </w:rPr>
        <w:t>וְלוּ גָוַעְנוּ</w:t>
      </w:r>
      <w:r w:rsidRPr="001D73EC">
        <w:rPr>
          <w:rFonts w:eastAsia="Times New Roman" w:cs="Times New Roman"/>
          <w:rtl/>
          <w:lang w:eastAsia="de-DE"/>
        </w:rPr>
        <w:t xml:space="preserve"> </w:t>
      </w:r>
      <w:r w:rsidRPr="001D73EC">
        <w:rPr>
          <w:rFonts w:eastAsia="Times New Roman" w:cs="Times New Roman"/>
          <w:lang w:eastAsia="de-DE"/>
        </w:rPr>
        <w:t xml:space="preserve">besteht aus </w:t>
      </w:r>
      <w:r w:rsidRPr="001D73EC">
        <w:rPr>
          <w:rFonts w:eastAsia="Times New Roman" w:cs="Times New Roman"/>
          <w:b/>
          <w:bCs/>
          <w:rtl/>
          <w:lang w:eastAsia="de-DE"/>
        </w:rPr>
        <w:t>וְלוּ</w:t>
      </w:r>
      <w:r w:rsidRPr="001D73EC">
        <w:rPr>
          <w:rFonts w:eastAsia="Times New Roman" w:cs="Times New Roman"/>
          <w:rtl/>
          <w:lang w:eastAsia="de-DE"/>
        </w:rPr>
        <w:t xml:space="preserve"> </w:t>
      </w:r>
      <w:r w:rsidRPr="001D73EC">
        <w:rPr>
          <w:rFonts w:eastAsia="Times New Roman" w:cs="Times New Roman"/>
          <w:lang w:eastAsia="de-DE"/>
        </w:rPr>
        <w:t xml:space="preserve">(Wunschpartikel „wäre doch, o dass") und </w:t>
      </w:r>
      <w:r w:rsidRPr="001D73EC">
        <w:rPr>
          <w:rFonts w:eastAsia="Times New Roman" w:cs="Times New Roman"/>
          <w:b/>
          <w:bCs/>
          <w:rtl/>
          <w:lang w:eastAsia="de-DE"/>
        </w:rPr>
        <w:t>גָוַעְנוּ</w:t>
      </w:r>
      <w:r w:rsidRPr="001D73EC">
        <w:rPr>
          <w:rFonts w:eastAsia="Times New Roman" w:cs="Times New Roman"/>
          <w:rtl/>
          <w:lang w:eastAsia="de-DE"/>
        </w:rPr>
        <w:t xml:space="preserve"> </w:t>
      </w:r>
      <w:r w:rsidRPr="001D73EC">
        <w:rPr>
          <w:rFonts w:eastAsia="Times New Roman" w:cs="Times New Roman"/>
          <w:lang w:eastAsia="de-DE"/>
        </w:rPr>
        <w:t xml:space="preserve">(Qal Perfekt, 1. c. pl. von </w:t>
      </w:r>
      <w:r w:rsidRPr="001D73EC">
        <w:rPr>
          <w:rFonts w:eastAsia="Times New Roman" w:cs="Times New Roman"/>
          <w:b/>
          <w:bCs/>
          <w:rtl/>
          <w:lang w:eastAsia="de-DE"/>
        </w:rPr>
        <w:t>גוע</w:t>
      </w:r>
      <w:r w:rsidRPr="001D73EC">
        <w:rPr>
          <w:rFonts w:eastAsia="Times New Roman" w:cs="Times New Roman"/>
          <w:lang w:eastAsia="de-DE"/>
        </w:rPr>
        <w:t xml:space="preserve">, „wir sind verschieden, umgekommen"). Die temporale Präposition </w:t>
      </w:r>
      <w:r w:rsidRPr="001D73EC">
        <w:rPr>
          <w:rFonts w:eastAsia="Times New Roman" w:cs="Times New Roman"/>
          <w:b/>
          <w:bCs/>
          <w:rtl/>
          <w:lang w:eastAsia="de-DE"/>
        </w:rPr>
        <w:t>בִּגְוַע אַחֵינוּ</w:t>
      </w:r>
      <w:r w:rsidRPr="001D73EC">
        <w:rPr>
          <w:rFonts w:eastAsia="Times New Roman" w:cs="Times New Roman"/>
          <w:rtl/>
          <w:lang w:eastAsia="de-DE"/>
        </w:rPr>
        <w:t xml:space="preserve"> </w:t>
      </w:r>
      <w:r w:rsidRPr="001D73EC">
        <w:rPr>
          <w:rFonts w:eastAsia="Times New Roman" w:cs="Times New Roman"/>
          <w:lang w:eastAsia="de-DE"/>
        </w:rPr>
        <w:t xml:space="preserve">(„beim Umkommen unserer Brüder") verwendet den Qal Infinitiv construct von </w:t>
      </w:r>
      <w:r w:rsidRPr="001D73EC">
        <w:rPr>
          <w:rFonts w:eastAsia="Times New Roman" w:cs="Times New Roman"/>
          <w:b/>
          <w:bCs/>
          <w:rtl/>
          <w:lang w:eastAsia="de-DE"/>
        </w:rPr>
        <w:t>גוע</w:t>
      </w:r>
      <w:r w:rsidRPr="001D73EC">
        <w:rPr>
          <w:rFonts w:eastAsia="Times New Roman" w:cs="Times New Roman"/>
          <w:rtl/>
          <w:lang w:eastAsia="de-DE"/>
        </w:rPr>
        <w:t xml:space="preserve"> </w:t>
      </w:r>
      <w:r w:rsidRPr="001D73EC">
        <w:rPr>
          <w:rFonts w:eastAsia="Times New Roman" w:cs="Times New Roman"/>
          <w:lang w:eastAsia="de-DE"/>
        </w:rPr>
        <w:t xml:space="preserve">mit </w:t>
      </w:r>
      <w:r w:rsidRPr="001D73EC">
        <w:rPr>
          <w:rFonts w:eastAsia="Times New Roman" w:cs="Times New Roman"/>
          <w:b/>
          <w:bCs/>
          <w:rtl/>
          <w:lang w:eastAsia="de-DE"/>
        </w:rPr>
        <w:t>בְּ</w:t>
      </w:r>
      <w:r w:rsidRPr="001D73EC">
        <w:rPr>
          <w:rFonts w:eastAsia="Times New Roman" w:cs="Times New Roman"/>
          <w:rtl/>
          <w:lang w:eastAsia="de-DE"/>
        </w:rPr>
        <w:t xml:space="preserve"> </w:t>
      </w:r>
      <w:r w:rsidRPr="001D73EC">
        <w:rPr>
          <w:rFonts w:eastAsia="Times New Roman" w:cs="Times New Roman"/>
          <w:lang w:eastAsia="de-DE"/>
        </w:rPr>
        <w:t>und Possessivsuffix – eine figura etymologica (</w:t>
      </w:r>
      <w:r w:rsidRPr="001D73EC">
        <w:rPr>
          <w:rFonts w:eastAsia="Times New Roman" w:cs="Times New Roman"/>
          <w:b/>
          <w:bCs/>
          <w:rtl/>
          <w:lang w:eastAsia="de-DE"/>
        </w:rPr>
        <w:t>גוע</w:t>
      </w:r>
      <w:r w:rsidRPr="001D73EC">
        <w:rPr>
          <w:rFonts w:eastAsia="Times New Roman" w:cs="Times New Roman"/>
          <w:rtl/>
          <w:lang w:eastAsia="de-DE"/>
        </w:rPr>
        <w:t xml:space="preserve"> </w:t>
      </w:r>
      <w:r w:rsidRPr="001D73EC">
        <w:rPr>
          <w:rFonts w:eastAsia="Times New Roman" w:cs="Times New Roman"/>
          <w:lang w:eastAsia="de-DE"/>
        </w:rPr>
        <w:t xml:space="preserve">- </w:t>
      </w:r>
      <w:r w:rsidRPr="001D73EC">
        <w:rPr>
          <w:rFonts w:eastAsia="Times New Roman" w:cs="Times New Roman"/>
          <w:b/>
          <w:bCs/>
          <w:rtl/>
          <w:lang w:eastAsia="de-DE"/>
        </w:rPr>
        <w:t>גוע</w:t>
      </w:r>
      <w:r w:rsidRPr="001D73EC">
        <w:rPr>
          <w:rFonts w:eastAsia="Times New Roman" w:cs="Times New Roman"/>
          <w:lang w:eastAsia="de-DE"/>
        </w:rPr>
        <w:t xml:space="preserve">). </w:t>
      </w:r>
      <w:r w:rsidRPr="001D73EC">
        <w:rPr>
          <w:rFonts w:eastAsia="Times New Roman" w:cs="Times New Roman"/>
          <w:b/>
          <w:bCs/>
          <w:rtl/>
          <w:lang w:eastAsia="de-DE"/>
        </w:rPr>
        <w:t>לִפְנֵי יְהוָה</w:t>
      </w:r>
      <w:r w:rsidRPr="001D73EC">
        <w:rPr>
          <w:rFonts w:eastAsia="Times New Roman" w:cs="Times New Roman"/>
          <w:rtl/>
          <w:lang w:eastAsia="de-DE"/>
        </w:rPr>
        <w:t xml:space="preserve"> </w:t>
      </w:r>
      <w:r w:rsidRPr="001D73EC">
        <w:rPr>
          <w:rFonts w:eastAsia="Times New Roman" w:cs="Times New Roman"/>
          <w:lang w:eastAsia="de-DE"/>
        </w:rPr>
        <w:t>(„vor JHWH") bezieht sich wohl auf Korachs Rebellion (Kap. 16) oder andere göttliche Gerichte.</w:t>
      </w:r>
    </w:p>
    <w:p w14:paraId="014E4920" w14:textId="1CB81363"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w:t>
      </w:r>
      <w:r w:rsidR="00C229FD">
        <w:t>übersetzt „</w:t>
      </w:r>
      <w:r w:rsidR="00C229FD" w:rsidRPr="00C229FD">
        <w:rPr>
          <w:b/>
          <w:bCs/>
          <w:rtl/>
        </w:rPr>
        <w:t>וְלוּ גָוַעְנוּ בִּגְוַע</w:t>
      </w:r>
      <w:r w:rsidR="00C229FD">
        <w:rPr>
          <w:rtl/>
        </w:rPr>
        <w:t xml:space="preserve"> </w:t>
      </w:r>
      <w:r w:rsidR="00C229FD" w:rsidRPr="00C229FD">
        <w:rPr>
          <w:b/>
          <w:bCs/>
          <w:rtl/>
        </w:rPr>
        <w:t>אַחֵינוּ</w:t>
      </w:r>
      <w:r w:rsidR="00C229FD">
        <w:t>" (wären wir doch gestorben beim Sterben unserer Brüder) mit „Ὄφελον ἀπεθάνομεν ἐν τῇ ἀπωλίᾳ τῶν ἀδελφῶν ἡμῶν" (wären wir doch gestorben beim Untergang unserer Brüder), wobei „ἀπωλίᾳ" (Untergang/Vernichtung) stärker ist als das hebräische "Sterben".</w:t>
      </w:r>
    </w:p>
    <w:p w14:paraId="33580A5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zwei koordinierte Hauptsätze: Der erste mit Verb, Subjekt und Präpositionalphrase; der zweite mit Verb und Infinitiv. Die direkte Rede ist ein Wunschsatz mit Wunschpartikel, Verb und temporaler Präpositionalphrase (Infinitiv construct mit Possessivsuffix, figura etymologica), gefolgt von Präpositionalphrase. Es gibt keine Nebensätze.</w:t>
      </w:r>
    </w:p>
    <w:p w14:paraId="5390C06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zeigt bittere Ironie: Sie wünschen, sie wären mit den Rebellen gestorben – dabei waren jene zur Strafe für ihr Murren gestorben!</w:t>
      </w:r>
    </w:p>
    <w:p w14:paraId="733157B6"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20,4</w:t>
      </w:r>
    </w:p>
    <w:p w14:paraId="46FEDD0C"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וְלָמָ֤ה הֲבֵאתֶם֙ אֶת־קְהַ֣ל יְהוָ֔ה אֶל־הַמִּדְבָּ֖ר הַזֶּ֑ה לָמ֣וּת שָׁ֔ם אֲנַ֖חְנוּ וּבְעִירֵֽנוּ׃</w:t>
      </w:r>
    </w:p>
    <w:p w14:paraId="3A72FFFC"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warum habt ihr die Versammlung des Ewigen in diese Wüste gebracht, dass wir daselbst sterben, wir und unser Vieh?</w:t>
      </w:r>
    </w:p>
    <w:p w14:paraId="68D32C3A"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37AD652E">
          <v:rect id="_x0000_i1686" style="width:0;height:1.5pt" o:hralign="center" o:hrstd="t" o:hr="t" fillcolor="#a0a0a0" stroked="f"/>
        </w:pict>
      </w:r>
    </w:p>
    <w:p w14:paraId="0854AA6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Die rhetorische Frage </w:t>
      </w:r>
      <w:r w:rsidRPr="001D73EC">
        <w:rPr>
          <w:rFonts w:eastAsia="Times New Roman" w:cs="Times New Roman"/>
          <w:b/>
          <w:bCs/>
          <w:rtl/>
          <w:lang w:eastAsia="de-DE"/>
        </w:rPr>
        <w:t>וְלָמָה הֲבֵאתֶם</w:t>
      </w:r>
      <w:r w:rsidRPr="001D73EC">
        <w:rPr>
          <w:rFonts w:eastAsia="Times New Roman" w:cs="Times New Roman"/>
          <w:rtl/>
          <w:lang w:eastAsia="de-DE"/>
        </w:rPr>
        <w:t xml:space="preserve"> </w:t>
      </w:r>
      <w:r w:rsidRPr="001D73EC">
        <w:rPr>
          <w:rFonts w:eastAsia="Times New Roman" w:cs="Times New Roman"/>
          <w:lang w:eastAsia="de-DE"/>
        </w:rPr>
        <w:t xml:space="preserve">besteht aus </w:t>
      </w:r>
      <w:r w:rsidRPr="001D73EC">
        <w:rPr>
          <w:rFonts w:eastAsia="Times New Roman" w:cs="Times New Roman"/>
          <w:b/>
          <w:bCs/>
          <w:rtl/>
          <w:lang w:eastAsia="de-DE"/>
        </w:rPr>
        <w:t>וְלָמָה</w:t>
      </w:r>
      <w:r w:rsidRPr="001D73EC">
        <w:rPr>
          <w:rFonts w:eastAsia="Times New Roman" w:cs="Times New Roman"/>
          <w:rtl/>
          <w:lang w:eastAsia="de-DE"/>
        </w:rPr>
        <w:t xml:space="preserve"> </w:t>
      </w:r>
      <w:r w:rsidRPr="001D73EC">
        <w:rPr>
          <w:rFonts w:eastAsia="Times New Roman" w:cs="Times New Roman"/>
          <w:lang w:eastAsia="de-DE"/>
        </w:rPr>
        <w:t xml:space="preserve">(Interrogativ „warum") und </w:t>
      </w:r>
      <w:r w:rsidRPr="001D73EC">
        <w:rPr>
          <w:rFonts w:eastAsia="Times New Roman" w:cs="Times New Roman"/>
          <w:b/>
          <w:bCs/>
          <w:rtl/>
          <w:lang w:eastAsia="de-DE"/>
        </w:rPr>
        <w:t>הֲבֵאתֶם</w:t>
      </w:r>
      <w:r w:rsidRPr="001D73EC">
        <w:rPr>
          <w:rFonts w:eastAsia="Times New Roman" w:cs="Times New Roman"/>
          <w:rtl/>
          <w:lang w:eastAsia="de-DE"/>
        </w:rPr>
        <w:t xml:space="preserve"> </w:t>
      </w:r>
      <w:r w:rsidRPr="001D73EC">
        <w:rPr>
          <w:rFonts w:eastAsia="Times New Roman" w:cs="Times New Roman"/>
          <w:lang w:eastAsia="de-DE"/>
        </w:rPr>
        <w:t xml:space="preserve">(Hifil Perfekt, 2. m. pl. von </w:t>
      </w:r>
      <w:r w:rsidRPr="001D73EC">
        <w:rPr>
          <w:rFonts w:eastAsia="Times New Roman" w:cs="Times New Roman"/>
          <w:b/>
          <w:bCs/>
          <w:rtl/>
          <w:lang w:eastAsia="de-DE"/>
        </w:rPr>
        <w:t>בוא</w:t>
      </w:r>
      <w:r w:rsidRPr="001D73EC">
        <w:rPr>
          <w:rFonts w:eastAsia="Times New Roman" w:cs="Times New Roman"/>
          <w:lang w:eastAsia="de-DE"/>
        </w:rPr>
        <w:t xml:space="preserve">, „ihr habt gebracht"). Das Objekt </w:t>
      </w:r>
      <w:r w:rsidRPr="001D73EC">
        <w:rPr>
          <w:rFonts w:eastAsia="Times New Roman" w:cs="Times New Roman"/>
          <w:b/>
          <w:bCs/>
          <w:rtl/>
          <w:lang w:eastAsia="de-DE"/>
        </w:rPr>
        <w:t>אֶת־קְהַל יְהוָה</w:t>
      </w:r>
      <w:r w:rsidRPr="001D73EC">
        <w:rPr>
          <w:rFonts w:eastAsia="Times New Roman" w:cs="Times New Roman"/>
          <w:rtl/>
          <w:lang w:eastAsia="de-DE"/>
        </w:rPr>
        <w:t xml:space="preserve"> </w:t>
      </w:r>
      <w:r w:rsidRPr="001D73EC">
        <w:rPr>
          <w:rFonts w:eastAsia="Times New Roman" w:cs="Times New Roman"/>
          <w:lang w:eastAsia="de-DE"/>
        </w:rPr>
        <w:t xml:space="preserve">(„die Versammlung JHWHs", Constructus-Verbindung) ist ironisch – sie sind „JHWHs Versammlung", doch rebellieren gegen ihn. Die Ortsangabe </w:t>
      </w:r>
      <w:r w:rsidRPr="001D73EC">
        <w:rPr>
          <w:rFonts w:eastAsia="Times New Roman" w:cs="Times New Roman"/>
          <w:b/>
          <w:bCs/>
          <w:rtl/>
          <w:lang w:eastAsia="de-DE"/>
        </w:rPr>
        <w:t>אֶל־הַמִּדְבָּר הַזֶּה</w:t>
      </w:r>
      <w:r w:rsidRPr="001D73EC">
        <w:rPr>
          <w:rFonts w:eastAsia="Times New Roman" w:cs="Times New Roman"/>
          <w:rtl/>
          <w:lang w:eastAsia="de-DE"/>
        </w:rPr>
        <w:t xml:space="preserve"> </w:t>
      </w:r>
      <w:r w:rsidRPr="001D73EC">
        <w:rPr>
          <w:rFonts w:eastAsia="Times New Roman" w:cs="Times New Roman"/>
          <w:lang w:eastAsia="de-DE"/>
        </w:rPr>
        <w:t>(„in diese Wüste") mit Demonstrativpronomen ist abschätzig.</w:t>
      </w:r>
    </w:p>
    <w:p w14:paraId="331AED04"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lastRenderedPageBreak/>
        <w:t xml:space="preserve">Der finale Infinitiv </w:t>
      </w:r>
      <w:r w:rsidRPr="001D73EC">
        <w:rPr>
          <w:rFonts w:eastAsia="Times New Roman" w:cs="Times New Roman"/>
          <w:b/>
          <w:bCs/>
          <w:rtl/>
          <w:lang w:eastAsia="de-DE"/>
        </w:rPr>
        <w:t>לָמוּת</w:t>
      </w:r>
      <w:r w:rsidRPr="001D73EC">
        <w:rPr>
          <w:rFonts w:eastAsia="Times New Roman" w:cs="Times New Roman"/>
          <w:rtl/>
          <w:lang w:eastAsia="de-DE"/>
        </w:rPr>
        <w:t xml:space="preserve"> </w:t>
      </w:r>
      <w:r w:rsidRPr="001D73EC">
        <w:rPr>
          <w:rFonts w:eastAsia="Times New Roman" w:cs="Times New Roman"/>
          <w:lang w:eastAsia="de-DE"/>
        </w:rPr>
        <w:t xml:space="preserve">(Qal Infinitiv construct von </w:t>
      </w:r>
      <w:r w:rsidRPr="001D73EC">
        <w:rPr>
          <w:rFonts w:eastAsia="Times New Roman" w:cs="Times New Roman"/>
          <w:b/>
          <w:bCs/>
          <w:rtl/>
          <w:lang w:eastAsia="de-DE"/>
        </w:rPr>
        <w:t>מות</w:t>
      </w:r>
      <w:r w:rsidRPr="001D73EC">
        <w:rPr>
          <w:rFonts w:eastAsia="Times New Roman" w:cs="Times New Roman"/>
          <w:rtl/>
          <w:lang w:eastAsia="de-DE"/>
        </w:rPr>
        <w:t xml:space="preserve"> </w:t>
      </w:r>
      <w:r w:rsidRPr="001D73EC">
        <w:rPr>
          <w:rFonts w:eastAsia="Times New Roman" w:cs="Times New Roman"/>
          <w:lang w:eastAsia="de-DE"/>
        </w:rPr>
        <w:t xml:space="preserve">mit </w:t>
      </w:r>
      <w:r w:rsidRPr="001D73EC">
        <w:rPr>
          <w:rFonts w:eastAsia="Times New Roman" w:cs="Times New Roman"/>
          <w:b/>
          <w:bCs/>
          <w:rtl/>
          <w:lang w:eastAsia="de-DE"/>
        </w:rPr>
        <w:t>לְ</w:t>
      </w:r>
      <w:r w:rsidRPr="001D73EC">
        <w:rPr>
          <w:rFonts w:eastAsia="Times New Roman" w:cs="Times New Roman"/>
          <w:lang w:eastAsia="de-DE"/>
        </w:rPr>
        <w:t xml:space="preserve">, „um zu sterben") drückt den (vermeintlichen) Zweck aus. </w:t>
      </w:r>
      <w:r w:rsidRPr="001D73EC">
        <w:rPr>
          <w:rFonts w:eastAsia="Times New Roman" w:cs="Times New Roman"/>
          <w:b/>
          <w:bCs/>
          <w:rtl/>
          <w:lang w:eastAsia="de-DE"/>
        </w:rPr>
        <w:t>שָׁם</w:t>
      </w:r>
      <w:r w:rsidRPr="001D73EC">
        <w:rPr>
          <w:rFonts w:eastAsia="Times New Roman" w:cs="Times New Roman"/>
          <w:rtl/>
          <w:lang w:eastAsia="de-DE"/>
        </w:rPr>
        <w:t xml:space="preserve"> </w:t>
      </w:r>
      <w:r w:rsidRPr="001D73EC">
        <w:rPr>
          <w:rFonts w:eastAsia="Times New Roman" w:cs="Times New Roman"/>
          <w:lang w:eastAsia="de-DE"/>
        </w:rPr>
        <w:t xml:space="preserve">(„dort, daselbst") wiederholt. Das doppelte Subjekt </w:t>
      </w:r>
      <w:r w:rsidRPr="001D73EC">
        <w:rPr>
          <w:rFonts w:eastAsia="Times New Roman" w:cs="Times New Roman"/>
          <w:b/>
          <w:bCs/>
          <w:rtl/>
          <w:lang w:eastAsia="de-DE"/>
        </w:rPr>
        <w:t>אֲנַחְנוּ וּבְעִירֵנוּ</w:t>
      </w:r>
      <w:r w:rsidRPr="001D73EC">
        <w:rPr>
          <w:rFonts w:eastAsia="Times New Roman" w:cs="Times New Roman"/>
          <w:rtl/>
          <w:lang w:eastAsia="de-DE"/>
        </w:rPr>
        <w:t xml:space="preserve"> </w:t>
      </w:r>
      <w:r w:rsidRPr="001D73EC">
        <w:rPr>
          <w:rFonts w:eastAsia="Times New Roman" w:cs="Times New Roman"/>
          <w:lang w:eastAsia="de-DE"/>
        </w:rPr>
        <w:t xml:space="preserve">(„wir und unser Vieh") zeigt: nicht nur Menschen, auch Tiere leiden. </w:t>
      </w:r>
      <w:r w:rsidRPr="001D73EC">
        <w:rPr>
          <w:rFonts w:eastAsia="Times New Roman" w:cs="Times New Roman"/>
          <w:b/>
          <w:bCs/>
          <w:rtl/>
          <w:lang w:eastAsia="de-DE"/>
        </w:rPr>
        <w:t>בְּעִיר</w:t>
      </w:r>
      <w:r w:rsidRPr="001D73EC">
        <w:rPr>
          <w:rFonts w:eastAsia="Times New Roman" w:cs="Times New Roman"/>
          <w:rtl/>
          <w:lang w:eastAsia="de-DE"/>
        </w:rPr>
        <w:t xml:space="preserve"> </w:t>
      </w:r>
      <w:r w:rsidRPr="001D73EC">
        <w:rPr>
          <w:rFonts w:eastAsia="Times New Roman" w:cs="Times New Roman"/>
          <w:lang w:eastAsia="de-DE"/>
        </w:rPr>
        <w:t>bedeutet „Vieh, Haustiere" mit Possessivsuffix 1. c. pl.</w:t>
      </w:r>
    </w:p>
    <w:p w14:paraId="2B038EFE"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Die LXX</w:t>
      </w:r>
      <w:r w:rsidRPr="001D73EC">
        <w:rPr>
          <w:rFonts w:eastAsia="Times New Roman" w:cs="Times New Roman"/>
          <w:lang w:eastAsia="de-DE"/>
        </w:rPr>
        <w:t xml:space="preserve"> folgt dem hebräischen Text.</w:t>
      </w:r>
    </w:p>
    <w:p w14:paraId="42916643"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einen Hauptsatz mit rhetorischer Frage (Interrogativ, Verb, Objekt als Constructus-Verbindung, Präpositionalphrase mit Demonstrativpronomen) und finaler Infinitivkonstruktion mit Adverb und doppeltem Subjekt. Es gibt einen Nebensatz (finaler Infinitivsatz).</w:t>
      </w:r>
    </w:p>
    <w:p w14:paraId="5F0CF6D3"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Der Vers wiederholt die alte Anklage aus der frühen Wüstenzeit – trotz 40 Jahren göttlicher Fürsorge lernt diese Generation nicht.</w:t>
      </w:r>
    </w:p>
    <w:p w14:paraId="0F65D85E" w14:textId="77777777" w:rsidR="001D73EC" w:rsidRPr="001D73EC" w:rsidRDefault="001D73EC" w:rsidP="001D73EC">
      <w:pPr>
        <w:spacing w:before="100" w:beforeAutospacing="1" w:after="100" w:afterAutospacing="1" w:line="240" w:lineRule="auto"/>
        <w:outlineLvl w:val="0"/>
        <w:rPr>
          <w:rFonts w:eastAsia="Times New Roman" w:cs="Times New Roman"/>
          <w:b/>
          <w:bCs/>
          <w:kern w:val="36"/>
          <w:sz w:val="48"/>
          <w:szCs w:val="48"/>
          <w:lang w:eastAsia="de-DE"/>
        </w:rPr>
      </w:pPr>
      <w:r w:rsidRPr="001D73EC">
        <w:rPr>
          <w:rFonts w:eastAsia="Times New Roman" w:cs="Times New Roman"/>
          <w:b/>
          <w:bCs/>
          <w:kern w:val="36"/>
          <w:sz w:val="48"/>
          <w:szCs w:val="48"/>
          <w:lang w:eastAsia="de-DE"/>
        </w:rPr>
        <w:t>Numeri 20,5</w:t>
      </w:r>
    </w:p>
    <w:p w14:paraId="512A4E36"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Hebräisch:</w:t>
      </w:r>
      <w:r w:rsidRPr="001D73EC">
        <w:rPr>
          <w:rFonts w:eastAsia="Times New Roman" w:cs="Times New Roman"/>
          <w:lang w:eastAsia="de-DE"/>
        </w:rPr>
        <w:t xml:space="preserve"> </w:t>
      </w:r>
      <w:r w:rsidRPr="001D73EC">
        <w:rPr>
          <w:rFonts w:eastAsia="Times New Roman" w:cs="Times New Roman"/>
          <w:rtl/>
          <w:lang w:eastAsia="de-DE"/>
        </w:rPr>
        <w:t>וְלָמָ֤ה הֶֽעֱלִיתֻ֨נוּ֙ מִמִּצְרַ֔יִם לְהָבִ֣יא אֹתָ֔נוּ אֶל־הַמָּק֥וֹם הָרָ֖ע הַזֶּ֑ה לֹ֣א׀ מְק֣וֹם זֶ֗רַע וּתְאֵנָ֤ה וְגֶ֨פֶן֙ וְרִמּ֔וֹן וּמַ֥יִם אַ֖יִן לִשְׁתּֽוֹת׃</w:t>
      </w:r>
    </w:p>
    <w:p w14:paraId="5F075312"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Deutsch:</w:t>
      </w:r>
      <w:r w:rsidRPr="001D73EC">
        <w:rPr>
          <w:rFonts w:eastAsia="Times New Roman" w:cs="Times New Roman"/>
          <w:lang w:eastAsia="de-DE"/>
        </w:rPr>
        <w:t xml:space="preserve"> Und warum habt ihr uns aus Ägypten heraufgeführt, um uns an diesen bösen Ort zu bringen? Es ist kein Ort der Saat und der Feigenbäume und der Weinstöcke und der Granatbäume, und kein Wasser ist da zu trinken.</w:t>
      </w:r>
    </w:p>
    <w:p w14:paraId="370AB122" w14:textId="77777777" w:rsidR="001D73EC" w:rsidRPr="001D73EC" w:rsidRDefault="00F329DD" w:rsidP="001D73EC">
      <w:pPr>
        <w:spacing w:after="0" w:line="240" w:lineRule="auto"/>
        <w:rPr>
          <w:rFonts w:eastAsia="Times New Roman" w:cs="Times New Roman"/>
          <w:lang w:eastAsia="de-DE"/>
        </w:rPr>
      </w:pPr>
      <w:r>
        <w:rPr>
          <w:rFonts w:eastAsia="Times New Roman" w:cs="Times New Roman"/>
          <w:noProof/>
          <w:lang w:eastAsia="de-DE"/>
        </w:rPr>
        <w:pict w14:anchorId="120F58A0">
          <v:rect id="_x0000_i1687" style="width:0;height:1.5pt" o:hralign="center" o:hrstd="t" o:hr="t" fillcolor="#a0a0a0" stroked="f"/>
        </w:pict>
      </w:r>
    </w:p>
    <w:p w14:paraId="303A25CB"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b/>
          <w:bCs/>
          <w:lang w:eastAsia="de-DE"/>
        </w:rPr>
        <w:t>Kommentar:</w:t>
      </w:r>
      <w:r w:rsidRPr="001D73EC">
        <w:rPr>
          <w:rFonts w:eastAsia="Times New Roman" w:cs="Times New Roman"/>
          <w:lang w:eastAsia="de-DE"/>
        </w:rPr>
        <w:t xml:space="preserve"> Die zweite rhetorische Frage </w:t>
      </w:r>
      <w:r w:rsidRPr="001D73EC">
        <w:rPr>
          <w:rFonts w:eastAsia="Times New Roman" w:cs="Times New Roman"/>
          <w:b/>
          <w:bCs/>
          <w:rtl/>
          <w:lang w:eastAsia="de-DE"/>
        </w:rPr>
        <w:t>וְלָמָה הֶעֱלִיתֻנוּ מִמִּצְרַיִם</w:t>
      </w:r>
      <w:r w:rsidRPr="001D73EC">
        <w:rPr>
          <w:rFonts w:eastAsia="Times New Roman" w:cs="Times New Roman"/>
          <w:rtl/>
          <w:lang w:eastAsia="de-DE"/>
        </w:rPr>
        <w:t xml:space="preserve"> </w:t>
      </w:r>
      <w:r w:rsidRPr="001D73EC">
        <w:rPr>
          <w:rFonts w:eastAsia="Times New Roman" w:cs="Times New Roman"/>
          <w:lang w:eastAsia="de-DE"/>
        </w:rPr>
        <w:t xml:space="preserve">mit </w:t>
      </w:r>
      <w:r w:rsidRPr="001D73EC">
        <w:rPr>
          <w:rFonts w:eastAsia="Times New Roman" w:cs="Times New Roman"/>
          <w:b/>
          <w:bCs/>
          <w:rtl/>
          <w:lang w:eastAsia="de-DE"/>
        </w:rPr>
        <w:t>הֶעֱלִיתֻנוּ</w:t>
      </w:r>
      <w:r w:rsidRPr="001D73EC">
        <w:rPr>
          <w:rFonts w:eastAsia="Times New Roman" w:cs="Times New Roman"/>
          <w:rtl/>
          <w:lang w:eastAsia="de-DE"/>
        </w:rPr>
        <w:t xml:space="preserve"> </w:t>
      </w:r>
      <w:r w:rsidRPr="001D73EC">
        <w:rPr>
          <w:rFonts w:eastAsia="Times New Roman" w:cs="Times New Roman"/>
          <w:lang w:eastAsia="de-DE"/>
        </w:rPr>
        <w:t xml:space="preserve">(Hifil Perfekt, 2. m. pl. von </w:t>
      </w:r>
      <w:r w:rsidRPr="001D73EC">
        <w:rPr>
          <w:rFonts w:eastAsia="Times New Roman" w:cs="Times New Roman"/>
          <w:b/>
          <w:bCs/>
          <w:rtl/>
          <w:lang w:eastAsia="de-DE"/>
        </w:rPr>
        <w:t>עלה</w:t>
      </w:r>
      <w:r w:rsidRPr="001D73EC">
        <w:rPr>
          <w:rFonts w:eastAsia="Times New Roman" w:cs="Times New Roman"/>
          <w:rtl/>
          <w:lang w:eastAsia="de-DE"/>
        </w:rPr>
        <w:t xml:space="preserve"> </w:t>
      </w:r>
      <w:r w:rsidRPr="001D73EC">
        <w:rPr>
          <w:rFonts w:eastAsia="Times New Roman" w:cs="Times New Roman"/>
          <w:lang w:eastAsia="de-DE"/>
        </w:rPr>
        <w:t xml:space="preserve">mit Objektsuffix 1. c. pl., „ihr habt uns heraufgeführt") und </w:t>
      </w:r>
      <w:r w:rsidRPr="001D73EC">
        <w:rPr>
          <w:rFonts w:eastAsia="Times New Roman" w:cs="Times New Roman"/>
          <w:b/>
          <w:bCs/>
          <w:rtl/>
          <w:lang w:eastAsia="de-DE"/>
        </w:rPr>
        <w:t>מִמִּצְרַיִם</w:t>
      </w:r>
      <w:r w:rsidRPr="001D73EC">
        <w:rPr>
          <w:rFonts w:eastAsia="Times New Roman" w:cs="Times New Roman"/>
          <w:rtl/>
          <w:lang w:eastAsia="de-DE"/>
        </w:rPr>
        <w:t xml:space="preserve"> </w:t>
      </w:r>
      <w:r w:rsidRPr="001D73EC">
        <w:rPr>
          <w:rFonts w:eastAsia="Times New Roman" w:cs="Times New Roman"/>
          <w:lang w:eastAsia="de-DE"/>
        </w:rPr>
        <w:t xml:space="preserve">(„aus Ägypten"). Der finale Infinitiv </w:t>
      </w:r>
      <w:r w:rsidRPr="001D73EC">
        <w:rPr>
          <w:rFonts w:eastAsia="Times New Roman" w:cs="Times New Roman"/>
          <w:b/>
          <w:bCs/>
          <w:rtl/>
          <w:lang w:eastAsia="de-DE"/>
        </w:rPr>
        <w:t>לְהָבִיא אֹתָנוּ</w:t>
      </w:r>
      <w:r w:rsidRPr="001D73EC">
        <w:rPr>
          <w:rFonts w:eastAsia="Times New Roman" w:cs="Times New Roman"/>
          <w:rtl/>
          <w:lang w:eastAsia="de-DE"/>
        </w:rPr>
        <w:t xml:space="preserve"> </w:t>
      </w:r>
      <w:r w:rsidRPr="001D73EC">
        <w:rPr>
          <w:rFonts w:eastAsia="Times New Roman" w:cs="Times New Roman"/>
          <w:lang w:eastAsia="de-DE"/>
        </w:rPr>
        <w:t xml:space="preserve">(Hifil Infinitiv construct von </w:t>
      </w:r>
      <w:r w:rsidRPr="001D73EC">
        <w:rPr>
          <w:rFonts w:eastAsia="Times New Roman" w:cs="Times New Roman"/>
          <w:b/>
          <w:bCs/>
          <w:rtl/>
          <w:lang w:eastAsia="de-DE"/>
        </w:rPr>
        <w:t>בוא</w:t>
      </w:r>
      <w:r w:rsidRPr="001D73EC">
        <w:rPr>
          <w:rFonts w:eastAsia="Times New Roman" w:cs="Times New Roman"/>
          <w:rtl/>
          <w:lang w:eastAsia="de-DE"/>
        </w:rPr>
        <w:t xml:space="preserve"> </w:t>
      </w:r>
      <w:r w:rsidRPr="001D73EC">
        <w:rPr>
          <w:rFonts w:eastAsia="Times New Roman" w:cs="Times New Roman"/>
          <w:lang w:eastAsia="de-DE"/>
        </w:rPr>
        <w:t xml:space="preserve">mit </w:t>
      </w:r>
      <w:r w:rsidRPr="001D73EC">
        <w:rPr>
          <w:rFonts w:eastAsia="Times New Roman" w:cs="Times New Roman"/>
          <w:b/>
          <w:bCs/>
          <w:rtl/>
          <w:lang w:eastAsia="de-DE"/>
        </w:rPr>
        <w:t>לְ</w:t>
      </w:r>
      <w:r w:rsidRPr="001D73EC">
        <w:rPr>
          <w:rFonts w:eastAsia="Times New Roman" w:cs="Times New Roman"/>
          <w:rtl/>
          <w:lang w:eastAsia="de-DE"/>
        </w:rPr>
        <w:t xml:space="preserve"> </w:t>
      </w:r>
      <w:r w:rsidRPr="001D73EC">
        <w:rPr>
          <w:rFonts w:eastAsia="Times New Roman" w:cs="Times New Roman"/>
          <w:lang w:eastAsia="de-DE"/>
        </w:rPr>
        <w:t xml:space="preserve">und Objektsuffix 1. c. pl., „um uns zu bringen"). Die Ortsangabe </w:t>
      </w:r>
      <w:r w:rsidRPr="001D73EC">
        <w:rPr>
          <w:rFonts w:eastAsia="Times New Roman" w:cs="Times New Roman"/>
          <w:b/>
          <w:bCs/>
          <w:rtl/>
          <w:lang w:eastAsia="de-DE"/>
        </w:rPr>
        <w:t>אֶל־הַמָּקוֹם הָרָע הַזֶּה</w:t>
      </w:r>
      <w:r w:rsidRPr="001D73EC">
        <w:rPr>
          <w:rFonts w:eastAsia="Times New Roman" w:cs="Times New Roman"/>
          <w:rtl/>
          <w:lang w:eastAsia="de-DE"/>
        </w:rPr>
        <w:t xml:space="preserve"> </w:t>
      </w:r>
      <w:r w:rsidRPr="001D73EC">
        <w:rPr>
          <w:rFonts w:eastAsia="Times New Roman" w:cs="Times New Roman"/>
          <w:lang w:eastAsia="de-DE"/>
        </w:rPr>
        <w:t xml:space="preserve">(„zu diesem bösen Ort") mit Adjektiv </w:t>
      </w:r>
      <w:r w:rsidRPr="001D73EC">
        <w:rPr>
          <w:rFonts w:eastAsia="Times New Roman" w:cs="Times New Roman"/>
          <w:b/>
          <w:bCs/>
          <w:rtl/>
          <w:lang w:eastAsia="de-DE"/>
        </w:rPr>
        <w:t>רָע</w:t>
      </w:r>
      <w:r w:rsidRPr="001D73EC">
        <w:rPr>
          <w:rFonts w:eastAsia="Times New Roman" w:cs="Times New Roman"/>
          <w:rtl/>
          <w:lang w:eastAsia="de-DE"/>
        </w:rPr>
        <w:t xml:space="preserve"> </w:t>
      </w:r>
      <w:r w:rsidRPr="001D73EC">
        <w:rPr>
          <w:rFonts w:eastAsia="Times New Roman" w:cs="Times New Roman"/>
          <w:lang w:eastAsia="de-DE"/>
        </w:rPr>
        <w:t>und Demonstrativpronomen ist vernichtend.</w:t>
      </w:r>
    </w:p>
    <w:p w14:paraId="41C89850" w14:textId="77777777"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 xml:space="preserve">Die negative Beschreibung beginnt mit </w:t>
      </w:r>
      <w:r w:rsidRPr="001D73EC">
        <w:rPr>
          <w:rFonts w:eastAsia="Times New Roman" w:cs="Times New Roman"/>
          <w:b/>
          <w:bCs/>
          <w:rtl/>
          <w:lang w:eastAsia="de-DE"/>
        </w:rPr>
        <w:t>לֹא מְקוֹם זֶרַע</w:t>
      </w:r>
      <w:r w:rsidRPr="001D73EC">
        <w:rPr>
          <w:rFonts w:eastAsia="Times New Roman" w:cs="Times New Roman"/>
          <w:rtl/>
          <w:lang w:eastAsia="de-DE"/>
        </w:rPr>
        <w:t xml:space="preserve"> </w:t>
      </w:r>
      <w:r w:rsidRPr="001D73EC">
        <w:rPr>
          <w:rFonts w:eastAsia="Times New Roman" w:cs="Times New Roman"/>
          <w:lang w:eastAsia="de-DE"/>
        </w:rPr>
        <w:t xml:space="preserve">(„kein Ort der Saat", Constructus-Verbindung mit Negation). Die vierfache Aufzählung </w:t>
      </w:r>
      <w:r w:rsidRPr="001D73EC">
        <w:rPr>
          <w:rFonts w:eastAsia="Times New Roman" w:cs="Times New Roman"/>
          <w:b/>
          <w:bCs/>
          <w:rtl/>
          <w:lang w:eastAsia="de-DE"/>
        </w:rPr>
        <w:t>וּתְאֵנָה וְגֶפֶן וְרִמּוֹן</w:t>
      </w:r>
      <w:r w:rsidRPr="001D73EC">
        <w:rPr>
          <w:rFonts w:eastAsia="Times New Roman" w:cs="Times New Roman"/>
          <w:rtl/>
          <w:lang w:eastAsia="de-DE"/>
        </w:rPr>
        <w:t xml:space="preserve"> </w:t>
      </w:r>
      <w:r w:rsidRPr="001D73EC">
        <w:rPr>
          <w:rFonts w:eastAsia="Times New Roman" w:cs="Times New Roman"/>
          <w:lang w:eastAsia="de-DE"/>
        </w:rPr>
        <w:t xml:space="preserve">nennt kultivierte Früchte: </w:t>
      </w:r>
      <w:r w:rsidRPr="001D73EC">
        <w:rPr>
          <w:rFonts w:eastAsia="Times New Roman" w:cs="Times New Roman"/>
          <w:b/>
          <w:bCs/>
          <w:rtl/>
          <w:lang w:eastAsia="de-DE"/>
        </w:rPr>
        <w:t>תְּאֵנָה</w:t>
      </w:r>
      <w:r w:rsidRPr="001D73EC">
        <w:rPr>
          <w:rFonts w:eastAsia="Times New Roman" w:cs="Times New Roman"/>
          <w:rtl/>
          <w:lang w:eastAsia="de-DE"/>
        </w:rPr>
        <w:t xml:space="preserve"> </w:t>
      </w:r>
      <w:r w:rsidRPr="001D73EC">
        <w:rPr>
          <w:rFonts w:eastAsia="Times New Roman" w:cs="Times New Roman"/>
          <w:lang w:eastAsia="de-DE"/>
        </w:rPr>
        <w:t xml:space="preserve">„Feige", </w:t>
      </w:r>
      <w:r w:rsidRPr="001D73EC">
        <w:rPr>
          <w:rFonts w:eastAsia="Times New Roman" w:cs="Times New Roman"/>
          <w:b/>
          <w:bCs/>
          <w:rtl/>
          <w:lang w:eastAsia="de-DE"/>
        </w:rPr>
        <w:t>גֶּפֶן</w:t>
      </w:r>
      <w:r w:rsidRPr="001D73EC">
        <w:rPr>
          <w:rFonts w:eastAsia="Times New Roman" w:cs="Times New Roman"/>
          <w:rtl/>
          <w:lang w:eastAsia="de-DE"/>
        </w:rPr>
        <w:t xml:space="preserve"> </w:t>
      </w:r>
      <w:r w:rsidRPr="001D73EC">
        <w:rPr>
          <w:rFonts w:eastAsia="Times New Roman" w:cs="Times New Roman"/>
          <w:lang w:eastAsia="de-DE"/>
        </w:rPr>
        <w:t xml:space="preserve">„Weinstock, Rebe", </w:t>
      </w:r>
      <w:r w:rsidRPr="001D73EC">
        <w:rPr>
          <w:rFonts w:eastAsia="Times New Roman" w:cs="Times New Roman"/>
          <w:b/>
          <w:bCs/>
          <w:rtl/>
          <w:lang w:eastAsia="de-DE"/>
        </w:rPr>
        <w:t>רִמּוֹן</w:t>
      </w:r>
      <w:r w:rsidRPr="001D73EC">
        <w:rPr>
          <w:rFonts w:eastAsia="Times New Roman" w:cs="Times New Roman"/>
          <w:rtl/>
          <w:lang w:eastAsia="de-DE"/>
        </w:rPr>
        <w:t xml:space="preserve"> </w:t>
      </w:r>
      <w:r w:rsidRPr="001D73EC">
        <w:rPr>
          <w:rFonts w:eastAsia="Times New Roman" w:cs="Times New Roman"/>
          <w:lang w:eastAsia="de-DE"/>
        </w:rPr>
        <w:t xml:space="preserve">„Granatapfel" – alles Symbole des verheißenen Landes (vgl. Dtn 8,8), die hier fehlen. Die abschließende Klage </w:t>
      </w:r>
      <w:r w:rsidRPr="001D73EC">
        <w:rPr>
          <w:rFonts w:eastAsia="Times New Roman" w:cs="Times New Roman"/>
          <w:b/>
          <w:bCs/>
          <w:rtl/>
          <w:lang w:eastAsia="de-DE"/>
        </w:rPr>
        <w:t>וּמַיִם אַיִן לִשְׁתּוֹת</w:t>
      </w:r>
      <w:r w:rsidRPr="001D73EC">
        <w:rPr>
          <w:rFonts w:eastAsia="Times New Roman" w:cs="Times New Roman"/>
          <w:rtl/>
          <w:lang w:eastAsia="de-DE"/>
        </w:rPr>
        <w:t xml:space="preserve"> </w:t>
      </w:r>
      <w:r w:rsidRPr="001D73EC">
        <w:rPr>
          <w:rFonts w:eastAsia="Times New Roman" w:cs="Times New Roman"/>
          <w:lang w:eastAsia="de-DE"/>
        </w:rPr>
        <w:t xml:space="preserve">(„und Wasser ist nicht da zu trinken") verwendet </w:t>
      </w:r>
      <w:r w:rsidRPr="001D73EC">
        <w:rPr>
          <w:rFonts w:eastAsia="Times New Roman" w:cs="Times New Roman"/>
          <w:b/>
          <w:bCs/>
          <w:rtl/>
          <w:lang w:eastAsia="de-DE"/>
        </w:rPr>
        <w:t>אַיִן</w:t>
      </w:r>
      <w:r w:rsidRPr="001D73EC">
        <w:rPr>
          <w:rFonts w:eastAsia="Times New Roman" w:cs="Times New Roman"/>
          <w:rtl/>
          <w:lang w:eastAsia="de-DE"/>
        </w:rPr>
        <w:t xml:space="preserve"> </w:t>
      </w:r>
      <w:r w:rsidRPr="001D73EC">
        <w:rPr>
          <w:rFonts w:eastAsia="Times New Roman" w:cs="Times New Roman"/>
          <w:lang w:eastAsia="de-DE"/>
        </w:rPr>
        <w:t xml:space="preserve">(Existenznegation stärker als </w:t>
      </w:r>
      <w:r w:rsidRPr="001D73EC">
        <w:rPr>
          <w:rFonts w:eastAsia="Times New Roman" w:cs="Times New Roman"/>
          <w:b/>
          <w:bCs/>
          <w:rtl/>
          <w:lang w:eastAsia="de-DE"/>
        </w:rPr>
        <w:t>לֹא</w:t>
      </w:r>
      <w:r w:rsidRPr="001D73EC">
        <w:rPr>
          <w:rFonts w:eastAsia="Times New Roman" w:cs="Times New Roman"/>
          <w:lang w:eastAsia="de-DE"/>
        </w:rPr>
        <w:t xml:space="preserve">) mit finalem Infinitiv </w:t>
      </w:r>
      <w:r w:rsidRPr="001D73EC">
        <w:rPr>
          <w:rFonts w:eastAsia="Times New Roman" w:cs="Times New Roman"/>
          <w:b/>
          <w:bCs/>
          <w:rtl/>
          <w:lang w:eastAsia="de-DE"/>
        </w:rPr>
        <w:t>לִשְׁתּוֹת</w:t>
      </w:r>
      <w:r w:rsidRPr="001D73EC">
        <w:rPr>
          <w:rFonts w:eastAsia="Times New Roman" w:cs="Times New Roman"/>
          <w:rtl/>
          <w:lang w:eastAsia="de-DE"/>
        </w:rPr>
        <w:t xml:space="preserve"> </w:t>
      </w:r>
      <w:r w:rsidRPr="001D73EC">
        <w:rPr>
          <w:rFonts w:eastAsia="Times New Roman" w:cs="Times New Roman"/>
          <w:lang w:eastAsia="de-DE"/>
        </w:rPr>
        <w:t xml:space="preserve">(Qal Infinitiv construct von </w:t>
      </w:r>
      <w:r w:rsidRPr="001D73EC">
        <w:rPr>
          <w:rFonts w:eastAsia="Times New Roman" w:cs="Times New Roman"/>
          <w:b/>
          <w:bCs/>
          <w:rtl/>
          <w:lang w:eastAsia="de-DE"/>
        </w:rPr>
        <w:t>שׁתה</w:t>
      </w:r>
      <w:r w:rsidRPr="001D73EC">
        <w:rPr>
          <w:rFonts w:eastAsia="Times New Roman" w:cs="Times New Roman"/>
          <w:rtl/>
          <w:lang w:eastAsia="de-DE"/>
        </w:rPr>
        <w:t xml:space="preserve"> </w:t>
      </w:r>
      <w:r w:rsidRPr="001D73EC">
        <w:rPr>
          <w:rFonts w:eastAsia="Times New Roman" w:cs="Times New Roman"/>
          <w:lang w:eastAsia="de-DE"/>
        </w:rPr>
        <w:t xml:space="preserve">mit </w:t>
      </w:r>
      <w:r w:rsidRPr="001D73EC">
        <w:rPr>
          <w:rFonts w:eastAsia="Times New Roman" w:cs="Times New Roman"/>
          <w:b/>
          <w:bCs/>
          <w:rtl/>
          <w:lang w:eastAsia="de-DE"/>
        </w:rPr>
        <w:t>לְ</w:t>
      </w:r>
      <w:r w:rsidRPr="001D73EC">
        <w:rPr>
          <w:rFonts w:eastAsia="Times New Roman" w:cs="Times New Roman"/>
          <w:lang w:eastAsia="de-DE"/>
        </w:rPr>
        <w:t>).</w:t>
      </w:r>
    </w:p>
    <w:p w14:paraId="7D35263D" w14:textId="77777777" w:rsidR="00C229FD" w:rsidRDefault="001D73EC" w:rsidP="00C229FD">
      <w:pPr>
        <w:spacing w:before="100" w:beforeAutospacing="1" w:after="100" w:afterAutospacing="1" w:line="240" w:lineRule="auto"/>
      </w:pPr>
      <w:r w:rsidRPr="001D73EC">
        <w:rPr>
          <w:rFonts w:eastAsia="Times New Roman" w:cs="Times New Roman"/>
          <w:b/>
          <w:bCs/>
          <w:lang w:eastAsia="de-DE"/>
        </w:rPr>
        <w:t>Die LXX</w:t>
      </w:r>
      <w:r w:rsidRPr="001D73EC">
        <w:rPr>
          <w:rFonts w:eastAsia="Times New Roman" w:cs="Times New Roman"/>
          <w:lang w:eastAsia="de-DE"/>
        </w:rPr>
        <w:t xml:space="preserve"> </w:t>
      </w:r>
      <w:r w:rsidR="00C229FD">
        <w:t>übersetzt „</w:t>
      </w:r>
      <w:r w:rsidR="00C229FD" w:rsidRPr="00C229FD">
        <w:rPr>
          <w:b/>
          <w:bCs/>
          <w:rtl/>
        </w:rPr>
        <w:t>לֹא מְקוֹם זֶרַע</w:t>
      </w:r>
      <w:r w:rsidR="00C229FD">
        <w:t>" (kein Ort der Aussaat) mit „τόπος, οὗ οὐ σπείρεται" (ein Ort, wo nicht gesät wird), was die Unfruchtbarkeit aktiver ausdrückt.</w:t>
      </w:r>
    </w:p>
    <w:p w14:paraId="4C038AD2" w14:textId="33CA914E" w:rsidR="001D73EC" w:rsidRPr="001D73EC" w:rsidRDefault="001D73EC" w:rsidP="00C229FD">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t>Die Satzstruktur zeigt einen Hauptsatz mit rhetorischer Frage (Interrogativ, Verb mit Objektsuffix, Präpositionalphrase) und finaler Infinitivkonstruktion (mit Objektsuffix und Präpositionalphrase). Ein negativer nominaler Satz mit Constructus-Verbindung, vierfacher Aufzählung und abschließender Existenznegation mit finalem Infinitiv beschreibt den Ort. Insgesamt gibt es einen Nebensatz (finaler Infinitivsatz).</w:t>
      </w:r>
    </w:p>
    <w:p w14:paraId="3EF16A9D" w14:textId="7B62D663" w:rsidR="001D73EC" w:rsidRPr="001D73EC" w:rsidRDefault="001D73EC" w:rsidP="001D73EC">
      <w:pPr>
        <w:spacing w:before="100" w:beforeAutospacing="1" w:after="100" w:afterAutospacing="1" w:line="240" w:lineRule="auto"/>
        <w:rPr>
          <w:rFonts w:eastAsia="Times New Roman" w:cs="Times New Roman"/>
          <w:lang w:eastAsia="de-DE"/>
        </w:rPr>
      </w:pPr>
      <w:r w:rsidRPr="001D73EC">
        <w:rPr>
          <w:rFonts w:eastAsia="Times New Roman" w:cs="Times New Roman"/>
          <w:lang w:eastAsia="de-DE"/>
        </w:rPr>
        <w:lastRenderedPageBreak/>
        <w:t>Der Vers gipfelt in der Undankbarkeit: Sie ver</w:t>
      </w:r>
      <w:r w:rsidR="00DE119B">
        <w:rPr>
          <w:rFonts w:eastAsia="Times New Roman" w:cs="Times New Roman"/>
          <w:lang w:eastAsia="de-DE"/>
        </w:rPr>
        <w:t>herrlichen</w:t>
      </w:r>
      <w:r w:rsidRPr="001D73EC">
        <w:rPr>
          <w:rFonts w:eastAsia="Times New Roman" w:cs="Times New Roman"/>
          <w:lang w:eastAsia="de-DE"/>
        </w:rPr>
        <w:t xml:space="preserve"> Ägypten (wo sie Sklaven waren!) und verdammen die Wüste – trotz 40 Jahren göttlicher Versorgung.</w:t>
      </w:r>
    </w:p>
    <w:p w14:paraId="42024B73"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20,6</w:t>
      </w:r>
    </w:p>
    <w:p w14:paraId="6D155A3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וַיָּבֹא֩ מֹשֶׁ֨ה וְאַהֲרֹ֜ן מִפְּנֵ֣י הַקָּהָ֗ל אֶל־פֶּ֨תַח֙ אֹ֣הֶל מוֹעֵ֔ד וַֽיִּפְּל֖וּ עַל־פְּנֵיהֶ֑ם וַיֵּרָ֥א כְבוֹד־יְהוָ֖ה אֲלֵיהֶֽם׃</w:t>
      </w:r>
    </w:p>
    <w:p w14:paraId="6733995E"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Mosche und Aharon kamen von der Versammlung zum Eingang des Zeltes der Begegnung und fielen auf ihr Angesicht; und die Herrlichkeit des Ewigen erschien ihnen.</w:t>
      </w:r>
    </w:p>
    <w:p w14:paraId="418FA8CE"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52642C71">
          <v:rect id="_x0000_i1688" style="width:0;height:1.5pt" o:hralign="center" o:hrstd="t" o:hr="t" fillcolor="#a0a0a0" stroked="f"/>
        </w:pict>
      </w:r>
    </w:p>
    <w:p w14:paraId="3F4BB1C4"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וַיָּבֹא</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בוא</w:t>
      </w:r>
      <w:r w:rsidRPr="00DE119B">
        <w:rPr>
          <w:rFonts w:eastAsia="Times New Roman" w:cs="Times New Roman"/>
          <w:lang w:eastAsia="de-DE"/>
        </w:rPr>
        <w:t xml:space="preserve">, „und er kam") hat kollektives Subjekt </w:t>
      </w:r>
      <w:r w:rsidRPr="00DE119B">
        <w:rPr>
          <w:rFonts w:eastAsia="Times New Roman" w:cs="Times New Roman"/>
          <w:b/>
          <w:bCs/>
          <w:rtl/>
          <w:lang w:eastAsia="de-DE"/>
        </w:rPr>
        <w:t>מֹשֶׁה וְאַהֲרֹן</w:t>
      </w:r>
      <w:r w:rsidRPr="00DE119B">
        <w:rPr>
          <w:rFonts w:eastAsia="Times New Roman" w:cs="Times New Roman"/>
          <w:rtl/>
          <w:lang w:eastAsia="de-DE"/>
        </w:rPr>
        <w:t xml:space="preserve"> </w:t>
      </w:r>
      <w:r w:rsidRPr="00DE119B">
        <w:rPr>
          <w:rFonts w:eastAsia="Times New Roman" w:cs="Times New Roman"/>
          <w:lang w:eastAsia="de-DE"/>
        </w:rPr>
        <w:t xml:space="preserve">(koordiniert). Die Präposition </w:t>
      </w:r>
      <w:r w:rsidRPr="00DE119B">
        <w:rPr>
          <w:rFonts w:eastAsia="Times New Roman" w:cs="Times New Roman"/>
          <w:b/>
          <w:bCs/>
          <w:rtl/>
          <w:lang w:eastAsia="de-DE"/>
        </w:rPr>
        <w:t>מִפְּנֵי הַקָּהָל</w:t>
      </w:r>
      <w:r w:rsidRPr="00DE119B">
        <w:rPr>
          <w:rFonts w:eastAsia="Times New Roman" w:cs="Times New Roman"/>
          <w:rtl/>
          <w:lang w:eastAsia="de-DE"/>
        </w:rPr>
        <w:t xml:space="preserve"> </w:t>
      </w:r>
      <w:r w:rsidRPr="00DE119B">
        <w:rPr>
          <w:rFonts w:eastAsia="Times New Roman" w:cs="Times New Roman"/>
          <w:lang w:eastAsia="de-DE"/>
        </w:rPr>
        <w:t xml:space="preserve">(„von vor der Versammlung") mit </w:t>
      </w:r>
      <w:r w:rsidRPr="00DE119B">
        <w:rPr>
          <w:rFonts w:eastAsia="Times New Roman" w:cs="Times New Roman"/>
          <w:b/>
          <w:bCs/>
          <w:rtl/>
          <w:lang w:eastAsia="de-DE"/>
        </w:rPr>
        <w:t>מִן</w:t>
      </w:r>
      <w:r w:rsidRPr="00DE119B">
        <w:rPr>
          <w:rFonts w:eastAsia="Times New Roman" w:cs="Times New Roman"/>
          <w:rtl/>
          <w:lang w:eastAsia="de-DE"/>
        </w:rPr>
        <w:t xml:space="preserve"> </w:t>
      </w:r>
      <w:r w:rsidRPr="00DE119B">
        <w:rPr>
          <w:rFonts w:eastAsia="Times New Roman" w:cs="Times New Roman"/>
          <w:lang w:eastAsia="de-DE"/>
        </w:rPr>
        <w:t xml:space="preserve">und </w:t>
      </w:r>
      <w:r w:rsidRPr="00DE119B">
        <w:rPr>
          <w:rFonts w:eastAsia="Times New Roman" w:cs="Times New Roman"/>
          <w:b/>
          <w:bCs/>
          <w:rtl/>
          <w:lang w:eastAsia="de-DE"/>
        </w:rPr>
        <w:t>פָּנִים</w:t>
      </w:r>
      <w:r w:rsidRPr="00DE119B">
        <w:rPr>
          <w:rFonts w:eastAsia="Times New Roman" w:cs="Times New Roman"/>
          <w:rtl/>
          <w:lang w:eastAsia="de-DE"/>
        </w:rPr>
        <w:t xml:space="preserve"> </w:t>
      </w:r>
      <w:r w:rsidRPr="00DE119B">
        <w:rPr>
          <w:rFonts w:eastAsia="Times New Roman" w:cs="Times New Roman"/>
          <w:lang w:eastAsia="de-DE"/>
        </w:rPr>
        <w:t xml:space="preserve">(„Angesicht") bedeutet: „weg von der Versammlung", sie fliehen vor dem aufgebrachten Volk. </w:t>
      </w:r>
      <w:r w:rsidRPr="00DE119B">
        <w:rPr>
          <w:rFonts w:eastAsia="Times New Roman" w:cs="Times New Roman"/>
          <w:b/>
          <w:bCs/>
          <w:rtl/>
          <w:lang w:eastAsia="de-DE"/>
        </w:rPr>
        <w:t>אֶל־פֶּתַח אֹהֶל מוֹעֵד</w:t>
      </w:r>
      <w:r w:rsidRPr="00DE119B">
        <w:rPr>
          <w:rFonts w:eastAsia="Times New Roman" w:cs="Times New Roman"/>
          <w:rtl/>
          <w:lang w:eastAsia="de-DE"/>
        </w:rPr>
        <w:t xml:space="preserve"> </w:t>
      </w:r>
      <w:r w:rsidRPr="00DE119B">
        <w:rPr>
          <w:rFonts w:eastAsia="Times New Roman" w:cs="Times New Roman"/>
          <w:lang w:eastAsia="de-DE"/>
        </w:rPr>
        <w:t>(„zum Eingang des Zeltes der Begegnung", Constructus-Verbindung) gibt das Ziel an – sie suchen Zuflucht beim Heiligtum.</w:t>
      </w:r>
    </w:p>
    <w:p w14:paraId="55EF784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Das Verb </w:t>
      </w:r>
      <w:r w:rsidRPr="00DE119B">
        <w:rPr>
          <w:rFonts w:eastAsia="Times New Roman" w:cs="Times New Roman"/>
          <w:b/>
          <w:bCs/>
          <w:rtl/>
          <w:lang w:eastAsia="de-DE"/>
        </w:rPr>
        <w:t>וַיִּפְּלוּ</w:t>
      </w:r>
      <w:r w:rsidRPr="00DE119B">
        <w:rPr>
          <w:rFonts w:eastAsia="Times New Roman" w:cs="Times New Roman"/>
          <w:rtl/>
          <w:lang w:eastAsia="de-DE"/>
        </w:rPr>
        <w:t xml:space="preserve"> </w:t>
      </w:r>
      <w:r w:rsidRPr="00DE119B">
        <w:rPr>
          <w:rFonts w:eastAsia="Times New Roman" w:cs="Times New Roman"/>
          <w:lang w:eastAsia="de-DE"/>
        </w:rPr>
        <w:t xml:space="preserve">(Wayyiqtol, 3. m. pl. von </w:t>
      </w:r>
      <w:r w:rsidRPr="00DE119B">
        <w:rPr>
          <w:rFonts w:eastAsia="Times New Roman" w:cs="Times New Roman"/>
          <w:b/>
          <w:bCs/>
          <w:rtl/>
          <w:lang w:eastAsia="de-DE"/>
        </w:rPr>
        <w:t>נפל</w:t>
      </w:r>
      <w:r w:rsidRPr="00DE119B">
        <w:rPr>
          <w:rFonts w:eastAsia="Times New Roman" w:cs="Times New Roman"/>
          <w:lang w:eastAsia="de-DE"/>
        </w:rPr>
        <w:t xml:space="preserve">, „und sie fielen") mit </w:t>
      </w:r>
      <w:r w:rsidRPr="00DE119B">
        <w:rPr>
          <w:rFonts w:eastAsia="Times New Roman" w:cs="Times New Roman"/>
          <w:b/>
          <w:bCs/>
          <w:rtl/>
          <w:lang w:eastAsia="de-DE"/>
        </w:rPr>
        <w:t>עַל־פְּנֵיהֶם</w:t>
      </w:r>
      <w:r w:rsidRPr="00DE119B">
        <w:rPr>
          <w:rFonts w:eastAsia="Times New Roman" w:cs="Times New Roman"/>
          <w:rtl/>
          <w:lang w:eastAsia="de-DE"/>
        </w:rPr>
        <w:t xml:space="preserve"> </w:t>
      </w:r>
      <w:r w:rsidRPr="00DE119B">
        <w:rPr>
          <w:rFonts w:eastAsia="Times New Roman" w:cs="Times New Roman"/>
          <w:lang w:eastAsia="de-DE"/>
        </w:rPr>
        <w:t>(„auf ihr Angesicht") beschreibt die Proskynese – demütige Anbetung oder verzweifelte Fürbitte.</w:t>
      </w:r>
    </w:p>
    <w:p w14:paraId="5EE53D76"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göttliche Antwort </w:t>
      </w:r>
      <w:r w:rsidRPr="00DE119B">
        <w:rPr>
          <w:rFonts w:eastAsia="Times New Roman" w:cs="Times New Roman"/>
          <w:b/>
          <w:bCs/>
          <w:rtl/>
          <w:lang w:eastAsia="de-DE"/>
        </w:rPr>
        <w:t>וַיֵּרָא כְבוֹד־יְהוָה אֲלֵיהֶם</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וַיֵּרָא</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ראה</w:t>
      </w:r>
      <w:r w:rsidRPr="00DE119B">
        <w:rPr>
          <w:rFonts w:eastAsia="Times New Roman" w:cs="Times New Roman"/>
          <w:rtl/>
          <w:lang w:eastAsia="de-DE"/>
        </w:rPr>
        <w:t xml:space="preserve"> </w:t>
      </w:r>
      <w:r w:rsidRPr="00DE119B">
        <w:rPr>
          <w:rFonts w:eastAsia="Times New Roman" w:cs="Times New Roman"/>
          <w:lang w:eastAsia="de-DE"/>
        </w:rPr>
        <w:t xml:space="preserve">Nifal, „und er erschien"), </w:t>
      </w:r>
      <w:r w:rsidRPr="00DE119B">
        <w:rPr>
          <w:rFonts w:eastAsia="Times New Roman" w:cs="Times New Roman"/>
          <w:b/>
          <w:bCs/>
          <w:rtl/>
          <w:lang w:eastAsia="de-DE"/>
        </w:rPr>
        <w:t>כְבוֹד־יְהוָה</w:t>
      </w:r>
      <w:r w:rsidRPr="00DE119B">
        <w:rPr>
          <w:rFonts w:eastAsia="Times New Roman" w:cs="Times New Roman"/>
          <w:rtl/>
          <w:lang w:eastAsia="de-DE"/>
        </w:rPr>
        <w:t xml:space="preserve"> </w:t>
      </w:r>
      <w:r w:rsidRPr="00DE119B">
        <w:rPr>
          <w:rFonts w:eastAsia="Times New Roman" w:cs="Times New Roman"/>
          <w:lang w:eastAsia="de-DE"/>
        </w:rPr>
        <w:t xml:space="preserve">(„die Herrlichkeit JHWHs", Constructus-Verbindung) und </w:t>
      </w:r>
      <w:r w:rsidRPr="00DE119B">
        <w:rPr>
          <w:rFonts w:eastAsia="Times New Roman" w:cs="Times New Roman"/>
          <w:b/>
          <w:bCs/>
          <w:rtl/>
          <w:lang w:eastAsia="de-DE"/>
        </w:rPr>
        <w:t>אֲלֵיהֶם</w:t>
      </w:r>
      <w:r w:rsidRPr="00DE119B">
        <w:rPr>
          <w:rFonts w:eastAsia="Times New Roman" w:cs="Times New Roman"/>
          <w:rtl/>
          <w:lang w:eastAsia="de-DE"/>
        </w:rPr>
        <w:t xml:space="preserve"> </w:t>
      </w:r>
      <w:r w:rsidRPr="00DE119B">
        <w:rPr>
          <w:rFonts w:eastAsia="Times New Roman" w:cs="Times New Roman"/>
          <w:lang w:eastAsia="de-DE"/>
        </w:rPr>
        <w:t xml:space="preserve">(„ihnen") mit Suffix 3. m. pl. Die </w:t>
      </w:r>
      <w:r w:rsidRPr="00DE119B">
        <w:rPr>
          <w:rFonts w:eastAsia="Times New Roman" w:cs="Times New Roman"/>
          <w:b/>
          <w:bCs/>
          <w:rtl/>
          <w:lang w:eastAsia="de-DE"/>
        </w:rPr>
        <w:t>כָּבוֹד</w:t>
      </w:r>
      <w:r w:rsidRPr="00DE119B">
        <w:rPr>
          <w:rFonts w:eastAsia="Times New Roman" w:cs="Times New Roman"/>
          <w:rtl/>
          <w:lang w:eastAsia="de-DE"/>
        </w:rPr>
        <w:t xml:space="preserve"> </w:t>
      </w:r>
      <w:r w:rsidRPr="00DE119B">
        <w:rPr>
          <w:rFonts w:eastAsia="Times New Roman" w:cs="Times New Roman"/>
          <w:lang w:eastAsia="de-DE"/>
        </w:rPr>
        <w:t>(„Herrlichkeit, Gewicht") JHWHs ist seine sichtbare Präsenz.</w:t>
      </w:r>
    </w:p>
    <w:p w14:paraId="1B73CEA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 übersetzt </w:t>
      </w:r>
      <w:r w:rsidRPr="00DE119B">
        <w:rPr>
          <w:rFonts w:eastAsia="Times New Roman" w:cs="Times New Roman"/>
          <w:b/>
          <w:bCs/>
          <w:rtl/>
          <w:lang w:eastAsia="de-DE"/>
        </w:rPr>
        <w:t>כָּבוֹד</w:t>
      </w:r>
      <w:r w:rsidRPr="00DE119B">
        <w:rPr>
          <w:rFonts w:eastAsia="Times New Roman" w:cs="Times New Roman"/>
          <w:rtl/>
          <w:lang w:eastAsia="de-DE"/>
        </w:rPr>
        <w:t xml:space="preserve"> </w:t>
      </w:r>
      <w:r w:rsidRPr="00DE119B">
        <w:rPr>
          <w:rFonts w:eastAsia="Times New Roman" w:cs="Times New Roman"/>
          <w:lang w:eastAsia="de-DE"/>
        </w:rPr>
        <w:t>mit δόξα (doxa, „Herrlichkeit").</w:t>
      </w:r>
    </w:p>
    <w:p w14:paraId="44CACC8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drei koordinierte Hauptsätze: Der erste mit Verb, koordiniertem Subjekt, zwei Präpositionalphrasen; der zweite mit Verb und Präpositionalphrase; der dritte mit Verb, Subjekt (Constructus-Verbindung) und Präpositionalphrase. Es gibt keine Nebensätze.</w:t>
      </w:r>
    </w:p>
    <w:p w14:paraId="33145EC9"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zeigt die verzweifelte Situation der Führer und die göttliche Antwort – wie so oft erscheint Gottes Herrlichkeit in der Krise.</w:t>
      </w:r>
    </w:p>
    <w:p w14:paraId="2F850A68"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20,7-8</w:t>
      </w:r>
    </w:p>
    <w:p w14:paraId="1DECF2E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וַיְדַבֵּ֥ר יְהוָ֖ה אֶל־מֹשֶׁ֥ה לֵּאמֹֽר׃ קַ֣ח אֶת־הַמַּטֶּ֗ה וְהַקְהֵ֤ל אֶת־הָעֵדָה֙ אַתָּה֙ וְאַהֲרֹ֣ן אָחִ֔יךָ וְדִבַּרְתֶּ֧ם אֶל־הַסֶּ֛לַע לְעֵינֵיהֶ֖ם וְנָתַ֣ן מֵימָ֑יו וְהוֹצֵאתָ֙ לָהֶ֥ם מַ֨יִם֙ מִן־הַסֶּ֔לַע וְהִשְׁקִיתָ֥ אֶת־הָעֵדָ֖ה וְאֶת־בְּעִירָֽם׃</w:t>
      </w:r>
    </w:p>
    <w:p w14:paraId="262F4776"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der Ewige redete zu Mosche, sagend: Nimm den Stab und versammle die Gemeinde, du und dein Bruder Aharon, und redet vor ihren Augen zu dem Felsen, so wird er sein Wasser geben; und du wirst ihnen Wasser aus dem Felsen hervorbringen und die Gemeinde tränken und ihr Vieh.</w:t>
      </w:r>
    </w:p>
    <w:p w14:paraId="7ED52E8A"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6809CFFA">
          <v:rect id="_x0000_i1689" style="width:0;height:1.5pt" o:hralign="center" o:hrstd="t" o:hr="t" fillcolor="#a0a0a0" stroked="f"/>
        </w:pict>
      </w:r>
    </w:p>
    <w:p w14:paraId="5367589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lastRenderedPageBreak/>
        <w:t>Kommentar:</w:t>
      </w:r>
      <w:r w:rsidRPr="00DE119B">
        <w:rPr>
          <w:rFonts w:eastAsia="Times New Roman" w:cs="Times New Roman"/>
          <w:lang w:eastAsia="de-DE"/>
        </w:rPr>
        <w:t xml:space="preserve"> Vers 7 ist die stereotype Redeeinleitungsformel.</w:t>
      </w:r>
    </w:p>
    <w:p w14:paraId="3EBDBD5E"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Vers 8 beginnt mit dem Imperativ </w:t>
      </w:r>
      <w:r w:rsidRPr="00DE119B">
        <w:rPr>
          <w:rFonts w:eastAsia="Times New Roman" w:cs="Times New Roman"/>
          <w:b/>
          <w:bCs/>
          <w:rtl/>
          <w:lang w:eastAsia="de-DE"/>
        </w:rPr>
        <w:t>קַח</w:t>
      </w:r>
      <w:r w:rsidRPr="00DE119B">
        <w:rPr>
          <w:rFonts w:eastAsia="Times New Roman" w:cs="Times New Roman"/>
          <w:rtl/>
          <w:lang w:eastAsia="de-DE"/>
        </w:rPr>
        <w:t xml:space="preserve"> </w:t>
      </w:r>
      <w:r w:rsidRPr="00DE119B">
        <w:rPr>
          <w:rFonts w:eastAsia="Times New Roman" w:cs="Times New Roman"/>
          <w:lang w:eastAsia="de-DE"/>
        </w:rPr>
        <w:t xml:space="preserve">(Qal Imperativ von </w:t>
      </w:r>
      <w:r w:rsidRPr="00DE119B">
        <w:rPr>
          <w:rFonts w:eastAsia="Times New Roman" w:cs="Times New Roman"/>
          <w:b/>
          <w:bCs/>
          <w:rtl/>
          <w:lang w:eastAsia="de-DE"/>
        </w:rPr>
        <w:t>לקח</w:t>
      </w:r>
      <w:r w:rsidRPr="00DE119B">
        <w:rPr>
          <w:rFonts w:eastAsia="Times New Roman" w:cs="Times New Roman"/>
          <w:lang w:eastAsia="de-DE"/>
        </w:rPr>
        <w:t xml:space="preserve">, „nimm"). Das Objekt </w:t>
      </w:r>
      <w:r w:rsidRPr="00DE119B">
        <w:rPr>
          <w:rFonts w:eastAsia="Times New Roman" w:cs="Times New Roman"/>
          <w:b/>
          <w:bCs/>
          <w:rtl/>
          <w:lang w:eastAsia="de-DE"/>
        </w:rPr>
        <w:t>אֶת־הַמַּטֶּה</w:t>
      </w:r>
      <w:r w:rsidRPr="00DE119B">
        <w:rPr>
          <w:rFonts w:eastAsia="Times New Roman" w:cs="Times New Roman"/>
          <w:rtl/>
          <w:lang w:eastAsia="de-DE"/>
        </w:rPr>
        <w:t xml:space="preserve"> </w:t>
      </w:r>
      <w:r w:rsidRPr="00DE119B">
        <w:rPr>
          <w:rFonts w:eastAsia="Times New Roman" w:cs="Times New Roman"/>
          <w:lang w:eastAsia="de-DE"/>
        </w:rPr>
        <w:t>(„den Stab") mit Artikel – wahrscheinlich derselbe Stab, der in Ägypten Wunder wirkte und vor JHWH aufbewahrt wird (vgl. 17,25).</w:t>
      </w:r>
    </w:p>
    <w:p w14:paraId="1016A14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zweite Imperativ </w:t>
      </w:r>
      <w:r w:rsidRPr="00DE119B">
        <w:rPr>
          <w:rFonts w:eastAsia="Times New Roman" w:cs="Times New Roman"/>
          <w:b/>
          <w:bCs/>
          <w:rtl/>
          <w:lang w:eastAsia="de-DE"/>
        </w:rPr>
        <w:t>וְהַקְהֵל</w:t>
      </w:r>
      <w:r w:rsidRPr="00DE119B">
        <w:rPr>
          <w:rFonts w:eastAsia="Times New Roman" w:cs="Times New Roman"/>
          <w:rtl/>
          <w:lang w:eastAsia="de-DE"/>
        </w:rPr>
        <w:t xml:space="preserve"> </w:t>
      </w:r>
      <w:r w:rsidRPr="00DE119B">
        <w:rPr>
          <w:rFonts w:eastAsia="Times New Roman" w:cs="Times New Roman"/>
          <w:lang w:eastAsia="de-DE"/>
        </w:rPr>
        <w:t xml:space="preserve">(Waw + Hifil Imperativ von </w:t>
      </w:r>
      <w:r w:rsidRPr="00DE119B">
        <w:rPr>
          <w:rFonts w:eastAsia="Times New Roman" w:cs="Times New Roman"/>
          <w:b/>
          <w:bCs/>
          <w:rtl/>
          <w:lang w:eastAsia="de-DE"/>
        </w:rPr>
        <w:t>קהל</w:t>
      </w:r>
      <w:r w:rsidRPr="00DE119B">
        <w:rPr>
          <w:rFonts w:eastAsia="Times New Roman" w:cs="Times New Roman"/>
          <w:lang w:eastAsia="de-DE"/>
        </w:rPr>
        <w:t xml:space="preserve">, „und versammle") ist kausativ. Das Objekt </w:t>
      </w:r>
      <w:r w:rsidRPr="00DE119B">
        <w:rPr>
          <w:rFonts w:eastAsia="Times New Roman" w:cs="Times New Roman"/>
          <w:b/>
          <w:bCs/>
          <w:rtl/>
          <w:lang w:eastAsia="de-DE"/>
        </w:rPr>
        <w:t>אֶת־הָעֵדָה</w:t>
      </w:r>
      <w:r w:rsidRPr="00DE119B">
        <w:rPr>
          <w:rFonts w:eastAsia="Times New Roman" w:cs="Times New Roman"/>
          <w:rtl/>
          <w:lang w:eastAsia="de-DE"/>
        </w:rPr>
        <w:t xml:space="preserve"> </w:t>
      </w:r>
      <w:r w:rsidRPr="00DE119B">
        <w:rPr>
          <w:rFonts w:eastAsia="Times New Roman" w:cs="Times New Roman"/>
          <w:lang w:eastAsia="de-DE"/>
        </w:rPr>
        <w:t xml:space="preserve">(„die Gemeinde"). Die betonende Phrase </w:t>
      </w:r>
      <w:r w:rsidRPr="00DE119B">
        <w:rPr>
          <w:rFonts w:eastAsia="Times New Roman" w:cs="Times New Roman"/>
          <w:b/>
          <w:bCs/>
          <w:rtl/>
          <w:lang w:eastAsia="de-DE"/>
        </w:rPr>
        <w:t>אַתָּה וְאַהֲרֹן אָחִיךָ</w:t>
      </w:r>
      <w:r w:rsidRPr="00DE119B">
        <w:rPr>
          <w:rFonts w:eastAsia="Times New Roman" w:cs="Times New Roman"/>
          <w:rtl/>
          <w:lang w:eastAsia="de-DE"/>
        </w:rPr>
        <w:t xml:space="preserve"> </w:t>
      </w:r>
      <w:r w:rsidRPr="00DE119B">
        <w:rPr>
          <w:rFonts w:eastAsia="Times New Roman" w:cs="Times New Roman"/>
          <w:lang w:eastAsia="de-DE"/>
        </w:rPr>
        <w:t>(„du und dein Bruder Aaron") nennt beide Führer – beide sollen beteiligt sein.</w:t>
      </w:r>
    </w:p>
    <w:p w14:paraId="4F37053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entscheidende dritte Imperativ </w:t>
      </w:r>
      <w:r w:rsidRPr="00DE119B">
        <w:rPr>
          <w:rFonts w:eastAsia="Times New Roman" w:cs="Times New Roman"/>
          <w:b/>
          <w:bCs/>
          <w:rtl/>
          <w:lang w:eastAsia="de-DE"/>
        </w:rPr>
        <w:t>וְדִבַּרְתֶּם אֶל־הַסֶּלַע</w:t>
      </w:r>
      <w:r w:rsidRPr="00DE119B">
        <w:rPr>
          <w:rFonts w:eastAsia="Times New Roman" w:cs="Times New Roman"/>
          <w:rtl/>
          <w:lang w:eastAsia="de-DE"/>
        </w:rPr>
        <w:t xml:space="preserve"> </w:t>
      </w:r>
      <w:r w:rsidRPr="00DE119B">
        <w:rPr>
          <w:rFonts w:eastAsia="Times New Roman" w:cs="Times New Roman"/>
          <w:lang w:eastAsia="de-DE"/>
        </w:rPr>
        <w:t xml:space="preserve">(Waw + Piel Perfekt, 2. m. pl. von </w:t>
      </w:r>
      <w:r w:rsidRPr="00DE119B">
        <w:rPr>
          <w:rFonts w:eastAsia="Times New Roman" w:cs="Times New Roman"/>
          <w:b/>
          <w:bCs/>
          <w:rtl/>
          <w:lang w:eastAsia="de-DE"/>
        </w:rPr>
        <w:t>דבר</w:t>
      </w:r>
      <w:r w:rsidRPr="00DE119B">
        <w:rPr>
          <w:rFonts w:eastAsia="Times New Roman" w:cs="Times New Roman"/>
          <w:lang w:eastAsia="de-DE"/>
        </w:rPr>
        <w:t xml:space="preserve">, „und ihr sollt reden") mit Weqatal und Plural zeigt: beide sollen </w:t>
      </w:r>
      <w:r w:rsidRPr="00DE119B">
        <w:rPr>
          <w:rFonts w:eastAsia="Times New Roman" w:cs="Times New Roman"/>
          <w:b/>
          <w:bCs/>
          <w:lang w:eastAsia="de-DE"/>
        </w:rPr>
        <w:t>zum Felsen reden</w:t>
      </w:r>
      <w:r w:rsidRPr="00DE119B">
        <w:rPr>
          <w:rFonts w:eastAsia="Times New Roman" w:cs="Times New Roman"/>
          <w:lang w:eastAsia="de-DE"/>
        </w:rPr>
        <w:t xml:space="preserve"> (nicht ihn schlagen!). </w:t>
      </w:r>
      <w:r w:rsidRPr="00DE119B">
        <w:rPr>
          <w:rFonts w:eastAsia="Times New Roman" w:cs="Times New Roman"/>
          <w:b/>
          <w:bCs/>
          <w:rtl/>
          <w:lang w:eastAsia="de-DE"/>
        </w:rPr>
        <w:t>לְעֵינֵיהֶם</w:t>
      </w:r>
      <w:r w:rsidRPr="00DE119B">
        <w:rPr>
          <w:rFonts w:eastAsia="Times New Roman" w:cs="Times New Roman"/>
          <w:rtl/>
          <w:lang w:eastAsia="de-DE"/>
        </w:rPr>
        <w:t xml:space="preserve"> </w:t>
      </w:r>
      <w:r w:rsidRPr="00DE119B">
        <w:rPr>
          <w:rFonts w:eastAsia="Times New Roman" w:cs="Times New Roman"/>
          <w:lang w:eastAsia="de-DE"/>
        </w:rPr>
        <w:t>(„vor ihren Augen") mit Possessivsuffix 3. m. pl. betont die Öffentlichkeit.</w:t>
      </w:r>
    </w:p>
    <w:p w14:paraId="0CD05E63"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Verheißung </w:t>
      </w:r>
      <w:r w:rsidRPr="00DE119B">
        <w:rPr>
          <w:rFonts w:eastAsia="Times New Roman" w:cs="Times New Roman"/>
          <w:b/>
          <w:bCs/>
          <w:rtl/>
          <w:lang w:eastAsia="de-DE"/>
        </w:rPr>
        <w:t>וְנָתַן מֵימָיו</w:t>
      </w:r>
      <w:r w:rsidRPr="00DE119B">
        <w:rPr>
          <w:rFonts w:eastAsia="Times New Roman" w:cs="Times New Roman"/>
          <w:rtl/>
          <w:lang w:eastAsia="de-DE"/>
        </w:rPr>
        <w:t xml:space="preserve"> </w:t>
      </w:r>
      <w:r w:rsidRPr="00DE119B">
        <w:rPr>
          <w:rFonts w:eastAsia="Times New Roman" w:cs="Times New Roman"/>
          <w:lang w:eastAsia="de-DE"/>
        </w:rPr>
        <w:t xml:space="preserve">(Waw + Qal Perfekt, 3. m. sg. von </w:t>
      </w:r>
      <w:r w:rsidRPr="00DE119B">
        <w:rPr>
          <w:rFonts w:eastAsia="Times New Roman" w:cs="Times New Roman"/>
          <w:b/>
          <w:bCs/>
          <w:rtl/>
          <w:lang w:eastAsia="de-DE"/>
        </w:rPr>
        <w:t>נתן</w:t>
      </w:r>
      <w:r w:rsidRPr="00DE119B">
        <w:rPr>
          <w:rFonts w:eastAsia="Times New Roman" w:cs="Times New Roman"/>
          <w:lang w:eastAsia="de-DE"/>
        </w:rPr>
        <w:t xml:space="preserve">, „und er wird geben") mit Weqatal. Das Objekt </w:t>
      </w:r>
      <w:r w:rsidRPr="00DE119B">
        <w:rPr>
          <w:rFonts w:eastAsia="Times New Roman" w:cs="Times New Roman"/>
          <w:b/>
          <w:bCs/>
          <w:rtl/>
          <w:lang w:eastAsia="de-DE"/>
        </w:rPr>
        <w:t>מֵימָיו</w:t>
      </w:r>
      <w:r w:rsidRPr="00DE119B">
        <w:rPr>
          <w:rFonts w:eastAsia="Times New Roman" w:cs="Times New Roman"/>
          <w:rtl/>
          <w:lang w:eastAsia="de-DE"/>
        </w:rPr>
        <w:t xml:space="preserve"> </w:t>
      </w:r>
      <w:r w:rsidRPr="00DE119B">
        <w:rPr>
          <w:rFonts w:eastAsia="Times New Roman" w:cs="Times New Roman"/>
          <w:lang w:eastAsia="de-DE"/>
        </w:rPr>
        <w:t>(„seine Wasser") mit Possessivsuffix 3. m. sg. personifiziert den Felsen.</w:t>
      </w:r>
    </w:p>
    <w:p w14:paraId="30C1A70D"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Fortsetzung </w:t>
      </w:r>
      <w:r w:rsidRPr="00DE119B">
        <w:rPr>
          <w:rFonts w:eastAsia="Times New Roman" w:cs="Times New Roman"/>
          <w:b/>
          <w:bCs/>
          <w:rtl/>
          <w:lang w:eastAsia="de-DE"/>
        </w:rPr>
        <w:t>וְהוֹצֵאתָ לָהֶם מַיִם מִן־הַסֶּלַע</w:t>
      </w:r>
      <w:r w:rsidRPr="00DE119B">
        <w:rPr>
          <w:rFonts w:eastAsia="Times New Roman" w:cs="Times New Roman"/>
          <w:rtl/>
          <w:lang w:eastAsia="de-DE"/>
        </w:rPr>
        <w:t xml:space="preserve"> </w:t>
      </w:r>
      <w:r w:rsidRPr="00DE119B">
        <w:rPr>
          <w:rFonts w:eastAsia="Times New Roman" w:cs="Times New Roman"/>
          <w:lang w:eastAsia="de-DE"/>
        </w:rPr>
        <w:t xml:space="preserve">mit </w:t>
      </w:r>
      <w:r w:rsidRPr="00DE119B">
        <w:rPr>
          <w:rFonts w:eastAsia="Times New Roman" w:cs="Times New Roman"/>
          <w:b/>
          <w:bCs/>
          <w:rtl/>
          <w:lang w:eastAsia="de-DE"/>
        </w:rPr>
        <w:t>וְהוֹצֵאתָ</w:t>
      </w:r>
      <w:r w:rsidRPr="00DE119B">
        <w:rPr>
          <w:rFonts w:eastAsia="Times New Roman" w:cs="Times New Roman"/>
          <w:rtl/>
          <w:lang w:eastAsia="de-DE"/>
        </w:rPr>
        <w:t xml:space="preserve"> </w:t>
      </w:r>
      <w:r w:rsidRPr="00DE119B">
        <w:rPr>
          <w:rFonts w:eastAsia="Times New Roman" w:cs="Times New Roman"/>
          <w:lang w:eastAsia="de-DE"/>
        </w:rPr>
        <w:t xml:space="preserve">(Waw + Hifil Perfekt, 2. m. sg. von </w:t>
      </w:r>
      <w:r w:rsidRPr="00DE119B">
        <w:rPr>
          <w:rFonts w:eastAsia="Times New Roman" w:cs="Times New Roman"/>
          <w:b/>
          <w:bCs/>
          <w:rtl/>
          <w:lang w:eastAsia="de-DE"/>
        </w:rPr>
        <w:t>יצא</w:t>
      </w:r>
      <w:r w:rsidRPr="00DE119B">
        <w:rPr>
          <w:rFonts w:eastAsia="Times New Roman" w:cs="Times New Roman"/>
          <w:lang w:eastAsia="de-DE"/>
        </w:rPr>
        <w:t xml:space="preserve">, „und du wirst hervorbringen") wendet sich singular an Mose. </w:t>
      </w:r>
      <w:r w:rsidRPr="00DE119B">
        <w:rPr>
          <w:rFonts w:eastAsia="Times New Roman" w:cs="Times New Roman"/>
          <w:b/>
          <w:bCs/>
          <w:rtl/>
          <w:lang w:eastAsia="de-DE"/>
        </w:rPr>
        <w:t>לָהֶם</w:t>
      </w:r>
      <w:r w:rsidRPr="00DE119B">
        <w:rPr>
          <w:rFonts w:eastAsia="Times New Roman" w:cs="Times New Roman"/>
          <w:rtl/>
          <w:lang w:eastAsia="de-DE"/>
        </w:rPr>
        <w:t xml:space="preserve"> </w:t>
      </w:r>
      <w:r w:rsidRPr="00DE119B">
        <w:rPr>
          <w:rFonts w:eastAsia="Times New Roman" w:cs="Times New Roman"/>
          <w:lang w:eastAsia="de-DE"/>
        </w:rPr>
        <w:t xml:space="preserve">(„ihnen"), </w:t>
      </w:r>
      <w:r w:rsidRPr="00DE119B">
        <w:rPr>
          <w:rFonts w:eastAsia="Times New Roman" w:cs="Times New Roman"/>
          <w:b/>
          <w:bCs/>
          <w:rtl/>
          <w:lang w:eastAsia="de-DE"/>
        </w:rPr>
        <w:t>מַיִם</w:t>
      </w:r>
      <w:r w:rsidRPr="00DE119B">
        <w:rPr>
          <w:rFonts w:eastAsia="Times New Roman" w:cs="Times New Roman"/>
          <w:rtl/>
          <w:lang w:eastAsia="de-DE"/>
        </w:rPr>
        <w:t xml:space="preserve"> </w:t>
      </w:r>
      <w:r w:rsidRPr="00DE119B">
        <w:rPr>
          <w:rFonts w:eastAsia="Times New Roman" w:cs="Times New Roman"/>
          <w:lang w:eastAsia="de-DE"/>
        </w:rPr>
        <w:t xml:space="preserve">Objekt, </w:t>
      </w:r>
      <w:r w:rsidRPr="00DE119B">
        <w:rPr>
          <w:rFonts w:eastAsia="Times New Roman" w:cs="Times New Roman"/>
          <w:b/>
          <w:bCs/>
          <w:rtl/>
          <w:lang w:eastAsia="de-DE"/>
        </w:rPr>
        <w:t>מִן־הַסֶּלַע</w:t>
      </w:r>
      <w:r w:rsidRPr="00DE119B">
        <w:rPr>
          <w:rFonts w:eastAsia="Times New Roman" w:cs="Times New Roman"/>
          <w:rtl/>
          <w:lang w:eastAsia="de-DE"/>
        </w:rPr>
        <w:t xml:space="preserve"> </w:t>
      </w:r>
      <w:r w:rsidRPr="00DE119B">
        <w:rPr>
          <w:rFonts w:eastAsia="Times New Roman" w:cs="Times New Roman"/>
          <w:lang w:eastAsia="de-DE"/>
        </w:rPr>
        <w:t>(„aus dem Felsen") Quelle.</w:t>
      </w:r>
    </w:p>
    <w:p w14:paraId="10326236"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Abschluss </w:t>
      </w:r>
      <w:r w:rsidRPr="00DE119B">
        <w:rPr>
          <w:rFonts w:eastAsia="Times New Roman" w:cs="Times New Roman"/>
          <w:b/>
          <w:bCs/>
          <w:rtl/>
          <w:lang w:eastAsia="de-DE"/>
        </w:rPr>
        <w:t>וְהִשְׁקִיתָ אֶת־הָעֵדָה וְאֶת־בְּעִירָם</w:t>
      </w:r>
      <w:r w:rsidRPr="00DE119B">
        <w:rPr>
          <w:rFonts w:eastAsia="Times New Roman" w:cs="Times New Roman"/>
          <w:rtl/>
          <w:lang w:eastAsia="de-DE"/>
        </w:rPr>
        <w:t xml:space="preserve"> </w:t>
      </w:r>
      <w:r w:rsidRPr="00DE119B">
        <w:rPr>
          <w:rFonts w:eastAsia="Times New Roman" w:cs="Times New Roman"/>
          <w:lang w:eastAsia="de-DE"/>
        </w:rPr>
        <w:t xml:space="preserve">mit </w:t>
      </w:r>
      <w:r w:rsidRPr="00DE119B">
        <w:rPr>
          <w:rFonts w:eastAsia="Times New Roman" w:cs="Times New Roman"/>
          <w:b/>
          <w:bCs/>
          <w:rtl/>
          <w:lang w:eastAsia="de-DE"/>
        </w:rPr>
        <w:t>וְהִשְׁקִיתָ</w:t>
      </w:r>
      <w:r w:rsidRPr="00DE119B">
        <w:rPr>
          <w:rFonts w:eastAsia="Times New Roman" w:cs="Times New Roman"/>
          <w:rtl/>
          <w:lang w:eastAsia="de-DE"/>
        </w:rPr>
        <w:t xml:space="preserve"> </w:t>
      </w:r>
      <w:r w:rsidRPr="00DE119B">
        <w:rPr>
          <w:rFonts w:eastAsia="Times New Roman" w:cs="Times New Roman"/>
          <w:lang w:eastAsia="de-DE"/>
        </w:rPr>
        <w:t xml:space="preserve">(Waw + Hifil Perfekt, 2. m. sg. von </w:t>
      </w:r>
      <w:r w:rsidRPr="00DE119B">
        <w:rPr>
          <w:rFonts w:eastAsia="Times New Roman" w:cs="Times New Roman"/>
          <w:b/>
          <w:bCs/>
          <w:rtl/>
          <w:lang w:eastAsia="de-DE"/>
        </w:rPr>
        <w:t>שׁקה</w:t>
      </w:r>
      <w:r w:rsidRPr="00DE119B">
        <w:rPr>
          <w:rFonts w:eastAsia="Times New Roman" w:cs="Times New Roman"/>
          <w:lang w:eastAsia="de-DE"/>
        </w:rPr>
        <w:t xml:space="preserve">, „und du wirst tränken") ist kausativ. Das doppelte Objekt </w:t>
      </w:r>
      <w:r w:rsidRPr="00DE119B">
        <w:rPr>
          <w:rFonts w:eastAsia="Times New Roman" w:cs="Times New Roman"/>
          <w:b/>
          <w:bCs/>
          <w:rtl/>
          <w:lang w:eastAsia="de-DE"/>
        </w:rPr>
        <w:t>אֶת־הָעֵדָה וְאֶת־בְּעִירָם</w:t>
      </w:r>
      <w:r w:rsidRPr="00DE119B">
        <w:rPr>
          <w:rFonts w:eastAsia="Times New Roman" w:cs="Times New Roman"/>
          <w:rtl/>
          <w:lang w:eastAsia="de-DE"/>
        </w:rPr>
        <w:t xml:space="preserve"> </w:t>
      </w:r>
      <w:r w:rsidRPr="00DE119B">
        <w:rPr>
          <w:rFonts w:eastAsia="Times New Roman" w:cs="Times New Roman"/>
          <w:lang w:eastAsia="de-DE"/>
        </w:rPr>
        <w:t>(„die Gemeinde und ihr Vieh") entspricht der Klage aus Vers 4.</w:t>
      </w:r>
    </w:p>
    <w:p w14:paraId="77EE65D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w:t>
      </w:r>
    </w:p>
    <w:p w14:paraId="0FC5DA1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entscheidende Anweisung ist: </w:t>
      </w:r>
      <w:r w:rsidRPr="00DE119B">
        <w:rPr>
          <w:rFonts w:eastAsia="Times New Roman" w:cs="Times New Roman"/>
          <w:b/>
          <w:bCs/>
          <w:lang w:eastAsia="de-DE"/>
        </w:rPr>
        <w:t>zum Felsen reden</w:t>
      </w:r>
      <w:r w:rsidRPr="00DE119B">
        <w:rPr>
          <w:rFonts w:eastAsia="Times New Roman" w:cs="Times New Roman"/>
          <w:lang w:eastAsia="de-DE"/>
        </w:rPr>
        <w:t>, nicht ihn schlagen – ein Test des Gehorsams.</w:t>
      </w:r>
    </w:p>
    <w:p w14:paraId="344CC7A0"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20,9</w:t>
      </w:r>
    </w:p>
    <w:p w14:paraId="0093171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וַיִּקַּ֥ח מֹשֶׁ֛ה אֶת־הַמַּטֶּ֖ה מִלִּפְנֵ֣י יְהוָ֑ה כַּאֲשֶׁ֖ר צִוָּֽהוּ׃</w:t>
      </w:r>
    </w:p>
    <w:p w14:paraId="25E9E8F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Mosche nahm den Stab von vor dem Ewigen weg, so wie er es ihm geboten hatte.</w:t>
      </w:r>
    </w:p>
    <w:p w14:paraId="199BC94B"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5B7C9D5C">
          <v:rect id="_x0000_i1690" style="width:0;height:1.5pt" o:hralign="center" o:hrstd="t" o:hr="t" fillcolor="#a0a0a0" stroked="f"/>
        </w:pict>
      </w:r>
    </w:p>
    <w:p w14:paraId="0885F4A4"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וַיִּקַּח</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לקח</w:t>
      </w:r>
      <w:r w:rsidRPr="00DE119B">
        <w:rPr>
          <w:rFonts w:eastAsia="Times New Roman" w:cs="Times New Roman"/>
          <w:lang w:eastAsia="de-DE"/>
        </w:rPr>
        <w:t xml:space="preserve">, „und er nahm"). </w:t>
      </w:r>
      <w:r w:rsidRPr="00DE119B">
        <w:rPr>
          <w:rFonts w:eastAsia="Times New Roman" w:cs="Times New Roman"/>
          <w:b/>
          <w:bCs/>
          <w:rtl/>
          <w:lang w:eastAsia="de-DE"/>
        </w:rPr>
        <w:t>מֹשֶׁה</w:t>
      </w:r>
      <w:r w:rsidRPr="00DE119B">
        <w:rPr>
          <w:rFonts w:eastAsia="Times New Roman" w:cs="Times New Roman"/>
          <w:rtl/>
          <w:lang w:eastAsia="de-DE"/>
        </w:rPr>
        <w:t xml:space="preserve"> </w:t>
      </w:r>
      <w:r w:rsidRPr="00DE119B">
        <w:rPr>
          <w:rFonts w:eastAsia="Times New Roman" w:cs="Times New Roman"/>
          <w:lang w:eastAsia="de-DE"/>
        </w:rPr>
        <w:t xml:space="preserve">Subjekt. Das Objekt </w:t>
      </w:r>
      <w:r w:rsidRPr="00DE119B">
        <w:rPr>
          <w:rFonts w:eastAsia="Times New Roman" w:cs="Times New Roman"/>
          <w:b/>
          <w:bCs/>
          <w:rtl/>
          <w:lang w:eastAsia="de-DE"/>
        </w:rPr>
        <w:t>אֶת־הַמַּטֶּה</w:t>
      </w:r>
      <w:r w:rsidRPr="00DE119B">
        <w:rPr>
          <w:rFonts w:eastAsia="Times New Roman" w:cs="Times New Roman"/>
          <w:rtl/>
          <w:lang w:eastAsia="de-DE"/>
        </w:rPr>
        <w:t xml:space="preserve"> </w:t>
      </w:r>
      <w:r w:rsidRPr="00DE119B">
        <w:rPr>
          <w:rFonts w:eastAsia="Times New Roman" w:cs="Times New Roman"/>
          <w:lang w:eastAsia="de-DE"/>
        </w:rPr>
        <w:t xml:space="preserve">(„den Stab"). Die Präposition </w:t>
      </w:r>
      <w:r w:rsidRPr="00DE119B">
        <w:rPr>
          <w:rFonts w:eastAsia="Times New Roman" w:cs="Times New Roman"/>
          <w:b/>
          <w:bCs/>
          <w:rtl/>
          <w:lang w:eastAsia="de-DE"/>
        </w:rPr>
        <w:t>מִלִּפְנֵי יְהוָה</w:t>
      </w:r>
      <w:r w:rsidRPr="00DE119B">
        <w:rPr>
          <w:rFonts w:eastAsia="Times New Roman" w:cs="Times New Roman"/>
          <w:rtl/>
          <w:lang w:eastAsia="de-DE"/>
        </w:rPr>
        <w:t xml:space="preserve"> </w:t>
      </w:r>
      <w:r w:rsidRPr="00DE119B">
        <w:rPr>
          <w:rFonts w:eastAsia="Times New Roman" w:cs="Times New Roman"/>
          <w:lang w:eastAsia="de-DE"/>
        </w:rPr>
        <w:t xml:space="preserve">(„von vor JHWH") mit </w:t>
      </w:r>
      <w:r w:rsidRPr="00DE119B">
        <w:rPr>
          <w:rFonts w:eastAsia="Times New Roman" w:cs="Times New Roman"/>
          <w:b/>
          <w:bCs/>
          <w:rtl/>
          <w:lang w:eastAsia="de-DE"/>
        </w:rPr>
        <w:t>מִן</w:t>
      </w:r>
      <w:r w:rsidRPr="00DE119B">
        <w:rPr>
          <w:rFonts w:eastAsia="Times New Roman" w:cs="Times New Roman"/>
          <w:rtl/>
          <w:lang w:eastAsia="de-DE"/>
        </w:rPr>
        <w:t xml:space="preserve"> </w:t>
      </w:r>
      <w:r w:rsidRPr="00DE119B">
        <w:rPr>
          <w:rFonts w:eastAsia="Times New Roman" w:cs="Times New Roman"/>
          <w:lang w:eastAsia="de-DE"/>
        </w:rPr>
        <w:t>zeigt: der Stab lag im Heiligtum (vgl. 17,25 – Aarons Stab).</w:t>
      </w:r>
    </w:p>
    <w:p w14:paraId="1606DDC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Gehorsamformel </w:t>
      </w:r>
      <w:r w:rsidRPr="00DE119B">
        <w:rPr>
          <w:rFonts w:eastAsia="Times New Roman" w:cs="Times New Roman"/>
          <w:b/>
          <w:bCs/>
          <w:rtl/>
          <w:lang w:eastAsia="de-DE"/>
        </w:rPr>
        <w:t>כַּאֲשֶׁר צִוָּהוּ</w:t>
      </w:r>
      <w:r w:rsidRPr="00DE119B">
        <w:rPr>
          <w:rFonts w:eastAsia="Times New Roman" w:cs="Times New Roman"/>
          <w:rtl/>
          <w:lang w:eastAsia="de-DE"/>
        </w:rPr>
        <w:t xml:space="preserve"> </w:t>
      </w:r>
      <w:r w:rsidRPr="00DE119B">
        <w:rPr>
          <w:rFonts w:eastAsia="Times New Roman" w:cs="Times New Roman"/>
          <w:lang w:eastAsia="de-DE"/>
        </w:rPr>
        <w:t xml:space="preserve">(„so wie er ihm geboten hatte") besteht aus </w:t>
      </w:r>
      <w:r w:rsidRPr="00DE119B">
        <w:rPr>
          <w:rFonts w:eastAsia="Times New Roman" w:cs="Times New Roman"/>
          <w:b/>
          <w:bCs/>
          <w:rtl/>
          <w:lang w:eastAsia="de-DE"/>
        </w:rPr>
        <w:t>כַּאֲשֶׁר</w:t>
      </w:r>
      <w:r w:rsidRPr="00DE119B">
        <w:rPr>
          <w:rFonts w:eastAsia="Times New Roman" w:cs="Times New Roman"/>
          <w:rtl/>
          <w:lang w:eastAsia="de-DE"/>
        </w:rPr>
        <w:t xml:space="preserve"> </w:t>
      </w:r>
      <w:r w:rsidRPr="00DE119B">
        <w:rPr>
          <w:rFonts w:eastAsia="Times New Roman" w:cs="Times New Roman"/>
          <w:lang w:eastAsia="de-DE"/>
        </w:rPr>
        <w:t xml:space="preserve">(„so wie"), </w:t>
      </w:r>
      <w:r w:rsidRPr="00DE119B">
        <w:rPr>
          <w:rFonts w:eastAsia="Times New Roman" w:cs="Times New Roman"/>
          <w:b/>
          <w:bCs/>
          <w:rtl/>
          <w:lang w:eastAsia="de-DE"/>
        </w:rPr>
        <w:t>צִוָּהוּ</w:t>
      </w:r>
      <w:r w:rsidRPr="00DE119B">
        <w:rPr>
          <w:rFonts w:eastAsia="Times New Roman" w:cs="Times New Roman"/>
          <w:rtl/>
          <w:lang w:eastAsia="de-DE"/>
        </w:rPr>
        <w:t xml:space="preserve"> </w:t>
      </w:r>
      <w:r w:rsidRPr="00DE119B">
        <w:rPr>
          <w:rFonts w:eastAsia="Times New Roman" w:cs="Times New Roman"/>
          <w:lang w:eastAsia="de-DE"/>
        </w:rPr>
        <w:t xml:space="preserve">(Piel Perfekt, 3. m. sg. von </w:t>
      </w:r>
      <w:r w:rsidRPr="00DE119B">
        <w:rPr>
          <w:rFonts w:eastAsia="Times New Roman" w:cs="Times New Roman"/>
          <w:b/>
          <w:bCs/>
          <w:rtl/>
          <w:lang w:eastAsia="de-DE"/>
        </w:rPr>
        <w:t>צוה</w:t>
      </w:r>
      <w:r w:rsidRPr="00DE119B">
        <w:rPr>
          <w:rFonts w:eastAsia="Times New Roman" w:cs="Times New Roman"/>
          <w:rtl/>
          <w:lang w:eastAsia="de-DE"/>
        </w:rPr>
        <w:t xml:space="preserve"> </w:t>
      </w:r>
      <w:r w:rsidRPr="00DE119B">
        <w:rPr>
          <w:rFonts w:eastAsia="Times New Roman" w:cs="Times New Roman"/>
          <w:lang w:eastAsia="de-DE"/>
        </w:rPr>
        <w:t>mit Objektsuffix 3. m. sg., „er befahl ihm"). Diese Formel betont normalerweise vollständigen Gehorsam – doch was folgt, wird diesen Gehorsam in Frage stellen.</w:t>
      </w:r>
    </w:p>
    <w:p w14:paraId="207610B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lastRenderedPageBreak/>
        <w:t>Die LXX</w:t>
      </w:r>
      <w:r w:rsidRPr="00DE119B">
        <w:rPr>
          <w:rFonts w:eastAsia="Times New Roman" w:cs="Times New Roman"/>
          <w:lang w:eastAsia="de-DE"/>
        </w:rPr>
        <w:t xml:space="preserve"> folgt dem hebräischen Text.</w:t>
      </w:r>
    </w:p>
    <w:p w14:paraId="6C6C0545"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einen Hauptsatz mit Verb, Subjekt, Objekt, Präpositionalphrase und Vergleichsphrase (Nebensatz). Insgesamt gibt es einen Nebensatz (Vergleichssatz).</w:t>
      </w:r>
    </w:p>
    <w:p w14:paraId="071326E3"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zeigt zunächst Gehorsam – Mose holt den Stab. Doch die folgende Ausführung wird problematisch werden.</w:t>
      </w:r>
    </w:p>
    <w:p w14:paraId="04C7833F"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20,10-11</w:t>
      </w:r>
    </w:p>
    <w:p w14:paraId="7502C4E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וַיַּקְהִ֜לוּ מֹשֶׁ֧ה וְאַהֲרֹ֛ן אֶת־הַקָּהָ֖ל אֶל־פְּנֵ֣י הַסָּ֑לַע וַיֹּ֣אמֶר לָהֶ֗ם שִׁמְעוּ־נָא֙ הַמֹּרִ֔ים הֲמִן־הַסֶּ֣לַע הַזֶּ֔ה נוֹצִ֥יא לָכֶ֖ם מָֽיִם׃ וַיָּ֨רֶם מֹשֶׁ֜ה אֶת־יָדֹ֗ו וַיַּ֧ךְ אֶת־הַסֶּ֛לַע בְּמַטֵּ֖הוּ פַּעֲמָ֑יִם וַיֵּצְאוּ֙ מַ֣יִם רַבִּ֔ים וַתֵּ֥שְׁתְּ הָעֵדָ֖ה וּבְעִירָֽם׃</w:t>
      </w:r>
    </w:p>
    <w:p w14:paraId="0647C009"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Mosche und Aharon versammelten die Versammlung vor dem Felsen; und er sprach zu ihnen: Hört doch, ihr Widerspenstigen! Werden wir euch Wasser aus diesem Felsen hervorbringen? Und Mosche erhob seine Hand und schlug den Felsen mit seinem Stab zweimal; da kam viel Wasser heraus, und die Gemeinde trank und ihr Vieh.</w:t>
      </w:r>
    </w:p>
    <w:p w14:paraId="099EDA16"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56ADAFB5">
          <v:rect id="_x0000_i1691" style="width:0;height:1.5pt" o:hralign="center" o:hrstd="t" o:hr="t" fillcolor="#a0a0a0" stroked="f"/>
        </w:pict>
      </w:r>
    </w:p>
    <w:p w14:paraId="2E21360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וַיַּקְהִלוּ</w:t>
      </w:r>
      <w:r w:rsidRPr="00DE119B">
        <w:rPr>
          <w:rFonts w:eastAsia="Times New Roman" w:cs="Times New Roman"/>
          <w:rtl/>
          <w:lang w:eastAsia="de-DE"/>
        </w:rPr>
        <w:t xml:space="preserve"> </w:t>
      </w:r>
      <w:r w:rsidRPr="00DE119B">
        <w:rPr>
          <w:rFonts w:eastAsia="Times New Roman" w:cs="Times New Roman"/>
          <w:lang w:eastAsia="de-DE"/>
        </w:rPr>
        <w:t xml:space="preserve">(Wayyiqtol, 3. m. pl. von </w:t>
      </w:r>
      <w:r w:rsidRPr="00DE119B">
        <w:rPr>
          <w:rFonts w:eastAsia="Times New Roman" w:cs="Times New Roman"/>
          <w:b/>
          <w:bCs/>
          <w:rtl/>
          <w:lang w:eastAsia="de-DE"/>
        </w:rPr>
        <w:t>קהל</w:t>
      </w:r>
      <w:r w:rsidRPr="00DE119B">
        <w:rPr>
          <w:rFonts w:eastAsia="Times New Roman" w:cs="Times New Roman"/>
          <w:rtl/>
          <w:lang w:eastAsia="de-DE"/>
        </w:rPr>
        <w:t xml:space="preserve"> </w:t>
      </w:r>
      <w:r w:rsidRPr="00DE119B">
        <w:rPr>
          <w:rFonts w:eastAsia="Times New Roman" w:cs="Times New Roman"/>
          <w:lang w:eastAsia="de-DE"/>
        </w:rPr>
        <w:t xml:space="preserve">Hifil, „und sie versammelten") mit koordiniertem Subjekt </w:t>
      </w:r>
      <w:r w:rsidRPr="00DE119B">
        <w:rPr>
          <w:rFonts w:eastAsia="Times New Roman" w:cs="Times New Roman"/>
          <w:b/>
          <w:bCs/>
          <w:rtl/>
          <w:lang w:eastAsia="de-DE"/>
        </w:rPr>
        <w:t>מֹשֶׁה וְאַהֲרֹן</w:t>
      </w:r>
      <w:r w:rsidRPr="00DE119B">
        <w:rPr>
          <w:rFonts w:eastAsia="Times New Roman" w:cs="Times New Roman"/>
          <w:lang w:eastAsia="de-DE"/>
        </w:rPr>
        <w:t xml:space="preserve">. Das Objekt </w:t>
      </w:r>
      <w:r w:rsidRPr="00DE119B">
        <w:rPr>
          <w:rFonts w:eastAsia="Times New Roman" w:cs="Times New Roman"/>
          <w:b/>
          <w:bCs/>
          <w:rtl/>
          <w:lang w:eastAsia="de-DE"/>
        </w:rPr>
        <w:t>אֶת־הַקָּהָל</w:t>
      </w:r>
      <w:r w:rsidRPr="00DE119B">
        <w:rPr>
          <w:rFonts w:eastAsia="Times New Roman" w:cs="Times New Roman"/>
          <w:rtl/>
          <w:lang w:eastAsia="de-DE"/>
        </w:rPr>
        <w:t xml:space="preserve"> </w:t>
      </w:r>
      <w:r w:rsidRPr="00DE119B">
        <w:rPr>
          <w:rFonts w:eastAsia="Times New Roman" w:cs="Times New Roman"/>
          <w:lang w:eastAsia="de-DE"/>
        </w:rPr>
        <w:t xml:space="preserve">(„die Versammlung"). </w:t>
      </w:r>
      <w:r w:rsidRPr="00DE119B">
        <w:rPr>
          <w:rFonts w:eastAsia="Times New Roman" w:cs="Times New Roman"/>
          <w:b/>
          <w:bCs/>
          <w:rtl/>
          <w:lang w:eastAsia="de-DE"/>
        </w:rPr>
        <w:t>אֶל־פְּנֵי הַסָּלַע</w:t>
      </w:r>
      <w:r w:rsidRPr="00DE119B">
        <w:rPr>
          <w:rFonts w:eastAsia="Times New Roman" w:cs="Times New Roman"/>
          <w:rtl/>
          <w:lang w:eastAsia="de-DE"/>
        </w:rPr>
        <w:t xml:space="preserve"> </w:t>
      </w:r>
      <w:r w:rsidRPr="00DE119B">
        <w:rPr>
          <w:rFonts w:eastAsia="Times New Roman" w:cs="Times New Roman"/>
          <w:lang w:eastAsia="de-DE"/>
        </w:rPr>
        <w:t>(„vor den Felsen").</w:t>
      </w:r>
    </w:p>
    <w:p w14:paraId="4B22F26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Das Verb </w:t>
      </w:r>
      <w:r w:rsidRPr="00DE119B">
        <w:rPr>
          <w:rFonts w:eastAsia="Times New Roman" w:cs="Times New Roman"/>
          <w:b/>
          <w:bCs/>
          <w:rtl/>
          <w:lang w:eastAsia="de-DE"/>
        </w:rPr>
        <w:t>וַיֹּאמֶר לָהֶם</w:t>
      </w:r>
      <w:r w:rsidRPr="00DE119B">
        <w:rPr>
          <w:rFonts w:eastAsia="Times New Roman" w:cs="Times New Roman"/>
          <w:rtl/>
          <w:lang w:eastAsia="de-DE"/>
        </w:rPr>
        <w:t xml:space="preserve"> </w:t>
      </w:r>
      <w:r w:rsidRPr="00DE119B">
        <w:rPr>
          <w:rFonts w:eastAsia="Times New Roman" w:cs="Times New Roman"/>
          <w:lang w:eastAsia="de-DE"/>
        </w:rPr>
        <w:t xml:space="preserve">(Wayyiqtol von </w:t>
      </w:r>
      <w:r w:rsidRPr="00DE119B">
        <w:rPr>
          <w:rFonts w:eastAsia="Times New Roman" w:cs="Times New Roman"/>
          <w:b/>
          <w:bCs/>
          <w:rtl/>
          <w:lang w:eastAsia="de-DE"/>
        </w:rPr>
        <w:t>אמר</w:t>
      </w:r>
      <w:r w:rsidRPr="00DE119B">
        <w:rPr>
          <w:rFonts w:eastAsia="Times New Roman" w:cs="Times New Roman"/>
          <w:lang w:eastAsia="de-DE"/>
        </w:rPr>
        <w:t xml:space="preserve">, „und er sprach zu ihnen") ist singular – nur Mose spricht, nicht beide wie befohlen! Der Imperativ </w:t>
      </w:r>
      <w:r w:rsidRPr="00DE119B">
        <w:rPr>
          <w:rFonts w:eastAsia="Times New Roman" w:cs="Times New Roman"/>
          <w:b/>
          <w:bCs/>
          <w:rtl/>
          <w:lang w:eastAsia="de-DE"/>
        </w:rPr>
        <w:t>שִׁמְעוּ־נָא</w:t>
      </w:r>
      <w:r w:rsidRPr="00DE119B">
        <w:rPr>
          <w:rFonts w:eastAsia="Times New Roman" w:cs="Times New Roman"/>
          <w:rtl/>
          <w:lang w:eastAsia="de-DE"/>
        </w:rPr>
        <w:t xml:space="preserve"> </w:t>
      </w:r>
      <w:r w:rsidRPr="00DE119B">
        <w:rPr>
          <w:rFonts w:eastAsia="Times New Roman" w:cs="Times New Roman"/>
          <w:lang w:eastAsia="de-DE"/>
        </w:rPr>
        <w:t xml:space="preserve">(Qal Imperativ Plural von </w:t>
      </w:r>
      <w:r w:rsidRPr="00DE119B">
        <w:rPr>
          <w:rFonts w:eastAsia="Times New Roman" w:cs="Times New Roman"/>
          <w:b/>
          <w:bCs/>
          <w:rtl/>
          <w:lang w:eastAsia="de-DE"/>
        </w:rPr>
        <w:t>שׁמע</w:t>
      </w:r>
      <w:r w:rsidRPr="00DE119B">
        <w:rPr>
          <w:rFonts w:eastAsia="Times New Roman" w:cs="Times New Roman"/>
          <w:rtl/>
          <w:lang w:eastAsia="de-DE"/>
        </w:rPr>
        <w:t xml:space="preserve"> </w:t>
      </w:r>
      <w:r w:rsidRPr="00DE119B">
        <w:rPr>
          <w:rFonts w:eastAsia="Times New Roman" w:cs="Times New Roman"/>
          <w:lang w:eastAsia="de-DE"/>
        </w:rPr>
        <w:t xml:space="preserve">mit emphatischem </w:t>
      </w:r>
      <w:r w:rsidRPr="00DE119B">
        <w:rPr>
          <w:rFonts w:eastAsia="Times New Roman" w:cs="Times New Roman"/>
          <w:b/>
          <w:bCs/>
          <w:rtl/>
          <w:lang w:eastAsia="de-DE"/>
        </w:rPr>
        <w:t>נָא</w:t>
      </w:r>
      <w:r w:rsidRPr="00DE119B">
        <w:rPr>
          <w:rFonts w:eastAsia="Times New Roman" w:cs="Times New Roman"/>
          <w:lang w:eastAsia="de-DE"/>
        </w:rPr>
        <w:t xml:space="preserve">, „hört doch"). Die Anrede </w:t>
      </w:r>
      <w:r w:rsidRPr="00DE119B">
        <w:rPr>
          <w:rFonts w:eastAsia="Times New Roman" w:cs="Times New Roman"/>
          <w:b/>
          <w:bCs/>
          <w:rtl/>
          <w:lang w:eastAsia="de-DE"/>
        </w:rPr>
        <w:t>הַמֹּרִים</w:t>
      </w:r>
      <w:r w:rsidRPr="00DE119B">
        <w:rPr>
          <w:rFonts w:eastAsia="Times New Roman" w:cs="Times New Roman"/>
          <w:rtl/>
          <w:lang w:eastAsia="de-DE"/>
        </w:rPr>
        <w:t xml:space="preserve"> </w:t>
      </w:r>
      <w:r w:rsidRPr="00DE119B">
        <w:rPr>
          <w:rFonts w:eastAsia="Times New Roman" w:cs="Times New Roman"/>
          <w:lang w:eastAsia="de-DE"/>
        </w:rPr>
        <w:t xml:space="preserve">(„ihr Widerspenstigen") von </w:t>
      </w:r>
      <w:r w:rsidRPr="00DE119B">
        <w:rPr>
          <w:rFonts w:eastAsia="Times New Roman" w:cs="Times New Roman"/>
          <w:b/>
          <w:bCs/>
          <w:rtl/>
          <w:lang w:eastAsia="de-DE"/>
        </w:rPr>
        <w:t>מרה</w:t>
      </w:r>
      <w:r w:rsidRPr="00DE119B">
        <w:rPr>
          <w:rFonts w:eastAsia="Times New Roman" w:cs="Times New Roman"/>
          <w:rtl/>
          <w:lang w:eastAsia="de-DE"/>
        </w:rPr>
        <w:t xml:space="preserve"> </w:t>
      </w:r>
      <w:r w:rsidRPr="00DE119B">
        <w:rPr>
          <w:rFonts w:eastAsia="Times New Roman" w:cs="Times New Roman"/>
          <w:lang w:eastAsia="de-DE"/>
        </w:rPr>
        <w:t>„rebellieren" mit Artikel – eine harte, zornige Anrede.</w:t>
      </w:r>
    </w:p>
    <w:p w14:paraId="16B9376D"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rhetorische Frage </w:t>
      </w:r>
      <w:r w:rsidRPr="00DE119B">
        <w:rPr>
          <w:rFonts w:eastAsia="Times New Roman" w:cs="Times New Roman"/>
          <w:b/>
          <w:bCs/>
          <w:rtl/>
          <w:lang w:eastAsia="de-DE"/>
        </w:rPr>
        <w:t>הֲמִן־הַסֶּלַע הַזֶּה נוֹצִיא לָכֶם מָיִם</w:t>
      </w:r>
      <w:r w:rsidRPr="00DE119B">
        <w:rPr>
          <w:rFonts w:eastAsia="Times New Roman" w:cs="Times New Roman"/>
          <w:rtl/>
          <w:lang w:eastAsia="de-DE"/>
        </w:rPr>
        <w:t xml:space="preserve"> </w:t>
      </w:r>
      <w:r w:rsidRPr="00DE119B">
        <w:rPr>
          <w:rFonts w:eastAsia="Times New Roman" w:cs="Times New Roman"/>
          <w:lang w:eastAsia="de-DE"/>
        </w:rPr>
        <w:t xml:space="preserve">ist problematisch: </w:t>
      </w:r>
      <w:r w:rsidRPr="00DE119B">
        <w:rPr>
          <w:rFonts w:eastAsia="Times New Roman" w:cs="Times New Roman"/>
          <w:b/>
          <w:bCs/>
          <w:rtl/>
          <w:lang w:eastAsia="de-DE"/>
        </w:rPr>
        <w:t>הֲ</w:t>
      </w:r>
      <w:r w:rsidRPr="00DE119B">
        <w:rPr>
          <w:rFonts w:eastAsia="Times New Roman" w:cs="Times New Roman"/>
          <w:rtl/>
          <w:lang w:eastAsia="de-DE"/>
        </w:rPr>
        <w:t xml:space="preserve"> </w:t>
      </w:r>
      <w:r w:rsidRPr="00DE119B">
        <w:rPr>
          <w:rFonts w:eastAsia="Times New Roman" w:cs="Times New Roman"/>
          <w:lang w:eastAsia="de-DE"/>
        </w:rPr>
        <w:t xml:space="preserve">Interrogativpartikel, </w:t>
      </w:r>
      <w:r w:rsidRPr="00DE119B">
        <w:rPr>
          <w:rFonts w:eastAsia="Times New Roman" w:cs="Times New Roman"/>
          <w:b/>
          <w:bCs/>
          <w:rtl/>
          <w:lang w:eastAsia="de-DE"/>
        </w:rPr>
        <w:t>מִן־הַסֶּלַע הַזֶּה</w:t>
      </w:r>
      <w:r w:rsidRPr="00DE119B">
        <w:rPr>
          <w:rFonts w:eastAsia="Times New Roman" w:cs="Times New Roman"/>
          <w:rtl/>
          <w:lang w:eastAsia="de-DE"/>
        </w:rPr>
        <w:t xml:space="preserve"> </w:t>
      </w:r>
      <w:r w:rsidRPr="00DE119B">
        <w:rPr>
          <w:rFonts w:eastAsia="Times New Roman" w:cs="Times New Roman"/>
          <w:lang w:eastAsia="de-DE"/>
        </w:rPr>
        <w:t xml:space="preserve">(„aus diesem Felsen") mit Demonstrativpronomen, </w:t>
      </w:r>
      <w:r w:rsidRPr="00DE119B">
        <w:rPr>
          <w:rFonts w:eastAsia="Times New Roman" w:cs="Times New Roman"/>
          <w:b/>
          <w:bCs/>
          <w:rtl/>
          <w:lang w:eastAsia="de-DE"/>
        </w:rPr>
        <w:t>נוֹצִיא</w:t>
      </w:r>
      <w:r w:rsidRPr="00DE119B">
        <w:rPr>
          <w:rFonts w:eastAsia="Times New Roman" w:cs="Times New Roman"/>
          <w:rtl/>
          <w:lang w:eastAsia="de-DE"/>
        </w:rPr>
        <w:t xml:space="preserve"> </w:t>
      </w:r>
      <w:r w:rsidRPr="00DE119B">
        <w:rPr>
          <w:rFonts w:eastAsia="Times New Roman" w:cs="Times New Roman"/>
          <w:lang w:eastAsia="de-DE"/>
        </w:rPr>
        <w:t xml:space="preserve">(Hifil Imperfekt, 1. c. pl. von </w:t>
      </w:r>
      <w:r w:rsidRPr="00DE119B">
        <w:rPr>
          <w:rFonts w:eastAsia="Times New Roman" w:cs="Times New Roman"/>
          <w:b/>
          <w:bCs/>
          <w:rtl/>
          <w:lang w:eastAsia="de-DE"/>
        </w:rPr>
        <w:t>יצא</w:t>
      </w:r>
      <w:r w:rsidRPr="00DE119B">
        <w:rPr>
          <w:rFonts w:eastAsia="Times New Roman" w:cs="Times New Roman"/>
          <w:lang w:eastAsia="de-DE"/>
        </w:rPr>
        <w:t>, „</w:t>
      </w:r>
      <w:r w:rsidRPr="00DE119B">
        <w:rPr>
          <w:rFonts w:eastAsia="Times New Roman" w:cs="Times New Roman"/>
          <w:b/>
          <w:bCs/>
          <w:lang w:eastAsia="de-DE"/>
        </w:rPr>
        <w:t>wir</w:t>
      </w:r>
      <w:r w:rsidRPr="00DE119B">
        <w:rPr>
          <w:rFonts w:eastAsia="Times New Roman" w:cs="Times New Roman"/>
          <w:lang w:eastAsia="de-DE"/>
        </w:rPr>
        <w:t xml:space="preserve"> werden hervorbringen") – </w:t>
      </w:r>
      <w:r w:rsidRPr="00DE119B">
        <w:rPr>
          <w:rFonts w:eastAsia="Times New Roman" w:cs="Times New Roman"/>
          <w:b/>
          <w:bCs/>
          <w:lang w:eastAsia="de-DE"/>
        </w:rPr>
        <w:t>WIR</w:t>
      </w:r>
      <w:r w:rsidRPr="00DE119B">
        <w:rPr>
          <w:rFonts w:eastAsia="Times New Roman" w:cs="Times New Roman"/>
          <w:lang w:eastAsia="de-DE"/>
        </w:rPr>
        <w:t>, nicht JHWH! Dies ist der erste Fehler: Mose nimmt die Ehre für sich und Aaron.</w:t>
      </w:r>
    </w:p>
    <w:p w14:paraId="5A900F5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Vers 11: </w:t>
      </w:r>
      <w:r w:rsidRPr="00DE119B">
        <w:rPr>
          <w:rFonts w:eastAsia="Times New Roman" w:cs="Times New Roman"/>
          <w:b/>
          <w:bCs/>
          <w:rtl/>
          <w:lang w:eastAsia="de-DE"/>
        </w:rPr>
        <w:t>וַיָּרֶם מֹשֶׁה אֶת־יָדוֹ</w:t>
      </w:r>
      <w:r w:rsidRPr="00DE119B">
        <w:rPr>
          <w:rFonts w:eastAsia="Times New Roman" w:cs="Times New Roman"/>
          <w:rtl/>
          <w:lang w:eastAsia="de-DE"/>
        </w:rPr>
        <w:t xml:space="preserve"> </w:t>
      </w:r>
      <w:r w:rsidRPr="00DE119B">
        <w:rPr>
          <w:rFonts w:eastAsia="Times New Roman" w:cs="Times New Roman"/>
          <w:lang w:eastAsia="de-DE"/>
        </w:rPr>
        <w:t xml:space="preserve">(„und Mose erhob seine Hand"). </w:t>
      </w:r>
      <w:r w:rsidRPr="00DE119B">
        <w:rPr>
          <w:rFonts w:eastAsia="Times New Roman" w:cs="Times New Roman"/>
          <w:b/>
          <w:bCs/>
          <w:rtl/>
          <w:lang w:eastAsia="de-DE"/>
        </w:rPr>
        <w:t>וַיַּךְ אֶת־הַסֶּלַע בְּמַטֵּהוּ פַּעֲמָיִם</w:t>
      </w:r>
      <w:r w:rsidRPr="00DE119B">
        <w:rPr>
          <w:rFonts w:eastAsia="Times New Roman" w:cs="Times New Roman"/>
          <w:rtl/>
          <w:lang w:eastAsia="de-DE"/>
        </w:rPr>
        <w:t xml:space="preserve"> </w:t>
      </w:r>
      <w:r w:rsidRPr="00DE119B">
        <w:rPr>
          <w:rFonts w:eastAsia="Times New Roman" w:cs="Times New Roman"/>
          <w:lang w:eastAsia="de-DE"/>
        </w:rPr>
        <w:t xml:space="preserve">(„und er schlug den Felsen mit seinem Stab zweimal") – </w:t>
      </w:r>
      <w:r w:rsidRPr="00DE119B">
        <w:rPr>
          <w:rFonts w:eastAsia="Times New Roman" w:cs="Times New Roman"/>
          <w:b/>
          <w:bCs/>
          <w:rtl/>
          <w:lang w:eastAsia="de-DE"/>
        </w:rPr>
        <w:t>פַּעֲמַיִם</w:t>
      </w:r>
      <w:r w:rsidRPr="00DE119B">
        <w:rPr>
          <w:rFonts w:eastAsia="Times New Roman" w:cs="Times New Roman"/>
          <w:rtl/>
          <w:lang w:eastAsia="de-DE"/>
        </w:rPr>
        <w:t xml:space="preserve"> </w:t>
      </w:r>
      <w:r w:rsidRPr="00DE119B">
        <w:rPr>
          <w:rFonts w:eastAsia="Times New Roman" w:cs="Times New Roman"/>
          <w:lang w:eastAsia="de-DE"/>
        </w:rPr>
        <w:t xml:space="preserve">Dual von </w:t>
      </w:r>
      <w:r w:rsidRPr="00DE119B">
        <w:rPr>
          <w:rFonts w:eastAsia="Times New Roman" w:cs="Times New Roman"/>
          <w:b/>
          <w:bCs/>
          <w:rtl/>
          <w:lang w:eastAsia="de-DE"/>
        </w:rPr>
        <w:t>פַּעַם</w:t>
      </w:r>
      <w:r w:rsidRPr="00DE119B">
        <w:rPr>
          <w:rFonts w:eastAsia="Times New Roman" w:cs="Times New Roman"/>
          <w:rtl/>
          <w:lang w:eastAsia="de-DE"/>
        </w:rPr>
        <w:t xml:space="preserve"> </w:t>
      </w:r>
      <w:r w:rsidRPr="00DE119B">
        <w:rPr>
          <w:rFonts w:eastAsia="Times New Roman" w:cs="Times New Roman"/>
          <w:lang w:eastAsia="de-DE"/>
        </w:rPr>
        <w:t xml:space="preserve">„Mal". Dies ist der zweite Fehler: JHWH befahl zu </w:t>
      </w:r>
      <w:r w:rsidRPr="00DE119B">
        <w:rPr>
          <w:rFonts w:eastAsia="Times New Roman" w:cs="Times New Roman"/>
          <w:b/>
          <w:bCs/>
          <w:lang w:eastAsia="de-DE"/>
        </w:rPr>
        <w:t>reden</w:t>
      </w:r>
      <w:r w:rsidRPr="00DE119B">
        <w:rPr>
          <w:rFonts w:eastAsia="Times New Roman" w:cs="Times New Roman"/>
          <w:lang w:eastAsia="de-DE"/>
        </w:rPr>
        <w:t xml:space="preserve">, nicht zu </w:t>
      </w:r>
      <w:r w:rsidRPr="00DE119B">
        <w:rPr>
          <w:rFonts w:eastAsia="Times New Roman" w:cs="Times New Roman"/>
          <w:b/>
          <w:bCs/>
          <w:lang w:eastAsia="de-DE"/>
        </w:rPr>
        <w:t>schlagen</w:t>
      </w:r>
      <w:r w:rsidRPr="00DE119B">
        <w:rPr>
          <w:rFonts w:eastAsia="Times New Roman" w:cs="Times New Roman"/>
          <w:lang w:eastAsia="de-DE"/>
        </w:rPr>
        <w:t>!</w:t>
      </w:r>
    </w:p>
    <w:p w14:paraId="63A84B2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Trotz Ungehorsam: </w:t>
      </w:r>
      <w:r w:rsidRPr="00DE119B">
        <w:rPr>
          <w:rFonts w:eastAsia="Times New Roman" w:cs="Times New Roman"/>
          <w:b/>
          <w:bCs/>
          <w:rtl/>
          <w:lang w:eastAsia="de-DE"/>
        </w:rPr>
        <w:t>וַיֵּצְאוּ מַיִם רַבִּים</w:t>
      </w:r>
      <w:r w:rsidRPr="00DE119B">
        <w:rPr>
          <w:rFonts w:eastAsia="Times New Roman" w:cs="Times New Roman"/>
          <w:rtl/>
          <w:lang w:eastAsia="de-DE"/>
        </w:rPr>
        <w:t xml:space="preserve"> </w:t>
      </w:r>
      <w:r w:rsidRPr="00DE119B">
        <w:rPr>
          <w:rFonts w:eastAsia="Times New Roman" w:cs="Times New Roman"/>
          <w:lang w:eastAsia="de-DE"/>
        </w:rPr>
        <w:t xml:space="preserve">(„und es kamen heraus viele Wasser"). </w:t>
      </w:r>
      <w:r w:rsidRPr="00DE119B">
        <w:rPr>
          <w:rFonts w:eastAsia="Times New Roman" w:cs="Times New Roman"/>
          <w:b/>
          <w:bCs/>
          <w:rtl/>
          <w:lang w:eastAsia="de-DE"/>
        </w:rPr>
        <w:t>וַתֵּשְׁתְּ הָעֵדָה וּבְעִירָם</w:t>
      </w:r>
      <w:r w:rsidRPr="00DE119B">
        <w:rPr>
          <w:rFonts w:eastAsia="Times New Roman" w:cs="Times New Roman"/>
          <w:rtl/>
          <w:lang w:eastAsia="de-DE"/>
        </w:rPr>
        <w:t xml:space="preserve"> </w:t>
      </w:r>
      <w:r w:rsidRPr="00DE119B">
        <w:rPr>
          <w:rFonts w:eastAsia="Times New Roman" w:cs="Times New Roman"/>
          <w:lang w:eastAsia="de-DE"/>
        </w:rPr>
        <w:t>(„und es trank die Gemeinde und ihr Vieh") – das Wunder geschieht dennoch.</w:t>
      </w:r>
    </w:p>
    <w:p w14:paraId="4A58D264" w14:textId="7B18D452"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w:t>
      </w:r>
      <w:r w:rsidR="00C229FD">
        <w:t>übersetzt „</w:t>
      </w:r>
      <w:r w:rsidR="00C229FD" w:rsidRPr="00C229FD">
        <w:rPr>
          <w:b/>
          <w:bCs/>
          <w:rtl/>
        </w:rPr>
        <w:t>הַמֹּרִים</w:t>
      </w:r>
      <w:r w:rsidR="00C229FD">
        <w:t>" (die Widerspenstigen/Aufrührerischen) mit „οἱ ἀπειθεῖς" (die Ungehorsamen), was eine etwas mildere Charakterisierung darstellt.</w:t>
      </w:r>
    </w:p>
    <w:p w14:paraId="4C8C2663"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Verse zeigen Moses fatalen Fehler: Er spricht zornig, beansprucht die Ehre für sich („</w:t>
      </w:r>
      <w:r w:rsidRPr="00DE119B">
        <w:rPr>
          <w:rFonts w:eastAsia="Times New Roman" w:cs="Times New Roman"/>
          <w:b/>
          <w:bCs/>
          <w:lang w:eastAsia="de-DE"/>
        </w:rPr>
        <w:t>wir</w:t>
      </w:r>
      <w:r w:rsidRPr="00DE119B">
        <w:rPr>
          <w:rFonts w:eastAsia="Times New Roman" w:cs="Times New Roman"/>
          <w:lang w:eastAsia="de-DE"/>
        </w:rPr>
        <w:t xml:space="preserve"> werden hervorbringen"), und schlägt statt zu reden. Trotzdem geschieht das Wunder – doch die Konsequenzen werden folgen.</w:t>
      </w:r>
    </w:p>
    <w:p w14:paraId="37A9788F"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lastRenderedPageBreak/>
        <w:t>Numeri 20,12</w:t>
      </w:r>
    </w:p>
    <w:p w14:paraId="7B82E28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וַיֹּ֣אמֶר יְהוָה֮ אֶל־מֹשֶׁ֣ה וְאֶֽל־אַהֲרֹן֒ יַ֚עַן לֹא־הֶאֱמַנְתֶּ֣ם בִּ֔י לְהַ֨קְדִּישֵׁ֔נִי לְעֵינֵ֖י בְּנֵ֣י יִשְׂרָאֵ֑ל לָכֵ֗ן לֹ֤א תָבִ֨יאוּ֙ אֶת־הַקָּהָ֣ל הַזֶּ֔ה אֶל־הָאָ֖רֶץ אֲשֶׁר־נָתַ֥תִּי לָהֶֽם׃</w:t>
      </w:r>
    </w:p>
    <w:p w14:paraId="673A7544"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Da sprach der Ewige zu Mosche und zu Aharon: Weil ihr mir nicht geglaubt habt, mich vor den Augen der Söhne Jisra'els zu heiligen, darum sollt ihr diese Versammlung nicht in das Land bringen, das ich ihnen gegeben habe.</w:t>
      </w:r>
    </w:p>
    <w:p w14:paraId="48B1B281"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603A9210">
          <v:rect id="_x0000_i1692" style="width:0;height:1.5pt" o:hralign="center" o:hrstd="t" o:hr="t" fillcolor="#a0a0a0" stroked="f"/>
        </w:pict>
      </w:r>
    </w:p>
    <w:p w14:paraId="6419E1EB"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וַיֹּאמֶר</w:t>
      </w:r>
      <w:r w:rsidRPr="00DE119B">
        <w:rPr>
          <w:rFonts w:eastAsia="Times New Roman" w:cs="Times New Roman"/>
          <w:rtl/>
          <w:lang w:eastAsia="de-DE"/>
        </w:rPr>
        <w:t xml:space="preserve"> </w:t>
      </w:r>
      <w:r w:rsidRPr="00DE119B">
        <w:rPr>
          <w:rFonts w:eastAsia="Times New Roman" w:cs="Times New Roman"/>
          <w:lang w:eastAsia="de-DE"/>
        </w:rPr>
        <w:t xml:space="preserve">(Wayyiqtol von </w:t>
      </w:r>
      <w:r w:rsidRPr="00DE119B">
        <w:rPr>
          <w:rFonts w:eastAsia="Times New Roman" w:cs="Times New Roman"/>
          <w:b/>
          <w:bCs/>
          <w:rtl/>
          <w:lang w:eastAsia="de-DE"/>
        </w:rPr>
        <w:t>אמר</w:t>
      </w:r>
      <w:r w:rsidRPr="00DE119B">
        <w:rPr>
          <w:rFonts w:eastAsia="Times New Roman" w:cs="Times New Roman"/>
          <w:lang w:eastAsia="de-DE"/>
        </w:rPr>
        <w:t xml:space="preserve">) leitet das vernichtende Urteil ein. </w:t>
      </w:r>
      <w:r w:rsidRPr="00DE119B">
        <w:rPr>
          <w:rFonts w:eastAsia="Times New Roman" w:cs="Times New Roman"/>
          <w:b/>
          <w:bCs/>
          <w:rtl/>
          <w:lang w:eastAsia="de-DE"/>
        </w:rPr>
        <w:t>יְהוָה</w:t>
      </w:r>
      <w:r w:rsidRPr="00DE119B">
        <w:rPr>
          <w:rFonts w:eastAsia="Times New Roman" w:cs="Times New Roman"/>
          <w:rtl/>
          <w:lang w:eastAsia="de-DE"/>
        </w:rPr>
        <w:t xml:space="preserve"> </w:t>
      </w:r>
      <w:r w:rsidRPr="00DE119B">
        <w:rPr>
          <w:rFonts w:eastAsia="Times New Roman" w:cs="Times New Roman"/>
          <w:lang w:eastAsia="de-DE"/>
        </w:rPr>
        <w:t xml:space="preserve">Subjekt. Die doppelte Adressatenangabe </w:t>
      </w:r>
      <w:r w:rsidRPr="00DE119B">
        <w:rPr>
          <w:rFonts w:eastAsia="Times New Roman" w:cs="Times New Roman"/>
          <w:b/>
          <w:bCs/>
          <w:rtl/>
          <w:lang w:eastAsia="de-DE"/>
        </w:rPr>
        <w:t>אֶל־מֹשֶׁה וְאֶֽל־אַהֲרֹן</w:t>
      </w:r>
      <w:r w:rsidRPr="00DE119B">
        <w:rPr>
          <w:rFonts w:eastAsia="Times New Roman" w:cs="Times New Roman"/>
          <w:rtl/>
          <w:lang w:eastAsia="de-DE"/>
        </w:rPr>
        <w:t xml:space="preserve"> </w:t>
      </w:r>
      <w:r w:rsidRPr="00DE119B">
        <w:rPr>
          <w:rFonts w:eastAsia="Times New Roman" w:cs="Times New Roman"/>
          <w:lang w:eastAsia="de-DE"/>
        </w:rPr>
        <w:t>– beide werden zur Rechenschaft gezogen.</w:t>
      </w:r>
    </w:p>
    <w:p w14:paraId="4FFCD328"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kausale Konjunktion </w:t>
      </w:r>
      <w:r w:rsidRPr="00DE119B">
        <w:rPr>
          <w:rFonts w:eastAsia="Times New Roman" w:cs="Times New Roman"/>
          <w:b/>
          <w:bCs/>
          <w:rtl/>
          <w:lang w:eastAsia="de-DE"/>
        </w:rPr>
        <w:t>יַעַן לֹא־הֶאֱמַנְתֶּם בִּי</w:t>
      </w:r>
      <w:r w:rsidRPr="00DE119B">
        <w:rPr>
          <w:rFonts w:eastAsia="Times New Roman" w:cs="Times New Roman"/>
          <w:rtl/>
          <w:lang w:eastAsia="de-DE"/>
        </w:rPr>
        <w:t xml:space="preserve"> </w:t>
      </w:r>
      <w:r w:rsidRPr="00DE119B">
        <w:rPr>
          <w:rFonts w:eastAsia="Times New Roman" w:cs="Times New Roman"/>
          <w:lang w:eastAsia="de-DE"/>
        </w:rPr>
        <w:t xml:space="preserve">(„weil ihr mir nicht geglaubt habt") besteht aus </w:t>
      </w:r>
      <w:r w:rsidRPr="00DE119B">
        <w:rPr>
          <w:rFonts w:eastAsia="Times New Roman" w:cs="Times New Roman"/>
          <w:b/>
          <w:bCs/>
          <w:rtl/>
          <w:lang w:eastAsia="de-DE"/>
        </w:rPr>
        <w:t>יַעַן</w:t>
      </w:r>
      <w:r w:rsidRPr="00DE119B">
        <w:rPr>
          <w:rFonts w:eastAsia="Times New Roman" w:cs="Times New Roman"/>
          <w:rtl/>
          <w:lang w:eastAsia="de-DE"/>
        </w:rPr>
        <w:t xml:space="preserve"> </w:t>
      </w:r>
      <w:r w:rsidRPr="00DE119B">
        <w:rPr>
          <w:rFonts w:eastAsia="Times New Roman" w:cs="Times New Roman"/>
          <w:lang w:eastAsia="de-DE"/>
        </w:rPr>
        <w:t xml:space="preserve">(„weil, da"), </w:t>
      </w:r>
      <w:r w:rsidRPr="00DE119B">
        <w:rPr>
          <w:rFonts w:eastAsia="Times New Roman" w:cs="Times New Roman"/>
          <w:b/>
          <w:bCs/>
          <w:rtl/>
          <w:lang w:eastAsia="de-DE"/>
        </w:rPr>
        <w:t>לֹא</w:t>
      </w:r>
      <w:r w:rsidRPr="00DE119B">
        <w:rPr>
          <w:rFonts w:eastAsia="Times New Roman" w:cs="Times New Roman"/>
          <w:rtl/>
          <w:lang w:eastAsia="de-DE"/>
        </w:rPr>
        <w:t xml:space="preserve"> </w:t>
      </w:r>
      <w:r w:rsidRPr="00DE119B">
        <w:rPr>
          <w:rFonts w:eastAsia="Times New Roman" w:cs="Times New Roman"/>
          <w:lang w:eastAsia="de-DE"/>
        </w:rPr>
        <w:t xml:space="preserve">Negation, </w:t>
      </w:r>
      <w:r w:rsidRPr="00DE119B">
        <w:rPr>
          <w:rFonts w:eastAsia="Times New Roman" w:cs="Times New Roman"/>
          <w:b/>
          <w:bCs/>
          <w:rtl/>
          <w:lang w:eastAsia="de-DE"/>
        </w:rPr>
        <w:t>הֶאֱמַנְתֶּם</w:t>
      </w:r>
      <w:r w:rsidRPr="00DE119B">
        <w:rPr>
          <w:rFonts w:eastAsia="Times New Roman" w:cs="Times New Roman"/>
          <w:rtl/>
          <w:lang w:eastAsia="de-DE"/>
        </w:rPr>
        <w:t xml:space="preserve"> </w:t>
      </w:r>
      <w:r w:rsidRPr="00DE119B">
        <w:rPr>
          <w:rFonts w:eastAsia="Times New Roman" w:cs="Times New Roman"/>
          <w:lang w:eastAsia="de-DE"/>
        </w:rPr>
        <w:t xml:space="preserve">(Hifil Perfekt, 2. m. pl. von </w:t>
      </w:r>
      <w:r w:rsidRPr="00DE119B">
        <w:rPr>
          <w:rFonts w:eastAsia="Times New Roman" w:cs="Times New Roman"/>
          <w:b/>
          <w:bCs/>
          <w:rtl/>
          <w:lang w:eastAsia="de-DE"/>
        </w:rPr>
        <w:t>אמן</w:t>
      </w:r>
      <w:r w:rsidRPr="00DE119B">
        <w:rPr>
          <w:rFonts w:eastAsia="Times New Roman" w:cs="Times New Roman"/>
          <w:lang w:eastAsia="de-DE"/>
        </w:rPr>
        <w:t xml:space="preserve">, „ihr habt geglaubt") mit </w:t>
      </w:r>
      <w:r w:rsidRPr="00DE119B">
        <w:rPr>
          <w:rFonts w:eastAsia="Times New Roman" w:cs="Times New Roman"/>
          <w:b/>
          <w:bCs/>
          <w:rtl/>
          <w:lang w:eastAsia="de-DE"/>
        </w:rPr>
        <w:t>בִּי</w:t>
      </w:r>
      <w:r w:rsidRPr="00DE119B">
        <w:rPr>
          <w:rFonts w:eastAsia="Times New Roman" w:cs="Times New Roman"/>
          <w:rtl/>
          <w:lang w:eastAsia="de-DE"/>
        </w:rPr>
        <w:t xml:space="preserve"> </w:t>
      </w:r>
      <w:r w:rsidRPr="00DE119B">
        <w:rPr>
          <w:rFonts w:eastAsia="Times New Roman" w:cs="Times New Roman"/>
          <w:lang w:eastAsia="de-DE"/>
        </w:rPr>
        <w:t xml:space="preserve">(„an mich"). Der finale Infinitiv </w:t>
      </w:r>
      <w:r w:rsidRPr="00DE119B">
        <w:rPr>
          <w:rFonts w:eastAsia="Times New Roman" w:cs="Times New Roman"/>
          <w:b/>
          <w:bCs/>
          <w:rtl/>
          <w:lang w:eastAsia="de-DE"/>
        </w:rPr>
        <w:t>לְהַקְדִּישֵׁנִי</w:t>
      </w:r>
      <w:r w:rsidRPr="00DE119B">
        <w:rPr>
          <w:rFonts w:eastAsia="Times New Roman" w:cs="Times New Roman"/>
          <w:rtl/>
          <w:lang w:eastAsia="de-DE"/>
        </w:rPr>
        <w:t xml:space="preserve"> </w:t>
      </w:r>
      <w:r w:rsidRPr="00DE119B">
        <w:rPr>
          <w:rFonts w:eastAsia="Times New Roman" w:cs="Times New Roman"/>
          <w:lang w:eastAsia="de-DE"/>
        </w:rPr>
        <w:t xml:space="preserve">(Hifil Infinitiv construct von </w:t>
      </w:r>
      <w:r w:rsidRPr="00DE119B">
        <w:rPr>
          <w:rFonts w:eastAsia="Times New Roman" w:cs="Times New Roman"/>
          <w:b/>
          <w:bCs/>
          <w:rtl/>
          <w:lang w:eastAsia="de-DE"/>
        </w:rPr>
        <w:t>קדשׁ</w:t>
      </w:r>
      <w:r w:rsidRPr="00DE119B">
        <w:rPr>
          <w:rFonts w:eastAsia="Times New Roman" w:cs="Times New Roman"/>
          <w:rtl/>
          <w:lang w:eastAsia="de-DE"/>
        </w:rPr>
        <w:t xml:space="preserve"> </w:t>
      </w:r>
      <w:r w:rsidRPr="00DE119B">
        <w:rPr>
          <w:rFonts w:eastAsia="Times New Roman" w:cs="Times New Roman"/>
          <w:lang w:eastAsia="de-DE"/>
        </w:rPr>
        <w:t xml:space="preserve">mit </w:t>
      </w:r>
      <w:r w:rsidRPr="00DE119B">
        <w:rPr>
          <w:rFonts w:eastAsia="Times New Roman" w:cs="Times New Roman"/>
          <w:b/>
          <w:bCs/>
          <w:rtl/>
          <w:lang w:eastAsia="de-DE"/>
        </w:rPr>
        <w:t>לְ</w:t>
      </w:r>
      <w:r w:rsidRPr="00DE119B">
        <w:rPr>
          <w:rFonts w:eastAsia="Times New Roman" w:cs="Times New Roman"/>
          <w:rtl/>
          <w:lang w:eastAsia="de-DE"/>
        </w:rPr>
        <w:t xml:space="preserve"> </w:t>
      </w:r>
      <w:r w:rsidRPr="00DE119B">
        <w:rPr>
          <w:rFonts w:eastAsia="Times New Roman" w:cs="Times New Roman"/>
          <w:lang w:eastAsia="de-DE"/>
        </w:rPr>
        <w:t xml:space="preserve">und Objektsuffix 1. c. sg., „mich zu heiligen") ist kausativ – sie sollten Gottes Heiligkeit sichtbar machen. </w:t>
      </w:r>
      <w:r w:rsidRPr="00DE119B">
        <w:rPr>
          <w:rFonts w:eastAsia="Times New Roman" w:cs="Times New Roman"/>
          <w:b/>
          <w:bCs/>
          <w:rtl/>
          <w:lang w:eastAsia="de-DE"/>
        </w:rPr>
        <w:t>לְעֵינֵי בְּנֵי יִשְׂרָאֵל</w:t>
      </w:r>
      <w:r w:rsidRPr="00DE119B">
        <w:rPr>
          <w:rFonts w:eastAsia="Times New Roman" w:cs="Times New Roman"/>
          <w:rtl/>
          <w:lang w:eastAsia="de-DE"/>
        </w:rPr>
        <w:t xml:space="preserve"> </w:t>
      </w:r>
      <w:r w:rsidRPr="00DE119B">
        <w:rPr>
          <w:rFonts w:eastAsia="Times New Roman" w:cs="Times New Roman"/>
          <w:lang w:eastAsia="de-DE"/>
        </w:rPr>
        <w:t>(„vor den Augen der Söhne Israels") betont die Öffentlichkeit.</w:t>
      </w:r>
    </w:p>
    <w:p w14:paraId="313D76C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Strafe </w:t>
      </w:r>
      <w:r w:rsidRPr="00DE119B">
        <w:rPr>
          <w:rFonts w:eastAsia="Times New Roman" w:cs="Times New Roman"/>
          <w:b/>
          <w:bCs/>
          <w:rtl/>
          <w:lang w:eastAsia="de-DE"/>
        </w:rPr>
        <w:t>לָכֵן לֹא תָבִיאוּ אֶת־הַקָּהָל הַזֶּה אֶל־הָאָרֶץ</w:t>
      </w:r>
      <w:r w:rsidRPr="00DE119B">
        <w:rPr>
          <w:rFonts w:eastAsia="Times New Roman" w:cs="Times New Roman"/>
          <w:rtl/>
          <w:lang w:eastAsia="de-DE"/>
        </w:rPr>
        <w:t xml:space="preserve"> </w:t>
      </w:r>
      <w:r w:rsidRPr="00DE119B">
        <w:rPr>
          <w:rFonts w:eastAsia="Times New Roman" w:cs="Times New Roman"/>
          <w:lang w:eastAsia="de-DE"/>
        </w:rPr>
        <w:t xml:space="preserve">ist drastisch: </w:t>
      </w:r>
      <w:r w:rsidRPr="00DE119B">
        <w:rPr>
          <w:rFonts w:eastAsia="Times New Roman" w:cs="Times New Roman"/>
          <w:b/>
          <w:bCs/>
          <w:rtl/>
          <w:lang w:eastAsia="de-DE"/>
        </w:rPr>
        <w:t>לָכֵן</w:t>
      </w:r>
      <w:r w:rsidRPr="00DE119B">
        <w:rPr>
          <w:rFonts w:eastAsia="Times New Roman" w:cs="Times New Roman"/>
          <w:rtl/>
          <w:lang w:eastAsia="de-DE"/>
        </w:rPr>
        <w:t xml:space="preserve"> </w:t>
      </w:r>
      <w:r w:rsidRPr="00DE119B">
        <w:rPr>
          <w:rFonts w:eastAsia="Times New Roman" w:cs="Times New Roman"/>
          <w:lang w:eastAsia="de-DE"/>
        </w:rPr>
        <w:t xml:space="preserve">(„darum"), </w:t>
      </w:r>
      <w:r w:rsidRPr="00DE119B">
        <w:rPr>
          <w:rFonts w:eastAsia="Times New Roman" w:cs="Times New Roman"/>
          <w:b/>
          <w:bCs/>
          <w:rtl/>
          <w:lang w:eastAsia="de-DE"/>
        </w:rPr>
        <w:t>לֹא תָבִיאוּ</w:t>
      </w:r>
      <w:r w:rsidRPr="00DE119B">
        <w:rPr>
          <w:rFonts w:eastAsia="Times New Roman" w:cs="Times New Roman"/>
          <w:rtl/>
          <w:lang w:eastAsia="de-DE"/>
        </w:rPr>
        <w:t xml:space="preserve"> </w:t>
      </w:r>
      <w:r w:rsidRPr="00DE119B">
        <w:rPr>
          <w:rFonts w:eastAsia="Times New Roman" w:cs="Times New Roman"/>
          <w:lang w:eastAsia="de-DE"/>
        </w:rPr>
        <w:t xml:space="preserve">(Negation plus Hifil Imperfekt, 2. m. pl. von </w:t>
      </w:r>
      <w:r w:rsidRPr="00DE119B">
        <w:rPr>
          <w:rFonts w:eastAsia="Times New Roman" w:cs="Times New Roman"/>
          <w:b/>
          <w:bCs/>
          <w:rtl/>
          <w:lang w:eastAsia="de-DE"/>
        </w:rPr>
        <w:t>בוא</w:t>
      </w:r>
      <w:r w:rsidRPr="00DE119B">
        <w:rPr>
          <w:rFonts w:eastAsia="Times New Roman" w:cs="Times New Roman"/>
          <w:lang w:eastAsia="de-DE"/>
        </w:rPr>
        <w:t xml:space="preserve">, „ihr werdet nicht bringen"), </w:t>
      </w:r>
      <w:r w:rsidRPr="00DE119B">
        <w:rPr>
          <w:rFonts w:eastAsia="Times New Roman" w:cs="Times New Roman"/>
          <w:b/>
          <w:bCs/>
          <w:rtl/>
          <w:lang w:eastAsia="de-DE"/>
        </w:rPr>
        <w:t>אֶת־הַקָּהָל הַזֶּה</w:t>
      </w:r>
      <w:r w:rsidRPr="00DE119B">
        <w:rPr>
          <w:rFonts w:eastAsia="Times New Roman" w:cs="Times New Roman"/>
          <w:rtl/>
          <w:lang w:eastAsia="de-DE"/>
        </w:rPr>
        <w:t xml:space="preserve"> </w:t>
      </w:r>
      <w:r w:rsidRPr="00DE119B">
        <w:rPr>
          <w:rFonts w:eastAsia="Times New Roman" w:cs="Times New Roman"/>
          <w:lang w:eastAsia="de-DE"/>
        </w:rPr>
        <w:t xml:space="preserve">(„diese Versammlung") mit Demonstrativpronomen, </w:t>
      </w:r>
      <w:r w:rsidRPr="00DE119B">
        <w:rPr>
          <w:rFonts w:eastAsia="Times New Roman" w:cs="Times New Roman"/>
          <w:b/>
          <w:bCs/>
          <w:rtl/>
          <w:lang w:eastAsia="de-DE"/>
        </w:rPr>
        <w:t>אֶל־הָאָרֶץ</w:t>
      </w:r>
      <w:r w:rsidRPr="00DE119B">
        <w:rPr>
          <w:rFonts w:eastAsia="Times New Roman" w:cs="Times New Roman"/>
          <w:rtl/>
          <w:lang w:eastAsia="de-DE"/>
        </w:rPr>
        <w:t xml:space="preserve"> </w:t>
      </w:r>
      <w:r w:rsidRPr="00DE119B">
        <w:rPr>
          <w:rFonts w:eastAsia="Times New Roman" w:cs="Times New Roman"/>
          <w:lang w:eastAsia="de-DE"/>
        </w:rPr>
        <w:t xml:space="preserve">(„in das Land"). Der Relativsatz </w:t>
      </w:r>
      <w:r w:rsidRPr="00DE119B">
        <w:rPr>
          <w:rFonts w:eastAsia="Times New Roman" w:cs="Times New Roman"/>
          <w:b/>
          <w:bCs/>
          <w:rtl/>
          <w:lang w:eastAsia="de-DE"/>
        </w:rPr>
        <w:t>אֲשֶׁר־נָתַתִּי לָהֶם</w:t>
      </w:r>
      <w:r w:rsidRPr="00DE119B">
        <w:rPr>
          <w:rFonts w:eastAsia="Times New Roman" w:cs="Times New Roman"/>
          <w:rtl/>
          <w:lang w:eastAsia="de-DE"/>
        </w:rPr>
        <w:t xml:space="preserve"> </w:t>
      </w:r>
      <w:r w:rsidRPr="00DE119B">
        <w:rPr>
          <w:rFonts w:eastAsia="Times New Roman" w:cs="Times New Roman"/>
          <w:lang w:eastAsia="de-DE"/>
        </w:rPr>
        <w:t>(„das ich ihnen gegeben habe") macht es noch schmerzlicher – das verheißene Land.</w:t>
      </w:r>
    </w:p>
    <w:p w14:paraId="1E01A00F" w14:textId="77FA6E42"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w:t>
      </w:r>
      <w:r w:rsidR="00C229FD">
        <w:t>übersetzt „</w:t>
      </w:r>
      <w:r w:rsidR="00C229FD" w:rsidRPr="00C229FD">
        <w:rPr>
          <w:b/>
          <w:bCs/>
          <w:rtl/>
        </w:rPr>
        <w:t>לֹא־הֶאֱמַנְתֶּם בִּי לְהַקְדִּישֵׁנִי</w:t>
      </w:r>
      <w:r w:rsidR="00C229FD">
        <w:t xml:space="preserve">" (ihr habt nicht an mich geglaubt, um mich zu heiligen) mit „οὐκ ἐπιστεύσατε ἁγιάσαι με" (ihr habt nicht geglaubt, mich zu heiligen), wobei die griechische </w:t>
      </w:r>
      <w:r w:rsidR="00F133EC">
        <w:t>Construct</w:t>
      </w:r>
      <w:r w:rsidR="00C229FD">
        <w:t>ion etwas direkter ist.</w:t>
      </w:r>
    </w:p>
    <w:p w14:paraId="3F66200A" w14:textId="48E83F15"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Das Urteil ist hart: Wegen eines einzigen Fehlers dürfen Mose und Aaron nicht ins verheißene Land. Der Grund: mangelnder Glaube und Versagen, Gottes Heiligkeit zu demonstrieren.</w:t>
      </w:r>
      <w:r w:rsidR="00D31913">
        <w:rPr>
          <w:rFonts w:eastAsia="Times New Roman" w:cs="Times New Roman"/>
          <w:lang w:eastAsia="de-DE"/>
        </w:rPr>
        <w:t xml:space="preserve"> </w:t>
      </w:r>
      <w:r w:rsidR="00D31913">
        <w:t xml:space="preserve">Es geht nicht um Zweifel an Gottes </w:t>
      </w:r>
      <w:r w:rsidR="00D31913">
        <w:rPr>
          <w:rStyle w:val="Hervorhebung"/>
        </w:rPr>
        <w:t>Existenz</w:t>
      </w:r>
      <w:r w:rsidR="00D31913">
        <w:t xml:space="preserve">, sondern an der </w:t>
      </w:r>
      <w:r w:rsidR="00D31913">
        <w:rPr>
          <w:rStyle w:val="Hervorhebung"/>
        </w:rPr>
        <w:t>Methode</w:t>
      </w:r>
      <w:r w:rsidR="00D31913">
        <w:t xml:space="preserve"> (Reden statt Schlagen) bzw. um fehlendes Vertrauen in Gottes </w:t>
      </w:r>
      <w:r w:rsidR="00D31913">
        <w:rPr>
          <w:rStyle w:val="Hervorhebung"/>
        </w:rPr>
        <w:t>konkrete Anweisung</w:t>
      </w:r>
      <w:r w:rsidR="00D31913">
        <w:t>.</w:t>
      </w:r>
    </w:p>
    <w:p w14:paraId="62BC695E"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20,13</w:t>
      </w:r>
    </w:p>
    <w:p w14:paraId="71231669"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הֵ֚מָּה מֵ֣י מְרִיבָ֔ה אֲשֶׁר־רָב֥וּ בְנֵֽי־יִשְׂרָאֵ֖ל אֶת־יְהוָ֑ה וַיִּקָּדֵ֖שׁ בָּֽם׃</w:t>
      </w:r>
    </w:p>
    <w:p w14:paraId="6A1F9D1F" w14:textId="5309EE94"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Das sind die Wasser von </w:t>
      </w:r>
      <w:r>
        <w:rPr>
          <w:rFonts w:eastAsia="Times New Roman" w:cs="Times New Roman"/>
          <w:lang w:eastAsia="de-DE"/>
        </w:rPr>
        <w:t>Meriva</w:t>
      </w:r>
      <w:r w:rsidRPr="00DE119B">
        <w:rPr>
          <w:rFonts w:eastAsia="Times New Roman" w:cs="Times New Roman"/>
          <w:lang w:eastAsia="de-DE"/>
        </w:rPr>
        <w:t>, wo die Söhne Jisra'els mit dem Ewigen stritten und er sich an ihnen heiligte.</w:t>
      </w:r>
    </w:p>
    <w:p w14:paraId="59DBAC84"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6E4A2261">
          <v:rect id="_x0000_i1693" style="width:0;height:1.5pt" o:hralign="center" o:hrstd="t" o:hr="t" fillcolor="#a0a0a0" stroked="f"/>
        </w:pict>
      </w:r>
    </w:p>
    <w:p w14:paraId="5B762043" w14:textId="4557DEBD"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emphatische Pronomen </w:t>
      </w:r>
      <w:r w:rsidRPr="00DE119B">
        <w:rPr>
          <w:rFonts w:eastAsia="Times New Roman" w:cs="Times New Roman"/>
          <w:b/>
          <w:bCs/>
          <w:rtl/>
          <w:lang w:eastAsia="de-DE"/>
        </w:rPr>
        <w:t>הֵמָּה</w:t>
      </w:r>
      <w:r w:rsidRPr="00DE119B">
        <w:rPr>
          <w:rFonts w:eastAsia="Times New Roman" w:cs="Times New Roman"/>
          <w:rtl/>
          <w:lang w:eastAsia="de-DE"/>
        </w:rPr>
        <w:t xml:space="preserve"> </w:t>
      </w:r>
      <w:r w:rsidRPr="00DE119B">
        <w:rPr>
          <w:rFonts w:eastAsia="Times New Roman" w:cs="Times New Roman"/>
          <w:lang w:eastAsia="de-DE"/>
        </w:rPr>
        <w:t xml:space="preserve">(„sie, das") verweist zurück. Das Subjekt </w:t>
      </w:r>
      <w:r w:rsidRPr="00DE119B">
        <w:rPr>
          <w:rFonts w:eastAsia="Times New Roman" w:cs="Times New Roman"/>
          <w:b/>
          <w:bCs/>
          <w:rtl/>
          <w:lang w:eastAsia="de-DE"/>
        </w:rPr>
        <w:t>מֵי מְרִיבָה</w:t>
      </w:r>
      <w:r w:rsidRPr="00DE119B">
        <w:rPr>
          <w:rFonts w:eastAsia="Times New Roman" w:cs="Times New Roman"/>
          <w:rtl/>
          <w:lang w:eastAsia="de-DE"/>
        </w:rPr>
        <w:t xml:space="preserve"> </w:t>
      </w:r>
      <w:r w:rsidRPr="00DE119B">
        <w:rPr>
          <w:rFonts w:eastAsia="Times New Roman" w:cs="Times New Roman"/>
          <w:lang w:eastAsia="de-DE"/>
        </w:rPr>
        <w:t xml:space="preserve">(„Wasser von </w:t>
      </w:r>
      <w:r>
        <w:rPr>
          <w:rFonts w:eastAsia="Times New Roman" w:cs="Times New Roman"/>
          <w:lang w:eastAsia="de-DE"/>
        </w:rPr>
        <w:t>Meriva</w:t>
      </w:r>
      <w:r w:rsidRPr="00DE119B">
        <w:rPr>
          <w:rFonts w:eastAsia="Times New Roman" w:cs="Times New Roman"/>
          <w:lang w:eastAsia="de-DE"/>
        </w:rPr>
        <w:t xml:space="preserve">", Constructus-Verbindung) wird zum Ortsnamen – </w:t>
      </w:r>
      <w:r w:rsidRPr="00DE119B">
        <w:rPr>
          <w:rFonts w:eastAsia="Times New Roman" w:cs="Times New Roman"/>
          <w:b/>
          <w:bCs/>
          <w:rtl/>
          <w:lang w:eastAsia="de-DE"/>
        </w:rPr>
        <w:t>מְרִיבָה</w:t>
      </w:r>
      <w:r w:rsidRPr="00DE119B">
        <w:rPr>
          <w:rFonts w:eastAsia="Times New Roman" w:cs="Times New Roman"/>
          <w:rtl/>
          <w:lang w:eastAsia="de-DE"/>
        </w:rPr>
        <w:t xml:space="preserve"> </w:t>
      </w:r>
      <w:r w:rsidRPr="00DE119B">
        <w:rPr>
          <w:rFonts w:eastAsia="Times New Roman" w:cs="Times New Roman"/>
          <w:lang w:eastAsia="de-DE"/>
        </w:rPr>
        <w:t xml:space="preserve">von </w:t>
      </w:r>
      <w:r w:rsidRPr="00DE119B">
        <w:rPr>
          <w:rFonts w:eastAsia="Times New Roman" w:cs="Times New Roman"/>
          <w:b/>
          <w:bCs/>
          <w:rtl/>
          <w:lang w:eastAsia="de-DE"/>
        </w:rPr>
        <w:t>ריב</w:t>
      </w:r>
      <w:r w:rsidRPr="00DE119B">
        <w:rPr>
          <w:rFonts w:eastAsia="Times New Roman" w:cs="Times New Roman"/>
          <w:rtl/>
          <w:lang w:eastAsia="de-DE"/>
        </w:rPr>
        <w:t xml:space="preserve"> </w:t>
      </w:r>
      <w:r w:rsidRPr="00DE119B">
        <w:rPr>
          <w:rFonts w:eastAsia="Times New Roman" w:cs="Times New Roman"/>
          <w:lang w:eastAsia="de-DE"/>
        </w:rPr>
        <w:t xml:space="preserve">„streiten". Der Relativsatz </w:t>
      </w:r>
      <w:r w:rsidRPr="00DE119B">
        <w:rPr>
          <w:rFonts w:eastAsia="Times New Roman" w:cs="Times New Roman"/>
          <w:b/>
          <w:bCs/>
          <w:rtl/>
          <w:lang w:eastAsia="de-DE"/>
        </w:rPr>
        <w:t>אֲשֶׁר־רָבוּ בְנֵי־יִשְׂרָאֵל אֶת־יְהוָה</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אֲשֶׁר</w:t>
      </w:r>
      <w:r w:rsidRPr="00DE119B">
        <w:rPr>
          <w:rFonts w:eastAsia="Times New Roman" w:cs="Times New Roman"/>
          <w:lang w:eastAsia="de-DE"/>
        </w:rPr>
        <w:t xml:space="preserve">, </w:t>
      </w:r>
      <w:r w:rsidRPr="00DE119B">
        <w:rPr>
          <w:rFonts w:eastAsia="Times New Roman" w:cs="Times New Roman"/>
          <w:b/>
          <w:bCs/>
          <w:rtl/>
          <w:lang w:eastAsia="de-DE"/>
        </w:rPr>
        <w:t>רָבוּ</w:t>
      </w:r>
      <w:r w:rsidRPr="00DE119B">
        <w:rPr>
          <w:rFonts w:eastAsia="Times New Roman" w:cs="Times New Roman"/>
          <w:rtl/>
          <w:lang w:eastAsia="de-DE"/>
        </w:rPr>
        <w:t xml:space="preserve"> </w:t>
      </w:r>
      <w:r w:rsidRPr="00DE119B">
        <w:rPr>
          <w:rFonts w:eastAsia="Times New Roman" w:cs="Times New Roman"/>
          <w:lang w:eastAsia="de-DE"/>
        </w:rPr>
        <w:t xml:space="preserve">(Qal Perfekt, 3. c. </w:t>
      </w:r>
      <w:r w:rsidRPr="00DE119B">
        <w:rPr>
          <w:rFonts w:eastAsia="Times New Roman" w:cs="Times New Roman"/>
          <w:lang w:eastAsia="de-DE"/>
        </w:rPr>
        <w:lastRenderedPageBreak/>
        <w:t xml:space="preserve">pl. von </w:t>
      </w:r>
      <w:r w:rsidRPr="00DE119B">
        <w:rPr>
          <w:rFonts w:eastAsia="Times New Roman" w:cs="Times New Roman"/>
          <w:b/>
          <w:bCs/>
          <w:rtl/>
          <w:lang w:eastAsia="de-DE"/>
        </w:rPr>
        <w:t>ריב</w:t>
      </w:r>
      <w:r w:rsidRPr="00DE119B">
        <w:rPr>
          <w:rFonts w:eastAsia="Times New Roman" w:cs="Times New Roman"/>
          <w:lang w:eastAsia="de-DE"/>
        </w:rPr>
        <w:t xml:space="preserve">, „sie stritten"), </w:t>
      </w:r>
      <w:r w:rsidRPr="00DE119B">
        <w:rPr>
          <w:rFonts w:eastAsia="Times New Roman" w:cs="Times New Roman"/>
          <w:b/>
          <w:bCs/>
          <w:rtl/>
          <w:lang w:eastAsia="de-DE"/>
        </w:rPr>
        <w:t>בְּנֵי־יִשְׂרָאֵל</w:t>
      </w:r>
      <w:r w:rsidRPr="00DE119B">
        <w:rPr>
          <w:rFonts w:eastAsia="Times New Roman" w:cs="Times New Roman"/>
          <w:rtl/>
          <w:lang w:eastAsia="de-DE"/>
        </w:rPr>
        <w:t xml:space="preserve"> </w:t>
      </w:r>
      <w:r w:rsidRPr="00DE119B">
        <w:rPr>
          <w:rFonts w:eastAsia="Times New Roman" w:cs="Times New Roman"/>
          <w:lang w:eastAsia="de-DE"/>
        </w:rPr>
        <w:t xml:space="preserve">Subjekt, </w:t>
      </w:r>
      <w:r w:rsidRPr="00DE119B">
        <w:rPr>
          <w:rFonts w:eastAsia="Times New Roman" w:cs="Times New Roman"/>
          <w:b/>
          <w:bCs/>
          <w:rtl/>
          <w:lang w:eastAsia="de-DE"/>
        </w:rPr>
        <w:t>אֶת־יְהוָה</w:t>
      </w:r>
      <w:r w:rsidRPr="00DE119B">
        <w:rPr>
          <w:rFonts w:eastAsia="Times New Roman" w:cs="Times New Roman"/>
          <w:rtl/>
          <w:lang w:eastAsia="de-DE"/>
        </w:rPr>
        <w:t xml:space="preserve"> </w:t>
      </w:r>
      <w:r w:rsidRPr="00DE119B">
        <w:rPr>
          <w:rFonts w:eastAsia="Times New Roman" w:cs="Times New Roman"/>
          <w:lang w:eastAsia="de-DE"/>
        </w:rPr>
        <w:t xml:space="preserve">direktes Objekt mit Objektpartikel – sie stritten </w:t>
      </w:r>
      <w:r w:rsidRPr="00DE119B">
        <w:rPr>
          <w:rFonts w:eastAsia="Times New Roman" w:cs="Times New Roman"/>
          <w:b/>
          <w:bCs/>
          <w:lang w:eastAsia="de-DE"/>
        </w:rPr>
        <w:t>mit/gegen JHWH</w:t>
      </w:r>
      <w:r w:rsidRPr="00DE119B">
        <w:rPr>
          <w:rFonts w:eastAsia="Times New Roman" w:cs="Times New Roman"/>
          <w:lang w:eastAsia="de-DE"/>
        </w:rPr>
        <w:t xml:space="preserve"> selbst.</w:t>
      </w:r>
    </w:p>
    <w:p w14:paraId="5DC0A226"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paradoxe Aussage </w:t>
      </w:r>
      <w:r w:rsidRPr="00DE119B">
        <w:rPr>
          <w:rFonts w:eastAsia="Times New Roman" w:cs="Times New Roman"/>
          <w:b/>
          <w:bCs/>
          <w:rtl/>
          <w:lang w:eastAsia="de-DE"/>
        </w:rPr>
        <w:t>וַיִּקָּדֵשׁ בָּם</w:t>
      </w:r>
      <w:r w:rsidRPr="00DE119B">
        <w:rPr>
          <w:rFonts w:eastAsia="Times New Roman" w:cs="Times New Roman"/>
          <w:rtl/>
          <w:lang w:eastAsia="de-DE"/>
        </w:rPr>
        <w:t xml:space="preserve"> </w:t>
      </w:r>
      <w:r w:rsidRPr="00DE119B">
        <w:rPr>
          <w:rFonts w:eastAsia="Times New Roman" w:cs="Times New Roman"/>
          <w:lang w:eastAsia="de-DE"/>
        </w:rPr>
        <w:t xml:space="preserve">(„und er heiligte sich an ihnen") besteht aus </w:t>
      </w:r>
      <w:r w:rsidRPr="00DE119B">
        <w:rPr>
          <w:rFonts w:eastAsia="Times New Roman" w:cs="Times New Roman"/>
          <w:b/>
          <w:bCs/>
          <w:rtl/>
          <w:lang w:eastAsia="de-DE"/>
        </w:rPr>
        <w:t>וַיִּקָּדֵשׁ</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קדשׁ</w:t>
      </w:r>
      <w:r w:rsidRPr="00DE119B">
        <w:rPr>
          <w:rFonts w:eastAsia="Times New Roman" w:cs="Times New Roman"/>
          <w:rtl/>
          <w:lang w:eastAsia="de-DE"/>
        </w:rPr>
        <w:t xml:space="preserve"> </w:t>
      </w:r>
      <w:r w:rsidRPr="00DE119B">
        <w:rPr>
          <w:rFonts w:eastAsia="Times New Roman" w:cs="Times New Roman"/>
          <w:lang w:eastAsia="de-DE"/>
        </w:rPr>
        <w:t xml:space="preserve">Nifal, „und er erwies sich heilig") – die Nifal-Form ist reflexiv – und </w:t>
      </w:r>
      <w:r w:rsidRPr="00DE119B">
        <w:rPr>
          <w:rFonts w:eastAsia="Times New Roman" w:cs="Times New Roman"/>
          <w:b/>
          <w:bCs/>
          <w:rtl/>
          <w:lang w:eastAsia="de-DE"/>
        </w:rPr>
        <w:t>בָּם</w:t>
      </w:r>
      <w:r w:rsidRPr="00DE119B">
        <w:rPr>
          <w:rFonts w:eastAsia="Times New Roman" w:cs="Times New Roman"/>
          <w:rtl/>
          <w:lang w:eastAsia="de-DE"/>
        </w:rPr>
        <w:t xml:space="preserve"> </w:t>
      </w:r>
      <w:r w:rsidRPr="00DE119B">
        <w:rPr>
          <w:rFonts w:eastAsia="Times New Roman" w:cs="Times New Roman"/>
          <w:lang w:eastAsia="de-DE"/>
        </w:rPr>
        <w:t>(„an/durch sie"). Trotz Moses Fehler wurde Gottes Heiligkeit letztlich sichtbar: Das Wasser kam, das Volk wurde versorgt, aber die Führer wurden bestraft – Gottes Gerechtigkeit wurde demonstriert.</w:t>
      </w:r>
    </w:p>
    <w:p w14:paraId="421976A7" w14:textId="7E330990"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w:t>
      </w:r>
      <w:r w:rsidR="00C229FD">
        <w:t>übersetzt „</w:t>
      </w:r>
      <w:r w:rsidR="00C229FD" w:rsidRPr="00C229FD">
        <w:rPr>
          <w:b/>
          <w:bCs/>
          <w:rtl/>
        </w:rPr>
        <w:t>מֵי</w:t>
      </w:r>
      <w:r w:rsidR="00C229FD">
        <w:rPr>
          <w:rtl/>
        </w:rPr>
        <w:t xml:space="preserve"> </w:t>
      </w:r>
      <w:r w:rsidR="00C229FD" w:rsidRPr="00C229FD">
        <w:rPr>
          <w:b/>
          <w:bCs/>
          <w:rtl/>
        </w:rPr>
        <w:t>מְרִיבָה</w:t>
      </w:r>
      <w:r w:rsidR="00C229FD">
        <w:t>" (Wasser des Streits) mit „ὕδωρ ἀντιλογίας" (Wasser des Widerspruchs), was eine leicht andere Nuance hat, und „</w:t>
      </w:r>
      <w:r w:rsidR="00C229FD" w:rsidRPr="00C229FD">
        <w:rPr>
          <w:b/>
          <w:bCs/>
          <w:rtl/>
        </w:rPr>
        <w:t>וַיִּקָּדֵשׁ בָּם</w:t>
      </w:r>
      <w:r w:rsidR="00C229FD">
        <w:t xml:space="preserve">" (und er erwies sich heilig an ihnen) wird zu „καὶ ἡγιάσθη ἐν αὐτοῖς" (und er wurde geheiligt in ihnen), eine passivere </w:t>
      </w:r>
      <w:r w:rsidR="00F133EC">
        <w:t>Construct</w:t>
      </w:r>
      <w:r w:rsidR="00C229FD">
        <w:t>ion.</w:t>
      </w:r>
    </w:p>
    <w:p w14:paraId="65E9BF4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einen nominalen Hauptsatz mit emphatischem Pronomen und Subjekt (Constructus-Verbindung), erweitert durch einen Relativsatz mit Verb, Subjekt und Objekt. Ein koordinierter Hauptsatz mit Verb (Nifal reflexiv) und Präpositionalphrase folgt. Insgesamt gibt es einen Nebensatz (Relativsatz).</w:t>
      </w:r>
    </w:p>
    <w:p w14:paraId="535B119B" w14:textId="05BE4F0E" w:rsid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Vers schließt die Episode ätiologisch ab: Der Name </w:t>
      </w:r>
      <w:r>
        <w:rPr>
          <w:rFonts w:eastAsia="Times New Roman" w:cs="Times New Roman"/>
          <w:b/>
          <w:bCs/>
          <w:lang w:eastAsia="de-DE"/>
        </w:rPr>
        <w:t>Meriva</w:t>
      </w:r>
      <w:r w:rsidRPr="00DE119B">
        <w:rPr>
          <w:rFonts w:eastAsia="Times New Roman" w:cs="Times New Roman"/>
          <w:lang w:eastAsia="de-DE"/>
        </w:rPr>
        <w:t xml:space="preserve"> erinnert für immer an den Streit – aber auch daran, dass Gott trotz menschlichen Versagens seine Heiligkeit bewahrt.</w:t>
      </w:r>
    </w:p>
    <w:p w14:paraId="44B0637C" w14:textId="77777777" w:rsidR="00913A2D" w:rsidRDefault="00913A2D" w:rsidP="00913A2D">
      <w:pPr>
        <w:pStyle w:val="berschrift2"/>
      </w:pPr>
      <w:r>
        <w:rPr>
          <w:rStyle w:val="Fett"/>
          <w:b w:val="0"/>
          <w:bCs w:val="0"/>
        </w:rPr>
        <w:t>Exkurs: Moses Sünde bei Meriva – Was war der Fehler?</w:t>
      </w:r>
    </w:p>
    <w:p w14:paraId="3DE5570D" w14:textId="77777777" w:rsidR="00913A2D" w:rsidRDefault="00913A2D" w:rsidP="00913A2D">
      <w:pPr>
        <w:pStyle w:val="whitespace-normal"/>
      </w:pPr>
      <w:r>
        <w:rPr>
          <w:rStyle w:val="Fett"/>
        </w:rPr>
        <w:t>Das Problem:</w:t>
      </w:r>
    </w:p>
    <w:p w14:paraId="224960BF" w14:textId="77777777" w:rsidR="00913A2D" w:rsidRDefault="00913A2D" w:rsidP="00913A2D">
      <w:pPr>
        <w:pStyle w:val="whitespace-normal"/>
      </w:pPr>
      <w:r>
        <w:rPr>
          <w:rStyle w:val="Fett"/>
        </w:rPr>
        <w:t>Gottes Befehl (V. 8):</w:t>
      </w:r>
    </w:p>
    <w:p w14:paraId="74113CC0" w14:textId="77777777" w:rsidR="00913A2D" w:rsidRDefault="00913A2D" w:rsidP="00913A2D">
      <w:pPr>
        <w:pStyle w:val="whitespace-normal"/>
      </w:pPr>
      <w:r>
        <w:rPr>
          <w:rtl/>
        </w:rPr>
        <w:t>וְדִבַּרְתֶּם אֶל־הַסֶּלַע לְעֵינֵיהֶם וְנָתַן מֵימָיו</w:t>
      </w:r>
      <w:r>
        <w:br/>
        <w:t xml:space="preserve">"Und </w:t>
      </w:r>
      <w:r>
        <w:rPr>
          <w:rStyle w:val="Fett"/>
        </w:rPr>
        <w:t>redet</w:t>
      </w:r>
      <w:r>
        <w:t xml:space="preserve"> zum Felsen vor ihren Augen, und er wird sein Wasser geben"</w:t>
      </w:r>
    </w:p>
    <w:p w14:paraId="545488E3" w14:textId="77777777" w:rsidR="00913A2D" w:rsidRDefault="00913A2D" w:rsidP="00913A2D">
      <w:pPr>
        <w:pStyle w:val="whitespace-normal"/>
      </w:pPr>
      <w:r>
        <w:rPr>
          <w:rStyle w:val="Fett"/>
        </w:rPr>
        <w:t>Moses Ausführung (V. 10-11):</w:t>
      </w:r>
    </w:p>
    <w:p w14:paraId="4A143F1C" w14:textId="77777777" w:rsidR="00913A2D" w:rsidRDefault="00913A2D" w:rsidP="00B358B7">
      <w:pPr>
        <w:pStyle w:val="whitespace-normal"/>
        <w:numPr>
          <w:ilvl w:val="0"/>
          <w:numId w:val="185"/>
        </w:numPr>
      </w:pPr>
      <w:r>
        <w:t xml:space="preserve">Spricht </w:t>
      </w:r>
      <w:r>
        <w:rPr>
          <w:rStyle w:val="Fett"/>
        </w:rPr>
        <w:t>zornig</w:t>
      </w:r>
      <w:r>
        <w:t xml:space="preserve">: "Hört doch, ihr </w:t>
      </w:r>
      <w:r>
        <w:rPr>
          <w:rStyle w:val="Fett"/>
        </w:rPr>
        <w:t>Widerspenstigen</w:t>
      </w:r>
      <w:r>
        <w:t>!" (V. 10a)</w:t>
      </w:r>
    </w:p>
    <w:p w14:paraId="05C5FC6D" w14:textId="77777777" w:rsidR="00913A2D" w:rsidRDefault="00913A2D" w:rsidP="00B358B7">
      <w:pPr>
        <w:pStyle w:val="whitespace-normal"/>
        <w:numPr>
          <w:ilvl w:val="0"/>
          <w:numId w:val="185"/>
        </w:numPr>
      </w:pPr>
      <w:r>
        <w:t xml:space="preserve">Nimmt die </w:t>
      </w:r>
      <w:r>
        <w:rPr>
          <w:rStyle w:val="Fett"/>
        </w:rPr>
        <w:t>Ehre</w:t>
      </w:r>
      <w:r>
        <w:t xml:space="preserve"> für sich: "Werden </w:t>
      </w:r>
      <w:r>
        <w:rPr>
          <w:rStyle w:val="Fett"/>
        </w:rPr>
        <w:t>WIR</w:t>
      </w:r>
      <w:r>
        <w:t xml:space="preserve"> euch Wasser hervorbringen?" (V. 10b)</w:t>
      </w:r>
    </w:p>
    <w:p w14:paraId="1771A09D" w14:textId="77777777" w:rsidR="00913A2D" w:rsidRDefault="00913A2D" w:rsidP="00B358B7">
      <w:pPr>
        <w:pStyle w:val="whitespace-normal"/>
        <w:numPr>
          <w:ilvl w:val="0"/>
          <w:numId w:val="185"/>
        </w:numPr>
      </w:pPr>
      <w:r>
        <w:rPr>
          <w:rStyle w:val="Fett"/>
        </w:rPr>
        <w:t>Schlägt</w:t>
      </w:r>
      <w:r>
        <w:t xml:space="preserve"> den Felsen statt zu reden (V. 11a)</w:t>
      </w:r>
    </w:p>
    <w:p w14:paraId="7D2B77A8" w14:textId="77777777" w:rsidR="00913A2D" w:rsidRDefault="00913A2D" w:rsidP="00B358B7">
      <w:pPr>
        <w:pStyle w:val="whitespace-normal"/>
        <w:numPr>
          <w:ilvl w:val="0"/>
          <w:numId w:val="185"/>
        </w:numPr>
      </w:pPr>
      <w:r>
        <w:t xml:space="preserve">Schlägt </w:t>
      </w:r>
      <w:r>
        <w:rPr>
          <w:rStyle w:val="Fett"/>
        </w:rPr>
        <w:t>zweimal</w:t>
      </w:r>
      <w:r>
        <w:t xml:space="preserve"> (</w:t>
      </w:r>
      <w:r>
        <w:rPr>
          <w:rtl/>
        </w:rPr>
        <w:t>פַּעֲמָיִם</w:t>
      </w:r>
      <w:r>
        <w:t>, V. 11a)</w:t>
      </w:r>
    </w:p>
    <w:p w14:paraId="079A52F5" w14:textId="77777777" w:rsidR="00913A2D" w:rsidRDefault="00913A2D" w:rsidP="00913A2D">
      <w:pPr>
        <w:pStyle w:val="whitespace-normal"/>
      </w:pPr>
      <w:r>
        <w:rPr>
          <w:rStyle w:val="Fett"/>
        </w:rPr>
        <w:t>Gottes Urteil (V. 12):</w:t>
      </w:r>
    </w:p>
    <w:p w14:paraId="466D3C46" w14:textId="77777777" w:rsidR="00913A2D" w:rsidRDefault="00913A2D" w:rsidP="00913A2D">
      <w:pPr>
        <w:pStyle w:val="whitespace-normal"/>
      </w:pPr>
      <w:r>
        <w:rPr>
          <w:rtl/>
        </w:rPr>
        <w:t>יַעַן לֹא־הֶאֱמַנְתֶּם בִּי לְהַקְדִּישֵׁנִי לְעֵינֵי בְּנֵי יִשְׂרָאֵל</w:t>
      </w:r>
      <w:r>
        <w:br/>
        <w:t xml:space="preserve">"Weil ihr </w:t>
      </w:r>
      <w:r>
        <w:rPr>
          <w:rStyle w:val="Fett"/>
        </w:rPr>
        <w:t>nicht an mich geglaubt</w:t>
      </w:r>
      <w:r>
        <w:t xml:space="preserve"> habt, </w:t>
      </w:r>
      <w:r>
        <w:rPr>
          <w:rStyle w:val="Fett"/>
        </w:rPr>
        <w:t>mich zu heiligen</w:t>
      </w:r>
      <w:r>
        <w:t xml:space="preserve"> vor den Augen der Söhne Israels"</w:t>
      </w:r>
    </w:p>
    <w:p w14:paraId="67AE16E7" w14:textId="77777777" w:rsidR="00913A2D" w:rsidRDefault="00913A2D" w:rsidP="00913A2D">
      <w:pPr>
        <w:pStyle w:val="whitespace-normal"/>
      </w:pPr>
      <w:r>
        <w:rPr>
          <w:rStyle w:val="Fett"/>
        </w:rPr>
        <w:t>Die Frage:</w:t>
      </w:r>
      <w:r>
        <w:t xml:space="preserve"> </w:t>
      </w:r>
      <w:r>
        <w:rPr>
          <w:rStyle w:val="Fett"/>
        </w:rPr>
        <w:t>WAS genau</w:t>
      </w:r>
      <w:r>
        <w:t xml:space="preserve"> war Moses Sünde?</w:t>
      </w:r>
    </w:p>
    <w:p w14:paraId="1CB19514" w14:textId="77777777" w:rsidR="00913A2D" w:rsidRDefault="00F329DD" w:rsidP="00913A2D">
      <w:r>
        <w:pict w14:anchorId="33CE0728">
          <v:rect id="_x0000_i1694" style="width:0;height:1.5pt" o:hralign="center" o:hrstd="t" o:hr="t" fillcolor="#a0a0a0" stroked="f"/>
        </w:pict>
      </w:r>
    </w:p>
    <w:p w14:paraId="63B0EF17" w14:textId="77777777" w:rsidR="00913A2D" w:rsidRDefault="00913A2D" w:rsidP="00913A2D">
      <w:pPr>
        <w:pStyle w:val="berschrift3"/>
      </w:pPr>
      <w:r>
        <w:rPr>
          <w:rStyle w:val="Fett"/>
          <w:b w:val="0"/>
          <w:bCs w:val="0"/>
        </w:rPr>
        <w:t>Die 7 Hauptinterpretationen:</w:t>
      </w:r>
    </w:p>
    <w:p w14:paraId="15D1227F" w14:textId="77777777" w:rsidR="00913A2D" w:rsidRDefault="00F329DD" w:rsidP="00913A2D">
      <w:r>
        <w:pict w14:anchorId="01F56A31">
          <v:rect id="_x0000_i1695" style="width:0;height:1.5pt" o:hralign="center" o:hrstd="t" o:hr="t" fillcolor="#a0a0a0" stroked="f"/>
        </w:pict>
      </w:r>
    </w:p>
    <w:p w14:paraId="13250D26" w14:textId="77777777" w:rsidR="00913A2D" w:rsidRDefault="00913A2D" w:rsidP="00913A2D">
      <w:pPr>
        <w:pStyle w:val="berschrift4"/>
      </w:pPr>
      <w:r>
        <w:rPr>
          <w:rStyle w:val="Fett"/>
          <w:b w:val="0"/>
          <w:bCs w:val="0"/>
        </w:rPr>
        <w:lastRenderedPageBreak/>
        <w:t>1. Er SCHLUG statt zu REDEN (Ungehorsam)</w:t>
      </w:r>
    </w:p>
    <w:p w14:paraId="0F762853" w14:textId="77777777" w:rsidR="00913A2D" w:rsidRDefault="00913A2D" w:rsidP="00913A2D">
      <w:pPr>
        <w:pStyle w:val="whitespace-normal"/>
      </w:pPr>
      <w:r>
        <w:rPr>
          <w:rStyle w:val="Fett"/>
        </w:rPr>
        <w:t>Die Interpretation:</w:t>
      </w:r>
    </w:p>
    <w:p w14:paraId="42F5B080" w14:textId="77777777" w:rsidR="00913A2D" w:rsidRDefault="00913A2D" w:rsidP="00B358B7">
      <w:pPr>
        <w:pStyle w:val="whitespace-normal"/>
        <w:numPr>
          <w:ilvl w:val="0"/>
          <w:numId w:val="186"/>
        </w:numPr>
      </w:pPr>
      <w:r>
        <w:t xml:space="preserve">Gott befahl: </w:t>
      </w:r>
      <w:r>
        <w:rPr>
          <w:rStyle w:val="Fett"/>
        </w:rPr>
        <w:t>"Redet"</w:t>
      </w:r>
      <w:r>
        <w:t xml:space="preserve"> (</w:t>
      </w:r>
      <w:r>
        <w:rPr>
          <w:rtl/>
        </w:rPr>
        <w:t>וְדִבַּרְתֶּם</w:t>
      </w:r>
      <w:r>
        <w:t>, V. 8)</w:t>
      </w:r>
    </w:p>
    <w:p w14:paraId="6680E8C0" w14:textId="77777777" w:rsidR="00913A2D" w:rsidRDefault="00913A2D" w:rsidP="00B358B7">
      <w:pPr>
        <w:pStyle w:val="whitespace-normal"/>
        <w:numPr>
          <w:ilvl w:val="0"/>
          <w:numId w:val="186"/>
        </w:numPr>
      </w:pPr>
      <w:r>
        <w:t xml:space="preserve">Mose tat: </w:t>
      </w:r>
      <w:r>
        <w:rPr>
          <w:rStyle w:val="Fett"/>
        </w:rPr>
        <w:t>"Schlug"</w:t>
      </w:r>
      <w:r>
        <w:t xml:space="preserve"> (</w:t>
      </w:r>
      <w:r>
        <w:rPr>
          <w:rtl/>
        </w:rPr>
        <w:t>וַיַּךְ</w:t>
      </w:r>
      <w:r>
        <w:t>, V. 11)</w:t>
      </w:r>
    </w:p>
    <w:p w14:paraId="7A6E0E2D" w14:textId="77777777" w:rsidR="00913A2D" w:rsidRDefault="00913A2D" w:rsidP="00B358B7">
      <w:pPr>
        <w:pStyle w:val="whitespace-normal"/>
        <w:numPr>
          <w:ilvl w:val="0"/>
          <w:numId w:val="186"/>
        </w:numPr>
      </w:pPr>
      <w:r>
        <w:t xml:space="preserve">→ </w:t>
      </w:r>
      <w:r>
        <w:rPr>
          <w:rStyle w:val="Fett"/>
        </w:rPr>
        <w:t>Direkter Ungehorsam</w:t>
      </w:r>
      <w:r>
        <w:t>!</w:t>
      </w:r>
    </w:p>
    <w:p w14:paraId="6B22BAEC" w14:textId="77777777" w:rsidR="00913A2D" w:rsidRDefault="00913A2D" w:rsidP="00913A2D">
      <w:pPr>
        <w:pStyle w:val="whitespace-normal"/>
      </w:pPr>
      <w:r>
        <w:rPr>
          <w:rStyle w:val="Fett"/>
        </w:rPr>
        <w:t>Psalm 106,32-33:</w:t>
      </w:r>
    </w:p>
    <w:p w14:paraId="2E69E333" w14:textId="77777777" w:rsidR="00913A2D" w:rsidRDefault="00913A2D" w:rsidP="00913A2D">
      <w:pPr>
        <w:pStyle w:val="whitespace-normal"/>
      </w:pPr>
      <w:r>
        <w:rPr>
          <w:rtl/>
        </w:rPr>
        <w:t xml:space="preserve">וַיַּקְצִיפוּ עַל־מֵי מְרִיבָה </w:t>
      </w:r>
      <w:r>
        <w:rPr>
          <w:rStyle w:val="Fett"/>
          <w:rtl/>
        </w:rPr>
        <w:t>וַיֵּרַע לְמֹשֶׁה בַּעֲבוּרָם</w:t>
      </w:r>
      <w:r>
        <w:br/>
      </w:r>
      <w:r>
        <w:rPr>
          <w:rtl/>
        </w:rPr>
        <w:t>כִּי־</w:t>
      </w:r>
      <w:r>
        <w:rPr>
          <w:rStyle w:val="Fett"/>
          <w:rtl/>
        </w:rPr>
        <w:t>הִמְרוּ אֶת־רוּחוֹ</w:t>
      </w:r>
      <w:r>
        <w:rPr>
          <w:rtl/>
        </w:rPr>
        <w:t xml:space="preserve"> וַיְבַטֵּא בִּשְׂפָתָיו</w:t>
      </w:r>
      <w:r>
        <w:br/>
        <w:t xml:space="preserve">"Und sie erzürnten (Gott) an den Wassern von Meriva, </w:t>
      </w:r>
      <w:r>
        <w:rPr>
          <w:rStyle w:val="Fett"/>
        </w:rPr>
        <w:t>und es erging Mose übel ihretwegen</w:t>
      </w:r>
      <w:r>
        <w:t>,</w:t>
      </w:r>
      <w:r>
        <w:br/>
        <w:t xml:space="preserve">denn </w:t>
      </w:r>
      <w:r>
        <w:rPr>
          <w:rStyle w:val="Fett"/>
        </w:rPr>
        <w:t>sie reizten seinen Geist</w:t>
      </w:r>
      <w:r>
        <w:t xml:space="preserve">, und er </w:t>
      </w:r>
      <w:r>
        <w:rPr>
          <w:rStyle w:val="Fett"/>
        </w:rPr>
        <w:t>redete unbedacht</w:t>
      </w:r>
      <w:r>
        <w:t xml:space="preserve"> mit seinen Lippen"</w:t>
      </w:r>
    </w:p>
    <w:p w14:paraId="2F3DF1EC" w14:textId="77777777" w:rsidR="00913A2D" w:rsidRDefault="00913A2D" w:rsidP="00913A2D">
      <w:pPr>
        <w:pStyle w:val="whitespace-normal"/>
      </w:pPr>
      <w:r>
        <w:rPr>
          <w:rStyle w:val="Fett"/>
        </w:rPr>
        <w:t>→ Der Psalm sagt: Mose "redete unbedacht" (</w:t>
      </w:r>
      <w:r>
        <w:rPr>
          <w:rStyle w:val="Fett"/>
          <w:rtl/>
        </w:rPr>
        <w:t>וַיְבַטֵּא בִּשְׂפָתָיו</w:t>
      </w:r>
      <w:r>
        <w:rPr>
          <w:rStyle w:val="Fett"/>
        </w:rPr>
        <w:t>)!</w:t>
      </w:r>
    </w:p>
    <w:p w14:paraId="7676AEC4" w14:textId="77777777" w:rsidR="00913A2D" w:rsidRDefault="00913A2D" w:rsidP="00913A2D">
      <w:pPr>
        <w:pStyle w:val="whitespace-normal"/>
      </w:pPr>
      <w:r>
        <w:rPr>
          <w:rStyle w:val="Fett"/>
        </w:rPr>
        <w:t>Problem mit dieser Interpretation:</w:t>
      </w:r>
    </w:p>
    <w:p w14:paraId="421B92B5" w14:textId="77777777" w:rsidR="00913A2D" w:rsidRDefault="00913A2D" w:rsidP="00B358B7">
      <w:pPr>
        <w:pStyle w:val="whitespace-normal"/>
        <w:numPr>
          <w:ilvl w:val="0"/>
          <w:numId w:val="187"/>
        </w:numPr>
      </w:pPr>
      <w:r>
        <w:t xml:space="preserve">Beim </w:t>
      </w:r>
      <w:r>
        <w:rPr>
          <w:rStyle w:val="Fett"/>
        </w:rPr>
        <w:t>ersten Mal</w:t>
      </w:r>
      <w:r>
        <w:t xml:space="preserve"> (Ex 17,6) befahl Gott Mose, den Felsen zu </w:t>
      </w:r>
      <w:r>
        <w:rPr>
          <w:rStyle w:val="Fett"/>
        </w:rPr>
        <w:t>schlagen</w:t>
      </w:r>
      <w:r>
        <w:t xml:space="preserve"> (</w:t>
      </w:r>
      <w:r>
        <w:rPr>
          <w:rtl/>
        </w:rPr>
        <w:t>וְהִכִּיתָ בַצּוּר</w:t>
      </w:r>
      <w:r>
        <w:t>)!</w:t>
      </w:r>
    </w:p>
    <w:p w14:paraId="36D80D2F" w14:textId="77777777" w:rsidR="00913A2D" w:rsidRDefault="00913A2D" w:rsidP="00B358B7">
      <w:pPr>
        <w:pStyle w:val="whitespace-normal"/>
        <w:numPr>
          <w:ilvl w:val="0"/>
          <w:numId w:val="187"/>
        </w:numPr>
      </w:pPr>
      <w:r>
        <w:t xml:space="preserve">Warum ist es </w:t>
      </w:r>
      <w:r>
        <w:rPr>
          <w:rStyle w:val="Fett"/>
        </w:rPr>
        <w:t>jetzt</w:t>
      </w:r>
      <w:r>
        <w:t xml:space="preserve"> falsch?</w:t>
      </w:r>
    </w:p>
    <w:p w14:paraId="197E9F57" w14:textId="77777777" w:rsidR="00913A2D" w:rsidRDefault="00913A2D" w:rsidP="00913A2D">
      <w:pPr>
        <w:pStyle w:val="whitespace-normal"/>
      </w:pPr>
      <w:r>
        <w:rPr>
          <w:rStyle w:val="Fett"/>
        </w:rPr>
        <w:t>Antwort:</w:t>
      </w:r>
    </w:p>
    <w:p w14:paraId="29B38939" w14:textId="77777777" w:rsidR="00913A2D" w:rsidRDefault="00913A2D" w:rsidP="00B358B7">
      <w:pPr>
        <w:pStyle w:val="whitespace-normal"/>
        <w:numPr>
          <w:ilvl w:val="0"/>
          <w:numId w:val="188"/>
        </w:numPr>
      </w:pPr>
      <w:r>
        <w:rPr>
          <w:rStyle w:val="Fett"/>
        </w:rPr>
        <w:t>Ex 17:</w:t>
      </w:r>
      <w:r>
        <w:t xml:space="preserve"> Erste Generation → Mose muss </w:t>
      </w:r>
      <w:r>
        <w:rPr>
          <w:rStyle w:val="Fett"/>
        </w:rPr>
        <w:t>schlagen</w:t>
      </w:r>
      <w:r>
        <w:t xml:space="preserve"> (Gesetz, Gericht)</w:t>
      </w:r>
    </w:p>
    <w:p w14:paraId="67A42785" w14:textId="77777777" w:rsidR="00913A2D" w:rsidRDefault="00913A2D" w:rsidP="00B358B7">
      <w:pPr>
        <w:pStyle w:val="whitespace-normal"/>
        <w:numPr>
          <w:ilvl w:val="0"/>
          <w:numId w:val="188"/>
        </w:numPr>
      </w:pPr>
      <w:r>
        <w:rPr>
          <w:rStyle w:val="Fett"/>
        </w:rPr>
        <w:t>Num 20:</w:t>
      </w:r>
      <w:r>
        <w:t xml:space="preserve"> Zweite Generation → Mose soll </w:t>
      </w:r>
      <w:r>
        <w:rPr>
          <w:rStyle w:val="Fett"/>
        </w:rPr>
        <w:t>reden</w:t>
      </w:r>
      <w:r>
        <w:t xml:space="preserve"> (Gnade, Beziehung)</w:t>
      </w:r>
    </w:p>
    <w:p w14:paraId="1F8D1506" w14:textId="77777777" w:rsidR="00913A2D" w:rsidRDefault="00913A2D" w:rsidP="00B358B7">
      <w:pPr>
        <w:pStyle w:val="whitespace-normal"/>
        <w:numPr>
          <w:ilvl w:val="0"/>
          <w:numId w:val="188"/>
        </w:numPr>
      </w:pPr>
      <w:r>
        <w:t xml:space="preserve">→ </w:t>
      </w:r>
      <w:r>
        <w:rPr>
          <w:rStyle w:val="Fett"/>
        </w:rPr>
        <w:t>Schlagen</w:t>
      </w:r>
      <w:r>
        <w:t xml:space="preserve"> war nicht mehr angemessen – die Beziehung hatte sich geändert!</w:t>
      </w:r>
    </w:p>
    <w:p w14:paraId="026C5CC0" w14:textId="77777777" w:rsidR="00913A2D" w:rsidRDefault="00F329DD" w:rsidP="00913A2D">
      <w:r>
        <w:pict w14:anchorId="3EF7996A">
          <v:rect id="_x0000_i1696" style="width:0;height:1.5pt" o:hralign="center" o:hrstd="t" o:hr="t" fillcolor="#a0a0a0" stroked="f"/>
        </w:pict>
      </w:r>
    </w:p>
    <w:p w14:paraId="122EF5DD" w14:textId="77777777" w:rsidR="00913A2D" w:rsidRDefault="00913A2D" w:rsidP="00913A2D">
      <w:pPr>
        <w:pStyle w:val="berschrift4"/>
      </w:pPr>
      <w:r>
        <w:rPr>
          <w:rStyle w:val="Fett"/>
          <w:b w:val="0"/>
          <w:bCs w:val="0"/>
        </w:rPr>
        <w:t>2. Er nahm die EHRE für sich ("WIR werden...") - Stolz</w:t>
      </w:r>
    </w:p>
    <w:p w14:paraId="2E9AD709" w14:textId="77777777" w:rsidR="00913A2D" w:rsidRDefault="00913A2D" w:rsidP="00913A2D">
      <w:pPr>
        <w:pStyle w:val="whitespace-normal"/>
      </w:pPr>
      <w:r>
        <w:rPr>
          <w:rStyle w:val="Fett"/>
        </w:rPr>
        <w:t>Die Interpretation:</w:t>
      </w:r>
    </w:p>
    <w:p w14:paraId="05384426" w14:textId="77777777" w:rsidR="00913A2D" w:rsidRDefault="00913A2D" w:rsidP="00B358B7">
      <w:pPr>
        <w:pStyle w:val="whitespace-normal"/>
        <w:numPr>
          <w:ilvl w:val="0"/>
          <w:numId w:val="189"/>
        </w:numPr>
      </w:pPr>
      <w:r>
        <w:t xml:space="preserve">Mose sagte: "Werden </w:t>
      </w:r>
      <w:r>
        <w:rPr>
          <w:rStyle w:val="Fett"/>
        </w:rPr>
        <w:t>WIR</w:t>
      </w:r>
      <w:r>
        <w:t xml:space="preserve"> euch Wasser hervorbringen?" (</w:t>
      </w:r>
      <w:r>
        <w:rPr>
          <w:rtl/>
        </w:rPr>
        <w:t xml:space="preserve">הֲמִן־הַסֶּלַע הַזֶּה </w:t>
      </w:r>
      <w:r>
        <w:rPr>
          <w:rStyle w:val="Fett"/>
          <w:rtl/>
        </w:rPr>
        <w:t>נוֹצִיא</w:t>
      </w:r>
      <w:r>
        <w:rPr>
          <w:rtl/>
        </w:rPr>
        <w:t xml:space="preserve"> לָכֶם מָיִם</w:t>
      </w:r>
      <w:r>
        <w:t>, V. 10)</w:t>
      </w:r>
    </w:p>
    <w:p w14:paraId="5A9B0B0B" w14:textId="77777777" w:rsidR="00913A2D" w:rsidRDefault="00913A2D" w:rsidP="00B358B7">
      <w:pPr>
        <w:pStyle w:val="whitespace-normal"/>
        <w:numPr>
          <w:ilvl w:val="0"/>
          <w:numId w:val="189"/>
        </w:numPr>
      </w:pPr>
      <w:r>
        <w:t xml:space="preserve">→ </w:t>
      </w:r>
      <w:r>
        <w:rPr>
          <w:rStyle w:val="Fett"/>
        </w:rPr>
        <w:t>WIR</w:t>
      </w:r>
      <w:r>
        <w:t xml:space="preserve"> (Mose + Aaron), nicht </w:t>
      </w:r>
      <w:r>
        <w:rPr>
          <w:rStyle w:val="Fett"/>
        </w:rPr>
        <w:t>GOTT</w:t>
      </w:r>
      <w:r>
        <w:t>!</w:t>
      </w:r>
    </w:p>
    <w:p w14:paraId="09038967" w14:textId="77777777" w:rsidR="00913A2D" w:rsidRDefault="00913A2D" w:rsidP="00B358B7">
      <w:pPr>
        <w:pStyle w:val="whitespace-normal"/>
        <w:numPr>
          <w:ilvl w:val="0"/>
          <w:numId w:val="189"/>
        </w:numPr>
      </w:pPr>
      <w:r>
        <w:t xml:space="preserve">→ Er beanspruchte die </w:t>
      </w:r>
      <w:r>
        <w:rPr>
          <w:rStyle w:val="Fett"/>
        </w:rPr>
        <w:t>Ehre</w:t>
      </w:r>
      <w:r>
        <w:t xml:space="preserve"> für sich!</w:t>
      </w:r>
    </w:p>
    <w:p w14:paraId="67BAF72D" w14:textId="77777777" w:rsidR="00913A2D" w:rsidRDefault="00913A2D" w:rsidP="00913A2D">
      <w:pPr>
        <w:pStyle w:val="whitespace-normal"/>
      </w:pPr>
      <w:r>
        <w:rPr>
          <w:rStyle w:val="Fett"/>
        </w:rPr>
        <w:t>Deuteronomium 32,51:</w:t>
      </w:r>
    </w:p>
    <w:p w14:paraId="0AA9737C" w14:textId="77777777" w:rsidR="00913A2D" w:rsidRDefault="00913A2D" w:rsidP="00913A2D">
      <w:pPr>
        <w:pStyle w:val="whitespace-normal"/>
      </w:pPr>
      <w:r>
        <w:rPr>
          <w:rtl/>
        </w:rPr>
        <w:t xml:space="preserve">עַל אֲשֶׁר </w:t>
      </w:r>
      <w:r>
        <w:rPr>
          <w:rStyle w:val="Fett"/>
          <w:rtl/>
        </w:rPr>
        <w:t>מְעַלְתֶּם בִּי</w:t>
      </w:r>
      <w:r>
        <w:rPr>
          <w:rtl/>
        </w:rPr>
        <w:t xml:space="preserve"> בְּתוֹךְ בְּנֵי יִשְׂרָאֵל</w:t>
      </w:r>
      <w:r>
        <w:t xml:space="preserve">... </w:t>
      </w:r>
      <w:r>
        <w:rPr>
          <w:rStyle w:val="Fett"/>
          <w:rtl/>
        </w:rPr>
        <w:t>לֹא־קִדַּשְׁתֶּם אוֹתִי</w:t>
      </w:r>
      <w:r>
        <w:rPr>
          <w:rtl/>
        </w:rPr>
        <w:t xml:space="preserve"> בְּתוֹךְ בְּנֵי יִשְׂרָאֵל</w:t>
      </w:r>
      <w:r>
        <w:br/>
        <w:t xml:space="preserve">"Weil ihr </w:t>
      </w:r>
      <w:r>
        <w:rPr>
          <w:rStyle w:val="Fett"/>
        </w:rPr>
        <w:t>treulos an mir gehandelt</w:t>
      </w:r>
      <w:r>
        <w:t xml:space="preserve"> habt inmitten der Söhne Israels... </w:t>
      </w:r>
      <w:r>
        <w:rPr>
          <w:rStyle w:val="Fett"/>
        </w:rPr>
        <w:t>ihr habt mich nicht geheiligt</w:t>
      </w:r>
      <w:r>
        <w:t xml:space="preserve"> inmitten der Söhne Israels"</w:t>
      </w:r>
    </w:p>
    <w:p w14:paraId="21C0125F" w14:textId="77777777" w:rsidR="00913A2D" w:rsidRDefault="00913A2D" w:rsidP="00913A2D">
      <w:pPr>
        <w:pStyle w:val="whitespace-normal"/>
      </w:pPr>
      <w:r>
        <w:rPr>
          <w:rStyle w:val="Fett"/>
        </w:rPr>
        <w:t xml:space="preserve">→ Moses Sünde war </w:t>
      </w:r>
      <w:r>
        <w:rPr>
          <w:rStyle w:val="Fett"/>
          <w:rtl/>
        </w:rPr>
        <w:t xml:space="preserve">מַעַל </w:t>
      </w:r>
      <w:r>
        <w:rPr>
          <w:rStyle w:val="Fett"/>
        </w:rPr>
        <w:t>(Untreue/Treuebruch) – er nahm Gottes Ehre!</w:t>
      </w:r>
    </w:p>
    <w:p w14:paraId="608D946F" w14:textId="77777777" w:rsidR="00913A2D" w:rsidRDefault="00913A2D" w:rsidP="00913A2D">
      <w:pPr>
        <w:pStyle w:val="whitespace-normal"/>
      </w:pPr>
      <w:r>
        <w:rPr>
          <w:rStyle w:val="Fett"/>
        </w:rPr>
        <w:t>Numeri 20,12:</w:t>
      </w:r>
    </w:p>
    <w:p w14:paraId="328462EE" w14:textId="77777777" w:rsidR="00913A2D" w:rsidRDefault="00913A2D" w:rsidP="00913A2D">
      <w:pPr>
        <w:pStyle w:val="whitespace-normal"/>
      </w:pPr>
      <w:r>
        <w:rPr>
          <w:rtl/>
        </w:rPr>
        <w:lastRenderedPageBreak/>
        <w:t>לְהַקְדִּישֵׁנִי לְעֵינֵי בְּנֵי יִשְׂרָאֵל</w:t>
      </w:r>
      <w:r>
        <w:br/>
        <w:t xml:space="preserve">"Mich zu </w:t>
      </w:r>
      <w:r>
        <w:rPr>
          <w:rStyle w:val="Fett"/>
        </w:rPr>
        <w:t>heiligen</w:t>
      </w:r>
      <w:r>
        <w:t xml:space="preserve"> vor den Augen der Söhne Israels"</w:t>
      </w:r>
    </w:p>
    <w:p w14:paraId="1BD420ED" w14:textId="77777777" w:rsidR="00913A2D" w:rsidRDefault="00913A2D" w:rsidP="00913A2D">
      <w:pPr>
        <w:pStyle w:val="whitespace-normal"/>
      </w:pPr>
      <w:r>
        <w:rPr>
          <w:rStyle w:val="Fett"/>
        </w:rPr>
        <w:t>→ Mose sollte Gottes Heiligkeit zeigen, aber zeigte stattdessen seine eigene Macht!</w:t>
      </w:r>
    </w:p>
    <w:p w14:paraId="33FFDD1F" w14:textId="77777777" w:rsidR="00913A2D" w:rsidRDefault="00913A2D" w:rsidP="00913A2D">
      <w:pPr>
        <w:pStyle w:val="whitespace-normal"/>
      </w:pPr>
      <w:r>
        <w:rPr>
          <w:rStyle w:val="Fett"/>
        </w:rPr>
        <w:t>Problem mit dieser Interpretation:</w:t>
      </w:r>
    </w:p>
    <w:p w14:paraId="79D2AA80" w14:textId="77777777" w:rsidR="00913A2D" w:rsidRDefault="00913A2D" w:rsidP="00B358B7">
      <w:pPr>
        <w:pStyle w:val="whitespace-normal"/>
        <w:numPr>
          <w:ilvl w:val="0"/>
          <w:numId w:val="190"/>
        </w:numPr>
      </w:pPr>
      <w:r>
        <w:t xml:space="preserve">Das Hebräische ist </w:t>
      </w:r>
      <w:r>
        <w:rPr>
          <w:rStyle w:val="Fett"/>
        </w:rPr>
        <w:t>ambig</w:t>
      </w:r>
      <w:r>
        <w:t xml:space="preserve">: </w:t>
      </w:r>
    </w:p>
    <w:p w14:paraId="21E3F234" w14:textId="77777777" w:rsidR="00913A2D" w:rsidRDefault="00913A2D" w:rsidP="00B358B7">
      <w:pPr>
        <w:pStyle w:val="whitespace-normal"/>
        <w:numPr>
          <w:ilvl w:val="1"/>
          <w:numId w:val="190"/>
        </w:numPr>
      </w:pPr>
      <w:r>
        <w:t>"Werden WIR...?" (rhetorische Frage = "Sollen wir etwa...?")</w:t>
      </w:r>
    </w:p>
    <w:p w14:paraId="40CF788D" w14:textId="77777777" w:rsidR="00913A2D" w:rsidRDefault="00913A2D" w:rsidP="00B358B7">
      <w:pPr>
        <w:pStyle w:val="whitespace-normal"/>
        <w:numPr>
          <w:ilvl w:val="1"/>
          <w:numId w:val="190"/>
        </w:numPr>
      </w:pPr>
      <w:r>
        <w:t>Oder: "WIR werden!" (Anmaßung)</w:t>
      </w:r>
    </w:p>
    <w:p w14:paraId="725093E2" w14:textId="77777777" w:rsidR="00913A2D" w:rsidRDefault="00913A2D" w:rsidP="00B358B7">
      <w:pPr>
        <w:pStyle w:val="whitespace-normal"/>
        <w:numPr>
          <w:ilvl w:val="0"/>
          <w:numId w:val="190"/>
        </w:numPr>
      </w:pPr>
      <w:r>
        <w:t xml:space="preserve">Könnte auch bedeuten: "Sollen </w:t>
      </w:r>
      <w:r>
        <w:rPr>
          <w:rStyle w:val="Fett"/>
        </w:rPr>
        <w:t>wir</w:t>
      </w:r>
      <w:r>
        <w:t xml:space="preserve"> (statt Gott) euch Wasser geben?"</w:t>
      </w:r>
    </w:p>
    <w:p w14:paraId="18463D11" w14:textId="77777777" w:rsidR="00913A2D" w:rsidRDefault="00F329DD" w:rsidP="00913A2D">
      <w:r>
        <w:pict w14:anchorId="3BC55984">
          <v:rect id="_x0000_i1697" style="width:0;height:1.5pt" o:hralign="center" o:hrstd="t" o:hr="t" fillcolor="#a0a0a0" stroked="f"/>
        </w:pict>
      </w:r>
    </w:p>
    <w:p w14:paraId="59A1614F" w14:textId="77777777" w:rsidR="00913A2D" w:rsidRDefault="00913A2D" w:rsidP="00913A2D">
      <w:pPr>
        <w:pStyle w:val="berschrift4"/>
      </w:pPr>
      <w:r>
        <w:rPr>
          <w:rStyle w:val="Fett"/>
          <w:b w:val="0"/>
          <w:bCs w:val="0"/>
        </w:rPr>
        <w:t>3. Er war ZORNIG - Mangel an Geduld/Liebe</w:t>
      </w:r>
    </w:p>
    <w:p w14:paraId="1F1EED04" w14:textId="77777777" w:rsidR="00913A2D" w:rsidRDefault="00913A2D" w:rsidP="00913A2D">
      <w:pPr>
        <w:pStyle w:val="whitespace-normal"/>
      </w:pPr>
      <w:r>
        <w:rPr>
          <w:rStyle w:val="Fett"/>
        </w:rPr>
        <w:t>Die Interpretation:</w:t>
      </w:r>
    </w:p>
    <w:p w14:paraId="007779B7" w14:textId="77777777" w:rsidR="00913A2D" w:rsidRDefault="00913A2D" w:rsidP="00B358B7">
      <w:pPr>
        <w:pStyle w:val="whitespace-normal"/>
        <w:numPr>
          <w:ilvl w:val="0"/>
          <w:numId w:val="191"/>
        </w:numPr>
      </w:pPr>
      <w:r>
        <w:t xml:space="preserve">Mose nannte sie: "Hört doch, ihr </w:t>
      </w:r>
      <w:r>
        <w:rPr>
          <w:rStyle w:val="Fett"/>
        </w:rPr>
        <w:t>Widerspenstigen</w:t>
      </w:r>
      <w:r>
        <w:t>!" (</w:t>
      </w:r>
      <w:r>
        <w:rPr>
          <w:rtl/>
        </w:rPr>
        <w:t xml:space="preserve">שִׁמְעוּ־נָא </w:t>
      </w:r>
      <w:r>
        <w:rPr>
          <w:rStyle w:val="Fett"/>
          <w:rtl/>
        </w:rPr>
        <w:t>הַמֹּרִים</w:t>
      </w:r>
      <w:r>
        <w:t>, V. 10)</w:t>
      </w:r>
    </w:p>
    <w:p w14:paraId="02850AFF" w14:textId="77777777" w:rsidR="00913A2D" w:rsidRDefault="00913A2D" w:rsidP="00B358B7">
      <w:pPr>
        <w:pStyle w:val="whitespace-normal"/>
        <w:numPr>
          <w:ilvl w:val="0"/>
          <w:numId w:val="191"/>
        </w:numPr>
      </w:pPr>
      <w:r>
        <w:rPr>
          <w:rtl/>
        </w:rPr>
        <w:t>הַמֹּרִים</w:t>
      </w:r>
      <w:r>
        <w:t xml:space="preserve"> = "die Rebellischen, Widerspenstigen" (von </w:t>
      </w:r>
      <w:r>
        <w:rPr>
          <w:rtl/>
        </w:rPr>
        <w:t>מָרָה</w:t>
      </w:r>
      <w:r>
        <w:t xml:space="preserve"> = rebellieren)</w:t>
      </w:r>
    </w:p>
    <w:p w14:paraId="45037DE1" w14:textId="77777777" w:rsidR="00913A2D" w:rsidRDefault="00913A2D" w:rsidP="00B358B7">
      <w:pPr>
        <w:pStyle w:val="whitespace-normal"/>
        <w:numPr>
          <w:ilvl w:val="0"/>
          <w:numId w:val="191"/>
        </w:numPr>
      </w:pPr>
      <w:r>
        <w:t xml:space="preserve">→ </w:t>
      </w:r>
      <w:r>
        <w:rPr>
          <w:rStyle w:val="Fett"/>
        </w:rPr>
        <w:t>Zorniger Ton</w:t>
      </w:r>
      <w:r>
        <w:t xml:space="preserve">, keine </w:t>
      </w:r>
      <w:r>
        <w:rPr>
          <w:rStyle w:val="Fett"/>
        </w:rPr>
        <w:t>Sanftmut</w:t>
      </w:r>
      <w:r>
        <w:t>!</w:t>
      </w:r>
    </w:p>
    <w:p w14:paraId="3200EA47" w14:textId="77777777" w:rsidR="00913A2D" w:rsidRDefault="00913A2D" w:rsidP="00913A2D">
      <w:pPr>
        <w:pStyle w:val="whitespace-normal"/>
      </w:pPr>
      <w:r>
        <w:rPr>
          <w:rStyle w:val="Fett"/>
        </w:rPr>
        <w:t>Numeri 12,3:</w:t>
      </w:r>
    </w:p>
    <w:p w14:paraId="68288699" w14:textId="77777777" w:rsidR="00913A2D" w:rsidRDefault="00913A2D" w:rsidP="00913A2D">
      <w:pPr>
        <w:pStyle w:val="whitespace-normal"/>
      </w:pPr>
      <w:r>
        <w:rPr>
          <w:rtl/>
        </w:rPr>
        <w:t xml:space="preserve">וְהָאִישׁ מֹשֶׁה </w:t>
      </w:r>
      <w:r>
        <w:rPr>
          <w:rStyle w:val="Fett"/>
          <w:rtl/>
        </w:rPr>
        <w:t>עָנָו מְאֹד</w:t>
      </w:r>
      <w:r>
        <w:rPr>
          <w:rtl/>
        </w:rPr>
        <w:t xml:space="preserve"> מִכֹּל הָאָדָם</w:t>
      </w:r>
      <w:r>
        <w:br/>
        <w:t xml:space="preserve">"Und der Mann Mose war </w:t>
      </w:r>
      <w:r>
        <w:rPr>
          <w:rStyle w:val="Fett"/>
        </w:rPr>
        <w:t>sehr demütig</w:t>
      </w:r>
      <w:r>
        <w:t>, mehr als alle Menschen auf Erden"</w:t>
      </w:r>
    </w:p>
    <w:p w14:paraId="75C08F7E" w14:textId="77777777" w:rsidR="00913A2D" w:rsidRDefault="00913A2D" w:rsidP="00913A2D">
      <w:pPr>
        <w:pStyle w:val="whitespace-normal"/>
      </w:pPr>
      <w:r>
        <w:rPr>
          <w:rStyle w:val="Fett"/>
        </w:rPr>
        <w:t>→ Moses Demut (</w:t>
      </w:r>
      <w:r>
        <w:rPr>
          <w:rStyle w:val="Fett"/>
          <w:rtl/>
        </w:rPr>
        <w:t>עָנָו</w:t>
      </w:r>
      <w:r>
        <w:rPr>
          <w:rStyle w:val="Fett"/>
        </w:rPr>
        <w:t>) war sein Kennzeichen – aber hier verlor er sie!</w:t>
      </w:r>
    </w:p>
    <w:p w14:paraId="774DD4E6" w14:textId="77777777" w:rsidR="00913A2D" w:rsidRDefault="00913A2D" w:rsidP="00913A2D">
      <w:pPr>
        <w:pStyle w:val="whitespace-normal"/>
      </w:pPr>
      <w:r>
        <w:rPr>
          <w:rStyle w:val="Fett"/>
        </w:rPr>
        <w:t>Psalm 106,33:</w:t>
      </w:r>
    </w:p>
    <w:p w14:paraId="7FED6CC5" w14:textId="77777777" w:rsidR="00913A2D" w:rsidRDefault="00913A2D" w:rsidP="00913A2D">
      <w:pPr>
        <w:pStyle w:val="whitespace-normal"/>
      </w:pPr>
      <w:r>
        <w:rPr>
          <w:rtl/>
        </w:rPr>
        <w:t>כִּי־הִמְרוּ אֶת־רוּחוֹ</w:t>
      </w:r>
      <w:r>
        <w:br/>
        <w:t xml:space="preserve">"Denn sie </w:t>
      </w:r>
      <w:r>
        <w:rPr>
          <w:rStyle w:val="Fett"/>
        </w:rPr>
        <w:t>reizten</w:t>
      </w:r>
      <w:r>
        <w:t xml:space="preserve"> seinen Geist"</w:t>
      </w:r>
    </w:p>
    <w:p w14:paraId="5272AD16" w14:textId="77777777" w:rsidR="00913A2D" w:rsidRDefault="00913A2D" w:rsidP="00913A2D">
      <w:pPr>
        <w:pStyle w:val="whitespace-normal"/>
      </w:pPr>
      <w:r>
        <w:rPr>
          <w:rStyle w:val="Fett"/>
        </w:rPr>
        <w:t>→ Mose ließ sich von seinem Zorn überwältigen!</w:t>
      </w:r>
    </w:p>
    <w:p w14:paraId="14671803" w14:textId="77777777" w:rsidR="00913A2D" w:rsidRDefault="00913A2D" w:rsidP="00913A2D">
      <w:pPr>
        <w:pStyle w:val="whitespace-normal"/>
      </w:pPr>
      <w:r>
        <w:rPr>
          <w:rStyle w:val="Fett"/>
        </w:rPr>
        <w:t>Jakobus 1,20:</w:t>
      </w:r>
    </w:p>
    <w:p w14:paraId="5210D799" w14:textId="77777777" w:rsidR="00913A2D" w:rsidRDefault="00913A2D" w:rsidP="00913A2D">
      <w:pPr>
        <w:pStyle w:val="whitespace-normal"/>
      </w:pPr>
      <w:r>
        <w:t xml:space="preserve">ὀργὴ γὰρ ἀνδρὸς </w:t>
      </w:r>
      <w:r>
        <w:rPr>
          <w:rStyle w:val="Fett"/>
        </w:rPr>
        <w:t>δικαιοσύνην θεοῦ οὐκ ἐργάζεται</w:t>
      </w:r>
      <w:r>
        <w:br/>
        <w:t xml:space="preserve">"Denn </w:t>
      </w:r>
      <w:r>
        <w:rPr>
          <w:rStyle w:val="Fett"/>
        </w:rPr>
        <w:t>des Menschen Zorn</w:t>
      </w:r>
      <w:r>
        <w:t xml:space="preserve"> wirkt </w:t>
      </w:r>
      <w:r>
        <w:rPr>
          <w:rStyle w:val="Fett"/>
        </w:rPr>
        <w:t>nicht</w:t>
      </w:r>
      <w:r>
        <w:t xml:space="preserve"> Gottes Gerechtigkeit"</w:t>
      </w:r>
    </w:p>
    <w:p w14:paraId="6B2BDE5F" w14:textId="77777777" w:rsidR="00913A2D" w:rsidRDefault="00913A2D" w:rsidP="00913A2D">
      <w:pPr>
        <w:pStyle w:val="whitespace-normal"/>
      </w:pPr>
      <w:r>
        <w:rPr>
          <w:rStyle w:val="Fett"/>
        </w:rPr>
        <w:t>→ Moses Zorn verhinderte, dass Gottes Gerechtigkeit sichtbar wurde!</w:t>
      </w:r>
    </w:p>
    <w:p w14:paraId="0CFEE1E5" w14:textId="77777777" w:rsidR="00913A2D" w:rsidRDefault="00F329DD" w:rsidP="00913A2D">
      <w:r>
        <w:pict w14:anchorId="1D07FDEA">
          <v:rect id="_x0000_i1698" style="width:0;height:1.5pt" o:hralign="center" o:hrstd="t" o:hr="t" fillcolor="#a0a0a0" stroked="f"/>
        </w:pict>
      </w:r>
    </w:p>
    <w:p w14:paraId="292CB994" w14:textId="77777777" w:rsidR="00913A2D" w:rsidRDefault="00913A2D" w:rsidP="00913A2D">
      <w:pPr>
        <w:pStyle w:val="berschrift4"/>
      </w:pPr>
      <w:r>
        <w:rPr>
          <w:rStyle w:val="Fett"/>
          <w:b w:val="0"/>
          <w:bCs w:val="0"/>
        </w:rPr>
        <w:t>4. Er ZWEIFELTE - "Mangel an Glauben" (V. 12)</w:t>
      </w:r>
    </w:p>
    <w:p w14:paraId="33D81CC3" w14:textId="77777777" w:rsidR="00913A2D" w:rsidRDefault="00913A2D" w:rsidP="00913A2D">
      <w:pPr>
        <w:pStyle w:val="whitespace-normal"/>
      </w:pPr>
      <w:r>
        <w:rPr>
          <w:rStyle w:val="Fett"/>
        </w:rPr>
        <w:t>Die Interpretation:</w:t>
      </w:r>
    </w:p>
    <w:p w14:paraId="04D42EF3" w14:textId="77777777" w:rsidR="00913A2D" w:rsidRDefault="00913A2D" w:rsidP="00B358B7">
      <w:pPr>
        <w:pStyle w:val="whitespace-normal"/>
        <w:numPr>
          <w:ilvl w:val="0"/>
          <w:numId w:val="192"/>
        </w:numPr>
      </w:pPr>
      <w:r>
        <w:t xml:space="preserve">Gottes Urteil: "Weil ihr </w:t>
      </w:r>
      <w:r>
        <w:rPr>
          <w:rStyle w:val="Fett"/>
        </w:rPr>
        <w:t>nicht an mich geglaubt</w:t>
      </w:r>
      <w:r>
        <w:t xml:space="preserve"> habt" (</w:t>
      </w:r>
      <w:r>
        <w:rPr>
          <w:rtl/>
        </w:rPr>
        <w:t>לֹא־הֶאֱמַנְתֶּם בִּי</w:t>
      </w:r>
      <w:r>
        <w:t>, V. 12)</w:t>
      </w:r>
    </w:p>
    <w:p w14:paraId="5B19C60A" w14:textId="77777777" w:rsidR="00913A2D" w:rsidRDefault="00913A2D" w:rsidP="00B358B7">
      <w:pPr>
        <w:pStyle w:val="whitespace-normal"/>
        <w:numPr>
          <w:ilvl w:val="0"/>
          <w:numId w:val="192"/>
        </w:numPr>
      </w:pPr>
      <w:r>
        <w:lastRenderedPageBreak/>
        <w:t xml:space="preserve">Mose fragte rhetorisch: "Werden wir </w:t>
      </w:r>
      <w:r>
        <w:rPr>
          <w:rStyle w:val="Fett"/>
        </w:rPr>
        <w:t>aus diesem Felsen</w:t>
      </w:r>
      <w:r>
        <w:t xml:space="preserve"> Wasser hervorbringen?" (V. 10)</w:t>
      </w:r>
    </w:p>
    <w:p w14:paraId="06CF5C75" w14:textId="77777777" w:rsidR="00913A2D" w:rsidRDefault="00913A2D" w:rsidP="00B358B7">
      <w:pPr>
        <w:pStyle w:val="whitespace-normal"/>
        <w:numPr>
          <w:ilvl w:val="0"/>
          <w:numId w:val="192"/>
        </w:numPr>
      </w:pPr>
      <w:r>
        <w:t xml:space="preserve">→ Impliziert: "Ist das überhaupt </w:t>
      </w:r>
      <w:r>
        <w:rPr>
          <w:rStyle w:val="Fett"/>
        </w:rPr>
        <w:t>möglich</w:t>
      </w:r>
      <w:r>
        <w:t>?"</w:t>
      </w:r>
    </w:p>
    <w:p w14:paraId="5C1A9A6B" w14:textId="77777777" w:rsidR="00913A2D" w:rsidRDefault="00913A2D" w:rsidP="00B358B7">
      <w:pPr>
        <w:pStyle w:val="whitespace-normal"/>
        <w:numPr>
          <w:ilvl w:val="0"/>
          <w:numId w:val="192"/>
        </w:numPr>
      </w:pPr>
      <w:r>
        <w:t xml:space="preserve">→ </w:t>
      </w:r>
      <w:r>
        <w:rPr>
          <w:rStyle w:val="Fett"/>
        </w:rPr>
        <w:t>Zweifel</w:t>
      </w:r>
      <w:r>
        <w:t xml:space="preserve"> an Gottes Macht!</w:t>
      </w:r>
    </w:p>
    <w:p w14:paraId="03A2D144" w14:textId="77777777" w:rsidR="00913A2D" w:rsidRDefault="00913A2D" w:rsidP="00913A2D">
      <w:pPr>
        <w:pStyle w:val="whitespace-normal"/>
      </w:pPr>
      <w:r>
        <w:rPr>
          <w:rStyle w:val="Fett"/>
        </w:rPr>
        <w:t>Problem:</w:t>
      </w:r>
    </w:p>
    <w:p w14:paraId="1842E1BE" w14:textId="77777777" w:rsidR="00913A2D" w:rsidRDefault="00913A2D" w:rsidP="00B358B7">
      <w:pPr>
        <w:pStyle w:val="whitespace-normal"/>
        <w:numPr>
          <w:ilvl w:val="0"/>
          <w:numId w:val="193"/>
        </w:numPr>
      </w:pPr>
      <w:r>
        <w:t xml:space="preserve">Mose </w:t>
      </w:r>
      <w:r>
        <w:rPr>
          <w:rStyle w:val="Fett"/>
        </w:rPr>
        <w:t>schlug</w:t>
      </w:r>
      <w:r>
        <w:t xml:space="preserve"> den Felsen → also </w:t>
      </w:r>
      <w:r>
        <w:rPr>
          <w:rStyle w:val="Fett"/>
        </w:rPr>
        <w:t>erwartete</w:t>
      </w:r>
      <w:r>
        <w:t xml:space="preserve"> er Wasser!</w:t>
      </w:r>
    </w:p>
    <w:p w14:paraId="58DAE6CD" w14:textId="77777777" w:rsidR="00913A2D" w:rsidRDefault="00913A2D" w:rsidP="00B358B7">
      <w:pPr>
        <w:pStyle w:val="whitespace-normal"/>
        <w:numPr>
          <w:ilvl w:val="0"/>
          <w:numId w:val="193"/>
        </w:numPr>
      </w:pPr>
      <w:r>
        <w:t xml:space="preserve">Wo ist der </w:t>
      </w:r>
      <w:r>
        <w:rPr>
          <w:rStyle w:val="Fett"/>
        </w:rPr>
        <w:t>Zweifel</w:t>
      </w:r>
      <w:r>
        <w:t>?</w:t>
      </w:r>
    </w:p>
    <w:p w14:paraId="60D529D3" w14:textId="77777777" w:rsidR="00913A2D" w:rsidRDefault="00913A2D" w:rsidP="00913A2D">
      <w:pPr>
        <w:pStyle w:val="whitespace-normal"/>
      </w:pPr>
      <w:r>
        <w:rPr>
          <w:rStyle w:val="Fett"/>
        </w:rPr>
        <w:t>Antwort:</w:t>
      </w:r>
    </w:p>
    <w:p w14:paraId="6CB27E4F" w14:textId="77777777" w:rsidR="00913A2D" w:rsidRDefault="00913A2D" w:rsidP="00B358B7">
      <w:pPr>
        <w:pStyle w:val="whitespace-normal"/>
        <w:numPr>
          <w:ilvl w:val="0"/>
          <w:numId w:val="194"/>
        </w:numPr>
      </w:pPr>
      <w:r>
        <w:t xml:space="preserve">Der Zweifel war </w:t>
      </w:r>
      <w:r>
        <w:rPr>
          <w:rStyle w:val="Fett"/>
        </w:rPr>
        <w:t>nicht</w:t>
      </w:r>
      <w:r>
        <w:t xml:space="preserve"> an Gottes </w:t>
      </w:r>
      <w:r>
        <w:rPr>
          <w:rStyle w:val="Fett"/>
        </w:rPr>
        <w:t>Macht</w:t>
      </w:r>
      <w:r>
        <w:t xml:space="preserve">, sondern an seiner </w:t>
      </w:r>
      <w:r>
        <w:rPr>
          <w:rStyle w:val="Fett"/>
        </w:rPr>
        <w:t>Anweisung</w:t>
      </w:r>
      <w:r>
        <w:t xml:space="preserve">: </w:t>
      </w:r>
    </w:p>
    <w:p w14:paraId="16A483CE" w14:textId="77777777" w:rsidR="00913A2D" w:rsidRDefault="00913A2D" w:rsidP="00B358B7">
      <w:pPr>
        <w:pStyle w:val="whitespace-normal"/>
        <w:numPr>
          <w:ilvl w:val="1"/>
          <w:numId w:val="194"/>
        </w:numPr>
      </w:pPr>
      <w:r>
        <w:t>Mose dachte: "</w:t>
      </w:r>
      <w:r>
        <w:rPr>
          <w:rStyle w:val="Fett"/>
        </w:rPr>
        <w:t>Reden</w:t>
      </w:r>
      <w:r>
        <w:t xml:space="preserve"> reicht nicht – ich muss </w:t>
      </w:r>
      <w:r>
        <w:rPr>
          <w:rStyle w:val="Fett"/>
        </w:rPr>
        <w:t>schlagen</w:t>
      </w:r>
      <w:r>
        <w:t>!"</w:t>
      </w:r>
    </w:p>
    <w:p w14:paraId="406126EA" w14:textId="77777777" w:rsidR="00913A2D" w:rsidRDefault="00913A2D" w:rsidP="00B358B7">
      <w:pPr>
        <w:pStyle w:val="whitespace-normal"/>
        <w:numPr>
          <w:ilvl w:val="1"/>
          <w:numId w:val="194"/>
        </w:numPr>
      </w:pPr>
      <w:r>
        <w:t xml:space="preserve">→ Er </w:t>
      </w:r>
      <w:r>
        <w:rPr>
          <w:rStyle w:val="Fett"/>
        </w:rPr>
        <w:t>vertraute</w:t>
      </w:r>
      <w:r>
        <w:t xml:space="preserve"> nicht auf Gottes </w:t>
      </w:r>
      <w:r>
        <w:rPr>
          <w:rStyle w:val="Fett"/>
        </w:rPr>
        <w:t>Methode</w:t>
      </w:r>
      <w:r>
        <w:t>!</w:t>
      </w:r>
    </w:p>
    <w:p w14:paraId="6A1EB7DF" w14:textId="77777777" w:rsidR="00913A2D" w:rsidRDefault="00F329DD" w:rsidP="00913A2D">
      <w:r>
        <w:pict w14:anchorId="56A4AF22">
          <v:rect id="_x0000_i1699" style="width:0;height:1.5pt" o:hralign="center" o:hrstd="t" o:hr="t" fillcolor="#a0a0a0" stroked="f"/>
        </w:pict>
      </w:r>
    </w:p>
    <w:p w14:paraId="3780D030" w14:textId="77777777" w:rsidR="00913A2D" w:rsidRDefault="00913A2D" w:rsidP="00913A2D">
      <w:pPr>
        <w:pStyle w:val="berschrift4"/>
      </w:pPr>
      <w:r>
        <w:rPr>
          <w:rStyle w:val="Fett"/>
          <w:b w:val="0"/>
          <w:bCs w:val="0"/>
        </w:rPr>
        <w:t>5. Er schlug ZWEIMAL - Ungeduld</w:t>
      </w:r>
    </w:p>
    <w:p w14:paraId="63BF83AC" w14:textId="77777777" w:rsidR="00913A2D" w:rsidRDefault="00913A2D" w:rsidP="00913A2D">
      <w:pPr>
        <w:pStyle w:val="whitespace-normal"/>
      </w:pPr>
      <w:r>
        <w:rPr>
          <w:rStyle w:val="Fett"/>
        </w:rPr>
        <w:t>Die Interpretation:</w:t>
      </w:r>
    </w:p>
    <w:p w14:paraId="452B4D34" w14:textId="77777777" w:rsidR="00913A2D" w:rsidRDefault="00913A2D" w:rsidP="00B358B7">
      <w:pPr>
        <w:pStyle w:val="whitespace-normal"/>
        <w:numPr>
          <w:ilvl w:val="0"/>
          <w:numId w:val="195"/>
        </w:numPr>
      </w:pPr>
      <w:r>
        <w:rPr>
          <w:rtl/>
        </w:rPr>
        <w:t xml:space="preserve">וַיַּךְ אֶת־הַסֶּלַע בְּמַטֵּהוּ </w:t>
      </w:r>
      <w:r>
        <w:rPr>
          <w:rStyle w:val="Fett"/>
          <w:rtl/>
        </w:rPr>
        <w:t>פַּעֲמָיִם</w:t>
      </w:r>
      <w:r>
        <w:rPr>
          <w:rtl/>
        </w:rPr>
        <w:t xml:space="preserve"> </w:t>
      </w:r>
      <w:r>
        <w:t>(V. 11)</w:t>
      </w:r>
    </w:p>
    <w:p w14:paraId="293D9710" w14:textId="77777777" w:rsidR="00913A2D" w:rsidRDefault="00913A2D" w:rsidP="00B358B7">
      <w:pPr>
        <w:pStyle w:val="whitespace-normal"/>
        <w:numPr>
          <w:ilvl w:val="0"/>
          <w:numId w:val="195"/>
        </w:numPr>
      </w:pPr>
      <w:r>
        <w:t xml:space="preserve">"Und er schlug den Felsen mit seinem Stab </w:t>
      </w:r>
      <w:r>
        <w:rPr>
          <w:rStyle w:val="Fett"/>
        </w:rPr>
        <w:t>zweimal</w:t>
      </w:r>
      <w:r>
        <w:t>"</w:t>
      </w:r>
    </w:p>
    <w:p w14:paraId="3AD90C1E" w14:textId="77777777" w:rsidR="00913A2D" w:rsidRDefault="00913A2D" w:rsidP="00B358B7">
      <w:pPr>
        <w:pStyle w:val="whitespace-normal"/>
        <w:numPr>
          <w:ilvl w:val="0"/>
          <w:numId w:val="195"/>
        </w:numPr>
      </w:pPr>
      <w:r>
        <w:t xml:space="preserve">→ Warum </w:t>
      </w:r>
      <w:r>
        <w:rPr>
          <w:rStyle w:val="Fett"/>
        </w:rPr>
        <w:t>zweimal</w:t>
      </w:r>
      <w:r>
        <w:t>?</w:t>
      </w:r>
    </w:p>
    <w:p w14:paraId="33B2A36E" w14:textId="77777777" w:rsidR="00913A2D" w:rsidRDefault="00913A2D" w:rsidP="00913A2D">
      <w:pPr>
        <w:pStyle w:val="whitespace-normal"/>
      </w:pPr>
      <w:r>
        <w:rPr>
          <w:rStyle w:val="Fett"/>
        </w:rPr>
        <w:t>Möglichkeiten:</w:t>
      </w:r>
    </w:p>
    <w:p w14:paraId="67348634" w14:textId="77777777" w:rsidR="00913A2D" w:rsidRDefault="00913A2D" w:rsidP="00B358B7">
      <w:pPr>
        <w:pStyle w:val="whitespace-normal"/>
        <w:numPr>
          <w:ilvl w:val="0"/>
          <w:numId w:val="196"/>
        </w:numPr>
      </w:pPr>
      <w:r>
        <w:rPr>
          <w:rStyle w:val="Fett"/>
        </w:rPr>
        <w:t>Erste Mal</w:t>
      </w:r>
      <w:r>
        <w:t xml:space="preserve"> reichte nicht → </w:t>
      </w:r>
      <w:r>
        <w:rPr>
          <w:rStyle w:val="Fett"/>
        </w:rPr>
        <w:t>Ungeduld</w:t>
      </w:r>
      <w:r>
        <w:t>!</w:t>
      </w:r>
    </w:p>
    <w:p w14:paraId="650D7186" w14:textId="77777777" w:rsidR="00913A2D" w:rsidRDefault="00913A2D" w:rsidP="00B358B7">
      <w:pPr>
        <w:pStyle w:val="whitespace-normal"/>
        <w:numPr>
          <w:ilvl w:val="0"/>
          <w:numId w:val="196"/>
        </w:numPr>
      </w:pPr>
      <w:r>
        <w:rPr>
          <w:rStyle w:val="Fett"/>
        </w:rPr>
        <w:t>Betonte</w:t>
      </w:r>
      <w:r>
        <w:t xml:space="preserve"> seine eigene </w:t>
      </w:r>
      <w:r>
        <w:rPr>
          <w:rStyle w:val="Fett"/>
        </w:rPr>
        <w:t>Anstrengung</w:t>
      </w:r>
      <w:r>
        <w:t xml:space="preserve"> (statt Gottes Gnade)</w:t>
      </w:r>
    </w:p>
    <w:p w14:paraId="4FC90C74" w14:textId="77777777" w:rsidR="00913A2D" w:rsidRDefault="00913A2D" w:rsidP="00B358B7">
      <w:pPr>
        <w:pStyle w:val="whitespace-normal"/>
        <w:numPr>
          <w:ilvl w:val="0"/>
          <w:numId w:val="196"/>
        </w:numPr>
      </w:pPr>
      <w:r>
        <w:t xml:space="preserve">Symbolisch: </w:t>
      </w:r>
      <w:r>
        <w:rPr>
          <w:rStyle w:val="Fett"/>
        </w:rPr>
        <w:t>Wiederholung</w:t>
      </w:r>
      <w:r>
        <w:t xml:space="preserve"> = menschliches Mühen (vs. Gottes müheloses Wort)</w:t>
      </w:r>
    </w:p>
    <w:p w14:paraId="6EEF91C2" w14:textId="77777777" w:rsidR="00913A2D" w:rsidRDefault="00913A2D" w:rsidP="00913A2D">
      <w:pPr>
        <w:pStyle w:val="whitespace-normal"/>
      </w:pPr>
      <w:r>
        <w:rPr>
          <w:rStyle w:val="Fett"/>
        </w:rPr>
        <w:t>Rabbinische Auslegung (Numeri Rabba 19,9):</w:t>
      </w:r>
    </w:p>
    <w:p w14:paraId="77B7B496" w14:textId="77777777" w:rsidR="00913A2D" w:rsidRDefault="00913A2D" w:rsidP="00913A2D">
      <w:pPr>
        <w:pStyle w:val="whitespace-normal"/>
      </w:pPr>
      <w:r>
        <w:t xml:space="preserve">"Beim ersten Schlag kamen nur </w:t>
      </w:r>
      <w:r>
        <w:rPr>
          <w:rStyle w:val="Fett"/>
        </w:rPr>
        <w:t>Tropfen</w:t>
      </w:r>
      <w:r>
        <w:t xml:space="preserve"> heraus. Mose dachte, er hätte </w:t>
      </w:r>
      <w:r>
        <w:rPr>
          <w:rStyle w:val="Fett"/>
        </w:rPr>
        <w:t>versagt</w:t>
      </w:r>
      <w:r>
        <w:t xml:space="preserve">, und schlug ein zweites Mal. Dann kam </w:t>
      </w:r>
      <w:r>
        <w:rPr>
          <w:rStyle w:val="Fett"/>
        </w:rPr>
        <w:t>viel Wasser</w:t>
      </w:r>
      <w:r>
        <w:t>."</w:t>
      </w:r>
    </w:p>
    <w:p w14:paraId="5D97DB19" w14:textId="77777777" w:rsidR="00913A2D" w:rsidRDefault="00913A2D" w:rsidP="00913A2D">
      <w:pPr>
        <w:pStyle w:val="whitespace-normal"/>
      </w:pPr>
      <w:r>
        <w:rPr>
          <w:rStyle w:val="Fett"/>
        </w:rPr>
        <w:t>→ Mose zweifelte nach dem ersten Schlag → schlug nochmal!</w:t>
      </w:r>
    </w:p>
    <w:p w14:paraId="25BD2A9F" w14:textId="77777777" w:rsidR="00913A2D" w:rsidRDefault="00F329DD" w:rsidP="00913A2D">
      <w:r>
        <w:pict w14:anchorId="06DF7CE1">
          <v:rect id="_x0000_i1700" style="width:0;height:1.5pt" o:hralign="center" o:hrstd="t" o:hr="t" fillcolor="#a0a0a0" stroked="f"/>
        </w:pict>
      </w:r>
    </w:p>
    <w:p w14:paraId="6518D5C0" w14:textId="77777777" w:rsidR="00913A2D" w:rsidRDefault="00913A2D" w:rsidP="00913A2D">
      <w:pPr>
        <w:pStyle w:val="berschrift4"/>
      </w:pPr>
      <w:r>
        <w:rPr>
          <w:rStyle w:val="Fett"/>
          <w:b w:val="0"/>
          <w:bCs w:val="0"/>
        </w:rPr>
        <w:t>6. Falscher FELSEN? (Widerspruch zu Ex 17)</w:t>
      </w:r>
    </w:p>
    <w:p w14:paraId="04CD053D" w14:textId="77777777" w:rsidR="00913A2D" w:rsidRDefault="00913A2D" w:rsidP="00913A2D">
      <w:pPr>
        <w:pStyle w:val="whitespace-normal"/>
      </w:pPr>
      <w:r>
        <w:rPr>
          <w:rStyle w:val="Fett"/>
        </w:rPr>
        <w:t>Die Interpretation:</w:t>
      </w:r>
    </w:p>
    <w:p w14:paraId="484EAA82" w14:textId="77777777" w:rsidR="00913A2D" w:rsidRDefault="00913A2D" w:rsidP="00B358B7">
      <w:pPr>
        <w:pStyle w:val="whitespace-normal"/>
        <w:numPr>
          <w:ilvl w:val="0"/>
          <w:numId w:val="197"/>
        </w:numPr>
      </w:pPr>
      <w:r>
        <w:rPr>
          <w:rStyle w:val="Fett"/>
        </w:rPr>
        <w:t>Ex 17,6:</w:t>
      </w:r>
      <w:r>
        <w:t xml:space="preserve"> Mose schlägt den Felsen in </w:t>
      </w:r>
      <w:r>
        <w:rPr>
          <w:rStyle w:val="Fett"/>
        </w:rPr>
        <w:t>Horeb</w:t>
      </w:r>
      <w:r>
        <w:t xml:space="preserve"> (Sinai)</w:t>
      </w:r>
    </w:p>
    <w:p w14:paraId="0CF023A8" w14:textId="77777777" w:rsidR="00913A2D" w:rsidRDefault="00913A2D" w:rsidP="00B358B7">
      <w:pPr>
        <w:pStyle w:val="whitespace-normal"/>
        <w:numPr>
          <w:ilvl w:val="0"/>
          <w:numId w:val="197"/>
        </w:numPr>
      </w:pPr>
      <w:r>
        <w:rPr>
          <w:rStyle w:val="Fett"/>
        </w:rPr>
        <w:t>Num 20,11:</w:t>
      </w:r>
      <w:r>
        <w:t xml:space="preserve"> Mose schlägt den Felsen in </w:t>
      </w:r>
      <w:r>
        <w:rPr>
          <w:rStyle w:val="Fett"/>
        </w:rPr>
        <w:t>Kadesch</w:t>
      </w:r>
      <w:r>
        <w:t xml:space="preserve"> (Wüste Zin)</w:t>
      </w:r>
    </w:p>
    <w:p w14:paraId="7394A31E" w14:textId="77777777" w:rsidR="00913A2D" w:rsidRDefault="00913A2D" w:rsidP="00B358B7">
      <w:pPr>
        <w:pStyle w:val="whitespace-normal"/>
        <w:numPr>
          <w:ilvl w:val="0"/>
          <w:numId w:val="197"/>
        </w:numPr>
      </w:pPr>
      <w:r>
        <w:t xml:space="preserve">→ </w:t>
      </w:r>
      <w:r>
        <w:rPr>
          <w:rStyle w:val="Fett"/>
        </w:rPr>
        <w:t>Verschiedene Orte</w:t>
      </w:r>
      <w:r>
        <w:t>, verschiedene Felsen!</w:t>
      </w:r>
    </w:p>
    <w:p w14:paraId="2842B3DB" w14:textId="77777777" w:rsidR="00913A2D" w:rsidRDefault="00913A2D" w:rsidP="00B358B7">
      <w:pPr>
        <w:pStyle w:val="whitespace-normal"/>
        <w:numPr>
          <w:ilvl w:val="0"/>
          <w:numId w:val="197"/>
        </w:numPr>
      </w:pPr>
      <w:r>
        <w:t xml:space="preserve">→ Aber: </w:t>
      </w:r>
      <w:r>
        <w:rPr>
          <w:rStyle w:val="Fett"/>
        </w:rPr>
        <w:t>1 Kor 10,4</w:t>
      </w:r>
      <w:r>
        <w:t xml:space="preserve"> spricht von </w:t>
      </w:r>
      <w:r>
        <w:rPr>
          <w:rStyle w:val="Fett"/>
        </w:rPr>
        <w:t>einem Felsen</w:t>
      </w:r>
      <w:r>
        <w:t xml:space="preserve">, der </w:t>
      </w:r>
      <w:r>
        <w:rPr>
          <w:rStyle w:val="Fett"/>
        </w:rPr>
        <w:t>folgte</w:t>
      </w:r>
      <w:r>
        <w:t>!</w:t>
      </w:r>
    </w:p>
    <w:p w14:paraId="21FA9913" w14:textId="77777777" w:rsidR="00913A2D" w:rsidRDefault="00913A2D" w:rsidP="00913A2D">
      <w:pPr>
        <w:pStyle w:val="whitespace-normal"/>
      </w:pPr>
      <w:r>
        <w:rPr>
          <w:rStyle w:val="Fett"/>
        </w:rPr>
        <w:lastRenderedPageBreak/>
        <w:t>1 Korinther 10,4:</w:t>
      </w:r>
    </w:p>
    <w:p w14:paraId="25CF3071" w14:textId="77777777" w:rsidR="00913A2D" w:rsidRDefault="00913A2D" w:rsidP="00913A2D">
      <w:pPr>
        <w:pStyle w:val="whitespace-normal"/>
      </w:pPr>
      <w:r>
        <w:t xml:space="preserve">ἔπινον γὰρ ἐκ πνευματικῆς </w:t>
      </w:r>
      <w:r>
        <w:rPr>
          <w:rStyle w:val="Fett"/>
        </w:rPr>
        <w:t>ἀκολουθούσης πέτρας</w:t>
      </w:r>
      <w:r>
        <w:t>· ἡ πέτρα δὲ ἦν ὁ Χριστός</w:t>
      </w:r>
      <w:r>
        <w:br/>
        <w:t xml:space="preserve">"Denn sie tranken aus einem geistlichen Felsen, </w:t>
      </w:r>
      <w:r>
        <w:rPr>
          <w:rStyle w:val="Fett"/>
        </w:rPr>
        <w:t>der ihnen folgte</w:t>
      </w:r>
      <w:r>
        <w:t xml:space="preserve">; der Fels aber war </w:t>
      </w:r>
      <w:r>
        <w:rPr>
          <w:rStyle w:val="Fett"/>
        </w:rPr>
        <w:t>Christus</w:t>
      </w:r>
      <w:r>
        <w:t>"</w:t>
      </w:r>
    </w:p>
    <w:p w14:paraId="18821DEB" w14:textId="77777777" w:rsidR="00913A2D" w:rsidRDefault="00913A2D" w:rsidP="00913A2D">
      <w:pPr>
        <w:pStyle w:val="whitespace-normal"/>
      </w:pPr>
      <w:r>
        <w:rPr>
          <w:rStyle w:val="Fett"/>
        </w:rPr>
        <w:t>→ Paulus kennt die Tradition: EIN Felsen folgte Israel (= Christus)!</w:t>
      </w:r>
    </w:p>
    <w:p w14:paraId="52C2830E" w14:textId="77777777" w:rsidR="00913A2D" w:rsidRDefault="00913A2D" w:rsidP="00913A2D">
      <w:pPr>
        <w:pStyle w:val="whitespace-normal"/>
      </w:pPr>
      <w:r>
        <w:rPr>
          <w:rStyle w:val="Fett"/>
        </w:rPr>
        <w:t>Rabbinische Tradition (Talmud):</w:t>
      </w:r>
    </w:p>
    <w:p w14:paraId="0B2AA341" w14:textId="77777777" w:rsidR="00913A2D" w:rsidRDefault="00913A2D" w:rsidP="00B358B7">
      <w:pPr>
        <w:pStyle w:val="whitespace-normal"/>
        <w:numPr>
          <w:ilvl w:val="0"/>
          <w:numId w:val="198"/>
        </w:numPr>
      </w:pPr>
      <w:r>
        <w:t xml:space="preserve">Der Felsen in </w:t>
      </w:r>
      <w:r>
        <w:rPr>
          <w:rStyle w:val="Fett"/>
        </w:rPr>
        <w:t>Ex 17</w:t>
      </w:r>
      <w:r>
        <w:t xml:space="preserve"> und </w:t>
      </w:r>
      <w:r>
        <w:rPr>
          <w:rStyle w:val="Fett"/>
        </w:rPr>
        <w:t>Num 20</w:t>
      </w:r>
      <w:r>
        <w:t xml:space="preserve"> ist </w:t>
      </w:r>
      <w:r>
        <w:rPr>
          <w:rStyle w:val="Fett"/>
        </w:rPr>
        <w:t>derselbe</w:t>
      </w:r>
      <w:r>
        <w:t>!</w:t>
      </w:r>
    </w:p>
    <w:p w14:paraId="7DC5AF0E" w14:textId="77777777" w:rsidR="00913A2D" w:rsidRDefault="00913A2D" w:rsidP="00B358B7">
      <w:pPr>
        <w:pStyle w:val="whitespace-normal"/>
        <w:numPr>
          <w:ilvl w:val="0"/>
          <w:numId w:val="198"/>
        </w:numPr>
      </w:pPr>
      <w:r>
        <w:t>Er "</w:t>
      </w:r>
      <w:r>
        <w:rPr>
          <w:rStyle w:val="Fett"/>
        </w:rPr>
        <w:t>rollte</w:t>
      </w:r>
      <w:r>
        <w:t>" mit Israel durch die Wüste (vgl. "Brunnen Mirjams")</w:t>
      </w:r>
    </w:p>
    <w:p w14:paraId="23D9A001" w14:textId="77777777" w:rsidR="00913A2D" w:rsidRDefault="00913A2D" w:rsidP="00913A2D">
      <w:pPr>
        <w:pStyle w:val="whitespace-normal"/>
      </w:pPr>
      <w:r>
        <w:rPr>
          <w:rStyle w:val="Fett"/>
        </w:rPr>
        <w:t>Problem mit Moses Handlung:</w:t>
      </w:r>
    </w:p>
    <w:p w14:paraId="6EDBF9D6" w14:textId="77777777" w:rsidR="00913A2D" w:rsidRDefault="00913A2D" w:rsidP="00B358B7">
      <w:pPr>
        <w:pStyle w:val="whitespace-normal"/>
        <w:numPr>
          <w:ilvl w:val="0"/>
          <w:numId w:val="199"/>
        </w:numPr>
      </w:pPr>
      <w:r>
        <w:t xml:space="preserve">In </w:t>
      </w:r>
      <w:r>
        <w:rPr>
          <w:rStyle w:val="Fett"/>
        </w:rPr>
        <w:t>Ex 17</w:t>
      </w:r>
      <w:r>
        <w:t xml:space="preserve"> sollte er </w:t>
      </w:r>
      <w:r>
        <w:rPr>
          <w:rStyle w:val="Fett"/>
        </w:rPr>
        <w:t>schlagen</w:t>
      </w:r>
      <w:r>
        <w:t xml:space="preserve"> → Symbol: Christus wird </w:t>
      </w:r>
      <w:r>
        <w:rPr>
          <w:rStyle w:val="Fett"/>
        </w:rPr>
        <w:t>geschlagen</w:t>
      </w:r>
      <w:r>
        <w:t xml:space="preserve"> (einmal!)</w:t>
      </w:r>
    </w:p>
    <w:p w14:paraId="080C7EC8" w14:textId="77777777" w:rsidR="00913A2D" w:rsidRDefault="00913A2D" w:rsidP="00B358B7">
      <w:pPr>
        <w:pStyle w:val="whitespace-normal"/>
        <w:numPr>
          <w:ilvl w:val="0"/>
          <w:numId w:val="199"/>
        </w:numPr>
      </w:pPr>
      <w:r>
        <w:t xml:space="preserve">In </w:t>
      </w:r>
      <w:r>
        <w:rPr>
          <w:rStyle w:val="Fett"/>
        </w:rPr>
        <w:t>Num 20</w:t>
      </w:r>
      <w:r>
        <w:t xml:space="preserve"> sollte er </w:t>
      </w:r>
      <w:r>
        <w:rPr>
          <w:rStyle w:val="Fett"/>
        </w:rPr>
        <w:t>reden</w:t>
      </w:r>
      <w:r>
        <w:t xml:space="preserve"> → Symbol: Zu Christus </w:t>
      </w:r>
      <w:r>
        <w:rPr>
          <w:rStyle w:val="Fett"/>
        </w:rPr>
        <w:t>sprechen</w:t>
      </w:r>
      <w:r>
        <w:t xml:space="preserve"> (Gebet!)</w:t>
      </w:r>
    </w:p>
    <w:p w14:paraId="626871D5" w14:textId="77777777" w:rsidR="00913A2D" w:rsidRDefault="00913A2D" w:rsidP="00B358B7">
      <w:pPr>
        <w:pStyle w:val="whitespace-normal"/>
        <w:numPr>
          <w:ilvl w:val="0"/>
          <w:numId w:val="199"/>
        </w:numPr>
      </w:pPr>
      <w:r>
        <w:t xml:space="preserve">→ Mose schlug </w:t>
      </w:r>
      <w:r>
        <w:rPr>
          <w:rStyle w:val="Fett"/>
        </w:rPr>
        <w:t>zweimal</w:t>
      </w:r>
      <w:r>
        <w:t xml:space="preserve"> → symbolisch: Christus </w:t>
      </w:r>
      <w:r>
        <w:rPr>
          <w:rStyle w:val="Fett"/>
        </w:rPr>
        <w:t>zweimal</w:t>
      </w:r>
      <w:r>
        <w:t xml:space="preserve"> gekreuzigt?</w:t>
      </w:r>
    </w:p>
    <w:p w14:paraId="5BE3D48A" w14:textId="77777777" w:rsidR="00913A2D" w:rsidRDefault="00913A2D" w:rsidP="00913A2D">
      <w:pPr>
        <w:pStyle w:val="whitespace-normal"/>
      </w:pPr>
      <w:r>
        <w:rPr>
          <w:rStyle w:val="Fett"/>
        </w:rPr>
        <w:t>Hebräer 6,6:</w:t>
      </w:r>
    </w:p>
    <w:p w14:paraId="4E5D9C02" w14:textId="77777777" w:rsidR="00913A2D" w:rsidRDefault="00913A2D" w:rsidP="00913A2D">
      <w:pPr>
        <w:pStyle w:val="whitespace-normal"/>
      </w:pPr>
      <w:r>
        <w:t>ἀνασταυροῦντας ἑαυτοῖς τὸν υἱὸν τοῦ θεοῦ</w:t>
      </w:r>
      <w:r>
        <w:br/>
        <w:t>"</w:t>
      </w:r>
      <w:r>
        <w:rPr>
          <w:rStyle w:val="Fett"/>
        </w:rPr>
        <w:t>Sie kreuzigen den Sohn Gottes von neuem</w:t>
      </w:r>
      <w:r>
        <w:t>"</w:t>
      </w:r>
    </w:p>
    <w:p w14:paraId="7836C573" w14:textId="77777777" w:rsidR="00913A2D" w:rsidRDefault="00913A2D" w:rsidP="00913A2D">
      <w:pPr>
        <w:pStyle w:val="whitespace-normal"/>
      </w:pPr>
      <w:r>
        <w:rPr>
          <w:rStyle w:val="Fett"/>
        </w:rPr>
        <w:t>→ Den Felsen zweimal schlagen = Christus zweimal opfern?</w:t>
      </w:r>
    </w:p>
    <w:p w14:paraId="6841CCFA" w14:textId="77777777" w:rsidR="00913A2D" w:rsidRDefault="00913A2D" w:rsidP="00913A2D">
      <w:pPr>
        <w:pStyle w:val="whitespace-normal"/>
      </w:pPr>
      <w:r>
        <w:rPr>
          <w:rStyle w:val="Fett"/>
        </w:rPr>
        <w:t>→ Aber Christus wurde einmal für alle geopfert (Hebr 7,27; 9,12; 10,10)!</w:t>
      </w:r>
    </w:p>
    <w:p w14:paraId="3F618AEE" w14:textId="77777777" w:rsidR="00913A2D" w:rsidRDefault="00F329DD" w:rsidP="00913A2D">
      <w:r>
        <w:pict w14:anchorId="46C668D4">
          <v:rect id="_x0000_i1701" style="width:0;height:1.5pt" o:hralign="center" o:hrstd="t" o:hr="t" fillcolor="#a0a0a0" stroked="f"/>
        </w:pict>
      </w:r>
    </w:p>
    <w:p w14:paraId="1C1BACD2" w14:textId="77777777" w:rsidR="00913A2D" w:rsidRDefault="00913A2D" w:rsidP="00913A2D">
      <w:pPr>
        <w:pStyle w:val="berschrift4"/>
      </w:pPr>
      <w:r>
        <w:rPr>
          <w:rStyle w:val="Fett"/>
          <w:b w:val="0"/>
          <w:bCs w:val="0"/>
        </w:rPr>
        <w:t>7. Er machte sich zum MITTLER statt Gott - Usurpation</w:t>
      </w:r>
    </w:p>
    <w:p w14:paraId="6CC1BE64" w14:textId="77777777" w:rsidR="00913A2D" w:rsidRDefault="00913A2D" w:rsidP="00913A2D">
      <w:pPr>
        <w:pStyle w:val="whitespace-normal"/>
      </w:pPr>
      <w:r>
        <w:rPr>
          <w:rStyle w:val="Fett"/>
        </w:rPr>
        <w:t>Die Interpretation:</w:t>
      </w:r>
    </w:p>
    <w:p w14:paraId="5FB1F4D1" w14:textId="77777777" w:rsidR="00913A2D" w:rsidRDefault="00913A2D" w:rsidP="00B358B7">
      <w:pPr>
        <w:pStyle w:val="whitespace-normal"/>
        <w:numPr>
          <w:ilvl w:val="0"/>
          <w:numId w:val="200"/>
        </w:numPr>
      </w:pPr>
      <w:r>
        <w:t xml:space="preserve">Gott wollte: "Der </w:t>
      </w:r>
      <w:r>
        <w:rPr>
          <w:rStyle w:val="Fett"/>
        </w:rPr>
        <w:t>Felsen</w:t>
      </w:r>
      <w:r>
        <w:t xml:space="preserve"> soll sein Wasser geben" (V. 8: </w:t>
      </w:r>
      <w:r>
        <w:rPr>
          <w:rtl/>
        </w:rPr>
        <w:t>וְנָתַן מֵימָיו</w:t>
      </w:r>
      <w:r>
        <w:t>)</w:t>
      </w:r>
    </w:p>
    <w:p w14:paraId="4909E4BF" w14:textId="77777777" w:rsidR="00913A2D" w:rsidRDefault="00913A2D" w:rsidP="00B358B7">
      <w:pPr>
        <w:pStyle w:val="whitespace-normal"/>
        <w:numPr>
          <w:ilvl w:val="0"/>
          <w:numId w:val="200"/>
        </w:numPr>
      </w:pPr>
      <w:r>
        <w:t xml:space="preserve">→ Der </w:t>
      </w:r>
      <w:r>
        <w:rPr>
          <w:rStyle w:val="Fett"/>
        </w:rPr>
        <w:t>Felsen</w:t>
      </w:r>
      <w:r>
        <w:t xml:space="preserve"> als Akteur (Symbol für </w:t>
      </w:r>
      <w:r>
        <w:rPr>
          <w:rStyle w:val="Fett"/>
        </w:rPr>
        <w:t>Christus</w:t>
      </w:r>
      <w:r>
        <w:t>!)</w:t>
      </w:r>
    </w:p>
    <w:p w14:paraId="1B993FAB" w14:textId="77777777" w:rsidR="00913A2D" w:rsidRDefault="00913A2D" w:rsidP="00B358B7">
      <w:pPr>
        <w:pStyle w:val="whitespace-normal"/>
        <w:numPr>
          <w:ilvl w:val="0"/>
          <w:numId w:val="200"/>
        </w:numPr>
      </w:pPr>
      <w:r>
        <w:t xml:space="preserve">Mose machte: </w:t>
      </w:r>
      <w:r>
        <w:rPr>
          <w:rStyle w:val="Fett"/>
        </w:rPr>
        <w:t>"WIR</w:t>
      </w:r>
      <w:r>
        <w:t xml:space="preserve"> werden euch Wasser hervorbringen" (V. 10)</w:t>
      </w:r>
    </w:p>
    <w:p w14:paraId="612C3326" w14:textId="77777777" w:rsidR="00913A2D" w:rsidRDefault="00913A2D" w:rsidP="00B358B7">
      <w:pPr>
        <w:pStyle w:val="whitespace-normal"/>
        <w:numPr>
          <w:ilvl w:val="0"/>
          <w:numId w:val="200"/>
        </w:numPr>
      </w:pPr>
      <w:r>
        <w:t xml:space="preserve">→ </w:t>
      </w:r>
      <w:r>
        <w:rPr>
          <w:rStyle w:val="Fett"/>
        </w:rPr>
        <w:t>Mose</w:t>
      </w:r>
      <w:r>
        <w:t xml:space="preserve"> als Akteur (nicht Gott/Felsen!)</w:t>
      </w:r>
    </w:p>
    <w:p w14:paraId="77B32333" w14:textId="77777777" w:rsidR="00913A2D" w:rsidRDefault="00913A2D" w:rsidP="00913A2D">
      <w:pPr>
        <w:pStyle w:val="whitespace-normal"/>
      </w:pPr>
      <w:r>
        <w:rPr>
          <w:rStyle w:val="Fett"/>
        </w:rPr>
        <w:t>→ Mose usurpierte die Mittlerrolle, die Christus (= Felsen) gehört!</w:t>
      </w:r>
    </w:p>
    <w:p w14:paraId="2E5A5909" w14:textId="238B55A8" w:rsidR="00913A2D" w:rsidRDefault="00913A2D" w:rsidP="00913A2D">
      <w:pPr>
        <w:pStyle w:val="whitespace-normal"/>
        <w:rPr>
          <w:rStyle w:val="Fett"/>
        </w:rPr>
      </w:pPr>
      <w:r>
        <w:rPr>
          <w:rStyle w:val="Fett"/>
        </w:rPr>
        <w:t>Typologie:</w:t>
      </w:r>
    </w:p>
    <w:tbl>
      <w:tblPr>
        <w:tblStyle w:val="Tabellenraster"/>
        <w:tblW w:w="4994" w:type="pct"/>
        <w:tblLook w:val="04A0" w:firstRow="1" w:lastRow="0" w:firstColumn="1" w:lastColumn="0" w:noHBand="0" w:noVBand="1"/>
      </w:tblPr>
      <w:tblGrid>
        <w:gridCol w:w="2263"/>
        <w:gridCol w:w="2978"/>
        <w:gridCol w:w="3810"/>
      </w:tblGrid>
      <w:tr w:rsidR="00913A2D" w14:paraId="08E6A658" w14:textId="77777777" w:rsidTr="00913A2D">
        <w:tc>
          <w:tcPr>
            <w:tcW w:w="1250" w:type="pct"/>
            <w:vAlign w:val="center"/>
          </w:tcPr>
          <w:p w14:paraId="0B78B27A" w14:textId="2535B5C3" w:rsidR="00913A2D" w:rsidRDefault="00913A2D" w:rsidP="00913A2D">
            <w:pPr>
              <w:pStyle w:val="whitespace-normal"/>
            </w:pPr>
            <w:r>
              <w:rPr>
                <w:b/>
                <w:bCs/>
              </w:rPr>
              <w:t>Ex 17 (Horeb)</w:t>
            </w:r>
          </w:p>
        </w:tc>
        <w:tc>
          <w:tcPr>
            <w:tcW w:w="1645" w:type="pct"/>
            <w:vAlign w:val="center"/>
          </w:tcPr>
          <w:p w14:paraId="3063A439" w14:textId="188AC4EC" w:rsidR="00913A2D" w:rsidRDefault="00913A2D" w:rsidP="00913A2D">
            <w:pPr>
              <w:pStyle w:val="whitespace-normal"/>
            </w:pPr>
            <w:r>
              <w:rPr>
                <w:b/>
                <w:bCs/>
              </w:rPr>
              <w:t>Num 20 (Kadesch)</w:t>
            </w:r>
          </w:p>
        </w:tc>
        <w:tc>
          <w:tcPr>
            <w:tcW w:w="2105" w:type="pct"/>
            <w:vAlign w:val="center"/>
          </w:tcPr>
          <w:p w14:paraId="799FF77E" w14:textId="1EB1455D" w:rsidR="00913A2D" w:rsidRDefault="00913A2D" w:rsidP="00913A2D">
            <w:pPr>
              <w:pStyle w:val="whitespace-normal"/>
            </w:pPr>
            <w:r>
              <w:rPr>
                <w:b/>
                <w:bCs/>
              </w:rPr>
              <w:t>Christus</w:t>
            </w:r>
          </w:p>
        </w:tc>
      </w:tr>
      <w:tr w:rsidR="00913A2D" w14:paraId="768C35FF" w14:textId="77777777" w:rsidTr="00913A2D">
        <w:tc>
          <w:tcPr>
            <w:tcW w:w="1250" w:type="pct"/>
            <w:vAlign w:val="center"/>
          </w:tcPr>
          <w:p w14:paraId="13884454" w14:textId="07955AF3" w:rsidR="00913A2D" w:rsidRDefault="00913A2D" w:rsidP="00913A2D">
            <w:pPr>
              <w:pStyle w:val="whitespace-normal"/>
            </w:pPr>
            <w:r>
              <w:rPr>
                <w:rStyle w:val="Fett"/>
              </w:rPr>
              <w:t>Schlagen</w:t>
            </w:r>
            <w:r>
              <w:t xml:space="preserve"> befohlen</w:t>
            </w:r>
          </w:p>
        </w:tc>
        <w:tc>
          <w:tcPr>
            <w:tcW w:w="1645" w:type="pct"/>
            <w:vAlign w:val="center"/>
          </w:tcPr>
          <w:p w14:paraId="6DB2137E" w14:textId="07CEC3EB" w:rsidR="00913A2D" w:rsidRDefault="00913A2D" w:rsidP="00913A2D">
            <w:pPr>
              <w:pStyle w:val="whitespace-normal"/>
            </w:pPr>
            <w:r>
              <w:rPr>
                <w:rStyle w:val="Fett"/>
              </w:rPr>
              <w:t>Reden</w:t>
            </w:r>
            <w:r>
              <w:t xml:space="preserve"> befohlen</w:t>
            </w:r>
          </w:p>
        </w:tc>
        <w:tc>
          <w:tcPr>
            <w:tcW w:w="2105" w:type="pct"/>
            <w:vAlign w:val="center"/>
          </w:tcPr>
          <w:p w14:paraId="63A2C5D4" w14:textId="223EC539" w:rsidR="00913A2D" w:rsidRDefault="00913A2D" w:rsidP="00913A2D">
            <w:pPr>
              <w:pStyle w:val="whitespace-normal"/>
            </w:pPr>
            <w:r>
              <w:rPr>
                <w:rStyle w:val="Fett"/>
              </w:rPr>
              <w:t>Einmal</w:t>
            </w:r>
            <w:r>
              <w:t xml:space="preserve"> schlagen = Kreuzigung</w:t>
            </w:r>
          </w:p>
        </w:tc>
      </w:tr>
      <w:tr w:rsidR="00913A2D" w14:paraId="6070599E" w14:textId="77777777" w:rsidTr="00913A2D">
        <w:tc>
          <w:tcPr>
            <w:tcW w:w="1250" w:type="pct"/>
            <w:vAlign w:val="center"/>
          </w:tcPr>
          <w:p w14:paraId="7C006B9F" w14:textId="5D20CDAF" w:rsidR="00913A2D" w:rsidRDefault="00913A2D" w:rsidP="00913A2D">
            <w:pPr>
              <w:pStyle w:val="whitespace-normal"/>
            </w:pPr>
            <w:r>
              <w:t xml:space="preserve">Mose schlägt </w:t>
            </w:r>
            <w:r>
              <w:rPr>
                <w:rStyle w:val="Fett"/>
              </w:rPr>
              <w:t>einmal</w:t>
            </w:r>
          </w:p>
        </w:tc>
        <w:tc>
          <w:tcPr>
            <w:tcW w:w="1645" w:type="pct"/>
            <w:vAlign w:val="center"/>
          </w:tcPr>
          <w:p w14:paraId="372DB9DC" w14:textId="4E7F9255" w:rsidR="00913A2D" w:rsidRDefault="00913A2D" w:rsidP="00913A2D">
            <w:pPr>
              <w:pStyle w:val="whitespace-normal"/>
            </w:pPr>
            <w:r>
              <w:t xml:space="preserve">Mose schlägt </w:t>
            </w:r>
            <w:r>
              <w:rPr>
                <w:rStyle w:val="Fett"/>
              </w:rPr>
              <w:t>zweimal</w:t>
            </w:r>
          </w:p>
        </w:tc>
        <w:tc>
          <w:tcPr>
            <w:tcW w:w="2105" w:type="pct"/>
            <w:vAlign w:val="center"/>
          </w:tcPr>
          <w:p w14:paraId="703FF394" w14:textId="0F1DA5F7" w:rsidR="00913A2D" w:rsidRDefault="00913A2D" w:rsidP="00913A2D">
            <w:pPr>
              <w:pStyle w:val="whitespace-normal"/>
            </w:pPr>
            <w:r>
              <w:t xml:space="preserve">Dann: </w:t>
            </w:r>
            <w:r>
              <w:rPr>
                <w:rStyle w:val="Fett"/>
              </w:rPr>
              <w:t>Sprechen</w:t>
            </w:r>
            <w:r>
              <w:t xml:space="preserve"> = Gebet</w:t>
            </w:r>
          </w:p>
        </w:tc>
      </w:tr>
      <w:tr w:rsidR="00913A2D" w14:paraId="097923F8" w14:textId="77777777" w:rsidTr="00913A2D">
        <w:tc>
          <w:tcPr>
            <w:tcW w:w="1250" w:type="pct"/>
            <w:vAlign w:val="center"/>
          </w:tcPr>
          <w:p w14:paraId="512AEF1E" w14:textId="7F74BB76" w:rsidR="00913A2D" w:rsidRDefault="00913A2D" w:rsidP="00913A2D">
            <w:pPr>
              <w:pStyle w:val="whitespace-normal"/>
            </w:pPr>
            <w:r>
              <w:rPr>
                <w:rStyle w:val="Fett"/>
              </w:rPr>
              <w:t>Gehorsam</w:t>
            </w:r>
          </w:p>
        </w:tc>
        <w:tc>
          <w:tcPr>
            <w:tcW w:w="1645" w:type="pct"/>
            <w:vAlign w:val="center"/>
          </w:tcPr>
          <w:p w14:paraId="7724413D" w14:textId="3C4889B1" w:rsidR="00913A2D" w:rsidRDefault="00913A2D" w:rsidP="00913A2D">
            <w:pPr>
              <w:pStyle w:val="whitespace-normal"/>
            </w:pPr>
            <w:r>
              <w:rPr>
                <w:rStyle w:val="Fett"/>
              </w:rPr>
              <w:t>Ungehorsam</w:t>
            </w:r>
          </w:p>
        </w:tc>
        <w:tc>
          <w:tcPr>
            <w:tcW w:w="2105" w:type="pct"/>
            <w:vAlign w:val="center"/>
          </w:tcPr>
          <w:p w14:paraId="44E7BE37" w14:textId="45D70D76" w:rsidR="00913A2D" w:rsidRDefault="00913A2D" w:rsidP="00913A2D">
            <w:pPr>
              <w:pStyle w:val="whitespace-normal"/>
            </w:pPr>
            <w:r>
              <w:t xml:space="preserve">Opfer darf </w:t>
            </w:r>
            <w:r>
              <w:rPr>
                <w:rStyle w:val="Fett"/>
              </w:rPr>
              <w:t>nicht wiederholt</w:t>
            </w:r>
            <w:r>
              <w:t xml:space="preserve"> werden!</w:t>
            </w:r>
          </w:p>
        </w:tc>
      </w:tr>
      <w:tr w:rsidR="00913A2D" w14:paraId="09FA2168" w14:textId="77777777" w:rsidTr="00913A2D">
        <w:tc>
          <w:tcPr>
            <w:tcW w:w="1250" w:type="pct"/>
            <w:vAlign w:val="center"/>
          </w:tcPr>
          <w:p w14:paraId="0765885C" w14:textId="662C509D" w:rsidR="00913A2D" w:rsidRDefault="00913A2D" w:rsidP="00913A2D">
            <w:pPr>
              <w:pStyle w:val="whitespace-normal"/>
            </w:pPr>
            <w:r>
              <w:t>Wasser kommt</w:t>
            </w:r>
          </w:p>
        </w:tc>
        <w:tc>
          <w:tcPr>
            <w:tcW w:w="1645" w:type="pct"/>
            <w:vAlign w:val="center"/>
          </w:tcPr>
          <w:p w14:paraId="5D2CEBCA" w14:textId="4D1D94B0" w:rsidR="00913A2D" w:rsidRDefault="00913A2D" w:rsidP="00913A2D">
            <w:pPr>
              <w:pStyle w:val="whitespace-normal"/>
            </w:pPr>
            <w:r>
              <w:t>Wasser kommt (trotzdem!)</w:t>
            </w:r>
          </w:p>
        </w:tc>
        <w:tc>
          <w:tcPr>
            <w:tcW w:w="2105" w:type="pct"/>
            <w:vAlign w:val="center"/>
          </w:tcPr>
          <w:p w14:paraId="1F5E9155" w14:textId="02DE153C" w:rsidR="00913A2D" w:rsidRDefault="00913A2D" w:rsidP="00913A2D">
            <w:pPr>
              <w:pStyle w:val="whitespace-normal"/>
            </w:pPr>
            <w:r>
              <w:t>Gnade trotz Ungehorsam</w:t>
            </w:r>
          </w:p>
        </w:tc>
      </w:tr>
    </w:tbl>
    <w:p w14:paraId="7A540A36" w14:textId="77777777" w:rsidR="00913A2D" w:rsidRDefault="00913A2D" w:rsidP="00913A2D">
      <w:pPr>
        <w:pStyle w:val="whitespace-normal"/>
      </w:pPr>
      <w:r>
        <w:rPr>
          <w:rStyle w:val="Fett"/>
        </w:rPr>
        <w:lastRenderedPageBreak/>
        <w:t>→ Moses Fehler:</w:t>
      </w:r>
      <w:r>
        <w:t xml:space="preserve"> Er behandelte den Felsen wie in </w:t>
      </w:r>
      <w:r>
        <w:rPr>
          <w:rStyle w:val="Fett"/>
        </w:rPr>
        <w:t>Ex 17</w:t>
      </w:r>
      <w:r>
        <w:t xml:space="preserve"> (schlagen), aber die </w:t>
      </w:r>
      <w:r>
        <w:rPr>
          <w:rStyle w:val="Fett"/>
        </w:rPr>
        <w:t>Zeit hatte sich geändert</w:t>
      </w:r>
      <w:r>
        <w:t xml:space="preserve"> – jetzt sollte </w:t>
      </w:r>
      <w:r>
        <w:rPr>
          <w:rStyle w:val="Fett"/>
        </w:rPr>
        <w:t>gesprochen</w:t>
      </w:r>
      <w:r>
        <w:t xml:space="preserve"> werden (neue Beziehung)!</w:t>
      </w:r>
    </w:p>
    <w:p w14:paraId="7BDD3908" w14:textId="77777777" w:rsidR="00913A2D" w:rsidRDefault="00913A2D" w:rsidP="00913A2D">
      <w:pPr>
        <w:pStyle w:val="whitespace-normal"/>
      </w:pPr>
      <w:r>
        <w:rPr>
          <w:rStyle w:val="Fett"/>
        </w:rPr>
        <w:t>→ Moses Fehler:</w:t>
      </w:r>
      <w:r>
        <w:t xml:space="preserve"> Er behandelte den Felsen wie in </w:t>
      </w:r>
      <w:r>
        <w:rPr>
          <w:rStyle w:val="Fett"/>
        </w:rPr>
        <w:t>Ex 17</w:t>
      </w:r>
      <w:r>
        <w:t xml:space="preserve"> (schlagen), aber die </w:t>
      </w:r>
      <w:r>
        <w:rPr>
          <w:rStyle w:val="Fett"/>
        </w:rPr>
        <w:t>Zeit hatte sich geändert</w:t>
      </w:r>
      <w:r>
        <w:t xml:space="preserve"> – jetzt sollte </w:t>
      </w:r>
      <w:r>
        <w:rPr>
          <w:rStyle w:val="Fett"/>
        </w:rPr>
        <w:t>gesprochen</w:t>
      </w:r>
      <w:r>
        <w:t xml:space="preserve"> werden (neue Beziehung)!</w:t>
      </w:r>
    </w:p>
    <w:p w14:paraId="70E1F0F3" w14:textId="77777777" w:rsidR="00913A2D" w:rsidRDefault="00F329DD" w:rsidP="00913A2D">
      <w:r>
        <w:pict w14:anchorId="3DBF7901">
          <v:rect id="_x0000_i1702" style="width:0;height:1.5pt" o:hralign="center" o:hrstd="t" o:hr="t" fillcolor="#a0a0a0" stroked="f"/>
        </w:pict>
      </w:r>
    </w:p>
    <w:p w14:paraId="26E57CA9" w14:textId="77777777" w:rsidR="00913A2D" w:rsidRDefault="00913A2D" w:rsidP="00913A2D">
      <w:pPr>
        <w:pStyle w:val="berschrift3"/>
      </w:pPr>
      <w:r>
        <w:rPr>
          <w:rStyle w:val="Fett"/>
          <w:b w:val="0"/>
          <w:bCs w:val="0"/>
        </w:rPr>
        <w:t>Zusammenfassung: Was war Moses Sünde?</w:t>
      </w:r>
    </w:p>
    <w:p w14:paraId="4CEC25E7" w14:textId="22428090" w:rsidR="00913A2D" w:rsidRDefault="00913A2D" w:rsidP="00913A2D">
      <w:pPr>
        <w:pStyle w:val="whitespace-normal"/>
        <w:rPr>
          <w:rStyle w:val="Fett"/>
        </w:rPr>
      </w:pPr>
      <w:r>
        <w:rPr>
          <w:rStyle w:val="Fett"/>
        </w:rPr>
        <w:t>Alle 7 Interpretationen zusammen:</w:t>
      </w:r>
    </w:p>
    <w:tbl>
      <w:tblPr>
        <w:tblStyle w:val="Tabellenraster"/>
        <w:tblW w:w="4994" w:type="pct"/>
        <w:tblLook w:val="04A0" w:firstRow="1" w:lastRow="0" w:firstColumn="1" w:lastColumn="0" w:noHBand="0" w:noVBand="1"/>
      </w:tblPr>
      <w:tblGrid>
        <w:gridCol w:w="2406"/>
        <w:gridCol w:w="3401"/>
        <w:gridCol w:w="3244"/>
      </w:tblGrid>
      <w:tr w:rsidR="00BA414A" w14:paraId="70258C80" w14:textId="77777777" w:rsidTr="00BA414A">
        <w:tc>
          <w:tcPr>
            <w:tcW w:w="1329" w:type="pct"/>
            <w:vAlign w:val="center"/>
          </w:tcPr>
          <w:p w14:paraId="3BA8A430" w14:textId="74BA27A0" w:rsidR="00BA414A" w:rsidRDefault="00BA414A" w:rsidP="00BA414A">
            <w:pPr>
              <w:pStyle w:val="whitespace-normal"/>
            </w:pPr>
            <w:r>
              <w:rPr>
                <w:b/>
                <w:bCs/>
              </w:rPr>
              <w:t>Interpretation</w:t>
            </w:r>
          </w:p>
        </w:tc>
        <w:tc>
          <w:tcPr>
            <w:tcW w:w="1879" w:type="pct"/>
            <w:vAlign w:val="center"/>
          </w:tcPr>
          <w:p w14:paraId="4FAF8C2B" w14:textId="248F2BFF" w:rsidR="00BA414A" w:rsidRDefault="00BA414A" w:rsidP="00BA414A">
            <w:pPr>
              <w:pStyle w:val="whitespace-normal"/>
            </w:pPr>
            <w:r>
              <w:rPr>
                <w:b/>
                <w:bCs/>
              </w:rPr>
              <w:t>Text</w:t>
            </w:r>
          </w:p>
        </w:tc>
        <w:tc>
          <w:tcPr>
            <w:tcW w:w="1792" w:type="pct"/>
            <w:vAlign w:val="center"/>
          </w:tcPr>
          <w:p w14:paraId="1CA13972" w14:textId="2397ADAE" w:rsidR="00BA414A" w:rsidRDefault="00BA414A" w:rsidP="00BA414A">
            <w:pPr>
              <w:pStyle w:val="whitespace-normal"/>
            </w:pPr>
            <w:r>
              <w:rPr>
                <w:b/>
                <w:bCs/>
              </w:rPr>
              <w:t>Bedeutung</w:t>
            </w:r>
          </w:p>
        </w:tc>
      </w:tr>
      <w:tr w:rsidR="00BA414A" w14:paraId="4DE428A1" w14:textId="77777777" w:rsidTr="00BA414A">
        <w:tc>
          <w:tcPr>
            <w:tcW w:w="1329" w:type="pct"/>
            <w:vAlign w:val="center"/>
          </w:tcPr>
          <w:p w14:paraId="6B8BEC47" w14:textId="590C992D" w:rsidR="00BA414A" w:rsidRDefault="00BA414A" w:rsidP="00BA414A">
            <w:pPr>
              <w:pStyle w:val="whitespace-normal"/>
            </w:pPr>
            <w:r>
              <w:rPr>
                <w:rStyle w:val="Fett"/>
              </w:rPr>
              <w:t>1. Ungehorsam</w:t>
            </w:r>
          </w:p>
        </w:tc>
        <w:tc>
          <w:tcPr>
            <w:tcW w:w="1879" w:type="pct"/>
            <w:vAlign w:val="center"/>
          </w:tcPr>
          <w:p w14:paraId="71F461A4" w14:textId="535D453D" w:rsidR="00BA414A" w:rsidRDefault="00BA414A" w:rsidP="00BA414A">
            <w:pPr>
              <w:pStyle w:val="whitespace-normal"/>
            </w:pPr>
            <w:r>
              <w:t>Schlug statt zu reden (V. 11)</w:t>
            </w:r>
          </w:p>
        </w:tc>
        <w:tc>
          <w:tcPr>
            <w:tcW w:w="1792" w:type="pct"/>
            <w:vAlign w:val="center"/>
          </w:tcPr>
          <w:p w14:paraId="4752C88A" w14:textId="3C361299" w:rsidR="00BA414A" w:rsidRDefault="00BA414A" w:rsidP="00BA414A">
            <w:pPr>
              <w:pStyle w:val="whitespace-normal"/>
            </w:pPr>
            <w:r>
              <w:t>Direkte Missachtung des Befehls</w:t>
            </w:r>
          </w:p>
        </w:tc>
      </w:tr>
      <w:tr w:rsidR="00BA414A" w14:paraId="50FA35D2" w14:textId="77777777" w:rsidTr="00BA414A">
        <w:tc>
          <w:tcPr>
            <w:tcW w:w="1329" w:type="pct"/>
            <w:vAlign w:val="center"/>
          </w:tcPr>
          <w:p w14:paraId="44F781CE" w14:textId="01743E78" w:rsidR="00BA414A" w:rsidRDefault="00BA414A" w:rsidP="00BA414A">
            <w:pPr>
              <w:pStyle w:val="whitespace-normal"/>
            </w:pPr>
            <w:r>
              <w:rPr>
                <w:rStyle w:val="Fett"/>
              </w:rPr>
              <w:t>2. Stolz</w:t>
            </w:r>
          </w:p>
        </w:tc>
        <w:tc>
          <w:tcPr>
            <w:tcW w:w="1879" w:type="pct"/>
            <w:vAlign w:val="center"/>
          </w:tcPr>
          <w:p w14:paraId="663B8317" w14:textId="638D2EA0" w:rsidR="00BA414A" w:rsidRDefault="00BA414A" w:rsidP="00BA414A">
            <w:pPr>
              <w:pStyle w:val="whitespace-normal"/>
            </w:pPr>
            <w:r>
              <w:t>"</w:t>
            </w:r>
            <w:r>
              <w:rPr>
                <w:rStyle w:val="Fett"/>
              </w:rPr>
              <w:t>WIR</w:t>
            </w:r>
            <w:r>
              <w:t xml:space="preserve"> werden..." (V. 10)</w:t>
            </w:r>
          </w:p>
        </w:tc>
        <w:tc>
          <w:tcPr>
            <w:tcW w:w="1792" w:type="pct"/>
            <w:vAlign w:val="center"/>
          </w:tcPr>
          <w:p w14:paraId="1420FF98" w14:textId="3A429056" w:rsidR="00BA414A" w:rsidRDefault="00BA414A" w:rsidP="00BA414A">
            <w:pPr>
              <w:pStyle w:val="whitespace-normal"/>
            </w:pPr>
            <w:r>
              <w:t>Nahm Gottes Ehre für sich</w:t>
            </w:r>
          </w:p>
        </w:tc>
      </w:tr>
      <w:tr w:rsidR="00BA414A" w14:paraId="74080FD5" w14:textId="77777777" w:rsidTr="00BA414A">
        <w:tc>
          <w:tcPr>
            <w:tcW w:w="1329" w:type="pct"/>
            <w:vAlign w:val="center"/>
          </w:tcPr>
          <w:p w14:paraId="29EF9DB2" w14:textId="26A7FAE0" w:rsidR="00BA414A" w:rsidRDefault="00BA414A" w:rsidP="00BA414A">
            <w:pPr>
              <w:pStyle w:val="whitespace-normal"/>
            </w:pPr>
            <w:r>
              <w:rPr>
                <w:rStyle w:val="Fett"/>
              </w:rPr>
              <w:t>3. Zorn</w:t>
            </w:r>
          </w:p>
        </w:tc>
        <w:tc>
          <w:tcPr>
            <w:tcW w:w="1879" w:type="pct"/>
            <w:vAlign w:val="center"/>
          </w:tcPr>
          <w:p w14:paraId="6881786C" w14:textId="15502FBB" w:rsidR="00BA414A" w:rsidRDefault="00BA414A" w:rsidP="00BA414A">
            <w:pPr>
              <w:pStyle w:val="whitespace-normal"/>
            </w:pPr>
            <w:r>
              <w:t xml:space="preserve">"Ihr </w:t>
            </w:r>
            <w:r>
              <w:rPr>
                <w:rStyle w:val="Fett"/>
              </w:rPr>
              <w:t>Widerspenstigen</w:t>
            </w:r>
            <w:r>
              <w:t>!" (V. 10)</w:t>
            </w:r>
          </w:p>
        </w:tc>
        <w:tc>
          <w:tcPr>
            <w:tcW w:w="1792" w:type="pct"/>
            <w:vAlign w:val="center"/>
          </w:tcPr>
          <w:p w14:paraId="49F5C15E" w14:textId="4043CFEE" w:rsidR="00BA414A" w:rsidRDefault="00BA414A" w:rsidP="00BA414A">
            <w:pPr>
              <w:pStyle w:val="whitespace-normal"/>
            </w:pPr>
            <w:r>
              <w:t>Verlor Sanftmut/Geduld</w:t>
            </w:r>
          </w:p>
        </w:tc>
      </w:tr>
      <w:tr w:rsidR="00BA414A" w14:paraId="6A238C24" w14:textId="77777777" w:rsidTr="00BA414A">
        <w:tc>
          <w:tcPr>
            <w:tcW w:w="1329" w:type="pct"/>
            <w:vAlign w:val="center"/>
          </w:tcPr>
          <w:p w14:paraId="745452AA" w14:textId="048CC3BE" w:rsidR="00BA414A" w:rsidRDefault="00BA414A" w:rsidP="00BA414A">
            <w:pPr>
              <w:pStyle w:val="whitespace-normal"/>
            </w:pPr>
            <w:r>
              <w:rPr>
                <w:rStyle w:val="Fett"/>
              </w:rPr>
              <w:t>4. Zweifel</w:t>
            </w:r>
          </w:p>
        </w:tc>
        <w:tc>
          <w:tcPr>
            <w:tcW w:w="1879" w:type="pct"/>
            <w:vAlign w:val="center"/>
          </w:tcPr>
          <w:p w14:paraId="61F4405D" w14:textId="273E012E" w:rsidR="00BA414A" w:rsidRDefault="00BA414A" w:rsidP="00BA414A">
            <w:pPr>
              <w:pStyle w:val="whitespace-normal"/>
            </w:pPr>
            <w:r>
              <w:t>"</w:t>
            </w:r>
            <w:r>
              <w:rPr>
                <w:rStyle w:val="Fett"/>
              </w:rPr>
              <w:t>Nicht geglaubt</w:t>
            </w:r>
            <w:r>
              <w:t>" (V. 12)</w:t>
            </w:r>
          </w:p>
        </w:tc>
        <w:tc>
          <w:tcPr>
            <w:tcW w:w="1792" w:type="pct"/>
            <w:vAlign w:val="center"/>
          </w:tcPr>
          <w:p w14:paraId="72560C52" w14:textId="10BFFB2F" w:rsidR="00BA414A" w:rsidRDefault="00BA414A" w:rsidP="00BA414A">
            <w:pPr>
              <w:pStyle w:val="whitespace-normal"/>
            </w:pPr>
            <w:r>
              <w:t>Vertraute nicht auf Gottes Methode</w:t>
            </w:r>
          </w:p>
        </w:tc>
      </w:tr>
      <w:tr w:rsidR="00BA414A" w14:paraId="45D426E9" w14:textId="77777777" w:rsidTr="00BA414A">
        <w:tc>
          <w:tcPr>
            <w:tcW w:w="1329" w:type="pct"/>
            <w:vAlign w:val="center"/>
          </w:tcPr>
          <w:p w14:paraId="70C41FB6" w14:textId="3013F9C4" w:rsidR="00BA414A" w:rsidRDefault="00BA414A" w:rsidP="00BA414A">
            <w:pPr>
              <w:pStyle w:val="whitespace-normal"/>
            </w:pPr>
            <w:r>
              <w:rPr>
                <w:rStyle w:val="Fett"/>
              </w:rPr>
              <w:t>5. Ungeduld</w:t>
            </w:r>
          </w:p>
        </w:tc>
        <w:tc>
          <w:tcPr>
            <w:tcW w:w="1879" w:type="pct"/>
            <w:vAlign w:val="center"/>
          </w:tcPr>
          <w:p w14:paraId="2F0172C4" w14:textId="096196D1" w:rsidR="00BA414A" w:rsidRDefault="00BA414A" w:rsidP="00BA414A">
            <w:pPr>
              <w:pStyle w:val="whitespace-normal"/>
            </w:pPr>
            <w:r>
              <w:t xml:space="preserve">Schlug </w:t>
            </w:r>
            <w:r>
              <w:rPr>
                <w:rStyle w:val="Fett"/>
              </w:rPr>
              <w:t>zweimal</w:t>
            </w:r>
            <w:r>
              <w:t xml:space="preserve"> (V. 11)</w:t>
            </w:r>
          </w:p>
        </w:tc>
        <w:tc>
          <w:tcPr>
            <w:tcW w:w="1792" w:type="pct"/>
            <w:vAlign w:val="center"/>
          </w:tcPr>
          <w:p w14:paraId="659CA789" w14:textId="7FE395C1" w:rsidR="00BA414A" w:rsidRDefault="00BA414A" w:rsidP="00BA414A">
            <w:pPr>
              <w:pStyle w:val="whitespace-normal"/>
            </w:pPr>
            <w:r>
              <w:t>Menschliches Mühen statt Vertrauen</w:t>
            </w:r>
          </w:p>
        </w:tc>
      </w:tr>
      <w:tr w:rsidR="00BA414A" w14:paraId="0B8CA894" w14:textId="77777777" w:rsidTr="00BA414A">
        <w:tc>
          <w:tcPr>
            <w:tcW w:w="1329" w:type="pct"/>
            <w:vAlign w:val="center"/>
          </w:tcPr>
          <w:p w14:paraId="76E580F3" w14:textId="58F51867" w:rsidR="00BA414A" w:rsidRDefault="00BA414A" w:rsidP="00BA414A">
            <w:pPr>
              <w:pStyle w:val="whitespace-normal"/>
            </w:pPr>
            <w:r>
              <w:rPr>
                <w:rStyle w:val="Fett"/>
              </w:rPr>
              <w:t>6. Falsche Typologie</w:t>
            </w:r>
          </w:p>
        </w:tc>
        <w:tc>
          <w:tcPr>
            <w:tcW w:w="1879" w:type="pct"/>
            <w:vAlign w:val="center"/>
          </w:tcPr>
          <w:p w14:paraId="5D90CEFB" w14:textId="4DB61B08" w:rsidR="00BA414A" w:rsidRDefault="00BA414A" w:rsidP="00BA414A">
            <w:pPr>
              <w:pStyle w:val="whitespace-normal"/>
            </w:pPr>
            <w:r>
              <w:t>Schlagen (alt) statt Reden (neu)</w:t>
            </w:r>
          </w:p>
        </w:tc>
        <w:tc>
          <w:tcPr>
            <w:tcW w:w="1792" w:type="pct"/>
            <w:vAlign w:val="center"/>
          </w:tcPr>
          <w:p w14:paraId="176151D2" w14:textId="5E37E629" w:rsidR="00BA414A" w:rsidRDefault="00BA414A" w:rsidP="00BA414A">
            <w:pPr>
              <w:pStyle w:val="whitespace-normal"/>
            </w:pPr>
            <w:r>
              <w:t>Verfehlte den neuen Bund</w:t>
            </w:r>
          </w:p>
        </w:tc>
      </w:tr>
      <w:tr w:rsidR="00BA414A" w14:paraId="70A56592" w14:textId="77777777" w:rsidTr="00BA414A">
        <w:tc>
          <w:tcPr>
            <w:tcW w:w="1329" w:type="pct"/>
            <w:vAlign w:val="center"/>
          </w:tcPr>
          <w:p w14:paraId="2E2BED97" w14:textId="6DDE0015" w:rsidR="00BA414A" w:rsidRDefault="00BA414A" w:rsidP="00BA414A">
            <w:pPr>
              <w:pStyle w:val="whitespace-normal"/>
            </w:pPr>
            <w:r>
              <w:rPr>
                <w:rStyle w:val="Fett"/>
              </w:rPr>
              <w:t>7. Usurpation</w:t>
            </w:r>
          </w:p>
        </w:tc>
        <w:tc>
          <w:tcPr>
            <w:tcW w:w="1879" w:type="pct"/>
            <w:vAlign w:val="center"/>
          </w:tcPr>
          <w:p w14:paraId="664679B1" w14:textId="78B614BF" w:rsidR="00BA414A" w:rsidRDefault="00BA414A" w:rsidP="00BA414A">
            <w:pPr>
              <w:pStyle w:val="whitespace-normal"/>
            </w:pPr>
            <w:r>
              <w:t>Machte sich zum Mittler</w:t>
            </w:r>
          </w:p>
        </w:tc>
        <w:tc>
          <w:tcPr>
            <w:tcW w:w="1792" w:type="pct"/>
            <w:vAlign w:val="center"/>
          </w:tcPr>
          <w:p w14:paraId="38B77236" w14:textId="7C46E289" w:rsidR="00BA414A" w:rsidRDefault="00BA414A" w:rsidP="00BA414A">
            <w:pPr>
              <w:pStyle w:val="whitespace-normal"/>
            </w:pPr>
            <w:r>
              <w:t>Nahm Christi Rolle</w:t>
            </w:r>
          </w:p>
        </w:tc>
      </w:tr>
    </w:tbl>
    <w:p w14:paraId="71268069" w14:textId="77777777" w:rsidR="00913A2D" w:rsidRDefault="00913A2D" w:rsidP="00913A2D">
      <w:pPr>
        <w:pStyle w:val="whitespace-normal"/>
      </w:pPr>
      <w:r>
        <w:rPr>
          <w:rStyle w:val="Fett"/>
        </w:rPr>
        <w:t>→ Wahrscheinlich war es eine Kombination aller Faktoren!</w:t>
      </w:r>
    </w:p>
    <w:p w14:paraId="6D192E8F" w14:textId="77777777" w:rsidR="00913A2D" w:rsidRDefault="00F329DD" w:rsidP="00913A2D">
      <w:r>
        <w:pict w14:anchorId="7591F7D2">
          <v:rect id="_x0000_i1703" style="width:0;height:1.5pt" o:hralign="center" o:hrstd="t" o:hr="t" fillcolor="#a0a0a0" stroked="f"/>
        </w:pict>
      </w:r>
    </w:p>
    <w:p w14:paraId="6ECA2CB3" w14:textId="77777777" w:rsidR="00864465" w:rsidRDefault="00864465" w:rsidP="00864465">
      <w:pPr>
        <w:pStyle w:val="whitespace-normal"/>
      </w:pPr>
      <w:r>
        <w:rPr>
          <w:rStyle w:val="Fett"/>
        </w:rPr>
        <w:t>Gottes Urteil (V. 12):</w:t>
      </w:r>
    </w:p>
    <w:p w14:paraId="5D21B767" w14:textId="77777777" w:rsidR="00864465" w:rsidRDefault="00864465" w:rsidP="00864465">
      <w:pPr>
        <w:pStyle w:val="whitespace-normal"/>
      </w:pPr>
      <w:r>
        <w:rPr>
          <w:rtl/>
        </w:rPr>
        <w:t xml:space="preserve">יַעַן </w:t>
      </w:r>
      <w:r>
        <w:rPr>
          <w:rStyle w:val="Fett"/>
          <w:rtl/>
        </w:rPr>
        <w:t>לֹא־הֶאֱמַנְתֶּם בִּי</w:t>
      </w:r>
      <w:r>
        <w:rPr>
          <w:rtl/>
        </w:rPr>
        <w:t xml:space="preserve"> לְהַקְדִּישֵׁנִי לְעֵינֵי בְּנֵי יִשְׂרָאֵל</w:t>
      </w:r>
      <w:r>
        <w:br/>
        <w:t xml:space="preserve">"Weil ihr </w:t>
      </w:r>
      <w:r>
        <w:rPr>
          <w:rStyle w:val="Fett"/>
        </w:rPr>
        <w:t>nicht an mich geglaubt</w:t>
      </w:r>
      <w:r>
        <w:t xml:space="preserve"> habt, </w:t>
      </w:r>
      <w:r>
        <w:rPr>
          <w:rStyle w:val="Fett"/>
        </w:rPr>
        <w:t>mich zu heiligen</w:t>
      </w:r>
      <w:r>
        <w:t xml:space="preserve"> vor den Augen der Söhne Israels"</w:t>
      </w:r>
    </w:p>
    <w:p w14:paraId="7185C54E" w14:textId="77777777" w:rsidR="00864465" w:rsidRDefault="00864465" w:rsidP="00864465">
      <w:pPr>
        <w:pStyle w:val="whitespace-normal"/>
      </w:pPr>
      <w:r>
        <w:rPr>
          <w:rStyle w:val="Fett"/>
        </w:rPr>
        <w:t>Die Kernaussage:</w:t>
      </w:r>
    </w:p>
    <w:p w14:paraId="33EF27D7" w14:textId="77777777" w:rsidR="00864465" w:rsidRDefault="00864465" w:rsidP="00B358B7">
      <w:pPr>
        <w:pStyle w:val="whitespace-normal"/>
        <w:numPr>
          <w:ilvl w:val="0"/>
          <w:numId w:val="201"/>
        </w:numPr>
      </w:pPr>
      <w:r>
        <w:rPr>
          <w:rStyle w:val="Fett"/>
          <w:rtl/>
        </w:rPr>
        <w:t>לֹא־הֶאֱמַנְתֶּם בִּי</w:t>
      </w:r>
      <w:r>
        <w:rPr>
          <w:rtl/>
        </w:rPr>
        <w:t xml:space="preserve"> </w:t>
      </w:r>
      <w:r>
        <w:t xml:space="preserve">= "Nicht an mich geglaubt" → </w:t>
      </w:r>
      <w:r>
        <w:rPr>
          <w:rStyle w:val="Fett"/>
        </w:rPr>
        <w:t>Mangel an Vertrauen</w:t>
      </w:r>
    </w:p>
    <w:p w14:paraId="78D82929" w14:textId="77777777" w:rsidR="00864465" w:rsidRDefault="00864465" w:rsidP="00B358B7">
      <w:pPr>
        <w:pStyle w:val="whitespace-normal"/>
        <w:numPr>
          <w:ilvl w:val="0"/>
          <w:numId w:val="201"/>
        </w:numPr>
      </w:pPr>
      <w:r>
        <w:rPr>
          <w:rStyle w:val="Fett"/>
          <w:rtl/>
        </w:rPr>
        <w:t>לְהַקְדִּישֵׁנִי</w:t>
      </w:r>
      <w:r>
        <w:rPr>
          <w:rtl/>
        </w:rPr>
        <w:t xml:space="preserve"> </w:t>
      </w:r>
      <w:r>
        <w:t xml:space="preserve">= "Mich zu heiligen" → </w:t>
      </w:r>
      <w:r>
        <w:rPr>
          <w:rStyle w:val="Fett"/>
        </w:rPr>
        <w:t>Versäumnis, Gottes Heiligkeit zu zeigen</w:t>
      </w:r>
    </w:p>
    <w:p w14:paraId="17B003BB" w14:textId="77777777" w:rsidR="00864465" w:rsidRDefault="00864465" w:rsidP="00B358B7">
      <w:pPr>
        <w:pStyle w:val="whitespace-normal"/>
        <w:numPr>
          <w:ilvl w:val="0"/>
          <w:numId w:val="201"/>
        </w:numPr>
      </w:pPr>
      <w:r>
        <w:rPr>
          <w:rStyle w:val="Fett"/>
          <w:rtl/>
        </w:rPr>
        <w:t>לְעֵינֵי בְּנֵי יִשְׂרָאֵל</w:t>
      </w:r>
      <w:r>
        <w:rPr>
          <w:rtl/>
        </w:rPr>
        <w:t xml:space="preserve"> </w:t>
      </w:r>
      <w:r>
        <w:t xml:space="preserve">= "Vor den Augen der Söhne Israels" → </w:t>
      </w:r>
      <w:r>
        <w:rPr>
          <w:rStyle w:val="Fett"/>
        </w:rPr>
        <w:t>Öffentliches Versagen</w:t>
      </w:r>
    </w:p>
    <w:p w14:paraId="568BDDE5" w14:textId="77777777" w:rsidR="00864465" w:rsidRDefault="00864465" w:rsidP="00864465">
      <w:pPr>
        <w:pStyle w:val="whitespace-normal"/>
      </w:pPr>
      <w:r>
        <w:rPr>
          <w:rStyle w:val="Fett"/>
        </w:rPr>
        <w:t>→ Moses Sünde war nicht eine Handlung, sondern ein Herzenszustand: Er versäumte es, Gottes Heiligkeit, Gnade und Genüge öffentlich zu demonstrieren!</w:t>
      </w:r>
    </w:p>
    <w:p w14:paraId="4ECC868A" w14:textId="77777777" w:rsidR="00864465" w:rsidRDefault="00F329DD" w:rsidP="00864465">
      <w:r>
        <w:pict w14:anchorId="5BD3E667">
          <v:rect id="_x0000_i1704" style="width:0;height:1.5pt" o:hralign="center" o:hrstd="t" o:hr="t" fillcolor="#a0a0a0" stroked="f"/>
        </w:pict>
      </w:r>
    </w:p>
    <w:p w14:paraId="175228A3" w14:textId="77777777" w:rsidR="00864465" w:rsidRDefault="00864465" w:rsidP="00864465">
      <w:pPr>
        <w:pStyle w:val="berschrift3"/>
      </w:pPr>
      <w:r>
        <w:rPr>
          <w:rStyle w:val="Fett"/>
          <w:b w:val="0"/>
          <w:bCs w:val="0"/>
        </w:rPr>
        <w:t>9. Warum so HARTES Urteil für einen "kleinen" Fehler?</w:t>
      </w:r>
    </w:p>
    <w:p w14:paraId="45EDBA26" w14:textId="77777777" w:rsidR="00864465" w:rsidRDefault="00864465" w:rsidP="00864465">
      <w:pPr>
        <w:pStyle w:val="whitespace-normal"/>
      </w:pPr>
      <w:r>
        <w:rPr>
          <w:rStyle w:val="Fett"/>
        </w:rPr>
        <w:t>Die Frage:</w:t>
      </w:r>
    </w:p>
    <w:p w14:paraId="4C0B21D7" w14:textId="77777777" w:rsidR="00864465" w:rsidRDefault="00864465" w:rsidP="00864465">
      <w:pPr>
        <w:pStyle w:val="whitespace-normal"/>
      </w:pPr>
      <w:r>
        <w:t xml:space="preserve">Mose hatte </w:t>
      </w:r>
      <w:r>
        <w:rPr>
          <w:rStyle w:val="Fett"/>
        </w:rPr>
        <w:t>40 Jahre lang</w:t>
      </w:r>
      <w:r>
        <w:t xml:space="preserve"> treu gedient:</w:t>
      </w:r>
    </w:p>
    <w:p w14:paraId="621E0D5F" w14:textId="77777777" w:rsidR="00864465" w:rsidRDefault="00864465" w:rsidP="00B358B7">
      <w:pPr>
        <w:pStyle w:val="whitespace-normal"/>
        <w:numPr>
          <w:ilvl w:val="0"/>
          <w:numId w:val="202"/>
        </w:numPr>
      </w:pPr>
      <w:r>
        <w:lastRenderedPageBreak/>
        <w:t>Befreite Israel aus Ägypten</w:t>
      </w:r>
    </w:p>
    <w:p w14:paraId="35F3CE4D" w14:textId="0B604F79" w:rsidR="00864465" w:rsidRDefault="00864465" w:rsidP="00B358B7">
      <w:pPr>
        <w:pStyle w:val="whitespace-normal"/>
        <w:numPr>
          <w:ilvl w:val="0"/>
          <w:numId w:val="202"/>
        </w:numPr>
      </w:pPr>
      <w:r>
        <w:t xml:space="preserve">Empfing die </w:t>
      </w:r>
      <w:r w:rsidR="00525AC4">
        <w:t>Torah</w:t>
      </w:r>
      <w:r>
        <w:t xml:space="preserve"> am Sinai</w:t>
      </w:r>
    </w:p>
    <w:p w14:paraId="653E432D" w14:textId="77777777" w:rsidR="00864465" w:rsidRDefault="00864465" w:rsidP="00B358B7">
      <w:pPr>
        <w:pStyle w:val="whitespace-normal"/>
        <w:numPr>
          <w:ilvl w:val="0"/>
          <w:numId w:val="202"/>
        </w:numPr>
      </w:pPr>
      <w:r>
        <w:t>Fürbitte unzählige Male (Ex 32,11-14; Num 14,13-19)</w:t>
      </w:r>
    </w:p>
    <w:p w14:paraId="20A40212" w14:textId="77777777" w:rsidR="00864465" w:rsidRDefault="00864465" w:rsidP="00B358B7">
      <w:pPr>
        <w:pStyle w:val="whitespace-normal"/>
        <w:numPr>
          <w:ilvl w:val="0"/>
          <w:numId w:val="202"/>
        </w:numPr>
      </w:pPr>
      <w:r>
        <w:t>Ertrug das Murren des Volkes</w:t>
      </w:r>
    </w:p>
    <w:p w14:paraId="4EF03585" w14:textId="77777777" w:rsidR="00864465" w:rsidRDefault="00864465" w:rsidP="00864465">
      <w:pPr>
        <w:pStyle w:val="whitespace-normal"/>
      </w:pPr>
      <w:r>
        <w:rPr>
          <w:rStyle w:val="Fett"/>
        </w:rPr>
        <w:t>EINE einzige Verfehlung</w:t>
      </w:r>
      <w:r>
        <w:t xml:space="preserve"> → und er darf </w:t>
      </w:r>
      <w:r>
        <w:rPr>
          <w:rStyle w:val="Fett"/>
        </w:rPr>
        <w:t>nicht</w:t>
      </w:r>
      <w:r>
        <w:t xml:space="preserve"> ins verheißene Land?</w:t>
      </w:r>
    </w:p>
    <w:p w14:paraId="70420601" w14:textId="77777777" w:rsidR="00864465" w:rsidRDefault="00864465" w:rsidP="00864465">
      <w:pPr>
        <w:pStyle w:val="whitespace-normal"/>
      </w:pPr>
      <w:r>
        <w:rPr>
          <w:rStyle w:val="Fett"/>
        </w:rPr>
        <w:t>→ Ist das nicht zu hart?</w:t>
      </w:r>
    </w:p>
    <w:p w14:paraId="2FED5AA3" w14:textId="77777777" w:rsidR="00864465" w:rsidRDefault="00F329DD" w:rsidP="00864465">
      <w:r>
        <w:pict w14:anchorId="6B3AF5AD">
          <v:rect id="_x0000_i1705" style="width:0;height:1.5pt" o:hralign="center" o:hrstd="t" o:hr="t" fillcolor="#a0a0a0" stroked="f"/>
        </w:pict>
      </w:r>
    </w:p>
    <w:p w14:paraId="3FBAE5DF" w14:textId="77777777" w:rsidR="00864465" w:rsidRDefault="00864465" w:rsidP="00864465">
      <w:pPr>
        <w:pStyle w:val="whitespace-normal"/>
      </w:pPr>
      <w:r>
        <w:rPr>
          <w:rStyle w:val="Fett"/>
        </w:rPr>
        <w:t>Antworten:</w:t>
      </w:r>
    </w:p>
    <w:p w14:paraId="001180DF" w14:textId="77777777" w:rsidR="00864465" w:rsidRDefault="00864465" w:rsidP="00864465">
      <w:pPr>
        <w:pStyle w:val="berschrift4"/>
      </w:pPr>
      <w:r>
        <w:rPr>
          <w:rStyle w:val="Fett"/>
          <w:b w:val="0"/>
          <w:bCs w:val="0"/>
        </w:rPr>
        <w:t>A. Höhere Position = Höhere Verantwortung</w:t>
      </w:r>
    </w:p>
    <w:p w14:paraId="3A898ADB" w14:textId="77777777" w:rsidR="00864465" w:rsidRDefault="00864465" w:rsidP="00864465">
      <w:pPr>
        <w:pStyle w:val="whitespace-normal"/>
      </w:pPr>
      <w:r>
        <w:rPr>
          <w:rStyle w:val="Fett"/>
        </w:rPr>
        <w:t>Jakobus 3,1:</w:t>
      </w:r>
    </w:p>
    <w:p w14:paraId="49A0D4F7" w14:textId="77777777" w:rsidR="00864465" w:rsidRDefault="00864465" w:rsidP="00864465">
      <w:pPr>
        <w:pStyle w:val="whitespace-normal"/>
      </w:pPr>
      <w:r>
        <w:t xml:space="preserve">Μὴ πολλοὶ διδάσκαλοι γίνεσθε, ἀδελφοί μου, εἰδότες ὅτι </w:t>
      </w:r>
      <w:r>
        <w:rPr>
          <w:rStyle w:val="Fett"/>
        </w:rPr>
        <w:t>μεῖζον κρίμα λημψόμεθα</w:t>
      </w:r>
      <w:r>
        <w:br/>
        <w:t xml:space="preserve">"Werdet nicht viele Lehrer, meine Brüder, da ihr wisst, dass wir </w:t>
      </w:r>
      <w:r>
        <w:rPr>
          <w:rStyle w:val="Fett"/>
        </w:rPr>
        <w:t>ein strengeres Urteil</w:t>
      </w:r>
      <w:r>
        <w:t xml:space="preserve"> empfangen werden"</w:t>
      </w:r>
    </w:p>
    <w:p w14:paraId="3A16F44D" w14:textId="77777777" w:rsidR="00864465" w:rsidRDefault="00864465" w:rsidP="00864465">
      <w:pPr>
        <w:pStyle w:val="whitespace-normal"/>
      </w:pPr>
      <w:r>
        <w:rPr>
          <w:rStyle w:val="Fett"/>
        </w:rPr>
        <w:t>→ Führer werden strenger beurteilt als das Volk!</w:t>
      </w:r>
    </w:p>
    <w:p w14:paraId="1DA70F62" w14:textId="77777777" w:rsidR="00864465" w:rsidRDefault="00864465" w:rsidP="00864465">
      <w:pPr>
        <w:pStyle w:val="whitespace-normal"/>
      </w:pPr>
      <w:r>
        <w:rPr>
          <w:rStyle w:val="Fett"/>
        </w:rPr>
        <w:t>Lukas 12,48:</w:t>
      </w:r>
    </w:p>
    <w:p w14:paraId="2D05DB2D" w14:textId="77777777" w:rsidR="00864465" w:rsidRDefault="00864465" w:rsidP="00864465">
      <w:pPr>
        <w:pStyle w:val="whitespace-normal"/>
      </w:pPr>
      <w:r>
        <w:t xml:space="preserve">παντὶ δὲ ᾧ ἐδόθη πολύ, </w:t>
      </w:r>
      <w:r>
        <w:rPr>
          <w:rStyle w:val="Fett"/>
        </w:rPr>
        <w:t>πολὺ ζητηθήσεται</w:t>
      </w:r>
      <w:r>
        <w:t xml:space="preserve"> παρ' αὐτοῦ</w:t>
      </w:r>
      <w:r>
        <w:br/>
        <w:t xml:space="preserve">"Wem aber </w:t>
      </w:r>
      <w:r>
        <w:rPr>
          <w:rStyle w:val="Fett"/>
        </w:rPr>
        <w:t>viel gegeben</w:t>
      </w:r>
      <w:r>
        <w:t xml:space="preserve"> ist, bei dem wird man </w:t>
      </w:r>
      <w:r>
        <w:rPr>
          <w:rStyle w:val="Fett"/>
        </w:rPr>
        <w:t>viel suchen</w:t>
      </w:r>
      <w:r>
        <w:t>"</w:t>
      </w:r>
    </w:p>
    <w:p w14:paraId="54B60624" w14:textId="77777777" w:rsidR="00864465" w:rsidRDefault="00864465" w:rsidP="00864465">
      <w:pPr>
        <w:pStyle w:val="whitespace-normal"/>
      </w:pPr>
      <w:r>
        <w:rPr>
          <w:rStyle w:val="Fett"/>
        </w:rPr>
        <w:t>→ Mose erhielt mehr (direkter Kontakt mit Gott) → wird mehr gefordert!</w:t>
      </w:r>
    </w:p>
    <w:p w14:paraId="66168724" w14:textId="77777777" w:rsidR="00864465" w:rsidRDefault="00F329DD" w:rsidP="00864465">
      <w:r>
        <w:pict w14:anchorId="4FEFDC24">
          <v:rect id="_x0000_i1706" style="width:0;height:1.5pt" o:hralign="center" o:hrstd="t" o:hr="t" fillcolor="#a0a0a0" stroked="f"/>
        </w:pict>
      </w:r>
    </w:p>
    <w:p w14:paraId="094B57C8" w14:textId="77777777" w:rsidR="00864465" w:rsidRDefault="00864465" w:rsidP="00864465">
      <w:pPr>
        <w:pStyle w:val="berschrift4"/>
      </w:pPr>
      <w:r>
        <w:rPr>
          <w:rStyle w:val="Fett"/>
          <w:b w:val="0"/>
          <w:bCs w:val="0"/>
        </w:rPr>
        <w:t>B. Öffentliche Sünde = Öffentliche Konsequenz</w:t>
      </w:r>
    </w:p>
    <w:p w14:paraId="2A73561F" w14:textId="77777777" w:rsidR="00864465" w:rsidRDefault="00864465" w:rsidP="00864465">
      <w:pPr>
        <w:pStyle w:val="whitespace-normal"/>
      </w:pPr>
      <w:r>
        <w:rPr>
          <w:rStyle w:val="Fett"/>
        </w:rPr>
        <w:t>Numeri 20,12:</w:t>
      </w:r>
    </w:p>
    <w:p w14:paraId="25BB9B29" w14:textId="77777777" w:rsidR="00864465" w:rsidRDefault="00864465" w:rsidP="00864465">
      <w:pPr>
        <w:pStyle w:val="whitespace-normal"/>
      </w:pPr>
      <w:r>
        <w:rPr>
          <w:rStyle w:val="Fett"/>
          <w:rtl/>
        </w:rPr>
        <w:t>לְעֵינֵי</w:t>
      </w:r>
      <w:r>
        <w:rPr>
          <w:rtl/>
        </w:rPr>
        <w:t xml:space="preserve"> בְּנֵי יִשְׂרָאֵל</w:t>
      </w:r>
      <w:r>
        <w:br/>
        <w:t>"</w:t>
      </w:r>
      <w:r>
        <w:rPr>
          <w:rStyle w:val="Fett"/>
        </w:rPr>
        <w:t>Vor den Augen</w:t>
      </w:r>
      <w:r>
        <w:t xml:space="preserve"> der Söhne Israels"</w:t>
      </w:r>
    </w:p>
    <w:p w14:paraId="293C3AB4" w14:textId="77777777" w:rsidR="00864465" w:rsidRDefault="00864465" w:rsidP="00864465">
      <w:pPr>
        <w:pStyle w:val="whitespace-normal"/>
      </w:pPr>
      <w:r>
        <w:rPr>
          <w:rStyle w:val="Fett"/>
        </w:rPr>
        <w:t>→ Moses Fehler war ÖFFENTLICH → die Konsequenz muss auch ÖFFENTLICH sein!</w:t>
      </w:r>
    </w:p>
    <w:p w14:paraId="06A4D7D2" w14:textId="77777777" w:rsidR="00864465" w:rsidRDefault="00864465" w:rsidP="00864465">
      <w:pPr>
        <w:pStyle w:val="whitespace-normal"/>
      </w:pPr>
      <w:r>
        <w:rPr>
          <w:rStyle w:val="Fett"/>
        </w:rPr>
        <w:t>Warum?</w:t>
      </w:r>
    </w:p>
    <w:p w14:paraId="7CF85140" w14:textId="77777777" w:rsidR="00864465" w:rsidRDefault="00864465" w:rsidP="00B358B7">
      <w:pPr>
        <w:pStyle w:val="whitespace-normal"/>
        <w:numPr>
          <w:ilvl w:val="0"/>
          <w:numId w:val="203"/>
        </w:numPr>
      </w:pPr>
      <w:r>
        <w:t xml:space="preserve">Wenn Mose </w:t>
      </w:r>
      <w:r>
        <w:rPr>
          <w:rStyle w:val="Fett"/>
        </w:rPr>
        <w:t>ungestraft</w:t>
      </w:r>
      <w:r>
        <w:t xml:space="preserve"> bliebe → würde das Volk denken: "Gott ist nicht heilig"</w:t>
      </w:r>
    </w:p>
    <w:p w14:paraId="5D520CC5" w14:textId="77777777" w:rsidR="00864465" w:rsidRDefault="00864465" w:rsidP="00B358B7">
      <w:pPr>
        <w:pStyle w:val="whitespace-normal"/>
        <w:numPr>
          <w:ilvl w:val="0"/>
          <w:numId w:val="203"/>
        </w:numPr>
      </w:pPr>
      <w:r>
        <w:t xml:space="preserve">Gottes </w:t>
      </w:r>
      <w:r>
        <w:rPr>
          <w:rStyle w:val="Fett"/>
        </w:rPr>
        <w:t>Heiligkeit</w:t>
      </w:r>
      <w:r>
        <w:t xml:space="preserve"> muss gewahrt bleiben → auch auf Kosten seines treuen Dieners</w:t>
      </w:r>
    </w:p>
    <w:p w14:paraId="2FC0B99C" w14:textId="77777777" w:rsidR="00864465" w:rsidRDefault="00864465" w:rsidP="00864465">
      <w:pPr>
        <w:pStyle w:val="whitespace-normal"/>
      </w:pPr>
      <w:r>
        <w:rPr>
          <w:rStyle w:val="Fett"/>
        </w:rPr>
        <w:t>1 Petrus 4,17:</w:t>
      </w:r>
    </w:p>
    <w:p w14:paraId="0F9D598F" w14:textId="77777777" w:rsidR="00864465" w:rsidRDefault="00864465" w:rsidP="00864465">
      <w:pPr>
        <w:pStyle w:val="whitespace-normal"/>
      </w:pPr>
      <w:r>
        <w:lastRenderedPageBreak/>
        <w:t xml:space="preserve">ὅτι ὁ καιρὸς τοῦ ἄρξασθαι </w:t>
      </w:r>
      <w:r>
        <w:rPr>
          <w:rStyle w:val="Fett"/>
        </w:rPr>
        <w:t>τὸ κρίμα ἀπὸ τοῦ οἴκου τοῦ θεοῦ</w:t>
      </w:r>
      <w:r>
        <w:br/>
        <w:t xml:space="preserve">"Denn die Zeit ist gekommen, dass </w:t>
      </w:r>
      <w:r>
        <w:rPr>
          <w:rStyle w:val="Fett"/>
        </w:rPr>
        <w:t>das Gericht anfange am Haus Gottes</w:t>
      </w:r>
      <w:r>
        <w:t>"</w:t>
      </w:r>
    </w:p>
    <w:p w14:paraId="22818C28" w14:textId="77777777" w:rsidR="00864465" w:rsidRDefault="00864465" w:rsidP="00864465">
      <w:pPr>
        <w:pStyle w:val="whitespace-normal"/>
      </w:pPr>
      <w:r>
        <w:rPr>
          <w:rStyle w:val="Fett"/>
        </w:rPr>
        <w:t>→ Gericht beginnt bei den Führern, nicht beim Volk!</w:t>
      </w:r>
    </w:p>
    <w:p w14:paraId="5EEA9FC3" w14:textId="77777777" w:rsidR="00864465" w:rsidRDefault="00F329DD" w:rsidP="00864465">
      <w:r>
        <w:pict w14:anchorId="3FDD394E">
          <v:rect id="_x0000_i1707" style="width:0;height:1.5pt" o:hralign="center" o:hrstd="t" o:hr="t" fillcolor="#a0a0a0" stroked="f"/>
        </w:pict>
      </w:r>
    </w:p>
    <w:p w14:paraId="69FFF5BF" w14:textId="77777777" w:rsidR="00864465" w:rsidRDefault="00864465" w:rsidP="00864465">
      <w:pPr>
        <w:pStyle w:val="berschrift4"/>
      </w:pPr>
      <w:r>
        <w:rPr>
          <w:rStyle w:val="Fett"/>
          <w:b w:val="0"/>
          <w:bCs w:val="0"/>
        </w:rPr>
        <w:t>C. Typos Christi: Mose bringt zum Land, aber geht nicht hinein</w:t>
      </w:r>
    </w:p>
    <w:p w14:paraId="1B838E89" w14:textId="30E1E267" w:rsidR="00864465" w:rsidRDefault="00864465" w:rsidP="00864465">
      <w:pPr>
        <w:pStyle w:val="whitespace-normal"/>
        <w:rPr>
          <w:rStyle w:val="Fett"/>
        </w:rPr>
      </w:pPr>
      <w:r>
        <w:rPr>
          <w:rStyle w:val="Fett"/>
        </w:rPr>
        <w:t>Theologische Parallele:</w:t>
      </w:r>
    </w:p>
    <w:tbl>
      <w:tblPr>
        <w:tblStyle w:val="Tabellenraster"/>
        <w:tblW w:w="4994" w:type="pct"/>
        <w:tblLook w:val="04A0" w:firstRow="1" w:lastRow="0" w:firstColumn="1" w:lastColumn="0" w:noHBand="0" w:noVBand="1"/>
      </w:tblPr>
      <w:tblGrid>
        <w:gridCol w:w="4525"/>
        <w:gridCol w:w="4526"/>
      </w:tblGrid>
      <w:tr w:rsidR="00A8536E" w14:paraId="3BE93709" w14:textId="77777777" w:rsidTr="007E727B">
        <w:tc>
          <w:tcPr>
            <w:tcW w:w="2500" w:type="pct"/>
            <w:vAlign w:val="center"/>
          </w:tcPr>
          <w:p w14:paraId="257FB43E" w14:textId="36C07234" w:rsidR="00A8536E" w:rsidRDefault="00A8536E" w:rsidP="00A8536E">
            <w:pPr>
              <w:pStyle w:val="whitespace-normal"/>
            </w:pPr>
            <w:r>
              <w:rPr>
                <w:b/>
                <w:bCs/>
              </w:rPr>
              <w:t>Mose</w:t>
            </w:r>
          </w:p>
        </w:tc>
        <w:tc>
          <w:tcPr>
            <w:tcW w:w="2500" w:type="pct"/>
            <w:vAlign w:val="center"/>
          </w:tcPr>
          <w:p w14:paraId="2F3268BF" w14:textId="0FEA0AD6" w:rsidR="00A8536E" w:rsidRDefault="00A8536E" w:rsidP="00A8536E">
            <w:pPr>
              <w:pStyle w:val="whitespace-normal"/>
            </w:pPr>
            <w:r>
              <w:rPr>
                <w:b/>
                <w:bCs/>
              </w:rPr>
              <w:t>Christus (Erfüllung)</w:t>
            </w:r>
          </w:p>
        </w:tc>
      </w:tr>
      <w:tr w:rsidR="00A8536E" w14:paraId="76F4363B" w14:textId="77777777" w:rsidTr="00D7054A">
        <w:tc>
          <w:tcPr>
            <w:tcW w:w="2500" w:type="pct"/>
            <w:vAlign w:val="center"/>
          </w:tcPr>
          <w:p w14:paraId="7CF13154" w14:textId="0EC90FFB" w:rsidR="00A8536E" w:rsidRDefault="00A8536E" w:rsidP="00A8536E">
            <w:pPr>
              <w:pStyle w:val="whitespace-normal"/>
            </w:pPr>
            <w:r>
              <w:t xml:space="preserve">Führt Israel </w:t>
            </w:r>
            <w:r>
              <w:rPr>
                <w:rStyle w:val="Fett"/>
              </w:rPr>
              <w:t>bis</w:t>
            </w:r>
            <w:r>
              <w:t xml:space="preserve"> zum verheißenen Land</w:t>
            </w:r>
          </w:p>
        </w:tc>
        <w:tc>
          <w:tcPr>
            <w:tcW w:w="2500" w:type="pct"/>
            <w:vAlign w:val="center"/>
          </w:tcPr>
          <w:p w14:paraId="4BFE5448" w14:textId="5276D5DE" w:rsidR="00A8536E" w:rsidRDefault="00A8536E" w:rsidP="00A8536E">
            <w:pPr>
              <w:pStyle w:val="whitespace-normal"/>
            </w:pPr>
            <w:r>
              <w:t xml:space="preserve">Führt uns </w:t>
            </w:r>
            <w:r>
              <w:rPr>
                <w:rStyle w:val="Fett"/>
              </w:rPr>
              <w:t>bis</w:t>
            </w:r>
            <w:r>
              <w:t xml:space="preserve"> zum Himmel</w:t>
            </w:r>
          </w:p>
        </w:tc>
      </w:tr>
      <w:tr w:rsidR="00A8536E" w14:paraId="4601C21B" w14:textId="77777777" w:rsidTr="00886CAE">
        <w:tc>
          <w:tcPr>
            <w:tcW w:w="2500" w:type="pct"/>
            <w:vAlign w:val="center"/>
          </w:tcPr>
          <w:p w14:paraId="11D15ABD" w14:textId="0DF1307E" w:rsidR="00A8536E" w:rsidRDefault="00A8536E" w:rsidP="00A8536E">
            <w:pPr>
              <w:pStyle w:val="whitespace-normal"/>
            </w:pPr>
            <w:r>
              <w:rPr>
                <w:rStyle w:val="Fett"/>
              </w:rPr>
              <w:t>Sieht</w:t>
            </w:r>
            <w:r>
              <w:t xml:space="preserve"> das Land (Dtn 34,1-4)</w:t>
            </w:r>
          </w:p>
        </w:tc>
        <w:tc>
          <w:tcPr>
            <w:tcW w:w="2500" w:type="pct"/>
            <w:vAlign w:val="center"/>
          </w:tcPr>
          <w:p w14:paraId="2792CE51" w14:textId="78DE0B8A" w:rsidR="00A8536E" w:rsidRDefault="00A8536E" w:rsidP="00A8536E">
            <w:pPr>
              <w:pStyle w:val="whitespace-normal"/>
            </w:pPr>
            <w:r>
              <w:rPr>
                <w:rStyle w:val="Fett"/>
              </w:rPr>
              <w:t>Sieht</w:t>
            </w:r>
            <w:r>
              <w:t xml:space="preserve"> die Herrlichkeit (Joh 17,24)</w:t>
            </w:r>
          </w:p>
        </w:tc>
      </w:tr>
      <w:tr w:rsidR="00A8536E" w14:paraId="7F0BBD7E" w14:textId="77777777" w:rsidTr="00886CAE">
        <w:tc>
          <w:tcPr>
            <w:tcW w:w="2500" w:type="pct"/>
            <w:vAlign w:val="center"/>
          </w:tcPr>
          <w:p w14:paraId="4C8066FD" w14:textId="796DAF0E" w:rsidR="00A8536E" w:rsidRDefault="00A8536E" w:rsidP="00A8536E">
            <w:pPr>
              <w:pStyle w:val="whitespace-normal"/>
            </w:pPr>
            <w:r>
              <w:rPr>
                <w:rStyle w:val="Fett"/>
              </w:rPr>
              <w:t>Geht nicht hinein</w:t>
            </w:r>
            <w:r>
              <w:t xml:space="preserve"> (Num 20,12)</w:t>
            </w:r>
          </w:p>
        </w:tc>
        <w:tc>
          <w:tcPr>
            <w:tcW w:w="2500" w:type="pct"/>
            <w:vAlign w:val="center"/>
          </w:tcPr>
          <w:p w14:paraId="74FBE84D" w14:textId="7FE1AB16" w:rsidR="00A8536E" w:rsidRDefault="00A8536E" w:rsidP="00A8536E">
            <w:pPr>
              <w:pStyle w:val="whitespace-normal"/>
            </w:pPr>
            <w:r>
              <w:rPr>
                <w:rStyle w:val="Fett"/>
              </w:rPr>
              <w:t>Stirbt außerhalb</w:t>
            </w:r>
            <w:r>
              <w:t xml:space="preserve"> (Hebr 13,12)</w:t>
            </w:r>
          </w:p>
        </w:tc>
      </w:tr>
      <w:tr w:rsidR="00A8536E" w14:paraId="44B55047" w14:textId="77777777" w:rsidTr="00886CAE">
        <w:tc>
          <w:tcPr>
            <w:tcW w:w="2500" w:type="pct"/>
            <w:vAlign w:val="center"/>
          </w:tcPr>
          <w:p w14:paraId="00717DCB" w14:textId="0F6D66B4" w:rsidR="00A8536E" w:rsidRDefault="00A8536E" w:rsidP="00A8536E">
            <w:pPr>
              <w:pStyle w:val="whitespace-normal"/>
            </w:pPr>
            <w:r>
              <w:t xml:space="preserve">Josua führt Israel </w:t>
            </w:r>
            <w:r>
              <w:rPr>
                <w:rStyle w:val="Fett"/>
              </w:rPr>
              <w:t>hinein</w:t>
            </w:r>
            <w:r>
              <w:t xml:space="preserve"> (Jos 1,2)</w:t>
            </w:r>
          </w:p>
        </w:tc>
        <w:tc>
          <w:tcPr>
            <w:tcW w:w="2500" w:type="pct"/>
            <w:vAlign w:val="center"/>
          </w:tcPr>
          <w:p w14:paraId="1CF38155" w14:textId="7309B6AB" w:rsidR="00A8536E" w:rsidRDefault="00A8536E" w:rsidP="00A8536E">
            <w:pPr>
              <w:pStyle w:val="whitespace-normal"/>
            </w:pPr>
            <w:r>
              <w:rPr>
                <w:rStyle w:val="Fett"/>
              </w:rPr>
              <w:t>Jesus</w:t>
            </w:r>
            <w:r>
              <w:t xml:space="preserve"> (= Josua) führt uns </w:t>
            </w:r>
            <w:r>
              <w:rPr>
                <w:rStyle w:val="Fett"/>
              </w:rPr>
              <w:t>hinein</w:t>
            </w:r>
            <w:r>
              <w:t>!</w:t>
            </w:r>
          </w:p>
        </w:tc>
      </w:tr>
      <w:tr w:rsidR="00A8536E" w14:paraId="7801FC6F" w14:textId="77777777" w:rsidTr="00886CAE">
        <w:tc>
          <w:tcPr>
            <w:tcW w:w="2500" w:type="pct"/>
            <w:vAlign w:val="center"/>
          </w:tcPr>
          <w:p w14:paraId="7AD5942F" w14:textId="56B1AF90" w:rsidR="00A8536E" w:rsidRDefault="00A8536E" w:rsidP="00A8536E">
            <w:pPr>
              <w:pStyle w:val="whitespace-normal"/>
            </w:pPr>
            <w:r>
              <w:t xml:space="preserve">Mose = </w:t>
            </w:r>
            <w:r>
              <w:rPr>
                <w:rStyle w:val="Fett"/>
              </w:rPr>
              <w:t>Gesetz</w:t>
            </w:r>
            <w:r>
              <w:t xml:space="preserve"> (bringt bis zur Grenze)</w:t>
            </w:r>
          </w:p>
        </w:tc>
        <w:tc>
          <w:tcPr>
            <w:tcW w:w="2500" w:type="pct"/>
            <w:vAlign w:val="center"/>
          </w:tcPr>
          <w:p w14:paraId="6EA2D63E" w14:textId="79A90173" w:rsidR="00A8536E" w:rsidRDefault="00A8536E" w:rsidP="00A8536E">
            <w:pPr>
              <w:pStyle w:val="whitespace-normal"/>
            </w:pPr>
            <w:r>
              <w:t xml:space="preserve">Christus = </w:t>
            </w:r>
            <w:r>
              <w:rPr>
                <w:rStyle w:val="Fett"/>
              </w:rPr>
              <w:t>Gnade</w:t>
            </w:r>
            <w:r>
              <w:t xml:space="preserve"> (bringt hinein!)</w:t>
            </w:r>
          </w:p>
        </w:tc>
      </w:tr>
    </w:tbl>
    <w:p w14:paraId="170C8E22" w14:textId="77777777" w:rsidR="00864465" w:rsidRDefault="00864465" w:rsidP="00864465">
      <w:pPr>
        <w:pStyle w:val="whitespace-normal"/>
      </w:pPr>
      <w:r>
        <w:rPr>
          <w:rStyle w:val="Fett"/>
        </w:rPr>
        <w:t>Johannes 1,17:</w:t>
      </w:r>
    </w:p>
    <w:p w14:paraId="57B57C6D" w14:textId="77777777" w:rsidR="00864465" w:rsidRDefault="00864465" w:rsidP="00864465">
      <w:pPr>
        <w:pStyle w:val="whitespace-normal"/>
      </w:pPr>
      <w:r>
        <w:t xml:space="preserve">ὁ νόμος διὰ Μωϋσέως ἐδόθη, </w:t>
      </w:r>
      <w:r>
        <w:rPr>
          <w:rStyle w:val="Fett"/>
        </w:rPr>
        <w:t>ἡ χάρις καὶ ἡ ἀλήθεια διὰ Ἰησοῦ Χριστοῦ</w:t>
      </w:r>
      <w:r>
        <w:t xml:space="preserve"> ἐγένετο</w:t>
      </w:r>
      <w:r>
        <w:br/>
        <w:t xml:space="preserve">"Das Gesetz wurde durch Mose gegeben; </w:t>
      </w:r>
      <w:r>
        <w:rPr>
          <w:rStyle w:val="Fett"/>
        </w:rPr>
        <w:t>die Gnade und Wahrheit ist durch Jesus Christus geworden</w:t>
      </w:r>
      <w:r>
        <w:t>"</w:t>
      </w:r>
    </w:p>
    <w:p w14:paraId="687345C6" w14:textId="0E93D7FF" w:rsidR="00864465" w:rsidRDefault="00864465" w:rsidP="00864465">
      <w:pPr>
        <w:pStyle w:val="whitespace-normal"/>
      </w:pPr>
      <w:r>
        <w:rPr>
          <w:rStyle w:val="Fett"/>
        </w:rPr>
        <w:t>→ Mose (Gesetz) bringt bis zur Grenze → Jesu (Gnade) bringt hinein!</w:t>
      </w:r>
    </w:p>
    <w:p w14:paraId="2948B784" w14:textId="77777777" w:rsidR="00864465" w:rsidRDefault="00864465" w:rsidP="00864465">
      <w:pPr>
        <w:pStyle w:val="whitespace-normal"/>
      </w:pPr>
      <w:r>
        <w:rPr>
          <w:rStyle w:val="Fett"/>
        </w:rPr>
        <w:t>Galater 3,24:</w:t>
      </w:r>
    </w:p>
    <w:p w14:paraId="65B4FCB9" w14:textId="77777777" w:rsidR="00864465" w:rsidRDefault="00864465" w:rsidP="00864465">
      <w:pPr>
        <w:pStyle w:val="whitespace-normal"/>
      </w:pPr>
      <w:r>
        <w:t xml:space="preserve">ὥστε ὁ νόμος </w:t>
      </w:r>
      <w:r>
        <w:rPr>
          <w:rStyle w:val="Fett"/>
        </w:rPr>
        <w:t>παιδαγωγὸς ἡμῶν γέγονεν εἰς Χριστόν</w:t>
      </w:r>
      <w:r>
        <w:br/>
        <w:t xml:space="preserve">"Also ist das Gesetz unser </w:t>
      </w:r>
      <w:r>
        <w:rPr>
          <w:rStyle w:val="Fett"/>
        </w:rPr>
        <w:t>Zuchtmeister gewesen auf Christus hin</w:t>
      </w:r>
      <w:r>
        <w:t>"</w:t>
      </w:r>
    </w:p>
    <w:p w14:paraId="6B5020C4" w14:textId="77777777" w:rsidR="00864465" w:rsidRDefault="00864465" w:rsidP="00864465">
      <w:pPr>
        <w:pStyle w:val="whitespace-normal"/>
      </w:pPr>
      <w:r>
        <w:rPr>
          <w:rStyle w:val="Fett"/>
        </w:rPr>
        <w:t>→ Das Gesetz (Mose) führt zu Christus → aber kann nicht ins Reich führen!</w:t>
      </w:r>
    </w:p>
    <w:p w14:paraId="7C05FE0E" w14:textId="77777777" w:rsidR="00864465" w:rsidRDefault="00F329DD" w:rsidP="00864465">
      <w:r>
        <w:pict w14:anchorId="24EC3237">
          <v:rect id="_x0000_i1708" style="width:0;height:1.5pt" o:hralign="center" o:hrstd="t" o:hr="t" fillcolor="#a0a0a0" stroked="f"/>
        </w:pict>
      </w:r>
    </w:p>
    <w:p w14:paraId="0CF04CDC" w14:textId="77777777" w:rsidR="00864465" w:rsidRDefault="00864465" w:rsidP="00864465">
      <w:pPr>
        <w:pStyle w:val="berschrift4"/>
      </w:pPr>
      <w:r>
        <w:rPr>
          <w:rStyle w:val="Fett"/>
          <w:b w:val="0"/>
          <w:bCs w:val="0"/>
        </w:rPr>
        <w:t>D. Gnade für Mose: Er kommt später doch hinein!</w:t>
      </w:r>
    </w:p>
    <w:p w14:paraId="79C14B71" w14:textId="77777777" w:rsidR="00864465" w:rsidRDefault="00864465" w:rsidP="00864465">
      <w:pPr>
        <w:pStyle w:val="whitespace-normal"/>
      </w:pPr>
      <w:r>
        <w:rPr>
          <w:rStyle w:val="Fett"/>
        </w:rPr>
        <w:t>Obwohl Mose nicht mit Israel ins Land zog, gibt es Gnade:</w:t>
      </w:r>
    </w:p>
    <w:p w14:paraId="07781EBF" w14:textId="77777777" w:rsidR="00864465" w:rsidRDefault="00864465" w:rsidP="00864465">
      <w:pPr>
        <w:pStyle w:val="whitespace-normal"/>
      </w:pPr>
      <w:r>
        <w:rPr>
          <w:rStyle w:val="Fett"/>
        </w:rPr>
        <w:t>1. Er sieht das Land (Dtn 34,1-4):</w:t>
      </w:r>
    </w:p>
    <w:p w14:paraId="2640400F" w14:textId="77777777" w:rsidR="00864465" w:rsidRDefault="00864465" w:rsidP="00864465">
      <w:pPr>
        <w:pStyle w:val="whitespace-normal"/>
      </w:pPr>
      <w:r>
        <w:rPr>
          <w:rtl/>
        </w:rPr>
        <w:t>וַיַּרְאֵהוּ יְהוָה אֶת־כָּל־הָאָרֶץ</w:t>
      </w:r>
      <w:r>
        <w:br/>
        <w:t xml:space="preserve">"Und der HERR ließ ihn </w:t>
      </w:r>
      <w:r>
        <w:rPr>
          <w:rStyle w:val="Fett"/>
        </w:rPr>
        <w:t>das ganze Land sehen</w:t>
      </w:r>
      <w:r>
        <w:t>"</w:t>
      </w:r>
    </w:p>
    <w:p w14:paraId="09E63B8C" w14:textId="77777777" w:rsidR="00864465" w:rsidRDefault="00864465" w:rsidP="00864465">
      <w:pPr>
        <w:pStyle w:val="whitespace-normal"/>
      </w:pPr>
      <w:r>
        <w:rPr>
          <w:rStyle w:val="Fett"/>
        </w:rPr>
        <w:t>2. Er stirbt würdevoll:</w:t>
      </w:r>
    </w:p>
    <w:p w14:paraId="608710E5" w14:textId="77777777" w:rsidR="00864465" w:rsidRDefault="00864465" w:rsidP="00864465">
      <w:pPr>
        <w:pStyle w:val="whitespace-normal"/>
      </w:pPr>
      <w:r>
        <w:rPr>
          <w:rtl/>
        </w:rPr>
        <w:t>וַיָּמָת שָׁם מֹשֶׁה עֶבֶד־יְהוָה... עַל־פִּי יְהוָה</w:t>
      </w:r>
      <w:r>
        <w:t xml:space="preserve"> (Dtn 34,5)</w:t>
      </w:r>
      <w:r>
        <w:br/>
        <w:t xml:space="preserve">"Und Mose, </w:t>
      </w:r>
      <w:r>
        <w:rPr>
          <w:rStyle w:val="Fett"/>
        </w:rPr>
        <w:t>der Knecht des HERRN</w:t>
      </w:r>
      <w:r>
        <w:t xml:space="preserve">, starb dort... </w:t>
      </w:r>
      <w:r>
        <w:rPr>
          <w:rStyle w:val="Fett"/>
        </w:rPr>
        <w:t>nach dem Befehl des HERRN</w:t>
      </w:r>
      <w:r>
        <w:t>"</w:t>
      </w:r>
    </w:p>
    <w:p w14:paraId="38A01362" w14:textId="77777777" w:rsidR="00864465" w:rsidRDefault="00864465" w:rsidP="00864465">
      <w:pPr>
        <w:pStyle w:val="whitespace-normal"/>
      </w:pPr>
      <w:r>
        <w:rPr>
          <w:rStyle w:val="Fett"/>
        </w:rPr>
        <w:lastRenderedPageBreak/>
        <w:t>→ "Nach dem Befehl des HERRN" = wörtlich: "durch den Mund des HERRN" (</w:t>
      </w:r>
      <w:r>
        <w:rPr>
          <w:rStyle w:val="Fett"/>
          <w:rtl/>
        </w:rPr>
        <w:t>עַל־פִּי יְהוָה</w:t>
      </w:r>
      <w:r>
        <w:rPr>
          <w:rStyle w:val="Fett"/>
        </w:rPr>
        <w:t>)</w:t>
      </w:r>
      <w:r>
        <w:br/>
      </w:r>
      <w:r>
        <w:rPr>
          <w:rStyle w:val="Fett"/>
        </w:rPr>
        <w:t>→ Rabbinische Tradition: Gott küsste Mose beim Tod!</w:t>
      </w:r>
    </w:p>
    <w:p w14:paraId="7014698B" w14:textId="77777777" w:rsidR="00864465" w:rsidRDefault="00864465" w:rsidP="00864465">
      <w:pPr>
        <w:pStyle w:val="whitespace-normal"/>
      </w:pPr>
      <w:r>
        <w:rPr>
          <w:rStyle w:val="Fett"/>
        </w:rPr>
        <w:t>3. Er erscheint auf dem Verklärungsberg (Mt 17,3):</w:t>
      </w:r>
    </w:p>
    <w:p w14:paraId="5A21FC9F" w14:textId="77777777" w:rsidR="00864465" w:rsidRDefault="00864465" w:rsidP="00864465">
      <w:pPr>
        <w:pStyle w:val="whitespace-normal"/>
      </w:pPr>
      <w:r>
        <w:t xml:space="preserve">καὶ ἰδοὺ ὤφθη αὐτοῖς </w:t>
      </w:r>
      <w:r>
        <w:rPr>
          <w:rStyle w:val="Fett"/>
        </w:rPr>
        <w:t>Μωϋσῆς καὶ Ἠλίας</w:t>
      </w:r>
      <w:r>
        <w:t xml:space="preserve"> συλλαλοῦντες μετ' αὐτοῦ</w:t>
      </w:r>
      <w:r>
        <w:br/>
        <w:t xml:space="preserve">"Und siehe, es erschien ihnen </w:t>
      </w:r>
      <w:r>
        <w:rPr>
          <w:rStyle w:val="Fett"/>
        </w:rPr>
        <w:t>Mose und Elia</w:t>
      </w:r>
      <w:r>
        <w:t>, die mit ihm redeten"</w:t>
      </w:r>
    </w:p>
    <w:p w14:paraId="64E534CE" w14:textId="08E4319A" w:rsidR="00864465" w:rsidRDefault="00864465" w:rsidP="00864465">
      <w:pPr>
        <w:pStyle w:val="whitespace-normal"/>
      </w:pPr>
      <w:r>
        <w:rPr>
          <w:rStyle w:val="Fett"/>
        </w:rPr>
        <w:t xml:space="preserve">→ Mose erscheint mit </w:t>
      </w:r>
      <w:r w:rsidR="00F44D88">
        <w:rPr>
          <w:rStyle w:val="Fett"/>
        </w:rPr>
        <w:t>Christus</w:t>
      </w:r>
      <w:r>
        <w:rPr>
          <w:rStyle w:val="Fett"/>
        </w:rPr>
        <w:t xml:space="preserve"> im verheißenen Land (Israel)!</w:t>
      </w:r>
    </w:p>
    <w:p w14:paraId="4827A2E5" w14:textId="77777777" w:rsidR="00864465" w:rsidRDefault="00864465" w:rsidP="00864465">
      <w:pPr>
        <w:pStyle w:val="whitespace-normal"/>
      </w:pPr>
      <w:r>
        <w:rPr>
          <w:rStyle w:val="Fett"/>
        </w:rPr>
        <w:t>→ Mose kommt doch ins "Land" – aber durch Auferstehung, nicht durch eigene Kraft!</w:t>
      </w:r>
    </w:p>
    <w:p w14:paraId="33A0FFC9" w14:textId="77777777" w:rsidR="00864465" w:rsidRDefault="00864465" w:rsidP="00864465">
      <w:pPr>
        <w:pStyle w:val="whitespace-normal"/>
      </w:pPr>
      <w:r>
        <w:rPr>
          <w:rStyle w:val="Fett"/>
        </w:rPr>
        <w:t>Judas 9:</w:t>
      </w:r>
    </w:p>
    <w:p w14:paraId="42819EA2" w14:textId="77777777" w:rsidR="00864465" w:rsidRDefault="00864465" w:rsidP="00864465">
      <w:pPr>
        <w:pStyle w:val="whitespace-normal"/>
      </w:pPr>
      <w:r>
        <w:t xml:space="preserve">ὁ δὲ Μιχαὴλ ὁ ἀρχάγγελος... </w:t>
      </w:r>
      <w:r>
        <w:rPr>
          <w:rStyle w:val="Fett"/>
        </w:rPr>
        <w:t>περὶ τοῦ Μωϋσέως σώματος</w:t>
      </w:r>
      <w:r>
        <w:br/>
        <w:t xml:space="preserve">"Michael aber, der Erzengel... </w:t>
      </w:r>
      <w:r>
        <w:rPr>
          <w:rStyle w:val="Fett"/>
        </w:rPr>
        <w:t>um den Leib des Mose</w:t>
      </w:r>
      <w:r>
        <w:t>"</w:t>
      </w:r>
    </w:p>
    <w:p w14:paraId="01AF73D0" w14:textId="77777777" w:rsidR="00864465" w:rsidRDefault="00864465" w:rsidP="00864465">
      <w:pPr>
        <w:pStyle w:val="whitespace-normal"/>
      </w:pPr>
      <w:r>
        <w:rPr>
          <w:rStyle w:val="Fett"/>
        </w:rPr>
        <w:t>→ Es gab einen Kampf um Moses Leib → warum? Weil Gott ihn auferweckte!</w:t>
      </w:r>
    </w:p>
    <w:p w14:paraId="42FAA690" w14:textId="77777777" w:rsidR="00864465" w:rsidRDefault="00F329DD" w:rsidP="00864465">
      <w:r>
        <w:pict w14:anchorId="144F2965">
          <v:rect id="_x0000_i1709" style="width:0;height:1.5pt" o:hralign="center" o:hrstd="t" o:hr="t" fillcolor="#a0a0a0" stroked="f"/>
        </w:pict>
      </w:r>
    </w:p>
    <w:p w14:paraId="24D4BE67" w14:textId="77777777" w:rsidR="00864465" w:rsidRDefault="00864465" w:rsidP="00864465">
      <w:pPr>
        <w:pStyle w:val="berschrift3"/>
      </w:pPr>
      <w:r>
        <w:rPr>
          <w:rStyle w:val="Fett"/>
          <w:b w:val="0"/>
          <w:bCs w:val="0"/>
        </w:rPr>
        <w:t>10. Die theologische Lektion</w:t>
      </w:r>
    </w:p>
    <w:p w14:paraId="109948F7" w14:textId="77777777" w:rsidR="00864465" w:rsidRDefault="00864465" w:rsidP="00864465">
      <w:pPr>
        <w:pStyle w:val="whitespace-normal"/>
      </w:pPr>
      <w:r>
        <w:rPr>
          <w:rStyle w:val="Fett"/>
        </w:rPr>
        <w:t>Was lernen wir aus Moses Fehler?</w:t>
      </w:r>
    </w:p>
    <w:p w14:paraId="6390F383" w14:textId="77777777" w:rsidR="00864465" w:rsidRDefault="00864465" w:rsidP="00864465">
      <w:pPr>
        <w:pStyle w:val="berschrift4"/>
      </w:pPr>
      <w:r>
        <w:rPr>
          <w:rStyle w:val="Fett"/>
          <w:b w:val="0"/>
          <w:bCs w:val="0"/>
        </w:rPr>
        <w:t>A. Selbst die Größten sind nicht perfekt</w:t>
      </w:r>
    </w:p>
    <w:p w14:paraId="4ADAC2E1" w14:textId="77777777" w:rsidR="00864465" w:rsidRDefault="00864465" w:rsidP="00864465">
      <w:pPr>
        <w:pStyle w:val="whitespace-normal"/>
      </w:pPr>
      <w:r>
        <w:rPr>
          <w:rStyle w:val="Fett"/>
        </w:rPr>
        <w:t>Römer 3,23:</w:t>
      </w:r>
    </w:p>
    <w:p w14:paraId="457306DB" w14:textId="77777777" w:rsidR="00864465" w:rsidRDefault="00864465" w:rsidP="00864465">
      <w:pPr>
        <w:pStyle w:val="whitespace-normal"/>
      </w:pPr>
      <w:r>
        <w:t>πάντες γὰρ ἥμαρτον καὶ ὑστεροῦνται τῆς δόξης τοῦ θεοῦ</w:t>
      </w:r>
      <w:r>
        <w:br/>
        <w:t xml:space="preserve">"Denn </w:t>
      </w:r>
      <w:r>
        <w:rPr>
          <w:rStyle w:val="Fett"/>
        </w:rPr>
        <w:t>alle</w:t>
      </w:r>
      <w:r>
        <w:t xml:space="preserve"> haben gesündigt und ermangeln der Herrlichkeit Gottes"</w:t>
      </w:r>
    </w:p>
    <w:p w14:paraId="68DAE695" w14:textId="77777777" w:rsidR="00864465" w:rsidRDefault="00864465" w:rsidP="00864465">
      <w:pPr>
        <w:pStyle w:val="whitespace-normal"/>
      </w:pPr>
      <w:r>
        <w:rPr>
          <w:rStyle w:val="Fett"/>
        </w:rPr>
        <w:t>→ Sogar Mose (der demütigste Mensch, Num 12,3) versagte!</w:t>
      </w:r>
    </w:p>
    <w:p w14:paraId="30CCD8F7" w14:textId="77777777" w:rsidR="00864465" w:rsidRDefault="00864465" w:rsidP="00864465">
      <w:pPr>
        <w:pStyle w:val="whitespace-normal"/>
      </w:pPr>
      <w:r>
        <w:rPr>
          <w:rStyle w:val="Fett"/>
        </w:rPr>
        <w:t>→ NIEMAND ist perfekt – alle brauchen Gnade!</w:t>
      </w:r>
    </w:p>
    <w:p w14:paraId="3DAC58B8" w14:textId="77777777" w:rsidR="00864465" w:rsidRDefault="00F329DD" w:rsidP="00864465">
      <w:r>
        <w:pict w14:anchorId="3BF3D11F">
          <v:rect id="_x0000_i1710" style="width:0;height:1.5pt" o:hralign="center" o:hrstd="t" o:hr="t" fillcolor="#a0a0a0" stroked="f"/>
        </w:pict>
      </w:r>
    </w:p>
    <w:p w14:paraId="17D44E48" w14:textId="77777777" w:rsidR="00864465" w:rsidRDefault="00864465" w:rsidP="00864465">
      <w:pPr>
        <w:pStyle w:val="berschrift4"/>
      </w:pPr>
      <w:r>
        <w:rPr>
          <w:rStyle w:val="Fett"/>
          <w:b w:val="0"/>
          <w:bCs w:val="0"/>
        </w:rPr>
        <w:t>B. Gottes Ehre &gt; Menschliche Gefühle</w:t>
      </w:r>
    </w:p>
    <w:p w14:paraId="46CBE5EA" w14:textId="77777777" w:rsidR="00864465" w:rsidRDefault="00864465" w:rsidP="00864465">
      <w:pPr>
        <w:pStyle w:val="whitespace-normal"/>
      </w:pPr>
      <w:r>
        <w:rPr>
          <w:rStyle w:val="Fett"/>
        </w:rPr>
        <w:t>Numeri 20,12:</w:t>
      </w:r>
    </w:p>
    <w:p w14:paraId="17401FF8" w14:textId="77777777" w:rsidR="00864465" w:rsidRDefault="00864465" w:rsidP="00864465">
      <w:pPr>
        <w:pStyle w:val="whitespace-normal"/>
      </w:pPr>
      <w:r>
        <w:rPr>
          <w:rtl/>
        </w:rPr>
        <w:t>לְהַקְדִּישֵׁנִי</w:t>
      </w:r>
      <w:r>
        <w:br/>
        <w:t xml:space="preserve">"Mich zu </w:t>
      </w:r>
      <w:r>
        <w:rPr>
          <w:rStyle w:val="Fett"/>
        </w:rPr>
        <w:t>heiligen</w:t>
      </w:r>
      <w:r>
        <w:t>"</w:t>
      </w:r>
    </w:p>
    <w:p w14:paraId="12173E65" w14:textId="77777777" w:rsidR="00864465" w:rsidRDefault="00864465" w:rsidP="00864465">
      <w:pPr>
        <w:pStyle w:val="whitespace-normal"/>
      </w:pPr>
      <w:r>
        <w:rPr>
          <w:rStyle w:val="Fett"/>
        </w:rPr>
        <w:t>→ Gottes Heiligkeit ist wichtiger als Moses Lebenswerk!</w:t>
      </w:r>
    </w:p>
    <w:p w14:paraId="20C15F3E" w14:textId="77777777" w:rsidR="00864465" w:rsidRDefault="00864465" w:rsidP="00864465">
      <w:pPr>
        <w:pStyle w:val="whitespace-normal"/>
      </w:pPr>
      <w:r>
        <w:rPr>
          <w:rStyle w:val="Fett"/>
        </w:rPr>
        <w:t>Jesaja 42,8:</w:t>
      </w:r>
    </w:p>
    <w:p w14:paraId="356F89FE" w14:textId="77777777" w:rsidR="00864465" w:rsidRDefault="00864465" w:rsidP="00864465">
      <w:pPr>
        <w:pStyle w:val="whitespace-normal"/>
      </w:pPr>
      <w:r>
        <w:rPr>
          <w:rtl/>
        </w:rPr>
        <w:lastRenderedPageBreak/>
        <w:t xml:space="preserve">אֲנִי יְהוָה הוּא שְׁמִי </w:t>
      </w:r>
      <w:r>
        <w:rPr>
          <w:rStyle w:val="Fett"/>
          <w:rtl/>
        </w:rPr>
        <w:t>וּכְבוֹדִי לְאַחֵר לֹא־אֶתֵּן</w:t>
      </w:r>
      <w:r>
        <w:br/>
        <w:t xml:space="preserve">"Ich bin der HERR, das ist mein Name; und </w:t>
      </w:r>
      <w:r>
        <w:rPr>
          <w:rStyle w:val="Fett"/>
        </w:rPr>
        <w:t>meine Ehre gebe ich keinem anderen</w:t>
      </w:r>
      <w:r>
        <w:t>"</w:t>
      </w:r>
    </w:p>
    <w:p w14:paraId="130D9F28" w14:textId="77777777" w:rsidR="00864465" w:rsidRDefault="00864465" w:rsidP="00864465">
      <w:pPr>
        <w:pStyle w:val="whitespace-normal"/>
      </w:pPr>
      <w:r>
        <w:rPr>
          <w:rStyle w:val="Fett"/>
        </w:rPr>
        <w:t>→ Gott teilt seine Ehre mit niemandem – auch nicht mit seinem treuesten Diener!</w:t>
      </w:r>
    </w:p>
    <w:p w14:paraId="0C9F78C2" w14:textId="77777777" w:rsidR="00864465" w:rsidRDefault="00F329DD" w:rsidP="00864465">
      <w:r>
        <w:pict w14:anchorId="13AA6C67">
          <v:rect id="_x0000_i1711" style="width:0;height:1.5pt" o:hralign="center" o:hrstd="t" o:hr="t" fillcolor="#a0a0a0" stroked="f"/>
        </w:pict>
      </w:r>
    </w:p>
    <w:p w14:paraId="5CE858EE" w14:textId="77777777" w:rsidR="00864465" w:rsidRDefault="00864465" w:rsidP="00864465">
      <w:pPr>
        <w:pStyle w:val="berschrift4"/>
      </w:pPr>
      <w:r>
        <w:rPr>
          <w:rStyle w:val="Fett"/>
          <w:b w:val="0"/>
          <w:bCs w:val="0"/>
        </w:rPr>
        <w:t>C. Sünde hat Konsequenzen – auch für Gläubige</w:t>
      </w:r>
    </w:p>
    <w:p w14:paraId="58A893FA" w14:textId="77777777" w:rsidR="00864465" w:rsidRDefault="00864465" w:rsidP="00864465">
      <w:pPr>
        <w:pStyle w:val="whitespace-normal"/>
      </w:pPr>
      <w:r>
        <w:rPr>
          <w:rStyle w:val="Fett"/>
        </w:rPr>
        <w:t>Galater 6,7:</w:t>
      </w:r>
    </w:p>
    <w:p w14:paraId="5641BEC7" w14:textId="77777777" w:rsidR="00864465" w:rsidRDefault="00864465" w:rsidP="00864465">
      <w:pPr>
        <w:pStyle w:val="whitespace-normal"/>
      </w:pPr>
      <w:r>
        <w:t xml:space="preserve">μὴ πλανᾶσθε, θεὸς οὐ μυκτηρίζεται· </w:t>
      </w:r>
      <w:r>
        <w:rPr>
          <w:rStyle w:val="Fett"/>
        </w:rPr>
        <w:t>ὃ γὰρ ἐὰν σπείρῃ ἄνθρωπος, τοῦτο καὶ θερίσει</w:t>
      </w:r>
      <w:r>
        <w:br/>
        <w:t xml:space="preserve">"Irrt euch nicht! Gott lässt sich nicht spotten. </w:t>
      </w:r>
      <w:r>
        <w:rPr>
          <w:rStyle w:val="Fett"/>
        </w:rPr>
        <w:t>Denn was der Mensch sät, das wird er auch ernten</w:t>
      </w:r>
      <w:r>
        <w:t>"</w:t>
      </w:r>
    </w:p>
    <w:p w14:paraId="3340B3C8" w14:textId="77777777" w:rsidR="00864465" w:rsidRDefault="00864465" w:rsidP="00864465">
      <w:pPr>
        <w:pStyle w:val="whitespace-normal"/>
      </w:pPr>
      <w:r>
        <w:rPr>
          <w:rStyle w:val="Fett"/>
        </w:rPr>
        <w:t>→ Selbst vergebene Sünde kann irdische Konsequenzen haben!</w:t>
      </w:r>
    </w:p>
    <w:p w14:paraId="543DD12D" w14:textId="77777777" w:rsidR="00864465" w:rsidRDefault="00864465" w:rsidP="00864465">
      <w:pPr>
        <w:pStyle w:val="whitespace-normal"/>
      </w:pPr>
      <w:r>
        <w:rPr>
          <w:rStyle w:val="Fett"/>
        </w:rPr>
        <w:t>Beispiele:</w:t>
      </w:r>
    </w:p>
    <w:p w14:paraId="628E9D29" w14:textId="77777777" w:rsidR="00864465" w:rsidRDefault="00864465" w:rsidP="00B358B7">
      <w:pPr>
        <w:pStyle w:val="whitespace-normal"/>
        <w:numPr>
          <w:ilvl w:val="0"/>
          <w:numId w:val="204"/>
        </w:numPr>
      </w:pPr>
      <w:r>
        <w:rPr>
          <w:rStyle w:val="Fett"/>
        </w:rPr>
        <w:t>David:</w:t>
      </w:r>
      <w:r>
        <w:t xml:space="preserve"> Ehebruch mit Bathseba → Kind stirbt (2 Sam 12,14)</w:t>
      </w:r>
    </w:p>
    <w:p w14:paraId="14302ABA" w14:textId="77777777" w:rsidR="00864465" w:rsidRDefault="00864465" w:rsidP="00B358B7">
      <w:pPr>
        <w:pStyle w:val="whitespace-normal"/>
        <w:numPr>
          <w:ilvl w:val="0"/>
          <w:numId w:val="204"/>
        </w:numPr>
      </w:pPr>
      <w:r>
        <w:rPr>
          <w:rStyle w:val="Fett"/>
        </w:rPr>
        <w:t>Mose:</w:t>
      </w:r>
      <w:r>
        <w:t xml:space="preserve"> Zorn bei Meriva → darf nicht ins Land (Num 20,12)</w:t>
      </w:r>
    </w:p>
    <w:p w14:paraId="16E3EC94" w14:textId="77777777" w:rsidR="00864465" w:rsidRDefault="00864465" w:rsidP="00B358B7">
      <w:pPr>
        <w:pStyle w:val="whitespace-normal"/>
        <w:numPr>
          <w:ilvl w:val="0"/>
          <w:numId w:val="204"/>
        </w:numPr>
      </w:pPr>
      <w:r>
        <w:rPr>
          <w:rStyle w:val="Fett"/>
        </w:rPr>
        <w:t>Aaron:</w:t>
      </w:r>
      <w:r>
        <w:t xml:space="preserve"> Goldenes Kalb → stirbt vor dem Land (Num 20,28)</w:t>
      </w:r>
    </w:p>
    <w:p w14:paraId="40F7966C" w14:textId="77777777" w:rsidR="00864465" w:rsidRDefault="00864465" w:rsidP="00864465">
      <w:pPr>
        <w:pStyle w:val="whitespace-normal"/>
      </w:pPr>
      <w:r>
        <w:rPr>
          <w:rStyle w:val="Fett"/>
        </w:rPr>
        <w:t>→ Vergebung ≠ keine Konsequenzen!</w:t>
      </w:r>
    </w:p>
    <w:p w14:paraId="755290F6" w14:textId="77777777" w:rsidR="00864465" w:rsidRDefault="00F329DD" w:rsidP="00864465">
      <w:r>
        <w:pict w14:anchorId="0C0D729A">
          <v:rect id="_x0000_i1712" style="width:0;height:1.5pt" o:hralign="center" o:hrstd="t" o:hr="t" fillcolor="#a0a0a0" stroked="f"/>
        </w:pict>
      </w:r>
    </w:p>
    <w:p w14:paraId="7B902480" w14:textId="77777777" w:rsidR="00864465" w:rsidRDefault="00864465" w:rsidP="00864465">
      <w:pPr>
        <w:pStyle w:val="berschrift4"/>
      </w:pPr>
      <w:r>
        <w:rPr>
          <w:rStyle w:val="Fett"/>
          <w:b w:val="0"/>
          <w:bCs w:val="0"/>
        </w:rPr>
        <w:t>D. Gott ist gnädig – aber auch heilig</w:t>
      </w:r>
    </w:p>
    <w:p w14:paraId="63D53B82" w14:textId="77777777" w:rsidR="00864465" w:rsidRDefault="00864465" w:rsidP="00864465">
      <w:pPr>
        <w:pStyle w:val="whitespace-normal"/>
      </w:pPr>
      <w:r>
        <w:rPr>
          <w:rStyle w:val="Fett"/>
        </w:rPr>
        <w:t>Exodus 34,6-7:</w:t>
      </w:r>
    </w:p>
    <w:p w14:paraId="0658D18E" w14:textId="77777777" w:rsidR="00864465" w:rsidRDefault="00864465" w:rsidP="00864465">
      <w:pPr>
        <w:pStyle w:val="whitespace-normal"/>
      </w:pPr>
      <w:r>
        <w:rPr>
          <w:rtl/>
        </w:rPr>
        <w:t>יְהוָה יְהוָה אֵל רַחוּם וְחַנּוּן</w:t>
      </w:r>
      <w:r>
        <w:t xml:space="preserve">... </w:t>
      </w:r>
      <w:r>
        <w:rPr>
          <w:rStyle w:val="Fett"/>
          <w:rtl/>
        </w:rPr>
        <w:t>וְנַקֵּה לֹא יְנַקֶּה</w:t>
      </w:r>
      <w:r>
        <w:br/>
        <w:t xml:space="preserve">"HERR, HERR, Gott, barmherzig und gnädig... </w:t>
      </w:r>
      <w:r>
        <w:rPr>
          <w:rStyle w:val="Fett"/>
        </w:rPr>
        <w:t>aber er lässt keineswegs ungestraft</w:t>
      </w:r>
      <w:r>
        <w:t>"</w:t>
      </w:r>
    </w:p>
    <w:p w14:paraId="186BFA92" w14:textId="77777777" w:rsidR="00864465" w:rsidRDefault="00864465" w:rsidP="00864465">
      <w:pPr>
        <w:pStyle w:val="whitespace-normal"/>
      </w:pPr>
      <w:r>
        <w:rPr>
          <w:rStyle w:val="Fett"/>
        </w:rPr>
        <w:t>→ Gottes Gnade und Gerechtigkeit sind beide wahr!</w:t>
      </w:r>
    </w:p>
    <w:p w14:paraId="01787F8C" w14:textId="77777777" w:rsidR="00864465" w:rsidRDefault="00864465" w:rsidP="00864465">
      <w:pPr>
        <w:pStyle w:val="whitespace-normal"/>
      </w:pPr>
      <w:r>
        <w:rPr>
          <w:rStyle w:val="Fett"/>
        </w:rPr>
        <w:t>→ Er vergibt (Mose wird gerettet), aber Konsequenzen bleiben (darf nicht ins Land)!</w:t>
      </w:r>
    </w:p>
    <w:p w14:paraId="06C1BC6F" w14:textId="77777777" w:rsidR="00864465" w:rsidRDefault="00F329DD" w:rsidP="00864465">
      <w:r>
        <w:pict w14:anchorId="7AF246D9">
          <v:rect id="_x0000_i1713" style="width:0;height:1.5pt" o:hralign="center" o:hrstd="t" o:hr="t" fillcolor="#a0a0a0" stroked="f"/>
        </w:pict>
      </w:r>
    </w:p>
    <w:p w14:paraId="5166A5FF" w14:textId="77777777" w:rsidR="00864465" w:rsidRDefault="00864465" w:rsidP="00864465">
      <w:pPr>
        <w:pStyle w:val="berschrift3"/>
      </w:pPr>
      <w:r>
        <w:rPr>
          <w:rStyle w:val="Fett"/>
          <w:b w:val="0"/>
          <w:bCs w:val="0"/>
        </w:rPr>
        <w:t>11. Zusammenfassung: Was war Moses Sünde?</w:t>
      </w:r>
    </w:p>
    <w:p w14:paraId="69FB0B67" w14:textId="585F8FC5" w:rsidR="00864465" w:rsidRDefault="00864465" w:rsidP="00864465">
      <w:pPr>
        <w:pStyle w:val="whitespace-normal"/>
        <w:rPr>
          <w:rStyle w:val="Fett"/>
        </w:rPr>
      </w:pPr>
      <w:r>
        <w:rPr>
          <w:rStyle w:val="Fett"/>
        </w:rPr>
        <w:t>Die 7 Aspekte zusammengefasst:</w:t>
      </w:r>
    </w:p>
    <w:tbl>
      <w:tblPr>
        <w:tblStyle w:val="Tabellenraster"/>
        <w:tblW w:w="4994" w:type="pct"/>
        <w:tblLook w:val="04A0" w:firstRow="1" w:lastRow="0" w:firstColumn="1" w:lastColumn="0" w:noHBand="0" w:noVBand="1"/>
      </w:tblPr>
      <w:tblGrid>
        <w:gridCol w:w="559"/>
        <w:gridCol w:w="1702"/>
        <w:gridCol w:w="3403"/>
        <w:gridCol w:w="3387"/>
      </w:tblGrid>
      <w:tr w:rsidR="00A8536E" w14:paraId="15AA2F34" w14:textId="77777777" w:rsidTr="00A8536E">
        <w:tc>
          <w:tcPr>
            <w:tcW w:w="309" w:type="pct"/>
            <w:vAlign w:val="center"/>
          </w:tcPr>
          <w:p w14:paraId="61959E47" w14:textId="0536416D" w:rsidR="00A8536E" w:rsidRDefault="00A8536E" w:rsidP="00A8536E">
            <w:pPr>
              <w:pStyle w:val="whitespace-normal"/>
            </w:pPr>
            <w:r>
              <w:rPr>
                <w:b/>
                <w:bCs/>
              </w:rPr>
              <w:t>Nr.</w:t>
            </w:r>
          </w:p>
        </w:tc>
        <w:tc>
          <w:tcPr>
            <w:tcW w:w="940" w:type="pct"/>
            <w:vAlign w:val="center"/>
          </w:tcPr>
          <w:p w14:paraId="43E5EA13" w14:textId="0D78ACE5" w:rsidR="00A8536E" w:rsidRDefault="00A8536E" w:rsidP="00A8536E">
            <w:pPr>
              <w:pStyle w:val="whitespace-normal"/>
            </w:pPr>
            <w:r>
              <w:rPr>
                <w:b/>
                <w:bCs/>
              </w:rPr>
              <w:t>Aspekt</w:t>
            </w:r>
          </w:p>
        </w:tc>
        <w:tc>
          <w:tcPr>
            <w:tcW w:w="1880" w:type="pct"/>
            <w:vAlign w:val="center"/>
          </w:tcPr>
          <w:p w14:paraId="6651C466" w14:textId="698D8CCE" w:rsidR="00A8536E" w:rsidRDefault="00A8536E" w:rsidP="00A8536E">
            <w:pPr>
              <w:pStyle w:val="whitespace-normal"/>
            </w:pPr>
            <w:r>
              <w:rPr>
                <w:b/>
                <w:bCs/>
              </w:rPr>
              <w:t>Fehler</w:t>
            </w:r>
          </w:p>
        </w:tc>
        <w:tc>
          <w:tcPr>
            <w:tcW w:w="1871" w:type="pct"/>
            <w:vAlign w:val="center"/>
          </w:tcPr>
          <w:p w14:paraId="69E873AA" w14:textId="765F9CD7" w:rsidR="00A8536E" w:rsidRDefault="00A8536E" w:rsidP="00A8536E">
            <w:pPr>
              <w:pStyle w:val="whitespace-normal"/>
            </w:pPr>
            <w:r>
              <w:rPr>
                <w:b/>
                <w:bCs/>
              </w:rPr>
              <w:t>Konsequenz</w:t>
            </w:r>
          </w:p>
        </w:tc>
      </w:tr>
      <w:tr w:rsidR="00A8536E" w14:paraId="0A36CFED" w14:textId="77777777" w:rsidTr="00A8536E">
        <w:tc>
          <w:tcPr>
            <w:tcW w:w="309" w:type="pct"/>
            <w:vAlign w:val="center"/>
          </w:tcPr>
          <w:p w14:paraId="3CE1ADB1" w14:textId="45DF32D0" w:rsidR="00A8536E" w:rsidRDefault="00A8536E" w:rsidP="00A8536E">
            <w:pPr>
              <w:pStyle w:val="whitespace-normal"/>
            </w:pPr>
            <w:r>
              <w:rPr>
                <w:rStyle w:val="Fett"/>
              </w:rPr>
              <w:t>1</w:t>
            </w:r>
          </w:p>
        </w:tc>
        <w:tc>
          <w:tcPr>
            <w:tcW w:w="940" w:type="pct"/>
            <w:vAlign w:val="center"/>
          </w:tcPr>
          <w:p w14:paraId="38D123F0" w14:textId="1EAD231E" w:rsidR="00A8536E" w:rsidRDefault="00A8536E" w:rsidP="00A8536E">
            <w:pPr>
              <w:pStyle w:val="whitespace-normal"/>
            </w:pPr>
            <w:r>
              <w:rPr>
                <w:rStyle w:val="Fett"/>
              </w:rPr>
              <w:t>Ungehorsam</w:t>
            </w:r>
          </w:p>
        </w:tc>
        <w:tc>
          <w:tcPr>
            <w:tcW w:w="1880" w:type="pct"/>
            <w:vAlign w:val="center"/>
          </w:tcPr>
          <w:p w14:paraId="4A5C7059" w14:textId="7328E94C" w:rsidR="00A8536E" w:rsidRDefault="00A8536E" w:rsidP="00A8536E">
            <w:pPr>
              <w:pStyle w:val="whitespace-normal"/>
            </w:pPr>
            <w:r>
              <w:t>Schlug statt zu reden</w:t>
            </w:r>
          </w:p>
        </w:tc>
        <w:tc>
          <w:tcPr>
            <w:tcW w:w="1871" w:type="pct"/>
            <w:vAlign w:val="center"/>
          </w:tcPr>
          <w:p w14:paraId="574EEF15" w14:textId="038AF9AE" w:rsidR="00A8536E" w:rsidRDefault="00A8536E" w:rsidP="00A8536E">
            <w:pPr>
              <w:pStyle w:val="whitespace-normal"/>
            </w:pPr>
            <w:r>
              <w:t>Missachtung des Befehls</w:t>
            </w:r>
          </w:p>
        </w:tc>
      </w:tr>
      <w:tr w:rsidR="00A8536E" w14:paraId="6AEE752B" w14:textId="77777777" w:rsidTr="00A8536E">
        <w:tc>
          <w:tcPr>
            <w:tcW w:w="309" w:type="pct"/>
            <w:vAlign w:val="center"/>
          </w:tcPr>
          <w:p w14:paraId="73D35BA9" w14:textId="05993F70" w:rsidR="00A8536E" w:rsidRDefault="00A8536E" w:rsidP="00A8536E">
            <w:pPr>
              <w:pStyle w:val="whitespace-normal"/>
            </w:pPr>
            <w:r>
              <w:rPr>
                <w:rStyle w:val="Fett"/>
              </w:rPr>
              <w:t>2</w:t>
            </w:r>
          </w:p>
        </w:tc>
        <w:tc>
          <w:tcPr>
            <w:tcW w:w="940" w:type="pct"/>
            <w:vAlign w:val="center"/>
          </w:tcPr>
          <w:p w14:paraId="0E7054D0" w14:textId="63235A24" w:rsidR="00A8536E" w:rsidRDefault="00A8536E" w:rsidP="00A8536E">
            <w:pPr>
              <w:pStyle w:val="whitespace-normal"/>
            </w:pPr>
            <w:r>
              <w:rPr>
                <w:rStyle w:val="Fett"/>
              </w:rPr>
              <w:t>Stolz</w:t>
            </w:r>
          </w:p>
        </w:tc>
        <w:tc>
          <w:tcPr>
            <w:tcW w:w="1880" w:type="pct"/>
            <w:vAlign w:val="center"/>
          </w:tcPr>
          <w:p w14:paraId="06727121" w14:textId="5E460898" w:rsidR="00A8536E" w:rsidRDefault="00A8536E" w:rsidP="00A8536E">
            <w:pPr>
              <w:pStyle w:val="whitespace-normal"/>
            </w:pPr>
            <w:r>
              <w:t>"</w:t>
            </w:r>
            <w:r>
              <w:rPr>
                <w:rStyle w:val="Fett"/>
              </w:rPr>
              <w:t>WIR</w:t>
            </w:r>
            <w:r>
              <w:t xml:space="preserve"> werden..."</w:t>
            </w:r>
          </w:p>
        </w:tc>
        <w:tc>
          <w:tcPr>
            <w:tcW w:w="1871" w:type="pct"/>
            <w:vAlign w:val="center"/>
          </w:tcPr>
          <w:p w14:paraId="6F6AAFFD" w14:textId="3FC4902D" w:rsidR="00A8536E" w:rsidRDefault="00A8536E" w:rsidP="00A8536E">
            <w:pPr>
              <w:pStyle w:val="whitespace-normal"/>
            </w:pPr>
            <w:r>
              <w:t>Nahm Gottes Ehre</w:t>
            </w:r>
          </w:p>
        </w:tc>
      </w:tr>
      <w:tr w:rsidR="00A8536E" w14:paraId="76528857" w14:textId="77777777" w:rsidTr="00A8536E">
        <w:tc>
          <w:tcPr>
            <w:tcW w:w="309" w:type="pct"/>
            <w:vAlign w:val="center"/>
          </w:tcPr>
          <w:p w14:paraId="5911E0FD" w14:textId="72DBE9D5" w:rsidR="00A8536E" w:rsidRDefault="00A8536E" w:rsidP="00A8536E">
            <w:pPr>
              <w:pStyle w:val="whitespace-normal"/>
            </w:pPr>
            <w:r>
              <w:rPr>
                <w:rStyle w:val="Fett"/>
              </w:rPr>
              <w:t>3</w:t>
            </w:r>
          </w:p>
        </w:tc>
        <w:tc>
          <w:tcPr>
            <w:tcW w:w="940" w:type="pct"/>
            <w:vAlign w:val="center"/>
          </w:tcPr>
          <w:p w14:paraId="1DF1392E" w14:textId="79A68843" w:rsidR="00A8536E" w:rsidRDefault="00A8536E" w:rsidP="00A8536E">
            <w:pPr>
              <w:pStyle w:val="whitespace-normal"/>
            </w:pPr>
            <w:r>
              <w:rPr>
                <w:rStyle w:val="Fett"/>
              </w:rPr>
              <w:t>Zorn</w:t>
            </w:r>
          </w:p>
        </w:tc>
        <w:tc>
          <w:tcPr>
            <w:tcW w:w="1880" w:type="pct"/>
            <w:vAlign w:val="center"/>
          </w:tcPr>
          <w:p w14:paraId="4A2B696F" w14:textId="04C66429" w:rsidR="00A8536E" w:rsidRDefault="00A8536E" w:rsidP="00A8536E">
            <w:pPr>
              <w:pStyle w:val="whitespace-normal"/>
            </w:pPr>
            <w:r>
              <w:t>"Ihr Widerspenstigen!"</w:t>
            </w:r>
          </w:p>
        </w:tc>
        <w:tc>
          <w:tcPr>
            <w:tcW w:w="1871" w:type="pct"/>
            <w:vAlign w:val="center"/>
          </w:tcPr>
          <w:p w14:paraId="7E78AB5A" w14:textId="49FD2913" w:rsidR="00A8536E" w:rsidRDefault="00A8536E" w:rsidP="00A8536E">
            <w:pPr>
              <w:pStyle w:val="whitespace-normal"/>
            </w:pPr>
            <w:r>
              <w:t>Verlor Sanftmut</w:t>
            </w:r>
          </w:p>
        </w:tc>
      </w:tr>
      <w:tr w:rsidR="00A8536E" w14:paraId="2EF2F95F" w14:textId="77777777" w:rsidTr="00A8536E">
        <w:tc>
          <w:tcPr>
            <w:tcW w:w="309" w:type="pct"/>
            <w:vAlign w:val="center"/>
          </w:tcPr>
          <w:p w14:paraId="57455A21" w14:textId="101D8FE1" w:rsidR="00A8536E" w:rsidRDefault="00A8536E" w:rsidP="00A8536E">
            <w:pPr>
              <w:pStyle w:val="whitespace-normal"/>
            </w:pPr>
            <w:r>
              <w:rPr>
                <w:rStyle w:val="Fett"/>
              </w:rPr>
              <w:t>4</w:t>
            </w:r>
          </w:p>
        </w:tc>
        <w:tc>
          <w:tcPr>
            <w:tcW w:w="940" w:type="pct"/>
            <w:vAlign w:val="center"/>
          </w:tcPr>
          <w:p w14:paraId="1A9F8CD1" w14:textId="59255346" w:rsidR="00A8536E" w:rsidRDefault="00A8536E" w:rsidP="00A8536E">
            <w:pPr>
              <w:pStyle w:val="whitespace-normal"/>
            </w:pPr>
            <w:r>
              <w:rPr>
                <w:rStyle w:val="Fett"/>
              </w:rPr>
              <w:t>Unglaube</w:t>
            </w:r>
          </w:p>
        </w:tc>
        <w:tc>
          <w:tcPr>
            <w:tcW w:w="1880" w:type="pct"/>
            <w:vAlign w:val="center"/>
          </w:tcPr>
          <w:p w14:paraId="75E9E5D2" w14:textId="07F8888A" w:rsidR="00A8536E" w:rsidRDefault="00A8536E" w:rsidP="00A8536E">
            <w:pPr>
              <w:pStyle w:val="whitespace-normal"/>
            </w:pPr>
            <w:r>
              <w:t>"Nicht geglaubt" (V. 12)</w:t>
            </w:r>
          </w:p>
        </w:tc>
        <w:tc>
          <w:tcPr>
            <w:tcW w:w="1871" w:type="pct"/>
            <w:vAlign w:val="center"/>
          </w:tcPr>
          <w:p w14:paraId="29229676" w14:textId="649ABD05" w:rsidR="00A8536E" w:rsidRDefault="00A8536E" w:rsidP="00A8536E">
            <w:pPr>
              <w:pStyle w:val="whitespace-normal"/>
            </w:pPr>
            <w:r>
              <w:t>Vertraute nicht auf Gottes Methode</w:t>
            </w:r>
          </w:p>
        </w:tc>
      </w:tr>
      <w:tr w:rsidR="00A8536E" w14:paraId="7A3750F6" w14:textId="77777777" w:rsidTr="00A8536E">
        <w:tc>
          <w:tcPr>
            <w:tcW w:w="309" w:type="pct"/>
            <w:vAlign w:val="center"/>
          </w:tcPr>
          <w:p w14:paraId="3A557672" w14:textId="1F524D13" w:rsidR="00A8536E" w:rsidRDefault="00A8536E" w:rsidP="00A8536E">
            <w:pPr>
              <w:pStyle w:val="whitespace-normal"/>
            </w:pPr>
            <w:r>
              <w:rPr>
                <w:rStyle w:val="Fett"/>
              </w:rPr>
              <w:lastRenderedPageBreak/>
              <w:t>5</w:t>
            </w:r>
          </w:p>
        </w:tc>
        <w:tc>
          <w:tcPr>
            <w:tcW w:w="940" w:type="pct"/>
            <w:vAlign w:val="center"/>
          </w:tcPr>
          <w:p w14:paraId="7BADD172" w14:textId="336386BA" w:rsidR="00A8536E" w:rsidRDefault="00A8536E" w:rsidP="00A8536E">
            <w:pPr>
              <w:pStyle w:val="whitespace-normal"/>
            </w:pPr>
            <w:r>
              <w:rPr>
                <w:rStyle w:val="Fett"/>
              </w:rPr>
              <w:t>Ungeduld</w:t>
            </w:r>
          </w:p>
        </w:tc>
        <w:tc>
          <w:tcPr>
            <w:tcW w:w="1880" w:type="pct"/>
            <w:vAlign w:val="center"/>
          </w:tcPr>
          <w:p w14:paraId="5649010B" w14:textId="0C346996" w:rsidR="00A8536E" w:rsidRDefault="00A8536E" w:rsidP="00A8536E">
            <w:pPr>
              <w:pStyle w:val="whitespace-normal"/>
            </w:pPr>
            <w:r>
              <w:t xml:space="preserve">Schlug </w:t>
            </w:r>
            <w:r>
              <w:rPr>
                <w:rStyle w:val="Fett"/>
              </w:rPr>
              <w:t>zweimal</w:t>
            </w:r>
          </w:p>
        </w:tc>
        <w:tc>
          <w:tcPr>
            <w:tcW w:w="1871" w:type="pct"/>
            <w:vAlign w:val="center"/>
          </w:tcPr>
          <w:p w14:paraId="49B9DBF0" w14:textId="51C35511" w:rsidR="00A8536E" w:rsidRDefault="00A8536E" w:rsidP="00A8536E">
            <w:pPr>
              <w:pStyle w:val="whitespace-normal"/>
            </w:pPr>
            <w:r>
              <w:t>Menschliches Mühen</w:t>
            </w:r>
          </w:p>
        </w:tc>
      </w:tr>
      <w:tr w:rsidR="00A8536E" w14:paraId="63E8C77E" w14:textId="77777777" w:rsidTr="00A8536E">
        <w:tc>
          <w:tcPr>
            <w:tcW w:w="309" w:type="pct"/>
            <w:vAlign w:val="center"/>
          </w:tcPr>
          <w:p w14:paraId="3729F836" w14:textId="4DA34225" w:rsidR="00A8536E" w:rsidRDefault="00A8536E" w:rsidP="00A8536E">
            <w:pPr>
              <w:pStyle w:val="whitespace-normal"/>
            </w:pPr>
            <w:r>
              <w:rPr>
                <w:rStyle w:val="Fett"/>
              </w:rPr>
              <w:t>6</w:t>
            </w:r>
          </w:p>
        </w:tc>
        <w:tc>
          <w:tcPr>
            <w:tcW w:w="940" w:type="pct"/>
            <w:vAlign w:val="center"/>
          </w:tcPr>
          <w:p w14:paraId="6023F96B" w14:textId="0B2D5E89" w:rsidR="00A8536E" w:rsidRDefault="00A8536E" w:rsidP="00A8536E">
            <w:pPr>
              <w:pStyle w:val="whitespace-normal"/>
            </w:pPr>
            <w:r>
              <w:rPr>
                <w:rStyle w:val="Fett"/>
              </w:rPr>
              <w:t>Falsche Zeit</w:t>
            </w:r>
          </w:p>
        </w:tc>
        <w:tc>
          <w:tcPr>
            <w:tcW w:w="1880" w:type="pct"/>
            <w:vAlign w:val="center"/>
          </w:tcPr>
          <w:p w14:paraId="5F247ADA" w14:textId="6690601F" w:rsidR="00A8536E" w:rsidRDefault="00A8536E" w:rsidP="00A8536E">
            <w:pPr>
              <w:pStyle w:val="whitespace-normal"/>
            </w:pPr>
            <w:r>
              <w:t>Schlagen (alt) statt Reden (neu)</w:t>
            </w:r>
          </w:p>
        </w:tc>
        <w:tc>
          <w:tcPr>
            <w:tcW w:w="1871" w:type="pct"/>
            <w:vAlign w:val="center"/>
          </w:tcPr>
          <w:p w14:paraId="1589D623" w14:textId="4BC46180" w:rsidR="00A8536E" w:rsidRDefault="00A8536E" w:rsidP="00A8536E">
            <w:pPr>
              <w:pStyle w:val="whitespace-normal"/>
            </w:pPr>
            <w:r>
              <w:t>Verfehlte den neuen Bund</w:t>
            </w:r>
          </w:p>
        </w:tc>
      </w:tr>
      <w:tr w:rsidR="00A8536E" w14:paraId="63B73624" w14:textId="77777777" w:rsidTr="00A8536E">
        <w:tc>
          <w:tcPr>
            <w:tcW w:w="309" w:type="pct"/>
            <w:vAlign w:val="center"/>
          </w:tcPr>
          <w:p w14:paraId="743A1140" w14:textId="47DD35FB" w:rsidR="00A8536E" w:rsidRDefault="00A8536E" w:rsidP="00A8536E">
            <w:pPr>
              <w:pStyle w:val="whitespace-normal"/>
            </w:pPr>
            <w:r>
              <w:rPr>
                <w:rStyle w:val="Fett"/>
              </w:rPr>
              <w:t>7</w:t>
            </w:r>
          </w:p>
        </w:tc>
        <w:tc>
          <w:tcPr>
            <w:tcW w:w="940" w:type="pct"/>
            <w:vAlign w:val="center"/>
          </w:tcPr>
          <w:p w14:paraId="72B4B457" w14:textId="0C6CA6CB" w:rsidR="00A8536E" w:rsidRDefault="00A8536E" w:rsidP="00A8536E">
            <w:pPr>
              <w:pStyle w:val="whitespace-normal"/>
            </w:pPr>
            <w:r>
              <w:rPr>
                <w:rStyle w:val="Fett"/>
              </w:rPr>
              <w:t>Usurpation</w:t>
            </w:r>
          </w:p>
        </w:tc>
        <w:tc>
          <w:tcPr>
            <w:tcW w:w="1880" w:type="pct"/>
            <w:vAlign w:val="center"/>
          </w:tcPr>
          <w:p w14:paraId="1977639F" w14:textId="3F476D99" w:rsidR="00A8536E" w:rsidRDefault="00A8536E" w:rsidP="00A8536E">
            <w:pPr>
              <w:pStyle w:val="whitespace-normal"/>
            </w:pPr>
            <w:r>
              <w:t>Machte sich zum Mittler</w:t>
            </w:r>
          </w:p>
        </w:tc>
        <w:tc>
          <w:tcPr>
            <w:tcW w:w="1871" w:type="pct"/>
            <w:vAlign w:val="center"/>
          </w:tcPr>
          <w:p w14:paraId="1435818A" w14:textId="324454BC" w:rsidR="00A8536E" w:rsidRDefault="00A8536E" w:rsidP="00A8536E">
            <w:pPr>
              <w:pStyle w:val="whitespace-normal"/>
            </w:pPr>
            <w:r>
              <w:t>Nahm Christi Rolle</w:t>
            </w:r>
          </w:p>
        </w:tc>
      </w:tr>
    </w:tbl>
    <w:p w14:paraId="2DA2CC5A" w14:textId="77777777" w:rsidR="00864465" w:rsidRDefault="00864465" w:rsidP="00864465">
      <w:pPr>
        <w:pStyle w:val="whitespace-normal"/>
      </w:pPr>
      <w:r>
        <w:rPr>
          <w:rStyle w:val="Fett"/>
        </w:rPr>
        <w:t>Die Kern-Sünde:</w:t>
      </w:r>
    </w:p>
    <w:p w14:paraId="598665F2" w14:textId="77777777" w:rsidR="00864465" w:rsidRDefault="00864465" w:rsidP="00864465">
      <w:pPr>
        <w:pStyle w:val="whitespace-normal"/>
      </w:pPr>
      <w:r>
        <w:rPr>
          <w:rStyle w:val="Fett"/>
          <w:rtl/>
        </w:rPr>
        <w:t>לֹא־הֶאֱמַנְתֶּם בִּי לְהַקְדִּישֵׁנִי לְעֵינֵי בְּנֵי יִשְׂרָאֵל</w:t>
      </w:r>
      <w:r>
        <w:rPr>
          <w:rtl/>
        </w:rPr>
        <w:t xml:space="preserve"> </w:t>
      </w:r>
      <w:r>
        <w:t>(V. 12)</w:t>
      </w:r>
      <w:r>
        <w:br/>
        <w:t xml:space="preserve">"Ihr habt </w:t>
      </w:r>
      <w:r>
        <w:rPr>
          <w:rStyle w:val="Fett"/>
        </w:rPr>
        <w:t>nicht an mich geglaubt</w:t>
      </w:r>
      <w:r>
        <w:t xml:space="preserve">, um </w:t>
      </w:r>
      <w:r>
        <w:rPr>
          <w:rStyle w:val="Fett"/>
        </w:rPr>
        <w:t>mich zu heiligen</w:t>
      </w:r>
      <w:r>
        <w:t xml:space="preserve"> vor den Augen der Söhne Israels"</w:t>
      </w:r>
    </w:p>
    <w:p w14:paraId="1401D92C" w14:textId="77777777" w:rsidR="00864465" w:rsidRDefault="00864465" w:rsidP="00864465">
      <w:pPr>
        <w:pStyle w:val="whitespace-normal"/>
      </w:pPr>
      <w:r>
        <w:rPr>
          <w:rStyle w:val="Fett"/>
        </w:rPr>
        <w:t>→ Mangel an Vertrauen + Versäumnis, Gottes Heiligkeit zu zeigen!</w:t>
      </w:r>
    </w:p>
    <w:p w14:paraId="25F521D0" w14:textId="77777777" w:rsidR="00864465" w:rsidRDefault="00F329DD" w:rsidP="00864465">
      <w:r>
        <w:pict w14:anchorId="3B94E8EB">
          <v:rect id="_x0000_i1714" style="width:0;height:1.5pt" o:hralign="center" o:hrstd="t" o:hr="t" fillcolor="#a0a0a0" stroked="f"/>
        </w:pict>
      </w:r>
    </w:p>
    <w:p w14:paraId="481EDE36" w14:textId="77777777" w:rsidR="00864465" w:rsidRDefault="00864465" w:rsidP="00864465">
      <w:pPr>
        <w:pStyle w:val="whitespace-normal"/>
      </w:pPr>
      <w:r>
        <w:rPr>
          <w:rStyle w:val="Fett"/>
        </w:rPr>
        <w:t>Warum so hart?</w:t>
      </w:r>
    </w:p>
    <w:p w14:paraId="633F998D" w14:textId="77777777" w:rsidR="00864465" w:rsidRDefault="00864465" w:rsidP="00B358B7">
      <w:pPr>
        <w:pStyle w:val="whitespace-normal"/>
        <w:numPr>
          <w:ilvl w:val="0"/>
          <w:numId w:val="205"/>
        </w:numPr>
      </w:pPr>
      <w:r>
        <w:rPr>
          <w:rStyle w:val="Fett"/>
        </w:rPr>
        <w:t>Höhere Position</w:t>
      </w:r>
      <w:r>
        <w:t xml:space="preserve"> = höhere Verantwortung (Jak 3,1)</w:t>
      </w:r>
    </w:p>
    <w:p w14:paraId="19F2B18F" w14:textId="77777777" w:rsidR="00864465" w:rsidRDefault="00864465" w:rsidP="00B358B7">
      <w:pPr>
        <w:pStyle w:val="whitespace-normal"/>
        <w:numPr>
          <w:ilvl w:val="0"/>
          <w:numId w:val="205"/>
        </w:numPr>
      </w:pPr>
      <w:r>
        <w:rPr>
          <w:rStyle w:val="Fett"/>
        </w:rPr>
        <w:t>Öffentliche Sünde</w:t>
      </w:r>
      <w:r>
        <w:t xml:space="preserve"> = öffentliche Konsequenz (Num 20,12)</w:t>
      </w:r>
    </w:p>
    <w:p w14:paraId="0E926DAE" w14:textId="77777777" w:rsidR="00864465" w:rsidRDefault="00864465" w:rsidP="00B358B7">
      <w:pPr>
        <w:pStyle w:val="whitespace-normal"/>
        <w:numPr>
          <w:ilvl w:val="0"/>
          <w:numId w:val="205"/>
        </w:numPr>
      </w:pPr>
      <w:r>
        <w:rPr>
          <w:rStyle w:val="Fett"/>
        </w:rPr>
        <w:t>Typos Christi:</w:t>
      </w:r>
      <w:r>
        <w:t xml:space="preserve"> Mose = Gesetz (bringt zur Grenze), Jesus = Gnade (bringt hinein)</w:t>
      </w:r>
    </w:p>
    <w:p w14:paraId="22865E91" w14:textId="77777777" w:rsidR="00864465" w:rsidRDefault="00864465" w:rsidP="00B358B7">
      <w:pPr>
        <w:pStyle w:val="whitespace-normal"/>
        <w:numPr>
          <w:ilvl w:val="0"/>
          <w:numId w:val="205"/>
        </w:numPr>
      </w:pPr>
      <w:r>
        <w:rPr>
          <w:rStyle w:val="Fett"/>
        </w:rPr>
        <w:t>Gottes Ehre</w:t>
      </w:r>
      <w:r>
        <w:t xml:space="preserve"> &gt; menschliche Gefühle (Jes 42,8)</w:t>
      </w:r>
    </w:p>
    <w:p w14:paraId="17E6968D" w14:textId="77777777" w:rsidR="00864465" w:rsidRDefault="00864465" w:rsidP="00864465">
      <w:pPr>
        <w:pStyle w:val="whitespace-normal"/>
      </w:pPr>
      <w:r>
        <w:rPr>
          <w:rStyle w:val="Fett"/>
        </w:rPr>
        <w:t>Aber: Gnade bleibt!</w:t>
      </w:r>
    </w:p>
    <w:p w14:paraId="042A69B5" w14:textId="77777777" w:rsidR="00864465" w:rsidRDefault="00864465" w:rsidP="00B358B7">
      <w:pPr>
        <w:pStyle w:val="whitespace-normal"/>
        <w:numPr>
          <w:ilvl w:val="0"/>
          <w:numId w:val="206"/>
        </w:numPr>
      </w:pPr>
      <w:r>
        <w:t xml:space="preserve">Mose </w:t>
      </w:r>
      <w:r>
        <w:rPr>
          <w:rStyle w:val="Fett"/>
        </w:rPr>
        <w:t>sieht</w:t>
      </w:r>
      <w:r>
        <w:t xml:space="preserve"> das Land (Dtn 34,1-4)</w:t>
      </w:r>
    </w:p>
    <w:p w14:paraId="6A25E6FE" w14:textId="0E43FA7C" w:rsidR="00864465" w:rsidRDefault="00864465" w:rsidP="00B358B7">
      <w:pPr>
        <w:pStyle w:val="whitespace-normal"/>
        <w:numPr>
          <w:ilvl w:val="0"/>
          <w:numId w:val="206"/>
        </w:numPr>
      </w:pPr>
      <w:r>
        <w:t xml:space="preserve">Stirbt </w:t>
      </w:r>
      <w:r>
        <w:rPr>
          <w:rStyle w:val="Fett"/>
        </w:rPr>
        <w:t>würdevoll</w:t>
      </w:r>
      <w:r>
        <w:t xml:space="preserve"> "durch </w:t>
      </w:r>
      <w:r w:rsidR="002526EA">
        <w:t xml:space="preserve">den </w:t>
      </w:r>
      <w:r w:rsidR="002526EA">
        <w:t>Mund</w:t>
      </w:r>
      <w:r w:rsidR="002526EA">
        <w:t xml:space="preserve"> </w:t>
      </w:r>
      <w:r>
        <w:t>Gottes " (Dtn 34,5)</w:t>
      </w:r>
    </w:p>
    <w:p w14:paraId="4B1B9EDA" w14:textId="77777777" w:rsidR="00864465" w:rsidRDefault="00864465" w:rsidP="00B358B7">
      <w:pPr>
        <w:pStyle w:val="whitespace-normal"/>
        <w:numPr>
          <w:ilvl w:val="0"/>
          <w:numId w:val="206"/>
        </w:numPr>
      </w:pPr>
      <w:r>
        <w:t xml:space="preserve">Erscheint auf dem </w:t>
      </w:r>
      <w:r>
        <w:rPr>
          <w:rStyle w:val="Fett"/>
        </w:rPr>
        <w:t>Verklärungsberg</w:t>
      </w:r>
      <w:r>
        <w:t xml:space="preserve"> (Mt 17,3) – kommt </w:t>
      </w:r>
      <w:r>
        <w:rPr>
          <w:rStyle w:val="Fett"/>
        </w:rPr>
        <w:t>doch</w:t>
      </w:r>
      <w:r>
        <w:t xml:space="preserve"> ins Land!</w:t>
      </w:r>
    </w:p>
    <w:p w14:paraId="7DA9DF58" w14:textId="77777777" w:rsidR="00864465" w:rsidRDefault="00864465" w:rsidP="00864465">
      <w:pPr>
        <w:pStyle w:val="whitespace-normal"/>
      </w:pPr>
      <w:r>
        <w:rPr>
          <w:rStyle w:val="Fett"/>
        </w:rPr>
        <w:t>Die Lektion:</w:t>
      </w:r>
    </w:p>
    <w:p w14:paraId="70EB7C69" w14:textId="583695E4" w:rsidR="00913A2D" w:rsidRPr="00DE119B" w:rsidRDefault="00864465" w:rsidP="00A8536E">
      <w:pPr>
        <w:pStyle w:val="whitespace-normal"/>
      </w:pPr>
      <w:r>
        <w:rPr>
          <w:rStyle w:val="Fett"/>
        </w:rPr>
        <w:t>Selbst Mose versagte</w:t>
      </w:r>
      <w:r>
        <w:t xml:space="preserve"> → ALLE brauchen </w:t>
      </w:r>
      <w:r>
        <w:rPr>
          <w:rStyle w:val="Fett"/>
        </w:rPr>
        <w:t>Gnade</w:t>
      </w:r>
      <w:r>
        <w:t>!</w:t>
      </w:r>
      <w:r>
        <w:br/>
      </w:r>
      <w:r>
        <w:rPr>
          <w:rStyle w:val="Fett"/>
        </w:rPr>
        <w:t>Aber:</w:t>
      </w:r>
      <w:r>
        <w:t xml:space="preserve"> Sünde hat </w:t>
      </w:r>
      <w:r>
        <w:rPr>
          <w:rStyle w:val="Fett"/>
        </w:rPr>
        <w:t>Konsequenzen</w:t>
      </w:r>
      <w:r>
        <w:t xml:space="preserve"> – auch für Gläubige!</w:t>
      </w:r>
      <w:r>
        <w:br/>
      </w:r>
      <w:r>
        <w:rPr>
          <w:rStyle w:val="Fett"/>
        </w:rPr>
        <w:t>Doch:</w:t>
      </w:r>
      <w:r>
        <w:t xml:space="preserve"> Gottes </w:t>
      </w:r>
      <w:r>
        <w:rPr>
          <w:rStyle w:val="Fett"/>
        </w:rPr>
        <w:t>Gnade ist größer</w:t>
      </w:r>
      <w:r>
        <w:t xml:space="preserve"> – Mose wird gerettet, auch wenn er nicht mit Israel einzieht!</w:t>
      </w:r>
    </w:p>
    <w:p w14:paraId="67BF3DD9"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20,14</w:t>
      </w:r>
    </w:p>
    <w:p w14:paraId="2EB4A62B"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וַיִּשְׁלַ֨ח מֹשֶׁ֧ה מַלְאָכִ֛ים מִקָּדֵ֖שׁ אֶל־מֶ֣לֶךְ אֱד֑וֹם כֹּ֤ה אָמַר֙ אָחִ֣יךָ יִשְׂרָאֵ֔ל אַתָּ֣ה יָדַ֔עְתָּ אֵ֥ת כָּל־הַתְּלָאָ֖ה אֲשֶׁ֥ר מְצָאָֽתְנוּ׃</w:t>
      </w:r>
    </w:p>
    <w:p w14:paraId="63578E85"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Mosche sandte Boten von Kadesch aus an den König von Edom: So spricht dein Bruder Jisra'el: Du kennst alle die Mühsal, die uns betroffen hat.</w:t>
      </w:r>
    </w:p>
    <w:p w14:paraId="3103686C"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2D15D49B">
          <v:rect id="_x0000_i1715" style="width:0;height:1.5pt" o:hralign="center" o:hrstd="t" o:hr="t" fillcolor="#a0a0a0" stroked="f"/>
        </w:pict>
      </w:r>
    </w:p>
    <w:p w14:paraId="6AC9C47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וַיִּשְׁלַח</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שׁלח</w:t>
      </w:r>
      <w:r w:rsidRPr="00DE119B">
        <w:rPr>
          <w:rFonts w:eastAsia="Times New Roman" w:cs="Times New Roman"/>
          <w:lang w:eastAsia="de-DE"/>
        </w:rPr>
        <w:t xml:space="preserve">, „und er sandte"). </w:t>
      </w:r>
      <w:r w:rsidRPr="00DE119B">
        <w:rPr>
          <w:rFonts w:eastAsia="Times New Roman" w:cs="Times New Roman"/>
          <w:b/>
          <w:bCs/>
          <w:rtl/>
          <w:lang w:eastAsia="de-DE"/>
        </w:rPr>
        <w:t>מֹשֶׁה</w:t>
      </w:r>
      <w:r w:rsidRPr="00DE119B">
        <w:rPr>
          <w:rFonts w:eastAsia="Times New Roman" w:cs="Times New Roman"/>
          <w:rtl/>
          <w:lang w:eastAsia="de-DE"/>
        </w:rPr>
        <w:t xml:space="preserve"> </w:t>
      </w:r>
      <w:r w:rsidRPr="00DE119B">
        <w:rPr>
          <w:rFonts w:eastAsia="Times New Roman" w:cs="Times New Roman"/>
          <w:lang w:eastAsia="de-DE"/>
        </w:rPr>
        <w:t xml:space="preserve">Subjekt. Das Objekt </w:t>
      </w:r>
      <w:r w:rsidRPr="00DE119B">
        <w:rPr>
          <w:rFonts w:eastAsia="Times New Roman" w:cs="Times New Roman"/>
          <w:b/>
          <w:bCs/>
          <w:rtl/>
          <w:lang w:eastAsia="de-DE"/>
        </w:rPr>
        <w:t>מַלְאָכִים</w:t>
      </w:r>
      <w:r w:rsidRPr="00DE119B">
        <w:rPr>
          <w:rFonts w:eastAsia="Times New Roman" w:cs="Times New Roman"/>
          <w:rtl/>
          <w:lang w:eastAsia="de-DE"/>
        </w:rPr>
        <w:t xml:space="preserve"> </w:t>
      </w:r>
      <w:r w:rsidRPr="00DE119B">
        <w:rPr>
          <w:rFonts w:eastAsia="Times New Roman" w:cs="Times New Roman"/>
          <w:lang w:eastAsia="de-DE"/>
        </w:rPr>
        <w:t xml:space="preserve">(„Boten") Plural von </w:t>
      </w:r>
      <w:r w:rsidRPr="00DE119B">
        <w:rPr>
          <w:rFonts w:eastAsia="Times New Roman" w:cs="Times New Roman"/>
          <w:b/>
          <w:bCs/>
          <w:rtl/>
          <w:lang w:eastAsia="de-DE"/>
        </w:rPr>
        <w:t>מַלְאָךְ</w:t>
      </w:r>
      <w:r w:rsidRPr="00DE119B">
        <w:rPr>
          <w:rFonts w:eastAsia="Times New Roman" w:cs="Times New Roman"/>
          <w:lang w:eastAsia="de-DE"/>
        </w:rPr>
        <w:t xml:space="preserve">. </w:t>
      </w:r>
      <w:r w:rsidRPr="00DE119B">
        <w:rPr>
          <w:rFonts w:eastAsia="Times New Roman" w:cs="Times New Roman"/>
          <w:b/>
          <w:bCs/>
          <w:rtl/>
          <w:lang w:eastAsia="de-DE"/>
        </w:rPr>
        <w:t>מִקָּדֵשׁ</w:t>
      </w:r>
      <w:r w:rsidRPr="00DE119B">
        <w:rPr>
          <w:rFonts w:eastAsia="Times New Roman" w:cs="Times New Roman"/>
          <w:rtl/>
          <w:lang w:eastAsia="de-DE"/>
        </w:rPr>
        <w:t xml:space="preserve"> </w:t>
      </w:r>
      <w:r w:rsidRPr="00DE119B">
        <w:rPr>
          <w:rFonts w:eastAsia="Times New Roman" w:cs="Times New Roman"/>
          <w:lang w:eastAsia="de-DE"/>
        </w:rPr>
        <w:t xml:space="preserve">(„von Kadesch") mit </w:t>
      </w:r>
      <w:r w:rsidRPr="00DE119B">
        <w:rPr>
          <w:rFonts w:eastAsia="Times New Roman" w:cs="Times New Roman"/>
          <w:b/>
          <w:bCs/>
          <w:rtl/>
          <w:lang w:eastAsia="de-DE"/>
        </w:rPr>
        <w:t>מִן</w:t>
      </w:r>
      <w:r w:rsidRPr="00DE119B">
        <w:rPr>
          <w:rFonts w:eastAsia="Times New Roman" w:cs="Times New Roman"/>
          <w:lang w:eastAsia="de-DE"/>
        </w:rPr>
        <w:t xml:space="preserve">. </w:t>
      </w:r>
      <w:r w:rsidRPr="00DE119B">
        <w:rPr>
          <w:rFonts w:eastAsia="Times New Roman" w:cs="Times New Roman"/>
          <w:b/>
          <w:bCs/>
          <w:rtl/>
          <w:lang w:eastAsia="de-DE"/>
        </w:rPr>
        <w:t>אֶל־מֶלֶךְ אֱדוֹם</w:t>
      </w:r>
      <w:r w:rsidRPr="00DE119B">
        <w:rPr>
          <w:rFonts w:eastAsia="Times New Roman" w:cs="Times New Roman"/>
          <w:rtl/>
          <w:lang w:eastAsia="de-DE"/>
        </w:rPr>
        <w:t xml:space="preserve"> </w:t>
      </w:r>
      <w:r w:rsidRPr="00DE119B">
        <w:rPr>
          <w:rFonts w:eastAsia="Times New Roman" w:cs="Times New Roman"/>
          <w:lang w:eastAsia="de-DE"/>
        </w:rPr>
        <w:t>(„zum König von Edom") – Edom, Nachkommen Esaus, sind Israels „Brüder".</w:t>
      </w:r>
    </w:p>
    <w:p w14:paraId="5983AD4D"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Botenformel </w:t>
      </w:r>
      <w:r w:rsidRPr="00DE119B">
        <w:rPr>
          <w:rFonts w:eastAsia="Times New Roman" w:cs="Times New Roman"/>
          <w:b/>
          <w:bCs/>
          <w:rtl/>
          <w:lang w:eastAsia="de-DE"/>
        </w:rPr>
        <w:t>כֹּה אָמַר אָחִיךָ יִשְׂרָאֵל</w:t>
      </w:r>
      <w:r w:rsidRPr="00DE119B">
        <w:rPr>
          <w:rFonts w:eastAsia="Times New Roman" w:cs="Times New Roman"/>
          <w:rtl/>
          <w:lang w:eastAsia="de-DE"/>
        </w:rPr>
        <w:t xml:space="preserve"> </w:t>
      </w:r>
      <w:r w:rsidRPr="00DE119B">
        <w:rPr>
          <w:rFonts w:eastAsia="Times New Roman" w:cs="Times New Roman"/>
          <w:lang w:eastAsia="de-DE"/>
        </w:rPr>
        <w:t xml:space="preserve">(„so spricht dein Bruder Israel") ist diplomatisch: </w:t>
      </w:r>
      <w:r w:rsidRPr="00DE119B">
        <w:rPr>
          <w:rFonts w:eastAsia="Times New Roman" w:cs="Times New Roman"/>
          <w:b/>
          <w:bCs/>
          <w:rtl/>
          <w:lang w:eastAsia="de-DE"/>
        </w:rPr>
        <w:t>כֹּה אָמַר</w:t>
      </w:r>
      <w:r w:rsidRPr="00DE119B">
        <w:rPr>
          <w:rFonts w:eastAsia="Times New Roman" w:cs="Times New Roman"/>
          <w:rtl/>
          <w:lang w:eastAsia="de-DE"/>
        </w:rPr>
        <w:t xml:space="preserve"> </w:t>
      </w:r>
      <w:r w:rsidRPr="00DE119B">
        <w:rPr>
          <w:rFonts w:eastAsia="Times New Roman" w:cs="Times New Roman"/>
          <w:lang w:eastAsia="de-DE"/>
        </w:rPr>
        <w:t xml:space="preserve">ist die Standardformel, </w:t>
      </w:r>
      <w:r w:rsidRPr="00DE119B">
        <w:rPr>
          <w:rFonts w:eastAsia="Times New Roman" w:cs="Times New Roman"/>
          <w:b/>
          <w:bCs/>
          <w:rtl/>
          <w:lang w:eastAsia="de-DE"/>
        </w:rPr>
        <w:t>אָחִיךָ</w:t>
      </w:r>
      <w:r w:rsidRPr="00DE119B">
        <w:rPr>
          <w:rFonts w:eastAsia="Times New Roman" w:cs="Times New Roman"/>
          <w:rtl/>
          <w:lang w:eastAsia="de-DE"/>
        </w:rPr>
        <w:t xml:space="preserve"> </w:t>
      </w:r>
      <w:r w:rsidRPr="00DE119B">
        <w:rPr>
          <w:rFonts w:eastAsia="Times New Roman" w:cs="Times New Roman"/>
          <w:lang w:eastAsia="de-DE"/>
        </w:rPr>
        <w:t xml:space="preserve">(„dein Bruder") mit Possessivsuffix 2. m. sg. appelliert an </w:t>
      </w:r>
      <w:r w:rsidRPr="00DE119B">
        <w:rPr>
          <w:rFonts w:eastAsia="Times New Roman" w:cs="Times New Roman"/>
          <w:lang w:eastAsia="de-DE"/>
        </w:rPr>
        <w:lastRenderedPageBreak/>
        <w:t xml:space="preserve">Verwandtschaft. Die Anrede </w:t>
      </w:r>
      <w:r w:rsidRPr="00DE119B">
        <w:rPr>
          <w:rFonts w:eastAsia="Times New Roman" w:cs="Times New Roman"/>
          <w:b/>
          <w:bCs/>
          <w:rtl/>
          <w:lang w:eastAsia="de-DE"/>
        </w:rPr>
        <w:t>אַתָּה יָדַעְתָּ</w:t>
      </w:r>
      <w:r w:rsidRPr="00DE119B">
        <w:rPr>
          <w:rFonts w:eastAsia="Times New Roman" w:cs="Times New Roman"/>
          <w:rtl/>
          <w:lang w:eastAsia="de-DE"/>
        </w:rPr>
        <w:t xml:space="preserve"> </w:t>
      </w:r>
      <w:r w:rsidRPr="00DE119B">
        <w:rPr>
          <w:rFonts w:eastAsia="Times New Roman" w:cs="Times New Roman"/>
          <w:lang w:eastAsia="de-DE"/>
        </w:rPr>
        <w:t xml:space="preserve">(„du kennst") mit emphatischem Pronomen und Qal Perfekt von </w:t>
      </w:r>
      <w:r w:rsidRPr="00DE119B">
        <w:rPr>
          <w:rFonts w:eastAsia="Times New Roman" w:cs="Times New Roman"/>
          <w:b/>
          <w:bCs/>
          <w:rtl/>
          <w:lang w:eastAsia="de-DE"/>
        </w:rPr>
        <w:t>ידע</w:t>
      </w:r>
      <w:r w:rsidRPr="00DE119B">
        <w:rPr>
          <w:rFonts w:eastAsia="Times New Roman" w:cs="Times New Roman"/>
          <w:lang w:eastAsia="de-DE"/>
        </w:rPr>
        <w:t xml:space="preserve">. Das Objekt </w:t>
      </w:r>
      <w:r w:rsidRPr="00DE119B">
        <w:rPr>
          <w:rFonts w:eastAsia="Times New Roman" w:cs="Times New Roman"/>
          <w:b/>
          <w:bCs/>
          <w:rtl/>
          <w:lang w:eastAsia="de-DE"/>
        </w:rPr>
        <w:t>אֵת כָּל־הַתְּלָאָה אֲשֶׁר מְצָאָתְנוּ</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כָּל־הַתְּלָאָה</w:t>
      </w:r>
      <w:r w:rsidRPr="00DE119B">
        <w:rPr>
          <w:rFonts w:eastAsia="Times New Roman" w:cs="Times New Roman"/>
          <w:rtl/>
          <w:lang w:eastAsia="de-DE"/>
        </w:rPr>
        <w:t xml:space="preserve"> </w:t>
      </w:r>
      <w:r w:rsidRPr="00DE119B">
        <w:rPr>
          <w:rFonts w:eastAsia="Times New Roman" w:cs="Times New Roman"/>
          <w:lang w:eastAsia="de-DE"/>
        </w:rPr>
        <w:t xml:space="preserve">(„alle Mühsal, Beschwernis") im Constructus und Relativsatz </w:t>
      </w:r>
      <w:r w:rsidRPr="00DE119B">
        <w:rPr>
          <w:rFonts w:eastAsia="Times New Roman" w:cs="Times New Roman"/>
          <w:b/>
          <w:bCs/>
          <w:rtl/>
          <w:lang w:eastAsia="de-DE"/>
        </w:rPr>
        <w:t>אֲשֶׁר מְצָאָתְנוּ</w:t>
      </w:r>
      <w:r w:rsidRPr="00DE119B">
        <w:rPr>
          <w:rFonts w:eastAsia="Times New Roman" w:cs="Times New Roman"/>
          <w:rtl/>
          <w:lang w:eastAsia="de-DE"/>
        </w:rPr>
        <w:t xml:space="preserve"> </w:t>
      </w:r>
      <w:r w:rsidRPr="00DE119B">
        <w:rPr>
          <w:rFonts w:eastAsia="Times New Roman" w:cs="Times New Roman"/>
          <w:lang w:eastAsia="de-DE"/>
        </w:rPr>
        <w:t xml:space="preserve">(Relativpronomen, Qal Perfekt, 3. f. sg. von </w:t>
      </w:r>
      <w:r w:rsidRPr="00DE119B">
        <w:rPr>
          <w:rFonts w:eastAsia="Times New Roman" w:cs="Times New Roman"/>
          <w:b/>
          <w:bCs/>
          <w:rtl/>
          <w:lang w:eastAsia="de-DE"/>
        </w:rPr>
        <w:t>מצא</w:t>
      </w:r>
      <w:r w:rsidRPr="00DE119B">
        <w:rPr>
          <w:rFonts w:eastAsia="Times New Roman" w:cs="Times New Roman"/>
          <w:rtl/>
          <w:lang w:eastAsia="de-DE"/>
        </w:rPr>
        <w:t xml:space="preserve"> </w:t>
      </w:r>
      <w:r w:rsidRPr="00DE119B">
        <w:rPr>
          <w:rFonts w:eastAsia="Times New Roman" w:cs="Times New Roman"/>
          <w:lang w:eastAsia="de-DE"/>
        </w:rPr>
        <w:t>mit Objektsuffix 1. c. pl., „die uns getroffen hat").</w:t>
      </w:r>
    </w:p>
    <w:p w14:paraId="2B9C3E5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w:t>
      </w:r>
    </w:p>
    <w:p w14:paraId="240F46A6"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leitet eine diplomatische Anfrage ein – Israel bittet um Durchzugsrecht durch Edom.</w:t>
      </w:r>
    </w:p>
    <w:p w14:paraId="791621FF"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20,15-16</w:t>
      </w:r>
    </w:p>
    <w:p w14:paraId="61232FB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וַיֵּרְד֤וּ אֲבֹתֵ֨ינוּ֙ מִצְרַ֔יְמָה וַנֵּ֥שֶׁב בְּמִצְרַ֖יִם יָמִ֣ים רַבִּ֑ים וַיָּרֵ֥עוּ לָ֛נוּ מִצְרַ֖יִם וְלַאֲבֹתֵֽינוּ׃ וַנִּצְעַ֤ק אֶל־יְהוָה֙ וַיִּשְׁמַ֣ע קֹלֵ֔נוּ וַיִּשְׁלַ֣ח מַלְאָ֔ךְ וַיֹּצִאֵ֖נוּ מִמִּצְרָ֑יִם וְהִנֵּה֙ אֲנַ֣חְנוּ בְקָדֵ֔שׁ עִ֖יר קְצֵ֥ה גְבוּלֶֽךָ׃</w:t>
      </w:r>
    </w:p>
    <w:p w14:paraId="1DEA77E5"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Unsere Väter zogen hinab nach Ägypten, und wir wohnten in Ägypten viele Tage; und die Ägypter behandelten uns und unsere Väter übel. Da schrien wir zu dem Ewigen, und er hörte unsere Stimme und sandte einen Boten und führte uns aus Ägypten heraus; und siehe, wir sind in Kadesch, einer Stadt am Ende deines Gebiets.</w:t>
      </w:r>
    </w:p>
    <w:p w14:paraId="47063BB2"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398A1168">
          <v:rect id="_x0000_i1716" style="width:0;height:1.5pt" o:hralign="center" o:hrstd="t" o:hr="t" fillcolor="#a0a0a0" stroked="f"/>
        </w:pict>
      </w:r>
    </w:p>
    <w:p w14:paraId="552CFBA5"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Die Verse erzählen die Exodusgeschichte komprimiert. </w:t>
      </w:r>
      <w:r w:rsidRPr="00DE119B">
        <w:rPr>
          <w:rFonts w:eastAsia="Times New Roman" w:cs="Times New Roman"/>
          <w:b/>
          <w:bCs/>
          <w:rtl/>
          <w:lang w:eastAsia="de-DE"/>
        </w:rPr>
        <w:t>וַיֵּרְדוּ אֲבֹתֵינוּ מִצְרַיְמָה</w:t>
      </w:r>
      <w:r w:rsidRPr="00DE119B">
        <w:rPr>
          <w:rFonts w:eastAsia="Times New Roman" w:cs="Times New Roman"/>
          <w:rtl/>
          <w:lang w:eastAsia="de-DE"/>
        </w:rPr>
        <w:t xml:space="preserve"> </w:t>
      </w:r>
      <w:r w:rsidRPr="00DE119B">
        <w:rPr>
          <w:rFonts w:eastAsia="Times New Roman" w:cs="Times New Roman"/>
          <w:lang w:eastAsia="de-DE"/>
        </w:rPr>
        <w:t xml:space="preserve">(„und unsere Väter zogen hinab nach Ägypten") – </w:t>
      </w:r>
      <w:r w:rsidRPr="00DE119B">
        <w:rPr>
          <w:rFonts w:eastAsia="Times New Roman" w:cs="Times New Roman"/>
          <w:b/>
          <w:bCs/>
          <w:rtl/>
          <w:lang w:eastAsia="de-DE"/>
        </w:rPr>
        <w:t>ירד</w:t>
      </w:r>
      <w:r w:rsidRPr="00DE119B">
        <w:rPr>
          <w:rFonts w:eastAsia="Times New Roman" w:cs="Times New Roman"/>
          <w:rtl/>
          <w:lang w:eastAsia="de-DE"/>
        </w:rPr>
        <w:t xml:space="preserve"> </w:t>
      </w:r>
      <w:r w:rsidRPr="00DE119B">
        <w:rPr>
          <w:rFonts w:eastAsia="Times New Roman" w:cs="Times New Roman"/>
          <w:lang w:eastAsia="de-DE"/>
        </w:rPr>
        <w:t xml:space="preserve">„hinabsteigen" (Ägypten liegt geografisch tiefer). </w:t>
      </w:r>
      <w:r w:rsidRPr="00DE119B">
        <w:rPr>
          <w:rFonts w:eastAsia="Times New Roman" w:cs="Times New Roman"/>
          <w:b/>
          <w:bCs/>
          <w:rtl/>
          <w:lang w:eastAsia="de-DE"/>
        </w:rPr>
        <w:t>וַנֵּשֶׁב בְּמִצְרַיִם יָמִים רַבִּים</w:t>
      </w:r>
      <w:r w:rsidRPr="00DE119B">
        <w:rPr>
          <w:rFonts w:eastAsia="Times New Roman" w:cs="Times New Roman"/>
          <w:rtl/>
          <w:lang w:eastAsia="de-DE"/>
        </w:rPr>
        <w:t xml:space="preserve"> </w:t>
      </w:r>
      <w:r w:rsidRPr="00DE119B">
        <w:rPr>
          <w:rFonts w:eastAsia="Times New Roman" w:cs="Times New Roman"/>
          <w:lang w:eastAsia="de-DE"/>
        </w:rPr>
        <w:t xml:space="preserve">(„und wir wohnten in Ägypten viele Tage") – </w:t>
      </w:r>
      <w:r w:rsidRPr="00DE119B">
        <w:rPr>
          <w:rFonts w:eastAsia="Times New Roman" w:cs="Times New Roman"/>
          <w:b/>
          <w:bCs/>
          <w:rtl/>
          <w:lang w:eastAsia="de-DE"/>
        </w:rPr>
        <w:t>יָמִים רַבִּים</w:t>
      </w:r>
      <w:r w:rsidRPr="00DE119B">
        <w:rPr>
          <w:rFonts w:eastAsia="Times New Roman" w:cs="Times New Roman"/>
          <w:rtl/>
          <w:lang w:eastAsia="de-DE"/>
        </w:rPr>
        <w:t xml:space="preserve"> </w:t>
      </w:r>
      <w:r w:rsidRPr="00DE119B">
        <w:rPr>
          <w:rFonts w:eastAsia="Times New Roman" w:cs="Times New Roman"/>
          <w:lang w:eastAsia="de-DE"/>
        </w:rPr>
        <w:t xml:space="preserve">idiomatisch „lange Zeit". </w:t>
      </w:r>
      <w:r w:rsidRPr="00DE119B">
        <w:rPr>
          <w:rFonts w:eastAsia="Times New Roman" w:cs="Times New Roman"/>
          <w:b/>
          <w:bCs/>
          <w:rtl/>
          <w:lang w:eastAsia="de-DE"/>
        </w:rPr>
        <w:t>וַיָּרֵעוּ לָנוּ מִצְרַיִם וְלַאֲבֹתֵינוּ</w:t>
      </w:r>
      <w:r w:rsidRPr="00DE119B">
        <w:rPr>
          <w:rFonts w:eastAsia="Times New Roman" w:cs="Times New Roman"/>
          <w:rtl/>
          <w:lang w:eastAsia="de-DE"/>
        </w:rPr>
        <w:t xml:space="preserve"> </w:t>
      </w:r>
      <w:r w:rsidRPr="00DE119B">
        <w:rPr>
          <w:rFonts w:eastAsia="Times New Roman" w:cs="Times New Roman"/>
          <w:lang w:eastAsia="de-DE"/>
        </w:rPr>
        <w:t xml:space="preserve">(„und Ägypten behandelte uns und unsere Väter übel") – </w:t>
      </w:r>
      <w:r w:rsidRPr="00DE119B">
        <w:rPr>
          <w:rFonts w:eastAsia="Times New Roman" w:cs="Times New Roman"/>
          <w:b/>
          <w:bCs/>
          <w:rtl/>
          <w:lang w:eastAsia="de-DE"/>
        </w:rPr>
        <w:t>רעע</w:t>
      </w:r>
      <w:r w:rsidRPr="00DE119B">
        <w:rPr>
          <w:rFonts w:eastAsia="Times New Roman" w:cs="Times New Roman"/>
          <w:rtl/>
          <w:lang w:eastAsia="de-DE"/>
        </w:rPr>
        <w:t xml:space="preserve"> </w:t>
      </w:r>
      <w:r w:rsidRPr="00DE119B">
        <w:rPr>
          <w:rFonts w:eastAsia="Times New Roman" w:cs="Times New Roman"/>
          <w:lang w:eastAsia="de-DE"/>
        </w:rPr>
        <w:t>Hifil „Böses tun".</w:t>
      </w:r>
    </w:p>
    <w:p w14:paraId="39BEDCEE"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Vers 16: </w:t>
      </w:r>
      <w:r w:rsidRPr="00DE119B">
        <w:rPr>
          <w:rFonts w:eastAsia="Times New Roman" w:cs="Times New Roman"/>
          <w:b/>
          <w:bCs/>
          <w:rtl/>
          <w:lang w:eastAsia="de-DE"/>
        </w:rPr>
        <w:t>וַנִּצְעַק אֶל־יְהוָה</w:t>
      </w:r>
      <w:r w:rsidRPr="00DE119B">
        <w:rPr>
          <w:rFonts w:eastAsia="Times New Roman" w:cs="Times New Roman"/>
          <w:rtl/>
          <w:lang w:eastAsia="de-DE"/>
        </w:rPr>
        <w:t xml:space="preserve"> </w:t>
      </w:r>
      <w:r w:rsidRPr="00DE119B">
        <w:rPr>
          <w:rFonts w:eastAsia="Times New Roman" w:cs="Times New Roman"/>
          <w:lang w:eastAsia="de-DE"/>
        </w:rPr>
        <w:t xml:space="preserve">(„und wir schrien zu JHWH"). </w:t>
      </w:r>
      <w:r w:rsidRPr="00DE119B">
        <w:rPr>
          <w:rFonts w:eastAsia="Times New Roman" w:cs="Times New Roman"/>
          <w:b/>
          <w:bCs/>
          <w:rtl/>
          <w:lang w:eastAsia="de-DE"/>
        </w:rPr>
        <w:t>וַיִּשְׁמַע קֹלֵנוּ</w:t>
      </w:r>
      <w:r w:rsidRPr="00DE119B">
        <w:rPr>
          <w:rFonts w:eastAsia="Times New Roman" w:cs="Times New Roman"/>
          <w:rtl/>
          <w:lang w:eastAsia="de-DE"/>
        </w:rPr>
        <w:t xml:space="preserve"> </w:t>
      </w:r>
      <w:r w:rsidRPr="00DE119B">
        <w:rPr>
          <w:rFonts w:eastAsia="Times New Roman" w:cs="Times New Roman"/>
          <w:lang w:eastAsia="de-DE"/>
        </w:rPr>
        <w:t xml:space="preserve">(„und er hörte unsere Stimme"). </w:t>
      </w:r>
      <w:r w:rsidRPr="00DE119B">
        <w:rPr>
          <w:rFonts w:eastAsia="Times New Roman" w:cs="Times New Roman"/>
          <w:b/>
          <w:bCs/>
          <w:rtl/>
          <w:lang w:eastAsia="de-DE"/>
        </w:rPr>
        <w:t>וַיִּשְׁלַח מַלְאָךְ</w:t>
      </w:r>
      <w:r w:rsidRPr="00DE119B">
        <w:rPr>
          <w:rFonts w:eastAsia="Times New Roman" w:cs="Times New Roman"/>
          <w:rtl/>
          <w:lang w:eastAsia="de-DE"/>
        </w:rPr>
        <w:t xml:space="preserve"> </w:t>
      </w:r>
      <w:r w:rsidRPr="00DE119B">
        <w:rPr>
          <w:rFonts w:eastAsia="Times New Roman" w:cs="Times New Roman"/>
          <w:lang w:eastAsia="de-DE"/>
        </w:rPr>
        <w:t xml:space="preserve">(„und er sandte einen Boten") – möglicherweise Mose oder eine engelhafte Figur. </w:t>
      </w:r>
      <w:r w:rsidRPr="00DE119B">
        <w:rPr>
          <w:rFonts w:eastAsia="Times New Roman" w:cs="Times New Roman"/>
          <w:b/>
          <w:bCs/>
          <w:rtl/>
          <w:lang w:eastAsia="de-DE"/>
        </w:rPr>
        <w:t>וַיֹּצִאֵנוּ מִמִּצְרָיִם</w:t>
      </w:r>
      <w:r w:rsidRPr="00DE119B">
        <w:rPr>
          <w:rFonts w:eastAsia="Times New Roman" w:cs="Times New Roman"/>
          <w:rtl/>
          <w:lang w:eastAsia="de-DE"/>
        </w:rPr>
        <w:t xml:space="preserve"> </w:t>
      </w:r>
      <w:r w:rsidRPr="00DE119B">
        <w:rPr>
          <w:rFonts w:eastAsia="Times New Roman" w:cs="Times New Roman"/>
          <w:lang w:eastAsia="de-DE"/>
        </w:rPr>
        <w:t xml:space="preserve">(Hifil von </w:t>
      </w:r>
      <w:r w:rsidRPr="00DE119B">
        <w:rPr>
          <w:rFonts w:eastAsia="Times New Roman" w:cs="Times New Roman"/>
          <w:b/>
          <w:bCs/>
          <w:rtl/>
          <w:lang w:eastAsia="de-DE"/>
        </w:rPr>
        <w:t>יצא</w:t>
      </w:r>
      <w:r w:rsidRPr="00DE119B">
        <w:rPr>
          <w:rFonts w:eastAsia="Times New Roman" w:cs="Times New Roman"/>
          <w:rtl/>
          <w:lang w:eastAsia="de-DE"/>
        </w:rPr>
        <w:t xml:space="preserve"> </w:t>
      </w:r>
      <w:r w:rsidRPr="00DE119B">
        <w:rPr>
          <w:rFonts w:eastAsia="Times New Roman" w:cs="Times New Roman"/>
          <w:lang w:eastAsia="de-DE"/>
        </w:rPr>
        <w:t xml:space="preserve">mit Objektsuffix, „und er führte uns heraus"). Die Interjektion </w:t>
      </w:r>
      <w:r w:rsidRPr="00DE119B">
        <w:rPr>
          <w:rFonts w:eastAsia="Times New Roman" w:cs="Times New Roman"/>
          <w:b/>
          <w:bCs/>
          <w:rtl/>
          <w:lang w:eastAsia="de-DE"/>
        </w:rPr>
        <w:t>וְהִנֵּה</w:t>
      </w:r>
      <w:r w:rsidRPr="00DE119B">
        <w:rPr>
          <w:rFonts w:eastAsia="Times New Roman" w:cs="Times New Roman"/>
          <w:rtl/>
          <w:lang w:eastAsia="de-DE"/>
        </w:rPr>
        <w:t xml:space="preserve"> </w:t>
      </w:r>
      <w:r w:rsidRPr="00DE119B">
        <w:rPr>
          <w:rFonts w:eastAsia="Times New Roman" w:cs="Times New Roman"/>
          <w:lang w:eastAsia="de-DE"/>
        </w:rPr>
        <w:t xml:space="preserve">(„und siehe") lenkt auf die Gegenwart. </w:t>
      </w:r>
      <w:r w:rsidRPr="00DE119B">
        <w:rPr>
          <w:rFonts w:eastAsia="Times New Roman" w:cs="Times New Roman"/>
          <w:b/>
          <w:bCs/>
          <w:rtl/>
          <w:lang w:eastAsia="de-DE"/>
        </w:rPr>
        <w:t>אֲנַחְנוּ בְקָדֵשׁ עִיר קְצֵה גְבוּלֶךָ</w:t>
      </w:r>
      <w:r w:rsidRPr="00DE119B">
        <w:rPr>
          <w:rFonts w:eastAsia="Times New Roman" w:cs="Times New Roman"/>
          <w:rtl/>
          <w:lang w:eastAsia="de-DE"/>
        </w:rPr>
        <w:t xml:space="preserve"> </w:t>
      </w:r>
      <w:r w:rsidRPr="00DE119B">
        <w:rPr>
          <w:rFonts w:eastAsia="Times New Roman" w:cs="Times New Roman"/>
          <w:lang w:eastAsia="de-DE"/>
        </w:rPr>
        <w:t xml:space="preserve">(„wir sind in Kadesch, einer Stadt am Ende deines Gebiets") – </w:t>
      </w:r>
      <w:r w:rsidRPr="00DE119B">
        <w:rPr>
          <w:rFonts w:eastAsia="Times New Roman" w:cs="Times New Roman"/>
          <w:b/>
          <w:bCs/>
          <w:rtl/>
          <w:lang w:eastAsia="de-DE"/>
        </w:rPr>
        <w:t>קָצֶה</w:t>
      </w:r>
      <w:r w:rsidRPr="00DE119B">
        <w:rPr>
          <w:rFonts w:eastAsia="Times New Roman" w:cs="Times New Roman"/>
          <w:rtl/>
          <w:lang w:eastAsia="de-DE"/>
        </w:rPr>
        <w:t xml:space="preserve"> </w:t>
      </w:r>
      <w:r w:rsidRPr="00DE119B">
        <w:rPr>
          <w:rFonts w:eastAsia="Times New Roman" w:cs="Times New Roman"/>
          <w:lang w:eastAsia="de-DE"/>
        </w:rPr>
        <w:t xml:space="preserve">„Ende, Rand" im Constructus vor </w:t>
      </w:r>
      <w:r w:rsidRPr="00DE119B">
        <w:rPr>
          <w:rFonts w:eastAsia="Times New Roman" w:cs="Times New Roman"/>
          <w:b/>
          <w:bCs/>
          <w:rtl/>
          <w:lang w:eastAsia="de-DE"/>
        </w:rPr>
        <w:t>גְּבוּלֶךָ</w:t>
      </w:r>
      <w:r w:rsidRPr="00DE119B">
        <w:rPr>
          <w:rFonts w:eastAsia="Times New Roman" w:cs="Times New Roman"/>
          <w:rtl/>
          <w:lang w:eastAsia="de-DE"/>
        </w:rPr>
        <w:t xml:space="preserve"> </w:t>
      </w:r>
      <w:r w:rsidRPr="00DE119B">
        <w:rPr>
          <w:rFonts w:eastAsia="Times New Roman" w:cs="Times New Roman"/>
          <w:lang w:eastAsia="de-DE"/>
        </w:rPr>
        <w:t>(„dein Gebiet") mit Possessivsuffix.</w:t>
      </w:r>
    </w:p>
    <w:p w14:paraId="6A2E773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w:t>
      </w:r>
    </w:p>
    <w:p w14:paraId="139F7FC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Verse appellieren an gemeinsame Geschichte und zeigen: Israel ist jetzt an Edoms Grenze.</w:t>
      </w:r>
    </w:p>
    <w:p w14:paraId="68F4A045"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20,17</w:t>
      </w:r>
    </w:p>
    <w:p w14:paraId="0BB567C3"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נַעְבְּרָה־נָּ֣א בְאַרְצֶ֗ךָ לֹ֤א נַעֲבֹר֙ בְּשָׂדֶ֣ה וּבְכֶ֔רֶם וְלֹ֥א נִשְׁתֶּ֖ה מֵ֣י בְאֵ֑ר דֶּ֧רֶךְ הַמֶּ֣לֶךְ נֵלֵ֗ךְ לֹ֤א נִטֶּה֙ יָמִ֣ין וּשְׂמֹ֔אול עַ֥ד אֲשֶֽׁר־נַעֲבֹ֖ר גְּבוּלֶֽךָ׃</w:t>
      </w:r>
    </w:p>
    <w:p w14:paraId="495A5E8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Lass uns doch durch dein Land ziehen! Wir wollen nicht durch die Äcker und durch die Weinberge ziehen und wollen kein Wasser aus den Brunnen trinken; auf der Straße des Königs wollen wir ziehen und nicht abbiegen zur Rechten noch zur Linken, bis wir durch dein Gebiet gezogen sind.</w:t>
      </w:r>
    </w:p>
    <w:p w14:paraId="2AE883AF"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lastRenderedPageBreak/>
        <w:pict w14:anchorId="00CA871F">
          <v:rect id="_x0000_i1717" style="width:0;height:1.5pt" o:hralign="center" o:hrstd="t" o:hr="t" fillcolor="#a0a0a0" stroked="f"/>
        </w:pict>
      </w:r>
    </w:p>
    <w:p w14:paraId="35109DF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Der Kohortativ </w:t>
      </w:r>
      <w:r w:rsidRPr="00DE119B">
        <w:rPr>
          <w:rFonts w:eastAsia="Times New Roman" w:cs="Times New Roman"/>
          <w:b/>
          <w:bCs/>
          <w:rtl/>
          <w:lang w:eastAsia="de-DE"/>
        </w:rPr>
        <w:t>נַעְבְּרָה־נָּא</w:t>
      </w:r>
      <w:r w:rsidRPr="00DE119B">
        <w:rPr>
          <w:rFonts w:eastAsia="Times New Roman" w:cs="Times New Roman"/>
          <w:rtl/>
          <w:lang w:eastAsia="de-DE"/>
        </w:rPr>
        <w:t xml:space="preserve"> </w:t>
      </w:r>
      <w:r w:rsidRPr="00DE119B">
        <w:rPr>
          <w:rFonts w:eastAsia="Times New Roman" w:cs="Times New Roman"/>
          <w:lang w:eastAsia="de-DE"/>
        </w:rPr>
        <w:t xml:space="preserve">(Qal Kohortativ, 1. c. pl. von </w:t>
      </w:r>
      <w:r w:rsidRPr="00DE119B">
        <w:rPr>
          <w:rFonts w:eastAsia="Times New Roman" w:cs="Times New Roman"/>
          <w:b/>
          <w:bCs/>
          <w:rtl/>
          <w:lang w:eastAsia="de-DE"/>
        </w:rPr>
        <w:t>עבר</w:t>
      </w:r>
      <w:r w:rsidRPr="00DE119B">
        <w:rPr>
          <w:rFonts w:eastAsia="Times New Roman" w:cs="Times New Roman"/>
          <w:rtl/>
          <w:lang w:eastAsia="de-DE"/>
        </w:rPr>
        <w:t xml:space="preserve"> </w:t>
      </w:r>
      <w:r w:rsidRPr="00DE119B">
        <w:rPr>
          <w:rFonts w:eastAsia="Times New Roman" w:cs="Times New Roman"/>
          <w:lang w:eastAsia="de-DE"/>
        </w:rPr>
        <w:t xml:space="preserve">mit emphatischem </w:t>
      </w:r>
      <w:r w:rsidRPr="00DE119B">
        <w:rPr>
          <w:rFonts w:eastAsia="Times New Roman" w:cs="Times New Roman"/>
          <w:b/>
          <w:bCs/>
          <w:rtl/>
          <w:lang w:eastAsia="de-DE"/>
        </w:rPr>
        <w:t>נָא</w:t>
      </w:r>
      <w:r w:rsidRPr="00DE119B">
        <w:rPr>
          <w:rFonts w:eastAsia="Times New Roman" w:cs="Times New Roman"/>
          <w:lang w:eastAsia="de-DE"/>
        </w:rPr>
        <w:t xml:space="preserve">, „lass uns doch durchziehen") bittet höflich. </w:t>
      </w:r>
      <w:r w:rsidRPr="00DE119B">
        <w:rPr>
          <w:rFonts w:eastAsia="Times New Roman" w:cs="Times New Roman"/>
          <w:b/>
          <w:bCs/>
          <w:rtl/>
          <w:lang w:eastAsia="de-DE"/>
        </w:rPr>
        <w:t>בְאַרְצֶךָ</w:t>
      </w:r>
      <w:r w:rsidRPr="00DE119B">
        <w:rPr>
          <w:rFonts w:eastAsia="Times New Roman" w:cs="Times New Roman"/>
          <w:rtl/>
          <w:lang w:eastAsia="de-DE"/>
        </w:rPr>
        <w:t xml:space="preserve"> </w:t>
      </w:r>
      <w:r w:rsidRPr="00DE119B">
        <w:rPr>
          <w:rFonts w:eastAsia="Times New Roman" w:cs="Times New Roman"/>
          <w:lang w:eastAsia="de-DE"/>
        </w:rPr>
        <w:t>(„durch dein Land") mit Possessivsuffix.</w:t>
      </w:r>
    </w:p>
    <w:p w14:paraId="59894BA6"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dreifache Zusicherung beginnt mit </w:t>
      </w:r>
      <w:r w:rsidRPr="00DE119B">
        <w:rPr>
          <w:rFonts w:eastAsia="Times New Roman" w:cs="Times New Roman"/>
          <w:b/>
          <w:bCs/>
          <w:rtl/>
          <w:lang w:eastAsia="de-DE"/>
        </w:rPr>
        <w:t>לֹא נַעֲבֹר בְּשָׂדֶ֣ה וּבְכֶרֶם</w:t>
      </w:r>
      <w:r w:rsidRPr="00DE119B">
        <w:rPr>
          <w:rFonts w:eastAsia="Times New Roman" w:cs="Times New Roman"/>
          <w:rtl/>
          <w:lang w:eastAsia="de-DE"/>
        </w:rPr>
        <w:t xml:space="preserve"> </w:t>
      </w:r>
      <w:r w:rsidRPr="00DE119B">
        <w:rPr>
          <w:rFonts w:eastAsia="Times New Roman" w:cs="Times New Roman"/>
          <w:lang w:eastAsia="de-DE"/>
        </w:rPr>
        <w:t xml:space="preserve">(„wir werden nicht durchziehen durch Feld und Weinberg") – sie werden Kulturflächen meiden. </w:t>
      </w:r>
      <w:r w:rsidRPr="00DE119B">
        <w:rPr>
          <w:rFonts w:eastAsia="Times New Roman" w:cs="Times New Roman"/>
          <w:b/>
          <w:bCs/>
          <w:rtl/>
          <w:lang w:eastAsia="de-DE"/>
        </w:rPr>
        <w:t>וְלֹא נִשְׁתֶּה מֵי בְאֵר</w:t>
      </w:r>
      <w:r w:rsidRPr="00DE119B">
        <w:rPr>
          <w:rFonts w:eastAsia="Times New Roman" w:cs="Times New Roman"/>
          <w:rtl/>
          <w:lang w:eastAsia="de-DE"/>
        </w:rPr>
        <w:t xml:space="preserve"> </w:t>
      </w:r>
      <w:r w:rsidRPr="00DE119B">
        <w:rPr>
          <w:rFonts w:eastAsia="Times New Roman" w:cs="Times New Roman"/>
          <w:lang w:eastAsia="de-DE"/>
        </w:rPr>
        <w:t>(„und wir werden nicht trinken Brunnenwasser", Constructus-Verbindung) – sie werden keine lokalen Wasserquellen nutzen.</w:t>
      </w:r>
    </w:p>
    <w:p w14:paraId="0327F24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rtl/>
          <w:lang w:eastAsia="de-DE"/>
        </w:rPr>
        <w:t>דֶּרֶךְ הַמֶּלֶךְ נֵלֵךְ</w:t>
      </w:r>
      <w:r w:rsidRPr="00DE119B">
        <w:rPr>
          <w:rFonts w:eastAsia="Times New Roman" w:cs="Times New Roman"/>
          <w:rtl/>
          <w:lang w:eastAsia="de-DE"/>
        </w:rPr>
        <w:t xml:space="preserve"> </w:t>
      </w:r>
      <w:r w:rsidRPr="00DE119B">
        <w:rPr>
          <w:rFonts w:eastAsia="Times New Roman" w:cs="Times New Roman"/>
          <w:lang w:eastAsia="de-DE"/>
        </w:rPr>
        <w:t xml:space="preserve">(„auf der Straße des Königs werden wir gehen") – die </w:t>
      </w:r>
      <w:r w:rsidRPr="00DE119B">
        <w:rPr>
          <w:rFonts w:eastAsia="Times New Roman" w:cs="Times New Roman"/>
          <w:b/>
          <w:bCs/>
          <w:rtl/>
          <w:lang w:eastAsia="de-DE"/>
        </w:rPr>
        <w:t>דֶּרֶךְ הַמֶּלֶךְ</w:t>
      </w:r>
      <w:r w:rsidRPr="00DE119B">
        <w:rPr>
          <w:rFonts w:eastAsia="Times New Roman" w:cs="Times New Roman"/>
          <w:rtl/>
          <w:lang w:eastAsia="de-DE"/>
        </w:rPr>
        <w:t xml:space="preserve"> </w:t>
      </w:r>
      <w:r w:rsidRPr="00DE119B">
        <w:rPr>
          <w:rFonts w:eastAsia="Times New Roman" w:cs="Times New Roman"/>
          <w:lang w:eastAsia="de-DE"/>
        </w:rPr>
        <w:t xml:space="preserve">ist die Haupthandelsroute, die Königsstraße. </w:t>
      </w:r>
      <w:r w:rsidRPr="00DE119B">
        <w:rPr>
          <w:rFonts w:eastAsia="Times New Roman" w:cs="Times New Roman"/>
          <w:b/>
          <w:bCs/>
          <w:rtl/>
          <w:lang w:eastAsia="de-DE"/>
        </w:rPr>
        <w:t>לֹא נִטֶּה יָמִין וּשְׂמֹאול</w:t>
      </w:r>
      <w:r w:rsidRPr="00DE119B">
        <w:rPr>
          <w:rFonts w:eastAsia="Times New Roman" w:cs="Times New Roman"/>
          <w:rtl/>
          <w:lang w:eastAsia="de-DE"/>
        </w:rPr>
        <w:t xml:space="preserve"> </w:t>
      </w:r>
      <w:r w:rsidRPr="00DE119B">
        <w:rPr>
          <w:rFonts w:eastAsia="Times New Roman" w:cs="Times New Roman"/>
          <w:lang w:eastAsia="de-DE"/>
        </w:rPr>
        <w:t xml:space="preserve">(„wir werden nicht abbiegen rechts und links") – sie bleiben strikt auf der Straße. Der temporale Satz </w:t>
      </w:r>
      <w:r w:rsidRPr="00DE119B">
        <w:rPr>
          <w:rFonts w:eastAsia="Times New Roman" w:cs="Times New Roman"/>
          <w:b/>
          <w:bCs/>
          <w:rtl/>
          <w:lang w:eastAsia="de-DE"/>
        </w:rPr>
        <w:t>עַד אֲשֶׁר־נַעֲבֹר גְּבוּלֶךָ</w:t>
      </w:r>
      <w:r w:rsidRPr="00DE119B">
        <w:rPr>
          <w:rFonts w:eastAsia="Times New Roman" w:cs="Times New Roman"/>
          <w:rtl/>
          <w:lang w:eastAsia="de-DE"/>
        </w:rPr>
        <w:t xml:space="preserve"> </w:t>
      </w:r>
      <w:r w:rsidRPr="00DE119B">
        <w:rPr>
          <w:rFonts w:eastAsia="Times New Roman" w:cs="Times New Roman"/>
          <w:lang w:eastAsia="de-DE"/>
        </w:rPr>
        <w:t>(„bis wir durchziehen dein Gebiet") gibt die Dauer an.</w:t>
      </w:r>
    </w:p>
    <w:p w14:paraId="2E855E03"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w:t>
      </w:r>
    </w:p>
    <w:p w14:paraId="4D746DF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ist ein Musterbeispiel diplomatischer Höflichkeit und Zusicherung – Israel verspricht minimale Störung.</w:t>
      </w:r>
    </w:p>
    <w:p w14:paraId="2552D6C2"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20,18</w:t>
      </w:r>
    </w:p>
    <w:p w14:paraId="76058EBD"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וַיֹּ֤אמֶר אֵלָיו֙ אֱד֔וֹם לֹ֥א תַעֲבֹ֖ר בִּ֑י פֶּן־בַּחֶ֖רֶב אֵצֵ֥א לִקְרָאתֶֽךָ׃</w:t>
      </w:r>
    </w:p>
    <w:p w14:paraId="4E41E6B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Aber Edom sprach zu ihm: Du sollst nicht bei mir durchziehen, sonst werde ich mit dem Schwert dir entgegen ausziehen.</w:t>
      </w:r>
    </w:p>
    <w:p w14:paraId="513BDBDB"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5FF19F6C">
          <v:rect id="_x0000_i1718" style="width:0;height:1.5pt" o:hralign="center" o:hrstd="t" o:hr="t" fillcolor="#a0a0a0" stroked="f"/>
        </w:pict>
      </w:r>
    </w:p>
    <w:p w14:paraId="006E4C4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וַיֹּאמֶר</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אמר</w:t>
      </w:r>
      <w:r w:rsidRPr="00DE119B">
        <w:rPr>
          <w:rFonts w:eastAsia="Times New Roman" w:cs="Times New Roman"/>
          <w:lang w:eastAsia="de-DE"/>
        </w:rPr>
        <w:t xml:space="preserve">, „und er sprach"). </w:t>
      </w:r>
      <w:r w:rsidRPr="00DE119B">
        <w:rPr>
          <w:rFonts w:eastAsia="Times New Roman" w:cs="Times New Roman"/>
          <w:b/>
          <w:bCs/>
          <w:rtl/>
          <w:lang w:eastAsia="de-DE"/>
        </w:rPr>
        <w:t>אֵלָיו</w:t>
      </w:r>
      <w:r w:rsidRPr="00DE119B">
        <w:rPr>
          <w:rFonts w:eastAsia="Times New Roman" w:cs="Times New Roman"/>
          <w:rtl/>
          <w:lang w:eastAsia="de-DE"/>
        </w:rPr>
        <w:t xml:space="preserve"> </w:t>
      </w:r>
      <w:r w:rsidRPr="00DE119B">
        <w:rPr>
          <w:rFonts w:eastAsia="Times New Roman" w:cs="Times New Roman"/>
          <w:lang w:eastAsia="de-DE"/>
        </w:rPr>
        <w:t xml:space="preserve">(„zu ihm") mit Suffix 3. m. sg. bezieht sich auf Mose bzw. die Boten. </w:t>
      </w:r>
      <w:r w:rsidRPr="00DE119B">
        <w:rPr>
          <w:rFonts w:eastAsia="Times New Roman" w:cs="Times New Roman"/>
          <w:b/>
          <w:bCs/>
          <w:rtl/>
          <w:lang w:eastAsia="de-DE"/>
        </w:rPr>
        <w:t>אֱדוֹם</w:t>
      </w:r>
      <w:r w:rsidRPr="00DE119B">
        <w:rPr>
          <w:rFonts w:eastAsia="Times New Roman" w:cs="Times New Roman"/>
          <w:rtl/>
          <w:lang w:eastAsia="de-DE"/>
        </w:rPr>
        <w:t xml:space="preserve"> </w:t>
      </w:r>
      <w:r w:rsidRPr="00DE119B">
        <w:rPr>
          <w:rFonts w:eastAsia="Times New Roman" w:cs="Times New Roman"/>
          <w:lang w:eastAsia="de-DE"/>
        </w:rPr>
        <w:t>ist das Subjekt – das Volk als Kollektiv oder ihr König.</w:t>
      </w:r>
    </w:p>
    <w:p w14:paraId="22722DD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kategorische Ablehnung </w:t>
      </w:r>
      <w:r w:rsidRPr="00DE119B">
        <w:rPr>
          <w:rFonts w:eastAsia="Times New Roman" w:cs="Times New Roman"/>
          <w:b/>
          <w:bCs/>
          <w:rtl/>
          <w:lang w:eastAsia="de-DE"/>
        </w:rPr>
        <w:t>לֹא תַעֲבֹר בִּי</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לֹא</w:t>
      </w:r>
      <w:r w:rsidRPr="00DE119B">
        <w:rPr>
          <w:rFonts w:eastAsia="Times New Roman" w:cs="Times New Roman"/>
          <w:rtl/>
          <w:lang w:eastAsia="de-DE"/>
        </w:rPr>
        <w:t xml:space="preserve"> </w:t>
      </w:r>
      <w:r w:rsidRPr="00DE119B">
        <w:rPr>
          <w:rFonts w:eastAsia="Times New Roman" w:cs="Times New Roman"/>
          <w:lang w:eastAsia="de-DE"/>
        </w:rPr>
        <w:t xml:space="preserve">Negation, </w:t>
      </w:r>
      <w:r w:rsidRPr="00DE119B">
        <w:rPr>
          <w:rFonts w:eastAsia="Times New Roman" w:cs="Times New Roman"/>
          <w:b/>
          <w:bCs/>
          <w:rtl/>
          <w:lang w:eastAsia="de-DE"/>
        </w:rPr>
        <w:t>תַּעֲבֹר</w:t>
      </w:r>
      <w:r w:rsidRPr="00DE119B">
        <w:rPr>
          <w:rFonts w:eastAsia="Times New Roman" w:cs="Times New Roman"/>
          <w:rtl/>
          <w:lang w:eastAsia="de-DE"/>
        </w:rPr>
        <w:t xml:space="preserve"> </w:t>
      </w:r>
      <w:r w:rsidRPr="00DE119B">
        <w:rPr>
          <w:rFonts w:eastAsia="Times New Roman" w:cs="Times New Roman"/>
          <w:lang w:eastAsia="de-DE"/>
        </w:rPr>
        <w:t xml:space="preserve">(Qal Imperfekt, 2. m. sg. von </w:t>
      </w:r>
      <w:r w:rsidRPr="00DE119B">
        <w:rPr>
          <w:rFonts w:eastAsia="Times New Roman" w:cs="Times New Roman"/>
          <w:b/>
          <w:bCs/>
          <w:rtl/>
          <w:lang w:eastAsia="de-DE"/>
        </w:rPr>
        <w:t>עבר</w:t>
      </w:r>
      <w:r w:rsidRPr="00DE119B">
        <w:rPr>
          <w:rFonts w:eastAsia="Times New Roman" w:cs="Times New Roman"/>
          <w:lang w:eastAsia="de-DE"/>
        </w:rPr>
        <w:t xml:space="preserve">, „du sollst durchziehen"), </w:t>
      </w:r>
      <w:r w:rsidRPr="00DE119B">
        <w:rPr>
          <w:rFonts w:eastAsia="Times New Roman" w:cs="Times New Roman"/>
          <w:b/>
          <w:bCs/>
          <w:rtl/>
          <w:lang w:eastAsia="de-DE"/>
        </w:rPr>
        <w:t>בִּי</w:t>
      </w:r>
      <w:r w:rsidRPr="00DE119B">
        <w:rPr>
          <w:rFonts w:eastAsia="Times New Roman" w:cs="Times New Roman"/>
          <w:rtl/>
          <w:lang w:eastAsia="de-DE"/>
        </w:rPr>
        <w:t xml:space="preserve"> </w:t>
      </w:r>
      <w:r w:rsidRPr="00DE119B">
        <w:rPr>
          <w:rFonts w:eastAsia="Times New Roman" w:cs="Times New Roman"/>
          <w:lang w:eastAsia="de-DE"/>
        </w:rPr>
        <w:t>(„durch mich") mit Suffix 1. c. sg. – Edom identifiziert sich mit seinem Territorium.</w:t>
      </w:r>
    </w:p>
    <w:p w14:paraId="115490D5"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Drohung </w:t>
      </w:r>
      <w:r w:rsidRPr="00DE119B">
        <w:rPr>
          <w:rFonts w:eastAsia="Times New Roman" w:cs="Times New Roman"/>
          <w:b/>
          <w:bCs/>
          <w:rtl/>
          <w:lang w:eastAsia="de-DE"/>
        </w:rPr>
        <w:t>פֶּן־בַּחֶרֶב אֵצֵא לִקְרָאתֶךָ</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פֶּן</w:t>
      </w:r>
      <w:r w:rsidRPr="00DE119B">
        <w:rPr>
          <w:rFonts w:eastAsia="Times New Roman" w:cs="Times New Roman"/>
          <w:rtl/>
          <w:lang w:eastAsia="de-DE"/>
        </w:rPr>
        <w:t xml:space="preserve"> </w:t>
      </w:r>
      <w:r w:rsidRPr="00DE119B">
        <w:rPr>
          <w:rFonts w:eastAsia="Times New Roman" w:cs="Times New Roman"/>
          <w:lang w:eastAsia="de-DE"/>
        </w:rPr>
        <w:t xml:space="preserve">(„sonst, damit nicht" – konditionale Warnung), </w:t>
      </w:r>
      <w:r w:rsidRPr="00DE119B">
        <w:rPr>
          <w:rFonts w:eastAsia="Times New Roman" w:cs="Times New Roman"/>
          <w:b/>
          <w:bCs/>
          <w:rtl/>
          <w:lang w:eastAsia="de-DE"/>
        </w:rPr>
        <w:t>בַּחֶרֶב</w:t>
      </w:r>
      <w:r w:rsidRPr="00DE119B">
        <w:rPr>
          <w:rFonts w:eastAsia="Times New Roman" w:cs="Times New Roman"/>
          <w:rtl/>
          <w:lang w:eastAsia="de-DE"/>
        </w:rPr>
        <w:t xml:space="preserve"> </w:t>
      </w:r>
      <w:r w:rsidRPr="00DE119B">
        <w:rPr>
          <w:rFonts w:eastAsia="Times New Roman" w:cs="Times New Roman"/>
          <w:lang w:eastAsia="de-DE"/>
        </w:rPr>
        <w:t xml:space="preserve">(„mit dem Schwert") mit </w:t>
      </w:r>
      <w:r w:rsidRPr="00DE119B">
        <w:rPr>
          <w:rFonts w:eastAsia="Times New Roman" w:cs="Times New Roman"/>
          <w:b/>
          <w:bCs/>
          <w:rtl/>
          <w:lang w:eastAsia="de-DE"/>
        </w:rPr>
        <w:t>בְּ</w:t>
      </w:r>
      <w:r w:rsidRPr="00DE119B">
        <w:rPr>
          <w:rFonts w:eastAsia="Times New Roman" w:cs="Times New Roman"/>
          <w:rtl/>
          <w:lang w:eastAsia="de-DE"/>
        </w:rPr>
        <w:t xml:space="preserve"> </w:t>
      </w:r>
      <w:r w:rsidRPr="00DE119B">
        <w:rPr>
          <w:rFonts w:eastAsia="Times New Roman" w:cs="Times New Roman"/>
          <w:lang w:eastAsia="de-DE"/>
        </w:rPr>
        <w:t xml:space="preserve">instrumentalis, </w:t>
      </w:r>
      <w:r w:rsidRPr="00DE119B">
        <w:rPr>
          <w:rFonts w:eastAsia="Times New Roman" w:cs="Times New Roman"/>
          <w:b/>
          <w:bCs/>
          <w:rtl/>
          <w:lang w:eastAsia="de-DE"/>
        </w:rPr>
        <w:t>אֵצֵא</w:t>
      </w:r>
      <w:r w:rsidRPr="00DE119B">
        <w:rPr>
          <w:rFonts w:eastAsia="Times New Roman" w:cs="Times New Roman"/>
          <w:rtl/>
          <w:lang w:eastAsia="de-DE"/>
        </w:rPr>
        <w:t xml:space="preserve"> </w:t>
      </w:r>
      <w:r w:rsidRPr="00DE119B">
        <w:rPr>
          <w:rFonts w:eastAsia="Times New Roman" w:cs="Times New Roman"/>
          <w:lang w:eastAsia="de-DE"/>
        </w:rPr>
        <w:t xml:space="preserve">(Qal Imperfekt, 1. c. sg. von </w:t>
      </w:r>
      <w:r w:rsidRPr="00DE119B">
        <w:rPr>
          <w:rFonts w:eastAsia="Times New Roman" w:cs="Times New Roman"/>
          <w:b/>
          <w:bCs/>
          <w:rtl/>
          <w:lang w:eastAsia="de-DE"/>
        </w:rPr>
        <w:t>יצא</w:t>
      </w:r>
      <w:r w:rsidRPr="00DE119B">
        <w:rPr>
          <w:rFonts w:eastAsia="Times New Roman" w:cs="Times New Roman"/>
          <w:lang w:eastAsia="de-DE"/>
        </w:rPr>
        <w:t xml:space="preserve">, „ich werde ausziehen"), </w:t>
      </w:r>
      <w:r w:rsidRPr="00DE119B">
        <w:rPr>
          <w:rFonts w:eastAsia="Times New Roman" w:cs="Times New Roman"/>
          <w:b/>
          <w:bCs/>
          <w:rtl/>
          <w:lang w:eastAsia="de-DE"/>
        </w:rPr>
        <w:t>לִקְרָאתֶךָ</w:t>
      </w:r>
      <w:r w:rsidRPr="00DE119B">
        <w:rPr>
          <w:rFonts w:eastAsia="Times New Roman" w:cs="Times New Roman"/>
          <w:rtl/>
          <w:lang w:eastAsia="de-DE"/>
        </w:rPr>
        <w:t xml:space="preserve"> </w:t>
      </w:r>
      <w:r w:rsidRPr="00DE119B">
        <w:rPr>
          <w:rFonts w:eastAsia="Times New Roman" w:cs="Times New Roman"/>
          <w:lang w:eastAsia="de-DE"/>
        </w:rPr>
        <w:t>(„dir entgegen") mit Suffix 2. m. sg. Die Formulierung ist militärisch-aggressiv.</w:t>
      </w:r>
    </w:p>
    <w:p w14:paraId="7444FB8D"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w:t>
      </w:r>
    </w:p>
    <w:p w14:paraId="1573535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Satzstruktur zeigt einen Hauptsatz mit Verb, indirektem Objekt und Subjekt. Die direkte Rede enthält einen Hauptsatz mit Negation, Verb und Präpositionalphrase, gefolgt von einem konditionalen Drohsatz mit </w:t>
      </w:r>
      <w:r w:rsidRPr="00DE119B">
        <w:rPr>
          <w:rFonts w:eastAsia="Times New Roman" w:cs="Times New Roman"/>
          <w:b/>
          <w:bCs/>
          <w:rtl/>
          <w:lang w:eastAsia="de-DE"/>
        </w:rPr>
        <w:t>פֶּן</w:t>
      </w:r>
      <w:r w:rsidRPr="00DE119B">
        <w:rPr>
          <w:rFonts w:eastAsia="Times New Roman" w:cs="Times New Roman"/>
          <w:lang w:eastAsia="de-DE"/>
        </w:rPr>
        <w:t xml:space="preserve">, Instrumentalphrase, Verb und Präpositionalphrase. Es gibt </w:t>
      </w:r>
      <w:r w:rsidRPr="00DE119B">
        <w:rPr>
          <w:rFonts w:eastAsia="Times New Roman" w:cs="Times New Roman"/>
          <w:lang w:eastAsia="de-DE"/>
        </w:rPr>
        <w:lastRenderedPageBreak/>
        <w:t xml:space="preserve">keine subordinierten Nebensätze im engeren Sinne, aber </w:t>
      </w:r>
      <w:r w:rsidRPr="00DE119B">
        <w:rPr>
          <w:rFonts w:eastAsia="Times New Roman" w:cs="Times New Roman"/>
          <w:b/>
          <w:bCs/>
          <w:rtl/>
          <w:lang w:eastAsia="de-DE"/>
        </w:rPr>
        <w:t>פֶּן</w:t>
      </w:r>
      <w:r w:rsidRPr="00DE119B">
        <w:rPr>
          <w:rFonts w:eastAsia="Times New Roman" w:cs="Times New Roman"/>
          <w:rtl/>
          <w:lang w:eastAsia="de-DE"/>
        </w:rPr>
        <w:t xml:space="preserve"> </w:t>
      </w:r>
      <w:r w:rsidRPr="00DE119B">
        <w:rPr>
          <w:rFonts w:eastAsia="Times New Roman" w:cs="Times New Roman"/>
          <w:lang w:eastAsia="de-DE"/>
        </w:rPr>
        <w:t>leitet eine konditionale Warnung ein.</w:t>
      </w:r>
    </w:p>
    <w:p w14:paraId="044FE255"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zeigt die harte Ablehnung: Trotz aller Höflichkeit und Bruderapelle droht Edom mit Krieg.</w:t>
      </w:r>
    </w:p>
    <w:p w14:paraId="07AA882F"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20,19</w:t>
      </w:r>
    </w:p>
    <w:p w14:paraId="34373A7B"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וַיֹּאמְר֨וּ אֵלָ֥יו בְּנֵֽי־יִשְׂרָאֵל֮ בַּֽמְסִלָּ֣ה נַעֲלֶה֒ וְאִם־מֵימֶ֤יךָ נִשְׁתֶּה֙ אֲנִ֣י וּמִקְנַ֔י וְנָתַתִּ֖י מִכְרָ֑ם רַ֥ק אֵין־דָּבָ֖ר בְּרַגְלַ֥י אֶֽעֱבֹֽרָה׃</w:t>
      </w:r>
    </w:p>
    <w:p w14:paraId="45CB5E7E"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die Söhne Jisra'els sprachen zu ihm: Auf der Landstraße wollen wir hinaufziehen; und wenn wir von deinem Wasser trinken, ich und mein Vieh, so werde ich den Preis dafür geben; nur – es ist ja nichts – ich will mit meinen Füßen durchziehen.</w:t>
      </w:r>
    </w:p>
    <w:p w14:paraId="25F4F180"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537DE3AD">
          <v:rect id="_x0000_i1719" style="width:0;height:1.5pt" o:hralign="center" o:hrstd="t" o:hr="t" fillcolor="#a0a0a0" stroked="f"/>
        </w:pict>
      </w:r>
    </w:p>
    <w:p w14:paraId="40E17A4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וַיֹּאמְרוּ</w:t>
      </w:r>
      <w:r w:rsidRPr="00DE119B">
        <w:rPr>
          <w:rFonts w:eastAsia="Times New Roman" w:cs="Times New Roman"/>
          <w:rtl/>
          <w:lang w:eastAsia="de-DE"/>
        </w:rPr>
        <w:t xml:space="preserve"> </w:t>
      </w:r>
      <w:r w:rsidRPr="00DE119B">
        <w:rPr>
          <w:rFonts w:eastAsia="Times New Roman" w:cs="Times New Roman"/>
          <w:lang w:eastAsia="de-DE"/>
        </w:rPr>
        <w:t xml:space="preserve">(Wayyiqtol, 3. m. pl. von </w:t>
      </w:r>
      <w:r w:rsidRPr="00DE119B">
        <w:rPr>
          <w:rFonts w:eastAsia="Times New Roman" w:cs="Times New Roman"/>
          <w:b/>
          <w:bCs/>
          <w:rtl/>
          <w:lang w:eastAsia="de-DE"/>
        </w:rPr>
        <w:t>אמר</w:t>
      </w:r>
      <w:r w:rsidRPr="00DE119B">
        <w:rPr>
          <w:rFonts w:eastAsia="Times New Roman" w:cs="Times New Roman"/>
          <w:lang w:eastAsia="de-DE"/>
        </w:rPr>
        <w:t xml:space="preserve">, „und sie sprachen"). Das Subjekt </w:t>
      </w:r>
      <w:r w:rsidRPr="00DE119B">
        <w:rPr>
          <w:rFonts w:eastAsia="Times New Roman" w:cs="Times New Roman"/>
          <w:b/>
          <w:bCs/>
          <w:rtl/>
          <w:lang w:eastAsia="de-DE"/>
        </w:rPr>
        <w:t>בְּנֵי־יִשְׂרָאֵל</w:t>
      </w:r>
      <w:r w:rsidRPr="00DE119B">
        <w:rPr>
          <w:rFonts w:eastAsia="Times New Roman" w:cs="Times New Roman"/>
          <w:rtl/>
          <w:lang w:eastAsia="de-DE"/>
        </w:rPr>
        <w:t xml:space="preserve"> </w:t>
      </w:r>
      <w:r w:rsidRPr="00DE119B">
        <w:rPr>
          <w:rFonts w:eastAsia="Times New Roman" w:cs="Times New Roman"/>
          <w:lang w:eastAsia="de-DE"/>
        </w:rPr>
        <w:t xml:space="preserve">(Constructus-Verbindung). </w:t>
      </w:r>
      <w:r w:rsidRPr="00DE119B">
        <w:rPr>
          <w:rFonts w:eastAsia="Times New Roman" w:cs="Times New Roman"/>
          <w:b/>
          <w:bCs/>
          <w:rtl/>
          <w:lang w:eastAsia="de-DE"/>
        </w:rPr>
        <w:t>אֵלָיו</w:t>
      </w:r>
      <w:r w:rsidRPr="00DE119B">
        <w:rPr>
          <w:rFonts w:eastAsia="Times New Roman" w:cs="Times New Roman"/>
          <w:rtl/>
          <w:lang w:eastAsia="de-DE"/>
        </w:rPr>
        <w:t xml:space="preserve"> </w:t>
      </w:r>
      <w:r w:rsidRPr="00DE119B">
        <w:rPr>
          <w:rFonts w:eastAsia="Times New Roman" w:cs="Times New Roman"/>
          <w:lang w:eastAsia="de-DE"/>
        </w:rPr>
        <w:t>(„zu ihm") bezieht sich auf Edom.</w:t>
      </w:r>
    </w:p>
    <w:p w14:paraId="251D4AF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erste Zusicherung </w:t>
      </w:r>
      <w:r w:rsidRPr="00DE119B">
        <w:rPr>
          <w:rFonts w:eastAsia="Times New Roman" w:cs="Times New Roman"/>
          <w:b/>
          <w:bCs/>
          <w:rtl/>
          <w:lang w:eastAsia="de-DE"/>
        </w:rPr>
        <w:t>בַּמְסִלָּה נַעֲלֶה</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בַּמְסִלָּה</w:t>
      </w:r>
      <w:r w:rsidRPr="00DE119B">
        <w:rPr>
          <w:rFonts w:eastAsia="Times New Roman" w:cs="Times New Roman"/>
          <w:rtl/>
          <w:lang w:eastAsia="de-DE"/>
        </w:rPr>
        <w:t xml:space="preserve"> </w:t>
      </w:r>
      <w:r w:rsidRPr="00DE119B">
        <w:rPr>
          <w:rFonts w:eastAsia="Times New Roman" w:cs="Times New Roman"/>
          <w:lang w:eastAsia="de-DE"/>
        </w:rPr>
        <w:t xml:space="preserve">(„auf der Landstraße") mit Artikel – </w:t>
      </w:r>
      <w:r w:rsidRPr="00DE119B">
        <w:rPr>
          <w:rFonts w:eastAsia="Times New Roman" w:cs="Times New Roman"/>
          <w:b/>
          <w:bCs/>
          <w:rtl/>
          <w:lang w:eastAsia="de-DE"/>
        </w:rPr>
        <w:t>מְסִלָּה</w:t>
      </w:r>
      <w:r w:rsidRPr="00DE119B">
        <w:rPr>
          <w:rFonts w:eastAsia="Times New Roman" w:cs="Times New Roman"/>
          <w:rtl/>
          <w:lang w:eastAsia="de-DE"/>
        </w:rPr>
        <w:t xml:space="preserve"> </w:t>
      </w:r>
      <w:r w:rsidRPr="00DE119B">
        <w:rPr>
          <w:rFonts w:eastAsia="Times New Roman" w:cs="Times New Roman"/>
          <w:lang w:eastAsia="de-DE"/>
        </w:rPr>
        <w:t xml:space="preserve">ist eine befestigte Straße, Hauptverkehrsweg – und </w:t>
      </w:r>
      <w:r w:rsidRPr="00DE119B">
        <w:rPr>
          <w:rFonts w:eastAsia="Times New Roman" w:cs="Times New Roman"/>
          <w:b/>
          <w:bCs/>
          <w:rtl/>
          <w:lang w:eastAsia="de-DE"/>
        </w:rPr>
        <w:t>נַעֲלֶה</w:t>
      </w:r>
      <w:r w:rsidRPr="00DE119B">
        <w:rPr>
          <w:rFonts w:eastAsia="Times New Roman" w:cs="Times New Roman"/>
          <w:rtl/>
          <w:lang w:eastAsia="de-DE"/>
        </w:rPr>
        <w:t xml:space="preserve"> </w:t>
      </w:r>
      <w:r w:rsidRPr="00DE119B">
        <w:rPr>
          <w:rFonts w:eastAsia="Times New Roman" w:cs="Times New Roman"/>
          <w:lang w:eastAsia="de-DE"/>
        </w:rPr>
        <w:t xml:space="preserve">(Qal Imperfekt, 1. c. pl. von </w:t>
      </w:r>
      <w:r w:rsidRPr="00DE119B">
        <w:rPr>
          <w:rFonts w:eastAsia="Times New Roman" w:cs="Times New Roman"/>
          <w:b/>
          <w:bCs/>
          <w:rtl/>
          <w:lang w:eastAsia="de-DE"/>
        </w:rPr>
        <w:t>עלה</w:t>
      </w:r>
      <w:r w:rsidRPr="00DE119B">
        <w:rPr>
          <w:rFonts w:eastAsia="Times New Roman" w:cs="Times New Roman"/>
          <w:lang w:eastAsia="de-DE"/>
        </w:rPr>
        <w:t>, „wir werden hinaufziehen"). Der Kohortativ drückt feste Absicht aus.</w:t>
      </w:r>
    </w:p>
    <w:p w14:paraId="6FD1B6A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konditionale Satz </w:t>
      </w:r>
      <w:r w:rsidRPr="00DE119B">
        <w:rPr>
          <w:rFonts w:eastAsia="Times New Roman" w:cs="Times New Roman"/>
          <w:b/>
          <w:bCs/>
          <w:rtl/>
          <w:lang w:eastAsia="de-DE"/>
        </w:rPr>
        <w:t>וְאִם־מֵימֶיךָ נִשְׁתֶּה אֲנִי וּמִקְנַי</w:t>
      </w:r>
      <w:r w:rsidRPr="00DE119B">
        <w:rPr>
          <w:rFonts w:eastAsia="Times New Roman" w:cs="Times New Roman"/>
          <w:rtl/>
          <w:lang w:eastAsia="de-DE"/>
        </w:rPr>
        <w:t xml:space="preserve"> </w:t>
      </w:r>
      <w:r w:rsidRPr="00DE119B">
        <w:rPr>
          <w:rFonts w:eastAsia="Times New Roman" w:cs="Times New Roman"/>
          <w:lang w:eastAsia="de-DE"/>
        </w:rPr>
        <w:t xml:space="preserve">beginnt mit </w:t>
      </w:r>
      <w:r w:rsidRPr="00DE119B">
        <w:rPr>
          <w:rFonts w:eastAsia="Times New Roman" w:cs="Times New Roman"/>
          <w:b/>
          <w:bCs/>
          <w:rtl/>
          <w:lang w:eastAsia="de-DE"/>
        </w:rPr>
        <w:t>וְאִם</w:t>
      </w:r>
      <w:r w:rsidRPr="00DE119B">
        <w:rPr>
          <w:rFonts w:eastAsia="Times New Roman" w:cs="Times New Roman"/>
          <w:rtl/>
          <w:lang w:eastAsia="de-DE"/>
        </w:rPr>
        <w:t xml:space="preserve"> </w:t>
      </w:r>
      <w:r w:rsidRPr="00DE119B">
        <w:rPr>
          <w:rFonts w:eastAsia="Times New Roman" w:cs="Times New Roman"/>
          <w:lang w:eastAsia="de-DE"/>
        </w:rPr>
        <w:t xml:space="preserve">(„und wenn"), </w:t>
      </w:r>
      <w:r w:rsidRPr="00DE119B">
        <w:rPr>
          <w:rFonts w:eastAsia="Times New Roman" w:cs="Times New Roman"/>
          <w:b/>
          <w:bCs/>
          <w:rtl/>
          <w:lang w:eastAsia="de-DE"/>
        </w:rPr>
        <w:t>מֵימֶיךָ</w:t>
      </w:r>
      <w:r w:rsidRPr="00DE119B">
        <w:rPr>
          <w:rFonts w:eastAsia="Times New Roman" w:cs="Times New Roman"/>
          <w:rtl/>
          <w:lang w:eastAsia="de-DE"/>
        </w:rPr>
        <w:t xml:space="preserve"> </w:t>
      </w:r>
      <w:r w:rsidRPr="00DE119B">
        <w:rPr>
          <w:rFonts w:eastAsia="Times New Roman" w:cs="Times New Roman"/>
          <w:lang w:eastAsia="de-DE"/>
        </w:rPr>
        <w:t xml:space="preserve">(„dein Wasser", Plural mit Possessivsuffix 2. m. sg.), </w:t>
      </w:r>
      <w:r w:rsidRPr="00DE119B">
        <w:rPr>
          <w:rFonts w:eastAsia="Times New Roman" w:cs="Times New Roman"/>
          <w:b/>
          <w:bCs/>
          <w:rtl/>
          <w:lang w:eastAsia="de-DE"/>
        </w:rPr>
        <w:t>נִשְׁתֶּה</w:t>
      </w:r>
      <w:r w:rsidRPr="00DE119B">
        <w:rPr>
          <w:rFonts w:eastAsia="Times New Roman" w:cs="Times New Roman"/>
          <w:rtl/>
          <w:lang w:eastAsia="de-DE"/>
        </w:rPr>
        <w:t xml:space="preserve"> </w:t>
      </w:r>
      <w:r w:rsidRPr="00DE119B">
        <w:rPr>
          <w:rFonts w:eastAsia="Times New Roman" w:cs="Times New Roman"/>
          <w:lang w:eastAsia="de-DE"/>
        </w:rPr>
        <w:t xml:space="preserve">(Qal Imperfekt, 1. c. pl. von </w:t>
      </w:r>
      <w:r w:rsidRPr="00DE119B">
        <w:rPr>
          <w:rFonts w:eastAsia="Times New Roman" w:cs="Times New Roman"/>
          <w:b/>
          <w:bCs/>
          <w:rtl/>
          <w:lang w:eastAsia="de-DE"/>
        </w:rPr>
        <w:t>שׁתה</w:t>
      </w:r>
      <w:r w:rsidRPr="00DE119B">
        <w:rPr>
          <w:rFonts w:eastAsia="Times New Roman" w:cs="Times New Roman"/>
          <w:lang w:eastAsia="de-DE"/>
        </w:rPr>
        <w:t xml:space="preserve">, „wir trinken"), </w:t>
      </w:r>
      <w:r w:rsidRPr="00DE119B">
        <w:rPr>
          <w:rFonts w:eastAsia="Times New Roman" w:cs="Times New Roman"/>
          <w:b/>
          <w:bCs/>
          <w:rtl/>
          <w:lang w:eastAsia="de-DE"/>
        </w:rPr>
        <w:t>אֲנִי וּמִקְנַי</w:t>
      </w:r>
      <w:r w:rsidRPr="00DE119B">
        <w:rPr>
          <w:rFonts w:eastAsia="Times New Roman" w:cs="Times New Roman"/>
          <w:rtl/>
          <w:lang w:eastAsia="de-DE"/>
        </w:rPr>
        <w:t xml:space="preserve"> </w:t>
      </w:r>
      <w:r w:rsidRPr="00DE119B">
        <w:rPr>
          <w:rFonts w:eastAsia="Times New Roman" w:cs="Times New Roman"/>
          <w:lang w:eastAsia="de-DE"/>
        </w:rPr>
        <w:t xml:space="preserve">(„ich und mein Vieh") – </w:t>
      </w:r>
      <w:r w:rsidRPr="00DE119B">
        <w:rPr>
          <w:rFonts w:eastAsia="Times New Roman" w:cs="Times New Roman"/>
          <w:b/>
          <w:bCs/>
          <w:rtl/>
          <w:lang w:eastAsia="de-DE"/>
        </w:rPr>
        <w:t>מִקְנֶה</w:t>
      </w:r>
      <w:r w:rsidRPr="00DE119B">
        <w:rPr>
          <w:rFonts w:eastAsia="Times New Roman" w:cs="Times New Roman"/>
          <w:rtl/>
          <w:lang w:eastAsia="de-DE"/>
        </w:rPr>
        <w:t xml:space="preserve"> </w:t>
      </w:r>
      <w:r w:rsidRPr="00DE119B">
        <w:rPr>
          <w:rFonts w:eastAsia="Times New Roman" w:cs="Times New Roman"/>
          <w:lang w:eastAsia="de-DE"/>
        </w:rPr>
        <w:t xml:space="preserve">„Vieh, Besitz" mit Possessivsuffix 1. c. sg. Das Verb </w:t>
      </w:r>
      <w:r w:rsidRPr="00DE119B">
        <w:rPr>
          <w:rFonts w:eastAsia="Times New Roman" w:cs="Times New Roman"/>
          <w:b/>
          <w:bCs/>
          <w:rtl/>
          <w:lang w:eastAsia="de-DE"/>
        </w:rPr>
        <w:t>וְנָתַתִּי מִכְרָם</w:t>
      </w:r>
      <w:r w:rsidRPr="00DE119B">
        <w:rPr>
          <w:rFonts w:eastAsia="Times New Roman" w:cs="Times New Roman"/>
          <w:rtl/>
          <w:lang w:eastAsia="de-DE"/>
        </w:rPr>
        <w:t xml:space="preserve"> </w:t>
      </w:r>
      <w:r w:rsidRPr="00DE119B">
        <w:rPr>
          <w:rFonts w:eastAsia="Times New Roman" w:cs="Times New Roman"/>
          <w:lang w:eastAsia="de-DE"/>
        </w:rPr>
        <w:t xml:space="preserve">(Waw + Qal Perfekt, 1. c. sg. von </w:t>
      </w:r>
      <w:r w:rsidRPr="00DE119B">
        <w:rPr>
          <w:rFonts w:eastAsia="Times New Roman" w:cs="Times New Roman"/>
          <w:b/>
          <w:bCs/>
          <w:rtl/>
          <w:lang w:eastAsia="de-DE"/>
        </w:rPr>
        <w:t>נתן</w:t>
      </w:r>
      <w:r w:rsidRPr="00DE119B">
        <w:rPr>
          <w:rFonts w:eastAsia="Times New Roman" w:cs="Times New Roman"/>
          <w:rtl/>
          <w:lang w:eastAsia="de-DE"/>
        </w:rPr>
        <w:t xml:space="preserve"> </w:t>
      </w:r>
      <w:r w:rsidRPr="00DE119B">
        <w:rPr>
          <w:rFonts w:eastAsia="Times New Roman" w:cs="Times New Roman"/>
          <w:lang w:eastAsia="de-DE"/>
        </w:rPr>
        <w:t xml:space="preserve">mit Weqatal, „und ich werde geben") plus Objekt </w:t>
      </w:r>
      <w:r w:rsidRPr="00DE119B">
        <w:rPr>
          <w:rFonts w:eastAsia="Times New Roman" w:cs="Times New Roman"/>
          <w:b/>
          <w:bCs/>
          <w:rtl/>
          <w:lang w:eastAsia="de-DE"/>
        </w:rPr>
        <w:t>מִכְרָם</w:t>
      </w:r>
      <w:r w:rsidRPr="00DE119B">
        <w:rPr>
          <w:rFonts w:eastAsia="Times New Roman" w:cs="Times New Roman"/>
          <w:rtl/>
          <w:lang w:eastAsia="de-DE"/>
        </w:rPr>
        <w:t xml:space="preserve"> </w:t>
      </w:r>
      <w:r w:rsidRPr="00DE119B">
        <w:rPr>
          <w:rFonts w:eastAsia="Times New Roman" w:cs="Times New Roman"/>
          <w:lang w:eastAsia="de-DE"/>
        </w:rPr>
        <w:t>(„ihren Preis, Kaufpreis") mit Possessivsuffix 3. m. pl. Israel bietet Bezahlung an – ungewöhnlich großzügig.</w:t>
      </w:r>
    </w:p>
    <w:p w14:paraId="5B590519"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demütige Phrase </w:t>
      </w:r>
      <w:r w:rsidRPr="00DE119B">
        <w:rPr>
          <w:rFonts w:eastAsia="Times New Roman" w:cs="Times New Roman"/>
          <w:b/>
          <w:bCs/>
          <w:rtl/>
          <w:lang w:eastAsia="de-DE"/>
        </w:rPr>
        <w:t>רַק אֵין־דָּבָר</w:t>
      </w:r>
      <w:r w:rsidRPr="00DE119B">
        <w:rPr>
          <w:rFonts w:eastAsia="Times New Roman" w:cs="Times New Roman"/>
          <w:rtl/>
          <w:lang w:eastAsia="de-DE"/>
        </w:rPr>
        <w:t xml:space="preserve"> </w:t>
      </w:r>
      <w:r w:rsidRPr="00DE119B">
        <w:rPr>
          <w:rFonts w:eastAsia="Times New Roman" w:cs="Times New Roman"/>
          <w:lang w:eastAsia="de-DE"/>
        </w:rPr>
        <w:t xml:space="preserve">ist idiomatisch schwierig: </w:t>
      </w:r>
      <w:r w:rsidRPr="00DE119B">
        <w:rPr>
          <w:rFonts w:eastAsia="Times New Roman" w:cs="Times New Roman"/>
          <w:b/>
          <w:bCs/>
          <w:rtl/>
          <w:lang w:eastAsia="de-DE"/>
        </w:rPr>
        <w:t>רַק</w:t>
      </w:r>
      <w:r w:rsidRPr="00DE119B">
        <w:rPr>
          <w:rFonts w:eastAsia="Times New Roman" w:cs="Times New Roman"/>
          <w:rtl/>
          <w:lang w:eastAsia="de-DE"/>
        </w:rPr>
        <w:t xml:space="preserve"> </w:t>
      </w:r>
      <w:r w:rsidRPr="00DE119B">
        <w:rPr>
          <w:rFonts w:eastAsia="Times New Roman" w:cs="Times New Roman"/>
          <w:lang w:eastAsia="de-DE"/>
        </w:rPr>
        <w:t xml:space="preserve">(„nur"), </w:t>
      </w:r>
      <w:r w:rsidRPr="00DE119B">
        <w:rPr>
          <w:rFonts w:eastAsia="Times New Roman" w:cs="Times New Roman"/>
          <w:b/>
          <w:bCs/>
          <w:rtl/>
          <w:lang w:eastAsia="de-DE"/>
        </w:rPr>
        <w:t>אֵין־דָּבָר</w:t>
      </w:r>
      <w:r w:rsidRPr="00DE119B">
        <w:rPr>
          <w:rFonts w:eastAsia="Times New Roman" w:cs="Times New Roman"/>
          <w:rtl/>
          <w:lang w:eastAsia="de-DE"/>
        </w:rPr>
        <w:t xml:space="preserve"> </w:t>
      </w:r>
      <w:r w:rsidRPr="00DE119B">
        <w:rPr>
          <w:rFonts w:eastAsia="Times New Roman" w:cs="Times New Roman"/>
          <w:lang w:eastAsia="de-DE"/>
        </w:rPr>
        <w:t xml:space="preserve">wörtlich „es ist keine Sache" – idiomatisch „es ist nichts, es ist eine Kleinigkeit". Die Phrase minimiert die Bitte. </w:t>
      </w:r>
      <w:r w:rsidRPr="00DE119B">
        <w:rPr>
          <w:rFonts w:eastAsia="Times New Roman" w:cs="Times New Roman"/>
          <w:b/>
          <w:bCs/>
          <w:rtl/>
          <w:lang w:eastAsia="de-DE"/>
        </w:rPr>
        <w:t>בְּרַגְלַי אֶעֱבֹרָה</w:t>
      </w:r>
      <w:r w:rsidRPr="00DE119B">
        <w:rPr>
          <w:rFonts w:eastAsia="Times New Roman" w:cs="Times New Roman"/>
          <w:rtl/>
          <w:lang w:eastAsia="de-DE"/>
        </w:rPr>
        <w:t xml:space="preserve"> </w:t>
      </w:r>
      <w:r w:rsidRPr="00DE119B">
        <w:rPr>
          <w:rFonts w:eastAsia="Times New Roman" w:cs="Times New Roman"/>
          <w:lang w:eastAsia="de-DE"/>
        </w:rPr>
        <w:t xml:space="preserve">(„mit meinen Füßen will ich durchziehen") – </w:t>
      </w:r>
      <w:r w:rsidRPr="00DE119B">
        <w:rPr>
          <w:rFonts w:eastAsia="Times New Roman" w:cs="Times New Roman"/>
          <w:b/>
          <w:bCs/>
          <w:rtl/>
          <w:lang w:eastAsia="de-DE"/>
        </w:rPr>
        <w:t>בְּרַגְלַי</w:t>
      </w:r>
      <w:r w:rsidRPr="00DE119B">
        <w:rPr>
          <w:rFonts w:eastAsia="Times New Roman" w:cs="Times New Roman"/>
          <w:rtl/>
          <w:lang w:eastAsia="de-DE"/>
        </w:rPr>
        <w:t xml:space="preserve"> </w:t>
      </w:r>
      <w:r w:rsidRPr="00DE119B">
        <w:rPr>
          <w:rFonts w:eastAsia="Times New Roman" w:cs="Times New Roman"/>
          <w:lang w:eastAsia="de-DE"/>
        </w:rPr>
        <w:t xml:space="preserve">mit Possessivsuffix 1. c. sg. betont: zu Fuß, demütig, ohne Kavallerie oder Streitwagen. </w:t>
      </w:r>
      <w:r w:rsidRPr="00DE119B">
        <w:rPr>
          <w:rFonts w:eastAsia="Times New Roman" w:cs="Times New Roman"/>
          <w:b/>
          <w:bCs/>
          <w:rtl/>
          <w:lang w:eastAsia="de-DE"/>
        </w:rPr>
        <w:t>אֶעֱבֹרָה</w:t>
      </w:r>
      <w:r w:rsidRPr="00DE119B">
        <w:rPr>
          <w:rFonts w:eastAsia="Times New Roman" w:cs="Times New Roman"/>
          <w:rtl/>
          <w:lang w:eastAsia="de-DE"/>
        </w:rPr>
        <w:t xml:space="preserve"> </w:t>
      </w:r>
      <w:r w:rsidRPr="00DE119B">
        <w:rPr>
          <w:rFonts w:eastAsia="Times New Roman" w:cs="Times New Roman"/>
          <w:lang w:eastAsia="de-DE"/>
        </w:rPr>
        <w:t xml:space="preserve">ist Qal Kohortativ, 1. c. sg. von </w:t>
      </w:r>
      <w:r w:rsidRPr="00DE119B">
        <w:rPr>
          <w:rFonts w:eastAsia="Times New Roman" w:cs="Times New Roman"/>
          <w:b/>
          <w:bCs/>
          <w:rtl/>
          <w:lang w:eastAsia="de-DE"/>
        </w:rPr>
        <w:t>עבר</w:t>
      </w:r>
      <w:r w:rsidRPr="00DE119B">
        <w:rPr>
          <w:rFonts w:eastAsia="Times New Roman" w:cs="Times New Roman"/>
          <w:rtl/>
          <w:lang w:eastAsia="de-DE"/>
        </w:rPr>
        <w:t xml:space="preserve"> </w:t>
      </w:r>
      <w:r w:rsidRPr="00DE119B">
        <w:rPr>
          <w:rFonts w:eastAsia="Times New Roman" w:cs="Times New Roman"/>
          <w:lang w:eastAsia="de-DE"/>
        </w:rPr>
        <w:t xml:space="preserve">mit Paragogischem </w:t>
      </w:r>
      <w:r w:rsidRPr="00DE119B">
        <w:rPr>
          <w:rFonts w:eastAsia="Times New Roman" w:cs="Times New Roman"/>
          <w:rtl/>
          <w:lang w:eastAsia="de-DE"/>
        </w:rPr>
        <w:t>ה</w:t>
      </w:r>
      <w:r w:rsidRPr="00DE119B">
        <w:rPr>
          <w:rFonts w:eastAsia="Times New Roman" w:cs="Times New Roman"/>
          <w:lang w:eastAsia="de-DE"/>
        </w:rPr>
        <w:t>.</w:t>
      </w:r>
    </w:p>
    <w:p w14:paraId="01258799" w14:textId="636D2C74"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w:t>
      </w:r>
      <w:r w:rsidR="00C229FD">
        <w:t>übersetzt „</w:t>
      </w:r>
      <w:r w:rsidR="00C229FD" w:rsidRPr="00C229FD">
        <w:rPr>
          <w:b/>
          <w:bCs/>
          <w:rtl/>
        </w:rPr>
        <w:t>בַּמְסִלָּה נַעֲלֶה</w:t>
      </w:r>
      <w:r w:rsidR="00C229FD">
        <w:t>" (auf der Straße werden wir hinaufziehen) mit „Παρὰ τὸ ὄρος παρελευσόμεθα" (am Berg entlang werden wir durchziehen), was eine topographische statt einer infrastrukturellen Beschreibung ist. Zudem fügt die LXX die Phrase zweimal ein, was im Hebräischen nur einmal erscheint.</w:t>
      </w:r>
    </w:p>
    <w:p w14:paraId="17CFA13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Satzstruktur zeigt einen Hauptsatz mit Verb, Subjekt und indirektem Objekt. Die direkte Rede enthält einen Hauptsatz mit Präpositionalphrase und Verb, gefolgt von einem konditionalen Nebensatz mit </w:t>
      </w:r>
      <w:r w:rsidRPr="00DE119B">
        <w:rPr>
          <w:rFonts w:eastAsia="Times New Roman" w:cs="Times New Roman"/>
          <w:b/>
          <w:bCs/>
          <w:rtl/>
          <w:lang w:eastAsia="de-DE"/>
        </w:rPr>
        <w:t>אִם</w:t>
      </w:r>
      <w:r w:rsidRPr="00DE119B">
        <w:rPr>
          <w:rFonts w:eastAsia="Times New Roman" w:cs="Times New Roman"/>
          <w:lang w:eastAsia="de-DE"/>
        </w:rPr>
        <w:t xml:space="preserve">, Objekt (Possessivsuffix), Verb und doppeltem Subjekt, dann einem Hauptsatz mit Verb und Objekt (Possessivsuffix). Eine abschließende Phrase mit restriktivem </w:t>
      </w:r>
      <w:r w:rsidRPr="00DE119B">
        <w:rPr>
          <w:rFonts w:eastAsia="Times New Roman" w:cs="Times New Roman"/>
          <w:b/>
          <w:bCs/>
          <w:rtl/>
          <w:lang w:eastAsia="de-DE"/>
        </w:rPr>
        <w:t>רַק</w:t>
      </w:r>
      <w:r w:rsidRPr="00DE119B">
        <w:rPr>
          <w:rFonts w:eastAsia="Times New Roman" w:cs="Times New Roman"/>
          <w:lang w:eastAsia="de-DE"/>
        </w:rPr>
        <w:t>, idiomatischer Negation und finalem Satz mit Präpositionalphrase und Verb schließt ab. Insgesamt gibt es einen Nebensatz (Konditionalsatz).</w:t>
      </w:r>
    </w:p>
    <w:p w14:paraId="1367BFE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lastRenderedPageBreak/>
        <w:t>Der Vers zeigt maximale Demut und Konzessionsbereitschaft: Israel bietet Zahlung, verspricht nur die Straße zu nutzen, nur zu Fuß zu gehen – mehr Entgegenkommen ist kaum möglich.</w:t>
      </w:r>
    </w:p>
    <w:p w14:paraId="0E38C903"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20,20</w:t>
      </w:r>
    </w:p>
    <w:p w14:paraId="33841EA4"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וַיֹּ֖אמֶר לֹ֣א תַעֲבֹ֑ר וַיֵּצֵ֤א אֱדוֹם֙ לִקְרָאתוֹ֔ בְּעַ֥ם כָּבֵ֖ד וּבְיָ֥ד חֲזָקָֽה׃</w:t>
      </w:r>
    </w:p>
    <w:p w14:paraId="6E9851A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er sprach: Du sollst nicht durchziehen! Und Edom zog aus, ihm entgegen, mit zahlreichem Volk und mit starker Hand.</w:t>
      </w:r>
    </w:p>
    <w:p w14:paraId="64817495"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1F943DD7">
          <v:rect id="_x0000_i1720" style="width:0;height:1.5pt" o:hralign="center" o:hrstd="t" o:hr="t" fillcolor="#a0a0a0" stroked="f"/>
        </w:pict>
      </w:r>
    </w:p>
    <w:p w14:paraId="5562529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וַיֹּאמֶר</w:t>
      </w:r>
      <w:r w:rsidRPr="00DE119B">
        <w:rPr>
          <w:rFonts w:eastAsia="Times New Roman" w:cs="Times New Roman"/>
          <w:rtl/>
          <w:lang w:eastAsia="de-DE"/>
        </w:rPr>
        <w:t xml:space="preserve"> </w:t>
      </w:r>
      <w:r w:rsidRPr="00DE119B">
        <w:rPr>
          <w:rFonts w:eastAsia="Times New Roman" w:cs="Times New Roman"/>
          <w:lang w:eastAsia="de-DE"/>
        </w:rPr>
        <w:t xml:space="preserve">(Wayyiqtol von </w:t>
      </w:r>
      <w:r w:rsidRPr="00DE119B">
        <w:rPr>
          <w:rFonts w:eastAsia="Times New Roman" w:cs="Times New Roman"/>
          <w:b/>
          <w:bCs/>
          <w:rtl/>
          <w:lang w:eastAsia="de-DE"/>
        </w:rPr>
        <w:t>אמר</w:t>
      </w:r>
      <w:r w:rsidRPr="00DE119B">
        <w:rPr>
          <w:rFonts w:eastAsia="Times New Roman" w:cs="Times New Roman"/>
          <w:lang w:eastAsia="de-DE"/>
        </w:rPr>
        <w:t xml:space="preserve">) – Edom antwortet. Die kategorische Ablehnung </w:t>
      </w:r>
      <w:r w:rsidRPr="00DE119B">
        <w:rPr>
          <w:rFonts w:eastAsia="Times New Roman" w:cs="Times New Roman"/>
          <w:b/>
          <w:bCs/>
          <w:rtl/>
          <w:lang w:eastAsia="de-DE"/>
        </w:rPr>
        <w:t>לֹא תַעֲבֹר</w:t>
      </w:r>
      <w:r w:rsidRPr="00DE119B">
        <w:rPr>
          <w:rFonts w:eastAsia="Times New Roman" w:cs="Times New Roman"/>
          <w:rtl/>
          <w:lang w:eastAsia="de-DE"/>
        </w:rPr>
        <w:t xml:space="preserve"> </w:t>
      </w:r>
      <w:r w:rsidRPr="00DE119B">
        <w:rPr>
          <w:rFonts w:eastAsia="Times New Roman" w:cs="Times New Roman"/>
          <w:lang w:eastAsia="de-DE"/>
        </w:rPr>
        <w:t>(„du sollst nicht durchziehen") wiederholt wörtlich Vers 18, aber jetzt ohne Begründung oder Drohung – nur blanke Ablehnung.</w:t>
      </w:r>
    </w:p>
    <w:p w14:paraId="380667BB"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Eskalation </w:t>
      </w:r>
      <w:r w:rsidRPr="00DE119B">
        <w:rPr>
          <w:rFonts w:eastAsia="Times New Roman" w:cs="Times New Roman"/>
          <w:b/>
          <w:bCs/>
          <w:rtl/>
          <w:lang w:eastAsia="de-DE"/>
        </w:rPr>
        <w:t>וַיֵּצֵא אֱדוֹם לִקְרָאתוֹ</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וַיֵּצֵא</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יצא</w:t>
      </w:r>
      <w:r w:rsidRPr="00DE119B">
        <w:rPr>
          <w:rFonts w:eastAsia="Times New Roman" w:cs="Times New Roman"/>
          <w:lang w:eastAsia="de-DE"/>
        </w:rPr>
        <w:t xml:space="preserve">, „und er/es zog aus"), </w:t>
      </w:r>
      <w:r w:rsidRPr="00DE119B">
        <w:rPr>
          <w:rFonts w:eastAsia="Times New Roman" w:cs="Times New Roman"/>
          <w:b/>
          <w:bCs/>
          <w:rtl/>
          <w:lang w:eastAsia="de-DE"/>
        </w:rPr>
        <w:t>אֱדוֹם</w:t>
      </w:r>
      <w:r w:rsidRPr="00DE119B">
        <w:rPr>
          <w:rFonts w:eastAsia="Times New Roman" w:cs="Times New Roman"/>
          <w:rtl/>
          <w:lang w:eastAsia="de-DE"/>
        </w:rPr>
        <w:t xml:space="preserve"> </w:t>
      </w:r>
      <w:r w:rsidRPr="00DE119B">
        <w:rPr>
          <w:rFonts w:eastAsia="Times New Roman" w:cs="Times New Roman"/>
          <w:lang w:eastAsia="de-DE"/>
        </w:rPr>
        <w:t xml:space="preserve">Subjekt, </w:t>
      </w:r>
      <w:r w:rsidRPr="00DE119B">
        <w:rPr>
          <w:rFonts w:eastAsia="Times New Roman" w:cs="Times New Roman"/>
          <w:b/>
          <w:bCs/>
          <w:rtl/>
          <w:lang w:eastAsia="de-DE"/>
        </w:rPr>
        <w:t>לִקְרָאתוֹ</w:t>
      </w:r>
      <w:r w:rsidRPr="00DE119B">
        <w:rPr>
          <w:rFonts w:eastAsia="Times New Roman" w:cs="Times New Roman"/>
          <w:rtl/>
          <w:lang w:eastAsia="de-DE"/>
        </w:rPr>
        <w:t xml:space="preserve"> </w:t>
      </w:r>
      <w:r w:rsidRPr="00DE119B">
        <w:rPr>
          <w:rFonts w:eastAsia="Times New Roman" w:cs="Times New Roman"/>
          <w:lang w:eastAsia="de-DE"/>
        </w:rPr>
        <w:t xml:space="preserve">(„ihm entgegen") mit Suffix 3. m. sg. Die doppelte Präpositionalphrase </w:t>
      </w:r>
      <w:r w:rsidRPr="00DE119B">
        <w:rPr>
          <w:rFonts w:eastAsia="Times New Roman" w:cs="Times New Roman"/>
          <w:b/>
          <w:bCs/>
          <w:rtl/>
          <w:lang w:eastAsia="de-DE"/>
        </w:rPr>
        <w:t>בְּעַם כָּבֵד וּבְיָד חֲזָקָה</w:t>
      </w:r>
      <w:r w:rsidRPr="00DE119B">
        <w:rPr>
          <w:rFonts w:eastAsia="Times New Roman" w:cs="Times New Roman"/>
          <w:rtl/>
          <w:lang w:eastAsia="de-DE"/>
        </w:rPr>
        <w:t xml:space="preserve"> </w:t>
      </w:r>
      <w:r w:rsidRPr="00DE119B">
        <w:rPr>
          <w:rFonts w:eastAsia="Times New Roman" w:cs="Times New Roman"/>
          <w:lang w:eastAsia="de-DE"/>
        </w:rPr>
        <w:t xml:space="preserve">beschreibt die Streitmacht: </w:t>
      </w:r>
      <w:r w:rsidRPr="00DE119B">
        <w:rPr>
          <w:rFonts w:eastAsia="Times New Roman" w:cs="Times New Roman"/>
          <w:b/>
          <w:bCs/>
          <w:rtl/>
          <w:lang w:eastAsia="de-DE"/>
        </w:rPr>
        <w:t>בְּעַם כָּבֵד</w:t>
      </w:r>
      <w:r w:rsidRPr="00DE119B">
        <w:rPr>
          <w:rFonts w:eastAsia="Times New Roman" w:cs="Times New Roman"/>
          <w:rtl/>
          <w:lang w:eastAsia="de-DE"/>
        </w:rPr>
        <w:t xml:space="preserve"> </w:t>
      </w:r>
      <w:r w:rsidRPr="00DE119B">
        <w:rPr>
          <w:rFonts w:eastAsia="Times New Roman" w:cs="Times New Roman"/>
          <w:lang w:eastAsia="de-DE"/>
        </w:rPr>
        <w:t xml:space="preserve">(„mit schwerem/zahlreichem Volk") – </w:t>
      </w:r>
      <w:r w:rsidRPr="00DE119B">
        <w:rPr>
          <w:rFonts w:eastAsia="Times New Roman" w:cs="Times New Roman"/>
          <w:b/>
          <w:bCs/>
          <w:rtl/>
          <w:lang w:eastAsia="de-DE"/>
        </w:rPr>
        <w:t>כָּבֵד</w:t>
      </w:r>
      <w:r w:rsidRPr="00DE119B">
        <w:rPr>
          <w:rFonts w:eastAsia="Times New Roman" w:cs="Times New Roman"/>
          <w:rtl/>
          <w:lang w:eastAsia="de-DE"/>
        </w:rPr>
        <w:t xml:space="preserve"> </w:t>
      </w:r>
      <w:r w:rsidRPr="00DE119B">
        <w:rPr>
          <w:rFonts w:eastAsia="Times New Roman" w:cs="Times New Roman"/>
          <w:lang w:eastAsia="de-DE"/>
        </w:rPr>
        <w:t xml:space="preserve">bedeutet wörtlich „schwer", hier idiomatisch „zahlreich, mächtig"; </w:t>
      </w:r>
      <w:r w:rsidRPr="00DE119B">
        <w:rPr>
          <w:rFonts w:eastAsia="Times New Roman" w:cs="Times New Roman"/>
          <w:b/>
          <w:bCs/>
          <w:rtl/>
          <w:lang w:eastAsia="de-DE"/>
        </w:rPr>
        <w:t>וּבְיָד חֲזָקָה</w:t>
      </w:r>
      <w:r w:rsidRPr="00DE119B">
        <w:rPr>
          <w:rFonts w:eastAsia="Times New Roman" w:cs="Times New Roman"/>
          <w:rtl/>
          <w:lang w:eastAsia="de-DE"/>
        </w:rPr>
        <w:t xml:space="preserve"> </w:t>
      </w:r>
      <w:r w:rsidRPr="00DE119B">
        <w:rPr>
          <w:rFonts w:eastAsia="Times New Roman" w:cs="Times New Roman"/>
          <w:lang w:eastAsia="de-DE"/>
        </w:rPr>
        <w:t xml:space="preserve">(„und mit starker Hand") – </w:t>
      </w:r>
      <w:r w:rsidRPr="00DE119B">
        <w:rPr>
          <w:rFonts w:eastAsia="Times New Roman" w:cs="Times New Roman"/>
          <w:b/>
          <w:bCs/>
          <w:rtl/>
          <w:lang w:eastAsia="de-DE"/>
        </w:rPr>
        <w:t>יָד חֲזָקָה</w:t>
      </w:r>
      <w:r w:rsidRPr="00DE119B">
        <w:rPr>
          <w:rFonts w:eastAsia="Times New Roman" w:cs="Times New Roman"/>
          <w:rtl/>
          <w:lang w:eastAsia="de-DE"/>
        </w:rPr>
        <w:t xml:space="preserve"> </w:t>
      </w:r>
      <w:r w:rsidRPr="00DE119B">
        <w:rPr>
          <w:rFonts w:eastAsia="Times New Roman" w:cs="Times New Roman"/>
          <w:lang w:eastAsia="de-DE"/>
        </w:rPr>
        <w:t>ist eine stehende Wendung für militärische Macht (vgl. Ex 3,19; 6,1).</w:t>
      </w:r>
    </w:p>
    <w:p w14:paraId="68C64FB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 und gibt </w:t>
      </w:r>
      <w:r w:rsidRPr="00DE119B">
        <w:rPr>
          <w:rFonts w:eastAsia="Times New Roman" w:cs="Times New Roman"/>
          <w:b/>
          <w:bCs/>
          <w:rtl/>
          <w:lang w:eastAsia="de-DE"/>
        </w:rPr>
        <w:t>עַם כָּבֵד</w:t>
      </w:r>
      <w:r w:rsidRPr="00DE119B">
        <w:rPr>
          <w:rFonts w:eastAsia="Times New Roman" w:cs="Times New Roman"/>
          <w:rtl/>
          <w:lang w:eastAsia="de-DE"/>
        </w:rPr>
        <w:t xml:space="preserve"> </w:t>
      </w:r>
      <w:r w:rsidRPr="00DE119B">
        <w:rPr>
          <w:rFonts w:eastAsia="Times New Roman" w:cs="Times New Roman"/>
          <w:lang w:eastAsia="de-DE"/>
        </w:rPr>
        <w:t>mit λαῷ πολλῷ (laō pollō, „mit viel Volk") wieder.</w:t>
      </w:r>
    </w:p>
    <w:p w14:paraId="1AED171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drei koordinierte Hauptsätze: Der erste mit Verb und direkter Rede (Negation plus Verb); der zweite mit Verb, Subjekt und Präpositionalphrase; der dritte implizit (Fortsetzung) mit doppelter koordinierter Präpositionalphrase. Es gibt keine Nebensätze.</w:t>
      </w:r>
    </w:p>
    <w:p w14:paraId="149ABD1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zeigt die volle Eskalation: Edom mobilisiert militärisch gegen das friedliche Israel – aus Worten werden Taten.</w:t>
      </w:r>
    </w:p>
    <w:p w14:paraId="0F560EDA"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20,21</w:t>
      </w:r>
    </w:p>
    <w:p w14:paraId="73848AB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וַיְמָאֵ֣ן׀ אֱד֗וֹם נְתֹן֙ אֶת־יִשְׂרָאֵ֔ל עֲבֹ֖ר בִּגְבֻלֹ֑ו וַיֵּ֥ט יִשְׂרָאֵ֖ל מֵעָלָֽיו׃</w:t>
      </w:r>
    </w:p>
    <w:p w14:paraId="3EC9D623"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so weigerte sich Edom, Jisra'el zu gestatten, durch sein Gebiet zu ziehen; und Jisra'el bog von ihm ab.</w:t>
      </w:r>
    </w:p>
    <w:p w14:paraId="6028BFC6"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15151A5B">
          <v:rect id="_x0000_i1721" style="width:0;height:1.5pt" o:hralign="center" o:hrstd="t" o:hr="t" fillcolor="#a0a0a0" stroked="f"/>
        </w:pict>
      </w:r>
    </w:p>
    <w:p w14:paraId="1651FE93" w14:textId="1179A4A2"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וַיְמָאֵן</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מאן</w:t>
      </w:r>
      <w:r w:rsidRPr="00DE119B">
        <w:rPr>
          <w:rFonts w:eastAsia="Times New Roman" w:cs="Times New Roman"/>
          <w:lang w:eastAsia="de-DE"/>
        </w:rPr>
        <w:t xml:space="preserve">, „und er weigerte sich"). </w:t>
      </w:r>
      <w:r w:rsidRPr="00DE119B">
        <w:rPr>
          <w:rFonts w:eastAsia="Times New Roman" w:cs="Times New Roman"/>
          <w:b/>
          <w:bCs/>
          <w:rtl/>
          <w:lang w:eastAsia="de-DE"/>
        </w:rPr>
        <w:t>אֱדוֹם</w:t>
      </w:r>
      <w:r w:rsidRPr="00DE119B">
        <w:rPr>
          <w:rFonts w:eastAsia="Times New Roman" w:cs="Times New Roman"/>
          <w:rtl/>
          <w:lang w:eastAsia="de-DE"/>
        </w:rPr>
        <w:t xml:space="preserve"> </w:t>
      </w:r>
      <w:r w:rsidRPr="00DE119B">
        <w:rPr>
          <w:rFonts w:eastAsia="Times New Roman" w:cs="Times New Roman"/>
          <w:lang w:eastAsia="de-DE"/>
        </w:rPr>
        <w:t xml:space="preserve">ist das Subjekt. Der Infinitiv construct </w:t>
      </w:r>
      <w:r w:rsidRPr="00DE119B">
        <w:rPr>
          <w:rFonts w:eastAsia="Times New Roman" w:cs="Times New Roman"/>
          <w:b/>
          <w:bCs/>
          <w:rtl/>
          <w:lang w:eastAsia="de-DE"/>
        </w:rPr>
        <w:t>נְתֹן</w:t>
      </w:r>
      <w:r w:rsidRPr="00DE119B">
        <w:rPr>
          <w:rFonts w:eastAsia="Times New Roman" w:cs="Times New Roman"/>
          <w:rtl/>
          <w:lang w:eastAsia="de-DE"/>
        </w:rPr>
        <w:t xml:space="preserve"> </w:t>
      </w:r>
      <w:r w:rsidRPr="00DE119B">
        <w:rPr>
          <w:rFonts w:eastAsia="Times New Roman" w:cs="Times New Roman"/>
          <w:lang w:eastAsia="de-DE"/>
        </w:rPr>
        <w:t xml:space="preserve">(Qal Infinitiv construct von </w:t>
      </w:r>
      <w:r w:rsidRPr="00DE119B">
        <w:rPr>
          <w:rFonts w:eastAsia="Times New Roman" w:cs="Times New Roman"/>
          <w:b/>
          <w:bCs/>
          <w:rtl/>
          <w:lang w:eastAsia="de-DE"/>
        </w:rPr>
        <w:t>נתן</w:t>
      </w:r>
      <w:r w:rsidRPr="00DE119B">
        <w:rPr>
          <w:rFonts w:eastAsia="Times New Roman" w:cs="Times New Roman"/>
          <w:lang w:eastAsia="de-DE"/>
        </w:rPr>
        <w:t xml:space="preserve">, „zu geben, zu gestatten") mit dem Objekt </w:t>
      </w:r>
      <w:r w:rsidRPr="00DE119B">
        <w:rPr>
          <w:rFonts w:eastAsia="Times New Roman" w:cs="Times New Roman"/>
          <w:b/>
          <w:bCs/>
          <w:rtl/>
          <w:lang w:eastAsia="de-DE"/>
        </w:rPr>
        <w:t>אֶת־יִשְׂרָאֵל</w:t>
      </w:r>
      <w:r w:rsidRPr="00DE119B">
        <w:rPr>
          <w:rFonts w:eastAsia="Times New Roman" w:cs="Times New Roman"/>
          <w:rtl/>
          <w:lang w:eastAsia="de-DE"/>
        </w:rPr>
        <w:t xml:space="preserve"> </w:t>
      </w:r>
      <w:r w:rsidRPr="00DE119B">
        <w:rPr>
          <w:rFonts w:eastAsia="Times New Roman" w:cs="Times New Roman"/>
          <w:lang w:eastAsia="de-DE"/>
        </w:rPr>
        <w:t xml:space="preserve">und dem finalen Infinitiv </w:t>
      </w:r>
      <w:r w:rsidRPr="00DE119B">
        <w:rPr>
          <w:rFonts w:eastAsia="Times New Roman" w:cs="Times New Roman"/>
          <w:b/>
          <w:bCs/>
          <w:rtl/>
          <w:lang w:eastAsia="de-DE"/>
        </w:rPr>
        <w:t>עֲבֹר</w:t>
      </w:r>
      <w:r w:rsidRPr="00DE119B">
        <w:rPr>
          <w:rFonts w:eastAsia="Times New Roman" w:cs="Times New Roman"/>
          <w:rtl/>
          <w:lang w:eastAsia="de-DE"/>
        </w:rPr>
        <w:t xml:space="preserve"> </w:t>
      </w:r>
      <w:r w:rsidRPr="00DE119B">
        <w:rPr>
          <w:rFonts w:eastAsia="Times New Roman" w:cs="Times New Roman"/>
          <w:lang w:eastAsia="de-DE"/>
        </w:rPr>
        <w:t xml:space="preserve">(Qal Infinitiv construct </w:t>
      </w:r>
      <w:r w:rsidRPr="00DE119B">
        <w:rPr>
          <w:rFonts w:eastAsia="Times New Roman" w:cs="Times New Roman"/>
          <w:lang w:eastAsia="de-DE"/>
        </w:rPr>
        <w:lastRenderedPageBreak/>
        <w:t xml:space="preserve">von </w:t>
      </w:r>
      <w:r w:rsidRPr="00DE119B">
        <w:rPr>
          <w:rFonts w:eastAsia="Times New Roman" w:cs="Times New Roman"/>
          <w:b/>
          <w:bCs/>
          <w:rtl/>
          <w:lang w:eastAsia="de-DE"/>
        </w:rPr>
        <w:t>עבר</w:t>
      </w:r>
      <w:r w:rsidRPr="00DE119B">
        <w:rPr>
          <w:rFonts w:eastAsia="Times New Roman" w:cs="Times New Roman"/>
          <w:lang w:eastAsia="de-DE"/>
        </w:rPr>
        <w:t xml:space="preserve">, „durchzuziehen") mit </w:t>
      </w:r>
      <w:r w:rsidRPr="00DE119B">
        <w:rPr>
          <w:rFonts w:eastAsia="Times New Roman" w:cs="Times New Roman"/>
          <w:b/>
          <w:bCs/>
          <w:rtl/>
          <w:lang w:eastAsia="de-DE"/>
        </w:rPr>
        <w:t>בִּגְבֻלוֹ</w:t>
      </w:r>
      <w:r w:rsidRPr="00DE119B">
        <w:rPr>
          <w:rFonts w:eastAsia="Times New Roman" w:cs="Times New Roman"/>
          <w:rtl/>
          <w:lang w:eastAsia="de-DE"/>
        </w:rPr>
        <w:t xml:space="preserve"> </w:t>
      </w:r>
      <w:r w:rsidRPr="00DE119B">
        <w:rPr>
          <w:rFonts w:eastAsia="Times New Roman" w:cs="Times New Roman"/>
          <w:lang w:eastAsia="de-DE"/>
        </w:rPr>
        <w:t xml:space="preserve">(„durch sein Gebiet") – </w:t>
      </w:r>
      <w:r w:rsidRPr="00DE119B">
        <w:rPr>
          <w:rFonts w:eastAsia="Times New Roman" w:cs="Times New Roman"/>
          <w:b/>
          <w:bCs/>
          <w:rtl/>
          <w:lang w:eastAsia="de-DE"/>
        </w:rPr>
        <w:t>גְּבוּל</w:t>
      </w:r>
      <w:r w:rsidRPr="00DE119B">
        <w:rPr>
          <w:rFonts w:eastAsia="Times New Roman" w:cs="Times New Roman"/>
          <w:rtl/>
          <w:lang w:eastAsia="de-DE"/>
        </w:rPr>
        <w:t xml:space="preserve"> </w:t>
      </w:r>
      <w:r w:rsidRPr="00DE119B">
        <w:rPr>
          <w:rFonts w:eastAsia="Times New Roman" w:cs="Times New Roman"/>
          <w:lang w:eastAsia="de-DE"/>
        </w:rPr>
        <w:t xml:space="preserve">mit Possessivsuffix 3. m. sg. Die </w:t>
      </w:r>
      <w:r w:rsidR="00F133EC">
        <w:rPr>
          <w:rFonts w:eastAsia="Times New Roman" w:cs="Times New Roman"/>
          <w:lang w:eastAsia="de-DE"/>
        </w:rPr>
        <w:t>Construct</w:t>
      </w:r>
      <w:r w:rsidRPr="00DE119B">
        <w:rPr>
          <w:rFonts w:eastAsia="Times New Roman" w:cs="Times New Roman"/>
          <w:lang w:eastAsia="de-DE"/>
        </w:rPr>
        <w:t xml:space="preserve">ion </w:t>
      </w:r>
      <w:r w:rsidRPr="00DE119B">
        <w:rPr>
          <w:rFonts w:eastAsia="Times New Roman" w:cs="Times New Roman"/>
          <w:b/>
          <w:bCs/>
          <w:rtl/>
          <w:lang w:eastAsia="de-DE"/>
        </w:rPr>
        <w:t>מאן</w:t>
      </w:r>
      <w:r w:rsidRPr="00DE119B">
        <w:rPr>
          <w:rFonts w:eastAsia="Times New Roman" w:cs="Times New Roman"/>
          <w:b/>
          <w:bCs/>
          <w:lang w:eastAsia="de-DE"/>
        </w:rPr>
        <w:t xml:space="preserve"> + infinitiv</w:t>
      </w:r>
      <w:r w:rsidRPr="00DE119B">
        <w:rPr>
          <w:rFonts w:eastAsia="Times New Roman" w:cs="Times New Roman"/>
          <w:lang w:eastAsia="de-DE"/>
        </w:rPr>
        <w:t xml:space="preserve"> bedeutet „sich weigern zu...".</w:t>
      </w:r>
    </w:p>
    <w:p w14:paraId="62A0199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Israels Reaktion </w:t>
      </w:r>
      <w:r w:rsidRPr="00DE119B">
        <w:rPr>
          <w:rFonts w:eastAsia="Times New Roman" w:cs="Times New Roman"/>
          <w:b/>
          <w:bCs/>
          <w:rtl/>
          <w:lang w:eastAsia="de-DE"/>
        </w:rPr>
        <w:t>וַיֵּט יִשְׂרָאֵל מֵעָלָיו</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וַיֵּט</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נטה</w:t>
      </w:r>
      <w:r w:rsidRPr="00DE119B">
        <w:rPr>
          <w:rFonts w:eastAsia="Times New Roman" w:cs="Times New Roman"/>
          <w:lang w:eastAsia="de-DE"/>
        </w:rPr>
        <w:t xml:space="preserve">, „und er/es bog ab"), </w:t>
      </w:r>
      <w:r w:rsidRPr="00DE119B">
        <w:rPr>
          <w:rFonts w:eastAsia="Times New Roman" w:cs="Times New Roman"/>
          <w:b/>
          <w:bCs/>
          <w:rtl/>
          <w:lang w:eastAsia="de-DE"/>
        </w:rPr>
        <w:t>יִשְׂרָאֵל</w:t>
      </w:r>
      <w:r w:rsidRPr="00DE119B">
        <w:rPr>
          <w:rFonts w:eastAsia="Times New Roman" w:cs="Times New Roman"/>
          <w:rtl/>
          <w:lang w:eastAsia="de-DE"/>
        </w:rPr>
        <w:t xml:space="preserve"> </w:t>
      </w:r>
      <w:r w:rsidRPr="00DE119B">
        <w:rPr>
          <w:rFonts w:eastAsia="Times New Roman" w:cs="Times New Roman"/>
          <w:lang w:eastAsia="de-DE"/>
        </w:rPr>
        <w:t xml:space="preserve">Subjekt, </w:t>
      </w:r>
      <w:r w:rsidRPr="00DE119B">
        <w:rPr>
          <w:rFonts w:eastAsia="Times New Roman" w:cs="Times New Roman"/>
          <w:b/>
          <w:bCs/>
          <w:rtl/>
          <w:lang w:eastAsia="de-DE"/>
        </w:rPr>
        <w:t>מֵעָלָיו</w:t>
      </w:r>
      <w:r w:rsidRPr="00DE119B">
        <w:rPr>
          <w:rFonts w:eastAsia="Times New Roman" w:cs="Times New Roman"/>
          <w:rtl/>
          <w:lang w:eastAsia="de-DE"/>
        </w:rPr>
        <w:t xml:space="preserve"> </w:t>
      </w:r>
      <w:r w:rsidRPr="00DE119B">
        <w:rPr>
          <w:rFonts w:eastAsia="Times New Roman" w:cs="Times New Roman"/>
          <w:lang w:eastAsia="de-DE"/>
        </w:rPr>
        <w:t xml:space="preserve">(„von ihm weg") mit </w:t>
      </w:r>
      <w:r w:rsidRPr="00DE119B">
        <w:rPr>
          <w:rFonts w:eastAsia="Times New Roman" w:cs="Times New Roman"/>
          <w:b/>
          <w:bCs/>
          <w:rtl/>
          <w:lang w:eastAsia="de-DE"/>
        </w:rPr>
        <w:t>מִן</w:t>
      </w:r>
      <w:r w:rsidRPr="00DE119B">
        <w:rPr>
          <w:rFonts w:eastAsia="Times New Roman" w:cs="Times New Roman"/>
          <w:rtl/>
          <w:lang w:eastAsia="de-DE"/>
        </w:rPr>
        <w:t xml:space="preserve"> </w:t>
      </w:r>
      <w:r w:rsidRPr="00DE119B">
        <w:rPr>
          <w:rFonts w:eastAsia="Times New Roman" w:cs="Times New Roman"/>
          <w:lang w:eastAsia="de-DE"/>
        </w:rPr>
        <w:t>und Suffix 3. m. sg. Israel zieht sich zurück, weicht aus – keine militärische Konfrontation mit dem „Brudervolk".</w:t>
      </w:r>
    </w:p>
    <w:p w14:paraId="33031EB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w:t>
      </w:r>
    </w:p>
    <w:p w14:paraId="19BEDA75"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zwei koordinierte Hauptsätze: Der erste mit Verb, Subjekt und Infinitivkonstruktion (Infinitiv mit Objekt und weiterem finalen Infinitiv mit Präpositionalphrase); der zweite mit Verb, Subjekt und Präpositionalphrase. Es gibt keine subordinierten Nebensätze.</w:t>
      </w:r>
    </w:p>
    <w:p w14:paraId="49CF6AE8"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fasst zusammen und zeigt Israels Entscheidung: Trotz militärischer Überlegenheit (sie sind ein ganzes Volk) vermeiden sie Krieg mit Edom. Der lange Umweg wird akzeptiert – Respekt vor der Verwandtschaft (Esau/Edom) siegt über Pragmatismus.</w:t>
      </w:r>
    </w:p>
    <w:p w14:paraId="35452D29"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20,22</w:t>
      </w:r>
    </w:p>
    <w:p w14:paraId="39E2406E"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וַיִּסְע֖וּ מִקָּדֵ֑שׁ וַיָּבֹ֧אוּ בְנֵֽי־יִשְׂרָאֵ֛ל כָּל־הָעֵדָ֖ה הֹ֥ר הָהָֽר׃</w:t>
      </w:r>
    </w:p>
    <w:p w14:paraId="37CEA13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sie brachen auf von Kadesch; und die Söhne Jisra'els, die ganze Gemeinde, kamen an den Berg Hor.</w:t>
      </w:r>
    </w:p>
    <w:p w14:paraId="0D0A977E"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65A0BFD7">
          <v:rect id="_x0000_i1722" style="width:0;height:1.5pt" o:hralign="center" o:hrstd="t" o:hr="t" fillcolor="#a0a0a0" stroked="f"/>
        </w:pict>
      </w:r>
    </w:p>
    <w:p w14:paraId="6A626336"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וַיִּסְעוּ</w:t>
      </w:r>
      <w:r w:rsidRPr="00DE119B">
        <w:rPr>
          <w:rFonts w:eastAsia="Times New Roman" w:cs="Times New Roman"/>
          <w:rtl/>
          <w:lang w:eastAsia="de-DE"/>
        </w:rPr>
        <w:t xml:space="preserve"> </w:t>
      </w:r>
      <w:r w:rsidRPr="00DE119B">
        <w:rPr>
          <w:rFonts w:eastAsia="Times New Roman" w:cs="Times New Roman"/>
          <w:lang w:eastAsia="de-DE"/>
        </w:rPr>
        <w:t xml:space="preserve">(Wayyiqtol, 3. m. pl. von </w:t>
      </w:r>
      <w:r w:rsidRPr="00DE119B">
        <w:rPr>
          <w:rFonts w:eastAsia="Times New Roman" w:cs="Times New Roman"/>
          <w:b/>
          <w:bCs/>
          <w:rtl/>
          <w:lang w:eastAsia="de-DE"/>
        </w:rPr>
        <w:t>נסע</w:t>
      </w:r>
      <w:r w:rsidRPr="00DE119B">
        <w:rPr>
          <w:rFonts w:eastAsia="Times New Roman" w:cs="Times New Roman"/>
          <w:lang w:eastAsia="de-DE"/>
        </w:rPr>
        <w:t xml:space="preserve">, „und sie brachen auf"). </w:t>
      </w:r>
      <w:r w:rsidRPr="00DE119B">
        <w:rPr>
          <w:rFonts w:eastAsia="Times New Roman" w:cs="Times New Roman"/>
          <w:b/>
          <w:bCs/>
          <w:rtl/>
          <w:lang w:eastAsia="de-DE"/>
        </w:rPr>
        <w:t>מִקָּדֵשׁ</w:t>
      </w:r>
      <w:r w:rsidRPr="00DE119B">
        <w:rPr>
          <w:rFonts w:eastAsia="Times New Roman" w:cs="Times New Roman"/>
          <w:rtl/>
          <w:lang w:eastAsia="de-DE"/>
        </w:rPr>
        <w:t xml:space="preserve"> </w:t>
      </w:r>
      <w:r w:rsidRPr="00DE119B">
        <w:rPr>
          <w:rFonts w:eastAsia="Times New Roman" w:cs="Times New Roman"/>
          <w:lang w:eastAsia="de-DE"/>
        </w:rPr>
        <w:t xml:space="preserve">(„von Kadesch") mit </w:t>
      </w:r>
      <w:r w:rsidRPr="00DE119B">
        <w:rPr>
          <w:rFonts w:eastAsia="Times New Roman" w:cs="Times New Roman"/>
          <w:b/>
          <w:bCs/>
          <w:rtl/>
          <w:lang w:eastAsia="de-DE"/>
        </w:rPr>
        <w:t>מִן</w:t>
      </w:r>
      <w:r w:rsidRPr="00DE119B">
        <w:rPr>
          <w:rFonts w:eastAsia="Times New Roman" w:cs="Times New Roman"/>
          <w:rtl/>
          <w:lang w:eastAsia="de-DE"/>
        </w:rPr>
        <w:t xml:space="preserve"> </w:t>
      </w:r>
      <w:r w:rsidRPr="00DE119B">
        <w:rPr>
          <w:rFonts w:eastAsia="Times New Roman" w:cs="Times New Roman"/>
          <w:lang w:eastAsia="de-DE"/>
        </w:rPr>
        <w:t xml:space="preserve">gibt den Ausgangspunkt an. Das koordinierte Verb </w:t>
      </w:r>
      <w:r w:rsidRPr="00DE119B">
        <w:rPr>
          <w:rFonts w:eastAsia="Times New Roman" w:cs="Times New Roman"/>
          <w:b/>
          <w:bCs/>
          <w:rtl/>
          <w:lang w:eastAsia="de-DE"/>
        </w:rPr>
        <w:t>וַיָּבֹאוּ</w:t>
      </w:r>
      <w:r w:rsidRPr="00DE119B">
        <w:rPr>
          <w:rFonts w:eastAsia="Times New Roman" w:cs="Times New Roman"/>
          <w:rtl/>
          <w:lang w:eastAsia="de-DE"/>
        </w:rPr>
        <w:t xml:space="preserve"> </w:t>
      </w:r>
      <w:r w:rsidRPr="00DE119B">
        <w:rPr>
          <w:rFonts w:eastAsia="Times New Roman" w:cs="Times New Roman"/>
          <w:lang w:eastAsia="de-DE"/>
        </w:rPr>
        <w:t xml:space="preserve">(Wayyiqtol, 3. m. pl. von </w:t>
      </w:r>
      <w:r w:rsidRPr="00DE119B">
        <w:rPr>
          <w:rFonts w:eastAsia="Times New Roman" w:cs="Times New Roman"/>
          <w:b/>
          <w:bCs/>
          <w:rtl/>
          <w:lang w:eastAsia="de-DE"/>
        </w:rPr>
        <w:t>בוא</w:t>
      </w:r>
      <w:r w:rsidRPr="00DE119B">
        <w:rPr>
          <w:rFonts w:eastAsia="Times New Roman" w:cs="Times New Roman"/>
          <w:lang w:eastAsia="de-DE"/>
        </w:rPr>
        <w:t xml:space="preserve">, „und sie kamen"). Das Subjekt </w:t>
      </w:r>
      <w:r w:rsidRPr="00DE119B">
        <w:rPr>
          <w:rFonts w:eastAsia="Times New Roman" w:cs="Times New Roman"/>
          <w:b/>
          <w:bCs/>
          <w:rtl/>
          <w:lang w:eastAsia="de-DE"/>
        </w:rPr>
        <w:t>בְנֵי־יִשְׂרָאֵל כָּל־הָעֵדָה</w:t>
      </w:r>
      <w:r w:rsidRPr="00DE119B">
        <w:rPr>
          <w:rFonts w:eastAsia="Times New Roman" w:cs="Times New Roman"/>
          <w:rtl/>
          <w:lang w:eastAsia="de-DE"/>
        </w:rPr>
        <w:t xml:space="preserve"> </w:t>
      </w:r>
      <w:r w:rsidRPr="00DE119B">
        <w:rPr>
          <w:rFonts w:eastAsia="Times New Roman" w:cs="Times New Roman"/>
          <w:lang w:eastAsia="de-DE"/>
        </w:rPr>
        <w:t xml:space="preserve">ist doppelt: die Constructus-Verbindung </w:t>
      </w:r>
      <w:r w:rsidRPr="00DE119B">
        <w:rPr>
          <w:rFonts w:eastAsia="Times New Roman" w:cs="Times New Roman"/>
          <w:b/>
          <w:bCs/>
          <w:rtl/>
          <w:lang w:eastAsia="de-DE"/>
        </w:rPr>
        <w:t>בְּנֵי־יִשְׂרָאֵל</w:t>
      </w:r>
      <w:r w:rsidRPr="00DE119B">
        <w:rPr>
          <w:rFonts w:eastAsia="Times New Roman" w:cs="Times New Roman"/>
          <w:rtl/>
          <w:lang w:eastAsia="de-DE"/>
        </w:rPr>
        <w:t xml:space="preserve"> </w:t>
      </w:r>
      <w:r w:rsidRPr="00DE119B">
        <w:rPr>
          <w:rFonts w:eastAsia="Times New Roman" w:cs="Times New Roman"/>
          <w:lang w:eastAsia="de-DE"/>
        </w:rPr>
        <w:t xml:space="preserve">und die appositionale Constructus-Verbindung </w:t>
      </w:r>
      <w:r w:rsidRPr="00DE119B">
        <w:rPr>
          <w:rFonts w:eastAsia="Times New Roman" w:cs="Times New Roman"/>
          <w:b/>
          <w:bCs/>
          <w:rtl/>
          <w:lang w:eastAsia="de-DE"/>
        </w:rPr>
        <w:t>כָּל־הָעֵדָה</w:t>
      </w:r>
      <w:r w:rsidRPr="00DE119B">
        <w:rPr>
          <w:rFonts w:eastAsia="Times New Roman" w:cs="Times New Roman"/>
          <w:rtl/>
          <w:lang w:eastAsia="de-DE"/>
        </w:rPr>
        <w:t xml:space="preserve"> </w:t>
      </w:r>
      <w:r w:rsidRPr="00DE119B">
        <w:rPr>
          <w:rFonts w:eastAsia="Times New Roman" w:cs="Times New Roman"/>
          <w:lang w:eastAsia="de-DE"/>
        </w:rPr>
        <w:t xml:space="preserve">(„die ganze Gemeinde"). Das Ziel </w:t>
      </w:r>
      <w:r w:rsidRPr="00DE119B">
        <w:rPr>
          <w:rFonts w:eastAsia="Times New Roman" w:cs="Times New Roman"/>
          <w:b/>
          <w:bCs/>
          <w:rtl/>
          <w:lang w:eastAsia="de-DE"/>
        </w:rPr>
        <w:t>הֹר הָהָר</w:t>
      </w:r>
      <w:r w:rsidRPr="00DE119B">
        <w:rPr>
          <w:rFonts w:eastAsia="Times New Roman" w:cs="Times New Roman"/>
          <w:rtl/>
          <w:lang w:eastAsia="de-DE"/>
        </w:rPr>
        <w:t xml:space="preserve"> </w:t>
      </w:r>
      <w:r w:rsidRPr="00DE119B">
        <w:rPr>
          <w:rFonts w:eastAsia="Times New Roman" w:cs="Times New Roman"/>
          <w:lang w:eastAsia="de-DE"/>
        </w:rPr>
        <w:t xml:space="preserve">ist bemerkenswert: </w:t>
      </w:r>
      <w:r w:rsidRPr="00DE119B">
        <w:rPr>
          <w:rFonts w:eastAsia="Times New Roman" w:cs="Times New Roman"/>
          <w:b/>
          <w:bCs/>
          <w:rtl/>
          <w:lang w:eastAsia="de-DE"/>
        </w:rPr>
        <w:t>הֹר</w:t>
      </w:r>
      <w:r w:rsidRPr="00DE119B">
        <w:rPr>
          <w:rFonts w:eastAsia="Times New Roman" w:cs="Times New Roman"/>
          <w:rtl/>
          <w:lang w:eastAsia="de-DE"/>
        </w:rPr>
        <w:t xml:space="preserve"> </w:t>
      </w:r>
      <w:r w:rsidRPr="00DE119B">
        <w:rPr>
          <w:rFonts w:eastAsia="Times New Roman" w:cs="Times New Roman"/>
          <w:lang w:eastAsia="de-DE"/>
        </w:rPr>
        <w:t xml:space="preserve">ist der Eigenname, </w:t>
      </w:r>
      <w:r w:rsidRPr="00DE119B">
        <w:rPr>
          <w:rFonts w:eastAsia="Times New Roman" w:cs="Times New Roman"/>
          <w:b/>
          <w:bCs/>
          <w:rtl/>
          <w:lang w:eastAsia="de-DE"/>
        </w:rPr>
        <w:t>הָהָר</w:t>
      </w:r>
      <w:r w:rsidRPr="00DE119B">
        <w:rPr>
          <w:rFonts w:eastAsia="Times New Roman" w:cs="Times New Roman"/>
          <w:rtl/>
          <w:lang w:eastAsia="de-DE"/>
        </w:rPr>
        <w:t xml:space="preserve"> </w:t>
      </w:r>
      <w:r w:rsidRPr="00DE119B">
        <w:rPr>
          <w:rFonts w:eastAsia="Times New Roman" w:cs="Times New Roman"/>
          <w:lang w:eastAsia="de-DE"/>
        </w:rPr>
        <w:t>(„der Berg") Apposition mit Artikel.</w:t>
      </w:r>
    </w:p>
    <w:p w14:paraId="5B84EF6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 transkribiert </w:t>
      </w:r>
      <w:r w:rsidRPr="00DE119B">
        <w:rPr>
          <w:rFonts w:eastAsia="Times New Roman" w:cs="Times New Roman"/>
          <w:b/>
          <w:bCs/>
          <w:rtl/>
          <w:lang w:eastAsia="de-DE"/>
        </w:rPr>
        <w:t>הֹר</w:t>
      </w:r>
      <w:r w:rsidRPr="00DE119B">
        <w:rPr>
          <w:rFonts w:eastAsia="Times New Roman" w:cs="Times New Roman"/>
          <w:rtl/>
          <w:lang w:eastAsia="de-DE"/>
        </w:rPr>
        <w:t xml:space="preserve"> </w:t>
      </w:r>
      <w:r w:rsidRPr="00DE119B">
        <w:rPr>
          <w:rFonts w:eastAsia="Times New Roman" w:cs="Times New Roman"/>
          <w:lang w:eastAsia="de-DE"/>
        </w:rPr>
        <w:t>als Ὤρ (Ōr).</w:t>
      </w:r>
    </w:p>
    <w:p w14:paraId="15E1F62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zwei koordinierte Hauptsätze: Der erste mit Verb und Präpositionalphrase; der zweite mit Verb, doppeltem Subjekt (Constructus-Verbindung plus Apposition) und Ortsangabe (Eigenname plus Apposition). Es gibt keine Nebensätze.</w:t>
      </w:r>
    </w:p>
    <w:p w14:paraId="18ACE99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markiert den Ortswechsel zum Berg Hor – dem Ort, wo Aaron sterben wird. Die Nennung der „ganzen Gemeinde" betont: alle werden Zeugen.</w:t>
      </w:r>
    </w:p>
    <w:p w14:paraId="3C8950BE"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20,23</w:t>
      </w:r>
    </w:p>
    <w:p w14:paraId="7AEB6688"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וַיֹּ֧אמֶר יְהוָ֛ה אֶל־מֹשֶׁ֥ה וְאֶֽל־אַהֲרֹ֖ן בְּהֹ֣ר הָהָ֑ר עַל־גְּב֥וּל אֶֽרֶץ־אֱד֖וֹם לֵאמֹֽר׃</w:t>
      </w:r>
    </w:p>
    <w:p w14:paraId="33C9639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lastRenderedPageBreak/>
        <w:t>Deutsch:</w:t>
      </w:r>
      <w:r w:rsidRPr="00DE119B">
        <w:rPr>
          <w:rFonts w:eastAsia="Times New Roman" w:cs="Times New Roman"/>
          <w:lang w:eastAsia="de-DE"/>
        </w:rPr>
        <w:t xml:space="preserve"> Und der Ewige sprach zu Mosche und zu Aharon am Berg Hor, an der Grenze des Landes Edom, sagend:</w:t>
      </w:r>
    </w:p>
    <w:p w14:paraId="4FFF9A1C"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62EC9071">
          <v:rect id="_x0000_i1723" style="width:0;height:1.5pt" o:hralign="center" o:hrstd="t" o:hr="t" fillcolor="#a0a0a0" stroked="f"/>
        </w:pict>
      </w:r>
    </w:p>
    <w:p w14:paraId="1BC80BB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וַיֹּאמֶר</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אמר</w:t>
      </w:r>
      <w:r w:rsidRPr="00DE119B">
        <w:rPr>
          <w:rFonts w:eastAsia="Times New Roman" w:cs="Times New Roman"/>
          <w:lang w:eastAsia="de-DE"/>
        </w:rPr>
        <w:t xml:space="preserve">, „und er sprach"). </w:t>
      </w:r>
      <w:r w:rsidRPr="00DE119B">
        <w:rPr>
          <w:rFonts w:eastAsia="Times New Roman" w:cs="Times New Roman"/>
          <w:b/>
          <w:bCs/>
          <w:rtl/>
          <w:lang w:eastAsia="de-DE"/>
        </w:rPr>
        <w:t>יְהוָה</w:t>
      </w:r>
      <w:r w:rsidRPr="00DE119B">
        <w:rPr>
          <w:rFonts w:eastAsia="Times New Roman" w:cs="Times New Roman"/>
          <w:rtl/>
          <w:lang w:eastAsia="de-DE"/>
        </w:rPr>
        <w:t xml:space="preserve"> </w:t>
      </w:r>
      <w:r w:rsidRPr="00DE119B">
        <w:rPr>
          <w:rFonts w:eastAsia="Times New Roman" w:cs="Times New Roman"/>
          <w:lang w:eastAsia="de-DE"/>
        </w:rPr>
        <w:t xml:space="preserve">ist das explizite Subjekt. Die doppelte Adressatenangabe </w:t>
      </w:r>
      <w:r w:rsidRPr="00DE119B">
        <w:rPr>
          <w:rFonts w:eastAsia="Times New Roman" w:cs="Times New Roman"/>
          <w:b/>
          <w:bCs/>
          <w:rtl/>
          <w:lang w:eastAsia="de-DE"/>
        </w:rPr>
        <w:t>אֶל־מֹשֶׁה וְאֶֽל־אַהֲרֹן</w:t>
      </w:r>
      <w:r w:rsidRPr="00DE119B">
        <w:rPr>
          <w:rFonts w:eastAsia="Times New Roman" w:cs="Times New Roman"/>
          <w:rtl/>
          <w:lang w:eastAsia="de-DE"/>
        </w:rPr>
        <w:t xml:space="preserve"> </w:t>
      </w:r>
      <w:r w:rsidRPr="00DE119B">
        <w:rPr>
          <w:rFonts w:eastAsia="Times New Roman" w:cs="Times New Roman"/>
          <w:lang w:eastAsia="de-DE"/>
        </w:rPr>
        <w:t xml:space="preserve">zeigt: beide werden angesprochen – es geht um Aarons Tod. Die Ortsangabe </w:t>
      </w:r>
      <w:r w:rsidRPr="00DE119B">
        <w:rPr>
          <w:rFonts w:eastAsia="Times New Roman" w:cs="Times New Roman"/>
          <w:b/>
          <w:bCs/>
          <w:rtl/>
          <w:lang w:eastAsia="de-DE"/>
        </w:rPr>
        <w:t>בְּהֹר הָהָר</w:t>
      </w:r>
      <w:r w:rsidRPr="00DE119B">
        <w:rPr>
          <w:rFonts w:eastAsia="Times New Roman" w:cs="Times New Roman"/>
          <w:rtl/>
          <w:lang w:eastAsia="de-DE"/>
        </w:rPr>
        <w:t xml:space="preserve"> </w:t>
      </w:r>
      <w:r w:rsidRPr="00DE119B">
        <w:rPr>
          <w:rFonts w:eastAsia="Times New Roman" w:cs="Times New Roman"/>
          <w:lang w:eastAsia="de-DE"/>
        </w:rPr>
        <w:t xml:space="preserve">(„am Berg Hor") mit lokativem </w:t>
      </w:r>
      <w:r w:rsidRPr="00DE119B">
        <w:rPr>
          <w:rFonts w:eastAsia="Times New Roman" w:cs="Times New Roman"/>
          <w:b/>
          <w:bCs/>
          <w:rtl/>
          <w:lang w:eastAsia="de-DE"/>
        </w:rPr>
        <w:t>בְּ</w:t>
      </w:r>
      <w:r w:rsidRPr="00DE119B">
        <w:rPr>
          <w:rFonts w:eastAsia="Times New Roman" w:cs="Times New Roman"/>
          <w:lang w:eastAsia="de-DE"/>
        </w:rPr>
        <w:t xml:space="preserve">. Die präzisierende Ortsangabe </w:t>
      </w:r>
      <w:r w:rsidRPr="00DE119B">
        <w:rPr>
          <w:rFonts w:eastAsia="Times New Roman" w:cs="Times New Roman"/>
          <w:b/>
          <w:bCs/>
          <w:rtl/>
          <w:lang w:eastAsia="de-DE"/>
        </w:rPr>
        <w:t>עַל־גְּבוּל אֶרֶץ־אֱדוֹם</w:t>
      </w:r>
      <w:r w:rsidRPr="00DE119B">
        <w:rPr>
          <w:rFonts w:eastAsia="Times New Roman" w:cs="Times New Roman"/>
          <w:rtl/>
          <w:lang w:eastAsia="de-DE"/>
        </w:rPr>
        <w:t xml:space="preserve"> </w:t>
      </w:r>
      <w:r w:rsidRPr="00DE119B">
        <w:rPr>
          <w:rFonts w:eastAsia="Times New Roman" w:cs="Times New Roman"/>
          <w:lang w:eastAsia="de-DE"/>
        </w:rPr>
        <w:t xml:space="preserve">(„an der Grenze des Landes Edom") besteht aus </w:t>
      </w:r>
      <w:r w:rsidRPr="00DE119B">
        <w:rPr>
          <w:rFonts w:eastAsia="Times New Roman" w:cs="Times New Roman"/>
          <w:b/>
          <w:bCs/>
          <w:rtl/>
          <w:lang w:eastAsia="de-DE"/>
        </w:rPr>
        <w:t>עַל</w:t>
      </w:r>
      <w:r w:rsidRPr="00DE119B">
        <w:rPr>
          <w:rFonts w:eastAsia="Times New Roman" w:cs="Times New Roman"/>
          <w:rtl/>
          <w:lang w:eastAsia="de-DE"/>
        </w:rPr>
        <w:t xml:space="preserve"> </w:t>
      </w:r>
      <w:r w:rsidRPr="00DE119B">
        <w:rPr>
          <w:rFonts w:eastAsia="Times New Roman" w:cs="Times New Roman"/>
          <w:lang w:eastAsia="de-DE"/>
        </w:rPr>
        <w:t xml:space="preserve">„an, bei", </w:t>
      </w:r>
      <w:r w:rsidRPr="00DE119B">
        <w:rPr>
          <w:rFonts w:eastAsia="Times New Roman" w:cs="Times New Roman"/>
          <w:b/>
          <w:bCs/>
          <w:rtl/>
          <w:lang w:eastAsia="de-DE"/>
        </w:rPr>
        <w:t>גְּבוּל</w:t>
      </w:r>
      <w:r w:rsidRPr="00DE119B">
        <w:rPr>
          <w:rFonts w:eastAsia="Times New Roman" w:cs="Times New Roman"/>
          <w:rtl/>
          <w:lang w:eastAsia="de-DE"/>
        </w:rPr>
        <w:t xml:space="preserve"> </w:t>
      </w:r>
      <w:r w:rsidRPr="00DE119B">
        <w:rPr>
          <w:rFonts w:eastAsia="Times New Roman" w:cs="Times New Roman"/>
          <w:lang w:eastAsia="de-DE"/>
        </w:rPr>
        <w:t xml:space="preserve">„Grenze, Gebiet" im Constructus vor </w:t>
      </w:r>
      <w:r w:rsidRPr="00DE119B">
        <w:rPr>
          <w:rFonts w:eastAsia="Times New Roman" w:cs="Times New Roman"/>
          <w:b/>
          <w:bCs/>
          <w:rtl/>
          <w:lang w:eastAsia="de-DE"/>
        </w:rPr>
        <w:t>אֶרֶץ־אֱדוֹם</w:t>
      </w:r>
      <w:r w:rsidRPr="00DE119B">
        <w:rPr>
          <w:rFonts w:eastAsia="Times New Roman" w:cs="Times New Roman"/>
          <w:rtl/>
          <w:lang w:eastAsia="de-DE"/>
        </w:rPr>
        <w:t xml:space="preserve"> </w:t>
      </w:r>
      <w:r w:rsidRPr="00DE119B">
        <w:rPr>
          <w:rFonts w:eastAsia="Times New Roman" w:cs="Times New Roman"/>
          <w:lang w:eastAsia="de-DE"/>
        </w:rPr>
        <w:t xml:space="preserve">(weitere Constructus-Verbindung). Die Ironie: Aaron stirbt an der Grenze Edoms, des Volkes, das Israel den Durchzug verweigerte. </w:t>
      </w:r>
      <w:r w:rsidRPr="00DE119B">
        <w:rPr>
          <w:rFonts w:eastAsia="Times New Roman" w:cs="Times New Roman"/>
          <w:b/>
          <w:bCs/>
          <w:rtl/>
          <w:lang w:eastAsia="de-DE"/>
        </w:rPr>
        <w:t>לֵאמֹר</w:t>
      </w:r>
      <w:r w:rsidRPr="00DE119B">
        <w:rPr>
          <w:rFonts w:eastAsia="Times New Roman" w:cs="Times New Roman"/>
          <w:rtl/>
          <w:lang w:eastAsia="de-DE"/>
        </w:rPr>
        <w:t xml:space="preserve"> </w:t>
      </w:r>
      <w:r w:rsidRPr="00DE119B">
        <w:rPr>
          <w:rFonts w:eastAsia="Times New Roman" w:cs="Times New Roman"/>
          <w:lang w:eastAsia="de-DE"/>
        </w:rPr>
        <w:t>ist die stereotype Redeeinleitung.</w:t>
      </w:r>
    </w:p>
    <w:p w14:paraId="64769318"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w:t>
      </w:r>
    </w:p>
    <w:p w14:paraId="33F5E639"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einen Hauptsatz mit Verb, explizitem Subjekt, doppelter koordinierter Präpositionalphrase (Adressaten), Ortsangabe, präzisierender Präpositionalphrase (Constructus-Verbindung) und Redeeinleitung (Infinitiv construct). Es gibt keine Nebensätze.</w:t>
      </w:r>
    </w:p>
    <w:p w14:paraId="7B8DDEC3"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ist eine feierliche Redeeinleitung für das Todesurteil über Aaron – der Ort (Grenze Edoms) unterstreicht die Tragik.</w:t>
      </w:r>
    </w:p>
    <w:p w14:paraId="0CA7D8AD"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20,24</w:t>
      </w:r>
    </w:p>
    <w:p w14:paraId="1E3025D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יֵאָסֵ֤ף אַהֲרֹן֙ אֶל־עַמָּ֔יו כִּ֣י לֹ֤א יָבֹא֙ אֶל־הָאָ֔רֶץ אֲשֶׁ֥ר נָתַ֖תִּי לִבְנֵ֣י יִשְׂרָאֵ֑ל עַ֛ל אֲשֶׁר־מְרִיתֶ֥ם אֶת־פִּ֖י לְמֵ֥י מְרִיבָֽה׃</w:t>
      </w:r>
    </w:p>
    <w:p w14:paraId="3827628C" w14:textId="79944AA3"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Aharon soll zu seinen Völkern versammelt werden; denn er soll nicht in das Land kommen, das ich den Söhnen Jisra'els gegeben habe, weil ihr meinem Befehl widerspenstig gewesen seid bei dem Wasser von </w:t>
      </w:r>
      <w:r w:rsidR="00D52999">
        <w:rPr>
          <w:rFonts w:eastAsia="Times New Roman" w:cs="Times New Roman"/>
          <w:lang w:eastAsia="de-DE"/>
        </w:rPr>
        <w:t>Meriva</w:t>
      </w:r>
      <w:r w:rsidRPr="00DE119B">
        <w:rPr>
          <w:rFonts w:eastAsia="Times New Roman" w:cs="Times New Roman"/>
          <w:lang w:eastAsia="de-DE"/>
        </w:rPr>
        <w:t>.</w:t>
      </w:r>
    </w:p>
    <w:p w14:paraId="59FC615C"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286E2A20">
          <v:rect id="_x0000_i1724" style="width:0;height:1.5pt" o:hralign="center" o:hrstd="t" o:hr="t" fillcolor="#a0a0a0" stroked="f"/>
        </w:pict>
      </w:r>
    </w:p>
    <w:p w14:paraId="422FF1B8"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יֵאָסֵף</w:t>
      </w:r>
      <w:r w:rsidRPr="00DE119B">
        <w:rPr>
          <w:rFonts w:eastAsia="Times New Roman" w:cs="Times New Roman"/>
          <w:rtl/>
          <w:lang w:eastAsia="de-DE"/>
        </w:rPr>
        <w:t xml:space="preserve"> </w:t>
      </w:r>
      <w:r w:rsidRPr="00DE119B">
        <w:rPr>
          <w:rFonts w:eastAsia="Times New Roman" w:cs="Times New Roman"/>
          <w:lang w:eastAsia="de-DE"/>
        </w:rPr>
        <w:t xml:space="preserve">(Nifal Imperfekt, 3. m. sg. von </w:t>
      </w:r>
      <w:r w:rsidRPr="00DE119B">
        <w:rPr>
          <w:rFonts w:eastAsia="Times New Roman" w:cs="Times New Roman"/>
          <w:b/>
          <w:bCs/>
          <w:rtl/>
          <w:lang w:eastAsia="de-DE"/>
        </w:rPr>
        <w:t>אסף</w:t>
      </w:r>
      <w:r w:rsidRPr="00DE119B">
        <w:rPr>
          <w:rFonts w:eastAsia="Times New Roman" w:cs="Times New Roman"/>
          <w:lang w:eastAsia="de-DE"/>
        </w:rPr>
        <w:t xml:space="preserve">, „er soll versammelt werden") ist ein Euphemismus für Sterben. Die Nifal-Form ist passiv. </w:t>
      </w:r>
      <w:r w:rsidRPr="00DE119B">
        <w:rPr>
          <w:rFonts w:eastAsia="Times New Roman" w:cs="Times New Roman"/>
          <w:b/>
          <w:bCs/>
          <w:rtl/>
          <w:lang w:eastAsia="de-DE"/>
        </w:rPr>
        <w:t>אַהֲרֹן</w:t>
      </w:r>
      <w:r w:rsidRPr="00DE119B">
        <w:rPr>
          <w:rFonts w:eastAsia="Times New Roman" w:cs="Times New Roman"/>
          <w:rtl/>
          <w:lang w:eastAsia="de-DE"/>
        </w:rPr>
        <w:t xml:space="preserve"> </w:t>
      </w:r>
      <w:r w:rsidRPr="00DE119B">
        <w:rPr>
          <w:rFonts w:eastAsia="Times New Roman" w:cs="Times New Roman"/>
          <w:lang w:eastAsia="de-DE"/>
        </w:rPr>
        <w:t xml:space="preserve">ist das Subjekt. Die Präposition </w:t>
      </w:r>
      <w:r w:rsidRPr="00DE119B">
        <w:rPr>
          <w:rFonts w:eastAsia="Times New Roman" w:cs="Times New Roman"/>
          <w:b/>
          <w:bCs/>
          <w:rtl/>
          <w:lang w:eastAsia="de-DE"/>
        </w:rPr>
        <w:t>אֶל־עַמָּיו</w:t>
      </w:r>
      <w:r w:rsidRPr="00DE119B">
        <w:rPr>
          <w:rFonts w:eastAsia="Times New Roman" w:cs="Times New Roman"/>
          <w:rtl/>
          <w:lang w:eastAsia="de-DE"/>
        </w:rPr>
        <w:t xml:space="preserve"> </w:t>
      </w:r>
      <w:r w:rsidRPr="00DE119B">
        <w:rPr>
          <w:rFonts w:eastAsia="Times New Roman" w:cs="Times New Roman"/>
          <w:lang w:eastAsia="de-DE"/>
        </w:rPr>
        <w:t xml:space="preserve">(„zu seinen Völkern") mit Possessivsuffix 3. m. sg. – </w:t>
      </w:r>
      <w:r w:rsidRPr="00DE119B">
        <w:rPr>
          <w:rFonts w:eastAsia="Times New Roman" w:cs="Times New Roman"/>
          <w:b/>
          <w:bCs/>
          <w:rtl/>
          <w:lang w:eastAsia="de-DE"/>
        </w:rPr>
        <w:t>עַם</w:t>
      </w:r>
      <w:r w:rsidRPr="00DE119B">
        <w:rPr>
          <w:rFonts w:eastAsia="Times New Roman" w:cs="Times New Roman"/>
          <w:rtl/>
          <w:lang w:eastAsia="de-DE"/>
        </w:rPr>
        <w:t xml:space="preserve"> </w:t>
      </w:r>
      <w:r w:rsidRPr="00DE119B">
        <w:rPr>
          <w:rFonts w:eastAsia="Times New Roman" w:cs="Times New Roman"/>
          <w:lang w:eastAsia="de-DE"/>
        </w:rPr>
        <w:t>im Plural bezeichnet die verstorbenen Vorfahren.</w:t>
      </w:r>
    </w:p>
    <w:p w14:paraId="4458FDE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kausale Begründung </w:t>
      </w:r>
      <w:r w:rsidRPr="00DE119B">
        <w:rPr>
          <w:rFonts w:eastAsia="Times New Roman" w:cs="Times New Roman"/>
          <w:b/>
          <w:bCs/>
          <w:rtl/>
          <w:lang w:eastAsia="de-DE"/>
        </w:rPr>
        <w:t>כִּי לֹא יָבֹא אֶל־הָאָרֶץ</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כִּי</w:t>
      </w:r>
      <w:r w:rsidRPr="00DE119B">
        <w:rPr>
          <w:rFonts w:eastAsia="Times New Roman" w:cs="Times New Roman"/>
          <w:rtl/>
          <w:lang w:eastAsia="de-DE"/>
        </w:rPr>
        <w:t xml:space="preserve"> </w:t>
      </w:r>
      <w:r w:rsidRPr="00DE119B">
        <w:rPr>
          <w:rFonts w:eastAsia="Times New Roman" w:cs="Times New Roman"/>
          <w:lang w:eastAsia="de-DE"/>
        </w:rPr>
        <w:t xml:space="preserve">(„denn"), </w:t>
      </w:r>
      <w:r w:rsidRPr="00DE119B">
        <w:rPr>
          <w:rFonts w:eastAsia="Times New Roman" w:cs="Times New Roman"/>
          <w:b/>
          <w:bCs/>
          <w:rtl/>
          <w:lang w:eastAsia="de-DE"/>
        </w:rPr>
        <w:t>לֹא יָבֹא</w:t>
      </w:r>
      <w:r w:rsidRPr="00DE119B">
        <w:rPr>
          <w:rFonts w:eastAsia="Times New Roman" w:cs="Times New Roman"/>
          <w:rtl/>
          <w:lang w:eastAsia="de-DE"/>
        </w:rPr>
        <w:t xml:space="preserve"> </w:t>
      </w:r>
      <w:r w:rsidRPr="00DE119B">
        <w:rPr>
          <w:rFonts w:eastAsia="Times New Roman" w:cs="Times New Roman"/>
          <w:lang w:eastAsia="de-DE"/>
        </w:rPr>
        <w:t xml:space="preserve">(Negation plus Qal Imperfekt, 3. m. sg. von </w:t>
      </w:r>
      <w:r w:rsidRPr="00DE119B">
        <w:rPr>
          <w:rFonts w:eastAsia="Times New Roman" w:cs="Times New Roman"/>
          <w:b/>
          <w:bCs/>
          <w:rtl/>
          <w:lang w:eastAsia="de-DE"/>
        </w:rPr>
        <w:t>בוא</w:t>
      </w:r>
      <w:r w:rsidRPr="00DE119B">
        <w:rPr>
          <w:rFonts w:eastAsia="Times New Roman" w:cs="Times New Roman"/>
          <w:lang w:eastAsia="de-DE"/>
        </w:rPr>
        <w:t xml:space="preserve">, „er wird nicht kommen"), </w:t>
      </w:r>
      <w:r w:rsidRPr="00DE119B">
        <w:rPr>
          <w:rFonts w:eastAsia="Times New Roman" w:cs="Times New Roman"/>
          <w:b/>
          <w:bCs/>
          <w:rtl/>
          <w:lang w:eastAsia="de-DE"/>
        </w:rPr>
        <w:t>אֶל־הָאָרֶץ</w:t>
      </w:r>
      <w:r w:rsidRPr="00DE119B">
        <w:rPr>
          <w:rFonts w:eastAsia="Times New Roman" w:cs="Times New Roman"/>
          <w:rtl/>
          <w:lang w:eastAsia="de-DE"/>
        </w:rPr>
        <w:t xml:space="preserve"> </w:t>
      </w:r>
      <w:r w:rsidRPr="00DE119B">
        <w:rPr>
          <w:rFonts w:eastAsia="Times New Roman" w:cs="Times New Roman"/>
          <w:lang w:eastAsia="de-DE"/>
        </w:rPr>
        <w:t xml:space="preserve">(„in das Land"). Der Relativsatz </w:t>
      </w:r>
      <w:r w:rsidRPr="00DE119B">
        <w:rPr>
          <w:rFonts w:eastAsia="Times New Roman" w:cs="Times New Roman"/>
          <w:b/>
          <w:bCs/>
          <w:rtl/>
          <w:lang w:eastAsia="de-DE"/>
        </w:rPr>
        <w:t>אֲשֶׁר נָתַתִּי לִבְנֵי יִשְׂרָאֵל</w:t>
      </w:r>
      <w:r w:rsidRPr="00DE119B">
        <w:rPr>
          <w:rFonts w:eastAsia="Times New Roman" w:cs="Times New Roman"/>
          <w:rtl/>
          <w:lang w:eastAsia="de-DE"/>
        </w:rPr>
        <w:t xml:space="preserve"> </w:t>
      </w:r>
      <w:r w:rsidRPr="00DE119B">
        <w:rPr>
          <w:rFonts w:eastAsia="Times New Roman" w:cs="Times New Roman"/>
          <w:lang w:eastAsia="de-DE"/>
        </w:rPr>
        <w:t>(„das ich den Söhnen Israels gegeben habe") verstärkt den Schmerz – das verheißene Land.</w:t>
      </w:r>
    </w:p>
    <w:p w14:paraId="25107901" w14:textId="2BEAEDEF"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zweite kausale Begründung </w:t>
      </w:r>
      <w:r w:rsidRPr="00DE119B">
        <w:rPr>
          <w:rFonts w:eastAsia="Times New Roman" w:cs="Times New Roman"/>
          <w:b/>
          <w:bCs/>
          <w:rtl/>
          <w:lang w:eastAsia="de-DE"/>
        </w:rPr>
        <w:t>עַל אֲשֶׁר־מְרִיתֶם אֶת־פִּי לְמֵי מְרִיבָה</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עַל</w:t>
      </w:r>
      <w:r w:rsidRPr="00DE119B">
        <w:rPr>
          <w:rFonts w:eastAsia="Times New Roman" w:cs="Times New Roman"/>
          <w:rtl/>
          <w:lang w:eastAsia="de-DE"/>
        </w:rPr>
        <w:t xml:space="preserve"> </w:t>
      </w:r>
      <w:r w:rsidRPr="00DE119B">
        <w:rPr>
          <w:rFonts w:eastAsia="Times New Roman" w:cs="Times New Roman"/>
          <w:lang w:eastAsia="de-DE"/>
        </w:rPr>
        <w:t xml:space="preserve">(„wegen, auf"), </w:t>
      </w:r>
      <w:r w:rsidRPr="00DE119B">
        <w:rPr>
          <w:rFonts w:eastAsia="Times New Roman" w:cs="Times New Roman"/>
          <w:b/>
          <w:bCs/>
          <w:rtl/>
          <w:lang w:eastAsia="de-DE"/>
        </w:rPr>
        <w:t>אֲשֶׁר</w:t>
      </w:r>
      <w:r w:rsidRPr="00DE119B">
        <w:rPr>
          <w:rFonts w:eastAsia="Times New Roman" w:cs="Times New Roman"/>
          <w:rtl/>
          <w:lang w:eastAsia="de-DE"/>
        </w:rPr>
        <w:t xml:space="preserve"> </w:t>
      </w:r>
      <w:r w:rsidRPr="00DE119B">
        <w:rPr>
          <w:rFonts w:eastAsia="Times New Roman" w:cs="Times New Roman"/>
          <w:lang w:eastAsia="de-DE"/>
        </w:rPr>
        <w:t xml:space="preserve">Relativpronomen, </w:t>
      </w:r>
      <w:r w:rsidRPr="00DE119B">
        <w:rPr>
          <w:rFonts w:eastAsia="Times New Roman" w:cs="Times New Roman"/>
          <w:b/>
          <w:bCs/>
          <w:rtl/>
          <w:lang w:eastAsia="de-DE"/>
        </w:rPr>
        <w:t>מְרִיתֶם</w:t>
      </w:r>
      <w:r w:rsidRPr="00DE119B">
        <w:rPr>
          <w:rFonts w:eastAsia="Times New Roman" w:cs="Times New Roman"/>
          <w:rtl/>
          <w:lang w:eastAsia="de-DE"/>
        </w:rPr>
        <w:t xml:space="preserve"> </w:t>
      </w:r>
      <w:r w:rsidRPr="00DE119B">
        <w:rPr>
          <w:rFonts w:eastAsia="Times New Roman" w:cs="Times New Roman"/>
          <w:lang w:eastAsia="de-DE"/>
        </w:rPr>
        <w:t xml:space="preserve">(Qal Perfekt, 2. m. pl. von </w:t>
      </w:r>
      <w:r w:rsidRPr="00DE119B">
        <w:rPr>
          <w:rFonts w:eastAsia="Times New Roman" w:cs="Times New Roman"/>
          <w:b/>
          <w:bCs/>
          <w:rtl/>
          <w:lang w:eastAsia="de-DE"/>
        </w:rPr>
        <w:t>מרה</w:t>
      </w:r>
      <w:r w:rsidRPr="00DE119B">
        <w:rPr>
          <w:rFonts w:eastAsia="Times New Roman" w:cs="Times New Roman"/>
          <w:lang w:eastAsia="de-DE"/>
        </w:rPr>
        <w:t xml:space="preserve">, „ihr seid widerspenstig gewesen"), </w:t>
      </w:r>
      <w:r w:rsidRPr="00DE119B">
        <w:rPr>
          <w:rFonts w:eastAsia="Times New Roman" w:cs="Times New Roman"/>
          <w:b/>
          <w:bCs/>
          <w:rtl/>
          <w:lang w:eastAsia="de-DE"/>
        </w:rPr>
        <w:t>אֶת־פִּי</w:t>
      </w:r>
      <w:r w:rsidRPr="00DE119B">
        <w:rPr>
          <w:rFonts w:eastAsia="Times New Roman" w:cs="Times New Roman"/>
          <w:rtl/>
          <w:lang w:eastAsia="de-DE"/>
        </w:rPr>
        <w:t xml:space="preserve"> </w:t>
      </w:r>
      <w:r w:rsidRPr="00DE119B">
        <w:rPr>
          <w:rFonts w:eastAsia="Times New Roman" w:cs="Times New Roman"/>
          <w:lang w:eastAsia="de-DE"/>
        </w:rPr>
        <w:t xml:space="preserve">(„meinen Mund, meinen Befehl") – die Wendung </w:t>
      </w:r>
      <w:r w:rsidRPr="00DE119B">
        <w:rPr>
          <w:rFonts w:eastAsia="Times New Roman" w:cs="Times New Roman"/>
          <w:b/>
          <w:bCs/>
          <w:rtl/>
          <w:lang w:eastAsia="de-DE"/>
        </w:rPr>
        <w:t>מרה את־פי</w:t>
      </w:r>
      <w:r w:rsidRPr="00DE119B">
        <w:rPr>
          <w:rFonts w:eastAsia="Times New Roman" w:cs="Times New Roman"/>
          <w:rtl/>
          <w:lang w:eastAsia="de-DE"/>
        </w:rPr>
        <w:t xml:space="preserve"> </w:t>
      </w:r>
      <w:r w:rsidRPr="00DE119B">
        <w:rPr>
          <w:rFonts w:eastAsia="Times New Roman" w:cs="Times New Roman"/>
          <w:lang w:eastAsia="de-DE"/>
        </w:rPr>
        <w:t xml:space="preserve">bedeutet idiomatisch „dem Befehl widersprechen, rebellieren", </w:t>
      </w:r>
      <w:r w:rsidRPr="00DE119B">
        <w:rPr>
          <w:rFonts w:eastAsia="Times New Roman" w:cs="Times New Roman"/>
          <w:b/>
          <w:bCs/>
          <w:rtl/>
          <w:lang w:eastAsia="de-DE"/>
        </w:rPr>
        <w:t>לְמֵי מְרִיבָה</w:t>
      </w:r>
      <w:r w:rsidRPr="00DE119B">
        <w:rPr>
          <w:rFonts w:eastAsia="Times New Roman" w:cs="Times New Roman"/>
          <w:rtl/>
          <w:lang w:eastAsia="de-DE"/>
        </w:rPr>
        <w:t xml:space="preserve"> </w:t>
      </w:r>
      <w:r w:rsidRPr="00DE119B">
        <w:rPr>
          <w:rFonts w:eastAsia="Times New Roman" w:cs="Times New Roman"/>
          <w:lang w:eastAsia="de-DE"/>
        </w:rPr>
        <w:t xml:space="preserve">(„bei den Wassern von </w:t>
      </w:r>
      <w:r w:rsidR="00D52999">
        <w:rPr>
          <w:rFonts w:eastAsia="Times New Roman" w:cs="Times New Roman"/>
          <w:lang w:eastAsia="de-DE"/>
        </w:rPr>
        <w:t>Meriva</w:t>
      </w:r>
      <w:r w:rsidRPr="00DE119B">
        <w:rPr>
          <w:rFonts w:eastAsia="Times New Roman" w:cs="Times New Roman"/>
          <w:lang w:eastAsia="de-DE"/>
        </w:rPr>
        <w:t>", Constructus-Verbindung).</w:t>
      </w:r>
    </w:p>
    <w:p w14:paraId="03FEF428" w14:textId="22C99C13"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lastRenderedPageBreak/>
        <w:t>Die LXX</w:t>
      </w:r>
      <w:r w:rsidRPr="00DE119B">
        <w:rPr>
          <w:rFonts w:eastAsia="Times New Roman" w:cs="Times New Roman"/>
          <w:lang w:eastAsia="de-DE"/>
        </w:rPr>
        <w:t xml:space="preserve"> </w:t>
      </w:r>
      <w:r w:rsidR="00C229FD">
        <w:t>übersetzt „</w:t>
      </w:r>
      <w:r w:rsidR="00C229FD">
        <w:rPr>
          <w:rtl/>
        </w:rPr>
        <w:t>י</w:t>
      </w:r>
      <w:r w:rsidR="00C229FD" w:rsidRPr="00EA6783">
        <w:rPr>
          <w:b/>
          <w:bCs/>
          <w:rtl/>
        </w:rPr>
        <w:t>ֵאָסֵף אַהֲרֹן אֶל־עַמָּיו</w:t>
      </w:r>
      <w:r w:rsidR="00C229FD">
        <w:t>" (Aaron wird zu seinen Völkern versammelt werden) mit „Προστεθήτω Ἀαρὼν πρὸς τὸν λαὸν αὐτοῦ" (Aaron soll zu seinem Volk hinzugefügt werden), wobei "Volk" im Singular statt Plural steht, und „</w:t>
      </w:r>
      <w:r w:rsidR="00C229FD" w:rsidRPr="00EA6783">
        <w:rPr>
          <w:b/>
          <w:bCs/>
          <w:rtl/>
        </w:rPr>
        <w:t>מְרִיתֶם אֶת־פִּי</w:t>
      </w:r>
      <w:r w:rsidR="00C229FD">
        <w:t>" (ihr habt gegen meinen Mund rebelliert) wird zu „παρωξύνατέ με" (ihr habt mich gereizt), was weniger explizit auf das "Wort/den Mund" hinweist.</w:t>
      </w:r>
    </w:p>
    <w:p w14:paraId="66E95F5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einen Hauptsatz mit passivem Verb (Nifal), Subjekt und Präpositionalphrase. Ein kausaler Nebensatz mit Konjunktion, Negation, Verb und Präpositionalphrase folgt, erweitert durch einen Relativsatz. Ein zweiter kausaler Nebensatz mit Präposition, Relativpronomen, Verb, Objekt und lokaler Präpositionalphrase schließt ab. Insgesamt gibt es drei Nebensätze: zwei Kausalsätze (der erste mit eingebettetem Relativsatz).</w:t>
      </w:r>
    </w:p>
    <w:p w14:paraId="21FCAC3C" w14:textId="70867014"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Vers wiederholt das Urteil aus Vers 12 – Aaron wird für den Fehler bei </w:t>
      </w:r>
      <w:r w:rsidR="00D52999">
        <w:rPr>
          <w:rFonts w:eastAsia="Times New Roman" w:cs="Times New Roman"/>
          <w:lang w:eastAsia="de-DE"/>
        </w:rPr>
        <w:t>Meriva</w:t>
      </w:r>
      <w:r w:rsidRPr="00DE119B">
        <w:rPr>
          <w:rFonts w:eastAsia="Times New Roman" w:cs="Times New Roman"/>
          <w:lang w:eastAsia="de-DE"/>
        </w:rPr>
        <w:t xml:space="preserve"> bestraft. Die Wiederholung unterstreicht die Schwere und Endgültigkeit.</w:t>
      </w:r>
    </w:p>
    <w:p w14:paraId="6F700245"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20,25</w:t>
      </w:r>
    </w:p>
    <w:p w14:paraId="371402B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קַ֚ח אֶֽת־אַהֲרֹ֔ן וְאֶת־אֶלְעָזָ֖ר בְּנֹ֑ו וְהַ֥עַל אֹתָ֖ם הֹ֥ר הָהָֽר׃</w:t>
      </w:r>
    </w:p>
    <w:p w14:paraId="15B9AEE8"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Nimm Aharon und Eleasar, seinen Sohn, und führe sie hinauf auf den Berg Hor.</w:t>
      </w:r>
    </w:p>
    <w:p w14:paraId="0F77AE23"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5C690E38">
          <v:rect id="_x0000_i1725" style="width:0;height:1.5pt" o:hralign="center" o:hrstd="t" o:hr="t" fillcolor="#a0a0a0" stroked="f"/>
        </w:pict>
      </w:r>
    </w:p>
    <w:p w14:paraId="7D601C8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Der Imperativ </w:t>
      </w:r>
      <w:r w:rsidRPr="00DE119B">
        <w:rPr>
          <w:rFonts w:eastAsia="Times New Roman" w:cs="Times New Roman"/>
          <w:b/>
          <w:bCs/>
          <w:rtl/>
          <w:lang w:eastAsia="de-DE"/>
        </w:rPr>
        <w:t>קַח</w:t>
      </w:r>
      <w:r w:rsidRPr="00DE119B">
        <w:rPr>
          <w:rFonts w:eastAsia="Times New Roman" w:cs="Times New Roman"/>
          <w:rtl/>
          <w:lang w:eastAsia="de-DE"/>
        </w:rPr>
        <w:t xml:space="preserve"> </w:t>
      </w:r>
      <w:r w:rsidRPr="00DE119B">
        <w:rPr>
          <w:rFonts w:eastAsia="Times New Roman" w:cs="Times New Roman"/>
          <w:lang w:eastAsia="de-DE"/>
        </w:rPr>
        <w:t xml:space="preserve">(Qal Imperativ, 2. m. sg. von </w:t>
      </w:r>
      <w:r w:rsidRPr="00DE119B">
        <w:rPr>
          <w:rFonts w:eastAsia="Times New Roman" w:cs="Times New Roman"/>
          <w:b/>
          <w:bCs/>
          <w:rtl/>
          <w:lang w:eastAsia="de-DE"/>
        </w:rPr>
        <w:t>לקח</w:t>
      </w:r>
      <w:r w:rsidRPr="00DE119B">
        <w:rPr>
          <w:rFonts w:eastAsia="Times New Roman" w:cs="Times New Roman"/>
          <w:lang w:eastAsia="de-DE"/>
        </w:rPr>
        <w:t xml:space="preserve">, „nimm") richtet sich an Mose. Das doppelte Objekt </w:t>
      </w:r>
      <w:r w:rsidRPr="00DE119B">
        <w:rPr>
          <w:rFonts w:eastAsia="Times New Roman" w:cs="Times New Roman"/>
          <w:b/>
          <w:bCs/>
          <w:rtl/>
          <w:lang w:eastAsia="de-DE"/>
        </w:rPr>
        <w:t>אֶת־אַהֲרֹן וְאֶת־אֶלְעָזָר בְּנוֹ</w:t>
      </w:r>
      <w:r w:rsidRPr="00DE119B">
        <w:rPr>
          <w:rFonts w:eastAsia="Times New Roman" w:cs="Times New Roman"/>
          <w:rtl/>
          <w:lang w:eastAsia="de-DE"/>
        </w:rPr>
        <w:t xml:space="preserve"> </w:t>
      </w:r>
      <w:r w:rsidRPr="00DE119B">
        <w:rPr>
          <w:rFonts w:eastAsia="Times New Roman" w:cs="Times New Roman"/>
          <w:lang w:eastAsia="de-DE"/>
        </w:rPr>
        <w:t xml:space="preserve">nennt beide: </w:t>
      </w:r>
      <w:r w:rsidRPr="00DE119B">
        <w:rPr>
          <w:rFonts w:eastAsia="Times New Roman" w:cs="Times New Roman"/>
          <w:b/>
          <w:bCs/>
          <w:rtl/>
          <w:lang w:eastAsia="de-DE"/>
        </w:rPr>
        <w:t>אַהֲרֹן</w:t>
      </w:r>
      <w:r w:rsidRPr="00DE119B">
        <w:rPr>
          <w:rFonts w:eastAsia="Times New Roman" w:cs="Times New Roman"/>
          <w:rtl/>
          <w:lang w:eastAsia="de-DE"/>
        </w:rPr>
        <w:t xml:space="preserve"> </w:t>
      </w:r>
      <w:r w:rsidRPr="00DE119B">
        <w:rPr>
          <w:rFonts w:eastAsia="Times New Roman" w:cs="Times New Roman"/>
          <w:lang w:eastAsia="de-DE"/>
        </w:rPr>
        <w:t xml:space="preserve">und </w:t>
      </w:r>
      <w:r w:rsidRPr="00DE119B">
        <w:rPr>
          <w:rFonts w:eastAsia="Times New Roman" w:cs="Times New Roman"/>
          <w:b/>
          <w:bCs/>
          <w:rtl/>
          <w:lang w:eastAsia="de-DE"/>
        </w:rPr>
        <w:t>אֶלְעָזָר בְּנוֹ</w:t>
      </w:r>
      <w:r w:rsidRPr="00DE119B">
        <w:rPr>
          <w:rFonts w:eastAsia="Times New Roman" w:cs="Times New Roman"/>
          <w:rtl/>
          <w:lang w:eastAsia="de-DE"/>
        </w:rPr>
        <w:t xml:space="preserve"> </w:t>
      </w:r>
      <w:r w:rsidRPr="00DE119B">
        <w:rPr>
          <w:rFonts w:eastAsia="Times New Roman" w:cs="Times New Roman"/>
          <w:lang w:eastAsia="de-DE"/>
        </w:rPr>
        <w:t xml:space="preserve">(„Eleasar, sein Sohn") – </w:t>
      </w:r>
      <w:r w:rsidRPr="00DE119B">
        <w:rPr>
          <w:rFonts w:eastAsia="Times New Roman" w:cs="Times New Roman"/>
          <w:b/>
          <w:bCs/>
          <w:rtl/>
          <w:lang w:eastAsia="de-DE"/>
        </w:rPr>
        <w:t>בֵּן</w:t>
      </w:r>
      <w:r w:rsidRPr="00DE119B">
        <w:rPr>
          <w:rFonts w:eastAsia="Times New Roman" w:cs="Times New Roman"/>
          <w:rtl/>
          <w:lang w:eastAsia="de-DE"/>
        </w:rPr>
        <w:t xml:space="preserve"> </w:t>
      </w:r>
      <w:r w:rsidRPr="00DE119B">
        <w:rPr>
          <w:rFonts w:eastAsia="Times New Roman" w:cs="Times New Roman"/>
          <w:lang w:eastAsia="de-DE"/>
        </w:rPr>
        <w:t>mit Possessivsuffix 3. m. sg. Die Apposition betont die Vater-Sohn-Beziehung und die bevorstehende Amtsübertragung.</w:t>
      </w:r>
    </w:p>
    <w:p w14:paraId="6B3245A5"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zweite Imperativ </w:t>
      </w:r>
      <w:r w:rsidRPr="00DE119B">
        <w:rPr>
          <w:rFonts w:eastAsia="Times New Roman" w:cs="Times New Roman"/>
          <w:b/>
          <w:bCs/>
          <w:rtl/>
          <w:lang w:eastAsia="de-DE"/>
        </w:rPr>
        <w:t>וְהַעַל אֹתָם</w:t>
      </w:r>
      <w:r w:rsidRPr="00DE119B">
        <w:rPr>
          <w:rFonts w:eastAsia="Times New Roman" w:cs="Times New Roman"/>
          <w:rtl/>
          <w:lang w:eastAsia="de-DE"/>
        </w:rPr>
        <w:t xml:space="preserve"> </w:t>
      </w:r>
      <w:r w:rsidRPr="00DE119B">
        <w:rPr>
          <w:rFonts w:eastAsia="Times New Roman" w:cs="Times New Roman"/>
          <w:lang w:eastAsia="de-DE"/>
        </w:rPr>
        <w:t xml:space="preserve">(Waw + Hifil Imperativ, 2. m. sg. von </w:t>
      </w:r>
      <w:r w:rsidRPr="00DE119B">
        <w:rPr>
          <w:rFonts w:eastAsia="Times New Roman" w:cs="Times New Roman"/>
          <w:b/>
          <w:bCs/>
          <w:rtl/>
          <w:lang w:eastAsia="de-DE"/>
        </w:rPr>
        <w:t>עלה</w:t>
      </w:r>
      <w:r w:rsidRPr="00DE119B">
        <w:rPr>
          <w:rFonts w:eastAsia="Times New Roman" w:cs="Times New Roman"/>
          <w:lang w:eastAsia="de-DE"/>
        </w:rPr>
        <w:t xml:space="preserve">, „und führe sie hinauf") ist kausativ. </w:t>
      </w:r>
      <w:r w:rsidRPr="00DE119B">
        <w:rPr>
          <w:rFonts w:eastAsia="Times New Roman" w:cs="Times New Roman"/>
          <w:b/>
          <w:bCs/>
          <w:rtl/>
          <w:lang w:eastAsia="de-DE"/>
        </w:rPr>
        <w:t>אֹתָם</w:t>
      </w:r>
      <w:r w:rsidRPr="00DE119B">
        <w:rPr>
          <w:rFonts w:eastAsia="Times New Roman" w:cs="Times New Roman"/>
          <w:rtl/>
          <w:lang w:eastAsia="de-DE"/>
        </w:rPr>
        <w:t xml:space="preserve"> </w:t>
      </w:r>
      <w:r w:rsidRPr="00DE119B">
        <w:rPr>
          <w:rFonts w:eastAsia="Times New Roman" w:cs="Times New Roman"/>
          <w:lang w:eastAsia="de-DE"/>
        </w:rPr>
        <w:t xml:space="preserve">(„sie") mit Objektpartikel und Suffix 3. m. pl. bezieht sich auf beide. </w:t>
      </w:r>
      <w:r w:rsidRPr="00DE119B">
        <w:rPr>
          <w:rFonts w:eastAsia="Times New Roman" w:cs="Times New Roman"/>
          <w:b/>
          <w:bCs/>
          <w:rtl/>
          <w:lang w:eastAsia="de-DE"/>
        </w:rPr>
        <w:t>הֹר הָהָר</w:t>
      </w:r>
      <w:r w:rsidRPr="00DE119B">
        <w:rPr>
          <w:rFonts w:eastAsia="Times New Roman" w:cs="Times New Roman"/>
          <w:rtl/>
          <w:lang w:eastAsia="de-DE"/>
        </w:rPr>
        <w:t xml:space="preserve"> </w:t>
      </w:r>
      <w:r w:rsidRPr="00DE119B">
        <w:rPr>
          <w:rFonts w:eastAsia="Times New Roman" w:cs="Times New Roman"/>
          <w:lang w:eastAsia="de-DE"/>
        </w:rPr>
        <w:t>(„Berg Hor") wiederholt die Ortsangabe – der Berg wird zum Todesort.</w:t>
      </w:r>
    </w:p>
    <w:p w14:paraId="02A6C18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w:t>
      </w:r>
    </w:p>
    <w:p w14:paraId="525C2CBE"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zwei koordinierte imperativische Hauptsätze: Der erste mit Imperativ und doppeltem koordinierten Objekt (das zweite mit Apposition); der zweite mit Imperativ, Objekt (Pronomen) und Ortsangabe. Es gibt keine Nebensätze.</w:t>
      </w:r>
    </w:p>
    <w:p w14:paraId="352D4BCB"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beginnt die rituelle Prozession – Vater und Sohn gemeinsam, zum letzten Mal.</w:t>
      </w:r>
    </w:p>
    <w:p w14:paraId="25C18244"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20,26</w:t>
      </w:r>
    </w:p>
    <w:p w14:paraId="0BAF242D"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וְהַפְשֵׁ֤ט אֶֽת־אַהֲרֹן֙ אֶת־בְּגָדָ֔יו וְהִלְבַּשְׁתָּ֖ם אֶת־אֶלְעָזָ֣ר בְּנֹ֑ו וְאַהֲרֹ֥ן יֵאָסֵ֖ף וּמֵ֥ת שָֽׁם׃</w:t>
      </w:r>
    </w:p>
    <w:p w14:paraId="590B9209"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ziehe Aharon seine Kleider aus und lege sie seinem Sohn Eleasar an; und Aharon soll versammelt werden und daselbst sterben.</w:t>
      </w:r>
    </w:p>
    <w:p w14:paraId="2BEE4C3F"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45535335">
          <v:rect id="_x0000_i1726" style="width:0;height:1.5pt" o:hralign="center" o:hrstd="t" o:hr="t" fillcolor="#a0a0a0" stroked="f"/>
        </w:pict>
      </w:r>
    </w:p>
    <w:p w14:paraId="6FEFD2B8" w14:textId="0412EC5B"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lastRenderedPageBreak/>
        <w:t>Kommentar:</w:t>
      </w:r>
      <w:r w:rsidRPr="00DE119B">
        <w:rPr>
          <w:rFonts w:eastAsia="Times New Roman" w:cs="Times New Roman"/>
          <w:lang w:eastAsia="de-DE"/>
        </w:rPr>
        <w:t xml:space="preserve"> Der Imperativ </w:t>
      </w:r>
      <w:r w:rsidRPr="00DE119B">
        <w:rPr>
          <w:rFonts w:eastAsia="Times New Roman" w:cs="Times New Roman"/>
          <w:b/>
          <w:bCs/>
          <w:rtl/>
          <w:lang w:eastAsia="de-DE"/>
        </w:rPr>
        <w:t>וְהַפְשֵׁט</w:t>
      </w:r>
      <w:r w:rsidRPr="00DE119B">
        <w:rPr>
          <w:rFonts w:eastAsia="Times New Roman" w:cs="Times New Roman"/>
          <w:rtl/>
          <w:lang w:eastAsia="de-DE"/>
        </w:rPr>
        <w:t xml:space="preserve"> </w:t>
      </w:r>
      <w:r w:rsidRPr="00DE119B">
        <w:rPr>
          <w:rFonts w:eastAsia="Times New Roman" w:cs="Times New Roman"/>
          <w:lang w:eastAsia="de-DE"/>
        </w:rPr>
        <w:t xml:space="preserve">(Waw + Hifil Imperativ, 2. m. sg. von </w:t>
      </w:r>
      <w:r w:rsidRPr="00DE119B">
        <w:rPr>
          <w:rFonts w:eastAsia="Times New Roman" w:cs="Times New Roman"/>
          <w:b/>
          <w:bCs/>
          <w:rtl/>
          <w:lang w:eastAsia="de-DE"/>
        </w:rPr>
        <w:t>פשׁט</w:t>
      </w:r>
      <w:r w:rsidRPr="00DE119B">
        <w:rPr>
          <w:rFonts w:eastAsia="Times New Roman" w:cs="Times New Roman"/>
          <w:lang w:eastAsia="de-DE"/>
        </w:rPr>
        <w:t xml:space="preserve">, „und ziehe aus") ist kausativ. Das doppelte Objekt </w:t>
      </w:r>
      <w:r w:rsidRPr="00DE119B">
        <w:rPr>
          <w:rFonts w:eastAsia="Times New Roman" w:cs="Times New Roman"/>
          <w:b/>
          <w:bCs/>
          <w:rtl/>
          <w:lang w:eastAsia="de-DE"/>
        </w:rPr>
        <w:t>אֶת־אַהֲרֹן אֶת־בְּגָדָיו</w:t>
      </w:r>
      <w:r w:rsidRPr="00DE119B">
        <w:rPr>
          <w:rFonts w:eastAsia="Times New Roman" w:cs="Times New Roman"/>
          <w:rtl/>
          <w:lang w:eastAsia="de-DE"/>
        </w:rPr>
        <w:t xml:space="preserve"> </w:t>
      </w:r>
      <w:r w:rsidRPr="00DE119B">
        <w:rPr>
          <w:rFonts w:eastAsia="Times New Roman" w:cs="Times New Roman"/>
          <w:lang w:eastAsia="de-DE"/>
        </w:rPr>
        <w:t xml:space="preserve">ist bemerkenswert: </w:t>
      </w:r>
      <w:r w:rsidRPr="00DE119B">
        <w:rPr>
          <w:rFonts w:eastAsia="Times New Roman" w:cs="Times New Roman"/>
          <w:b/>
          <w:bCs/>
          <w:rtl/>
          <w:lang w:eastAsia="de-DE"/>
        </w:rPr>
        <w:t>אֶת־אַהֲרֹן</w:t>
      </w:r>
      <w:r w:rsidRPr="00DE119B">
        <w:rPr>
          <w:rFonts w:eastAsia="Times New Roman" w:cs="Times New Roman"/>
          <w:rtl/>
          <w:lang w:eastAsia="de-DE"/>
        </w:rPr>
        <w:t xml:space="preserve"> </w:t>
      </w:r>
      <w:r w:rsidRPr="00DE119B">
        <w:rPr>
          <w:rFonts w:eastAsia="Times New Roman" w:cs="Times New Roman"/>
          <w:lang w:eastAsia="de-DE"/>
        </w:rPr>
        <w:t xml:space="preserve">(„Aaron" – direktes Objekt der Handlung) und </w:t>
      </w:r>
      <w:r w:rsidRPr="00DE119B">
        <w:rPr>
          <w:rFonts w:eastAsia="Times New Roman" w:cs="Times New Roman"/>
          <w:b/>
          <w:bCs/>
          <w:rtl/>
          <w:lang w:eastAsia="de-DE"/>
        </w:rPr>
        <w:t>אֶת־בְּגָדָיו</w:t>
      </w:r>
      <w:r w:rsidRPr="00DE119B">
        <w:rPr>
          <w:rFonts w:eastAsia="Times New Roman" w:cs="Times New Roman"/>
          <w:rtl/>
          <w:lang w:eastAsia="de-DE"/>
        </w:rPr>
        <w:t xml:space="preserve"> </w:t>
      </w:r>
      <w:r w:rsidRPr="00DE119B">
        <w:rPr>
          <w:rFonts w:eastAsia="Times New Roman" w:cs="Times New Roman"/>
          <w:lang w:eastAsia="de-DE"/>
        </w:rPr>
        <w:t xml:space="preserve">(„seine Kleider" – das, was ausgezogen wird). Die </w:t>
      </w:r>
      <w:r w:rsidR="00D31913">
        <w:t>Konstruktion</w:t>
      </w:r>
      <w:r w:rsidRPr="00DE119B">
        <w:rPr>
          <w:rFonts w:eastAsia="Times New Roman" w:cs="Times New Roman"/>
          <w:b/>
          <w:bCs/>
          <w:rtl/>
          <w:lang w:eastAsia="de-DE"/>
        </w:rPr>
        <w:t>הפשׁיט את</w:t>
      </w:r>
      <w:r w:rsidRPr="00DE119B">
        <w:rPr>
          <w:rFonts w:eastAsia="Times New Roman" w:cs="Times New Roman"/>
          <w:b/>
          <w:bCs/>
          <w:lang w:eastAsia="de-DE"/>
        </w:rPr>
        <w:t xml:space="preserve"> X </w:t>
      </w:r>
      <w:r w:rsidRPr="00DE119B">
        <w:rPr>
          <w:rFonts w:eastAsia="Times New Roman" w:cs="Times New Roman"/>
          <w:b/>
          <w:bCs/>
          <w:rtl/>
          <w:lang w:eastAsia="de-DE"/>
        </w:rPr>
        <w:t>את</w:t>
      </w:r>
      <w:r w:rsidRPr="00DE119B">
        <w:rPr>
          <w:rFonts w:eastAsia="Times New Roman" w:cs="Times New Roman"/>
          <w:b/>
          <w:bCs/>
          <w:lang w:eastAsia="de-DE"/>
        </w:rPr>
        <w:t xml:space="preserve"> Y</w:t>
      </w:r>
      <w:r w:rsidRPr="00DE119B">
        <w:rPr>
          <w:rFonts w:eastAsia="Times New Roman" w:cs="Times New Roman"/>
          <w:lang w:eastAsia="de-DE"/>
        </w:rPr>
        <w:t xml:space="preserve"> bedeutet „X ausziehen Y", wobei X die Person und Y die Kleidung ist.</w:t>
      </w:r>
    </w:p>
    <w:p w14:paraId="5E73C1C5"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zweite Imperativ </w:t>
      </w:r>
      <w:r w:rsidRPr="00DE119B">
        <w:rPr>
          <w:rFonts w:eastAsia="Times New Roman" w:cs="Times New Roman"/>
          <w:b/>
          <w:bCs/>
          <w:rtl/>
          <w:lang w:eastAsia="de-DE"/>
        </w:rPr>
        <w:t>וְהִלְבַּשְׁתָּם</w:t>
      </w:r>
      <w:r w:rsidRPr="00DE119B">
        <w:rPr>
          <w:rFonts w:eastAsia="Times New Roman" w:cs="Times New Roman"/>
          <w:rtl/>
          <w:lang w:eastAsia="de-DE"/>
        </w:rPr>
        <w:t xml:space="preserve"> </w:t>
      </w:r>
      <w:r w:rsidRPr="00DE119B">
        <w:rPr>
          <w:rFonts w:eastAsia="Times New Roman" w:cs="Times New Roman"/>
          <w:lang w:eastAsia="de-DE"/>
        </w:rPr>
        <w:t xml:space="preserve">(Waw + Hifil Perfekt, 2. m. sg. von </w:t>
      </w:r>
      <w:r w:rsidRPr="00DE119B">
        <w:rPr>
          <w:rFonts w:eastAsia="Times New Roman" w:cs="Times New Roman"/>
          <w:b/>
          <w:bCs/>
          <w:rtl/>
          <w:lang w:eastAsia="de-DE"/>
        </w:rPr>
        <w:t>לבשׁ</w:t>
      </w:r>
      <w:r w:rsidRPr="00DE119B">
        <w:rPr>
          <w:rFonts w:eastAsia="Times New Roman" w:cs="Times New Roman"/>
          <w:lang w:eastAsia="de-DE"/>
        </w:rPr>
        <w:t xml:space="preserve">, „und lege sie an") mit Weqatal und Objektsuffix 3. m. pl. („sie" = die Kleider). </w:t>
      </w:r>
      <w:r w:rsidRPr="00DE119B">
        <w:rPr>
          <w:rFonts w:eastAsia="Times New Roman" w:cs="Times New Roman"/>
          <w:b/>
          <w:bCs/>
          <w:rtl/>
          <w:lang w:eastAsia="de-DE"/>
        </w:rPr>
        <w:t>אֶת־אֶלְעָזָר בְּנוֹ</w:t>
      </w:r>
      <w:r w:rsidRPr="00DE119B">
        <w:rPr>
          <w:rFonts w:eastAsia="Times New Roman" w:cs="Times New Roman"/>
          <w:rtl/>
          <w:lang w:eastAsia="de-DE"/>
        </w:rPr>
        <w:t xml:space="preserve"> </w:t>
      </w:r>
      <w:r w:rsidRPr="00DE119B">
        <w:rPr>
          <w:rFonts w:eastAsia="Times New Roman" w:cs="Times New Roman"/>
          <w:lang w:eastAsia="de-DE"/>
        </w:rPr>
        <w:t>(„Eleasar, seinem Sohn") ist das indirekte Objekt. Die priesterlichen Gewänder werden symbolisch übertragen – Eleasar wird der neue Hohepriester.</w:t>
      </w:r>
    </w:p>
    <w:p w14:paraId="19DD962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doppelte Todesankündigung </w:t>
      </w:r>
      <w:r w:rsidRPr="00DE119B">
        <w:rPr>
          <w:rFonts w:eastAsia="Times New Roman" w:cs="Times New Roman"/>
          <w:b/>
          <w:bCs/>
          <w:rtl/>
          <w:lang w:eastAsia="de-DE"/>
        </w:rPr>
        <w:t>וְאַהֲרֹן יֵאָסֵף וּמֵת שָׁם</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וְאַהֲרֹן יֵאָסֵף</w:t>
      </w:r>
      <w:r w:rsidRPr="00DE119B">
        <w:rPr>
          <w:rFonts w:eastAsia="Times New Roman" w:cs="Times New Roman"/>
          <w:rtl/>
          <w:lang w:eastAsia="de-DE"/>
        </w:rPr>
        <w:t xml:space="preserve"> </w:t>
      </w:r>
      <w:r w:rsidRPr="00DE119B">
        <w:rPr>
          <w:rFonts w:eastAsia="Times New Roman" w:cs="Times New Roman"/>
          <w:lang w:eastAsia="de-DE"/>
        </w:rPr>
        <w:t xml:space="preserve">(„und Aaron soll versammelt werden") – Wiederholung des Euphemismus aus Vers 24 – und </w:t>
      </w:r>
      <w:r w:rsidRPr="00DE119B">
        <w:rPr>
          <w:rFonts w:eastAsia="Times New Roman" w:cs="Times New Roman"/>
          <w:b/>
          <w:bCs/>
          <w:rtl/>
          <w:lang w:eastAsia="de-DE"/>
        </w:rPr>
        <w:t>וּמֵת שָׁם</w:t>
      </w:r>
      <w:r w:rsidRPr="00DE119B">
        <w:rPr>
          <w:rFonts w:eastAsia="Times New Roman" w:cs="Times New Roman"/>
          <w:rtl/>
          <w:lang w:eastAsia="de-DE"/>
        </w:rPr>
        <w:t xml:space="preserve"> </w:t>
      </w:r>
      <w:r w:rsidRPr="00DE119B">
        <w:rPr>
          <w:rFonts w:eastAsia="Times New Roman" w:cs="Times New Roman"/>
          <w:lang w:eastAsia="de-DE"/>
        </w:rPr>
        <w:t xml:space="preserve">(Waw + Qal Perfekt, 3. m. sg. von </w:t>
      </w:r>
      <w:r w:rsidRPr="00DE119B">
        <w:rPr>
          <w:rFonts w:eastAsia="Times New Roman" w:cs="Times New Roman"/>
          <w:b/>
          <w:bCs/>
          <w:rtl/>
          <w:lang w:eastAsia="de-DE"/>
        </w:rPr>
        <w:t>מות</w:t>
      </w:r>
      <w:r w:rsidRPr="00DE119B">
        <w:rPr>
          <w:rFonts w:eastAsia="Times New Roman" w:cs="Times New Roman"/>
          <w:lang w:eastAsia="de-DE"/>
        </w:rPr>
        <w:t xml:space="preserve">, „und er soll sterben", plus </w:t>
      </w:r>
      <w:r w:rsidRPr="00DE119B">
        <w:rPr>
          <w:rFonts w:eastAsia="Times New Roman" w:cs="Times New Roman"/>
          <w:b/>
          <w:bCs/>
          <w:rtl/>
          <w:lang w:eastAsia="de-DE"/>
        </w:rPr>
        <w:t>שָׁם</w:t>
      </w:r>
      <w:r w:rsidRPr="00DE119B">
        <w:rPr>
          <w:rFonts w:eastAsia="Times New Roman" w:cs="Times New Roman"/>
          <w:rtl/>
          <w:lang w:eastAsia="de-DE"/>
        </w:rPr>
        <w:t xml:space="preserve"> </w:t>
      </w:r>
      <w:r w:rsidRPr="00DE119B">
        <w:rPr>
          <w:rFonts w:eastAsia="Times New Roman" w:cs="Times New Roman"/>
          <w:lang w:eastAsia="de-DE"/>
        </w:rPr>
        <w:t>„dort"). Die Verbindung von Euphemismus und direktem Wort für Sterben unterstreicht die Realität und Endgültigkeit.</w:t>
      </w:r>
    </w:p>
    <w:p w14:paraId="64D746F7" w14:textId="60644FAC"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w:t>
      </w:r>
      <w:r w:rsidR="00EA6783">
        <w:t>übersetzt „</w:t>
      </w:r>
      <w:r w:rsidR="00EA6783" w:rsidRPr="00EA6783">
        <w:rPr>
          <w:b/>
          <w:bCs/>
          <w:rtl/>
        </w:rPr>
        <w:t>בְּגָדָיו</w:t>
      </w:r>
      <w:r w:rsidR="00EA6783">
        <w:t>" (seine Kleider) mit „τὴν στολὴν αὐτοῦ" (sein Gewand/seine Amtstracht), was spezifischer auf priesterliche Gewänder hinweist, und fügt „ἔναντι πάσης τῆς συναγωγῆς" (vor der ganzen Versammlung) bereits in Vers 25 hinzu, während dies im MT erst in Vers 27 erscheint.</w:t>
      </w:r>
    </w:p>
    <w:p w14:paraId="31CA4CEB"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drei koordinierte Hauptsätze mit Weqatal/Imperativ: Der erste mit Imperativ und doppeltem Objekt; der zweite mit Imperativ (Objektsuffix) und indirektem Objekt (mit Apposition); der dritte mit Subjekt und zwei koordinierten Verben (Nifal Imperfekt und Qal Perfekt) plus Adverb. Es gibt keine Nebensätze.</w:t>
      </w:r>
    </w:p>
    <w:p w14:paraId="38F5AF6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beschreibt die rituelle Amtsübergabe: Die Kleider machen den Hohenpriester – ihre Übertragung ist die Investitur. Aaron stirbt als Privatperson, nachdem sein Amt weitergegeben wurde.</w:t>
      </w:r>
    </w:p>
    <w:p w14:paraId="44561E8A"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20,27</w:t>
      </w:r>
    </w:p>
    <w:p w14:paraId="36DE691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וַיַּ֣עַשׂ מֹשֶׁ֔ה כַּאֲשֶׁ֖ר צִוָּ֣ה יְהוָ֑ה וַֽיַּעֲלוּ֙ אֶל־הֹ֣ר הָהָ֔ר לְעֵינֵ֖י כָּל־הָעֵדָֽה׃</w:t>
      </w:r>
    </w:p>
    <w:p w14:paraId="0D72E38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Mosche tat, so wie der Ewige geboten hatte, und sie stiegen auf den Berg Hor vor den Augen der ganzen Gemeinde.</w:t>
      </w:r>
    </w:p>
    <w:p w14:paraId="0B8FD77D"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28AC026E">
          <v:rect id="_x0000_i1727" style="width:0;height:1.5pt" o:hralign="center" o:hrstd="t" o:hr="t" fillcolor="#a0a0a0" stroked="f"/>
        </w:pict>
      </w:r>
    </w:p>
    <w:p w14:paraId="284A8C49"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Die Gehorsamsformel </w:t>
      </w:r>
      <w:r w:rsidRPr="00DE119B">
        <w:rPr>
          <w:rFonts w:eastAsia="Times New Roman" w:cs="Times New Roman"/>
          <w:b/>
          <w:bCs/>
          <w:rtl/>
          <w:lang w:eastAsia="de-DE"/>
        </w:rPr>
        <w:t>וַיַּעַשׂ מֹשֶׁה כַּאֲשֶׁר צִוָּה יְהוָה</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וַיַּעַשׂ</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עשׂה</w:t>
      </w:r>
      <w:r w:rsidRPr="00DE119B">
        <w:rPr>
          <w:rFonts w:eastAsia="Times New Roman" w:cs="Times New Roman"/>
          <w:lang w:eastAsia="de-DE"/>
        </w:rPr>
        <w:t xml:space="preserve">, „und er tat"), </w:t>
      </w:r>
      <w:r w:rsidRPr="00DE119B">
        <w:rPr>
          <w:rFonts w:eastAsia="Times New Roman" w:cs="Times New Roman"/>
          <w:b/>
          <w:bCs/>
          <w:rtl/>
          <w:lang w:eastAsia="de-DE"/>
        </w:rPr>
        <w:t>מֹשֶׁה</w:t>
      </w:r>
      <w:r w:rsidRPr="00DE119B">
        <w:rPr>
          <w:rFonts w:eastAsia="Times New Roman" w:cs="Times New Roman"/>
          <w:rtl/>
          <w:lang w:eastAsia="de-DE"/>
        </w:rPr>
        <w:t xml:space="preserve"> </w:t>
      </w:r>
      <w:r w:rsidRPr="00DE119B">
        <w:rPr>
          <w:rFonts w:eastAsia="Times New Roman" w:cs="Times New Roman"/>
          <w:lang w:eastAsia="de-DE"/>
        </w:rPr>
        <w:t xml:space="preserve">Subjekt, der Vergleichspartikel </w:t>
      </w:r>
      <w:r w:rsidRPr="00DE119B">
        <w:rPr>
          <w:rFonts w:eastAsia="Times New Roman" w:cs="Times New Roman"/>
          <w:b/>
          <w:bCs/>
          <w:rtl/>
          <w:lang w:eastAsia="de-DE"/>
        </w:rPr>
        <w:t>כַּאֲשֶׁר</w:t>
      </w:r>
      <w:r w:rsidRPr="00DE119B">
        <w:rPr>
          <w:rFonts w:eastAsia="Times New Roman" w:cs="Times New Roman"/>
          <w:rtl/>
          <w:lang w:eastAsia="de-DE"/>
        </w:rPr>
        <w:t xml:space="preserve"> </w:t>
      </w:r>
      <w:r w:rsidRPr="00DE119B">
        <w:rPr>
          <w:rFonts w:eastAsia="Times New Roman" w:cs="Times New Roman"/>
          <w:lang w:eastAsia="de-DE"/>
        </w:rPr>
        <w:t xml:space="preserve">(„so wie"), </w:t>
      </w:r>
      <w:r w:rsidRPr="00DE119B">
        <w:rPr>
          <w:rFonts w:eastAsia="Times New Roman" w:cs="Times New Roman"/>
          <w:b/>
          <w:bCs/>
          <w:rtl/>
          <w:lang w:eastAsia="de-DE"/>
        </w:rPr>
        <w:t>צִוָּה</w:t>
      </w:r>
      <w:r w:rsidRPr="00DE119B">
        <w:rPr>
          <w:rFonts w:eastAsia="Times New Roman" w:cs="Times New Roman"/>
          <w:rtl/>
          <w:lang w:eastAsia="de-DE"/>
        </w:rPr>
        <w:t xml:space="preserve"> </w:t>
      </w:r>
      <w:r w:rsidRPr="00DE119B">
        <w:rPr>
          <w:rFonts w:eastAsia="Times New Roman" w:cs="Times New Roman"/>
          <w:lang w:eastAsia="de-DE"/>
        </w:rPr>
        <w:t xml:space="preserve">(Piel Perfekt, 3. m. sg. von </w:t>
      </w:r>
      <w:r w:rsidRPr="00DE119B">
        <w:rPr>
          <w:rFonts w:eastAsia="Times New Roman" w:cs="Times New Roman"/>
          <w:b/>
          <w:bCs/>
          <w:rtl/>
          <w:lang w:eastAsia="de-DE"/>
        </w:rPr>
        <w:t>צוה</w:t>
      </w:r>
      <w:r w:rsidRPr="00DE119B">
        <w:rPr>
          <w:rFonts w:eastAsia="Times New Roman" w:cs="Times New Roman"/>
          <w:lang w:eastAsia="de-DE"/>
        </w:rPr>
        <w:t xml:space="preserve">, „er befahl"), </w:t>
      </w:r>
      <w:r w:rsidRPr="00DE119B">
        <w:rPr>
          <w:rFonts w:eastAsia="Times New Roman" w:cs="Times New Roman"/>
          <w:b/>
          <w:bCs/>
          <w:rtl/>
          <w:lang w:eastAsia="de-DE"/>
        </w:rPr>
        <w:t>יְהוָה</w:t>
      </w:r>
      <w:r w:rsidRPr="00DE119B">
        <w:rPr>
          <w:rFonts w:eastAsia="Times New Roman" w:cs="Times New Roman"/>
          <w:rtl/>
          <w:lang w:eastAsia="de-DE"/>
        </w:rPr>
        <w:t xml:space="preserve"> </w:t>
      </w:r>
      <w:r w:rsidRPr="00DE119B">
        <w:rPr>
          <w:rFonts w:eastAsia="Times New Roman" w:cs="Times New Roman"/>
          <w:lang w:eastAsia="de-DE"/>
        </w:rPr>
        <w:t>Subjekt des Nebensatzes. Diese stereotype Formel betont vollständigen Gehorsam – im Kontrast zu Vers 10-11, wo Mose nicht genau gehorchte.</w:t>
      </w:r>
    </w:p>
    <w:p w14:paraId="4EF496F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Das koordinierte Verb </w:t>
      </w:r>
      <w:r w:rsidRPr="00DE119B">
        <w:rPr>
          <w:rFonts w:eastAsia="Times New Roman" w:cs="Times New Roman"/>
          <w:b/>
          <w:bCs/>
          <w:rtl/>
          <w:lang w:eastAsia="de-DE"/>
        </w:rPr>
        <w:t>וַיַּעֲלוּ</w:t>
      </w:r>
      <w:r w:rsidRPr="00DE119B">
        <w:rPr>
          <w:rFonts w:eastAsia="Times New Roman" w:cs="Times New Roman"/>
          <w:rtl/>
          <w:lang w:eastAsia="de-DE"/>
        </w:rPr>
        <w:t xml:space="preserve"> </w:t>
      </w:r>
      <w:r w:rsidRPr="00DE119B">
        <w:rPr>
          <w:rFonts w:eastAsia="Times New Roman" w:cs="Times New Roman"/>
          <w:lang w:eastAsia="de-DE"/>
        </w:rPr>
        <w:t xml:space="preserve">(Wayyiqtol, 3. m. pl. von </w:t>
      </w:r>
      <w:r w:rsidRPr="00DE119B">
        <w:rPr>
          <w:rFonts w:eastAsia="Times New Roman" w:cs="Times New Roman"/>
          <w:b/>
          <w:bCs/>
          <w:rtl/>
          <w:lang w:eastAsia="de-DE"/>
        </w:rPr>
        <w:t>עלה</w:t>
      </w:r>
      <w:r w:rsidRPr="00DE119B">
        <w:rPr>
          <w:rFonts w:eastAsia="Times New Roman" w:cs="Times New Roman"/>
          <w:lang w:eastAsia="de-DE"/>
        </w:rPr>
        <w:t xml:space="preserve">, „und sie stiegen hinauf") mit Plural zeigt: alle drei gehen zusammen. </w:t>
      </w:r>
      <w:r w:rsidRPr="00DE119B">
        <w:rPr>
          <w:rFonts w:eastAsia="Times New Roman" w:cs="Times New Roman"/>
          <w:b/>
          <w:bCs/>
          <w:rtl/>
          <w:lang w:eastAsia="de-DE"/>
        </w:rPr>
        <w:t>אֶל־הֹר הָהָר</w:t>
      </w:r>
      <w:r w:rsidRPr="00DE119B">
        <w:rPr>
          <w:rFonts w:eastAsia="Times New Roman" w:cs="Times New Roman"/>
          <w:rtl/>
          <w:lang w:eastAsia="de-DE"/>
        </w:rPr>
        <w:t xml:space="preserve"> </w:t>
      </w:r>
      <w:r w:rsidRPr="00DE119B">
        <w:rPr>
          <w:rFonts w:eastAsia="Times New Roman" w:cs="Times New Roman"/>
          <w:lang w:eastAsia="de-DE"/>
        </w:rPr>
        <w:t xml:space="preserve">(„auf den Berg Hor"). Die entscheidende Phrase </w:t>
      </w:r>
      <w:r w:rsidRPr="00DE119B">
        <w:rPr>
          <w:rFonts w:eastAsia="Times New Roman" w:cs="Times New Roman"/>
          <w:b/>
          <w:bCs/>
          <w:rtl/>
          <w:lang w:eastAsia="de-DE"/>
        </w:rPr>
        <w:t>לְעֵינֵי כָּל־הָעֵדָה</w:t>
      </w:r>
      <w:r w:rsidRPr="00DE119B">
        <w:rPr>
          <w:rFonts w:eastAsia="Times New Roman" w:cs="Times New Roman"/>
          <w:rtl/>
          <w:lang w:eastAsia="de-DE"/>
        </w:rPr>
        <w:t xml:space="preserve"> </w:t>
      </w:r>
      <w:r w:rsidRPr="00DE119B">
        <w:rPr>
          <w:rFonts w:eastAsia="Times New Roman" w:cs="Times New Roman"/>
          <w:lang w:eastAsia="de-DE"/>
        </w:rPr>
        <w:t xml:space="preserve">(„vor den Augen der ganzen Gemeinde") mit </w:t>
      </w:r>
      <w:r w:rsidRPr="00DE119B">
        <w:rPr>
          <w:rFonts w:eastAsia="Times New Roman" w:cs="Times New Roman"/>
          <w:b/>
          <w:bCs/>
          <w:rtl/>
          <w:lang w:eastAsia="de-DE"/>
        </w:rPr>
        <w:t>לְ</w:t>
      </w:r>
      <w:r w:rsidRPr="00DE119B">
        <w:rPr>
          <w:rFonts w:eastAsia="Times New Roman" w:cs="Times New Roman"/>
          <w:rtl/>
          <w:lang w:eastAsia="de-DE"/>
        </w:rPr>
        <w:t xml:space="preserve"> </w:t>
      </w:r>
      <w:r w:rsidRPr="00DE119B">
        <w:rPr>
          <w:rFonts w:eastAsia="Times New Roman" w:cs="Times New Roman"/>
          <w:lang w:eastAsia="de-DE"/>
        </w:rPr>
        <w:t xml:space="preserve">plus </w:t>
      </w:r>
      <w:r w:rsidRPr="00DE119B">
        <w:rPr>
          <w:rFonts w:eastAsia="Times New Roman" w:cs="Times New Roman"/>
          <w:b/>
          <w:bCs/>
          <w:rtl/>
          <w:lang w:eastAsia="de-DE"/>
        </w:rPr>
        <w:t>עַיִן</w:t>
      </w:r>
      <w:r w:rsidRPr="00DE119B">
        <w:rPr>
          <w:rFonts w:eastAsia="Times New Roman" w:cs="Times New Roman"/>
          <w:rtl/>
          <w:lang w:eastAsia="de-DE"/>
        </w:rPr>
        <w:t xml:space="preserve"> </w:t>
      </w:r>
      <w:r w:rsidRPr="00DE119B">
        <w:rPr>
          <w:rFonts w:eastAsia="Times New Roman" w:cs="Times New Roman"/>
          <w:lang w:eastAsia="de-DE"/>
        </w:rPr>
        <w:t xml:space="preserve">(„Auge") im Plural </w:t>
      </w:r>
      <w:r w:rsidRPr="00DE119B">
        <w:rPr>
          <w:rFonts w:eastAsia="Times New Roman" w:cs="Times New Roman"/>
          <w:lang w:eastAsia="de-DE"/>
        </w:rPr>
        <w:lastRenderedPageBreak/>
        <w:t xml:space="preserve">Constructus vor </w:t>
      </w:r>
      <w:r w:rsidRPr="00DE119B">
        <w:rPr>
          <w:rFonts w:eastAsia="Times New Roman" w:cs="Times New Roman"/>
          <w:b/>
          <w:bCs/>
          <w:rtl/>
          <w:lang w:eastAsia="de-DE"/>
        </w:rPr>
        <w:t>כָּל־הָעֵדָה</w:t>
      </w:r>
      <w:r w:rsidRPr="00DE119B">
        <w:rPr>
          <w:rFonts w:eastAsia="Times New Roman" w:cs="Times New Roman"/>
          <w:rtl/>
          <w:lang w:eastAsia="de-DE"/>
        </w:rPr>
        <w:t xml:space="preserve"> </w:t>
      </w:r>
      <w:r w:rsidRPr="00DE119B">
        <w:rPr>
          <w:rFonts w:eastAsia="Times New Roman" w:cs="Times New Roman"/>
          <w:lang w:eastAsia="de-DE"/>
        </w:rPr>
        <w:t>betont: Die Gemeinde sieht den Aufstieg, aber nicht, was auf dem Berg geschieht – sie werden nur das Ergebnis sehen.</w:t>
      </w:r>
    </w:p>
    <w:p w14:paraId="1851A39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folgt dem hebräischen Text.</w:t>
      </w:r>
    </w:p>
    <w:p w14:paraId="0EFE4B87"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zwei koordinierte Hauptsätze: Der erste mit Verb, Subjekt und Vergleichssatz (Nebensatz); der zweite mit Verb, Präpositionalphrase und weiterer Präpositionalphrase (Constructus-Verbindung). Insgesamt gibt es einen Nebensatz (Vergleichssatz).</w:t>
      </w:r>
    </w:p>
    <w:p w14:paraId="4CA421D4"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Der Vers betont den öffentlichen Charakter der Prozession – alle sehen, dass die drei hinaufgehen, und werden verstehen, dass nur zwei zurückkommen.</w:t>
      </w:r>
    </w:p>
    <w:p w14:paraId="4FB2AD2A"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20,28</w:t>
      </w:r>
    </w:p>
    <w:p w14:paraId="14A9F45C"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וַיַּפְשֵׁט֩ מֹשֶׁ֨ה אֶֽת־אַהֲרֹ֜ן אֶת־בְּגָדָ֗יו וַיַּלְבֵּ֤שׁ אֹתָם֙ אֶת־אֶלְעָזָ֣ר בְּנֹ֔ו וַיָּ֧מָת אַהֲרֹ֛ן שָׁ֖ם בְּרֹ֣אשׁ הָהָ֑ר וַיֵּ֧רֶד מֹשֶׁ֛ה וְאֶלְעָזָ֖ר מִן־הָהָֽר׃</w:t>
      </w:r>
    </w:p>
    <w:p w14:paraId="5710279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Mosche zog Aharon seine Kleider aus und legte sie seinem Sohn Eleasar an; und Aharon starb daselbst auf dem Gipfel des Berges; und Mosche und Eleasar stiegen von dem Berg herab.</w:t>
      </w:r>
    </w:p>
    <w:p w14:paraId="21CABDB8"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69E5F832">
          <v:rect id="_x0000_i1728" style="width:0;height:1.5pt" o:hralign="center" o:hrstd="t" o:hr="t" fillcolor="#a0a0a0" stroked="f"/>
        </w:pict>
      </w:r>
    </w:p>
    <w:p w14:paraId="79DCFFBA"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וַיַּפְשֵׁט</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פשׁט</w:t>
      </w:r>
      <w:r w:rsidRPr="00DE119B">
        <w:rPr>
          <w:rFonts w:eastAsia="Times New Roman" w:cs="Times New Roman"/>
          <w:rtl/>
          <w:lang w:eastAsia="de-DE"/>
        </w:rPr>
        <w:t xml:space="preserve"> </w:t>
      </w:r>
      <w:r w:rsidRPr="00DE119B">
        <w:rPr>
          <w:rFonts w:eastAsia="Times New Roman" w:cs="Times New Roman"/>
          <w:lang w:eastAsia="de-DE"/>
        </w:rPr>
        <w:t xml:space="preserve">Hifil, „und er zog aus") führt die Anweisung aus Vers 26 aus. </w:t>
      </w:r>
      <w:r w:rsidRPr="00DE119B">
        <w:rPr>
          <w:rFonts w:eastAsia="Times New Roman" w:cs="Times New Roman"/>
          <w:b/>
          <w:bCs/>
          <w:rtl/>
          <w:lang w:eastAsia="de-DE"/>
        </w:rPr>
        <w:t>מֹשֶׁה</w:t>
      </w:r>
      <w:r w:rsidRPr="00DE119B">
        <w:rPr>
          <w:rFonts w:eastAsia="Times New Roman" w:cs="Times New Roman"/>
          <w:rtl/>
          <w:lang w:eastAsia="de-DE"/>
        </w:rPr>
        <w:t xml:space="preserve"> </w:t>
      </w:r>
      <w:r w:rsidRPr="00DE119B">
        <w:rPr>
          <w:rFonts w:eastAsia="Times New Roman" w:cs="Times New Roman"/>
          <w:lang w:eastAsia="de-DE"/>
        </w:rPr>
        <w:t xml:space="preserve">Subjekt. Das doppelte Objekt </w:t>
      </w:r>
      <w:r w:rsidRPr="00DE119B">
        <w:rPr>
          <w:rFonts w:eastAsia="Times New Roman" w:cs="Times New Roman"/>
          <w:b/>
          <w:bCs/>
          <w:rtl/>
          <w:lang w:eastAsia="de-DE"/>
        </w:rPr>
        <w:t>אֶת־אַהֲרֹן אֶת־בְּגָדָיו</w:t>
      </w:r>
      <w:r w:rsidRPr="00DE119B">
        <w:rPr>
          <w:rFonts w:eastAsia="Times New Roman" w:cs="Times New Roman"/>
          <w:rtl/>
          <w:lang w:eastAsia="de-DE"/>
        </w:rPr>
        <w:t xml:space="preserve"> </w:t>
      </w:r>
      <w:r w:rsidRPr="00DE119B">
        <w:rPr>
          <w:rFonts w:eastAsia="Times New Roman" w:cs="Times New Roman"/>
          <w:lang w:eastAsia="de-DE"/>
        </w:rPr>
        <w:t>wiederholt die Struktur aus Vers 26.</w:t>
      </w:r>
    </w:p>
    <w:p w14:paraId="2E4B7224"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Das koordinierte Verb </w:t>
      </w:r>
      <w:r w:rsidRPr="00DE119B">
        <w:rPr>
          <w:rFonts w:eastAsia="Times New Roman" w:cs="Times New Roman"/>
          <w:b/>
          <w:bCs/>
          <w:rtl/>
          <w:lang w:eastAsia="de-DE"/>
        </w:rPr>
        <w:t>וַיַּלְבֵּשׁ אֹתָם אֶת־אֶלְעָזָר בְּנוֹ</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לבשׁ</w:t>
      </w:r>
      <w:r w:rsidRPr="00DE119B">
        <w:rPr>
          <w:rFonts w:eastAsia="Times New Roman" w:cs="Times New Roman"/>
          <w:rtl/>
          <w:lang w:eastAsia="de-DE"/>
        </w:rPr>
        <w:t xml:space="preserve"> </w:t>
      </w:r>
      <w:r w:rsidRPr="00DE119B">
        <w:rPr>
          <w:rFonts w:eastAsia="Times New Roman" w:cs="Times New Roman"/>
          <w:lang w:eastAsia="de-DE"/>
        </w:rPr>
        <w:t xml:space="preserve">Hifil, „und er legte sie an") mit </w:t>
      </w:r>
      <w:r w:rsidRPr="00DE119B">
        <w:rPr>
          <w:rFonts w:eastAsia="Times New Roman" w:cs="Times New Roman"/>
          <w:b/>
          <w:bCs/>
          <w:rtl/>
          <w:lang w:eastAsia="de-DE"/>
        </w:rPr>
        <w:t>אֹתָם</w:t>
      </w:r>
      <w:r w:rsidRPr="00DE119B">
        <w:rPr>
          <w:rFonts w:eastAsia="Times New Roman" w:cs="Times New Roman"/>
          <w:rtl/>
          <w:lang w:eastAsia="de-DE"/>
        </w:rPr>
        <w:t xml:space="preserve"> </w:t>
      </w:r>
      <w:r w:rsidRPr="00DE119B">
        <w:rPr>
          <w:rFonts w:eastAsia="Times New Roman" w:cs="Times New Roman"/>
          <w:lang w:eastAsia="de-DE"/>
        </w:rPr>
        <w:t xml:space="preserve">Objektpronomen („sie" = die Kleider) und </w:t>
      </w:r>
      <w:r w:rsidRPr="00DE119B">
        <w:rPr>
          <w:rFonts w:eastAsia="Times New Roman" w:cs="Times New Roman"/>
          <w:b/>
          <w:bCs/>
          <w:rtl/>
          <w:lang w:eastAsia="de-DE"/>
        </w:rPr>
        <w:t>אֶת־אֶלְעָזָר בְּנוֹ</w:t>
      </w:r>
      <w:r w:rsidRPr="00DE119B">
        <w:rPr>
          <w:rFonts w:eastAsia="Times New Roman" w:cs="Times New Roman"/>
          <w:rtl/>
          <w:lang w:eastAsia="de-DE"/>
        </w:rPr>
        <w:t xml:space="preserve"> </w:t>
      </w:r>
      <w:r w:rsidRPr="00DE119B">
        <w:rPr>
          <w:rFonts w:eastAsia="Times New Roman" w:cs="Times New Roman"/>
          <w:lang w:eastAsia="de-DE"/>
        </w:rPr>
        <w:t>als indirektem Objekt. Die Amtsübertragung ist vollzogen.</w:t>
      </w:r>
    </w:p>
    <w:p w14:paraId="1F669464"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Tod: </w:t>
      </w:r>
      <w:r w:rsidRPr="00DE119B">
        <w:rPr>
          <w:rFonts w:eastAsia="Times New Roman" w:cs="Times New Roman"/>
          <w:b/>
          <w:bCs/>
          <w:rtl/>
          <w:lang w:eastAsia="de-DE"/>
        </w:rPr>
        <w:t>וַיָּמָת אַהֲרֹן שָׁם בְּרֹאשׁ הָהָר</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וַיָּמָת</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מות</w:t>
      </w:r>
      <w:r w:rsidRPr="00DE119B">
        <w:rPr>
          <w:rFonts w:eastAsia="Times New Roman" w:cs="Times New Roman"/>
          <w:lang w:eastAsia="de-DE"/>
        </w:rPr>
        <w:t xml:space="preserve">, „und er starb"), </w:t>
      </w:r>
      <w:r w:rsidRPr="00DE119B">
        <w:rPr>
          <w:rFonts w:eastAsia="Times New Roman" w:cs="Times New Roman"/>
          <w:b/>
          <w:bCs/>
          <w:rtl/>
          <w:lang w:eastAsia="de-DE"/>
        </w:rPr>
        <w:t>אַהֲרֹן</w:t>
      </w:r>
      <w:r w:rsidRPr="00DE119B">
        <w:rPr>
          <w:rFonts w:eastAsia="Times New Roman" w:cs="Times New Roman"/>
          <w:rtl/>
          <w:lang w:eastAsia="de-DE"/>
        </w:rPr>
        <w:t xml:space="preserve"> </w:t>
      </w:r>
      <w:r w:rsidRPr="00DE119B">
        <w:rPr>
          <w:rFonts w:eastAsia="Times New Roman" w:cs="Times New Roman"/>
          <w:lang w:eastAsia="de-DE"/>
        </w:rPr>
        <w:t xml:space="preserve">Subjekt, </w:t>
      </w:r>
      <w:r w:rsidRPr="00DE119B">
        <w:rPr>
          <w:rFonts w:eastAsia="Times New Roman" w:cs="Times New Roman"/>
          <w:b/>
          <w:bCs/>
          <w:rtl/>
          <w:lang w:eastAsia="de-DE"/>
        </w:rPr>
        <w:t>שָׁם</w:t>
      </w:r>
      <w:r w:rsidRPr="00DE119B">
        <w:rPr>
          <w:rFonts w:eastAsia="Times New Roman" w:cs="Times New Roman"/>
          <w:rtl/>
          <w:lang w:eastAsia="de-DE"/>
        </w:rPr>
        <w:t xml:space="preserve"> </w:t>
      </w:r>
      <w:r w:rsidRPr="00DE119B">
        <w:rPr>
          <w:rFonts w:eastAsia="Times New Roman" w:cs="Times New Roman"/>
          <w:lang w:eastAsia="de-DE"/>
        </w:rPr>
        <w:t xml:space="preserve">(„dort, daselbst"), </w:t>
      </w:r>
      <w:r w:rsidRPr="00DE119B">
        <w:rPr>
          <w:rFonts w:eastAsia="Times New Roman" w:cs="Times New Roman"/>
          <w:b/>
          <w:bCs/>
          <w:rtl/>
          <w:lang w:eastAsia="de-DE"/>
        </w:rPr>
        <w:t>בְּרֹאשׁ הָהָר</w:t>
      </w:r>
      <w:r w:rsidRPr="00DE119B">
        <w:rPr>
          <w:rFonts w:eastAsia="Times New Roman" w:cs="Times New Roman"/>
          <w:rtl/>
          <w:lang w:eastAsia="de-DE"/>
        </w:rPr>
        <w:t xml:space="preserve"> </w:t>
      </w:r>
      <w:r w:rsidRPr="00DE119B">
        <w:rPr>
          <w:rFonts w:eastAsia="Times New Roman" w:cs="Times New Roman"/>
          <w:lang w:eastAsia="de-DE"/>
        </w:rPr>
        <w:t xml:space="preserve">(„auf dem Gipfel des Berges") – </w:t>
      </w:r>
      <w:r w:rsidRPr="00DE119B">
        <w:rPr>
          <w:rFonts w:eastAsia="Times New Roman" w:cs="Times New Roman"/>
          <w:b/>
          <w:bCs/>
          <w:rtl/>
          <w:lang w:eastAsia="de-DE"/>
        </w:rPr>
        <w:t>רֹאשׁ</w:t>
      </w:r>
      <w:r w:rsidRPr="00DE119B">
        <w:rPr>
          <w:rFonts w:eastAsia="Times New Roman" w:cs="Times New Roman"/>
          <w:rtl/>
          <w:lang w:eastAsia="de-DE"/>
        </w:rPr>
        <w:t xml:space="preserve"> </w:t>
      </w:r>
      <w:r w:rsidRPr="00DE119B">
        <w:rPr>
          <w:rFonts w:eastAsia="Times New Roman" w:cs="Times New Roman"/>
          <w:lang w:eastAsia="de-DE"/>
        </w:rPr>
        <w:t xml:space="preserve">„Haupt, Gipfel" im Constructus vor </w:t>
      </w:r>
      <w:r w:rsidRPr="00DE119B">
        <w:rPr>
          <w:rFonts w:eastAsia="Times New Roman" w:cs="Times New Roman"/>
          <w:b/>
          <w:bCs/>
          <w:rtl/>
          <w:lang w:eastAsia="de-DE"/>
        </w:rPr>
        <w:t>הָהָר</w:t>
      </w:r>
      <w:r w:rsidRPr="00DE119B">
        <w:rPr>
          <w:rFonts w:eastAsia="Times New Roman" w:cs="Times New Roman"/>
          <w:lang w:eastAsia="de-DE"/>
        </w:rPr>
        <w:t>. Aaron stirbt am höchsten Punkt, würdevoll erhoben.</w:t>
      </w:r>
    </w:p>
    <w:p w14:paraId="3D57747B"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Rückkehr: </w:t>
      </w:r>
      <w:r w:rsidRPr="00DE119B">
        <w:rPr>
          <w:rFonts w:eastAsia="Times New Roman" w:cs="Times New Roman"/>
          <w:b/>
          <w:bCs/>
          <w:rtl/>
          <w:lang w:eastAsia="de-DE"/>
        </w:rPr>
        <w:t>וַיֵּרֶד מֹשֶׁה וְאֶלְעָזָר מִן־הָהָר</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וַיֵּרֶד</w:t>
      </w:r>
      <w:r w:rsidRPr="00DE119B">
        <w:rPr>
          <w:rFonts w:eastAsia="Times New Roman" w:cs="Times New Roman"/>
          <w:rtl/>
          <w:lang w:eastAsia="de-DE"/>
        </w:rPr>
        <w:t xml:space="preserve"> </w:t>
      </w:r>
      <w:r w:rsidRPr="00DE119B">
        <w:rPr>
          <w:rFonts w:eastAsia="Times New Roman" w:cs="Times New Roman"/>
          <w:lang w:eastAsia="de-DE"/>
        </w:rPr>
        <w:t xml:space="preserve">(Wayyiqtol, 3. m. sg. von </w:t>
      </w:r>
      <w:r w:rsidRPr="00DE119B">
        <w:rPr>
          <w:rFonts w:eastAsia="Times New Roman" w:cs="Times New Roman"/>
          <w:b/>
          <w:bCs/>
          <w:rtl/>
          <w:lang w:eastAsia="de-DE"/>
        </w:rPr>
        <w:t>ירד</w:t>
      </w:r>
      <w:r w:rsidRPr="00DE119B">
        <w:rPr>
          <w:rFonts w:eastAsia="Times New Roman" w:cs="Times New Roman"/>
          <w:lang w:eastAsia="de-DE"/>
        </w:rPr>
        <w:t xml:space="preserve">, „und er stieg herab") mit kollektivem Singular, das koordinierte Subjekt </w:t>
      </w:r>
      <w:r w:rsidRPr="00DE119B">
        <w:rPr>
          <w:rFonts w:eastAsia="Times New Roman" w:cs="Times New Roman"/>
          <w:b/>
          <w:bCs/>
          <w:rtl/>
          <w:lang w:eastAsia="de-DE"/>
        </w:rPr>
        <w:t>מֹשֶׁה וְאֶלְעָזָר</w:t>
      </w:r>
      <w:r w:rsidRPr="00DE119B">
        <w:rPr>
          <w:rFonts w:eastAsia="Times New Roman" w:cs="Times New Roman"/>
          <w:lang w:eastAsia="de-DE"/>
        </w:rPr>
        <w:t xml:space="preserve">, </w:t>
      </w:r>
      <w:r w:rsidRPr="00DE119B">
        <w:rPr>
          <w:rFonts w:eastAsia="Times New Roman" w:cs="Times New Roman"/>
          <w:b/>
          <w:bCs/>
          <w:rtl/>
          <w:lang w:eastAsia="de-DE"/>
        </w:rPr>
        <w:t>מִן־הָהָר</w:t>
      </w:r>
      <w:r w:rsidRPr="00DE119B">
        <w:rPr>
          <w:rFonts w:eastAsia="Times New Roman" w:cs="Times New Roman"/>
          <w:rtl/>
          <w:lang w:eastAsia="de-DE"/>
        </w:rPr>
        <w:t xml:space="preserve"> </w:t>
      </w:r>
      <w:r w:rsidRPr="00DE119B">
        <w:rPr>
          <w:rFonts w:eastAsia="Times New Roman" w:cs="Times New Roman"/>
          <w:lang w:eastAsia="de-DE"/>
        </w:rPr>
        <w:t>(„von dem Berg"). Nur zwei kommen zurück – das stille Zeugnis von Aarons Tod.</w:t>
      </w:r>
    </w:p>
    <w:p w14:paraId="5F1C5658" w14:textId="72976EE0"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Die LXX</w:t>
      </w:r>
      <w:r w:rsidRPr="00DE119B">
        <w:rPr>
          <w:rFonts w:eastAsia="Times New Roman" w:cs="Times New Roman"/>
          <w:lang w:eastAsia="de-DE"/>
        </w:rPr>
        <w:t xml:space="preserve"> </w:t>
      </w:r>
      <w:r w:rsidR="00EA6783">
        <w:t>übersetzt „</w:t>
      </w:r>
      <w:r w:rsidR="00EA6783" w:rsidRPr="00EA6783">
        <w:rPr>
          <w:b/>
          <w:bCs/>
          <w:rtl/>
        </w:rPr>
        <w:t>בְּרֹאשׁ</w:t>
      </w:r>
      <w:r w:rsidR="00EA6783">
        <w:rPr>
          <w:rtl/>
        </w:rPr>
        <w:t xml:space="preserve"> </w:t>
      </w:r>
      <w:r w:rsidR="00EA6783" w:rsidRPr="00EA6783">
        <w:rPr>
          <w:b/>
          <w:bCs/>
          <w:rtl/>
        </w:rPr>
        <w:t>הָהָר</w:t>
      </w:r>
      <w:r w:rsidR="00EA6783">
        <w:t>" (auf dem Gipfel des Berges) mit „ἐπὶ τῆς κορυφῆς τοῦ ὄρους" (auf dem Gipfel des Berges), wobei beide dieselbe Bedeutung haben.</w:t>
      </w:r>
    </w:p>
    <w:p w14:paraId="5D2948A1"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vier koordinierte Hauptsätze: Der erste und zweite mit Verb, Subjekt und doppeltem bzw. doppeltem koordinierten Objekt; der dritte mit Verb, Subjekt, Adverb und Präpositionalphrase (Constructus-Verbindung); der vierte mit Verb, koordiniertem Subjekt und Präpositionalphrase. Es gibt keine Nebensätze.</w:t>
      </w:r>
    </w:p>
    <w:p w14:paraId="13D44074"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lastRenderedPageBreak/>
        <w:t>Der Vers vollzieht die Übergabe und berichtet den Tod – lakonisch, würdevoll, ohne Pathos. Aaron stirbt auf dem Gipfel, nachdem sein Amt weitergegeben wurde.</w:t>
      </w:r>
    </w:p>
    <w:p w14:paraId="50B94E33" w14:textId="77777777" w:rsidR="00DE119B" w:rsidRPr="00DE119B" w:rsidRDefault="00DE119B" w:rsidP="00DE119B">
      <w:pPr>
        <w:spacing w:before="100" w:beforeAutospacing="1" w:after="100" w:afterAutospacing="1" w:line="240" w:lineRule="auto"/>
        <w:outlineLvl w:val="0"/>
        <w:rPr>
          <w:rFonts w:eastAsia="Times New Roman" w:cs="Times New Roman"/>
          <w:b/>
          <w:bCs/>
          <w:kern w:val="36"/>
          <w:sz w:val="48"/>
          <w:szCs w:val="48"/>
          <w:lang w:eastAsia="de-DE"/>
        </w:rPr>
      </w:pPr>
      <w:r w:rsidRPr="00DE119B">
        <w:rPr>
          <w:rFonts w:eastAsia="Times New Roman" w:cs="Times New Roman"/>
          <w:b/>
          <w:bCs/>
          <w:kern w:val="36"/>
          <w:sz w:val="48"/>
          <w:szCs w:val="48"/>
          <w:lang w:eastAsia="de-DE"/>
        </w:rPr>
        <w:t>Numeri 20,29</w:t>
      </w:r>
    </w:p>
    <w:p w14:paraId="6FF9CCDF"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Hebräisch:</w:t>
      </w:r>
      <w:r w:rsidRPr="00DE119B">
        <w:rPr>
          <w:rFonts w:eastAsia="Times New Roman" w:cs="Times New Roman"/>
          <w:lang w:eastAsia="de-DE"/>
        </w:rPr>
        <w:t xml:space="preserve"> </w:t>
      </w:r>
      <w:r w:rsidRPr="00DE119B">
        <w:rPr>
          <w:rFonts w:eastAsia="Times New Roman" w:cs="Times New Roman"/>
          <w:rtl/>
          <w:lang w:eastAsia="de-DE"/>
        </w:rPr>
        <w:t>וַיִּרְאוּ֙ כָּל־הָ֣עֵדָ֔ה כִּ֥י גָוַ֖ע אַהֲרֹ֑ן וַיִּבְכּ֤וּ אֶֽת־אַהֲרֹן֙ שְׁלֹשִׁ֣ים י֔וֹם כֹּ֖ל בֵּ֥ית יִשְׂרָאֵֽל׃</w:t>
      </w:r>
    </w:p>
    <w:p w14:paraId="5D3578C0"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Deutsch:</w:t>
      </w:r>
      <w:r w:rsidRPr="00DE119B">
        <w:rPr>
          <w:rFonts w:eastAsia="Times New Roman" w:cs="Times New Roman"/>
          <w:lang w:eastAsia="de-DE"/>
        </w:rPr>
        <w:t xml:space="preserve"> Und als die ganze Gemeinde sah, dass Aharon verschieden war, da beweinten sie Aharon dreißig Tage, das ganze Haus Jisra'els.</w:t>
      </w:r>
    </w:p>
    <w:p w14:paraId="676653C3" w14:textId="77777777" w:rsidR="00DE119B" w:rsidRPr="00DE119B" w:rsidRDefault="00F329DD" w:rsidP="00DE119B">
      <w:pPr>
        <w:spacing w:after="0" w:line="240" w:lineRule="auto"/>
        <w:rPr>
          <w:rFonts w:eastAsia="Times New Roman" w:cs="Times New Roman"/>
          <w:lang w:eastAsia="de-DE"/>
        </w:rPr>
      </w:pPr>
      <w:r>
        <w:rPr>
          <w:rFonts w:eastAsia="Times New Roman" w:cs="Times New Roman"/>
          <w:noProof/>
          <w:lang w:eastAsia="de-DE"/>
        </w:rPr>
        <w:pict w14:anchorId="366F85E2">
          <v:rect id="_x0000_i1729" style="width:0;height:1.5pt" o:hralign="center" o:hrstd="t" o:hr="t" fillcolor="#a0a0a0" stroked="f"/>
        </w:pict>
      </w:r>
    </w:p>
    <w:p w14:paraId="5BA83CE6"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b/>
          <w:bCs/>
          <w:lang w:eastAsia="de-DE"/>
        </w:rPr>
        <w:t>Kommentar:</w:t>
      </w:r>
      <w:r w:rsidRPr="00DE119B">
        <w:rPr>
          <w:rFonts w:eastAsia="Times New Roman" w:cs="Times New Roman"/>
          <w:lang w:eastAsia="de-DE"/>
        </w:rPr>
        <w:t xml:space="preserve"> Das Verb </w:t>
      </w:r>
      <w:r w:rsidRPr="00DE119B">
        <w:rPr>
          <w:rFonts w:eastAsia="Times New Roman" w:cs="Times New Roman"/>
          <w:b/>
          <w:bCs/>
          <w:rtl/>
          <w:lang w:eastAsia="de-DE"/>
        </w:rPr>
        <w:t>וַיִּרְאוּ</w:t>
      </w:r>
      <w:r w:rsidRPr="00DE119B">
        <w:rPr>
          <w:rFonts w:eastAsia="Times New Roman" w:cs="Times New Roman"/>
          <w:rtl/>
          <w:lang w:eastAsia="de-DE"/>
        </w:rPr>
        <w:t xml:space="preserve"> </w:t>
      </w:r>
      <w:r w:rsidRPr="00DE119B">
        <w:rPr>
          <w:rFonts w:eastAsia="Times New Roman" w:cs="Times New Roman"/>
          <w:lang w:eastAsia="de-DE"/>
        </w:rPr>
        <w:t xml:space="preserve">(Wayyiqtol, 3. m. pl. von </w:t>
      </w:r>
      <w:r w:rsidRPr="00DE119B">
        <w:rPr>
          <w:rFonts w:eastAsia="Times New Roman" w:cs="Times New Roman"/>
          <w:b/>
          <w:bCs/>
          <w:rtl/>
          <w:lang w:eastAsia="de-DE"/>
        </w:rPr>
        <w:t>ראה</w:t>
      </w:r>
      <w:r w:rsidRPr="00DE119B">
        <w:rPr>
          <w:rFonts w:eastAsia="Times New Roman" w:cs="Times New Roman"/>
          <w:lang w:eastAsia="de-DE"/>
        </w:rPr>
        <w:t xml:space="preserve">, „und sie sahen"). Das Subjekt </w:t>
      </w:r>
      <w:r w:rsidRPr="00DE119B">
        <w:rPr>
          <w:rFonts w:eastAsia="Times New Roman" w:cs="Times New Roman"/>
          <w:b/>
          <w:bCs/>
          <w:rtl/>
          <w:lang w:eastAsia="de-DE"/>
        </w:rPr>
        <w:t>כָּל־הָעֵדָה</w:t>
      </w:r>
      <w:r w:rsidRPr="00DE119B">
        <w:rPr>
          <w:rFonts w:eastAsia="Times New Roman" w:cs="Times New Roman"/>
          <w:rtl/>
          <w:lang w:eastAsia="de-DE"/>
        </w:rPr>
        <w:t xml:space="preserve"> </w:t>
      </w:r>
      <w:r w:rsidRPr="00DE119B">
        <w:rPr>
          <w:rFonts w:eastAsia="Times New Roman" w:cs="Times New Roman"/>
          <w:lang w:eastAsia="de-DE"/>
        </w:rPr>
        <w:t xml:space="preserve">(„die ganze Gemeinde", Constructus-Verbindung). Der Objektsatz </w:t>
      </w:r>
      <w:r w:rsidRPr="00DE119B">
        <w:rPr>
          <w:rFonts w:eastAsia="Times New Roman" w:cs="Times New Roman"/>
          <w:b/>
          <w:bCs/>
          <w:rtl/>
          <w:lang w:eastAsia="de-DE"/>
        </w:rPr>
        <w:t>כִּי גָוַע אַהֲרֹן</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כִּי</w:t>
      </w:r>
      <w:r w:rsidRPr="00DE119B">
        <w:rPr>
          <w:rFonts w:eastAsia="Times New Roman" w:cs="Times New Roman"/>
          <w:rtl/>
          <w:lang w:eastAsia="de-DE"/>
        </w:rPr>
        <w:t xml:space="preserve"> </w:t>
      </w:r>
      <w:r w:rsidRPr="00DE119B">
        <w:rPr>
          <w:rFonts w:eastAsia="Times New Roman" w:cs="Times New Roman"/>
          <w:lang w:eastAsia="de-DE"/>
        </w:rPr>
        <w:t xml:space="preserve">(hier nicht kausal, sondern als Konjunktion für einen Objektsatz „dass"), </w:t>
      </w:r>
      <w:r w:rsidRPr="00DE119B">
        <w:rPr>
          <w:rFonts w:eastAsia="Times New Roman" w:cs="Times New Roman"/>
          <w:b/>
          <w:bCs/>
          <w:rtl/>
          <w:lang w:eastAsia="de-DE"/>
        </w:rPr>
        <w:t>גָוַע</w:t>
      </w:r>
      <w:r w:rsidRPr="00DE119B">
        <w:rPr>
          <w:rFonts w:eastAsia="Times New Roman" w:cs="Times New Roman"/>
          <w:rtl/>
          <w:lang w:eastAsia="de-DE"/>
        </w:rPr>
        <w:t xml:space="preserve"> </w:t>
      </w:r>
      <w:r w:rsidRPr="00DE119B">
        <w:rPr>
          <w:rFonts w:eastAsia="Times New Roman" w:cs="Times New Roman"/>
          <w:lang w:eastAsia="de-DE"/>
        </w:rPr>
        <w:t xml:space="preserve">(Qal Perfekt, 3. m. sg. von </w:t>
      </w:r>
      <w:r w:rsidRPr="00DE119B">
        <w:rPr>
          <w:rFonts w:eastAsia="Times New Roman" w:cs="Times New Roman"/>
          <w:b/>
          <w:bCs/>
          <w:rtl/>
          <w:lang w:eastAsia="de-DE"/>
        </w:rPr>
        <w:t>גוע</w:t>
      </w:r>
      <w:r w:rsidRPr="00DE119B">
        <w:rPr>
          <w:rFonts w:eastAsia="Times New Roman" w:cs="Times New Roman"/>
          <w:lang w:eastAsia="de-DE"/>
        </w:rPr>
        <w:t xml:space="preserve">, „er ist verschieden") und </w:t>
      </w:r>
      <w:r w:rsidRPr="00DE119B">
        <w:rPr>
          <w:rFonts w:eastAsia="Times New Roman" w:cs="Times New Roman"/>
          <w:b/>
          <w:bCs/>
          <w:rtl/>
          <w:lang w:eastAsia="de-DE"/>
        </w:rPr>
        <w:t>אַהֲרֹן</w:t>
      </w:r>
      <w:r w:rsidRPr="00DE119B">
        <w:rPr>
          <w:rFonts w:eastAsia="Times New Roman" w:cs="Times New Roman"/>
          <w:rtl/>
          <w:lang w:eastAsia="de-DE"/>
        </w:rPr>
        <w:t xml:space="preserve"> </w:t>
      </w:r>
      <w:r w:rsidRPr="00DE119B">
        <w:rPr>
          <w:rFonts w:eastAsia="Times New Roman" w:cs="Times New Roman"/>
          <w:lang w:eastAsia="de-DE"/>
        </w:rPr>
        <w:t xml:space="preserve">Subjekt. Das Verb </w:t>
      </w:r>
      <w:r w:rsidRPr="00DE119B">
        <w:rPr>
          <w:rFonts w:eastAsia="Times New Roman" w:cs="Times New Roman"/>
          <w:b/>
          <w:bCs/>
          <w:rtl/>
          <w:lang w:eastAsia="de-DE"/>
        </w:rPr>
        <w:t>גוע</w:t>
      </w:r>
      <w:r w:rsidRPr="00DE119B">
        <w:rPr>
          <w:rFonts w:eastAsia="Times New Roman" w:cs="Times New Roman"/>
          <w:rtl/>
          <w:lang w:eastAsia="de-DE"/>
        </w:rPr>
        <w:t xml:space="preserve"> </w:t>
      </w:r>
      <w:r w:rsidRPr="00DE119B">
        <w:rPr>
          <w:rFonts w:eastAsia="Times New Roman" w:cs="Times New Roman"/>
          <w:lang w:eastAsia="de-DE"/>
        </w:rPr>
        <w:t xml:space="preserve">ist ein Euphemismus, sanfter als </w:t>
      </w:r>
      <w:r w:rsidRPr="00DE119B">
        <w:rPr>
          <w:rFonts w:eastAsia="Times New Roman" w:cs="Times New Roman"/>
          <w:b/>
          <w:bCs/>
          <w:rtl/>
          <w:lang w:eastAsia="de-DE"/>
        </w:rPr>
        <w:t>מות</w:t>
      </w:r>
      <w:r w:rsidRPr="00DE119B">
        <w:rPr>
          <w:rFonts w:eastAsia="Times New Roman" w:cs="Times New Roman"/>
          <w:rtl/>
          <w:lang w:eastAsia="de-DE"/>
        </w:rPr>
        <w:t xml:space="preserve"> </w:t>
      </w:r>
      <w:r w:rsidRPr="00DE119B">
        <w:rPr>
          <w:rFonts w:eastAsia="Times New Roman" w:cs="Times New Roman"/>
          <w:lang w:eastAsia="de-DE"/>
        </w:rPr>
        <w:t>– „verscheiden, den Geist aufgeben".</w:t>
      </w:r>
    </w:p>
    <w:p w14:paraId="60353452"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Die Trauerreaktion </w:t>
      </w:r>
      <w:r w:rsidRPr="00DE119B">
        <w:rPr>
          <w:rFonts w:eastAsia="Times New Roman" w:cs="Times New Roman"/>
          <w:b/>
          <w:bCs/>
          <w:rtl/>
          <w:lang w:eastAsia="de-DE"/>
        </w:rPr>
        <w:t>וַיִּבְכּוּ אֶת־אַהֲרֹן שְׁלֹשִׁים יוֹם</w:t>
      </w:r>
      <w:r w:rsidRPr="00DE119B">
        <w:rPr>
          <w:rFonts w:eastAsia="Times New Roman" w:cs="Times New Roman"/>
          <w:rtl/>
          <w:lang w:eastAsia="de-DE"/>
        </w:rPr>
        <w:t xml:space="preserve"> </w:t>
      </w:r>
      <w:r w:rsidRPr="00DE119B">
        <w:rPr>
          <w:rFonts w:eastAsia="Times New Roman" w:cs="Times New Roman"/>
          <w:lang w:eastAsia="de-DE"/>
        </w:rPr>
        <w:t xml:space="preserve">besteht aus </w:t>
      </w:r>
      <w:r w:rsidRPr="00DE119B">
        <w:rPr>
          <w:rFonts w:eastAsia="Times New Roman" w:cs="Times New Roman"/>
          <w:b/>
          <w:bCs/>
          <w:rtl/>
          <w:lang w:eastAsia="de-DE"/>
        </w:rPr>
        <w:t>וַיִּבְכּוּ</w:t>
      </w:r>
      <w:r w:rsidRPr="00DE119B">
        <w:rPr>
          <w:rFonts w:eastAsia="Times New Roman" w:cs="Times New Roman"/>
          <w:rtl/>
          <w:lang w:eastAsia="de-DE"/>
        </w:rPr>
        <w:t xml:space="preserve"> </w:t>
      </w:r>
      <w:r w:rsidRPr="00DE119B">
        <w:rPr>
          <w:rFonts w:eastAsia="Times New Roman" w:cs="Times New Roman"/>
          <w:lang w:eastAsia="de-DE"/>
        </w:rPr>
        <w:t xml:space="preserve">(Wayyiqtol, 3. m. pl. von </w:t>
      </w:r>
      <w:r w:rsidRPr="00DE119B">
        <w:rPr>
          <w:rFonts w:eastAsia="Times New Roman" w:cs="Times New Roman"/>
          <w:b/>
          <w:bCs/>
          <w:rtl/>
          <w:lang w:eastAsia="de-DE"/>
        </w:rPr>
        <w:t>בכה</w:t>
      </w:r>
      <w:r w:rsidRPr="00DE119B">
        <w:rPr>
          <w:rFonts w:eastAsia="Times New Roman" w:cs="Times New Roman"/>
          <w:lang w:eastAsia="de-DE"/>
        </w:rPr>
        <w:t xml:space="preserve">, „und sie beweinten"), </w:t>
      </w:r>
      <w:r w:rsidRPr="00DE119B">
        <w:rPr>
          <w:rFonts w:eastAsia="Times New Roman" w:cs="Times New Roman"/>
          <w:b/>
          <w:bCs/>
          <w:rtl/>
          <w:lang w:eastAsia="de-DE"/>
        </w:rPr>
        <w:t>אֶת־אַהֲרֹן</w:t>
      </w:r>
      <w:r w:rsidRPr="00DE119B">
        <w:rPr>
          <w:rFonts w:eastAsia="Times New Roman" w:cs="Times New Roman"/>
          <w:rtl/>
          <w:lang w:eastAsia="de-DE"/>
        </w:rPr>
        <w:t xml:space="preserve"> </w:t>
      </w:r>
      <w:r w:rsidRPr="00DE119B">
        <w:rPr>
          <w:rFonts w:eastAsia="Times New Roman" w:cs="Times New Roman"/>
          <w:lang w:eastAsia="de-DE"/>
        </w:rPr>
        <w:t xml:space="preserve">Objekt, </w:t>
      </w:r>
      <w:r w:rsidRPr="00DE119B">
        <w:rPr>
          <w:rFonts w:eastAsia="Times New Roman" w:cs="Times New Roman"/>
          <w:b/>
          <w:bCs/>
          <w:rtl/>
          <w:lang w:eastAsia="de-DE"/>
        </w:rPr>
        <w:t>שְׁלֹשִׁים יוֹם</w:t>
      </w:r>
      <w:r w:rsidRPr="00DE119B">
        <w:rPr>
          <w:rFonts w:eastAsia="Times New Roman" w:cs="Times New Roman"/>
          <w:rtl/>
          <w:lang w:eastAsia="de-DE"/>
        </w:rPr>
        <w:t xml:space="preserve"> </w:t>
      </w:r>
      <w:r w:rsidRPr="00DE119B">
        <w:rPr>
          <w:rFonts w:eastAsia="Times New Roman" w:cs="Times New Roman"/>
          <w:lang w:eastAsia="de-DE"/>
        </w:rPr>
        <w:t xml:space="preserve">(„dreißig Tage") – die volle Trauerzeit, dieselbe wie für Mose (Dtn 34,8). Das erweiterte Subjekt </w:t>
      </w:r>
      <w:r w:rsidRPr="00DE119B">
        <w:rPr>
          <w:rFonts w:eastAsia="Times New Roman" w:cs="Times New Roman"/>
          <w:b/>
          <w:bCs/>
          <w:rtl/>
          <w:lang w:eastAsia="de-DE"/>
        </w:rPr>
        <w:t>כֹּל בֵּית יִשְׂרָאֵל</w:t>
      </w:r>
      <w:r w:rsidRPr="00DE119B">
        <w:rPr>
          <w:rFonts w:eastAsia="Times New Roman" w:cs="Times New Roman"/>
          <w:rtl/>
          <w:lang w:eastAsia="de-DE"/>
        </w:rPr>
        <w:t xml:space="preserve"> </w:t>
      </w:r>
      <w:r w:rsidRPr="00DE119B">
        <w:rPr>
          <w:rFonts w:eastAsia="Times New Roman" w:cs="Times New Roman"/>
          <w:lang w:eastAsia="de-DE"/>
        </w:rPr>
        <w:t>(„das ganze Haus Israel", Constructus-Verbindung) universalisiert: Ganz Israel trauert.</w:t>
      </w:r>
    </w:p>
    <w:p w14:paraId="5F2C6A15" w14:textId="77777777" w:rsidR="00EA6783" w:rsidRPr="00EA6783" w:rsidRDefault="00DE119B" w:rsidP="00EA6783">
      <w:pPr>
        <w:pStyle w:val="whitespace-normal"/>
      </w:pPr>
      <w:r w:rsidRPr="00DE119B">
        <w:rPr>
          <w:b/>
          <w:bCs/>
        </w:rPr>
        <w:t>Die LXX</w:t>
      </w:r>
      <w:r w:rsidRPr="00DE119B">
        <w:t xml:space="preserve"> </w:t>
      </w:r>
      <w:r w:rsidR="00EA6783" w:rsidRPr="00EA6783">
        <w:t>übersetzt „</w:t>
      </w:r>
      <w:r w:rsidR="00EA6783" w:rsidRPr="00EA6783">
        <w:rPr>
          <w:b/>
          <w:bCs/>
          <w:rtl/>
        </w:rPr>
        <w:t>גָוַע</w:t>
      </w:r>
      <w:r w:rsidR="00EA6783" w:rsidRPr="00EA6783">
        <w:rPr>
          <w:rtl/>
        </w:rPr>
        <w:t xml:space="preserve"> </w:t>
      </w:r>
      <w:r w:rsidR="00EA6783" w:rsidRPr="00EA6783">
        <w:rPr>
          <w:b/>
          <w:bCs/>
          <w:rtl/>
        </w:rPr>
        <w:t>אַהֲרֹן</w:t>
      </w:r>
      <w:r w:rsidR="00EA6783" w:rsidRPr="00EA6783">
        <w:t>" (Aaron war gestorben) mit „ἀπελύθη Ἀαρών" (Aaron war entlassen/freigelassen worden), ein Euphemismus, der den Tod als "Entlassung" beschreibt.</w:t>
      </w:r>
    </w:p>
    <w:p w14:paraId="4DC1C4B8" w14:textId="77777777"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Die Satzstruktur zeigt zwei koordinierte Hauptsätze: Der erste mit Verb, Subjekt und Objektsatz (Nebensatz mit Konjunktion, Verb und Subjekt); der zweite mit Verb, Objekt, Zeitangabe und erweitertem Subjekt. Insgesamt gibt es einen Nebensatz (Objektsatz).</w:t>
      </w:r>
    </w:p>
    <w:p w14:paraId="1DA494B2" w14:textId="79822649" w:rsidR="00DE119B" w:rsidRPr="00DE119B" w:rsidRDefault="00DE119B" w:rsidP="00DE119B">
      <w:pPr>
        <w:spacing w:before="100" w:beforeAutospacing="1" w:after="100" w:afterAutospacing="1" w:line="240" w:lineRule="auto"/>
        <w:rPr>
          <w:rFonts w:eastAsia="Times New Roman" w:cs="Times New Roman"/>
          <w:lang w:eastAsia="de-DE"/>
        </w:rPr>
      </w:pPr>
      <w:r w:rsidRPr="00DE119B">
        <w:rPr>
          <w:rFonts w:eastAsia="Times New Roman" w:cs="Times New Roman"/>
          <w:lang w:eastAsia="de-DE"/>
        </w:rPr>
        <w:t xml:space="preserve">Der Vers schließt feierlich: Israel erkennt Aarons Tod und trauert dreißig Tage – eine Würdigung des ersten Hohenpriesters, trotz seines Fehlers bei </w:t>
      </w:r>
      <w:r w:rsidR="00D52999">
        <w:rPr>
          <w:rFonts w:eastAsia="Times New Roman" w:cs="Times New Roman"/>
          <w:lang w:eastAsia="de-DE"/>
        </w:rPr>
        <w:t>Meriva</w:t>
      </w:r>
      <w:r w:rsidRPr="00DE119B">
        <w:rPr>
          <w:rFonts w:eastAsia="Times New Roman" w:cs="Times New Roman"/>
          <w:lang w:eastAsia="de-DE"/>
        </w:rPr>
        <w:t>.</w:t>
      </w:r>
    </w:p>
    <w:p w14:paraId="1608EEF1" w14:textId="77777777" w:rsidR="00D52999" w:rsidRDefault="00D52999" w:rsidP="00D52999">
      <w:pPr>
        <w:pStyle w:val="whitespace-normal"/>
      </w:pPr>
      <w:r>
        <w:t>Numeri 20 markiert das Ende der alten Führungsgeneration durch drei Todesfälle und einen gescheiterten Durchzug.</w:t>
      </w:r>
    </w:p>
    <w:p w14:paraId="6FC36226" w14:textId="77777777" w:rsidR="00D52999" w:rsidRDefault="00D52999" w:rsidP="00D52999">
      <w:pPr>
        <w:pStyle w:val="whitespace-normal"/>
      </w:pPr>
      <w:r>
        <w:rPr>
          <w:rStyle w:val="Fett"/>
        </w:rPr>
        <w:t>Mirjams Tod und Wasserkrise (V. 1-2):</w:t>
      </w:r>
      <w:r>
        <w:t xml:space="preserve"> Nach 38 Jahren kehrt Israel nach Kadesch zurück. Mirjam stirbt – lakonisch berichtet. Sofort danach fehlt Wasser, das Volk rebelliert ein letztes Mal.</w:t>
      </w:r>
    </w:p>
    <w:p w14:paraId="35993A66" w14:textId="585F4974" w:rsidR="00D52999" w:rsidRDefault="00D52999" w:rsidP="00D52999">
      <w:pPr>
        <w:pStyle w:val="whitespace-normal"/>
      </w:pPr>
      <w:r>
        <w:rPr>
          <w:rStyle w:val="Fett"/>
        </w:rPr>
        <w:t>Moses Fehler bei Meriva (V. 3-13):</w:t>
      </w:r>
      <w:r>
        <w:t xml:space="preserve"> Das Volk murrt bitter gegen Mose und Aaron. JHWH befiehlt, zum Felsen zu reden, damit er Wasser gebe. Mose schlägt stattdessen zornig den Felsen zweimal und beansprucht die Ehre für sich („</w:t>
      </w:r>
      <w:r>
        <w:rPr>
          <w:rStyle w:val="Fett"/>
        </w:rPr>
        <w:t>Wir</w:t>
      </w:r>
      <w:r>
        <w:t xml:space="preserve"> werden euch Wasser hervorbringen"). Trotz Ungehorsam geschieht das Wunder. JHWHs Urteil: Weil Mose und Aaron Gott nicht vertrauten und seine Heiligkeit nicht demonstrierten, dürfen sie nicht ins verheißene Land.</w:t>
      </w:r>
    </w:p>
    <w:p w14:paraId="526238CA" w14:textId="77777777" w:rsidR="00D52999" w:rsidRDefault="00D52999" w:rsidP="00D52999">
      <w:pPr>
        <w:pStyle w:val="whitespace-normal"/>
      </w:pPr>
      <w:r>
        <w:rPr>
          <w:rStyle w:val="Fett"/>
        </w:rPr>
        <w:t>Edoms Ablehnung (V. 14-21):</w:t>
      </w:r>
      <w:r>
        <w:t xml:space="preserve"> Mose bittet diplomatisch um Durchzugsrecht durch Edom, das „Brudervolk" (Nachkommen Esaus). Trotz maximaler Höflichkeit und Zahlungsangebot </w:t>
      </w:r>
      <w:r>
        <w:lastRenderedPageBreak/>
        <w:t>verweigert Edom kategorisch und mobilisiert militärisch. Israel weicht aus – respektiert die Verwandtschaft und vermeidet Krieg.</w:t>
      </w:r>
    </w:p>
    <w:p w14:paraId="1D298024" w14:textId="77777777" w:rsidR="00D52999" w:rsidRDefault="00D52999" w:rsidP="00D52999">
      <w:pPr>
        <w:pStyle w:val="whitespace-normal"/>
      </w:pPr>
      <w:r>
        <w:rPr>
          <w:rStyle w:val="Fett"/>
        </w:rPr>
        <w:t>Aarons Tod (V. 22-29):</w:t>
      </w:r>
      <w:r>
        <w:t xml:space="preserve"> Am Berg Hor, an Edoms Grenze, befiehlt JHWH Aarons Tod. Mose zieht Aaron die Priestergewänder aus und legt sie Eleasar an – symbolische Amtsübertragung. Aaron stirbt würdevoll auf dem Berggipfel. Ganz Israel beweint ihn dreißig Tage.</w:t>
      </w:r>
    </w:p>
    <w:p w14:paraId="5C25A7FD" w14:textId="77777777" w:rsidR="00D52999" w:rsidRDefault="00D52999" w:rsidP="00D52999">
      <w:pPr>
        <w:pStyle w:val="whitespace-normal"/>
      </w:pPr>
      <w:r>
        <w:t>Das Kapitel zeigt den tragischen Übergang: Die Exodus-Generation stirbt, ihre Fehler (Moses Zorn, mangelndes Vertrauen) kosten sie das verheißene Land. Trotzdem sorgt Gott weiter für sein Volk.</w:t>
      </w:r>
    </w:p>
    <w:p w14:paraId="314BC4B3" w14:textId="7D584641" w:rsidR="003D3D82" w:rsidRPr="003D3D82" w:rsidRDefault="003D3D82" w:rsidP="003D3D82">
      <w:pPr>
        <w:spacing w:before="100" w:beforeAutospacing="1" w:after="100" w:afterAutospacing="1" w:line="240" w:lineRule="auto"/>
        <w:outlineLvl w:val="0"/>
        <w:rPr>
          <w:rFonts w:eastAsia="Times New Roman" w:cs="Times New Roman"/>
          <w:b/>
          <w:bCs/>
          <w:kern w:val="36"/>
          <w:sz w:val="48"/>
          <w:szCs w:val="48"/>
          <w:lang w:eastAsia="de-DE"/>
        </w:rPr>
      </w:pPr>
      <w:r w:rsidRPr="003D3D82">
        <w:rPr>
          <w:rFonts w:eastAsia="Times New Roman" w:cs="Times New Roman"/>
          <w:b/>
          <w:bCs/>
          <w:kern w:val="36"/>
          <w:sz w:val="48"/>
          <w:szCs w:val="48"/>
          <w:lang w:eastAsia="de-DE"/>
        </w:rPr>
        <w:t>Numeri 21,1</w:t>
      </w:r>
      <w:r w:rsidR="008C15A5">
        <w:rPr>
          <w:rFonts w:eastAsia="Times New Roman" w:cs="Times New Roman"/>
          <w:b/>
          <w:bCs/>
          <w:kern w:val="36"/>
          <w:sz w:val="48"/>
          <w:szCs w:val="48"/>
          <w:lang w:eastAsia="de-DE"/>
        </w:rPr>
        <w:t xml:space="preserve"> </w:t>
      </w:r>
    </w:p>
    <w:p w14:paraId="42C5C5BE"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Hebräisch:</w:t>
      </w:r>
      <w:r w:rsidRPr="003D3D82">
        <w:rPr>
          <w:rFonts w:eastAsia="Times New Roman" w:cs="Times New Roman"/>
          <w:lang w:eastAsia="de-DE"/>
        </w:rPr>
        <w:t xml:space="preserve"> </w:t>
      </w:r>
      <w:r w:rsidRPr="003D3D82">
        <w:rPr>
          <w:rFonts w:eastAsia="Times New Roman" w:cs="Times New Roman"/>
          <w:rtl/>
          <w:lang w:eastAsia="de-DE"/>
        </w:rPr>
        <w:t>וַיִּשְׁמַ֞ע הַכְּנַעֲנִ֤י מֶֽלֶךְ־עֲרָד֙ יֹשֵׁ֣ב הַנֶּ֔גֶב כִּ֚י בָּ֣א יִשְׂרָאֵ֔ל דֶּ֖רֶךְ הָאֲתָרִ֑ים וַיִּלָּ֨חֶם֙ בְּיִשְׂרָאֵ֔ל וַיִּ֥שְׁבְּ׀ מִמֶּ֖נּוּ שֶֽׁבִי׃</w:t>
      </w:r>
    </w:p>
    <w:p w14:paraId="383FE523"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Deutsch:</w:t>
      </w:r>
      <w:r w:rsidRPr="003D3D82">
        <w:rPr>
          <w:rFonts w:eastAsia="Times New Roman" w:cs="Times New Roman"/>
          <w:lang w:eastAsia="de-DE"/>
        </w:rPr>
        <w:t xml:space="preserve"> Und der Kanaaniter, der König von Arad, der im Negev wohnte, hörte, dass Israel auf dem Weg nach Atarim kam. Und er kämpfte gegen Israel und nahm von ihm Gefangene.</w:t>
      </w:r>
    </w:p>
    <w:p w14:paraId="064644C3" w14:textId="77777777" w:rsidR="003D3D82" w:rsidRPr="003D3D82" w:rsidRDefault="00F329DD" w:rsidP="003D3D82">
      <w:pPr>
        <w:spacing w:after="0" w:line="240" w:lineRule="auto"/>
        <w:rPr>
          <w:rFonts w:eastAsia="Times New Roman" w:cs="Times New Roman"/>
          <w:lang w:eastAsia="de-DE"/>
        </w:rPr>
      </w:pPr>
      <w:r>
        <w:rPr>
          <w:rFonts w:eastAsia="Times New Roman" w:cs="Times New Roman"/>
          <w:noProof/>
          <w:lang w:eastAsia="de-DE"/>
        </w:rPr>
        <w:pict w14:anchorId="68D9F06E">
          <v:rect id="_x0000_i1730" style="width:0;height:1.5pt" o:hralign="center" o:hrstd="t" o:hr="t" fillcolor="#a0a0a0" stroked="f"/>
        </w:pict>
      </w:r>
    </w:p>
    <w:p w14:paraId="50C8A689"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Kommentar:</w:t>
      </w:r>
      <w:r w:rsidRPr="003D3D82">
        <w:rPr>
          <w:rFonts w:eastAsia="Times New Roman" w:cs="Times New Roman"/>
          <w:lang w:eastAsia="de-DE"/>
        </w:rPr>
        <w:t xml:space="preserve"> Das Verb </w:t>
      </w:r>
      <w:r w:rsidRPr="003D3D82">
        <w:rPr>
          <w:rFonts w:eastAsia="Times New Roman" w:cs="Times New Roman"/>
          <w:b/>
          <w:bCs/>
          <w:rtl/>
          <w:lang w:eastAsia="de-DE"/>
        </w:rPr>
        <w:t>וַיִּשְׁמַע</w:t>
      </w:r>
      <w:r w:rsidRPr="003D3D82">
        <w:rPr>
          <w:rFonts w:eastAsia="Times New Roman" w:cs="Times New Roman"/>
          <w:rtl/>
          <w:lang w:eastAsia="de-DE"/>
        </w:rPr>
        <w:t xml:space="preserve"> </w:t>
      </w:r>
      <w:r w:rsidRPr="003D3D82">
        <w:rPr>
          <w:rFonts w:eastAsia="Times New Roman" w:cs="Times New Roman"/>
          <w:lang w:eastAsia="de-DE"/>
        </w:rPr>
        <w:t xml:space="preserve">(Wayyiqtol, 3. m. sg. von </w:t>
      </w:r>
      <w:r w:rsidRPr="003D3D82">
        <w:rPr>
          <w:rFonts w:eastAsia="Times New Roman" w:cs="Times New Roman"/>
          <w:b/>
          <w:bCs/>
          <w:rtl/>
          <w:lang w:eastAsia="de-DE"/>
        </w:rPr>
        <w:t>שׁמע</w:t>
      </w:r>
      <w:r w:rsidRPr="003D3D82">
        <w:rPr>
          <w:rFonts w:eastAsia="Times New Roman" w:cs="Times New Roman"/>
          <w:lang w:eastAsia="de-DE"/>
        </w:rPr>
        <w:t xml:space="preserve">, „und er hörte"). Das dreifache Subjekt </w:t>
      </w:r>
      <w:r w:rsidRPr="003D3D82">
        <w:rPr>
          <w:rFonts w:eastAsia="Times New Roman" w:cs="Times New Roman"/>
          <w:b/>
          <w:bCs/>
          <w:rtl/>
          <w:lang w:eastAsia="de-DE"/>
        </w:rPr>
        <w:t>הַכְּנַעֲנִי מֶלֶךְ־עֲרָד יֹשֵׁב הַנֶּגֶב</w:t>
      </w:r>
      <w:r w:rsidRPr="003D3D82">
        <w:rPr>
          <w:rFonts w:eastAsia="Times New Roman" w:cs="Times New Roman"/>
          <w:rtl/>
          <w:lang w:eastAsia="de-DE"/>
        </w:rPr>
        <w:t xml:space="preserve"> </w:t>
      </w:r>
      <w:r w:rsidRPr="003D3D82">
        <w:rPr>
          <w:rFonts w:eastAsia="Times New Roman" w:cs="Times New Roman"/>
          <w:lang w:eastAsia="de-DE"/>
        </w:rPr>
        <w:t xml:space="preserve">ist komplex: </w:t>
      </w:r>
      <w:r w:rsidRPr="003D3D82">
        <w:rPr>
          <w:rFonts w:eastAsia="Times New Roman" w:cs="Times New Roman"/>
          <w:b/>
          <w:bCs/>
          <w:rtl/>
          <w:lang w:eastAsia="de-DE"/>
        </w:rPr>
        <w:t>הַכְּנַעֲנִי</w:t>
      </w:r>
      <w:r w:rsidRPr="003D3D82">
        <w:rPr>
          <w:rFonts w:eastAsia="Times New Roman" w:cs="Times New Roman"/>
          <w:rtl/>
          <w:lang w:eastAsia="de-DE"/>
        </w:rPr>
        <w:t xml:space="preserve"> </w:t>
      </w:r>
      <w:r w:rsidRPr="003D3D82">
        <w:rPr>
          <w:rFonts w:eastAsia="Times New Roman" w:cs="Times New Roman"/>
          <w:lang w:eastAsia="de-DE"/>
        </w:rPr>
        <w:t xml:space="preserve">(„der Kanaaniter") mit Artikel als Gentilic, </w:t>
      </w:r>
      <w:r w:rsidRPr="003D3D82">
        <w:rPr>
          <w:rFonts w:eastAsia="Times New Roman" w:cs="Times New Roman"/>
          <w:b/>
          <w:bCs/>
          <w:rtl/>
          <w:lang w:eastAsia="de-DE"/>
        </w:rPr>
        <w:t>מֶלֶךְ־עֲרָד</w:t>
      </w:r>
      <w:r w:rsidRPr="003D3D82">
        <w:rPr>
          <w:rFonts w:eastAsia="Times New Roman" w:cs="Times New Roman"/>
          <w:rtl/>
          <w:lang w:eastAsia="de-DE"/>
        </w:rPr>
        <w:t xml:space="preserve"> </w:t>
      </w:r>
      <w:r w:rsidRPr="003D3D82">
        <w:rPr>
          <w:rFonts w:eastAsia="Times New Roman" w:cs="Times New Roman"/>
          <w:lang w:eastAsia="de-DE"/>
        </w:rPr>
        <w:t xml:space="preserve">(„König von Arad", Constructus-Verbindung) als Apposition, </w:t>
      </w:r>
      <w:r w:rsidRPr="003D3D82">
        <w:rPr>
          <w:rFonts w:eastAsia="Times New Roman" w:cs="Times New Roman"/>
          <w:b/>
          <w:bCs/>
          <w:rtl/>
          <w:lang w:eastAsia="de-DE"/>
        </w:rPr>
        <w:t>יֹשֵׁב הַנֶּגֶב</w:t>
      </w:r>
      <w:r w:rsidRPr="003D3D82">
        <w:rPr>
          <w:rFonts w:eastAsia="Times New Roman" w:cs="Times New Roman"/>
          <w:rtl/>
          <w:lang w:eastAsia="de-DE"/>
        </w:rPr>
        <w:t xml:space="preserve"> </w:t>
      </w:r>
      <w:r w:rsidRPr="003D3D82">
        <w:rPr>
          <w:rFonts w:eastAsia="Times New Roman" w:cs="Times New Roman"/>
          <w:lang w:eastAsia="de-DE"/>
        </w:rPr>
        <w:t xml:space="preserve">(„der Bewohner des Negev") – Qal Partizip von </w:t>
      </w:r>
      <w:r w:rsidRPr="003D3D82">
        <w:rPr>
          <w:rFonts w:eastAsia="Times New Roman" w:cs="Times New Roman"/>
          <w:b/>
          <w:bCs/>
          <w:rtl/>
          <w:lang w:eastAsia="de-DE"/>
        </w:rPr>
        <w:t>ישׁב</w:t>
      </w:r>
      <w:r w:rsidRPr="003D3D82">
        <w:rPr>
          <w:rFonts w:eastAsia="Times New Roman" w:cs="Times New Roman"/>
          <w:rtl/>
          <w:lang w:eastAsia="de-DE"/>
        </w:rPr>
        <w:t xml:space="preserve"> </w:t>
      </w:r>
      <w:r w:rsidRPr="003D3D82">
        <w:rPr>
          <w:rFonts w:eastAsia="Times New Roman" w:cs="Times New Roman"/>
          <w:lang w:eastAsia="de-DE"/>
        </w:rPr>
        <w:t xml:space="preserve">mit Objekt </w:t>
      </w:r>
      <w:r w:rsidRPr="003D3D82">
        <w:rPr>
          <w:rFonts w:eastAsia="Times New Roman" w:cs="Times New Roman"/>
          <w:b/>
          <w:bCs/>
          <w:rtl/>
          <w:lang w:eastAsia="de-DE"/>
        </w:rPr>
        <w:t>הַנֶּגֶב</w:t>
      </w:r>
      <w:r w:rsidRPr="003D3D82">
        <w:rPr>
          <w:rFonts w:eastAsia="Times New Roman" w:cs="Times New Roman"/>
          <w:rtl/>
          <w:lang w:eastAsia="de-DE"/>
        </w:rPr>
        <w:t xml:space="preserve"> </w:t>
      </w:r>
      <w:r w:rsidRPr="003D3D82">
        <w:rPr>
          <w:rFonts w:eastAsia="Times New Roman" w:cs="Times New Roman"/>
          <w:lang w:eastAsia="de-DE"/>
        </w:rPr>
        <w:t>(„der Südland-Region") mit Artikel – als weitere Apposition.</w:t>
      </w:r>
    </w:p>
    <w:p w14:paraId="3CA9AA5D"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Der Objektsatz </w:t>
      </w:r>
      <w:r w:rsidRPr="003D3D82">
        <w:rPr>
          <w:rFonts w:eastAsia="Times New Roman" w:cs="Times New Roman"/>
          <w:b/>
          <w:bCs/>
          <w:rtl/>
          <w:lang w:eastAsia="de-DE"/>
        </w:rPr>
        <w:t>כִּי בָּא יִשְׂרָאֵל דֶּרֶךְ הָאֲתָרִים</w:t>
      </w:r>
      <w:r w:rsidRPr="003D3D82">
        <w:rPr>
          <w:rFonts w:eastAsia="Times New Roman" w:cs="Times New Roman"/>
          <w:rtl/>
          <w:lang w:eastAsia="de-DE"/>
        </w:rPr>
        <w:t xml:space="preserve"> </w:t>
      </w:r>
      <w:r w:rsidRPr="003D3D82">
        <w:rPr>
          <w:rFonts w:eastAsia="Times New Roman" w:cs="Times New Roman"/>
          <w:lang w:eastAsia="de-DE"/>
        </w:rPr>
        <w:t xml:space="preserve">besteht aus </w:t>
      </w:r>
      <w:r w:rsidRPr="003D3D82">
        <w:rPr>
          <w:rFonts w:eastAsia="Times New Roman" w:cs="Times New Roman"/>
          <w:b/>
          <w:bCs/>
          <w:rtl/>
          <w:lang w:eastAsia="de-DE"/>
        </w:rPr>
        <w:t>כִּי</w:t>
      </w:r>
      <w:r w:rsidRPr="003D3D82">
        <w:rPr>
          <w:rFonts w:eastAsia="Times New Roman" w:cs="Times New Roman"/>
          <w:rtl/>
          <w:lang w:eastAsia="de-DE"/>
        </w:rPr>
        <w:t xml:space="preserve"> </w:t>
      </w:r>
      <w:r w:rsidRPr="003D3D82">
        <w:rPr>
          <w:rFonts w:eastAsia="Times New Roman" w:cs="Times New Roman"/>
          <w:lang w:eastAsia="de-DE"/>
        </w:rPr>
        <w:t xml:space="preserve">(Konjunktion „dass"), </w:t>
      </w:r>
      <w:r w:rsidRPr="003D3D82">
        <w:rPr>
          <w:rFonts w:eastAsia="Times New Roman" w:cs="Times New Roman"/>
          <w:b/>
          <w:bCs/>
          <w:rtl/>
          <w:lang w:eastAsia="de-DE"/>
        </w:rPr>
        <w:t>בָּא</w:t>
      </w:r>
      <w:r w:rsidRPr="003D3D82">
        <w:rPr>
          <w:rFonts w:eastAsia="Times New Roman" w:cs="Times New Roman"/>
          <w:rtl/>
          <w:lang w:eastAsia="de-DE"/>
        </w:rPr>
        <w:t xml:space="preserve"> </w:t>
      </w:r>
      <w:r w:rsidRPr="003D3D82">
        <w:rPr>
          <w:rFonts w:eastAsia="Times New Roman" w:cs="Times New Roman"/>
          <w:lang w:eastAsia="de-DE"/>
        </w:rPr>
        <w:t xml:space="preserve">(Qal Perfekt, 3. m. sg. von </w:t>
      </w:r>
      <w:r w:rsidRPr="003D3D82">
        <w:rPr>
          <w:rFonts w:eastAsia="Times New Roman" w:cs="Times New Roman"/>
          <w:b/>
          <w:bCs/>
          <w:rtl/>
          <w:lang w:eastAsia="de-DE"/>
        </w:rPr>
        <w:t>בוא</w:t>
      </w:r>
      <w:r w:rsidRPr="003D3D82">
        <w:rPr>
          <w:rFonts w:eastAsia="Times New Roman" w:cs="Times New Roman"/>
          <w:lang w:eastAsia="de-DE"/>
        </w:rPr>
        <w:t xml:space="preserve">, „er kam"), </w:t>
      </w:r>
      <w:r w:rsidRPr="003D3D82">
        <w:rPr>
          <w:rFonts w:eastAsia="Times New Roman" w:cs="Times New Roman"/>
          <w:b/>
          <w:bCs/>
          <w:rtl/>
          <w:lang w:eastAsia="de-DE"/>
        </w:rPr>
        <w:t>יִשְׂרָאֵל</w:t>
      </w:r>
      <w:r w:rsidRPr="003D3D82">
        <w:rPr>
          <w:rFonts w:eastAsia="Times New Roman" w:cs="Times New Roman"/>
          <w:rtl/>
          <w:lang w:eastAsia="de-DE"/>
        </w:rPr>
        <w:t xml:space="preserve"> </w:t>
      </w:r>
      <w:r w:rsidRPr="003D3D82">
        <w:rPr>
          <w:rFonts w:eastAsia="Times New Roman" w:cs="Times New Roman"/>
          <w:lang w:eastAsia="de-DE"/>
        </w:rPr>
        <w:t xml:space="preserve">Subjekt, </w:t>
      </w:r>
      <w:r w:rsidRPr="003D3D82">
        <w:rPr>
          <w:rFonts w:eastAsia="Times New Roman" w:cs="Times New Roman"/>
          <w:b/>
          <w:bCs/>
          <w:rtl/>
          <w:lang w:eastAsia="de-DE"/>
        </w:rPr>
        <w:t>דֶּרֶךְ הָאֲתָרִים</w:t>
      </w:r>
      <w:r w:rsidRPr="003D3D82">
        <w:rPr>
          <w:rFonts w:eastAsia="Times New Roman" w:cs="Times New Roman"/>
          <w:rtl/>
          <w:lang w:eastAsia="de-DE"/>
        </w:rPr>
        <w:t xml:space="preserve"> </w:t>
      </w:r>
      <w:r w:rsidRPr="003D3D82">
        <w:rPr>
          <w:rFonts w:eastAsia="Times New Roman" w:cs="Times New Roman"/>
          <w:lang w:eastAsia="de-DE"/>
        </w:rPr>
        <w:t xml:space="preserve">(„Weg der Atarim/Kundschafter") – </w:t>
      </w:r>
      <w:r w:rsidRPr="003D3D82">
        <w:rPr>
          <w:rFonts w:eastAsia="Times New Roman" w:cs="Times New Roman"/>
          <w:b/>
          <w:bCs/>
          <w:rtl/>
          <w:lang w:eastAsia="de-DE"/>
        </w:rPr>
        <w:t>דֶּרֶךְ</w:t>
      </w:r>
      <w:r w:rsidRPr="003D3D82">
        <w:rPr>
          <w:rFonts w:eastAsia="Times New Roman" w:cs="Times New Roman"/>
          <w:rtl/>
          <w:lang w:eastAsia="de-DE"/>
        </w:rPr>
        <w:t xml:space="preserve"> </w:t>
      </w:r>
      <w:r w:rsidRPr="003D3D82">
        <w:rPr>
          <w:rFonts w:eastAsia="Times New Roman" w:cs="Times New Roman"/>
          <w:lang w:eastAsia="de-DE"/>
        </w:rPr>
        <w:t xml:space="preserve">Constructus, </w:t>
      </w:r>
      <w:r w:rsidRPr="003D3D82">
        <w:rPr>
          <w:rFonts w:eastAsia="Times New Roman" w:cs="Times New Roman"/>
          <w:b/>
          <w:bCs/>
          <w:rtl/>
          <w:lang w:eastAsia="de-DE"/>
        </w:rPr>
        <w:t>הָאֲתָרִים</w:t>
      </w:r>
      <w:r w:rsidRPr="003D3D82">
        <w:rPr>
          <w:rFonts w:eastAsia="Times New Roman" w:cs="Times New Roman"/>
          <w:rtl/>
          <w:lang w:eastAsia="de-DE"/>
        </w:rPr>
        <w:t xml:space="preserve"> </w:t>
      </w:r>
      <w:r w:rsidRPr="003D3D82">
        <w:rPr>
          <w:rFonts w:eastAsia="Times New Roman" w:cs="Times New Roman"/>
          <w:lang w:eastAsia="de-DE"/>
        </w:rPr>
        <w:t xml:space="preserve">möglicherweise von </w:t>
      </w:r>
      <w:r w:rsidRPr="003D3D82">
        <w:rPr>
          <w:rFonts w:eastAsia="Times New Roman" w:cs="Times New Roman"/>
          <w:b/>
          <w:bCs/>
          <w:rtl/>
          <w:lang w:eastAsia="de-DE"/>
        </w:rPr>
        <w:t>תור</w:t>
      </w:r>
      <w:r w:rsidRPr="003D3D82">
        <w:rPr>
          <w:rFonts w:eastAsia="Times New Roman" w:cs="Times New Roman"/>
          <w:rtl/>
          <w:lang w:eastAsia="de-DE"/>
        </w:rPr>
        <w:t xml:space="preserve"> </w:t>
      </w:r>
      <w:r w:rsidRPr="003D3D82">
        <w:rPr>
          <w:rFonts w:eastAsia="Times New Roman" w:cs="Times New Roman"/>
          <w:lang w:eastAsia="de-DE"/>
        </w:rPr>
        <w:t>„auskundschaften" oder ein Ortsname.</w:t>
      </w:r>
    </w:p>
    <w:p w14:paraId="53F98E65"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militärische Reaktion: </w:t>
      </w:r>
      <w:r w:rsidRPr="003D3D82">
        <w:rPr>
          <w:rFonts w:eastAsia="Times New Roman" w:cs="Times New Roman"/>
          <w:b/>
          <w:bCs/>
          <w:rtl/>
          <w:lang w:eastAsia="de-DE"/>
        </w:rPr>
        <w:t>וַיִּלָּחֶם בְּיִשְׂרָאֵל</w:t>
      </w:r>
      <w:r w:rsidRPr="003D3D82">
        <w:rPr>
          <w:rFonts w:eastAsia="Times New Roman" w:cs="Times New Roman"/>
          <w:rtl/>
          <w:lang w:eastAsia="de-DE"/>
        </w:rPr>
        <w:t xml:space="preserve"> </w:t>
      </w:r>
      <w:r w:rsidRPr="003D3D82">
        <w:rPr>
          <w:rFonts w:eastAsia="Times New Roman" w:cs="Times New Roman"/>
          <w:lang w:eastAsia="de-DE"/>
        </w:rPr>
        <w:t xml:space="preserve">(„und er kämpfte gegen Israel") – </w:t>
      </w:r>
      <w:r w:rsidRPr="003D3D82">
        <w:rPr>
          <w:rFonts w:eastAsia="Times New Roman" w:cs="Times New Roman"/>
          <w:b/>
          <w:bCs/>
          <w:rtl/>
          <w:lang w:eastAsia="de-DE"/>
        </w:rPr>
        <w:t>וַיִּלָּחֶם</w:t>
      </w:r>
      <w:r w:rsidRPr="003D3D82">
        <w:rPr>
          <w:rFonts w:eastAsia="Times New Roman" w:cs="Times New Roman"/>
          <w:rtl/>
          <w:lang w:eastAsia="de-DE"/>
        </w:rPr>
        <w:t xml:space="preserve"> </w:t>
      </w:r>
      <w:r w:rsidRPr="003D3D82">
        <w:rPr>
          <w:rFonts w:eastAsia="Times New Roman" w:cs="Times New Roman"/>
          <w:lang w:eastAsia="de-DE"/>
        </w:rPr>
        <w:t xml:space="preserve">Wayyiqtol, 3. m. sg. von </w:t>
      </w:r>
      <w:r w:rsidRPr="003D3D82">
        <w:rPr>
          <w:rFonts w:eastAsia="Times New Roman" w:cs="Times New Roman"/>
          <w:b/>
          <w:bCs/>
          <w:rtl/>
          <w:lang w:eastAsia="de-DE"/>
        </w:rPr>
        <w:t>לחם</w:t>
      </w:r>
      <w:r w:rsidRPr="003D3D82">
        <w:rPr>
          <w:rFonts w:eastAsia="Times New Roman" w:cs="Times New Roman"/>
          <w:rtl/>
          <w:lang w:eastAsia="de-DE"/>
        </w:rPr>
        <w:t xml:space="preserve"> </w:t>
      </w:r>
      <w:r w:rsidRPr="003D3D82">
        <w:rPr>
          <w:rFonts w:eastAsia="Times New Roman" w:cs="Times New Roman"/>
          <w:lang w:eastAsia="de-DE"/>
        </w:rPr>
        <w:t xml:space="preserve">Nifal „kämpfen". </w:t>
      </w:r>
      <w:r w:rsidRPr="003D3D82">
        <w:rPr>
          <w:rFonts w:eastAsia="Times New Roman" w:cs="Times New Roman"/>
          <w:b/>
          <w:bCs/>
          <w:rtl/>
          <w:lang w:eastAsia="de-DE"/>
        </w:rPr>
        <w:t>וַיִּשְׁבְּ מִמֶּנּוּ שֶׁבִי</w:t>
      </w:r>
      <w:r w:rsidRPr="003D3D82">
        <w:rPr>
          <w:rFonts w:eastAsia="Times New Roman" w:cs="Times New Roman"/>
          <w:rtl/>
          <w:lang w:eastAsia="de-DE"/>
        </w:rPr>
        <w:t xml:space="preserve"> </w:t>
      </w:r>
      <w:r w:rsidRPr="003D3D82">
        <w:rPr>
          <w:rFonts w:eastAsia="Times New Roman" w:cs="Times New Roman"/>
          <w:lang w:eastAsia="de-DE"/>
        </w:rPr>
        <w:t xml:space="preserve">(„und er nahm von ihm Gefangene") – </w:t>
      </w:r>
      <w:r w:rsidRPr="003D3D82">
        <w:rPr>
          <w:rFonts w:eastAsia="Times New Roman" w:cs="Times New Roman"/>
          <w:b/>
          <w:bCs/>
          <w:rtl/>
          <w:lang w:eastAsia="de-DE"/>
        </w:rPr>
        <w:t>וַיִּשְׁבְּ</w:t>
      </w:r>
      <w:r w:rsidRPr="003D3D82">
        <w:rPr>
          <w:rFonts w:eastAsia="Times New Roman" w:cs="Times New Roman"/>
          <w:rtl/>
          <w:lang w:eastAsia="de-DE"/>
        </w:rPr>
        <w:t xml:space="preserve"> </w:t>
      </w:r>
      <w:r w:rsidRPr="003D3D82">
        <w:rPr>
          <w:rFonts w:eastAsia="Times New Roman" w:cs="Times New Roman"/>
          <w:lang w:eastAsia="de-DE"/>
        </w:rPr>
        <w:t xml:space="preserve">(Wayyiqtol, 3. m. sg. von </w:t>
      </w:r>
      <w:r w:rsidRPr="003D3D82">
        <w:rPr>
          <w:rFonts w:eastAsia="Times New Roman" w:cs="Times New Roman"/>
          <w:b/>
          <w:bCs/>
          <w:rtl/>
          <w:lang w:eastAsia="de-DE"/>
        </w:rPr>
        <w:t>שׁבה</w:t>
      </w:r>
      <w:r w:rsidRPr="003D3D82">
        <w:rPr>
          <w:rFonts w:eastAsia="Times New Roman" w:cs="Times New Roman"/>
          <w:lang w:eastAsia="de-DE"/>
        </w:rPr>
        <w:t xml:space="preserve">, „und er nahm gefangen"), </w:t>
      </w:r>
      <w:r w:rsidRPr="003D3D82">
        <w:rPr>
          <w:rFonts w:eastAsia="Times New Roman" w:cs="Times New Roman"/>
          <w:b/>
          <w:bCs/>
          <w:rtl/>
          <w:lang w:eastAsia="de-DE"/>
        </w:rPr>
        <w:t>מִמֶּנּוּ</w:t>
      </w:r>
      <w:r w:rsidRPr="003D3D82">
        <w:rPr>
          <w:rFonts w:eastAsia="Times New Roman" w:cs="Times New Roman"/>
          <w:rtl/>
          <w:lang w:eastAsia="de-DE"/>
        </w:rPr>
        <w:t xml:space="preserve"> </w:t>
      </w:r>
      <w:r w:rsidRPr="003D3D82">
        <w:rPr>
          <w:rFonts w:eastAsia="Times New Roman" w:cs="Times New Roman"/>
          <w:lang w:eastAsia="de-DE"/>
        </w:rPr>
        <w:t xml:space="preserve">(„von ihm") mit </w:t>
      </w:r>
      <w:r w:rsidRPr="003D3D82">
        <w:rPr>
          <w:rFonts w:eastAsia="Times New Roman" w:cs="Times New Roman"/>
          <w:b/>
          <w:bCs/>
          <w:rtl/>
          <w:lang w:eastAsia="de-DE"/>
        </w:rPr>
        <w:t>מִן</w:t>
      </w:r>
      <w:r w:rsidRPr="003D3D82">
        <w:rPr>
          <w:rFonts w:eastAsia="Times New Roman" w:cs="Times New Roman"/>
          <w:rtl/>
          <w:lang w:eastAsia="de-DE"/>
        </w:rPr>
        <w:t xml:space="preserve"> </w:t>
      </w:r>
      <w:r w:rsidRPr="003D3D82">
        <w:rPr>
          <w:rFonts w:eastAsia="Times New Roman" w:cs="Times New Roman"/>
          <w:lang w:eastAsia="de-DE"/>
        </w:rPr>
        <w:t xml:space="preserve">partitiv und Suffix 3. m. sg., </w:t>
      </w:r>
      <w:r w:rsidRPr="003D3D82">
        <w:rPr>
          <w:rFonts w:eastAsia="Times New Roman" w:cs="Times New Roman"/>
          <w:b/>
          <w:bCs/>
          <w:rtl/>
          <w:lang w:eastAsia="de-DE"/>
        </w:rPr>
        <w:t>שֶׁבִי</w:t>
      </w:r>
      <w:r w:rsidRPr="003D3D82">
        <w:rPr>
          <w:rFonts w:eastAsia="Times New Roman" w:cs="Times New Roman"/>
          <w:rtl/>
          <w:lang w:eastAsia="de-DE"/>
        </w:rPr>
        <w:t xml:space="preserve"> </w:t>
      </w:r>
      <w:r w:rsidRPr="003D3D82">
        <w:rPr>
          <w:rFonts w:eastAsia="Times New Roman" w:cs="Times New Roman"/>
          <w:lang w:eastAsia="de-DE"/>
        </w:rPr>
        <w:t>(„Gefangene, Gefangenschaft") als Objekt.</w:t>
      </w:r>
    </w:p>
    <w:p w14:paraId="63C0477D" w14:textId="77777777" w:rsidR="005D7521" w:rsidRDefault="003D3D82" w:rsidP="005D7521">
      <w:pPr>
        <w:spacing w:before="100" w:beforeAutospacing="1" w:after="100" w:afterAutospacing="1" w:line="240" w:lineRule="auto"/>
      </w:pPr>
      <w:r w:rsidRPr="003D3D82">
        <w:rPr>
          <w:rFonts w:eastAsia="Times New Roman" w:cs="Times New Roman"/>
          <w:b/>
          <w:bCs/>
          <w:lang w:eastAsia="de-DE"/>
        </w:rPr>
        <w:t>Die LXX</w:t>
      </w:r>
      <w:r w:rsidRPr="003D3D82">
        <w:rPr>
          <w:rFonts w:eastAsia="Times New Roman" w:cs="Times New Roman"/>
          <w:lang w:eastAsia="de-DE"/>
        </w:rPr>
        <w:t xml:space="preserve"> </w:t>
      </w:r>
      <w:r w:rsidR="005D7521">
        <w:t>fügt „ὁ κατοικῶν κατὰ τὴν ἔρημον" (der in der Wüste wohnte) hinzu, was im hebräischen Text nicht explizit erscheint, obwohl „</w:t>
      </w:r>
      <w:r w:rsidR="005D7521" w:rsidRPr="005D7521">
        <w:rPr>
          <w:b/>
          <w:bCs/>
          <w:rtl/>
        </w:rPr>
        <w:t>יֹשֵׁב הַנֶּגֶב</w:t>
      </w:r>
      <w:r w:rsidR="005D7521">
        <w:t>" (der im Negev wohnte) ähnliche Information gibt.</w:t>
      </w:r>
    </w:p>
    <w:p w14:paraId="3D659B74" w14:textId="62229523" w:rsidR="003D3D82" w:rsidRPr="003D3D82" w:rsidRDefault="003D3D82" w:rsidP="005D7521">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Die Satzstruktur zeigt vier koordinierte Hauptsätze: Der erste mit Verb, dreifachem Subjekt (mit zwei Appositionen) und Objektsatz (Nebensatz); die drei folgenden mit Verb, Präpositionalphrase, Verb mit Präpositionalphrase und Verb mit Präpositionalphrase plus Objekt. Insgesamt gibt es einen Nebensatz (Objektsatz).</w:t>
      </w:r>
    </w:p>
    <w:p w14:paraId="7E098D39"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Der Vers zeigt den ersten militärischen Angriff auf Israel im Negev – eine teilweise Niederlage mit Gefangenen.</w:t>
      </w:r>
    </w:p>
    <w:p w14:paraId="4F7BCCFA" w14:textId="77777777" w:rsidR="003D3D82" w:rsidRPr="003D3D82" w:rsidRDefault="003D3D82" w:rsidP="003D3D82">
      <w:pPr>
        <w:spacing w:before="100" w:beforeAutospacing="1" w:after="100" w:afterAutospacing="1" w:line="240" w:lineRule="auto"/>
        <w:outlineLvl w:val="0"/>
        <w:rPr>
          <w:rFonts w:eastAsia="Times New Roman" w:cs="Times New Roman"/>
          <w:b/>
          <w:bCs/>
          <w:kern w:val="36"/>
          <w:sz w:val="48"/>
          <w:szCs w:val="48"/>
          <w:lang w:eastAsia="de-DE"/>
        </w:rPr>
      </w:pPr>
      <w:r w:rsidRPr="003D3D82">
        <w:rPr>
          <w:rFonts w:eastAsia="Times New Roman" w:cs="Times New Roman"/>
          <w:b/>
          <w:bCs/>
          <w:kern w:val="36"/>
          <w:sz w:val="48"/>
          <w:szCs w:val="48"/>
          <w:lang w:eastAsia="de-DE"/>
        </w:rPr>
        <w:t>Numeri 21,2</w:t>
      </w:r>
    </w:p>
    <w:p w14:paraId="5B7363AB"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lastRenderedPageBreak/>
        <w:t>Hebräisch:</w:t>
      </w:r>
      <w:r w:rsidRPr="003D3D82">
        <w:rPr>
          <w:rFonts w:eastAsia="Times New Roman" w:cs="Times New Roman"/>
          <w:lang w:eastAsia="de-DE"/>
        </w:rPr>
        <w:t xml:space="preserve"> </w:t>
      </w:r>
      <w:r w:rsidRPr="003D3D82">
        <w:rPr>
          <w:rFonts w:eastAsia="Times New Roman" w:cs="Times New Roman"/>
          <w:rtl/>
          <w:lang w:eastAsia="de-DE"/>
        </w:rPr>
        <w:t>וַיִּדַּ֨ר יִשְׂרָאֵ֥ל נֶ֛דֶר לַֽיהוָ֖ה וַיֹּאמַ֑ר אִם־נָתֹ֨ן תִּתֵּ֜ן אֶת־הָעָ֤ם הַזֶּה֙ בְּיָדִ֔י וְהַֽחֲרַמְתִּ֖י אֶת־עָרֵיהֶֽם׃</w:t>
      </w:r>
    </w:p>
    <w:p w14:paraId="74C37095"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Deutsch:</w:t>
      </w:r>
      <w:r w:rsidRPr="003D3D82">
        <w:rPr>
          <w:rFonts w:eastAsia="Times New Roman" w:cs="Times New Roman"/>
          <w:lang w:eastAsia="de-DE"/>
        </w:rPr>
        <w:t xml:space="preserve"> Da legte Israel dem Ewigen ein Gelübde ab und sagte: Wenn du gewiss dieses Volk in meine Hand gibst, so werde ich ihre Städte dem Bann weihen.</w:t>
      </w:r>
    </w:p>
    <w:p w14:paraId="08C2FFB0" w14:textId="77777777" w:rsidR="003D3D82" w:rsidRPr="003D3D82" w:rsidRDefault="00F329DD" w:rsidP="003D3D82">
      <w:pPr>
        <w:spacing w:after="0" w:line="240" w:lineRule="auto"/>
        <w:rPr>
          <w:rFonts w:eastAsia="Times New Roman" w:cs="Times New Roman"/>
          <w:lang w:eastAsia="de-DE"/>
        </w:rPr>
      </w:pPr>
      <w:r>
        <w:rPr>
          <w:rFonts w:eastAsia="Times New Roman" w:cs="Times New Roman"/>
          <w:noProof/>
          <w:lang w:eastAsia="de-DE"/>
        </w:rPr>
        <w:pict w14:anchorId="0BE99324">
          <v:rect id="_x0000_i1731" style="width:0;height:1.5pt" o:hralign="center" o:hrstd="t" o:hr="t" fillcolor="#a0a0a0" stroked="f"/>
        </w:pict>
      </w:r>
    </w:p>
    <w:p w14:paraId="3BD7CAA5"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Kommentar:</w:t>
      </w:r>
      <w:r w:rsidRPr="003D3D82">
        <w:rPr>
          <w:rFonts w:eastAsia="Times New Roman" w:cs="Times New Roman"/>
          <w:lang w:eastAsia="de-DE"/>
        </w:rPr>
        <w:t xml:space="preserve"> Das Verb </w:t>
      </w:r>
      <w:r w:rsidRPr="003D3D82">
        <w:rPr>
          <w:rFonts w:eastAsia="Times New Roman" w:cs="Times New Roman"/>
          <w:b/>
          <w:bCs/>
          <w:rtl/>
          <w:lang w:eastAsia="de-DE"/>
        </w:rPr>
        <w:t>וַיִּדַּר</w:t>
      </w:r>
      <w:r w:rsidRPr="003D3D82">
        <w:rPr>
          <w:rFonts w:eastAsia="Times New Roman" w:cs="Times New Roman"/>
          <w:rtl/>
          <w:lang w:eastAsia="de-DE"/>
        </w:rPr>
        <w:t xml:space="preserve"> </w:t>
      </w:r>
      <w:r w:rsidRPr="003D3D82">
        <w:rPr>
          <w:rFonts w:eastAsia="Times New Roman" w:cs="Times New Roman"/>
          <w:lang w:eastAsia="de-DE"/>
        </w:rPr>
        <w:t xml:space="preserve">(Wayyiqtol, 3. m. sg. von </w:t>
      </w:r>
      <w:r w:rsidRPr="003D3D82">
        <w:rPr>
          <w:rFonts w:eastAsia="Times New Roman" w:cs="Times New Roman"/>
          <w:b/>
          <w:bCs/>
          <w:rtl/>
          <w:lang w:eastAsia="de-DE"/>
        </w:rPr>
        <w:t>נדר</w:t>
      </w:r>
      <w:r w:rsidRPr="003D3D82">
        <w:rPr>
          <w:rFonts w:eastAsia="Times New Roman" w:cs="Times New Roman"/>
          <w:lang w:eastAsia="de-DE"/>
        </w:rPr>
        <w:t xml:space="preserve">, „und er legte ab [ein Gelübde]"). </w:t>
      </w:r>
      <w:r w:rsidRPr="003D3D82">
        <w:rPr>
          <w:rFonts w:eastAsia="Times New Roman" w:cs="Times New Roman"/>
          <w:b/>
          <w:bCs/>
          <w:rtl/>
          <w:lang w:eastAsia="de-DE"/>
        </w:rPr>
        <w:t>יִשְׂרָאֵל</w:t>
      </w:r>
      <w:r w:rsidRPr="003D3D82">
        <w:rPr>
          <w:rFonts w:eastAsia="Times New Roman" w:cs="Times New Roman"/>
          <w:rtl/>
          <w:lang w:eastAsia="de-DE"/>
        </w:rPr>
        <w:t xml:space="preserve"> </w:t>
      </w:r>
      <w:r w:rsidRPr="003D3D82">
        <w:rPr>
          <w:rFonts w:eastAsia="Times New Roman" w:cs="Times New Roman"/>
          <w:lang w:eastAsia="de-DE"/>
        </w:rPr>
        <w:t xml:space="preserve">Subjekt. Das innere Objekt </w:t>
      </w:r>
      <w:r w:rsidRPr="003D3D82">
        <w:rPr>
          <w:rFonts w:eastAsia="Times New Roman" w:cs="Times New Roman"/>
          <w:b/>
          <w:bCs/>
          <w:rtl/>
          <w:lang w:eastAsia="de-DE"/>
        </w:rPr>
        <w:t>נֶדֶר</w:t>
      </w:r>
      <w:r w:rsidRPr="003D3D82">
        <w:rPr>
          <w:rFonts w:eastAsia="Times New Roman" w:cs="Times New Roman"/>
          <w:rtl/>
          <w:lang w:eastAsia="de-DE"/>
        </w:rPr>
        <w:t xml:space="preserve"> </w:t>
      </w:r>
      <w:r w:rsidRPr="003D3D82">
        <w:rPr>
          <w:rFonts w:eastAsia="Times New Roman" w:cs="Times New Roman"/>
          <w:lang w:eastAsia="de-DE"/>
        </w:rPr>
        <w:t>(„ein Gelübde") – figura etymologica (</w:t>
      </w:r>
      <w:r w:rsidRPr="003D3D82">
        <w:rPr>
          <w:rFonts w:eastAsia="Times New Roman" w:cs="Times New Roman"/>
          <w:b/>
          <w:bCs/>
          <w:rtl/>
          <w:lang w:eastAsia="de-DE"/>
        </w:rPr>
        <w:t>נדר</w:t>
      </w:r>
      <w:r w:rsidRPr="003D3D82">
        <w:rPr>
          <w:rFonts w:eastAsia="Times New Roman" w:cs="Times New Roman"/>
          <w:rtl/>
          <w:lang w:eastAsia="de-DE"/>
        </w:rPr>
        <w:t xml:space="preserve"> </w:t>
      </w:r>
      <w:r w:rsidRPr="003D3D82">
        <w:rPr>
          <w:rFonts w:eastAsia="Times New Roman" w:cs="Times New Roman"/>
          <w:lang w:eastAsia="de-DE"/>
        </w:rPr>
        <w:t xml:space="preserve">- </w:t>
      </w:r>
      <w:r w:rsidRPr="003D3D82">
        <w:rPr>
          <w:rFonts w:eastAsia="Times New Roman" w:cs="Times New Roman"/>
          <w:b/>
          <w:bCs/>
          <w:rtl/>
          <w:lang w:eastAsia="de-DE"/>
        </w:rPr>
        <w:t>נדר</w:t>
      </w:r>
      <w:r w:rsidRPr="003D3D82">
        <w:rPr>
          <w:rFonts w:eastAsia="Times New Roman" w:cs="Times New Roman"/>
          <w:lang w:eastAsia="de-DE"/>
        </w:rPr>
        <w:t xml:space="preserve">). </w:t>
      </w:r>
      <w:r w:rsidRPr="003D3D82">
        <w:rPr>
          <w:rFonts w:eastAsia="Times New Roman" w:cs="Times New Roman"/>
          <w:b/>
          <w:bCs/>
          <w:rtl/>
          <w:lang w:eastAsia="de-DE"/>
        </w:rPr>
        <w:t>לַיהוָה</w:t>
      </w:r>
      <w:r w:rsidRPr="003D3D82">
        <w:rPr>
          <w:rFonts w:eastAsia="Times New Roman" w:cs="Times New Roman"/>
          <w:rtl/>
          <w:lang w:eastAsia="de-DE"/>
        </w:rPr>
        <w:t xml:space="preserve"> </w:t>
      </w:r>
      <w:r w:rsidRPr="003D3D82">
        <w:rPr>
          <w:rFonts w:eastAsia="Times New Roman" w:cs="Times New Roman"/>
          <w:lang w:eastAsia="de-DE"/>
        </w:rPr>
        <w:t xml:space="preserve">(„dem Ewigen") mit </w:t>
      </w:r>
      <w:r w:rsidRPr="003D3D82">
        <w:rPr>
          <w:rFonts w:eastAsia="Times New Roman" w:cs="Times New Roman"/>
          <w:b/>
          <w:bCs/>
          <w:rtl/>
          <w:lang w:eastAsia="de-DE"/>
        </w:rPr>
        <w:t>לְ</w:t>
      </w:r>
      <w:r w:rsidRPr="003D3D82">
        <w:rPr>
          <w:rFonts w:eastAsia="Times New Roman" w:cs="Times New Roman"/>
          <w:rtl/>
          <w:lang w:eastAsia="de-DE"/>
        </w:rPr>
        <w:t xml:space="preserve"> </w:t>
      </w:r>
      <w:r w:rsidRPr="003D3D82">
        <w:rPr>
          <w:rFonts w:eastAsia="Times New Roman" w:cs="Times New Roman"/>
          <w:lang w:eastAsia="de-DE"/>
        </w:rPr>
        <w:t>gibt den Empfänger an.</w:t>
      </w:r>
    </w:p>
    <w:p w14:paraId="6085EF43" w14:textId="1033DEC3"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Redeeinleitung </w:t>
      </w:r>
      <w:r w:rsidRPr="003D3D82">
        <w:rPr>
          <w:rFonts w:eastAsia="Times New Roman" w:cs="Times New Roman"/>
          <w:b/>
          <w:bCs/>
          <w:rtl/>
          <w:lang w:eastAsia="de-DE"/>
        </w:rPr>
        <w:t>וַיֹּאמַר</w:t>
      </w:r>
      <w:r w:rsidRPr="003D3D82">
        <w:rPr>
          <w:rFonts w:eastAsia="Times New Roman" w:cs="Times New Roman"/>
          <w:rtl/>
          <w:lang w:eastAsia="de-DE"/>
        </w:rPr>
        <w:t xml:space="preserve"> </w:t>
      </w:r>
      <w:r w:rsidRPr="003D3D82">
        <w:rPr>
          <w:rFonts w:eastAsia="Times New Roman" w:cs="Times New Roman"/>
          <w:lang w:eastAsia="de-DE"/>
        </w:rPr>
        <w:t xml:space="preserve">(Wayyiqtol von </w:t>
      </w:r>
      <w:r w:rsidRPr="003D3D82">
        <w:rPr>
          <w:rFonts w:eastAsia="Times New Roman" w:cs="Times New Roman"/>
          <w:b/>
          <w:bCs/>
          <w:rtl/>
          <w:lang w:eastAsia="de-DE"/>
        </w:rPr>
        <w:t>אמר</w:t>
      </w:r>
      <w:r w:rsidRPr="003D3D82">
        <w:rPr>
          <w:rFonts w:eastAsia="Times New Roman" w:cs="Times New Roman"/>
          <w:lang w:eastAsia="de-DE"/>
        </w:rPr>
        <w:t xml:space="preserve">). Der konditionale Protasis </w:t>
      </w:r>
      <w:r w:rsidRPr="003D3D82">
        <w:rPr>
          <w:rFonts w:eastAsia="Times New Roman" w:cs="Times New Roman"/>
          <w:b/>
          <w:bCs/>
          <w:rtl/>
          <w:lang w:eastAsia="de-DE"/>
        </w:rPr>
        <w:t>אִם־נָתֹן תִּתֵּן אֶת־הָעָ֤ם הַזֶּה֙ בְּיָדִי</w:t>
      </w:r>
      <w:r w:rsidRPr="003D3D82">
        <w:rPr>
          <w:rFonts w:eastAsia="Times New Roman" w:cs="Times New Roman"/>
          <w:rtl/>
          <w:lang w:eastAsia="de-DE"/>
        </w:rPr>
        <w:t xml:space="preserve"> </w:t>
      </w:r>
      <w:r w:rsidRPr="003D3D82">
        <w:rPr>
          <w:rFonts w:eastAsia="Times New Roman" w:cs="Times New Roman"/>
          <w:lang w:eastAsia="de-DE"/>
        </w:rPr>
        <w:t xml:space="preserve">besteht aus </w:t>
      </w:r>
      <w:r w:rsidRPr="003D3D82">
        <w:rPr>
          <w:rFonts w:eastAsia="Times New Roman" w:cs="Times New Roman"/>
          <w:b/>
          <w:bCs/>
          <w:rtl/>
          <w:lang w:eastAsia="de-DE"/>
        </w:rPr>
        <w:t>אִם</w:t>
      </w:r>
      <w:r w:rsidRPr="003D3D82">
        <w:rPr>
          <w:rFonts w:eastAsia="Times New Roman" w:cs="Times New Roman"/>
          <w:rtl/>
          <w:lang w:eastAsia="de-DE"/>
        </w:rPr>
        <w:t xml:space="preserve"> </w:t>
      </w:r>
      <w:r w:rsidRPr="003D3D82">
        <w:rPr>
          <w:rFonts w:eastAsia="Times New Roman" w:cs="Times New Roman"/>
          <w:lang w:eastAsia="de-DE"/>
        </w:rPr>
        <w:t xml:space="preserve">(„wenn"), der emphatischen </w:t>
      </w:r>
      <w:r w:rsidR="00F133EC">
        <w:rPr>
          <w:rFonts w:eastAsia="Times New Roman" w:cs="Times New Roman"/>
          <w:lang w:eastAsia="de-DE"/>
        </w:rPr>
        <w:t>Construct</w:t>
      </w:r>
      <w:r w:rsidRPr="003D3D82">
        <w:rPr>
          <w:rFonts w:eastAsia="Times New Roman" w:cs="Times New Roman"/>
          <w:lang w:eastAsia="de-DE"/>
        </w:rPr>
        <w:t xml:space="preserve">ion </w:t>
      </w:r>
      <w:r w:rsidRPr="003D3D82">
        <w:rPr>
          <w:rFonts w:eastAsia="Times New Roman" w:cs="Times New Roman"/>
          <w:b/>
          <w:bCs/>
          <w:rtl/>
          <w:lang w:eastAsia="de-DE"/>
        </w:rPr>
        <w:t>נָתֹן תִּתֵּן</w:t>
      </w:r>
      <w:r w:rsidRPr="003D3D82">
        <w:rPr>
          <w:rFonts w:eastAsia="Times New Roman" w:cs="Times New Roman"/>
          <w:rtl/>
          <w:lang w:eastAsia="de-DE"/>
        </w:rPr>
        <w:t xml:space="preserve"> </w:t>
      </w:r>
      <w:r w:rsidRPr="003D3D82">
        <w:rPr>
          <w:rFonts w:eastAsia="Times New Roman" w:cs="Times New Roman"/>
          <w:lang w:eastAsia="de-DE"/>
        </w:rPr>
        <w:t xml:space="preserve">(Infinitiv absolutus plus Qal Imperfekt, 2. m. sg. von </w:t>
      </w:r>
      <w:r w:rsidRPr="003D3D82">
        <w:rPr>
          <w:rFonts w:eastAsia="Times New Roman" w:cs="Times New Roman"/>
          <w:b/>
          <w:bCs/>
          <w:rtl/>
          <w:lang w:eastAsia="de-DE"/>
        </w:rPr>
        <w:t>נתן</w:t>
      </w:r>
      <w:r w:rsidRPr="003D3D82">
        <w:rPr>
          <w:rFonts w:eastAsia="Times New Roman" w:cs="Times New Roman"/>
          <w:lang w:eastAsia="de-DE"/>
        </w:rPr>
        <w:t xml:space="preserve">, „wenn du gewiss gibst") – die figura etymologica verstärkt: „wenn du wirklich gibst", </w:t>
      </w:r>
      <w:r w:rsidRPr="003D3D82">
        <w:rPr>
          <w:rFonts w:eastAsia="Times New Roman" w:cs="Times New Roman"/>
          <w:b/>
          <w:bCs/>
          <w:rtl/>
          <w:lang w:eastAsia="de-DE"/>
        </w:rPr>
        <w:t>אֶת־הָעָם הַזֶּה</w:t>
      </w:r>
      <w:r w:rsidRPr="003D3D82">
        <w:rPr>
          <w:rFonts w:eastAsia="Times New Roman" w:cs="Times New Roman"/>
          <w:rtl/>
          <w:lang w:eastAsia="de-DE"/>
        </w:rPr>
        <w:t xml:space="preserve"> </w:t>
      </w:r>
      <w:r w:rsidRPr="003D3D82">
        <w:rPr>
          <w:rFonts w:eastAsia="Times New Roman" w:cs="Times New Roman"/>
          <w:lang w:eastAsia="de-DE"/>
        </w:rPr>
        <w:t xml:space="preserve">(„dieses Volk") mit Demonstrativpronomen, </w:t>
      </w:r>
      <w:r w:rsidRPr="003D3D82">
        <w:rPr>
          <w:rFonts w:eastAsia="Times New Roman" w:cs="Times New Roman"/>
          <w:b/>
          <w:bCs/>
          <w:rtl/>
          <w:lang w:eastAsia="de-DE"/>
        </w:rPr>
        <w:t>בְּיָדִי</w:t>
      </w:r>
      <w:r w:rsidRPr="003D3D82">
        <w:rPr>
          <w:rFonts w:eastAsia="Times New Roman" w:cs="Times New Roman"/>
          <w:rtl/>
          <w:lang w:eastAsia="de-DE"/>
        </w:rPr>
        <w:t xml:space="preserve"> </w:t>
      </w:r>
      <w:r w:rsidRPr="003D3D82">
        <w:rPr>
          <w:rFonts w:eastAsia="Times New Roman" w:cs="Times New Roman"/>
          <w:lang w:eastAsia="de-DE"/>
        </w:rPr>
        <w:t>(„in meine Hand") mit Possessivsuffix 1. c. sg.</w:t>
      </w:r>
    </w:p>
    <w:p w14:paraId="0D38B695"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Apodosis </w:t>
      </w:r>
      <w:r w:rsidRPr="003D3D82">
        <w:rPr>
          <w:rFonts w:eastAsia="Times New Roman" w:cs="Times New Roman"/>
          <w:b/>
          <w:bCs/>
          <w:rtl/>
          <w:lang w:eastAsia="de-DE"/>
        </w:rPr>
        <w:t>וְהַחֲרַמְתִּי אֶת־עָרֵיהֶם</w:t>
      </w:r>
      <w:r w:rsidRPr="003D3D82">
        <w:rPr>
          <w:rFonts w:eastAsia="Times New Roman" w:cs="Times New Roman"/>
          <w:rtl/>
          <w:lang w:eastAsia="de-DE"/>
        </w:rPr>
        <w:t xml:space="preserve"> </w:t>
      </w:r>
      <w:r w:rsidRPr="003D3D82">
        <w:rPr>
          <w:rFonts w:eastAsia="Times New Roman" w:cs="Times New Roman"/>
          <w:lang w:eastAsia="de-DE"/>
        </w:rPr>
        <w:t xml:space="preserve">besteht aus </w:t>
      </w:r>
      <w:r w:rsidRPr="003D3D82">
        <w:rPr>
          <w:rFonts w:eastAsia="Times New Roman" w:cs="Times New Roman"/>
          <w:b/>
          <w:bCs/>
          <w:rtl/>
          <w:lang w:eastAsia="de-DE"/>
        </w:rPr>
        <w:t>וְהַחֲרַמְתִּי</w:t>
      </w:r>
      <w:r w:rsidRPr="003D3D82">
        <w:rPr>
          <w:rFonts w:eastAsia="Times New Roman" w:cs="Times New Roman"/>
          <w:rtl/>
          <w:lang w:eastAsia="de-DE"/>
        </w:rPr>
        <w:t xml:space="preserve"> </w:t>
      </w:r>
      <w:r w:rsidRPr="003D3D82">
        <w:rPr>
          <w:rFonts w:eastAsia="Times New Roman" w:cs="Times New Roman"/>
          <w:lang w:eastAsia="de-DE"/>
        </w:rPr>
        <w:t xml:space="preserve">(Waw + Hifil Perfekt, 1. c. sg. von </w:t>
      </w:r>
      <w:r w:rsidRPr="003D3D82">
        <w:rPr>
          <w:rFonts w:eastAsia="Times New Roman" w:cs="Times New Roman"/>
          <w:b/>
          <w:bCs/>
          <w:rtl/>
          <w:lang w:eastAsia="de-DE"/>
        </w:rPr>
        <w:t>חרם</w:t>
      </w:r>
      <w:r w:rsidRPr="003D3D82">
        <w:rPr>
          <w:rFonts w:eastAsia="Times New Roman" w:cs="Times New Roman"/>
          <w:rtl/>
          <w:lang w:eastAsia="de-DE"/>
        </w:rPr>
        <w:t xml:space="preserve"> </w:t>
      </w:r>
      <w:r w:rsidRPr="003D3D82">
        <w:rPr>
          <w:rFonts w:eastAsia="Times New Roman" w:cs="Times New Roman"/>
          <w:lang w:eastAsia="de-DE"/>
        </w:rPr>
        <w:t xml:space="preserve">mit Weqatal, „und ich werde dem Bann weihen") und </w:t>
      </w:r>
      <w:r w:rsidRPr="003D3D82">
        <w:rPr>
          <w:rFonts w:eastAsia="Times New Roman" w:cs="Times New Roman"/>
          <w:b/>
          <w:bCs/>
          <w:rtl/>
          <w:lang w:eastAsia="de-DE"/>
        </w:rPr>
        <w:t>אֶת־עָרֵיהֶם</w:t>
      </w:r>
      <w:r w:rsidRPr="003D3D82">
        <w:rPr>
          <w:rFonts w:eastAsia="Times New Roman" w:cs="Times New Roman"/>
          <w:rtl/>
          <w:lang w:eastAsia="de-DE"/>
        </w:rPr>
        <w:t xml:space="preserve"> </w:t>
      </w:r>
      <w:r w:rsidRPr="003D3D82">
        <w:rPr>
          <w:rFonts w:eastAsia="Times New Roman" w:cs="Times New Roman"/>
          <w:lang w:eastAsia="de-DE"/>
        </w:rPr>
        <w:t xml:space="preserve">(„ihre Städte") mit Possessivsuffix 3. m. pl. </w:t>
      </w:r>
      <w:r w:rsidRPr="003D3D82">
        <w:rPr>
          <w:rFonts w:eastAsia="Times New Roman" w:cs="Times New Roman"/>
          <w:b/>
          <w:bCs/>
          <w:rtl/>
          <w:lang w:eastAsia="de-DE"/>
        </w:rPr>
        <w:t>חרם</w:t>
      </w:r>
      <w:r w:rsidRPr="003D3D82">
        <w:rPr>
          <w:rFonts w:eastAsia="Times New Roman" w:cs="Times New Roman"/>
          <w:rtl/>
          <w:lang w:eastAsia="de-DE"/>
        </w:rPr>
        <w:t xml:space="preserve"> </w:t>
      </w:r>
      <w:r w:rsidRPr="003D3D82">
        <w:rPr>
          <w:rFonts w:eastAsia="Times New Roman" w:cs="Times New Roman"/>
          <w:lang w:eastAsia="de-DE"/>
        </w:rPr>
        <w:t xml:space="preserve">im Hifil bedeutet die völlige Vernichtung als Opfer für JHWH – das </w:t>
      </w:r>
      <w:r w:rsidRPr="003D3D82">
        <w:rPr>
          <w:rFonts w:eastAsia="Times New Roman" w:cs="Times New Roman"/>
          <w:b/>
          <w:bCs/>
          <w:rtl/>
          <w:lang w:eastAsia="de-DE"/>
        </w:rPr>
        <w:t>חֵרֶם</w:t>
      </w:r>
      <w:r w:rsidRPr="003D3D82">
        <w:rPr>
          <w:rFonts w:eastAsia="Times New Roman" w:cs="Times New Roman"/>
          <w:lang w:eastAsia="de-DE"/>
        </w:rPr>
        <w:t>.</w:t>
      </w:r>
    </w:p>
    <w:p w14:paraId="53C1326B"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Die LXX</w:t>
      </w:r>
      <w:r w:rsidRPr="003D3D82">
        <w:rPr>
          <w:rFonts w:eastAsia="Times New Roman" w:cs="Times New Roman"/>
          <w:lang w:eastAsia="de-DE"/>
        </w:rPr>
        <w:t xml:space="preserve"> übersetzt </w:t>
      </w:r>
      <w:r w:rsidRPr="003D3D82">
        <w:rPr>
          <w:rFonts w:eastAsia="Times New Roman" w:cs="Times New Roman"/>
          <w:b/>
          <w:bCs/>
          <w:rtl/>
          <w:lang w:eastAsia="de-DE"/>
        </w:rPr>
        <w:t>חרם</w:t>
      </w:r>
      <w:r w:rsidRPr="003D3D82">
        <w:rPr>
          <w:rFonts w:eastAsia="Times New Roman" w:cs="Times New Roman"/>
          <w:rtl/>
          <w:lang w:eastAsia="de-DE"/>
        </w:rPr>
        <w:t xml:space="preserve"> </w:t>
      </w:r>
      <w:r w:rsidRPr="003D3D82">
        <w:rPr>
          <w:rFonts w:eastAsia="Times New Roman" w:cs="Times New Roman"/>
          <w:lang w:eastAsia="de-DE"/>
        </w:rPr>
        <w:t>mit ἀναθεματιῶ (anathematiō, „ich werde dem Bann weihen").</w:t>
      </w:r>
    </w:p>
    <w:p w14:paraId="35B806DE" w14:textId="5B92D5B6"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Die Satzstruktur zeigt zwei koordinierte Hauptsätze mit figura etymologica: Der erste mit Verb, Subjekt, innerem Objekt und indirektem Objekt; der zweite mit Verb und direkter Rede. Die direkte Rede enthält einen konditionalen Nebensatz (Protasis mit emphatischer Infinitiv-</w:t>
      </w:r>
      <w:r w:rsidR="00F133EC">
        <w:rPr>
          <w:rFonts w:eastAsia="Times New Roman" w:cs="Times New Roman"/>
          <w:lang w:eastAsia="de-DE"/>
        </w:rPr>
        <w:t>Construct</w:t>
      </w:r>
      <w:r w:rsidRPr="003D3D82">
        <w:rPr>
          <w:rFonts w:eastAsia="Times New Roman" w:cs="Times New Roman"/>
          <w:lang w:eastAsia="de-DE"/>
        </w:rPr>
        <w:t>ion, Verb, Objekt und Präpositionalphrase) und einen Hauptsatz als Apodosis. Insgesamt gibt es einen Nebensatz (Konditionalsatz).</w:t>
      </w:r>
    </w:p>
    <w:p w14:paraId="6FEC3DE0"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Der Vers zeigt Israels verzweifelte Reaktion: ein radikales Gelübde – vollständige Vernichtung im Austausch für Sieg.</w:t>
      </w:r>
    </w:p>
    <w:p w14:paraId="550EA24D" w14:textId="77777777" w:rsidR="003D3D82" w:rsidRPr="003D3D82" w:rsidRDefault="003D3D82" w:rsidP="003D3D82">
      <w:pPr>
        <w:spacing w:before="100" w:beforeAutospacing="1" w:after="100" w:afterAutospacing="1" w:line="240" w:lineRule="auto"/>
        <w:outlineLvl w:val="0"/>
        <w:rPr>
          <w:rFonts w:eastAsia="Times New Roman" w:cs="Times New Roman"/>
          <w:b/>
          <w:bCs/>
          <w:kern w:val="36"/>
          <w:sz w:val="48"/>
          <w:szCs w:val="48"/>
          <w:lang w:eastAsia="de-DE"/>
        </w:rPr>
      </w:pPr>
      <w:r w:rsidRPr="003D3D82">
        <w:rPr>
          <w:rFonts w:eastAsia="Times New Roman" w:cs="Times New Roman"/>
          <w:b/>
          <w:bCs/>
          <w:kern w:val="36"/>
          <w:sz w:val="48"/>
          <w:szCs w:val="48"/>
          <w:lang w:eastAsia="de-DE"/>
        </w:rPr>
        <w:t>Numeri 21,3</w:t>
      </w:r>
    </w:p>
    <w:p w14:paraId="2D753B6A"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Hebräisch:</w:t>
      </w:r>
      <w:r w:rsidRPr="003D3D82">
        <w:rPr>
          <w:rFonts w:eastAsia="Times New Roman" w:cs="Times New Roman"/>
          <w:lang w:eastAsia="de-DE"/>
        </w:rPr>
        <w:t xml:space="preserve"> </w:t>
      </w:r>
      <w:r w:rsidRPr="003D3D82">
        <w:rPr>
          <w:rFonts w:eastAsia="Times New Roman" w:cs="Times New Roman"/>
          <w:rtl/>
          <w:lang w:eastAsia="de-DE"/>
        </w:rPr>
        <w:t>וַיִּשְׁמַ֨ע יְהוָ֜ה בְּק֣וֹל יִשְׂרָאֵ֗ל וַיִּתֵּן֙ אֶת־הַֽכְּנַעֲנִ֔י וַיַּחֲרֵ֥ם אֶתְהֶ֖ם וְאֶת־עָרֵיהֶ֑ם וַיִּקְרָ֥א שֵׁם־הַמָּק֖וֹם חָרְמָֽה׃</w:t>
      </w:r>
    </w:p>
    <w:p w14:paraId="05752A60"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Deutsch:</w:t>
      </w:r>
      <w:r w:rsidRPr="003D3D82">
        <w:rPr>
          <w:rFonts w:eastAsia="Times New Roman" w:cs="Times New Roman"/>
          <w:lang w:eastAsia="de-DE"/>
        </w:rPr>
        <w:t xml:space="preserve"> Und der Ewige hörte auf die Stimme Israels und gab den Kanaaniter hin. Und er weihte sie und ihre Städte dem Bann. Und man nannte den Namen des Ortes Chorma.</w:t>
      </w:r>
    </w:p>
    <w:p w14:paraId="7AE768AF" w14:textId="77777777" w:rsidR="003D3D82" w:rsidRPr="003D3D82" w:rsidRDefault="00F329DD" w:rsidP="003D3D82">
      <w:pPr>
        <w:spacing w:after="0" w:line="240" w:lineRule="auto"/>
        <w:rPr>
          <w:rFonts w:eastAsia="Times New Roman" w:cs="Times New Roman"/>
          <w:lang w:eastAsia="de-DE"/>
        </w:rPr>
      </w:pPr>
      <w:r>
        <w:rPr>
          <w:rFonts w:eastAsia="Times New Roman" w:cs="Times New Roman"/>
          <w:noProof/>
          <w:lang w:eastAsia="de-DE"/>
        </w:rPr>
        <w:pict w14:anchorId="1ABE8421">
          <v:rect id="_x0000_i1732" style="width:0;height:1.5pt" o:hralign="center" o:hrstd="t" o:hr="t" fillcolor="#a0a0a0" stroked="f"/>
        </w:pict>
      </w:r>
    </w:p>
    <w:p w14:paraId="1AA7EA2D"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Kommentar:</w:t>
      </w:r>
      <w:r w:rsidRPr="003D3D82">
        <w:rPr>
          <w:rFonts w:eastAsia="Times New Roman" w:cs="Times New Roman"/>
          <w:lang w:eastAsia="de-DE"/>
        </w:rPr>
        <w:t xml:space="preserve"> Das Verb </w:t>
      </w:r>
      <w:r w:rsidRPr="003D3D82">
        <w:rPr>
          <w:rFonts w:eastAsia="Times New Roman" w:cs="Times New Roman"/>
          <w:b/>
          <w:bCs/>
          <w:rtl/>
          <w:lang w:eastAsia="de-DE"/>
        </w:rPr>
        <w:t>וַיִּשְׁמַע יְהוָה בְּקוֹל יִשְׂרָאֵל</w:t>
      </w:r>
      <w:r w:rsidRPr="003D3D82">
        <w:rPr>
          <w:rFonts w:eastAsia="Times New Roman" w:cs="Times New Roman"/>
          <w:rtl/>
          <w:lang w:eastAsia="de-DE"/>
        </w:rPr>
        <w:t xml:space="preserve"> </w:t>
      </w:r>
      <w:r w:rsidRPr="003D3D82">
        <w:rPr>
          <w:rFonts w:eastAsia="Times New Roman" w:cs="Times New Roman"/>
          <w:lang w:eastAsia="de-DE"/>
        </w:rPr>
        <w:t xml:space="preserve">(„und JHWH hörte auf die Stimme Israels") – </w:t>
      </w:r>
      <w:r w:rsidRPr="003D3D82">
        <w:rPr>
          <w:rFonts w:eastAsia="Times New Roman" w:cs="Times New Roman"/>
          <w:b/>
          <w:bCs/>
          <w:rtl/>
          <w:lang w:eastAsia="de-DE"/>
        </w:rPr>
        <w:t>בְּקוֹל</w:t>
      </w:r>
      <w:r w:rsidRPr="003D3D82">
        <w:rPr>
          <w:rFonts w:eastAsia="Times New Roman" w:cs="Times New Roman"/>
          <w:rtl/>
          <w:lang w:eastAsia="de-DE"/>
        </w:rPr>
        <w:t xml:space="preserve"> </w:t>
      </w:r>
      <w:r w:rsidRPr="003D3D82">
        <w:rPr>
          <w:rFonts w:eastAsia="Times New Roman" w:cs="Times New Roman"/>
          <w:lang w:eastAsia="de-DE"/>
        </w:rPr>
        <w:t xml:space="preserve">mit </w:t>
      </w:r>
      <w:r w:rsidRPr="003D3D82">
        <w:rPr>
          <w:rFonts w:eastAsia="Times New Roman" w:cs="Times New Roman"/>
          <w:b/>
          <w:bCs/>
          <w:rtl/>
          <w:lang w:eastAsia="de-DE"/>
        </w:rPr>
        <w:t>בְּ</w:t>
      </w:r>
      <w:r w:rsidRPr="003D3D82">
        <w:rPr>
          <w:rFonts w:eastAsia="Times New Roman" w:cs="Times New Roman"/>
          <w:rtl/>
          <w:lang w:eastAsia="de-DE"/>
        </w:rPr>
        <w:t xml:space="preserve"> </w:t>
      </w:r>
      <w:r w:rsidRPr="003D3D82">
        <w:rPr>
          <w:rFonts w:eastAsia="Times New Roman" w:cs="Times New Roman"/>
          <w:lang w:eastAsia="de-DE"/>
        </w:rPr>
        <w:t xml:space="preserve">„auf die Stimme" ist idiomatisch „erhören". </w:t>
      </w:r>
      <w:r w:rsidRPr="003D3D82">
        <w:rPr>
          <w:rFonts w:eastAsia="Times New Roman" w:cs="Times New Roman"/>
          <w:b/>
          <w:bCs/>
          <w:rtl/>
          <w:lang w:eastAsia="de-DE"/>
        </w:rPr>
        <w:t>וַיִּתֵּן אֶת־הַכְּנַעֲנִי</w:t>
      </w:r>
      <w:r w:rsidRPr="003D3D82">
        <w:rPr>
          <w:rFonts w:eastAsia="Times New Roman" w:cs="Times New Roman"/>
          <w:rtl/>
          <w:lang w:eastAsia="de-DE"/>
        </w:rPr>
        <w:t xml:space="preserve"> </w:t>
      </w:r>
      <w:r w:rsidRPr="003D3D82">
        <w:rPr>
          <w:rFonts w:eastAsia="Times New Roman" w:cs="Times New Roman"/>
          <w:lang w:eastAsia="de-DE"/>
        </w:rPr>
        <w:t>(„und er gab den Kanaaniter hin") – das Objekt ist Singular kollektiv.</w:t>
      </w:r>
    </w:p>
    <w:p w14:paraId="36CF89B4"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rtl/>
          <w:lang w:eastAsia="de-DE"/>
        </w:rPr>
        <w:t>וַיַּחֲרֵם אֶתְהֶם וְאֶת־עָרֵיהֶם</w:t>
      </w:r>
      <w:r w:rsidRPr="003D3D82">
        <w:rPr>
          <w:rFonts w:eastAsia="Times New Roman" w:cs="Times New Roman"/>
          <w:rtl/>
          <w:lang w:eastAsia="de-DE"/>
        </w:rPr>
        <w:t xml:space="preserve"> </w:t>
      </w:r>
      <w:r w:rsidRPr="003D3D82">
        <w:rPr>
          <w:rFonts w:eastAsia="Times New Roman" w:cs="Times New Roman"/>
          <w:lang w:eastAsia="de-DE"/>
        </w:rPr>
        <w:t xml:space="preserve">(„und er weihte sie und ihre Städte dem Bann") – </w:t>
      </w:r>
      <w:r w:rsidRPr="003D3D82">
        <w:rPr>
          <w:rFonts w:eastAsia="Times New Roman" w:cs="Times New Roman"/>
          <w:b/>
          <w:bCs/>
          <w:rtl/>
          <w:lang w:eastAsia="de-DE"/>
        </w:rPr>
        <w:t>וַיַּחֲרֵם</w:t>
      </w:r>
      <w:r w:rsidRPr="003D3D82">
        <w:rPr>
          <w:rFonts w:eastAsia="Times New Roman" w:cs="Times New Roman"/>
          <w:rtl/>
          <w:lang w:eastAsia="de-DE"/>
        </w:rPr>
        <w:t xml:space="preserve"> </w:t>
      </w:r>
      <w:r w:rsidRPr="003D3D82">
        <w:rPr>
          <w:rFonts w:eastAsia="Times New Roman" w:cs="Times New Roman"/>
          <w:lang w:eastAsia="de-DE"/>
        </w:rPr>
        <w:t xml:space="preserve">(Wayyiqtol, 3. m. sg. von </w:t>
      </w:r>
      <w:r w:rsidRPr="003D3D82">
        <w:rPr>
          <w:rFonts w:eastAsia="Times New Roman" w:cs="Times New Roman"/>
          <w:b/>
          <w:bCs/>
          <w:rtl/>
          <w:lang w:eastAsia="de-DE"/>
        </w:rPr>
        <w:t>חרם</w:t>
      </w:r>
      <w:r w:rsidRPr="003D3D82">
        <w:rPr>
          <w:rFonts w:eastAsia="Times New Roman" w:cs="Times New Roman"/>
          <w:rtl/>
          <w:lang w:eastAsia="de-DE"/>
        </w:rPr>
        <w:t xml:space="preserve"> </w:t>
      </w:r>
      <w:r w:rsidRPr="003D3D82">
        <w:rPr>
          <w:rFonts w:eastAsia="Times New Roman" w:cs="Times New Roman"/>
          <w:lang w:eastAsia="de-DE"/>
        </w:rPr>
        <w:t xml:space="preserve">Hifil) führt das Gelübde aus. Das doppelte Objekt </w:t>
      </w:r>
      <w:r w:rsidRPr="003D3D82">
        <w:rPr>
          <w:rFonts w:eastAsia="Times New Roman" w:cs="Times New Roman"/>
          <w:b/>
          <w:bCs/>
          <w:rtl/>
          <w:lang w:eastAsia="de-DE"/>
        </w:rPr>
        <w:t>אֶתְהֶם וְאֶת־עָרֵיהֶם</w:t>
      </w:r>
      <w:r w:rsidRPr="003D3D82">
        <w:rPr>
          <w:rFonts w:eastAsia="Times New Roman" w:cs="Times New Roman"/>
          <w:rtl/>
          <w:lang w:eastAsia="de-DE"/>
        </w:rPr>
        <w:t xml:space="preserve"> </w:t>
      </w:r>
      <w:r w:rsidRPr="003D3D82">
        <w:rPr>
          <w:rFonts w:eastAsia="Times New Roman" w:cs="Times New Roman"/>
          <w:lang w:eastAsia="de-DE"/>
        </w:rPr>
        <w:t>(„sie und ihre Städte") zeigt vollständige Vernichtung.</w:t>
      </w:r>
    </w:p>
    <w:p w14:paraId="52E2918F"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lastRenderedPageBreak/>
        <w:t xml:space="preserve">Die ätiologische Formel </w:t>
      </w:r>
      <w:r w:rsidRPr="003D3D82">
        <w:rPr>
          <w:rFonts w:eastAsia="Times New Roman" w:cs="Times New Roman"/>
          <w:b/>
          <w:bCs/>
          <w:rtl/>
          <w:lang w:eastAsia="de-DE"/>
        </w:rPr>
        <w:t>וַיִּקְרָא שֵׁם־הַמָּקוֹם חָרְמָֽה</w:t>
      </w:r>
      <w:r w:rsidRPr="003D3D82">
        <w:rPr>
          <w:rFonts w:eastAsia="Times New Roman" w:cs="Times New Roman"/>
          <w:rtl/>
          <w:lang w:eastAsia="de-DE"/>
        </w:rPr>
        <w:t xml:space="preserve"> </w:t>
      </w:r>
      <w:r w:rsidRPr="003D3D82">
        <w:rPr>
          <w:rFonts w:eastAsia="Times New Roman" w:cs="Times New Roman"/>
          <w:lang w:eastAsia="de-DE"/>
        </w:rPr>
        <w:t xml:space="preserve">(„und man nannte den Namen des Ortes Chorma") – </w:t>
      </w:r>
      <w:r w:rsidRPr="003D3D82">
        <w:rPr>
          <w:rFonts w:eastAsia="Times New Roman" w:cs="Times New Roman"/>
          <w:b/>
          <w:bCs/>
          <w:rtl/>
          <w:lang w:eastAsia="de-DE"/>
        </w:rPr>
        <w:t>חָרְמָה</w:t>
      </w:r>
      <w:r w:rsidRPr="003D3D82">
        <w:rPr>
          <w:rFonts w:eastAsia="Times New Roman" w:cs="Times New Roman"/>
          <w:rtl/>
          <w:lang w:eastAsia="de-DE"/>
        </w:rPr>
        <w:t xml:space="preserve"> </w:t>
      </w:r>
      <w:r w:rsidRPr="003D3D82">
        <w:rPr>
          <w:rFonts w:eastAsia="Times New Roman" w:cs="Times New Roman"/>
          <w:lang w:eastAsia="de-DE"/>
        </w:rPr>
        <w:t xml:space="preserve">ist eine Wortspiel-Etymologie von </w:t>
      </w:r>
      <w:r w:rsidRPr="003D3D82">
        <w:rPr>
          <w:rFonts w:eastAsia="Times New Roman" w:cs="Times New Roman"/>
          <w:b/>
          <w:bCs/>
          <w:rtl/>
          <w:lang w:eastAsia="de-DE"/>
        </w:rPr>
        <w:t>חֵרֶם</w:t>
      </w:r>
      <w:r w:rsidRPr="003D3D82">
        <w:rPr>
          <w:rFonts w:eastAsia="Times New Roman" w:cs="Times New Roman"/>
          <w:rtl/>
          <w:lang w:eastAsia="de-DE"/>
        </w:rPr>
        <w:t xml:space="preserve"> </w:t>
      </w:r>
      <w:r w:rsidRPr="003D3D82">
        <w:rPr>
          <w:rFonts w:eastAsia="Times New Roman" w:cs="Times New Roman"/>
          <w:lang w:eastAsia="de-DE"/>
        </w:rPr>
        <w:t xml:space="preserve">„Bann". Das unpersönliche </w:t>
      </w:r>
      <w:r w:rsidRPr="003D3D82">
        <w:rPr>
          <w:rFonts w:eastAsia="Times New Roman" w:cs="Times New Roman"/>
          <w:b/>
          <w:bCs/>
          <w:rtl/>
          <w:lang w:eastAsia="de-DE"/>
        </w:rPr>
        <w:t>וַיִּקְרָא</w:t>
      </w:r>
      <w:r w:rsidRPr="003D3D82">
        <w:rPr>
          <w:rFonts w:eastAsia="Times New Roman" w:cs="Times New Roman"/>
          <w:rtl/>
          <w:lang w:eastAsia="de-DE"/>
        </w:rPr>
        <w:t xml:space="preserve"> </w:t>
      </w:r>
      <w:r w:rsidRPr="003D3D82">
        <w:rPr>
          <w:rFonts w:eastAsia="Times New Roman" w:cs="Times New Roman"/>
          <w:lang w:eastAsia="de-DE"/>
        </w:rPr>
        <w:t>(„man nannte").</w:t>
      </w:r>
    </w:p>
    <w:p w14:paraId="58F70C9D" w14:textId="4761497A"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Die LXX</w:t>
      </w:r>
      <w:r w:rsidRPr="003D3D82">
        <w:rPr>
          <w:rFonts w:eastAsia="Times New Roman" w:cs="Times New Roman"/>
          <w:lang w:eastAsia="de-DE"/>
        </w:rPr>
        <w:t xml:space="preserve"> </w:t>
      </w:r>
      <w:r w:rsidR="005D7521">
        <w:t>übersetzt „</w:t>
      </w:r>
      <w:r w:rsidR="005D7521">
        <w:rPr>
          <w:rtl/>
        </w:rPr>
        <w:t>ח</w:t>
      </w:r>
      <w:r w:rsidR="005D7521" w:rsidRPr="005D7521">
        <w:rPr>
          <w:b/>
          <w:bCs/>
          <w:rtl/>
        </w:rPr>
        <w:t>ָרְמָה</w:t>
      </w:r>
      <w:r w:rsidR="005D7521">
        <w:t>" (Horma) mit „Ἀνάθεμα" (Anathema/Bann), was die Bedeutung des Namens direkt ins Griechische übersetzt statt ihn zu transliterieren.</w:t>
      </w:r>
    </w:p>
    <w:p w14:paraId="18ABD1EF"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Die Satzstruktur zeigt vier koordinierte Hauptsätze: Die ersten drei mit Verb, explizitem Subjekt bzw. implizitem Subjekt, Präpositionalphrase bzw. Objekt bzw. doppeltem Objekt; der vierte mit unpersönlichem Verb, Objekt (Constructus-Verbindung) und Prädikatsnomen. Es gibt keine Nebensätze.</w:t>
      </w:r>
    </w:p>
    <w:p w14:paraId="12A16AB6"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Der Vers schließt die Episode: JHWH erhört, gibt Sieg, das Gelübde wird erfüllt, der Ort wird nach dem </w:t>
      </w:r>
      <w:r w:rsidRPr="003D3D82">
        <w:rPr>
          <w:rFonts w:eastAsia="Times New Roman" w:cs="Times New Roman"/>
          <w:b/>
          <w:bCs/>
          <w:rtl/>
          <w:lang w:eastAsia="de-DE"/>
        </w:rPr>
        <w:t>חֵרֶם</w:t>
      </w:r>
      <w:r w:rsidRPr="003D3D82">
        <w:rPr>
          <w:rFonts w:eastAsia="Times New Roman" w:cs="Times New Roman"/>
          <w:rtl/>
          <w:lang w:eastAsia="de-DE"/>
        </w:rPr>
        <w:t xml:space="preserve"> </w:t>
      </w:r>
      <w:r w:rsidRPr="003D3D82">
        <w:rPr>
          <w:rFonts w:eastAsia="Times New Roman" w:cs="Times New Roman"/>
          <w:lang w:eastAsia="de-DE"/>
        </w:rPr>
        <w:t>benannt – eine Erinnerung für immer.</w:t>
      </w:r>
    </w:p>
    <w:p w14:paraId="55877406" w14:textId="77777777" w:rsidR="003D3D82" w:rsidRPr="003D3D82" w:rsidRDefault="003D3D82" w:rsidP="003D3D82">
      <w:pPr>
        <w:spacing w:before="100" w:beforeAutospacing="1" w:after="100" w:afterAutospacing="1" w:line="240" w:lineRule="auto"/>
        <w:outlineLvl w:val="0"/>
        <w:rPr>
          <w:rFonts w:eastAsia="Times New Roman" w:cs="Times New Roman"/>
          <w:b/>
          <w:bCs/>
          <w:kern w:val="36"/>
          <w:sz w:val="48"/>
          <w:szCs w:val="48"/>
          <w:lang w:eastAsia="de-DE"/>
        </w:rPr>
      </w:pPr>
      <w:r w:rsidRPr="003D3D82">
        <w:rPr>
          <w:rFonts w:eastAsia="Times New Roman" w:cs="Times New Roman"/>
          <w:b/>
          <w:bCs/>
          <w:kern w:val="36"/>
          <w:sz w:val="48"/>
          <w:szCs w:val="48"/>
          <w:lang w:eastAsia="de-DE"/>
        </w:rPr>
        <w:t>Numeri 21,4</w:t>
      </w:r>
    </w:p>
    <w:p w14:paraId="487AF4F4"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Hebräisch:</w:t>
      </w:r>
      <w:r w:rsidRPr="003D3D82">
        <w:rPr>
          <w:rFonts w:eastAsia="Times New Roman" w:cs="Times New Roman"/>
          <w:lang w:eastAsia="de-DE"/>
        </w:rPr>
        <w:t xml:space="preserve"> </w:t>
      </w:r>
      <w:r w:rsidRPr="003D3D82">
        <w:rPr>
          <w:rFonts w:eastAsia="Times New Roman" w:cs="Times New Roman"/>
          <w:rtl/>
          <w:lang w:eastAsia="de-DE"/>
        </w:rPr>
        <w:t>וַיִּסְע֞וּ מֵהֹ֤ר הָהָר֙ דֶּ֣רֶךְ יַם־ס֔וּף לִסְבֹ֖ב אֶת־אֶ֣רֶץ אֱד֑וֹם וַתִּקְצַ֥ר נֶֽפֶשׁ־הָעָ֖ם בַּדָּֽרֶךְ׃</w:t>
      </w:r>
    </w:p>
    <w:p w14:paraId="30140843"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Deutsch:</w:t>
      </w:r>
      <w:r w:rsidRPr="003D3D82">
        <w:rPr>
          <w:rFonts w:eastAsia="Times New Roman" w:cs="Times New Roman"/>
          <w:lang w:eastAsia="de-DE"/>
        </w:rPr>
        <w:t xml:space="preserve"> Sie brachen vom Berg Hor auf dem Weg zum Schilfmeer, um das Land Edom zu umgehen. Und die Seele des Volkes wurde ungeduldig auf dem Weg.</w:t>
      </w:r>
    </w:p>
    <w:p w14:paraId="0B8DC118" w14:textId="77777777" w:rsidR="003D3D82" w:rsidRPr="003D3D82" w:rsidRDefault="00F329DD" w:rsidP="003D3D82">
      <w:pPr>
        <w:spacing w:after="0" w:line="240" w:lineRule="auto"/>
        <w:rPr>
          <w:rFonts w:eastAsia="Times New Roman" w:cs="Times New Roman"/>
          <w:lang w:eastAsia="de-DE"/>
        </w:rPr>
      </w:pPr>
      <w:r>
        <w:rPr>
          <w:rFonts w:eastAsia="Times New Roman" w:cs="Times New Roman"/>
          <w:noProof/>
          <w:lang w:eastAsia="de-DE"/>
        </w:rPr>
        <w:pict w14:anchorId="19DF945F">
          <v:rect id="_x0000_i1733" style="width:0;height:1.5pt" o:hralign="center" o:hrstd="t" o:hr="t" fillcolor="#a0a0a0" stroked="f"/>
        </w:pict>
      </w:r>
    </w:p>
    <w:p w14:paraId="58356586"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Kommentar:</w:t>
      </w:r>
      <w:r w:rsidRPr="003D3D82">
        <w:rPr>
          <w:rFonts w:eastAsia="Times New Roman" w:cs="Times New Roman"/>
          <w:lang w:eastAsia="de-DE"/>
        </w:rPr>
        <w:t xml:space="preserve"> Das Verb </w:t>
      </w:r>
      <w:r w:rsidRPr="003D3D82">
        <w:rPr>
          <w:rFonts w:eastAsia="Times New Roman" w:cs="Times New Roman"/>
          <w:b/>
          <w:bCs/>
          <w:rtl/>
          <w:lang w:eastAsia="de-DE"/>
        </w:rPr>
        <w:t>וַיִּסְעוּ מֵהֹר הָהָר</w:t>
      </w:r>
      <w:r w:rsidRPr="003D3D82">
        <w:rPr>
          <w:rFonts w:eastAsia="Times New Roman" w:cs="Times New Roman"/>
          <w:rtl/>
          <w:lang w:eastAsia="de-DE"/>
        </w:rPr>
        <w:t xml:space="preserve"> </w:t>
      </w:r>
      <w:r w:rsidRPr="003D3D82">
        <w:rPr>
          <w:rFonts w:eastAsia="Times New Roman" w:cs="Times New Roman"/>
          <w:lang w:eastAsia="de-DE"/>
        </w:rPr>
        <w:t xml:space="preserve">(„und sie brachen auf vom Berg Hor") knüpft an Kapitel 20 an. Die Richtung </w:t>
      </w:r>
      <w:r w:rsidRPr="003D3D82">
        <w:rPr>
          <w:rFonts w:eastAsia="Times New Roman" w:cs="Times New Roman"/>
          <w:b/>
          <w:bCs/>
          <w:rtl/>
          <w:lang w:eastAsia="de-DE"/>
        </w:rPr>
        <w:t>דֶּרֶךְ יַם־סוּף</w:t>
      </w:r>
      <w:r w:rsidRPr="003D3D82">
        <w:rPr>
          <w:rFonts w:eastAsia="Times New Roman" w:cs="Times New Roman"/>
          <w:rtl/>
          <w:lang w:eastAsia="de-DE"/>
        </w:rPr>
        <w:t xml:space="preserve"> </w:t>
      </w:r>
      <w:r w:rsidRPr="003D3D82">
        <w:rPr>
          <w:rFonts w:eastAsia="Times New Roman" w:cs="Times New Roman"/>
          <w:lang w:eastAsia="de-DE"/>
        </w:rPr>
        <w:t xml:space="preserve">(„Weg zum Schilfmeer", Constructus-Verbindung) zeigt: sie müssen südwärts, einen langen Umweg. Der finale Infinitiv </w:t>
      </w:r>
      <w:r w:rsidRPr="003D3D82">
        <w:rPr>
          <w:rFonts w:eastAsia="Times New Roman" w:cs="Times New Roman"/>
          <w:b/>
          <w:bCs/>
          <w:rtl/>
          <w:lang w:eastAsia="de-DE"/>
        </w:rPr>
        <w:t>לִסְבֹב אֶת־אֶרֶץ אֱדוֹם</w:t>
      </w:r>
      <w:r w:rsidRPr="003D3D82">
        <w:rPr>
          <w:rFonts w:eastAsia="Times New Roman" w:cs="Times New Roman"/>
          <w:rtl/>
          <w:lang w:eastAsia="de-DE"/>
        </w:rPr>
        <w:t xml:space="preserve"> </w:t>
      </w:r>
      <w:r w:rsidRPr="003D3D82">
        <w:rPr>
          <w:rFonts w:eastAsia="Times New Roman" w:cs="Times New Roman"/>
          <w:lang w:eastAsia="de-DE"/>
        </w:rPr>
        <w:t xml:space="preserve">(Qal Infinitiv construct von </w:t>
      </w:r>
      <w:r w:rsidRPr="003D3D82">
        <w:rPr>
          <w:rFonts w:eastAsia="Times New Roman" w:cs="Times New Roman"/>
          <w:b/>
          <w:bCs/>
          <w:rtl/>
          <w:lang w:eastAsia="de-DE"/>
        </w:rPr>
        <w:t>סבב</w:t>
      </w:r>
      <w:r w:rsidRPr="003D3D82">
        <w:rPr>
          <w:rFonts w:eastAsia="Times New Roman" w:cs="Times New Roman"/>
          <w:rtl/>
          <w:lang w:eastAsia="de-DE"/>
        </w:rPr>
        <w:t xml:space="preserve"> </w:t>
      </w:r>
      <w:r w:rsidRPr="003D3D82">
        <w:rPr>
          <w:rFonts w:eastAsia="Times New Roman" w:cs="Times New Roman"/>
          <w:lang w:eastAsia="de-DE"/>
        </w:rPr>
        <w:t xml:space="preserve">mit </w:t>
      </w:r>
      <w:r w:rsidRPr="003D3D82">
        <w:rPr>
          <w:rFonts w:eastAsia="Times New Roman" w:cs="Times New Roman"/>
          <w:b/>
          <w:bCs/>
          <w:rtl/>
          <w:lang w:eastAsia="de-DE"/>
        </w:rPr>
        <w:t>לְ</w:t>
      </w:r>
      <w:r w:rsidRPr="003D3D82">
        <w:rPr>
          <w:rFonts w:eastAsia="Times New Roman" w:cs="Times New Roman"/>
          <w:lang w:eastAsia="de-DE"/>
        </w:rPr>
        <w:t xml:space="preserve">, „um zu umgehen", plus Objekt </w:t>
      </w:r>
      <w:r w:rsidRPr="003D3D82">
        <w:rPr>
          <w:rFonts w:eastAsia="Times New Roman" w:cs="Times New Roman"/>
          <w:b/>
          <w:bCs/>
          <w:rtl/>
          <w:lang w:eastAsia="de-DE"/>
        </w:rPr>
        <w:t>אֶרֶץ אֱדוֹם</w:t>
      </w:r>
      <w:r w:rsidRPr="003D3D82">
        <w:rPr>
          <w:rFonts w:eastAsia="Times New Roman" w:cs="Times New Roman"/>
          <w:rtl/>
          <w:lang w:eastAsia="de-DE"/>
        </w:rPr>
        <w:t xml:space="preserve"> </w:t>
      </w:r>
      <w:r w:rsidRPr="003D3D82">
        <w:rPr>
          <w:rFonts w:eastAsia="Times New Roman" w:cs="Times New Roman"/>
          <w:lang w:eastAsia="de-DE"/>
        </w:rPr>
        <w:t>Constructus-Verbindung) erklärt den Grund – Edoms Ablehnung in Kapitel 20 zwingt zum Umweg.</w:t>
      </w:r>
    </w:p>
    <w:p w14:paraId="13849B2D"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Reaktion </w:t>
      </w:r>
      <w:r w:rsidRPr="003D3D82">
        <w:rPr>
          <w:rFonts w:eastAsia="Times New Roman" w:cs="Times New Roman"/>
          <w:b/>
          <w:bCs/>
          <w:rtl/>
          <w:lang w:eastAsia="de-DE"/>
        </w:rPr>
        <w:t>וַתִּקְצַר נֶפֶשׁ־הָעָם בַּדָּרֶךְ</w:t>
      </w:r>
      <w:r w:rsidRPr="003D3D82">
        <w:rPr>
          <w:rFonts w:eastAsia="Times New Roman" w:cs="Times New Roman"/>
          <w:rtl/>
          <w:lang w:eastAsia="de-DE"/>
        </w:rPr>
        <w:t xml:space="preserve"> </w:t>
      </w:r>
      <w:r w:rsidRPr="003D3D82">
        <w:rPr>
          <w:rFonts w:eastAsia="Times New Roman" w:cs="Times New Roman"/>
          <w:lang w:eastAsia="de-DE"/>
        </w:rPr>
        <w:t xml:space="preserve">ist idiomatisch: </w:t>
      </w:r>
      <w:r w:rsidRPr="003D3D82">
        <w:rPr>
          <w:rFonts w:eastAsia="Times New Roman" w:cs="Times New Roman"/>
          <w:b/>
          <w:bCs/>
          <w:rtl/>
          <w:lang w:eastAsia="de-DE"/>
        </w:rPr>
        <w:t>וַתִּקְצַר</w:t>
      </w:r>
      <w:r w:rsidRPr="003D3D82">
        <w:rPr>
          <w:rFonts w:eastAsia="Times New Roman" w:cs="Times New Roman"/>
          <w:rtl/>
          <w:lang w:eastAsia="de-DE"/>
        </w:rPr>
        <w:t xml:space="preserve"> </w:t>
      </w:r>
      <w:r w:rsidRPr="003D3D82">
        <w:rPr>
          <w:rFonts w:eastAsia="Times New Roman" w:cs="Times New Roman"/>
          <w:lang w:eastAsia="de-DE"/>
        </w:rPr>
        <w:t xml:space="preserve">(Wayyiqtol, 3. f. sg. von </w:t>
      </w:r>
      <w:r w:rsidRPr="003D3D82">
        <w:rPr>
          <w:rFonts w:eastAsia="Times New Roman" w:cs="Times New Roman"/>
          <w:b/>
          <w:bCs/>
          <w:rtl/>
          <w:lang w:eastAsia="de-DE"/>
        </w:rPr>
        <w:t>קצר</w:t>
      </w:r>
      <w:r w:rsidRPr="003D3D82">
        <w:rPr>
          <w:rFonts w:eastAsia="Times New Roman" w:cs="Times New Roman"/>
          <w:lang w:eastAsia="de-DE"/>
        </w:rPr>
        <w:t xml:space="preserve">, „und sie wurde kurz"), </w:t>
      </w:r>
      <w:r w:rsidRPr="003D3D82">
        <w:rPr>
          <w:rFonts w:eastAsia="Times New Roman" w:cs="Times New Roman"/>
          <w:b/>
          <w:bCs/>
          <w:rtl/>
          <w:lang w:eastAsia="de-DE"/>
        </w:rPr>
        <w:t>נֶפֶשׁ־הָעָם</w:t>
      </w:r>
      <w:r w:rsidRPr="003D3D82">
        <w:rPr>
          <w:rFonts w:eastAsia="Times New Roman" w:cs="Times New Roman"/>
          <w:rtl/>
          <w:lang w:eastAsia="de-DE"/>
        </w:rPr>
        <w:t xml:space="preserve"> </w:t>
      </w:r>
      <w:r w:rsidRPr="003D3D82">
        <w:rPr>
          <w:rFonts w:eastAsia="Times New Roman" w:cs="Times New Roman"/>
          <w:lang w:eastAsia="de-DE"/>
        </w:rPr>
        <w:t xml:space="preserve">(„die Seele des Volkes", Constructus-Verbindung), </w:t>
      </w:r>
      <w:r w:rsidRPr="003D3D82">
        <w:rPr>
          <w:rFonts w:eastAsia="Times New Roman" w:cs="Times New Roman"/>
          <w:b/>
          <w:bCs/>
          <w:rtl/>
          <w:lang w:eastAsia="de-DE"/>
        </w:rPr>
        <w:t>בַּדָּרֶךְ</w:t>
      </w:r>
      <w:r w:rsidRPr="003D3D82">
        <w:rPr>
          <w:rFonts w:eastAsia="Times New Roman" w:cs="Times New Roman"/>
          <w:rtl/>
          <w:lang w:eastAsia="de-DE"/>
        </w:rPr>
        <w:t xml:space="preserve"> </w:t>
      </w:r>
      <w:r w:rsidRPr="003D3D82">
        <w:rPr>
          <w:rFonts w:eastAsia="Times New Roman" w:cs="Times New Roman"/>
          <w:lang w:eastAsia="de-DE"/>
        </w:rPr>
        <w:t xml:space="preserve">(„auf dem Weg"). Die Wendung </w:t>
      </w:r>
      <w:r w:rsidRPr="003D3D82">
        <w:rPr>
          <w:rFonts w:eastAsia="Times New Roman" w:cs="Times New Roman"/>
          <w:b/>
          <w:bCs/>
          <w:rtl/>
          <w:lang w:eastAsia="de-DE"/>
        </w:rPr>
        <w:t>קצר נפשׁ</w:t>
      </w:r>
      <w:r w:rsidRPr="003D3D82">
        <w:rPr>
          <w:rFonts w:eastAsia="Times New Roman" w:cs="Times New Roman"/>
          <w:rtl/>
          <w:lang w:eastAsia="de-DE"/>
        </w:rPr>
        <w:t xml:space="preserve"> </w:t>
      </w:r>
      <w:r w:rsidRPr="003D3D82">
        <w:rPr>
          <w:rFonts w:eastAsia="Times New Roman" w:cs="Times New Roman"/>
          <w:lang w:eastAsia="de-DE"/>
        </w:rPr>
        <w:t>bedeutet idiomatisch „ungeduldig werden, die Geduld verlieren, mutlos werden".</w:t>
      </w:r>
    </w:p>
    <w:p w14:paraId="6141CA7D" w14:textId="5FA0BBFD" w:rsidR="003D3D82" w:rsidRPr="003D3D82" w:rsidRDefault="005D7521" w:rsidP="003D3D82">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5D7521">
        <w:rPr>
          <w:b/>
          <w:bCs/>
          <w:rtl/>
        </w:rPr>
        <w:t>וַתִּקְצַר נֶפֶשׁ־הָעָם</w:t>
      </w:r>
      <w:r>
        <w:t>" (und die Seele des Volkes wurde ungeduldig) mit „καὶ ὠλιγοψύχησεν ὁ λαὸς" (und das Volk wurde kleinmütig/mutlos), was eine psychologische statt emotionaler Beschreibung ist.</w:t>
      </w:r>
    </w:p>
    <w:p w14:paraId="3401FFA4"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Die Satzstruktur zeigt zwei koordinierte Hauptsätze: Der erste mit Verb, Präpositionalphrase, weiterer Präpositionalphrase (Constructus-Verbindung) und finalem Infinitiv mit Objekt (Constructus-Verbindung); der zweite mit Verb, Subjekt (Constructus-Verbindung) und Präpositionalphrase. Insgesamt gibt es einen Nebensatz (finaler Infinitivsatz).</w:t>
      </w:r>
    </w:p>
    <w:p w14:paraId="4BB91570"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Der Vers zeigt den psychologischen Zusammenbruch: Der lange Umweg zermürbt das Volk – die Bühne für eine weitere Rebellion.</w:t>
      </w:r>
    </w:p>
    <w:p w14:paraId="1F2DD93F" w14:textId="77777777" w:rsidR="003D3D82" w:rsidRPr="003D3D82" w:rsidRDefault="003D3D82" w:rsidP="003D3D82">
      <w:pPr>
        <w:spacing w:before="100" w:beforeAutospacing="1" w:after="100" w:afterAutospacing="1" w:line="240" w:lineRule="auto"/>
        <w:outlineLvl w:val="0"/>
        <w:rPr>
          <w:rFonts w:eastAsia="Times New Roman" w:cs="Times New Roman"/>
          <w:b/>
          <w:bCs/>
          <w:kern w:val="36"/>
          <w:sz w:val="48"/>
          <w:szCs w:val="48"/>
          <w:lang w:eastAsia="de-DE"/>
        </w:rPr>
      </w:pPr>
      <w:r w:rsidRPr="003D3D82">
        <w:rPr>
          <w:rFonts w:eastAsia="Times New Roman" w:cs="Times New Roman"/>
          <w:b/>
          <w:bCs/>
          <w:kern w:val="36"/>
          <w:sz w:val="48"/>
          <w:szCs w:val="48"/>
          <w:lang w:eastAsia="de-DE"/>
        </w:rPr>
        <w:t>Numeri 21,5</w:t>
      </w:r>
    </w:p>
    <w:p w14:paraId="3CF40893"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lastRenderedPageBreak/>
        <w:t>Hebräisch:</w:t>
      </w:r>
      <w:r w:rsidRPr="003D3D82">
        <w:rPr>
          <w:rFonts w:eastAsia="Times New Roman" w:cs="Times New Roman"/>
          <w:lang w:eastAsia="de-DE"/>
        </w:rPr>
        <w:t xml:space="preserve"> </w:t>
      </w:r>
      <w:r w:rsidRPr="003D3D82">
        <w:rPr>
          <w:rFonts w:eastAsia="Times New Roman" w:cs="Times New Roman"/>
          <w:rtl/>
          <w:lang w:eastAsia="de-DE"/>
        </w:rPr>
        <w:t>וַיְדַבֵּ֣ר הָעָ֗ם בֵּֽאלֹהִים֮ וּבְמֹשֶׁה֒ לָמָ֤ה הֶֽעֱלִיתֻ֨נוּ֙ מִמִּצְרַ֔יִם לָמ֨וּת בַּמִּדְבָּ֑ר כִּ֣י אֵ֥ין לֶ֨חֶם֙ וְאֵ֣ין מַ֔יִם וְנַפְשֵׁ֣נוּ קָ֔צָה בַּלֶּ֖חֶם הַקְּלֹקֵֽל׃</w:t>
      </w:r>
    </w:p>
    <w:p w14:paraId="78F9BC33"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Deutsch:</w:t>
      </w:r>
      <w:r w:rsidRPr="003D3D82">
        <w:rPr>
          <w:rFonts w:eastAsia="Times New Roman" w:cs="Times New Roman"/>
          <w:lang w:eastAsia="de-DE"/>
        </w:rPr>
        <w:t xml:space="preserve"> Und das Volk redete gegen Gott und gegen Mosche: Warum habt ihr uns aus Ägypten heraufgeführt, um in der Wüste zu sterben? Denn es gibt kein Brot und kein Wasser, und unsere Seele ekelt sich vor diesem elenden Brot.</w:t>
      </w:r>
    </w:p>
    <w:p w14:paraId="1FB5F7B3" w14:textId="77777777" w:rsidR="003D3D82" w:rsidRPr="003D3D82" w:rsidRDefault="00F329DD" w:rsidP="003D3D82">
      <w:pPr>
        <w:spacing w:after="0" w:line="240" w:lineRule="auto"/>
        <w:rPr>
          <w:rFonts w:eastAsia="Times New Roman" w:cs="Times New Roman"/>
          <w:lang w:eastAsia="de-DE"/>
        </w:rPr>
      </w:pPr>
      <w:r>
        <w:rPr>
          <w:rFonts w:eastAsia="Times New Roman" w:cs="Times New Roman"/>
          <w:noProof/>
          <w:lang w:eastAsia="de-DE"/>
        </w:rPr>
        <w:pict w14:anchorId="5FD64341">
          <v:rect id="_x0000_i1734" style="width:0;height:1.5pt" o:hralign="center" o:hrstd="t" o:hr="t" fillcolor="#a0a0a0" stroked="f"/>
        </w:pict>
      </w:r>
    </w:p>
    <w:p w14:paraId="22EC5B95" w14:textId="0EF37EDA"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Kommentar:</w:t>
      </w:r>
      <w:r w:rsidRPr="003D3D82">
        <w:rPr>
          <w:rFonts w:eastAsia="Times New Roman" w:cs="Times New Roman"/>
          <w:lang w:eastAsia="de-DE"/>
        </w:rPr>
        <w:t xml:space="preserve"> Das Verb </w:t>
      </w:r>
      <w:r w:rsidRPr="003D3D82">
        <w:rPr>
          <w:rFonts w:eastAsia="Times New Roman" w:cs="Times New Roman"/>
          <w:b/>
          <w:bCs/>
          <w:rtl/>
          <w:lang w:eastAsia="de-DE"/>
        </w:rPr>
        <w:t>וַיְדַבֵּר</w:t>
      </w:r>
      <w:r w:rsidRPr="003D3D82">
        <w:rPr>
          <w:rFonts w:eastAsia="Times New Roman" w:cs="Times New Roman"/>
          <w:rtl/>
          <w:lang w:eastAsia="de-DE"/>
        </w:rPr>
        <w:t xml:space="preserve"> </w:t>
      </w:r>
      <w:r w:rsidRPr="003D3D82">
        <w:rPr>
          <w:rFonts w:eastAsia="Times New Roman" w:cs="Times New Roman"/>
          <w:lang w:eastAsia="de-DE"/>
        </w:rPr>
        <w:t xml:space="preserve">(Wayyiqtol, 3. m. sg. von </w:t>
      </w:r>
      <w:r w:rsidRPr="003D3D82">
        <w:rPr>
          <w:rFonts w:eastAsia="Times New Roman" w:cs="Times New Roman"/>
          <w:b/>
          <w:bCs/>
          <w:rtl/>
          <w:lang w:eastAsia="de-DE"/>
        </w:rPr>
        <w:t>דבר</w:t>
      </w:r>
      <w:r w:rsidRPr="003D3D82">
        <w:rPr>
          <w:rFonts w:eastAsia="Times New Roman" w:cs="Times New Roman"/>
          <w:rtl/>
          <w:lang w:eastAsia="de-DE"/>
        </w:rPr>
        <w:t xml:space="preserve"> </w:t>
      </w:r>
      <w:r w:rsidRPr="003D3D82">
        <w:rPr>
          <w:rFonts w:eastAsia="Times New Roman" w:cs="Times New Roman"/>
          <w:lang w:eastAsia="de-DE"/>
        </w:rPr>
        <w:t xml:space="preserve">Piel, „und es redete") mit kollektivem Singular. Das Subjekt </w:t>
      </w:r>
      <w:r w:rsidRPr="003D3D82">
        <w:rPr>
          <w:rFonts w:eastAsia="Times New Roman" w:cs="Times New Roman"/>
          <w:b/>
          <w:bCs/>
          <w:rtl/>
          <w:lang w:eastAsia="de-DE"/>
        </w:rPr>
        <w:t>הָעָם</w:t>
      </w:r>
      <w:r w:rsidRPr="003D3D82">
        <w:rPr>
          <w:rFonts w:eastAsia="Times New Roman" w:cs="Times New Roman"/>
          <w:rtl/>
          <w:lang w:eastAsia="de-DE"/>
        </w:rPr>
        <w:t xml:space="preserve"> </w:t>
      </w:r>
      <w:r w:rsidRPr="003D3D82">
        <w:rPr>
          <w:rFonts w:eastAsia="Times New Roman" w:cs="Times New Roman"/>
          <w:lang w:eastAsia="de-DE"/>
        </w:rPr>
        <w:t xml:space="preserve">(„das Volk") mit Artikel. Die doppelte Präposition </w:t>
      </w:r>
      <w:r w:rsidRPr="003D3D82">
        <w:rPr>
          <w:rFonts w:eastAsia="Times New Roman" w:cs="Times New Roman"/>
          <w:b/>
          <w:bCs/>
          <w:rtl/>
          <w:lang w:eastAsia="de-DE"/>
        </w:rPr>
        <w:t>בֵּאלֹהִים וּבְמֹשֶׁה</w:t>
      </w:r>
      <w:r w:rsidRPr="003D3D82">
        <w:rPr>
          <w:rFonts w:eastAsia="Times New Roman" w:cs="Times New Roman"/>
          <w:rtl/>
          <w:lang w:eastAsia="de-DE"/>
        </w:rPr>
        <w:t xml:space="preserve"> </w:t>
      </w:r>
      <w:r w:rsidRPr="003D3D82">
        <w:rPr>
          <w:rFonts w:eastAsia="Times New Roman" w:cs="Times New Roman"/>
          <w:lang w:eastAsia="de-DE"/>
        </w:rPr>
        <w:t xml:space="preserve">(„gegen Gott und gegen Mose") verwendet </w:t>
      </w:r>
      <w:r w:rsidRPr="003D3D82">
        <w:rPr>
          <w:rFonts w:eastAsia="Times New Roman" w:cs="Times New Roman"/>
          <w:b/>
          <w:bCs/>
          <w:rtl/>
          <w:lang w:eastAsia="de-DE"/>
        </w:rPr>
        <w:t>בְּ</w:t>
      </w:r>
      <w:r w:rsidRPr="003D3D82">
        <w:rPr>
          <w:rFonts w:eastAsia="Times New Roman" w:cs="Times New Roman"/>
          <w:rtl/>
          <w:lang w:eastAsia="de-DE"/>
        </w:rPr>
        <w:t xml:space="preserve"> </w:t>
      </w:r>
      <w:r w:rsidRPr="003D3D82">
        <w:rPr>
          <w:rFonts w:eastAsia="Times New Roman" w:cs="Times New Roman"/>
          <w:lang w:eastAsia="de-DE"/>
        </w:rPr>
        <w:t xml:space="preserve">im feindseligen Sinne „gegen" – nicht neutrales „zu" oder „mit", sondern aktive Opposition. Bemerkenswert ist die Reihenfolge: </w:t>
      </w:r>
      <w:r w:rsidRPr="003D3D82">
        <w:rPr>
          <w:rFonts w:eastAsia="Times New Roman" w:cs="Times New Roman"/>
          <w:b/>
          <w:bCs/>
          <w:rtl/>
          <w:lang w:eastAsia="de-DE"/>
        </w:rPr>
        <w:t>אֱלֹהִים</w:t>
      </w:r>
      <w:r w:rsidRPr="003D3D82">
        <w:rPr>
          <w:rFonts w:eastAsia="Times New Roman" w:cs="Times New Roman"/>
          <w:rtl/>
          <w:lang w:eastAsia="de-DE"/>
        </w:rPr>
        <w:t xml:space="preserve"> </w:t>
      </w:r>
      <w:r w:rsidRPr="003D3D82">
        <w:rPr>
          <w:rFonts w:eastAsia="Times New Roman" w:cs="Times New Roman"/>
          <w:lang w:eastAsia="de-DE"/>
        </w:rPr>
        <w:t xml:space="preserve">(Gott) wird </w:t>
      </w:r>
      <w:r w:rsidRPr="003D3D82">
        <w:rPr>
          <w:rFonts w:eastAsia="Times New Roman" w:cs="Times New Roman"/>
          <w:b/>
          <w:bCs/>
          <w:lang w:eastAsia="de-DE"/>
        </w:rPr>
        <w:t>vor</w:t>
      </w:r>
      <w:r w:rsidRPr="003D3D82">
        <w:rPr>
          <w:rFonts w:eastAsia="Times New Roman" w:cs="Times New Roman"/>
          <w:lang w:eastAsia="de-DE"/>
        </w:rPr>
        <w:t xml:space="preserve"> Mose genannt – die Rebellion richtet sich primär gegen Gott selbst. Die Verwendung von </w:t>
      </w:r>
      <w:r w:rsidRPr="003D3D82">
        <w:rPr>
          <w:rFonts w:eastAsia="Times New Roman" w:cs="Times New Roman"/>
          <w:b/>
          <w:bCs/>
          <w:rtl/>
          <w:lang w:eastAsia="de-DE"/>
        </w:rPr>
        <w:t>אֱלֹהִים</w:t>
      </w:r>
      <w:r w:rsidRPr="003D3D82">
        <w:rPr>
          <w:rFonts w:eastAsia="Times New Roman" w:cs="Times New Roman"/>
          <w:rtl/>
          <w:lang w:eastAsia="de-DE"/>
        </w:rPr>
        <w:t xml:space="preserve"> </w:t>
      </w:r>
      <w:r w:rsidRPr="003D3D82">
        <w:rPr>
          <w:rFonts w:eastAsia="Times New Roman" w:cs="Times New Roman"/>
          <w:lang w:eastAsia="de-DE"/>
        </w:rPr>
        <w:t xml:space="preserve">(statt </w:t>
      </w:r>
      <w:r w:rsidRPr="003D3D82">
        <w:rPr>
          <w:rFonts w:eastAsia="Times New Roman" w:cs="Times New Roman"/>
          <w:b/>
          <w:bCs/>
          <w:rtl/>
          <w:lang w:eastAsia="de-DE"/>
        </w:rPr>
        <w:t>יְהוָה</w:t>
      </w:r>
      <w:r w:rsidRPr="003D3D82">
        <w:rPr>
          <w:rFonts w:eastAsia="Times New Roman" w:cs="Times New Roman"/>
          <w:lang w:eastAsia="de-DE"/>
        </w:rPr>
        <w:t>) könnte auf eine distanzierte, weniger persönliche Haltung hinweisen, oder einfach stilistische Variation sein.</w:t>
      </w:r>
      <w:r w:rsidR="00B34258">
        <w:rPr>
          <w:rFonts w:eastAsia="Times New Roman" w:cs="Times New Roman"/>
          <w:lang w:eastAsia="de-DE"/>
        </w:rPr>
        <w:t xml:space="preserve"> </w:t>
      </w:r>
      <w:r w:rsidR="00B34258">
        <w:t xml:space="preserve">Die Verwendung von </w:t>
      </w:r>
      <w:r w:rsidR="00B34258">
        <w:rPr>
          <w:rtl/>
        </w:rPr>
        <w:t>אלהים</w:t>
      </w:r>
      <w:r w:rsidR="00B34258">
        <w:t xml:space="preserve"> statt </w:t>
      </w:r>
      <w:r w:rsidR="00B34258">
        <w:rPr>
          <w:rtl/>
        </w:rPr>
        <w:t>יהוה</w:t>
      </w:r>
      <w:r w:rsidR="00B34258">
        <w:t xml:space="preserve"> könnte auch auf </w:t>
      </w:r>
      <w:r w:rsidR="00B34258">
        <w:rPr>
          <w:rStyle w:val="Fett"/>
        </w:rPr>
        <w:t>universale</w:t>
      </w:r>
      <w:r w:rsidR="00B34258">
        <w:t xml:space="preserve"> statt </w:t>
      </w:r>
      <w:r w:rsidR="00B34258">
        <w:rPr>
          <w:rStyle w:val="Fett"/>
        </w:rPr>
        <w:t>bundesspezifische</w:t>
      </w:r>
      <w:r w:rsidR="00B34258">
        <w:t xml:space="preserve"> Anklage hinweisen (sie klagen gegen "Gott allgemein", nicht nur gegen den Bundesgott).</w:t>
      </w:r>
    </w:p>
    <w:p w14:paraId="60821687"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rhetorische Frage </w:t>
      </w:r>
      <w:r w:rsidRPr="003D3D82">
        <w:rPr>
          <w:rFonts w:eastAsia="Times New Roman" w:cs="Times New Roman"/>
          <w:b/>
          <w:bCs/>
          <w:rtl/>
          <w:lang w:eastAsia="de-DE"/>
        </w:rPr>
        <w:t>לָמָה הֶעֱלִיתֻנוּ מִמִּצְרַיִם</w:t>
      </w:r>
      <w:r w:rsidRPr="003D3D82">
        <w:rPr>
          <w:rFonts w:eastAsia="Times New Roman" w:cs="Times New Roman"/>
          <w:rtl/>
          <w:lang w:eastAsia="de-DE"/>
        </w:rPr>
        <w:t xml:space="preserve"> </w:t>
      </w:r>
      <w:r w:rsidRPr="003D3D82">
        <w:rPr>
          <w:rFonts w:eastAsia="Times New Roman" w:cs="Times New Roman"/>
          <w:lang w:eastAsia="de-DE"/>
        </w:rPr>
        <w:t xml:space="preserve">wiederholt fast wörtlich frühere Klagen (vgl. Ex 14,11; 17,3; Num 20,5). </w:t>
      </w:r>
      <w:r w:rsidRPr="003D3D82">
        <w:rPr>
          <w:rFonts w:eastAsia="Times New Roman" w:cs="Times New Roman"/>
          <w:b/>
          <w:bCs/>
          <w:rtl/>
          <w:lang w:eastAsia="de-DE"/>
        </w:rPr>
        <w:t>לָמָה</w:t>
      </w:r>
      <w:r w:rsidRPr="003D3D82">
        <w:rPr>
          <w:rFonts w:eastAsia="Times New Roman" w:cs="Times New Roman"/>
          <w:rtl/>
          <w:lang w:eastAsia="de-DE"/>
        </w:rPr>
        <w:t xml:space="preserve"> </w:t>
      </w:r>
      <w:r w:rsidRPr="003D3D82">
        <w:rPr>
          <w:rFonts w:eastAsia="Times New Roman" w:cs="Times New Roman"/>
          <w:lang w:eastAsia="de-DE"/>
        </w:rPr>
        <w:t xml:space="preserve">ist das Interrogativ „warum". </w:t>
      </w:r>
      <w:r w:rsidRPr="003D3D82">
        <w:rPr>
          <w:rFonts w:eastAsia="Times New Roman" w:cs="Times New Roman"/>
          <w:b/>
          <w:bCs/>
          <w:rtl/>
          <w:lang w:eastAsia="de-DE"/>
        </w:rPr>
        <w:t>הֶעֱלִיתֻנוּ</w:t>
      </w:r>
      <w:r w:rsidRPr="003D3D82">
        <w:rPr>
          <w:rFonts w:eastAsia="Times New Roman" w:cs="Times New Roman"/>
          <w:rtl/>
          <w:lang w:eastAsia="de-DE"/>
        </w:rPr>
        <w:t xml:space="preserve"> </w:t>
      </w:r>
      <w:r w:rsidRPr="003D3D82">
        <w:rPr>
          <w:rFonts w:eastAsia="Times New Roman" w:cs="Times New Roman"/>
          <w:lang w:eastAsia="de-DE"/>
        </w:rPr>
        <w:t xml:space="preserve">(Hifil Perfekt, 2. m. pl. von </w:t>
      </w:r>
      <w:r w:rsidRPr="003D3D82">
        <w:rPr>
          <w:rFonts w:eastAsia="Times New Roman" w:cs="Times New Roman"/>
          <w:b/>
          <w:bCs/>
          <w:rtl/>
          <w:lang w:eastAsia="de-DE"/>
        </w:rPr>
        <w:t>עלה</w:t>
      </w:r>
      <w:r w:rsidRPr="003D3D82">
        <w:rPr>
          <w:rFonts w:eastAsia="Times New Roman" w:cs="Times New Roman"/>
          <w:rtl/>
          <w:lang w:eastAsia="de-DE"/>
        </w:rPr>
        <w:t xml:space="preserve"> </w:t>
      </w:r>
      <w:r w:rsidRPr="003D3D82">
        <w:rPr>
          <w:rFonts w:eastAsia="Times New Roman" w:cs="Times New Roman"/>
          <w:lang w:eastAsia="de-DE"/>
        </w:rPr>
        <w:t xml:space="preserve">mit Objektsuffix 1. c. pl., „ihr habt uns heraufgeführt") ist kausativ – die Anklage richtet sich im Plural sowohl an Gott als auch an Mose. </w:t>
      </w:r>
      <w:r w:rsidRPr="003D3D82">
        <w:rPr>
          <w:rFonts w:eastAsia="Times New Roman" w:cs="Times New Roman"/>
          <w:b/>
          <w:bCs/>
          <w:rtl/>
          <w:lang w:eastAsia="de-DE"/>
        </w:rPr>
        <w:t>מִמִּצְרַיִם</w:t>
      </w:r>
      <w:r w:rsidRPr="003D3D82">
        <w:rPr>
          <w:rFonts w:eastAsia="Times New Roman" w:cs="Times New Roman"/>
          <w:rtl/>
          <w:lang w:eastAsia="de-DE"/>
        </w:rPr>
        <w:t xml:space="preserve"> </w:t>
      </w:r>
      <w:r w:rsidRPr="003D3D82">
        <w:rPr>
          <w:rFonts w:eastAsia="Times New Roman" w:cs="Times New Roman"/>
          <w:lang w:eastAsia="de-DE"/>
        </w:rPr>
        <w:t xml:space="preserve">(„aus Ägypten") mit </w:t>
      </w:r>
      <w:r w:rsidRPr="003D3D82">
        <w:rPr>
          <w:rFonts w:eastAsia="Times New Roman" w:cs="Times New Roman"/>
          <w:b/>
          <w:bCs/>
          <w:rtl/>
          <w:lang w:eastAsia="de-DE"/>
        </w:rPr>
        <w:t>מִן</w:t>
      </w:r>
      <w:r w:rsidRPr="003D3D82">
        <w:rPr>
          <w:rFonts w:eastAsia="Times New Roman" w:cs="Times New Roman"/>
          <w:lang w:eastAsia="de-DE"/>
        </w:rPr>
        <w:t>. Die ständige Wiederholung dieser Anklage durch das Volk zeigt ein Muster: Bei jeder Krise wird die Vergangenheit verklärt und der Exodus als Fehler dargestellt.</w:t>
      </w:r>
    </w:p>
    <w:p w14:paraId="79A72A1B"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Der finale Infinitiv </w:t>
      </w:r>
      <w:r w:rsidRPr="003D3D82">
        <w:rPr>
          <w:rFonts w:eastAsia="Times New Roman" w:cs="Times New Roman"/>
          <w:b/>
          <w:bCs/>
          <w:rtl/>
          <w:lang w:eastAsia="de-DE"/>
        </w:rPr>
        <w:t>לָמוּת בַּמִּדְבָּר</w:t>
      </w:r>
      <w:r w:rsidRPr="003D3D82">
        <w:rPr>
          <w:rFonts w:eastAsia="Times New Roman" w:cs="Times New Roman"/>
          <w:rtl/>
          <w:lang w:eastAsia="de-DE"/>
        </w:rPr>
        <w:t xml:space="preserve"> </w:t>
      </w:r>
      <w:r w:rsidRPr="003D3D82">
        <w:rPr>
          <w:rFonts w:eastAsia="Times New Roman" w:cs="Times New Roman"/>
          <w:lang w:eastAsia="de-DE"/>
        </w:rPr>
        <w:t xml:space="preserve">(Qal Infinitiv construct von </w:t>
      </w:r>
      <w:r w:rsidRPr="003D3D82">
        <w:rPr>
          <w:rFonts w:eastAsia="Times New Roman" w:cs="Times New Roman"/>
          <w:b/>
          <w:bCs/>
          <w:rtl/>
          <w:lang w:eastAsia="de-DE"/>
        </w:rPr>
        <w:t>מות</w:t>
      </w:r>
      <w:r w:rsidRPr="003D3D82">
        <w:rPr>
          <w:rFonts w:eastAsia="Times New Roman" w:cs="Times New Roman"/>
          <w:rtl/>
          <w:lang w:eastAsia="de-DE"/>
        </w:rPr>
        <w:t xml:space="preserve"> </w:t>
      </w:r>
      <w:r w:rsidRPr="003D3D82">
        <w:rPr>
          <w:rFonts w:eastAsia="Times New Roman" w:cs="Times New Roman"/>
          <w:lang w:eastAsia="de-DE"/>
        </w:rPr>
        <w:t xml:space="preserve">mit </w:t>
      </w:r>
      <w:r w:rsidRPr="003D3D82">
        <w:rPr>
          <w:rFonts w:eastAsia="Times New Roman" w:cs="Times New Roman"/>
          <w:b/>
          <w:bCs/>
          <w:rtl/>
          <w:lang w:eastAsia="de-DE"/>
        </w:rPr>
        <w:t>לְ</w:t>
      </w:r>
      <w:r w:rsidRPr="003D3D82">
        <w:rPr>
          <w:rFonts w:eastAsia="Times New Roman" w:cs="Times New Roman"/>
          <w:lang w:eastAsia="de-DE"/>
        </w:rPr>
        <w:t xml:space="preserve">, „um zu sterben", plus </w:t>
      </w:r>
      <w:r w:rsidRPr="003D3D82">
        <w:rPr>
          <w:rFonts w:eastAsia="Times New Roman" w:cs="Times New Roman"/>
          <w:b/>
          <w:bCs/>
          <w:rtl/>
          <w:lang w:eastAsia="de-DE"/>
        </w:rPr>
        <w:t>בַּמִּדְבָּר</w:t>
      </w:r>
      <w:r w:rsidRPr="003D3D82">
        <w:rPr>
          <w:rFonts w:eastAsia="Times New Roman" w:cs="Times New Roman"/>
          <w:rtl/>
          <w:lang w:eastAsia="de-DE"/>
        </w:rPr>
        <w:t xml:space="preserve"> </w:t>
      </w:r>
      <w:r w:rsidRPr="003D3D82">
        <w:rPr>
          <w:rFonts w:eastAsia="Times New Roman" w:cs="Times New Roman"/>
          <w:lang w:eastAsia="de-DE"/>
        </w:rPr>
        <w:t>„in der Wüste") drückt den (vermeintlichen) Zweck aus – sie unterstellen böse Absicht.</w:t>
      </w:r>
    </w:p>
    <w:p w14:paraId="1D0751AF"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kausale Begründung </w:t>
      </w:r>
      <w:r w:rsidRPr="003D3D82">
        <w:rPr>
          <w:rFonts w:eastAsia="Times New Roman" w:cs="Times New Roman"/>
          <w:b/>
          <w:bCs/>
          <w:rtl/>
          <w:lang w:eastAsia="de-DE"/>
        </w:rPr>
        <w:t>כִּי אֵין לֶחֶם וְאֵין מַיִם</w:t>
      </w:r>
      <w:r w:rsidRPr="003D3D82">
        <w:rPr>
          <w:rFonts w:eastAsia="Times New Roman" w:cs="Times New Roman"/>
          <w:rtl/>
          <w:lang w:eastAsia="de-DE"/>
        </w:rPr>
        <w:t xml:space="preserve"> </w:t>
      </w:r>
      <w:r w:rsidRPr="003D3D82">
        <w:rPr>
          <w:rFonts w:eastAsia="Times New Roman" w:cs="Times New Roman"/>
          <w:lang w:eastAsia="de-DE"/>
        </w:rPr>
        <w:t xml:space="preserve">(„denn es gibt kein Brot und kein Wasser") mit doppelter Existenznegation </w:t>
      </w:r>
      <w:r w:rsidRPr="003D3D82">
        <w:rPr>
          <w:rFonts w:eastAsia="Times New Roman" w:cs="Times New Roman"/>
          <w:b/>
          <w:bCs/>
          <w:rtl/>
          <w:lang w:eastAsia="de-DE"/>
        </w:rPr>
        <w:t>אֵין</w:t>
      </w:r>
      <w:r w:rsidRPr="003D3D82">
        <w:rPr>
          <w:rFonts w:eastAsia="Times New Roman" w:cs="Times New Roman"/>
          <w:rtl/>
          <w:lang w:eastAsia="de-DE"/>
        </w:rPr>
        <w:t xml:space="preserve"> </w:t>
      </w:r>
      <w:r w:rsidRPr="003D3D82">
        <w:rPr>
          <w:rFonts w:eastAsia="Times New Roman" w:cs="Times New Roman"/>
          <w:lang w:eastAsia="de-DE"/>
        </w:rPr>
        <w:t xml:space="preserve">ist eine krasse Übertreibung – das Manna fällt täglich (Ex 16), und Wasser wurde wiederholt bereitgestellt (Ex 17, Num 20). Die Formulierung </w:t>
      </w:r>
      <w:r w:rsidRPr="003D3D82">
        <w:rPr>
          <w:rFonts w:eastAsia="Times New Roman" w:cs="Times New Roman"/>
          <w:b/>
          <w:bCs/>
          <w:rtl/>
          <w:lang w:eastAsia="de-DE"/>
        </w:rPr>
        <w:t>אֵין לֶחֶם</w:t>
      </w:r>
      <w:r w:rsidRPr="003D3D82">
        <w:rPr>
          <w:rFonts w:eastAsia="Times New Roman" w:cs="Times New Roman"/>
          <w:rtl/>
          <w:lang w:eastAsia="de-DE"/>
        </w:rPr>
        <w:t xml:space="preserve"> </w:t>
      </w:r>
      <w:r w:rsidRPr="003D3D82">
        <w:rPr>
          <w:rFonts w:eastAsia="Times New Roman" w:cs="Times New Roman"/>
          <w:lang w:eastAsia="de-DE"/>
        </w:rPr>
        <w:t>(„es gibt kein Brot") ist faktisch falsch – aber das Volk ist so unzufrieden, dass es die göttliche Versorgung leugnet.</w:t>
      </w:r>
    </w:p>
    <w:p w14:paraId="3CD5746D"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Der paradoxe Abschluss </w:t>
      </w:r>
      <w:r w:rsidRPr="003D3D82">
        <w:rPr>
          <w:rFonts w:eastAsia="Times New Roman" w:cs="Times New Roman"/>
          <w:b/>
          <w:bCs/>
          <w:rtl/>
          <w:lang w:eastAsia="de-DE"/>
        </w:rPr>
        <w:t>וְנַפְשֵׁנוּ קָצָה בַּלֶּחֶם הַקְּלֹקֵל</w:t>
      </w:r>
      <w:r w:rsidRPr="003D3D82">
        <w:rPr>
          <w:rFonts w:eastAsia="Times New Roman" w:cs="Times New Roman"/>
          <w:rtl/>
          <w:lang w:eastAsia="de-DE"/>
        </w:rPr>
        <w:t xml:space="preserve"> </w:t>
      </w:r>
      <w:r w:rsidRPr="003D3D82">
        <w:rPr>
          <w:rFonts w:eastAsia="Times New Roman" w:cs="Times New Roman"/>
          <w:lang w:eastAsia="de-DE"/>
        </w:rPr>
        <w:t xml:space="preserve">ist besonders provokativ: </w:t>
      </w:r>
      <w:r w:rsidRPr="003D3D82">
        <w:rPr>
          <w:rFonts w:eastAsia="Times New Roman" w:cs="Times New Roman"/>
          <w:b/>
          <w:bCs/>
          <w:rtl/>
          <w:lang w:eastAsia="de-DE"/>
        </w:rPr>
        <w:t>וְנַפְשֵׁנוּ</w:t>
      </w:r>
      <w:r w:rsidRPr="003D3D82">
        <w:rPr>
          <w:rFonts w:eastAsia="Times New Roman" w:cs="Times New Roman"/>
          <w:rtl/>
          <w:lang w:eastAsia="de-DE"/>
        </w:rPr>
        <w:t xml:space="preserve"> </w:t>
      </w:r>
      <w:r w:rsidRPr="003D3D82">
        <w:rPr>
          <w:rFonts w:eastAsia="Times New Roman" w:cs="Times New Roman"/>
          <w:lang w:eastAsia="de-DE"/>
        </w:rPr>
        <w:t xml:space="preserve">(„und unsere Seele") mit Possessivsuffix 1. c. pl., </w:t>
      </w:r>
      <w:r w:rsidRPr="003D3D82">
        <w:rPr>
          <w:rFonts w:eastAsia="Times New Roman" w:cs="Times New Roman"/>
          <w:b/>
          <w:bCs/>
          <w:rtl/>
          <w:lang w:eastAsia="de-DE"/>
        </w:rPr>
        <w:t>קָצָה</w:t>
      </w:r>
      <w:r w:rsidRPr="003D3D82">
        <w:rPr>
          <w:rFonts w:eastAsia="Times New Roman" w:cs="Times New Roman"/>
          <w:rtl/>
          <w:lang w:eastAsia="de-DE"/>
        </w:rPr>
        <w:t xml:space="preserve"> </w:t>
      </w:r>
      <w:r w:rsidRPr="003D3D82">
        <w:rPr>
          <w:rFonts w:eastAsia="Times New Roman" w:cs="Times New Roman"/>
          <w:lang w:eastAsia="de-DE"/>
        </w:rPr>
        <w:t xml:space="preserve">(Qal Perfekt, 3. f. sg. von </w:t>
      </w:r>
      <w:r w:rsidRPr="003D3D82">
        <w:rPr>
          <w:rFonts w:eastAsia="Times New Roman" w:cs="Times New Roman"/>
          <w:b/>
          <w:bCs/>
          <w:rtl/>
          <w:lang w:eastAsia="de-DE"/>
        </w:rPr>
        <w:t>קוץ</w:t>
      </w:r>
      <w:r w:rsidRPr="003D3D82">
        <w:rPr>
          <w:rFonts w:eastAsia="Times New Roman" w:cs="Times New Roman"/>
          <w:lang w:eastAsia="de-DE"/>
        </w:rPr>
        <w:t>, „sie ekelt sich, hat Abscheu") – dasselbe Verb wie in Vers 4 (</w:t>
      </w:r>
      <w:r w:rsidRPr="003D3D82">
        <w:rPr>
          <w:rFonts w:eastAsia="Times New Roman" w:cs="Times New Roman"/>
          <w:b/>
          <w:bCs/>
          <w:rtl/>
          <w:lang w:eastAsia="de-DE"/>
        </w:rPr>
        <w:t>קצר</w:t>
      </w:r>
      <w:r w:rsidRPr="003D3D82">
        <w:rPr>
          <w:rFonts w:eastAsia="Times New Roman" w:cs="Times New Roman"/>
          <w:lang w:eastAsia="de-DE"/>
        </w:rPr>
        <w:t xml:space="preserve">), aber hier in der Bedeutung „Ekel empfinden". </w:t>
      </w:r>
      <w:r w:rsidRPr="003D3D82">
        <w:rPr>
          <w:rFonts w:eastAsia="Times New Roman" w:cs="Times New Roman"/>
          <w:b/>
          <w:bCs/>
          <w:rtl/>
          <w:lang w:eastAsia="de-DE"/>
        </w:rPr>
        <w:t>בַּלֶּחֶם הַקְּלֹקֵל</w:t>
      </w:r>
      <w:r w:rsidRPr="003D3D82">
        <w:rPr>
          <w:rFonts w:eastAsia="Times New Roman" w:cs="Times New Roman"/>
          <w:rtl/>
          <w:lang w:eastAsia="de-DE"/>
        </w:rPr>
        <w:t xml:space="preserve"> </w:t>
      </w:r>
      <w:r w:rsidRPr="003D3D82">
        <w:rPr>
          <w:rFonts w:eastAsia="Times New Roman" w:cs="Times New Roman"/>
          <w:lang w:eastAsia="de-DE"/>
        </w:rPr>
        <w:t xml:space="preserve">(„vor diesem elenden Brot") ist die Beleidigung: </w:t>
      </w:r>
      <w:r w:rsidRPr="003D3D82">
        <w:rPr>
          <w:rFonts w:eastAsia="Times New Roman" w:cs="Times New Roman"/>
          <w:b/>
          <w:bCs/>
          <w:rtl/>
          <w:lang w:eastAsia="de-DE"/>
        </w:rPr>
        <w:t>לֶחֶם</w:t>
      </w:r>
      <w:r w:rsidRPr="003D3D82">
        <w:rPr>
          <w:rFonts w:eastAsia="Times New Roman" w:cs="Times New Roman"/>
          <w:rtl/>
          <w:lang w:eastAsia="de-DE"/>
        </w:rPr>
        <w:t xml:space="preserve"> </w:t>
      </w:r>
      <w:r w:rsidRPr="003D3D82">
        <w:rPr>
          <w:rFonts w:eastAsia="Times New Roman" w:cs="Times New Roman"/>
          <w:lang w:eastAsia="de-DE"/>
        </w:rPr>
        <w:t xml:space="preserve">„Brot" im Constructus, </w:t>
      </w:r>
      <w:r w:rsidRPr="003D3D82">
        <w:rPr>
          <w:rFonts w:eastAsia="Times New Roman" w:cs="Times New Roman"/>
          <w:b/>
          <w:bCs/>
          <w:rtl/>
          <w:lang w:eastAsia="de-DE"/>
        </w:rPr>
        <w:t>הַקְּלֹקֵל</w:t>
      </w:r>
      <w:r w:rsidRPr="003D3D82">
        <w:rPr>
          <w:rFonts w:eastAsia="Times New Roman" w:cs="Times New Roman"/>
          <w:rtl/>
          <w:lang w:eastAsia="de-DE"/>
        </w:rPr>
        <w:t xml:space="preserve"> </w:t>
      </w:r>
      <w:r w:rsidRPr="003D3D82">
        <w:rPr>
          <w:rFonts w:eastAsia="Times New Roman" w:cs="Times New Roman"/>
          <w:lang w:eastAsia="de-DE"/>
        </w:rPr>
        <w:t xml:space="preserve">(Artikel plus Adjektiv, möglicherweise von </w:t>
      </w:r>
      <w:r w:rsidRPr="003D3D82">
        <w:rPr>
          <w:rFonts w:eastAsia="Times New Roman" w:cs="Times New Roman"/>
          <w:b/>
          <w:bCs/>
          <w:rtl/>
          <w:lang w:eastAsia="de-DE"/>
        </w:rPr>
        <w:t>קלל</w:t>
      </w:r>
      <w:r w:rsidRPr="003D3D82">
        <w:rPr>
          <w:rFonts w:eastAsia="Times New Roman" w:cs="Times New Roman"/>
          <w:rtl/>
          <w:lang w:eastAsia="de-DE"/>
        </w:rPr>
        <w:t xml:space="preserve"> </w:t>
      </w:r>
      <w:r w:rsidRPr="003D3D82">
        <w:rPr>
          <w:rFonts w:eastAsia="Times New Roman" w:cs="Times New Roman"/>
          <w:lang w:eastAsia="de-DE"/>
        </w:rPr>
        <w:t>„leicht, wertlos" oder einer verwandten Wurzel) bedeutet „elend, wertlos, verächtlich".</w:t>
      </w:r>
    </w:p>
    <w:p w14:paraId="63E048DF"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Der Widerspruch ist offensichtlich: Erst sagen sie </w:t>
      </w:r>
      <w:r w:rsidRPr="003D3D82">
        <w:rPr>
          <w:rFonts w:eastAsia="Times New Roman" w:cs="Times New Roman"/>
          <w:b/>
          <w:bCs/>
          <w:rtl/>
          <w:lang w:eastAsia="de-DE"/>
        </w:rPr>
        <w:t>אֵין לֶחֶם</w:t>
      </w:r>
      <w:r w:rsidRPr="003D3D82">
        <w:rPr>
          <w:rFonts w:eastAsia="Times New Roman" w:cs="Times New Roman"/>
          <w:rtl/>
          <w:lang w:eastAsia="de-DE"/>
        </w:rPr>
        <w:t xml:space="preserve"> </w:t>
      </w:r>
      <w:r w:rsidRPr="003D3D82">
        <w:rPr>
          <w:rFonts w:eastAsia="Times New Roman" w:cs="Times New Roman"/>
          <w:lang w:eastAsia="de-DE"/>
        </w:rPr>
        <w:t xml:space="preserve">(„es gibt kein Brot"), dann </w:t>
      </w:r>
      <w:r w:rsidRPr="003D3D82">
        <w:rPr>
          <w:rFonts w:eastAsia="Times New Roman" w:cs="Times New Roman"/>
          <w:b/>
          <w:bCs/>
          <w:rtl/>
          <w:lang w:eastAsia="de-DE"/>
        </w:rPr>
        <w:t>קָצָה בַּלֶּחֶם</w:t>
      </w:r>
      <w:r w:rsidRPr="003D3D82">
        <w:rPr>
          <w:rFonts w:eastAsia="Times New Roman" w:cs="Times New Roman"/>
          <w:rtl/>
          <w:lang w:eastAsia="de-DE"/>
        </w:rPr>
        <w:t xml:space="preserve"> </w:t>
      </w:r>
      <w:r w:rsidRPr="003D3D82">
        <w:rPr>
          <w:rFonts w:eastAsia="Times New Roman" w:cs="Times New Roman"/>
          <w:lang w:eastAsia="de-DE"/>
        </w:rPr>
        <w:t xml:space="preserve">(„ekelt sich vor dem Brot") – die Logik ist inkohärent, zeigt aber die tiefe Undankbarkeit: Sie haben Brot (Manna), aber verachten es als „elend". Das Manna, das göttliche Wunderbrot, wird als </w:t>
      </w:r>
      <w:r w:rsidRPr="003D3D82">
        <w:rPr>
          <w:rFonts w:eastAsia="Times New Roman" w:cs="Times New Roman"/>
          <w:b/>
          <w:bCs/>
          <w:rtl/>
          <w:lang w:eastAsia="de-DE"/>
        </w:rPr>
        <w:t>קְלֹקֵל</w:t>
      </w:r>
      <w:r w:rsidRPr="003D3D82">
        <w:rPr>
          <w:rFonts w:eastAsia="Times New Roman" w:cs="Times New Roman"/>
          <w:rtl/>
          <w:lang w:eastAsia="de-DE"/>
        </w:rPr>
        <w:t xml:space="preserve"> </w:t>
      </w:r>
      <w:r w:rsidRPr="003D3D82">
        <w:rPr>
          <w:rFonts w:eastAsia="Times New Roman" w:cs="Times New Roman"/>
          <w:lang w:eastAsia="de-DE"/>
        </w:rPr>
        <w:t>beschimpft – eine direkte Beleidigung Gottes und seiner Fürsorge.</w:t>
      </w:r>
    </w:p>
    <w:p w14:paraId="2E587398" w14:textId="35C02102" w:rsidR="003D3D82" w:rsidRPr="003D3D82" w:rsidRDefault="005D7521" w:rsidP="003D3D82">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5D7521">
        <w:rPr>
          <w:b/>
          <w:bCs/>
          <w:rtl/>
        </w:rPr>
        <w:t>הַלֶּחֶם הַקְּלֹקֵל</w:t>
      </w:r>
      <w:r>
        <w:t>" (das armselige/wertlose Brot) mit „τῷ ἄρτῳ τῷ διακένῳ" (das leere/hohle Brot), was die Substanzlosigkeit betont.</w:t>
      </w:r>
    </w:p>
    <w:p w14:paraId="12576D3B"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lastRenderedPageBreak/>
        <w:t xml:space="preserve">Die Satzstruktur zeigt zwei koordinierte Hauptsätze: Der erste mit Verb, Subjekt und doppelter Präpositionalphrase. Der zweite ist die direkte Rede: Eine rhetorische Frage (Interrogativ, Verb mit Objektsuffix, Präpositionalphrase) mit finalem Infinitiv und Präpositionalphrase, gefolgt von einer kausalen Begründung (Konjunktion </w:t>
      </w:r>
      <w:r w:rsidRPr="003D3D82">
        <w:rPr>
          <w:rFonts w:eastAsia="Times New Roman" w:cs="Times New Roman"/>
          <w:b/>
          <w:bCs/>
          <w:rtl/>
          <w:lang w:eastAsia="de-DE"/>
        </w:rPr>
        <w:t>כִּי</w:t>
      </w:r>
      <w:r w:rsidRPr="003D3D82">
        <w:rPr>
          <w:rFonts w:eastAsia="Times New Roman" w:cs="Times New Roman"/>
          <w:lang w:eastAsia="de-DE"/>
        </w:rPr>
        <w:t>, doppelte Existenznegation mit Subjekt) und einem paradoxen Abschluss (Subjekt mit Possessivsuffix, Verb, Präpositionalphrase mit Adjektiv). Insgesamt gibt es einen Nebensatz (finaler Infinitivsatz).</w:t>
      </w:r>
    </w:p>
    <w:p w14:paraId="3F063033"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Der Vers zeigt den Höhepunkt der Undankbarkeit: Rebellion gegen Gott und Mose, Verklärung Ägyptens, Leugnung der göttlichen Versorgung trotz täglichen Wunders, und schließlich Verachtung des Manna – eine dreifache Sünde gegen Gottes Güte.</w:t>
      </w:r>
    </w:p>
    <w:p w14:paraId="6B73DE1B" w14:textId="77777777" w:rsidR="003D3D82" w:rsidRPr="003D3D82" w:rsidRDefault="003D3D82" w:rsidP="003D3D82">
      <w:pPr>
        <w:spacing w:before="100" w:beforeAutospacing="1" w:after="100" w:afterAutospacing="1" w:line="240" w:lineRule="auto"/>
        <w:outlineLvl w:val="0"/>
        <w:rPr>
          <w:rFonts w:eastAsia="Times New Roman" w:cs="Times New Roman"/>
          <w:b/>
          <w:bCs/>
          <w:kern w:val="36"/>
          <w:sz w:val="48"/>
          <w:szCs w:val="48"/>
          <w:lang w:eastAsia="de-DE"/>
        </w:rPr>
      </w:pPr>
      <w:r w:rsidRPr="003D3D82">
        <w:rPr>
          <w:rFonts w:eastAsia="Times New Roman" w:cs="Times New Roman"/>
          <w:b/>
          <w:bCs/>
          <w:kern w:val="36"/>
          <w:sz w:val="48"/>
          <w:szCs w:val="48"/>
          <w:lang w:eastAsia="de-DE"/>
        </w:rPr>
        <w:t>Numeri 21,6</w:t>
      </w:r>
    </w:p>
    <w:p w14:paraId="571C99E2"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Hebräisch:</w:t>
      </w:r>
      <w:r w:rsidRPr="003D3D82">
        <w:rPr>
          <w:rFonts w:eastAsia="Times New Roman" w:cs="Times New Roman"/>
          <w:lang w:eastAsia="de-DE"/>
        </w:rPr>
        <w:t xml:space="preserve"> </w:t>
      </w:r>
      <w:r w:rsidRPr="003D3D82">
        <w:rPr>
          <w:rFonts w:eastAsia="Times New Roman" w:cs="Times New Roman"/>
          <w:rtl/>
          <w:lang w:eastAsia="de-DE"/>
        </w:rPr>
        <w:t>וַיְשַׁלַּ֨ח יְהוָ֜ה בָּעָ֗ם אֵ֚ת הַנְּחָשִׁ֣ים הַשְּׂרָפִ֔ים וַֽיְנַשְּׁכ֖וּ אֶת־הָעָ֑ם וַיָּ֥מָת עַם־רָ֖ב מִיִּשְׂרָאֵֽל׃</w:t>
      </w:r>
    </w:p>
    <w:p w14:paraId="7F48587A"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Deutsch:</w:t>
      </w:r>
      <w:r w:rsidRPr="003D3D82">
        <w:rPr>
          <w:rFonts w:eastAsia="Times New Roman" w:cs="Times New Roman"/>
          <w:lang w:eastAsia="de-DE"/>
        </w:rPr>
        <w:t xml:space="preserve"> Da sandte der Ewige die Saraph-Schlangen in das Volk, und sie bissen das Volk. Und es starb viel Volk von Israel.</w:t>
      </w:r>
    </w:p>
    <w:p w14:paraId="1577374F" w14:textId="77777777" w:rsidR="003D3D82" w:rsidRPr="003D3D82" w:rsidRDefault="00F329DD" w:rsidP="003D3D82">
      <w:pPr>
        <w:spacing w:after="0" w:line="240" w:lineRule="auto"/>
        <w:rPr>
          <w:rFonts w:eastAsia="Times New Roman" w:cs="Times New Roman"/>
          <w:lang w:eastAsia="de-DE"/>
        </w:rPr>
      </w:pPr>
      <w:r>
        <w:rPr>
          <w:rFonts w:eastAsia="Times New Roman" w:cs="Times New Roman"/>
          <w:noProof/>
          <w:lang w:eastAsia="de-DE"/>
        </w:rPr>
        <w:pict w14:anchorId="39DF0322">
          <v:rect id="_x0000_i1735" style="width:0;height:1.5pt" o:hralign="center" o:hrstd="t" o:hr="t" fillcolor="#a0a0a0" stroked="f"/>
        </w:pict>
      </w:r>
    </w:p>
    <w:p w14:paraId="19919643"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Kommentar:</w:t>
      </w:r>
      <w:r w:rsidRPr="003D3D82">
        <w:rPr>
          <w:rFonts w:eastAsia="Times New Roman" w:cs="Times New Roman"/>
          <w:lang w:eastAsia="de-DE"/>
        </w:rPr>
        <w:t xml:space="preserve"> Das Verb </w:t>
      </w:r>
      <w:r w:rsidRPr="003D3D82">
        <w:rPr>
          <w:rFonts w:eastAsia="Times New Roman" w:cs="Times New Roman"/>
          <w:b/>
          <w:bCs/>
          <w:rtl/>
          <w:lang w:eastAsia="de-DE"/>
        </w:rPr>
        <w:t>וַיְשַׁלַּח</w:t>
      </w:r>
      <w:r w:rsidRPr="003D3D82">
        <w:rPr>
          <w:rFonts w:eastAsia="Times New Roman" w:cs="Times New Roman"/>
          <w:rtl/>
          <w:lang w:eastAsia="de-DE"/>
        </w:rPr>
        <w:t xml:space="preserve"> </w:t>
      </w:r>
      <w:r w:rsidRPr="003D3D82">
        <w:rPr>
          <w:rFonts w:eastAsia="Times New Roman" w:cs="Times New Roman"/>
          <w:lang w:eastAsia="de-DE"/>
        </w:rPr>
        <w:t xml:space="preserve">(Wayyiqtol, 3. m. sg. von </w:t>
      </w:r>
      <w:r w:rsidRPr="003D3D82">
        <w:rPr>
          <w:rFonts w:eastAsia="Times New Roman" w:cs="Times New Roman"/>
          <w:b/>
          <w:bCs/>
          <w:rtl/>
          <w:lang w:eastAsia="de-DE"/>
        </w:rPr>
        <w:t>שׁלח</w:t>
      </w:r>
      <w:r w:rsidRPr="003D3D82">
        <w:rPr>
          <w:rFonts w:eastAsia="Times New Roman" w:cs="Times New Roman"/>
          <w:rtl/>
          <w:lang w:eastAsia="de-DE"/>
        </w:rPr>
        <w:t xml:space="preserve"> </w:t>
      </w:r>
      <w:r w:rsidRPr="003D3D82">
        <w:rPr>
          <w:rFonts w:eastAsia="Times New Roman" w:cs="Times New Roman"/>
          <w:lang w:eastAsia="de-DE"/>
        </w:rPr>
        <w:t xml:space="preserve">Piel, „und er sandte") ist kausativ – JHWH </w:t>
      </w:r>
      <w:r w:rsidRPr="003D3D82">
        <w:rPr>
          <w:rFonts w:eastAsia="Times New Roman" w:cs="Times New Roman"/>
          <w:b/>
          <w:bCs/>
          <w:lang w:eastAsia="de-DE"/>
        </w:rPr>
        <w:t>sendet</w:t>
      </w:r>
      <w:r w:rsidRPr="003D3D82">
        <w:rPr>
          <w:rFonts w:eastAsia="Times New Roman" w:cs="Times New Roman"/>
          <w:lang w:eastAsia="de-DE"/>
        </w:rPr>
        <w:t xml:space="preserve"> aktiv die Schlangen als Strafe. </w:t>
      </w:r>
      <w:r w:rsidRPr="003D3D82">
        <w:rPr>
          <w:rFonts w:eastAsia="Times New Roman" w:cs="Times New Roman"/>
          <w:b/>
          <w:bCs/>
          <w:rtl/>
          <w:lang w:eastAsia="de-DE"/>
        </w:rPr>
        <w:t>יְהוָה</w:t>
      </w:r>
      <w:r w:rsidRPr="003D3D82">
        <w:rPr>
          <w:rFonts w:eastAsia="Times New Roman" w:cs="Times New Roman"/>
          <w:rtl/>
          <w:lang w:eastAsia="de-DE"/>
        </w:rPr>
        <w:t xml:space="preserve"> </w:t>
      </w:r>
      <w:r w:rsidRPr="003D3D82">
        <w:rPr>
          <w:rFonts w:eastAsia="Times New Roman" w:cs="Times New Roman"/>
          <w:lang w:eastAsia="de-DE"/>
        </w:rPr>
        <w:t xml:space="preserve">ist das explizite Subjekt. </w:t>
      </w:r>
      <w:r w:rsidRPr="003D3D82">
        <w:rPr>
          <w:rFonts w:eastAsia="Times New Roman" w:cs="Times New Roman"/>
          <w:b/>
          <w:bCs/>
          <w:rtl/>
          <w:lang w:eastAsia="de-DE"/>
        </w:rPr>
        <w:t>בָּעָם</w:t>
      </w:r>
      <w:r w:rsidRPr="003D3D82">
        <w:rPr>
          <w:rFonts w:eastAsia="Times New Roman" w:cs="Times New Roman"/>
          <w:rtl/>
          <w:lang w:eastAsia="de-DE"/>
        </w:rPr>
        <w:t xml:space="preserve"> </w:t>
      </w:r>
      <w:r w:rsidRPr="003D3D82">
        <w:rPr>
          <w:rFonts w:eastAsia="Times New Roman" w:cs="Times New Roman"/>
          <w:lang w:eastAsia="de-DE"/>
        </w:rPr>
        <w:t xml:space="preserve">(„in das Volk") mit </w:t>
      </w:r>
      <w:r w:rsidRPr="003D3D82">
        <w:rPr>
          <w:rFonts w:eastAsia="Times New Roman" w:cs="Times New Roman"/>
          <w:b/>
          <w:bCs/>
          <w:rtl/>
          <w:lang w:eastAsia="de-DE"/>
        </w:rPr>
        <w:t>בְּ</w:t>
      </w:r>
      <w:r w:rsidRPr="003D3D82">
        <w:rPr>
          <w:rFonts w:eastAsia="Times New Roman" w:cs="Times New Roman"/>
          <w:rtl/>
          <w:lang w:eastAsia="de-DE"/>
        </w:rPr>
        <w:t xml:space="preserve"> </w:t>
      </w:r>
      <w:r w:rsidRPr="003D3D82">
        <w:rPr>
          <w:rFonts w:eastAsia="Times New Roman" w:cs="Times New Roman"/>
          <w:lang w:eastAsia="de-DE"/>
        </w:rPr>
        <w:t>lokativ – die Schlangen werden mitten ins Volk geschickt.</w:t>
      </w:r>
    </w:p>
    <w:p w14:paraId="013E438A" w14:textId="1CFEC4DC"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Das Objekt </w:t>
      </w:r>
      <w:r w:rsidRPr="003D3D82">
        <w:rPr>
          <w:rFonts w:eastAsia="Times New Roman" w:cs="Times New Roman"/>
          <w:b/>
          <w:bCs/>
          <w:rtl/>
          <w:lang w:eastAsia="de-DE"/>
        </w:rPr>
        <w:t>אֵת הַנְּחָשִׁים הַשְּׂרָפִים</w:t>
      </w:r>
      <w:r w:rsidRPr="003D3D82">
        <w:rPr>
          <w:rFonts w:eastAsia="Times New Roman" w:cs="Times New Roman"/>
          <w:rtl/>
          <w:lang w:eastAsia="de-DE"/>
        </w:rPr>
        <w:t xml:space="preserve"> </w:t>
      </w:r>
      <w:r w:rsidRPr="003D3D82">
        <w:rPr>
          <w:rFonts w:eastAsia="Times New Roman" w:cs="Times New Roman"/>
          <w:lang w:eastAsia="de-DE"/>
        </w:rPr>
        <w:t xml:space="preserve">(„die brennenden Schlangen") ist bemerkenswert: </w:t>
      </w:r>
      <w:r w:rsidRPr="003D3D82">
        <w:rPr>
          <w:rFonts w:eastAsia="Times New Roman" w:cs="Times New Roman"/>
          <w:b/>
          <w:bCs/>
          <w:rtl/>
          <w:lang w:eastAsia="de-DE"/>
        </w:rPr>
        <w:t>הַנְּחָשִׁים</w:t>
      </w:r>
      <w:r w:rsidRPr="003D3D82">
        <w:rPr>
          <w:rFonts w:eastAsia="Times New Roman" w:cs="Times New Roman"/>
          <w:rtl/>
          <w:lang w:eastAsia="de-DE"/>
        </w:rPr>
        <w:t xml:space="preserve"> </w:t>
      </w:r>
      <w:r w:rsidRPr="003D3D82">
        <w:rPr>
          <w:rFonts w:eastAsia="Times New Roman" w:cs="Times New Roman"/>
          <w:lang w:eastAsia="de-DE"/>
        </w:rPr>
        <w:t xml:space="preserve">(„die Schlangen") Plural von </w:t>
      </w:r>
      <w:r w:rsidRPr="003D3D82">
        <w:rPr>
          <w:rFonts w:eastAsia="Times New Roman" w:cs="Times New Roman"/>
          <w:b/>
          <w:bCs/>
          <w:rtl/>
          <w:lang w:eastAsia="de-DE"/>
        </w:rPr>
        <w:t>נָחָשׁ</w:t>
      </w:r>
      <w:r w:rsidRPr="003D3D82">
        <w:rPr>
          <w:rFonts w:eastAsia="Times New Roman" w:cs="Times New Roman"/>
          <w:rtl/>
          <w:lang w:eastAsia="de-DE"/>
        </w:rPr>
        <w:t xml:space="preserve"> </w:t>
      </w:r>
      <w:r w:rsidRPr="003D3D82">
        <w:rPr>
          <w:rFonts w:eastAsia="Times New Roman" w:cs="Times New Roman"/>
          <w:lang w:eastAsia="de-DE"/>
        </w:rPr>
        <w:t xml:space="preserve">mit Artikel, </w:t>
      </w:r>
      <w:r w:rsidRPr="003D3D82">
        <w:rPr>
          <w:rFonts w:eastAsia="Times New Roman" w:cs="Times New Roman"/>
          <w:b/>
          <w:bCs/>
          <w:rtl/>
          <w:lang w:eastAsia="de-DE"/>
        </w:rPr>
        <w:t>הַשְּׂרָפִים</w:t>
      </w:r>
      <w:r w:rsidRPr="003D3D82">
        <w:rPr>
          <w:rFonts w:eastAsia="Times New Roman" w:cs="Times New Roman"/>
          <w:rtl/>
          <w:lang w:eastAsia="de-DE"/>
        </w:rPr>
        <w:t xml:space="preserve"> </w:t>
      </w:r>
      <w:r w:rsidRPr="003D3D82">
        <w:rPr>
          <w:rFonts w:eastAsia="Times New Roman" w:cs="Times New Roman"/>
          <w:lang w:eastAsia="de-DE"/>
        </w:rPr>
        <w:t xml:space="preserve">(Artikel plus Partizip Plural von </w:t>
      </w:r>
      <w:r w:rsidRPr="003D3D82">
        <w:rPr>
          <w:rFonts w:eastAsia="Times New Roman" w:cs="Times New Roman"/>
          <w:b/>
          <w:bCs/>
          <w:rtl/>
          <w:lang w:eastAsia="de-DE"/>
        </w:rPr>
        <w:t>שׂרף</w:t>
      </w:r>
      <w:r w:rsidRPr="003D3D82">
        <w:rPr>
          <w:rFonts w:eastAsia="Times New Roman" w:cs="Times New Roman"/>
          <w:rtl/>
          <w:lang w:eastAsia="de-DE"/>
        </w:rPr>
        <w:t xml:space="preserve"> </w:t>
      </w:r>
      <w:r w:rsidRPr="003D3D82">
        <w:rPr>
          <w:rFonts w:eastAsia="Times New Roman" w:cs="Times New Roman"/>
          <w:lang w:eastAsia="de-DE"/>
        </w:rPr>
        <w:t xml:space="preserve">„brennen") als attributives Adjektiv. Die Bezeichnung </w:t>
      </w:r>
      <w:r w:rsidRPr="003D3D82">
        <w:rPr>
          <w:rFonts w:eastAsia="Times New Roman" w:cs="Times New Roman"/>
          <w:b/>
          <w:bCs/>
          <w:rtl/>
          <w:lang w:eastAsia="de-DE"/>
        </w:rPr>
        <w:t>שָׂרָף</w:t>
      </w:r>
      <w:r w:rsidRPr="003D3D82">
        <w:rPr>
          <w:rFonts w:eastAsia="Times New Roman" w:cs="Times New Roman"/>
          <w:rtl/>
          <w:lang w:eastAsia="de-DE"/>
        </w:rPr>
        <w:t xml:space="preserve"> </w:t>
      </w:r>
      <w:r w:rsidRPr="003D3D82">
        <w:rPr>
          <w:rFonts w:eastAsia="Times New Roman" w:cs="Times New Roman"/>
          <w:lang w:eastAsia="de-DE"/>
        </w:rPr>
        <w:t xml:space="preserve">kann bedeuten: (1) „brennend" wegen des brennenden Schmerzes ihres Bisses, (2) „feurig" wegen ihrer Farbe, oder (3) eine spezifische Schlangenart. In Jes 6,2.6 und 14,29; 30,6 erscheint </w:t>
      </w:r>
      <w:r w:rsidRPr="003D3D82">
        <w:rPr>
          <w:rFonts w:eastAsia="Times New Roman" w:cs="Times New Roman"/>
          <w:b/>
          <w:bCs/>
          <w:rtl/>
          <w:lang w:eastAsia="de-DE"/>
        </w:rPr>
        <w:t>שָׂרָף</w:t>
      </w:r>
      <w:r w:rsidRPr="003D3D82">
        <w:rPr>
          <w:rFonts w:eastAsia="Times New Roman" w:cs="Times New Roman"/>
          <w:rtl/>
          <w:lang w:eastAsia="de-DE"/>
        </w:rPr>
        <w:t xml:space="preserve"> </w:t>
      </w:r>
      <w:r w:rsidRPr="003D3D82">
        <w:rPr>
          <w:rFonts w:eastAsia="Times New Roman" w:cs="Times New Roman"/>
          <w:lang w:eastAsia="de-DE"/>
        </w:rPr>
        <w:t xml:space="preserve">für übernatürliche geflügelte Wesen oder gefährliche Schlangen. Der Plural </w:t>
      </w:r>
      <w:r w:rsidRPr="003D3D82">
        <w:rPr>
          <w:rFonts w:eastAsia="Times New Roman" w:cs="Times New Roman"/>
          <w:b/>
          <w:bCs/>
          <w:rtl/>
          <w:lang w:eastAsia="de-DE"/>
        </w:rPr>
        <w:t>שְׂרָפִים</w:t>
      </w:r>
      <w:r w:rsidRPr="003D3D82">
        <w:rPr>
          <w:rFonts w:eastAsia="Times New Roman" w:cs="Times New Roman"/>
          <w:rtl/>
          <w:lang w:eastAsia="de-DE"/>
        </w:rPr>
        <w:t xml:space="preserve"> </w:t>
      </w:r>
      <w:r w:rsidRPr="003D3D82">
        <w:rPr>
          <w:rFonts w:eastAsia="Times New Roman" w:cs="Times New Roman"/>
          <w:lang w:eastAsia="de-DE"/>
        </w:rPr>
        <w:t xml:space="preserve">verbindet diese Episode mit den himmlischen </w:t>
      </w:r>
      <w:r w:rsidRPr="003D3D82">
        <w:rPr>
          <w:rFonts w:eastAsia="Times New Roman" w:cs="Times New Roman"/>
          <w:b/>
          <w:bCs/>
          <w:lang w:eastAsia="de-DE"/>
        </w:rPr>
        <w:t>Seraphim</w:t>
      </w:r>
      <w:r w:rsidRPr="003D3D82">
        <w:rPr>
          <w:rFonts w:eastAsia="Times New Roman" w:cs="Times New Roman"/>
          <w:lang w:eastAsia="de-DE"/>
        </w:rPr>
        <w:t>.</w:t>
      </w:r>
      <w:r w:rsidR="00B34258">
        <w:rPr>
          <w:rFonts w:eastAsia="Times New Roman" w:cs="Times New Roman"/>
          <w:lang w:eastAsia="de-DE"/>
        </w:rPr>
        <w:t xml:space="preserve"> </w:t>
      </w:r>
      <w:r w:rsidR="00B34258">
        <w:t xml:space="preserve">Die </w:t>
      </w:r>
      <w:r w:rsidR="00B34258">
        <w:rPr>
          <w:rStyle w:val="Fett"/>
        </w:rPr>
        <w:t>Doppelbedeutung</w:t>
      </w:r>
      <w:r w:rsidR="00B34258">
        <w:t xml:space="preserve"> von </w:t>
      </w:r>
      <w:r w:rsidR="00B34258">
        <w:rPr>
          <w:rtl/>
        </w:rPr>
        <w:t>שרף</w:t>
      </w:r>
      <w:r w:rsidR="00B34258">
        <w:t xml:space="preserve"> (brennen/heilen) bereitet schon die paradoxe Heilung in V. 8-9 vor.</w:t>
      </w:r>
    </w:p>
    <w:p w14:paraId="4CB1A547"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Das koordinierte Verb </w:t>
      </w:r>
      <w:r w:rsidRPr="003D3D82">
        <w:rPr>
          <w:rFonts w:eastAsia="Times New Roman" w:cs="Times New Roman"/>
          <w:b/>
          <w:bCs/>
          <w:rtl/>
          <w:lang w:eastAsia="de-DE"/>
        </w:rPr>
        <w:t>וַיְנַשְּׁכוּ אֶת־הָעָם</w:t>
      </w:r>
      <w:r w:rsidRPr="003D3D82">
        <w:rPr>
          <w:rFonts w:eastAsia="Times New Roman" w:cs="Times New Roman"/>
          <w:rtl/>
          <w:lang w:eastAsia="de-DE"/>
        </w:rPr>
        <w:t xml:space="preserve"> </w:t>
      </w:r>
      <w:r w:rsidRPr="003D3D82">
        <w:rPr>
          <w:rFonts w:eastAsia="Times New Roman" w:cs="Times New Roman"/>
          <w:lang w:eastAsia="de-DE"/>
        </w:rPr>
        <w:t xml:space="preserve">(„und sie bissen das Volk") – </w:t>
      </w:r>
      <w:r w:rsidRPr="003D3D82">
        <w:rPr>
          <w:rFonts w:eastAsia="Times New Roman" w:cs="Times New Roman"/>
          <w:b/>
          <w:bCs/>
          <w:rtl/>
          <w:lang w:eastAsia="de-DE"/>
        </w:rPr>
        <w:t>וַיְנַשְּׁכוּ</w:t>
      </w:r>
      <w:r w:rsidRPr="003D3D82">
        <w:rPr>
          <w:rFonts w:eastAsia="Times New Roman" w:cs="Times New Roman"/>
          <w:rtl/>
          <w:lang w:eastAsia="de-DE"/>
        </w:rPr>
        <w:t xml:space="preserve"> </w:t>
      </w:r>
      <w:r w:rsidRPr="003D3D82">
        <w:rPr>
          <w:rFonts w:eastAsia="Times New Roman" w:cs="Times New Roman"/>
          <w:lang w:eastAsia="de-DE"/>
        </w:rPr>
        <w:t xml:space="preserve">(Wayyiqtol, 3. m. pl. von </w:t>
      </w:r>
      <w:r w:rsidRPr="003D3D82">
        <w:rPr>
          <w:rFonts w:eastAsia="Times New Roman" w:cs="Times New Roman"/>
          <w:b/>
          <w:bCs/>
          <w:rtl/>
          <w:lang w:eastAsia="de-DE"/>
        </w:rPr>
        <w:t>נשׁך</w:t>
      </w:r>
      <w:r w:rsidRPr="003D3D82">
        <w:rPr>
          <w:rFonts w:eastAsia="Times New Roman" w:cs="Times New Roman"/>
          <w:rtl/>
          <w:lang w:eastAsia="de-DE"/>
        </w:rPr>
        <w:t xml:space="preserve"> </w:t>
      </w:r>
      <w:r w:rsidRPr="003D3D82">
        <w:rPr>
          <w:rFonts w:eastAsia="Times New Roman" w:cs="Times New Roman"/>
          <w:lang w:eastAsia="de-DE"/>
        </w:rPr>
        <w:t>Piel, „und sie bissen") ist intensiv-iterativ: vielfaches, wiederholtes Beißen.</w:t>
      </w:r>
    </w:p>
    <w:p w14:paraId="561E6BB6"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tödliche Konsequenz </w:t>
      </w:r>
      <w:r w:rsidRPr="003D3D82">
        <w:rPr>
          <w:rFonts w:eastAsia="Times New Roman" w:cs="Times New Roman"/>
          <w:b/>
          <w:bCs/>
          <w:rtl/>
          <w:lang w:eastAsia="de-DE"/>
        </w:rPr>
        <w:t>וַיָּמָת עַם־רָב מִיִּשְׂרָאֵל</w:t>
      </w:r>
      <w:r w:rsidRPr="003D3D82">
        <w:rPr>
          <w:rFonts w:eastAsia="Times New Roman" w:cs="Times New Roman"/>
          <w:rtl/>
          <w:lang w:eastAsia="de-DE"/>
        </w:rPr>
        <w:t xml:space="preserve"> </w:t>
      </w:r>
      <w:r w:rsidRPr="003D3D82">
        <w:rPr>
          <w:rFonts w:eastAsia="Times New Roman" w:cs="Times New Roman"/>
          <w:lang w:eastAsia="de-DE"/>
        </w:rPr>
        <w:t xml:space="preserve">besteht aus </w:t>
      </w:r>
      <w:r w:rsidRPr="003D3D82">
        <w:rPr>
          <w:rFonts w:eastAsia="Times New Roman" w:cs="Times New Roman"/>
          <w:b/>
          <w:bCs/>
          <w:rtl/>
          <w:lang w:eastAsia="de-DE"/>
        </w:rPr>
        <w:t>וַיָּמָת</w:t>
      </w:r>
      <w:r w:rsidRPr="003D3D82">
        <w:rPr>
          <w:rFonts w:eastAsia="Times New Roman" w:cs="Times New Roman"/>
          <w:rtl/>
          <w:lang w:eastAsia="de-DE"/>
        </w:rPr>
        <w:t xml:space="preserve"> </w:t>
      </w:r>
      <w:r w:rsidRPr="003D3D82">
        <w:rPr>
          <w:rFonts w:eastAsia="Times New Roman" w:cs="Times New Roman"/>
          <w:lang w:eastAsia="de-DE"/>
        </w:rPr>
        <w:t xml:space="preserve">(Wayyiqtol, 3. m. sg. von </w:t>
      </w:r>
      <w:r w:rsidRPr="003D3D82">
        <w:rPr>
          <w:rFonts w:eastAsia="Times New Roman" w:cs="Times New Roman"/>
          <w:b/>
          <w:bCs/>
          <w:rtl/>
          <w:lang w:eastAsia="de-DE"/>
        </w:rPr>
        <w:t>מות</w:t>
      </w:r>
      <w:r w:rsidRPr="003D3D82">
        <w:rPr>
          <w:rFonts w:eastAsia="Times New Roman" w:cs="Times New Roman"/>
          <w:lang w:eastAsia="de-DE"/>
        </w:rPr>
        <w:t xml:space="preserve">, „und es starb"), </w:t>
      </w:r>
      <w:r w:rsidRPr="003D3D82">
        <w:rPr>
          <w:rFonts w:eastAsia="Times New Roman" w:cs="Times New Roman"/>
          <w:b/>
          <w:bCs/>
          <w:rtl/>
          <w:lang w:eastAsia="de-DE"/>
        </w:rPr>
        <w:t>עַם־רָב</w:t>
      </w:r>
      <w:r w:rsidRPr="003D3D82">
        <w:rPr>
          <w:rFonts w:eastAsia="Times New Roman" w:cs="Times New Roman"/>
          <w:rtl/>
          <w:lang w:eastAsia="de-DE"/>
        </w:rPr>
        <w:t xml:space="preserve"> </w:t>
      </w:r>
      <w:r w:rsidRPr="003D3D82">
        <w:rPr>
          <w:rFonts w:eastAsia="Times New Roman" w:cs="Times New Roman"/>
          <w:lang w:eastAsia="de-DE"/>
        </w:rPr>
        <w:t xml:space="preserve">(„viel Volk", Constructus-Verbindung), </w:t>
      </w:r>
      <w:r w:rsidRPr="003D3D82">
        <w:rPr>
          <w:rFonts w:eastAsia="Times New Roman" w:cs="Times New Roman"/>
          <w:b/>
          <w:bCs/>
          <w:rtl/>
          <w:lang w:eastAsia="de-DE"/>
        </w:rPr>
        <w:t>מִיִּשְׂרָאֵל</w:t>
      </w:r>
      <w:r w:rsidRPr="003D3D82">
        <w:rPr>
          <w:rFonts w:eastAsia="Times New Roman" w:cs="Times New Roman"/>
          <w:rtl/>
          <w:lang w:eastAsia="de-DE"/>
        </w:rPr>
        <w:t xml:space="preserve"> </w:t>
      </w:r>
      <w:r w:rsidRPr="003D3D82">
        <w:rPr>
          <w:rFonts w:eastAsia="Times New Roman" w:cs="Times New Roman"/>
          <w:lang w:eastAsia="de-DE"/>
        </w:rPr>
        <w:t xml:space="preserve">(„von Israel") mit partitivem </w:t>
      </w:r>
      <w:r w:rsidRPr="003D3D82">
        <w:rPr>
          <w:rFonts w:eastAsia="Times New Roman" w:cs="Times New Roman"/>
          <w:b/>
          <w:bCs/>
          <w:rtl/>
          <w:lang w:eastAsia="de-DE"/>
        </w:rPr>
        <w:t>מִן</w:t>
      </w:r>
      <w:r w:rsidRPr="003D3D82">
        <w:rPr>
          <w:rFonts w:eastAsia="Times New Roman" w:cs="Times New Roman"/>
          <w:lang w:eastAsia="de-DE"/>
        </w:rPr>
        <w:t>. Die Strafe ist massiv und tödlich.</w:t>
      </w:r>
    </w:p>
    <w:p w14:paraId="6816FF07" w14:textId="610EBF0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Die LXX</w:t>
      </w:r>
      <w:r w:rsidRPr="003D3D82">
        <w:rPr>
          <w:rFonts w:eastAsia="Times New Roman" w:cs="Times New Roman"/>
          <w:lang w:eastAsia="de-DE"/>
        </w:rPr>
        <w:t xml:space="preserve"> </w:t>
      </w:r>
      <w:r w:rsidR="005D7521">
        <w:t>übersetzt „</w:t>
      </w:r>
      <w:r w:rsidR="005D7521" w:rsidRPr="005D7521">
        <w:rPr>
          <w:b/>
          <w:bCs/>
          <w:rtl/>
        </w:rPr>
        <w:t>הַנְּחָשִׁים הַשְּׂרָפִים</w:t>
      </w:r>
      <w:r w:rsidR="005D7521">
        <w:t>" (die feurigen Schlangen) mit „τοὺς ὄφεις τοὺς θανατοῦντας" (die tödlichen Schlangen), was die Wirkung statt des Aussehens beschreibt.</w:t>
      </w:r>
    </w:p>
    <w:p w14:paraId="5542AE8C"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Die Satzstruktur zeigt drei koordinierte Hauptsätze: Der erste mit Verb, explizitem Subjekt, Präpositionalphrase und Objekt (mit attributivem Adjektiv); der zweite mit Verb und Objekt; der dritte mit Verb, Subjekt (Constructus-Verbindung) und Präpositionalphrase (partitiv). Es gibt keine Nebensätze.</w:t>
      </w:r>
    </w:p>
    <w:p w14:paraId="7A2F0620"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lastRenderedPageBreak/>
        <w:t xml:space="preserve">Der Vers zeigt die göttliche Strafe: schnell, direkt, tödlich. Die </w:t>
      </w:r>
      <w:r w:rsidRPr="003D3D82">
        <w:rPr>
          <w:rFonts w:eastAsia="Times New Roman" w:cs="Times New Roman"/>
          <w:b/>
          <w:bCs/>
          <w:lang w:eastAsia="de-DE"/>
        </w:rPr>
        <w:t>Seraph-Schlangen</w:t>
      </w:r>
      <w:r w:rsidRPr="003D3D82">
        <w:rPr>
          <w:rFonts w:eastAsia="Times New Roman" w:cs="Times New Roman"/>
          <w:lang w:eastAsia="de-DE"/>
        </w:rPr>
        <w:t xml:space="preserve"> sind göttliche Gerichtswerkzeuge – ihr Name verbindet sie mit den himmlischen Wesen und unterstreicht ihren übernatürlichen Charakter.</w:t>
      </w:r>
    </w:p>
    <w:p w14:paraId="790AEE96" w14:textId="77777777" w:rsidR="003D3D82" w:rsidRPr="003D3D82" w:rsidRDefault="003D3D82" w:rsidP="003D3D82">
      <w:pPr>
        <w:spacing w:before="100" w:beforeAutospacing="1" w:after="100" w:afterAutospacing="1" w:line="240" w:lineRule="auto"/>
        <w:outlineLvl w:val="0"/>
        <w:rPr>
          <w:rFonts w:eastAsia="Times New Roman" w:cs="Times New Roman"/>
          <w:b/>
          <w:bCs/>
          <w:kern w:val="36"/>
          <w:sz w:val="48"/>
          <w:szCs w:val="48"/>
          <w:lang w:eastAsia="de-DE"/>
        </w:rPr>
      </w:pPr>
      <w:r w:rsidRPr="003D3D82">
        <w:rPr>
          <w:rFonts w:eastAsia="Times New Roman" w:cs="Times New Roman"/>
          <w:b/>
          <w:bCs/>
          <w:kern w:val="36"/>
          <w:sz w:val="48"/>
          <w:szCs w:val="48"/>
          <w:lang w:eastAsia="de-DE"/>
        </w:rPr>
        <w:t>Numeri 21,7</w:t>
      </w:r>
    </w:p>
    <w:p w14:paraId="336FDF2A"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Hebräisch:</w:t>
      </w:r>
      <w:r w:rsidRPr="003D3D82">
        <w:rPr>
          <w:rFonts w:eastAsia="Times New Roman" w:cs="Times New Roman"/>
          <w:lang w:eastAsia="de-DE"/>
        </w:rPr>
        <w:t xml:space="preserve"> </w:t>
      </w:r>
      <w:r w:rsidRPr="003D3D82">
        <w:rPr>
          <w:rFonts w:eastAsia="Times New Roman" w:cs="Times New Roman"/>
          <w:rtl/>
          <w:lang w:eastAsia="de-DE"/>
        </w:rPr>
        <w:t>וַיָּבֹא֩ הָעָ֨ם אֶל־מֹשֶׁ֜ה וַיֹּאמְר֣וּ חָטָ֗אנוּ כִּֽי־דִבַּ֤רְנוּ בַֽיהוָה֙ וָבָ֔ךְ הִתְפַּלֵּל֙ אֶל־יְהוָ֔ה וְיָסֵ֥ר מֵעָלֵ֖ינוּ אֶת־הַנָּחָ֑שׁ וַיִּתְפַּלֵּ֥ל מֹשֶׁ֖ה בְּעַ֥ד הָעָֽם׃</w:t>
      </w:r>
    </w:p>
    <w:p w14:paraId="65D10CAC"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Deutsch:</w:t>
      </w:r>
      <w:r w:rsidRPr="003D3D82">
        <w:rPr>
          <w:rFonts w:eastAsia="Times New Roman" w:cs="Times New Roman"/>
          <w:lang w:eastAsia="de-DE"/>
        </w:rPr>
        <w:t xml:space="preserve"> Und das Volk kam zu Mosche und sie sagten: Wir haben gesündigt, denn wir haben gegen den Ewigen und gegen dich geredet. Bete zum Ewigen, dass er die Schlange von uns wegnehme. Und Mosche betete für das Volk.</w:t>
      </w:r>
    </w:p>
    <w:p w14:paraId="1FE00817" w14:textId="77777777" w:rsidR="003D3D82" w:rsidRPr="003D3D82" w:rsidRDefault="00F329DD" w:rsidP="003D3D82">
      <w:pPr>
        <w:spacing w:after="0" w:line="240" w:lineRule="auto"/>
        <w:rPr>
          <w:rFonts w:eastAsia="Times New Roman" w:cs="Times New Roman"/>
          <w:lang w:eastAsia="de-DE"/>
        </w:rPr>
      </w:pPr>
      <w:r>
        <w:rPr>
          <w:rFonts w:eastAsia="Times New Roman" w:cs="Times New Roman"/>
          <w:noProof/>
          <w:lang w:eastAsia="de-DE"/>
        </w:rPr>
        <w:pict w14:anchorId="3B88061E">
          <v:rect id="_x0000_i1736" style="width:0;height:1.5pt" o:hralign="center" o:hrstd="t" o:hr="t" fillcolor="#a0a0a0" stroked="f"/>
        </w:pict>
      </w:r>
    </w:p>
    <w:p w14:paraId="70A31984"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Kommentar:</w:t>
      </w:r>
      <w:r w:rsidRPr="003D3D82">
        <w:rPr>
          <w:rFonts w:eastAsia="Times New Roman" w:cs="Times New Roman"/>
          <w:lang w:eastAsia="de-DE"/>
        </w:rPr>
        <w:t xml:space="preserve"> Das Verb </w:t>
      </w:r>
      <w:r w:rsidRPr="003D3D82">
        <w:rPr>
          <w:rFonts w:eastAsia="Times New Roman" w:cs="Times New Roman"/>
          <w:b/>
          <w:bCs/>
          <w:rtl/>
          <w:lang w:eastAsia="de-DE"/>
        </w:rPr>
        <w:t>וַיָּבֹא הָעָם אֶל־מֹשֶׁה</w:t>
      </w:r>
      <w:r w:rsidRPr="003D3D82">
        <w:rPr>
          <w:rFonts w:eastAsia="Times New Roman" w:cs="Times New Roman"/>
          <w:rtl/>
          <w:lang w:eastAsia="de-DE"/>
        </w:rPr>
        <w:t xml:space="preserve"> </w:t>
      </w:r>
      <w:r w:rsidRPr="003D3D82">
        <w:rPr>
          <w:rFonts w:eastAsia="Times New Roman" w:cs="Times New Roman"/>
          <w:lang w:eastAsia="de-DE"/>
        </w:rPr>
        <w:t xml:space="preserve">(„und das Volk kam zu Mose") zeigt die Umkehr – sie suchen nun den, den sie gerade noch angegriffen haben. Die Redeeinleitung </w:t>
      </w:r>
      <w:r w:rsidRPr="003D3D82">
        <w:rPr>
          <w:rFonts w:eastAsia="Times New Roman" w:cs="Times New Roman"/>
          <w:b/>
          <w:bCs/>
          <w:rtl/>
          <w:lang w:eastAsia="de-DE"/>
        </w:rPr>
        <w:t>וַיֹּאמְרוּ</w:t>
      </w:r>
      <w:r w:rsidRPr="003D3D82">
        <w:rPr>
          <w:rFonts w:eastAsia="Times New Roman" w:cs="Times New Roman"/>
          <w:rtl/>
          <w:lang w:eastAsia="de-DE"/>
        </w:rPr>
        <w:t xml:space="preserve"> </w:t>
      </w:r>
      <w:r w:rsidRPr="003D3D82">
        <w:rPr>
          <w:rFonts w:eastAsia="Times New Roman" w:cs="Times New Roman"/>
          <w:lang w:eastAsia="de-DE"/>
        </w:rPr>
        <w:t xml:space="preserve">(Wayyiqtol, 3. m. pl. von </w:t>
      </w:r>
      <w:r w:rsidRPr="003D3D82">
        <w:rPr>
          <w:rFonts w:eastAsia="Times New Roman" w:cs="Times New Roman"/>
          <w:b/>
          <w:bCs/>
          <w:rtl/>
          <w:lang w:eastAsia="de-DE"/>
        </w:rPr>
        <w:t>אמר</w:t>
      </w:r>
      <w:r w:rsidRPr="003D3D82">
        <w:rPr>
          <w:rFonts w:eastAsia="Times New Roman" w:cs="Times New Roman"/>
          <w:lang w:eastAsia="de-DE"/>
        </w:rPr>
        <w:t xml:space="preserve">) mit Plural, obwohl </w:t>
      </w:r>
      <w:r w:rsidRPr="003D3D82">
        <w:rPr>
          <w:rFonts w:eastAsia="Times New Roman" w:cs="Times New Roman"/>
          <w:b/>
          <w:bCs/>
          <w:rtl/>
          <w:lang w:eastAsia="de-DE"/>
        </w:rPr>
        <w:t>עָם</w:t>
      </w:r>
      <w:r w:rsidRPr="003D3D82">
        <w:rPr>
          <w:rFonts w:eastAsia="Times New Roman" w:cs="Times New Roman"/>
          <w:rtl/>
          <w:lang w:eastAsia="de-DE"/>
        </w:rPr>
        <w:t xml:space="preserve"> </w:t>
      </w:r>
      <w:r w:rsidRPr="003D3D82">
        <w:rPr>
          <w:rFonts w:eastAsia="Times New Roman" w:cs="Times New Roman"/>
          <w:lang w:eastAsia="de-DE"/>
        </w:rPr>
        <w:t>Singular ist – kollektives Subjekt.</w:t>
      </w:r>
    </w:p>
    <w:p w14:paraId="3C16E1E0"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Das Sündenbekenntnis </w:t>
      </w:r>
      <w:r w:rsidRPr="003D3D82">
        <w:rPr>
          <w:rFonts w:eastAsia="Times New Roman" w:cs="Times New Roman"/>
          <w:b/>
          <w:bCs/>
          <w:rtl/>
          <w:lang w:eastAsia="de-DE"/>
        </w:rPr>
        <w:t>חָטָאנוּ</w:t>
      </w:r>
      <w:r w:rsidRPr="003D3D82">
        <w:rPr>
          <w:rFonts w:eastAsia="Times New Roman" w:cs="Times New Roman"/>
          <w:rtl/>
          <w:lang w:eastAsia="de-DE"/>
        </w:rPr>
        <w:t xml:space="preserve"> </w:t>
      </w:r>
      <w:r w:rsidRPr="003D3D82">
        <w:rPr>
          <w:rFonts w:eastAsia="Times New Roman" w:cs="Times New Roman"/>
          <w:lang w:eastAsia="de-DE"/>
        </w:rPr>
        <w:t xml:space="preserve">(Qal Perfekt, 1. c. pl. von </w:t>
      </w:r>
      <w:r w:rsidRPr="003D3D82">
        <w:rPr>
          <w:rFonts w:eastAsia="Times New Roman" w:cs="Times New Roman"/>
          <w:b/>
          <w:bCs/>
          <w:rtl/>
          <w:lang w:eastAsia="de-DE"/>
        </w:rPr>
        <w:t>חטא</w:t>
      </w:r>
      <w:r w:rsidRPr="003D3D82">
        <w:rPr>
          <w:rFonts w:eastAsia="Times New Roman" w:cs="Times New Roman"/>
          <w:lang w:eastAsia="de-DE"/>
        </w:rPr>
        <w:t xml:space="preserve">, „wir haben gesündigt") ist kurz und direkt. Die kausale Begründung </w:t>
      </w:r>
      <w:r w:rsidRPr="003D3D82">
        <w:rPr>
          <w:rFonts w:eastAsia="Times New Roman" w:cs="Times New Roman"/>
          <w:b/>
          <w:bCs/>
          <w:rtl/>
          <w:lang w:eastAsia="de-DE"/>
        </w:rPr>
        <w:t>כִּי־דִבַּרְנוּ בַיהוָה וָבָךְ</w:t>
      </w:r>
      <w:r w:rsidRPr="003D3D82">
        <w:rPr>
          <w:rFonts w:eastAsia="Times New Roman" w:cs="Times New Roman"/>
          <w:rtl/>
          <w:lang w:eastAsia="de-DE"/>
        </w:rPr>
        <w:t xml:space="preserve"> </w:t>
      </w:r>
      <w:r w:rsidRPr="003D3D82">
        <w:rPr>
          <w:rFonts w:eastAsia="Times New Roman" w:cs="Times New Roman"/>
          <w:lang w:eastAsia="de-DE"/>
        </w:rPr>
        <w:t xml:space="preserve">(„denn wir haben gegen JHWH und gegen dich geredet") – </w:t>
      </w:r>
      <w:r w:rsidRPr="003D3D82">
        <w:rPr>
          <w:rFonts w:eastAsia="Times New Roman" w:cs="Times New Roman"/>
          <w:b/>
          <w:bCs/>
          <w:rtl/>
          <w:lang w:eastAsia="de-DE"/>
        </w:rPr>
        <w:t>דִבַּרְנוּ</w:t>
      </w:r>
      <w:r w:rsidRPr="003D3D82">
        <w:rPr>
          <w:rFonts w:eastAsia="Times New Roman" w:cs="Times New Roman"/>
          <w:rtl/>
          <w:lang w:eastAsia="de-DE"/>
        </w:rPr>
        <w:t xml:space="preserve"> </w:t>
      </w:r>
      <w:r w:rsidRPr="003D3D82">
        <w:rPr>
          <w:rFonts w:eastAsia="Times New Roman" w:cs="Times New Roman"/>
          <w:lang w:eastAsia="de-DE"/>
        </w:rPr>
        <w:t xml:space="preserve">(Piel Perfekt, 1. c. pl. von </w:t>
      </w:r>
      <w:r w:rsidRPr="003D3D82">
        <w:rPr>
          <w:rFonts w:eastAsia="Times New Roman" w:cs="Times New Roman"/>
          <w:b/>
          <w:bCs/>
          <w:rtl/>
          <w:lang w:eastAsia="de-DE"/>
        </w:rPr>
        <w:t>דבר</w:t>
      </w:r>
      <w:r w:rsidRPr="003D3D82">
        <w:rPr>
          <w:rFonts w:eastAsia="Times New Roman" w:cs="Times New Roman"/>
          <w:lang w:eastAsia="de-DE"/>
        </w:rPr>
        <w:t xml:space="preserve">), </w:t>
      </w:r>
      <w:r w:rsidRPr="003D3D82">
        <w:rPr>
          <w:rFonts w:eastAsia="Times New Roman" w:cs="Times New Roman"/>
          <w:b/>
          <w:bCs/>
          <w:rtl/>
          <w:lang w:eastAsia="de-DE"/>
        </w:rPr>
        <w:t>בַיהוָה וָבָךְ</w:t>
      </w:r>
      <w:r w:rsidRPr="003D3D82">
        <w:rPr>
          <w:rFonts w:eastAsia="Times New Roman" w:cs="Times New Roman"/>
          <w:rtl/>
          <w:lang w:eastAsia="de-DE"/>
        </w:rPr>
        <w:t xml:space="preserve"> </w:t>
      </w:r>
      <w:r w:rsidRPr="003D3D82">
        <w:rPr>
          <w:rFonts w:eastAsia="Times New Roman" w:cs="Times New Roman"/>
          <w:lang w:eastAsia="de-DE"/>
        </w:rPr>
        <w:t xml:space="preserve">mit </w:t>
      </w:r>
      <w:r w:rsidRPr="003D3D82">
        <w:rPr>
          <w:rFonts w:eastAsia="Times New Roman" w:cs="Times New Roman"/>
          <w:b/>
          <w:bCs/>
          <w:rtl/>
          <w:lang w:eastAsia="de-DE"/>
        </w:rPr>
        <w:t>בְּ</w:t>
      </w:r>
      <w:r w:rsidRPr="003D3D82">
        <w:rPr>
          <w:rFonts w:eastAsia="Times New Roman" w:cs="Times New Roman"/>
          <w:rtl/>
          <w:lang w:eastAsia="de-DE"/>
        </w:rPr>
        <w:t xml:space="preserve"> </w:t>
      </w:r>
      <w:r w:rsidRPr="003D3D82">
        <w:rPr>
          <w:rFonts w:eastAsia="Times New Roman" w:cs="Times New Roman"/>
          <w:lang w:eastAsia="de-DE"/>
        </w:rPr>
        <w:t xml:space="preserve">feindlich wiederholt exakt die Formulierung aus Vers 5, diesmal aber als Schuldeingeständnis. Bemerkenswert: Sie bekennen die Sünde gegen </w:t>
      </w:r>
      <w:r w:rsidRPr="003D3D82">
        <w:rPr>
          <w:rFonts w:eastAsia="Times New Roman" w:cs="Times New Roman"/>
          <w:b/>
          <w:bCs/>
          <w:rtl/>
          <w:lang w:eastAsia="de-DE"/>
        </w:rPr>
        <w:t>יְהוָה</w:t>
      </w:r>
      <w:r w:rsidRPr="003D3D82">
        <w:rPr>
          <w:rFonts w:eastAsia="Times New Roman" w:cs="Times New Roman"/>
          <w:rtl/>
          <w:lang w:eastAsia="de-DE"/>
        </w:rPr>
        <w:t xml:space="preserve"> </w:t>
      </w:r>
      <w:r w:rsidRPr="003D3D82">
        <w:rPr>
          <w:rFonts w:eastAsia="Times New Roman" w:cs="Times New Roman"/>
          <w:lang w:eastAsia="de-DE"/>
        </w:rPr>
        <w:t>(den Bundesgott) und gegen Mose.</w:t>
      </w:r>
    </w:p>
    <w:p w14:paraId="54E43134"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Bitte </w:t>
      </w:r>
      <w:r w:rsidRPr="003D3D82">
        <w:rPr>
          <w:rFonts w:eastAsia="Times New Roman" w:cs="Times New Roman"/>
          <w:b/>
          <w:bCs/>
          <w:rtl/>
          <w:lang w:eastAsia="de-DE"/>
        </w:rPr>
        <w:t>הִתְפַּלֵּל אֶל־יְהוָה</w:t>
      </w:r>
      <w:r w:rsidRPr="003D3D82">
        <w:rPr>
          <w:rFonts w:eastAsia="Times New Roman" w:cs="Times New Roman"/>
          <w:rtl/>
          <w:lang w:eastAsia="de-DE"/>
        </w:rPr>
        <w:t xml:space="preserve"> </w:t>
      </w:r>
      <w:r w:rsidRPr="003D3D82">
        <w:rPr>
          <w:rFonts w:eastAsia="Times New Roman" w:cs="Times New Roman"/>
          <w:lang w:eastAsia="de-DE"/>
        </w:rPr>
        <w:t xml:space="preserve">(Hitpael Imperativ, 2. m. sg. von </w:t>
      </w:r>
      <w:r w:rsidRPr="003D3D82">
        <w:rPr>
          <w:rFonts w:eastAsia="Times New Roman" w:cs="Times New Roman"/>
          <w:b/>
          <w:bCs/>
          <w:rtl/>
          <w:lang w:eastAsia="de-DE"/>
        </w:rPr>
        <w:t>פלל</w:t>
      </w:r>
      <w:r w:rsidRPr="003D3D82">
        <w:rPr>
          <w:rFonts w:eastAsia="Times New Roman" w:cs="Times New Roman"/>
          <w:lang w:eastAsia="de-DE"/>
        </w:rPr>
        <w:t xml:space="preserve">, „bete, flehe") ist reflexiv-intensiv – </w:t>
      </w:r>
      <w:r w:rsidRPr="003D3D82">
        <w:rPr>
          <w:rFonts w:eastAsia="Times New Roman" w:cs="Times New Roman"/>
          <w:b/>
          <w:bCs/>
          <w:rtl/>
          <w:lang w:eastAsia="de-DE"/>
        </w:rPr>
        <w:t>התפלל</w:t>
      </w:r>
      <w:r w:rsidRPr="003D3D82">
        <w:rPr>
          <w:rFonts w:eastAsia="Times New Roman" w:cs="Times New Roman"/>
          <w:rtl/>
          <w:lang w:eastAsia="de-DE"/>
        </w:rPr>
        <w:t xml:space="preserve"> </w:t>
      </w:r>
      <w:r w:rsidRPr="003D3D82">
        <w:rPr>
          <w:rFonts w:eastAsia="Times New Roman" w:cs="Times New Roman"/>
          <w:lang w:eastAsia="de-DE"/>
        </w:rPr>
        <w:t xml:space="preserve">bedeutet „für sich/inständig beten, Fürbitte einlegen". Der finale Satz </w:t>
      </w:r>
      <w:r w:rsidRPr="003D3D82">
        <w:rPr>
          <w:rFonts w:eastAsia="Times New Roman" w:cs="Times New Roman"/>
          <w:b/>
          <w:bCs/>
          <w:rtl/>
          <w:lang w:eastAsia="de-DE"/>
        </w:rPr>
        <w:t>וְיָסֵר מֵעָלֵינוּ אֶת־הַנָּחָשׁ</w:t>
      </w:r>
      <w:r w:rsidRPr="003D3D82">
        <w:rPr>
          <w:rFonts w:eastAsia="Times New Roman" w:cs="Times New Roman"/>
          <w:rtl/>
          <w:lang w:eastAsia="de-DE"/>
        </w:rPr>
        <w:t xml:space="preserve"> </w:t>
      </w:r>
      <w:r w:rsidRPr="003D3D82">
        <w:rPr>
          <w:rFonts w:eastAsia="Times New Roman" w:cs="Times New Roman"/>
          <w:lang w:eastAsia="de-DE"/>
        </w:rPr>
        <w:t xml:space="preserve">(„dass er die Schlange von uns wegnehme") besteht aus </w:t>
      </w:r>
      <w:r w:rsidRPr="003D3D82">
        <w:rPr>
          <w:rFonts w:eastAsia="Times New Roman" w:cs="Times New Roman"/>
          <w:b/>
          <w:bCs/>
          <w:rtl/>
          <w:lang w:eastAsia="de-DE"/>
        </w:rPr>
        <w:t>וְיָסֵר</w:t>
      </w:r>
      <w:r w:rsidRPr="003D3D82">
        <w:rPr>
          <w:rFonts w:eastAsia="Times New Roman" w:cs="Times New Roman"/>
          <w:rtl/>
          <w:lang w:eastAsia="de-DE"/>
        </w:rPr>
        <w:t xml:space="preserve"> </w:t>
      </w:r>
      <w:r w:rsidRPr="003D3D82">
        <w:rPr>
          <w:rFonts w:eastAsia="Times New Roman" w:cs="Times New Roman"/>
          <w:lang w:eastAsia="de-DE"/>
        </w:rPr>
        <w:t xml:space="preserve">(Waw + Hifil Imperfekt Jussiv, 3. m. sg. von </w:t>
      </w:r>
      <w:r w:rsidRPr="003D3D82">
        <w:rPr>
          <w:rFonts w:eastAsia="Times New Roman" w:cs="Times New Roman"/>
          <w:b/>
          <w:bCs/>
          <w:rtl/>
          <w:lang w:eastAsia="de-DE"/>
        </w:rPr>
        <w:t>סור</w:t>
      </w:r>
      <w:r w:rsidRPr="003D3D82">
        <w:rPr>
          <w:rFonts w:eastAsia="Times New Roman" w:cs="Times New Roman"/>
          <w:lang w:eastAsia="de-DE"/>
        </w:rPr>
        <w:t xml:space="preserve">, „und er möge wegnehmen") – die Jussiv-Form drückt den Wunsch aus –, </w:t>
      </w:r>
      <w:r w:rsidRPr="003D3D82">
        <w:rPr>
          <w:rFonts w:eastAsia="Times New Roman" w:cs="Times New Roman"/>
          <w:b/>
          <w:bCs/>
          <w:rtl/>
          <w:lang w:eastAsia="de-DE"/>
        </w:rPr>
        <w:t>מֵעָלֵינוּ</w:t>
      </w:r>
      <w:r w:rsidRPr="003D3D82">
        <w:rPr>
          <w:rFonts w:eastAsia="Times New Roman" w:cs="Times New Roman"/>
          <w:rtl/>
          <w:lang w:eastAsia="de-DE"/>
        </w:rPr>
        <w:t xml:space="preserve"> </w:t>
      </w:r>
      <w:r w:rsidRPr="003D3D82">
        <w:rPr>
          <w:rFonts w:eastAsia="Times New Roman" w:cs="Times New Roman"/>
          <w:lang w:eastAsia="de-DE"/>
        </w:rPr>
        <w:t xml:space="preserve">(„von uns") mit </w:t>
      </w:r>
      <w:r w:rsidRPr="003D3D82">
        <w:rPr>
          <w:rFonts w:eastAsia="Times New Roman" w:cs="Times New Roman"/>
          <w:b/>
          <w:bCs/>
          <w:rtl/>
          <w:lang w:eastAsia="de-DE"/>
        </w:rPr>
        <w:t>מִן</w:t>
      </w:r>
      <w:r w:rsidRPr="003D3D82">
        <w:rPr>
          <w:rFonts w:eastAsia="Times New Roman" w:cs="Times New Roman"/>
          <w:rtl/>
          <w:lang w:eastAsia="de-DE"/>
        </w:rPr>
        <w:t xml:space="preserve"> </w:t>
      </w:r>
      <w:r w:rsidRPr="003D3D82">
        <w:rPr>
          <w:rFonts w:eastAsia="Times New Roman" w:cs="Times New Roman"/>
          <w:lang w:eastAsia="de-DE"/>
        </w:rPr>
        <w:t xml:space="preserve">und Possessivsuffix 1. c. pl., </w:t>
      </w:r>
      <w:r w:rsidRPr="003D3D82">
        <w:rPr>
          <w:rFonts w:eastAsia="Times New Roman" w:cs="Times New Roman"/>
          <w:b/>
          <w:bCs/>
          <w:rtl/>
          <w:lang w:eastAsia="de-DE"/>
        </w:rPr>
        <w:t>אֶת־הַנָּחָשׁ</w:t>
      </w:r>
      <w:r w:rsidRPr="003D3D82">
        <w:rPr>
          <w:rFonts w:eastAsia="Times New Roman" w:cs="Times New Roman"/>
          <w:rtl/>
          <w:lang w:eastAsia="de-DE"/>
        </w:rPr>
        <w:t xml:space="preserve"> </w:t>
      </w:r>
      <w:r w:rsidRPr="003D3D82">
        <w:rPr>
          <w:rFonts w:eastAsia="Times New Roman" w:cs="Times New Roman"/>
          <w:lang w:eastAsia="de-DE"/>
        </w:rPr>
        <w:t>(„die Schlange") – interessanterweise Singular kollektiv, nicht Plural wie in Vers 6.</w:t>
      </w:r>
    </w:p>
    <w:p w14:paraId="51408822"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Moses Reaktion </w:t>
      </w:r>
      <w:r w:rsidRPr="003D3D82">
        <w:rPr>
          <w:rFonts w:eastAsia="Times New Roman" w:cs="Times New Roman"/>
          <w:b/>
          <w:bCs/>
          <w:rtl/>
          <w:lang w:eastAsia="de-DE"/>
        </w:rPr>
        <w:t>וַיִּתְפַּלֵּל מֹשֶׁה בְּעַד הָעָם</w:t>
      </w:r>
      <w:r w:rsidRPr="003D3D82">
        <w:rPr>
          <w:rFonts w:eastAsia="Times New Roman" w:cs="Times New Roman"/>
          <w:rtl/>
          <w:lang w:eastAsia="de-DE"/>
        </w:rPr>
        <w:t xml:space="preserve"> </w:t>
      </w:r>
      <w:r w:rsidRPr="003D3D82">
        <w:rPr>
          <w:rFonts w:eastAsia="Times New Roman" w:cs="Times New Roman"/>
          <w:lang w:eastAsia="de-DE"/>
        </w:rPr>
        <w:t xml:space="preserve">(„und Mose betete für das Volk") – </w:t>
      </w:r>
      <w:r w:rsidRPr="003D3D82">
        <w:rPr>
          <w:rFonts w:eastAsia="Times New Roman" w:cs="Times New Roman"/>
          <w:b/>
          <w:bCs/>
          <w:rtl/>
          <w:lang w:eastAsia="de-DE"/>
        </w:rPr>
        <w:t>וַיִּתְפַּלֵּל</w:t>
      </w:r>
      <w:r w:rsidRPr="003D3D82">
        <w:rPr>
          <w:rFonts w:eastAsia="Times New Roman" w:cs="Times New Roman"/>
          <w:rtl/>
          <w:lang w:eastAsia="de-DE"/>
        </w:rPr>
        <w:t xml:space="preserve"> </w:t>
      </w:r>
      <w:r w:rsidRPr="003D3D82">
        <w:rPr>
          <w:rFonts w:eastAsia="Times New Roman" w:cs="Times New Roman"/>
          <w:lang w:eastAsia="de-DE"/>
        </w:rPr>
        <w:t xml:space="preserve">(Wayyiqtol, 3. m. sg. von </w:t>
      </w:r>
      <w:r w:rsidRPr="003D3D82">
        <w:rPr>
          <w:rFonts w:eastAsia="Times New Roman" w:cs="Times New Roman"/>
          <w:b/>
          <w:bCs/>
          <w:rtl/>
          <w:lang w:eastAsia="de-DE"/>
        </w:rPr>
        <w:t>פלל</w:t>
      </w:r>
      <w:r w:rsidRPr="003D3D82">
        <w:rPr>
          <w:rFonts w:eastAsia="Times New Roman" w:cs="Times New Roman"/>
          <w:rtl/>
          <w:lang w:eastAsia="de-DE"/>
        </w:rPr>
        <w:t xml:space="preserve"> </w:t>
      </w:r>
      <w:r w:rsidRPr="003D3D82">
        <w:rPr>
          <w:rFonts w:eastAsia="Times New Roman" w:cs="Times New Roman"/>
          <w:lang w:eastAsia="de-DE"/>
        </w:rPr>
        <w:t xml:space="preserve">Hitpael), </w:t>
      </w:r>
      <w:r w:rsidRPr="003D3D82">
        <w:rPr>
          <w:rFonts w:eastAsia="Times New Roman" w:cs="Times New Roman"/>
          <w:b/>
          <w:bCs/>
          <w:rtl/>
          <w:lang w:eastAsia="de-DE"/>
        </w:rPr>
        <w:t>בְּעַד</w:t>
      </w:r>
      <w:r w:rsidRPr="003D3D82">
        <w:rPr>
          <w:rFonts w:eastAsia="Times New Roman" w:cs="Times New Roman"/>
          <w:rtl/>
          <w:lang w:eastAsia="de-DE"/>
        </w:rPr>
        <w:t xml:space="preserve"> </w:t>
      </w:r>
      <w:r w:rsidRPr="003D3D82">
        <w:rPr>
          <w:rFonts w:eastAsia="Times New Roman" w:cs="Times New Roman"/>
          <w:lang w:eastAsia="de-DE"/>
        </w:rPr>
        <w:t xml:space="preserve">(„für, zugunsten von") mit </w:t>
      </w:r>
      <w:r w:rsidRPr="003D3D82">
        <w:rPr>
          <w:rFonts w:eastAsia="Times New Roman" w:cs="Times New Roman"/>
          <w:b/>
          <w:bCs/>
          <w:rtl/>
          <w:lang w:eastAsia="de-DE"/>
        </w:rPr>
        <w:t>עַד</w:t>
      </w:r>
      <w:r w:rsidRPr="003D3D82">
        <w:rPr>
          <w:rFonts w:eastAsia="Times New Roman" w:cs="Times New Roman"/>
          <w:rtl/>
          <w:lang w:eastAsia="de-DE"/>
        </w:rPr>
        <w:t xml:space="preserve"> </w:t>
      </w:r>
      <w:r w:rsidRPr="003D3D82">
        <w:rPr>
          <w:rFonts w:eastAsia="Times New Roman" w:cs="Times New Roman"/>
          <w:lang w:eastAsia="de-DE"/>
        </w:rPr>
        <w:t>zeigt Fürbitte. Trotz der Angriffe des Volkes gegen ihn tritt Mose als Fürbitter ein – ein Kennzeichen seiner Größe als Mittler.</w:t>
      </w:r>
    </w:p>
    <w:p w14:paraId="33B35DF0"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Die LXX</w:t>
      </w:r>
      <w:r w:rsidRPr="003D3D82">
        <w:rPr>
          <w:rFonts w:eastAsia="Times New Roman" w:cs="Times New Roman"/>
          <w:lang w:eastAsia="de-DE"/>
        </w:rPr>
        <w:t xml:space="preserve"> folgt dem hebräischen Text.</w:t>
      </w:r>
    </w:p>
    <w:p w14:paraId="03279503"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Die Satzstruktur zeigt vier koordinierte Hauptsätze: Die ersten beiden mit Verb, Subjekt, Präpositionalphrase bzw. Verb; die direkte Rede enthält einen Hauptsatz (Verb), eine kausale Begründung (Konjunktion, Verb, doppelte Präpositionalphrase), einen imperativischen Hauptsatz (Imperativ, Präpositionalphrase) und einen finalen Jussiv-Satz (Konjunktion, Verb, Präpositionalphrase, Objekt). Der abschließende Hauptsatz hat Verb, Subjekt und Präpositionalphrase. Insgesamt gibt es einen Nebensatz (finaler Jussiv-Satz).</w:t>
      </w:r>
    </w:p>
    <w:p w14:paraId="208C38E2"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Der Vers zeigt schnelle Reue unter dem Druck der Strafe: Sündenbekenntnis, Bitte um Fürbitte, und Moses sofortige Bereitschaft zur Vermittlung – der Zyklus von Rebellion, Strafe, Reue und Fürbitte.</w:t>
      </w:r>
    </w:p>
    <w:p w14:paraId="3E6EF0B3" w14:textId="77777777" w:rsidR="003D3D82" w:rsidRPr="003D3D82" w:rsidRDefault="003D3D82" w:rsidP="003D3D82">
      <w:pPr>
        <w:spacing w:before="100" w:beforeAutospacing="1" w:after="100" w:afterAutospacing="1" w:line="240" w:lineRule="auto"/>
        <w:outlineLvl w:val="0"/>
        <w:rPr>
          <w:rFonts w:eastAsia="Times New Roman" w:cs="Times New Roman"/>
          <w:b/>
          <w:bCs/>
          <w:kern w:val="36"/>
          <w:sz w:val="48"/>
          <w:szCs w:val="48"/>
          <w:lang w:eastAsia="de-DE"/>
        </w:rPr>
      </w:pPr>
      <w:r w:rsidRPr="003D3D82">
        <w:rPr>
          <w:rFonts w:eastAsia="Times New Roman" w:cs="Times New Roman"/>
          <w:b/>
          <w:bCs/>
          <w:kern w:val="36"/>
          <w:sz w:val="48"/>
          <w:szCs w:val="48"/>
          <w:lang w:eastAsia="de-DE"/>
        </w:rPr>
        <w:lastRenderedPageBreak/>
        <w:t>Numeri 21,8</w:t>
      </w:r>
    </w:p>
    <w:p w14:paraId="4114CF28"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Hebräisch:</w:t>
      </w:r>
      <w:r w:rsidRPr="003D3D82">
        <w:rPr>
          <w:rFonts w:eastAsia="Times New Roman" w:cs="Times New Roman"/>
          <w:lang w:eastAsia="de-DE"/>
        </w:rPr>
        <w:t xml:space="preserve"> </w:t>
      </w:r>
      <w:r w:rsidRPr="003D3D82">
        <w:rPr>
          <w:rFonts w:eastAsia="Times New Roman" w:cs="Times New Roman"/>
          <w:rtl/>
          <w:lang w:eastAsia="de-DE"/>
        </w:rPr>
        <w:t>וַיֹּ֨אמֶר יְהוָ֜ה אֶל־מֹשֶׁ֗ה עֲשֵׂ֤ה לְךָ֙ שָׂרָ֔ף וְשִׂ֥ים אֹתוֹ֖ עַל־נֵ֑ס וְהָיָה֙ כָּל־הַנָּשׁ֔וּךְ וְרָאָ֥ה אֹתוֹ֖ וָחָֽי׃</w:t>
      </w:r>
    </w:p>
    <w:p w14:paraId="565BF9FC"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Deutsch:</w:t>
      </w:r>
      <w:r w:rsidRPr="003D3D82">
        <w:rPr>
          <w:rFonts w:eastAsia="Times New Roman" w:cs="Times New Roman"/>
          <w:lang w:eastAsia="de-DE"/>
        </w:rPr>
        <w:t xml:space="preserve"> Und der Ewige sprach zu Mosche: Mache dir eine Saraph-Schlange und setze sie auf eine Stange. Und es wird geschehen, jeder, der gebissen ist und sie ansieht, wird leben.</w:t>
      </w:r>
    </w:p>
    <w:p w14:paraId="21922B30" w14:textId="77777777" w:rsidR="003D3D82" w:rsidRPr="003D3D82" w:rsidRDefault="00F329DD" w:rsidP="003D3D82">
      <w:pPr>
        <w:spacing w:after="0" w:line="240" w:lineRule="auto"/>
        <w:rPr>
          <w:rFonts w:eastAsia="Times New Roman" w:cs="Times New Roman"/>
          <w:lang w:eastAsia="de-DE"/>
        </w:rPr>
      </w:pPr>
      <w:r>
        <w:rPr>
          <w:rFonts w:eastAsia="Times New Roman" w:cs="Times New Roman"/>
          <w:noProof/>
          <w:lang w:eastAsia="de-DE"/>
        </w:rPr>
        <w:pict w14:anchorId="6C5F93C6">
          <v:rect id="_x0000_i1737" style="width:0;height:1.5pt" o:hralign="center" o:hrstd="t" o:hr="t" fillcolor="#a0a0a0" stroked="f"/>
        </w:pict>
      </w:r>
    </w:p>
    <w:p w14:paraId="7F8FA6D4"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Kommentar:</w:t>
      </w:r>
      <w:r w:rsidRPr="003D3D82">
        <w:rPr>
          <w:rFonts w:eastAsia="Times New Roman" w:cs="Times New Roman"/>
          <w:lang w:eastAsia="de-DE"/>
        </w:rPr>
        <w:t xml:space="preserve"> Die Redeeinleitungsformel </w:t>
      </w:r>
      <w:r w:rsidRPr="003D3D82">
        <w:rPr>
          <w:rFonts w:eastAsia="Times New Roman" w:cs="Times New Roman"/>
          <w:b/>
          <w:bCs/>
          <w:rtl/>
          <w:lang w:eastAsia="de-DE"/>
        </w:rPr>
        <w:t>וַיֹּאמֶר יְהוָה אֶל־מֹשֶׁה</w:t>
      </w:r>
      <w:r w:rsidRPr="003D3D82">
        <w:rPr>
          <w:rFonts w:eastAsia="Times New Roman" w:cs="Times New Roman"/>
          <w:lang w:eastAsia="de-DE"/>
        </w:rPr>
        <w:t xml:space="preserve">. Der erste Imperativ </w:t>
      </w:r>
      <w:r w:rsidRPr="003D3D82">
        <w:rPr>
          <w:rFonts w:eastAsia="Times New Roman" w:cs="Times New Roman"/>
          <w:b/>
          <w:bCs/>
          <w:rtl/>
          <w:lang w:eastAsia="de-DE"/>
        </w:rPr>
        <w:t>עֲשֵׂה לְךָ שָׂרָף</w:t>
      </w:r>
      <w:r w:rsidRPr="003D3D82">
        <w:rPr>
          <w:rFonts w:eastAsia="Times New Roman" w:cs="Times New Roman"/>
          <w:rtl/>
          <w:lang w:eastAsia="de-DE"/>
        </w:rPr>
        <w:t xml:space="preserve"> </w:t>
      </w:r>
      <w:r w:rsidRPr="003D3D82">
        <w:rPr>
          <w:rFonts w:eastAsia="Times New Roman" w:cs="Times New Roman"/>
          <w:lang w:eastAsia="de-DE"/>
        </w:rPr>
        <w:t xml:space="preserve">besteht aus </w:t>
      </w:r>
      <w:r w:rsidRPr="003D3D82">
        <w:rPr>
          <w:rFonts w:eastAsia="Times New Roman" w:cs="Times New Roman"/>
          <w:b/>
          <w:bCs/>
          <w:rtl/>
          <w:lang w:eastAsia="de-DE"/>
        </w:rPr>
        <w:t>עֲשֵׂה</w:t>
      </w:r>
      <w:r w:rsidRPr="003D3D82">
        <w:rPr>
          <w:rFonts w:eastAsia="Times New Roman" w:cs="Times New Roman"/>
          <w:rtl/>
          <w:lang w:eastAsia="de-DE"/>
        </w:rPr>
        <w:t xml:space="preserve"> </w:t>
      </w:r>
      <w:r w:rsidRPr="003D3D82">
        <w:rPr>
          <w:rFonts w:eastAsia="Times New Roman" w:cs="Times New Roman"/>
          <w:lang w:eastAsia="de-DE"/>
        </w:rPr>
        <w:t xml:space="preserve">(Qal Imperativ, 2. m. sg. von </w:t>
      </w:r>
      <w:r w:rsidRPr="003D3D82">
        <w:rPr>
          <w:rFonts w:eastAsia="Times New Roman" w:cs="Times New Roman"/>
          <w:b/>
          <w:bCs/>
          <w:rtl/>
          <w:lang w:eastAsia="de-DE"/>
        </w:rPr>
        <w:t>עשׂה</w:t>
      </w:r>
      <w:r w:rsidRPr="003D3D82">
        <w:rPr>
          <w:rFonts w:eastAsia="Times New Roman" w:cs="Times New Roman"/>
          <w:lang w:eastAsia="de-DE"/>
        </w:rPr>
        <w:t xml:space="preserve">, „mache"), </w:t>
      </w:r>
      <w:r w:rsidRPr="003D3D82">
        <w:rPr>
          <w:rFonts w:eastAsia="Times New Roman" w:cs="Times New Roman"/>
          <w:b/>
          <w:bCs/>
          <w:rtl/>
          <w:lang w:eastAsia="de-DE"/>
        </w:rPr>
        <w:t>לְךָ</w:t>
      </w:r>
      <w:r w:rsidRPr="003D3D82">
        <w:rPr>
          <w:rFonts w:eastAsia="Times New Roman" w:cs="Times New Roman"/>
          <w:rtl/>
          <w:lang w:eastAsia="de-DE"/>
        </w:rPr>
        <w:t xml:space="preserve"> </w:t>
      </w:r>
      <w:r w:rsidRPr="003D3D82">
        <w:rPr>
          <w:rFonts w:eastAsia="Times New Roman" w:cs="Times New Roman"/>
          <w:lang w:eastAsia="de-DE"/>
        </w:rPr>
        <w:t xml:space="preserve">(„für dich") mit Dativ des Interesses, </w:t>
      </w:r>
      <w:r w:rsidRPr="003D3D82">
        <w:rPr>
          <w:rFonts w:eastAsia="Times New Roman" w:cs="Times New Roman"/>
          <w:b/>
          <w:bCs/>
          <w:rtl/>
          <w:lang w:eastAsia="de-DE"/>
        </w:rPr>
        <w:t>שָׂרָף</w:t>
      </w:r>
      <w:r w:rsidRPr="003D3D82">
        <w:rPr>
          <w:rFonts w:eastAsia="Times New Roman" w:cs="Times New Roman"/>
          <w:rtl/>
          <w:lang w:eastAsia="de-DE"/>
        </w:rPr>
        <w:t xml:space="preserve"> </w:t>
      </w:r>
      <w:r w:rsidRPr="003D3D82">
        <w:rPr>
          <w:rFonts w:eastAsia="Times New Roman" w:cs="Times New Roman"/>
          <w:lang w:eastAsia="de-DE"/>
        </w:rPr>
        <w:t xml:space="preserve">(„eine Saraph-Schlange") – Singular, im Gegensatz zum Plural </w:t>
      </w:r>
      <w:r w:rsidRPr="003D3D82">
        <w:rPr>
          <w:rFonts w:eastAsia="Times New Roman" w:cs="Times New Roman"/>
          <w:b/>
          <w:bCs/>
          <w:rtl/>
          <w:lang w:eastAsia="de-DE"/>
        </w:rPr>
        <w:t>שְׂרָפִים</w:t>
      </w:r>
      <w:r w:rsidRPr="003D3D82">
        <w:rPr>
          <w:rFonts w:eastAsia="Times New Roman" w:cs="Times New Roman"/>
          <w:rtl/>
          <w:lang w:eastAsia="de-DE"/>
        </w:rPr>
        <w:t xml:space="preserve"> </w:t>
      </w:r>
      <w:r w:rsidRPr="003D3D82">
        <w:rPr>
          <w:rFonts w:eastAsia="Times New Roman" w:cs="Times New Roman"/>
          <w:lang w:eastAsia="de-DE"/>
        </w:rPr>
        <w:t>in Vers 6. Die Heilung erfordert ein Abbild der Strafe – ein tiefes theologisches Paradoxon.</w:t>
      </w:r>
    </w:p>
    <w:p w14:paraId="44FFFD6A"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Der zweite Imperativ </w:t>
      </w:r>
      <w:r w:rsidRPr="003D3D82">
        <w:rPr>
          <w:rFonts w:eastAsia="Times New Roman" w:cs="Times New Roman"/>
          <w:b/>
          <w:bCs/>
          <w:rtl/>
          <w:lang w:eastAsia="de-DE"/>
        </w:rPr>
        <w:t>וְשִׂים אֹתוֹ עַל־נֵס</w:t>
      </w:r>
      <w:r w:rsidRPr="003D3D82">
        <w:rPr>
          <w:rFonts w:eastAsia="Times New Roman" w:cs="Times New Roman"/>
          <w:rtl/>
          <w:lang w:eastAsia="de-DE"/>
        </w:rPr>
        <w:t xml:space="preserve"> </w:t>
      </w:r>
      <w:r w:rsidRPr="003D3D82">
        <w:rPr>
          <w:rFonts w:eastAsia="Times New Roman" w:cs="Times New Roman"/>
          <w:lang w:eastAsia="de-DE"/>
        </w:rPr>
        <w:t xml:space="preserve">(„und setze sie auf eine Stange") – </w:t>
      </w:r>
      <w:r w:rsidRPr="003D3D82">
        <w:rPr>
          <w:rFonts w:eastAsia="Times New Roman" w:cs="Times New Roman"/>
          <w:b/>
          <w:bCs/>
          <w:rtl/>
          <w:lang w:eastAsia="de-DE"/>
        </w:rPr>
        <w:t>וְשִׂים</w:t>
      </w:r>
      <w:r w:rsidRPr="003D3D82">
        <w:rPr>
          <w:rFonts w:eastAsia="Times New Roman" w:cs="Times New Roman"/>
          <w:rtl/>
          <w:lang w:eastAsia="de-DE"/>
        </w:rPr>
        <w:t xml:space="preserve"> </w:t>
      </w:r>
      <w:r w:rsidRPr="003D3D82">
        <w:rPr>
          <w:rFonts w:eastAsia="Times New Roman" w:cs="Times New Roman"/>
          <w:lang w:eastAsia="de-DE"/>
        </w:rPr>
        <w:t xml:space="preserve">(Waw + Qal Imperativ, 2. m. sg. von </w:t>
      </w:r>
      <w:r w:rsidRPr="003D3D82">
        <w:rPr>
          <w:rFonts w:eastAsia="Times New Roman" w:cs="Times New Roman"/>
          <w:b/>
          <w:bCs/>
          <w:rtl/>
          <w:lang w:eastAsia="de-DE"/>
        </w:rPr>
        <w:t>שׂים</w:t>
      </w:r>
      <w:r w:rsidRPr="003D3D82">
        <w:rPr>
          <w:rFonts w:eastAsia="Times New Roman" w:cs="Times New Roman"/>
          <w:lang w:eastAsia="de-DE"/>
        </w:rPr>
        <w:t xml:space="preserve">, „und setze"), </w:t>
      </w:r>
      <w:r w:rsidRPr="003D3D82">
        <w:rPr>
          <w:rFonts w:eastAsia="Times New Roman" w:cs="Times New Roman"/>
          <w:b/>
          <w:bCs/>
          <w:rtl/>
          <w:lang w:eastAsia="de-DE"/>
        </w:rPr>
        <w:t>אֹתוֹ</w:t>
      </w:r>
      <w:r w:rsidRPr="003D3D82">
        <w:rPr>
          <w:rFonts w:eastAsia="Times New Roman" w:cs="Times New Roman"/>
          <w:rtl/>
          <w:lang w:eastAsia="de-DE"/>
        </w:rPr>
        <w:t xml:space="preserve"> </w:t>
      </w:r>
      <w:r w:rsidRPr="003D3D82">
        <w:rPr>
          <w:rFonts w:eastAsia="Times New Roman" w:cs="Times New Roman"/>
          <w:lang w:eastAsia="de-DE"/>
        </w:rPr>
        <w:t xml:space="preserve">Objektpronomen, </w:t>
      </w:r>
      <w:r w:rsidRPr="003D3D82">
        <w:rPr>
          <w:rFonts w:eastAsia="Times New Roman" w:cs="Times New Roman"/>
          <w:b/>
          <w:bCs/>
          <w:rtl/>
          <w:lang w:eastAsia="de-DE"/>
        </w:rPr>
        <w:t>עַל־נֵס</w:t>
      </w:r>
      <w:r w:rsidRPr="003D3D82">
        <w:rPr>
          <w:rFonts w:eastAsia="Times New Roman" w:cs="Times New Roman"/>
          <w:rtl/>
          <w:lang w:eastAsia="de-DE"/>
        </w:rPr>
        <w:t xml:space="preserve"> </w:t>
      </w:r>
      <w:r w:rsidRPr="003D3D82">
        <w:rPr>
          <w:rFonts w:eastAsia="Times New Roman" w:cs="Times New Roman"/>
          <w:lang w:eastAsia="de-DE"/>
        </w:rPr>
        <w:t xml:space="preserve">(„auf eine Stange") – </w:t>
      </w:r>
      <w:r w:rsidRPr="003D3D82">
        <w:rPr>
          <w:rFonts w:eastAsia="Times New Roman" w:cs="Times New Roman"/>
          <w:b/>
          <w:bCs/>
          <w:rtl/>
          <w:lang w:eastAsia="de-DE"/>
        </w:rPr>
        <w:t>נֵס</w:t>
      </w:r>
      <w:r w:rsidRPr="003D3D82">
        <w:rPr>
          <w:rFonts w:eastAsia="Times New Roman" w:cs="Times New Roman"/>
          <w:rtl/>
          <w:lang w:eastAsia="de-DE"/>
        </w:rPr>
        <w:t xml:space="preserve"> </w:t>
      </w:r>
      <w:r w:rsidRPr="003D3D82">
        <w:rPr>
          <w:rFonts w:eastAsia="Times New Roman" w:cs="Times New Roman"/>
          <w:lang w:eastAsia="de-DE"/>
        </w:rPr>
        <w:t>bedeutet „Banner, Feldzeichen, Stange" (vgl. Ex 17,15; Jes 5,26; 11,12). Die erhöhte Position macht die Schlange für alle sichtbar.</w:t>
      </w:r>
    </w:p>
    <w:p w14:paraId="2BA9A2A7"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Verheißung </w:t>
      </w:r>
      <w:r w:rsidRPr="003D3D82">
        <w:rPr>
          <w:rFonts w:eastAsia="Times New Roman" w:cs="Times New Roman"/>
          <w:b/>
          <w:bCs/>
          <w:rtl/>
          <w:lang w:eastAsia="de-DE"/>
        </w:rPr>
        <w:t>וְהָיָה כָּל־הַנָּשׁוּךְ וְרָאָה אֹתוֹ וָחָי</w:t>
      </w:r>
      <w:r w:rsidRPr="003D3D82">
        <w:rPr>
          <w:rFonts w:eastAsia="Times New Roman" w:cs="Times New Roman"/>
          <w:rtl/>
          <w:lang w:eastAsia="de-DE"/>
        </w:rPr>
        <w:t xml:space="preserve"> </w:t>
      </w:r>
      <w:r w:rsidRPr="003D3D82">
        <w:rPr>
          <w:rFonts w:eastAsia="Times New Roman" w:cs="Times New Roman"/>
          <w:lang w:eastAsia="de-DE"/>
        </w:rPr>
        <w:t xml:space="preserve">ist komplex: </w:t>
      </w:r>
      <w:r w:rsidRPr="003D3D82">
        <w:rPr>
          <w:rFonts w:eastAsia="Times New Roman" w:cs="Times New Roman"/>
          <w:b/>
          <w:bCs/>
          <w:rtl/>
          <w:lang w:eastAsia="de-DE"/>
        </w:rPr>
        <w:t>וְהָיָה</w:t>
      </w:r>
      <w:r w:rsidRPr="003D3D82">
        <w:rPr>
          <w:rFonts w:eastAsia="Times New Roman" w:cs="Times New Roman"/>
          <w:rtl/>
          <w:lang w:eastAsia="de-DE"/>
        </w:rPr>
        <w:t xml:space="preserve"> </w:t>
      </w:r>
      <w:r w:rsidRPr="003D3D82">
        <w:rPr>
          <w:rFonts w:eastAsia="Times New Roman" w:cs="Times New Roman"/>
          <w:lang w:eastAsia="de-DE"/>
        </w:rPr>
        <w:t xml:space="preserve">(Waw + Qal Perfekt, 3. m. sg. von </w:t>
      </w:r>
      <w:r w:rsidRPr="003D3D82">
        <w:rPr>
          <w:rFonts w:eastAsia="Times New Roman" w:cs="Times New Roman"/>
          <w:b/>
          <w:bCs/>
          <w:rtl/>
          <w:lang w:eastAsia="de-DE"/>
        </w:rPr>
        <w:t>היה</w:t>
      </w:r>
      <w:r w:rsidRPr="003D3D82">
        <w:rPr>
          <w:rFonts w:eastAsia="Times New Roman" w:cs="Times New Roman"/>
          <w:rtl/>
          <w:lang w:eastAsia="de-DE"/>
        </w:rPr>
        <w:t xml:space="preserve"> </w:t>
      </w:r>
      <w:r w:rsidRPr="003D3D82">
        <w:rPr>
          <w:rFonts w:eastAsia="Times New Roman" w:cs="Times New Roman"/>
          <w:lang w:eastAsia="de-DE"/>
        </w:rPr>
        <w:t xml:space="preserve">mit Weqatal, „und es wird geschehen"), </w:t>
      </w:r>
      <w:r w:rsidRPr="003D3D82">
        <w:rPr>
          <w:rFonts w:eastAsia="Times New Roman" w:cs="Times New Roman"/>
          <w:b/>
          <w:bCs/>
          <w:rtl/>
          <w:lang w:eastAsia="de-DE"/>
        </w:rPr>
        <w:t>כָּל־הַנָּשׁוּךְ</w:t>
      </w:r>
      <w:r w:rsidRPr="003D3D82">
        <w:rPr>
          <w:rFonts w:eastAsia="Times New Roman" w:cs="Times New Roman"/>
          <w:rtl/>
          <w:lang w:eastAsia="de-DE"/>
        </w:rPr>
        <w:t xml:space="preserve"> </w:t>
      </w:r>
      <w:r w:rsidRPr="003D3D82">
        <w:rPr>
          <w:rFonts w:eastAsia="Times New Roman" w:cs="Times New Roman"/>
          <w:lang w:eastAsia="de-DE"/>
        </w:rPr>
        <w:t xml:space="preserve">(„jeder Gebissene") – </w:t>
      </w:r>
      <w:r w:rsidRPr="003D3D82">
        <w:rPr>
          <w:rFonts w:eastAsia="Times New Roman" w:cs="Times New Roman"/>
          <w:b/>
          <w:bCs/>
          <w:rtl/>
          <w:lang w:eastAsia="de-DE"/>
        </w:rPr>
        <w:t>כָּל</w:t>
      </w:r>
      <w:r w:rsidRPr="003D3D82">
        <w:rPr>
          <w:rFonts w:eastAsia="Times New Roman" w:cs="Times New Roman"/>
          <w:rtl/>
          <w:lang w:eastAsia="de-DE"/>
        </w:rPr>
        <w:t xml:space="preserve"> </w:t>
      </w:r>
      <w:r w:rsidRPr="003D3D82">
        <w:rPr>
          <w:rFonts w:eastAsia="Times New Roman" w:cs="Times New Roman"/>
          <w:lang w:eastAsia="de-DE"/>
        </w:rPr>
        <w:t xml:space="preserve">im Constructus mit </w:t>
      </w:r>
      <w:r w:rsidRPr="003D3D82">
        <w:rPr>
          <w:rFonts w:eastAsia="Times New Roman" w:cs="Times New Roman"/>
          <w:b/>
          <w:bCs/>
          <w:rtl/>
          <w:lang w:eastAsia="de-DE"/>
        </w:rPr>
        <w:t>הַנָּשׁוּךְ</w:t>
      </w:r>
      <w:r w:rsidRPr="003D3D82">
        <w:rPr>
          <w:rFonts w:eastAsia="Times New Roman" w:cs="Times New Roman"/>
          <w:rtl/>
          <w:lang w:eastAsia="de-DE"/>
        </w:rPr>
        <w:t xml:space="preserve"> </w:t>
      </w:r>
      <w:r w:rsidRPr="003D3D82">
        <w:rPr>
          <w:rFonts w:eastAsia="Times New Roman" w:cs="Times New Roman"/>
          <w:lang w:eastAsia="de-DE"/>
        </w:rPr>
        <w:t xml:space="preserve">(Artikel plus Qal Partizip Passiv von </w:t>
      </w:r>
      <w:r w:rsidRPr="003D3D82">
        <w:rPr>
          <w:rFonts w:eastAsia="Times New Roman" w:cs="Times New Roman"/>
          <w:b/>
          <w:bCs/>
          <w:rtl/>
          <w:lang w:eastAsia="de-DE"/>
        </w:rPr>
        <w:t>נשׁך</w:t>
      </w:r>
      <w:r w:rsidRPr="003D3D82">
        <w:rPr>
          <w:rFonts w:eastAsia="Times New Roman" w:cs="Times New Roman"/>
          <w:lang w:eastAsia="de-DE"/>
        </w:rPr>
        <w:t xml:space="preserve">, „der Gebissene"), </w:t>
      </w:r>
      <w:r w:rsidRPr="003D3D82">
        <w:rPr>
          <w:rFonts w:eastAsia="Times New Roman" w:cs="Times New Roman"/>
          <w:b/>
          <w:bCs/>
          <w:rtl/>
          <w:lang w:eastAsia="de-DE"/>
        </w:rPr>
        <w:t>וְרָאָה אֹתוֹ</w:t>
      </w:r>
      <w:r w:rsidRPr="003D3D82">
        <w:rPr>
          <w:rFonts w:eastAsia="Times New Roman" w:cs="Times New Roman"/>
          <w:rtl/>
          <w:lang w:eastAsia="de-DE"/>
        </w:rPr>
        <w:t xml:space="preserve"> </w:t>
      </w:r>
      <w:r w:rsidRPr="003D3D82">
        <w:rPr>
          <w:rFonts w:eastAsia="Times New Roman" w:cs="Times New Roman"/>
          <w:lang w:eastAsia="de-DE"/>
        </w:rPr>
        <w:t xml:space="preserve">(„und er sieht sie") – </w:t>
      </w:r>
      <w:r w:rsidRPr="003D3D82">
        <w:rPr>
          <w:rFonts w:eastAsia="Times New Roman" w:cs="Times New Roman"/>
          <w:b/>
          <w:bCs/>
          <w:rtl/>
          <w:lang w:eastAsia="de-DE"/>
        </w:rPr>
        <w:t>וְרָאָה</w:t>
      </w:r>
      <w:r w:rsidRPr="003D3D82">
        <w:rPr>
          <w:rFonts w:eastAsia="Times New Roman" w:cs="Times New Roman"/>
          <w:rtl/>
          <w:lang w:eastAsia="de-DE"/>
        </w:rPr>
        <w:t xml:space="preserve"> </w:t>
      </w:r>
      <w:r w:rsidRPr="003D3D82">
        <w:rPr>
          <w:rFonts w:eastAsia="Times New Roman" w:cs="Times New Roman"/>
          <w:lang w:eastAsia="de-DE"/>
        </w:rPr>
        <w:t xml:space="preserve">(Waw + Qal Perfekt, 3. m. sg. von </w:t>
      </w:r>
      <w:r w:rsidRPr="003D3D82">
        <w:rPr>
          <w:rFonts w:eastAsia="Times New Roman" w:cs="Times New Roman"/>
          <w:b/>
          <w:bCs/>
          <w:rtl/>
          <w:lang w:eastAsia="de-DE"/>
        </w:rPr>
        <w:t>ראה</w:t>
      </w:r>
      <w:r w:rsidRPr="003D3D82">
        <w:rPr>
          <w:rFonts w:eastAsia="Times New Roman" w:cs="Times New Roman"/>
          <w:rtl/>
          <w:lang w:eastAsia="de-DE"/>
        </w:rPr>
        <w:t xml:space="preserve"> </w:t>
      </w:r>
      <w:r w:rsidRPr="003D3D82">
        <w:rPr>
          <w:rFonts w:eastAsia="Times New Roman" w:cs="Times New Roman"/>
          <w:lang w:eastAsia="de-DE"/>
        </w:rPr>
        <w:t xml:space="preserve">mit Weqatal), </w:t>
      </w:r>
      <w:r w:rsidRPr="003D3D82">
        <w:rPr>
          <w:rFonts w:eastAsia="Times New Roman" w:cs="Times New Roman"/>
          <w:b/>
          <w:bCs/>
          <w:rtl/>
          <w:lang w:eastAsia="de-DE"/>
        </w:rPr>
        <w:t>וָחָי</w:t>
      </w:r>
      <w:r w:rsidRPr="003D3D82">
        <w:rPr>
          <w:rFonts w:eastAsia="Times New Roman" w:cs="Times New Roman"/>
          <w:rtl/>
          <w:lang w:eastAsia="de-DE"/>
        </w:rPr>
        <w:t xml:space="preserve"> </w:t>
      </w:r>
      <w:r w:rsidRPr="003D3D82">
        <w:rPr>
          <w:rFonts w:eastAsia="Times New Roman" w:cs="Times New Roman"/>
          <w:lang w:eastAsia="de-DE"/>
        </w:rPr>
        <w:t xml:space="preserve">(Waw + Qal Perfekt, 3. m. sg. von </w:t>
      </w:r>
      <w:r w:rsidRPr="003D3D82">
        <w:rPr>
          <w:rFonts w:eastAsia="Times New Roman" w:cs="Times New Roman"/>
          <w:b/>
          <w:bCs/>
          <w:rtl/>
          <w:lang w:eastAsia="de-DE"/>
        </w:rPr>
        <w:t>חיה</w:t>
      </w:r>
      <w:r w:rsidRPr="003D3D82">
        <w:rPr>
          <w:rFonts w:eastAsia="Times New Roman" w:cs="Times New Roman"/>
          <w:rtl/>
          <w:lang w:eastAsia="de-DE"/>
        </w:rPr>
        <w:t xml:space="preserve"> </w:t>
      </w:r>
      <w:r w:rsidRPr="003D3D82">
        <w:rPr>
          <w:rFonts w:eastAsia="Times New Roman" w:cs="Times New Roman"/>
          <w:lang w:eastAsia="de-DE"/>
        </w:rPr>
        <w:t>mit Weqatal, „und er wird leben").</w:t>
      </w:r>
    </w:p>
    <w:p w14:paraId="25D19DA9" w14:textId="7EC6B2C2" w:rsid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Die Heilung erfordert zwei Elemente: (1) gebissen sein, (2) die erhöhte Schlange ansehen. Das bloße Ansehen heilt – kein Opfer, keine Medizin, nur der Blick des Glaubens. Dies wird später im Neuen Testament typologisch gedeutet (Joh 3,14-15).</w:t>
      </w:r>
    </w:p>
    <w:p w14:paraId="03C7F2BA" w14:textId="1D8E7401" w:rsidR="00D15F41" w:rsidRPr="00D15F41" w:rsidRDefault="00D15F41" w:rsidP="00D15F41">
      <w:pPr>
        <w:spacing w:after="0" w:line="240" w:lineRule="auto"/>
        <w:rPr>
          <w:rFonts w:eastAsia="Times New Roman" w:cs="Times New Roman"/>
          <w:lang w:eastAsia="de-DE"/>
        </w:rPr>
      </w:pPr>
      <w:r w:rsidRPr="00D15F41">
        <w:rPr>
          <w:rFonts w:eastAsia="Times New Roman" w:hAnsi="Symbol" w:cs="Times New Roman"/>
          <w:lang w:eastAsia="de-DE"/>
        </w:rPr>
        <w:t></w:t>
      </w:r>
      <w:r w:rsidRPr="00D15F41">
        <w:rPr>
          <w:rFonts w:eastAsia="Times New Roman" w:cs="Times New Roman"/>
          <w:lang w:eastAsia="de-DE"/>
        </w:rPr>
        <w:t xml:space="preserve"> Das</w:t>
      </w:r>
      <w:r w:rsidRPr="00D15F41">
        <w:rPr>
          <w:rFonts w:eastAsia="Times New Roman" w:cs="Times New Roman"/>
          <w:lang w:eastAsia="de-DE"/>
        </w:rPr>
        <w:t xml:space="preserve"> Bild der Strafe heilt (wie später das Kreuz - das Zeichen des Fluches wird zum Zeichen des Heils) </w:t>
      </w:r>
    </w:p>
    <w:p w14:paraId="27C4C96B" w14:textId="65D867A3" w:rsidR="00D15F41" w:rsidRPr="003D3D82" w:rsidRDefault="00D15F41" w:rsidP="00D15F41">
      <w:pPr>
        <w:spacing w:before="100" w:beforeAutospacing="1" w:after="100" w:afterAutospacing="1" w:line="240" w:lineRule="auto"/>
        <w:rPr>
          <w:rFonts w:eastAsia="Times New Roman" w:cs="Times New Roman"/>
          <w:lang w:eastAsia="de-DE"/>
        </w:rPr>
      </w:pPr>
      <w:r w:rsidRPr="00D15F41">
        <w:rPr>
          <w:rFonts w:eastAsia="Times New Roman" w:hAnsi="Symbol" w:cs="Times New Roman"/>
          <w:lang w:eastAsia="de-DE"/>
        </w:rPr>
        <w:t></w:t>
      </w:r>
      <w:r w:rsidRPr="00D15F41">
        <w:rPr>
          <w:rFonts w:eastAsia="Times New Roman" w:cs="Times New Roman"/>
          <w:lang w:eastAsia="de-DE"/>
        </w:rPr>
        <w:t xml:space="preserve"> </w:t>
      </w:r>
      <w:r>
        <w:rPr>
          <w:rFonts w:eastAsia="Times New Roman" w:cs="Times New Roman"/>
          <w:lang w:eastAsia="de-DE"/>
        </w:rPr>
        <w:t>2</w:t>
      </w:r>
      <w:r w:rsidRPr="00D15F41">
        <w:rPr>
          <w:rFonts w:eastAsia="Times New Roman" w:cs="Times New Roman"/>
          <w:lang w:eastAsia="de-DE"/>
        </w:rPr>
        <w:t>Könige</w:t>
      </w:r>
      <w:r w:rsidRPr="00D15F41">
        <w:rPr>
          <w:rFonts w:eastAsia="Times New Roman" w:cs="Times New Roman"/>
          <w:lang w:eastAsia="de-DE"/>
        </w:rPr>
        <w:t xml:space="preserve"> 18,4: Hiskia zerstört die Kupferschlange (</w:t>
      </w:r>
      <w:r w:rsidRPr="00D15F41">
        <w:rPr>
          <w:rFonts w:eastAsia="Times New Roman" w:cs="Times New Roman"/>
          <w:rtl/>
          <w:lang w:eastAsia="de-DE"/>
        </w:rPr>
        <w:t>נחשתן</w:t>
      </w:r>
      <w:r w:rsidRPr="00D15F41">
        <w:rPr>
          <w:rFonts w:eastAsia="Times New Roman" w:cs="Times New Roman"/>
          <w:lang w:eastAsia="de-DE"/>
        </w:rPr>
        <w:t>), weil sie zum Götzendienst-Objekt wurde</w:t>
      </w:r>
    </w:p>
    <w:p w14:paraId="759A30B0"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Die LXX</w:t>
      </w:r>
      <w:r w:rsidRPr="003D3D82">
        <w:rPr>
          <w:rFonts w:eastAsia="Times New Roman" w:cs="Times New Roman"/>
          <w:lang w:eastAsia="de-DE"/>
        </w:rPr>
        <w:t xml:space="preserve"> folgt dem hebräischen Text, übersetzt </w:t>
      </w:r>
      <w:r w:rsidRPr="003D3D82">
        <w:rPr>
          <w:rFonts w:eastAsia="Times New Roman" w:cs="Times New Roman"/>
          <w:b/>
          <w:bCs/>
          <w:rtl/>
          <w:lang w:eastAsia="de-DE"/>
        </w:rPr>
        <w:t>נֵס</w:t>
      </w:r>
      <w:r w:rsidRPr="003D3D82">
        <w:rPr>
          <w:rFonts w:eastAsia="Times New Roman" w:cs="Times New Roman"/>
          <w:rtl/>
          <w:lang w:eastAsia="de-DE"/>
        </w:rPr>
        <w:t xml:space="preserve"> </w:t>
      </w:r>
      <w:r w:rsidRPr="003D3D82">
        <w:rPr>
          <w:rFonts w:eastAsia="Times New Roman" w:cs="Times New Roman"/>
          <w:lang w:eastAsia="de-DE"/>
        </w:rPr>
        <w:t>mit σημεῖον (sēmeion, „Zeichen").</w:t>
      </w:r>
    </w:p>
    <w:p w14:paraId="374AB70A"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Satzstruktur zeigt einen Hauptsatz mit Verb, Subjekt und indirektem Objekt. Die direkte Rede enthält zwei koordinierte imperativische Hauptsätze (Imperativ mit Dativ-Präpositionalphrase und Objekt, bzw. Imperativ mit Objektpronomen und Präpositionalphrase) und eine Verheißung mit </w:t>
      </w:r>
      <w:r w:rsidRPr="003D3D82">
        <w:rPr>
          <w:rFonts w:eastAsia="Times New Roman" w:cs="Times New Roman"/>
          <w:b/>
          <w:bCs/>
          <w:rtl/>
          <w:lang w:eastAsia="de-DE"/>
        </w:rPr>
        <w:t>היה</w:t>
      </w:r>
      <w:r w:rsidRPr="003D3D82">
        <w:rPr>
          <w:rFonts w:eastAsia="Times New Roman" w:cs="Times New Roman"/>
          <w:rtl/>
          <w:lang w:eastAsia="de-DE"/>
        </w:rPr>
        <w:t xml:space="preserve"> </w:t>
      </w:r>
      <w:r w:rsidRPr="003D3D82">
        <w:rPr>
          <w:rFonts w:eastAsia="Times New Roman" w:cs="Times New Roman"/>
          <w:lang w:eastAsia="de-DE"/>
        </w:rPr>
        <w:t>plus partizipialem Subjekt (Constructus-Verbindung) und zwei koordinierten Weqatal-Verben mit Objektpronomen. Es gibt keine subordinierten Nebensätze.</w:t>
      </w:r>
    </w:p>
    <w:p w14:paraId="485CD213"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Der Vers enthält das paradoxe Heilmittel: Das Abbild der Strafe wird zum Heilungsinstrument – wer auf die erhöhte Schlange schaut, lebt. Ein Symbol des Glaubens und Gehorsams.</w:t>
      </w:r>
    </w:p>
    <w:p w14:paraId="2BF3FBC5" w14:textId="77777777" w:rsidR="003D3D82" w:rsidRPr="003D3D82" w:rsidRDefault="003D3D82" w:rsidP="003D3D82">
      <w:pPr>
        <w:spacing w:before="100" w:beforeAutospacing="1" w:after="100" w:afterAutospacing="1" w:line="240" w:lineRule="auto"/>
        <w:outlineLvl w:val="0"/>
        <w:rPr>
          <w:rFonts w:eastAsia="Times New Roman" w:cs="Times New Roman"/>
          <w:b/>
          <w:bCs/>
          <w:kern w:val="36"/>
          <w:sz w:val="48"/>
          <w:szCs w:val="48"/>
          <w:lang w:eastAsia="de-DE"/>
        </w:rPr>
      </w:pPr>
      <w:r w:rsidRPr="003D3D82">
        <w:rPr>
          <w:rFonts w:eastAsia="Times New Roman" w:cs="Times New Roman"/>
          <w:b/>
          <w:bCs/>
          <w:kern w:val="36"/>
          <w:sz w:val="48"/>
          <w:szCs w:val="48"/>
          <w:lang w:eastAsia="de-DE"/>
        </w:rPr>
        <w:lastRenderedPageBreak/>
        <w:t>Numeri 21,9</w:t>
      </w:r>
    </w:p>
    <w:p w14:paraId="4A0E7860"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Hebräisch:</w:t>
      </w:r>
      <w:r w:rsidRPr="003D3D82">
        <w:rPr>
          <w:rFonts w:eastAsia="Times New Roman" w:cs="Times New Roman"/>
          <w:lang w:eastAsia="de-DE"/>
        </w:rPr>
        <w:t xml:space="preserve"> </w:t>
      </w:r>
      <w:r w:rsidRPr="003D3D82">
        <w:rPr>
          <w:rFonts w:eastAsia="Times New Roman" w:cs="Times New Roman"/>
          <w:rtl/>
          <w:lang w:eastAsia="de-DE"/>
        </w:rPr>
        <w:t>וַיַּ֤עַשׂ מֹשֶׁה֙ נְחַ֣שׁ נְחֹ֔שֶׁת וַיְשִׂמֵ֖הוּ עַל־הַנֵּ֑ס וְהָיָ֗ה אִם־נָשַׁ֤ךְ הַנָּחָשׁ֙ אֶת־אִ֔ישׁ וְהִבִּ֛יט אֶל־נְחַ֥שׁ הַנְּחֹ֖שֶׁת וָחָֽי׃</w:t>
      </w:r>
    </w:p>
    <w:p w14:paraId="282CE37A"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Deutsch:</w:t>
      </w:r>
      <w:r w:rsidRPr="003D3D82">
        <w:rPr>
          <w:rFonts w:eastAsia="Times New Roman" w:cs="Times New Roman"/>
          <w:lang w:eastAsia="de-DE"/>
        </w:rPr>
        <w:t xml:space="preserve"> Und Mosche machte eine Schlange aus Kupfer und setzte sie auf die Stange. Und es geschah, wenn eine Schlange jemanden biss und er schaute auf die kupferne Schlange, so blieb er am Leben.</w:t>
      </w:r>
    </w:p>
    <w:p w14:paraId="5D1F88AC" w14:textId="77777777" w:rsidR="003D3D82" w:rsidRPr="003D3D82" w:rsidRDefault="00F329DD" w:rsidP="003D3D82">
      <w:pPr>
        <w:spacing w:after="0" w:line="240" w:lineRule="auto"/>
        <w:rPr>
          <w:rFonts w:eastAsia="Times New Roman" w:cs="Times New Roman"/>
          <w:lang w:eastAsia="de-DE"/>
        </w:rPr>
      </w:pPr>
      <w:r>
        <w:rPr>
          <w:rFonts w:eastAsia="Times New Roman" w:cs="Times New Roman"/>
          <w:noProof/>
          <w:lang w:eastAsia="de-DE"/>
        </w:rPr>
        <w:pict w14:anchorId="29B4FBD5">
          <v:rect id="_x0000_i1738" style="width:0;height:1.5pt" o:hralign="center" o:hrstd="t" o:hr="t" fillcolor="#a0a0a0" stroked="f"/>
        </w:pict>
      </w:r>
    </w:p>
    <w:p w14:paraId="1DCB2805"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Kommentar:</w:t>
      </w:r>
      <w:r w:rsidRPr="003D3D82">
        <w:rPr>
          <w:rFonts w:eastAsia="Times New Roman" w:cs="Times New Roman"/>
          <w:lang w:eastAsia="de-DE"/>
        </w:rPr>
        <w:t xml:space="preserve"> Die Ausführung </w:t>
      </w:r>
      <w:r w:rsidRPr="003D3D82">
        <w:rPr>
          <w:rFonts w:eastAsia="Times New Roman" w:cs="Times New Roman"/>
          <w:b/>
          <w:bCs/>
          <w:rtl/>
          <w:lang w:eastAsia="de-DE"/>
        </w:rPr>
        <w:t>וַיַּעַשׂ מֹשֶׁה נְחַשׁ נְחֹשֶׁת</w:t>
      </w:r>
      <w:r w:rsidRPr="003D3D82">
        <w:rPr>
          <w:rFonts w:eastAsia="Times New Roman" w:cs="Times New Roman"/>
          <w:rtl/>
          <w:lang w:eastAsia="de-DE"/>
        </w:rPr>
        <w:t xml:space="preserve"> </w:t>
      </w:r>
      <w:r w:rsidRPr="003D3D82">
        <w:rPr>
          <w:rFonts w:eastAsia="Times New Roman" w:cs="Times New Roman"/>
          <w:lang w:eastAsia="de-DE"/>
        </w:rPr>
        <w:t xml:space="preserve">(„und Mose machte eine Kupferschlange") – </w:t>
      </w:r>
      <w:r w:rsidRPr="003D3D82">
        <w:rPr>
          <w:rFonts w:eastAsia="Times New Roman" w:cs="Times New Roman"/>
          <w:b/>
          <w:bCs/>
          <w:rtl/>
          <w:lang w:eastAsia="de-DE"/>
        </w:rPr>
        <w:t>נְחַשׁ נְחֹשֶׁת</w:t>
      </w:r>
      <w:r w:rsidRPr="003D3D82">
        <w:rPr>
          <w:rFonts w:eastAsia="Times New Roman" w:cs="Times New Roman"/>
          <w:rtl/>
          <w:lang w:eastAsia="de-DE"/>
        </w:rPr>
        <w:t xml:space="preserve"> </w:t>
      </w:r>
      <w:r w:rsidRPr="003D3D82">
        <w:rPr>
          <w:rFonts w:eastAsia="Times New Roman" w:cs="Times New Roman"/>
          <w:lang w:eastAsia="de-DE"/>
        </w:rPr>
        <w:t xml:space="preserve">ist ein Wortspiel: </w:t>
      </w:r>
      <w:r w:rsidRPr="003D3D82">
        <w:rPr>
          <w:rFonts w:eastAsia="Times New Roman" w:cs="Times New Roman"/>
          <w:b/>
          <w:bCs/>
          <w:rtl/>
          <w:lang w:eastAsia="de-DE"/>
        </w:rPr>
        <w:t>נְחַשׁ</w:t>
      </w:r>
      <w:r w:rsidRPr="003D3D82">
        <w:rPr>
          <w:rFonts w:eastAsia="Times New Roman" w:cs="Times New Roman"/>
          <w:rtl/>
          <w:lang w:eastAsia="de-DE"/>
        </w:rPr>
        <w:t xml:space="preserve"> </w:t>
      </w:r>
      <w:r w:rsidRPr="003D3D82">
        <w:rPr>
          <w:rFonts w:eastAsia="Times New Roman" w:cs="Times New Roman"/>
          <w:lang w:eastAsia="de-DE"/>
        </w:rPr>
        <w:t xml:space="preserve">„Schlange" und </w:t>
      </w:r>
      <w:r w:rsidRPr="003D3D82">
        <w:rPr>
          <w:rFonts w:eastAsia="Times New Roman" w:cs="Times New Roman"/>
          <w:b/>
          <w:bCs/>
          <w:rtl/>
          <w:lang w:eastAsia="de-DE"/>
        </w:rPr>
        <w:t>נְחֹשֶׁת</w:t>
      </w:r>
      <w:r w:rsidRPr="003D3D82">
        <w:rPr>
          <w:rFonts w:eastAsia="Times New Roman" w:cs="Times New Roman"/>
          <w:rtl/>
          <w:lang w:eastAsia="de-DE"/>
        </w:rPr>
        <w:t xml:space="preserve"> </w:t>
      </w:r>
      <w:r w:rsidRPr="003D3D82">
        <w:rPr>
          <w:rFonts w:eastAsia="Times New Roman" w:cs="Times New Roman"/>
          <w:lang w:eastAsia="de-DE"/>
        </w:rPr>
        <w:t xml:space="preserve">„Kupfer, Bronze" klingen ähnlich. Die Materialwahl ist praktisch (formbar, haltbar) und symbolisch (glänzend, reflektierend). Das Verb </w:t>
      </w:r>
      <w:r w:rsidRPr="003D3D82">
        <w:rPr>
          <w:rFonts w:eastAsia="Times New Roman" w:cs="Times New Roman"/>
          <w:b/>
          <w:bCs/>
          <w:rtl/>
          <w:lang w:eastAsia="de-DE"/>
        </w:rPr>
        <w:t>וַיְשִׂמֵהוּ עַל־הַנֵּס</w:t>
      </w:r>
      <w:r w:rsidRPr="003D3D82">
        <w:rPr>
          <w:rFonts w:eastAsia="Times New Roman" w:cs="Times New Roman"/>
          <w:rtl/>
          <w:lang w:eastAsia="de-DE"/>
        </w:rPr>
        <w:t xml:space="preserve"> </w:t>
      </w:r>
      <w:r w:rsidRPr="003D3D82">
        <w:rPr>
          <w:rFonts w:eastAsia="Times New Roman" w:cs="Times New Roman"/>
          <w:lang w:eastAsia="de-DE"/>
        </w:rPr>
        <w:t>(„und er setzte sie auf die Stange") erfüllt exakt den Befehl aus Vers 8.</w:t>
      </w:r>
    </w:p>
    <w:p w14:paraId="15CB131F"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konditionale Heilungsformel </w:t>
      </w:r>
      <w:r w:rsidRPr="003D3D82">
        <w:rPr>
          <w:rFonts w:eastAsia="Times New Roman" w:cs="Times New Roman"/>
          <w:b/>
          <w:bCs/>
          <w:rtl/>
          <w:lang w:eastAsia="de-DE"/>
        </w:rPr>
        <w:t>וְהָיָה אִם־נָשַׁךְ הַנָּחָשׁ אֶת־אִישׁ וְהִבִּיט אֶל־נְחַשׁ הַנְּחֹשֶׁת וָחָי</w:t>
      </w:r>
      <w:r w:rsidRPr="003D3D82">
        <w:rPr>
          <w:rFonts w:eastAsia="Times New Roman" w:cs="Times New Roman"/>
          <w:rtl/>
          <w:lang w:eastAsia="de-DE"/>
        </w:rPr>
        <w:t xml:space="preserve"> </w:t>
      </w:r>
      <w:r w:rsidRPr="003D3D82">
        <w:rPr>
          <w:rFonts w:eastAsia="Times New Roman" w:cs="Times New Roman"/>
          <w:lang w:eastAsia="de-DE"/>
        </w:rPr>
        <w:t xml:space="preserve">ist detaillierter als Vers 8: </w:t>
      </w:r>
      <w:r w:rsidRPr="003D3D82">
        <w:rPr>
          <w:rFonts w:eastAsia="Times New Roman" w:cs="Times New Roman"/>
          <w:b/>
          <w:bCs/>
          <w:rtl/>
          <w:lang w:eastAsia="de-DE"/>
        </w:rPr>
        <w:t>וְהָיָה</w:t>
      </w:r>
      <w:r w:rsidRPr="003D3D82">
        <w:rPr>
          <w:rFonts w:eastAsia="Times New Roman" w:cs="Times New Roman"/>
          <w:rtl/>
          <w:lang w:eastAsia="de-DE"/>
        </w:rPr>
        <w:t xml:space="preserve"> </w:t>
      </w:r>
      <w:r w:rsidRPr="003D3D82">
        <w:rPr>
          <w:rFonts w:eastAsia="Times New Roman" w:cs="Times New Roman"/>
          <w:lang w:eastAsia="de-DE"/>
        </w:rPr>
        <w:t xml:space="preserve">(„und es geschah/pflegte zu geschehen"), </w:t>
      </w:r>
      <w:r w:rsidRPr="003D3D82">
        <w:rPr>
          <w:rFonts w:eastAsia="Times New Roman" w:cs="Times New Roman"/>
          <w:b/>
          <w:bCs/>
          <w:rtl/>
          <w:lang w:eastAsia="de-DE"/>
        </w:rPr>
        <w:t>אִם־נָשַׁךְ</w:t>
      </w:r>
      <w:r w:rsidRPr="003D3D82">
        <w:rPr>
          <w:rFonts w:eastAsia="Times New Roman" w:cs="Times New Roman"/>
          <w:rtl/>
          <w:lang w:eastAsia="de-DE"/>
        </w:rPr>
        <w:t xml:space="preserve"> </w:t>
      </w:r>
      <w:r w:rsidRPr="003D3D82">
        <w:rPr>
          <w:rFonts w:eastAsia="Times New Roman" w:cs="Times New Roman"/>
          <w:lang w:eastAsia="de-DE"/>
        </w:rPr>
        <w:t xml:space="preserve">(„wenn... biss") – </w:t>
      </w:r>
      <w:r w:rsidRPr="003D3D82">
        <w:rPr>
          <w:rFonts w:eastAsia="Times New Roman" w:cs="Times New Roman"/>
          <w:b/>
          <w:bCs/>
          <w:rtl/>
          <w:lang w:eastAsia="de-DE"/>
        </w:rPr>
        <w:t>אִם</w:t>
      </w:r>
      <w:r w:rsidRPr="003D3D82">
        <w:rPr>
          <w:rFonts w:eastAsia="Times New Roman" w:cs="Times New Roman"/>
          <w:rtl/>
          <w:lang w:eastAsia="de-DE"/>
        </w:rPr>
        <w:t xml:space="preserve"> </w:t>
      </w:r>
      <w:r w:rsidRPr="003D3D82">
        <w:rPr>
          <w:rFonts w:eastAsia="Times New Roman" w:cs="Times New Roman"/>
          <w:lang w:eastAsia="de-DE"/>
        </w:rPr>
        <w:t xml:space="preserve">konditional, </w:t>
      </w:r>
      <w:r w:rsidRPr="003D3D82">
        <w:rPr>
          <w:rFonts w:eastAsia="Times New Roman" w:cs="Times New Roman"/>
          <w:b/>
          <w:bCs/>
          <w:rtl/>
          <w:lang w:eastAsia="de-DE"/>
        </w:rPr>
        <w:t>נָשַׁךְ</w:t>
      </w:r>
      <w:r w:rsidRPr="003D3D82">
        <w:rPr>
          <w:rFonts w:eastAsia="Times New Roman" w:cs="Times New Roman"/>
          <w:rtl/>
          <w:lang w:eastAsia="de-DE"/>
        </w:rPr>
        <w:t xml:space="preserve"> </w:t>
      </w:r>
      <w:r w:rsidRPr="003D3D82">
        <w:rPr>
          <w:rFonts w:eastAsia="Times New Roman" w:cs="Times New Roman"/>
          <w:lang w:eastAsia="de-DE"/>
        </w:rPr>
        <w:t xml:space="preserve">(Qal Perfekt, 3. m. sg. von </w:t>
      </w:r>
      <w:r w:rsidRPr="003D3D82">
        <w:rPr>
          <w:rFonts w:eastAsia="Times New Roman" w:cs="Times New Roman"/>
          <w:b/>
          <w:bCs/>
          <w:rtl/>
          <w:lang w:eastAsia="de-DE"/>
        </w:rPr>
        <w:t>נשׁך</w:t>
      </w:r>
      <w:r w:rsidRPr="003D3D82">
        <w:rPr>
          <w:rFonts w:eastAsia="Times New Roman" w:cs="Times New Roman"/>
          <w:lang w:eastAsia="de-DE"/>
        </w:rPr>
        <w:t xml:space="preserve">), </w:t>
      </w:r>
      <w:r w:rsidRPr="003D3D82">
        <w:rPr>
          <w:rFonts w:eastAsia="Times New Roman" w:cs="Times New Roman"/>
          <w:b/>
          <w:bCs/>
          <w:rtl/>
          <w:lang w:eastAsia="de-DE"/>
        </w:rPr>
        <w:t>הַנָּחָשׁ</w:t>
      </w:r>
      <w:r w:rsidRPr="003D3D82">
        <w:rPr>
          <w:rFonts w:eastAsia="Times New Roman" w:cs="Times New Roman"/>
          <w:rtl/>
          <w:lang w:eastAsia="de-DE"/>
        </w:rPr>
        <w:t xml:space="preserve"> </w:t>
      </w:r>
      <w:r w:rsidRPr="003D3D82">
        <w:rPr>
          <w:rFonts w:eastAsia="Times New Roman" w:cs="Times New Roman"/>
          <w:lang w:eastAsia="de-DE"/>
        </w:rPr>
        <w:t xml:space="preserve">Subjekt („die Schlange"), </w:t>
      </w:r>
      <w:r w:rsidRPr="003D3D82">
        <w:rPr>
          <w:rFonts w:eastAsia="Times New Roman" w:cs="Times New Roman"/>
          <w:b/>
          <w:bCs/>
          <w:rtl/>
          <w:lang w:eastAsia="de-DE"/>
        </w:rPr>
        <w:t>אֶת־אִישׁ</w:t>
      </w:r>
      <w:r w:rsidRPr="003D3D82">
        <w:rPr>
          <w:rFonts w:eastAsia="Times New Roman" w:cs="Times New Roman"/>
          <w:rtl/>
          <w:lang w:eastAsia="de-DE"/>
        </w:rPr>
        <w:t xml:space="preserve"> </w:t>
      </w:r>
      <w:r w:rsidRPr="003D3D82">
        <w:rPr>
          <w:rFonts w:eastAsia="Times New Roman" w:cs="Times New Roman"/>
          <w:lang w:eastAsia="de-DE"/>
        </w:rPr>
        <w:t xml:space="preserve">(„einen Mann, jemanden") Objekt. Die Bedingung </w:t>
      </w:r>
      <w:r w:rsidRPr="003D3D82">
        <w:rPr>
          <w:rFonts w:eastAsia="Times New Roman" w:cs="Times New Roman"/>
          <w:b/>
          <w:bCs/>
          <w:rtl/>
          <w:lang w:eastAsia="de-DE"/>
        </w:rPr>
        <w:t>וְהִבִּיט אֶל־נְחַשׁ הַנְּחֹשֶׁת</w:t>
      </w:r>
      <w:r w:rsidRPr="003D3D82">
        <w:rPr>
          <w:rFonts w:eastAsia="Times New Roman" w:cs="Times New Roman"/>
          <w:rtl/>
          <w:lang w:eastAsia="de-DE"/>
        </w:rPr>
        <w:t xml:space="preserve"> </w:t>
      </w:r>
      <w:r w:rsidRPr="003D3D82">
        <w:rPr>
          <w:rFonts w:eastAsia="Times New Roman" w:cs="Times New Roman"/>
          <w:lang w:eastAsia="de-DE"/>
        </w:rPr>
        <w:t xml:space="preserve">(„und er schaute auf die kupferne Schlange") – </w:t>
      </w:r>
      <w:r w:rsidRPr="003D3D82">
        <w:rPr>
          <w:rFonts w:eastAsia="Times New Roman" w:cs="Times New Roman"/>
          <w:b/>
          <w:bCs/>
          <w:rtl/>
          <w:lang w:eastAsia="de-DE"/>
        </w:rPr>
        <w:t>וְהִבִּיט</w:t>
      </w:r>
      <w:r w:rsidRPr="003D3D82">
        <w:rPr>
          <w:rFonts w:eastAsia="Times New Roman" w:cs="Times New Roman"/>
          <w:rtl/>
          <w:lang w:eastAsia="de-DE"/>
        </w:rPr>
        <w:t xml:space="preserve"> </w:t>
      </w:r>
      <w:r w:rsidRPr="003D3D82">
        <w:rPr>
          <w:rFonts w:eastAsia="Times New Roman" w:cs="Times New Roman"/>
          <w:lang w:eastAsia="de-DE"/>
        </w:rPr>
        <w:t xml:space="preserve">(Waw + Hifil Perfekt, 3. m. sg. von </w:t>
      </w:r>
      <w:r w:rsidRPr="003D3D82">
        <w:rPr>
          <w:rFonts w:eastAsia="Times New Roman" w:cs="Times New Roman"/>
          <w:b/>
          <w:bCs/>
          <w:rtl/>
          <w:lang w:eastAsia="de-DE"/>
        </w:rPr>
        <w:t>נבט</w:t>
      </w:r>
      <w:r w:rsidRPr="003D3D82">
        <w:rPr>
          <w:rFonts w:eastAsia="Times New Roman" w:cs="Times New Roman"/>
          <w:lang w:eastAsia="de-DE"/>
        </w:rPr>
        <w:t xml:space="preserve">, „und er schaute") – das Hifil betont intensives, aufmerksames Hinschauen, nicht nur beiläufiges Sehen. Die Apodosis </w:t>
      </w:r>
      <w:r w:rsidRPr="003D3D82">
        <w:rPr>
          <w:rFonts w:eastAsia="Times New Roman" w:cs="Times New Roman"/>
          <w:b/>
          <w:bCs/>
          <w:rtl/>
          <w:lang w:eastAsia="de-DE"/>
        </w:rPr>
        <w:t>וָחָי</w:t>
      </w:r>
      <w:r w:rsidRPr="003D3D82">
        <w:rPr>
          <w:rFonts w:eastAsia="Times New Roman" w:cs="Times New Roman"/>
          <w:rtl/>
          <w:lang w:eastAsia="de-DE"/>
        </w:rPr>
        <w:t xml:space="preserve"> </w:t>
      </w:r>
      <w:r w:rsidRPr="003D3D82">
        <w:rPr>
          <w:rFonts w:eastAsia="Times New Roman" w:cs="Times New Roman"/>
          <w:lang w:eastAsia="de-DE"/>
        </w:rPr>
        <w:t>(„und er lebte, blieb am Leben") ist knapp und effektiv.</w:t>
      </w:r>
    </w:p>
    <w:p w14:paraId="2AA954CB"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Das wiederholte Wortspiel </w:t>
      </w:r>
      <w:r w:rsidRPr="003D3D82">
        <w:rPr>
          <w:rFonts w:eastAsia="Times New Roman" w:cs="Times New Roman"/>
          <w:b/>
          <w:bCs/>
          <w:rtl/>
          <w:lang w:eastAsia="de-DE"/>
        </w:rPr>
        <w:t>נָחָשׁ</w:t>
      </w:r>
      <w:r w:rsidRPr="003D3D82">
        <w:rPr>
          <w:rFonts w:eastAsia="Times New Roman" w:cs="Times New Roman"/>
          <w:rtl/>
          <w:lang w:eastAsia="de-DE"/>
        </w:rPr>
        <w:t xml:space="preserve"> </w:t>
      </w:r>
      <w:r w:rsidRPr="003D3D82">
        <w:rPr>
          <w:rFonts w:eastAsia="Times New Roman" w:cs="Times New Roman"/>
          <w:lang w:eastAsia="de-DE"/>
        </w:rPr>
        <w:t xml:space="preserve">- </w:t>
      </w:r>
      <w:r w:rsidRPr="003D3D82">
        <w:rPr>
          <w:rFonts w:eastAsia="Times New Roman" w:cs="Times New Roman"/>
          <w:b/>
          <w:bCs/>
          <w:rtl/>
          <w:lang w:eastAsia="de-DE"/>
        </w:rPr>
        <w:t>נְחֹשֶׁת</w:t>
      </w:r>
      <w:r w:rsidRPr="003D3D82">
        <w:rPr>
          <w:rFonts w:eastAsia="Times New Roman" w:cs="Times New Roman"/>
          <w:rtl/>
          <w:lang w:eastAsia="de-DE"/>
        </w:rPr>
        <w:t xml:space="preserve"> </w:t>
      </w:r>
      <w:r w:rsidRPr="003D3D82">
        <w:rPr>
          <w:rFonts w:eastAsia="Times New Roman" w:cs="Times New Roman"/>
          <w:lang w:eastAsia="de-DE"/>
        </w:rPr>
        <w:t xml:space="preserve">- </w:t>
      </w:r>
      <w:r w:rsidRPr="003D3D82">
        <w:rPr>
          <w:rFonts w:eastAsia="Times New Roman" w:cs="Times New Roman"/>
          <w:b/>
          <w:bCs/>
          <w:rtl/>
          <w:lang w:eastAsia="de-DE"/>
        </w:rPr>
        <w:t>נָחָשׁ</w:t>
      </w:r>
      <w:r w:rsidRPr="003D3D82">
        <w:rPr>
          <w:rFonts w:eastAsia="Times New Roman" w:cs="Times New Roman"/>
          <w:rtl/>
          <w:lang w:eastAsia="de-DE"/>
        </w:rPr>
        <w:t xml:space="preserve"> </w:t>
      </w:r>
      <w:r w:rsidRPr="003D3D82">
        <w:rPr>
          <w:rFonts w:eastAsia="Times New Roman" w:cs="Times New Roman"/>
          <w:lang w:eastAsia="de-DE"/>
        </w:rPr>
        <w:t xml:space="preserve">- </w:t>
      </w:r>
      <w:r w:rsidRPr="003D3D82">
        <w:rPr>
          <w:rFonts w:eastAsia="Times New Roman" w:cs="Times New Roman"/>
          <w:b/>
          <w:bCs/>
          <w:rtl/>
          <w:lang w:eastAsia="de-DE"/>
        </w:rPr>
        <w:t>נְחֹשֶׁת</w:t>
      </w:r>
      <w:r w:rsidRPr="003D3D82">
        <w:rPr>
          <w:rFonts w:eastAsia="Times New Roman" w:cs="Times New Roman"/>
          <w:rtl/>
          <w:lang w:eastAsia="de-DE"/>
        </w:rPr>
        <w:t xml:space="preserve"> </w:t>
      </w:r>
      <w:r w:rsidRPr="003D3D82">
        <w:rPr>
          <w:rFonts w:eastAsia="Times New Roman" w:cs="Times New Roman"/>
          <w:lang w:eastAsia="de-DE"/>
        </w:rPr>
        <w:t>im selben Vers verstärkt die Verbindung zwischen Problem und Lösung.</w:t>
      </w:r>
    </w:p>
    <w:p w14:paraId="3D26C2FE"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b/>
          <w:bCs/>
          <w:lang w:eastAsia="de-DE"/>
        </w:rPr>
        <w:t>Die LXX</w:t>
      </w:r>
      <w:r w:rsidRPr="003D3D82">
        <w:rPr>
          <w:rFonts w:eastAsia="Times New Roman" w:cs="Times New Roman"/>
          <w:lang w:eastAsia="de-DE"/>
        </w:rPr>
        <w:t xml:space="preserve"> folgt dem hebräischen Text, übersetzt </w:t>
      </w:r>
      <w:r w:rsidRPr="003D3D82">
        <w:rPr>
          <w:rFonts w:eastAsia="Times New Roman" w:cs="Times New Roman"/>
          <w:b/>
          <w:bCs/>
          <w:rtl/>
          <w:lang w:eastAsia="de-DE"/>
        </w:rPr>
        <w:t>נְחֹשֶׁת</w:t>
      </w:r>
      <w:r w:rsidRPr="003D3D82">
        <w:rPr>
          <w:rFonts w:eastAsia="Times New Roman" w:cs="Times New Roman"/>
          <w:rtl/>
          <w:lang w:eastAsia="de-DE"/>
        </w:rPr>
        <w:t xml:space="preserve"> </w:t>
      </w:r>
      <w:r w:rsidRPr="003D3D82">
        <w:rPr>
          <w:rFonts w:eastAsia="Times New Roman" w:cs="Times New Roman"/>
          <w:lang w:eastAsia="de-DE"/>
        </w:rPr>
        <w:t>mit χαλκοῦν (chalkoun, „aus Bronze").</w:t>
      </w:r>
    </w:p>
    <w:p w14:paraId="13135C8C" w14:textId="296FA012"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Die Satzstruktur zeigt drei koordinierte Hauptsätze: Die ersten beiden mit Verb, Subjekt, Objekt (Wortspiel-Constructus-Verbindung) bzw. Verb mit Objektsuffix und Präpositionalphrase. Der dritte ist eine </w:t>
      </w:r>
      <w:r w:rsidRPr="003D3D82">
        <w:rPr>
          <w:rFonts w:eastAsia="Times New Roman" w:cs="Times New Roman"/>
          <w:b/>
          <w:bCs/>
          <w:rtl/>
          <w:lang w:eastAsia="de-DE"/>
        </w:rPr>
        <w:t>היה</w:t>
      </w:r>
      <w:r w:rsidRPr="003D3D82">
        <w:rPr>
          <w:rFonts w:eastAsia="Times New Roman" w:cs="Times New Roman"/>
          <w:lang w:eastAsia="de-DE"/>
        </w:rPr>
        <w:t>-</w:t>
      </w:r>
      <w:r w:rsidR="00F133EC">
        <w:rPr>
          <w:rFonts w:eastAsia="Times New Roman" w:cs="Times New Roman"/>
          <w:lang w:eastAsia="de-DE"/>
        </w:rPr>
        <w:t>Construct</w:t>
      </w:r>
      <w:r w:rsidRPr="003D3D82">
        <w:rPr>
          <w:rFonts w:eastAsia="Times New Roman" w:cs="Times New Roman"/>
          <w:lang w:eastAsia="de-DE"/>
        </w:rPr>
        <w:t>ion mit konditionaler Protasis (Konjunktion, Verb, Subjekt, Objekt), koordinierter Bedingung (Verb, Präpositionalphrase mit Wortspiel-Constructus-Verbindung) und Apodosis (Verb). Insgesamt gibt es einen Nebensatz (Konditionalsatz).</w:t>
      </w:r>
    </w:p>
    <w:p w14:paraId="68D22B44" w14:textId="77777777" w:rsidR="003D3D82" w:rsidRPr="003D3D82" w:rsidRDefault="003D3D82" w:rsidP="003D3D82">
      <w:pPr>
        <w:spacing w:before="100" w:beforeAutospacing="1" w:after="100" w:afterAutospacing="1" w:line="240" w:lineRule="auto"/>
        <w:rPr>
          <w:rFonts w:eastAsia="Times New Roman" w:cs="Times New Roman"/>
          <w:lang w:eastAsia="de-DE"/>
        </w:rPr>
      </w:pPr>
      <w:r w:rsidRPr="003D3D82">
        <w:rPr>
          <w:rFonts w:eastAsia="Times New Roman" w:cs="Times New Roman"/>
          <w:lang w:eastAsia="de-DE"/>
        </w:rPr>
        <w:t xml:space="preserve">Der Vers berichtet die Wirkung: Die Kupferschlange funktioniert – wer hinsieht, lebt. Das Wortspiel </w:t>
      </w:r>
      <w:r w:rsidRPr="003D3D82">
        <w:rPr>
          <w:rFonts w:eastAsia="Times New Roman" w:cs="Times New Roman"/>
          <w:b/>
          <w:bCs/>
          <w:rtl/>
          <w:lang w:eastAsia="de-DE"/>
        </w:rPr>
        <w:t>נָחָשׁ</w:t>
      </w:r>
      <w:r w:rsidRPr="003D3D82">
        <w:rPr>
          <w:rFonts w:eastAsia="Times New Roman" w:cs="Times New Roman"/>
          <w:lang w:eastAsia="de-DE"/>
        </w:rPr>
        <w:t>/</w:t>
      </w:r>
      <w:r w:rsidRPr="003D3D82">
        <w:rPr>
          <w:rFonts w:eastAsia="Times New Roman" w:cs="Times New Roman"/>
          <w:b/>
          <w:bCs/>
          <w:rtl/>
          <w:lang w:eastAsia="de-DE"/>
        </w:rPr>
        <w:t>נְחֹשֶׁת</w:t>
      </w:r>
      <w:r w:rsidRPr="003D3D82">
        <w:rPr>
          <w:rFonts w:eastAsia="Times New Roman" w:cs="Times New Roman"/>
          <w:rtl/>
          <w:lang w:eastAsia="de-DE"/>
        </w:rPr>
        <w:t xml:space="preserve"> </w:t>
      </w:r>
      <w:r w:rsidRPr="003D3D82">
        <w:rPr>
          <w:rFonts w:eastAsia="Times New Roman" w:cs="Times New Roman"/>
          <w:lang w:eastAsia="de-DE"/>
        </w:rPr>
        <w:t xml:space="preserve">unterstreicht die paradoxe Heilung. Später wird diese Schlange selbst zum Götzendienst-Objekt und muss von König Hiskia zerstört werden (2 Kön 18,4 – </w:t>
      </w:r>
      <w:r w:rsidRPr="003D3D82">
        <w:rPr>
          <w:rFonts w:eastAsia="Times New Roman" w:cs="Times New Roman"/>
          <w:b/>
          <w:bCs/>
          <w:rtl/>
          <w:lang w:eastAsia="de-DE"/>
        </w:rPr>
        <w:t>נְחֻשְׁתָּן</w:t>
      </w:r>
      <w:r w:rsidRPr="003D3D82">
        <w:rPr>
          <w:rFonts w:eastAsia="Times New Roman" w:cs="Times New Roman"/>
          <w:rtl/>
          <w:lang w:eastAsia="de-DE"/>
        </w:rPr>
        <w:t xml:space="preserve"> </w:t>
      </w:r>
      <w:r w:rsidRPr="003D3D82">
        <w:rPr>
          <w:rFonts w:eastAsia="Times New Roman" w:cs="Times New Roman"/>
          <w:i/>
          <w:iCs/>
          <w:lang w:eastAsia="de-DE"/>
        </w:rPr>
        <w:t>Nechuschtan</w:t>
      </w:r>
      <w:r w:rsidRPr="003D3D82">
        <w:rPr>
          <w:rFonts w:eastAsia="Times New Roman" w:cs="Times New Roman"/>
          <w:lang w:eastAsia="de-DE"/>
        </w:rPr>
        <w:t>, „Kupferding").</w:t>
      </w:r>
    </w:p>
    <w:p w14:paraId="4C6AF58D"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21,10</w:t>
      </w:r>
    </w:p>
    <w:p w14:paraId="3E5B013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וַיִּסְע֖וּ בְּנֵ֣י יִשְׂרָאֵ֑ל וַֽיַּחֲנ֖וּ בְּאֹבֹֽת׃</w:t>
      </w:r>
    </w:p>
    <w:p w14:paraId="444B1A90"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die Söhne Israels brachen auf und lagerten in Oboth.</w:t>
      </w:r>
    </w:p>
    <w:p w14:paraId="1046CFE5"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62D2956B">
          <v:rect id="_x0000_i1739" style="width:0;height:1.5pt" o:hralign="center" o:hrstd="t" o:hr="t" fillcolor="#a0a0a0" stroked="f"/>
        </w:pict>
      </w:r>
    </w:p>
    <w:p w14:paraId="07A245E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lastRenderedPageBreak/>
        <w:t>Kommentar:</w:t>
      </w:r>
      <w:r w:rsidRPr="000F1D26">
        <w:rPr>
          <w:rFonts w:eastAsia="Times New Roman" w:cs="Times New Roman"/>
          <w:lang w:eastAsia="de-DE"/>
        </w:rPr>
        <w:t xml:space="preserve"> Das Verb </w:t>
      </w:r>
      <w:r w:rsidRPr="000F1D26">
        <w:rPr>
          <w:rFonts w:eastAsia="Times New Roman" w:cs="Times New Roman"/>
          <w:b/>
          <w:bCs/>
          <w:rtl/>
          <w:lang w:eastAsia="de-DE"/>
        </w:rPr>
        <w:t>וַיִּסְעוּ</w:t>
      </w:r>
      <w:r w:rsidRPr="000F1D26">
        <w:rPr>
          <w:rFonts w:eastAsia="Times New Roman" w:cs="Times New Roman"/>
          <w:rtl/>
          <w:lang w:eastAsia="de-DE"/>
        </w:rPr>
        <w:t xml:space="preserve"> </w:t>
      </w:r>
      <w:r w:rsidRPr="000F1D26">
        <w:rPr>
          <w:rFonts w:eastAsia="Times New Roman" w:cs="Times New Roman"/>
          <w:lang w:eastAsia="de-DE"/>
        </w:rPr>
        <w:t xml:space="preserve">(Wayyiqtol, 3. m. pl. von </w:t>
      </w:r>
      <w:r w:rsidRPr="000F1D26">
        <w:rPr>
          <w:rFonts w:eastAsia="Times New Roman" w:cs="Times New Roman"/>
          <w:b/>
          <w:bCs/>
          <w:rtl/>
          <w:lang w:eastAsia="de-DE"/>
        </w:rPr>
        <w:t>נסע</w:t>
      </w:r>
      <w:r w:rsidRPr="000F1D26">
        <w:rPr>
          <w:rFonts w:eastAsia="Times New Roman" w:cs="Times New Roman"/>
          <w:lang w:eastAsia="de-DE"/>
        </w:rPr>
        <w:t xml:space="preserve">, „und sie brachen auf"). Das Subjekt </w:t>
      </w:r>
      <w:r w:rsidRPr="000F1D26">
        <w:rPr>
          <w:rFonts w:eastAsia="Times New Roman" w:cs="Times New Roman"/>
          <w:b/>
          <w:bCs/>
          <w:rtl/>
          <w:lang w:eastAsia="de-DE"/>
        </w:rPr>
        <w:t>בְּנֵי יִשְׂרָאֵל</w:t>
      </w:r>
      <w:r w:rsidRPr="000F1D26">
        <w:rPr>
          <w:rFonts w:eastAsia="Times New Roman" w:cs="Times New Roman"/>
          <w:rtl/>
          <w:lang w:eastAsia="de-DE"/>
        </w:rPr>
        <w:t xml:space="preserve"> </w:t>
      </w:r>
      <w:r w:rsidRPr="000F1D26">
        <w:rPr>
          <w:rFonts w:eastAsia="Times New Roman" w:cs="Times New Roman"/>
          <w:lang w:eastAsia="de-DE"/>
        </w:rPr>
        <w:t xml:space="preserve">(Constructus-Verbindung) wird explizit genannt – nach der Schlangenepisode setzt die Wanderung fort. Das koordinierte Verb </w:t>
      </w:r>
      <w:r w:rsidRPr="000F1D26">
        <w:rPr>
          <w:rFonts w:eastAsia="Times New Roman" w:cs="Times New Roman"/>
          <w:b/>
          <w:bCs/>
          <w:rtl/>
          <w:lang w:eastAsia="de-DE"/>
        </w:rPr>
        <w:t>וַיַּחֲנוּ</w:t>
      </w:r>
      <w:r w:rsidRPr="000F1D26">
        <w:rPr>
          <w:rFonts w:eastAsia="Times New Roman" w:cs="Times New Roman"/>
          <w:rtl/>
          <w:lang w:eastAsia="de-DE"/>
        </w:rPr>
        <w:t xml:space="preserve"> </w:t>
      </w:r>
      <w:r w:rsidRPr="000F1D26">
        <w:rPr>
          <w:rFonts w:eastAsia="Times New Roman" w:cs="Times New Roman"/>
          <w:lang w:eastAsia="de-DE"/>
        </w:rPr>
        <w:t xml:space="preserve">(Wayyiqtol, 3. m. pl. von </w:t>
      </w:r>
      <w:r w:rsidRPr="000F1D26">
        <w:rPr>
          <w:rFonts w:eastAsia="Times New Roman" w:cs="Times New Roman"/>
          <w:b/>
          <w:bCs/>
          <w:rtl/>
          <w:lang w:eastAsia="de-DE"/>
        </w:rPr>
        <w:t>חנה</w:t>
      </w:r>
      <w:r w:rsidRPr="000F1D26">
        <w:rPr>
          <w:rFonts w:eastAsia="Times New Roman" w:cs="Times New Roman"/>
          <w:lang w:eastAsia="de-DE"/>
        </w:rPr>
        <w:t xml:space="preserve">, „und sie lagerten"). </w:t>
      </w:r>
      <w:r w:rsidRPr="000F1D26">
        <w:rPr>
          <w:rFonts w:eastAsia="Times New Roman" w:cs="Times New Roman"/>
          <w:b/>
          <w:bCs/>
          <w:rtl/>
          <w:lang w:eastAsia="de-DE"/>
        </w:rPr>
        <w:t>בְּאֹבֹת</w:t>
      </w:r>
      <w:r w:rsidRPr="000F1D26">
        <w:rPr>
          <w:rFonts w:eastAsia="Times New Roman" w:cs="Times New Roman"/>
          <w:rtl/>
          <w:lang w:eastAsia="de-DE"/>
        </w:rPr>
        <w:t xml:space="preserve"> </w:t>
      </w:r>
      <w:r w:rsidRPr="000F1D26">
        <w:rPr>
          <w:rFonts w:eastAsia="Times New Roman" w:cs="Times New Roman"/>
          <w:lang w:eastAsia="de-DE"/>
        </w:rPr>
        <w:t xml:space="preserve">(„in Oboth") – </w:t>
      </w:r>
      <w:r w:rsidRPr="000F1D26">
        <w:rPr>
          <w:rFonts w:eastAsia="Times New Roman" w:cs="Times New Roman"/>
          <w:b/>
          <w:bCs/>
          <w:rtl/>
          <w:lang w:eastAsia="de-DE"/>
        </w:rPr>
        <w:t>אֹבֹת</w:t>
      </w:r>
      <w:r w:rsidRPr="000F1D26">
        <w:rPr>
          <w:rFonts w:eastAsia="Times New Roman" w:cs="Times New Roman"/>
          <w:rtl/>
          <w:lang w:eastAsia="de-DE"/>
        </w:rPr>
        <w:t xml:space="preserve"> </w:t>
      </w:r>
      <w:r w:rsidRPr="000F1D26">
        <w:rPr>
          <w:rFonts w:eastAsia="Times New Roman" w:cs="Times New Roman"/>
          <w:lang w:eastAsia="de-DE"/>
        </w:rPr>
        <w:t xml:space="preserve">möglicherweise von </w:t>
      </w:r>
      <w:r w:rsidRPr="000F1D26">
        <w:rPr>
          <w:rFonts w:eastAsia="Times New Roman" w:cs="Times New Roman"/>
          <w:b/>
          <w:bCs/>
          <w:rtl/>
          <w:lang w:eastAsia="de-DE"/>
        </w:rPr>
        <w:t>אוֹב</w:t>
      </w:r>
      <w:r w:rsidRPr="000F1D26">
        <w:rPr>
          <w:rFonts w:eastAsia="Times New Roman" w:cs="Times New Roman"/>
          <w:rtl/>
          <w:lang w:eastAsia="de-DE"/>
        </w:rPr>
        <w:t xml:space="preserve"> </w:t>
      </w:r>
      <w:r w:rsidRPr="000F1D26">
        <w:rPr>
          <w:rFonts w:eastAsia="Times New Roman" w:cs="Times New Roman"/>
          <w:lang w:eastAsia="de-DE"/>
        </w:rPr>
        <w:t>„Schlauch" (Wasserschläuche?) oder ein nicht weiter identifizierter Ortsname.</w:t>
      </w:r>
    </w:p>
    <w:p w14:paraId="7760943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transkribiert </w:t>
      </w:r>
      <w:r w:rsidRPr="000F1D26">
        <w:rPr>
          <w:rFonts w:eastAsia="Times New Roman" w:cs="Times New Roman"/>
          <w:b/>
          <w:bCs/>
          <w:rtl/>
          <w:lang w:eastAsia="de-DE"/>
        </w:rPr>
        <w:t>אֹבֹת</w:t>
      </w:r>
      <w:r w:rsidRPr="000F1D26">
        <w:rPr>
          <w:rFonts w:eastAsia="Times New Roman" w:cs="Times New Roman"/>
          <w:rtl/>
          <w:lang w:eastAsia="de-DE"/>
        </w:rPr>
        <w:t xml:space="preserve"> </w:t>
      </w:r>
      <w:r w:rsidRPr="000F1D26">
        <w:rPr>
          <w:rFonts w:eastAsia="Times New Roman" w:cs="Times New Roman"/>
          <w:lang w:eastAsia="de-DE"/>
        </w:rPr>
        <w:t>als Ὠβώθ (Ōbōth).</w:t>
      </w:r>
    </w:p>
    <w:p w14:paraId="4F23185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zwei koordinierte Hauptsätze: Der erste mit Verb und Subjekt (Constructus-Verbindung); der zweite mit Verb und Präpositionalphrase. Es gibt keine Nebensätze.</w:t>
      </w:r>
    </w:p>
    <w:p w14:paraId="106A708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ist eine knappe Itinerarnotiz – die Reise geht weiter. Ab hier folgt eine Serie von Ortsnamen, die den Weg um Edom herum bis zur Grenze Moabs dokumentieren.</w:t>
      </w:r>
    </w:p>
    <w:p w14:paraId="5E6C4648"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21,11</w:t>
      </w:r>
    </w:p>
    <w:p w14:paraId="7AD1246D"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וַיִּסְע֖וּ מֵאֹבֹ֑ת וַֽיַּחֲנ֞וּ בְּעִיֵּ֣י הָֽעֲבָרִ֗ים בַּמִּדְבָּר֙ אֲשֶׁר֙ עַל־פְּנֵ֣י מוֹאָ֔ב מִמִּזְרַ֖ח הַשָּֽׁמֶשׁ׃</w:t>
      </w:r>
    </w:p>
    <w:p w14:paraId="446F557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sie brachen von Oboth auf und lagerten in Ijje-Ha'abarim, in der Wüste, die vor Moab liegt, gegen Sonnenaufgang.</w:t>
      </w:r>
    </w:p>
    <w:p w14:paraId="7E2FB230"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43BB06EF">
          <v:rect id="_x0000_i1740" style="width:0;height:1.5pt" o:hralign="center" o:hrstd="t" o:hr="t" fillcolor="#a0a0a0" stroked="f"/>
        </w:pict>
      </w:r>
    </w:p>
    <w:p w14:paraId="06D3DF77"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Das Verb </w:t>
      </w:r>
      <w:r w:rsidRPr="000F1D26">
        <w:rPr>
          <w:rFonts w:eastAsia="Times New Roman" w:cs="Times New Roman"/>
          <w:b/>
          <w:bCs/>
          <w:rtl/>
          <w:lang w:eastAsia="de-DE"/>
        </w:rPr>
        <w:t>וַיִּסְעוּ מֵאֹבֹת</w:t>
      </w:r>
      <w:r w:rsidRPr="000F1D26">
        <w:rPr>
          <w:rFonts w:eastAsia="Times New Roman" w:cs="Times New Roman"/>
          <w:rtl/>
          <w:lang w:eastAsia="de-DE"/>
        </w:rPr>
        <w:t xml:space="preserve"> </w:t>
      </w:r>
      <w:r w:rsidRPr="000F1D26">
        <w:rPr>
          <w:rFonts w:eastAsia="Times New Roman" w:cs="Times New Roman"/>
          <w:lang w:eastAsia="de-DE"/>
        </w:rPr>
        <w:t xml:space="preserve">(„und sie brachen auf von Oboth") mit </w:t>
      </w:r>
      <w:r w:rsidRPr="000F1D26">
        <w:rPr>
          <w:rFonts w:eastAsia="Times New Roman" w:cs="Times New Roman"/>
          <w:b/>
          <w:bCs/>
          <w:rtl/>
          <w:lang w:eastAsia="de-DE"/>
        </w:rPr>
        <w:t>מִן</w:t>
      </w:r>
      <w:r w:rsidRPr="000F1D26">
        <w:rPr>
          <w:rFonts w:eastAsia="Times New Roman" w:cs="Times New Roman"/>
          <w:rtl/>
          <w:lang w:eastAsia="de-DE"/>
        </w:rPr>
        <w:t xml:space="preserve"> </w:t>
      </w:r>
      <w:r w:rsidRPr="000F1D26">
        <w:rPr>
          <w:rFonts w:eastAsia="Times New Roman" w:cs="Times New Roman"/>
          <w:lang w:eastAsia="de-DE"/>
        </w:rPr>
        <w:t xml:space="preserve">gibt den Ausgangspunkt an. </w:t>
      </w:r>
      <w:r w:rsidRPr="000F1D26">
        <w:rPr>
          <w:rFonts w:eastAsia="Times New Roman" w:cs="Times New Roman"/>
          <w:b/>
          <w:bCs/>
          <w:rtl/>
          <w:lang w:eastAsia="de-DE"/>
        </w:rPr>
        <w:t>וַיַּחֲנוּ בְּעִיֵּי הָעֲבָרִים</w:t>
      </w:r>
      <w:r w:rsidRPr="000F1D26">
        <w:rPr>
          <w:rFonts w:eastAsia="Times New Roman" w:cs="Times New Roman"/>
          <w:rtl/>
          <w:lang w:eastAsia="de-DE"/>
        </w:rPr>
        <w:t xml:space="preserve"> </w:t>
      </w:r>
      <w:r w:rsidRPr="000F1D26">
        <w:rPr>
          <w:rFonts w:eastAsia="Times New Roman" w:cs="Times New Roman"/>
          <w:lang w:eastAsia="de-DE"/>
        </w:rPr>
        <w:t xml:space="preserve">(„und sie lagerten in Ijje-Ha'abarim") – </w:t>
      </w:r>
      <w:r w:rsidRPr="000F1D26">
        <w:rPr>
          <w:rFonts w:eastAsia="Times New Roman" w:cs="Times New Roman"/>
          <w:b/>
          <w:bCs/>
          <w:rtl/>
          <w:lang w:eastAsia="de-DE"/>
        </w:rPr>
        <w:t>עִיֵּי הָעֲבָרִים</w:t>
      </w:r>
      <w:r w:rsidRPr="000F1D26">
        <w:rPr>
          <w:rFonts w:eastAsia="Times New Roman" w:cs="Times New Roman"/>
          <w:rtl/>
          <w:lang w:eastAsia="de-DE"/>
        </w:rPr>
        <w:t xml:space="preserve"> </w:t>
      </w:r>
      <w:r w:rsidRPr="000F1D26">
        <w:rPr>
          <w:rFonts w:eastAsia="Times New Roman" w:cs="Times New Roman"/>
          <w:lang w:eastAsia="de-DE"/>
        </w:rPr>
        <w:t xml:space="preserve">ist eine Constructus-Verbindung: </w:t>
      </w:r>
      <w:r w:rsidRPr="000F1D26">
        <w:rPr>
          <w:rFonts w:eastAsia="Times New Roman" w:cs="Times New Roman"/>
          <w:b/>
          <w:bCs/>
          <w:rtl/>
          <w:lang w:eastAsia="de-DE"/>
        </w:rPr>
        <w:t>עִיִּים</w:t>
      </w:r>
      <w:r w:rsidRPr="000F1D26">
        <w:rPr>
          <w:rFonts w:eastAsia="Times New Roman" w:cs="Times New Roman"/>
          <w:rtl/>
          <w:lang w:eastAsia="de-DE"/>
        </w:rPr>
        <w:t xml:space="preserve"> </w:t>
      </w:r>
      <w:r w:rsidRPr="000F1D26">
        <w:rPr>
          <w:rFonts w:eastAsia="Times New Roman" w:cs="Times New Roman"/>
          <w:lang w:eastAsia="de-DE"/>
        </w:rPr>
        <w:t xml:space="preserve">„Ruinenhaufen" (Plural von </w:t>
      </w:r>
      <w:r w:rsidRPr="000F1D26">
        <w:rPr>
          <w:rFonts w:eastAsia="Times New Roman" w:cs="Times New Roman"/>
          <w:b/>
          <w:bCs/>
          <w:rtl/>
          <w:lang w:eastAsia="de-DE"/>
        </w:rPr>
        <w:t>עִי</w:t>
      </w:r>
      <w:r w:rsidRPr="000F1D26">
        <w:rPr>
          <w:rFonts w:eastAsia="Times New Roman" w:cs="Times New Roman"/>
          <w:rtl/>
          <w:lang w:eastAsia="de-DE"/>
        </w:rPr>
        <w:t xml:space="preserve"> </w:t>
      </w:r>
      <w:r w:rsidRPr="000F1D26">
        <w:rPr>
          <w:rFonts w:eastAsia="Times New Roman" w:cs="Times New Roman"/>
          <w:lang w:eastAsia="de-DE"/>
        </w:rPr>
        <w:t xml:space="preserve">„Ruine") plus </w:t>
      </w:r>
      <w:r w:rsidRPr="000F1D26">
        <w:rPr>
          <w:rFonts w:eastAsia="Times New Roman" w:cs="Times New Roman"/>
          <w:b/>
          <w:bCs/>
          <w:rtl/>
          <w:lang w:eastAsia="de-DE"/>
        </w:rPr>
        <w:t>הָעֲבָרִים</w:t>
      </w:r>
      <w:r w:rsidRPr="000F1D26">
        <w:rPr>
          <w:rFonts w:eastAsia="Times New Roman" w:cs="Times New Roman"/>
          <w:rtl/>
          <w:lang w:eastAsia="de-DE"/>
        </w:rPr>
        <w:t xml:space="preserve"> </w:t>
      </w:r>
      <w:r w:rsidRPr="000F1D26">
        <w:rPr>
          <w:rFonts w:eastAsia="Times New Roman" w:cs="Times New Roman"/>
          <w:lang w:eastAsia="de-DE"/>
        </w:rPr>
        <w:t xml:space="preserve">„die Durchziehenden/Überquerenden" (Artikel plus Qal Partizip Plural von </w:t>
      </w:r>
      <w:r w:rsidRPr="000F1D26">
        <w:rPr>
          <w:rFonts w:eastAsia="Times New Roman" w:cs="Times New Roman"/>
          <w:b/>
          <w:bCs/>
          <w:rtl/>
          <w:lang w:eastAsia="de-DE"/>
        </w:rPr>
        <w:t>עבר</w:t>
      </w:r>
      <w:r w:rsidRPr="000F1D26">
        <w:rPr>
          <w:rFonts w:eastAsia="Times New Roman" w:cs="Times New Roman"/>
          <w:lang w:eastAsia="de-DE"/>
        </w:rPr>
        <w:t>). Der Name bedeutet wörtlich „Ruinenhaufen der Durchziehenden".</w:t>
      </w:r>
    </w:p>
    <w:p w14:paraId="09308DC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geografische Präzisierung </w:t>
      </w:r>
      <w:r w:rsidRPr="000F1D26">
        <w:rPr>
          <w:rFonts w:eastAsia="Times New Roman" w:cs="Times New Roman"/>
          <w:b/>
          <w:bCs/>
          <w:rtl/>
          <w:lang w:eastAsia="de-DE"/>
        </w:rPr>
        <w:t>בַּמִּדְבָּר אֲשֶׁר עַל־פְּנֵי מוֹאָב מִמִּזְרַח הַשָּׁמֶשׁ</w:t>
      </w:r>
      <w:r w:rsidRPr="000F1D26">
        <w:rPr>
          <w:rFonts w:eastAsia="Times New Roman" w:cs="Times New Roman"/>
          <w:rtl/>
          <w:lang w:eastAsia="de-DE"/>
        </w:rPr>
        <w:t xml:space="preserve"> </w:t>
      </w:r>
      <w:r w:rsidRPr="000F1D26">
        <w:rPr>
          <w:rFonts w:eastAsia="Times New Roman" w:cs="Times New Roman"/>
          <w:lang w:eastAsia="de-DE"/>
        </w:rPr>
        <w:t xml:space="preserve">ist detailliert: </w:t>
      </w:r>
      <w:r w:rsidRPr="000F1D26">
        <w:rPr>
          <w:rFonts w:eastAsia="Times New Roman" w:cs="Times New Roman"/>
          <w:b/>
          <w:bCs/>
          <w:rtl/>
          <w:lang w:eastAsia="de-DE"/>
        </w:rPr>
        <w:t>בַּמִּדְבָּר</w:t>
      </w:r>
      <w:r w:rsidRPr="000F1D26">
        <w:rPr>
          <w:rFonts w:eastAsia="Times New Roman" w:cs="Times New Roman"/>
          <w:rtl/>
          <w:lang w:eastAsia="de-DE"/>
        </w:rPr>
        <w:t xml:space="preserve"> </w:t>
      </w:r>
      <w:r w:rsidRPr="000F1D26">
        <w:rPr>
          <w:rFonts w:eastAsia="Times New Roman" w:cs="Times New Roman"/>
          <w:lang w:eastAsia="de-DE"/>
        </w:rPr>
        <w:t xml:space="preserve">(„in der Wüste") mit </w:t>
      </w:r>
      <w:r w:rsidRPr="000F1D26">
        <w:rPr>
          <w:rFonts w:eastAsia="Times New Roman" w:cs="Times New Roman"/>
          <w:b/>
          <w:bCs/>
          <w:rtl/>
          <w:lang w:eastAsia="de-DE"/>
        </w:rPr>
        <w:t>בְּ</w:t>
      </w:r>
      <w:r w:rsidRPr="000F1D26">
        <w:rPr>
          <w:rFonts w:eastAsia="Times New Roman" w:cs="Times New Roman"/>
          <w:lang w:eastAsia="de-DE"/>
        </w:rPr>
        <w:t xml:space="preserve">, der Relativsatz </w:t>
      </w:r>
      <w:r w:rsidRPr="000F1D26">
        <w:rPr>
          <w:rFonts w:eastAsia="Times New Roman" w:cs="Times New Roman"/>
          <w:b/>
          <w:bCs/>
          <w:rtl/>
          <w:lang w:eastAsia="de-DE"/>
        </w:rPr>
        <w:t>אֲשֶׁר עַל־פְּנֵי מוֹאָב</w:t>
      </w:r>
      <w:r w:rsidRPr="000F1D26">
        <w:rPr>
          <w:rFonts w:eastAsia="Times New Roman" w:cs="Times New Roman"/>
          <w:rtl/>
          <w:lang w:eastAsia="de-DE"/>
        </w:rPr>
        <w:t xml:space="preserve"> </w:t>
      </w:r>
      <w:r w:rsidRPr="000F1D26">
        <w:rPr>
          <w:rFonts w:eastAsia="Times New Roman" w:cs="Times New Roman"/>
          <w:lang w:eastAsia="de-DE"/>
        </w:rPr>
        <w:t xml:space="preserve">(„die vor/gegenüber Moab ist") – </w:t>
      </w:r>
      <w:r w:rsidRPr="000F1D26">
        <w:rPr>
          <w:rFonts w:eastAsia="Times New Roman" w:cs="Times New Roman"/>
          <w:b/>
          <w:bCs/>
          <w:rtl/>
          <w:lang w:eastAsia="de-DE"/>
        </w:rPr>
        <w:t>עַל־פְּנֵי</w:t>
      </w:r>
      <w:r w:rsidRPr="000F1D26">
        <w:rPr>
          <w:rFonts w:eastAsia="Times New Roman" w:cs="Times New Roman"/>
          <w:rtl/>
          <w:lang w:eastAsia="de-DE"/>
        </w:rPr>
        <w:t xml:space="preserve"> </w:t>
      </w:r>
      <w:r w:rsidRPr="000F1D26">
        <w:rPr>
          <w:rFonts w:eastAsia="Times New Roman" w:cs="Times New Roman"/>
          <w:lang w:eastAsia="de-DE"/>
        </w:rPr>
        <w:t xml:space="preserve">wörtlich „auf dem Angesicht von", idiomatisch „gegenüber, vor" –, die Richtungsangabe </w:t>
      </w:r>
      <w:r w:rsidRPr="000F1D26">
        <w:rPr>
          <w:rFonts w:eastAsia="Times New Roman" w:cs="Times New Roman"/>
          <w:b/>
          <w:bCs/>
          <w:rtl/>
          <w:lang w:eastAsia="de-DE"/>
        </w:rPr>
        <w:t>מִמִּזְרַח הַשָּׁמֶשׁ</w:t>
      </w:r>
      <w:r w:rsidRPr="000F1D26">
        <w:rPr>
          <w:rFonts w:eastAsia="Times New Roman" w:cs="Times New Roman"/>
          <w:rtl/>
          <w:lang w:eastAsia="de-DE"/>
        </w:rPr>
        <w:t xml:space="preserve"> </w:t>
      </w:r>
      <w:r w:rsidRPr="000F1D26">
        <w:rPr>
          <w:rFonts w:eastAsia="Times New Roman" w:cs="Times New Roman"/>
          <w:lang w:eastAsia="de-DE"/>
        </w:rPr>
        <w:t xml:space="preserve">(„von Sonnenaufgang", Constructus-Verbindung) bedeutet „östlich" – </w:t>
      </w:r>
      <w:r w:rsidRPr="000F1D26">
        <w:rPr>
          <w:rFonts w:eastAsia="Times New Roman" w:cs="Times New Roman"/>
          <w:b/>
          <w:bCs/>
          <w:rtl/>
          <w:lang w:eastAsia="de-DE"/>
        </w:rPr>
        <w:t>מִזְרָח</w:t>
      </w:r>
      <w:r w:rsidRPr="000F1D26">
        <w:rPr>
          <w:rFonts w:eastAsia="Times New Roman" w:cs="Times New Roman"/>
          <w:rtl/>
          <w:lang w:eastAsia="de-DE"/>
        </w:rPr>
        <w:t xml:space="preserve"> </w:t>
      </w:r>
      <w:r w:rsidRPr="000F1D26">
        <w:rPr>
          <w:rFonts w:eastAsia="Times New Roman" w:cs="Times New Roman"/>
          <w:lang w:eastAsia="de-DE"/>
        </w:rPr>
        <w:t xml:space="preserve">von </w:t>
      </w:r>
      <w:r w:rsidRPr="000F1D26">
        <w:rPr>
          <w:rFonts w:eastAsia="Times New Roman" w:cs="Times New Roman"/>
          <w:b/>
          <w:bCs/>
          <w:rtl/>
          <w:lang w:eastAsia="de-DE"/>
        </w:rPr>
        <w:t>זרח</w:t>
      </w:r>
      <w:r w:rsidRPr="000F1D26">
        <w:rPr>
          <w:rFonts w:eastAsia="Times New Roman" w:cs="Times New Roman"/>
          <w:rtl/>
          <w:lang w:eastAsia="de-DE"/>
        </w:rPr>
        <w:t xml:space="preserve"> </w:t>
      </w:r>
      <w:r w:rsidRPr="000F1D26">
        <w:rPr>
          <w:rFonts w:eastAsia="Times New Roman" w:cs="Times New Roman"/>
          <w:lang w:eastAsia="de-DE"/>
        </w:rPr>
        <w:t>„aufgehen (Sonne)", also „Osten". Israel umgeht Edom südlich und bewegt sich nun nordöstlich entlang der Ostseite Moabs.</w:t>
      </w:r>
    </w:p>
    <w:p w14:paraId="26BCECC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transkribiert den Namen als Ἀχαλγαὶ (Achalgai).</w:t>
      </w:r>
    </w:p>
    <w:p w14:paraId="38D573ED"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zwei koordinierte Hauptsätze: Der erste mit Verb und Präpositionalphrase; der zweite mit Verb, Präpositionalphrase (Constructus-Verbindung), weiterer Präpositionalphrase mit Relativsatz und abschließender Präpositionalphrase (Constructus-Verbindung). Insgesamt gibt es einen Nebensatz (Relativsatz).</w:t>
      </w:r>
    </w:p>
    <w:p w14:paraId="6FCD23C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gibt eine präzise geografische Positionierung: Israel ist nun östlich von Moab, am Rand der Wüste, auf dem Weg nach Norden.</w:t>
      </w:r>
    </w:p>
    <w:p w14:paraId="2BE3BECD"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21,12</w:t>
      </w:r>
    </w:p>
    <w:p w14:paraId="5B1B8906"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lastRenderedPageBreak/>
        <w:t>Hebräisch:</w:t>
      </w:r>
      <w:r w:rsidRPr="000F1D26">
        <w:rPr>
          <w:rFonts w:eastAsia="Times New Roman" w:cs="Times New Roman"/>
          <w:lang w:eastAsia="de-DE"/>
        </w:rPr>
        <w:t xml:space="preserve"> </w:t>
      </w:r>
      <w:r w:rsidRPr="000F1D26">
        <w:rPr>
          <w:rFonts w:eastAsia="Times New Roman" w:cs="Times New Roman"/>
          <w:rtl/>
          <w:lang w:eastAsia="de-DE"/>
        </w:rPr>
        <w:t>מִשָּׁ֖ם נָסָ֑עוּ וַֽיַּחֲנ֖וּ בְּנַ֥חַל זָֽרֶד׃</w:t>
      </w:r>
    </w:p>
    <w:p w14:paraId="4A64A11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Von dort brachen sie auf und lagerten im Tal Sered.</w:t>
      </w:r>
    </w:p>
    <w:p w14:paraId="1185D1FF"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7905C93A">
          <v:rect id="_x0000_i1741" style="width:0;height:1.5pt" o:hralign="center" o:hrstd="t" o:hr="t" fillcolor="#a0a0a0" stroked="f"/>
        </w:pict>
      </w:r>
    </w:p>
    <w:p w14:paraId="55D5CBC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Das Adverb </w:t>
      </w:r>
      <w:r w:rsidRPr="000F1D26">
        <w:rPr>
          <w:rFonts w:eastAsia="Times New Roman" w:cs="Times New Roman"/>
          <w:b/>
          <w:bCs/>
          <w:rtl/>
          <w:lang w:eastAsia="de-DE"/>
        </w:rPr>
        <w:t>מִשָּׁם</w:t>
      </w:r>
      <w:r w:rsidRPr="000F1D26">
        <w:rPr>
          <w:rFonts w:eastAsia="Times New Roman" w:cs="Times New Roman"/>
          <w:rtl/>
          <w:lang w:eastAsia="de-DE"/>
        </w:rPr>
        <w:t xml:space="preserve"> </w:t>
      </w:r>
      <w:r w:rsidRPr="000F1D26">
        <w:rPr>
          <w:rFonts w:eastAsia="Times New Roman" w:cs="Times New Roman"/>
          <w:lang w:eastAsia="de-DE"/>
        </w:rPr>
        <w:t xml:space="preserve">(„von dort") mit </w:t>
      </w:r>
      <w:r w:rsidRPr="000F1D26">
        <w:rPr>
          <w:rFonts w:eastAsia="Times New Roman" w:cs="Times New Roman"/>
          <w:b/>
          <w:bCs/>
          <w:rtl/>
          <w:lang w:eastAsia="de-DE"/>
        </w:rPr>
        <w:t>מִן</w:t>
      </w:r>
      <w:r w:rsidRPr="000F1D26">
        <w:rPr>
          <w:rFonts w:eastAsia="Times New Roman" w:cs="Times New Roman"/>
          <w:rtl/>
          <w:lang w:eastAsia="de-DE"/>
        </w:rPr>
        <w:t xml:space="preserve"> </w:t>
      </w:r>
      <w:r w:rsidRPr="000F1D26">
        <w:rPr>
          <w:rFonts w:eastAsia="Times New Roman" w:cs="Times New Roman"/>
          <w:lang w:eastAsia="de-DE"/>
        </w:rPr>
        <w:t xml:space="preserve">ersetzt die Ortsnennung. Das Verb </w:t>
      </w:r>
      <w:r w:rsidRPr="000F1D26">
        <w:rPr>
          <w:rFonts w:eastAsia="Times New Roman" w:cs="Times New Roman"/>
          <w:b/>
          <w:bCs/>
          <w:rtl/>
          <w:lang w:eastAsia="de-DE"/>
        </w:rPr>
        <w:t>נָסָעוּ</w:t>
      </w:r>
      <w:r w:rsidRPr="000F1D26">
        <w:rPr>
          <w:rFonts w:eastAsia="Times New Roman" w:cs="Times New Roman"/>
          <w:rtl/>
          <w:lang w:eastAsia="de-DE"/>
        </w:rPr>
        <w:t xml:space="preserve"> </w:t>
      </w:r>
      <w:r w:rsidRPr="000F1D26">
        <w:rPr>
          <w:rFonts w:eastAsia="Times New Roman" w:cs="Times New Roman"/>
          <w:lang w:eastAsia="de-DE"/>
        </w:rPr>
        <w:t xml:space="preserve">(Qal Perfekt, 3. m. pl. von </w:t>
      </w:r>
      <w:r w:rsidRPr="000F1D26">
        <w:rPr>
          <w:rFonts w:eastAsia="Times New Roman" w:cs="Times New Roman"/>
          <w:b/>
          <w:bCs/>
          <w:rtl/>
          <w:lang w:eastAsia="de-DE"/>
        </w:rPr>
        <w:t>נסע</w:t>
      </w:r>
      <w:r w:rsidRPr="000F1D26">
        <w:rPr>
          <w:rFonts w:eastAsia="Times New Roman" w:cs="Times New Roman"/>
          <w:lang w:eastAsia="de-DE"/>
        </w:rPr>
        <w:t xml:space="preserve">, „sie brachen auf") steht hier im Perfekt statt Wayyiqtol – stilistische Variation in Itinerarnotizen. </w:t>
      </w:r>
      <w:r w:rsidRPr="000F1D26">
        <w:rPr>
          <w:rFonts w:eastAsia="Times New Roman" w:cs="Times New Roman"/>
          <w:b/>
          <w:bCs/>
          <w:rtl/>
          <w:lang w:eastAsia="de-DE"/>
        </w:rPr>
        <w:t>וַיַּחֲנוּ בְּנַחַל זָרֶד</w:t>
      </w:r>
      <w:r w:rsidRPr="000F1D26">
        <w:rPr>
          <w:rFonts w:eastAsia="Times New Roman" w:cs="Times New Roman"/>
          <w:rtl/>
          <w:lang w:eastAsia="de-DE"/>
        </w:rPr>
        <w:t xml:space="preserve"> </w:t>
      </w:r>
      <w:r w:rsidRPr="000F1D26">
        <w:rPr>
          <w:rFonts w:eastAsia="Times New Roman" w:cs="Times New Roman"/>
          <w:lang w:eastAsia="de-DE"/>
        </w:rPr>
        <w:t xml:space="preserve">(„und sie lagerten im Tal Sered") – </w:t>
      </w:r>
      <w:r w:rsidRPr="000F1D26">
        <w:rPr>
          <w:rFonts w:eastAsia="Times New Roman" w:cs="Times New Roman"/>
          <w:b/>
          <w:bCs/>
          <w:rtl/>
          <w:lang w:eastAsia="de-DE"/>
        </w:rPr>
        <w:t>נַחַל</w:t>
      </w:r>
      <w:r w:rsidRPr="000F1D26">
        <w:rPr>
          <w:rFonts w:eastAsia="Times New Roman" w:cs="Times New Roman"/>
          <w:rtl/>
          <w:lang w:eastAsia="de-DE"/>
        </w:rPr>
        <w:t xml:space="preserve"> </w:t>
      </w:r>
      <w:r w:rsidRPr="000F1D26">
        <w:rPr>
          <w:rFonts w:eastAsia="Times New Roman" w:cs="Times New Roman"/>
          <w:lang w:eastAsia="de-DE"/>
        </w:rPr>
        <w:t xml:space="preserve">„Bach, Bachtal, Wadi" im Constructus vor </w:t>
      </w:r>
      <w:r w:rsidRPr="000F1D26">
        <w:rPr>
          <w:rFonts w:eastAsia="Times New Roman" w:cs="Times New Roman"/>
          <w:b/>
          <w:bCs/>
          <w:rtl/>
          <w:lang w:eastAsia="de-DE"/>
        </w:rPr>
        <w:t>זָרֶד</w:t>
      </w:r>
      <w:r w:rsidRPr="000F1D26">
        <w:rPr>
          <w:rFonts w:eastAsia="Times New Roman" w:cs="Times New Roman"/>
          <w:rtl/>
          <w:lang w:eastAsia="de-DE"/>
        </w:rPr>
        <w:t xml:space="preserve"> </w:t>
      </w:r>
      <w:r w:rsidRPr="000F1D26">
        <w:rPr>
          <w:rFonts w:eastAsia="Times New Roman" w:cs="Times New Roman"/>
          <w:lang w:eastAsia="de-DE"/>
        </w:rPr>
        <w:t xml:space="preserve">(Ortsname). Der </w:t>
      </w:r>
      <w:r w:rsidRPr="000F1D26">
        <w:rPr>
          <w:rFonts w:eastAsia="Times New Roman" w:cs="Times New Roman"/>
          <w:b/>
          <w:bCs/>
          <w:rtl/>
          <w:lang w:eastAsia="de-DE"/>
        </w:rPr>
        <w:t>נַחַל זֶרֶד</w:t>
      </w:r>
      <w:r w:rsidRPr="000F1D26">
        <w:rPr>
          <w:rFonts w:eastAsia="Times New Roman" w:cs="Times New Roman"/>
          <w:rtl/>
          <w:lang w:eastAsia="de-DE"/>
        </w:rPr>
        <w:t xml:space="preserve"> </w:t>
      </w:r>
      <w:r w:rsidRPr="000F1D26">
        <w:rPr>
          <w:rFonts w:eastAsia="Times New Roman" w:cs="Times New Roman"/>
          <w:lang w:eastAsia="de-DE"/>
        </w:rPr>
        <w:t>(Wadi Zered) ist die Grenze zwischen Edom und Moab, südlich des Toten Meeres (vgl. Dtn 2,13-14).</w:t>
      </w:r>
    </w:p>
    <w:p w14:paraId="05F838BD"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transkribiert als Ζαρὲδ (Zared).</w:t>
      </w:r>
    </w:p>
    <w:p w14:paraId="1EA5662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zwei koordinierte Hauptsätze: Der erste mit Adverb und Verb; der zweite mit Verb und Präpositionalphrase (Constructus-Verbindung). Es gibt keine Nebensätze.</w:t>
      </w:r>
    </w:p>
    <w:p w14:paraId="4A4CC88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markiert einen wichtigen geografischen Punkt: Israel überquert den Wadi Zered – die Grenze zwischen Edom (südlich) und Moab (nördlich).</w:t>
      </w:r>
    </w:p>
    <w:p w14:paraId="7EB68FA7"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21,13</w:t>
      </w:r>
    </w:p>
    <w:p w14:paraId="3CB1EFF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מִשָּׁם֮ נָסָעוּ֒ וַֽיַּחֲנ֗וּ מֵעֵ֤בֶר אַרְנוֹן֙ אֲשֶׁ֣ר בַּמִּדְבָּ֔ר הַיֹּצֵ֖א מִגְּב֣וּל הָֽאֱמֹרִ֑י כִּ֤י אַרְנוֹן֙ גְּב֣וּל מוֹאָ֔ב בֵּ֥ין מוֹאָ֖ב וּבֵ֥ין הָאֱמֹרִֽי׃</w:t>
      </w:r>
    </w:p>
    <w:p w14:paraId="115042D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Von dort brachen sie auf und lagerten jenseits des Arnon, der in der Wüste ist, der aus dem Gebiet der Amoriter herauskommt. Denn der Arnon ist die Grenze Moabs, zwischen Moab und den Amoritern.</w:t>
      </w:r>
    </w:p>
    <w:p w14:paraId="4F20A644"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6E059E11">
          <v:rect id="_x0000_i1742" style="width:0;height:1.5pt" o:hralign="center" o:hrstd="t" o:hr="t" fillcolor="#a0a0a0" stroked="f"/>
        </w:pict>
      </w:r>
    </w:p>
    <w:p w14:paraId="3297641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Wieder </w:t>
      </w:r>
      <w:r w:rsidRPr="000F1D26">
        <w:rPr>
          <w:rFonts w:eastAsia="Times New Roman" w:cs="Times New Roman"/>
          <w:b/>
          <w:bCs/>
          <w:rtl/>
          <w:lang w:eastAsia="de-DE"/>
        </w:rPr>
        <w:t>מִשָּׁם נָסָעוּ</w:t>
      </w:r>
      <w:r w:rsidRPr="000F1D26">
        <w:rPr>
          <w:rFonts w:eastAsia="Times New Roman" w:cs="Times New Roman"/>
          <w:rtl/>
          <w:lang w:eastAsia="de-DE"/>
        </w:rPr>
        <w:t xml:space="preserve"> </w:t>
      </w:r>
      <w:r w:rsidRPr="000F1D26">
        <w:rPr>
          <w:rFonts w:eastAsia="Times New Roman" w:cs="Times New Roman"/>
          <w:lang w:eastAsia="de-DE"/>
        </w:rPr>
        <w:t xml:space="preserve">mit Perfekt. </w:t>
      </w:r>
      <w:r w:rsidRPr="000F1D26">
        <w:rPr>
          <w:rFonts w:eastAsia="Times New Roman" w:cs="Times New Roman"/>
          <w:b/>
          <w:bCs/>
          <w:rtl/>
          <w:lang w:eastAsia="de-DE"/>
        </w:rPr>
        <w:t>וַיַּחֲנוּ מֵעֵבֶר אַרְנוֹן</w:t>
      </w:r>
      <w:r w:rsidRPr="000F1D26">
        <w:rPr>
          <w:rFonts w:eastAsia="Times New Roman" w:cs="Times New Roman"/>
          <w:rtl/>
          <w:lang w:eastAsia="de-DE"/>
        </w:rPr>
        <w:t xml:space="preserve"> </w:t>
      </w:r>
      <w:r w:rsidRPr="000F1D26">
        <w:rPr>
          <w:rFonts w:eastAsia="Times New Roman" w:cs="Times New Roman"/>
          <w:lang w:eastAsia="de-DE"/>
        </w:rPr>
        <w:t xml:space="preserve">(„und sie lagerten jenseits des Arnon") – </w:t>
      </w:r>
      <w:r w:rsidRPr="000F1D26">
        <w:rPr>
          <w:rFonts w:eastAsia="Times New Roman" w:cs="Times New Roman"/>
          <w:b/>
          <w:bCs/>
          <w:rtl/>
          <w:lang w:eastAsia="de-DE"/>
        </w:rPr>
        <w:t>מֵעֵבֶר</w:t>
      </w:r>
      <w:r w:rsidRPr="000F1D26">
        <w:rPr>
          <w:rFonts w:eastAsia="Times New Roman" w:cs="Times New Roman"/>
          <w:rtl/>
          <w:lang w:eastAsia="de-DE"/>
        </w:rPr>
        <w:t xml:space="preserve"> </w:t>
      </w:r>
      <w:r w:rsidRPr="000F1D26">
        <w:rPr>
          <w:rFonts w:eastAsia="Times New Roman" w:cs="Times New Roman"/>
          <w:lang w:eastAsia="de-DE"/>
        </w:rPr>
        <w:t xml:space="preserve">„jenseits, von der anderen Seite" mit </w:t>
      </w:r>
      <w:r w:rsidRPr="000F1D26">
        <w:rPr>
          <w:rFonts w:eastAsia="Times New Roman" w:cs="Times New Roman"/>
          <w:b/>
          <w:bCs/>
          <w:rtl/>
          <w:lang w:eastAsia="de-DE"/>
        </w:rPr>
        <w:t>מִן</w:t>
      </w:r>
      <w:r w:rsidRPr="000F1D26">
        <w:rPr>
          <w:rFonts w:eastAsia="Times New Roman" w:cs="Times New Roman"/>
          <w:lang w:eastAsia="de-DE"/>
        </w:rPr>
        <w:t xml:space="preserve">, </w:t>
      </w:r>
      <w:r w:rsidRPr="000F1D26">
        <w:rPr>
          <w:rFonts w:eastAsia="Times New Roman" w:cs="Times New Roman"/>
          <w:b/>
          <w:bCs/>
          <w:rtl/>
          <w:lang w:eastAsia="de-DE"/>
        </w:rPr>
        <w:t>אַרְנוֹן</w:t>
      </w:r>
      <w:r w:rsidRPr="000F1D26">
        <w:rPr>
          <w:rFonts w:eastAsia="Times New Roman" w:cs="Times New Roman"/>
          <w:rtl/>
          <w:lang w:eastAsia="de-DE"/>
        </w:rPr>
        <w:t xml:space="preserve"> </w:t>
      </w:r>
      <w:r w:rsidRPr="000F1D26">
        <w:rPr>
          <w:rFonts w:eastAsia="Times New Roman" w:cs="Times New Roman"/>
          <w:lang w:eastAsia="de-DE"/>
        </w:rPr>
        <w:t>Ortsname – der Arnon-Fluss ist die wichtige Nordgrenze Moabs.</w:t>
      </w:r>
    </w:p>
    <w:p w14:paraId="74E74A40"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Der erste Relativsatz </w:t>
      </w:r>
      <w:r w:rsidRPr="000F1D26">
        <w:rPr>
          <w:rFonts w:eastAsia="Times New Roman" w:cs="Times New Roman"/>
          <w:b/>
          <w:bCs/>
          <w:rtl/>
          <w:lang w:eastAsia="de-DE"/>
        </w:rPr>
        <w:t>אֲשֶׁר בַּמִּדְבָּר</w:t>
      </w:r>
      <w:r w:rsidRPr="000F1D26">
        <w:rPr>
          <w:rFonts w:eastAsia="Times New Roman" w:cs="Times New Roman"/>
          <w:rtl/>
          <w:lang w:eastAsia="de-DE"/>
        </w:rPr>
        <w:t xml:space="preserve"> </w:t>
      </w:r>
      <w:r w:rsidRPr="000F1D26">
        <w:rPr>
          <w:rFonts w:eastAsia="Times New Roman" w:cs="Times New Roman"/>
          <w:lang w:eastAsia="de-DE"/>
        </w:rPr>
        <w:t xml:space="preserve">(„der in der Wüste ist"). Der zweite Relativsatz </w:t>
      </w:r>
      <w:r w:rsidRPr="000F1D26">
        <w:rPr>
          <w:rFonts w:eastAsia="Times New Roman" w:cs="Times New Roman"/>
          <w:b/>
          <w:bCs/>
          <w:rtl/>
          <w:lang w:eastAsia="de-DE"/>
        </w:rPr>
        <w:t>הַיֹּצֵא מִגְּבוּל הָאֱמֹרִי</w:t>
      </w:r>
      <w:r w:rsidRPr="000F1D26">
        <w:rPr>
          <w:rFonts w:eastAsia="Times New Roman" w:cs="Times New Roman"/>
          <w:rtl/>
          <w:lang w:eastAsia="de-DE"/>
        </w:rPr>
        <w:t xml:space="preserve"> </w:t>
      </w:r>
      <w:r w:rsidRPr="000F1D26">
        <w:rPr>
          <w:rFonts w:eastAsia="Times New Roman" w:cs="Times New Roman"/>
          <w:lang w:eastAsia="de-DE"/>
        </w:rPr>
        <w:t xml:space="preserve">(„der aus dem Gebiet der Amoriter herauskommt") – </w:t>
      </w:r>
      <w:r w:rsidRPr="000F1D26">
        <w:rPr>
          <w:rFonts w:eastAsia="Times New Roman" w:cs="Times New Roman"/>
          <w:b/>
          <w:bCs/>
          <w:rtl/>
          <w:lang w:eastAsia="de-DE"/>
        </w:rPr>
        <w:t>הַיֹּצֵא</w:t>
      </w:r>
      <w:r w:rsidRPr="000F1D26">
        <w:rPr>
          <w:rFonts w:eastAsia="Times New Roman" w:cs="Times New Roman"/>
          <w:rtl/>
          <w:lang w:eastAsia="de-DE"/>
        </w:rPr>
        <w:t xml:space="preserve"> </w:t>
      </w:r>
      <w:r w:rsidRPr="000F1D26">
        <w:rPr>
          <w:rFonts w:eastAsia="Times New Roman" w:cs="Times New Roman"/>
          <w:lang w:eastAsia="de-DE"/>
        </w:rPr>
        <w:t xml:space="preserve">(Artikel plus Qal Partizip von </w:t>
      </w:r>
      <w:r w:rsidRPr="000F1D26">
        <w:rPr>
          <w:rFonts w:eastAsia="Times New Roman" w:cs="Times New Roman"/>
          <w:b/>
          <w:bCs/>
          <w:rtl/>
          <w:lang w:eastAsia="de-DE"/>
        </w:rPr>
        <w:t>יצא</w:t>
      </w:r>
      <w:r w:rsidRPr="000F1D26">
        <w:rPr>
          <w:rFonts w:eastAsia="Times New Roman" w:cs="Times New Roman"/>
          <w:lang w:eastAsia="de-DE"/>
        </w:rPr>
        <w:t xml:space="preserve">, „der Herauskommende"), </w:t>
      </w:r>
      <w:r w:rsidRPr="000F1D26">
        <w:rPr>
          <w:rFonts w:eastAsia="Times New Roman" w:cs="Times New Roman"/>
          <w:b/>
          <w:bCs/>
          <w:rtl/>
          <w:lang w:eastAsia="de-DE"/>
        </w:rPr>
        <w:t>מִגְּבוּל הָאֱמֹרִי</w:t>
      </w:r>
      <w:r w:rsidRPr="000F1D26">
        <w:rPr>
          <w:rFonts w:eastAsia="Times New Roman" w:cs="Times New Roman"/>
          <w:rtl/>
          <w:lang w:eastAsia="de-DE"/>
        </w:rPr>
        <w:t xml:space="preserve"> </w:t>
      </w:r>
      <w:r w:rsidRPr="000F1D26">
        <w:rPr>
          <w:rFonts w:eastAsia="Times New Roman" w:cs="Times New Roman"/>
          <w:lang w:eastAsia="de-DE"/>
        </w:rPr>
        <w:t>(„aus dem Gebiet der Amoriter", Constructus-Verbindung) – der Arnon entspringt im amoriter-kontrollierten Gebiet östlich.</w:t>
      </w:r>
    </w:p>
    <w:p w14:paraId="6818642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erklärende kausale Aussage </w:t>
      </w:r>
      <w:r w:rsidRPr="000F1D26">
        <w:rPr>
          <w:rFonts w:eastAsia="Times New Roman" w:cs="Times New Roman"/>
          <w:b/>
          <w:bCs/>
          <w:rtl/>
          <w:lang w:eastAsia="de-DE"/>
        </w:rPr>
        <w:t>כִּי אַרְנוֹן גְּבוּל מוֹאָב בֵּין מוֹאָב וּבֵין הָאֱמֹרִי</w:t>
      </w:r>
      <w:r w:rsidRPr="000F1D26">
        <w:rPr>
          <w:rFonts w:eastAsia="Times New Roman" w:cs="Times New Roman"/>
          <w:rtl/>
          <w:lang w:eastAsia="de-DE"/>
        </w:rPr>
        <w:t xml:space="preserve"> </w:t>
      </w:r>
      <w:r w:rsidRPr="000F1D26">
        <w:rPr>
          <w:rFonts w:eastAsia="Times New Roman" w:cs="Times New Roman"/>
          <w:lang w:eastAsia="de-DE"/>
        </w:rPr>
        <w:t xml:space="preserve">(„denn Arnon ist die Grenze Moabs, zwischen Moab und den Amoritern") ist politisch-geografisch wichtig: </w:t>
      </w:r>
      <w:r w:rsidRPr="000F1D26">
        <w:rPr>
          <w:rFonts w:eastAsia="Times New Roman" w:cs="Times New Roman"/>
          <w:b/>
          <w:bCs/>
          <w:rtl/>
          <w:lang w:eastAsia="de-DE"/>
        </w:rPr>
        <w:t>כִּי</w:t>
      </w:r>
      <w:r w:rsidRPr="000F1D26">
        <w:rPr>
          <w:rFonts w:eastAsia="Times New Roman" w:cs="Times New Roman"/>
          <w:rtl/>
          <w:lang w:eastAsia="de-DE"/>
        </w:rPr>
        <w:t xml:space="preserve"> </w:t>
      </w:r>
      <w:r w:rsidRPr="000F1D26">
        <w:rPr>
          <w:rFonts w:eastAsia="Times New Roman" w:cs="Times New Roman"/>
          <w:lang w:eastAsia="de-DE"/>
        </w:rPr>
        <w:t xml:space="preserve">kausal, </w:t>
      </w:r>
      <w:r w:rsidRPr="000F1D26">
        <w:rPr>
          <w:rFonts w:eastAsia="Times New Roman" w:cs="Times New Roman"/>
          <w:b/>
          <w:bCs/>
          <w:rtl/>
          <w:lang w:eastAsia="de-DE"/>
        </w:rPr>
        <w:t>אַרְנוֹן גְּבוּל מוֹאָב</w:t>
      </w:r>
      <w:r w:rsidRPr="000F1D26">
        <w:rPr>
          <w:rFonts w:eastAsia="Times New Roman" w:cs="Times New Roman"/>
          <w:rtl/>
          <w:lang w:eastAsia="de-DE"/>
        </w:rPr>
        <w:t xml:space="preserve"> </w:t>
      </w:r>
      <w:r w:rsidRPr="000F1D26">
        <w:rPr>
          <w:rFonts w:eastAsia="Times New Roman" w:cs="Times New Roman"/>
          <w:lang w:eastAsia="de-DE"/>
        </w:rPr>
        <w:t xml:space="preserve">(„Arnon ist die Grenze Moabs", Constructus-Verbindung als Prädikatsnomen), die doppelte Präposition </w:t>
      </w:r>
      <w:r w:rsidRPr="000F1D26">
        <w:rPr>
          <w:rFonts w:eastAsia="Times New Roman" w:cs="Times New Roman"/>
          <w:b/>
          <w:bCs/>
          <w:rtl/>
          <w:lang w:eastAsia="de-DE"/>
        </w:rPr>
        <w:t>בֵּין מוֹאָב וּבֵין הָאֱמֹרִי</w:t>
      </w:r>
      <w:r w:rsidRPr="000F1D26">
        <w:rPr>
          <w:rFonts w:eastAsia="Times New Roman" w:cs="Times New Roman"/>
          <w:rtl/>
          <w:lang w:eastAsia="de-DE"/>
        </w:rPr>
        <w:t xml:space="preserve"> </w:t>
      </w:r>
      <w:r w:rsidRPr="000F1D26">
        <w:rPr>
          <w:rFonts w:eastAsia="Times New Roman" w:cs="Times New Roman"/>
          <w:lang w:eastAsia="de-DE"/>
        </w:rPr>
        <w:t>(„zwischen Moab und den Amoritern") präzisiert. Ursprünglich war das Gebiet nördlich des Arnon moabitisch, wurde aber von den Amoritern (unter König Sihon) erobert (siehe Vers 26). Israel wird dieses Gebiet von den Amoritern nehmen, nicht von Moab direkt.</w:t>
      </w:r>
    </w:p>
    <w:p w14:paraId="0AC7CD9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lastRenderedPageBreak/>
        <w:t>Die LXX</w:t>
      </w:r>
      <w:r w:rsidRPr="000F1D26">
        <w:rPr>
          <w:rFonts w:eastAsia="Times New Roman" w:cs="Times New Roman"/>
          <w:lang w:eastAsia="de-DE"/>
        </w:rPr>
        <w:t xml:space="preserve"> folgt dem hebräischen Text.</w:t>
      </w:r>
    </w:p>
    <w:p w14:paraId="2E27F3E0"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zwei koordinierte Hauptsätze: Der erste mit Adverb und Verb; der zweite mit Verb und Präpositionalphrase, erweitert durch zwei Relativsätze (der zweite mit partizipialem Prädikat und Präpositionalphrase). Ein kausaler Nebensatz mit nominalem Prädikat (Constructus-Verbindung) und präzisierender doppelter Präpositionalphrase folgt. Insgesamt gibt es drei Nebensätze: zwei Relativsätze und ein Kausalsatz.</w:t>
      </w:r>
    </w:p>
    <w:p w14:paraId="4DC3AB2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markiert die entscheidende geografische Grenze: Der Arnon trennt Moab (südlich) von amoriter-kontrolliertem Gebiet (nördlich). Israel wird das nördliche Gebiet erobern.</w:t>
      </w:r>
    </w:p>
    <w:p w14:paraId="668A85CF"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21,14-15</w:t>
      </w:r>
    </w:p>
    <w:p w14:paraId="6B3C335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עַל־כֵּן֙ יֵֽאָמַ֔ר בְּסֵ֖פֶר מִלְחֲמֹ֣ת יְהוָ֑ה אֶת־וָהֵ֣ב בְּסוּפָ֔ה וְאֶת־הַנְּחָלִ֖ים אַרְנֽוֹן׃ וְאֶ֨שֶׁד֙ הַנְּחָלִ֔ים אֲשֶׁ֥ר נָטָ֖ה לְשֶׁ֣בֶת עָ֑ר וְנִשְׁעַ֖ן לִגְב֥וּל מוֹאָֽב׃</w:t>
      </w:r>
    </w:p>
    <w:p w14:paraId="7F8A3B9C" w14:textId="5C75078A"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w:t>
      </w:r>
      <w:r w:rsidR="00D15F41">
        <w:t>Darum wird es gesagt im Buch der Kriege des Ewigen: „Wahev (nimmt er) im Sturm und die Flusstäler des Arnon,</w:t>
      </w:r>
      <w:r w:rsidR="00D15F41">
        <w:t xml:space="preserve"> </w:t>
      </w:r>
      <w:r w:rsidR="00D15F41">
        <w:t>und den Erguss der Flusstäler, der sich zur Siedlung von Ar neigt und sich an die Grenze von Mo'av lehnt."</w:t>
      </w:r>
    </w:p>
    <w:p w14:paraId="751DDA10"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688DF6DF">
          <v:rect id="_x0000_i1743" style="width:0;height:1.5pt" o:hralign="center" o:hrstd="t" o:hr="t" fillcolor="#a0a0a0" stroked="f"/>
        </w:pict>
      </w:r>
    </w:p>
    <w:p w14:paraId="15438489" w14:textId="5F2D88FF"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Die Zitationsformel </w:t>
      </w:r>
      <w:r w:rsidRPr="000F1D26">
        <w:rPr>
          <w:rFonts w:eastAsia="Times New Roman" w:cs="Times New Roman"/>
          <w:b/>
          <w:bCs/>
          <w:rtl/>
          <w:lang w:eastAsia="de-DE"/>
        </w:rPr>
        <w:t>עַל־כֵּן יֵאָמַר בְּסֵפֶר מִלְחֲמֹת יְהוָה</w:t>
      </w:r>
      <w:r w:rsidRPr="000F1D26">
        <w:rPr>
          <w:rFonts w:eastAsia="Times New Roman" w:cs="Times New Roman"/>
          <w:rtl/>
          <w:lang w:eastAsia="de-DE"/>
        </w:rPr>
        <w:t xml:space="preserve"> </w:t>
      </w:r>
      <w:r w:rsidRPr="000F1D26">
        <w:rPr>
          <w:rFonts w:eastAsia="Times New Roman" w:cs="Times New Roman"/>
          <w:lang w:eastAsia="de-DE"/>
        </w:rPr>
        <w:t xml:space="preserve">(„darum wird es gesagt im Buch der Kriege JHWHs") – </w:t>
      </w:r>
      <w:r w:rsidRPr="000F1D26">
        <w:rPr>
          <w:rFonts w:eastAsia="Times New Roman" w:cs="Times New Roman"/>
          <w:b/>
          <w:bCs/>
          <w:rtl/>
          <w:lang w:eastAsia="de-DE"/>
        </w:rPr>
        <w:t>עַל־כֵּן</w:t>
      </w:r>
      <w:r w:rsidRPr="000F1D26">
        <w:rPr>
          <w:rFonts w:eastAsia="Times New Roman" w:cs="Times New Roman"/>
          <w:rtl/>
          <w:lang w:eastAsia="de-DE"/>
        </w:rPr>
        <w:t xml:space="preserve"> </w:t>
      </w:r>
      <w:r w:rsidRPr="000F1D26">
        <w:rPr>
          <w:rFonts w:eastAsia="Times New Roman" w:cs="Times New Roman"/>
          <w:lang w:eastAsia="de-DE"/>
        </w:rPr>
        <w:t xml:space="preserve">„darum, deshalb", </w:t>
      </w:r>
      <w:r w:rsidRPr="000F1D26">
        <w:rPr>
          <w:rFonts w:eastAsia="Times New Roman" w:cs="Times New Roman"/>
          <w:b/>
          <w:bCs/>
          <w:rtl/>
          <w:lang w:eastAsia="de-DE"/>
        </w:rPr>
        <w:t>יֵאָמַר</w:t>
      </w:r>
      <w:r w:rsidRPr="000F1D26">
        <w:rPr>
          <w:rFonts w:eastAsia="Times New Roman" w:cs="Times New Roman"/>
          <w:rtl/>
          <w:lang w:eastAsia="de-DE"/>
        </w:rPr>
        <w:t xml:space="preserve"> </w:t>
      </w:r>
      <w:r w:rsidRPr="000F1D26">
        <w:rPr>
          <w:rFonts w:eastAsia="Times New Roman" w:cs="Times New Roman"/>
          <w:lang w:eastAsia="de-DE"/>
        </w:rPr>
        <w:t xml:space="preserve">(Nifal Imperfekt, 3. m. sg. von </w:t>
      </w:r>
      <w:r w:rsidRPr="000F1D26">
        <w:rPr>
          <w:rFonts w:eastAsia="Times New Roman" w:cs="Times New Roman"/>
          <w:b/>
          <w:bCs/>
          <w:rtl/>
          <w:lang w:eastAsia="de-DE"/>
        </w:rPr>
        <w:t>אמר</w:t>
      </w:r>
      <w:r w:rsidRPr="000F1D26">
        <w:rPr>
          <w:rFonts w:eastAsia="Times New Roman" w:cs="Times New Roman"/>
          <w:lang w:eastAsia="de-DE"/>
        </w:rPr>
        <w:t xml:space="preserve">, „es wird gesagt") unpersönlich passiv, </w:t>
      </w:r>
      <w:r w:rsidRPr="000F1D26">
        <w:rPr>
          <w:rFonts w:eastAsia="Times New Roman" w:cs="Times New Roman"/>
          <w:b/>
          <w:bCs/>
          <w:rtl/>
          <w:lang w:eastAsia="de-DE"/>
        </w:rPr>
        <w:t>בְּסֵפֶר מִלְחֲמֹת יְהוָה</w:t>
      </w:r>
      <w:r w:rsidRPr="000F1D26">
        <w:rPr>
          <w:rFonts w:eastAsia="Times New Roman" w:cs="Times New Roman"/>
          <w:rtl/>
          <w:lang w:eastAsia="de-DE"/>
        </w:rPr>
        <w:t xml:space="preserve"> </w:t>
      </w:r>
      <w:r w:rsidRPr="000F1D26">
        <w:rPr>
          <w:rFonts w:eastAsia="Times New Roman" w:cs="Times New Roman"/>
          <w:lang w:eastAsia="de-DE"/>
        </w:rPr>
        <w:t>(„im Buch der Kriege JHWHs") – eine verlorene literarische Quelle, ähnlich dem „Buch Jaschar" (Jos 10,13; 2 Sam 1,18). Diese Zitationsformel zeigt, dass der Pentateuch auf ältere Quellen zurückgreift.</w:t>
      </w:r>
      <w:r w:rsidR="00D15F41">
        <w:rPr>
          <w:rFonts w:eastAsia="Times New Roman" w:cs="Times New Roman"/>
          <w:lang w:eastAsia="de-DE"/>
        </w:rPr>
        <w:t xml:space="preserve"> </w:t>
      </w:r>
      <w:r w:rsidR="00D15F41">
        <w:t xml:space="preserve">Dies ist </w:t>
      </w:r>
      <w:r w:rsidR="00D15F41">
        <w:rPr>
          <w:rStyle w:val="Fett"/>
        </w:rPr>
        <w:t>eines der schwierigsten Textfragmente</w:t>
      </w:r>
      <w:r w:rsidR="00D15F41">
        <w:t xml:space="preserve"> im gesamten Pentateuch.</w:t>
      </w:r>
    </w:p>
    <w:p w14:paraId="5A4044D3"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Das Zitat selbst ist textlich schwierig und dunkel: </w:t>
      </w:r>
      <w:r w:rsidRPr="000F1D26">
        <w:rPr>
          <w:rFonts w:eastAsia="Times New Roman" w:cs="Times New Roman"/>
          <w:b/>
          <w:bCs/>
          <w:rtl/>
          <w:lang w:eastAsia="de-DE"/>
        </w:rPr>
        <w:t>אֶת־וָהֵב בְּסוּפָה</w:t>
      </w:r>
      <w:r w:rsidRPr="000F1D26">
        <w:rPr>
          <w:rFonts w:eastAsia="Times New Roman" w:cs="Times New Roman"/>
          <w:rtl/>
          <w:lang w:eastAsia="de-DE"/>
        </w:rPr>
        <w:t xml:space="preserve"> </w:t>
      </w:r>
      <w:r w:rsidRPr="000F1D26">
        <w:rPr>
          <w:rFonts w:eastAsia="Times New Roman" w:cs="Times New Roman"/>
          <w:lang w:eastAsia="de-DE"/>
        </w:rPr>
        <w:t xml:space="preserve">– </w:t>
      </w:r>
      <w:r w:rsidRPr="000F1D26">
        <w:rPr>
          <w:rFonts w:eastAsia="Times New Roman" w:cs="Times New Roman"/>
          <w:b/>
          <w:bCs/>
          <w:rtl/>
          <w:lang w:eastAsia="de-DE"/>
        </w:rPr>
        <w:t>וָהֵב</w:t>
      </w:r>
      <w:r w:rsidRPr="000F1D26">
        <w:rPr>
          <w:rFonts w:eastAsia="Times New Roman" w:cs="Times New Roman"/>
          <w:rtl/>
          <w:lang w:eastAsia="de-DE"/>
        </w:rPr>
        <w:t xml:space="preserve"> </w:t>
      </w:r>
      <w:r w:rsidRPr="000F1D26">
        <w:rPr>
          <w:rFonts w:eastAsia="Times New Roman" w:cs="Times New Roman"/>
          <w:lang w:eastAsia="de-DE"/>
        </w:rPr>
        <w:t xml:space="preserve">könnte ein Ortsname sein („Waheb") oder von </w:t>
      </w:r>
      <w:r w:rsidRPr="000F1D26">
        <w:rPr>
          <w:rFonts w:eastAsia="Times New Roman" w:cs="Times New Roman"/>
          <w:b/>
          <w:bCs/>
          <w:rtl/>
          <w:lang w:eastAsia="de-DE"/>
        </w:rPr>
        <w:t>יהב</w:t>
      </w:r>
      <w:r w:rsidRPr="000F1D26">
        <w:rPr>
          <w:rFonts w:eastAsia="Times New Roman" w:cs="Times New Roman"/>
          <w:rtl/>
          <w:lang w:eastAsia="de-DE"/>
        </w:rPr>
        <w:t xml:space="preserve"> </w:t>
      </w:r>
      <w:r w:rsidRPr="000F1D26">
        <w:rPr>
          <w:rFonts w:eastAsia="Times New Roman" w:cs="Times New Roman"/>
          <w:lang w:eastAsia="de-DE"/>
        </w:rPr>
        <w:t xml:space="preserve">„geben" (aramäisch), </w:t>
      </w:r>
      <w:r w:rsidRPr="000F1D26">
        <w:rPr>
          <w:rFonts w:eastAsia="Times New Roman" w:cs="Times New Roman"/>
          <w:b/>
          <w:bCs/>
          <w:rtl/>
          <w:lang w:eastAsia="de-DE"/>
        </w:rPr>
        <w:t>בְּסוּפָה</w:t>
      </w:r>
      <w:r w:rsidRPr="000F1D26">
        <w:rPr>
          <w:rFonts w:eastAsia="Times New Roman" w:cs="Times New Roman"/>
          <w:rtl/>
          <w:lang w:eastAsia="de-DE"/>
        </w:rPr>
        <w:t xml:space="preserve"> </w:t>
      </w:r>
      <w:r w:rsidRPr="000F1D26">
        <w:rPr>
          <w:rFonts w:eastAsia="Times New Roman" w:cs="Times New Roman"/>
          <w:lang w:eastAsia="de-DE"/>
        </w:rPr>
        <w:t xml:space="preserve">könnte „in Suphah" (Ortsname) oder „im Sturm" sein. </w:t>
      </w:r>
      <w:r w:rsidRPr="000F1D26">
        <w:rPr>
          <w:rFonts w:eastAsia="Times New Roman" w:cs="Times New Roman"/>
          <w:b/>
          <w:bCs/>
          <w:rtl/>
          <w:lang w:eastAsia="de-DE"/>
        </w:rPr>
        <w:t>וְאֶת־הַנְּחָלִים אַרְנוֹן</w:t>
      </w:r>
      <w:r w:rsidRPr="000F1D26">
        <w:rPr>
          <w:rFonts w:eastAsia="Times New Roman" w:cs="Times New Roman"/>
          <w:rtl/>
          <w:lang w:eastAsia="de-DE"/>
        </w:rPr>
        <w:t xml:space="preserve"> </w:t>
      </w:r>
      <w:r w:rsidRPr="000F1D26">
        <w:rPr>
          <w:rFonts w:eastAsia="Times New Roman" w:cs="Times New Roman"/>
          <w:lang w:eastAsia="de-DE"/>
        </w:rPr>
        <w:t>(„und die Täler/Bäche des Arnon", Constructus-Verbindung).</w:t>
      </w:r>
    </w:p>
    <w:p w14:paraId="6E9D304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Vers 15: </w:t>
      </w:r>
      <w:r w:rsidRPr="000F1D26">
        <w:rPr>
          <w:rFonts w:eastAsia="Times New Roman" w:cs="Times New Roman"/>
          <w:b/>
          <w:bCs/>
          <w:rtl/>
          <w:lang w:eastAsia="de-DE"/>
        </w:rPr>
        <w:t>וְאֶשֶׁד הַנְּחָלִים</w:t>
      </w:r>
      <w:r w:rsidRPr="000F1D26">
        <w:rPr>
          <w:rFonts w:eastAsia="Times New Roman" w:cs="Times New Roman"/>
          <w:rtl/>
          <w:lang w:eastAsia="de-DE"/>
        </w:rPr>
        <w:t xml:space="preserve"> </w:t>
      </w:r>
      <w:r w:rsidRPr="000F1D26">
        <w:rPr>
          <w:rFonts w:eastAsia="Times New Roman" w:cs="Times New Roman"/>
          <w:lang w:eastAsia="de-DE"/>
        </w:rPr>
        <w:t xml:space="preserve">(„und die Ergießung/das Abfließen der Täler") – </w:t>
      </w:r>
      <w:r w:rsidRPr="000F1D26">
        <w:rPr>
          <w:rFonts w:eastAsia="Times New Roman" w:cs="Times New Roman"/>
          <w:b/>
          <w:bCs/>
          <w:rtl/>
          <w:lang w:eastAsia="de-DE"/>
        </w:rPr>
        <w:t>אֶשֶׁד</w:t>
      </w:r>
      <w:r w:rsidRPr="000F1D26">
        <w:rPr>
          <w:rFonts w:eastAsia="Times New Roman" w:cs="Times New Roman"/>
          <w:rtl/>
          <w:lang w:eastAsia="de-DE"/>
        </w:rPr>
        <w:t xml:space="preserve"> </w:t>
      </w:r>
      <w:r w:rsidRPr="000F1D26">
        <w:rPr>
          <w:rFonts w:eastAsia="Times New Roman" w:cs="Times New Roman"/>
          <w:lang w:eastAsia="de-DE"/>
        </w:rPr>
        <w:t xml:space="preserve">von </w:t>
      </w:r>
      <w:r w:rsidRPr="000F1D26">
        <w:rPr>
          <w:rFonts w:eastAsia="Times New Roman" w:cs="Times New Roman"/>
          <w:b/>
          <w:bCs/>
          <w:rtl/>
          <w:lang w:eastAsia="de-DE"/>
        </w:rPr>
        <w:t>שׁדד</w:t>
      </w:r>
      <w:r w:rsidRPr="000F1D26">
        <w:rPr>
          <w:rFonts w:eastAsia="Times New Roman" w:cs="Times New Roman"/>
          <w:rtl/>
          <w:lang w:eastAsia="de-DE"/>
        </w:rPr>
        <w:t xml:space="preserve"> </w:t>
      </w:r>
      <w:r w:rsidRPr="000F1D26">
        <w:rPr>
          <w:rFonts w:eastAsia="Times New Roman" w:cs="Times New Roman"/>
          <w:lang w:eastAsia="de-DE"/>
        </w:rPr>
        <w:t xml:space="preserve">„gießen, strömen", der Relativsatz </w:t>
      </w:r>
      <w:r w:rsidRPr="000F1D26">
        <w:rPr>
          <w:rFonts w:eastAsia="Times New Roman" w:cs="Times New Roman"/>
          <w:b/>
          <w:bCs/>
          <w:rtl/>
          <w:lang w:eastAsia="de-DE"/>
        </w:rPr>
        <w:t>אֲשֶׁר נָטָה לְשֶׁבֶת עָר</w:t>
      </w:r>
      <w:r w:rsidRPr="000F1D26">
        <w:rPr>
          <w:rFonts w:eastAsia="Times New Roman" w:cs="Times New Roman"/>
          <w:rtl/>
          <w:lang w:eastAsia="de-DE"/>
        </w:rPr>
        <w:t xml:space="preserve"> </w:t>
      </w:r>
      <w:r w:rsidRPr="000F1D26">
        <w:rPr>
          <w:rFonts w:eastAsia="Times New Roman" w:cs="Times New Roman"/>
          <w:lang w:eastAsia="de-DE"/>
        </w:rPr>
        <w:t xml:space="preserve">(„der sich zur Siedlung von Ar neigt") – </w:t>
      </w:r>
      <w:r w:rsidRPr="000F1D26">
        <w:rPr>
          <w:rFonts w:eastAsia="Times New Roman" w:cs="Times New Roman"/>
          <w:b/>
          <w:bCs/>
          <w:rtl/>
          <w:lang w:eastAsia="de-DE"/>
        </w:rPr>
        <w:t>נָטָה</w:t>
      </w:r>
      <w:r w:rsidRPr="000F1D26">
        <w:rPr>
          <w:rFonts w:eastAsia="Times New Roman" w:cs="Times New Roman"/>
          <w:rtl/>
          <w:lang w:eastAsia="de-DE"/>
        </w:rPr>
        <w:t xml:space="preserve"> </w:t>
      </w:r>
      <w:r w:rsidRPr="000F1D26">
        <w:rPr>
          <w:rFonts w:eastAsia="Times New Roman" w:cs="Times New Roman"/>
          <w:lang w:eastAsia="de-DE"/>
        </w:rPr>
        <w:t xml:space="preserve">(Qal Perfekt, 3. m. sg. von </w:t>
      </w:r>
      <w:r w:rsidRPr="000F1D26">
        <w:rPr>
          <w:rFonts w:eastAsia="Times New Roman" w:cs="Times New Roman"/>
          <w:b/>
          <w:bCs/>
          <w:rtl/>
          <w:lang w:eastAsia="de-DE"/>
        </w:rPr>
        <w:t>נטה</w:t>
      </w:r>
      <w:r w:rsidRPr="000F1D26">
        <w:rPr>
          <w:rFonts w:eastAsia="Times New Roman" w:cs="Times New Roman"/>
          <w:lang w:eastAsia="de-DE"/>
        </w:rPr>
        <w:t xml:space="preserve">, „er neigt sich"), </w:t>
      </w:r>
      <w:r w:rsidRPr="000F1D26">
        <w:rPr>
          <w:rFonts w:eastAsia="Times New Roman" w:cs="Times New Roman"/>
          <w:b/>
          <w:bCs/>
          <w:rtl/>
          <w:lang w:eastAsia="de-DE"/>
        </w:rPr>
        <w:t>לְשֶׁבֶת עָר</w:t>
      </w:r>
      <w:r w:rsidRPr="000F1D26">
        <w:rPr>
          <w:rFonts w:eastAsia="Times New Roman" w:cs="Times New Roman"/>
          <w:rtl/>
          <w:lang w:eastAsia="de-DE"/>
        </w:rPr>
        <w:t xml:space="preserve"> </w:t>
      </w:r>
      <w:r w:rsidRPr="000F1D26">
        <w:rPr>
          <w:rFonts w:eastAsia="Times New Roman" w:cs="Times New Roman"/>
          <w:lang w:eastAsia="de-DE"/>
        </w:rPr>
        <w:t xml:space="preserve">(„zur Siedlung von Ar") – </w:t>
      </w:r>
      <w:r w:rsidRPr="000F1D26">
        <w:rPr>
          <w:rFonts w:eastAsia="Times New Roman" w:cs="Times New Roman"/>
          <w:b/>
          <w:bCs/>
          <w:rtl/>
          <w:lang w:eastAsia="de-DE"/>
        </w:rPr>
        <w:t>שֶׁבֶת</w:t>
      </w:r>
      <w:r w:rsidRPr="000F1D26">
        <w:rPr>
          <w:rFonts w:eastAsia="Times New Roman" w:cs="Times New Roman"/>
          <w:rtl/>
          <w:lang w:eastAsia="de-DE"/>
        </w:rPr>
        <w:t xml:space="preserve"> </w:t>
      </w:r>
      <w:r w:rsidRPr="000F1D26">
        <w:rPr>
          <w:rFonts w:eastAsia="Times New Roman" w:cs="Times New Roman"/>
          <w:lang w:eastAsia="de-DE"/>
        </w:rPr>
        <w:t xml:space="preserve">Infinitiv construct von </w:t>
      </w:r>
      <w:r w:rsidRPr="000F1D26">
        <w:rPr>
          <w:rFonts w:eastAsia="Times New Roman" w:cs="Times New Roman"/>
          <w:b/>
          <w:bCs/>
          <w:rtl/>
          <w:lang w:eastAsia="de-DE"/>
        </w:rPr>
        <w:t>ישׁב</w:t>
      </w:r>
      <w:r w:rsidRPr="000F1D26">
        <w:rPr>
          <w:rFonts w:eastAsia="Times New Roman" w:cs="Times New Roman"/>
          <w:rtl/>
          <w:lang w:eastAsia="de-DE"/>
        </w:rPr>
        <w:t xml:space="preserve"> </w:t>
      </w:r>
      <w:r w:rsidRPr="000F1D26">
        <w:rPr>
          <w:rFonts w:eastAsia="Times New Roman" w:cs="Times New Roman"/>
          <w:lang w:eastAsia="de-DE"/>
        </w:rPr>
        <w:t xml:space="preserve">als Nomen „Sitz, Siedlung", </w:t>
      </w:r>
      <w:r w:rsidRPr="000F1D26">
        <w:rPr>
          <w:rFonts w:eastAsia="Times New Roman" w:cs="Times New Roman"/>
          <w:b/>
          <w:bCs/>
          <w:rtl/>
          <w:lang w:eastAsia="de-DE"/>
        </w:rPr>
        <w:t>עָר</w:t>
      </w:r>
      <w:r w:rsidRPr="000F1D26">
        <w:rPr>
          <w:rFonts w:eastAsia="Times New Roman" w:cs="Times New Roman"/>
          <w:rtl/>
          <w:lang w:eastAsia="de-DE"/>
        </w:rPr>
        <w:t xml:space="preserve"> </w:t>
      </w:r>
      <w:r w:rsidRPr="000F1D26">
        <w:rPr>
          <w:rFonts w:eastAsia="Times New Roman" w:cs="Times New Roman"/>
          <w:lang w:eastAsia="de-DE"/>
        </w:rPr>
        <w:t xml:space="preserve">Ortsname (vgl. Vers 28). </w:t>
      </w:r>
      <w:r w:rsidRPr="000F1D26">
        <w:rPr>
          <w:rFonts w:eastAsia="Times New Roman" w:cs="Times New Roman"/>
          <w:b/>
          <w:bCs/>
          <w:rtl/>
          <w:lang w:eastAsia="de-DE"/>
        </w:rPr>
        <w:t>וְנִשְׁעַן לִגְבוּל מוֹאָב</w:t>
      </w:r>
      <w:r w:rsidRPr="000F1D26">
        <w:rPr>
          <w:rFonts w:eastAsia="Times New Roman" w:cs="Times New Roman"/>
          <w:rtl/>
          <w:lang w:eastAsia="de-DE"/>
        </w:rPr>
        <w:t xml:space="preserve"> </w:t>
      </w:r>
      <w:r w:rsidRPr="000F1D26">
        <w:rPr>
          <w:rFonts w:eastAsia="Times New Roman" w:cs="Times New Roman"/>
          <w:lang w:eastAsia="de-DE"/>
        </w:rPr>
        <w:t xml:space="preserve">(„und sich lehnt an die Grenze Moabs") – </w:t>
      </w:r>
      <w:r w:rsidRPr="000F1D26">
        <w:rPr>
          <w:rFonts w:eastAsia="Times New Roman" w:cs="Times New Roman"/>
          <w:b/>
          <w:bCs/>
          <w:rtl/>
          <w:lang w:eastAsia="de-DE"/>
        </w:rPr>
        <w:t>וְנִשְׁעַן</w:t>
      </w:r>
      <w:r w:rsidRPr="000F1D26">
        <w:rPr>
          <w:rFonts w:eastAsia="Times New Roman" w:cs="Times New Roman"/>
          <w:rtl/>
          <w:lang w:eastAsia="de-DE"/>
        </w:rPr>
        <w:t xml:space="preserve"> </w:t>
      </w:r>
      <w:r w:rsidRPr="000F1D26">
        <w:rPr>
          <w:rFonts w:eastAsia="Times New Roman" w:cs="Times New Roman"/>
          <w:lang w:eastAsia="de-DE"/>
        </w:rPr>
        <w:t xml:space="preserve">(Waw + Nifal Perfekt, 3. m. sg. von </w:t>
      </w:r>
      <w:r w:rsidRPr="000F1D26">
        <w:rPr>
          <w:rFonts w:eastAsia="Times New Roman" w:cs="Times New Roman"/>
          <w:b/>
          <w:bCs/>
          <w:rtl/>
          <w:lang w:eastAsia="de-DE"/>
        </w:rPr>
        <w:t>שׁען</w:t>
      </w:r>
      <w:r w:rsidRPr="000F1D26">
        <w:rPr>
          <w:rFonts w:eastAsia="Times New Roman" w:cs="Times New Roman"/>
          <w:lang w:eastAsia="de-DE"/>
        </w:rPr>
        <w:t>, „und er lehnt sich").</w:t>
      </w:r>
    </w:p>
    <w:p w14:paraId="1F5348DA"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Text ist poetisch und geografisch – beschreibt die Wasserwege des Arnon-Systems. Die genaue Bedeutung bleibt teilweise unklar, aber der Sinn ist: Die Täler des Arnon bilden die Grenze zwischen Moab und dem eroberten Gebiet.</w:t>
      </w:r>
    </w:p>
    <w:p w14:paraId="591E9A4D" w14:textId="6D674BC1" w:rsidR="000F1D26" w:rsidRPr="000F1D26" w:rsidRDefault="006F1585" w:rsidP="000F1D26">
      <w:pPr>
        <w:spacing w:before="100" w:beforeAutospacing="1" w:after="100" w:afterAutospacing="1" w:line="240" w:lineRule="auto"/>
        <w:rPr>
          <w:rFonts w:eastAsia="Times New Roman" w:cs="Times New Roman"/>
          <w:lang w:eastAsia="de-DE"/>
        </w:rPr>
      </w:pPr>
      <w:r w:rsidRPr="006F1585">
        <w:rPr>
          <w:b/>
          <w:bCs/>
        </w:rPr>
        <w:t>Die LXX</w:t>
      </w:r>
      <w:r>
        <w:t xml:space="preserve"> übersetzt das poetische Fragment völlig anders: Statt „</w:t>
      </w:r>
      <w:r>
        <w:rPr>
          <w:rtl/>
        </w:rPr>
        <w:t>אֶת־וָהֵב בְּסוּפָה</w:t>
      </w:r>
      <w:r>
        <w:t>" (Waheb in Supha) hat sie „τὴν Ζωὸβ ἐφλόγισεν" (Zoob hat er in Brand gesetzt), was auf eine unterschiedliche Textvorlage oder Interpretation hinweist und sehr frühe Textverwirrung nahelegt.</w:t>
      </w:r>
    </w:p>
    <w:p w14:paraId="06126447" w14:textId="0C09880F"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lastRenderedPageBreak/>
        <w:t xml:space="preserve">Die Satzstruktur zeigt einen Hauptsatz mit kausaler Einleitung, Passiv-Verb und Präpositionalphrase (Constructus-Verbindung), gefolgt von einem poetischen Zitat mit fragmentarischen </w:t>
      </w:r>
      <w:r w:rsidR="00F133EC">
        <w:rPr>
          <w:rFonts w:eastAsia="Times New Roman" w:cs="Times New Roman"/>
          <w:lang w:eastAsia="de-DE"/>
        </w:rPr>
        <w:t>Construct</w:t>
      </w:r>
      <w:r w:rsidRPr="000F1D26">
        <w:rPr>
          <w:rFonts w:eastAsia="Times New Roman" w:cs="Times New Roman"/>
          <w:lang w:eastAsia="de-DE"/>
        </w:rPr>
        <w:t>ionen. Das Zitat enthält Objekte (Constructus-Verbindungen), einen Relativsatz mit Verb und Präpositionalphrase, und koordinierte Verben mit Präpositionalphrasen. Insgesamt gibt es einen Nebensatz (Relativsatz im Zitat).</w:t>
      </w:r>
    </w:p>
    <w:p w14:paraId="0A9DA547"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Diese Verse zitieren eine alte Quelle zur Bestätigung der geografischen Angaben – der Arnon als historische Grenzlinie.</w:t>
      </w:r>
    </w:p>
    <w:p w14:paraId="5CDA5215"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21,16</w:t>
      </w:r>
    </w:p>
    <w:p w14:paraId="3E8BDFC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וּמִשָּׁ֖ם בְּאֵ֑רָה הִ֣וא הַבְּאֵ֗ר אֲשֶׁ֨ר אָמַ֤ר יְהוָה֙ לְמֹשֶׁ֔ה אֱסֹף֙ אֶת־הָעָ֔ם וְאֶתְּנָ֥ה לָהֶ֖ם מָֽיִם׃</w:t>
      </w:r>
    </w:p>
    <w:p w14:paraId="17156BB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von dort nach Be'er. Das ist der Brunnen, von dem der Ewige zu Mosche sprach, sagend: Versammle das Volk, damit ich ihnen Wasser gebe.</w:t>
      </w:r>
    </w:p>
    <w:p w14:paraId="2BD29783"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2944BD3A">
          <v:rect id="_x0000_i1744" style="width:0;height:1.5pt" o:hralign="center" o:hrstd="t" o:hr="t" fillcolor="#a0a0a0" stroked="f"/>
        </w:pict>
      </w:r>
    </w:p>
    <w:p w14:paraId="490B475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Die Ortsangabe </w:t>
      </w:r>
      <w:r w:rsidRPr="000F1D26">
        <w:rPr>
          <w:rFonts w:eastAsia="Times New Roman" w:cs="Times New Roman"/>
          <w:b/>
          <w:bCs/>
          <w:rtl/>
          <w:lang w:eastAsia="de-DE"/>
        </w:rPr>
        <w:t>וּמִשָּׁם בְּאֵרָה</w:t>
      </w:r>
      <w:r w:rsidRPr="000F1D26">
        <w:rPr>
          <w:rFonts w:eastAsia="Times New Roman" w:cs="Times New Roman"/>
          <w:rtl/>
          <w:lang w:eastAsia="de-DE"/>
        </w:rPr>
        <w:t xml:space="preserve"> </w:t>
      </w:r>
      <w:r w:rsidRPr="000F1D26">
        <w:rPr>
          <w:rFonts w:eastAsia="Times New Roman" w:cs="Times New Roman"/>
          <w:lang w:eastAsia="de-DE"/>
        </w:rPr>
        <w:t xml:space="preserve">(„und von dort nach Be'er") – </w:t>
      </w:r>
      <w:r w:rsidRPr="000F1D26">
        <w:rPr>
          <w:rFonts w:eastAsia="Times New Roman" w:cs="Times New Roman"/>
          <w:b/>
          <w:bCs/>
          <w:rtl/>
          <w:lang w:eastAsia="de-DE"/>
        </w:rPr>
        <w:t>בְּאֵרָה</w:t>
      </w:r>
      <w:r w:rsidRPr="000F1D26">
        <w:rPr>
          <w:rFonts w:eastAsia="Times New Roman" w:cs="Times New Roman"/>
          <w:rtl/>
          <w:lang w:eastAsia="de-DE"/>
        </w:rPr>
        <w:t xml:space="preserve"> </w:t>
      </w:r>
      <w:r w:rsidRPr="000F1D26">
        <w:rPr>
          <w:rFonts w:eastAsia="Times New Roman" w:cs="Times New Roman"/>
          <w:lang w:eastAsia="de-DE"/>
        </w:rPr>
        <w:t xml:space="preserve">ist </w:t>
      </w:r>
      <w:r w:rsidRPr="000F1D26">
        <w:rPr>
          <w:rFonts w:eastAsia="Times New Roman" w:cs="Times New Roman"/>
          <w:b/>
          <w:bCs/>
          <w:rtl/>
          <w:lang w:eastAsia="de-DE"/>
        </w:rPr>
        <w:t>בְּאֵר</w:t>
      </w:r>
      <w:r w:rsidRPr="000F1D26">
        <w:rPr>
          <w:rFonts w:eastAsia="Times New Roman" w:cs="Times New Roman"/>
          <w:rtl/>
          <w:lang w:eastAsia="de-DE"/>
        </w:rPr>
        <w:t xml:space="preserve"> </w:t>
      </w:r>
      <w:r w:rsidRPr="000F1D26">
        <w:rPr>
          <w:rFonts w:eastAsia="Times New Roman" w:cs="Times New Roman"/>
          <w:lang w:eastAsia="de-DE"/>
        </w:rPr>
        <w:t>„Brunnen" mit Richtungs-</w:t>
      </w:r>
      <w:r w:rsidRPr="000F1D26">
        <w:rPr>
          <w:rFonts w:eastAsia="Times New Roman" w:cs="Times New Roman"/>
          <w:rtl/>
          <w:lang w:eastAsia="de-DE"/>
        </w:rPr>
        <w:t>ה</w:t>
      </w:r>
      <w:r w:rsidRPr="000F1D26">
        <w:rPr>
          <w:rFonts w:eastAsia="Times New Roman" w:cs="Times New Roman"/>
          <w:lang w:eastAsia="de-DE"/>
        </w:rPr>
        <w:t xml:space="preserve"> (He locale), also „zum Brunnen hin". Die identifizierende Formel </w:t>
      </w:r>
      <w:r w:rsidRPr="000F1D26">
        <w:rPr>
          <w:rFonts w:eastAsia="Times New Roman" w:cs="Times New Roman"/>
          <w:b/>
          <w:bCs/>
          <w:rtl/>
          <w:lang w:eastAsia="de-DE"/>
        </w:rPr>
        <w:t>הִוא הַבְּאֵר</w:t>
      </w:r>
      <w:r w:rsidRPr="000F1D26">
        <w:rPr>
          <w:rFonts w:eastAsia="Times New Roman" w:cs="Times New Roman"/>
          <w:rtl/>
          <w:lang w:eastAsia="de-DE"/>
        </w:rPr>
        <w:t xml:space="preserve"> </w:t>
      </w:r>
      <w:r w:rsidRPr="000F1D26">
        <w:rPr>
          <w:rFonts w:eastAsia="Times New Roman" w:cs="Times New Roman"/>
          <w:lang w:eastAsia="de-DE"/>
        </w:rPr>
        <w:t>(„das ist der Brunnen") mit emphatischem Pronomen.</w:t>
      </w:r>
    </w:p>
    <w:p w14:paraId="50BDC5A0"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Der Relativsatz </w:t>
      </w:r>
      <w:r w:rsidRPr="000F1D26">
        <w:rPr>
          <w:rFonts w:eastAsia="Times New Roman" w:cs="Times New Roman"/>
          <w:b/>
          <w:bCs/>
          <w:rtl/>
          <w:lang w:eastAsia="de-DE"/>
        </w:rPr>
        <w:t>אֲשֶׁר אָמַר יְהוָה לְמֹשֶׁה</w:t>
      </w:r>
      <w:r w:rsidRPr="000F1D26">
        <w:rPr>
          <w:rFonts w:eastAsia="Times New Roman" w:cs="Times New Roman"/>
          <w:rtl/>
          <w:lang w:eastAsia="de-DE"/>
        </w:rPr>
        <w:t xml:space="preserve"> </w:t>
      </w:r>
      <w:r w:rsidRPr="000F1D26">
        <w:rPr>
          <w:rFonts w:eastAsia="Times New Roman" w:cs="Times New Roman"/>
          <w:lang w:eastAsia="de-DE"/>
        </w:rPr>
        <w:t xml:space="preserve">(„von dem JHWH zu Mose sprach"). Die direkte Rede: Der Imperativ </w:t>
      </w:r>
      <w:r w:rsidRPr="000F1D26">
        <w:rPr>
          <w:rFonts w:eastAsia="Times New Roman" w:cs="Times New Roman"/>
          <w:b/>
          <w:bCs/>
          <w:rtl/>
          <w:lang w:eastAsia="de-DE"/>
        </w:rPr>
        <w:t>אֱסֹף אֶת־הָעָם</w:t>
      </w:r>
      <w:r w:rsidRPr="000F1D26">
        <w:rPr>
          <w:rFonts w:eastAsia="Times New Roman" w:cs="Times New Roman"/>
          <w:rtl/>
          <w:lang w:eastAsia="de-DE"/>
        </w:rPr>
        <w:t xml:space="preserve"> </w:t>
      </w:r>
      <w:r w:rsidRPr="000F1D26">
        <w:rPr>
          <w:rFonts w:eastAsia="Times New Roman" w:cs="Times New Roman"/>
          <w:lang w:eastAsia="de-DE"/>
        </w:rPr>
        <w:t xml:space="preserve">(Qal Imperativ von </w:t>
      </w:r>
      <w:r w:rsidRPr="000F1D26">
        <w:rPr>
          <w:rFonts w:eastAsia="Times New Roman" w:cs="Times New Roman"/>
          <w:b/>
          <w:bCs/>
          <w:rtl/>
          <w:lang w:eastAsia="de-DE"/>
        </w:rPr>
        <w:t>אסף</w:t>
      </w:r>
      <w:r w:rsidRPr="000F1D26">
        <w:rPr>
          <w:rFonts w:eastAsia="Times New Roman" w:cs="Times New Roman"/>
          <w:lang w:eastAsia="de-DE"/>
        </w:rPr>
        <w:t xml:space="preserve">, „versammle das Volk"). Das finale Verb </w:t>
      </w:r>
      <w:r w:rsidRPr="000F1D26">
        <w:rPr>
          <w:rFonts w:eastAsia="Times New Roman" w:cs="Times New Roman"/>
          <w:b/>
          <w:bCs/>
          <w:rtl/>
          <w:lang w:eastAsia="de-DE"/>
        </w:rPr>
        <w:t>וְאֶתְּנָה לָהֶם מָיִם</w:t>
      </w:r>
      <w:r w:rsidRPr="000F1D26">
        <w:rPr>
          <w:rFonts w:eastAsia="Times New Roman" w:cs="Times New Roman"/>
          <w:rtl/>
          <w:lang w:eastAsia="de-DE"/>
        </w:rPr>
        <w:t xml:space="preserve"> </w:t>
      </w:r>
      <w:r w:rsidRPr="000F1D26">
        <w:rPr>
          <w:rFonts w:eastAsia="Times New Roman" w:cs="Times New Roman"/>
          <w:lang w:eastAsia="de-DE"/>
        </w:rPr>
        <w:t xml:space="preserve">(Waw + Qal Kohortativ, 1. c. sg. von </w:t>
      </w:r>
      <w:r w:rsidRPr="000F1D26">
        <w:rPr>
          <w:rFonts w:eastAsia="Times New Roman" w:cs="Times New Roman"/>
          <w:b/>
          <w:bCs/>
          <w:rtl/>
          <w:lang w:eastAsia="de-DE"/>
        </w:rPr>
        <w:t>נתן</w:t>
      </w:r>
      <w:r w:rsidRPr="000F1D26">
        <w:rPr>
          <w:rFonts w:eastAsia="Times New Roman" w:cs="Times New Roman"/>
          <w:lang w:eastAsia="de-DE"/>
        </w:rPr>
        <w:t xml:space="preserve">, „und ich will ihnen geben", plus </w:t>
      </w:r>
      <w:r w:rsidRPr="000F1D26">
        <w:rPr>
          <w:rFonts w:eastAsia="Times New Roman" w:cs="Times New Roman"/>
          <w:b/>
          <w:bCs/>
          <w:rtl/>
          <w:lang w:eastAsia="de-DE"/>
        </w:rPr>
        <w:t>מָיִם</w:t>
      </w:r>
      <w:r w:rsidRPr="000F1D26">
        <w:rPr>
          <w:rFonts w:eastAsia="Times New Roman" w:cs="Times New Roman"/>
          <w:rtl/>
          <w:lang w:eastAsia="de-DE"/>
        </w:rPr>
        <w:t xml:space="preserve"> </w:t>
      </w:r>
      <w:r w:rsidRPr="000F1D26">
        <w:rPr>
          <w:rFonts w:eastAsia="Times New Roman" w:cs="Times New Roman"/>
          <w:lang w:eastAsia="de-DE"/>
        </w:rPr>
        <w:t>Objekt) – die Kohortativ-Form drückt göttlichen Willen/Absicht aus.</w:t>
      </w:r>
    </w:p>
    <w:p w14:paraId="1B537B3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Dies ist ein neues Wasserwunder, anders als Meribah (Kap. 20) – hier keine Rebellion, sondern freundliche Gabe. Der Name </w:t>
      </w:r>
      <w:r w:rsidRPr="000F1D26">
        <w:rPr>
          <w:rFonts w:eastAsia="Times New Roman" w:cs="Times New Roman"/>
          <w:b/>
          <w:bCs/>
          <w:lang w:eastAsia="de-DE"/>
        </w:rPr>
        <w:t>Be'er</w:t>
      </w:r>
      <w:r w:rsidRPr="000F1D26">
        <w:rPr>
          <w:rFonts w:eastAsia="Times New Roman" w:cs="Times New Roman"/>
          <w:lang w:eastAsia="de-DE"/>
        </w:rPr>
        <w:t xml:space="preserve"> bedeutet einfach „Brunnen" – ein Ort wird nach dem Ereignis benannt.</w:t>
      </w:r>
    </w:p>
    <w:p w14:paraId="6CAAE2FD"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transkribiert als Φρέαρ (Phrear, „Brunnen").</w:t>
      </w:r>
    </w:p>
    <w:p w14:paraId="72D3075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zwei koordinierte Hauptsätze: Der erste mit Präpositionalphrase und Ortsangabe (mit He locale); der zweite mit emphatischem Pronomen und Subjekt, erweitert durch einen Relativsatz mit Verb, Subjekt und indirektem Objekt, der direkte Rede enthält (Imperativ mit Objekt und finaler Kohortativ mit indirektem Objekt und direktem Objekt). Insgesamt gibt es einen Nebensatz (Relativsatz).</w:t>
      </w:r>
    </w:p>
    <w:p w14:paraId="24CD38C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leitet zum Brunnenlied über (Vers 17-18) – ein Wasserwunder ohne Rebellion, eine freudige Episode im Kontrast zu früher.</w:t>
      </w:r>
    </w:p>
    <w:p w14:paraId="7008B9C1"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21,17-18</w:t>
      </w:r>
    </w:p>
    <w:p w14:paraId="19CB248A"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אָ֚ז יָשִׁ֣יר יִשְׂרָאֵ֔ל אֶת־הַשִּׁירָ֖ה הַזֹּ֑את עֲלִ֥י בְאֵ֖ר עֱנוּ־לָֽהּ׃ בְּאֵ֞ר חֲפָר֣וּהָ שָׂרִ֗ים כָּר֨וּהָ֙ נְדִיבֵ֣י הָעָ֔ם בִּמְחֹקֵ֖ק בְּמִשְׁעֲנֹתָ֑ם וּמִמִּדְבָּ֖ר מַתָּנָֽה׃</w:t>
      </w:r>
    </w:p>
    <w:p w14:paraId="21458CB0"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lastRenderedPageBreak/>
        <w:t>Deutsch:</w:t>
      </w:r>
      <w:r w:rsidRPr="000F1D26">
        <w:rPr>
          <w:rFonts w:eastAsia="Times New Roman" w:cs="Times New Roman"/>
          <w:lang w:eastAsia="de-DE"/>
        </w:rPr>
        <w:t xml:space="preserve"> Damals sang Israel dieses Lied: Steige herauf, Brunnen! Singt ihm zu! Brunnen, den Fürsten gruben, den die Edlen des Volkes aushöhlten mit dem Herrscherstab, mit ihren Stäben. Und aus der Wüste nach Mattana.</w:t>
      </w:r>
    </w:p>
    <w:p w14:paraId="04330B84"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4D1C2958">
          <v:rect id="_x0000_i1745" style="width:0;height:1.5pt" o:hralign="center" o:hrstd="t" o:hr="t" fillcolor="#a0a0a0" stroked="f"/>
        </w:pict>
      </w:r>
    </w:p>
    <w:p w14:paraId="354D76A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Die temporale Einleitung </w:t>
      </w:r>
      <w:r w:rsidRPr="000F1D26">
        <w:rPr>
          <w:rFonts w:eastAsia="Times New Roman" w:cs="Times New Roman"/>
          <w:b/>
          <w:bCs/>
          <w:rtl/>
          <w:lang w:eastAsia="de-DE"/>
        </w:rPr>
        <w:t>אָז יָשִׁיר יִשְׂרָאֵל</w:t>
      </w:r>
      <w:r w:rsidRPr="000F1D26">
        <w:rPr>
          <w:rFonts w:eastAsia="Times New Roman" w:cs="Times New Roman"/>
          <w:rtl/>
          <w:lang w:eastAsia="de-DE"/>
        </w:rPr>
        <w:t xml:space="preserve"> </w:t>
      </w:r>
      <w:r w:rsidRPr="000F1D26">
        <w:rPr>
          <w:rFonts w:eastAsia="Times New Roman" w:cs="Times New Roman"/>
          <w:lang w:eastAsia="de-DE"/>
        </w:rPr>
        <w:t xml:space="preserve">(„damals sang Israel") – </w:t>
      </w:r>
      <w:r w:rsidRPr="000F1D26">
        <w:rPr>
          <w:rFonts w:eastAsia="Times New Roman" w:cs="Times New Roman"/>
          <w:b/>
          <w:bCs/>
          <w:rtl/>
          <w:lang w:eastAsia="de-DE"/>
        </w:rPr>
        <w:t>אָז</w:t>
      </w:r>
      <w:r w:rsidRPr="000F1D26">
        <w:rPr>
          <w:rFonts w:eastAsia="Times New Roman" w:cs="Times New Roman"/>
          <w:rtl/>
          <w:lang w:eastAsia="de-DE"/>
        </w:rPr>
        <w:t xml:space="preserve"> </w:t>
      </w:r>
      <w:r w:rsidRPr="000F1D26">
        <w:rPr>
          <w:rFonts w:eastAsia="Times New Roman" w:cs="Times New Roman"/>
          <w:lang w:eastAsia="de-DE"/>
        </w:rPr>
        <w:t xml:space="preserve">„damals, da", </w:t>
      </w:r>
      <w:r w:rsidRPr="000F1D26">
        <w:rPr>
          <w:rFonts w:eastAsia="Times New Roman" w:cs="Times New Roman"/>
          <w:b/>
          <w:bCs/>
          <w:rtl/>
          <w:lang w:eastAsia="de-DE"/>
        </w:rPr>
        <w:t>יָשִׁיר</w:t>
      </w:r>
      <w:r w:rsidRPr="000F1D26">
        <w:rPr>
          <w:rFonts w:eastAsia="Times New Roman" w:cs="Times New Roman"/>
          <w:rtl/>
          <w:lang w:eastAsia="de-DE"/>
        </w:rPr>
        <w:t xml:space="preserve"> </w:t>
      </w:r>
      <w:r w:rsidRPr="000F1D26">
        <w:rPr>
          <w:rFonts w:eastAsia="Times New Roman" w:cs="Times New Roman"/>
          <w:lang w:eastAsia="de-DE"/>
        </w:rPr>
        <w:t xml:space="preserve">(Qal Imperfekt, 3. m. sg. von </w:t>
      </w:r>
      <w:r w:rsidRPr="000F1D26">
        <w:rPr>
          <w:rFonts w:eastAsia="Times New Roman" w:cs="Times New Roman"/>
          <w:b/>
          <w:bCs/>
          <w:rtl/>
          <w:lang w:eastAsia="de-DE"/>
        </w:rPr>
        <w:t>שׁיר</w:t>
      </w:r>
      <w:r w:rsidRPr="000F1D26">
        <w:rPr>
          <w:rFonts w:eastAsia="Times New Roman" w:cs="Times New Roman"/>
          <w:lang w:eastAsia="de-DE"/>
        </w:rPr>
        <w:t xml:space="preserve">, „er sang") hier mit präteritalem Sinn. </w:t>
      </w:r>
      <w:r w:rsidRPr="000F1D26">
        <w:rPr>
          <w:rFonts w:eastAsia="Times New Roman" w:cs="Times New Roman"/>
          <w:b/>
          <w:bCs/>
          <w:rtl/>
          <w:lang w:eastAsia="de-DE"/>
        </w:rPr>
        <w:t>אֶת־הַשִּׁירָה הַזֹּאת</w:t>
      </w:r>
      <w:r w:rsidRPr="000F1D26">
        <w:rPr>
          <w:rFonts w:eastAsia="Times New Roman" w:cs="Times New Roman"/>
          <w:rtl/>
          <w:lang w:eastAsia="de-DE"/>
        </w:rPr>
        <w:t xml:space="preserve"> </w:t>
      </w:r>
      <w:r w:rsidRPr="000F1D26">
        <w:rPr>
          <w:rFonts w:eastAsia="Times New Roman" w:cs="Times New Roman"/>
          <w:lang w:eastAsia="de-DE"/>
        </w:rPr>
        <w:t>(„dieses Lied") mit Demonstrativpronomen kündigt das Zitat an.</w:t>
      </w:r>
    </w:p>
    <w:p w14:paraId="77CEE61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Das Lied beginnt mit dem Imperativ </w:t>
      </w:r>
      <w:r w:rsidRPr="000F1D26">
        <w:rPr>
          <w:rFonts w:eastAsia="Times New Roman" w:cs="Times New Roman"/>
          <w:b/>
          <w:bCs/>
          <w:rtl/>
          <w:lang w:eastAsia="de-DE"/>
        </w:rPr>
        <w:t>עֲלִי בְאֵר</w:t>
      </w:r>
      <w:r w:rsidRPr="000F1D26">
        <w:rPr>
          <w:rFonts w:eastAsia="Times New Roman" w:cs="Times New Roman"/>
          <w:rtl/>
          <w:lang w:eastAsia="de-DE"/>
        </w:rPr>
        <w:t xml:space="preserve"> </w:t>
      </w:r>
      <w:r w:rsidRPr="000F1D26">
        <w:rPr>
          <w:rFonts w:eastAsia="Times New Roman" w:cs="Times New Roman"/>
          <w:lang w:eastAsia="de-DE"/>
        </w:rPr>
        <w:t xml:space="preserve">(„steige herauf, Brunnen!") – </w:t>
      </w:r>
      <w:r w:rsidRPr="000F1D26">
        <w:rPr>
          <w:rFonts w:eastAsia="Times New Roman" w:cs="Times New Roman"/>
          <w:b/>
          <w:bCs/>
          <w:rtl/>
          <w:lang w:eastAsia="de-DE"/>
        </w:rPr>
        <w:t>עֲלִי</w:t>
      </w:r>
      <w:r w:rsidRPr="000F1D26">
        <w:rPr>
          <w:rFonts w:eastAsia="Times New Roman" w:cs="Times New Roman"/>
          <w:rtl/>
          <w:lang w:eastAsia="de-DE"/>
        </w:rPr>
        <w:t xml:space="preserve"> </w:t>
      </w:r>
      <w:r w:rsidRPr="000F1D26">
        <w:rPr>
          <w:rFonts w:eastAsia="Times New Roman" w:cs="Times New Roman"/>
          <w:lang w:eastAsia="de-DE"/>
        </w:rPr>
        <w:t xml:space="preserve">ist Qal Imperativ feminin singular von </w:t>
      </w:r>
      <w:r w:rsidRPr="000F1D26">
        <w:rPr>
          <w:rFonts w:eastAsia="Times New Roman" w:cs="Times New Roman"/>
          <w:b/>
          <w:bCs/>
          <w:rtl/>
          <w:lang w:eastAsia="de-DE"/>
        </w:rPr>
        <w:t>עלה</w:t>
      </w:r>
      <w:r w:rsidRPr="000F1D26">
        <w:rPr>
          <w:rFonts w:eastAsia="Times New Roman" w:cs="Times New Roman"/>
          <w:rtl/>
          <w:lang w:eastAsia="de-DE"/>
        </w:rPr>
        <w:t xml:space="preserve"> </w:t>
      </w:r>
      <w:r w:rsidRPr="000F1D26">
        <w:rPr>
          <w:rFonts w:eastAsia="Times New Roman" w:cs="Times New Roman"/>
          <w:lang w:eastAsia="de-DE"/>
        </w:rPr>
        <w:t xml:space="preserve">(feminin, weil </w:t>
      </w:r>
      <w:r w:rsidRPr="000F1D26">
        <w:rPr>
          <w:rFonts w:eastAsia="Times New Roman" w:cs="Times New Roman"/>
          <w:b/>
          <w:bCs/>
          <w:rtl/>
          <w:lang w:eastAsia="de-DE"/>
        </w:rPr>
        <w:t>בְּאֵר</w:t>
      </w:r>
      <w:r w:rsidRPr="000F1D26">
        <w:rPr>
          <w:rFonts w:eastAsia="Times New Roman" w:cs="Times New Roman"/>
          <w:rtl/>
          <w:lang w:eastAsia="de-DE"/>
        </w:rPr>
        <w:t xml:space="preserve"> </w:t>
      </w:r>
      <w:r w:rsidRPr="000F1D26">
        <w:rPr>
          <w:rFonts w:eastAsia="Times New Roman" w:cs="Times New Roman"/>
          <w:lang w:eastAsia="de-DE"/>
        </w:rPr>
        <w:t xml:space="preserve">grammatisch feminin ist). Der Imperativ an einen Brunnen ist poetische Personifikation. </w:t>
      </w:r>
      <w:r w:rsidRPr="000F1D26">
        <w:rPr>
          <w:rFonts w:eastAsia="Times New Roman" w:cs="Times New Roman"/>
          <w:b/>
          <w:bCs/>
          <w:rtl/>
          <w:lang w:eastAsia="de-DE"/>
        </w:rPr>
        <w:t>עֱנוּ־לָהּ</w:t>
      </w:r>
      <w:r w:rsidRPr="000F1D26">
        <w:rPr>
          <w:rFonts w:eastAsia="Times New Roman" w:cs="Times New Roman"/>
          <w:rtl/>
          <w:lang w:eastAsia="de-DE"/>
        </w:rPr>
        <w:t xml:space="preserve"> </w:t>
      </w:r>
      <w:r w:rsidRPr="000F1D26">
        <w:rPr>
          <w:rFonts w:eastAsia="Times New Roman" w:cs="Times New Roman"/>
          <w:lang w:eastAsia="de-DE"/>
        </w:rPr>
        <w:t xml:space="preserve">(„singt ihm zu!") – </w:t>
      </w:r>
      <w:r w:rsidRPr="000F1D26">
        <w:rPr>
          <w:rFonts w:eastAsia="Times New Roman" w:cs="Times New Roman"/>
          <w:b/>
          <w:bCs/>
          <w:rtl/>
          <w:lang w:eastAsia="de-DE"/>
        </w:rPr>
        <w:t>עֱנוּ</w:t>
      </w:r>
      <w:r w:rsidRPr="000F1D26">
        <w:rPr>
          <w:rFonts w:eastAsia="Times New Roman" w:cs="Times New Roman"/>
          <w:rtl/>
          <w:lang w:eastAsia="de-DE"/>
        </w:rPr>
        <w:t xml:space="preserve"> </w:t>
      </w:r>
      <w:r w:rsidRPr="000F1D26">
        <w:rPr>
          <w:rFonts w:eastAsia="Times New Roman" w:cs="Times New Roman"/>
          <w:lang w:eastAsia="de-DE"/>
        </w:rPr>
        <w:t xml:space="preserve">(Qal Imperativ Plural von </w:t>
      </w:r>
      <w:r w:rsidRPr="000F1D26">
        <w:rPr>
          <w:rFonts w:eastAsia="Times New Roman" w:cs="Times New Roman"/>
          <w:b/>
          <w:bCs/>
          <w:rtl/>
          <w:lang w:eastAsia="de-DE"/>
        </w:rPr>
        <w:t>ענה</w:t>
      </w:r>
      <w:r w:rsidRPr="000F1D26">
        <w:rPr>
          <w:rFonts w:eastAsia="Times New Roman" w:cs="Times New Roman"/>
          <w:lang w:eastAsia="de-DE"/>
        </w:rPr>
        <w:t xml:space="preserve">, „antwortet, singt"), </w:t>
      </w:r>
      <w:r w:rsidRPr="000F1D26">
        <w:rPr>
          <w:rFonts w:eastAsia="Times New Roman" w:cs="Times New Roman"/>
          <w:b/>
          <w:bCs/>
          <w:rtl/>
          <w:lang w:eastAsia="de-DE"/>
        </w:rPr>
        <w:t>לָהּ</w:t>
      </w:r>
      <w:r w:rsidRPr="000F1D26">
        <w:rPr>
          <w:rFonts w:eastAsia="Times New Roman" w:cs="Times New Roman"/>
          <w:rtl/>
          <w:lang w:eastAsia="de-DE"/>
        </w:rPr>
        <w:t xml:space="preserve"> </w:t>
      </w:r>
      <w:r w:rsidRPr="000F1D26">
        <w:rPr>
          <w:rFonts w:eastAsia="Times New Roman" w:cs="Times New Roman"/>
          <w:lang w:eastAsia="de-DE"/>
        </w:rPr>
        <w:t>„ihm" (feminin Singular Suffix).</w:t>
      </w:r>
    </w:p>
    <w:p w14:paraId="575E34B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Vers 18 fährt fort: </w:t>
      </w:r>
      <w:r w:rsidRPr="000F1D26">
        <w:rPr>
          <w:rFonts w:eastAsia="Times New Roman" w:cs="Times New Roman"/>
          <w:b/>
          <w:bCs/>
          <w:rtl/>
          <w:lang w:eastAsia="de-DE"/>
        </w:rPr>
        <w:t>בְּאֵר חֲפָרוּהָ שָׂרִים</w:t>
      </w:r>
      <w:r w:rsidRPr="000F1D26">
        <w:rPr>
          <w:rFonts w:eastAsia="Times New Roman" w:cs="Times New Roman"/>
          <w:rtl/>
          <w:lang w:eastAsia="de-DE"/>
        </w:rPr>
        <w:t xml:space="preserve"> </w:t>
      </w:r>
      <w:r w:rsidRPr="000F1D26">
        <w:rPr>
          <w:rFonts w:eastAsia="Times New Roman" w:cs="Times New Roman"/>
          <w:lang w:eastAsia="de-DE"/>
        </w:rPr>
        <w:t xml:space="preserve">(„Brunnen, den Fürsten gruben") – </w:t>
      </w:r>
      <w:r w:rsidRPr="000F1D26">
        <w:rPr>
          <w:rFonts w:eastAsia="Times New Roman" w:cs="Times New Roman"/>
          <w:b/>
          <w:bCs/>
          <w:rtl/>
          <w:lang w:eastAsia="de-DE"/>
        </w:rPr>
        <w:t>חֲפָרוּהָ</w:t>
      </w:r>
      <w:r w:rsidRPr="000F1D26">
        <w:rPr>
          <w:rFonts w:eastAsia="Times New Roman" w:cs="Times New Roman"/>
          <w:rtl/>
          <w:lang w:eastAsia="de-DE"/>
        </w:rPr>
        <w:t xml:space="preserve"> </w:t>
      </w:r>
      <w:r w:rsidRPr="000F1D26">
        <w:rPr>
          <w:rFonts w:eastAsia="Times New Roman" w:cs="Times New Roman"/>
          <w:lang w:eastAsia="de-DE"/>
        </w:rPr>
        <w:t xml:space="preserve">(Qal Perfekt, 3. c. pl. von </w:t>
      </w:r>
      <w:r w:rsidRPr="000F1D26">
        <w:rPr>
          <w:rFonts w:eastAsia="Times New Roman" w:cs="Times New Roman"/>
          <w:b/>
          <w:bCs/>
          <w:rtl/>
          <w:lang w:eastAsia="de-DE"/>
        </w:rPr>
        <w:t>חפר</w:t>
      </w:r>
      <w:r w:rsidRPr="000F1D26">
        <w:rPr>
          <w:rFonts w:eastAsia="Times New Roman" w:cs="Times New Roman"/>
          <w:rtl/>
          <w:lang w:eastAsia="de-DE"/>
        </w:rPr>
        <w:t xml:space="preserve"> </w:t>
      </w:r>
      <w:r w:rsidRPr="000F1D26">
        <w:rPr>
          <w:rFonts w:eastAsia="Times New Roman" w:cs="Times New Roman"/>
          <w:lang w:eastAsia="de-DE"/>
        </w:rPr>
        <w:t xml:space="preserve">mit Objektsuffix 3. f. sg., „sie gruben ihn"), </w:t>
      </w:r>
      <w:r w:rsidRPr="000F1D26">
        <w:rPr>
          <w:rFonts w:eastAsia="Times New Roman" w:cs="Times New Roman"/>
          <w:b/>
          <w:bCs/>
          <w:rtl/>
          <w:lang w:eastAsia="de-DE"/>
        </w:rPr>
        <w:t>שָׂרִים</w:t>
      </w:r>
      <w:r w:rsidRPr="000F1D26">
        <w:rPr>
          <w:rFonts w:eastAsia="Times New Roman" w:cs="Times New Roman"/>
          <w:rtl/>
          <w:lang w:eastAsia="de-DE"/>
        </w:rPr>
        <w:t xml:space="preserve"> </w:t>
      </w:r>
      <w:r w:rsidRPr="000F1D26">
        <w:rPr>
          <w:rFonts w:eastAsia="Times New Roman" w:cs="Times New Roman"/>
          <w:lang w:eastAsia="de-DE"/>
        </w:rPr>
        <w:t xml:space="preserve">„Fürsten" Subjekt. </w:t>
      </w:r>
      <w:r w:rsidRPr="000F1D26">
        <w:rPr>
          <w:rFonts w:eastAsia="Times New Roman" w:cs="Times New Roman"/>
          <w:b/>
          <w:bCs/>
          <w:rtl/>
          <w:lang w:eastAsia="de-DE"/>
        </w:rPr>
        <w:t>כָּרוּהָ נְדִיבֵי הָעָם</w:t>
      </w:r>
      <w:r w:rsidRPr="000F1D26">
        <w:rPr>
          <w:rFonts w:eastAsia="Times New Roman" w:cs="Times New Roman"/>
          <w:rtl/>
          <w:lang w:eastAsia="de-DE"/>
        </w:rPr>
        <w:t xml:space="preserve"> </w:t>
      </w:r>
      <w:r w:rsidRPr="000F1D26">
        <w:rPr>
          <w:rFonts w:eastAsia="Times New Roman" w:cs="Times New Roman"/>
          <w:lang w:eastAsia="de-DE"/>
        </w:rPr>
        <w:t xml:space="preserve">(„den die Edlen des Volkes aushöhlten") – </w:t>
      </w:r>
      <w:r w:rsidRPr="000F1D26">
        <w:rPr>
          <w:rFonts w:eastAsia="Times New Roman" w:cs="Times New Roman"/>
          <w:b/>
          <w:bCs/>
          <w:rtl/>
          <w:lang w:eastAsia="de-DE"/>
        </w:rPr>
        <w:t>כָּרוּהָ</w:t>
      </w:r>
      <w:r w:rsidRPr="000F1D26">
        <w:rPr>
          <w:rFonts w:eastAsia="Times New Roman" w:cs="Times New Roman"/>
          <w:rtl/>
          <w:lang w:eastAsia="de-DE"/>
        </w:rPr>
        <w:t xml:space="preserve"> </w:t>
      </w:r>
      <w:r w:rsidRPr="000F1D26">
        <w:rPr>
          <w:rFonts w:eastAsia="Times New Roman" w:cs="Times New Roman"/>
          <w:lang w:eastAsia="de-DE"/>
        </w:rPr>
        <w:t xml:space="preserve">(Qal Perfekt, 3. c. pl. von </w:t>
      </w:r>
      <w:r w:rsidRPr="000F1D26">
        <w:rPr>
          <w:rFonts w:eastAsia="Times New Roman" w:cs="Times New Roman"/>
          <w:b/>
          <w:bCs/>
          <w:rtl/>
          <w:lang w:eastAsia="de-DE"/>
        </w:rPr>
        <w:t>כרה</w:t>
      </w:r>
      <w:r w:rsidRPr="000F1D26">
        <w:rPr>
          <w:rFonts w:eastAsia="Times New Roman" w:cs="Times New Roman"/>
          <w:rtl/>
          <w:lang w:eastAsia="de-DE"/>
        </w:rPr>
        <w:t xml:space="preserve"> </w:t>
      </w:r>
      <w:r w:rsidRPr="000F1D26">
        <w:rPr>
          <w:rFonts w:eastAsia="Times New Roman" w:cs="Times New Roman"/>
          <w:lang w:eastAsia="de-DE"/>
        </w:rPr>
        <w:t xml:space="preserve">mit Objektsuffix, „sie hoben aus"), </w:t>
      </w:r>
      <w:r w:rsidRPr="000F1D26">
        <w:rPr>
          <w:rFonts w:eastAsia="Times New Roman" w:cs="Times New Roman"/>
          <w:b/>
          <w:bCs/>
          <w:rtl/>
          <w:lang w:eastAsia="de-DE"/>
        </w:rPr>
        <w:t>נְדִיבֵי הָעָם</w:t>
      </w:r>
      <w:r w:rsidRPr="000F1D26">
        <w:rPr>
          <w:rFonts w:eastAsia="Times New Roman" w:cs="Times New Roman"/>
          <w:rtl/>
          <w:lang w:eastAsia="de-DE"/>
        </w:rPr>
        <w:t xml:space="preserve"> </w:t>
      </w:r>
      <w:r w:rsidRPr="000F1D26">
        <w:rPr>
          <w:rFonts w:eastAsia="Times New Roman" w:cs="Times New Roman"/>
          <w:lang w:eastAsia="de-DE"/>
        </w:rPr>
        <w:t xml:space="preserve">(„Edle des Volkes", Constructus-Verbindung). Die Instrumentalphrasen </w:t>
      </w:r>
      <w:r w:rsidRPr="000F1D26">
        <w:rPr>
          <w:rFonts w:eastAsia="Times New Roman" w:cs="Times New Roman"/>
          <w:b/>
          <w:bCs/>
          <w:rtl/>
          <w:lang w:eastAsia="de-DE"/>
        </w:rPr>
        <w:t>בִּמְחֹקֵק בְּמִשְׁעֲנֹתָם</w:t>
      </w:r>
      <w:r w:rsidRPr="000F1D26">
        <w:rPr>
          <w:rFonts w:eastAsia="Times New Roman" w:cs="Times New Roman"/>
          <w:rtl/>
          <w:lang w:eastAsia="de-DE"/>
        </w:rPr>
        <w:t xml:space="preserve"> </w:t>
      </w:r>
      <w:r w:rsidRPr="000F1D26">
        <w:rPr>
          <w:rFonts w:eastAsia="Times New Roman" w:cs="Times New Roman"/>
          <w:lang w:eastAsia="de-DE"/>
        </w:rPr>
        <w:t xml:space="preserve">(„mit dem Herrscherstab, mit ihren Stäben") – </w:t>
      </w:r>
      <w:r w:rsidRPr="000F1D26">
        <w:rPr>
          <w:rFonts w:eastAsia="Times New Roman" w:cs="Times New Roman"/>
          <w:b/>
          <w:bCs/>
          <w:rtl/>
          <w:lang w:eastAsia="de-DE"/>
        </w:rPr>
        <w:t>מְחֹקֵק</w:t>
      </w:r>
      <w:r w:rsidRPr="000F1D26">
        <w:rPr>
          <w:rFonts w:eastAsia="Times New Roman" w:cs="Times New Roman"/>
          <w:rtl/>
          <w:lang w:eastAsia="de-DE"/>
        </w:rPr>
        <w:t xml:space="preserve"> </w:t>
      </w:r>
      <w:r w:rsidRPr="000F1D26">
        <w:rPr>
          <w:rFonts w:eastAsia="Times New Roman" w:cs="Times New Roman"/>
          <w:lang w:eastAsia="de-DE"/>
        </w:rPr>
        <w:t xml:space="preserve">„Gesetzgeber-Stab, Herrscherstab", </w:t>
      </w:r>
      <w:r w:rsidRPr="000F1D26">
        <w:rPr>
          <w:rFonts w:eastAsia="Times New Roman" w:cs="Times New Roman"/>
          <w:b/>
          <w:bCs/>
          <w:rtl/>
          <w:lang w:eastAsia="de-DE"/>
        </w:rPr>
        <w:t>מִשְׁעֶנֶת</w:t>
      </w:r>
      <w:r w:rsidRPr="000F1D26">
        <w:rPr>
          <w:rFonts w:eastAsia="Times New Roman" w:cs="Times New Roman"/>
          <w:rtl/>
          <w:lang w:eastAsia="de-DE"/>
        </w:rPr>
        <w:t xml:space="preserve"> </w:t>
      </w:r>
      <w:r w:rsidRPr="000F1D26">
        <w:rPr>
          <w:rFonts w:eastAsia="Times New Roman" w:cs="Times New Roman"/>
          <w:lang w:eastAsia="de-DE"/>
        </w:rPr>
        <w:t>„Stab" mit Possessivsuffix – beschreiben symbolisch, nicht buchstäblich: Die Führer gruben mit ihren Herrschafts-Insignien, d.h. durch ihre Autorität/Anordnung.</w:t>
      </w:r>
    </w:p>
    <w:p w14:paraId="5418E5A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Der Abschluss </w:t>
      </w:r>
      <w:r w:rsidRPr="000F1D26">
        <w:rPr>
          <w:rFonts w:eastAsia="Times New Roman" w:cs="Times New Roman"/>
          <w:b/>
          <w:bCs/>
          <w:rtl/>
          <w:lang w:eastAsia="de-DE"/>
        </w:rPr>
        <w:t>וּמִמִּדְבָּר מַתָּנָה</w:t>
      </w:r>
      <w:r w:rsidRPr="000F1D26">
        <w:rPr>
          <w:rFonts w:eastAsia="Times New Roman" w:cs="Times New Roman"/>
          <w:rtl/>
          <w:lang w:eastAsia="de-DE"/>
        </w:rPr>
        <w:t xml:space="preserve"> </w:t>
      </w:r>
      <w:r w:rsidRPr="000F1D26">
        <w:rPr>
          <w:rFonts w:eastAsia="Times New Roman" w:cs="Times New Roman"/>
          <w:lang w:eastAsia="de-DE"/>
        </w:rPr>
        <w:t xml:space="preserve">(„und aus der Wüste nach Mattana") ist entweder Teil des Liedes oder kehrt zur Itinerarnotiz zurück. </w:t>
      </w:r>
      <w:r w:rsidRPr="000F1D26">
        <w:rPr>
          <w:rFonts w:eastAsia="Times New Roman" w:cs="Times New Roman"/>
          <w:b/>
          <w:bCs/>
          <w:rtl/>
          <w:lang w:eastAsia="de-DE"/>
        </w:rPr>
        <w:t>מַתָּנָה</w:t>
      </w:r>
      <w:r w:rsidRPr="000F1D26">
        <w:rPr>
          <w:rFonts w:eastAsia="Times New Roman" w:cs="Times New Roman"/>
          <w:rtl/>
          <w:lang w:eastAsia="de-DE"/>
        </w:rPr>
        <w:t xml:space="preserve"> </w:t>
      </w:r>
      <w:r w:rsidRPr="000F1D26">
        <w:rPr>
          <w:rFonts w:eastAsia="Times New Roman" w:cs="Times New Roman"/>
          <w:lang w:eastAsia="de-DE"/>
        </w:rPr>
        <w:t>bedeutet „Geschenk" – Wortspiel mit dem Ortsnamen.</w:t>
      </w:r>
    </w:p>
    <w:p w14:paraId="5A3053EC" w14:textId="68E8B453"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w:t>
      </w:r>
      <w:r w:rsidR="00C303D4">
        <w:t>erweitert das Brunnenlied erheblich: Sie übersetzt „</w:t>
      </w:r>
      <w:r w:rsidR="00C303D4" w:rsidRPr="00C303D4">
        <w:rPr>
          <w:b/>
          <w:bCs/>
          <w:rtl/>
        </w:rPr>
        <w:t>בִּמְחֹקֵק בְּמִשְׁעֲנֹתָם</w:t>
      </w:r>
      <w:r w:rsidR="00C303D4">
        <w:t>" (mit dem Zepter, mit ihren Stäben) als „ἐν τῇ βασιλείᾳ αὐτῶν, ἐν τῷ κυριεῦσαι αὐτῶν" (in ihrer Königsherrschaft, in ihrem Herrschen), was eine politische statt instrumentelle Interpretation darstellt.</w:t>
      </w:r>
    </w:p>
    <w:p w14:paraId="0B106D6A"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einen Hauptsatz mit temporalem Adverb, Verb, Subjekt und Objekt (mit Demonstrativpronomen). Das zitierte Lied enthält einen imperativischen Hauptsatz (Imperativ feminin, Vokativ), einen weiteren Imperativ (Plural mit Präpositionalphrase), und eine Fortsetzung mit Vokativ, zwei Relativsätzen (mit Verb plus Objektsuffix und Subjekt) und Instrumentalphrasen, abschließend eine Präpositionalphrase. Insgesamt gibt es zwei Nebensätze (zwei Relativsätze im Lied).</w:t>
      </w:r>
    </w:p>
    <w:p w14:paraId="1042257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Das Brunnenlied ist eines der ältesten poetischen Fragmente der Bibel – eine freudige Feier von Wasser, ohne Rebellion oder Strafe. Die Führer graben symbolisch den Brunnen – ein Bild der Ordnung und Gemeinschaft.</w:t>
      </w:r>
    </w:p>
    <w:p w14:paraId="79ABA480"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21,19-20</w:t>
      </w:r>
    </w:p>
    <w:p w14:paraId="48D2CD5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וּמִמַּתָּנָ֖ה נַחֲלִיאֵ֑ל וּמִנַּחֲלִיאֵ֖ל בָּמֽוֹת׃ וּמִבָּמ֗וֹת הַגַּיְא֙ אֲשֶׁר֙ בִּשְׂדֵ֣ה מוֹאָ֔ב רֹ֖אשׁ הַפִּסְגָּ֑ה וְנִשְׁקָ֖פָה עַל־פְּנֵ֥י הַיְשִׁימֹֽן׃</w:t>
      </w:r>
    </w:p>
    <w:p w14:paraId="5A1C72C6"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lastRenderedPageBreak/>
        <w:t>Deutsch:</w:t>
      </w:r>
      <w:r w:rsidRPr="000F1D26">
        <w:rPr>
          <w:rFonts w:eastAsia="Times New Roman" w:cs="Times New Roman"/>
          <w:lang w:eastAsia="de-DE"/>
        </w:rPr>
        <w:t xml:space="preserve"> Und von Mattana nach Nachaliel, und von Nachaliel nach Bamoth, und von Bamoth nach dem Tal, das im Gebiet Moabs liegt, zum Gipfel des Pisga, und über die Fläche der Wildnis blickt.</w:t>
      </w:r>
    </w:p>
    <w:p w14:paraId="106BEC8D"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615C72E0">
          <v:rect id="_x0000_i1746" style="width:0;height:1.5pt" o:hralign="center" o:hrstd="t" o:hr="t" fillcolor="#a0a0a0" stroked="f"/>
        </w:pict>
      </w:r>
    </w:p>
    <w:p w14:paraId="175E8FCD"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Diese beiden Verse sind reine Itinerarnotizen – eine Serie von Ortsnamen, die den weiteren Weg dokumentieren.</w:t>
      </w:r>
    </w:p>
    <w:p w14:paraId="21BF7641"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Vers 19:</w:t>
      </w:r>
      <w:r w:rsidRPr="000F1D26">
        <w:rPr>
          <w:rFonts w:eastAsia="Times New Roman" w:cs="Times New Roman"/>
          <w:lang w:eastAsia="de-DE"/>
        </w:rPr>
        <w:t xml:space="preserve"> Die doppelte Ortsfolge </w:t>
      </w:r>
      <w:r w:rsidRPr="000F1D26">
        <w:rPr>
          <w:rFonts w:eastAsia="Times New Roman" w:cs="Times New Roman"/>
          <w:b/>
          <w:bCs/>
          <w:rtl/>
          <w:lang w:eastAsia="de-DE"/>
        </w:rPr>
        <w:t>וּמִמַּתָּנָה נַחֲלִיאֵל וּמִנַּחֲלִיאֵל בָּמוֹת</w:t>
      </w:r>
      <w:r w:rsidRPr="000F1D26">
        <w:rPr>
          <w:rFonts w:eastAsia="Times New Roman" w:cs="Times New Roman"/>
          <w:rtl/>
          <w:lang w:eastAsia="de-DE"/>
        </w:rPr>
        <w:t xml:space="preserve"> </w:t>
      </w:r>
      <w:r w:rsidRPr="000F1D26">
        <w:rPr>
          <w:rFonts w:eastAsia="Times New Roman" w:cs="Times New Roman"/>
          <w:lang w:eastAsia="de-DE"/>
        </w:rPr>
        <w:t xml:space="preserve">nennt drei Orte. </w:t>
      </w:r>
      <w:r w:rsidRPr="000F1D26">
        <w:rPr>
          <w:rFonts w:eastAsia="Times New Roman" w:cs="Times New Roman"/>
          <w:b/>
          <w:bCs/>
          <w:rtl/>
          <w:lang w:eastAsia="de-DE"/>
        </w:rPr>
        <w:t>מַתָּנָה</w:t>
      </w:r>
      <w:r w:rsidRPr="000F1D26">
        <w:rPr>
          <w:rFonts w:eastAsia="Times New Roman" w:cs="Times New Roman"/>
          <w:rtl/>
          <w:lang w:eastAsia="de-DE"/>
        </w:rPr>
        <w:t xml:space="preserve"> </w:t>
      </w:r>
      <w:r w:rsidRPr="000F1D26">
        <w:rPr>
          <w:rFonts w:eastAsia="Times New Roman" w:cs="Times New Roman"/>
          <w:lang w:eastAsia="de-DE"/>
        </w:rPr>
        <w:t xml:space="preserve">bedeutet „Geschenk" (Wortspiel nach dem Wasserwunder). </w:t>
      </w:r>
      <w:r w:rsidRPr="000F1D26">
        <w:rPr>
          <w:rFonts w:eastAsia="Times New Roman" w:cs="Times New Roman"/>
          <w:b/>
          <w:bCs/>
          <w:rtl/>
          <w:lang w:eastAsia="de-DE"/>
        </w:rPr>
        <w:t>נַחֲלִיאֵל</w:t>
      </w:r>
      <w:r w:rsidRPr="000F1D26">
        <w:rPr>
          <w:rFonts w:eastAsia="Times New Roman" w:cs="Times New Roman"/>
          <w:rtl/>
          <w:lang w:eastAsia="de-DE"/>
        </w:rPr>
        <w:t xml:space="preserve"> </w:t>
      </w:r>
      <w:r w:rsidRPr="000F1D26">
        <w:rPr>
          <w:rFonts w:eastAsia="Times New Roman" w:cs="Times New Roman"/>
          <w:lang w:eastAsia="de-DE"/>
        </w:rPr>
        <w:t xml:space="preserve">ist eine Constructus-ähnliche Bildung: </w:t>
      </w:r>
      <w:r w:rsidRPr="000F1D26">
        <w:rPr>
          <w:rFonts w:eastAsia="Times New Roman" w:cs="Times New Roman"/>
          <w:b/>
          <w:bCs/>
          <w:rtl/>
          <w:lang w:eastAsia="de-DE"/>
        </w:rPr>
        <w:t>נַחַל</w:t>
      </w:r>
      <w:r w:rsidRPr="000F1D26">
        <w:rPr>
          <w:rFonts w:eastAsia="Times New Roman" w:cs="Times New Roman"/>
          <w:rtl/>
          <w:lang w:eastAsia="de-DE"/>
        </w:rPr>
        <w:t xml:space="preserve"> </w:t>
      </w:r>
      <w:r w:rsidRPr="000F1D26">
        <w:rPr>
          <w:rFonts w:eastAsia="Times New Roman" w:cs="Times New Roman"/>
          <w:lang w:eastAsia="de-DE"/>
        </w:rPr>
        <w:t xml:space="preserve">„Bach, Tal" plus </w:t>
      </w:r>
      <w:r w:rsidRPr="000F1D26">
        <w:rPr>
          <w:rFonts w:eastAsia="Times New Roman" w:cs="Times New Roman"/>
          <w:b/>
          <w:bCs/>
          <w:rtl/>
          <w:lang w:eastAsia="de-DE"/>
        </w:rPr>
        <w:t>אֵל</w:t>
      </w:r>
      <w:r w:rsidRPr="000F1D26">
        <w:rPr>
          <w:rFonts w:eastAsia="Times New Roman" w:cs="Times New Roman"/>
          <w:rtl/>
          <w:lang w:eastAsia="de-DE"/>
        </w:rPr>
        <w:t xml:space="preserve"> </w:t>
      </w:r>
      <w:r w:rsidRPr="000F1D26">
        <w:rPr>
          <w:rFonts w:eastAsia="Times New Roman" w:cs="Times New Roman"/>
          <w:lang w:eastAsia="de-DE"/>
        </w:rPr>
        <w:t xml:space="preserve">„Gott" – „Gottes-Tal" oder „Bach Gottes". </w:t>
      </w:r>
      <w:r w:rsidRPr="000F1D26">
        <w:rPr>
          <w:rFonts w:eastAsia="Times New Roman" w:cs="Times New Roman"/>
          <w:b/>
          <w:bCs/>
          <w:rtl/>
          <w:lang w:eastAsia="de-DE"/>
        </w:rPr>
        <w:t>בָּמוֹת</w:t>
      </w:r>
      <w:r w:rsidRPr="000F1D26">
        <w:rPr>
          <w:rFonts w:eastAsia="Times New Roman" w:cs="Times New Roman"/>
          <w:rtl/>
          <w:lang w:eastAsia="de-DE"/>
        </w:rPr>
        <w:t xml:space="preserve"> </w:t>
      </w:r>
      <w:r w:rsidRPr="000F1D26">
        <w:rPr>
          <w:rFonts w:eastAsia="Times New Roman" w:cs="Times New Roman"/>
          <w:lang w:eastAsia="de-DE"/>
        </w:rPr>
        <w:t xml:space="preserve">bedeutet wörtlich „Höhen, Opferhöhen" (Plural von </w:t>
      </w:r>
      <w:r w:rsidRPr="000F1D26">
        <w:rPr>
          <w:rFonts w:eastAsia="Times New Roman" w:cs="Times New Roman"/>
          <w:b/>
          <w:bCs/>
          <w:rtl/>
          <w:lang w:eastAsia="de-DE"/>
        </w:rPr>
        <w:t>בָּמָה</w:t>
      </w:r>
      <w:r w:rsidRPr="000F1D26">
        <w:rPr>
          <w:rFonts w:eastAsia="Times New Roman" w:cs="Times New Roman"/>
          <w:lang w:eastAsia="de-DE"/>
        </w:rPr>
        <w:t>).</w:t>
      </w:r>
    </w:p>
    <w:p w14:paraId="492859B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Vers 20:</w:t>
      </w:r>
      <w:r w:rsidRPr="000F1D26">
        <w:rPr>
          <w:rFonts w:eastAsia="Times New Roman" w:cs="Times New Roman"/>
          <w:lang w:eastAsia="de-DE"/>
        </w:rPr>
        <w:t xml:space="preserve"> </w:t>
      </w:r>
      <w:r w:rsidRPr="000F1D26">
        <w:rPr>
          <w:rFonts w:eastAsia="Times New Roman" w:cs="Times New Roman"/>
          <w:b/>
          <w:bCs/>
          <w:rtl/>
          <w:lang w:eastAsia="de-DE"/>
        </w:rPr>
        <w:t>וּמִבָּמוֹת הַגַּיְא</w:t>
      </w:r>
      <w:r w:rsidRPr="000F1D26">
        <w:rPr>
          <w:rFonts w:eastAsia="Times New Roman" w:cs="Times New Roman"/>
          <w:rtl/>
          <w:lang w:eastAsia="de-DE"/>
        </w:rPr>
        <w:t xml:space="preserve"> </w:t>
      </w:r>
      <w:r w:rsidRPr="000F1D26">
        <w:rPr>
          <w:rFonts w:eastAsia="Times New Roman" w:cs="Times New Roman"/>
          <w:lang w:eastAsia="de-DE"/>
        </w:rPr>
        <w:t xml:space="preserve">(„und von Bamoth nach dem Tal") – </w:t>
      </w:r>
      <w:r w:rsidRPr="000F1D26">
        <w:rPr>
          <w:rFonts w:eastAsia="Times New Roman" w:cs="Times New Roman"/>
          <w:b/>
          <w:bCs/>
          <w:rtl/>
          <w:lang w:eastAsia="de-DE"/>
        </w:rPr>
        <w:t>הַגַּיְא</w:t>
      </w:r>
      <w:r w:rsidRPr="000F1D26">
        <w:rPr>
          <w:rFonts w:eastAsia="Times New Roman" w:cs="Times New Roman"/>
          <w:rtl/>
          <w:lang w:eastAsia="de-DE"/>
        </w:rPr>
        <w:t xml:space="preserve"> </w:t>
      </w:r>
      <w:r w:rsidRPr="000F1D26">
        <w:rPr>
          <w:rFonts w:eastAsia="Times New Roman" w:cs="Times New Roman"/>
          <w:lang w:eastAsia="de-DE"/>
        </w:rPr>
        <w:t xml:space="preserve">„das Tal" mit Artikel. Der Relativsatz </w:t>
      </w:r>
      <w:r w:rsidRPr="000F1D26">
        <w:rPr>
          <w:rFonts w:eastAsia="Times New Roman" w:cs="Times New Roman"/>
          <w:b/>
          <w:bCs/>
          <w:rtl/>
          <w:lang w:eastAsia="de-DE"/>
        </w:rPr>
        <w:t>אֲשֶׁר בִּשְׂדֵה מוֹאָב</w:t>
      </w:r>
      <w:r w:rsidRPr="000F1D26">
        <w:rPr>
          <w:rFonts w:eastAsia="Times New Roman" w:cs="Times New Roman"/>
          <w:rtl/>
          <w:lang w:eastAsia="de-DE"/>
        </w:rPr>
        <w:t xml:space="preserve"> </w:t>
      </w:r>
      <w:r w:rsidRPr="000F1D26">
        <w:rPr>
          <w:rFonts w:eastAsia="Times New Roman" w:cs="Times New Roman"/>
          <w:lang w:eastAsia="de-DE"/>
        </w:rPr>
        <w:t xml:space="preserve">(„das im Gebiet Moabs ist") – </w:t>
      </w:r>
      <w:r w:rsidRPr="000F1D26">
        <w:rPr>
          <w:rFonts w:eastAsia="Times New Roman" w:cs="Times New Roman"/>
          <w:b/>
          <w:bCs/>
          <w:rtl/>
          <w:lang w:eastAsia="de-DE"/>
        </w:rPr>
        <w:t>בִּשְׂדֵה מוֹאָב</w:t>
      </w:r>
      <w:r w:rsidRPr="000F1D26">
        <w:rPr>
          <w:rFonts w:eastAsia="Times New Roman" w:cs="Times New Roman"/>
          <w:rtl/>
          <w:lang w:eastAsia="de-DE"/>
        </w:rPr>
        <w:t xml:space="preserve"> </w:t>
      </w:r>
      <w:r w:rsidRPr="000F1D26">
        <w:rPr>
          <w:rFonts w:eastAsia="Times New Roman" w:cs="Times New Roman"/>
          <w:lang w:eastAsia="de-DE"/>
        </w:rPr>
        <w:t xml:space="preserve">(„im Gebiet/Feld Moabs", Constructus-Verbindung). Die Ortsangabe </w:t>
      </w:r>
      <w:r w:rsidRPr="000F1D26">
        <w:rPr>
          <w:rFonts w:eastAsia="Times New Roman" w:cs="Times New Roman"/>
          <w:b/>
          <w:bCs/>
          <w:rtl/>
          <w:lang w:eastAsia="de-DE"/>
        </w:rPr>
        <w:t>רֹאשׁ הַפִּסְגָּה</w:t>
      </w:r>
      <w:r w:rsidRPr="000F1D26">
        <w:rPr>
          <w:rFonts w:eastAsia="Times New Roman" w:cs="Times New Roman"/>
          <w:rtl/>
          <w:lang w:eastAsia="de-DE"/>
        </w:rPr>
        <w:t xml:space="preserve"> </w:t>
      </w:r>
      <w:r w:rsidRPr="000F1D26">
        <w:rPr>
          <w:rFonts w:eastAsia="Times New Roman" w:cs="Times New Roman"/>
          <w:lang w:eastAsia="de-DE"/>
        </w:rPr>
        <w:t xml:space="preserve">(„Gipfel des Pisga", Constructus-Verbindung) – </w:t>
      </w:r>
      <w:r w:rsidRPr="000F1D26">
        <w:rPr>
          <w:rFonts w:eastAsia="Times New Roman" w:cs="Times New Roman"/>
          <w:b/>
          <w:bCs/>
          <w:rtl/>
          <w:lang w:eastAsia="de-DE"/>
        </w:rPr>
        <w:t>רֹאשׁ</w:t>
      </w:r>
      <w:r w:rsidRPr="000F1D26">
        <w:rPr>
          <w:rFonts w:eastAsia="Times New Roman" w:cs="Times New Roman"/>
          <w:rtl/>
          <w:lang w:eastAsia="de-DE"/>
        </w:rPr>
        <w:t xml:space="preserve"> </w:t>
      </w:r>
      <w:r w:rsidRPr="000F1D26">
        <w:rPr>
          <w:rFonts w:eastAsia="Times New Roman" w:cs="Times New Roman"/>
          <w:lang w:eastAsia="de-DE"/>
        </w:rPr>
        <w:t xml:space="preserve">„Haupt, Gipfel", </w:t>
      </w:r>
      <w:r w:rsidRPr="000F1D26">
        <w:rPr>
          <w:rFonts w:eastAsia="Times New Roman" w:cs="Times New Roman"/>
          <w:b/>
          <w:bCs/>
          <w:rtl/>
          <w:lang w:eastAsia="de-DE"/>
        </w:rPr>
        <w:t>הַפִּסְגָּה</w:t>
      </w:r>
      <w:r w:rsidRPr="000F1D26">
        <w:rPr>
          <w:rFonts w:eastAsia="Times New Roman" w:cs="Times New Roman"/>
          <w:rtl/>
          <w:lang w:eastAsia="de-DE"/>
        </w:rPr>
        <w:t xml:space="preserve"> </w:t>
      </w:r>
      <w:r w:rsidRPr="000F1D26">
        <w:rPr>
          <w:rFonts w:eastAsia="Times New Roman" w:cs="Times New Roman"/>
          <w:lang w:eastAsia="de-DE"/>
        </w:rPr>
        <w:t>„der Pisga" (ein Berg oder Bergkamm im Moabitergebiet, von dem aus Mose später das verheißene Land sehen wird, Dtn 3,27; 34,1).</w:t>
      </w:r>
    </w:p>
    <w:p w14:paraId="2C0724AA" w14:textId="1B545472"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partizipiale </w:t>
      </w:r>
      <w:r w:rsidR="00F133EC">
        <w:rPr>
          <w:rFonts w:eastAsia="Times New Roman" w:cs="Times New Roman"/>
          <w:lang w:eastAsia="de-DE"/>
        </w:rPr>
        <w:t>Construct</w:t>
      </w:r>
      <w:r w:rsidRPr="000F1D26">
        <w:rPr>
          <w:rFonts w:eastAsia="Times New Roman" w:cs="Times New Roman"/>
          <w:lang w:eastAsia="de-DE"/>
        </w:rPr>
        <w:t xml:space="preserve">ion </w:t>
      </w:r>
      <w:r w:rsidRPr="000F1D26">
        <w:rPr>
          <w:rFonts w:eastAsia="Times New Roman" w:cs="Times New Roman"/>
          <w:b/>
          <w:bCs/>
          <w:rtl/>
          <w:lang w:eastAsia="de-DE"/>
        </w:rPr>
        <w:t>וְנִשְׁקָפָה עַל־פְּנֵי הַיְשִׁימֹן</w:t>
      </w:r>
      <w:r w:rsidRPr="000F1D26">
        <w:rPr>
          <w:rFonts w:eastAsia="Times New Roman" w:cs="Times New Roman"/>
          <w:rtl/>
          <w:lang w:eastAsia="de-DE"/>
        </w:rPr>
        <w:t xml:space="preserve"> </w:t>
      </w:r>
      <w:r w:rsidRPr="000F1D26">
        <w:rPr>
          <w:rFonts w:eastAsia="Times New Roman" w:cs="Times New Roman"/>
          <w:lang w:eastAsia="de-DE"/>
        </w:rPr>
        <w:t xml:space="preserve">(„und blickt über das Angesicht der Wildnis") – </w:t>
      </w:r>
      <w:r w:rsidRPr="000F1D26">
        <w:rPr>
          <w:rFonts w:eastAsia="Times New Roman" w:cs="Times New Roman"/>
          <w:b/>
          <w:bCs/>
          <w:rtl/>
          <w:lang w:eastAsia="de-DE"/>
        </w:rPr>
        <w:t>וְנִשְׁקָפָה</w:t>
      </w:r>
      <w:r w:rsidRPr="000F1D26">
        <w:rPr>
          <w:rFonts w:eastAsia="Times New Roman" w:cs="Times New Roman"/>
          <w:rtl/>
          <w:lang w:eastAsia="de-DE"/>
        </w:rPr>
        <w:t xml:space="preserve"> </w:t>
      </w:r>
      <w:r w:rsidRPr="000F1D26">
        <w:rPr>
          <w:rFonts w:eastAsia="Times New Roman" w:cs="Times New Roman"/>
          <w:lang w:eastAsia="de-DE"/>
        </w:rPr>
        <w:t xml:space="preserve">(Waw + Nifal Perfekt, 3. f. sg. von </w:t>
      </w:r>
      <w:r w:rsidRPr="000F1D26">
        <w:rPr>
          <w:rFonts w:eastAsia="Times New Roman" w:cs="Times New Roman"/>
          <w:b/>
          <w:bCs/>
          <w:rtl/>
          <w:lang w:eastAsia="de-DE"/>
        </w:rPr>
        <w:t>שׁקף</w:t>
      </w:r>
      <w:r w:rsidRPr="000F1D26">
        <w:rPr>
          <w:rFonts w:eastAsia="Times New Roman" w:cs="Times New Roman"/>
          <w:lang w:eastAsia="de-DE"/>
        </w:rPr>
        <w:t xml:space="preserve">, „und sie blickt hinab/hinüber") ist entweder Fortsetzung der Beschreibung des Tals oder bezieht sich auf </w:t>
      </w:r>
      <w:r w:rsidRPr="000F1D26">
        <w:rPr>
          <w:rFonts w:eastAsia="Times New Roman" w:cs="Times New Roman"/>
          <w:b/>
          <w:bCs/>
          <w:rtl/>
          <w:lang w:eastAsia="de-DE"/>
        </w:rPr>
        <w:t>פִּסְגָּה</w:t>
      </w:r>
      <w:r w:rsidRPr="000F1D26">
        <w:rPr>
          <w:rFonts w:eastAsia="Times New Roman" w:cs="Times New Roman"/>
          <w:lang w:eastAsia="de-DE"/>
        </w:rPr>
        <w:t xml:space="preserve">. </w:t>
      </w:r>
      <w:r w:rsidRPr="000F1D26">
        <w:rPr>
          <w:rFonts w:eastAsia="Times New Roman" w:cs="Times New Roman"/>
          <w:b/>
          <w:bCs/>
          <w:rtl/>
          <w:lang w:eastAsia="de-DE"/>
        </w:rPr>
        <w:t>עַל־פְּנֵי הַיְשִׁימֹן</w:t>
      </w:r>
      <w:r w:rsidRPr="000F1D26">
        <w:rPr>
          <w:rFonts w:eastAsia="Times New Roman" w:cs="Times New Roman"/>
          <w:rtl/>
          <w:lang w:eastAsia="de-DE"/>
        </w:rPr>
        <w:t xml:space="preserve"> </w:t>
      </w:r>
      <w:r w:rsidRPr="000F1D26">
        <w:rPr>
          <w:rFonts w:eastAsia="Times New Roman" w:cs="Times New Roman"/>
          <w:lang w:eastAsia="de-DE"/>
        </w:rPr>
        <w:t xml:space="preserve">(„auf das Angesicht der Wildnis") – </w:t>
      </w:r>
      <w:r w:rsidRPr="000F1D26">
        <w:rPr>
          <w:rFonts w:eastAsia="Times New Roman" w:cs="Times New Roman"/>
          <w:b/>
          <w:bCs/>
          <w:rtl/>
          <w:lang w:eastAsia="de-DE"/>
        </w:rPr>
        <w:t>יְשִׁימוֹן</w:t>
      </w:r>
      <w:r w:rsidRPr="000F1D26">
        <w:rPr>
          <w:rFonts w:eastAsia="Times New Roman" w:cs="Times New Roman"/>
          <w:rtl/>
          <w:lang w:eastAsia="de-DE"/>
        </w:rPr>
        <w:t xml:space="preserve"> </w:t>
      </w:r>
      <w:r w:rsidRPr="000F1D26">
        <w:rPr>
          <w:rFonts w:eastAsia="Times New Roman" w:cs="Times New Roman"/>
          <w:lang w:eastAsia="de-DE"/>
        </w:rPr>
        <w:t>„Wüste, Einöde" mit Artikel, bezeichnet die Wüste östlich des Toten Meeres.</w:t>
      </w:r>
    </w:p>
    <w:p w14:paraId="29165D6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transkribiert die Ortsnamen und folgt ansonsten dem hebräischen Text.</w:t>
      </w:r>
    </w:p>
    <w:p w14:paraId="5A0A3BD7" w14:textId="46E1765C"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Satzstruktur von Vers 19 zeigt zwei koordinierte präpositionale Phrasen ohne Verb – elliptisch für „und sie brachen auf von... und lagerten in...". Vers 20 hat eine präpositionale Phrase, erweitert durch einen Relativsatz, eine weitere Ortsangabe (Constructus-Verbindung) und eine partizipiale </w:t>
      </w:r>
      <w:r w:rsidR="00F133EC">
        <w:rPr>
          <w:rFonts w:eastAsia="Times New Roman" w:cs="Times New Roman"/>
          <w:lang w:eastAsia="de-DE"/>
        </w:rPr>
        <w:t>Construct</w:t>
      </w:r>
      <w:r w:rsidRPr="000F1D26">
        <w:rPr>
          <w:rFonts w:eastAsia="Times New Roman" w:cs="Times New Roman"/>
          <w:lang w:eastAsia="de-DE"/>
        </w:rPr>
        <w:t>ion mit Präpositionalphrase. Insgesamt gibt es einen Nebensatz (Relativsatz).</w:t>
      </w:r>
    </w:p>
    <w:p w14:paraId="55A697D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Diese Verse dokumentieren den Weg nach Norden entlang der Ostseite Moabs. Israel nähert sich nun dem Gebiet, wo es zum ersten Mal feindliches Territorium erobern wird – nicht Moab selbst, sondern das von Amoritern eroberte Gebiet nördlich des Arnon.</w:t>
      </w:r>
    </w:p>
    <w:p w14:paraId="731D2E02"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21,21</w:t>
      </w:r>
    </w:p>
    <w:p w14:paraId="417B076D"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וַיִּשְׁלַ֤ח יִשְׂרָאֵל֙ מַלְאָכִ֔ים אֶל־סִיחֹ֥ן מֶֽלֶךְ־הָאֱמֹרִ֖י לֵאמֹֽר׃</w:t>
      </w:r>
    </w:p>
    <w:p w14:paraId="27D8AE73"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Israel sandte Boten zu Sichon, dem König der Amoriter, und ließ ihm sagen:</w:t>
      </w:r>
    </w:p>
    <w:p w14:paraId="3EA9410D"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32AFF596">
          <v:rect id="_x0000_i1747" style="width:0;height:1.5pt" o:hralign="center" o:hrstd="t" o:hr="t" fillcolor="#a0a0a0" stroked="f"/>
        </w:pict>
      </w:r>
    </w:p>
    <w:p w14:paraId="7E31704D"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Das Verb </w:t>
      </w:r>
      <w:r w:rsidRPr="000F1D26">
        <w:rPr>
          <w:rFonts w:eastAsia="Times New Roman" w:cs="Times New Roman"/>
          <w:b/>
          <w:bCs/>
          <w:rtl/>
          <w:lang w:eastAsia="de-DE"/>
        </w:rPr>
        <w:t>וַיִּשְׁלַח</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שׁלח</w:t>
      </w:r>
      <w:r w:rsidRPr="000F1D26">
        <w:rPr>
          <w:rFonts w:eastAsia="Times New Roman" w:cs="Times New Roman"/>
          <w:lang w:eastAsia="de-DE"/>
        </w:rPr>
        <w:t xml:space="preserve">, „und er sandte"). Das Subjekt </w:t>
      </w:r>
      <w:r w:rsidRPr="000F1D26">
        <w:rPr>
          <w:rFonts w:eastAsia="Times New Roman" w:cs="Times New Roman"/>
          <w:b/>
          <w:bCs/>
          <w:rtl/>
          <w:lang w:eastAsia="de-DE"/>
        </w:rPr>
        <w:t>יִשְׂרָאֵל</w:t>
      </w:r>
      <w:r w:rsidRPr="000F1D26">
        <w:rPr>
          <w:rFonts w:eastAsia="Times New Roman" w:cs="Times New Roman"/>
          <w:rtl/>
          <w:lang w:eastAsia="de-DE"/>
        </w:rPr>
        <w:t xml:space="preserve"> </w:t>
      </w:r>
      <w:r w:rsidRPr="000F1D26">
        <w:rPr>
          <w:rFonts w:eastAsia="Times New Roman" w:cs="Times New Roman"/>
          <w:lang w:eastAsia="de-DE"/>
        </w:rPr>
        <w:t xml:space="preserve">wird explizit genannt. Das Objekt </w:t>
      </w:r>
      <w:r w:rsidRPr="000F1D26">
        <w:rPr>
          <w:rFonts w:eastAsia="Times New Roman" w:cs="Times New Roman"/>
          <w:b/>
          <w:bCs/>
          <w:rtl/>
          <w:lang w:eastAsia="de-DE"/>
        </w:rPr>
        <w:t>מַלְאָכִים</w:t>
      </w:r>
      <w:r w:rsidRPr="000F1D26">
        <w:rPr>
          <w:rFonts w:eastAsia="Times New Roman" w:cs="Times New Roman"/>
          <w:rtl/>
          <w:lang w:eastAsia="de-DE"/>
        </w:rPr>
        <w:t xml:space="preserve"> </w:t>
      </w:r>
      <w:r w:rsidRPr="000F1D26">
        <w:rPr>
          <w:rFonts w:eastAsia="Times New Roman" w:cs="Times New Roman"/>
          <w:lang w:eastAsia="de-DE"/>
        </w:rPr>
        <w:t xml:space="preserve">(„Boten") Plural. Die Adressatenangabe </w:t>
      </w:r>
      <w:r w:rsidRPr="000F1D26">
        <w:rPr>
          <w:rFonts w:eastAsia="Times New Roman" w:cs="Times New Roman"/>
          <w:b/>
          <w:bCs/>
          <w:rtl/>
          <w:lang w:eastAsia="de-DE"/>
        </w:rPr>
        <w:t>אֶל־</w:t>
      </w:r>
      <w:r w:rsidRPr="000F1D26">
        <w:rPr>
          <w:rFonts w:eastAsia="Times New Roman" w:cs="Times New Roman"/>
          <w:b/>
          <w:bCs/>
          <w:rtl/>
          <w:lang w:eastAsia="de-DE"/>
        </w:rPr>
        <w:lastRenderedPageBreak/>
        <w:t>סִיחֹן מֶלֶךְ־הָאֱמֹרִי</w:t>
      </w:r>
      <w:r w:rsidRPr="000F1D26">
        <w:rPr>
          <w:rFonts w:eastAsia="Times New Roman" w:cs="Times New Roman"/>
          <w:rtl/>
          <w:lang w:eastAsia="de-DE"/>
        </w:rPr>
        <w:t xml:space="preserve"> </w:t>
      </w:r>
      <w:r w:rsidRPr="000F1D26">
        <w:rPr>
          <w:rFonts w:eastAsia="Times New Roman" w:cs="Times New Roman"/>
          <w:lang w:eastAsia="de-DE"/>
        </w:rPr>
        <w:t xml:space="preserve">(„zu Sichon, dem König der Amoriter") – </w:t>
      </w:r>
      <w:r w:rsidRPr="000F1D26">
        <w:rPr>
          <w:rFonts w:eastAsia="Times New Roman" w:cs="Times New Roman"/>
          <w:b/>
          <w:bCs/>
          <w:rtl/>
          <w:lang w:eastAsia="de-DE"/>
        </w:rPr>
        <w:t>סִיחֹן</w:t>
      </w:r>
      <w:r w:rsidRPr="000F1D26">
        <w:rPr>
          <w:rFonts w:eastAsia="Times New Roman" w:cs="Times New Roman"/>
          <w:rtl/>
          <w:lang w:eastAsia="de-DE"/>
        </w:rPr>
        <w:t xml:space="preserve"> </w:t>
      </w:r>
      <w:r w:rsidRPr="000F1D26">
        <w:rPr>
          <w:rFonts w:eastAsia="Times New Roman" w:cs="Times New Roman"/>
          <w:lang w:eastAsia="de-DE"/>
        </w:rPr>
        <w:t xml:space="preserve">ist der Name, </w:t>
      </w:r>
      <w:r w:rsidRPr="000F1D26">
        <w:rPr>
          <w:rFonts w:eastAsia="Times New Roman" w:cs="Times New Roman"/>
          <w:b/>
          <w:bCs/>
          <w:rtl/>
          <w:lang w:eastAsia="de-DE"/>
        </w:rPr>
        <w:t>מֶלֶךְ־הָאֱמֹרִי</w:t>
      </w:r>
      <w:r w:rsidRPr="000F1D26">
        <w:rPr>
          <w:rFonts w:eastAsia="Times New Roman" w:cs="Times New Roman"/>
          <w:rtl/>
          <w:lang w:eastAsia="de-DE"/>
        </w:rPr>
        <w:t xml:space="preserve"> </w:t>
      </w:r>
      <w:r w:rsidRPr="000F1D26">
        <w:rPr>
          <w:rFonts w:eastAsia="Times New Roman" w:cs="Times New Roman"/>
          <w:lang w:eastAsia="de-DE"/>
        </w:rPr>
        <w:t xml:space="preserve">(„König der Amoriter", Constructus-Verbindung mit Gentilic) ist Apposition. </w:t>
      </w:r>
      <w:r w:rsidRPr="000F1D26">
        <w:rPr>
          <w:rFonts w:eastAsia="Times New Roman" w:cs="Times New Roman"/>
          <w:b/>
          <w:bCs/>
          <w:rtl/>
          <w:lang w:eastAsia="de-DE"/>
        </w:rPr>
        <w:t>לֵאמֹר</w:t>
      </w:r>
      <w:r w:rsidRPr="000F1D26">
        <w:rPr>
          <w:rFonts w:eastAsia="Times New Roman" w:cs="Times New Roman"/>
          <w:rtl/>
          <w:lang w:eastAsia="de-DE"/>
        </w:rPr>
        <w:t xml:space="preserve"> </w:t>
      </w:r>
      <w:r w:rsidRPr="000F1D26">
        <w:rPr>
          <w:rFonts w:eastAsia="Times New Roman" w:cs="Times New Roman"/>
          <w:lang w:eastAsia="de-DE"/>
        </w:rPr>
        <w:t>ist die stereotype Redeeinleitungsformel.</w:t>
      </w:r>
    </w:p>
    <w:p w14:paraId="49AE3F5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Szene wiederholt die Situation mit Edom (Kap. 20,14), aber mit einem anderen Ausgang. Sichon kontrolliert das Gebiet nördlich des Arnon, das ursprünglich moabitisch war, aber von den Amoritern erobert wurde (siehe Vers 26).</w:t>
      </w:r>
    </w:p>
    <w:p w14:paraId="3CC0F919" w14:textId="34FFFB43"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w:t>
      </w:r>
      <w:r w:rsidR="00C303D4">
        <w:t>fügt „λόγοις εἰρηνικοῖς" (mit friedlichen Worten) hinzu, was im hebräischen Text nicht explizit erscheint.</w:t>
      </w:r>
    </w:p>
    <w:p w14:paraId="5220FDA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einen Hauptsatz mit Verb, Subjekt, Objekt, Präpositionalphrase (mit Apposition als Constructus-Verbindung) und Redeeinleitung (Infinitiv construct). Es gibt keine Nebensätze.</w:t>
      </w:r>
    </w:p>
    <w:p w14:paraId="56B0247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leitet eine diplomatische Anfrage ein – wie bei Edom, aber diesmal wird die Ablehnung zu Krieg und Eroberung führen.</w:t>
      </w:r>
    </w:p>
    <w:p w14:paraId="3E73F4E6"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21,22</w:t>
      </w:r>
    </w:p>
    <w:p w14:paraId="0186E537"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אֶעְבְּרָ֣ה בְאַרְצֶ֗ךָ לֹ֤א נִטֶּה֙ בְּשָׂדֶ֣ה וּבְכֶ֔רֶם לֹ֥א נִשְׁתֶּ֖ה מֵ֣י בְאֵ֑ר בְּדֶ֤רֶךְ הַמֶּ֨לֶךְ֙ נֵלֵ֔ךְ עַ֥ד אֲשֶֽׁר־נַעֲבֹ֖ר גְּבֻלֶֽךָ׃</w:t>
      </w:r>
    </w:p>
    <w:p w14:paraId="2F14114D"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Lass mich durch dein Land ziehen. Wir werden nicht auf die Felder oder in die Weinberge abbiegen, wir werden kein Wasser aus den Brunnen trinken. Auf der Königsstraße werden wir gehen, bis wir dein Gebiet durchzogen haben.</w:t>
      </w:r>
    </w:p>
    <w:p w14:paraId="2FE871CB"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236D38C9">
          <v:rect id="_x0000_i1748" style="width:0;height:1.5pt" o:hralign="center" o:hrstd="t" o:hr="t" fillcolor="#a0a0a0" stroked="f"/>
        </w:pict>
      </w:r>
    </w:p>
    <w:p w14:paraId="03624E4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Der Kohortativ </w:t>
      </w:r>
      <w:r w:rsidRPr="000F1D26">
        <w:rPr>
          <w:rFonts w:eastAsia="Times New Roman" w:cs="Times New Roman"/>
          <w:b/>
          <w:bCs/>
          <w:rtl/>
          <w:lang w:eastAsia="de-DE"/>
        </w:rPr>
        <w:t>אֶעְבְּרָה בְאַרְצֶךָ</w:t>
      </w:r>
      <w:r w:rsidRPr="000F1D26">
        <w:rPr>
          <w:rFonts w:eastAsia="Times New Roman" w:cs="Times New Roman"/>
          <w:rtl/>
          <w:lang w:eastAsia="de-DE"/>
        </w:rPr>
        <w:t xml:space="preserve"> </w:t>
      </w:r>
      <w:r w:rsidRPr="000F1D26">
        <w:rPr>
          <w:rFonts w:eastAsia="Times New Roman" w:cs="Times New Roman"/>
          <w:lang w:eastAsia="de-DE"/>
        </w:rPr>
        <w:t xml:space="preserve">(Qal Kohortativ, 1. c. sg. von </w:t>
      </w:r>
      <w:r w:rsidRPr="000F1D26">
        <w:rPr>
          <w:rFonts w:eastAsia="Times New Roman" w:cs="Times New Roman"/>
          <w:b/>
          <w:bCs/>
          <w:rtl/>
          <w:lang w:eastAsia="de-DE"/>
        </w:rPr>
        <w:t>עבר</w:t>
      </w:r>
      <w:r w:rsidRPr="000F1D26">
        <w:rPr>
          <w:rFonts w:eastAsia="Times New Roman" w:cs="Times New Roman"/>
          <w:lang w:eastAsia="de-DE"/>
        </w:rPr>
        <w:t xml:space="preserve">, „lass mich durchziehen", plus </w:t>
      </w:r>
      <w:r w:rsidRPr="000F1D26">
        <w:rPr>
          <w:rFonts w:eastAsia="Times New Roman" w:cs="Times New Roman"/>
          <w:b/>
          <w:bCs/>
          <w:rtl/>
          <w:lang w:eastAsia="de-DE"/>
        </w:rPr>
        <w:t>בְאַרְצֶךָ</w:t>
      </w:r>
      <w:r w:rsidRPr="000F1D26">
        <w:rPr>
          <w:rFonts w:eastAsia="Times New Roman" w:cs="Times New Roman"/>
          <w:rtl/>
          <w:lang w:eastAsia="de-DE"/>
        </w:rPr>
        <w:t xml:space="preserve"> </w:t>
      </w:r>
      <w:r w:rsidRPr="000F1D26">
        <w:rPr>
          <w:rFonts w:eastAsia="Times New Roman" w:cs="Times New Roman"/>
          <w:lang w:eastAsia="de-DE"/>
        </w:rPr>
        <w:t>„durch dein Land" mit Possessivsuffix 2. m. sg.) ist die höfliche Bitte.</w:t>
      </w:r>
    </w:p>
    <w:p w14:paraId="6D61CD9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dreifache Zusicherung wiederholt fast wörtlich die Anfrage an Edom (20,17): </w:t>
      </w:r>
      <w:r w:rsidRPr="000F1D26">
        <w:rPr>
          <w:rFonts w:eastAsia="Times New Roman" w:cs="Times New Roman"/>
          <w:b/>
          <w:bCs/>
          <w:rtl/>
          <w:lang w:eastAsia="de-DE"/>
        </w:rPr>
        <w:t>לֹא נִטֶּה בְּשָׂדֶה וּבְכֶרֶם</w:t>
      </w:r>
      <w:r w:rsidRPr="000F1D26">
        <w:rPr>
          <w:rFonts w:eastAsia="Times New Roman" w:cs="Times New Roman"/>
          <w:rtl/>
          <w:lang w:eastAsia="de-DE"/>
        </w:rPr>
        <w:t xml:space="preserve"> </w:t>
      </w:r>
      <w:r w:rsidRPr="000F1D26">
        <w:rPr>
          <w:rFonts w:eastAsia="Times New Roman" w:cs="Times New Roman"/>
          <w:lang w:eastAsia="de-DE"/>
        </w:rPr>
        <w:t xml:space="preserve">(„wir werden nicht abbiegen in Feld und Weinberg") – </w:t>
      </w:r>
      <w:r w:rsidRPr="000F1D26">
        <w:rPr>
          <w:rFonts w:eastAsia="Times New Roman" w:cs="Times New Roman"/>
          <w:b/>
          <w:bCs/>
          <w:rtl/>
          <w:lang w:eastAsia="de-DE"/>
        </w:rPr>
        <w:t>נִטֶּה</w:t>
      </w:r>
      <w:r w:rsidRPr="000F1D26">
        <w:rPr>
          <w:rFonts w:eastAsia="Times New Roman" w:cs="Times New Roman"/>
          <w:rtl/>
          <w:lang w:eastAsia="de-DE"/>
        </w:rPr>
        <w:t xml:space="preserve"> </w:t>
      </w:r>
      <w:r w:rsidRPr="000F1D26">
        <w:rPr>
          <w:rFonts w:eastAsia="Times New Roman" w:cs="Times New Roman"/>
          <w:lang w:eastAsia="de-DE"/>
        </w:rPr>
        <w:t xml:space="preserve">(Qal Imperfekt, 1. c. pl. von </w:t>
      </w:r>
      <w:r w:rsidRPr="000F1D26">
        <w:rPr>
          <w:rFonts w:eastAsia="Times New Roman" w:cs="Times New Roman"/>
          <w:b/>
          <w:bCs/>
          <w:rtl/>
          <w:lang w:eastAsia="de-DE"/>
        </w:rPr>
        <w:t>נטה</w:t>
      </w:r>
      <w:r w:rsidRPr="000F1D26">
        <w:rPr>
          <w:rFonts w:eastAsia="Times New Roman" w:cs="Times New Roman"/>
          <w:lang w:eastAsia="de-DE"/>
        </w:rPr>
        <w:t xml:space="preserve">, „wir werden abbiegen"), </w:t>
      </w:r>
      <w:r w:rsidRPr="000F1D26">
        <w:rPr>
          <w:rFonts w:eastAsia="Times New Roman" w:cs="Times New Roman"/>
          <w:b/>
          <w:bCs/>
          <w:rtl/>
          <w:lang w:eastAsia="de-DE"/>
        </w:rPr>
        <w:t>לֹא נִשְׁתֶּה מֵי בְאֵר</w:t>
      </w:r>
      <w:r w:rsidRPr="000F1D26">
        <w:rPr>
          <w:rFonts w:eastAsia="Times New Roman" w:cs="Times New Roman"/>
          <w:rtl/>
          <w:lang w:eastAsia="de-DE"/>
        </w:rPr>
        <w:t xml:space="preserve"> </w:t>
      </w:r>
      <w:r w:rsidRPr="000F1D26">
        <w:rPr>
          <w:rFonts w:eastAsia="Times New Roman" w:cs="Times New Roman"/>
          <w:lang w:eastAsia="de-DE"/>
        </w:rPr>
        <w:t>(„wir werden nicht trinken Brunnenwasser", Constructus-Verbindung).</w:t>
      </w:r>
    </w:p>
    <w:p w14:paraId="5C1959E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Versicherung </w:t>
      </w:r>
      <w:r w:rsidRPr="000F1D26">
        <w:rPr>
          <w:rFonts w:eastAsia="Times New Roman" w:cs="Times New Roman"/>
          <w:b/>
          <w:bCs/>
          <w:rtl/>
          <w:lang w:eastAsia="de-DE"/>
        </w:rPr>
        <w:t>בְּדֶרֶךְ הַמֶּלֶךְ נֵלֵךְ</w:t>
      </w:r>
      <w:r w:rsidRPr="000F1D26">
        <w:rPr>
          <w:rFonts w:eastAsia="Times New Roman" w:cs="Times New Roman"/>
          <w:rtl/>
          <w:lang w:eastAsia="de-DE"/>
        </w:rPr>
        <w:t xml:space="preserve"> </w:t>
      </w:r>
      <w:r w:rsidRPr="000F1D26">
        <w:rPr>
          <w:rFonts w:eastAsia="Times New Roman" w:cs="Times New Roman"/>
          <w:lang w:eastAsia="de-DE"/>
        </w:rPr>
        <w:t xml:space="preserve">(„auf der Königsstraße werden wir gehen") – </w:t>
      </w:r>
      <w:r w:rsidRPr="000F1D26">
        <w:rPr>
          <w:rFonts w:eastAsia="Times New Roman" w:cs="Times New Roman"/>
          <w:b/>
          <w:bCs/>
          <w:rtl/>
          <w:lang w:eastAsia="de-DE"/>
        </w:rPr>
        <w:t>דֶּרֶךְ הַמֶּלֶךְ</w:t>
      </w:r>
      <w:r w:rsidRPr="000F1D26">
        <w:rPr>
          <w:rFonts w:eastAsia="Times New Roman" w:cs="Times New Roman"/>
          <w:rtl/>
          <w:lang w:eastAsia="de-DE"/>
        </w:rPr>
        <w:t xml:space="preserve"> </w:t>
      </w:r>
      <w:r w:rsidRPr="000F1D26">
        <w:rPr>
          <w:rFonts w:eastAsia="Times New Roman" w:cs="Times New Roman"/>
          <w:lang w:eastAsia="de-DE"/>
        </w:rPr>
        <w:t xml:space="preserve">ist die Haupthandelsroute (die Via Regia). Der temporale Satz </w:t>
      </w:r>
      <w:r w:rsidRPr="000F1D26">
        <w:rPr>
          <w:rFonts w:eastAsia="Times New Roman" w:cs="Times New Roman"/>
          <w:b/>
          <w:bCs/>
          <w:rtl/>
          <w:lang w:eastAsia="de-DE"/>
        </w:rPr>
        <w:t>עַד אֲשֶׁר־נַעֲבֹר גְּבֻלֶךָ</w:t>
      </w:r>
      <w:r w:rsidRPr="000F1D26">
        <w:rPr>
          <w:rFonts w:eastAsia="Times New Roman" w:cs="Times New Roman"/>
          <w:rtl/>
          <w:lang w:eastAsia="de-DE"/>
        </w:rPr>
        <w:t xml:space="preserve"> </w:t>
      </w:r>
      <w:r w:rsidRPr="000F1D26">
        <w:rPr>
          <w:rFonts w:eastAsia="Times New Roman" w:cs="Times New Roman"/>
          <w:lang w:eastAsia="de-DE"/>
        </w:rPr>
        <w:t xml:space="preserve">(„bis wir durchziehen dein Gebiet") – </w:t>
      </w:r>
      <w:r w:rsidRPr="000F1D26">
        <w:rPr>
          <w:rFonts w:eastAsia="Times New Roman" w:cs="Times New Roman"/>
          <w:b/>
          <w:bCs/>
          <w:rtl/>
          <w:lang w:eastAsia="de-DE"/>
        </w:rPr>
        <w:t>עַד אֲשֶׁר</w:t>
      </w:r>
      <w:r w:rsidRPr="000F1D26">
        <w:rPr>
          <w:rFonts w:eastAsia="Times New Roman" w:cs="Times New Roman"/>
          <w:rtl/>
          <w:lang w:eastAsia="de-DE"/>
        </w:rPr>
        <w:t xml:space="preserve"> </w:t>
      </w:r>
      <w:r w:rsidRPr="000F1D26">
        <w:rPr>
          <w:rFonts w:eastAsia="Times New Roman" w:cs="Times New Roman"/>
          <w:lang w:eastAsia="de-DE"/>
        </w:rPr>
        <w:t xml:space="preserve">„bis dass", </w:t>
      </w:r>
      <w:r w:rsidRPr="000F1D26">
        <w:rPr>
          <w:rFonts w:eastAsia="Times New Roman" w:cs="Times New Roman"/>
          <w:b/>
          <w:bCs/>
          <w:rtl/>
          <w:lang w:eastAsia="de-DE"/>
        </w:rPr>
        <w:t>נַעֲבֹר</w:t>
      </w:r>
      <w:r w:rsidRPr="000F1D26">
        <w:rPr>
          <w:rFonts w:eastAsia="Times New Roman" w:cs="Times New Roman"/>
          <w:rtl/>
          <w:lang w:eastAsia="de-DE"/>
        </w:rPr>
        <w:t xml:space="preserve"> </w:t>
      </w:r>
      <w:r w:rsidRPr="000F1D26">
        <w:rPr>
          <w:rFonts w:eastAsia="Times New Roman" w:cs="Times New Roman"/>
          <w:lang w:eastAsia="de-DE"/>
        </w:rPr>
        <w:t xml:space="preserve">(Qal Imperfekt, 1. c. pl. von </w:t>
      </w:r>
      <w:r w:rsidRPr="000F1D26">
        <w:rPr>
          <w:rFonts w:eastAsia="Times New Roman" w:cs="Times New Roman"/>
          <w:b/>
          <w:bCs/>
          <w:rtl/>
          <w:lang w:eastAsia="de-DE"/>
        </w:rPr>
        <w:t>עבר</w:t>
      </w:r>
      <w:r w:rsidRPr="000F1D26">
        <w:rPr>
          <w:rFonts w:eastAsia="Times New Roman" w:cs="Times New Roman"/>
          <w:lang w:eastAsia="de-DE"/>
        </w:rPr>
        <w:t xml:space="preserve">), </w:t>
      </w:r>
      <w:r w:rsidRPr="000F1D26">
        <w:rPr>
          <w:rFonts w:eastAsia="Times New Roman" w:cs="Times New Roman"/>
          <w:b/>
          <w:bCs/>
          <w:rtl/>
          <w:lang w:eastAsia="de-DE"/>
        </w:rPr>
        <w:t>גְּבֻלֶךָ</w:t>
      </w:r>
      <w:r w:rsidRPr="000F1D26">
        <w:rPr>
          <w:rFonts w:eastAsia="Times New Roman" w:cs="Times New Roman"/>
          <w:rtl/>
          <w:lang w:eastAsia="de-DE"/>
        </w:rPr>
        <w:t xml:space="preserve"> </w:t>
      </w:r>
      <w:r w:rsidRPr="000F1D26">
        <w:rPr>
          <w:rFonts w:eastAsia="Times New Roman" w:cs="Times New Roman"/>
          <w:lang w:eastAsia="de-DE"/>
        </w:rPr>
        <w:t>mit Possessivsuffix 2. m. sg.</w:t>
      </w:r>
    </w:p>
    <w:p w14:paraId="539C04E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folgt dem hebräischen Text.</w:t>
      </w:r>
    </w:p>
    <w:p w14:paraId="23752561"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fünf koordinierte bzw. subordinierte Sätze: Ein Kohortativ-Hauptsatz mit Präpositionalphrase, zwei negative Imperfekt-Sätze (mit Präpositionalphrase bzw. Objekt als Constructus-Verbindung), ein positiver Hauptsatz mit Präpositionalphrase und Verb, und ein temporaler Nebensatz mit Verb und Objekt. Insgesamt gibt es einen Nebensatz (Temporalsatz).</w:t>
      </w:r>
    </w:p>
    <w:p w14:paraId="6027BFB2"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lastRenderedPageBreak/>
        <w:t>Der Vers ist identisch mit der Edom-Anfrage – maximale Höflichkeit, minimale Forderungen. Aber Sichons Antwort wird anders sein.</w:t>
      </w:r>
    </w:p>
    <w:p w14:paraId="6FF1F81D"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21,23</w:t>
      </w:r>
    </w:p>
    <w:p w14:paraId="30C85251"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וְלֹא־נָתַ֨ן סִיחֹ֣ן אֶת־יִשְׂרָאֵל֮ עֲבֹ֣ר בִּגְבֻלוֹ֒ וַיֶּאֱסֹ֨ף סִיחֹ֜ן אֶת־כָּל־עַמֹּ֗ו וַיֵּצֵ֞א לִקְרַ֤את יִשְׂרָאֵל֙ הַמִּדְבָּ֔רָה וַיָּבֹ֖א יָ֑הְצָה וַיִּלָּ֖חֶם בְּיִשְׂרָאֵֽל׃</w:t>
      </w:r>
    </w:p>
    <w:p w14:paraId="100AC8E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Aber Sichon gestattete Israel nicht, durch sein Gebiet zu ziehen. Und Sichon versammelte sein ganzes Volk und zog aus, Israel entgegen in die Wüste. Und er kam nach Jahaz und kämpfte gegen Israel.</w:t>
      </w:r>
    </w:p>
    <w:p w14:paraId="08CA8A89"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302840D3">
          <v:rect id="_x0000_i1749" style="width:0;height:1.5pt" o:hralign="center" o:hrstd="t" o:hr="t" fillcolor="#a0a0a0" stroked="f"/>
        </w:pict>
      </w:r>
    </w:p>
    <w:p w14:paraId="5D314ED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Die Ablehnung </w:t>
      </w:r>
      <w:r w:rsidRPr="000F1D26">
        <w:rPr>
          <w:rFonts w:eastAsia="Times New Roman" w:cs="Times New Roman"/>
          <w:b/>
          <w:bCs/>
          <w:rtl/>
          <w:lang w:eastAsia="de-DE"/>
        </w:rPr>
        <w:t>וְלֹא־נָתַן סִיחֹן אֶת־יִשְׂרָאֵל עֲבֹר בִּגְבֻלוֹ</w:t>
      </w:r>
      <w:r w:rsidRPr="000F1D26">
        <w:rPr>
          <w:rFonts w:eastAsia="Times New Roman" w:cs="Times New Roman"/>
          <w:rtl/>
          <w:lang w:eastAsia="de-DE"/>
        </w:rPr>
        <w:t xml:space="preserve"> </w:t>
      </w:r>
      <w:r w:rsidRPr="000F1D26">
        <w:rPr>
          <w:rFonts w:eastAsia="Times New Roman" w:cs="Times New Roman"/>
          <w:lang w:eastAsia="de-DE"/>
        </w:rPr>
        <w:t xml:space="preserve">(„und Sichon gestattete Israel nicht, durch sein Gebiet zu ziehen") – </w:t>
      </w:r>
      <w:r w:rsidRPr="000F1D26">
        <w:rPr>
          <w:rFonts w:eastAsia="Times New Roman" w:cs="Times New Roman"/>
          <w:b/>
          <w:bCs/>
          <w:rtl/>
          <w:lang w:eastAsia="de-DE"/>
        </w:rPr>
        <w:t>וְלֹא־נָתַן</w:t>
      </w:r>
      <w:r w:rsidRPr="000F1D26">
        <w:rPr>
          <w:rFonts w:eastAsia="Times New Roman" w:cs="Times New Roman"/>
          <w:rtl/>
          <w:lang w:eastAsia="de-DE"/>
        </w:rPr>
        <w:t xml:space="preserve"> </w:t>
      </w:r>
      <w:r w:rsidRPr="000F1D26">
        <w:rPr>
          <w:rFonts w:eastAsia="Times New Roman" w:cs="Times New Roman"/>
          <w:lang w:eastAsia="de-DE"/>
        </w:rPr>
        <w:t xml:space="preserve">(Waw + Negation + Qal Perfekt, 3. m. sg. von </w:t>
      </w:r>
      <w:r w:rsidRPr="000F1D26">
        <w:rPr>
          <w:rFonts w:eastAsia="Times New Roman" w:cs="Times New Roman"/>
          <w:b/>
          <w:bCs/>
          <w:rtl/>
          <w:lang w:eastAsia="de-DE"/>
        </w:rPr>
        <w:t>נתן</w:t>
      </w:r>
      <w:r w:rsidRPr="000F1D26">
        <w:rPr>
          <w:rFonts w:eastAsia="Times New Roman" w:cs="Times New Roman"/>
          <w:lang w:eastAsia="de-DE"/>
        </w:rPr>
        <w:t xml:space="preserve">, „und er gab nicht, gestattete nicht"), </w:t>
      </w:r>
      <w:r w:rsidRPr="000F1D26">
        <w:rPr>
          <w:rFonts w:eastAsia="Times New Roman" w:cs="Times New Roman"/>
          <w:b/>
          <w:bCs/>
          <w:rtl/>
          <w:lang w:eastAsia="de-DE"/>
        </w:rPr>
        <w:t>סִיחֹן</w:t>
      </w:r>
      <w:r w:rsidRPr="000F1D26">
        <w:rPr>
          <w:rFonts w:eastAsia="Times New Roman" w:cs="Times New Roman"/>
          <w:rtl/>
          <w:lang w:eastAsia="de-DE"/>
        </w:rPr>
        <w:t xml:space="preserve"> </w:t>
      </w:r>
      <w:r w:rsidRPr="000F1D26">
        <w:rPr>
          <w:rFonts w:eastAsia="Times New Roman" w:cs="Times New Roman"/>
          <w:lang w:eastAsia="de-DE"/>
        </w:rPr>
        <w:t xml:space="preserve">Subjekt, </w:t>
      </w:r>
      <w:r w:rsidRPr="000F1D26">
        <w:rPr>
          <w:rFonts w:eastAsia="Times New Roman" w:cs="Times New Roman"/>
          <w:b/>
          <w:bCs/>
          <w:rtl/>
          <w:lang w:eastAsia="de-DE"/>
        </w:rPr>
        <w:t>אֶת־יִשְׂרָאֵל</w:t>
      </w:r>
      <w:r w:rsidRPr="000F1D26">
        <w:rPr>
          <w:rFonts w:eastAsia="Times New Roman" w:cs="Times New Roman"/>
          <w:rtl/>
          <w:lang w:eastAsia="de-DE"/>
        </w:rPr>
        <w:t xml:space="preserve"> </w:t>
      </w:r>
      <w:r w:rsidRPr="000F1D26">
        <w:rPr>
          <w:rFonts w:eastAsia="Times New Roman" w:cs="Times New Roman"/>
          <w:lang w:eastAsia="de-DE"/>
        </w:rPr>
        <w:t xml:space="preserve">direktes Objekt, </w:t>
      </w:r>
      <w:r w:rsidRPr="000F1D26">
        <w:rPr>
          <w:rFonts w:eastAsia="Times New Roman" w:cs="Times New Roman"/>
          <w:b/>
          <w:bCs/>
          <w:rtl/>
          <w:lang w:eastAsia="de-DE"/>
        </w:rPr>
        <w:t>עֲבֹר</w:t>
      </w:r>
      <w:r w:rsidRPr="000F1D26">
        <w:rPr>
          <w:rFonts w:eastAsia="Times New Roman" w:cs="Times New Roman"/>
          <w:rtl/>
          <w:lang w:eastAsia="de-DE"/>
        </w:rPr>
        <w:t xml:space="preserve"> </w:t>
      </w:r>
      <w:r w:rsidRPr="000F1D26">
        <w:rPr>
          <w:rFonts w:eastAsia="Times New Roman" w:cs="Times New Roman"/>
          <w:lang w:eastAsia="de-DE"/>
        </w:rPr>
        <w:t xml:space="preserve">(Qal Infinitiv construct von </w:t>
      </w:r>
      <w:r w:rsidRPr="000F1D26">
        <w:rPr>
          <w:rFonts w:eastAsia="Times New Roman" w:cs="Times New Roman"/>
          <w:b/>
          <w:bCs/>
          <w:rtl/>
          <w:lang w:eastAsia="de-DE"/>
        </w:rPr>
        <w:t>עבר</w:t>
      </w:r>
      <w:r w:rsidRPr="000F1D26">
        <w:rPr>
          <w:rFonts w:eastAsia="Times New Roman" w:cs="Times New Roman"/>
          <w:lang w:eastAsia="de-DE"/>
        </w:rPr>
        <w:t xml:space="preserve">, „durchziehen") als indirektes Objekt, </w:t>
      </w:r>
      <w:r w:rsidRPr="000F1D26">
        <w:rPr>
          <w:rFonts w:eastAsia="Times New Roman" w:cs="Times New Roman"/>
          <w:b/>
          <w:bCs/>
          <w:rtl/>
          <w:lang w:eastAsia="de-DE"/>
        </w:rPr>
        <w:t>בִּגְבֻלוֹ</w:t>
      </w:r>
      <w:r w:rsidRPr="000F1D26">
        <w:rPr>
          <w:rFonts w:eastAsia="Times New Roman" w:cs="Times New Roman"/>
          <w:rtl/>
          <w:lang w:eastAsia="de-DE"/>
        </w:rPr>
        <w:t xml:space="preserve"> </w:t>
      </w:r>
      <w:r w:rsidRPr="000F1D26">
        <w:rPr>
          <w:rFonts w:eastAsia="Times New Roman" w:cs="Times New Roman"/>
          <w:lang w:eastAsia="de-DE"/>
        </w:rPr>
        <w:t>(„durch sein Gebiet") mit Possessivsuffix 3. m. sg.</w:t>
      </w:r>
    </w:p>
    <w:p w14:paraId="47AB2464"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militärische Mobilisierung: </w:t>
      </w:r>
      <w:r w:rsidRPr="000F1D26">
        <w:rPr>
          <w:rFonts w:eastAsia="Times New Roman" w:cs="Times New Roman"/>
          <w:b/>
          <w:bCs/>
          <w:rtl/>
          <w:lang w:eastAsia="de-DE"/>
        </w:rPr>
        <w:t>וַיֶּאֱסֹף סִיחֹן אֶת־כָּל־עַמּוֹ</w:t>
      </w:r>
      <w:r w:rsidRPr="000F1D26">
        <w:rPr>
          <w:rFonts w:eastAsia="Times New Roman" w:cs="Times New Roman"/>
          <w:rtl/>
          <w:lang w:eastAsia="de-DE"/>
        </w:rPr>
        <w:t xml:space="preserve"> </w:t>
      </w:r>
      <w:r w:rsidRPr="000F1D26">
        <w:rPr>
          <w:rFonts w:eastAsia="Times New Roman" w:cs="Times New Roman"/>
          <w:lang w:eastAsia="de-DE"/>
        </w:rPr>
        <w:t xml:space="preserve">(„und Sichon versammelte sein ganzes Volk") – </w:t>
      </w:r>
      <w:r w:rsidRPr="000F1D26">
        <w:rPr>
          <w:rFonts w:eastAsia="Times New Roman" w:cs="Times New Roman"/>
          <w:b/>
          <w:bCs/>
          <w:rtl/>
          <w:lang w:eastAsia="de-DE"/>
        </w:rPr>
        <w:t>וַיֶּאֱסֹף</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אסף</w:t>
      </w:r>
      <w:r w:rsidRPr="000F1D26">
        <w:rPr>
          <w:rFonts w:eastAsia="Times New Roman" w:cs="Times New Roman"/>
          <w:lang w:eastAsia="de-DE"/>
        </w:rPr>
        <w:t xml:space="preserve">, „und er versammelte"), </w:t>
      </w:r>
      <w:r w:rsidRPr="000F1D26">
        <w:rPr>
          <w:rFonts w:eastAsia="Times New Roman" w:cs="Times New Roman"/>
          <w:b/>
          <w:bCs/>
          <w:rtl/>
          <w:lang w:eastAsia="de-DE"/>
        </w:rPr>
        <w:t>אֶת־כָּל־עַמּוֹ</w:t>
      </w:r>
      <w:r w:rsidRPr="000F1D26">
        <w:rPr>
          <w:rFonts w:eastAsia="Times New Roman" w:cs="Times New Roman"/>
          <w:rtl/>
          <w:lang w:eastAsia="de-DE"/>
        </w:rPr>
        <w:t xml:space="preserve"> </w:t>
      </w:r>
      <w:r w:rsidRPr="000F1D26">
        <w:rPr>
          <w:rFonts w:eastAsia="Times New Roman" w:cs="Times New Roman"/>
          <w:lang w:eastAsia="de-DE"/>
        </w:rPr>
        <w:t xml:space="preserve">(„sein ganzes Volk") mit </w:t>
      </w:r>
      <w:r w:rsidRPr="000F1D26">
        <w:rPr>
          <w:rFonts w:eastAsia="Times New Roman" w:cs="Times New Roman"/>
          <w:b/>
          <w:bCs/>
          <w:rtl/>
          <w:lang w:eastAsia="de-DE"/>
        </w:rPr>
        <w:t>כָּל</w:t>
      </w:r>
      <w:r w:rsidRPr="000F1D26">
        <w:rPr>
          <w:rFonts w:eastAsia="Times New Roman" w:cs="Times New Roman"/>
          <w:rtl/>
          <w:lang w:eastAsia="de-DE"/>
        </w:rPr>
        <w:t xml:space="preserve"> </w:t>
      </w:r>
      <w:r w:rsidRPr="000F1D26">
        <w:rPr>
          <w:rFonts w:eastAsia="Times New Roman" w:cs="Times New Roman"/>
          <w:lang w:eastAsia="de-DE"/>
        </w:rPr>
        <w:t xml:space="preserve">und Possessivsuffix. </w:t>
      </w:r>
      <w:r w:rsidRPr="000F1D26">
        <w:rPr>
          <w:rFonts w:eastAsia="Times New Roman" w:cs="Times New Roman"/>
          <w:b/>
          <w:bCs/>
          <w:rtl/>
          <w:lang w:eastAsia="de-DE"/>
        </w:rPr>
        <w:t>וַיֵּצֵא לִקְרַאת יִשְׂרָאֵל הַמִּדְבָּרָה</w:t>
      </w:r>
      <w:r w:rsidRPr="000F1D26">
        <w:rPr>
          <w:rFonts w:eastAsia="Times New Roman" w:cs="Times New Roman"/>
          <w:rtl/>
          <w:lang w:eastAsia="de-DE"/>
        </w:rPr>
        <w:t xml:space="preserve"> </w:t>
      </w:r>
      <w:r w:rsidRPr="000F1D26">
        <w:rPr>
          <w:rFonts w:eastAsia="Times New Roman" w:cs="Times New Roman"/>
          <w:lang w:eastAsia="de-DE"/>
        </w:rPr>
        <w:t xml:space="preserve">(„und er zog aus, Israel entgegen in die Wüste") – </w:t>
      </w:r>
      <w:r w:rsidRPr="000F1D26">
        <w:rPr>
          <w:rFonts w:eastAsia="Times New Roman" w:cs="Times New Roman"/>
          <w:b/>
          <w:bCs/>
          <w:rtl/>
          <w:lang w:eastAsia="de-DE"/>
        </w:rPr>
        <w:t>לִקְרַאת</w:t>
      </w:r>
      <w:r w:rsidRPr="000F1D26">
        <w:rPr>
          <w:rFonts w:eastAsia="Times New Roman" w:cs="Times New Roman"/>
          <w:rtl/>
          <w:lang w:eastAsia="de-DE"/>
        </w:rPr>
        <w:t xml:space="preserve"> </w:t>
      </w:r>
      <w:r w:rsidRPr="000F1D26">
        <w:rPr>
          <w:rFonts w:eastAsia="Times New Roman" w:cs="Times New Roman"/>
          <w:lang w:eastAsia="de-DE"/>
        </w:rPr>
        <w:t xml:space="preserve">„entgegen", </w:t>
      </w:r>
      <w:r w:rsidRPr="000F1D26">
        <w:rPr>
          <w:rFonts w:eastAsia="Times New Roman" w:cs="Times New Roman"/>
          <w:b/>
          <w:bCs/>
          <w:rtl/>
          <w:lang w:eastAsia="de-DE"/>
        </w:rPr>
        <w:t>הַמִּדְבָּרָה</w:t>
      </w:r>
      <w:r w:rsidRPr="000F1D26">
        <w:rPr>
          <w:rFonts w:eastAsia="Times New Roman" w:cs="Times New Roman"/>
          <w:rtl/>
          <w:lang w:eastAsia="de-DE"/>
        </w:rPr>
        <w:t xml:space="preserve"> </w:t>
      </w:r>
      <w:r w:rsidRPr="000F1D26">
        <w:rPr>
          <w:rFonts w:eastAsia="Times New Roman" w:cs="Times New Roman"/>
          <w:lang w:eastAsia="de-DE"/>
        </w:rPr>
        <w:t xml:space="preserve">mit He directionale „wüstenwärts". </w:t>
      </w:r>
      <w:r w:rsidRPr="000F1D26">
        <w:rPr>
          <w:rFonts w:eastAsia="Times New Roman" w:cs="Times New Roman"/>
          <w:b/>
          <w:bCs/>
          <w:rtl/>
          <w:lang w:eastAsia="de-DE"/>
        </w:rPr>
        <w:t>וַיָּבֹא יָהְצָה</w:t>
      </w:r>
      <w:r w:rsidRPr="000F1D26">
        <w:rPr>
          <w:rFonts w:eastAsia="Times New Roman" w:cs="Times New Roman"/>
          <w:rtl/>
          <w:lang w:eastAsia="de-DE"/>
        </w:rPr>
        <w:t xml:space="preserve"> </w:t>
      </w:r>
      <w:r w:rsidRPr="000F1D26">
        <w:rPr>
          <w:rFonts w:eastAsia="Times New Roman" w:cs="Times New Roman"/>
          <w:lang w:eastAsia="de-DE"/>
        </w:rPr>
        <w:t xml:space="preserve">(„und er kam nach Jahaz") – </w:t>
      </w:r>
      <w:r w:rsidRPr="000F1D26">
        <w:rPr>
          <w:rFonts w:eastAsia="Times New Roman" w:cs="Times New Roman"/>
          <w:b/>
          <w:bCs/>
          <w:rtl/>
          <w:lang w:eastAsia="de-DE"/>
        </w:rPr>
        <w:t>יָהְצָה</w:t>
      </w:r>
      <w:r w:rsidRPr="000F1D26">
        <w:rPr>
          <w:rFonts w:eastAsia="Times New Roman" w:cs="Times New Roman"/>
          <w:rtl/>
          <w:lang w:eastAsia="de-DE"/>
        </w:rPr>
        <w:t xml:space="preserve"> </w:t>
      </w:r>
      <w:r w:rsidRPr="000F1D26">
        <w:rPr>
          <w:rFonts w:eastAsia="Times New Roman" w:cs="Times New Roman"/>
          <w:lang w:eastAsia="de-DE"/>
        </w:rPr>
        <w:t xml:space="preserve">ist ein Ortsname (mit He locale). </w:t>
      </w:r>
      <w:r w:rsidRPr="000F1D26">
        <w:rPr>
          <w:rFonts w:eastAsia="Times New Roman" w:cs="Times New Roman"/>
          <w:b/>
          <w:bCs/>
          <w:rtl/>
          <w:lang w:eastAsia="de-DE"/>
        </w:rPr>
        <w:t>וַיִּלָּחֶם בְּיִשְׂרָאֵל</w:t>
      </w:r>
      <w:r w:rsidRPr="000F1D26">
        <w:rPr>
          <w:rFonts w:eastAsia="Times New Roman" w:cs="Times New Roman"/>
          <w:rtl/>
          <w:lang w:eastAsia="de-DE"/>
        </w:rPr>
        <w:t xml:space="preserve"> </w:t>
      </w:r>
      <w:r w:rsidRPr="000F1D26">
        <w:rPr>
          <w:rFonts w:eastAsia="Times New Roman" w:cs="Times New Roman"/>
          <w:lang w:eastAsia="de-DE"/>
        </w:rPr>
        <w:t xml:space="preserve">(„und er kämpfte gegen Israel") – </w:t>
      </w:r>
      <w:r w:rsidRPr="000F1D26">
        <w:rPr>
          <w:rFonts w:eastAsia="Times New Roman" w:cs="Times New Roman"/>
          <w:b/>
          <w:bCs/>
          <w:rtl/>
          <w:lang w:eastAsia="de-DE"/>
        </w:rPr>
        <w:t>וַיִּלָּחֶם</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לחם</w:t>
      </w:r>
      <w:r w:rsidRPr="000F1D26">
        <w:rPr>
          <w:rFonts w:eastAsia="Times New Roman" w:cs="Times New Roman"/>
          <w:rtl/>
          <w:lang w:eastAsia="de-DE"/>
        </w:rPr>
        <w:t xml:space="preserve"> </w:t>
      </w:r>
      <w:r w:rsidRPr="000F1D26">
        <w:rPr>
          <w:rFonts w:eastAsia="Times New Roman" w:cs="Times New Roman"/>
          <w:lang w:eastAsia="de-DE"/>
        </w:rPr>
        <w:t>Nifal).</w:t>
      </w:r>
    </w:p>
    <w:p w14:paraId="0B9FDB56"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Im Gegensatz zu Edom, das defensiv blieb, greift Sichon aktiv an – er zieht Israel in der Wüste entgegen. Dies ermöglicht Israel, das Gebiet als Verteidigungskrieg zu erobern.</w:t>
      </w:r>
    </w:p>
    <w:p w14:paraId="0EAE1EE7"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folgt dem hebräischen Text, transkribiert </w:t>
      </w:r>
      <w:r w:rsidRPr="000F1D26">
        <w:rPr>
          <w:rFonts w:eastAsia="Times New Roman" w:cs="Times New Roman"/>
          <w:b/>
          <w:bCs/>
          <w:rtl/>
          <w:lang w:eastAsia="de-DE"/>
        </w:rPr>
        <w:t>יָהְצָה</w:t>
      </w:r>
      <w:r w:rsidRPr="000F1D26">
        <w:rPr>
          <w:rFonts w:eastAsia="Times New Roman" w:cs="Times New Roman"/>
          <w:rtl/>
          <w:lang w:eastAsia="de-DE"/>
        </w:rPr>
        <w:t xml:space="preserve"> </w:t>
      </w:r>
      <w:r w:rsidRPr="000F1D26">
        <w:rPr>
          <w:rFonts w:eastAsia="Times New Roman" w:cs="Times New Roman"/>
          <w:lang w:eastAsia="de-DE"/>
        </w:rPr>
        <w:t>als Ἰασσά (Iassa).</w:t>
      </w:r>
    </w:p>
    <w:p w14:paraId="48E4414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fünf koordinierte Hauptsätze: Der erste mit Konjunktion, Negation, Verb, Subjekt, Objekt, Infinitiv und Präpositionalphrase; die vier folgenden mit Verb, Subjekt (explizit oder implizit), Objekt bzw. Präpositionalphrasen bzw. Ortsangabe. Es gibt keine Nebensätze.</w:t>
      </w:r>
    </w:p>
    <w:p w14:paraId="77A95E4A"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zeigt die Eskalation: Ablehnung wie bei Edom, aber dann aktiver Angriff. Sichon macht den fatalen Fehler, Israel anzugreifen – dies rechtfertigt die Eroberung.</w:t>
      </w:r>
    </w:p>
    <w:p w14:paraId="379335BE"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21,24</w:t>
      </w:r>
    </w:p>
    <w:p w14:paraId="2581936A"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וַיַּכֵּ֥הוּ יִשְׂרָאֵ֖ל לְפִי־חָ֑רֶב וַיִּירַ֨שׁ אֶת־אַרְצֹ֜ו מֵֽאַרְנֹ֗ן עַד־יַבֹּק֙ עַד־בְּנֵ֣י עַמּ֔וֹן כִּ֣י עַ֔ז גְּב֖וּל בְּנֵ֥י עַמּֽוֹן׃</w:t>
      </w:r>
    </w:p>
    <w:p w14:paraId="770117B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Israel schlug ihn mit der Schärfe des Schwertes und nahm sein Land in Besitz, vom Arnon bis zum Jabbok, bis zu den Söhnen Ammons. Denn die Grenze der Söhne Ammons war stark.</w:t>
      </w:r>
    </w:p>
    <w:p w14:paraId="7FF8530C"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lastRenderedPageBreak/>
        <w:pict w14:anchorId="134BB546">
          <v:rect id="_x0000_i1750" style="width:0;height:1.5pt" o:hralign="center" o:hrstd="t" o:hr="t" fillcolor="#a0a0a0" stroked="f"/>
        </w:pict>
      </w:r>
    </w:p>
    <w:p w14:paraId="7496E5C6"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Der Sieg: </w:t>
      </w:r>
      <w:r w:rsidRPr="000F1D26">
        <w:rPr>
          <w:rFonts w:eastAsia="Times New Roman" w:cs="Times New Roman"/>
          <w:b/>
          <w:bCs/>
          <w:rtl/>
          <w:lang w:eastAsia="de-DE"/>
        </w:rPr>
        <w:t>וַיַּכֵּהוּ יִשְׂרָאֵל לְפִי־חָרֶב</w:t>
      </w:r>
      <w:r w:rsidRPr="000F1D26">
        <w:rPr>
          <w:rFonts w:eastAsia="Times New Roman" w:cs="Times New Roman"/>
          <w:rtl/>
          <w:lang w:eastAsia="de-DE"/>
        </w:rPr>
        <w:t xml:space="preserve"> </w:t>
      </w:r>
      <w:r w:rsidRPr="000F1D26">
        <w:rPr>
          <w:rFonts w:eastAsia="Times New Roman" w:cs="Times New Roman"/>
          <w:lang w:eastAsia="de-DE"/>
        </w:rPr>
        <w:t xml:space="preserve">(„und Israel schlug ihn mit der Schärfe des Schwertes") – </w:t>
      </w:r>
      <w:r w:rsidRPr="000F1D26">
        <w:rPr>
          <w:rFonts w:eastAsia="Times New Roman" w:cs="Times New Roman"/>
          <w:b/>
          <w:bCs/>
          <w:rtl/>
          <w:lang w:eastAsia="de-DE"/>
        </w:rPr>
        <w:t>וַיַּכֵּהוּ</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נכה</w:t>
      </w:r>
      <w:r w:rsidRPr="000F1D26">
        <w:rPr>
          <w:rFonts w:eastAsia="Times New Roman" w:cs="Times New Roman"/>
          <w:rtl/>
          <w:lang w:eastAsia="de-DE"/>
        </w:rPr>
        <w:t xml:space="preserve"> </w:t>
      </w:r>
      <w:r w:rsidRPr="000F1D26">
        <w:rPr>
          <w:rFonts w:eastAsia="Times New Roman" w:cs="Times New Roman"/>
          <w:lang w:eastAsia="de-DE"/>
        </w:rPr>
        <w:t xml:space="preserve">Hifil mit Objektsuffix 3. m. sg., „und er schlug ihn"), </w:t>
      </w:r>
      <w:r w:rsidRPr="000F1D26">
        <w:rPr>
          <w:rFonts w:eastAsia="Times New Roman" w:cs="Times New Roman"/>
          <w:b/>
          <w:bCs/>
          <w:rtl/>
          <w:lang w:eastAsia="de-DE"/>
        </w:rPr>
        <w:t>לְפִי־חָרֶב</w:t>
      </w:r>
      <w:r w:rsidRPr="000F1D26">
        <w:rPr>
          <w:rFonts w:eastAsia="Times New Roman" w:cs="Times New Roman"/>
          <w:rtl/>
          <w:lang w:eastAsia="de-DE"/>
        </w:rPr>
        <w:t xml:space="preserve"> </w:t>
      </w:r>
      <w:r w:rsidRPr="000F1D26">
        <w:rPr>
          <w:rFonts w:eastAsia="Times New Roman" w:cs="Times New Roman"/>
          <w:lang w:eastAsia="de-DE"/>
        </w:rPr>
        <w:t>(„mit der Mündung/Schärfe des Schwertes", Constructus-Verbindung) ist die idiomatische Wendung für totale militärische Niederlage.</w:t>
      </w:r>
    </w:p>
    <w:p w14:paraId="5BF9C4D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Landnahme: </w:t>
      </w:r>
      <w:r w:rsidRPr="000F1D26">
        <w:rPr>
          <w:rFonts w:eastAsia="Times New Roman" w:cs="Times New Roman"/>
          <w:b/>
          <w:bCs/>
          <w:rtl/>
          <w:lang w:eastAsia="de-DE"/>
        </w:rPr>
        <w:t>וַיִּירַשׁ אֶת־אַרְצוֹ מֵאַרְנֹן עַד־יַבֹּק עַד־בְּנֵי עַמּוֹן</w:t>
      </w:r>
      <w:r w:rsidRPr="000F1D26">
        <w:rPr>
          <w:rFonts w:eastAsia="Times New Roman" w:cs="Times New Roman"/>
          <w:rtl/>
          <w:lang w:eastAsia="de-DE"/>
        </w:rPr>
        <w:t xml:space="preserve"> </w:t>
      </w:r>
      <w:r w:rsidRPr="000F1D26">
        <w:rPr>
          <w:rFonts w:eastAsia="Times New Roman" w:cs="Times New Roman"/>
          <w:lang w:eastAsia="de-DE"/>
        </w:rPr>
        <w:t xml:space="preserve">(„und er nahm sein Land in Besitz, vom Arnon bis zum Jabbok, bis zu den Söhnen Ammons") – </w:t>
      </w:r>
      <w:r w:rsidRPr="000F1D26">
        <w:rPr>
          <w:rFonts w:eastAsia="Times New Roman" w:cs="Times New Roman"/>
          <w:b/>
          <w:bCs/>
          <w:rtl/>
          <w:lang w:eastAsia="de-DE"/>
        </w:rPr>
        <w:t>וַיִּירַשׁ</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ירשׁ</w:t>
      </w:r>
      <w:r w:rsidRPr="000F1D26">
        <w:rPr>
          <w:rFonts w:eastAsia="Times New Roman" w:cs="Times New Roman"/>
          <w:lang w:eastAsia="de-DE"/>
        </w:rPr>
        <w:t xml:space="preserve">, „und er nahm in Besitz, erbte"), </w:t>
      </w:r>
      <w:r w:rsidRPr="000F1D26">
        <w:rPr>
          <w:rFonts w:eastAsia="Times New Roman" w:cs="Times New Roman"/>
          <w:b/>
          <w:bCs/>
          <w:rtl/>
          <w:lang w:eastAsia="de-DE"/>
        </w:rPr>
        <w:t>אֶת־אַרְצוֹ</w:t>
      </w:r>
      <w:r w:rsidRPr="000F1D26">
        <w:rPr>
          <w:rFonts w:eastAsia="Times New Roman" w:cs="Times New Roman"/>
          <w:rtl/>
          <w:lang w:eastAsia="de-DE"/>
        </w:rPr>
        <w:t xml:space="preserve"> </w:t>
      </w:r>
      <w:r w:rsidRPr="000F1D26">
        <w:rPr>
          <w:rFonts w:eastAsia="Times New Roman" w:cs="Times New Roman"/>
          <w:lang w:eastAsia="de-DE"/>
        </w:rPr>
        <w:t xml:space="preserve">(„sein Land") mit Possessivsuffix. Die geografischen Grenzen: </w:t>
      </w:r>
      <w:r w:rsidRPr="000F1D26">
        <w:rPr>
          <w:rFonts w:eastAsia="Times New Roman" w:cs="Times New Roman"/>
          <w:b/>
          <w:bCs/>
          <w:rtl/>
          <w:lang w:eastAsia="de-DE"/>
        </w:rPr>
        <w:t>מֵאַרְנֹן</w:t>
      </w:r>
      <w:r w:rsidRPr="000F1D26">
        <w:rPr>
          <w:rFonts w:eastAsia="Times New Roman" w:cs="Times New Roman"/>
          <w:rtl/>
          <w:lang w:eastAsia="de-DE"/>
        </w:rPr>
        <w:t xml:space="preserve"> </w:t>
      </w:r>
      <w:r w:rsidRPr="000F1D26">
        <w:rPr>
          <w:rFonts w:eastAsia="Times New Roman" w:cs="Times New Roman"/>
          <w:lang w:eastAsia="de-DE"/>
        </w:rPr>
        <w:t xml:space="preserve">(„vom Arnon") im Süden, </w:t>
      </w:r>
      <w:r w:rsidRPr="000F1D26">
        <w:rPr>
          <w:rFonts w:eastAsia="Times New Roman" w:cs="Times New Roman"/>
          <w:b/>
          <w:bCs/>
          <w:rtl/>
          <w:lang w:eastAsia="de-DE"/>
        </w:rPr>
        <w:t>עַד־יַבֹּק</w:t>
      </w:r>
      <w:r w:rsidRPr="000F1D26">
        <w:rPr>
          <w:rFonts w:eastAsia="Times New Roman" w:cs="Times New Roman"/>
          <w:rtl/>
          <w:lang w:eastAsia="de-DE"/>
        </w:rPr>
        <w:t xml:space="preserve"> </w:t>
      </w:r>
      <w:r w:rsidRPr="000F1D26">
        <w:rPr>
          <w:rFonts w:eastAsia="Times New Roman" w:cs="Times New Roman"/>
          <w:lang w:eastAsia="de-DE"/>
        </w:rPr>
        <w:t xml:space="preserve">(„bis zum Jabbok") im Norden – der Jabbok ist ein Nebenfluss des Jordan. </w:t>
      </w:r>
      <w:r w:rsidRPr="000F1D26">
        <w:rPr>
          <w:rFonts w:eastAsia="Times New Roman" w:cs="Times New Roman"/>
          <w:b/>
          <w:bCs/>
          <w:rtl/>
          <w:lang w:eastAsia="de-DE"/>
        </w:rPr>
        <w:t>עַד־בְּנֵי עַמּוֹן</w:t>
      </w:r>
      <w:r w:rsidRPr="000F1D26">
        <w:rPr>
          <w:rFonts w:eastAsia="Times New Roman" w:cs="Times New Roman"/>
          <w:rtl/>
          <w:lang w:eastAsia="de-DE"/>
        </w:rPr>
        <w:t xml:space="preserve"> </w:t>
      </w:r>
      <w:r w:rsidRPr="000F1D26">
        <w:rPr>
          <w:rFonts w:eastAsia="Times New Roman" w:cs="Times New Roman"/>
          <w:lang w:eastAsia="de-DE"/>
        </w:rPr>
        <w:t>(„bis zu den Söhnen Ammons") – Ammon grenzt östlich an.</w:t>
      </w:r>
    </w:p>
    <w:p w14:paraId="1801DD01"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Erklärung </w:t>
      </w:r>
      <w:r w:rsidRPr="000F1D26">
        <w:rPr>
          <w:rFonts w:eastAsia="Times New Roman" w:cs="Times New Roman"/>
          <w:b/>
          <w:bCs/>
          <w:rtl/>
          <w:lang w:eastAsia="de-DE"/>
        </w:rPr>
        <w:t>כִּי עַז גְּבוּל בְּנֵי עַמּוֹן</w:t>
      </w:r>
      <w:r w:rsidRPr="000F1D26">
        <w:rPr>
          <w:rFonts w:eastAsia="Times New Roman" w:cs="Times New Roman"/>
          <w:rtl/>
          <w:lang w:eastAsia="de-DE"/>
        </w:rPr>
        <w:t xml:space="preserve"> </w:t>
      </w:r>
      <w:r w:rsidRPr="000F1D26">
        <w:rPr>
          <w:rFonts w:eastAsia="Times New Roman" w:cs="Times New Roman"/>
          <w:lang w:eastAsia="de-DE"/>
        </w:rPr>
        <w:t xml:space="preserve">(„denn die Grenze der Söhne Ammons war stark") – </w:t>
      </w:r>
      <w:r w:rsidRPr="000F1D26">
        <w:rPr>
          <w:rFonts w:eastAsia="Times New Roman" w:cs="Times New Roman"/>
          <w:b/>
          <w:bCs/>
          <w:rtl/>
          <w:lang w:eastAsia="de-DE"/>
        </w:rPr>
        <w:t>כִּי</w:t>
      </w:r>
      <w:r w:rsidRPr="000F1D26">
        <w:rPr>
          <w:rFonts w:eastAsia="Times New Roman" w:cs="Times New Roman"/>
          <w:rtl/>
          <w:lang w:eastAsia="de-DE"/>
        </w:rPr>
        <w:t xml:space="preserve"> </w:t>
      </w:r>
      <w:r w:rsidRPr="000F1D26">
        <w:rPr>
          <w:rFonts w:eastAsia="Times New Roman" w:cs="Times New Roman"/>
          <w:lang w:eastAsia="de-DE"/>
        </w:rPr>
        <w:t xml:space="preserve">kausal, </w:t>
      </w:r>
      <w:r w:rsidRPr="000F1D26">
        <w:rPr>
          <w:rFonts w:eastAsia="Times New Roman" w:cs="Times New Roman"/>
          <w:b/>
          <w:bCs/>
          <w:rtl/>
          <w:lang w:eastAsia="de-DE"/>
        </w:rPr>
        <w:t>עַז</w:t>
      </w:r>
      <w:r w:rsidRPr="000F1D26">
        <w:rPr>
          <w:rFonts w:eastAsia="Times New Roman" w:cs="Times New Roman"/>
          <w:rtl/>
          <w:lang w:eastAsia="de-DE"/>
        </w:rPr>
        <w:t xml:space="preserve"> </w:t>
      </w:r>
      <w:r w:rsidRPr="000F1D26">
        <w:rPr>
          <w:rFonts w:eastAsia="Times New Roman" w:cs="Times New Roman"/>
          <w:lang w:eastAsia="de-DE"/>
        </w:rPr>
        <w:t xml:space="preserve">Adjektiv „stark, fest", </w:t>
      </w:r>
      <w:r w:rsidRPr="000F1D26">
        <w:rPr>
          <w:rFonts w:eastAsia="Times New Roman" w:cs="Times New Roman"/>
          <w:b/>
          <w:bCs/>
          <w:rtl/>
          <w:lang w:eastAsia="de-DE"/>
        </w:rPr>
        <w:t>גְּבוּל בְּנֵי עַמּוֹן</w:t>
      </w:r>
      <w:r w:rsidRPr="000F1D26">
        <w:rPr>
          <w:rFonts w:eastAsia="Times New Roman" w:cs="Times New Roman"/>
          <w:rtl/>
          <w:lang w:eastAsia="de-DE"/>
        </w:rPr>
        <w:t xml:space="preserve"> </w:t>
      </w:r>
      <w:r w:rsidRPr="000F1D26">
        <w:rPr>
          <w:rFonts w:eastAsia="Times New Roman" w:cs="Times New Roman"/>
          <w:lang w:eastAsia="de-DE"/>
        </w:rPr>
        <w:t xml:space="preserve">(„die Grenze der Söhne Ammons", Constructus-Verbindung). Israel erobert </w:t>
      </w:r>
      <w:r w:rsidRPr="000F1D26">
        <w:rPr>
          <w:rFonts w:eastAsia="Times New Roman" w:cs="Times New Roman"/>
          <w:b/>
          <w:bCs/>
          <w:lang w:eastAsia="de-DE"/>
        </w:rPr>
        <w:t>nicht</w:t>
      </w:r>
      <w:r w:rsidRPr="000F1D26">
        <w:rPr>
          <w:rFonts w:eastAsia="Times New Roman" w:cs="Times New Roman"/>
          <w:lang w:eastAsia="de-DE"/>
        </w:rPr>
        <w:t xml:space="preserve"> ammonitisches Gebiet – die Grenze ist zu stark befestigt, oder Israel respektiert Ammon (vgl. Dtn 2,19 – Ammon ist mit Israel verwandt durch Lot).</w:t>
      </w:r>
    </w:p>
    <w:p w14:paraId="1A8821DE" w14:textId="733139FE"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w:t>
      </w:r>
      <w:r w:rsidR="00C303D4">
        <w:t>übersetzt „</w:t>
      </w:r>
      <w:r w:rsidR="00C303D4" w:rsidRPr="00C303D4">
        <w:rPr>
          <w:b/>
          <w:bCs/>
          <w:rtl/>
        </w:rPr>
        <w:t>כִּי עַז גְּבוּל בְּנֵי עַמּוֹן</w:t>
      </w:r>
      <w:r w:rsidR="00C303D4">
        <w:t>" (denn stark war die Grenze der Ammoniter) mit „ὅτι Ἰαζὴρ ὅρια υἱῶν Ἀμμάν ἐστιν" (denn Jaser ist die Grenze der Ammoniter), was einen Ortsnamen statt eines Adjektivs verwendet.</w:t>
      </w:r>
    </w:p>
    <w:p w14:paraId="7388057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drei koordinierte Hauptsätze: Die ersten beiden mit Verb (der erste mit Objektsuffix), Subjekt, Präpositionalphrase bzw. Objekt und mehrfachen Präpositionalphrasen; der dritte kausal mit Konjunktion, Adjektiv und Subjekt (Constructus-Verbindung). Es gibt keine Nebensätze.</w:t>
      </w:r>
    </w:p>
    <w:p w14:paraId="4446421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dokumentiert Israels erste große Eroberung: Das Gebiet zwischen Arnon und Jabbok, östlich des Jordan – das spätere Stammesgebiet von Ruben, Gad und halb Manasse. Die Ammonitergrenze bleibt respektiert.</w:t>
      </w:r>
    </w:p>
    <w:p w14:paraId="5662CF2A"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21,25</w:t>
      </w:r>
    </w:p>
    <w:p w14:paraId="27B2516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וַיִּקַּח֙ יִשְׂרָאֵ֔ל אֵ֥ת כָּל־הֶעָרִ֖ים הָאֵ֑לֶּה וַיֵּ֤שֶׁב יִשְׂרָאֵל֙ בְּכָל־עָרֵ֣י הָֽאֱמֹרִ֔י בְּחֶשְׁבּ֖וֹן וּבְכָל־בְּנֹתֶֽיהָ׃</w:t>
      </w:r>
    </w:p>
    <w:p w14:paraId="7EEAB443"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Israel nahm alle diese Städte ein, und Israel wohnte in allen Städten der Amoriter, in Cheschbon und in allen ihren Tochterstädten.</w:t>
      </w:r>
    </w:p>
    <w:p w14:paraId="0D125D3D"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5A75F101">
          <v:rect id="_x0000_i1751" style="width:0;height:1.5pt" o:hralign="center" o:hrstd="t" o:hr="t" fillcolor="#a0a0a0" stroked="f"/>
        </w:pict>
      </w:r>
    </w:p>
    <w:p w14:paraId="148F9A0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Die Eroberung: </w:t>
      </w:r>
      <w:r w:rsidRPr="000F1D26">
        <w:rPr>
          <w:rFonts w:eastAsia="Times New Roman" w:cs="Times New Roman"/>
          <w:b/>
          <w:bCs/>
          <w:rtl/>
          <w:lang w:eastAsia="de-DE"/>
        </w:rPr>
        <w:t>וַיִּקַּח יִשְׂרָאֵל אֵת כָּל־הֶעָרִים הָאֵלֶּה</w:t>
      </w:r>
      <w:r w:rsidRPr="000F1D26">
        <w:rPr>
          <w:rFonts w:eastAsia="Times New Roman" w:cs="Times New Roman"/>
          <w:rtl/>
          <w:lang w:eastAsia="de-DE"/>
        </w:rPr>
        <w:t xml:space="preserve"> </w:t>
      </w:r>
      <w:r w:rsidRPr="000F1D26">
        <w:rPr>
          <w:rFonts w:eastAsia="Times New Roman" w:cs="Times New Roman"/>
          <w:lang w:eastAsia="de-DE"/>
        </w:rPr>
        <w:t xml:space="preserve">(„und Israel nahm alle diese Städte") – </w:t>
      </w:r>
      <w:r w:rsidRPr="000F1D26">
        <w:rPr>
          <w:rFonts w:eastAsia="Times New Roman" w:cs="Times New Roman"/>
          <w:b/>
          <w:bCs/>
          <w:rtl/>
          <w:lang w:eastAsia="de-DE"/>
        </w:rPr>
        <w:t>וַיִּקַּח</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לקח</w:t>
      </w:r>
      <w:r w:rsidRPr="000F1D26">
        <w:rPr>
          <w:rFonts w:eastAsia="Times New Roman" w:cs="Times New Roman"/>
          <w:lang w:eastAsia="de-DE"/>
        </w:rPr>
        <w:t xml:space="preserve">), </w:t>
      </w:r>
      <w:r w:rsidRPr="000F1D26">
        <w:rPr>
          <w:rFonts w:eastAsia="Times New Roman" w:cs="Times New Roman"/>
          <w:b/>
          <w:bCs/>
          <w:rtl/>
          <w:lang w:eastAsia="de-DE"/>
        </w:rPr>
        <w:t>אֵת כָּל־הֶעָרִים הָאֵלֶּה</w:t>
      </w:r>
      <w:r w:rsidRPr="000F1D26">
        <w:rPr>
          <w:rFonts w:eastAsia="Times New Roman" w:cs="Times New Roman"/>
          <w:rtl/>
          <w:lang w:eastAsia="de-DE"/>
        </w:rPr>
        <w:t xml:space="preserve"> </w:t>
      </w:r>
      <w:r w:rsidRPr="000F1D26">
        <w:rPr>
          <w:rFonts w:eastAsia="Times New Roman" w:cs="Times New Roman"/>
          <w:lang w:eastAsia="de-DE"/>
        </w:rPr>
        <w:t xml:space="preserve">(„alle diese Städte") mit </w:t>
      </w:r>
      <w:r w:rsidRPr="000F1D26">
        <w:rPr>
          <w:rFonts w:eastAsia="Times New Roman" w:cs="Times New Roman"/>
          <w:b/>
          <w:bCs/>
          <w:rtl/>
          <w:lang w:eastAsia="de-DE"/>
        </w:rPr>
        <w:t>כָּל</w:t>
      </w:r>
      <w:r w:rsidRPr="000F1D26">
        <w:rPr>
          <w:rFonts w:eastAsia="Times New Roman" w:cs="Times New Roman"/>
          <w:rtl/>
          <w:lang w:eastAsia="de-DE"/>
        </w:rPr>
        <w:t xml:space="preserve"> </w:t>
      </w:r>
      <w:r w:rsidRPr="000F1D26">
        <w:rPr>
          <w:rFonts w:eastAsia="Times New Roman" w:cs="Times New Roman"/>
          <w:lang w:eastAsia="de-DE"/>
        </w:rPr>
        <w:t>und Demonstrativpronomen.</w:t>
      </w:r>
    </w:p>
    <w:p w14:paraId="64156A44"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Besiedlung: </w:t>
      </w:r>
      <w:r w:rsidRPr="000F1D26">
        <w:rPr>
          <w:rFonts w:eastAsia="Times New Roman" w:cs="Times New Roman"/>
          <w:b/>
          <w:bCs/>
          <w:rtl/>
          <w:lang w:eastAsia="de-DE"/>
        </w:rPr>
        <w:t>וַיֵּשֶׁב יִשְׂרָאֵל בְּכָל־עָרֵי הָאֱמֹרִי</w:t>
      </w:r>
      <w:r w:rsidRPr="000F1D26">
        <w:rPr>
          <w:rFonts w:eastAsia="Times New Roman" w:cs="Times New Roman"/>
          <w:rtl/>
          <w:lang w:eastAsia="de-DE"/>
        </w:rPr>
        <w:t xml:space="preserve"> </w:t>
      </w:r>
      <w:r w:rsidRPr="000F1D26">
        <w:rPr>
          <w:rFonts w:eastAsia="Times New Roman" w:cs="Times New Roman"/>
          <w:lang w:eastAsia="de-DE"/>
        </w:rPr>
        <w:t xml:space="preserve">(„und Israel wohnte in allen Städten der Amoriter") – </w:t>
      </w:r>
      <w:r w:rsidRPr="000F1D26">
        <w:rPr>
          <w:rFonts w:eastAsia="Times New Roman" w:cs="Times New Roman"/>
          <w:b/>
          <w:bCs/>
          <w:rtl/>
          <w:lang w:eastAsia="de-DE"/>
        </w:rPr>
        <w:t>וַיֵּשֶׁב</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ישׁב</w:t>
      </w:r>
      <w:r w:rsidRPr="000F1D26">
        <w:rPr>
          <w:rFonts w:eastAsia="Times New Roman" w:cs="Times New Roman"/>
          <w:lang w:eastAsia="de-DE"/>
        </w:rPr>
        <w:t xml:space="preserve">, „und er wohnte, siedelte"), </w:t>
      </w:r>
      <w:r w:rsidRPr="000F1D26">
        <w:rPr>
          <w:rFonts w:eastAsia="Times New Roman" w:cs="Times New Roman"/>
          <w:b/>
          <w:bCs/>
          <w:rtl/>
          <w:lang w:eastAsia="de-DE"/>
        </w:rPr>
        <w:t>בְּכָל־עָרֵי הָאֱמֹרִי</w:t>
      </w:r>
      <w:r w:rsidRPr="000F1D26">
        <w:rPr>
          <w:rFonts w:eastAsia="Times New Roman" w:cs="Times New Roman"/>
          <w:rtl/>
          <w:lang w:eastAsia="de-DE"/>
        </w:rPr>
        <w:t xml:space="preserve"> </w:t>
      </w:r>
      <w:r w:rsidRPr="000F1D26">
        <w:rPr>
          <w:rFonts w:eastAsia="Times New Roman" w:cs="Times New Roman"/>
          <w:lang w:eastAsia="de-DE"/>
        </w:rPr>
        <w:t xml:space="preserve">(„in allen Städten der Amoriter", Constructus-Verbindung mit </w:t>
      </w:r>
      <w:r w:rsidRPr="000F1D26">
        <w:rPr>
          <w:rFonts w:eastAsia="Times New Roman" w:cs="Times New Roman"/>
          <w:b/>
          <w:bCs/>
          <w:rtl/>
          <w:lang w:eastAsia="de-DE"/>
        </w:rPr>
        <w:t>כָּל</w:t>
      </w:r>
      <w:r w:rsidRPr="000F1D26">
        <w:rPr>
          <w:rFonts w:eastAsia="Times New Roman" w:cs="Times New Roman"/>
          <w:lang w:eastAsia="de-DE"/>
        </w:rPr>
        <w:t xml:space="preserve">). Die Spezifizierung </w:t>
      </w:r>
      <w:r w:rsidRPr="000F1D26">
        <w:rPr>
          <w:rFonts w:eastAsia="Times New Roman" w:cs="Times New Roman"/>
          <w:b/>
          <w:bCs/>
          <w:rtl/>
          <w:lang w:eastAsia="de-DE"/>
        </w:rPr>
        <w:t>בְּחֶשְׁבּוֹן וּבְכָל־בְּנֹתֶיהָ</w:t>
      </w:r>
      <w:r w:rsidRPr="000F1D26">
        <w:rPr>
          <w:rFonts w:eastAsia="Times New Roman" w:cs="Times New Roman"/>
          <w:rtl/>
          <w:lang w:eastAsia="de-DE"/>
        </w:rPr>
        <w:t xml:space="preserve"> </w:t>
      </w:r>
      <w:r w:rsidRPr="000F1D26">
        <w:rPr>
          <w:rFonts w:eastAsia="Times New Roman" w:cs="Times New Roman"/>
          <w:lang w:eastAsia="de-DE"/>
        </w:rPr>
        <w:t xml:space="preserve">(„in Cheschbon und in allen ihren Tochterstädten") – </w:t>
      </w:r>
      <w:r w:rsidRPr="000F1D26">
        <w:rPr>
          <w:rFonts w:eastAsia="Times New Roman" w:cs="Times New Roman"/>
          <w:b/>
          <w:bCs/>
          <w:rtl/>
          <w:lang w:eastAsia="de-DE"/>
        </w:rPr>
        <w:t>חֶשְׁבּוֹן</w:t>
      </w:r>
      <w:r w:rsidRPr="000F1D26">
        <w:rPr>
          <w:rFonts w:eastAsia="Times New Roman" w:cs="Times New Roman"/>
          <w:rtl/>
          <w:lang w:eastAsia="de-DE"/>
        </w:rPr>
        <w:t xml:space="preserve"> </w:t>
      </w:r>
      <w:r w:rsidRPr="000F1D26">
        <w:rPr>
          <w:rFonts w:eastAsia="Times New Roman" w:cs="Times New Roman"/>
          <w:lang w:eastAsia="de-DE"/>
        </w:rPr>
        <w:t xml:space="preserve">(Heschbon) war </w:t>
      </w:r>
      <w:r w:rsidRPr="000F1D26">
        <w:rPr>
          <w:rFonts w:eastAsia="Times New Roman" w:cs="Times New Roman"/>
          <w:lang w:eastAsia="de-DE"/>
        </w:rPr>
        <w:lastRenderedPageBreak/>
        <w:t xml:space="preserve">Sichons Hauptstadt, </w:t>
      </w:r>
      <w:r w:rsidRPr="000F1D26">
        <w:rPr>
          <w:rFonts w:eastAsia="Times New Roman" w:cs="Times New Roman"/>
          <w:b/>
          <w:bCs/>
          <w:rtl/>
          <w:lang w:eastAsia="de-DE"/>
        </w:rPr>
        <w:t>בְּנֹתֶיהָ</w:t>
      </w:r>
      <w:r w:rsidRPr="000F1D26">
        <w:rPr>
          <w:rFonts w:eastAsia="Times New Roman" w:cs="Times New Roman"/>
          <w:rtl/>
          <w:lang w:eastAsia="de-DE"/>
        </w:rPr>
        <w:t xml:space="preserve"> </w:t>
      </w:r>
      <w:r w:rsidRPr="000F1D26">
        <w:rPr>
          <w:rFonts w:eastAsia="Times New Roman" w:cs="Times New Roman"/>
          <w:lang w:eastAsia="de-DE"/>
        </w:rPr>
        <w:t>(„ihre Töchter") mit Possessivsuffix 3. f. sg. bedeutet idiomatisch „Tochterstädte, abhängige Orte" (Mutterstädte haben „Töchter").</w:t>
      </w:r>
    </w:p>
    <w:p w14:paraId="249A9D7A"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folgt dem hebräischen Text, transkribiert </w:t>
      </w:r>
      <w:r w:rsidRPr="000F1D26">
        <w:rPr>
          <w:rFonts w:eastAsia="Times New Roman" w:cs="Times New Roman"/>
          <w:b/>
          <w:bCs/>
          <w:rtl/>
          <w:lang w:eastAsia="de-DE"/>
        </w:rPr>
        <w:t>חֶשְׁבּוֹן</w:t>
      </w:r>
      <w:r w:rsidRPr="000F1D26">
        <w:rPr>
          <w:rFonts w:eastAsia="Times New Roman" w:cs="Times New Roman"/>
          <w:rtl/>
          <w:lang w:eastAsia="de-DE"/>
        </w:rPr>
        <w:t xml:space="preserve"> </w:t>
      </w:r>
      <w:r w:rsidRPr="000F1D26">
        <w:rPr>
          <w:rFonts w:eastAsia="Times New Roman" w:cs="Times New Roman"/>
          <w:lang w:eastAsia="de-DE"/>
        </w:rPr>
        <w:t>als Ἐσεβών (Esebōn).</w:t>
      </w:r>
    </w:p>
    <w:p w14:paraId="5A9824F0"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Satzstruktur zeigt zwei koordinierte Hauptsätze: Der erste mit Verb, Subjekt und Objekt (mit </w:t>
      </w:r>
      <w:r w:rsidRPr="000F1D26">
        <w:rPr>
          <w:rFonts w:eastAsia="Times New Roman" w:cs="Times New Roman"/>
          <w:b/>
          <w:bCs/>
          <w:rtl/>
          <w:lang w:eastAsia="de-DE"/>
        </w:rPr>
        <w:t>כָּל</w:t>
      </w:r>
      <w:r w:rsidRPr="000F1D26">
        <w:rPr>
          <w:rFonts w:eastAsia="Times New Roman" w:cs="Times New Roman"/>
          <w:rtl/>
          <w:lang w:eastAsia="de-DE"/>
        </w:rPr>
        <w:t xml:space="preserve"> </w:t>
      </w:r>
      <w:r w:rsidRPr="000F1D26">
        <w:rPr>
          <w:rFonts w:eastAsia="Times New Roman" w:cs="Times New Roman"/>
          <w:lang w:eastAsia="de-DE"/>
        </w:rPr>
        <w:t xml:space="preserve">und Demonstrativpronomen); der zweite mit Verb, Subjekt, Präpositionalphrase (Constructus-Verbindung mit </w:t>
      </w:r>
      <w:r w:rsidRPr="000F1D26">
        <w:rPr>
          <w:rFonts w:eastAsia="Times New Roman" w:cs="Times New Roman"/>
          <w:b/>
          <w:bCs/>
          <w:rtl/>
          <w:lang w:eastAsia="de-DE"/>
        </w:rPr>
        <w:t>כָּל</w:t>
      </w:r>
      <w:r w:rsidRPr="000F1D26">
        <w:rPr>
          <w:rFonts w:eastAsia="Times New Roman" w:cs="Times New Roman"/>
          <w:lang w:eastAsia="de-DE"/>
        </w:rPr>
        <w:t>) und präzisierender doppelter Präpositionalphrase. Es gibt keine Nebensätze.</w:t>
      </w:r>
    </w:p>
    <w:p w14:paraId="19CE004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betont die vollständige Übernahme: Nicht nur militärischer Sieg, sondern Besiedlung. Heschbon, Sichons Hauptstadt, wird israelitisch.</w:t>
      </w:r>
    </w:p>
    <w:p w14:paraId="74F9046F"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21,26</w:t>
      </w:r>
    </w:p>
    <w:p w14:paraId="102C1123"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כִּ֣י חֶשְׁבּ֔וֹן עִ֗יר סִיחֹ֛ן מֶ֥לֶךְ הָאֱמֹרִ֖י הִ֑וא וְה֣וּא נִלְחַ֗ם בְּמֶ֤לֶךְ מוֹאָב֙ הָֽרִאשׁ֔וֹן וַיִּקַּ֧ח אֶת־כָּל־אַרְצֹ֛ו מִיָּדֹ֖ו עַד־אַרְנֹֽן׃</w:t>
      </w:r>
    </w:p>
    <w:p w14:paraId="059A141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Denn Cheschbon war die Stadt Sichons, des Königs der Amoriter, und er hatte gegen den früheren König von Moab gekämpft und ihm sein ganzes Land aus seiner Hand genommen bis zum Arnon.</w:t>
      </w:r>
    </w:p>
    <w:p w14:paraId="0301FF9E"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6843C761">
          <v:rect id="_x0000_i1752" style="width:0;height:1.5pt" o:hralign="center" o:hrstd="t" o:hr="t" fillcolor="#a0a0a0" stroked="f"/>
        </w:pict>
      </w:r>
    </w:p>
    <w:p w14:paraId="7EB7FF86"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Die kausale Erklärung </w:t>
      </w:r>
      <w:r w:rsidRPr="000F1D26">
        <w:rPr>
          <w:rFonts w:eastAsia="Times New Roman" w:cs="Times New Roman"/>
          <w:b/>
          <w:bCs/>
          <w:rtl/>
          <w:lang w:eastAsia="de-DE"/>
        </w:rPr>
        <w:t>כִּי חֶשְׁבּוֹן עִיר סִיחֹן מֶלֶךְ הָאֱמֹרִי הִוא</w:t>
      </w:r>
      <w:r w:rsidRPr="000F1D26">
        <w:rPr>
          <w:rFonts w:eastAsia="Times New Roman" w:cs="Times New Roman"/>
          <w:rtl/>
          <w:lang w:eastAsia="de-DE"/>
        </w:rPr>
        <w:t xml:space="preserve"> </w:t>
      </w:r>
      <w:r w:rsidRPr="000F1D26">
        <w:rPr>
          <w:rFonts w:eastAsia="Times New Roman" w:cs="Times New Roman"/>
          <w:lang w:eastAsia="de-DE"/>
        </w:rPr>
        <w:t xml:space="preserve">(„denn Heschbon war die Stadt Sichons, des Königs der Amoriter") – </w:t>
      </w:r>
      <w:r w:rsidRPr="000F1D26">
        <w:rPr>
          <w:rFonts w:eastAsia="Times New Roman" w:cs="Times New Roman"/>
          <w:b/>
          <w:bCs/>
          <w:rtl/>
          <w:lang w:eastAsia="de-DE"/>
        </w:rPr>
        <w:t>כִּי</w:t>
      </w:r>
      <w:r w:rsidRPr="000F1D26">
        <w:rPr>
          <w:rFonts w:eastAsia="Times New Roman" w:cs="Times New Roman"/>
          <w:rtl/>
          <w:lang w:eastAsia="de-DE"/>
        </w:rPr>
        <w:t xml:space="preserve"> </w:t>
      </w:r>
      <w:r w:rsidRPr="000F1D26">
        <w:rPr>
          <w:rFonts w:eastAsia="Times New Roman" w:cs="Times New Roman"/>
          <w:lang w:eastAsia="de-DE"/>
        </w:rPr>
        <w:t xml:space="preserve">„denn" erklärt, warum Israel dieses Gebiet erobern durfte. </w:t>
      </w:r>
      <w:r w:rsidRPr="000F1D26">
        <w:rPr>
          <w:rFonts w:eastAsia="Times New Roman" w:cs="Times New Roman"/>
          <w:b/>
          <w:bCs/>
          <w:rtl/>
          <w:lang w:eastAsia="de-DE"/>
        </w:rPr>
        <w:t>חֶשְׁבּוֹן עִיר סִיחֹן</w:t>
      </w:r>
      <w:r w:rsidRPr="000F1D26">
        <w:rPr>
          <w:rFonts w:eastAsia="Times New Roman" w:cs="Times New Roman"/>
          <w:rtl/>
          <w:lang w:eastAsia="de-DE"/>
        </w:rPr>
        <w:t xml:space="preserve"> </w:t>
      </w:r>
      <w:r w:rsidRPr="000F1D26">
        <w:rPr>
          <w:rFonts w:eastAsia="Times New Roman" w:cs="Times New Roman"/>
          <w:lang w:eastAsia="de-DE"/>
        </w:rPr>
        <w:t xml:space="preserve">ist eine Constructus-Verbindung „Heschbon, Stadt Sichons", </w:t>
      </w:r>
      <w:r w:rsidRPr="000F1D26">
        <w:rPr>
          <w:rFonts w:eastAsia="Times New Roman" w:cs="Times New Roman"/>
          <w:b/>
          <w:bCs/>
          <w:rtl/>
          <w:lang w:eastAsia="de-DE"/>
        </w:rPr>
        <w:t>מֶלֶךְ הָאֱמֹרִי</w:t>
      </w:r>
      <w:r w:rsidRPr="000F1D26">
        <w:rPr>
          <w:rFonts w:eastAsia="Times New Roman" w:cs="Times New Roman"/>
          <w:rtl/>
          <w:lang w:eastAsia="de-DE"/>
        </w:rPr>
        <w:t xml:space="preserve"> </w:t>
      </w:r>
      <w:r w:rsidRPr="000F1D26">
        <w:rPr>
          <w:rFonts w:eastAsia="Times New Roman" w:cs="Times New Roman"/>
          <w:lang w:eastAsia="de-DE"/>
        </w:rPr>
        <w:t xml:space="preserve">(„König der Amoriter", Constructus-Verbindung) ist Apposition, </w:t>
      </w:r>
      <w:r w:rsidRPr="000F1D26">
        <w:rPr>
          <w:rFonts w:eastAsia="Times New Roman" w:cs="Times New Roman"/>
          <w:b/>
          <w:bCs/>
          <w:rtl/>
          <w:lang w:eastAsia="de-DE"/>
        </w:rPr>
        <w:t>הִוא</w:t>
      </w:r>
      <w:r w:rsidRPr="000F1D26">
        <w:rPr>
          <w:rFonts w:eastAsia="Times New Roman" w:cs="Times New Roman"/>
          <w:rtl/>
          <w:lang w:eastAsia="de-DE"/>
        </w:rPr>
        <w:t xml:space="preserve"> </w:t>
      </w:r>
      <w:r w:rsidRPr="000F1D26">
        <w:rPr>
          <w:rFonts w:eastAsia="Times New Roman" w:cs="Times New Roman"/>
          <w:lang w:eastAsia="de-DE"/>
        </w:rPr>
        <w:t>emphatisches Pronomen.</w:t>
      </w:r>
    </w:p>
    <w:p w14:paraId="73D2C18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historische Begründung </w:t>
      </w:r>
      <w:r w:rsidRPr="000F1D26">
        <w:rPr>
          <w:rFonts w:eastAsia="Times New Roman" w:cs="Times New Roman"/>
          <w:b/>
          <w:bCs/>
          <w:rtl/>
          <w:lang w:eastAsia="de-DE"/>
        </w:rPr>
        <w:t>וְהוּא נִלְחַם בְּמֶלֶךְ מוֹאָב הָרִאשׁוֹן</w:t>
      </w:r>
      <w:r w:rsidRPr="000F1D26">
        <w:rPr>
          <w:rFonts w:eastAsia="Times New Roman" w:cs="Times New Roman"/>
          <w:rtl/>
          <w:lang w:eastAsia="de-DE"/>
        </w:rPr>
        <w:t xml:space="preserve"> </w:t>
      </w:r>
      <w:r w:rsidRPr="000F1D26">
        <w:rPr>
          <w:rFonts w:eastAsia="Times New Roman" w:cs="Times New Roman"/>
          <w:lang w:eastAsia="de-DE"/>
        </w:rPr>
        <w:t xml:space="preserve">(„und er hatte gegen den früheren König von Moab gekämpft") – </w:t>
      </w:r>
      <w:r w:rsidRPr="000F1D26">
        <w:rPr>
          <w:rFonts w:eastAsia="Times New Roman" w:cs="Times New Roman"/>
          <w:b/>
          <w:bCs/>
          <w:rtl/>
          <w:lang w:eastAsia="de-DE"/>
        </w:rPr>
        <w:t>וְהוּא</w:t>
      </w:r>
      <w:r w:rsidRPr="000F1D26">
        <w:rPr>
          <w:rFonts w:eastAsia="Times New Roman" w:cs="Times New Roman"/>
          <w:rtl/>
          <w:lang w:eastAsia="de-DE"/>
        </w:rPr>
        <w:t xml:space="preserve"> </w:t>
      </w:r>
      <w:r w:rsidRPr="000F1D26">
        <w:rPr>
          <w:rFonts w:eastAsia="Times New Roman" w:cs="Times New Roman"/>
          <w:lang w:eastAsia="de-DE"/>
        </w:rPr>
        <w:t xml:space="preserve">emphatisches Pronomen (Sichon), </w:t>
      </w:r>
      <w:r w:rsidRPr="000F1D26">
        <w:rPr>
          <w:rFonts w:eastAsia="Times New Roman" w:cs="Times New Roman"/>
          <w:b/>
          <w:bCs/>
          <w:rtl/>
          <w:lang w:eastAsia="de-DE"/>
        </w:rPr>
        <w:t>נִלְחַם</w:t>
      </w:r>
      <w:r w:rsidRPr="000F1D26">
        <w:rPr>
          <w:rFonts w:eastAsia="Times New Roman" w:cs="Times New Roman"/>
          <w:rtl/>
          <w:lang w:eastAsia="de-DE"/>
        </w:rPr>
        <w:t xml:space="preserve"> </w:t>
      </w:r>
      <w:r w:rsidRPr="000F1D26">
        <w:rPr>
          <w:rFonts w:eastAsia="Times New Roman" w:cs="Times New Roman"/>
          <w:lang w:eastAsia="de-DE"/>
        </w:rPr>
        <w:t xml:space="preserve">(Nifal Perfekt, 3. m. sg. von </w:t>
      </w:r>
      <w:r w:rsidRPr="000F1D26">
        <w:rPr>
          <w:rFonts w:eastAsia="Times New Roman" w:cs="Times New Roman"/>
          <w:b/>
          <w:bCs/>
          <w:rtl/>
          <w:lang w:eastAsia="de-DE"/>
        </w:rPr>
        <w:t>לחם</w:t>
      </w:r>
      <w:r w:rsidRPr="000F1D26">
        <w:rPr>
          <w:rFonts w:eastAsia="Times New Roman" w:cs="Times New Roman"/>
          <w:lang w:eastAsia="de-DE"/>
        </w:rPr>
        <w:t xml:space="preserve">, „er kämpfte"), </w:t>
      </w:r>
      <w:r w:rsidRPr="000F1D26">
        <w:rPr>
          <w:rFonts w:eastAsia="Times New Roman" w:cs="Times New Roman"/>
          <w:b/>
          <w:bCs/>
          <w:rtl/>
          <w:lang w:eastAsia="de-DE"/>
        </w:rPr>
        <w:t>בְּמֶלֶךְ מוֹאָב הָרִאשׁוֹן</w:t>
      </w:r>
      <w:r w:rsidRPr="000F1D26">
        <w:rPr>
          <w:rFonts w:eastAsia="Times New Roman" w:cs="Times New Roman"/>
          <w:rtl/>
          <w:lang w:eastAsia="de-DE"/>
        </w:rPr>
        <w:t xml:space="preserve"> </w:t>
      </w:r>
      <w:r w:rsidRPr="000F1D26">
        <w:rPr>
          <w:rFonts w:eastAsia="Times New Roman" w:cs="Times New Roman"/>
          <w:lang w:eastAsia="de-DE"/>
        </w:rPr>
        <w:t xml:space="preserve">(„gegen den früheren König von Moab") – </w:t>
      </w:r>
      <w:r w:rsidRPr="000F1D26">
        <w:rPr>
          <w:rFonts w:eastAsia="Times New Roman" w:cs="Times New Roman"/>
          <w:b/>
          <w:bCs/>
          <w:rtl/>
          <w:lang w:eastAsia="de-DE"/>
        </w:rPr>
        <w:t>הָרִאשׁוֹן</w:t>
      </w:r>
      <w:r w:rsidRPr="000F1D26">
        <w:rPr>
          <w:rFonts w:eastAsia="Times New Roman" w:cs="Times New Roman"/>
          <w:rtl/>
          <w:lang w:eastAsia="de-DE"/>
        </w:rPr>
        <w:t xml:space="preserve"> </w:t>
      </w:r>
      <w:r w:rsidRPr="000F1D26">
        <w:rPr>
          <w:rFonts w:eastAsia="Times New Roman" w:cs="Times New Roman"/>
          <w:lang w:eastAsia="de-DE"/>
        </w:rPr>
        <w:t>„der erste, frühere" mit Artikel bedeutet „der vorherige, der frühere König".</w:t>
      </w:r>
    </w:p>
    <w:p w14:paraId="7758112A"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Eroberung: </w:t>
      </w:r>
      <w:r w:rsidRPr="000F1D26">
        <w:rPr>
          <w:rFonts w:eastAsia="Times New Roman" w:cs="Times New Roman"/>
          <w:b/>
          <w:bCs/>
          <w:rtl/>
          <w:lang w:eastAsia="de-DE"/>
        </w:rPr>
        <w:t>וַיִּקַּח אֶת־כָּל־אַרְצוֹ מִיָּדוֹ עַד־אַרְנֹן</w:t>
      </w:r>
      <w:r w:rsidRPr="000F1D26">
        <w:rPr>
          <w:rFonts w:eastAsia="Times New Roman" w:cs="Times New Roman"/>
          <w:rtl/>
          <w:lang w:eastAsia="de-DE"/>
        </w:rPr>
        <w:t xml:space="preserve"> </w:t>
      </w:r>
      <w:r w:rsidRPr="000F1D26">
        <w:rPr>
          <w:rFonts w:eastAsia="Times New Roman" w:cs="Times New Roman"/>
          <w:lang w:eastAsia="de-DE"/>
        </w:rPr>
        <w:t xml:space="preserve">(„und er nahm sein ganzes Land aus seiner Hand bis zum Arnon") – </w:t>
      </w:r>
      <w:r w:rsidRPr="000F1D26">
        <w:rPr>
          <w:rFonts w:eastAsia="Times New Roman" w:cs="Times New Roman"/>
          <w:b/>
          <w:bCs/>
          <w:rtl/>
          <w:lang w:eastAsia="de-DE"/>
        </w:rPr>
        <w:t>וַיִּקַּח</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לקח</w:t>
      </w:r>
      <w:r w:rsidRPr="000F1D26">
        <w:rPr>
          <w:rFonts w:eastAsia="Times New Roman" w:cs="Times New Roman"/>
          <w:lang w:eastAsia="de-DE"/>
        </w:rPr>
        <w:t xml:space="preserve">), </w:t>
      </w:r>
      <w:r w:rsidRPr="000F1D26">
        <w:rPr>
          <w:rFonts w:eastAsia="Times New Roman" w:cs="Times New Roman"/>
          <w:b/>
          <w:bCs/>
          <w:rtl/>
          <w:lang w:eastAsia="de-DE"/>
        </w:rPr>
        <w:t>אֶת־כָּל־אַרְצוֹ</w:t>
      </w:r>
      <w:r w:rsidRPr="000F1D26">
        <w:rPr>
          <w:rFonts w:eastAsia="Times New Roman" w:cs="Times New Roman"/>
          <w:rtl/>
          <w:lang w:eastAsia="de-DE"/>
        </w:rPr>
        <w:t xml:space="preserve"> </w:t>
      </w:r>
      <w:r w:rsidRPr="000F1D26">
        <w:rPr>
          <w:rFonts w:eastAsia="Times New Roman" w:cs="Times New Roman"/>
          <w:lang w:eastAsia="de-DE"/>
        </w:rPr>
        <w:t xml:space="preserve">(„sein ganzes Land") mit </w:t>
      </w:r>
      <w:r w:rsidRPr="000F1D26">
        <w:rPr>
          <w:rFonts w:eastAsia="Times New Roman" w:cs="Times New Roman"/>
          <w:b/>
          <w:bCs/>
          <w:rtl/>
          <w:lang w:eastAsia="de-DE"/>
        </w:rPr>
        <w:t>כָּל</w:t>
      </w:r>
      <w:r w:rsidRPr="000F1D26">
        <w:rPr>
          <w:rFonts w:eastAsia="Times New Roman" w:cs="Times New Roman"/>
          <w:rtl/>
          <w:lang w:eastAsia="de-DE"/>
        </w:rPr>
        <w:t xml:space="preserve"> </w:t>
      </w:r>
      <w:r w:rsidRPr="000F1D26">
        <w:rPr>
          <w:rFonts w:eastAsia="Times New Roman" w:cs="Times New Roman"/>
          <w:lang w:eastAsia="de-DE"/>
        </w:rPr>
        <w:t xml:space="preserve">und Possessivsuffix 3. m. sg., </w:t>
      </w:r>
      <w:r w:rsidRPr="000F1D26">
        <w:rPr>
          <w:rFonts w:eastAsia="Times New Roman" w:cs="Times New Roman"/>
          <w:b/>
          <w:bCs/>
          <w:rtl/>
          <w:lang w:eastAsia="de-DE"/>
        </w:rPr>
        <w:t>מִיָּדוֹ</w:t>
      </w:r>
      <w:r w:rsidRPr="000F1D26">
        <w:rPr>
          <w:rFonts w:eastAsia="Times New Roman" w:cs="Times New Roman"/>
          <w:rtl/>
          <w:lang w:eastAsia="de-DE"/>
        </w:rPr>
        <w:t xml:space="preserve"> </w:t>
      </w:r>
      <w:r w:rsidRPr="000F1D26">
        <w:rPr>
          <w:rFonts w:eastAsia="Times New Roman" w:cs="Times New Roman"/>
          <w:lang w:eastAsia="de-DE"/>
        </w:rPr>
        <w:t xml:space="preserve">(„aus seiner Hand") idiomatisch „aus seiner Macht", </w:t>
      </w:r>
      <w:r w:rsidRPr="000F1D26">
        <w:rPr>
          <w:rFonts w:eastAsia="Times New Roman" w:cs="Times New Roman"/>
          <w:b/>
          <w:bCs/>
          <w:rtl/>
          <w:lang w:eastAsia="de-DE"/>
        </w:rPr>
        <w:t>עַד־אַרְנֹן</w:t>
      </w:r>
      <w:r w:rsidRPr="000F1D26">
        <w:rPr>
          <w:rFonts w:eastAsia="Times New Roman" w:cs="Times New Roman"/>
          <w:rtl/>
          <w:lang w:eastAsia="de-DE"/>
        </w:rPr>
        <w:t xml:space="preserve"> </w:t>
      </w:r>
      <w:r w:rsidRPr="000F1D26">
        <w:rPr>
          <w:rFonts w:eastAsia="Times New Roman" w:cs="Times New Roman"/>
          <w:lang w:eastAsia="de-DE"/>
        </w:rPr>
        <w:t>(„bis zum Arnon").</w:t>
      </w:r>
    </w:p>
    <w:p w14:paraId="08977B76"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Dieser Vers ist theologisch und rechtlich wichtig: Das Gebiet zwischen Arnon und Jabbok war </w:t>
      </w:r>
      <w:r w:rsidRPr="000F1D26">
        <w:rPr>
          <w:rFonts w:eastAsia="Times New Roman" w:cs="Times New Roman"/>
          <w:b/>
          <w:bCs/>
          <w:lang w:eastAsia="de-DE"/>
        </w:rPr>
        <w:t>ursprünglich</w:t>
      </w:r>
      <w:r w:rsidRPr="000F1D26">
        <w:rPr>
          <w:rFonts w:eastAsia="Times New Roman" w:cs="Times New Roman"/>
          <w:lang w:eastAsia="de-DE"/>
        </w:rPr>
        <w:t xml:space="preserve"> moabitisch, wurde aber von den Amoritern (unter Sichon) </w:t>
      </w:r>
      <w:r w:rsidRPr="000F1D26">
        <w:rPr>
          <w:rFonts w:eastAsia="Times New Roman" w:cs="Times New Roman"/>
          <w:b/>
          <w:bCs/>
          <w:lang w:eastAsia="de-DE"/>
        </w:rPr>
        <w:t>vor</w:t>
      </w:r>
      <w:r w:rsidRPr="000F1D26">
        <w:rPr>
          <w:rFonts w:eastAsia="Times New Roman" w:cs="Times New Roman"/>
          <w:lang w:eastAsia="de-DE"/>
        </w:rPr>
        <w:t xml:space="preserve"> Israels Ankunft erobert. Israel erobert es </w:t>
      </w:r>
      <w:r w:rsidRPr="000F1D26">
        <w:rPr>
          <w:rFonts w:eastAsia="Times New Roman" w:cs="Times New Roman"/>
          <w:b/>
          <w:bCs/>
          <w:lang w:eastAsia="de-DE"/>
        </w:rPr>
        <w:t>von den Amoritern</w:t>
      </w:r>
      <w:r w:rsidRPr="000F1D26">
        <w:rPr>
          <w:rFonts w:eastAsia="Times New Roman" w:cs="Times New Roman"/>
          <w:lang w:eastAsia="de-DE"/>
        </w:rPr>
        <w:t>, nicht von Moab. Dies legitimiert die Eroberung – Israel nimmt kein moabitisches Land (das wäre verboten, vgl. Dtn 2,9), sondern amoritisches. Diese Argumentation wird später in Ri 11,12-28 von Jiftach verwendet.</w:t>
      </w:r>
    </w:p>
    <w:p w14:paraId="36681371"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folgt dem hebräischen Text.</w:t>
      </w:r>
    </w:p>
    <w:p w14:paraId="51BEAB0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lastRenderedPageBreak/>
        <w:t xml:space="preserve">Die Satzstruktur zeigt drei koordinierte Hauptsätze: Der erste kausal mit Konjunktion, nominalem Prädikat (Constructus-Verbindung mit Apposition) und emphatischem Pronomen; der zweite mit emphatischem Pronomen, Verb und Präpositionalphrase (mit Adjektiv); der dritte mit Verb, Objekt (mit </w:t>
      </w:r>
      <w:r w:rsidRPr="000F1D26">
        <w:rPr>
          <w:rFonts w:eastAsia="Times New Roman" w:cs="Times New Roman"/>
          <w:b/>
          <w:bCs/>
          <w:rtl/>
          <w:lang w:eastAsia="de-DE"/>
        </w:rPr>
        <w:t>כָּל</w:t>
      </w:r>
      <w:r w:rsidRPr="000F1D26">
        <w:rPr>
          <w:rFonts w:eastAsia="Times New Roman" w:cs="Times New Roman"/>
          <w:rtl/>
          <w:lang w:eastAsia="de-DE"/>
        </w:rPr>
        <w:t xml:space="preserve"> </w:t>
      </w:r>
      <w:r w:rsidRPr="000F1D26">
        <w:rPr>
          <w:rFonts w:eastAsia="Times New Roman" w:cs="Times New Roman"/>
          <w:lang w:eastAsia="de-DE"/>
        </w:rPr>
        <w:t>und Possessivsuffix), Präpositionalphrase und Grenzangabe. Es gibt keine Nebensätze.</w:t>
      </w:r>
    </w:p>
    <w:p w14:paraId="1AB3B7E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liefert die historisch-rechtliche Begründung für Israels Landnahme: Sichon hatte Moab zuvor besiegt, Israel besiegt nun Sichon – eine doppelte Eroberung macht das Land israelitisch, nicht moabitisch.</w:t>
      </w:r>
    </w:p>
    <w:p w14:paraId="7BA317FE"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21,27</w:t>
      </w:r>
    </w:p>
    <w:p w14:paraId="3ADC6DE0"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עַל־כֵּ֛ן יֹאמְר֥וּ הַמֹּשְׁלִ֖ים בֹּ֣אוּ חֶשְׁבּ֑וֹן תִּבָּנֶ֥ה וְתִכּוֹנֵ֖ן עִ֥יר סִיחֽוֹן׃</w:t>
      </w:r>
    </w:p>
    <w:p w14:paraId="356FF4E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Darum sagen die Spruchdichter: Kommt nach Cheschbon! Gebaut und befestigt werde die Stadt Sichons!</w:t>
      </w:r>
    </w:p>
    <w:p w14:paraId="23141E09"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0B44CB4E">
          <v:rect id="_x0000_i1753" style="width:0;height:1.5pt" o:hralign="center" o:hrstd="t" o:hr="t" fillcolor="#a0a0a0" stroked="f"/>
        </w:pict>
      </w:r>
    </w:p>
    <w:p w14:paraId="55D1155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Die Zitationsformel </w:t>
      </w:r>
      <w:r w:rsidRPr="000F1D26">
        <w:rPr>
          <w:rFonts w:eastAsia="Times New Roman" w:cs="Times New Roman"/>
          <w:b/>
          <w:bCs/>
          <w:rtl/>
          <w:lang w:eastAsia="de-DE"/>
        </w:rPr>
        <w:t>עַל־כֵּן יֹאמְרוּ הַמֹּשְׁלִים</w:t>
      </w:r>
      <w:r w:rsidRPr="000F1D26">
        <w:rPr>
          <w:rFonts w:eastAsia="Times New Roman" w:cs="Times New Roman"/>
          <w:rtl/>
          <w:lang w:eastAsia="de-DE"/>
        </w:rPr>
        <w:t xml:space="preserve"> </w:t>
      </w:r>
      <w:r w:rsidRPr="000F1D26">
        <w:rPr>
          <w:rFonts w:eastAsia="Times New Roman" w:cs="Times New Roman"/>
          <w:lang w:eastAsia="de-DE"/>
        </w:rPr>
        <w:t xml:space="preserve">(„darum sagen die Spruchdichter") – </w:t>
      </w:r>
      <w:r w:rsidRPr="000F1D26">
        <w:rPr>
          <w:rFonts w:eastAsia="Times New Roman" w:cs="Times New Roman"/>
          <w:b/>
          <w:bCs/>
          <w:rtl/>
          <w:lang w:eastAsia="de-DE"/>
        </w:rPr>
        <w:t>עַל־כֵּן</w:t>
      </w:r>
      <w:r w:rsidRPr="000F1D26">
        <w:rPr>
          <w:rFonts w:eastAsia="Times New Roman" w:cs="Times New Roman"/>
          <w:rtl/>
          <w:lang w:eastAsia="de-DE"/>
        </w:rPr>
        <w:t xml:space="preserve"> </w:t>
      </w:r>
      <w:r w:rsidRPr="000F1D26">
        <w:rPr>
          <w:rFonts w:eastAsia="Times New Roman" w:cs="Times New Roman"/>
          <w:lang w:eastAsia="de-DE"/>
        </w:rPr>
        <w:t xml:space="preserve">„darum, deshalb", </w:t>
      </w:r>
      <w:r w:rsidRPr="000F1D26">
        <w:rPr>
          <w:rFonts w:eastAsia="Times New Roman" w:cs="Times New Roman"/>
          <w:b/>
          <w:bCs/>
          <w:rtl/>
          <w:lang w:eastAsia="de-DE"/>
        </w:rPr>
        <w:t>יֹאמְרוּ</w:t>
      </w:r>
      <w:r w:rsidRPr="000F1D26">
        <w:rPr>
          <w:rFonts w:eastAsia="Times New Roman" w:cs="Times New Roman"/>
          <w:rtl/>
          <w:lang w:eastAsia="de-DE"/>
        </w:rPr>
        <w:t xml:space="preserve"> </w:t>
      </w:r>
      <w:r w:rsidRPr="000F1D26">
        <w:rPr>
          <w:rFonts w:eastAsia="Times New Roman" w:cs="Times New Roman"/>
          <w:lang w:eastAsia="de-DE"/>
        </w:rPr>
        <w:t xml:space="preserve">(Qal Imperfekt, 3. m. pl. von </w:t>
      </w:r>
      <w:r w:rsidRPr="000F1D26">
        <w:rPr>
          <w:rFonts w:eastAsia="Times New Roman" w:cs="Times New Roman"/>
          <w:b/>
          <w:bCs/>
          <w:rtl/>
          <w:lang w:eastAsia="de-DE"/>
        </w:rPr>
        <w:t>אמר</w:t>
      </w:r>
      <w:r w:rsidRPr="000F1D26">
        <w:rPr>
          <w:rFonts w:eastAsia="Times New Roman" w:cs="Times New Roman"/>
          <w:lang w:eastAsia="de-DE"/>
        </w:rPr>
        <w:t xml:space="preserve">, „sie sagen, sie pflegten zu sagen"), </w:t>
      </w:r>
      <w:r w:rsidRPr="000F1D26">
        <w:rPr>
          <w:rFonts w:eastAsia="Times New Roman" w:cs="Times New Roman"/>
          <w:b/>
          <w:bCs/>
          <w:rtl/>
          <w:lang w:eastAsia="de-DE"/>
        </w:rPr>
        <w:t>הַמֹּשְׁלִים</w:t>
      </w:r>
      <w:r w:rsidRPr="000F1D26">
        <w:rPr>
          <w:rFonts w:eastAsia="Times New Roman" w:cs="Times New Roman"/>
          <w:rtl/>
          <w:lang w:eastAsia="de-DE"/>
        </w:rPr>
        <w:t xml:space="preserve"> </w:t>
      </w:r>
      <w:r w:rsidRPr="000F1D26">
        <w:rPr>
          <w:rFonts w:eastAsia="Times New Roman" w:cs="Times New Roman"/>
          <w:lang w:eastAsia="de-DE"/>
        </w:rPr>
        <w:t xml:space="preserve">(„die Spruchdichter") – Artikel plus Qal Partizip Plural von </w:t>
      </w:r>
      <w:r w:rsidRPr="000F1D26">
        <w:rPr>
          <w:rFonts w:eastAsia="Times New Roman" w:cs="Times New Roman"/>
          <w:b/>
          <w:bCs/>
          <w:rtl/>
          <w:lang w:eastAsia="de-DE"/>
        </w:rPr>
        <w:t>משׁל</w:t>
      </w:r>
      <w:r w:rsidRPr="000F1D26">
        <w:rPr>
          <w:rFonts w:eastAsia="Times New Roman" w:cs="Times New Roman"/>
          <w:rtl/>
          <w:lang w:eastAsia="de-DE"/>
        </w:rPr>
        <w:t xml:space="preserve"> </w:t>
      </w:r>
      <w:r w:rsidRPr="000F1D26">
        <w:rPr>
          <w:rFonts w:eastAsia="Times New Roman" w:cs="Times New Roman"/>
          <w:lang w:eastAsia="de-DE"/>
        </w:rPr>
        <w:t xml:space="preserve">„herrschen, einen Spruch machen". </w:t>
      </w:r>
      <w:r w:rsidRPr="000F1D26">
        <w:rPr>
          <w:rFonts w:eastAsia="Times New Roman" w:cs="Times New Roman"/>
          <w:b/>
          <w:bCs/>
          <w:rtl/>
          <w:lang w:eastAsia="de-DE"/>
        </w:rPr>
        <w:t>מֹשֵׁל</w:t>
      </w:r>
      <w:r w:rsidRPr="000F1D26">
        <w:rPr>
          <w:rFonts w:eastAsia="Times New Roman" w:cs="Times New Roman"/>
          <w:rtl/>
          <w:lang w:eastAsia="de-DE"/>
        </w:rPr>
        <w:t xml:space="preserve"> </w:t>
      </w:r>
      <w:r w:rsidRPr="000F1D26">
        <w:rPr>
          <w:rFonts w:eastAsia="Times New Roman" w:cs="Times New Roman"/>
          <w:lang w:eastAsia="de-DE"/>
        </w:rPr>
        <w:t>kann bedeuten „Herrscher" oder „Spruchdichter, Verfasser von Gleichnissen/Sprichwörtern" (vgl. Hiob 27,1; Ps 49,5). Hier sind professionelle Dichter gemeint, die Spottlieder und Triumphlieder verfassen.</w:t>
      </w:r>
    </w:p>
    <w:p w14:paraId="512D5F4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Das zitierte Lied beginnt mit dem Imperativ </w:t>
      </w:r>
      <w:r w:rsidRPr="000F1D26">
        <w:rPr>
          <w:rFonts w:eastAsia="Times New Roman" w:cs="Times New Roman"/>
          <w:b/>
          <w:bCs/>
          <w:rtl/>
          <w:lang w:eastAsia="de-DE"/>
        </w:rPr>
        <w:t>בֹּאוּ חֶשְׁבּוֹן</w:t>
      </w:r>
      <w:r w:rsidRPr="000F1D26">
        <w:rPr>
          <w:rFonts w:eastAsia="Times New Roman" w:cs="Times New Roman"/>
          <w:rtl/>
          <w:lang w:eastAsia="de-DE"/>
        </w:rPr>
        <w:t xml:space="preserve"> </w:t>
      </w:r>
      <w:r w:rsidRPr="000F1D26">
        <w:rPr>
          <w:rFonts w:eastAsia="Times New Roman" w:cs="Times New Roman"/>
          <w:lang w:eastAsia="de-DE"/>
        </w:rPr>
        <w:t xml:space="preserve">(„kommt nach Heschbon!") – </w:t>
      </w:r>
      <w:r w:rsidRPr="000F1D26">
        <w:rPr>
          <w:rFonts w:eastAsia="Times New Roman" w:cs="Times New Roman"/>
          <w:b/>
          <w:bCs/>
          <w:rtl/>
          <w:lang w:eastAsia="de-DE"/>
        </w:rPr>
        <w:t>בֹּאוּ</w:t>
      </w:r>
      <w:r w:rsidRPr="000F1D26">
        <w:rPr>
          <w:rFonts w:eastAsia="Times New Roman" w:cs="Times New Roman"/>
          <w:rtl/>
          <w:lang w:eastAsia="de-DE"/>
        </w:rPr>
        <w:t xml:space="preserve"> </w:t>
      </w:r>
      <w:r w:rsidRPr="000F1D26">
        <w:rPr>
          <w:rFonts w:eastAsia="Times New Roman" w:cs="Times New Roman"/>
          <w:lang w:eastAsia="de-DE"/>
        </w:rPr>
        <w:t xml:space="preserve">(Qal Imperativ Plural von </w:t>
      </w:r>
      <w:r w:rsidRPr="000F1D26">
        <w:rPr>
          <w:rFonts w:eastAsia="Times New Roman" w:cs="Times New Roman"/>
          <w:b/>
          <w:bCs/>
          <w:rtl/>
          <w:lang w:eastAsia="de-DE"/>
        </w:rPr>
        <w:t>בוא</w:t>
      </w:r>
      <w:r w:rsidRPr="000F1D26">
        <w:rPr>
          <w:rFonts w:eastAsia="Times New Roman" w:cs="Times New Roman"/>
          <w:lang w:eastAsia="de-DE"/>
        </w:rPr>
        <w:t xml:space="preserve">), </w:t>
      </w:r>
      <w:r w:rsidRPr="000F1D26">
        <w:rPr>
          <w:rFonts w:eastAsia="Times New Roman" w:cs="Times New Roman"/>
          <w:b/>
          <w:bCs/>
          <w:rtl/>
          <w:lang w:eastAsia="de-DE"/>
        </w:rPr>
        <w:t>חֶשְׁבּוֹן</w:t>
      </w:r>
      <w:r w:rsidRPr="000F1D26">
        <w:rPr>
          <w:rFonts w:eastAsia="Times New Roman" w:cs="Times New Roman"/>
          <w:rtl/>
          <w:lang w:eastAsia="de-DE"/>
        </w:rPr>
        <w:t xml:space="preserve"> </w:t>
      </w:r>
      <w:r w:rsidRPr="000F1D26">
        <w:rPr>
          <w:rFonts w:eastAsia="Times New Roman" w:cs="Times New Roman"/>
          <w:lang w:eastAsia="de-DE"/>
        </w:rPr>
        <w:t xml:space="preserve">als Ortsangabe. Die doppelte Jussiv-Form </w:t>
      </w:r>
      <w:r w:rsidRPr="000F1D26">
        <w:rPr>
          <w:rFonts w:eastAsia="Times New Roman" w:cs="Times New Roman"/>
          <w:b/>
          <w:bCs/>
          <w:rtl/>
          <w:lang w:eastAsia="de-DE"/>
        </w:rPr>
        <w:t>תִּבָּנֶה וְתִכּוֹנֵן עִיר סִיחוֹן</w:t>
      </w:r>
      <w:r w:rsidRPr="000F1D26">
        <w:rPr>
          <w:rFonts w:eastAsia="Times New Roman" w:cs="Times New Roman"/>
          <w:rtl/>
          <w:lang w:eastAsia="de-DE"/>
        </w:rPr>
        <w:t xml:space="preserve"> </w:t>
      </w:r>
      <w:r w:rsidRPr="000F1D26">
        <w:rPr>
          <w:rFonts w:eastAsia="Times New Roman" w:cs="Times New Roman"/>
          <w:lang w:eastAsia="de-DE"/>
        </w:rPr>
        <w:t xml:space="preserve">(„gebaut und befestigt werde die Stadt Sichons!") – </w:t>
      </w:r>
      <w:r w:rsidRPr="000F1D26">
        <w:rPr>
          <w:rFonts w:eastAsia="Times New Roman" w:cs="Times New Roman"/>
          <w:b/>
          <w:bCs/>
          <w:rtl/>
          <w:lang w:eastAsia="de-DE"/>
        </w:rPr>
        <w:t>תִּבָּנֶה</w:t>
      </w:r>
      <w:r w:rsidRPr="000F1D26">
        <w:rPr>
          <w:rFonts w:eastAsia="Times New Roman" w:cs="Times New Roman"/>
          <w:rtl/>
          <w:lang w:eastAsia="de-DE"/>
        </w:rPr>
        <w:t xml:space="preserve"> </w:t>
      </w:r>
      <w:r w:rsidRPr="000F1D26">
        <w:rPr>
          <w:rFonts w:eastAsia="Times New Roman" w:cs="Times New Roman"/>
          <w:lang w:eastAsia="de-DE"/>
        </w:rPr>
        <w:t xml:space="preserve">(Nifal Imperfekt/Jussiv, 3. f. sg. von </w:t>
      </w:r>
      <w:r w:rsidRPr="000F1D26">
        <w:rPr>
          <w:rFonts w:eastAsia="Times New Roman" w:cs="Times New Roman"/>
          <w:b/>
          <w:bCs/>
          <w:rtl/>
          <w:lang w:eastAsia="de-DE"/>
        </w:rPr>
        <w:t>בנה</w:t>
      </w:r>
      <w:r w:rsidRPr="000F1D26">
        <w:rPr>
          <w:rFonts w:eastAsia="Times New Roman" w:cs="Times New Roman"/>
          <w:lang w:eastAsia="de-DE"/>
        </w:rPr>
        <w:t xml:space="preserve">, „sie werde gebaut"), </w:t>
      </w:r>
      <w:r w:rsidRPr="000F1D26">
        <w:rPr>
          <w:rFonts w:eastAsia="Times New Roman" w:cs="Times New Roman"/>
          <w:b/>
          <w:bCs/>
          <w:rtl/>
          <w:lang w:eastAsia="de-DE"/>
        </w:rPr>
        <w:t>וְתִכּוֹנֵן</w:t>
      </w:r>
      <w:r w:rsidRPr="000F1D26">
        <w:rPr>
          <w:rFonts w:eastAsia="Times New Roman" w:cs="Times New Roman"/>
          <w:rtl/>
          <w:lang w:eastAsia="de-DE"/>
        </w:rPr>
        <w:t xml:space="preserve"> </w:t>
      </w:r>
      <w:r w:rsidRPr="000F1D26">
        <w:rPr>
          <w:rFonts w:eastAsia="Times New Roman" w:cs="Times New Roman"/>
          <w:lang w:eastAsia="de-DE"/>
        </w:rPr>
        <w:t xml:space="preserve">(Waw + Polal Imperfekt/Jussiv, 3. f. sg. von </w:t>
      </w:r>
      <w:r w:rsidRPr="000F1D26">
        <w:rPr>
          <w:rFonts w:eastAsia="Times New Roman" w:cs="Times New Roman"/>
          <w:b/>
          <w:bCs/>
          <w:rtl/>
          <w:lang w:eastAsia="de-DE"/>
        </w:rPr>
        <w:t>כון</w:t>
      </w:r>
      <w:r w:rsidRPr="000F1D26">
        <w:rPr>
          <w:rFonts w:eastAsia="Times New Roman" w:cs="Times New Roman"/>
          <w:lang w:eastAsia="de-DE"/>
        </w:rPr>
        <w:t xml:space="preserve">, „und sie werde befestigt, fest gegründet") – die Polal-Form ist eine intensive Passivform. </w:t>
      </w:r>
      <w:r w:rsidRPr="000F1D26">
        <w:rPr>
          <w:rFonts w:eastAsia="Times New Roman" w:cs="Times New Roman"/>
          <w:b/>
          <w:bCs/>
          <w:rtl/>
          <w:lang w:eastAsia="de-DE"/>
        </w:rPr>
        <w:t>עִיר סִיחוֹן</w:t>
      </w:r>
      <w:r w:rsidRPr="000F1D26">
        <w:rPr>
          <w:rFonts w:eastAsia="Times New Roman" w:cs="Times New Roman"/>
          <w:rtl/>
          <w:lang w:eastAsia="de-DE"/>
        </w:rPr>
        <w:t xml:space="preserve"> </w:t>
      </w:r>
      <w:r w:rsidRPr="000F1D26">
        <w:rPr>
          <w:rFonts w:eastAsia="Times New Roman" w:cs="Times New Roman"/>
          <w:lang w:eastAsia="de-DE"/>
        </w:rPr>
        <w:t>(„Stadt Sichons", Constructus-Verbindung) ist das Subjekt.</w:t>
      </w:r>
    </w:p>
    <w:p w14:paraId="54AE4153"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Das Lied stammt vermutlich aus der Zeit </w:t>
      </w:r>
      <w:r w:rsidRPr="000F1D26">
        <w:rPr>
          <w:rFonts w:eastAsia="Times New Roman" w:cs="Times New Roman"/>
          <w:b/>
          <w:bCs/>
          <w:lang w:eastAsia="de-DE"/>
        </w:rPr>
        <w:t>vor</w:t>
      </w:r>
      <w:r w:rsidRPr="000F1D26">
        <w:rPr>
          <w:rFonts w:eastAsia="Times New Roman" w:cs="Times New Roman"/>
          <w:lang w:eastAsia="de-DE"/>
        </w:rPr>
        <w:t xml:space="preserve"> Israels Eroberung – es ist ein amoritisches Triumphgedicht über Sichons Sieg über Moab. Israel zitiert ironisch das Siegeslied der besiegten Feinde. Oder es ist ein israelitisches Spottlied, das die amoritische Form imitiert.</w:t>
      </w:r>
    </w:p>
    <w:p w14:paraId="3C0CEF02" w14:textId="12396CA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w:t>
      </w:r>
      <w:r w:rsidR="00C303D4">
        <w:t>übersetzt „</w:t>
      </w:r>
      <w:r w:rsidR="00C303D4" w:rsidRPr="00C303D4">
        <w:rPr>
          <w:b/>
          <w:bCs/>
          <w:rtl/>
        </w:rPr>
        <w:t>הַמֹּשְׁלִים</w:t>
      </w:r>
      <w:r w:rsidR="00C303D4">
        <w:t>" (die Spruchdichter/Dichter) mit „οἱ αἰνιγματισταί" (die Rätselsteller), was eine andere literarische Charakterisierung darstellt.</w:t>
      </w:r>
    </w:p>
    <w:p w14:paraId="573A021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einen Hauptsatz mit kausaler Einleitung, Verb und Subjekt, gefolgt von einem zitierten Lied: Ein imperativischer Hauptsatz (Imperativ mit Ortsangabe) und ein Jussiv-Satz mit doppeltem Verb (beide Passiv) und Subjekt (Constructus-Verbindung). Es gibt keine subordinierten Nebensätze.</w:t>
      </w:r>
    </w:p>
    <w:p w14:paraId="676FB29A"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leitet ein altes Siegeslied ein, das Sichons frühere Eroberung Moabs feiert – nun zitiert von Israel nach Sichons Niederlage. Die Ironie ist doppelt: Der Triumphator wurde selbst besiegt.</w:t>
      </w:r>
    </w:p>
    <w:p w14:paraId="4323B442"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lastRenderedPageBreak/>
        <w:t>Numeri 21,28-30</w:t>
      </w:r>
    </w:p>
    <w:p w14:paraId="4BC71A8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כִּי־אֵשׁ֙ יָֽצְאָ֣ה מֵֽחֶשְׁבּ֔וֹן לֶהָבָ֖ה מִקִּרְיַ֣ת סִיחֹ֑ן אָֽכְלָה֙ עָ֣ר מוֹאָ֔ב בַּעֲלֵ֖י בָּמ֥וֹת אַרְנֹֽן׃ אוֹי־לְךָ֣ מוֹאָ֔ב אָבַ֖דְתָּ עַם־כְּמ֑וֹשׁ נָתַ֨ן בָּנָ֤יו פְּלֵיטִם֙ וּבְנֹתָ֣יו בַּשְּׁבִ֔ית לְמֶ֥לֶךְ אֱמֹרִ֖י סִיחֽוֹן׃ וַנִּירָ֛ם אָבַ֥ד חֶשְׁבּ֖וֹן עַד־דִּיב֑וֹן וַנַּשִּׁ֣ים עַד־נֹ֔פַח אֲשֶׁ֖ר עַד־מֵֽידְבָֽא׃</w:t>
      </w:r>
    </w:p>
    <w:p w14:paraId="30524D2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Denn Feuer ging aus von Cheschbon, eine Flamme aus der Stadt Sichons; es fraß Ar-Moab, die Herren der Höhen des Arnon. Wehe dir, Moab! Du bist verloren, Volk des Kemosch! Er hat seine Söhne zu Flüchtlingen gemacht und seine Töchter in die Gefangenschaft Sichons, des Königs der Amoriter, gegeben. Da haben wir auf sie geschossen, Cheschbon ist verloren bis Dibon; und wir haben verwüstet bis Nophach, das bis Medeba (reicht).</w:t>
      </w:r>
    </w:p>
    <w:p w14:paraId="60664793"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69381480">
          <v:rect id="_x0000_i1754" style="width:0;height:1.5pt" o:hralign="center" o:hrstd="t" o:hr="t" fillcolor="#a0a0a0" stroked="f"/>
        </w:pict>
      </w:r>
    </w:p>
    <w:p w14:paraId="4ED4C903"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w:t>
      </w:r>
      <w:r w:rsidRPr="000F1D26">
        <w:rPr>
          <w:rFonts w:eastAsia="Times New Roman" w:cs="Times New Roman"/>
          <w:b/>
          <w:bCs/>
          <w:lang w:eastAsia="de-DE"/>
        </w:rPr>
        <w:t>Vers 28:</w:t>
      </w:r>
      <w:r w:rsidRPr="000F1D26">
        <w:rPr>
          <w:rFonts w:eastAsia="Times New Roman" w:cs="Times New Roman"/>
          <w:lang w:eastAsia="de-DE"/>
        </w:rPr>
        <w:t xml:space="preserve"> Die poetische Metapher </w:t>
      </w:r>
      <w:r w:rsidRPr="000F1D26">
        <w:rPr>
          <w:rFonts w:eastAsia="Times New Roman" w:cs="Times New Roman"/>
          <w:b/>
          <w:bCs/>
          <w:rtl/>
          <w:lang w:eastAsia="de-DE"/>
        </w:rPr>
        <w:t>כִּי־אֵשׁ יָצְאָה מֵחֶשְׁבּוֹן לֶהָבָה מִקִּרְיַת סִיחֹן</w:t>
      </w:r>
      <w:r w:rsidRPr="000F1D26">
        <w:rPr>
          <w:rFonts w:eastAsia="Times New Roman" w:cs="Times New Roman"/>
          <w:rtl/>
          <w:lang w:eastAsia="de-DE"/>
        </w:rPr>
        <w:t xml:space="preserve"> </w:t>
      </w:r>
      <w:r w:rsidRPr="000F1D26">
        <w:rPr>
          <w:rFonts w:eastAsia="Times New Roman" w:cs="Times New Roman"/>
          <w:lang w:eastAsia="de-DE"/>
        </w:rPr>
        <w:t xml:space="preserve">(„denn Feuer ging aus von Heschbon, eine Flamme aus der Stadt Sichons") – </w:t>
      </w:r>
      <w:r w:rsidRPr="000F1D26">
        <w:rPr>
          <w:rFonts w:eastAsia="Times New Roman" w:cs="Times New Roman"/>
          <w:b/>
          <w:bCs/>
          <w:rtl/>
          <w:lang w:eastAsia="de-DE"/>
        </w:rPr>
        <w:t>כִּי</w:t>
      </w:r>
      <w:r w:rsidRPr="000F1D26">
        <w:rPr>
          <w:rFonts w:eastAsia="Times New Roman" w:cs="Times New Roman"/>
          <w:rtl/>
          <w:lang w:eastAsia="de-DE"/>
        </w:rPr>
        <w:t xml:space="preserve"> </w:t>
      </w:r>
      <w:r w:rsidRPr="000F1D26">
        <w:rPr>
          <w:rFonts w:eastAsia="Times New Roman" w:cs="Times New Roman"/>
          <w:lang w:eastAsia="de-DE"/>
        </w:rPr>
        <w:t xml:space="preserve">„denn", </w:t>
      </w:r>
      <w:r w:rsidRPr="000F1D26">
        <w:rPr>
          <w:rFonts w:eastAsia="Times New Roman" w:cs="Times New Roman"/>
          <w:b/>
          <w:bCs/>
          <w:rtl/>
          <w:lang w:eastAsia="de-DE"/>
        </w:rPr>
        <w:t>אֵשׁ</w:t>
      </w:r>
      <w:r w:rsidRPr="000F1D26">
        <w:rPr>
          <w:rFonts w:eastAsia="Times New Roman" w:cs="Times New Roman"/>
          <w:rtl/>
          <w:lang w:eastAsia="de-DE"/>
        </w:rPr>
        <w:t xml:space="preserve"> </w:t>
      </w:r>
      <w:r w:rsidRPr="000F1D26">
        <w:rPr>
          <w:rFonts w:eastAsia="Times New Roman" w:cs="Times New Roman"/>
          <w:lang w:eastAsia="de-DE"/>
        </w:rPr>
        <w:t xml:space="preserve">„Feuer" Subjekt, </w:t>
      </w:r>
      <w:r w:rsidRPr="000F1D26">
        <w:rPr>
          <w:rFonts w:eastAsia="Times New Roman" w:cs="Times New Roman"/>
          <w:b/>
          <w:bCs/>
          <w:rtl/>
          <w:lang w:eastAsia="de-DE"/>
        </w:rPr>
        <w:t>יָצְאָה</w:t>
      </w:r>
      <w:r w:rsidRPr="000F1D26">
        <w:rPr>
          <w:rFonts w:eastAsia="Times New Roman" w:cs="Times New Roman"/>
          <w:rtl/>
          <w:lang w:eastAsia="de-DE"/>
        </w:rPr>
        <w:t xml:space="preserve"> </w:t>
      </w:r>
      <w:r w:rsidRPr="000F1D26">
        <w:rPr>
          <w:rFonts w:eastAsia="Times New Roman" w:cs="Times New Roman"/>
          <w:lang w:eastAsia="de-DE"/>
        </w:rPr>
        <w:t xml:space="preserve">(Qal Perfekt, 3. f. sg. von </w:t>
      </w:r>
      <w:r w:rsidRPr="000F1D26">
        <w:rPr>
          <w:rFonts w:eastAsia="Times New Roman" w:cs="Times New Roman"/>
          <w:b/>
          <w:bCs/>
          <w:rtl/>
          <w:lang w:eastAsia="de-DE"/>
        </w:rPr>
        <w:t>יצא</w:t>
      </w:r>
      <w:r w:rsidRPr="000F1D26">
        <w:rPr>
          <w:rFonts w:eastAsia="Times New Roman" w:cs="Times New Roman"/>
          <w:lang w:eastAsia="de-DE"/>
        </w:rPr>
        <w:t xml:space="preserve">, „sie ging aus"), </w:t>
      </w:r>
      <w:r w:rsidRPr="000F1D26">
        <w:rPr>
          <w:rFonts w:eastAsia="Times New Roman" w:cs="Times New Roman"/>
          <w:b/>
          <w:bCs/>
          <w:rtl/>
          <w:lang w:eastAsia="de-DE"/>
        </w:rPr>
        <w:t>מֵחֶשְׁבּוֹן</w:t>
      </w:r>
      <w:r w:rsidRPr="000F1D26">
        <w:rPr>
          <w:rFonts w:eastAsia="Times New Roman" w:cs="Times New Roman"/>
          <w:rtl/>
          <w:lang w:eastAsia="de-DE"/>
        </w:rPr>
        <w:t xml:space="preserve"> </w:t>
      </w:r>
      <w:r w:rsidRPr="000F1D26">
        <w:rPr>
          <w:rFonts w:eastAsia="Times New Roman" w:cs="Times New Roman"/>
          <w:lang w:eastAsia="de-DE"/>
        </w:rPr>
        <w:t xml:space="preserve">„von Heschbon", </w:t>
      </w:r>
      <w:r w:rsidRPr="000F1D26">
        <w:rPr>
          <w:rFonts w:eastAsia="Times New Roman" w:cs="Times New Roman"/>
          <w:b/>
          <w:bCs/>
          <w:rtl/>
          <w:lang w:eastAsia="de-DE"/>
        </w:rPr>
        <w:t>לֶהָבָה</w:t>
      </w:r>
      <w:r w:rsidRPr="000F1D26">
        <w:rPr>
          <w:rFonts w:eastAsia="Times New Roman" w:cs="Times New Roman"/>
          <w:rtl/>
          <w:lang w:eastAsia="de-DE"/>
        </w:rPr>
        <w:t xml:space="preserve"> </w:t>
      </w:r>
      <w:r w:rsidRPr="000F1D26">
        <w:rPr>
          <w:rFonts w:eastAsia="Times New Roman" w:cs="Times New Roman"/>
          <w:lang w:eastAsia="de-DE"/>
        </w:rPr>
        <w:t xml:space="preserve">„Flamme" als paralleles Subjekt (poetischer Parallelismus), </w:t>
      </w:r>
      <w:r w:rsidRPr="000F1D26">
        <w:rPr>
          <w:rFonts w:eastAsia="Times New Roman" w:cs="Times New Roman"/>
          <w:b/>
          <w:bCs/>
          <w:rtl/>
          <w:lang w:eastAsia="de-DE"/>
        </w:rPr>
        <w:t>מִקִּרְיַת סִיחֹן</w:t>
      </w:r>
      <w:r w:rsidRPr="000F1D26">
        <w:rPr>
          <w:rFonts w:eastAsia="Times New Roman" w:cs="Times New Roman"/>
          <w:rtl/>
          <w:lang w:eastAsia="de-DE"/>
        </w:rPr>
        <w:t xml:space="preserve"> </w:t>
      </w:r>
      <w:r w:rsidRPr="000F1D26">
        <w:rPr>
          <w:rFonts w:eastAsia="Times New Roman" w:cs="Times New Roman"/>
          <w:lang w:eastAsia="de-DE"/>
        </w:rPr>
        <w:t>(„aus der Stadt Sichons", Constructus-Verbindung). Das Feuer symbolisiert Krieg und Zerstörung.</w:t>
      </w:r>
    </w:p>
    <w:p w14:paraId="5430668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Destruktion: </w:t>
      </w:r>
      <w:r w:rsidRPr="000F1D26">
        <w:rPr>
          <w:rFonts w:eastAsia="Times New Roman" w:cs="Times New Roman"/>
          <w:b/>
          <w:bCs/>
          <w:rtl/>
          <w:lang w:eastAsia="de-DE"/>
        </w:rPr>
        <w:t>אָכְלָה עָר מוֹאָב בַּעֲלֵי בָּמוֹת אַרְנֹן</w:t>
      </w:r>
      <w:r w:rsidRPr="000F1D26">
        <w:rPr>
          <w:rFonts w:eastAsia="Times New Roman" w:cs="Times New Roman"/>
          <w:rtl/>
          <w:lang w:eastAsia="de-DE"/>
        </w:rPr>
        <w:t xml:space="preserve"> </w:t>
      </w:r>
      <w:r w:rsidRPr="000F1D26">
        <w:rPr>
          <w:rFonts w:eastAsia="Times New Roman" w:cs="Times New Roman"/>
          <w:lang w:eastAsia="de-DE"/>
        </w:rPr>
        <w:t xml:space="preserve">(„es fraß Ar-Moab, die Herren der Höhen des Arnon") – </w:t>
      </w:r>
      <w:r w:rsidRPr="000F1D26">
        <w:rPr>
          <w:rFonts w:eastAsia="Times New Roman" w:cs="Times New Roman"/>
          <w:b/>
          <w:bCs/>
          <w:rtl/>
          <w:lang w:eastAsia="de-DE"/>
        </w:rPr>
        <w:t>אָכְלָה</w:t>
      </w:r>
      <w:r w:rsidRPr="000F1D26">
        <w:rPr>
          <w:rFonts w:eastAsia="Times New Roman" w:cs="Times New Roman"/>
          <w:rtl/>
          <w:lang w:eastAsia="de-DE"/>
        </w:rPr>
        <w:t xml:space="preserve"> </w:t>
      </w:r>
      <w:r w:rsidRPr="000F1D26">
        <w:rPr>
          <w:rFonts w:eastAsia="Times New Roman" w:cs="Times New Roman"/>
          <w:lang w:eastAsia="de-DE"/>
        </w:rPr>
        <w:t xml:space="preserve">(Qal Perfekt, 3. f. sg. von </w:t>
      </w:r>
      <w:r w:rsidRPr="000F1D26">
        <w:rPr>
          <w:rFonts w:eastAsia="Times New Roman" w:cs="Times New Roman"/>
          <w:b/>
          <w:bCs/>
          <w:rtl/>
          <w:lang w:eastAsia="de-DE"/>
        </w:rPr>
        <w:t>אכל</w:t>
      </w:r>
      <w:r w:rsidRPr="000F1D26">
        <w:rPr>
          <w:rFonts w:eastAsia="Times New Roman" w:cs="Times New Roman"/>
          <w:lang w:eastAsia="de-DE"/>
        </w:rPr>
        <w:t xml:space="preserve">, „es fraß"), </w:t>
      </w:r>
      <w:r w:rsidRPr="000F1D26">
        <w:rPr>
          <w:rFonts w:eastAsia="Times New Roman" w:cs="Times New Roman"/>
          <w:b/>
          <w:bCs/>
          <w:rtl/>
          <w:lang w:eastAsia="de-DE"/>
        </w:rPr>
        <w:t>עָר מוֹאָב</w:t>
      </w:r>
      <w:r w:rsidRPr="000F1D26">
        <w:rPr>
          <w:rFonts w:eastAsia="Times New Roman" w:cs="Times New Roman"/>
          <w:rtl/>
          <w:lang w:eastAsia="de-DE"/>
        </w:rPr>
        <w:t xml:space="preserve"> </w:t>
      </w:r>
      <w:r w:rsidRPr="000F1D26">
        <w:rPr>
          <w:rFonts w:eastAsia="Times New Roman" w:cs="Times New Roman"/>
          <w:lang w:eastAsia="de-DE"/>
        </w:rPr>
        <w:t xml:space="preserve">(„Ar-Moab", Constructus-Verbindung) – </w:t>
      </w:r>
      <w:r w:rsidRPr="000F1D26">
        <w:rPr>
          <w:rFonts w:eastAsia="Times New Roman" w:cs="Times New Roman"/>
          <w:b/>
          <w:bCs/>
          <w:rtl/>
          <w:lang w:eastAsia="de-DE"/>
        </w:rPr>
        <w:t>עָר</w:t>
      </w:r>
      <w:r w:rsidRPr="000F1D26">
        <w:rPr>
          <w:rFonts w:eastAsia="Times New Roman" w:cs="Times New Roman"/>
          <w:rtl/>
          <w:lang w:eastAsia="de-DE"/>
        </w:rPr>
        <w:t xml:space="preserve"> </w:t>
      </w:r>
      <w:r w:rsidRPr="000F1D26">
        <w:rPr>
          <w:rFonts w:eastAsia="Times New Roman" w:cs="Times New Roman"/>
          <w:lang w:eastAsia="de-DE"/>
        </w:rPr>
        <w:t xml:space="preserve">ist eine moabitische Stadt (vgl. Vers 15), </w:t>
      </w:r>
      <w:r w:rsidRPr="000F1D26">
        <w:rPr>
          <w:rFonts w:eastAsia="Times New Roman" w:cs="Times New Roman"/>
          <w:b/>
          <w:bCs/>
          <w:rtl/>
          <w:lang w:eastAsia="de-DE"/>
        </w:rPr>
        <w:t>בַּעֲלֵי בָּמוֹת אַרְנֹן</w:t>
      </w:r>
      <w:r w:rsidRPr="000F1D26">
        <w:rPr>
          <w:rFonts w:eastAsia="Times New Roman" w:cs="Times New Roman"/>
          <w:rtl/>
          <w:lang w:eastAsia="de-DE"/>
        </w:rPr>
        <w:t xml:space="preserve"> </w:t>
      </w:r>
      <w:r w:rsidRPr="000F1D26">
        <w:rPr>
          <w:rFonts w:eastAsia="Times New Roman" w:cs="Times New Roman"/>
          <w:lang w:eastAsia="de-DE"/>
        </w:rPr>
        <w:t xml:space="preserve">(„die Herren/Besitzer der Höhen des Arnon", Constructus-Verbindung) – </w:t>
      </w:r>
      <w:r w:rsidRPr="000F1D26">
        <w:rPr>
          <w:rFonts w:eastAsia="Times New Roman" w:cs="Times New Roman"/>
          <w:b/>
          <w:bCs/>
          <w:rtl/>
          <w:lang w:eastAsia="de-DE"/>
        </w:rPr>
        <w:t>בַּעַל</w:t>
      </w:r>
      <w:r w:rsidRPr="000F1D26">
        <w:rPr>
          <w:rFonts w:eastAsia="Times New Roman" w:cs="Times New Roman"/>
          <w:rtl/>
          <w:lang w:eastAsia="de-DE"/>
        </w:rPr>
        <w:t xml:space="preserve"> </w:t>
      </w:r>
      <w:r w:rsidRPr="000F1D26">
        <w:rPr>
          <w:rFonts w:eastAsia="Times New Roman" w:cs="Times New Roman"/>
          <w:lang w:eastAsia="de-DE"/>
        </w:rPr>
        <w:t>„Herr, Besitzer" im Plural Constructus. Das Feuer „fraß" die moabitischen Städte und Festungen.</w:t>
      </w:r>
    </w:p>
    <w:p w14:paraId="5FDA6591"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Vers 29:</w:t>
      </w:r>
      <w:r w:rsidRPr="000F1D26">
        <w:rPr>
          <w:rFonts w:eastAsia="Times New Roman" w:cs="Times New Roman"/>
          <w:lang w:eastAsia="de-DE"/>
        </w:rPr>
        <w:t xml:space="preserve"> Der Weheschrei </w:t>
      </w:r>
      <w:r w:rsidRPr="000F1D26">
        <w:rPr>
          <w:rFonts w:eastAsia="Times New Roman" w:cs="Times New Roman"/>
          <w:b/>
          <w:bCs/>
          <w:rtl/>
          <w:lang w:eastAsia="de-DE"/>
        </w:rPr>
        <w:t>אוֹי־לְךָ מוֹאָב</w:t>
      </w:r>
      <w:r w:rsidRPr="000F1D26">
        <w:rPr>
          <w:rFonts w:eastAsia="Times New Roman" w:cs="Times New Roman"/>
          <w:rtl/>
          <w:lang w:eastAsia="de-DE"/>
        </w:rPr>
        <w:t xml:space="preserve"> </w:t>
      </w:r>
      <w:r w:rsidRPr="000F1D26">
        <w:rPr>
          <w:rFonts w:eastAsia="Times New Roman" w:cs="Times New Roman"/>
          <w:lang w:eastAsia="de-DE"/>
        </w:rPr>
        <w:t xml:space="preserve">(„wehe dir, Moab!") – </w:t>
      </w:r>
      <w:r w:rsidRPr="000F1D26">
        <w:rPr>
          <w:rFonts w:eastAsia="Times New Roman" w:cs="Times New Roman"/>
          <w:b/>
          <w:bCs/>
          <w:rtl/>
          <w:lang w:eastAsia="de-DE"/>
        </w:rPr>
        <w:t>אוֹי</w:t>
      </w:r>
      <w:r w:rsidRPr="000F1D26">
        <w:rPr>
          <w:rFonts w:eastAsia="Times New Roman" w:cs="Times New Roman"/>
          <w:rtl/>
          <w:lang w:eastAsia="de-DE"/>
        </w:rPr>
        <w:t xml:space="preserve"> </w:t>
      </w:r>
      <w:r w:rsidRPr="000F1D26">
        <w:rPr>
          <w:rFonts w:eastAsia="Times New Roman" w:cs="Times New Roman"/>
          <w:lang w:eastAsia="de-DE"/>
        </w:rPr>
        <w:t xml:space="preserve">Interjektion „wehe!", </w:t>
      </w:r>
      <w:r w:rsidRPr="000F1D26">
        <w:rPr>
          <w:rFonts w:eastAsia="Times New Roman" w:cs="Times New Roman"/>
          <w:b/>
          <w:bCs/>
          <w:rtl/>
          <w:lang w:eastAsia="de-DE"/>
        </w:rPr>
        <w:t>לְךָ</w:t>
      </w:r>
      <w:r w:rsidRPr="000F1D26">
        <w:rPr>
          <w:rFonts w:eastAsia="Times New Roman" w:cs="Times New Roman"/>
          <w:rtl/>
          <w:lang w:eastAsia="de-DE"/>
        </w:rPr>
        <w:t xml:space="preserve"> </w:t>
      </w:r>
      <w:r w:rsidRPr="000F1D26">
        <w:rPr>
          <w:rFonts w:eastAsia="Times New Roman" w:cs="Times New Roman"/>
          <w:lang w:eastAsia="de-DE"/>
        </w:rPr>
        <w:t xml:space="preserve">mit Dativ-Suffix 2. m. sg. Die Feststellung </w:t>
      </w:r>
      <w:r w:rsidRPr="000F1D26">
        <w:rPr>
          <w:rFonts w:eastAsia="Times New Roman" w:cs="Times New Roman"/>
          <w:b/>
          <w:bCs/>
          <w:rtl/>
          <w:lang w:eastAsia="de-DE"/>
        </w:rPr>
        <w:t>אָבַדְתָּ עַם־כְּמוֹשׁ</w:t>
      </w:r>
      <w:r w:rsidRPr="000F1D26">
        <w:rPr>
          <w:rFonts w:eastAsia="Times New Roman" w:cs="Times New Roman"/>
          <w:rtl/>
          <w:lang w:eastAsia="de-DE"/>
        </w:rPr>
        <w:t xml:space="preserve"> </w:t>
      </w:r>
      <w:r w:rsidRPr="000F1D26">
        <w:rPr>
          <w:rFonts w:eastAsia="Times New Roman" w:cs="Times New Roman"/>
          <w:lang w:eastAsia="de-DE"/>
        </w:rPr>
        <w:t xml:space="preserve">(„du bist verloren, Volk des Kemosch") – </w:t>
      </w:r>
      <w:r w:rsidRPr="000F1D26">
        <w:rPr>
          <w:rFonts w:eastAsia="Times New Roman" w:cs="Times New Roman"/>
          <w:b/>
          <w:bCs/>
          <w:rtl/>
          <w:lang w:eastAsia="de-DE"/>
        </w:rPr>
        <w:t>אָבַדְתָּ</w:t>
      </w:r>
      <w:r w:rsidRPr="000F1D26">
        <w:rPr>
          <w:rFonts w:eastAsia="Times New Roman" w:cs="Times New Roman"/>
          <w:rtl/>
          <w:lang w:eastAsia="de-DE"/>
        </w:rPr>
        <w:t xml:space="preserve"> </w:t>
      </w:r>
      <w:r w:rsidRPr="000F1D26">
        <w:rPr>
          <w:rFonts w:eastAsia="Times New Roman" w:cs="Times New Roman"/>
          <w:lang w:eastAsia="de-DE"/>
        </w:rPr>
        <w:t xml:space="preserve">(Qal Perfekt, 2. m. sg. von </w:t>
      </w:r>
      <w:r w:rsidRPr="000F1D26">
        <w:rPr>
          <w:rFonts w:eastAsia="Times New Roman" w:cs="Times New Roman"/>
          <w:b/>
          <w:bCs/>
          <w:rtl/>
          <w:lang w:eastAsia="de-DE"/>
        </w:rPr>
        <w:t>אבד</w:t>
      </w:r>
      <w:r w:rsidRPr="000F1D26">
        <w:rPr>
          <w:rFonts w:eastAsia="Times New Roman" w:cs="Times New Roman"/>
          <w:lang w:eastAsia="de-DE"/>
        </w:rPr>
        <w:t xml:space="preserve">, „du bist verloren, zugrunde gegangen"), </w:t>
      </w:r>
      <w:r w:rsidRPr="000F1D26">
        <w:rPr>
          <w:rFonts w:eastAsia="Times New Roman" w:cs="Times New Roman"/>
          <w:b/>
          <w:bCs/>
          <w:rtl/>
          <w:lang w:eastAsia="de-DE"/>
        </w:rPr>
        <w:t>עַם־כְּמוֹשׁ</w:t>
      </w:r>
      <w:r w:rsidRPr="000F1D26">
        <w:rPr>
          <w:rFonts w:eastAsia="Times New Roman" w:cs="Times New Roman"/>
          <w:rtl/>
          <w:lang w:eastAsia="de-DE"/>
        </w:rPr>
        <w:t xml:space="preserve"> </w:t>
      </w:r>
      <w:r w:rsidRPr="000F1D26">
        <w:rPr>
          <w:rFonts w:eastAsia="Times New Roman" w:cs="Times New Roman"/>
          <w:lang w:eastAsia="de-DE"/>
        </w:rPr>
        <w:t xml:space="preserve">(„Volk des Kemosch", Constructus-Verbindung) – </w:t>
      </w:r>
      <w:r w:rsidRPr="000F1D26">
        <w:rPr>
          <w:rFonts w:eastAsia="Times New Roman" w:cs="Times New Roman"/>
          <w:b/>
          <w:bCs/>
          <w:rtl/>
          <w:lang w:eastAsia="de-DE"/>
        </w:rPr>
        <w:t>כְּמוֹשׁ</w:t>
      </w:r>
      <w:r w:rsidRPr="000F1D26">
        <w:rPr>
          <w:rFonts w:eastAsia="Times New Roman" w:cs="Times New Roman"/>
          <w:rtl/>
          <w:lang w:eastAsia="de-DE"/>
        </w:rPr>
        <w:t xml:space="preserve"> </w:t>
      </w:r>
      <w:r w:rsidRPr="000F1D26">
        <w:rPr>
          <w:rFonts w:eastAsia="Times New Roman" w:cs="Times New Roman"/>
          <w:lang w:eastAsia="de-DE"/>
        </w:rPr>
        <w:t>(Kemosch) war der Nationalgott Moabs (vgl. 1 Kön 11,7.33; 2 Kön 23,13). Die Niederlage Moabs ist auch die Niederlage ihres Gottes.</w:t>
      </w:r>
    </w:p>
    <w:p w14:paraId="587756A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Klage über die Kinder: </w:t>
      </w:r>
      <w:r w:rsidRPr="000F1D26">
        <w:rPr>
          <w:rFonts w:eastAsia="Times New Roman" w:cs="Times New Roman"/>
          <w:b/>
          <w:bCs/>
          <w:rtl/>
          <w:lang w:eastAsia="de-DE"/>
        </w:rPr>
        <w:t>נָתַן בָּנָיו פְּלֵיטִם וּבְנֹתָיו בַּשְּׁבִית לְמֶלֶךְ אֱמֹרִי סִיחוֹן</w:t>
      </w:r>
      <w:r w:rsidRPr="000F1D26">
        <w:rPr>
          <w:rFonts w:eastAsia="Times New Roman" w:cs="Times New Roman"/>
          <w:rtl/>
          <w:lang w:eastAsia="de-DE"/>
        </w:rPr>
        <w:t xml:space="preserve"> </w:t>
      </w:r>
      <w:r w:rsidRPr="000F1D26">
        <w:rPr>
          <w:rFonts w:eastAsia="Times New Roman" w:cs="Times New Roman"/>
          <w:lang w:eastAsia="de-DE"/>
        </w:rPr>
        <w:t xml:space="preserve">(„er hat seine Söhne zu Flüchtlingen gemacht und seine Töchter in die Gefangenschaft Sichons, des Königs der Amoriter, gegeben") – </w:t>
      </w:r>
      <w:r w:rsidRPr="000F1D26">
        <w:rPr>
          <w:rFonts w:eastAsia="Times New Roman" w:cs="Times New Roman"/>
          <w:b/>
          <w:bCs/>
          <w:rtl/>
          <w:lang w:eastAsia="de-DE"/>
        </w:rPr>
        <w:t>נָתַן</w:t>
      </w:r>
      <w:r w:rsidRPr="000F1D26">
        <w:rPr>
          <w:rFonts w:eastAsia="Times New Roman" w:cs="Times New Roman"/>
          <w:rtl/>
          <w:lang w:eastAsia="de-DE"/>
        </w:rPr>
        <w:t xml:space="preserve"> </w:t>
      </w:r>
      <w:r w:rsidRPr="000F1D26">
        <w:rPr>
          <w:rFonts w:eastAsia="Times New Roman" w:cs="Times New Roman"/>
          <w:lang w:eastAsia="de-DE"/>
        </w:rPr>
        <w:t xml:space="preserve">(Qal Perfekt, 3. m. sg. von </w:t>
      </w:r>
      <w:r w:rsidRPr="000F1D26">
        <w:rPr>
          <w:rFonts w:eastAsia="Times New Roman" w:cs="Times New Roman"/>
          <w:b/>
          <w:bCs/>
          <w:rtl/>
          <w:lang w:eastAsia="de-DE"/>
        </w:rPr>
        <w:t>נתן</w:t>
      </w:r>
      <w:r w:rsidRPr="000F1D26">
        <w:rPr>
          <w:rFonts w:eastAsia="Times New Roman" w:cs="Times New Roman"/>
          <w:lang w:eastAsia="de-DE"/>
        </w:rPr>
        <w:t xml:space="preserve">, „er hat gegeben/gemacht") – das Subjekt ist </w:t>
      </w:r>
      <w:r w:rsidRPr="000F1D26">
        <w:rPr>
          <w:rFonts w:eastAsia="Times New Roman" w:cs="Times New Roman"/>
          <w:b/>
          <w:bCs/>
          <w:rtl/>
          <w:lang w:eastAsia="de-DE"/>
        </w:rPr>
        <w:t>כְּמוֹשׁ</w:t>
      </w:r>
      <w:r w:rsidRPr="000F1D26">
        <w:rPr>
          <w:rFonts w:eastAsia="Times New Roman" w:cs="Times New Roman"/>
          <w:rtl/>
          <w:lang w:eastAsia="de-DE"/>
        </w:rPr>
        <w:t xml:space="preserve"> </w:t>
      </w:r>
      <w:r w:rsidRPr="000F1D26">
        <w:rPr>
          <w:rFonts w:eastAsia="Times New Roman" w:cs="Times New Roman"/>
          <w:lang w:eastAsia="de-DE"/>
        </w:rPr>
        <w:t xml:space="preserve">(Kemosch), der versagende Gott. </w:t>
      </w:r>
      <w:r w:rsidRPr="000F1D26">
        <w:rPr>
          <w:rFonts w:eastAsia="Times New Roman" w:cs="Times New Roman"/>
          <w:b/>
          <w:bCs/>
          <w:rtl/>
          <w:lang w:eastAsia="de-DE"/>
        </w:rPr>
        <w:t>בָּנָיו פְּלֵיטִם</w:t>
      </w:r>
      <w:r w:rsidRPr="000F1D26">
        <w:rPr>
          <w:rFonts w:eastAsia="Times New Roman" w:cs="Times New Roman"/>
          <w:rtl/>
          <w:lang w:eastAsia="de-DE"/>
        </w:rPr>
        <w:t xml:space="preserve"> </w:t>
      </w:r>
      <w:r w:rsidRPr="000F1D26">
        <w:rPr>
          <w:rFonts w:eastAsia="Times New Roman" w:cs="Times New Roman"/>
          <w:lang w:eastAsia="de-DE"/>
        </w:rPr>
        <w:t xml:space="preserve">(„seine Söhne zu Flüchtlingen") – </w:t>
      </w:r>
      <w:r w:rsidRPr="000F1D26">
        <w:rPr>
          <w:rFonts w:eastAsia="Times New Roman" w:cs="Times New Roman"/>
          <w:b/>
          <w:bCs/>
          <w:rtl/>
          <w:lang w:eastAsia="de-DE"/>
        </w:rPr>
        <w:t>פְּלֵיטִים</w:t>
      </w:r>
      <w:r w:rsidRPr="000F1D26">
        <w:rPr>
          <w:rFonts w:eastAsia="Times New Roman" w:cs="Times New Roman"/>
          <w:rtl/>
          <w:lang w:eastAsia="de-DE"/>
        </w:rPr>
        <w:t xml:space="preserve"> </w:t>
      </w:r>
      <w:r w:rsidRPr="000F1D26">
        <w:rPr>
          <w:rFonts w:eastAsia="Times New Roman" w:cs="Times New Roman"/>
          <w:lang w:eastAsia="de-DE"/>
        </w:rPr>
        <w:t xml:space="preserve">„Flüchtlinge, Entkommene" (Plural), </w:t>
      </w:r>
      <w:r w:rsidRPr="000F1D26">
        <w:rPr>
          <w:rFonts w:eastAsia="Times New Roman" w:cs="Times New Roman"/>
          <w:b/>
          <w:bCs/>
          <w:rtl/>
          <w:lang w:eastAsia="de-DE"/>
        </w:rPr>
        <w:t>וּבְנֹתָיו בַּשְּׁבִית</w:t>
      </w:r>
      <w:r w:rsidRPr="000F1D26">
        <w:rPr>
          <w:rFonts w:eastAsia="Times New Roman" w:cs="Times New Roman"/>
          <w:rtl/>
          <w:lang w:eastAsia="de-DE"/>
        </w:rPr>
        <w:t xml:space="preserve"> </w:t>
      </w:r>
      <w:r w:rsidRPr="000F1D26">
        <w:rPr>
          <w:rFonts w:eastAsia="Times New Roman" w:cs="Times New Roman"/>
          <w:lang w:eastAsia="de-DE"/>
        </w:rPr>
        <w:t xml:space="preserve">(„und seine Töchter in die Gefangenschaft") – </w:t>
      </w:r>
      <w:r w:rsidRPr="000F1D26">
        <w:rPr>
          <w:rFonts w:eastAsia="Times New Roman" w:cs="Times New Roman"/>
          <w:b/>
          <w:bCs/>
          <w:rtl/>
          <w:lang w:eastAsia="de-DE"/>
        </w:rPr>
        <w:t>שְׁבִי</w:t>
      </w:r>
      <w:r w:rsidRPr="000F1D26">
        <w:rPr>
          <w:rFonts w:eastAsia="Times New Roman" w:cs="Times New Roman"/>
          <w:rtl/>
          <w:lang w:eastAsia="de-DE"/>
        </w:rPr>
        <w:t xml:space="preserve"> </w:t>
      </w:r>
      <w:r w:rsidRPr="000F1D26">
        <w:rPr>
          <w:rFonts w:eastAsia="Times New Roman" w:cs="Times New Roman"/>
          <w:lang w:eastAsia="de-DE"/>
        </w:rPr>
        <w:t xml:space="preserve">„Gefangenschaft". </w:t>
      </w:r>
      <w:r w:rsidRPr="000F1D26">
        <w:rPr>
          <w:rFonts w:eastAsia="Times New Roman" w:cs="Times New Roman"/>
          <w:b/>
          <w:bCs/>
          <w:rtl/>
          <w:lang w:eastAsia="de-DE"/>
        </w:rPr>
        <w:t>לְמֶלֶךְ אֱמֹרִי סִיחוֹן</w:t>
      </w:r>
      <w:r w:rsidRPr="000F1D26">
        <w:rPr>
          <w:rFonts w:eastAsia="Times New Roman" w:cs="Times New Roman"/>
          <w:rtl/>
          <w:lang w:eastAsia="de-DE"/>
        </w:rPr>
        <w:t xml:space="preserve"> </w:t>
      </w:r>
      <w:r w:rsidRPr="000F1D26">
        <w:rPr>
          <w:rFonts w:eastAsia="Times New Roman" w:cs="Times New Roman"/>
          <w:lang w:eastAsia="de-DE"/>
        </w:rPr>
        <w:t>gibt den Eroberer an.</w:t>
      </w:r>
    </w:p>
    <w:p w14:paraId="7544ED02"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Vers 30:</w:t>
      </w:r>
      <w:r w:rsidRPr="000F1D26">
        <w:rPr>
          <w:rFonts w:eastAsia="Times New Roman" w:cs="Times New Roman"/>
          <w:lang w:eastAsia="de-DE"/>
        </w:rPr>
        <w:t xml:space="preserve"> Dieser Vers ist textlich sehr schwierig. </w:t>
      </w:r>
      <w:r w:rsidRPr="000F1D26">
        <w:rPr>
          <w:rFonts w:eastAsia="Times New Roman" w:cs="Times New Roman"/>
          <w:b/>
          <w:bCs/>
          <w:rtl/>
          <w:lang w:eastAsia="de-DE"/>
        </w:rPr>
        <w:t>וַנִּירָם אָבַד חֶשְׁבּוֹן עַד־דִּיבוֹן</w:t>
      </w:r>
      <w:r w:rsidRPr="000F1D26">
        <w:rPr>
          <w:rFonts w:eastAsia="Times New Roman" w:cs="Times New Roman"/>
          <w:rtl/>
          <w:lang w:eastAsia="de-DE"/>
        </w:rPr>
        <w:t xml:space="preserve"> </w:t>
      </w:r>
      <w:r w:rsidRPr="000F1D26">
        <w:rPr>
          <w:rFonts w:eastAsia="Times New Roman" w:cs="Times New Roman"/>
          <w:lang w:eastAsia="de-DE"/>
        </w:rPr>
        <w:t xml:space="preserve">– </w:t>
      </w:r>
      <w:r w:rsidRPr="000F1D26">
        <w:rPr>
          <w:rFonts w:eastAsia="Times New Roman" w:cs="Times New Roman"/>
          <w:b/>
          <w:bCs/>
          <w:rtl/>
          <w:lang w:eastAsia="de-DE"/>
        </w:rPr>
        <w:t>וַנִּירָם</w:t>
      </w:r>
      <w:r w:rsidRPr="000F1D26">
        <w:rPr>
          <w:rFonts w:eastAsia="Times New Roman" w:cs="Times New Roman"/>
          <w:rtl/>
          <w:lang w:eastAsia="de-DE"/>
        </w:rPr>
        <w:t xml:space="preserve"> </w:t>
      </w:r>
      <w:r w:rsidRPr="000F1D26">
        <w:rPr>
          <w:rFonts w:eastAsia="Times New Roman" w:cs="Times New Roman"/>
          <w:lang w:eastAsia="de-DE"/>
        </w:rPr>
        <w:t xml:space="preserve">ist unklar, möglicherweise </w:t>
      </w:r>
      <w:r w:rsidRPr="000F1D26">
        <w:rPr>
          <w:rFonts w:eastAsia="Times New Roman" w:cs="Times New Roman"/>
          <w:b/>
          <w:bCs/>
          <w:rtl/>
          <w:lang w:eastAsia="de-DE"/>
        </w:rPr>
        <w:t>וַנִּירֶם</w:t>
      </w:r>
      <w:r w:rsidRPr="000F1D26">
        <w:rPr>
          <w:rFonts w:eastAsia="Times New Roman" w:cs="Times New Roman"/>
          <w:rtl/>
          <w:lang w:eastAsia="de-DE"/>
        </w:rPr>
        <w:t xml:space="preserve"> </w:t>
      </w:r>
      <w:r w:rsidRPr="000F1D26">
        <w:rPr>
          <w:rFonts w:eastAsia="Times New Roman" w:cs="Times New Roman"/>
          <w:lang w:eastAsia="de-DE"/>
        </w:rPr>
        <w:t xml:space="preserve">„und wir beschossen sie" von </w:t>
      </w:r>
      <w:r w:rsidRPr="000F1D26">
        <w:rPr>
          <w:rFonts w:eastAsia="Times New Roman" w:cs="Times New Roman"/>
          <w:b/>
          <w:bCs/>
          <w:rtl/>
          <w:lang w:eastAsia="de-DE"/>
        </w:rPr>
        <w:t>ירה</w:t>
      </w:r>
      <w:r w:rsidRPr="000F1D26">
        <w:rPr>
          <w:rFonts w:eastAsia="Times New Roman" w:cs="Times New Roman"/>
          <w:rtl/>
          <w:lang w:eastAsia="de-DE"/>
        </w:rPr>
        <w:t xml:space="preserve"> </w:t>
      </w:r>
      <w:r w:rsidRPr="000F1D26">
        <w:rPr>
          <w:rFonts w:eastAsia="Times New Roman" w:cs="Times New Roman"/>
          <w:lang w:eastAsia="de-DE"/>
        </w:rPr>
        <w:t xml:space="preserve">„schießen" (vgl. LXX, Vulgata), oder ein verderbter Text. </w:t>
      </w:r>
      <w:r w:rsidRPr="000F1D26">
        <w:rPr>
          <w:rFonts w:eastAsia="Times New Roman" w:cs="Times New Roman"/>
          <w:b/>
          <w:bCs/>
          <w:rtl/>
          <w:lang w:eastAsia="de-DE"/>
        </w:rPr>
        <w:t>אָבַד חֶשְׁבּוֹן עַד־דִּיבוֹן</w:t>
      </w:r>
      <w:r w:rsidRPr="000F1D26">
        <w:rPr>
          <w:rFonts w:eastAsia="Times New Roman" w:cs="Times New Roman"/>
          <w:rtl/>
          <w:lang w:eastAsia="de-DE"/>
        </w:rPr>
        <w:t xml:space="preserve"> </w:t>
      </w:r>
      <w:r w:rsidRPr="000F1D26">
        <w:rPr>
          <w:rFonts w:eastAsia="Times New Roman" w:cs="Times New Roman"/>
          <w:lang w:eastAsia="de-DE"/>
        </w:rPr>
        <w:t xml:space="preserve">(„Heschbon ist verloren bis Dibon") – </w:t>
      </w:r>
      <w:r w:rsidRPr="000F1D26">
        <w:rPr>
          <w:rFonts w:eastAsia="Times New Roman" w:cs="Times New Roman"/>
          <w:b/>
          <w:bCs/>
          <w:rtl/>
          <w:lang w:eastAsia="de-DE"/>
        </w:rPr>
        <w:t>דִּיבוֹן</w:t>
      </w:r>
      <w:r w:rsidRPr="000F1D26">
        <w:rPr>
          <w:rFonts w:eastAsia="Times New Roman" w:cs="Times New Roman"/>
          <w:rtl/>
          <w:lang w:eastAsia="de-DE"/>
        </w:rPr>
        <w:t xml:space="preserve"> </w:t>
      </w:r>
      <w:r w:rsidRPr="000F1D26">
        <w:rPr>
          <w:rFonts w:eastAsia="Times New Roman" w:cs="Times New Roman"/>
          <w:lang w:eastAsia="de-DE"/>
        </w:rPr>
        <w:t xml:space="preserve">ist eine Stadt südlich von Heschbon. </w:t>
      </w:r>
      <w:r w:rsidRPr="000F1D26">
        <w:rPr>
          <w:rFonts w:eastAsia="Times New Roman" w:cs="Times New Roman"/>
          <w:b/>
          <w:bCs/>
          <w:rtl/>
          <w:lang w:eastAsia="de-DE"/>
        </w:rPr>
        <w:t>וַנַּשִּׁים עַד־נֹפַח אֲשֶׁר עַד־מֵידְבָא</w:t>
      </w:r>
      <w:r w:rsidRPr="000F1D26">
        <w:rPr>
          <w:rFonts w:eastAsia="Times New Roman" w:cs="Times New Roman"/>
          <w:rtl/>
          <w:lang w:eastAsia="de-DE"/>
        </w:rPr>
        <w:t xml:space="preserve"> </w:t>
      </w:r>
      <w:r w:rsidRPr="000F1D26">
        <w:rPr>
          <w:rFonts w:eastAsia="Times New Roman" w:cs="Times New Roman"/>
          <w:lang w:eastAsia="de-DE"/>
        </w:rPr>
        <w:t xml:space="preserve">(„und wir haben verwüstet bis Nophach, das bis Medeba reicht") – </w:t>
      </w:r>
      <w:r w:rsidRPr="000F1D26">
        <w:rPr>
          <w:rFonts w:eastAsia="Times New Roman" w:cs="Times New Roman"/>
          <w:b/>
          <w:bCs/>
          <w:rtl/>
          <w:lang w:eastAsia="de-DE"/>
        </w:rPr>
        <w:t>וַנַּשִּׁים</w:t>
      </w:r>
      <w:r w:rsidRPr="000F1D26">
        <w:rPr>
          <w:rFonts w:eastAsia="Times New Roman" w:cs="Times New Roman"/>
          <w:rtl/>
          <w:lang w:eastAsia="de-DE"/>
        </w:rPr>
        <w:t xml:space="preserve"> </w:t>
      </w:r>
      <w:r w:rsidRPr="000F1D26">
        <w:rPr>
          <w:rFonts w:eastAsia="Times New Roman" w:cs="Times New Roman"/>
          <w:lang w:eastAsia="de-DE"/>
        </w:rPr>
        <w:t xml:space="preserve">möglicherweise von </w:t>
      </w:r>
      <w:r w:rsidRPr="000F1D26">
        <w:rPr>
          <w:rFonts w:eastAsia="Times New Roman" w:cs="Times New Roman"/>
          <w:b/>
          <w:bCs/>
          <w:rtl/>
          <w:lang w:eastAsia="de-DE"/>
        </w:rPr>
        <w:t>שׁמם</w:t>
      </w:r>
      <w:r w:rsidRPr="000F1D26">
        <w:rPr>
          <w:rFonts w:eastAsia="Times New Roman" w:cs="Times New Roman"/>
          <w:rtl/>
          <w:lang w:eastAsia="de-DE"/>
        </w:rPr>
        <w:t xml:space="preserve"> </w:t>
      </w:r>
      <w:r w:rsidRPr="000F1D26">
        <w:rPr>
          <w:rFonts w:eastAsia="Times New Roman" w:cs="Times New Roman"/>
          <w:lang w:eastAsia="de-DE"/>
        </w:rPr>
        <w:t xml:space="preserve">„verwüsten" (Hifil), </w:t>
      </w:r>
      <w:r w:rsidRPr="000F1D26">
        <w:rPr>
          <w:rFonts w:eastAsia="Times New Roman" w:cs="Times New Roman"/>
          <w:b/>
          <w:bCs/>
          <w:rtl/>
          <w:lang w:eastAsia="de-DE"/>
        </w:rPr>
        <w:t>נֹפַח</w:t>
      </w:r>
      <w:r w:rsidRPr="000F1D26">
        <w:rPr>
          <w:rFonts w:eastAsia="Times New Roman" w:cs="Times New Roman"/>
          <w:rtl/>
          <w:lang w:eastAsia="de-DE"/>
        </w:rPr>
        <w:t xml:space="preserve"> </w:t>
      </w:r>
      <w:r w:rsidRPr="000F1D26">
        <w:rPr>
          <w:rFonts w:eastAsia="Times New Roman" w:cs="Times New Roman"/>
          <w:lang w:eastAsia="de-DE"/>
        </w:rPr>
        <w:t xml:space="preserve">und </w:t>
      </w:r>
      <w:r w:rsidRPr="000F1D26">
        <w:rPr>
          <w:rFonts w:eastAsia="Times New Roman" w:cs="Times New Roman"/>
          <w:b/>
          <w:bCs/>
          <w:rtl/>
          <w:lang w:eastAsia="de-DE"/>
        </w:rPr>
        <w:t>מֵידְבָא</w:t>
      </w:r>
      <w:r w:rsidRPr="000F1D26">
        <w:rPr>
          <w:rFonts w:eastAsia="Times New Roman" w:cs="Times New Roman"/>
          <w:rtl/>
          <w:lang w:eastAsia="de-DE"/>
        </w:rPr>
        <w:t xml:space="preserve"> </w:t>
      </w:r>
      <w:r w:rsidRPr="000F1D26">
        <w:rPr>
          <w:rFonts w:eastAsia="Times New Roman" w:cs="Times New Roman"/>
          <w:lang w:eastAsia="de-DE"/>
        </w:rPr>
        <w:t>(Medeba) sind weitere Städte. Der Vers beschreibt die Ausdehnung der Zerstörung.</w:t>
      </w:r>
    </w:p>
    <w:p w14:paraId="70454E79" w14:textId="3ADCBDBC"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lastRenderedPageBreak/>
        <w:t>Die LXX</w:t>
      </w:r>
      <w:r w:rsidRPr="000F1D26">
        <w:rPr>
          <w:rFonts w:eastAsia="Times New Roman" w:cs="Times New Roman"/>
          <w:lang w:eastAsia="de-DE"/>
        </w:rPr>
        <w:t xml:space="preserve"> </w:t>
      </w:r>
      <w:r w:rsidR="00C303D4">
        <w:t>hat einen deutlich abweichenden Text: Statt „</w:t>
      </w:r>
      <w:r w:rsidR="00C303D4" w:rsidRPr="00C303D4">
        <w:rPr>
          <w:b/>
          <w:bCs/>
          <w:rtl/>
        </w:rPr>
        <w:t>וַנִּירָם אָבַד חֶשְׁבּוֹן עַד־דִּיבוֹן</w:t>
      </w:r>
      <w:r w:rsidR="00C303D4">
        <w:t>" (und wir haben sie niedergeworfen; Heschbon ist untergegangen bis Dibon) hat sie „καὶ τὸ σπέρμα αὐτῶν ἀπολεῖται" (und ihr Same wird umkommen). Die LXX fügt auch „καὶ αἱ γυναῖκες ἔτι προσεξέκαυσαν πῦρ ἐπὶ Μωάβ" (und die Frauen entzündeten noch mehr Feuer gegen Moab) hinzu, was im MT völlig fehlt.</w:t>
      </w:r>
    </w:p>
    <w:p w14:paraId="2DE075C3" w14:textId="0AF79196"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Satzstruktur ist komplex und poetisch: Vers 28 zeigt einen kausalen Nebensatz mit doppeltem Subjekt (poetischer Parallelismus), Verben und Präpositionalphrasen, gefolgt von einem Hauptsatz mit Verb, Objekt und weiterer Apposition. Vers 29 hat eine Interjektion mit Vokativ, einen Hauptsatz mit Verb und Apposition, und einen Hauptsatz mit Verb, doppeltem Objekt und Präpositionalphrase. Vers 30 zeigt fragmentarische </w:t>
      </w:r>
      <w:r w:rsidR="00F133EC">
        <w:rPr>
          <w:rFonts w:eastAsia="Times New Roman" w:cs="Times New Roman"/>
          <w:lang w:eastAsia="de-DE"/>
        </w:rPr>
        <w:t>Construct</w:t>
      </w:r>
      <w:r w:rsidRPr="000F1D26">
        <w:rPr>
          <w:rFonts w:eastAsia="Times New Roman" w:cs="Times New Roman"/>
          <w:lang w:eastAsia="de-DE"/>
        </w:rPr>
        <w:t>ionen mit unklaren Verben, Ortsangaben und Präpositionalphrasen. Insgesamt gibt es einen Nebensatz (Kausalsatz in V. 28).</w:t>
      </w:r>
    </w:p>
    <w:p w14:paraId="171292C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Diese Verse sind ein altes Siegeslied über Sichons Eroberung Moabs – poetisch, triumphierend, grausam. Die Zerstörung wird als Feuer metaphorisiert, Kemosch als versagender Gott dargestellt, die Bevölkerung versklavt. Israel zitiert dieses Lied nach Sichons eigener Niederlage – historische Dokumentation und vielleicht Ironie.</w:t>
      </w:r>
    </w:p>
    <w:p w14:paraId="3E95CD6F"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21,31</w:t>
      </w:r>
    </w:p>
    <w:p w14:paraId="13F6FFC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וַיֵּ֨שֶׁב֙ יִשְׂרָאֵ֔ל בְּאֶ֖רֶץ הָאֱמֹרִֽי׃</w:t>
      </w:r>
    </w:p>
    <w:p w14:paraId="05C04B92"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Israel wohnte im Land der Amoriter.</w:t>
      </w:r>
    </w:p>
    <w:p w14:paraId="3D1FC953"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27774FF0">
          <v:rect id="_x0000_i1755" style="width:0;height:1.5pt" o:hralign="center" o:hrstd="t" o:hr="t" fillcolor="#a0a0a0" stroked="f"/>
        </w:pict>
      </w:r>
    </w:p>
    <w:p w14:paraId="077B523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Das Verb </w:t>
      </w:r>
      <w:r w:rsidRPr="000F1D26">
        <w:rPr>
          <w:rFonts w:eastAsia="Times New Roman" w:cs="Times New Roman"/>
          <w:b/>
          <w:bCs/>
          <w:rtl/>
          <w:lang w:eastAsia="de-DE"/>
        </w:rPr>
        <w:t>וַיֵּשֶׁב</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ישׁב</w:t>
      </w:r>
      <w:r w:rsidRPr="000F1D26">
        <w:rPr>
          <w:rFonts w:eastAsia="Times New Roman" w:cs="Times New Roman"/>
          <w:lang w:eastAsia="de-DE"/>
        </w:rPr>
        <w:t xml:space="preserve">, „und er wohnte, siedelte"). </w:t>
      </w:r>
      <w:r w:rsidRPr="000F1D26">
        <w:rPr>
          <w:rFonts w:eastAsia="Times New Roman" w:cs="Times New Roman"/>
          <w:b/>
          <w:bCs/>
          <w:rtl/>
          <w:lang w:eastAsia="de-DE"/>
        </w:rPr>
        <w:t>יִשְׂרָאֵל</w:t>
      </w:r>
      <w:r w:rsidRPr="000F1D26">
        <w:rPr>
          <w:rFonts w:eastAsia="Times New Roman" w:cs="Times New Roman"/>
          <w:rtl/>
          <w:lang w:eastAsia="de-DE"/>
        </w:rPr>
        <w:t xml:space="preserve"> </w:t>
      </w:r>
      <w:r w:rsidRPr="000F1D26">
        <w:rPr>
          <w:rFonts w:eastAsia="Times New Roman" w:cs="Times New Roman"/>
          <w:lang w:eastAsia="de-DE"/>
        </w:rPr>
        <w:t xml:space="preserve">Subjekt. </w:t>
      </w:r>
      <w:r w:rsidRPr="000F1D26">
        <w:rPr>
          <w:rFonts w:eastAsia="Times New Roman" w:cs="Times New Roman"/>
          <w:b/>
          <w:bCs/>
          <w:rtl/>
          <w:lang w:eastAsia="de-DE"/>
        </w:rPr>
        <w:t>בְּאֶרֶץ הָאֱמֹרִי</w:t>
      </w:r>
      <w:r w:rsidRPr="000F1D26">
        <w:rPr>
          <w:rFonts w:eastAsia="Times New Roman" w:cs="Times New Roman"/>
          <w:rtl/>
          <w:lang w:eastAsia="de-DE"/>
        </w:rPr>
        <w:t xml:space="preserve"> </w:t>
      </w:r>
      <w:r w:rsidRPr="000F1D26">
        <w:rPr>
          <w:rFonts w:eastAsia="Times New Roman" w:cs="Times New Roman"/>
          <w:lang w:eastAsia="de-DE"/>
        </w:rPr>
        <w:t>(„im Land der Amoriter", Constructus-Verbindung mit Gentilic und Artikel).</w:t>
      </w:r>
    </w:p>
    <w:p w14:paraId="210DD263"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Dieser kurze Vers markiert das Ende der Sichon-Episode und fasst das Resultat zusammen: Israel hat sich im eroberten Gebiet niedergelassen. Die Wiederholung von </w:t>
      </w:r>
      <w:r w:rsidRPr="000F1D26">
        <w:rPr>
          <w:rFonts w:eastAsia="Times New Roman" w:cs="Times New Roman"/>
          <w:b/>
          <w:bCs/>
          <w:rtl/>
          <w:lang w:eastAsia="de-DE"/>
        </w:rPr>
        <w:t>ישׁב</w:t>
      </w:r>
      <w:r w:rsidRPr="000F1D26">
        <w:rPr>
          <w:rFonts w:eastAsia="Times New Roman" w:cs="Times New Roman"/>
          <w:rtl/>
          <w:lang w:eastAsia="de-DE"/>
        </w:rPr>
        <w:t xml:space="preserve"> </w:t>
      </w:r>
      <w:r w:rsidRPr="000F1D26">
        <w:rPr>
          <w:rFonts w:eastAsia="Times New Roman" w:cs="Times New Roman"/>
          <w:lang w:eastAsia="de-DE"/>
        </w:rPr>
        <w:t>„wohnen" (vgl. Vers 25) betont die dauerhafte Besiedlung, nicht nur militärische Kontrolle.</w:t>
      </w:r>
    </w:p>
    <w:p w14:paraId="2A4CE19B"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folgt dem hebräischen Text.</w:t>
      </w:r>
    </w:p>
    <w:p w14:paraId="6277AF47"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einen einzigen Hauptsatz mit Verb, Subjekt und Präpositionalphrase (Constructus-Verbindung). Es gibt keine Nebensätze.</w:t>
      </w:r>
    </w:p>
    <w:p w14:paraId="248C2AE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ist eine Übergangsnotiz – die erste große Eroberung ist abgeschlossen, Israel ist nun sesshaft östlich des Jordan.</w:t>
      </w:r>
    </w:p>
    <w:p w14:paraId="3057DB22"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21,32</w:t>
      </w:r>
    </w:p>
    <w:p w14:paraId="357E65B1"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וַיִּשְׁלַ֤ח מֹשֶׁה֙ לְרַגֵּ֣ל אֶת־יַעְזֵ֔ר וַֽיִּלְכְּד֖וּ בְּנֹתֶ֑יהָ וַיִּירֶשׁ אֶת־הָאֱמֹרִ֥י אֲשֶׁר־שָֽׁם׃</w:t>
      </w:r>
    </w:p>
    <w:p w14:paraId="4D1015E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lastRenderedPageBreak/>
        <w:t>Deutsch:</w:t>
      </w:r>
      <w:r w:rsidRPr="000F1D26">
        <w:rPr>
          <w:rFonts w:eastAsia="Times New Roman" w:cs="Times New Roman"/>
          <w:lang w:eastAsia="de-DE"/>
        </w:rPr>
        <w:t xml:space="preserve"> Und Mosche sandte aus, um Jaeser auszukundschaften, und sie nahmen seine Tochterstädte ein und vertrieben die Amoriter, die dort waren.</w:t>
      </w:r>
    </w:p>
    <w:p w14:paraId="7D265B78"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27427112">
          <v:rect id="_x0000_i1756" style="width:0;height:1.5pt" o:hralign="center" o:hrstd="t" o:hr="t" fillcolor="#a0a0a0" stroked="f"/>
        </w:pict>
      </w:r>
    </w:p>
    <w:p w14:paraId="43900F24"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Das Verb </w:t>
      </w:r>
      <w:r w:rsidRPr="000F1D26">
        <w:rPr>
          <w:rFonts w:eastAsia="Times New Roman" w:cs="Times New Roman"/>
          <w:b/>
          <w:bCs/>
          <w:rtl/>
          <w:lang w:eastAsia="de-DE"/>
        </w:rPr>
        <w:t>וַיִּשְׁלַח מֹשֶׁה</w:t>
      </w:r>
      <w:r w:rsidRPr="000F1D26">
        <w:rPr>
          <w:rFonts w:eastAsia="Times New Roman" w:cs="Times New Roman"/>
          <w:rtl/>
          <w:lang w:eastAsia="de-DE"/>
        </w:rPr>
        <w:t xml:space="preserve"> </w:t>
      </w:r>
      <w:r w:rsidRPr="000F1D26">
        <w:rPr>
          <w:rFonts w:eastAsia="Times New Roman" w:cs="Times New Roman"/>
          <w:lang w:eastAsia="de-DE"/>
        </w:rPr>
        <w:t xml:space="preserve">(„und Mose sandte aus"). Der finale Infinitiv </w:t>
      </w:r>
      <w:r w:rsidRPr="000F1D26">
        <w:rPr>
          <w:rFonts w:eastAsia="Times New Roman" w:cs="Times New Roman"/>
          <w:b/>
          <w:bCs/>
          <w:rtl/>
          <w:lang w:eastAsia="de-DE"/>
        </w:rPr>
        <w:t>לְרַגֵּל אֶת־יַעְזֵר</w:t>
      </w:r>
      <w:r w:rsidRPr="000F1D26">
        <w:rPr>
          <w:rFonts w:eastAsia="Times New Roman" w:cs="Times New Roman"/>
          <w:rtl/>
          <w:lang w:eastAsia="de-DE"/>
        </w:rPr>
        <w:t xml:space="preserve"> </w:t>
      </w:r>
      <w:r w:rsidRPr="000F1D26">
        <w:rPr>
          <w:rFonts w:eastAsia="Times New Roman" w:cs="Times New Roman"/>
          <w:lang w:eastAsia="de-DE"/>
        </w:rPr>
        <w:t xml:space="preserve">(Piel Infinitiv construct von </w:t>
      </w:r>
      <w:r w:rsidRPr="000F1D26">
        <w:rPr>
          <w:rFonts w:eastAsia="Times New Roman" w:cs="Times New Roman"/>
          <w:b/>
          <w:bCs/>
          <w:rtl/>
          <w:lang w:eastAsia="de-DE"/>
        </w:rPr>
        <w:t>רגל</w:t>
      </w:r>
      <w:r w:rsidRPr="000F1D26">
        <w:rPr>
          <w:rFonts w:eastAsia="Times New Roman" w:cs="Times New Roman"/>
          <w:rtl/>
          <w:lang w:eastAsia="de-DE"/>
        </w:rPr>
        <w:t xml:space="preserve"> </w:t>
      </w:r>
      <w:r w:rsidRPr="000F1D26">
        <w:rPr>
          <w:rFonts w:eastAsia="Times New Roman" w:cs="Times New Roman"/>
          <w:lang w:eastAsia="de-DE"/>
        </w:rPr>
        <w:t xml:space="preserve">mit </w:t>
      </w:r>
      <w:r w:rsidRPr="000F1D26">
        <w:rPr>
          <w:rFonts w:eastAsia="Times New Roman" w:cs="Times New Roman"/>
          <w:b/>
          <w:bCs/>
          <w:rtl/>
          <w:lang w:eastAsia="de-DE"/>
        </w:rPr>
        <w:t>לְ</w:t>
      </w:r>
      <w:r w:rsidRPr="000F1D26">
        <w:rPr>
          <w:rFonts w:eastAsia="Times New Roman" w:cs="Times New Roman"/>
          <w:lang w:eastAsia="de-DE"/>
        </w:rPr>
        <w:t xml:space="preserve">, „um auszukundschaften", plus Objekt </w:t>
      </w:r>
      <w:r w:rsidRPr="000F1D26">
        <w:rPr>
          <w:rFonts w:eastAsia="Times New Roman" w:cs="Times New Roman"/>
          <w:b/>
          <w:bCs/>
          <w:rtl/>
          <w:lang w:eastAsia="de-DE"/>
        </w:rPr>
        <w:t>יַעְזֵר</w:t>
      </w:r>
      <w:r w:rsidRPr="000F1D26">
        <w:rPr>
          <w:rFonts w:eastAsia="Times New Roman" w:cs="Times New Roman"/>
          <w:rtl/>
          <w:lang w:eastAsia="de-DE"/>
        </w:rPr>
        <w:t xml:space="preserve"> </w:t>
      </w:r>
      <w:r w:rsidRPr="000F1D26">
        <w:rPr>
          <w:rFonts w:eastAsia="Times New Roman" w:cs="Times New Roman"/>
          <w:lang w:eastAsia="de-DE"/>
        </w:rPr>
        <w:t xml:space="preserve">– Jaeser, eine Stadt) – </w:t>
      </w:r>
      <w:r w:rsidRPr="000F1D26">
        <w:rPr>
          <w:rFonts w:eastAsia="Times New Roman" w:cs="Times New Roman"/>
          <w:b/>
          <w:bCs/>
          <w:rtl/>
          <w:lang w:eastAsia="de-DE"/>
        </w:rPr>
        <w:t>רגל</w:t>
      </w:r>
      <w:r w:rsidRPr="000F1D26">
        <w:rPr>
          <w:rFonts w:eastAsia="Times New Roman" w:cs="Times New Roman"/>
          <w:rtl/>
          <w:lang w:eastAsia="de-DE"/>
        </w:rPr>
        <w:t xml:space="preserve"> </w:t>
      </w:r>
      <w:r w:rsidRPr="000F1D26">
        <w:rPr>
          <w:rFonts w:eastAsia="Times New Roman" w:cs="Times New Roman"/>
          <w:lang w:eastAsia="de-DE"/>
        </w:rPr>
        <w:t xml:space="preserve">im Piel bedeutet „auskundschaften, ausspionieren" (vgl. </w:t>
      </w:r>
      <w:r w:rsidRPr="000F1D26">
        <w:rPr>
          <w:rFonts w:eastAsia="Times New Roman" w:cs="Times New Roman"/>
          <w:b/>
          <w:bCs/>
          <w:rtl/>
          <w:lang w:eastAsia="de-DE"/>
        </w:rPr>
        <w:t>מְרַגְּלִים</w:t>
      </w:r>
      <w:r w:rsidRPr="000F1D26">
        <w:rPr>
          <w:rFonts w:eastAsia="Times New Roman" w:cs="Times New Roman"/>
          <w:rtl/>
          <w:lang w:eastAsia="de-DE"/>
        </w:rPr>
        <w:t xml:space="preserve"> </w:t>
      </w:r>
      <w:r w:rsidRPr="000F1D26">
        <w:rPr>
          <w:rFonts w:eastAsia="Times New Roman" w:cs="Times New Roman"/>
          <w:lang w:eastAsia="de-DE"/>
        </w:rPr>
        <w:t>„Kundschafter" in Kap. 13).</w:t>
      </w:r>
    </w:p>
    <w:p w14:paraId="08A1BE5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Eroberung: </w:t>
      </w:r>
      <w:r w:rsidRPr="000F1D26">
        <w:rPr>
          <w:rFonts w:eastAsia="Times New Roman" w:cs="Times New Roman"/>
          <w:b/>
          <w:bCs/>
          <w:rtl/>
          <w:lang w:eastAsia="de-DE"/>
        </w:rPr>
        <w:t>וַיִּלְכְּדוּ בְּנֹתֶיהָ</w:t>
      </w:r>
      <w:r w:rsidRPr="000F1D26">
        <w:rPr>
          <w:rFonts w:eastAsia="Times New Roman" w:cs="Times New Roman"/>
          <w:rtl/>
          <w:lang w:eastAsia="de-DE"/>
        </w:rPr>
        <w:t xml:space="preserve"> </w:t>
      </w:r>
      <w:r w:rsidRPr="000F1D26">
        <w:rPr>
          <w:rFonts w:eastAsia="Times New Roman" w:cs="Times New Roman"/>
          <w:lang w:eastAsia="de-DE"/>
        </w:rPr>
        <w:t xml:space="preserve">(„und sie nahmen ihre Tochterstädte ein") – </w:t>
      </w:r>
      <w:r w:rsidRPr="000F1D26">
        <w:rPr>
          <w:rFonts w:eastAsia="Times New Roman" w:cs="Times New Roman"/>
          <w:b/>
          <w:bCs/>
          <w:rtl/>
          <w:lang w:eastAsia="de-DE"/>
        </w:rPr>
        <w:t>וַיִּלְכְּדוּ</w:t>
      </w:r>
      <w:r w:rsidRPr="000F1D26">
        <w:rPr>
          <w:rFonts w:eastAsia="Times New Roman" w:cs="Times New Roman"/>
          <w:rtl/>
          <w:lang w:eastAsia="de-DE"/>
        </w:rPr>
        <w:t xml:space="preserve"> </w:t>
      </w:r>
      <w:r w:rsidRPr="000F1D26">
        <w:rPr>
          <w:rFonts w:eastAsia="Times New Roman" w:cs="Times New Roman"/>
          <w:lang w:eastAsia="de-DE"/>
        </w:rPr>
        <w:t xml:space="preserve">(Wayyiqtol, 3. m. pl. von </w:t>
      </w:r>
      <w:r w:rsidRPr="000F1D26">
        <w:rPr>
          <w:rFonts w:eastAsia="Times New Roman" w:cs="Times New Roman"/>
          <w:b/>
          <w:bCs/>
          <w:rtl/>
          <w:lang w:eastAsia="de-DE"/>
        </w:rPr>
        <w:t>לכד</w:t>
      </w:r>
      <w:r w:rsidRPr="000F1D26">
        <w:rPr>
          <w:rFonts w:eastAsia="Times New Roman" w:cs="Times New Roman"/>
          <w:lang w:eastAsia="de-DE"/>
        </w:rPr>
        <w:t xml:space="preserve">, „und sie nahmen ein, eroberten"), </w:t>
      </w:r>
      <w:r w:rsidRPr="000F1D26">
        <w:rPr>
          <w:rFonts w:eastAsia="Times New Roman" w:cs="Times New Roman"/>
          <w:b/>
          <w:bCs/>
          <w:rtl/>
          <w:lang w:eastAsia="de-DE"/>
        </w:rPr>
        <w:t>בְּנֹתֶיהָ</w:t>
      </w:r>
      <w:r w:rsidRPr="000F1D26">
        <w:rPr>
          <w:rFonts w:eastAsia="Times New Roman" w:cs="Times New Roman"/>
          <w:rtl/>
          <w:lang w:eastAsia="de-DE"/>
        </w:rPr>
        <w:t xml:space="preserve"> </w:t>
      </w:r>
      <w:r w:rsidRPr="000F1D26">
        <w:rPr>
          <w:rFonts w:eastAsia="Times New Roman" w:cs="Times New Roman"/>
          <w:lang w:eastAsia="de-DE"/>
        </w:rPr>
        <w:t xml:space="preserve">(„ihre Töchter") idiomatisch für abhängige Orte (vgl. Vers 25). Die Vertreibung: </w:t>
      </w:r>
      <w:r w:rsidRPr="000F1D26">
        <w:rPr>
          <w:rFonts w:eastAsia="Times New Roman" w:cs="Times New Roman"/>
          <w:b/>
          <w:bCs/>
          <w:rtl/>
          <w:lang w:eastAsia="de-DE"/>
        </w:rPr>
        <w:t>וַיִּירֶשׁ אֶת־הָאֱמֹרִי אֲשֶׁר־שָׁם</w:t>
      </w:r>
      <w:r w:rsidRPr="000F1D26">
        <w:rPr>
          <w:rFonts w:eastAsia="Times New Roman" w:cs="Times New Roman"/>
          <w:rtl/>
          <w:lang w:eastAsia="de-DE"/>
        </w:rPr>
        <w:t xml:space="preserve"> </w:t>
      </w:r>
      <w:r w:rsidRPr="000F1D26">
        <w:rPr>
          <w:rFonts w:eastAsia="Times New Roman" w:cs="Times New Roman"/>
          <w:lang w:eastAsia="de-DE"/>
        </w:rPr>
        <w:t xml:space="preserve">(„und er vertrieb die Amoriter, die dort waren") – </w:t>
      </w:r>
      <w:r w:rsidRPr="000F1D26">
        <w:rPr>
          <w:rFonts w:eastAsia="Times New Roman" w:cs="Times New Roman"/>
          <w:b/>
          <w:bCs/>
          <w:rtl/>
          <w:lang w:eastAsia="de-DE"/>
        </w:rPr>
        <w:t>וַיִּירֶשׁ</w:t>
      </w:r>
      <w:r w:rsidRPr="000F1D26">
        <w:rPr>
          <w:rFonts w:eastAsia="Times New Roman" w:cs="Times New Roman"/>
          <w:rtl/>
          <w:lang w:eastAsia="de-DE"/>
        </w:rPr>
        <w:t xml:space="preserve"> </w:t>
      </w:r>
      <w:r w:rsidRPr="000F1D26">
        <w:rPr>
          <w:rFonts w:eastAsia="Times New Roman" w:cs="Times New Roman"/>
          <w:lang w:eastAsia="de-DE"/>
        </w:rPr>
        <w:t xml:space="preserve">(Wayyiqtol, 3. m. sg. von </w:t>
      </w:r>
      <w:r w:rsidRPr="000F1D26">
        <w:rPr>
          <w:rFonts w:eastAsia="Times New Roman" w:cs="Times New Roman"/>
          <w:b/>
          <w:bCs/>
          <w:rtl/>
          <w:lang w:eastAsia="de-DE"/>
        </w:rPr>
        <w:t>ירשׁ</w:t>
      </w:r>
      <w:r w:rsidRPr="000F1D26">
        <w:rPr>
          <w:rFonts w:eastAsia="Times New Roman" w:cs="Times New Roman"/>
          <w:lang w:eastAsia="de-DE"/>
        </w:rPr>
        <w:t xml:space="preserve">, „und er vertrieb, enteignete"), der Relativsatz </w:t>
      </w:r>
      <w:r w:rsidRPr="000F1D26">
        <w:rPr>
          <w:rFonts w:eastAsia="Times New Roman" w:cs="Times New Roman"/>
          <w:b/>
          <w:bCs/>
          <w:rtl/>
          <w:lang w:eastAsia="de-DE"/>
        </w:rPr>
        <w:t>אֲשֶׁר־שָׁם</w:t>
      </w:r>
      <w:r w:rsidRPr="000F1D26">
        <w:rPr>
          <w:rFonts w:eastAsia="Times New Roman" w:cs="Times New Roman"/>
          <w:rtl/>
          <w:lang w:eastAsia="de-DE"/>
        </w:rPr>
        <w:t xml:space="preserve"> </w:t>
      </w:r>
      <w:r w:rsidRPr="000F1D26">
        <w:rPr>
          <w:rFonts w:eastAsia="Times New Roman" w:cs="Times New Roman"/>
          <w:lang w:eastAsia="de-DE"/>
        </w:rPr>
        <w:t xml:space="preserve">(„die dort waren") mit Adverb </w:t>
      </w:r>
      <w:r w:rsidRPr="000F1D26">
        <w:rPr>
          <w:rFonts w:eastAsia="Times New Roman" w:cs="Times New Roman"/>
          <w:b/>
          <w:bCs/>
          <w:rtl/>
          <w:lang w:eastAsia="de-DE"/>
        </w:rPr>
        <w:t>שָׁם</w:t>
      </w:r>
      <w:r w:rsidRPr="000F1D26">
        <w:rPr>
          <w:rFonts w:eastAsia="Times New Roman" w:cs="Times New Roman"/>
          <w:lang w:eastAsia="de-DE"/>
        </w:rPr>
        <w:t>.</w:t>
      </w:r>
    </w:p>
    <w:p w14:paraId="40108093" w14:textId="2C2883D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w:t>
      </w:r>
      <w:r w:rsidR="00C303D4">
        <w:t>übersetzt „</w:t>
      </w:r>
      <w:r w:rsidR="00C303D4" w:rsidRPr="00C303D4">
        <w:rPr>
          <w:b/>
          <w:bCs/>
          <w:rtl/>
        </w:rPr>
        <w:t>וַיִּירֶשׁ אֶת־הָאֱמֹרִי</w:t>
      </w:r>
      <w:r w:rsidR="00C303D4">
        <w:t>" (und sie vertrieben die Amoriter) mit „καὶ ἐξέβαλον τὸν Ἀμορραῖον" (und sie warfen die Amoriter hinaus), was expliziter die Vertreibung ausdrückt.</w:t>
      </w:r>
    </w:p>
    <w:p w14:paraId="5421673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Satzstruktur zeigt drei koordinierte Hauptsätze: Der erste mit Verb, Subjekt und finalem Infinitiv mit Objekt; der zweite mit Verb und Objekt; der dritte mit Verb, Objekt und Relativsatz (mit Adverb). Insgesamt gibt es einen Nebensatz (Relativsatz) und einen finalen Infinitivsatz.</w:t>
      </w:r>
    </w:p>
    <w:p w14:paraId="20824EDA"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dokumentiert eine weitere Eroberung – die Expansion geht weiter, jetzt Jaeser und Umgebung.</w:t>
      </w:r>
    </w:p>
    <w:p w14:paraId="4217C3CF"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21,33</w:t>
      </w:r>
    </w:p>
    <w:p w14:paraId="24BFA20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וַיִּפְנוּ֙ וַֽיַּעֲל֔וּ דֶּ֖רֶךְ הַבָּשָׁ֑ן וַיֵּצֵ֣א עוֹג֩ מֶֽלֶךְ־הַבָּשָׁ֨ן לִקְרָאתָ֜ם ה֧וּא וְכָל־עַמֹּ֛ו לַמִּלְחָמָ֖ה אֶדְרֶֽעִי׃</w:t>
      </w:r>
    </w:p>
    <w:p w14:paraId="66B7F1D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sie wandten sich und zogen hinauf in Richtung Baschan. Und Og, der König von Baschan, zog aus ihnen entgegen, er und sein ganzes Volk, zum Kampf nach Edrei.</w:t>
      </w:r>
    </w:p>
    <w:p w14:paraId="39C56BEB"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3AF892EF">
          <v:rect id="_x0000_i1757" style="width:0;height:1.5pt" o:hralign="center" o:hrstd="t" o:hr="t" fillcolor="#a0a0a0" stroked="f"/>
        </w:pict>
      </w:r>
    </w:p>
    <w:p w14:paraId="65C9F3A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Das Verb </w:t>
      </w:r>
      <w:r w:rsidRPr="000F1D26">
        <w:rPr>
          <w:rFonts w:eastAsia="Times New Roman" w:cs="Times New Roman"/>
          <w:b/>
          <w:bCs/>
          <w:rtl/>
          <w:lang w:eastAsia="de-DE"/>
        </w:rPr>
        <w:t>וַיִּפְנוּ</w:t>
      </w:r>
      <w:r w:rsidRPr="000F1D26">
        <w:rPr>
          <w:rFonts w:eastAsia="Times New Roman" w:cs="Times New Roman"/>
          <w:rtl/>
          <w:lang w:eastAsia="de-DE"/>
        </w:rPr>
        <w:t xml:space="preserve"> </w:t>
      </w:r>
      <w:r w:rsidRPr="000F1D26">
        <w:rPr>
          <w:rFonts w:eastAsia="Times New Roman" w:cs="Times New Roman"/>
          <w:lang w:eastAsia="de-DE"/>
        </w:rPr>
        <w:t xml:space="preserve">(Wayyiqtol, 3. m. pl. von </w:t>
      </w:r>
      <w:r w:rsidRPr="000F1D26">
        <w:rPr>
          <w:rFonts w:eastAsia="Times New Roman" w:cs="Times New Roman"/>
          <w:b/>
          <w:bCs/>
          <w:rtl/>
          <w:lang w:eastAsia="de-DE"/>
        </w:rPr>
        <w:t>פנה</w:t>
      </w:r>
      <w:r w:rsidRPr="000F1D26">
        <w:rPr>
          <w:rFonts w:eastAsia="Times New Roman" w:cs="Times New Roman"/>
          <w:lang w:eastAsia="de-DE"/>
        </w:rPr>
        <w:t xml:space="preserve">, „und sie wandten sich") zeigt Richtungswechsel. </w:t>
      </w:r>
      <w:r w:rsidRPr="000F1D26">
        <w:rPr>
          <w:rFonts w:eastAsia="Times New Roman" w:cs="Times New Roman"/>
          <w:b/>
          <w:bCs/>
          <w:rtl/>
          <w:lang w:eastAsia="de-DE"/>
        </w:rPr>
        <w:t>וַיַּעֲלוּ דֶּרֶךְ הַבָּשָׁן</w:t>
      </w:r>
      <w:r w:rsidRPr="000F1D26">
        <w:rPr>
          <w:rFonts w:eastAsia="Times New Roman" w:cs="Times New Roman"/>
          <w:rtl/>
          <w:lang w:eastAsia="de-DE"/>
        </w:rPr>
        <w:t xml:space="preserve"> </w:t>
      </w:r>
      <w:r w:rsidRPr="000F1D26">
        <w:rPr>
          <w:rFonts w:eastAsia="Times New Roman" w:cs="Times New Roman"/>
          <w:lang w:eastAsia="de-DE"/>
        </w:rPr>
        <w:t xml:space="preserve">(„und sie zogen hinauf Richtung Baschan") – </w:t>
      </w:r>
      <w:r w:rsidRPr="000F1D26">
        <w:rPr>
          <w:rFonts w:eastAsia="Times New Roman" w:cs="Times New Roman"/>
          <w:b/>
          <w:bCs/>
          <w:rtl/>
          <w:lang w:eastAsia="de-DE"/>
        </w:rPr>
        <w:t>עלה</w:t>
      </w:r>
      <w:r w:rsidRPr="000F1D26">
        <w:rPr>
          <w:rFonts w:eastAsia="Times New Roman" w:cs="Times New Roman"/>
          <w:rtl/>
          <w:lang w:eastAsia="de-DE"/>
        </w:rPr>
        <w:t xml:space="preserve"> </w:t>
      </w:r>
      <w:r w:rsidRPr="000F1D26">
        <w:rPr>
          <w:rFonts w:eastAsia="Times New Roman" w:cs="Times New Roman"/>
          <w:lang w:eastAsia="de-DE"/>
        </w:rPr>
        <w:t xml:space="preserve">„hinaufziehen", </w:t>
      </w:r>
      <w:r w:rsidRPr="000F1D26">
        <w:rPr>
          <w:rFonts w:eastAsia="Times New Roman" w:cs="Times New Roman"/>
          <w:b/>
          <w:bCs/>
          <w:rtl/>
          <w:lang w:eastAsia="de-DE"/>
        </w:rPr>
        <w:t>דֶּרֶךְ הַבָּשָׁן</w:t>
      </w:r>
      <w:r w:rsidRPr="000F1D26">
        <w:rPr>
          <w:rFonts w:eastAsia="Times New Roman" w:cs="Times New Roman"/>
          <w:rtl/>
          <w:lang w:eastAsia="de-DE"/>
        </w:rPr>
        <w:t xml:space="preserve"> </w:t>
      </w:r>
      <w:r w:rsidRPr="000F1D26">
        <w:rPr>
          <w:rFonts w:eastAsia="Times New Roman" w:cs="Times New Roman"/>
          <w:lang w:eastAsia="de-DE"/>
        </w:rPr>
        <w:t xml:space="preserve">(„Weg des Baschan", Constructus-Verbindung) bedeutet „in Richtung Baschan". </w:t>
      </w:r>
      <w:r w:rsidRPr="000F1D26">
        <w:rPr>
          <w:rFonts w:eastAsia="Times New Roman" w:cs="Times New Roman"/>
          <w:b/>
          <w:bCs/>
          <w:rtl/>
          <w:lang w:eastAsia="de-DE"/>
        </w:rPr>
        <w:t>בָּשָׁן</w:t>
      </w:r>
      <w:r w:rsidRPr="000F1D26">
        <w:rPr>
          <w:rFonts w:eastAsia="Times New Roman" w:cs="Times New Roman"/>
          <w:rtl/>
          <w:lang w:eastAsia="de-DE"/>
        </w:rPr>
        <w:t xml:space="preserve"> </w:t>
      </w:r>
      <w:r w:rsidRPr="000F1D26">
        <w:rPr>
          <w:rFonts w:eastAsia="Times New Roman" w:cs="Times New Roman"/>
          <w:lang w:eastAsia="de-DE"/>
        </w:rPr>
        <w:t>(Baschan) ist das fruchtbare Hochland nordöstlich des Sees Genezareth.</w:t>
      </w:r>
    </w:p>
    <w:p w14:paraId="0F95535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Gegenreaktion: </w:t>
      </w:r>
      <w:r w:rsidRPr="000F1D26">
        <w:rPr>
          <w:rFonts w:eastAsia="Times New Roman" w:cs="Times New Roman"/>
          <w:b/>
          <w:bCs/>
          <w:rtl/>
          <w:lang w:eastAsia="de-DE"/>
        </w:rPr>
        <w:t>וַיֵּצֵא עוֹג מֶלֶךְ־הַבָּשָׁן לִקְרָאתָם</w:t>
      </w:r>
      <w:r w:rsidRPr="000F1D26">
        <w:rPr>
          <w:rFonts w:eastAsia="Times New Roman" w:cs="Times New Roman"/>
          <w:rtl/>
          <w:lang w:eastAsia="de-DE"/>
        </w:rPr>
        <w:t xml:space="preserve"> </w:t>
      </w:r>
      <w:r w:rsidRPr="000F1D26">
        <w:rPr>
          <w:rFonts w:eastAsia="Times New Roman" w:cs="Times New Roman"/>
          <w:lang w:eastAsia="de-DE"/>
        </w:rPr>
        <w:t xml:space="preserve">(„und Og, König von Baschan, zog aus ihnen entgegen") – </w:t>
      </w:r>
      <w:r w:rsidRPr="000F1D26">
        <w:rPr>
          <w:rFonts w:eastAsia="Times New Roman" w:cs="Times New Roman"/>
          <w:b/>
          <w:bCs/>
          <w:rtl/>
          <w:lang w:eastAsia="de-DE"/>
        </w:rPr>
        <w:t>עוֹג</w:t>
      </w:r>
      <w:r w:rsidRPr="000F1D26">
        <w:rPr>
          <w:rFonts w:eastAsia="Times New Roman" w:cs="Times New Roman"/>
          <w:rtl/>
          <w:lang w:eastAsia="de-DE"/>
        </w:rPr>
        <w:t xml:space="preserve"> </w:t>
      </w:r>
      <w:r w:rsidRPr="000F1D26">
        <w:rPr>
          <w:rFonts w:eastAsia="Times New Roman" w:cs="Times New Roman"/>
          <w:lang w:eastAsia="de-DE"/>
        </w:rPr>
        <w:t xml:space="preserve">(Og) wird in der Tradition als Riese dargestellt (Dtn 3,11). </w:t>
      </w:r>
      <w:r w:rsidRPr="000F1D26">
        <w:rPr>
          <w:rFonts w:eastAsia="Times New Roman" w:cs="Times New Roman"/>
          <w:b/>
          <w:bCs/>
          <w:rtl/>
          <w:lang w:eastAsia="de-DE"/>
        </w:rPr>
        <w:t>הוּא וְכָל־עַמּוֹ</w:t>
      </w:r>
      <w:r w:rsidRPr="000F1D26">
        <w:rPr>
          <w:rFonts w:eastAsia="Times New Roman" w:cs="Times New Roman"/>
          <w:rtl/>
          <w:lang w:eastAsia="de-DE"/>
        </w:rPr>
        <w:t xml:space="preserve"> </w:t>
      </w:r>
      <w:r w:rsidRPr="000F1D26">
        <w:rPr>
          <w:rFonts w:eastAsia="Times New Roman" w:cs="Times New Roman"/>
          <w:lang w:eastAsia="de-DE"/>
        </w:rPr>
        <w:t xml:space="preserve">(„er und sein ganzes Volk") mit emphatischem Pronomen und </w:t>
      </w:r>
      <w:r w:rsidRPr="000F1D26">
        <w:rPr>
          <w:rFonts w:eastAsia="Times New Roman" w:cs="Times New Roman"/>
          <w:b/>
          <w:bCs/>
          <w:rtl/>
          <w:lang w:eastAsia="de-DE"/>
        </w:rPr>
        <w:t>כָּל</w:t>
      </w:r>
      <w:r w:rsidRPr="000F1D26">
        <w:rPr>
          <w:rFonts w:eastAsia="Times New Roman" w:cs="Times New Roman"/>
          <w:lang w:eastAsia="de-DE"/>
        </w:rPr>
        <w:t xml:space="preserve">. </w:t>
      </w:r>
      <w:r w:rsidRPr="000F1D26">
        <w:rPr>
          <w:rFonts w:eastAsia="Times New Roman" w:cs="Times New Roman"/>
          <w:b/>
          <w:bCs/>
          <w:rtl/>
          <w:lang w:eastAsia="de-DE"/>
        </w:rPr>
        <w:t>לַמִּלְחָמָה</w:t>
      </w:r>
      <w:r w:rsidRPr="000F1D26">
        <w:rPr>
          <w:rFonts w:eastAsia="Times New Roman" w:cs="Times New Roman"/>
          <w:rtl/>
          <w:lang w:eastAsia="de-DE"/>
        </w:rPr>
        <w:t xml:space="preserve"> </w:t>
      </w:r>
      <w:r w:rsidRPr="000F1D26">
        <w:rPr>
          <w:rFonts w:eastAsia="Times New Roman" w:cs="Times New Roman"/>
          <w:lang w:eastAsia="de-DE"/>
        </w:rPr>
        <w:t xml:space="preserve">(„zum Kampf") – </w:t>
      </w:r>
      <w:r w:rsidRPr="000F1D26">
        <w:rPr>
          <w:rFonts w:eastAsia="Times New Roman" w:cs="Times New Roman"/>
          <w:b/>
          <w:bCs/>
          <w:rtl/>
          <w:lang w:eastAsia="de-DE"/>
        </w:rPr>
        <w:t>מִלְחָמָה</w:t>
      </w:r>
      <w:r w:rsidRPr="000F1D26">
        <w:rPr>
          <w:rFonts w:eastAsia="Times New Roman" w:cs="Times New Roman"/>
          <w:rtl/>
          <w:lang w:eastAsia="de-DE"/>
        </w:rPr>
        <w:t xml:space="preserve"> </w:t>
      </w:r>
      <w:r w:rsidRPr="000F1D26">
        <w:rPr>
          <w:rFonts w:eastAsia="Times New Roman" w:cs="Times New Roman"/>
          <w:lang w:eastAsia="de-DE"/>
        </w:rPr>
        <w:t xml:space="preserve">„Krieg, Schlacht" mit </w:t>
      </w:r>
      <w:r w:rsidRPr="000F1D26">
        <w:rPr>
          <w:rFonts w:eastAsia="Times New Roman" w:cs="Times New Roman"/>
          <w:b/>
          <w:bCs/>
          <w:rtl/>
          <w:lang w:eastAsia="de-DE"/>
        </w:rPr>
        <w:t>לְ</w:t>
      </w:r>
      <w:r w:rsidRPr="000F1D26">
        <w:rPr>
          <w:rFonts w:eastAsia="Times New Roman" w:cs="Times New Roman"/>
          <w:rtl/>
          <w:lang w:eastAsia="de-DE"/>
        </w:rPr>
        <w:t xml:space="preserve"> </w:t>
      </w:r>
      <w:r w:rsidRPr="000F1D26">
        <w:rPr>
          <w:rFonts w:eastAsia="Times New Roman" w:cs="Times New Roman"/>
          <w:lang w:eastAsia="de-DE"/>
        </w:rPr>
        <w:t xml:space="preserve">finalis. </w:t>
      </w:r>
      <w:r w:rsidRPr="000F1D26">
        <w:rPr>
          <w:rFonts w:eastAsia="Times New Roman" w:cs="Times New Roman"/>
          <w:b/>
          <w:bCs/>
          <w:rtl/>
          <w:lang w:eastAsia="de-DE"/>
        </w:rPr>
        <w:t>אֶדְרֶעִי</w:t>
      </w:r>
      <w:r w:rsidRPr="000F1D26">
        <w:rPr>
          <w:rFonts w:eastAsia="Times New Roman" w:cs="Times New Roman"/>
          <w:rtl/>
          <w:lang w:eastAsia="de-DE"/>
        </w:rPr>
        <w:t xml:space="preserve"> </w:t>
      </w:r>
      <w:r w:rsidRPr="000F1D26">
        <w:rPr>
          <w:rFonts w:eastAsia="Times New Roman" w:cs="Times New Roman"/>
          <w:lang w:eastAsia="de-DE"/>
        </w:rPr>
        <w:t>(Edrei) ist eine Stadt Baschans.</w:t>
      </w:r>
    </w:p>
    <w:p w14:paraId="6EAB0C3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Wie Sichon greift Og aktiv Israel an – wieder ein Angriffskrieg, der Israel zur Verteidigung und Eroberung berechtigt.</w:t>
      </w:r>
    </w:p>
    <w:p w14:paraId="330185FC"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lastRenderedPageBreak/>
        <w:t>Die LXX</w:t>
      </w:r>
      <w:r w:rsidRPr="000F1D26">
        <w:rPr>
          <w:rFonts w:eastAsia="Times New Roman" w:cs="Times New Roman"/>
          <w:lang w:eastAsia="de-DE"/>
        </w:rPr>
        <w:t xml:space="preserve"> folgt dem hebräischen Text, transkribiert </w:t>
      </w:r>
      <w:r w:rsidRPr="000F1D26">
        <w:rPr>
          <w:rFonts w:eastAsia="Times New Roman" w:cs="Times New Roman"/>
          <w:b/>
          <w:bCs/>
          <w:rtl/>
          <w:lang w:eastAsia="de-DE"/>
        </w:rPr>
        <w:t>עוֹג</w:t>
      </w:r>
      <w:r w:rsidRPr="000F1D26">
        <w:rPr>
          <w:rFonts w:eastAsia="Times New Roman" w:cs="Times New Roman"/>
          <w:rtl/>
          <w:lang w:eastAsia="de-DE"/>
        </w:rPr>
        <w:t xml:space="preserve"> </w:t>
      </w:r>
      <w:r w:rsidRPr="000F1D26">
        <w:rPr>
          <w:rFonts w:eastAsia="Times New Roman" w:cs="Times New Roman"/>
          <w:lang w:eastAsia="de-DE"/>
        </w:rPr>
        <w:t>als Ὤγ (Ōg).</w:t>
      </w:r>
    </w:p>
    <w:p w14:paraId="5C7DD7E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Satzstruktur zeigt drei koordinierte Hauptsätze: Die ersten beiden mit Verb und Präpositionalphrase bzw. Verb allein; der dritte mit Verb, Subjekt (mit Apposition), erweitertem Subjekt (emphatisches Pronomen plus koordiniertes Nomen mit </w:t>
      </w:r>
      <w:r w:rsidRPr="000F1D26">
        <w:rPr>
          <w:rFonts w:eastAsia="Times New Roman" w:cs="Times New Roman"/>
          <w:b/>
          <w:bCs/>
          <w:rtl/>
          <w:lang w:eastAsia="de-DE"/>
        </w:rPr>
        <w:t>כָּל</w:t>
      </w:r>
      <w:r w:rsidRPr="000F1D26">
        <w:rPr>
          <w:rFonts w:eastAsia="Times New Roman" w:cs="Times New Roman"/>
          <w:lang w:eastAsia="de-DE"/>
        </w:rPr>
        <w:t>), Präpositionalphrase und Ortsangabe. Es gibt keine Nebensätze.</w:t>
      </w:r>
    </w:p>
    <w:p w14:paraId="62D0C46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leitet die zweite große Eroberung ein – nach den Amoritern unter Sichon nun Baschan unter Og.</w:t>
      </w:r>
    </w:p>
    <w:p w14:paraId="7E0CB867"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21,34</w:t>
      </w:r>
    </w:p>
    <w:p w14:paraId="490B3EB4"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וַיֹּ֨אמֶר יְהוָ֤ה אֶל־מֹשֶׁה֙ אַל־תִּירָ֣א אֹתוֹ֔ כִּ֣י בְיָדְךָ֞ נָתַ֧תִּי אֹתוֹ֛ וְאֶת־כָּל־עַמֹּ֖ו וְאֶת־אַרְצֹ֑ו וְעָשִׂ֣יתָ לּוֹ֔ כַּאֲשֶׁ֣ר עָשִׂ֗יתָ לְסִיחֹן֙ מֶ֣לֶךְ הָֽאֱמֹרִ֔י אֲשֶׁ֥ר יוֹשֵׁ֖ב בְּחֶשְׁבּֽוֹן׃</w:t>
      </w:r>
    </w:p>
    <w:p w14:paraId="4F715FD3"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der Ewige sprach zu Mosche: Fürchte dich nicht vor ihm, denn ich habe ihn in deine Hand gegeben, und sein ganzes Volk und sein Land. Und du sollst mit ihm tun, wie du mit Sichon, dem König der Amoriter, getan hast, der in Cheschbon wohnte.</w:t>
      </w:r>
    </w:p>
    <w:p w14:paraId="4B75F2B9"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6D29BB08">
          <v:rect id="_x0000_i1758" style="width:0;height:1.5pt" o:hralign="center" o:hrstd="t" o:hr="t" fillcolor="#a0a0a0" stroked="f"/>
        </w:pict>
      </w:r>
    </w:p>
    <w:p w14:paraId="06ED919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Die Redeeinleitungsformel </w:t>
      </w:r>
      <w:r w:rsidRPr="000F1D26">
        <w:rPr>
          <w:rFonts w:eastAsia="Times New Roman" w:cs="Times New Roman"/>
          <w:b/>
          <w:bCs/>
          <w:rtl/>
          <w:lang w:eastAsia="de-DE"/>
        </w:rPr>
        <w:t>וַיֹּאמֶר יְהוָה אֶל־מֹשֶׁה</w:t>
      </w:r>
      <w:r w:rsidRPr="000F1D26">
        <w:rPr>
          <w:rFonts w:eastAsia="Times New Roman" w:cs="Times New Roman"/>
          <w:lang w:eastAsia="de-DE"/>
        </w:rPr>
        <w:t xml:space="preserve">. Der Imperativ </w:t>
      </w:r>
      <w:r w:rsidRPr="000F1D26">
        <w:rPr>
          <w:rFonts w:eastAsia="Times New Roman" w:cs="Times New Roman"/>
          <w:b/>
          <w:bCs/>
          <w:rtl/>
          <w:lang w:eastAsia="de-DE"/>
        </w:rPr>
        <w:t>אַל־תִּירָא אֹתוֹ</w:t>
      </w:r>
      <w:r w:rsidRPr="000F1D26">
        <w:rPr>
          <w:rFonts w:eastAsia="Times New Roman" w:cs="Times New Roman"/>
          <w:rtl/>
          <w:lang w:eastAsia="de-DE"/>
        </w:rPr>
        <w:t xml:space="preserve"> </w:t>
      </w:r>
      <w:r w:rsidRPr="000F1D26">
        <w:rPr>
          <w:rFonts w:eastAsia="Times New Roman" w:cs="Times New Roman"/>
          <w:lang w:eastAsia="de-DE"/>
        </w:rPr>
        <w:t xml:space="preserve">(„fürchte dich nicht vor ihm") – </w:t>
      </w:r>
      <w:r w:rsidRPr="000F1D26">
        <w:rPr>
          <w:rFonts w:eastAsia="Times New Roman" w:cs="Times New Roman"/>
          <w:b/>
          <w:bCs/>
          <w:rtl/>
          <w:lang w:eastAsia="de-DE"/>
        </w:rPr>
        <w:t>אַל</w:t>
      </w:r>
      <w:r w:rsidRPr="000F1D26">
        <w:rPr>
          <w:rFonts w:eastAsia="Times New Roman" w:cs="Times New Roman"/>
          <w:rtl/>
          <w:lang w:eastAsia="de-DE"/>
        </w:rPr>
        <w:t xml:space="preserve"> </w:t>
      </w:r>
      <w:r w:rsidRPr="000F1D26">
        <w:rPr>
          <w:rFonts w:eastAsia="Times New Roman" w:cs="Times New Roman"/>
          <w:lang w:eastAsia="de-DE"/>
        </w:rPr>
        <w:t xml:space="preserve">mit Jussiv als negative Imperativform, </w:t>
      </w:r>
      <w:r w:rsidRPr="000F1D26">
        <w:rPr>
          <w:rFonts w:eastAsia="Times New Roman" w:cs="Times New Roman"/>
          <w:b/>
          <w:bCs/>
          <w:rtl/>
          <w:lang w:eastAsia="de-DE"/>
        </w:rPr>
        <w:t>תִּירָא</w:t>
      </w:r>
      <w:r w:rsidRPr="000F1D26">
        <w:rPr>
          <w:rFonts w:eastAsia="Times New Roman" w:cs="Times New Roman"/>
          <w:rtl/>
          <w:lang w:eastAsia="de-DE"/>
        </w:rPr>
        <w:t xml:space="preserve"> </w:t>
      </w:r>
      <w:r w:rsidRPr="000F1D26">
        <w:rPr>
          <w:rFonts w:eastAsia="Times New Roman" w:cs="Times New Roman"/>
          <w:lang w:eastAsia="de-DE"/>
        </w:rPr>
        <w:t xml:space="preserve">(Qal Imperfekt, 2. m. sg. von </w:t>
      </w:r>
      <w:r w:rsidRPr="000F1D26">
        <w:rPr>
          <w:rFonts w:eastAsia="Times New Roman" w:cs="Times New Roman"/>
          <w:b/>
          <w:bCs/>
          <w:rtl/>
          <w:lang w:eastAsia="de-DE"/>
        </w:rPr>
        <w:t>ירא</w:t>
      </w:r>
      <w:r w:rsidRPr="000F1D26">
        <w:rPr>
          <w:rFonts w:eastAsia="Times New Roman" w:cs="Times New Roman"/>
          <w:lang w:eastAsia="de-DE"/>
        </w:rPr>
        <w:t xml:space="preserve">, „du sollst dich fürchten"), </w:t>
      </w:r>
      <w:r w:rsidRPr="000F1D26">
        <w:rPr>
          <w:rFonts w:eastAsia="Times New Roman" w:cs="Times New Roman"/>
          <w:b/>
          <w:bCs/>
          <w:rtl/>
          <w:lang w:eastAsia="de-DE"/>
        </w:rPr>
        <w:t>אֹתוֹ</w:t>
      </w:r>
      <w:r w:rsidRPr="000F1D26">
        <w:rPr>
          <w:rFonts w:eastAsia="Times New Roman" w:cs="Times New Roman"/>
          <w:rtl/>
          <w:lang w:eastAsia="de-DE"/>
        </w:rPr>
        <w:t xml:space="preserve"> </w:t>
      </w:r>
      <w:r w:rsidRPr="000F1D26">
        <w:rPr>
          <w:rFonts w:eastAsia="Times New Roman" w:cs="Times New Roman"/>
          <w:lang w:eastAsia="de-DE"/>
        </w:rPr>
        <w:t>Objektpronomen. Der Befehl „fürchte dich nicht" impliziert, dass Og besonders furchteinflößend war (vgl. die Tradition von Og als Riesen, Dtn 3,11).</w:t>
      </w:r>
    </w:p>
    <w:p w14:paraId="62F6A398"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Verheißung </w:t>
      </w:r>
      <w:r w:rsidRPr="000F1D26">
        <w:rPr>
          <w:rFonts w:eastAsia="Times New Roman" w:cs="Times New Roman"/>
          <w:b/>
          <w:bCs/>
          <w:rtl/>
          <w:lang w:eastAsia="de-DE"/>
        </w:rPr>
        <w:t>כִּי בְיָדְךָ נָתַתִּי אֹתוֹ וְאֶת־כָּל־עַמּוֹ וְאֶת־אַרְצוֹ</w:t>
      </w:r>
      <w:r w:rsidRPr="000F1D26">
        <w:rPr>
          <w:rFonts w:eastAsia="Times New Roman" w:cs="Times New Roman"/>
          <w:rtl/>
          <w:lang w:eastAsia="de-DE"/>
        </w:rPr>
        <w:t xml:space="preserve"> </w:t>
      </w:r>
      <w:r w:rsidRPr="000F1D26">
        <w:rPr>
          <w:rFonts w:eastAsia="Times New Roman" w:cs="Times New Roman"/>
          <w:lang w:eastAsia="de-DE"/>
        </w:rPr>
        <w:t xml:space="preserve">(„denn in deine Hand habe ich ihn gegeben, und sein ganzes Volk und sein Land") – </w:t>
      </w:r>
      <w:r w:rsidRPr="000F1D26">
        <w:rPr>
          <w:rFonts w:eastAsia="Times New Roman" w:cs="Times New Roman"/>
          <w:b/>
          <w:bCs/>
          <w:rtl/>
          <w:lang w:eastAsia="de-DE"/>
        </w:rPr>
        <w:t>כִּי</w:t>
      </w:r>
      <w:r w:rsidRPr="000F1D26">
        <w:rPr>
          <w:rFonts w:eastAsia="Times New Roman" w:cs="Times New Roman"/>
          <w:rtl/>
          <w:lang w:eastAsia="de-DE"/>
        </w:rPr>
        <w:t xml:space="preserve"> </w:t>
      </w:r>
      <w:r w:rsidRPr="000F1D26">
        <w:rPr>
          <w:rFonts w:eastAsia="Times New Roman" w:cs="Times New Roman"/>
          <w:lang w:eastAsia="de-DE"/>
        </w:rPr>
        <w:t xml:space="preserve">kausal, </w:t>
      </w:r>
      <w:r w:rsidRPr="000F1D26">
        <w:rPr>
          <w:rFonts w:eastAsia="Times New Roman" w:cs="Times New Roman"/>
          <w:b/>
          <w:bCs/>
          <w:rtl/>
          <w:lang w:eastAsia="de-DE"/>
        </w:rPr>
        <w:t>בְיָדְךָ</w:t>
      </w:r>
      <w:r w:rsidRPr="000F1D26">
        <w:rPr>
          <w:rFonts w:eastAsia="Times New Roman" w:cs="Times New Roman"/>
          <w:rtl/>
          <w:lang w:eastAsia="de-DE"/>
        </w:rPr>
        <w:t xml:space="preserve"> </w:t>
      </w:r>
      <w:r w:rsidRPr="000F1D26">
        <w:rPr>
          <w:rFonts w:eastAsia="Times New Roman" w:cs="Times New Roman"/>
          <w:lang w:eastAsia="de-DE"/>
        </w:rPr>
        <w:t xml:space="preserve">(„in deine Hand") mit Possessivsuffix 2. m. sg., </w:t>
      </w:r>
      <w:r w:rsidRPr="000F1D26">
        <w:rPr>
          <w:rFonts w:eastAsia="Times New Roman" w:cs="Times New Roman"/>
          <w:b/>
          <w:bCs/>
          <w:rtl/>
          <w:lang w:eastAsia="de-DE"/>
        </w:rPr>
        <w:t>נָתַתִּי</w:t>
      </w:r>
      <w:r w:rsidRPr="000F1D26">
        <w:rPr>
          <w:rFonts w:eastAsia="Times New Roman" w:cs="Times New Roman"/>
          <w:rtl/>
          <w:lang w:eastAsia="de-DE"/>
        </w:rPr>
        <w:t xml:space="preserve"> </w:t>
      </w:r>
      <w:r w:rsidRPr="000F1D26">
        <w:rPr>
          <w:rFonts w:eastAsia="Times New Roman" w:cs="Times New Roman"/>
          <w:lang w:eastAsia="de-DE"/>
        </w:rPr>
        <w:t xml:space="preserve">(Qal Perfekt, 1. c. sg. von </w:t>
      </w:r>
      <w:r w:rsidRPr="000F1D26">
        <w:rPr>
          <w:rFonts w:eastAsia="Times New Roman" w:cs="Times New Roman"/>
          <w:b/>
          <w:bCs/>
          <w:rtl/>
          <w:lang w:eastAsia="de-DE"/>
        </w:rPr>
        <w:t>נתן</w:t>
      </w:r>
      <w:r w:rsidRPr="000F1D26">
        <w:rPr>
          <w:rFonts w:eastAsia="Times New Roman" w:cs="Times New Roman"/>
          <w:lang w:eastAsia="de-DE"/>
        </w:rPr>
        <w:t xml:space="preserve">, „ich habe gegeben") – das sogenannte „prophetische Perfekt": die zukünftige Handlung wird als bereits vollzogen dargestellt, um ihre Gewissheit zu betonen. Das dreifache Objekt </w:t>
      </w:r>
      <w:r w:rsidRPr="000F1D26">
        <w:rPr>
          <w:rFonts w:eastAsia="Times New Roman" w:cs="Times New Roman"/>
          <w:b/>
          <w:bCs/>
          <w:rtl/>
          <w:lang w:eastAsia="de-DE"/>
        </w:rPr>
        <w:t>אֹתוֹ וְאֶת־כָּל־עַמּוֹ וְאֶת־אַרְצוֹ</w:t>
      </w:r>
      <w:r w:rsidRPr="000F1D26">
        <w:rPr>
          <w:rFonts w:eastAsia="Times New Roman" w:cs="Times New Roman"/>
          <w:rtl/>
          <w:lang w:eastAsia="de-DE"/>
        </w:rPr>
        <w:t xml:space="preserve"> </w:t>
      </w:r>
      <w:r w:rsidRPr="000F1D26">
        <w:rPr>
          <w:rFonts w:eastAsia="Times New Roman" w:cs="Times New Roman"/>
          <w:lang w:eastAsia="de-DE"/>
        </w:rPr>
        <w:t>zeigt totalen Sieg.</w:t>
      </w:r>
    </w:p>
    <w:p w14:paraId="6E9D4DD0" w14:textId="07F1D647" w:rsidR="000F1D26" w:rsidRPr="000F1D26" w:rsidRDefault="000F1D26" w:rsidP="000F1D26">
      <w:pPr>
        <w:pStyle w:val="whitespace-normal"/>
      </w:pPr>
      <w:r w:rsidRPr="000F1D26">
        <w:t xml:space="preserve">Die Anweisung </w:t>
      </w:r>
      <w:r w:rsidRPr="000F1D26">
        <w:rPr>
          <w:b/>
          <w:bCs/>
          <w:rtl/>
        </w:rPr>
        <w:t>וְעָשִׂיתָ לּוֹ כַּאֲשֶׁר עָשִׂיתָ לְסִיחֹן מֶלֶךְ הָאֱמֹרִי אֲשֶׁר יוֹשֵׁב בְּחֶשְׁבּוֹן</w:t>
      </w:r>
      <w:r w:rsidRPr="000F1D26">
        <w:rPr>
          <w:rtl/>
        </w:rPr>
        <w:t xml:space="preserve"> </w:t>
      </w:r>
      <w:r w:rsidRPr="000F1D26">
        <w:t>(„und du sollst mit ihm tun, wie du mit Sichon, dem König der Amoriter, getan hast, der in Heschbon wohnte") –</w:t>
      </w:r>
      <w:r w:rsidRPr="000F1D26">
        <w:rPr>
          <w:b/>
          <w:bCs/>
          <w:rtl/>
        </w:rPr>
        <w:t>וְעָשִׂיתָ</w:t>
      </w:r>
      <w:r w:rsidRPr="000F1D26">
        <w:t xml:space="preserve"> (Waw + Qal Perfekt, 2. m. sg. von </w:t>
      </w:r>
      <w:r w:rsidRPr="000F1D26">
        <w:rPr>
          <w:b/>
          <w:bCs/>
          <w:rtl/>
        </w:rPr>
        <w:t>עשׂה</w:t>
      </w:r>
      <w:r w:rsidRPr="000F1D26">
        <w:rPr>
          <w:rtl/>
        </w:rPr>
        <w:t xml:space="preserve"> </w:t>
      </w:r>
      <w:r w:rsidRPr="000F1D26">
        <w:t xml:space="preserve">mit Weqatal, „und du sollst tun"), </w:t>
      </w:r>
      <w:r w:rsidRPr="000F1D26">
        <w:rPr>
          <w:b/>
          <w:bCs/>
          <w:rtl/>
        </w:rPr>
        <w:t>לּוֹ</w:t>
      </w:r>
      <w:r w:rsidRPr="000F1D26">
        <w:rPr>
          <w:rtl/>
        </w:rPr>
        <w:t xml:space="preserve"> </w:t>
      </w:r>
      <w:r w:rsidRPr="000F1D26">
        <w:t xml:space="preserve">(„ihm") mit Dativ-Suffix 3. m. sg., der Vergleichssatz </w:t>
      </w:r>
      <w:r w:rsidRPr="000F1D26">
        <w:rPr>
          <w:b/>
          <w:bCs/>
          <w:rtl/>
        </w:rPr>
        <w:t>כַּאֲשֶׁר עָשִׂיתָ לְסִיחֹן</w:t>
      </w:r>
      <w:r w:rsidRPr="000F1D26">
        <w:rPr>
          <w:rtl/>
        </w:rPr>
        <w:t xml:space="preserve"> </w:t>
      </w:r>
      <w:r w:rsidRPr="000F1D26">
        <w:t xml:space="preserve">(„wie du getan hast Sichon") – </w:t>
      </w:r>
      <w:r w:rsidRPr="000F1D26">
        <w:rPr>
          <w:b/>
          <w:bCs/>
          <w:rtl/>
        </w:rPr>
        <w:t>כַּאֲשֶׁר</w:t>
      </w:r>
      <w:r w:rsidRPr="000F1D26">
        <w:rPr>
          <w:rtl/>
        </w:rPr>
        <w:t xml:space="preserve"> </w:t>
      </w:r>
      <w:r w:rsidRPr="000F1D26">
        <w:t xml:space="preserve">„wie, so wie", </w:t>
      </w:r>
      <w:r w:rsidRPr="000F1D26">
        <w:rPr>
          <w:b/>
          <w:bCs/>
          <w:rtl/>
        </w:rPr>
        <w:t>עָשִׂיתָ</w:t>
      </w:r>
      <w:r w:rsidRPr="000F1D26">
        <w:rPr>
          <w:rtl/>
        </w:rPr>
        <w:t xml:space="preserve"> </w:t>
      </w:r>
      <w:r w:rsidRPr="000F1D26">
        <w:t xml:space="preserve">(Qal Perfekt, 2. m. sg. von </w:t>
      </w:r>
      <w:r w:rsidRPr="000F1D26">
        <w:rPr>
          <w:b/>
          <w:bCs/>
          <w:rtl/>
        </w:rPr>
        <w:t>עשׂה</w:t>
      </w:r>
      <w:r w:rsidRPr="000F1D26">
        <w:t xml:space="preserve">), </w:t>
      </w:r>
      <w:r w:rsidRPr="000F1D26">
        <w:rPr>
          <w:b/>
          <w:bCs/>
          <w:rtl/>
        </w:rPr>
        <w:t>לְסִיחֹן מֶלֶךְ הָאֱמֹרִי</w:t>
      </w:r>
      <w:r w:rsidRPr="000F1D26">
        <w:rPr>
          <w:rtl/>
        </w:rPr>
        <w:t xml:space="preserve"> </w:t>
      </w:r>
      <w:r w:rsidRPr="000F1D26">
        <w:t xml:space="preserve">(„Sichon, dem König der Amoriter", Constructus-Verbindung als Apposition). Der Relativsatz </w:t>
      </w:r>
      <w:r w:rsidRPr="000F1D26">
        <w:rPr>
          <w:b/>
          <w:bCs/>
          <w:rtl/>
        </w:rPr>
        <w:t>אֲשֶׁר יוֹשֵׁב בְּחֶשְׁבּוֹן</w:t>
      </w:r>
      <w:r w:rsidRPr="000F1D26">
        <w:rPr>
          <w:rtl/>
        </w:rPr>
        <w:t xml:space="preserve"> </w:t>
      </w:r>
      <w:r w:rsidRPr="000F1D26">
        <w:t xml:space="preserve">(„der in Heschbon wohnte") – </w:t>
      </w:r>
      <w:r w:rsidRPr="000F1D26">
        <w:rPr>
          <w:b/>
          <w:bCs/>
          <w:rtl/>
        </w:rPr>
        <w:t>יוֹשֵׁב</w:t>
      </w:r>
      <w:r w:rsidRPr="000F1D26">
        <w:rPr>
          <w:rtl/>
        </w:rPr>
        <w:t xml:space="preserve"> </w:t>
      </w:r>
      <w:r w:rsidRPr="000F1D26">
        <w:t xml:space="preserve">(Qal Partizip von </w:t>
      </w:r>
      <w:r w:rsidRPr="000F1D26">
        <w:rPr>
          <w:b/>
          <w:bCs/>
          <w:rtl/>
        </w:rPr>
        <w:t>ישׁב</w:t>
      </w:r>
      <w:r w:rsidRPr="000F1D26">
        <w:t xml:space="preserve">, „der Wohnende") mit </w:t>
      </w:r>
      <w:r w:rsidRPr="000F1D26">
        <w:rPr>
          <w:b/>
          <w:bCs/>
          <w:rtl/>
        </w:rPr>
        <w:t>בְּחֶשְׁבּוֹן</w:t>
      </w:r>
      <w:r w:rsidRPr="000F1D26">
        <w:rPr>
          <w:rtl/>
        </w:rPr>
        <w:t xml:space="preserve"> </w:t>
      </w:r>
      <w:r w:rsidRPr="000F1D26">
        <w:t>– identifiziert Sichon weiter.</w:t>
      </w:r>
    </w:p>
    <w:p w14:paraId="23BF122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Die göttliche Ermutigung vor der Schlacht ist typisch (vgl. Jos 8,1; 10,8; 11,6) – JHWH garantiert den Sieg, das Volk soll furchtlos kämpfen.</w:t>
      </w:r>
    </w:p>
    <w:p w14:paraId="7429650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folgt dem hebräischen Text.</w:t>
      </w:r>
    </w:p>
    <w:p w14:paraId="731569B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lastRenderedPageBreak/>
        <w:t xml:space="preserve">Die Satzstruktur zeigt einen Hauptsatz mit Verb, Subjekt und indirektem Objekt. Die direkte Rede enthält einen negativen imperativischen Hauptsatz (mit </w:t>
      </w:r>
      <w:r w:rsidRPr="000F1D26">
        <w:rPr>
          <w:rFonts w:eastAsia="Times New Roman" w:cs="Times New Roman"/>
          <w:b/>
          <w:bCs/>
          <w:rtl/>
          <w:lang w:eastAsia="de-DE"/>
        </w:rPr>
        <w:t>אַל</w:t>
      </w:r>
      <w:r w:rsidRPr="000F1D26">
        <w:rPr>
          <w:rFonts w:eastAsia="Times New Roman" w:cs="Times New Roman"/>
          <w:rtl/>
          <w:lang w:eastAsia="de-DE"/>
        </w:rPr>
        <w:t xml:space="preserve"> </w:t>
      </w:r>
      <w:r w:rsidRPr="000F1D26">
        <w:rPr>
          <w:rFonts w:eastAsia="Times New Roman" w:cs="Times New Roman"/>
          <w:lang w:eastAsia="de-DE"/>
        </w:rPr>
        <w:t>und Jussiv plus Objektpronomen), einen kausalen Nebensatz mit Präpositionalphrase, Verb und dreifachem koordinierten Objekt, einen Hauptsatz mit Weqatal-Verb, Präpositionalphrase und Vergleichssatz (Nebensatz), der ein weiteres Objekt (mit Apposition) enthält, erweitert durch einen Relativsatz. Insgesamt gibt es drei Nebensätze: einen Kausalsatz, einen Vergleichssatz und einen Relativsatz.</w:t>
      </w:r>
    </w:p>
    <w:p w14:paraId="1786CB2F"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Der Vers gibt göttliche Zusicherung: Og mag furchteinflößend sein, aber JHWH hat bereits entschieden – der Sieg ist sicher, die Methode ist bekannt (wie bei Sichon).</w:t>
      </w:r>
    </w:p>
    <w:p w14:paraId="292D9B39" w14:textId="77777777" w:rsidR="000F1D26" w:rsidRPr="000F1D26" w:rsidRDefault="000F1D26" w:rsidP="000F1D26">
      <w:pPr>
        <w:spacing w:before="100" w:beforeAutospacing="1" w:after="100" w:afterAutospacing="1" w:line="240" w:lineRule="auto"/>
        <w:outlineLvl w:val="0"/>
        <w:rPr>
          <w:rFonts w:eastAsia="Times New Roman" w:cs="Times New Roman"/>
          <w:b/>
          <w:bCs/>
          <w:kern w:val="36"/>
          <w:sz w:val="48"/>
          <w:szCs w:val="48"/>
          <w:lang w:eastAsia="de-DE"/>
        </w:rPr>
      </w:pPr>
      <w:r w:rsidRPr="000F1D26">
        <w:rPr>
          <w:rFonts w:eastAsia="Times New Roman" w:cs="Times New Roman"/>
          <w:b/>
          <w:bCs/>
          <w:kern w:val="36"/>
          <w:sz w:val="48"/>
          <w:szCs w:val="48"/>
          <w:lang w:eastAsia="de-DE"/>
        </w:rPr>
        <w:t>Numeri 21,35</w:t>
      </w:r>
    </w:p>
    <w:p w14:paraId="55A8A8A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Hebräisch:</w:t>
      </w:r>
      <w:r w:rsidRPr="000F1D26">
        <w:rPr>
          <w:rFonts w:eastAsia="Times New Roman" w:cs="Times New Roman"/>
          <w:lang w:eastAsia="de-DE"/>
        </w:rPr>
        <w:t xml:space="preserve"> </w:t>
      </w:r>
      <w:r w:rsidRPr="000F1D26">
        <w:rPr>
          <w:rFonts w:eastAsia="Times New Roman" w:cs="Times New Roman"/>
          <w:rtl/>
          <w:lang w:eastAsia="de-DE"/>
        </w:rPr>
        <w:t>וַיַּכּ֨וּ אֹתוֹ֤ וְאֶת־בָּנָיו֙ וְאֶת־כָּל־עַמֹּ֔ו עַד־בִּלְתִּ֥י הִשְׁאִֽיר־לוֹ֖ שָׂרִ֑יד וַיִּֽירְשׁ֖וּ אֶת־אַרְצֹֽו׃</w:t>
      </w:r>
    </w:p>
    <w:p w14:paraId="425C0649"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Deutsch:</w:t>
      </w:r>
      <w:r w:rsidRPr="000F1D26">
        <w:rPr>
          <w:rFonts w:eastAsia="Times New Roman" w:cs="Times New Roman"/>
          <w:lang w:eastAsia="de-DE"/>
        </w:rPr>
        <w:t xml:space="preserve"> Und sie schlugen ihn und seine Söhne und sein ganzes Volk, bis ihm kein Überlebender übrig blieb, und sie nahmen sein Land in Besitz.</w:t>
      </w:r>
    </w:p>
    <w:p w14:paraId="5F69E7A6" w14:textId="77777777" w:rsidR="000F1D26" w:rsidRPr="000F1D26" w:rsidRDefault="00F329DD" w:rsidP="000F1D26">
      <w:pPr>
        <w:spacing w:after="0" w:line="240" w:lineRule="auto"/>
        <w:rPr>
          <w:rFonts w:eastAsia="Times New Roman" w:cs="Times New Roman"/>
          <w:lang w:eastAsia="de-DE"/>
        </w:rPr>
      </w:pPr>
      <w:r>
        <w:rPr>
          <w:rFonts w:eastAsia="Times New Roman" w:cs="Times New Roman"/>
          <w:noProof/>
          <w:lang w:eastAsia="de-DE"/>
        </w:rPr>
        <w:pict w14:anchorId="6F280D90">
          <v:rect id="_x0000_i1759" style="width:0;height:1.5pt" o:hralign="center" o:hrstd="t" o:hr="t" fillcolor="#a0a0a0" stroked="f"/>
        </w:pict>
      </w:r>
    </w:p>
    <w:p w14:paraId="7CE8AFEE"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Kommentar:</w:t>
      </w:r>
      <w:r w:rsidRPr="000F1D26">
        <w:rPr>
          <w:rFonts w:eastAsia="Times New Roman" w:cs="Times New Roman"/>
          <w:lang w:eastAsia="de-DE"/>
        </w:rPr>
        <w:t xml:space="preserve"> Das Verb </w:t>
      </w:r>
      <w:r w:rsidRPr="000F1D26">
        <w:rPr>
          <w:rFonts w:eastAsia="Times New Roman" w:cs="Times New Roman"/>
          <w:b/>
          <w:bCs/>
          <w:rtl/>
          <w:lang w:eastAsia="de-DE"/>
        </w:rPr>
        <w:t>וַיַּכּוּ</w:t>
      </w:r>
      <w:r w:rsidRPr="000F1D26">
        <w:rPr>
          <w:rFonts w:eastAsia="Times New Roman" w:cs="Times New Roman"/>
          <w:rtl/>
          <w:lang w:eastAsia="de-DE"/>
        </w:rPr>
        <w:t xml:space="preserve"> </w:t>
      </w:r>
      <w:r w:rsidRPr="000F1D26">
        <w:rPr>
          <w:rFonts w:eastAsia="Times New Roman" w:cs="Times New Roman"/>
          <w:lang w:eastAsia="de-DE"/>
        </w:rPr>
        <w:t xml:space="preserve">(Wayyiqtol, 3. m. pl. von </w:t>
      </w:r>
      <w:r w:rsidRPr="000F1D26">
        <w:rPr>
          <w:rFonts w:eastAsia="Times New Roman" w:cs="Times New Roman"/>
          <w:b/>
          <w:bCs/>
          <w:rtl/>
          <w:lang w:eastAsia="de-DE"/>
        </w:rPr>
        <w:t>נכה</w:t>
      </w:r>
      <w:r w:rsidRPr="000F1D26">
        <w:rPr>
          <w:rFonts w:eastAsia="Times New Roman" w:cs="Times New Roman"/>
          <w:rtl/>
          <w:lang w:eastAsia="de-DE"/>
        </w:rPr>
        <w:t xml:space="preserve"> </w:t>
      </w:r>
      <w:r w:rsidRPr="000F1D26">
        <w:rPr>
          <w:rFonts w:eastAsia="Times New Roman" w:cs="Times New Roman"/>
          <w:lang w:eastAsia="de-DE"/>
        </w:rPr>
        <w:t xml:space="preserve">Hifil, „und sie schlugen"). Das dreifache Objekt </w:t>
      </w:r>
      <w:r w:rsidRPr="000F1D26">
        <w:rPr>
          <w:rFonts w:eastAsia="Times New Roman" w:cs="Times New Roman"/>
          <w:b/>
          <w:bCs/>
          <w:rtl/>
          <w:lang w:eastAsia="de-DE"/>
        </w:rPr>
        <w:t>אֹתוֹ וְאֶת־בָּנָיו וְאֶת־כָּל־עַמּוֹ</w:t>
      </w:r>
      <w:r w:rsidRPr="000F1D26">
        <w:rPr>
          <w:rFonts w:eastAsia="Times New Roman" w:cs="Times New Roman"/>
          <w:rtl/>
          <w:lang w:eastAsia="de-DE"/>
        </w:rPr>
        <w:t xml:space="preserve"> </w:t>
      </w:r>
      <w:r w:rsidRPr="000F1D26">
        <w:rPr>
          <w:rFonts w:eastAsia="Times New Roman" w:cs="Times New Roman"/>
          <w:lang w:eastAsia="de-DE"/>
        </w:rPr>
        <w:t>(„ihn und seine Söhne und sein ganzes Volk") zeigt totale Vernichtung – nicht nur Og selbst, sondern auch seine dynastische Nachfolge (Söhne) und seine gesamte Streitmacht.</w:t>
      </w:r>
    </w:p>
    <w:p w14:paraId="05B23B7F" w14:textId="435F9362"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Vollständigkeitsformel </w:t>
      </w:r>
      <w:r w:rsidRPr="000F1D26">
        <w:rPr>
          <w:rFonts w:eastAsia="Times New Roman" w:cs="Times New Roman"/>
          <w:b/>
          <w:bCs/>
          <w:rtl/>
          <w:lang w:eastAsia="de-DE"/>
        </w:rPr>
        <w:t>עַד־בִּלְתִּי הִשְׁאִיר־לוֹ שָׂרִיד</w:t>
      </w:r>
      <w:r w:rsidRPr="000F1D26">
        <w:rPr>
          <w:rFonts w:eastAsia="Times New Roman" w:cs="Times New Roman"/>
          <w:rtl/>
          <w:lang w:eastAsia="de-DE"/>
        </w:rPr>
        <w:t xml:space="preserve"> </w:t>
      </w:r>
      <w:r w:rsidRPr="000F1D26">
        <w:rPr>
          <w:rFonts w:eastAsia="Times New Roman" w:cs="Times New Roman"/>
          <w:lang w:eastAsia="de-DE"/>
        </w:rPr>
        <w:t xml:space="preserve">(„bis ihm kein Überlebender übrig blieb") ist eine typische Formulierung totaler Eroberung: </w:t>
      </w:r>
      <w:r w:rsidRPr="000F1D26">
        <w:rPr>
          <w:rFonts w:eastAsia="Times New Roman" w:cs="Times New Roman"/>
          <w:b/>
          <w:bCs/>
          <w:rtl/>
          <w:lang w:eastAsia="de-DE"/>
        </w:rPr>
        <w:t>עַד</w:t>
      </w:r>
      <w:r w:rsidRPr="000F1D26">
        <w:rPr>
          <w:rFonts w:eastAsia="Times New Roman" w:cs="Times New Roman"/>
          <w:rtl/>
          <w:lang w:eastAsia="de-DE"/>
        </w:rPr>
        <w:t xml:space="preserve"> </w:t>
      </w:r>
      <w:r w:rsidRPr="000F1D26">
        <w:rPr>
          <w:rFonts w:eastAsia="Times New Roman" w:cs="Times New Roman"/>
          <w:lang w:eastAsia="de-DE"/>
        </w:rPr>
        <w:t xml:space="preserve">„bis", </w:t>
      </w:r>
      <w:r w:rsidRPr="000F1D26">
        <w:rPr>
          <w:rFonts w:eastAsia="Times New Roman" w:cs="Times New Roman"/>
          <w:b/>
          <w:bCs/>
          <w:rtl/>
          <w:lang w:eastAsia="de-DE"/>
        </w:rPr>
        <w:t>בִּלְתִּי</w:t>
      </w:r>
      <w:r w:rsidRPr="000F1D26">
        <w:rPr>
          <w:rFonts w:eastAsia="Times New Roman" w:cs="Times New Roman"/>
          <w:rtl/>
          <w:lang w:eastAsia="de-DE"/>
        </w:rPr>
        <w:t xml:space="preserve"> </w:t>
      </w:r>
      <w:r w:rsidRPr="000F1D26">
        <w:rPr>
          <w:rFonts w:eastAsia="Times New Roman" w:cs="Times New Roman"/>
          <w:lang w:eastAsia="de-DE"/>
        </w:rPr>
        <w:t xml:space="preserve">„ohne, nicht" (negative Konjunktion), </w:t>
      </w:r>
      <w:r w:rsidRPr="000F1D26">
        <w:rPr>
          <w:rFonts w:eastAsia="Times New Roman" w:cs="Times New Roman"/>
          <w:b/>
          <w:bCs/>
          <w:rtl/>
          <w:lang w:eastAsia="de-DE"/>
        </w:rPr>
        <w:t>הִשְׁאִיר</w:t>
      </w:r>
      <w:r w:rsidRPr="000F1D26">
        <w:rPr>
          <w:rFonts w:eastAsia="Times New Roman" w:cs="Times New Roman"/>
          <w:rtl/>
          <w:lang w:eastAsia="de-DE"/>
        </w:rPr>
        <w:t xml:space="preserve"> </w:t>
      </w:r>
      <w:r w:rsidRPr="000F1D26">
        <w:rPr>
          <w:rFonts w:eastAsia="Times New Roman" w:cs="Times New Roman"/>
          <w:lang w:eastAsia="de-DE"/>
        </w:rPr>
        <w:t xml:space="preserve">(Hifil Infinitiv construct von </w:t>
      </w:r>
      <w:r w:rsidRPr="000F1D26">
        <w:rPr>
          <w:rFonts w:eastAsia="Times New Roman" w:cs="Times New Roman"/>
          <w:b/>
          <w:bCs/>
          <w:rtl/>
          <w:lang w:eastAsia="de-DE"/>
        </w:rPr>
        <w:t>שׁאר</w:t>
      </w:r>
      <w:r w:rsidRPr="000F1D26">
        <w:rPr>
          <w:rFonts w:eastAsia="Times New Roman" w:cs="Times New Roman"/>
          <w:lang w:eastAsia="de-DE"/>
        </w:rPr>
        <w:t xml:space="preserve">, „übrig lassen"), </w:t>
      </w:r>
      <w:r w:rsidRPr="000F1D26">
        <w:rPr>
          <w:rFonts w:eastAsia="Times New Roman" w:cs="Times New Roman"/>
          <w:b/>
          <w:bCs/>
          <w:rtl/>
          <w:lang w:eastAsia="de-DE"/>
        </w:rPr>
        <w:t>לוֹ</w:t>
      </w:r>
      <w:r w:rsidRPr="000F1D26">
        <w:rPr>
          <w:rFonts w:eastAsia="Times New Roman" w:cs="Times New Roman"/>
          <w:rtl/>
          <w:lang w:eastAsia="de-DE"/>
        </w:rPr>
        <w:t xml:space="preserve"> </w:t>
      </w:r>
      <w:r w:rsidRPr="000F1D26">
        <w:rPr>
          <w:rFonts w:eastAsia="Times New Roman" w:cs="Times New Roman"/>
          <w:lang w:eastAsia="de-DE"/>
        </w:rPr>
        <w:t xml:space="preserve">Dativ-Suffix 3. m. sg., </w:t>
      </w:r>
      <w:r w:rsidRPr="000F1D26">
        <w:rPr>
          <w:rFonts w:eastAsia="Times New Roman" w:cs="Times New Roman"/>
          <w:b/>
          <w:bCs/>
          <w:rtl/>
          <w:lang w:eastAsia="de-DE"/>
        </w:rPr>
        <w:t>שָׂרִיד</w:t>
      </w:r>
      <w:r w:rsidRPr="000F1D26">
        <w:rPr>
          <w:rFonts w:eastAsia="Times New Roman" w:cs="Times New Roman"/>
          <w:rtl/>
          <w:lang w:eastAsia="de-DE"/>
        </w:rPr>
        <w:t xml:space="preserve"> </w:t>
      </w:r>
      <w:r w:rsidRPr="000F1D26">
        <w:rPr>
          <w:rFonts w:eastAsia="Times New Roman" w:cs="Times New Roman"/>
          <w:lang w:eastAsia="de-DE"/>
        </w:rPr>
        <w:t xml:space="preserve">„Überlebender, Überrest" (von </w:t>
      </w:r>
      <w:r w:rsidRPr="000F1D26">
        <w:rPr>
          <w:rFonts w:eastAsia="Times New Roman" w:cs="Times New Roman"/>
          <w:b/>
          <w:bCs/>
          <w:rtl/>
          <w:lang w:eastAsia="de-DE"/>
        </w:rPr>
        <w:t>שׂרד</w:t>
      </w:r>
      <w:r w:rsidRPr="000F1D26">
        <w:rPr>
          <w:rFonts w:eastAsia="Times New Roman" w:cs="Times New Roman"/>
          <w:rtl/>
          <w:lang w:eastAsia="de-DE"/>
        </w:rPr>
        <w:t xml:space="preserve"> </w:t>
      </w:r>
      <w:r w:rsidRPr="000F1D26">
        <w:rPr>
          <w:rFonts w:eastAsia="Times New Roman" w:cs="Times New Roman"/>
          <w:lang w:eastAsia="de-DE"/>
        </w:rPr>
        <w:t xml:space="preserve">„überleben"). Die </w:t>
      </w:r>
      <w:r w:rsidR="00F133EC">
        <w:rPr>
          <w:rFonts w:eastAsia="Times New Roman" w:cs="Times New Roman"/>
          <w:lang w:eastAsia="de-DE"/>
        </w:rPr>
        <w:t>Construct</w:t>
      </w:r>
      <w:r w:rsidRPr="000F1D26">
        <w:rPr>
          <w:rFonts w:eastAsia="Times New Roman" w:cs="Times New Roman"/>
          <w:lang w:eastAsia="de-DE"/>
        </w:rPr>
        <w:t xml:space="preserve">ion </w:t>
      </w:r>
      <w:r w:rsidRPr="000F1D26">
        <w:rPr>
          <w:rFonts w:eastAsia="Times New Roman" w:cs="Times New Roman"/>
          <w:b/>
          <w:bCs/>
          <w:rtl/>
          <w:lang w:eastAsia="de-DE"/>
        </w:rPr>
        <w:t>עַד־בִּלְתִּי הִשְׁאִיר שָׂרִיד</w:t>
      </w:r>
      <w:r w:rsidRPr="000F1D26">
        <w:rPr>
          <w:rFonts w:eastAsia="Times New Roman" w:cs="Times New Roman"/>
          <w:rtl/>
          <w:lang w:eastAsia="de-DE"/>
        </w:rPr>
        <w:t xml:space="preserve"> </w:t>
      </w:r>
      <w:r w:rsidRPr="000F1D26">
        <w:rPr>
          <w:rFonts w:eastAsia="Times New Roman" w:cs="Times New Roman"/>
          <w:lang w:eastAsia="de-DE"/>
        </w:rPr>
        <w:t>bedeutet wörtlich „bis zum Nicht-Übriglassen eines Überlebenden" – absolut niemand überlebt. Diese Formel wird häufig bei der Eroberung Kanaans verwendet (vgl. Dtn 2,34; 3,3; Jos 8,22; 10,33).</w:t>
      </w:r>
    </w:p>
    <w:p w14:paraId="21A11855"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Landnahme: </w:t>
      </w:r>
      <w:r w:rsidRPr="000F1D26">
        <w:rPr>
          <w:rFonts w:eastAsia="Times New Roman" w:cs="Times New Roman"/>
          <w:b/>
          <w:bCs/>
          <w:rtl/>
          <w:lang w:eastAsia="de-DE"/>
        </w:rPr>
        <w:t>וַיִּירְשׁוּ אֶת־אַרְצוֹ</w:t>
      </w:r>
      <w:r w:rsidRPr="000F1D26">
        <w:rPr>
          <w:rFonts w:eastAsia="Times New Roman" w:cs="Times New Roman"/>
          <w:rtl/>
          <w:lang w:eastAsia="de-DE"/>
        </w:rPr>
        <w:t xml:space="preserve"> </w:t>
      </w:r>
      <w:r w:rsidRPr="000F1D26">
        <w:rPr>
          <w:rFonts w:eastAsia="Times New Roman" w:cs="Times New Roman"/>
          <w:lang w:eastAsia="de-DE"/>
        </w:rPr>
        <w:t xml:space="preserve">(„und sie nahmen sein Land in Besitz") – </w:t>
      </w:r>
      <w:r w:rsidRPr="000F1D26">
        <w:rPr>
          <w:rFonts w:eastAsia="Times New Roman" w:cs="Times New Roman"/>
          <w:b/>
          <w:bCs/>
          <w:rtl/>
          <w:lang w:eastAsia="de-DE"/>
        </w:rPr>
        <w:t>וַיִּירְשׁוּ</w:t>
      </w:r>
      <w:r w:rsidRPr="000F1D26">
        <w:rPr>
          <w:rFonts w:eastAsia="Times New Roman" w:cs="Times New Roman"/>
          <w:rtl/>
          <w:lang w:eastAsia="de-DE"/>
        </w:rPr>
        <w:t xml:space="preserve"> </w:t>
      </w:r>
      <w:r w:rsidRPr="000F1D26">
        <w:rPr>
          <w:rFonts w:eastAsia="Times New Roman" w:cs="Times New Roman"/>
          <w:lang w:eastAsia="de-DE"/>
        </w:rPr>
        <w:t xml:space="preserve">(Wayyiqtol, 3. m. pl. von </w:t>
      </w:r>
      <w:r w:rsidRPr="000F1D26">
        <w:rPr>
          <w:rFonts w:eastAsia="Times New Roman" w:cs="Times New Roman"/>
          <w:b/>
          <w:bCs/>
          <w:rtl/>
          <w:lang w:eastAsia="de-DE"/>
        </w:rPr>
        <w:t>ירשׁ</w:t>
      </w:r>
      <w:r w:rsidRPr="000F1D26">
        <w:rPr>
          <w:rFonts w:eastAsia="Times New Roman" w:cs="Times New Roman"/>
          <w:lang w:eastAsia="de-DE"/>
        </w:rPr>
        <w:t xml:space="preserve">, „und sie nahmen in Besitz, erbten"), </w:t>
      </w:r>
      <w:r w:rsidRPr="000F1D26">
        <w:rPr>
          <w:rFonts w:eastAsia="Times New Roman" w:cs="Times New Roman"/>
          <w:b/>
          <w:bCs/>
          <w:rtl/>
          <w:lang w:eastAsia="de-DE"/>
        </w:rPr>
        <w:t>אֶת־אַרְצוֹ</w:t>
      </w:r>
      <w:r w:rsidRPr="000F1D26">
        <w:rPr>
          <w:rFonts w:eastAsia="Times New Roman" w:cs="Times New Roman"/>
          <w:rtl/>
          <w:lang w:eastAsia="de-DE"/>
        </w:rPr>
        <w:t xml:space="preserve"> </w:t>
      </w:r>
      <w:r w:rsidRPr="000F1D26">
        <w:rPr>
          <w:rFonts w:eastAsia="Times New Roman" w:cs="Times New Roman"/>
          <w:lang w:eastAsia="de-DE"/>
        </w:rPr>
        <w:t>(„sein Land") mit Possessivsuffix 3. m. sg. Wie bei Sichon folgt auf den militärischen Sieg die Besitzergreifung des Landes.</w:t>
      </w:r>
    </w:p>
    <w:p w14:paraId="3C2F3A43"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b/>
          <w:bCs/>
          <w:lang w:eastAsia="de-DE"/>
        </w:rPr>
        <w:t>Die LXX</w:t>
      </w:r>
      <w:r w:rsidRPr="000F1D26">
        <w:rPr>
          <w:rFonts w:eastAsia="Times New Roman" w:cs="Times New Roman"/>
          <w:lang w:eastAsia="de-DE"/>
        </w:rPr>
        <w:t xml:space="preserve"> folgt dem hebräischen Text.</w:t>
      </w:r>
    </w:p>
    <w:p w14:paraId="7ADAFDD1" w14:textId="77777777" w:rsidR="000F1D26" w:rsidRP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Die Satzstruktur zeigt zwei koordinierte Hauptsätze: Der erste mit Verb, dreifachem koordinierten Objekt (das dritte mit </w:t>
      </w:r>
      <w:r w:rsidRPr="000F1D26">
        <w:rPr>
          <w:rFonts w:eastAsia="Times New Roman" w:cs="Times New Roman"/>
          <w:b/>
          <w:bCs/>
          <w:rtl/>
          <w:lang w:eastAsia="de-DE"/>
        </w:rPr>
        <w:t>כָּל</w:t>
      </w:r>
      <w:r w:rsidRPr="000F1D26">
        <w:rPr>
          <w:rFonts w:eastAsia="Times New Roman" w:cs="Times New Roman"/>
          <w:lang w:eastAsia="de-DE"/>
        </w:rPr>
        <w:t xml:space="preserve">) und negativem Finalsatz (mit </w:t>
      </w:r>
      <w:r w:rsidRPr="000F1D26">
        <w:rPr>
          <w:rFonts w:eastAsia="Times New Roman" w:cs="Times New Roman"/>
          <w:b/>
          <w:bCs/>
          <w:rtl/>
          <w:lang w:eastAsia="de-DE"/>
        </w:rPr>
        <w:t>עַד</w:t>
      </w:r>
      <w:r w:rsidRPr="000F1D26">
        <w:rPr>
          <w:rFonts w:eastAsia="Times New Roman" w:cs="Times New Roman"/>
          <w:lang w:eastAsia="de-DE"/>
        </w:rPr>
        <w:t>, negativer Konjunktion, Infinitiv construct, Dativ-Präpositionalphrase und Objekt); der zweite mit Verb und Objekt (Possessivsuffix). Insgesamt gibt es einen Nebensatz (negativer Finalsatz).</w:t>
      </w:r>
    </w:p>
    <w:p w14:paraId="3E484731" w14:textId="7F9861CD" w:rsidR="000F1D26" w:rsidRDefault="000F1D26" w:rsidP="000F1D26">
      <w:pPr>
        <w:spacing w:before="100" w:beforeAutospacing="1" w:after="100" w:afterAutospacing="1" w:line="240" w:lineRule="auto"/>
        <w:rPr>
          <w:rFonts w:eastAsia="Times New Roman" w:cs="Times New Roman"/>
          <w:lang w:eastAsia="de-DE"/>
        </w:rPr>
      </w:pPr>
      <w:r w:rsidRPr="000F1D26">
        <w:rPr>
          <w:rFonts w:eastAsia="Times New Roman" w:cs="Times New Roman"/>
          <w:lang w:eastAsia="de-DE"/>
        </w:rPr>
        <w:t xml:space="preserve">Der Vers schließt die Og-Episode ab: totaler Sieg, vollständige Vernichtung, Landnahme. Die Formel </w:t>
      </w:r>
      <w:r w:rsidRPr="000F1D26">
        <w:rPr>
          <w:rFonts w:eastAsia="Times New Roman" w:cs="Times New Roman"/>
          <w:b/>
          <w:bCs/>
          <w:rtl/>
          <w:lang w:eastAsia="de-DE"/>
        </w:rPr>
        <w:t>עַד־בִּלְתִּי הִשְׁאִיר שָׂרִיד</w:t>
      </w:r>
      <w:r w:rsidRPr="000F1D26">
        <w:rPr>
          <w:rFonts w:eastAsia="Times New Roman" w:cs="Times New Roman"/>
          <w:rtl/>
          <w:lang w:eastAsia="de-DE"/>
        </w:rPr>
        <w:t xml:space="preserve"> </w:t>
      </w:r>
      <w:r w:rsidRPr="000F1D26">
        <w:rPr>
          <w:rFonts w:eastAsia="Times New Roman" w:cs="Times New Roman"/>
          <w:lang w:eastAsia="de-DE"/>
        </w:rPr>
        <w:t xml:space="preserve">betont die Absolutheit – es handelt sich um </w:t>
      </w:r>
      <w:r w:rsidRPr="000F1D26">
        <w:rPr>
          <w:rFonts w:eastAsia="Times New Roman" w:cs="Times New Roman"/>
          <w:b/>
          <w:bCs/>
          <w:rtl/>
          <w:lang w:eastAsia="de-DE"/>
        </w:rPr>
        <w:t>חֵרֶם</w:t>
      </w:r>
      <w:r w:rsidRPr="000F1D26">
        <w:rPr>
          <w:rFonts w:eastAsia="Times New Roman" w:cs="Times New Roman"/>
          <w:lang w:eastAsia="de-DE"/>
        </w:rPr>
        <w:t>, die vollständige Weihung/Vernichtung der Feinde.</w:t>
      </w:r>
    </w:p>
    <w:tbl>
      <w:tblPr>
        <w:tblStyle w:val="Gitternetztabelle2Akzent4"/>
        <w:tblW w:w="4994" w:type="pct"/>
        <w:tblLook w:val="04A0" w:firstRow="1" w:lastRow="0" w:firstColumn="1" w:lastColumn="0" w:noHBand="0" w:noVBand="1"/>
      </w:tblPr>
      <w:tblGrid>
        <w:gridCol w:w="1983"/>
        <w:gridCol w:w="3548"/>
        <w:gridCol w:w="3530"/>
      </w:tblGrid>
      <w:tr w:rsidR="00143A97" w14:paraId="01BDE475" w14:textId="77777777" w:rsidTr="00A8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35E26552" w14:textId="5807EBC7" w:rsidR="00143A97" w:rsidRPr="00A833DE" w:rsidRDefault="00143A97" w:rsidP="000F1D26">
            <w:pPr>
              <w:spacing w:before="100" w:beforeAutospacing="1" w:after="100" w:afterAutospacing="1" w:line="240" w:lineRule="auto"/>
              <w:rPr>
                <w:rFonts w:eastAsia="Times New Roman" w:cs="Times New Roman"/>
                <w:lang w:eastAsia="de-DE"/>
              </w:rPr>
            </w:pPr>
            <w:r w:rsidRPr="00A833DE">
              <w:rPr>
                <w:rFonts w:ascii="Georgia" w:hAnsi="Georgia"/>
                <w:color w:val="141413"/>
                <w:sz w:val="21"/>
                <w:szCs w:val="21"/>
                <w:shd w:val="clear" w:color="auto" w:fill="FAF9F5"/>
              </w:rPr>
              <w:lastRenderedPageBreak/>
              <w:t>Element</w:t>
            </w:r>
          </w:p>
        </w:tc>
        <w:tc>
          <w:tcPr>
            <w:tcW w:w="1958" w:type="pct"/>
          </w:tcPr>
          <w:p w14:paraId="4955CDA9" w14:textId="100F49F4" w:rsidR="00143A97" w:rsidRPr="00A833DE" w:rsidRDefault="00143A97" w:rsidP="000F1D26">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r w:rsidRPr="00A833DE">
              <w:t>Sichon (V. 21-31)</w:t>
            </w:r>
          </w:p>
        </w:tc>
        <w:tc>
          <w:tcPr>
            <w:tcW w:w="1948" w:type="pct"/>
          </w:tcPr>
          <w:p w14:paraId="7BBFA22F" w14:textId="779A8CB5" w:rsidR="00143A97" w:rsidRPr="00A833DE" w:rsidRDefault="00143A97" w:rsidP="000F1D26">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r w:rsidRPr="00A833DE">
              <w:t>Og (V. 33-35)</w:t>
            </w:r>
          </w:p>
        </w:tc>
      </w:tr>
      <w:tr w:rsidR="00143A97" w14:paraId="228825C6" w14:textId="77777777" w:rsidTr="00A83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CF207E3" w14:textId="5D120C63" w:rsidR="00143A97" w:rsidRPr="00A833DE" w:rsidRDefault="00143A97" w:rsidP="000F1D26">
            <w:pPr>
              <w:spacing w:before="100" w:beforeAutospacing="1" w:after="100" w:afterAutospacing="1" w:line="240" w:lineRule="auto"/>
              <w:rPr>
                <w:rFonts w:eastAsia="Times New Roman" w:cs="Times New Roman"/>
                <w:lang w:eastAsia="de-DE"/>
              </w:rPr>
            </w:pPr>
            <w:r w:rsidRPr="00A833DE">
              <w:t>Anfrage</w:t>
            </w:r>
          </w:p>
        </w:tc>
        <w:tc>
          <w:tcPr>
            <w:tcW w:w="1958" w:type="pct"/>
          </w:tcPr>
          <w:p w14:paraId="1C256FD4" w14:textId="213628D9" w:rsidR="00143A97" w:rsidRDefault="00143A97" w:rsidP="000F1D26">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t>Höfliche diplomatische Bitte um Durchzug (V. 21-22)</w:t>
            </w:r>
          </w:p>
        </w:tc>
        <w:tc>
          <w:tcPr>
            <w:tcW w:w="1948" w:type="pct"/>
          </w:tcPr>
          <w:p w14:paraId="633FD2D5" w14:textId="797449A4" w:rsidR="00143A97" w:rsidRDefault="00143A97" w:rsidP="000F1D26">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t>Keine Anfrage - Israel zieht direkt los (V. 33a)</w:t>
            </w:r>
          </w:p>
        </w:tc>
      </w:tr>
      <w:tr w:rsidR="00143A97" w14:paraId="1DA57D7D" w14:textId="77777777" w:rsidTr="00A833DE">
        <w:tc>
          <w:tcPr>
            <w:cnfStyle w:val="001000000000" w:firstRow="0" w:lastRow="0" w:firstColumn="1" w:lastColumn="0" w:oddVBand="0" w:evenVBand="0" w:oddHBand="0" w:evenHBand="0" w:firstRowFirstColumn="0" w:firstRowLastColumn="0" w:lastRowFirstColumn="0" w:lastRowLastColumn="0"/>
            <w:tcW w:w="1094" w:type="pct"/>
          </w:tcPr>
          <w:p w14:paraId="5C1DE216" w14:textId="77104519" w:rsidR="00143A97" w:rsidRPr="00A833DE" w:rsidRDefault="00143A97" w:rsidP="000F1D26">
            <w:pPr>
              <w:spacing w:before="100" w:beforeAutospacing="1" w:after="100" w:afterAutospacing="1" w:line="240" w:lineRule="auto"/>
              <w:rPr>
                <w:rFonts w:eastAsia="Times New Roman" w:cs="Times New Roman"/>
                <w:lang w:eastAsia="de-DE"/>
              </w:rPr>
            </w:pPr>
            <w:r w:rsidRPr="00A833DE">
              <w:t>Reaktion</w:t>
            </w:r>
          </w:p>
        </w:tc>
        <w:tc>
          <w:tcPr>
            <w:tcW w:w="1958" w:type="pct"/>
          </w:tcPr>
          <w:p w14:paraId="017758F0" w14:textId="6946EAC0" w:rsidR="00143A97" w:rsidRDefault="00143A97" w:rsidP="000F1D26">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t>Sichon greift aggressiv an (V. 23)</w:t>
            </w:r>
          </w:p>
        </w:tc>
        <w:tc>
          <w:tcPr>
            <w:tcW w:w="1948" w:type="pct"/>
          </w:tcPr>
          <w:p w14:paraId="5A9B94BA" w14:textId="432BCED4" w:rsidR="00143A97" w:rsidRDefault="00143A97" w:rsidP="000F1D26">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t>Og greift aggressiv an (V. 33b)</w:t>
            </w:r>
          </w:p>
        </w:tc>
      </w:tr>
      <w:tr w:rsidR="00143A97" w14:paraId="22C496AF" w14:textId="77777777" w:rsidTr="00A83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0CBE226" w14:textId="100DA6C7" w:rsidR="00143A97" w:rsidRPr="00A833DE" w:rsidRDefault="00143A97" w:rsidP="000F1D26">
            <w:pPr>
              <w:spacing w:before="100" w:beforeAutospacing="1" w:after="100" w:afterAutospacing="1" w:line="240" w:lineRule="auto"/>
              <w:rPr>
                <w:rFonts w:eastAsia="Times New Roman" w:cs="Times New Roman"/>
                <w:lang w:eastAsia="de-DE"/>
              </w:rPr>
            </w:pPr>
            <w:r w:rsidRPr="00A833DE">
              <w:t>Göttliche Zusage</w:t>
            </w:r>
          </w:p>
        </w:tc>
        <w:tc>
          <w:tcPr>
            <w:tcW w:w="1958" w:type="pct"/>
          </w:tcPr>
          <w:p w14:paraId="58AFBF6B" w14:textId="09253396" w:rsidR="00143A97" w:rsidRDefault="00143A97" w:rsidP="000F1D26">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t>Implizit (durch den Sieg)</w:t>
            </w:r>
          </w:p>
        </w:tc>
        <w:tc>
          <w:tcPr>
            <w:tcW w:w="1948" w:type="pct"/>
          </w:tcPr>
          <w:p w14:paraId="694F5033" w14:textId="3AFA381B" w:rsidR="00143A97" w:rsidRDefault="00143A97" w:rsidP="000F1D26">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t>Explizit: „Fürchte dich nicht" (V. 34)</w:t>
            </w:r>
          </w:p>
        </w:tc>
      </w:tr>
      <w:tr w:rsidR="00143A97" w14:paraId="4291BD66" w14:textId="77777777" w:rsidTr="00A833DE">
        <w:tc>
          <w:tcPr>
            <w:cnfStyle w:val="001000000000" w:firstRow="0" w:lastRow="0" w:firstColumn="1" w:lastColumn="0" w:oddVBand="0" w:evenVBand="0" w:oddHBand="0" w:evenHBand="0" w:firstRowFirstColumn="0" w:firstRowLastColumn="0" w:lastRowFirstColumn="0" w:lastRowLastColumn="0"/>
            <w:tcW w:w="1094" w:type="pct"/>
          </w:tcPr>
          <w:p w14:paraId="6AD58F76" w14:textId="350F7605" w:rsidR="00143A97" w:rsidRPr="00A833DE" w:rsidRDefault="00143A97" w:rsidP="000F1D26">
            <w:pPr>
              <w:spacing w:before="100" w:beforeAutospacing="1" w:after="100" w:afterAutospacing="1" w:line="240" w:lineRule="auto"/>
              <w:rPr>
                <w:rFonts w:eastAsia="Times New Roman" w:cs="Times New Roman"/>
                <w:lang w:eastAsia="de-DE"/>
              </w:rPr>
            </w:pPr>
            <w:r w:rsidRPr="00A833DE">
              <w:t>Schlacht</w:t>
            </w:r>
          </w:p>
        </w:tc>
        <w:tc>
          <w:tcPr>
            <w:tcW w:w="1958" w:type="pct"/>
          </w:tcPr>
          <w:p w14:paraId="1DEDA48B" w14:textId="3A470F1F" w:rsidR="00143A97" w:rsidRDefault="00143A97" w:rsidP="000F1D26">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t>Bei Jahaz (V. 23)</w:t>
            </w:r>
          </w:p>
        </w:tc>
        <w:tc>
          <w:tcPr>
            <w:tcW w:w="1948" w:type="pct"/>
          </w:tcPr>
          <w:p w14:paraId="40CE39F2" w14:textId="5E1F3249" w:rsidR="00143A97" w:rsidRDefault="00143A97" w:rsidP="000F1D26">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t>Bei Edrei (V. 33)</w:t>
            </w:r>
          </w:p>
        </w:tc>
      </w:tr>
      <w:tr w:rsidR="00143A97" w14:paraId="14BD411B" w14:textId="77777777" w:rsidTr="00A83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C1BCCA4" w14:textId="3D02FFED" w:rsidR="00143A97" w:rsidRPr="00A833DE" w:rsidRDefault="00143A97" w:rsidP="000F1D26">
            <w:pPr>
              <w:spacing w:before="100" w:beforeAutospacing="1" w:after="100" w:afterAutospacing="1" w:line="240" w:lineRule="auto"/>
              <w:rPr>
                <w:rFonts w:eastAsia="Times New Roman" w:cs="Times New Roman"/>
                <w:lang w:eastAsia="de-DE"/>
              </w:rPr>
            </w:pPr>
            <w:r w:rsidRPr="00A833DE">
              <w:t>Ergebnis</w:t>
            </w:r>
          </w:p>
        </w:tc>
        <w:tc>
          <w:tcPr>
            <w:tcW w:w="1958" w:type="pct"/>
          </w:tcPr>
          <w:p w14:paraId="0186A093" w14:textId="4932B718" w:rsidR="00143A97" w:rsidRDefault="00143A97" w:rsidP="000F1D26">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t>Totaler Sieg mit der Schärfe des Schwertes (V. 24)</w:t>
            </w:r>
          </w:p>
        </w:tc>
        <w:tc>
          <w:tcPr>
            <w:tcW w:w="1948" w:type="pct"/>
          </w:tcPr>
          <w:p w14:paraId="24CAD795" w14:textId="1FEE8C1D" w:rsidR="00143A97" w:rsidRDefault="00143A97" w:rsidP="000F1D26">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t>Totaler Sieg, kein Überlebender (V. 35)</w:t>
            </w:r>
          </w:p>
        </w:tc>
      </w:tr>
      <w:tr w:rsidR="00143A97" w14:paraId="1480FA9D" w14:textId="77777777" w:rsidTr="00A833DE">
        <w:tc>
          <w:tcPr>
            <w:cnfStyle w:val="001000000000" w:firstRow="0" w:lastRow="0" w:firstColumn="1" w:lastColumn="0" w:oddVBand="0" w:evenVBand="0" w:oddHBand="0" w:evenHBand="0" w:firstRowFirstColumn="0" w:firstRowLastColumn="0" w:lastRowFirstColumn="0" w:lastRowLastColumn="0"/>
            <w:tcW w:w="1094" w:type="pct"/>
          </w:tcPr>
          <w:p w14:paraId="3B775CD9" w14:textId="632844E0" w:rsidR="00143A97" w:rsidRPr="00A833DE" w:rsidRDefault="00143A97" w:rsidP="000F1D26">
            <w:pPr>
              <w:spacing w:before="100" w:beforeAutospacing="1" w:after="100" w:afterAutospacing="1" w:line="240" w:lineRule="auto"/>
              <w:rPr>
                <w:rFonts w:eastAsia="Times New Roman" w:cs="Times New Roman"/>
                <w:lang w:eastAsia="de-DE"/>
              </w:rPr>
            </w:pPr>
            <w:r w:rsidRPr="00A833DE">
              <w:t>Landnahme</w:t>
            </w:r>
          </w:p>
        </w:tc>
        <w:tc>
          <w:tcPr>
            <w:tcW w:w="1958" w:type="pct"/>
          </w:tcPr>
          <w:p w14:paraId="6D31BD38" w14:textId="6E4FB00A" w:rsidR="00143A97" w:rsidRDefault="00143A97" w:rsidP="000F1D26">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t>Vom Arnon bis zum Jabbok (V. 24-25)</w:t>
            </w:r>
          </w:p>
        </w:tc>
        <w:tc>
          <w:tcPr>
            <w:tcW w:w="1948" w:type="pct"/>
          </w:tcPr>
          <w:p w14:paraId="28350156" w14:textId="74632DBE" w:rsidR="00143A97" w:rsidRDefault="00143A97" w:rsidP="000F1D26">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t>Baschan (V. 35)</w:t>
            </w:r>
          </w:p>
        </w:tc>
      </w:tr>
      <w:tr w:rsidR="00143A97" w14:paraId="3477B5DD" w14:textId="77777777" w:rsidTr="00A83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731562C2" w14:textId="77777777" w:rsidR="00143A97" w:rsidRPr="00A833DE" w:rsidRDefault="00143A97" w:rsidP="00143A97">
            <w:pPr>
              <w:pStyle w:val="KeinLeerraum"/>
            </w:pPr>
            <w:r w:rsidRPr="00A833DE">
              <w:t xml:space="preserve">Historischer </w:t>
            </w:r>
          </w:p>
          <w:p w14:paraId="331B1F9E" w14:textId="1BB1123D" w:rsidR="00143A97" w:rsidRPr="00A833DE" w:rsidRDefault="00143A97" w:rsidP="00143A97">
            <w:pPr>
              <w:pStyle w:val="KeinLeerraum"/>
              <w:rPr>
                <w:rFonts w:eastAsia="Times New Roman" w:cs="Times New Roman"/>
                <w:lang w:eastAsia="de-DE"/>
              </w:rPr>
            </w:pPr>
            <w:r w:rsidRPr="00A833DE">
              <w:t>Exkurs</w:t>
            </w:r>
          </w:p>
        </w:tc>
        <w:tc>
          <w:tcPr>
            <w:tcW w:w="1958" w:type="pct"/>
          </w:tcPr>
          <w:p w14:paraId="3298CE49" w14:textId="6F0C615A" w:rsidR="00143A97" w:rsidRDefault="00143A97" w:rsidP="000F1D26">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t>Ausführlich: Sichons frühere Eroberung Moabs (V. 26-30)</w:t>
            </w:r>
          </w:p>
        </w:tc>
        <w:tc>
          <w:tcPr>
            <w:tcW w:w="1948" w:type="pct"/>
          </w:tcPr>
          <w:p w14:paraId="2B2E90DA" w14:textId="610C4C9E" w:rsidR="00143A97" w:rsidRDefault="00143A97" w:rsidP="000F1D26">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t>Fehlt - nicht nötig</w:t>
            </w:r>
          </w:p>
        </w:tc>
      </w:tr>
      <w:tr w:rsidR="00143A97" w14:paraId="287695B5" w14:textId="77777777" w:rsidTr="00A833DE">
        <w:tc>
          <w:tcPr>
            <w:cnfStyle w:val="001000000000" w:firstRow="0" w:lastRow="0" w:firstColumn="1" w:lastColumn="0" w:oddVBand="0" w:evenVBand="0" w:oddHBand="0" w:evenHBand="0" w:firstRowFirstColumn="0" w:firstRowLastColumn="0" w:lastRowFirstColumn="0" w:lastRowLastColumn="0"/>
            <w:tcW w:w="1094" w:type="pct"/>
          </w:tcPr>
          <w:p w14:paraId="6524C07D" w14:textId="36EB20F5" w:rsidR="00143A97" w:rsidRPr="00A833DE" w:rsidRDefault="00143A97" w:rsidP="000F1D26">
            <w:pPr>
              <w:spacing w:before="100" w:beforeAutospacing="1" w:after="100" w:afterAutospacing="1" w:line="240" w:lineRule="auto"/>
              <w:rPr>
                <w:rFonts w:eastAsia="Times New Roman" w:cs="Times New Roman"/>
                <w:lang w:eastAsia="de-DE"/>
              </w:rPr>
            </w:pPr>
            <w:r w:rsidRPr="00A833DE">
              <w:t>Besiedlung</w:t>
            </w:r>
          </w:p>
        </w:tc>
        <w:tc>
          <w:tcPr>
            <w:tcW w:w="1958" w:type="pct"/>
          </w:tcPr>
          <w:p w14:paraId="4DF95B05" w14:textId="09FD48EF" w:rsidR="00143A97" w:rsidRDefault="00143A97" w:rsidP="000F1D26">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t>Explizit erwähnt (V. 25, 31)</w:t>
            </w:r>
          </w:p>
        </w:tc>
        <w:tc>
          <w:tcPr>
            <w:tcW w:w="1948" w:type="pct"/>
          </w:tcPr>
          <w:p w14:paraId="72259FF6" w14:textId="526EF71C" w:rsidR="00143A97" w:rsidRDefault="00143A97" w:rsidP="000F1D26">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t>Nur Landnahme erwähnt (V. 35)</w:t>
            </w:r>
          </w:p>
        </w:tc>
      </w:tr>
    </w:tbl>
    <w:p w14:paraId="13ECEB0A" w14:textId="77777777" w:rsidR="00143A97" w:rsidRPr="000F1D26" w:rsidRDefault="00143A97" w:rsidP="000F1D26">
      <w:pPr>
        <w:spacing w:before="100" w:beforeAutospacing="1" w:after="100" w:afterAutospacing="1" w:line="240" w:lineRule="auto"/>
        <w:rPr>
          <w:rFonts w:eastAsia="Times New Roman" w:cs="Times New Roman"/>
          <w:lang w:eastAsia="de-DE"/>
        </w:rPr>
      </w:pPr>
    </w:p>
    <w:p w14:paraId="24B0757C" w14:textId="77777777" w:rsidR="000C3A0E" w:rsidRDefault="000C3A0E" w:rsidP="000C3A0E">
      <w:pPr>
        <w:pStyle w:val="whitespace-normal"/>
      </w:pPr>
      <w:r>
        <w:t>Numeri 21 markiert Israels Übergang von Wüstenwanderung zur Eroberung östlich des Jordan.</w:t>
      </w:r>
    </w:p>
    <w:p w14:paraId="2097DEBB" w14:textId="39F91AA0" w:rsidR="000C3A0E" w:rsidRDefault="000C3A0E" w:rsidP="000C3A0E">
      <w:pPr>
        <w:pStyle w:val="whitespace-normal"/>
      </w:pPr>
      <w:r>
        <w:t xml:space="preserve">Nach einem ersten Sieg über einen kanaanäischen König bei Chorma rebelliert das Volk erneut gegen Gott und das Manna. JHWH sendet </w:t>
      </w:r>
      <w:r>
        <w:rPr>
          <w:rStyle w:val="Fett"/>
        </w:rPr>
        <w:t>Saraph-Schlangen</w:t>
      </w:r>
      <w:r>
        <w:t xml:space="preserve"> als Strafe. Das Volk bereut. Gottes Heilmittel: eine </w:t>
      </w:r>
      <w:r>
        <w:rPr>
          <w:rStyle w:val="Fett"/>
        </w:rPr>
        <w:t>kupferne Schlange</w:t>
      </w:r>
      <w:r>
        <w:t xml:space="preserve"> auf einer Stange – wer hinschaut, lebt. Das Abbild der Strafe wird zum Heilungsinstrument.</w:t>
      </w:r>
    </w:p>
    <w:p w14:paraId="7D4866C0" w14:textId="77777777" w:rsidR="000C3A0E" w:rsidRDefault="000C3A0E" w:rsidP="000C3A0E">
      <w:pPr>
        <w:pStyle w:val="whitespace-normal"/>
      </w:pPr>
      <w:r>
        <w:t xml:space="preserve">Israel zieht nordwärts um Edom herum. Bei Be'er schenkt Gott freundlich Wasser – das freudige </w:t>
      </w:r>
      <w:r>
        <w:rPr>
          <w:rStyle w:val="Fett"/>
        </w:rPr>
        <w:t>Brunnenlied</w:t>
      </w:r>
      <w:r>
        <w:t xml:space="preserve"> wird gesungen, keine Rebellion diesmal.</w:t>
      </w:r>
    </w:p>
    <w:p w14:paraId="5D9AC424" w14:textId="77777777" w:rsidR="000C3A0E" w:rsidRDefault="000C3A0E" w:rsidP="000C3A0E">
      <w:pPr>
        <w:pStyle w:val="whitespace-normal"/>
      </w:pPr>
      <w:r>
        <w:t xml:space="preserve">Israel bittet Sichon, den Amoriter-König, höflich um Durchzug. Sichon greift an – fataler Fehler. Israel vernichtet ihn und erobert das Gebiet zwischen Arnon und Jabbok. Ein historischer Exkurs legitimiert dies: Das Land war ursprünglich moabitisch, aber von Sichon erobert – Israel nimmt es </w:t>
      </w:r>
      <w:r>
        <w:rPr>
          <w:rStyle w:val="Fett"/>
        </w:rPr>
        <w:t>von Amoritern</w:t>
      </w:r>
      <w:r>
        <w:t>, nicht von Moab. Ein altes Siegeslied über Sichons früheren Triumph wird ironisch zitiert.</w:t>
      </w:r>
    </w:p>
    <w:p w14:paraId="1563849A" w14:textId="77777777" w:rsidR="000C3A0E" w:rsidRDefault="000C3A0E" w:rsidP="000C3A0E">
      <w:pPr>
        <w:pStyle w:val="whitespace-normal"/>
      </w:pPr>
      <w:r>
        <w:t xml:space="preserve">Dann wendet sich Israel gegen </w:t>
      </w:r>
      <w:r>
        <w:rPr>
          <w:rStyle w:val="Fett"/>
        </w:rPr>
        <w:t>Og</w:t>
      </w:r>
      <w:r>
        <w:t>, den Riesen-König von Baschan. Gott verspricht Sieg. Israel vernichtet Og vollständig und nimmt Baschan in Besitz.</w:t>
      </w:r>
    </w:p>
    <w:p w14:paraId="25E2D486" w14:textId="77777777" w:rsidR="000C3A0E" w:rsidRDefault="000C3A0E" w:rsidP="000C3A0E">
      <w:pPr>
        <w:pStyle w:val="whitespace-normal"/>
      </w:pPr>
      <w:r>
        <w:t>Die erste große Landnahme östlich des Jordan ist vollzogen – das spätere Gebiet von Ruben, Gad und halb Manasse.</w:t>
      </w:r>
    </w:p>
    <w:p w14:paraId="701873D6"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22,1</w:t>
      </w:r>
    </w:p>
    <w:p w14:paraId="7520DBA4"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וַיִּסְע֖וּ בְּנֵ֣י יִשְׂרָאֵ֑ל וַֽיַּחֲנוּ֙ בְּעַֽרְבֹ֣ת מוֹאָ֔ב מֵעֵ֖בֶר לְיַרְדֵּ֥ן יְרֵחֽוֹ׃</w:t>
      </w:r>
    </w:p>
    <w:p w14:paraId="08970902"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die Söhne Israels brachen auf und lagerten in den Steppen Moabs, jenseits des Jordan von Jericho.</w:t>
      </w:r>
    </w:p>
    <w:p w14:paraId="254150E5"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3C4482F3">
          <v:rect id="_x0000_i1760" style="width:0;height:1.5pt" o:hralign="center" o:hrstd="t" o:hr="t" fillcolor="#a0a0a0" stroked="f"/>
        </w:pict>
      </w:r>
    </w:p>
    <w:p w14:paraId="55C91963"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lastRenderedPageBreak/>
        <w:t>Kommentar:</w:t>
      </w:r>
      <w:r w:rsidRPr="000C3A0E">
        <w:rPr>
          <w:rFonts w:eastAsia="Times New Roman" w:cs="Times New Roman"/>
          <w:lang w:eastAsia="de-DE"/>
        </w:rPr>
        <w:t xml:space="preserve"> Das Verb </w:t>
      </w:r>
      <w:r w:rsidRPr="000C3A0E">
        <w:rPr>
          <w:rFonts w:eastAsia="Times New Roman" w:cs="Times New Roman"/>
          <w:b/>
          <w:bCs/>
          <w:rtl/>
          <w:lang w:eastAsia="de-DE"/>
        </w:rPr>
        <w:t>וַיִּסְעוּ</w:t>
      </w:r>
      <w:r w:rsidRPr="000C3A0E">
        <w:rPr>
          <w:rFonts w:eastAsia="Times New Roman" w:cs="Times New Roman"/>
          <w:rtl/>
          <w:lang w:eastAsia="de-DE"/>
        </w:rPr>
        <w:t xml:space="preserve"> </w:t>
      </w:r>
      <w:r w:rsidRPr="000C3A0E">
        <w:rPr>
          <w:rFonts w:eastAsia="Times New Roman" w:cs="Times New Roman"/>
          <w:lang w:eastAsia="de-DE"/>
        </w:rPr>
        <w:t xml:space="preserve">(Wayyiqtol, 3. m. pl. von </w:t>
      </w:r>
      <w:r w:rsidRPr="000C3A0E">
        <w:rPr>
          <w:rFonts w:eastAsia="Times New Roman" w:cs="Times New Roman"/>
          <w:b/>
          <w:bCs/>
          <w:rtl/>
          <w:lang w:eastAsia="de-DE"/>
        </w:rPr>
        <w:t>נסע</w:t>
      </w:r>
      <w:r w:rsidRPr="000C3A0E">
        <w:rPr>
          <w:rFonts w:eastAsia="Times New Roman" w:cs="Times New Roman"/>
          <w:lang w:eastAsia="de-DE"/>
        </w:rPr>
        <w:t xml:space="preserve">, „und sie brachen auf"). Das Subjekt </w:t>
      </w:r>
      <w:r w:rsidRPr="000C3A0E">
        <w:rPr>
          <w:rFonts w:eastAsia="Times New Roman" w:cs="Times New Roman"/>
          <w:b/>
          <w:bCs/>
          <w:rtl/>
          <w:lang w:eastAsia="de-DE"/>
        </w:rPr>
        <w:t>בְּנֵי יִשְׂרָאֵל</w:t>
      </w:r>
      <w:r w:rsidRPr="000C3A0E">
        <w:rPr>
          <w:rFonts w:eastAsia="Times New Roman" w:cs="Times New Roman"/>
          <w:rtl/>
          <w:lang w:eastAsia="de-DE"/>
        </w:rPr>
        <w:t xml:space="preserve"> </w:t>
      </w:r>
      <w:r w:rsidRPr="000C3A0E">
        <w:rPr>
          <w:rFonts w:eastAsia="Times New Roman" w:cs="Times New Roman"/>
          <w:lang w:eastAsia="de-DE"/>
        </w:rPr>
        <w:t xml:space="preserve">(Constructus-Verbindung). Das koordinierte Verb </w:t>
      </w:r>
      <w:r w:rsidRPr="000C3A0E">
        <w:rPr>
          <w:rFonts w:eastAsia="Times New Roman" w:cs="Times New Roman"/>
          <w:b/>
          <w:bCs/>
          <w:rtl/>
          <w:lang w:eastAsia="de-DE"/>
        </w:rPr>
        <w:t>וַיַּחֲנוּ</w:t>
      </w:r>
      <w:r w:rsidRPr="000C3A0E">
        <w:rPr>
          <w:rFonts w:eastAsia="Times New Roman" w:cs="Times New Roman"/>
          <w:rtl/>
          <w:lang w:eastAsia="de-DE"/>
        </w:rPr>
        <w:t xml:space="preserve"> </w:t>
      </w:r>
      <w:r w:rsidRPr="000C3A0E">
        <w:rPr>
          <w:rFonts w:eastAsia="Times New Roman" w:cs="Times New Roman"/>
          <w:lang w:eastAsia="de-DE"/>
        </w:rPr>
        <w:t xml:space="preserve">(Wayyiqtol, 3. m. pl. von </w:t>
      </w:r>
      <w:r w:rsidRPr="000C3A0E">
        <w:rPr>
          <w:rFonts w:eastAsia="Times New Roman" w:cs="Times New Roman"/>
          <w:b/>
          <w:bCs/>
          <w:rtl/>
          <w:lang w:eastAsia="de-DE"/>
        </w:rPr>
        <w:t>חנה</w:t>
      </w:r>
      <w:r w:rsidRPr="000C3A0E">
        <w:rPr>
          <w:rFonts w:eastAsia="Times New Roman" w:cs="Times New Roman"/>
          <w:lang w:eastAsia="de-DE"/>
        </w:rPr>
        <w:t>, „und sie lagerten").</w:t>
      </w:r>
    </w:p>
    <w:p w14:paraId="1EDFCDA6"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Ortsangabe </w:t>
      </w:r>
      <w:r w:rsidRPr="000C3A0E">
        <w:rPr>
          <w:rFonts w:eastAsia="Times New Roman" w:cs="Times New Roman"/>
          <w:b/>
          <w:bCs/>
          <w:rtl/>
          <w:lang w:eastAsia="de-DE"/>
        </w:rPr>
        <w:t>בְּעַרְבֹת מוֹאָב</w:t>
      </w:r>
      <w:r w:rsidRPr="000C3A0E">
        <w:rPr>
          <w:rFonts w:eastAsia="Times New Roman" w:cs="Times New Roman"/>
          <w:rtl/>
          <w:lang w:eastAsia="de-DE"/>
        </w:rPr>
        <w:t xml:space="preserve"> </w:t>
      </w:r>
      <w:r w:rsidRPr="000C3A0E">
        <w:rPr>
          <w:rFonts w:eastAsia="Times New Roman" w:cs="Times New Roman"/>
          <w:lang w:eastAsia="de-DE"/>
        </w:rPr>
        <w:t xml:space="preserve">(„in den Steppen/Ebenen Moabs", Constructus-Verbindung) – </w:t>
      </w:r>
      <w:r w:rsidRPr="000C3A0E">
        <w:rPr>
          <w:rFonts w:eastAsia="Times New Roman" w:cs="Times New Roman"/>
          <w:b/>
          <w:bCs/>
          <w:rtl/>
          <w:lang w:eastAsia="de-DE"/>
        </w:rPr>
        <w:t>עֲרָבָה</w:t>
      </w:r>
      <w:r w:rsidRPr="000C3A0E">
        <w:rPr>
          <w:rFonts w:eastAsia="Times New Roman" w:cs="Times New Roman"/>
          <w:rtl/>
          <w:lang w:eastAsia="de-DE"/>
        </w:rPr>
        <w:t xml:space="preserve"> </w:t>
      </w:r>
      <w:r w:rsidRPr="000C3A0E">
        <w:rPr>
          <w:rFonts w:eastAsia="Times New Roman" w:cs="Times New Roman"/>
          <w:lang w:eastAsia="de-DE"/>
        </w:rPr>
        <w:t xml:space="preserve">(Plural </w:t>
      </w:r>
      <w:r w:rsidRPr="000C3A0E">
        <w:rPr>
          <w:rFonts w:eastAsia="Times New Roman" w:cs="Times New Roman"/>
          <w:b/>
          <w:bCs/>
          <w:rtl/>
          <w:lang w:eastAsia="de-DE"/>
        </w:rPr>
        <w:t>עֲרָבוֹת</w:t>
      </w:r>
      <w:r w:rsidRPr="000C3A0E">
        <w:rPr>
          <w:rFonts w:eastAsia="Times New Roman" w:cs="Times New Roman"/>
          <w:lang w:eastAsia="de-DE"/>
        </w:rPr>
        <w:t xml:space="preserve">) bedeutet „Steppe, Ebene, Wüstenebene", hier speziell die fruchtbare Ebene nördlich des Toten Meeres, östlich des Jordan. Die präzisierende Ortsangabe </w:t>
      </w:r>
      <w:r w:rsidRPr="000C3A0E">
        <w:rPr>
          <w:rFonts w:eastAsia="Times New Roman" w:cs="Times New Roman"/>
          <w:b/>
          <w:bCs/>
          <w:rtl/>
          <w:lang w:eastAsia="de-DE"/>
        </w:rPr>
        <w:t>מֵעֵבֶר לְיַרְדֵּן יְרֵחוֹ</w:t>
      </w:r>
      <w:r w:rsidRPr="000C3A0E">
        <w:rPr>
          <w:rFonts w:eastAsia="Times New Roman" w:cs="Times New Roman"/>
          <w:rtl/>
          <w:lang w:eastAsia="de-DE"/>
        </w:rPr>
        <w:t xml:space="preserve"> </w:t>
      </w:r>
      <w:r w:rsidRPr="000C3A0E">
        <w:rPr>
          <w:rFonts w:eastAsia="Times New Roman" w:cs="Times New Roman"/>
          <w:lang w:eastAsia="de-DE"/>
        </w:rPr>
        <w:t xml:space="preserve">(„jenseits des Jordan von Jericho") – </w:t>
      </w:r>
      <w:r w:rsidRPr="000C3A0E">
        <w:rPr>
          <w:rFonts w:eastAsia="Times New Roman" w:cs="Times New Roman"/>
          <w:b/>
          <w:bCs/>
          <w:rtl/>
          <w:lang w:eastAsia="de-DE"/>
        </w:rPr>
        <w:t>מֵעֵבֶר</w:t>
      </w:r>
      <w:r w:rsidRPr="000C3A0E">
        <w:rPr>
          <w:rFonts w:eastAsia="Times New Roman" w:cs="Times New Roman"/>
          <w:rtl/>
          <w:lang w:eastAsia="de-DE"/>
        </w:rPr>
        <w:t xml:space="preserve"> </w:t>
      </w:r>
      <w:r w:rsidRPr="000C3A0E">
        <w:rPr>
          <w:rFonts w:eastAsia="Times New Roman" w:cs="Times New Roman"/>
          <w:lang w:eastAsia="de-DE"/>
        </w:rPr>
        <w:t xml:space="preserve">„jenseits, von der anderen Seite" mit </w:t>
      </w:r>
      <w:r w:rsidRPr="000C3A0E">
        <w:rPr>
          <w:rFonts w:eastAsia="Times New Roman" w:cs="Times New Roman"/>
          <w:b/>
          <w:bCs/>
          <w:rtl/>
          <w:lang w:eastAsia="de-DE"/>
        </w:rPr>
        <w:t>מִן</w:t>
      </w:r>
      <w:r w:rsidRPr="000C3A0E">
        <w:rPr>
          <w:rFonts w:eastAsia="Times New Roman" w:cs="Times New Roman"/>
          <w:lang w:eastAsia="de-DE"/>
        </w:rPr>
        <w:t xml:space="preserve">, </w:t>
      </w:r>
      <w:r w:rsidRPr="000C3A0E">
        <w:rPr>
          <w:rFonts w:eastAsia="Times New Roman" w:cs="Times New Roman"/>
          <w:b/>
          <w:bCs/>
          <w:rtl/>
          <w:lang w:eastAsia="de-DE"/>
        </w:rPr>
        <w:t>לְיַרְדֵּן</w:t>
      </w:r>
      <w:r w:rsidRPr="000C3A0E">
        <w:rPr>
          <w:rFonts w:eastAsia="Times New Roman" w:cs="Times New Roman"/>
          <w:rtl/>
          <w:lang w:eastAsia="de-DE"/>
        </w:rPr>
        <w:t xml:space="preserve"> </w:t>
      </w:r>
      <w:r w:rsidRPr="000C3A0E">
        <w:rPr>
          <w:rFonts w:eastAsia="Times New Roman" w:cs="Times New Roman"/>
          <w:lang w:eastAsia="de-DE"/>
        </w:rPr>
        <w:t xml:space="preserve">zum Jordan, </w:t>
      </w:r>
      <w:r w:rsidRPr="000C3A0E">
        <w:rPr>
          <w:rFonts w:eastAsia="Times New Roman" w:cs="Times New Roman"/>
          <w:b/>
          <w:bCs/>
          <w:rtl/>
          <w:lang w:eastAsia="de-DE"/>
        </w:rPr>
        <w:t>יְרֵחוֹ</w:t>
      </w:r>
      <w:r w:rsidRPr="000C3A0E">
        <w:rPr>
          <w:rFonts w:eastAsia="Times New Roman" w:cs="Times New Roman"/>
          <w:rtl/>
          <w:lang w:eastAsia="de-DE"/>
        </w:rPr>
        <w:t xml:space="preserve"> </w:t>
      </w:r>
      <w:r w:rsidRPr="000C3A0E">
        <w:rPr>
          <w:rFonts w:eastAsia="Times New Roman" w:cs="Times New Roman"/>
          <w:lang w:eastAsia="de-DE"/>
        </w:rPr>
        <w:t>(Jericho) als weitere Lokalisierung. Israel steht nun direkt gegenüber dem verheißenen Land, bereit zum Einzug.</w:t>
      </w:r>
    </w:p>
    <w:p w14:paraId="0AE11540"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Dieser Vers ist der letzte der fortlaufenden Itinerarnotizen – Israel hat seine Endposition vor der Eroberung Kanaans erreicht. Die </w:t>
      </w:r>
      <w:r w:rsidRPr="000C3A0E">
        <w:rPr>
          <w:rFonts w:eastAsia="Times New Roman" w:cs="Times New Roman"/>
          <w:b/>
          <w:bCs/>
          <w:rtl/>
          <w:lang w:eastAsia="de-DE"/>
        </w:rPr>
        <w:t>עַרְבֹת מוֹאָב</w:t>
      </w:r>
      <w:r w:rsidRPr="000C3A0E">
        <w:rPr>
          <w:rFonts w:eastAsia="Times New Roman" w:cs="Times New Roman"/>
          <w:rtl/>
          <w:lang w:eastAsia="de-DE"/>
        </w:rPr>
        <w:t xml:space="preserve"> </w:t>
      </w:r>
      <w:r w:rsidRPr="000C3A0E">
        <w:rPr>
          <w:rFonts w:eastAsia="Times New Roman" w:cs="Times New Roman"/>
          <w:lang w:eastAsia="de-DE"/>
        </w:rPr>
        <w:t>werden zum Schauplatz der folgenden Ereignisse: Bileam (Kap. 22-24), der Baal-Peor-Vorfall (Kap. 25), die zweite Volkszählung (Kap. 26), und Moses Abschiedsreden (Deuteronomium).</w:t>
      </w:r>
    </w:p>
    <w:p w14:paraId="77F8F7B6" w14:textId="67214CC6"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w:t>
      </w:r>
      <w:r w:rsidR="00C73FA4">
        <w:t>übersetzt „</w:t>
      </w:r>
      <w:r w:rsidR="00C73FA4" w:rsidRPr="00C73FA4">
        <w:rPr>
          <w:b/>
          <w:bCs/>
          <w:rtl/>
        </w:rPr>
        <w:t>בְּעַרְבוֹת מוֹאָב</w:t>
      </w:r>
      <w:r w:rsidR="00C73FA4">
        <w:t>" (in den Steppen/Ebenen Moabs) mit „ἐπὶ δυσμῶν Μωάβ" (im Westen Moabs), was eine geographische Richtung statt einer Landschaftsbeschreibung angibt.</w:t>
      </w:r>
    </w:p>
    <w:p w14:paraId="2543FB8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zeigt zwei koordinierte Hauptsätze: Der erste mit Verb und Subjekt (Constructus-Verbindung); der zweite mit Verb, Präpositionalphrase (Constructus-Verbindung) und weiterer präzisierender Präpositionalphrase. Es gibt keine Nebensätze.</w:t>
      </w:r>
    </w:p>
    <w:p w14:paraId="3C162292"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markiert eine Zäsur: Die Wanderung ist vorbei, Israel steht am Ziel. Was folgt, ist nicht mehr Wüste, sondern die Vorbereitung auf die Landnahme – und der dramatische Versuch Moabs, Israel durch Fluch zu vernichten.</w:t>
      </w:r>
    </w:p>
    <w:p w14:paraId="3839066B"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22,2</w:t>
      </w:r>
    </w:p>
    <w:p w14:paraId="7EB8065E"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וַיַּ֥רְא בָּלָ֖ק בֶּן־צִפּ֑וֹר אֵ֛ת כָּל־אֲשֶׁר־עָשָׂ֥ה יִשְׂרָאֵ֖ל לָֽאֱמֹרִֽי׃</w:t>
      </w:r>
    </w:p>
    <w:p w14:paraId="74D939A2"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Balak, der Sohn Zippors, sah alles, was Israel den Amoritern getan hatte.</w:t>
      </w:r>
    </w:p>
    <w:p w14:paraId="4C84F4DC"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2B6069F6">
          <v:rect id="_x0000_i1761" style="width:0;height:1.5pt" o:hralign="center" o:hrstd="t" o:hr="t" fillcolor="#a0a0a0" stroked="f"/>
        </w:pict>
      </w:r>
    </w:p>
    <w:p w14:paraId="23B28340"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Das Verb </w:t>
      </w:r>
      <w:r w:rsidRPr="000C3A0E">
        <w:rPr>
          <w:rFonts w:eastAsia="Times New Roman" w:cs="Times New Roman"/>
          <w:b/>
          <w:bCs/>
          <w:rtl/>
          <w:lang w:eastAsia="de-DE"/>
        </w:rPr>
        <w:t>וַיַּרְא</w:t>
      </w:r>
      <w:r w:rsidRPr="000C3A0E">
        <w:rPr>
          <w:rFonts w:eastAsia="Times New Roman" w:cs="Times New Roman"/>
          <w:rtl/>
          <w:lang w:eastAsia="de-DE"/>
        </w:rPr>
        <w:t xml:space="preserve"> </w:t>
      </w:r>
      <w:r w:rsidRPr="000C3A0E">
        <w:rPr>
          <w:rFonts w:eastAsia="Times New Roman" w:cs="Times New Roman"/>
          <w:lang w:eastAsia="de-DE"/>
        </w:rPr>
        <w:t xml:space="preserve">(Wayyiqtol, 3. m. sg. von </w:t>
      </w:r>
      <w:r w:rsidRPr="000C3A0E">
        <w:rPr>
          <w:rFonts w:eastAsia="Times New Roman" w:cs="Times New Roman"/>
          <w:b/>
          <w:bCs/>
          <w:rtl/>
          <w:lang w:eastAsia="de-DE"/>
        </w:rPr>
        <w:t>ראה</w:t>
      </w:r>
      <w:r w:rsidRPr="000C3A0E">
        <w:rPr>
          <w:rFonts w:eastAsia="Times New Roman" w:cs="Times New Roman"/>
          <w:lang w:eastAsia="de-DE"/>
        </w:rPr>
        <w:t xml:space="preserve">, „und er sah"). Das Subjekt </w:t>
      </w:r>
      <w:r w:rsidRPr="000C3A0E">
        <w:rPr>
          <w:rFonts w:eastAsia="Times New Roman" w:cs="Times New Roman"/>
          <w:b/>
          <w:bCs/>
          <w:rtl/>
          <w:lang w:eastAsia="de-DE"/>
        </w:rPr>
        <w:t>בָּלָק בֶּן־צִפּוֹר</w:t>
      </w:r>
      <w:r w:rsidRPr="000C3A0E">
        <w:rPr>
          <w:rFonts w:eastAsia="Times New Roman" w:cs="Times New Roman"/>
          <w:rtl/>
          <w:lang w:eastAsia="de-DE"/>
        </w:rPr>
        <w:t xml:space="preserve"> </w:t>
      </w:r>
      <w:r w:rsidRPr="000C3A0E">
        <w:rPr>
          <w:rFonts w:eastAsia="Times New Roman" w:cs="Times New Roman"/>
          <w:lang w:eastAsia="de-DE"/>
        </w:rPr>
        <w:t xml:space="preserve">(„Balak, Sohn Zippors", Constructus-Verbindung als Apposition) – </w:t>
      </w:r>
      <w:r w:rsidRPr="000C3A0E">
        <w:rPr>
          <w:rFonts w:eastAsia="Times New Roman" w:cs="Times New Roman"/>
          <w:b/>
          <w:bCs/>
          <w:rtl/>
          <w:lang w:eastAsia="de-DE"/>
        </w:rPr>
        <w:t>בָּלָק</w:t>
      </w:r>
      <w:r w:rsidRPr="000C3A0E">
        <w:rPr>
          <w:rFonts w:eastAsia="Times New Roman" w:cs="Times New Roman"/>
          <w:rtl/>
          <w:lang w:eastAsia="de-DE"/>
        </w:rPr>
        <w:t xml:space="preserve"> </w:t>
      </w:r>
      <w:r w:rsidRPr="000C3A0E">
        <w:rPr>
          <w:rFonts w:eastAsia="Times New Roman" w:cs="Times New Roman"/>
          <w:lang w:eastAsia="de-DE"/>
        </w:rPr>
        <w:t xml:space="preserve">ist der moabitische König, </w:t>
      </w:r>
      <w:r w:rsidRPr="000C3A0E">
        <w:rPr>
          <w:rFonts w:eastAsia="Times New Roman" w:cs="Times New Roman"/>
          <w:b/>
          <w:bCs/>
          <w:rtl/>
          <w:lang w:eastAsia="de-DE"/>
        </w:rPr>
        <w:t>צִפּוֹר</w:t>
      </w:r>
      <w:r w:rsidRPr="000C3A0E">
        <w:rPr>
          <w:rFonts w:eastAsia="Times New Roman" w:cs="Times New Roman"/>
          <w:rtl/>
          <w:lang w:eastAsia="de-DE"/>
        </w:rPr>
        <w:t xml:space="preserve"> </w:t>
      </w:r>
      <w:r w:rsidRPr="000C3A0E">
        <w:rPr>
          <w:rFonts w:eastAsia="Times New Roman" w:cs="Times New Roman"/>
          <w:lang w:eastAsia="de-DE"/>
        </w:rPr>
        <w:t xml:space="preserve">sein Vater. Das Objekt </w:t>
      </w:r>
      <w:r w:rsidRPr="000C3A0E">
        <w:rPr>
          <w:rFonts w:eastAsia="Times New Roman" w:cs="Times New Roman"/>
          <w:b/>
          <w:bCs/>
          <w:rtl/>
          <w:lang w:eastAsia="de-DE"/>
        </w:rPr>
        <w:t>אֵת כָּל־אֲשֶׁר־עָשָׂה יִשְׂרָאֵל לָאֱמֹרִי</w:t>
      </w:r>
      <w:r w:rsidRPr="000C3A0E">
        <w:rPr>
          <w:rFonts w:eastAsia="Times New Roman" w:cs="Times New Roman"/>
          <w:rtl/>
          <w:lang w:eastAsia="de-DE"/>
        </w:rPr>
        <w:t xml:space="preserve"> </w:t>
      </w:r>
      <w:r w:rsidRPr="000C3A0E">
        <w:rPr>
          <w:rFonts w:eastAsia="Times New Roman" w:cs="Times New Roman"/>
          <w:lang w:eastAsia="de-DE"/>
        </w:rPr>
        <w:t xml:space="preserve">ist ein Objektsatz: </w:t>
      </w:r>
      <w:r w:rsidRPr="000C3A0E">
        <w:rPr>
          <w:rFonts w:eastAsia="Times New Roman" w:cs="Times New Roman"/>
          <w:b/>
          <w:bCs/>
          <w:rtl/>
          <w:lang w:eastAsia="de-DE"/>
        </w:rPr>
        <w:t>כָּל</w:t>
      </w:r>
      <w:r w:rsidRPr="000C3A0E">
        <w:rPr>
          <w:rFonts w:eastAsia="Times New Roman" w:cs="Times New Roman"/>
          <w:rtl/>
          <w:lang w:eastAsia="de-DE"/>
        </w:rPr>
        <w:t xml:space="preserve"> </w:t>
      </w:r>
      <w:r w:rsidRPr="000C3A0E">
        <w:rPr>
          <w:rFonts w:eastAsia="Times New Roman" w:cs="Times New Roman"/>
          <w:lang w:eastAsia="de-DE"/>
        </w:rPr>
        <w:t xml:space="preserve">„alles" mit </w:t>
      </w:r>
      <w:r w:rsidRPr="000C3A0E">
        <w:rPr>
          <w:rFonts w:eastAsia="Times New Roman" w:cs="Times New Roman"/>
          <w:b/>
          <w:bCs/>
          <w:rtl/>
          <w:lang w:eastAsia="de-DE"/>
        </w:rPr>
        <w:t>אֵת</w:t>
      </w:r>
      <w:r w:rsidRPr="000C3A0E">
        <w:rPr>
          <w:rFonts w:eastAsia="Times New Roman" w:cs="Times New Roman"/>
          <w:lang w:eastAsia="de-DE"/>
        </w:rPr>
        <w:t xml:space="preserve">, der Relativsatz </w:t>
      </w:r>
      <w:r w:rsidRPr="000C3A0E">
        <w:rPr>
          <w:rFonts w:eastAsia="Times New Roman" w:cs="Times New Roman"/>
          <w:b/>
          <w:bCs/>
          <w:rtl/>
          <w:lang w:eastAsia="de-DE"/>
        </w:rPr>
        <w:t>אֲשֶׁר־עָשָׂה יִשְׂרָאֵל לָאֱמֹרִי</w:t>
      </w:r>
      <w:r w:rsidRPr="000C3A0E">
        <w:rPr>
          <w:rFonts w:eastAsia="Times New Roman" w:cs="Times New Roman"/>
          <w:rtl/>
          <w:lang w:eastAsia="de-DE"/>
        </w:rPr>
        <w:t xml:space="preserve"> </w:t>
      </w:r>
      <w:r w:rsidRPr="000C3A0E">
        <w:rPr>
          <w:rFonts w:eastAsia="Times New Roman" w:cs="Times New Roman"/>
          <w:lang w:eastAsia="de-DE"/>
        </w:rPr>
        <w:t xml:space="preserve">(„was Israel den Amoritern getan hatte") – </w:t>
      </w:r>
      <w:r w:rsidRPr="000C3A0E">
        <w:rPr>
          <w:rFonts w:eastAsia="Times New Roman" w:cs="Times New Roman"/>
          <w:b/>
          <w:bCs/>
          <w:rtl/>
          <w:lang w:eastAsia="de-DE"/>
        </w:rPr>
        <w:t>עָשָׂה</w:t>
      </w:r>
      <w:r w:rsidRPr="000C3A0E">
        <w:rPr>
          <w:rFonts w:eastAsia="Times New Roman" w:cs="Times New Roman"/>
          <w:rtl/>
          <w:lang w:eastAsia="de-DE"/>
        </w:rPr>
        <w:t xml:space="preserve"> </w:t>
      </w:r>
      <w:r w:rsidRPr="000C3A0E">
        <w:rPr>
          <w:rFonts w:eastAsia="Times New Roman" w:cs="Times New Roman"/>
          <w:lang w:eastAsia="de-DE"/>
        </w:rPr>
        <w:t xml:space="preserve">(Qal Perfekt, 3. m. sg. von </w:t>
      </w:r>
      <w:r w:rsidRPr="000C3A0E">
        <w:rPr>
          <w:rFonts w:eastAsia="Times New Roman" w:cs="Times New Roman"/>
          <w:b/>
          <w:bCs/>
          <w:rtl/>
          <w:lang w:eastAsia="de-DE"/>
        </w:rPr>
        <w:t>עשׂה</w:t>
      </w:r>
      <w:r w:rsidRPr="000C3A0E">
        <w:rPr>
          <w:rFonts w:eastAsia="Times New Roman" w:cs="Times New Roman"/>
          <w:lang w:eastAsia="de-DE"/>
        </w:rPr>
        <w:t xml:space="preserve">), </w:t>
      </w:r>
      <w:r w:rsidRPr="000C3A0E">
        <w:rPr>
          <w:rFonts w:eastAsia="Times New Roman" w:cs="Times New Roman"/>
          <w:b/>
          <w:bCs/>
          <w:rtl/>
          <w:lang w:eastAsia="de-DE"/>
        </w:rPr>
        <w:t>יִשְׂרָאֵל</w:t>
      </w:r>
      <w:r w:rsidRPr="000C3A0E">
        <w:rPr>
          <w:rFonts w:eastAsia="Times New Roman" w:cs="Times New Roman"/>
          <w:rtl/>
          <w:lang w:eastAsia="de-DE"/>
        </w:rPr>
        <w:t xml:space="preserve"> </w:t>
      </w:r>
      <w:r w:rsidRPr="000C3A0E">
        <w:rPr>
          <w:rFonts w:eastAsia="Times New Roman" w:cs="Times New Roman"/>
          <w:lang w:eastAsia="de-DE"/>
        </w:rPr>
        <w:t xml:space="preserve">Subjekt, </w:t>
      </w:r>
      <w:r w:rsidRPr="000C3A0E">
        <w:rPr>
          <w:rFonts w:eastAsia="Times New Roman" w:cs="Times New Roman"/>
          <w:b/>
          <w:bCs/>
          <w:rtl/>
          <w:lang w:eastAsia="de-DE"/>
        </w:rPr>
        <w:t>לָאֱמֹרִי</w:t>
      </w:r>
      <w:r w:rsidRPr="000C3A0E">
        <w:rPr>
          <w:rFonts w:eastAsia="Times New Roman" w:cs="Times New Roman"/>
          <w:rtl/>
          <w:lang w:eastAsia="de-DE"/>
        </w:rPr>
        <w:t xml:space="preserve"> </w:t>
      </w:r>
      <w:r w:rsidRPr="000C3A0E">
        <w:rPr>
          <w:rFonts w:eastAsia="Times New Roman" w:cs="Times New Roman"/>
          <w:lang w:eastAsia="de-DE"/>
        </w:rPr>
        <w:t>(„den Amoritern") Dativ – bezieht sich auf die Vernichtung Sichons und Ogs in Kapitel 21.</w:t>
      </w:r>
    </w:p>
    <w:p w14:paraId="1261F43C"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Balak hat die totale Niederlage der mächtigen Amoriter-Königreiche </w:t>
      </w:r>
      <w:r w:rsidRPr="000C3A0E">
        <w:rPr>
          <w:rFonts w:eastAsia="Times New Roman" w:cs="Times New Roman"/>
          <w:b/>
          <w:bCs/>
          <w:lang w:eastAsia="de-DE"/>
        </w:rPr>
        <w:t>gesehen</w:t>
      </w:r>
      <w:r w:rsidRPr="000C3A0E">
        <w:rPr>
          <w:rFonts w:eastAsia="Times New Roman" w:cs="Times New Roman"/>
          <w:lang w:eastAsia="de-DE"/>
        </w:rPr>
        <w:t xml:space="preserve"> – nicht nur gehört, sondern die Konsequenzen beobachtet. Moab erkennt: Militärische Macht kann Israel nicht stoppen. Dies motiviert den Versuch, Israel durch </w:t>
      </w:r>
      <w:r w:rsidRPr="000C3A0E">
        <w:rPr>
          <w:rFonts w:eastAsia="Times New Roman" w:cs="Times New Roman"/>
          <w:b/>
          <w:bCs/>
          <w:lang w:eastAsia="de-DE"/>
        </w:rPr>
        <w:t>Fluch</w:t>
      </w:r>
      <w:r w:rsidRPr="000C3A0E">
        <w:rPr>
          <w:rFonts w:eastAsia="Times New Roman" w:cs="Times New Roman"/>
          <w:lang w:eastAsia="de-DE"/>
        </w:rPr>
        <w:t xml:space="preserve"> statt durch Schwert zu besiegen.</w:t>
      </w:r>
    </w:p>
    <w:p w14:paraId="52E36E4C"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lastRenderedPageBreak/>
        <w:t>Die LXX</w:t>
      </w:r>
      <w:r w:rsidRPr="000C3A0E">
        <w:rPr>
          <w:rFonts w:eastAsia="Times New Roman" w:cs="Times New Roman"/>
          <w:lang w:eastAsia="de-DE"/>
        </w:rPr>
        <w:t xml:space="preserve"> folgt dem hebräischen Text, transkribiert </w:t>
      </w:r>
      <w:r w:rsidRPr="000C3A0E">
        <w:rPr>
          <w:rFonts w:eastAsia="Times New Roman" w:cs="Times New Roman"/>
          <w:b/>
          <w:bCs/>
          <w:rtl/>
          <w:lang w:eastAsia="de-DE"/>
        </w:rPr>
        <w:t>בָּלָק</w:t>
      </w:r>
      <w:r w:rsidRPr="000C3A0E">
        <w:rPr>
          <w:rFonts w:eastAsia="Times New Roman" w:cs="Times New Roman"/>
          <w:rtl/>
          <w:lang w:eastAsia="de-DE"/>
        </w:rPr>
        <w:t xml:space="preserve"> </w:t>
      </w:r>
      <w:r w:rsidRPr="000C3A0E">
        <w:rPr>
          <w:rFonts w:eastAsia="Times New Roman" w:cs="Times New Roman"/>
          <w:lang w:eastAsia="de-DE"/>
        </w:rPr>
        <w:t xml:space="preserve">als Βαλὰκ (Balak) und </w:t>
      </w:r>
      <w:r w:rsidRPr="000C3A0E">
        <w:rPr>
          <w:rFonts w:eastAsia="Times New Roman" w:cs="Times New Roman"/>
          <w:b/>
          <w:bCs/>
          <w:rtl/>
          <w:lang w:eastAsia="de-DE"/>
        </w:rPr>
        <w:t>צִפּוֹר</w:t>
      </w:r>
      <w:r w:rsidRPr="000C3A0E">
        <w:rPr>
          <w:rFonts w:eastAsia="Times New Roman" w:cs="Times New Roman"/>
          <w:rtl/>
          <w:lang w:eastAsia="de-DE"/>
        </w:rPr>
        <w:t xml:space="preserve"> </w:t>
      </w:r>
      <w:r w:rsidRPr="000C3A0E">
        <w:rPr>
          <w:rFonts w:eastAsia="Times New Roman" w:cs="Times New Roman"/>
          <w:lang w:eastAsia="de-DE"/>
        </w:rPr>
        <w:t>als Σεπφώρ (Sepphōr).</w:t>
      </w:r>
    </w:p>
    <w:p w14:paraId="7A0B44E7"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zeigt einen Hauptsatz mit Verb, Subjekt (mit Apposition als Constructus-Verbindung) und Objektsatz (Relativsatz mit Verb, Subjekt und Dativ). Insgesamt gibt es einen Nebensatz (Relativsatz).</w:t>
      </w:r>
    </w:p>
    <w:p w14:paraId="1D5F5652"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leitet die Bileam-Erzählung ein: Moabs König ist Augenzeuge von Israels überwältigender Macht – die Bühne für Verzweiflung und magische Gegenmaßnahmen.</w:t>
      </w:r>
    </w:p>
    <w:p w14:paraId="6D7F39C4"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22,3</w:t>
      </w:r>
    </w:p>
    <w:p w14:paraId="44D7F3F6"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וַיָּ֨גָר מוֹאָ֜ב מִפְּנֵ֥י הָעָ֛ם מְאֹ֖ד כִּ֣י רַב־ה֑וּא וַיָּ֣קָץ מוֹאָ֔ב מִפְּנֵ֖י בְּנֵ֥י יִשְׂרָאֵֽל׃</w:t>
      </w:r>
    </w:p>
    <w:p w14:paraId="2BB7039A"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Moab fürchtete sich sehr vor dem Volk, weil es zahlreich war, und Moab graute vor den Söhnen Israels.</w:t>
      </w:r>
    </w:p>
    <w:p w14:paraId="2711FF9E"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2CCDD95C">
          <v:rect id="_x0000_i1762" style="width:0;height:1.5pt" o:hralign="center" o:hrstd="t" o:hr="t" fillcolor="#a0a0a0" stroked="f"/>
        </w:pict>
      </w:r>
    </w:p>
    <w:p w14:paraId="78880D9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Das Verb </w:t>
      </w:r>
      <w:r w:rsidRPr="000C3A0E">
        <w:rPr>
          <w:rFonts w:eastAsia="Times New Roman" w:cs="Times New Roman"/>
          <w:b/>
          <w:bCs/>
          <w:rtl/>
          <w:lang w:eastAsia="de-DE"/>
        </w:rPr>
        <w:t>וַיָּגָר מוֹאָב מִפְּנֵי הָעָם מְאֹד</w:t>
      </w:r>
      <w:r w:rsidRPr="000C3A0E">
        <w:rPr>
          <w:rFonts w:eastAsia="Times New Roman" w:cs="Times New Roman"/>
          <w:rtl/>
          <w:lang w:eastAsia="de-DE"/>
        </w:rPr>
        <w:t xml:space="preserve"> </w:t>
      </w:r>
      <w:r w:rsidRPr="000C3A0E">
        <w:rPr>
          <w:rFonts w:eastAsia="Times New Roman" w:cs="Times New Roman"/>
          <w:lang w:eastAsia="de-DE"/>
        </w:rPr>
        <w:t xml:space="preserve">(„und Moab fürchtete sich sehr vor dem Volk") – </w:t>
      </w:r>
      <w:r w:rsidRPr="000C3A0E">
        <w:rPr>
          <w:rFonts w:eastAsia="Times New Roman" w:cs="Times New Roman"/>
          <w:b/>
          <w:bCs/>
          <w:rtl/>
          <w:lang w:eastAsia="de-DE"/>
        </w:rPr>
        <w:t>וַיָּגָר</w:t>
      </w:r>
      <w:r w:rsidRPr="000C3A0E">
        <w:rPr>
          <w:rFonts w:eastAsia="Times New Roman" w:cs="Times New Roman"/>
          <w:rtl/>
          <w:lang w:eastAsia="de-DE"/>
        </w:rPr>
        <w:t xml:space="preserve"> </w:t>
      </w:r>
      <w:r w:rsidRPr="000C3A0E">
        <w:rPr>
          <w:rFonts w:eastAsia="Times New Roman" w:cs="Times New Roman"/>
          <w:lang w:eastAsia="de-DE"/>
        </w:rPr>
        <w:t xml:space="preserve">(Wayyiqtol, 3. m. sg. von </w:t>
      </w:r>
      <w:r w:rsidRPr="000C3A0E">
        <w:rPr>
          <w:rFonts w:eastAsia="Times New Roman" w:cs="Times New Roman"/>
          <w:b/>
          <w:bCs/>
          <w:rtl/>
          <w:lang w:eastAsia="de-DE"/>
        </w:rPr>
        <w:t>גור</w:t>
      </w:r>
      <w:r w:rsidRPr="000C3A0E">
        <w:rPr>
          <w:rFonts w:eastAsia="Times New Roman" w:cs="Times New Roman"/>
          <w:lang w:eastAsia="de-DE"/>
        </w:rPr>
        <w:t xml:space="preserve">, „und er fürchtete sich") – </w:t>
      </w:r>
      <w:r w:rsidRPr="000C3A0E">
        <w:rPr>
          <w:rFonts w:eastAsia="Times New Roman" w:cs="Times New Roman"/>
          <w:b/>
          <w:bCs/>
          <w:rtl/>
          <w:lang w:eastAsia="de-DE"/>
        </w:rPr>
        <w:t>גור</w:t>
      </w:r>
      <w:r w:rsidRPr="000C3A0E">
        <w:rPr>
          <w:rFonts w:eastAsia="Times New Roman" w:cs="Times New Roman"/>
          <w:rtl/>
          <w:lang w:eastAsia="de-DE"/>
        </w:rPr>
        <w:t xml:space="preserve"> </w:t>
      </w:r>
      <w:r w:rsidRPr="000C3A0E">
        <w:rPr>
          <w:rFonts w:eastAsia="Times New Roman" w:cs="Times New Roman"/>
          <w:lang w:eastAsia="de-DE"/>
        </w:rPr>
        <w:t xml:space="preserve">im Qal bedeutet hier „Angst haben", nicht „wohnen". </w:t>
      </w:r>
      <w:r w:rsidRPr="000C3A0E">
        <w:rPr>
          <w:rFonts w:eastAsia="Times New Roman" w:cs="Times New Roman"/>
          <w:b/>
          <w:bCs/>
          <w:rtl/>
          <w:lang w:eastAsia="de-DE"/>
        </w:rPr>
        <w:t>מוֹאָב</w:t>
      </w:r>
      <w:r w:rsidRPr="000C3A0E">
        <w:rPr>
          <w:rFonts w:eastAsia="Times New Roman" w:cs="Times New Roman"/>
          <w:rtl/>
          <w:lang w:eastAsia="de-DE"/>
        </w:rPr>
        <w:t xml:space="preserve"> </w:t>
      </w:r>
      <w:r w:rsidRPr="000C3A0E">
        <w:rPr>
          <w:rFonts w:eastAsia="Times New Roman" w:cs="Times New Roman"/>
          <w:lang w:eastAsia="de-DE"/>
        </w:rPr>
        <w:t xml:space="preserve">kollektives Subjekt (das Volk oder das Land), </w:t>
      </w:r>
      <w:r w:rsidRPr="000C3A0E">
        <w:rPr>
          <w:rFonts w:eastAsia="Times New Roman" w:cs="Times New Roman"/>
          <w:b/>
          <w:bCs/>
          <w:rtl/>
          <w:lang w:eastAsia="de-DE"/>
        </w:rPr>
        <w:t>מִפְּנֵי הָעָם</w:t>
      </w:r>
      <w:r w:rsidRPr="000C3A0E">
        <w:rPr>
          <w:rFonts w:eastAsia="Times New Roman" w:cs="Times New Roman"/>
          <w:rtl/>
          <w:lang w:eastAsia="de-DE"/>
        </w:rPr>
        <w:t xml:space="preserve"> </w:t>
      </w:r>
      <w:r w:rsidRPr="000C3A0E">
        <w:rPr>
          <w:rFonts w:eastAsia="Times New Roman" w:cs="Times New Roman"/>
          <w:lang w:eastAsia="de-DE"/>
        </w:rPr>
        <w:t xml:space="preserve">(„vor dem Volk") – </w:t>
      </w:r>
      <w:r w:rsidRPr="000C3A0E">
        <w:rPr>
          <w:rFonts w:eastAsia="Times New Roman" w:cs="Times New Roman"/>
          <w:b/>
          <w:bCs/>
          <w:rtl/>
          <w:lang w:eastAsia="de-DE"/>
        </w:rPr>
        <w:t>מִפְּנֵי</w:t>
      </w:r>
      <w:r w:rsidRPr="000C3A0E">
        <w:rPr>
          <w:rFonts w:eastAsia="Times New Roman" w:cs="Times New Roman"/>
          <w:rtl/>
          <w:lang w:eastAsia="de-DE"/>
        </w:rPr>
        <w:t xml:space="preserve"> </w:t>
      </w:r>
      <w:r w:rsidRPr="000C3A0E">
        <w:rPr>
          <w:rFonts w:eastAsia="Times New Roman" w:cs="Times New Roman"/>
          <w:lang w:eastAsia="de-DE"/>
        </w:rPr>
        <w:t xml:space="preserve">wörtlich „vom Angesicht", idiomatisch „vor, wegen". </w:t>
      </w:r>
      <w:r w:rsidRPr="000C3A0E">
        <w:rPr>
          <w:rFonts w:eastAsia="Times New Roman" w:cs="Times New Roman"/>
          <w:b/>
          <w:bCs/>
          <w:rtl/>
          <w:lang w:eastAsia="de-DE"/>
        </w:rPr>
        <w:t>מְאֹד</w:t>
      </w:r>
      <w:r w:rsidRPr="000C3A0E">
        <w:rPr>
          <w:rFonts w:eastAsia="Times New Roman" w:cs="Times New Roman"/>
          <w:rtl/>
          <w:lang w:eastAsia="de-DE"/>
        </w:rPr>
        <w:t xml:space="preserve"> </w:t>
      </w:r>
      <w:r w:rsidRPr="000C3A0E">
        <w:rPr>
          <w:rFonts w:eastAsia="Times New Roman" w:cs="Times New Roman"/>
          <w:lang w:eastAsia="de-DE"/>
        </w:rPr>
        <w:t>„sehr" verstärkt die Furcht.</w:t>
      </w:r>
    </w:p>
    <w:p w14:paraId="167F293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kausale Begründung </w:t>
      </w:r>
      <w:r w:rsidRPr="000C3A0E">
        <w:rPr>
          <w:rFonts w:eastAsia="Times New Roman" w:cs="Times New Roman"/>
          <w:b/>
          <w:bCs/>
          <w:rtl/>
          <w:lang w:eastAsia="de-DE"/>
        </w:rPr>
        <w:t>כִּי רַב־הוּא</w:t>
      </w:r>
      <w:r w:rsidRPr="000C3A0E">
        <w:rPr>
          <w:rFonts w:eastAsia="Times New Roman" w:cs="Times New Roman"/>
          <w:rtl/>
          <w:lang w:eastAsia="de-DE"/>
        </w:rPr>
        <w:t xml:space="preserve"> </w:t>
      </w:r>
      <w:r w:rsidRPr="000C3A0E">
        <w:rPr>
          <w:rFonts w:eastAsia="Times New Roman" w:cs="Times New Roman"/>
          <w:lang w:eastAsia="de-DE"/>
        </w:rPr>
        <w:t xml:space="preserve">(„denn/weil es zahlreich war") – </w:t>
      </w:r>
      <w:r w:rsidRPr="000C3A0E">
        <w:rPr>
          <w:rFonts w:eastAsia="Times New Roman" w:cs="Times New Roman"/>
          <w:b/>
          <w:bCs/>
          <w:rtl/>
          <w:lang w:eastAsia="de-DE"/>
        </w:rPr>
        <w:t>כִּי</w:t>
      </w:r>
      <w:r w:rsidRPr="000C3A0E">
        <w:rPr>
          <w:rFonts w:eastAsia="Times New Roman" w:cs="Times New Roman"/>
          <w:rtl/>
          <w:lang w:eastAsia="de-DE"/>
        </w:rPr>
        <w:t xml:space="preserve"> </w:t>
      </w:r>
      <w:r w:rsidRPr="000C3A0E">
        <w:rPr>
          <w:rFonts w:eastAsia="Times New Roman" w:cs="Times New Roman"/>
          <w:lang w:eastAsia="de-DE"/>
        </w:rPr>
        <w:t xml:space="preserve">kausal, </w:t>
      </w:r>
      <w:r w:rsidRPr="000C3A0E">
        <w:rPr>
          <w:rFonts w:eastAsia="Times New Roman" w:cs="Times New Roman"/>
          <w:b/>
          <w:bCs/>
          <w:rtl/>
          <w:lang w:eastAsia="de-DE"/>
        </w:rPr>
        <w:t>רַב</w:t>
      </w:r>
      <w:r w:rsidRPr="000C3A0E">
        <w:rPr>
          <w:rFonts w:eastAsia="Times New Roman" w:cs="Times New Roman"/>
          <w:rtl/>
          <w:lang w:eastAsia="de-DE"/>
        </w:rPr>
        <w:t xml:space="preserve"> </w:t>
      </w:r>
      <w:r w:rsidRPr="000C3A0E">
        <w:rPr>
          <w:rFonts w:eastAsia="Times New Roman" w:cs="Times New Roman"/>
          <w:lang w:eastAsia="de-DE"/>
        </w:rPr>
        <w:t xml:space="preserve">Adjektiv „zahlreich, groß", </w:t>
      </w:r>
      <w:r w:rsidRPr="000C3A0E">
        <w:rPr>
          <w:rFonts w:eastAsia="Times New Roman" w:cs="Times New Roman"/>
          <w:b/>
          <w:bCs/>
          <w:rtl/>
          <w:lang w:eastAsia="de-DE"/>
        </w:rPr>
        <w:t>הוּא</w:t>
      </w:r>
      <w:r w:rsidRPr="000C3A0E">
        <w:rPr>
          <w:rFonts w:eastAsia="Times New Roman" w:cs="Times New Roman"/>
          <w:rtl/>
          <w:lang w:eastAsia="de-DE"/>
        </w:rPr>
        <w:t xml:space="preserve"> </w:t>
      </w:r>
      <w:r w:rsidRPr="000C3A0E">
        <w:rPr>
          <w:rFonts w:eastAsia="Times New Roman" w:cs="Times New Roman"/>
          <w:lang w:eastAsia="de-DE"/>
        </w:rPr>
        <w:t>emphatisches Pronomen. Moab fürchtet die schiere Masse Israels.</w:t>
      </w:r>
    </w:p>
    <w:p w14:paraId="275DBD89"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Das koordinierte Verb </w:t>
      </w:r>
      <w:r w:rsidRPr="000C3A0E">
        <w:rPr>
          <w:rFonts w:eastAsia="Times New Roman" w:cs="Times New Roman"/>
          <w:b/>
          <w:bCs/>
          <w:rtl/>
          <w:lang w:eastAsia="de-DE"/>
        </w:rPr>
        <w:t>וַיָּקָץ מוֹאָב מִפְּנֵי בְּנֵי יִשְׂרָאֵל</w:t>
      </w:r>
      <w:r w:rsidRPr="000C3A0E">
        <w:rPr>
          <w:rFonts w:eastAsia="Times New Roman" w:cs="Times New Roman"/>
          <w:rtl/>
          <w:lang w:eastAsia="de-DE"/>
        </w:rPr>
        <w:t xml:space="preserve"> </w:t>
      </w:r>
      <w:r w:rsidRPr="000C3A0E">
        <w:rPr>
          <w:rFonts w:eastAsia="Times New Roman" w:cs="Times New Roman"/>
          <w:lang w:eastAsia="de-DE"/>
        </w:rPr>
        <w:t xml:space="preserve">(„und Moab graute/ekelte sich vor den Söhnen Israels") – </w:t>
      </w:r>
      <w:r w:rsidRPr="000C3A0E">
        <w:rPr>
          <w:rFonts w:eastAsia="Times New Roman" w:cs="Times New Roman"/>
          <w:b/>
          <w:bCs/>
          <w:rtl/>
          <w:lang w:eastAsia="de-DE"/>
        </w:rPr>
        <w:t>וַיָּקָץ</w:t>
      </w:r>
      <w:r w:rsidRPr="000C3A0E">
        <w:rPr>
          <w:rFonts w:eastAsia="Times New Roman" w:cs="Times New Roman"/>
          <w:rtl/>
          <w:lang w:eastAsia="de-DE"/>
        </w:rPr>
        <w:t xml:space="preserve"> </w:t>
      </w:r>
      <w:r w:rsidRPr="000C3A0E">
        <w:rPr>
          <w:rFonts w:eastAsia="Times New Roman" w:cs="Times New Roman"/>
          <w:lang w:eastAsia="de-DE"/>
        </w:rPr>
        <w:t xml:space="preserve">(Wayyiqtol, 3. m. sg. von </w:t>
      </w:r>
      <w:r w:rsidRPr="000C3A0E">
        <w:rPr>
          <w:rFonts w:eastAsia="Times New Roman" w:cs="Times New Roman"/>
          <w:b/>
          <w:bCs/>
          <w:rtl/>
          <w:lang w:eastAsia="de-DE"/>
        </w:rPr>
        <w:t>קוץ</w:t>
      </w:r>
      <w:r w:rsidRPr="000C3A0E">
        <w:rPr>
          <w:rFonts w:eastAsia="Times New Roman" w:cs="Times New Roman"/>
          <w:lang w:eastAsia="de-DE"/>
        </w:rPr>
        <w:t xml:space="preserve">, „und es graute ihm, ekelte ihm") – dasselbe Verb wie in 21,5, wo das Volk sich vor dem Manna ekelte. Hier bedeutet es „Grauen empfinden, angewidert sein" – eine tiefe, existentielle Abscheu gemischt mit Furcht. </w:t>
      </w:r>
      <w:r w:rsidRPr="000C3A0E">
        <w:rPr>
          <w:rFonts w:eastAsia="Times New Roman" w:cs="Times New Roman"/>
          <w:b/>
          <w:bCs/>
          <w:rtl/>
          <w:lang w:eastAsia="de-DE"/>
        </w:rPr>
        <w:t>מִפְּנֵי בְּנֵי יִשְׂרָאֵל</w:t>
      </w:r>
      <w:r w:rsidRPr="000C3A0E">
        <w:rPr>
          <w:rFonts w:eastAsia="Times New Roman" w:cs="Times New Roman"/>
          <w:rtl/>
          <w:lang w:eastAsia="de-DE"/>
        </w:rPr>
        <w:t xml:space="preserve"> </w:t>
      </w:r>
      <w:r w:rsidRPr="000C3A0E">
        <w:rPr>
          <w:rFonts w:eastAsia="Times New Roman" w:cs="Times New Roman"/>
          <w:lang w:eastAsia="de-DE"/>
        </w:rPr>
        <w:t>wiederholt die Ursache.</w:t>
      </w:r>
    </w:p>
    <w:p w14:paraId="523D0956"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doppelte Aussage (Furcht + Grauen) mit leicht variierender Terminologie (</w:t>
      </w:r>
      <w:r w:rsidRPr="000C3A0E">
        <w:rPr>
          <w:rFonts w:eastAsia="Times New Roman" w:cs="Times New Roman"/>
          <w:b/>
          <w:bCs/>
          <w:rtl/>
          <w:lang w:eastAsia="de-DE"/>
        </w:rPr>
        <w:t>הָעָם</w:t>
      </w:r>
      <w:r w:rsidRPr="000C3A0E">
        <w:rPr>
          <w:rFonts w:eastAsia="Times New Roman" w:cs="Times New Roman"/>
          <w:rtl/>
          <w:lang w:eastAsia="de-DE"/>
        </w:rPr>
        <w:t xml:space="preserve"> </w:t>
      </w:r>
      <w:r w:rsidRPr="000C3A0E">
        <w:rPr>
          <w:rFonts w:eastAsia="Times New Roman" w:cs="Times New Roman"/>
          <w:lang w:eastAsia="de-DE"/>
        </w:rPr>
        <w:t xml:space="preserve">vs. </w:t>
      </w:r>
      <w:r w:rsidRPr="000C3A0E">
        <w:rPr>
          <w:rFonts w:eastAsia="Times New Roman" w:cs="Times New Roman"/>
          <w:b/>
          <w:bCs/>
          <w:rtl/>
          <w:lang w:eastAsia="de-DE"/>
        </w:rPr>
        <w:t>בְּנֵי יִשְׂרָאֵל</w:t>
      </w:r>
      <w:r w:rsidRPr="000C3A0E">
        <w:rPr>
          <w:rFonts w:eastAsia="Times New Roman" w:cs="Times New Roman"/>
          <w:lang w:eastAsia="de-DE"/>
        </w:rPr>
        <w:t>) ist poetischer Parallelismus – die intensive Emotion wird durch Wiederholung verstärkt.</w:t>
      </w:r>
    </w:p>
    <w:p w14:paraId="0A9BF68C" w14:textId="2FD35843"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w:t>
      </w:r>
      <w:r w:rsidR="00C73FA4">
        <w:t>übersetzt „</w:t>
      </w:r>
      <w:r w:rsidR="00C73FA4" w:rsidRPr="00C73FA4">
        <w:rPr>
          <w:b/>
          <w:bCs/>
          <w:rtl/>
        </w:rPr>
        <w:t>וַיָּקָץ מוֹאָב</w:t>
      </w:r>
      <w:r w:rsidR="00C73FA4">
        <w:t>" (und Moab empfand Ekel/Grauen) mit „καὶ προσώχθισεν Μωάβ" (und Moab war betrübt/verdrossen), was eine emotionale statt viszerale Reaktion darstellt.</w:t>
      </w:r>
    </w:p>
    <w:p w14:paraId="7E374C73" w14:textId="77777777" w:rsidR="00EF1150" w:rsidRDefault="00EF1150" w:rsidP="000C3A0E">
      <w:pPr>
        <w:spacing w:before="100" w:beforeAutospacing="1" w:after="100" w:afterAutospacing="1" w:line="240" w:lineRule="auto"/>
      </w:pPr>
      <w:r w:rsidRPr="00EF1150">
        <w:rPr>
          <w:rStyle w:val="Fett"/>
          <w:b w:val="0"/>
          <w:bCs w:val="0"/>
        </w:rPr>
        <w:t>Die Satzstruktur umfasst zwei koordinierte Hauptsätze und einen subordinierenden Kausalsatz:</w:t>
      </w:r>
      <w:r>
        <w:t xml:space="preserve"> Der erste Hauptsatz besteht aus Verb, Subjekt, Präpositionalphrase und Adverb; daran schließt sich ein kausaler </w:t>
      </w:r>
      <w:r>
        <w:rPr>
          <w:rStyle w:val="Fett"/>
        </w:rPr>
        <w:t>Nebensatz</w:t>
      </w:r>
      <w:r>
        <w:t xml:space="preserve"> an, eingeleitet durch eine Konjunktion („weil“) und bestehend aus Prädikat und Subjektpronomen; der dritte Satz ist ein weiterer koordinierter Hauptsatz mit Verb, Subjekt und Präpositionalphrase.</w:t>
      </w:r>
    </w:p>
    <w:p w14:paraId="782AFD32" w14:textId="70476695"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lastRenderedPageBreak/>
        <w:t>Der Vers zeigt Moabs psychologischen Zustand: nicht nur militärische Besorgnis, sondern existentielle Panik und Ekel – die Vorbedingung für verzweifelte Maßnahmen.</w:t>
      </w:r>
    </w:p>
    <w:p w14:paraId="53ABED87"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22,4</w:t>
      </w:r>
    </w:p>
    <w:p w14:paraId="05C42857"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וַיֹּ֨אמֶר מוֹאָ֜ב אֶל־זִקְנֵ֣י מִדְיָ֗ן עַתָּ֞ה יְלַחֲכ֤וּ הַקָּהָל֙ אֶת־כָּל־סְבִ֣יבֹתֵ֔ינוּ כִּלְחֹ֣ךְ הַשּׁ֔וֹר אֵ֖ת יֶ֣רֶק הַשָּׂדֶ֑ה וּבָלָ֧ק בֶּן־צִפּ֛וֹר מֶ֥לֶךְ לְמוֹאָ֖ב בָּעֵ֥ת הַהִֽוא׃</w:t>
      </w:r>
    </w:p>
    <w:p w14:paraId="514C5258"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Moab sprach zu den Ältesten von Midian: Nun wird diese Versammlung alles um uns herum ablecken/abfressen, wie der Ochse das Grüne des Feldes abfrisst. Und Balak, der Sohn Zippors, war zu jener Zeit König von Moab.</w:t>
      </w:r>
    </w:p>
    <w:p w14:paraId="77FFD168"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6BE5939A">
          <v:rect id="_x0000_i1763" style="width:0;height:1.5pt" o:hralign="center" o:hrstd="t" o:hr="t" fillcolor="#a0a0a0" stroked="f"/>
        </w:pict>
      </w:r>
    </w:p>
    <w:p w14:paraId="2C118203"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Das Verb </w:t>
      </w:r>
      <w:r w:rsidRPr="000C3A0E">
        <w:rPr>
          <w:rFonts w:eastAsia="Times New Roman" w:cs="Times New Roman"/>
          <w:b/>
          <w:bCs/>
          <w:rtl/>
          <w:lang w:eastAsia="de-DE"/>
        </w:rPr>
        <w:t>וַיֹּאמֶר מוֹאָב אֶל־זִקְנֵי מִדְיָן</w:t>
      </w:r>
      <w:r w:rsidRPr="000C3A0E">
        <w:rPr>
          <w:rFonts w:eastAsia="Times New Roman" w:cs="Times New Roman"/>
          <w:rtl/>
          <w:lang w:eastAsia="de-DE"/>
        </w:rPr>
        <w:t xml:space="preserve"> </w:t>
      </w:r>
      <w:r w:rsidRPr="000C3A0E">
        <w:rPr>
          <w:rFonts w:eastAsia="Times New Roman" w:cs="Times New Roman"/>
          <w:lang w:eastAsia="de-DE"/>
        </w:rPr>
        <w:t xml:space="preserve">(„und Moab sprach zu den Ältesten von Midian") – </w:t>
      </w:r>
      <w:r w:rsidRPr="000C3A0E">
        <w:rPr>
          <w:rFonts w:eastAsia="Times New Roman" w:cs="Times New Roman"/>
          <w:b/>
          <w:bCs/>
          <w:rtl/>
          <w:lang w:eastAsia="de-DE"/>
        </w:rPr>
        <w:t>מוֹאָב</w:t>
      </w:r>
      <w:r w:rsidRPr="000C3A0E">
        <w:rPr>
          <w:rFonts w:eastAsia="Times New Roman" w:cs="Times New Roman"/>
          <w:rtl/>
          <w:lang w:eastAsia="de-DE"/>
        </w:rPr>
        <w:t xml:space="preserve"> </w:t>
      </w:r>
      <w:r w:rsidRPr="000C3A0E">
        <w:rPr>
          <w:rFonts w:eastAsia="Times New Roman" w:cs="Times New Roman"/>
          <w:lang w:eastAsia="de-DE"/>
        </w:rPr>
        <w:t xml:space="preserve">als kollektives Subjekt (vermutlich durch seine Vertreter), </w:t>
      </w:r>
      <w:r w:rsidRPr="000C3A0E">
        <w:rPr>
          <w:rFonts w:eastAsia="Times New Roman" w:cs="Times New Roman"/>
          <w:b/>
          <w:bCs/>
          <w:rtl/>
          <w:lang w:eastAsia="de-DE"/>
        </w:rPr>
        <w:t>אֶל־זִקְנֵי מִדְיָן</w:t>
      </w:r>
      <w:r w:rsidRPr="000C3A0E">
        <w:rPr>
          <w:rFonts w:eastAsia="Times New Roman" w:cs="Times New Roman"/>
          <w:rtl/>
          <w:lang w:eastAsia="de-DE"/>
        </w:rPr>
        <w:t xml:space="preserve"> </w:t>
      </w:r>
      <w:r w:rsidRPr="000C3A0E">
        <w:rPr>
          <w:rFonts w:eastAsia="Times New Roman" w:cs="Times New Roman"/>
          <w:lang w:eastAsia="de-DE"/>
        </w:rPr>
        <w:t xml:space="preserve">(„zu den Ältesten von Midian") – </w:t>
      </w:r>
      <w:r w:rsidRPr="000C3A0E">
        <w:rPr>
          <w:rFonts w:eastAsia="Times New Roman" w:cs="Times New Roman"/>
          <w:b/>
          <w:bCs/>
          <w:rtl/>
          <w:lang w:eastAsia="de-DE"/>
        </w:rPr>
        <w:t>זָקֵן</w:t>
      </w:r>
      <w:r w:rsidRPr="000C3A0E">
        <w:rPr>
          <w:rFonts w:eastAsia="Times New Roman" w:cs="Times New Roman"/>
          <w:rtl/>
          <w:lang w:eastAsia="de-DE"/>
        </w:rPr>
        <w:t xml:space="preserve"> </w:t>
      </w:r>
      <w:r w:rsidRPr="000C3A0E">
        <w:rPr>
          <w:rFonts w:eastAsia="Times New Roman" w:cs="Times New Roman"/>
          <w:lang w:eastAsia="de-DE"/>
        </w:rPr>
        <w:t xml:space="preserve">„Ältester" im Plural Constructus vor </w:t>
      </w:r>
      <w:r w:rsidRPr="000C3A0E">
        <w:rPr>
          <w:rFonts w:eastAsia="Times New Roman" w:cs="Times New Roman"/>
          <w:b/>
          <w:bCs/>
          <w:rtl/>
          <w:lang w:eastAsia="de-DE"/>
        </w:rPr>
        <w:t>מִדְיָן</w:t>
      </w:r>
      <w:r w:rsidRPr="000C3A0E">
        <w:rPr>
          <w:rFonts w:eastAsia="Times New Roman" w:cs="Times New Roman"/>
          <w:lang w:eastAsia="de-DE"/>
        </w:rPr>
        <w:t>. Die Koalition zwischen Moab und Midian ist bemerkenswert – beide fürchten Israel und verbünden sich.</w:t>
      </w:r>
    </w:p>
    <w:p w14:paraId="36B5710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bildhafte Klage: </w:t>
      </w:r>
      <w:r w:rsidRPr="000C3A0E">
        <w:rPr>
          <w:rFonts w:eastAsia="Times New Roman" w:cs="Times New Roman"/>
          <w:b/>
          <w:bCs/>
          <w:rtl/>
          <w:lang w:eastAsia="de-DE"/>
        </w:rPr>
        <w:t>עַתָּה יְלַחֲכוּ הַקָּהָל אֶת־כָּל־סְבִיבֹתֵינוּ</w:t>
      </w:r>
      <w:r w:rsidRPr="000C3A0E">
        <w:rPr>
          <w:rFonts w:eastAsia="Times New Roman" w:cs="Times New Roman"/>
          <w:rtl/>
          <w:lang w:eastAsia="de-DE"/>
        </w:rPr>
        <w:t xml:space="preserve"> </w:t>
      </w:r>
      <w:r w:rsidRPr="000C3A0E">
        <w:rPr>
          <w:rFonts w:eastAsia="Times New Roman" w:cs="Times New Roman"/>
          <w:lang w:eastAsia="de-DE"/>
        </w:rPr>
        <w:t xml:space="preserve">(„nun wird diese Versammlung alles um uns herum ablecken") – </w:t>
      </w:r>
      <w:r w:rsidRPr="000C3A0E">
        <w:rPr>
          <w:rFonts w:eastAsia="Times New Roman" w:cs="Times New Roman"/>
          <w:b/>
          <w:bCs/>
          <w:rtl/>
          <w:lang w:eastAsia="de-DE"/>
        </w:rPr>
        <w:t>עַתָּה</w:t>
      </w:r>
      <w:r w:rsidRPr="000C3A0E">
        <w:rPr>
          <w:rFonts w:eastAsia="Times New Roman" w:cs="Times New Roman"/>
          <w:rtl/>
          <w:lang w:eastAsia="de-DE"/>
        </w:rPr>
        <w:t xml:space="preserve"> </w:t>
      </w:r>
      <w:r w:rsidRPr="000C3A0E">
        <w:rPr>
          <w:rFonts w:eastAsia="Times New Roman" w:cs="Times New Roman"/>
          <w:lang w:eastAsia="de-DE"/>
        </w:rPr>
        <w:t xml:space="preserve">„nun, jetzt" temporal, </w:t>
      </w:r>
      <w:r w:rsidRPr="000C3A0E">
        <w:rPr>
          <w:rFonts w:eastAsia="Times New Roman" w:cs="Times New Roman"/>
          <w:b/>
          <w:bCs/>
          <w:rtl/>
          <w:lang w:eastAsia="de-DE"/>
        </w:rPr>
        <w:t>יְלַחֲכוּ</w:t>
      </w:r>
      <w:r w:rsidRPr="000C3A0E">
        <w:rPr>
          <w:rFonts w:eastAsia="Times New Roman" w:cs="Times New Roman"/>
          <w:rtl/>
          <w:lang w:eastAsia="de-DE"/>
        </w:rPr>
        <w:t xml:space="preserve"> </w:t>
      </w:r>
      <w:r w:rsidRPr="000C3A0E">
        <w:rPr>
          <w:rFonts w:eastAsia="Times New Roman" w:cs="Times New Roman"/>
          <w:lang w:eastAsia="de-DE"/>
        </w:rPr>
        <w:t xml:space="preserve">(Piel Imperfekt, 3. m. pl. von </w:t>
      </w:r>
      <w:r w:rsidRPr="000C3A0E">
        <w:rPr>
          <w:rFonts w:eastAsia="Times New Roman" w:cs="Times New Roman"/>
          <w:b/>
          <w:bCs/>
          <w:rtl/>
          <w:lang w:eastAsia="de-DE"/>
        </w:rPr>
        <w:t>לחך</w:t>
      </w:r>
      <w:r w:rsidRPr="000C3A0E">
        <w:rPr>
          <w:rFonts w:eastAsia="Times New Roman" w:cs="Times New Roman"/>
          <w:lang w:eastAsia="de-DE"/>
        </w:rPr>
        <w:t xml:space="preserve">, „sie werden ablecken") – </w:t>
      </w:r>
      <w:r w:rsidRPr="000C3A0E">
        <w:rPr>
          <w:rFonts w:eastAsia="Times New Roman" w:cs="Times New Roman"/>
          <w:b/>
          <w:bCs/>
          <w:rtl/>
          <w:lang w:eastAsia="de-DE"/>
        </w:rPr>
        <w:t>לחך</w:t>
      </w:r>
      <w:r w:rsidRPr="000C3A0E">
        <w:rPr>
          <w:rFonts w:eastAsia="Times New Roman" w:cs="Times New Roman"/>
          <w:rtl/>
          <w:lang w:eastAsia="de-DE"/>
        </w:rPr>
        <w:t xml:space="preserve"> </w:t>
      </w:r>
      <w:r w:rsidRPr="000C3A0E">
        <w:rPr>
          <w:rFonts w:eastAsia="Times New Roman" w:cs="Times New Roman"/>
          <w:lang w:eastAsia="de-DE"/>
        </w:rPr>
        <w:t xml:space="preserve">im Piel bedeutet „ablecken, abweiden, kahl fressen". </w:t>
      </w:r>
      <w:r w:rsidRPr="000C3A0E">
        <w:rPr>
          <w:rFonts w:eastAsia="Times New Roman" w:cs="Times New Roman"/>
          <w:b/>
          <w:bCs/>
          <w:rtl/>
          <w:lang w:eastAsia="de-DE"/>
        </w:rPr>
        <w:t>הַקָּהָל</w:t>
      </w:r>
      <w:r w:rsidRPr="000C3A0E">
        <w:rPr>
          <w:rFonts w:eastAsia="Times New Roman" w:cs="Times New Roman"/>
          <w:rtl/>
          <w:lang w:eastAsia="de-DE"/>
        </w:rPr>
        <w:t xml:space="preserve"> </w:t>
      </w:r>
      <w:r w:rsidRPr="000C3A0E">
        <w:rPr>
          <w:rFonts w:eastAsia="Times New Roman" w:cs="Times New Roman"/>
          <w:lang w:eastAsia="de-DE"/>
        </w:rPr>
        <w:t xml:space="preserve">(„die Versammlung") mit Artikel bezeichnet Israel, </w:t>
      </w:r>
      <w:r w:rsidRPr="000C3A0E">
        <w:rPr>
          <w:rFonts w:eastAsia="Times New Roman" w:cs="Times New Roman"/>
          <w:b/>
          <w:bCs/>
          <w:rtl/>
          <w:lang w:eastAsia="de-DE"/>
        </w:rPr>
        <w:t>אֶת־כָּל־סְבִיבֹתֵינוּ</w:t>
      </w:r>
      <w:r w:rsidRPr="000C3A0E">
        <w:rPr>
          <w:rFonts w:eastAsia="Times New Roman" w:cs="Times New Roman"/>
          <w:rtl/>
          <w:lang w:eastAsia="de-DE"/>
        </w:rPr>
        <w:t xml:space="preserve"> </w:t>
      </w:r>
      <w:r w:rsidRPr="000C3A0E">
        <w:rPr>
          <w:rFonts w:eastAsia="Times New Roman" w:cs="Times New Roman"/>
          <w:lang w:eastAsia="de-DE"/>
        </w:rPr>
        <w:t xml:space="preserve">(„alles um uns herum") – </w:t>
      </w:r>
      <w:r w:rsidRPr="000C3A0E">
        <w:rPr>
          <w:rFonts w:eastAsia="Times New Roman" w:cs="Times New Roman"/>
          <w:b/>
          <w:bCs/>
          <w:rtl/>
          <w:lang w:eastAsia="de-DE"/>
        </w:rPr>
        <w:t>סְבִיבָה</w:t>
      </w:r>
      <w:r w:rsidRPr="000C3A0E">
        <w:rPr>
          <w:rFonts w:eastAsia="Times New Roman" w:cs="Times New Roman"/>
          <w:rtl/>
          <w:lang w:eastAsia="de-DE"/>
        </w:rPr>
        <w:t xml:space="preserve"> </w:t>
      </w:r>
      <w:r w:rsidRPr="000C3A0E">
        <w:rPr>
          <w:rFonts w:eastAsia="Times New Roman" w:cs="Times New Roman"/>
          <w:lang w:eastAsia="de-DE"/>
        </w:rPr>
        <w:t xml:space="preserve">„Umgebung" mit </w:t>
      </w:r>
      <w:r w:rsidRPr="000C3A0E">
        <w:rPr>
          <w:rFonts w:eastAsia="Times New Roman" w:cs="Times New Roman"/>
          <w:b/>
          <w:bCs/>
          <w:rtl/>
          <w:lang w:eastAsia="de-DE"/>
        </w:rPr>
        <w:t>כָּל</w:t>
      </w:r>
      <w:r w:rsidRPr="000C3A0E">
        <w:rPr>
          <w:rFonts w:eastAsia="Times New Roman" w:cs="Times New Roman"/>
          <w:rtl/>
          <w:lang w:eastAsia="de-DE"/>
        </w:rPr>
        <w:t xml:space="preserve"> </w:t>
      </w:r>
      <w:r w:rsidRPr="000C3A0E">
        <w:rPr>
          <w:rFonts w:eastAsia="Times New Roman" w:cs="Times New Roman"/>
          <w:lang w:eastAsia="de-DE"/>
        </w:rPr>
        <w:t>und Possessivsuffix 1. c. pl.</w:t>
      </w:r>
    </w:p>
    <w:p w14:paraId="69BECFE5"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Der Vergleich </w:t>
      </w:r>
      <w:r w:rsidRPr="000C3A0E">
        <w:rPr>
          <w:rFonts w:eastAsia="Times New Roman" w:cs="Times New Roman"/>
          <w:b/>
          <w:bCs/>
          <w:rtl/>
          <w:lang w:eastAsia="de-DE"/>
        </w:rPr>
        <w:t>כִּלְחֹךְ הַשּׁוֹר אֵת יֶרֶק הַשָּׂדֶה</w:t>
      </w:r>
      <w:r w:rsidRPr="000C3A0E">
        <w:rPr>
          <w:rFonts w:eastAsia="Times New Roman" w:cs="Times New Roman"/>
          <w:rtl/>
          <w:lang w:eastAsia="de-DE"/>
        </w:rPr>
        <w:t xml:space="preserve"> </w:t>
      </w:r>
      <w:r w:rsidRPr="000C3A0E">
        <w:rPr>
          <w:rFonts w:eastAsia="Times New Roman" w:cs="Times New Roman"/>
          <w:lang w:eastAsia="de-DE"/>
        </w:rPr>
        <w:t xml:space="preserve">(„wie der Ochse das Grüne des Feldes ableckt/abfrisst") – </w:t>
      </w:r>
      <w:r w:rsidRPr="000C3A0E">
        <w:rPr>
          <w:rFonts w:eastAsia="Times New Roman" w:cs="Times New Roman"/>
          <w:b/>
          <w:bCs/>
          <w:rtl/>
          <w:lang w:eastAsia="de-DE"/>
        </w:rPr>
        <w:t>כְּ</w:t>
      </w:r>
      <w:r w:rsidRPr="000C3A0E">
        <w:rPr>
          <w:rFonts w:eastAsia="Times New Roman" w:cs="Times New Roman"/>
          <w:rtl/>
          <w:lang w:eastAsia="de-DE"/>
        </w:rPr>
        <w:t xml:space="preserve"> </w:t>
      </w:r>
      <w:r w:rsidRPr="000C3A0E">
        <w:rPr>
          <w:rFonts w:eastAsia="Times New Roman" w:cs="Times New Roman"/>
          <w:lang w:eastAsia="de-DE"/>
        </w:rPr>
        <w:t xml:space="preserve">Vergleichspartikel, </w:t>
      </w:r>
      <w:r w:rsidRPr="000C3A0E">
        <w:rPr>
          <w:rFonts w:eastAsia="Times New Roman" w:cs="Times New Roman"/>
          <w:b/>
          <w:bCs/>
          <w:rtl/>
          <w:lang w:eastAsia="de-DE"/>
        </w:rPr>
        <w:t>לְחֹךְ</w:t>
      </w:r>
      <w:r w:rsidRPr="000C3A0E">
        <w:rPr>
          <w:rFonts w:eastAsia="Times New Roman" w:cs="Times New Roman"/>
          <w:rtl/>
          <w:lang w:eastAsia="de-DE"/>
        </w:rPr>
        <w:t xml:space="preserve"> </w:t>
      </w:r>
      <w:r w:rsidRPr="000C3A0E">
        <w:rPr>
          <w:rFonts w:eastAsia="Times New Roman" w:cs="Times New Roman"/>
          <w:lang w:eastAsia="de-DE"/>
        </w:rPr>
        <w:t xml:space="preserve">(Qal Infinitiv construct von </w:t>
      </w:r>
      <w:r w:rsidRPr="000C3A0E">
        <w:rPr>
          <w:rFonts w:eastAsia="Times New Roman" w:cs="Times New Roman"/>
          <w:b/>
          <w:bCs/>
          <w:rtl/>
          <w:lang w:eastAsia="de-DE"/>
        </w:rPr>
        <w:t>לחך</w:t>
      </w:r>
      <w:r w:rsidRPr="000C3A0E">
        <w:rPr>
          <w:rFonts w:eastAsia="Times New Roman" w:cs="Times New Roman"/>
          <w:lang w:eastAsia="de-DE"/>
        </w:rPr>
        <w:t xml:space="preserve">), </w:t>
      </w:r>
      <w:r w:rsidRPr="000C3A0E">
        <w:rPr>
          <w:rFonts w:eastAsia="Times New Roman" w:cs="Times New Roman"/>
          <w:b/>
          <w:bCs/>
          <w:rtl/>
          <w:lang w:eastAsia="de-DE"/>
        </w:rPr>
        <w:t>הַשּׁוֹר</w:t>
      </w:r>
      <w:r w:rsidRPr="000C3A0E">
        <w:rPr>
          <w:rFonts w:eastAsia="Times New Roman" w:cs="Times New Roman"/>
          <w:rtl/>
          <w:lang w:eastAsia="de-DE"/>
        </w:rPr>
        <w:t xml:space="preserve"> </w:t>
      </w:r>
      <w:r w:rsidRPr="000C3A0E">
        <w:rPr>
          <w:rFonts w:eastAsia="Times New Roman" w:cs="Times New Roman"/>
          <w:lang w:eastAsia="de-DE"/>
        </w:rPr>
        <w:t xml:space="preserve">„der Ochse", </w:t>
      </w:r>
      <w:r w:rsidRPr="000C3A0E">
        <w:rPr>
          <w:rFonts w:eastAsia="Times New Roman" w:cs="Times New Roman"/>
          <w:b/>
          <w:bCs/>
          <w:rtl/>
          <w:lang w:eastAsia="de-DE"/>
        </w:rPr>
        <w:t>אֵת יֶרֶק הַשָּׂדֶה</w:t>
      </w:r>
      <w:r w:rsidRPr="000C3A0E">
        <w:rPr>
          <w:rFonts w:eastAsia="Times New Roman" w:cs="Times New Roman"/>
          <w:rtl/>
          <w:lang w:eastAsia="de-DE"/>
        </w:rPr>
        <w:t xml:space="preserve"> </w:t>
      </w:r>
      <w:r w:rsidRPr="000C3A0E">
        <w:rPr>
          <w:rFonts w:eastAsia="Times New Roman" w:cs="Times New Roman"/>
          <w:lang w:eastAsia="de-DE"/>
        </w:rPr>
        <w:t xml:space="preserve">(„das Grüne des Feldes", Constructus-Verbindung) – </w:t>
      </w:r>
      <w:r w:rsidRPr="000C3A0E">
        <w:rPr>
          <w:rFonts w:eastAsia="Times New Roman" w:cs="Times New Roman"/>
          <w:b/>
          <w:bCs/>
          <w:rtl/>
          <w:lang w:eastAsia="de-DE"/>
        </w:rPr>
        <w:t>יֶרֶק</w:t>
      </w:r>
      <w:r w:rsidRPr="000C3A0E">
        <w:rPr>
          <w:rFonts w:eastAsia="Times New Roman" w:cs="Times New Roman"/>
          <w:rtl/>
          <w:lang w:eastAsia="de-DE"/>
        </w:rPr>
        <w:t xml:space="preserve"> </w:t>
      </w:r>
      <w:r w:rsidRPr="000C3A0E">
        <w:rPr>
          <w:rFonts w:eastAsia="Times New Roman" w:cs="Times New Roman"/>
          <w:lang w:eastAsia="de-DE"/>
        </w:rPr>
        <w:t xml:space="preserve">„Grünes, frisches Grün". Das Bild ist drastisch: Israel wird wie ein weidendes Tier dargestellt, das systematisch und unaufhaltsam alles Lebendige vertilgt. Die Ironie: In 21,5 beklagte sich Israel über mangelndes </w:t>
      </w:r>
      <w:r w:rsidRPr="000C3A0E">
        <w:rPr>
          <w:rFonts w:eastAsia="Times New Roman" w:cs="Times New Roman"/>
          <w:b/>
          <w:bCs/>
          <w:rtl/>
          <w:lang w:eastAsia="de-DE"/>
        </w:rPr>
        <w:t>יֶרֶק</w:t>
      </w:r>
      <w:r w:rsidRPr="000C3A0E">
        <w:rPr>
          <w:rFonts w:eastAsia="Times New Roman" w:cs="Times New Roman"/>
          <w:rtl/>
          <w:lang w:eastAsia="de-DE"/>
        </w:rPr>
        <w:t xml:space="preserve"> </w:t>
      </w:r>
      <w:r w:rsidRPr="000C3A0E">
        <w:rPr>
          <w:rFonts w:eastAsia="Times New Roman" w:cs="Times New Roman"/>
          <w:lang w:eastAsia="de-DE"/>
        </w:rPr>
        <w:t xml:space="preserve">(Grünes/Gemüse), nun fürchtet Moab, Israel werde ihr </w:t>
      </w:r>
      <w:r w:rsidRPr="000C3A0E">
        <w:rPr>
          <w:rFonts w:eastAsia="Times New Roman" w:cs="Times New Roman"/>
          <w:b/>
          <w:bCs/>
          <w:rtl/>
          <w:lang w:eastAsia="de-DE"/>
        </w:rPr>
        <w:t>יֶרֶק</w:t>
      </w:r>
      <w:r w:rsidRPr="000C3A0E">
        <w:rPr>
          <w:rFonts w:eastAsia="Times New Roman" w:cs="Times New Roman"/>
          <w:rtl/>
          <w:lang w:eastAsia="de-DE"/>
        </w:rPr>
        <w:t xml:space="preserve"> </w:t>
      </w:r>
      <w:r w:rsidRPr="000C3A0E">
        <w:rPr>
          <w:rFonts w:eastAsia="Times New Roman" w:cs="Times New Roman"/>
          <w:lang w:eastAsia="de-DE"/>
        </w:rPr>
        <w:t>verzehren!</w:t>
      </w:r>
    </w:p>
    <w:p w14:paraId="583A6BAB"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nachgestellte Information </w:t>
      </w:r>
      <w:r w:rsidRPr="000C3A0E">
        <w:rPr>
          <w:rFonts w:eastAsia="Times New Roman" w:cs="Times New Roman"/>
          <w:b/>
          <w:bCs/>
          <w:rtl/>
          <w:lang w:eastAsia="de-DE"/>
        </w:rPr>
        <w:t>וּבָלָק בֶּן־צִפּוֹר מֶלֶךְ לְמוֹאָב בָּעֵת הַהִוא</w:t>
      </w:r>
      <w:r w:rsidRPr="000C3A0E">
        <w:rPr>
          <w:rFonts w:eastAsia="Times New Roman" w:cs="Times New Roman"/>
          <w:rtl/>
          <w:lang w:eastAsia="de-DE"/>
        </w:rPr>
        <w:t xml:space="preserve"> </w:t>
      </w:r>
      <w:r w:rsidRPr="000C3A0E">
        <w:rPr>
          <w:rFonts w:eastAsia="Times New Roman" w:cs="Times New Roman"/>
          <w:lang w:eastAsia="de-DE"/>
        </w:rPr>
        <w:t xml:space="preserve">(„und Balak, Sohn Zippors, war König von Moab zu jener Zeit") – </w:t>
      </w:r>
      <w:r w:rsidRPr="000C3A0E">
        <w:rPr>
          <w:rFonts w:eastAsia="Times New Roman" w:cs="Times New Roman"/>
          <w:b/>
          <w:bCs/>
          <w:rtl/>
          <w:lang w:eastAsia="de-DE"/>
        </w:rPr>
        <w:t>מֶלֶךְ לְמוֹאָב</w:t>
      </w:r>
      <w:r w:rsidRPr="000C3A0E">
        <w:rPr>
          <w:rFonts w:eastAsia="Times New Roman" w:cs="Times New Roman"/>
          <w:rtl/>
          <w:lang w:eastAsia="de-DE"/>
        </w:rPr>
        <w:t xml:space="preserve"> </w:t>
      </w:r>
      <w:r w:rsidRPr="000C3A0E">
        <w:rPr>
          <w:rFonts w:eastAsia="Times New Roman" w:cs="Times New Roman"/>
          <w:lang w:eastAsia="de-DE"/>
        </w:rPr>
        <w:t xml:space="preserve">(„König von/für Moab") mit </w:t>
      </w:r>
      <w:r w:rsidRPr="000C3A0E">
        <w:rPr>
          <w:rFonts w:eastAsia="Times New Roman" w:cs="Times New Roman"/>
          <w:b/>
          <w:bCs/>
          <w:rtl/>
          <w:lang w:eastAsia="de-DE"/>
        </w:rPr>
        <w:t>לְ</w:t>
      </w:r>
      <w:r w:rsidRPr="000C3A0E">
        <w:rPr>
          <w:rFonts w:eastAsia="Times New Roman" w:cs="Times New Roman"/>
          <w:lang w:eastAsia="de-DE"/>
        </w:rPr>
        <w:t xml:space="preserve">, </w:t>
      </w:r>
      <w:r w:rsidRPr="000C3A0E">
        <w:rPr>
          <w:rFonts w:eastAsia="Times New Roman" w:cs="Times New Roman"/>
          <w:b/>
          <w:bCs/>
          <w:rtl/>
          <w:lang w:eastAsia="de-DE"/>
        </w:rPr>
        <w:t>בָּעֵת הַהִוא</w:t>
      </w:r>
      <w:r w:rsidRPr="000C3A0E">
        <w:rPr>
          <w:rFonts w:eastAsia="Times New Roman" w:cs="Times New Roman"/>
          <w:rtl/>
          <w:lang w:eastAsia="de-DE"/>
        </w:rPr>
        <w:t xml:space="preserve"> </w:t>
      </w:r>
      <w:r w:rsidRPr="000C3A0E">
        <w:rPr>
          <w:rFonts w:eastAsia="Times New Roman" w:cs="Times New Roman"/>
          <w:lang w:eastAsia="de-DE"/>
        </w:rPr>
        <w:t>(„zu jener Zeit") – identifiziert den Sprecher nachträglich.</w:t>
      </w:r>
    </w:p>
    <w:p w14:paraId="5441530A"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w:t>
      </w:r>
    </w:p>
    <w:p w14:paraId="691B9141"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Satzstruktur zeigt zwei koordinierte Hauptsätze: Der erste mit Verb, Subjekt und indirektem Objekt (Constructus-Verbindung); die direkte Rede enthält einen Hauptsatz mit Temporaladverb, Verb, Subjekt und Objekt (mit </w:t>
      </w:r>
      <w:r w:rsidRPr="000C3A0E">
        <w:rPr>
          <w:rFonts w:eastAsia="Times New Roman" w:cs="Times New Roman"/>
          <w:b/>
          <w:bCs/>
          <w:rtl/>
          <w:lang w:eastAsia="de-DE"/>
        </w:rPr>
        <w:t>כָּל</w:t>
      </w:r>
      <w:r w:rsidRPr="000C3A0E">
        <w:rPr>
          <w:rFonts w:eastAsia="Times New Roman" w:cs="Times New Roman"/>
          <w:rtl/>
          <w:lang w:eastAsia="de-DE"/>
        </w:rPr>
        <w:t xml:space="preserve"> </w:t>
      </w:r>
      <w:r w:rsidRPr="000C3A0E">
        <w:rPr>
          <w:rFonts w:eastAsia="Times New Roman" w:cs="Times New Roman"/>
          <w:lang w:eastAsia="de-DE"/>
        </w:rPr>
        <w:t>und Possessivsuffix), erweitert durch einen Vergleichssatz (mit Präposition, Infinitiv construct, Subjekt und Objekt als Constructus-Verbindung). Der zweite Hauptsatz ist eine nachgestellte Identifikation mit Subjekt (Apposition), Prädikatsnomen und Temporalphrase. Insgesamt gibt es einen Nebensatz (Vergleichssatz).</w:t>
      </w:r>
    </w:p>
    <w:p w14:paraId="61A056A8"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lastRenderedPageBreak/>
        <w:t>Der Vers zeigt Moabs panische Sicht: Israel ist eine unaufhaltsame, alles verzehrende Naturgewalt. Die vivide Metapher (Ochse frisst Gras kahl) drückt totale Vernichtungsangst aus.</w:t>
      </w:r>
    </w:p>
    <w:p w14:paraId="5F296862"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22,5</w:t>
      </w:r>
    </w:p>
    <w:p w14:paraId="52967362"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וַיִּשְׁלַ֨ח מַלְאָכִ֜ים אֶל־בִּלְעָ֣ם בֶּן־בְּע֗וֹר פְּ֠תוֹרָה אֲשֶׁ֧ר עַל־הַנָּהָ֛ר אֶ֥רֶץ בְּנֵי־עַמּ֖וֹ לִקְרֹא־לוֹ֑ לֵאמֹ֗ר הִ֠נֵּה עַ֣ם יָצָ֤א מִמִּצְרַ֙יִם֙ הִנֵּ֤ה כִסָּה֙ אֶת־עֵ֣ין הָאָ֔רֶץ וְה֥וּא יֹשֵׁ֖ב מִמֻּלִֽי׃</w:t>
      </w:r>
    </w:p>
    <w:p w14:paraId="70D55323"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er sandte Boten zu Bileam, dem Sohn Beors, nach Pethor, das am Strom liegt, im Land der Söhne seines Volkes, um ihn zu rufen, sagend: Siehe, ein Volk ist aus Ägypten ausgezogen; siehe, es bedeckt die Oberfläche des Landes, und es lagert mir gegenüber.</w:t>
      </w:r>
    </w:p>
    <w:p w14:paraId="42E34C11"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615C6557">
          <v:rect id="_x0000_i1764" style="width:0;height:1.5pt" o:hralign="center" o:hrstd="t" o:hr="t" fillcolor="#a0a0a0" stroked="f"/>
        </w:pict>
      </w:r>
    </w:p>
    <w:p w14:paraId="24EA06D0"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Das Verb </w:t>
      </w:r>
      <w:r w:rsidRPr="000C3A0E">
        <w:rPr>
          <w:rFonts w:eastAsia="Times New Roman" w:cs="Times New Roman"/>
          <w:b/>
          <w:bCs/>
          <w:rtl/>
          <w:lang w:eastAsia="de-DE"/>
        </w:rPr>
        <w:t>וַיִּשְׁלַח מַלְאָכִים</w:t>
      </w:r>
      <w:r w:rsidRPr="000C3A0E">
        <w:rPr>
          <w:rFonts w:eastAsia="Times New Roman" w:cs="Times New Roman"/>
          <w:rtl/>
          <w:lang w:eastAsia="de-DE"/>
        </w:rPr>
        <w:t xml:space="preserve"> </w:t>
      </w:r>
      <w:r w:rsidRPr="000C3A0E">
        <w:rPr>
          <w:rFonts w:eastAsia="Times New Roman" w:cs="Times New Roman"/>
          <w:lang w:eastAsia="de-DE"/>
        </w:rPr>
        <w:t xml:space="preserve">(„und er sandte Boten") – das Subjekt (Balak) ist aus Vers 4 zu ergänzen. Das Ziel </w:t>
      </w:r>
      <w:r w:rsidRPr="000C3A0E">
        <w:rPr>
          <w:rFonts w:eastAsia="Times New Roman" w:cs="Times New Roman"/>
          <w:b/>
          <w:bCs/>
          <w:rtl/>
          <w:lang w:eastAsia="de-DE"/>
        </w:rPr>
        <w:t>אֶל־בִּלְעָם בֶּן־בְּעוֹר</w:t>
      </w:r>
      <w:r w:rsidRPr="000C3A0E">
        <w:rPr>
          <w:rFonts w:eastAsia="Times New Roman" w:cs="Times New Roman"/>
          <w:rtl/>
          <w:lang w:eastAsia="de-DE"/>
        </w:rPr>
        <w:t xml:space="preserve"> </w:t>
      </w:r>
      <w:r w:rsidRPr="000C3A0E">
        <w:rPr>
          <w:rFonts w:eastAsia="Times New Roman" w:cs="Times New Roman"/>
          <w:lang w:eastAsia="de-DE"/>
        </w:rPr>
        <w:t xml:space="preserve">(„zu Bileam, Sohn Beors") – </w:t>
      </w:r>
      <w:r w:rsidRPr="000C3A0E">
        <w:rPr>
          <w:rFonts w:eastAsia="Times New Roman" w:cs="Times New Roman"/>
          <w:b/>
          <w:bCs/>
          <w:rtl/>
          <w:lang w:eastAsia="de-DE"/>
        </w:rPr>
        <w:t>בִּלְעָם</w:t>
      </w:r>
      <w:r w:rsidRPr="000C3A0E">
        <w:rPr>
          <w:rFonts w:eastAsia="Times New Roman" w:cs="Times New Roman"/>
          <w:rtl/>
          <w:lang w:eastAsia="de-DE"/>
        </w:rPr>
        <w:t xml:space="preserve"> </w:t>
      </w:r>
      <w:r w:rsidRPr="000C3A0E">
        <w:rPr>
          <w:rFonts w:eastAsia="Times New Roman" w:cs="Times New Roman"/>
          <w:lang w:eastAsia="de-DE"/>
        </w:rPr>
        <w:t xml:space="preserve">ist der berühmte Seher/Zauberer, </w:t>
      </w:r>
      <w:r w:rsidRPr="000C3A0E">
        <w:rPr>
          <w:rFonts w:eastAsia="Times New Roman" w:cs="Times New Roman"/>
          <w:b/>
          <w:bCs/>
          <w:rtl/>
          <w:lang w:eastAsia="de-DE"/>
        </w:rPr>
        <w:t>בֶּן־בְּעוֹר</w:t>
      </w:r>
      <w:r w:rsidRPr="000C3A0E">
        <w:rPr>
          <w:rFonts w:eastAsia="Times New Roman" w:cs="Times New Roman"/>
          <w:rtl/>
          <w:lang w:eastAsia="de-DE"/>
        </w:rPr>
        <w:t xml:space="preserve"> </w:t>
      </w:r>
      <w:r w:rsidRPr="000C3A0E">
        <w:rPr>
          <w:rFonts w:eastAsia="Times New Roman" w:cs="Times New Roman"/>
          <w:lang w:eastAsia="de-DE"/>
        </w:rPr>
        <w:t xml:space="preserve">Patronym. Der Name </w:t>
      </w:r>
      <w:r w:rsidRPr="000C3A0E">
        <w:rPr>
          <w:rFonts w:eastAsia="Times New Roman" w:cs="Times New Roman"/>
          <w:b/>
          <w:bCs/>
          <w:rtl/>
          <w:lang w:eastAsia="de-DE"/>
        </w:rPr>
        <w:t>בִּלְעָם</w:t>
      </w:r>
      <w:r w:rsidRPr="000C3A0E">
        <w:rPr>
          <w:rFonts w:eastAsia="Times New Roman" w:cs="Times New Roman"/>
          <w:rtl/>
          <w:lang w:eastAsia="de-DE"/>
        </w:rPr>
        <w:t xml:space="preserve"> </w:t>
      </w:r>
      <w:r w:rsidRPr="000C3A0E">
        <w:rPr>
          <w:rFonts w:eastAsia="Times New Roman" w:cs="Times New Roman"/>
          <w:lang w:eastAsia="de-DE"/>
        </w:rPr>
        <w:t>ist möglicherweise nicht-israelitisch, vielleicht bedeutet er „Verschlinger des Volkes" oder „ohne Volk".</w:t>
      </w:r>
    </w:p>
    <w:p w14:paraId="41141CD9"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geografische Angabe </w:t>
      </w:r>
      <w:r w:rsidRPr="000C3A0E">
        <w:rPr>
          <w:rFonts w:eastAsia="Times New Roman" w:cs="Times New Roman"/>
          <w:b/>
          <w:bCs/>
          <w:rtl/>
          <w:lang w:eastAsia="de-DE"/>
        </w:rPr>
        <w:t>פְּתוֹרָה אֲשֶׁר עַל־הַנָּהָר אֶרֶץ בְּנֵי־עַמּוֹ</w:t>
      </w:r>
      <w:r w:rsidRPr="000C3A0E">
        <w:rPr>
          <w:rFonts w:eastAsia="Times New Roman" w:cs="Times New Roman"/>
          <w:rtl/>
          <w:lang w:eastAsia="de-DE"/>
        </w:rPr>
        <w:t xml:space="preserve"> </w:t>
      </w:r>
      <w:r w:rsidRPr="000C3A0E">
        <w:rPr>
          <w:rFonts w:eastAsia="Times New Roman" w:cs="Times New Roman"/>
          <w:lang w:eastAsia="de-DE"/>
        </w:rPr>
        <w:t xml:space="preserve">ist komplex: </w:t>
      </w:r>
      <w:r w:rsidRPr="000C3A0E">
        <w:rPr>
          <w:rFonts w:eastAsia="Times New Roman" w:cs="Times New Roman"/>
          <w:b/>
          <w:bCs/>
          <w:rtl/>
          <w:lang w:eastAsia="de-DE"/>
        </w:rPr>
        <w:t>פְּתוֹרָה</w:t>
      </w:r>
      <w:r w:rsidRPr="000C3A0E">
        <w:rPr>
          <w:rFonts w:eastAsia="Times New Roman" w:cs="Times New Roman"/>
          <w:rtl/>
          <w:lang w:eastAsia="de-DE"/>
        </w:rPr>
        <w:t xml:space="preserve"> </w:t>
      </w:r>
      <w:r w:rsidRPr="000C3A0E">
        <w:rPr>
          <w:rFonts w:eastAsia="Times New Roman" w:cs="Times New Roman"/>
          <w:lang w:eastAsia="de-DE"/>
        </w:rPr>
        <w:t xml:space="preserve">(Pethor) – ein Ort, der Relativsatz </w:t>
      </w:r>
      <w:r w:rsidRPr="000C3A0E">
        <w:rPr>
          <w:rFonts w:eastAsia="Times New Roman" w:cs="Times New Roman"/>
          <w:b/>
          <w:bCs/>
          <w:rtl/>
          <w:lang w:eastAsia="de-DE"/>
        </w:rPr>
        <w:t>אֲשֶׁר עַל־הַנָּהָר</w:t>
      </w:r>
      <w:r w:rsidRPr="000C3A0E">
        <w:rPr>
          <w:rFonts w:eastAsia="Times New Roman" w:cs="Times New Roman"/>
          <w:rtl/>
          <w:lang w:eastAsia="de-DE"/>
        </w:rPr>
        <w:t xml:space="preserve"> </w:t>
      </w:r>
      <w:r w:rsidRPr="000C3A0E">
        <w:rPr>
          <w:rFonts w:eastAsia="Times New Roman" w:cs="Times New Roman"/>
          <w:lang w:eastAsia="de-DE"/>
        </w:rPr>
        <w:t xml:space="preserve">(„das am Strom liegt") – </w:t>
      </w:r>
      <w:r w:rsidRPr="000C3A0E">
        <w:rPr>
          <w:rFonts w:eastAsia="Times New Roman" w:cs="Times New Roman"/>
          <w:b/>
          <w:bCs/>
          <w:rtl/>
          <w:lang w:eastAsia="de-DE"/>
        </w:rPr>
        <w:t>הַנָּהָר</w:t>
      </w:r>
      <w:r w:rsidRPr="000C3A0E">
        <w:rPr>
          <w:rFonts w:eastAsia="Times New Roman" w:cs="Times New Roman"/>
          <w:rtl/>
          <w:lang w:eastAsia="de-DE"/>
        </w:rPr>
        <w:t xml:space="preserve"> </w:t>
      </w:r>
      <w:r w:rsidRPr="000C3A0E">
        <w:rPr>
          <w:rFonts w:eastAsia="Times New Roman" w:cs="Times New Roman"/>
          <w:lang w:eastAsia="de-DE"/>
        </w:rPr>
        <w:t xml:space="preserve">„der Strom" mit Artikel bezeichnet typischerweise den Euphrat (vgl. Gen 31,21; Ex 23,31). </w:t>
      </w:r>
      <w:r w:rsidRPr="000C3A0E">
        <w:rPr>
          <w:rFonts w:eastAsia="Times New Roman" w:cs="Times New Roman"/>
          <w:b/>
          <w:bCs/>
          <w:rtl/>
          <w:lang w:eastAsia="de-DE"/>
        </w:rPr>
        <w:t>אֶרֶץ בְּנֵי־עַמּוֹ</w:t>
      </w:r>
      <w:r w:rsidRPr="000C3A0E">
        <w:rPr>
          <w:rFonts w:eastAsia="Times New Roman" w:cs="Times New Roman"/>
          <w:rtl/>
          <w:lang w:eastAsia="de-DE"/>
        </w:rPr>
        <w:t xml:space="preserve"> </w:t>
      </w:r>
      <w:r w:rsidRPr="000C3A0E">
        <w:rPr>
          <w:rFonts w:eastAsia="Times New Roman" w:cs="Times New Roman"/>
          <w:lang w:eastAsia="de-DE"/>
        </w:rPr>
        <w:t xml:space="preserve">(„Land der Söhne seines Volkes") – eine weitere Apposition, </w:t>
      </w:r>
      <w:r w:rsidRPr="000C3A0E">
        <w:rPr>
          <w:rFonts w:eastAsia="Times New Roman" w:cs="Times New Roman"/>
          <w:b/>
          <w:bCs/>
          <w:rtl/>
          <w:lang w:eastAsia="de-DE"/>
        </w:rPr>
        <w:t>עַם</w:t>
      </w:r>
      <w:r w:rsidRPr="000C3A0E">
        <w:rPr>
          <w:rFonts w:eastAsia="Times New Roman" w:cs="Times New Roman"/>
          <w:rtl/>
          <w:lang w:eastAsia="de-DE"/>
        </w:rPr>
        <w:t xml:space="preserve"> </w:t>
      </w:r>
      <w:r w:rsidRPr="000C3A0E">
        <w:rPr>
          <w:rFonts w:eastAsia="Times New Roman" w:cs="Times New Roman"/>
          <w:lang w:eastAsia="de-DE"/>
        </w:rPr>
        <w:t>mit Possessivsuffix 3. m. sg. Bileam wohnt weit entfernt, im mesopotamischen Raum – seine Reputation als Magier muss enorm sein, wenn Balak so weit schickt.</w:t>
      </w:r>
    </w:p>
    <w:p w14:paraId="3BA38F04"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Der finale Infinitiv </w:t>
      </w:r>
      <w:r w:rsidRPr="000C3A0E">
        <w:rPr>
          <w:rFonts w:eastAsia="Times New Roman" w:cs="Times New Roman"/>
          <w:b/>
          <w:bCs/>
          <w:rtl/>
          <w:lang w:eastAsia="de-DE"/>
        </w:rPr>
        <w:t>לִקְרֹא־לוֹ</w:t>
      </w:r>
      <w:r w:rsidRPr="000C3A0E">
        <w:rPr>
          <w:rFonts w:eastAsia="Times New Roman" w:cs="Times New Roman"/>
          <w:rtl/>
          <w:lang w:eastAsia="de-DE"/>
        </w:rPr>
        <w:t xml:space="preserve"> </w:t>
      </w:r>
      <w:r w:rsidRPr="000C3A0E">
        <w:rPr>
          <w:rFonts w:eastAsia="Times New Roman" w:cs="Times New Roman"/>
          <w:lang w:eastAsia="de-DE"/>
        </w:rPr>
        <w:t xml:space="preserve">(Qal Infinitiv construct von </w:t>
      </w:r>
      <w:r w:rsidRPr="000C3A0E">
        <w:rPr>
          <w:rFonts w:eastAsia="Times New Roman" w:cs="Times New Roman"/>
          <w:b/>
          <w:bCs/>
          <w:rtl/>
          <w:lang w:eastAsia="de-DE"/>
        </w:rPr>
        <w:t>קרא</w:t>
      </w:r>
      <w:r w:rsidRPr="000C3A0E">
        <w:rPr>
          <w:rFonts w:eastAsia="Times New Roman" w:cs="Times New Roman"/>
          <w:rtl/>
          <w:lang w:eastAsia="de-DE"/>
        </w:rPr>
        <w:t xml:space="preserve"> </w:t>
      </w:r>
      <w:r w:rsidRPr="000C3A0E">
        <w:rPr>
          <w:rFonts w:eastAsia="Times New Roman" w:cs="Times New Roman"/>
          <w:lang w:eastAsia="de-DE"/>
        </w:rPr>
        <w:t xml:space="preserve">mit </w:t>
      </w:r>
      <w:r w:rsidRPr="000C3A0E">
        <w:rPr>
          <w:rFonts w:eastAsia="Times New Roman" w:cs="Times New Roman"/>
          <w:b/>
          <w:bCs/>
          <w:rtl/>
          <w:lang w:eastAsia="de-DE"/>
        </w:rPr>
        <w:t>לְ</w:t>
      </w:r>
      <w:r w:rsidRPr="000C3A0E">
        <w:rPr>
          <w:rFonts w:eastAsia="Times New Roman" w:cs="Times New Roman"/>
          <w:rtl/>
          <w:lang w:eastAsia="de-DE"/>
        </w:rPr>
        <w:t xml:space="preserve"> </w:t>
      </w:r>
      <w:r w:rsidRPr="000C3A0E">
        <w:rPr>
          <w:rFonts w:eastAsia="Times New Roman" w:cs="Times New Roman"/>
          <w:lang w:eastAsia="de-DE"/>
        </w:rPr>
        <w:t xml:space="preserve">und Dativ-Suffix, „um ihn zu rufen"). Die Redeeinleitung </w:t>
      </w:r>
      <w:r w:rsidRPr="000C3A0E">
        <w:rPr>
          <w:rFonts w:eastAsia="Times New Roman" w:cs="Times New Roman"/>
          <w:b/>
          <w:bCs/>
          <w:rtl/>
          <w:lang w:eastAsia="de-DE"/>
        </w:rPr>
        <w:t>לֵאמֹר</w:t>
      </w:r>
      <w:r w:rsidRPr="000C3A0E">
        <w:rPr>
          <w:rFonts w:eastAsia="Times New Roman" w:cs="Times New Roman"/>
          <w:lang w:eastAsia="de-DE"/>
        </w:rPr>
        <w:t>.</w:t>
      </w:r>
    </w:p>
    <w:p w14:paraId="0CB272A9"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Botschaft: Die doppelte Interjektion </w:t>
      </w:r>
      <w:r w:rsidRPr="000C3A0E">
        <w:rPr>
          <w:rFonts w:eastAsia="Times New Roman" w:cs="Times New Roman"/>
          <w:b/>
          <w:bCs/>
          <w:rtl/>
          <w:lang w:eastAsia="de-DE"/>
        </w:rPr>
        <w:t>הִנֵּה עַם יָצָא מִמִּצְרַיִם הִנֵּה כִסָּה אֶת־עֵין הָאָרֶץ</w:t>
      </w:r>
      <w:r w:rsidRPr="000C3A0E">
        <w:rPr>
          <w:rFonts w:eastAsia="Times New Roman" w:cs="Times New Roman"/>
          <w:rtl/>
          <w:lang w:eastAsia="de-DE"/>
        </w:rPr>
        <w:t xml:space="preserve"> </w:t>
      </w:r>
      <w:r w:rsidRPr="000C3A0E">
        <w:rPr>
          <w:rFonts w:eastAsia="Times New Roman" w:cs="Times New Roman"/>
          <w:lang w:eastAsia="de-DE"/>
        </w:rPr>
        <w:t xml:space="preserve">(„siehe, ein Volk ist ausgezogen aus Ägypten; siehe, es bedeckt die Oberfläche des Landes") – </w:t>
      </w:r>
      <w:r w:rsidRPr="000C3A0E">
        <w:rPr>
          <w:rFonts w:eastAsia="Times New Roman" w:cs="Times New Roman"/>
          <w:b/>
          <w:bCs/>
          <w:rtl/>
          <w:lang w:eastAsia="de-DE"/>
        </w:rPr>
        <w:t>הִנֵּה</w:t>
      </w:r>
      <w:r w:rsidRPr="000C3A0E">
        <w:rPr>
          <w:rFonts w:eastAsia="Times New Roman" w:cs="Times New Roman"/>
          <w:rtl/>
          <w:lang w:eastAsia="de-DE"/>
        </w:rPr>
        <w:t xml:space="preserve"> </w:t>
      </w:r>
      <w:r w:rsidRPr="000C3A0E">
        <w:rPr>
          <w:rFonts w:eastAsia="Times New Roman" w:cs="Times New Roman"/>
          <w:lang w:eastAsia="de-DE"/>
        </w:rPr>
        <w:t xml:space="preserve">„siehe!" zweimal für Dringlichkeit. </w:t>
      </w:r>
      <w:r w:rsidRPr="000C3A0E">
        <w:rPr>
          <w:rFonts w:eastAsia="Times New Roman" w:cs="Times New Roman"/>
          <w:b/>
          <w:bCs/>
          <w:rtl/>
          <w:lang w:eastAsia="de-DE"/>
        </w:rPr>
        <w:t>עַם יָצָא מִמִּצְרַיִם</w:t>
      </w:r>
      <w:r w:rsidRPr="000C3A0E">
        <w:rPr>
          <w:rFonts w:eastAsia="Times New Roman" w:cs="Times New Roman"/>
          <w:rtl/>
          <w:lang w:eastAsia="de-DE"/>
        </w:rPr>
        <w:t xml:space="preserve"> </w:t>
      </w:r>
      <w:r w:rsidRPr="000C3A0E">
        <w:rPr>
          <w:rFonts w:eastAsia="Times New Roman" w:cs="Times New Roman"/>
          <w:lang w:eastAsia="de-DE"/>
        </w:rPr>
        <w:t xml:space="preserve">(Qal Perfekt von </w:t>
      </w:r>
      <w:r w:rsidRPr="000C3A0E">
        <w:rPr>
          <w:rFonts w:eastAsia="Times New Roman" w:cs="Times New Roman"/>
          <w:b/>
          <w:bCs/>
          <w:rtl/>
          <w:lang w:eastAsia="de-DE"/>
        </w:rPr>
        <w:t>יצא</w:t>
      </w:r>
      <w:r w:rsidRPr="000C3A0E">
        <w:rPr>
          <w:rFonts w:eastAsia="Times New Roman" w:cs="Times New Roman"/>
          <w:lang w:eastAsia="de-DE"/>
        </w:rPr>
        <w:t xml:space="preserve">, „ist ausgezogen"), </w:t>
      </w:r>
      <w:r w:rsidRPr="000C3A0E">
        <w:rPr>
          <w:rFonts w:eastAsia="Times New Roman" w:cs="Times New Roman"/>
          <w:b/>
          <w:bCs/>
          <w:rtl/>
          <w:lang w:eastAsia="de-DE"/>
        </w:rPr>
        <w:t>כִסָּה אֶת־עֵין הָאָרֶץ</w:t>
      </w:r>
      <w:r w:rsidRPr="000C3A0E">
        <w:rPr>
          <w:rFonts w:eastAsia="Times New Roman" w:cs="Times New Roman"/>
          <w:rtl/>
          <w:lang w:eastAsia="de-DE"/>
        </w:rPr>
        <w:t xml:space="preserve"> </w:t>
      </w:r>
      <w:r w:rsidRPr="000C3A0E">
        <w:rPr>
          <w:rFonts w:eastAsia="Times New Roman" w:cs="Times New Roman"/>
          <w:lang w:eastAsia="de-DE"/>
        </w:rPr>
        <w:t xml:space="preserve">(„es bedeckt die Oberfläche des Landes") – </w:t>
      </w:r>
      <w:r w:rsidRPr="000C3A0E">
        <w:rPr>
          <w:rFonts w:eastAsia="Times New Roman" w:cs="Times New Roman"/>
          <w:b/>
          <w:bCs/>
          <w:rtl/>
          <w:lang w:eastAsia="de-DE"/>
        </w:rPr>
        <w:t>כִסָּה</w:t>
      </w:r>
      <w:r w:rsidRPr="000C3A0E">
        <w:rPr>
          <w:rFonts w:eastAsia="Times New Roman" w:cs="Times New Roman"/>
          <w:rtl/>
          <w:lang w:eastAsia="de-DE"/>
        </w:rPr>
        <w:t xml:space="preserve"> </w:t>
      </w:r>
      <w:r w:rsidRPr="000C3A0E">
        <w:rPr>
          <w:rFonts w:eastAsia="Times New Roman" w:cs="Times New Roman"/>
          <w:lang w:eastAsia="de-DE"/>
        </w:rPr>
        <w:t xml:space="preserve">(Piel Perfekt, 3. m. sg. von </w:t>
      </w:r>
      <w:r w:rsidRPr="000C3A0E">
        <w:rPr>
          <w:rFonts w:eastAsia="Times New Roman" w:cs="Times New Roman"/>
          <w:b/>
          <w:bCs/>
          <w:rtl/>
          <w:lang w:eastAsia="de-DE"/>
        </w:rPr>
        <w:t>כסה</w:t>
      </w:r>
      <w:r w:rsidRPr="000C3A0E">
        <w:rPr>
          <w:rFonts w:eastAsia="Times New Roman" w:cs="Times New Roman"/>
          <w:lang w:eastAsia="de-DE"/>
        </w:rPr>
        <w:t xml:space="preserve">, „es bedeckt"), </w:t>
      </w:r>
      <w:r w:rsidRPr="000C3A0E">
        <w:rPr>
          <w:rFonts w:eastAsia="Times New Roman" w:cs="Times New Roman"/>
          <w:b/>
          <w:bCs/>
          <w:rtl/>
          <w:lang w:eastAsia="de-DE"/>
        </w:rPr>
        <w:t>אֶת־עֵין הָאָרֶץ</w:t>
      </w:r>
      <w:r w:rsidRPr="000C3A0E">
        <w:rPr>
          <w:rFonts w:eastAsia="Times New Roman" w:cs="Times New Roman"/>
          <w:rtl/>
          <w:lang w:eastAsia="de-DE"/>
        </w:rPr>
        <w:t xml:space="preserve"> </w:t>
      </w:r>
      <w:r w:rsidRPr="000C3A0E">
        <w:rPr>
          <w:rFonts w:eastAsia="Times New Roman" w:cs="Times New Roman"/>
          <w:lang w:eastAsia="de-DE"/>
        </w:rPr>
        <w:t>wörtlich „das Auge des Landes", idiomatisch „die sichtbare Oberfläche des Landes". Die Metapher suggeriert: Israel ist so zahlreich, dass man den Erdboden nicht mehr sieht.</w:t>
      </w:r>
    </w:p>
    <w:p w14:paraId="34E56795"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finale Bemerkung </w:t>
      </w:r>
      <w:r w:rsidRPr="000C3A0E">
        <w:rPr>
          <w:rFonts w:eastAsia="Times New Roman" w:cs="Times New Roman"/>
          <w:b/>
          <w:bCs/>
          <w:rtl/>
          <w:lang w:eastAsia="de-DE"/>
        </w:rPr>
        <w:t>וְהוּא יֹשֵׁב מִמֻּלִי</w:t>
      </w:r>
      <w:r w:rsidRPr="000C3A0E">
        <w:rPr>
          <w:rFonts w:eastAsia="Times New Roman" w:cs="Times New Roman"/>
          <w:rtl/>
          <w:lang w:eastAsia="de-DE"/>
        </w:rPr>
        <w:t xml:space="preserve"> </w:t>
      </w:r>
      <w:r w:rsidRPr="000C3A0E">
        <w:rPr>
          <w:rFonts w:eastAsia="Times New Roman" w:cs="Times New Roman"/>
          <w:lang w:eastAsia="de-DE"/>
        </w:rPr>
        <w:t xml:space="preserve">(„und es lagert mir gegenüber") – </w:t>
      </w:r>
      <w:r w:rsidRPr="000C3A0E">
        <w:rPr>
          <w:rFonts w:eastAsia="Times New Roman" w:cs="Times New Roman"/>
          <w:b/>
          <w:bCs/>
          <w:rtl/>
          <w:lang w:eastAsia="de-DE"/>
        </w:rPr>
        <w:t>וְהוּא</w:t>
      </w:r>
      <w:r w:rsidRPr="000C3A0E">
        <w:rPr>
          <w:rFonts w:eastAsia="Times New Roman" w:cs="Times New Roman"/>
          <w:rtl/>
          <w:lang w:eastAsia="de-DE"/>
        </w:rPr>
        <w:t xml:space="preserve"> </w:t>
      </w:r>
      <w:r w:rsidRPr="000C3A0E">
        <w:rPr>
          <w:rFonts w:eastAsia="Times New Roman" w:cs="Times New Roman"/>
          <w:lang w:eastAsia="de-DE"/>
        </w:rPr>
        <w:t xml:space="preserve">emphatisches Pronomen, </w:t>
      </w:r>
      <w:r w:rsidRPr="000C3A0E">
        <w:rPr>
          <w:rFonts w:eastAsia="Times New Roman" w:cs="Times New Roman"/>
          <w:b/>
          <w:bCs/>
          <w:rtl/>
          <w:lang w:eastAsia="de-DE"/>
        </w:rPr>
        <w:t>יֹשֵׁב</w:t>
      </w:r>
      <w:r w:rsidRPr="000C3A0E">
        <w:rPr>
          <w:rFonts w:eastAsia="Times New Roman" w:cs="Times New Roman"/>
          <w:rtl/>
          <w:lang w:eastAsia="de-DE"/>
        </w:rPr>
        <w:t xml:space="preserve"> </w:t>
      </w:r>
      <w:r w:rsidRPr="000C3A0E">
        <w:rPr>
          <w:rFonts w:eastAsia="Times New Roman" w:cs="Times New Roman"/>
          <w:lang w:eastAsia="de-DE"/>
        </w:rPr>
        <w:t xml:space="preserve">(Qal Partizip von </w:t>
      </w:r>
      <w:r w:rsidRPr="000C3A0E">
        <w:rPr>
          <w:rFonts w:eastAsia="Times New Roman" w:cs="Times New Roman"/>
          <w:b/>
          <w:bCs/>
          <w:rtl/>
          <w:lang w:eastAsia="de-DE"/>
        </w:rPr>
        <w:t>ישׁב</w:t>
      </w:r>
      <w:r w:rsidRPr="000C3A0E">
        <w:rPr>
          <w:rFonts w:eastAsia="Times New Roman" w:cs="Times New Roman"/>
          <w:lang w:eastAsia="de-DE"/>
        </w:rPr>
        <w:t xml:space="preserve">, „es sitzt, lagert"), </w:t>
      </w:r>
      <w:r w:rsidRPr="000C3A0E">
        <w:rPr>
          <w:rFonts w:eastAsia="Times New Roman" w:cs="Times New Roman"/>
          <w:b/>
          <w:bCs/>
          <w:rtl/>
          <w:lang w:eastAsia="de-DE"/>
        </w:rPr>
        <w:t>מִמֻּלִי</w:t>
      </w:r>
      <w:r w:rsidRPr="000C3A0E">
        <w:rPr>
          <w:rFonts w:eastAsia="Times New Roman" w:cs="Times New Roman"/>
          <w:rtl/>
          <w:lang w:eastAsia="de-DE"/>
        </w:rPr>
        <w:t xml:space="preserve"> </w:t>
      </w:r>
      <w:r w:rsidRPr="000C3A0E">
        <w:rPr>
          <w:rFonts w:eastAsia="Times New Roman" w:cs="Times New Roman"/>
          <w:lang w:eastAsia="de-DE"/>
        </w:rPr>
        <w:t xml:space="preserve">(„mir gegenüber") – </w:t>
      </w:r>
      <w:r w:rsidRPr="000C3A0E">
        <w:rPr>
          <w:rFonts w:eastAsia="Times New Roman" w:cs="Times New Roman"/>
          <w:b/>
          <w:bCs/>
          <w:rtl/>
          <w:lang w:eastAsia="de-DE"/>
        </w:rPr>
        <w:t>מוּל</w:t>
      </w:r>
      <w:r w:rsidRPr="000C3A0E">
        <w:rPr>
          <w:rFonts w:eastAsia="Times New Roman" w:cs="Times New Roman"/>
          <w:rtl/>
          <w:lang w:eastAsia="de-DE"/>
        </w:rPr>
        <w:t xml:space="preserve"> </w:t>
      </w:r>
      <w:r w:rsidRPr="000C3A0E">
        <w:rPr>
          <w:rFonts w:eastAsia="Times New Roman" w:cs="Times New Roman"/>
          <w:lang w:eastAsia="de-DE"/>
        </w:rPr>
        <w:t xml:space="preserve">„gegenüber" mit </w:t>
      </w:r>
      <w:r w:rsidRPr="000C3A0E">
        <w:rPr>
          <w:rFonts w:eastAsia="Times New Roman" w:cs="Times New Roman"/>
          <w:b/>
          <w:bCs/>
          <w:rtl/>
          <w:lang w:eastAsia="de-DE"/>
        </w:rPr>
        <w:t>מִן</w:t>
      </w:r>
      <w:r w:rsidRPr="000C3A0E">
        <w:rPr>
          <w:rFonts w:eastAsia="Times New Roman" w:cs="Times New Roman"/>
          <w:rtl/>
          <w:lang w:eastAsia="de-DE"/>
        </w:rPr>
        <w:t xml:space="preserve"> </w:t>
      </w:r>
      <w:r w:rsidRPr="000C3A0E">
        <w:rPr>
          <w:rFonts w:eastAsia="Times New Roman" w:cs="Times New Roman"/>
          <w:lang w:eastAsia="de-DE"/>
        </w:rPr>
        <w:t>und Suffix 1. c. sg. Die unmittelbare Bedrohung wird betont.</w:t>
      </w:r>
    </w:p>
    <w:p w14:paraId="5FC37CB8" w14:textId="66951BC8"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w:t>
      </w:r>
      <w:r w:rsidR="00C73FA4">
        <w:t>übersetzt „</w:t>
      </w:r>
      <w:r w:rsidR="00C73FA4" w:rsidRPr="00C73FA4">
        <w:rPr>
          <w:b/>
          <w:bCs/>
          <w:rtl/>
        </w:rPr>
        <w:t>פְּתוֹרָה</w:t>
      </w:r>
      <w:r w:rsidR="00C73FA4">
        <w:t>" (Petor) als „Φαθούρα" und „</w:t>
      </w:r>
      <w:r w:rsidR="00C73FA4" w:rsidRPr="00C73FA4">
        <w:rPr>
          <w:b/>
          <w:bCs/>
          <w:rtl/>
        </w:rPr>
        <w:t>בְּנֵי־עַמּו</w:t>
      </w:r>
      <w:r w:rsidR="00C73FA4">
        <w:rPr>
          <w:rtl/>
        </w:rPr>
        <w:t>ֹ</w:t>
      </w:r>
      <w:r w:rsidR="00C73FA4">
        <w:t>" (die Söhne seines Volkes) mit „υἱῶν λαοῦ αὐτοῦ" (der Söhne seines Volkes), wobei beide ähnlich sind.</w:t>
      </w:r>
    </w:p>
    <w:p w14:paraId="69948485"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Satzstruktur zeigt einen Hauptsatz mit Verb, Objekt, Präpositionalphrase (mit Apposition als Constructus-Verbindung), Ortsangabe mit Relativsatz, weiterer Apposition (Constructus-Verbindung) und finalem Infinitiv. Die direkte Rede enthält zwei Hauptsätze mit doppelter Interjektion: Der erste mit Subjekt, Verb und Präpositionalphrase; der zweite mit Interjektion, </w:t>
      </w:r>
      <w:r w:rsidRPr="000C3A0E">
        <w:rPr>
          <w:rFonts w:eastAsia="Times New Roman" w:cs="Times New Roman"/>
          <w:lang w:eastAsia="de-DE"/>
        </w:rPr>
        <w:lastRenderedPageBreak/>
        <w:t>Verb, Objekt (idiomatische Wendung) und ein dritter mit Pronomen, Partizip und Präpositionalphrase. Insgesamt gibt es einen Nebensatz (Relativsatz) und einen finalen Infinitivsatz.</w:t>
      </w:r>
    </w:p>
    <w:p w14:paraId="01ACCED1"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zeigt Balaks verzweifelte Maßnahme: Er sendet weit nach Mesopotamien zu einem berühmten Magier. Die Beschreibung Israels (bedeckt das Land, lagert gegenüber) drückt panische Übertreibung aus.</w:t>
      </w:r>
    </w:p>
    <w:p w14:paraId="5D86DC00"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22,6</w:t>
      </w:r>
    </w:p>
    <w:p w14:paraId="19B2CF0F"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וְעַתָּה֩ לְכָה־נָּ֨א אָֽרָה־לִּ֜י אֶת־הָעָ֣ם הַזֶּ֗ה כִּֽי־עָצ֥וּם הוּא֙ מִמֶּ֔נִּי אוּלַ֤י אוּכַל֙ נַכֶּה־בּוֹ֔ וַאֲגָרְשֶׁ֖נּוּ מִן־הָאָ֑רֶץ כִּ֣י יָדַ֗עְתִּי אֵ֤ת אֲשֶׁר־תְּבָרֵךְ֙ מְבֹרָ֔ךְ וַאֲשֶׁ֥ר תָּאֹ֖ר יוּאָֽר׃</w:t>
      </w:r>
    </w:p>
    <w:p w14:paraId="7BBE41DF"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nun, komm doch, verfluche mir dieses Volk, denn es ist stärker als ich. Vielleicht vermag ich es dann zu schlagen und es aus dem Land zu vertreiben. Denn ich weiß, wen du segnest, der ist gesegnet, und wen du verfluchst, der ist verflucht.</w:t>
      </w:r>
    </w:p>
    <w:p w14:paraId="4CF1F688"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30A8B81D">
          <v:rect id="_x0000_i1765" style="width:0;height:1.5pt" o:hralign="center" o:hrstd="t" o:hr="t" fillcolor="#a0a0a0" stroked="f"/>
        </w:pict>
      </w:r>
    </w:p>
    <w:p w14:paraId="798B963F"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Die Aufforderung </w:t>
      </w:r>
      <w:r w:rsidRPr="000C3A0E">
        <w:rPr>
          <w:rFonts w:eastAsia="Times New Roman" w:cs="Times New Roman"/>
          <w:b/>
          <w:bCs/>
          <w:rtl/>
          <w:lang w:eastAsia="de-DE"/>
        </w:rPr>
        <w:t>וְעַתָּה לְכָה־נָּא אָרָה־לִּי אֶת־הָעָם הַזֶּה</w:t>
      </w:r>
      <w:r w:rsidRPr="000C3A0E">
        <w:rPr>
          <w:rFonts w:eastAsia="Times New Roman" w:cs="Times New Roman"/>
          <w:rtl/>
          <w:lang w:eastAsia="de-DE"/>
        </w:rPr>
        <w:t xml:space="preserve"> </w:t>
      </w:r>
      <w:r w:rsidRPr="000C3A0E">
        <w:rPr>
          <w:rFonts w:eastAsia="Times New Roman" w:cs="Times New Roman"/>
          <w:lang w:eastAsia="de-DE"/>
        </w:rPr>
        <w:t xml:space="preserve">(„und nun, komm doch, verfluche mir dieses Volk") – </w:t>
      </w:r>
      <w:r w:rsidRPr="000C3A0E">
        <w:rPr>
          <w:rFonts w:eastAsia="Times New Roman" w:cs="Times New Roman"/>
          <w:b/>
          <w:bCs/>
          <w:rtl/>
          <w:lang w:eastAsia="de-DE"/>
        </w:rPr>
        <w:t>וְעַתָּה</w:t>
      </w:r>
      <w:r w:rsidRPr="000C3A0E">
        <w:rPr>
          <w:rFonts w:eastAsia="Times New Roman" w:cs="Times New Roman"/>
          <w:rtl/>
          <w:lang w:eastAsia="de-DE"/>
        </w:rPr>
        <w:t xml:space="preserve"> </w:t>
      </w:r>
      <w:r w:rsidRPr="000C3A0E">
        <w:rPr>
          <w:rFonts w:eastAsia="Times New Roman" w:cs="Times New Roman"/>
          <w:lang w:eastAsia="de-DE"/>
        </w:rPr>
        <w:t xml:space="preserve">„und nun", </w:t>
      </w:r>
      <w:r w:rsidRPr="000C3A0E">
        <w:rPr>
          <w:rFonts w:eastAsia="Times New Roman" w:cs="Times New Roman"/>
          <w:b/>
          <w:bCs/>
          <w:rtl/>
          <w:lang w:eastAsia="de-DE"/>
        </w:rPr>
        <w:t>לְכָה־נָּא</w:t>
      </w:r>
      <w:r w:rsidRPr="000C3A0E">
        <w:rPr>
          <w:rFonts w:eastAsia="Times New Roman" w:cs="Times New Roman"/>
          <w:rtl/>
          <w:lang w:eastAsia="de-DE"/>
        </w:rPr>
        <w:t xml:space="preserve"> </w:t>
      </w:r>
      <w:r w:rsidRPr="000C3A0E">
        <w:rPr>
          <w:rFonts w:eastAsia="Times New Roman" w:cs="Times New Roman"/>
          <w:lang w:eastAsia="de-DE"/>
        </w:rPr>
        <w:t xml:space="preserve">(Qal Imperativ von </w:t>
      </w:r>
      <w:r w:rsidRPr="000C3A0E">
        <w:rPr>
          <w:rFonts w:eastAsia="Times New Roman" w:cs="Times New Roman"/>
          <w:b/>
          <w:bCs/>
          <w:rtl/>
          <w:lang w:eastAsia="de-DE"/>
        </w:rPr>
        <w:t>הלך</w:t>
      </w:r>
      <w:r w:rsidRPr="000C3A0E">
        <w:rPr>
          <w:rFonts w:eastAsia="Times New Roman" w:cs="Times New Roman"/>
          <w:rtl/>
          <w:lang w:eastAsia="de-DE"/>
        </w:rPr>
        <w:t xml:space="preserve"> </w:t>
      </w:r>
      <w:r w:rsidRPr="000C3A0E">
        <w:rPr>
          <w:rFonts w:eastAsia="Times New Roman" w:cs="Times New Roman"/>
          <w:lang w:eastAsia="de-DE"/>
        </w:rPr>
        <w:t xml:space="preserve">mit emphatischem </w:t>
      </w:r>
      <w:r w:rsidRPr="000C3A0E">
        <w:rPr>
          <w:rFonts w:eastAsia="Times New Roman" w:cs="Times New Roman"/>
          <w:b/>
          <w:bCs/>
          <w:rtl/>
          <w:lang w:eastAsia="de-DE"/>
        </w:rPr>
        <w:t>נָא</w:t>
      </w:r>
      <w:r w:rsidRPr="000C3A0E">
        <w:rPr>
          <w:rFonts w:eastAsia="Times New Roman" w:cs="Times New Roman"/>
          <w:lang w:eastAsia="de-DE"/>
        </w:rPr>
        <w:t xml:space="preserve">, „komm doch"), </w:t>
      </w:r>
      <w:r w:rsidRPr="000C3A0E">
        <w:rPr>
          <w:rFonts w:eastAsia="Times New Roman" w:cs="Times New Roman"/>
          <w:b/>
          <w:bCs/>
          <w:rtl/>
          <w:lang w:eastAsia="de-DE"/>
        </w:rPr>
        <w:t>אָרָה־לִּי</w:t>
      </w:r>
      <w:r w:rsidRPr="000C3A0E">
        <w:rPr>
          <w:rFonts w:eastAsia="Times New Roman" w:cs="Times New Roman"/>
          <w:rtl/>
          <w:lang w:eastAsia="de-DE"/>
        </w:rPr>
        <w:t xml:space="preserve"> </w:t>
      </w:r>
      <w:r w:rsidRPr="000C3A0E">
        <w:rPr>
          <w:rFonts w:eastAsia="Times New Roman" w:cs="Times New Roman"/>
          <w:lang w:eastAsia="de-DE"/>
        </w:rPr>
        <w:t xml:space="preserve">(Qal Imperativ von </w:t>
      </w:r>
      <w:r w:rsidRPr="000C3A0E">
        <w:rPr>
          <w:rFonts w:eastAsia="Times New Roman" w:cs="Times New Roman"/>
          <w:b/>
          <w:bCs/>
          <w:rtl/>
          <w:lang w:eastAsia="de-DE"/>
        </w:rPr>
        <w:t>ארר</w:t>
      </w:r>
      <w:r w:rsidRPr="000C3A0E">
        <w:rPr>
          <w:rFonts w:eastAsia="Times New Roman" w:cs="Times New Roman"/>
          <w:rtl/>
          <w:lang w:eastAsia="de-DE"/>
        </w:rPr>
        <w:t xml:space="preserve"> </w:t>
      </w:r>
      <w:r w:rsidRPr="000C3A0E">
        <w:rPr>
          <w:rFonts w:eastAsia="Times New Roman" w:cs="Times New Roman"/>
          <w:lang w:eastAsia="de-DE"/>
        </w:rPr>
        <w:t xml:space="preserve">mit Dativ-Suffix 1. c. sg., „verfluche mir") – das </w:t>
      </w:r>
      <w:r w:rsidRPr="000C3A0E">
        <w:rPr>
          <w:rFonts w:eastAsia="Times New Roman" w:cs="Times New Roman"/>
          <w:b/>
          <w:bCs/>
          <w:rtl/>
          <w:lang w:eastAsia="de-DE"/>
        </w:rPr>
        <w:t>לִי</w:t>
      </w:r>
      <w:r w:rsidRPr="000C3A0E">
        <w:rPr>
          <w:rFonts w:eastAsia="Times New Roman" w:cs="Times New Roman"/>
          <w:rtl/>
          <w:lang w:eastAsia="de-DE"/>
        </w:rPr>
        <w:t xml:space="preserve"> </w:t>
      </w:r>
      <w:r w:rsidRPr="000C3A0E">
        <w:rPr>
          <w:rFonts w:eastAsia="Times New Roman" w:cs="Times New Roman"/>
          <w:lang w:eastAsia="de-DE"/>
        </w:rPr>
        <w:t xml:space="preserve">zeigt: der Fluch soll Balaks Interessen dienen. </w:t>
      </w:r>
      <w:r w:rsidRPr="000C3A0E">
        <w:rPr>
          <w:rFonts w:eastAsia="Times New Roman" w:cs="Times New Roman"/>
          <w:b/>
          <w:bCs/>
          <w:rtl/>
          <w:lang w:eastAsia="de-DE"/>
        </w:rPr>
        <w:t>אֶת־הָעָם הַזֶּה</w:t>
      </w:r>
      <w:r w:rsidRPr="000C3A0E">
        <w:rPr>
          <w:rFonts w:eastAsia="Times New Roman" w:cs="Times New Roman"/>
          <w:rtl/>
          <w:lang w:eastAsia="de-DE"/>
        </w:rPr>
        <w:t xml:space="preserve"> </w:t>
      </w:r>
      <w:r w:rsidRPr="000C3A0E">
        <w:rPr>
          <w:rFonts w:eastAsia="Times New Roman" w:cs="Times New Roman"/>
          <w:lang w:eastAsia="de-DE"/>
        </w:rPr>
        <w:t>(„dieses Volk") mit Demonstrativpronomen.</w:t>
      </w:r>
    </w:p>
    <w:p w14:paraId="7B0FDCBA"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Begründung </w:t>
      </w:r>
      <w:r w:rsidRPr="000C3A0E">
        <w:rPr>
          <w:rFonts w:eastAsia="Times New Roman" w:cs="Times New Roman"/>
          <w:b/>
          <w:bCs/>
          <w:rtl/>
          <w:lang w:eastAsia="de-DE"/>
        </w:rPr>
        <w:t>כִּי־עָצוּם הוּא מִמֶּנִּי</w:t>
      </w:r>
      <w:r w:rsidRPr="000C3A0E">
        <w:rPr>
          <w:rFonts w:eastAsia="Times New Roman" w:cs="Times New Roman"/>
          <w:rtl/>
          <w:lang w:eastAsia="de-DE"/>
        </w:rPr>
        <w:t xml:space="preserve"> </w:t>
      </w:r>
      <w:r w:rsidRPr="000C3A0E">
        <w:rPr>
          <w:rFonts w:eastAsia="Times New Roman" w:cs="Times New Roman"/>
          <w:lang w:eastAsia="de-DE"/>
        </w:rPr>
        <w:t xml:space="preserve">(„denn es ist stärker als ich") – </w:t>
      </w:r>
      <w:r w:rsidRPr="000C3A0E">
        <w:rPr>
          <w:rFonts w:eastAsia="Times New Roman" w:cs="Times New Roman"/>
          <w:b/>
          <w:bCs/>
          <w:rtl/>
          <w:lang w:eastAsia="de-DE"/>
        </w:rPr>
        <w:t>כִּי</w:t>
      </w:r>
      <w:r w:rsidRPr="000C3A0E">
        <w:rPr>
          <w:rFonts w:eastAsia="Times New Roman" w:cs="Times New Roman"/>
          <w:rtl/>
          <w:lang w:eastAsia="de-DE"/>
        </w:rPr>
        <w:t xml:space="preserve"> </w:t>
      </w:r>
      <w:r w:rsidRPr="000C3A0E">
        <w:rPr>
          <w:rFonts w:eastAsia="Times New Roman" w:cs="Times New Roman"/>
          <w:lang w:eastAsia="de-DE"/>
        </w:rPr>
        <w:t xml:space="preserve">kausal, </w:t>
      </w:r>
      <w:r w:rsidRPr="000C3A0E">
        <w:rPr>
          <w:rFonts w:eastAsia="Times New Roman" w:cs="Times New Roman"/>
          <w:b/>
          <w:bCs/>
          <w:rtl/>
          <w:lang w:eastAsia="de-DE"/>
        </w:rPr>
        <w:t>עָצוּם</w:t>
      </w:r>
      <w:r w:rsidRPr="000C3A0E">
        <w:rPr>
          <w:rFonts w:eastAsia="Times New Roman" w:cs="Times New Roman"/>
          <w:rtl/>
          <w:lang w:eastAsia="de-DE"/>
        </w:rPr>
        <w:t xml:space="preserve"> </w:t>
      </w:r>
      <w:r w:rsidRPr="000C3A0E">
        <w:rPr>
          <w:rFonts w:eastAsia="Times New Roman" w:cs="Times New Roman"/>
          <w:lang w:eastAsia="de-DE"/>
        </w:rPr>
        <w:t xml:space="preserve">Adjektiv „stark, mächtig", </w:t>
      </w:r>
      <w:r w:rsidRPr="000C3A0E">
        <w:rPr>
          <w:rFonts w:eastAsia="Times New Roman" w:cs="Times New Roman"/>
          <w:b/>
          <w:bCs/>
          <w:rtl/>
          <w:lang w:eastAsia="de-DE"/>
        </w:rPr>
        <w:t>הוּא</w:t>
      </w:r>
      <w:r w:rsidRPr="000C3A0E">
        <w:rPr>
          <w:rFonts w:eastAsia="Times New Roman" w:cs="Times New Roman"/>
          <w:rtl/>
          <w:lang w:eastAsia="de-DE"/>
        </w:rPr>
        <w:t xml:space="preserve"> </w:t>
      </w:r>
      <w:r w:rsidRPr="000C3A0E">
        <w:rPr>
          <w:rFonts w:eastAsia="Times New Roman" w:cs="Times New Roman"/>
          <w:lang w:eastAsia="de-DE"/>
        </w:rPr>
        <w:t xml:space="preserve">emphatisches Pronomen, </w:t>
      </w:r>
      <w:r w:rsidRPr="000C3A0E">
        <w:rPr>
          <w:rFonts w:eastAsia="Times New Roman" w:cs="Times New Roman"/>
          <w:b/>
          <w:bCs/>
          <w:rtl/>
          <w:lang w:eastAsia="de-DE"/>
        </w:rPr>
        <w:t>מִמֶּנִּי</w:t>
      </w:r>
      <w:r w:rsidRPr="000C3A0E">
        <w:rPr>
          <w:rFonts w:eastAsia="Times New Roman" w:cs="Times New Roman"/>
          <w:rtl/>
          <w:lang w:eastAsia="de-DE"/>
        </w:rPr>
        <w:t xml:space="preserve"> </w:t>
      </w:r>
      <w:r w:rsidRPr="000C3A0E">
        <w:rPr>
          <w:rFonts w:eastAsia="Times New Roman" w:cs="Times New Roman"/>
          <w:lang w:eastAsia="de-DE"/>
        </w:rPr>
        <w:t xml:space="preserve">(„als ich") mit komparativem </w:t>
      </w:r>
      <w:r w:rsidRPr="000C3A0E">
        <w:rPr>
          <w:rFonts w:eastAsia="Times New Roman" w:cs="Times New Roman"/>
          <w:b/>
          <w:bCs/>
          <w:rtl/>
          <w:lang w:eastAsia="de-DE"/>
        </w:rPr>
        <w:t>מִן</w:t>
      </w:r>
      <w:r w:rsidRPr="000C3A0E">
        <w:rPr>
          <w:rFonts w:eastAsia="Times New Roman" w:cs="Times New Roman"/>
          <w:rtl/>
          <w:lang w:eastAsia="de-DE"/>
        </w:rPr>
        <w:t xml:space="preserve"> </w:t>
      </w:r>
      <w:r w:rsidRPr="000C3A0E">
        <w:rPr>
          <w:rFonts w:eastAsia="Times New Roman" w:cs="Times New Roman"/>
          <w:lang w:eastAsia="de-DE"/>
        </w:rPr>
        <w:t>und Suffix 1. c. sg. Balak gibt offen zu: militärisch ist er unterlegen.</w:t>
      </w:r>
    </w:p>
    <w:p w14:paraId="2A93D6D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Hoffnung </w:t>
      </w:r>
      <w:r w:rsidRPr="000C3A0E">
        <w:rPr>
          <w:rFonts w:eastAsia="Times New Roman" w:cs="Times New Roman"/>
          <w:b/>
          <w:bCs/>
          <w:rtl/>
          <w:lang w:eastAsia="de-DE"/>
        </w:rPr>
        <w:t>אוּלַי אוּכַל נַכֶּה־בּוֹ וַאֲגָרְשֶׁנּוּ מִן־הָאָרֶץ</w:t>
      </w:r>
      <w:r w:rsidRPr="000C3A0E">
        <w:rPr>
          <w:rFonts w:eastAsia="Times New Roman" w:cs="Times New Roman"/>
          <w:rtl/>
          <w:lang w:eastAsia="de-DE"/>
        </w:rPr>
        <w:t xml:space="preserve"> </w:t>
      </w:r>
      <w:r w:rsidRPr="000C3A0E">
        <w:rPr>
          <w:rFonts w:eastAsia="Times New Roman" w:cs="Times New Roman"/>
          <w:lang w:eastAsia="de-DE"/>
        </w:rPr>
        <w:t xml:space="preserve">(„vielleicht vermag ich es zu schlagen und es aus dem Land zu vertreiben") – </w:t>
      </w:r>
      <w:r w:rsidRPr="000C3A0E">
        <w:rPr>
          <w:rFonts w:eastAsia="Times New Roman" w:cs="Times New Roman"/>
          <w:b/>
          <w:bCs/>
          <w:rtl/>
          <w:lang w:eastAsia="de-DE"/>
        </w:rPr>
        <w:t>אוּלַי</w:t>
      </w:r>
      <w:r w:rsidRPr="000C3A0E">
        <w:rPr>
          <w:rFonts w:eastAsia="Times New Roman" w:cs="Times New Roman"/>
          <w:rtl/>
          <w:lang w:eastAsia="de-DE"/>
        </w:rPr>
        <w:t xml:space="preserve"> </w:t>
      </w:r>
      <w:r w:rsidRPr="000C3A0E">
        <w:rPr>
          <w:rFonts w:eastAsia="Times New Roman" w:cs="Times New Roman"/>
          <w:lang w:eastAsia="de-DE"/>
        </w:rPr>
        <w:t xml:space="preserve">„vielleicht, womöglich", </w:t>
      </w:r>
      <w:r w:rsidRPr="000C3A0E">
        <w:rPr>
          <w:rFonts w:eastAsia="Times New Roman" w:cs="Times New Roman"/>
          <w:b/>
          <w:bCs/>
          <w:rtl/>
          <w:lang w:eastAsia="de-DE"/>
        </w:rPr>
        <w:t>אוּכַל</w:t>
      </w:r>
      <w:r w:rsidRPr="000C3A0E">
        <w:rPr>
          <w:rFonts w:eastAsia="Times New Roman" w:cs="Times New Roman"/>
          <w:rtl/>
          <w:lang w:eastAsia="de-DE"/>
        </w:rPr>
        <w:t xml:space="preserve"> </w:t>
      </w:r>
      <w:r w:rsidRPr="000C3A0E">
        <w:rPr>
          <w:rFonts w:eastAsia="Times New Roman" w:cs="Times New Roman"/>
          <w:lang w:eastAsia="de-DE"/>
        </w:rPr>
        <w:t xml:space="preserve">(Qal Imperfekt, 1. c. sg. von </w:t>
      </w:r>
      <w:r w:rsidRPr="000C3A0E">
        <w:rPr>
          <w:rFonts w:eastAsia="Times New Roman" w:cs="Times New Roman"/>
          <w:b/>
          <w:bCs/>
          <w:rtl/>
          <w:lang w:eastAsia="de-DE"/>
        </w:rPr>
        <w:t>יכל</w:t>
      </w:r>
      <w:r w:rsidRPr="000C3A0E">
        <w:rPr>
          <w:rFonts w:eastAsia="Times New Roman" w:cs="Times New Roman"/>
          <w:lang w:eastAsia="de-DE"/>
        </w:rPr>
        <w:t xml:space="preserve">, „ich vermag, kann"), </w:t>
      </w:r>
      <w:r w:rsidRPr="000C3A0E">
        <w:rPr>
          <w:rFonts w:eastAsia="Times New Roman" w:cs="Times New Roman"/>
          <w:b/>
          <w:bCs/>
          <w:rtl/>
          <w:lang w:eastAsia="de-DE"/>
        </w:rPr>
        <w:t>נַכֶּה־בּוֹ</w:t>
      </w:r>
      <w:r w:rsidRPr="000C3A0E">
        <w:rPr>
          <w:rFonts w:eastAsia="Times New Roman" w:cs="Times New Roman"/>
          <w:rtl/>
          <w:lang w:eastAsia="de-DE"/>
        </w:rPr>
        <w:t xml:space="preserve"> </w:t>
      </w:r>
      <w:r w:rsidRPr="000C3A0E">
        <w:rPr>
          <w:rFonts w:eastAsia="Times New Roman" w:cs="Times New Roman"/>
          <w:lang w:eastAsia="de-DE"/>
        </w:rPr>
        <w:t xml:space="preserve">(Hifil Imperfekt/Kohortativ, 1. c. pl. von </w:t>
      </w:r>
      <w:r w:rsidRPr="000C3A0E">
        <w:rPr>
          <w:rFonts w:eastAsia="Times New Roman" w:cs="Times New Roman"/>
          <w:b/>
          <w:bCs/>
          <w:rtl/>
          <w:lang w:eastAsia="de-DE"/>
        </w:rPr>
        <w:t>נכה</w:t>
      </w:r>
      <w:r w:rsidRPr="000C3A0E">
        <w:rPr>
          <w:rFonts w:eastAsia="Times New Roman" w:cs="Times New Roman"/>
          <w:rtl/>
          <w:lang w:eastAsia="de-DE"/>
        </w:rPr>
        <w:t xml:space="preserve"> </w:t>
      </w:r>
      <w:r w:rsidRPr="000C3A0E">
        <w:rPr>
          <w:rFonts w:eastAsia="Times New Roman" w:cs="Times New Roman"/>
          <w:lang w:eastAsia="de-DE"/>
        </w:rPr>
        <w:t xml:space="preserve">mit Präposition und Suffix, „wir schlagen es") – der Wechsel zur 1. pl. schließt Moabs Armee ein. </w:t>
      </w:r>
      <w:r w:rsidRPr="000C3A0E">
        <w:rPr>
          <w:rFonts w:eastAsia="Times New Roman" w:cs="Times New Roman"/>
          <w:b/>
          <w:bCs/>
          <w:rtl/>
          <w:lang w:eastAsia="de-DE"/>
        </w:rPr>
        <w:t>וַאֲגָרְשֶׁנּוּ מִן־הָאָרֶץ</w:t>
      </w:r>
      <w:r w:rsidRPr="000C3A0E">
        <w:rPr>
          <w:rFonts w:eastAsia="Times New Roman" w:cs="Times New Roman"/>
          <w:rtl/>
          <w:lang w:eastAsia="de-DE"/>
        </w:rPr>
        <w:t xml:space="preserve"> </w:t>
      </w:r>
      <w:r w:rsidRPr="000C3A0E">
        <w:rPr>
          <w:rFonts w:eastAsia="Times New Roman" w:cs="Times New Roman"/>
          <w:lang w:eastAsia="de-DE"/>
        </w:rPr>
        <w:t xml:space="preserve">(Waw + Piel Imperfekt/Kohortativ, 1. c. sg. von </w:t>
      </w:r>
      <w:r w:rsidRPr="000C3A0E">
        <w:rPr>
          <w:rFonts w:eastAsia="Times New Roman" w:cs="Times New Roman"/>
          <w:b/>
          <w:bCs/>
          <w:rtl/>
          <w:lang w:eastAsia="de-DE"/>
        </w:rPr>
        <w:t>גרשׁ</w:t>
      </w:r>
      <w:r w:rsidRPr="000C3A0E">
        <w:rPr>
          <w:rFonts w:eastAsia="Times New Roman" w:cs="Times New Roman"/>
          <w:rtl/>
          <w:lang w:eastAsia="de-DE"/>
        </w:rPr>
        <w:t xml:space="preserve"> </w:t>
      </w:r>
      <w:r w:rsidRPr="000C3A0E">
        <w:rPr>
          <w:rFonts w:eastAsia="Times New Roman" w:cs="Times New Roman"/>
          <w:lang w:eastAsia="de-DE"/>
        </w:rPr>
        <w:t xml:space="preserve">mit Objektsuffix, „und ich vertreibe es aus dem Land") – </w:t>
      </w:r>
      <w:r w:rsidRPr="000C3A0E">
        <w:rPr>
          <w:rFonts w:eastAsia="Times New Roman" w:cs="Times New Roman"/>
          <w:b/>
          <w:bCs/>
          <w:rtl/>
          <w:lang w:eastAsia="de-DE"/>
        </w:rPr>
        <w:t>גרשׁ</w:t>
      </w:r>
      <w:r w:rsidRPr="000C3A0E">
        <w:rPr>
          <w:rFonts w:eastAsia="Times New Roman" w:cs="Times New Roman"/>
          <w:rtl/>
          <w:lang w:eastAsia="de-DE"/>
        </w:rPr>
        <w:t xml:space="preserve"> </w:t>
      </w:r>
      <w:r w:rsidRPr="000C3A0E">
        <w:rPr>
          <w:rFonts w:eastAsia="Times New Roman" w:cs="Times New Roman"/>
          <w:lang w:eastAsia="de-DE"/>
        </w:rPr>
        <w:t>„vertreiben, ausstoßen". Balaks Strategie: magischer Fluch schwächt Israel, dann militärischer Schlag.</w:t>
      </w:r>
    </w:p>
    <w:p w14:paraId="04A6A98A"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Begründung für Bileams Macht: </w:t>
      </w:r>
      <w:r w:rsidRPr="000C3A0E">
        <w:rPr>
          <w:rFonts w:eastAsia="Times New Roman" w:cs="Times New Roman"/>
          <w:b/>
          <w:bCs/>
          <w:rtl/>
          <w:lang w:eastAsia="de-DE"/>
        </w:rPr>
        <w:t>כִּי יָדַעְתִּי אֵת אֲשֶׁר־תְּבָרֵךְ מְבֹרָךְ וַאֲשֶׁר תָּאֹר יוּאָר</w:t>
      </w:r>
      <w:r w:rsidRPr="000C3A0E">
        <w:rPr>
          <w:rFonts w:eastAsia="Times New Roman" w:cs="Times New Roman"/>
          <w:rtl/>
          <w:lang w:eastAsia="de-DE"/>
        </w:rPr>
        <w:t xml:space="preserve"> </w:t>
      </w:r>
      <w:r w:rsidRPr="000C3A0E">
        <w:rPr>
          <w:rFonts w:eastAsia="Times New Roman" w:cs="Times New Roman"/>
          <w:lang w:eastAsia="de-DE"/>
        </w:rPr>
        <w:t xml:space="preserve">(„denn ich weiß, wen du segnest, der ist gesegnet, und wen du verfluchst, der ist verflucht") – </w:t>
      </w:r>
      <w:r w:rsidRPr="000C3A0E">
        <w:rPr>
          <w:rFonts w:eastAsia="Times New Roman" w:cs="Times New Roman"/>
          <w:b/>
          <w:bCs/>
          <w:rtl/>
          <w:lang w:eastAsia="de-DE"/>
        </w:rPr>
        <w:t>כִּי יָדַעְתִּי</w:t>
      </w:r>
      <w:r w:rsidRPr="000C3A0E">
        <w:rPr>
          <w:rFonts w:eastAsia="Times New Roman" w:cs="Times New Roman"/>
          <w:rtl/>
          <w:lang w:eastAsia="de-DE"/>
        </w:rPr>
        <w:t xml:space="preserve"> </w:t>
      </w:r>
      <w:r w:rsidRPr="000C3A0E">
        <w:rPr>
          <w:rFonts w:eastAsia="Times New Roman" w:cs="Times New Roman"/>
          <w:lang w:eastAsia="de-DE"/>
        </w:rPr>
        <w:t xml:space="preserve">(Qal Perfekt, 1. c. sg. von </w:t>
      </w:r>
      <w:r w:rsidRPr="000C3A0E">
        <w:rPr>
          <w:rFonts w:eastAsia="Times New Roman" w:cs="Times New Roman"/>
          <w:b/>
          <w:bCs/>
          <w:rtl/>
          <w:lang w:eastAsia="de-DE"/>
        </w:rPr>
        <w:t>ידע</w:t>
      </w:r>
      <w:r w:rsidRPr="000C3A0E">
        <w:rPr>
          <w:rFonts w:eastAsia="Times New Roman" w:cs="Times New Roman"/>
          <w:lang w:eastAsia="de-DE"/>
        </w:rPr>
        <w:t xml:space="preserve">, „ich weiß"), zwei parallele Objektsätze: </w:t>
      </w:r>
      <w:r w:rsidRPr="000C3A0E">
        <w:rPr>
          <w:rFonts w:eastAsia="Times New Roman" w:cs="Times New Roman"/>
          <w:b/>
          <w:bCs/>
          <w:rtl/>
          <w:lang w:eastAsia="de-DE"/>
        </w:rPr>
        <w:t>אֵת אֲשֶׁר־תְּבָרֵךְ מְבֹרָךְ</w:t>
      </w:r>
      <w:r w:rsidRPr="000C3A0E">
        <w:rPr>
          <w:rFonts w:eastAsia="Times New Roman" w:cs="Times New Roman"/>
          <w:rtl/>
          <w:lang w:eastAsia="de-DE"/>
        </w:rPr>
        <w:t xml:space="preserve"> </w:t>
      </w:r>
      <w:r w:rsidRPr="000C3A0E">
        <w:rPr>
          <w:rFonts w:eastAsia="Times New Roman" w:cs="Times New Roman"/>
          <w:lang w:eastAsia="de-DE"/>
        </w:rPr>
        <w:t xml:space="preserve">(„wen du segnest, ist gesegnet") – </w:t>
      </w:r>
      <w:r w:rsidRPr="000C3A0E">
        <w:rPr>
          <w:rFonts w:eastAsia="Times New Roman" w:cs="Times New Roman"/>
          <w:b/>
          <w:bCs/>
          <w:rtl/>
          <w:lang w:eastAsia="de-DE"/>
        </w:rPr>
        <w:t>אֲשֶׁר</w:t>
      </w:r>
      <w:r w:rsidRPr="000C3A0E">
        <w:rPr>
          <w:rFonts w:eastAsia="Times New Roman" w:cs="Times New Roman"/>
          <w:rtl/>
          <w:lang w:eastAsia="de-DE"/>
        </w:rPr>
        <w:t xml:space="preserve"> </w:t>
      </w:r>
      <w:r w:rsidRPr="000C3A0E">
        <w:rPr>
          <w:rFonts w:eastAsia="Times New Roman" w:cs="Times New Roman"/>
          <w:lang w:eastAsia="de-DE"/>
        </w:rPr>
        <w:t xml:space="preserve">Relativpronomen, </w:t>
      </w:r>
      <w:r w:rsidRPr="000C3A0E">
        <w:rPr>
          <w:rFonts w:eastAsia="Times New Roman" w:cs="Times New Roman"/>
          <w:b/>
          <w:bCs/>
          <w:rtl/>
          <w:lang w:eastAsia="de-DE"/>
        </w:rPr>
        <w:t>תְּבָרֵךְ</w:t>
      </w:r>
      <w:r w:rsidRPr="000C3A0E">
        <w:rPr>
          <w:rFonts w:eastAsia="Times New Roman" w:cs="Times New Roman"/>
          <w:rtl/>
          <w:lang w:eastAsia="de-DE"/>
        </w:rPr>
        <w:t xml:space="preserve"> </w:t>
      </w:r>
      <w:r w:rsidRPr="000C3A0E">
        <w:rPr>
          <w:rFonts w:eastAsia="Times New Roman" w:cs="Times New Roman"/>
          <w:lang w:eastAsia="de-DE"/>
        </w:rPr>
        <w:t xml:space="preserve">(Piel Imperfekt, 2. m. sg. von </w:t>
      </w:r>
      <w:r w:rsidRPr="000C3A0E">
        <w:rPr>
          <w:rFonts w:eastAsia="Times New Roman" w:cs="Times New Roman"/>
          <w:b/>
          <w:bCs/>
          <w:rtl/>
          <w:lang w:eastAsia="de-DE"/>
        </w:rPr>
        <w:t>ברך</w:t>
      </w:r>
      <w:r w:rsidRPr="000C3A0E">
        <w:rPr>
          <w:rFonts w:eastAsia="Times New Roman" w:cs="Times New Roman"/>
          <w:lang w:eastAsia="de-DE"/>
        </w:rPr>
        <w:t xml:space="preserve">), </w:t>
      </w:r>
      <w:r w:rsidRPr="000C3A0E">
        <w:rPr>
          <w:rFonts w:eastAsia="Times New Roman" w:cs="Times New Roman"/>
          <w:b/>
          <w:bCs/>
          <w:rtl/>
          <w:lang w:eastAsia="de-DE"/>
        </w:rPr>
        <w:t>מְבֹרָךְ</w:t>
      </w:r>
      <w:r w:rsidRPr="000C3A0E">
        <w:rPr>
          <w:rFonts w:eastAsia="Times New Roman" w:cs="Times New Roman"/>
          <w:rtl/>
          <w:lang w:eastAsia="de-DE"/>
        </w:rPr>
        <w:t xml:space="preserve"> </w:t>
      </w:r>
      <w:r w:rsidRPr="000C3A0E">
        <w:rPr>
          <w:rFonts w:eastAsia="Times New Roman" w:cs="Times New Roman"/>
          <w:lang w:eastAsia="de-DE"/>
        </w:rPr>
        <w:t xml:space="preserve">(Pual Partizip von </w:t>
      </w:r>
      <w:r w:rsidRPr="000C3A0E">
        <w:rPr>
          <w:rFonts w:eastAsia="Times New Roman" w:cs="Times New Roman"/>
          <w:b/>
          <w:bCs/>
          <w:rtl/>
          <w:lang w:eastAsia="de-DE"/>
        </w:rPr>
        <w:t>ברך</w:t>
      </w:r>
      <w:r w:rsidRPr="000C3A0E">
        <w:rPr>
          <w:rFonts w:eastAsia="Times New Roman" w:cs="Times New Roman"/>
          <w:lang w:eastAsia="de-DE"/>
        </w:rPr>
        <w:t xml:space="preserve">, „ist gesegnet") – das Partizip drückt den bleibenden Zustand aus. Parallel: </w:t>
      </w:r>
      <w:r w:rsidRPr="000C3A0E">
        <w:rPr>
          <w:rFonts w:eastAsia="Times New Roman" w:cs="Times New Roman"/>
          <w:b/>
          <w:bCs/>
          <w:rtl/>
          <w:lang w:eastAsia="de-DE"/>
        </w:rPr>
        <w:t>וַאֲשֶׁר תָּאֹר יוּאָר</w:t>
      </w:r>
      <w:r w:rsidRPr="000C3A0E">
        <w:rPr>
          <w:rFonts w:eastAsia="Times New Roman" w:cs="Times New Roman"/>
          <w:rtl/>
          <w:lang w:eastAsia="de-DE"/>
        </w:rPr>
        <w:t xml:space="preserve"> </w:t>
      </w:r>
      <w:r w:rsidRPr="000C3A0E">
        <w:rPr>
          <w:rFonts w:eastAsia="Times New Roman" w:cs="Times New Roman"/>
          <w:lang w:eastAsia="de-DE"/>
        </w:rPr>
        <w:t xml:space="preserve">(„und wen du verfluchst, ist verflucht") – </w:t>
      </w:r>
      <w:r w:rsidRPr="000C3A0E">
        <w:rPr>
          <w:rFonts w:eastAsia="Times New Roman" w:cs="Times New Roman"/>
          <w:b/>
          <w:bCs/>
          <w:rtl/>
          <w:lang w:eastAsia="de-DE"/>
        </w:rPr>
        <w:t>תָּאֹר</w:t>
      </w:r>
      <w:r w:rsidRPr="000C3A0E">
        <w:rPr>
          <w:rFonts w:eastAsia="Times New Roman" w:cs="Times New Roman"/>
          <w:rtl/>
          <w:lang w:eastAsia="de-DE"/>
        </w:rPr>
        <w:t xml:space="preserve"> </w:t>
      </w:r>
      <w:r w:rsidRPr="000C3A0E">
        <w:rPr>
          <w:rFonts w:eastAsia="Times New Roman" w:cs="Times New Roman"/>
          <w:lang w:eastAsia="de-DE"/>
        </w:rPr>
        <w:t xml:space="preserve">(Qal Imperfekt, 2. m. sg. von </w:t>
      </w:r>
      <w:r w:rsidRPr="000C3A0E">
        <w:rPr>
          <w:rFonts w:eastAsia="Times New Roman" w:cs="Times New Roman"/>
          <w:b/>
          <w:bCs/>
          <w:rtl/>
          <w:lang w:eastAsia="de-DE"/>
        </w:rPr>
        <w:t>ארר</w:t>
      </w:r>
      <w:r w:rsidRPr="000C3A0E">
        <w:rPr>
          <w:rFonts w:eastAsia="Times New Roman" w:cs="Times New Roman"/>
          <w:lang w:eastAsia="de-DE"/>
        </w:rPr>
        <w:t xml:space="preserve">), </w:t>
      </w:r>
      <w:r w:rsidRPr="000C3A0E">
        <w:rPr>
          <w:rFonts w:eastAsia="Times New Roman" w:cs="Times New Roman"/>
          <w:b/>
          <w:bCs/>
          <w:rtl/>
          <w:lang w:eastAsia="de-DE"/>
        </w:rPr>
        <w:t>יוּאָר</w:t>
      </w:r>
      <w:r w:rsidRPr="000C3A0E">
        <w:rPr>
          <w:rFonts w:eastAsia="Times New Roman" w:cs="Times New Roman"/>
          <w:rtl/>
          <w:lang w:eastAsia="de-DE"/>
        </w:rPr>
        <w:t xml:space="preserve"> </w:t>
      </w:r>
      <w:r w:rsidRPr="000C3A0E">
        <w:rPr>
          <w:rFonts w:eastAsia="Times New Roman" w:cs="Times New Roman"/>
          <w:lang w:eastAsia="de-DE"/>
        </w:rPr>
        <w:t xml:space="preserve">(Qal Imperfekt/Jussiv Passiv, 3. m. sg. von </w:t>
      </w:r>
      <w:r w:rsidRPr="000C3A0E">
        <w:rPr>
          <w:rFonts w:eastAsia="Times New Roman" w:cs="Times New Roman"/>
          <w:b/>
          <w:bCs/>
          <w:rtl/>
          <w:lang w:eastAsia="de-DE"/>
        </w:rPr>
        <w:t>ארר</w:t>
      </w:r>
      <w:r w:rsidRPr="000C3A0E">
        <w:rPr>
          <w:rFonts w:eastAsia="Times New Roman" w:cs="Times New Roman"/>
          <w:lang w:eastAsia="de-DE"/>
        </w:rPr>
        <w:t>, „er wird/ist verflucht"). Bileams Segen und Fluch sind absolut wirksam – was er spricht, geschieht.</w:t>
      </w:r>
    </w:p>
    <w:p w14:paraId="08C2D107"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w:t>
      </w:r>
    </w:p>
    <w:p w14:paraId="34D9AE5E"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lastRenderedPageBreak/>
        <w:t xml:space="preserve">Die Satzstruktur zeigt mehrere koordinierte Hauptsätze in der direkten Rede: Temporaladverb plus doppelter Imperativ (mit </w:t>
      </w:r>
      <w:r w:rsidRPr="000C3A0E">
        <w:rPr>
          <w:rFonts w:eastAsia="Times New Roman" w:cs="Times New Roman"/>
          <w:b/>
          <w:bCs/>
          <w:rtl/>
          <w:lang w:eastAsia="de-DE"/>
        </w:rPr>
        <w:t>נָא</w:t>
      </w:r>
      <w:r w:rsidRPr="000C3A0E">
        <w:rPr>
          <w:rFonts w:eastAsia="Times New Roman" w:cs="Times New Roman"/>
          <w:rtl/>
          <w:lang w:eastAsia="de-DE"/>
        </w:rPr>
        <w:t xml:space="preserve"> </w:t>
      </w:r>
      <w:r w:rsidRPr="000C3A0E">
        <w:rPr>
          <w:rFonts w:eastAsia="Times New Roman" w:cs="Times New Roman"/>
          <w:lang w:eastAsia="de-DE"/>
        </w:rPr>
        <w:t>und Dativ-Suffix) und Objekt; kausaler Nebensatz mit Adjektiv, Pronomen und Komparativ; Hauptsatz mit Adverb, Verb, koordiniertem Verb (Kohortativ mit Präposition und Suffix) und weiterem Verb (mit Objektsuffix und Präpositionalphrase); kausaler Nebensatz mit Verb und zwei parallelen Objektsätzen (Relativsätze mit Verb und partizipialem/verbalem Prädikat). Insgesamt gibt es vier Nebensätze: zwei Kausalsätze und zwei eingebettete Relativsätze.</w:t>
      </w:r>
    </w:p>
    <w:p w14:paraId="1E03282A"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offenbart Balaks Plan: Da militärische Macht versagt, soll magische Macht Israel schwächen. Bileams Reputation ist legendär – seine Worte schaffen Realität. Die Ironie: Balak weiß nicht, dass Bileam von JHWH kontrolliert wird.</w:t>
      </w:r>
    </w:p>
    <w:p w14:paraId="57C52D24"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22,7</w:t>
      </w:r>
    </w:p>
    <w:p w14:paraId="4261B105"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וַיֵּ֨לְכ֜וּ זִקְנֵ֤י מוֹאָב֙ וְזִקְנֵ֣י מִדְיָ֔ן וּקְסָמִ֖ים בְּיָדָ֑ם וַיָּבֹ֨אוּ֙ אֶל־בִּלְעָ֔ם וַיְדַבְּר֥וּ אֵלָ֖יו דִּבְרֵ֥י בָלָֽק׃</w:t>
      </w:r>
    </w:p>
    <w:p w14:paraId="38D0D8B8"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die Ältesten von Moab und die Ältesten von Midian gingen mit Wahrsagerlohn in ihren Händen. Und sie kamen zu Bileam und sagten ihm die Worte Balaks.</w:t>
      </w:r>
    </w:p>
    <w:p w14:paraId="3F16E4C2"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117376CE">
          <v:rect id="_x0000_i1766" style="width:0;height:1.5pt" o:hralign="center" o:hrstd="t" o:hr="t" fillcolor="#a0a0a0" stroked="f"/>
        </w:pict>
      </w:r>
    </w:p>
    <w:p w14:paraId="6C52BF1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Das Verb </w:t>
      </w:r>
      <w:r w:rsidRPr="000C3A0E">
        <w:rPr>
          <w:rFonts w:eastAsia="Times New Roman" w:cs="Times New Roman"/>
          <w:b/>
          <w:bCs/>
          <w:rtl/>
          <w:lang w:eastAsia="de-DE"/>
        </w:rPr>
        <w:t>וַיֵּלְכוּ</w:t>
      </w:r>
      <w:r w:rsidRPr="000C3A0E">
        <w:rPr>
          <w:rFonts w:eastAsia="Times New Roman" w:cs="Times New Roman"/>
          <w:rtl/>
          <w:lang w:eastAsia="de-DE"/>
        </w:rPr>
        <w:t xml:space="preserve"> </w:t>
      </w:r>
      <w:r w:rsidRPr="000C3A0E">
        <w:rPr>
          <w:rFonts w:eastAsia="Times New Roman" w:cs="Times New Roman"/>
          <w:lang w:eastAsia="de-DE"/>
        </w:rPr>
        <w:t xml:space="preserve">(Wayyiqtol, 3. m. pl. von </w:t>
      </w:r>
      <w:r w:rsidRPr="000C3A0E">
        <w:rPr>
          <w:rFonts w:eastAsia="Times New Roman" w:cs="Times New Roman"/>
          <w:b/>
          <w:bCs/>
          <w:rtl/>
          <w:lang w:eastAsia="de-DE"/>
        </w:rPr>
        <w:t>הלך</w:t>
      </w:r>
      <w:r w:rsidRPr="000C3A0E">
        <w:rPr>
          <w:rFonts w:eastAsia="Times New Roman" w:cs="Times New Roman"/>
          <w:lang w:eastAsia="de-DE"/>
        </w:rPr>
        <w:t xml:space="preserve">, „und sie gingen"). Das doppelte Subjekt </w:t>
      </w:r>
      <w:r w:rsidRPr="000C3A0E">
        <w:rPr>
          <w:rFonts w:eastAsia="Times New Roman" w:cs="Times New Roman"/>
          <w:b/>
          <w:bCs/>
          <w:rtl/>
          <w:lang w:eastAsia="de-DE"/>
        </w:rPr>
        <w:t>זִקְנֵי מוֹאָב וְזִקְנֵי מִדְיָן</w:t>
      </w:r>
      <w:r w:rsidRPr="000C3A0E">
        <w:rPr>
          <w:rFonts w:eastAsia="Times New Roman" w:cs="Times New Roman"/>
          <w:rtl/>
          <w:lang w:eastAsia="de-DE"/>
        </w:rPr>
        <w:t xml:space="preserve"> </w:t>
      </w:r>
      <w:r w:rsidRPr="000C3A0E">
        <w:rPr>
          <w:rFonts w:eastAsia="Times New Roman" w:cs="Times New Roman"/>
          <w:lang w:eastAsia="de-DE"/>
        </w:rPr>
        <w:t>(„die Ältesten von Moab und die Ältesten von Midian", beide Constructus-Verbindungen) zeigt die Koalition – hochrangige Delegation.</w:t>
      </w:r>
    </w:p>
    <w:p w14:paraId="3D7AB72B"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entscheidende Phrase </w:t>
      </w:r>
      <w:r w:rsidRPr="000C3A0E">
        <w:rPr>
          <w:rFonts w:eastAsia="Times New Roman" w:cs="Times New Roman"/>
          <w:b/>
          <w:bCs/>
          <w:rtl/>
          <w:lang w:eastAsia="de-DE"/>
        </w:rPr>
        <w:t>וּקְסָמִים בְּיָדָם</w:t>
      </w:r>
      <w:r w:rsidRPr="000C3A0E">
        <w:rPr>
          <w:rFonts w:eastAsia="Times New Roman" w:cs="Times New Roman"/>
          <w:rtl/>
          <w:lang w:eastAsia="de-DE"/>
        </w:rPr>
        <w:t xml:space="preserve"> </w:t>
      </w:r>
      <w:r w:rsidRPr="000C3A0E">
        <w:rPr>
          <w:rFonts w:eastAsia="Times New Roman" w:cs="Times New Roman"/>
          <w:lang w:eastAsia="de-DE"/>
        </w:rPr>
        <w:t xml:space="preserve">(„und Wahrsagerlohn in ihren Händen") – </w:t>
      </w:r>
      <w:r w:rsidRPr="000C3A0E">
        <w:rPr>
          <w:rFonts w:eastAsia="Times New Roman" w:cs="Times New Roman"/>
          <w:b/>
          <w:bCs/>
          <w:rtl/>
          <w:lang w:eastAsia="de-DE"/>
        </w:rPr>
        <w:t>קְסָמִים</w:t>
      </w:r>
      <w:r w:rsidRPr="000C3A0E">
        <w:rPr>
          <w:rFonts w:eastAsia="Times New Roman" w:cs="Times New Roman"/>
          <w:rtl/>
          <w:lang w:eastAsia="de-DE"/>
        </w:rPr>
        <w:t xml:space="preserve"> </w:t>
      </w:r>
      <w:r w:rsidRPr="000C3A0E">
        <w:rPr>
          <w:rFonts w:eastAsia="Times New Roman" w:cs="Times New Roman"/>
          <w:lang w:eastAsia="de-DE"/>
        </w:rPr>
        <w:t xml:space="preserve">ist der Plural von </w:t>
      </w:r>
      <w:r w:rsidRPr="000C3A0E">
        <w:rPr>
          <w:rFonts w:eastAsia="Times New Roman" w:cs="Times New Roman"/>
          <w:b/>
          <w:bCs/>
          <w:rtl/>
          <w:lang w:eastAsia="de-DE"/>
        </w:rPr>
        <w:t>קֶסֶם</w:t>
      </w:r>
      <w:r w:rsidRPr="000C3A0E">
        <w:rPr>
          <w:rFonts w:eastAsia="Times New Roman" w:cs="Times New Roman"/>
          <w:rtl/>
          <w:lang w:eastAsia="de-DE"/>
        </w:rPr>
        <w:t xml:space="preserve"> </w:t>
      </w:r>
      <w:r w:rsidRPr="000C3A0E">
        <w:rPr>
          <w:rFonts w:eastAsia="Times New Roman" w:cs="Times New Roman"/>
          <w:lang w:eastAsia="de-DE"/>
        </w:rPr>
        <w:t xml:space="preserve">„Wahrsagung, Divination, Zauberei" (vgl. Dtn 18,10; 1 Sam 15,23). Hier bedeutet es „Wahrsagerlohn, Bezahlung für magische Dienste" – </w:t>
      </w:r>
      <w:r w:rsidRPr="000C3A0E">
        <w:rPr>
          <w:rFonts w:eastAsia="Times New Roman" w:cs="Times New Roman"/>
          <w:b/>
          <w:bCs/>
          <w:rtl/>
          <w:lang w:eastAsia="de-DE"/>
        </w:rPr>
        <w:t>קְסָמִים</w:t>
      </w:r>
      <w:r w:rsidRPr="000C3A0E">
        <w:rPr>
          <w:rFonts w:eastAsia="Times New Roman" w:cs="Times New Roman"/>
          <w:rtl/>
          <w:lang w:eastAsia="de-DE"/>
        </w:rPr>
        <w:t xml:space="preserve"> </w:t>
      </w:r>
      <w:r w:rsidRPr="000C3A0E">
        <w:rPr>
          <w:rFonts w:eastAsia="Times New Roman" w:cs="Times New Roman"/>
          <w:lang w:eastAsia="de-DE"/>
        </w:rPr>
        <w:t xml:space="preserve">kann sowohl die Praxis als auch die Bezahlung dafür bezeichnen. </w:t>
      </w:r>
      <w:r w:rsidRPr="000C3A0E">
        <w:rPr>
          <w:rFonts w:eastAsia="Times New Roman" w:cs="Times New Roman"/>
          <w:b/>
          <w:bCs/>
          <w:rtl/>
          <w:lang w:eastAsia="de-DE"/>
        </w:rPr>
        <w:t>בְּיָדָם</w:t>
      </w:r>
      <w:r w:rsidRPr="000C3A0E">
        <w:rPr>
          <w:rFonts w:eastAsia="Times New Roman" w:cs="Times New Roman"/>
          <w:rtl/>
          <w:lang w:eastAsia="de-DE"/>
        </w:rPr>
        <w:t xml:space="preserve"> </w:t>
      </w:r>
      <w:r w:rsidRPr="000C3A0E">
        <w:rPr>
          <w:rFonts w:eastAsia="Times New Roman" w:cs="Times New Roman"/>
          <w:lang w:eastAsia="de-DE"/>
        </w:rPr>
        <w:t>(„in ihren Händen") mit Possessivsuffix 3. m. pl. Sie kommen vorbereitet, Bileam sofort zu bezahlen – die Dringlichkeit ist offensichtlich.</w:t>
      </w:r>
    </w:p>
    <w:p w14:paraId="27D1BB5F"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beiden koordinierten Verben </w:t>
      </w:r>
      <w:r w:rsidRPr="000C3A0E">
        <w:rPr>
          <w:rFonts w:eastAsia="Times New Roman" w:cs="Times New Roman"/>
          <w:b/>
          <w:bCs/>
          <w:rtl/>
          <w:lang w:eastAsia="de-DE"/>
        </w:rPr>
        <w:t>וַיָּבֹאוּ אֶל־בִּלְעָם וַיְדַבְּרוּ אֵלָיו דִּבְרֵי בָלָק</w:t>
      </w:r>
      <w:r w:rsidRPr="000C3A0E">
        <w:rPr>
          <w:rFonts w:eastAsia="Times New Roman" w:cs="Times New Roman"/>
          <w:rtl/>
          <w:lang w:eastAsia="de-DE"/>
        </w:rPr>
        <w:t xml:space="preserve"> </w:t>
      </w:r>
      <w:r w:rsidRPr="000C3A0E">
        <w:rPr>
          <w:rFonts w:eastAsia="Times New Roman" w:cs="Times New Roman"/>
          <w:lang w:eastAsia="de-DE"/>
        </w:rPr>
        <w:t xml:space="preserve">(„und sie kamen zu Bileam und sagten ihm die Worte Balaks") – </w:t>
      </w:r>
      <w:r w:rsidRPr="000C3A0E">
        <w:rPr>
          <w:rFonts w:eastAsia="Times New Roman" w:cs="Times New Roman"/>
          <w:b/>
          <w:bCs/>
          <w:rtl/>
          <w:lang w:eastAsia="de-DE"/>
        </w:rPr>
        <w:t>דִּבְרֵי בָלָק</w:t>
      </w:r>
      <w:r w:rsidRPr="000C3A0E">
        <w:rPr>
          <w:rFonts w:eastAsia="Times New Roman" w:cs="Times New Roman"/>
          <w:rtl/>
          <w:lang w:eastAsia="de-DE"/>
        </w:rPr>
        <w:t xml:space="preserve"> </w:t>
      </w:r>
      <w:r w:rsidRPr="000C3A0E">
        <w:rPr>
          <w:rFonts w:eastAsia="Times New Roman" w:cs="Times New Roman"/>
          <w:lang w:eastAsia="de-DE"/>
        </w:rPr>
        <w:t>(„die Worte Balaks", Constructus-Verbindung) bezieht sich auf die Botschaft aus Vers 5-6.</w:t>
      </w:r>
    </w:p>
    <w:p w14:paraId="340E01AE" w14:textId="2D633319"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w:t>
      </w:r>
      <w:r w:rsidR="00C73FA4">
        <w:t>übersetzt „</w:t>
      </w:r>
      <w:r w:rsidR="00C73FA4" w:rsidRPr="00C73FA4">
        <w:rPr>
          <w:b/>
          <w:bCs/>
          <w:rtl/>
        </w:rPr>
        <w:t>קְסָמִים</w:t>
      </w:r>
      <w:r w:rsidR="00C73FA4">
        <w:t>" (Wahrsagergebühren/Zauberlohn) mit „τὰ μαντεῖα" (die Orakel/Wahrsagungen), was eher auf die Praxis als auf die Bezahlung hinweist.</w:t>
      </w:r>
    </w:p>
    <w:p w14:paraId="186345B5"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zeigt drei koordinierte Hauptsätze: Der erste mit Verb, doppeltem Subjekt (beide Constructus-Verbindungen) und Phrase mit Nomen und Präpositionalphrase; die beiden folgenden mit Verb, Präpositionalphrase bzw. Verb, indirektem Objekt und Objekt (Constructus-Verbindung). Es gibt keine Nebensätze.</w:t>
      </w:r>
    </w:p>
    <w:p w14:paraId="3375EDE6" w14:textId="13F56879" w:rsid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zeigt die Ernsthaftigkeit: Eine hochrangige binationale Delegation trägt Bezahlung bei sich. Wahrsagerei ist normalerweise in Israel verboten (Dtn 18,10-14), aber hier wird sie als reale Macht anerkannt – Balak glaubt an magische Wirksamkeit.</w:t>
      </w:r>
      <w:r w:rsidR="00A833DE">
        <w:rPr>
          <w:rFonts w:eastAsia="Times New Roman" w:cs="Times New Roman"/>
          <w:lang w:eastAsia="de-DE"/>
        </w:rPr>
        <w:t xml:space="preserve"> </w:t>
      </w:r>
    </w:p>
    <w:p w14:paraId="683F9362" w14:textId="77777777" w:rsidR="00A833DE" w:rsidRDefault="00A833DE" w:rsidP="00A833DE">
      <w:pPr>
        <w:pStyle w:val="KeinLeerraum"/>
      </w:pPr>
      <w:r>
        <w:rPr>
          <w:rStyle w:val="Fett"/>
        </w:rPr>
        <w:t>NT-Perspektive auf Bileams Habgier:</w:t>
      </w:r>
    </w:p>
    <w:p w14:paraId="62A5E1A0" w14:textId="77777777" w:rsidR="00A833DE" w:rsidRDefault="00A833DE" w:rsidP="00A833DE">
      <w:pPr>
        <w:pStyle w:val="KeinLeerraum"/>
        <w:rPr>
          <w:rStyle w:val="Fett"/>
        </w:rPr>
      </w:pPr>
    </w:p>
    <w:p w14:paraId="653A9559" w14:textId="615C244D" w:rsidR="00A833DE" w:rsidRDefault="00A833DE" w:rsidP="00F329DD">
      <w:pPr>
        <w:pStyle w:val="KeinLeerraum"/>
        <w:numPr>
          <w:ilvl w:val="0"/>
          <w:numId w:val="257"/>
        </w:numPr>
      </w:pPr>
      <w:r>
        <w:rPr>
          <w:rStyle w:val="Fett"/>
        </w:rPr>
        <w:t>Petrus 2,15-16:</w:t>
      </w:r>
      <w:r>
        <w:t xml:space="preserve"> "Sie haben den geraden Weg verlassen und sind in die Irre gegangen, indem sie dem Weg Bileams, des Sohnes Beors, nachgefolgt sind, der den Lohn der Ungerechtigkeit liebte, aber eine Zurechtweisung für seine Übertretung empfing: Ein sprachloses Lasttier redete mit Menschenstimme und wehrte der Torheit des Propheten."</w:t>
      </w:r>
    </w:p>
    <w:p w14:paraId="3C895F83" w14:textId="77777777" w:rsidR="00A833DE" w:rsidRDefault="00A833DE" w:rsidP="00A833DE">
      <w:pPr>
        <w:pStyle w:val="KeinLeerraum"/>
        <w:rPr>
          <w:rStyle w:val="Fett"/>
        </w:rPr>
      </w:pPr>
    </w:p>
    <w:p w14:paraId="393A60CB" w14:textId="10CDA6EC" w:rsidR="00A833DE" w:rsidRDefault="00A833DE" w:rsidP="00F329DD">
      <w:pPr>
        <w:pStyle w:val="KeinLeerraum"/>
        <w:numPr>
          <w:ilvl w:val="0"/>
          <w:numId w:val="257"/>
        </w:numPr>
      </w:pPr>
      <w:r>
        <w:rPr>
          <w:rStyle w:val="Fett"/>
        </w:rPr>
        <w:t>Judas 11:</w:t>
      </w:r>
      <w:r>
        <w:t xml:space="preserve"> "Wehe ihnen! Denn sie sind den Weg Kains gegangen und haben sich für Lohn dem Irrtum Bileams überlassen..."</w:t>
      </w:r>
    </w:p>
    <w:p w14:paraId="195ED3D6" w14:textId="77777777" w:rsidR="00A833DE" w:rsidRDefault="00A833DE" w:rsidP="00A833DE">
      <w:pPr>
        <w:pStyle w:val="KeinLeerraum"/>
        <w:rPr>
          <w:rStyle w:val="Fett"/>
        </w:rPr>
      </w:pPr>
    </w:p>
    <w:p w14:paraId="0FA025AA" w14:textId="65F1888A" w:rsidR="00A833DE" w:rsidRDefault="00A833DE" w:rsidP="00F329DD">
      <w:pPr>
        <w:pStyle w:val="KeinLeerraum"/>
        <w:numPr>
          <w:ilvl w:val="0"/>
          <w:numId w:val="257"/>
        </w:numPr>
      </w:pPr>
      <w:r>
        <w:rPr>
          <w:rStyle w:val="Fett"/>
        </w:rPr>
        <w:t>Offenbarung 2,14:</w:t>
      </w:r>
      <w:r>
        <w:t xml:space="preserve"> "Aber ich habe ein weniges gegen dich, dass du dort solche hast, die an der Lehre Bileams festhalten, der den Balak lehrte, eine Falle vor die Söhne Israels zu stellen..."</w:t>
      </w:r>
    </w:p>
    <w:p w14:paraId="7E100120" w14:textId="77777777" w:rsidR="00A833DE" w:rsidRDefault="00A833DE" w:rsidP="00A833DE">
      <w:pPr>
        <w:pStyle w:val="KeinLeerraum"/>
      </w:pPr>
    </w:p>
    <w:p w14:paraId="48B59E1B" w14:textId="02987843" w:rsidR="00A833DE" w:rsidRPr="00A833DE" w:rsidRDefault="00A833DE" w:rsidP="00A833DE">
      <w:pPr>
        <w:pStyle w:val="KeinLeerraum"/>
      </w:pPr>
      <w:r>
        <w:t xml:space="preserve">→ Das NT sieht Bileam als </w:t>
      </w:r>
      <w:r>
        <w:rPr>
          <w:rStyle w:val="Fett"/>
        </w:rPr>
        <w:t>Typos des habgierigen falschen Propheten</w:t>
      </w:r>
    </w:p>
    <w:p w14:paraId="4E344C6C"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22,8</w:t>
      </w:r>
    </w:p>
    <w:p w14:paraId="4764AA18"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וַיֹּ֣אמֶר אֲלֵיהֶ֗ם לִ֤ינוּ פֹה֙ הַלַּ֔יְלָה וַהֲשִׁבֹתִ֤י אֶתְכֶם֙ דָּבָ֔ר כַּאֲשֶׁ֛ר יְדַבֵּ֥ר יְהוָ֖ה אֵלָ֑י וַיֵּשְׁב֥וּ שָׂרֵֽי־מוֹאָ֖ב עִם־בִּלְעָֽם׃</w:t>
      </w:r>
    </w:p>
    <w:p w14:paraId="7BDE32E8"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er sagte zu ihnen: Übernachtet hier diese Nacht, und ich werde euch Antwort geben, wie der Ewige zu mir reden wird. Und die Fürsten von Moab blieben bei Bileam.</w:t>
      </w:r>
    </w:p>
    <w:p w14:paraId="1653E678"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15A17748">
          <v:rect id="_x0000_i1767" style="width:0;height:1.5pt" o:hralign="center" o:hrstd="t" o:hr="t" fillcolor="#a0a0a0" stroked="f"/>
        </w:pict>
      </w:r>
    </w:p>
    <w:p w14:paraId="2BBD4A8F"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Die Antwort </w:t>
      </w:r>
      <w:r w:rsidRPr="000C3A0E">
        <w:rPr>
          <w:rFonts w:eastAsia="Times New Roman" w:cs="Times New Roman"/>
          <w:b/>
          <w:bCs/>
          <w:rtl/>
          <w:lang w:eastAsia="de-DE"/>
        </w:rPr>
        <w:t>וַיֹּאמֶר אֲלֵיהֶם לִינוּ פֹה הַלַּיְלָה</w:t>
      </w:r>
      <w:r w:rsidRPr="000C3A0E">
        <w:rPr>
          <w:rFonts w:eastAsia="Times New Roman" w:cs="Times New Roman"/>
          <w:rtl/>
          <w:lang w:eastAsia="de-DE"/>
        </w:rPr>
        <w:t xml:space="preserve"> </w:t>
      </w:r>
      <w:r w:rsidRPr="000C3A0E">
        <w:rPr>
          <w:rFonts w:eastAsia="Times New Roman" w:cs="Times New Roman"/>
          <w:lang w:eastAsia="de-DE"/>
        </w:rPr>
        <w:t xml:space="preserve">(„und er sagte zu ihnen: Übernachtet hier diese Nacht") – </w:t>
      </w:r>
      <w:r w:rsidRPr="000C3A0E">
        <w:rPr>
          <w:rFonts w:eastAsia="Times New Roman" w:cs="Times New Roman"/>
          <w:b/>
          <w:bCs/>
          <w:rtl/>
          <w:lang w:eastAsia="de-DE"/>
        </w:rPr>
        <w:t>לִינוּ</w:t>
      </w:r>
      <w:r w:rsidRPr="000C3A0E">
        <w:rPr>
          <w:rFonts w:eastAsia="Times New Roman" w:cs="Times New Roman"/>
          <w:rtl/>
          <w:lang w:eastAsia="de-DE"/>
        </w:rPr>
        <w:t xml:space="preserve"> </w:t>
      </w:r>
      <w:r w:rsidRPr="000C3A0E">
        <w:rPr>
          <w:rFonts w:eastAsia="Times New Roman" w:cs="Times New Roman"/>
          <w:lang w:eastAsia="de-DE"/>
        </w:rPr>
        <w:t xml:space="preserve">(Qal Imperativ Plural von </w:t>
      </w:r>
      <w:r w:rsidRPr="000C3A0E">
        <w:rPr>
          <w:rFonts w:eastAsia="Times New Roman" w:cs="Times New Roman"/>
          <w:b/>
          <w:bCs/>
          <w:rtl/>
          <w:lang w:eastAsia="de-DE"/>
        </w:rPr>
        <w:t>לין</w:t>
      </w:r>
      <w:r w:rsidRPr="000C3A0E">
        <w:rPr>
          <w:rFonts w:eastAsia="Times New Roman" w:cs="Times New Roman"/>
          <w:lang w:eastAsia="de-DE"/>
        </w:rPr>
        <w:t xml:space="preserve">, „übernachtet"), </w:t>
      </w:r>
      <w:r w:rsidRPr="000C3A0E">
        <w:rPr>
          <w:rFonts w:eastAsia="Times New Roman" w:cs="Times New Roman"/>
          <w:b/>
          <w:bCs/>
          <w:rtl/>
          <w:lang w:eastAsia="de-DE"/>
        </w:rPr>
        <w:t>פֹה</w:t>
      </w:r>
      <w:r w:rsidRPr="000C3A0E">
        <w:rPr>
          <w:rFonts w:eastAsia="Times New Roman" w:cs="Times New Roman"/>
          <w:rtl/>
          <w:lang w:eastAsia="de-DE"/>
        </w:rPr>
        <w:t xml:space="preserve"> </w:t>
      </w:r>
      <w:r w:rsidRPr="000C3A0E">
        <w:rPr>
          <w:rFonts w:eastAsia="Times New Roman" w:cs="Times New Roman"/>
          <w:lang w:eastAsia="de-DE"/>
        </w:rPr>
        <w:t xml:space="preserve">„hier", </w:t>
      </w:r>
      <w:r w:rsidRPr="000C3A0E">
        <w:rPr>
          <w:rFonts w:eastAsia="Times New Roman" w:cs="Times New Roman"/>
          <w:b/>
          <w:bCs/>
          <w:rtl/>
          <w:lang w:eastAsia="de-DE"/>
        </w:rPr>
        <w:t>הַלַּיְלָה</w:t>
      </w:r>
      <w:r w:rsidRPr="000C3A0E">
        <w:rPr>
          <w:rFonts w:eastAsia="Times New Roman" w:cs="Times New Roman"/>
          <w:rtl/>
          <w:lang w:eastAsia="de-DE"/>
        </w:rPr>
        <w:t xml:space="preserve"> </w:t>
      </w:r>
      <w:r w:rsidRPr="000C3A0E">
        <w:rPr>
          <w:rFonts w:eastAsia="Times New Roman" w:cs="Times New Roman"/>
          <w:lang w:eastAsia="de-DE"/>
        </w:rPr>
        <w:t>„die Nacht" mit Artikel als Zeitangabe. Bileam gibt keine sofortige Antwort.</w:t>
      </w:r>
    </w:p>
    <w:p w14:paraId="17E215EF"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Verheißung </w:t>
      </w:r>
      <w:r w:rsidRPr="000C3A0E">
        <w:rPr>
          <w:rFonts w:eastAsia="Times New Roman" w:cs="Times New Roman"/>
          <w:b/>
          <w:bCs/>
          <w:rtl/>
          <w:lang w:eastAsia="de-DE"/>
        </w:rPr>
        <w:t>וַהֲשִׁבֹתִי אֶתְכֶם דָּבָר כַּאֲשֶׁר יְדַבֵּר יְהוָה אֵלָי</w:t>
      </w:r>
      <w:r w:rsidRPr="000C3A0E">
        <w:rPr>
          <w:rFonts w:eastAsia="Times New Roman" w:cs="Times New Roman"/>
          <w:rtl/>
          <w:lang w:eastAsia="de-DE"/>
        </w:rPr>
        <w:t xml:space="preserve"> </w:t>
      </w:r>
      <w:r w:rsidRPr="000C3A0E">
        <w:rPr>
          <w:rFonts w:eastAsia="Times New Roman" w:cs="Times New Roman"/>
          <w:lang w:eastAsia="de-DE"/>
        </w:rPr>
        <w:t xml:space="preserve">(„und ich werde euch Antwort geben, wie JHWH zu mir reden wird") – </w:t>
      </w:r>
      <w:r w:rsidRPr="000C3A0E">
        <w:rPr>
          <w:rFonts w:eastAsia="Times New Roman" w:cs="Times New Roman"/>
          <w:b/>
          <w:bCs/>
          <w:rtl/>
          <w:lang w:eastAsia="de-DE"/>
        </w:rPr>
        <w:t>וַהֲשִׁבֹתִי</w:t>
      </w:r>
      <w:r w:rsidRPr="000C3A0E">
        <w:rPr>
          <w:rFonts w:eastAsia="Times New Roman" w:cs="Times New Roman"/>
          <w:rtl/>
          <w:lang w:eastAsia="de-DE"/>
        </w:rPr>
        <w:t xml:space="preserve"> </w:t>
      </w:r>
      <w:r w:rsidRPr="000C3A0E">
        <w:rPr>
          <w:rFonts w:eastAsia="Times New Roman" w:cs="Times New Roman"/>
          <w:lang w:eastAsia="de-DE"/>
        </w:rPr>
        <w:t xml:space="preserve">(Waw + Hifil Perfekt, 1. c. sg. von </w:t>
      </w:r>
      <w:r w:rsidRPr="000C3A0E">
        <w:rPr>
          <w:rFonts w:eastAsia="Times New Roman" w:cs="Times New Roman"/>
          <w:b/>
          <w:bCs/>
          <w:rtl/>
          <w:lang w:eastAsia="de-DE"/>
        </w:rPr>
        <w:t>שׁוב</w:t>
      </w:r>
      <w:r w:rsidRPr="000C3A0E">
        <w:rPr>
          <w:rFonts w:eastAsia="Times New Roman" w:cs="Times New Roman"/>
          <w:rtl/>
          <w:lang w:eastAsia="de-DE"/>
        </w:rPr>
        <w:t xml:space="preserve"> </w:t>
      </w:r>
      <w:r w:rsidRPr="000C3A0E">
        <w:rPr>
          <w:rFonts w:eastAsia="Times New Roman" w:cs="Times New Roman"/>
          <w:lang w:eastAsia="de-DE"/>
        </w:rPr>
        <w:t xml:space="preserve">mit Weqatal, „und ich werde zurückbringen/antworten") – </w:t>
      </w:r>
      <w:r w:rsidRPr="000C3A0E">
        <w:rPr>
          <w:rFonts w:eastAsia="Times New Roman" w:cs="Times New Roman"/>
          <w:b/>
          <w:bCs/>
          <w:rtl/>
          <w:lang w:eastAsia="de-DE"/>
        </w:rPr>
        <w:t>השׁיב דבר</w:t>
      </w:r>
      <w:r w:rsidRPr="000C3A0E">
        <w:rPr>
          <w:rFonts w:eastAsia="Times New Roman" w:cs="Times New Roman"/>
          <w:rtl/>
          <w:lang w:eastAsia="de-DE"/>
        </w:rPr>
        <w:t xml:space="preserve"> </w:t>
      </w:r>
      <w:r w:rsidRPr="000C3A0E">
        <w:rPr>
          <w:rFonts w:eastAsia="Times New Roman" w:cs="Times New Roman"/>
          <w:lang w:eastAsia="de-DE"/>
        </w:rPr>
        <w:t xml:space="preserve">idiomatisch „Antwort geben", </w:t>
      </w:r>
      <w:r w:rsidRPr="000C3A0E">
        <w:rPr>
          <w:rFonts w:eastAsia="Times New Roman" w:cs="Times New Roman"/>
          <w:b/>
          <w:bCs/>
          <w:rtl/>
          <w:lang w:eastAsia="de-DE"/>
        </w:rPr>
        <w:t>אֶתְכֶם</w:t>
      </w:r>
      <w:r w:rsidRPr="000C3A0E">
        <w:rPr>
          <w:rFonts w:eastAsia="Times New Roman" w:cs="Times New Roman"/>
          <w:rtl/>
          <w:lang w:eastAsia="de-DE"/>
        </w:rPr>
        <w:t xml:space="preserve"> </w:t>
      </w:r>
      <w:r w:rsidRPr="000C3A0E">
        <w:rPr>
          <w:rFonts w:eastAsia="Times New Roman" w:cs="Times New Roman"/>
          <w:lang w:eastAsia="de-DE"/>
        </w:rPr>
        <w:t xml:space="preserve">Objektsuffix, </w:t>
      </w:r>
      <w:r w:rsidRPr="000C3A0E">
        <w:rPr>
          <w:rFonts w:eastAsia="Times New Roman" w:cs="Times New Roman"/>
          <w:b/>
          <w:bCs/>
          <w:rtl/>
          <w:lang w:eastAsia="de-DE"/>
        </w:rPr>
        <w:t>דָּבָר</w:t>
      </w:r>
      <w:r w:rsidRPr="000C3A0E">
        <w:rPr>
          <w:rFonts w:eastAsia="Times New Roman" w:cs="Times New Roman"/>
          <w:rtl/>
          <w:lang w:eastAsia="de-DE"/>
        </w:rPr>
        <w:t xml:space="preserve"> </w:t>
      </w:r>
      <w:r w:rsidRPr="000C3A0E">
        <w:rPr>
          <w:rFonts w:eastAsia="Times New Roman" w:cs="Times New Roman"/>
          <w:lang w:eastAsia="de-DE"/>
        </w:rPr>
        <w:t xml:space="preserve">„Wort, Antwort". Der entscheidende Vergleichssatz </w:t>
      </w:r>
      <w:r w:rsidRPr="000C3A0E">
        <w:rPr>
          <w:rFonts w:eastAsia="Times New Roman" w:cs="Times New Roman"/>
          <w:b/>
          <w:bCs/>
          <w:rtl/>
          <w:lang w:eastAsia="de-DE"/>
        </w:rPr>
        <w:t>כַּאֲשֶׁר יְדַבֵּר יְהוָה אֵלָי</w:t>
      </w:r>
      <w:r w:rsidRPr="000C3A0E">
        <w:rPr>
          <w:rFonts w:eastAsia="Times New Roman" w:cs="Times New Roman"/>
          <w:rtl/>
          <w:lang w:eastAsia="de-DE"/>
        </w:rPr>
        <w:t xml:space="preserve"> </w:t>
      </w:r>
      <w:r w:rsidRPr="000C3A0E">
        <w:rPr>
          <w:rFonts w:eastAsia="Times New Roman" w:cs="Times New Roman"/>
          <w:lang w:eastAsia="de-DE"/>
        </w:rPr>
        <w:t xml:space="preserve">(„wie JHWH zu mir reden wird") – </w:t>
      </w:r>
      <w:r w:rsidRPr="000C3A0E">
        <w:rPr>
          <w:rFonts w:eastAsia="Times New Roman" w:cs="Times New Roman"/>
          <w:b/>
          <w:bCs/>
          <w:rtl/>
          <w:lang w:eastAsia="de-DE"/>
        </w:rPr>
        <w:t>כַּאֲשֶׁר</w:t>
      </w:r>
      <w:r w:rsidRPr="000C3A0E">
        <w:rPr>
          <w:rFonts w:eastAsia="Times New Roman" w:cs="Times New Roman"/>
          <w:rtl/>
          <w:lang w:eastAsia="de-DE"/>
        </w:rPr>
        <w:t xml:space="preserve"> </w:t>
      </w:r>
      <w:r w:rsidRPr="000C3A0E">
        <w:rPr>
          <w:rFonts w:eastAsia="Times New Roman" w:cs="Times New Roman"/>
          <w:lang w:eastAsia="de-DE"/>
        </w:rPr>
        <w:t xml:space="preserve">„wie, gemäß", </w:t>
      </w:r>
      <w:r w:rsidRPr="000C3A0E">
        <w:rPr>
          <w:rFonts w:eastAsia="Times New Roman" w:cs="Times New Roman"/>
          <w:b/>
          <w:bCs/>
          <w:rtl/>
          <w:lang w:eastAsia="de-DE"/>
        </w:rPr>
        <w:t>יְדַבֵּר</w:t>
      </w:r>
      <w:r w:rsidRPr="000C3A0E">
        <w:rPr>
          <w:rFonts w:eastAsia="Times New Roman" w:cs="Times New Roman"/>
          <w:rtl/>
          <w:lang w:eastAsia="de-DE"/>
        </w:rPr>
        <w:t xml:space="preserve"> </w:t>
      </w:r>
      <w:r w:rsidRPr="000C3A0E">
        <w:rPr>
          <w:rFonts w:eastAsia="Times New Roman" w:cs="Times New Roman"/>
          <w:lang w:eastAsia="de-DE"/>
        </w:rPr>
        <w:t xml:space="preserve">(Piel Imperfekt, 3. m. sg. von </w:t>
      </w:r>
      <w:r w:rsidRPr="000C3A0E">
        <w:rPr>
          <w:rFonts w:eastAsia="Times New Roman" w:cs="Times New Roman"/>
          <w:b/>
          <w:bCs/>
          <w:rtl/>
          <w:lang w:eastAsia="de-DE"/>
        </w:rPr>
        <w:t>דבר</w:t>
      </w:r>
      <w:r w:rsidRPr="000C3A0E">
        <w:rPr>
          <w:rFonts w:eastAsia="Times New Roman" w:cs="Times New Roman"/>
          <w:lang w:eastAsia="de-DE"/>
        </w:rPr>
        <w:t xml:space="preserve">), </w:t>
      </w:r>
      <w:r w:rsidRPr="000C3A0E">
        <w:rPr>
          <w:rFonts w:eastAsia="Times New Roman" w:cs="Times New Roman"/>
          <w:b/>
          <w:bCs/>
          <w:rtl/>
          <w:lang w:eastAsia="de-DE"/>
        </w:rPr>
        <w:t>יְהוָה</w:t>
      </w:r>
      <w:r w:rsidRPr="000C3A0E">
        <w:rPr>
          <w:rFonts w:eastAsia="Times New Roman" w:cs="Times New Roman"/>
          <w:rtl/>
          <w:lang w:eastAsia="de-DE"/>
        </w:rPr>
        <w:t xml:space="preserve"> </w:t>
      </w:r>
      <w:r w:rsidRPr="000C3A0E">
        <w:rPr>
          <w:rFonts w:eastAsia="Times New Roman" w:cs="Times New Roman"/>
          <w:lang w:eastAsia="de-DE"/>
        </w:rPr>
        <w:t xml:space="preserve">explizites Subjekt, </w:t>
      </w:r>
      <w:r w:rsidRPr="000C3A0E">
        <w:rPr>
          <w:rFonts w:eastAsia="Times New Roman" w:cs="Times New Roman"/>
          <w:b/>
          <w:bCs/>
          <w:rtl/>
          <w:lang w:eastAsia="de-DE"/>
        </w:rPr>
        <w:t>אֵלָי</w:t>
      </w:r>
      <w:r w:rsidRPr="000C3A0E">
        <w:rPr>
          <w:rFonts w:eastAsia="Times New Roman" w:cs="Times New Roman"/>
          <w:rtl/>
          <w:lang w:eastAsia="de-DE"/>
        </w:rPr>
        <w:t xml:space="preserve"> </w:t>
      </w:r>
      <w:r w:rsidRPr="000C3A0E">
        <w:rPr>
          <w:rFonts w:eastAsia="Times New Roman" w:cs="Times New Roman"/>
          <w:lang w:eastAsia="de-DE"/>
        </w:rPr>
        <w:t>„zu mir".</w:t>
      </w:r>
    </w:p>
    <w:p w14:paraId="57703E53"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Dies ist bemerkenswert: Bileam, der heidnische Wahrsager, konsultiert </w:t>
      </w:r>
      <w:r w:rsidRPr="000C3A0E">
        <w:rPr>
          <w:rFonts w:eastAsia="Times New Roman" w:cs="Times New Roman"/>
          <w:b/>
          <w:bCs/>
          <w:lang w:eastAsia="de-DE"/>
        </w:rPr>
        <w:t>JHWH</w:t>
      </w:r>
      <w:r w:rsidRPr="000C3A0E">
        <w:rPr>
          <w:rFonts w:eastAsia="Times New Roman" w:cs="Times New Roman"/>
          <w:lang w:eastAsia="de-DE"/>
        </w:rPr>
        <w:t xml:space="preserve"> (den Gott Israels!), nicht Kemosch (Moabs Gott) oder andere Götter. Dies zeigt: (1) Bileam erkennt JHWHs Autorität über Israel, (2) er ist kein gewöhnlicher Zauberer, sondern ein Prophet, der göttliche Offenbarung empfängt, (3) die Erzählung anerkennt, dass Gott auch zu Nicht-Israeliten sprechen kann.</w:t>
      </w:r>
    </w:p>
    <w:p w14:paraId="0813E174"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Notiz </w:t>
      </w:r>
      <w:r w:rsidRPr="000C3A0E">
        <w:rPr>
          <w:rFonts w:eastAsia="Times New Roman" w:cs="Times New Roman"/>
          <w:b/>
          <w:bCs/>
          <w:rtl/>
          <w:lang w:eastAsia="de-DE"/>
        </w:rPr>
        <w:t>וַיֵּשְׁבוּ שָׂרֵי־מוֹאָב עִם־בִּלְעָם</w:t>
      </w:r>
      <w:r w:rsidRPr="000C3A0E">
        <w:rPr>
          <w:rFonts w:eastAsia="Times New Roman" w:cs="Times New Roman"/>
          <w:rtl/>
          <w:lang w:eastAsia="de-DE"/>
        </w:rPr>
        <w:t xml:space="preserve"> </w:t>
      </w:r>
      <w:r w:rsidRPr="000C3A0E">
        <w:rPr>
          <w:rFonts w:eastAsia="Times New Roman" w:cs="Times New Roman"/>
          <w:lang w:eastAsia="de-DE"/>
        </w:rPr>
        <w:t xml:space="preserve">(„und die Fürsten von Moab blieben bei Bileam") – </w:t>
      </w:r>
      <w:r w:rsidRPr="000C3A0E">
        <w:rPr>
          <w:rFonts w:eastAsia="Times New Roman" w:cs="Times New Roman"/>
          <w:b/>
          <w:bCs/>
          <w:rtl/>
          <w:lang w:eastAsia="de-DE"/>
        </w:rPr>
        <w:t>שָׂרִים</w:t>
      </w:r>
      <w:r w:rsidRPr="000C3A0E">
        <w:rPr>
          <w:rFonts w:eastAsia="Times New Roman" w:cs="Times New Roman"/>
          <w:rtl/>
          <w:lang w:eastAsia="de-DE"/>
        </w:rPr>
        <w:t xml:space="preserve"> </w:t>
      </w:r>
      <w:r w:rsidRPr="000C3A0E">
        <w:rPr>
          <w:rFonts w:eastAsia="Times New Roman" w:cs="Times New Roman"/>
          <w:lang w:eastAsia="de-DE"/>
        </w:rPr>
        <w:t xml:space="preserve">„Fürsten, Anführer" (hier statt </w:t>
      </w:r>
      <w:r w:rsidRPr="000C3A0E">
        <w:rPr>
          <w:rFonts w:eastAsia="Times New Roman" w:cs="Times New Roman"/>
          <w:b/>
          <w:bCs/>
          <w:rtl/>
          <w:lang w:eastAsia="de-DE"/>
        </w:rPr>
        <w:t>זְקֵנִים</w:t>
      </w:r>
      <w:r w:rsidRPr="000C3A0E">
        <w:rPr>
          <w:rFonts w:eastAsia="Times New Roman" w:cs="Times New Roman"/>
          <w:rtl/>
          <w:lang w:eastAsia="de-DE"/>
        </w:rPr>
        <w:t xml:space="preserve"> </w:t>
      </w:r>
      <w:r w:rsidRPr="000C3A0E">
        <w:rPr>
          <w:rFonts w:eastAsia="Times New Roman" w:cs="Times New Roman"/>
          <w:lang w:eastAsia="de-DE"/>
        </w:rPr>
        <w:t xml:space="preserve">„Älteste"), </w:t>
      </w:r>
      <w:r w:rsidRPr="000C3A0E">
        <w:rPr>
          <w:rFonts w:eastAsia="Times New Roman" w:cs="Times New Roman"/>
          <w:b/>
          <w:bCs/>
          <w:rtl/>
          <w:lang w:eastAsia="de-DE"/>
        </w:rPr>
        <w:t>עִם־בִּלְעָם</w:t>
      </w:r>
      <w:r w:rsidRPr="000C3A0E">
        <w:rPr>
          <w:rFonts w:eastAsia="Times New Roman" w:cs="Times New Roman"/>
          <w:rtl/>
          <w:lang w:eastAsia="de-DE"/>
        </w:rPr>
        <w:t xml:space="preserve"> </w:t>
      </w:r>
      <w:r w:rsidRPr="000C3A0E">
        <w:rPr>
          <w:rFonts w:eastAsia="Times New Roman" w:cs="Times New Roman"/>
          <w:lang w:eastAsia="de-DE"/>
        </w:rPr>
        <w:t>„bei Bileam". Sie warten auf die göttliche Antwort.</w:t>
      </w:r>
    </w:p>
    <w:p w14:paraId="7DBCD6CF"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 verwendet κύριος (kyrios, „Herr") für JHWH.</w:t>
      </w:r>
    </w:p>
    <w:p w14:paraId="5089C1D4"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lastRenderedPageBreak/>
        <w:t>Die Satzstruktur zeigt drei koordinierte Hauptsätze in direkter Rede und Rahmenerzählung: Verb mit indirektem Objekt; Imperativ mit Adverb und Zeitangabe; Verb (Weqatal) mit Objektsuffix, Objekt und Vergleichssatz (Nebensatz mit Verb, Subjekt und Präpositionalphrase); abschließender Hauptsatz mit Verb, Subjekt (Constructus-Verbindung) und Präpositionalphrase. Insgesamt gibt es einen Nebensatz (Vergleichssatz).</w:t>
      </w:r>
    </w:p>
    <w:p w14:paraId="4FDDBAF4"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zeigt Bileams Integrität: Trotz des Wahrsagerlohns (V. 7) will er JHWH konsultieren. Er ist kein käuflicher Zauberer, sondern ein Prophet, der auf göttliche Weisung wartet.</w:t>
      </w:r>
    </w:p>
    <w:p w14:paraId="085A13C9"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22,9</w:t>
      </w:r>
    </w:p>
    <w:p w14:paraId="02B5C424"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וַיָּבֹ֥א אֱלֹהִ֖ים אֶל־בִּלְעָ֑ם וַיֹּ֕אמֶר מִ֛י הָאֲנָשִׁ֥ים הָאֵ֖לֶּה עִמָּֽךְ׃</w:t>
      </w:r>
    </w:p>
    <w:p w14:paraId="12323C73"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Gott kam zu Bileam und sprach: Wer sind diese Männer bei dir?</w:t>
      </w:r>
    </w:p>
    <w:p w14:paraId="2C45B111"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6E69D2B4">
          <v:rect id="_x0000_i1768" style="width:0;height:1.5pt" o:hralign="center" o:hrstd="t" o:hr="t" fillcolor="#a0a0a0" stroked="f"/>
        </w:pict>
      </w:r>
    </w:p>
    <w:p w14:paraId="08A6A6E1"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Das Verb </w:t>
      </w:r>
      <w:r w:rsidRPr="000C3A0E">
        <w:rPr>
          <w:rFonts w:eastAsia="Times New Roman" w:cs="Times New Roman"/>
          <w:b/>
          <w:bCs/>
          <w:rtl/>
          <w:lang w:eastAsia="de-DE"/>
        </w:rPr>
        <w:t>וַיָּבֹא אֱלֹהִים אֶל־בִּלְעָם</w:t>
      </w:r>
      <w:r w:rsidRPr="000C3A0E">
        <w:rPr>
          <w:rFonts w:eastAsia="Times New Roman" w:cs="Times New Roman"/>
          <w:rtl/>
          <w:lang w:eastAsia="de-DE"/>
        </w:rPr>
        <w:t xml:space="preserve"> </w:t>
      </w:r>
      <w:r w:rsidRPr="000C3A0E">
        <w:rPr>
          <w:rFonts w:eastAsia="Times New Roman" w:cs="Times New Roman"/>
          <w:lang w:eastAsia="de-DE"/>
        </w:rPr>
        <w:t xml:space="preserve">(„und Gott kam zu Bileam") – </w:t>
      </w:r>
      <w:r w:rsidRPr="000C3A0E">
        <w:rPr>
          <w:rFonts w:eastAsia="Times New Roman" w:cs="Times New Roman"/>
          <w:b/>
          <w:bCs/>
          <w:rtl/>
          <w:lang w:eastAsia="de-DE"/>
        </w:rPr>
        <w:t>אֱלֹהִים</w:t>
      </w:r>
      <w:r w:rsidRPr="000C3A0E">
        <w:rPr>
          <w:rFonts w:eastAsia="Times New Roman" w:cs="Times New Roman"/>
          <w:rtl/>
          <w:lang w:eastAsia="de-DE"/>
        </w:rPr>
        <w:t xml:space="preserve"> </w:t>
      </w:r>
      <w:r w:rsidRPr="000C3A0E">
        <w:rPr>
          <w:rFonts w:eastAsia="Times New Roman" w:cs="Times New Roman"/>
          <w:lang w:eastAsia="de-DE"/>
        </w:rPr>
        <w:t xml:space="preserve">(nicht </w:t>
      </w:r>
      <w:r w:rsidRPr="000C3A0E">
        <w:rPr>
          <w:rFonts w:eastAsia="Times New Roman" w:cs="Times New Roman"/>
          <w:b/>
          <w:bCs/>
          <w:rtl/>
          <w:lang w:eastAsia="de-DE"/>
        </w:rPr>
        <w:t>יְהוָה</w:t>
      </w:r>
      <w:r w:rsidRPr="000C3A0E">
        <w:rPr>
          <w:rFonts w:eastAsia="Times New Roman" w:cs="Times New Roman"/>
          <w:lang w:eastAsia="de-DE"/>
        </w:rPr>
        <w:t xml:space="preserve">!) ist das Subjekt. In der Bileam-Erzählung wechselt der Text zwischen </w:t>
      </w:r>
      <w:r w:rsidRPr="000C3A0E">
        <w:rPr>
          <w:rFonts w:eastAsia="Times New Roman" w:cs="Times New Roman"/>
          <w:b/>
          <w:bCs/>
          <w:rtl/>
          <w:lang w:eastAsia="de-DE"/>
        </w:rPr>
        <w:t>יְהוָה</w:t>
      </w:r>
      <w:r w:rsidRPr="000C3A0E">
        <w:rPr>
          <w:rFonts w:eastAsia="Times New Roman" w:cs="Times New Roman"/>
          <w:rtl/>
          <w:lang w:eastAsia="de-DE"/>
        </w:rPr>
        <w:t xml:space="preserve"> </w:t>
      </w:r>
      <w:r w:rsidRPr="000C3A0E">
        <w:rPr>
          <w:rFonts w:eastAsia="Times New Roman" w:cs="Times New Roman"/>
          <w:lang w:eastAsia="de-DE"/>
        </w:rPr>
        <w:t xml:space="preserve">(V. 8, 13) und </w:t>
      </w:r>
      <w:r w:rsidRPr="000C3A0E">
        <w:rPr>
          <w:rFonts w:eastAsia="Times New Roman" w:cs="Times New Roman"/>
          <w:b/>
          <w:bCs/>
          <w:rtl/>
          <w:lang w:eastAsia="de-DE"/>
        </w:rPr>
        <w:t>אֱלֹהִים</w:t>
      </w:r>
      <w:r w:rsidRPr="000C3A0E">
        <w:rPr>
          <w:rFonts w:eastAsia="Times New Roman" w:cs="Times New Roman"/>
          <w:rtl/>
          <w:lang w:eastAsia="de-DE"/>
        </w:rPr>
        <w:t xml:space="preserve"> </w:t>
      </w:r>
      <w:r w:rsidRPr="000C3A0E">
        <w:rPr>
          <w:rFonts w:eastAsia="Times New Roman" w:cs="Times New Roman"/>
          <w:lang w:eastAsia="de-DE"/>
        </w:rPr>
        <w:t xml:space="preserve">(V. 9, 10, 12, 20, 22). </w:t>
      </w:r>
      <w:r w:rsidRPr="000C3A0E">
        <w:rPr>
          <w:rFonts w:eastAsia="Times New Roman" w:cs="Times New Roman"/>
          <w:b/>
          <w:bCs/>
          <w:rtl/>
          <w:lang w:eastAsia="de-DE"/>
        </w:rPr>
        <w:t>אֱלֹהִים</w:t>
      </w:r>
      <w:r w:rsidRPr="000C3A0E">
        <w:rPr>
          <w:rFonts w:eastAsia="Times New Roman" w:cs="Times New Roman"/>
          <w:rtl/>
          <w:lang w:eastAsia="de-DE"/>
        </w:rPr>
        <w:t xml:space="preserve"> </w:t>
      </w:r>
      <w:r w:rsidRPr="000C3A0E">
        <w:rPr>
          <w:rFonts w:eastAsia="Times New Roman" w:cs="Times New Roman"/>
          <w:lang w:eastAsia="de-DE"/>
        </w:rPr>
        <w:t xml:space="preserve">wird oft verwendet, wenn Gott mit Nicht-Israeliten interagiert (vgl. Gen 20,3 mit Abimelech). Das Verb </w:t>
      </w:r>
      <w:r w:rsidRPr="000C3A0E">
        <w:rPr>
          <w:rFonts w:eastAsia="Times New Roman" w:cs="Times New Roman"/>
          <w:b/>
          <w:bCs/>
          <w:rtl/>
          <w:lang w:eastAsia="de-DE"/>
        </w:rPr>
        <w:t>בוא אל</w:t>
      </w:r>
      <w:r w:rsidRPr="000C3A0E">
        <w:rPr>
          <w:rFonts w:eastAsia="Times New Roman" w:cs="Times New Roman"/>
          <w:rtl/>
          <w:lang w:eastAsia="de-DE"/>
        </w:rPr>
        <w:t xml:space="preserve"> </w:t>
      </w:r>
      <w:r w:rsidRPr="000C3A0E">
        <w:rPr>
          <w:rFonts w:eastAsia="Times New Roman" w:cs="Times New Roman"/>
          <w:lang w:eastAsia="de-DE"/>
        </w:rPr>
        <w:t>„kommen zu" beschreibt göttliche Offenbarung, vermutlich im Traum oder in einer Vision.</w:t>
      </w:r>
    </w:p>
    <w:p w14:paraId="7C5CC713"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Frage </w:t>
      </w:r>
      <w:r w:rsidRPr="000C3A0E">
        <w:rPr>
          <w:rFonts w:eastAsia="Times New Roman" w:cs="Times New Roman"/>
          <w:b/>
          <w:bCs/>
          <w:rtl/>
          <w:lang w:eastAsia="de-DE"/>
        </w:rPr>
        <w:t>מִי הָאֲנָשִׁים הָאֵלֶּה עִמָּךְ</w:t>
      </w:r>
      <w:r w:rsidRPr="000C3A0E">
        <w:rPr>
          <w:rFonts w:eastAsia="Times New Roman" w:cs="Times New Roman"/>
          <w:rtl/>
          <w:lang w:eastAsia="de-DE"/>
        </w:rPr>
        <w:t xml:space="preserve"> </w:t>
      </w:r>
      <w:r w:rsidRPr="000C3A0E">
        <w:rPr>
          <w:rFonts w:eastAsia="Times New Roman" w:cs="Times New Roman"/>
          <w:lang w:eastAsia="de-DE"/>
        </w:rPr>
        <w:t xml:space="preserve">(„Wer sind diese Männer bei dir?") – </w:t>
      </w:r>
      <w:r w:rsidRPr="000C3A0E">
        <w:rPr>
          <w:rFonts w:eastAsia="Times New Roman" w:cs="Times New Roman"/>
          <w:b/>
          <w:bCs/>
          <w:rtl/>
          <w:lang w:eastAsia="de-DE"/>
        </w:rPr>
        <w:t>מִי</w:t>
      </w:r>
      <w:r w:rsidRPr="000C3A0E">
        <w:rPr>
          <w:rFonts w:eastAsia="Times New Roman" w:cs="Times New Roman"/>
          <w:rtl/>
          <w:lang w:eastAsia="de-DE"/>
        </w:rPr>
        <w:t xml:space="preserve"> </w:t>
      </w:r>
      <w:r w:rsidRPr="000C3A0E">
        <w:rPr>
          <w:rFonts w:eastAsia="Times New Roman" w:cs="Times New Roman"/>
          <w:lang w:eastAsia="de-DE"/>
        </w:rPr>
        <w:t xml:space="preserve">Interrogativpronomen, </w:t>
      </w:r>
      <w:r w:rsidRPr="000C3A0E">
        <w:rPr>
          <w:rFonts w:eastAsia="Times New Roman" w:cs="Times New Roman"/>
          <w:b/>
          <w:bCs/>
          <w:rtl/>
          <w:lang w:eastAsia="de-DE"/>
        </w:rPr>
        <w:t>הָאֲנָשִׁים הָאֵלֶּה</w:t>
      </w:r>
      <w:r w:rsidRPr="000C3A0E">
        <w:rPr>
          <w:rFonts w:eastAsia="Times New Roman" w:cs="Times New Roman"/>
          <w:rtl/>
          <w:lang w:eastAsia="de-DE"/>
        </w:rPr>
        <w:t xml:space="preserve"> </w:t>
      </w:r>
      <w:r w:rsidRPr="000C3A0E">
        <w:rPr>
          <w:rFonts w:eastAsia="Times New Roman" w:cs="Times New Roman"/>
          <w:lang w:eastAsia="de-DE"/>
        </w:rPr>
        <w:t xml:space="preserve">(„diese Männer") mit Demonstrativpronomen, </w:t>
      </w:r>
      <w:r w:rsidRPr="000C3A0E">
        <w:rPr>
          <w:rFonts w:eastAsia="Times New Roman" w:cs="Times New Roman"/>
          <w:b/>
          <w:bCs/>
          <w:rtl/>
          <w:lang w:eastAsia="de-DE"/>
        </w:rPr>
        <w:t>עִמָּךְ</w:t>
      </w:r>
      <w:r w:rsidRPr="000C3A0E">
        <w:rPr>
          <w:rFonts w:eastAsia="Times New Roman" w:cs="Times New Roman"/>
          <w:rtl/>
          <w:lang w:eastAsia="de-DE"/>
        </w:rPr>
        <w:t xml:space="preserve"> </w:t>
      </w:r>
      <w:r w:rsidRPr="000C3A0E">
        <w:rPr>
          <w:rFonts w:eastAsia="Times New Roman" w:cs="Times New Roman"/>
          <w:lang w:eastAsia="de-DE"/>
        </w:rPr>
        <w:t>(„bei dir") mit Suffix 2. m. sg. Die Frage ist nicht aus Unwissenheit – Gott weiß natürlich, wer sie sind. Es ist eine pädagogische Frage, die Bileam zur Rechenschaft zieht und ihm Gelegenheit gibt, die Situation zu erklären (vgl. Gen 3,9 „Wo bist du?"; 4,9 „Wo ist dein Bruder?").</w:t>
      </w:r>
    </w:p>
    <w:p w14:paraId="0E4E0CBB"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 verwendet θεός (theos, „Gott") statt κύριος.</w:t>
      </w:r>
    </w:p>
    <w:p w14:paraId="634B19E7"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zeigt zwei koordinierte Hauptsätze: Der erste mit Verb, Subjekt und Präpositionalphrase; der zweite mit Verb und direkter Rede (Interrogativsatz mit Interrogativ, Subjekt mit Demonstrativpronomen und Präpositionalphrase). Es gibt keine subordinierten Nebensätze.</w:t>
      </w:r>
    </w:p>
    <w:p w14:paraId="532DA70E"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zeigt göttliche Initiative: Gott kommt zu Bileam (nicht umgekehrt), die Frage eröffnet das Gespräch und testet Bileams Ehrlichkeit.</w:t>
      </w:r>
    </w:p>
    <w:p w14:paraId="196EB2C2"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22,10</w:t>
      </w:r>
    </w:p>
    <w:p w14:paraId="46CC7AD1"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וַיֹּ֥אמֶר בִּלְעָ֖ם אֶל־הָאֱלֹהִ֑ים בָּלָ֧ק בֶּן־צִפֹּ֛ר מֶ֥לֶךְ מוֹאָ֖ב שָׁלַ֥ח אֵלָֽי׃</w:t>
      </w:r>
    </w:p>
    <w:p w14:paraId="2D908290"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Bileam sprach zu Gott: Balak, der Sohn Zippors, der König von Moab, hat zu mir gesandt:</w:t>
      </w:r>
    </w:p>
    <w:p w14:paraId="1BED919A"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6CC54384">
          <v:rect id="_x0000_i1769" style="width:0;height:1.5pt" o:hralign="center" o:hrstd="t" o:hr="t" fillcolor="#a0a0a0" stroked="f"/>
        </w:pict>
      </w:r>
    </w:p>
    <w:p w14:paraId="03F778C5"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lastRenderedPageBreak/>
        <w:t>Kommentar:</w:t>
      </w:r>
      <w:r w:rsidRPr="000C3A0E">
        <w:rPr>
          <w:rFonts w:eastAsia="Times New Roman" w:cs="Times New Roman"/>
          <w:lang w:eastAsia="de-DE"/>
        </w:rPr>
        <w:t xml:space="preserve"> Das Verb </w:t>
      </w:r>
      <w:r w:rsidRPr="000C3A0E">
        <w:rPr>
          <w:rFonts w:eastAsia="Times New Roman" w:cs="Times New Roman"/>
          <w:b/>
          <w:bCs/>
          <w:rtl/>
          <w:lang w:eastAsia="de-DE"/>
        </w:rPr>
        <w:t>וַיֹּאמֶר בִּלְעָם אֶל־הָאֱלֹהִים</w:t>
      </w:r>
      <w:r w:rsidRPr="000C3A0E">
        <w:rPr>
          <w:rFonts w:eastAsia="Times New Roman" w:cs="Times New Roman"/>
          <w:rtl/>
          <w:lang w:eastAsia="de-DE"/>
        </w:rPr>
        <w:t xml:space="preserve"> </w:t>
      </w:r>
      <w:r w:rsidRPr="000C3A0E">
        <w:rPr>
          <w:rFonts w:eastAsia="Times New Roman" w:cs="Times New Roman"/>
          <w:lang w:eastAsia="de-DE"/>
        </w:rPr>
        <w:t xml:space="preserve">(„und Bileam sprach zu Gott") – bemerkenswert ist die direkte Konversation zwischen dem heidnischen Seher und dem Gott Israels. Bileam antwortet ehrlich. Die Identifikation </w:t>
      </w:r>
      <w:r w:rsidRPr="000C3A0E">
        <w:rPr>
          <w:rFonts w:eastAsia="Times New Roman" w:cs="Times New Roman"/>
          <w:b/>
          <w:bCs/>
          <w:rtl/>
          <w:lang w:eastAsia="de-DE"/>
        </w:rPr>
        <w:t>בָּלָק בֶּן־צִפּוֹר מֶלֶךְ מוֹאָב</w:t>
      </w:r>
      <w:r w:rsidRPr="000C3A0E">
        <w:rPr>
          <w:rFonts w:eastAsia="Times New Roman" w:cs="Times New Roman"/>
          <w:rtl/>
          <w:lang w:eastAsia="de-DE"/>
        </w:rPr>
        <w:t xml:space="preserve"> </w:t>
      </w:r>
      <w:r w:rsidRPr="000C3A0E">
        <w:rPr>
          <w:rFonts w:eastAsia="Times New Roman" w:cs="Times New Roman"/>
          <w:lang w:eastAsia="de-DE"/>
        </w:rPr>
        <w:t xml:space="preserve">(dreifach: Name, Patronym, Titel) gibt vollständige Information. </w:t>
      </w:r>
      <w:r w:rsidRPr="000C3A0E">
        <w:rPr>
          <w:rFonts w:eastAsia="Times New Roman" w:cs="Times New Roman"/>
          <w:b/>
          <w:bCs/>
          <w:rtl/>
          <w:lang w:eastAsia="de-DE"/>
        </w:rPr>
        <w:t>שָׁלַח אֵלָי</w:t>
      </w:r>
      <w:r w:rsidRPr="000C3A0E">
        <w:rPr>
          <w:rFonts w:eastAsia="Times New Roman" w:cs="Times New Roman"/>
          <w:rtl/>
          <w:lang w:eastAsia="de-DE"/>
        </w:rPr>
        <w:t xml:space="preserve"> </w:t>
      </w:r>
      <w:r w:rsidRPr="000C3A0E">
        <w:rPr>
          <w:rFonts w:eastAsia="Times New Roman" w:cs="Times New Roman"/>
          <w:lang w:eastAsia="de-DE"/>
        </w:rPr>
        <w:t xml:space="preserve">(Qal Perfekt, 3. m. sg. von </w:t>
      </w:r>
      <w:r w:rsidRPr="000C3A0E">
        <w:rPr>
          <w:rFonts w:eastAsia="Times New Roman" w:cs="Times New Roman"/>
          <w:b/>
          <w:bCs/>
          <w:rtl/>
          <w:lang w:eastAsia="de-DE"/>
        </w:rPr>
        <w:t>שׁלח</w:t>
      </w:r>
      <w:r w:rsidRPr="000C3A0E">
        <w:rPr>
          <w:rFonts w:eastAsia="Times New Roman" w:cs="Times New Roman"/>
          <w:lang w:eastAsia="de-DE"/>
        </w:rPr>
        <w:t>, „er hat gesandt") – Bileam berichtet die Tatsachen.</w:t>
      </w:r>
    </w:p>
    <w:p w14:paraId="47E0DD68"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w:t>
      </w:r>
    </w:p>
    <w:p w14:paraId="189AAF55"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zeigt einen Hauptsatz mit Verb, Subjekt und indirektem Objekt. Die direkte Rede enthält einen Hauptsatz mit dreifach identifiziertem Subjekt (Name, Patronym als Constructus-Verbindung, Apposition) und Verb mit Präpositionalphrase. Es gibt keine Nebensätze.</w:t>
      </w:r>
    </w:p>
    <w:p w14:paraId="01450D79"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zeigt Bileams Offenheit – er verbirgt nichts vor Gott.</w:t>
      </w:r>
    </w:p>
    <w:p w14:paraId="51229A45"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22,11</w:t>
      </w:r>
    </w:p>
    <w:p w14:paraId="37853591"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הִנֵּ֤ה הָעָם֙ הַיֹּצֵ֣א מִמִּצְרַ֔יִם וַיְכַ֖ס אֶת־עֵ֣ין הָאָ֑רֶץ עַתָּ֗ה לְכָ֤ה קָֽבָה־לִּי֙ אֹתוֹ֔ אוּלַ֥י אוּכַ֛ל לְהִלָּ֥חֶם בּוֹ֖ וְגֵרַשְׁתִּֽיו׃</w:t>
      </w:r>
    </w:p>
    <w:p w14:paraId="0C64BB38"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Siehe, das Volk, das aus Ägypten ausgezogen ist, bedeckt die Oberfläche des Landes. Komm jetzt, verwünsche es mir; vielleicht vermag ich dann gegen es zu kämpfen und es zu vertreiben.</w:t>
      </w:r>
    </w:p>
    <w:p w14:paraId="0F6F0806"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66BC102B">
          <v:rect id="_x0000_i1770" style="width:0;height:1.5pt" o:hralign="center" o:hrstd="t" o:hr="t" fillcolor="#a0a0a0" stroked="f"/>
        </w:pict>
      </w:r>
    </w:p>
    <w:p w14:paraId="319375E5"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Bileam zitiert Balaks Botschaft (fast wörtlich aus V. 5-6, mit kleinen Variationen). </w:t>
      </w:r>
      <w:r w:rsidRPr="000C3A0E">
        <w:rPr>
          <w:rFonts w:eastAsia="Times New Roman" w:cs="Times New Roman"/>
          <w:b/>
          <w:bCs/>
          <w:rtl/>
          <w:lang w:eastAsia="de-DE"/>
        </w:rPr>
        <w:t>הִנֵּה הָעָם הַיֹּצֵא מִמִּצְרַיִם וַיְכַס אֶת־עֵין הָאָרֶץ</w:t>
      </w:r>
      <w:r w:rsidRPr="000C3A0E">
        <w:rPr>
          <w:rFonts w:eastAsia="Times New Roman" w:cs="Times New Roman"/>
          <w:rtl/>
          <w:lang w:eastAsia="de-DE"/>
        </w:rPr>
        <w:t xml:space="preserve"> </w:t>
      </w:r>
      <w:r w:rsidRPr="000C3A0E">
        <w:rPr>
          <w:rFonts w:eastAsia="Times New Roman" w:cs="Times New Roman"/>
          <w:lang w:eastAsia="de-DE"/>
        </w:rPr>
        <w:t xml:space="preserve">– identisch mit V. 5. Die Variante: </w:t>
      </w:r>
      <w:r w:rsidRPr="000C3A0E">
        <w:rPr>
          <w:rFonts w:eastAsia="Times New Roman" w:cs="Times New Roman"/>
          <w:b/>
          <w:bCs/>
          <w:rtl/>
          <w:lang w:eastAsia="de-DE"/>
        </w:rPr>
        <w:t>עַתָּה לְכָה קָבָה־לִּי אֹתוֹ</w:t>
      </w:r>
      <w:r w:rsidRPr="000C3A0E">
        <w:rPr>
          <w:rFonts w:eastAsia="Times New Roman" w:cs="Times New Roman"/>
          <w:rtl/>
          <w:lang w:eastAsia="de-DE"/>
        </w:rPr>
        <w:t xml:space="preserve"> </w:t>
      </w:r>
      <w:r w:rsidRPr="000C3A0E">
        <w:rPr>
          <w:rFonts w:eastAsia="Times New Roman" w:cs="Times New Roman"/>
          <w:lang w:eastAsia="de-DE"/>
        </w:rPr>
        <w:t xml:space="preserve">(„komm jetzt, verwünsche es mir") – </w:t>
      </w:r>
      <w:r w:rsidRPr="000C3A0E">
        <w:rPr>
          <w:rFonts w:eastAsia="Times New Roman" w:cs="Times New Roman"/>
          <w:b/>
          <w:bCs/>
          <w:rtl/>
          <w:lang w:eastAsia="de-DE"/>
        </w:rPr>
        <w:t>קָבָה</w:t>
      </w:r>
      <w:r w:rsidRPr="000C3A0E">
        <w:rPr>
          <w:rFonts w:eastAsia="Times New Roman" w:cs="Times New Roman"/>
          <w:rtl/>
          <w:lang w:eastAsia="de-DE"/>
        </w:rPr>
        <w:t xml:space="preserve"> </w:t>
      </w:r>
      <w:r w:rsidRPr="000C3A0E">
        <w:rPr>
          <w:rFonts w:eastAsia="Times New Roman" w:cs="Times New Roman"/>
          <w:lang w:eastAsia="de-DE"/>
        </w:rPr>
        <w:t xml:space="preserve">(Qal Imperativ von </w:t>
      </w:r>
      <w:r w:rsidRPr="000C3A0E">
        <w:rPr>
          <w:rFonts w:eastAsia="Times New Roman" w:cs="Times New Roman"/>
          <w:b/>
          <w:bCs/>
          <w:rtl/>
          <w:lang w:eastAsia="de-DE"/>
        </w:rPr>
        <w:t>קבב</w:t>
      </w:r>
      <w:r w:rsidRPr="000C3A0E">
        <w:rPr>
          <w:rFonts w:eastAsia="Times New Roman" w:cs="Times New Roman"/>
          <w:lang w:eastAsia="de-DE"/>
        </w:rPr>
        <w:t xml:space="preserve">, „verwünsche") ist ein Synonym zu </w:t>
      </w:r>
      <w:r w:rsidRPr="000C3A0E">
        <w:rPr>
          <w:rFonts w:eastAsia="Times New Roman" w:cs="Times New Roman"/>
          <w:b/>
          <w:bCs/>
          <w:rtl/>
          <w:lang w:eastAsia="de-DE"/>
        </w:rPr>
        <w:t>ארר</w:t>
      </w:r>
      <w:r w:rsidRPr="000C3A0E">
        <w:rPr>
          <w:rFonts w:eastAsia="Times New Roman" w:cs="Times New Roman"/>
          <w:rtl/>
          <w:lang w:eastAsia="de-DE"/>
        </w:rPr>
        <w:t xml:space="preserve"> </w:t>
      </w:r>
      <w:r w:rsidRPr="000C3A0E">
        <w:rPr>
          <w:rFonts w:eastAsia="Times New Roman" w:cs="Times New Roman"/>
          <w:lang w:eastAsia="de-DE"/>
        </w:rPr>
        <w:t xml:space="preserve">„verfluchen" (V. 6). </w:t>
      </w:r>
      <w:r w:rsidRPr="000C3A0E">
        <w:rPr>
          <w:rFonts w:eastAsia="Times New Roman" w:cs="Times New Roman"/>
          <w:b/>
          <w:bCs/>
          <w:rtl/>
          <w:lang w:eastAsia="de-DE"/>
        </w:rPr>
        <w:t>קבב</w:t>
      </w:r>
      <w:r w:rsidRPr="000C3A0E">
        <w:rPr>
          <w:rFonts w:eastAsia="Times New Roman" w:cs="Times New Roman"/>
          <w:rtl/>
          <w:lang w:eastAsia="de-DE"/>
        </w:rPr>
        <w:t xml:space="preserve"> </w:t>
      </w:r>
      <w:r w:rsidRPr="000C3A0E">
        <w:rPr>
          <w:rFonts w:eastAsia="Times New Roman" w:cs="Times New Roman"/>
          <w:lang w:eastAsia="de-DE"/>
        </w:rPr>
        <w:t>kommt nur in der Bileam-Erzählung vor und scheint ein stärkeres oder spezifischeres Wort für magischen Fluch zu sein.</w:t>
      </w:r>
    </w:p>
    <w:p w14:paraId="011E9003"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Hoffnung </w:t>
      </w:r>
      <w:r w:rsidRPr="000C3A0E">
        <w:rPr>
          <w:rFonts w:eastAsia="Times New Roman" w:cs="Times New Roman"/>
          <w:b/>
          <w:bCs/>
          <w:rtl/>
          <w:lang w:eastAsia="de-DE"/>
        </w:rPr>
        <w:t>אוּלַי אוּכַל לְהִלָּחֶם בּוֹ וְגֵרַשְׁתִּיו</w:t>
      </w:r>
      <w:r w:rsidRPr="000C3A0E">
        <w:rPr>
          <w:rFonts w:eastAsia="Times New Roman" w:cs="Times New Roman"/>
          <w:rtl/>
          <w:lang w:eastAsia="de-DE"/>
        </w:rPr>
        <w:t xml:space="preserve"> </w:t>
      </w:r>
      <w:r w:rsidRPr="000C3A0E">
        <w:rPr>
          <w:rFonts w:eastAsia="Times New Roman" w:cs="Times New Roman"/>
          <w:lang w:eastAsia="de-DE"/>
        </w:rPr>
        <w:t xml:space="preserve">wiederholt V. 6 mit kleiner Variation: </w:t>
      </w:r>
      <w:r w:rsidRPr="000C3A0E">
        <w:rPr>
          <w:rFonts w:eastAsia="Times New Roman" w:cs="Times New Roman"/>
          <w:b/>
          <w:bCs/>
          <w:rtl/>
          <w:lang w:eastAsia="de-DE"/>
        </w:rPr>
        <w:t>לְהִלָּחֶם בּוֹ</w:t>
      </w:r>
      <w:r w:rsidRPr="000C3A0E">
        <w:rPr>
          <w:rFonts w:eastAsia="Times New Roman" w:cs="Times New Roman"/>
          <w:rtl/>
          <w:lang w:eastAsia="de-DE"/>
        </w:rPr>
        <w:t xml:space="preserve"> </w:t>
      </w:r>
      <w:r w:rsidRPr="000C3A0E">
        <w:rPr>
          <w:rFonts w:eastAsia="Times New Roman" w:cs="Times New Roman"/>
          <w:lang w:eastAsia="de-DE"/>
        </w:rPr>
        <w:t xml:space="preserve">(Nifal Infinitiv construct von </w:t>
      </w:r>
      <w:r w:rsidRPr="000C3A0E">
        <w:rPr>
          <w:rFonts w:eastAsia="Times New Roman" w:cs="Times New Roman"/>
          <w:b/>
          <w:bCs/>
          <w:rtl/>
          <w:lang w:eastAsia="de-DE"/>
        </w:rPr>
        <w:t>לחם</w:t>
      </w:r>
      <w:r w:rsidRPr="000C3A0E">
        <w:rPr>
          <w:rFonts w:eastAsia="Times New Roman" w:cs="Times New Roman"/>
          <w:rtl/>
          <w:lang w:eastAsia="de-DE"/>
        </w:rPr>
        <w:t xml:space="preserve"> </w:t>
      </w:r>
      <w:r w:rsidRPr="000C3A0E">
        <w:rPr>
          <w:rFonts w:eastAsia="Times New Roman" w:cs="Times New Roman"/>
          <w:lang w:eastAsia="de-DE"/>
        </w:rPr>
        <w:t xml:space="preserve">mit </w:t>
      </w:r>
      <w:r w:rsidRPr="000C3A0E">
        <w:rPr>
          <w:rFonts w:eastAsia="Times New Roman" w:cs="Times New Roman"/>
          <w:b/>
          <w:bCs/>
          <w:rtl/>
          <w:lang w:eastAsia="de-DE"/>
        </w:rPr>
        <w:t>לְ</w:t>
      </w:r>
      <w:r w:rsidRPr="000C3A0E">
        <w:rPr>
          <w:rFonts w:eastAsia="Times New Roman" w:cs="Times New Roman"/>
          <w:rtl/>
          <w:lang w:eastAsia="de-DE"/>
        </w:rPr>
        <w:t xml:space="preserve"> </w:t>
      </w:r>
      <w:r w:rsidRPr="000C3A0E">
        <w:rPr>
          <w:rFonts w:eastAsia="Times New Roman" w:cs="Times New Roman"/>
          <w:lang w:eastAsia="de-DE"/>
        </w:rPr>
        <w:t xml:space="preserve">und Präposition, „gegen es zu kämpfen") statt des Kohortativs </w:t>
      </w:r>
      <w:r w:rsidRPr="000C3A0E">
        <w:rPr>
          <w:rFonts w:eastAsia="Times New Roman" w:cs="Times New Roman"/>
          <w:b/>
          <w:bCs/>
          <w:rtl/>
          <w:lang w:eastAsia="de-DE"/>
        </w:rPr>
        <w:t>נַכֶּה־בּוֹ</w:t>
      </w:r>
      <w:r w:rsidRPr="000C3A0E">
        <w:rPr>
          <w:rFonts w:eastAsia="Times New Roman" w:cs="Times New Roman"/>
          <w:rtl/>
          <w:lang w:eastAsia="de-DE"/>
        </w:rPr>
        <w:t xml:space="preserve"> </w:t>
      </w:r>
      <w:r w:rsidRPr="000C3A0E">
        <w:rPr>
          <w:rFonts w:eastAsia="Times New Roman" w:cs="Times New Roman"/>
          <w:lang w:eastAsia="de-DE"/>
        </w:rPr>
        <w:t>in V. 6.</w:t>
      </w:r>
    </w:p>
    <w:p w14:paraId="0C8770F3"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w:t>
      </w:r>
    </w:p>
    <w:p w14:paraId="4304D40C"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der zitierten Rede zeigt: Hauptsatz mit Interjektion, Subjekt (mit Relativsatz als Partizipialkonstruktion) und koordiniertem Verb mit Objekt; Hauptsatz mit Temporaladverb, Imperativ und Dativ-Objekt; Hauptsatz mit Adverb, Verb, finalem Infinitiv und koordiniertem Verb mit Objektsuffix. Insgesamt gibt es einen Nebensatz (partizipialer Relativsatz).</w:t>
      </w:r>
    </w:p>
    <w:p w14:paraId="2B47B76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zeigt Bileams ehrliche Wiedergabe von Balaks Auftrag – er legt Gott die ganze Situation offen dar.</w:t>
      </w:r>
    </w:p>
    <w:p w14:paraId="771EC99B"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22,12</w:t>
      </w:r>
    </w:p>
    <w:p w14:paraId="73293E3C"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lastRenderedPageBreak/>
        <w:t>Hebräisch:</w:t>
      </w:r>
      <w:r w:rsidRPr="000C3A0E">
        <w:rPr>
          <w:rFonts w:eastAsia="Times New Roman" w:cs="Times New Roman"/>
          <w:lang w:eastAsia="de-DE"/>
        </w:rPr>
        <w:t xml:space="preserve"> </w:t>
      </w:r>
      <w:r w:rsidRPr="000C3A0E">
        <w:rPr>
          <w:rFonts w:eastAsia="Times New Roman" w:cs="Times New Roman"/>
          <w:rtl/>
          <w:lang w:eastAsia="de-DE"/>
        </w:rPr>
        <w:t>וַיֹּ֤אמֶר אֱלֹהִים֙ אֶל־בִּלְעָ֔ם לֹ֥א תֵלֵ֖ךְ עִמָּהֶ֑ם לֹ֤א תָאֹר֙ אֶת־הָעָ֔ם כִּ֥י בָר֖וּךְ הֽוּא׃</w:t>
      </w:r>
    </w:p>
    <w:p w14:paraId="1045789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Gott sprach zu Bileam: Du sollst nicht mit ihnen gehen; du sollst das Volk nicht verfluchen, denn es ist gesegnet.</w:t>
      </w:r>
    </w:p>
    <w:p w14:paraId="5430D967"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30681E6A">
          <v:rect id="_x0000_i1771" style="width:0;height:1.5pt" o:hralign="center" o:hrstd="t" o:hr="t" fillcolor="#a0a0a0" stroked="f"/>
        </w:pict>
      </w:r>
    </w:p>
    <w:p w14:paraId="7111315C"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Die göttliche Antwort ist doppelt negativ: </w:t>
      </w:r>
      <w:r w:rsidRPr="000C3A0E">
        <w:rPr>
          <w:rFonts w:eastAsia="Times New Roman" w:cs="Times New Roman"/>
          <w:b/>
          <w:bCs/>
          <w:rtl/>
          <w:lang w:eastAsia="de-DE"/>
        </w:rPr>
        <w:t>לֹא תֵלֵךְ עִמָּהֶם</w:t>
      </w:r>
      <w:r w:rsidRPr="000C3A0E">
        <w:rPr>
          <w:rFonts w:eastAsia="Times New Roman" w:cs="Times New Roman"/>
          <w:rtl/>
          <w:lang w:eastAsia="de-DE"/>
        </w:rPr>
        <w:t xml:space="preserve"> </w:t>
      </w:r>
      <w:r w:rsidRPr="000C3A0E">
        <w:rPr>
          <w:rFonts w:eastAsia="Times New Roman" w:cs="Times New Roman"/>
          <w:lang w:eastAsia="de-DE"/>
        </w:rPr>
        <w:t xml:space="preserve">(„du sollst nicht mit ihnen gehen") – </w:t>
      </w:r>
      <w:r w:rsidRPr="000C3A0E">
        <w:rPr>
          <w:rFonts w:eastAsia="Times New Roman" w:cs="Times New Roman"/>
          <w:b/>
          <w:bCs/>
          <w:rtl/>
          <w:lang w:eastAsia="de-DE"/>
        </w:rPr>
        <w:t>לֹא</w:t>
      </w:r>
      <w:r w:rsidRPr="000C3A0E">
        <w:rPr>
          <w:rFonts w:eastAsia="Times New Roman" w:cs="Times New Roman"/>
          <w:rtl/>
          <w:lang w:eastAsia="de-DE"/>
        </w:rPr>
        <w:t xml:space="preserve"> </w:t>
      </w:r>
      <w:r w:rsidRPr="000C3A0E">
        <w:rPr>
          <w:rFonts w:eastAsia="Times New Roman" w:cs="Times New Roman"/>
          <w:lang w:eastAsia="de-DE"/>
        </w:rPr>
        <w:t xml:space="preserve">mit Imperfekt als Verbot, </w:t>
      </w:r>
      <w:r w:rsidRPr="000C3A0E">
        <w:rPr>
          <w:rFonts w:eastAsia="Times New Roman" w:cs="Times New Roman"/>
          <w:b/>
          <w:bCs/>
          <w:rtl/>
          <w:lang w:eastAsia="de-DE"/>
        </w:rPr>
        <w:t>תֵּלֵךְ</w:t>
      </w:r>
      <w:r w:rsidRPr="000C3A0E">
        <w:rPr>
          <w:rFonts w:eastAsia="Times New Roman" w:cs="Times New Roman"/>
          <w:rtl/>
          <w:lang w:eastAsia="de-DE"/>
        </w:rPr>
        <w:t xml:space="preserve"> </w:t>
      </w:r>
      <w:r w:rsidRPr="000C3A0E">
        <w:rPr>
          <w:rFonts w:eastAsia="Times New Roman" w:cs="Times New Roman"/>
          <w:lang w:eastAsia="de-DE"/>
        </w:rPr>
        <w:t xml:space="preserve">(Qal Imperfekt, 2. m. sg. von </w:t>
      </w:r>
      <w:r w:rsidRPr="000C3A0E">
        <w:rPr>
          <w:rFonts w:eastAsia="Times New Roman" w:cs="Times New Roman"/>
          <w:b/>
          <w:bCs/>
          <w:rtl/>
          <w:lang w:eastAsia="de-DE"/>
        </w:rPr>
        <w:t>הלך</w:t>
      </w:r>
      <w:r w:rsidRPr="000C3A0E">
        <w:rPr>
          <w:rFonts w:eastAsia="Times New Roman" w:cs="Times New Roman"/>
          <w:lang w:eastAsia="de-DE"/>
        </w:rPr>
        <w:t xml:space="preserve">), </w:t>
      </w:r>
      <w:r w:rsidRPr="000C3A0E">
        <w:rPr>
          <w:rFonts w:eastAsia="Times New Roman" w:cs="Times New Roman"/>
          <w:b/>
          <w:bCs/>
          <w:rtl/>
          <w:lang w:eastAsia="de-DE"/>
        </w:rPr>
        <w:t>עִמָּהֶם</w:t>
      </w:r>
      <w:r w:rsidRPr="000C3A0E">
        <w:rPr>
          <w:rFonts w:eastAsia="Times New Roman" w:cs="Times New Roman"/>
          <w:rtl/>
          <w:lang w:eastAsia="de-DE"/>
        </w:rPr>
        <w:t xml:space="preserve"> </w:t>
      </w:r>
      <w:r w:rsidRPr="000C3A0E">
        <w:rPr>
          <w:rFonts w:eastAsia="Times New Roman" w:cs="Times New Roman"/>
          <w:lang w:eastAsia="de-DE"/>
        </w:rPr>
        <w:t>(„mit ihnen") mit Suffix 3. m. pl. Das erste Verbot betrifft die Reise selbst.</w:t>
      </w:r>
    </w:p>
    <w:p w14:paraId="3B9F9AAC"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Das zweite Verbot </w:t>
      </w:r>
      <w:r w:rsidRPr="000C3A0E">
        <w:rPr>
          <w:rFonts w:eastAsia="Times New Roman" w:cs="Times New Roman"/>
          <w:b/>
          <w:bCs/>
          <w:rtl/>
          <w:lang w:eastAsia="de-DE"/>
        </w:rPr>
        <w:t>לֹא תָאֹר אֶת־הָעָם</w:t>
      </w:r>
      <w:r w:rsidRPr="000C3A0E">
        <w:rPr>
          <w:rFonts w:eastAsia="Times New Roman" w:cs="Times New Roman"/>
          <w:rtl/>
          <w:lang w:eastAsia="de-DE"/>
        </w:rPr>
        <w:t xml:space="preserve"> </w:t>
      </w:r>
      <w:r w:rsidRPr="000C3A0E">
        <w:rPr>
          <w:rFonts w:eastAsia="Times New Roman" w:cs="Times New Roman"/>
          <w:lang w:eastAsia="de-DE"/>
        </w:rPr>
        <w:t xml:space="preserve">(„du sollst das Volk nicht verfluchen") – </w:t>
      </w:r>
      <w:r w:rsidRPr="000C3A0E">
        <w:rPr>
          <w:rFonts w:eastAsia="Times New Roman" w:cs="Times New Roman"/>
          <w:b/>
          <w:bCs/>
          <w:rtl/>
          <w:lang w:eastAsia="de-DE"/>
        </w:rPr>
        <w:t>תָאֹר</w:t>
      </w:r>
      <w:r w:rsidRPr="000C3A0E">
        <w:rPr>
          <w:rFonts w:eastAsia="Times New Roman" w:cs="Times New Roman"/>
          <w:rtl/>
          <w:lang w:eastAsia="de-DE"/>
        </w:rPr>
        <w:t xml:space="preserve"> </w:t>
      </w:r>
      <w:r w:rsidRPr="000C3A0E">
        <w:rPr>
          <w:rFonts w:eastAsia="Times New Roman" w:cs="Times New Roman"/>
          <w:lang w:eastAsia="de-DE"/>
        </w:rPr>
        <w:t xml:space="preserve">(Qal Imperfekt, 2. m. sg. von </w:t>
      </w:r>
      <w:r w:rsidRPr="000C3A0E">
        <w:rPr>
          <w:rFonts w:eastAsia="Times New Roman" w:cs="Times New Roman"/>
          <w:b/>
          <w:bCs/>
          <w:rtl/>
          <w:lang w:eastAsia="de-DE"/>
        </w:rPr>
        <w:t>ארר</w:t>
      </w:r>
      <w:r w:rsidRPr="000C3A0E">
        <w:rPr>
          <w:rFonts w:eastAsia="Times New Roman" w:cs="Times New Roman"/>
          <w:lang w:eastAsia="de-DE"/>
        </w:rPr>
        <w:t xml:space="preserve">), </w:t>
      </w:r>
      <w:r w:rsidRPr="000C3A0E">
        <w:rPr>
          <w:rFonts w:eastAsia="Times New Roman" w:cs="Times New Roman"/>
          <w:b/>
          <w:bCs/>
          <w:rtl/>
          <w:lang w:eastAsia="de-DE"/>
        </w:rPr>
        <w:t>אֶת־הָעָם</w:t>
      </w:r>
      <w:r w:rsidRPr="000C3A0E">
        <w:rPr>
          <w:rFonts w:eastAsia="Times New Roman" w:cs="Times New Roman"/>
          <w:rtl/>
          <w:lang w:eastAsia="de-DE"/>
        </w:rPr>
        <w:t xml:space="preserve"> </w:t>
      </w:r>
      <w:r w:rsidRPr="000C3A0E">
        <w:rPr>
          <w:rFonts w:eastAsia="Times New Roman" w:cs="Times New Roman"/>
          <w:lang w:eastAsia="de-DE"/>
        </w:rPr>
        <w:t>Objekt. Dieses Verbot ist grundsätzlicher – nicht nur „geh nicht", sondern „verfluche nicht".</w:t>
      </w:r>
    </w:p>
    <w:p w14:paraId="74FD82E3"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Begründung </w:t>
      </w:r>
      <w:r w:rsidRPr="000C3A0E">
        <w:rPr>
          <w:rFonts w:eastAsia="Times New Roman" w:cs="Times New Roman"/>
          <w:b/>
          <w:bCs/>
          <w:rtl/>
          <w:lang w:eastAsia="de-DE"/>
        </w:rPr>
        <w:t>כִּי בָרוּךְ הוּא</w:t>
      </w:r>
      <w:r w:rsidRPr="000C3A0E">
        <w:rPr>
          <w:rFonts w:eastAsia="Times New Roman" w:cs="Times New Roman"/>
          <w:rtl/>
          <w:lang w:eastAsia="de-DE"/>
        </w:rPr>
        <w:t xml:space="preserve"> </w:t>
      </w:r>
      <w:r w:rsidRPr="000C3A0E">
        <w:rPr>
          <w:rFonts w:eastAsia="Times New Roman" w:cs="Times New Roman"/>
          <w:lang w:eastAsia="de-DE"/>
        </w:rPr>
        <w:t xml:space="preserve">(„denn es ist gesegnet") – </w:t>
      </w:r>
      <w:r w:rsidRPr="000C3A0E">
        <w:rPr>
          <w:rFonts w:eastAsia="Times New Roman" w:cs="Times New Roman"/>
          <w:b/>
          <w:bCs/>
          <w:rtl/>
          <w:lang w:eastAsia="de-DE"/>
        </w:rPr>
        <w:t>כִּי</w:t>
      </w:r>
      <w:r w:rsidRPr="000C3A0E">
        <w:rPr>
          <w:rFonts w:eastAsia="Times New Roman" w:cs="Times New Roman"/>
          <w:rtl/>
          <w:lang w:eastAsia="de-DE"/>
        </w:rPr>
        <w:t xml:space="preserve"> </w:t>
      </w:r>
      <w:r w:rsidRPr="000C3A0E">
        <w:rPr>
          <w:rFonts w:eastAsia="Times New Roman" w:cs="Times New Roman"/>
          <w:lang w:eastAsia="de-DE"/>
        </w:rPr>
        <w:t xml:space="preserve">kausal, </w:t>
      </w:r>
      <w:r w:rsidRPr="000C3A0E">
        <w:rPr>
          <w:rFonts w:eastAsia="Times New Roman" w:cs="Times New Roman"/>
          <w:b/>
          <w:bCs/>
          <w:rtl/>
          <w:lang w:eastAsia="de-DE"/>
        </w:rPr>
        <w:t>בָּרוּךְ</w:t>
      </w:r>
      <w:r w:rsidRPr="000C3A0E">
        <w:rPr>
          <w:rFonts w:eastAsia="Times New Roman" w:cs="Times New Roman"/>
          <w:rtl/>
          <w:lang w:eastAsia="de-DE"/>
        </w:rPr>
        <w:t xml:space="preserve"> </w:t>
      </w:r>
      <w:r w:rsidRPr="000C3A0E">
        <w:rPr>
          <w:rFonts w:eastAsia="Times New Roman" w:cs="Times New Roman"/>
          <w:lang w:eastAsia="de-DE"/>
        </w:rPr>
        <w:t xml:space="preserve">(Qal Partizip Passiv von </w:t>
      </w:r>
      <w:r w:rsidRPr="000C3A0E">
        <w:rPr>
          <w:rFonts w:eastAsia="Times New Roman" w:cs="Times New Roman"/>
          <w:b/>
          <w:bCs/>
          <w:rtl/>
          <w:lang w:eastAsia="de-DE"/>
        </w:rPr>
        <w:t>ברך</w:t>
      </w:r>
      <w:r w:rsidRPr="000C3A0E">
        <w:rPr>
          <w:rFonts w:eastAsia="Times New Roman" w:cs="Times New Roman"/>
          <w:lang w:eastAsia="de-DE"/>
        </w:rPr>
        <w:t xml:space="preserve">, „gesegnet") als Prädikat, </w:t>
      </w:r>
      <w:r w:rsidRPr="000C3A0E">
        <w:rPr>
          <w:rFonts w:eastAsia="Times New Roman" w:cs="Times New Roman"/>
          <w:b/>
          <w:bCs/>
          <w:rtl/>
          <w:lang w:eastAsia="de-DE"/>
        </w:rPr>
        <w:t>הוּא</w:t>
      </w:r>
      <w:r w:rsidRPr="000C3A0E">
        <w:rPr>
          <w:rFonts w:eastAsia="Times New Roman" w:cs="Times New Roman"/>
          <w:rtl/>
          <w:lang w:eastAsia="de-DE"/>
        </w:rPr>
        <w:t xml:space="preserve"> </w:t>
      </w:r>
      <w:r w:rsidRPr="000C3A0E">
        <w:rPr>
          <w:rFonts w:eastAsia="Times New Roman" w:cs="Times New Roman"/>
          <w:lang w:eastAsia="de-DE"/>
        </w:rPr>
        <w:t xml:space="preserve">emphatisches Pronomen. Dies ist die theologische Kernaussage: Israel steht unter göttlichem Segen – dieser Segen ist stärker als jeder menschliche Fluch. Die Ironie zu V. 6 ist offensichtlich: Balak sagte „wen du segnest, ist gesegnet, und wen du verfluchst, ist verflucht" – aber Israel ist </w:t>
      </w:r>
      <w:r w:rsidRPr="000C3A0E">
        <w:rPr>
          <w:rFonts w:eastAsia="Times New Roman" w:cs="Times New Roman"/>
          <w:b/>
          <w:bCs/>
          <w:lang w:eastAsia="de-DE"/>
        </w:rPr>
        <w:t>bereits von Gott gesegnet</w:t>
      </w:r>
      <w:r w:rsidRPr="000C3A0E">
        <w:rPr>
          <w:rFonts w:eastAsia="Times New Roman" w:cs="Times New Roman"/>
          <w:lang w:eastAsia="de-DE"/>
        </w:rPr>
        <w:t>, und dieser Segen ist unumkehrbar.</w:t>
      </w:r>
    </w:p>
    <w:p w14:paraId="3C932677"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Das Partizip </w:t>
      </w:r>
      <w:r w:rsidRPr="000C3A0E">
        <w:rPr>
          <w:rFonts w:eastAsia="Times New Roman" w:cs="Times New Roman"/>
          <w:b/>
          <w:bCs/>
          <w:rtl/>
          <w:lang w:eastAsia="de-DE"/>
        </w:rPr>
        <w:t>בָּרוּךְ</w:t>
      </w:r>
      <w:r w:rsidRPr="000C3A0E">
        <w:rPr>
          <w:rFonts w:eastAsia="Times New Roman" w:cs="Times New Roman"/>
          <w:rtl/>
          <w:lang w:eastAsia="de-DE"/>
        </w:rPr>
        <w:t xml:space="preserve"> </w:t>
      </w:r>
      <w:r w:rsidRPr="000C3A0E">
        <w:rPr>
          <w:rFonts w:eastAsia="Times New Roman" w:cs="Times New Roman"/>
          <w:lang w:eastAsia="de-DE"/>
        </w:rPr>
        <w:t xml:space="preserve">drückt einen dauerhaften Zustand aus: Israel </w:t>
      </w:r>
      <w:r w:rsidRPr="000C3A0E">
        <w:rPr>
          <w:rFonts w:eastAsia="Times New Roman" w:cs="Times New Roman"/>
          <w:b/>
          <w:bCs/>
          <w:lang w:eastAsia="de-DE"/>
        </w:rPr>
        <w:t>ist</w:t>
      </w:r>
      <w:r w:rsidRPr="000C3A0E">
        <w:rPr>
          <w:rFonts w:eastAsia="Times New Roman" w:cs="Times New Roman"/>
          <w:lang w:eastAsia="de-DE"/>
        </w:rPr>
        <w:t xml:space="preserve"> (und bleibt) gesegnet. Dies erinnert an Gen 12,3: „Ich will segnen, die dich segnen, und verfluchen, die dich verfluchen" – Israels Segen ist Teil des Abrahamsbundes.</w:t>
      </w:r>
    </w:p>
    <w:p w14:paraId="74378190"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 übersetzt </w:t>
      </w:r>
      <w:r w:rsidRPr="000C3A0E">
        <w:rPr>
          <w:rFonts w:eastAsia="Times New Roman" w:cs="Times New Roman"/>
          <w:b/>
          <w:bCs/>
          <w:rtl/>
          <w:lang w:eastAsia="de-DE"/>
        </w:rPr>
        <w:t>בָּרוּךְ</w:t>
      </w:r>
      <w:r w:rsidRPr="000C3A0E">
        <w:rPr>
          <w:rFonts w:eastAsia="Times New Roman" w:cs="Times New Roman"/>
          <w:rtl/>
          <w:lang w:eastAsia="de-DE"/>
        </w:rPr>
        <w:t xml:space="preserve"> </w:t>
      </w:r>
      <w:r w:rsidRPr="000C3A0E">
        <w:rPr>
          <w:rFonts w:eastAsia="Times New Roman" w:cs="Times New Roman"/>
          <w:lang w:eastAsia="de-DE"/>
        </w:rPr>
        <w:t>mit εὐλογημένος (eulogēmenos, „gesegnet").</w:t>
      </w:r>
    </w:p>
    <w:p w14:paraId="10726574"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zeigt einen Hauptsatz mit Verb, Subjekt und indirektem Objekt. Die direkte Rede enthält zwei koordinierte Hauptsätze mit Verbot (Negation plus Imperfekt, jeweils mit Präpositionalphrase bzw. Objekt) und einen kausalen Nebensatz mit Konjunktion, partizipialem Prädikat und emphatischem Pronomen. Insgesamt gibt es einen Nebensatz (Kausalsatz).</w:t>
      </w:r>
    </w:p>
    <w:p w14:paraId="0FAADB99"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gibt die klare göttliche Anweisung: Bileam darf nicht gehen und darf Israel nicht verfluchen, weil Israel unter göttlichem Segen steht. Das Verbot ist absolut.</w:t>
      </w:r>
    </w:p>
    <w:p w14:paraId="28B748DC"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22,13</w:t>
      </w:r>
    </w:p>
    <w:p w14:paraId="1A72F651"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וַיָּ֤קָם בִּלְעָם֙ בַּבֹּ֔קֶר וַיֹּ֨אמֶר֙ אֶל־שָׂרֵ֣י בָלָ֔ק לְכ֖וּ אֶֽל־אַרְצְכֶ֑ם כִּ֚י מֵאֵ֣ן יְהוָ֔ה לְתִתִּ֖י לַהֲלֹ֥ךְ עִמָּכֶֽם׃</w:t>
      </w:r>
    </w:p>
    <w:p w14:paraId="47604576"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Bileam stand am Morgen auf und sagte zu den Fürsten Balaks: Geht in euer Land, denn der Ewige weigert sich, mir zu erlauben, mit euch zu gehen.</w:t>
      </w:r>
    </w:p>
    <w:p w14:paraId="53559702"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2563A7E5">
          <v:rect id="_x0000_i1772" style="width:0;height:1.5pt" o:hralign="center" o:hrstd="t" o:hr="t" fillcolor="#a0a0a0" stroked="f"/>
        </w:pict>
      </w:r>
    </w:p>
    <w:p w14:paraId="158F0B16"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Das Verb </w:t>
      </w:r>
      <w:r w:rsidRPr="000C3A0E">
        <w:rPr>
          <w:rFonts w:eastAsia="Times New Roman" w:cs="Times New Roman"/>
          <w:b/>
          <w:bCs/>
          <w:rtl/>
          <w:lang w:eastAsia="de-DE"/>
        </w:rPr>
        <w:t>וַיָּקָם בִּלְעָם בַּבֹּקֶר</w:t>
      </w:r>
      <w:r w:rsidRPr="000C3A0E">
        <w:rPr>
          <w:rFonts w:eastAsia="Times New Roman" w:cs="Times New Roman"/>
          <w:rtl/>
          <w:lang w:eastAsia="de-DE"/>
        </w:rPr>
        <w:t xml:space="preserve"> </w:t>
      </w:r>
      <w:r w:rsidRPr="000C3A0E">
        <w:rPr>
          <w:rFonts w:eastAsia="Times New Roman" w:cs="Times New Roman"/>
          <w:lang w:eastAsia="de-DE"/>
        </w:rPr>
        <w:t xml:space="preserve">(„und Bileam stand am Morgen auf") – </w:t>
      </w:r>
      <w:r w:rsidRPr="000C3A0E">
        <w:rPr>
          <w:rFonts w:eastAsia="Times New Roman" w:cs="Times New Roman"/>
          <w:b/>
          <w:bCs/>
          <w:rtl/>
          <w:lang w:eastAsia="de-DE"/>
        </w:rPr>
        <w:t>בַּבֹּקֶר</w:t>
      </w:r>
      <w:r w:rsidRPr="000C3A0E">
        <w:rPr>
          <w:rFonts w:eastAsia="Times New Roman" w:cs="Times New Roman"/>
          <w:rtl/>
          <w:lang w:eastAsia="de-DE"/>
        </w:rPr>
        <w:t xml:space="preserve"> </w:t>
      </w:r>
      <w:r w:rsidRPr="000C3A0E">
        <w:rPr>
          <w:rFonts w:eastAsia="Times New Roman" w:cs="Times New Roman"/>
          <w:lang w:eastAsia="de-DE"/>
        </w:rPr>
        <w:t xml:space="preserve">„am Morgen" zeigt: die göttliche Offenbarung kam nachts. Die Mitteilung </w:t>
      </w:r>
      <w:r w:rsidRPr="000C3A0E">
        <w:rPr>
          <w:rFonts w:eastAsia="Times New Roman" w:cs="Times New Roman"/>
          <w:b/>
          <w:bCs/>
          <w:rtl/>
          <w:lang w:eastAsia="de-DE"/>
        </w:rPr>
        <w:t xml:space="preserve">וַיֹּאמֶר אֶל־שָׂרֵי בָלָק לְכוּ </w:t>
      </w:r>
      <w:r w:rsidRPr="000C3A0E">
        <w:rPr>
          <w:rFonts w:eastAsia="Times New Roman" w:cs="Times New Roman"/>
          <w:b/>
          <w:bCs/>
          <w:rtl/>
          <w:lang w:eastAsia="de-DE"/>
        </w:rPr>
        <w:lastRenderedPageBreak/>
        <w:t>אֶל־אַרְצְכֶם</w:t>
      </w:r>
      <w:r w:rsidRPr="000C3A0E">
        <w:rPr>
          <w:rFonts w:eastAsia="Times New Roman" w:cs="Times New Roman"/>
          <w:rtl/>
          <w:lang w:eastAsia="de-DE"/>
        </w:rPr>
        <w:t xml:space="preserve"> </w:t>
      </w:r>
      <w:r w:rsidRPr="000C3A0E">
        <w:rPr>
          <w:rFonts w:eastAsia="Times New Roman" w:cs="Times New Roman"/>
          <w:lang w:eastAsia="de-DE"/>
        </w:rPr>
        <w:t xml:space="preserve">(„und er sagte zu den Fürsten Balaks: Geht in euer Land") – </w:t>
      </w:r>
      <w:r w:rsidRPr="000C3A0E">
        <w:rPr>
          <w:rFonts w:eastAsia="Times New Roman" w:cs="Times New Roman"/>
          <w:b/>
          <w:bCs/>
          <w:rtl/>
          <w:lang w:eastAsia="de-DE"/>
        </w:rPr>
        <w:t>לְכוּ</w:t>
      </w:r>
      <w:r w:rsidRPr="000C3A0E">
        <w:rPr>
          <w:rFonts w:eastAsia="Times New Roman" w:cs="Times New Roman"/>
          <w:rtl/>
          <w:lang w:eastAsia="de-DE"/>
        </w:rPr>
        <w:t xml:space="preserve"> </w:t>
      </w:r>
      <w:r w:rsidRPr="000C3A0E">
        <w:rPr>
          <w:rFonts w:eastAsia="Times New Roman" w:cs="Times New Roman"/>
          <w:lang w:eastAsia="de-DE"/>
        </w:rPr>
        <w:t xml:space="preserve">(Qal Imperativ Plural von </w:t>
      </w:r>
      <w:r w:rsidRPr="000C3A0E">
        <w:rPr>
          <w:rFonts w:eastAsia="Times New Roman" w:cs="Times New Roman"/>
          <w:b/>
          <w:bCs/>
          <w:rtl/>
          <w:lang w:eastAsia="de-DE"/>
        </w:rPr>
        <w:t>הלך</w:t>
      </w:r>
      <w:r w:rsidRPr="000C3A0E">
        <w:rPr>
          <w:rFonts w:eastAsia="Times New Roman" w:cs="Times New Roman"/>
          <w:lang w:eastAsia="de-DE"/>
        </w:rPr>
        <w:t xml:space="preserve">), </w:t>
      </w:r>
      <w:r w:rsidRPr="000C3A0E">
        <w:rPr>
          <w:rFonts w:eastAsia="Times New Roman" w:cs="Times New Roman"/>
          <w:b/>
          <w:bCs/>
          <w:rtl/>
          <w:lang w:eastAsia="de-DE"/>
        </w:rPr>
        <w:t>אֶל־אַרְצְכֶם</w:t>
      </w:r>
      <w:r w:rsidRPr="000C3A0E">
        <w:rPr>
          <w:rFonts w:eastAsia="Times New Roman" w:cs="Times New Roman"/>
          <w:rtl/>
          <w:lang w:eastAsia="de-DE"/>
        </w:rPr>
        <w:t xml:space="preserve"> </w:t>
      </w:r>
      <w:r w:rsidRPr="000C3A0E">
        <w:rPr>
          <w:rFonts w:eastAsia="Times New Roman" w:cs="Times New Roman"/>
          <w:lang w:eastAsia="de-DE"/>
        </w:rPr>
        <w:t>(„in euer Land") mit Possessivsuffix 2. m. pl. Bileam entlässt die Delegation.</w:t>
      </w:r>
    </w:p>
    <w:p w14:paraId="2BA8F8ED" w14:textId="2D732BCF"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Begründung </w:t>
      </w:r>
      <w:r w:rsidRPr="000C3A0E">
        <w:rPr>
          <w:rFonts w:eastAsia="Times New Roman" w:cs="Times New Roman"/>
          <w:b/>
          <w:bCs/>
          <w:rtl/>
          <w:lang w:eastAsia="de-DE"/>
        </w:rPr>
        <w:t>כִּי מֵאֵן יְהוָה לְתִתִּי לַהֲלֹךְ עִמָּכֶם</w:t>
      </w:r>
      <w:r w:rsidRPr="000C3A0E">
        <w:rPr>
          <w:rFonts w:eastAsia="Times New Roman" w:cs="Times New Roman"/>
          <w:rtl/>
          <w:lang w:eastAsia="de-DE"/>
        </w:rPr>
        <w:t xml:space="preserve"> </w:t>
      </w:r>
      <w:r w:rsidRPr="000C3A0E">
        <w:rPr>
          <w:rFonts w:eastAsia="Times New Roman" w:cs="Times New Roman"/>
          <w:lang w:eastAsia="de-DE"/>
        </w:rPr>
        <w:t xml:space="preserve">(„denn JHWH weigert sich, mir zu erlauben, mit euch zu gehen") – </w:t>
      </w:r>
      <w:r w:rsidRPr="000C3A0E">
        <w:rPr>
          <w:rFonts w:eastAsia="Times New Roman" w:cs="Times New Roman"/>
          <w:b/>
          <w:bCs/>
          <w:rtl/>
          <w:lang w:eastAsia="de-DE"/>
        </w:rPr>
        <w:t>כִּי</w:t>
      </w:r>
      <w:r w:rsidRPr="000C3A0E">
        <w:rPr>
          <w:rFonts w:eastAsia="Times New Roman" w:cs="Times New Roman"/>
          <w:rtl/>
          <w:lang w:eastAsia="de-DE"/>
        </w:rPr>
        <w:t xml:space="preserve"> </w:t>
      </w:r>
      <w:r w:rsidRPr="000C3A0E">
        <w:rPr>
          <w:rFonts w:eastAsia="Times New Roman" w:cs="Times New Roman"/>
          <w:lang w:eastAsia="de-DE"/>
        </w:rPr>
        <w:t xml:space="preserve">kausal, </w:t>
      </w:r>
      <w:r w:rsidRPr="000C3A0E">
        <w:rPr>
          <w:rFonts w:eastAsia="Times New Roman" w:cs="Times New Roman"/>
          <w:b/>
          <w:bCs/>
          <w:rtl/>
          <w:lang w:eastAsia="de-DE"/>
        </w:rPr>
        <w:t>מֵאֵן</w:t>
      </w:r>
      <w:r w:rsidRPr="000C3A0E">
        <w:rPr>
          <w:rFonts w:eastAsia="Times New Roman" w:cs="Times New Roman"/>
          <w:rtl/>
          <w:lang w:eastAsia="de-DE"/>
        </w:rPr>
        <w:t xml:space="preserve"> </w:t>
      </w:r>
      <w:r w:rsidRPr="000C3A0E">
        <w:rPr>
          <w:rFonts w:eastAsia="Times New Roman" w:cs="Times New Roman"/>
          <w:lang w:eastAsia="de-DE"/>
        </w:rPr>
        <w:t xml:space="preserve">(Piel Perfekt, 3. m. sg. von </w:t>
      </w:r>
      <w:r w:rsidRPr="000C3A0E">
        <w:rPr>
          <w:rFonts w:eastAsia="Times New Roman" w:cs="Times New Roman"/>
          <w:b/>
          <w:bCs/>
          <w:rtl/>
          <w:lang w:eastAsia="de-DE"/>
        </w:rPr>
        <w:t>מאן</w:t>
      </w:r>
      <w:r w:rsidRPr="000C3A0E">
        <w:rPr>
          <w:rFonts w:eastAsia="Times New Roman" w:cs="Times New Roman"/>
          <w:lang w:eastAsia="de-DE"/>
        </w:rPr>
        <w:t xml:space="preserve">, „er weigert sich, verweigert"), </w:t>
      </w:r>
      <w:r w:rsidRPr="000C3A0E">
        <w:rPr>
          <w:rFonts w:eastAsia="Times New Roman" w:cs="Times New Roman"/>
          <w:b/>
          <w:bCs/>
          <w:rtl/>
          <w:lang w:eastAsia="de-DE"/>
        </w:rPr>
        <w:t>יְהוָה</w:t>
      </w:r>
      <w:r w:rsidRPr="000C3A0E">
        <w:rPr>
          <w:rFonts w:eastAsia="Times New Roman" w:cs="Times New Roman"/>
          <w:rtl/>
          <w:lang w:eastAsia="de-DE"/>
        </w:rPr>
        <w:t xml:space="preserve"> </w:t>
      </w:r>
      <w:r w:rsidRPr="000C3A0E">
        <w:rPr>
          <w:rFonts w:eastAsia="Times New Roman" w:cs="Times New Roman"/>
          <w:lang w:eastAsia="de-DE"/>
        </w:rPr>
        <w:t xml:space="preserve">explizites Subjekt (beachte: jetzt </w:t>
      </w:r>
      <w:r w:rsidRPr="000C3A0E">
        <w:rPr>
          <w:rFonts w:eastAsia="Times New Roman" w:cs="Times New Roman"/>
          <w:b/>
          <w:bCs/>
          <w:rtl/>
          <w:lang w:eastAsia="de-DE"/>
        </w:rPr>
        <w:t>יְהוָה</w:t>
      </w:r>
      <w:r w:rsidRPr="000C3A0E">
        <w:rPr>
          <w:rFonts w:eastAsia="Times New Roman" w:cs="Times New Roman"/>
          <w:lang w:eastAsia="de-DE"/>
        </w:rPr>
        <w:t xml:space="preserve">, nicht </w:t>
      </w:r>
      <w:r w:rsidRPr="000C3A0E">
        <w:rPr>
          <w:rFonts w:eastAsia="Times New Roman" w:cs="Times New Roman"/>
          <w:b/>
          <w:bCs/>
          <w:rtl/>
          <w:lang w:eastAsia="de-DE"/>
        </w:rPr>
        <w:t>אֱלֹהִים</w:t>
      </w:r>
      <w:r w:rsidRPr="000C3A0E">
        <w:rPr>
          <w:rFonts w:eastAsia="Times New Roman" w:cs="Times New Roman"/>
          <w:rtl/>
          <w:lang w:eastAsia="de-DE"/>
        </w:rPr>
        <w:t xml:space="preserve"> </w:t>
      </w:r>
      <w:r w:rsidRPr="000C3A0E">
        <w:rPr>
          <w:rFonts w:eastAsia="Times New Roman" w:cs="Times New Roman"/>
          <w:lang w:eastAsia="de-DE"/>
        </w:rPr>
        <w:t>wie in V. 9-12!), die Infinitiv-</w:t>
      </w:r>
      <w:r w:rsidR="00F133EC">
        <w:rPr>
          <w:rFonts w:eastAsia="Times New Roman" w:cs="Times New Roman"/>
          <w:lang w:eastAsia="de-DE"/>
        </w:rPr>
        <w:t>Construct</w:t>
      </w:r>
      <w:r w:rsidRPr="000C3A0E">
        <w:rPr>
          <w:rFonts w:eastAsia="Times New Roman" w:cs="Times New Roman"/>
          <w:lang w:eastAsia="de-DE"/>
        </w:rPr>
        <w:t xml:space="preserve">ion </w:t>
      </w:r>
      <w:r w:rsidRPr="000C3A0E">
        <w:rPr>
          <w:rFonts w:eastAsia="Times New Roman" w:cs="Times New Roman"/>
          <w:b/>
          <w:bCs/>
          <w:rtl/>
          <w:lang w:eastAsia="de-DE"/>
        </w:rPr>
        <w:t>לְתִתִּי לַהֲלֹךְ עִמָּכֶם</w:t>
      </w:r>
      <w:r w:rsidRPr="000C3A0E">
        <w:rPr>
          <w:rFonts w:eastAsia="Times New Roman" w:cs="Times New Roman"/>
          <w:rtl/>
          <w:lang w:eastAsia="de-DE"/>
        </w:rPr>
        <w:t xml:space="preserve"> </w:t>
      </w:r>
      <w:r w:rsidRPr="000C3A0E">
        <w:rPr>
          <w:rFonts w:eastAsia="Times New Roman" w:cs="Times New Roman"/>
          <w:lang w:eastAsia="de-DE"/>
        </w:rPr>
        <w:t xml:space="preserve">(„mir zu erlauben/geben, mit euch zu gehen") – </w:t>
      </w:r>
      <w:r w:rsidRPr="000C3A0E">
        <w:rPr>
          <w:rFonts w:eastAsia="Times New Roman" w:cs="Times New Roman"/>
          <w:b/>
          <w:bCs/>
          <w:rtl/>
          <w:lang w:eastAsia="de-DE"/>
        </w:rPr>
        <w:t>לְתִתִּי</w:t>
      </w:r>
      <w:r w:rsidRPr="000C3A0E">
        <w:rPr>
          <w:rFonts w:eastAsia="Times New Roman" w:cs="Times New Roman"/>
          <w:rtl/>
          <w:lang w:eastAsia="de-DE"/>
        </w:rPr>
        <w:t xml:space="preserve"> </w:t>
      </w:r>
      <w:r w:rsidRPr="000C3A0E">
        <w:rPr>
          <w:rFonts w:eastAsia="Times New Roman" w:cs="Times New Roman"/>
          <w:lang w:eastAsia="de-DE"/>
        </w:rPr>
        <w:t xml:space="preserve">(Qal Infinitiv construct von </w:t>
      </w:r>
      <w:r w:rsidRPr="000C3A0E">
        <w:rPr>
          <w:rFonts w:eastAsia="Times New Roman" w:cs="Times New Roman"/>
          <w:b/>
          <w:bCs/>
          <w:rtl/>
          <w:lang w:eastAsia="de-DE"/>
        </w:rPr>
        <w:t>נתן</w:t>
      </w:r>
      <w:r w:rsidRPr="000C3A0E">
        <w:rPr>
          <w:rFonts w:eastAsia="Times New Roman" w:cs="Times New Roman"/>
          <w:rtl/>
          <w:lang w:eastAsia="de-DE"/>
        </w:rPr>
        <w:t xml:space="preserve"> </w:t>
      </w:r>
      <w:r w:rsidRPr="000C3A0E">
        <w:rPr>
          <w:rFonts w:eastAsia="Times New Roman" w:cs="Times New Roman"/>
          <w:lang w:eastAsia="de-DE"/>
        </w:rPr>
        <w:t xml:space="preserve">mit </w:t>
      </w:r>
      <w:r w:rsidRPr="000C3A0E">
        <w:rPr>
          <w:rFonts w:eastAsia="Times New Roman" w:cs="Times New Roman"/>
          <w:b/>
          <w:bCs/>
          <w:rtl/>
          <w:lang w:eastAsia="de-DE"/>
        </w:rPr>
        <w:t>לְ</w:t>
      </w:r>
      <w:r w:rsidRPr="000C3A0E">
        <w:rPr>
          <w:rFonts w:eastAsia="Times New Roman" w:cs="Times New Roman"/>
          <w:rtl/>
          <w:lang w:eastAsia="de-DE"/>
        </w:rPr>
        <w:t xml:space="preserve"> </w:t>
      </w:r>
      <w:r w:rsidRPr="000C3A0E">
        <w:rPr>
          <w:rFonts w:eastAsia="Times New Roman" w:cs="Times New Roman"/>
          <w:lang w:eastAsia="de-DE"/>
        </w:rPr>
        <w:t xml:space="preserve">und Suffix 1. c. sg., „mir zu geben"), </w:t>
      </w:r>
      <w:r w:rsidRPr="000C3A0E">
        <w:rPr>
          <w:rFonts w:eastAsia="Times New Roman" w:cs="Times New Roman"/>
          <w:b/>
          <w:bCs/>
          <w:rtl/>
          <w:lang w:eastAsia="de-DE"/>
        </w:rPr>
        <w:t>לַהֲלֹךְ</w:t>
      </w:r>
      <w:r w:rsidRPr="000C3A0E">
        <w:rPr>
          <w:rFonts w:eastAsia="Times New Roman" w:cs="Times New Roman"/>
          <w:rtl/>
          <w:lang w:eastAsia="de-DE"/>
        </w:rPr>
        <w:t xml:space="preserve"> </w:t>
      </w:r>
      <w:r w:rsidRPr="000C3A0E">
        <w:rPr>
          <w:rFonts w:eastAsia="Times New Roman" w:cs="Times New Roman"/>
          <w:lang w:eastAsia="de-DE"/>
        </w:rPr>
        <w:t xml:space="preserve">(Qal Infinitiv construct von </w:t>
      </w:r>
      <w:r w:rsidRPr="000C3A0E">
        <w:rPr>
          <w:rFonts w:eastAsia="Times New Roman" w:cs="Times New Roman"/>
          <w:b/>
          <w:bCs/>
          <w:rtl/>
          <w:lang w:eastAsia="de-DE"/>
        </w:rPr>
        <w:t>הלך</w:t>
      </w:r>
      <w:r w:rsidRPr="000C3A0E">
        <w:rPr>
          <w:rFonts w:eastAsia="Times New Roman" w:cs="Times New Roman"/>
          <w:rtl/>
          <w:lang w:eastAsia="de-DE"/>
        </w:rPr>
        <w:t xml:space="preserve"> </w:t>
      </w:r>
      <w:r w:rsidRPr="000C3A0E">
        <w:rPr>
          <w:rFonts w:eastAsia="Times New Roman" w:cs="Times New Roman"/>
          <w:lang w:eastAsia="de-DE"/>
        </w:rPr>
        <w:t xml:space="preserve">mit </w:t>
      </w:r>
      <w:r w:rsidRPr="000C3A0E">
        <w:rPr>
          <w:rFonts w:eastAsia="Times New Roman" w:cs="Times New Roman"/>
          <w:b/>
          <w:bCs/>
          <w:rtl/>
          <w:lang w:eastAsia="de-DE"/>
        </w:rPr>
        <w:t>לְ</w:t>
      </w:r>
      <w:r w:rsidRPr="000C3A0E">
        <w:rPr>
          <w:rFonts w:eastAsia="Times New Roman" w:cs="Times New Roman"/>
          <w:lang w:eastAsia="de-DE"/>
        </w:rPr>
        <w:t xml:space="preserve">, „zu gehen"), </w:t>
      </w:r>
      <w:r w:rsidRPr="000C3A0E">
        <w:rPr>
          <w:rFonts w:eastAsia="Times New Roman" w:cs="Times New Roman"/>
          <w:b/>
          <w:bCs/>
          <w:rtl/>
          <w:lang w:eastAsia="de-DE"/>
        </w:rPr>
        <w:t>עִמָּכֶם</w:t>
      </w:r>
      <w:r w:rsidRPr="000C3A0E">
        <w:rPr>
          <w:rFonts w:eastAsia="Times New Roman" w:cs="Times New Roman"/>
          <w:rtl/>
          <w:lang w:eastAsia="de-DE"/>
        </w:rPr>
        <w:t xml:space="preserve"> </w:t>
      </w:r>
      <w:r w:rsidRPr="000C3A0E">
        <w:rPr>
          <w:rFonts w:eastAsia="Times New Roman" w:cs="Times New Roman"/>
          <w:lang w:eastAsia="de-DE"/>
        </w:rPr>
        <w:t>mit Suffix 2. m. pl.</w:t>
      </w:r>
    </w:p>
    <w:p w14:paraId="0C625CD7"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Bemerkenswert: Bileam gibt die Botschaft teilweise wieder. Gott sagte (V. 12): (1) „geh nicht mit ihnen", (2) „verfluche das Volk nicht", (3) „denn es ist gesegnet". Bileam erwähnt nur den ersten Teil – er verschweigt, dass das Volk </w:t>
      </w:r>
      <w:r w:rsidRPr="000C3A0E">
        <w:rPr>
          <w:rFonts w:eastAsia="Times New Roman" w:cs="Times New Roman"/>
          <w:b/>
          <w:bCs/>
          <w:lang w:eastAsia="de-DE"/>
        </w:rPr>
        <w:t>gesegnet</w:t>
      </w:r>
      <w:r w:rsidRPr="000C3A0E">
        <w:rPr>
          <w:rFonts w:eastAsia="Times New Roman" w:cs="Times New Roman"/>
          <w:lang w:eastAsia="de-DE"/>
        </w:rPr>
        <w:t xml:space="preserve"> ist und dass der </w:t>
      </w:r>
      <w:r w:rsidRPr="000C3A0E">
        <w:rPr>
          <w:rFonts w:eastAsia="Times New Roman" w:cs="Times New Roman"/>
          <w:b/>
          <w:bCs/>
          <w:lang w:eastAsia="de-DE"/>
        </w:rPr>
        <w:t>Fluch verboten</w:t>
      </w:r>
      <w:r w:rsidRPr="000C3A0E">
        <w:rPr>
          <w:rFonts w:eastAsia="Times New Roman" w:cs="Times New Roman"/>
          <w:lang w:eastAsia="de-DE"/>
        </w:rPr>
        <w:t xml:space="preserve"> ist. Diese Auslassung ist bedeutsam – entweder aus Takt (um Balak nicht völlig zu entmutigen) oder aus Eigeninteresse (die Tür für spätere Verhandlungen offen lassend).</w:t>
      </w:r>
    </w:p>
    <w:p w14:paraId="3490552F"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w:t>
      </w:r>
    </w:p>
    <w:p w14:paraId="2020C4F1" w14:textId="47BA1D83"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zeigt drei koordinierte Hauptsätze: Die ersten beiden mit Verb, Subjekt, Zeitangabe bzw. Verb, indirektem Objekt und Imperativ mit Präpositionalphrase; die direkte Rede enthält einen kausalen Nebensatz mit Konjunktion, Verb, Subjekt und doppelter Infinitiv-</w:t>
      </w:r>
      <w:r w:rsidR="00F133EC">
        <w:rPr>
          <w:rFonts w:eastAsia="Times New Roman" w:cs="Times New Roman"/>
          <w:lang w:eastAsia="de-DE"/>
        </w:rPr>
        <w:t>Construct</w:t>
      </w:r>
      <w:r w:rsidRPr="000C3A0E">
        <w:rPr>
          <w:rFonts w:eastAsia="Times New Roman" w:cs="Times New Roman"/>
          <w:lang w:eastAsia="de-DE"/>
        </w:rPr>
        <w:t>ion. Insgesamt gibt es einen Nebensatz (Kausalsatz mit Infinitivkonstruktionen).</w:t>
      </w:r>
    </w:p>
    <w:p w14:paraId="2430155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zeigt Bileams Gehorsam – aber auch seine diplomatische Zurückhaltung: Er gibt nicht die volle göttliche Botschaft weiter, sondern nur den Teil über das Reiseverbot.</w:t>
      </w:r>
    </w:p>
    <w:p w14:paraId="63B05305"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22,14</w:t>
      </w:r>
    </w:p>
    <w:p w14:paraId="7E6DD688"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וַיָּק֨וּמוּ֙ שָׂרֵ֣י מוֹאָ֔ב וַיָּבֹ֖אוּ אֶל־בָּלָ֑ק וַיֹּ֣אמְר֔וּ מֵאֵ֥ן בִּלְעָ֖ם הֲלֹ֥ךְ עִמָּֽנוּ׃</w:t>
      </w:r>
    </w:p>
    <w:p w14:paraId="56CC18F0"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die Fürsten von Moab machten sich auf und kamen zu Balak und sagten: Bileam weigert sich, mit uns zu kommen.</w:t>
      </w:r>
    </w:p>
    <w:p w14:paraId="6EE5A100"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7B2CB86E">
          <v:rect id="_x0000_i1773" style="width:0;height:1.5pt" o:hralign="center" o:hrstd="t" o:hr="t" fillcolor="#a0a0a0" stroked="f"/>
        </w:pict>
      </w:r>
    </w:p>
    <w:p w14:paraId="7A5E79D4"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Die Rückkehr: </w:t>
      </w:r>
      <w:r w:rsidRPr="000C3A0E">
        <w:rPr>
          <w:rFonts w:eastAsia="Times New Roman" w:cs="Times New Roman"/>
          <w:b/>
          <w:bCs/>
          <w:rtl/>
          <w:lang w:eastAsia="de-DE"/>
        </w:rPr>
        <w:t>וַיָּקוּמוּ שָׂרֵי מוֹאָב וַיָּבֹאוּ אֶל־בָּלָק</w:t>
      </w:r>
      <w:r w:rsidRPr="000C3A0E">
        <w:rPr>
          <w:rFonts w:eastAsia="Times New Roman" w:cs="Times New Roman"/>
          <w:rtl/>
          <w:lang w:eastAsia="de-DE"/>
        </w:rPr>
        <w:t xml:space="preserve"> </w:t>
      </w:r>
      <w:r w:rsidRPr="000C3A0E">
        <w:rPr>
          <w:rFonts w:eastAsia="Times New Roman" w:cs="Times New Roman"/>
          <w:lang w:eastAsia="de-DE"/>
        </w:rPr>
        <w:t>(„und die Fürsten von Moab machten sich auf und kamen zu Balak") – zwei Verben dokumentieren die Rückkehr.</w:t>
      </w:r>
    </w:p>
    <w:p w14:paraId="1574AB89"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Mitteilung </w:t>
      </w:r>
      <w:r w:rsidRPr="000C3A0E">
        <w:rPr>
          <w:rFonts w:eastAsia="Times New Roman" w:cs="Times New Roman"/>
          <w:b/>
          <w:bCs/>
          <w:rtl/>
          <w:lang w:eastAsia="de-DE"/>
        </w:rPr>
        <w:t>וַיֹּאמְרוּ מֵאֵן בִּלְעָם הֲלֹךְ עִמָּנוּ</w:t>
      </w:r>
      <w:r w:rsidRPr="000C3A0E">
        <w:rPr>
          <w:rFonts w:eastAsia="Times New Roman" w:cs="Times New Roman"/>
          <w:rtl/>
          <w:lang w:eastAsia="de-DE"/>
        </w:rPr>
        <w:t xml:space="preserve"> </w:t>
      </w:r>
      <w:r w:rsidRPr="000C3A0E">
        <w:rPr>
          <w:rFonts w:eastAsia="Times New Roman" w:cs="Times New Roman"/>
          <w:lang w:eastAsia="de-DE"/>
        </w:rPr>
        <w:t xml:space="preserve">(„und sie sagten: Bileam weigert sich, mit uns zu kommen") – </w:t>
      </w:r>
      <w:r w:rsidRPr="000C3A0E">
        <w:rPr>
          <w:rFonts w:eastAsia="Times New Roman" w:cs="Times New Roman"/>
          <w:b/>
          <w:bCs/>
          <w:rtl/>
          <w:lang w:eastAsia="de-DE"/>
        </w:rPr>
        <w:t>מֵאֵן</w:t>
      </w:r>
      <w:r w:rsidRPr="000C3A0E">
        <w:rPr>
          <w:rFonts w:eastAsia="Times New Roman" w:cs="Times New Roman"/>
          <w:rtl/>
          <w:lang w:eastAsia="de-DE"/>
        </w:rPr>
        <w:t xml:space="preserve"> </w:t>
      </w:r>
      <w:r w:rsidRPr="000C3A0E">
        <w:rPr>
          <w:rFonts w:eastAsia="Times New Roman" w:cs="Times New Roman"/>
          <w:lang w:eastAsia="de-DE"/>
        </w:rPr>
        <w:t xml:space="preserve">(Piel Perfekt, 3. m. sg. von </w:t>
      </w:r>
      <w:r w:rsidRPr="000C3A0E">
        <w:rPr>
          <w:rFonts w:eastAsia="Times New Roman" w:cs="Times New Roman"/>
          <w:b/>
          <w:bCs/>
          <w:rtl/>
          <w:lang w:eastAsia="de-DE"/>
        </w:rPr>
        <w:t>מאן</w:t>
      </w:r>
      <w:r w:rsidRPr="000C3A0E">
        <w:rPr>
          <w:rFonts w:eastAsia="Times New Roman" w:cs="Times New Roman"/>
          <w:lang w:eastAsia="de-DE"/>
        </w:rPr>
        <w:t xml:space="preserve">, „er weigert sich"), </w:t>
      </w:r>
      <w:r w:rsidRPr="000C3A0E">
        <w:rPr>
          <w:rFonts w:eastAsia="Times New Roman" w:cs="Times New Roman"/>
          <w:b/>
          <w:bCs/>
          <w:rtl/>
          <w:lang w:eastAsia="de-DE"/>
        </w:rPr>
        <w:t>בִּלְעָם</w:t>
      </w:r>
      <w:r w:rsidRPr="000C3A0E">
        <w:rPr>
          <w:rFonts w:eastAsia="Times New Roman" w:cs="Times New Roman"/>
          <w:rtl/>
          <w:lang w:eastAsia="de-DE"/>
        </w:rPr>
        <w:t xml:space="preserve"> </w:t>
      </w:r>
      <w:r w:rsidRPr="000C3A0E">
        <w:rPr>
          <w:rFonts w:eastAsia="Times New Roman" w:cs="Times New Roman"/>
          <w:lang w:eastAsia="de-DE"/>
        </w:rPr>
        <w:t xml:space="preserve">Subjekt, </w:t>
      </w:r>
      <w:r w:rsidRPr="000C3A0E">
        <w:rPr>
          <w:rFonts w:eastAsia="Times New Roman" w:cs="Times New Roman"/>
          <w:b/>
          <w:bCs/>
          <w:rtl/>
          <w:lang w:eastAsia="de-DE"/>
        </w:rPr>
        <w:t>הֲלֹךְ</w:t>
      </w:r>
      <w:r w:rsidRPr="000C3A0E">
        <w:rPr>
          <w:rFonts w:eastAsia="Times New Roman" w:cs="Times New Roman"/>
          <w:rtl/>
          <w:lang w:eastAsia="de-DE"/>
        </w:rPr>
        <w:t xml:space="preserve"> </w:t>
      </w:r>
      <w:r w:rsidRPr="000C3A0E">
        <w:rPr>
          <w:rFonts w:eastAsia="Times New Roman" w:cs="Times New Roman"/>
          <w:lang w:eastAsia="de-DE"/>
        </w:rPr>
        <w:t xml:space="preserve">(Qal Infinitiv construct von </w:t>
      </w:r>
      <w:r w:rsidRPr="000C3A0E">
        <w:rPr>
          <w:rFonts w:eastAsia="Times New Roman" w:cs="Times New Roman"/>
          <w:b/>
          <w:bCs/>
          <w:rtl/>
          <w:lang w:eastAsia="de-DE"/>
        </w:rPr>
        <w:t>הלך</w:t>
      </w:r>
      <w:r w:rsidRPr="000C3A0E">
        <w:rPr>
          <w:rFonts w:eastAsia="Times New Roman" w:cs="Times New Roman"/>
          <w:lang w:eastAsia="de-DE"/>
        </w:rPr>
        <w:t xml:space="preserve">, „zu gehen"), </w:t>
      </w:r>
      <w:r w:rsidRPr="000C3A0E">
        <w:rPr>
          <w:rFonts w:eastAsia="Times New Roman" w:cs="Times New Roman"/>
          <w:b/>
          <w:bCs/>
          <w:rtl/>
          <w:lang w:eastAsia="de-DE"/>
        </w:rPr>
        <w:t>עִמָּנוּ</w:t>
      </w:r>
      <w:r w:rsidRPr="000C3A0E">
        <w:rPr>
          <w:rFonts w:eastAsia="Times New Roman" w:cs="Times New Roman"/>
          <w:rtl/>
          <w:lang w:eastAsia="de-DE"/>
        </w:rPr>
        <w:t xml:space="preserve"> </w:t>
      </w:r>
      <w:r w:rsidRPr="000C3A0E">
        <w:rPr>
          <w:rFonts w:eastAsia="Times New Roman" w:cs="Times New Roman"/>
          <w:lang w:eastAsia="de-DE"/>
        </w:rPr>
        <w:t>„mit uns".</w:t>
      </w:r>
    </w:p>
    <w:p w14:paraId="37E56170"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Fürsten verkürzen die Botschaft noch weiter: Sie erwähnen nicht einmal </w:t>
      </w:r>
      <w:r w:rsidRPr="000C3A0E">
        <w:rPr>
          <w:rFonts w:eastAsia="Times New Roman" w:cs="Times New Roman"/>
          <w:b/>
          <w:bCs/>
          <w:lang w:eastAsia="de-DE"/>
        </w:rPr>
        <w:t>JHWH</w:t>
      </w:r>
      <w:r w:rsidRPr="000C3A0E">
        <w:rPr>
          <w:rFonts w:eastAsia="Times New Roman" w:cs="Times New Roman"/>
          <w:lang w:eastAsia="de-DE"/>
        </w:rPr>
        <w:t>! Sie sagen nur „Bileam weigert sich" – als ob es Bileams eigene Entscheidung wäre, nicht Gottes Befehl. Dies könnte Missverständnis sein oder bewusste Verdrehung, um Balak nicht zu entmutigen und die Schuld auf Bileam zu schieben statt auf göttliche Intervention.</w:t>
      </w:r>
    </w:p>
    <w:p w14:paraId="75D7E824"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lastRenderedPageBreak/>
        <w:t>Die LXX</w:t>
      </w:r>
      <w:r w:rsidRPr="000C3A0E">
        <w:rPr>
          <w:rFonts w:eastAsia="Times New Roman" w:cs="Times New Roman"/>
          <w:lang w:eastAsia="de-DE"/>
        </w:rPr>
        <w:t xml:space="preserve"> folgt dem hebräischen Text.</w:t>
      </w:r>
    </w:p>
    <w:p w14:paraId="76F1A0D7"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zeigt drei koordinierte Hauptsätze: Die ersten beiden mit Verb, Subjekt bzw. Verb und Präpositionalphrase; der dritte mit Verb und direkter Rede (Hauptsatz mit Verb, Subjekt, Infinitiv construct und Präpositionalphrase). Es gibt keine subordinierten Nebensätze.</w:t>
      </w:r>
    </w:p>
    <w:p w14:paraId="2EB44A5F"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zeigt die fortschreitende Verkürzung der Botschaft: Gott sagte „geh nicht, verfluche nicht, denn es ist gesegnet" → Bileam sagte „JHWH weigert sich, mich gehen zu lassen" → Die Fürsten sagen „Bileam weigert sich zu kommen". Die göttliche Dimension wird zunehmend ausgeblendet.</w:t>
      </w:r>
    </w:p>
    <w:p w14:paraId="5595F880"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22,15</w:t>
      </w:r>
    </w:p>
    <w:p w14:paraId="756B261B"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וַיֹּ֥סֶף ע֖וֹד בָּלָ֑ק שְׁלֹ֣חַ שָׂרִ֔ים רַבִּ֥ים וְנִכְבָּדִ֖ים מֵאֵֽלֶּה׃</w:t>
      </w:r>
    </w:p>
    <w:p w14:paraId="2AA1D152"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Balak sandte noch einmal Fürsten, mehr und angesehenere als diese.</w:t>
      </w:r>
    </w:p>
    <w:p w14:paraId="1CE805D7"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pict w14:anchorId="7DAC55A9">
          <v:rect id="_x0000_i1774" style="width:0;height:1.5pt" o:hralign="center" o:hrstd="t" o:hr="t" fillcolor="#a0a0a0" stroked="f"/>
        </w:pict>
      </w:r>
    </w:p>
    <w:p w14:paraId="0C34D4C9"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Das Verb </w:t>
      </w:r>
      <w:r w:rsidRPr="000C3A0E">
        <w:rPr>
          <w:rFonts w:eastAsia="Times New Roman" w:cs="Times New Roman"/>
          <w:b/>
          <w:bCs/>
          <w:rtl/>
          <w:lang w:eastAsia="de-DE"/>
        </w:rPr>
        <w:t>וַיֹּסֶף עוֹד בָּלָק</w:t>
      </w:r>
      <w:r w:rsidRPr="000C3A0E">
        <w:rPr>
          <w:rFonts w:eastAsia="Times New Roman" w:cs="Times New Roman"/>
          <w:rtl/>
          <w:lang w:eastAsia="de-DE"/>
        </w:rPr>
        <w:t xml:space="preserve"> </w:t>
      </w:r>
      <w:r w:rsidRPr="000C3A0E">
        <w:rPr>
          <w:rFonts w:eastAsia="Times New Roman" w:cs="Times New Roman"/>
          <w:lang w:eastAsia="de-DE"/>
        </w:rPr>
        <w:t xml:space="preserve">(„und Balak fuhr fort noch, sandte noch einmal") – </w:t>
      </w:r>
      <w:r w:rsidRPr="000C3A0E">
        <w:rPr>
          <w:rFonts w:eastAsia="Times New Roman" w:cs="Times New Roman"/>
          <w:b/>
          <w:bCs/>
          <w:rtl/>
          <w:lang w:eastAsia="de-DE"/>
        </w:rPr>
        <w:t>וַיֹּסֶף</w:t>
      </w:r>
      <w:r w:rsidRPr="000C3A0E">
        <w:rPr>
          <w:rFonts w:eastAsia="Times New Roman" w:cs="Times New Roman"/>
          <w:rtl/>
          <w:lang w:eastAsia="de-DE"/>
        </w:rPr>
        <w:t xml:space="preserve"> </w:t>
      </w:r>
      <w:r w:rsidRPr="000C3A0E">
        <w:rPr>
          <w:rFonts w:eastAsia="Times New Roman" w:cs="Times New Roman"/>
          <w:lang w:eastAsia="de-DE"/>
        </w:rPr>
        <w:t xml:space="preserve">(Wayyiqtol, 3. m. sg. von </w:t>
      </w:r>
      <w:r w:rsidRPr="000C3A0E">
        <w:rPr>
          <w:rFonts w:eastAsia="Times New Roman" w:cs="Times New Roman"/>
          <w:b/>
          <w:bCs/>
          <w:rtl/>
          <w:lang w:eastAsia="de-DE"/>
        </w:rPr>
        <w:t>יסף</w:t>
      </w:r>
      <w:r w:rsidRPr="000C3A0E">
        <w:rPr>
          <w:rFonts w:eastAsia="Times New Roman" w:cs="Times New Roman"/>
          <w:rtl/>
          <w:lang w:eastAsia="de-DE"/>
        </w:rPr>
        <w:t xml:space="preserve"> </w:t>
      </w:r>
      <w:r w:rsidRPr="000C3A0E">
        <w:rPr>
          <w:rFonts w:eastAsia="Times New Roman" w:cs="Times New Roman"/>
          <w:lang w:eastAsia="de-DE"/>
        </w:rPr>
        <w:t xml:space="preserve">Hifil, „und er fügte hinzu, fuhr fort"), </w:t>
      </w:r>
      <w:r w:rsidRPr="000C3A0E">
        <w:rPr>
          <w:rFonts w:eastAsia="Times New Roman" w:cs="Times New Roman"/>
          <w:b/>
          <w:bCs/>
          <w:rtl/>
          <w:lang w:eastAsia="de-DE"/>
        </w:rPr>
        <w:t>עוֹד</w:t>
      </w:r>
      <w:r w:rsidRPr="000C3A0E">
        <w:rPr>
          <w:rFonts w:eastAsia="Times New Roman" w:cs="Times New Roman"/>
          <w:rtl/>
          <w:lang w:eastAsia="de-DE"/>
        </w:rPr>
        <w:t xml:space="preserve"> </w:t>
      </w:r>
      <w:r w:rsidRPr="000C3A0E">
        <w:rPr>
          <w:rFonts w:eastAsia="Times New Roman" w:cs="Times New Roman"/>
          <w:lang w:eastAsia="de-DE"/>
        </w:rPr>
        <w:t xml:space="preserve">Adverb „noch, wieder" verstärkt. Der Infinitiv </w:t>
      </w:r>
      <w:r w:rsidRPr="000C3A0E">
        <w:rPr>
          <w:rFonts w:eastAsia="Times New Roman" w:cs="Times New Roman"/>
          <w:b/>
          <w:bCs/>
          <w:rtl/>
          <w:lang w:eastAsia="de-DE"/>
        </w:rPr>
        <w:t>שְׁלֹחַ שָׂרִים</w:t>
      </w:r>
      <w:r w:rsidRPr="000C3A0E">
        <w:rPr>
          <w:rFonts w:eastAsia="Times New Roman" w:cs="Times New Roman"/>
          <w:rtl/>
          <w:lang w:eastAsia="de-DE"/>
        </w:rPr>
        <w:t xml:space="preserve"> </w:t>
      </w:r>
      <w:r w:rsidRPr="000C3A0E">
        <w:rPr>
          <w:rFonts w:eastAsia="Times New Roman" w:cs="Times New Roman"/>
          <w:lang w:eastAsia="de-DE"/>
        </w:rPr>
        <w:t xml:space="preserve">(Qal Infinitiv construct von </w:t>
      </w:r>
      <w:r w:rsidRPr="000C3A0E">
        <w:rPr>
          <w:rFonts w:eastAsia="Times New Roman" w:cs="Times New Roman"/>
          <w:b/>
          <w:bCs/>
          <w:rtl/>
          <w:lang w:eastAsia="de-DE"/>
        </w:rPr>
        <w:t>שׁלח</w:t>
      </w:r>
      <w:r w:rsidRPr="000C3A0E">
        <w:rPr>
          <w:rFonts w:eastAsia="Times New Roman" w:cs="Times New Roman"/>
          <w:lang w:eastAsia="de-DE"/>
        </w:rPr>
        <w:t>, „Fürsten senden") als Objekt.</w:t>
      </w:r>
    </w:p>
    <w:p w14:paraId="61D3E807"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Qualifikation </w:t>
      </w:r>
      <w:r w:rsidRPr="000C3A0E">
        <w:rPr>
          <w:rFonts w:eastAsia="Times New Roman" w:cs="Times New Roman"/>
          <w:b/>
          <w:bCs/>
          <w:rtl/>
          <w:lang w:eastAsia="de-DE"/>
        </w:rPr>
        <w:t>רַבִּים וְנִכְבָּדִים מֵאֵלֶּה</w:t>
      </w:r>
      <w:r w:rsidRPr="000C3A0E">
        <w:rPr>
          <w:rFonts w:eastAsia="Times New Roman" w:cs="Times New Roman"/>
          <w:rtl/>
          <w:lang w:eastAsia="de-DE"/>
        </w:rPr>
        <w:t xml:space="preserve"> </w:t>
      </w:r>
      <w:r w:rsidRPr="000C3A0E">
        <w:rPr>
          <w:rFonts w:eastAsia="Times New Roman" w:cs="Times New Roman"/>
          <w:lang w:eastAsia="de-DE"/>
        </w:rPr>
        <w:t xml:space="preserve">(„mehr und angesehenere als diese") – </w:t>
      </w:r>
      <w:r w:rsidRPr="000C3A0E">
        <w:rPr>
          <w:rFonts w:eastAsia="Times New Roman" w:cs="Times New Roman"/>
          <w:b/>
          <w:bCs/>
          <w:rtl/>
          <w:lang w:eastAsia="de-DE"/>
        </w:rPr>
        <w:t>רַבִּים</w:t>
      </w:r>
      <w:r w:rsidRPr="000C3A0E">
        <w:rPr>
          <w:rFonts w:eastAsia="Times New Roman" w:cs="Times New Roman"/>
          <w:rtl/>
          <w:lang w:eastAsia="de-DE"/>
        </w:rPr>
        <w:t xml:space="preserve"> </w:t>
      </w:r>
      <w:r w:rsidRPr="000C3A0E">
        <w:rPr>
          <w:rFonts w:eastAsia="Times New Roman" w:cs="Times New Roman"/>
          <w:lang w:eastAsia="de-DE"/>
        </w:rPr>
        <w:t xml:space="preserve">„viele, zahlreiche", </w:t>
      </w:r>
      <w:r w:rsidRPr="000C3A0E">
        <w:rPr>
          <w:rFonts w:eastAsia="Times New Roman" w:cs="Times New Roman"/>
          <w:b/>
          <w:bCs/>
          <w:rtl/>
          <w:lang w:eastAsia="de-DE"/>
        </w:rPr>
        <w:t>וְנִכְבָּדִים</w:t>
      </w:r>
      <w:r w:rsidRPr="000C3A0E">
        <w:rPr>
          <w:rFonts w:eastAsia="Times New Roman" w:cs="Times New Roman"/>
          <w:rtl/>
          <w:lang w:eastAsia="de-DE"/>
        </w:rPr>
        <w:t xml:space="preserve"> </w:t>
      </w:r>
      <w:r w:rsidRPr="000C3A0E">
        <w:rPr>
          <w:rFonts w:eastAsia="Times New Roman" w:cs="Times New Roman"/>
          <w:lang w:eastAsia="de-DE"/>
        </w:rPr>
        <w:t xml:space="preserve">(Waw + Nifal Partizip Plural von </w:t>
      </w:r>
      <w:r w:rsidRPr="000C3A0E">
        <w:rPr>
          <w:rFonts w:eastAsia="Times New Roman" w:cs="Times New Roman"/>
          <w:b/>
          <w:bCs/>
          <w:rtl/>
          <w:lang w:eastAsia="de-DE"/>
        </w:rPr>
        <w:t>כבד</w:t>
      </w:r>
      <w:r w:rsidRPr="000C3A0E">
        <w:rPr>
          <w:rFonts w:eastAsia="Times New Roman" w:cs="Times New Roman"/>
          <w:lang w:eastAsia="de-DE"/>
        </w:rPr>
        <w:t xml:space="preserve">, „und angesehenere, geehrtere") – </w:t>
      </w:r>
      <w:r w:rsidRPr="000C3A0E">
        <w:rPr>
          <w:rFonts w:eastAsia="Times New Roman" w:cs="Times New Roman"/>
          <w:b/>
          <w:bCs/>
          <w:rtl/>
          <w:lang w:eastAsia="de-DE"/>
        </w:rPr>
        <w:t>כבד</w:t>
      </w:r>
      <w:r w:rsidRPr="000C3A0E">
        <w:rPr>
          <w:rFonts w:eastAsia="Times New Roman" w:cs="Times New Roman"/>
          <w:rtl/>
          <w:lang w:eastAsia="de-DE"/>
        </w:rPr>
        <w:t xml:space="preserve"> </w:t>
      </w:r>
      <w:r w:rsidRPr="000C3A0E">
        <w:rPr>
          <w:rFonts w:eastAsia="Times New Roman" w:cs="Times New Roman"/>
          <w:lang w:eastAsia="de-DE"/>
        </w:rPr>
        <w:t xml:space="preserve">im Nifal „geehrt, angesehen sein", </w:t>
      </w:r>
      <w:r w:rsidRPr="000C3A0E">
        <w:rPr>
          <w:rFonts w:eastAsia="Times New Roman" w:cs="Times New Roman"/>
          <w:b/>
          <w:bCs/>
          <w:rtl/>
          <w:lang w:eastAsia="de-DE"/>
        </w:rPr>
        <w:t>מֵאֵלֶּה</w:t>
      </w:r>
      <w:r w:rsidRPr="000C3A0E">
        <w:rPr>
          <w:rFonts w:eastAsia="Times New Roman" w:cs="Times New Roman"/>
          <w:rtl/>
          <w:lang w:eastAsia="de-DE"/>
        </w:rPr>
        <w:t xml:space="preserve"> </w:t>
      </w:r>
      <w:r w:rsidRPr="000C3A0E">
        <w:rPr>
          <w:rFonts w:eastAsia="Times New Roman" w:cs="Times New Roman"/>
          <w:lang w:eastAsia="de-DE"/>
        </w:rPr>
        <w:t xml:space="preserve">(„als diese") mit komparativem </w:t>
      </w:r>
      <w:r w:rsidRPr="000C3A0E">
        <w:rPr>
          <w:rFonts w:eastAsia="Times New Roman" w:cs="Times New Roman"/>
          <w:b/>
          <w:bCs/>
          <w:rtl/>
          <w:lang w:eastAsia="de-DE"/>
        </w:rPr>
        <w:t>מִן</w:t>
      </w:r>
      <w:r w:rsidRPr="000C3A0E">
        <w:rPr>
          <w:rFonts w:eastAsia="Times New Roman" w:cs="Times New Roman"/>
          <w:rtl/>
          <w:lang w:eastAsia="de-DE"/>
        </w:rPr>
        <w:t xml:space="preserve"> </w:t>
      </w:r>
      <w:r w:rsidRPr="000C3A0E">
        <w:rPr>
          <w:rFonts w:eastAsia="Times New Roman" w:cs="Times New Roman"/>
          <w:lang w:eastAsia="de-DE"/>
        </w:rPr>
        <w:t>und Demonstrativpronomen. Balak erhöht den Einsatz: eine größere und prestigeträchtigere Delegation – mehr Druck, mehr Ehre, implizit mehr Geld.</w:t>
      </w:r>
    </w:p>
    <w:p w14:paraId="1979398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w:t>
      </w:r>
    </w:p>
    <w:p w14:paraId="5AA18401"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Satzstruktur zeigt einen Hauptsatz mit Verb (mit Adverb), Subjekt, Infinitiv construct mit Objekt und zwei attributiven Adjektiven (Partizip) mit Komparativ. Es gibt keine Nebensätze.</w:t>
      </w:r>
    </w:p>
    <w:p w14:paraId="0151F388"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Der Vers zeigt Balaks Hartnäckigkeit: Die erste Ablehnung akzeptiert er nicht, sondern versucht es mit größerem diplomatischem Gewicht.</w:t>
      </w:r>
    </w:p>
    <w:p w14:paraId="3FF861BA" w14:textId="77777777" w:rsidR="000C3A0E" w:rsidRPr="000C3A0E" w:rsidRDefault="000C3A0E" w:rsidP="000C3A0E">
      <w:pPr>
        <w:spacing w:before="100" w:beforeAutospacing="1" w:after="100" w:afterAutospacing="1" w:line="240" w:lineRule="auto"/>
        <w:outlineLvl w:val="0"/>
        <w:rPr>
          <w:rFonts w:eastAsia="Times New Roman" w:cs="Times New Roman"/>
          <w:b/>
          <w:bCs/>
          <w:kern w:val="36"/>
          <w:sz w:val="48"/>
          <w:szCs w:val="48"/>
          <w:lang w:eastAsia="de-DE"/>
        </w:rPr>
      </w:pPr>
      <w:r w:rsidRPr="000C3A0E">
        <w:rPr>
          <w:rFonts w:eastAsia="Times New Roman" w:cs="Times New Roman"/>
          <w:b/>
          <w:bCs/>
          <w:kern w:val="36"/>
          <w:sz w:val="48"/>
          <w:szCs w:val="48"/>
          <w:lang w:eastAsia="de-DE"/>
        </w:rPr>
        <w:t>Numeri 22,16-17</w:t>
      </w:r>
    </w:p>
    <w:p w14:paraId="36C9F4B0"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Hebräisch:</w:t>
      </w:r>
      <w:r w:rsidRPr="000C3A0E">
        <w:rPr>
          <w:rFonts w:eastAsia="Times New Roman" w:cs="Times New Roman"/>
          <w:lang w:eastAsia="de-DE"/>
        </w:rPr>
        <w:t xml:space="preserve"> </w:t>
      </w:r>
      <w:r w:rsidRPr="000C3A0E">
        <w:rPr>
          <w:rFonts w:eastAsia="Times New Roman" w:cs="Times New Roman"/>
          <w:rtl/>
          <w:lang w:eastAsia="de-DE"/>
        </w:rPr>
        <w:t>וַיָּבֹ֖אוּ אֶל־בִּלְעָ֑ם וַיֹּ֣אמְרוּ לוֹ֗ כֹּ֤ה אָמַר֙ בָּלָ֣ק בֶּן־צִפּ֔וֹר אַל־נָ֥א תִמָּנַ֖ע מֵהֲלֹ֥ךְ אֵלָֽי׃ כִּֽי־כַבֵּ֤ד אֲכַבֶּדְךָ֙ מְאֹ֔ד וְכֹ֛ל אֲשֶׁר־תֹּאמַ֥ר אֵלַ֖י אֶֽעֱשֶׂ֑ה וּלְכָה־נָּא֙ קָֽבָה־לִּ֔י אֵ֖ת הָעָ֥ם הַזֶּֽה׃</w:t>
      </w:r>
    </w:p>
    <w:p w14:paraId="7CBCDA40"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Deutsch:</w:t>
      </w:r>
      <w:r w:rsidRPr="000C3A0E">
        <w:rPr>
          <w:rFonts w:eastAsia="Times New Roman" w:cs="Times New Roman"/>
          <w:lang w:eastAsia="de-DE"/>
        </w:rPr>
        <w:t xml:space="preserve"> Und sie kamen zu Bileam und sagten zu ihm: So spricht Balak, der Sohn Zippors: Lass dich doch nicht abhalten, zu mir zu kommen. Denn ich will dich sehr ehren, und alles, was du mir sagst, will ich tun. So komm doch und verwünsche mir dieses Volk.</w:t>
      </w:r>
    </w:p>
    <w:p w14:paraId="740DD30A" w14:textId="77777777" w:rsidR="000C3A0E" w:rsidRPr="000C3A0E" w:rsidRDefault="00F329DD" w:rsidP="000C3A0E">
      <w:pPr>
        <w:spacing w:after="0" w:line="240" w:lineRule="auto"/>
        <w:rPr>
          <w:rFonts w:eastAsia="Times New Roman" w:cs="Times New Roman"/>
          <w:lang w:eastAsia="de-DE"/>
        </w:rPr>
      </w:pPr>
      <w:r>
        <w:rPr>
          <w:rFonts w:eastAsia="Times New Roman" w:cs="Times New Roman"/>
          <w:noProof/>
          <w:lang w:eastAsia="de-DE"/>
        </w:rPr>
        <w:lastRenderedPageBreak/>
        <w:pict w14:anchorId="575F1E6B">
          <v:rect id="_x0000_i1775" style="width:0;height:1.5pt" o:hralign="center" o:hrstd="t" o:hr="t" fillcolor="#a0a0a0" stroked="f"/>
        </w:pict>
      </w:r>
    </w:p>
    <w:p w14:paraId="51662855"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Kommentar:</w:t>
      </w:r>
      <w:r w:rsidRPr="000C3A0E">
        <w:rPr>
          <w:rFonts w:eastAsia="Times New Roman" w:cs="Times New Roman"/>
          <w:lang w:eastAsia="de-DE"/>
        </w:rPr>
        <w:t xml:space="preserve"> Die Botenformel </w:t>
      </w:r>
      <w:r w:rsidRPr="000C3A0E">
        <w:rPr>
          <w:rFonts w:eastAsia="Times New Roman" w:cs="Times New Roman"/>
          <w:b/>
          <w:bCs/>
          <w:rtl/>
          <w:lang w:eastAsia="de-DE"/>
        </w:rPr>
        <w:t>כֹּה אָמַר בָּלָק בֶּן־צִפּוֹר</w:t>
      </w:r>
      <w:r w:rsidRPr="000C3A0E">
        <w:rPr>
          <w:rFonts w:eastAsia="Times New Roman" w:cs="Times New Roman"/>
          <w:rtl/>
          <w:lang w:eastAsia="de-DE"/>
        </w:rPr>
        <w:t xml:space="preserve"> </w:t>
      </w:r>
      <w:r w:rsidRPr="000C3A0E">
        <w:rPr>
          <w:rFonts w:eastAsia="Times New Roman" w:cs="Times New Roman"/>
          <w:lang w:eastAsia="de-DE"/>
        </w:rPr>
        <w:t>(„so spricht Balak, Sohn Zippors") ist formell und königlich.</w:t>
      </w:r>
    </w:p>
    <w:p w14:paraId="57262EE7"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Bitte </w:t>
      </w:r>
      <w:r w:rsidRPr="000C3A0E">
        <w:rPr>
          <w:rFonts w:eastAsia="Times New Roman" w:cs="Times New Roman"/>
          <w:b/>
          <w:bCs/>
          <w:rtl/>
          <w:lang w:eastAsia="de-DE"/>
        </w:rPr>
        <w:t>אַל־נָא תִמָּנַע מֵהֲלֹךְ אֵלָי</w:t>
      </w:r>
      <w:r w:rsidRPr="000C3A0E">
        <w:rPr>
          <w:rFonts w:eastAsia="Times New Roman" w:cs="Times New Roman"/>
          <w:rtl/>
          <w:lang w:eastAsia="de-DE"/>
        </w:rPr>
        <w:t xml:space="preserve"> </w:t>
      </w:r>
      <w:r w:rsidRPr="000C3A0E">
        <w:rPr>
          <w:rFonts w:eastAsia="Times New Roman" w:cs="Times New Roman"/>
          <w:lang w:eastAsia="de-DE"/>
        </w:rPr>
        <w:t xml:space="preserve">(„lass dich doch nicht abhalten, zu mir zu kommen") – </w:t>
      </w:r>
      <w:r w:rsidRPr="000C3A0E">
        <w:rPr>
          <w:rFonts w:eastAsia="Times New Roman" w:cs="Times New Roman"/>
          <w:b/>
          <w:bCs/>
          <w:rtl/>
          <w:lang w:eastAsia="de-DE"/>
        </w:rPr>
        <w:t>אַל־נָא</w:t>
      </w:r>
      <w:r w:rsidRPr="000C3A0E">
        <w:rPr>
          <w:rFonts w:eastAsia="Times New Roman" w:cs="Times New Roman"/>
          <w:rtl/>
          <w:lang w:eastAsia="de-DE"/>
        </w:rPr>
        <w:t xml:space="preserve"> </w:t>
      </w:r>
      <w:r w:rsidRPr="000C3A0E">
        <w:rPr>
          <w:rFonts w:eastAsia="Times New Roman" w:cs="Times New Roman"/>
          <w:lang w:eastAsia="de-DE"/>
        </w:rPr>
        <w:t xml:space="preserve">negative Bitte mit emphatischem </w:t>
      </w:r>
      <w:r w:rsidRPr="000C3A0E">
        <w:rPr>
          <w:rFonts w:eastAsia="Times New Roman" w:cs="Times New Roman"/>
          <w:b/>
          <w:bCs/>
          <w:rtl/>
          <w:lang w:eastAsia="de-DE"/>
        </w:rPr>
        <w:t>נָא</w:t>
      </w:r>
      <w:r w:rsidRPr="000C3A0E">
        <w:rPr>
          <w:rFonts w:eastAsia="Times New Roman" w:cs="Times New Roman"/>
          <w:lang w:eastAsia="de-DE"/>
        </w:rPr>
        <w:t xml:space="preserve">, </w:t>
      </w:r>
      <w:r w:rsidRPr="000C3A0E">
        <w:rPr>
          <w:rFonts w:eastAsia="Times New Roman" w:cs="Times New Roman"/>
          <w:b/>
          <w:bCs/>
          <w:rtl/>
          <w:lang w:eastAsia="de-DE"/>
        </w:rPr>
        <w:t>תִּמָּנַע</w:t>
      </w:r>
      <w:r w:rsidRPr="000C3A0E">
        <w:rPr>
          <w:rFonts w:eastAsia="Times New Roman" w:cs="Times New Roman"/>
          <w:rtl/>
          <w:lang w:eastAsia="de-DE"/>
        </w:rPr>
        <w:t xml:space="preserve"> </w:t>
      </w:r>
      <w:r w:rsidRPr="000C3A0E">
        <w:rPr>
          <w:rFonts w:eastAsia="Times New Roman" w:cs="Times New Roman"/>
          <w:lang w:eastAsia="de-DE"/>
        </w:rPr>
        <w:t xml:space="preserve">(Nifal Imperfekt, 2. m. sg. von </w:t>
      </w:r>
      <w:r w:rsidRPr="000C3A0E">
        <w:rPr>
          <w:rFonts w:eastAsia="Times New Roman" w:cs="Times New Roman"/>
          <w:b/>
          <w:bCs/>
          <w:rtl/>
          <w:lang w:eastAsia="de-DE"/>
        </w:rPr>
        <w:t>מנע</w:t>
      </w:r>
      <w:r w:rsidRPr="000C3A0E">
        <w:rPr>
          <w:rFonts w:eastAsia="Times New Roman" w:cs="Times New Roman"/>
          <w:lang w:eastAsia="de-DE"/>
        </w:rPr>
        <w:t xml:space="preserve">, „du wirst abgehalten, du hältst dich zurück") – reflexiv/passiv, </w:t>
      </w:r>
      <w:r w:rsidRPr="000C3A0E">
        <w:rPr>
          <w:rFonts w:eastAsia="Times New Roman" w:cs="Times New Roman"/>
          <w:b/>
          <w:bCs/>
          <w:rtl/>
          <w:lang w:eastAsia="de-DE"/>
        </w:rPr>
        <w:t>מֵהֲלֹךְ אֵלָי</w:t>
      </w:r>
      <w:r w:rsidRPr="000C3A0E">
        <w:rPr>
          <w:rFonts w:eastAsia="Times New Roman" w:cs="Times New Roman"/>
          <w:rtl/>
          <w:lang w:eastAsia="de-DE"/>
        </w:rPr>
        <w:t xml:space="preserve"> </w:t>
      </w:r>
      <w:r w:rsidRPr="000C3A0E">
        <w:rPr>
          <w:rFonts w:eastAsia="Times New Roman" w:cs="Times New Roman"/>
          <w:lang w:eastAsia="de-DE"/>
        </w:rPr>
        <w:t xml:space="preserve">(„vom Kommen zu mir") – </w:t>
      </w:r>
      <w:r w:rsidRPr="000C3A0E">
        <w:rPr>
          <w:rFonts w:eastAsia="Times New Roman" w:cs="Times New Roman"/>
          <w:b/>
          <w:bCs/>
          <w:rtl/>
          <w:lang w:eastAsia="de-DE"/>
        </w:rPr>
        <w:t>מִן</w:t>
      </w:r>
      <w:r w:rsidRPr="000C3A0E">
        <w:rPr>
          <w:rFonts w:eastAsia="Times New Roman" w:cs="Times New Roman"/>
          <w:rtl/>
          <w:lang w:eastAsia="de-DE"/>
        </w:rPr>
        <w:t xml:space="preserve"> </w:t>
      </w:r>
      <w:r w:rsidRPr="000C3A0E">
        <w:rPr>
          <w:rFonts w:eastAsia="Times New Roman" w:cs="Times New Roman"/>
          <w:lang w:eastAsia="de-DE"/>
        </w:rPr>
        <w:t xml:space="preserve">mit Infinitiv construct von </w:t>
      </w:r>
      <w:r w:rsidRPr="000C3A0E">
        <w:rPr>
          <w:rFonts w:eastAsia="Times New Roman" w:cs="Times New Roman"/>
          <w:b/>
          <w:bCs/>
          <w:rtl/>
          <w:lang w:eastAsia="de-DE"/>
        </w:rPr>
        <w:t>הלך</w:t>
      </w:r>
      <w:r w:rsidRPr="000C3A0E">
        <w:rPr>
          <w:rFonts w:eastAsia="Times New Roman" w:cs="Times New Roman"/>
          <w:lang w:eastAsia="de-DE"/>
        </w:rPr>
        <w:t>. Balak interpretiert Bileams Ablehnung als persönliche Zurückhaltung, nicht als göttliches Verbot.</w:t>
      </w:r>
    </w:p>
    <w:p w14:paraId="6EE22E94" w14:textId="248A7811"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Vers 17:</w:t>
      </w:r>
      <w:r w:rsidRPr="000C3A0E">
        <w:rPr>
          <w:rFonts w:eastAsia="Times New Roman" w:cs="Times New Roman"/>
          <w:lang w:eastAsia="de-DE"/>
        </w:rPr>
        <w:t xml:space="preserve"> Die Verheißung </w:t>
      </w:r>
      <w:r w:rsidRPr="000C3A0E">
        <w:rPr>
          <w:rFonts w:eastAsia="Times New Roman" w:cs="Times New Roman"/>
          <w:b/>
          <w:bCs/>
          <w:rtl/>
          <w:lang w:eastAsia="de-DE"/>
        </w:rPr>
        <w:t>כִּי־כַבֵּד אֲכַבֶּדְךָ מְאֹד</w:t>
      </w:r>
      <w:r w:rsidRPr="000C3A0E">
        <w:rPr>
          <w:rFonts w:eastAsia="Times New Roman" w:cs="Times New Roman"/>
          <w:rtl/>
          <w:lang w:eastAsia="de-DE"/>
        </w:rPr>
        <w:t xml:space="preserve"> </w:t>
      </w:r>
      <w:r w:rsidRPr="000C3A0E">
        <w:rPr>
          <w:rFonts w:eastAsia="Times New Roman" w:cs="Times New Roman"/>
          <w:lang w:eastAsia="de-DE"/>
        </w:rPr>
        <w:t xml:space="preserve">(„denn ich will dich sehr ehren") – </w:t>
      </w:r>
      <w:r w:rsidRPr="000C3A0E">
        <w:rPr>
          <w:rFonts w:eastAsia="Times New Roman" w:cs="Times New Roman"/>
          <w:b/>
          <w:bCs/>
          <w:rtl/>
          <w:lang w:eastAsia="de-DE"/>
        </w:rPr>
        <w:t>כִּי</w:t>
      </w:r>
      <w:r w:rsidRPr="000C3A0E">
        <w:rPr>
          <w:rFonts w:eastAsia="Times New Roman" w:cs="Times New Roman"/>
          <w:rtl/>
          <w:lang w:eastAsia="de-DE"/>
        </w:rPr>
        <w:t xml:space="preserve"> </w:t>
      </w:r>
      <w:r w:rsidRPr="000C3A0E">
        <w:rPr>
          <w:rFonts w:eastAsia="Times New Roman" w:cs="Times New Roman"/>
          <w:lang w:eastAsia="de-DE"/>
        </w:rPr>
        <w:t xml:space="preserve">kausal, die emphatische </w:t>
      </w:r>
      <w:r w:rsidR="00F133EC">
        <w:rPr>
          <w:rFonts w:eastAsia="Times New Roman" w:cs="Times New Roman"/>
          <w:lang w:eastAsia="de-DE"/>
        </w:rPr>
        <w:t>Construct</w:t>
      </w:r>
      <w:r w:rsidRPr="000C3A0E">
        <w:rPr>
          <w:rFonts w:eastAsia="Times New Roman" w:cs="Times New Roman"/>
          <w:lang w:eastAsia="de-DE"/>
        </w:rPr>
        <w:t xml:space="preserve">ion </w:t>
      </w:r>
      <w:r w:rsidRPr="000C3A0E">
        <w:rPr>
          <w:rFonts w:eastAsia="Times New Roman" w:cs="Times New Roman"/>
          <w:b/>
          <w:bCs/>
          <w:rtl/>
          <w:lang w:eastAsia="de-DE"/>
        </w:rPr>
        <w:t>כַבֵּד אֲכַבֶּדְךָ</w:t>
      </w:r>
      <w:r w:rsidRPr="000C3A0E">
        <w:rPr>
          <w:rFonts w:eastAsia="Times New Roman" w:cs="Times New Roman"/>
          <w:rtl/>
          <w:lang w:eastAsia="de-DE"/>
        </w:rPr>
        <w:t xml:space="preserve"> </w:t>
      </w:r>
      <w:r w:rsidRPr="000C3A0E">
        <w:rPr>
          <w:rFonts w:eastAsia="Times New Roman" w:cs="Times New Roman"/>
          <w:lang w:eastAsia="de-DE"/>
        </w:rPr>
        <w:t xml:space="preserve">(Infinitiv absolutus </w:t>
      </w:r>
      <w:r w:rsidRPr="000C3A0E">
        <w:rPr>
          <w:rFonts w:eastAsia="Times New Roman" w:cs="Times New Roman"/>
          <w:b/>
          <w:bCs/>
          <w:rtl/>
          <w:lang w:eastAsia="de-DE"/>
        </w:rPr>
        <w:t>כַבֵּד</w:t>
      </w:r>
      <w:r w:rsidRPr="000C3A0E">
        <w:rPr>
          <w:rFonts w:eastAsia="Times New Roman" w:cs="Times New Roman"/>
          <w:rtl/>
          <w:lang w:eastAsia="de-DE"/>
        </w:rPr>
        <w:t xml:space="preserve"> </w:t>
      </w:r>
      <w:r w:rsidRPr="000C3A0E">
        <w:rPr>
          <w:rFonts w:eastAsia="Times New Roman" w:cs="Times New Roman"/>
          <w:lang w:eastAsia="de-DE"/>
        </w:rPr>
        <w:t xml:space="preserve">plus Piel Imperfekt </w:t>
      </w:r>
      <w:r w:rsidRPr="000C3A0E">
        <w:rPr>
          <w:rFonts w:eastAsia="Times New Roman" w:cs="Times New Roman"/>
          <w:b/>
          <w:bCs/>
          <w:rtl/>
          <w:lang w:eastAsia="de-DE"/>
        </w:rPr>
        <w:t>אֲכַבֶּדְךָ</w:t>
      </w:r>
      <w:r w:rsidRPr="000C3A0E">
        <w:rPr>
          <w:rFonts w:eastAsia="Times New Roman" w:cs="Times New Roman"/>
          <w:rtl/>
          <w:lang w:eastAsia="de-DE"/>
        </w:rPr>
        <w:t xml:space="preserve"> </w:t>
      </w:r>
      <w:r w:rsidRPr="000C3A0E">
        <w:rPr>
          <w:rFonts w:eastAsia="Times New Roman" w:cs="Times New Roman"/>
          <w:lang w:eastAsia="de-DE"/>
        </w:rPr>
        <w:t xml:space="preserve">von </w:t>
      </w:r>
      <w:r w:rsidRPr="000C3A0E">
        <w:rPr>
          <w:rFonts w:eastAsia="Times New Roman" w:cs="Times New Roman"/>
          <w:b/>
          <w:bCs/>
          <w:rtl/>
          <w:lang w:eastAsia="de-DE"/>
        </w:rPr>
        <w:t>כבד</w:t>
      </w:r>
      <w:r w:rsidRPr="000C3A0E">
        <w:rPr>
          <w:rFonts w:eastAsia="Times New Roman" w:cs="Times New Roman"/>
          <w:rtl/>
          <w:lang w:eastAsia="de-DE"/>
        </w:rPr>
        <w:t xml:space="preserve"> </w:t>
      </w:r>
      <w:r w:rsidRPr="000C3A0E">
        <w:rPr>
          <w:rFonts w:eastAsia="Times New Roman" w:cs="Times New Roman"/>
          <w:lang w:eastAsia="de-DE"/>
        </w:rPr>
        <w:t xml:space="preserve">mit Objektsuffix, „ich will sehr ehren, gewiss ehren") – figura etymologica verstärkt: „ehrend will ich dich ehren", </w:t>
      </w:r>
      <w:r w:rsidRPr="000C3A0E">
        <w:rPr>
          <w:rFonts w:eastAsia="Times New Roman" w:cs="Times New Roman"/>
          <w:b/>
          <w:bCs/>
          <w:rtl/>
          <w:lang w:eastAsia="de-DE"/>
        </w:rPr>
        <w:t>מְאֹד</w:t>
      </w:r>
      <w:r w:rsidRPr="000C3A0E">
        <w:rPr>
          <w:rFonts w:eastAsia="Times New Roman" w:cs="Times New Roman"/>
          <w:rtl/>
          <w:lang w:eastAsia="de-DE"/>
        </w:rPr>
        <w:t xml:space="preserve"> </w:t>
      </w:r>
      <w:r w:rsidRPr="000C3A0E">
        <w:rPr>
          <w:rFonts w:eastAsia="Times New Roman" w:cs="Times New Roman"/>
          <w:lang w:eastAsia="de-DE"/>
        </w:rPr>
        <w:t>„sehr" verstärkt zusätzlich.</w:t>
      </w:r>
    </w:p>
    <w:p w14:paraId="7621DBB9"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Blankovollmacht </w:t>
      </w:r>
      <w:r w:rsidRPr="000C3A0E">
        <w:rPr>
          <w:rFonts w:eastAsia="Times New Roman" w:cs="Times New Roman"/>
          <w:b/>
          <w:bCs/>
          <w:rtl/>
          <w:lang w:eastAsia="de-DE"/>
        </w:rPr>
        <w:t>וְכֹל אֲשֶׁר־תֹּאמַר אֵלַי אֶעֱשֶׂה</w:t>
      </w:r>
      <w:r w:rsidRPr="000C3A0E">
        <w:rPr>
          <w:rFonts w:eastAsia="Times New Roman" w:cs="Times New Roman"/>
          <w:rtl/>
          <w:lang w:eastAsia="de-DE"/>
        </w:rPr>
        <w:t xml:space="preserve"> </w:t>
      </w:r>
      <w:r w:rsidRPr="000C3A0E">
        <w:rPr>
          <w:rFonts w:eastAsia="Times New Roman" w:cs="Times New Roman"/>
          <w:lang w:eastAsia="de-DE"/>
        </w:rPr>
        <w:t xml:space="preserve">(„und alles, was du mir sagst, will ich tun") – </w:t>
      </w:r>
      <w:r w:rsidRPr="000C3A0E">
        <w:rPr>
          <w:rFonts w:eastAsia="Times New Roman" w:cs="Times New Roman"/>
          <w:b/>
          <w:bCs/>
          <w:rtl/>
          <w:lang w:eastAsia="de-DE"/>
        </w:rPr>
        <w:t>כֹל אֲשֶׁר</w:t>
      </w:r>
      <w:r w:rsidRPr="000C3A0E">
        <w:rPr>
          <w:rFonts w:eastAsia="Times New Roman" w:cs="Times New Roman"/>
          <w:rtl/>
          <w:lang w:eastAsia="de-DE"/>
        </w:rPr>
        <w:t xml:space="preserve"> </w:t>
      </w:r>
      <w:r w:rsidRPr="000C3A0E">
        <w:rPr>
          <w:rFonts w:eastAsia="Times New Roman" w:cs="Times New Roman"/>
          <w:lang w:eastAsia="de-DE"/>
        </w:rPr>
        <w:t xml:space="preserve">„alles, was", </w:t>
      </w:r>
      <w:r w:rsidRPr="000C3A0E">
        <w:rPr>
          <w:rFonts w:eastAsia="Times New Roman" w:cs="Times New Roman"/>
          <w:b/>
          <w:bCs/>
          <w:rtl/>
          <w:lang w:eastAsia="de-DE"/>
        </w:rPr>
        <w:t>תֹּאמַר</w:t>
      </w:r>
      <w:r w:rsidRPr="000C3A0E">
        <w:rPr>
          <w:rFonts w:eastAsia="Times New Roman" w:cs="Times New Roman"/>
          <w:rtl/>
          <w:lang w:eastAsia="de-DE"/>
        </w:rPr>
        <w:t xml:space="preserve"> </w:t>
      </w:r>
      <w:r w:rsidRPr="000C3A0E">
        <w:rPr>
          <w:rFonts w:eastAsia="Times New Roman" w:cs="Times New Roman"/>
          <w:lang w:eastAsia="de-DE"/>
        </w:rPr>
        <w:t xml:space="preserve">(Qal Imperfekt, 2. m. sg. von </w:t>
      </w:r>
      <w:r w:rsidRPr="000C3A0E">
        <w:rPr>
          <w:rFonts w:eastAsia="Times New Roman" w:cs="Times New Roman"/>
          <w:b/>
          <w:bCs/>
          <w:rtl/>
          <w:lang w:eastAsia="de-DE"/>
        </w:rPr>
        <w:t>אמר</w:t>
      </w:r>
      <w:r w:rsidRPr="000C3A0E">
        <w:rPr>
          <w:rFonts w:eastAsia="Times New Roman" w:cs="Times New Roman"/>
          <w:lang w:eastAsia="de-DE"/>
        </w:rPr>
        <w:t xml:space="preserve">), </w:t>
      </w:r>
      <w:r w:rsidRPr="000C3A0E">
        <w:rPr>
          <w:rFonts w:eastAsia="Times New Roman" w:cs="Times New Roman"/>
          <w:b/>
          <w:bCs/>
          <w:rtl/>
          <w:lang w:eastAsia="de-DE"/>
        </w:rPr>
        <w:t>אֵלַי</w:t>
      </w:r>
      <w:r w:rsidRPr="000C3A0E">
        <w:rPr>
          <w:rFonts w:eastAsia="Times New Roman" w:cs="Times New Roman"/>
          <w:rtl/>
          <w:lang w:eastAsia="de-DE"/>
        </w:rPr>
        <w:t xml:space="preserve"> </w:t>
      </w:r>
      <w:r w:rsidRPr="000C3A0E">
        <w:rPr>
          <w:rFonts w:eastAsia="Times New Roman" w:cs="Times New Roman"/>
          <w:lang w:eastAsia="de-DE"/>
        </w:rPr>
        <w:t xml:space="preserve">„zu mir", </w:t>
      </w:r>
      <w:r w:rsidRPr="000C3A0E">
        <w:rPr>
          <w:rFonts w:eastAsia="Times New Roman" w:cs="Times New Roman"/>
          <w:b/>
          <w:bCs/>
          <w:rtl/>
          <w:lang w:eastAsia="de-DE"/>
        </w:rPr>
        <w:t>אֶעֱשֶׂה</w:t>
      </w:r>
      <w:r w:rsidRPr="000C3A0E">
        <w:rPr>
          <w:rFonts w:eastAsia="Times New Roman" w:cs="Times New Roman"/>
          <w:rtl/>
          <w:lang w:eastAsia="de-DE"/>
        </w:rPr>
        <w:t xml:space="preserve"> </w:t>
      </w:r>
      <w:r w:rsidRPr="000C3A0E">
        <w:rPr>
          <w:rFonts w:eastAsia="Times New Roman" w:cs="Times New Roman"/>
          <w:lang w:eastAsia="de-DE"/>
        </w:rPr>
        <w:t xml:space="preserve">(Qal Imperfekt, 1. c. sg. von </w:t>
      </w:r>
      <w:r w:rsidRPr="000C3A0E">
        <w:rPr>
          <w:rFonts w:eastAsia="Times New Roman" w:cs="Times New Roman"/>
          <w:b/>
          <w:bCs/>
          <w:rtl/>
          <w:lang w:eastAsia="de-DE"/>
        </w:rPr>
        <w:t>עשׂה</w:t>
      </w:r>
      <w:r w:rsidRPr="000C3A0E">
        <w:rPr>
          <w:rFonts w:eastAsia="Times New Roman" w:cs="Times New Roman"/>
          <w:lang w:eastAsia="de-DE"/>
        </w:rPr>
        <w:t>, „ich werde tun"). Balak verspricht bedingungslose Erfüllung aller Wünsche – eine extreme Konzession.</w:t>
      </w:r>
    </w:p>
    <w:p w14:paraId="0BF74112"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wiederholte Bitte </w:t>
      </w:r>
      <w:r w:rsidRPr="000C3A0E">
        <w:rPr>
          <w:rFonts w:eastAsia="Times New Roman" w:cs="Times New Roman"/>
          <w:b/>
          <w:bCs/>
          <w:rtl/>
          <w:lang w:eastAsia="de-DE"/>
        </w:rPr>
        <w:t>וּלְכָה־נָּא קָבָה־לִּי אֵת הָעָם הַזֶּה</w:t>
      </w:r>
      <w:r w:rsidRPr="000C3A0E">
        <w:rPr>
          <w:rFonts w:eastAsia="Times New Roman" w:cs="Times New Roman"/>
          <w:rtl/>
          <w:lang w:eastAsia="de-DE"/>
        </w:rPr>
        <w:t xml:space="preserve"> </w:t>
      </w:r>
      <w:r w:rsidRPr="000C3A0E">
        <w:rPr>
          <w:rFonts w:eastAsia="Times New Roman" w:cs="Times New Roman"/>
          <w:lang w:eastAsia="de-DE"/>
        </w:rPr>
        <w:t>(„so komm doch und verwünsche mir dieses Volk") wiederholt V. 6 fast wörtlich.</w:t>
      </w:r>
    </w:p>
    <w:p w14:paraId="27880291"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b/>
          <w:bCs/>
          <w:lang w:eastAsia="de-DE"/>
        </w:rPr>
        <w:t>Die LXX</w:t>
      </w:r>
      <w:r w:rsidRPr="000C3A0E">
        <w:rPr>
          <w:rFonts w:eastAsia="Times New Roman" w:cs="Times New Roman"/>
          <w:lang w:eastAsia="de-DE"/>
        </w:rPr>
        <w:t xml:space="preserve"> folgt dem hebräischen Text.</w:t>
      </w:r>
    </w:p>
    <w:p w14:paraId="27D742E7" w14:textId="269370C1"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 xml:space="preserve">Die Satzstruktur zeigt zwei koordinierte Hauptsätze in der Rahmenerzählung, dann direkte Rede: Botenformel, negative Bitte (mit </w:t>
      </w:r>
      <w:r w:rsidRPr="000C3A0E">
        <w:rPr>
          <w:rFonts w:eastAsia="Times New Roman" w:cs="Times New Roman"/>
          <w:b/>
          <w:bCs/>
          <w:rtl/>
          <w:lang w:eastAsia="de-DE"/>
        </w:rPr>
        <w:t>אַל</w:t>
      </w:r>
      <w:r w:rsidRPr="000C3A0E">
        <w:rPr>
          <w:rFonts w:eastAsia="Times New Roman" w:cs="Times New Roman"/>
          <w:rtl/>
          <w:lang w:eastAsia="de-DE"/>
        </w:rPr>
        <w:t xml:space="preserve"> </w:t>
      </w:r>
      <w:r w:rsidRPr="000C3A0E">
        <w:rPr>
          <w:rFonts w:eastAsia="Times New Roman" w:cs="Times New Roman"/>
          <w:lang w:eastAsia="de-DE"/>
        </w:rPr>
        <w:t xml:space="preserve">und emphatischem </w:t>
      </w:r>
      <w:r w:rsidRPr="000C3A0E">
        <w:rPr>
          <w:rFonts w:eastAsia="Times New Roman" w:cs="Times New Roman"/>
          <w:b/>
          <w:bCs/>
          <w:rtl/>
          <w:lang w:eastAsia="de-DE"/>
        </w:rPr>
        <w:t>נָא</w:t>
      </w:r>
      <w:r w:rsidRPr="000C3A0E">
        <w:rPr>
          <w:rFonts w:eastAsia="Times New Roman" w:cs="Times New Roman"/>
          <w:lang w:eastAsia="de-DE"/>
        </w:rPr>
        <w:t>, Verb und Präpositionalphrase mit Infinitiv); kausaler Nebensatz mit emphatischer Infinitiv-</w:t>
      </w:r>
      <w:r w:rsidR="00F133EC">
        <w:rPr>
          <w:rFonts w:eastAsia="Times New Roman" w:cs="Times New Roman"/>
          <w:lang w:eastAsia="de-DE"/>
        </w:rPr>
        <w:t>Construct</w:t>
      </w:r>
      <w:r w:rsidRPr="000C3A0E">
        <w:rPr>
          <w:rFonts w:eastAsia="Times New Roman" w:cs="Times New Roman"/>
          <w:lang w:eastAsia="de-DE"/>
        </w:rPr>
        <w:t xml:space="preserve">ion und Adverb; Hauptsatz mit Objekt (Relativsatz), indirektem Objekt und Verb; abschließender Hauptsatz mit Imperativ, emphatischem </w:t>
      </w:r>
      <w:r w:rsidRPr="000C3A0E">
        <w:rPr>
          <w:rFonts w:eastAsia="Times New Roman" w:cs="Times New Roman"/>
          <w:b/>
          <w:bCs/>
          <w:rtl/>
          <w:lang w:eastAsia="de-DE"/>
        </w:rPr>
        <w:t>נָא</w:t>
      </w:r>
      <w:r w:rsidRPr="000C3A0E">
        <w:rPr>
          <w:rFonts w:eastAsia="Times New Roman" w:cs="Times New Roman"/>
          <w:lang w:eastAsia="de-DE"/>
        </w:rPr>
        <w:t>, weiterem Imperativ und Objekt. Insgesamt gibt es zwei Nebensätze: einen Kausalsatz und einen eingebetteten Relativsatz.</w:t>
      </w:r>
    </w:p>
    <w:p w14:paraId="082E63AD" w14:textId="77777777" w:rsidR="000C3A0E" w:rsidRPr="000C3A0E" w:rsidRDefault="000C3A0E" w:rsidP="000C3A0E">
      <w:pPr>
        <w:spacing w:before="100" w:beforeAutospacing="1" w:after="100" w:afterAutospacing="1" w:line="240" w:lineRule="auto"/>
        <w:rPr>
          <w:rFonts w:eastAsia="Times New Roman" w:cs="Times New Roman"/>
          <w:lang w:eastAsia="de-DE"/>
        </w:rPr>
      </w:pPr>
      <w:r w:rsidRPr="000C3A0E">
        <w:rPr>
          <w:rFonts w:eastAsia="Times New Roman" w:cs="Times New Roman"/>
          <w:lang w:eastAsia="de-DE"/>
        </w:rPr>
        <w:t>Die Verse zeigen Balaks verzweifelte Eskalation: unbegrenzte Ehre, Blankovollmacht – er bietet alles, was in seiner Macht steht. Die Versuchung für Bileam ist maximal.</w:t>
      </w:r>
    </w:p>
    <w:p w14:paraId="1A4AA298"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22,18</w:t>
      </w:r>
    </w:p>
    <w:p w14:paraId="3C4C65D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וַיַּ֣עַן בִּלְעָ֗ם וַיֹּ֨אמֶר֙ אֶל־עַבְדֵ֣י בָלָ֔ק אִם־יִתֶּן־לִ֥י בָלָ֛ק מְלֹ֥א בֵיתֹ֖ו כֶּ֣סֶף וְזָהָ֑ב לֹ֣א אוּכַ֗ל לַעֲבֹר֙ אֶת־פִּי֙ יְהוָ֣ה אֱלֹהָ֔י לַעֲשׂ֥וֹת קְטַנָּ֖ה א֥וֹ גְדוֹלָֽה׃</w:t>
      </w:r>
    </w:p>
    <w:p w14:paraId="59EC44B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Und Bileam antwortete und sagte zu den Dienern Balaks: Wenn Balak mir sein Haus voll Silber und Gold gäbe, so könnte ich nicht übertreten den Befehl des Ewigen, meines Gottes, um Kleines oder Großes zu tun.</w:t>
      </w:r>
    </w:p>
    <w:p w14:paraId="58152F98"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1B9D71CA">
          <v:rect id="_x0000_i1776" style="width:0;height:1.5pt" o:hralign="center" o:hrstd="t" o:hr="t" fillcolor="#a0a0a0" stroked="f"/>
        </w:pict>
      </w:r>
    </w:p>
    <w:p w14:paraId="3FCFB183"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lastRenderedPageBreak/>
        <w:t>Kommentar:</w:t>
      </w:r>
      <w:r w:rsidRPr="00232F0F">
        <w:rPr>
          <w:rFonts w:eastAsia="Times New Roman" w:cs="Times New Roman"/>
          <w:lang w:eastAsia="de-DE"/>
        </w:rPr>
        <w:t xml:space="preserve"> Das Verb </w:t>
      </w:r>
      <w:r w:rsidRPr="00232F0F">
        <w:rPr>
          <w:rFonts w:eastAsia="Times New Roman" w:cs="Times New Roman"/>
          <w:b/>
          <w:bCs/>
          <w:rtl/>
          <w:lang w:eastAsia="de-DE"/>
        </w:rPr>
        <w:t>וַיַּעַן בִּלְעָם וַיֹּאמֶר אֶל־עַבְדֵי בָלָק</w:t>
      </w:r>
      <w:r w:rsidRPr="00232F0F">
        <w:rPr>
          <w:rFonts w:eastAsia="Times New Roman" w:cs="Times New Roman"/>
          <w:rtl/>
          <w:lang w:eastAsia="de-DE"/>
        </w:rPr>
        <w:t xml:space="preserve"> </w:t>
      </w:r>
      <w:r w:rsidRPr="00232F0F">
        <w:rPr>
          <w:rFonts w:eastAsia="Times New Roman" w:cs="Times New Roman"/>
          <w:lang w:eastAsia="de-DE"/>
        </w:rPr>
        <w:t xml:space="preserve">(„und Bileam antwortete und sagte zu den Dienern Balaks") – </w:t>
      </w:r>
      <w:r w:rsidRPr="00232F0F">
        <w:rPr>
          <w:rFonts w:eastAsia="Times New Roman" w:cs="Times New Roman"/>
          <w:b/>
          <w:bCs/>
          <w:rtl/>
          <w:lang w:eastAsia="de-DE"/>
        </w:rPr>
        <w:t>עַבְדֵי בָלָק</w:t>
      </w:r>
      <w:r w:rsidRPr="00232F0F">
        <w:rPr>
          <w:rFonts w:eastAsia="Times New Roman" w:cs="Times New Roman"/>
          <w:rtl/>
          <w:lang w:eastAsia="de-DE"/>
        </w:rPr>
        <w:t xml:space="preserve"> </w:t>
      </w:r>
      <w:r w:rsidRPr="00232F0F">
        <w:rPr>
          <w:rFonts w:eastAsia="Times New Roman" w:cs="Times New Roman"/>
          <w:lang w:eastAsia="de-DE"/>
        </w:rPr>
        <w:t xml:space="preserve">„Diener Balaks" (vorher </w:t>
      </w:r>
      <w:r w:rsidRPr="00232F0F">
        <w:rPr>
          <w:rFonts w:eastAsia="Times New Roman" w:cs="Times New Roman"/>
          <w:b/>
          <w:bCs/>
          <w:rtl/>
          <w:lang w:eastAsia="de-DE"/>
        </w:rPr>
        <w:t>שָׂרִים</w:t>
      </w:r>
      <w:r w:rsidRPr="00232F0F">
        <w:rPr>
          <w:rFonts w:eastAsia="Times New Roman" w:cs="Times New Roman"/>
          <w:rtl/>
          <w:lang w:eastAsia="de-DE"/>
        </w:rPr>
        <w:t xml:space="preserve"> </w:t>
      </w:r>
      <w:r w:rsidRPr="00232F0F">
        <w:rPr>
          <w:rFonts w:eastAsia="Times New Roman" w:cs="Times New Roman"/>
          <w:lang w:eastAsia="de-DE"/>
        </w:rPr>
        <w:t>„Fürsten" genannt) zeigt Bileams höfliche, aber distanzierte Haltung.</w:t>
      </w:r>
    </w:p>
    <w:p w14:paraId="1DD9B98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hypothetische Bedingung </w:t>
      </w:r>
      <w:r w:rsidRPr="00232F0F">
        <w:rPr>
          <w:rFonts w:eastAsia="Times New Roman" w:cs="Times New Roman"/>
          <w:b/>
          <w:bCs/>
          <w:rtl/>
          <w:lang w:eastAsia="de-DE"/>
        </w:rPr>
        <w:t>אִם־יִתֶּן־לִי בָלָק מְלֹא בֵיתוֹ כֶּסֶף וְזָהָב</w:t>
      </w:r>
      <w:r w:rsidRPr="00232F0F">
        <w:rPr>
          <w:rFonts w:eastAsia="Times New Roman" w:cs="Times New Roman"/>
          <w:rtl/>
          <w:lang w:eastAsia="de-DE"/>
        </w:rPr>
        <w:t xml:space="preserve"> </w:t>
      </w:r>
      <w:r w:rsidRPr="00232F0F">
        <w:rPr>
          <w:rFonts w:eastAsia="Times New Roman" w:cs="Times New Roman"/>
          <w:lang w:eastAsia="de-DE"/>
        </w:rPr>
        <w:t xml:space="preserve">(„wenn Balak mir sein Haus voll Silber und Gold gäbe") – </w:t>
      </w:r>
      <w:r w:rsidRPr="00232F0F">
        <w:rPr>
          <w:rFonts w:eastAsia="Times New Roman" w:cs="Times New Roman"/>
          <w:b/>
          <w:bCs/>
          <w:rtl/>
          <w:lang w:eastAsia="de-DE"/>
        </w:rPr>
        <w:t>אִם</w:t>
      </w:r>
      <w:r w:rsidRPr="00232F0F">
        <w:rPr>
          <w:rFonts w:eastAsia="Times New Roman" w:cs="Times New Roman"/>
          <w:rtl/>
          <w:lang w:eastAsia="de-DE"/>
        </w:rPr>
        <w:t xml:space="preserve"> </w:t>
      </w:r>
      <w:r w:rsidRPr="00232F0F">
        <w:rPr>
          <w:rFonts w:eastAsia="Times New Roman" w:cs="Times New Roman"/>
          <w:lang w:eastAsia="de-DE"/>
        </w:rPr>
        <w:t xml:space="preserve">konditional, </w:t>
      </w:r>
      <w:r w:rsidRPr="00232F0F">
        <w:rPr>
          <w:rFonts w:eastAsia="Times New Roman" w:cs="Times New Roman"/>
          <w:b/>
          <w:bCs/>
          <w:rtl/>
          <w:lang w:eastAsia="de-DE"/>
        </w:rPr>
        <w:t>יִתֶּן־לִי</w:t>
      </w:r>
      <w:r w:rsidRPr="00232F0F">
        <w:rPr>
          <w:rFonts w:eastAsia="Times New Roman" w:cs="Times New Roman"/>
          <w:rtl/>
          <w:lang w:eastAsia="de-DE"/>
        </w:rPr>
        <w:t xml:space="preserve"> </w:t>
      </w:r>
      <w:r w:rsidRPr="00232F0F">
        <w:rPr>
          <w:rFonts w:eastAsia="Times New Roman" w:cs="Times New Roman"/>
          <w:lang w:eastAsia="de-DE"/>
        </w:rPr>
        <w:t xml:space="preserve">(Qal Imperfekt, 3. m. sg. von </w:t>
      </w:r>
      <w:r w:rsidRPr="00232F0F">
        <w:rPr>
          <w:rFonts w:eastAsia="Times New Roman" w:cs="Times New Roman"/>
          <w:b/>
          <w:bCs/>
          <w:rtl/>
          <w:lang w:eastAsia="de-DE"/>
        </w:rPr>
        <w:t>נתן</w:t>
      </w:r>
      <w:r w:rsidRPr="00232F0F">
        <w:rPr>
          <w:rFonts w:eastAsia="Times New Roman" w:cs="Times New Roman"/>
          <w:rtl/>
          <w:lang w:eastAsia="de-DE"/>
        </w:rPr>
        <w:t xml:space="preserve"> </w:t>
      </w:r>
      <w:r w:rsidRPr="00232F0F">
        <w:rPr>
          <w:rFonts w:eastAsia="Times New Roman" w:cs="Times New Roman"/>
          <w:lang w:eastAsia="de-DE"/>
        </w:rPr>
        <w:t xml:space="preserve">mit Dativ-Suffix, „er würde mir geben"), </w:t>
      </w:r>
      <w:r w:rsidRPr="00232F0F">
        <w:rPr>
          <w:rFonts w:eastAsia="Times New Roman" w:cs="Times New Roman"/>
          <w:b/>
          <w:bCs/>
          <w:rtl/>
          <w:lang w:eastAsia="de-DE"/>
        </w:rPr>
        <w:t>מְלֹא בֵיתוֹ</w:t>
      </w:r>
      <w:r w:rsidRPr="00232F0F">
        <w:rPr>
          <w:rFonts w:eastAsia="Times New Roman" w:cs="Times New Roman"/>
          <w:rtl/>
          <w:lang w:eastAsia="de-DE"/>
        </w:rPr>
        <w:t xml:space="preserve"> </w:t>
      </w:r>
      <w:r w:rsidRPr="00232F0F">
        <w:rPr>
          <w:rFonts w:eastAsia="Times New Roman" w:cs="Times New Roman"/>
          <w:lang w:eastAsia="de-DE"/>
        </w:rPr>
        <w:t xml:space="preserve">(„die Fülle seines Hauses", Constructus-Verbindung) – idiomatisch „sein Haus gefüllt", </w:t>
      </w:r>
      <w:r w:rsidRPr="00232F0F">
        <w:rPr>
          <w:rFonts w:eastAsia="Times New Roman" w:cs="Times New Roman"/>
          <w:b/>
          <w:bCs/>
          <w:rtl/>
          <w:lang w:eastAsia="de-DE"/>
        </w:rPr>
        <w:t>כֶּסֶף וְזָהָב</w:t>
      </w:r>
      <w:r w:rsidRPr="00232F0F">
        <w:rPr>
          <w:rFonts w:eastAsia="Times New Roman" w:cs="Times New Roman"/>
          <w:rtl/>
          <w:lang w:eastAsia="de-DE"/>
        </w:rPr>
        <w:t xml:space="preserve"> </w:t>
      </w:r>
      <w:r w:rsidRPr="00232F0F">
        <w:rPr>
          <w:rFonts w:eastAsia="Times New Roman" w:cs="Times New Roman"/>
          <w:lang w:eastAsia="de-DE"/>
        </w:rPr>
        <w:t>„Silber und Gold". Bileam übertreibt hyperbolisch die potenzielle Bezahlung.</w:t>
      </w:r>
    </w:p>
    <w:p w14:paraId="44AEEF5E"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Apodosis </w:t>
      </w:r>
      <w:r w:rsidRPr="00232F0F">
        <w:rPr>
          <w:rFonts w:eastAsia="Times New Roman" w:cs="Times New Roman"/>
          <w:b/>
          <w:bCs/>
          <w:rtl/>
          <w:lang w:eastAsia="de-DE"/>
        </w:rPr>
        <w:t>לֹא אוּכַל לַעֲבֹר אֶת־פִּי יְהוָה אֱלֹהָי</w:t>
      </w:r>
      <w:r w:rsidRPr="00232F0F">
        <w:rPr>
          <w:rFonts w:eastAsia="Times New Roman" w:cs="Times New Roman"/>
          <w:rtl/>
          <w:lang w:eastAsia="de-DE"/>
        </w:rPr>
        <w:t xml:space="preserve"> </w:t>
      </w:r>
      <w:r w:rsidRPr="00232F0F">
        <w:rPr>
          <w:rFonts w:eastAsia="Times New Roman" w:cs="Times New Roman"/>
          <w:lang w:eastAsia="de-DE"/>
        </w:rPr>
        <w:t xml:space="preserve">(„so könnte ich nicht übertreten den Befehl JHWHs, meines Gottes") – </w:t>
      </w:r>
      <w:r w:rsidRPr="00232F0F">
        <w:rPr>
          <w:rFonts w:eastAsia="Times New Roman" w:cs="Times New Roman"/>
          <w:b/>
          <w:bCs/>
          <w:rtl/>
          <w:lang w:eastAsia="de-DE"/>
        </w:rPr>
        <w:t>לֹא אוּכַל</w:t>
      </w:r>
      <w:r w:rsidRPr="00232F0F">
        <w:rPr>
          <w:rFonts w:eastAsia="Times New Roman" w:cs="Times New Roman"/>
          <w:rtl/>
          <w:lang w:eastAsia="de-DE"/>
        </w:rPr>
        <w:t xml:space="preserve"> </w:t>
      </w:r>
      <w:r w:rsidRPr="00232F0F">
        <w:rPr>
          <w:rFonts w:eastAsia="Times New Roman" w:cs="Times New Roman"/>
          <w:lang w:eastAsia="de-DE"/>
        </w:rPr>
        <w:t xml:space="preserve">(Negation plus Qal Imperfekt, 1. c. sg. von </w:t>
      </w:r>
      <w:r w:rsidRPr="00232F0F">
        <w:rPr>
          <w:rFonts w:eastAsia="Times New Roman" w:cs="Times New Roman"/>
          <w:b/>
          <w:bCs/>
          <w:rtl/>
          <w:lang w:eastAsia="de-DE"/>
        </w:rPr>
        <w:t>יכל</w:t>
      </w:r>
      <w:r w:rsidRPr="00232F0F">
        <w:rPr>
          <w:rFonts w:eastAsia="Times New Roman" w:cs="Times New Roman"/>
          <w:lang w:eastAsia="de-DE"/>
        </w:rPr>
        <w:t xml:space="preserve">, „ich könnte nicht, vermag nicht"), </w:t>
      </w:r>
      <w:r w:rsidRPr="00232F0F">
        <w:rPr>
          <w:rFonts w:eastAsia="Times New Roman" w:cs="Times New Roman"/>
          <w:b/>
          <w:bCs/>
          <w:rtl/>
          <w:lang w:eastAsia="de-DE"/>
        </w:rPr>
        <w:t>לַעֲבֹר</w:t>
      </w:r>
      <w:r w:rsidRPr="00232F0F">
        <w:rPr>
          <w:rFonts w:eastAsia="Times New Roman" w:cs="Times New Roman"/>
          <w:rtl/>
          <w:lang w:eastAsia="de-DE"/>
        </w:rPr>
        <w:t xml:space="preserve"> </w:t>
      </w:r>
      <w:r w:rsidRPr="00232F0F">
        <w:rPr>
          <w:rFonts w:eastAsia="Times New Roman" w:cs="Times New Roman"/>
          <w:lang w:eastAsia="de-DE"/>
        </w:rPr>
        <w:t xml:space="preserve">(Qal Infinitiv construct von </w:t>
      </w:r>
      <w:r w:rsidRPr="00232F0F">
        <w:rPr>
          <w:rFonts w:eastAsia="Times New Roman" w:cs="Times New Roman"/>
          <w:b/>
          <w:bCs/>
          <w:rtl/>
          <w:lang w:eastAsia="de-DE"/>
        </w:rPr>
        <w:t>עבר</w:t>
      </w:r>
      <w:r w:rsidRPr="00232F0F">
        <w:rPr>
          <w:rFonts w:eastAsia="Times New Roman" w:cs="Times New Roman"/>
          <w:rtl/>
          <w:lang w:eastAsia="de-DE"/>
        </w:rPr>
        <w:t xml:space="preserve"> </w:t>
      </w:r>
      <w:r w:rsidRPr="00232F0F">
        <w:rPr>
          <w:rFonts w:eastAsia="Times New Roman" w:cs="Times New Roman"/>
          <w:lang w:eastAsia="de-DE"/>
        </w:rPr>
        <w:t xml:space="preserve">mit </w:t>
      </w:r>
      <w:r w:rsidRPr="00232F0F">
        <w:rPr>
          <w:rFonts w:eastAsia="Times New Roman" w:cs="Times New Roman"/>
          <w:b/>
          <w:bCs/>
          <w:rtl/>
          <w:lang w:eastAsia="de-DE"/>
        </w:rPr>
        <w:t>לְ</w:t>
      </w:r>
      <w:r w:rsidRPr="00232F0F">
        <w:rPr>
          <w:rFonts w:eastAsia="Times New Roman" w:cs="Times New Roman"/>
          <w:lang w:eastAsia="de-DE"/>
        </w:rPr>
        <w:t xml:space="preserve">, „zu übertreten"), </w:t>
      </w:r>
      <w:r w:rsidRPr="00232F0F">
        <w:rPr>
          <w:rFonts w:eastAsia="Times New Roman" w:cs="Times New Roman"/>
          <w:b/>
          <w:bCs/>
          <w:rtl/>
          <w:lang w:eastAsia="de-DE"/>
        </w:rPr>
        <w:t>אֶת־פִּי יְהוָה אֱלֹהָי</w:t>
      </w:r>
      <w:r w:rsidRPr="00232F0F">
        <w:rPr>
          <w:rFonts w:eastAsia="Times New Roman" w:cs="Times New Roman"/>
          <w:rtl/>
          <w:lang w:eastAsia="de-DE"/>
        </w:rPr>
        <w:t xml:space="preserve"> </w:t>
      </w:r>
      <w:r w:rsidRPr="00232F0F">
        <w:rPr>
          <w:rFonts w:eastAsia="Times New Roman" w:cs="Times New Roman"/>
          <w:lang w:eastAsia="de-DE"/>
        </w:rPr>
        <w:t xml:space="preserve">(„den Mund/Befehl JHWHs, meines Gottes") – </w:t>
      </w:r>
      <w:r w:rsidRPr="00232F0F">
        <w:rPr>
          <w:rFonts w:eastAsia="Times New Roman" w:cs="Times New Roman"/>
          <w:b/>
          <w:bCs/>
          <w:rtl/>
          <w:lang w:eastAsia="de-DE"/>
        </w:rPr>
        <w:t>פֶּה</w:t>
      </w:r>
      <w:r w:rsidRPr="00232F0F">
        <w:rPr>
          <w:rFonts w:eastAsia="Times New Roman" w:cs="Times New Roman"/>
          <w:rtl/>
          <w:lang w:eastAsia="de-DE"/>
        </w:rPr>
        <w:t xml:space="preserve"> </w:t>
      </w:r>
      <w:r w:rsidRPr="00232F0F">
        <w:rPr>
          <w:rFonts w:eastAsia="Times New Roman" w:cs="Times New Roman"/>
          <w:lang w:eastAsia="de-DE"/>
        </w:rPr>
        <w:t xml:space="preserve">„Mund" steht metonymisch für „Befehl, Wort". Bemerkenswert: </w:t>
      </w:r>
      <w:r w:rsidRPr="00232F0F">
        <w:rPr>
          <w:rFonts w:eastAsia="Times New Roman" w:cs="Times New Roman"/>
          <w:b/>
          <w:bCs/>
          <w:rtl/>
          <w:lang w:eastAsia="de-DE"/>
        </w:rPr>
        <w:t>יְהוָה אֱלֹהָי</w:t>
      </w:r>
      <w:r w:rsidRPr="00232F0F">
        <w:rPr>
          <w:rFonts w:eastAsia="Times New Roman" w:cs="Times New Roman"/>
          <w:rtl/>
          <w:lang w:eastAsia="de-DE"/>
        </w:rPr>
        <w:t xml:space="preserve"> </w:t>
      </w:r>
      <w:r w:rsidRPr="00232F0F">
        <w:rPr>
          <w:rFonts w:eastAsia="Times New Roman" w:cs="Times New Roman"/>
          <w:lang w:eastAsia="de-DE"/>
        </w:rPr>
        <w:t xml:space="preserve">„JHWH, mein Gott" – Bileam bezeichnet JHWH als </w:t>
      </w:r>
      <w:r w:rsidRPr="00232F0F">
        <w:rPr>
          <w:rFonts w:eastAsia="Times New Roman" w:cs="Times New Roman"/>
          <w:b/>
          <w:bCs/>
          <w:lang w:eastAsia="de-DE"/>
        </w:rPr>
        <w:t>seinen</w:t>
      </w:r>
      <w:r w:rsidRPr="00232F0F">
        <w:rPr>
          <w:rFonts w:eastAsia="Times New Roman" w:cs="Times New Roman"/>
          <w:lang w:eastAsia="de-DE"/>
        </w:rPr>
        <w:t xml:space="preserve"> Gott! Dies ist eine erstaunliche Identifikation für einen nicht-israelitischen Seher.</w:t>
      </w:r>
    </w:p>
    <w:p w14:paraId="0621D10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Erweiterung </w:t>
      </w:r>
      <w:r w:rsidRPr="00232F0F">
        <w:rPr>
          <w:rFonts w:eastAsia="Times New Roman" w:cs="Times New Roman"/>
          <w:b/>
          <w:bCs/>
          <w:rtl/>
          <w:lang w:eastAsia="de-DE"/>
        </w:rPr>
        <w:t>לַעֲשׂוֹת קְטַנָּה אוֹ גְדוֹלָה</w:t>
      </w:r>
      <w:r w:rsidRPr="00232F0F">
        <w:rPr>
          <w:rFonts w:eastAsia="Times New Roman" w:cs="Times New Roman"/>
          <w:rtl/>
          <w:lang w:eastAsia="de-DE"/>
        </w:rPr>
        <w:t xml:space="preserve"> </w:t>
      </w:r>
      <w:r w:rsidRPr="00232F0F">
        <w:rPr>
          <w:rFonts w:eastAsia="Times New Roman" w:cs="Times New Roman"/>
          <w:lang w:eastAsia="de-DE"/>
        </w:rPr>
        <w:t xml:space="preserve">(„um Kleines oder Großes zu tun") – </w:t>
      </w:r>
      <w:r w:rsidRPr="00232F0F">
        <w:rPr>
          <w:rFonts w:eastAsia="Times New Roman" w:cs="Times New Roman"/>
          <w:b/>
          <w:bCs/>
          <w:rtl/>
          <w:lang w:eastAsia="de-DE"/>
        </w:rPr>
        <w:t>לַעֲשׂוֹת</w:t>
      </w:r>
      <w:r w:rsidRPr="00232F0F">
        <w:rPr>
          <w:rFonts w:eastAsia="Times New Roman" w:cs="Times New Roman"/>
          <w:rtl/>
          <w:lang w:eastAsia="de-DE"/>
        </w:rPr>
        <w:t xml:space="preserve"> </w:t>
      </w:r>
      <w:r w:rsidRPr="00232F0F">
        <w:rPr>
          <w:rFonts w:eastAsia="Times New Roman" w:cs="Times New Roman"/>
          <w:lang w:eastAsia="de-DE"/>
        </w:rPr>
        <w:t xml:space="preserve">(Qal Infinitiv construct von </w:t>
      </w:r>
      <w:r w:rsidRPr="00232F0F">
        <w:rPr>
          <w:rFonts w:eastAsia="Times New Roman" w:cs="Times New Roman"/>
          <w:b/>
          <w:bCs/>
          <w:rtl/>
          <w:lang w:eastAsia="de-DE"/>
        </w:rPr>
        <w:t>עשׂה</w:t>
      </w:r>
      <w:r w:rsidRPr="00232F0F">
        <w:rPr>
          <w:rFonts w:eastAsia="Times New Roman" w:cs="Times New Roman"/>
          <w:rtl/>
          <w:lang w:eastAsia="de-DE"/>
        </w:rPr>
        <w:t xml:space="preserve"> </w:t>
      </w:r>
      <w:r w:rsidRPr="00232F0F">
        <w:rPr>
          <w:rFonts w:eastAsia="Times New Roman" w:cs="Times New Roman"/>
          <w:lang w:eastAsia="de-DE"/>
        </w:rPr>
        <w:t xml:space="preserve">mit </w:t>
      </w:r>
      <w:r w:rsidRPr="00232F0F">
        <w:rPr>
          <w:rFonts w:eastAsia="Times New Roman" w:cs="Times New Roman"/>
          <w:b/>
          <w:bCs/>
          <w:rtl/>
          <w:lang w:eastAsia="de-DE"/>
        </w:rPr>
        <w:t>לְ</w:t>
      </w:r>
      <w:r w:rsidRPr="00232F0F">
        <w:rPr>
          <w:rFonts w:eastAsia="Times New Roman" w:cs="Times New Roman"/>
          <w:lang w:eastAsia="de-DE"/>
        </w:rPr>
        <w:t xml:space="preserve">), </w:t>
      </w:r>
      <w:r w:rsidRPr="00232F0F">
        <w:rPr>
          <w:rFonts w:eastAsia="Times New Roman" w:cs="Times New Roman"/>
          <w:b/>
          <w:bCs/>
          <w:rtl/>
          <w:lang w:eastAsia="de-DE"/>
        </w:rPr>
        <w:t>קְטַנָּה אוֹ גְדוֹלָה</w:t>
      </w:r>
      <w:r w:rsidRPr="00232F0F">
        <w:rPr>
          <w:rFonts w:eastAsia="Times New Roman" w:cs="Times New Roman"/>
          <w:rtl/>
          <w:lang w:eastAsia="de-DE"/>
        </w:rPr>
        <w:t xml:space="preserve"> </w:t>
      </w:r>
      <w:r w:rsidRPr="00232F0F">
        <w:rPr>
          <w:rFonts w:eastAsia="Times New Roman" w:cs="Times New Roman"/>
          <w:lang w:eastAsia="de-DE"/>
        </w:rPr>
        <w:t xml:space="preserve">(„klein oder groß", beide feminin, da </w:t>
      </w:r>
      <w:r w:rsidRPr="00232F0F">
        <w:rPr>
          <w:rFonts w:eastAsia="Times New Roman" w:cs="Times New Roman"/>
          <w:b/>
          <w:bCs/>
          <w:rtl/>
          <w:lang w:eastAsia="de-DE"/>
        </w:rPr>
        <w:t>דָּבָר</w:t>
      </w:r>
      <w:r w:rsidRPr="00232F0F">
        <w:rPr>
          <w:rFonts w:eastAsia="Times New Roman" w:cs="Times New Roman"/>
          <w:rtl/>
          <w:lang w:eastAsia="de-DE"/>
        </w:rPr>
        <w:t xml:space="preserve"> </w:t>
      </w:r>
      <w:r w:rsidRPr="00232F0F">
        <w:rPr>
          <w:rFonts w:eastAsia="Times New Roman" w:cs="Times New Roman"/>
          <w:lang w:eastAsia="de-DE"/>
        </w:rPr>
        <w:t xml:space="preserve">„Sache" feminin sein kann) – ein Merismus „Kleines oder Großes" bedeutet „irgendetwas, alles". Bileam kann in </w:t>
      </w:r>
      <w:r w:rsidRPr="00232F0F">
        <w:rPr>
          <w:rFonts w:eastAsia="Times New Roman" w:cs="Times New Roman"/>
          <w:b/>
          <w:bCs/>
          <w:lang w:eastAsia="de-DE"/>
        </w:rPr>
        <w:t>nichts</w:t>
      </w:r>
      <w:r w:rsidRPr="00232F0F">
        <w:rPr>
          <w:rFonts w:eastAsia="Times New Roman" w:cs="Times New Roman"/>
          <w:lang w:eastAsia="de-DE"/>
        </w:rPr>
        <w:t xml:space="preserve"> von Gottes Befehl abweichen.</w:t>
      </w:r>
    </w:p>
    <w:p w14:paraId="5A5BBD66"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Bileams Antwort ist edel und prinzipientreu – er ist unbestechlich. Doch V. 19 wird zeigen, dass er die Tür nicht ganz schließt...</w:t>
      </w:r>
    </w:p>
    <w:p w14:paraId="0C7DC813"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folgt dem hebräischen Text.</w:t>
      </w:r>
    </w:p>
    <w:p w14:paraId="5071487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zwei koordinierte Hauptsätze in der Rahmenerzählung, dann direkte Rede: Ein konditionaler Nebensatz (Protasis mit Verb, indirektem Objekt, Subjekt, Objekt als Constructus-Verbindung und weiterem Objekt), gefolgt von der Apodosis (Hauptsatz mit Negation, Verb, Infinitiv construct, Objekt als idiomatische Wendung und finalem Infinitiv mit Merismus). Insgesamt gibt es zwei Nebensätze: einen Konditionalsatz und einen finalen Infinitivsatz.</w:t>
      </w:r>
    </w:p>
    <w:p w14:paraId="24F59C4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Der Vers zeigt Bileams Integrität: Keine Summe kann ihn kaufen, wenn Gott etwas verboten hat. Er bekennt sich zu JHWH als </w:t>
      </w:r>
      <w:r w:rsidRPr="00232F0F">
        <w:rPr>
          <w:rFonts w:eastAsia="Times New Roman" w:cs="Times New Roman"/>
          <w:b/>
          <w:bCs/>
          <w:lang w:eastAsia="de-DE"/>
        </w:rPr>
        <w:t>seinem</w:t>
      </w:r>
      <w:r w:rsidRPr="00232F0F">
        <w:rPr>
          <w:rFonts w:eastAsia="Times New Roman" w:cs="Times New Roman"/>
          <w:lang w:eastAsia="de-DE"/>
        </w:rPr>
        <w:t xml:space="preserve"> Gott – ein außergewöhnliches Zeugnis.</w:t>
      </w:r>
    </w:p>
    <w:p w14:paraId="7D7824BA"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22,19</w:t>
      </w:r>
    </w:p>
    <w:p w14:paraId="0525FFD7"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וְעַתָּ֗ה שְׁב֨וּ נָ֥א בָזֶ֛ה גַּם־אַתֶּ֖ם הַלָּ֑יְלָה וְאֵ֣דְעָ֔ה מַה־יֹּסֵ֥ף יְהוָ֖ה דַּבֵּ֥ר עִמִּֽי׃</w:t>
      </w:r>
    </w:p>
    <w:p w14:paraId="1DD48FC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Und nun bleibt doch auch ihr hier diese Nacht, und ich werde erfahren, was der Ewige weiter zu mir reden wird.</w:t>
      </w:r>
    </w:p>
    <w:p w14:paraId="7E9CB9BA"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02231898">
          <v:rect id="_x0000_i1777" style="width:0;height:1.5pt" o:hralign="center" o:hrstd="t" o:hr="t" fillcolor="#a0a0a0" stroked="f"/>
        </w:pict>
      </w:r>
    </w:p>
    <w:p w14:paraId="5D8E1F1C"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lastRenderedPageBreak/>
        <w:t>Kommentar:</w:t>
      </w:r>
      <w:r w:rsidRPr="00232F0F">
        <w:rPr>
          <w:rFonts w:eastAsia="Times New Roman" w:cs="Times New Roman"/>
          <w:lang w:eastAsia="de-DE"/>
        </w:rPr>
        <w:t xml:space="preserve"> Die Aufforderung </w:t>
      </w:r>
      <w:r w:rsidRPr="00232F0F">
        <w:rPr>
          <w:rFonts w:eastAsia="Times New Roman" w:cs="Times New Roman"/>
          <w:b/>
          <w:bCs/>
          <w:rtl/>
          <w:lang w:eastAsia="de-DE"/>
        </w:rPr>
        <w:t>וְעַתָּה שְׁבוּ נָא בָזֶה גַּם־אַתֶּם הַלָּיְלָה</w:t>
      </w:r>
      <w:r w:rsidRPr="00232F0F">
        <w:rPr>
          <w:rFonts w:eastAsia="Times New Roman" w:cs="Times New Roman"/>
          <w:rtl/>
          <w:lang w:eastAsia="de-DE"/>
        </w:rPr>
        <w:t xml:space="preserve"> </w:t>
      </w:r>
      <w:r w:rsidRPr="00232F0F">
        <w:rPr>
          <w:rFonts w:eastAsia="Times New Roman" w:cs="Times New Roman"/>
          <w:lang w:eastAsia="de-DE"/>
        </w:rPr>
        <w:t xml:space="preserve">(„und nun bleibt doch auch ihr hier diese Nacht") – </w:t>
      </w:r>
      <w:r w:rsidRPr="00232F0F">
        <w:rPr>
          <w:rFonts w:eastAsia="Times New Roman" w:cs="Times New Roman"/>
          <w:b/>
          <w:bCs/>
          <w:rtl/>
          <w:lang w:eastAsia="de-DE"/>
        </w:rPr>
        <w:t>שְׁבוּ</w:t>
      </w:r>
      <w:r w:rsidRPr="00232F0F">
        <w:rPr>
          <w:rFonts w:eastAsia="Times New Roman" w:cs="Times New Roman"/>
          <w:rtl/>
          <w:lang w:eastAsia="de-DE"/>
        </w:rPr>
        <w:t xml:space="preserve"> </w:t>
      </w:r>
      <w:r w:rsidRPr="00232F0F">
        <w:rPr>
          <w:rFonts w:eastAsia="Times New Roman" w:cs="Times New Roman"/>
          <w:lang w:eastAsia="de-DE"/>
        </w:rPr>
        <w:t xml:space="preserve">(Qal Imperativ Plural von </w:t>
      </w:r>
      <w:r w:rsidRPr="00232F0F">
        <w:rPr>
          <w:rFonts w:eastAsia="Times New Roman" w:cs="Times New Roman"/>
          <w:b/>
          <w:bCs/>
          <w:rtl/>
          <w:lang w:eastAsia="de-DE"/>
        </w:rPr>
        <w:t>ישׁב</w:t>
      </w:r>
      <w:r w:rsidRPr="00232F0F">
        <w:rPr>
          <w:rFonts w:eastAsia="Times New Roman" w:cs="Times New Roman"/>
          <w:lang w:eastAsia="de-DE"/>
        </w:rPr>
        <w:t xml:space="preserve">, „bleibt, sitzt"), </w:t>
      </w:r>
      <w:r w:rsidRPr="00232F0F">
        <w:rPr>
          <w:rFonts w:eastAsia="Times New Roman" w:cs="Times New Roman"/>
          <w:b/>
          <w:bCs/>
          <w:rtl/>
          <w:lang w:eastAsia="de-DE"/>
        </w:rPr>
        <w:t>נָא</w:t>
      </w:r>
      <w:r w:rsidRPr="00232F0F">
        <w:rPr>
          <w:rFonts w:eastAsia="Times New Roman" w:cs="Times New Roman"/>
          <w:rtl/>
          <w:lang w:eastAsia="de-DE"/>
        </w:rPr>
        <w:t xml:space="preserve"> </w:t>
      </w:r>
      <w:r w:rsidRPr="00232F0F">
        <w:rPr>
          <w:rFonts w:eastAsia="Times New Roman" w:cs="Times New Roman"/>
          <w:lang w:eastAsia="de-DE"/>
        </w:rPr>
        <w:t xml:space="preserve">emphatisch, </w:t>
      </w:r>
      <w:r w:rsidRPr="00232F0F">
        <w:rPr>
          <w:rFonts w:eastAsia="Times New Roman" w:cs="Times New Roman"/>
          <w:b/>
          <w:bCs/>
          <w:rtl/>
          <w:lang w:eastAsia="de-DE"/>
        </w:rPr>
        <w:t>בָזֶה</w:t>
      </w:r>
      <w:r w:rsidRPr="00232F0F">
        <w:rPr>
          <w:rFonts w:eastAsia="Times New Roman" w:cs="Times New Roman"/>
          <w:rtl/>
          <w:lang w:eastAsia="de-DE"/>
        </w:rPr>
        <w:t xml:space="preserve"> </w:t>
      </w:r>
      <w:r w:rsidRPr="00232F0F">
        <w:rPr>
          <w:rFonts w:eastAsia="Times New Roman" w:cs="Times New Roman"/>
          <w:lang w:eastAsia="de-DE"/>
        </w:rPr>
        <w:t xml:space="preserve">„hier", </w:t>
      </w:r>
      <w:r w:rsidRPr="00232F0F">
        <w:rPr>
          <w:rFonts w:eastAsia="Times New Roman" w:cs="Times New Roman"/>
          <w:b/>
          <w:bCs/>
          <w:rtl/>
          <w:lang w:eastAsia="de-DE"/>
        </w:rPr>
        <w:t>גַּם־אַתֶּם</w:t>
      </w:r>
      <w:r w:rsidRPr="00232F0F">
        <w:rPr>
          <w:rFonts w:eastAsia="Times New Roman" w:cs="Times New Roman"/>
          <w:rtl/>
          <w:lang w:eastAsia="de-DE"/>
        </w:rPr>
        <w:t xml:space="preserve"> </w:t>
      </w:r>
      <w:r w:rsidRPr="00232F0F">
        <w:rPr>
          <w:rFonts w:eastAsia="Times New Roman" w:cs="Times New Roman"/>
          <w:lang w:eastAsia="de-DE"/>
        </w:rPr>
        <w:t xml:space="preserve">„auch ihr" (wie die erste Delegation), </w:t>
      </w:r>
      <w:r w:rsidRPr="00232F0F">
        <w:rPr>
          <w:rFonts w:eastAsia="Times New Roman" w:cs="Times New Roman"/>
          <w:b/>
          <w:bCs/>
          <w:rtl/>
          <w:lang w:eastAsia="de-DE"/>
        </w:rPr>
        <w:t>הַלַּיְלָה</w:t>
      </w:r>
      <w:r w:rsidRPr="00232F0F">
        <w:rPr>
          <w:rFonts w:eastAsia="Times New Roman" w:cs="Times New Roman"/>
          <w:rtl/>
          <w:lang w:eastAsia="de-DE"/>
        </w:rPr>
        <w:t xml:space="preserve"> </w:t>
      </w:r>
      <w:r w:rsidRPr="00232F0F">
        <w:rPr>
          <w:rFonts w:eastAsia="Times New Roman" w:cs="Times New Roman"/>
          <w:lang w:eastAsia="de-DE"/>
        </w:rPr>
        <w:t>Zeitangabe.</w:t>
      </w:r>
    </w:p>
    <w:p w14:paraId="304C6FD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Ankündigung </w:t>
      </w:r>
      <w:r w:rsidRPr="00232F0F">
        <w:rPr>
          <w:rFonts w:eastAsia="Times New Roman" w:cs="Times New Roman"/>
          <w:b/>
          <w:bCs/>
          <w:rtl/>
          <w:lang w:eastAsia="de-DE"/>
        </w:rPr>
        <w:t>וְאֵדְעָה מַה־יֹסֵף יְהוָה דַּבֵּר עִמִּי</w:t>
      </w:r>
      <w:r w:rsidRPr="00232F0F">
        <w:rPr>
          <w:rFonts w:eastAsia="Times New Roman" w:cs="Times New Roman"/>
          <w:rtl/>
          <w:lang w:eastAsia="de-DE"/>
        </w:rPr>
        <w:t xml:space="preserve"> </w:t>
      </w:r>
      <w:r w:rsidRPr="00232F0F">
        <w:rPr>
          <w:rFonts w:eastAsia="Times New Roman" w:cs="Times New Roman"/>
          <w:lang w:eastAsia="de-DE"/>
        </w:rPr>
        <w:t xml:space="preserve">(„und ich werde erfahren, was JHWH weiter zu mir reden wird") – </w:t>
      </w:r>
      <w:r w:rsidRPr="00232F0F">
        <w:rPr>
          <w:rFonts w:eastAsia="Times New Roman" w:cs="Times New Roman"/>
          <w:b/>
          <w:bCs/>
          <w:rtl/>
          <w:lang w:eastAsia="de-DE"/>
        </w:rPr>
        <w:t>וְאֵדְעָה</w:t>
      </w:r>
      <w:r w:rsidRPr="00232F0F">
        <w:rPr>
          <w:rFonts w:eastAsia="Times New Roman" w:cs="Times New Roman"/>
          <w:rtl/>
          <w:lang w:eastAsia="de-DE"/>
        </w:rPr>
        <w:t xml:space="preserve"> </w:t>
      </w:r>
      <w:r w:rsidRPr="00232F0F">
        <w:rPr>
          <w:rFonts w:eastAsia="Times New Roman" w:cs="Times New Roman"/>
          <w:lang w:eastAsia="de-DE"/>
        </w:rPr>
        <w:t xml:space="preserve">(Waw + Qal Kohortativ, 1. c. sg. von </w:t>
      </w:r>
      <w:r w:rsidRPr="00232F0F">
        <w:rPr>
          <w:rFonts w:eastAsia="Times New Roman" w:cs="Times New Roman"/>
          <w:b/>
          <w:bCs/>
          <w:rtl/>
          <w:lang w:eastAsia="de-DE"/>
        </w:rPr>
        <w:t>ידע</w:t>
      </w:r>
      <w:r w:rsidRPr="00232F0F">
        <w:rPr>
          <w:rFonts w:eastAsia="Times New Roman" w:cs="Times New Roman"/>
          <w:lang w:eastAsia="de-DE"/>
        </w:rPr>
        <w:t xml:space="preserve">, „und ich werde wissen/erfahren"), der Objektsatz </w:t>
      </w:r>
      <w:r w:rsidRPr="00232F0F">
        <w:rPr>
          <w:rFonts w:eastAsia="Times New Roman" w:cs="Times New Roman"/>
          <w:b/>
          <w:bCs/>
          <w:rtl/>
          <w:lang w:eastAsia="de-DE"/>
        </w:rPr>
        <w:t>מַה־יֹסֵף יְהוָה דַּבֵּר עִמִּי</w:t>
      </w:r>
      <w:r w:rsidRPr="00232F0F">
        <w:rPr>
          <w:rFonts w:eastAsia="Times New Roman" w:cs="Times New Roman"/>
          <w:rtl/>
          <w:lang w:eastAsia="de-DE"/>
        </w:rPr>
        <w:t xml:space="preserve"> </w:t>
      </w:r>
      <w:r w:rsidRPr="00232F0F">
        <w:rPr>
          <w:rFonts w:eastAsia="Times New Roman" w:cs="Times New Roman"/>
          <w:lang w:eastAsia="de-DE"/>
        </w:rPr>
        <w:t xml:space="preserve">(„was JHWH weiter zu mir reden wird") – </w:t>
      </w:r>
      <w:r w:rsidRPr="00232F0F">
        <w:rPr>
          <w:rFonts w:eastAsia="Times New Roman" w:cs="Times New Roman"/>
          <w:b/>
          <w:bCs/>
          <w:rtl/>
          <w:lang w:eastAsia="de-DE"/>
        </w:rPr>
        <w:t>מָה</w:t>
      </w:r>
      <w:r w:rsidRPr="00232F0F">
        <w:rPr>
          <w:rFonts w:eastAsia="Times New Roman" w:cs="Times New Roman"/>
          <w:rtl/>
          <w:lang w:eastAsia="de-DE"/>
        </w:rPr>
        <w:t xml:space="preserve"> </w:t>
      </w:r>
      <w:r w:rsidRPr="00232F0F">
        <w:rPr>
          <w:rFonts w:eastAsia="Times New Roman" w:cs="Times New Roman"/>
          <w:lang w:eastAsia="de-DE"/>
        </w:rPr>
        <w:t xml:space="preserve">Interrogativ „was", </w:t>
      </w:r>
      <w:r w:rsidRPr="00232F0F">
        <w:rPr>
          <w:rFonts w:eastAsia="Times New Roman" w:cs="Times New Roman"/>
          <w:b/>
          <w:bCs/>
          <w:rtl/>
          <w:lang w:eastAsia="de-DE"/>
        </w:rPr>
        <w:t>יֹסֵף</w:t>
      </w:r>
      <w:r w:rsidRPr="00232F0F">
        <w:rPr>
          <w:rFonts w:eastAsia="Times New Roman" w:cs="Times New Roman"/>
          <w:rtl/>
          <w:lang w:eastAsia="de-DE"/>
        </w:rPr>
        <w:t xml:space="preserve"> </w:t>
      </w:r>
      <w:r w:rsidRPr="00232F0F">
        <w:rPr>
          <w:rFonts w:eastAsia="Times New Roman" w:cs="Times New Roman"/>
          <w:lang w:eastAsia="de-DE"/>
        </w:rPr>
        <w:t xml:space="preserve">(Hifil Imperfekt, 3. m. sg. von </w:t>
      </w:r>
      <w:r w:rsidRPr="00232F0F">
        <w:rPr>
          <w:rFonts w:eastAsia="Times New Roman" w:cs="Times New Roman"/>
          <w:b/>
          <w:bCs/>
          <w:rtl/>
          <w:lang w:eastAsia="de-DE"/>
        </w:rPr>
        <w:t>יסף</w:t>
      </w:r>
      <w:r w:rsidRPr="00232F0F">
        <w:rPr>
          <w:rFonts w:eastAsia="Times New Roman" w:cs="Times New Roman"/>
          <w:lang w:eastAsia="de-DE"/>
        </w:rPr>
        <w:t xml:space="preserve">, „er wird hinzufügen, weiter tun"), </w:t>
      </w:r>
      <w:r w:rsidRPr="00232F0F">
        <w:rPr>
          <w:rFonts w:eastAsia="Times New Roman" w:cs="Times New Roman"/>
          <w:b/>
          <w:bCs/>
          <w:rtl/>
          <w:lang w:eastAsia="de-DE"/>
        </w:rPr>
        <w:t>יְהוָה</w:t>
      </w:r>
      <w:r w:rsidRPr="00232F0F">
        <w:rPr>
          <w:rFonts w:eastAsia="Times New Roman" w:cs="Times New Roman"/>
          <w:rtl/>
          <w:lang w:eastAsia="de-DE"/>
        </w:rPr>
        <w:t xml:space="preserve"> </w:t>
      </w:r>
      <w:r w:rsidRPr="00232F0F">
        <w:rPr>
          <w:rFonts w:eastAsia="Times New Roman" w:cs="Times New Roman"/>
          <w:lang w:eastAsia="de-DE"/>
        </w:rPr>
        <w:t xml:space="preserve">Subjekt, </w:t>
      </w:r>
      <w:r w:rsidRPr="00232F0F">
        <w:rPr>
          <w:rFonts w:eastAsia="Times New Roman" w:cs="Times New Roman"/>
          <w:b/>
          <w:bCs/>
          <w:rtl/>
          <w:lang w:eastAsia="de-DE"/>
        </w:rPr>
        <w:t>דַּבֵּר</w:t>
      </w:r>
      <w:r w:rsidRPr="00232F0F">
        <w:rPr>
          <w:rFonts w:eastAsia="Times New Roman" w:cs="Times New Roman"/>
          <w:rtl/>
          <w:lang w:eastAsia="de-DE"/>
        </w:rPr>
        <w:t xml:space="preserve"> </w:t>
      </w:r>
      <w:r w:rsidRPr="00232F0F">
        <w:rPr>
          <w:rFonts w:eastAsia="Times New Roman" w:cs="Times New Roman"/>
          <w:lang w:eastAsia="de-DE"/>
        </w:rPr>
        <w:t xml:space="preserve">(Piel Infinitiv construct von </w:t>
      </w:r>
      <w:r w:rsidRPr="00232F0F">
        <w:rPr>
          <w:rFonts w:eastAsia="Times New Roman" w:cs="Times New Roman"/>
          <w:b/>
          <w:bCs/>
          <w:rtl/>
          <w:lang w:eastAsia="de-DE"/>
        </w:rPr>
        <w:t>דבר</w:t>
      </w:r>
      <w:r w:rsidRPr="00232F0F">
        <w:rPr>
          <w:rFonts w:eastAsia="Times New Roman" w:cs="Times New Roman"/>
          <w:lang w:eastAsia="de-DE"/>
        </w:rPr>
        <w:t xml:space="preserve">, „reden") als Objekt zu </w:t>
      </w:r>
      <w:r w:rsidRPr="00232F0F">
        <w:rPr>
          <w:rFonts w:eastAsia="Times New Roman" w:cs="Times New Roman"/>
          <w:b/>
          <w:bCs/>
          <w:rtl/>
          <w:lang w:eastAsia="de-DE"/>
        </w:rPr>
        <w:t>יֹסֵף</w:t>
      </w:r>
      <w:r w:rsidRPr="00232F0F">
        <w:rPr>
          <w:rFonts w:eastAsia="Times New Roman" w:cs="Times New Roman"/>
          <w:lang w:eastAsia="de-DE"/>
        </w:rPr>
        <w:t xml:space="preserve">, </w:t>
      </w:r>
      <w:r w:rsidRPr="00232F0F">
        <w:rPr>
          <w:rFonts w:eastAsia="Times New Roman" w:cs="Times New Roman"/>
          <w:b/>
          <w:bCs/>
          <w:rtl/>
          <w:lang w:eastAsia="de-DE"/>
        </w:rPr>
        <w:t>עִמִּי</w:t>
      </w:r>
      <w:r w:rsidRPr="00232F0F">
        <w:rPr>
          <w:rFonts w:eastAsia="Times New Roman" w:cs="Times New Roman"/>
          <w:rtl/>
          <w:lang w:eastAsia="de-DE"/>
        </w:rPr>
        <w:t xml:space="preserve"> </w:t>
      </w:r>
      <w:r w:rsidRPr="00232F0F">
        <w:rPr>
          <w:rFonts w:eastAsia="Times New Roman" w:cs="Times New Roman"/>
          <w:lang w:eastAsia="de-DE"/>
        </w:rPr>
        <w:t>„mit mir".</w:t>
      </w:r>
    </w:p>
    <w:p w14:paraId="7F6AFF1D"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Dies ist problematisch: Gott hat bereits klar geantwortet (V. 12) – „geh nicht, verfluche nicht, denn es ist gesegnet". Was gibt es noch zu erfragen? Bileam scheint zu hoffen, dass Gott seine Meinung ändert, wenn höherrangige Boten mit besseren Angeboten kommen. Dies zeigt eine subtile Schwäche: Trotz seiner noblen Worte in V. 18 ist Bileam nicht ganz abgeneigt – er testet, ob die verbesserten Umstände Gottes Entscheidung ändern könnten.</w:t>
      </w:r>
    </w:p>
    <w:p w14:paraId="46C9F957"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rabbinische Tradition kritisiert dies scharf: „Gott lässt Menschen den Weg gehen, den sie gehen wollen" – wenn jemand hartnäckig etwas Falsches begehrt, kann Gott erlauben, dass sie die Konsequenzen erfahren. Bileams Anfrage zeigt inneren Widerstand gegen Gottes klare Anweisung.</w:t>
      </w:r>
    </w:p>
    <w:p w14:paraId="4D6F578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folgt dem hebräischen Text.</w:t>
      </w:r>
    </w:p>
    <w:p w14:paraId="437E60A3"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Satzstruktur zeigt zwei koordinierte Hauptsätze: Der erste mit Konjunktion, Imperativ, emphatischem </w:t>
      </w:r>
      <w:r w:rsidRPr="00232F0F">
        <w:rPr>
          <w:rFonts w:eastAsia="Times New Roman" w:cs="Times New Roman"/>
          <w:b/>
          <w:bCs/>
          <w:rtl/>
          <w:lang w:eastAsia="de-DE"/>
        </w:rPr>
        <w:t>נָא</w:t>
      </w:r>
      <w:r w:rsidRPr="00232F0F">
        <w:rPr>
          <w:rFonts w:eastAsia="Times New Roman" w:cs="Times New Roman"/>
          <w:lang w:eastAsia="de-DE"/>
        </w:rPr>
        <w:t>, Adverb, verstärkendem Pronomen und Zeitangabe; der zweite mit Kohortativ und Objektsatz (Interrogativ, Verb, Subjekt, Infinitiv construct als Objekt und Präpositionalphrase). Insgesamt gibt es einen Nebensatz (Objektsatz).</w:t>
      </w:r>
    </w:p>
    <w:p w14:paraId="624E31B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Der Vers zeigt Bileams Ambivalenz: Einerseits bekennt er Gottes Autorität, andererseits fragt er erneut nach – als ob die verbesserten Bedingungen Gottes Willen ändern könnten. Dies ist geistlich gefährlich.</w:t>
      </w:r>
    </w:p>
    <w:p w14:paraId="6CD54364"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22,20</w:t>
      </w:r>
    </w:p>
    <w:p w14:paraId="4C874957"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וַיָּבֹ֨א אֱלֹהִ֥ים׀ אֶל־בִּלְעָם֮ לַיְלָה֒ וַיֹּ֣אמֶר לוֹ֗ אִם־לִקְרֹ֤א לְךָ֙ בָּ֣אוּ הָאֲנָשִׁ֔ים ק֖וּם לֵ֣ךְ אִתָּ֑ם וְאַ֗ךְ אֶת־הַדָּבָ֛ר אֲשֶׁר־אֲדַבֵּ֥ר אֵלֶ֖יךָ אֹתוֹ֥ תַעֲשֶֽׂה׃</w:t>
      </w:r>
    </w:p>
    <w:p w14:paraId="7D156BBD"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Und Gott kam zu Bileam in der Nacht und sprach zu ihm: Wenn die Männer gekommen sind, um dich zu rufen, mach dich auf und geh mit ihnen; aber nur das, was ich dir sagen werde, sollst du tun.</w:t>
      </w:r>
    </w:p>
    <w:p w14:paraId="39D32965"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17733A44">
          <v:rect id="_x0000_i1778" style="width:0;height:1.5pt" o:hralign="center" o:hrstd="t" o:hr="t" fillcolor="#a0a0a0" stroked="f"/>
        </w:pict>
      </w:r>
    </w:p>
    <w:p w14:paraId="74E7EBB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Die göttliche Erscheinung </w:t>
      </w:r>
      <w:r w:rsidRPr="00232F0F">
        <w:rPr>
          <w:rFonts w:eastAsia="Times New Roman" w:cs="Times New Roman"/>
          <w:b/>
          <w:bCs/>
          <w:rtl/>
          <w:lang w:eastAsia="de-DE"/>
        </w:rPr>
        <w:t>וַיָּבֹא אֱלֹהִים אֶל־בִּלְעָם לַיְלָה</w:t>
      </w:r>
      <w:r w:rsidRPr="00232F0F">
        <w:rPr>
          <w:rFonts w:eastAsia="Times New Roman" w:cs="Times New Roman"/>
          <w:rtl/>
          <w:lang w:eastAsia="de-DE"/>
        </w:rPr>
        <w:t xml:space="preserve"> </w:t>
      </w:r>
      <w:r w:rsidRPr="00232F0F">
        <w:rPr>
          <w:rFonts w:eastAsia="Times New Roman" w:cs="Times New Roman"/>
          <w:lang w:eastAsia="de-DE"/>
        </w:rPr>
        <w:t xml:space="preserve">(„und Gott kam zu Bileam in der Nacht") – wieder </w:t>
      </w:r>
      <w:r w:rsidRPr="00232F0F">
        <w:rPr>
          <w:rFonts w:eastAsia="Times New Roman" w:cs="Times New Roman"/>
          <w:b/>
          <w:bCs/>
          <w:rtl/>
          <w:lang w:eastAsia="de-DE"/>
        </w:rPr>
        <w:t>אֱלֹהִים</w:t>
      </w:r>
      <w:r w:rsidRPr="00232F0F">
        <w:rPr>
          <w:rFonts w:eastAsia="Times New Roman" w:cs="Times New Roman"/>
          <w:lang w:eastAsia="de-DE"/>
        </w:rPr>
        <w:t xml:space="preserve">, nicht </w:t>
      </w:r>
      <w:r w:rsidRPr="00232F0F">
        <w:rPr>
          <w:rFonts w:eastAsia="Times New Roman" w:cs="Times New Roman"/>
          <w:b/>
          <w:bCs/>
          <w:rtl/>
          <w:lang w:eastAsia="de-DE"/>
        </w:rPr>
        <w:t>יְהוָה</w:t>
      </w:r>
      <w:r w:rsidRPr="00232F0F">
        <w:rPr>
          <w:rFonts w:eastAsia="Times New Roman" w:cs="Times New Roman"/>
          <w:lang w:eastAsia="de-DE"/>
        </w:rPr>
        <w:t>.</w:t>
      </w:r>
    </w:p>
    <w:p w14:paraId="004ADE7E"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konditionale Erlaubnis </w:t>
      </w:r>
      <w:r w:rsidRPr="00232F0F">
        <w:rPr>
          <w:rFonts w:eastAsia="Times New Roman" w:cs="Times New Roman"/>
          <w:b/>
          <w:bCs/>
          <w:rtl/>
          <w:lang w:eastAsia="de-DE"/>
        </w:rPr>
        <w:t>אִם־לִקְרֹא לְךָ בָּאוּ הָאֲנָשִׁים קוּם לֵךְ אִתָּם</w:t>
      </w:r>
      <w:r w:rsidRPr="00232F0F">
        <w:rPr>
          <w:rFonts w:eastAsia="Times New Roman" w:cs="Times New Roman"/>
          <w:rtl/>
          <w:lang w:eastAsia="de-DE"/>
        </w:rPr>
        <w:t xml:space="preserve"> </w:t>
      </w:r>
      <w:r w:rsidRPr="00232F0F">
        <w:rPr>
          <w:rFonts w:eastAsia="Times New Roman" w:cs="Times New Roman"/>
          <w:lang w:eastAsia="de-DE"/>
        </w:rPr>
        <w:t xml:space="preserve">(„wenn die Männer gekommen sind, um dich zu rufen, mach dich auf und geh mit ihnen") – </w:t>
      </w:r>
      <w:r w:rsidRPr="00232F0F">
        <w:rPr>
          <w:rFonts w:eastAsia="Times New Roman" w:cs="Times New Roman"/>
          <w:b/>
          <w:bCs/>
          <w:rtl/>
          <w:lang w:eastAsia="de-DE"/>
        </w:rPr>
        <w:t>אִם</w:t>
      </w:r>
      <w:r w:rsidRPr="00232F0F">
        <w:rPr>
          <w:rFonts w:eastAsia="Times New Roman" w:cs="Times New Roman"/>
          <w:rtl/>
          <w:lang w:eastAsia="de-DE"/>
        </w:rPr>
        <w:t xml:space="preserve"> </w:t>
      </w:r>
      <w:r w:rsidRPr="00232F0F">
        <w:rPr>
          <w:rFonts w:eastAsia="Times New Roman" w:cs="Times New Roman"/>
          <w:lang w:eastAsia="de-DE"/>
        </w:rPr>
        <w:t xml:space="preserve">konditional, </w:t>
      </w:r>
      <w:r w:rsidRPr="00232F0F">
        <w:rPr>
          <w:rFonts w:eastAsia="Times New Roman" w:cs="Times New Roman"/>
          <w:b/>
          <w:bCs/>
          <w:rtl/>
          <w:lang w:eastAsia="de-DE"/>
        </w:rPr>
        <w:t>לִקְרֹא לְךָ</w:t>
      </w:r>
      <w:r w:rsidRPr="00232F0F">
        <w:rPr>
          <w:rFonts w:eastAsia="Times New Roman" w:cs="Times New Roman"/>
          <w:rtl/>
          <w:lang w:eastAsia="de-DE"/>
        </w:rPr>
        <w:t xml:space="preserve"> </w:t>
      </w:r>
      <w:r w:rsidRPr="00232F0F">
        <w:rPr>
          <w:rFonts w:eastAsia="Times New Roman" w:cs="Times New Roman"/>
          <w:lang w:eastAsia="de-DE"/>
        </w:rPr>
        <w:t xml:space="preserve">(Qal </w:t>
      </w:r>
      <w:r w:rsidRPr="00232F0F">
        <w:rPr>
          <w:rFonts w:eastAsia="Times New Roman" w:cs="Times New Roman"/>
          <w:lang w:eastAsia="de-DE"/>
        </w:rPr>
        <w:lastRenderedPageBreak/>
        <w:t xml:space="preserve">Infinitiv construct von </w:t>
      </w:r>
      <w:r w:rsidRPr="00232F0F">
        <w:rPr>
          <w:rFonts w:eastAsia="Times New Roman" w:cs="Times New Roman"/>
          <w:b/>
          <w:bCs/>
          <w:rtl/>
          <w:lang w:eastAsia="de-DE"/>
        </w:rPr>
        <w:t>קרא</w:t>
      </w:r>
      <w:r w:rsidRPr="00232F0F">
        <w:rPr>
          <w:rFonts w:eastAsia="Times New Roman" w:cs="Times New Roman"/>
          <w:rtl/>
          <w:lang w:eastAsia="de-DE"/>
        </w:rPr>
        <w:t xml:space="preserve"> </w:t>
      </w:r>
      <w:r w:rsidRPr="00232F0F">
        <w:rPr>
          <w:rFonts w:eastAsia="Times New Roman" w:cs="Times New Roman"/>
          <w:lang w:eastAsia="de-DE"/>
        </w:rPr>
        <w:t xml:space="preserve">mit </w:t>
      </w:r>
      <w:r w:rsidRPr="00232F0F">
        <w:rPr>
          <w:rFonts w:eastAsia="Times New Roman" w:cs="Times New Roman"/>
          <w:b/>
          <w:bCs/>
          <w:rtl/>
          <w:lang w:eastAsia="de-DE"/>
        </w:rPr>
        <w:t>לְ</w:t>
      </w:r>
      <w:r w:rsidRPr="00232F0F">
        <w:rPr>
          <w:rFonts w:eastAsia="Times New Roman" w:cs="Times New Roman"/>
          <w:rtl/>
          <w:lang w:eastAsia="de-DE"/>
        </w:rPr>
        <w:t xml:space="preserve"> </w:t>
      </w:r>
      <w:r w:rsidRPr="00232F0F">
        <w:rPr>
          <w:rFonts w:eastAsia="Times New Roman" w:cs="Times New Roman"/>
          <w:lang w:eastAsia="de-DE"/>
        </w:rPr>
        <w:t xml:space="preserve">und Dativ-Suffix, „um dich zu rufen") gibt den Zweck an, </w:t>
      </w:r>
      <w:r w:rsidRPr="00232F0F">
        <w:rPr>
          <w:rFonts w:eastAsia="Times New Roman" w:cs="Times New Roman"/>
          <w:b/>
          <w:bCs/>
          <w:rtl/>
          <w:lang w:eastAsia="de-DE"/>
        </w:rPr>
        <w:t>בָּאוּ</w:t>
      </w:r>
      <w:r w:rsidRPr="00232F0F">
        <w:rPr>
          <w:rFonts w:eastAsia="Times New Roman" w:cs="Times New Roman"/>
          <w:rtl/>
          <w:lang w:eastAsia="de-DE"/>
        </w:rPr>
        <w:t xml:space="preserve"> </w:t>
      </w:r>
      <w:r w:rsidRPr="00232F0F">
        <w:rPr>
          <w:rFonts w:eastAsia="Times New Roman" w:cs="Times New Roman"/>
          <w:lang w:eastAsia="de-DE"/>
        </w:rPr>
        <w:t xml:space="preserve">(Qal Perfekt, 3. c. pl. von </w:t>
      </w:r>
      <w:r w:rsidRPr="00232F0F">
        <w:rPr>
          <w:rFonts w:eastAsia="Times New Roman" w:cs="Times New Roman"/>
          <w:b/>
          <w:bCs/>
          <w:rtl/>
          <w:lang w:eastAsia="de-DE"/>
        </w:rPr>
        <w:t>בוא</w:t>
      </w:r>
      <w:r w:rsidRPr="00232F0F">
        <w:rPr>
          <w:rFonts w:eastAsia="Times New Roman" w:cs="Times New Roman"/>
          <w:lang w:eastAsia="de-DE"/>
        </w:rPr>
        <w:t xml:space="preserve">, „sie sind gekommen"), </w:t>
      </w:r>
      <w:r w:rsidRPr="00232F0F">
        <w:rPr>
          <w:rFonts w:eastAsia="Times New Roman" w:cs="Times New Roman"/>
          <w:b/>
          <w:bCs/>
          <w:rtl/>
          <w:lang w:eastAsia="de-DE"/>
        </w:rPr>
        <w:t>הָאֲנָשִׁים</w:t>
      </w:r>
      <w:r w:rsidRPr="00232F0F">
        <w:rPr>
          <w:rFonts w:eastAsia="Times New Roman" w:cs="Times New Roman"/>
          <w:rtl/>
          <w:lang w:eastAsia="de-DE"/>
        </w:rPr>
        <w:t xml:space="preserve"> </w:t>
      </w:r>
      <w:r w:rsidRPr="00232F0F">
        <w:rPr>
          <w:rFonts w:eastAsia="Times New Roman" w:cs="Times New Roman"/>
          <w:lang w:eastAsia="de-DE"/>
        </w:rPr>
        <w:t xml:space="preserve">Subjekt nachgestellt. Die Apodosis: </w:t>
      </w:r>
      <w:r w:rsidRPr="00232F0F">
        <w:rPr>
          <w:rFonts w:eastAsia="Times New Roman" w:cs="Times New Roman"/>
          <w:b/>
          <w:bCs/>
          <w:rtl/>
          <w:lang w:eastAsia="de-DE"/>
        </w:rPr>
        <w:t>קוּם לֵךְ אִתָּם</w:t>
      </w:r>
      <w:r w:rsidRPr="00232F0F">
        <w:rPr>
          <w:rFonts w:eastAsia="Times New Roman" w:cs="Times New Roman"/>
          <w:rtl/>
          <w:lang w:eastAsia="de-DE"/>
        </w:rPr>
        <w:t xml:space="preserve"> </w:t>
      </w:r>
      <w:r w:rsidRPr="00232F0F">
        <w:rPr>
          <w:rFonts w:eastAsia="Times New Roman" w:cs="Times New Roman"/>
          <w:lang w:eastAsia="de-DE"/>
        </w:rPr>
        <w:t xml:space="preserve">(doppelter Imperativ: </w:t>
      </w:r>
      <w:r w:rsidRPr="00232F0F">
        <w:rPr>
          <w:rFonts w:eastAsia="Times New Roman" w:cs="Times New Roman"/>
          <w:b/>
          <w:bCs/>
          <w:rtl/>
          <w:lang w:eastAsia="de-DE"/>
        </w:rPr>
        <w:t>קוּם</w:t>
      </w:r>
      <w:r w:rsidRPr="00232F0F">
        <w:rPr>
          <w:rFonts w:eastAsia="Times New Roman" w:cs="Times New Roman"/>
          <w:rtl/>
          <w:lang w:eastAsia="de-DE"/>
        </w:rPr>
        <w:t xml:space="preserve"> </w:t>
      </w:r>
      <w:r w:rsidRPr="00232F0F">
        <w:rPr>
          <w:rFonts w:eastAsia="Times New Roman" w:cs="Times New Roman"/>
          <w:lang w:eastAsia="de-DE"/>
        </w:rPr>
        <w:t xml:space="preserve">von </w:t>
      </w:r>
      <w:r w:rsidRPr="00232F0F">
        <w:rPr>
          <w:rFonts w:eastAsia="Times New Roman" w:cs="Times New Roman"/>
          <w:b/>
          <w:bCs/>
          <w:rtl/>
          <w:lang w:eastAsia="de-DE"/>
        </w:rPr>
        <w:t>קום</w:t>
      </w:r>
      <w:r w:rsidRPr="00232F0F">
        <w:rPr>
          <w:rFonts w:eastAsia="Times New Roman" w:cs="Times New Roman"/>
          <w:rtl/>
          <w:lang w:eastAsia="de-DE"/>
        </w:rPr>
        <w:t xml:space="preserve"> </w:t>
      </w:r>
      <w:r w:rsidRPr="00232F0F">
        <w:rPr>
          <w:rFonts w:eastAsia="Times New Roman" w:cs="Times New Roman"/>
          <w:lang w:eastAsia="de-DE"/>
        </w:rPr>
        <w:t xml:space="preserve">„steh auf", </w:t>
      </w:r>
      <w:r w:rsidRPr="00232F0F">
        <w:rPr>
          <w:rFonts w:eastAsia="Times New Roman" w:cs="Times New Roman"/>
          <w:b/>
          <w:bCs/>
          <w:rtl/>
          <w:lang w:eastAsia="de-DE"/>
        </w:rPr>
        <w:t>לֵךְ</w:t>
      </w:r>
      <w:r w:rsidRPr="00232F0F">
        <w:rPr>
          <w:rFonts w:eastAsia="Times New Roman" w:cs="Times New Roman"/>
          <w:rtl/>
          <w:lang w:eastAsia="de-DE"/>
        </w:rPr>
        <w:t xml:space="preserve"> </w:t>
      </w:r>
      <w:r w:rsidRPr="00232F0F">
        <w:rPr>
          <w:rFonts w:eastAsia="Times New Roman" w:cs="Times New Roman"/>
          <w:lang w:eastAsia="de-DE"/>
        </w:rPr>
        <w:t xml:space="preserve">von </w:t>
      </w:r>
      <w:r w:rsidRPr="00232F0F">
        <w:rPr>
          <w:rFonts w:eastAsia="Times New Roman" w:cs="Times New Roman"/>
          <w:b/>
          <w:bCs/>
          <w:rtl/>
          <w:lang w:eastAsia="de-DE"/>
        </w:rPr>
        <w:t>הלך</w:t>
      </w:r>
      <w:r w:rsidRPr="00232F0F">
        <w:rPr>
          <w:rFonts w:eastAsia="Times New Roman" w:cs="Times New Roman"/>
          <w:rtl/>
          <w:lang w:eastAsia="de-DE"/>
        </w:rPr>
        <w:t xml:space="preserve"> </w:t>
      </w:r>
      <w:r w:rsidRPr="00232F0F">
        <w:rPr>
          <w:rFonts w:eastAsia="Times New Roman" w:cs="Times New Roman"/>
          <w:lang w:eastAsia="de-DE"/>
        </w:rPr>
        <w:t xml:space="preserve">„geh", </w:t>
      </w:r>
      <w:r w:rsidRPr="00232F0F">
        <w:rPr>
          <w:rFonts w:eastAsia="Times New Roman" w:cs="Times New Roman"/>
          <w:b/>
          <w:bCs/>
          <w:rtl/>
          <w:lang w:eastAsia="de-DE"/>
        </w:rPr>
        <w:t>אִתָּם</w:t>
      </w:r>
      <w:r w:rsidRPr="00232F0F">
        <w:rPr>
          <w:rFonts w:eastAsia="Times New Roman" w:cs="Times New Roman"/>
          <w:rtl/>
          <w:lang w:eastAsia="de-DE"/>
        </w:rPr>
        <w:t xml:space="preserve"> </w:t>
      </w:r>
      <w:r w:rsidRPr="00232F0F">
        <w:rPr>
          <w:rFonts w:eastAsia="Times New Roman" w:cs="Times New Roman"/>
          <w:lang w:eastAsia="de-DE"/>
        </w:rPr>
        <w:t>„mit ihnen").</w:t>
      </w:r>
    </w:p>
    <w:p w14:paraId="534649EF"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Dies ist verwirrend: In V. 12 sagte Gott „geh </w:t>
      </w:r>
      <w:r w:rsidRPr="00232F0F">
        <w:rPr>
          <w:rFonts w:eastAsia="Times New Roman" w:cs="Times New Roman"/>
          <w:b/>
          <w:bCs/>
          <w:lang w:eastAsia="de-DE"/>
        </w:rPr>
        <w:t>nicht</w:t>
      </w:r>
      <w:r w:rsidRPr="00232F0F">
        <w:rPr>
          <w:rFonts w:eastAsia="Times New Roman" w:cs="Times New Roman"/>
          <w:lang w:eastAsia="de-DE"/>
        </w:rPr>
        <w:t>", jetzt sagt er „</w:t>
      </w:r>
      <w:r w:rsidRPr="00232F0F">
        <w:rPr>
          <w:rFonts w:eastAsia="Times New Roman" w:cs="Times New Roman"/>
          <w:b/>
          <w:bCs/>
          <w:lang w:eastAsia="de-DE"/>
        </w:rPr>
        <w:t>geh</w:t>
      </w:r>
      <w:r w:rsidRPr="00232F0F">
        <w:rPr>
          <w:rFonts w:eastAsia="Times New Roman" w:cs="Times New Roman"/>
          <w:lang w:eastAsia="de-DE"/>
        </w:rPr>
        <w:t>"! Hat Gott seine Meinung geändert? Mehrere Erklärungen:</w:t>
      </w:r>
    </w:p>
    <w:p w14:paraId="4A8F3E93" w14:textId="77777777" w:rsidR="00232F0F" w:rsidRPr="00232F0F" w:rsidRDefault="00232F0F" w:rsidP="00C15C06">
      <w:pPr>
        <w:numPr>
          <w:ilvl w:val="0"/>
          <w:numId w:val="7"/>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Göttliche Pädagogik</w:t>
      </w:r>
      <w:r w:rsidRPr="00232F0F">
        <w:rPr>
          <w:rFonts w:eastAsia="Times New Roman" w:cs="Times New Roman"/>
          <w:lang w:eastAsia="de-DE"/>
        </w:rPr>
        <w:t>: Gott lässt Bileam den Weg gehen, den er begehrt, damit er die Konsequenzen lernt (vgl. Ps 81,13).</w:t>
      </w:r>
    </w:p>
    <w:p w14:paraId="74607314" w14:textId="77777777" w:rsidR="00232F0F" w:rsidRPr="00232F0F" w:rsidRDefault="00232F0F" w:rsidP="00C15C06">
      <w:pPr>
        <w:numPr>
          <w:ilvl w:val="0"/>
          <w:numId w:val="7"/>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Bedingte Erlaubnis</w:t>
      </w:r>
      <w:r w:rsidRPr="00232F0F">
        <w:rPr>
          <w:rFonts w:eastAsia="Times New Roman" w:cs="Times New Roman"/>
          <w:lang w:eastAsia="de-DE"/>
        </w:rPr>
        <w:t>: Die Bedingung „wenn sie gekommen sind, um dich zu rufen" (die bereits erfüllt ist) plus die strenge Einschränkung in der Fortsetzung zeigen: Gott erlaubt widerwillig, aber unter strikter Kontrolle.</w:t>
      </w:r>
    </w:p>
    <w:p w14:paraId="332BB2C3" w14:textId="59C6ABAD" w:rsidR="00232F0F" w:rsidRDefault="00232F0F" w:rsidP="00C15C06">
      <w:pPr>
        <w:numPr>
          <w:ilvl w:val="0"/>
          <w:numId w:val="7"/>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Testung</w:t>
      </w:r>
      <w:r w:rsidRPr="00232F0F">
        <w:rPr>
          <w:rFonts w:eastAsia="Times New Roman" w:cs="Times New Roman"/>
          <w:lang w:eastAsia="de-DE"/>
        </w:rPr>
        <w:t>: Gott testet Bileams Gehorsam – wird er nur nach dem Buchstaben (gehen dürfen) oder nach dem Geist (nicht verfluchen) handeln?</w:t>
      </w:r>
    </w:p>
    <w:p w14:paraId="35B4FF17" w14:textId="7606EACB" w:rsidR="009A0114" w:rsidRPr="00232F0F" w:rsidRDefault="009A0114" w:rsidP="00C15C06">
      <w:pPr>
        <w:numPr>
          <w:ilvl w:val="0"/>
          <w:numId w:val="7"/>
        </w:numPr>
        <w:spacing w:before="100" w:beforeAutospacing="1" w:after="100" w:afterAutospacing="1" w:line="240" w:lineRule="auto"/>
        <w:rPr>
          <w:rFonts w:eastAsia="Times New Roman" w:cs="Times New Roman"/>
          <w:lang w:eastAsia="de-DE"/>
        </w:rPr>
      </w:pPr>
      <w:r>
        <w:rPr>
          <w:rStyle w:val="Fett"/>
        </w:rPr>
        <w:t>Literarische Spannung als didaktisches Mittel:</w:t>
      </w:r>
      <w:r>
        <w:t xml:space="preserve"> Der Text bewahrt absichtlich die Paradoxie, um zu zeigen: </w:t>
      </w:r>
      <w:r>
        <w:rPr>
          <w:rStyle w:val="Fett"/>
        </w:rPr>
        <w:t>Gottes Erlaubnis ≠ Gottes Billigung</w:t>
      </w:r>
      <w:r>
        <w:t>. Man kann göttliche Erlaubnis haben und dennoch auf gefährlichem Weg sein.</w:t>
      </w:r>
    </w:p>
    <w:p w14:paraId="2E75BD4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strikte Einschränkung </w:t>
      </w:r>
      <w:r w:rsidRPr="00232F0F">
        <w:rPr>
          <w:rFonts w:eastAsia="Times New Roman" w:cs="Times New Roman"/>
          <w:b/>
          <w:bCs/>
          <w:rtl/>
          <w:lang w:eastAsia="de-DE"/>
        </w:rPr>
        <w:t>וְאַךְ אֶת־הַדָּבָר אֲשֶׁר־אֲדַבֵּר אֵלֶיךָ אֹתוֹ תַעֲשֶׂה</w:t>
      </w:r>
      <w:r w:rsidRPr="00232F0F">
        <w:rPr>
          <w:rFonts w:eastAsia="Times New Roman" w:cs="Times New Roman"/>
          <w:rtl/>
          <w:lang w:eastAsia="de-DE"/>
        </w:rPr>
        <w:t xml:space="preserve"> </w:t>
      </w:r>
      <w:r w:rsidRPr="00232F0F">
        <w:rPr>
          <w:rFonts w:eastAsia="Times New Roman" w:cs="Times New Roman"/>
          <w:lang w:eastAsia="de-DE"/>
        </w:rPr>
        <w:t xml:space="preserve">(„aber nur das, was ich dir sagen werde, sollst du tun") – </w:t>
      </w:r>
      <w:r w:rsidRPr="00232F0F">
        <w:rPr>
          <w:rFonts w:eastAsia="Times New Roman" w:cs="Times New Roman"/>
          <w:b/>
          <w:bCs/>
          <w:rtl/>
          <w:lang w:eastAsia="de-DE"/>
        </w:rPr>
        <w:t>וְאַךְ</w:t>
      </w:r>
      <w:r w:rsidRPr="00232F0F">
        <w:rPr>
          <w:rFonts w:eastAsia="Times New Roman" w:cs="Times New Roman"/>
          <w:rtl/>
          <w:lang w:eastAsia="de-DE"/>
        </w:rPr>
        <w:t xml:space="preserve"> </w:t>
      </w:r>
      <w:r w:rsidRPr="00232F0F">
        <w:rPr>
          <w:rFonts w:eastAsia="Times New Roman" w:cs="Times New Roman"/>
          <w:lang w:eastAsia="de-DE"/>
        </w:rPr>
        <w:t xml:space="preserve">„aber nur, jedoch" (restriktive Konjunktion), </w:t>
      </w:r>
      <w:r w:rsidRPr="00232F0F">
        <w:rPr>
          <w:rFonts w:eastAsia="Times New Roman" w:cs="Times New Roman"/>
          <w:b/>
          <w:bCs/>
          <w:rtl/>
          <w:lang w:eastAsia="de-DE"/>
        </w:rPr>
        <w:t>אֶת־הַדָּבָר אֲשֶׁר־אֲדַבֵּר אֵלֶיךָ</w:t>
      </w:r>
      <w:r w:rsidRPr="00232F0F">
        <w:rPr>
          <w:rFonts w:eastAsia="Times New Roman" w:cs="Times New Roman"/>
          <w:rtl/>
          <w:lang w:eastAsia="de-DE"/>
        </w:rPr>
        <w:t xml:space="preserve"> </w:t>
      </w:r>
      <w:r w:rsidRPr="00232F0F">
        <w:rPr>
          <w:rFonts w:eastAsia="Times New Roman" w:cs="Times New Roman"/>
          <w:lang w:eastAsia="de-DE"/>
        </w:rPr>
        <w:t xml:space="preserve">(„das Wort, das ich zu dir reden werde", Relativsatz), </w:t>
      </w:r>
      <w:r w:rsidRPr="00232F0F">
        <w:rPr>
          <w:rFonts w:eastAsia="Times New Roman" w:cs="Times New Roman"/>
          <w:b/>
          <w:bCs/>
          <w:rtl/>
          <w:lang w:eastAsia="de-DE"/>
        </w:rPr>
        <w:t>אֹתוֹ תַעֲשֶׂה</w:t>
      </w:r>
      <w:r w:rsidRPr="00232F0F">
        <w:rPr>
          <w:rFonts w:eastAsia="Times New Roman" w:cs="Times New Roman"/>
          <w:rtl/>
          <w:lang w:eastAsia="de-DE"/>
        </w:rPr>
        <w:t xml:space="preserve"> </w:t>
      </w:r>
      <w:r w:rsidRPr="00232F0F">
        <w:rPr>
          <w:rFonts w:eastAsia="Times New Roman" w:cs="Times New Roman"/>
          <w:lang w:eastAsia="de-DE"/>
        </w:rPr>
        <w:t xml:space="preserve">(Objektpronomen </w:t>
      </w:r>
      <w:r w:rsidRPr="00232F0F">
        <w:rPr>
          <w:rFonts w:eastAsia="Times New Roman" w:cs="Times New Roman"/>
          <w:b/>
          <w:bCs/>
          <w:rtl/>
          <w:lang w:eastAsia="de-DE"/>
        </w:rPr>
        <w:t>אֹתוֹ</w:t>
      </w:r>
      <w:r w:rsidRPr="00232F0F">
        <w:rPr>
          <w:rFonts w:eastAsia="Times New Roman" w:cs="Times New Roman"/>
          <w:rtl/>
          <w:lang w:eastAsia="de-DE"/>
        </w:rPr>
        <w:t xml:space="preserve"> </w:t>
      </w:r>
      <w:r w:rsidRPr="00232F0F">
        <w:rPr>
          <w:rFonts w:eastAsia="Times New Roman" w:cs="Times New Roman"/>
          <w:lang w:eastAsia="de-DE"/>
        </w:rPr>
        <w:t xml:space="preserve">betont vorangestellt, </w:t>
      </w:r>
      <w:r w:rsidRPr="00232F0F">
        <w:rPr>
          <w:rFonts w:eastAsia="Times New Roman" w:cs="Times New Roman"/>
          <w:b/>
          <w:bCs/>
          <w:rtl/>
          <w:lang w:eastAsia="de-DE"/>
        </w:rPr>
        <w:t>תַעֲשֶׂה</w:t>
      </w:r>
      <w:r w:rsidRPr="00232F0F">
        <w:rPr>
          <w:rFonts w:eastAsia="Times New Roman" w:cs="Times New Roman"/>
          <w:rtl/>
          <w:lang w:eastAsia="de-DE"/>
        </w:rPr>
        <w:t xml:space="preserve"> </w:t>
      </w:r>
      <w:r w:rsidRPr="00232F0F">
        <w:rPr>
          <w:rFonts w:eastAsia="Times New Roman" w:cs="Times New Roman"/>
          <w:lang w:eastAsia="de-DE"/>
        </w:rPr>
        <w:t xml:space="preserve">Qal Imperfekt, 2. m. sg. von </w:t>
      </w:r>
      <w:r w:rsidRPr="00232F0F">
        <w:rPr>
          <w:rFonts w:eastAsia="Times New Roman" w:cs="Times New Roman"/>
          <w:b/>
          <w:bCs/>
          <w:rtl/>
          <w:lang w:eastAsia="de-DE"/>
        </w:rPr>
        <w:t>עשׂה</w:t>
      </w:r>
      <w:r w:rsidRPr="00232F0F">
        <w:rPr>
          <w:rFonts w:eastAsia="Times New Roman" w:cs="Times New Roman"/>
          <w:lang w:eastAsia="de-DE"/>
        </w:rPr>
        <w:t>, „du sollst tun") – das Objekt wird durch Wiederaufnahme mit Pronomen stark betont.</w:t>
      </w:r>
    </w:p>
    <w:p w14:paraId="75EB2FD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folgt dem hebräischen Text.</w:t>
      </w:r>
    </w:p>
    <w:p w14:paraId="5A97769D"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einen Hauptsatz mit Verb, Subjekt, Präpositionalphrase und Zeitangabe. Die direkte Rede enthält einen konditionalen Nebensatz (mit finalem Infinitiv, Dativ-Suffix, Verb und nachgestelltem Subjekt) und eine Apodosis (doppelter Imperativ mit Präpositionalphrase), gefolgt von einer restriktiven Einschränkung (Konjunktion, Objekt mit Relativsatz und betontem wiederaufnehmendem Objektpronomen, Verb). Insgesamt gibt es drei Nebensätze: einen Konditionalsatz, einen eingebetteten finalen Infinitivsatz und einen Relativsatz.</w:t>
      </w:r>
    </w:p>
    <w:p w14:paraId="7FAE5CB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Der Vers ist theologisch komplex: Gott erlaubt, was er zuvor verboten hatte – aber unter strikter Kontrolle. Bileam darf gehen, aber nur als Gottes Sprachrohr, nicht als autonomer Agent. V. 22 wird zeigen, dass selbst diese Erlaubnis problematisch ist.</w:t>
      </w:r>
    </w:p>
    <w:p w14:paraId="5F26F593"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22,21</w:t>
      </w:r>
    </w:p>
    <w:p w14:paraId="74A7EB3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וַיָּ֤קָם בִּלְעָם֙ בַּבֹּ֔קֶר וַֽיַּחֲבֹ֖שׁ אֶת־אֲתֹנֹ֑ו וַיֵּ֖לֶךְ עִם־שָׂרֵ֥י מוֹאָֽב׃</w:t>
      </w:r>
    </w:p>
    <w:p w14:paraId="68F826AD"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Und Bileam stand am Morgen auf und sattelte seine Eselin und ging mit den Fürsten von Moab.</w:t>
      </w:r>
    </w:p>
    <w:p w14:paraId="12F09896"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3A8EFB47">
          <v:rect id="_x0000_i1779" style="width:0;height:1.5pt" o:hralign="center" o:hrstd="t" o:hr="t" fillcolor="#a0a0a0" stroked="f"/>
        </w:pict>
      </w:r>
    </w:p>
    <w:p w14:paraId="331A6EE3"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lastRenderedPageBreak/>
        <w:t>Kommentar:</w:t>
      </w:r>
      <w:r w:rsidRPr="00232F0F">
        <w:rPr>
          <w:rFonts w:eastAsia="Times New Roman" w:cs="Times New Roman"/>
          <w:lang w:eastAsia="de-DE"/>
        </w:rPr>
        <w:t xml:space="preserve"> Das Verb </w:t>
      </w:r>
      <w:r w:rsidRPr="00232F0F">
        <w:rPr>
          <w:rFonts w:eastAsia="Times New Roman" w:cs="Times New Roman"/>
          <w:b/>
          <w:bCs/>
          <w:rtl/>
          <w:lang w:eastAsia="de-DE"/>
        </w:rPr>
        <w:t>וַיָּקָם בִּלְעָם בַּבֹּקֶר</w:t>
      </w:r>
      <w:r w:rsidRPr="00232F0F">
        <w:rPr>
          <w:rFonts w:eastAsia="Times New Roman" w:cs="Times New Roman"/>
          <w:rtl/>
          <w:lang w:eastAsia="de-DE"/>
        </w:rPr>
        <w:t xml:space="preserve"> </w:t>
      </w:r>
      <w:r w:rsidRPr="00232F0F">
        <w:rPr>
          <w:rFonts w:eastAsia="Times New Roman" w:cs="Times New Roman"/>
          <w:lang w:eastAsia="de-DE"/>
        </w:rPr>
        <w:t xml:space="preserve">(„und Bileam stand am Morgen auf") – die übliche Fortsetzungsformel. </w:t>
      </w:r>
      <w:r w:rsidRPr="00232F0F">
        <w:rPr>
          <w:rFonts w:eastAsia="Times New Roman" w:cs="Times New Roman"/>
          <w:b/>
          <w:bCs/>
          <w:rtl/>
          <w:lang w:eastAsia="de-DE"/>
        </w:rPr>
        <w:t>וַיַּחֲבֹשׁ אֶת־אֲתֹנוֹ</w:t>
      </w:r>
      <w:r w:rsidRPr="00232F0F">
        <w:rPr>
          <w:rFonts w:eastAsia="Times New Roman" w:cs="Times New Roman"/>
          <w:rtl/>
          <w:lang w:eastAsia="de-DE"/>
        </w:rPr>
        <w:t xml:space="preserve"> </w:t>
      </w:r>
      <w:r w:rsidRPr="00232F0F">
        <w:rPr>
          <w:rFonts w:eastAsia="Times New Roman" w:cs="Times New Roman"/>
          <w:lang w:eastAsia="de-DE"/>
        </w:rPr>
        <w:t xml:space="preserve">(„und er sattelte seine Eselin") – </w:t>
      </w:r>
      <w:r w:rsidRPr="00232F0F">
        <w:rPr>
          <w:rFonts w:eastAsia="Times New Roman" w:cs="Times New Roman"/>
          <w:b/>
          <w:bCs/>
          <w:rtl/>
          <w:lang w:eastAsia="de-DE"/>
        </w:rPr>
        <w:t>וַיַּחֲבֹשׁ</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חבשׁ</w:t>
      </w:r>
      <w:r w:rsidRPr="00232F0F">
        <w:rPr>
          <w:rFonts w:eastAsia="Times New Roman" w:cs="Times New Roman"/>
          <w:lang w:eastAsia="de-DE"/>
        </w:rPr>
        <w:t xml:space="preserve">, „und er sattelte, band fest"), </w:t>
      </w:r>
      <w:r w:rsidRPr="00232F0F">
        <w:rPr>
          <w:rFonts w:eastAsia="Times New Roman" w:cs="Times New Roman"/>
          <w:b/>
          <w:bCs/>
          <w:rtl/>
          <w:lang w:eastAsia="de-DE"/>
        </w:rPr>
        <w:t>אֶת־אֲתֹנוֹ</w:t>
      </w:r>
      <w:r w:rsidRPr="00232F0F">
        <w:rPr>
          <w:rFonts w:eastAsia="Times New Roman" w:cs="Times New Roman"/>
          <w:rtl/>
          <w:lang w:eastAsia="de-DE"/>
        </w:rPr>
        <w:t xml:space="preserve"> </w:t>
      </w:r>
      <w:r w:rsidRPr="00232F0F">
        <w:rPr>
          <w:rFonts w:eastAsia="Times New Roman" w:cs="Times New Roman"/>
          <w:lang w:eastAsia="de-DE"/>
        </w:rPr>
        <w:t xml:space="preserve">(„seine Eselin") mit Possessivsuffix 3. m. sg. – </w:t>
      </w:r>
      <w:r w:rsidRPr="00232F0F">
        <w:rPr>
          <w:rFonts w:eastAsia="Times New Roman" w:cs="Times New Roman"/>
          <w:b/>
          <w:bCs/>
          <w:rtl/>
          <w:lang w:eastAsia="de-DE"/>
        </w:rPr>
        <w:t>אָתוֹן</w:t>
      </w:r>
      <w:r w:rsidRPr="00232F0F">
        <w:rPr>
          <w:rFonts w:eastAsia="Times New Roman" w:cs="Times New Roman"/>
          <w:rtl/>
          <w:lang w:eastAsia="de-DE"/>
        </w:rPr>
        <w:t xml:space="preserve"> </w:t>
      </w:r>
      <w:r w:rsidRPr="00232F0F">
        <w:rPr>
          <w:rFonts w:eastAsia="Times New Roman" w:cs="Times New Roman"/>
          <w:lang w:eastAsia="de-DE"/>
        </w:rPr>
        <w:t xml:space="preserve">„Eselin". Warum wird die </w:t>
      </w:r>
      <w:r w:rsidRPr="00232F0F">
        <w:rPr>
          <w:rFonts w:eastAsia="Times New Roman" w:cs="Times New Roman"/>
          <w:b/>
          <w:bCs/>
          <w:lang w:eastAsia="de-DE"/>
        </w:rPr>
        <w:t>Eselin</w:t>
      </w:r>
      <w:r w:rsidRPr="00232F0F">
        <w:rPr>
          <w:rFonts w:eastAsia="Times New Roman" w:cs="Times New Roman"/>
          <w:lang w:eastAsia="de-DE"/>
        </w:rPr>
        <w:t xml:space="preserve"> so prominent erwähnt? Sie wird zur Heldin der folgenden Episode!</w:t>
      </w:r>
    </w:p>
    <w:p w14:paraId="181CBD6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Das Verb </w:t>
      </w:r>
      <w:r w:rsidRPr="00232F0F">
        <w:rPr>
          <w:rFonts w:eastAsia="Times New Roman" w:cs="Times New Roman"/>
          <w:b/>
          <w:bCs/>
          <w:rtl/>
          <w:lang w:eastAsia="de-DE"/>
        </w:rPr>
        <w:t>וַיֵּלֶךְ עִם־שָׂרֵי מוֹאָב</w:t>
      </w:r>
      <w:r w:rsidRPr="00232F0F">
        <w:rPr>
          <w:rFonts w:eastAsia="Times New Roman" w:cs="Times New Roman"/>
          <w:rtl/>
          <w:lang w:eastAsia="de-DE"/>
        </w:rPr>
        <w:t xml:space="preserve"> </w:t>
      </w:r>
      <w:r w:rsidRPr="00232F0F">
        <w:rPr>
          <w:rFonts w:eastAsia="Times New Roman" w:cs="Times New Roman"/>
          <w:lang w:eastAsia="de-DE"/>
        </w:rPr>
        <w:t>(„und er ging mit den Fürsten von Moab"). Bileam gehorcht dem Buchstaben von Gottes Erlaubnis (V. 20) – er geht.</w:t>
      </w:r>
    </w:p>
    <w:p w14:paraId="2199ED9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folgt dem hebräischen Text, übersetzt </w:t>
      </w:r>
      <w:r w:rsidRPr="00232F0F">
        <w:rPr>
          <w:rFonts w:eastAsia="Times New Roman" w:cs="Times New Roman"/>
          <w:b/>
          <w:bCs/>
          <w:rtl/>
          <w:lang w:eastAsia="de-DE"/>
        </w:rPr>
        <w:t>אָתוֹן</w:t>
      </w:r>
      <w:r w:rsidRPr="00232F0F">
        <w:rPr>
          <w:rFonts w:eastAsia="Times New Roman" w:cs="Times New Roman"/>
          <w:rtl/>
          <w:lang w:eastAsia="de-DE"/>
        </w:rPr>
        <w:t xml:space="preserve"> </w:t>
      </w:r>
      <w:r w:rsidRPr="00232F0F">
        <w:rPr>
          <w:rFonts w:eastAsia="Times New Roman" w:cs="Times New Roman"/>
          <w:lang w:eastAsia="de-DE"/>
        </w:rPr>
        <w:t>mit ὄνος (onos, „Esel" – maskulin statt feminin).</w:t>
      </w:r>
    </w:p>
    <w:p w14:paraId="293C4193"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drei koordinierte Hauptsätze: Der erste mit Verb, Subjekt und Zeitangabe; der zweite mit Verb und Objekt (Possessivsuffix); der dritte mit Verb und Präpositionalphrase. Es gibt keine Nebensätze.</w:t>
      </w:r>
    </w:p>
    <w:p w14:paraId="07AC731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Der Vers ist scheinbar neutral – Bileam befolgt Gottes Erlaubnis. Doch V. 22 wird eine schockierende Wendung bringen: Gottes Zorn entbrennt! Warum? Möglicherweise, weil Bileams </w:t>
      </w:r>
      <w:r w:rsidRPr="00232F0F">
        <w:rPr>
          <w:rFonts w:eastAsia="Times New Roman" w:cs="Times New Roman"/>
          <w:b/>
          <w:bCs/>
          <w:lang w:eastAsia="de-DE"/>
        </w:rPr>
        <w:t>Haltung</w:t>
      </w:r>
      <w:r w:rsidRPr="00232F0F">
        <w:rPr>
          <w:rFonts w:eastAsia="Times New Roman" w:cs="Times New Roman"/>
          <w:lang w:eastAsia="de-DE"/>
        </w:rPr>
        <w:t xml:space="preserve"> falsch ist – er geht widerwillig gehorsam, aber innerlich wünscht er zu verfluchen (vgl. 2 Petr 2,15-16; Jud 11 im NT, die Bileams Habgier verurteilen).</w:t>
      </w:r>
    </w:p>
    <w:p w14:paraId="43AEF6C9"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22,22</w:t>
      </w:r>
    </w:p>
    <w:p w14:paraId="2A3E686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וַיִּֽחַר־אַ֣ף אֱלֹהִים֮ כִּֽי־הוֹלֵ֣ךְ הוּא֒ וַיִּתְיַצֵּ֞ב מַלְאַ֧ךְ יְהוָ֛ה בַּדֶּ֖רֶךְ לְשָׂטָ֣ן לוֹ֑ וְהוּא֙ רֹכֵ֣ב עַל־אֲתֹנֹ֔ו וּשְׁנֵ֥י נְעָרָ֖יו עִמּוֹֽ׃</w:t>
      </w:r>
    </w:p>
    <w:p w14:paraId="3737A95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Da entbrannte der Zorn Gottes, dass er ging, und der Bote des Ewigen stellte sich in den Weg, um ihm zu widerstehen. Und er war auf seiner Eselin reitend, und seine beiden Diener waren bei ihm.</w:t>
      </w:r>
    </w:p>
    <w:p w14:paraId="6D67F605"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35CECFCB">
          <v:rect id="_x0000_i1780" style="width:0;height:1.5pt" o:hralign="center" o:hrstd="t" o:hr="t" fillcolor="#a0a0a0" stroked="f"/>
        </w:pict>
      </w:r>
    </w:p>
    <w:p w14:paraId="48561D5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Die schockierende Wendung: </w:t>
      </w:r>
      <w:r w:rsidRPr="00232F0F">
        <w:rPr>
          <w:rFonts w:eastAsia="Times New Roman" w:cs="Times New Roman"/>
          <w:b/>
          <w:bCs/>
          <w:rtl/>
          <w:lang w:eastAsia="de-DE"/>
        </w:rPr>
        <w:t>וַיִּחַר־אַף אֱלֹהִים כִּי־הוֹלֵךְ הוּא</w:t>
      </w:r>
      <w:r w:rsidRPr="00232F0F">
        <w:rPr>
          <w:rFonts w:eastAsia="Times New Roman" w:cs="Times New Roman"/>
          <w:rtl/>
          <w:lang w:eastAsia="de-DE"/>
        </w:rPr>
        <w:t xml:space="preserve"> </w:t>
      </w:r>
      <w:r w:rsidRPr="00232F0F">
        <w:rPr>
          <w:rFonts w:eastAsia="Times New Roman" w:cs="Times New Roman"/>
          <w:lang w:eastAsia="de-DE"/>
        </w:rPr>
        <w:t xml:space="preserve">(„da entbrannte der Zorn Gottes, dass er ging") – </w:t>
      </w:r>
      <w:r w:rsidRPr="00232F0F">
        <w:rPr>
          <w:rFonts w:eastAsia="Times New Roman" w:cs="Times New Roman"/>
          <w:b/>
          <w:bCs/>
          <w:rtl/>
          <w:lang w:eastAsia="de-DE"/>
        </w:rPr>
        <w:t>וַיִּחַר־אַף</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חרה</w:t>
      </w:r>
      <w:r w:rsidRPr="00232F0F">
        <w:rPr>
          <w:rFonts w:eastAsia="Times New Roman" w:cs="Times New Roman"/>
          <w:rtl/>
          <w:lang w:eastAsia="de-DE"/>
        </w:rPr>
        <w:t xml:space="preserve"> </w:t>
      </w:r>
      <w:r w:rsidRPr="00232F0F">
        <w:rPr>
          <w:rFonts w:eastAsia="Times New Roman" w:cs="Times New Roman"/>
          <w:lang w:eastAsia="de-DE"/>
        </w:rPr>
        <w:t xml:space="preserve">mit </w:t>
      </w:r>
      <w:r w:rsidRPr="00232F0F">
        <w:rPr>
          <w:rFonts w:eastAsia="Times New Roman" w:cs="Times New Roman"/>
          <w:b/>
          <w:bCs/>
          <w:rtl/>
          <w:lang w:eastAsia="de-DE"/>
        </w:rPr>
        <w:t>אַף</w:t>
      </w:r>
      <w:r w:rsidRPr="00232F0F">
        <w:rPr>
          <w:rFonts w:eastAsia="Times New Roman" w:cs="Times New Roman"/>
          <w:rtl/>
          <w:lang w:eastAsia="de-DE"/>
        </w:rPr>
        <w:t xml:space="preserve"> </w:t>
      </w:r>
      <w:r w:rsidRPr="00232F0F">
        <w:rPr>
          <w:rFonts w:eastAsia="Times New Roman" w:cs="Times New Roman"/>
          <w:lang w:eastAsia="de-DE"/>
        </w:rPr>
        <w:t xml:space="preserve">„Nase, Zorn", „und es entbrannte der Zorn") ist die idiomatische Wendung für göttlichen Zorn. </w:t>
      </w:r>
      <w:r w:rsidRPr="00232F0F">
        <w:rPr>
          <w:rFonts w:eastAsia="Times New Roman" w:cs="Times New Roman"/>
          <w:b/>
          <w:bCs/>
          <w:rtl/>
          <w:lang w:eastAsia="de-DE"/>
        </w:rPr>
        <w:t>אֱלֹהִים</w:t>
      </w:r>
      <w:r w:rsidRPr="00232F0F">
        <w:rPr>
          <w:rFonts w:eastAsia="Times New Roman" w:cs="Times New Roman"/>
          <w:rtl/>
          <w:lang w:eastAsia="de-DE"/>
        </w:rPr>
        <w:t xml:space="preserve"> </w:t>
      </w:r>
      <w:r w:rsidRPr="00232F0F">
        <w:rPr>
          <w:rFonts w:eastAsia="Times New Roman" w:cs="Times New Roman"/>
          <w:lang w:eastAsia="de-DE"/>
        </w:rPr>
        <w:t xml:space="preserve">Subjekt. Die kausale Begründung </w:t>
      </w:r>
      <w:r w:rsidRPr="00232F0F">
        <w:rPr>
          <w:rFonts w:eastAsia="Times New Roman" w:cs="Times New Roman"/>
          <w:b/>
          <w:bCs/>
          <w:rtl/>
          <w:lang w:eastAsia="de-DE"/>
        </w:rPr>
        <w:t>כִּי־הוֹלֵךְ הוּא</w:t>
      </w:r>
      <w:r w:rsidRPr="00232F0F">
        <w:rPr>
          <w:rFonts w:eastAsia="Times New Roman" w:cs="Times New Roman"/>
          <w:rtl/>
          <w:lang w:eastAsia="de-DE"/>
        </w:rPr>
        <w:t xml:space="preserve"> </w:t>
      </w:r>
      <w:r w:rsidRPr="00232F0F">
        <w:rPr>
          <w:rFonts w:eastAsia="Times New Roman" w:cs="Times New Roman"/>
          <w:lang w:eastAsia="de-DE"/>
        </w:rPr>
        <w:t xml:space="preserve">(„dass/weil er ging") – </w:t>
      </w:r>
      <w:r w:rsidRPr="00232F0F">
        <w:rPr>
          <w:rFonts w:eastAsia="Times New Roman" w:cs="Times New Roman"/>
          <w:b/>
          <w:bCs/>
          <w:rtl/>
          <w:lang w:eastAsia="de-DE"/>
        </w:rPr>
        <w:t>כִּי</w:t>
      </w:r>
      <w:r w:rsidRPr="00232F0F">
        <w:rPr>
          <w:rFonts w:eastAsia="Times New Roman" w:cs="Times New Roman"/>
          <w:rtl/>
          <w:lang w:eastAsia="de-DE"/>
        </w:rPr>
        <w:t xml:space="preserve"> </w:t>
      </w:r>
      <w:r w:rsidRPr="00232F0F">
        <w:rPr>
          <w:rFonts w:eastAsia="Times New Roman" w:cs="Times New Roman"/>
          <w:lang w:eastAsia="de-DE"/>
        </w:rPr>
        <w:t xml:space="preserve">kausal, </w:t>
      </w:r>
      <w:r w:rsidRPr="00232F0F">
        <w:rPr>
          <w:rFonts w:eastAsia="Times New Roman" w:cs="Times New Roman"/>
          <w:b/>
          <w:bCs/>
          <w:rtl/>
          <w:lang w:eastAsia="de-DE"/>
        </w:rPr>
        <w:t>הוֹלֵךְ</w:t>
      </w:r>
      <w:r w:rsidRPr="00232F0F">
        <w:rPr>
          <w:rFonts w:eastAsia="Times New Roman" w:cs="Times New Roman"/>
          <w:rtl/>
          <w:lang w:eastAsia="de-DE"/>
        </w:rPr>
        <w:t xml:space="preserve"> </w:t>
      </w:r>
      <w:r w:rsidRPr="00232F0F">
        <w:rPr>
          <w:rFonts w:eastAsia="Times New Roman" w:cs="Times New Roman"/>
          <w:lang w:eastAsia="de-DE"/>
        </w:rPr>
        <w:t xml:space="preserve">(Qal Partizip von </w:t>
      </w:r>
      <w:r w:rsidRPr="00232F0F">
        <w:rPr>
          <w:rFonts w:eastAsia="Times New Roman" w:cs="Times New Roman"/>
          <w:b/>
          <w:bCs/>
          <w:rtl/>
          <w:lang w:eastAsia="de-DE"/>
        </w:rPr>
        <w:t>הלך</w:t>
      </w:r>
      <w:r w:rsidRPr="00232F0F">
        <w:rPr>
          <w:rFonts w:eastAsia="Times New Roman" w:cs="Times New Roman"/>
          <w:lang w:eastAsia="de-DE"/>
        </w:rPr>
        <w:t xml:space="preserve">, „gehend") mit </w:t>
      </w:r>
      <w:r w:rsidRPr="00232F0F">
        <w:rPr>
          <w:rFonts w:eastAsia="Times New Roman" w:cs="Times New Roman"/>
          <w:b/>
          <w:bCs/>
          <w:rtl/>
          <w:lang w:eastAsia="de-DE"/>
        </w:rPr>
        <w:t>הוּא</w:t>
      </w:r>
      <w:r w:rsidRPr="00232F0F">
        <w:rPr>
          <w:rFonts w:eastAsia="Times New Roman" w:cs="Times New Roman"/>
          <w:rtl/>
          <w:lang w:eastAsia="de-DE"/>
        </w:rPr>
        <w:t xml:space="preserve"> </w:t>
      </w:r>
      <w:r w:rsidRPr="00232F0F">
        <w:rPr>
          <w:rFonts w:eastAsia="Times New Roman" w:cs="Times New Roman"/>
          <w:lang w:eastAsia="de-DE"/>
        </w:rPr>
        <w:t>emphatisch.</w:t>
      </w:r>
    </w:p>
    <w:p w14:paraId="2AB098CE"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Dies ist zutiefst paradox: Gott erlaubte in V. 20 „geh mit ihnen", jetzt zürnt er, </w:t>
      </w:r>
      <w:r w:rsidRPr="00232F0F">
        <w:rPr>
          <w:rFonts w:eastAsia="Times New Roman" w:cs="Times New Roman"/>
          <w:b/>
          <w:bCs/>
          <w:lang w:eastAsia="de-DE"/>
        </w:rPr>
        <w:t>weil</w:t>
      </w:r>
      <w:r w:rsidRPr="00232F0F">
        <w:rPr>
          <w:rFonts w:eastAsia="Times New Roman" w:cs="Times New Roman"/>
          <w:lang w:eastAsia="de-DE"/>
        </w:rPr>
        <w:t xml:space="preserve"> Bileam geht! Wie ist das zu erklären?</w:t>
      </w:r>
    </w:p>
    <w:p w14:paraId="53E2D686" w14:textId="77777777" w:rsidR="00232F0F" w:rsidRPr="00232F0F" w:rsidRDefault="00232F0F" w:rsidP="00C15C06">
      <w:pPr>
        <w:numPr>
          <w:ilvl w:val="0"/>
          <w:numId w:val="8"/>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Innere Haltung</w:t>
      </w:r>
      <w:r w:rsidRPr="00232F0F">
        <w:rPr>
          <w:rFonts w:eastAsia="Times New Roman" w:cs="Times New Roman"/>
          <w:lang w:eastAsia="de-DE"/>
        </w:rPr>
        <w:t>: Gott sieht Bileams Herz – er geht mit falscher Motivation (Habgier, Ehrsucht), nicht in demütigem Gehorsam.</w:t>
      </w:r>
    </w:p>
    <w:p w14:paraId="404CBBA8" w14:textId="77777777" w:rsidR="00232F0F" w:rsidRPr="00232F0F" w:rsidRDefault="00232F0F" w:rsidP="00C15C06">
      <w:pPr>
        <w:numPr>
          <w:ilvl w:val="0"/>
          <w:numId w:val="8"/>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Bedingte Erlaubnis</w:t>
      </w:r>
      <w:r w:rsidRPr="00232F0F">
        <w:rPr>
          <w:rFonts w:eastAsia="Times New Roman" w:cs="Times New Roman"/>
          <w:lang w:eastAsia="de-DE"/>
        </w:rPr>
        <w:t>: Die Erlaubnis in V. 20 war an die Bedingung geknüpft „wenn die Männer gekommen sind, um dich zu rufen" – manche Ausleger sehen hier eine subtile Bedingung, die Bileam missachtet.</w:t>
      </w:r>
    </w:p>
    <w:p w14:paraId="5AC7E1DD" w14:textId="77777777" w:rsidR="00232F0F" w:rsidRPr="00232F0F" w:rsidRDefault="00232F0F" w:rsidP="00C15C06">
      <w:pPr>
        <w:numPr>
          <w:ilvl w:val="0"/>
          <w:numId w:val="8"/>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Pädagogischer Zorn</w:t>
      </w:r>
      <w:r w:rsidRPr="00232F0F">
        <w:rPr>
          <w:rFonts w:eastAsia="Times New Roman" w:cs="Times New Roman"/>
          <w:lang w:eastAsia="de-DE"/>
        </w:rPr>
        <w:t>: Gott lässt Bileam gehen, um ihm durch dramatische Intervention (die Eselin) zu zeigen, wie gefährlich sein Weg ist.</w:t>
      </w:r>
    </w:p>
    <w:p w14:paraId="4130C037" w14:textId="77777777" w:rsidR="00232F0F" w:rsidRPr="00232F0F" w:rsidRDefault="00232F0F" w:rsidP="00C15C06">
      <w:pPr>
        <w:numPr>
          <w:ilvl w:val="0"/>
          <w:numId w:val="8"/>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lastRenderedPageBreak/>
        <w:t>Textspannung</w:t>
      </w:r>
      <w:r w:rsidRPr="00232F0F">
        <w:rPr>
          <w:rFonts w:eastAsia="Times New Roman" w:cs="Times New Roman"/>
          <w:lang w:eastAsia="de-DE"/>
        </w:rPr>
        <w:t>: Manche Kritiker sehen hier verschiedene Quellenschichten (Dokumentenhypothese), aber die Endredaktion bewahrt die Spannung absichtlich – sie zeigt die Ambivalenz menschlicher Motive vs. göttlicher Erlaubnis.</w:t>
      </w:r>
    </w:p>
    <w:p w14:paraId="064ACB29"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Intervention: </w:t>
      </w:r>
      <w:r w:rsidRPr="00232F0F">
        <w:rPr>
          <w:rFonts w:eastAsia="Times New Roman" w:cs="Times New Roman"/>
          <w:b/>
          <w:bCs/>
          <w:rtl/>
          <w:lang w:eastAsia="de-DE"/>
        </w:rPr>
        <w:t>וַיִּתְיַצֵּב מַלְאַךְ יְהוָה בַּדֶּרֶךְ לְשָׂטָן לוֹ</w:t>
      </w:r>
      <w:r w:rsidRPr="00232F0F">
        <w:rPr>
          <w:rFonts w:eastAsia="Times New Roman" w:cs="Times New Roman"/>
          <w:rtl/>
          <w:lang w:eastAsia="de-DE"/>
        </w:rPr>
        <w:t xml:space="preserve"> </w:t>
      </w:r>
      <w:r w:rsidRPr="00232F0F">
        <w:rPr>
          <w:rFonts w:eastAsia="Times New Roman" w:cs="Times New Roman"/>
          <w:lang w:eastAsia="de-DE"/>
        </w:rPr>
        <w:t xml:space="preserve">(„und der Bote JHWHs stellte sich in den Weg, um ihm zu widerstehen") – </w:t>
      </w:r>
      <w:r w:rsidRPr="00232F0F">
        <w:rPr>
          <w:rFonts w:eastAsia="Times New Roman" w:cs="Times New Roman"/>
          <w:b/>
          <w:bCs/>
          <w:rtl/>
          <w:lang w:eastAsia="de-DE"/>
        </w:rPr>
        <w:t>וַיִּתְיַצֵּב</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יצב</w:t>
      </w:r>
      <w:r w:rsidRPr="00232F0F">
        <w:rPr>
          <w:rFonts w:eastAsia="Times New Roman" w:cs="Times New Roman"/>
          <w:rtl/>
          <w:lang w:eastAsia="de-DE"/>
        </w:rPr>
        <w:t xml:space="preserve"> </w:t>
      </w:r>
      <w:r w:rsidRPr="00232F0F">
        <w:rPr>
          <w:rFonts w:eastAsia="Times New Roman" w:cs="Times New Roman"/>
          <w:lang w:eastAsia="de-DE"/>
        </w:rPr>
        <w:t xml:space="preserve">Hitpael, „und er stellte sich") reflexiv „sich hinstellen, positionieren", </w:t>
      </w:r>
      <w:r w:rsidRPr="00232F0F">
        <w:rPr>
          <w:rFonts w:eastAsia="Times New Roman" w:cs="Times New Roman"/>
          <w:b/>
          <w:bCs/>
          <w:rtl/>
          <w:lang w:eastAsia="de-DE"/>
        </w:rPr>
        <w:t>מַלְאַךְ יְהוָה</w:t>
      </w:r>
      <w:r w:rsidRPr="00232F0F">
        <w:rPr>
          <w:rFonts w:eastAsia="Times New Roman" w:cs="Times New Roman"/>
          <w:rtl/>
          <w:lang w:eastAsia="de-DE"/>
        </w:rPr>
        <w:t xml:space="preserve"> </w:t>
      </w:r>
      <w:r w:rsidRPr="00232F0F">
        <w:rPr>
          <w:rFonts w:eastAsia="Times New Roman" w:cs="Times New Roman"/>
          <w:lang w:eastAsia="de-DE"/>
        </w:rPr>
        <w:t xml:space="preserve">(„Bote/Engel JHWHs"), </w:t>
      </w:r>
      <w:r w:rsidRPr="00232F0F">
        <w:rPr>
          <w:rFonts w:eastAsia="Times New Roman" w:cs="Times New Roman"/>
          <w:b/>
          <w:bCs/>
          <w:rtl/>
          <w:lang w:eastAsia="de-DE"/>
        </w:rPr>
        <w:t>בַּדֶּרֶךְ</w:t>
      </w:r>
      <w:r w:rsidRPr="00232F0F">
        <w:rPr>
          <w:rFonts w:eastAsia="Times New Roman" w:cs="Times New Roman"/>
          <w:rtl/>
          <w:lang w:eastAsia="de-DE"/>
        </w:rPr>
        <w:t xml:space="preserve"> </w:t>
      </w:r>
      <w:r w:rsidRPr="00232F0F">
        <w:rPr>
          <w:rFonts w:eastAsia="Times New Roman" w:cs="Times New Roman"/>
          <w:lang w:eastAsia="de-DE"/>
        </w:rPr>
        <w:t xml:space="preserve">„in den Weg", </w:t>
      </w:r>
      <w:r w:rsidRPr="00232F0F">
        <w:rPr>
          <w:rFonts w:eastAsia="Times New Roman" w:cs="Times New Roman"/>
          <w:b/>
          <w:bCs/>
          <w:rtl/>
          <w:lang w:eastAsia="de-DE"/>
        </w:rPr>
        <w:t>לְשָׂטָן לוֹ</w:t>
      </w:r>
      <w:r w:rsidRPr="00232F0F">
        <w:rPr>
          <w:rFonts w:eastAsia="Times New Roman" w:cs="Times New Roman"/>
          <w:rtl/>
          <w:lang w:eastAsia="de-DE"/>
        </w:rPr>
        <w:t xml:space="preserve"> </w:t>
      </w:r>
      <w:r w:rsidRPr="00232F0F">
        <w:rPr>
          <w:rFonts w:eastAsia="Times New Roman" w:cs="Times New Roman"/>
          <w:lang w:eastAsia="de-DE"/>
        </w:rPr>
        <w:t xml:space="preserve">(„als Widersacher für ihn") – </w:t>
      </w:r>
      <w:r w:rsidRPr="00232F0F">
        <w:rPr>
          <w:rFonts w:eastAsia="Times New Roman" w:cs="Times New Roman"/>
          <w:b/>
          <w:bCs/>
          <w:rtl/>
          <w:lang w:eastAsia="de-DE"/>
        </w:rPr>
        <w:t>לְשָׂטָן</w:t>
      </w:r>
      <w:r w:rsidRPr="00232F0F">
        <w:rPr>
          <w:rFonts w:eastAsia="Times New Roman" w:cs="Times New Roman"/>
          <w:rtl/>
          <w:lang w:eastAsia="de-DE"/>
        </w:rPr>
        <w:t xml:space="preserve"> </w:t>
      </w:r>
      <w:r w:rsidRPr="00232F0F">
        <w:rPr>
          <w:rFonts w:eastAsia="Times New Roman" w:cs="Times New Roman"/>
          <w:lang w:eastAsia="de-DE"/>
        </w:rPr>
        <w:t xml:space="preserve">ist hier nicht der Eigenname „Satan", sondern das Nomen </w:t>
      </w:r>
      <w:r w:rsidRPr="00232F0F">
        <w:rPr>
          <w:rFonts w:eastAsia="Times New Roman" w:cs="Times New Roman"/>
          <w:b/>
          <w:bCs/>
          <w:rtl/>
          <w:lang w:eastAsia="de-DE"/>
        </w:rPr>
        <w:t>שָׂטָן</w:t>
      </w:r>
      <w:r w:rsidRPr="00232F0F">
        <w:rPr>
          <w:rFonts w:eastAsia="Times New Roman" w:cs="Times New Roman"/>
          <w:rtl/>
          <w:lang w:eastAsia="de-DE"/>
        </w:rPr>
        <w:t xml:space="preserve"> </w:t>
      </w:r>
      <w:r w:rsidRPr="00232F0F">
        <w:rPr>
          <w:rFonts w:eastAsia="Times New Roman" w:cs="Times New Roman"/>
          <w:lang w:eastAsia="de-DE"/>
        </w:rPr>
        <w:t xml:space="preserve">„Widersacher, Ankläger" von der Wurzel </w:t>
      </w:r>
      <w:r w:rsidRPr="00232F0F">
        <w:rPr>
          <w:rFonts w:eastAsia="Times New Roman" w:cs="Times New Roman"/>
          <w:b/>
          <w:bCs/>
          <w:rtl/>
          <w:lang w:eastAsia="de-DE"/>
        </w:rPr>
        <w:t>שׂטן</w:t>
      </w:r>
      <w:r w:rsidRPr="00232F0F">
        <w:rPr>
          <w:rFonts w:eastAsia="Times New Roman" w:cs="Times New Roman"/>
          <w:rtl/>
          <w:lang w:eastAsia="de-DE"/>
        </w:rPr>
        <w:t xml:space="preserve"> </w:t>
      </w:r>
      <w:r w:rsidRPr="00232F0F">
        <w:rPr>
          <w:rFonts w:eastAsia="Times New Roman" w:cs="Times New Roman"/>
          <w:lang w:eastAsia="de-DE"/>
        </w:rPr>
        <w:t xml:space="preserve">„anfeinden, widerstehen" mit </w:t>
      </w:r>
      <w:r w:rsidRPr="00232F0F">
        <w:rPr>
          <w:rFonts w:eastAsia="Times New Roman" w:cs="Times New Roman"/>
          <w:b/>
          <w:bCs/>
          <w:rtl/>
          <w:lang w:eastAsia="de-DE"/>
        </w:rPr>
        <w:t>לְ</w:t>
      </w:r>
      <w:r w:rsidRPr="00232F0F">
        <w:rPr>
          <w:rFonts w:eastAsia="Times New Roman" w:cs="Times New Roman"/>
          <w:lang w:eastAsia="de-DE"/>
        </w:rPr>
        <w:t xml:space="preserve">. Der Engel wird zum </w:t>
      </w:r>
      <w:r w:rsidRPr="00232F0F">
        <w:rPr>
          <w:rFonts w:eastAsia="Times New Roman" w:cs="Times New Roman"/>
          <w:b/>
          <w:bCs/>
          <w:lang w:eastAsia="de-DE"/>
        </w:rPr>
        <w:t>Satan</w:t>
      </w:r>
      <w:r w:rsidRPr="00232F0F">
        <w:rPr>
          <w:rFonts w:eastAsia="Times New Roman" w:cs="Times New Roman"/>
          <w:lang w:eastAsia="de-DE"/>
        </w:rPr>
        <w:t>, zum Widersacher auf Bileams Weg – eine ironische Umkehrung: Der, der Israel verfluchen soll, wird selbst blockiert.</w:t>
      </w:r>
    </w:p>
    <w:p w14:paraId="7E609AD0"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Szene: </w:t>
      </w:r>
      <w:r w:rsidRPr="00232F0F">
        <w:rPr>
          <w:rFonts w:eastAsia="Times New Roman" w:cs="Times New Roman"/>
          <w:b/>
          <w:bCs/>
          <w:rtl/>
          <w:lang w:eastAsia="de-DE"/>
        </w:rPr>
        <w:t>וְהוּא רֹכֵב עַל־אֲתֹנוֹ וּשְנֵי נְעָרָיו עִמּוֹ</w:t>
      </w:r>
      <w:r w:rsidRPr="00232F0F">
        <w:rPr>
          <w:rFonts w:eastAsia="Times New Roman" w:cs="Times New Roman"/>
          <w:rtl/>
          <w:lang w:eastAsia="de-DE"/>
        </w:rPr>
        <w:t xml:space="preserve"> </w:t>
      </w:r>
      <w:r w:rsidRPr="00232F0F">
        <w:rPr>
          <w:rFonts w:eastAsia="Times New Roman" w:cs="Times New Roman"/>
          <w:lang w:eastAsia="de-DE"/>
        </w:rPr>
        <w:t xml:space="preserve">(„und er war reitend auf seiner Eselin, und seine beiden Diener waren bei ihm") – </w:t>
      </w:r>
      <w:r w:rsidRPr="00232F0F">
        <w:rPr>
          <w:rFonts w:eastAsia="Times New Roman" w:cs="Times New Roman"/>
          <w:b/>
          <w:bCs/>
          <w:rtl/>
          <w:lang w:eastAsia="de-DE"/>
        </w:rPr>
        <w:t>רֹכֵב</w:t>
      </w:r>
      <w:r w:rsidRPr="00232F0F">
        <w:rPr>
          <w:rFonts w:eastAsia="Times New Roman" w:cs="Times New Roman"/>
          <w:rtl/>
          <w:lang w:eastAsia="de-DE"/>
        </w:rPr>
        <w:t xml:space="preserve"> </w:t>
      </w:r>
      <w:r w:rsidRPr="00232F0F">
        <w:rPr>
          <w:rFonts w:eastAsia="Times New Roman" w:cs="Times New Roman"/>
          <w:lang w:eastAsia="de-DE"/>
        </w:rPr>
        <w:t xml:space="preserve">(Qal Partizip von </w:t>
      </w:r>
      <w:r w:rsidRPr="00232F0F">
        <w:rPr>
          <w:rFonts w:eastAsia="Times New Roman" w:cs="Times New Roman"/>
          <w:b/>
          <w:bCs/>
          <w:rtl/>
          <w:lang w:eastAsia="de-DE"/>
        </w:rPr>
        <w:t>רכב</w:t>
      </w:r>
      <w:r w:rsidRPr="00232F0F">
        <w:rPr>
          <w:rFonts w:eastAsia="Times New Roman" w:cs="Times New Roman"/>
          <w:lang w:eastAsia="de-DE"/>
        </w:rPr>
        <w:t xml:space="preserve">, „reitend"), </w:t>
      </w:r>
      <w:r w:rsidRPr="00232F0F">
        <w:rPr>
          <w:rFonts w:eastAsia="Times New Roman" w:cs="Times New Roman"/>
          <w:b/>
          <w:bCs/>
          <w:rtl/>
          <w:lang w:eastAsia="de-DE"/>
        </w:rPr>
        <w:t>נְעָרִים</w:t>
      </w:r>
      <w:r w:rsidRPr="00232F0F">
        <w:rPr>
          <w:rFonts w:eastAsia="Times New Roman" w:cs="Times New Roman"/>
          <w:rtl/>
          <w:lang w:eastAsia="de-DE"/>
        </w:rPr>
        <w:t xml:space="preserve"> </w:t>
      </w:r>
      <w:r w:rsidRPr="00232F0F">
        <w:rPr>
          <w:rFonts w:eastAsia="Times New Roman" w:cs="Times New Roman"/>
          <w:lang w:eastAsia="de-DE"/>
        </w:rPr>
        <w:t xml:space="preserve">„Diener, junge Männer" (Plural von </w:t>
      </w:r>
      <w:r w:rsidRPr="00232F0F">
        <w:rPr>
          <w:rFonts w:eastAsia="Times New Roman" w:cs="Times New Roman"/>
          <w:b/>
          <w:bCs/>
          <w:rtl/>
          <w:lang w:eastAsia="de-DE"/>
        </w:rPr>
        <w:t>נַעַר</w:t>
      </w:r>
      <w:r w:rsidRPr="00232F0F">
        <w:rPr>
          <w:rFonts w:eastAsia="Times New Roman" w:cs="Times New Roman"/>
          <w:lang w:eastAsia="de-DE"/>
        </w:rPr>
        <w:t xml:space="preserve">), </w:t>
      </w:r>
      <w:r w:rsidRPr="00232F0F">
        <w:rPr>
          <w:rFonts w:eastAsia="Times New Roman" w:cs="Times New Roman"/>
          <w:b/>
          <w:bCs/>
          <w:rtl/>
          <w:lang w:eastAsia="de-DE"/>
        </w:rPr>
        <w:t>עִמּוֹ</w:t>
      </w:r>
      <w:r w:rsidRPr="00232F0F">
        <w:rPr>
          <w:rFonts w:eastAsia="Times New Roman" w:cs="Times New Roman"/>
          <w:rtl/>
          <w:lang w:eastAsia="de-DE"/>
        </w:rPr>
        <w:t xml:space="preserve"> </w:t>
      </w:r>
      <w:r w:rsidRPr="00232F0F">
        <w:rPr>
          <w:rFonts w:eastAsia="Times New Roman" w:cs="Times New Roman"/>
          <w:lang w:eastAsia="de-DE"/>
        </w:rPr>
        <w:t>„bei ihm".</w:t>
      </w:r>
    </w:p>
    <w:p w14:paraId="5B20233C" w14:textId="255A3C7A"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 xml:space="preserve">Die </w:t>
      </w:r>
      <w:r w:rsidR="00C73FA4">
        <w:t>übersetzt „</w:t>
      </w:r>
      <w:r w:rsidR="00C73FA4" w:rsidRPr="00C73FA4">
        <w:rPr>
          <w:b/>
          <w:bCs/>
          <w:rtl/>
        </w:rPr>
        <w:t>לְשָׂטָן</w:t>
      </w:r>
      <w:r w:rsidR="00C73FA4">
        <w:rPr>
          <w:rtl/>
        </w:rPr>
        <w:t xml:space="preserve"> </w:t>
      </w:r>
      <w:r w:rsidR="00C73FA4" w:rsidRPr="00C73FA4">
        <w:rPr>
          <w:b/>
          <w:bCs/>
          <w:rtl/>
        </w:rPr>
        <w:t>לוֹ</w:t>
      </w:r>
      <w:r w:rsidR="00C73FA4">
        <w:t>" (als Widersacher gegen ihn) mit „ἐνδιαβάλλειν αὐτόν" (um ihn anzuklagen/zu verleumden), was eine stärkere juristische Konnotation hat. Zudem wird „</w:t>
      </w:r>
      <w:r w:rsidR="00C73FA4" w:rsidRPr="00C73FA4">
        <w:rPr>
          <w:b/>
          <w:bCs/>
          <w:rtl/>
        </w:rPr>
        <w:t>מַלְאַךְ</w:t>
      </w:r>
      <w:r w:rsidR="00C73FA4">
        <w:rPr>
          <w:rtl/>
        </w:rPr>
        <w:t xml:space="preserve"> </w:t>
      </w:r>
      <w:r w:rsidR="00C73FA4" w:rsidRPr="00C73FA4">
        <w:rPr>
          <w:b/>
          <w:bCs/>
          <w:rtl/>
        </w:rPr>
        <w:t>יְהוָה</w:t>
      </w:r>
      <w:r w:rsidR="00C73FA4">
        <w:t xml:space="preserve">" zu „ὁ ἄγγελος τοῦ θεοῦ" (der Engel Gottes) statt „des </w:t>
      </w:r>
      <w:r w:rsidR="00095BF0">
        <w:t>Ewigen</w:t>
      </w:r>
      <w:r w:rsidR="00C73FA4">
        <w:t>".</w:t>
      </w:r>
    </w:p>
    <w:p w14:paraId="7AF4906E"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drei koordinierte Hauptsätze: Der erste mit Verb (idiomatische Wendung), Subjekt und kausaler Begründung (Nebensatz mit Partizip und Pronomen); der zweite mit Verb, Subjekt, Präpositionalphrase und finaler Präpositionalphrase; der dritte mit Pronomen, Partizip, Präpositionalphrase und koordinierter nominaler Phrase. Insgesamt gibt es einen Nebensatz (Kausalsatz).</w:t>
      </w:r>
    </w:p>
    <w:p w14:paraId="1355D1C9"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Der Vers schafft dramatische Spannung: Gottes Zorn trotz Erlaubnis, der Engel als Widersacher – die berühmte Episode der sprechenden Eselin beginnt. Die Ironie: Bileam, der „Seher", wird blind für den Engel sein – nur die Eselin wird ihn sehen!</w:t>
      </w:r>
    </w:p>
    <w:p w14:paraId="5E5DCF61"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22,23</w:t>
      </w:r>
    </w:p>
    <w:p w14:paraId="4FE9A164"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וַתֵּ֣רֶא הָאָתוֹן֩ אֶת־מַלְאַ֨ךְ יְהוָ֜ה נִצָּ֣ב בַּדֶּ֗רֶךְ וְחַרְבֹּ֤ו שְׁלוּפָה֙ בְּיָדֹ֔ו וַתֵּ֤ט הָֽאָתוֹן֙ מִן־הַדֶּ֔רֶךְ וַתֵּ֖לֶךְ בַּשָּׂדֶ֑ה וַיַּ֤ךְ בִּלְעָם֙ אֶת־הָ֣אָת֔וֹן לְהַטֹּתָ֖הּ הַדָּֽרֶךְ׃</w:t>
      </w:r>
    </w:p>
    <w:p w14:paraId="50E15B69"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Und die Eselin sah den Boten des Ewigen auf dem Weg stehen mit seinem gezückten Schwert in seiner Hand. Und die Eselin bog vom Weg ab und ging aufs Feld. Und Bileam schlug die Eselin, um sie auf den Weg zu lenken.</w:t>
      </w:r>
    </w:p>
    <w:p w14:paraId="707C9C11"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5A066DCB">
          <v:rect id="_x0000_i1781" style="width:0;height:1.5pt" o:hralign="center" o:hrstd="t" o:hr="t" fillcolor="#a0a0a0" stroked="f"/>
        </w:pict>
      </w:r>
    </w:p>
    <w:p w14:paraId="777C189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Das entscheidende Verb </w:t>
      </w:r>
      <w:r w:rsidRPr="00232F0F">
        <w:rPr>
          <w:rFonts w:eastAsia="Times New Roman" w:cs="Times New Roman"/>
          <w:b/>
          <w:bCs/>
          <w:rtl/>
          <w:lang w:eastAsia="de-DE"/>
        </w:rPr>
        <w:t>וַתֵּרֶא הָאָתוֹן אֶת־מַלְאַךְ יְהוָה</w:t>
      </w:r>
      <w:r w:rsidRPr="00232F0F">
        <w:rPr>
          <w:rFonts w:eastAsia="Times New Roman" w:cs="Times New Roman"/>
          <w:rtl/>
          <w:lang w:eastAsia="de-DE"/>
        </w:rPr>
        <w:t xml:space="preserve"> </w:t>
      </w:r>
      <w:r w:rsidRPr="00232F0F">
        <w:rPr>
          <w:rFonts w:eastAsia="Times New Roman" w:cs="Times New Roman"/>
          <w:lang w:eastAsia="de-DE"/>
        </w:rPr>
        <w:t xml:space="preserve">(„und die Eselin sah den Boten JHWHs") – </w:t>
      </w:r>
      <w:r w:rsidRPr="00232F0F">
        <w:rPr>
          <w:rFonts w:eastAsia="Times New Roman" w:cs="Times New Roman"/>
          <w:b/>
          <w:bCs/>
          <w:rtl/>
          <w:lang w:eastAsia="de-DE"/>
        </w:rPr>
        <w:t>וַתֵּרֶא</w:t>
      </w:r>
      <w:r w:rsidRPr="00232F0F">
        <w:rPr>
          <w:rFonts w:eastAsia="Times New Roman" w:cs="Times New Roman"/>
          <w:rtl/>
          <w:lang w:eastAsia="de-DE"/>
        </w:rPr>
        <w:t xml:space="preserve"> </w:t>
      </w:r>
      <w:r w:rsidRPr="00232F0F">
        <w:rPr>
          <w:rFonts w:eastAsia="Times New Roman" w:cs="Times New Roman"/>
          <w:lang w:eastAsia="de-DE"/>
        </w:rPr>
        <w:t xml:space="preserve">(Wayyiqtol, 3. f. sg. von </w:t>
      </w:r>
      <w:r w:rsidRPr="00232F0F">
        <w:rPr>
          <w:rFonts w:eastAsia="Times New Roman" w:cs="Times New Roman"/>
          <w:b/>
          <w:bCs/>
          <w:rtl/>
          <w:lang w:eastAsia="de-DE"/>
        </w:rPr>
        <w:t>ראה</w:t>
      </w:r>
      <w:r w:rsidRPr="00232F0F">
        <w:rPr>
          <w:rFonts w:eastAsia="Times New Roman" w:cs="Times New Roman"/>
          <w:lang w:eastAsia="de-DE"/>
        </w:rPr>
        <w:t xml:space="preserve">, „und sie sah"), </w:t>
      </w:r>
      <w:r w:rsidRPr="00232F0F">
        <w:rPr>
          <w:rFonts w:eastAsia="Times New Roman" w:cs="Times New Roman"/>
          <w:b/>
          <w:bCs/>
          <w:rtl/>
          <w:lang w:eastAsia="de-DE"/>
        </w:rPr>
        <w:t>הָאָתוֹן</w:t>
      </w:r>
      <w:r w:rsidRPr="00232F0F">
        <w:rPr>
          <w:rFonts w:eastAsia="Times New Roman" w:cs="Times New Roman"/>
          <w:rtl/>
          <w:lang w:eastAsia="de-DE"/>
        </w:rPr>
        <w:t xml:space="preserve"> </w:t>
      </w:r>
      <w:r w:rsidRPr="00232F0F">
        <w:rPr>
          <w:rFonts w:eastAsia="Times New Roman" w:cs="Times New Roman"/>
          <w:lang w:eastAsia="de-DE"/>
        </w:rPr>
        <w:t xml:space="preserve">„die Eselin" Subjekt. Die Ironie ist beißend: Das </w:t>
      </w:r>
      <w:r w:rsidRPr="00232F0F">
        <w:rPr>
          <w:rFonts w:eastAsia="Times New Roman" w:cs="Times New Roman"/>
          <w:b/>
          <w:bCs/>
          <w:lang w:eastAsia="de-DE"/>
        </w:rPr>
        <w:t>Tier</w:t>
      </w:r>
      <w:r w:rsidRPr="00232F0F">
        <w:rPr>
          <w:rFonts w:eastAsia="Times New Roman" w:cs="Times New Roman"/>
          <w:lang w:eastAsia="de-DE"/>
        </w:rPr>
        <w:t xml:space="preserve"> sieht den Engel, aber der </w:t>
      </w:r>
      <w:r w:rsidRPr="00232F0F">
        <w:rPr>
          <w:rFonts w:eastAsia="Times New Roman" w:cs="Times New Roman"/>
          <w:b/>
          <w:bCs/>
          <w:lang w:eastAsia="de-DE"/>
        </w:rPr>
        <w:t>Prophet/Seher</w:t>
      </w:r>
      <w:r w:rsidRPr="00232F0F">
        <w:rPr>
          <w:rFonts w:eastAsia="Times New Roman" w:cs="Times New Roman"/>
          <w:lang w:eastAsia="de-DE"/>
        </w:rPr>
        <w:t xml:space="preserve"> Bileam nicht! Der angebliche </w:t>
      </w:r>
      <w:r w:rsidRPr="00232F0F">
        <w:rPr>
          <w:rFonts w:eastAsia="Times New Roman" w:cs="Times New Roman"/>
          <w:b/>
          <w:bCs/>
          <w:lang w:eastAsia="de-DE"/>
        </w:rPr>
        <w:t>Seher</w:t>
      </w:r>
      <w:r w:rsidRPr="00232F0F">
        <w:rPr>
          <w:rFonts w:eastAsia="Times New Roman" w:cs="Times New Roman"/>
          <w:lang w:eastAsia="de-DE"/>
        </w:rPr>
        <w:t xml:space="preserve"> (</w:t>
      </w:r>
      <w:r w:rsidRPr="00232F0F">
        <w:rPr>
          <w:rFonts w:eastAsia="Times New Roman" w:cs="Times New Roman"/>
          <w:b/>
          <w:bCs/>
          <w:rtl/>
          <w:lang w:eastAsia="de-DE"/>
        </w:rPr>
        <w:t>בִּלְעָם</w:t>
      </w:r>
      <w:r w:rsidRPr="00232F0F">
        <w:rPr>
          <w:rFonts w:eastAsia="Times New Roman" w:cs="Times New Roman"/>
          <w:rtl/>
          <w:lang w:eastAsia="de-DE"/>
        </w:rPr>
        <w:t xml:space="preserve"> </w:t>
      </w:r>
      <w:r w:rsidRPr="00232F0F">
        <w:rPr>
          <w:rFonts w:eastAsia="Times New Roman" w:cs="Times New Roman"/>
          <w:lang w:eastAsia="de-DE"/>
        </w:rPr>
        <w:t xml:space="preserve">möglicherweise verwandt mit </w:t>
      </w:r>
      <w:r w:rsidRPr="00232F0F">
        <w:rPr>
          <w:rFonts w:eastAsia="Times New Roman" w:cs="Times New Roman"/>
          <w:b/>
          <w:bCs/>
          <w:rtl/>
          <w:lang w:eastAsia="de-DE"/>
        </w:rPr>
        <w:t>רֹאֶה</w:t>
      </w:r>
      <w:r w:rsidRPr="00232F0F">
        <w:rPr>
          <w:rFonts w:eastAsia="Times New Roman" w:cs="Times New Roman"/>
          <w:rtl/>
          <w:lang w:eastAsia="de-DE"/>
        </w:rPr>
        <w:t xml:space="preserve"> </w:t>
      </w:r>
      <w:r w:rsidRPr="00232F0F">
        <w:rPr>
          <w:rFonts w:eastAsia="Times New Roman" w:cs="Times New Roman"/>
          <w:lang w:eastAsia="de-DE"/>
        </w:rPr>
        <w:t>„Seher") ist geistlich blind.</w:t>
      </w:r>
    </w:p>
    <w:p w14:paraId="6EC8E9D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Beschreibung </w:t>
      </w:r>
      <w:r w:rsidRPr="00232F0F">
        <w:rPr>
          <w:rFonts w:eastAsia="Times New Roman" w:cs="Times New Roman"/>
          <w:b/>
          <w:bCs/>
          <w:rtl/>
          <w:lang w:eastAsia="de-DE"/>
        </w:rPr>
        <w:t>נִצָּב בַּדֶּרֶךְ וְחַרְבּוֹ שְׁלוּפָה בְּיָדוֹ</w:t>
      </w:r>
      <w:r w:rsidRPr="00232F0F">
        <w:rPr>
          <w:rFonts w:eastAsia="Times New Roman" w:cs="Times New Roman"/>
          <w:rtl/>
          <w:lang w:eastAsia="de-DE"/>
        </w:rPr>
        <w:t xml:space="preserve"> </w:t>
      </w:r>
      <w:r w:rsidRPr="00232F0F">
        <w:rPr>
          <w:rFonts w:eastAsia="Times New Roman" w:cs="Times New Roman"/>
          <w:lang w:eastAsia="de-DE"/>
        </w:rPr>
        <w:t xml:space="preserve">(„stehend auf dem Weg, und sein Schwert gezückt in seiner Hand") – </w:t>
      </w:r>
      <w:r w:rsidRPr="00232F0F">
        <w:rPr>
          <w:rFonts w:eastAsia="Times New Roman" w:cs="Times New Roman"/>
          <w:b/>
          <w:bCs/>
          <w:rtl/>
          <w:lang w:eastAsia="de-DE"/>
        </w:rPr>
        <w:t>נִצָּב</w:t>
      </w:r>
      <w:r w:rsidRPr="00232F0F">
        <w:rPr>
          <w:rFonts w:eastAsia="Times New Roman" w:cs="Times New Roman"/>
          <w:rtl/>
          <w:lang w:eastAsia="de-DE"/>
        </w:rPr>
        <w:t xml:space="preserve"> </w:t>
      </w:r>
      <w:r w:rsidRPr="00232F0F">
        <w:rPr>
          <w:rFonts w:eastAsia="Times New Roman" w:cs="Times New Roman"/>
          <w:lang w:eastAsia="de-DE"/>
        </w:rPr>
        <w:t xml:space="preserve">(Nifal Partizip von </w:t>
      </w:r>
      <w:r w:rsidRPr="00232F0F">
        <w:rPr>
          <w:rFonts w:eastAsia="Times New Roman" w:cs="Times New Roman"/>
          <w:b/>
          <w:bCs/>
          <w:rtl/>
          <w:lang w:eastAsia="de-DE"/>
        </w:rPr>
        <w:t>נצב</w:t>
      </w:r>
      <w:r w:rsidRPr="00232F0F">
        <w:rPr>
          <w:rFonts w:eastAsia="Times New Roman" w:cs="Times New Roman"/>
          <w:lang w:eastAsia="de-DE"/>
        </w:rPr>
        <w:t xml:space="preserve">, „stehend, sich stellend"), </w:t>
      </w:r>
      <w:r w:rsidRPr="00232F0F">
        <w:rPr>
          <w:rFonts w:eastAsia="Times New Roman" w:cs="Times New Roman"/>
          <w:b/>
          <w:bCs/>
          <w:rtl/>
          <w:lang w:eastAsia="de-DE"/>
        </w:rPr>
        <w:t>וְחַרְבּוֹ שְׁלוּפָה</w:t>
      </w:r>
      <w:r w:rsidRPr="00232F0F">
        <w:rPr>
          <w:rFonts w:eastAsia="Times New Roman" w:cs="Times New Roman"/>
          <w:rtl/>
          <w:lang w:eastAsia="de-DE"/>
        </w:rPr>
        <w:t xml:space="preserve"> </w:t>
      </w:r>
      <w:r w:rsidRPr="00232F0F">
        <w:rPr>
          <w:rFonts w:eastAsia="Times New Roman" w:cs="Times New Roman"/>
          <w:lang w:eastAsia="de-DE"/>
        </w:rPr>
        <w:lastRenderedPageBreak/>
        <w:t xml:space="preserve">(„und sein Schwert gezückt") – </w:t>
      </w:r>
      <w:r w:rsidRPr="00232F0F">
        <w:rPr>
          <w:rFonts w:eastAsia="Times New Roman" w:cs="Times New Roman"/>
          <w:b/>
          <w:bCs/>
          <w:rtl/>
          <w:lang w:eastAsia="de-DE"/>
        </w:rPr>
        <w:t>חֶרֶב</w:t>
      </w:r>
      <w:r w:rsidRPr="00232F0F">
        <w:rPr>
          <w:rFonts w:eastAsia="Times New Roman" w:cs="Times New Roman"/>
          <w:rtl/>
          <w:lang w:eastAsia="de-DE"/>
        </w:rPr>
        <w:t xml:space="preserve"> </w:t>
      </w:r>
      <w:r w:rsidRPr="00232F0F">
        <w:rPr>
          <w:rFonts w:eastAsia="Times New Roman" w:cs="Times New Roman"/>
          <w:lang w:eastAsia="de-DE"/>
        </w:rPr>
        <w:t xml:space="preserve">„Schwert" mit Possessivsuffix, </w:t>
      </w:r>
      <w:r w:rsidRPr="00232F0F">
        <w:rPr>
          <w:rFonts w:eastAsia="Times New Roman" w:cs="Times New Roman"/>
          <w:b/>
          <w:bCs/>
          <w:rtl/>
          <w:lang w:eastAsia="de-DE"/>
        </w:rPr>
        <w:t>שְׁלוּפָה</w:t>
      </w:r>
      <w:r w:rsidRPr="00232F0F">
        <w:rPr>
          <w:rFonts w:eastAsia="Times New Roman" w:cs="Times New Roman"/>
          <w:rtl/>
          <w:lang w:eastAsia="de-DE"/>
        </w:rPr>
        <w:t xml:space="preserve"> </w:t>
      </w:r>
      <w:r w:rsidRPr="00232F0F">
        <w:rPr>
          <w:rFonts w:eastAsia="Times New Roman" w:cs="Times New Roman"/>
          <w:lang w:eastAsia="de-DE"/>
        </w:rPr>
        <w:t xml:space="preserve">(Qal Partizip Passiv feminin von </w:t>
      </w:r>
      <w:r w:rsidRPr="00232F0F">
        <w:rPr>
          <w:rFonts w:eastAsia="Times New Roman" w:cs="Times New Roman"/>
          <w:b/>
          <w:bCs/>
          <w:rtl/>
          <w:lang w:eastAsia="de-DE"/>
        </w:rPr>
        <w:t>שׁלף</w:t>
      </w:r>
      <w:r w:rsidRPr="00232F0F">
        <w:rPr>
          <w:rFonts w:eastAsia="Times New Roman" w:cs="Times New Roman"/>
          <w:lang w:eastAsia="de-DE"/>
        </w:rPr>
        <w:t xml:space="preserve">, „gezogen, gezückt"), </w:t>
      </w:r>
      <w:r w:rsidRPr="00232F0F">
        <w:rPr>
          <w:rFonts w:eastAsia="Times New Roman" w:cs="Times New Roman"/>
          <w:b/>
          <w:bCs/>
          <w:rtl/>
          <w:lang w:eastAsia="de-DE"/>
        </w:rPr>
        <w:t>בְּיָדוֹ</w:t>
      </w:r>
      <w:r w:rsidRPr="00232F0F">
        <w:rPr>
          <w:rFonts w:eastAsia="Times New Roman" w:cs="Times New Roman"/>
          <w:rtl/>
          <w:lang w:eastAsia="de-DE"/>
        </w:rPr>
        <w:t xml:space="preserve"> </w:t>
      </w:r>
      <w:r w:rsidRPr="00232F0F">
        <w:rPr>
          <w:rFonts w:eastAsia="Times New Roman" w:cs="Times New Roman"/>
          <w:lang w:eastAsia="de-DE"/>
        </w:rPr>
        <w:t>„in seiner Hand". Der Engel ist kampfbereit, tödlich – Bileam ist in Lebensgefahr.</w:t>
      </w:r>
    </w:p>
    <w:p w14:paraId="2CBEEC57"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Reaktion der Eselin: </w:t>
      </w:r>
      <w:r w:rsidRPr="00232F0F">
        <w:rPr>
          <w:rFonts w:eastAsia="Times New Roman" w:cs="Times New Roman"/>
          <w:b/>
          <w:bCs/>
          <w:rtl/>
          <w:lang w:eastAsia="de-DE"/>
        </w:rPr>
        <w:t>וַתֵּט הָאָתוֹן מִן־הַדֶּרֶךְ וַתֵּלֶךְ בַּשָּׂדֶה</w:t>
      </w:r>
      <w:r w:rsidRPr="00232F0F">
        <w:rPr>
          <w:rFonts w:eastAsia="Times New Roman" w:cs="Times New Roman"/>
          <w:rtl/>
          <w:lang w:eastAsia="de-DE"/>
        </w:rPr>
        <w:t xml:space="preserve"> </w:t>
      </w:r>
      <w:r w:rsidRPr="00232F0F">
        <w:rPr>
          <w:rFonts w:eastAsia="Times New Roman" w:cs="Times New Roman"/>
          <w:lang w:eastAsia="de-DE"/>
        </w:rPr>
        <w:t xml:space="preserve">(„und die Eselin bog ab vom Weg und ging aufs Feld") – </w:t>
      </w:r>
      <w:r w:rsidRPr="00232F0F">
        <w:rPr>
          <w:rFonts w:eastAsia="Times New Roman" w:cs="Times New Roman"/>
          <w:b/>
          <w:bCs/>
          <w:rtl/>
          <w:lang w:eastAsia="de-DE"/>
        </w:rPr>
        <w:t>וַתֵּט</w:t>
      </w:r>
      <w:r w:rsidRPr="00232F0F">
        <w:rPr>
          <w:rFonts w:eastAsia="Times New Roman" w:cs="Times New Roman"/>
          <w:rtl/>
          <w:lang w:eastAsia="de-DE"/>
        </w:rPr>
        <w:t xml:space="preserve"> </w:t>
      </w:r>
      <w:r w:rsidRPr="00232F0F">
        <w:rPr>
          <w:rFonts w:eastAsia="Times New Roman" w:cs="Times New Roman"/>
          <w:lang w:eastAsia="de-DE"/>
        </w:rPr>
        <w:t xml:space="preserve">(Wayyiqtol, 3. f. sg. von </w:t>
      </w:r>
      <w:r w:rsidRPr="00232F0F">
        <w:rPr>
          <w:rFonts w:eastAsia="Times New Roman" w:cs="Times New Roman"/>
          <w:b/>
          <w:bCs/>
          <w:rtl/>
          <w:lang w:eastAsia="de-DE"/>
        </w:rPr>
        <w:t>נטה</w:t>
      </w:r>
      <w:r w:rsidRPr="00232F0F">
        <w:rPr>
          <w:rFonts w:eastAsia="Times New Roman" w:cs="Times New Roman"/>
          <w:lang w:eastAsia="de-DE"/>
        </w:rPr>
        <w:t xml:space="preserve">, „und sie bog ab"), </w:t>
      </w:r>
      <w:r w:rsidRPr="00232F0F">
        <w:rPr>
          <w:rFonts w:eastAsia="Times New Roman" w:cs="Times New Roman"/>
          <w:b/>
          <w:bCs/>
          <w:rtl/>
          <w:lang w:eastAsia="de-DE"/>
        </w:rPr>
        <w:t>מִן־הַדֶּרֶךְ</w:t>
      </w:r>
      <w:r w:rsidRPr="00232F0F">
        <w:rPr>
          <w:rFonts w:eastAsia="Times New Roman" w:cs="Times New Roman"/>
          <w:rtl/>
          <w:lang w:eastAsia="de-DE"/>
        </w:rPr>
        <w:t xml:space="preserve"> </w:t>
      </w:r>
      <w:r w:rsidRPr="00232F0F">
        <w:rPr>
          <w:rFonts w:eastAsia="Times New Roman" w:cs="Times New Roman"/>
          <w:lang w:eastAsia="de-DE"/>
        </w:rPr>
        <w:t xml:space="preserve">„vom Weg", </w:t>
      </w:r>
      <w:r w:rsidRPr="00232F0F">
        <w:rPr>
          <w:rFonts w:eastAsia="Times New Roman" w:cs="Times New Roman"/>
          <w:b/>
          <w:bCs/>
          <w:rtl/>
          <w:lang w:eastAsia="de-DE"/>
        </w:rPr>
        <w:t>וַתֵּלֶךְ בַּשָּׂדֶה</w:t>
      </w:r>
      <w:r w:rsidRPr="00232F0F">
        <w:rPr>
          <w:rFonts w:eastAsia="Times New Roman" w:cs="Times New Roman"/>
          <w:rtl/>
          <w:lang w:eastAsia="de-DE"/>
        </w:rPr>
        <w:t xml:space="preserve"> </w:t>
      </w:r>
      <w:r w:rsidRPr="00232F0F">
        <w:rPr>
          <w:rFonts w:eastAsia="Times New Roman" w:cs="Times New Roman"/>
          <w:lang w:eastAsia="de-DE"/>
        </w:rPr>
        <w:t>„und sie ging ins Feld". Die Eselin rettet Bileams Leben durch Ausweichen.</w:t>
      </w:r>
    </w:p>
    <w:p w14:paraId="337D915C"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Bileams Reaktion: </w:t>
      </w:r>
      <w:r w:rsidRPr="00232F0F">
        <w:rPr>
          <w:rFonts w:eastAsia="Times New Roman" w:cs="Times New Roman"/>
          <w:b/>
          <w:bCs/>
          <w:rtl/>
          <w:lang w:eastAsia="de-DE"/>
        </w:rPr>
        <w:t>וַיַּךְ בִּלְעָם אֶת־הָאָתוֹן לְהַטֹּתָהּ הַדָּרֶךְ</w:t>
      </w:r>
      <w:r w:rsidRPr="00232F0F">
        <w:rPr>
          <w:rFonts w:eastAsia="Times New Roman" w:cs="Times New Roman"/>
          <w:rtl/>
          <w:lang w:eastAsia="de-DE"/>
        </w:rPr>
        <w:t xml:space="preserve"> </w:t>
      </w:r>
      <w:r w:rsidRPr="00232F0F">
        <w:rPr>
          <w:rFonts w:eastAsia="Times New Roman" w:cs="Times New Roman"/>
          <w:lang w:eastAsia="de-DE"/>
        </w:rPr>
        <w:t xml:space="preserve">(„und Bileam schlug die Eselin, um sie auf den Weg zu lenken") – </w:t>
      </w:r>
      <w:r w:rsidRPr="00232F0F">
        <w:rPr>
          <w:rFonts w:eastAsia="Times New Roman" w:cs="Times New Roman"/>
          <w:b/>
          <w:bCs/>
          <w:rtl/>
          <w:lang w:eastAsia="de-DE"/>
        </w:rPr>
        <w:t>וַיַּךְ</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נכה</w:t>
      </w:r>
      <w:r w:rsidRPr="00232F0F">
        <w:rPr>
          <w:rFonts w:eastAsia="Times New Roman" w:cs="Times New Roman"/>
          <w:rtl/>
          <w:lang w:eastAsia="de-DE"/>
        </w:rPr>
        <w:t xml:space="preserve"> </w:t>
      </w:r>
      <w:r w:rsidRPr="00232F0F">
        <w:rPr>
          <w:rFonts w:eastAsia="Times New Roman" w:cs="Times New Roman"/>
          <w:lang w:eastAsia="de-DE"/>
        </w:rPr>
        <w:t xml:space="preserve">Hifil, „und er schlug"), </w:t>
      </w:r>
      <w:r w:rsidRPr="00232F0F">
        <w:rPr>
          <w:rFonts w:eastAsia="Times New Roman" w:cs="Times New Roman"/>
          <w:b/>
          <w:bCs/>
          <w:rtl/>
          <w:lang w:eastAsia="de-DE"/>
        </w:rPr>
        <w:t>לְהַטֹּתָהּ הַדָּרֶךְ</w:t>
      </w:r>
      <w:r w:rsidRPr="00232F0F">
        <w:rPr>
          <w:rFonts w:eastAsia="Times New Roman" w:cs="Times New Roman"/>
          <w:rtl/>
          <w:lang w:eastAsia="de-DE"/>
        </w:rPr>
        <w:t xml:space="preserve"> </w:t>
      </w:r>
      <w:r w:rsidRPr="00232F0F">
        <w:rPr>
          <w:rFonts w:eastAsia="Times New Roman" w:cs="Times New Roman"/>
          <w:lang w:eastAsia="de-DE"/>
        </w:rPr>
        <w:t xml:space="preserve">(„um sie zum Weg zu lenken") – </w:t>
      </w:r>
      <w:r w:rsidRPr="00232F0F">
        <w:rPr>
          <w:rFonts w:eastAsia="Times New Roman" w:cs="Times New Roman"/>
          <w:b/>
          <w:bCs/>
          <w:rtl/>
          <w:lang w:eastAsia="de-DE"/>
        </w:rPr>
        <w:t>לְהַטֹּתָהּ</w:t>
      </w:r>
      <w:r w:rsidRPr="00232F0F">
        <w:rPr>
          <w:rFonts w:eastAsia="Times New Roman" w:cs="Times New Roman"/>
          <w:rtl/>
          <w:lang w:eastAsia="de-DE"/>
        </w:rPr>
        <w:t xml:space="preserve"> </w:t>
      </w:r>
      <w:r w:rsidRPr="00232F0F">
        <w:rPr>
          <w:rFonts w:eastAsia="Times New Roman" w:cs="Times New Roman"/>
          <w:lang w:eastAsia="de-DE"/>
        </w:rPr>
        <w:t xml:space="preserve">(Hifil Infinitiv construct von </w:t>
      </w:r>
      <w:r w:rsidRPr="00232F0F">
        <w:rPr>
          <w:rFonts w:eastAsia="Times New Roman" w:cs="Times New Roman"/>
          <w:b/>
          <w:bCs/>
          <w:rtl/>
          <w:lang w:eastAsia="de-DE"/>
        </w:rPr>
        <w:t>נטה</w:t>
      </w:r>
      <w:r w:rsidRPr="00232F0F">
        <w:rPr>
          <w:rFonts w:eastAsia="Times New Roman" w:cs="Times New Roman"/>
          <w:rtl/>
          <w:lang w:eastAsia="de-DE"/>
        </w:rPr>
        <w:t xml:space="preserve"> </w:t>
      </w:r>
      <w:r w:rsidRPr="00232F0F">
        <w:rPr>
          <w:rFonts w:eastAsia="Times New Roman" w:cs="Times New Roman"/>
          <w:lang w:eastAsia="de-DE"/>
        </w:rPr>
        <w:t xml:space="preserve">mit </w:t>
      </w:r>
      <w:r w:rsidRPr="00232F0F">
        <w:rPr>
          <w:rFonts w:eastAsia="Times New Roman" w:cs="Times New Roman"/>
          <w:b/>
          <w:bCs/>
          <w:rtl/>
          <w:lang w:eastAsia="de-DE"/>
        </w:rPr>
        <w:t>לְ</w:t>
      </w:r>
      <w:r w:rsidRPr="00232F0F">
        <w:rPr>
          <w:rFonts w:eastAsia="Times New Roman" w:cs="Times New Roman"/>
          <w:rtl/>
          <w:lang w:eastAsia="de-DE"/>
        </w:rPr>
        <w:t xml:space="preserve"> </w:t>
      </w:r>
      <w:r w:rsidRPr="00232F0F">
        <w:rPr>
          <w:rFonts w:eastAsia="Times New Roman" w:cs="Times New Roman"/>
          <w:lang w:eastAsia="de-DE"/>
        </w:rPr>
        <w:t xml:space="preserve">und Objektsuffix 3. f. sg., „sie zu lenken"), </w:t>
      </w:r>
      <w:r w:rsidRPr="00232F0F">
        <w:rPr>
          <w:rFonts w:eastAsia="Times New Roman" w:cs="Times New Roman"/>
          <w:b/>
          <w:bCs/>
          <w:rtl/>
          <w:lang w:eastAsia="de-DE"/>
        </w:rPr>
        <w:t>הַדָּרֶךְ</w:t>
      </w:r>
      <w:r w:rsidRPr="00232F0F">
        <w:rPr>
          <w:rFonts w:eastAsia="Times New Roman" w:cs="Times New Roman"/>
          <w:rtl/>
          <w:lang w:eastAsia="de-DE"/>
        </w:rPr>
        <w:t xml:space="preserve"> </w:t>
      </w:r>
      <w:r w:rsidRPr="00232F0F">
        <w:rPr>
          <w:rFonts w:eastAsia="Times New Roman" w:cs="Times New Roman"/>
          <w:lang w:eastAsia="de-DE"/>
        </w:rPr>
        <w:t>als Richtung. Bileam bestraft sein rettendes Tier aus Unwissenheit und Frustration.</w:t>
      </w:r>
    </w:p>
    <w:p w14:paraId="733E4265" w14:textId="76C3DBD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w:t>
      </w:r>
      <w:r w:rsidR="00C73FA4">
        <w:t>fügt „τῇ ῥάβδῳ" (mit dem Stab) hinzu bei der Beschreibung, wie Bileam die Eselin schlug, was im Hebräischen erst später erwähnt wird.</w:t>
      </w:r>
    </w:p>
    <w:p w14:paraId="368623F0"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fünf koordinierte Hauptsätze: Der erste mit Verb, Subjekt und Objekt, erweitert durch partizipiale Beschreibung und weitere nominale Phrase; die nächsten beiden mit Verb, Subjekt, Präpositionalphrase bzw. Verb und Präpositionalphrase; die letzten beiden mit Verb, Subjekt, Objekt bzw. Verb, Subjekt, Objekt und finalem Infinitiv mit Objektsuffix und Richtungsangabe. Insgesamt gibt es einen Nebensatz (finaler Infinitivsatz).</w:t>
      </w:r>
    </w:p>
    <w:p w14:paraId="531D82C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Der Vers ist voller Ironie: Der Seher sieht nicht, das Tier sieht; das Tier rettet den Menschen, der Mensch bestraft das Tier. Die Eselin wird zur moralischen Heldin, Bileam zum Blinden.</w:t>
      </w:r>
    </w:p>
    <w:p w14:paraId="295F58C6"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22,24-25</w:t>
      </w:r>
    </w:p>
    <w:p w14:paraId="49DD60C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וַֽיַּעֲמֹד֙ מַלְאַ֣ךְ יְהוָ֔ה בְּמִשְׁע֖וֹל הַכְּרָמִ֑ים גָּדֵ֥ר מִזֶּ֖ה וְגָדֵ֥ר מִזֶּֽה׃ וַתֵּ֨רֶא הָאָת֜וֹן אֶת־מַלְאַ֣ךְ יְהוָ֗ה וַתִּלָּחֵץ֙ אֶל־הַקִּ֔יר וַתִּלְחַ֛ץ אֶת־רֶ֥גֶל בִּלְעָ֖ם אֶל־הַקִּ֑יר וַיֹּ֖סֶף לְהַכֹּתָֽהּ׃</w:t>
      </w:r>
    </w:p>
    <w:p w14:paraId="4CD65249"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Da stellte sich der Bote des Ewigen in einen Hohlweg zwischen den Weinbergen, eine Mauer auf dieser und eine Mauer auf jener Seite. Und die Eselin sah den Boten des Ewigen und drückte sich an die Wand und drückte Bileams Fuß an die Wand. Und er schlug sie wieder.</w:t>
      </w:r>
    </w:p>
    <w:p w14:paraId="551FA9DD"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51877C3E">
          <v:rect id="_x0000_i1782" style="width:0;height:1.5pt" o:hralign="center" o:hrstd="t" o:hr="t" fillcolor="#a0a0a0" stroked="f"/>
        </w:pict>
      </w:r>
    </w:p>
    <w:p w14:paraId="3AC459FA"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w:t>
      </w:r>
      <w:r w:rsidRPr="00232F0F">
        <w:rPr>
          <w:rFonts w:eastAsia="Times New Roman" w:cs="Times New Roman"/>
          <w:b/>
          <w:bCs/>
          <w:lang w:eastAsia="de-DE"/>
        </w:rPr>
        <w:t>Vers 24:</w:t>
      </w:r>
      <w:r w:rsidRPr="00232F0F">
        <w:rPr>
          <w:rFonts w:eastAsia="Times New Roman" w:cs="Times New Roman"/>
          <w:lang w:eastAsia="de-DE"/>
        </w:rPr>
        <w:t xml:space="preserve"> Der Engel wechselt die Position: </w:t>
      </w:r>
      <w:r w:rsidRPr="00232F0F">
        <w:rPr>
          <w:rFonts w:eastAsia="Times New Roman" w:cs="Times New Roman"/>
          <w:b/>
          <w:bCs/>
          <w:rtl/>
          <w:lang w:eastAsia="de-DE"/>
        </w:rPr>
        <w:t>וַיַּעֲמֹד מַלְאַךְ יְהוָה בְּמִשְׁעוֹל הַכְּרָמִים</w:t>
      </w:r>
      <w:r w:rsidRPr="00232F0F">
        <w:rPr>
          <w:rFonts w:eastAsia="Times New Roman" w:cs="Times New Roman"/>
          <w:rtl/>
          <w:lang w:eastAsia="de-DE"/>
        </w:rPr>
        <w:t xml:space="preserve"> </w:t>
      </w:r>
      <w:r w:rsidRPr="00232F0F">
        <w:rPr>
          <w:rFonts w:eastAsia="Times New Roman" w:cs="Times New Roman"/>
          <w:lang w:eastAsia="de-DE"/>
        </w:rPr>
        <w:t xml:space="preserve">(„da stellte sich der Bote JHWHs in einen Hohlweg zwischen den Weinbergen") – </w:t>
      </w:r>
      <w:r w:rsidRPr="00232F0F">
        <w:rPr>
          <w:rFonts w:eastAsia="Times New Roman" w:cs="Times New Roman"/>
          <w:b/>
          <w:bCs/>
          <w:rtl/>
          <w:lang w:eastAsia="de-DE"/>
        </w:rPr>
        <w:t>וַיַּעֲמֹד</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עמד</w:t>
      </w:r>
      <w:r w:rsidRPr="00232F0F">
        <w:rPr>
          <w:rFonts w:eastAsia="Times New Roman" w:cs="Times New Roman"/>
          <w:lang w:eastAsia="de-DE"/>
        </w:rPr>
        <w:t xml:space="preserve">, „und er stellte sich"), </w:t>
      </w:r>
      <w:r w:rsidRPr="00232F0F">
        <w:rPr>
          <w:rFonts w:eastAsia="Times New Roman" w:cs="Times New Roman"/>
          <w:b/>
          <w:bCs/>
          <w:rtl/>
          <w:lang w:eastAsia="de-DE"/>
        </w:rPr>
        <w:t>בְּמִשְׁעוֹל הַכְּרָמִים</w:t>
      </w:r>
      <w:r w:rsidRPr="00232F0F">
        <w:rPr>
          <w:rFonts w:eastAsia="Times New Roman" w:cs="Times New Roman"/>
          <w:rtl/>
          <w:lang w:eastAsia="de-DE"/>
        </w:rPr>
        <w:t xml:space="preserve"> </w:t>
      </w:r>
      <w:r w:rsidRPr="00232F0F">
        <w:rPr>
          <w:rFonts w:eastAsia="Times New Roman" w:cs="Times New Roman"/>
          <w:lang w:eastAsia="de-DE"/>
        </w:rPr>
        <w:t xml:space="preserve">(„in einen Hohlweg der Weinberge", Constructus-Verbindung) – </w:t>
      </w:r>
      <w:r w:rsidRPr="00232F0F">
        <w:rPr>
          <w:rFonts w:eastAsia="Times New Roman" w:cs="Times New Roman"/>
          <w:b/>
          <w:bCs/>
          <w:rtl/>
          <w:lang w:eastAsia="de-DE"/>
        </w:rPr>
        <w:t>מִשְׁעוֹל</w:t>
      </w:r>
      <w:r w:rsidRPr="00232F0F">
        <w:rPr>
          <w:rFonts w:eastAsia="Times New Roman" w:cs="Times New Roman"/>
          <w:rtl/>
          <w:lang w:eastAsia="de-DE"/>
        </w:rPr>
        <w:t xml:space="preserve"> </w:t>
      </w:r>
      <w:r w:rsidRPr="00232F0F">
        <w:rPr>
          <w:rFonts w:eastAsia="Times New Roman" w:cs="Times New Roman"/>
          <w:lang w:eastAsia="de-DE"/>
        </w:rPr>
        <w:t xml:space="preserve">„Fußpfad, enger Weg" (von </w:t>
      </w:r>
      <w:r w:rsidRPr="00232F0F">
        <w:rPr>
          <w:rFonts w:eastAsia="Times New Roman" w:cs="Times New Roman"/>
          <w:b/>
          <w:bCs/>
          <w:rtl/>
          <w:lang w:eastAsia="de-DE"/>
        </w:rPr>
        <w:t>שׁעל</w:t>
      </w:r>
      <w:r w:rsidRPr="00232F0F">
        <w:rPr>
          <w:rFonts w:eastAsia="Times New Roman" w:cs="Times New Roman"/>
          <w:lang w:eastAsia="de-DE"/>
        </w:rPr>
        <w:t xml:space="preserve">), </w:t>
      </w:r>
      <w:r w:rsidRPr="00232F0F">
        <w:rPr>
          <w:rFonts w:eastAsia="Times New Roman" w:cs="Times New Roman"/>
          <w:b/>
          <w:bCs/>
          <w:rtl/>
          <w:lang w:eastAsia="de-DE"/>
        </w:rPr>
        <w:t>כְּרָמִים</w:t>
      </w:r>
      <w:r w:rsidRPr="00232F0F">
        <w:rPr>
          <w:rFonts w:eastAsia="Times New Roman" w:cs="Times New Roman"/>
          <w:rtl/>
          <w:lang w:eastAsia="de-DE"/>
        </w:rPr>
        <w:t xml:space="preserve"> </w:t>
      </w:r>
      <w:r w:rsidRPr="00232F0F">
        <w:rPr>
          <w:rFonts w:eastAsia="Times New Roman" w:cs="Times New Roman"/>
          <w:lang w:eastAsia="de-DE"/>
        </w:rPr>
        <w:t xml:space="preserve">Plural von </w:t>
      </w:r>
      <w:r w:rsidRPr="00232F0F">
        <w:rPr>
          <w:rFonts w:eastAsia="Times New Roman" w:cs="Times New Roman"/>
          <w:b/>
          <w:bCs/>
          <w:rtl/>
          <w:lang w:eastAsia="de-DE"/>
        </w:rPr>
        <w:t>כֶּרֶם</w:t>
      </w:r>
      <w:r w:rsidRPr="00232F0F">
        <w:rPr>
          <w:rFonts w:eastAsia="Times New Roman" w:cs="Times New Roman"/>
          <w:rtl/>
          <w:lang w:eastAsia="de-DE"/>
        </w:rPr>
        <w:t xml:space="preserve"> </w:t>
      </w:r>
      <w:r w:rsidRPr="00232F0F">
        <w:rPr>
          <w:rFonts w:eastAsia="Times New Roman" w:cs="Times New Roman"/>
          <w:lang w:eastAsia="de-DE"/>
        </w:rPr>
        <w:t xml:space="preserve">„Weinberg". Die Beschreibung </w:t>
      </w:r>
      <w:r w:rsidRPr="00232F0F">
        <w:rPr>
          <w:rFonts w:eastAsia="Times New Roman" w:cs="Times New Roman"/>
          <w:b/>
          <w:bCs/>
          <w:rtl/>
          <w:lang w:eastAsia="de-DE"/>
        </w:rPr>
        <w:t>גָּדֵר מִזֶּה וְגָדֵר מִזֶּה</w:t>
      </w:r>
      <w:r w:rsidRPr="00232F0F">
        <w:rPr>
          <w:rFonts w:eastAsia="Times New Roman" w:cs="Times New Roman"/>
          <w:rtl/>
          <w:lang w:eastAsia="de-DE"/>
        </w:rPr>
        <w:t xml:space="preserve"> </w:t>
      </w:r>
      <w:r w:rsidRPr="00232F0F">
        <w:rPr>
          <w:rFonts w:eastAsia="Times New Roman" w:cs="Times New Roman"/>
          <w:lang w:eastAsia="de-DE"/>
        </w:rPr>
        <w:t xml:space="preserve">(„eine Mauer auf dieser und eine Mauer auf jener Seite") – </w:t>
      </w:r>
      <w:r w:rsidRPr="00232F0F">
        <w:rPr>
          <w:rFonts w:eastAsia="Times New Roman" w:cs="Times New Roman"/>
          <w:b/>
          <w:bCs/>
          <w:rtl/>
          <w:lang w:eastAsia="de-DE"/>
        </w:rPr>
        <w:t>גָּדֵר</w:t>
      </w:r>
      <w:r w:rsidRPr="00232F0F">
        <w:rPr>
          <w:rFonts w:eastAsia="Times New Roman" w:cs="Times New Roman"/>
          <w:rtl/>
          <w:lang w:eastAsia="de-DE"/>
        </w:rPr>
        <w:t xml:space="preserve"> </w:t>
      </w:r>
      <w:r w:rsidRPr="00232F0F">
        <w:rPr>
          <w:rFonts w:eastAsia="Times New Roman" w:cs="Times New Roman"/>
          <w:lang w:eastAsia="de-DE"/>
        </w:rPr>
        <w:t xml:space="preserve">„Mauer, Zaun", </w:t>
      </w:r>
      <w:r w:rsidRPr="00232F0F">
        <w:rPr>
          <w:rFonts w:eastAsia="Times New Roman" w:cs="Times New Roman"/>
          <w:b/>
          <w:bCs/>
          <w:rtl/>
          <w:lang w:eastAsia="de-DE"/>
        </w:rPr>
        <w:t>מִזֶּה</w:t>
      </w:r>
      <w:r w:rsidRPr="00232F0F">
        <w:rPr>
          <w:rFonts w:eastAsia="Times New Roman" w:cs="Times New Roman"/>
          <w:rtl/>
          <w:lang w:eastAsia="de-DE"/>
        </w:rPr>
        <w:t xml:space="preserve"> </w:t>
      </w:r>
      <w:r w:rsidRPr="00232F0F">
        <w:rPr>
          <w:rFonts w:eastAsia="Times New Roman" w:cs="Times New Roman"/>
          <w:lang w:eastAsia="de-DE"/>
        </w:rPr>
        <w:t>„von hier/dieser Seite" wiederholt – der Raum ist begrenzt, Ausweichen schwieriger.</w:t>
      </w:r>
    </w:p>
    <w:p w14:paraId="19BCABB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Vers 25:</w:t>
      </w:r>
      <w:r w:rsidRPr="00232F0F">
        <w:rPr>
          <w:rFonts w:eastAsia="Times New Roman" w:cs="Times New Roman"/>
          <w:lang w:eastAsia="de-DE"/>
        </w:rPr>
        <w:t xml:space="preserve"> Die Eselin sieht wieder: </w:t>
      </w:r>
      <w:r w:rsidRPr="00232F0F">
        <w:rPr>
          <w:rFonts w:eastAsia="Times New Roman" w:cs="Times New Roman"/>
          <w:b/>
          <w:bCs/>
          <w:rtl/>
          <w:lang w:eastAsia="de-DE"/>
        </w:rPr>
        <w:t>וַתֵּרֶא הָאָתוֹן אֶת־מַלְאַךְ יְהוָה</w:t>
      </w:r>
      <w:r w:rsidRPr="00232F0F">
        <w:rPr>
          <w:rFonts w:eastAsia="Times New Roman" w:cs="Times New Roman"/>
          <w:rtl/>
          <w:lang w:eastAsia="de-DE"/>
        </w:rPr>
        <w:t xml:space="preserve"> </w:t>
      </w:r>
      <w:r w:rsidRPr="00232F0F">
        <w:rPr>
          <w:rFonts w:eastAsia="Times New Roman" w:cs="Times New Roman"/>
          <w:lang w:eastAsia="de-DE"/>
        </w:rPr>
        <w:t xml:space="preserve">(wie V. 23). Ihre Reaktion: </w:t>
      </w:r>
      <w:r w:rsidRPr="00232F0F">
        <w:rPr>
          <w:rFonts w:eastAsia="Times New Roman" w:cs="Times New Roman"/>
          <w:b/>
          <w:bCs/>
          <w:rtl/>
          <w:lang w:eastAsia="de-DE"/>
        </w:rPr>
        <w:t>וַתִּלָּחֵץ אֶל־הַקִּיר</w:t>
      </w:r>
      <w:r w:rsidRPr="00232F0F">
        <w:rPr>
          <w:rFonts w:eastAsia="Times New Roman" w:cs="Times New Roman"/>
          <w:rtl/>
          <w:lang w:eastAsia="de-DE"/>
        </w:rPr>
        <w:t xml:space="preserve"> </w:t>
      </w:r>
      <w:r w:rsidRPr="00232F0F">
        <w:rPr>
          <w:rFonts w:eastAsia="Times New Roman" w:cs="Times New Roman"/>
          <w:lang w:eastAsia="de-DE"/>
        </w:rPr>
        <w:t xml:space="preserve">(„und sie drückte sich an die Wand") – </w:t>
      </w:r>
      <w:r w:rsidRPr="00232F0F">
        <w:rPr>
          <w:rFonts w:eastAsia="Times New Roman" w:cs="Times New Roman"/>
          <w:b/>
          <w:bCs/>
          <w:rtl/>
          <w:lang w:eastAsia="de-DE"/>
        </w:rPr>
        <w:t>וַתִּלָּחֵץ</w:t>
      </w:r>
      <w:r w:rsidRPr="00232F0F">
        <w:rPr>
          <w:rFonts w:eastAsia="Times New Roman" w:cs="Times New Roman"/>
          <w:rtl/>
          <w:lang w:eastAsia="de-DE"/>
        </w:rPr>
        <w:t xml:space="preserve"> </w:t>
      </w:r>
      <w:r w:rsidRPr="00232F0F">
        <w:rPr>
          <w:rFonts w:eastAsia="Times New Roman" w:cs="Times New Roman"/>
          <w:lang w:eastAsia="de-DE"/>
        </w:rPr>
        <w:t xml:space="preserve">(Wayyiqtol, 3. f. sg. von </w:t>
      </w:r>
      <w:r w:rsidRPr="00232F0F">
        <w:rPr>
          <w:rFonts w:eastAsia="Times New Roman" w:cs="Times New Roman"/>
          <w:b/>
          <w:bCs/>
          <w:rtl/>
          <w:lang w:eastAsia="de-DE"/>
        </w:rPr>
        <w:t>לחץ</w:t>
      </w:r>
      <w:r w:rsidRPr="00232F0F">
        <w:rPr>
          <w:rFonts w:eastAsia="Times New Roman" w:cs="Times New Roman"/>
          <w:rtl/>
          <w:lang w:eastAsia="de-DE"/>
        </w:rPr>
        <w:t xml:space="preserve"> </w:t>
      </w:r>
      <w:r w:rsidRPr="00232F0F">
        <w:rPr>
          <w:rFonts w:eastAsia="Times New Roman" w:cs="Times New Roman"/>
          <w:lang w:eastAsia="de-DE"/>
        </w:rPr>
        <w:t xml:space="preserve">Nifal, „und sie drückte sich"), </w:t>
      </w:r>
      <w:r w:rsidRPr="00232F0F">
        <w:rPr>
          <w:rFonts w:eastAsia="Times New Roman" w:cs="Times New Roman"/>
          <w:b/>
          <w:bCs/>
          <w:rtl/>
          <w:lang w:eastAsia="de-DE"/>
        </w:rPr>
        <w:t>אֶל־הַקִּיר</w:t>
      </w:r>
      <w:r w:rsidRPr="00232F0F">
        <w:rPr>
          <w:rFonts w:eastAsia="Times New Roman" w:cs="Times New Roman"/>
          <w:rtl/>
          <w:lang w:eastAsia="de-DE"/>
        </w:rPr>
        <w:t xml:space="preserve"> </w:t>
      </w:r>
      <w:r w:rsidRPr="00232F0F">
        <w:rPr>
          <w:rFonts w:eastAsia="Times New Roman" w:cs="Times New Roman"/>
          <w:lang w:eastAsia="de-DE"/>
        </w:rPr>
        <w:t xml:space="preserve">„an die Wand" – </w:t>
      </w:r>
      <w:r w:rsidRPr="00232F0F">
        <w:rPr>
          <w:rFonts w:eastAsia="Times New Roman" w:cs="Times New Roman"/>
          <w:b/>
          <w:bCs/>
          <w:rtl/>
          <w:lang w:eastAsia="de-DE"/>
        </w:rPr>
        <w:t>קִיר</w:t>
      </w:r>
      <w:r w:rsidRPr="00232F0F">
        <w:rPr>
          <w:rFonts w:eastAsia="Times New Roman" w:cs="Times New Roman"/>
          <w:rtl/>
          <w:lang w:eastAsia="de-DE"/>
        </w:rPr>
        <w:t xml:space="preserve"> </w:t>
      </w:r>
      <w:r w:rsidRPr="00232F0F">
        <w:rPr>
          <w:rFonts w:eastAsia="Times New Roman" w:cs="Times New Roman"/>
          <w:lang w:eastAsia="de-DE"/>
        </w:rPr>
        <w:t xml:space="preserve">„Wand, Mauer". Die Konsequenz: </w:t>
      </w:r>
      <w:r w:rsidRPr="00232F0F">
        <w:rPr>
          <w:rFonts w:eastAsia="Times New Roman" w:cs="Times New Roman"/>
          <w:b/>
          <w:bCs/>
          <w:rtl/>
          <w:lang w:eastAsia="de-DE"/>
        </w:rPr>
        <w:lastRenderedPageBreak/>
        <w:t>וַתִּלְחַץ אֶת־רֶגֶל בִּלְעָם אֶל־הַקִּיר</w:t>
      </w:r>
      <w:r w:rsidRPr="00232F0F">
        <w:rPr>
          <w:rFonts w:eastAsia="Times New Roman" w:cs="Times New Roman"/>
          <w:rtl/>
          <w:lang w:eastAsia="de-DE"/>
        </w:rPr>
        <w:t xml:space="preserve"> </w:t>
      </w:r>
      <w:r w:rsidRPr="00232F0F">
        <w:rPr>
          <w:rFonts w:eastAsia="Times New Roman" w:cs="Times New Roman"/>
          <w:lang w:eastAsia="de-DE"/>
        </w:rPr>
        <w:t xml:space="preserve">(„und sie drückte Bileams Fuß an die Wand") – </w:t>
      </w:r>
      <w:r w:rsidRPr="00232F0F">
        <w:rPr>
          <w:rFonts w:eastAsia="Times New Roman" w:cs="Times New Roman"/>
          <w:b/>
          <w:bCs/>
          <w:rtl/>
          <w:lang w:eastAsia="de-DE"/>
        </w:rPr>
        <w:t>וַתִּלְחַץ</w:t>
      </w:r>
      <w:r w:rsidRPr="00232F0F">
        <w:rPr>
          <w:rFonts w:eastAsia="Times New Roman" w:cs="Times New Roman"/>
          <w:rtl/>
          <w:lang w:eastAsia="de-DE"/>
        </w:rPr>
        <w:t xml:space="preserve"> </w:t>
      </w:r>
      <w:r w:rsidRPr="00232F0F">
        <w:rPr>
          <w:rFonts w:eastAsia="Times New Roman" w:cs="Times New Roman"/>
          <w:lang w:eastAsia="de-DE"/>
        </w:rPr>
        <w:t xml:space="preserve">(Wayyiqtol, 3. f. sg. von </w:t>
      </w:r>
      <w:r w:rsidRPr="00232F0F">
        <w:rPr>
          <w:rFonts w:eastAsia="Times New Roman" w:cs="Times New Roman"/>
          <w:b/>
          <w:bCs/>
          <w:rtl/>
          <w:lang w:eastAsia="de-DE"/>
        </w:rPr>
        <w:t>לחץ</w:t>
      </w:r>
      <w:r w:rsidRPr="00232F0F">
        <w:rPr>
          <w:rFonts w:eastAsia="Times New Roman" w:cs="Times New Roman"/>
          <w:rtl/>
          <w:lang w:eastAsia="de-DE"/>
        </w:rPr>
        <w:t xml:space="preserve"> </w:t>
      </w:r>
      <w:r w:rsidRPr="00232F0F">
        <w:rPr>
          <w:rFonts w:eastAsia="Times New Roman" w:cs="Times New Roman"/>
          <w:lang w:eastAsia="de-DE"/>
        </w:rPr>
        <w:t xml:space="preserve">Qal, „und sie drückte/quetschte"), </w:t>
      </w:r>
      <w:r w:rsidRPr="00232F0F">
        <w:rPr>
          <w:rFonts w:eastAsia="Times New Roman" w:cs="Times New Roman"/>
          <w:b/>
          <w:bCs/>
          <w:rtl/>
          <w:lang w:eastAsia="de-DE"/>
        </w:rPr>
        <w:t>אֶת־רֶגֶל בִּלְעָם</w:t>
      </w:r>
      <w:r w:rsidRPr="00232F0F">
        <w:rPr>
          <w:rFonts w:eastAsia="Times New Roman" w:cs="Times New Roman"/>
          <w:rtl/>
          <w:lang w:eastAsia="de-DE"/>
        </w:rPr>
        <w:t xml:space="preserve"> </w:t>
      </w:r>
      <w:r w:rsidRPr="00232F0F">
        <w:rPr>
          <w:rFonts w:eastAsia="Times New Roman" w:cs="Times New Roman"/>
          <w:lang w:eastAsia="de-DE"/>
        </w:rPr>
        <w:t>(„Bileams Fuß", Constructus-Verbindung). Bileam wird physisch verletzt durch sein eigenes Tier – eine Warnung.</w:t>
      </w:r>
    </w:p>
    <w:p w14:paraId="7614EB97"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Bileams Reaktion: </w:t>
      </w:r>
      <w:r w:rsidRPr="00232F0F">
        <w:rPr>
          <w:rFonts w:eastAsia="Times New Roman" w:cs="Times New Roman"/>
          <w:b/>
          <w:bCs/>
          <w:rtl/>
          <w:lang w:eastAsia="de-DE"/>
        </w:rPr>
        <w:t>וַיֹּסֶף לְהַכֹּתָהּ</w:t>
      </w:r>
      <w:r w:rsidRPr="00232F0F">
        <w:rPr>
          <w:rFonts w:eastAsia="Times New Roman" w:cs="Times New Roman"/>
          <w:rtl/>
          <w:lang w:eastAsia="de-DE"/>
        </w:rPr>
        <w:t xml:space="preserve"> </w:t>
      </w:r>
      <w:r w:rsidRPr="00232F0F">
        <w:rPr>
          <w:rFonts w:eastAsia="Times New Roman" w:cs="Times New Roman"/>
          <w:lang w:eastAsia="de-DE"/>
        </w:rPr>
        <w:t xml:space="preserve">(„und er fuhr fort, sie zu schlagen" / „und er schlug sie wieder") – </w:t>
      </w:r>
      <w:r w:rsidRPr="00232F0F">
        <w:rPr>
          <w:rFonts w:eastAsia="Times New Roman" w:cs="Times New Roman"/>
          <w:b/>
          <w:bCs/>
          <w:rtl/>
          <w:lang w:eastAsia="de-DE"/>
        </w:rPr>
        <w:t>וַיֹּסֶף</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יסף</w:t>
      </w:r>
      <w:r w:rsidRPr="00232F0F">
        <w:rPr>
          <w:rFonts w:eastAsia="Times New Roman" w:cs="Times New Roman"/>
          <w:rtl/>
          <w:lang w:eastAsia="de-DE"/>
        </w:rPr>
        <w:t xml:space="preserve"> </w:t>
      </w:r>
      <w:r w:rsidRPr="00232F0F">
        <w:rPr>
          <w:rFonts w:eastAsia="Times New Roman" w:cs="Times New Roman"/>
          <w:lang w:eastAsia="de-DE"/>
        </w:rPr>
        <w:t xml:space="preserve">Hifil, „und er fügte hinzu"), </w:t>
      </w:r>
      <w:r w:rsidRPr="00232F0F">
        <w:rPr>
          <w:rFonts w:eastAsia="Times New Roman" w:cs="Times New Roman"/>
          <w:b/>
          <w:bCs/>
          <w:rtl/>
          <w:lang w:eastAsia="de-DE"/>
        </w:rPr>
        <w:t>לְהַכֹּתָהּ</w:t>
      </w:r>
      <w:r w:rsidRPr="00232F0F">
        <w:rPr>
          <w:rFonts w:eastAsia="Times New Roman" w:cs="Times New Roman"/>
          <w:rtl/>
          <w:lang w:eastAsia="de-DE"/>
        </w:rPr>
        <w:t xml:space="preserve"> </w:t>
      </w:r>
      <w:r w:rsidRPr="00232F0F">
        <w:rPr>
          <w:rFonts w:eastAsia="Times New Roman" w:cs="Times New Roman"/>
          <w:lang w:eastAsia="de-DE"/>
        </w:rPr>
        <w:t xml:space="preserve">(Hifil Infinitiv construct von </w:t>
      </w:r>
      <w:r w:rsidRPr="00232F0F">
        <w:rPr>
          <w:rFonts w:eastAsia="Times New Roman" w:cs="Times New Roman"/>
          <w:b/>
          <w:bCs/>
          <w:rtl/>
          <w:lang w:eastAsia="de-DE"/>
        </w:rPr>
        <w:t>נכה</w:t>
      </w:r>
      <w:r w:rsidRPr="00232F0F">
        <w:rPr>
          <w:rFonts w:eastAsia="Times New Roman" w:cs="Times New Roman"/>
          <w:rtl/>
          <w:lang w:eastAsia="de-DE"/>
        </w:rPr>
        <w:t xml:space="preserve"> </w:t>
      </w:r>
      <w:r w:rsidRPr="00232F0F">
        <w:rPr>
          <w:rFonts w:eastAsia="Times New Roman" w:cs="Times New Roman"/>
          <w:lang w:eastAsia="de-DE"/>
        </w:rPr>
        <w:t xml:space="preserve">mit </w:t>
      </w:r>
      <w:r w:rsidRPr="00232F0F">
        <w:rPr>
          <w:rFonts w:eastAsia="Times New Roman" w:cs="Times New Roman"/>
          <w:b/>
          <w:bCs/>
          <w:rtl/>
          <w:lang w:eastAsia="de-DE"/>
        </w:rPr>
        <w:t>לְ</w:t>
      </w:r>
      <w:r w:rsidRPr="00232F0F">
        <w:rPr>
          <w:rFonts w:eastAsia="Times New Roman" w:cs="Times New Roman"/>
          <w:rtl/>
          <w:lang w:eastAsia="de-DE"/>
        </w:rPr>
        <w:t xml:space="preserve"> </w:t>
      </w:r>
      <w:r w:rsidRPr="00232F0F">
        <w:rPr>
          <w:rFonts w:eastAsia="Times New Roman" w:cs="Times New Roman"/>
          <w:lang w:eastAsia="de-DE"/>
        </w:rPr>
        <w:t>und Suffix 3. f. sg., „sie zu schlagen"). Trotz der Verletzung lernt Bileam nicht – er bestraft das Tier erneut.</w:t>
      </w:r>
    </w:p>
    <w:p w14:paraId="1B9EE4B6"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folgt dem hebräischen Text.</w:t>
      </w:r>
    </w:p>
    <w:p w14:paraId="39B8E07A"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sechs koordinierte Hauptsätze über zwei Verse: Vers 24 mit Verb, Subjekt, Präpositionalphrase (Constructus-Verbindung) und doppelter nominaler Beschreibung; Vers 25 mit vier Hauptsätzen (Verb, Subjekt, Objekt bzw. Präpositionalphrase, dann Verb, Objekt als Constructus-Verbindung, Präpositionalphrase) und abschließendem Verb mit Infinitiv construct. Insgesamt gibt es einen Nebensatz (Infinitivsatz).</w:t>
      </w:r>
    </w:p>
    <w:p w14:paraId="0488714E"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Verse steigern die Dramatik: Der Raum wird enger, die Eselin muss extremer ausweichen, Bileam wird verletzt – aber er bleibt blind, sowohl geistlich als auch für die Gefahr.</w:t>
      </w:r>
    </w:p>
    <w:p w14:paraId="016F6DAB"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22,26-27</w:t>
      </w:r>
    </w:p>
    <w:p w14:paraId="2ACEF2A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וַיּ֥וֹסֶף מַלְאַךְ־יְהוָ֖ה עֲב֑וֹר וַֽיַּעֲמֹד֙ בְּמָק֣וֹם צָ֔ר אֲשֶׁ֛ר אֵֽין־דֶּ֥רֶךְ לִנְט֖וֹת יָמִ֥ין וּשְׂמֹֽאול׃ וַתֵּ֤רֶא הָֽאָתוֹן֙ אֶת־מַלְאַ֣ךְ יְהוָ֔ה וַתִּרְבַּ֖ץ תַּ֣חַת בִּלְעָ֑ם וַיִּֽחַר־אַ֣ף בִּלְעָ֔ם וַיַּ֥ךְ אֶת־הָאָת֖וֹן בַּמַּקֵּֽל׃</w:t>
      </w:r>
    </w:p>
    <w:p w14:paraId="604050C7"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Und der Bote des Ewigen ging nochmals weiter und stellte sich an eine enge Stelle, wo kein Weg war auszuweichen, weder zur Rechten noch zur Linken. Und die Eselin sah den Boten des Ewigen und legte sich unter Bileam nieder. Da entbrannte der Zorn Bileams, und er schlug die Eselin mit dem Stock.</w:t>
      </w:r>
    </w:p>
    <w:p w14:paraId="1E67D2A6"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55B6348F">
          <v:rect id="_x0000_i1783" style="width:0;height:1.5pt" o:hralign="center" o:hrstd="t" o:hr="t" fillcolor="#a0a0a0" stroked="f"/>
        </w:pict>
      </w:r>
    </w:p>
    <w:p w14:paraId="1008FF20"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w:t>
      </w:r>
      <w:r w:rsidRPr="00232F0F">
        <w:rPr>
          <w:rFonts w:eastAsia="Times New Roman" w:cs="Times New Roman"/>
          <w:b/>
          <w:bCs/>
          <w:lang w:eastAsia="de-DE"/>
        </w:rPr>
        <w:t>Vers 26:</w:t>
      </w:r>
      <w:r w:rsidRPr="00232F0F">
        <w:rPr>
          <w:rFonts w:eastAsia="Times New Roman" w:cs="Times New Roman"/>
          <w:lang w:eastAsia="de-DE"/>
        </w:rPr>
        <w:t xml:space="preserve"> Die dritte Position: </w:t>
      </w:r>
      <w:r w:rsidRPr="00232F0F">
        <w:rPr>
          <w:rFonts w:eastAsia="Times New Roman" w:cs="Times New Roman"/>
          <w:b/>
          <w:bCs/>
          <w:rtl/>
          <w:lang w:eastAsia="de-DE"/>
        </w:rPr>
        <w:t>וַיּוֹסֶף מַלְאַךְ־יְהוָה עֲבוֹר</w:t>
      </w:r>
      <w:r w:rsidRPr="00232F0F">
        <w:rPr>
          <w:rFonts w:eastAsia="Times New Roman" w:cs="Times New Roman"/>
          <w:rtl/>
          <w:lang w:eastAsia="de-DE"/>
        </w:rPr>
        <w:t xml:space="preserve"> </w:t>
      </w:r>
      <w:r w:rsidRPr="00232F0F">
        <w:rPr>
          <w:rFonts w:eastAsia="Times New Roman" w:cs="Times New Roman"/>
          <w:lang w:eastAsia="de-DE"/>
        </w:rPr>
        <w:t xml:space="preserve">(„und der Bote JHWHs ging weiter/fuhr fort weiterzugehen") – </w:t>
      </w:r>
      <w:r w:rsidRPr="00232F0F">
        <w:rPr>
          <w:rFonts w:eastAsia="Times New Roman" w:cs="Times New Roman"/>
          <w:b/>
          <w:bCs/>
          <w:rtl/>
          <w:lang w:eastAsia="de-DE"/>
        </w:rPr>
        <w:t>עֲבוֹר</w:t>
      </w:r>
      <w:r w:rsidRPr="00232F0F">
        <w:rPr>
          <w:rFonts w:eastAsia="Times New Roman" w:cs="Times New Roman"/>
          <w:rtl/>
          <w:lang w:eastAsia="de-DE"/>
        </w:rPr>
        <w:t xml:space="preserve"> </w:t>
      </w:r>
      <w:r w:rsidRPr="00232F0F">
        <w:rPr>
          <w:rFonts w:eastAsia="Times New Roman" w:cs="Times New Roman"/>
          <w:lang w:eastAsia="de-DE"/>
        </w:rPr>
        <w:t xml:space="preserve">(Qal Infinitiv construct von </w:t>
      </w:r>
      <w:r w:rsidRPr="00232F0F">
        <w:rPr>
          <w:rFonts w:eastAsia="Times New Roman" w:cs="Times New Roman"/>
          <w:b/>
          <w:bCs/>
          <w:rtl/>
          <w:lang w:eastAsia="de-DE"/>
        </w:rPr>
        <w:t>עבר</w:t>
      </w:r>
      <w:r w:rsidRPr="00232F0F">
        <w:rPr>
          <w:rFonts w:eastAsia="Times New Roman" w:cs="Times New Roman"/>
          <w:lang w:eastAsia="de-DE"/>
        </w:rPr>
        <w:t xml:space="preserve">, „vorbeizugehen, weiterzugehen"). </w:t>
      </w:r>
      <w:r w:rsidRPr="00232F0F">
        <w:rPr>
          <w:rFonts w:eastAsia="Times New Roman" w:cs="Times New Roman"/>
          <w:b/>
          <w:bCs/>
          <w:rtl/>
          <w:lang w:eastAsia="de-DE"/>
        </w:rPr>
        <w:t>וַיַּעֲמֹד בְּמָקוֹם צָר</w:t>
      </w:r>
      <w:r w:rsidRPr="00232F0F">
        <w:rPr>
          <w:rFonts w:eastAsia="Times New Roman" w:cs="Times New Roman"/>
          <w:rtl/>
          <w:lang w:eastAsia="de-DE"/>
        </w:rPr>
        <w:t xml:space="preserve"> </w:t>
      </w:r>
      <w:r w:rsidRPr="00232F0F">
        <w:rPr>
          <w:rFonts w:eastAsia="Times New Roman" w:cs="Times New Roman"/>
          <w:lang w:eastAsia="de-DE"/>
        </w:rPr>
        <w:t xml:space="preserve">(„und er stellte sich an einen engen Ort") – </w:t>
      </w:r>
      <w:r w:rsidRPr="00232F0F">
        <w:rPr>
          <w:rFonts w:eastAsia="Times New Roman" w:cs="Times New Roman"/>
          <w:b/>
          <w:bCs/>
          <w:rtl/>
          <w:lang w:eastAsia="de-DE"/>
        </w:rPr>
        <w:t>מָקוֹם צָר</w:t>
      </w:r>
      <w:r w:rsidRPr="00232F0F">
        <w:rPr>
          <w:rFonts w:eastAsia="Times New Roman" w:cs="Times New Roman"/>
          <w:rtl/>
          <w:lang w:eastAsia="de-DE"/>
        </w:rPr>
        <w:t xml:space="preserve"> </w:t>
      </w:r>
      <w:r w:rsidRPr="00232F0F">
        <w:rPr>
          <w:rFonts w:eastAsia="Times New Roman" w:cs="Times New Roman"/>
          <w:lang w:eastAsia="de-DE"/>
        </w:rPr>
        <w:t xml:space="preserve">(„enger Ort") mit Adjektiv </w:t>
      </w:r>
      <w:r w:rsidRPr="00232F0F">
        <w:rPr>
          <w:rFonts w:eastAsia="Times New Roman" w:cs="Times New Roman"/>
          <w:b/>
          <w:bCs/>
          <w:rtl/>
          <w:lang w:eastAsia="de-DE"/>
        </w:rPr>
        <w:t>צַר</w:t>
      </w:r>
      <w:r w:rsidRPr="00232F0F">
        <w:rPr>
          <w:rFonts w:eastAsia="Times New Roman" w:cs="Times New Roman"/>
          <w:rtl/>
          <w:lang w:eastAsia="de-DE"/>
        </w:rPr>
        <w:t xml:space="preserve"> </w:t>
      </w:r>
      <w:r w:rsidRPr="00232F0F">
        <w:rPr>
          <w:rFonts w:eastAsia="Times New Roman" w:cs="Times New Roman"/>
          <w:lang w:eastAsia="de-DE"/>
        </w:rPr>
        <w:t>„eng, bedrängt".</w:t>
      </w:r>
    </w:p>
    <w:p w14:paraId="443039C7"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Der Relativsatz </w:t>
      </w:r>
      <w:r w:rsidRPr="00232F0F">
        <w:rPr>
          <w:rFonts w:eastAsia="Times New Roman" w:cs="Times New Roman"/>
          <w:b/>
          <w:bCs/>
          <w:rtl/>
          <w:lang w:eastAsia="de-DE"/>
        </w:rPr>
        <w:t>אֲשֶׁר אֵין־דֶּרֶךְ לִנְטוֹת יָמִין וּשְׂמֹאול</w:t>
      </w:r>
      <w:r w:rsidRPr="00232F0F">
        <w:rPr>
          <w:rFonts w:eastAsia="Times New Roman" w:cs="Times New Roman"/>
          <w:rtl/>
          <w:lang w:eastAsia="de-DE"/>
        </w:rPr>
        <w:t xml:space="preserve"> </w:t>
      </w:r>
      <w:r w:rsidRPr="00232F0F">
        <w:rPr>
          <w:rFonts w:eastAsia="Times New Roman" w:cs="Times New Roman"/>
          <w:lang w:eastAsia="de-DE"/>
        </w:rPr>
        <w:t xml:space="preserve">(„wo kein Weg war auszuweichen, rechts und links") – </w:t>
      </w:r>
      <w:r w:rsidRPr="00232F0F">
        <w:rPr>
          <w:rFonts w:eastAsia="Times New Roman" w:cs="Times New Roman"/>
          <w:b/>
          <w:bCs/>
          <w:rtl/>
          <w:lang w:eastAsia="de-DE"/>
        </w:rPr>
        <w:t>אֵין־דֶּרֶךְ</w:t>
      </w:r>
      <w:r w:rsidRPr="00232F0F">
        <w:rPr>
          <w:rFonts w:eastAsia="Times New Roman" w:cs="Times New Roman"/>
          <w:rtl/>
          <w:lang w:eastAsia="de-DE"/>
        </w:rPr>
        <w:t xml:space="preserve"> </w:t>
      </w:r>
      <w:r w:rsidRPr="00232F0F">
        <w:rPr>
          <w:rFonts w:eastAsia="Times New Roman" w:cs="Times New Roman"/>
          <w:lang w:eastAsia="de-DE"/>
        </w:rPr>
        <w:t xml:space="preserve">(„kein Weg", Existenznegation), </w:t>
      </w:r>
      <w:r w:rsidRPr="00232F0F">
        <w:rPr>
          <w:rFonts w:eastAsia="Times New Roman" w:cs="Times New Roman"/>
          <w:b/>
          <w:bCs/>
          <w:rtl/>
          <w:lang w:eastAsia="de-DE"/>
        </w:rPr>
        <w:t>לִנְטוֹת</w:t>
      </w:r>
      <w:r w:rsidRPr="00232F0F">
        <w:rPr>
          <w:rFonts w:eastAsia="Times New Roman" w:cs="Times New Roman"/>
          <w:rtl/>
          <w:lang w:eastAsia="de-DE"/>
        </w:rPr>
        <w:t xml:space="preserve"> </w:t>
      </w:r>
      <w:r w:rsidRPr="00232F0F">
        <w:rPr>
          <w:rFonts w:eastAsia="Times New Roman" w:cs="Times New Roman"/>
          <w:lang w:eastAsia="de-DE"/>
        </w:rPr>
        <w:t xml:space="preserve">(Qal Infinitiv construct von </w:t>
      </w:r>
      <w:r w:rsidRPr="00232F0F">
        <w:rPr>
          <w:rFonts w:eastAsia="Times New Roman" w:cs="Times New Roman"/>
          <w:b/>
          <w:bCs/>
          <w:rtl/>
          <w:lang w:eastAsia="de-DE"/>
        </w:rPr>
        <w:t>נטה</w:t>
      </w:r>
      <w:r w:rsidRPr="00232F0F">
        <w:rPr>
          <w:rFonts w:eastAsia="Times New Roman" w:cs="Times New Roman"/>
          <w:rtl/>
          <w:lang w:eastAsia="de-DE"/>
        </w:rPr>
        <w:t xml:space="preserve"> </w:t>
      </w:r>
      <w:r w:rsidRPr="00232F0F">
        <w:rPr>
          <w:rFonts w:eastAsia="Times New Roman" w:cs="Times New Roman"/>
          <w:lang w:eastAsia="de-DE"/>
        </w:rPr>
        <w:t xml:space="preserve">mit </w:t>
      </w:r>
      <w:r w:rsidRPr="00232F0F">
        <w:rPr>
          <w:rFonts w:eastAsia="Times New Roman" w:cs="Times New Roman"/>
          <w:b/>
          <w:bCs/>
          <w:rtl/>
          <w:lang w:eastAsia="de-DE"/>
        </w:rPr>
        <w:t>לְ</w:t>
      </w:r>
      <w:r w:rsidRPr="00232F0F">
        <w:rPr>
          <w:rFonts w:eastAsia="Times New Roman" w:cs="Times New Roman"/>
          <w:lang w:eastAsia="de-DE"/>
        </w:rPr>
        <w:t xml:space="preserve">, „auszuweichen, abzubiegen"), </w:t>
      </w:r>
      <w:r w:rsidRPr="00232F0F">
        <w:rPr>
          <w:rFonts w:eastAsia="Times New Roman" w:cs="Times New Roman"/>
          <w:b/>
          <w:bCs/>
          <w:rtl/>
          <w:lang w:eastAsia="de-DE"/>
        </w:rPr>
        <w:t>יָמִין וּשְׂמֹאול</w:t>
      </w:r>
      <w:r w:rsidRPr="00232F0F">
        <w:rPr>
          <w:rFonts w:eastAsia="Times New Roman" w:cs="Times New Roman"/>
          <w:rtl/>
          <w:lang w:eastAsia="de-DE"/>
        </w:rPr>
        <w:t xml:space="preserve"> </w:t>
      </w:r>
      <w:r w:rsidRPr="00232F0F">
        <w:rPr>
          <w:rFonts w:eastAsia="Times New Roman" w:cs="Times New Roman"/>
          <w:lang w:eastAsia="de-DE"/>
        </w:rPr>
        <w:t>(„Rechte und Linke") – ein Merismus für „in irgendeine Richtung". Nun ist Ausweichen unmöglich – die Konfrontation ist unvermeidlich.</w:t>
      </w:r>
    </w:p>
    <w:p w14:paraId="0925684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Vers 27:</w:t>
      </w:r>
      <w:r w:rsidRPr="00232F0F">
        <w:rPr>
          <w:rFonts w:eastAsia="Times New Roman" w:cs="Times New Roman"/>
          <w:lang w:eastAsia="de-DE"/>
        </w:rPr>
        <w:t xml:space="preserve"> Die dritte Sichtung: </w:t>
      </w:r>
      <w:r w:rsidRPr="00232F0F">
        <w:rPr>
          <w:rFonts w:eastAsia="Times New Roman" w:cs="Times New Roman"/>
          <w:b/>
          <w:bCs/>
          <w:rtl/>
          <w:lang w:eastAsia="de-DE"/>
        </w:rPr>
        <w:t>וַתֵּרֶא הָאָתוֹן אֶת־מַלְאַךְ יְהוָה</w:t>
      </w:r>
      <w:r w:rsidRPr="00232F0F">
        <w:rPr>
          <w:rFonts w:eastAsia="Times New Roman" w:cs="Times New Roman"/>
          <w:rtl/>
          <w:lang w:eastAsia="de-DE"/>
        </w:rPr>
        <w:t xml:space="preserve"> </w:t>
      </w:r>
      <w:r w:rsidRPr="00232F0F">
        <w:rPr>
          <w:rFonts w:eastAsia="Times New Roman" w:cs="Times New Roman"/>
          <w:lang w:eastAsia="de-DE"/>
        </w:rPr>
        <w:t xml:space="preserve">(wie zuvor). Die verzweifelte Reaktion: </w:t>
      </w:r>
      <w:r w:rsidRPr="00232F0F">
        <w:rPr>
          <w:rFonts w:eastAsia="Times New Roman" w:cs="Times New Roman"/>
          <w:b/>
          <w:bCs/>
          <w:rtl/>
          <w:lang w:eastAsia="de-DE"/>
        </w:rPr>
        <w:t>וַתִּרְבַּץ תַּחַת בִּלְעָם</w:t>
      </w:r>
      <w:r w:rsidRPr="00232F0F">
        <w:rPr>
          <w:rFonts w:eastAsia="Times New Roman" w:cs="Times New Roman"/>
          <w:rtl/>
          <w:lang w:eastAsia="de-DE"/>
        </w:rPr>
        <w:t xml:space="preserve"> </w:t>
      </w:r>
      <w:r w:rsidRPr="00232F0F">
        <w:rPr>
          <w:rFonts w:eastAsia="Times New Roman" w:cs="Times New Roman"/>
          <w:lang w:eastAsia="de-DE"/>
        </w:rPr>
        <w:t xml:space="preserve">(„und sie legte sich nieder unter Bileam") – </w:t>
      </w:r>
      <w:r w:rsidRPr="00232F0F">
        <w:rPr>
          <w:rFonts w:eastAsia="Times New Roman" w:cs="Times New Roman"/>
          <w:b/>
          <w:bCs/>
          <w:rtl/>
          <w:lang w:eastAsia="de-DE"/>
        </w:rPr>
        <w:t>וַתִּרְבַּץ</w:t>
      </w:r>
      <w:r w:rsidRPr="00232F0F">
        <w:rPr>
          <w:rFonts w:eastAsia="Times New Roman" w:cs="Times New Roman"/>
          <w:rtl/>
          <w:lang w:eastAsia="de-DE"/>
        </w:rPr>
        <w:t xml:space="preserve"> </w:t>
      </w:r>
      <w:r w:rsidRPr="00232F0F">
        <w:rPr>
          <w:rFonts w:eastAsia="Times New Roman" w:cs="Times New Roman"/>
          <w:lang w:eastAsia="de-DE"/>
        </w:rPr>
        <w:t xml:space="preserve">(Wayyiqtol, 3. f. sg. von </w:t>
      </w:r>
      <w:r w:rsidRPr="00232F0F">
        <w:rPr>
          <w:rFonts w:eastAsia="Times New Roman" w:cs="Times New Roman"/>
          <w:b/>
          <w:bCs/>
          <w:rtl/>
          <w:lang w:eastAsia="de-DE"/>
        </w:rPr>
        <w:t>רבץ</w:t>
      </w:r>
      <w:r w:rsidRPr="00232F0F">
        <w:rPr>
          <w:rFonts w:eastAsia="Times New Roman" w:cs="Times New Roman"/>
          <w:lang w:eastAsia="de-DE"/>
        </w:rPr>
        <w:t xml:space="preserve">, „und sie legte sich hin, kauerte"), </w:t>
      </w:r>
      <w:r w:rsidRPr="00232F0F">
        <w:rPr>
          <w:rFonts w:eastAsia="Times New Roman" w:cs="Times New Roman"/>
          <w:b/>
          <w:bCs/>
          <w:rtl/>
          <w:lang w:eastAsia="de-DE"/>
        </w:rPr>
        <w:t>תַּחַת בִּלְעָם</w:t>
      </w:r>
      <w:r w:rsidRPr="00232F0F">
        <w:rPr>
          <w:rFonts w:eastAsia="Times New Roman" w:cs="Times New Roman"/>
          <w:rtl/>
          <w:lang w:eastAsia="de-DE"/>
        </w:rPr>
        <w:t xml:space="preserve"> </w:t>
      </w:r>
      <w:r w:rsidRPr="00232F0F">
        <w:rPr>
          <w:rFonts w:eastAsia="Times New Roman" w:cs="Times New Roman"/>
          <w:lang w:eastAsia="de-DE"/>
        </w:rPr>
        <w:t xml:space="preserve">„unter Bileam". Die Eselin kann nicht mehr ausweichen und kapituliert – sie </w:t>
      </w:r>
      <w:r w:rsidRPr="00232F0F">
        <w:rPr>
          <w:rFonts w:eastAsia="Times New Roman" w:cs="Times New Roman"/>
          <w:b/>
          <w:bCs/>
          <w:lang w:eastAsia="de-DE"/>
        </w:rPr>
        <w:t>stoppt</w:t>
      </w:r>
      <w:r w:rsidRPr="00232F0F">
        <w:rPr>
          <w:rFonts w:eastAsia="Times New Roman" w:cs="Times New Roman"/>
          <w:lang w:eastAsia="de-DE"/>
        </w:rPr>
        <w:t xml:space="preserve"> Bileam durch Niederlegen, rettet ihn erneut vor dem tödlichen Engel.</w:t>
      </w:r>
    </w:p>
    <w:p w14:paraId="7B1D3ABC"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lastRenderedPageBreak/>
        <w:t xml:space="preserve">Bileams Zorn: </w:t>
      </w:r>
      <w:r w:rsidRPr="00232F0F">
        <w:rPr>
          <w:rFonts w:eastAsia="Times New Roman" w:cs="Times New Roman"/>
          <w:b/>
          <w:bCs/>
          <w:rtl/>
          <w:lang w:eastAsia="de-DE"/>
        </w:rPr>
        <w:t>וַיִּחַר־אַף בִּלְעָם</w:t>
      </w:r>
      <w:r w:rsidRPr="00232F0F">
        <w:rPr>
          <w:rFonts w:eastAsia="Times New Roman" w:cs="Times New Roman"/>
          <w:rtl/>
          <w:lang w:eastAsia="de-DE"/>
        </w:rPr>
        <w:t xml:space="preserve"> </w:t>
      </w:r>
      <w:r w:rsidRPr="00232F0F">
        <w:rPr>
          <w:rFonts w:eastAsia="Times New Roman" w:cs="Times New Roman"/>
          <w:lang w:eastAsia="de-DE"/>
        </w:rPr>
        <w:t xml:space="preserve">(„da entbrannte der Zorn Bileams") – dieselbe idiomatische Wendung wie für Gottes Zorn in V. 22, nun für Bileam! </w:t>
      </w:r>
      <w:r w:rsidRPr="00232F0F">
        <w:rPr>
          <w:rFonts w:eastAsia="Times New Roman" w:cs="Times New Roman"/>
          <w:b/>
          <w:bCs/>
          <w:rtl/>
          <w:lang w:eastAsia="de-DE"/>
        </w:rPr>
        <w:t>וַיַּךְ אֶת־הָאָתוֹן בַּמַּקֵּל</w:t>
      </w:r>
      <w:r w:rsidRPr="00232F0F">
        <w:rPr>
          <w:rFonts w:eastAsia="Times New Roman" w:cs="Times New Roman"/>
          <w:rtl/>
          <w:lang w:eastAsia="de-DE"/>
        </w:rPr>
        <w:t xml:space="preserve"> </w:t>
      </w:r>
      <w:r w:rsidRPr="00232F0F">
        <w:rPr>
          <w:rFonts w:eastAsia="Times New Roman" w:cs="Times New Roman"/>
          <w:lang w:eastAsia="de-DE"/>
        </w:rPr>
        <w:t xml:space="preserve">(„und er schlug die Eselin mit dem Stock") – </w:t>
      </w:r>
      <w:r w:rsidRPr="00232F0F">
        <w:rPr>
          <w:rFonts w:eastAsia="Times New Roman" w:cs="Times New Roman"/>
          <w:b/>
          <w:bCs/>
          <w:rtl/>
          <w:lang w:eastAsia="de-DE"/>
        </w:rPr>
        <w:t>בַּמַּקֵּל</w:t>
      </w:r>
      <w:r w:rsidRPr="00232F0F">
        <w:rPr>
          <w:rFonts w:eastAsia="Times New Roman" w:cs="Times New Roman"/>
          <w:rtl/>
          <w:lang w:eastAsia="de-DE"/>
        </w:rPr>
        <w:t xml:space="preserve"> </w:t>
      </w:r>
      <w:r w:rsidRPr="00232F0F">
        <w:rPr>
          <w:rFonts w:eastAsia="Times New Roman" w:cs="Times New Roman"/>
          <w:lang w:eastAsia="de-DE"/>
        </w:rPr>
        <w:t xml:space="preserve">(„mit dem Stock") mit </w:t>
      </w:r>
      <w:r w:rsidRPr="00232F0F">
        <w:rPr>
          <w:rFonts w:eastAsia="Times New Roman" w:cs="Times New Roman"/>
          <w:b/>
          <w:bCs/>
          <w:rtl/>
          <w:lang w:eastAsia="de-DE"/>
        </w:rPr>
        <w:t>בְּ</w:t>
      </w:r>
      <w:r w:rsidRPr="00232F0F">
        <w:rPr>
          <w:rFonts w:eastAsia="Times New Roman" w:cs="Times New Roman"/>
          <w:rtl/>
          <w:lang w:eastAsia="de-DE"/>
        </w:rPr>
        <w:t xml:space="preserve"> </w:t>
      </w:r>
      <w:r w:rsidRPr="00232F0F">
        <w:rPr>
          <w:rFonts w:eastAsia="Times New Roman" w:cs="Times New Roman"/>
          <w:lang w:eastAsia="de-DE"/>
        </w:rPr>
        <w:t xml:space="preserve">instrumentalis, </w:t>
      </w:r>
      <w:r w:rsidRPr="00232F0F">
        <w:rPr>
          <w:rFonts w:eastAsia="Times New Roman" w:cs="Times New Roman"/>
          <w:b/>
          <w:bCs/>
          <w:rtl/>
          <w:lang w:eastAsia="de-DE"/>
        </w:rPr>
        <w:t>מַקֵּל</w:t>
      </w:r>
      <w:r w:rsidRPr="00232F0F">
        <w:rPr>
          <w:rFonts w:eastAsia="Times New Roman" w:cs="Times New Roman"/>
          <w:rtl/>
          <w:lang w:eastAsia="de-DE"/>
        </w:rPr>
        <w:t xml:space="preserve"> </w:t>
      </w:r>
      <w:r w:rsidRPr="00232F0F">
        <w:rPr>
          <w:rFonts w:eastAsia="Times New Roman" w:cs="Times New Roman"/>
          <w:lang w:eastAsia="de-DE"/>
        </w:rPr>
        <w:t>„Stock, Stab". Die dritte Schlag ist der schwerste – mit einem Werkzeug, nicht nur der Hand.</w:t>
      </w:r>
    </w:p>
    <w:p w14:paraId="2B63362F"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folgt dem hebräischen Text.</w:t>
      </w:r>
    </w:p>
    <w:p w14:paraId="1822748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sechs koordinierte Hauptsätze: Vers 26 mit zwei Hauptsätzen (Verb, Subjekt, Infinitiv construct bzw. Verb und Präpositionalphrase), erweitert durch einen Relativsatz mit Existenznegation, Subjekt, Infinitiv und Merismus; Vers 27 mit vier Hauptsätzen (Verb, Subjekt, Objekt bzw. Verb und Präpositionalphrase, dann idiomatische Wendung und Verb mit Objekt und Instrumentalphrase). Insgesamt gibt es einen Nebensatz (Relativsatz).</w:t>
      </w:r>
    </w:p>
    <w:p w14:paraId="7CDD3582" w14:textId="35D74CD8" w:rsid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Verse bringen die Konfrontation zum Höhepunkt: Nirgendwo mehr auszuweichen, die Eselin stoppt völlig, Bileam explodiert vor Zorn. Die dreifache Steigerung (offener Weg → enger Weg → kein Ausweg) und die dreifachen Schläge bereiten die Wende vor: Jetzt wird die Eselin sprechen!</w:t>
      </w:r>
    </w:p>
    <w:tbl>
      <w:tblPr>
        <w:tblStyle w:val="Gitternetztabelle2Akzent4"/>
        <w:tblW w:w="4994" w:type="pct"/>
        <w:tblLook w:val="04A0" w:firstRow="1" w:lastRow="0" w:firstColumn="1" w:lastColumn="0" w:noHBand="0" w:noVBand="1"/>
      </w:tblPr>
      <w:tblGrid>
        <w:gridCol w:w="1213"/>
        <w:gridCol w:w="136"/>
        <w:gridCol w:w="1768"/>
        <w:gridCol w:w="1833"/>
        <w:gridCol w:w="2204"/>
        <w:gridCol w:w="1907"/>
      </w:tblGrid>
      <w:tr w:rsidR="00DF32CB" w14:paraId="05644689" w14:textId="77777777" w:rsidTr="00D75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pct"/>
          </w:tcPr>
          <w:p w14:paraId="78BDF1D0" w14:textId="2950FC2C" w:rsidR="009A0114" w:rsidRPr="00D757C2" w:rsidRDefault="00D757C2" w:rsidP="00232F0F">
            <w:pPr>
              <w:spacing w:before="100" w:beforeAutospacing="1" w:after="100" w:afterAutospacing="1" w:line="240" w:lineRule="auto"/>
              <w:rPr>
                <w:rFonts w:eastAsia="Times New Roman" w:cs="Times New Roman"/>
                <w:sz w:val="22"/>
                <w:szCs w:val="22"/>
                <w:lang w:eastAsia="de-DE"/>
              </w:rPr>
            </w:pPr>
            <w:r>
              <w:rPr>
                <w:rFonts w:cs="Times New Roman"/>
                <w:color w:val="141413"/>
                <w:sz w:val="22"/>
                <w:szCs w:val="22"/>
                <w:shd w:val="clear" w:color="auto" w:fill="FAF9F5"/>
              </w:rPr>
              <w:t>Szene</w:t>
            </w:r>
          </w:p>
        </w:tc>
        <w:tc>
          <w:tcPr>
            <w:tcW w:w="976" w:type="pct"/>
            <w:gridSpan w:val="2"/>
          </w:tcPr>
          <w:p w14:paraId="29F2A091" w14:textId="23363B69" w:rsidR="009A0114" w:rsidRPr="00D757C2" w:rsidRDefault="009A0114" w:rsidP="00232F0F">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Ort</w:t>
            </w:r>
          </w:p>
        </w:tc>
        <w:tc>
          <w:tcPr>
            <w:tcW w:w="1030" w:type="pct"/>
          </w:tcPr>
          <w:p w14:paraId="5C0692A5" w14:textId="4FAC14CB" w:rsidR="009A0114" w:rsidRPr="00D757C2" w:rsidRDefault="009A0114" w:rsidP="00232F0F">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Engel-Position</w:t>
            </w:r>
          </w:p>
        </w:tc>
        <w:tc>
          <w:tcPr>
            <w:tcW w:w="1235" w:type="pct"/>
          </w:tcPr>
          <w:p w14:paraId="0334B816" w14:textId="5A0FB4D0" w:rsidR="009A0114" w:rsidRPr="00D757C2" w:rsidRDefault="009A0114" w:rsidP="00232F0F">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Eselins Reaktion</w:t>
            </w:r>
          </w:p>
        </w:tc>
        <w:tc>
          <w:tcPr>
            <w:tcW w:w="1072" w:type="pct"/>
          </w:tcPr>
          <w:p w14:paraId="1886C5F0" w14:textId="65658FF0" w:rsidR="009A0114" w:rsidRPr="00D757C2" w:rsidRDefault="00DF32CB" w:rsidP="00232F0F">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Bileams Reaktion</w:t>
            </w:r>
          </w:p>
        </w:tc>
      </w:tr>
      <w:tr w:rsidR="00DF32CB" w14:paraId="27186A30" w14:textId="77777777" w:rsidTr="00D7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gridSpan w:val="2"/>
          </w:tcPr>
          <w:p w14:paraId="72F29EAD" w14:textId="7AE0A723" w:rsidR="009A0114" w:rsidRPr="00D757C2" w:rsidRDefault="00DF32CB" w:rsidP="00232F0F">
            <w:pPr>
              <w:spacing w:before="100" w:beforeAutospacing="1" w:after="100" w:afterAutospacing="1" w:line="240" w:lineRule="auto"/>
              <w:rPr>
                <w:rFonts w:eastAsia="Times New Roman" w:cs="Times New Roman"/>
                <w:sz w:val="22"/>
                <w:szCs w:val="22"/>
                <w:lang w:eastAsia="de-DE"/>
              </w:rPr>
            </w:pPr>
            <w:r w:rsidRPr="00D757C2">
              <w:rPr>
                <w:rFonts w:cs="Times New Roman"/>
                <w:color w:val="141413"/>
                <w:sz w:val="22"/>
                <w:szCs w:val="22"/>
                <w:shd w:val="clear" w:color="auto" w:fill="FAF9F5"/>
              </w:rPr>
              <w:t xml:space="preserve">1 </w:t>
            </w:r>
            <w:r w:rsidRPr="00D757C2">
              <w:rPr>
                <w:rFonts w:cs="Times New Roman"/>
                <w:color w:val="141413"/>
                <w:sz w:val="22"/>
                <w:szCs w:val="22"/>
                <w:shd w:val="clear" w:color="auto" w:fill="FAF9F5"/>
              </w:rPr>
              <w:t>(V. 23)</w:t>
            </w:r>
          </w:p>
        </w:tc>
        <w:tc>
          <w:tcPr>
            <w:tcW w:w="881" w:type="pct"/>
          </w:tcPr>
          <w:p w14:paraId="60BE59CB" w14:textId="7FE0FBE6" w:rsidR="009A0114" w:rsidRPr="00D757C2" w:rsidRDefault="00DF32CB" w:rsidP="00232F0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de-DE"/>
              </w:rPr>
            </w:pPr>
            <w:r w:rsidRPr="00D757C2">
              <w:rPr>
                <w:rFonts w:eastAsia="Times New Roman" w:cs="Times New Roman"/>
                <w:sz w:val="22"/>
                <w:szCs w:val="22"/>
                <w:lang w:eastAsia="de-DE"/>
              </w:rPr>
              <w:t>Offener Weg</w:t>
            </w:r>
          </w:p>
        </w:tc>
        <w:tc>
          <w:tcPr>
            <w:tcW w:w="1030" w:type="pct"/>
          </w:tcPr>
          <w:p w14:paraId="01879FD6" w14:textId="3A4AABD3" w:rsidR="009A0114" w:rsidRPr="00D757C2" w:rsidRDefault="00DF32CB" w:rsidP="00232F0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Steht mit Schwert</w:t>
            </w:r>
          </w:p>
        </w:tc>
        <w:tc>
          <w:tcPr>
            <w:tcW w:w="1235" w:type="pct"/>
          </w:tcPr>
          <w:p w14:paraId="4B0B751C" w14:textId="5D192D86" w:rsidR="009A0114" w:rsidRPr="00D757C2" w:rsidRDefault="00DF32CB" w:rsidP="00232F0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Weicht aus aufs Feld</w:t>
            </w:r>
          </w:p>
        </w:tc>
        <w:tc>
          <w:tcPr>
            <w:tcW w:w="1072" w:type="pct"/>
          </w:tcPr>
          <w:p w14:paraId="11989EFF" w14:textId="1B54D668" w:rsidR="009A0114" w:rsidRPr="00D757C2" w:rsidRDefault="00DF32CB" w:rsidP="00232F0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Schlägt sie</w:t>
            </w:r>
          </w:p>
        </w:tc>
      </w:tr>
      <w:tr w:rsidR="00DF32CB" w14:paraId="4CDCF108" w14:textId="77777777" w:rsidTr="00D757C2">
        <w:tc>
          <w:tcPr>
            <w:cnfStyle w:val="001000000000" w:firstRow="0" w:lastRow="0" w:firstColumn="1" w:lastColumn="0" w:oddVBand="0" w:evenVBand="0" w:oddHBand="0" w:evenHBand="0" w:firstRowFirstColumn="0" w:firstRowLastColumn="0" w:lastRowFirstColumn="0" w:lastRowLastColumn="0"/>
            <w:tcW w:w="782" w:type="pct"/>
            <w:gridSpan w:val="2"/>
          </w:tcPr>
          <w:p w14:paraId="6EAE8D33" w14:textId="5FE3CBE4" w:rsidR="009A0114" w:rsidRPr="00D757C2" w:rsidRDefault="00DF32CB" w:rsidP="00232F0F">
            <w:pPr>
              <w:spacing w:before="100" w:beforeAutospacing="1" w:after="100" w:afterAutospacing="1" w:line="240" w:lineRule="auto"/>
              <w:rPr>
                <w:rFonts w:eastAsia="Times New Roman" w:cs="Times New Roman"/>
                <w:sz w:val="22"/>
                <w:szCs w:val="22"/>
                <w:lang w:eastAsia="de-DE"/>
              </w:rPr>
            </w:pPr>
            <w:r w:rsidRPr="00D757C2">
              <w:rPr>
                <w:rFonts w:cs="Times New Roman"/>
                <w:color w:val="141413"/>
                <w:sz w:val="22"/>
                <w:szCs w:val="22"/>
                <w:shd w:val="clear" w:color="auto" w:fill="FAF9F5"/>
              </w:rPr>
              <w:t xml:space="preserve">2 </w:t>
            </w:r>
            <w:r w:rsidRPr="00D757C2">
              <w:rPr>
                <w:rFonts w:cs="Times New Roman"/>
                <w:color w:val="141413"/>
                <w:sz w:val="22"/>
                <w:szCs w:val="22"/>
                <w:shd w:val="clear" w:color="auto" w:fill="FAF9F5"/>
              </w:rPr>
              <w:t>(V. 24-25)</w:t>
            </w:r>
          </w:p>
        </w:tc>
        <w:tc>
          <w:tcPr>
            <w:tcW w:w="881" w:type="pct"/>
          </w:tcPr>
          <w:p w14:paraId="396BCE98" w14:textId="4D402181" w:rsidR="009A0114" w:rsidRPr="00D757C2" w:rsidRDefault="00DF32CB" w:rsidP="00232F0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de-DE"/>
              </w:rPr>
            </w:pPr>
            <w:r w:rsidRPr="00D757C2">
              <w:rPr>
                <w:rFonts w:eastAsia="Times New Roman" w:cs="Times New Roman"/>
                <w:sz w:val="22"/>
                <w:szCs w:val="22"/>
                <w:lang w:eastAsia="de-DE"/>
              </w:rPr>
              <w:t>Hohlweg</w:t>
            </w:r>
            <w:r w:rsidR="00D757C2" w:rsidRPr="00D757C2">
              <w:rPr>
                <w:rFonts w:eastAsia="Times New Roman" w:cs="Times New Roman"/>
                <w:sz w:val="22"/>
                <w:szCs w:val="22"/>
                <w:lang w:eastAsia="de-DE"/>
              </w:rPr>
              <w:t>/</w:t>
            </w:r>
            <w:r w:rsidRPr="00D757C2">
              <w:rPr>
                <w:rFonts w:eastAsia="Times New Roman" w:cs="Times New Roman"/>
                <w:sz w:val="22"/>
                <w:szCs w:val="22"/>
                <w:lang w:eastAsia="de-DE"/>
              </w:rPr>
              <w:t>Mauern</w:t>
            </w:r>
          </w:p>
        </w:tc>
        <w:tc>
          <w:tcPr>
            <w:tcW w:w="1030" w:type="pct"/>
          </w:tcPr>
          <w:p w14:paraId="77E17ACD" w14:textId="1F193290" w:rsidR="009A0114" w:rsidRPr="00D757C2" w:rsidRDefault="00DF32CB" w:rsidP="00232F0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Enger Raum</w:t>
            </w:r>
          </w:p>
        </w:tc>
        <w:tc>
          <w:tcPr>
            <w:tcW w:w="1235" w:type="pct"/>
          </w:tcPr>
          <w:p w14:paraId="203105A8" w14:textId="7A87055B" w:rsidR="009A0114" w:rsidRPr="00D757C2" w:rsidRDefault="00DF32CB" w:rsidP="00232F0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Drückt sich an Mauer</w:t>
            </w:r>
          </w:p>
        </w:tc>
        <w:tc>
          <w:tcPr>
            <w:tcW w:w="1072" w:type="pct"/>
          </w:tcPr>
          <w:p w14:paraId="13B2C930" w14:textId="7A7E9DE0" w:rsidR="009A0114" w:rsidRPr="00D757C2" w:rsidRDefault="00DF32CB" w:rsidP="00232F0F">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Schlägt sie wieder</w:t>
            </w:r>
          </w:p>
        </w:tc>
      </w:tr>
      <w:tr w:rsidR="00DF32CB" w14:paraId="56B94EC5" w14:textId="77777777" w:rsidTr="00D7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gridSpan w:val="2"/>
          </w:tcPr>
          <w:p w14:paraId="53179B65" w14:textId="65F31618" w:rsidR="009A0114" w:rsidRPr="00D757C2" w:rsidRDefault="00DF32CB" w:rsidP="00232F0F">
            <w:pPr>
              <w:spacing w:before="100" w:beforeAutospacing="1" w:after="100" w:afterAutospacing="1" w:line="240" w:lineRule="auto"/>
              <w:rPr>
                <w:rFonts w:eastAsia="Times New Roman" w:cs="Times New Roman"/>
                <w:sz w:val="22"/>
                <w:szCs w:val="22"/>
                <w:lang w:eastAsia="de-DE"/>
              </w:rPr>
            </w:pPr>
            <w:r w:rsidRPr="00D757C2">
              <w:rPr>
                <w:rFonts w:cs="Times New Roman"/>
                <w:color w:val="141413"/>
                <w:sz w:val="22"/>
                <w:szCs w:val="22"/>
                <w:shd w:val="clear" w:color="auto" w:fill="FAF9F5"/>
              </w:rPr>
              <w:t xml:space="preserve">3 </w:t>
            </w:r>
            <w:r w:rsidRPr="00D757C2">
              <w:rPr>
                <w:rFonts w:cs="Times New Roman"/>
                <w:color w:val="141413"/>
                <w:sz w:val="22"/>
                <w:szCs w:val="22"/>
                <w:shd w:val="clear" w:color="auto" w:fill="FAF9F5"/>
              </w:rPr>
              <w:t>(V. 26-27)</w:t>
            </w:r>
          </w:p>
        </w:tc>
        <w:tc>
          <w:tcPr>
            <w:tcW w:w="881" w:type="pct"/>
          </w:tcPr>
          <w:p w14:paraId="4BB14337" w14:textId="7B4A8F51" w:rsidR="009A0114" w:rsidRPr="00D757C2" w:rsidRDefault="00DF32CB" w:rsidP="00232F0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de-DE"/>
              </w:rPr>
            </w:pPr>
            <w:r w:rsidRPr="00D757C2">
              <w:rPr>
                <w:rFonts w:eastAsia="Times New Roman" w:cs="Times New Roman"/>
                <w:sz w:val="22"/>
                <w:szCs w:val="22"/>
                <w:lang w:eastAsia="de-DE"/>
              </w:rPr>
              <w:t>Engster Ort</w:t>
            </w:r>
          </w:p>
        </w:tc>
        <w:tc>
          <w:tcPr>
            <w:tcW w:w="1030" w:type="pct"/>
          </w:tcPr>
          <w:p w14:paraId="6A6C606E" w14:textId="2F3A6D30" w:rsidR="009A0114" w:rsidRPr="00D757C2" w:rsidRDefault="00DF32CB" w:rsidP="00232F0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Kein Ausweg</w:t>
            </w:r>
          </w:p>
        </w:tc>
        <w:tc>
          <w:tcPr>
            <w:tcW w:w="1235" w:type="pct"/>
          </w:tcPr>
          <w:p w14:paraId="5ABC58CA" w14:textId="059CD89E" w:rsidR="009A0114" w:rsidRPr="00D757C2" w:rsidRDefault="00DF32CB" w:rsidP="00232F0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de-DE"/>
              </w:rPr>
            </w:pPr>
            <w:r w:rsidRPr="00D757C2">
              <w:rPr>
                <w:rFonts w:cs="Times New Roman"/>
                <w:sz w:val="22"/>
                <w:szCs w:val="22"/>
              </w:rPr>
              <w:t>Legt sich nieder</w:t>
            </w:r>
          </w:p>
        </w:tc>
        <w:tc>
          <w:tcPr>
            <w:tcW w:w="1072" w:type="pct"/>
          </w:tcPr>
          <w:p w14:paraId="06A72EC1" w14:textId="37B2CF89" w:rsidR="009A0114" w:rsidRPr="00D757C2" w:rsidRDefault="00DF32CB" w:rsidP="00232F0F">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de-DE"/>
              </w:rPr>
            </w:pPr>
            <w:r w:rsidRPr="00D757C2">
              <w:rPr>
                <w:rFonts w:cs="Times New Roman"/>
                <w:color w:val="141413"/>
                <w:sz w:val="22"/>
                <w:szCs w:val="22"/>
                <w:shd w:val="clear" w:color="auto" w:fill="FAF9F5"/>
              </w:rPr>
              <w:t>Schlägt mit Stock</w:t>
            </w:r>
          </w:p>
        </w:tc>
      </w:tr>
    </w:tbl>
    <w:p w14:paraId="1FABC1F4" w14:textId="5E27FF10" w:rsidR="009A0114" w:rsidRPr="00232F0F" w:rsidRDefault="00DF32CB" w:rsidP="00DF32CB">
      <w:pPr>
        <w:spacing w:before="100" w:beforeAutospacing="1" w:after="100" w:afterAutospacing="1" w:line="240" w:lineRule="auto"/>
        <w:rPr>
          <w:rFonts w:eastAsia="Times New Roman" w:cs="Times New Roman"/>
          <w:lang w:eastAsia="de-DE"/>
        </w:rPr>
      </w:pPr>
      <w:r>
        <w:t xml:space="preserve">→ </w:t>
      </w:r>
      <w:r>
        <w:rPr>
          <w:rStyle w:val="Fett"/>
        </w:rPr>
        <w:t>Steigerung:</w:t>
      </w:r>
      <w:r>
        <w:t xml:space="preserve"> Raum wird enger, Reaktion verzweifelter, Bileams Gewalt intensiver</w:t>
      </w:r>
    </w:p>
    <w:p w14:paraId="4D5AAD98"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22,28</w:t>
      </w:r>
    </w:p>
    <w:p w14:paraId="2AC2735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וַיִּפְתַּ֥ח יְהוָ֖ה אֶת־פִּ֣י הָאָת֑וֹן וַתֹּ֤אמֶר לְבִלְעָם֙ מֶה־עָשִׂ֣יתִֽי לְךָ֔ כִּ֣י הִכִּיתַ֔נִי זֶ֖ה שָׁלֹ֥שׁ רְגָלִֽים׃</w:t>
      </w:r>
    </w:p>
    <w:p w14:paraId="00CEAEC4"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Da öffnete der Ewige den Mund der Eselin, und sie sprach zu Bileam: Was habe ich dir getan, dass du mich diese drei Male geschlagen hast?</w:t>
      </w:r>
    </w:p>
    <w:p w14:paraId="14133B7F"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4A0B2A37">
          <v:rect id="_x0000_i1784" style="width:0;height:1.5pt" o:hralign="center" o:hrstd="t" o:hr="t" fillcolor="#a0a0a0" stroked="f"/>
        </w:pict>
      </w:r>
    </w:p>
    <w:p w14:paraId="40DE23A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Das göttliche Wunder: </w:t>
      </w:r>
      <w:r w:rsidRPr="00232F0F">
        <w:rPr>
          <w:rFonts w:eastAsia="Times New Roman" w:cs="Times New Roman"/>
          <w:b/>
          <w:bCs/>
          <w:rtl/>
          <w:lang w:eastAsia="de-DE"/>
        </w:rPr>
        <w:t>וַיִּפְתַּח יְהוָה אֶת־פִּי הָאָתוֹן</w:t>
      </w:r>
      <w:r w:rsidRPr="00232F0F">
        <w:rPr>
          <w:rFonts w:eastAsia="Times New Roman" w:cs="Times New Roman"/>
          <w:rtl/>
          <w:lang w:eastAsia="de-DE"/>
        </w:rPr>
        <w:t xml:space="preserve"> </w:t>
      </w:r>
      <w:r w:rsidRPr="00232F0F">
        <w:rPr>
          <w:rFonts w:eastAsia="Times New Roman" w:cs="Times New Roman"/>
          <w:lang w:eastAsia="de-DE"/>
        </w:rPr>
        <w:t xml:space="preserve">(„da öffnete JHWH den Mund der Eselin") – </w:t>
      </w:r>
      <w:r w:rsidRPr="00232F0F">
        <w:rPr>
          <w:rFonts w:eastAsia="Times New Roman" w:cs="Times New Roman"/>
          <w:b/>
          <w:bCs/>
          <w:rtl/>
          <w:lang w:eastAsia="de-DE"/>
        </w:rPr>
        <w:t>וַיִּפְתַּח</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פתח</w:t>
      </w:r>
      <w:r w:rsidRPr="00232F0F">
        <w:rPr>
          <w:rFonts w:eastAsia="Times New Roman" w:cs="Times New Roman"/>
          <w:lang w:eastAsia="de-DE"/>
        </w:rPr>
        <w:t xml:space="preserve">, „und er öffnete"), </w:t>
      </w:r>
      <w:r w:rsidRPr="00232F0F">
        <w:rPr>
          <w:rFonts w:eastAsia="Times New Roman" w:cs="Times New Roman"/>
          <w:b/>
          <w:bCs/>
          <w:rtl/>
          <w:lang w:eastAsia="de-DE"/>
        </w:rPr>
        <w:t>יְהוָה</w:t>
      </w:r>
      <w:r w:rsidRPr="00232F0F">
        <w:rPr>
          <w:rFonts w:eastAsia="Times New Roman" w:cs="Times New Roman"/>
          <w:rtl/>
          <w:lang w:eastAsia="de-DE"/>
        </w:rPr>
        <w:t xml:space="preserve"> </w:t>
      </w:r>
      <w:r w:rsidRPr="00232F0F">
        <w:rPr>
          <w:rFonts w:eastAsia="Times New Roman" w:cs="Times New Roman"/>
          <w:lang w:eastAsia="de-DE"/>
        </w:rPr>
        <w:t xml:space="preserve">explizites Subjekt (beachte: wieder </w:t>
      </w:r>
      <w:r w:rsidRPr="00232F0F">
        <w:rPr>
          <w:rFonts w:eastAsia="Times New Roman" w:cs="Times New Roman"/>
          <w:b/>
          <w:bCs/>
          <w:rtl/>
          <w:lang w:eastAsia="de-DE"/>
        </w:rPr>
        <w:t>יְהוָה</w:t>
      </w:r>
      <w:r w:rsidRPr="00232F0F">
        <w:rPr>
          <w:rFonts w:eastAsia="Times New Roman" w:cs="Times New Roman"/>
          <w:lang w:eastAsia="de-DE"/>
        </w:rPr>
        <w:t xml:space="preserve">, nicht </w:t>
      </w:r>
      <w:r w:rsidRPr="00232F0F">
        <w:rPr>
          <w:rFonts w:eastAsia="Times New Roman" w:cs="Times New Roman"/>
          <w:b/>
          <w:bCs/>
          <w:rtl/>
          <w:lang w:eastAsia="de-DE"/>
        </w:rPr>
        <w:t>אֱלֹהִים</w:t>
      </w:r>
      <w:r w:rsidRPr="00232F0F">
        <w:rPr>
          <w:rFonts w:eastAsia="Times New Roman" w:cs="Times New Roman"/>
          <w:lang w:eastAsia="de-DE"/>
        </w:rPr>
        <w:t xml:space="preserve">!), </w:t>
      </w:r>
      <w:r w:rsidRPr="00232F0F">
        <w:rPr>
          <w:rFonts w:eastAsia="Times New Roman" w:cs="Times New Roman"/>
          <w:b/>
          <w:bCs/>
          <w:rtl/>
          <w:lang w:eastAsia="de-DE"/>
        </w:rPr>
        <w:t>אֶת־פִּי הָאָתוֹן</w:t>
      </w:r>
      <w:r w:rsidRPr="00232F0F">
        <w:rPr>
          <w:rFonts w:eastAsia="Times New Roman" w:cs="Times New Roman"/>
          <w:rtl/>
          <w:lang w:eastAsia="de-DE"/>
        </w:rPr>
        <w:t xml:space="preserve"> </w:t>
      </w:r>
      <w:r w:rsidRPr="00232F0F">
        <w:rPr>
          <w:rFonts w:eastAsia="Times New Roman" w:cs="Times New Roman"/>
          <w:lang w:eastAsia="de-DE"/>
        </w:rPr>
        <w:t xml:space="preserve">(„den Mund der Eselin", Constructus-Verbindung). Das Verb </w:t>
      </w:r>
      <w:r w:rsidRPr="00232F0F">
        <w:rPr>
          <w:rFonts w:eastAsia="Times New Roman" w:cs="Times New Roman"/>
          <w:b/>
          <w:bCs/>
          <w:rtl/>
          <w:lang w:eastAsia="de-DE"/>
        </w:rPr>
        <w:t>פתח</w:t>
      </w:r>
      <w:r w:rsidRPr="00232F0F">
        <w:rPr>
          <w:rFonts w:eastAsia="Times New Roman" w:cs="Times New Roman"/>
          <w:rtl/>
          <w:lang w:eastAsia="de-DE"/>
        </w:rPr>
        <w:t xml:space="preserve"> </w:t>
      </w:r>
      <w:r w:rsidRPr="00232F0F">
        <w:rPr>
          <w:rFonts w:eastAsia="Times New Roman" w:cs="Times New Roman"/>
          <w:lang w:eastAsia="de-DE"/>
        </w:rPr>
        <w:t>„öffnen" impliziert: Der Mund wird nicht nur geöffnet, sondern befähigt zu sprechen – ein übernatürliches Wunder.</w:t>
      </w:r>
    </w:p>
    <w:p w14:paraId="250A523D"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Dies ist eine der berühmtesten Szenen der Bibel: Ein Tier spricht! (Die andere ist die Schlange in Gen 3.) Die Erzählung präsentiert dies ohne Überraschung oder Kommentar – Bileam antwortet der Eselin, als wäre es das Natürlichste der Welt. Dies könnte bedeuten:</w:t>
      </w:r>
    </w:p>
    <w:p w14:paraId="1801AF80" w14:textId="77777777" w:rsidR="00232F0F" w:rsidRPr="00232F0F" w:rsidRDefault="00232F0F" w:rsidP="00C15C06">
      <w:pPr>
        <w:numPr>
          <w:ilvl w:val="0"/>
          <w:numId w:val="9"/>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Wunderzustand</w:t>
      </w:r>
      <w:r w:rsidRPr="00232F0F">
        <w:rPr>
          <w:rFonts w:eastAsia="Times New Roman" w:cs="Times New Roman"/>
          <w:lang w:eastAsia="de-DE"/>
        </w:rPr>
        <w:t>: Bileam ist so in der Situation gefangen, dass er die Absurdität nicht bemerkt.</w:t>
      </w:r>
    </w:p>
    <w:p w14:paraId="13B683F7" w14:textId="77777777" w:rsidR="00232F0F" w:rsidRPr="00232F0F" w:rsidRDefault="00232F0F" w:rsidP="00C15C06">
      <w:pPr>
        <w:numPr>
          <w:ilvl w:val="0"/>
          <w:numId w:val="9"/>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Traumzustand</w:t>
      </w:r>
      <w:r w:rsidRPr="00232F0F">
        <w:rPr>
          <w:rFonts w:eastAsia="Times New Roman" w:cs="Times New Roman"/>
          <w:lang w:eastAsia="de-DE"/>
        </w:rPr>
        <w:t>: Manche Ausleger sehen die Episode als Vision.</w:t>
      </w:r>
    </w:p>
    <w:p w14:paraId="5BF152A0" w14:textId="77777777" w:rsidR="00232F0F" w:rsidRPr="00232F0F" w:rsidRDefault="00232F0F" w:rsidP="00C15C06">
      <w:pPr>
        <w:numPr>
          <w:ilvl w:val="0"/>
          <w:numId w:val="9"/>
        </w:num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lastRenderedPageBreak/>
        <w:t>Narrative Technik</w:t>
      </w:r>
      <w:r w:rsidRPr="00232F0F">
        <w:rPr>
          <w:rFonts w:eastAsia="Times New Roman" w:cs="Times New Roman"/>
          <w:lang w:eastAsia="de-DE"/>
        </w:rPr>
        <w:t>: Die Erzählung will die moralische Pointe (das Tier ist weiser als der Prophet) durch das Wunder unterstreichen.</w:t>
      </w:r>
    </w:p>
    <w:p w14:paraId="53FBB14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Frage der Eselin: </w:t>
      </w:r>
      <w:r w:rsidRPr="00232F0F">
        <w:rPr>
          <w:rFonts w:eastAsia="Times New Roman" w:cs="Times New Roman"/>
          <w:b/>
          <w:bCs/>
          <w:rtl/>
          <w:lang w:eastAsia="de-DE"/>
        </w:rPr>
        <w:t>וַתֹּאמֶר לְבִלְעָם מֶה־עָשִׂיתִי לְךָ כִּי הִכִּיתַנִי זֶה שָׁלֹשׁ רְגָלִים</w:t>
      </w:r>
      <w:r w:rsidRPr="00232F0F">
        <w:rPr>
          <w:rFonts w:eastAsia="Times New Roman" w:cs="Times New Roman"/>
          <w:rtl/>
          <w:lang w:eastAsia="de-DE"/>
        </w:rPr>
        <w:t xml:space="preserve"> </w:t>
      </w:r>
      <w:r w:rsidRPr="00232F0F">
        <w:rPr>
          <w:rFonts w:eastAsia="Times New Roman" w:cs="Times New Roman"/>
          <w:lang w:eastAsia="de-DE"/>
        </w:rPr>
        <w:t xml:space="preserve">(„und sie sprach zu Bileam: Was habe ich dir getan, dass du mich diese drei Male geschlagen hast?") – </w:t>
      </w:r>
      <w:r w:rsidRPr="00232F0F">
        <w:rPr>
          <w:rFonts w:eastAsia="Times New Roman" w:cs="Times New Roman"/>
          <w:b/>
          <w:bCs/>
          <w:rtl/>
          <w:lang w:eastAsia="de-DE"/>
        </w:rPr>
        <w:t>מֶה־עָשִׂיתִי לְךָ</w:t>
      </w:r>
      <w:r w:rsidRPr="00232F0F">
        <w:rPr>
          <w:rFonts w:eastAsia="Times New Roman" w:cs="Times New Roman"/>
          <w:rtl/>
          <w:lang w:eastAsia="de-DE"/>
        </w:rPr>
        <w:t xml:space="preserve"> </w:t>
      </w:r>
      <w:r w:rsidRPr="00232F0F">
        <w:rPr>
          <w:rFonts w:eastAsia="Times New Roman" w:cs="Times New Roman"/>
          <w:lang w:eastAsia="de-DE"/>
        </w:rPr>
        <w:t xml:space="preserve">(„was habe ich dir getan?") ist eine rhetorische Unschuldsfrage. Die kausale Begründung </w:t>
      </w:r>
      <w:r w:rsidRPr="00232F0F">
        <w:rPr>
          <w:rFonts w:eastAsia="Times New Roman" w:cs="Times New Roman"/>
          <w:b/>
          <w:bCs/>
          <w:rtl/>
          <w:lang w:eastAsia="de-DE"/>
        </w:rPr>
        <w:t>כִּי הִכִּיתַנִי</w:t>
      </w:r>
      <w:r w:rsidRPr="00232F0F">
        <w:rPr>
          <w:rFonts w:eastAsia="Times New Roman" w:cs="Times New Roman"/>
          <w:rtl/>
          <w:lang w:eastAsia="de-DE"/>
        </w:rPr>
        <w:t xml:space="preserve"> </w:t>
      </w:r>
      <w:r w:rsidRPr="00232F0F">
        <w:rPr>
          <w:rFonts w:eastAsia="Times New Roman" w:cs="Times New Roman"/>
          <w:lang w:eastAsia="de-DE"/>
        </w:rPr>
        <w:t xml:space="preserve">(„dass du mich geschlagen hast") – </w:t>
      </w:r>
      <w:r w:rsidRPr="00232F0F">
        <w:rPr>
          <w:rFonts w:eastAsia="Times New Roman" w:cs="Times New Roman"/>
          <w:b/>
          <w:bCs/>
          <w:rtl/>
          <w:lang w:eastAsia="de-DE"/>
        </w:rPr>
        <w:t>הִכִּיתַנִי</w:t>
      </w:r>
      <w:r w:rsidRPr="00232F0F">
        <w:rPr>
          <w:rFonts w:eastAsia="Times New Roman" w:cs="Times New Roman"/>
          <w:rtl/>
          <w:lang w:eastAsia="de-DE"/>
        </w:rPr>
        <w:t xml:space="preserve"> </w:t>
      </w:r>
      <w:r w:rsidRPr="00232F0F">
        <w:rPr>
          <w:rFonts w:eastAsia="Times New Roman" w:cs="Times New Roman"/>
          <w:lang w:eastAsia="de-DE"/>
        </w:rPr>
        <w:t xml:space="preserve">(Hifil Perfekt, 2. m. sg. von </w:t>
      </w:r>
      <w:r w:rsidRPr="00232F0F">
        <w:rPr>
          <w:rFonts w:eastAsia="Times New Roman" w:cs="Times New Roman"/>
          <w:b/>
          <w:bCs/>
          <w:rtl/>
          <w:lang w:eastAsia="de-DE"/>
        </w:rPr>
        <w:t>נכה</w:t>
      </w:r>
      <w:r w:rsidRPr="00232F0F">
        <w:rPr>
          <w:rFonts w:eastAsia="Times New Roman" w:cs="Times New Roman"/>
          <w:rtl/>
          <w:lang w:eastAsia="de-DE"/>
        </w:rPr>
        <w:t xml:space="preserve"> </w:t>
      </w:r>
      <w:r w:rsidRPr="00232F0F">
        <w:rPr>
          <w:rFonts w:eastAsia="Times New Roman" w:cs="Times New Roman"/>
          <w:lang w:eastAsia="de-DE"/>
        </w:rPr>
        <w:t xml:space="preserve">mit Objektsuffix 1. c. sg., „du hast mich geschlagen"). Die Zeitangabe </w:t>
      </w:r>
      <w:r w:rsidRPr="00232F0F">
        <w:rPr>
          <w:rFonts w:eastAsia="Times New Roman" w:cs="Times New Roman"/>
          <w:b/>
          <w:bCs/>
          <w:rtl/>
          <w:lang w:eastAsia="de-DE"/>
        </w:rPr>
        <w:t>זֶה שָׁלֹשׁ רְגָלִים</w:t>
      </w:r>
      <w:r w:rsidRPr="00232F0F">
        <w:rPr>
          <w:rFonts w:eastAsia="Times New Roman" w:cs="Times New Roman"/>
          <w:rtl/>
          <w:lang w:eastAsia="de-DE"/>
        </w:rPr>
        <w:t xml:space="preserve"> </w:t>
      </w:r>
      <w:r w:rsidRPr="00232F0F">
        <w:rPr>
          <w:rFonts w:eastAsia="Times New Roman" w:cs="Times New Roman"/>
          <w:lang w:eastAsia="de-DE"/>
        </w:rPr>
        <w:t xml:space="preserve">(„diese drei Male") – </w:t>
      </w:r>
      <w:r w:rsidRPr="00232F0F">
        <w:rPr>
          <w:rFonts w:eastAsia="Times New Roman" w:cs="Times New Roman"/>
          <w:b/>
          <w:bCs/>
          <w:rtl/>
          <w:lang w:eastAsia="de-DE"/>
        </w:rPr>
        <w:t>זֶה</w:t>
      </w:r>
      <w:r w:rsidRPr="00232F0F">
        <w:rPr>
          <w:rFonts w:eastAsia="Times New Roman" w:cs="Times New Roman"/>
          <w:rtl/>
          <w:lang w:eastAsia="de-DE"/>
        </w:rPr>
        <w:t xml:space="preserve"> </w:t>
      </w:r>
      <w:r w:rsidRPr="00232F0F">
        <w:rPr>
          <w:rFonts w:eastAsia="Times New Roman" w:cs="Times New Roman"/>
          <w:lang w:eastAsia="de-DE"/>
        </w:rPr>
        <w:t xml:space="preserve">Demonstrativpronomen, </w:t>
      </w:r>
      <w:r w:rsidRPr="00232F0F">
        <w:rPr>
          <w:rFonts w:eastAsia="Times New Roman" w:cs="Times New Roman"/>
          <w:b/>
          <w:bCs/>
          <w:rtl/>
          <w:lang w:eastAsia="de-DE"/>
        </w:rPr>
        <w:t>שָׁלֹשׁ רְגָלִים</w:t>
      </w:r>
      <w:r w:rsidRPr="00232F0F">
        <w:rPr>
          <w:rFonts w:eastAsia="Times New Roman" w:cs="Times New Roman"/>
          <w:rtl/>
          <w:lang w:eastAsia="de-DE"/>
        </w:rPr>
        <w:t xml:space="preserve"> </w:t>
      </w:r>
      <w:r w:rsidRPr="00232F0F">
        <w:rPr>
          <w:rFonts w:eastAsia="Times New Roman" w:cs="Times New Roman"/>
          <w:lang w:eastAsia="de-DE"/>
        </w:rPr>
        <w:t>wörtlich „drei Füße/Schritte", idiomatisch „drei Male" (vgl. Ex 23,14.17).</w:t>
      </w:r>
    </w:p>
    <w:p w14:paraId="79CD7D0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Eselin klagt Bileam an – sie hat nichts Falsches getan, sondern ihn dreimal gerettet, wird aber dreimal bestraft. Die moralische Umkehrung ist komplett: Das Tier ist gerecht, der Prophet ungerecht.</w:t>
      </w:r>
    </w:p>
    <w:p w14:paraId="5B42A699" w14:textId="34840DAE"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w:t>
      </w:r>
      <w:r w:rsidR="00C73FA4">
        <w:t>übersetzt „</w:t>
      </w:r>
      <w:r w:rsidR="00C73FA4" w:rsidRPr="00C73FA4">
        <w:rPr>
          <w:b/>
          <w:bCs/>
          <w:rtl/>
        </w:rPr>
        <w:t>שָׁלֹשׁ</w:t>
      </w:r>
      <w:r w:rsidR="00C73FA4">
        <w:rPr>
          <w:rtl/>
        </w:rPr>
        <w:t xml:space="preserve"> </w:t>
      </w:r>
      <w:r w:rsidR="00C73FA4" w:rsidRPr="00C73FA4">
        <w:rPr>
          <w:b/>
          <w:bCs/>
          <w:rtl/>
        </w:rPr>
        <w:t>רְגָלִים</w:t>
      </w:r>
      <w:r w:rsidR="00C73FA4">
        <w:t>" (dreimal, wörtlich: drei Füße/Male) mit „τοῦτο τρίτον" (dieses dritte Mal), was expliziter auf die Ordinalzahl hinweist.</w:t>
      </w:r>
    </w:p>
    <w:p w14:paraId="26FE1DD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zwei koordinierte Hauptsätze: Der erste mit Verb, Subjekt und Objekt (Constructus-Verbindung); der zweite mit Verb, indirektem Objekt und direkter Rede (rhetorische Frage mit Interrogativ, Verb, indirektem Objekt, kausaler Begründung mit Verb plus Objektsuffix und Temporalphrase). Insgesamt gibt es einen Nebensatz (Kausalsatz).</w:t>
      </w:r>
    </w:p>
    <w:p w14:paraId="7DCA936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Der Vers ist der Höhepunkt der Episode: Gott gibt dem stummen Tier eine Stimme, um den blinden Propheten anzuklagen. Die Eselin wird zur Prophetin, Bileam zum Angeklagten.</w:t>
      </w:r>
    </w:p>
    <w:p w14:paraId="4E9513E0"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22,29</w:t>
      </w:r>
    </w:p>
    <w:p w14:paraId="48285403"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וַיֹּ֤אמֶר בִּלְעָם֙ לָֽאָת֔וֹן כִּ֥י הִתְעַלַּ֖לְתְּ בִּ֑י ל֤וּ יֶשׁ־חֶ֙רֶב֙ בְּיָדִ֔י כִּ֥י עַתָּ֖ה הֲרַגְתִּֽיךְ׃</w:t>
      </w:r>
    </w:p>
    <w:p w14:paraId="4E2BD68C"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Und Bileam sagte zur Eselin: Weil du Mutwillen mit mir getrieben hast. Wäre doch ein Schwert in meiner Hand, dann hätte ich dich jetzt getötet!</w:t>
      </w:r>
    </w:p>
    <w:p w14:paraId="02D2A270"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3833EA31">
          <v:rect id="_x0000_i1785" style="width:0;height:1.5pt" o:hralign="center" o:hrstd="t" o:hr="t" fillcolor="#a0a0a0" stroked="f"/>
        </w:pict>
      </w:r>
    </w:p>
    <w:p w14:paraId="65AE538A"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Bileams Antwort ist bemerkenswert: Er reagiert auf die sprechende Eselin ohne jede Überraschung – als ob Konversationen mit Tieren normal wären. Dies unterstreicht entweder seine völlige Verblendung oder einen visionären/traumhaften Zustand.</w:t>
      </w:r>
    </w:p>
    <w:p w14:paraId="6BC7BF7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Anklage </w:t>
      </w:r>
      <w:r w:rsidRPr="00232F0F">
        <w:rPr>
          <w:rFonts w:eastAsia="Times New Roman" w:cs="Times New Roman"/>
          <w:b/>
          <w:bCs/>
          <w:rtl/>
          <w:lang w:eastAsia="de-DE"/>
        </w:rPr>
        <w:t>כִּי הִתְעַלַּלְתְּ בִּי</w:t>
      </w:r>
      <w:r w:rsidRPr="00232F0F">
        <w:rPr>
          <w:rFonts w:eastAsia="Times New Roman" w:cs="Times New Roman"/>
          <w:rtl/>
          <w:lang w:eastAsia="de-DE"/>
        </w:rPr>
        <w:t xml:space="preserve"> </w:t>
      </w:r>
      <w:r w:rsidRPr="00232F0F">
        <w:rPr>
          <w:rFonts w:eastAsia="Times New Roman" w:cs="Times New Roman"/>
          <w:lang w:eastAsia="de-DE"/>
        </w:rPr>
        <w:t xml:space="preserve">(„weil du Mutwillen mit mir getrieben hast") – </w:t>
      </w:r>
      <w:r w:rsidRPr="00232F0F">
        <w:rPr>
          <w:rFonts w:eastAsia="Times New Roman" w:cs="Times New Roman"/>
          <w:b/>
          <w:bCs/>
          <w:rtl/>
          <w:lang w:eastAsia="de-DE"/>
        </w:rPr>
        <w:t>כִּי</w:t>
      </w:r>
      <w:r w:rsidRPr="00232F0F">
        <w:rPr>
          <w:rFonts w:eastAsia="Times New Roman" w:cs="Times New Roman"/>
          <w:rtl/>
          <w:lang w:eastAsia="de-DE"/>
        </w:rPr>
        <w:t xml:space="preserve"> </w:t>
      </w:r>
      <w:r w:rsidRPr="00232F0F">
        <w:rPr>
          <w:rFonts w:eastAsia="Times New Roman" w:cs="Times New Roman"/>
          <w:lang w:eastAsia="de-DE"/>
        </w:rPr>
        <w:t xml:space="preserve">kausal, </w:t>
      </w:r>
      <w:r w:rsidRPr="00232F0F">
        <w:rPr>
          <w:rFonts w:eastAsia="Times New Roman" w:cs="Times New Roman"/>
          <w:b/>
          <w:bCs/>
          <w:rtl/>
          <w:lang w:eastAsia="de-DE"/>
        </w:rPr>
        <w:t>הִתְעַלַּלְתְּ</w:t>
      </w:r>
      <w:r w:rsidRPr="00232F0F">
        <w:rPr>
          <w:rFonts w:eastAsia="Times New Roman" w:cs="Times New Roman"/>
          <w:rtl/>
          <w:lang w:eastAsia="de-DE"/>
        </w:rPr>
        <w:t xml:space="preserve"> </w:t>
      </w:r>
      <w:r w:rsidRPr="00232F0F">
        <w:rPr>
          <w:rFonts w:eastAsia="Times New Roman" w:cs="Times New Roman"/>
          <w:lang w:eastAsia="de-DE"/>
        </w:rPr>
        <w:t xml:space="preserve">(Hitpael Perfekt, 2. f. sg. von </w:t>
      </w:r>
      <w:r w:rsidRPr="00232F0F">
        <w:rPr>
          <w:rFonts w:eastAsia="Times New Roman" w:cs="Times New Roman"/>
          <w:b/>
          <w:bCs/>
          <w:rtl/>
          <w:lang w:eastAsia="de-DE"/>
        </w:rPr>
        <w:t>עלל</w:t>
      </w:r>
      <w:r w:rsidRPr="00232F0F">
        <w:rPr>
          <w:rFonts w:eastAsia="Times New Roman" w:cs="Times New Roman"/>
          <w:lang w:eastAsia="de-DE"/>
        </w:rPr>
        <w:t xml:space="preserve">, „du hast Mutwillen getrieben, hast gespottet") – das Hitpael ist reflexiv/intensiv „sich lustig machen über, verspotten, misshandeln". </w:t>
      </w:r>
      <w:r w:rsidRPr="00232F0F">
        <w:rPr>
          <w:rFonts w:eastAsia="Times New Roman" w:cs="Times New Roman"/>
          <w:b/>
          <w:bCs/>
          <w:rtl/>
          <w:lang w:eastAsia="de-DE"/>
        </w:rPr>
        <w:t>בִּי</w:t>
      </w:r>
      <w:r w:rsidRPr="00232F0F">
        <w:rPr>
          <w:rFonts w:eastAsia="Times New Roman" w:cs="Times New Roman"/>
          <w:rtl/>
          <w:lang w:eastAsia="de-DE"/>
        </w:rPr>
        <w:t xml:space="preserve"> </w:t>
      </w:r>
      <w:r w:rsidRPr="00232F0F">
        <w:rPr>
          <w:rFonts w:eastAsia="Times New Roman" w:cs="Times New Roman"/>
          <w:lang w:eastAsia="de-DE"/>
        </w:rPr>
        <w:t>„mit mir" mit Suffix 1. c. sg. Bileam beschuldigt die Eselin der absichtlichen Rebellion und Demütigung.</w:t>
      </w:r>
    </w:p>
    <w:p w14:paraId="6908D2AE"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Der kontrafaktische Wunsch </w:t>
      </w:r>
      <w:r w:rsidRPr="00232F0F">
        <w:rPr>
          <w:rFonts w:eastAsia="Times New Roman" w:cs="Times New Roman"/>
          <w:b/>
          <w:bCs/>
          <w:rtl/>
          <w:lang w:eastAsia="de-DE"/>
        </w:rPr>
        <w:t>לוּ יֶשׁ־חֶרֶב בְּיָדִי כִּי עַתָּה הֲרַגְתִּיךְ</w:t>
      </w:r>
      <w:r w:rsidRPr="00232F0F">
        <w:rPr>
          <w:rFonts w:eastAsia="Times New Roman" w:cs="Times New Roman"/>
          <w:rtl/>
          <w:lang w:eastAsia="de-DE"/>
        </w:rPr>
        <w:t xml:space="preserve"> </w:t>
      </w:r>
      <w:r w:rsidRPr="00232F0F">
        <w:rPr>
          <w:rFonts w:eastAsia="Times New Roman" w:cs="Times New Roman"/>
          <w:lang w:eastAsia="de-DE"/>
        </w:rPr>
        <w:t xml:space="preserve">(„wäre doch ein Schwert in meiner Hand, dann hätte ich dich jetzt getötet!") – </w:t>
      </w:r>
      <w:r w:rsidRPr="00232F0F">
        <w:rPr>
          <w:rFonts w:eastAsia="Times New Roman" w:cs="Times New Roman"/>
          <w:b/>
          <w:bCs/>
          <w:rtl/>
          <w:lang w:eastAsia="de-DE"/>
        </w:rPr>
        <w:t>לוּ</w:t>
      </w:r>
      <w:r w:rsidRPr="00232F0F">
        <w:rPr>
          <w:rFonts w:eastAsia="Times New Roman" w:cs="Times New Roman"/>
          <w:rtl/>
          <w:lang w:eastAsia="de-DE"/>
        </w:rPr>
        <w:t xml:space="preserve"> </w:t>
      </w:r>
      <w:r w:rsidRPr="00232F0F">
        <w:rPr>
          <w:rFonts w:eastAsia="Times New Roman" w:cs="Times New Roman"/>
          <w:lang w:eastAsia="de-DE"/>
        </w:rPr>
        <w:t xml:space="preserve">ist die Wunschpartikel „wäre doch, o dass" (kontrafaktisch), </w:t>
      </w:r>
      <w:r w:rsidRPr="00232F0F">
        <w:rPr>
          <w:rFonts w:eastAsia="Times New Roman" w:cs="Times New Roman"/>
          <w:b/>
          <w:bCs/>
          <w:rtl/>
          <w:lang w:eastAsia="de-DE"/>
        </w:rPr>
        <w:t>יֶשׁ־חֶרֶב בְּיָדִי</w:t>
      </w:r>
      <w:r w:rsidRPr="00232F0F">
        <w:rPr>
          <w:rFonts w:eastAsia="Times New Roman" w:cs="Times New Roman"/>
          <w:rtl/>
          <w:lang w:eastAsia="de-DE"/>
        </w:rPr>
        <w:t xml:space="preserve"> </w:t>
      </w:r>
      <w:r w:rsidRPr="00232F0F">
        <w:rPr>
          <w:rFonts w:eastAsia="Times New Roman" w:cs="Times New Roman"/>
          <w:lang w:eastAsia="de-DE"/>
        </w:rPr>
        <w:t xml:space="preserve">(„ein Schwert ist/wäre in meiner Hand"), </w:t>
      </w:r>
      <w:r w:rsidRPr="00232F0F">
        <w:rPr>
          <w:rFonts w:eastAsia="Times New Roman" w:cs="Times New Roman"/>
          <w:b/>
          <w:bCs/>
          <w:rtl/>
          <w:lang w:eastAsia="de-DE"/>
        </w:rPr>
        <w:t>כִּי עַתָּה</w:t>
      </w:r>
      <w:r w:rsidRPr="00232F0F">
        <w:rPr>
          <w:rFonts w:eastAsia="Times New Roman" w:cs="Times New Roman"/>
          <w:rtl/>
          <w:lang w:eastAsia="de-DE"/>
        </w:rPr>
        <w:t xml:space="preserve"> </w:t>
      </w:r>
      <w:r w:rsidRPr="00232F0F">
        <w:rPr>
          <w:rFonts w:eastAsia="Times New Roman" w:cs="Times New Roman"/>
          <w:lang w:eastAsia="de-DE"/>
        </w:rPr>
        <w:t xml:space="preserve">„denn/dann jetzt", </w:t>
      </w:r>
      <w:r w:rsidRPr="00232F0F">
        <w:rPr>
          <w:rFonts w:eastAsia="Times New Roman" w:cs="Times New Roman"/>
          <w:b/>
          <w:bCs/>
          <w:rtl/>
          <w:lang w:eastAsia="de-DE"/>
        </w:rPr>
        <w:t>הֲרַגְתִּיךְ</w:t>
      </w:r>
      <w:r w:rsidRPr="00232F0F">
        <w:rPr>
          <w:rFonts w:eastAsia="Times New Roman" w:cs="Times New Roman"/>
          <w:rtl/>
          <w:lang w:eastAsia="de-DE"/>
        </w:rPr>
        <w:t xml:space="preserve"> </w:t>
      </w:r>
      <w:r w:rsidRPr="00232F0F">
        <w:rPr>
          <w:rFonts w:eastAsia="Times New Roman" w:cs="Times New Roman"/>
          <w:lang w:eastAsia="de-DE"/>
        </w:rPr>
        <w:t xml:space="preserve">(Qal Perfekt, 1. c. sg. von </w:t>
      </w:r>
      <w:r w:rsidRPr="00232F0F">
        <w:rPr>
          <w:rFonts w:eastAsia="Times New Roman" w:cs="Times New Roman"/>
          <w:b/>
          <w:bCs/>
          <w:rtl/>
          <w:lang w:eastAsia="de-DE"/>
        </w:rPr>
        <w:t>הרג</w:t>
      </w:r>
      <w:r w:rsidRPr="00232F0F">
        <w:rPr>
          <w:rFonts w:eastAsia="Times New Roman" w:cs="Times New Roman"/>
          <w:rtl/>
          <w:lang w:eastAsia="de-DE"/>
        </w:rPr>
        <w:t xml:space="preserve"> </w:t>
      </w:r>
      <w:r w:rsidRPr="00232F0F">
        <w:rPr>
          <w:rFonts w:eastAsia="Times New Roman" w:cs="Times New Roman"/>
          <w:lang w:eastAsia="de-DE"/>
        </w:rPr>
        <w:t>mit Objektsuffix 2. f. sg., „ich hätte dich getötet").</w:t>
      </w:r>
    </w:p>
    <w:p w14:paraId="12873BB3"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lastRenderedPageBreak/>
        <w:t xml:space="preserve">Die dramatische Ironie ist überwältigend: Bileam wünscht, er hätte ein </w:t>
      </w:r>
      <w:r w:rsidRPr="00232F0F">
        <w:rPr>
          <w:rFonts w:eastAsia="Times New Roman" w:cs="Times New Roman"/>
          <w:b/>
          <w:bCs/>
          <w:lang w:eastAsia="de-DE"/>
        </w:rPr>
        <w:t>Schwert</w:t>
      </w:r>
      <w:r w:rsidRPr="00232F0F">
        <w:rPr>
          <w:rFonts w:eastAsia="Times New Roman" w:cs="Times New Roman"/>
          <w:lang w:eastAsia="de-DE"/>
        </w:rPr>
        <w:t xml:space="preserve">, um die Eselin zu töten – dabei steht ein </w:t>
      </w:r>
      <w:r w:rsidRPr="00232F0F">
        <w:rPr>
          <w:rFonts w:eastAsia="Times New Roman" w:cs="Times New Roman"/>
          <w:b/>
          <w:bCs/>
          <w:lang w:eastAsia="de-DE"/>
        </w:rPr>
        <w:t>Engel mit gezücktem Schwert</w:t>
      </w:r>
      <w:r w:rsidRPr="00232F0F">
        <w:rPr>
          <w:rFonts w:eastAsia="Times New Roman" w:cs="Times New Roman"/>
          <w:lang w:eastAsia="de-DE"/>
        </w:rPr>
        <w:t xml:space="preserve"> direkt vor ihm, unsichtbar für ihn, bereit, </w:t>
      </w:r>
      <w:r w:rsidRPr="00232F0F">
        <w:rPr>
          <w:rFonts w:eastAsia="Times New Roman" w:cs="Times New Roman"/>
          <w:b/>
          <w:bCs/>
          <w:lang w:eastAsia="de-DE"/>
        </w:rPr>
        <w:t>ihn</w:t>
      </w:r>
      <w:r w:rsidRPr="00232F0F">
        <w:rPr>
          <w:rFonts w:eastAsia="Times New Roman" w:cs="Times New Roman"/>
          <w:lang w:eastAsia="de-DE"/>
        </w:rPr>
        <w:t xml:space="preserve"> zu töten! Die Eselin hat ihn dreimal vor diesem Schwert gerettet, und er will sie dafür töten. Die moralische Verkehrung ist total.</w:t>
      </w:r>
    </w:p>
    <w:p w14:paraId="6909F760"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folgt dem hebräischen Text.</w:t>
      </w:r>
    </w:p>
    <w:p w14:paraId="3E64044D"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einen Hauptsatz mit Verb, Subjekt und indirektem Objekt, gefolgt von direkter Rede: Ein kausaler Nebensatz (Konjunktion, Verb mit Präpositionalphrase) und ein kontrafaktischer Wunschsatz (Wunschpartikel, Existenzaussage mit Subjekt und Präpositionalphrase, dann kausale Fortsetzung mit Temporaladverb und Verb mit Objektsuffix). Insgesamt gibt es zwei Nebensätze: einen Kausalsatz und einen Wunschsatz.</w:t>
      </w:r>
    </w:p>
    <w:p w14:paraId="1E05E36E"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Der Vers zeigt Bileams völlige Verblendung: Er erkennt nicht, dass die Eselin ihn rettet, und droht mit Mord – während er selbst in Todesgefahr ist. Der Prophet ist blind und töricht, das Tier weise und rettend.</w:t>
      </w:r>
    </w:p>
    <w:p w14:paraId="62F2A430"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22,30</w:t>
      </w:r>
    </w:p>
    <w:p w14:paraId="1191AC3E"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וַתֹּ֨אמֶר הָאָת֜וֹן אֶל־בִּלְעָ֗ם הֲלוֹא֩ אָנֹכִ֨י אֲתֹֽנְךָ֜ אֲשֶׁר־רָכַ֣בְתָּ עָלַ֗י מֵעֽוֹדְךָ֙ עַד־הַיּ֣וֹם הַזֶּ֔ה הַֽהַסְכֵּ֣ן הִסְכַּ֔נְתִּי לַעֲשׂ֥וֹת לְךָ֖ כֹּ֑ה וַיֹּ֖אמֶר לֹֽא׃</w:t>
      </w:r>
    </w:p>
    <w:p w14:paraId="1C89821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Und die Eselin sagte zu Bileam: Bin ich nicht deine Eselin, auf der du geritten bist seit deinem Dasein bis zum heutigen Tag? War es je meine Gewohnheit, dir so zu tun? Und er sagte: Nein.</w:t>
      </w:r>
    </w:p>
    <w:p w14:paraId="625095B4"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3AAC2B36">
          <v:rect id="_x0000_i1786" style="width:0;height:1.5pt" o:hralign="center" o:hrstd="t" o:hr="t" fillcolor="#a0a0a0" stroked="f"/>
        </w:pict>
      </w:r>
    </w:p>
    <w:p w14:paraId="488C031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Die Verteidigungsrede der Eselin beginnt mit rhetorischen Fragen. </w:t>
      </w:r>
      <w:r w:rsidRPr="00232F0F">
        <w:rPr>
          <w:rFonts w:eastAsia="Times New Roman" w:cs="Times New Roman"/>
          <w:b/>
          <w:bCs/>
          <w:rtl/>
          <w:lang w:eastAsia="de-DE"/>
        </w:rPr>
        <w:t>הֲלוֹא אָנֹכִי אֲתֹנְךָ אֲשֶׁר־רָכַבְתָּ עָלַי מֵעוֹדְךָ עַד־הַיּוֹם הַזֶּה</w:t>
      </w:r>
      <w:r w:rsidRPr="00232F0F">
        <w:rPr>
          <w:rFonts w:eastAsia="Times New Roman" w:cs="Times New Roman"/>
          <w:rtl/>
          <w:lang w:eastAsia="de-DE"/>
        </w:rPr>
        <w:t xml:space="preserve"> </w:t>
      </w:r>
      <w:r w:rsidRPr="00232F0F">
        <w:rPr>
          <w:rFonts w:eastAsia="Times New Roman" w:cs="Times New Roman"/>
          <w:lang w:eastAsia="de-DE"/>
        </w:rPr>
        <w:t xml:space="preserve">(„Bin ich nicht deine Eselin, auf der du geritten bist seit deinem Dasein bis zum heutigen Tag?") – </w:t>
      </w:r>
      <w:r w:rsidRPr="00232F0F">
        <w:rPr>
          <w:rFonts w:eastAsia="Times New Roman" w:cs="Times New Roman"/>
          <w:b/>
          <w:bCs/>
          <w:rtl/>
          <w:lang w:eastAsia="de-DE"/>
        </w:rPr>
        <w:t>הֲלוֹא</w:t>
      </w:r>
      <w:r w:rsidRPr="00232F0F">
        <w:rPr>
          <w:rFonts w:eastAsia="Times New Roman" w:cs="Times New Roman"/>
          <w:rtl/>
          <w:lang w:eastAsia="de-DE"/>
        </w:rPr>
        <w:t xml:space="preserve"> </w:t>
      </w:r>
      <w:r w:rsidRPr="00232F0F">
        <w:rPr>
          <w:rFonts w:eastAsia="Times New Roman" w:cs="Times New Roman"/>
          <w:lang w:eastAsia="de-DE"/>
        </w:rPr>
        <w:t xml:space="preserve">ist die rhetorische Fragepartikel „bin ich nicht? ist es nicht?" (erwartet Zustimmung), </w:t>
      </w:r>
      <w:r w:rsidRPr="00232F0F">
        <w:rPr>
          <w:rFonts w:eastAsia="Times New Roman" w:cs="Times New Roman"/>
          <w:b/>
          <w:bCs/>
          <w:rtl/>
          <w:lang w:eastAsia="de-DE"/>
        </w:rPr>
        <w:t>אָנֹכִי</w:t>
      </w:r>
      <w:r w:rsidRPr="00232F0F">
        <w:rPr>
          <w:rFonts w:eastAsia="Times New Roman" w:cs="Times New Roman"/>
          <w:rtl/>
          <w:lang w:eastAsia="de-DE"/>
        </w:rPr>
        <w:t xml:space="preserve"> </w:t>
      </w:r>
      <w:r w:rsidRPr="00232F0F">
        <w:rPr>
          <w:rFonts w:eastAsia="Times New Roman" w:cs="Times New Roman"/>
          <w:lang w:eastAsia="de-DE"/>
        </w:rPr>
        <w:t xml:space="preserve">emphatisches Pronomen „ich", </w:t>
      </w:r>
      <w:r w:rsidRPr="00232F0F">
        <w:rPr>
          <w:rFonts w:eastAsia="Times New Roman" w:cs="Times New Roman"/>
          <w:b/>
          <w:bCs/>
          <w:rtl/>
          <w:lang w:eastAsia="de-DE"/>
        </w:rPr>
        <w:t>אֲתֹנְךָ</w:t>
      </w:r>
      <w:r w:rsidRPr="00232F0F">
        <w:rPr>
          <w:rFonts w:eastAsia="Times New Roman" w:cs="Times New Roman"/>
          <w:rtl/>
          <w:lang w:eastAsia="de-DE"/>
        </w:rPr>
        <w:t xml:space="preserve"> </w:t>
      </w:r>
      <w:r w:rsidRPr="00232F0F">
        <w:rPr>
          <w:rFonts w:eastAsia="Times New Roman" w:cs="Times New Roman"/>
          <w:lang w:eastAsia="de-DE"/>
        </w:rPr>
        <w:t xml:space="preserve">(„deine Eselin") mit Possessivsuffix 2. m. sg. Der Relativsatz </w:t>
      </w:r>
      <w:r w:rsidRPr="00232F0F">
        <w:rPr>
          <w:rFonts w:eastAsia="Times New Roman" w:cs="Times New Roman"/>
          <w:b/>
          <w:bCs/>
          <w:rtl/>
          <w:lang w:eastAsia="de-DE"/>
        </w:rPr>
        <w:t>אֲשֶׁר־רָכַבְתָּ עָלַי</w:t>
      </w:r>
      <w:r w:rsidRPr="00232F0F">
        <w:rPr>
          <w:rFonts w:eastAsia="Times New Roman" w:cs="Times New Roman"/>
          <w:rtl/>
          <w:lang w:eastAsia="de-DE"/>
        </w:rPr>
        <w:t xml:space="preserve"> </w:t>
      </w:r>
      <w:r w:rsidRPr="00232F0F">
        <w:rPr>
          <w:rFonts w:eastAsia="Times New Roman" w:cs="Times New Roman"/>
          <w:lang w:eastAsia="de-DE"/>
        </w:rPr>
        <w:t xml:space="preserve">(„auf der du geritten bist") – </w:t>
      </w:r>
      <w:r w:rsidRPr="00232F0F">
        <w:rPr>
          <w:rFonts w:eastAsia="Times New Roman" w:cs="Times New Roman"/>
          <w:b/>
          <w:bCs/>
          <w:rtl/>
          <w:lang w:eastAsia="de-DE"/>
        </w:rPr>
        <w:t>רָכַבְתָּ</w:t>
      </w:r>
      <w:r w:rsidRPr="00232F0F">
        <w:rPr>
          <w:rFonts w:eastAsia="Times New Roman" w:cs="Times New Roman"/>
          <w:rtl/>
          <w:lang w:eastAsia="de-DE"/>
        </w:rPr>
        <w:t xml:space="preserve"> </w:t>
      </w:r>
      <w:r w:rsidRPr="00232F0F">
        <w:rPr>
          <w:rFonts w:eastAsia="Times New Roman" w:cs="Times New Roman"/>
          <w:lang w:eastAsia="de-DE"/>
        </w:rPr>
        <w:t xml:space="preserve">(Qal Perfekt, 2. m. sg. von </w:t>
      </w:r>
      <w:r w:rsidRPr="00232F0F">
        <w:rPr>
          <w:rFonts w:eastAsia="Times New Roman" w:cs="Times New Roman"/>
          <w:b/>
          <w:bCs/>
          <w:rtl/>
          <w:lang w:eastAsia="de-DE"/>
        </w:rPr>
        <w:t>רכב</w:t>
      </w:r>
      <w:r w:rsidRPr="00232F0F">
        <w:rPr>
          <w:rFonts w:eastAsia="Times New Roman" w:cs="Times New Roman"/>
          <w:lang w:eastAsia="de-DE"/>
        </w:rPr>
        <w:t xml:space="preserve">), </w:t>
      </w:r>
      <w:r w:rsidRPr="00232F0F">
        <w:rPr>
          <w:rFonts w:eastAsia="Times New Roman" w:cs="Times New Roman"/>
          <w:b/>
          <w:bCs/>
          <w:rtl/>
          <w:lang w:eastAsia="de-DE"/>
        </w:rPr>
        <w:t>עָלַי</w:t>
      </w:r>
      <w:r w:rsidRPr="00232F0F">
        <w:rPr>
          <w:rFonts w:eastAsia="Times New Roman" w:cs="Times New Roman"/>
          <w:rtl/>
          <w:lang w:eastAsia="de-DE"/>
        </w:rPr>
        <w:t xml:space="preserve"> </w:t>
      </w:r>
      <w:r w:rsidRPr="00232F0F">
        <w:rPr>
          <w:rFonts w:eastAsia="Times New Roman" w:cs="Times New Roman"/>
          <w:lang w:eastAsia="de-DE"/>
        </w:rPr>
        <w:t xml:space="preserve">„auf mir". Die Zeitangabe </w:t>
      </w:r>
      <w:r w:rsidRPr="00232F0F">
        <w:rPr>
          <w:rFonts w:eastAsia="Times New Roman" w:cs="Times New Roman"/>
          <w:b/>
          <w:bCs/>
          <w:rtl/>
          <w:lang w:eastAsia="de-DE"/>
        </w:rPr>
        <w:t>מֵעוֹדְךָ עַד־הַיּוֹם הַזֶּה</w:t>
      </w:r>
      <w:r w:rsidRPr="00232F0F">
        <w:rPr>
          <w:rFonts w:eastAsia="Times New Roman" w:cs="Times New Roman"/>
          <w:rtl/>
          <w:lang w:eastAsia="de-DE"/>
        </w:rPr>
        <w:t xml:space="preserve"> </w:t>
      </w:r>
      <w:r w:rsidRPr="00232F0F">
        <w:rPr>
          <w:rFonts w:eastAsia="Times New Roman" w:cs="Times New Roman"/>
          <w:lang w:eastAsia="de-DE"/>
        </w:rPr>
        <w:t xml:space="preserve">(„seit deinem Dasein bis zum heutigen Tag") – </w:t>
      </w:r>
      <w:r w:rsidRPr="00232F0F">
        <w:rPr>
          <w:rFonts w:eastAsia="Times New Roman" w:cs="Times New Roman"/>
          <w:b/>
          <w:bCs/>
          <w:rtl/>
          <w:lang w:eastAsia="de-DE"/>
        </w:rPr>
        <w:t>מֵעוֹדְךָ</w:t>
      </w:r>
      <w:r w:rsidRPr="00232F0F">
        <w:rPr>
          <w:rFonts w:eastAsia="Times New Roman" w:cs="Times New Roman"/>
          <w:rtl/>
          <w:lang w:eastAsia="de-DE"/>
        </w:rPr>
        <w:t xml:space="preserve"> </w:t>
      </w:r>
      <w:r w:rsidRPr="00232F0F">
        <w:rPr>
          <w:rFonts w:eastAsia="Times New Roman" w:cs="Times New Roman"/>
          <w:lang w:eastAsia="de-DE"/>
        </w:rPr>
        <w:t xml:space="preserve">(„seit deinem Dasein") von </w:t>
      </w:r>
      <w:r w:rsidRPr="00232F0F">
        <w:rPr>
          <w:rFonts w:eastAsia="Times New Roman" w:cs="Times New Roman"/>
          <w:b/>
          <w:bCs/>
          <w:rtl/>
          <w:lang w:eastAsia="de-DE"/>
        </w:rPr>
        <w:t>עוֹד</w:t>
      </w:r>
      <w:r w:rsidRPr="00232F0F">
        <w:rPr>
          <w:rFonts w:eastAsia="Times New Roman" w:cs="Times New Roman"/>
          <w:rtl/>
          <w:lang w:eastAsia="de-DE"/>
        </w:rPr>
        <w:t xml:space="preserve"> </w:t>
      </w:r>
      <w:r w:rsidRPr="00232F0F">
        <w:rPr>
          <w:rFonts w:eastAsia="Times New Roman" w:cs="Times New Roman"/>
          <w:lang w:eastAsia="de-DE"/>
        </w:rPr>
        <w:t xml:space="preserve">„noch, Dauer" mit </w:t>
      </w:r>
      <w:r w:rsidRPr="00232F0F">
        <w:rPr>
          <w:rFonts w:eastAsia="Times New Roman" w:cs="Times New Roman"/>
          <w:b/>
          <w:bCs/>
          <w:rtl/>
          <w:lang w:eastAsia="de-DE"/>
        </w:rPr>
        <w:t>מִן</w:t>
      </w:r>
      <w:r w:rsidRPr="00232F0F">
        <w:rPr>
          <w:rFonts w:eastAsia="Times New Roman" w:cs="Times New Roman"/>
          <w:rtl/>
          <w:lang w:eastAsia="de-DE"/>
        </w:rPr>
        <w:t xml:space="preserve"> </w:t>
      </w:r>
      <w:r w:rsidRPr="00232F0F">
        <w:rPr>
          <w:rFonts w:eastAsia="Times New Roman" w:cs="Times New Roman"/>
          <w:lang w:eastAsia="de-DE"/>
        </w:rPr>
        <w:t xml:space="preserve">und Possessivsuffix, </w:t>
      </w:r>
      <w:r w:rsidRPr="00232F0F">
        <w:rPr>
          <w:rFonts w:eastAsia="Times New Roman" w:cs="Times New Roman"/>
          <w:b/>
          <w:bCs/>
          <w:rtl/>
          <w:lang w:eastAsia="de-DE"/>
        </w:rPr>
        <w:t>עַד־הַיּוֹם הַזֶּה</w:t>
      </w:r>
      <w:r w:rsidRPr="00232F0F">
        <w:rPr>
          <w:rFonts w:eastAsia="Times New Roman" w:cs="Times New Roman"/>
          <w:rtl/>
          <w:lang w:eastAsia="de-DE"/>
        </w:rPr>
        <w:t xml:space="preserve"> </w:t>
      </w:r>
      <w:r w:rsidRPr="00232F0F">
        <w:rPr>
          <w:rFonts w:eastAsia="Times New Roman" w:cs="Times New Roman"/>
          <w:lang w:eastAsia="de-DE"/>
        </w:rPr>
        <w:t>(„bis zum heutigen Tag") mit Demonstrativpronomen. Die Eselin appelliert an die lange, treue Beziehung.</w:t>
      </w:r>
    </w:p>
    <w:p w14:paraId="3E5E7380" w14:textId="5F28EDA8"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zweite rhetorische Frage </w:t>
      </w:r>
      <w:r w:rsidRPr="00232F0F">
        <w:rPr>
          <w:rFonts w:eastAsia="Times New Roman" w:cs="Times New Roman"/>
          <w:b/>
          <w:bCs/>
          <w:rtl/>
          <w:lang w:eastAsia="de-DE"/>
        </w:rPr>
        <w:t>הַהַסְכֵּן הִסְכַּנְתִּי לַעֲשׂוֹת לְךָ כֹּה</w:t>
      </w:r>
      <w:r w:rsidRPr="00232F0F">
        <w:rPr>
          <w:rFonts w:eastAsia="Times New Roman" w:cs="Times New Roman"/>
          <w:rtl/>
          <w:lang w:eastAsia="de-DE"/>
        </w:rPr>
        <w:t xml:space="preserve"> </w:t>
      </w:r>
      <w:r w:rsidRPr="00232F0F">
        <w:rPr>
          <w:rFonts w:eastAsia="Times New Roman" w:cs="Times New Roman"/>
          <w:lang w:eastAsia="de-DE"/>
        </w:rPr>
        <w:t xml:space="preserve">(„War es je meine Gewohnheit, dir so zu tun?") ist grammatisch komplex: </w:t>
      </w:r>
      <w:r w:rsidRPr="00232F0F">
        <w:rPr>
          <w:rFonts w:eastAsia="Times New Roman" w:cs="Times New Roman"/>
          <w:b/>
          <w:bCs/>
          <w:rtl/>
          <w:lang w:eastAsia="de-DE"/>
        </w:rPr>
        <w:t>הַהַסְכֵּן הִסְכַּנְתִּי</w:t>
      </w:r>
      <w:r w:rsidRPr="00232F0F">
        <w:rPr>
          <w:rFonts w:eastAsia="Times New Roman" w:cs="Times New Roman"/>
          <w:rtl/>
          <w:lang w:eastAsia="de-DE"/>
        </w:rPr>
        <w:t xml:space="preserve"> </w:t>
      </w:r>
      <w:r w:rsidRPr="00232F0F">
        <w:rPr>
          <w:rFonts w:eastAsia="Times New Roman" w:cs="Times New Roman"/>
          <w:lang w:eastAsia="de-DE"/>
        </w:rPr>
        <w:t xml:space="preserve">ist eine emphatische </w:t>
      </w:r>
      <w:r w:rsidR="00F133EC">
        <w:rPr>
          <w:rFonts w:eastAsia="Times New Roman" w:cs="Times New Roman"/>
          <w:lang w:eastAsia="de-DE"/>
        </w:rPr>
        <w:t>Construct</w:t>
      </w:r>
      <w:r w:rsidRPr="00232F0F">
        <w:rPr>
          <w:rFonts w:eastAsia="Times New Roman" w:cs="Times New Roman"/>
          <w:lang w:eastAsia="de-DE"/>
        </w:rPr>
        <w:t xml:space="preserve">ion – </w:t>
      </w:r>
      <w:r w:rsidRPr="00232F0F">
        <w:rPr>
          <w:rFonts w:eastAsia="Times New Roman" w:cs="Times New Roman"/>
          <w:b/>
          <w:bCs/>
          <w:rtl/>
          <w:lang w:eastAsia="de-DE"/>
        </w:rPr>
        <w:t>הַ</w:t>
      </w:r>
      <w:r w:rsidRPr="00232F0F">
        <w:rPr>
          <w:rFonts w:eastAsia="Times New Roman" w:cs="Times New Roman"/>
          <w:rtl/>
          <w:lang w:eastAsia="de-DE"/>
        </w:rPr>
        <w:t xml:space="preserve"> </w:t>
      </w:r>
      <w:r w:rsidRPr="00232F0F">
        <w:rPr>
          <w:rFonts w:eastAsia="Times New Roman" w:cs="Times New Roman"/>
          <w:lang w:eastAsia="de-DE"/>
        </w:rPr>
        <w:t xml:space="preserve">Interrogativpartikel, </w:t>
      </w:r>
      <w:r w:rsidRPr="00232F0F">
        <w:rPr>
          <w:rFonts w:eastAsia="Times New Roman" w:cs="Times New Roman"/>
          <w:b/>
          <w:bCs/>
          <w:rtl/>
          <w:lang w:eastAsia="de-DE"/>
        </w:rPr>
        <w:t>הַסְכֵּן</w:t>
      </w:r>
      <w:r w:rsidRPr="00232F0F">
        <w:rPr>
          <w:rFonts w:eastAsia="Times New Roman" w:cs="Times New Roman"/>
          <w:rtl/>
          <w:lang w:eastAsia="de-DE"/>
        </w:rPr>
        <w:t xml:space="preserve"> </w:t>
      </w:r>
      <w:r w:rsidRPr="00232F0F">
        <w:rPr>
          <w:rFonts w:eastAsia="Times New Roman" w:cs="Times New Roman"/>
          <w:lang w:eastAsia="de-DE"/>
        </w:rPr>
        <w:t xml:space="preserve">(Hifil Infinitiv absolutus von </w:t>
      </w:r>
      <w:r w:rsidRPr="00232F0F">
        <w:rPr>
          <w:rFonts w:eastAsia="Times New Roman" w:cs="Times New Roman"/>
          <w:b/>
          <w:bCs/>
          <w:rtl/>
          <w:lang w:eastAsia="de-DE"/>
        </w:rPr>
        <w:t>סכן</w:t>
      </w:r>
      <w:r w:rsidRPr="00232F0F">
        <w:rPr>
          <w:rFonts w:eastAsia="Times New Roman" w:cs="Times New Roman"/>
          <w:lang w:eastAsia="de-DE"/>
        </w:rPr>
        <w:t xml:space="preserve">, „Gewohnheit haben"), </w:t>
      </w:r>
      <w:r w:rsidRPr="00232F0F">
        <w:rPr>
          <w:rFonts w:eastAsia="Times New Roman" w:cs="Times New Roman"/>
          <w:b/>
          <w:bCs/>
          <w:rtl/>
          <w:lang w:eastAsia="de-DE"/>
        </w:rPr>
        <w:t>הִסְכַּנְתִּי</w:t>
      </w:r>
      <w:r w:rsidRPr="00232F0F">
        <w:rPr>
          <w:rFonts w:eastAsia="Times New Roman" w:cs="Times New Roman"/>
          <w:rtl/>
          <w:lang w:eastAsia="de-DE"/>
        </w:rPr>
        <w:t xml:space="preserve"> </w:t>
      </w:r>
      <w:r w:rsidRPr="00232F0F">
        <w:rPr>
          <w:rFonts w:eastAsia="Times New Roman" w:cs="Times New Roman"/>
          <w:lang w:eastAsia="de-DE"/>
        </w:rPr>
        <w:t xml:space="preserve">(Hifil Perfekt, 1. c. sg. von </w:t>
      </w:r>
      <w:r w:rsidRPr="00232F0F">
        <w:rPr>
          <w:rFonts w:eastAsia="Times New Roman" w:cs="Times New Roman"/>
          <w:b/>
          <w:bCs/>
          <w:rtl/>
          <w:lang w:eastAsia="de-DE"/>
        </w:rPr>
        <w:t>סכן</w:t>
      </w:r>
      <w:r w:rsidRPr="00232F0F">
        <w:rPr>
          <w:rFonts w:eastAsia="Times New Roman" w:cs="Times New Roman"/>
          <w:lang w:eastAsia="de-DE"/>
        </w:rPr>
        <w:t xml:space="preserve">, „war es meine Gewohnheit"). Die Wurzel </w:t>
      </w:r>
      <w:r w:rsidRPr="00232F0F">
        <w:rPr>
          <w:rFonts w:eastAsia="Times New Roman" w:cs="Times New Roman"/>
          <w:b/>
          <w:bCs/>
          <w:rtl/>
          <w:lang w:eastAsia="de-DE"/>
        </w:rPr>
        <w:t>סכן</w:t>
      </w:r>
      <w:r w:rsidRPr="00232F0F">
        <w:rPr>
          <w:rFonts w:eastAsia="Times New Roman" w:cs="Times New Roman"/>
          <w:rtl/>
          <w:lang w:eastAsia="de-DE"/>
        </w:rPr>
        <w:t xml:space="preserve"> </w:t>
      </w:r>
      <w:r w:rsidRPr="00232F0F">
        <w:rPr>
          <w:rFonts w:eastAsia="Times New Roman" w:cs="Times New Roman"/>
          <w:lang w:eastAsia="de-DE"/>
        </w:rPr>
        <w:t xml:space="preserve">im Hifil bedeutet „gewohnt sein, zur Gewohnheit machen". Die figura etymologica verstärkt: „War es gewohnt mir gewohnt...?" = „War es je meine Gewohnheit?" </w:t>
      </w:r>
      <w:r w:rsidRPr="00232F0F">
        <w:rPr>
          <w:rFonts w:eastAsia="Times New Roman" w:cs="Times New Roman"/>
          <w:b/>
          <w:bCs/>
          <w:rtl/>
          <w:lang w:eastAsia="de-DE"/>
        </w:rPr>
        <w:t>לַעֲשׂוֹת לְךָ כֹּה</w:t>
      </w:r>
      <w:r w:rsidRPr="00232F0F">
        <w:rPr>
          <w:rFonts w:eastAsia="Times New Roman" w:cs="Times New Roman"/>
          <w:rtl/>
          <w:lang w:eastAsia="de-DE"/>
        </w:rPr>
        <w:t xml:space="preserve"> </w:t>
      </w:r>
      <w:r w:rsidRPr="00232F0F">
        <w:rPr>
          <w:rFonts w:eastAsia="Times New Roman" w:cs="Times New Roman"/>
          <w:lang w:eastAsia="de-DE"/>
        </w:rPr>
        <w:t xml:space="preserve">(„dir so zu tun") – finaler Infinitiv von </w:t>
      </w:r>
      <w:r w:rsidRPr="00232F0F">
        <w:rPr>
          <w:rFonts w:eastAsia="Times New Roman" w:cs="Times New Roman"/>
          <w:b/>
          <w:bCs/>
          <w:rtl/>
          <w:lang w:eastAsia="de-DE"/>
        </w:rPr>
        <w:t>עשׂה</w:t>
      </w:r>
      <w:r w:rsidRPr="00232F0F">
        <w:rPr>
          <w:rFonts w:eastAsia="Times New Roman" w:cs="Times New Roman"/>
          <w:rtl/>
          <w:lang w:eastAsia="de-DE"/>
        </w:rPr>
        <w:t xml:space="preserve"> </w:t>
      </w:r>
      <w:r w:rsidRPr="00232F0F">
        <w:rPr>
          <w:rFonts w:eastAsia="Times New Roman" w:cs="Times New Roman"/>
          <w:lang w:eastAsia="de-DE"/>
        </w:rPr>
        <w:t xml:space="preserve">mit Dativ und Adverb </w:t>
      </w:r>
      <w:r w:rsidRPr="00232F0F">
        <w:rPr>
          <w:rFonts w:eastAsia="Times New Roman" w:cs="Times New Roman"/>
          <w:b/>
          <w:bCs/>
          <w:rtl/>
          <w:lang w:eastAsia="de-DE"/>
        </w:rPr>
        <w:t>כֹּה</w:t>
      </w:r>
      <w:r w:rsidRPr="00232F0F">
        <w:rPr>
          <w:rFonts w:eastAsia="Times New Roman" w:cs="Times New Roman"/>
          <w:rtl/>
          <w:lang w:eastAsia="de-DE"/>
        </w:rPr>
        <w:t xml:space="preserve"> </w:t>
      </w:r>
      <w:r w:rsidRPr="00232F0F">
        <w:rPr>
          <w:rFonts w:eastAsia="Times New Roman" w:cs="Times New Roman"/>
          <w:lang w:eastAsia="de-DE"/>
        </w:rPr>
        <w:t xml:space="preserve">„so". Die Eselin argumentiert: Ich habe dir </w:t>
      </w:r>
      <w:r w:rsidRPr="00232F0F">
        <w:rPr>
          <w:rFonts w:eastAsia="Times New Roman" w:cs="Times New Roman"/>
          <w:b/>
          <w:bCs/>
          <w:lang w:eastAsia="de-DE"/>
        </w:rPr>
        <w:t>nie</w:t>
      </w:r>
      <w:r w:rsidRPr="00232F0F">
        <w:rPr>
          <w:rFonts w:eastAsia="Times New Roman" w:cs="Times New Roman"/>
          <w:lang w:eastAsia="de-DE"/>
        </w:rPr>
        <w:t xml:space="preserve"> zuvor Probleme gemacht – warum sollte ich heute grundlos anfangen?</w:t>
      </w:r>
    </w:p>
    <w:p w14:paraId="4881C48D"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lastRenderedPageBreak/>
        <w:t xml:space="preserve">Bileams knappe Antwort: </w:t>
      </w:r>
      <w:r w:rsidRPr="00232F0F">
        <w:rPr>
          <w:rFonts w:eastAsia="Times New Roman" w:cs="Times New Roman"/>
          <w:b/>
          <w:bCs/>
          <w:rtl/>
          <w:lang w:eastAsia="de-DE"/>
        </w:rPr>
        <w:t>וַיֹּאמֶר לֹא</w:t>
      </w:r>
      <w:r w:rsidRPr="00232F0F">
        <w:rPr>
          <w:rFonts w:eastAsia="Times New Roman" w:cs="Times New Roman"/>
          <w:rtl/>
          <w:lang w:eastAsia="de-DE"/>
        </w:rPr>
        <w:t xml:space="preserve"> </w:t>
      </w:r>
      <w:r w:rsidRPr="00232F0F">
        <w:rPr>
          <w:rFonts w:eastAsia="Times New Roman" w:cs="Times New Roman"/>
          <w:lang w:eastAsia="de-DE"/>
        </w:rPr>
        <w:t>(„und er sagte: Nein"). Er muss zugeben: Die Eselin hat recht – sie war immer treu und gehorsam. Dies ist Bileams erstes Zugeständnis, dass etwas Ungewöhnliches geschieht.</w:t>
      </w:r>
    </w:p>
    <w:p w14:paraId="355E20E7" w14:textId="6156249B"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w:t>
      </w:r>
      <w:r w:rsidR="00C73FA4">
        <w:t>übersetzt „</w:t>
      </w:r>
      <w:r w:rsidR="00C73FA4" w:rsidRPr="00C73FA4">
        <w:rPr>
          <w:b/>
          <w:bCs/>
          <w:rtl/>
        </w:rPr>
        <w:t>הַהַסְכֵּן הִסְכַּנְתִּי לַעֲשׂוֹת לְךָ כֹּה</w:t>
      </w:r>
      <w:r w:rsidR="00C73FA4">
        <w:t xml:space="preserve">" (habe ich je die Gewohnheit gehabt, dir so zu tun?) mit „μὴ ὑπεροράσει ὑπεριδοῦσα ἐποίησά σοι οὕτως" (habe ich dich je übergehend missachtet und dir so getan?), eine komplexere griechische </w:t>
      </w:r>
      <w:r w:rsidR="00F133EC">
        <w:t>Construct</w:t>
      </w:r>
      <w:r w:rsidR="00C73FA4">
        <w:t>ion.</w:t>
      </w:r>
    </w:p>
    <w:p w14:paraId="772102ED" w14:textId="37C5B8A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Die Satzstruktur zeigt drei Hauptsätze: Verb, Subjekt, indirektes Objekt; die direkte Rede enthält zwei rhetorische Fragen (die erste mit emphatischem Pronomen, Prädikatsnomen mit Possessivsuffix, Relativsatz und Zeitangabe; die zweite mit emphatischer Infinitiv-</w:t>
      </w:r>
      <w:r w:rsidR="00F133EC">
        <w:rPr>
          <w:rFonts w:eastAsia="Times New Roman" w:cs="Times New Roman"/>
          <w:lang w:eastAsia="de-DE"/>
        </w:rPr>
        <w:t>Construct</w:t>
      </w:r>
      <w:r w:rsidRPr="00232F0F">
        <w:rPr>
          <w:rFonts w:eastAsia="Times New Roman" w:cs="Times New Roman"/>
          <w:lang w:eastAsia="de-DE"/>
        </w:rPr>
        <w:t>ion und finalem Infinitiv); abschließender Hauptsatz mit Verb und Negation als Antwort. Insgesamt gibt es zwei Nebensätze: einen Relativsatz und einen finalen Infinitivsatz.</w:t>
      </w:r>
    </w:p>
    <w:p w14:paraId="487A231A"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Der Vers zeigt die Eselin als rationale, eloquente Verteidigerin: Sie argumentiert aus Erfahrung und Logik. Bileam muss ihre Argumente anerkennen – das Tier ist nicht nur sprachfähig, sondern auch vernünftiger als der Mensch.</w:t>
      </w:r>
    </w:p>
    <w:p w14:paraId="10A17098"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22,31</w:t>
      </w:r>
    </w:p>
    <w:p w14:paraId="1C692A06"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וַיְגַ֣ל יְהוָה֮ אֶת־עֵינֵ֣י בִלְעָם֒ וַיַּ֞רְא אֶת־מַלְאַ֤ךְ יְהוָה֙ נִצָּ֣ב בַּדֶּ֔רֶךְ וְחַרְבֹּ֥ו שְׁלֻפָ֖ה בְּיָדֹ֑ו וַיִּקֹּ֥ד וַיִּשְׁתַּ֖חוּ לְאַפָּֽיו׃</w:t>
      </w:r>
    </w:p>
    <w:p w14:paraId="097DE18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Da enthüllte der Ewige die Augen Bileams, und er sah den Boten des Ewigen auf dem Weg stehen mit seinem gezückten Schwert in seiner Hand. Und er verneigte sich und warf sich auf sein Angesicht.</w:t>
      </w:r>
    </w:p>
    <w:p w14:paraId="3D40C39E"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7A028AD5">
          <v:rect id="_x0000_i1787" style="width:0;height:1.5pt" o:hralign="center" o:hrstd="t" o:hr="t" fillcolor="#a0a0a0" stroked="f"/>
        </w:pict>
      </w:r>
    </w:p>
    <w:p w14:paraId="789D4F40"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Das göttliche Eingreifen: </w:t>
      </w:r>
      <w:r w:rsidRPr="00232F0F">
        <w:rPr>
          <w:rFonts w:eastAsia="Times New Roman" w:cs="Times New Roman"/>
          <w:b/>
          <w:bCs/>
          <w:rtl/>
          <w:lang w:eastAsia="de-DE"/>
        </w:rPr>
        <w:t>וַיְגַל יְהוָה אֶת־עֵינֵי בִלְעָם</w:t>
      </w:r>
      <w:r w:rsidRPr="00232F0F">
        <w:rPr>
          <w:rFonts w:eastAsia="Times New Roman" w:cs="Times New Roman"/>
          <w:rtl/>
          <w:lang w:eastAsia="de-DE"/>
        </w:rPr>
        <w:t xml:space="preserve"> </w:t>
      </w:r>
      <w:r w:rsidRPr="00232F0F">
        <w:rPr>
          <w:rFonts w:eastAsia="Times New Roman" w:cs="Times New Roman"/>
          <w:lang w:eastAsia="de-DE"/>
        </w:rPr>
        <w:t xml:space="preserve">(„da enthüllte JHWH die Augen Bileams") – </w:t>
      </w:r>
      <w:r w:rsidRPr="00232F0F">
        <w:rPr>
          <w:rFonts w:eastAsia="Times New Roman" w:cs="Times New Roman"/>
          <w:b/>
          <w:bCs/>
          <w:rtl/>
          <w:lang w:eastAsia="de-DE"/>
        </w:rPr>
        <w:t>וַיְגַל</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גלה</w:t>
      </w:r>
      <w:r w:rsidRPr="00232F0F">
        <w:rPr>
          <w:rFonts w:eastAsia="Times New Roman" w:cs="Times New Roman"/>
          <w:rtl/>
          <w:lang w:eastAsia="de-DE"/>
        </w:rPr>
        <w:t xml:space="preserve"> </w:t>
      </w:r>
      <w:r w:rsidRPr="00232F0F">
        <w:rPr>
          <w:rFonts w:eastAsia="Times New Roman" w:cs="Times New Roman"/>
          <w:lang w:eastAsia="de-DE"/>
        </w:rPr>
        <w:t xml:space="preserve">Piel, „und er enthüllte, deckte auf"), </w:t>
      </w:r>
      <w:r w:rsidRPr="00232F0F">
        <w:rPr>
          <w:rFonts w:eastAsia="Times New Roman" w:cs="Times New Roman"/>
          <w:b/>
          <w:bCs/>
          <w:rtl/>
          <w:lang w:eastAsia="de-DE"/>
        </w:rPr>
        <w:t>יְהוָה</w:t>
      </w:r>
      <w:r w:rsidRPr="00232F0F">
        <w:rPr>
          <w:rFonts w:eastAsia="Times New Roman" w:cs="Times New Roman"/>
          <w:rtl/>
          <w:lang w:eastAsia="de-DE"/>
        </w:rPr>
        <w:t xml:space="preserve"> </w:t>
      </w:r>
      <w:r w:rsidRPr="00232F0F">
        <w:rPr>
          <w:rFonts w:eastAsia="Times New Roman" w:cs="Times New Roman"/>
          <w:lang w:eastAsia="de-DE"/>
        </w:rPr>
        <w:t xml:space="preserve">explizites Subjekt, </w:t>
      </w:r>
      <w:r w:rsidRPr="00232F0F">
        <w:rPr>
          <w:rFonts w:eastAsia="Times New Roman" w:cs="Times New Roman"/>
          <w:b/>
          <w:bCs/>
          <w:rtl/>
          <w:lang w:eastAsia="de-DE"/>
        </w:rPr>
        <w:t>אֶת־עֵינֵי בִלְעָם</w:t>
      </w:r>
      <w:r w:rsidRPr="00232F0F">
        <w:rPr>
          <w:rFonts w:eastAsia="Times New Roman" w:cs="Times New Roman"/>
          <w:rtl/>
          <w:lang w:eastAsia="de-DE"/>
        </w:rPr>
        <w:t xml:space="preserve"> </w:t>
      </w:r>
      <w:r w:rsidRPr="00232F0F">
        <w:rPr>
          <w:rFonts w:eastAsia="Times New Roman" w:cs="Times New Roman"/>
          <w:lang w:eastAsia="de-DE"/>
        </w:rPr>
        <w:t xml:space="preserve">(„die Augen Bileams", Constructus-Verbindung). Das Verb </w:t>
      </w:r>
      <w:r w:rsidRPr="00232F0F">
        <w:rPr>
          <w:rFonts w:eastAsia="Times New Roman" w:cs="Times New Roman"/>
          <w:b/>
          <w:bCs/>
          <w:rtl/>
          <w:lang w:eastAsia="de-DE"/>
        </w:rPr>
        <w:t>גלה</w:t>
      </w:r>
      <w:r w:rsidRPr="00232F0F">
        <w:rPr>
          <w:rFonts w:eastAsia="Times New Roman" w:cs="Times New Roman"/>
          <w:rtl/>
          <w:lang w:eastAsia="de-DE"/>
        </w:rPr>
        <w:t xml:space="preserve"> </w:t>
      </w:r>
      <w:r w:rsidRPr="00232F0F">
        <w:rPr>
          <w:rFonts w:eastAsia="Times New Roman" w:cs="Times New Roman"/>
          <w:lang w:eastAsia="de-DE"/>
        </w:rPr>
        <w:t xml:space="preserve">„enthüllen, aufdecken" impliziert: Die Augen waren metaphorisch „bedeckt" – Bileam war geistlich blind. Gott </w:t>
      </w:r>
      <w:r w:rsidRPr="00232F0F">
        <w:rPr>
          <w:rFonts w:eastAsia="Times New Roman" w:cs="Times New Roman"/>
          <w:b/>
          <w:bCs/>
          <w:lang w:eastAsia="de-DE"/>
        </w:rPr>
        <w:t>öffnet</w:t>
      </w:r>
      <w:r w:rsidRPr="00232F0F">
        <w:rPr>
          <w:rFonts w:eastAsia="Times New Roman" w:cs="Times New Roman"/>
          <w:lang w:eastAsia="de-DE"/>
        </w:rPr>
        <w:t xml:space="preserve"> (V. 28: den Mund der Eselin) und </w:t>
      </w:r>
      <w:r w:rsidRPr="00232F0F">
        <w:rPr>
          <w:rFonts w:eastAsia="Times New Roman" w:cs="Times New Roman"/>
          <w:b/>
          <w:bCs/>
          <w:lang w:eastAsia="de-DE"/>
        </w:rPr>
        <w:t>enthüllt</w:t>
      </w:r>
      <w:r w:rsidRPr="00232F0F">
        <w:rPr>
          <w:rFonts w:eastAsia="Times New Roman" w:cs="Times New Roman"/>
          <w:lang w:eastAsia="de-DE"/>
        </w:rPr>
        <w:t xml:space="preserve"> (V. 31: Bileams Augen) – er kontrolliert beide Wunder.</w:t>
      </w:r>
    </w:p>
    <w:p w14:paraId="45F635B2"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Sichtung: </w:t>
      </w:r>
      <w:r w:rsidRPr="00232F0F">
        <w:rPr>
          <w:rFonts w:eastAsia="Times New Roman" w:cs="Times New Roman"/>
          <w:b/>
          <w:bCs/>
          <w:rtl/>
          <w:lang w:eastAsia="de-DE"/>
        </w:rPr>
        <w:t>וַיַּרְא אֶת־מַלְאַךְ יְהוָה נִצָּב בַּדֶּרֶךְ וְחַרְבּוֹ שְׁלֻפָה בְּיָדוֹ</w:t>
      </w:r>
      <w:r w:rsidRPr="00232F0F">
        <w:rPr>
          <w:rFonts w:eastAsia="Times New Roman" w:cs="Times New Roman"/>
          <w:rtl/>
          <w:lang w:eastAsia="de-DE"/>
        </w:rPr>
        <w:t xml:space="preserve"> </w:t>
      </w:r>
      <w:r w:rsidRPr="00232F0F">
        <w:rPr>
          <w:rFonts w:eastAsia="Times New Roman" w:cs="Times New Roman"/>
          <w:lang w:eastAsia="de-DE"/>
        </w:rPr>
        <w:t xml:space="preserve">(„und er sah den Boten JHWHs stehend auf dem Weg, und sein Schwert gezückt in seiner Hand") – identisch mit der Beschreibung in V. 23, nur dass jetzt </w:t>
      </w:r>
      <w:r w:rsidRPr="00232F0F">
        <w:rPr>
          <w:rFonts w:eastAsia="Times New Roman" w:cs="Times New Roman"/>
          <w:b/>
          <w:bCs/>
          <w:lang w:eastAsia="de-DE"/>
        </w:rPr>
        <w:t>Bileam</w:t>
      </w:r>
      <w:r w:rsidRPr="00232F0F">
        <w:rPr>
          <w:rFonts w:eastAsia="Times New Roman" w:cs="Times New Roman"/>
          <w:lang w:eastAsia="de-DE"/>
        </w:rPr>
        <w:t xml:space="preserve"> sieht, was die </w:t>
      </w:r>
      <w:r w:rsidRPr="00232F0F">
        <w:rPr>
          <w:rFonts w:eastAsia="Times New Roman" w:cs="Times New Roman"/>
          <w:b/>
          <w:bCs/>
          <w:lang w:eastAsia="de-DE"/>
        </w:rPr>
        <w:t>Eselin</w:t>
      </w:r>
      <w:r w:rsidRPr="00232F0F">
        <w:rPr>
          <w:rFonts w:eastAsia="Times New Roman" w:cs="Times New Roman"/>
          <w:lang w:eastAsia="de-DE"/>
        </w:rPr>
        <w:t xml:space="preserve"> dreimal sah. Der „Seher" wird erst jetzt zum Sehenden.</w:t>
      </w:r>
    </w:p>
    <w:p w14:paraId="1176D9CA"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Reaktion: </w:t>
      </w:r>
      <w:r w:rsidRPr="00232F0F">
        <w:rPr>
          <w:rFonts w:eastAsia="Times New Roman" w:cs="Times New Roman"/>
          <w:b/>
          <w:bCs/>
          <w:rtl/>
          <w:lang w:eastAsia="de-DE"/>
        </w:rPr>
        <w:t>וַיִּקֹּד וַיִּשְׁתַּחוּ לְאַפָּיו</w:t>
      </w:r>
      <w:r w:rsidRPr="00232F0F">
        <w:rPr>
          <w:rFonts w:eastAsia="Times New Roman" w:cs="Times New Roman"/>
          <w:rtl/>
          <w:lang w:eastAsia="de-DE"/>
        </w:rPr>
        <w:t xml:space="preserve"> </w:t>
      </w:r>
      <w:r w:rsidRPr="00232F0F">
        <w:rPr>
          <w:rFonts w:eastAsia="Times New Roman" w:cs="Times New Roman"/>
          <w:lang w:eastAsia="de-DE"/>
        </w:rPr>
        <w:t xml:space="preserve">(„und er verneigte sich und warf sich auf sein Angesicht") – </w:t>
      </w:r>
      <w:r w:rsidRPr="00232F0F">
        <w:rPr>
          <w:rFonts w:eastAsia="Times New Roman" w:cs="Times New Roman"/>
          <w:b/>
          <w:bCs/>
          <w:rtl/>
          <w:lang w:eastAsia="de-DE"/>
        </w:rPr>
        <w:t>וַיִּקֹּד</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קדד</w:t>
      </w:r>
      <w:r w:rsidRPr="00232F0F">
        <w:rPr>
          <w:rFonts w:eastAsia="Times New Roman" w:cs="Times New Roman"/>
          <w:lang w:eastAsia="de-DE"/>
        </w:rPr>
        <w:t xml:space="preserve">, „und er verneigte sich"), </w:t>
      </w:r>
      <w:r w:rsidRPr="00232F0F">
        <w:rPr>
          <w:rFonts w:eastAsia="Times New Roman" w:cs="Times New Roman"/>
          <w:b/>
          <w:bCs/>
          <w:rtl/>
          <w:lang w:eastAsia="de-DE"/>
        </w:rPr>
        <w:t>וַיִּשְׁתַּחוּ</w:t>
      </w:r>
      <w:r w:rsidRPr="00232F0F">
        <w:rPr>
          <w:rFonts w:eastAsia="Times New Roman" w:cs="Times New Roman"/>
          <w:rtl/>
          <w:lang w:eastAsia="de-DE"/>
        </w:rPr>
        <w:t xml:space="preserve"> </w:t>
      </w:r>
      <w:r w:rsidRPr="00232F0F">
        <w:rPr>
          <w:rFonts w:eastAsia="Times New Roman" w:cs="Times New Roman"/>
          <w:lang w:eastAsia="de-DE"/>
        </w:rPr>
        <w:t xml:space="preserve">(Wayyiqtol, 3. m. sg. von </w:t>
      </w:r>
      <w:r w:rsidRPr="00232F0F">
        <w:rPr>
          <w:rFonts w:eastAsia="Times New Roman" w:cs="Times New Roman"/>
          <w:b/>
          <w:bCs/>
          <w:rtl/>
          <w:lang w:eastAsia="de-DE"/>
        </w:rPr>
        <w:t>שׁחה</w:t>
      </w:r>
      <w:r w:rsidRPr="00232F0F">
        <w:rPr>
          <w:rFonts w:eastAsia="Times New Roman" w:cs="Times New Roman"/>
          <w:rtl/>
          <w:lang w:eastAsia="de-DE"/>
        </w:rPr>
        <w:t xml:space="preserve"> </w:t>
      </w:r>
      <w:r w:rsidRPr="00232F0F">
        <w:rPr>
          <w:rFonts w:eastAsia="Times New Roman" w:cs="Times New Roman"/>
          <w:lang w:eastAsia="de-DE"/>
        </w:rPr>
        <w:t xml:space="preserve">Hishtaphel, „und er warf sich nieder") – das Hishtaphel ist reflexiv-intensiv, </w:t>
      </w:r>
      <w:r w:rsidRPr="00232F0F">
        <w:rPr>
          <w:rFonts w:eastAsia="Times New Roman" w:cs="Times New Roman"/>
          <w:b/>
          <w:bCs/>
          <w:rtl/>
          <w:lang w:eastAsia="de-DE"/>
        </w:rPr>
        <w:t>לְאַפָּיו</w:t>
      </w:r>
      <w:r w:rsidRPr="00232F0F">
        <w:rPr>
          <w:rFonts w:eastAsia="Times New Roman" w:cs="Times New Roman"/>
          <w:rtl/>
          <w:lang w:eastAsia="de-DE"/>
        </w:rPr>
        <w:t xml:space="preserve"> </w:t>
      </w:r>
      <w:r w:rsidRPr="00232F0F">
        <w:rPr>
          <w:rFonts w:eastAsia="Times New Roman" w:cs="Times New Roman"/>
          <w:lang w:eastAsia="de-DE"/>
        </w:rPr>
        <w:t>(„auf sein Angesicht") mit Possessivsuffix 3. m. sg. Bileam reagiert mit vollständiger Proskynese – Anerkennung der göttlichen Autorität und Unterwerfung.</w:t>
      </w:r>
    </w:p>
    <w:p w14:paraId="178DD1F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folgt dem hebräischen Text, übersetzt </w:t>
      </w:r>
      <w:r w:rsidRPr="00232F0F">
        <w:rPr>
          <w:rFonts w:eastAsia="Times New Roman" w:cs="Times New Roman"/>
          <w:b/>
          <w:bCs/>
          <w:rtl/>
          <w:lang w:eastAsia="de-DE"/>
        </w:rPr>
        <w:t>גלה</w:t>
      </w:r>
      <w:r w:rsidRPr="00232F0F">
        <w:rPr>
          <w:rFonts w:eastAsia="Times New Roman" w:cs="Times New Roman"/>
          <w:rtl/>
          <w:lang w:eastAsia="de-DE"/>
        </w:rPr>
        <w:t xml:space="preserve"> </w:t>
      </w:r>
      <w:r w:rsidRPr="00232F0F">
        <w:rPr>
          <w:rFonts w:eastAsia="Times New Roman" w:cs="Times New Roman"/>
          <w:lang w:eastAsia="de-DE"/>
        </w:rPr>
        <w:t>mit ἀνέῳξεν (aneōixen, „öffnete").</w:t>
      </w:r>
    </w:p>
    <w:p w14:paraId="36BD5B7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lastRenderedPageBreak/>
        <w:t>Die Satzstruktur zeigt vier koordinierte Hauptsätze: Der erste mit Verb, Subjekt und Objekt (Constructus-Verbindung); der zweite mit Verb, Objekt und partizipialer Beschreibung plus weiterer nominaler Phrase; die letzten beiden mit Verb und Präpositionalphrase. Es gibt keine Nebensätze.</w:t>
      </w:r>
    </w:p>
    <w:p w14:paraId="196B5A99"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Der Vers markiert die Wende: Bileams geistliche Blindheit wird aufgehoben. Er sieht endlich die tödliche Gefahr, vor der die Eselin ihn gerettet hat. Seine Reaktion ist angemessen: totale Demütigung vor dem göttlichen Boten.</w:t>
      </w:r>
    </w:p>
    <w:p w14:paraId="50BD81C1" w14:textId="77777777" w:rsidR="00232F0F" w:rsidRPr="00232F0F" w:rsidRDefault="00232F0F" w:rsidP="00232F0F">
      <w:pPr>
        <w:spacing w:before="100" w:beforeAutospacing="1" w:after="100" w:afterAutospacing="1" w:line="240" w:lineRule="auto"/>
        <w:outlineLvl w:val="0"/>
        <w:rPr>
          <w:rFonts w:eastAsia="Times New Roman" w:cs="Times New Roman"/>
          <w:b/>
          <w:bCs/>
          <w:kern w:val="36"/>
          <w:sz w:val="48"/>
          <w:szCs w:val="48"/>
          <w:lang w:eastAsia="de-DE"/>
        </w:rPr>
      </w:pPr>
      <w:r w:rsidRPr="00232F0F">
        <w:rPr>
          <w:rFonts w:eastAsia="Times New Roman" w:cs="Times New Roman"/>
          <w:b/>
          <w:bCs/>
          <w:kern w:val="36"/>
          <w:sz w:val="48"/>
          <w:szCs w:val="48"/>
          <w:lang w:eastAsia="de-DE"/>
        </w:rPr>
        <w:t>Numeri 22,32</w:t>
      </w:r>
    </w:p>
    <w:p w14:paraId="1127A3DB"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Hebräisch:</w:t>
      </w:r>
      <w:r w:rsidRPr="00232F0F">
        <w:rPr>
          <w:rFonts w:eastAsia="Times New Roman" w:cs="Times New Roman"/>
          <w:lang w:eastAsia="de-DE"/>
        </w:rPr>
        <w:t xml:space="preserve"> </w:t>
      </w:r>
      <w:r w:rsidRPr="00232F0F">
        <w:rPr>
          <w:rFonts w:eastAsia="Times New Roman" w:cs="Times New Roman"/>
          <w:rtl/>
          <w:lang w:eastAsia="de-DE"/>
        </w:rPr>
        <w:t>וַיֹּ֤אמֶר אֵלָיו֙ מַלְאַ֣ךְ יְהוָ֔ה עַל־מָ֗ה הִכִּ֨יתָ֙ אֶת־אֲתֹ֣נְךָ֔ זֶ֖ה שָׁל֣וֹשׁ רְגָלִ֑ים הִנֵּ֤ה אָנֹכִי֙ יָצָ֣אתִי לְשָׂטָ֔ן כִּֽי־יָרַ֥ט הַדֶּ֖רֶךְ לְנֶגְדִּֽי׃</w:t>
      </w:r>
    </w:p>
    <w:p w14:paraId="38C5BAC3"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Deutsch:</w:t>
      </w:r>
      <w:r w:rsidRPr="00232F0F">
        <w:rPr>
          <w:rFonts w:eastAsia="Times New Roman" w:cs="Times New Roman"/>
          <w:lang w:eastAsia="de-DE"/>
        </w:rPr>
        <w:t xml:space="preserve"> Und der Bote des Ewigen sprach zu ihm: Warum hast du deine Eselin diese drei Male geschlagen? Siehe, ich bin ausgezogen, dir ein Widersacher zu sein, denn der Weg stürzt ins Verderben vor mir.</w:t>
      </w:r>
    </w:p>
    <w:p w14:paraId="149A9925" w14:textId="77777777" w:rsidR="00232F0F" w:rsidRPr="00232F0F" w:rsidRDefault="00F329DD" w:rsidP="00232F0F">
      <w:pPr>
        <w:spacing w:after="0" w:line="240" w:lineRule="auto"/>
        <w:rPr>
          <w:rFonts w:eastAsia="Times New Roman" w:cs="Times New Roman"/>
          <w:lang w:eastAsia="de-DE"/>
        </w:rPr>
      </w:pPr>
      <w:r>
        <w:rPr>
          <w:rFonts w:eastAsia="Times New Roman" w:cs="Times New Roman"/>
          <w:noProof/>
          <w:lang w:eastAsia="de-DE"/>
        </w:rPr>
        <w:pict w14:anchorId="748295E6">
          <v:rect id="_x0000_i1788" style="width:0;height:1.5pt" o:hralign="center" o:hrstd="t" o:hr="t" fillcolor="#a0a0a0" stroked="f"/>
        </w:pict>
      </w:r>
    </w:p>
    <w:p w14:paraId="09F1CCCD"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Kommentar:</w:t>
      </w:r>
      <w:r w:rsidRPr="00232F0F">
        <w:rPr>
          <w:rFonts w:eastAsia="Times New Roman" w:cs="Times New Roman"/>
          <w:lang w:eastAsia="de-DE"/>
        </w:rPr>
        <w:t xml:space="preserve"> Die Anklage des Engels beginnt mit einer rhetorischen Frage: </w:t>
      </w:r>
      <w:r w:rsidRPr="00232F0F">
        <w:rPr>
          <w:rFonts w:eastAsia="Times New Roman" w:cs="Times New Roman"/>
          <w:b/>
          <w:bCs/>
          <w:rtl/>
          <w:lang w:eastAsia="de-DE"/>
        </w:rPr>
        <w:t>עַל־מָה הִכִּיתָ אֶת־אֲתֹנְךָ זֶה שָׁלֹשׁ רְגָלִים</w:t>
      </w:r>
      <w:r w:rsidRPr="00232F0F">
        <w:rPr>
          <w:rFonts w:eastAsia="Times New Roman" w:cs="Times New Roman"/>
          <w:rtl/>
          <w:lang w:eastAsia="de-DE"/>
        </w:rPr>
        <w:t xml:space="preserve"> </w:t>
      </w:r>
      <w:r w:rsidRPr="00232F0F">
        <w:rPr>
          <w:rFonts w:eastAsia="Times New Roman" w:cs="Times New Roman"/>
          <w:lang w:eastAsia="de-DE"/>
        </w:rPr>
        <w:t xml:space="preserve">(„Warum hast du deine Eselin diese drei Male geschlagen?") – </w:t>
      </w:r>
      <w:r w:rsidRPr="00232F0F">
        <w:rPr>
          <w:rFonts w:eastAsia="Times New Roman" w:cs="Times New Roman"/>
          <w:b/>
          <w:bCs/>
          <w:rtl/>
          <w:lang w:eastAsia="de-DE"/>
        </w:rPr>
        <w:t>עַל־מָה</w:t>
      </w:r>
      <w:r w:rsidRPr="00232F0F">
        <w:rPr>
          <w:rFonts w:eastAsia="Times New Roman" w:cs="Times New Roman"/>
          <w:rtl/>
          <w:lang w:eastAsia="de-DE"/>
        </w:rPr>
        <w:t xml:space="preserve"> </w:t>
      </w:r>
      <w:r w:rsidRPr="00232F0F">
        <w:rPr>
          <w:rFonts w:eastAsia="Times New Roman" w:cs="Times New Roman"/>
          <w:lang w:eastAsia="de-DE"/>
        </w:rPr>
        <w:t xml:space="preserve">„über was, warum", </w:t>
      </w:r>
      <w:r w:rsidRPr="00232F0F">
        <w:rPr>
          <w:rFonts w:eastAsia="Times New Roman" w:cs="Times New Roman"/>
          <w:b/>
          <w:bCs/>
          <w:rtl/>
          <w:lang w:eastAsia="de-DE"/>
        </w:rPr>
        <w:t>הִכִּיתָ</w:t>
      </w:r>
      <w:r w:rsidRPr="00232F0F">
        <w:rPr>
          <w:rFonts w:eastAsia="Times New Roman" w:cs="Times New Roman"/>
          <w:rtl/>
          <w:lang w:eastAsia="de-DE"/>
        </w:rPr>
        <w:t xml:space="preserve"> </w:t>
      </w:r>
      <w:r w:rsidRPr="00232F0F">
        <w:rPr>
          <w:rFonts w:eastAsia="Times New Roman" w:cs="Times New Roman"/>
          <w:lang w:eastAsia="de-DE"/>
        </w:rPr>
        <w:t xml:space="preserve">(Hifil Perfekt, 2. m. sg. von </w:t>
      </w:r>
      <w:r w:rsidRPr="00232F0F">
        <w:rPr>
          <w:rFonts w:eastAsia="Times New Roman" w:cs="Times New Roman"/>
          <w:b/>
          <w:bCs/>
          <w:rtl/>
          <w:lang w:eastAsia="de-DE"/>
        </w:rPr>
        <w:t>נכה</w:t>
      </w:r>
      <w:r w:rsidRPr="00232F0F">
        <w:rPr>
          <w:rFonts w:eastAsia="Times New Roman" w:cs="Times New Roman"/>
          <w:lang w:eastAsia="de-DE"/>
        </w:rPr>
        <w:t xml:space="preserve">, „du hast geschlagen"), </w:t>
      </w:r>
      <w:r w:rsidRPr="00232F0F">
        <w:rPr>
          <w:rFonts w:eastAsia="Times New Roman" w:cs="Times New Roman"/>
          <w:b/>
          <w:bCs/>
          <w:rtl/>
          <w:lang w:eastAsia="de-DE"/>
        </w:rPr>
        <w:t>אֶת־אֲתֹנְךָ</w:t>
      </w:r>
      <w:r w:rsidRPr="00232F0F">
        <w:rPr>
          <w:rFonts w:eastAsia="Times New Roman" w:cs="Times New Roman"/>
          <w:rtl/>
          <w:lang w:eastAsia="de-DE"/>
        </w:rPr>
        <w:t xml:space="preserve"> </w:t>
      </w:r>
      <w:r w:rsidRPr="00232F0F">
        <w:rPr>
          <w:rFonts w:eastAsia="Times New Roman" w:cs="Times New Roman"/>
          <w:lang w:eastAsia="de-DE"/>
        </w:rPr>
        <w:t xml:space="preserve">(„deine Eselin") mit Possessivsuffix, </w:t>
      </w:r>
      <w:r w:rsidRPr="00232F0F">
        <w:rPr>
          <w:rFonts w:eastAsia="Times New Roman" w:cs="Times New Roman"/>
          <w:b/>
          <w:bCs/>
          <w:rtl/>
          <w:lang w:eastAsia="de-DE"/>
        </w:rPr>
        <w:t>זֶה שָׁלֹשׁ רְגָלִים</w:t>
      </w:r>
      <w:r w:rsidRPr="00232F0F">
        <w:rPr>
          <w:rFonts w:eastAsia="Times New Roman" w:cs="Times New Roman"/>
          <w:rtl/>
          <w:lang w:eastAsia="de-DE"/>
        </w:rPr>
        <w:t xml:space="preserve"> </w:t>
      </w:r>
      <w:r w:rsidRPr="00232F0F">
        <w:rPr>
          <w:rFonts w:eastAsia="Times New Roman" w:cs="Times New Roman"/>
          <w:lang w:eastAsia="de-DE"/>
        </w:rPr>
        <w:t>„diese drei Male" wie in V. 28. Der Engel wiederholt die Anklage der Eselin – er stellt sich auf ihre Seite!</w:t>
      </w:r>
    </w:p>
    <w:p w14:paraId="1C4A9C55" w14:textId="3C06677C"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Selbstoffenbarung: </w:t>
      </w:r>
      <w:r w:rsidRPr="00232F0F">
        <w:rPr>
          <w:rFonts w:eastAsia="Times New Roman" w:cs="Times New Roman"/>
          <w:b/>
          <w:bCs/>
          <w:rtl/>
          <w:lang w:eastAsia="de-DE"/>
        </w:rPr>
        <w:t>הִנֵּה אָנֹכִי יָצָאתִי לְשָׂטָן</w:t>
      </w:r>
      <w:r w:rsidRPr="00232F0F">
        <w:rPr>
          <w:rFonts w:eastAsia="Times New Roman" w:cs="Times New Roman"/>
          <w:rtl/>
          <w:lang w:eastAsia="de-DE"/>
        </w:rPr>
        <w:t xml:space="preserve"> </w:t>
      </w:r>
      <w:r w:rsidRPr="00232F0F">
        <w:rPr>
          <w:rFonts w:eastAsia="Times New Roman" w:cs="Times New Roman"/>
          <w:lang w:eastAsia="de-DE"/>
        </w:rPr>
        <w:t xml:space="preserve">(„siehe, ich bin ausgezogen als Widersacher") – </w:t>
      </w:r>
      <w:r w:rsidRPr="00232F0F">
        <w:rPr>
          <w:rFonts w:eastAsia="Times New Roman" w:cs="Times New Roman"/>
          <w:b/>
          <w:bCs/>
          <w:rtl/>
          <w:lang w:eastAsia="de-DE"/>
        </w:rPr>
        <w:t>הִנֵּה</w:t>
      </w:r>
      <w:r w:rsidRPr="00232F0F">
        <w:rPr>
          <w:rFonts w:eastAsia="Times New Roman" w:cs="Times New Roman"/>
          <w:rtl/>
          <w:lang w:eastAsia="de-DE"/>
        </w:rPr>
        <w:t xml:space="preserve"> </w:t>
      </w:r>
      <w:r w:rsidRPr="00232F0F">
        <w:rPr>
          <w:rFonts w:eastAsia="Times New Roman" w:cs="Times New Roman"/>
          <w:lang w:eastAsia="de-DE"/>
        </w:rPr>
        <w:t xml:space="preserve">Interjektion, </w:t>
      </w:r>
      <w:r w:rsidRPr="00232F0F">
        <w:rPr>
          <w:rFonts w:eastAsia="Times New Roman" w:cs="Times New Roman"/>
          <w:b/>
          <w:bCs/>
          <w:rtl/>
          <w:lang w:eastAsia="de-DE"/>
        </w:rPr>
        <w:t>אָנֹכִי</w:t>
      </w:r>
      <w:r w:rsidRPr="00232F0F">
        <w:rPr>
          <w:rFonts w:eastAsia="Times New Roman" w:cs="Times New Roman"/>
          <w:rtl/>
          <w:lang w:eastAsia="de-DE"/>
        </w:rPr>
        <w:t xml:space="preserve"> </w:t>
      </w:r>
      <w:r w:rsidRPr="00232F0F">
        <w:rPr>
          <w:rFonts w:eastAsia="Times New Roman" w:cs="Times New Roman"/>
          <w:lang w:eastAsia="de-DE"/>
        </w:rPr>
        <w:t xml:space="preserve">emphatisches Pronomen, </w:t>
      </w:r>
      <w:r w:rsidRPr="00232F0F">
        <w:rPr>
          <w:rFonts w:eastAsia="Times New Roman" w:cs="Times New Roman"/>
          <w:b/>
          <w:bCs/>
          <w:rtl/>
          <w:lang w:eastAsia="de-DE"/>
        </w:rPr>
        <w:t>יָצָאתִי</w:t>
      </w:r>
      <w:r w:rsidRPr="00232F0F">
        <w:rPr>
          <w:rFonts w:eastAsia="Times New Roman" w:cs="Times New Roman"/>
          <w:rtl/>
          <w:lang w:eastAsia="de-DE"/>
        </w:rPr>
        <w:t xml:space="preserve"> </w:t>
      </w:r>
      <w:r w:rsidRPr="00232F0F">
        <w:rPr>
          <w:rFonts w:eastAsia="Times New Roman" w:cs="Times New Roman"/>
          <w:lang w:eastAsia="de-DE"/>
        </w:rPr>
        <w:t xml:space="preserve">(Qal Perfekt, 1. c. sg. von </w:t>
      </w:r>
      <w:r w:rsidRPr="00232F0F">
        <w:rPr>
          <w:rFonts w:eastAsia="Times New Roman" w:cs="Times New Roman"/>
          <w:b/>
          <w:bCs/>
          <w:rtl/>
          <w:lang w:eastAsia="de-DE"/>
        </w:rPr>
        <w:t>יצא</w:t>
      </w:r>
      <w:r w:rsidRPr="00232F0F">
        <w:rPr>
          <w:rFonts w:eastAsia="Times New Roman" w:cs="Times New Roman"/>
          <w:lang w:eastAsia="de-DE"/>
        </w:rPr>
        <w:t xml:space="preserve">, „ich bin ausgezogen"), </w:t>
      </w:r>
      <w:r w:rsidRPr="00232F0F">
        <w:rPr>
          <w:rFonts w:eastAsia="Times New Roman" w:cs="Times New Roman"/>
          <w:b/>
          <w:bCs/>
          <w:rtl/>
          <w:lang w:eastAsia="de-DE"/>
        </w:rPr>
        <w:t>לְשָׂטָן</w:t>
      </w:r>
      <w:r w:rsidRPr="00232F0F">
        <w:rPr>
          <w:rFonts w:eastAsia="Times New Roman" w:cs="Times New Roman"/>
          <w:rtl/>
          <w:lang w:eastAsia="de-DE"/>
        </w:rPr>
        <w:t xml:space="preserve"> </w:t>
      </w:r>
      <w:r w:rsidRPr="00232F0F">
        <w:rPr>
          <w:rFonts w:eastAsia="Times New Roman" w:cs="Times New Roman"/>
          <w:lang w:eastAsia="de-DE"/>
        </w:rPr>
        <w:t xml:space="preserve">(„als Widersacher") mit </w:t>
      </w:r>
      <w:r w:rsidRPr="00232F0F">
        <w:rPr>
          <w:rFonts w:eastAsia="Times New Roman" w:cs="Times New Roman"/>
          <w:b/>
          <w:bCs/>
          <w:rtl/>
          <w:lang w:eastAsia="de-DE"/>
        </w:rPr>
        <w:t>לְ</w:t>
      </w:r>
      <w:r w:rsidRPr="00232F0F">
        <w:rPr>
          <w:rFonts w:eastAsia="Times New Roman" w:cs="Times New Roman"/>
          <w:rtl/>
          <w:lang w:eastAsia="de-DE"/>
        </w:rPr>
        <w:t xml:space="preserve"> </w:t>
      </w:r>
      <w:r w:rsidRPr="00232F0F">
        <w:rPr>
          <w:rFonts w:eastAsia="Times New Roman" w:cs="Times New Roman"/>
          <w:lang w:eastAsia="de-DE"/>
        </w:rPr>
        <w:t xml:space="preserve">– wieder das Nomen </w:t>
      </w:r>
      <w:r w:rsidRPr="00232F0F">
        <w:rPr>
          <w:rFonts w:eastAsia="Times New Roman" w:cs="Times New Roman"/>
          <w:b/>
          <w:bCs/>
          <w:rtl/>
          <w:lang w:eastAsia="de-DE"/>
        </w:rPr>
        <w:t>שָׂטָן</w:t>
      </w:r>
      <w:r w:rsidRPr="00232F0F">
        <w:rPr>
          <w:rFonts w:eastAsia="Times New Roman" w:cs="Times New Roman"/>
          <w:rtl/>
          <w:lang w:eastAsia="de-DE"/>
        </w:rPr>
        <w:t xml:space="preserve"> </w:t>
      </w:r>
      <w:r w:rsidRPr="00232F0F">
        <w:rPr>
          <w:rFonts w:eastAsia="Times New Roman" w:cs="Times New Roman"/>
          <w:lang w:eastAsia="de-DE"/>
        </w:rPr>
        <w:t>„Widersacher, Ankläger", nicht der Eigenname. Der Engel JHWHs wird zum Widersacher gegen Bileam – eine paradoxe göttliche Rolle.</w:t>
      </w:r>
    </w:p>
    <w:p w14:paraId="755C23C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Begründung </w:t>
      </w:r>
      <w:r w:rsidRPr="00232F0F">
        <w:rPr>
          <w:rFonts w:eastAsia="Times New Roman" w:cs="Times New Roman"/>
          <w:b/>
          <w:bCs/>
          <w:rtl/>
          <w:lang w:eastAsia="de-DE"/>
        </w:rPr>
        <w:t>כִּי־יָרַט הַדֶּרֶךְ לְנֶגְדִּי</w:t>
      </w:r>
      <w:r w:rsidRPr="00232F0F">
        <w:rPr>
          <w:rFonts w:eastAsia="Times New Roman" w:cs="Times New Roman"/>
          <w:rtl/>
          <w:lang w:eastAsia="de-DE"/>
        </w:rPr>
        <w:t xml:space="preserve"> </w:t>
      </w:r>
      <w:r w:rsidRPr="00232F0F">
        <w:rPr>
          <w:rFonts w:eastAsia="Times New Roman" w:cs="Times New Roman"/>
          <w:lang w:eastAsia="de-DE"/>
        </w:rPr>
        <w:t xml:space="preserve">ist textlich und interpretatorisch schwierig: </w:t>
      </w:r>
      <w:r w:rsidRPr="00232F0F">
        <w:rPr>
          <w:rFonts w:eastAsia="Times New Roman" w:cs="Times New Roman"/>
          <w:b/>
          <w:bCs/>
          <w:rtl/>
          <w:lang w:eastAsia="de-DE"/>
        </w:rPr>
        <w:t>כִּי</w:t>
      </w:r>
      <w:r w:rsidRPr="00232F0F">
        <w:rPr>
          <w:rFonts w:eastAsia="Times New Roman" w:cs="Times New Roman"/>
          <w:rtl/>
          <w:lang w:eastAsia="de-DE"/>
        </w:rPr>
        <w:t xml:space="preserve"> </w:t>
      </w:r>
      <w:r w:rsidRPr="00232F0F">
        <w:rPr>
          <w:rFonts w:eastAsia="Times New Roman" w:cs="Times New Roman"/>
          <w:lang w:eastAsia="de-DE"/>
        </w:rPr>
        <w:t xml:space="preserve">kausal, </w:t>
      </w:r>
      <w:r w:rsidRPr="00232F0F">
        <w:rPr>
          <w:rFonts w:eastAsia="Times New Roman" w:cs="Times New Roman"/>
          <w:b/>
          <w:bCs/>
          <w:rtl/>
          <w:lang w:eastAsia="de-DE"/>
        </w:rPr>
        <w:t>יָרַט</w:t>
      </w:r>
      <w:r w:rsidRPr="00232F0F">
        <w:rPr>
          <w:rFonts w:eastAsia="Times New Roman" w:cs="Times New Roman"/>
          <w:rtl/>
          <w:lang w:eastAsia="de-DE"/>
        </w:rPr>
        <w:t xml:space="preserve"> </w:t>
      </w:r>
      <w:r w:rsidRPr="00232F0F">
        <w:rPr>
          <w:rFonts w:eastAsia="Times New Roman" w:cs="Times New Roman"/>
          <w:lang w:eastAsia="de-DE"/>
        </w:rPr>
        <w:t xml:space="preserve">ist problematisch – die Wurzel </w:t>
      </w:r>
      <w:r w:rsidRPr="00232F0F">
        <w:rPr>
          <w:rFonts w:eastAsia="Times New Roman" w:cs="Times New Roman"/>
          <w:b/>
          <w:bCs/>
          <w:rtl/>
          <w:lang w:eastAsia="de-DE"/>
        </w:rPr>
        <w:t>ירט</w:t>
      </w:r>
      <w:r w:rsidRPr="00232F0F">
        <w:rPr>
          <w:rFonts w:eastAsia="Times New Roman" w:cs="Times New Roman"/>
          <w:rtl/>
          <w:lang w:eastAsia="de-DE"/>
        </w:rPr>
        <w:t xml:space="preserve"> </w:t>
      </w:r>
      <w:r w:rsidRPr="00232F0F">
        <w:rPr>
          <w:rFonts w:eastAsia="Times New Roman" w:cs="Times New Roman"/>
          <w:lang w:eastAsia="de-DE"/>
        </w:rPr>
        <w:t>ist selten und unklar. Mögliche Bedeutungen:</w:t>
      </w:r>
    </w:p>
    <w:p w14:paraId="6AD533ED" w14:textId="77777777" w:rsidR="00232F0F" w:rsidRPr="00232F0F" w:rsidRDefault="00232F0F" w:rsidP="00C15C06">
      <w:pPr>
        <w:numPr>
          <w:ilvl w:val="0"/>
          <w:numId w:val="10"/>
        </w:num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Von </w:t>
      </w:r>
      <w:r w:rsidRPr="00232F0F">
        <w:rPr>
          <w:rFonts w:eastAsia="Times New Roman" w:cs="Times New Roman"/>
          <w:b/>
          <w:bCs/>
          <w:rtl/>
          <w:lang w:eastAsia="de-DE"/>
        </w:rPr>
        <w:t>רוט</w:t>
      </w:r>
      <w:r w:rsidRPr="00232F0F">
        <w:rPr>
          <w:rFonts w:eastAsia="Times New Roman" w:cs="Times New Roman"/>
          <w:rtl/>
          <w:lang w:eastAsia="de-DE"/>
        </w:rPr>
        <w:t xml:space="preserve"> </w:t>
      </w:r>
      <w:r w:rsidRPr="00232F0F">
        <w:rPr>
          <w:rFonts w:eastAsia="Times New Roman" w:cs="Times New Roman"/>
          <w:lang w:eastAsia="de-DE"/>
        </w:rPr>
        <w:t>„laufen, stürzen" – „der Weg stürzt/eilt ins Verderben" (so LXX, Vulgata)</w:t>
      </w:r>
    </w:p>
    <w:p w14:paraId="1035F294" w14:textId="77777777" w:rsidR="00232F0F" w:rsidRPr="00232F0F" w:rsidRDefault="00232F0F" w:rsidP="00C15C06">
      <w:pPr>
        <w:numPr>
          <w:ilvl w:val="0"/>
          <w:numId w:val="10"/>
        </w:num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Von </w:t>
      </w:r>
      <w:r w:rsidRPr="00232F0F">
        <w:rPr>
          <w:rFonts w:eastAsia="Times New Roman" w:cs="Times New Roman"/>
          <w:b/>
          <w:bCs/>
          <w:rtl/>
          <w:lang w:eastAsia="de-DE"/>
        </w:rPr>
        <w:t>ירא</w:t>
      </w:r>
      <w:r w:rsidRPr="00232F0F">
        <w:rPr>
          <w:rFonts w:eastAsia="Times New Roman" w:cs="Times New Roman"/>
          <w:rtl/>
          <w:lang w:eastAsia="de-DE"/>
        </w:rPr>
        <w:t xml:space="preserve"> </w:t>
      </w:r>
      <w:r w:rsidRPr="00232F0F">
        <w:rPr>
          <w:rFonts w:eastAsia="Times New Roman" w:cs="Times New Roman"/>
          <w:lang w:eastAsia="de-DE"/>
        </w:rPr>
        <w:t>„fürchten" – „[weil du] gefürchtet hast"</w:t>
      </w:r>
    </w:p>
    <w:p w14:paraId="00A7C567" w14:textId="77777777" w:rsidR="00232F0F" w:rsidRPr="00232F0F" w:rsidRDefault="00232F0F" w:rsidP="00C15C06">
      <w:pPr>
        <w:numPr>
          <w:ilvl w:val="0"/>
          <w:numId w:val="10"/>
        </w:num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Von </w:t>
      </w:r>
      <w:r w:rsidRPr="00232F0F">
        <w:rPr>
          <w:rFonts w:eastAsia="Times New Roman" w:cs="Times New Roman"/>
          <w:b/>
          <w:bCs/>
          <w:rtl/>
          <w:lang w:eastAsia="de-DE"/>
        </w:rPr>
        <w:t>ירט</w:t>
      </w:r>
      <w:r w:rsidRPr="00232F0F">
        <w:rPr>
          <w:rFonts w:eastAsia="Times New Roman" w:cs="Times New Roman"/>
          <w:rtl/>
          <w:lang w:eastAsia="de-DE"/>
        </w:rPr>
        <w:t xml:space="preserve"> </w:t>
      </w:r>
      <w:r w:rsidRPr="00232F0F">
        <w:rPr>
          <w:rFonts w:eastAsia="Times New Roman" w:cs="Times New Roman"/>
          <w:lang w:eastAsia="de-DE"/>
        </w:rPr>
        <w:t>„übereilt, vorschnell" – „der Weg ist übereilt/voreilig"</w:t>
      </w:r>
    </w:p>
    <w:p w14:paraId="3F4CA548"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rtl/>
          <w:lang w:eastAsia="de-DE"/>
        </w:rPr>
        <w:t>הַדֶּרֶךְ</w:t>
      </w:r>
      <w:r w:rsidRPr="00232F0F">
        <w:rPr>
          <w:rFonts w:eastAsia="Times New Roman" w:cs="Times New Roman"/>
          <w:rtl/>
          <w:lang w:eastAsia="de-DE"/>
        </w:rPr>
        <w:t xml:space="preserve"> </w:t>
      </w:r>
      <w:r w:rsidRPr="00232F0F">
        <w:rPr>
          <w:rFonts w:eastAsia="Times New Roman" w:cs="Times New Roman"/>
          <w:lang w:eastAsia="de-DE"/>
        </w:rPr>
        <w:t xml:space="preserve">„der Weg" (metaphorisch für Bileams Reise/Handlung), </w:t>
      </w:r>
      <w:r w:rsidRPr="00232F0F">
        <w:rPr>
          <w:rFonts w:eastAsia="Times New Roman" w:cs="Times New Roman"/>
          <w:b/>
          <w:bCs/>
          <w:rtl/>
          <w:lang w:eastAsia="de-DE"/>
        </w:rPr>
        <w:t>לְנֶגְדִּי</w:t>
      </w:r>
      <w:r w:rsidRPr="00232F0F">
        <w:rPr>
          <w:rFonts w:eastAsia="Times New Roman" w:cs="Times New Roman"/>
          <w:rtl/>
          <w:lang w:eastAsia="de-DE"/>
        </w:rPr>
        <w:t xml:space="preserve"> </w:t>
      </w:r>
      <w:r w:rsidRPr="00232F0F">
        <w:rPr>
          <w:rFonts w:eastAsia="Times New Roman" w:cs="Times New Roman"/>
          <w:lang w:eastAsia="de-DE"/>
        </w:rPr>
        <w:t>(„vor mir, mir gegenüber") mit Suffix 1. c. sg. Der Sinn: Bileams Weg ist verwerflich, gefährlich, verderblich in Gottes Augen – deshalb die Opposition.</w:t>
      </w:r>
    </w:p>
    <w:p w14:paraId="7A6DA314" w14:textId="5EE1AA45"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b/>
          <w:bCs/>
          <w:lang w:eastAsia="de-DE"/>
        </w:rPr>
        <w:t>Die LXX</w:t>
      </w:r>
      <w:r w:rsidRPr="00232F0F">
        <w:rPr>
          <w:rFonts w:eastAsia="Times New Roman" w:cs="Times New Roman"/>
          <w:lang w:eastAsia="de-DE"/>
        </w:rPr>
        <w:t xml:space="preserve"> </w:t>
      </w:r>
      <w:r w:rsidR="00C73FA4">
        <w:t>übersetzt „</w:t>
      </w:r>
      <w:r w:rsidR="00C73FA4" w:rsidRPr="00C73FA4">
        <w:rPr>
          <w:b/>
          <w:bCs/>
          <w:rtl/>
        </w:rPr>
        <w:t>יָרַט הַדֶּרֶךְ לְנֶגְדִּי</w:t>
      </w:r>
      <w:r w:rsidR="00C73FA4">
        <w:t>" (der Weg ist abschüssig/verkehrt vor mir) mit „οὐκ ἀστεία ἡ ὁδός σου ἐναντίον μου" (nicht anständig/schicklich ist dein Weg vor mir), was eine moralische statt topographische Bewertung darstellt.</w:t>
      </w:r>
    </w:p>
    <w:p w14:paraId="5B163F75"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Die Satzstruktur zeigt einen Hauptsatz mit Verb, indirektes Objekt und Subjekt. Die direkte Rede enthält eine rhetorische Frage (Präposition, Interrogativ, Verb, Objekt mit </w:t>
      </w:r>
      <w:r w:rsidRPr="00232F0F">
        <w:rPr>
          <w:rFonts w:eastAsia="Times New Roman" w:cs="Times New Roman"/>
          <w:lang w:eastAsia="de-DE"/>
        </w:rPr>
        <w:lastRenderedPageBreak/>
        <w:t>Possessivsuffix, Demonstrativpronomen und Zeitangabe), gefolgt von einem Hauptsatz mit Interjektion, emphatischem Pronomen, Verb und Präpositionalphrase, dann einen kausalen Nebensatz mit Verb (unsicherer Bedeutung), Subjekt und Präpositionalphrase. Insgesamt gibt es einen Nebensatz (Kausalsatz).</w:t>
      </w:r>
    </w:p>
    <w:p w14:paraId="7F8D5BD1" w14:textId="77777777" w:rsidR="00232F0F" w:rsidRPr="00232F0F" w:rsidRDefault="00232F0F" w:rsidP="00232F0F">
      <w:pPr>
        <w:spacing w:before="100" w:beforeAutospacing="1" w:after="100" w:afterAutospacing="1" w:line="240" w:lineRule="auto"/>
        <w:rPr>
          <w:rFonts w:eastAsia="Times New Roman" w:cs="Times New Roman"/>
          <w:lang w:eastAsia="de-DE"/>
        </w:rPr>
      </w:pPr>
      <w:r w:rsidRPr="00232F0F">
        <w:rPr>
          <w:rFonts w:eastAsia="Times New Roman" w:cs="Times New Roman"/>
          <w:lang w:eastAsia="de-DE"/>
        </w:rPr>
        <w:t xml:space="preserve">Der Vers enthüllt: Der Engel ist gekommen, um Bileam zu </w:t>
      </w:r>
      <w:r w:rsidRPr="00232F0F">
        <w:rPr>
          <w:rFonts w:eastAsia="Times New Roman" w:cs="Times New Roman"/>
          <w:b/>
          <w:bCs/>
          <w:lang w:eastAsia="de-DE"/>
        </w:rPr>
        <w:t>widerstehen</w:t>
      </w:r>
      <w:r w:rsidRPr="00232F0F">
        <w:rPr>
          <w:rFonts w:eastAsia="Times New Roman" w:cs="Times New Roman"/>
          <w:lang w:eastAsia="de-DE"/>
        </w:rPr>
        <w:t>, weil sein Weg verderblich ist. Die dreifache Bestrafung der unschuldigen Eselin wird angeprangert – göttliche Gerechtigkeit steht auf Seiten des Tieres.</w:t>
      </w:r>
    </w:p>
    <w:p w14:paraId="309BE009"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22,33</w:t>
      </w:r>
    </w:p>
    <w:p w14:paraId="66EE7908"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וַתִּרְאַ֨נִי֙ הָֽאָת֔וֹן וַתֵּ֣ט לְפָנַ֔י זֶ֖ה שָׁלֹ֣שׁ רְגָלִ֑ים אוּלַי֙ נָטְתָ֣ה מִפָּנַ֔י כִּ֥י עַתָּ֛ה גַּם־אֹתְכָ֥ה הָרַ֖גְתִּי וְאוֹתָ֥הּ הֶחֱיֵֽיתִי׃</w:t>
      </w:r>
    </w:p>
    <w:p w14:paraId="65A617D9"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die Eselin sah mich und wich vor mir aus diese drei Male. Wenn sie nicht vor mir ausgewichen wäre, dann hätte ich dich jetzt sogar getötet und sie am Leben gelassen.</w:t>
      </w:r>
    </w:p>
    <w:p w14:paraId="2FEDC7E9"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0FD91B64">
          <v:rect id="_x0000_i1789" style="width:0;height:1.5pt" o:hralign="center" o:hrstd="t" o:hr="t" fillcolor="#a0a0a0" stroked="f"/>
        </w:pict>
      </w:r>
    </w:p>
    <w:p w14:paraId="501AF495"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Die Verteidigung der Eselin: </w:t>
      </w:r>
      <w:r w:rsidRPr="00994AD3">
        <w:rPr>
          <w:rFonts w:eastAsia="Times New Roman" w:cs="Times New Roman"/>
          <w:b/>
          <w:bCs/>
          <w:rtl/>
          <w:lang w:eastAsia="de-DE"/>
        </w:rPr>
        <w:t>וַתִּרְאַנִי הָאָתוֹן וַתֵּט לְפָנַי זֶה שָׁלֹשׁ רְגָלִים</w:t>
      </w:r>
      <w:r w:rsidRPr="00994AD3">
        <w:rPr>
          <w:rFonts w:eastAsia="Times New Roman" w:cs="Times New Roman"/>
          <w:rtl/>
          <w:lang w:eastAsia="de-DE"/>
        </w:rPr>
        <w:t xml:space="preserve"> </w:t>
      </w:r>
      <w:r w:rsidRPr="00994AD3">
        <w:rPr>
          <w:rFonts w:eastAsia="Times New Roman" w:cs="Times New Roman"/>
          <w:lang w:eastAsia="de-DE"/>
        </w:rPr>
        <w:t xml:space="preserve">(„und die Eselin sah mich und wich vor mir aus diese drei Male") – </w:t>
      </w:r>
      <w:r w:rsidRPr="00994AD3">
        <w:rPr>
          <w:rFonts w:eastAsia="Times New Roman" w:cs="Times New Roman"/>
          <w:b/>
          <w:bCs/>
          <w:rtl/>
          <w:lang w:eastAsia="de-DE"/>
        </w:rPr>
        <w:t>וַתִּרְאַנִי</w:t>
      </w:r>
      <w:r w:rsidRPr="00994AD3">
        <w:rPr>
          <w:rFonts w:eastAsia="Times New Roman" w:cs="Times New Roman"/>
          <w:rtl/>
          <w:lang w:eastAsia="de-DE"/>
        </w:rPr>
        <w:t xml:space="preserve"> </w:t>
      </w:r>
      <w:r w:rsidRPr="00994AD3">
        <w:rPr>
          <w:rFonts w:eastAsia="Times New Roman" w:cs="Times New Roman"/>
          <w:lang w:eastAsia="de-DE"/>
        </w:rPr>
        <w:t xml:space="preserve">(Wayyiqtol, 3. f. sg. von </w:t>
      </w:r>
      <w:r w:rsidRPr="00994AD3">
        <w:rPr>
          <w:rFonts w:eastAsia="Times New Roman" w:cs="Times New Roman"/>
          <w:b/>
          <w:bCs/>
          <w:rtl/>
          <w:lang w:eastAsia="de-DE"/>
        </w:rPr>
        <w:t>ראה</w:t>
      </w:r>
      <w:r w:rsidRPr="00994AD3">
        <w:rPr>
          <w:rFonts w:eastAsia="Times New Roman" w:cs="Times New Roman"/>
          <w:rtl/>
          <w:lang w:eastAsia="de-DE"/>
        </w:rPr>
        <w:t xml:space="preserve"> </w:t>
      </w:r>
      <w:r w:rsidRPr="00994AD3">
        <w:rPr>
          <w:rFonts w:eastAsia="Times New Roman" w:cs="Times New Roman"/>
          <w:lang w:eastAsia="de-DE"/>
        </w:rPr>
        <w:t xml:space="preserve">mit Objektsuffix 1. c. sg., „und sie sah mich"), </w:t>
      </w:r>
      <w:r w:rsidRPr="00994AD3">
        <w:rPr>
          <w:rFonts w:eastAsia="Times New Roman" w:cs="Times New Roman"/>
          <w:b/>
          <w:bCs/>
          <w:rtl/>
          <w:lang w:eastAsia="de-DE"/>
        </w:rPr>
        <w:t>הָאָתוֹן</w:t>
      </w:r>
      <w:r w:rsidRPr="00994AD3">
        <w:rPr>
          <w:rFonts w:eastAsia="Times New Roman" w:cs="Times New Roman"/>
          <w:rtl/>
          <w:lang w:eastAsia="de-DE"/>
        </w:rPr>
        <w:t xml:space="preserve"> </w:t>
      </w:r>
      <w:r w:rsidRPr="00994AD3">
        <w:rPr>
          <w:rFonts w:eastAsia="Times New Roman" w:cs="Times New Roman"/>
          <w:lang w:eastAsia="de-DE"/>
        </w:rPr>
        <w:t xml:space="preserve">Subjekt, </w:t>
      </w:r>
      <w:r w:rsidRPr="00994AD3">
        <w:rPr>
          <w:rFonts w:eastAsia="Times New Roman" w:cs="Times New Roman"/>
          <w:b/>
          <w:bCs/>
          <w:rtl/>
          <w:lang w:eastAsia="de-DE"/>
        </w:rPr>
        <w:t>וַתֵּט לְפָנַי</w:t>
      </w:r>
      <w:r w:rsidRPr="00994AD3">
        <w:rPr>
          <w:rFonts w:eastAsia="Times New Roman" w:cs="Times New Roman"/>
          <w:rtl/>
          <w:lang w:eastAsia="de-DE"/>
        </w:rPr>
        <w:t xml:space="preserve"> </w:t>
      </w:r>
      <w:r w:rsidRPr="00994AD3">
        <w:rPr>
          <w:rFonts w:eastAsia="Times New Roman" w:cs="Times New Roman"/>
          <w:lang w:eastAsia="de-DE"/>
        </w:rPr>
        <w:t xml:space="preserve">(„und sie wich aus vor mir") – </w:t>
      </w:r>
      <w:r w:rsidRPr="00994AD3">
        <w:rPr>
          <w:rFonts w:eastAsia="Times New Roman" w:cs="Times New Roman"/>
          <w:b/>
          <w:bCs/>
          <w:rtl/>
          <w:lang w:eastAsia="de-DE"/>
        </w:rPr>
        <w:t>וַתֵּט</w:t>
      </w:r>
      <w:r w:rsidRPr="00994AD3">
        <w:rPr>
          <w:rFonts w:eastAsia="Times New Roman" w:cs="Times New Roman"/>
          <w:rtl/>
          <w:lang w:eastAsia="de-DE"/>
        </w:rPr>
        <w:t xml:space="preserve"> </w:t>
      </w:r>
      <w:r w:rsidRPr="00994AD3">
        <w:rPr>
          <w:rFonts w:eastAsia="Times New Roman" w:cs="Times New Roman"/>
          <w:lang w:eastAsia="de-DE"/>
        </w:rPr>
        <w:t xml:space="preserve">von </w:t>
      </w:r>
      <w:r w:rsidRPr="00994AD3">
        <w:rPr>
          <w:rFonts w:eastAsia="Times New Roman" w:cs="Times New Roman"/>
          <w:b/>
          <w:bCs/>
          <w:rtl/>
          <w:lang w:eastAsia="de-DE"/>
        </w:rPr>
        <w:t>נטה</w:t>
      </w:r>
      <w:r w:rsidRPr="00994AD3">
        <w:rPr>
          <w:rFonts w:eastAsia="Times New Roman" w:cs="Times New Roman"/>
          <w:rtl/>
          <w:lang w:eastAsia="de-DE"/>
        </w:rPr>
        <w:t xml:space="preserve"> </w:t>
      </w:r>
      <w:r w:rsidRPr="00994AD3">
        <w:rPr>
          <w:rFonts w:eastAsia="Times New Roman" w:cs="Times New Roman"/>
          <w:lang w:eastAsia="de-DE"/>
        </w:rPr>
        <w:t xml:space="preserve">„abbiegen, ausweichen", </w:t>
      </w:r>
      <w:r w:rsidRPr="00994AD3">
        <w:rPr>
          <w:rFonts w:eastAsia="Times New Roman" w:cs="Times New Roman"/>
          <w:b/>
          <w:bCs/>
          <w:rtl/>
          <w:lang w:eastAsia="de-DE"/>
        </w:rPr>
        <w:t>לְפָנַי</w:t>
      </w:r>
      <w:r w:rsidRPr="00994AD3">
        <w:rPr>
          <w:rFonts w:eastAsia="Times New Roman" w:cs="Times New Roman"/>
          <w:rtl/>
          <w:lang w:eastAsia="de-DE"/>
        </w:rPr>
        <w:t xml:space="preserve"> </w:t>
      </w:r>
      <w:r w:rsidRPr="00994AD3">
        <w:rPr>
          <w:rFonts w:eastAsia="Times New Roman" w:cs="Times New Roman"/>
          <w:lang w:eastAsia="de-DE"/>
        </w:rPr>
        <w:t xml:space="preserve">„vor mir". Der Engel bestätigt: Die Eselin </w:t>
      </w:r>
      <w:r w:rsidRPr="00994AD3">
        <w:rPr>
          <w:rFonts w:eastAsia="Times New Roman" w:cs="Times New Roman"/>
          <w:b/>
          <w:bCs/>
          <w:lang w:eastAsia="de-DE"/>
        </w:rPr>
        <w:t>sah</w:t>
      </w:r>
      <w:r w:rsidRPr="00994AD3">
        <w:rPr>
          <w:rFonts w:eastAsia="Times New Roman" w:cs="Times New Roman"/>
          <w:lang w:eastAsia="de-DE"/>
        </w:rPr>
        <w:t xml:space="preserve"> ihn dreimal (was Bileam nicht konnte) und </w:t>
      </w:r>
      <w:r w:rsidRPr="00994AD3">
        <w:rPr>
          <w:rFonts w:eastAsia="Times New Roman" w:cs="Times New Roman"/>
          <w:b/>
          <w:bCs/>
          <w:lang w:eastAsia="de-DE"/>
        </w:rPr>
        <w:t>wich aus</w:t>
      </w:r>
      <w:r w:rsidRPr="00994AD3">
        <w:rPr>
          <w:rFonts w:eastAsia="Times New Roman" w:cs="Times New Roman"/>
          <w:lang w:eastAsia="de-DE"/>
        </w:rPr>
        <w:t xml:space="preserve"> (was Bileam rettete).</w:t>
      </w:r>
    </w:p>
    <w:p w14:paraId="3525E826"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kontrafaktische Bedingung: </w:t>
      </w:r>
      <w:r w:rsidRPr="00994AD3">
        <w:rPr>
          <w:rFonts w:eastAsia="Times New Roman" w:cs="Times New Roman"/>
          <w:b/>
          <w:bCs/>
          <w:rtl/>
          <w:lang w:eastAsia="de-DE"/>
        </w:rPr>
        <w:t>אוּלַי נָטְתָה מִפָּנַי כִּי עַתָּה גַּם־אֹתְכָה הָרַגְתִּי וְאוֹתָהּ הֶחֱיֵיתִי</w:t>
      </w:r>
      <w:r w:rsidRPr="00994AD3">
        <w:rPr>
          <w:rFonts w:eastAsia="Times New Roman" w:cs="Times New Roman"/>
          <w:rtl/>
          <w:lang w:eastAsia="de-DE"/>
        </w:rPr>
        <w:t xml:space="preserve"> </w:t>
      </w:r>
      <w:r w:rsidRPr="00994AD3">
        <w:rPr>
          <w:rFonts w:eastAsia="Times New Roman" w:cs="Times New Roman"/>
          <w:lang w:eastAsia="de-DE"/>
        </w:rPr>
        <w:t xml:space="preserve">(„wenn sie nicht vor mir ausgewichen wäre, dann hätte ich dich sogar getötet und sie am Leben gelassen") ist grammatisch komplex. </w:t>
      </w:r>
      <w:r w:rsidRPr="00994AD3">
        <w:rPr>
          <w:rFonts w:eastAsia="Times New Roman" w:cs="Times New Roman"/>
          <w:b/>
          <w:bCs/>
          <w:rtl/>
          <w:lang w:eastAsia="de-DE"/>
        </w:rPr>
        <w:t>אוּלַי</w:t>
      </w:r>
      <w:r w:rsidRPr="00994AD3">
        <w:rPr>
          <w:rFonts w:eastAsia="Times New Roman" w:cs="Times New Roman"/>
          <w:rtl/>
          <w:lang w:eastAsia="de-DE"/>
        </w:rPr>
        <w:t xml:space="preserve"> </w:t>
      </w:r>
      <w:r w:rsidRPr="00994AD3">
        <w:rPr>
          <w:rFonts w:eastAsia="Times New Roman" w:cs="Times New Roman"/>
          <w:lang w:eastAsia="de-DE"/>
        </w:rPr>
        <w:t xml:space="preserve">bedeutet normalerweise „vielleicht", wird hier aber in der Bedeutung „wenn nicht" (konditional-negativ) verwendet – eine seltene Verwendung. </w:t>
      </w:r>
      <w:r w:rsidRPr="00994AD3">
        <w:rPr>
          <w:rFonts w:eastAsia="Times New Roman" w:cs="Times New Roman"/>
          <w:b/>
          <w:bCs/>
          <w:rtl/>
          <w:lang w:eastAsia="de-DE"/>
        </w:rPr>
        <w:t>נָטְתָה מִפָּנַי</w:t>
      </w:r>
      <w:r w:rsidRPr="00994AD3">
        <w:rPr>
          <w:rFonts w:eastAsia="Times New Roman" w:cs="Times New Roman"/>
          <w:rtl/>
          <w:lang w:eastAsia="de-DE"/>
        </w:rPr>
        <w:t xml:space="preserve"> </w:t>
      </w:r>
      <w:r w:rsidRPr="00994AD3">
        <w:rPr>
          <w:rFonts w:eastAsia="Times New Roman" w:cs="Times New Roman"/>
          <w:lang w:eastAsia="de-DE"/>
        </w:rPr>
        <w:t xml:space="preserve">(Qal Perfekt, 3. f. sg. von </w:t>
      </w:r>
      <w:r w:rsidRPr="00994AD3">
        <w:rPr>
          <w:rFonts w:eastAsia="Times New Roman" w:cs="Times New Roman"/>
          <w:b/>
          <w:bCs/>
          <w:rtl/>
          <w:lang w:eastAsia="de-DE"/>
        </w:rPr>
        <w:t>נטה</w:t>
      </w:r>
      <w:r w:rsidRPr="00994AD3">
        <w:rPr>
          <w:rFonts w:eastAsia="Times New Roman" w:cs="Times New Roman"/>
          <w:lang w:eastAsia="de-DE"/>
        </w:rPr>
        <w:t xml:space="preserve">, „sie ist ausgewichen") mit </w:t>
      </w:r>
      <w:r w:rsidRPr="00994AD3">
        <w:rPr>
          <w:rFonts w:eastAsia="Times New Roman" w:cs="Times New Roman"/>
          <w:b/>
          <w:bCs/>
          <w:rtl/>
          <w:lang w:eastAsia="de-DE"/>
        </w:rPr>
        <w:t>מִן</w:t>
      </w:r>
      <w:r w:rsidRPr="00994AD3">
        <w:rPr>
          <w:rFonts w:eastAsia="Times New Roman" w:cs="Times New Roman"/>
          <w:rtl/>
          <w:lang w:eastAsia="de-DE"/>
        </w:rPr>
        <w:t xml:space="preserve"> </w:t>
      </w:r>
      <w:r w:rsidRPr="00994AD3">
        <w:rPr>
          <w:rFonts w:eastAsia="Times New Roman" w:cs="Times New Roman"/>
          <w:lang w:eastAsia="de-DE"/>
        </w:rPr>
        <w:t xml:space="preserve">„von vor mir". Die Apodosis: </w:t>
      </w:r>
      <w:r w:rsidRPr="00994AD3">
        <w:rPr>
          <w:rFonts w:eastAsia="Times New Roman" w:cs="Times New Roman"/>
          <w:b/>
          <w:bCs/>
          <w:rtl/>
          <w:lang w:eastAsia="de-DE"/>
        </w:rPr>
        <w:t>כִּי עַתָּה גַּם־אֹתְכָה הָרַגְתִּי וְאוֹתָהּ הֶחֱיֵיתִי</w:t>
      </w:r>
      <w:r w:rsidRPr="00994AD3">
        <w:rPr>
          <w:rFonts w:eastAsia="Times New Roman" w:cs="Times New Roman"/>
          <w:rtl/>
          <w:lang w:eastAsia="de-DE"/>
        </w:rPr>
        <w:t xml:space="preserve"> </w:t>
      </w:r>
      <w:r w:rsidRPr="00994AD3">
        <w:rPr>
          <w:rFonts w:eastAsia="Times New Roman" w:cs="Times New Roman"/>
          <w:lang w:eastAsia="de-DE"/>
        </w:rPr>
        <w:t xml:space="preserve">(„denn/dann jetzt sogar dich hätte ich getötet und sie hätte ich am Leben gelassen") – </w:t>
      </w:r>
      <w:r w:rsidRPr="00994AD3">
        <w:rPr>
          <w:rFonts w:eastAsia="Times New Roman" w:cs="Times New Roman"/>
          <w:b/>
          <w:bCs/>
          <w:rtl/>
          <w:lang w:eastAsia="de-DE"/>
        </w:rPr>
        <w:t>כִּי עַתָּה</w:t>
      </w:r>
      <w:r w:rsidRPr="00994AD3">
        <w:rPr>
          <w:rFonts w:eastAsia="Times New Roman" w:cs="Times New Roman"/>
          <w:rtl/>
          <w:lang w:eastAsia="de-DE"/>
        </w:rPr>
        <w:t xml:space="preserve"> </w:t>
      </w:r>
      <w:r w:rsidRPr="00994AD3">
        <w:rPr>
          <w:rFonts w:eastAsia="Times New Roman" w:cs="Times New Roman"/>
          <w:lang w:eastAsia="de-DE"/>
        </w:rPr>
        <w:t xml:space="preserve">„denn jetzt, dann jetzt", </w:t>
      </w:r>
      <w:r w:rsidRPr="00994AD3">
        <w:rPr>
          <w:rFonts w:eastAsia="Times New Roman" w:cs="Times New Roman"/>
          <w:b/>
          <w:bCs/>
          <w:rtl/>
          <w:lang w:eastAsia="de-DE"/>
        </w:rPr>
        <w:t>גַּם</w:t>
      </w:r>
      <w:r w:rsidRPr="00994AD3">
        <w:rPr>
          <w:rFonts w:eastAsia="Times New Roman" w:cs="Times New Roman"/>
          <w:rtl/>
          <w:lang w:eastAsia="de-DE"/>
        </w:rPr>
        <w:t xml:space="preserve"> </w:t>
      </w:r>
      <w:r w:rsidRPr="00994AD3">
        <w:rPr>
          <w:rFonts w:eastAsia="Times New Roman" w:cs="Times New Roman"/>
          <w:lang w:eastAsia="de-DE"/>
        </w:rPr>
        <w:t xml:space="preserve">verstärkend „sogar, auch", </w:t>
      </w:r>
      <w:r w:rsidRPr="00994AD3">
        <w:rPr>
          <w:rFonts w:eastAsia="Times New Roman" w:cs="Times New Roman"/>
          <w:b/>
          <w:bCs/>
          <w:rtl/>
          <w:lang w:eastAsia="de-DE"/>
        </w:rPr>
        <w:t>אֹתְכָה</w:t>
      </w:r>
      <w:r w:rsidRPr="00994AD3">
        <w:rPr>
          <w:rFonts w:eastAsia="Times New Roman" w:cs="Times New Roman"/>
          <w:rtl/>
          <w:lang w:eastAsia="de-DE"/>
        </w:rPr>
        <w:t xml:space="preserve"> </w:t>
      </w:r>
      <w:r w:rsidRPr="00994AD3">
        <w:rPr>
          <w:rFonts w:eastAsia="Times New Roman" w:cs="Times New Roman"/>
          <w:lang w:eastAsia="de-DE"/>
        </w:rPr>
        <w:t xml:space="preserve">(Objektpartikel mit Suffix 2. m. sg. – die längere Form </w:t>
      </w:r>
      <w:r w:rsidRPr="00994AD3">
        <w:rPr>
          <w:rFonts w:eastAsia="Times New Roman" w:cs="Times New Roman"/>
          <w:b/>
          <w:bCs/>
          <w:rtl/>
          <w:lang w:eastAsia="de-DE"/>
        </w:rPr>
        <w:t>אֹתְכָה</w:t>
      </w:r>
      <w:r w:rsidRPr="00994AD3">
        <w:rPr>
          <w:rFonts w:eastAsia="Times New Roman" w:cs="Times New Roman"/>
          <w:rtl/>
          <w:lang w:eastAsia="de-DE"/>
        </w:rPr>
        <w:t xml:space="preserve"> </w:t>
      </w:r>
      <w:r w:rsidRPr="00994AD3">
        <w:rPr>
          <w:rFonts w:eastAsia="Times New Roman" w:cs="Times New Roman"/>
          <w:lang w:eastAsia="de-DE"/>
        </w:rPr>
        <w:t xml:space="preserve">statt </w:t>
      </w:r>
      <w:r w:rsidRPr="00994AD3">
        <w:rPr>
          <w:rFonts w:eastAsia="Times New Roman" w:cs="Times New Roman"/>
          <w:b/>
          <w:bCs/>
          <w:rtl/>
          <w:lang w:eastAsia="de-DE"/>
        </w:rPr>
        <w:t>אֹתְךָ</w:t>
      </w:r>
      <w:r w:rsidRPr="00994AD3">
        <w:rPr>
          <w:rFonts w:eastAsia="Times New Roman" w:cs="Times New Roman"/>
          <w:rtl/>
          <w:lang w:eastAsia="de-DE"/>
        </w:rPr>
        <w:t xml:space="preserve"> </w:t>
      </w:r>
      <w:r w:rsidRPr="00994AD3">
        <w:rPr>
          <w:rFonts w:eastAsia="Times New Roman" w:cs="Times New Roman"/>
          <w:lang w:eastAsia="de-DE"/>
        </w:rPr>
        <w:t xml:space="preserve">ist betont), </w:t>
      </w:r>
      <w:r w:rsidRPr="00994AD3">
        <w:rPr>
          <w:rFonts w:eastAsia="Times New Roman" w:cs="Times New Roman"/>
          <w:b/>
          <w:bCs/>
          <w:rtl/>
          <w:lang w:eastAsia="de-DE"/>
        </w:rPr>
        <w:t>הָרַגְתִּי</w:t>
      </w:r>
      <w:r w:rsidRPr="00994AD3">
        <w:rPr>
          <w:rFonts w:eastAsia="Times New Roman" w:cs="Times New Roman"/>
          <w:rtl/>
          <w:lang w:eastAsia="de-DE"/>
        </w:rPr>
        <w:t xml:space="preserve"> </w:t>
      </w:r>
      <w:r w:rsidRPr="00994AD3">
        <w:rPr>
          <w:rFonts w:eastAsia="Times New Roman" w:cs="Times New Roman"/>
          <w:lang w:eastAsia="de-DE"/>
        </w:rPr>
        <w:t xml:space="preserve">(Qal Perfekt, 1. c. sg. von </w:t>
      </w:r>
      <w:r w:rsidRPr="00994AD3">
        <w:rPr>
          <w:rFonts w:eastAsia="Times New Roman" w:cs="Times New Roman"/>
          <w:b/>
          <w:bCs/>
          <w:rtl/>
          <w:lang w:eastAsia="de-DE"/>
        </w:rPr>
        <w:t>הרג</w:t>
      </w:r>
      <w:r w:rsidRPr="00994AD3">
        <w:rPr>
          <w:rFonts w:eastAsia="Times New Roman" w:cs="Times New Roman"/>
          <w:lang w:eastAsia="de-DE"/>
        </w:rPr>
        <w:t xml:space="preserve">, „ich hätte getötet"), </w:t>
      </w:r>
      <w:r w:rsidRPr="00994AD3">
        <w:rPr>
          <w:rFonts w:eastAsia="Times New Roman" w:cs="Times New Roman"/>
          <w:b/>
          <w:bCs/>
          <w:rtl/>
          <w:lang w:eastAsia="de-DE"/>
        </w:rPr>
        <w:t>וְאוֹתָהּ הֶחֱיֵיתִי</w:t>
      </w:r>
      <w:r w:rsidRPr="00994AD3">
        <w:rPr>
          <w:rFonts w:eastAsia="Times New Roman" w:cs="Times New Roman"/>
          <w:rtl/>
          <w:lang w:eastAsia="de-DE"/>
        </w:rPr>
        <w:t xml:space="preserve"> </w:t>
      </w:r>
      <w:r w:rsidRPr="00994AD3">
        <w:rPr>
          <w:rFonts w:eastAsia="Times New Roman" w:cs="Times New Roman"/>
          <w:lang w:eastAsia="de-DE"/>
        </w:rPr>
        <w:t xml:space="preserve">(„und sie hätte ich am Leben gelassen") – </w:t>
      </w:r>
      <w:r w:rsidRPr="00994AD3">
        <w:rPr>
          <w:rFonts w:eastAsia="Times New Roman" w:cs="Times New Roman"/>
          <w:b/>
          <w:bCs/>
          <w:rtl/>
          <w:lang w:eastAsia="de-DE"/>
        </w:rPr>
        <w:t>הֶחֱיֵיתִי</w:t>
      </w:r>
      <w:r w:rsidRPr="00994AD3">
        <w:rPr>
          <w:rFonts w:eastAsia="Times New Roman" w:cs="Times New Roman"/>
          <w:rtl/>
          <w:lang w:eastAsia="de-DE"/>
        </w:rPr>
        <w:t xml:space="preserve"> </w:t>
      </w:r>
      <w:r w:rsidRPr="00994AD3">
        <w:rPr>
          <w:rFonts w:eastAsia="Times New Roman" w:cs="Times New Roman"/>
          <w:lang w:eastAsia="de-DE"/>
        </w:rPr>
        <w:t xml:space="preserve">(Hifil Perfekt, 1. c. sg. von </w:t>
      </w:r>
      <w:r w:rsidRPr="00994AD3">
        <w:rPr>
          <w:rFonts w:eastAsia="Times New Roman" w:cs="Times New Roman"/>
          <w:b/>
          <w:bCs/>
          <w:rtl/>
          <w:lang w:eastAsia="de-DE"/>
        </w:rPr>
        <w:t>חיה</w:t>
      </w:r>
      <w:r w:rsidRPr="00994AD3">
        <w:rPr>
          <w:rFonts w:eastAsia="Times New Roman" w:cs="Times New Roman"/>
          <w:lang w:eastAsia="de-DE"/>
        </w:rPr>
        <w:t>, „ich hätte leben lassen") – das Hifil ist kausativ.</w:t>
      </w:r>
    </w:p>
    <w:p w14:paraId="0A47C27D"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Ironie erreicht ihren Höhepunkt: Bileam wünschte ein Schwert, um die Eselin zu </w:t>
      </w:r>
      <w:r w:rsidRPr="00994AD3">
        <w:rPr>
          <w:rFonts w:eastAsia="Times New Roman" w:cs="Times New Roman"/>
          <w:b/>
          <w:bCs/>
          <w:lang w:eastAsia="de-DE"/>
        </w:rPr>
        <w:t>töten</w:t>
      </w:r>
      <w:r w:rsidRPr="00994AD3">
        <w:rPr>
          <w:rFonts w:eastAsia="Times New Roman" w:cs="Times New Roman"/>
          <w:lang w:eastAsia="de-DE"/>
        </w:rPr>
        <w:t xml:space="preserve"> (V. 29), aber der Engel hätte mit seinem Schwert Bileam </w:t>
      </w:r>
      <w:r w:rsidRPr="00994AD3">
        <w:rPr>
          <w:rFonts w:eastAsia="Times New Roman" w:cs="Times New Roman"/>
          <w:b/>
          <w:bCs/>
          <w:lang w:eastAsia="de-DE"/>
        </w:rPr>
        <w:t>getötet</w:t>
      </w:r>
      <w:r w:rsidRPr="00994AD3">
        <w:rPr>
          <w:rFonts w:eastAsia="Times New Roman" w:cs="Times New Roman"/>
          <w:lang w:eastAsia="de-DE"/>
        </w:rPr>
        <w:t xml:space="preserve"> und die Eselin </w:t>
      </w:r>
      <w:r w:rsidRPr="00994AD3">
        <w:rPr>
          <w:rFonts w:eastAsia="Times New Roman" w:cs="Times New Roman"/>
          <w:b/>
          <w:bCs/>
          <w:lang w:eastAsia="de-DE"/>
        </w:rPr>
        <w:t>gerettet</w:t>
      </w:r>
      <w:r w:rsidRPr="00994AD3">
        <w:rPr>
          <w:rFonts w:eastAsia="Times New Roman" w:cs="Times New Roman"/>
          <w:lang w:eastAsia="de-DE"/>
        </w:rPr>
        <w:t>! Die moralische Umkehrung ist komplett: Das „dumme" Tier verdient Leben, der „weise" Prophet verdient Tod. Die Eselin ist nicht nur Retterin, sondern moralisch überlegen.</w:t>
      </w:r>
    </w:p>
    <w:p w14:paraId="7DFCF03A"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übersetzt </w:t>
      </w:r>
      <w:r w:rsidRPr="00994AD3">
        <w:rPr>
          <w:rFonts w:eastAsia="Times New Roman" w:cs="Times New Roman"/>
          <w:b/>
          <w:bCs/>
          <w:rtl/>
          <w:lang w:eastAsia="de-DE"/>
        </w:rPr>
        <w:t>אוּלַי</w:t>
      </w:r>
      <w:r w:rsidRPr="00994AD3">
        <w:rPr>
          <w:rFonts w:eastAsia="Times New Roman" w:cs="Times New Roman"/>
          <w:rtl/>
          <w:lang w:eastAsia="de-DE"/>
        </w:rPr>
        <w:t xml:space="preserve"> </w:t>
      </w:r>
      <w:r w:rsidRPr="00994AD3">
        <w:rPr>
          <w:rFonts w:eastAsia="Times New Roman" w:cs="Times New Roman"/>
          <w:lang w:eastAsia="de-DE"/>
        </w:rPr>
        <w:t>hier mit εἰ μὴ (ei mē, „wenn nicht"), erkennt also die konditional-negative Bedeutung.</w:t>
      </w:r>
    </w:p>
    <w:p w14:paraId="6B98D176"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Satzstruktur zeigt drei koordinierte Hauptsätze in der direkten Rede: Die ersten beiden mit Verb (Objektsuffix), Subjekt, koordiniertem Verb, Präpositionalphrase und Temporalphrase; der dritte ist eine kontrafaktische Bedingung mit Adverb (in spezieller Bedeutung), Verb, Präpositionalphrase, dann Apodosis mit Konjunktion, Temporaladverb, </w:t>
      </w:r>
      <w:r w:rsidRPr="00994AD3">
        <w:rPr>
          <w:rFonts w:eastAsia="Times New Roman" w:cs="Times New Roman"/>
          <w:lang w:eastAsia="de-DE"/>
        </w:rPr>
        <w:lastRenderedPageBreak/>
        <w:t>verstärkendem Partikel, betontem Objektpronomen, Verb und koordiniertem Objektpronomen mit Verb. Insgesamt gibt es einen Nebensatz (kontrafaktische Bedingung).</w:t>
      </w:r>
    </w:p>
    <w:p w14:paraId="595A853C" w14:textId="77777777" w:rsidR="009A0114" w:rsidRDefault="00994AD3" w:rsidP="009A0114">
      <w:pPr>
        <w:pStyle w:val="KeinLeerraum"/>
      </w:pPr>
      <w:r w:rsidRPr="00994AD3">
        <w:t>Der Vers enthüllt die volle Dramatik: Bileam war dem Tod dreimal nahe, die Eselin rettete ihn dreimal. Das Tier, das er töten wollte, verdiente Leben; er, der leben wollte, verdiente Tod. Die Eselin wird zur tragischen Heldin.</w:t>
      </w:r>
      <w:r w:rsidR="009A0114">
        <w:t xml:space="preserve"> </w:t>
      </w:r>
    </w:p>
    <w:p w14:paraId="577F5DE2" w14:textId="764BE9F0" w:rsidR="009A0114" w:rsidRDefault="009A0114" w:rsidP="009A0114">
      <w:pPr>
        <w:pStyle w:val="KeinLeerraum"/>
      </w:pPr>
      <w:r>
        <w:rPr>
          <w:rStyle w:val="Fett"/>
        </w:rPr>
        <w:t>Die Eselin als Typos:</w:t>
      </w:r>
    </w:p>
    <w:p w14:paraId="4C419086" w14:textId="77777777" w:rsidR="009A0114" w:rsidRDefault="009A0114" w:rsidP="00F329DD">
      <w:pPr>
        <w:pStyle w:val="KeinLeerraum"/>
        <w:numPr>
          <w:ilvl w:val="0"/>
          <w:numId w:val="258"/>
        </w:numPr>
      </w:pPr>
      <w:r>
        <w:rPr>
          <w:rStyle w:val="Fett"/>
        </w:rPr>
        <w:t>Sacharja 9,9 / Matthäus 21,5:</w:t>
      </w:r>
      <w:r>
        <w:t xml:space="preserve"> Der Messias reitet auf einer Eselin nach Jerusalem</w:t>
      </w:r>
    </w:p>
    <w:p w14:paraId="0A525454" w14:textId="77777777" w:rsidR="009A0114" w:rsidRDefault="009A0114" w:rsidP="00F329DD">
      <w:pPr>
        <w:pStyle w:val="KeinLeerraum"/>
        <w:numPr>
          <w:ilvl w:val="0"/>
          <w:numId w:val="258"/>
        </w:numPr>
      </w:pPr>
      <w:r>
        <w:rPr>
          <w:rStyle w:val="Fett"/>
        </w:rPr>
        <w:t>Parallele:</w:t>
      </w:r>
      <w:r>
        <w:t xml:space="preserve"> Wie die Eselin Bileam rettet (ihn vor dem Tod bewahrt), so trägt die Eselin Jesus zum Heil der Welt</w:t>
      </w:r>
    </w:p>
    <w:p w14:paraId="60A88763" w14:textId="4A773204" w:rsidR="00994AD3" w:rsidRPr="009A0114" w:rsidRDefault="009A0114" w:rsidP="00F329DD">
      <w:pPr>
        <w:pStyle w:val="KeinLeerraum"/>
        <w:numPr>
          <w:ilvl w:val="0"/>
          <w:numId w:val="258"/>
        </w:numPr>
      </w:pPr>
      <w:r>
        <w:rPr>
          <w:rStyle w:val="Fett"/>
        </w:rPr>
        <w:t>Umkehrung:</w:t>
      </w:r>
      <w:r>
        <w:t xml:space="preserve"> Die Eselin in Num 22 </w:t>
      </w:r>
      <w:r>
        <w:rPr>
          <w:rStyle w:val="Fett"/>
        </w:rPr>
        <w:t>spricht</w:t>
      </w:r>
      <w:r>
        <w:t xml:space="preserve"> übernatürlich; die Eselin in Mt 21 ist </w:t>
      </w:r>
      <w:r>
        <w:rPr>
          <w:rStyle w:val="Fett"/>
        </w:rPr>
        <w:t>stumm</w:t>
      </w:r>
      <w:r>
        <w:t>, aber ihr Reiter spricht das Wort Gottes</w:t>
      </w:r>
    </w:p>
    <w:p w14:paraId="3C5ED3FB"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22,34</w:t>
      </w:r>
    </w:p>
    <w:p w14:paraId="1CF7170F"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וַיֹּ֨אמֶר בִּלְעָ֜ם אֶל־מַלְאַ֤ךְ יְהוָה֙ חָטָ֔אתִי כִּ֚י לֹ֣א יָדַ֔עְתִּי כִּ֥י אַתָּ֛ה נִצָּ֥ב לִקְרָאתִ֖י בַּדָּ֑רֶךְ וְעַתָּ֛ה אִם־רַ֥ע בְּעֵינֶ֖יךָ אָשׁ֥וּבָה לִּֽי׃</w:t>
      </w:r>
    </w:p>
    <w:p w14:paraId="4E3C49E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Da sagte Bileam zum Boten des Ewigen: Ich habe gesündigt, denn ich wusste nicht, dass du mir entgegen auf dem Weg standest. Und nun, wenn es böse in deinen Augen ist, will ich umkehren.</w:t>
      </w:r>
    </w:p>
    <w:p w14:paraId="79EB15C0"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16FC743E">
          <v:rect id="_x0000_i1790" style="width:0;height:1.5pt" o:hralign="center" o:hrstd="t" o:hr="t" fillcolor="#a0a0a0" stroked="f"/>
        </w:pict>
      </w:r>
    </w:p>
    <w:p w14:paraId="4AAE5EDC"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Das Sündenbekenntnis: </w:t>
      </w:r>
      <w:r w:rsidRPr="00994AD3">
        <w:rPr>
          <w:rFonts w:eastAsia="Times New Roman" w:cs="Times New Roman"/>
          <w:b/>
          <w:bCs/>
          <w:rtl/>
          <w:lang w:eastAsia="de-DE"/>
        </w:rPr>
        <w:t>חָטָאתִי</w:t>
      </w:r>
      <w:r w:rsidRPr="00994AD3">
        <w:rPr>
          <w:rFonts w:eastAsia="Times New Roman" w:cs="Times New Roman"/>
          <w:rtl/>
          <w:lang w:eastAsia="de-DE"/>
        </w:rPr>
        <w:t xml:space="preserve"> </w:t>
      </w:r>
      <w:r w:rsidRPr="00994AD3">
        <w:rPr>
          <w:rFonts w:eastAsia="Times New Roman" w:cs="Times New Roman"/>
          <w:lang w:eastAsia="de-DE"/>
        </w:rPr>
        <w:t xml:space="preserve">(Qal Perfekt, 1. c. sg. von </w:t>
      </w:r>
      <w:r w:rsidRPr="00994AD3">
        <w:rPr>
          <w:rFonts w:eastAsia="Times New Roman" w:cs="Times New Roman"/>
          <w:b/>
          <w:bCs/>
          <w:rtl/>
          <w:lang w:eastAsia="de-DE"/>
        </w:rPr>
        <w:t>חטא</w:t>
      </w:r>
      <w:r w:rsidRPr="00994AD3">
        <w:rPr>
          <w:rFonts w:eastAsia="Times New Roman" w:cs="Times New Roman"/>
          <w:lang w:eastAsia="de-DE"/>
        </w:rPr>
        <w:t xml:space="preserve">, „ich habe gesündigt") ist kurz und direkt – Bileam erkennt seine Schuld an. Die Entschuldigung </w:t>
      </w:r>
      <w:r w:rsidRPr="00994AD3">
        <w:rPr>
          <w:rFonts w:eastAsia="Times New Roman" w:cs="Times New Roman"/>
          <w:b/>
          <w:bCs/>
          <w:rtl/>
          <w:lang w:eastAsia="de-DE"/>
        </w:rPr>
        <w:t>כִּי לֹא יָדַעְתִּי כִּי אַתָּה נִצָּב לִקְרָאתִי בַּדָּרֶךְ</w:t>
      </w:r>
      <w:r w:rsidRPr="00994AD3">
        <w:rPr>
          <w:rFonts w:eastAsia="Times New Roman" w:cs="Times New Roman"/>
          <w:rtl/>
          <w:lang w:eastAsia="de-DE"/>
        </w:rPr>
        <w:t xml:space="preserve"> </w:t>
      </w:r>
      <w:r w:rsidRPr="00994AD3">
        <w:rPr>
          <w:rFonts w:eastAsia="Times New Roman" w:cs="Times New Roman"/>
          <w:lang w:eastAsia="de-DE"/>
        </w:rPr>
        <w:t xml:space="preserve">(„denn ich wusste nicht, dass du mir entgegen auf dem Weg standest") – </w:t>
      </w:r>
      <w:r w:rsidRPr="00994AD3">
        <w:rPr>
          <w:rFonts w:eastAsia="Times New Roman" w:cs="Times New Roman"/>
          <w:b/>
          <w:bCs/>
          <w:rtl/>
          <w:lang w:eastAsia="de-DE"/>
        </w:rPr>
        <w:t>לֹא יָדַעְתִּי</w:t>
      </w:r>
      <w:r w:rsidRPr="00994AD3">
        <w:rPr>
          <w:rFonts w:eastAsia="Times New Roman" w:cs="Times New Roman"/>
          <w:rtl/>
          <w:lang w:eastAsia="de-DE"/>
        </w:rPr>
        <w:t xml:space="preserve"> </w:t>
      </w:r>
      <w:r w:rsidRPr="00994AD3">
        <w:rPr>
          <w:rFonts w:eastAsia="Times New Roman" w:cs="Times New Roman"/>
          <w:lang w:eastAsia="de-DE"/>
        </w:rPr>
        <w:t xml:space="preserve">(Negation plus Qal Perfekt, 1. c. sg. von </w:t>
      </w:r>
      <w:r w:rsidRPr="00994AD3">
        <w:rPr>
          <w:rFonts w:eastAsia="Times New Roman" w:cs="Times New Roman"/>
          <w:b/>
          <w:bCs/>
          <w:rtl/>
          <w:lang w:eastAsia="de-DE"/>
        </w:rPr>
        <w:t>ידע</w:t>
      </w:r>
      <w:r w:rsidRPr="00994AD3">
        <w:rPr>
          <w:rFonts w:eastAsia="Times New Roman" w:cs="Times New Roman"/>
          <w:lang w:eastAsia="de-DE"/>
        </w:rPr>
        <w:t xml:space="preserve">, „ich wusste nicht"), der Objektsatz </w:t>
      </w:r>
      <w:r w:rsidRPr="00994AD3">
        <w:rPr>
          <w:rFonts w:eastAsia="Times New Roman" w:cs="Times New Roman"/>
          <w:b/>
          <w:bCs/>
          <w:rtl/>
          <w:lang w:eastAsia="de-DE"/>
        </w:rPr>
        <w:t>כִּי אַתָּה נִצָּב לִקְרָאתִי בַּדָּרֶךְ</w:t>
      </w:r>
      <w:r w:rsidRPr="00994AD3">
        <w:rPr>
          <w:rFonts w:eastAsia="Times New Roman" w:cs="Times New Roman"/>
          <w:rtl/>
          <w:lang w:eastAsia="de-DE"/>
        </w:rPr>
        <w:t xml:space="preserve"> </w:t>
      </w:r>
      <w:r w:rsidRPr="00994AD3">
        <w:rPr>
          <w:rFonts w:eastAsia="Times New Roman" w:cs="Times New Roman"/>
          <w:lang w:eastAsia="de-DE"/>
        </w:rPr>
        <w:t xml:space="preserve">(„dass du standest mir entgegen auf dem Weg") – </w:t>
      </w:r>
      <w:r w:rsidRPr="00994AD3">
        <w:rPr>
          <w:rFonts w:eastAsia="Times New Roman" w:cs="Times New Roman"/>
          <w:b/>
          <w:bCs/>
          <w:rtl/>
          <w:lang w:eastAsia="de-DE"/>
        </w:rPr>
        <w:t>אַתָּה</w:t>
      </w:r>
      <w:r w:rsidRPr="00994AD3">
        <w:rPr>
          <w:rFonts w:eastAsia="Times New Roman" w:cs="Times New Roman"/>
          <w:rtl/>
          <w:lang w:eastAsia="de-DE"/>
        </w:rPr>
        <w:t xml:space="preserve"> </w:t>
      </w:r>
      <w:r w:rsidRPr="00994AD3">
        <w:rPr>
          <w:rFonts w:eastAsia="Times New Roman" w:cs="Times New Roman"/>
          <w:lang w:eastAsia="de-DE"/>
        </w:rPr>
        <w:t xml:space="preserve">emphatisches Pronomen, </w:t>
      </w:r>
      <w:r w:rsidRPr="00994AD3">
        <w:rPr>
          <w:rFonts w:eastAsia="Times New Roman" w:cs="Times New Roman"/>
          <w:b/>
          <w:bCs/>
          <w:rtl/>
          <w:lang w:eastAsia="de-DE"/>
        </w:rPr>
        <w:t>נִצָּב</w:t>
      </w:r>
      <w:r w:rsidRPr="00994AD3">
        <w:rPr>
          <w:rFonts w:eastAsia="Times New Roman" w:cs="Times New Roman"/>
          <w:rtl/>
          <w:lang w:eastAsia="de-DE"/>
        </w:rPr>
        <w:t xml:space="preserve"> </w:t>
      </w:r>
      <w:r w:rsidRPr="00994AD3">
        <w:rPr>
          <w:rFonts w:eastAsia="Times New Roman" w:cs="Times New Roman"/>
          <w:lang w:eastAsia="de-DE"/>
        </w:rPr>
        <w:t xml:space="preserve">(Nifal Partizip von </w:t>
      </w:r>
      <w:r w:rsidRPr="00994AD3">
        <w:rPr>
          <w:rFonts w:eastAsia="Times New Roman" w:cs="Times New Roman"/>
          <w:b/>
          <w:bCs/>
          <w:rtl/>
          <w:lang w:eastAsia="de-DE"/>
        </w:rPr>
        <w:t>נצב</w:t>
      </w:r>
      <w:r w:rsidRPr="00994AD3">
        <w:rPr>
          <w:rFonts w:eastAsia="Times New Roman" w:cs="Times New Roman"/>
          <w:lang w:eastAsia="de-DE"/>
        </w:rPr>
        <w:t xml:space="preserve">, „stehend"), </w:t>
      </w:r>
      <w:r w:rsidRPr="00994AD3">
        <w:rPr>
          <w:rFonts w:eastAsia="Times New Roman" w:cs="Times New Roman"/>
          <w:b/>
          <w:bCs/>
          <w:rtl/>
          <w:lang w:eastAsia="de-DE"/>
        </w:rPr>
        <w:t>לִקְרָאתִי</w:t>
      </w:r>
      <w:r w:rsidRPr="00994AD3">
        <w:rPr>
          <w:rFonts w:eastAsia="Times New Roman" w:cs="Times New Roman"/>
          <w:rtl/>
          <w:lang w:eastAsia="de-DE"/>
        </w:rPr>
        <w:t xml:space="preserve"> </w:t>
      </w:r>
      <w:r w:rsidRPr="00994AD3">
        <w:rPr>
          <w:rFonts w:eastAsia="Times New Roman" w:cs="Times New Roman"/>
          <w:lang w:eastAsia="de-DE"/>
        </w:rPr>
        <w:t>(„mir entgegen") mit Suffix 1. c. sg. Bileam entschuldigt sich mit Unwissenheit – aber dies ist problematisch: Er hätte auf die Eselin hören sollen, die ihn dreimal warnte!</w:t>
      </w:r>
    </w:p>
    <w:p w14:paraId="1E79FE5B"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Das Rücktrittsangebot: </w:t>
      </w:r>
      <w:r w:rsidRPr="00994AD3">
        <w:rPr>
          <w:rFonts w:eastAsia="Times New Roman" w:cs="Times New Roman"/>
          <w:b/>
          <w:bCs/>
          <w:rtl/>
          <w:lang w:eastAsia="de-DE"/>
        </w:rPr>
        <w:t>וְעַתָּה אִם־רַע בְּעֵינֶיךָ אָשׁוּבָה לִּי</w:t>
      </w:r>
      <w:r w:rsidRPr="00994AD3">
        <w:rPr>
          <w:rFonts w:eastAsia="Times New Roman" w:cs="Times New Roman"/>
          <w:rtl/>
          <w:lang w:eastAsia="de-DE"/>
        </w:rPr>
        <w:t xml:space="preserve"> </w:t>
      </w:r>
      <w:r w:rsidRPr="00994AD3">
        <w:rPr>
          <w:rFonts w:eastAsia="Times New Roman" w:cs="Times New Roman"/>
          <w:lang w:eastAsia="de-DE"/>
        </w:rPr>
        <w:t xml:space="preserve">(„und nun, wenn es böse in deinen Augen ist, will ich umkehren") – </w:t>
      </w:r>
      <w:r w:rsidRPr="00994AD3">
        <w:rPr>
          <w:rFonts w:eastAsia="Times New Roman" w:cs="Times New Roman"/>
          <w:b/>
          <w:bCs/>
          <w:rtl/>
          <w:lang w:eastAsia="de-DE"/>
        </w:rPr>
        <w:t>וְעַתָּה</w:t>
      </w:r>
      <w:r w:rsidRPr="00994AD3">
        <w:rPr>
          <w:rFonts w:eastAsia="Times New Roman" w:cs="Times New Roman"/>
          <w:rtl/>
          <w:lang w:eastAsia="de-DE"/>
        </w:rPr>
        <w:t xml:space="preserve"> </w:t>
      </w:r>
      <w:r w:rsidRPr="00994AD3">
        <w:rPr>
          <w:rFonts w:eastAsia="Times New Roman" w:cs="Times New Roman"/>
          <w:lang w:eastAsia="de-DE"/>
        </w:rPr>
        <w:t xml:space="preserve">„und nun", </w:t>
      </w:r>
      <w:r w:rsidRPr="00994AD3">
        <w:rPr>
          <w:rFonts w:eastAsia="Times New Roman" w:cs="Times New Roman"/>
          <w:b/>
          <w:bCs/>
          <w:rtl/>
          <w:lang w:eastAsia="de-DE"/>
        </w:rPr>
        <w:t>אִם־רַע בְּעֵינֶיךָ</w:t>
      </w:r>
      <w:r w:rsidRPr="00994AD3">
        <w:rPr>
          <w:rFonts w:eastAsia="Times New Roman" w:cs="Times New Roman"/>
          <w:rtl/>
          <w:lang w:eastAsia="de-DE"/>
        </w:rPr>
        <w:t xml:space="preserve"> </w:t>
      </w:r>
      <w:r w:rsidRPr="00994AD3">
        <w:rPr>
          <w:rFonts w:eastAsia="Times New Roman" w:cs="Times New Roman"/>
          <w:lang w:eastAsia="de-DE"/>
        </w:rPr>
        <w:t xml:space="preserve">(„wenn böse in deinen Augen") – die idiomatische Wendung </w:t>
      </w:r>
      <w:r w:rsidRPr="00994AD3">
        <w:rPr>
          <w:rFonts w:eastAsia="Times New Roman" w:cs="Times New Roman"/>
          <w:b/>
          <w:bCs/>
          <w:rtl/>
          <w:lang w:eastAsia="de-DE"/>
        </w:rPr>
        <w:t>רַע בְּעֵינֵי</w:t>
      </w:r>
      <w:r w:rsidRPr="00994AD3">
        <w:rPr>
          <w:rFonts w:eastAsia="Times New Roman" w:cs="Times New Roman"/>
          <w:rtl/>
          <w:lang w:eastAsia="de-DE"/>
        </w:rPr>
        <w:t xml:space="preserve"> </w:t>
      </w:r>
      <w:r w:rsidRPr="00994AD3">
        <w:rPr>
          <w:rFonts w:eastAsia="Times New Roman" w:cs="Times New Roman"/>
          <w:lang w:eastAsia="de-DE"/>
        </w:rPr>
        <w:t xml:space="preserve">„böse/missfällig in den Augen von" bedeutet „missfällt", </w:t>
      </w:r>
      <w:r w:rsidRPr="00994AD3">
        <w:rPr>
          <w:rFonts w:eastAsia="Times New Roman" w:cs="Times New Roman"/>
          <w:b/>
          <w:bCs/>
          <w:rtl/>
          <w:lang w:eastAsia="de-DE"/>
        </w:rPr>
        <w:t>בְּעֵינֶיךָ</w:t>
      </w:r>
      <w:r w:rsidRPr="00994AD3">
        <w:rPr>
          <w:rFonts w:eastAsia="Times New Roman" w:cs="Times New Roman"/>
          <w:rtl/>
          <w:lang w:eastAsia="de-DE"/>
        </w:rPr>
        <w:t xml:space="preserve"> </w:t>
      </w:r>
      <w:r w:rsidRPr="00994AD3">
        <w:rPr>
          <w:rFonts w:eastAsia="Times New Roman" w:cs="Times New Roman"/>
          <w:lang w:eastAsia="de-DE"/>
        </w:rPr>
        <w:t xml:space="preserve">mit Suffix 2. m. sg. </w:t>
      </w:r>
      <w:r w:rsidRPr="00994AD3">
        <w:rPr>
          <w:rFonts w:eastAsia="Times New Roman" w:cs="Times New Roman"/>
          <w:b/>
          <w:bCs/>
          <w:rtl/>
          <w:lang w:eastAsia="de-DE"/>
        </w:rPr>
        <w:t>אָשׁוּבָה לִּי</w:t>
      </w:r>
      <w:r w:rsidRPr="00994AD3">
        <w:rPr>
          <w:rFonts w:eastAsia="Times New Roman" w:cs="Times New Roman"/>
          <w:rtl/>
          <w:lang w:eastAsia="de-DE"/>
        </w:rPr>
        <w:t xml:space="preserve"> </w:t>
      </w:r>
      <w:r w:rsidRPr="00994AD3">
        <w:rPr>
          <w:rFonts w:eastAsia="Times New Roman" w:cs="Times New Roman"/>
          <w:lang w:eastAsia="de-DE"/>
        </w:rPr>
        <w:t xml:space="preserve">(„will ich umkehren für mich") – </w:t>
      </w:r>
      <w:r w:rsidRPr="00994AD3">
        <w:rPr>
          <w:rFonts w:eastAsia="Times New Roman" w:cs="Times New Roman"/>
          <w:b/>
          <w:bCs/>
          <w:rtl/>
          <w:lang w:eastAsia="de-DE"/>
        </w:rPr>
        <w:t>אָשׁוּבָה</w:t>
      </w:r>
      <w:r w:rsidRPr="00994AD3">
        <w:rPr>
          <w:rFonts w:eastAsia="Times New Roman" w:cs="Times New Roman"/>
          <w:rtl/>
          <w:lang w:eastAsia="de-DE"/>
        </w:rPr>
        <w:t xml:space="preserve"> </w:t>
      </w:r>
      <w:r w:rsidRPr="00994AD3">
        <w:rPr>
          <w:rFonts w:eastAsia="Times New Roman" w:cs="Times New Roman"/>
          <w:lang w:eastAsia="de-DE"/>
        </w:rPr>
        <w:t xml:space="preserve">(Qal Kohortativ, 1. c. sg. von </w:t>
      </w:r>
      <w:r w:rsidRPr="00994AD3">
        <w:rPr>
          <w:rFonts w:eastAsia="Times New Roman" w:cs="Times New Roman"/>
          <w:b/>
          <w:bCs/>
          <w:rtl/>
          <w:lang w:eastAsia="de-DE"/>
        </w:rPr>
        <w:t>שׁוב</w:t>
      </w:r>
      <w:r w:rsidRPr="00994AD3">
        <w:rPr>
          <w:rFonts w:eastAsia="Times New Roman" w:cs="Times New Roman"/>
          <w:lang w:eastAsia="de-DE"/>
        </w:rPr>
        <w:t xml:space="preserve">, „ich will zurückkehren, umkehren"), </w:t>
      </w:r>
      <w:r w:rsidRPr="00994AD3">
        <w:rPr>
          <w:rFonts w:eastAsia="Times New Roman" w:cs="Times New Roman"/>
          <w:b/>
          <w:bCs/>
          <w:rtl/>
          <w:lang w:eastAsia="de-DE"/>
        </w:rPr>
        <w:t>לִּי</w:t>
      </w:r>
      <w:r w:rsidRPr="00994AD3">
        <w:rPr>
          <w:rFonts w:eastAsia="Times New Roman" w:cs="Times New Roman"/>
          <w:rtl/>
          <w:lang w:eastAsia="de-DE"/>
        </w:rPr>
        <w:t xml:space="preserve"> </w:t>
      </w:r>
      <w:r w:rsidRPr="00994AD3">
        <w:rPr>
          <w:rFonts w:eastAsia="Times New Roman" w:cs="Times New Roman"/>
          <w:lang w:eastAsia="de-DE"/>
        </w:rPr>
        <w:t>ethischer Dativ (für mich selbst). Bileam bietet an, die ganze Mission abzubrechen.</w:t>
      </w:r>
    </w:p>
    <w:p w14:paraId="491FBA2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Dies ist bemerkenswert: Bileam ist nun bereit umzukehren – aber erst nachdem er den Engel </w:t>
      </w:r>
      <w:r w:rsidRPr="00994AD3">
        <w:rPr>
          <w:rFonts w:eastAsia="Times New Roman" w:cs="Times New Roman"/>
          <w:b/>
          <w:bCs/>
          <w:lang w:eastAsia="de-DE"/>
        </w:rPr>
        <w:t>gesehen</w:t>
      </w:r>
      <w:r w:rsidRPr="00994AD3">
        <w:rPr>
          <w:rFonts w:eastAsia="Times New Roman" w:cs="Times New Roman"/>
          <w:lang w:eastAsia="de-DE"/>
        </w:rPr>
        <w:t xml:space="preserve"> hat. Gottes erstes Verbot (V. 12) hat er versucht zu umgehen, aber die dramatische Konfrontation bringt ihn zur Vernunft.</w:t>
      </w:r>
    </w:p>
    <w:p w14:paraId="6134725B"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folgt dem hebräischen Text.</w:t>
      </w:r>
    </w:p>
    <w:p w14:paraId="3413FC4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Satzstruktur zeigt einen Hauptsatz mit Verb, Subjekt und indirektem Objekt. Die direkte Rede enthält einen Hauptsatz (Verb), einen kausalen Nebensatz (Konjunktion, Negation, </w:t>
      </w:r>
      <w:r w:rsidRPr="00994AD3">
        <w:rPr>
          <w:rFonts w:eastAsia="Times New Roman" w:cs="Times New Roman"/>
          <w:lang w:eastAsia="de-DE"/>
        </w:rPr>
        <w:lastRenderedPageBreak/>
        <w:t>Verb, Objektsatz mit Konjunktion, emphatischem Pronomen, Partizip, Präpositionalphrase und weiterer Präpositionalphrase), und einen abschließenden Hauptsatz mit Temporaladverb, konditionalem Nebensatz (Adjektiv und idiomatischer Wendung) und Kohortativ mit ethischem Dativ. Insgesamt gibt es drei Nebensätze: einen Kausalsatz, einen eingebetteten Objektsatz und einen Konditionalsatz.</w:t>
      </w:r>
    </w:p>
    <w:p w14:paraId="7DC1125D"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zeigt Bileams Reue und Bereitschaft umzukehren. Aber ist es echte Umkehr oder nur pragmatische Furcht? V. 35 wird die Antwort geben.</w:t>
      </w:r>
    </w:p>
    <w:p w14:paraId="72EA884C"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22,35</w:t>
      </w:r>
    </w:p>
    <w:p w14:paraId="2A7BB808"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וַיֹּאמֶר֩ מַלְאַ֨ךְ יְהוָ֜ה אֶל־בִּלְעָ֗ם לֵ֚ךְ עִם־הָ֣אֲנָשִׁ֔ים וְאֶ֗פֶס אֶת־הַדָּבָ֛ר אֲשֶׁר־אֲדַבֵּ֥ר אֵלֶ֖יךָ אֹתוֹ֣ תְדַבֵּ֑ר וַיֵּ֥לֶךְ בִּלְעָ֖ם עִם־שָׂרֵ֥י בָלָֽק׃</w:t>
      </w:r>
    </w:p>
    <w:p w14:paraId="674FDE73"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der Bote des Ewigen sprach zu Bileam: Geh mit den Männern, aber nur das Wort, das ich zu dir reden werde, sollst du reden. Und Bileam ging mit den Fürsten Balaks.</w:t>
      </w:r>
    </w:p>
    <w:p w14:paraId="7E15CFEB"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6E0428BE">
          <v:rect id="_x0000_i1791" style="width:0;height:1.5pt" o:hralign="center" o:hrstd="t" o:hr="t" fillcolor="#a0a0a0" stroked="f"/>
        </w:pict>
      </w:r>
    </w:p>
    <w:p w14:paraId="25D66B06"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Die Anweisung des Engels: </w:t>
      </w:r>
      <w:r w:rsidRPr="00994AD3">
        <w:rPr>
          <w:rFonts w:eastAsia="Times New Roman" w:cs="Times New Roman"/>
          <w:b/>
          <w:bCs/>
          <w:rtl/>
          <w:lang w:eastAsia="de-DE"/>
        </w:rPr>
        <w:t>לֵךְ עִם־הָאֲנָשִׁים</w:t>
      </w:r>
      <w:r w:rsidRPr="00994AD3">
        <w:rPr>
          <w:rFonts w:eastAsia="Times New Roman" w:cs="Times New Roman"/>
          <w:rtl/>
          <w:lang w:eastAsia="de-DE"/>
        </w:rPr>
        <w:t xml:space="preserve"> </w:t>
      </w:r>
      <w:r w:rsidRPr="00994AD3">
        <w:rPr>
          <w:rFonts w:eastAsia="Times New Roman" w:cs="Times New Roman"/>
          <w:lang w:eastAsia="de-DE"/>
        </w:rPr>
        <w:t xml:space="preserve">(„geh mit den Männern") – </w:t>
      </w:r>
      <w:r w:rsidRPr="00994AD3">
        <w:rPr>
          <w:rFonts w:eastAsia="Times New Roman" w:cs="Times New Roman"/>
          <w:b/>
          <w:bCs/>
          <w:rtl/>
          <w:lang w:eastAsia="de-DE"/>
        </w:rPr>
        <w:t>לֵךְ</w:t>
      </w:r>
      <w:r w:rsidRPr="00994AD3">
        <w:rPr>
          <w:rFonts w:eastAsia="Times New Roman" w:cs="Times New Roman"/>
          <w:rtl/>
          <w:lang w:eastAsia="de-DE"/>
        </w:rPr>
        <w:t xml:space="preserve"> </w:t>
      </w:r>
      <w:r w:rsidRPr="00994AD3">
        <w:rPr>
          <w:rFonts w:eastAsia="Times New Roman" w:cs="Times New Roman"/>
          <w:lang w:eastAsia="de-DE"/>
        </w:rPr>
        <w:t xml:space="preserve">(Qal Imperativ von </w:t>
      </w:r>
      <w:r w:rsidRPr="00994AD3">
        <w:rPr>
          <w:rFonts w:eastAsia="Times New Roman" w:cs="Times New Roman"/>
          <w:b/>
          <w:bCs/>
          <w:rtl/>
          <w:lang w:eastAsia="de-DE"/>
        </w:rPr>
        <w:t>הלך</w:t>
      </w:r>
      <w:r w:rsidRPr="00994AD3">
        <w:rPr>
          <w:rFonts w:eastAsia="Times New Roman" w:cs="Times New Roman"/>
          <w:lang w:eastAsia="de-DE"/>
        </w:rPr>
        <w:t xml:space="preserve">), </w:t>
      </w:r>
      <w:r w:rsidRPr="00994AD3">
        <w:rPr>
          <w:rFonts w:eastAsia="Times New Roman" w:cs="Times New Roman"/>
          <w:b/>
          <w:bCs/>
          <w:rtl/>
          <w:lang w:eastAsia="de-DE"/>
        </w:rPr>
        <w:t>עִם־הָאֲנָשִׁים</w:t>
      </w:r>
      <w:r w:rsidRPr="00994AD3">
        <w:rPr>
          <w:rFonts w:eastAsia="Times New Roman" w:cs="Times New Roman"/>
          <w:rtl/>
          <w:lang w:eastAsia="de-DE"/>
        </w:rPr>
        <w:t xml:space="preserve"> </w:t>
      </w:r>
      <w:r w:rsidRPr="00994AD3">
        <w:rPr>
          <w:rFonts w:eastAsia="Times New Roman" w:cs="Times New Roman"/>
          <w:lang w:eastAsia="de-DE"/>
        </w:rPr>
        <w:t>„mit den Männern". Der Engel erlaubt die Reise – wie Gott in V. 20. Aber warum diese dramatische Konfrontation, wenn er dann doch gehen darf?</w:t>
      </w:r>
    </w:p>
    <w:p w14:paraId="2DD49A60"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strikte Einschränkung: </w:t>
      </w:r>
      <w:r w:rsidRPr="00994AD3">
        <w:rPr>
          <w:rFonts w:eastAsia="Times New Roman" w:cs="Times New Roman"/>
          <w:b/>
          <w:bCs/>
          <w:rtl/>
          <w:lang w:eastAsia="de-DE"/>
        </w:rPr>
        <w:t>וְאֶפֶס אֶת־הַדָּבָר אֲשֶׁר־אֲדַבֵּר אֵלֶיךָ אֹתוֹ תְדַבֵּר</w:t>
      </w:r>
      <w:r w:rsidRPr="00994AD3">
        <w:rPr>
          <w:rFonts w:eastAsia="Times New Roman" w:cs="Times New Roman"/>
          <w:rtl/>
          <w:lang w:eastAsia="de-DE"/>
        </w:rPr>
        <w:t xml:space="preserve"> </w:t>
      </w:r>
      <w:r w:rsidRPr="00994AD3">
        <w:rPr>
          <w:rFonts w:eastAsia="Times New Roman" w:cs="Times New Roman"/>
          <w:lang w:eastAsia="de-DE"/>
        </w:rPr>
        <w:t xml:space="preserve">(„aber nur das Wort, das ich zu dir reden werde, sollst du reden") – </w:t>
      </w:r>
      <w:r w:rsidRPr="00994AD3">
        <w:rPr>
          <w:rFonts w:eastAsia="Times New Roman" w:cs="Times New Roman"/>
          <w:b/>
          <w:bCs/>
          <w:rtl/>
          <w:lang w:eastAsia="de-DE"/>
        </w:rPr>
        <w:t>וְאֶפֶס</w:t>
      </w:r>
      <w:r w:rsidRPr="00994AD3">
        <w:rPr>
          <w:rFonts w:eastAsia="Times New Roman" w:cs="Times New Roman"/>
          <w:rtl/>
          <w:lang w:eastAsia="de-DE"/>
        </w:rPr>
        <w:t xml:space="preserve"> </w:t>
      </w:r>
      <w:r w:rsidRPr="00994AD3">
        <w:rPr>
          <w:rFonts w:eastAsia="Times New Roman" w:cs="Times New Roman"/>
          <w:lang w:eastAsia="de-DE"/>
        </w:rPr>
        <w:t xml:space="preserve">„aber nur, jedoch" (restriktive Konjunktion, von </w:t>
      </w:r>
      <w:r w:rsidRPr="00994AD3">
        <w:rPr>
          <w:rFonts w:eastAsia="Times New Roman" w:cs="Times New Roman"/>
          <w:b/>
          <w:bCs/>
          <w:rtl/>
          <w:lang w:eastAsia="de-DE"/>
        </w:rPr>
        <w:t>אֶפֶס</w:t>
      </w:r>
      <w:r w:rsidRPr="00994AD3">
        <w:rPr>
          <w:rFonts w:eastAsia="Times New Roman" w:cs="Times New Roman"/>
          <w:rtl/>
          <w:lang w:eastAsia="de-DE"/>
        </w:rPr>
        <w:t xml:space="preserve"> </w:t>
      </w:r>
      <w:r w:rsidRPr="00994AD3">
        <w:rPr>
          <w:rFonts w:eastAsia="Times New Roman" w:cs="Times New Roman"/>
          <w:lang w:eastAsia="de-DE"/>
        </w:rPr>
        <w:t xml:space="preserve">„Ende, Nichts" in der Bedeutung „nur"), </w:t>
      </w:r>
      <w:r w:rsidRPr="00994AD3">
        <w:rPr>
          <w:rFonts w:eastAsia="Times New Roman" w:cs="Times New Roman"/>
          <w:b/>
          <w:bCs/>
          <w:rtl/>
          <w:lang w:eastAsia="de-DE"/>
        </w:rPr>
        <w:t>אֶת־הַדָּבָר אֲשֶׁר־אֲדַבֵּר אֵלֶיךָ</w:t>
      </w:r>
      <w:r w:rsidRPr="00994AD3">
        <w:rPr>
          <w:rFonts w:eastAsia="Times New Roman" w:cs="Times New Roman"/>
          <w:rtl/>
          <w:lang w:eastAsia="de-DE"/>
        </w:rPr>
        <w:t xml:space="preserve"> </w:t>
      </w:r>
      <w:r w:rsidRPr="00994AD3">
        <w:rPr>
          <w:rFonts w:eastAsia="Times New Roman" w:cs="Times New Roman"/>
          <w:lang w:eastAsia="de-DE"/>
        </w:rPr>
        <w:t xml:space="preserve">(„das Wort, das ich zu dir reden werde", Relativsatz), </w:t>
      </w:r>
      <w:r w:rsidRPr="00994AD3">
        <w:rPr>
          <w:rFonts w:eastAsia="Times New Roman" w:cs="Times New Roman"/>
          <w:b/>
          <w:bCs/>
          <w:rtl/>
          <w:lang w:eastAsia="de-DE"/>
        </w:rPr>
        <w:t>אֹתוֹ תְדַבֵּר</w:t>
      </w:r>
      <w:r w:rsidRPr="00994AD3">
        <w:rPr>
          <w:rFonts w:eastAsia="Times New Roman" w:cs="Times New Roman"/>
          <w:rtl/>
          <w:lang w:eastAsia="de-DE"/>
        </w:rPr>
        <w:t xml:space="preserve"> </w:t>
      </w:r>
      <w:r w:rsidRPr="00994AD3">
        <w:rPr>
          <w:rFonts w:eastAsia="Times New Roman" w:cs="Times New Roman"/>
          <w:lang w:eastAsia="de-DE"/>
        </w:rPr>
        <w:t xml:space="preserve">(betontes Objektpronomen plus </w:t>
      </w:r>
      <w:r w:rsidRPr="00994AD3">
        <w:rPr>
          <w:rFonts w:eastAsia="Times New Roman" w:cs="Times New Roman"/>
          <w:b/>
          <w:bCs/>
          <w:rtl/>
          <w:lang w:eastAsia="de-DE"/>
        </w:rPr>
        <w:t>תְּדַבֵּר</w:t>
      </w:r>
      <w:r w:rsidRPr="00994AD3">
        <w:rPr>
          <w:rFonts w:eastAsia="Times New Roman" w:cs="Times New Roman"/>
          <w:rtl/>
          <w:lang w:eastAsia="de-DE"/>
        </w:rPr>
        <w:t xml:space="preserve"> </w:t>
      </w:r>
      <w:r w:rsidRPr="00994AD3">
        <w:rPr>
          <w:rFonts w:eastAsia="Times New Roman" w:cs="Times New Roman"/>
          <w:lang w:eastAsia="de-DE"/>
        </w:rPr>
        <w:t xml:space="preserve">Piel Imperfekt, 2. m. sg. von </w:t>
      </w:r>
      <w:r w:rsidRPr="00994AD3">
        <w:rPr>
          <w:rFonts w:eastAsia="Times New Roman" w:cs="Times New Roman"/>
          <w:b/>
          <w:bCs/>
          <w:rtl/>
          <w:lang w:eastAsia="de-DE"/>
        </w:rPr>
        <w:t>דבר</w:t>
      </w:r>
      <w:r w:rsidRPr="00994AD3">
        <w:rPr>
          <w:rFonts w:eastAsia="Times New Roman" w:cs="Times New Roman"/>
          <w:lang w:eastAsia="de-DE"/>
        </w:rPr>
        <w:t>, „du sollst reden") – die Objektwiederaufnahme mit Pronomen betont stark. Diese Einschränkung ist fast identisch mit V. 20.</w:t>
      </w:r>
    </w:p>
    <w:p w14:paraId="50331C8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Ausführung: </w:t>
      </w:r>
      <w:r w:rsidRPr="00994AD3">
        <w:rPr>
          <w:rFonts w:eastAsia="Times New Roman" w:cs="Times New Roman"/>
          <w:b/>
          <w:bCs/>
          <w:rtl/>
          <w:lang w:eastAsia="de-DE"/>
        </w:rPr>
        <w:t>וַיֵּלֶךְ בִּלְעָם עִם־שָׂרֵי בָלָק</w:t>
      </w:r>
      <w:r w:rsidRPr="00994AD3">
        <w:rPr>
          <w:rFonts w:eastAsia="Times New Roman" w:cs="Times New Roman"/>
          <w:rtl/>
          <w:lang w:eastAsia="de-DE"/>
        </w:rPr>
        <w:t xml:space="preserve"> </w:t>
      </w:r>
      <w:r w:rsidRPr="00994AD3">
        <w:rPr>
          <w:rFonts w:eastAsia="Times New Roman" w:cs="Times New Roman"/>
          <w:lang w:eastAsia="de-DE"/>
        </w:rPr>
        <w:t xml:space="preserve">(„und Bileam ging mit den Fürsten Balaks") – fast identisch mit V. 21, aber jetzt </w:t>
      </w:r>
      <w:r w:rsidRPr="00994AD3">
        <w:rPr>
          <w:rFonts w:eastAsia="Times New Roman" w:cs="Times New Roman"/>
          <w:b/>
          <w:bCs/>
          <w:lang w:eastAsia="de-DE"/>
        </w:rPr>
        <w:t>nach</w:t>
      </w:r>
      <w:r w:rsidRPr="00994AD3">
        <w:rPr>
          <w:rFonts w:eastAsia="Times New Roman" w:cs="Times New Roman"/>
          <w:lang w:eastAsia="de-DE"/>
        </w:rPr>
        <w:t xml:space="preserve"> der Konfrontation, mit vollem Bewusstsein der göttlichen Kontrolle.</w:t>
      </w:r>
    </w:p>
    <w:p w14:paraId="53D97394"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Episode enthält eine tiefe theologische Lektion:</w:t>
      </w:r>
    </w:p>
    <w:p w14:paraId="5833D220" w14:textId="77777777" w:rsidR="00994AD3" w:rsidRPr="00994AD3" w:rsidRDefault="00994AD3" w:rsidP="00C15C06">
      <w:pPr>
        <w:numPr>
          <w:ilvl w:val="0"/>
          <w:numId w:val="11"/>
        </w:num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Gottes Souveränität</w:t>
      </w:r>
      <w:r w:rsidRPr="00994AD3">
        <w:rPr>
          <w:rFonts w:eastAsia="Times New Roman" w:cs="Times New Roman"/>
          <w:lang w:eastAsia="de-DE"/>
        </w:rPr>
        <w:t>: Gott kontrolliert Bileams Worte absolut – er darf gehen, aber nur als Gottes Sprachrohr.</w:t>
      </w:r>
    </w:p>
    <w:p w14:paraId="5710FBE7" w14:textId="77777777" w:rsidR="00994AD3" w:rsidRPr="00994AD3" w:rsidRDefault="00994AD3" w:rsidP="00C15C06">
      <w:pPr>
        <w:numPr>
          <w:ilvl w:val="0"/>
          <w:numId w:val="11"/>
        </w:num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Innere Haltung</w:t>
      </w:r>
      <w:r w:rsidRPr="00994AD3">
        <w:rPr>
          <w:rFonts w:eastAsia="Times New Roman" w:cs="Times New Roman"/>
          <w:lang w:eastAsia="de-DE"/>
        </w:rPr>
        <w:t>: Die dramatische Intervention zeigt: Gott sieht das Herz. Bileams äußerer Gehorsam (V. 20-21) verbarg inneren Widerstand – die Esel-Episode korrigiert seine Haltung.</w:t>
      </w:r>
    </w:p>
    <w:p w14:paraId="419CA46F" w14:textId="77777777" w:rsidR="00994AD3" w:rsidRPr="00994AD3" w:rsidRDefault="00994AD3" w:rsidP="00C15C06">
      <w:pPr>
        <w:numPr>
          <w:ilvl w:val="0"/>
          <w:numId w:val="11"/>
        </w:num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Pädagogische Gnade</w:t>
      </w:r>
      <w:r w:rsidRPr="00994AD3">
        <w:rPr>
          <w:rFonts w:eastAsia="Times New Roman" w:cs="Times New Roman"/>
          <w:lang w:eastAsia="de-DE"/>
        </w:rPr>
        <w:t>: Gott hätte Bileam töten können, tut es aber nicht – stattdessen demütigt er ihn durch ein Tier, um ihn zu lehren.</w:t>
      </w:r>
    </w:p>
    <w:p w14:paraId="315D1629"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folgt dem hebräischen Text.</w:t>
      </w:r>
    </w:p>
    <w:p w14:paraId="5B27E295"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Satzstruktur zeigt zwei Hauptsätze: Der erste mit Verb, Subjekt und indirektem Objekt; die direkte Rede enthält einen Imperativ mit Präpositionalphrase, gefolgt von einer restriktiven Einschränkung (Konjunktion, Objekt mit Relativsatz und betontem </w:t>
      </w:r>
      <w:r w:rsidRPr="00994AD3">
        <w:rPr>
          <w:rFonts w:eastAsia="Times New Roman" w:cs="Times New Roman"/>
          <w:lang w:eastAsia="de-DE"/>
        </w:rPr>
        <w:lastRenderedPageBreak/>
        <w:t>wiederaufnehmendem Objektpronomen, Verb); der abschließende Hauptsatz hat Verb, Subjekt und Präpositionalphrase. Insgesamt gibt es einen Nebensatz (Relativsatz).</w:t>
      </w:r>
    </w:p>
    <w:p w14:paraId="242C571B"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schließt die Esel-Episode ab: Bileam darf weiterreisen, aber unter absoluter göttlicher Kontrolle. Die dramatische Lektion ist gelernt – das Tier war weiser als der Prophet, Gott wird durch Bileam sprechen, nicht Bileam durch sich selbst.</w:t>
      </w:r>
    </w:p>
    <w:p w14:paraId="3512BA5A"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22,36</w:t>
      </w:r>
    </w:p>
    <w:p w14:paraId="2A83DF9F"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וַיִּשְׁמַ֥ע בָּלָ֖ק כִּ֣י בָ֣א בִלְעָ֑ם וַיֵּצֵ֨א לִקְרָאתוֹ֜ אֶל־עִ֣יר מוֹאָ֗ב אֲשֶׁר֙ עַל־גְּב֣וּל אַרְנֹ֔ן אֲשֶׁ֖ר בִּקְצֵ֥ה הַגְּבֽוּל׃</w:t>
      </w:r>
    </w:p>
    <w:p w14:paraId="202690D5"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Balak hörte, dass Bileam gekommen war, und er ging aus, ihm entgegen, zur Stadt Moabs, die an der Grenze des Arnon liegt, die an der äußersten Grenze.</w:t>
      </w:r>
    </w:p>
    <w:p w14:paraId="028F0C75"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1B98DF6F">
          <v:rect id="_x0000_i1792" style="width:0;height:1.5pt" o:hralign="center" o:hrstd="t" o:hr="t" fillcolor="#a0a0a0" stroked="f"/>
        </w:pict>
      </w:r>
    </w:p>
    <w:p w14:paraId="44DD8626"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Das Verb </w:t>
      </w:r>
      <w:r w:rsidRPr="00994AD3">
        <w:rPr>
          <w:rFonts w:eastAsia="Times New Roman" w:cs="Times New Roman"/>
          <w:b/>
          <w:bCs/>
          <w:rtl/>
          <w:lang w:eastAsia="de-DE"/>
        </w:rPr>
        <w:t>וַיִּשְׁמַע בָּלָק כִּי בָא בִלְעָם</w:t>
      </w:r>
      <w:r w:rsidRPr="00994AD3">
        <w:rPr>
          <w:rFonts w:eastAsia="Times New Roman" w:cs="Times New Roman"/>
          <w:rtl/>
          <w:lang w:eastAsia="de-DE"/>
        </w:rPr>
        <w:t xml:space="preserve"> </w:t>
      </w:r>
      <w:r w:rsidRPr="00994AD3">
        <w:rPr>
          <w:rFonts w:eastAsia="Times New Roman" w:cs="Times New Roman"/>
          <w:lang w:eastAsia="de-DE"/>
        </w:rPr>
        <w:t xml:space="preserve">(„und Balak hörte, dass Bileam gekommen war") – </w:t>
      </w:r>
      <w:r w:rsidRPr="00994AD3">
        <w:rPr>
          <w:rFonts w:eastAsia="Times New Roman" w:cs="Times New Roman"/>
          <w:b/>
          <w:bCs/>
          <w:rtl/>
          <w:lang w:eastAsia="de-DE"/>
        </w:rPr>
        <w:t>וַיִּשְׁמַע</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שׁמע</w:t>
      </w:r>
      <w:r w:rsidRPr="00994AD3">
        <w:rPr>
          <w:rFonts w:eastAsia="Times New Roman" w:cs="Times New Roman"/>
          <w:lang w:eastAsia="de-DE"/>
        </w:rPr>
        <w:t xml:space="preserve">, „und er hörte"), </w:t>
      </w:r>
      <w:r w:rsidRPr="00994AD3">
        <w:rPr>
          <w:rFonts w:eastAsia="Times New Roman" w:cs="Times New Roman"/>
          <w:b/>
          <w:bCs/>
          <w:rtl/>
          <w:lang w:eastAsia="de-DE"/>
        </w:rPr>
        <w:t>בָּלָק</w:t>
      </w:r>
      <w:r w:rsidRPr="00994AD3">
        <w:rPr>
          <w:rFonts w:eastAsia="Times New Roman" w:cs="Times New Roman"/>
          <w:rtl/>
          <w:lang w:eastAsia="de-DE"/>
        </w:rPr>
        <w:t xml:space="preserve"> </w:t>
      </w:r>
      <w:r w:rsidRPr="00994AD3">
        <w:rPr>
          <w:rFonts w:eastAsia="Times New Roman" w:cs="Times New Roman"/>
          <w:lang w:eastAsia="de-DE"/>
        </w:rPr>
        <w:t xml:space="preserve">Subjekt, der Objektsatz </w:t>
      </w:r>
      <w:r w:rsidRPr="00994AD3">
        <w:rPr>
          <w:rFonts w:eastAsia="Times New Roman" w:cs="Times New Roman"/>
          <w:b/>
          <w:bCs/>
          <w:rtl/>
          <w:lang w:eastAsia="de-DE"/>
        </w:rPr>
        <w:t>כִּי בָא בִלְעָם</w:t>
      </w:r>
      <w:r w:rsidRPr="00994AD3">
        <w:rPr>
          <w:rFonts w:eastAsia="Times New Roman" w:cs="Times New Roman"/>
          <w:rtl/>
          <w:lang w:eastAsia="de-DE"/>
        </w:rPr>
        <w:t xml:space="preserve"> </w:t>
      </w:r>
      <w:r w:rsidRPr="00994AD3">
        <w:rPr>
          <w:rFonts w:eastAsia="Times New Roman" w:cs="Times New Roman"/>
          <w:lang w:eastAsia="de-DE"/>
        </w:rPr>
        <w:t xml:space="preserve">(„dass Bileam gekommen war") – </w:t>
      </w:r>
      <w:r w:rsidRPr="00994AD3">
        <w:rPr>
          <w:rFonts w:eastAsia="Times New Roman" w:cs="Times New Roman"/>
          <w:b/>
          <w:bCs/>
          <w:rtl/>
          <w:lang w:eastAsia="de-DE"/>
        </w:rPr>
        <w:t>בָּא</w:t>
      </w:r>
      <w:r w:rsidRPr="00994AD3">
        <w:rPr>
          <w:rFonts w:eastAsia="Times New Roman" w:cs="Times New Roman"/>
          <w:rtl/>
          <w:lang w:eastAsia="de-DE"/>
        </w:rPr>
        <w:t xml:space="preserve"> </w:t>
      </w:r>
      <w:r w:rsidRPr="00994AD3">
        <w:rPr>
          <w:rFonts w:eastAsia="Times New Roman" w:cs="Times New Roman"/>
          <w:lang w:eastAsia="de-DE"/>
        </w:rPr>
        <w:t xml:space="preserve">(Qal Perfekt, 3. m. sg. von </w:t>
      </w:r>
      <w:r w:rsidRPr="00994AD3">
        <w:rPr>
          <w:rFonts w:eastAsia="Times New Roman" w:cs="Times New Roman"/>
          <w:b/>
          <w:bCs/>
          <w:rtl/>
          <w:lang w:eastAsia="de-DE"/>
        </w:rPr>
        <w:t>בוא</w:t>
      </w:r>
      <w:r w:rsidRPr="00994AD3">
        <w:rPr>
          <w:rFonts w:eastAsia="Times New Roman" w:cs="Times New Roman"/>
          <w:lang w:eastAsia="de-DE"/>
        </w:rPr>
        <w:t>).</w:t>
      </w:r>
    </w:p>
    <w:p w14:paraId="017028A4"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Reaktion: </w:t>
      </w:r>
      <w:r w:rsidRPr="00994AD3">
        <w:rPr>
          <w:rFonts w:eastAsia="Times New Roman" w:cs="Times New Roman"/>
          <w:b/>
          <w:bCs/>
          <w:rtl/>
          <w:lang w:eastAsia="de-DE"/>
        </w:rPr>
        <w:t>וַיֵּצֵא לִקְרָאתוֹ אֶל־עִיר מוֹאָב</w:t>
      </w:r>
      <w:r w:rsidRPr="00994AD3">
        <w:rPr>
          <w:rFonts w:eastAsia="Times New Roman" w:cs="Times New Roman"/>
          <w:rtl/>
          <w:lang w:eastAsia="de-DE"/>
        </w:rPr>
        <w:t xml:space="preserve"> </w:t>
      </w:r>
      <w:r w:rsidRPr="00994AD3">
        <w:rPr>
          <w:rFonts w:eastAsia="Times New Roman" w:cs="Times New Roman"/>
          <w:lang w:eastAsia="de-DE"/>
        </w:rPr>
        <w:t xml:space="preserve">(„und er ging aus, ihm entgegen, zur Stadt Moabs") – </w:t>
      </w:r>
      <w:r w:rsidRPr="00994AD3">
        <w:rPr>
          <w:rFonts w:eastAsia="Times New Roman" w:cs="Times New Roman"/>
          <w:b/>
          <w:bCs/>
          <w:rtl/>
          <w:lang w:eastAsia="de-DE"/>
        </w:rPr>
        <w:t>וַיֵּצֵא</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יצא</w:t>
      </w:r>
      <w:r w:rsidRPr="00994AD3">
        <w:rPr>
          <w:rFonts w:eastAsia="Times New Roman" w:cs="Times New Roman"/>
          <w:lang w:eastAsia="de-DE"/>
        </w:rPr>
        <w:t xml:space="preserve">), </w:t>
      </w:r>
      <w:r w:rsidRPr="00994AD3">
        <w:rPr>
          <w:rFonts w:eastAsia="Times New Roman" w:cs="Times New Roman"/>
          <w:b/>
          <w:bCs/>
          <w:rtl/>
          <w:lang w:eastAsia="de-DE"/>
        </w:rPr>
        <w:t>לִקְרָאתוֹ</w:t>
      </w:r>
      <w:r w:rsidRPr="00994AD3">
        <w:rPr>
          <w:rFonts w:eastAsia="Times New Roman" w:cs="Times New Roman"/>
          <w:rtl/>
          <w:lang w:eastAsia="de-DE"/>
        </w:rPr>
        <w:t xml:space="preserve"> </w:t>
      </w:r>
      <w:r w:rsidRPr="00994AD3">
        <w:rPr>
          <w:rFonts w:eastAsia="Times New Roman" w:cs="Times New Roman"/>
          <w:lang w:eastAsia="de-DE"/>
        </w:rPr>
        <w:t xml:space="preserve">(„ihm entgegen"), </w:t>
      </w:r>
      <w:r w:rsidRPr="00994AD3">
        <w:rPr>
          <w:rFonts w:eastAsia="Times New Roman" w:cs="Times New Roman"/>
          <w:b/>
          <w:bCs/>
          <w:rtl/>
          <w:lang w:eastAsia="de-DE"/>
        </w:rPr>
        <w:t>אֶל־עִיר מוֹאָב</w:t>
      </w:r>
      <w:r w:rsidRPr="00994AD3">
        <w:rPr>
          <w:rFonts w:eastAsia="Times New Roman" w:cs="Times New Roman"/>
          <w:rtl/>
          <w:lang w:eastAsia="de-DE"/>
        </w:rPr>
        <w:t xml:space="preserve"> </w:t>
      </w:r>
      <w:r w:rsidRPr="00994AD3">
        <w:rPr>
          <w:rFonts w:eastAsia="Times New Roman" w:cs="Times New Roman"/>
          <w:lang w:eastAsia="de-DE"/>
        </w:rPr>
        <w:t>(„zur Stadt Moabs", Constructus-Verbindung). Balak empfängt Bileam persönlich und ehrenvoll.</w:t>
      </w:r>
    </w:p>
    <w:p w14:paraId="46D3D4F9"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geografische Präzisierung: </w:t>
      </w:r>
      <w:r w:rsidRPr="00994AD3">
        <w:rPr>
          <w:rFonts w:eastAsia="Times New Roman" w:cs="Times New Roman"/>
          <w:b/>
          <w:bCs/>
          <w:rtl/>
          <w:lang w:eastAsia="de-DE"/>
        </w:rPr>
        <w:t>אֲשֶׁר עַל־גְּבוּל אַרְנֹן אֲשֶׁר בִּקְצֵה הַגְּבוּל</w:t>
      </w:r>
      <w:r w:rsidRPr="00994AD3">
        <w:rPr>
          <w:rFonts w:eastAsia="Times New Roman" w:cs="Times New Roman"/>
          <w:rtl/>
          <w:lang w:eastAsia="de-DE"/>
        </w:rPr>
        <w:t xml:space="preserve"> </w:t>
      </w:r>
      <w:r w:rsidRPr="00994AD3">
        <w:rPr>
          <w:rFonts w:eastAsia="Times New Roman" w:cs="Times New Roman"/>
          <w:lang w:eastAsia="de-DE"/>
        </w:rPr>
        <w:t xml:space="preserve">(„die an der Grenze des Arnon liegt, die an der äußersten Grenze") – der erste Relativsatz </w:t>
      </w:r>
      <w:r w:rsidRPr="00994AD3">
        <w:rPr>
          <w:rFonts w:eastAsia="Times New Roman" w:cs="Times New Roman"/>
          <w:b/>
          <w:bCs/>
          <w:rtl/>
          <w:lang w:eastAsia="de-DE"/>
        </w:rPr>
        <w:t>אֲשֶׁר עַל־גְּבוּל אַרְנֹן</w:t>
      </w:r>
      <w:r w:rsidRPr="00994AD3">
        <w:rPr>
          <w:rFonts w:eastAsia="Times New Roman" w:cs="Times New Roman"/>
          <w:rtl/>
          <w:lang w:eastAsia="de-DE"/>
        </w:rPr>
        <w:t xml:space="preserve"> </w:t>
      </w:r>
      <w:r w:rsidRPr="00994AD3">
        <w:rPr>
          <w:rFonts w:eastAsia="Times New Roman" w:cs="Times New Roman"/>
          <w:lang w:eastAsia="de-DE"/>
        </w:rPr>
        <w:t xml:space="preserve">(„die an der Grenze des Arnon liegt") – </w:t>
      </w:r>
      <w:r w:rsidRPr="00994AD3">
        <w:rPr>
          <w:rFonts w:eastAsia="Times New Roman" w:cs="Times New Roman"/>
          <w:b/>
          <w:bCs/>
          <w:rtl/>
          <w:lang w:eastAsia="de-DE"/>
        </w:rPr>
        <w:t>גְּבוּל אַרְנֹן</w:t>
      </w:r>
      <w:r w:rsidRPr="00994AD3">
        <w:rPr>
          <w:rFonts w:eastAsia="Times New Roman" w:cs="Times New Roman"/>
          <w:rtl/>
          <w:lang w:eastAsia="de-DE"/>
        </w:rPr>
        <w:t xml:space="preserve"> </w:t>
      </w:r>
      <w:r w:rsidRPr="00994AD3">
        <w:rPr>
          <w:rFonts w:eastAsia="Times New Roman" w:cs="Times New Roman"/>
          <w:lang w:eastAsia="de-DE"/>
        </w:rPr>
        <w:t xml:space="preserve">Constructus-Verbindung. Der zweite Relativsatz </w:t>
      </w:r>
      <w:r w:rsidRPr="00994AD3">
        <w:rPr>
          <w:rFonts w:eastAsia="Times New Roman" w:cs="Times New Roman"/>
          <w:b/>
          <w:bCs/>
          <w:rtl/>
          <w:lang w:eastAsia="de-DE"/>
        </w:rPr>
        <w:t>אֲשֶׁר בִּקְצֵה הַגְּבוּל</w:t>
      </w:r>
      <w:r w:rsidRPr="00994AD3">
        <w:rPr>
          <w:rFonts w:eastAsia="Times New Roman" w:cs="Times New Roman"/>
          <w:rtl/>
          <w:lang w:eastAsia="de-DE"/>
        </w:rPr>
        <w:t xml:space="preserve"> </w:t>
      </w:r>
      <w:r w:rsidRPr="00994AD3">
        <w:rPr>
          <w:rFonts w:eastAsia="Times New Roman" w:cs="Times New Roman"/>
          <w:lang w:eastAsia="de-DE"/>
        </w:rPr>
        <w:t xml:space="preserve">(„die am Ende der Grenze liegt") – </w:t>
      </w:r>
      <w:r w:rsidRPr="00994AD3">
        <w:rPr>
          <w:rFonts w:eastAsia="Times New Roman" w:cs="Times New Roman"/>
          <w:b/>
          <w:bCs/>
          <w:rtl/>
          <w:lang w:eastAsia="de-DE"/>
        </w:rPr>
        <w:t>קָצֶה</w:t>
      </w:r>
      <w:r w:rsidRPr="00994AD3">
        <w:rPr>
          <w:rFonts w:eastAsia="Times New Roman" w:cs="Times New Roman"/>
          <w:rtl/>
          <w:lang w:eastAsia="de-DE"/>
        </w:rPr>
        <w:t xml:space="preserve"> </w:t>
      </w:r>
      <w:r w:rsidRPr="00994AD3">
        <w:rPr>
          <w:rFonts w:eastAsia="Times New Roman" w:cs="Times New Roman"/>
          <w:lang w:eastAsia="de-DE"/>
        </w:rPr>
        <w:t xml:space="preserve">„Ende, Rand" im Constructus vor </w:t>
      </w:r>
      <w:r w:rsidRPr="00994AD3">
        <w:rPr>
          <w:rFonts w:eastAsia="Times New Roman" w:cs="Times New Roman"/>
          <w:b/>
          <w:bCs/>
          <w:rtl/>
          <w:lang w:eastAsia="de-DE"/>
        </w:rPr>
        <w:t>הַגְּבוּל</w:t>
      </w:r>
      <w:r w:rsidRPr="00994AD3">
        <w:rPr>
          <w:rFonts w:eastAsia="Times New Roman" w:cs="Times New Roman"/>
          <w:rtl/>
          <w:lang w:eastAsia="de-DE"/>
        </w:rPr>
        <w:t xml:space="preserve"> </w:t>
      </w:r>
      <w:r w:rsidRPr="00994AD3">
        <w:rPr>
          <w:rFonts w:eastAsia="Times New Roman" w:cs="Times New Roman"/>
          <w:lang w:eastAsia="de-DE"/>
        </w:rPr>
        <w:t>„die Grenze". Die doppelte Betonung „Grenze... äußerste Grenze" zeigt: Die Begegnung findet an der Peripherie Moabs statt, an der Grenze zum eroberten amoriter-Gebiet, wo Israel lagert.</w:t>
      </w:r>
    </w:p>
    <w:p w14:paraId="479E338B"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folgt dem hebräischen Text.</w:t>
      </w:r>
    </w:p>
    <w:p w14:paraId="1B2C2DB2"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Satzstruktur zeigt drei koordinierte Hauptsätze: Der erste mit Verb, Subjekt und Objektsatz (Nebensatz); der zweite mit Verb, Präpositionalphrase und weiterer Präpositionalphrase (Constructus-Verbindung), erweitert durch zwei Relativsätze. Insgesamt gibt es drei Nebensätze: einen Objektsatz und zwei Relativsätze.</w:t>
      </w:r>
    </w:p>
    <w:p w14:paraId="08E1C31C"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zeigt Balaks Eifer und Respekt – er empfängt Bileam persönlich an der Grenze. Die Spannung steigt: Wird der kontrollierte Prophet tun, was der verzweifelte König hofft?</w:t>
      </w:r>
    </w:p>
    <w:p w14:paraId="5806BA8C"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22,37</w:t>
      </w:r>
    </w:p>
    <w:p w14:paraId="152F819A"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וַיֹּ֨אמֶר בָּלָ֜ק אֶל־בִּלְעָ֗ם הֲלֹא֩ שָׁלֹ֨חַ שָׁלַ֤חְתִּי אֵלֶ֨יךָ֙ לִקְרֹא־לָ֔ךְ לָ֥מָּה לֹא־הָלַ֖כְתָּ אֵלָ֑י הַֽאֻמְנָ֔ם לֹ֥א אוּכַ֖ל כַּבְּדֶֽךָ׃</w:t>
      </w:r>
    </w:p>
    <w:p w14:paraId="5A8BA445"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Balak sprach zu Bileam: Habe ich nicht dringend zu dir gesandt, um dich zu rufen? Warum bist du nicht zu mir gekommen? Vermag ich wirklich nicht, dich zu ehren?</w:t>
      </w:r>
    </w:p>
    <w:p w14:paraId="3A29D52A"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lastRenderedPageBreak/>
        <w:pict w14:anchorId="52C05CC5">
          <v:rect id="_x0000_i1793" style="width:0;height:1.5pt" o:hralign="center" o:hrstd="t" o:hr="t" fillcolor="#a0a0a0" stroked="f"/>
        </w:pict>
      </w:r>
    </w:p>
    <w:p w14:paraId="71E38DE3" w14:textId="20E7D408"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Die erste rhetorische Frage: </w:t>
      </w:r>
      <w:r w:rsidRPr="00994AD3">
        <w:rPr>
          <w:rFonts w:eastAsia="Times New Roman" w:cs="Times New Roman"/>
          <w:b/>
          <w:bCs/>
          <w:rtl/>
          <w:lang w:eastAsia="de-DE"/>
        </w:rPr>
        <w:t>הֲלֹא שָׁלֹחַ שָׁלַחְתִּי אֵלֶיךָ לִקְרֹא־לָךְ</w:t>
      </w:r>
      <w:r w:rsidRPr="00994AD3">
        <w:rPr>
          <w:rFonts w:eastAsia="Times New Roman" w:cs="Times New Roman"/>
          <w:rtl/>
          <w:lang w:eastAsia="de-DE"/>
        </w:rPr>
        <w:t xml:space="preserve"> </w:t>
      </w:r>
      <w:r w:rsidRPr="00994AD3">
        <w:rPr>
          <w:rFonts w:eastAsia="Times New Roman" w:cs="Times New Roman"/>
          <w:lang w:eastAsia="de-DE"/>
        </w:rPr>
        <w:t xml:space="preserve">(„Habe ich nicht dringend zu dir gesandt, um dich zu rufen?") – </w:t>
      </w:r>
      <w:r w:rsidRPr="00994AD3">
        <w:rPr>
          <w:rFonts w:eastAsia="Times New Roman" w:cs="Times New Roman"/>
          <w:b/>
          <w:bCs/>
          <w:rtl/>
          <w:lang w:eastAsia="de-DE"/>
        </w:rPr>
        <w:t>הֲלֹא</w:t>
      </w:r>
      <w:r w:rsidRPr="00994AD3">
        <w:rPr>
          <w:rFonts w:eastAsia="Times New Roman" w:cs="Times New Roman"/>
          <w:rtl/>
          <w:lang w:eastAsia="de-DE"/>
        </w:rPr>
        <w:t xml:space="preserve"> </w:t>
      </w:r>
      <w:r w:rsidRPr="00994AD3">
        <w:rPr>
          <w:rFonts w:eastAsia="Times New Roman" w:cs="Times New Roman"/>
          <w:lang w:eastAsia="de-DE"/>
        </w:rPr>
        <w:t xml:space="preserve">rhetorische Fragepartikel (erwartet „ja"), die emphatische </w:t>
      </w:r>
      <w:r w:rsidR="00F133EC">
        <w:rPr>
          <w:rFonts w:eastAsia="Times New Roman" w:cs="Times New Roman"/>
          <w:lang w:eastAsia="de-DE"/>
        </w:rPr>
        <w:t>Construct</w:t>
      </w:r>
      <w:r w:rsidRPr="00994AD3">
        <w:rPr>
          <w:rFonts w:eastAsia="Times New Roman" w:cs="Times New Roman"/>
          <w:lang w:eastAsia="de-DE"/>
        </w:rPr>
        <w:t xml:space="preserve">ion </w:t>
      </w:r>
      <w:r w:rsidRPr="00994AD3">
        <w:rPr>
          <w:rFonts w:eastAsia="Times New Roman" w:cs="Times New Roman"/>
          <w:b/>
          <w:bCs/>
          <w:rtl/>
          <w:lang w:eastAsia="de-DE"/>
        </w:rPr>
        <w:t>שָׁלֹחַ שָׁלַחְתִּי</w:t>
      </w:r>
      <w:r w:rsidRPr="00994AD3">
        <w:rPr>
          <w:rFonts w:eastAsia="Times New Roman" w:cs="Times New Roman"/>
          <w:rtl/>
          <w:lang w:eastAsia="de-DE"/>
        </w:rPr>
        <w:t xml:space="preserve"> </w:t>
      </w:r>
      <w:r w:rsidRPr="00994AD3">
        <w:rPr>
          <w:rFonts w:eastAsia="Times New Roman" w:cs="Times New Roman"/>
          <w:lang w:eastAsia="de-DE"/>
        </w:rPr>
        <w:t xml:space="preserve">(Infinitiv absolutus plus Qal Perfekt, 1. c. sg. von </w:t>
      </w:r>
      <w:r w:rsidRPr="00994AD3">
        <w:rPr>
          <w:rFonts w:eastAsia="Times New Roman" w:cs="Times New Roman"/>
          <w:b/>
          <w:bCs/>
          <w:rtl/>
          <w:lang w:eastAsia="de-DE"/>
        </w:rPr>
        <w:t>שׁלח</w:t>
      </w:r>
      <w:r w:rsidRPr="00994AD3">
        <w:rPr>
          <w:rFonts w:eastAsia="Times New Roman" w:cs="Times New Roman"/>
          <w:lang w:eastAsia="de-DE"/>
        </w:rPr>
        <w:t xml:space="preserve">, „sendend habe ich gesandt") – figura etymologica bedeutet „ich habe dringend/wiederholt gesandt", </w:t>
      </w:r>
      <w:r w:rsidRPr="00994AD3">
        <w:rPr>
          <w:rFonts w:eastAsia="Times New Roman" w:cs="Times New Roman"/>
          <w:b/>
          <w:bCs/>
          <w:rtl/>
          <w:lang w:eastAsia="de-DE"/>
        </w:rPr>
        <w:t>אֵלֶיךָ</w:t>
      </w:r>
      <w:r w:rsidRPr="00994AD3">
        <w:rPr>
          <w:rFonts w:eastAsia="Times New Roman" w:cs="Times New Roman"/>
          <w:rtl/>
          <w:lang w:eastAsia="de-DE"/>
        </w:rPr>
        <w:t xml:space="preserve"> </w:t>
      </w:r>
      <w:r w:rsidRPr="00994AD3">
        <w:rPr>
          <w:rFonts w:eastAsia="Times New Roman" w:cs="Times New Roman"/>
          <w:lang w:eastAsia="de-DE"/>
        </w:rPr>
        <w:t xml:space="preserve">„zu dir", </w:t>
      </w:r>
      <w:r w:rsidRPr="00994AD3">
        <w:rPr>
          <w:rFonts w:eastAsia="Times New Roman" w:cs="Times New Roman"/>
          <w:b/>
          <w:bCs/>
          <w:rtl/>
          <w:lang w:eastAsia="de-DE"/>
        </w:rPr>
        <w:t>לִקְרֹא־לָךְ</w:t>
      </w:r>
      <w:r w:rsidRPr="00994AD3">
        <w:rPr>
          <w:rFonts w:eastAsia="Times New Roman" w:cs="Times New Roman"/>
          <w:rtl/>
          <w:lang w:eastAsia="de-DE"/>
        </w:rPr>
        <w:t xml:space="preserve"> </w:t>
      </w:r>
      <w:r w:rsidRPr="00994AD3">
        <w:rPr>
          <w:rFonts w:eastAsia="Times New Roman" w:cs="Times New Roman"/>
          <w:lang w:eastAsia="de-DE"/>
        </w:rPr>
        <w:t xml:space="preserve">(Qal Infinitiv construct von </w:t>
      </w:r>
      <w:r w:rsidRPr="00994AD3">
        <w:rPr>
          <w:rFonts w:eastAsia="Times New Roman" w:cs="Times New Roman"/>
          <w:b/>
          <w:bCs/>
          <w:rtl/>
          <w:lang w:eastAsia="de-DE"/>
        </w:rPr>
        <w:t>קרא</w:t>
      </w:r>
      <w:r w:rsidRPr="00994AD3">
        <w:rPr>
          <w:rFonts w:eastAsia="Times New Roman" w:cs="Times New Roman"/>
          <w:rtl/>
          <w:lang w:eastAsia="de-DE"/>
        </w:rPr>
        <w:t xml:space="preserve"> </w:t>
      </w:r>
      <w:r w:rsidRPr="00994AD3">
        <w:rPr>
          <w:rFonts w:eastAsia="Times New Roman" w:cs="Times New Roman"/>
          <w:lang w:eastAsia="de-DE"/>
        </w:rPr>
        <w:t xml:space="preserve">mit </w:t>
      </w:r>
      <w:r w:rsidRPr="00994AD3">
        <w:rPr>
          <w:rFonts w:eastAsia="Times New Roman" w:cs="Times New Roman"/>
          <w:b/>
          <w:bCs/>
          <w:rtl/>
          <w:lang w:eastAsia="de-DE"/>
        </w:rPr>
        <w:t>לְ</w:t>
      </w:r>
      <w:r w:rsidRPr="00994AD3">
        <w:rPr>
          <w:rFonts w:eastAsia="Times New Roman" w:cs="Times New Roman"/>
          <w:rtl/>
          <w:lang w:eastAsia="de-DE"/>
        </w:rPr>
        <w:t xml:space="preserve"> </w:t>
      </w:r>
      <w:r w:rsidRPr="00994AD3">
        <w:rPr>
          <w:rFonts w:eastAsia="Times New Roman" w:cs="Times New Roman"/>
          <w:lang w:eastAsia="de-DE"/>
        </w:rPr>
        <w:t>und Dativ-Suffix, „um dich zu rufen"). Balak erinnert an seine wiederholten, dringenden Einladungen.</w:t>
      </w:r>
    </w:p>
    <w:p w14:paraId="41C7314E"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zweite rhetorische Frage: </w:t>
      </w:r>
      <w:r w:rsidRPr="00994AD3">
        <w:rPr>
          <w:rFonts w:eastAsia="Times New Roman" w:cs="Times New Roman"/>
          <w:b/>
          <w:bCs/>
          <w:rtl/>
          <w:lang w:eastAsia="de-DE"/>
        </w:rPr>
        <w:t>לָמָּה לֹא־הָלַכְתָּ אֵלָי</w:t>
      </w:r>
      <w:r w:rsidRPr="00994AD3">
        <w:rPr>
          <w:rFonts w:eastAsia="Times New Roman" w:cs="Times New Roman"/>
          <w:rtl/>
          <w:lang w:eastAsia="de-DE"/>
        </w:rPr>
        <w:t xml:space="preserve"> </w:t>
      </w:r>
      <w:r w:rsidRPr="00994AD3">
        <w:rPr>
          <w:rFonts w:eastAsia="Times New Roman" w:cs="Times New Roman"/>
          <w:lang w:eastAsia="de-DE"/>
        </w:rPr>
        <w:t xml:space="preserve">(„Warum bist du nicht zu mir gekommen?") – </w:t>
      </w:r>
      <w:r w:rsidRPr="00994AD3">
        <w:rPr>
          <w:rFonts w:eastAsia="Times New Roman" w:cs="Times New Roman"/>
          <w:b/>
          <w:bCs/>
          <w:rtl/>
          <w:lang w:eastAsia="de-DE"/>
        </w:rPr>
        <w:t>לָמָּה</w:t>
      </w:r>
      <w:r w:rsidRPr="00994AD3">
        <w:rPr>
          <w:rFonts w:eastAsia="Times New Roman" w:cs="Times New Roman"/>
          <w:rtl/>
          <w:lang w:eastAsia="de-DE"/>
        </w:rPr>
        <w:t xml:space="preserve"> </w:t>
      </w:r>
      <w:r w:rsidRPr="00994AD3">
        <w:rPr>
          <w:rFonts w:eastAsia="Times New Roman" w:cs="Times New Roman"/>
          <w:lang w:eastAsia="de-DE"/>
        </w:rPr>
        <w:t xml:space="preserve">Interrogativ, </w:t>
      </w:r>
      <w:r w:rsidRPr="00994AD3">
        <w:rPr>
          <w:rFonts w:eastAsia="Times New Roman" w:cs="Times New Roman"/>
          <w:b/>
          <w:bCs/>
          <w:rtl/>
          <w:lang w:eastAsia="de-DE"/>
        </w:rPr>
        <w:t>לֹא־הָלַכְתָּ</w:t>
      </w:r>
      <w:r w:rsidRPr="00994AD3">
        <w:rPr>
          <w:rFonts w:eastAsia="Times New Roman" w:cs="Times New Roman"/>
          <w:rtl/>
          <w:lang w:eastAsia="de-DE"/>
        </w:rPr>
        <w:t xml:space="preserve"> </w:t>
      </w:r>
      <w:r w:rsidRPr="00994AD3">
        <w:rPr>
          <w:rFonts w:eastAsia="Times New Roman" w:cs="Times New Roman"/>
          <w:lang w:eastAsia="de-DE"/>
        </w:rPr>
        <w:t xml:space="preserve">(Negation plus Qal Perfekt, 2. m. sg. von </w:t>
      </w:r>
      <w:r w:rsidRPr="00994AD3">
        <w:rPr>
          <w:rFonts w:eastAsia="Times New Roman" w:cs="Times New Roman"/>
          <w:b/>
          <w:bCs/>
          <w:rtl/>
          <w:lang w:eastAsia="de-DE"/>
        </w:rPr>
        <w:t>הלך</w:t>
      </w:r>
      <w:r w:rsidRPr="00994AD3">
        <w:rPr>
          <w:rFonts w:eastAsia="Times New Roman" w:cs="Times New Roman"/>
          <w:lang w:eastAsia="de-DE"/>
        </w:rPr>
        <w:t xml:space="preserve">), </w:t>
      </w:r>
      <w:r w:rsidRPr="00994AD3">
        <w:rPr>
          <w:rFonts w:eastAsia="Times New Roman" w:cs="Times New Roman"/>
          <w:b/>
          <w:bCs/>
          <w:rtl/>
          <w:lang w:eastAsia="de-DE"/>
        </w:rPr>
        <w:t>אֵלָי</w:t>
      </w:r>
      <w:r w:rsidRPr="00994AD3">
        <w:rPr>
          <w:rFonts w:eastAsia="Times New Roman" w:cs="Times New Roman"/>
          <w:rtl/>
          <w:lang w:eastAsia="de-DE"/>
        </w:rPr>
        <w:t xml:space="preserve"> </w:t>
      </w:r>
      <w:r w:rsidRPr="00994AD3">
        <w:rPr>
          <w:rFonts w:eastAsia="Times New Roman" w:cs="Times New Roman"/>
          <w:lang w:eastAsia="de-DE"/>
        </w:rPr>
        <w:t>„zu mir". Balak drückt Enttäuschung oder leichten Vorwurf aus – warum die Verzögerung?</w:t>
      </w:r>
    </w:p>
    <w:p w14:paraId="11BB5049"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dritte rhetorische Frage: </w:t>
      </w:r>
      <w:r w:rsidRPr="00994AD3">
        <w:rPr>
          <w:rFonts w:eastAsia="Times New Roman" w:cs="Times New Roman"/>
          <w:b/>
          <w:bCs/>
          <w:rtl/>
          <w:lang w:eastAsia="de-DE"/>
        </w:rPr>
        <w:t>הַאֻמְנָם לֹא אוּכַל כַּבְּדֶךָ</w:t>
      </w:r>
      <w:r w:rsidRPr="00994AD3">
        <w:rPr>
          <w:rFonts w:eastAsia="Times New Roman" w:cs="Times New Roman"/>
          <w:rtl/>
          <w:lang w:eastAsia="de-DE"/>
        </w:rPr>
        <w:t xml:space="preserve"> </w:t>
      </w:r>
      <w:r w:rsidRPr="00994AD3">
        <w:rPr>
          <w:rFonts w:eastAsia="Times New Roman" w:cs="Times New Roman"/>
          <w:lang w:eastAsia="de-DE"/>
        </w:rPr>
        <w:t xml:space="preserve">(„Vermag ich wirklich nicht, dich zu ehren?") – </w:t>
      </w:r>
      <w:r w:rsidRPr="00994AD3">
        <w:rPr>
          <w:rFonts w:eastAsia="Times New Roman" w:cs="Times New Roman"/>
          <w:b/>
          <w:bCs/>
          <w:rtl/>
          <w:lang w:eastAsia="de-DE"/>
        </w:rPr>
        <w:t>הַאֻמְנָם</w:t>
      </w:r>
      <w:r w:rsidRPr="00994AD3">
        <w:rPr>
          <w:rFonts w:eastAsia="Times New Roman" w:cs="Times New Roman"/>
          <w:rtl/>
          <w:lang w:eastAsia="de-DE"/>
        </w:rPr>
        <w:t xml:space="preserve"> </w:t>
      </w:r>
      <w:r w:rsidRPr="00994AD3">
        <w:rPr>
          <w:rFonts w:eastAsia="Times New Roman" w:cs="Times New Roman"/>
          <w:lang w:eastAsia="de-DE"/>
        </w:rPr>
        <w:t xml:space="preserve">„wirklich? in der Tat?" (von </w:t>
      </w:r>
      <w:r w:rsidRPr="00994AD3">
        <w:rPr>
          <w:rFonts w:eastAsia="Times New Roman" w:cs="Times New Roman"/>
          <w:b/>
          <w:bCs/>
          <w:rtl/>
          <w:lang w:eastAsia="de-DE"/>
        </w:rPr>
        <w:t>אמן</w:t>
      </w:r>
      <w:r w:rsidRPr="00994AD3">
        <w:rPr>
          <w:rFonts w:eastAsia="Times New Roman" w:cs="Times New Roman"/>
          <w:rtl/>
          <w:lang w:eastAsia="de-DE"/>
        </w:rPr>
        <w:t xml:space="preserve"> </w:t>
      </w:r>
      <w:r w:rsidRPr="00994AD3">
        <w:rPr>
          <w:rFonts w:eastAsia="Times New Roman" w:cs="Times New Roman"/>
          <w:lang w:eastAsia="de-DE"/>
        </w:rPr>
        <w:t xml:space="preserve">„fest sein, wahr sein") mit </w:t>
      </w:r>
      <w:r w:rsidRPr="00994AD3">
        <w:rPr>
          <w:rFonts w:eastAsia="Times New Roman" w:cs="Times New Roman"/>
          <w:b/>
          <w:bCs/>
          <w:rtl/>
          <w:lang w:eastAsia="de-DE"/>
        </w:rPr>
        <w:t>הַ</w:t>
      </w:r>
      <w:r w:rsidRPr="00994AD3">
        <w:rPr>
          <w:rFonts w:eastAsia="Times New Roman" w:cs="Times New Roman"/>
          <w:rtl/>
          <w:lang w:eastAsia="de-DE"/>
        </w:rPr>
        <w:t xml:space="preserve"> </w:t>
      </w:r>
      <w:r w:rsidRPr="00994AD3">
        <w:rPr>
          <w:rFonts w:eastAsia="Times New Roman" w:cs="Times New Roman"/>
          <w:lang w:eastAsia="de-DE"/>
        </w:rPr>
        <w:t xml:space="preserve">Interrogativ, </w:t>
      </w:r>
      <w:r w:rsidRPr="00994AD3">
        <w:rPr>
          <w:rFonts w:eastAsia="Times New Roman" w:cs="Times New Roman"/>
          <w:b/>
          <w:bCs/>
          <w:rtl/>
          <w:lang w:eastAsia="de-DE"/>
        </w:rPr>
        <w:t>לֹא אוּכַל</w:t>
      </w:r>
      <w:r w:rsidRPr="00994AD3">
        <w:rPr>
          <w:rFonts w:eastAsia="Times New Roman" w:cs="Times New Roman"/>
          <w:rtl/>
          <w:lang w:eastAsia="de-DE"/>
        </w:rPr>
        <w:t xml:space="preserve"> </w:t>
      </w:r>
      <w:r w:rsidRPr="00994AD3">
        <w:rPr>
          <w:rFonts w:eastAsia="Times New Roman" w:cs="Times New Roman"/>
          <w:lang w:eastAsia="de-DE"/>
        </w:rPr>
        <w:t xml:space="preserve">(Negation plus Qal Imperfekt, 1. c. sg. von </w:t>
      </w:r>
      <w:r w:rsidRPr="00994AD3">
        <w:rPr>
          <w:rFonts w:eastAsia="Times New Roman" w:cs="Times New Roman"/>
          <w:b/>
          <w:bCs/>
          <w:rtl/>
          <w:lang w:eastAsia="de-DE"/>
        </w:rPr>
        <w:t>יכל</w:t>
      </w:r>
      <w:r w:rsidRPr="00994AD3">
        <w:rPr>
          <w:rFonts w:eastAsia="Times New Roman" w:cs="Times New Roman"/>
          <w:lang w:eastAsia="de-DE"/>
        </w:rPr>
        <w:t xml:space="preserve">, „ich vermag nicht"), </w:t>
      </w:r>
      <w:r w:rsidRPr="00994AD3">
        <w:rPr>
          <w:rFonts w:eastAsia="Times New Roman" w:cs="Times New Roman"/>
          <w:b/>
          <w:bCs/>
          <w:rtl/>
          <w:lang w:eastAsia="de-DE"/>
        </w:rPr>
        <w:t>כַּבְּדֶךָ</w:t>
      </w:r>
      <w:r w:rsidRPr="00994AD3">
        <w:rPr>
          <w:rFonts w:eastAsia="Times New Roman" w:cs="Times New Roman"/>
          <w:rtl/>
          <w:lang w:eastAsia="de-DE"/>
        </w:rPr>
        <w:t xml:space="preserve"> </w:t>
      </w:r>
      <w:r w:rsidRPr="00994AD3">
        <w:rPr>
          <w:rFonts w:eastAsia="Times New Roman" w:cs="Times New Roman"/>
          <w:lang w:eastAsia="de-DE"/>
        </w:rPr>
        <w:t xml:space="preserve">(Piel Infinitiv construct von </w:t>
      </w:r>
      <w:r w:rsidRPr="00994AD3">
        <w:rPr>
          <w:rFonts w:eastAsia="Times New Roman" w:cs="Times New Roman"/>
          <w:b/>
          <w:bCs/>
          <w:rtl/>
          <w:lang w:eastAsia="de-DE"/>
        </w:rPr>
        <w:t>כבד</w:t>
      </w:r>
      <w:r w:rsidRPr="00994AD3">
        <w:rPr>
          <w:rFonts w:eastAsia="Times New Roman" w:cs="Times New Roman"/>
          <w:rtl/>
          <w:lang w:eastAsia="de-DE"/>
        </w:rPr>
        <w:t xml:space="preserve"> </w:t>
      </w:r>
      <w:r w:rsidRPr="00994AD3">
        <w:rPr>
          <w:rFonts w:eastAsia="Times New Roman" w:cs="Times New Roman"/>
          <w:lang w:eastAsia="de-DE"/>
        </w:rPr>
        <w:t>mit Suffix 2. m. sg., „dich zu ehren"). Balak nimmt Bezug auf sein Versprechen in V. 17 – er ist bereit, Bileam reich zu belohnen.</w:t>
      </w:r>
    </w:p>
    <w:p w14:paraId="5A03B6EB"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drei Fragen drücken aus: (1) Dringlichkeit der Einladung, (2) Enttäuschung über Verzögerung, (3) Bereitschaft zur Belohnung. Balak versteht nicht, dass göttliche Intervention die Verzögerung verursacht hat.</w:t>
      </w:r>
    </w:p>
    <w:p w14:paraId="5B8D2A43"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folgt dem hebräischen Text.</w:t>
      </w:r>
    </w:p>
    <w:p w14:paraId="519B44D3" w14:textId="2C08BE6B"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Satzstruktur zeigt einen Hauptsatz mit Verb, Subjekt und indirektem Objekt. Die direkte Rede enthält drei rhetorische Fragen: Die erste mit Fragepartikel, emphatischer Infinitiv-</w:t>
      </w:r>
      <w:r w:rsidR="00F133EC">
        <w:rPr>
          <w:rFonts w:eastAsia="Times New Roman" w:cs="Times New Roman"/>
          <w:lang w:eastAsia="de-DE"/>
        </w:rPr>
        <w:t>Construct</w:t>
      </w:r>
      <w:r w:rsidRPr="00994AD3">
        <w:rPr>
          <w:rFonts w:eastAsia="Times New Roman" w:cs="Times New Roman"/>
          <w:lang w:eastAsia="de-DE"/>
        </w:rPr>
        <w:t>ion, Präpositionalphrase und finalem Infinitiv; die zweite mit Interrogativ, negiertem Verb und Präpositionalphrase; die dritte mit verstärkter Fragepartikel, negiertem Verb und Infinitiv construct mit Objektsuffix. Insgesamt gibt es einen Nebensatz (finaler Infinitivsatz).</w:t>
      </w:r>
    </w:p>
    <w:p w14:paraId="4CAC2F7D"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zeigt Balaks Ungeduld und Unwissenheit – er denkt, Bileam zögere aus Gründen der Ehre oder Bezahlung, nicht wegen göttlicher Opposition.</w:t>
      </w:r>
    </w:p>
    <w:p w14:paraId="04A6AA47"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22,38</w:t>
      </w:r>
    </w:p>
    <w:p w14:paraId="08DF0D6F"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וַיֹּ֨אמֶר בִּלְעָ֜ם אֶל־בָּלָ֗ק הִֽנֵּה־בָ֨אתִי֙ אֵלֶ֔יךָ עַתָּ֕ה הֲיָכ֥וֹל אוּכַ֖ל דַּבֵּ֣ר מְא֑וּמָה הַדָּבָ֗ר אֲשֶׁ֨ר יָשִׂ֧ים אֱלֹהִ֛ים בְּפִ֖י אֹתוֹ֥ אֲדַבֵּֽר׃</w:t>
      </w:r>
    </w:p>
    <w:p w14:paraId="7013122B"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Bileam sagte zu Balak: Siehe, ich bin nun zu dir gekommen. Vermag ich überhaupt etwas zu reden? Das Wort, das Gott in meinen Mund legt, das werde ich reden.</w:t>
      </w:r>
    </w:p>
    <w:p w14:paraId="26ACFA54"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38B3DB4A">
          <v:rect id="_x0000_i1794" style="width:0;height:1.5pt" o:hralign="center" o:hrstd="t" o:hr="t" fillcolor="#a0a0a0" stroked="f"/>
        </w:pict>
      </w:r>
    </w:p>
    <w:p w14:paraId="550C21FC"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Die Feststellung: </w:t>
      </w:r>
      <w:r w:rsidRPr="00994AD3">
        <w:rPr>
          <w:rFonts w:eastAsia="Times New Roman" w:cs="Times New Roman"/>
          <w:b/>
          <w:bCs/>
          <w:rtl/>
          <w:lang w:eastAsia="de-DE"/>
        </w:rPr>
        <w:t>הִנֵּה־בָאתִי אֵלֶיךָ עַתָּה</w:t>
      </w:r>
      <w:r w:rsidRPr="00994AD3">
        <w:rPr>
          <w:rFonts w:eastAsia="Times New Roman" w:cs="Times New Roman"/>
          <w:rtl/>
          <w:lang w:eastAsia="de-DE"/>
        </w:rPr>
        <w:t xml:space="preserve"> </w:t>
      </w:r>
      <w:r w:rsidRPr="00994AD3">
        <w:rPr>
          <w:rFonts w:eastAsia="Times New Roman" w:cs="Times New Roman"/>
          <w:lang w:eastAsia="de-DE"/>
        </w:rPr>
        <w:t xml:space="preserve">(„Siehe, ich bin nun zu dir gekommen") – </w:t>
      </w:r>
      <w:r w:rsidRPr="00994AD3">
        <w:rPr>
          <w:rFonts w:eastAsia="Times New Roman" w:cs="Times New Roman"/>
          <w:b/>
          <w:bCs/>
          <w:rtl/>
          <w:lang w:eastAsia="de-DE"/>
        </w:rPr>
        <w:t>הִנֵּה</w:t>
      </w:r>
      <w:r w:rsidRPr="00994AD3">
        <w:rPr>
          <w:rFonts w:eastAsia="Times New Roman" w:cs="Times New Roman"/>
          <w:rtl/>
          <w:lang w:eastAsia="de-DE"/>
        </w:rPr>
        <w:t xml:space="preserve"> </w:t>
      </w:r>
      <w:r w:rsidRPr="00994AD3">
        <w:rPr>
          <w:rFonts w:eastAsia="Times New Roman" w:cs="Times New Roman"/>
          <w:lang w:eastAsia="de-DE"/>
        </w:rPr>
        <w:t xml:space="preserve">Interjektion, </w:t>
      </w:r>
      <w:r w:rsidRPr="00994AD3">
        <w:rPr>
          <w:rFonts w:eastAsia="Times New Roman" w:cs="Times New Roman"/>
          <w:b/>
          <w:bCs/>
          <w:rtl/>
          <w:lang w:eastAsia="de-DE"/>
        </w:rPr>
        <w:t>בָּאתִי</w:t>
      </w:r>
      <w:r w:rsidRPr="00994AD3">
        <w:rPr>
          <w:rFonts w:eastAsia="Times New Roman" w:cs="Times New Roman"/>
          <w:rtl/>
          <w:lang w:eastAsia="de-DE"/>
        </w:rPr>
        <w:t xml:space="preserve"> </w:t>
      </w:r>
      <w:r w:rsidRPr="00994AD3">
        <w:rPr>
          <w:rFonts w:eastAsia="Times New Roman" w:cs="Times New Roman"/>
          <w:lang w:eastAsia="de-DE"/>
        </w:rPr>
        <w:t xml:space="preserve">(Qal Perfekt, 1. c. sg. von </w:t>
      </w:r>
      <w:r w:rsidRPr="00994AD3">
        <w:rPr>
          <w:rFonts w:eastAsia="Times New Roman" w:cs="Times New Roman"/>
          <w:b/>
          <w:bCs/>
          <w:rtl/>
          <w:lang w:eastAsia="de-DE"/>
        </w:rPr>
        <w:t>בוא</w:t>
      </w:r>
      <w:r w:rsidRPr="00994AD3">
        <w:rPr>
          <w:rFonts w:eastAsia="Times New Roman" w:cs="Times New Roman"/>
          <w:lang w:eastAsia="de-DE"/>
        </w:rPr>
        <w:t xml:space="preserve">, „ich bin gekommen"), </w:t>
      </w:r>
      <w:r w:rsidRPr="00994AD3">
        <w:rPr>
          <w:rFonts w:eastAsia="Times New Roman" w:cs="Times New Roman"/>
          <w:b/>
          <w:bCs/>
          <w:rtl/>
          <w:lang w:eastAsia="de-DE"/>
        </w:rPr>
        <w:t>אֵלֶיךָ</w:t>
      </w:r>
      <w:r w:rsidRPr="00994AD3">
        <w:rPr>
          <w:rFonts w:eastAsia="Times New Roman" w:cs="Times New Roman"/>
          <w:rtl/>
          <w:lang w:eastAsia="de-DE"/>
        </w:rPr>
        <w:t xml:space="preserve"> </w:t>
      </w:r>
      <w:r w:rsidRPr="00994AD3">
        <w:rPr>
          <w:rFonts w:eastAsia="Times New Roman" w:cs="Times New Roman"/>
          <w:lang w:eastAsia="de-DE"/>
        </w:rPr>
        <w:t xml:space="preserve">„zu dir", </w:t>
      </w:r>
      <w:r w:rsidRPr="00994AD3">
        <w:rPr>
          <w:rFonts w:eastAsia="Times New Roman" w:cs="Times New Roman"/>
          <w:b/>
          <w:bCs/>
          <w:rtl/>
          <w:lang w:eastAsia="de-DE"/>
        </w:rPr>
        <w:t>עַתָּה</w:t>
      </w:r>
      <w:r w:rsidRPr="00994AD3">
        <w:rPr>
          <w:rFonts w:eastAsia="Times New Roman" w:cs="Times New Roman"/>
          <w:rtl/>
          <w:lang w:eastAsia="de-DE"/>
        </w:rPr>
        <w:t xml:space="preserve"> </w:t>
      </w:r>
      <w:r w:rsidRPr="00994AD3">
        <w:rPr>
          <w:rFonts w:eastAsia="Times New Roman" w:cs="Times New Roman"/>
          <w:lang w:eastAsia="de-DE"/>
        </w:rPr>
        <w:t>„nun, jetzt". Bileam bestätigt seine Ankunft.</w:t>
      </w:r>
    </w:p>
    <w:p w14:paraId="4D80A699" w14:textId="03BD892D"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lastRenderedPageBreak/>
        <w:t xml:space="preserve">Die rhetorische Frage: </w:t>
      </w:r>
      <w:r w:rsidRPr="00994AD3">
        <w:rPr>
          <w:rFonts w:eastAsia="Times New Roman" w:cs="Times New Roman"/>
          <w:b/>
          <w:bCs/>
          <w:rtl/>
          <w:lang w:eastAsia="de-DE"/>
        </w:rPr>
        <w:t>הֲיָכוֹל אוּכַל דַּבֵּר מְאוּמָה</w:t>
      </w:r>
      <w:r w:rsidRPr="00994AD3">
        <w:rPr>
          <w:rFonts w:eastAsia="Times New Roman" w:cs="Times New Roman"/>
          <w:rtl/>
          <w:lang w:eastAsia="de-DE"/>
        </w:rPr>
        <w:t xml:space="preserve"> </w:t>
      </w:r>
      <w:r w:rsidRPr="00994AD3">
        <w:rPr>
          <w:rFonts w:eastAsia="Times New Roman" w:cs="Times New Roman"/>
          <w:lang w:eastAsia="de-DE"/>
        </w:rPr>
        <w:t xml:space="preserve">(„Vermag ich überhaupt etwas zu reden?") – </w:t>
      </w:r>
      <w:r w:rsidRPr="00994AD3">
        <w:rPr>
          <w:rFonts w:eastAsia="Times New Roman" w:cs="Times New Roman"/>
          <w:b/>
          <w:bCs/>
          <w:rtl/>
          <w:lang w:eastAsia="de-DE"/>
        </w:rPr>
        <w:t>הֲ</w:t>
      </w:r>
      <w:r w:rsidRPr="00994AD3">
        <w:rPr>
          <w:rFonts w:eastAsia="Times New Roman" w:cs="Times New Roman"/>
          <w:rtl/>
          <w:lang w:eastAsia="de-DE"/>
        </w:rPr>
        <w:t xml:space="preserve"> </w:t>
      </w:r>
      <w:r w:rsidRPr="00994AD3">
        <w:rPr>
          <w:rFonts w:eastAsia="Times New Roman" w:cs="Times New Roman"/>
          <w:lang w:eastAsia="de-DE"/>
        </w:rPr>
        <w:t xml:space="preserve">Interrogativpartikel, </w:t>
      </w:r>
      <w:r w:rsidRPr="00994AD3">
        <w:rPr>
          <w:rFonts w:eastAsia="Times New Roman" w:cs="Times New Roman"/>
          <w:b/>
          <w:bCs/>
          <w:rtl/>
          <w:lang w:eastAsia="de-DE"/>
        </w:rPr>
        <w:t>יָכוֹל</w:t>
      </w:r>
      <w:r w:rsidRPr="00994AD3">
        <w:rPr>
          <w:rFonts w:eastAsia="Times New Roman" w:cs="Times New Roman"/>
          <w:rtl/>
          <w:lang w:eastAsia="de-DE"/>
        </w:rPr>
        <w:t xml:space="preserve"> </w:t>
      </w:r>
      <w:r w:rsidRPr="00994AD3">
        <w:rPr>
          <w:rFonts w:eastAsia="Times New Roman" w:cs="Times New Roman"/>
          <w:lang w:eastAsia="de-DE"/>
        </w:rPr>
        <w:t xml:space="preserve">(Qal Infinitiv absolutus von </w:t>
      </w:r>
      <w:r w:rsidRPr="00994AD3">
        <w:rPr>
          <w:rFonts w:eastAsia="Times New Roman" w:cs="Times New Roman"/>
          <w:b/>
          <w:bCs/>
          <w:rtl/>
          <w:lang w:eastAsia="de-DE"/>
        </w:rPr>
        <w:t>יכל</w:t>
      </w:r>
      <w:r w:rsidRPr="00994AD3">
        <w:rPr>
          <w:rFonts w:eastAsia="Times New Roman" w:cs="Times New Roman"/>
          <w:lang w:eastAsia="de-DE"/>
        </w:rPr>
        <w:t xml:space="preserve">, „vermögen, können") mit </w:t>
      </w:r>
      <w:r w:rsidRPr="00994AD3">
        <w:rPr>
          <w:rFonts w:eastAsia="Times New Roman" w:cs="Times New Roman"/>
          <w:b/>
          <w:bCs/>
          <w:rtl/>
          <w:lang w:eastAsia="de-DE"/>
        </w:rPr>
        <w:t>אוּכַל</w:t>
      </w:r>
      <w:r w:rsidRPr="00994AD3">
        <w:rPr>
          <w:rFonts w:eastAsia="Times New Roman" w:cs="Times New Roman"/>
          <w:rtl/>
          <w:lang w:eastAsia="de-DE"/>
        </w:rPr>
        <w:t xml:space="preserve"> </w:t>
      </w:r>
      <w:r w:rsidRPr="00994AD3">
        <w:rPr>
          <w:rFonts w:eastAsia="Times New Roman" w:cs="Times New Roman"/>
          <w:lang w:eastAsia="de-DE"/>
        </w:rPr>
        <w:t xml:space="preserve">(Qal Imperfekt, 1. c. sg. von </w:t>
      </w:r>
      <w:r w:rsidRPr="00994AD3">
        <w:rPr>
          <w:rFonts w:eastAsia="Times New Roman" w:cs="Times New Roman"/>
          <w:b/>
          <w:bCs/>
          <w:rtl/>
          <w:lang w:eastAsia="de-DE"/>
        </w:rPr>
        <w:t>יכל</w:t>
      </w:r>
      <w:r w:rsidRPr="00994AD3">
        <w:rPr>
          <w:rFonts w:eastAsia="Times New Roman" w:cs="Times New Roman"/>
          <w:lang w:eastAsia="de-DE"/>
        </w:rPr>
        <w:t>) – die Infinitiv-</w:t>
      </w:r>
      <w:r w:rsidR="00F133EC">
        <w:rPr>
          <w:rFonts w:eastAsia="Times New Roman" w:cs="Times New Roman"/>
          <w:lang w:eastAsia="de-DE"/>
        </w:rPr>
        <w:t>Construct</w:t>
      </w:r>
      <w:r w:rsidRPr="00994AD3">
        <w:rPr>
          <w:rFonts w:eastAsia="Times New Roman" w:cs="Times New Roman"/>
          <w:lang w:eastAsia="de-DE"/>
        </w:rPr>
        <w:t xml:space="preserve">ion verstärkt die Frage: „kann ich wirklich können...?", </w:t>
      </w:r>
      <w:r w:rsidRPr="00994AD3">
        <w:rPr>
          <w:rFonts w:eastAsia="Times New Roman" w:cs="Times New Roman"/>
          <w:b/>
          <w:bCs/>
          <w:rtl/>
          <w:lang w:eastAsia="de-DE"/>
        </w:rPr>
        <w:t>דַּבֵּר</w:t>
      </w:r>
      <w:r w:rsidRPr="00994AD3">
        <w:rPr>
          <w:rFonts w:eastAsia="Times New Roman" w:cs="Times New Roman"/>
          <w:rtl/>
          <w:lang w:eastAsia="de-DE"/>
        </w:rPr>
        <w:t xml:space="preserve"> </w:t>
      </w:r>
      <w:r w:rsidRPr="00994AD3">
        <w:rPr>
          <w:rFonts w:eastAsia="Times New Roman" w:cs="Times New Roman"/>
          <w:lang w:eastAsia="de-DE"/>
        </w:rPr>
        <w:t xml:space="preserve">(Piel Infinitiv construct von </w:t>
      </w:r>
      <w:r w:rsidRPr="00994AD3">
        <w:rPr>
          <w:rFonts w:eastAsia="Times New Roman" w:cs="Times New Roman"/>
          <w:b/>
          <w:bCs/>
          <w:rtl/>
          <w:lang w:eastAsia="de-DE"/>
        </w:rPr>
        <w:t>דבר</w:t>
      </w:r>
      <w:r w:rsidRPr="00994AD3">
        <w:rPr>
          <w:rFonts w:eastAsia="Times New Roman" w:cs="Times New Roman"/>
          <w:lang w:eastAsia="de-DE"/>
        </w:rPr>
        <w:t xml:space="preserve">, „reden"), </w:t>
      </w:r>
      <w:r w:rsidRPr="00994AD3">
        <w:rPr>
          <w:rFonts w:eastAsia="Times New Roman" w:cs="Times New Roman"/>
          <w:b/>
          <w:bCs/>
          <w:rtl/>
          <w:lang w:eastAsia="de-DE"/>
        </w:rPr>
        <w:t>מְאוּמָה</w:t>
      </w:r>
      <w:r w:rsidRPr="00994AD3">
        <w:rPr>
          <w:rFonts w:eastAsia="Times New Roman" w:cs="Times New Roman"/>
          <w:rtl/>
          <w:lang w:eastAsia="de-DE"/>
        </w:rPr>
        <w:t xml:space="preserve"> </w:t>
      </w:r>
      <w:r w:rsidRPr="00994AD3">
        <w:rPr>
          <w:rFonts w:eastAsia="Times New Roman" w:cs="Times New Roman"/>
          <w:lang w:eastAsia="de-DE"/>
        </w:rPr>
        <w:t xml:space="preserve">„irgendetwas, überhaupt etwas" (von </w:t>
      </w:r>
      <w:r w:rsidRPr="00994AD3">
        <w:rPr>
          <w:rFonts w:eastAsia="Times New Roman" w:cs="Times New Roman"/>
          <w:b/>
          <w:bCs/>
          <w:rtl/>
          <w:lang w:eastAsia="de-DE"/>
        </w:rPr>
        <w:t>מְאוּם</w:t>
      </w:r>
      <w:r w:rsidRPr="00994AD3">
        <w:rPr>
          <w:rFonts w:eastAsia="Times New Roman" w:cs="Times New Roman"/>
          <w:lang w:eastAsia="de-DE"/>
        </w:rPr>
        <w:t xml:space="preserve">). Die Antwort ist implizit: Nein, ich kann </w:t>
      </w:r>
      <w:r w:rsidRPr="00994AD3">
        <w:rPr>
          <w:rFonts w:eastAsia="Times New Roman" w:cs="Times New Roman"/>
          <w:b/>
          <w:bCs/>
          <w:lang w:eastAsia="de-DE"/>
        </w:rPr>
        <w:t>nichts</w:t>
      </w:r>
      <w:r w:rsidRPr="00994AD3">
        <w:rPr>
          <w:rFonts w:eastAsia="Times New Roman" w:cs="Times New Roman"/>
          <w:lang w:eastAsia="de-DE"/>
        </w:rPr>
        <w:t xml:space="preserve"> von mir aus reden.</w:t>
      </w:r>
    </w:p>
    <w:p w14:paraId="5B84248E"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entscheidende Erklärung: </w:t>
      </w:r>
      <w:r w:rsidRPr="00994AD3">
        <w:rPr>
          <w:rFonts w:eastAsia="Times New Roman" w:cs="Times New Roman"/>
          <w:b/>
          <w:bCs/>
          <w:rtl/>
          <w:lang w:eastAsia="de-DE"/>
        </w:rPr>
        <w:t>הַדָּבָר אֲשֶׁר יָשִׂים אֱלֹהִים בְּפִי אֹתוֹ אֲדַבֵּר</w:t>
      </w:r>
      <w:r w:rsidRPr="00994AD3">
        <w:rPr>
          <w:rFonts w:eastAsia="Times New Roman" w:cs="Times New Roman"/>
          <w:rtl/>
          <w:lang w:eastAsia="de-DE"/>
        </w:rPr>
        <w:t xml:space="preserve"> </w:t>
      </w:r>
      <w:r w:rsidRPr="00994AD3">
        <w:rPr>
          <w:rFonts w:eastAsia="Times New Roman" w:cs="Times New Roman"/>
          <w:lang w:eastAsia="de-DE"/>
        </w:rPr>
        <w:t xml:space="preserve">(„Das Wort, das Gott in meinen Mund legt, das werde ich reden") – </w:t>
      </w:r>
      <w:r w:rsidRPr="00994AD3">
        <w:rPr>
          <w:rFonts w:eastAsia="Times New Roman" w:cs="Times New Roman"/>
          <w:b/>
          <w:bCs/>
          <w:rtl/>
          <w:lang w:eastAsia="de-DE"/>
        </w:rPr>
        <w:t>הַדָּבָר</w:t>
      </w:r>
      <w:r w:rsidRPr="00994AD3">
        <w:rPr>
          <w:rFonts w:eastAsia="Times New Roman" w:cs="Times New Roman"/>
          <w:rtl/>
          <w:lang w:eastAsia="de-DE"/>
        </w:rPr>
        <w:t xml:space="preserve"> </w:t>
      </w:r>
      <w:r w:rsidRPr="00994AD3">
        <w:rPr>
          <w:rFonts w:eastAsia="Times New Roman" w:cs="Times New Roman"/>
          <w:lang w:eastAsia="de-DE"/>
        </w:rPr>
        <w:t xml:space="preserve">„das Wort" mit Artikel, der Relativsatz </w:t>
      </w:r>
      <w:r w:rsidRPr="00994AD3">
        <w:rPr>
          <w:rFonts w:eastAsia="Times New Roman" w:cs="Times New Roman"/>
          <w:b/>
          <w:bCs/>
          <w:rtl/>
          <w:lang w:eastAsia="de-DE"/>
        </w:rPr>
        <w:t>אֲשֶׁר יָשִׂים אֱלֹהִים בְּפִי</w:t>
      </w:r>
      <w:r w:rsidRPr="00994AD3">
        <w:rPr>
          <w:rFonts w:eastAsia="Times New Roman" w:cs="Times New Roman"/>
          <w:rtl/>
          <w:lang w:eastAsia="de-DE"/>
        </w:rPr>
        <w:t xml:space="preserve"> </w:t>
      </w:r>
      <w:r w:rsidRPr="00994AD3">
        <w:rPr>
          <w:rFonts w:eastAsia="Times New Roman" w:cs="Times New Roman"/>
          <w:lang w:eastAsia="de-DE"/>
        </w:rPr>
        <w:t xml:space="preserve">(„das Gott in meinen Mund legt") – </w:t>
      </w:r>
      <w:r w:rsidRPr="00994AD3">
        <w:rPr>
          <w:rFonts w:eastAsia="Times New Roman" w:cs="Times New Roman"/>
          <w:b/>
          <w:bCs/>
          <w:rtl/>
          <w:lang w:eastAsia="de-DE"/>
        </w:rPr>
        <w:t>יָשִׂים</w:t>
      </w:r>
      <w:r w:rsidRPr="00994AD3">
        <w:rPr>
          <w:rFonts w:eastAsia="Times New Roman" w:cs="Times New Roman"/>
          <w:rtl/>
          <w:lang w:eastAsia="de-DE"/>
        </w:rPr>
        <w:t xml:space="preserve"> </w:t>
      </w:r>
      <w:r w:rsidRPr="00994AD3">
        <w:rPr>
          <w:rFonts w:eastAsia="Times New Roman" w:cs="Times New Roman"/>
          <w:lang w:eastAsia="de-DE"/>
        </w:rPr>
        <w:t xml:space="preserve">(Qal Imperfekt, 3. m. sg. von </w:t>
      </w:r>
      <w:r w:rsidRPr="00994AD3">
        <w:rPr>
          <w:rFonts w:eastAsia="Times New Roman" w:cs="Times New Roman"/>
          <w:b/>
          <w:bCs/>
          <w:rtl/>
          <w:lang w:eastAsia="de-DE"/>
        </w:rPr>
        <w:t>שׂים</w:t>
      </w:r>
      <w:r w:rsidRPr="00994AD3">
        <w:rPr>
          <w:rFonts w:eastAsia="Times New Roman" w:cs="Times New Roman"/>
          <w:lang w:eastAsia="de-DE"/>
        </w:rPr>
        <w:t xml:space="preserve">, „er legt"), </w:t>
      </w:r>
      <w:r w:rsidRPr="00994AD3">
        <w:rPr>
          <w:rFonts w:eastAsia="Times New Roman" w:cs="Times New Roman"/>
          <w:b/>
          <w:bCs/>
          <w:rtl/>
          <w:lang w:eastAsia="de-DE"/>
        </w:rPr>
        <w:t>אֱלֹהִים</w:t>
      </w:r>
      <w:r w:rsidRPr="00994AD3">
        <w:rPr>
          <w:rFonts w:eastAsia="Times New Roman" w:cs="Times New Roman"/>
          <w:rtl/>
          <w:lang w:eastAsia="de-DE"/>
        </w:rPr>
        <w:t xml:space="preserve"> </w:t>
      </w:r>
      <w:r w:rsidRPr="00994AD3">
        <w:rPr>
          <w:rFonts w:eastAsia="Times New Roman" w:cs="Times New Roman"/>
          <w:lang w:eastAsia="de-DE"/>
        </w:rPr>
        <w:t xml:space="preserve">Subjekt, </w:t>
      </w:r>
      <w:r w:rsidRPr="00994AD3">
        <w:rPr>
          <w:rFonts w:eastAsia="Times New Roman" w:cs="Times New Roman"/>
          <w:b/>
          <w:bCs/>
          <w:rtl/>
          <w:lang w:eastAsia="de-DE"/>
        </w:rPr>
        <w:t>בְּפִי</w:t>
      </w:r>
      <w:r w:rsidRPr="00994AD3">
        <w:rPr>
          <w:rFonts w:eastAsia="Times New Roman" w:cs="Times New Roman"/>
          <w:rtl/>
          <w:lang w:eastAsia="de-DE"/>
        </w:rPr>
        <w:t xml:space="preserve"> </w:t>
      </w:r>
      <w:r w:rsidRPr="00994AD3">
        <w:rPr>
          <w:rFonts w:eastAsia="Times New Roman" w:cs="Times New Roman"/>
          <w:lang w:eastAsia="de-DE"/>
        </w:rPr>
        <w:t xml:space="preserve">(„in meinen Mund") mit Possessivsuffix 1. c. sg. Die Wiederaufnahme </w:t>
      </w:r>
      <w:r w:rsidRPr="00994AD3">
        <w:rPr>
          <w:rFonts w:eastAsia="Times New Roman" w:cs="Times New Roman"/>
          <w:b/>
          <w:bCs/>
          <w:rtl/>
          <w:lang w:eastAsia="de-DE"/>
        </w:rPr>
        <w:t>אֹתוֹ אֲדַבֵּר</w:t>
      </w:r>
      <w:r w:rsidRPr="00994AD3">
        <w:rPr>
          <w:rFonts w:eastAsia="Times New Roman" w:cs="Times New Roman"/>
          <w:rtl/>
          <w:lang w:eastAsia="de-DE"/>
        </w:rPr>
        <w:t xml:space="preserve"> </w:t>
      </w:r>
      <w:r w:rsidRPr="00994AD3">
        <w:rPr>
          <w:rFonts w:eastAsia="Times New Roman" w:cs="Times New Roman"/>
          <w:lang w:eastAsia="de-DE"/>
        </w:rPr>
        <w:t xml:space="preserve">(„das werde ich reden") – </w:t>
      </w:r>
      <w:r w:rsidRPr="00994AD3">
        <w:rPr>
          <w:rFonts w:eastAsia="Times New Roman" w:cs="Times New Roman"/>
          <w:b/>
          <w:bCs/>
          <w:rtl/>
          <w:lang w:eastAsia="de-DE"/>
        </w:rPr>
        <w:t>אֹתוֹ</w:t>
      </w:r>
      <w:r w:rsidRPr="00994AD3">
        <w:rPr>
          <w:rFonts w:eastAsia="Times New Roman" w:cs="Times New Roman"/>
          <w:rtl/>
          <w:lang w:eastAsia="de-DE"/>
        </w:rPr>
        <w:t xml:space="preserve"> </w:t>
      </w:r>
      <w:r w:rsidRPr="00994AD3">
        <w:rPr>
          <w:rFonts w:eastAsia="Times New Roman" w:cs="Times New Roman"/>
          <w:lang w:eastAsia="de-DE"/>
        </w:rPr>
        <w:t xml:space="preserve">betontes Objektpronomen, </w:t>
      </w:r>
      <w:r w:rsidRPr="00994AD3">
        <w:rPr>
          <w:rFonts w:eastAsia="Times New Roman" w:cs="Times New Roman"/>
          <w:b/>
          <w:bCs/>
          <w:rtl/>
          <w:lang w:eastAsia="de-DE"/>
        </w:rPr>
        <w:t>אֲדַבֵּר</w:t>
      </w:r>
      <w:r w:rsidRPr="00994AD3">
        <w:rPr>
          <w:rFonts w:eastAsia="Times New Roman" w:cs="Times New Roman"/>
          <w:rtl/>
          <w:lang w:eastAsia="de-DE"/>
        </w:rPr>
        <w:t xml:space="preserve"> </w:t>
      </w:r>
      <w:r w:rsidRPr="00994AD3">
        <w:rPr>
          <w:rFonts w:eastAsia="Times New Roman" w:cs="Times New Roman"/>
          <w:lang w:eastAsia="de-DE"/>
        </w:rPr>
        <w:t xml:space="preserve">(Piel Imperfekt, 1. c. sg. von </w:t>
      </w:r>
      <w:r w:rsidRPr="00994AD3">
        <w:rPr>
          <w:rFonts w:eastAsia="Times New Roman" w:cs="Times New Roman"/>
          <w:b/>
          <w:bCs/>
          <w:rtl/>
          <w:lang w:eastAsia="de-DE"/>
        </w:rPr>
        <w:t>דבר</w:t>
      </w:r>
      <w:r w:rsidRPr="00994AD3">
        <w:rPr>
          <w:rFonts w:eastAsia="Times New Roman" w:cs="Times New Roman"/>
          <w:lang w:eastAsia="de-DE"/>
        </w:rPr>
        <w:t>).</w:t>
      </w:r>
    </w:p>
    <w:p w14:paraId="777B47C8"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Bileam warnt Balak klar: Er ist nicht autonom, er kann nur wiedergeben, was Gott ihm eingibt. Dies ist das dritte Mal, dass diese Bedingung formuliert wird (V. 20, 35, 38) – die Wiederholung unterstreicht: Bileam steht unter absoluter göttlicher Kontrolle.</w:t>
      </w:r>
    </w:p>
    <w:p w14:paraId="4F7DA896" w14:textId="04CB5AB8"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w:t>
      </w:r>
      <w:r w:rsidR="00C73FA4">
        <w:t>übersetzt „</w:t>
      </w:r>
      <w:r w:rsidR="00C73FA4" w:rsidRPr="00C73FA4">
        <w:rPr>
          <w:b/>
          <w:bCs/>
          <w:rtl/>
        </w:rPr>
        <w:t>הֲיָכוֹל אוּכַל דַּבֵּר מְאוּמָה</w:t>
      </w:r>
      <w:r w:rsidR="00C73FA4">
        <w:t>" (kann ich überhaupt irgendwas reden?) mit „νῦν δυνατὸς ἔσομαι λαλῆσαί τι" (nun werde ich fähig sein, etwas zu reden?), und „</w:t>
      </w:r>
      <w:r w:rsidR="00C73FA4" w:rsidRPr="00C73FA4">
        <w:rPr>
          <w:b/>
          <w:bCs/>
          <w:rtl/>
        </w:rPr>
        <w:t>יָשִׂים אֱלֹהִים בְּפִי</w:t>
      </w:r>
      <w:r w:rsidR="00C73FA4">
        <w:t>" (Gott legt in meinen Mund) wird zu „βάλῃ ὁ θεὸς εἰς τὸ στόμα μου" (Gott wirft in meinen Mund), wobei das griechische Verb "werfen" statt "legen" verwendet.</w:t>
      </w:r>
    </w:p>
    <w:p w14:paraId="22B94FBF" w14:textId="6B0EB644"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Satzstruktur zeigt einen Hauptsatz mit Verb, Subjekt und indirektem Objekt. Die direkte Rede enthält: Interjektion mit Verb, Präpositionalphrase und Temporaladverb; rhetorische Frage mit Interrogativ, emphatischer Infinitiv-</w:t>
      </w:r>
      <w:r w:rsidR="00F133EC">
        <w:rPr>
          <w:rFonts w:eastAsia="Times New Roman" w:cs="Times New Roman"/>
          <w:lang w:eastAsia="de-DE"/>
        </w:rPr>
        <w:t>Construct</w:t>
      </w:r>
      <w:r w:rsidRPr="00994AD3">
        <w:rPr>
          <w:rFonts w:eastAsia="Times New Roman" w:cs="Times New Roman"/>
          <w:lang w:eastAsia="de-DE"/>
        </w:rPr>
        <w:t>ion, weiterem Infinitiv und Objekt; abschließende Erklärung mit Subjekt (Artikel), Relativsatz (mit Verb, Subjekt und Präpositionalphrase) und betonter Wiederaufnahme (Objektpronomen plus Verb). Insgesamt gibt es einen Nebensatz (Relativsatz).</w:t>
      </w:r>
    </w:p>
    <w:p w14:paraId="3A351047"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setzt klare Erwartungen: Bileam warnt Balak, dass er kein käuflicher Zauberer ist, sondern ein Sprachrohr Gottes. Was folgen wird, ist nicht Bileams Wahl, sondern Gottes Wort.</w:t>
      </w:r>
    </w:p>
    <w:p w14:paraId="20BE4EFC"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22,39-41</w:t>
      </w:r>
    </w:p>
    <w:p w14:paraId="3FE8CF32"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וַיֵּ֥לֶךְ בִּלְעָ֖ם עִם־בָּלָ֑ק וַיָּבֹ֖אוּ קִרְיַ֥ת חֻצֽוֹת׃ וַיִּזְבַּ֥ח בָּלָ֖ק בָּקָ֣ר וָצֹ֑אן וַיְשַׁלַּ֣ח לְבִלְעָ֔ם וְלַשָּׂרִ֖ים אֲשֶׁ֥ר אִתּוֹֽ׃ וַיְהִ֣י בַבֹּ֔קֶר וַיִּקַּ֤ח בָּלָק֙ אֶת־בִּלְעָ֔ם וַֽיַּעֲלֵ֖הוּ בָּמ֣וֹת בָּ֑עַל וַיַּ֥רְא מִשָּׁ֖ם קְצֵ֥ה הָעָֽם׃</w:t>
      </w:r>
    </w:p>
    <w:p w14:paraId="61618D19"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Bileam ging mit Balak, und sie kamen nach Kirjat-Chuzot. Und Balak opferte Rinder und Schafe und sandte davon zu Bileam und zu den Fürsten, die bei ihm waren. Und es geschah am Morgen, da nahm Balak den Bileam und führte ihn hinauf nach Bamot-Baal, und er sah von dort aus das Ende des Volkes.</w:t>
      </w:r>
    </w:p>
    <w:p w14:paraId="766EF369"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66F08B09">
          <v:rect id="_x0000_i1795" style="width:0;height:1.5pt" o:hralign="center" o:hrstd="t" o:hr="t" fillcolor="#a0a0a0" stroked="f"/>
        </w:pict>
      </w:r>
    </w:p>
    <w:p w14:paraId="197D029A"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w:t>
      </w:r>
      <w:r w:rsidRPr="00994AD3">
        <w:rPr>
          <w:rFonts w:eastAsia="Times New Roman" w:cs="Times New Roman"/>
          <w:b/>
          <w:bCs/>
          <w:lang w:eastAsia="de-DE"/>
        </w:rPr>
        <w:t>Vers 39:</w:t>
      </w:r>
      <w:r w:rsidRPr="00994AD3">
        <w:rPr>
          <w:rFonts w:eastAsia="Times New Roman" w:cs="Times New Roman"/>
          <w:lang w:eastAsia="de-DE"/>
        </w:rPr>
        <w:t xml:space="preserve"> Die Reise: </w:t>
      </w:r>
      <w:r w:rsidRPr="00994AD3">
        <w:rPr>
          <w:rFonts w:eastAsia="Times New Roman" w:cs="Times New Roman"/>
          <w:b/>
          <w:bCs/>
          <w:rtl/>
          <w:lang w:eastAsia="de-DE"/>
        </w:rPr>
        <w:t>וַיֵּלֶךְ בִּלְעָם עִם־בָּלָק וַיָּבֹאוּ קִרְיַת חֻצוֹת</w:t>
      </w:r>
      <w:r w:rsidRPr="00994AD3">
        <w:rPr>
          <w:rFonts w:eastAsia="Times New Roman" w:cs="Times New Roman"/>
          <w:rtl/>
          <w:lang w:eastAsia="de-DE"/>
        </w:rPr>
        <w:t xml:space="preserve"> </w:t>
      </w:r>
      <w:r w:rsidRPr="00994AD3">
        <w:rPr>
          <w:rFonts w:eastAsia="Times New Roman" w:cs="Times New Roman"/>
          <w:lang w:eastAsia="de-DE"/>
        </w:rPr>
        <w:t xml:space="preserve">(„und Bileam ging mit Balak, und sie kamen nach Kirjat-Chuzot") – </w:t>
      </w:r>
      <w:r w:rsidRPr="00994AD3">
        <w:rPr>
          <w:rFonts w:eastAsia="Times New Roman" w:cs="Times New Roman"/>
          <w:b/>
          <w:bCs/>
          <w:rtl/>
          <w:lang w:eastAsia="de-DE"/>
        </w:rPr>
        <w:t>קִרְיַת חֻצוֹת</w:t>
      </w:r>
      <w:r w:rsidRPr="00994AD3">
        <w:rPr>
          <w:rFonts w:eastAsia="Times New Roman" w:cs="Times New Roman"/>
          <w:rtl/>
          <w:lang w:eastAsia="de-DE"/>
        </w:rPr>
        <w:t xml:space="preserve"> </w:t>
      </w:r>
      <w:r w:rsidRPr="00994AD3">
        <w:rPr>
          <w:rFonts w:eastAsia="Times New Roman" w:cs="Times New Roman"/>
          <w:lang w:eastAsia="de-DE"/>
        </w:rPr>
        <w:t xml:space="preserve">(„Stadt der Straßen/Außenbezirke", </w:t>
      </w:r>
      <w:r w:rsidRPr="00994AD3">
        <w:rPr>
          <w:rFonts w:eastAsia="Times New Roman" w:cs="Times New Roman"/>
          <w:lang w:eastAsia="de-DE"/>
        </w:rPr>
        <w:lastRenderedPageBreak/>
        <w:t>Constructus-Verbindung) ist ein Ortsname, möglicherweise bedeutet er „Stadt der Straßen" oder „Außenstadt".</w:t>
      </w:r>
    </w:p>
    <w:p w14:paraId="6BD9805F"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Vers 40:</w:t>
      </w:r>
      <w:r w:rsidRPr="00994AD3">
        <w:rPr>
          <w:rFonts w:eastAsia="Times New Roman" w:cs="Times New Roman"/>
          <w:lang w:eastAsia="de-DE"/>
        </w:rPr>
        <w:t xml:space="preserve"> Das Opfer: </w:t>
      </w:r>
      <w:r w:rsidRPr="00994AD3">
        <w:rPr>
          <w:rFonts w:eastAsia="Times New Roman" w:cs="Times New Roman"/>
          <w:b/>
          <w:bCs/>
          <w:rtl/>
          <w:lang w:eastAsia="de-DE"/>
        </w:rPr>
        <w:t>וַיִּזְבַּח בָּלָק בָּקָר וָצֹאן</w:t>
      </w:r>
      <w:r w:rsidRPr="00994AD3">
        <w:rPr>
          <w:rFonts w:eastAsia="Times New Roman" w:cs="Times New Roman"/>
          <w:rtl/>
          <w:lang w:eastAsia="de-DE"/>
        </w:rPr>
        <w:t xml:space="preserve"> </w:t>
      </w:r>
      <w:r w:rsidRPr="00994AD3">
        <w:rPr>
          <w:rFonts w:eastAsia="Times New Roman" w:cs="Times New Roman"/>
          <w:lang w:eastAsia="de-DE"/>
        </w:rPr>
        <w:t xml:space="preserve">(„und Balak opferte Rinder und Schafe") – </w:t>
      </w:r>
      <w:r w:rsidRPr="00994AD3">
        <w:rPr>
          <w:rFonts w:eastAsia="Times New Roman" w:cs="Times New Roman"/>
          <w:b/>
          <w:bCs/>
          <w:rtl/>
          <w:lang w:eastAsia="de-DE"/>
        </w:rPr>
        <w:t>וַיִּזְבַּח</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זבח</w:t>
      </w:r>
      <w:r w:rsidRPr="00994AD3">
        <w:rPr>
          <w:rFonts w:eastAsia="Times New Roman" w:cs="Times New Roman"/>
          <w:lang w:eastAsia="de-DE"/>
        </w:rPr>
        <w:t xml:space="preserve">, „und er opferte/schlachtete"), </w:t>
      </w:r>
      <w:r w:rsidRPr="00994AD3">
        <w:rPr>
          <w:rFonts w:eastAsia="Times New Roman" w:cs="Times New Roman"/>
          <w:b/>
          <w:bCs/>
          <w:rtl/>
          <w:lang w:eastAsia="de-DE"/>
        </w:rPr>
        <w:t>בָּקָר וָצֹאן</w:t>
      </w:r>
      <w:r w:rsidRPr="00994AD3">
        <w:rPr>
          <w:rFonts w:eastAsia="Times New Roman" w:cs="Times New Roman"/>
          <w:rtl/>
          <w:lang w:eastAsia="de-DE"/>
        </w:rPr>
        <w:t xml:space="preserve"> </w:t>
      </w:r>
      <w:r w:rsidRPr="00994AD3">
        <w:rPr>
          <w:rFonts w:eastAsia="Times New Roman" w:cs="Times New Roman"/>
          <w:lang w:eastAsia="de-DE"/>
        </w:rPr>
        <w:t xml:space="preserve">„Rinder und Kleinvieh". Die Verteilung: </w:t>
      </w:r>
      <w:r w:rsidRPr="00994AD3">
        <w:rPr>
          <w:rFonts w:eastAsia="Times New Roman" w:cs="Times New Roman"/>
          <w:b/>
          <w:bCs/>
          <w:rtl/>
          <w:lang w:eastAsia="de-DE"/>
        </w:rPr>
        <w:t>וַיְשַׁלַּח לְבִלְעָם וְלַשָּׂרִים אֲשֶׁר אִתּוֹ</w:t>
      </w:r>
      <w:r w:rsidRPr="00994AD3">
        <w:rPr>
          <w:rFonts w:eastAsia="Times New Roman" w:cs="Times New Roman"/>
          <w:rtl/>
          <w:lang w:eastAsia="de-DE"/>
        </w:rPr>
        <w:t xml:space="preserve"> </w:t>
      </w:r>
      <w:r w:rsidRPr="00994AD3">
        <w:rPr>
          <w:rFonts w:eastAsia="Times New Roman" w:cs="Times New Roman"/>
          <w:lang w:eastAsia="de-DE"/>
        </w:rPr>
        <w:t xml:space="preserve">(„und er sandte zu Bileam und zu den Fürsten, die bei ihm waren") – </w:t>
      </w:r>
      <w:r w:rsidRPr="00994AD3">
        <w:rPr>
          <w:rFonts w:eastAsia="Times New Roman" w:cs="Times New Roman"/>
          <w:b/>
          <w:bCs/>
          <w:rtl/>
          <w:lang w:eastAsia="de-DE"/>
        </w:rPr>
        <w:t>וַיְשַׁלַּח</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שׁלח</w:t>
      </w:r>
      <w:r w:rsidRPr="00994AD3">
        <w:rPr>
          <w:rFonts w:eastAsia="Times New Roman" w:cs="Times New Roman"/>
          <w:lang w:eastAsia="de-DE"/>
        </w:rPr>
        <w:t xml:space="preserve">, „und er sandte"), der Relativsatz </w:t>
      </w:r>
      <w:r w:rsidRPr="00994AD3">
        <w:rPr>
          <w:rFonts w:eastAsia="Times New Roman" w:cs="Times New Roman"/>
          <w:b/>
          <w:bCs/>
          <w:rtl/>
          <w:lang w:eastAsia="de-DE"/>
        </w:rPr>
        <w:t>אֲשֶׁר אִתּוֹ</w:t>
      </w:r>
      <w:r w:rsidRPr="00994AD3">
        <w:rPr>
          <w:rFonts w:eastAsia="Times New Roman" w:cs="Times New Roman"/>
          <w:rtl/>
          <w:lang w:eastAsia="de-DE"/>
        </w:rPr>
        <w:t xml:space="preserve"> </w:t>
      </w:r>
      <w:r w:rsidRPr="00994AD3">
        <w:rPr>
          <w:rFonts w:eastAsia="Times New Roman" w:cs="Times New Roman"/>
          <w:lang w:eastAsia="de-DE"/>
        </w:rPr>
        <w:t>(„die bei ihm waren"). Das Opfer ist vermutlich sowohl ein Gastmahl als auch ein religiöser Akt – Vorbereitung für die Verfluchung.</w:t>
      </w:r>
    </w:p>
    <w:p w14:paraId="121E9FB8"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Vers 41:</w:t>
      </w:r>
      <w:r w:rsidRPr="00994AD3">
        <w:rPr>
          <w:rFonts w:eastAsia="Times New Roman" w:cs="Times New Roman"/>
          <w:lang w:eastAsia="de-DE"/>
        </w:rPr>
        <w:t xml:space="preserve"> Der Aufstieg: </w:t>
      </w:r>
      <w:r w:rsidRPr="00994AD3">
        <w:rPr>
          <w:rFonts w:eastAsia="Times New Roman" w:cs="Times New Roman"/>
          <w:b/>
          <w:bCs/>
          <w:rtl/>
          <w:lang w:eastAsia="de-DE"/>
        </w:rPr>
        <w:t>וַיְהִי בַבֹּקֶר וַיִּקַּח בָּלָק אֶת־בִּלְעָם וַיַּעֲלֵהוּ בָּמוֹת בָּעַל</w:t>
      </w:r>
      <w:r w:rsidRPr="00994AD3">
        <w:rPr>
          <w:rFonts w:eastAsia="Times New Roman" w:cs="Times New Roman"/>
          <w:rtl/>
          <w:lang w:eastAsia="de-DE"/>
        </w:rPr>
        <w:t xml:space="preserve"> </w:t>
      </w:r>
      <w:r w:rsidRPr="00994AD3">
        <w:rPr>
          <w:rFonts w:eastAsia="Times New Roman" w:cs="Times New Roman"/>
          <w:lang w:eastAsia="de-DE"/>
        </w:rPr>
        <w:t xml:space="preserve">(„und es geschah am Morgen, da nahm Balak den Bileam und führte ihn hinauf nach Bamot-Baal") – </w:t>
      </w:r>
      <w:r w:rsidRPr="00994AD3">
        <w:rPr>
          <w:rFonts w:eastAsia="Times New Roman" w:cs="Times New Roman"/>
          <w:b/>
          <w:bCs/>
          <w:rtl/>
          <w:lang w:eastAsia="de-DE"/>
        </w:rPr>
        <w:t>וַיְהִי בַבֹּקֶר</w:t>
      </w:r>
      <w:r w:rsidRPr="00994AD3">
        <w:rPr>
          <w:rFonts w:eastAsia="Times New Roman" w:cs="Times New Roman"/>
          <w:rtl/>
          <w:lang w:eastAsia="de-DE"/>
        </w:rPr>
        <w:t xml:space="preserve"> </w:t>
      </w:r>
      <w:r w:rsidRPr="00994AD3">
        <w:rPr>
          <w:rFonts w:eastAsia="Times New Roman" w:cs="Times New Roman"/>
          <w:lang w:eastAsia="de-DE"/>
        </w:rPr>
        <w:t xml:space="preserve">ist die temporale Einleitungsformel, </w:t>
      </w:r>
      <w:r w:rsidRPr="00994AD3">
        <w:rPr>
          <w:rFonts w:eastAsia="Times New Roman" w:cs="Times New Roman"/>
          <w:b/>
          <w:bCs/>
          <w:rtl/>
          <w:lang w:eastAsia="de-DE"/>
        </w:rPr>
        <w:t>וַיַּעֲלֵהוּ</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עלה</w:t>
      </w:r>
      <w:r w:rsidRPr="00994AD3">
        <w:rPr>
          <w:rFonts w:eastAsia="Times New Roman" w:cs="Times New Roman"/>
          <w:rtl/>
          <w:lang w:eastAsia="de-DE"/>
        </w:rPr>
        <w:t xml:space="preserve"> </w:t>
      </w:r>
      <w:r w:rsidRPr="00994AD3">
        <w:rPr>
          <w:rFonts w:eastAsia="Times New Roman" w:cs="Times New Roman"/>
          <w:lang w:eastAsia="de-DE"/>
        </w:rPr>
        <w:t xml:space="preserve">Hifil mit Objektsuffix, „und er führte ihn hinauf") kausativ. </w:t>
      </w:r>
      <w:r w:rsidRPr="00994AD3">
        <w:rPr>
          <w:rFonts w:eastAsia="Times New Roman" w:cs="Times New Roman"/>
          <w:b/>
          <w:bCs/>
          <w:rtl/>
          <w:lang w:eastAsia="de-DE"/>
        </w:rPr>
        <w:t>בָּמוֹת בָּעַל</w:t>
      </w:r>
      <w:r w:rsidRPr="00994AD3">
        <w:rPr>
          <w:rFonts w:eastAsia="Times New Roman" w:cs="Times New Roman"/>
          <w:rtl/>
          <w:lang w:eastAsia="de-DE"/>
        </w:rPr>
        <w:t xml:space="preserve"> </w:t>
      </w:r>
      <w:r w:rsidRPr="00994AD3">
        <w:rPr>
          <w:rFonts w:eastAsia="Times New Roman" w:cs="Times New Roman"/>
          <w:lang w:eastAsia="de-DE"/>
        </w:rPr>
        <w:t>(„Bamot-Baal" = „Höhen des Baal", Constructus-Verbindung) ist ein Kultort, eine Opferhöhe dem kanaanäischen Gott Baal geweiht.</w:t>
      </w:r>
    </w:p>
    <w:p w14:paraId="3BE21C34"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Sichtung: </w:t>
      </w:r>
      <w:r w:rsidRPr="00994AD3">
        <w:rPr>
          <w:rFonts w:eastAsia="Times New Roman" w:cs="Times New Roman"/>
          <w:b/>
          <w:bCs/>
          <w:rtl/>
          <w:lang w:eastAsia="de-DE"/>
        </w:rPr>
        <w:t>וַיַּרְא מִשָּׁם קְצֵה הָעָם</w:t>
      </w:r>
      <w:r w:rsidRPr="00994AD3">
        <w:rPr>
          <w:rFonts w:eastAsia="Times New Roman" w:cs="Times New Roman"/>
          <w:rtl/>
          <w:lang w:eastAsia="de-DE"/>
        </w:rPr>
        <w:t xml:space="preserve"> </w:t>
      </w:r>
      <w:r w:rsidRPr="00994AD3">
        <w:rPr>
          <w:rFonts w:eastAsia="Times New Roman" w:cs="Times New Roman"/>
          <w:lang w:eastAsia="de-DE"/>
        </w:rPr>
        <w:t xml:space="preserve">(„und er sah von dort aus das Ende des Volkes") – </w:t>
      </w:r>
      <w:r w:rsidRPr="00994AD3">
        <w:rPr>
          <w:rFonts w:eastAsia="Times New Roman" w:cs="Times New Roman"/>
          <w:b/>
          <w:bCs/>
          <w:rtl/>
          <w:lang w:eastAsia="de-DE"/>
        </w:rPr>
        <w:t>וַיַּרְא</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ראה</w:t>
      </w:r>
      <w:r w:rsidRPr="00994AD3">
        <w:rPr>
          <w:rFonts w:eastAsia="Times New Roman" w:cs="Times New Roman"/>
          <w:lang w:eastAsia="de-DE"/>
        </w:rPr>
        <w:t xml:space="preserve">), </w:t>
      </w:r>
      <w:r w:rsidRPr="00994AD3">
        <w:rPr>
          <w:rFonts w:eastAsia="Times New Roman" w:cs="Times New Roman"/>
          <w:b/>
          <w:bCs/>
          <w:rtl/>
          <w:lang w:eastAsia="de-DE"/>
        </w:rPr>
        <w:t>מִשָּׁם</w:t>
      </w:r>
      <w:r w:rsidRPr="00994AD3">
        <w:rPr>
          <w:rFonts w:eastAsia="Times New Roman" w:cs="Times New Roman"/>
          <w:rtl/>
          <w:lang w:eastAsia="de-DE"/>
        </w:rPr>
        <w:t xml:space="preserve"> </w:t>
      </w:r>
      <w:r w:rsidRPr="00994AD3">
        <w:rPr>
          <w:rFonts w:eastAsia="Times New Roman" w:cs="Times New Roman"/>
          <w:lang w:eastAsia="de-DE"/>
        </w:rPr>
        <w:t xml:space="preserve">„von dort", </w:t>
      </w:r>
      <w:r w:rsidRPr="00994AD3">
        <w:rPr>
          <w:rFonts w:eastAsia="Times New Roman" w:cs="Times New Roman"/>
          <w:b/>
          <w:bCs/>
          <w:rtl/>
          <w:lang w:eastAsia="de-DE"/>
        </w:rPr>
        <w:t>קְצֵה הָעָם</w:t>
      </w:r>
      <w:r w:rsidRPr="00994AD3">
        <w:rPr>
          <w:rFonts w:eastAsia="Times New Roman" w:cs="Times New Roman"/>
          <w:rtl/>
          <w:lang w:eastAsia="de-DE"/>
        </w:rPr>
        <w:t xml:space="preserve"> </w:t>
      </w:r>
      <w:r w:rsidRPr="00994AD3">
        <w:rPr>
          <w:rFonts w:eastAsia="Times New Roman" w:cs="Times New Roman"/>
          <w:lang w:eastAsia="de-DE"/>
        </w:rPr>
        <w:t xml:space="preserve">(„das Ende des Volkes", Constructus-Verbindung) – </w:t>
      </w:r>
      <w:r w:rsidRPr="00994AD3">
        <w:rPr>
          <w:rFonts w:eastAsia="Times New Roman" w:cs="Times New Roman"/>
          <w:b/>
          <w:bCs/>
          <w:rtl/>
          <w:lang w:eastAsia="de-DE"/>
        </w:rPr>
        <w:t>קָצֶה</w:t>
      </w:r>
      <w:r w:rsidRPr="00994AD3">
        <w:rPr>
          <w:rFonts w:eastAsia="Times New Roman" w:cs="Times New Roman"/>
          <w:rtl/>
          <w:lang w:eastAsia="de-DE"/>
        </w:rPr>
        <w:t xml:space="preserve"> </w:t>
      </w:r>
      <w:r w:rsidRPr="00994AD3">
        <w:rPr>
          <w:rFonts w:eastAsia="Times New Roman" w:cs="Times New Roman"/>
          <w:lang w:eastAsia="de-DE"/>
        </w:rPr>
        <w:t>„Ende, Rand" bedeutet hier „einen Teil, das äußere Ende" – Bileam sieht nicht ganz Israel, nur einen Teil. Dies ist wichtig: Man kann Israel nicht verfluchen, wenn man es nicht sieht – deshalb der Aufstieg zur Höhe.</w:t>
      </w:r>
    </w:p>
    <w:p w14:paraId="6C60BFDE" w14:textId="3C80F106" w:rsidR="00994AD3" w:rsidRPr="00994AD3" w:rsidRDefault="00C73FA4" w:rsidP="00994AD3">
      <w:pPr>
        <w:spacing w:before="100" w:beforeAutospacing="1" w:after="100" w:afterAutospacing="1" w:line="240" w:lineRule="auto"/>
        <w:rPr>
          <w:rFonts w:eastAsia="Times New Roman" w:cs="Times New Roman"/>
          <w:lang w:eastAsia="de-DE"/>
        </w:rPr>
      </w:pPr>
      <w:r>
        <w:rPr>
          <w:rStyle w:val="Fett"/>
        </w:rPr>
        <w:t>Vers 39:</w:t>
      </w:r>
      <w:r>
        <w:t xml:space="preserve"> </w:t>
      </w:r>
      <w:r w:rsidR="00994AD3" w:rsidRPr="00994AD3">
        <w:rPr>
          <w:rFonts w:eastAsia="Times New Roman" w:cs="Times New Roman"/>
          <w:b/>
          <w:bCs/>
          <w:lang w:eastAsia="de-DE"/>
        </w:rPr>
        <w:t>Die LXX</w:t>
      </w:r>
      <w:r w:rsidR="00994AD3" w:rsidRPr="00994AD3">
        <w:rPr>
          <w:rFonts w:eastAsia="Times New Roman" w:cs="Times New Roman"/>
          <w:lang w:eastAsia="de-DE"/>
        </w:rPr>
        <w:t xml:space="preserve"> </w:t>
      </w:r>
      <w:r>
        <w:t>übersetzt „</w:t>
      </w:r>
      <w:r w:rsidRPr="00C73FA4">
        <w:rPr>
          <w:b/>
          <w:bCs/>
          <w:rtl/>
        </w:rPr>
        <w:t>קִרְיַת חֻצוֹת</w:t>
      </w:r>
      <w:r>
        <w:t>" (Kirjat-Huzot) mit „πόλεις ἐπαύλεων" (Städte der Gehöfte), was den Namen übersetzt statt transliteriert.</w:t>
      </w:r>
      <w:r w:rsidRPr="00C73FA4">
        <w:t xml:space="preserve"> </w:t>
      </w:r>
      <w:r>
        <w:rPr>
          <w:rStyle w:val="Fett"/>
        </w:rPr>
        <w:t>Vers 41:</w:t>
      </w:r>
      <w:r>
        <w:t xml:space="preserve"> </w:t>
      </w:r>
      <w:r>
        <w:rPr>
          <w:rStyle w:val="Fett"/>
        </w:rPr>
        <w:t xml:space="preserve">Die LXX </w:t>
      </w:r>
      <w:r>
        <w:t>übersetzt „</w:t>
      </w:r>
      <w:r>
        <w:rPr>
          <w:rtl/>
        </w:rPr>
        <w:t>בָּמוֹת בָּעַל</w:t>
      </w:r>
      <w:r>
        <w:t>" (Bamot-Baal, Höhen des Baal) mit „τὴν στήλην τοῦ Βάαλ" (die Säule/Stele des Baal), was ein Monument statt Höhen beschreibt.</w:t>
      </w:r>
    </w:p>
    <w:p w14:paraId="56ADA4B4"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Satzstruktur über drei Verse zeigt: Vers 39 mit zwei Hauptsätzen (Verb, Subjekt, Präpositionalphrase bzw. Verb und Ortsangabe); Vers 40 mit zwei Hauptsätzen (Verb, Subjekt, Objekt bzw. Verb und doppelter Präpositionalphrase mit Relativsatz); Vers 41 mit temporaler Einleitung und vier koordinierten Hauptsätzen (Formel, Verb, Subjekt, Objekt, Verb mit Objektsuffix und Ortsangabe, Verb, Adverb und Objekt). Insgesamt gibt es einen Nebensatz (Relativsatz in V. 40).</w:t>
      </w:r>
    </w:p>
    <w:p w14:paraId="5E946D5F" w14:textId="11AE666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Verse schließen Kapitel 22 ab: Bileam ist angekommen, Opfer sind gebracht, er steht auf der Baal-Höhe mit Blick auf Israel. Die Bühne ist bereitet für die </w:t>
      </w:r>
      <w:r w:rsidR="00682D5F">
        <w:rPr>
          <w:rFonts w:eastAsia="Times New Roman" w:cs="Times New Roman"/>
          <w:lang w:eastAsia="de-DE"/>
        </w:rPr>
        <w:t>Weissagung</w:t>
      </w:r>
      <w:r w:rsidRPr="00994AD3">
        <w:rPr>
          <w:rFonts w:eastAsia="Times New Roman" w:cs="Times New Roman"/>
          <w:lang w:eastAsia="de-DE"/>
        </w:rPr>
        <w:t xml:space="preserve"> in Kapitel 23-24 – wird Bileam Israel verfluchen? Die Spannung ist maximal, aber der Leser weiß: Gott kontrolliert Bileams Mund absolut.</w:t>
      </w:r>
    </w:p>
    <w:p w14:paraId="007FAA7A" w14:textId="613E2A5A"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Geschichte der sprechenden Eselin gehört zu den unvergesslichsten biblischen Erzählungen – eine Mischung aus Humor, Ironie, Dramatik und tiefer Theologie. Das Tier wird zur Prophetin, der Seher zum Blinden. Gott zeigt: Er kann durch jedes Geschöpf sprechen, und niemand – nicht einmal der berühmteste Magier – kann seinem Willen widerstehen.</w:t>
      </w:r>
    </w:p>
    <w:p w14:paraId="4493937B"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23,1</w:t>
      </w:r>
    </w:p>
    <w:p w14:paraId="6C8DC12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וַיֹּ֤אמֶר בִּלְעָם֙ אֶל־בָּלָ֔ק בְּנֵה־לִ֥י בָזֶ֖ה שִׁבְעָ֣ה מִזְבְּחֹ֑ת וְהָכֵ֥ן לִי֙ בָּזֶ֔ה שִׁבְעָ֥ה פָרִ֖ים וְשִׁבְעָ֥ה אֵילִֽים׃</w:t>
      </w:r>
    </w:p>
    <w:p w14:paraId="1536FAF7"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lastRenderedPageBreak/>
        <w:t>Deutsch:</w:t>
      </w:r>
      <w:r w:rsidRPr="00994AD3">
        <w:rPr>
          <w:rFonts w:eastAsia="Times New Roman" w:cs="Times New Roman"/>
          <w:lang w:eastAsia="de-DE"/>
        </w:rPr>
        <w:t xml:space="preserve"> Und Bileam sprach zu Balak: Baue mir hier sieben Altäre und bereite mir hier sieben Stiere und sieben Widder zu.</w:t>
      </w:r>
    </w:p>
    <w:p w14:paraId="79467F76"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0DF79B1A">
          <v:rect id="_x0000_i2109" style="width:0;height:1.5pt" o:hralign="center" o:hrstd="t" o:hr="t" fillcolor="#a0a0a0" stroked="f"/>
        </w:pict>
      </w:r>
    </w:p>
    <w:p w14:paraId="2094D8BE"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Die Anweisung beginnt mit </w:t>
      </w:r>
      <w:r w:rsidRPr="00994AD3">
        <w:rPr>
          <w:rFonts w:eastAsia="Times New Roman" w:cs="Times New Roman"/>
          <w:b/>
          <w:bCs/>
          <w:rtl/>
          <w:lang w:eastAsia="de-DE"/>
        </w:rPr>
        <w:t>בְּנֵה־לִי בָזֶה שִׁבְעָה מִזְבְּחֹת</w:t>
      </w:r>
      <w:r w:rsidRPr="00994AD3">
        <w:rPr>
          <w:rFonts w:eastAsia="Times New Roman" w:cs="Times New Roman"/>
          <w:rtl/>
          <w:lang w:eastAsia="de-DE"/>
        </w:rPr>
        <w:t xml:space="preserve"> </w:t>
      </w:r>
      <w:r w:rsidRPr="00994AD3">
        <w:rPr>
          <w:rFonts w:eastAsia="Times New Roman" w:cs="Times New Roman"/>
          <w:lang w:eastAsia="de-DE"/>
        </w:rPr>
        <w:t xml:space="preserve">(„baue mir hier sieben Altäre") – </w:t>
      </w:r>
      <w:r w:rsidRPr="00994AD3">
        <w:rPr>
          <w:rFonts w:eastAsia="Times New Roman" w:cs="Times New Roman"/>
          <w:b/>
          <w:bCs/>
          <w:rtl/>
          <w:lang w:eastAsia="de-DE"/>
        </w:rPr>
        <w:t>בְּנֵה</w:t>
      </w:r>
      <w:r w:rsidRPr="00994AD3">
        <w:rPr>
          <w:rFonts w:eastAsia="Times New Roman" w:cs="Times New Roman"/>
          <w:rtl/>
          <w:lang w:eastAsia="de-DE"/>
        </w:rPr>
        <w:t xml:space="preserve"> </w:t>
      </w:r>
      <w:r w:rsidRPr="00994AD3">
        <w:rPr>
          <w:rFonts w:eastAsia="Times New Roman" w:cs="Times New Roman"/>
          <w:lang w:eastAsia="de-DE"/>
        </w:rPr>
        <w:t xml:space="preserve">(Qal Imperativ von </w:t>
      </w:r>
      <w:r w:rsidRPr="00994AD3">
        <w:rPr>
          <w:rFonts w:eastAsia="Times New Roman" w:cs="Times New Roman"/>
          <w:b/>
          <w:bCs/>
          <w:rtl/>
          <w:lang w:eastAsia="de-DE"/>
        </w:rPr>
        <w:t>בנה</w:t>
      </w:r>
      <w:r w:rsidRPr="00994AD3">
        <w:rPr>
          <w:rFonts w:eastAsia="Times New Roman" w:cs="Times New Roman"/>
          <w:lang w:eastAsia="de-DE"/>
        </w:rPr>
        <w:t xml:space="preserve">, „baue"), </w:t>
      </w:r>
      <w:r w:rsidRPr="00994AD3">
        <w:rPr>
          <w:rFonts w:eastAsia="Times New Roman" w:cs="Times New Roman"/>
          <w:b/>
          <w:bCs/>
          <w:rtl/>
          <w:lang w:eastAsia="de-DE"/>
        </w:rPr>
        <w:t>לִי</w:t>
      </w:r>
      <w:r w:rsidRPr="00994AD3">
        <w:rPr>
          <w:rFonts w:eastAsia="Times New Roman" w:cs="Times New Roman"/>
          <w:rtl/>
          <w:lang w:eastAsia="de-DE"/>
        </w:rPr>
        <w:t xml:space="preserve"> </w:t>
      </w:r>
      <w:r w:rsidRPr="00994AD3">
        <w:rPr>
          <w:rFonts w:eastAsia="Times New Roman" w:cs="Times New Roman"/>
          <w:lang w:eastAsia="de-DE"/>
        </w:rPr>
        <w:t xml:space="preserve">Dativ-Suffix „mir", </w:t>
      </w:r>
      <w:r w:rsidRPr="00994AD3">
        <w:rPr>
          <w:rFonts w:eastAsia="Times New Roman" w:cs="Times New Roman"/>
          <w:b/>
          <w:bCs/>
          <w:rtl/>
          <w:lang w:eastAsia="de-DE"/>
        </w:rPr>
        <w:t>בָזֶה</w:t>
      </w:r>
      <w:r w:rsidRPr="00994AD3">
        <w:rPr>
          <w:rFonts w:eastAsia="Times New Roman" w:cs="Times New Roman"/>
          <w:rtl/>
          <w:lang w:eastAsia="de-DE"/>
        </w:rPr>
        <w:t xml:space="preserve"> </w:t>
      </w:r>
      <w:r w:rsidRPr="00994AD3">
        <w:rPr>
          <w:rFonts w:eastAsia="Times New Roman" w:cs="Times New Roman"/>
          <w:lang w:eastAsia="de-DE"/>
        </w:rPr>
        <w:t xml:space="preserve">„hier" (Lokativ), </w:t>
      </w:r>
      <w:r w:rsidRPr="00994AD3">
        <w:rPr>
          <w:rFonts w:eastAsia="Times New Roman" w:cs="Times New Roman"/>
          <w:b/>
          <w:bCs/>
          <w:rtl/>
          <w:lang w:eastAsia="de-DE"/>
        </w:rPr>
        <w:t>שִׁבְעָה מִזְבְּחֹת</w:t>
      </w:r>
      <w:r w:rsidRPr="00994AD3">
        <w:rPr>
          <w:rFonts w:eastAsia="Times New Roman" w:cs="Times New Roman"/>
          <w:rtl/>
          <w:lang w:eastAsia="de-DE"/>
        </w:rPr>
        <w:t xml:space="preserve"> </w:t>
      </w:r>
      <w:r w:rsidRPr="00994AD3">
        <w:rPr>
          <w:rFonts w:eastAsia="Times New Roman" w:cs="Times New Roman"/>
          <w:lang w:eastAsia="de-DE"/>
        </w:rPr>
        <w:t xml:space="preserve">(„sieben Altäre") – </w:t>
      </w:r>
      <w:r w:rsidRPr="00994AD3">
        <w:rPr>
          <w:rFonts w:eastAsia="Times New Roman" w:cs="Times New Roman"/>
          <w:b/>
          <w:bCs/>
          <w:rtl/>
          <w:lang w:eastAsia="de-DE"/>
        </w:rPr>
        <w:t>שֶׁבַע</w:t>
      </w:r>
      <w:r w:rsidRPr="00994AD3">
        <w:rPr>
          <w:rFonts w:eastAsia="Times New Roman" w:cs="Times New Roman"/>
          <w:rtl/>
          <w:lang w:eastAsia="de-DE"/>
        </w:rPr>
        <w:t xml:space="preserve"> </w:t>
      </w:r>
      <w:r w:rsidRPr="00994AD3">
        <w:rPr>
          <w:rFonts w:eastAsia="Times New Roman" w:cs="Times New Roman"/>
          <w:lang w:eastAsia="de-DE"/>
        </w:rPr>
        <w:t xml:space="preserve">„sieben" in der maskulinen Form, </w:t>
      </w:r>
      <w:r w:rsidRPr="00994AD3">
        <w:rPr>
          <w:rFonts w:eastAsia="Times New Roman" w:cs="Times New Roman"/>
          <w:b/>
          <w:bCs/>
          <w:rtl/>
          <w:lang w:eastAsia="de-DE"/>
        </w:rPr>
        <w:t>מִזְבֵּחַ</w:t>
      </w:r>
      <w:r w:rsidRPr="00994AD3">
        <w:rPr>
          <w:rFonts w:eastAsia="Times New Roman" w:cs="Times New Roman"/>
          <w:rtl/>
          <w:lang w:eastAsia="de-DE"/>
        </w:rPr>
        <w:t xml:space="preserve"> </w:t>
      </w:r>
      <w:r w:rsidRPr="00994AD3">
        <w:rPr>
          <w:rFonts w:eastAsia="Times New Roman" w:cs="Times New Roman"/>
          <w:lang w:eastAsia="de-DE"/>
        </w:rPr>
        <w:t xml:space="preserve">„Altar" im Plural. Die Zahl </w:t>
      </w:r>
      <w:r w:rsidRPr="00994AD3">
        <w:rPr>
          <w:rFonts w:eastAsia="Times New Roman" w:cs="Times New Roman"/>
          <w:b/>
          <w:bCs/>
          <w:lang w:eastAsia="de-DE"/>
        </w:rPr>
        <w:t>sieben</w:t>
      </w:r>
      <w:r w:rsidRPr="00994AD3">
        <w:rPr>
          <w:rFonts w:eastAsia="Times New Roman" w:cs="Times New Roman"/>
          <w:lang w:eastAsia="de-DE"/>
        </w:rPr>
        <w:t xml:space="preserve"> ist heilig und symbolisiert Vollständigkeit, Perfektion.</w:t>
      </w:r>
    </w:p>
    <w:p w14:paraId="094BA2B4"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zweite Anweisung </w:t>
      </w:r>
      <w:r w:rsidRPr="00994AD3">
        <w:rPr>
          <w:rFonts w:eastAsia="Times New Roman" w:cs="Times New Roman"/>
          <w:b/>
          <w:bCs/>
          <w:rtl/>
          <w:lang w:eastAsia="de-DE"/>
        </w:rPr>
        <w:t>וְהָכֵן לִי בָזֶה שִׁבְעָה פָרִים וְשִׁבְעָה אֵילִים</w:t>
      </w:r>
      <w:r w:rsidRPr="00994AD3">
        <w:rPr>
          <w:rFonts w:eastAsia="Times New Roman" w:cs="Times New Roman"/>
          <w:rtl/>
          <w:lang w:eastAsia="de-DE"/>
        </w:rPr>
        <w:t xml:space="preserve"> </w:t>
      </w:r>
      <w:r w:rsidRPr="00994AD3">
        <w:rPr>
          <w:rFonts w:eastAsia="Times New Roman" w:cs="Times New Roman"/>
          <w:lang w:eastAsia="de-DE"/>
        </w:rPr>
        <w:t xml:space="preserve">(„und bereite mir hier sieben Stiere und sieben Widder zu") – </w:t>
      </w:r>
      <w:r w:rsidRPr="00994AD3">
        <w:rPr>
          <w:rFonts w:eastAsia="Times New Roman" w:cs="Times New Roman"/>
          <w:b/>
          <w:bCs/>
          <w:rtl/>
          <w:lang w:eastAsia="de-DE"/>
        </w:rPr>
        <w:t>וְהָכֵן</w:t>
      </w:r>
      <w:r w:rsidRPr="00994AD3">
        <w:rPr>
          <w:rFonts w:eastAsia="Times New Roman" w:cs="Times New Roman"/>
          <w:rtl/>
          <w:lang w:eastAsia="de-DE"/>
        </w:rPr>
        <w:t xml:space="preserve"> </w:t>
      </w:r>
      <w:r w:rsidRPr="00994AD3">
        <w:rPr>
          <w:rFonts w:eastAsia="Times New Roman" w:cs="Times New Roman"/>
          <w:lang w:eastAsia="de-DE"/>
        </w:rPr>
        <w:t xml:space="preserve">(Waw + Hifil Imperativ von </w:t>
      </w:r>
      <w:r w:rsidRPr="00994AD3">
        <w:rPr>
          <w:rFonts w:eastAsia="Times New Roman" w:cs="Times New Roman"/>
          <w:b/>
          <w:bCs/>
          <w:rtl/>
          <w:lang w:eastAsia="de-DE"/>
        </w:rPr>
        <w:t>כון</w:t>
      </w:r>
      <w:r w:rsidRPr="00994AD3">
        <w:rPr>
          <w:rFonts w:eastAsia="Times New Roman" w:cs="Times New Roman"/>
          <w:lang w:eastAsia="de-DE"/>
        </w:rPr>
        <w:t xml:space="preserve">, „und bereite zu") – das Hifil ist kausativ „bereit machen", </w:t>
      </w:r>
      <w:r w:rsidRPr="00994AD3">
        <w:rPr>
          <w:rFonts w:eastAsia="Times New Roman" w:cs="Times New Roman"/>
          <w:b/>
          <w:bCs/>
          <w:rtl/>
          <w:lang w:eastAsia="de-DE"/>
        </w:rPr>
        <w:t>שִׁבְעָה פָרִים</w:t>
      </w:r>
      <w:r w:rsidRPr="00994AD3">
        <w:rPr>
          <w:rFonts w:eastAsia="Times New Roman" w:cs="Times New Roman"/>
          <w:rtl/>
          <w:lang w:eastAsia="de-DE"/>
        </w:rPr>
        <w:t xml:space="preserve"> </w:t>
      </w:r>
      <w:r w:rsidRPr="00994AD3">
        <w:rPr>
          <w:rFonts w:eastAsia="Times New Roman" w:cs="Times New Roman"/>
          <w:lang w:eastAsia="de-DE"/>
        </w:rPr>
        <w:t xml:space="preserve">(„sieben Stiere") – </w:t>
      </w:r>
      <w:r w:rsidRPr="00994AD3">
        <w:rPr>
          <w:rFonts w:eastAsia="Times New Roman" w:cs="Times New Roman"/>
          <w:b/>
          <w:bCs/>
          <w:rtl/>
          <w:lang w:eastAsia="de-DE"/>
        </w:rPr>
        <w:t>פַּר</w:t>
      </w:r>
      <w:r w:rsidRPr="00994AD3">
        <w:rPr>
          <w:rFonts w:eastAsia="Times New Roman" w:cs="Times New Roman"/>
          <w:rtl/>
          <w:lang w:eastAsia="de-DE"/>
        </w:rPr>
        <w:t xml:space="preserve"> </w:t>
      </w:r>
      <w:r w:rsidRPr="00994AD3">
        <w:rPr>
          <w:rFonts w:eastAsia="Times New Roman" w:cs="Times New Roman"/>
          <w:lang w:eastAsia="de-DE"/>
        </w:rPr>
        <w:t xml:space="preserve">„Stier, Jungstier", </w:t>
      </w:r>
      <w:r w:rsidRPr="00994AD3">
        <w:rPr>
          <w:rFonts w:eastAsia="Times New Roman" w:cs="Times New Roman"/>
          <w:b/>
          <w:bCs/>
          <w:rtl/>
          <w:lang w:eastAsia="de-DE"/>
        </w:rPr>
        <w:t>וְשִׁבְעָה אֵילִים</w:t>
      </w:r>
      <w:r w:rsidRPr="00994AD3">
        <w:rPr>
          <w:rFonts w:eastAsia="Times New Roman" w:cs="Times New Roman"/>
          <w:rtl/>
          <w:lang w:eastAsia="de-DE"/>
        </w:rPr>
        <w:t xml:space="preserve"> </w:t>
      </w:r>
      <w:r w:rsidRPr="00994AD3">
        <w:rPr>
          <w:rFonts w:eastAsia="Times New Roman" w:cs="Times New Roman"/>
          <w:lang w:eastAsia="de-DE"/>
        </w:rPr>
        <w:t xml:space="preserve">(„und sieben Widder") – </w:t>
      </w:r>
      <w:r w:rsidRPr="00994AD3">
        <w:rPr>
          <w:rFonts w:eastAsia="Times New Roman" w:cs="Times New Roman"/>
          <w:b/>
          <w:bCs/>
          <w:rtl/>
          <w:lang w:eastAsia="de-DE"/>
        </w:rPr>
        <w:t>אַיִל</w:t>
      </w:r>
      <w:r w:rsidRPr="00994AD3">
        <w:rPr>
          <w:rFonts w:eastAsia="Times New Roman" w:cs="Times New Roman"/>
          <w:rtl/>
          <w:lang w:eastAsia="de-DE"/>
        </w:rPr>
        <w:t xml:space="preserve"> </w:t>
      </w:r>
      <w:r w:rsidRPr="00994AD3">
        <w:rPr>
          <w:rFonts w:eastAsia="Times New Roman" w:cs="Times New Roman"/>
          <w:lang w:eastAsia="de-DE"/>
        </w:rPr>
        <w:t>„Widder, Schafbock".</w:t>
      </w:r>
    </w:p>
    <w:p w14:paraId="35AD9747"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Dies ist ein massives Opferritual: </w:t>
      </w:r>
      <w:r w:rsidRPr="00994AD3">
        <w:rPr>
          <w:rFonts w:eastAsia="Times New Roman" w:cs="Times New Roman"/>
          <w:b/>
          <w:bCs/>
          <w:lang w:eastAsia="de-DE"/>
        </w:rPr>
        <w:t>sieben Altäre</w:t>
      </w:r>
      <w:r w:rsidRPr="00994AD3">
        <w:rPr>
          <w:rFonts w:eastAsia="Times New Roman" w:cs="Times New Roman"/>
          <w:lang w:eastAsia="de-DE"/>
        </w:rPr>
        <w:t xml:space="preserve">, je ein Stier und ein Widder pro Altar = </w:t>
      </w:r>
      <w:r w:rsidRPr="00994AD3">
        <w:rPr>
          <w:rFonts w:eastAsia="Times New Roman" w:cs="Times New Roman"/>
          <w:b/>
          <w:bCs/>
          <w:lang w:eastAsia="de-DE"/>
        </w:rPr>
        <w:t>14 Tiere</w:t>
      </w:r>
      <w:r w:rsidRPr="00994AD3">
        <w:rPr>
          <w:rFonts w:eastAsia="Times New Roman" w:cs="Times New Roman"/>
          <w:lang w:eastAsia="de-DE"/>
        </w:rPr>
        <w:t xml:space="preserve"> insgesamt. Dies ist außergewöhnlich und weit über normale Opferpraktiken hinaus. Warum diese Extravaganz?</w:t>
      </w:r>
    </w:p>
    <w:p w14:paraId="5F9147FF" w14:textId="77777777" w:rsidR="00994AD3" w:rsidRPr="00994AD3" w:rsidRDefault="00994AD3" w:rsidP="00C15C06">
      <w:pPr>
        <w:numPr>
          <w:ilvl w:val="0"/>
          <w:numId w:val="12"/>
        </w:num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Magische Praxis</w:t>
      </w:r>
      <w:r w:rsidRPr="00994AD3">
        <w:rPr>
          <w:rFonts w:eastAsia="Times New Roman" w:cs="Times New Roman"/>
          <w:lang w:eastAsia="de-DE"/>
        </w:rPr>
        <w:t>: In der antiken Wahrsagerei galt: Je größer das Opfer, desto größer die göttliche Gunst oder magische Wirkung. Bileam versucht, durch üppige Opfer göttliche/magische Kräfte zu mobilisieren.</w:t>
      </w:r>
    </w:p>
    <w:p w14:paraId="6383ED3B" w14:textId="77777777" w:rsidR="00994AD3" w:rsidRPr="00994AD3" w:rsidRDefault="00994AD3" w:rsidP="00C15C06">
      <w:pPr>
        <w:numPr>
          <w:ilvl w:val="0"/>
          <w:numId w:val="12"/>
        </w:num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Siebenerstruktur</w:t>
      </w:r>
      <w:r w:rsidRPr="00994AD3">
        <w:rPr>
          <w:rFonts w:eastAsia="Times New Roman" w:cs="Times New Roman"/>
          <w:lang w:eastAsia="de-DE"/>
        </w:rPr>
        <w:t>: Die Zahl sieben hatte in der gesamten antiken Welt religiöse Bedeutung – Vollständigkeit, kosmische Ordnung.</w:t>
      </w:r>
    </w:p>
    <w:p w14:paraId="5730EA57" w14:textId="77777777" w:rsidR="00994AD3" w:rsidRPr="00994AD3" w:rsidRDefault="00994AD3" w:rsidP="00C15C06">
      <w:pPr>
        <w:numPr>
          <w:ilvl w:val="0"/>
          <w:numId w:val="12"/>
        </w:num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Doppelte Tiere</w:t>
      </w:r>
      <w:r w:rsidRPr="00994AD3">
        <w:rPr>
          <w:rFonts w:eastAsia="Times New Roman" w:cs="Times New Roman"/>
          <w:lang w:eastAsia="de-DE"/>
        </w:rPr>
        <w:t>: Stier und Widder zusammen sind hochwertige Opfer – Stiere für Kraft, Widder als klassische Substitutionsopfer (vgl. Gen 22, Isaak-Opferung).</w:t>
      </w:r>
    </w:p>
    <w:p w14:paraId="0A9AF9C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Bemerkenswert: Bileam </w:t>
      </w:r>
      <w:r w:rsidRPr="00994AD3">
        <w:rPr>
          <w:rFonts w:eastAsia="Times New Roman" w:cs="Times New Roman"/>
          <w:b/>
          <w:bCs/>
          <w:lang w:eastAsia="de-DE"/>
        </w:rPr>
        <w:t>befiehlt</w:t>
      </w:r>
      <w:r w:rsidRPr="00994AD3">
        <w:rPr>
          <w:rFonts w:eastAsia="Times New Roman" w:cs="Times New Roman"/>
          <w:lang w:eastAsia="de-DE"/>
        </w:rPr>
        <w:t xml:space="preserve"> dem König! Dies zeigt seinen hohen Status als Seher – selbst der König gehorcht seinen rituellen Anweisungen.</w:t>
      </w:r>
    </w:p>
    <w:p w14:paraId="766C1509"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folgt dem hebräischen Text.</w:t>
      </w:r>
    </w:p>
    <w:p w14:paraId="2B6FF5C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Satzstruktur zeigt einen Hauptsatz mit Verb, Subjekt und indirektem Objekt. Die direkte Rede enthält zwei koordinierte Imperative: Der erste mit Dativ-Suffix, Lokativ und Objekt (mit Zahlwort); der zweite mit Dativ-Suffix, Lokativ und zwei koordinierten Objekten (jeweils mit Zahlwort). Es gibt keine Nebensätze.</w:t>
      </w:r>
    </w:p>
    <w:p w14:paraId="0133ADC8"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zeigt Bileams Vorbereitung eines gewaltigen Rituals – ob um Gott zu beeinflussen oder um magische Kräfte zu aktivieren, ist unklar. Die Extravaganz zeigt die Verzweiflung Balaks und den Ernst der Situation.</w:t>
      </w:r>
    </w:p>
    <w:p w14:paraId="369E7BC4"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23,2</w:t>
      </w:r>
    </w:p>
    <w:p w14:paraId="78FEEB30"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וַיַּ֣עַשׂ בָּלָ֔ק כַּאֲשֶׁ֖ר דִּבֶּ֣ר בִּלְעָ֑ם וַיַּ֨עַל בָּלָ֧ק וּבִלְעָ֛ם פָּ֥ר וָאַ֖יִל בַּמִּזְבֵּֽחַ׃</w:t>
      </w:r>
    </w:p>
    <w:p w14:paraId="669185B3"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Balak tat, wie Bileam gesagt hatte, und Balak und Bileam opferten einen Stier und einen Widder auf jedem Altar.</w:t>
      </w:r>
    </w:p>
    <w:p w14:paraId="77C30834"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6F05F82E">
          <v:rect id="_x0000_i1797" style="width:0;height:1.5pt" o:hralign="center" o:hrstd="t" o:hr="t" fillcolor="#a0a0a0" stroked="f"/>
        </w:pict>
      </w:r>
    </w:p>
    <w:p w14:paraId="101EAD7A"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lastRenderedPageBreak/>
        <w:t>Kommentar:</w:t>
      </w:r>
      <w:r w:rsidRPr="00994AD3">
        <w:rPr>
          <w:rFonts w:eastAsia="Times New Roman" w:cs="Times New Roman"/>
          <w:lang w:eastAsia="de-DE"/>
        </w:rPr>
        <w:t xml:space="preserve"> Die Ausführung: </w:t>
      </w:r>
      <w:r w:rsidRPr="00994AD3">
        <w:rPr>
          <w:rFonts w:eastAsia="Times New Roman" w:cs="Times New Roman"/>
          <w:b/>
          <w:bCs/>
          <w:rtl/>
          <w:lang w:eastAsia="de-DE"/>
        </w:rPr>
        <w:t>וַיַּעַשׂ בָּלָק כַּאֲשֶׁר דִּבֶּר בִּלְעָם</w:t>
      </w:r>
      <w:r w:rsidRPr="00994AD3">
        <w:rPr>
          <w:rFonts w:eastAsia="Times New Roman" w:cs="Times New Roman"/>
          <w:rtl/>
          <w:lang w:eastAsia="de-DE"/>
        </w:rPr>
        <w:t xml:space="preserve"> </w:t>
      </w:r>
      <w:r w:rsidRPr="00994AD3">
        <w:rPr>
          <w:rFonts w:eastAsia="Times New Roman" w:cs="Times New Roman"/>
          <w:lang w:eastAsia="de-DE"/>
        </w:rPr>
        <w:t xml:space="preserve">(„und Balak tat, wie Bileam gesagt hatte") – </w:t>
      </w:r>
      <w:r w:rsidRPr="00994AD3">
        <w:rPr>
          <w:rFonts w:eastAsia="Times New Roman" w:cs="Times New Roman"/>
          <w:b/>
          <w:bCs/>
          <w:rtl/>
          <w:lang w:eastAsia="de-DE"/>
        </w:rPr>
        <w:t>וַיַּעַשׂ</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עשׂה</w:t>
      </w:r>
      <w:r w:rsidRPr="00994AD3">
        <w:rPr>
          <w:rFonts w:eastAsia="Times New Roman" w:cs="Times New Roman"/>
          <w:lang w:eastAsia="de-DE"/>
        </w:rPr>
        <w:t xml:space="preserve">, „und er tat"), </w:t>
      </w:r>
      <w:r w:rsidRPr="00994AD3">
        <w:rPr>
          <w:rFonts w:eastAsia="Times New Roman" w:cs="Times New Roman"/>
          <w:b/>
          <w:bCs/>
          <w:rtl/>
          <w:lang w:eastAsia="de-DE"/>
        </w:rPr>
        <w:t>בָּלָק</w:t>
      </w:r>
      <w:r w:rsidRPr="00994AD3">
        <w:rPr>
          <w:rFonts w:eastAsia="Times New Roman" w:cs="Times New Roman"/>
          <w:rtl/>
          <w:lang w:eastAsia="de-DE"/>
        </w:rPr>
        <w:t xml:space="preserve"> </w:t>
      </w:r>
      <w:r w:rsidRPr="00994AD3">
        <w:rPr>
          <w:rFonts w:eastAsia="Times New Roman" w:cs="Times New Roman"/>
          <w:lang w:eastAsia="de-DE"/>
        </w:rPr>
        <w:t xml:space="preserve">Subjekt, </w:t>
      </w:r>
      <w:r w:rsidRPr="00994AD3">
        <w:rPr>
          <w:rFonts w:eastAsia="Times New Roman" w:cs="Times New Roman"/>
          <w:b/>
          <w:bCs/>
          <w:rtl/>
          <w:lang w:eastAsia="de-DE"/>
        </w:rPr>
        <w:t>כַּאֲשֶׁר דִּבֶּר בִּלְעָם</w:t>
      </w:r>
      <w:r w:rsidRPr="00994AD3">
        <w:rPr>
          <w:rFonts w:eastAsia="Times New Roman" w:cs="Times New Roman"/>
          <w:rtl/>
          <w:lang w:eastAsia="de-DE"/>
        </w:rPr>
        <w:t xml:space="preserve"> </w:t>
      </w:r>
      <w:r w:rsidRPr="00994AD3">
        <w:rPr>
          <w:rFonts w:eastAsia="Times New Roman" w:cs="Times New Roman"/>
          <w:lang w:eastAsia="de-DE"/>
        </w:rPr>
        <w:t xml:space="preserve">(„wie Bileam gesagt hatte") – Vergleichssatz mit </w:t>
      </w:r>
      <w:r w:rsidRPr="00994AD3">
        <w:rPr>
          <w:rFonts w:eastAsia="Times New Roman" w:cs="Times New Roman"/>
          <w:b/>
          <w:bCs/>
          <w:rtl/>
          <w:lang w:eastAsia="de-DE"/>
        </w:rPr>
        <w:t>כַּאֲשֶׁר</w:t>
      </w:r>
      <w:r w:rsidRPr="00994AD3">
        <w:rPr>
          <w:rFonts w:eastAsia="Times New Roman" w:cs="Times New Roman"/>
          <w:lang w:eastAsia="de-DE"/>
        </w:rPr>
        <w:t xml:space="preserve">, </w:t>
      </w:r>
      <w:r w:rsidRPr="00994AD3">
        <w:rPr>
          <w:rFonts w:eastAsia="Times New Roman" w:cs="Times New Roman"/>
          <w:b/>
          <w:bCs/>
          <w:rtl/>
          <w:lang w:eastAsia="de-DE"/>
        </w:rPr>
        <w:t>דִּבֶּר</w:t>
      </w:r>
      <w:r w:rsidRPr="00994AD3">
        <w:rPr>
          <w:rFonts w:eastAsia="Times New Roman" w:cs="Times New Roman"/>
          <w:rtl/>
          <w:lang w:eastAsia="de-DE"/>
        </w:rPr>
        <w:t xml:space="preserve"> </w:t>
      </w:r>
      <w:r w:rsidRPr="00994AD3">
        <w:rPr>
          <w:rFonts w:eastAsia="Times New Roman" w:cs="Times New Roman"/>
          <w:lang w:eastAsia="de-DE"/>
        </w:rPr>
        <w:t xml:space="preserve">(Piel Perfekt, 3. m. sg. von </w:t>
      </w:r>
      <w:r w:rsidRPr="00994AD3">
        <w:rPr>
          <w:rFonts w:eastAsia="Times New Roman" w:cs="Times New Roman"/>
          <w:b/>
          <w:bCs/>
          <w:rtl/>
          <w:lang w:eastAsia="de-DE"/>
        </w:rPr>
        <w:t>דבר</w:t>
      </w:r>
      <w:r w:rsidRPr="00994AD3">
        <w:rPr>
          <w:rFonts w:eastAsia="Times New Roman" w:cs="Times New Roman"/>
          <w:lang w:eastAsia="de-DE"/>
        </w:rPr>
        <w:t>). Der König gehorcht vollständig.</w:t>
      </w:r>
    </w:p>
    <w:p w14:paraId="03F1DB18" w14:textId="51227E6B"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Das gemeinsame Opfer: </w:t>
      </w:r>
      <w:r w:rsidRPr="00994AD3">
        <w:rPr>
          <w:rFonts w:eastAsia="Times New Roman" w:cs="Times New Roman"/>
          <w:b/>
          <w:bCs/>
          <w:rtl/>
          <w:lang w:eastAsia="de-DE"/>
        </w:rPr>
        <w:t>וַיַּעַל בָּלָק וּבִלְעָם פָּר וָאַיִל בַּמִּזְבֵּחַ</w:t>
      </w:r>
      <w:r w:rsidRPr="00994AD3">
        <w:rPr>
          <w:rFonts w:eastAsia="Times New Roman" w:cs="Times New Roman"/>
          <w:rtl/>
          <w:lang w:eastAsia="de-DE"/>
        </w:rPr>
        <w:t xml:space="preserve"> </w:t>
      </w:r>
      <w:r w:rsidRPr="00994AD3">
        <w:rPr>
          <w:rFonts w:eastAsia="Times New Roman" w:cs="Times New Roman"/>
          <w:lang w:eastAsia="de-DE"/>
        </w:rPr>
        <w:t xml:space="preserve">(„und Balak und Bileam opferten einen Stier und einen Widder auf dem/jedem Altar") – </w:t>
      </w:r>
      <w:r w:rsidRPr="00994AD3">
        <w:rPr>
          <w:rFonts w:eastAsia="Times New Roman" w:cs="Times New Roman"/>
          <w:b/>
          <w:bCs/>
          <w:rtl/>
          <w:lang w:eastAsia="de-DE"/>
        </w:rPr>
        <w:t>וַיַּעַל</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עלה</w:t>
      </w:r>
      <w:r w:rsidRPr="00994AD3">
        <w:rPr>
          <w:rFonts w:eastAsia="Times New Roman" w:cs="Times New Roman"/>
          <w:rtl/>
          <w:lang w:eastAsia="de-DE"/>
        </w:rPr>
        <w:t xml:space="preserve"> </w:t>
      </w:r>
      <w:r w:rsidRPr="00994AD3">
        <w:rPr>
          <w:rFonts w:eastAsia="Times New Roman" w:cs="Times New Roman"/>
          <w:lang w:eastAsia="de-DE"/>
        </w:rPr>
        <w:t xml:space="preserve">Hifil, „und er/sie opferten") – das Hifil von </w:t>
      </w:r>
      <w:r w:rsidRPr="00994AD3">
        <w:rPr>
          <w:rFonts w:eastAsia="Times New Roman" w:cs="Times New Roman"/>
          <w:b/>
          <w:bCs/>
          <w:rtl/>
          <w:lang w:eastAsia="de-DE"/>
        </w:rPr>
        <w:t>עלה</w:t>
      </w:r>
      <w:r w:rsidRPr="00994AD3">
        <w:rPr>
          <w:rFonts w:eastAsia="Times New Roman" w:cs="Times New Roman"/>
          <w:rtl/>
          <w:lang w:eastAsia="de-DE"/>
        </w:rPr>
        <w:t xml:space="preserve"> </w:t>
      </w:r>
      <w:r w:rsidRPr="00994AD3">
        <w:rPr>
          <w:rFonts w:eastAsia="Times New Roman" w:cs="Times New Roman"/>
          <w:lang w:eastAsia="de-DE"/>
        </w:rPr>
        <w:t xml:space="preserve">„hinaufbringen" ist der technische Terminus für das Darbringen von </w:t>
      </w:r>
      <w:r w:rsidR="007031B9">
        <w:rPr>
          <w:rFonts w:eastAsia="Times New Roman" w:cs="Times New Roman"/>
          <w:lang w:eastAsia="de-DE"/>
        </w:rPr>
        <w:t>Aufsteigeopfer</w:t>
      </w:r>
      <w:r w:rsidRPr="00994AD3">
        <w:rPr>
          <w:rFonts w:eastAsia="Times New Roman" w:cs="Times New Roman"/>
          <w:lang w:eastAsia="de-DE"/>
        </w:rPr>
        <w:t>n (</w:t>
      </w:r>
      <w:r w:rsidRPr="00994AD3">
        <w:rPr>
          <w:rFonts w:eastAsia="Times New Roman" w:cs="Times New Roman"/>
          <w:b/>
          <w:bCs/>
          <w:rtl/>
          <w:lang w:eastAsia="de-DE"/>
        </w:rPr>
        <w:t>עֹלָה</w:t>
      </w:r>
      <w:r w:rsidRPr="00994AD3">
        <w:rPr>
          <w:rFonts w:eastAsia="Times New Roman" w:cs="Times New Roman"/>
          <w:lang w:eastAsia="de-DE"/>
        </w:rPr>
        <w:t xml:space="preserve">). Das doppelte Subjekt </w:t>
      </w:r>
      <w:r w:rsidRPr="00994AD3">
        <w:rPr>
          <w:rFonts w:eastAsia="Times New Roman" w:cs="Times New Roman"/>
          <w:b/>
          <w:bCs/>
          <w:rtl/>
          <w:lang w:eastAsia="de-DE"/>
        </w:rPr>
        <w:t>בָּלָק וּבִלְעָם</w:t>
      </w:r>
      <w:r w:rsidRPr="00994AD3">
        <w:rPr>
          <w:rFonts w:eastAsia="Times New Roman" w:cs="Times New Roman"/>
          <w:rtl/>
          <w:lang w:eastAsia="de-DE"/>
        </w:rPr>
        <w:t xml:space="preserve"> </w:t>
      </w:r>
      <w:r w:rsidRPr="00994AD3">
        <w:rPr>
          <w:rFonts w:eastAsia="Times New Roman" w:cs="Times New Roman"/>
          <w:lang w:eastAsia="de-DE"/>
        </w:rPr>
        <w:t xml:space="preserve">zeigt: beide opfern gemeinsam. </w:t>
      </w:r>
      <w:r w:rsidRPr="00994AD3">
        <w:rPr>
          <w:rFonts w:eastAsia="Times New Roman" w:cs="Times New Roman"/>
          <w:b/>
          <w:bCs/>
          <w:rtl/>
          <w:lang w:eastAsia="de-DE"/>
        </w:rPr>
        <w:t>פָּר וָאַיִל</w:t>
      </w:r>
      <w:r w:rsidRPr="00994AD3">
        <w:rPr>
          <w:rFonts w:eastAsia="Times New Roman" w:cs="Times New Roman"/>
          <w:rtl/>
          <w:lang w:eastAsia="de-DE"/>
        </w:rPr>
        <w:t xml:space="preserve"> </w:t>
      </w:r>
      <w:r w:rsidRPr="00994AD3">
        <w:rPr>
          <w:rFonts w:eastAsia="Times New Roman" w:cs="Times New Roman"/>
          <w:lang w:eastAsia="de-DE"/>
        </w:rPr>
        <w:t xml:space="preserve">„ein Stier und ein Widder" (Singular!), </w:t>
      </w:r>
      <w:r w:rsidRPr="00994AD3">
        <w:rPr>
          <w:rFonts w:eastAsia="Times New Roman" w:cs="Times New Roman"/>
          <w:b/>
          <w:bCs/>
          <w:rtl/>
          <w:lang w:eastAsia="de-DE"/>
        </w:rPr>
        <w:t>בַּמִּזְבֵּחַ</w:t>
      </w:r>
      <w:r w:rsidRPr="00994AD3">
        <w:rPr>
          <w:rFonts w:eastAsia="Times New Roman" w:cs="Times New Roman"/>
          <w:rtl/>
          <w:lang w:eastAsia="de-DE"/>
        </w:rPr>
        <w:t xml:space="preserve"> </w:t>
      </w:r>
      <w:r w:rsidRPr="00994AD3">
        <w:rPr>
          <w:rFonts w:eastAsia="Times New Roman" w:cs="Times New Roman"/>
          <w:lang w:eastAsia="de-DE"/>
        </w:rPr>
        <w:t>„auf dem Altar" – der Singular mit Artikel kann distributiv verstanden werden: „auf jedem Altar" (impliziert: dies geschah siebenmal).</w:t>
      </w:r>
    </w:p>
    <w:p w14:paraId="706EDCEA"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gemeinsame Opferung ist bemerkenswert – König und Seher agieren als Opferpriester. Dies zeigt die Dringlichkeit und dass normale priesterliche Strukturen nicht gelten.</w:t>
      </w:r>
    </w:p>
    <w:p w14:paraId="681DFBDC"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folgt dem hebräischen Text, macht die distributive Bedeutung expliziter.</w:t>
      </w:r>
    </w:p>
    <w:p w14:paraId="615414B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Satzstruktur zeigt zwei koordinierte Hauptsätze: Der erste mit Verb, Subjekt und Vergleichssatz (Nebensatz); der zweite mit Verb, doppeltem Subjekt, Objekt und Präpositionalphrase. Insgesamt gibt es einen Nebensatz (Vergleichssatz).</w:t>
      </w:r>
    </w:p>
    <w:p w14:paraId="71AAA81C"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zeigt den vollständigen Gehorsam Balaks und die gemeinsame rituelle Handlung – die Bühne ist bereitet für die göttliche Begegnung.</w:t>
      </w:r>
    </w:p>
    <w:p w14:paraId="3B0023E5"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23,3</w:t>
      </w:r>
    </w:p>
    <w:p w14:paraId="0F6DED6C"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וַיֹּ֨אמֶר בִּלְעָ֜ם לְבָלָ֗ק הִתְיַצֵּב֮ עַל־עֹלָתֶךָ֒ וְאֵֽלְכָ֗ה אוּלַ֞י יִקָּרֵ֤ה יְהוָה֙ לִקְרָאתִ֔י וּדְבַ֥ר מַה־יַּרְאֵ֖נִי וְהִגַּ֣דְתִּי לָ֑ךְ וַיֵּ֖לֶךְ שֶֽׁפִי׃</w:t>
      </w:r>
    </w:p>
    <w:p w14:paraId="073A0AED" w14:textId="6AE5A471"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Bileam sprach zu Balak: Stelle dich neben dein </w:t>
      </w:r>
      <w:r w:rsidR="007031B9">
        <w:rPr>
          <w:rFonts w:eastAsia="Times New Roman" w:cs="Times New Roman"/>
          <w:lang w:eastAsia="de-DE"/>
        </w:rPr>
        <w:t>Aufsteigeopfer</w:t>
      </w:r>
      <w:r w:rsidRPr="00994AD3">
        <w:rPr>
          <w:rFonts w:eastAsia="Times New Roman" w:cs="Times New Roman"/>
          <w:lang w:eastAsia="de-DE"/>
        </w:rPr>
        <w:t>, und ich will gehen. Vielleicht wird der Ewige mir entgegenkommen, und was immer er mich sehen lässt, werde ich dir mitteilen. Und er ging auf eine kahle Höhe.</w:t>
      </w:r>
    </w:p>
    <w:p w14:paraId="58C1CC89"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530EDE57">
          <v:rect id="_x0000_i1798" style="width:0;height:1.5pt" o:hralign="center" o:hrstd="t" o:hr="t" fillcolor="#a0a0a0" stroked="f"/>
        </w:pict>
      </w:r>
    </w:p>
    <w:p w14:paraId="1DD08494" w14:textId="65B2B479"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Die Anweisung an Balak: </w:t>
      </w:r>
      <w:r w:rsidRPr="00994AD3">
        <w:rPr>
          <w:rFonts w:eastAsia="Times New Roman" w:cs="Times New Roman"/>
          <w:b/>
          <w:bCs/>
          <w:rtl/>
          <w:lang w:eastAsia="de-DE"/>
        </w:rPr>
        <w:t>הִתְיַצֵּב עַל־עֹלָתֶךָ</w:t>
      </w:r>
      <w:r w:rsidRPr="00994AD3">
        <w:rPr>
          <w:rFonts w:eastAsia="Times New Roman" w:cs="Times New Roman"/>
          <w:rtl/>
          <w:lang w:eastAsia="de-DE"/>
        </w:rPr>
        <w:t xml:space="preserve"> </w:t>
      </w:r>
      <w:r w:rsidRPr="00994AD3">
        <w:rPr>
          <w:rFonts w:eastAsia="Times New Roman" w:cs="Times New Roman"/>
          <w:lang w:eastAsia="de-DE"/>
        </w:rPr>
        <w:t xml:space="preserve">(„stelle dich neben dein </w:t>
      </w:r>
      <w:r w:rsidR="007031B9">
        <w:rPr>
          <w:rFonts w:eastAsia="Times New Roman" w:cs="Times New Roman"/>
          <w:lang w:eastAsia="de-DE"/>
        </w:rPr>
        <w:t>Aufsteigeopfer</w:t>
      </w:r>
      <w:r w:rsidRPr="00994AD3">
        <w:rPr>
          <w:rFonts w:eastAsia="Times New Roman" w:cs="Times New Roman"/>
          <w:lang w:eastAsia="de-DE"/>
        </w:rPr>
        <w:t xml:space="preserve">") – </w:t>
      </w:r>
      <w:r w:rsidRPr="00994AD3">
        <w:rPr>
          <w:rFonts w:eastAsia="Times New Roman" w:cs="Times New Roman"/>
          <w:b/>
          <w:bCs/>
          <w:rtl/>
          <w:lang w:eastAsia="de-DE"/>
        </w:rPr>
        <w:t>הִתְיַצֵּב</w:t>
      </w:r>
      <w:r w:rsidRPr="00994AD3">
        <w:rPr>
          <w:rFonts w:eastAsia="Times New Roman" w:cs="Times New Roman"/>
          <w:rtl/>
          <w:lang w:eastAsia="de-DE"/>
        </w:rPr>
        <w:t xml:space="preserve"> </w:t>
      </w:r>
      <w:r w:rsidRPr="00994AD3">
        <w:rPr>
          <w:rFonts w:eastAsia="Times New Roman" w:cs="Times New Roman"/>
          <w:lang w:eastAsia="de-DE"/>
        </w:rPr>
        <w:t xml:space="preserve">(Hitpael Imperativ von </w:t>
      </w:r>
      <w:r w:rsidRPr="00994AD3">
        <w:rPr>
          <w:rFonts w:eastAsia="Times New Roman" w:cs="Times New Roman"/>
          <w:b/>
          <w:bCs/>
          <w:rtl/>
          <w:lang w:eastAsia="de-DE"/>
        </w:rPr>
        <w:t>יצב</w:t>
      </w:r>
      <w:r w:rsidRPr="00994AD3">
        <w:rPr>
          <w:rFonts w:eastAsia="Times New Roman" w:cs="Times New Roman"/>
          <w:lang w:eastAsia="de-DE"/>
        </w:rPr>
        <w:t xml:space="preserve">, „stelle dich") – das Hitpael ist reflexiv „sich hinstellen, positionieren", </w:t>
      </w:r>
      <w:r w:rsidRPr="00994AD3">
        <w:rPr>
          <w:rFonts w:eastAsia="Times New Roman" w:cs="Times New Roman"/>
          <w:b/>
          <w:bCs/>
          <w:rtl/>
          <w:lang w:eastAsia="de-DE"/>
        </w:rPr>
        <w:t>עַל־עֹלָתֶךָ</w:t>
      </w:r>
      <w:r w:rsidRPr="00994AD3">
        <w:rPr>
          <w:rFonts w:eastAsia="Times New Roman" w:cs="Times New Roman"/>
          <w:rtl/>
          <w:lang w:eastAsia="de-DE"/>
        </w:rPr>
        <w:t xml:space="preserve"> </w:t>
      </w:r>
      <w:r w:rsidRPr="00994AD3">
        <w:rPr>
          <w:rFonts w:eastAsia="Times New Roman" w:cs="Times New Roman"/>
          <w:lang w:eastAsia="de-DE"/>
        </w:rPr>
        <w:t xml:space="preserve">(„bei/neben deinem </w:t>
      </w:r>
      <w:r w:rsidR="007031B9">
        <w:rPr>
          <w:rFonts w:eastAsia="Times New Roman" w:cs="Times New Roman"/>
          <w:lang w:eastAsia="de-DE"/>
        </w:rPr>
        <w:t>Aufsteigeopfer</w:t>
      </w:r>
      <w:r w:rsidRPr="00994AD3">
        <w:rPr>
          <w:rFonts w:eastAsia="Times New Roman" w:cs="Times New Roman"/>
          <w:lang w:eastAsia="de-DE"/>
        </w:rPr>
        <w:t xml:space="preserve">") – </w:t>
      </w:r>
      <w:r w:rsidRPr="00994AD3">
        <w:rPr>
          <w:rFonts w:eastAsia="Times New Roman" w:cs="Times New Roman"/>
          <w:b/>
          <w:bCs/>
          <w:rtl/>
          <w:lang w:eastAsia="de-DE"/>
        </w:rPr>
        <w:t>עֹלָה</w:t>
      </w:r>
      <w:r w:rsidRPr="00994AD3">
        <w:rPr>
          <w:rFonts w:eastAsia="Times New Roman" w:cs="Times New Roman"/>
          <w:rtl/>
          <w:lang w:eastAsia="de-DE"/>
        </w:rPr>
        <w:t xml:space="preserve"> </w:t>
      </w:r>
      <w:r w:rsidRPr="00994AD3">
        <w:rPr>
          <w:rFonts w:eastAsia="Times New Roman" w:cs="Times New Roman"/>
          <w:lang w:eastAsia="de-DE"/>
        </w:rPr>
        <w:t>„</w:t>
      </w:r>
      <w:r w:rsidR="007031B9">
        <w:rPr>
          <w:rFonts w:eastAsia="Times New Roman" w:cs="Times New Roman"/>
          <w:lang w:eastAsia="de-DE"/>
        </w:rPr>
        <w:t>Aufsteigeopfer</w:t>
      </w:r>
      <w:r w:rsidRPr="00994AD3">
        <w:rPr>
          <w:rFonts w:eastAsia="Times New Roman" w:cs="Times New Roman"/>
          <w:lang w:eastAsia="de-DE"/>
        </w:rPr>
        <w:t>, Aufsteigeopfer" mit Possessivsuffix. Balak soll beim Opfer warten.</w:t>
      </w:r>
    </w:p>
    <w:p w14:paraId="637AEF5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Bileams Ankündigung: </w:t>
      </w:r>
      <w:r w:rsidRPr="00994AD3">
        <w:rPr>
          <w:rFonts w:eastAsia="Times New Roman" w:cs="Times New Roman"/>
          <w:b/>
          <w:bCs/>
          <w:rtl/>
          <w:lang w:eastAsia="de-DE"/>
        </w:rPr>
        <w:t>וְאֵלְכָה אוּלַי יִקָּרֵה יְהוָה לִקְרָאתִי</w:t>
      </w:r>
      <w:r w:rsidRPr="00994AD3">
        <w:rPr>
          <w:rFonts w:eastAsia="Times New Roman" w:cs="Times New Roman"/>
          <w:rtl/>
          <w:lang w:eastAsia="de-DE"/>
        </w:rPr>
        <w:t xml:space="preserve"> </w:t>
      </w:r>
      <w:r w:rsidRPr="00994AD3">
        <w:rPr>
          <w:rFonts w:eastAsia="Times New Roman" w:cs="Times New Roman"/>
          <w:lang w:eastAsia="de-DE"/>
        </w:rPr>
        <w:t xml:space="preserve">(„und ich will gehen. Vielleicht wird JHWH mir entgegenkommen") – </w:t>
      </w:r>
      <w:r w:rsidRPr="00994AD3">
        <w:rPr>
          <w:rFonts w:eastAsia="Times New Roman" w:cs="Times New Roman"/>
          <w:b/>
          <w:bCs/>
          <w:rtl/>
          <w:lang w:eastAsia="de-DE"/>
        </w:rPr>
        <w:t>וְאֵלְכָה</w:t>
      </w:r>
      <w:r w:rsidRPr="00994AD3">
        <w:rPr>
          <w:rFonts w:eastAsia="Times New Roman" w:cs="Times New Roman"/>
          <w:rtl/>
          <w:lang w:eastAsia="de-DE"/>
        </w:rPr>
        <w:t xml:space="preserve"> </w:t>
      </w:r>
      <w:r w:rsidRPr="00994AD3">
        <w:rPr>
          <w:rFonts w:eastAsia="Times New Roman" w:cs="Times New Roman"/>
          <w:lang w:eastAsia="de-DE"/>
        </w:rPr>
        <w:t xml:space="preserve">(Waw + Qal Kohortativ, 1. c. sg. von </w:t>
      </w:r>
      <w:r w:rsidRPr="00994AD3">
        <w:rPr>
          <w:rFonts w:eastAsia="Times New Roman" w:cs="Times New Roman"/>
          <w:b/>
          <w:bCs/>
          <w:rtl/>
          <w:lang w:eastAsia="de-DE"/>
        </w:rPr>
        <w:t>הלך</w:t>
      </w:r>
      <w:r w:rsidRPr="00994AD3">
        <w:rPr>
          <w:rFonts w:eastAsia="Times New Roman" w:cs="Times New Roman"/>
          <w:lang w:eastAsia="de-DE"/>
        </w:rPr>
        <w:t xml:space="preserve">, „und ich will gehen"), </w:t>
      </w:r>
      <w:r w:rsidRPr="00994AD3">
        <w:rPr>
          <w:rFonts w:eastAsia="Times New Roman" w:cs="Times New Roman"/>
          <w:b/>
          <w:bCs/>
          <w:rtl/>
          <w:lang w:eastAsia="de-DE"/>
        </w:rPr>
        <w:t>אוּלַי</w:t>
      </w:r>
      <w:r w:rsidRPr="00994AD3">
        <w:rPr>
          <w:rFonts w:eastAsia="Times New Roman" w:cs="Times New Roman"/>
          <w:rtl/>
          <w:lang w:eastAsia="de-DE"/>
        </w:rPr>
        <w:t xml:space="preserve"> </w:t>
      </w:r>
      <w:r w:rsidRPr="00994AD3">
        <w:rPr>
          <w:rFonts w:eastAsia="Times New Roman" w:cs="Times New Roman"/>
          <w:lang w:eastAsia="de-DE"/>
        </w:rPr>
        <w:t xml:space="preserve">„vielleicht, möglicherweise", </w:t>
      </w:r>
      <w:r w:rsidRPr="00994AD3">
        <w:rPr>
          <w:rFonts w:eastAsia="Times New Roman" w:cs="Times New Roman"/>
          <w:b/>
          <w:bCs/>
          <w:rtl/>
          <w:lang w:eastAsia="de-DE"/>
        </w:rPr>
        <w:t>יִקָּרֵה יְהוָה לִקְרָאתִי</w:t>
      </w:r>
      <w:r w:rsidRPr="00994AD3">
        <w:rPr>
          <w:rFonts w:eastAsia="Times New Roman" w:cs="Times New Roman"/>
          <w:rtl/>
          <w:lang w:eastAsia="de-DE"/>
        </w:rPr>
        <w:t xml:space="preserve"> </w:t>
      </w:r>
      <w:r w:rsidRPr="00994AD3">
        <w:rPr>
          <w:rFonts w:eastAsia="Times New Roman" w:cs="Times New Roman"/>
          <w:lang w:eastAsia="de-DE"/>
        </w:rPr>
        <w:t xml:space="preserve">(„JHWH wird mir entgegenkommen") – </w:t>
      </w:r>
      <w:r w:rsidRPr="00994AD3">
        <w:rPr>
          <w:rFonts w:eastAsia="Times New Roman" w:cs="Times New Roman"/>
          <w:b/>
          <w:bCs/>
          <w:rtl/>
          <w:lang w:eastAsia="de-DE"/>
        </w:rPr>
        <w:t>יִקָּרֵה</w:t>
      </w:r>
      <w:r w:rsidRPr="00994AD3">
        <w:rPr>
          <w:rFonts w:eastAsia="Times New Roman" w:cs="Times New Roman"/>
          <w:rtl/>
          <w:lang w:eastAsia="de-DE"/>
        </w:rPr>
        <w:t xml:space="preserve"> </w:t>
      </w:r>
      <w:r w:rsidRPr="00994AD3">
        <w:rPr>
          <w:rFonts w:eastAsia="Times New Roman" w:cs="Times New Roman"/>
          <w:lang w:eastAsia="de-DE"/>
        </w:rPr>
        <w:t xml:space="preserve">(Nifal Imperfekt, 3. m. sg. von </w:t>
      </w:r>
      <w:r w:rsidRPr="00994AD3">
        <w:rPr>
          <w:rFonts w:eastAsia="Times New Roman" w:cs="Times New Roman"/>
          <w:b/>
          <w:bCs/>
          <w:rtl/>
          <w:lang w:eastAsia="de-DE"/>
        </w:rPr>
        <w:t>קרה</w:t>
      </w:r>
      <w:r w:rsidRPr="00994AD3">
        <w:rPr>
          <w:rFonts w:eastAsia="Times New Roman" w:cs="Times New Roman"/>
          <w:lang w:eastAsia="de-DE"/>
        </w:rPr>
        <w:t xml:space="preserve">, „er wird begegnen") – das Nifal kann „sich ereignen, begegnen" bedeuten, </w:t>
      </w:r>
      <w:r w:rsidRPr="00994AD3">
        <w:rPr>
          <w:rFonts w:eastAsia="Times New Roman" w:cs="Times New Roman"/>
          <w:b/>
          <w:bCs/>
          <w:rtl/>
          <w:lang w:eastAsia="de-DE"/>
        </w:rPr>
        <w:t>לִקְרָאתִי</w:t>
      </w:r>
      <w:r w:rsidRPr="00994AD3">
        <w:rPr>
          <w:rFonts w:eastAsia="Times New Roman" w:cs="Times New Roman"/>
          <w:rtl/>
          <w:lang w:eastAsia="de-DE"/>
        </w:rPr>
        <w:t xml:space="preserve"> </w:t>
      </w:r>
      <w:r w:rsidRPr="00994AD3">
        <w:rPr>
          <w:rFonts w:eastAsia="Times New Roman" w:cs="Times New Roman"/>
          <w:lang w:eastAsia="de-DE"/>
        </w:rPr>
        <w:t>(„mir entgegen") mit Suffix 1. c. sg.</w:t>
      </w:r>
    </w:p>
    <w:p w14:paraId="7E3BD030"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lastRenderedPageBreak/>
        <w:t xml:space="preserve">Das Wort </w:t>
      </w:r>
      <w:r w:rsidRPr="00994AD3">
        <w:rPr>
          <w:rFonts w:eastAsia="Times New Roman" w:cs="Times New Roman"/>
          <w:b/>
          <w:bCs/>
          <w:rtl/>
          <w:lang w:eastAsia="de-DE"/>
        </w:rPr>
        <w:t>אוּלַי</w:t>
      </w:r>
      <w:r w:rsidRPr="00994AD3">
        <w:rPr>
          <w:rFonts w:eastAsia="Times New Roman" w:cs="Times New Roman"/>
          <w:rtl/>
          <w:lang w:eastAsia="de-DE"/>
        </w:rPr>
        <w:t xml:space="preserve"> </w:t>
      </w:r>
      <w:r w:rsidRPr="00994AD3">
        <w:rPr>
          <w:rFonts w:eastAsia="Times New Roman" w:cs="Times New Roman"/>
          <w:lang w:eastAsia="de-DE"/>
        </w:rPr>
        <w:t xml:space="preserve">„vielleicht" ist bemerkenswert – Bileam ist sich </w:t>
      </w:r>
      <w:r w:rsidRPr="00994AD3">
        <w:rPr>
          <w:rFonts w:eastAsia="Times New Roman" w:cs="Times New Roman"/>
          <w:b/>
          <w:bCs/>
          <w:lang w:eastAsia="de-DE"/>
        </w:rPr>
        <w:t>nicht sicher</w:t>
      </w:r>
      <w:r w:rsidRPr="00994AD3">
        <w:rPr>
          <w:rFonts w:eastAsia="Times New Roman" w:cs="Times New Roman"/>
          <w:lang w:eastAsia="de-DE"/>
        </w:rPr>
        <w:t>, ob Gott erscheinen wird! Dies kontrastiert mit der Selbstsicherheit eines typischen Magiers. Bileam weiß: Er kann Gott nicht zwingen oder manipulieren.</w:t>
      </w:r>
    </w:p>
    <w:p w14:paraId="57AEB28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Verheißung: </w:t>
      </w:r>
      <w:r w:rsidRPr="00994AD3">
        <w:rPr>
          <w:rFonts w:eastAsia="Times New Roman" w:cs="Times New Roman"/>
          <w:b/>
          <w:bCs/>
          <w:rtl/>
          <w:lang w:eastAsia="de-DE"/>
        </w:rPr>
        <w:t>וּדְבַר מַה־יַּרְאֵנִי וְהִגַּדְתִּי לָךְ</w:t>
      </w:r>
      <w:r w:rsidRPr="00994AD3">
        <w:rPr>
          <w:rFonts w:eastAsia="Times New Roman" w:cs="Times New Roman"/>
          <w:rtl/>
          <w:lang w:eastAsia="de-DE"/>
        </w:rPr>
        <w:t xml:space="preserve"> </w:t>
      </w:r>
      <w:r w:rsidRPr="00994AD3">
        <w:rPr>
          <w:rFonts w:eastAsia="Times New Roman" w:cs="Times New Roman"/>
          <w:lang w:eastAsia="de-DE"/>
        </w:rPr>
        <w:t xml:space="preserve">(„und was immer er mich sehen lässt, werde ich dir mitteilen") – </w:t>
      </w:r>
      <w:r w:rsidRPr="00994AD3">
        <w:rPr>
          <w:rFonts w:eastAsia="Times New Roman" w:cs="Times New Roman"/>
          <w:b/>
          <w:bCs/>
          <w:rtl/>
          <w:lang w:eastAsia="de-DE"/>
        </w:rPr>
        <w:t>וּדְבַר מַה־יַּרְאֵנִי</w:t>
      </w:r>
      <w:r w:rsidRPr="00994AD3">
        <w:rPr>
          <w:rFonts w:eastAsia="Times New Roman" w:cs="Times New Roman"/>
          <w:rtl/>
          <w:lang w:eastAsia="de-DE"/>
        </w:rPr>
        <w:t xml:space="preserve"> </w:t>
      </w:r>
      <w:r w:rsidRPr="00994AD3">
        <w:rPr>
          <w:rFonts w:eastAsia="Times New Roman" w:cs="Times New Roman"/>
          <w:lang w:eastAsia="de-DE"/>
        </w:rPr>
        <w:t xml:space="preserve">ist komplex: </w:t>
      </w:r>
      <w:r w:rsidRPr="00994AD3">
        <w:rPr>
          <w:rFonts w:eastAsia="Times New Roman" w:cs="Times New Roman"/>
          <w:b/>
          <w:bCs/>
          <w:rtl/>
          <w:lang w:eastAsia="de-DE"/>
        </w:rPr>
        <w:t>דְבַר</w:t>
      </w:r>
      <w:r w:rsidRPr="00994AD3">
        <w:rPr>
          <w:rFonts w:eastAsia="Times New Roman" w:cs="Times New Roman"/>
          <w:rtl/>
          <w:lang w:eastAsia="de-DE"/>
        </w:rPr>
        <w:t xml:space="preserve"> </w:t>
      </w:r>
      <w:r w:rsidRPr="00994AD3">
        <w:rPr>
          <w:rFonts w:eastAsia="Times New Roman" w:cs="Times New Roman"/>
          <w:lang w:eastAsia="de-DE"/>
        </w:rPr>
        <w:t xml:space="preserve">kann Nomen „Wort, Sache" sein oder Infinitiv construct von </w:t>
      </w:r>
      <w:r w:rsidRPr="00994AD3">
        <w:rPr>
          <w:rFonts w:eastAsia="Times New Roman" w:cs="Times New Roman"/>
          <w:b/>
          <w:bCs/>
          <w:rtl/>
          <w:lang w:eastAsia="de-DE"/>
        </w:rPr>
        <w:t>דבר</w:t>
      </w:r>
      <w:r w:rsidRPr="00994AD3">
        <w:rPr>
          <w:rFonts w:eastAsia="Times New Roman" w:cs="Times New Roman"/>
          <w:lang w:eastAsia="de-DE"/>
        </w:rPr>
        <w:t xml:space="preserve">, hier wohl „die Sache, was" als Objekt, </w:t>
      </w:r>
      <w:r w:rsidRPr="00994AD3">
        <w:rPr>
          <w:rFonts w:eastAsia="Times New Roman" w:cs="Times New Roman"/>
          <w:b/>
          <w:bCs/>
          <w:rtl/>
          <w:lang w:eastAsia="de-DE"/>
        </w:rPr>
        <w:t>מַה־יַּרְאֵנִי</w:t>
      </w:r>
      <w:r w:rsidRPr="00994AD3">
        <w:rPr>
          <w:rFonts w:eastAsia="Times New Roman" w:cs="Times New Roman"/>
          <w:rtl/>
          <w:lang w:eastAsia="de-DE"/>
        </w:rPr>
        <w:t xml:space="preserve"> </w:t>
      </w:r>
      <w:r w:rsidRPr="00994AD3">
        <w:rPr>
          <w:rFonts w:eastAsia="Times New Roman" w:cs="Times New Roman"/>
          <w:lang w:eastAsia="de-DE"/>
        </w:rPr>
        <w:t xml:space="preserve">(„was er mich sehen lässt") – </w:t>
      </w:r>
      <w:r w:rsidRPr="00994AD3">
        <w:rPr>
          <w:rFonts w:eastAsia="Times New Roman" w:cs="Times New Roman"/>
          <w:b/>
          <w:bCs/>
          <w:rtl/>
          <w:lang w:eastAsia="de-DE"/>
        </w:rPr>
        <w:t>מָה</w:t>
      </w:r>
      <w:r w:rsidRPr="00994AD3">
        <w:rPr>
          <w:rFonts w:eastAsia="Times New Roman" w:cs="Times New Roman"/>
          <w:rtl/>
          <w:lang w:eastAsia="de-DE"/>
        </w:rPr>
        <w:t xml:space="preserve"> </w:t>
      </w:r>
      <w:r w:rsidRPr="00994AD3">
        <w:rPr>
          <w:rFonts w:eastAsia="Times New Roman" w:cs="Times New Roman"/>
          <w:lang w:eastAsia="de-DE"/>
        </w:rPr>
        <w:t xml:space="preserve">Interrogativ/Relativ, </w:t>
      </w:r>
      <w:r w:rsidRPr="00994AD3">
        <w:rPr>
          <w:rFonts w:eastAsia="Times New Roman" w:cs="Times New Roman"/>
          <w:b/>
          <w:bCs/>
          <w:rtl/>
          <w:lang w:eastAsia="de-DE"/>
        </w:rPr>
        <w:t>יַּרְאֵנִי</w:t>
      </w:r>
      <w:r w:rsidRPr="00994AD3">
        <w:rPr>
          <w:rFonts w:eastAsia="Times New Roman" w:cs="Times New Roman"/>
          <w:rtl/>
          <w:lang w:eastAsia="de-DE"/>
        </w:rPr>
        <w:t xml:space="preserve"> </w:t>
      </w:r>
      <w:r w:rsidRPr="00994AD3">
        <w:rPr>
          <w:rFonts w:eastAsia="Times New Roman" w:cs="Times New Roman"/>
          <w:lang w:eastAsia="de-DE"/>
        </w:rPr>
        <w:t xml:space="preserve">(Hifil Imperfekt, 3. m. sg. von </w:t>
      </w:r>
      <w:r w:rsidRPr="00994AD3">
        <w:rPr>
          <w:rFonts w:eastAsia="Times New Roman" w:cs="Times New Roman"/>
          <w:b/>
          <w:bCs/>
          <w:rtl/>
          <w:lang w:eastAsia="de-DE"/>
        </w:rPr>
        <w:t>ראה</w:t>
      </w:r>
      <w:r w:rsidRPr="00994AD3">
        <w:rPr>
          <w:rFonts w:eastAsia="Times New Roman" w:cs="Times New Roman"/>
          <w:rtl/>
          <w:lang w:eastAsia="de-DE"/>
        </w:rPr>
        <w:t xml:space="preserve"> </w:t>
      </w:r>
      <w:r w:rsidRPr="00994AD3">
        <w:rPr>
          <w:rFonts w:eastAsia="Times New Roman" w:cs="Times New Roman"/>
          <w:lang w:eastAsia="de-DE"/>
        </w:rPr>
        <w:t xml:space="preserve">mit Objektsuffix 1. c. sg., „er lässt mich sehen") – das Hifil ist kausativ. </w:t>
      </w:r>
      <w:r w:rsidRPr="00994AD3">
        <w:rPr>
          <w:rFonts w:eastAsia="Times New Roman" w:cs="Times New Roman"/>
          <w:b/>
          <w:bCs/>
          <w:rtl/>
          <w:lang w:eastAsia="de-DE"/>
        </w:rPr>
        <w:t>וְהִגַּדְתִּי לָךְ</w:t>
      </w:r>
      <w:r w:rsidRPr="00994AD3">
        <w:rPr>
          <w:rFonts w:eastAsia="Times New Roman" w:cs="Times New Roman"/>
          <w:rtl/>
          <w:lang w:eastAsia="de-DE"/>
        </w:rPr>
        <w:t xml:space="preserve"> </w:t>
      </w:r>
      <w:r w:rsidRPr="00994AD3">
        <w:rPr>
          <w:rFonts w:eastAsia="Times New Roman" w:cs="Times New Roman"/>
          <w:lang w:eastAsia="de-DE"/>
        </w:rPr>
        <w:t xml:space="preserve">(„und ich werde dir mitteilen") – </w:t>
      </w:r>
      <w:r w:rsidRPr="00994AD3">
        <w:rPr>
          <w:rFonts w:eastAsia="Times New Roman" w:cs="Times New Roman"/>
          <w:b/>
          <w:bCs/>
          <w:rtl/>
          <w:lang w:eastAsia="de-DE"/>
        </w:rPr>
        <w:t>וְהִגַּדְתִּי</w:t>
      </w:r>
      <w:r w:rsidRPr="00994AD3">
        <w:rPr>
          <w:rFonts w:eastAsia="Times New Roman" w:cs="Times New Roman"/>
          <w:rtl/>
          <w:lang w:eastAsia="de-DE"/>
        </w:rPr>
        <w:t xml:space="preserve"> </w:t>
      </w:r>
      <w:r w:rsidRPr="00994AD3">
        <w:rPr>
          <w:rFonts w:eastAsia="Times New Roman" w:cs="Times New Roman"/>
          <w:lang w:eastAsia="de-DE"/>
        </w:rPr>
        <w:t xml:space="preserve">(Waw + Hifil Perfekt, 1. c. sg. von </w:t>
      </w:r>
      <w:r w:rsidRPr="00994AD3">
        <w:rPr>
          <w:rFonts w:eastAsia="Times New Roman" w:cs="Times New Roman"/>
          <w:b/>
          <w:bCs/>
          <w:rtl/>
          <w:lang w:eastAsia="de-DE"/>
        </w:rPr>
        <w:t>נגד</w:t>
      </w:r>
      <w:r w:rsidRPr="00994AD3">
        <w:rPr>
          <w:rFonts w:eastAsia="Times New Roman" w:cs="Times New Roman"/>
          <w:rtl/>
          <w:lang w:eastAsia="de-DE"/>
        </w:rPr>
        <w:t xml:space="preserve"> </w:t>
      </w:r>
      <w:r w:rsidRPr="00994AD3">
        <w:rPr>
          <w:rFonts w:eastAsia="Times New Roman" w:cs="Times New Roman"/>
          <w:lang w:eastAsia="de-DE"/>
        </w:rPr>
        <w:t xml:space="preserve">als Weqatal, „und ich werde kundtun"), </w:t>
      </w:r>
      <w:r w:rsidRPr="00994AD3">
        <w:rPr>
          <w:rFonts w:eastAsia="Times New Roman" w:cs="Times New Roman"/>
          <w:b/>
          <w:bCs/>
          <w:rtl/>
          <w:lang w:eastAsia="de-DE"/>
        </w:rPr>
        <w:t>לָךְ</w:t>
      </w:r>
      <w:r w:rsidRPr="00994AD3">
        <w:rPr>
          <w:rFonts w:eastAsia="Times New Roman" w:cs="Times New Roman"/>
          <w:rtl/>
          <w:lang w:eastAsia="de-DE"/>
        </w:rPr>
        <w:t xml:space="preserve"> </w:t>
      </w:r>
      <w:r w:rsidRPr="00994AD3">
        <w:rPr>
          <w:rFonts w:eastAsia="Times New Roman" w:cs="Times New Roman"/>
          <w:lang w:eastAsia="de-DE"/>
        </w:rPr>
        <w:t>Dativ. Bileam verspricht vollständige Transparenz.</w:t>
      </w:r>
    </w:p>
    <w:p w14:paraId="6402DC72"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Ausführung: </w:t>
      </w:r>
      <w:r w:rsidRPr="00994AD3">
        <w:rPr>
          <w:rFonts w:eastAsia="Times New Roman" w:cs="Times New Roman"/>
          <w:b/>
          <w:bCs/>
          <w:rtl/>
          <w:lang w:eastAsia="de-DE"/>
        </w:rPr>
        <w:t>וַיֵּלֶךְ שֶׁפִי</w:t>
      </w:r>
      <w:r w:rsidRPr="00994AD3">
        <w:rPr>
          <w:rFonts w:eastAsia="Times New Roman" w:cs="Times New Roman"/>
          <w:rtl/>
          <w:lang w:eastAsia="de-DE"/>
        </w:rPr>
        <w:t xml:space="preserve"> </w:t>
      </w:r>
      <w:r w:rsidRPr="00994AD3">
        <w:rPr>
          <w:rFonts w:eastAsia="Times New Roman" w:cs="Times New Roman"/>
          <w:lang w:eastAsia="de-DE"/>
        </w:rPr>
        <w:t xml:space="preserve">(„und er ging auf eine kahle Höhe") – </w:t>
      </w:r>
      <w:r w:rsidRPr="00994AD3">
        <w:rPr>
          <w:rFonts w:eastAsia="Times New Roman" w:cs="Times New Roman"/>
          <w:b/>
          <w:bCs/>
          <w:rtl/>
          <w:lang w:eastAsia="de-DE"/>
        </w:rPr>
        <w:t>שֶׁפִי</w:t>
      </w:r>
      <w:r w:rsidRPr="00994AD3">
        <w:rPr>
          <w:rFonts w:eastAsia="Times New Roman" w:cs="Times New Roman"/>
          <w:rtl/>
          <w:lang w:eastAsia="de-DE"/>
        </w:rPr>
        <w:t xml:space="preserve"> </w:t>
      </w:r>
      <w:r w:rsidRPr="00994AD3">
        <w:rPr>
          <w:rFonts w:eastAsia="Times New Roman" w:cs="Times New Roman"/>
          <w:lang w:eastAsia="de-DE"/>
        </w:rPr>
        <w:t xml:space="preserve">ist ein seltenes Wort, vermutlich „kahle Höhe, Felsplateau" von </w:t>
      </w:r>
      <w:r w:rsidRPr="00994AD3">
        <w:rPr>
          <w:rFonts w:eastAsia="Times New Roman" w:cs="Times New Roman"/>
          <w:b/>
          <w:bCs/>
          <w:rtl/>
          <w:lang w:eastAsia="de-DE"/>
        </w:rPr>
        <w:t>שׁפה</w:t>
      </w:r>
      <w:r w:rsidRPr="00994AD3">
        <w:rPr>
          <w:rFonts w:eastAsia="Times New Roman" w:cs="Times New Roman"/>
          <w:rtl/>
          <w:lang w:eastAsia="de-DE"/>
        </w:rPr>
        <w:t xml:space="preserve"> </w:t>
      </w:r>
      <w:r w:rsidRPr="00994AD3">
        <w:rPr>
          <w:rFonts w:eastAsia="Times New Roman" w:cs="Times New Roman"/>
          <w:lang w:eastAsia="de-DE"/>
        </w:rPr>
        <w:t>„kahl sein". Bileam sucht einen isolierten Ort für die Begegnung mit Gott.</w:t>
      </w:r>
    </w:p>
    <w:p w14:paraId="5CCFFC98" w14:textId="7C70D56E"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 xml:space="preserve">Die </w:t>
      </w:r>
      <w:r w:rsidR="00C73FA4">
        <w:t>fügt am Ende hinzu „καὶ παρέστη Βαλὰκ ἐπὶ τῆς θυσίας αὐτοῦ, καὶ Βαλαὰμ ἐπορεύθη ἐπερωτῆσαι τὸν θεὸν καὶ ἐπορεύθη εὐθεῖαν" (und Balak stellte sich bei seinem Opfer auf, und Bileam ging hin, Gott zu befragen, und er ging geradeaus), was im MT nicht erscheint. Das hebräische „</w:t>
      </w:r>
      <w:r w:rsidR="00C73FA4" w:rsidRPr="00C73FA4">
        <w:rPr>
          <w:b/>
          <w:bCs/>
          <w:rtl/>
        </w:rPr>
        <w:t>שֶׁפִי</w:t>
      </w:r>
      <w:r w:rsidR="00C73FA4">
        <w:t>" (kahl/eine kahle Höhe) wird weggelassen.</w:t>
      </w:r>
    </w:p>
    <w:p w14:paraId="321A44BC"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Satzstruktur zeigt zwei Hauptsätze in der Rahmenerzählung, dazwischen direkte Rede: Imperativ mit Präpositionalphrase; Kohortativ; Adverb mit Verb, Subjekt und Präpositionalphrase; Objekt (komplex) mit Relativsatz und koordiniertem Verb (Weqatal) mit Dativ; abschließender Hauptsatz mit Verb, Subjekt und Ortsangabe. Insgesamt gibt es einen Nebensatz (Relativsatz).</w:t>
      </w:r>
    </w:p>
    <w:p w14:paraId="34CBC141"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zeigt Bileams Vorsicht und Demut – er kann Gott nicht zwingen, nur hoffen. Seine Ehrlichkeit gegenüber Balak bleibt bestehen.</w:t>
      </w:r>
    </w:p>
    <w:p w14:paraId="07C1B61B"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23,4</w:t>
      </w:r>
    </w:p>
    <w:p w14:paraId="2D73D4F8"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וַיִּקָּ֥ר אֱלֹהִ֖ים אֶל־בִּלְעָ֑ם וַיֹּ֣אמֶר אֵלָ֗יו אֶת־שִׁבְעַ֤ת הַֽמִּזְבְּחֹת֙ עָרַ֔כְתִּי וָאַ֛עַל פָּ֥ר וָאַ֖יִל בַּמִּזְבֵּֽחַ׃</w:t>
      </w:r>
    </w:p>
    <w:p w14:paraId="4FBDF98C"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Gott kam Bileam entgegen, und dieser sprach zu ihm: Die sieben Altäre habe ich zugerichtet und auf jedem Altar einen Stier und einen Widder geopfert.</w:t>
      </w:r>
    </w:p>
    <w:p w14:paraId="461B4654"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7C74A384">
          <v:rect id="_x0000_i1799" style="width:0;height:1.5pt" o:hralign="center" o:hrstd="t" o:hr="t" fillcolor="#a0a0a0" stroked="f"/>
        </w:pict>
      </w:r>
    </w:p>
    <w:p w14:paraId="1F65CF85"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Die göttliche Begegnung: </w:t>
      </w:r>
      <w:r w:rsidRPr="00994AD3">
        <w:rPr>
          <w:rFonts w:eastAsia="Times New Roman" w:cs="Times New Roman"/>
          <w:b/>
          <w:bCs/>
          <w:rtl/>
          <w:lang w:eastAsia="de-DE"/>
        </w:rPr>
        <w:t>וַיִּקָּר אֱלֹהִים אֶל־בִּלְעָם</w:t>
      </w:r>
      <w:r w:rsidRPr="00994AD3">
        <w:rPr>
          <w:rFonts w:eastAsia="Times New Roman" w:cs="Times New Roman"/>
          <w:rtl/>
          <w:lang w:eastAsia="de-DE"/>
        </w:rPr>
        <w:t xml:space="preserve"> </w:t>
      </w:r>
      <w:r w:rsidRPr="00994AD3">
        <w:rPr>
          <w:rFonts w:eastAsia="Times New Roman" w:cs="Times New Roman"/>
          <w:lang w:eastAsia="de-DE"/>
        </w:rPr>
        <w:t xml:space="preserve">(„und Gott kam Bileam entgegen") – </w:t>
      </w:r>
      <w:r w:rsidRPr="00994AD3">
        <w:rPr>
          <w:rFonts w:eastAsia="Times New Roman" w:cs="Times New Roman"/>
          <w:b/>
          <w:bCs/>
          <w:rtl/>
          <w:lang w:eastAsia="de-DE"/>
        </w:rPr>
        <w:t>וַיִּקָּר</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קרה</w:t>
      </w:r>
      <w:r w:rsidRPr="00994AD3">
        <w:rPr>
          <w:rFonts w:eastAsia="Times New Roman" w:cs="Times New Roman"/>
          <w:rtl/>
          <w:lang w:eastAsia="de-DE"/>
        </w:rPr>
        <w:t xml:space="preserve"> </w:t>
      </w:r>
      <w:r w:rsidRPr="00994AD3">
        <w:rPr>
          <w:rFonts w:eastAsia="Times New Roman" w:cs="Times New Roman"/>
          <w:lang w:eastAsia="de-DE"/>
        </w:rPr>
        <w:t xml:space="preserve">Nifal, „und er begegnete"), </w:t>
      </w:r>
      <w:r w:rsidRPr="00994AD3">
        <w:rPr>
          <w:rFonts w:eastAsia="Times New Roman" w:cs="Times New Roman"/>
          <w:b/>
          <w:bCs/>
          <w:rtl/>
          <w:lang w:eastAsia="de-DE"/>
        </w:rPr>
        <w:t>אֱלֹהִים</w:t>
      </w:r>
      <w:r w:rsidRPr="00994AD3">
        <w:rPr>
          <w:rFonts w:eastAsia="Times New Roman" w:cs="Times New Roman"/>
          <w:rtl/>
          <w:lang w:eastAsia="de-DE"/>
        </w:rPr>
        <w:t xml:space="preserve"> </w:t>
      </w:r>
      <w:r w:rsidRPr="00994AD3">
        <w:rPr>
          <w:rFonts w:eastAsia="Times New Roman" w:cs="Times New Roman"/>
          <w:lang w:eastAsia="de-DE"/>
        </w:rPr>
        <w:t xml:space="preserve">Subjekt (wieder </w:t>
      </w:r>
      <w:r w:rsidRPr="00994AD3">
        <w:rPr>
          <w:rFonts w:eastAsia="Times New Roman" w:cs="Times New Roman"/>
          <w:b/>
          <w:bCs/>
          <w:rtl/>
          <w:lang w:eastAsia="de-DE"/>
        </w:rPr>
        <w:t>אֱלֹהִים</w:t>
      </w:r>
      <w:r w:rsidRPr="00994AD3">
        <w:rPr>
          <w:rFonts w:eastAsia="Times New Roman" w:cs="Times New Roman"/>
          <w:lang w:eastAsia="de-DE"/>
        </w:rPr>
        <w:t xml:space="preserve">, nicht </w:t>
      </w:r>
      <w:r w:rsidRPr="00994AD3">
        <w:rPr>
          <w:rFonts w:eastAsia="Times New Roman" w:cs="Times New Roman"/>
          <w:b/>
          <w:bCs/>
          <w:rtl/>
          <w:lang w:eastAsia="de-DE"/>
        </w:rPr>
        <w:t>יְהוָה</w:t>
      </w:r>
      <w:r w:rsidRPr="00994AD3">
        <w:rPr>
          <w:rFonts w:eastAsia="Times New Roman" w:cs="Times New Roman"/>
          <w:lang w:eastAsia="de-DE"/>
        </w:rPr>
        <w:t xml:space="preserve">), </w:t>
      </w:r>
      <w:r w:rsidRPr="00994AD3">
        <w:rPr>
          <w:rFonts w:eastAsia="Times New Roman" w:cs="Times New Roman"/>
          <w:b/>
          <w:bCs/>
          <w:rtl/>
          <w:lang w:eastAsia="de-DE"/>
        </w:rPr>
        <w:t>אֶל־בִּלְעָם</w:t>
      </w:r>
      <w:r w:rsidRPr="00994AD3">
        <w:rPr>
          <w:rFonts w:eastAsia="Times New Roman" w:cs="Times New Roman"/>
          <w:rtl/>
          <w:lang w:eastAsia="de-DE"/>
        </w:rPr>
        <w:t xml:space="preserve"> </w:t>
      </w:r>
      <w:r w:rsidRPr="00994AD3">
        <w:rPr>
          <w:rFonts w:eastAsia="Times New Roman" w:cs="Times New Roman"/>
          <w:lang w:eastAsia="de-DE"/>
        </w:rPr>
        <w:t>„zu Bileam". Gott antwortet auf Bileams „vielleicht" (V. 3) – die Begegnung findet statt!</w:t>
      </w:r>
    </w:p>
    <w:p w14:paraId="1FD6F457"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Bileams Bericht: </w:t>
      </w:r>
      <w:r w:rsidRPr="00994AD3">
        <w:rPr>
          <w:rFonts w:eastAsia="Times New Roman" w:cs="Times New Roman"/>
          <w:b/>
          <w:bCs/>
          <w:rtl/>
          <w:lang w:eastAsia="de-DE"/>
        </w:rPr>
        <w:t>וַיֹּאמֶר אֵלָיו אֶת־שִׁבְעַת הַמִּזְבְּחֹת עָרַכְתִּי</w:t>
      </w:r>
      <w:r w:rsidRPr="00994AD3">
        <w:rPr>
          <w:rFonts w:eastAsia="Times New Roman" w:cs="Times New Roman"/>
          <w:rtl/>
          <w:lang w:eastAsia="de-DE"/>
        </w:rPr>
        <w:t xml:space="preserve"> </w:t>
      </w:r>
      <w:r w:rsidRPr="00994AD3">
        <w:rPr>
          <w:rFonts w:eastAsia="Times New Roman" w:cs="Times New Roman"/>
          <w:lang w:eastAsia="de-DE"/>
        </w:rPr>
        <w:t xml:space="preserve">(„und er sprach zu ihm: Die sieben Altäre habe ich zugerichtet") – </w:t>
      </w:r>
      <w:r w:rsidRPr="00994AD3">
        <w:rPr>
          <w:rFonts w:eastAsia="Times New Roman" w:cs="Times New Roman"/>
          <w:b/>
          <w:bCs/>
          <w:rtl/>
          <w:lang w:eastAsia="de-DE"/>
        </w:rPr>
        <w:t>אֶת־שִׁבְעַת הַמִּזְבְּחֹת</w:t>
      </w:r>
      <w:r w:rsidRPr="00994AD3">
        <w:rPr>
          <w:rFonts w:eastAsia="Times New Roman" w:cs="Times New Roman"/>
          <w:rtl/>
          <w:lang w:eastAsia="de-DE"/>
        </w:rPr>
        <w:t xml:space="preserve"> </w:t>
      </w:r>
      <w:r w:rsidRPr="00994AD3">
        <w:rPr>
          <w:rFonts w:eastAsia="Times New Roman" w:cs="Times New Roman"/>
          <w:lang w:eastAsia="de-DE"/>
        </w:rPr>
        <w:t xml:space="preserve">(„die sieben Altäre") vorangestellt für Emphase, </w:t>
      </w:r>
      <w:r w:rsidRPr="00994AD3">
        <w:rPr>
          <w:rFonts w:eastAsia="Times New Roman" w:cs="Times New Roman"/>
          <w:b/>
          <w:bCs/>
          <w:rtl/>
          <w:lang w:eastAsia="de-DE"/>
        </w:rPr>
        <w:t>עָרַכְתִּי</w:t>
      </w:r>
      <w:r w:rsidRPr="00994AD3">
        <w:rPr>
          <w:rFonts w:eastAsia="Times New Roman" w:cs="Times New Roman"/>
          <w:rtl/>
          <w:lang w:eastAsia="de-DE"/>
        </w:rPr>
        <w:t xml:space="preserve"> </w:t>
      </w:r>
      <w:r w:rsidRPr="00994AD3">
        <w:rPr>
          <w:rFonts w:eastAsia="Times New Roman" w:cs="Times New Roman"/>
          <w:lang w:eastAsia="de-DE"/>
        </w:rPr>
        <w:t xml:space="preserve">(Qal Perfekt, 1. c. sg. von </w:t>
      </w:r>
      <w:r w:rsidRPr="00994AD3">
        <w:rPr>
          <w:rFonts w:eastAsia="Times New Roman" w:cs="Times New Roman"/>
          <w:b/>
          <w:bCs/>
          <w:rtl/>
          <w:lang w:eastAsia="de-DE"/>
        </w:rPr>
        <w:t>ערך</w:t>
      </w:r>
      <w:r w:rsidRPr="00994AD3">
        <w:rPr>
          <w:rFonts w:eastAsia="Times New Roman" w:cs="Times New Roman"/>
          <w:lang w:eastAsia="de-DE"/>
        </w:rPr>
        <w:t xml:space="preserve">, „ich habe zugerichtet, aufgestellt") – </w:t>
      </w:r>
      <w:r w:rsidRPr="00994AD3">
        <w:rPr>
          <w:rFonts w:eastAsia="Times New Roman" w:cs="Times New Roman"/>
          <w:b/>
          <w:bCs/>
          <w:rtl/>
          <w:lang w:eastAsia="de-DE"/>
        </w:rPr>
        <w:t>ערך</w:t>
      </w:r>
      <w:r w:rsidRPr="00994AD3">
        <w:rPr>
          <w:rFonts w:eastAsia="Times New Roman" w:cs="Times New Roman"/>
          <w:rtl/>
          <w:lang w:eastAsia="de-DE"/>
        </w:rPr>
        <w:t xml:space="preserve"> </w:t>
      </w:r>
      <w:r w:rsidRPr="00994AD3">
        <w:rPr>
          <w:rFonts w:eastAsia="Times New Roman" w:cs="Times New Roman"/>
          <w:lang w:eastAsia="de-DE"/>
        </w:rPr>
        <w:t xml:space="preserve">bedeutet „in Ordnung bringen, aufstellen, zurichten". </w:t>
      </w:r>
      <w:r w:rsidRPr="00994AD3">
        <w:rPr>
          <w:rFonts w:eastAsia="Times New Roman" w:cs="Times New Roman"/>
          <w:b/>
          <w:bCs/>
          <w:rtl/>
          <w:lang w:eastAsia="de-DE"/>
        </w:rPr>
        <w:t>וָאַעַל פָּר וָאַיִל בַּמִּזְבֵּחַ</w:t>
      </w:r>
      <w:r w:rsidRPr="00994AD3">
        <w:rPr>
          <w:rFonts w:eastAsia="Times New Roman" w:cs="Times New Roman"/>
          <w:rtl/>
          <w:lang w:eastAsia="de-DE"/>
        </w:rPr>
        <w:t xml:space="preserve"> </w:t>
      </w:r>
      <w:r w:rsidRPr="00994AD3">
        <w:rPr>
          <w:rFonts w:eastAsia="Times New Roman" w:cs="Times New Roman"/>
          <w:lang w:eastAsia="de-DE"/>
        </w:rPr>
        <w:t xml:space="preserve">(„und ich habe geopfert einen </w:t>
      </w:r>
      <w:r w:rsidRPr="00994AD3">
        <w:rPr>
          <w:rFonts w:eastAsia="Times New Roman" w:cs="Times New Roman"/>
          <w:lang w:eastAsia="de-DE"/>
        </w:rPr>
        <w:lastRenderedPageBreak/>
        <w:t xml:space="preserve">Stier und einen Widder auf dem/jedem Altar") – </w:t>
      </w:r>
      <w:r w:rsidRPr="00994AD3">
        <w:rPr>
          <w:rFonts w:eastAsia="Times New Roman" w:cs="Times New Roman"/>
          <w:b/>
          <w:bCs/>
          <w:rtl/>
          <w:lang w:eastAsia="de-DE"/>
        </w:rPr>
        <w:t>וָאַעַל</w:t>
      </w:r>
      <w:r w:rsidRPr="00994AD3">
        <w:rPr>
          <w:rFonts w:eastAsia="Times New Roman" w:cs="Times New Roman"/>
          <w:rtl/>
          <w:lang w:eastAsia="de-DE"/>
        </w:rPr>
        <w:t xml:space="preserve"> </w:t>
      </w:r>
      <w:r w:rsidRPr="00994AD3">
        <w:rPr>
          <w:rFonts w:eastAsia="Times New Roman" w:cs="Times New Roman"/>
          <w:lang w:eastAsia="de-DE"/>
        </w:rPr>
        <w:t xml:space="preserve">(Waw + Hifil Perfekt, 1. c. sg. von </w:t>
      </w:r>
      <w:r w:rsidRPr="00994AD3">
        <w:rPr>
          <w:rFonts w:eastAsia="Times New Roman" w:cs="Times New Roman"/>
          <w:b/>
          <w:bCs/>
          <w:rtl/>
          <w:lang w:eastAsia="de-DE"/>
        </w:rPr>
        <w:t>עלה</w:t>
      </w:r>
      <w:r w:rsidRPr="00994AD3">
        <w:rPr>
          <w:rFonts w:eastAsia="Times New Roman" w:cs="Times New Roman"/>
          <w:lang w:eastAsia="de-DE"/>
        </w:rPr>
        <w:t>, „und ich habe hinaufgebracht/geopfert"), wieder distributiv: auf jedem der sieben Altäre.</w:t>
      </w:r>
    </w:p>
    <w:p w14:paraId="14686AFA"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Bileam berichtet seine rituellen Vorbereitungen – als ob er Gott Rechenschaft ablegt oder seine Ernsthaftigkeit demonstriert. Dies könnte implizieren: „Ich habe meinen Teil getan – jetzt bist du an der Reihe." Aber es ist keine Manipulation, sondern ehrlicher Bericht.</w:t>
      </w:r>
    </w:p>
    <w:p w14:paraId="04DCA33C" w14:textId="6CB87920"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w:t>
      </w:r>
      <w:r w:rsidR="00C73FA4">
        <w:t>übersetzt „</w:t>
      </w:r>
      <w:r w:rsidR="00C73FA4" w:rsidRPr="00C73FA4">
        <w:rPr>
          <w:b/>
          <w:bCs/>
          <w:rtl/>
        </w:rPr>
        <w:t>וַיִּקָּר אֱלֹהִים</w:t>
      </w:r>
      <w:r w:rsidR="00C73FA4">
        <w:t>" (und Gott begegnete) mit „καὶ ἐφάνη ὁ θεὸς" (und Gott erschien), was eine sichtbare Manifestation statt einer Begegnung impliziert.</w:t>
      </w:r>
    </w:p>
    <w:p w14:paraId="1F6EE0EF"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Satzstruktur zeigt zwei koordinierte Hauptsätze: Der erste mit Verb, Subjekt und Präpositionalphrase; der zweite mit Verb, indirektem Objekt und direkter Rede (Objekt vorangestellt, Verb, koordiniertes Verb mit Objekt und Präpositionalphrase). Es gibt keine Nebensätze.</w:t>
      </w:r>
    </w:p>
    <w:p w14:paraId="7BB7E3C6"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zeigt die göttliche Antwort auf Bileams Suche und Bileams ehrlichen Bericht über seine Vorbereitungen.</w:t>
      </w:r>
    </w:p>
    <w:p w14:paraId="58AA108C" w14:textId="77777777" w:rsidR="00994AD3" w:rsidRPr="00994AD3" w:rsidRDefault="00994AD3" w:rsidP="00994AD3">
      <w:pPr>
        <w:spacing w:before="100" w:beforeAutospacing="1" w:after="100" w:afterAutospacing="1" w:line="240" w:lineRule="auto"/>
        <w:outlineLvl w:val="0"/>
        <w:rPr>
          <w:rFonts w:eastAsia="Times New Roman" w:cs="Times New Roman"/>
          <w:b/>
          <w:bCs/>
          <w:kern w:val="36"/>
          <w:sz w:val="48"/>
          <w:szCs w:val="48"/>
          <w:lang w:eastAsia="de-DE"/>
        </w:rPr>
      </w:pPr>
      <w:r w:rsidRPr="00994AD3">
        <w:rPr>
          <w:rFonts w:eastAsia="Times New Roman" w:cs="Times New Roman"/>
          <w:b/>
          <w:bCs/>
          <w:kern w:val="36"/>
          <w:sz w:val="48"/>
          <w:szCs w:val="48"/>
          <w:lang w:eastAsia="de-DE"/>
        </w:rPr>
        <w:t>Numeri 23,5</w:t>
      </w:r>
    </w:p>
    <w:p w14:paraId="0F49C12D"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Hebräisch:</w:t>
      </w:r>
      <w:r w:rsidRPr="00994AD3">
        <w:rPr>
          <w:rFonts w:eastAsia="Times New Roman" w:cs="Times New Roman"/>
          <w:lang w:eastAsia="de-DE"/>
        </w:rPr>
        <w:t xml:space="preserve"> </w:t>
      </w:r>
      <w:r w:rsidRPr="00994AD3">
        <w:rPr>
          <w:rFonts w:eastAsia="Times New Roman" w:cs="Times New Roman"/>
          <w:rtl/>
          <w:lang w:eastAsia="de-DE"/>
        </w:rPr>
        <w:t>וַיָּ֧שֶׂם יְהוָ֛ה דָּבָ֖ר בְּפִ֣י בִלְעָ֑ם וַיֹּ֛אמֶר שׁ֥וּב אֶל־בָּלָ֖ק וְכֹ֥ה תְדַבֵּֽר׃</w:t>
      </w:r>
    </w:p>
    <w:p w14:paraId="1B84878F"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Deutsch:</w:t>
      </w:r>
      <w:r w:rsidRPr="00994AD3">
        <w:rPr>
          <w:rFonts w:eastAsia="Times New Roman" w:cs="Times New Roman"/>
          <w:lang w:eastAsia="de-DE"/>
        </w:rPr>
        <w:t xml:space="preserve"> Und der Ewige legte ein Wort in Bileams Mund und sprach: Kehre zu Balak zurück und so sollst du reden.</w:t>
      </w:r>
    </w:p>
    <w:p w14:paraId="465132DE" w14:textId="77777777" w:rsidR="00994AD3" w:rsidRPr="00994AD3" w:rsidRDefault="00F329DD" w:rsidP="00994AD3">
      <w:pPr>
        <w:spacing w:after="0" w:line="240" w:lineRule="auto"/>
        <w:rPr>
          <w:rFonts w:eastAsia="Times New Roman" w:cs="Times New Roman"/>
          <w:lang w:eastAsia="de-DE"/>
        </w:rPr>
      </w:pPr>
      <w:r>
        <w:rPr>
          <w:rFonts w:eastAsia="Times New Roman" w:cs="Times New Roman"/>
          <w:noProof/>
          <w:lang w:eastAsia="de-DE"/>
        </w:rPr>
        <w:pict w14:anchorId="21B1FF15">
          <v:rect id="_x0000_i1800" style="width:0;height:1.5pt" o:hralign="center" o:hrstd="t" o:hr="t" fillcolor="#a0a0a0" stroked="f"/>
        </w:pict>
      </w:r>
    </w:p>
    <w:p w14:paraId="34195826"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Kommentar:</w:t>
      </w:r>
      <w:r w:rsidRPr="00994AD3">
        <w:rPr>
          <w:rFonts w:eastAsia="Times New Roman" w:cs="Times New Roman"/>
          <w:lang w:eastAsia="de-DE"/>
        </w:rPr>
        <w:t xml:space="preserve"> Die göttliche Inspiration: </w:t>
      </w:r>
      <w:r w:rsidRPr="00994AD3">
        <w:rPr>
          <w:rFonts w:eastAsia="Times New Roman" w:cs="Times New Roman"/>
          <w:b/>
          <w:bCs/>
          <w:rtl/>
          <w:lang w:eastAsia="de-DE"/>
        </w:rPr>
        <w:t>וַיָּשֶׂם יְהוָה דָּבָר בְּפִי בִלְעָם</w:t>
      </w:r>
      <w:r w:rsidRPr="00994AD3">
        <w:rPr>
          <w:rFonts w:eastAsia="Times New Roman" w:cs="Times New Roman"/>
          <w:rtl/>
          <w:lang w:eastAsia="de-DE"/>
        </w:rPr>
        <w:t xml:space="preserve"> </w:t>
      </w:r>
      <w:r w:rsidRPr="00994AD3">
        <w:rPr>
          <w:rFonts w:eastAsia="Times New Roman" w:cs="Times New Roman"/>
          <w:lang w:eastAsia="de-DE"/>
        </w:rPr>
        <w:t xml:space="preserve">(„und JHWH legte ein Wort in Bileams Mund") – </w:t>
      </w:r>
      <w:r w:rsidRPr="00994AD3">
        <w:rPr>
          <w:rFonts w:eastAsia="Times New Roman" w:cs="Times New Roman"/>
          <w:b/>
          <w:bCs/>
          <w:rtl/>
          <w:lang w:eastAsia="de-DE"/>
        </w:rPr>
        <w:t>וַיָּשֶׂם</w:t>
      </w:r>
      <w:r w:rsidRPr="00994AD3">
        <w:rPr>
          <w:rFonts w:eastAsia="Times New Roman" w:cs="Times New Roman"/>
          <w:rtl/>
          <w:lang w:eastAsia="de-DE"/>
        </w:rPr>
        <w:t xml:space="preserve"> </w:t>
      </w:r>
      <w:r w:rsidRPr="00994AD3">
        <w:rPr>
          <w:rFonts w:eastAsia="Times New Roman" w:cs="Times New Roman"/>
          <w:lang w:eastAsia="de-DE"/>
        </w:rPr>
        <w:t xml:space="preserve">(Wayyiqtol, 3. m. sg. von </w:t>
      </w:r>
      <w:r w:rsidRPr="00994AD3">
        <w:rPr>
          <w:rFonts w:eastAsia="Times New Roman" w:cs="Times New Roman"/>
          <w:b/>
          <w:bCs/>
          <w:rtl/>
          <w:lang w:eastAsia="de-DE"/>
        </w:rPr>
        <w:t>שׂים</w:t>
      </w:r>
      <w:r w:rsidRPr="00994AD3">
        <w:rPr>
          <w:rFonts w:eastAsia="Times New Roman" w:cs="Times New Roman"/>
          <w:lang w:eastAsia="de-DE"/>
        </w:rPr>
        <w:t xml:space="preserve">, „und er legte, setzte"), </w:t>
      </w:r>
      <w:r w:rsidRPr="00994AD3">
        <w:rPr>
          <w:rFonts w:eastAsia="Times New Roman" w:cs="Times New Roman"/>
          <w:b/>
          <w:bCs/>
          <w:rtl/>
          <w:lang w:eastAsia="de-DE"/>
        </w:rPr>
        <w:t>יְהוָה</w:t>
      </w:r>
      <w:r w:rsidRPr="00994AD3">
        <w:rPr>
          <w:rFonts w:eastAsia="Times New Roman" w:cs="Times New Roman"/>
          <w:rtl/>
          <w:lang w:eastAsia="de-DE"/>
        </w:rPr>
        <w:t xml:space="preserve"> </w:t>
      </w:r>
      <w:r w:rsidRPr="00994AD3">
        <w:rPr>
          <w:rFonts w:eastAsia="Times New Roman" w:cs="Times New Roman"/>
          <w:lang w:eastAsia="de-DE"/>
        </w:rPr>
        <w:t xml:space="preserve">Subjekt (nun </w:t>
      </w:r>
      <w:r w:rsidRPr="00994AD3">
        <w:rPr>
          <w:rFonts w:eastAsia="Times New Roman" w:cs="Times New Roman"/>
          <w:b/>
          <w:bCs/>
          <w:rtl/>
          <w:lang w:eastAsia="de-DE"/>
        </w:rPr>
        <w:t>יְהוָה</w:t>
      </w:r>
      <w:r w:rsidRPr="00994AD3">
        <w:rPr>
          <w:rFonts w:eastAsia="Times New Roman" w:cs="Times New Roman"/>
          <w:lang w:eastAsia="de-DE"/>
        </w:rPr>
        <w:t xml:space="preserve">, nicht </w:t>
      </w:r>
      <w:r w:rsidRPr="00994AD3">
        <w:rPr>
          <w:rFonts w:eastAsia="Times New Roman" w:cs="Times New Roman"/>
          <w:b/>
          <w:bCs/>
          <w:rtl/>
          <w:lang w:eastAsia="de-DE"/>
        </w:rPr>
        <w:t>אֱלֹהִים</w:t>
      </w:r>
      <w:r w:rsidRPr="00994AD3">
        <w:rPr>
          <w:rFonts w:eastAsia="Times New Roman" w:cs="Times New Roman"/>
          <w:lang w:eastAsia="de-DE"/>
        </w:rPr>
        <w:t xml:space="preserve">!), </w:t>
      </w:r>
      <w:r w:rsidRPr="00994AD3">
        <w:rPr>
          <w:rFonts w:eastAsia="Times New Roman" w:cs="Times New Roman"/>
          <w:b/>
          <w:bCs/>
          <w:rtl/>
          <w:lang w:eastAsia="de-DE"/>
        </w:rPr>
        <w:t>דָּבָר</w:t>
      </w:r>
      <w:r w:rsidRPr="00994AD3">
        <w:rPr>
          <w:rFonts w:eastAsia="Times New Roman" w:cs="Times New Roman"/>
          <w:rtl/>
          <w:lang w:eastAsia="de-DE"/>
        </w:rPr>
        <w:t xml:space="preserve"> </w:t>
      </w:r>
      <w:r w:rsidRPr="00994AD3">
        <w:rPr>
          <w:rFonts w:eastAsia="Times New Roman" w:cs="Times New Roman"/>
          <w:lang w:eastAsia="de-DE"/>
        </w:rPr>
        <w:t xml:space="preserve">„ein Wort" (Singular – ein spezifisches Wort/eine Botschaft), </w:t>
      </w:r>
      <w:r w:rsidRPr="00994AD3">
        <w:rPr>
          <w:rFonts w:eastAsia="Times New Roman" w:cs="Times New Roman"/>
          <w:b/>
          <w:bCs/>
          <w:rtl/>
          <w:lang w:eastAsia="de-DE"/>
        </w:rPr>
        <w:t>בְּפִי בִלְעָם</w:t>
      </w:r>
      <w:r w:rsidRPr="00994AD3">
        <w:rPr>
          <w:rFonts w:eastAsia="Times New Roman" w:cs="Times New Roman"/>
          <w:rtl/>
          <w:lang w:eastAsia="de-DE"/>
        </w:rPr>
        <w:t xml:space="preserve"> </w:t>
      </w:r>
      <w:r w:rsidRPr="00994AD3">
        <w:rPr>
          <w:rFonts w:eastAsia="Times New Roman" w:cs="Times New Roman"/>
          <w:lang w:eastAsia="de-DE"/>
        </w:rPr>
        <w:t>(„in Bileams Mund", Constructus-Verbindung). Dies ist die dritte Formulierung dieser göttlichen Kontrolle (22,38; 23,5 und später 23,16) – Gott kontrolliert Bileams Rede absolut.</w:t>
      </w:r>
    </w:p>
    <w:p w14:paraId="4B577A0D" w14:textId="3A70DD69"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 xml:space="preserve">Die Anweisung: </w:t>
      </w:r>
      <w:r w:rsidRPr="00994AD3">
        <w:rPr>
          <w:rFonts w:eastAsia="Times New Roman" w:cs="Times New Roman"/>
          <w:b/>
          <w:bCs/>
          <w:rtl/>
          <w:lang w:eastAsia="de-DE"/>
        </w:rPr>
        <w:t>וַיֹּאמֶר שׁוּב אֶל־בָּלָק וְכֹה תְדַבֵּר</w:t>
      </w:r>
      <w:r w:rsidRPr="00994AD3">
        <w:rPr>
          <w:rFonts w:eastAsia="Times New Roman" w:cs="Times New Roman"/>
          <w:rtl/>
          <w:lang w:eastAsia="de-DE"/>
        </w:rPr>
        <w:t xml:space="preserve"> </w:t>
      </w:r>
      <w:r w:rsidRPr="00994AD3">
        <w:rPr>
          <w:rFonts w:eastAsia="Times New Roman" w:cs="Times New Roman"/>
          <w:lang w:eastAsia="de-DE"/>
        </w:rPr>
        <w:t xml:space="preserve">(„und er sprach: Kehre zu Balak zurück und so sollst du reden") – </w:t>
      </w:r>
      <w:r w:rsidRPr="00994AD3">
        <w:rPr>
          <w:rFonts w:eastAsia="Times New Roman" w:cs="Times New Roman"/>
          <w:b/>
          <w:bCs/>
          <w:rtl/>
          <w:lang w:eastAsia="de-DE"/>
        </w:rPr>
        <w:t>שׁוּב</w:t>
      </w:r>
      <w:r w:rsidRPr="00994AD3">
        <w:rPr>
          <w:rFonts w:eastAsia="Times New Roman" w:cs="Times New Roman"/>
          <w:rtl/>
          <w:lang w:eastAsia="de-DE"/>
        </w:rPr>
        <w:t xml:space="preserve"> </w:t>
      </w:r>
      <w:r w:rsidRPr="00994AD3">
        <w:rPr>
          <w:rFonts w:eastAsia="Times New Roman" w:cs="Times New Roman"/>
          <w:lang w:eastAsia="de-DE"/>
        </w:rPr>
        <w:t xml:space="preserve">(Qal Imperativ von </w:t>
      </w:r>
      <w:r w:rsidRPr="00994AD3">
        <w:rPr>
          <w:rFonts w:eastAsia="Times New Roman" w:cs="Times New Roman"/>
          <w:b/>
          <w:bCs/>
          <w:rtl/>
          <w:lang w:eastAsia="de-DE"/>
        </w:rPr>
        <w:t>שׁוב</w:t>
      </w:r>
      <w:r w:rsidRPr="00994AD3">
        <w:rPr>
          <w:rFonts w:eastAsia="Times New Roman" w:cs="Times New Roman"/>
          <w:lang w:eastAsia="de-DE"/>
        </w:rPr>
        <w:t xml:space="preserve">, „kehre zurück"), </w:t>
      </w:r>
      <w:r w:rsidRPr="00994AD3">
        <w:rPr>
          <w:rFonts w:eastAsia="Times New Roman" w:cs="Times New Roman"/>
          <w:b/>
          <w:bCs/>
          <w:rtl/>
          <w:lang w:eastAsia="de-DE"/>
        </w:rPr>
        <w:t>אֶל־בָּלָק</w:t>
      </w:r>
      <w:r w:rsidRPr="00994AD3">
        <w:rPr>
          <w:rFonts w:eastAsia="Times New Roman" w:cs="Times New Roman"/>
          <w:rtl/>
          <w:lang w:eastAsia="de-DE"/>
        </w:rPr>
        <w:t xml:space="preserve"> </w:t>
      </w:r>
      <w:r w:rsidRPr="00994AD3">
        <w:rPr>
          <w:rFonts w:eastAsia="Times New Roman" w:cs="Times New Roman"/>
          <w:lang w:eastAsia="de-DE"/>
        </w:rPr>
        <w:t xml:space="preserve">„zu Balak", </w:t>
      </w:r>
      <w:r w:rsidRPr="00994AD3">
        <w:rPr>
          <w:rFonts w:eastAsia="Times New Roman" w:cs="Times New Roman"/>
          <w:b/>
          <w:bCs/>
          <w:rtl/>
          <w:lang w:eastAsia="de-DE"/>
        </w:rPr>
        <w:t>וְכֹה תְדַבֵּר</w:t>
      </w:r>
      <w:r w:rsidRPr="00994AD3">
        <w:rPr>
          <w:rFonts w:eastAsia="Times New Roman" w:cs="Times New Roman"/>
          <w:rtl/>
          <w:lang w:eastAsia="de-DE"/>
        </w:rPr>
        <w:t xml:space="preserve"> </w:t>
      </w:r>
      <w:r w:rsidRPr="00994AD3">
        <w:rPr>
          <w:rFonts w:eastAsia="Times New Roman" w:cs="Times New Roman"/>
          <w:lang w:eastAsia="de-DE"/>
        </w:rPr>
        <w:t xml:space="preserve">(„und so sollst du reden") – </w:t>
      </w:r>
      <w:r w:rsidRPr="00994AD3">
        <w:rPr>
          <w:rFonts w:eastAsia="Times New Roman" w:cs="Times New Roman"/>
          <w:b/>
          <w:bCs/>
          <w:rtl/>
          <w:lang w:eastAsia="de-DE"/>
        </w:rPr>
        <w:t>כֹּה</w:t>
      </w:r>
      <w:r w:rsidRPr="00994AD3">
        <w:rPr>
          <w:rFonts w:eastAsia="Times New Roman" w:cs="Times New Roman"/>
          <w:rtl/>
          <w:lang w:eastAsia="de-DE"/>
        </w:rPr>
        <w:t xml:space="preserve"> </w:t>
      </w:r>
      <w:r w:rsidRPr="00994AD3">
        <w:rPr>
          <w:rFonts w:eastAsia="Times New Roman" w:cs="Times New Roman"/>
          <w:lang w:eastAsia="de-DE"/>
        </w:rPr>
        <w:t xml:space="preserve">Adverb „so, folgendermaßen", </w:t>
      </w:r>
      <w:r w:rsidRPr="00994AD3">
        <w:rPr>
          <w:rFonts w:eastAsia="Times New Roman" w:cs="Times New Roman"/>
          <w:b/>
          <w:bCs/>
          <w:rtl/>
          <w:lang w:eastAsia="de-DE"/>
        </w:rPr>
        <w:t>תְּדַבֵּר</w:t>
      </w:r>
      <w:r w:rsidRPr="00994AD3">
        <w:rPr>
          <w:rFonts w:eastAsia="Times New Roman" w:cs="Times New Roman"/>
          <w:rtl/>
          <w:lang w:eastAsia="de-DE"/>
        </w:rPr>
        <w:t xml:space="preserve"> </w:t>
      </w:r>
      <w:r w:rsidRPr="00994AD3">
        <w:rPr>
          <w:rFonts w:eastAsia="Times New Roman" w:cs="Times New Roman"/>
          <w:lang w:eastAsia="de-DE"/>
        </w:rPr>
        <w:t xml:space="preserve">(Piel Imperfekt, 2. m. sg. von </w:t>
      </w:r>
      <w:r w:rsidRPr="00994AD3">
        <w:rPr>
          <w:rFonts w:eastAsia="Times New Roman" w:cs="Times New Roman"/>
          <w:b/>
          <w:bCs/>
          <w:rtl/>
          <w:lang w:eastAsia="de-DE"/>
        </w:rPr>
        <w:t>דבר</w:t>
      </w:r>
      <w:r w:rsidRPr="00994AD3">
        <w:rPr>
          <w:rFonts w:eastAsia="Times New Roman" w:cs="Times New Roman"/>
          <w:lang w:eastAsia="de-DE"/>
        </w:rPr>
        <w:t xml:space="preserve">, „du sollst reden"). </w:t>
      </w:r>
      <w:r w:rsidRPr="00994AD3">
        <w:rPr>
          <w:rFonts w:eastAsia="Times New Roman" w:cs="Times New Roman"/>
          <w:b/>
          <w:bCs/>
          <w:rtl/>
          <w:lang w:eastAsia="de-DE"/>
        </w:rPr>
        <w:t>כֹּה</w:t>
      </w:r>
      <w:r w:rsidRPr="00994AD3">
        <w:rPr>
          <w:rFonts w:eastAsia="Times New Roman" w:cs="Times New Roman"/>
          <w:rtl/>
          <w:lang w:eastAsia="de-DE"/>
        </w:rPr>
        <w:t xml:space="preserve"> </w:t>
      </w:r>
      <w:r w:rsidRPr="00994AD3">
        <w:rPr>
          <w:rFonts w:eastAsia="Times New Roman" w:cs="Times New Roman"/>
          <w:lang w:eastAsia="de-DE"/>
        </w:rPr>
        <w:t xml:space="preserve">verweist voraus auf </w:t>
      </w:r>
      <w:r w:rsidR="00682D5F">
        <w:rPr>
          <w:rFonts w:eastAsia="Times New Roman" w:cs="Times New Roman"/>
          <w:lang w:eastAsia="de-DE"/>
        </w:rPr>
        <w:t>die</w:t>
      </w:r>
      <w:r w:rsidRPr="00994AD3">
        <w:rPr>
          <w:rFonts w:eastAsia="Times New Roman" w:cs="Times New Roman"/>
          <w:lang w:eastAsia="de-DE"/>
        </w:rPr>
        <w:t xml:space="preserve"> folgende </w:t>
      </w:r>
      <w:r w:rsidR="00682D5F">
        <w:rPr>
          <w:rFonts w:eastAsia="Times New Roman" w:cs="Times New Roman"/>
          <w:lang w:eastAsia="de-DE"/>
        </w:rPr>
        <w:t xml:space="preserve">Weissagung </w:t>
      </w:r>
      <w:r w:rsidRPr="00994AD3">
        <w:rPr>
          <w:rFonts w:eastAsia="Times New Roman" w:cs="Times New Roman"/>
          <w:lang w:eastAsia="de-DE"/>
        </w:rPr>
        <w:t>.</w:t>
      </w:r>
    </w:p>
    <w:p w14:paraId="75F2332A" w14:textId="17133FE3"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b/>
          <w:bCs/>
          <w:lang w:eastAsia="de-DE"/>
        </w:rPr>
        <w:t>Die LXX</w:t>
      </w:r>
      <w:r w:rsidRPr="00994AD3">
        <w:rPr>
          <w:rFonts w:eastAsia="Times New Roman" w:cs="Times New Roman"/>
          <w:lang w:eastAsia="de-DE"/>
        </w:rPr>
        <w:t xml:space="preserve"> </w:t>
      </w:r>
      <w:r w:rsidR="00C73FA4">
        <w:t>übersetzt „</w:t>
      </w:r>
      <w:r w:rsidR="00C73FA4" w:rsidRPr="00C73FA4">
        <w:rPr>
          <w:b/>
          <w:bCs/>
          <w:rtl/>
        </w:rPr>
        <w:t>וַיָּשֶׂם יְהוָה דָּבָר בְּפִי בִלְעָם</w:t>
      </w:r>
      <w:r w:rsidR="00C73FA4">
        <w:t>" (und der HERR legte ein Wort in den Mund Bileams) mit „καὶ ἐνέβαλεν ὁ θεὸς ῥῆμα εἰς τὸ στόμα Βαλαάμ" (und Gott warf ein Wort in den Mund Bileams), wobei „werfen" statt „legen" verwendet wird.</w:t>
      </w:r>
    </w:p>
    <w:p w14:paraId="67A1C86B" w14:textId="77777777"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Die Satzstruktur zeigt zwei koordinierte Hauptsätze: Der erste mit Verb, Subjekt, Objekt und Präpositionalphrase; der zweite mit Verb und direkter Rede (Imperativ mit Präpositionalphrase und koordiniertes Verb mit Adverb). Es gibt keine Nebensätze.</w:t>
      </w:r>
    </w:p>
    <w:p w14:paraId="44929BF2" w14:textId="44514BEC" w:rsidR="00994AD3" w:rsidRPr="00994AD3" w:rsidRDefault="00994AD3" w:rsidP="00994AD3">
      <w:pPr>
        <w:spacing w:before="100" w:beforeAutospacing="1" w:after="100" w:afterAutospacing="1" w:line="240" w:lineRule="auto"/>
        <w:rPr>
          <w:rFonts w:eastAsia="Times New Roman" w:cs="Times New Roman"/>
          <w:lang w:eastAsia="de-DE"/>
        </w:rPr>
      </w:pPr>
      <w:r w:rsidRPr="00994AD3">
        <w:rPr>
          <w:rFonts w:eastAsia="Times New Roman" w:cs="Times New Roman"/>
          <w:lang w:eastAsia="de-DE"/>
        </w:rPr>
        <w:t>Der Vers bereitet d</w:t>
      </w:r>
      <w:r w:rsidR="00682D5F">
        <w:rPr>
          <w:rFonts w:eastAsia="Times New Roman" w:cs="Times New Roman"/>
          <w:lang w:eastAsia="de-DE"/>
        </w:rPr>
        <w:t xml:space="preserve">ie </w:t>
      </w:r>
      <w:r w:rsidRPr="00994AD3">
        <w:rPr>
          <w:rFonts w:eastAsia="Times New Roman" w:cs="Times New Roman"/>
          <w:lang w:eastAsia="de-DE"/>
        </w:rPr>
        <w:t xml:space="preserve">erste große </w:t>
      </w:r>
      <w:r w:rsidR="00682D5F">
        <w:rPr>
          <w:rFonts w:eastAsia="Times New Roman" w:cs="Times New Roman"/>
          <w:lang w:eastAsia="de-DE"/>
        </w:rPr>
        <w:t>Weissagung</w:t>
      </w:r>
      <w:r w:rsidRPr="00994AD3">
        <w:rPr>
          <w:rFonts w:eastAsia="Times New Roman" w:cs="Times New Roman"/>
          <w:lang w:eastAsia="de-DE"/>
        </w:rPr>
        <w:t xml:space="preserve"> vor – Bileam wird nun sprechen, aber es sind Gottes Worte, nicht seine eigenen.</w:t>
      </w:r>
    </w:p>
    <w:p w14:paraId="67646811"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lastRenderedPageBreak/>
        <w:t>Numeri 23,6</w:t>
      </w:r>
    </w:p>
    <w:p w14:paraId="11F943B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וַיָּ֣שָׁב אֵלָ֔יו וְהִנֵּ֥ה נִצָּ֖ב עַל־עֹלָתוֹ֑ ה֖וּא וְכָל־שָׂרֵ֥י מוֹאָֽב׃</w:t>
      </w:r>
    </w:p>
    <w:p w14:paraId="22A8BB9F" w14:textId="2312C496"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Und er kehrte zu ihm zurück, und siehe, er stand bei seinem </w:t>
      </w:r>
      <w:r>
        <w:rPr>
          <w:rFonts w:eastAsia="Times New Roman" w:cs="Times New Roman"/>
          <w:lang w:eastAsia="de-DE"/>
        </w:rPr>
        <w:t>Aufsteigeopfer</w:t>
      </w:r>
      <w:r w:rsidRPr="007031B9">
        <w:rPr>
          <w:rFonts w:eastAsia="Times New Roman" w:cs="Times New Roman"/>
          <w:lang w:eastAsia="de-DE"/>
        </w:rPr>
        <w:t>, er und alle Fürsten Moabs.</w:t>
      </w:r>
    </w:p>
    <w:p w14:paraId="3E32964F"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37A777A8">
          <v:rect id="_x0000_i1801" style="width:0;height:1.5pt" o:hralign="center" o:hrstd="t" o:hr="t" fillcolor="#a0a0a0" stroked="f"/>
        </w:pict>
      </w:r>
    </w:p>
    <w:p w14:paraId="35BD1C7B"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Die Rückkehr: </w:t>
      </w:r>
      <w:r w:rsidRPr="007031B9">
        <w:rPr>
          <w:rFonts w:eastAsia="Times New Roman" w:cs="Times New Roman"/>
          <w:b/>
          <w:bCs/>
          <w:rtl/>
          <w:lang w:eastAsia="de-DE"/>
        </w:rPr>
        <w:t>וַיָּשָׁב אֵלָיו</w:t>
      </w:r>
      <w:r w:rsidRPr="007031B9">
        <w:rPr>
          <w:rFonts w:eastAsia="Times New Roman" w:cs="Times New Roman"/>
          <w:rtl/>
          <w:lang w:eastAsia="de-DE"/>
        </w:rPr>
        <w:t xml:space="preserve"> </w:t>
      </w:r>
      <w:r w:rsidRPr="007031B9">
        <w:rPr>
          <w:rFonts w:eastAsia="Times New Roman" w:cs="Times New Roman"/>
          <w:lang w:eastAsia="de-DE"/>
        </w:rPr>
        <w:t xml:space="preserve">(„und er kehrte zu ihm zurück") – </w:t>
      </w:r>
      <w:r w:rsidRPr="007031B9">
        <w:rPr>
          <w:rFonts w:eastAsia="Times New Roman" w:cs="Times New Roman"/>
          <w:b/>
          <w:bCs/>
          <w:rtl/>
          <w:lang w:eastAsia="de-DE"/>
        </w:rPr>
        <w:t>וַיָּשָׁב</w:t>
      </w:r>
      <w:r w:rsidRPr="007031B9">
        <w:rPr>
          <w:rFonts w:eastAsia="Times New Roman" w:cs="Times New Roman"/>
          <w:rtl/>
          <w:lang w:eastAsia="de-DE"/>
        </w:rPr>
        <w:t xml:space="preserve"> </w:t>
      </w:r>
      <w:r w:rsidRPr="007031B9">
        <w:rPr>
          <w:rFonts w:eastAsia="Times New Roman" w:cs="Times New Roman"/>
          <w:lang w:eastAsia="de-DE"/>
        </w:rPr>
        <w:t xml:space="preserve">(Wayyiqtol, 3. m. sg. von </w:t>
      </w:r>
      <w:r w:rsidRPr="007031B9">
        <w:rPr>
          <w:rFonts w:eastAsia="Times New Roman" w:cs="Times New Roman"/>
          <w:b/>
          <w:bCs/>
          <w:rtl/>
          <w:lang w:eastAsia="de-DE"/>
        </w:rPr>
        <w:t>שׁוב</w:t>
      </w:r>
      <w:r w:rsidRPr="007031B9">
        <w:rPr>
          <w:rFonts w:eastAsia="Times New Roman" w:cs="Times New Roman"/>
          <w:lang w:eastAsia="de-DE"/>
        </w:rPr>
        <w:t xml:space="preserve">, „und er kehrte zurück"), </w:t>
      </w:r>
      <w:r w:rsidRPr="007031B9">
        <w:rPr>
          <w:rFonts w:eastAsia="Times New Roman" w:cs="Times New Roman"/>
          <w:b/>
          <w:bCs/>
          <w:rtl/>
          <w:lang w:eastAsia="de-DE"/>
        </w:rPr>
        <w:t>אֵלָיו</w:t>
      </w:r>
      <w:r w:rsidRPr="007031B9">
        <w:rPr>
          <w:rFonts w:eastAsia="Times New Roman" w:cs="Times New Roman"/>
          <w:rtl/>
          <w:lang w:eastAsia="de-DE"/>
        </w:rPr>
        <w:t xml:space="preserve"> </w:t>
      </w:r>
      <w:r w:rsidRPr="007031B9">
        <w:rPr>
          <w:rFonts w:eastAsia="Times New Roman" w:cs="Times New Roman"/>
          <w:lang w:eastAsia="de-DE"/>
        </w:rPr>
        <w:t>„zu ihm". Bileam befolgt Gottes Befehl sofort.</w:t>
      </w:r>
    </w:p>
    <w:p w14:paraId="32FA74F9" w14:textId="351DC11E"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Szene: </w:t>
      </w:r>
      <w:r w:rsidRPr="007031B9">
        <w:rPr>
          <w:rFonts w:eastAsia="Times New Roman" w:cs="Times New Roman"/>
          <w:b/>
          <w:bCs/>
          <w:rtl/>
          <w:lang w:eastAsia="de-DE"/>
        </w:rPr>
        <w:t>וְהִנֵּה נִצָּב עַל־עֹלָתוֹ הוּא וְכָל־שָׂרֵי מוֹאָב</w:t>
      </w:r>
      <w:r w:rsidRPr="007031B9">
        <w:rPr>
          <w:rFonts w:eastAsia="Times New Roman" w:cs="Times New Roman"/>
          <w:rtl/>
          <w:lang w:eastAsia="de-DE"/>
        </w:rPr>
        <w:t xml:space="preserve"> </w:t>
      </w:r>
      <w:r w:rsidRPr="007031B9">
        <w:rPr>
          <w:rFonts w:eastAsia="Times New Roman" w:cs="Times New Roman"/>
          <w:lang w:eastAsia="de-DE"/>
        </w:rPr>
        <w:t xml:space="preserve">(„und siehe, er stand bei seinem </w:t>
      </w:r>
      <w:r>
        <w:rPr>
          <w:rFonts w:eastAsia="Times New Roman" w:cs="Times New Roman"/>
          <w:lang w:eastAsia="de-DE"/>
        </w:rPr>
        <w:t>Aufsteigeopfer</w:t>
      </w:r>
      <w:r w:rsidRPr="007031B9">
        <w:rPr>
          <w:rFonts w:eastAsia="Times New Roman" w:cs="Times New Roman"/>
          <w:lang w:eastAsia="de-DE"/>
        </w:rPr>
        <w:t xml:space="preserve">, er und alle Fürsten Moabs") – </w:t>
      </w:r>
      <w:r w:rsidRPr="007031B9">
        <w:rPr>
          <w:rFonts w:eastAsia="Times New Roman" w:cs="Times New Roman"/>
          <w:b/>
          <w:bCs/>
          <w:rtl/>
          <w:lang w:eastAsia="de-DE"/>
        </w:rPr>
        <w:t>וְהִנֵּה</w:t>
      </w:r>
      <w:r w:rsidRPr="007031B9">
        <w:rPr>
          <w:rFonts w:eastAsia="Times New Roman" w:cs="Times New Roman"/>
          <w:rtl/>
          <w:lang w:eastAsia="de-DE"/>
        </w:rPr>
        <w:t xml:space="preserve"> </w:t>
      </w:r>
      <w:r w:rsidRPr="007031B9">
        <w:rPr>
          <w:rFonts w:eastAsia="Times New Roman" w:cs="Times New Roman"/>
          <w:lang w:eastAsia="de-DE"/>
        </w:rPr>
        <w:t xml:space="preserve">Interjektion „und siehe", </w:t>
      </w:r>
      <w:r w:rsidRPr="007031B9">
        <w:rPr>
          <w:rFonts w:eastAsia="Times New Roman" w:cs="Times New Roman"/>
          <w:b/>
          <w:bCs/>
          <w:rtl/>
          <w:lang w:eastAsia="de-DE"/>
        </w:rPr>
        <w:t>נִצָּב</w:t>
      </w:r>
      <w:r w:rsidRPr="007031B9">
        <w:rPr>
          <w:rFonts w:eastAsia="Times New Roman" w:cs="Times New Roman"/>
          <w:rtl/>
          <w:lang w:eastAsia="de-DE"/>
        </w:rPr>
        <w:t xml:space="preserve"> </w:t>
      </w:r>
      <w:r w:rsidRPr="007031B9">
        <w:rPr>
          <w:rFonts w:eastAsia="Times New Roman" w:cs="Times New Roman"/>
          <w:lang w:eastAsia="de-DE"/>
        </w:rPr>
        <w:t xml:space="preserve">(Nifal Partizip von </w:t>
      </w:r>
      <w:r w:rsidRPr="007031B9">
        <w:rPr>
          <w:rFonts w:eastAsia="Times New Roman" w:cs="Times New Roman"/>
          <w:b/>
          <w:bCs/>
          <w:rtl/>
          <w:lang w:eastAsia="de-DE"/>
        </w:rPr>
        <w:t>נצב</w:t>
      </w:r>
      <w:r w:rsidRPr="007031B9">
        <w:rPr>
          <w:rFonts w:eastAsia="Times New Roman" w:cs="Times New Roman"/>
          <w:lang w:eastAsia="de-DE"/>
        </w:rPr>
        <w:t xml:space="preserve">, „stehend"), </w:t>
      </w:r>
      <w:r w:rsidRPr="007031B9">
        <w:rPr>
          <w:rFonts w:eastAsia="Times New Roman" w:cs="Times New Roman"/>
          <w:b/>
          <w:bCs/>
          <w:rtl/>
          <w:lang w:eastAsia="de-DE"/>
        </w:rPr>
        <w:t>עַל־עֹלָתוֹ</w:t>
      </w:r>
      <w:r w:rsidRPr="007031B9">
        <w:rPr>
          <w:rFonts w:eastAsia="Times New Roman" w:cs="Times New Roman"/>
          <w:rtl/>
          <w:lang w:eastAsia="de-DE"/>
        </w:rPr>
        <w:t xml:space="preserve"> </w:t>
      </w:r>
      <w:r w:rsidRPr="007031B9">
        <w:rPr>
          <w:rFonts w:eastAsia="Times New Roman" w:cs="Times New Roman"/>
          <w:lang w:eastAsia="de-DE"/>
        </w:rPr>
        <w:t xml:space="preserve">(„bei seinem </w:t>
      </w:r>
      <w:r>
        <w:rPr>
          <w:rFonts w:eastAsia="Times New Roman" w:cs="Times New Roman"/>
          <w:lang w:eastAsia="de-DE"/>
        </w:rPr>
        <w:t>Aufsteigeopfer</w:t>
      </w:r>
      <w:r w:rsidRPr="007031B9">
        <w:rPr>
          <w:rFonts w:eastAsia="Times New Roman" w:cs="Times New Roman"/>
          <w:lang w:eastAsia="de-DE"/>
        </w:rPr>
        <w:t xml:space="preserve">") mit Possessivsuffix 3. m. sg., </w:t>
      </w:r>
      <w:r w:rsidRPr="007031B9">
        <w:rPr>
          <w:rFonts w:eastAsia="Times New Roman" w:cs="Times New Roman"/>
          <w:b/>
          <w:bCs/>
          <w:rtl/>
          <w:lang w:eastAsia="de-DE"/>
        </w:rPr>
        <w:t>הוּא</w:t>
      </w:r>
      <w:r w:rsidRPr="007031B9">
        <w:rPr>
          <w:rFonts w:eastAsia="Times New Roman" w:cs="Times New Roman"/>
          <w:rtl/>
          <w:lang w:eastAsia="de-DE"/>
        </w:rPr>
        <w:t xml:space="preserve"> </w:t>
      </w:r>
      <w:r w:rsidRPr="007031B9">
        <w:rPr>
          <w:rFonts w:eastAsia="Times New Roman" w:cs="Times New Roman"/>
          <w:lang w:eastAsia="de-DE"/>
        </w:rPr>
        <w:t xml:space="preserve">emphatisches Pronomen, </w:t>
      </w:r>
      <w:r w:rsidRPr="007031B9">
        <w:rPr>
          <w:rFonts w:eastAsia="Times New Roman" w:cs="Times New Roman"/>
          <w:b/>
          <w:bCs/>
          <w:rtl/>
          <w:lang w:eastAsia="de-DE"/>
        </w:rPr>
        <w:t>וְכָל־שָׂרֵי מוֹאָב</w:t>
      </w:r>
      <w:r w:rsidRPr="007031B9">
        <w:rPr>
          <w:rFonts w:eastAsia="Times New Roman" w:cs="Times New Roman"/>
          <w:rtl/>
          <w:lang w:eastAsia="de-DE"/>
        </w:rPr>
        <w:t xml:space="preserve"> </w:t>
      </w:r>
      <w:r w:rsidRPr="007031B9">
        <w:rPr>
          <w:rFonts w:eastAsia="Times New Roman" w:cs="Times New Roman"/>
          <w:lang w:eastAsia="de-DE"/>
        </w:rPr>
        <w:t>(„und alle Fürsten Moabs", Constructus-Verbindung) – die gesamte moabitische Führung ist anwesend. Balak hat Bileams Anweisung aus V. 3 befolgt – er steht wartend beim Opfer. Die Bühne ist bereitet für d</w:t>
      </w:r>
      <w:r w:rsidR="00682D5F">
        <w:rPr>
          <w:rFonts w:eastAsia="Times New Roman" w:cs="Times New Roman"/>
          <w:lang w:eastAsia="de-DE"/>
        </w:rPr>
        <w:t>ie</w:t>
      </w:r>
      <w:r w:rsidRPr="007031B9">
        <w:rPr>
          <w:rFonts w:eastAsia="Times New Roman" w:cs="Times New Roman"/>
          <w:lang w:eastAsia="de-DE"/>
        </w:rPr>
        <w:t xml:space="preserve"> feierliche </w:t>
      </w:r>
      <w:r w:rsidR="00682D5F">
        <w:rPr>
          <w:rFonts w:eastAsia="Times New Roman" w:cs="Times New Roman"/>
          <w:lang w:eastAsia="de-DE"/>
        </w:rPr>
        <w:t xml:space="preserve">Weissagung </w:t>
      </w:r>
      <w:r w:rsidRPr="007031B9">
        <w:rPr>
          <w:rFonts w:eastAsia="Times New Roman" w:cs="Times New Roman"/>
          <w:lang w:eastAsia="de-DE"/>
        </w:rPr>
        <w:t xml:space="preserve"> vor großem Publikum.</w:t>
      </w:r>
    </w:p>
    <w:p w14:paraId="13CD3552" w14:textId="77777777" w:rsidR="00C73FA4" w:rsidRDefault="007031B9" w:rsidP="00C73FA4">
      <w:pPr>
        <w:spacing w:before="100" w:beforeAutospacing="1" w:after="100" w:afterAutospacing="1" w:line="240" w:lineRule="auto"/>
      </w:pPr>
      <w:r w:rsidRPr="007031B9">
        <w:rPr>
          <w:rFonts w:eastAsia="Times New Roman" w:cs="Times New Roman"/>
          <w:b/>
          <w:bCs/>
          <w:lang w:eastAsia="de-DE"/>
        </w:rPr>
        <w:t>Die LXX</w:t>
      </w:r>
      <w:r w:rsidRPr="007031B9">
        <w:rPr>
          <w:rFonts w:eastAsia="Times New Roman" w:cs="Times New Roman"/>
          <w:lang w:eastAsia="de-DE"/>
        </w:rPr>
        <w:t xml:space="preserve"> </w:t>
      </w:r>
      <w:r w:rsidR="00C73FA4">
        <w:t>fügt hinzu „καὶ ἐγενήθη πνεῦμα θεοῦ ἐπʼ αὐτῷ" (und der Geist Gottes kam über ihn), was im hebräischen Text nicht erscheint.</w:t>
      </w:r>
    </w:p>
    <w:p w14:paraId="6821736D" w14:textId="6EAD922A" w:rsidR="007031B9" w:rsidRPr="007031B9" w:rsidRDefault="007031B9" w:rsidP="00C73FA4">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Satzstruktur zeigt zwei koordinierte Hauptsätze: Der erste mit Verb und Präpositionalphrase; der zweite mit Interjektion, Partizip, Präpositionalphrase, emphatischem Pronomen und koordinierter Phrase. Es gibt keine Nebensätze.</w:t>
      </w:r>
    </w:p>
    <w:p w14:paraId="6656136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schafft dramatische Spannung: Balak und die gesamte moabitische Elite warten gespannt – was wird Bileam sagen? Werden ihre Hoffnungen erfüllt?</w:t>
      </w:r>
    </w:p>
    <w:p w14:paraId="0F346650"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t>Numeri 23,7</w:t>
      </w:r>
    </w:p>
    <w:p w14:paraId="6845CE7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וַיִּשָּׂ֥א מְשָׁלֹ֖ו וַיֹּאמַ֑ר מִן־אֲ֠רָם יַנְחֵ֨נִי בָלָ֤ק מֶֽלֶךְ־מוֹאָב֙ מֵֽהַרְרֵי־קֶ֔דֶם לְכָה֙ אָֽרָה־לִּ֣י יַעֲקֹ֔ב וּלְכָ֖ה זֹעֲמָ֥ה יִשְׂרָאֵֽל׃</w:t>
      </w:r>
    </w:p>
    <w:p w14:paraId="590FCA42"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Und er hob seinen Spruch an und sprach: Aus Aram hat mich Balak geführt, Moabs König von den Bergen des Ostens: Komm, verfluche mir Jakob, und komm, verwünsche Israel!</w:t>
      </w:r>
    </w:p>
    <w:p w14:paraId="4DCF23F0"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2EA62CD1">
          <v:rect id="_x0000_i1802" style="width:0;height:1.5pt" o:hralign="center" o:hrstd="t" o:hr="t" fillcolor="#a0a0a0" stroked="f"/>
        </w:pict>
      </w:r>
    </w:p>
    <w:p w14:paraId="1EA27F7D" w14:textId="30FFDB85"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Die Einleitungsformel: </w:t>
      </w:r>
      <w:r w:rsidRPr="007031B9">
        <w:rPr>
          <w:rFonts w:eastAsia="Times New Roman" w:cs="Times New Roman"/>
          <w:b/>
          <w:bCs/>
          <w:rtl/>
          <w:lang w:eastAsia="de-DE"/>
        </w:rPr>
        <w:t>וַיִּשָּׂא מְשָׁלוֹ וַיֹּאמַר</w:t>
      </w:r>
      <w:r w:rsidRPr="007031B9">
        <w:rPr>
          <w:rFonts w:eastAsia="Times New Roman" w:cs="Times New Roman"/>
          <w:rtl/>
          <w:lang w:eastAsia="de-DE"/>
        </w:rPr>
        <w:t xml:space="preserve"> </w:t>
      </w:r>
      <w:r w:rsidRPr="007031B9">
        <w:rPr>
          <w:rFonts w:eastAsia="Times New Roman" w:cs="Times New Roman"/>
          <w:lang w:eastAsia="de-DE"/>
        </w:rPr>
        <w:t xml:space="preserve">(„und er hob seinen Spruch an und sprach") – </w:t>
      </w:r>
      <w:r w:rsidRPr="007031B9">
        <w:rPr>
          <w:rFonts w:eastAsia="Times New Roman" w:cs="Times New Roman"/>
          <w:b/>
          <w:bCs/>
          <w:rtl/>
          <w:lang w:eastAsia="de-DE"/>
        </w:rPr>
        <w:t>וַיִּשָּׂא</w:t>
      </w:r>
      <w:r w:rsidRPr="007031B9">
        <w:rPr>
          <w:rFonts w:eastAsia="Times New Roman" w:cs="Times New Roman"/>
          <w:rtl/>
          <w:lang w:eastAsia="de-DE"/>
        </w:rPr>
        <w:t xml:space="preserve"> </w:t>
      </w:r>
      <w:r w:rsidRPr="007031B9">
        <w:rPr>
          <w:rFonts w:eastAsia="Times New Roman" w:cs="Times New Roman"/>
          <w:lang w:eastAsia="de-DE"/>
        </w:rPr>
        <w:t xml:space="preserve">(Wayyiqtol, 3. m. sg. von </w:t>
      </w:r>
      <w:r w:rsidRPr="007031B9">
        <w:rPr>
          <w:rFonts w:eastAsia="Times New Roman" w:cs="Times New Roman"/>
          <w:b/>
          <w:bCs/>
          <w:rtl/>
          <w:lang w:eastAsia="de-DE"/>
        </w:rPr>
        <w:t>נשׂא</w:t>
      </w:r>
      <w:r w:rsidRPr="007031B9">
        <w:rPr>
          <w:rFonts w:eastAsia="Times New Roman" w:cs="Times New Roman"/>
          <w:lang w:eastAsia="de-DE"/>
        </w:rPr>
        <w:t xml:space="preserve">, „und er hob auf"), </w:t>
      </w:r>
      <w:r w:rsidRPr="007031B9">
        <w:rPr>
          <w:rFonts w:eastAsia="Times New Roman" w:cs="Times New Roman"/>
          <w:b/>
          <w:bCs/>
          <w:rtl/>
          <w:lang w:eastAsia="de-DE"/>
        </w:rPr>
        <w:t>מְשָׁלוֹ</w:t>
      </w:r>
      <w:r w:rsidRPr="007031B9">
        <w:rPr>
          <w:rFonts w:eastAsia="Times New Roman" w:cs="Times New Roman"/>
          <w:rtl/>
          <w:lang w:eastAsia="de-DE"/>
        </w:rPr>
        <w:t xml:space="preserve"> </w:t>
      </w:r>
      <w:r w:rsidRPr="007031B9">
        <w:rPr>
          <w:rFonts w:eastAsia="Times New Roman" w:cs="Times New Roman"/>
          <w:lang w:eastAsia="de-DE"/>
        </w:rPr>
        <w:t xml:space="preserve">(„seinen Spruch") – </w:t>
      </w:r>
      <w:r w:rsidRPr="007031B9">
        <w:rPr>
          <w:rFonts w:eastAsia="Times New Roman" w:cs="Times New Roman"/>
          <w:b/>
          <w:bCs/>
          <w:rtl/>
          <w:lang w:eastAsia="de-DE"/>
        </w:rPr>
        <w:t>מָשָׁל</w:t>
      </w:r>
      <w:r w:rsidRPr="007031B9">
        <w:rPr>
          <w:rFonts w:eastAsia="Times New Roman" w:cs="Times New Roman"/>
          <w:rtl/>
          <w:lang w:eastAsia="de-DE"/>
        </w:rPr>
        <w:t xml:space="preserve"> </w:t>
      </w:r>
      <w:r w:rsidRPr="007031B9">
        <w:rPr>
          <w:rFonts w:eastAsia="Times New Roman" w:cs="Times New Roman"/>
          <w:lang w:eastAsia="de-DE"/>
        </w:rPr>
        <w:t xml:space="preserve">ist ein wichtiges Wort: „Spruch, Gleichnis, </w:t>
      </w:r>
      <w:r w:rsidR="00682D5F">
        <w:rPr>
          <w:rFonts w:eastAsia="Times New Roman" w:cs="Times New Roman"/>
          <w:lang w:eastAsia="de-DE"/>
        </w:rPr>
        <w:t>Weissagung</w:t>
      </w:r>
      <w:r w:rsidRPr="007031B9">
        <w:rPr>
          <w:rFonts w:eastAsia="Times New Roman" w:cs="Times New Roman"/>
          <w:lang w:eastAsia="de-DE"/>
        </w:rPr>
        <w:t xml:space="preserve">, poetische Rede". Es bezeichnet hier eine feierliche, poetische Prophetie. Die Formel </w:t>
      </w:r>
      <w:r w:rsidRPr="007031B9">
        <w:rPr>
          <w:rFonts w:eastAsia="Times New Roman" w:cs="Times New Roman"/>
          <w:b/>
          <w:bCs/>
          <w:rtl/>
          <w:lang w:eastAsia="de-DE"/>
        </w:rPr>
        <w:t>נשׂא משׁל</w:t>
      </w:r>
      <w:r w:rsidRPr="007031B9">
        <w:rPr>
          <w:rFonts w:eastAsia="Times New Roman" w:cs="Times New Roman"/>
          <w:rtl/>
          <w:lang w:eastAsia="de-DE"/>
        </w:rPr>
        <w:t xml:space="preserve"> </w:t>
      </w:r>
      <w:r w:rsidRPr="007031B9">
        <w:rPr>
          <w:rFonts w:eastAsia="Times New Roman" w:cs="Times New Roman"/>
          <w:lang w:eastAsia="de-DE"/>
        </w:rPr>
        <w:t>„einen Spruch/</w:t>
      </w:r>
      <w:r w:rsidR="00682D5F">
        <w:rPr>
          <w:rFonts w:eastAsia="Times New Roman" w:cs="Times New Roman"/>
          <w:lang w:eastAsia="de-DE"/>
        </w:rPr>
        <w:t xml:space="preserve">Weissagung </w:t>
      </w:r>
      <w:r w:rsidRPr="007031B9">
        <w:rPr>
          <w:rFonts w:eastAsia="Times New Roman" w:cs="Times New Roman"/>
          <w:lang w:eastAsia="de-DE"/>
        </w:rPr>
        <w:t>anheben" markiert den Beginn prophetischer Poesie.</w:t>
      </w:r>
    </w:p>
    <w:p w14:paraId="5B0194F5" w14:textId="632B38D6"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lastRenderedPageBreak/>
        <w:t>Das erste Bileam-</w:t>
      </w:r>
      <w:r w:rsidR="00682D5F">
        <w:rPr>
          <w:rFonts w:eastAsia="Times New Roman" w:cs="Times New Roman"/>
          <w:lang w:eastAsia="de-DE"/>
        </w:rPr>
        <w:t xml:space="preserve">Weissagung </w:t>
      </w:r>
      <w:r w:rsidRPr="007031B9">
        <w:rPr>
          <w:rFonts w:eastAsia="Times New Roman" w:cs="Times New Roman"/>
          <w:lang w:eastAsia="de-DE"/>
        </w:rPr>
        <w:t>beginnt! Die Verse 7-10 sind in gehobener, poetischer Sprache – mit Parallelismus, rhythmischen Strukturen und bildreicher Sprache.</w:t>
      </w:r>
    </w:p>
    <w:p w14:paraId="66BC5DD5"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Einleitung beschreibt die Situation: </w:t>
      </w:r>
      <w:r w:rsidRPr="007031B9">
        <w:rPr>
          <w:rFonts w:eastAsia="Times New Roman" w:cs="Times New Roman"/>
          <w:b/>
          <w:bCs/>
          <w:rtl/>
          <w:lang w:eastAsia="de-DE"/>
        </w:rPr>
        <w:t>מִן־אֲרָם יַנְחֵנִי בָלָק מֶלֶךְ־מוֹאָב מֵהַרְרֵי־קֶדֶם</w:t>
      </w:r>
      <w:r w:rsidRPr="007031B9">
        <w:rPr>
          <w:rFonts w:eastAsia="Times New Roman" w:cs="Times New Roman"/>
          <w:rtl/>
          <w:lang w:eastAsia="de-DE"/>
        </w:rPr>
        <w:t xml:space="preserve"> </w:t>
      </w:r>
      <w:r w:rsidRPr="007031B9">
        <w:rPr>
          <w:rFonts w:eastAsia="Times New Roman" w:cs="Times New Roman"/>
          <w:lang w:eastAsia="de-DE"/>
        </w:rPr>
        <w:t xml:space="preserve">(„Aus Aram hat mich Balak geführt, Moabs König, von den Bergen des Ostens") – </w:t>
      </w:r>
      <w:r w:rsidRPr="007031B9">
        <w:rPr>
          <w:rFonts w:eastAsia="Times New Roman" w:cs="Times New Roman"/>
          <w:b/>
          <w:bCs/>
          <w:rtl/>
          <w:lang w:eastAsia="de-DE"/>
        </w:rPr>
        <w:t>מִן־אֲרָם</w:t>
      </w:r>
      <w:r w:rsidRPr="007031B9">
        <w:rPr>
          <w:rFonts w:eastAsia="Times New Roman" w:cs="Times New Roman"/>
          <w:rtl/>
          <w:lang w:eastAsia="de-DE"/>
        </w:rPr>
        <w:t xml:space="preserve"> </w:t>
      </w:r>
      <w:r w:rsidRPr="007031B9">
        <w:rPr>
          <w:rFonts w:eastAsia="Times New Roman" w:cs="Times New Roman"/>
          <w:lang w:eastAsia="de-DE"/>
        </w:rPr>
        <w:t xml:space="preserve">(„aus Aram") – </w:t>
      </w:r>
      <w:r w:rsidRPr="007031B9">
        <w:rPr>
          <w:rFonts w:eastAsia="Times New Roman" w:cs="Times New Roman"/>
          <w:b/>
          <w:bCs/>
          <w:rtl/>
          <w:lang w:eastAsia="de-DE"/>
        </w:rPr>
        <w:t>אֲרָם</w:t>
      </w:r>
      <w:r w:rsidRPr="007031B9">
        <w:rPr>
          <w:rFonts w:eastAsia="Times New Roman" w:cs="Times New Roman"/>
          <w:rtl/>
          <w:lang w:eastAsia="de-DE"/>
        </w:rPr>
        <w:t xml:space="preserve"> </w:t>
      </w:r>
      <w:r w:rsidRPr="007031B9">
        <w:rPr>
          <w:rFonts w:eastAsia="Times New Roman" w:cs="Times New Roman"/>
          <w:lang w:eastAsia="de-DE"/>
        </w:rPr>
        <w:t xml:space="preserve">ist Syrien/Mesopotamien, Bileams Heimat (vgl. 22,5 Pethor am Euphrat). </w:t>
      </w:r>
      <w:r w:rsidRPr="007031B9">
        <w:rPr>
          <w:rFonts w:eastAsia="Times New Roman" w:cs="Times New Roman"/>
          <w:b/>
          <w:bCs/>
          <w:rtl/>
          <w:lang w:eastAsia="de-DE"/>
        </w:rPr>
        <w:t>יַנְחֵנִי</w:t>
      </w:r>
      <w:r w:rsidRPr="007031B9">
        <w:rPr>
          <w:rFonts w:eastAsia="Times New Roman" w:cs="Times New Roman"/>
          <w:rtl/>
          <w:lang w:eastAsia="de-DE"/>
        </w:rPr>
        <w:t xml:space="preserve"> </w:t>
      </w:r>
      <w:r w:rsidRPr="007031B9">
        <w:rPr>
          <w:rFonts w:eastAsia="Times New Roman" w:cs="Times New Roman"/>
          <w:lang w:eastAsia="de-DE"/>
        </w:rPr>
        <w:t xml:space="preserve">(Hifil Imperfekt, 3. m. sg. von </w:t>
      </w:r>
      <w:r w:rsidRPr="007031B9">
        <w:rPr>
          <w:rFonts w:eastAsia="Times New Roman" w:cs="Times New Roman"/>
          <w:b/>
          <w:bCs/>
          <w:rtl/>
          <w:lang w:eastAsia="de-DE"/>
        </w:rPr>
        <w:t>נחה</w:t>
      </w:r>
      <w:r w:rsidRPr="007031B9">
        <w:rPr>
          <w:rFonts w:eastAsia="Times New Roman" w:cs="Times New Roman"/>
          <w:rtl/>
          <w:lang w:eastAsia="de-DE"/>
        </w:rPr>
        <w:t xml:space="preserve"> </w:t>
      </w:r>
      <w:r w:rsidRPr="007031B9">
        <w:rPr>
          <w:rFonts w:eastAsia="Times New Roman" w:cs="Times New Roman"/>
          <w:lang w:eastAsia="de-DE"/>
        </w:rPr>
        <w:t xml:space="preserve">mit Objektsuffix 1. c. sg., „er hat mich geführt") – das Hifil ist kausativ „führen lassen, geleiten". </w:t>
      </w:r>
      <w:r w:rsidRPr="007031B9">
        <w:rPr>
          <w:rFonts w:eastAsia="Times New Roman" w:cs="Times New Roman"/>
          <w:b/>
          <w:bCs/>
          <w:rtl/>
          <w:lang w:eastAsia="de-DE"/>
        </w:rPr>
        <w:t>בָּלָק מֶלֶךְ־מוֹאָב</w:t>
      </w:r>
      <w:r w:rsidRPr="007031B9">
        <w:rPr>
          <w:rFonts w:eastAsia="Times New Roman" w:cs="Times New Roman"/>
          <w:rtl/>
          <w:lang w:eastAsia="de-DE"/>
        </w:rPr>
        <w:t xml:space="preserve"> </w:t>
      </w:r>
      <w:r w:rsidRPr="007031B9">
        <w:rPr>
          <w:rFonts w:eastAsia="Times New Roman" w:cs="Times New Roman"/>
          <w:lang w:eastAsia="de-DE"/>
        </w:rPr>
        <w:t xml:space="preserve">Apposition, </w:t>
      </w:r>
      <w:r w:rsidRPr="007031B9">
        <w:rPr>
          <w:rFonts w:eastAsia="Times New Roman" w:cs="Times New Roman"/>
          <w:b/>
          <w:bCs/>
          <w:rtl/>
          <w:lang w:eastAsia="de-DE"/>
        </w:rPr>
        <w:t>מֵהַרְרֵי־קֶדֶם</w:t>
      </w:r>
      <w:r w:rsidRPr="007031B9">
        <w:rPr>
          <w:rFonts w:eastAsia="Times New Roman" w:cs="Times New Roman"/>
          <w:rtl/>
          <w:lang w:eastAsia="de-DE"/>
        </w:rPr>
        <w:t xml:space="preserve"> </w:t>
      </w:r>
      <w:r w:rsidRPr="007031B9">
        <w:rPr>
          <w:rFonts w:eastAsia="Times New Roman" w:cs="Times New Roman"/>
          <w:lang w:eastAsia="de-DE"/>
        </w:rPr>
        <w:t xml:space="preserve">(„von den Bergen des Ostens", Constructus-Verbindung) – </w:t>
      </w:r>
      <w:r w:rsidRPr="007031B9">
        <w:rPr>
          <w:rFonts w:eastAsia="Times New Roman" w:cs="Times New Roman"/>
          <w:b/>
          <w:bCs/>
          <w:rtl/>
          <w:lang w:eastAsia="de-DE"/>
        </w:rPr>
        <w:t>הַר</w:t>
      </w:r>
      <w:r w:rsidRPr="007031B9">
        <w:rPr>
          <w:rFonts w:eastAsia="Times New Roman" w:cs="Times New Roman"/>
          <w:rtl/>
          <w:lang w:eastAsia="de-DE"/>
        </w:rPr>
        <w:t xml:space="preserve"> </w:t>
      </w:r>
      <w:r w:rsidRPr="007031B9">
        <w:rPr>
          <w:rFonts w:eastAsia="Times New Roman" w:cs="Times New Roman"/>
          <w:lang w:eastAsia="de-DE"/>
        </w:rPr>
        <w:t xml:space="preserve">„Berg" im Plural Constructus, </w:t>
      </w:r>
      <w:r w:rsidRPr="007031B9">
        <w:rPr>
          <w:rFonts w:eastAsia="Times New Roman" w:cs="Times New Roman"/>
          <w:b/>
          <w:bCs/>
          <w:rtl/>
          <w:lang w:eastAsia="de-DE"/>
        </w:rPr>
        <w:t>קֶדֶם</w:t>
      </w:r>
      <w:r w:rsidRPr="007031B9">
        <w:rPr>
          <w:rFonts w:eastAsia="Times New Roman" w:cs="Times New Roman"/>
          <w:rtl/>
          <w:lang w:eastAsia="de-DE"/>
        </w:rPr>
        <w:t xml:space="preserve"> </w:t>
      </w:r>
      <w:r w:rsidRPr="007031B9">
        <w:rPr>
          <w:rFonts w:eastAsia="Times New Roman" w:cs="Times New Roman"/>
          <w:lang w:eastAsia="de-DE"/>
        </w:rPr>
        <w:t>„Osten, Vorzeit" – die „Berge des Ostens" sind die mesopotamischen Gebirge, aus Moabs Perspektive im Osten.</w:t>
      </w:r>
    </w:p>
    <w:p w14:paraId="6368A49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Der Auftrag (zitiert): </w:t>
      </w:r>
      <w:r w:rsidRPr="007031B9">
        <w:rPr>
          <w:rFonts w:eastAsia="Times New Roman" w:cs="Times New Roman"/>
          <w:b/>
          <w:bCs/>
          <w:rtl/>
          <w:lang w:eastAsia="de-DE"/>
        </w:rPr>
        <w:t>לְכָה אָרָה־לִּי יַעֲקֹב וּלְכָה זֹעֲמָה יִשְׂרָאֵל</w:t>
      </w:r>
      <w:r w:rsidRPr="007031B9">
        <w:rPr>
          <w:rFonts w:eastAsia="Times New Roman" w:cs="Times New Roman"/>
          <w:rtl/>
          <w:lang w:eastAsia="de-DE"/>
        </w:rPr>
        <w:t xml:space="preserve"> </w:t>
      </w:r>
      <w:r w:rsidRPr="007031B9">
        <w:rPr>
          <w:rFonts w:eastAsia="Times New Roman" w:cs="Times New Roman"/>
          <w:lang w:eastAsia="de-DE"/>
        </w:rPr>
        <w:t xml:space="preserve">(„Komm, verfluche mir Jakob, und komm, verwünsche Israel!") – </w:t>
      </w:r>
      <w:r w:rsidRPr="007031B9">
        <w:rPr>
          <w:rFonts w:eastAsia="Times New Roman" w:cs="Times New Roman"/>
          <w:b/>
          <w:bCs/>
          <w:rtl/>
          <w:lang w:eastAsia="de-DE"/>
        </w:rPr>
        <w:t>לְכָה</w:t>
      </w:r>
      <w:r w:rsidRPr="007031B9">
        <w:rPr>
          <w:rFonts w:eastAsia="Times New Roman" w:cs="Times New Roman"/>
          <w:rtl/>
          <w:lang w:eastAsia="de-DE"/>
        </w:rPr>
        <w:t xml:space="preserve"> </w:t>
      </w:r>
      <w:r w:rsidRPr="007031B9">
        <w:rPr>
          <w:rFonts w:eastAsia="Times New Roman" w:cs="Times New Roman"/>
          <w:lang w:eastAsia="de-DE"/>
        </w:rPr>
        <w:t xml:space="preserve">(Qal Imperativ von </w:t>
      </w:r>
      <w:r w:rsidRPr="007031B9">
        <w:rPr>
          <w:rFonts w:eastAsia="Times New Roman" w:cs="Times New Roman"/>
          <w:b/>
          <w:bCs/>
          <w:rtl/>
          <w:lang w:eastAsia="de-DE"/>
        </w:rPr>
        <w:t>הלך</w:t>
      </w:r>
      <w:r w:rsidRPr="007031B9">
        <w:rPr>
          <w:rFonts w:eastAsia="Times New Roman" w:cs="Times New Roman"/>
          <w:lang w:eastAsia="de-DE"/>
        </w:rPr>
        <w:t xml:space="preserve">, „komm"), </w:t>
      </w:r>
      <w:r w:rsidRPr="007031B9">
        <w:rPr>
          <w:rFonts w:eastAsia="Times New Roman" w:cs="Times New Roman"/>
          <w:b/>
          <w:bCs/>
          <w:rtl/>
          <w:lang w:eastAsia="de-DE"/>
        </w:rPr>
        <w:t>אָרָה־לִּי</w:t>
      </w:r>
      <w:r w:rsidRPr="007031B9">
        <w:rPr>
          <w:rFonts w:eastAsia="Times New Roman" w:cs="Times New Roman"/>
          <w:rtl/>
          <w:lang w:eastAsia="de-DE"/>
        </w:rPr>
        <w:t xml:space="preserve"> </w:t>
      </w:r>
      <w:r w:rsidRPr="007031B9">
        <w:rPr>
          <w:rFonts w:eastAsia="Times New Roman" w:cs="Times New Roman"/>
          <w:lang w:eastAsia="de-DE"/>
        </w:rPr>
        <w:t xml:space="preserve">(Qal Imperativ von </w:t>
      </w:r>
      <w:r w:rsidRPr="007031B9">
        <w:rPr>
          <w:rFonts w:eastAsia="Times New Roman" w:cs="Times New Roman"/>
          <w:b/>
          <w:bCs/>
          <w:rtl/>
          <w:lang w:eastAsia="de-DE"/>
        </w:rPr>
        <w:t>ארר</w:t>
      </w:r>
      <w:r w:rsidRPr="007031B9">
        <w:rPr>
          <w:rFonts w:eastAsia="Times New Roman" w:cs="Times New Roman"/>
          <w:rtl/>
          <w:lang w:eastAsia="de-DE"/>
        </w:rPr>
        <w:t xml:space="preserve"> </w:t>
      </w:r>
      <w:r w:rsidRPr="007031B9">
        <w:rPr>
          <w:rFonts w:eastAsia="Times New Roman" w:cs="Times New Roman"/>
          <w:lang w:eastAsia="de-DE"/>
        </w:rPr>
        <w:t xml:space="preserve">mit Dativ-Suffix, „verfluche mir"), </w:t>
      </w:r>
      <w:r w:rsidRPr="007031B9">
        <w:rPr>
          <w:rFonts w:eastAsia="Times New Roman" w:cs="Times New Roman"/>
          <w:b/>
          <w:bCs/>
          <w:rtl/>
          <w:lang w:eastAsia="de-DE"/>
        </w:rPr>
        <w:t>יַעֲקֹב</w:t>
      </w:r>
      <w:r w:rsidRPr="007031B9">
        <w:rPr>
          <w:rFonts w:eastAsia="Times New Roman" w:cs="Times New Roman"/>
          <w:rtl/>
          <w:lang w:eastAsia="de-DE"/>
        </w:rPr>
        <w:t xml:space="preserve"> </w:t>
      </w:r>
      <w:r w:rsidRPr="007031B9">
        <w:rPr>
          <w:rFonts w:eastAsia="Times New Roman" w:cs="Times New Roman"/>
          <w:lang w:eastAsia="de-DE"/>
        </w:rPr>
        <w:t xml:space="preserve">Objekt – hier synonym für Israel als Volk. Der parallele Ausdruck </w:t>
      </w:r>
      <w:r w:rsidRPr="007031B9">
        <w:rPr>
          <w:rFonts w:eastAsia="Times New Roman" w:cs="Times New Roman"/>
          <w:b/>
          <w:bCs/>
          <w:rtl/>
          <w:lang w:eastAsia="de-DE"/>
        </w:rPr>
        <w:t>וּלְכָה זֹעֲמָה יִשְׂרָאֵל</w:t>
      </w:r>
      <w:r w:rsidRPr="007031B9">
        <w:rPr>
          <w:rFonts w:eastAsia="Times New Roman" w:cs="Times New Roman"/>
          <w:rtl/>
          <w:lang w:eastAsia="de-DE"/>
        </w:rPr>
        <w:t xml:space="preserve"> </w:t>
      </w:r>
      <w:r w:rsidRPr="007031B9">
        <w:rPr>
          <w:rFonts w:eastAsia="Times New Roman" w:cs="Times New Roman"/>
          <w:lang w:eastAsia="de-DE"/>
        </w:rPr>
        <w:t xml:space="preserve">– </w:t>
      </w:r>
      <w:r w:rsidRPr="007031B9">
        <w:rPr>
          <w:rFonts w:eastAsia="Times New Roman" w:cs="Times New Roman"/>
          <w:b/>
          <w:bCs/>
          <w:rtl/>
          <w:lang w:eastAsia="de-DE"/>
        </w:rPr>
        <w:t>זֹעֲמָה</w:t>
      </w:r>
      <w:r w:rsidRPr="007031B9">
        <w:rPr>
          <w:rFonts w:eastAsia="Times New Roman" w:cs="Times New Roman"/>
          <w:rtl/>
          <w:lang w:eastAsia="de-DE"/>
        </w:rPr>
        <w:t xml:space="preserve"> </w:t>
      </w:r>
      <w:r w:rsidRPr="007031B9">
        <w:rPr>
          <w:rFonts w:eastAsia="Times New Roman" w:cs="Times New Roman"/>
          <w:lang w:eastAsia="de-DE"/>
        </w:rPr>
        <w:t xml:space="preserve">(Qal Imperativ von </w:t>
      </w:r>
      <w:r w:rsidRPr="007031B9">
        <w:rPr>
          <w:rFonts w:eastAsia="Times New Roman" w:cs="Times New Roman"/>
          <w:b/>
          <w:bCs/>
          <w:rtl/>
          <w:lang w:eastAsia="de-DE"/>
        </w:rPr>
        <w:t>זעם</w:t>
      </w:r>
      <w:r w:rsidRPr="007031B9">
        <w:rPr>
          <w:rFonts w:eastAsia="Times New Roman" w:cs="Times New Roman"/>
          <w:lang w:eastAsia="de-DE"/>
        </w:rPr>
        <w:t xml:space="preserve">, „verwünsche, zürne") ist ein Synonym zu </w:t>
      </w:r>
      <w:r w:rsidRPr="007031B9">
        <w:rPr>
          <w:rFonts w:eastAsia="Times New Roman" w:cs="Times New Roman"/>
          <w:b/>
          <w:bCs/>
          <w:rtl/>
          <w:lang w:eastAsia="de-DE"/>
        </w:rPr>
        <w:t>ארר</w:t>
      </w:r>
      <w:r w:rsidRPr="007031B9">
        <w:rPr>
          <w:rFonts w:eastAsia="Times New Roman" w:cs="Times New Roman"/>
          <w:lang w:eastAsia="de-DE"/>
        </w:rPr>
        <w:t xml:space="preserve">, aber stärker: „verfluchen mit Zorn". </w:t>
      </w:r>
      <w:r w:rsidRPr="007031B9">
        <w:rPr>
          <w:rFonts w:eastAsia="Times New Roman" w:cs="Times New Roman"/>
          <w:b/>
          <w:bCs/>
          <w:rtl/>
          <w:lang w:eastAsia="de-DE"/>
        </w:rPr>
        <w:t>יִשְׂרָאֵל</w:t>
      </w:r>
      <w:r w:rsidRPr="007031B9">
        <w:rPr>
          <w:rFonts w:eastAsia="Times New Roman" w:cs="Times New Roman"/>
          <w:rtl/>
          <w:lang w:eastAsia="de-DE"/>
        </w:rPr>
        <w:t xml:space="preserve"> </w:t>
      </w:r>
      <w:r w:rsidRPr="007031B9">
        <w:rPr>
          <w:rFonts w:eastAsia="Times New Roman" w:cs="Times New Roman"/>
          <w:lang w:eastAsia="de-DE"/>
        </w:rPr>
        <w:t xml:space="preserve">parallel zu </w:t>
      </w:r>
      <w:r w:rsidRPr="007031B9">
        <w:rPr>
          <w:rFonts w:eastAsia="Times New Roman" w:cs="Times New Roman"/>
          <w:b/>
          <w:bCs/>
          <w:rtl/>
          <w:lang w:eastAsia="de-DE"/>
        </w:rPr>
        <w:t>יַעֲקֹב</w:t>
      </w:r>
      <w:r w:rsidRPr="007031B9">
        <w:rPr>
          <w:rFonts w:eastAsia="Times New Roman" w:cs="Times New Roman"/>
          <w:rtl/>
          <w:lang w:eastAsia="de-DE"/>
        </w:rPr>
        <w:t xml:space="preserve"> </w:t>
      </w:r>
      <w:r w:rsidRPr="007031B9">
        <w:rPr>
          <w:rFonts w:eastAsia="Times New Roman" w:cs="Times New Roman"/>
          <w:lang w:eastAsia="de-DE"/>
        </w:rPr>
        <w:t>– poetischer Parallelismus membrorum.</w:t>
      </w:r>
    </w:p>
    <w:p w14:paraId="40804559"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Struktur zeigt klassischen hebräischen Parallelismus:</w:t>
      </w:r>
    </w:p>
    <w:p w14:paraId="13F13C27" w14:textId="77777777" w:rsidR="007031B9" w:rsidRPr="007031B9" w:rsidRDefault="007031B9" w:rsidP="00C15C06">
      <w:pPr>
        <w:numPr>
          <w:ilvl w:val="0"/>
          <w:numId w:val="13"/>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A: „Komm, verfluche Jakob"</w:t>
      </w:r>
    </w:p>
    <w:p w14:paraId="289D6F53" w14:textId="77777777" w:rsidR="007031B9" w:rsidRPr="007031B9" w:rsidRDefault="007031B9" w:rsidP="00C15C06">
      <w:pPr>
        <w:numPr>
          <w:ilvl w:val="0"/>
          <w:numId w:val="13"/>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B: „Komm, verwünsche Israel"</w:t>
      </w:r>
    </w:p>
    <w:p w14:paraId="3AC47DB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Bileam beginnt mit der Situation: Er beschreibt objektiv, was Balak von ihm will. Aber die Frage ist: Wird er es tun?</w:t>
      </w:r>
    </w:p>
    <w:p w14:paraId="1F18E3E0" w14:textId="64C15636"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w:t>
      </w:r>
      <w:r w:rsidR="00C73FA4">
        <w:t>übersetzt „</w:t>
      </w:r>
      <w:r w:rsidR="00C73FA4">
        <w:rPr>
          <w:rtl/>
        </w:rPr>
        <w:t>מ</w:t>
      </w:r>
      <w:r w:rsidR="00C73FA4" w:rsidRPr="00C73FA4">
        <w:rPr>
          <w:b/>
          <w:bCs/>
          <w:rtl/>
        </w:rPr>
        <w:t>ִן־אֲרָם</w:t>
      </w:r>
      <w:r w:rsidR="00C73FA4">
        <w:t>" (aus Aram) mit „Ἐκ Μεσοποταμίας" (aus Mesopotamien), was eine geographische Präzisierung darstellt, und „</w:t>
      </w:r>
      <w:r w:rsidR="00C73FA4" w:rsidRPr="00C73FA4">
        <w:rPr>
          <w:b/>
          <w:bCs/>
          <w:rtl/>
        </w:rPr>
        <w:t>מֵהַרְרֵי־קֶדֶם</w:t>
      </w:r>
      <w:r w:rsidR="00C73FA4">
        <w:t>" (von den Bergen des Ostens) wird zu „ἐξ ὀρέων ἀπʼ ἀνατολῶν" (von Bergen vom Osten).</w:t>
      </w:r>
    </w:p>
    <w:p w14:paraId="18EAD9E6"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Satzstruktur zeigt die Einleitungsformel (zwei koordinierte Verben), dann poetische direkte Rede: Präpositionalphrase, Verb mit Objektsuffix, Subjekt (mit Apposition), weitere Präpositionalphrase; finaler Imperativ (doppelt) mit Dativ-Suffix und Objekt, parallel konstruiert. Es gibt keine subordinierten Nebensätze.</w:t>
      </w:r>
    </w:p>
    <w:p w14:paraId="04B61803" w14:textId="476905A6"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eröffnet feierlich d</w:t>
      </w:r>
      <w:r w:rsidR="00682D5F">
        <w:rPr>
          <w:rFonts w:eastAsia="Times New Roman" w:cs="Times New Roman"/>
          <w:lang w:eastAsia="de-DE"/>
        </w:rPr>
        <w:t>ie</w:t>
      </w:r>
      <w:r w:rsidRPr="007031B9">
        <w:rPr>
          <w:rFonts w:eastAsia="Times New Roman" w:cs="Times New Roman"/>
          <w:lang w:eastAsia="de-DE"/>
        </w:rPr>
        <w:t xml:space="preserve"> erste </w:t>
      </w:r>
      <w:r w:rsidR="00682D5F">
        <w:rPr>
          <w:rFonts w:eastAsia="Times New Roman" w:cs="Times New Roman"/>
          <w:lang w:eastAsia="de-DE"/>
        </w:rPr>
        <w:t xml:space="preserve">Weissagung </w:t>
      </w:r>
      <w:r w:rsidRPr="007031B9">
        <w:rPr>
          <w:rFonts w:eastAsia="Times New Roman" w:cs="Times New Roman"/>
          <w:lang w:eastAsia="de-DE"/>
        </w:rPr>
        <w:t xml:space="preserve"> – Bileam beschreibt seinen Auftrag. Die Spannung steigt: Was wird er als Nächstes sagen?</w:t>
      </w:r>
    </w:p>
    <w:p w14:paraId="58C3DB31"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t>Numeri 23,8</w:t>
      </w:r>
    </w:p>
    <w:p w14:paraId="6CBCD82A"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מָ֣ה אֶקֹּ֔ב לֹ֥א קַבֹּ֖ה אֵ֑ל וּמָ֣ה אֶזְעֹ֔ם לֹ֥א זָעַ֖ם יְהוָֽה׃</w:t>
      </w:r>
    </w:p>
    <w:p w14:paraId="23BDBCA5"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Wie soll ich verfluchen, den Gott nicht verflucht? Und wie soll ich verwünschen, den der Ewige nicht verwünscht?</w:t>
      </w:r>
    </w:p>
    <w:p w14:paraId="40FAC34F"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38121E06">
          <v:rect id="_x0000_i1803" style="width:0;height:1.5pt" o:hralign="center" o:hrstd="t" o:hr="t" fillcolor="#a0a0a0" stroked="f"/>
        </w:pict>
      </w:r>
    </w:p>
    <w:p w14:paraId="6F237E78" w14:textId="6EC0AECE"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Die zentrale Frage – der Höhepunkt de</w:t>
      </w:r>
      <w:r w:rsidR="00682D5F">
        <w:rPr>
          <w:rFonts w:eastAsia="Times New Roman" w:cs="Times New Roman"/>
          <w:lang w:eastAsia="de-DE"/>
        </w:rPr>
        <w:t>r</w:t>
      </w:r>
      <w:r w:rsidRPr="007031B9">
        <w:rPr>
          <w:rFonts w:eastAsia="Times New Roman" w:cs="Times New Roman"/>
          <w:lang w:eastAsia="de-DE"/>
        </w:rPr>
        <w:t xml:space="preserve"> ersten </w:t>
      </w:r>
      <w:r w:rsidR="00682D5F">
        <w:rPr>
          <w:rFonts w:eastAsia="Times New Roman" w:cs="Times New Roman"/>
          <w:lang w:eastAsia="de-DE"/>
        </w:rPr>
        <w:t xml:space="preserve">Weissagung </w:t>
      </w:r>
      <w:r w:rsidRPr="007031B9">
        <w:rPr>
          <w:rFonts w:eastAsia="Times New Roman" w:cs="Times New Roman"/>
          <w:lang w:eastAsia="de-DE"/>
        </w:rPr>
        <w:t>s! Zwei parallele rhetorische Fragen:</w:t>
      </w:r>
    </w:p>
    <w:p w14:paraId="3FB7BA74" w14:textId="18B26B83"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rtl/>
          <w:lang w:eastAsia="de-DE"/>
        </w:rPr>
        <w:lastRenderedPageBreak/>
        <w:t>מָה אֶקֹּב לֹא קַבֹּה אֵל</w:t>
      </w:r>
      <w:r w:rsidRPr="007031B9">
        <w:rPr>
          <w:rFonts w:eastAsia="Times New Roman" w:cs="Times New Roman"/>
          <w:rtl/>
          <w:lang w:eastAsia="de-DE"/>
        </w:rPr>
        <w:t xml:space="preserve"> </w:t>
      </w:r>
      <w:r w:rsidRPr="007031B9">
        <w:rPr>
          <w:rFonts w:eastAsia="Times New Roman" w:cs="Times New Roman"/>
          <w:lang w:eastAsia="de-DE"/>
        </w:rPr>
        <w:t xml:space="preserve">(„Wie soll ich verfluchen, den Gott nicht verflucht?") – </w:t>
      </w:r>
      <w:r w:rsidRPr="007031B9">
        <w:rPr>
          <w:rFonts w:eastAsia="Times New Roman" w:cs="Times New Roman"/>
          <w:b/>
          <w:bCs/>
          <w:rtl/>
          <w:lang w:eastAsia="de-DE"/>
        </w:rPr>
        <w:t>מָה</w:t>
      </w:r>
      <w:r w:rsidRPr="007031B9">
        <w:rPr>
          <w:rFonts w:eastAsia="Times New Roman" w:cs="Times New Roman"/>
          <w:rtl/>
          <w:lang w:eastAsia="de-DE"/>
        </w:rPr>
        <w:t xml:space="preserve"> </w:t>
      </w:r>
      <w:r w:rsidRPr="007031B9">
        <w:rPr>
          <w:rFonts w:eastAsia="Times New Roman" w:cs="Times New Roman"/>
          <w:lang w:eastAsia="de-DE"/>
        </w:rPr>
        <w:t xml:space="preserve">Interrogativ „wie? was?", </w:t>
      </w:r>
      <w:r w:rsidRPr="007031B9">
        <w:rPr>
          <w:rFonts w:eastAsia="Times New Roman" w:cs="Times New Roman"/>
          <w:b/>
          <w:bCs/>
          <w:rtl/>
          <w:lang w:eastAsia="de-DE"/>
        </w:rPr>
        <w:t>אֶקֹּב</w:t>
      </w:r>
      <w:r w:rsidRPr="007031B9">
        <w:rPr>
          <w:rFonts w:eastAsia="Times New Roman" w:cs="Times New Roman"/>
          <w:rtl/>
          <w:lang w:eastAsia="de-DE"/>
        </w:rPr>
        <w:t xml:space="preserve"> </w:t>
      </w:r>
      <w:r w:rsidRPr="007031B9">
        <w:rPr>
          <w:rFonts w:eastAsia="Times New Roman" w:cs="Times New Roman"/>
          <w:lang w:eastAsia="de-DE"/>
        </w:rPr>
        <w:t xml:space="preserve">(Qal Imperfekt, 1. c. sg. von </w:t>
      </w:r>
      <w:r w:rsidRPr="007031B9">
        <w:rPr>
          <w:rFonts w:eastAsia="Times New Roman" w:cs="Times New Roman"/>
          <w:b/>
          <w:bCs/>
          <w:rtl/>
          <w:lang w:eastAsia="de-DE"/>
        </w:rPr>
        <w:t>קבב</w:t>
      </w:r>
      <w:r w:rsidRPr="007031B9">
        <w:rPr>
          <w:rFonts w:eastAsia="Times New Roman" w:cs="Times New Roman"/>
          <w:lang w:eastAsia="de-DE"/>
        </w:rPr>
        <w:t xml:space="preserve">, „ich soll/kann verfluchen") – </w:t>
      </w:r>
      <w:r w:rsidRPr="007031B9">
        <w:rPr>
          <w:rFonts w:eastAsia="Times New Roman" w:cs="Times New Roman"/>
          <w:b/>
          <w:bCs/>
          <w:rtl/>
          <w:lang w:eastAsia="de-DE"/>
        </w:rPr>
        <w:t>קבב</w:t>
      </w:r>
      <w:r w:rsidRPr="007031B9">
        <w:rPr>
          <w:rFonts w:eastAsia="Times New Roman" w:cs="Times New Roman"/>
          <w:rtl/>
          <w:lang w:eastAsia="de-DE"/>
        </w:rPr>
        <w:t xml:space="preserve"> </w:t>
      </w:r>
      <w:r w:rsidRPr="007031B9">
        <w:rPr>
          <w:rFonts w:eastAsia="Times New Roman" w:cs="Times New Roman"/>
          <w:lang w:eastAsia="de-DE"/>
        </w:rPr>
        <w:t xml:space="preserve">ist das Verb aus Kapitel 22, ein starkes Wort für magischen Fluch. Der Relativsatz </w:t>
      </w:r>
      <w:r w:rsidRPr="007031B9">
        <w:rPr>
          <w:rFonts w:eastAsia="Times New Roman" w:cs="Times New Roman"/>
          <w:b/>
          <w:bCs/>
          <w:rtl/>
          <w:lang w:eastAsia="de-DE"/>
        </w:rPr>
        <w:t>לֹא קַבֹּה אֵל</w:t>
      </w:r>
      <w:r w:rsidRPr="007031B9">
        <w:rPr>
          <w:rFonts w:eastAsia="Times New Roman" w:cs="Times New Roman"/>
          <w:rtl/>
          <w:lang w:eastAsia="de-DE"/>
        </w:rPr>
        <w:t xml:space="preserve"> </w:t>
      </w:r>
      <w:r w:rsidRPr="007031B9">
        <w:rPr>
          <w:rFonts w:eastAsia="Times New Roman" w:cs="Times New Roman"/>
          <w:lang w:eastAsia="de-DE"/>
        </w:rPr>
        <w:t xml:space="preserve">(„den Gott nicht verflucht hat") – </w:t>
      </w:r>
      <w:r w:rsidRPr="007031B9">
        <w:rPr>
          <w:rFonts w:eastAsia="Times New Roman" w:cs="Times New Roman"/>
          <w:b/>
          <w:bCs/>
          <w:rtl/>
          <w:lang w:eastAsia="de-DE"/>
        </w:rPr>
        <w:t>לֹא קַבֹּה</w:t>
      </w:r>
      <w:r w:rsidRPr="007031B9">
        <w:rPr>
          <w:rFonts w:eastAsia="Times New Roman" w:cs="Times New Roman"/>
          <w:rtl/>
          <w:lang w:eastAsia="de-DE"/>
        </w:rPr>
        <w:t xml:space="preserve"> </w:t>
      </w:r>
      <w:r w:rsidRPr="007031B9">
        <w:rPr>
          <w:rFonts w:eastAsia="Times New Roman" w:cs="Times New Roman"/>
          <w:lang w:eastAsia="de-DE"/>
        </w:rPr>
        <w:t xml:space="preserve">(Negation plus Piel Perfekt, 3. m. sg. von </w:t>
      </w:r>
      <w:r w:rsidRPr="007031B9">
        <w:rPr>
          <w:rFonts w:eastAsia="Times New Roman" w:cs="Times New Roman"/>
          <w:b/>
          <w:bCs/>
          <w:rtl/>
          <w:lang w:eastAsia="de-DE"/>
        </w:rPr>
        <w:t>קבב</w:t>
      </w:r>
      <w:r w:rsidRPr="007031B9">
        <w:rPr>
          <w:rFonts w:eastAsia="Times New Roman" w:cs="Times New Roman"/>
          <w:lang w:eastAsia="de-DE"/>
        </w:rPr>
        <w:t xml:space="preserve">, „er hat nicht verflucht"), </w:t>
      </w:r>
      <w:r w:rsidRPr="007031B9">
        <w:rPr>
          <w:rFonts w:eastAsia="Times New Roman" w:cs="Times New Roman"/>
          <w:b/>
          <w:bCs/>
          <w:rtl/>
          <w:lang w:eastAsia="de-DE"/>
        </w:rPr>
        <w:t>אֵל</w:t>
      </w:r>
      <w:r w:rsidRPr="007031B9">
        <w:rPr>
          <w:rFonts w:eastAsia="Times New Roman" w:cs="Times New Roman"/>
          <w:rtl/>
          <w:lang w:eastAsia="de-DE"/>
        </w:rPr>
        <w:t xml:space="preserve"> </w:t>
      </w:r>
      <w:r w:rsidRPr="007031B9">
        <w:rPr>
          <w:rFonts w:eastAsia="Times New Roman" w:cs="Times New Roman"/>
          <w:lang w:eastAsia="de-DE"/>
        </w:rPr>
        <w:t xml:space="preserve">„Gott" als Subjekt. Die </w:t>
      </w:r>
      <w:r w:rsidR="00F133EC">
        <w:rPr>
          <w:rFonts w:eastAsia="Times New Roman" w:cs="Times New Roman"/>
          <w:lang w:eastAsia="de-DE"/>
        </w:rPr>
        <w:t>Construct</w:t>
      </w:r>
      <w:r w:rsidRPr="007031B9">
        <w:rPr>
          <w:rFonts w:eastAsia="Times New Roman" w:cs="Times New Roman"/>
          <w:lang w:eastAsia="de-DE"/>
        </w:rPr>
        <w:t>ion ist elliptisch: „Wie soll ich verfluchen [den], den Gott nicht verflucht hat?"</w:t>
      </w:r>
    </w:p>
    <w:p w14:paraId="0678CD89"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parallele Frage: </w:t>
      </w:r>
      <w:r w:rsidRPr="007031B9">
        <w:rPr>
          <w:rFonts w:eastAsia="Times New Roman" w:cs="Times New Roman"/>
          <w:b/>
          <w:bCs/>
          <w:rtl/>
          <w:lang w:eastAsia="de-DE"/>
        </w:rPr>
        <w:t>וּמָה אֶזְעֹם לֹא זָעַם יְהוָה</w:t>
      </w:r>
      <w:r w:rsidRPr="007031B9">
        <w:rPr>
          <w:rFonts w:eastAsia="Times New Roman" w:cs="Times New Roman"/>
          <w:rtl/>
          <w:lang w:eastAsia="de-DE"/>
        </w:rPr>
        <w:t xml:space="preserve"> </w:t>
      </w:r>
      <w:r w:rsidRPr="007031B9">
        <w:rPr>
          <w:rFonts w:eastAsia="Times New Roman" w:cs="Times New Roman"/>
          <w:lang w:eastAsia="de-DE"/>
        </w:rPr>
        <w:t xml:space="preserve">(„Und wie soll ich verwünschen, den JHWH nicht verwünscht?") – </w:t>
      </w:r>
      <w:r w:rsidRPr="007031B9">
        <w:rPr>
          <w:rFonts w:eastAsia="Times New Roman" w:cs="Times New Roman"/>
          <w:b/>
          <w:bCs/>
          <w:rtl/>
          <w:lang w:eastAsia="de-DE"/>
        </w:rPr>
        <w:t>אֶזְעֹם</w:t>
      </w:r>
      <w:r w:rsidRPr="007031B9">
        <w:rPr>
          <w:rFonts w:eastAsia="Times New Roman" w:cs="Times New Roman"/>
          <w:rtl/>
          <w:lang w:eastAsia="de-DE"/>
        </w:rPr>
        <w:t xml:space="preserve"> </w:t>
      </w:r>
      <w:r w:rsidRPr="007031B9">
        <w:rPr>
          <w:rFonts w:eastAsia="Times New Roman" w:cs="Times New Roman"/>
          <w:lang w:eastAsia="de-DE"/>
        </w:rPr>
        <w:t xml:space="preserve">(Qal Imperfekt, 1. c. sg. von </w:t>
      </w:r>
      <w:r w:rsidRPr="007031B9">
        <w:rPr>
          <w:rFonts w:eastAsia="Times New Roman" w:cs="Times New Roman"/>
          <w:b/>
          <w:bCs/>
          <w:rtl/>
          <w:lang w:eastAsia="de-DE"/>
        </w:rPr>
        <w:t>זעם</w:t>
      </w:r>
      <w:r w:rsidRPr="007031B9">
        <w:rPr>
          <w:rFonts w:eastAsia="Times New Roman" w:cs="Times New Roman"/>
          <w:lang w:eastAsia="de-DE"/>
        </w:rPr>
        <w:t xml:space="preserve">, „ich soll/kann verwünschen"), </w:t>
      </w:r>
      <w:r w:rsidRPr="007031B9">
        <w:rPr>
          <w:rFonts w:eastAsia="Times New Roman" w:cs="Times New Roman"/>
          <w:b/>
          <w:bCs/>
          <w:rtl/>
          <w:lang w:eastAsia="de-DE"/>
        </w:rPr>
        <w:t>לֹא זָעַם יְהוָה</w:t>
      </w:r>
      <w:r w:rsidRPr="007031B9">
        <w:rPr>
          <w:rFonts w:eastAsia="Times New Roman" w:cs="Times New Roman"/>
          <w:rtl/>
          <w:lang w:eastAsia="de-DE"/>
        </w:rPr>
        <w:t xml:space="preserve"> </w:t>
      </w:r>
      <w:r w:rsidRPr="007031B9">
        <w:rPr>
          <w:rFonts w:eastAsia="Times New Roman" w:cs="Times New Roman"/>
          <w:lang w:eastAsia="de-DE"/>
        </w:rPr>
        <w:t xml:space="preserve">(„JHWH hat nicht verwünscht") – </w:t>
      </w:r>
      <w:r w:rsidRPr="007031B9">
        <w:rPr>
          <w:rFonts w:eastAsia="Times New Roman" w:cs="Times New Roman"/>
          <w:b/>
          <w:bCs/>
          <w:rtl/>
          <w:lang w:eastAsia="de-DE"/>
        </w:rPr>
        <w:t>זָעַם</w:t>
      </w:r>
      <w:r w:rsidRPr="007031B9">
        <w:rPr>
          <w:rFonts w:eastAsia="Times New Roman" w:cs="Times New Roman"/>
          <w:rtl/>
          <w:lang w:eastAsia="de-DE"/>
        </w:rPr>
        <w:t xml:space="preserve"> </w:t>
      </w:r>
      <w:r w:rsidRPr="007031B9">
        <w:rPr>
          <w:rFonts w:eastAsia="Times New Roman" w:cs="Times New Roman"/>
          <w:lang w:eastAsia="de-DE"/>
        </w:rPr>
        <w:t xml:space="preserve">(Qal Perfekt, 3. m. sg. von </w:t>
      </w:r>
      <w:r w:rsidRPr="007031B9">
        <w:rPr>
          <w:rFonts w:eastAsia="Times New Roman" w:cs="Times New Roman"/>
          <w:b/>
          <w:bCs/>
          <w:rtl/>
          <w:lang w:eastAsia="de-DE"/>
        </w:rPr>
        <w:t>זעם</w:t>
      </w:r>
      <w:r w:rsidRPr="007031B9">
        <w:rPr>
          <w:rFonts w:eastAsia="Times New Roman" w:cs="Times New Roman"/>
          <w:lang w:eastAsia="de-DE"/>
        </w:rPr>
        <w:t xml:space="preserve">), </w:t>
      </w:r>
      <w:r w:rsidRPr="007031B9">
        <w:rPr>
          <w:rFonts w:eastAsia="Times New Roman" w:cs="Times New Roman"/>
          <w:b/>
          <w:bCs/>
          <w:rtl/>
          <w:lang w:eastAsia="de-DE"/>
        </w:rPr>
        <w:t>יְהוָה</w:t>
      </w:r>
      <w:r w:rsidRPr="007031B9">
        <w:rPr>
          <w:rFonts w:eastAsia="Times New Roman" w:cs="Times New Roman"/>
          <w:rtl/>
          <w:lang w:eastAsia="de-DE"/>
        </w:rPr>
        <w:t xml:space="preserve"> </w:t>
      </w:r>
      <w:r w:rsidRPr="007031B9">
        <w:rPr>
          <w:rFonts w:eastAsia="Times New Roman" w:cs="Times New Roman"/>
          <w:lang w:eastAsia="de-DE"/>
        </w:rPr>
        <w:t xml:space="preserve">Subjekt (nun der Eigenname statt </w:t>
      </w:r>
      <w:r w:rsidRPr="007031B9">
        <w:rPr>
          <w:rFonts w:eastAsia="Times New Roman" w:cs="Times New Roman"/>
          <w:b/>
          <w:bCs/>
          <w:rtl/>
          <w:lang w:eastAsia="de-DE"/>
        </w:rPr>
        <w:t>אֵל</w:t>
      </w:r>
      <w:r w:rsidRPr="007031B9">
        <w:rPr>
          <w:rFonts w:eastAsia="Times New Roman" w:cs="Times New Roman"/>
          <w:lang w:eastAsia="de-DE"/>
        </w:rPr>
        <w:t>).</w:t>
      </w:r>
    </w:p>
    <w:p w14:paraId="6371A8A1"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poetische Struktur:</w:t>
      </w:r>
    </w:p>
    <w:p w14:paraId="1A5F1A9B" w14:textId="77777777" w:rsidR="007031B9" w:rsidRPr="007031B9" w:rsidRDefault="007031B9" w:rsidP="00C15C06">
      <w:pPr>
        <w:numPr>
          <w:ilvl w:val="0"/>
          <w:numId w:val="14"/>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A: „Wie soll ich verfluchen, den </w:t>
      </w:r>
      <w:r w:rsidRPr="007031B9">
        <w:rPr>
          <w:rFonts w:eastAsia="Times New Roman" w:cs="Times New Roman"/>
          <w:b/>
          <w:bCs/>
          <w:lang w:eastAsia="de-DE"/>
        </w:rPr>
        <w:t>Gott</w:t>
      </w:r>
      <w:r w:rsidRPr="007031B9">
        <w:rPr>
          <w:rFonts w:eastAsia="Times New Roman" w:cs="Times New Roman"/>
          <w:lang w:eastAsia="de-DE"/>
        </w:rPr>
        <w:t xml:space="preserve"> nicht verflucht?"</w:t>
      </w:r>
    </w:p>
    <w:p w14:paraId="4D8C7849" w14:textId="77777777" w:rsidR="007031B9" w:rsidRPr="007031B9" w:rsidRDefault="007031B9" w:rsidP="00C15C06">
      <w:pPr>
        <w:numPr>
          <w:ilvl w:val="0"/>
          <w:numId w:val="14"/>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B: „Wie soll ich verwünschen, den </w:t>
      </w:r>
      <w:r w:rsidRPr="007031B9">
        <w:rPr>
          <w:rFonts w:eastAsia="Times New Roman" w:cs="Times New Roman"/>
          <w:b/>
          <w:bCs/>
          <w:lang w:eastAsia="de-DE"/>
        </w:rPr>
        <w:t>JHWH</w:t>
      </w:r>
      <w:r w:rsidRPr="007031B9">
        <w:rPr>
          <w:rFonts w:eastAsia="Times New Roman" w:cs="Times New Roman"/>
          <w:lang w:eastAsia="de-DE"/>
        </w:rPr>
        <w:t xml:space="preserve"> nicht verwünscht?"</w:t>
      </w:r>
    </w:p>
    <w:p w14:paraId="20EF6967"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Perfekter synonymer Parallelismus – beide Zeilen sagen dasselbe mit leicht variierenden Worten. Die Antwort auf die rhetorischen Fragen ist klar: </w:t>
      </w:r>
      <w:r w:rsidRPr="007031B9">
        <w:rPr>
          <w:rFonts w:eastAsia="Times New Roman" w:cs="Times New Roman"/>
          <w:b/>
          <w:bCs/>
          <w:lang w:eastAsia="de-DE"/>
        </w:rPr>
        <w:t>Unmöglich!</w:t>
      </w:r>
      <w:r w:rsidRPr="007031B9">
        <w:rPr>
          <w:rFonts w:eastAsia="Times New Roman" w:cs="Times New Roman"/>
          <w:lang w:eastAsia="de-DE"/>
        </w:rPr>
        <w:t xml:space="preserve"> Bileam </w:t>
      </w:r>
      <w:r w:rsidRPr="007031B9">
        <w:rPr>
          <w:rFonts w:eastAsia="Times New Roman" w:cs="Times New Roman"/>
          <w:b/>
          <w:bCs/>
          <w:lang w:eastAsia="de-DE"/>
        </w:rPr>
        <w:t>kann nicht</w:t>
      </w:r>
      <w:r w:rsidRPr="007031B9">
        <w:rPr>
          <w:rFonts w:eastAsia="Times New Roman" w:cs="Times New Roman"/>
          <w:lang w:eastAsia="de-DE"/>
        </w:rPr>
        <w:t xml:space="preserve"> verfluchen, was Gott gesegnet hat.</w:t>
      </w:r>
    </w:p>
    <w:p w14:paraId="1BAB68F1"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Dies ist die theologische Kernaussage: Menschliche Magie ist machtlos gegen göttlichen Segen. Kein Seher, kein Zauberer, keine Macht kann Gottes Segnung Israels umkehren. Bileam erkennt dies und proklamiert es öffentlich.</w:t>
      </w:r>
    </w:p>
    <w:p w14:paraId="19E594D5"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Formulierung ist auch persönlich: „Wie soll </w:t>
      </w:r>
      <w:r w:rsidRPr="007031B9">
        <w:rPr>
          <w:rFonts w:eastAsia="Times New Roman" w:cs="Times New Roman"/>
          <w:b/>
          <w:bCs/>
          <w:lang w:eastAsia="de-DE"/>
        </w:rPr>
        <w:t>ich</w:t>
      </w:r>
      <w:r w:rsidRPr="007031B9">
        <w:rPr>
          <w:rFonts w:eastAsia="Times New Roman" w:cs="Times New Roman"/>
          <w:lang w:eastAsia="de-DE"/>
        </w:rPr>
        <w:t>...?" – Bileam nimmt Verantwortung. Er sagt nicht „man kann nicht", sondern „</w:t>
      </w:r>
      <w:r w:rsidRPr="007031B9">
        <w:rPr>
          <w:rFonts w:eastAsia="Times New Roman" w:cs="Times New Roman"/>
          <w:b/>
          <w:bCs/>
          <w:lang w:eastAsia="de-DE"/>
        </w:rPr>
        <w:t>ich</w:t>
      </w:r>
      <w:r w:rsidRPr="007031B9">
        <w:rPr>
          <w:rFonts w:eastAsia="Times New Roman" w:cs="Times New Roman"/>
          <w:lang w:eastAsia="de-DE"/>
        </w:rPr>
        <w:t xml:space="preserve"> kann nicht" – er unterwirft sich bewusst Gottes Willen.</w:t>
      </w:r>
    </w:p>
    <w:p w14:paraId="178B7A76"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folgt dem hebräischen Text, verwendet καταράσομαι (katarasomai, „ich werde verfluchen") für die Fragen.</w:t>
      </w:r>
    </w:p>
    <w:p w14:paraId="5CE5B47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Satzstruktur zeigt zwei parallele rhetorische Fragen, jeweils mit Interrogativ, Verb (1. sg. Imperfekt), Relativsatz (Negation, Verb Perfekt, Subjekt). Es gibt zwei Nebensätze (Relativsätze).</w:t>
      </w:r>
    </w:p>
    <w:p w14:paraId="734A2561"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ist die Klimax: Statt Fluch kommt ein Bekenntnis der Unmöglichkeit zu fluchen! Balaks Hoffnungen werden zerstört. Bileam kann und wird Israel nicht verfluchen, weil Gott Israel nicht verflucht hat.</w:t>
      </w:r>
    </w:p>
    <w:p w14:paraId="7E88F1BF"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t>Numeri 23,9</w:t>
      </w:r>
    </w:p>
    <w:p w14:paraId="66AF21CC"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כִּֽי־מֵרֹ֤אשׁ צֻרִים֙ אֶרְאֶ֔נּוּ וּמִגְּבָע֖וֹת אֲשׁוּרֶ֑נּוּ הֶן־עָם֙ לְבָדָ֣ד יִשְׁכֹּ֔ן וּבַגּוֹיִ֖ם לֹ֥א יִתְחַשָּֽׁב׃</w:t>
      </w:r>
    </w:p>
    <w:p w14:paraId="67B08139"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Denn vom Gipfel der Felsen sehe ich es, und von den Hügeln schaue ich es. Siehe, ein Volk, das abgesondert wohnt und sich unter die Nationen nicht rechnet.</w:t>
      </w:r>
    </w:p>
    <w:p w14:paraId="795A5A0B"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2A16ACB0">
          <v:rect id="_x0000_i1804" style="width:0;height:1.5pt" o:hralign="center" o:hrstd="t" o:hr="t" fillcolor="#a0a0a0" stroked="f"/>
        </w:pict>
      </w:r>
    </w:p>
    <w:p w14:paraId="1A3D5F3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lastRenderedPageBreak/>
        <w:t>Kommentar:</w:t>
      </w:r>
      <w:r w:rsidRPr="007031B9">
        <w:rPr>
          <w:rFonts w:eastAsia="Times New Roman" w:cs="Times New Roman"/>
          <w:lang w:eastAsia="de-DE"/>
        </w:rPr>
        <w:t xml:space="preserve"> Die Begründung für die Unmöglichkeit zu fluchen beginnt mit Bileams Vision:</w:t>
      </w:r>
    </w:p>
    <w:p w14:paraId="3F7BA21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rtl/>
          <w:lang w:eastAsia="de-DE"/>
        </w:rPr>
        <w:t>כִּי־מֵרֹאשׁ צֻרִים אֶרְאֶנּוּ וּמִגְּבָעוֹת אֲשׁוּרֶנּוּ</w:t>
      </w:r>
      <w:r w:rsidRPr="007031B9">
        <w:rPr>
          <w:rFonts w:eastAsia="Times New Roman" w:cs="Times New Roman"/>
          <w:rtl/>
          <w:lang w:eastAsia="de-DE"/>
        </w:rPr>
        <w:t xml:space="preserve"> </w:t>
      </w:r>
      <w:r w:rsidRPr="007031B9">
        <w:rPr>
          <w:rFonts w:eastAsia="Times New Roman" w:cs="Times New Roman"/>
          <w:lang w:eastAsia="de-DE"/>
        </w:rPr>
        <w:t xml:space="preserve">(„Denn vom Gipfel der Felsen sehe ich es, und von den Hügeln schaue ich es") – </w:t>
      </w:r>
      <w:r w:rsidRPr="007031B9">
        <w:rPr>
          <w:rFonts w:eastAsia="Times New Roman" w:cs="Times New Roman"/>
          <w:b/>
          <w:bCs/>
          <w:rtl/>
          <w:lang w:eastAsia="de-DE"/>
        </w:rPr>
        <w:t>כִּי</w:t>
      </w:r>
      <w:r w:rsidRPr="007031B9">
        <w:rPr>
          <w:rFonts w:eastAsia="Times New Roman" w:cs="Times New Roman"/>
          <w:rtl/>
          <w:lang w:eastAsia="de-DE"/>
        </w:rPr>
        <w:t xml:space="preserve"> </w:t>
      </w:r>
      <w:r w:rsidRPr="007031B9">
        <w:rPr>
          <w:rFonts w:eastAsia="Times New Roman" w:cs="Times New Roman"/>
          <w:lang w:eastAsia="de-DE"/>
        </w:rPr>
        <w:t xml:space="preserve">kausal „denn", </w:t>
      </w:r>
      <w:r w:rsidRPr="007031B9">
        <w:rPr>
          <w:rFonts w:eastAsia="Times New Roman" w:cs="Times New Roman"/>
          <w:b/>
          <w:bCs/>
          <w:rtl/>
          <w:lang w:eastAsia="de-DE"/>
        </w:rPr>
        <w:t>מֵרֹאשׁ צֻרִים</w:t>
      </w:r>
      <w:r w:rsidRPr="007031B9">
        <w:rPr>
          <w:rFonts w:eastAsia="Times New Roman" w:cs="Times New Roman"/>
          <w:rtl/>
          <w:lang w:eastAsia="de-DE"/>
        </w:rPr>
        <w:t xml:space="preserve"> </w:t>
      </w:r>
      <w:r w:rsidRPr="007031B9">
        <w:rPr>
          <w:rFonts w:eastAsia="Times New Roman" w:cs="Times New Roman"/>
          <w:lang w:eastAsia="de-DE"/>
        </w:rPr>
        <w:t xml:space="preserve">(„vom Gipfel der Felsen", Constructus-Verbindung) – </w:t>
      </w:r>
      <w:r w:rsidRPr="007031B9">
        <w:rPr>
          <w:rFonts w:eastAsia="Times New Roman" w:cs="Times New Roman"/>
          <w:b/>
          <w:bCs/>
          <w:rtl/>
          <w:lang w:eastAsia="de-DE"/>
        </w:rPr>
        <w:t>רֹאשׁ</w:t>
      </w:r>
      <w:r w:rsidRPr="007031B9">
        <w:rPr>
          <w:rFonts w:eastAsia="Times New Roman" w:cs="Times New Roman"/>
          <w:rtl/>
          <w:lang w:eastAsia="de-DE"/>
        </w:rPr>
        <w:t xml:space="preserve"> </w:t>
      </w:r>
      <w:r w:rsidRPr="007031B9">
        <w:rPr>
          <w:rFonts w:eastAsia="Times New Roman" w:cs="Times New Roman"/>
          <w:lang w:eastAsia="de-DE"/>
        </w:rPr>
        <w:t xml:space="preserve">„Kopf, Gipfel", </w:t>
      </w:r>
      <w:r w:rsidRPr="007031B9">
        <w:rPr>
          <w:rFonts w:eastAsia="Times New Roman" w:cs="Times New Roman"/>
          <w:b/>
          <w:bCs/>
          <w:rtl/>
          <w:lang w:eastAsia="de-DE"/>
        </w:rPr>
        <w:t>צוּר</w:t>
      </w:r>
      <w:r w:rsidRPr="007031B9">
        <w:rPr>
          <w:rFonts w:eastAsia="Times New Roman" w:cs="Times New Roman"/>
          <w:rtl/>
          <w:lang w:eastAsia="de-DE"/>
        </w:rPr>
        <w:t xml:space="preserve"> </w:t>
      </w:r>
      <w:r w:rsidRPr="007031B9">
        <w:rPr>
          <w:rFonts w:eastAsia="Times New Roman" w:cs="Times New Roman"/>
          <w:lang w:eastAsia="de-DE"/>
        </w:rPr>
        <w:t xml:space="preserve">„Fels, Felsen" im Plural. </w:t>
      </w:r>
      <w:r w:rsidRPr="007031B9">
        <w:rPr>
          <w:rFonts w:eastAsia="Times New Roman" w:cs="Times New Roman"/>
          <w:b/>
          <w:bCs/>
          <w:rtl/>
          <w:lang w:eastAsia="de-DE"/>
        </w:rPr>
        <w:t>אֶרְאֶנּוּ</w:t>
      </w:r>
      <w:r w:rsidRPr="007031B9">
        <w:rPr>
          <w:rFonts w:eastAsia="Times New Roman" w:cs="Times New Roman"/>
          <w:rtl/>
          <w:lang w:eastAsia="de-DE"/>
        </w:rPr>
        <w:t xml:space="preserve"> </w:t>
      </w:r>
      <w:r w:rsidRPr="007031B9">
        <w:rPr>
          <w:rFonts w:eastAsia="Times New Roman" w:cs="Times New Roman"/>
          <w:lang w:eastAsia="de-DE"/>
        </w:rPr>
        <w:t xml:space="preserve">(Qal Imperfekt, 1. c. sg. von </w:t>
      </w:r>
      <w:r w:rsidRPr="007031B9">
        <w:rPr>
          <w:rFonts w:eastAsia="Times New Roman" w:cs="Times New Roman"/>
          <w:b/>
          <w:bCs/>
          <w:rtl/>
          <w:lang w:eastAsia="de-DE"/>
        </w:rPr>
        <w:t>ראה</w:t>
      </w:r>
      <w:r w:rsidRPr="007031B9">
        <w:rPr>
          <w:rFonts w:eastAsia="Times New Roman" w:cs="Times New Roman"/>
          <w:rtl/>
          <w:lang w:eastAsia="de-DE"/>
        </w:rPr>
        <w:t xml:space="preserve"> </w:t>
      </w:r>
      <w:r w:rsidRPr="007031B9">
        <w:rPr>
          <w:rFonts w:eastAsia="Times New Roman" w:cs="Times New Roman"/>
          <w:lang w:eastAsia="de-DE"/>
        </w:rPr>
        <w:t xml:space="preserve">mit Objektsuffix 3. m. sg., „ich sehe es"). Die parallele Zeile </w:t>
      </w:r>
      <w:r w:rsidRPr="007031B9">
        <w:rPr>
          <w:rFonts w:eastAsia="Times New Roman" w:cs="Times New Roman"/>
          <w:b/>
          <w:bCs/>
          <w:rtl/>
          <w:lang w:eastAsia="de-DE"/>
        </w:rPr>
        <w:t>וּמִגְּבָעוֹת אֲשׁוּרֶנּוּ</w:t>
      </w:r>
      <w:r w:rsidRPr="007031B9">
        <w:rPr>
          <w:rFonts w:eastAsia="Times New Roman" w:cs="Times New Roman"/>
          <w:rtl/>
          <w:lang w:eastAsia="de-DE"/>
        </w:rPr>
        <w:t xml:space="preserve"> </w:t>
      </w:r>
      <w:r w:rsidRPr="007031B9">
        <w:rPr>
          <w:rFonts w:eastAsia="Times New Roman" w:cs="Times New Roman"/>
          <w:lang w:eastAsia="de-DE"/>
        </w:rPr>
        <w:t xml:space="preserve">(„und von den Hügeln schaue ich es") – </w:t>
      </w:r>
      <w:r w:rsidRPr="007031B9">
        <w:rPr>
          <w:rFonts w:eastAsia="Times New Roman" w:cs="Times New Roman"/>
          <w:b/>
          <w:bCs/>
          <w:rtl/>
          <w:lang w:eastAsia="de-DE"/>
        </w:rPr>
        <w:t>גִּבְעָה</w:t>
      </w:r>
      <w:r w:rsidRPr="007031B9">
        <w:rPr>
          <w:rFonts w:eastAsia="Times New Roman" w:cs="Times New Roman"/>
          <w:rtl/>
          <w:lang w:eastAsia="de-DE"/>
        </w:rPr>
        <w:t xml:space="preserve"> </w:t>
      </w:r>
      <w:r w:rsidRPr="007031B9">
        <w:rPr>
          <w:rFonts w:eastAsia="Times New Roman" w:cs="Times New Roman"/>
          <w:lang w:eastAsia="de-DE"/>
        </w:rPr>
        <w:t xml:space="preserve">„Hügel" im Plural, </w:t>
      </w:r>
      <w:r w:rsidRPr="007031B9">
        <w:rPr>
          <w:rFonts w:eastAsia="Times New Roman" w:cs="Times New Roman"/>
          <w:b/>
          <w:bCs/>
          <w:rtl/>
          <w:lang w:eastAsia="de-DE"/>
        </w:rPr>
        <w:t>אֲשׁוּרֶנּוּ</w:t>
      </w:r>
      <w:r w:rsidRPr="007031B9">
        <w:rPr>
          <w:rFonts w:eastAsia="Times New Roman" w:cs="Times New Roman"/>
          <w:rtl/>
          <w:lang w:eastAsia="de-DE"/>
        </w:rPr>
        <w:t xml:space="preserve"> </w:t>
      </w:r>
      <w:r w:rsidRPr="007031B9">
        <w:rPr>
          <w:rFonts w:eastAsia="Times New Roman" w:cs="Times New Roman"/>
          <w:lang w:eastAsia="de-DE"/>
        </w:rPr>
        <w:t xml:space="preserve">(Qal Imperfekt, 1. c. sg. von </w:t>
      </w:r>
      <w:r w:rsidRPr="007031B9">
        <w:rPr>
          <w:rFonts w:eastAsia="Times New Roman" w:cs="Times New Roman"/>
          <w:b/>
          <w:bCs/>
          <w:rtl/>
          <w:lang w:eastAsia="de-DE"/>
        </w:rPr>
        <w:t>שׁור</w:t>
      </w:r>
      <w:r w:rsidRPr="007031B9">
        <w:rPr>
          <w:rFonts w:eastAsia="Times New Roman" w:cs="Times New Roman"/>
          <w:rtl/>
          <w:lang w:eastAsia="de-DE"/>
        </w:rPr>
        <w:t xml:space="preserve"> </w:t>
      </w:r>
      <w:r w:rsidRPr="007031B9">
        <w:rPr>
          <w:rFonts w:eastAsia="Times New Roman" w:cs="Times New Roman"/>
          <w:lang w:eastAsia="de-DE"/>
        </w:rPr>
        <w:t xml:space="preserve">mit Objektsuffix, „ich schaue es") – </w:t>
      </w:r>
      <w:r w:rsidRPr="007031B9">
        <w:rPr>
          <w:rFonts w:eastAsia="Times New Roman" w:cs="Times New Roman"/>
          <w:b/>
          <w:bCs/>
          <w:rtl/>
          <w:lang w:eastAsia="de-DE"/>
        </w:rPr>
        <w:t>שׁור</w:t>
      </w:r>
      <w:r w:rsidRPr="007031B9">
        <w:rPr>
          <w:rFonts w:eastAsia="Times New Roman" w:cs="Times New Roman"/>
          <w:rtl/>
          <w:lang w:eastAsia="de-DE"/>
        </w:rPr>
        <w:t xml:space="preserve"> </w:t>
      </w:r>
      <w:r w:rsidRPr="007031B9">
        <w:rPr>
          <w:rFonts w:eastAsia="Times New Roman" w:cs="Times New Roman"/>
          <w:lang w:eastAsia="de-DE"/>
        </w:rPr>
        <w:t xml:space="preserve">„schauen, blicken" ist poetisches Synonym zu </w:t>
      </w:r>
      <w:r w:rsidRPr="007031B9">
        <w:rPr>
          <w:rFonts w:eastAsia="Times New Roman" w:cs="Times New Roman"/>
          <w:b/>
          <w:bCs/>
          <w:rtl/>
          <w:lang w:eastAsia="de-DE"/>
        </w:rPr>
        <w:t>ראה</w:t>
      </w:r>
      <w:r w:rsidRPr="007031B9">
        <w:rPr>
          <w:rFonts w:eastAsia="Times New Roman" w:cs="Times New Roman"/>
          <w:lang w:eastAsia="de-DE"/>
        </w:rPr>
        <w:t>.</w:t>
      </w:r>
    </w:p>
    <w:p w14:paraId="05073584"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Poetischer Parallelismus:</w:t>
      </w:r>
    </w:p>
    <w:p w14:paraId="009CA98D" w14:textId="77777777" w:rsidR="007031B9" w:rsidRPr="007031B9" w:rsidRDefault="007031B9" w:rsidP="00C15C06">
      <w:pPr>
        <w:numPr>
          <w:ilvl w:val="0"/>
          <w:numId w:val="15"/>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A: „Vom Gipfel der </w:t>
      </w:r>
      <w:r w:rsidRPr="007031B9">
        <w:rPr>
          <w:rFonts w:eastAsia="Times New Roman" w:cs="Times New Roman"/>
          <w:b/>
          <w:bCs/>
          <w:lang w:eastAsia="de-DE"/>
        </w:rPr>
        <w:t>Felsen</w:t>
      </w:r>
      <w:r w:rsidRPr="007031B9">
        <w:rPr>
          <w:rFonts w:eastAsia="Times New Roman" w:cs="Times New Roman"/>
          <w:lang w:eastAsia="de-DE"/>
        </w:rPr>
        <w:t xml:space="preserve"> sehe ich es"</w:t>
      </w:r>
    </w:p>
    <w:p w14:paraId="15213A3A" w14:textId="77777777" w:rsidR="007031B9" w:rsidRPr="007031B9" w:rsidRDefault="007031B9" w:rsidP="00C15C06">
      <w:pPr>
        <w:numPr>
          <w:ilvl w:val="0"/>
          <w:numId w:val="15"/>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B: „Von den </w:t>
      </w:r>
      <w:r w:rsidRPr="007031B9">
        <w:rPr>
          <w:rFonts w:eastAsia="Times New Roman" w:cs="Times New Roman"/>
          <w:b/>
          <w:bCs/>
          <w:lang w:eastAsia="de-DE"/>
        </w:rPr>
        <w:t>Hügeln</w:t>
      </w:r>
      <w:r w:rsidRPr="007031B9">
        <w:rPr>
          <w:rFonts w:eastAsia="Times New Roman" w:cs="Times New Roman"/>
          <w:lang w:eastAsia="de-DE"/>
        </w:rPr>
        <w:t xml:space="preserve"> schaue ich es"</w:t>
      </w:r>
    </w:p>
    <w:p w14:paraId="36C378CC"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Bileam steht auf Bamot-Baal (22,41), von wo er Israel sieht – seine Vision ist sowohl physisch (er sieht das Lager) als auch prophetisch (er sieht Israels Wesen).</w:t>
      </w:r>
    </w:p>
    <w:p w14:paraId="03FDF228"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Vision beschreibt Israels einzigartigen Status: </w:t>
      </w:r>
      <w:r w:rsidRPr="007031B9">
        <w:rPr>
          <w:rFonts w:eastAsia="Times New Roman" w:cs="Times New Roman"/>
          <w:b/>
          <w:bCs/>
          <w:rtl/>
          <w:lang w:eastAsia="de-DE"/>
        </w:rPr>
        <w:t>הֶן־עָם לְבָדָד יִשְׁכֹן וּבַגּוֹיִם לֹא יִתְחַשָּׁב</w:t>
      </w:r>
      <w:r w:rsidRPr="007031B9">
        <w:rPr>
          <w:rFonts w:eastAsia="Times New Roman" w:cs="Times New Roman"/>
          <w:rtl/>
          <w:lang w:eastAsia="de-DE"/>
        </w:rPr>
        <w:t xml:space="preserve"> </w:t>
      </w:r>
      <w:r w:rsidRPr="007031B9">
        <w:rPr>
          <w:rFonts w:eastAsia="Times New Roman" w:cs="Times New Roman"/>
          <w:lang w:eastAsia="de-DE"/>
        </w:rPr>
        <w:t xml:space="preserve">(„Siehe, ein Volk, das abgesondert wohnt und sich unter die Nationen nicht rechnet") – </w:t>
      </w:r>
      <w:r w:rsidRPr="007031B9">
        <w:rPr>
          <w:rFonts w:eastAsia="Times New Roman" w:cs="Times New Roman"/>
          <w:b/>
          <w:bCs/>
          <w:rtl/>
          <w:lang w:eastAsia="de-DE"/>
        </w:rPr>
        <w:t>הֶן</w:t>
      </w:r>
      <w:r w:rsidRPr="007031B9">
        <w:rPr>
          <w:rFonts w:eastAsia="Times New Roman" w:cs="Times New Roman"/>
          <w:rtl/>
          <w:lang w:eastAsia="de-DE"/>
        </w:rPr>
        <w:t xml:space="preserve"> </w:t>
      </w:r>
      <w:r w:rsidRPr="007031B9">
        <w:rPr>
          <w:rFonts w:eastAsia="Times New Roman" w:cs="Times New Roman"/>
          <w:lang w:eastAsia="de-DE"/>
        </w:rPr>
        <w:t xml:space="preserve">Interjektion „siehe!", </w:t>
      </w:r>
      <w:r w:rsidRPr="007031B9">
        <w:rPr>
          <w:rFonts w:eastAsia="Times New Roman" w:cs="Times New Roman"/>
          <w:b/>
          <w:bCs/>
          <w:rtl/>
          <w:lang w:eastAsia="de-DE"/>
        </w:rPr>
        <w:t>עָם</w:t>
      </w:r>
      <w:r w:rsidRPr="007031B9">
        <w:rPr>
          <w:rFonts w:eastAsia="Times New Roman" w:cs="Times New Roman"/>
          <w:rtl/>
          <w:lang w:eastAsia="de-DE"/>
        </w:rPr>
        <w:t xml:space="preserve"> </w:t>
      </w:r>
      <w:r w:rsidRPr="007031B9">
        <w:rPr>
          <w:rFonts w:eastAsia="Times New Roman" w:cs="Times New Roman"/>
          <w:lang w:eastAsia="de-DE"/>
        </w:rPr>
        <w:t xml:space="preserve">„ein Volk", </w:t>
      </w:r>
      <w:r w:rsidRPr="007031B9">
        <w:rPr>
          <w:rFonts w:eastAsia="Times New Roman" w:cs="Times New Roman"/>
          <w:b/>
          <w:bCs/>
          <w:rtl/>
          <w:lang w:eastAsia="de-DE"/>
        </w:rPr>
        <w:t>לְבָדָד יִשְׁכֹן</w:t>
      </w:r>
      <w:r w:rsidRPr="007031B9">
        <w:rPr>
          <w:rFonts w:eastAsia="Times New Roman" w:cs="Times New Roman"/>
          <w:rtl/>
          <w:lang w:eastAsia="de-DE"/>
        </w:rPr>
        <w:t xml:space="preserve"> </w:t>
      </w:r>
      <w:r w:rsidRPr="007031B9">
        <w:rPr>
          <w:rFonts w:eastAsia="Times New Roman" w:cs="Times New Roman"/>
          <w:lang w:eastAsia="de-DE"/>
        </w:rPr>
        <w:t xml:space="preserve">(„abgesondert wohnt") – </w:t>
      </w:r>
      <w:r w:rsidRPr="007031B9">
        <w:rPr>
          <w:rFonts w:eastAsia="Times New Roman" w:cs="Times New Roman"/>
          <w:b/>
          <w:bCs/>
          <w:rtl/>
          <w:lang w:eastAsia="de-DE"/>
        </w:rPr>
        <w:t>לְבָדָד</w:t>
      </w:r>
      <w:r w:rsidRPr="007031B9">
        <w:rPr>
          <w:rFonts w:eastAsia="Times New Roman" w:cs="Times New Roman"/>
          <w:rtl/>
          <w:lang w:eastAsia="de-DE"/>
        </w:rPr>
        <w:t xml:space="preserve"> </w:t>
      </w:r>
      <w:r w:rsidRPr="007031B9">
        <w:rPr>
          <w:rFonts w:eastAsia="Times New Roman" w:cs="Times New Roman"/>
          <w:lang w:eastAsia="de-DE"/>
        </w:rPr>
        <w:t xml:space="preserve">Adverb „allein, abgesondert, isoliert" (von </w:t>
      </w:r>
      <w:r w:rsidRPr="007031B9">
        <w:rPr>
          <w:rFonts w:eastAsia="Times New Roman" w:cs="Times New Roman"/>
          <w:b/>
          <w:bCs/>
          <w:rtl/>
          <w:lang w:eastAsia="de-DE"/>
        </w:rPr>
        <w:t>בדד</w:t>
      </w:r>
      <w:r w:rsidRPr="007031B9">
        <w:rPr>
          <w:rFonts w:eastAsia="Times New Roman" w:cs="Times New Roman"/>
          <w:lang w:eastAsia="de-DE"/>
        </w:rPr>
        <w:t xml:space="preserve">), </w:t>
      </w:r>
      <w:r w:rsidRPr="007031B9">
        <w:rPr>
          <w:rFonts w:eastAsia="Times New Roman" w:cs="Times New Roman"/>
          <w:b/>
          <w:bCs/>
          <w:rtl/>
          <w:lang w:eastAsia="de-DE"/>
        </w:rPr>
        <w:t>יִשְׁכֹן</w:t>
      </w:r>
      <w:r w:rsidRPr="007031B9">
        <w:rPr>
          <w:rFonts w:eastAsia="Times New Roman" w:cs="Times New Roman"/>
          <w:rtl/>
          <w:lang w:eastAsia="de-DE"/>
        </w:rPr>
        <w:t xml:space="preserve"> </w:t>
      </w:r>
      <w:r w:rsidRPr="007031B9">
        <w:rPr>
          <w:rFonts w:eastAsia="Times New Roman" w:cs="Times New Roman"/>
          <w:lang w:eastAsia="de-DE"/>
        </w:rPr>
        <w:t xml:space="preserve">(Qal Imperfekt, 3. m. sg. von </w:t>
      </w:r>
      <w:r w:rsidRPr="007031B9">
        <w:rPr>
          <w:rFonts w:eastAsia="Times New Roman" w:cs="Times New Roman"/>
          <w:b/>
          <w:bCs/>
          <w:rtl/>
          <w:lang w:eastAsia="de-DE"/>
        </w:rPr>
        <w:t>שׁכן</w:t>
      </w:r>
      <w:r w:rsidRPr="007031B9">
        <w:rPr>
          <w:rFonts w:eastAsia="Times New Roman" w:cs="Times New Roman"/>
          <w:lang w:eastAsia="de-DE"/>
        </w:rPr>
        <w:t xml:space="preserve">, „es wohnt"). Die zweite Zeile </w:t>
      </w:r>
      <w:r w:rsidRPr="007031B9">
        <w:rPr>
          <w:rFonts w:eastAsia="Times New Roman" w:cs="Times New Roman"/>
          <w:b/>
          <w:bCs/>
          <w:rtl/>
          <w:lang w:eastAsia="de-DE"/>
        </w:rPr>
        <w:t>וּבַגּוֹיִם לֹא יִתְחַשָּׁב</w:t>
      </w:r>
      <w:r w:rsidRPr="007031B9">
        <w:rPr>
          <w:rFonts w:eastAsia="Times New Roman" w:cs="Times New Roman"/>
          <w:rtl/>
          <w:lang w:eastAsia="de-DE"/>
        </w:rPr>
        <w:t xml:space="preserve"> </w:t>
      </w:r>
      <w:r w:rsidRPr="007031B9">
        <w:rPr>
          <w:rFonts w:eastAsia="Times New Roman" w:cs="Times New Roman"/>
          <w:lang w:eastAsia="de-DE"/>
        </w:rPr>
        <w:t xml:space="preserve">(„und unter den Nationen rechnet es sich nicht") – </w:t>
      </w:r>
      <w:r w:rsidRPr="007031B9">
        <w:rPr>
          <w:rFonts w:eastAsia="Times New Roman" w:cs="Times New Roman"/>
          <w:b/>
          <w:bCs/>
          <w:rtl/>
          <w:lang w:eastAsia="de-DE"/>
        </w:rPr>
        <w:t>בַּגּוֹיִם</w:t>
      </w:r>
      <w:r w:rsidRPr="007031B9">
        <w:rPr>
          <w:rFonts w:eastAsia="Times New Roman" w:cs="Times New Roman"/>
          <w:rtl/>
          <w:lang w:eastAsia="de-DE"/>
        </w:rPr>
        <w:t xml:space="preserve"> </w:t>
      </w:r>
      <w:r w:rsidRPr="007031B9">
        <w:rPr>
          <w:rFonts w:eastAsia="Times New Roman" w:cs="Times New Roman"/>
          <w:lang w:eastAsia="de-DE"/>
        </w:rPr>
        <w:t xml:space="preserve">„unter den Nationen" (Plural von </w:t>
      </w:r>
      <w:r w:rsidRPr="007031B9">
        <w:rPr>
          <w:rFonts w:eastAsia="Times New Roman" w:cs="Times New Roman"/>
          <w:b/>
          <w:bCs/>
          <w:rtl/>
          <w:lang w:eastAsia="de-DE"/>
        </w:rPr>
        <w:t>גּוֹי</w:t>
      </w:r>
      <w:r w:rsidRPr="007031B9">
        <w:rPr>
          <w:rFonts w:eastAsia="Times New Roman" w:cs="Times New Roman"/>
          <w:lang w:eastAsia="de-DE"/>
        </w:rPr>
        <w:t xml:space="preserve">), </w:t>
      </w:r>
      <w:r w:rsidRPr="007031B9">
        <w:rPr>
          <w:rFonts w:eastAsia="Times New Roman" w:cs="Times New Roman"/>
          <w:b/>
          <w:bCs/>
          <w:rtl/>
          <w:lang w:eastAsia="de-DE"/>
        </w:rPr>
        <w:t>לֹא יִתְחַשָּׁב</w:t>
      </w:r>
      <w:r w:rsidRPr="007031B9">
        <w:rPr>
          <w:rFonts w:eastAsia="Times New Roman" w:cs="Times New Roman"/>
          <w:rtl/>
          <w:lang w:eastAsia="de-DE"/>
        </w:rPr>
        <w:t xml:space="preserve"> </w:t>
      </w:r>
      <w:r w:rsidRPr="007031B9">
        <w:rPr>
          <w:rFonts w:eastAsia="Times New Roman" w:cs="Times New Roman"/>
          <w:lang w:eastAsia="de-DE"/>
        </w:rPr>
        <w:t xml:space="preserve">(Negation plus Hitpael Imperfekt, 3. m. sg. von </w:t>
      </w:r>
      <w:r w:rsidRPr="007031B9">
        <w:rPr>
          <w:rFonts w:eastAsia="Times New Roman" w:cs="Times New Roman"/>
          <w:b/>
          <w:bCs/>
          <w:rtl/>
          <w:lang w:eastAsia="de-DE"/>
        </w:rPr>
        <w:t>חשׁב</w:t>
      </w:r>
      <w:r w:rsidRPr="007031B9">
        <w:rPr>
          <w:rFonts w:eastAsia="Times New Roman" w:cs="Times New Roman"/>
          <w:lang w:eastAsia="de-DE"/>
        </w:rPr>
        <w:t>, „es rechnet sich nicht") – das Hitpael ist reflexiv „sich rechnen, sich zählen".</w:t>
      </w:r>
    </w:p>
    <w:p w14:paraId="403FA1A0" w14:textId="0D5466AD" w:rsid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Dies ist eine der berühmtesten Beschreibungen Israels in der Bibel: Israel ist ein Volk, das </w:t>
      </w:r>
      <w:r w:rsidRPr="007031B9">
        <w:rPr>
          <w:rFonts w:eastAsia="Times New Roman" w:cs="Times New Roman"/>
          <w:b/>
          <w:bCs/>
          <w:lang w:eastAsia="de-DE"/>
        </w:rPr>
        <w:t>abgesondert</w:t>
      </w:r>
      <w:r w:rsidRPr="007031B9">
        <w:rPr>
          <w:rFonts w:eastAsia="Times New Roman" w:cs="Times New Roman"/>
          <w:lang w:eastAsia="de-DE"/>
        </w:rPr>
        <w:t xml:space="preserve">, </w:t>
      </w:r>
      <w:r w:rsidRPr="007031B9">
        <w:rPr>
          <w:rFonts w:eastAsia="Times New Roman" w:cs="Times New Roman"/>
          <w:b/>
          <w:bCs/>
          <w:lang w:eastAsia="de-DE"/>
        </w:rPr>
        <w:t>einzigartig</w:t>
      </w:r>
      <w:r w:rsidRPr="007031B9">
        <w:rPr>
          <w:rFonts w:eastAsia="Times New Roman" w:cs="Times New Roman"/>
          <w:lang w:eastAsia="de-DE"/>
        </w:rPr>
        <w:t xml:space="preserve">, </w:t>
      </w:r>
      <w:r w:rsidRPr="007031B9">
        <w:rPr>
          <w:rFonts w:eastAsia="Times New Roman" w:cs="Times New Roman"/>
          <w:b/>
          <w:bCs/>
          <w:lang w:eastAsia="de-DE"/>
        </w:rPr>
        <w:t>nicht wie andere Nationen</w:t>
      </w:r>
      <w:r w:rsidRPr="007031B9">
        <w:rPr>
          <w:rFonts w:eastAsia="Times New Roman" w:cs="Times New Roman"/>
          <w:lang w:eastAsia="de-DE"/>
        </w:rPr>
        <w:t xml:space="preserve"> ist. Diese Absonderung ist nicht geografisch (obwohl das Wohnen in Kanaan eine Rolle spielt), sondern theologisch und ethnisch – Israel hat eine besondere Beziehung zu Gott, eine besondere Berufung, eine besondere Identität.</w:t>
      </w:r>
    </w:p>
    <w:p w14:paraId="103AEA2B" w14:textId="77777777" w:rsidR="007B5DE0" w:rsidRDefault="007B5DE0" w:rsidP="007B5DE0">
      <w:pPr>
        <w:pStyle w:val="font-claude-response-body"/>
      </w:pPr>
      <w:r>
        <w:rPr>
          <w:rStyle w:val="Fett"/>
        </w:rPr>
        <w:t>NT-Perspektive:</w:t>
      </w:r>
    </w:p>
    <w:p w14:paraId="3F363EA0" w14:textId="77777777" w:rsidR="007B5DE0" w:rsidRDefault="007B5DE0" w:rsidP="00F329DD">
      <w:pPr>
        <w:pStyle w:val="whitespace-normal"/>
        <w:numPr>
          <w:ilvl w:val="0"/>
          <w:numId w:val="259"/>
        </w:numPr>
      </w:pPr>
      <w:r>
        <w:rPr>
          <w:rStyle w:val="Fett"/>
        </w:rPr>
        <w:t>1. Petrus 2,9:</w:t>
      </w:r>
      <w:r>
        <w:t xml:space="preserve"> "Ihr aber seid ein auserwähltes Geschlecht, ein königliches Priestertum, ein heiliges Volk..." → Aufnahme von Israels Erwählungsstatus auf die Gemeinde</w:t>
      </w:r>
    </w:p>
    <w:p w14:paraId="79F3A1BB" w14:textId="40321129" w:rsidR="007B5DE0" w:rsidRPr="007B5DE0" w:rsidRDefault="007B5DE0" w:rsidP="00F329DD">
      <w:pPr>
        <w:pStyle w:val="whitespace-normal"/>
        <w:numPr>
          <w:ilvl w:val="0"/>
          <w:numId w:val="259"/>
        </w:numPr>
      </w:pPr>
      <w:r>
        <w:rPr>
          <w:rStyle w:val="Fett"/>
        </w:rPr>
        <w:t>Johannes 17,16:</w:t>
      </w:r>
      <w:r>
        <w:t xml:space="preserve"> "Sie sind nicht von der Welt, wie ich nicht von der Welt bin" → Absonderung der Jünger analog zu Israel</w:t>
      </w:r>
    </w:p>
    <w:p w14:paraId="642860B2"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Formulierung </w:t>
      </w:r>
      <w:r w:rsidRPr="007031B9">
        <w:rPr>
          <w:rFonts w:eastAsia="Times New Roman" w:cs="Times New Roman"/>
          <w:b/>
          <w:bCs/>
          <w:rtl/>
          <w:lang w:eastAsia="de-DE"/>
        </w:rPr>
        <w:t>לֹא יִתְחַשָּׁב בַּגּוֹיִם</w:t>
      </w:r>
      <w:r w:rsidRPr="007031B9">
        <w:rPr>
          <w:rFonts w:eastAsia="Times New Roman" w:cs="Times New Roman"/>
          <w:rtl/>
          <w:lang w:eastAsia="de-DE"/>
        </w:rPr>
        <w:t xml:space="preserve"> </w:t>
      </w:r>
      <w:r w:rsidRPr="007031B9">
        <w:rPr>
          <w:rFonts w:eastAsia="Times New Roman" w:cs="Times New Roman"/>
          <w:lang w:eastAsia="de-DE"/>
        </w:rPr>
        <w:t>„rechnet sich nicht unter die Nationen" bedeutet: Israel gehört nicht zur Kategorie der normalen Völker – es steht außerhalb der gewöhnlichen politischen und religiösen Strukturen der antiken Welt.</w:t>
      </w:r>
    </w:p>
    <w:p w14:paraId="7C128A3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Diese Beschreibung wurde historisch oft zitiert:</w:t>
      </w:r>
    </w:p>
    <w:p w14:paraId="6E4E56D8" w14:textId="77777777" w:rsidR="007031B9" w:rsidRPr="007031B9" w:rsidRDefault="007031B9" w:rsidP="00C15C06">
      <w:pPr>
        <w:numPr>
          <w:ilvl w:val="0"/>
          <w:numId w:val="16"/>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Positiv: Als Ausdruck von Israels erwählter, heiliger Stellung</w:t>
      </w:r>
    </w:p>
    <w:p w14:paraId="4E669314" w14:textId="77777777" w:rsidR="007031B9" w:rsidRPr="007031B9" w:rsidRDefault="007031B9" w:rsidP="00C15C06">
      <w:pPr>
        <w:numPr>
          <w:ilvl w:val="0"/>
          <w:numId w:val="16"/>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Problematisch: Als Rechtfertigung für Isolation oder als Erklärung für Israels Außenseiterstellung unter den Völkern</w:t>
      </w:r>
    </w:p>
    <w:p w14:paraId="502554C9"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lastRenderedPageBreak/>
        <w:t xml:space="preserve">Der ursprüngliche Kontext ist klar positiv: Israel ist </w:t>
      </w:r>
      <w:r w:rsidRPr="007031B9">
        <w:rPr>
          <w:rFonts w:eastAsia="Times New Roman" w:cs="Times New Roman"/>
          <w:b/>
          <w:bCs/>
          <w:lang w:eastAsia="de-DE"/>
        </w:rPr>
        <w:t>gesegnet</w:t>
      </w:r>
      <w:r w:rsidRPr="007031B9">
        <w:rPr>
          <w:rFonts w:eastAsia="Times New Roman" w:cs="Times New Roman"/>
          <w:lang w:eastAsia="de-DE"/>
        </w:rPr>
        <w:t xml:space="preserve">, </w:t>
      </w:r>
      <w:r w:rsidRPr="007031B9">
        <w:rPr>
          <w:rFonts w:eastAsia="Times New Roman" w:cs="Times New Roman"/>
          <w:b/>
          <w:bCs/>
          <w:lang w:eastAsia="de-DE"/>
        </w:rPr>
        <w:t>geschützt</w:t>
      </w:r>
      <w:r w:rsidRPr="007031B9">
        <w:rPr>
          <w:rFonts w:eastAsia="Times New Roman" w:cs="Times New Roman"/>
          <w:lang w:eastAsia="de-DE"/>
        </w:rPr>
        <w:t xml:space="preserve">, </w:t>
      </w:r>
      <w:r w:rsidRPr="007031B9">
        <w:rPr>
          <w:rFonts w:eastAsia="Times New Roman" w:cs="Times New Roman"/>
          <w:b/>
          <w:bCs/>
          <w:lang w:eastAsia="de-DE"/>
        </w:rPr>
        <w:t>besonders</w:t>
      </w:r>
      <w:r w:rsidRPr="007031B9">
        <w:rPr>
          <w:rFonts w:eastAsia="Times New Roman" w:cs="Times New Roman"/>
          <w:lang w:eastAsia="de-DE"/>
        </w:rPr>
        <w:t xml:space="preserve"> – deshalb kann es nicht verflucht werden.</w:t>
      </w:r>
    </w:p>
    <w:p w14:paraId="433279C9" w14:textId="02246101"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w:t>
      </w:r>
      <w:r w:rsidR="00C73FA4">
        <w:t>übersetzt „</w:t>
      </w:r>
      <w:r w:rsidR="00C73FA4" w:rsidRPr="00C73FA4">
        <w:rPr>
          <w:b/>
          <w:bCs/>
          <w:rtl/>
        </w:rPr>
        <w:t>אֶרְאֶנּוּ</w:t>
      </w:r>
      <w:r w:rsidR="00C73FA4">
        <w:t>" (ich sehe ihn) mit „ὄψομαι αὐτόν" (ich werde ihn sehen), eine futurische statt präsentische Perspektive, und „</w:t>
      </w:r>
      <w:r w:rsidR="00C73FA4" w:rsidRPr="00C73FA4">
        <w:rPr>
          <w:b/>
          <w:bCs/>
          <w:rtl/>
        </w:rPr>
        <w:t>אֲשׁוּרֶנּוּ</w:t>
      </w:r>
      <w:r w:rsidR="00C73FA4">
        <w:t>" (ich schaue ihn) wird zu „προσνοήσω αὐτόν" (ich werde auf ihn achten), was mehr Überlegung als bloßes Sehen impliziert.</w:t>
      </w:r>
    </w:p>
    <w:p w14:paraId="0276FAE6" w14:textId="38C2B0D5"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Satzstruktur zeigt einen kausalen Nebensatz mit paralleler </w:t>
      </w:r>
      <w:r w:rsidR="00F133EC">
        <w:rPr>
          <w:rFonts w:eastAsia="Times New Roman" w:cs="Times New Roman"/>
          <w:lang w:eastAsia="de-DE"/>
        </w:rPr>
        <w:t>Construct</w:t>
      </w:r>
      <w:r w:rsidRPr="007031B9">
        <w:rPr>
          <w:rFonts w:eastAsia="Times New Roman" w:cs="Times New Roman"/>
          <w:lang w:eastAsia="de-DE"/>
        </w:rPr>
        <w:t>ion (Präpositionalphrase, Verb mit Objektsuffix, parallel wiederholt), gefolgt von einem Hauptsatz mit Interjektion, Subjekt und zwei koordinierten Verbalsätzen (Adverb plus Verb bzw. Präpositionalphrase, Negation plus Verb). Insgesamt gibt es einen Nebensatz (Kausalsatz).</w:t>
      </w:r>
    </w:p>
    <w:p w14:paraId="29840C18"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beschreibt Israels Einzigartigkeit als Grund für Bileams Unvermögen zu fluchen – ein Volk, das so besonders ist, kann nicht mit gewöhnlichen Mitteln verflucht werden.</w:t>
      </w:r>
    </w:p>
    <w:p w14:paraId="49D0B396"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t>Numeri 23,10</w:t>
      </w:r>
    </w:p>
    <w:p w14:paraId="66865B2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מִ֤י מָנָה֙ עֲפַ֣ר יַעֲקֹ֔ב וּמִסְפָּ֖ר אֶת־רֹ֣בַע יִשְׂרָאֵ֑ל תָּמֹ֤ת נַפְשִׁי֙ מ֣וֹת יְשָׁרִ֔ים וּתְהִ֥י אַחֲרִיתִ֖י כָּמֹֽהוּ׃</w:t>
      </w:r>
    </w:p>
    <w:p w14:paraId="4B64DDC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Wer zählt den Staub Jakobs und die Zahl des vierten Teils von Israel? Möge meine Seele den Tod der Geraden sterben, und mein Ende sei wie seines!</w:t>
      </w:r>
    </w:p>
    <w:p w14:paraId="779E2FD4"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42EBB3FA">
          <v:rect id="_x0000_i1805" style="width:0;height:1.5pt" o:hralign="center" o:hrstd="t" o:hr="t" fillcolor="#a0a0a0" stroked="f"/>
        </w:pict>
      </w:r>
    </w:p>
    <w:p w14:paraId="0A9DCBDC"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Die rhetorische Frage über Israels Menge: </w:t>
      </w:r>
      <w:r w:rsidRPr="007031B9">
        <w:rPr>
          <w:rFonts w:eastAsia="Times New Roman" w:cs="Times New Roman"/>
          <w:b/>
          <w:bCs/>
          <w:rtl/>
          <w:lang w:eastAsia="de-DE"/>
        </w:rPr>
        <w:t>מִי מָנָה עֲפַר יַעֲקֹב וּמִסְפָּר אֶת־רֹבַע יִשְׂרָאֵל</w:t>
      </w:r>
      <w:r w:rsidRPr="007031B9">
        <w:rPr>
          <w:rFonts w:eastAsia="Times New Roman" w:cs="Times New Roman"/>
          <w:rtl/>
          <w:lang w:eastAsia="de-DE"/>
        </w:rPr>
        <w:t xml:space="preserve"> </w:t>
      </w:r>
      <w:r w:rsidRPr="007031B9">
        <w:rPr>
          <w:rFonts w:eastAsia="Times New Roman" w:cs="Times New Roman"/>
          <w:lang w:eastAsia="de-DE"/>
        </w:rPr>
        <w:t xml:space="preserve">(„Wer zählt den Staub Jakobs und die Zahl des vierten Teils von Israel?") – </w:t>
      </w:r>
      <w:r w:rsidRPr="007031B9">
        <w:rPr>
          <w:rFonts w:eastAsia="Times New Roman" w:cs="Times New Roman"/>
          <w:b/>
          <w:bCs/>
          <w:rtl/>
          <w:lang w:eastAsia="de-DE"/>
        </w:rPr>
        <w:t>מִי מָנָה</w:t>
      </w:r>
      <w:r w:rsidRPr="007031B9">
        <w:rPr>
          <w:rFonts w:eastAsia="Times New Roman" w:cs="Times New Roman"/>
          <w:rtl/>
          <w:lang w:eastAsia="de-DE"/>
        </w:rPr>
        <w:t xml:space="preserve"> </w:t>
      </w:r>
      <w:r w:rsidRPr="007031B9">
        <w:rPr>
          <w:rFonts w:eastAsia="Times New Roman" w:cs="Times New Roman"/>
          <w:lang w:eastAsia="de-DE"/>
        </w:rPr>
        <w:t xml:space="preserve">„wer hat gezählt/kann zählen?" – </w:t>
      </w:r>
      <w:r w:rsidRPr="007031B9">
        <w:rPr>
          <w:rFonts w:eastAsia="Times New Roman" w:cs="Times New Roman"/>
          <w:b/>
          <w:bCs/>
          <w:rtl/>
          <w:lang w:eastAsia="de-DE"/>
        </w:rPr>
        <w:t>מָנָה</w:t>
      </w:r>
      <w:r w:rsidRPr="007031B9">
        <w:rPr>
          <w:rFonts w:eastAsia="Times New Roman" w:cs="Times New Roman"/>
          <w:rtl/>
          <w:lang w:eastAsia="de-DE"/>
        </w:rPr>
        <w:t xml:space="preserve"> </w:t>
      </w:r>
      <w:r w:rsidRPr="007031B9">
        <w:rPr>
          <w:rFonts w:eastAsia="Times New Roman" w:cs="Times New Roman"/>
          <w:lang w:eastAsia="de-DE"/>
        </w:rPr>
        <w:t xml:space="preserve">(Qal Perfekt, 3. m. sg. von </w:t>
      </w:r>
      <w:r w:rsidRPr="007031B9">
        <w:rPr>
          <w:rFonts w:eastAsia="Times New Roman" w:cs="Times New Roman"/>
          <w:b/>
          <w:bCs/>
          <w:rtl/>
          <w:lang w:eastAsia="de-DE"/>
        </w:rPr>
        <w:t>מנה</w:t>
      </w:r>
      <w:r w:rsidRPr="007031B9">
        <w:rPr>
          <w:rFonts w:eastAsia="Times New Roman" w:cs="Times New Roman"/>
          <w:lang w:eastAsia="de-DE"/>
        </w:rPr>
        <w:t xml:space="preserve">, „er hat gezählt"). </w:t>
      </w:r>
      <w:r w:rsidRPr="007031B9">
        <w:rPr>
          <w:rFonts w:eastAsia="Times New Roman" w:cs="Times New Roman"/>
          <w:b/>
          <w:bCs/>
          <w:rtl/>
          <w:lang w:eastAsia="de-DE"/>
        </w:rPr>
        <w:t>עֲפַר יַעֲקֹב</w:t>
      </w:r>
      <w:r w:rsidRPr="007031B9">
        <w:rPr>
          <w:rFonts w:eastAsia="Times New Roman" w:cs="Times New Roman"/>
          <w:rtl/>
          <w:lang w:eastAsia="de-DE"/>
        </w:rPr>
        <w:t xml:space="preserve"> </w:t>
      </w:r>
      <w:r w:rsidRPr="007031B9">
        <w:rPr>
          <w:rFonts w:eastAsia="Times New Roman" w:cs="Times New Roman"/>
          <w:lang w:eastAsia="de-DE"/>
        </w:rPr>
        <w:t xml:space="preserve">(„den Staub Jakobs", Constructus-Verbindung) – </w:t>
      </w:r>
      <w:r w:rsidRPr="007031B9">
        <w:rPr>
          <w:rFonts w:eastAsia="Times New Roman" w:cs="Times New Roman"/>
          <w:b/>
          <w:bCs/>
          <w:rtl/>
          <w:lang w:eastAsia="de-DE"/>
        </w:rPr>
        <w:t>עָפָר</w:t>
      </w:r>
      <w:r w:rsidRPr="007031B9">
        <w:rPr>
          <w:rFonts w:eastAsia="Times New Roman" w:cs="Times New Roman"/>
          <w:rtl/>
          <w:lang w:eastAsia="de-DE"/>
        </w:rPr>
        <w:t xml:space="preserve"> </w:t>
      </w:r>
      <w:r w:rsidRPr="007031B9">
        <w:rPr>
          <w:rFonts w:eastAsia="Times New Roman" w:cs="Times New Roman"/>
          <w:lang w:eastAsia="de-DE"/>
        </w:rPr>
        <w:t xml:space="preserve">„Staub" ist eine Metapher für die unzählbare Menge, Anspielung an die Verheißungen an Abraham (Gen 13,16 „Ich will deine Nachkommen machen wie den Staub der Erde"). Die parallele Phrase </w:t>
      </w:r>
      <w:r w:rsidRPr="007031B9">
        <w:rPr>
          <w:rFonts w:eastAsia="Times New Roman" w:cs="Times New Roman"/>
          <w:b/>
          <w:bCs/>
          <w:rtl/>
          <w:lang w:eastAsia="de-DE"/>
        </w:rPr>
        <w:t>וּמִסְפָּר אֶת־רֹבַע יִשְׂרָאֵל</w:t>
      </w:r>
      <w:r w:rsidRPr="007031B9">
        <w:rPr>
          <w:rFonts w:eastAsia="Times New Roman" w:cs="Times New Roman"/>
          <w:rtl/>
          <w:lang w:eastAsia="de-DE"/>
        </w:rPr>
        <w:t xml:space="preserve"> </w:t>
      </w:r>
      <w:r w:rsidRPr="007031B9">
        <w:rPr>
          <w:rFonts w:eastAsia="Times New Roman" w:cs="Times New Roman"/>
          <w:lang w:eastAsia="de-DE"/>
        </w:rPr>
        <w:t xml:space="preserve">(„und die Zahl des vierten Teils von Israel") – </w:t>
      </w:r>
      <w:r w:rsidRPr="007031B9">
        <w:rPr>
          <w:rFonts w:eastAsia="Times New Roman" w:cs="Times New Roman"/>
          <w:b/>
          <w:bCs/>
          <w:rtl/>
          <w:lang w:eastAsia="de-DE"/>
        </w:rPr>
        <w:t>מִסְפָּר</w:t>
      </w:r>
      <w:r w:rsidRPr="007031B9">
        <w:rPr>
          <w:rFonts w:eastAsia="Times New Roman" w:cs="Times New Roman"/>
          <w:rtl/>
          <w:lang w:eastAsia="de-DE"/>
        </w:rPr>
        <w:t xml:space="preserve"> </w:t>
      </w:r>
      <w:r w:rsidRPr="007031B9">
        <w:rPr>
          <w:rFonts w:eastAsia="Times New Roman" w:cs="Times New Roman"/>
          <w:lang w:eastAsia="de-DE"/>
        </w:rPr>
        <w:t xml:space="preserve">„Zahl, Zählung", </w:t>
      </w:r>
      <w:r w:rsidRPr="007031B9">
        <w:rPr>
          <w:rFonts w:eastAsia="Times New Roman" w:cs="Times New Roman"/>
          <w:b/>
          <w:bCs/>
          <w:rtl/>
          <w:lang w:eastAsia="de-DE"/>
        </w:rPr>
        <w:t>רֹבַע</w:t>
      </w:r>
      <w:r w:rsidRPr="007031B9">
        <w:rPr>
          <w:rFonts w:eastAsia="Times New Roman" w:cs="Times New Roman"/>
          <w:rtl/>
          <w:lang w:eastAsia="de-DE"/>
        </w:rPr>
        <w:t xml:space="preserve"> </w:t>
      </w:r>
      <w:r w:rsidRPr="007031B9">
        <w:rPr>
          <w:rFonts w:eastAsia="Times New Roman" w:cs="Times New Roman"/>
          <w:lang w:eastAsia="de-DE"/>
        </w:rPr>
        <w:t xml:space="preserve">ist schwierig – möglicherweise „Viertel, vierter Teil" (von </w:t>
      </w:r>
      <w:r w:rsidRPr="007031B9">
        <w:rPr>
          <w:rFonts w:eastAsia="Times New Roman" w:cs="Times New Roman"/>
          <w:b/>
          <w:bCs/>
          <w:rtl/>
          <w:lang w:eastAsia="de-DE"/>
        </w:rPr>
        <w:t>רבע</w:t>
      </w:r>
      <w:r w:rsidRPr="007031B9">
        <w:rPr>
          <w:rFonts w:eastAsia="Times New Roman" w:cs="Times New Roman"/>
          <w:rtl/>
          <w:lang w:eastAsia="de-DE"/>
        </w:rPr>
        <w:t xml:space="preserve"> </w:t>
      </w:r>
      <w:r w:rsidRPr="007031B9">
        <w:rPr>
          <w:rFonts w:eastAsia="Times New Roman" w:cs="Times New Roman"/>
          <w:lang w:eastAsia="de-DE"/>
        </w:rPr>
        <w:t xml:space="preserve">„vier") oder „Myriaden" (Menge). Die traditionelle Deutung: Selbst nur ein </w:t>
      </w:r>
      <w:r w:rsidRPr="007031B9">
        <w:rPr>
          <w:rFonts w:eastAsia="Times New Roman" w:cs="Times New Roman"/>
          <w:b/>
          <w:bCs/>
          <w:lang w:eastAsia="de-DE"/>
        </w:rPr>
        <w:t>Viertel</w:t>
      </w:r>
      <w:r w:rsidRPr="007031B9">
        <w:rPr>
          <w:rFonts w:eastAsia="Times New Roman" w:cs="Times New Roman"/>
          <w:lang w:eastAsia="de-DE"/>
        </w:rPr>
        <w:t xml:space="preserve"> von Israel ist unzählbar!</w:t>
      </w:r>
    </w:p>
    <w:p w14:paraId="62A26381"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Poetischer Parallelismus:</w:t>
      </w:r>
    </w:p>
    <w:p w14:paraId="0AD028A1" w14:textId="77777777" w:rsidR="007031B9" w:rsidRPr="007031B9" w:rsidRDefault="007031B9" w:rsidP="00C15C06">
      <w:pPr>
        <w:numPr>
          <w:ilvl w:val="0"/>
          <w:numId w:val="17"/>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A: „Wer zählt den </w:t>
      </w:r>
      <w:r w:rsidRPr="007031B9">
        <w:rPr>
          <w:rFonts w:eastAsia="Times New Roman" w:cs="Times New Roman"/>
          <w:b/>
          <w:bCs/>
          <w:lang w:eastAsia="de-DE"/>
        </w:rPr>
        <w:t>Staub Jakobs</w:t>
      </w:r>
      <w:r w:rsidRPr="007031B9">
        <w:rPr>
          <w:rFonts w:eastAsia="Times New Roman" w:cs="Times New Roman"/>
          <w:lang w:eastAsia="de-DE"/>
        </w:rPr>
        <w:t>?"</w:t>
      </w:r>
    </w:p>
    <w:p w14:paraId="6EB35704" w14:textId="77777777" w:rsidR="007031B9" w:rsidRPr="007031B9" w:rsidRDefault="007031B9" w:rsidP="00C15C06">
      <w:pPr>
        <w:numPr>
          <w:ilvl w:val="0"/>
          <w:numId w:val="17"/>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B: „Und [wer zählt] die Zahl des </w:t>
      </w:r>
      <w:r w:rsidRPr="007031B9">
        <w:rPr>
          <w:rFonts w:eastAsia="Times New Roman" w:cs="Times New Roman"/>
          <w:b/>
          <w:bCs/>
          <w:lang w:eastAsia="de-DE"/>
        </w:rPr>
        <w:t>vierten Teils Israels</w:t>
      </w:r>
      <w:r w:rsidRPr="007031B9">
        <w:rPr>
          <w:rFonts w:eastAsia="Times New Roman" w:cs="Times New Roman"/>
          <w:lang w:eastAsia="de-DE"/>
        </w:rPr>
        <w:t>?"</w:t>
      </w:r>
    </w:p>
    <w:p w14:paraId="711E2CE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Antwort ist klar: Niemand! Israel ist zahllos wie der Staub – eine erfüllte Segensverheißung.</w:t>
      </w:r>
    </w:p>
    <w:p w14:paraId="2DAED006" w14:textId="3DF844C8"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Der persönliche Wunsch Bileams: </w:t>
      </w:r>
      <w:r w:rsidRPr="007031B9">
        <w:rPr>
          <w:rFonts w:eastAsia="Times New Roman" w:cs="Times New Roman"/>
          <w:b/>
          <w:bCs/>
          <w:rtl/>
          <w:lang w:eastAsia="de-DE"/>
        </w:rPr>
        <w:t>תָּמֹת נַפְשִׁי מוֹת יְשָׁרִים וּתְהִי אַחֲרִיתִי כָּמֹהוּ</w:t>
      </w:r>
      <w:r w:rsidRPr="007031B9">
        <w:rPr>
          <w:rFonts w:eastAsia="Times New Roman" w:cs="Times New Roman"/>
          <w:rtl/>
          <w:lang w:eastAsia="de-DE"/>
        </w:rPr>
        <w:t xml:space="preserve"> </w:t>
      </w:r>
      <w:r w:rsidRPr="007031B9">
        <w:rPr>
          <w:rFonts w:eastAsia="Times New Roman" w:cs="Times New Roman"/>
          <w:lang w:eastAsia="de-DE"/>
        </w:rPr>
        <w:t xml:space="preserve">(„Möge meine Seele den Tod der Geraden sterben, und mein Ende sei wie seines!") – </w:t>
      </w:r>
      <w:r w:rsidRPr="007031B9">
        <w:rPr>
          <w:rFonts w:eastAsia="Times New Roman" w:cs="Times New Roman"/>
          <w:b/>
          <w:bCs/>
          <w:rtl/>
          <w:lang w:eastAsia="de-DE"/>
        </w:rPr>
        <w:t>תָּמֹת נַפְשִׁי</w:t>
      </w:r>
      <w:r w:rsidRPr="007031B9">
        <w:rPr>
          <w:rFonts w:eastAsia="Times New Roman" w:cs="Times New Roman"/>
          <w:rtl/>
          <w:lang w:eastAsia="de-DE"/>
        </w:rPr>
        <w:t xml:space="preserve"> </w:t>
      </w:r>
      <w:r w:rsidRPr="007031B9">
        <w:rPr>
          <w:rFonts w:eastAsia="Times New Roman" w:cs="Times New Roman"/>
          <w:lang w:eastAsia="de-DE"/>
        </w:rPr>
        <w:t xml:space="preserve">(Qal Jussiv, 3. f. sg. von </w:t>
      </w:r>
      <w:r w:rsidRPr="007031B9">
        <w:rPr>
          <w:rFonts w:eastAsia="Times New Roman" w:cs="Times New Roman"/>
          <w:b/>
          <w:bCs/>
          <w:rtl/>
          <w:lang w:eastAsia="de-DE"/>
        </w:rPr>
        <w:t>מות</w:t>
      </w:r>
      <w:r w:rsidRPr="007031B9">
        <w:rPr>
          <w:rFonts w:eastAsia="Times New Roman" w:cs="Times New Roman"/>
          <w:lang w:eastAsia="de-DE"/>
        </w:rPr>
        <w:t xml:space="preserve">, „möge sterben meine Seele") – der Jussiv drückt Wunsch aus, </w:t>
      </w:r>
      <w:r w:rsidRPr="007031B9">
        <w:rPr>
          <w:rFonts w:eastAsia="Times New Roman" w:cs="Times New Roman"/>
          <w:b/>
          <w:bCs/>
          <w:rtl/>
          <w:lang w:eastAsia="de-DE"/>
        </w:rPr>
        <w:t>נֶפֶשׁ</w:t>
      </w:r>
      <w:r w:rsidRPr="007031B9">
        <w:rPr>
          <w:rFonts w:eastAsia="Times New Roman" w:cs="Times New Roman"/>
          <w:rtl/>
          <w:lang w:eastAsia="de-DE"/>
        </w:rPr>
        <w:t xml:space="preserve"> </w:t>
      </w:r>
      <w:r w:rsidRPr="007031B9">
        <w:rPr>
          <w:rFonts w:eastAsia="Times New Roman" w:cs="Times New Roman"/>
          <w:lang w:eastAsia="de-DE"/>
        </w:rPr>
        <w:t xml:space="preserve">„Seele, Leben" mit Possessivsuffix. Die emphatische </w:t>
      </w:r>
      <w:r w:rsidR="00F133EC">
        <w:rPr>
          <w:rFonts w:eastAsia="Times New Roman" w:cs="Times New Roman"/>
          <w:lang w:eastAsia="de-DE"/>
        </w:rPr>
        <w:t>Construct</w:t>
      </w:r>
      <w:r w:rsidRPr="007031B9">
        <w:rPr>
          <w:rFonts w:eastAsia="Times New Roman" w:cs="Times New Roman"/>
          <w:lang w:eastAsia="de-DE"/>
        </w:rPr>
        <w:t xml:space="preserve">ion </w:t>
      </w:r>
      <w:r w:rsidRPr="007031B9">
        <w:rPr>
          <w:rFonts w:eastAsia="Times New Roman" w:cs="Times New Roman"/>
          <w:b/>
          <w:bCs/>
          <w:rtl/>
          <w:lang w:eastAsia="de-DE"/>
        </w:rPr>
        <w:t>מוֹת יְשָׁרִים</w:t>
      </w:r>
      <w:r w:rsidRPr="007031B9">
        <w:rPr>
          <w:rFonts w:eastAsia="Times New Roman" w:cs="Times New Roman"/>
          <w:rtl/>
          <w:lang w:eastAsia="de-DE"/>
        </w:rPr>
        <w:t xml:space="preserve"> </w:t>
      </w:r>
      <w:r w:rsidRPr="007031B9">
        <w:rPr>
          <w:rFonts w:eastAsia="Times New Roman" w:cs="Times New Roman"/>
          <w:lang w:eastAsia="de-DE"/>
        </w:rPr>
        <w:t xml:space="preserve">(„den Tod der Geraden") – </w:t>
      </w:r>
      <w:r w:rsidRPr="007031B9">
        <w:rPr>
          <w:rFonts w:eastAsia="Times New Roman" w:cs="Times New Roman"/>
          <w:b/>
          <w:bCs/>
          <w:rtl/>
          <w:lang w:eastAsia="de-DE"/>
        </w:rPr>
        <w:t>מוֹת</w:t>
      </w:r>
      <w:r w:rsidRPr="007031B9">
        <w:rPr>
          <w:rFonts w:eastAsia="Times New Roman" w:cs="Times New Roman"/>
          <w:rtl/>
          <w:lang w:eastAsia="de-DE"/>
        </w:rPr>
        <w:t xml:space="preserve"> </w:t>
      </w:r>
      <w:r w:rsidRPr="007031B9">
        <w:rPr>
          <w:rFonts w:eastAsia="Times New Roman" w:cs="Times New Roman"/>
          <w:lang w:eastAsia="de-DE"/>
        </w:rPr>
        <w:t xml:space="preserve">(Infinitiv construct von </w:t>
      </w:r>
      <w:r w:rsidRPr="007031B9">
        <w:rPr>
          <w:rFonts w:eastAsia="Times New Roman" w:cs="Times New Roman"/>
          <w:b/>
          <w:bCs/>
          <w:rtl/>
          <w:lang w:eastAsia="de-DE"/>
        </w:rPr>
        <w:t>מות</w:t>
      </w:r>
      <w:r w:rsidRPr="007031B9">
        <w:rPr>
          <w:rFonts w:eastAsia="Times New Roman" w:cs="Times New Roman"/>
          <w:rtl/>
          <w:lang w:eastAsia="de-DE"/>
        </w:rPr>
        <w:t xml:space="preserve"> </w:t>
      </w:r>
      <w:r w:rsidRPr="007031B9">
        <w:rPr>
          <w:rFonts w:eastAsia="Times New Roman" w:cs="Times New Roman"/>
          <w:lang w:eastAsia="de-DE"/>
        </w:rPr>
        <w:t xml:space="preserve">als Akkusativ des inneren Objekts, „Tod sterben" = </w:t>
      </w:r>
      <w:r w:rsidRPr="007031B9">
        <w:rPr>
          <w:rFonts w:eastAsia="Times New Roman" w:cs="Times New Roman"/>
          <w:lang w:eastAsia="de-DE"/>
        </w:rPr>
        <w:lastRenderedPageBreak/>
        <w:t xml:space="preserve">„wirklich/völlig sterben"), </w:t>
      </w:r>
      <w:r w:rsidRPr="007031B9">
        <w:rPr>
          <w:rFonts w:eastAsia="Times New Roman" w:cs="Times New Roman"/>
          <w:b/>
          <w:bCs/>
          <w:rtl/>
          <w:lang w:eastAsia="de-DE"/>
        </w:rPr>
        <w:t>יְשָׁרִים</w:t>
      </w:r>
      <w:r w:rsidRPr="007031B9">
        <w:rPr>
          <w:rFonts w:eastAsia="Times New Roman" w:cs="Times New Roman"/>
          <w:rtl/>
          <w:lang w:eastAsia="de-DE"/>
        </w:rPr>
        <w:t xml:space="preserve"> </w:t>
      </w:r>
      <w:r w:rsidRPr="007031B9">
        <w:rPr>
          <w:rFonts w:eastAsia="Times New Roman" w:cs="Times New Roman"/>
          <w:lang w:eastAsia="de-DE"/>
        </w:rPr>
        <w:t xml:space="preserve">(Plural von </w:t>
      </w:r>
      <w:r w:rsidRPr="007031B9">
        <w:rPr>
          <w:rFonts w:eastAsia="Times New Roman" w:cs="Times New Roman"/>
          <w:b/>
          <w:bCs/>
          <w:rtl/>
          <w:lang w:eastAsia="de-DE"/>
        </w:rPr>
        <w:t>יָשָׁר</w:t>
      </w:r>
      <w:r w:rsidRPr="007031B9">
        <w:rPr>
          <w:rFonts w:eastAsia="Times New Roman" w:cs="Times New Roman"/>
          <w:lang w:eastAsia="de-DE"/>
        </w:rPr>
        <w:t>, „Gerade, Aufrechte, Gerechte") – bezeichnet die Frommen, Gerechten.</w:t>
      </w:r>
    </w:p>
    <w:p w14:paraId="266F521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parallele Zeile </w:t>
      </w:r>
      <w:r w:rsidRPr="007031B9">
        <w:rPr>
          <w:rFonts w:eastAsia="Times New Roman" w:cs="Times New Roman"/>
          <w:b/>
          <w:bCs/>
          <w:rtl/>
          <w:lang w:eastAsia="de-DE"/>
        </w:rPr>
        <w:t>וּתְהִי אַחֲרִיתִי כָּמֹהוּ</w:t>
      </w:r>
      <w:r w:rsidRPr="007031B9">
        <w:rPr>
          <w:rFonts w:eastAsia="Times New Roman" w:cs="Times New Roman"/>
          <w:rtl/>
          <w:lang w:eastAsia="de-DE"/>
        </w:rPr>
        <w:t xml:space="preserve"> </w:t>
      </w:r>
      <w:r w:rsidRPr="007031B9">
        <w:rPr>
          <w:rFonts w:eastAsia="Times New Roman" w:cs="Times New Roman"/>
          <w:lang w:eastAsia="de-DE"/>
        </w:rPr>
        <w:t xml:space="preserve">(„und mein Ende sei wie seines") – </w:t>
      </w:r>
      <w:r w:rsidRPr="007031B9">
        <w:rPr>
          <w:rFonts w:eastAsia="Times New Roman" w:cs="Times New Roman"/>
          <w:b/>
          <w:bCs/>
          <w:rtl/>
          <w:lang w:eastAsia="de-DE"/>
        </w:rPr>
        <w:t>תְּהִי</w:t>
      </w:r>
      <w:r w:rsidRPr="007031B9">
        <w:rPr>
          <w:rFonts w:eastAsia="Times New Roman" w:cs="Times New Roman"/>
          <w:rtl/>
          <w:lang w:eastAsia="de-DE"/>
        </w:rPr>
        <w:t xml:space="preserve"> </w:t>
      </w:r>
      <w:r w:rsidRPr="007031B9">
        <w:rPr>
          <w:rFonts w:eastAsia="Times New Roman" w:cs="Times New Roman"/>
          <w:lang w:eastAsia="de-DE"/>
        </w:rPr>
        <w:t xml:space="preserve">(Qal Jussiv, 3. f. sg. von </w:t>
      </w:r>
      <w:r w:rsidRPr="007031B9">
        <w:rPr>
          <w:rFonts w:eastAsia="Times New Roman" w:cs="Times New Roman"/>
          <w:b/>
          <w:bCs/>
          <w:rtl/>
          <w:lang w:eastAsia="de-DE"/>
        </w:rPr>
        <w:t>היה</w:t>
      </w:r>
      <w:r w:rsidRPr="007031B9">
        <w:rPr>
          <w:rFonts w:eastAsia="Times New Roman" w:cs="Times New Roman"/>
          <w:lang w:eastAsia="de-DE"/>
        </w:rPr>
        <w:t xml:space="preserve">, „möge sein"), </w:t>
      </w:r>
      <w:r w:rsidRPr="007031B9">
        <w:rPr>
          <w:rFonts w:eastAsia="Times New Roman" w:cs="Times New Roman"/>
          <w:b/>
          <w:bCs/>
          <w:rtl/>
          <w:lang w:eastAsia="de-DE"/>
        </w:rPr>
        <w:t>אַחֲרִית</w:t>
      </w:r>
      <w:r w:rsidRPr="007031B9">
        <w:rPr>
          <w:rFonts w:eastAsia="Times New Roman" w:cs="Times New Roman"/>
          <w:rtl/>
          <w:lang w:eastAsia="de-DE"/>
        </w:rPr>
        <w:t xml:space="preserve"> </w:t>
      </w:r>
      <w:r w:rsidRPr="007031B9">
        <w:rPr>
          <w:rFonts w:eastAsia="Times New Roman" w:cs="Times New Roman"/>
          <w:lang w:eastAsia="de-DE"/>
        </w:rPr>
        <w:t xml:space="preserve">„Ende, Zukunft, Nachkommenschaft" mit Possessivsuffix 1. c. sg., </w:t>
      </w:r>
      <w:r w:rsidRPr="007031B9">
        <w:rPr>
          <w:rFonts w:eastAsia="Times New Roman" w:cs="Times New Roman"/>
          <w:b/>
          <w:bCs/>
          <w:rtl/>
          <w:lang w:eastAsia="de-DE"/>
        </w:rPr>
        <w:t>כָּמֹהוּ</w:t>
      </w:r>
      <w:r w:rsidRPr="007031B9">
        <w:rPr>
          <w:rFonts w:eastAsia="Times New Roman" w:cs="Times New Roman"/>
          <w:rtl/>
          <w:lang w:eastAsia="de-DE"/>
        </w:rPr>
        <w:t xml:space="preserve"> </w:t>
      </w:r>
      <w:r w:rsidRPr="007031B9">
        <w:rPr>
          <w:rFonts w:eastAsia="Times New Roman" w:cs="Times New Roman"/>
          <w:lang w:eastAsia="de-DE"/>
        </w:rPr>
        <w:t>(„wie seines") mit Suffix 3. m. sg. – bezieht sich auf Israel/Jakob.</w:t>
      </w:r>
    </w:p>
    <w:p w14:paraId="17AE1DD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Dies ist ein erstaunliches Bekenntnis: Der heidnische Seher </w:t>
      </w:r>
      <w:r w:rsidRPr="007031B9">
        <w:rPr>
          <w:rFonts w:eastAsia="Times New Roman" w:cs="Times New Roman"/>
          <w:b/>
          <w:bCs/>
          <w:lang w:eastAsia="de-DE"/>
        </w:rPr>
        <w:t>wünscht</w:t>
      </w:r>
      <w:r w:rsidRPr="007031B9">
        <w:rPr>
          <w:rFonts w:eastAsia="Times New Roman" w:cs="Times New Roman"/>
          <w:lang w:eastAsia="de-DE"/>
        </w:rPr>
        <w:t>, wie die Gerechten Israels zu sterben! Er erkennt:</w:t>
      </w:r>
    </w:p>
    <w:p w14:paraId="0DBCA6BE" w14:textId="77777777" w:rsidR="007031B9" w:rsidRPr="007031B9" w:rsidRDefault="007031B9" w:rsidP="00C15C06">
      <w:pPr>
        <w:numPr>
          <w:ilvl w:val="0"/>
          <w:numId w:val="18"/>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Israel ist </w:t>
      </w:r>
      <w:r w:rsidRPr="007031B9">
        <w:rPr>
          <w:rFonts w:eastAsia="Times New Roman" w:cs="Times New Roman"/>
          <w:b/>
          <w:bCs/>
          <w:lang w:eastAsia="de-DE"/>
        </w:rPr>
        <w:t>gesegnet</w:t>
      </w:r>
      <w:r w:rsidRPr="007031B9">
        <w:rPr>
          <w:rFonts w:eastAsia="Times New Roman" w:cs="Times New Roman"/>
          <w:lang w:eastAsia="de-DE"/>
        </w:rPr>
        <w:t xml:space="preserve"> – ihr Ende ist gut</w:t>
      </w:r>
    </w:p>
    <w:p w14:paraId="19557961" w14:textId="77777777" w:rsidR="007031B9" w:rsidRPr="007031B9" w:rsidRDefault="007031B9" w:rsidP="00C15C06">
      <w:pPr>
        <w:numPr>
          <w:ilvl w:val="0"/>
          <w:numId w:val="18"/>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w:t>
      </w:r>
      <w:r w:rsidRPr="007031B9">
        <w:rPr>
          <w:rFonts w:eastAsia="Times New Roman" w:cs="Times New Roman"/>
          <w:b/>
          <w:bCs/>
          <w:lang w:eastAsia="de-DE"/>
        </w:rPr>
        <w:t>Gerechten</w:t>
      </w:r>
      <w:r w:rsidRPr="007031B9">
        <w:rPr>
          <w:rFonts w:eastAsia="Times New Roman" w:cs="Times New Roman"/>
          <w:lang w:eastAsia="de-DE"/>
        </w:rPr>
        <w:t xml:space="preserve"> (Israels Fromme) haben ein beneidenswertes Los</w:t>
      </w:r>
    </w:p>
    <w:p w14:paraId="7F1E341C" w14:textId="77777777" w:rsidR="007031B9" w:rsidRPr="007031B9" w:rsidRDefault="007031B9" w:rsidP="00C15C06">
      <w:pPr>
        <w:numPr>
          <w:ilvl w:val="0"/>
          <w:numId w:val="18"/>
        </w:num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Bileam selbst sehnt sich nach diesem Segen</w:t>
      </w:r>
    </w:p>
    <w:p w14:paraId="44C20704"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Ironie: Bileam wurde geholt, um Israel zu </w:t>
      </w:r>
      <w:r w:rsidRPr="007031B9">
        <w:rPr>
          <w:rFonts w:eastAsia="Times New Roman" w:cs="Times New Roman"/>
          <w:b/>
          <w:bCs/>
          <w:lang w:eastAsia="de-DE"/>
        </w:rPr>
        <w:t>verfluchen</w:t>
      </w:r>
      <w:r w:rsidRPr="007031B9">
        <w:rPr>
          <w:rFonts w:eastAsia="Times New Roman" w:cs="Times New Roman"/>
          <w:lang w:eastAsia="de-DE"/>
        </w:rPr>
        <w:t xml:space="preserve">, aber er endet damit, Israel zu </w:t>
      </w:r>
      <w:r w:rsidRPr="007031B9">
        <w:rPr>
          <w:rFonts w:eastAsia="Times New Roman" w:cs="Times New Roman"/>
          <w:b/>
          <w:bCs/>
          <w:lang w:eastAsia="de-DE"/>
        </w:rPr>
        <w:t>beneiden</w:t>
      </w:r>
      <w:r w:rsidRPr="007031B9">
        <w:rPr>
          <w:rFonts w:eastAsia="Times New Roman" w:cs="Times New Roman"/>
          <w:lang w:eastAsia="de-DE"/>
        </w:rPr>
        <w:t xml:space="preserve"> und ihren Segen zu </w:t>
      </w:r>
      <w:r w:rsidRPr="007031B9">
        <w:rPr>
          <w:rFonts w:eastAsia="Times New Roman" w:cs="Times New Roman"/>
          <w:b/>
          <w:bCs/>
          <w:lang w:eastAsia="de-DE"/>
        </w:rPr>
        <w:t>begehren</w:t>
      </w:r>
      <w:r w:rsidRPr="007031B9">
        <w:rPr>
          <w:rFonts w:eastAsia="Times New Roman" w:cs="Times New Roman"/>
          <w:lang w:eastAsia="de-DE"/>
        </w:rPr>
        <w:t>!</w:t>
      </w:r>
    </w:p>
    <w:p w14:paraId="6293ED35" w14:textId="045B912A"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w:t>
      </w:r>
      <w:r w:rsidR="00C73FA4">
        <w:t>übersetzt „</w:t>
      </w:r>
      <w:r w:rsidR="00C73FA4" w:rsidRPr="00C73FA4">
        <w:rPr>
          <w:b/>
          <w:bCs/>
          <w:rtl/>
        </w:rPr>
        <w:t>מִי מָנָה עֲפַר יַעֲקֹב</w:t>
      </w:r>
      <w:r w:rsidR="00C73FA4">
        <w:t>" (wer hat den Staub Jakobs gezählt?) mit „τίς ἐξηκριβάσατο τὸ σπέρμα Ἰακώβ" (wer hat den Samen Jakobs genau untersucht?), wobei "Staub" zu "Same" wird, und „</w:t>
      </w:r>
      <w:r w:rsidR="00C73FA4" w:rsidRPr="00C73FA4">
        <w:rPr>
          <w:b/>
          <w:bCs/>
          <w:rtl/>
        </w:rPr>
        <w:t>וּמִסְפָּר אֶת־רֹבַע יִשְׂרָאֵל</w:t>
      </w:r>
      <w:r w:rsidR="00C73FA4">
        <w:t>" (und die Zahl des vierten Teils Israels) wird zu „καὶ τίς ἐξαριθμήσεται δήμους Ἰσραήλ" (und wer wird die Stämme Israels aufzählen?), was "vierter Teil" zu "Stämme" ändert.</w:t>
      </w:r>
    </w:p>
    <w:p w14:paraId="5FFFF267"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Satzstruktur zeigt eine rhetorische Frage (Interrogativ, Verb, Objekt als Constructus-Verbindung, koordiniertes Objekt als komplexe Phrase), gefolgt von zwei parallel konstruierten Wunschsätzen (Jussiv, Subjekt, emphatisches inneres Objekt bzw. Jussiv, Subjekt, Präpositionalphrase mit Vergleich). Es gibt keine subordinierten Nebensätze.</w:t>
      </w:r>
    </w:p>
    <w:p w14:paraId="790345B0" w14:textId="377A7C2D"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schließt d</w:t>
      </w:r>
      <w:r w:rsidR="00682D5F">
        <w:rPr>
          <w:rFonts w:eastAsia="Times New Roman" w:cs="Times New Roman"/>
          <w:lang w:eastAsia="de-DE"/>
        </w:rPr>
        <w:t>ie</w:t>
      </w:r>
      <w:r w:rsidRPr="007031B9">
        <w:rPr>
          <w:rFonts w:eastAsia="Times New Roman" w:cs="Times New Roman"/>
          <w:lang w:eastAsia="de-DE"/>
        </w:rPr>
        <w:t xml:space="preserve"> erste </w:t>
      </w:r>
      <w:r w:rsidR="00682D5F">
        <w:rPr>
          <w:rFonts w:eastAsia="Times New Roman" w:cs="Times New Roman"/>
          <w:lang w:eastAsia="de-DE"/>
        </w:rPr>
        <w:t xml:space="preserve">Weissagung </w:t>
      </w:r>
      <w:r w:rsidRPr="007031B9">
        <w:rPr>
          <w:rFonts w:eastAsia="Times New Roman" w:cs="Times New Roman"/>
          <w:lang w:eastAsia="de-DE"/>
        </w:rPr>
        <w:t xml:space="preserve"> mit einem dramatischen Höhepunkt: Statt Fluch kommt Bewunderung, statt Verwünschung Segenswunsch! Bileam wünscht, am Ende wie Israel zu sein – gesegnet, zahlreich, gerecht.</w:t>
      </w:r>
    </w:p>
    <w:p w14:paraId="0D955CD6" w14:textId="75848332"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Ende de</w:t>
      </w:r>
      <w:r>
        <w:rPr>
          <w:rFonts w:eastAsia="Times New Roman" w:cs="Times New Roman"/>
          <w:b/>
          <w:bCs/>
          <w:lang w:eastAsia="de-DE"/>
        </w:rPr>
        <w:t>r</w:t>
      </w:r>
      <w:r w:rsidRPr="007031B9">
        <w:rPr>
          <w:rFonts w:eastAsia="Times New Roman" w:cs="Times New Roman"/>
          <w:b/>
          <w:bCs/>
          <w:lang w:eastAsia="de-DE"/>
        </w:rPr>
        <w:t xml:space="preserve"> ersten Weissagung.</w:t>
      </w:r>
      <w:r w:rsidRPr="007031B9">
        <w:rPr>
          <w:rFonts w:eastAsia="Times New Roman" w:cs="Times New Roman"/>
          <w:lang w:eastAsia="de-DE"/>
        </w:rPr>
        <w:t xml:space="preserve"> Die Reaktion Balaks wird explosiv sein...</w:t>
      </w:r>
    </w:p>
    <w:p w14:paraId="7DB1B35B"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t>Numeri 23,11</w:t>
      </w:r>
    </w:p>
    <w:p w14:paraId="253AABB0"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וַיֹּ֤אמֶר בָּלָק֙ אֶל־בִּלְעָ֔ם מֶ֥ה עָשִׂ֖יתָ לִ֑י לָקֹ֤ב אֹיְבַי֙ לְקַחְתִּ֔יךָ וְהִנֵּ֖ה בֵּרַ֥כְתָּ בָרֵֽךְ׃</w:t>
      </w:r>
    </w:p>
    <w:p w14:paraId="56D93BB4"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Da sprach Balak zu Bileam: Was hast du mir getan? Meine Feinde zu verfluchen habe ich dich geholt, und siehe, du hast sie sogar gesegnet!</w:t>
      </w:r>
    </w:p>
    <w:p w14:paraId="66D44E24"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002BD79C">
          <v:rect id="_x0000_i1806" style="width:0;height:1.5pt" o:hralign="center" o:hrstd="t" o:hr="t" fillcolor="#a0a0a0" stroked="f"/>
        </w:pict>
      </w:r>
    </w:p>
    <w:p w14:paraId="79C6AE8A"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Balaks empörte Reaktion beginnt mit der rhetorischen Frage: </w:t>
      </w:r>
      <w:r w:rsidRPr="007031B9">
        <w:rPr>
          <w:rFonts w:eastAsia="Times New Roman" w:cs="Times New Roman"/>
          <w:b/>
          <w:bCs/>
          <w:rtl/>
          <w:lang w:eastAsia="de-DE"/>
        </w:rPr>
        <w:t>מֶה עָשִׂיתָ לִי</w:t>
      </w:r>
      <w:r w:rsidRPr="007031B9">
        <w:rPr>
          <w:rFonts w:eastAsia="Times New Roman" w:cs="Times New Roman"/>
          <w:rtl/>
          <w:lang w:eastAsia="de-DE"/>
        </w:rPr>
        <w:t xml:space="preserve"> </w:t>
      </w:r>
      <w:r w:rsidRPr="007031B9">
        <w:rPr>
          <w:rFonts w:eastAsia="Times New Roman" w:cs="Times New Roman"/>
          <w:lang w:eastAsia="de-DE"/>
        </w:rPr>
        <w:t xml:space="preserve">(„Was hast du mir getan?") – </w:t>
      </w:r>
      <w:r w:rsidRPr="007031B9">
        <w:rPr>
          <w:rFonts w:eastAsia="Times New Roman" w:cs="Times New Roman"/>
          <w:b/>
          <w:bCs/>
          <w:rtl/>
          <w:lang w:eastAsia="de-DE"/>
        </w:rPr>
        <w:t>מָה</w:t>
      </w:r>
      <w:r w:rsidRPr="007031B9">
        <w:rPr>
          <w:rFonts w:eastAsia="Times New Roman" w:cs="Times New Roman"/>
          <w:rtl/>
          <w:lang w:eastAsia="de-DE"/>
        </w:rPr>
        <w:t xml:space="preserve"> </w:t>
      </w:r>
      <w:r w:rsidRPr="007031B9">
        <w:rPr>
          <w:rFonts w:eastAsia="Times New Roman" w:cs="Times New Roman"/>
          <w:lang w:eastAsia="de-DE"/>
        </w:rPr>
        <w:t xml:space="preserve">Interrogativ, </w:t>
      </w:r>
      <w:r w:rsidRPr="007031B9">
        <w:rPr>
          <w:rFonts w:eastAsia="Times New Roman" w:cs="Times New Roman"/>
          <w:b/>
          <w:bCs/>
          <w:rtl/>
          <w:lang w:eastAsia="de-DE"/>
        </w:rPr>
        <w:t>עָשִׂיתָ</w:t>
      </w:r>
      <w:r w:rsidRPr="007031B9">
        <w:rPr>
          <w:rFonts w:eastAsia="Times New Roman" w:cs="Times New Roman"/>
          <w:rtl/>
          <w:lang w:eastAsia="de-DE"/>
        </w:rPr>
        <w:t xml:space="preserve"> </w:t>
      </w:r>
      <w:r w:rsidRPr="007031B9">
        <w:rPr>
          <w:rFonts w:eastAsia="Times New Roman" w:cs="Times New Roman"/>
          <w:lang w:eastAsia="de-DE"/>
        </w:rPr>
        <w:t xml:space="preserve">(Qal Perfekt, 2. m. sg. von </w:t>
      </w:r>
      <w:r w:rsidRPr="007031B9">
        <w:rPr>
          <w:rFonts w:eastAsia="Times New Roman" w:cs="Times New Roman"/>
          <w:b/>
          <w:bCs/>
          <w:rtl/>
          <w:lang w:eastAsia="de-DE"/>
        </w:rPr>
        <w:t>עשׂה</w:t>
      </w:r>
      <w:r w:rsidRPr="007031B9">
        <w:rPr>
          <w:rFonts w:eastAsia="Times New Roman" w:cs="Times New Roman"/>
          <w:lang w:eastAsia="de-DE"/>
        </w:rPr>
        <w:t xml:space="preserve">, „du hast getan"), </w:t>
      </w:r>
      <w:r w:rsidRPr="007031B9">
        <w:rPr>
          <w:rFonts w:eastAsia="Times New Roman" w:cs="Times New Roman"/>
          <w:b/>
          <w:bCs/>
          <w:rtl/>
          <w:lang w:eastAsia="de-DE"/>
        </w:rPr>
        <w:t>לִי</w:t>
      </w:r>
      <w:r w:rsidRPr="007031B9">
        <w:rPr>
          <w:rFonts w:eastAsia="Times New Roman" w:cs="Times New Roman"/>
          <w:rtl/>
          <w:lang w:eastAsia="de-DE"/>
        </w:rPr>
        <w:t xml:space="preserve"> </w:t>
      </w:r>
      <w:r w:rsidRPr="007031B9">
        <w:rPr>
          <w:rFonts w:eastAsia="Times New Roman" w:cs="Times New Roman"/>
          <w:lang w:eastAsia="de-DE"/>
        </w:rPr>
        <w:t>Dativ „mir" – die Frage drückt Empörung, Enttäuschung, fast Anklage aus: „Was hast du mir angetan?"</w:t>
      </w:r>
    </w:p>
    <w:p w14:paraId="5622E0D0"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lastRenderedPageBreak/>
        <w:t xml:space="preserve">Die Anklage: </w:t>
      </w:r>
      <w:r w:rsidRPr="007031B9">
        <w:rPr>
          <w:rFonts w:eastAsia="Times New Roman" w:cs="Times New Roman"/>
          <w:b/>
          <w:bCs/>
          <w:rtl/>
          <w:lang w:eastAsia="de-DE"/>
        </w:rPr>
        <w:t>לָקֹב אֹיְבַי לְקַחְתִּיךָ וְהִנֵּה בֵּרַכְתָּ בָרֵךְ</w:t>
      </w:r>
      <w:r w:rsidRPr="007031B9">
        <w:rPr>
          <w:rFonts w:eastAsia="Times New Roman" w:cs="Times New Roman"/>
          <w:rtl/>
          <w:lang w:eastAsia="de-DE"/>
        </w:rPr>
        <w:t xml:space="preserve"> </w:t>
      </w:r>
      <w:r w:rsidRPr="007031B9">
        <w:rPr>
          <w:rFonts w:eastAsia="Times New Roman" w:cs="Times New Roman"/>
          <w:lang w:eastAsia="de-DE"/>
        </w:rPr>
        <w:t xml:space="preserve">(„Meine Feinde zu verfluchen habe ich dich geholt, und siehe, du hast [sie] sogar gesegnet!") – </w:t>
      </w:r>
      <w:r w:rsidRPr="007031B9">
        <w:rPr>
          <w:rFonts w:eastAsia="Times New Roman" w:cs="Times New Roman"/>
          <w:b/>
          <w:bCs/>
          <w:rtl/>
          <w:lang w:eastAsia="de-DE"/>
        </w:rPr>
        <w:t>לָקֹב אֹיְבַי</w:t>
      </w:r>
      <w:r w:rsidRPr="007031B9">
        <w:rPr>
          <w:rFonts w:eastAsia="Times New Roman" w:cs="Times New Roman"/>
          <w:rtl/>
          <w:lang w:eastAsia="de-DE"/>
        </w:rPr>
        <w:t xml:space="preserve"> </w:t>
      </w:r>
      <w:r w:rsidRPr="007031B9">
        <w:rPr>
          <w:rFonts w:eastAsia="Times New Roman" w:cs="Times New Roman"/>
          <w:lang w:eastAsia="de-DE"/>
        </w:rPr>
        <w:t xml:space="preserve">(„meine Feinde zu verfluchen") – </w:t>
      </w:r>
      <w:r w:rsidRPr="007031B9">
        <w:rPr>
          <w:rFonts w:eastAsia="Times New Roman" w:cs="Times New Roman"/>
          <w:b/>
          <w:bCs/>
          <w:rtl/>
          <w:lang w:eastAsia="de-DE"/>
        </w:rPr>
        <w:t>לָקֹב</w:t>
      </w:r>
      <w:r w:rsidRPr="007031B9">
        <w:rPr>
          <w:rFonts w:eastAsia="Times New Roman" w:cs="Times New Roman"/>
          <w:rtl/>
          <w:lang w:eastAsia="de-DE"/>
        </w:rPr>
        <w:t xml:space="preserve"> </w:t>
      </w:r>
      <w:r w:rsidRPr="007031B9">
        <w:rPr>
          <w:rFonts w:eastAsia="Times New Roman" w:cs="Times New Roman"/>
          <w:lang w:eastAsia="de-DE"/>
        </w:rPr>
        <w:t xml:space="preserve">(Qal Infinitiv construct von </w:t>
      </w:r>
      <w:r w:rsidRPr="007031B9">
        <w:rPr>
          <w:rFonts w:eastAsia="Times New Roman" w:cs="Times New Roman"/>
          <w:b/>
          <w:bCs/>
          <w:rtl/>
          <w:lang w:eastAsia="de-DE"/>
        </w:rPr>
        <w:t>קבב</w:t>
      </w:r>
      <w:r w:rsidRPr="007031B9">
        <w:rPr>
          <w:rFonts w:eastAsia="Times New Roman" w:cs="Times New Roman"/>
          <w:rtl/>
          <w:lang w:eastAsia="de-DE"/>
        </w:rPr>
        <w:t xml:space="preserve"> </w:t>
      </w:r>
      <w:r w:rsidRPr="007031B9">
        <w:rPr>
          <w:rFonts w:eastAsia="Times New Roman" w:cs="Times New Roman"/>
          <w:lang w:eastAsia="de-DE"/>
        </w:rPr>
        <w:t xml:space="preserve">mit </w:t>
      </w:r>
      <w:r w:rsidRPr="007031B9">
        <w:rPr>
          <w:rFonts w:eastAsia="Times New Roman" w:cs="Times New Roman"/>
          <w:b/>
          <w:bCs/>
          <w:rtl/>
          <w:lang w:eastAsia="de-DE"/>
        </w:rPr>
        <w:t>לְ</w:t>
      </w:r>
      <w:r w:rsidRPr="007031B9">
        <w:rPr>
          <w:rFonts w:eastAsia="Times New Roman" w:cs="Times New Roman"/>
          <w:lang w:eastAsia="de-DE"/>
        </w:rPr>
        <w:t xml:space="preserve">, „zu verfluchen"), </w:t>
      </w:r>
      <w:r w:rsidRPr="007031B9">
        <w:rPr>
          <w:rFonts w:eastAsia="Times New Roman" w:cs="Times New Roman"/>
          <w:b/>
          <w:bCs/>
          <w:rtl/>
          <w:lang w:eastAsia="de-DE"/>
        </w:rPr>
        <w:t>אֹיְבַי</w:t>
      </w:r>
      <w:r w:rsidRPr="007031B9">
        <w:rPr>
          <w:rFonts w:eastAsia="Times New Roman" w:cs="Times New Roman"/>
          <w:rtl/>
          <w:lang w:eastAsia="de-DE"/>
        </w:rPr>
        <w:t xml:space="preserve"> </w:t>
      </w:r>
      <w:r w:rsidRPr="007031B9">
        <w:rPr>
          <w:rFonts w:eastAsia="Times New Roman" w:cs="Times New Roman"/>
          <w:lang w:eastAsia="de-DE"/>
        </w:rPr>
        <w:t xml:space="preserve">(„meine Feinde") – </w:t>
      </w:r>
      <w:r w:rsidRPr="007031B9">
        <w:rPr>
          <w:rFonts w:eastAsia="Times New Roman" w:cs="Times New Roman"/>
          <w:b/>
          <w:bCs/>
          <w:rtl/>
          <w:lang w:eastAsia="de-DE"/>
        </w:rPr>
        <w:t>אֹיֵב</w:t>
      </w:r>
      <w:r w:rsidRPr="007031B9">
        <w:rPr>
          <w:rFonts w:eastAsia="Times New Roman" w:cs="Times New Roman"/>
          <w:rtl/>
          <w:lang w:eastAsia="de-DE"/>
        </w:rPr>
        <w:t xml:space="preserve"> </w:t>
      </w:r>
      <w:r w:rsidRPr="007031B9">
        <w:rPr>
          <w:rFonts w:eastAsia="Times New Roman" w:cs="Times New Roman"/>
          <w:lang w:eastAsia="de-DE"/>
        </w:rPr>
        <w:t xml:space="preserve">„Feind" mit Possessivsuffix 1. c. sg. – Balak bezeichnet Israel als seine </w:t>
      </w:r>
      <w:r w:rsidRPr="007031B9">
        <w:rPr>
          <w:rFonts w:eastAsia="Times New Roman" w:cs="Times New Roman"/>
          <w:b/>
          <w:bCs/>
          <w:lang w:eastAsia="de-DE"/>
        </w:rPr>
        <w:t>Feinde</w:t>
      </w:r>
      <w:r w:rsidRPr="007031B9">
        <w:rPr>
          <w:rFonts w:eastAsia="Times New Roman" w:cs="Times New Roman"/>
          <w:lang w:eastAsia="de-DE"/>
        </w:rPr>
        <w:t xml:space="preserve">. </w:t>
      </w:r>
      <w:r w:rsidRPr="007031B9">
        <w:rPr>
          <w:rFonts w:eastAsia="Times New Roman" w:cs="Times New Roman"/>
          <w:b/>
          <w:bCs/>
          <w:rtl/>
          <w:lang w:eastAsia="de-DE"/>
        </w:rPr>
        <w:t>לְקַחְתִּיךָ</w:t>
      </w:r>
      <w:r w:rsidRPr="007031B9">
        <w:rPr>
          <w:rFonts w:eastAsia="Times New Roman" w:cs="Times New Roman"/>
          <w:rtl/>
          <w:lang w:eastAsia="de-DE"/>
        </w:rPr>
        <w:t xml:space="preserve"> </w:t>
      </w:r>
      <w:r w:rsidRPr="007031B9">
        <w:rPr>
          <w:rFonts w:eastAsia="Times New Roman" w:cs="Times New Roman"/>
          <w:lang w:eastAsia="de-DE"/>
        </w:rPr>
        <w:t xml:space="preserve">(Qal Perfekt, 1. c. sg. von </w:t>
      </w:r>
      <w:r w:rsidRPr="007031B9">
        <w:rPr>
          <w:rFonts w:eastAsia="Times New Roman" w:cs="Times New Roman"/>
          <w:b/>
          <w:bCs/>
          <w:rtl/>
          <w:lang w:eastAsia="de-DE"/>
        </w:rPr>
        <w:t>לקח</w:t>
      </w:r>
      <w:r w:rsidRPr="007031B9">
        <w:rPr>
          <w:rFonts w:eastAsia="Times New Roman" w:cs="Times New Roman"/>
          <w:rtl/>
          <w:lang w:eastAsia="de-DE"/>
        </w:rPr>
        <w:t xml:space="preserve"> </w:t>
      </w:r>
      <w:r w:rsidRPr="007031B9">
        <w:rPr>
          <w:rFonts w:eastAsia="Times New Roman" w:cs="Times New Roman"/>
          <w:lang w:eastAsia="de-DE"/>
        </w:rPr>
        <w:t>mit Objektsuffix 2. m. sg., „ich habe dich geholt") – der finale Infinitiv steht vor dem Hauptverb zur Betonung.</w:t>
      </w:r>
    </w:p>
    <w:p w14:paraId="13176EFF" w14:textId="0212B24A"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Der schockierte Ausruf: </w:t>
      </w:r>
      <w:r w:rsidRPr="007031B9">
        <w:rPr>
          <w:rFonts w:eastAsia="Times New Roman" w:cs="Times New Roman"/>
          <w:b/>
          <w:bCs/>
          <w:rtl/>
          <w:lang w:eastAsia="de-DE"/>
        </w:rPr>
        <w:t>וְהִנֵּה בֵּרַכְתָּ בָרֵךְ</w:t>
      </w:r>
      <w:r w:rsidRPr="007031B9">
        <w:rPr>
          <w:rFonts w:eastAsia="Times New Roman" w:cs="Times New Roman"/>
          <w:rtl/>
          <w:lang w:eastAsia="de-DE"/>
        </w:rPr>
        <w:t xml:space="preserve"> </w:t>
      </w:r>
      <w:r w:rsidRPr="007031B9">
        <w:rPr>
          <w:rFonts w:eastAsia="Times New Roman" w:cs="Times New Roman"/>
          <w:lang w:eastAsia="de-DE"/>
        </w:rPr>
        <w:t xml:space="preserve">(„und siehe, du hast gesegnet gesegnet!" = „du hast sogar/sehr gesegnet!") – </w:t>
      </w:r>
      <w:r w:rsidRPr="007031B9">
        <w:rPr>
          <w:rFonts w:eastAsia="Times New Roman" w:cs="Times New Roman"/>
          <w:b/>
          <w:bCs/>
          <w:rtl/>
          <w:lang w:eastAsia="de-DE"/>
        </w:rPr>
        <w:t>וְהִנֵּה</w:t>
      </w:r>
      <w:r w:rsidRPr="007031B9">
        <w:rPr>
          <w:rFonts w:eastAsia="Times New Roman" w:cs="Times New Roman"/>
          <w:rtl/>
          <w:lang w:eastAsia="de-DE"/>
        </w:rPr>
        <w:t xml:space="preserve"> </w:t>
      </w:r>
      <w:r w:rsidRPr="007031B9">
        <w:rPr>
          <w:rFonts w:eastAsia="Times New Roman" w:cs="Times New Roman"/>
          <w:lang w:eastAsia="de-DE"/>
        </w:rPr>
        <w:t xml:space="preserve">Interjektion der Überraschung, </w:t>
      </w:r>
      <w:r w:rsidRPr="007031B9">
        <w:rPr>
          <w:rFonts w:eastAsia="Times New Roman" w:cs="Times New Roman"/>
          <w:b/>
          <w:bCs/>
          <w:rtl/>
          <w:lang w:eastAsia="de-DE"/>
        </w:rPr>
        <w:t>בֵּרַכְתָּ בָרֵךְ</w:t>
      </w:r>
      <w:r w:rsidRPr="007031B9">
        <w:rPr>
          <w:rFonts w:eastAsia="Times New Roman" w:cs="Times New Roman"/>
          <w:rtl/>
          <w:lang w:eastAsia="de-DE"/>
        </w:rPr>
        <w:t xml:space="preserve"> </w:t>
      </w:r>
      <w:r w:rsidRPr="007031B9">
        <w:rPr>
          <w:rFonts w:eastAsia="Times New Roman" w:cs="Times New Roman"/>
          <w:lang w:eastAsia="de-DE"/>
        </w:rPr>
        <w:t xml:space="preserve">ist eine emphatische </w:t>
      </w:r>
      <w:r w:rsidR="00F133EC">
        <w:rPr>
          <w:rFonts w:eastAsia="Times New Roman" w:cs="Times New Roman"/>
          <w:lang w:eastAsia="de-DE"/>
        </w:rPr>
        <w:t>Construct</w:t>
      </w:r>
      <w:r w:rsidRPr="007031B9">
        <w:rPr>
          <w:rFonts w:eastAsia="Times New Roman" w:cs="Times New Roman"/>
          <w:lang w:eastAsia="de-DE"/>
        </w:rPr>
        <w:t xml:space="preserve">ion: </w:t>
      </w:r>
      <w:r w:rsidRPr="007031B9">
        <w:rPr>
          <w:rFonts w:eastAsia="Times New Roman" w:cs="Times New Roman"/>
          <w:b/>
          <w:bCs/>
          <w:rtl/>
          <w:lang w:eastAsia="de-DE"/>
        </w:rPr>
        <w:t>בָּרֵךְ</w:t>
      </w:r>
      <w:r w:rsidRPr="007031B9">
        <w:rPr>
          <w:rFonts w:eastAsia="Times New Roman" w:cs="Times New Roman"/>
          <w:rtl/>
          <w:lang w:eastAsia="de-DE"/>
        </w:rPr>
        <w:t xml:space="preserve"> </w:t>
      </w:r>
      <w:r w:rsidRPr="007031B9">
        <w:rPr>
          <w:rFonts w:eastAsia="Times New Roman" w:cs="Times New Roman"/>
          <w:lang w:eastAsia="de-DE"/>
        </w:rPr>
        <w:t xml:space="preserve">(Piel Infinitiv absolutus von </w:t>
      </w:r>
      <w:r w:rsidRPr="007031B9">
        <w:rPr>
          <w:rFonts w:eastAsia="Times New Roman" w:cs="Times New Roman"/>
          <w:b/>
          <w:bCs/>
          <w:rtl/>
          <w:lang w:eastAsia="de-DE"/>
        </w:rPr>
        <w:t>ברך</w:t>
      </w:r>
      <w:r w:rsidRPr="007031B9">
        <w:rPr>
          <w:rFonts w:eastAsia="Times New Roman" w:cs="Times New Roman"/>
          <w:lang w:eastAsia="de-DE"/>
        </w:rPr>
        <w:t xml:space="preserve">, „segnen") plus </w:t>
      </w:r>
      <w:r w:rsidRPr="007031B9">
        <w:rPr>
          <w:rFonts w:eastAsia="Times New Roman" w:cs="Times New Roman"/>
          <w:b/>
          <w:bCs/>
          <w:rtl/>
          <w:lang w:eastAsia="de-DE"/>
        </w:rPr>
        <w:t>בֵּרַכְתָּ</w:t>
      </w:r>
      <w:r w:rsidRPr="007031B9">
        <w:rPr>
          <w:rFonts w:eastAsia="Times New Roman" w:cs="Times New Roman"/>
          <w:rtl/>
          <w:lang w:eastAsia="de-DE"/>
        </w:rPr>
        <w:t xml:space="preserve"> </w:t>
      </w:r>
      <w:r w:rsidRPr="007031B9">
        <w:rPr>
          <w:rFonts w:eastAsia="Times New Roman" w:cs="Times New Roman"/>
          <w:lang w:eastAsia="de-DE"/>
        </w:rPr>
        <w:t xml:space="preserve">(Piel Perfekt, 2. m. sg. von </w:t>
      </w:r>
      <w:r w:rsidRPr="007031B9">
        <w:rPr>
          <w:rFonts w:eastAsia="Times New Roman" w:cs="Times New Roman"/>
          <w:b/>
          <w:bCs/>
          <w:rtl/>
          <w:lang w:eastAsia="de-DE"/>
        </w:rPr>
        <w:t>ברך</w:t>
      </w:r>
      <w:r w:rsidRPr="007031B9">
        <w:rPr>
          <w:rFonts w:eastAsia="Times New Roman" w:cs="Times New Roman"/>
          <w:lang w:eastAsia="de-DE"/>
        </w:rPr>
        <w:t>, „du hast gesegnet") – die figura etymologica verstärkt: „segnend hast du gesegnet" = „du hast wirklich/sogar gesegnet".</w:t>
      </w:r>
    </w:p>
    <w:p w14:paraId="0509E18A"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Ironie ist überwältigend: Balak wollte einen </w:t>
      </w:r>
      <w:r w:rsidRPr="007031B9">
        <w:rPr>
          <w:rFonts w:eastAsia="Times New Roman" w:cs="Times New Roman"/>
          <w:b/>
          <w:bCs/>
          <w:lang w:eastAsia="de-DE"/>
        </w:rPr>
        <w:t>Fluch</w:t>
      </w:r>
      <w:r w:rsidRPr="007031B9">
        <w:rPr>
          <w:rFonts w:eastAsia="Times New Roman" w:cs="Times New Roman"/>
          <w:lang w:eastAsia="de-DE"/>
        </w:rPr>
        <w:t xml:space="preserve">, bekam aber einen </w:t>
      </w:r>
      <w:r w:rsidRPr="007031B9">
        <w:rPr>
          <w:rFonts w:eastAsia="Times New Roman" w:cs="Times New Roman"/>
          <w:b/>
          <w:bCs/>
          <w:lang w:eastAsia="de-DE"/>
        </w:rPr>
        <w:t>Segen</w:t>
      </w:r>
      <w:r w:rsidRPr="007031B9">
        <w:rPr>
          <w:rFonts w:eastAsia="Times New Roman" w:cs="Times New Roman"/>
          <w:lang w:eastAsia="de-DE"/>
        </w:rPr>
        <w:t>! Nicht nur hat Bileam nicht verflucht – er hat das genaue Gegenteil getan. Balaks Frustration ist verständlich – er hat viel investiert (Geld, Zeit, Opfer), um das Gegenteil des Gewünschten zu erreichen.</w:t>
      </w:r>
    </w:p>
    <w:p w14:paraId="671E27BF" w14:textId="350C9388"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folgt dem hebräischen Text, übersetzt die emphatische </w:t>
      </w:r>
      <w:r w:rsidR="00F133EC">
        <w:rPr>
          <w:rFonts w:eastAsia="Times New Roman" w:cs="Times New Roman"/>
          <w:lang w:eastAsia="de-DE"/>
        </w:rPr>
        <w:t>Construct</w:t>
      </w:r>
      <w:r w:rsidRPr="007031B9">
        <w:rPr>
          <w:rFonts w:eastAsia="Times New Roman" w:cs="Times New Roman"/>
          <w:lang w:eastAsia="de-DE"/>
        </w:rPr>
        <w:t>ion mit εὐλογίαν εὐλόγησας (eulogian eulogēsas, „mit Segen hast du gesegnet").</w:t>
      </w:r>
    </w:p>
    <w:p w14:paraId="0AE7C892" w14:textId="6583D719"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Satzstruktur zeigt einen Hauptsatz mit Verb, Subjekt und indirektem Objekt. Die direkte Rede enthält: rhetorische Frage (Interrogativ, Verb, Dativ), Hauptsatz mit vorangestelltem finalem Infinitiv (mit Objekt), Verb mit Objektsuffix, und abschließende Interjektion mit emphatischer Verb-</w:t>
      </w:r>
      <w:r w:rsidR="00F133EC">
        <w:rPr>
          <w:rFonts w:eastAsia="Times New Roman" w:cs="Times New Roman"/>
          <w:lang w:eastAsia="de-DE"/>
        </w:rPr>
        <w:t>Construct</w:t>
      </w:r>
      <w:r w:rsidRPr="007031B9">
        <w:rPr>
          <w:rFonts w:eastAsia="Times New Roman" w:cs="Times New Roman"/>
          <w:lang w:eastAsia="de-DE"/>
        </w:rPr>
        <w:t xml:space="preserve">ion. Insgesamt gibt es einen Nebensatz </w:t>
      </w:r>
      <w:r w:rsidR="007B5DE0">
        <w:t xml:space="preserve">(der finale Infinitiv </w:t>
      </w:r>
      <w:r w:rsidR="007B5DE0">
        <w:rPr>
          <w:rtl/>
        </w:rPr>
        <w:t>לָקֹב אֹיְבַי</w:t>
      </w:r>
      <w:r w:rsidR="007B5DE0">
        <w:t xml:space="preserve"> fungiert als Nebensatz)."</w:t>
      </w:r>
      <w:r w:rsidRPr="007031B9">
        <w:rPr>
          <w:rFonts w:eastAsia="Times New Roman" w:cs="Times New Roman"/>
          <w:lang w:eastAsia="de-DE"/>
        </w:rPr>
        <w:t>.</w:t>
      </w:r>
    </w:p>
    <w:p w14:paraId="79063804"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zeigt Balaks Schock und Empörung – seine Pläne sind völlig gescheitert. Statt Schwächung Israels hat er deren Segen öffentlich proklamieren lassen!</w:t>
      </w:r>
    </w:p>
    <w:p w14:paraId="7E9FED62"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t>Numeri 23,12</w:t>
      </w:r>
    </w:p>
    <w:p w14:paraId="5862B339"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וַיַּ֖עַן וַיֹּאמַ֑ר הֲלֹ֗א אֵת֩ אֲשֶׁ֨ר יָשִׂ֤ים יְהוָה֙ בְּפִ֔י אֹתוֹ֥ אֶשְׁמֹ֖ר לְדַבֵּֽר׃</w:t>
      </w:r>
    </w:p>
    <w:p w14:paraId="5D827DD4"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Und er antwortete und sprach: Muss ich nicht darauf achten, das zu reden, was der Ewige in meinen Mund legt?</w:t>
      </w:r>
    </w:p>
    <w:p w14:paraId="72220BF9"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2CFB208A">
          <v:rect id="_x0000_i1807" style="width:0;height:1.5pt" o:hralign="center" o:hrstd="t" o:hr="t" fillcolor="#a0a0a0" stroked="f"/>
        </w:pict>
      </w:r>
    </w:p>
    <w:p w14:paraId="1F32471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Bileams Verteidigung ist eine rhetorische Frage: </w:t>
      </w:r>
      <w:r w:rsidRPr="007031B9">
        <w:rPr>
          <w:rFonts w:eastAsia="Times New Roman" w:cs="Times New Roman"/>
          <w:b/>
          <w:bCs/>
          <w:rtl/>
          <w:lang w:eastAsia="de-DE"/>
        </w:rPr>
        <w:t>הֲלֹא אֵת אֲשֶׁר יָשִׂים יְהוָה בְּפִי אֹתוֹ אֶשְׁמֹר לְדַבֵּר</w:t>
      </w:r>
      <w:r w:rsidRPr="007031B9">
        <w:rPr>
          <w:rFonts w:eastAsia="Times New Roman" w:cs="Times New Roman"/>
          <w:rtl/>
          <w:lang w:eastAsia="de-DE"/>
        </w:rPr>
        <w:t xml:space="preserve"> </w:t>
      </w:r>
      <w:r w:rsidRPr="007031B9">
        <w:rPr>
          <w:rFonts w:eastAsia="Times New Roman" w:cs="Times New Roman"/>
          <w:lang w:eastAsia="de-DE"/>
        </w:rPr>
        <w:t xml:space="preserve">(„Muss ich nicht [darauf achten], das zu reden, was JHWH in meinen Mund legt?") – </w:t>
      </w:r>
      <w:r w:rsidRPr="007031B9">
        <w:rPr>
          <w:rFonts w:eastAsia="Times New Roman" w:cs="Times New Roman"/>
          <w:b/>
          <w:bCs/>
          <w:rtl/>
          <w:lang w:eastAsia="de-DE"/>
        </w:rPr>
        <w:t>הֲלֹא</w:t>
      </w:r>
      <w:r w:rsidRPr="007031B9">
        <w:rPr>
          <w:rFonts w:eastAsia="Times New Roman" w:cs="Times New Roman"/>
          <w:rtl/>
          <w:lang w:eastAsia="de-DE"/>
        </w:rPr>
        <w:t xml:space="preserve"> </w:t>
      </w:r>
      <w:r w:rsidRPr="007031B9">
        <w:rPr>
          <w:rFonts w:eastAsia="Times New Roman" w:cs="Times New Roman"/>
          <w:lang w:eastAsia="de-DE"/>
        </w:rPr>
        <w:t xml:space="preserve">rhetorische Fragepartikel (erwartet „ja"), </w:t>
      </w:r>
      <w:r w:rsidRPr="007031B9">
        <w:rPr>
          <w:rFonts w:eastAsia="Times New Roman" w:cs="Times New Roman"/>
          <w:b/>
          <w:bCs/>
          <w:rtl/>
          <w:lang w:eastAsia="de-DE"/>
        </w:rPr>
        <w:t>אֵת אֲשֶׁר יָשִׂים יְהוָה בְּפִי</w:t>
      </w:r>
      <w:r w:rsidRPr="007031B9">
        <w:rPr>
          <w:rFonts w:eastAsia="Times New Roman" w:cs="Times New Roman"/>
          <w:rtl/>
          <w:lang w:eastAsia="de-DE"/>
        </w:rPr>
        <w:t xml:space="preserve"> </w:t>
      </w:r>
      <w:r w:rsidRPr="007031B9">
        <w:rPr>
          <w:rFonts w:eastAsia="Times New Roman" w:cs="Times New Roman"/>
          <w:lang w:eastAsia="de-DE"/>
        </w:rPr>
        <w:t xml:space="preserve">(„das, was JHWH in meinen Mund legt") – </w:t>
      </w:r>
      <w:r w:rsidRPr="007031B9">
        <w:rPr>
          <w:rFonts w:eastAsia="Times New Roman" w:cs="Times New Roman"/>
          <w:b/>
          <w:bCs/>
          <w:rtl/>
          <w:lang w:eastAsia="de-DE"/>
        </w:rPr>
        <w:t>אֵת</w:t>
      </w:r>
      <w:r w:rsidRPr="007031B9">
        <w:rPr>
          <w:rFonts w:eastAsia="Times New Roman" w:cs="Times New Roman"/>
          <w:rtl/>
          <w:lang w:eastAsia="de-DE"/>
        </w:rPr>
        <w:t xml:space="preserve"> </w:t>
      </w:r>
      <w:r w:rsidRPr="007031B9">
        <w:rPr>
          <w:rFonts w:eastAsia="Times New Roman" w:cs="Times New Roman"/>
          <w:lang w:eastAsia="de-DE"/>
        </w:rPr>
        <w:t xml:space="preserve">Objektpartikel, der Relativsatz </w:t>
      </w:r>
      <w:r w:rsidRPr="007031B9">
        <w:rPr>
          <w:rFonts w:eastAsia="Times New Roman" w:cs="Times New Roman"/>
          <w:b/>
          <w:bCs/>
          <w:rtl/>
          <w:lang w:eastAsia="de-DE"/>
        </w:rPr>
        <w:t>אֲשֶׁר יָשִׂים יְהוָה בְּפִי</w:t>
      </w:r>
      <w:r w:rsidRPr="007031B9">
        <w:rPr>
          <w:rFonts w:eastAsia="Times New Roman" w:cs="Times New Roman"/>
          <w:rtl/>
          <w:lang w:eastAsia="de-DE"/>
        </w:rPr>
        <w:t xml:space="preserve"> </w:t>
      </w:r>
      <w:r w:rsidRPr="007031B9">
        <w:rPr>
          <w:rFonts w:eastAsia="Times New Roman" w:cs="Times New Roman"/>
          <w:lang w:eastAsia="de-DE"/>
        </w:rPr>
        <w:t xml:space="preserve">(„das JHWH legt in meinen Mund") – </w:t>
      </w:r>
      <w:r w:rsidRPr="007031B9">
        <w:rPr>
          <w:rFonts w:eastAsia="Times New Roman" w:cs="Times New Roman"/>
          <w:b/>
          <w:bCs/>
          <w:rtl/>
          <w:lang w:eastAsia="de-DE"/>
        </w:rPr>
        <w:t>יָשִׂים</w:t>
      </w:r>
      <w:r w:rsidRPr="007031B9">
        <w:rPr>
          <w:rFonts w:eastAsia="Times New Roman" w:cs="Times New Roman"/>
          <w:rtl/>
          <w:lang w:eastAsia="de-DE"/>
        </w:rPr>
        <w:t xml:space="preserve"> </w:t>
      </w:r>
      <w:r w:rsidRPr="007031B9">
        <w:rPr>
          <w:rFonts w:eastAsia="Times New Roman" w:cs="Times New Roman"/>
          <w:lang w:eastAsia="de-DE"/>
        </w:rPr>
        <w:t xml:space="preserve">(Qal Imperfekt, 3. m. sg. von </w:t>
      </w:r>
      <w:r w:rsidRPr="007031B9">
        <w:rPr>
          <w:rFonts w:eastAsia="Times New Roman" w:cs="Times New Roman"/>
          <w:b/>
          <w:bCs/>
          <w:rtl/>
          <w:lang w:eastAsia="de-DE"/>
        </w:rPr>
        <w:t>שׂים</w:t>
      </w:r>
      <w:r w:rsidRPr="007031B9">
        <w:rPr>
          <w:rFonts w:eastAsia="Times New Roman" w:cs="Times New Roman"/>
          <w:lang w:eastAsia="de-DE"/>
        </w:rPr>
        <w:t xml:space="preserve">, „er legt"), </w:t>
      </w:r>
      <w:r w:rsidRPr="007031B9">
        <w:rPr>
          <w:rFonts w:eastAsia="Times New Roman" w:cs="Times New Roman"/>
          <w:b/>
          <w:bCs/>
          <w:rtl/>
          <w:lang w:eastAsia="de-DE"/>
        </w:rPr>
        <w:t>יְהוָה</w:t>
      </w:r>
      <w:r w:rsidRPr="007031B9">
        <w:rPr>
          <w:rFonts w:eastAsia="Times New Roman" w:cs="Times New Roman"/>
          <w:rtl/>
          <w:lang w:eastAsia="de-DE"/>
        </w:rPr>
        <w:t xml:space="preserve"> </w:t>
      </w:r>
      <w:r w:rsidRPr="007031B9">
        <w:rPr>
          <w:rFonts w:eastAsia="Times New Roman" w:cs="Times New Roman"/>
          <w:lang w:eastAsia="de-DE"/>
        </w:rPr>
        <w:t xml:space="preserve">Subjekt, </w:t>
      </w:r>
      <w:r w:rsidRPr="007031B9">
        <w:rPr>
          <w:rFonts w:eastAsia="Times New Roman" w:cs="Times New Roman"/>
          <w:b/>
          <w:bCs/>
          <w:rtl/>
          <w:lang w:eastAsia="de-DE"/>
        </w:rPr>
        <w:t>בְּפִי</w:t>
      </w:r>
      <w:r w:rsidRPr="007031B9">
        <w:rPr>
          <w:rFonts w:eastAsia="Times New Roman" w:cs="Times New Roman"/>
          <w:rtl/>
          <w:lang w:eastAsia="de-DE"/>
        </w:rPr>
        <w:t xml:space="preserve"> </w:t>
      </w:r>
      <w:r w:rsidRPr="007031B9">
        <w:rPr>
          <w:rFonts w:eastAsia="Times New Roman" w:cs="Times New Roman"/>
          <w:lang w:eastAsia="de-DE"/>
        </w:rPr>
        <w:t>„in meinen Mund" mit Possessivsuffix.</w:t>
      </w:r>
    </w:p>
    <w:p w14:paraId="66DF26E2"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Wiederaufnahme mit betontem Pronomen: </w:t>
      </w:r>
      <w:r w:rsidRPr="007031B9">
        <w:rPr>
          <w:rFonts w:eastAsia="Times New Roman" w:cs="Times New Roman"/>
          <w:b/>
          <w:bCs/>
          <w:rtl/>
          <w:lang w:eastAsia="de-DE"/>
        </w:rPr>
        <w:t>אֹתוֹ אֶשְׁמֹר לְדַבֵּר</w:t>
      </w:r>
      <w:r w:rsidRPr="007031B9">
        <w:rPr>
          <w:rFonts w:eastAsia="Times New Roman" w:cs="Times New Roman"/>
          <w:rtl/>
          <w:lang w:eastAsia="de-DE"/>
        </w:rPr>
        <w:t xml:space="preserve"> </w:t>
      </w:r>
      <w:r w:rsidRPr="007031B9">
        <w:rPr>
          <w:rFonts w:eastAsia="Times New Roman" w:cs="Times New Roman"/>
          <w:lang w:eastAsia="de-DE"/>
        </w:rPr>
        <w:t xml:space="preserve">(„das muss ich bewahren/beachten zu reden") – </w:t>
      </w:r>
      <w:r w:rsidRPr="007031B9">
        <w:rPr>
          <w:rFonts w:eastAsia="Times New Roman" w:cs="Times New Roman"/>
          <w:b/>
          <w:bCs/>
          <w:rtl/>
          <w:lang w:eastAsia="de-DE"/>
        </w:rPr>
        <w:t>אֹתוֹ</w:t>
      </w:r>
      <w:r w:rsidRPr="007031B9">
        <w:rPr>
          <w:rFonts w:eastAsia="Times New Roman" w:cs="Times New Roman"/>
          <w:rtl/>
          <w:lang w:eastAsia="de-DE"/>
        </w:rPr>
        <w:t xml:space="preserve"> </w:t>
      </w:r>
      <w:r w:rsidRPr="007031B9">
        <w:rPr>
          <w:rFonts w:eastAsia="Times New Roman" w:cs="Times New Roman"/>
          <w:lang w:eastAsia="de-DE"/>
        </w:rPr>
        <w:t xml:space="preserve">resumptives Pronomen (nimmt das Objekt wieder auf, betont), </w:t>
      </w:r>
      <w:r w:rsidRPr="007031B9">
        <w:rPr>
          <w:rFonts w:eastAsia="Times New Roman" w:cs="Times New Roman"/>
          <w:b/>
          <w:bCs/>
          <w:rtl/>
          <w:lang w:eastAsia="de-DE"/>
        </w:rPr>
        <w:t>אֶשְׁמֹר</w:t>
      </w:r>
      <w:r w:rsidRPr="007031B9">
        <w:rPr>
          <w:rFonts w:eastAsia="Times New Roman" w:cs="Times New Roman"/>
          <w:rtl/>
          <w:lang w:eastAsia="de-DE"/>
        </w:rPr>
        <w:t xml:space="preserve"> </w:t>
      </w:r>
      <w:r w:rsidRPr="007031B9">
        <w:rPr>
          <w:rFonts w:eastAsia="Times New Roman" w:cs="Times New Roman"/>
          <w:lang w:eastAsia="de-DE"/>
        </w:rPr>
        <w:t xml:space="preserve">(Qal Imperfekt, 1. c. sg. von </w:t>
      </w:r>
      <w:r w:rsidRPr="007031B9">
        <w:rPr>
          <w:rFonts w:eastAsia="Times New Roman" w:cs="Times New Roman"/>
          <w:b/>
          <w:bCs/>
          <w:rtl/>
          <w:lang w:eastAsia="de-DE"/>
        </w:rPr>
        <w:t>שׁמר</w:t>
      </w:r>
      <w:r w:rsidRPr="007031B9">
        <w:rPr>
          <w:rFonts w:eastAsia="Times New Roman" w:cs="Times New Roman"/>
          <w:lang w:eastAsia="de-DE"/>
        </w:rPr>
        <w:t xml:space="preserve">, „ich muss bewahren, beachten") – </w:t>
      </w:r>
      <w:r w:rsidRPr="007031B9">
        <w:rPr>
          <w:rFonts w:eastAsia="Times New Roman" w:cs="Times New Roman"/>
          <w:b/>
          <w:bCs/>
          <w:rtl/>
          <w:lang w:eastAsia="de-DE"/>
        </w:rPr>
        <w:t>שׁמר</w:t>
      </w:r>
      <w:r w:rsidRPr="007031B9">
        <w:rPr>
          <w:rFonts w:eastAsia="Times New Roman" w:cs="Times New Roman"/>
          <w:rtl/>
          <w:lang w:eastAsia="de-DE"/>
        </w:rPr>
        <w:t xml:space="preserve"> </w:t>
      </w:r>
      <w:r w:rsidRPr="007031B9">
        <w:rPr>
          <w:rFonts w:eastAsia="Times New Roman" w:cs="Times New Roman"/>
          <w:lang w:eastAsia="de-DE"/>
        </w:rPr>
        <w:lastRenderedPageBreak/>
        <w:t xml:space="preserve">bedeutet hier „genau beachten, sorgfältig befolgen", </w:t>
      </w:r>
      <w:r w:rsidRPr="007031B9">
        <w:rPr>
          <w:rFonts w:eastAsia="Times New Roman" w:cs="Times New Roman"/>
          <w:b/>
          <w:bCs/>
          <w:rtl/>
          <w:lang w:eastAsia="de-DE"/>
        </w:rPr>
        <w:t>לְדַבֵּר</w:t>
      </w:r>
      <w:r w:rsidRPr="007031B9">
        <w:rPr>
          <w:rFonts w:eastAsia="Times New Roman" w:cs="Times New Roman"/>
          <w:rtl/>
          <w:lang w:eastAsia="de-DE"/>
        </w:rPr>
        <w:t xml:space="preserve"> </w:t>
      </w:r>
      <w:r w:rsidRPr="007031B9">
        <w:rPr>
          <w:rFonts w:eastAsia="Times New Roman" w:cs="Times New Roman"/>
          <w:lang w:eastAsia="de-DE"/>
        </w:rPr>
        <w:t xml:space="preserve">(Piel Infinitiv construct von </w:t>
      </w:r>
      <w:r w:rsidRPr="007031B9">
        <w:rPr>
          <w:rFonts w:eastAsia="Times New Roman" w:cs="Times New Roman"/>
          <w:b/>
          <w:bCs/>
          <w:rtl/>
          <w:lang w:eastAsia="de-DE"/>
        </w:rPr>
        <w:t>דבר</w:t>
      </w:r>
      <w:r w:rsidRPr="007031B9">
        <w:rPr>
          <w:rFonts w:eastAsia="Times New Roman" w:cs="Times New Roman"/>
          <w:rtl/>
          <w:lang w:eastAsia="de-DE"/>
        </w:rPr>
        <w:t xml:space="preserve"> </w:t>
      </w:r>
      <w:r w:rsidRPr="007031B9">
        <w:rPr>
          <w:rFonts w:eastAsia="Times New Roman" w:cs="Times New Roman"/>
          <w:lang w:eastAsia="de-DE"/>
        </w:rPr>
        <w:t xml:space="preserve">mit </w:t>
      </w:r>
      <w:r w:rsidRPr="007031B9">
        <w:rPr>
          <w:rFonts w:eastAsia="Times New Roman" w:cs="Times New Roman"/>
          <w:b/>
          <w:bCs/>
          <w:rtl/>
          <w:lang w:eastAsia="de-DE"/>
        </w:rPr>
        <w:t>לְ</w:t>
      </w:r>
      <w:r w:rsidRPr="007031B9">
        <w:rPr>
          <w:rFonts w:eastAsia="Times New Roman" w:cs="Times New Roman"/>
          <w:lang w:eastAsia="de-DE"/>
        </w:rPr>
        <w:t>, „zu reden").</w:t>
      </w:r>
    </w:p>
    <w:p w14:paraId="19E395E7"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Bileams Argument ist klar und wurde bereits mehrfach vorgebracht (22,38; 23,5): Er ist </w:t>
      </w:r>
      <w:r w:rsidRPr="007031B9">
        <w:rPr>
          <w:rFonts w:eastAsia="Times New Roman" w:cs="Times New Roman"/>
          <w:b/>
          <w:bCs/>
          <w:lang w:eastAsia="de-DE"/>
        </w:rPr>
        <w:t>nicht autonom</w:t>
      </w:r>
      <w:r w:rsidRPr="007031B9">
        <w:rPr>
          <w:rFonts w:eastAsia="Times New Roman" w:cs="Times New Roman"/>
          <w:lang w:eastAsia="de-DE"/>
        </w:rPr>
        <w:t>, er kann nur sprechen, was Gott ihm eingibt. Er ist nicht verantwortlich für den Inhalt – Gott ist die Quelle, Bileam nur das Medium.</w:t>
      </w:r>
    </w:p>
    <w:p w14:paraId="4AFA84AD"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rhetorische Frage erwartet Zustimmung – selbst Balak muss zugeben: Wenn Gott spricht, muss Bileam gehorchen. Bileams Verteidigung ist perfekt: Er hat seine Pflicht erfüllt – nicht Balak gegenüber, sondern Gott gegenüber.</w:t>
      </w:r>
    </w:p>
    <w:p w14:paraId="07C0BED0"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folgt dem hebräischen Text.</w:t>
      </w:r>
    </w:p>
    <w:p w14:paraId="0864DC80"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Satzstruktur zeigt zwei koordinierte Verben in der Rahmenerzählung, dann direkte Rede: Eine rhetorische Frage mit Fragepartikel, Objektpartikel, Relativsatz (mit Verb, Subjekt und Präpositionalphrase), resumptivem Pronomen, Verb und finalem Infinitiv. Insgesamt gibt es zwei Nebensätze: einen Relativsatz und einen finalen Infinitivsatz.</w:t>
      </w:r>
    </w:p>
    <w:p w14:paraId="206BD10D"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zeigt Bileams standhaftes Festhalten an göttlicher Autorität – er ist unbestechlich und unbeugsam. Seine Loyalität gehört Gott, nicht dem zahlenden Kunden.</w:t>
      </w:r>
    </w:p>
    <w:p w14:paraId="633F9C30"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t>Numeri 23,13</w:t>
      </w:r>
    </w:p>
    <w:p w14:paraId="1A57CDAF"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וַיֹּ֨אמֶר אֵלָ֜יו בָּלָ֗ק לְךָ־נָּ֨א אִתִּ֜י אֶל־מָק֤וֹם אַחֵר֙ אֲשֶׁ֣ר תִּרְאֶ֣נּוּ מִשָּׁ֔ם אֶ֚פֶס קָצֵ֣הוּ תִרְאֶ֔ה וְכֻלֹּ֖ו לֹ֣א תִרְאֶ֑ה וְקָבְנוֹ־לִ֖י מִשָּֽׁם׃</w:t>
      </w:r>
    </w:p>
    <w:p w14:paraId="357A69CC"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Und Balak sprach zu ihm: Komm doch mit mir an einen anderen Ort, von wo aus du es sehen wirst. Nur sein Ende wirst du sehen, aber ganz wirst du es nicht sehen. Und verfluche es mir von dort.</w:t>
      </w:r>
    </w:p>
    <w:p w14:paraId="34398BEE"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391C0FB3">
          <v:rect id="_x0000_i1808" style="width:0;height:1.5pt" o:hralign="center" o:hrstd="t" o:hr="t" fillcolor="#a0a0a0" stroked="f"/>
        </w:pict>
      </w:r>
    </w:p>
    <w:p w14:paraId="1EB9F49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Balak gibt nicht auf! Seine neue Strategie: </w:t>
      </w:r>
      <w:r w:rsidRPr="007031B9">
        <w:rPr>
          <w:rFonts w:eastAsia="Times New Roman" w:cs="Times New Roman"/>
          <w:b/>
          <w:bCs/>
          <w:rtl/>
          <w:lang w:eastAsia="de-DE"/>
        </w:rPr>
        <w:t>לְךָ־נָּא אִתִּי אֶל־מָקוֹם אַחֵר אֲשֶׁר תִּרְאֶנּוּ מִשָּׁם</w:t>
      </w:r>
      <w:r w:rsidRPr="007031B9">
        <w:rPr>
          <w:rFonts w:eastAsia="Times New Roman" w:cs="Times New Roman"/>
          <w:rtl/>
          <w:lang w:eastAsia="de-DE"/>
        </w:rPr>
        <w:t xml:space="preserve"> </w:t>
      </w:r>
      <w:r w:rsidRPr="007031B9">
        <w:rPr>
          <w:rFonts w:eastAsia="Times New Roman" w:cs="Times New Roman"/>
          <w:lang w:eastAsia="de-DE"/>
        </w:rPr>
        <w:t xml:space="preserve">(„Komm doch mit mir an einen anderen Ort, von wo aus du es sehen wirst") – </w:t>
      </w:r>
      <w:r w:rsidRPr="007031B9">
        <w:rPr>
          <w:rFonts w:eastAsia="Times New Roman" w:cs="Times New Roman"/>
          <w:b/>
          <w:bCs/>
          <w:rtl/>
          <w:lang w:eastAsia="de-DE"/>
        </w:rPr>
        <w:t>לְךָ־נָּא</w:t>
      </w:r>
      <w:r w:rsidRPr="007031B9">
        <w:rPr>
          <w:rFonts w:eastAsia="Times New Roman" w:cs="Times New Roman"/>
          <w:rtl/>
          <w:lang w:eastAsia="de-DE"/>
        </w:rPr>
        <w:t xml:space="preserve"> </w:t>
      </w:r>
      <w:r w:rsidRPr="007031B9">
        <w:rPr>
          <w:rFonts w:eastAsia="Times New Roman" w:cs="Times New Roman"/>
          <w:lang w:eastAsia="de-DE"/>
        </w:rPr>
        <w:t xml:space="preserve">(Qal Imperativ von </w:t>
      </w:r>
      <w:r w:rsidRPr="007031B9">
        <w:rPr>
          <w:rFonts w:eastAsia="Times New Roman" w:cs="Times New Roman"/>
          <w:b/>
          <w:bCs/>
          <w:rtl/>
          <w:lang w:eastAsia="de-DE"/>
        </w:rPr>
        <w:t>הלך</w:t>
      </w:r>
      <w:r w:rsidRPr="007031B9">
        <w:rPr>
          <w:rFonts w:eastAsia="Times New Roman" w:cs="Times New Roman"/>
          <w:rtl/>
          <w:lang w:eastAsia="de-DE"/>
        </w:rPr>
        <w:t xml:space="preserve"> </w:t>
      </w:r>
      <w:r w:rsidRPr="007031B9">
        <w:rPr>
          <w:rFonts w:eastAsia="Times New Roman" w:cs="Times New Roman"/>
          <w:lang w:eastAsia="de-DE"/>
        </w:rPr>
        <w:t xml:space="preserve">mit emphatischem </w:t>
      </w:r>
      <w:r w:rsidRPr="007031B9">
        <w:rPr>
          <w:rFonts w:eastAsia="Times New Roman" w:cs="Times New Roman"/>
          <w:b/>
          <w:bCs/>
          <w:rtl/>
          <w:lang w:eastAsia="de-DE"/>
        </w:rPr>
        <w:t>נָא</w:t>
      </w:r>
      <w:r w:rsidRPr="007031B9">
        <w:rPr>
          <w:rFonts w:eastAsia="Times New Roman" w:cs="Times New Roman"/>
          <w:lang w:eastAsia="de-DE"/>
        </w:rPr>
        <w:t xml:space="preserve">, „komm doch"), </w:t>
      </w:r>
      <w:r w:rsidRPr="007031B9">
        <w:rPr>
          <w:rFonts w:eastAsia="Times New Roman" w:cs="Times New Roman"/>
          <w:b/>
          <w:bCs/>
          <w:rtl/>
          <w:lang w:eastAsia="de-DE"/>
        </w:rPr>
        <w:t>אִתִּי</w:t>
      </w:r>
      <w:r w:rsidRPr="007031B9">
        <w:rPr>
          <w:rFonts w:eastAsia="Times New Roman" w:cs="Times New Roman"/>
          <w:rtl/>
          <w:lang w:eastAsia="de-DE"/>
        </w:rPr>
        <w:t xml:space="preserve"> </w:t>
      </w:r>
      <w:r w:rsidRPr="007031B9">
        <w:rPr>
          <w:rFonts w:eastAsia="Times New Roman" w:cs="Times New Roman"/>
          <w:lang w:eastAsia="de-DE"/>
        </w:rPr>
        <w:t xml:space="preserve">„mit mir", </w:t>
      </w:r>
      <w:r w:rsidRPr="007031B9">
        <w:rPr>
          <w:rFonts w:eastAsia="Times New Roman" w:cs="Times New Roman"/>
          <w:b/>
          <w:bCs/>
          <w:rtl/>
          <w:lang w:eastAsia="de-DE"/>
        </w:rPr>
        <w:t>אֶל־מָקוֹם אַחֵר</w:t>
      </w:r>
      <w:r w:rsidRPr="007031B9">
        <w:rPr>
          <w:rFonts w:eastAsia="Times New Roman" w:cs="Times New Roman"/>
          <w:rtl/>
          <w:lang w:eastAsia="de-DE"/>
        </w:rPr>
        <w:t xml:space="preserve"> </w:t>
      </w:r>
      <w:r w:rsidRPr="007031B9">
        <w:rPr>
          <w:rFonts w:eastAsia="Times New Roman" w:cs="Times New Roman"/>
          <w:lang w:eastAsia="de-DE"/>
        </w:rPr>
        <w:t xml:space="preserve">(„zu einem anderen Ort") – </w:t>
      </w:r>
      <w:r w:rsidRPr="007031B9">
        <w:rPr>
          <w:rFonts w:eastAsia="Times New Roman" w:cs="Times New Roman"/>
          <w:b/>
          <w:bCs/>
          <w:rtl/>
          <w:lang w:eastAsia="de-DE"/>
        </w:rPr>
        <w:t>אַחֵר</w:t>
      </w:r>
      <w:r w:rsidRPr="007031B9">
        <w:rPr>
          <w:rFonts w:eastAsia="Times New Roman" w:cs="Times New Roman"/>
          <w:rtl/>
          <w:lang w:eastAsia="de-DE"/>
        </w:rPr>
        <w:t xml:space="preserve"> </w:t>
      </w:r>
      <w:r w:rsidRPr="007031B9">
        <w:rPr>
          <w:rFonts w:eastAsia="Times New Roman" w:cs="Times New Roman"/>
          <w:lang w:eastAsia="de-DE"/>
        </w:rPr>
        <w:t xml:space="preserve">Adjektiv „anderer". Der Relativsatz </w:t>
      </w:r>
      <w:r w:rsidRPr="007031B9">
        <w:rPr>
          <w:rFonts w:eastAsia="Times New Roman" w:cs="Times New Roman"/>
          <w:b/>
          <w:bCs/>
          <w:rtl/>
          <w:lang w:eastAsia="de-DE"/>
        </w:rPr>
        <w:t>אֲשֶׁר תִּרְאֶנּוּ מִשָּׁם</w:t>
      </w:r>
      <w:r w:rsidRPr="007031B9">
        <w:rPr>
          <w:rFonts w:eastAsia="Times New Roman" w:cs="Times New Roman"/>
          <w:rtl/>
          <w:lang w:eastAsia="de-DE"/>
        </w:rPr>
        <w:t xml:space="preserve"> </w:t>
      </w:r>
      <w:r w:rsidRPr="007031B9">
        <w:rPr>
          <w:rFonts w:eastAsia="Times New Roman" w:cs="Times New Roman"/>
          <w:lang w:eastAsia="de-DE"/>
        </w:rPr>
        <w:t xml:space="preserve">(„von wo du es sehen wirst") – </w:t>
      </w:r>
      <w:r w:rsidRPr="007031B9">
        <w:rPr>
          <w:rFonts w:eastAsia="Times New Roman" w:cs="Times New Roman"/>
          <w:b/>
          <w:bCs/>
          <w:rtl/>
          <w:lang w:eastAsia="de-DE"/>
        </w:rPr>
        <w:t>תִּרְאֶנּוּ</w:t>
      </w:r>
      <w:r w:rsidRPr="007031B9">
        <w:rPr>
          <w:rFonts w:eastAsia="Times New Roman" w:cs="Times New Roman"/>
          <w:rtl/>
          <w:lang w:eastAsia="de-DE"/>
        </w:rPr>
        <w:t xml:space="preserve"> </w:t>
      </w:r>
      <w:r w:rsidRPr="007031B9">
        <w:rPr>
          <w:rFonts w:eastAsia="Times New Roman" w:cs="Times New Roman"/>
          <w:lang w:eastAsia="de-DE"/>
        </w:rPr>
        <w:t xml:space="preserve">(Qal Imperfekt, 2. m. sg. von </w:t>
      </w:r>
      <w:r w:rsidRPr="007031B9">
        <w:rPr>
          <w:rFonts w:eastAsia="Times New Roman" w:cs="Times New Roman"/>
          <w:b/>
          <w:bCs/>
          <w:rtl/>
          <w:lang w:eastAsia="de-DE"/>
        </w:rPr>
        <w:t>ראה</w:t>
      </w:r>
      <w:r w:rsidRPr="007031B9">
        <w:rPr>
          <w:rFonts w:eastAsia="Times New Roman" w:cs="Times New Roman"/>
          <w:rtl/>
          <w:lang w:eastAsia="de-DE"/>
        </w:rPr>
        <w:t xml:space="preserve"> </w:t>
      </w:r>
      <w:r w:rsidRPr="007031B9">
        <w:rPr>
          <w:rFonts w:eastAsia="Times New Roman" w:cs="Times New Roman"/>
          <w:lang w:eastAsia="de-DE"/>
        </w:rPr>
        <w:t xml:space="preserve">mit Objektsuffix 3. m. sg., „du wirst es sehen"), </w:t>
      </w:r>
      <w:r w:rsidRPr="007031B9">
        <w:rPr>
          <w:rFonts w:eastAsia="Times New Roman" w:cs="Times New Roman"/>
          <w:b/>
          <w:bCs/>
          <w:rtl/>
          <w:lang w:eastAsia="de-DE"/>
        </w:rPr>
        <w:t>מִשָּׁם</w:t>
      </w:r>
      <w:r w:rsidRPr="007031B9">
        <w:rPr>
          <w:rFonts w:eastAsia="Times New Roman" w:cs="Times New Roman"/>
          <w:rtl/>
          <w:lang w:eastAsia="de-DE"/>
        </w:rPr>
        <w:t xml:space="preserve"> </w:t>
      </w:r>
      <w:r w:rsidRPr="007031B9">
        <w:rPr>
          <w:rFonts w:eastAsia="Times New Roman" w:cs="Times New Roman"/>
          <w:lang w:eastAsia="de-DE"/>
        </w:rPr>
        <w:t>„von dort".</w:t>
      </w:r>
    </w:p>
    <w:p w14:paraId="5EEA0BF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neue Taktik: </w:t>
      </w:r>
      <w:r w:rsidRPr="007031B9">
        <w:rPr>
          <w:rFonts w:eastAsia="Times New Roman" w:cs="Times New Roman"/>
          <w:b/>
          <w:bCs/>
          <w:rtl/>
          <w:lang w:eastAsia="de-DE"/>
        </w:rPr>
        <w:t>אֶפֶס קָצֵהוּ תִרְאֶה וְכֻלּוֹ לֹא תִרְאֶה</w:t>
      </w:r>
      <w:r w:rsidRPr="007031B9">
        <w:rPr>
          <w:rFonts w:eastAsia="Times New Roman" w:cs="Times New Roman"/>
          <w:rtl/>
          <w:lang w:eastAsia="de-DE"/>
        </w:rPr>
        <w:t xml:space="preserve"> </w:t>
      </w:r>
      <w:r w:rsidRPr="007031B9">
        <w:rPr>
          <w:rFonts w:eastAsia="Times New Roman" w:cs="Times New Roman"/>
          <w:lang w:eastAsia="de-DE"/>
        </w:rPr>
        <w:t xml:space="preserve">(„Nur sein Ende wirst du sehen, aber ganz wirst du es nicht sehen") – </w:t>
      </w:r>
      <w:r w:rsidRPr="007031B9">
        <w:rPr>
          <w:rFonts w:eastAsia="Times New Roman" w:cs="Times New Roman"/>
          <w:b/>
          <w:bCs/>
          <w:rtl/>
          <w:lang w:eastAsia="de-DE"/>
        </w:rPr>
        <w:t>אֶפֶס</w:t>
      </w:r>
      <w:r w:rsidRPr="007031B9">
        <w:rPr>
          <w:rFonts w:eastAsia="Times New Roman" w:cs="Times New Roman"/>
          <w:rtl/>
          <w:lang w:eastAsia="de-DE"/>
        </w:rPr>
        <w:t xml:space="preserve"> </w:t>
      </w:r>
      <w:r w:rsidRPr="007031B9">
        <w:rPr>
          <w:rFonts w:eastAsia="Times New Roman" w:cs="Times New Roman"/>
          <w:lang w:eastAsia="de-DE"/>
        </w:rPr>
        <w:t xml:space="preserve">„nur, jedoch" (restriktive Partikel), </w:t>
      </w:r>
      <w:r w:rsidRPr="007031B9">
        <w:rPr>
          <w:rFonts w:eastAsia="Times New Roman" w:cs="Times New Roman"/>
          <w:b/>
          <w:bCs/>
          <w:rtl/>
          <w:lang w:eastAsia="de-DE"/>
        </w:rPr>
        <w:t>קָצֵהוּ</w:t>
      </w:r>
      <w:r w:rsidRPr="007031B9">
        <w:rPr>
          <w:rFonts w:eastAsia="Times New Roman" w:cs="Times New Roman"/>
          <w:rtl/>
          <w:lang w:eastAsia="de-DE"/>
        </w:rPr>
        <w:t xml:space="preserve"> </w:t>
      </w:r>
      <w:r w:rsidRPr="007031B9">
        <w:rPr>
          <w:rFonts w:eastAsia="Times New Roman" w:cs="Times New Roman"/>
          <w:lang w:eastAsia="de-DE"/>
        </w:rPr>
        <w:t xml:space="preserve">(„sein Ende") – </w:t>
      </w:r>
      <w:r w:rsidRPr="007031B9">
        <w:rPr>
          <w:rFonts w:eastAsia="Times New Roman" w:cs="Times New Roman"/>
          <w:b/>
          <w:bCs/>
          <w:rtl/>
          <w:lang w:eastAsia="de-DE"/>
        </w:rPr>
        <w:t>קָצֶה</w:t>
      </w:r>
      <w:r w:rsidRPr="007031B9">
        <w:rPr>
          <w:rFonts w:eastAsia="Times New Roman" w:cs="Times New Roman"/>
          <w:rtl/>
          <w:lang w:eastAsia="de-DE"/>
        </w:rPr>
        <w:t xml:space="preserve"> </w:t>
      </w:r>
      <w:r w:rsidRPr="007031B9">
        <w:rPr>
          <w:rFonts w:eastAsia="Times New Roman" w:cs="Times New Roman"/>
          <w:lang w:eastAsia="de-DE"/>
        </w:rPr>
        <w:t xml:space="preserve">„Ende, Rand" mit Possessivsuffix 3. m. sg., </w:t>
      </w:r>
      <w:r w:rsidRPr="007031B9">
        <w:rPr>
          <w:rFonts w:eastAsia="Times New Roman" w:cs="Times New Roman"/>
          <w:b/>
          <w:bCs/>
          <w:rtl/>
          <w:lang w:eastAsia="de-DE"/>
        </w:rPr>
        <w:t>תִּרְאֶה</w:t>
      </w:r>
      <w:r w:rsidRPr="007031B9">
        <w:rPr>
          <w:rFonts w:eastAsia="Times New Roman" w:cs="Times New Roman"/>
          <w:rtl/>
          <w:lang w:eastAsia="de-DE"/>
        </w:rPr>
        <w:t xml:space="preserve"> </w:t>
      </w:r>
      <w:r w:rsidRPr="007031B9">
        <w:rPr>
          <w:rFonts w:eastAsia="Times New Roman" w:cs="Times New Roman"/>
          <w:lang w:eastAsia="de-DE"/>
        </w:rPr>
        <w:t xml:space="preserve">(Qal Imperfekt, 2. m. sg. von </w:t>
      </w:r>
      <w:r w:rsidRPr="007031B9">
        <w:rPr>
          <w:rFonts w:eastAsia="Times New Roman" w:cs="Times New Roman"/>
          <w:b/>
          <w:bCs/>
          <w:rtl/>
          <w:lang w:eastAsia="de-DE"/>
        </w:rPr>
        <w:t>ראה</w:t>
      </w:r>
      <w:r w:rsidRPr="007031B9">
        <w:rPr>
          <w:rFonts w:eastAsia="Times New Roman" w:cs="Times New Roman"/>
          <w:lang w:eastAsia="de-DE"/>
        </w:rPr>
        <w:t xml:space="preserve">, „du wirst sehen"). Die Kontrastierung: </w:t>
      </w:r>
      <w:r w:rsidRPr="007031B9">
        <w:rPr>
          <w:rFonts w:eastAsia="Times New Roman" w:cs="Times New Roman"/>
          <w:b/>
          <w:bCs/>
          <w:rtl/>
          <w:lang w:eastAsia="de-DE"/>
        </w:rPr>
        <w:t>וְכֻלּוֹ לֹא תִרְאֶה</w:t>
      </w:r>
      <w:r w:rsidRPr="007031B9">
        <w:rPr>
          <w:rFonts w:eastAsia="Times New Roman" w:cs="Times New Roman"/>
          <w:rtl/>
          <w:lang w:eastAsia="de-DE"/>
        </w:rPr>
        <w:t xml:space="preserve"> </w:t>
      </w:r>
      <w:r w:rsidRPr="007031B9">
        <w:rPr>
          <w:rFonts w:eastAsia="Times New Roman" w:cs="Times New Roman"/>
          <w:lang w:eastAsia="de-DE"/>
        </w:rPr>
        <w:t xml:space="preserve">(„und ganz wirst du es nicht sehen") – </w:t>
      </w:r>
      <w:r w:rsidRPr="007031B9">
        <w:rPr>
          <w:rFonts w:eastAsia="Times New Roman" w:cs="Times New Roman"/>
          <w:b/>
          <w:bCs/>
          <w:rtl/>
          <w:lang w:eastAsia="de-DE"/>
        </w:rPr>
        <w:t>כֻּלּוֹ</w:t>
      </w:r>
      <w:r w:rsidRPr="007031B9">
        <w:rPr>
          <w:rFonts w:eastAsia="Times New Roman" w:cs="Times New Roman"/>
          <w:rtl/>
          <w:lang w:eastAsia="de-DE"/>
        </w:rPr>
        <w:t xml:space="preserve"> </w:t>
      </w:r>
      <w:r w:rsidRPr="007031B9">
        <w:rPr>
          <w:rFonts w:eastAsia="Times New Roman" w:cs="Times New Roman"/>
          <w:lang w:eastAsia="de-DE"/>
        </w:rPr>
        <w:t xml:space="preserve">(„sein Ganzes, es ganz") mit Suffix, </w:t>
      </w:r>
      <w:r w:rsidRPr="007031B9">
        <w:rPr>
          <w:rFonts w:eastAsia="Times New Roman" w:cs="Times New Roman"/>
          <w:b/>
          <w:bCs/>
          <w:rtl/>
          <w:lang w:eastAsia="de-DE"/>
        </w:rPr>
        <w:t>לֹא תִרְאֶה</w:t>
      </w:r>
      <w:r w:rsidRPr="007031B9">
        <w:rPr>
          <w:rFonts w:eastAsia="Times New Roman" w:cs="Times New Roman"/>
          <w:rtl/>
          <w:lang w:eastAsia="de-DE"/>
        </w:rPr>
        <w:t xml:space="preserve"> </w:t>
      </w:r>
      <w:r w:rsidRPr="007031B9">
        <w:rPr>
          <w:rFonts w:eastAsia="Times New Roman" w:cs="Times New Roman"/>
          <w:lang w:eastAsia="de-DE"/>
        </w:rPr>
        <w:t>negiert.</w:t>
      </w:r>
    </w:p>
    <w:p w14:paraId="53DAEAC3"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Balaks magische Logik: Vielleicht war der erste Versuch erfolglos, weil Bileam </w:t>
      </w:r>
      <w:r w:rsidRPr="007031B9">
        <w:rPr>
          <w:rFonts w:eastAsia="Times New Roman" w:cs="Times New Roman"/>
          <w:b/>
          <w:bCs/>
          <w:lang w:eastAsia="de-DE"/>
        </w:rPr>
        <w:t>ganz Israel</w:t>
      </w:r>
      <w:r w:rsidRPr="007031B9">
        <w:rPr>
          <w:rFonts w:eastAsia="Times New Roman" w:cs="Times New Roman"/>
          <w:lang w:eastAsia="de-DE"/>
        </w:rPr>
        <w:t xml:space="preserve"> sah (22,41 „er sah das Ende des Volkes")? Wenn Bileam nur einen </w:t>
      </w:r>
      <w:r w:rsidRPr="007031B9">
        <w:rPr>
          <w:rFonts w:eastAsia="Times New Roman" w:cs="Times New Roman"/>
          <w:b/>
          <w:bCs/>
          <w:lang w:eastAsia="de-DE"/>
        </w:rPr>
        <w:t>Teil</w:t>
      </w:r>
      <w:r w:rsidRPr="007031B9">
        <w:rPr>
          <w:rFonts w:eastAsia="Times New Roman" w:cs="Times New Roman"/>
          <w:lang w:eastAsia="de-DE"/>
        </w:rPr>
        <w:t xml:space="preserve"> sieht, vielleicht kann er diesen Teil verfluchen? Dies zeigt primitives magisches Denken: Durch Änderung der Perspektive oder Position könnte man das magische Ergebnis ändern.</w:t>
      </w:r>
    </w:p>
    <w:p w14:paraId="106D0C5D"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lastRenderedPageBreak/>
        <w:t xml:space="preserve">Die erneute Bitte: </w:t>
      </w:r>
      <w:r w:rsidRPr="007031B9">
        <w:rPr>
          <w:rFonts w:eastAsia="Times New Roman" w:cs="Times New Roman"/>
          <w:b/>
          <w:bCs/>
          <w:rtl/>
          <w:lang w:eastAsia="de-DE"/>
        </w:rPr>
        <w:t>וְקָבְנוֹ־לִי מִשָּׁם</w:t>
      </w:r>
      <w:r w:rsidRPr="007031B9">
        <w:rPr>
          <w:rFonts w:eastAsia="Times New Roman" w:cs="Times New Roman"/>
          <w:rtl/>
          <w:lang w:eastAsia="de-DE"/>
        </w:rPr>
        <w:t xml:space="preserve"> </w:t>
      </w:r>
      <w:r w:rsidRPr="007031B9">
        <w:rPr>
          <w:rFonts w:eastAsia="Times New Roman" w:cs="Times New Roman"/>
          <w:lang w:eastAsia="de-DE"/>
        </w:rPr>
        <w:t xml:space="preserve">(„und verfluche es mir von dort") – </w:t>
      </w:r>
      <w:r w:rsidRPr="007031B9">
        <w:rPr>
          <w:rFonts w:eastAsia="Times New Roman" w:cs="Times New Roman"/>
          <w:b/>
          <w:bCs/>
          <w:rtl/>
          <w:lang w:eastAsia="de-DE"/>
        </w:rPr>
        <w:t>וְקָבְנוֹ</w:t>
      </w:r>
      <w:r w:rsidRPr="007031B9">
        <w:rPr>
          <w:rFonts w:eastAsia="Times New Roman" w:cs="Times New Roman"/>
          <w:rtl/>
          <w:lang w:eastAsia="de-DE"/>
        </w:rPr>
        <w:t xml:space="preserve"> </w:t>
      </w:r>
      <w:r w:rsidRPr="007031B9">
        <w:rPr>
          <w:rFonts w:eastAsia="Times New Roman" w:cs="Times New Roman"/>
          <w:lang w:eastAsia="de-DE"/>
        </w:rPr>
        <w:t xml:space="preserve">(Waw + Qal Imperativ Plural von </w:t>
      </w:r>
      <w:r w:rsidRPr="007031B9">
        <w:rPr>
          <w:rFonts w:eastAsia="Times New Roman" w:cs="Times New Roman"/>
          <w:b/>
          <w:bCs/>
          <w:rtl/>
          <w:lang w:eastAsia="de-DE"/>
        </w:rPr>
        <w:t>קבב</w:t>
      </w:r>
      <w:r w:rsidRPr="007031B9">
        <w:rPr>
          <w:rFonts w:eastAsia="Times New Roman" w:cs="Times New Roman"/>
          <w:rtl/>
          <w:lang w:eastAsia="de-DE"/>
        </w:rPr>
        <w:t xml:space="preserve"> </w:t>
      </w:r>
      <w:r w:rsidRPr="007031B9">
        <w:rPr>
          <w:rFonts w:eastAsia="Times New Roman" w:cs="Times New Roman"/>
          <w:lang w:eastAsia="de-DE"/>
        </w:rPr>
        <w:t xml:space="preserve">mit Objektsuffix 3. m. sg., „und verflucht es") – das Suffix bezieht sich auf Israel, </w:t>
      </w:r>
      <w:r w:rsidRPr="007031B9">
        <w:rPr>
          <w:rFonts w:eastAsia="Times New Roman" w:cs="Times New Roman"/>
          <w:b/>
          <w:bCs/>
          <w:rtl/>
          <w:lang w:eastAsia="de-DE"/>
        </w:rPr>
        <w:t>לִי</w:t>
      </w:r>
      <w:r w:rsidRPr="007031B9">
        <w:rPr>
          <w:rFonts w:eastAsia="Times New Roman" w:cs="Times New Roman"/>
          <w:rtl/>
          <w:lang w:eastAsia="de-DE"/>
        </w:rPr>
        <w:t xml:space="preserve"> </w:t>
      </w:r>
      <w:r w:rsidRPr="007031B9">
        <w:rPr>
          <w:rFonts w:eastAsia="Times New Roman" w:cs="Times New Roman"/>
          <w:lang w:eastAsia="de-DE"/>
        </w:rPr>
        <w:t xml:space="preserve">Dativ, </w:t>
      </w:r>
      <w:r w:rsidRPr="007031B9">
        <w:rPr>
          <w:rFonts w:eastAsia="Times New Roman" w:cs="Times New Roman"/>
          <w:b/>
          <w:bCs/>
          <w:rtl/>
          <w:lang w:eastAsia="de-DE"/>
        </w:rPr>
        <w:t>מִשָּׁם</w:t>
      </w:r>
      <w:r w:rsidRPr="007031B9">
        <w:rPr>
          <w:rFonts w:eastAsia="Times New Roman" w:cs="Times New Roman"/>
          <w:rtl/>
          <w:lang w:eastAsia="de-DE"/>
        </w:rPr>
        <w:t xml:space="preserve"> </w:t>
      </w:r>
      <w:r w:rsidRPr="007031B9">
        <w:rPr>
          <w:rFonts w:eastAsia="Times New Roman" w:cs="Times New Roman"/>
          <w:lang w:eastAsia="de-DE"/>
        </w:rPr>
        <w:t>„von dort". Der Imperativ Plural (statt Singular) ist ungewöhnlich – möglicherweise Pluralis majestatis oder Textvariante.</w:t>
      </w:r>
    </w:p>
    <w:p w14:paraId="4280173D"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folgt dem hebräischen Text, hat im Imperativ Singular.</w:t>
      </w:r>
    </w:p>
    <w:p w14:paraId="470855A1"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Satzstruktur zeigt einen Hauptsatz mit Verb, indirektem Objekt und Subjekt. Die direkte Rede enthält: Imperativ mit emphatischem </w:t>
      </w:r>
      <w:r w:rsidRPr="007031B9">
        <w:rPr>
          <w:rFonts w:eastAsia="Times New Roman" w:cs="Times New Roman"/>
          <w:b/>
          <w:bCs/>
          <w:rtl/>
          <w:lang w:eastAsia="de-DE"/>
        </w:rPr>
        <w:t>נָא</w:t>
      </w:r>
      <w:r w:rsidRPr="007031B9">
        <w:rPr>
          <w:rFonts w:eastAsia="Times New Roman" w:cs="Times New Roman"/>
          <w:lang w:eastAsia="de-DE"/>
        </w:rPr>
        <w:t>, Präpositionalphrase und weiterer Präpositionalphrase mit Relativsatz; zwei kontrastierende Hauptsätze über das Sehen (mit restriktiver Partikel bzw. Negation); abschließender Imperativ mit Objektsuffix, Dativ und Lokativ. Insgesamt gibt es einen Nebensatz (Relativsatz).</w:t>
      </w:r>
    </w:p>
    <w:p w14:paraId="25C9CC7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Der Vers zeigt Balaks verzweifelte Hartnäckigkeit und magisches Denken – er glaubt, durch Ortswechsel und Perspektivänderung das Ergebnis ändern zu können. Er versteht nicht, dass nicht der </w:t>
      </w:r>
      <w:r w:rsidRPr="007031B9">
        <w:rPr>
          <w:rFonts w:eastAsia="Times New Roman" w:cs="Times New Roman"/>
          <w:b/>
          <w:bCs/>
          <w:lang w:eastAsia="de-DE"/>
        </w:rPr>
        <w:t>Ort</w:t>
      </w:r>
      <w:r w:rsidRPr="007031B9">
        <w:rPr>
          <w:rFonts w:eastAsia="Times New Roman" w:cs="Times New Roman"/>
          <w:lang w:eastAsia="de-DE"/>
        </w:rPr>
        <w:t xml:space="preserve">, sondern </w:t>
      </w:r>
      <w:r w:rsidRPr="007031B9">
        <w:rPr>
          <w:rFonts w:eastAsia="Times New Roman" w:cs="Times New Roman"/>
          <w:b/>
          <w:bCs/>
          <w:lang w:eastAsia="de-DE"/>
        </w:rPr>
        <w:t>Gottes Wille</w:t>
      </w:r>
      <w:r w:rsidRPr="007031B9">
        <w:rPr>
          <w:rFonts w:eastAsia="Times New Roman" w:cs="Times New Roman"/>
          <w:lang w:eastAsia="de-DE"/>
        </w:rPr>
        <w:t xml:space="preserve"> entscheidend ist.</w:t>
      </w:r>
    </w:p>
    <w:p w14:paraId="49B6D0CB"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t>Numeri 23,14</w:t>
      </w:r>
    </w:p>
    <w:p w14:paraId="0574DF7B"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וַיִּקָּחֵ֨הוּ֙ שְׂדֵ֣ה צֹפִ֔ים אֶל־רֹ֖אשׁ הַפִּסְגָּ֑ה וַיִּ֨בֶן֙ שִׁבְעָ֣ה מִזְבְּחֹ֔ת וַיַּ֛עַל פָּ֥ר וָאַ֖יִל בַּמִּזְבֵּֽחַ׃</w:t>
      </w:r>
    </w:p>
    <w:p w14:paraId="6FAE1C17"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Und er nahm ihn mit zum Feld der Wächter, auf den Gipfel des Pisga, und er baute sieben Altäre und opferte einen Stier und einen Widder auf jedem Altar.</w:t>
      </w:r>
    </w:p>
    <w:p w14:paraId="05789738"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0493056C">
          <v:rect id="_x0000_i1809" style="width:0;height:1.5pt" o:hralign="center" o:hrstd="t" o:hr="t" fillcolor="#a0a0a0" stroked="f"/>
        </w:pict>
      </w:r>
    </w:p>
    <w:p w14:paraId="7E4DF25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Der zweite Versuch beginnt: </w:t>
      </w:r>
      <w:r w:rsidRPr="007031B9">
        <w:rPr>
          <w:rFonts w:eastAsia="Times New Roman" w:cs="Times New Roman"/>
          <w:b/>
          <w:bCs/>
          <w:rtl/>
          <w:lang w:eastAsia="de-DE"/>
        </w:rPr>
        <w:t>וַיִּקָּחֵהוּ שְׂדֵה צֹפִים אֶל־רֹאשׁ הַפִּסְגָּה</w:t>
      </w:r>
      <w:r w:rsidRPr="007031B9">
        <w:rPr>
          <w:rFonts w:eastAsia="Times New Roman" w:cs="Times New Roman"/>
          <w:rtl/>
          <w:lang w:eastAsia="de-DE"/>
        </w:rPr>
        <w:t xml:space="preserve"> </w:t>
      </w:r>
      <w:r w:rsidRPr="007031B9">
        <w:rPr>
          <w:rFonts w:eastAsia="Times New Roman" w:cs="Times New Roman"/>
          <w:lang w:eastAsia="de-DE"/>
        </w:rPr>
        <w:t xml:space="preserve">(„und er nahm ihn mit zum Feld der Wächter, auf den Gipfel des Pisga") – </w:t>
      </w:r>
      <w:r w:rsidRPr="007031B9">
        <w:rPr>
          <w:rFonts w:eastAsia="Times New Roman" w:cs="Times New Roman"/>
          <w:b/>
          <w:bCs/>
          <w:rtl/>
          <w:lang w:eastAsia="de-DE"/>
        </w:rPr>
        <w:t>וַיִּקָּחֵהוּ</w:t>
      </w:r>
      <w:r w:rsidRPr="007031B9">
        <w:rPr>
          <w:rFonts w:eastAsia="Times New Roman" w:cs="Times New Roman"/>
          <w:rtl/>
          <w:lang w:eastAsia="de-DE"/>
        </w:rPr>
        <w:t xml:space="preserve"> </w:t>
      </w:r>
      <w:r w:rsidRPr="007031B9">
        <w:rPr>
          <w:rFonts w:eastAsia="Times New Roman" w:cs="Times New Roman"/>
          <w:lang w:eastAsia="de-DE"/>
        </w:rPr>
        <w:t xml:space="preserve">(Wayyiqtol, 3. m. sg. von </w:t>
      </w:r>
      <w:r w:rsidRPr="007031B9">
        <w:rPr>
          <w:rFonts w:eastAsia="Times New Roman" w:cs="Times New Roman"/>
          <w:b/>
          <w:bCs/>
          <w:rtl/>
          <w:lang w:eastAsia="de-DE"/>
        </w:rPr>
        <w:t>לקח</w:t>
      </w:r>
      <w:r w:rsidRPr="007031B9">
        <w:rPr>
          <w:rFonts w:eastAsia="Times New Roman" w:cs="Times New Roman"/>
          <w:rtl/>
          <w:lang w:eastAsia="de-DE"/>
        </w:rPr>
        <w:t xml:space="preserve"> </w:t>
      </w:r>
      <w:r w:rsidRPr="007031B9">
        <w:rPr>
          <w:rFonts w:eastAsia="Times New Roman" w:cs="Times New Roman"/>
          <w:lang w:eastAsia="de-DE"/>
        </w:rPr>
        <w:t xml:space="preserve">mit Objektsuffix 3. m. sg., „und er nahm ihn"), </w:t>
      </w:r>
      <w:r w:rsidRPr="007031B9">
        <w:rPr>
          <w:rFonts w:eastAsia="Times New Roman" w:cs="Times New Roman"/>
          <w:b/>
          <w:bCs/>
          <w:rtl/>
          <w:lang w:eastAsia="de-DE"/>
        </w:rPr>
        <w:t>שְׂדֵה צֹפִים</w:t>
      </w:r>
      <w:r w:rsidRPr="007031B9">
        <w:rPr>
          <w:rFonts w:eastAsia="Times New Roman" w:cs="Times New Roman"/>
          <w:rtl/>
          <w:lang w:eastAsia="de-DE"/>
        </w:rPr>
        <w:t xml:space="preserve"> </w:t>
      </w:r>
      <w:r w:rsidRPr="007031B9">
        <w:rPr>
          <w:rFonts w:eastAsia="Times New Roman" w:cs="Times New Roman"/>
          <w:lang w:eastAsia="de-DE"/>
        </w:rPr>
        <w:t xml:space="preserve">(„Feld der Wächter", Constructus-Verbindung) – </w:t>
      </w:r>
      <w:r w:rsidRPr="007031B9">
        <w:rPr>
          <w:rFonts w:eastAsia="Times New Roman" w:cs="Times New Roman"/>
          <w:b/>
          <w:bCs/>
          <w:rtl/>
          <w:lang w:eastAsia="de-DE"/>
        </w:rPr>
        <w:t>צֹפִים</w:t>
      </w:r>
      <w:r w:rsidRPr="007031B9">
        <w:rPr>
          <w:rFonts w:eastAsia="Times New Roman" w:cs="Times New Roman"/>
          <w:rtl/>
          <w:lang w:eastAsia="de-DE"/>
        </w:rPr>
        <w:t xml:space="preserve"> </w:t>
      </w:r>
      <w:r w:rsidRPr="007031B9">
        <w:rPr>
          <w:rFonts w:eastAsia="Times New Roman" w:cs="Times New Roman"/>
          <w:lang w:eastAsia="de-DE"/>
        </w:rPr>
        <w:t xml:space="preserve">ist der Plural von </w:t>
      </w:r>
      <w:r w:rsidRPr="007031B9">
        <w:rPr>
          <w:rFonts w:eastAsia="Times New Roman" w:cs="Times New Roman"/>
          <w:b/>
          <w:bCs/>
          <w:rtl/>
          <w:lang w:eastAsia="de-DE"/>
        </w:rPr>
        <w:t>צֹפֶה</w:t>
      </w:r>
      <w:r w:rsidRPr="007031B9">
        <w:rPr>
          <w:rFonts w:eastAsia="Times New Roman" w:cs="Times New Roman"/>
          <w:rtl/>
          <w:lang w:eastAsia="de-DE"/>
        </w:rPr>
        <w:t xml:space="preserve"> </w:t>
      </w:r>
      <w:r w:rsidRPr="007031B9">
        <w:rPr>
          <w:rFonts w:eastAsia="Times New Roman" w:cs="Times New Roman"/>
          <w:lang w:eastAsia="de-DE"/>
        </w:rPr>
        <w:t xml:space="preserve">„Wächter, Späher" (von </w:t>
      </w:r>
      <w:r w:rsidRPr="007031B9">
        <w:rPr>
          <w:rFonts w:eastAsia="Times New Roman" w:cs="Times New Roman"/>
          <w:b/>
          <w:bCs/>
          <w:rtl/>
          <w:lang w:eastAsia="de-DE"/>
        </w:rPr>
        <w:t>צפה</w:t>
      </w:r>
      <w:r w:rsidRPr="007031B9">
        <w:rPr>
          <w:rFonts w:eastAsia="Times New Roman" w:cs="Times New Roman"/>
          <w:rtl/>
          <w:lang w:eastAsia="de-DE"/>
        </w:rPr>
        <w:t xml:space="preserve"> </w:t>
      </w:r>
      <w:r w:rsidRPr="007031B9">
        <w:rPr>
          <w:rFonts w:eastAsia="Times New Roman" w:cs="Times New Roman"/>
          <w:lang w:eastAsia="de-DE"/>
        </w:rPr>
        <w:t xml:space="preserve">„spähen, ausschauen"). Dies ist vermutlich ein Aussichtspunkt. </w:t>
      </w:r>
      <w:r w:rsidRPr="007031B9">
        <w:rPr>
          <w:rFonts w:eastAsia="Times New Roman" w:cs="Times New Roman"/>
          <w:b/>
          <w:bCs/>
          <w:rtl/>
          <w:lang w:eastAsia="de-DE"/>
        </w:rPr>
        <w:t>אֶל־רֹאשׁ הַפִּסְגָּה</w:t>
      </w:r>
      <w:r w:rsidRPr="007031B9">
        <w:rPr>
          <w:rFonts w:eastAsia="Times New Roman" w:cs="Times New Roman"/>
          <w:rtl/>
          <w:lang w:eastAsia="de-DE"/>
        </w:rPr>
        <w:t xml:space="preserve"> </w:t>
      </w:r>
      <w:r w:rsidRPr="007031B9">
        <w:rPr>
          <w:rFonts w:eastAsia="Times New Roman" w:cs="Times New Roman"/>
          <w:lang w:eastAsia="de-DE"/>
        </w:rPr>
        <w:t xml:space="preserve">(„auf den Gipfel des Pisga", Constructus-Verbindung) – </w:t>
      </w:r>
      <w:r w:rsidRPr="007031B9">
        <w:rPr>
          <w:rFonts w:eastAsia="Times New Roman" w:cs="Times New Roman"/>
          <w:b/>
          <w:bCs/>
          <w:rtl/>
          <w:lang w:eastAsia="de-DE"/>
        </w:rPr>
        <w:t>פִּסְגָּה</w:t>
      </w:r>
      <w:r w:rsidRPr="007031B9">
        <w:rPr>
          <w:rFonts w:eastAsia="Times New Roman" w:cs="Times New Roman"/>
          <w:rtl/>
          <w:lang w:eastAsia="de-DE"/>
        </w:rPr>
        <w:t xml:space="preserve"> </w:t>
      </w:r>
      <w:r w:rsidRPr="007031B9">
        <w:rPr>
          <w:rFonts w:eastAsia="Times New Roman" w:cs="Times New Roman"/>
          <w:lang w:eastAsia="de-DE"/>
        </w:rPr>
        <w:t>ist ein bekannter Berg in Moab, von dem aus Moses später das verheißene Land sehen wird (Dtn 3,27; 34,1). Es ist Teil des Nebo-Gebirgszuges östlich des Toten Meeres.</w:t>
      </w:r>
    </w:p>
    <w:p w14:paraId="0F57F4BD"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Wiederholung des Rituals: </w:t>
      </w:r>
      <w:r w:rsidRPr="007031B9">
        <w:rPr>
          <w:rFonts w:eastAsia="Times New Roman" w:cs="Times New Roman"/>
          <w:b/>
          <w:bCs/>
          <w:rtl/>
          <w:lang w:eastAsia="de-DE"/>
        </w:rPr>
        <w:t>וַיִּבֶן שִׁבְעָה מִזְבְּחֹת וַיַּעַל פָּר וָאַיִל בַּמִּזְבֵּחַ</w:t>
      </w:r>
      <w:r w:rsidRPr="007031B9">
        <w:rPr>
          <w:rFonts w:eastAsia="Times New Roman" w:cs="Times New Roman"/>
          <w:rtl/>
          <w:lang w:eastAsia="de-DE"/>
        </w:rPr>
        <w:t xml:space="preserve"> </w:t>
      </w:r>
      <w:r w:rsidRPr="007031B9">
        <w:rPr>
          <w:rFonts w:eastAsia="Times New Roman" w:cs="Times New Roman"/>
          <w:lang w:eastAsia="de-DE"/>
        </w:rPr>
        <w:t>(„und er baute sieben Altäre und opferte einen Stier und einen Widder auf dem/jedem Altar") – identisch mit dem ersten Ritual (V. 1-2). Balak wiederholt die gesamte Prozedur – wieder sieben Altäre, wieder vierzehn Tiere. Dies zeigt seine Verzweiflung und seinen Glauben, dass durch Wiederholung und Ortswechsel ein anderes Ergebnis erzielt werden könnte.</w:t>
      </w:r>
    </w:p>
    <w:p w14:paraId="3C54C26A"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folgt dem hebräischen Text, transkribiert die Ortsnamen.</w:t>
      </w:r>
    </w:p>
    <w:p w14:paraId="1AB3287D"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Satzstruktur zeigt drei koordinierte Hauptsätze: Der erste mit Verb (Objektsuffix), doppelter Ortsangabe (Constructus-Verbindungen); die beiden folgenden mit Verb, Objekt bzw. Verb, Objekt und distributiver Präpositionalphrase. Es gibt keine Nebensätze.</w:t>
      </w:r>
    </w:p>
    <w:p w14:paraId="6624FDED"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zeigt die mechanische Wiederholung des Rituals – Balak hofft auf ein anderes Ergebnis durch Ortswechsel, versteht aber nicht, dass Gottes Wille unveränderlich ist.</w:t>
      </w:r>
    </w:p>
    <w:p w14:paraId="342E67FB"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lastRenderedPageBreak/>
        <w:t>Numeri 23,15</w:t>
      </w:r>
    </w:p>
    <w:p w14:paraId="7357DDD3"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וַיֹּ֨אמֶר֙ אֶל־בָּלָ֔ק הִתְיַצֵּ֥ב כֹּ֖ה עַל־עֹלָתֶ֑ךָ וְאָנֹכִ֖י אִקָּ֥רֶה כֹּֽה׃</w:t>
      </w:r>
    </w:p>
    <w:p w14:paraId="0CE5D919" w14:textId="66589878"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Und er sprach zu Balak: Stelle dich hier neben dein </w:t>
      </w:r>
      <w:r w:rsidR="00593666">
        <w:rPr>
          <w:rFonts w:eastAsia="Times New Roman" w:cs="Times New Roman"/>
          <w:lang w:eastAsia="de-DE"/>
        </w:rPr>
        <w:t>Aufsteigeopfer</w:t>
      </w:r>
      <w:r w:rsidRPr="007031B9">
        <w:rPr>
          <w:rFonts w:eastAsia="Times New Roman" w:cs="Times New Roman"/>
          <w:lang w:eastAsia="de-DE"/>
        </w:rPr>
        <w:t>, und ich will dort begegnen.</w:t>
      </w:r>
    </w:p>
    <w:p w14:paraId="68C647DB"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1743A6FA">
          <v:rect id="_x0000_i1810" style="width:0;height:1.5pt" o:hralign="center" o:hrstd="t" o:hr="t" fillcolor="#a0a0a0" stroked="f"/>
        </w:pict>
      </w:r>
    </w:p>
    <w:p w14:paraId="19BF8A1B" w14:textId="36AA567F"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Die Anweisung ist fast identisch mit V. 3: </w:t>
      </w:r>
      <w:r w:rsidRPr="007031B9">
        <w:rPr>
          <w:rFonts w:eastAsia="Times New Roman" w:cs="Times New Roman"/>
          <w:b/>
          <w:bCs/>
          <w:rtl/>
          <w:lang w:eastAsia="de-DE"/>
        </w:rPr>
        <w:t>הִתְיַצֵּב כֹּה עַל־עֹלָתֶךָ</w:t>
      </w:r>
      <w:r w:rsidRPr="007031B9">
        <w:rPr>
          <w:rFonts w:eastAsia="Times New Roman" w:cs="Times New Roman"/>
          <w:rtl/>
          <w:lang w:eastAsia="de-DE"/>
        </w:rPr>
        <w:t xml:space="preserve"> </w:t>
      </w:r>
      <w:r w:rsidRPr="007031B9">
        <w:rPr>
          <w:rFonts w:eastAsia="Times New Roman" w:cs="Times New Roman"/>
          <w:lang w:eastAsia="de-DE"/>
        </w:rPr>
        <w:t xml:space="preserve">(„Stelle dich hier neben dein </w:t>
      </w:r>
      <w:r w:rsidR="00593666">
        <w:rPr>
          <w:rFonts w:eastAsia="Times New Roman" w:cs="Times New Roman"/>
          <w:lang w:eastAsia="de-DE"/>
        </w:rPr>
        <w:t>Aufsteigeopfer</w:t>
      </w:r>
      <w:r w:rsidRPr="007031B9">
        <w:rPr>
          <w:rFonts w:eastAsia="Times New Roman" w:cs="Times New Roman"/>
          <w:lang w:eastAsia="de-DE"/>
        </w:rPr>
        <w:t xml:space="preserve">") – </w:t>
      </w:r>
      <w:r w:rsidRPr="007031B9">
        <w:rPr>
          <w:rFonts w:eastAsia="Times New Roman" w:cs="Times New Roman"/>
          <w:b/>
          <w:bCs/>
          <w:rtl/>
          <w:lang w:eastAsia="de-DE"/>
        </w:rPr>
        <w:t>כֹּה</w:t>
      </w:r>
      <w:r w:rsidRPr="007031B9">
        <w:rPr>
          <w:rFonts w:eastAsia="Times New Roman" w:cs="Times New Roman"/>
          <w:rtl/>
          <w:lang w:eastAsia="de-DE"/>
        </w:rPr>
        <w:t xml:space="preserve"> </w:t>
      </w:r>
      <w:r w:rsidRPr="007031B9">
        <w:rPr>
          <w:rFonts w:eastAsia="Times New Roman" w:cs="Times New Roman"/>
          <w:lang w:eastAsia="de-DE"/>
        </w:rPr>
        <w:t xml:space="preserve">„hier" (Lokativ). </w:t>
      </w:r>
      <w:r w:rsidRPr="007031B9">
        <w:rPr>
          <w:rFonts w:eastAsia="Times New Roman" w:cs="Times New Roman"/>
          <w:b/>
          <w:bCs/>
          <w:rtl/>
          <w:lang w:eastAsia="de-DE"/>
        </w:rPr>
        <w:t>וְאָנֹכִי אִקָּרֶה כֹּה</w:t>
      </w:r>
      <w:r w:rsidRPr="007031B9">
        <w:rPr>
          <w:rFonts w:eastAsia="Times New Roman" w:cs="Times New Roman"/>
          <w:rtl/>
          <w:lang w:eastAsia="de-DE"/>
        </w:rPr>
        <w:t xml:space="preserve"> </w:t>
      </w:r>
      <w:r w:rsidRPr="007031B9">
        <w:rPr>
          <w:rFonts w:eastAsia="Times New Roman" w:cs="Times New Roman"/>
          <w:lang w:eastAsia="de-DE"/>
        </w:rPr>
        <w:t xml:space="preserve">(„und ich will dort begegnen") – </w:t>
      </w:r>
      <w:r w:rsidRPr="007031B9">
        <w:rPr>
          <w:rFonts w:eastAsia="Times New Roman" w:cs="Times New Roman"/>
          <w:b/>
          <w:bCs/>
          <w:rtl/>
          <w:lang w:eastAsia="de-DE"/>
        </w:rPr>
        <w:t>וְאָנֹכִי</w:t>
      </w:r>
      <w:r w:rsidRPr="007031B9">
        <w:rPr>
          <w:rFonts w:eastAsia="Times New Roman" w:cs="Times New Roman"/>
          <w:rtl/>
          <w:lang w:eastAsia="de-DE"/>
        </w:rPr>
        <w:t xml:space="preserve"> </w:t>
      </w:r>
      <w:r w:rsidRPr="007031B9">
        <w:rPr>
          <w:rFonts w:eastAsia="Times New Roman" w:cs="Times New Roman"/>
          <w:lang w:eastAsia="de-DE"/>
        </w:rPr>
        <w:t xml:space="preserve">emphatisches Pronomen „und ich", </w:t>
      </w:r>
      <w:r w:rsidRPr="007031B9">
        <w:rPr>
          <w:rFonts w:eastAsia="Times New Roman" w:cs="Times New Roman"/>
          <w:b/>
          <w:bCs/>
          <w:rtl/>
          <w:lang w:eastAsia="de-DE"/>
        </w:rPr>
        <w:t>אִקָּרֶה</w:t>
      </w:r>
      <w:r w:rsidRPr="007031B9">
        <w:rPr>
          <w:rFonts w:eastAsia="Times New Roman" w:cs="Times New Roman"/>
          <w:rtl/>
          <w:lang w:eastAsia="de-DE"/>
        </w:rPr>
        <w:t xml:space="preserve"> </w:t>
      </w:r>
      <w:r w:rsidRPr="007031B9">
        <w:rPr>
          <w:rFonts w:eastAsia="Times New Roman" w:cs="Times New Roman"/>
          <w:lang w:eastAsia="de-DE"/>
        </w:rPr>
        <w:t xml:space="preserve">(Nifal Kohortativ, 1. c. sg. von </w:t>
      </w:r>
      <w:r w:rsidRPr="007031B9">
        <w:rPr>
          <w:rFonts w:eastAsia="Times New Roman" w:cs="Times New Roman"/>
          <w:b/>
          <w:bCs/>
          <w:rtl/>
          <w:lang w:eastAsia="de-DE"/>
        </w:rPr>
        <w:t>קרה</w:t>
      </w:r>
      <w:r w:rsidRPr="007031B9">
        <w:rPr>
          <w:rFonts w:eastAsia="Times New Roman" w:cs="Times New Roman"/>
          <w:lang w:eastAsia="de-DE"/>
        </w:rPr>
        <w:t xml:space="preserve">, „ich will begegnen"), </w:t>
      </w:r>
      <w:r w:rsidRPr="007031B9">
        <w:rPr>
          <w:rFonts w:eastAsia="Times New Roman" w:cs="Times New Roman"/>
          <w:b/>
          <w:bCs/>
          <w:rtl/>
          <w:lang w:eastAsia="de-DE"/>
        </w:rPr>
        <w:t>כֹּה</w:t>
      </w:r>
      <w:r w:rsidRPr="007031B9">
        <w:rPr>
          <w:rFonts w:eastAsia="Times New Roman" w:cs="Times New Roman"/>
          <w:rtl/>
          <w:lang w:eastAsia="de-DE"/>
        </w:rPr>
        <w:t xml:space="preserve"> </w:t>
      </w:r>
      <w:r w:rsidRPr="007031B9">
        <w:rPr>
          <w:rFonts w:eastAsia="Times New Roman" w:cs="Times New Roman"/>
          <w:lang w:eastAsia="de-DE"/>
        </w:rPr>
        <w:t>„dort" (hier wohl „dort" im Kontrast zu Balaks Position „hier").</w:t>
      </w:r>
    </w:p>
    <w:p w14:paraId="6421F6B6"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 xml:space="preserve">Die Formulierung ist kürzer als in V. 3 – Bileam sagt nicht mehr </w:t>
      </w:r>
      <w:r w:rsidRPr="007031B9">
        <w:rPr>
          <w:rFonts w:eastAsia="Times New Roman" w:cs="Times New Roman"/>
          <w:b/>
          <w:bCs/>
          <w:rtl/>
          <w:lang w:eastAsia="de-DE"/>
        </w:rPr>
        <w:t>אוּלַי</w:t>
      </w:r>
      <w:r w:rsidRPr="007031B9">
        <w:rPr>
          <w:rFonts w:eastAsia="Times New Roman" w:cs="Times New Roman"/>
          <w:rtl/>
          <w:lang w:eastAsia="de-DE"/>
        </w:rPr>
        <w:t xml:space="preserve"> </w:t>
      </w:r>
      <w:r w:rsidRPr="007031B9">
        <w:rPr>
          <w:rFonts w:eastAsia="Times New Roman" w:cs="Times New Roman"/>
          <w:lang w:eastAsia="de-DE"/>
        </w:rPr>
        <w:t>„vielleicht" und gibt keine Erklärung. Er weiß jetzt aus Erfahrung: Gott wird kommen und ihm ein Wort geben.</w:t>
      </w:r>
    </w:p>
    <w:p w14:paraId="06029A35"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folgt dem hebräischen Text.</w:t>
      </w:r>
    </w:p>
    <w:p w14:paraId="2CE2A0EC"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Satzstruktur zeigt einen Hauptsatz mit Verb, indirektem Objekt und Subjekt. Die direkte Rede enthält: Imperativ mit Lokativ und Präpositionalphrase; koordinierten Hauptsatz mit emphatischem Pronomen, Verb (Kohortativ) und Lokativ. Es gibt keine Nebensätze.</w:t>
      </w:r>
    </w:p>
    <w:p w14:paraId="0D444405"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zeigt die Routine des zweiten Versuchs – Bileam folgt demselben Muster wie beim ersten Mal.</w:t>
      </w:r>
    </w:p>
    <w:p w14:paraId="0EF235D5" w14:textId="77777777" w:rsidR="007031B9" w:rsidRPr="007031B9" w:rsidRDefault="007031B9" w:rsidP="007031B9">
      <w:pPr>
        <w:spacing w:before="100" w:beforeAutospacing="1" w:after="100" w:afterAutospacing="1" w:line="240" w:lineRule="auto"/>
        <w:outlineLvl w:val="0"/>
        <w:rPr>
          <w:rFonts w:eastAsia="Times New Roman" w:cs="Times New Roman"/>
          <w:b/>
          <w:bCs/>
          <w:kern w:val="36"/>
          <w:sz w:val="48"/>
          <w:szCs w:val="48"/>
          <w:lang w:eastAsia="de-DE"/>
        </w:rPr>
      </w:pPr>
      <w:r w:rsidRPr="007031B9">
        <w:rPr>
          <w:rFonts w:eastAsia="Times New Roman" w:cs="Times New Roman"/>
          <w:b/>
          <w:bCs/>
          <w:kern w:val="36"/>
          <w:sz w:val="48"/>
          <w:szCs w:val="48"/>
          <w:lang w:eastAsia="de-DE"/>
        </w:rPr>
        <w:t>Numeri 23,16</w:t>
      </w:r>
    </w:p>
    <w:p w14:paraId="7D07E0D3"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Hebräisch:</w:t>
      </w:r>
      <w:r w:rsidRPr="007031B9">
        <w:rPr>
          <w:rFonts w:eastAsia="Times New Roman" w:cs="Times New Roman"/>
          <w:lang w:eastAsia="de-DE"/>
        </w:rPr>
        <w:t xml:space="preserve"> </w:t>
      </w:r>
      <w:r w:rsidRPr="007031B9">
        <w:rPr>
          <w:rFonts w:eastAsia="Times New Roman" w:cs="Times New Roman"/>
          <w:rtl/>
          <w:lang w:eastAsia="de-DE"/>
        </w:rPr>
        <w:t>וַיִּקָּ֤ר יְהוָה֙ אֶל־בִּלְעָ֔ם וַיָּ֥שֶׂם דָּבָ֖ר בְּפִ֑יו וַיֹּ֛אמֶר שׁ֥וּב אֶל־בָּלָ֖ק וְכֹ֥ה תְדַבֵּֽר׃</w:t>
      </w:r>
    </w:p>
    <w:p w14:paraId="3249048D"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Deutsch:</w:t>
      </w:r>
      <w:r w:rsidRPr="007031B9">
        <w:rPr>
          <w:rFonts w:eastAsia="Times New Roman" w:cs="Times New Roman"/>
          <w:lang w:eastAsia="de-DE"/>
        </w:rPr>
        <w:t xml:space="preserve"> Und der Ewige begegnete Bileam und legte ein Wort in seinen Mund und sprach: Kehre zu Balak zurück, und so sollst du reden.</w:t>
      </w:r>
    </w:p>
    <w:p w14:paraId="36405F7A" w14:textId="77777777" w:rsidR="007031B9" w:rsidRPr="007031B9" w:rsidRDefault="00F329DD" w:rsidP="007031B9">
      <w:pPr>
        <w:spacing w:after="0" w:line="240" w:lineRule="auto"/>
        <w:rPr>
          <w:rFonts w:eastAsia="Times New Roman" w:cs="Times New Roman"/>
          <w:lang w:eastAsia="de-DE"/>
        </w:rPr>
      </w:pPr>
      <w:r>
        <w:rPr>
          <w:rFonts w:eastAsia="Times New Roman" w:cs="Times New Roman"/>
          <w:noProof/>
          <w:lang w:eastAsia="de-DE"/>
        </w:rPr>
        <w:pict w14:anchorId="196974C7">
          <v:rect id="_x0000_i1811" style="width:0;height:1.5pt" o:hralign="center" o:hrstd="t" o:hr="t" fillcolor="#a0a0a0" stroked="f"/>
        </w:pict>
      </w:r>
    </w:p>
    <w:p w14:paraId="5E9BA562"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Kommentar:</w:t>
      </w:r>
      <w:r w:rsidRPr="007031B9">
        <w:rPr>
          <w:rFonts w:eastAsia="Times New Roman" w:cs="Times New Roman"/>
          <w:lang w:eastAsia="de-DE"/>
        </w:rPr>
        <w:t xml:space="preserve"> Die göttliche Begegnung wiederholt sich: </w:t>
      </w:r>
      <w:r w:rsidRPr="007031B9">
        <w:rPr>
          <w:rFonts w:eastAsia="Times New Roman" w:cs="Times New Roman"/>
          <w:b/>
          <w:bCs/>
          <w:rtl/>
          <w:lang w:eastAsia="de-DE"/>
        </w:rPr>
        <w:t>וַיִּקָּר יְהוָה אֶל־בִּלְעָם</w:t>
      </w:r>
      <w:r w:rsidRPr="007031B9">
        <w:rPr>
          <w:rFonts w:eastAsia="Times New Roman" w:cs="Times New Roman"/>
          <w:rtl/>
          <w:lang w:eastAsia="de-DE"/>
        </w:rPr>
        <w:t xml:space="preserve"> </w:t>
      </w:r>
      <w:r w:rsidRPr="007031B9">
        <w:rPr>
          <w:rFonts w:eastAsia="Times New Roman" w:cs="Times New Roman"/>
          <w:lang w:eastAsia="de-DE"/>
        </w:rPr>
        <w:t xml:space="preserve">(„und JHWH begegnete Bileam") – identisch mit V. 4, außer dass hier </w:t>
      </w:r>
      <w:r w:rsidRPr="007031B9">
        <w:rPr>
          <w:rFonts w:eastAsia="Times New Roman" w:cs="Times New Roman"/>
          <w:b/>
          <w:bCs/>
          <w:rtl/>
          <w:lang w:eastAsia="de-DE"/>
        </w:rPr>
        <w:t>יְהוָה</w:t>
      </w:r>
      <w:r w:rsidRPr="007031B9">
        <w:rPr>
          <w:rFonts w:eastAsia="Times New Roman" w:cs="Times New Roman"/>
          <w:rtl/>
          <w:lang w:eastAsia="de-DE"/>
        </w:rPr>
        <w:t xml:space="preserve"> </w:t>
      </w:r>
      <w:r w:rsidRPr="007031B9">
        <w:rPr>
          <w:rFonts w:eastAsia="Times New Roman" w:cs="Times New Roman"/>
          <w:lang w:eastAsia="de-DE"/>
        </w:rPr>
        <w:t xml:space="preserve">statt </w:t>
      </w:r>
      <w:r w:rsidRPr="007031B9">
        <w:rPr>
          <w:rFonts w:eastAsia="Times New Roman" w:cs="Times New Roman"/>
          <w:b/>
          <w:bCs/>
          <w:rtl/>
          <w:lang w:eastAsia="de-DE"/>
        </w:rPr>
        <w:t>אֱלֹהִים</w:t>
      </w:r>
      <w:r w:rsidRPr="007031B9">
        <w:rPr>
          <w:rFonts w:eastAsia="Times New Roman" w:cs="Times New Roman"/>
          <w:rtl/>
          <w:lang w:eastAsia="de-DE"/>
        </w:rPr>
        <w:t xml:space="preserve"> </w:t>
      </w:r>
      <w:r w:rsidRPr="007031B9">
        <w:rPr>
          <w:rFonts w:eastAsia="Times New Roman" w:cs="Times New Roman"/>
          <w:lang w:eastAsia="de-DE"/>
        </w:rPr>
        <w:t xml:space="preserve">steht. </w:t>
      </w:r>
      <w:r w:rsidRPr="007031B9">
        <w:rPr>
          <w:rFonts w:eastAsia="Times New Roman" w:cs="Times New Roman"/>
          <w:b/>
          <w:bCs/>
          <w:rtl/>
          <w:lang w:eastAsia="de-DE"/>
        </w:rPr>
        <w:t>וַיָּשֶׂם דָּבָר בְּפִיו</w:t>
      </w:r>
      <w:r w:rsidRPr="007031B9">
        <w:rPr>
          <w:rFonts w:eastAsia="Times New Roman" w:cs="Times New Roman"/>
          <w:rtl/>
          <w:lang w:eastAsia="de-DE"/>
        </w:rPr>
        <w:t xml:space="preserve"> </w:t>
      </w:r>
      <w:r w:rsidRPr="007031B9">
        <w:rPr>
          <w:rFonts w:eastAsia="Times New Roman" w:cs="Times New Roman"/>
          <w:lang w:eastAsia="de-DE"/>
        </w:rPr>
        <w:t xml:space="preserve">(„und er legte ein Wort in seinen Mund") – fast identisch mit V. 5, hier </w:t>
      </w:r>
      <w:r w:rsidRPr="007031B9">
        <w:rPr>
          <w:rFonts w:eastAsia="Times New Roman" w:cs="Times New Roman"/>
          <w:b/>
          <w:bCs/>
          <w:rtl/>
          <w:lang w:eastAsia="de-DE"/>
        </w:rPr>
        <w:t>בְּפִיו</w:t>
      </w:r>
      <w:r w:rsidRPr="007031B9">
        <w:rPr>
          <w:rFonts w:eastAsia="Times New Roman" w:cs="Times New Roman"/>
          <w:rtl/>
          <w:lang w:eastAsia="de-DE"/>
        </w:rPr>
        <w:t xml:space="preserve"> </w:t>
      </w:r>
      <w:r w:rsidRPr="007031B9">
        <w:rPr>
          <w:rFonts w:eastAsia="Times New Roman" w:cs="Times New Roman"/>
          <w:lang w:eastAsia="de-DE"/>
        </w:rPr>
        <w:t xml:space="preserve">„in seinen Mund" statt </w:t>
      </w:r>
      <w:r w:rsidRPr="007031B9">
        <w:rPr>
          <w:rFonts w:eastAsia="Times New Roman" w:cs="Times New Roman"/>
          <w:b/>
          <w:bCs/>
          <w:rtl/>
          <w:lang w:eastAsia="de-DE"/>
        </w:rPr>
        <w:t>בְּפִי בִלְעָם</w:t>
      </w:r>
      <w:r w:rsidRPr="007031B9">
        <w:rPr>
          <w:rFonts w:eastAsia="Times New Roman" w:cs="Times New Roman"/>
          <w:lang w:eastAsia="de-DE"/>
        </w:rPr>
        <w:t xml:space="preserve">. Die Anweisung </w:t>
      </w:r>
      <w:r w:rsidRPr="007031B9">
        <w:rPr>
          <w:rFonts w:eastAsia="Times New Roman" w:cs="Times New Roman"/>
          <w:b/>
          <w:bCs/>
          <w:rtl/>
          <w:lang w:eastAsia="de-DE"/>
        </w:rPr>
        <w:t>וַיֹּאמֶר שׁוּב אֶל־בָּלָק וְכֹה תְדַבֵּר</w:t>
      </w:r>
      <w:r w:rsidRPr="007031B9">
        <w:rPr>
          <w:rFonts w:eastAsia="Times New Roman" w:cs="Times New Roman"/>
          <w:rtl/>
          <w:lang w:eastAsia="de-DE"/>
        </w:rPr>
        <w:t xml:space="preserve"> </w:t>
      </w:r>
      <w:r w:rsidRPr="007031B9">
        <w:rPr>
          <w:rFonts w:eastAsia="Times New Roman" w:cs="Times New Roman"/>
          <w:lang w:eastAsia="de-DE"/>
        </w:rPr>
        <w:t>(„und er sprach: Kehre zu Balak zurück, und so sollst du reden") ist identisch mit V. 5.</w:t>
      </w:r>
    </w:p>
    <w:p w14:paraId="1424872E"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Die fast wörtliche Wiederholung betont: Gottes Vorgehen ist konsistent. Ortswechsel ändert nichts – Gott kontrolliert die Situation vollständig.</w:t>
      </w:r>
    </w:p>
    <w:p w14:paraId="5862BCBC"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b/>
          <w:bCs/>
          <w:lang w:eastAsia="de-DE"/>
        </w:rPr>
        <w:t>Die LXX</w:t>
      </w:r>
      <w:r w:rsidRPr="007031B9">
        <w:rPr>
          <w:rFonts w:eastAsia="Times New Roman" w:cs="Times New Roman"/>
          <w:lang w:eastAsia="de-DE"/>
        </w:rPr>
        <w:t xml:space="preserve"> folgt dem hebräischen Text.</w:t>
      </w:r>
    </w:p>
    <w:p w14:paraId="5EEF6E02" w14:textId="77777777"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lastRenderedPageBreak/>
        <w:t>Die Satzstruktur zeigt drei koordinierte Hauptsätze: Verb, Subjekt, Präpositionalphrase; Verb, Objekt, Präpositionalphrase; Verb mit direkter Rede (Imperativ und koordiniertes Verb mit Adverb). Es gibt keine Nebensätze.</w:t>
      </w:r>
    </w:p>
    <w:p w14:paraId="225C2A48" w14:textId="67DD4E08" w:rsidR="007031B9" w:rsidRPr="007031B9" w:rsidRDefault="007031B9" w:rsidP="007031B9">
      <w:pPr>
        <w:spacing w:before="100" w:beforeAutospacing="1" w:after="100" w:afterAutospacing="1" w:line="240" w:lineRule="auto"/>
        <w:rPr>
          <w:rFonts w:eastAsia="Times New Roman" w:cs="Times New Roman"/>
          <w:lang w:eastAsia="de-DE"/>
        </w:rPr>
      </w:pPr>
      <w:r w:rsidRPr="007031B9">
        <w:rPr>
          <w:rFonts w:eastAsia="Times New Roman" w:cs="Times New Roman"/>
          <w:lang w:eastAsia="de-DE"/>
        </w:rPr>
        <w:t>Der Vers bereitet d</w:t>
      </w:r>
      <w:r w:rsidR="00682D5F">
        <w:rPr>
          <w:rFonts w:eastAsia="Times New Roman" w:cs="Times New Roman"/>
          <w:lang w:eastAsia="de-DE"/>
        </w:rPr>
        <w:t>ie</w:t>
      </w:r>
      <w:r w:rsidRPr="007031B9">
        <w:rPr>
          <w:rFonts w:eastAsia="Times New Roman" w:cs="Times New Roman"/>
          <w:lang w:eastAsia="de-DE"/>
        </w:rPr>
        <w:t xml:space="preserve"> zweite </w:t>
      </w:r>
      <w:r w:rsidR="00682D5F">
        <w:rPr>
          <w:rFonts w:eastAsia="Times New Roman" w:cs="Times New Roman"/>
          <w:lang w:eastAsia="de-DE"/>
        </w:rPr>
        <w:t xml:space="preserve">Weissagung </w:t>
      </w:r>
      <w:r w:rsidRPr="007031B9">
        <w:rPr>
          <w:rFonts w:eastAsia="Times New Roman" w:cs="Times New Roman"/>
          <w:lang w:eastAsia="de-DE"/>
        </w:rPr>
        <w:t>vor – Gott gibt Bileam erneut ein Wort.</w:t>
      </w:r>
    </w:p>
    <w:p w14:paraId="73CF5084" w14:textId="77777777" w:rsidR="008E5E2F" w:rsidRPr="008E5E2F" w:rsidRDefault="008E5E2F" w:rsidP="008E5E2F">
      <w:pPr>
        <w:pStyle w:val="berschrift2"/>
        <w:rPr>
          <w:rFonts w:asciiTheme="majorBidi" w:hAnsiTheme="majorBidi"/>
          <w:b/>
          <w:bCs/>
          <w:color w:val="auto"/>
          <w:sz w:val="48"/>
          <w:szCs w:val="48"/>
        </w:rPr>
      </w:pPr>
      <w:r w:rsidRPr="008E5E2F">
        <w:rPr>
          <w:rFonts w:asciiTheme="majorBidi" w:hAnsiTheme="majorBidi"/>
          <w:b/>
          <w:bCs/>
          <w:color w:val="auto"/>
          <w:sz w:val="48"/>
          <w:szCs w:val="48"/>
        </w:rPr>
        <w:t>Numeri 23,17</w:t>
      </w:r>
    </w:p>
    <w:p w14:paraId="7350C4E5" w14:textId="77777777" w:rsidR="008E5E2F" w:rsidRDefault="008E5E2F" w:rsidP="008E5E2F">
      <w:pPr>
        <w:pStyle w:val="whitespace-normal"/>
      </w:pPr>
      <w:r>
        <w:rPr>
          <w:rStyle w:val="Fett"/>
        </w:rPr>
        <w:t>Hebräisch:</w:t>
      </w:r>
      <w:r>
        <w:t xml:space="preserve"> </w:t>
      </w:r>
      <w:r>
        <w:rPr>
          <w:rtl/>
        </w:rPr>
        <w:t>וַיָּבֹ֣א אֵלָ֗יו וְהִנּוֹ֤ נִצָּב֙ עַל־עֹ֣לָתוֹ֔ וְשָׂרֵ֥י מוֹאָ֖ב אִתּוֹ֑ וַיֹּ֤אמֶר לוֹ֙ בָּלָ֔ק מַה־דִּבֶּ֖ר יְהוָֽה׃</w:t>
      </w:r>
    </w:p>
    <w:p w14:paraId="7C9E8996" w14:textId="77777777" w:rsidR="008E5E2F" w:rsidRDefault="008E5E2F" w:rsidP="008E5E2F">
      <w:pPr>
        <w:pStyle w:val="whitespace-normal"/>
      </w:pPr>
      <w:r>
        <w:rPr>
          <w:rStyle w:val="Fett"/>
        </w:rPr>
        <w:t>Deutsch:</w:t>
      </w:r>
      <w:r>
        <w:t xml:space="preserve"> Und er kam zu ihm, und siehe, er stand bei seinem Aufsteigeopfer und die Fürsten Moʾavs mit ihm. Und Balak sprach zu ihm: „Was hat der Ewige geredet?"</w:t>
      </w:r>
    </w:p>
    <w:p w14:paraId="69113E32" w14:textId="77777777" w:rsidR="008E5E2F" w:rsidRDefault="00F329DD" w:rsidP="008E5E2F">
      <w:r>
        <w:rPr>
          <w:noProof/>
        </w:rPr>
        <w:pict w14:anchorId="2C1E544B">
          <v:rect id="_x0000_i1812" style="width:0;height:1.5pt" o:hralign="center" o:hrstd="t" o:hr="t" fillcolor="#a0a0a0" stroked="f"/>
        </w:pict>
      </w:r>
    </w:p>
    <w:p w14:paraId="558BE3FF" w14:textId="77777777" w:rsidR="008E5E2F" w:rsidRDefault="008E5E2F" w:rsidP="008E5E2F">
      <w:pPr>
        <w:pStyle w:val="whitespace-normal"/>
      </w:pPr>
      <w:r>
        <w:rPr>
          <w:rStyle w:val="Fett"/>
        </w:rPr>
        <w:t>Kommentar:</w:t>
      </w:r>
      <w:r>
        <w:t xml:space="preserve"> Das Verb </w:t>
      </w:r>
      <w:r>
        <w:rPr>
          <w:rStyle w:val="Fett"/>
          <w:rtl/>
        </w:rPr>
        <w:t>וַיָּבֹא</w:t>
      </w:r>
      <w:r>
        <w:rPr>
          <w:rtl/>
        </w:rPr>
        <w:t xml:space="preserve"> </w:t>
      </w:r>
      <w:r>
        <w:t xml:space="preserve">(Wayyiqtol, 3. m. Sg. von </w:t>
      </w:r>
      <w:r>
        <w:rPr>
          <w:rtl/>
        </w:rPr>
        <w:t>בוא</w:t>
      </w:r>
      <w:r>
        <w:t xml:space="preserve">) leitet die narrative Fortsetzung ein und zeigt Bileams Rückkehr zu Balak an. Das folgende </w:t>
      </w:r>
      <w:r>
        <w:rPr>
          <w:rStyle w:val="Fett"/>
          <w:rtl/>
        </w:rPr>
        <w:t>אֵלָיו</w:t>
      </w:r>
      <w:r>
        <w:rPr>
          <w:rtl/>
        </w:rPr>
        <w:t xml:space="preserve"> </w:t>
      </w:r>
      <w:r>
        <w:t xml:space="preserve">(Präposition </w:t>
      </w:r>
      <w:r>
        <w:rPr>
          <w:rtl/>
        </w:rPr>
        <w:t>אֶל</w:t>
      </w:r>
      <w:r>
        <w:t xml:space="preserve"> mit Suffix 3. m. Sg.) gibt die Richtung „zu ihm" an.</w:t>
      </w:r>
    </w:p>
    <w:p w14:paraId="72B693B0" w14:textId="77777777" w:rsidR="008E5E2F" w:rsidRDefault="008E5E2F" w:rsidP="008E5E2F">
      <w:pPr>
        <w:pStyle w:val="whitespace-normal"/>
      </w:pPr>
      <w:r>
        <w:t xml:space="preserve">Die Partikel </w:t>
      </w:r>
      <w:r>
        <w:rPr>
          <w:rStyle w:val="Fett"/>
          <w:rtl/>
        </w:rPr>
        <w:t>וְהִנּוֹ</w:t>
      </w:r>
      <w:r>
        <w:rPr>
          <w:rtl/>
        </w:rPr>
        <w:t xml:space="preserve"> </w:t>
      </w:r>
      <w:r>
        <w:t xml:space="preserve">(Kopula </w:t>
      </w:r>
      <w:r>
        <w:rPr>
          <w:rtl/>
        </w:rPr>
        <w:t>וְ</w:t>
      </w:r>
      <w:r>
        <w:t xml:space="preserve"> mit </w:t>
      </w:r>
      <w:r>
        <w:rPr>
          <w:rtl/>
        </w:rPr>
        <w:t>הִנֵּה</w:t>
      </w:r>
      <w:r>
        <w:t xml:space="preserve"> und Pronominalsuffix 3. m. Sg.) lenkt die Aufmerksamkeit auf die unmittelbare Wahrnehmung: „und siehe, er". Das Partizip </w:t>
      </w:r>
      <w:r>
        <w:rPr>
          <w:rStyle w:val="Fett"/>
          <w:rtl/>
        </w:rPr>
        <w:t>נִצָּב</w:t>
      </w:r>
      <w:r>
        <w:rPr>
          <w:rtl/>
        </w:rPr>
        <w:t xml:space="preserve"> </w:t>
      </w:r>
      <w:r>
        <w:t xml:space="preserve">(Nifal von </w:t>
      </w:r>
      <w:r>
        <w:rPr>
          <w:rtl/>
        </w:rPr>
        <w:t>נצב</w:t>
      </w:r>
      <w:r>
        <w:t>, stehend/gestellt, m. Sg.) beschreibt Balaks Position beim Opfer und drückt durch die Nifal-Form einen Zustand aus.</w:t>
      </w:r>
    </w:p>
    <w:p w14:paraId="614CAFE9" w14:textId="77777777" w:rsidR="008E5E2F" w:rsidRDefault="008E5E2F" w:rsidP="008E5E2F">
      <w:pPr>
        <w:pStyle w:val="whitespace-normal"/>
      </w:pPr>
      <w:r>
        <w:t xml:space="preserve">Die Präpositionalphrase </w:t>
      </w:r>
      <w:r>
        <w:rPr>
          <w:rStyle w:val="Fett"/>
          <w:rtl/>
        </w:rPr>
        <w:t>עַל־עֹלָתוֹ</w:t>
      </w:r>
      <w:r>
        <w:rPr>
          <w:rtl/>
        </w:rPr>
        <w:t xml:space="preserve"> </w:t>
      </w:r>
      <w:r>
        <w:t xml:space="preserve">verbindet die Präposition </w:t>
      </w:r>
      <w:r>
        <w:rPr>
          <w:rtl/>
        </w:rPr>
        <w:t>עַל</w:t>
      </w:r>
      <w:r>
        <w:t xml:space="preserve"> („bei, auf") mit dem Nomen </w:t>
      </w:r>
      <w:r>
        <w:rPr>
          <w:rStyle w:val="Fett"/>
          <w:rtl/>
        </w:rPr>
        <w:t>עֹלָה</w:t>
      </w:r>
      <w:r>
        <w:rPr>
          <w:rtl/>
        </w:rPr>
        <w:t xml:space="preserve"> </w:t>
      </w:r>
      <w:r>
        <w:t xml:space="preserve">(„Aufsteigeopfer", f. Sg. mit Suffix 3. m. Sg.), das vom Verb </w:t>
      </w:r>
      <w:r>
        <w:rPr>
          <w:rtl/>
        </w:rPr>
        <w:t>עלה</w:t>
      </w:r>
      <w:r>
        <w:t xml:space="preserve"> („hinaufsteigen") abgeleitet ist und das vollständige Verbrennen des Opfers bezeichnet, bei dem der Rauch zu Gott aufsteigt.</w:t>
      </w:r>
    </w:p>
    <w:p w14:paraId="560569EA" w14:textId="77777777" w:rsidR="008E5E2F" w:rsidRDefault="008E5E2F" w:rsidP="008E5E2F">
      <w:pPr>
        <w:pStyle w:val="whitespace-normal"/>
      </w:pPr>
      <w:r>
        <w:t xml:space="preserve">Das Nomen </w:t>
      </w:r>
      <w:r>
        <w:rPr>
          <w:rStyle w:val="Fett"/>
          <w:rtl/>
        </w:rPr>
        <w:t>וְשָׂרֵי</w:t>
      </w:r>
      <w:r>
        <w:rPr>
          <w:rtl/>
        </w:rPr>
        <w:t xml:space="preserve"> </w:t>
      </w:r>
      <w:r>
        <w:t xml:space="preserve">(Pl. constr. von </w:t>
      </w:r>
      <w:r>
        <w:rPr>
          <w:rtl/>
        </w:rPr>
        <w:t>שַׂר</w:t>
      </w:r>
      <w:r>
        <w:t xml:space="preserve">, „Fürsten") mit dem Gentilnomen </w:t>
      </w:r>
      <w:r>
        <w:rPr>
          <w:rStyle w:val="Fett"/>
          <w:rtl/>
        </w:rPr>
        <w:t>מוֹאָב</w:t>
      </w:r>
      <w:r>
        <w:rPr>
          <w:rtl/>
        </w:rPr>
        <w:t xml:space="preserve"> </w:t>
      </w:r>
      <w:r>
        <w:t xml:space="preserve">bildet eine Genitivverbindung „Fürsten Moabs". Die Präposition </w:t>
      </w:r>
      <w:r>
        <w:rPr>
          <w:rStyle w:val="Fett"/>
          <w:rtl/>
        </w:rPr>
        <w:t>אִתּוֹ</w:t>
      </w:r>
      <w:r>
        <w:rPr>
          <w:rtl/>
        </w:rPr>
        <w:t xml:space="preserve"> </w:t>
      </w:r>
      <w:r>
        <w:t>(</w:t>
      </w:r>
      <w:r>
        <w:rPr>
          <w:rtl/>
        </w:rPr>
        <w:t>אֵת</w:t>
      </w:r>
      <w:r>
        <w:t xml:space="preserve"> mit Suffix 3. m. Sg.) bedeutet „mit ihm" und zeigt die Begleitung an.</w:t>
      </w:r>
    </w:p>
    <w:p w14:paraId="28BD21E8" w14:textId="77777777" w:rsidR="008E5E2F" w:rsidRDefault="008E5E2F" w:rsidP="008E5E2F">
      <w:pPr>
        <w:pStyle w:val="whitespace-normal"/>
      </w:pPr>
      <w:r>
        <w:t xml:space="preserve">Das Verb </w:t>
      </w:r>
      <w:r>
        <w:rPr>
          <w:rStyle w:val="Fett"/>
          <w:rtl/>
        </w:rPr>
        <w:t>וַיֹּאמֶר</w:t>
      </w:r>
      <w:r>
        <w:rPr>
          <w:rtl/>
        </w:rPr>
        <w:t xml:space="preserve"> </w:t>
      </w:r>
      <w:r>
        <w:t xml:space="preserve">(Wayyiqtol, 3. m. Sg. von </w:t>
      </w:r>
      <w:r>
        <w:rPr>
          <w:rtl/>
        </w:rPr>
        <w:t>אמר</w:t>
      </w:r>
      <w:r>
        <w:t xml:space="preserve">) führt Balaks direkte Rede ein. Das indirekte Objekt </w:t>
      </w:r>
      <w:r>
        <w:rPr>
          <w:rStyle w:val="Fett"/>
          <w:rtl/>
        </w:rPr>
        <w:t>לוֹ</w:t>
      </w:r>
      <w:r>
        <w:rPr>
          <w:rtl/>
        </w:rPr>
        <w:t xml:space="preserve"> </w:t>
      </w:r>
      <w:r>
        <w:t xml:space="preserve">(Präposition </w:t>
      </w:r>
      <w:r>
        <w:rPr>
          <w:rtl/>
        </w:rPr>
        <w:t>לְ</w:t>
      </w:r>
      <w:r>
        <w:t xml:space="preserve"> mit Suffix 3. m. Sg.) bezeichnet den Adressaten „zu ihm". Das Subjekt </w:t>
      </w:r>
      <w:r>
        <w:rPr>
          <w:rStyle w:val="Fett"/>
          <w:rtl/>
        </w:rPr>
        <w:t>בָּלָק</w:t>
      </w:r>
      <w:r>
        <w:rPr>
          <w:rtl/>
        </w:rPr>
        <w:t xml:space="preserve"> </w:t>
      </w:r>
      <w:r>
        <w:t>wird explizit genannt.</w:t>
      </w:r>
    </w:p>
    <w:p w14:paraId="7ACA8A55" w14:textId="77777777" w:rsidR="008E5E2F" w:rsidRDefault="008E5E2F" w:rsidP="008E5E2F">
      <w:pPr>
        <w:pStyle w:val="whitespace-normal"/>
      </w:pPr>
      <w:r>
        <w:t xml:space="preserve">Die Fragepartikel </w:t>
      </w:r>
      <w:r>
        <w:rPr>
          <w:rStyle w:val="Fett"/>
          <w:rtl/>
        </w:rPr>
        <w:t>מַה</w:t>
      </w:r>
      <w:r>
        <w:rPr>
          <w:rtl/>
        </w:rPr>
        <w:t xml:space="preserve"> </w:t>
      </w:r>
      <w:r>
        <w:t xml:space="preserve">(„was") leitet die direkte Frage ein. Das Verb </w:t>
      </w:r>
      <w:r>
        <w:rPr>
          <w:rStyle w:val="Fett"/>
          <w:rtl/>
        </w:rPr>
        <w:t>דִּבֶּר</w:t>
      </w:r>
      <w:r>
        <w:rPr>
          <w:rtl/>
        </w:rPr>
        <w:t xml:space="preserve"> </w:t>
      </w:r>
      <w:r>
        <w:t xml:space="preserve">(Piel Perfekt, 3. m. Sg. von </w:t>
      </w:r>
      <w:r>
        <w:rPr>
          <w:rtl/>
        </w:rPr>
        <w:t>דבר</w:t>
      </w:r>
      <w:r>
        <w:t xml:space="preserve">) bedeutet „geredet hat" und zeigt durch die Piel-Form intensive oder kausative Bedeutung des Redens an. Das Subjekt </w:t>
      </w:r>
      <w:r>
        <w:rPr>
          <w:rStyle w:val="Fett"/>
          <w:rtl/>
        </w:rPr>
        <w:t>יְהוָה</w:t>
      </w:r>
      <w:r>
        <w:rPr>
          <w:rtl/>
        </w:rPr>
        <w:t xml:space="preserve"> </w:t>
      </w:r>
      <w:r>
        <w:t>(Gottesname, der Ewige) steht in emphatischer Position am Satzende.</w:t>
      </w:r>
    </w:p>
    <w:p w14:paraId="4729E2E7" w14:textId="77777777" w:rsidR="008E5E2F" w:rsidRDefault="008E5E2F" w:rsidP="008E5E2F">
      <w:pPr>
        <w:pStyle w:val="whitespace-normal"/>
      </w:pPr>
      <w:r>
        <w:rPr>
          <w:rStyle w:val="Fett"/>
        </w:rPr>
        <w:t>Die LXX</w:t>
      </w:r>
      <w:r>
        <w:t xml:space="preserve"> übersetzt </w:t>
      </w:r>
      <w:r>
        <w:rPr>
          <w:rStyle w:val="Fett"/>
          <w:rtl/>
        </w:rPr>
        <w:t>עֹלָה</w:t>
      </w:r>
      <w:r>
        <w:rPr>
          <w:rtl/>
        </w:rPr>
        <w:t xml:space="preserve"> </w:t>
      </w:r>
      <w:r>
        <w:t xml:space="preserve">mit ὁλοκαύτωμα (holokautōma, „Ganzopfer"), was die vollständige Verbrennung des Opfers betont und dem hebräischen Konzept des Aufsteigens entspricht. Die LXX gibt </w:t>
      </w:r>
      <w:r>
        <w:rPr>
          <w:rStyle w:val="Fett"/>
          <w:rtl/>
        </w:rPr>
        <w:t>מַה־דִּבֶּר יְהוָה</w:t>
      </w:r>
      <w:r>
        <w:rPr>
          <w:rtl/>
        </w:rPr>
        <w:t xml:space="preserve"> </w:t>
      </w:r>
      <w:r>
        <w:t>mit τί λελάληκεν κύριος (ti lelalēken kyrios) wieder und verwendet das Perfekt, um die vollendete Handlung auszudrücken.</w:t>
      </w:r>
    </w:p>
    <w:p w14:paraId="2CF293DB" w14:textId="77777777" w:rsidR="008E5E2F" w:rsidRDefault="008E5E2F" w:rsidP="008E5E2F">
      <w:pPr>
        <w:pStyle w:val="whitespace-normal"/>
      </w:pPr>
      <w:r>
        <w:lastRenderedPageBreak/>
        <w:t xml:space="preserve">Die Satzstruktur besteht aus zwei Hauptsätzen, die durch </w:t>
      </w:r>
      <w:r>
        <w:rPr>
          <w:rtl/>
        </w:rPr>
        <w:t>וְ</w:t>
      </w:r>
      <w:r>
        <w:t xml:space="preserve"> koordiniert sind. Der erste Hauptsatz enthält </w:t>
      </w:r>
      <w:r>
        <w:rPr>
          <w:rStyle w:val="Fett"/>
          <w:rtl/>
        </w:rPr>
        <w:t>וַיָּבֹא אֵלָיו</w:t>
      </w:r>
      <w:r>
        <w:rPr>
          <w:rtl/>
        </w:rPr>
        <w:t xml:space="preserve"> </w:t>
      </w:r>
      <w:r>
        <w:t xml:space="preserve">als Prädikat mit Subjekt (Bileam, implizit) und präpositionalem Objekt. Der partizipiale Nominalsatz </w:t>
      </w:r>
      <w:r>
        <w:rPr>
          <w:rStyle w:val="Fett"/>
          <w:rtl/>
        </w:rPr>
        <w:t>וְהִנּוֹ נִצָּב עַל־עֹלָתוֹ</w:t>
      </w:r>
      <w:r>
        <w:rPr>
          <w:rtl/>
        </w:rPr>
        <w:t xml:space="preserve"> </w:t>
      </w:r>
      <w:r>
        <w:t xml:space="preserve">fungiert als Umstandssatz. Der Nominalsatz </w:t>
      </w:r>
      <w:r>
        <w:rPr>
          <w:rStyle w:val="Fett"/>
          <w:rtl/>
        </w:rPr>
        <w:t>וְשָׂרֵי מוֹאָב אִתּוֹ</w:t>
      </w:r>
      <w:r>
        <w:rPr>
          <w:rtl/>
        </w:rPr>
        <w:t xml:space="preserve"> </w:t>
      </w:r>
      <w:r>
        <w:t xml:space="preserve">ist ein weiterer Umstandssatz. Der zweite Hauptsatz </w:t>
      </w:r>
      <w:r>
        <w:rPr>
          <w:rStyle w:val="Fett"/>
          <w:rtl/>
        </w:rPr>
        <w:t>וַיֹּאמֶר לוֹ בָּלָק</w:t>
      </w:r>
      <w:r>
        <w:rPr>
          <w:rtl/>
        </w:rPr>
        <w:t xml:space="preserve"> </w:t>
      </w:r>
      <w:r>
        <w:t xml:space="preserve">leitet die direkte Rede mit der Frage </w:t>
      </w:r>
      <w:r>
        <w:rPr>
          <w:rStyle w:val="Fett"/>
          <w:rtl/>
        </w:rPr>
        <w:t>מַה־דִּבֶּר יְהוָה</w:t>
      </w:r>
      <w:r>
        <w:rPr>
          <w:rtl/>
        </w:rPr>
        <w:t xml:space="preserve"> </w:t>
      </w:r>
      <w:r>
        <w:t>ein, die einen abhängigen Fragesatz darstellt.</w:t>
      </w:r>
    </w:p>
    <w:p w14:paraId="711F0D86" w14:textId="77777777" w:rsidR="008E5E2F" w:rsidRDefault="008E5E2F" w:rsidP="008E5E2F">
      <w:pPr>
        <w:pStyle w:val="whitespace-normal"/>
      </w:pPr>
      <w:r>
        <w:t xml:space="preserve">Der Vers zeigt die Szene nach Bileams Begegnung mit Gott: Balak wartet gespannt mit den moabitischen Fürsten beim Opfer und fragt sofort nach Gottes Botschaft, wobei die Verwendung des Gottesnamens </w:t>
      </w:r>
      <w:r>
        <w:rPr>
          <w:rStyle w:val="Fett"/>
          <w:rtl/>
        </w:rPr>
        <w:t>יְהוָה</w:t>
      </w:r>
      <w:r>
        <w:rPr>
          <w:rtl/>
        </w:rPr>
        <w:t xml:space="preserve"> </w:t>
      </w:r>
      <w:r>
        <w:t>Balaks Anerkennung der göttlichen Autorität zeigt.</w:t>
      </w:r>
    </w:p>
    <w:p w14:paraId="4F56CD22" w14:textId="77777777" w:rsidR="008E5E2F" w:rsidRPr="008E5E2F" w:rsidRDefault="008E5E2F" w:rsidP="008E5E2F">
      <w:pPr>
        <w:pStyle w:val="berschrift2"/>
        <w:rPr>
          <w:rFonts w:ascii="Times New Roman" w:hAnsi="Times New Roman" w:cs="Times New Roman"/>
          <w:b/>
          <w:bCs/>
          <w:color w:val="auto"/>
          <w:sz w:val="48"/>
          <w:szCs w:val="48"/>
        </w:rPr>
      </w:pPr>
      <w:r w:rsidRPr="008E5E2F">
        <w:rPr>
          <w:rFonts w:ascii="Times New Roman" w:hAnsi="Times New Roman" w:cs="Times New Roman"/>
          <w:b/>
          <w:bCs/>
          <w:color w:val="auto"/>
          <w:sz w:val="48"/>
          <w:szCs w:val="48"/>
        </w:rPr>
        <w:t>Numeri 23,18</w:t>
      </w:r>
    </w:p>
    <w:p w14:paraId="50086A24" w14:textId="77777777" w:rsidR="008E5E2F" w:rsidRDefault="008E5E2F" w:rsidP="008E5E2F">
      <w:pPr>
        <w:pStyle w:val="whitespace-normal"/>
      </w:pPr>
      <w:r>
        <w:rPr>
          <w:rStyle w:val="Fett"/>
        </w:rPr>
        <w:t>Hebräisch:</w:t>
      </w:r>
      <w:r>
        <w:t xml:space="preserve"> </w:t>
      </w:r>
      <w:r>
        <w:rPr>
          <w:rtl/>
        </w:rPr>
        <w:t>וַיִּשָּׂ֥א מְשָׁלֹ֖ו וַיֹּאמַ֑ר ק֤וּם בָּלָק֙ וּֽשֲׁמָ֔ע הַאֲזִ֥ינָה עָדַ֖י בְּנ֥וֹ צִפֹּֽר׃</w:t>
      </w:r>
    </w:p>
    <w:p w14:paraId="6DDCCA48" w14:textId="77777777" w:rsidR="008E5E2F" w:rsidRDefault="008E5E2F" w:rsidP="008E5E2F">
      <w:pPr>
        <w:pStyle w:val="whitespace-normal"/>
      </w:pPr>
      <w:r>
        <w:rPr>
          <w:rStyle w:val="Fett"/>
        </w:rPr>
        <w:t>Deutsch:</w:t>
      </w:r>
      <w:r>
        <w:t xml:space="preserve"> Da hob er seinen Spruch an und sprach: „Steh auf, Balak, und höre! Neige dein Ohr zu mir, Sohn Zippors!"</w:t>
      </w:r>
    </w:p>
    <w:p w14:paraId="4A4918E0" w14:textId="77777777" w:rsidR="008E5E2F" w:rsidRDefault="00F329DD" w:rsidP="008E5E2F">
      <w:r>
        <w:rPr>
          <w:noProof/>
        </w:rPr>
        <w:pict w14:anchorId="229496F7">
          <v:rect id="_x0000_i1813" style="width:0;height:1.5pt" o:hralign="center" o:hrstd="t" o:hr="t" fillcolor="#a0a0a0" stroked="f"/>
        </w:pict>
      </w:r>
    </w:p>
    <w:p w14:paraId="714C38CA" w14:textId="406BF2A9" w:rsidR="008E5E2F" w:rsidRDefault="008E5E2F" w:rsidP="008E5E2F">
      <w:pPr>
        <w:pStyle w:val="whitespace-normal"/>
      </w:pPr>
      <w:r>
        <w:rPr>
          <w:rStyle w:val="Fett"/>
        </w:rPr>
        <w:t>Kommentar:</w:t>
      </w:r>
      <w:r>
        <w:t xml:space="preserve"> Das Verb </w:t>
      </w:r>
      <w:r>
        <w:rPr>
          <w:rStyle w:val="Fett"/>
          <w:rtl/>
        </w:rPr>
        <w:t>וַיִּשָּׂא</w:t>
      </w:r>
      <w:r>
        <w:rPr>
          <w:rtl/>
        </w:rPr>
        <w:t xml:space="preserve"> </w:t>
      </w:r>
      <w:r>
        <w:t xml:space="preserve">(Wayyiqtol, 3. m. Sg. von </w:t>
      </w:r>
      <w:r>
        <w:rPr>
          <w:rtl/>
        </w:rPr>
        <w:t>נשׂא</w:t>
      </w:r>
      <w:r>
        <w:t xml:space="preserve">) leitet die Weissagung ein und bedeutet „und er erhob". Das Objekt </w:t>
      </w:r>
      <w:r>
        <w:rPr>
          <w:rStyle w:val="Fett"/>
          <w:rtl/>
        </w:rPr>
        <w:t>מְשָׁלוֹ</w:t>
      </w:r>
      <w:r>
        <w:rPr>
          <w:rtl/>
        </w:rPr>
        <w:t xml:space="preserve"> </w:t>
      </w:r>
      <w:r>
        <w:t xml:space="preserve">(Nomen </w:t>
      </w:r>
      <w:r>
        <w:rPr>
          <w:rtl/>
        </w:rPr>
        <w:t>מָשָׁל</w:t>
      </w:r>
      <w:r>
        <w:t xml:space="preserve"> mit Pronominalsuffix 3. m. Sg.) bezeichnet den „Spruch, die Weissagung", wobei </w:t>
      </w:r>
      <w:r>
        <w:rPr>
          <w:rStyle w:val="Fett"/>
          <w:rtl/>
        </w:rPr>
        <w:t>מָשָׁל</w:t>
      </w:r>
      <w:r>
        <w:rPr>
          <w:rtl/>
        </w:rPr>
        <w:t xml:space="preserve"> </w:t>
      </w:r>
      <w:r>
        <w:t xml:space="preserve">ursprünglich „Gleichnis, Sprichwort" bedeutet, hier aber den prophetischen </w:t>
      </w:r>
      <w:r w:rsidR="00B513FF">
        <w:t>Weissagung</w:t>
      </w:r>
      <w:r>
        <w:t>spruch meint.</w:t>
      </w:r>
    </w:p>
    <w:p w14:paraId="142BA169" w14:textId="77777777" w:rsidR="008E5E2F" w:rsidRDefault="008E5E2F" w:rsidP="008E5E2F">
      <w:pPr>
        <w:pStyle w:val="whitespace-normal"/>
      </w:pPr>
      <w:r>
        <w:t xml:space="preserve">Das Verb </w:t>
      </w:r>
      <w:r>
        <w:rPr>
          <w:rStyle w:val="Fett"/>
          <w:rtl/>
        </w:rPr>
        <w:t>וַיֹּאמַר</w:t>
      </w:r>
      <w:r>
        <w:rPr>
          <w:rtl/>
        </w:rPr>
        <w:t xml:space="preserve"> </w:t>
      </w:r>
      <w:r>
        <w:t xml:space="preserve">(Wayyiqtol, 3. m. Sg. von </w:t>
      </w:r>
      <w:r>
        <w:rPr>
          <w:rtl/>
        </w:rPr>
        <w:t>אמר</w:t>
      </w:r>
      <w:r>
        <w:t xml:space="preserve">) führt die direkte Rede ein. Der Imperativ </w:t>
      </w:r>
      <w:r>
        <w:rPr>
          <w:rStyle w:val="Fett"/>
          <w:rtl/>
        </w:rPr>
        <w:t>קוּם</w:t>
      </w:r>
      <w:r>
        <w:rPr>
          <w:rtl/>
        </w:rPr>
        <w:t xml:space="preserve"> </w:t>
      </w:r>
      <w:r>
        <w:t xml:space="preserve">(Qal Imperativ m. Sg. von </w:t>
      </w:r>
      <w:r>
        <w:rPr>
          <w:rtl/>
        </w:rPr>
        <w:t>קום</w:t>
      </w:r>
      <w:r>
        <w:t xml:space="preserve">, „steh auf") fordert Balak zu besonderer Aufmerksamkeit auf. Das Subjekt </w:t>
      </w:r>
      <w:r>
        <w:rPr>
          <w:rStyle w:val="Fett"/>
          <w:rtl/>
        </w:rPr>
        <w:t>בָּלָק</w:t>
      </w:r>
      <w:r>
        <w:rPr>
          <w:rtl/>
        </w:rPr>
        <w:t xml:space="preserve"> </w:t>
      </w:r>
      <w:r>
        <w:t>wird explizit genannt.</w:t>
      </w:r>
    </w:p>
    <w:p w14:paraId="68DBEEB7" w14:textId="77777777" w:rsidR="008E5E2F" w:rsidRDefault="008E5E2F" w:rsidP="008E5E2F">
      <w:pPr>
        <w:pStyle w:val="whitespace-normal"/>
      </w:pPr>
      <w:r>
        <w:t xml:space="preserve">Der Imperativ </w:t>
      </w:r>
      <w:r>
        <w:rPr>
          <w:rStyle w:val="Fett"/>
          <w:rtl/>
        </w:rPr>
        <w:t>וּשֲׁמָע</w:t>
      </w:r>
      <w:r>
        <w:rPr>
          <w:rtl/>
        </w:rPr>
        <w:t xml:space="preserve"> </w:t>
      </w:r>
      <w:r>
        <w:t xml:space="preserve">(Qal Imperativ m. Sg. von </w:t>
      </w:r>
      <w:r>
        <w:rPr>
          <w:rtl/>
        </w:rPr>
        <w:t>שׁמע</w:t>
      </w:r>
      <w:r>
        <w:t xml:space="preserve"> mit Kopula </w:t>
      </w:r>
      <w:r>
        <w:rPr>
          <w:rtl/>
        </w:rPr>
        <w:t>וְ</w:t>
      </w:r>
      <w:r>
        <w:t xml:space="preserve">, „und höre") verstärkt die Aufforderung zur Aufmerksamkeit. Der Imperativ </w:t>
      </w:r>
      <w:r>
        <w:rPr>
          <w:rStyle w:val="Fett"/>
          <w:rtl/>
        </w:rPr>
        <w:t>הַאֲזִינָה</w:t>
      </w:r>
      <w:r>
        <w:rPr>
          <w:rtl/>
        </w:rPr>
        <w:t xml:space="preserve"> </w:t>
      </w:r>
      <w:r>
        <w:t xml:space="preserve">(Hifil Imperativ m. Sg. von </w:t>
      </w:r>
      <w:r>
        <w:rPr>
          <w:rtl/>
        </w:rPr>
        <w:t>אזן</w:t>
      </w:r>
      <w:r>
        <w:t xml:space="preserve"> mit </w:t>
      </w:r>
      <w:r>
        <w:rPr>
          <w:rtl/>
        </w:rPr>
        <w:t>ה</w:t>
      </w:r>
      <w:r>
        <w:t>-Lokativ, „neige das Ohr, horche auf") intensiviert durch die Hifil-Form die kausative Bedeutung und fordert aktives, konzentriertes Hören.</w:t>
      </w:r>
    </w:p>
    <w:p w14:paraId="5861DDD0" w14:textId="75602135" w:rsidR="008E5E2F" w:rsidRDefault="008E5E2F" w:rsidP="008E5E2F">
      <w:pPr>
        <w:pStyle w:val="whitespace-normal"/>
      </w:pPr>
      <w:r>
        <w:t xml:space="preserve">Die Präpositionalphrase </w:t>
      </w:r>
      <w:r>
        <w:rPr>
          <w:rStyle w:val="Fett"/>
          <w:rtl/>
        </w:rPr>
        <w:t>עָדַי</w:t>
      </w:r>
      <w:r>
        <w:rPr>
          <w:rtl/>
        </w:rPr>
        <w:t xml:space="preserve"> </w:t>
      </w:r>
      <w:r>
        <w:t xml:space="preserve">(Präposition </w:t>
      </w:r>
      <w:r>
        <w:rPr>
          <w:rtl/>
        </w:rPr>
        <w:t>עַד</w:t>
      </w:r>
      <w:r>
        <w:t xml:space="preserve"> mit Suffix 1. c. Sg.) bedeutet „zu mir". Die Apposition </w:t>
      </w:r>
      <w:r>
        <w:rPr>
          <w:rStyle w:val="Fett"/>
          <w:rtl/>
        </w:rPr>
        <w:t>בְּנוֹ צִפֹּר</w:t>
      </w:r>
      <w:r>
        <w:rPr>
          <w:rtl/>
        </w:rPr>
        <w:t xml:space="preserve"> </w:t>
      </w:r>
      <w:r>
        <w:t>(</w:t>
      </w:r>
      <w:r>
        <w:rPr>
          <w:rtl/>
        </w:rPr>
        <w:t>בֵּן</w:t>
      </w:r>
      <w:r>
        <w:t xml:space="preserve">, „Sohn", im </w:t>
      </w:r>
      <w:r w:rsidR="00F133EC">
        <w:t>Construct</w:t>
      </w:r>
      <w:r>
        <w:t xml:space="preserve">zustand mit dem Eigennamen </w:t>
      </w:r>
      <w:r>
        <w:rPr>
          <w:rStyle w:val="Fett"/>
          <w:rtl/>
        </w:rPr>
        <w:t>צִפֹּר</w:t>
      </w:r>
      <w:r>
        <w:t>, „Zippor") identifiziert Balak genealogisch. Die dreifache Aufforderung (</w:t>
      </w:r>
      <w:r>
        <w:rPr>
          <w:rtl/>
        </w:rPr>
        <w:t>קוּם, שְׁמָע, הַאֲזִינָה</w:t>
      </w:r>
      <w:r>
        <w:t>) steigert sich von der körperlichen Haltung über das allgemeine Hören zum intensiven Horchen und zeigt die Wichtigkeit der folgenden Botschaft.</w:t>
      </w:r>
    </w:p>
    <w:p w14:paraId="3D874DA7" w14:textId="77777777" w:rsidR="008E5E2F" w:rsidRDefault="008E5E2F" w:rsidP="008E5E2F">
      <w:pPr>
        <w:pStyle w:val="whitespace-normal"/>
      </w:pPr>
      <w:r>
        <w:rPr>
          <w:rStyle w:val="Fett"/>
        </w:rPr>
        <w:t>Die LXX</w:t>
      </w:r>
      <w:r>
        <w:t xml:space="preserve"> übersetzt </w:t>
      </w:r>
      <w:r>
        <w:rPr>
          <w:rStyle w:val="Fett"/>
          <w:rtl/>
        </w:rPr>
        <w:t>מָשָׁל</w:t>
      </w:r>
      <w:r>
        <w:rPr>
          <w:rtl/>
        </w:rPr>
        <w:t xml:space="preserve"> </w:t>
      </w:r>
      <w:r>
        <w:t>mit παραβολή (parabolē, „Gleichnis, Spruch"), was die weisheitliche Dimension betont. Die dreifache Imperativfolge wird mit ἀνάστηθι (anastēthi, „steh auf"), ἄκουε (akoue, „höre") und ἐνωτίζου (enōtizou, „nimm zu Ohren") wiedergegeben, wobei das letzte Verb das intensive Hören unterstreicht.</w:t>
      </w:r>
    </w:p>
    <w:p w14:paraId="0ABAD863" w14:textId="77777777" w:rsidR="008E5E2F" w:rsidRDefault="008E5E2F" w:rsidP="008E5E2F">
      <w:pPr>
        <w:pStyle w:val="whitespace-normal"/>
      </w:pPr>
      <w:r>
        <w:t xml:space="preserve">Die Satzstruktur besteht aus einem einleitenden Hauptsatz </w:t>
      </w:r>
      <w:r>
        <w:rPr>
          <w:rStyle w:val="Fett"/>
          <w:rtl/>
        </w:rPr>
        <w:t>וַיִּשָּׂא מְשָׁלוֹ וַיֹּאמַר</w:t>
      </w:r>
      <w:r>
        <w:rPr>
          <w:rtl/>
        </w:rPr>
        <w:t xml:space="preserve"> </w:t>
      </w:r>
      <w:r>
        <w:t xml:space="preserve">mit zwei koordinierten Verben. Die direkte Rede enthält drei imperative Hauptsätze, die parataktisch durch </w:t>
      </w:r>
      <w:r>
        <w:rPr>
          <w:rtl/>
        </w:rPr>
        <w:t>וְ</w:t>
      </w:r>
      <w:r>
        <w:t xml:space="preserve"> verbunden sind. Die Apposition </w:t>
      </w:r>
      <w:r>
        <w:rPr>
          <w:rStyle w:val="Fett"/>
          <w:rtl/>
        </w:rPr>
        <w:t>בְּנוֹ צִפֹּר</w:t>
      </w:r>
      <w:r>
        <w:rPr>
          <w:rtl/>
        </w:rPr>
        <w:t xml:space="preserve"> </w:t>
      </w:r>
      <w:r>
        <w:t>fungiert als nominale Ergänzung zur Identifikation Balaks.</w:t>
      </w:r>
    </w:p>
    <w:p w14:paraId="3D0C03D7" w14:textId="3704E324" w:rsidR="008E5E2F" w:rsidRDefault="008E5E2F" w:rsidP="008E5E2F">
      <w:pPr>
        <w:pStyle w:val="whitespace-normal"/>
      </w:pPr>
      <w:r>
        <w:lastRenderedPageBreak/>
        <w:t xml:space="preserve">Der Vers markiert den feierlichen Beginn des zweiten </w:t>
      </w:r>
      <w:r w:rsidR="00B513FF">
        <w:t>Weissagung</w:t>
      </w:r>
      <w:r>
        <w:t>spruchs Bileams. Die formelle Anrede mit genealogischer Identifikation und die dreifache Aufforderung zur Aufmerksamkeit unterstreichen die Autorität und Bedeutung der göttlichen Botschaft, die Balak nun empfangen wird, auch wenn sie seinen Erwartungen widersprechen wird.</w:t>
      </w:r>
    </w:p>
    <w:p w14:paraId="10FC1996" w14:textId="77777777" w:rsidR="008E5E2F" w:rsidRPr="008E5E2F" w:rsidRDefault="008E5E2F" w:rsidP="008E5E2F">
      <w:pPr>
        <w:pStyle w:val="berschrift2"/>
        <w:rPr>
          <w:rFonts w:ascii="Times New Roman" w:hAnsi="Times New Roman" w:cs="Times New Roman"/>
          <w:b/>
          <w:bCs/>
          <w:color w:val="auto"/>
          <w:sz w:val="48"/>
          <w:szCs w:val="48"/>
        </w:rPr>
      </w:pPr>
      <w:r w:rsidRPr="008E5E2F">
        <w:rPr>
          <w:rFonts w:ascii="Times New Roman" w:hAnsi="Times New Roman" w:cs="Times New Roman"/>
          <w:b/>
          <w:bCs/>
          <w:color w:val="auto"/>
          <w:sz w:val="48"/>
          <w:szCs w:val="48"/>
        </w:rPr>
        <w:t>Numeri 23,19</w:t>
      </w:r>
    </w:p>
    <w:p w14:paraId="326E5819" w14:textId="77777777" w:rsidR="008E5E2F" w:rsidRDefault="008E5E2F" w:rsidP="008E5E2F">
      <w:pPr>
        <w:pStyle w:val="whitespace-normal"/>
      </w:pPr>
      <w:r>
        <w:rPr>
          <w:rStyle w:val="Fett"/>
        </w:rPr>
        <w:t>Hebräisch:</w:t>
      </w:r>
      <w:r>
        <w:t xml:space="preserve"> </w:t>
      </w:r>
      <w:r>
        <w:rPr>
          <w:rtl/>
        </w:rPr>
        <w:t>לֹ֣א אִ֥ישׁ אֵל֙ וִֽיכַזֵּ֔ב וּבֶן־אָדָ֖ם וְיִתְנֶחָ֑ם הַה֤וּא אָמַר֙ וְלֹ֣א יַעֲשֶׂ֔ה וְדִבֶּ֖ר וְלֹ֥א יְקִימֶֽנָּה׃</w:t>
      </w:r>
    </w:p>
    <w:p w14:paraId="4E36914C" w14:textId="77777777" w:rsidR="008E5E2F" w:rsidRDefault="008E5E2F" w:rsidP="008E5E2F">
      <w:pPr>
        <w:pStyle w:val="whitespace-normal"/>
      </w:pPr>
      <w:r>
        <w:rPr>
          <w:rStyle w:val="Fett"/>
        </w:rPr>
        <w:t>Deutsch:</w:t>
      </w:r>
      <w:r>
        <w:t xml:space="preserve"> Gott ist nicht ein Mann, dass er lüge, noch ein Menschenkind, dass er bereue. Sollte er etwas sagen und es nicht tun? Und sollte er etwas reden und es nicht halten?</w:t>
      </w:r>
    </w:p>
    <w:p w14:paraId="1E70DEC3" w14:textId="77777777" w:rsidR="008E5E2F" w:rsidRDefault="00F329DD" w:rsidP="008E5E2F">
      <w:r>
        <w:rPr>
          <w:noProof/>
        </w:rPr>
        <w:pict w14:anchorId="397053C7">
          <v:rect id="_x0000_i1814" style="width:0;height:1.5pt" o:hralign="center" o:hrstd="t" o:hr="t" fillcolor="#a0a0a0" stroked="f"/>
        </w:pict>
      </w:r>
    </w:p>
    <w:p w14:paraId="6B1EA39F" w14:textId="77777777" w:rsidR="008E5E2F" w:rsidRDefault="008E5E2F" w:rsidP="008E5E2F">
      <w:pPr>
        <w:pStyle w:val="whitespace-normal"/>
      </w:pPr>
      <w:r>
        <w:rPr>
          <w:rStyle w:val="Fett"/>
        </w:rPr>
        <w:t>Kommentar:</w:t>
      </w:r>
      <w:r>
        <w:t xml:space="preserve"> Die Negation </w:t>
      </w:r>
      <w:r>
        <w:rPr>
          <w:rStyle w:val="Fett"/>
          <w:rtl/>
        </w:rPr>
        <w:t>לֹא</w:t>
      </w:r>
      <w:r>
        <w:rPr>
          <w:rtl/>
        </w:rPr>
        <w:t xml:space="preserve"> </w:t>
      </w:r>
      <w:r>
        <w:t xml:space="preserve">leitet den Satz ein und verneint kategorisch. Das Nomen </w:t>
      </w:r>
      <w:r>
        <w:rPr>
          <w:rStyle w:val="Fett"/>
          <w:rtl/>
        </w:rPr>
        <w:t>אִישׁ</w:t>
      </w:r>
      <w:r>
        <w:rPr>
          <w:rtl/>
        </w:rPr>
        <w:t xml:space="preserve"> </w:t>
      </w:r>
      <w:r>
        <w:t xml:space="preserve">(„Mann, Mensch") steht ohne Artikel und bezeichnet den Menschen generisch. Das Subjekt </w:t>
      </w:r>
      <w:r>
        <w:rPr>
          <w:rStyle w:val="Fett"/>
          <w:rtl/>
        </w:rPr>
        <w:t>אֵל</w:t>
      </w:r>
      <w:r>
        <w:rPr>
          <w:rtl/>
        </w:rPr>
        <w:t xml:space="preserve"> </w:t>
      </w:r>
      <w:r>
        <w:t>(„Gott") folgt in emphatischer Stellung.</w:t>
      </w:r>
    </w:p>
    <w:p w14:paraId="1178013A" w14:textId="493D9F88" w:rsidR="008E5E2F" w:rsidRDefault="008E5E2F" w:rsidP="008E5E2F">
      <w:pPr>
        <w:pStyle w:val="whitespace-normal"/>
      </w:pPr>
      <w:r>
        <w:t xml:space="preserve">Das Verb </w:t>
      </w:r>
      <w:r>
        <w:rPr>
          <w:rStyle w:val="Fett"/>
          <w:rtl/>
        </w:rPr>
        <w:t>וִיכַזֵּב</w:t>
      </w:r>
      <w:r>
        <w:rPr>
          <w:rtl/>
        </w:rPr>
        <w:t xml:space="preserve"> </w:t>
      </w:r>
      <w:r>
        <w:t xml:space="preserve">(Piel Imperfekt 3. m. Sg. von </w:t>
      </w:r>
      <w:r>
        <w:rPr>
          <w:rtl/>
        </w:rPr>
        <w:t>כזב</w:t>
      </w:r>
      <w:r>
        <w:t xml:space="preserve"> mit Kopula </w:t>
      </w:r>
      <w:r>
        <w:rPr>
          <w:rtl/>
        </w:rPr>
        <w:t>וְ</w:t>
      </w:r>
      <w:r>
        <w:t xml:space="preserve">, „dass er lüge") drückt durch die Piel-Form die intensive Bedeutung „täuschen, lügen" aus, wobei das Imperfekt hier final oder konsekutiv verstanden wird. Die </w:t>
      </w:r>
      <w:r w:rsidR="00F133EC">
        <w:t>Construct</w:t>
      </w:r>
      <w:r>
        <w:t xml:space="preserve">ion </w:t>
      </w:r>
      <w:r>
        <w:rPr>
          <w:rStyle w:val="Fett"/>
          <w:rtl/>
        </w:rPr>
        <w:t>לֹא אִישׁ אֵל וִיכַזֵּב</w:t>
      </w:r>
      <w:r>
        <w:rPr>
          <w:rtl/>
        </w:rPr>
        <w:t xml:space="preserve"> </w:t>
      </w:r>
      <w:r>
        <w:t>bildet einen Nominalsatz mit nachfolgendem finalem Verbalsatz.</w:t>
      </w:r>
    </w:p>
    <w:p w14:paraId="43D3C84A" w14:textId="77777777" w:rsidR="008E5E2F" w:rsidRDefault="008E5E2F" w:rsidP="008E5E2F">
      <w:pPr>
        <w:pStyle w:val="whitespace-normal"/>
      </w:pPr>
      <w:r>
        <w:t xml:space="preserve">Die Parallele </w:t>
      </w:r>
      <w:r>
        <w:rPr>
          <w:rStyle w:val="Fett"/>
          <w:rtl/>
        </w:rPr>
        <w:t>וּבֶן־אָדָם</w:t>
      </w:r>
      <w:r>
        <w:rPr>
          <w:rtl/>
        </w:rPr>
        <w:t xml:space="preserve"> </w:t>
      </w:r>
      <w:r>
        <w:t xml:space="preserve">(Kopula </w:t>
      </w:r>
      <w:r>
        <w:rPr>
          <w:rtl/>
        </w:rPr>
        <w:t>וְ</w:t>
      </w:r>
      <w:r>
        <w:t xml:space="preserve"> mit der Genitivverbindung „Sohn des Menschen", idiomatisch „Menschenkind") verstärkt die Aussage durch poetischen Parallelismus. Das Verb </w:t>
      </w:r>
      <w:r>
        <w:rPr>
          <w:rStyle w:val="Fett"/>
          <w:rtl/>
        </w:rPr>
        <w:t>וְיִתְנֶחָם</w:t>
      </w:r>
      <w:r>
        <w:rPr>
          <w:rtl/>
        </w:rPr>
        <w:t xml:space="preserve"> </w:t>
      </w:r>
      <w:r>
        <w:t xml:space="preserve">(Hitpael Imperfekt 3. m. Sg. von </w:t>
      </w:r>
      <w:r>
        <w:rPr>
          <w:rtl/>
        </w:rPr>
        <w:t>נחם</w:t>
      </w:r>
      <w:r>
        <w:t>, „dass er bereue") zeigt durch die Hitpael-Form die reflexive Bedeutung „sich gereuen lassen, bereuen". Der Kontrast zwischen göttlicher Unveränderlichkeit und menschlicher Wandelbarkeit wird durch die beiden parallelen Negationen etabliert.</w:t>
      </w:r>
    </w:p>
    <w:p w14:paraId="2EB79DE5" w14:textId="77777777" w:rsidR="008E5E2F" w:rsidRDefault="008E5E2F" w:rsidP="008E5E2F">
      <w:pPr>
        <w:pStyle w:val="whitespace-normal"/>
      </w:pPr>
      <w:r>
        <w:t xml:space="preserve">Die rhetorische Frage </w:t>
      </w:r>
      <w:r>
        <w:rPr>
          <w:rStyle w:val="Fett"/>
          <w:rtl/>
        </w:rPr>
        <w:t>הַהוּא אָמַר וְלֹא יַעֲשֶׂה</w:t>
      </w:r>
      <w:r>
        <w:rPr>
          <w:rtl/>
        </w:rPr>
        <w:t xml:space="preserve"> </w:t>
      </w:r>
      <w:r>
        <w:t xml:space="preserve">beginnt mit dem Fragepartikel </w:t>
      </w:r>
      <w:r>
        <w:rPr>
          <w:rStyle w:val="Fett"/>
          <w:rtl/>
        </w:rPr>
        <w:t>הַ</w:t>
      </w:r>
      <w:r>
        <w:rPr>
          <w:rtl/>
        </w:rPr>
        <w:t xml:space="preserve"> </w:t>
      </w:r>
      <w:r>
        <w:t xml:space="preserve">(interrogativ </w:t>
      </w:r>
      <w:r>
        <w:rPr>
          <w:rtl/>
        </w:rPr>
        <w:t>ה</w:t>
      </w:r>
      <w:r>
        <w:t xml:space="preserve"> mit Demonstrativpronomen </w:t>
      </w:r>
      <w:r>
        <w:rPr>
          <w:rtl/>
        </w:rPr>
        <w:t>הוּא</w:t>
      </w:r>
      <w:r>
        <w:t xml:space="preserve">, „er"). Das Verb </w:t>
      </w:r>
      <w:r>
        <w:rPr>
          <w:rStyle w:val="Fett"/>
          <w:rtl/>
        </w:rPr>
        <w:t>אָמַר</w:t>
      </w:r>
      <w:r>
        <w:rPr>
          <w:rtl/>
        </w:rPr>
        <w:t xml:space="preserve"> </w:t>
      </w:r>
      <w:r>
        <w:t xml:space="preserve">(Qal Perfekt 3. m. Sg. von </w:t>
      </w:r>
      <w:r>
        <w:rPr>
          <w:rtl/>
        </w:rPr>
        <w:t>אמר</w:t>
      </w:r>
      <w:r>
        <w:t>, „hat er gesagt") steht im Perfekt und bezeichnet die vollendete Handlung.</w:t>
      </w:r>
    </w:p>
    <w:p w14:paraId="553119F4" w14:textId="77777777" w:rsidR="008E5E2F" w:rsidRDefault="008E5E2F" w:rsidP="008E5E2F">
      <w:pPr>
        <w:pStyle w:val="whitespace-normal"/>
      </w:pPr>
      <w:r>
        <w:t xml:space="preserve">Die Negation </w:t>
      </w:r>
      <w:r>
        <w:rPr>
          <w:rStyle w:val="Fett"/>
          <w:rtl/>
        </w:rPr>
        <w:t>וְלֹא</w:t>
      </w:r>
      <w:r>
        <w:rPr>
          <w:rtl/>
        </w:rPr>
        <w:t xml:space="preserve"> </w:t>
      </w:r>
      <w:r>
        <w:t xml:space="preserve">mit dem Imperfekt </w:t>
      </w:r>
      <w:r>
        <w:rPr>
          <w:rStyle w:val="Fett"/>
          <w:rtl/>
        </w:rPr>
        <w:t>יַעֲשֶׂה</w:t>
      </w:r>
      <w:r>
        <w:rPr>
          <w:rtl/>
        </w:rPr>
        <w:t xml:space="preserve"> </w:t>
      </w:r>
      <w:r>
        <w:t xml:space="preserve">(Qal Imperfekt 3. m. Sg. von </w:t>
      </w:r>
      <w:r>
        <w:rPr>
          <w:rtl/>
        </w:rPr>
        <w:t>עשׂה</w:t>
      </w:r>
      <w:r>
        <w:t xml:space="preserve">, „er wird tun") drückt die zu verneinende Konsequenz aus. Die parallele Frage </w:t>
      </w:r>
      <w:r>
        <w:rPr>
          <w:rStyle w:val="Fett"/>
          <w:rtl/>
        </w:rPr>
        <w:t>וְדִבֶּר וְלֹא יְקִימֶנָּה</w:t>
      </w:r>
      <w:r>
        <w:rPr>
          <w:rtl/>
        </w:rPr>
        <w:t xml:space="preserve"> </w:t>
      </w:r>
      <w:r>
        <w:t xml:space="preserve">verwendet das Verb </w:t>
      </w:r>
      <w:r>
        <w:rPr>
          <w:rStyle w:val="Fett"/>
          <w:rtl/>
        </w:rPr>
        <w:t>דִּבֶּר</w:t>
      </w:r>
      <w:r>
        <w:rPr>
          <w:rtl/>
        </w:rPr>
        <w:t xml:space="preserve"> </w:t>
      </w:r>
      <w:r>
        <w:t xml:space="preserve">(Piel Perfekt 3. m. Sg. von </w:t>
      </w:r>
      <w:r>
        <w:rPr>
          <w:rtl/>
        </w:rPr>
        <w:t>דבר</w:t>
      </w:r>
      <w:r>
        <w:t xml:space="preserve">, „hat er geredet") und </w:t>
      </w:r>
      <w:r>
        <w:rPr>
          <w:rStyle w:val="Fett"/>
          <w:rtl/>
        </w:rPr>
        <w:t>יְקִימֶנָּה</w:t>
      </w:r>
      <w:r>
        <w:rPr>
          <w:rtl/>
        </w:rPr>
        <w:t xml:space="preserve"> </w:t>
      </w:r>
      <w:r>
        <w:t xml:space="preserve">(Hifil Imperfekt 3. m. Sg. von </w:t>
      </w:r>
      <w:r>
        <w:rPr>
          <w:rtl/>
        </w:rPr>
        <w:t>קום</w:t>
      </w:r>
      <w:r>
        <w:t xml:space="preserve"> mit Objektsuffix 3. f. Sg., „er wird es aufrichten/erfüllen").</w:t>
      </w:r>
    </w:p>
    <w:p w14:paraId="57BD9595" w14:textId="77777777" w:rsidR="008E5E2F" w:rsidRDefault="008E5E2F" w:rsidP="008E5E2F">
      <w:pPr>
        <w:pStyle w:val="whitespace-normal"/>
      </w:pPr>
      <w:r>
        <w:t xml:space="preserve">Die Hifil-Form von </w:t>
      </w:r>
      <w:r>
        <w:rPr>
          <w:rStyle w:val="Fett"/>
          <w:rtl/>
        </w:rPr>
        <w:t>קום</w:t>
      </w:r>
      <w:r>
        <w:rPr>
          <w:rtl/>
        </w:rPr>
        <w:t xml:space="preserve"> </w:t>
      </w:r>
      <w:r>
        <w:t xml:space="preserve">bedeutet kausativ „aufrichten, erfüllen, verwirklichen". Das Suffix </w:t>
      </w:r>
      <w:r>
        <w:rPr>
          <w:rStyle w:val="Fett"/>
          <w:rtl/>
        </w:rPr>
        <w:t>נָּה</w:t>
      </w:r>
      <w:r>
        <w:rPr>
          <w:rtl/>
        </w:rPr>
        <w:t xml:space="preserve"> </w:t>
      </w:r>
      <w:r>
        <w:t>(3. f. Sg.) bezieht sich auf die göttliche Rede.</w:t>
      </w:r>
    </w:p>
    <w:p w14:paraId="1F205D35" w14:textId="3C1B15C4" w:rsidR="008E5E2F" w:rsidRDefault="008E5E2F" w:rsidP="008E5E2F">
      <w:pPr>
        <w:pStyle w:val="whitespace-normal"/>
      </w:pPr>
      <w:r>
        <w:rPr>
          <w:rStyle w:val="Fett"/>
        </w:rPr>
        <w:t>Die LXX</w:t>
      </w:r>
      <w:r>
        <w:t xml:space="preserve"> </w:t>
      </w:r>
      <w:r w:rsidR="00C73FA4">
        <w:t>übersetzt „</w:t>
      </w:r>
      <w:r w:rsidR="00C73FA4" w:rsidRPr="00C73FA4">
        <w:rPr>
          <w:b/>
          <w:bCs/>
          <w:rtl/>
        </w:rPr>
        <w:t>וִיכַזֵּב</w:t>
      </w:r>
      <w:r w:rsidR="00C73FA4">
        <w:t>" (dass er lüge) mit „διαρτηθῆναι" (getäuscht zu werden), und „</w:t>
      </w:r>
      <w:r w:rsidR="00C73FA4" w:rsidRPr="00C73FA4">
        <w:rPr>
          <w:b/>
          <w:bCs/>
          <w:rtl/>
        </w:rPr>
        <w:t>וְיִתְנֶחָם</w:t>
      </w:r>
      <w:r w:rsidR="00C73FA4">
        <w:t>" (dass er bereue) wird zu „ἀπειληθῆναι" (bedroht zu werden), was unterschiedliche Konzepte darstellt.</w:t>
      </w:r>
    </w:p>
    <w:p w14:paraId="37A47932" w14:textId="1972112E" w:rsidR="008E5E2F" w:rsidRDefault="008E5E2F" w:rsidP="008E5E2F">
      <w:pPr>
        <w:pStyle w:val="whitespace-normal"/>
      </w:pPr>
      <w:r>
        <w:t xml:space="preserve">Die Satzstruktur besteht aus zwei parallelen negativen Nominalsätzen mit finalem Verbalsatz, gefolgt von zwei parallelen rhetorischen Fragen. Die erste Satzhälfte etabliert theologisch die </w:t>
      </w:r>
      <w:r>
        <w:lastRenderedPageBreak/>
        <w:t>Unveränderlichkeit Gottes im Gegensatz zum Menschen durch synonymen Parallelismus (</w:t>
      </w:r>
      <w:r>
        <w:rPr>
          <w:rStyle w:val="Fett"/>
          <w:rtl/>
        </w:rPr>
        <w:t>אִישׁ</w:t>
      </w:r>
      <w:r>
        <w:rPr>
          <w:rtl/>
        </w:rPr>
        <w:t xml:space="preserve"> </w:t>
      </w:r>
      <w:r>
        <w:t xml:space="preserve">parallel zu </w:t>
      </w:r>
      <w:r>
        <w:rPr>
          <w:rStyle w:val="Fett"/>
          <w:rtl/>
        </w:rPr>
        <w:t>בֶן־אָדָם</w:t>
      </w:r>
      <w:r>
        <w:t xml:space="preserve">, </w:t>
      </w:r>
      <w:r>
        <w:rPr>
          <w:rStyle w:val="Fett"/>
          <w:rtl/>
        </w:rPr>
        <w:t>וִיכַזֵּב</w:t>
      </w:r>
      <w:r>
        <w:rPr>
          <w:rtl/>
        </w:rPr>
        <w:t xml:space="preserve"> </w:t>
      </w:r>
      <w:r>
        <w:t xml:space="preserve">parallel zu </w:t>
      </w:r>
      <w:r>
        <w:rPr>
          <w:rStyle w:val="Fett"/>
          <w:rtl/>
        </w:rPr>
        <w:t>וְיִתְנֶחָם</w:t>
      </w:r>
      <w:r>
        <w:t>). Die zweite Satzhälfte besteht aus zwei koordinierten rhetorischen Fragen mit identischer Struktur: Perfekt (vollendete Handlung Gottes) + Negation + Imperfekt (zu verneinende Konsequenz).</w:t>
      </w:r>
    </w:p>
    <w:p w14:paraId="7A3D2660" w14:textId="77777777" w:rsidR="007B5DE0" w:rsidRDefault="007B5DE0" w:rsidP="007B5DE0">
      <w:pPr>
        <w:pStyle w:val="font-claude-response-body"/>
      </w:pPr>
      <w:r>
        <w:rPr>
          <w:rStyle w:val="Fett"/>
        </w:rPr>
        <w:t>NT-Bezüge zur göttlichen Unveränderlichkeit:</w:t>
      </w:r>
    </w:p>
    <w:p w14:paraId="16F61A4D" w14:textId="77777777" w:rsidR="007B5DE0" w:rsidRDefault="007B5DE0" w:rsidP="00F329DD">
      <w:pPr>
        <w:pStyle w:val="whitespace-normal"/>
        <w:numPr>
          <w:ilvl w:val="0"/>
          <w:numId w:val="260"/>
        </w:numPr>
      </w:pPr>
      <w:r>
        <w:rPr>
          <w:rStyle w:val="Fett"/>
        </w:rPr>
        <w:t>Hebräer 6,17-18:</w:t>
      </w:r>
      <w:r>
        <w:t xml:space="preserve"> "Gott, um die Unwandelbarkeit seines Ratschlusses den Erben der Verheißung noch besser zu zeigen, hat sich mit einem Eid verbürgt, damit wir durch zwei unwandelbare Dinge, bei denen Gott unmöglich lügen kann, starken Trost haben..."</w:t>
      </w:r>
    </w:p>
    <w:p w14:paraId="7A5BC553" w14:textId="77777777" w:rsidR="007B5DE0" w:rsidRDefault="007B5DE0" w:rsidP="00F329DD">
      <w:pPr>
        <w:pStyle w:val="whitespace-normal"/>
        <w:numPr>
          <w:ilvl w:val="0"/>
          <w:numId w:val="260"/>
        </w:numPr>
      </w:pPr>
      <w:r>
        <w:rPr>
          <w:rStyle w:val="Fett"/>
        </w:rPr>
        <w:t>Jakobus 1,17:</w:t>
      </w:r>
      <w:r>
        <w:t xml:space="preserve"> "Bei dem Vater der Lichter gibt es keine Veränderung noch Schatten von Wechsel"</w:t>
      </w:r>
    </w:p>
    <w:p w14:paraId="4809DFA3" w14:textId="49A359DD" w:rsidR="007B5DE0" w:rsidRDefault="007B5DE0" w:rsidP="00F329DD">
      <w:pPr>
        <w:pStyle w:val="whitespace-normal"/>
        <w:numPr>
          <w:ilvl w:val="0"/>
          <w:numId w:val="260"/>
        </w:numPr>
      </w:pPr>
      <w:r>
        <w:rPr>
          <w:rStyle w:val="Fett"/>
        </w:rPr>
        <w:t>Titus 1,2:</w:t>
      </w:r>
      <w:r>
        <w:t xml:space="preserve"> "...Gott, der nicht lügt..."</w:t>
      </w:r>
    </w:p>
    <w:p w14:paraId="3BCA3CD2" w14:textId="77777777" w:rsidR="008E5E2F" w:rsidRDefault="008E5E2F" w:rsidP="008E5E2F">
      <w:pPr>
        <w:pStyle w:val="whitespace-normal"/>
      </w:pPr>
      <w:r>
        <w:t>Dieser Vers formuliert eine fundamentale theologische Aussage über Gottes Zuverlässigkeit und Treue. Im Kontext antwortet Bileam auf Balaks Erwartung, dass der Fluch geändert werden könne: Gottes Wort ist unumstößlich, weil Gott nicht wie ein Mensch ist, der lügt oder seine Meinung ändert. Was Gott zusagt (</w:t>
      </w:r>
      <w:r>
        <w:rPr>
          <w:rStyle w:val="Fett"/>
          <w:rtl/>
        </w:rPr>
        <w:t>אָמַר</w:t>
      </w:r>
      <w:r>
        <w:t xml:space="preserve">, </w:t>
      </w:r>
      <w:r>
        <w:rPr>
          <w:rStyle w:val="Fett"/>
          <w:rtl/>
        </w:rPr>
        <w:t>דִּבֶּר</w:t>
      </w:r>
      <w:r>
        <w:t>), das führt er auch aus (</w:t>
      </w:r>
      <w:r>
        <w:rPr>
          <w:rStyle w:val="Fett"/>
          <w:rtl/>
        </w:rPr>
        <w:t>יַעֲשֶׂה</w:t>
      </w:r>
      <w:r>
        <w:t xml:space="preserve">, </w:t>
      </w:r>
      <w:r>
        <w:rPr>
          <w:rStyle w:val="Fett"/>
          <w:rtl/>
        </w:rPr>
        <w:t>יְקִימֶנָּה</w:t>
      </w:r>
      <w:r>
        <w:t>). Die rhetorischen Fragen erwarten eine negative Antwort und verstärken dadurch die Gewissheit der göttlichen Zusage.</w:t>
      </w:r>
    </w:p>
    <w:p w14:paraId="588C0CF8" w14:textId="77777777" w:rsidR="008E5E2F" w:rsidRPr="008E5E2F" w:rsidRDefault="008E5E2F" w:rsidP="008E5E2F">
      <w:pPr>
        <w:pStyle w:val="berschrift2"/>
        <w:rPr>
          <w:rFonts w:ascii="Times New Roman" w:hAnsi="Times New Roman" w:cs="Times New Roman"/>
          <w:b/>
          <w:bCs/>
          <w:color w:val="auto"/>
          <w:sz w:val="48"/>
          <w:szCs w:val="48"/>
        </w:rPr>
      </w:pPr>
      <w:r w:rsidRPr="008E5E2F">
        <w:rPr>
          <w:rFonts w:ascii="Times New Roman" w:hAnsi="Times New Roman" w:cs="Times New Roman"/>
          <w:b/>
          <w:bCs/>
          <w:color w:val="auto"/>
          <w:sz w:val="48"/>
          <w:szCs w:val="48"/>
        </w:rPr>
        <w:t>Numeri 23,20</w:t>
      </w:r>
    </w:p>
    <w:p w14:paraId="0FDA6747" w14:textId="77777777" w:rsidR="008E5E2F" w:rsidRDefault="008E5E2F" w:rsidP="008E5E2F">
      <w:pPr>
        <w:pStyle w:val="whitespace-normal"/>
      </w:pPr>
      <w:r>
        <w:rPr>
          <w:rStyle w:val="Fett"/>
        </w:rPr>
        <w:t>Hebräisch:</w:t>
      </w:r>
      <w:r>
        <w:t xml:space="preserve"> </w:t>
      </w:r>
      <w:r>
        <w:rPr>
          <w:rtl/>
        </w:rPr>
        <w:t>הִנֵּ֥ה בָרֵ֖ךְ לָקָ֑חְתִּי וּבֵרֵ֖ךְ וְלֹ֥א אֲשִׁיבֶֽנָּה׃</w:t>
      </w:r>
    </w:p>
    <w:p w14:paraId="48B8D8D2" w14:textId="77777777" w:rsidR="008E5E2F" w:rsidRDefault="008E5E2F" w:rsidP="008E5E2F">
      <w:pPr>
        <w:pStyle w:val="whitespace-normal"/>
      </w:pPr>
      <w:r>
        <w:rPr>
          <w:rStyle w:val="Fett"/>
        </w:rPr>
        <w:t>Deutsch:</w:t>
      </w:r>
      <w:r>
        <w:t xml:space="preserve"> Siehe, zu segnen habe ich empfangen; und er hat gesegnet, und ich kann es nicht wenden.</w:t>
      </w:r>
    </w:p>
    <w:p w14:paraId="7662DBCF" w14:textId="77777777" w:rsidR="008E5E2F" w:rsidRDefault="00F329DD" w:rsidP="008E5E2F">
      <w:r>
        <w:rPr>
          <w:noProof/>
        </w:rPr>
        <w:pict w14:anchorId="254ACF2A">
          <v:rect id="_x0000_i1815" style="width:0;height:1.5pt" o:hralign="center" o:hrstd="t" o:hr="t" fillcolor="#a0a0a0" stroked="f"/>
        </w:pict>
      </w:r>
    </w:p>
    <w:p w14:paraId="49978724" w14:textId="77777777" w:rsidR="008E5E2F" w:rsidRDefault="008E5E2F" w:rsidP="008E5E2F">
      <w:pPr>
        <w:pStyle w:val="whitespace-normal"/>
      </w:pPr>
      <w:r>
        <w:rPr>
          <w:rStyle w:val="Fett"/>
        </w:rPr>
        <w:t>Kommentar:</w:t>
      </w:r>
      <w:r>
        <w:t xml:space="preserve"> Die Präsentationspartikel </w:t>
      </w:r>
      <w:r>
        <w:rPr>
          <w:rStyle w:val="Fett"/>
          <w:rtl/>
        </w:rPr>
        <w:t>הִנֵּה</w:t>
      </w:r>
      <w:r>
        <w:rPr>
          <w:rtl/>
        </w:rPr>
        <w:t xml:space="preserve"> </w:t>
      </w:r>
      <w:r>
        <w:t xml:space="preserve">(„siehe") lenkt die Aufmerksamkeit auf die folgende wichtige Aussage. Der Infinitiv construct </w:t>
      </w:r>
      <w:r>
        <w:rPr>
          <w:rStyle w:val="Fett"/>
          <w:rtl/>
        </w:rPr>
        <w:t>בָרֵךְ</w:t>
      </w:r>
      <w:r>
        <w:rPr>
          <w:rtl/>
        </w:rPr>
        <w:t xml:space="preserve"> </w:t>
      </w:r>
      <w:r>
        <w:t xml:space="preserve">(Piel Infinitiv construct von </w:t>
      </w:r>
      <w:r>
        <w:rPr>
          <w:rtl/>
        </w:rPr>
        <w:t>ברך</w:t>
      </w:r>
      <w:r>
        <w:t>, „segnen") steht am Satzanfang in emphatischer Position und drückt den Zweck oder Inhalt aus.</w:t>
      </w:r>
    </w:p>
    <w:p w14:paraId="55283C21" w14:textId="0328C5A9" w:rsidR="008E5E2F" w:rsidRDefault="008E5E2F" w:rsidP="008E5E2F">
      <w:pPr>
        <w:pStyle w:val="whitespace-normal"/>
      </w:pPr>
      <w:r>
        <w:t xml:space="preserve">Das Verb </w:t>
      </w:r>
      <w:r>
        <w:rPr>
          <w:rStyle w:val="Fett"/>
          <w:rtl/>
        </w:rPr>
        <w:t>לָקָחְתִּי</w:t>
      </w:r>
      <w:r>
        <w:rPr>
          <w:rtl/>
        </w:rPr>
        <w:t xml:space="preserve"> </w:t>
      </w:r>
      <w:r>
        <w:t xml:space="preserve">(Qal Perfekt 1. c. Sg. von </w:t>
      </w:r>
      <w:r>
        <w:rPr>
          <w:rtl/>
        </w:rPr>
        <w:t>לקח</w:t>
      </w:r>
      <w:r>
        <w:t xml:space="preserve">, „ich habe empfangen/genommen") zeigt durch die 1. Person, dass Bileam als Sprecher von seiner eigenen Erfahrung berichtet. Die </w:t>
      </w:r>
      <w:r w:rsidR="00F133EC">
        <w:t>Construct</w:t>
      </w:r>
      <w:r>
        <w:t xml:space="preserve">ion </w:t>
      </w:r>
      <w:r>
        <w:rPr>
          <w:rStyle w:val="Fett"/>
          <w:rtl/>
        </w:rPr>
        <w:t>בָרֵךְ לָקָחְתִּי</w:t>
      </w:r>
      <w:r>
        <w:rPr>
          <w:rtl/>
        </w:rPr>
        <w:t xml:space="preserve"> </w:t>
      </w:r>
      <w:r>
        <w:t>bedeutet wörtlich „Segnen habe ich empfangen" und drückt aus, dass Bileam den Auftrag zum Segnen von Gott erhalten hat.</w:t>
      </w:r>
    </w:p>
    <w:p w14:paraId="0397A5D8" w14:textId="77777777" w:rsidR="008E5E2F" w:rsidRDefault="008E5E2F" w:rsidP="008E5E2F">
      <w:pPr>
        <w:pStyle w:val="whitespace-normal"/>
      </w:pPr>
      <w:r>
        <w:t xml:space="preserve">Das Verb </w:t>
      </w:r>
      <w:r>
        <w:rPr>
          <w:rStyle w:val="Fett"/>
          <w:rtl/>
        </w:rPr>
        <w:t>וּבֵרֵךְ</w:t>
      </w:r>
      <w:r>
        <w:rPr>
          <w:rtl/>
        </w:rPr>
        <w:t xml:space="preserve"> </w:t>
      </w:r>
      <w:r>
        <w:t xml:space="preserve">(Piel Perfekt 3. m. Sg. von </w:t>
      </w:r>
      <w:r>
        <w:rPr>
          <w:rtl/>
        </w:rPr>
        <w:t>ברך</w:t>
      </w:r>
      <w:r>
        <w:t xml:space="preserve"> mit Kopula </w:t>
      </w:r>
      <w:r>
        <w:rPr>
          <w:rtl/>
        </w:rPr>
        <w:t>וְ</w:t>
      </w:r>
      <w:r>
        <w:t>, „und er hat gesegnet") bezieht sich auf Gott als implizites Subjekt. Die Piel-Form intensiviert die Bedeutung des Segnens.</w:t>
      </w:r>
    </w:p>
    <w:p w14:paraId="6BC1F980" w14:textId="77777777" w:rsidR="008E5E2F" w:rsidRDefault="008E5E2F" w:rsidP="008E5E2F">
      <w:pPr>
        <w:pStyle w:val="whitespace-normal"/>
      </w:pPr>
      <w:r>
        <w:t xml:space="preserve">Die Negation </w:t>
      </w:r>
      <w:r>
        <w:rPr>
          <w:rStyle w:val="Fett"/>
          <w:rtl/>
        </w:rPr>
        <w:t>וְלֹא</w:t>
      </w:r>
      <w:r>
        <w:rPr>
          <w:rtl/>
        </w:rPr>
        <w:t xml:space="preserve"> </w:t>
      </w:r>
      <w:r>
        <w:t xml:space="preserve">mit dem Imperfekt </w:t>
      </w:r>
      <w:r>
        <w:rPr>
          <w:rStyle w:val="Fett"/>
          <w:rtl/>
        </w:rPr>
        <w:t>אֲשִׁיבֶנָּה</w:t>
      </w:r>
      <w:r>
        <w:rPr>
          <w:rtl/>
        </w:rPr>
        <w:t xml:space="preserve"> </w:t>
      </w:r>
      <w:r>
        <w:t xml:space="preserve">(Hifil Imperfekt 1. c. Sg. von </w:t>
      </w:r>
      <w:r>
        <w:rPr>
          <w:rtl/>
        </w:rPr>
        <w:t>שׁוב</w:t>
      </w:r>
      <w:r>
        <w:t xml:space="preserve"> mit Objektsuffix 3. f. Sg., „ich kann es nicht zurückwenden") drückt die Unfähigkeit Bileams aus, Gottes Segen rückgängig zu machen. Die Hifil-Form von </w:t>
      </w:r>
      <w:r>
        <w:rPr>
          <w:rStyle w:val="Fett"/>
          <w:rtl/>
        </w:rPr>
        <w:t>שׁוב</w:t>
      </w:r>
      <w:r>
        <w:rPr>
          <w:rtl/>
        </w:rPr>
        <w:t xml:space="preserve"> </w:t>
      </w:r>
      <w:r>
        <w:t xml:space="preserve">bedeutet kausativ </w:t>
      </w:r>
      <w:r>
        <w:lastRenderedPageBreak/>
        <w:t xml:space="preserve">„zurückwenden, rückgängig machen". Das Suffix </w:t>
      </w:r>
      <w:r>
        <w:rPr>
          <w:rStyle w:val="Fett"/>
          <w:rtl/>
        </w:rPr>
        <w:t>נָּה</w:t>
      </w:r>
      <w:r>
        <w:rPr>
          <w:rtl/>
        </w:rPr>
        <w:t xml:space="preserve"> </w:t>
      </w:r>
      <w:r>
        <w:t>(3. f. Sg.) bezieht sich auf die Segenshandlung oder das Segenswort.</w:t>
      </w:r>
    </w:p>
    <w:p w14:paraId="0B8D9FE2" w14:textId="2D3EED36" w:rsidR="008E5E2F" w:rsidRDefault="008E5E2F" w:rsidP="008E5E2F">
      <w:pPr>
        <w:pStyle w:val="whitespace-normal"/>
      </w:pPr>
      <w:r>
        <w:rPr>
          <w:rStyle w:val="Fett"/>
        </w:rPr>
        <w:t>Die LXX</w:t>
      </w:r>
      <w:r>
        <w:t xml:space="preserve"> übersetzt </w:t>
      </w:r>
      <w:r>
        <w:rPr>
          <w:rStyle w:val="Fett"/>
          <w:rtl/>
        </w:rPr>
        <w:t>בָרֵךְ</w:t>
      </w:r>
      <w:r>
        <w:rPr>
          <w:rtl/>
        </w:rPr>
        <w:t xml:space="preserve"> </w:t>
      </w:r>
      <w:r>
        <w:t xml:space="preserve">mit εὐλογεῖν (eulogein, Infinitiv „segnen") und behält die infinitivische </w:t>
      </w:r>
      <w:r w:rsidR="00F133EC">
        <w:t>Construct</w:t>
      </w:r>
      <w:r>
        <w:t xml:space="preserve">ion bei. Das Verb </w:t>
      </w:r>
      <w:r>
        <w:rPr>
          <w:rStyle w:val="Fett"/>
          <w:rtl/>
        </w:rPr>
        <w:t>לָקָחְתִּי</w:t>
      </w:r>
      <w:r>
        <w:rPr>
          <w:rtl/>
        </w:rPr>
        <w:t xml:space="preserve"> </w:t>
      </w:r>
      <w:r>
        <w:t xml:space="preserve">wird mit εἴληφα (eilēpha, Perfekt „ich habe empfangen") wiedergegeben. Die LXX interpretiert </w:t>
      </w:r>
      <w:r>
        <w:rPr>
          <w:rStyle w:val="Fett"/>
          <w:rtl/>
        </w:rPr>
        <w:t>וּבֵרֵךְ</w:t>
      </w:r>
      <w:r>
        <w:rPr>
          <w:rtl/>
        </w:rPr>
        <w:t xml:space="preserve"> </w:t>
      </w:r>
      <w:r>
        <w:t xml:space="preserve">als καὶ εὐλογήσει (kai eulogēsei, „und er wird segnen") und verwendet das Futur anstelle des Perfekts, wodurch die fortdauernde Wirkung des Segens betont wird. Für </w:t>
      </w:r>
      <w:r>
        <w:rPr>
          <w:rStyle w:val="Fett"/>
          <w:rtl/>
        </w:rPr>
        <w:t>אֲשִׁיבֶנָּה</w:t>
      </w:r>
      <w:r>
        <w:rPr>
          <w:rtl/>
        </w:rPr>
        <w:t xml:space="preserve"> </w:t>
      </w:r>
      <w:r>
        <w:t>verwendet die LXX ἀποστρέψω (apostrepsō, „ich werde abwenden"), was die Bedeutung der Umkehrung klar ausdrückt.</w:t>
      </w:r>
    </w:p>
    <w:p w14:paraId="533B68A8" w14:textId="77777777" w:rsidR="008E5E2F" w:rsidRDefault="008E5E2F" w:rsidP="008E5E2F">
      <w:pPr>
        <w:pStyle w:val="whitespace-normal"/>
      </w:pPr>
      <w:r>
        <w:t xml:space="preserve">Die Satzstruktur besteht aus drei koordinierten Hauptsätzen. Der erste Satz </w:t>
      </w:r>
      <w:r>
        <w:rPr>
          <w:rStyle w:val="Fett"/>
          <w:rtl/>
        </w:rPr>
        <w:t>הִנֵּה בָרֵךְ לָקָחְתִּי</w:t>
      </w:r>
      <w:r>
        <w:rPr>
          <w:rtl/>
        </w:rPr>
        <w:t xml:space="preserve"> </w:t>
      </w:r>
      <w:r>
        <w:t xml:space="preserve">ist ein Verbalsatz mit vorangestelltem Infinitiv als Objekt in emphatischer Position. Der zweite Satz </w:t>
      </w:r>
      <w:r>
        <w:rPr>
          <w:rStyle w:val="Fett"/>
          <w:rtl/>
        </w:rPr>
        <w:t>וּבֵרֵךְ</w:t>
      </w:r>
      <w:r>
        <w:rPr>
          <w:rtl/>
        </w:rPr>
        <w:t xml:space="preserve"> </w:t>
      </w:r>
      <w:r>
        <w:t xml:space="preserve">ist ein elliptischer Verbalsatz mit implizitem Subjekt (Gott). Der dritte Satz </w:t>
      </w:r>
      <w:r>
        <w:rPr>
          <w:rStyle w:val="Fett"/>
          <w:rtl/>
        </w:rPr>
        <w:t>וְלֹא אֲשִׁיבֶנָּה</w:t>
      </w:r>
      <w:r>
        <w:rPr>
          <w:rtl/>
        </w:rPr>
        <w:t xml:space="preserve"> </w:t>
      </w:r>
      <w:r>
        <w:t>ist ein negierter Verbalsatz mit Bileam als Subjekt.</w:t>
      </w:r>
    </w:p>
    <w:p w14:paraId="292AE0C8" w14:textId="77777777" w:rsidR="008E5E2F" w:rsidRDefault="008E5E2F" w:rsidP="008E5E2F">
      <w:pPr>
        <w:pStyle w:val="whitespace-normal"/>
      </w:pPr>
      <w:r>
        <w:t>Der Vers verdeutlicht Bileams Situation: Er hat von Gott den Auftrag zum Segnen empfangen (nicht zum Fluchen, wie Balak es wünschte). Gott selbst hat bereits gesegnet, und diese göttliche Handlung ist für Bileam unumkehrbar. Die dreifache Struktur (Empfang des Segensauftrags – göttliche Segenshandlung – Unmöglichkeit der Rücknahme) unterstreicht die absolute Autorität und Endgültigkeit des göttlichen Segens über Israel. Bileam stellt klar, dass er als Prophet nur Gottes Willen ausführen kann und keine Macht hat, göttliche Entscheidungen zu ändern.</w:t>
      </w:r>
    </w:p>
    <w:p w14:paraId="6CFE13C6" w14:textId="77777777" w:rsidR="008E5E2F" w:rsidRPr="008E5E2F" w:rsidRDefault="008E5E2F" w:rsidP="008E5E2F">
      <w:pPr>
        <w:pStyle w:val="berschrift2"/>
        <w:rPr>
          <w:rFonts w:ascii="Times New Roman" w:hAnsi="Times New Roman" w:cs="Times New Roman"/>
          <w:b/>
          <w:bCs/>
          <w:color w:val="auto"/>
          <w:sz w:val="48"/>
          <w:szCs w:val="48"/>
        </w:rPr>
      </w:pPr>
      <w:r w:rsidRPr="008E5E2F">
        <w:rPr>
          <w:rFonts w:ascii="Times New Roman" w:hAnsi="Times New Roman" w:cs="Times New Roman"/>
          <w:b/>
          <w:bCs/>
          <w:color w:val="auto"/>
          <w:sz w:val="48"/>
          <w:szCs w:val="48"/>
        </w:rPr>
        <w:t>Numeri 23,21</w:t>
      </w:r>
    </w:p>
    <w:p w14:paraId="6A4978D4" w14:textId="77777777" w:rsidR="008E5E2F" w:rsidRDefault="008E5E2F" w:rsidP="008E5E2F">
      <w:pPr>
        <w:pStyle w:val="whitespace-normal"/>
      </w:pPr>
      <w:r>
        <w:rPr>
          <w:rStyle w:val="Fett"/>
        </w:rPr>
        <w:t>Hebräisch:</w:t>
      </w:r>
      <w:r>
        <w:t xml:space="preserve"> </w:t>
      </w:r>
      <w:r>
        <w:rPr>
          <w:rtl/>
        </w:rPr>
        <w:t>לֹֽא־הִבִּ֥יט אָ֨וֶן֙ בְּיַעֲקֹ֔ב וְלֹא־רָאָ֥ה עָמָ֖ל בְּיִשְׂרָאֵ֑ל יְהוָ֤ה אֱלֹהָיו֙ עִמּוֹ֔ וּתְרוּעַ֥ת מֶ֖לֶךְ בּוֹֽ׃</w:t>
      </w:r>
    </w:p>
    <w:p w14:paraId="1FAD5E6B" w14:textId="77777777" w:rsidR="008E5E2F" w:rsidRDefault="008E5E2F" w:rsidP="008E5E2F">
      <w:pPr>
        <w:pStyle w:val="whitespace-normal"/>
      </w:pPr>
      <w:r>
        <w:rPr>
          <w:rStyle w:val="Fett"/>
        </w:rPr>
        <w:t>Deutsch:</w:t>
      </w:r>
      <w:r>
        <w:t xml:space="preserve"> Er erblickt kein Unrecht in Jaʿakov und sieht kein Unheil in Jisraʾel. Der Ewige, sein Gott, ist mit ihm, und Jubelruf eines Königs ist in ihm.</w:t>
      </w:r>
    </w:p>
    <w:p w14:paraId="590BFCF2" w14:textId="77777777" w:rsidR="008E5E2F" w:rsidRDefault="00F329DD" w:rsidP="008E5E2F">
      <w:r>
        <w:rPr>
          <w:noProof/>
        </w:rPr>
        <w:pict w14:anchorId="41FA37E1">
          <v:rect id="_x0000_i1816" style="width:0;height:1.5pt" o:hralign="center" o:hrstd="t" o:hr="t" fillcolor="#a0a0a0" stroked="f"/>
        </w:pict>
      </w:r>
    </w:p>
    <w:p w14:paraId="3BF3B418" w14:textId="77777777" w:rsidR="008E5E2F" w:rsidRDefault="008E5E2F" w:rsidP="008E5E2F">
      <w:pPr>
        <w:pStyle w:val="whitespace-normal"/>
      </w:pPr>
      <w:r>
        <w:rPr>
          <w:rStyle w:val="Fett"/>
        </w:rPr>
        <w:t>Kommentar:</w:t>
      </w:r>
      <w:r>
        <w:t xml:space="preserve"> Die Negation </w:t>
      </w:r>
      <w:r>
        <w:rPr>
          <w:rStyle w:val="Fett"/>
          <w:rtl/>
        </w:rPr>
        <w:t>לֹא</w:t>
      </w:r>
      <w:r>
        <w:rPr>
          <w:rtl/>
        </w:rPr>
        <w:t xml:space="preserve"> </w:t>
      </w:r>
      <w:r>
        <w:t xml:space="preserve">mit dem Verb </w:t>
      </w:r>
      <w:r>
        <w:rPr>
          <w:rStyle w:val="Fett"/>
          <w:rtl/>
        </w:rPr>
        <w:t>הִבִּיט</w:t>
      </w:r>
      <w:r>
        <w:rPr>
          <w:rtl/>
        </w:rPr>
        <w:t xml:space="preserve"> </w:t>
      </w:r>
      <w:r>
        <w:t xml:space="preserve">(Hifil Perfekt 3. m. Sg. von </w:t>
      </w:r>
      <w:r>
        <w:rPr>
          <w:rtl/>
        </w:rPr>
        <w:t>נבט</w:t>
      </w:r>
      <w:r>
        <w:t>, „er hat erblickt/geschaut") drückt aus, dass Gott (implizites Subjekt) nicht geschaut hat. Die Hifil-Form verleiht dem Verb eine kausative oder intensive Bedeutung des Betrachtens.</w:t>
      </w:r>
    </w:p>
    <w:p w14:paraId="0F50D0F1" w14:textId="77777777" w:rsidR="008E5E2F" w:rsidRDefault="008E5E2F" w:rsidP="008E5E2F">
      <w:pPr>
        <w:pStyle w:val="whitespace-normal"/>
      </w:pPr>
      <w:r>
        <w:t xml:space="preserve">Das Objekt </w:t>
      </w:r>
      <w:r>
        <w:rPr>
          <w:rStyle w:val="Fett"/>
          <w:rtl/>
        </w:rPr>
        <w:t>אָוֶן</w:t>
      </w:r>
      <w:r>
        <w:rPr>
          <w:rtl/>
        </w:rPr>
        <w:t xml:space="preserve"> </w:t>
      </w:r>
      <w:r>
        <w:t xml:space="preserve">(„Unheil, Unrecht, Bosheit") bezeichnet moralisches Fehlverhalten oder Schuld. Die Präpositionalphrase </w:t>
      </w:r>
      <w:r>
        <w:rPr>
          <w:rStyle w:val="Fett"/>
          <w:rtl/>
        </w:rPr>
        <w:t>בְּיַעֲקֹב</w:t>
      </w:r>
      <w:r>
        <w:rPr>
          <w:rtl/>
        </w:rPr>
        <w:t xml:space="preserve"> </w:t>
      </w:r>
      <w:r>
        <w:t xml:space="preserve">(Präposition </w:t>
      </w:r>
      <w:r>
        <w:rPr>
          <w:rtl/>
        </w:rPr>
        <w:t>בְּ</w:t>
      </w:r>
      <w:r>
        <w:t xml:space="preserve"> mit dem Eigennamen </w:t>
      </w:r>
      <w:r>
        <w:rPr>
          <w:rStyle w:val="Fett"/>
          <w:rtl/>
        </w:rPr>
        <w:t>יַעֲקֹב</w:t>
      </w:r>
      <w:r>
        <w:t xml:space="preserve">, „in Jakob") zeigt den Bereich, in dem kein </w:t>
      </w:r>
      <w:r>
        <w:rPr>
          <w:rStyle w:val="Fett"/>
          <w:rtl/>
        </w:rPr>
        <w:t>אָוֶן</w:t>
      </w:r>
      <w:r>
        <w:rPr>
          <w:rtl/>
        </w:rPr>
        <w:t xml:space="preserve"> </w:t>
      </w:r>
      <w:r>
        <w:t>gesehen wird.</w:t>
      </w:r>
    </w:p>
    <w:p w14:paraId="2A6C6752" w14:textId="77777777" w:rsidR="008E5E2F" w:rsidRDefault="008E5E2F" w:rsidP="008E5E2F">
      <w:pPr>
        <w:pStyle w:val="whitespace-normal"/>
      </w:pPr>
      <w:r>
        <w:t xml:space="preserve">Die parallele Struktur </w:t>
      </w:r>
      <w:r>
        <w:rPr>
          <w:rStyle w:val="Fett"/>
          <w:rtl/>
        </w:rPr>
        <w:t>וְלֹא־רָאָה עָמָל בְּיִשְׂרָאֵל</w:t>
      </w:r>
      <w:r>
        <w:rPr>
          <w:rtl/>
        </w:rPr>
        <w:t xml:space="preserve"> </w:t>
      </w:r>
      <w:r>
        <w:t xml:space="preserve">verwendet das Verb </w:t>
      </w:r>
      <w:r>
        <w:rPr>
          <w:rStyle w:val="Fett"/>
          <w:rtl/>
        </w:rPr>
        <w:t>רָאָה</w:t>
      </w:r>
      <w:r>
        <w:rPr>
          <w:rtl/>
        </w:rPr>
        <w:t xml:space="preserve"> </w:t>
      </w:r>
      <w:r>
        <w:t xml:space="preserve">(Qal Perfekt 3. m. Sg. von </w:t>
      </w:r>
      <w:r>
        <w:rPr>
          <w:rtl/>
        </w:rPr>
        <w:t>ראה</w:t>
      </w:r>
      <w:r>
        <w:t xml:space="preserve">, „er hat gesehen") im einfachen Stamm. Das Objekt </w:t>
      </w:r>
      <w:r>
        <w:rPr>
          <w:rStyle w:val="Fett"/>
          <w:rtl/>
        </w:rPr>
        <w:t>עָמָל</w:t>
      </w:r>
      <w:r>
        <w:rPr>
          <w:rtl/>
        </w:rPr>
        <w:t xml:space="preserve"> </w:t>
      </w:r>
      <w:r>
        <w:t xml:space="preserve">(„Mühsal, Unheil, Leid") ist ein Synonym zu </w:t>
      </w:r>
      <w:r>
        <w:rPr>
          <w:rStyle w:val="Fett"/>
          <w:rtl/>
        </w:rPr>
        <w:t>אָוֶן</w:t>
      </w:r>
      <w:r>
        <w:rPr>
          <w:rtl/>
        </w:rPr>
        <w:t xml:space="preserve"> </w:t>
      </w:r>
      <w:r>
        <w:t>und verstärkt die Aussage durch poetischen Parallelismus.</w:t>
      </w:r>
    </w:p>
    <w:p w14:paraId="1BC4905B" w14:textId="77777777" w:rsidR="008E5E2F" w:rsidRDefault="008E5E2F" w:rsidP="008E5E2F">
      <w:pPr>
        <w:pStyle w:val="whitespace-normal"/>
      </w:pPr>
      <w:r>
        <w:t xml:space="preserve">Die Präpositionalphrase </w:t>
      </w:r>
      <w:r>
        <w:rPr>
          <w:rStyle w:val="Fett"/>
          <w:rtl/>
        </w:rPr>
        <w:t>בְּיִשְׂרָאֵל</w:t>
      </w:r>
      <w:r>
        <w:rPr>
          <w:rtl/>
        </w:rPr>
        <w:t xml:space="preserve"> </w:t>
      </w:r>
      <w:r>
        <w:t xml:space="preserve">(Präposition </w:t>
      </w:r>
      <w:r>
        <w:rPr>
          <w:rtl/>
        </w:rPr>
        <w:t>בְּ</w:t>
      </w:r>
      <w:r>
        <w:t xml:space="preserve"> mit dem Eigennamen </w:t>
      </w:r>
      <w:r>
        <w:rPr>
          <w:rStyle w:val="Fett"/>
          <w:rtl/>
        </w:rPr>
        <w:t>יִשְׂרָאֵל</w:t>
      </w:r>
      <w:r>
        <w:t xml:space="preserve">, „in Israel") entspricht </w:t>
      </w:r>
      <w:r>
        <w:rPr>
          <w:rStyle w:val="Fett"/>
          <w:rtl/>
        </w:rPr>
        <w:t>בְּיַעֲקֹב</w:t>
      </w:r>
      <w:r>
        <w:rPr>
          <w:rtl/>
        </w:rPr>
        <w:t xml:space="preserve"> </w:t>
      </w:r>
      <w:r>
        <w:t>und zeigt den synonymen Parallelismus der beiden Namen für das Volk Gottes.</w:t>
      </w:r>
    </w:p>
    <w:p w14:paraId="5EE2A52F" w14:textId="77777777" w:rsidR="008E5E2F" w:rsidRDefault="008E5E2F" w:rsidP="008E5E2F">
      <w:pPr>
        <w:pStyle w:val="whitespace-normal"/>
      </w:pPr>
      <w:r>
        <w:lastRenderedPageBreak/>
        <w:t xml:space="preserve">Das Subjekt </w:t>
      </w:r>
      <w:r>
        <w:rPr>
          <w:rStyle w:val="Fett"/>
          <w:rtl/>
        </w:rPr>
        <w:t>יְהוָה</w:t>
      </w:r>
      <w:r>
        <w:rPr>
          <w:rtl/>
        </w:rPr>
        <w:t xml:space="preserve"> </w:t>
      </w:r>
      <w:r>
        <w:t xml:space="preserve">(Gottesname, der Ewige) wird explizit genannt. Das Nomen </w:t>
      </w:r>
      <w:r>
        <w:rPr>
          <w:rStyle w:val="Fett"/>
          <w:rtl/>
        </w:rPr>
        <w:t>אֱלֹהָיו</w:t>
      </w:r>
      <w:r>
        <w:rPr>
          <w:rtl/>
        </w:rPr>
        <w:t xml:space="preserve"> </w:t>
      </w:r>
      <w:r>
        <w:t xml:space="preserve">(Plural von </w:t>
      </w:r>
      <w:r>
        <w:rPr>
          <w:rtl/>
        </w:rPr>
        <w:t>אֱלוֹהַּ</w:t>
      </w:r>
      <w:r>
        <w:t xml:space="preserve">, „Gott", mit Suffix 3. m. Sg., „sein Gott") steht in Apposition zu </w:t>
      </w:r>
      <w:r>
        <w:rPr>
          <w:rStyle w:val="Fett"/>
          <w:rtl/>
        </w:rPr>
        <w:t>יְהוָה</w:t>
      </w:r>
      <w:r>
        <w:rPr>
          <w:rtl/>
        </w:rPr>
        <w:t xml:space="preserve"> </w:t>
      </w:r>
      <w:r>
        <w:t>und betont die Bundesbeziehung.</w:t>
      </w:r>
    </w:p>
    <w:p w14:paraId="37E7E9C5" w14:textId="5B3A43AD" w:rsidR="008E5E2F" w:rsidRDefault="008E5E2F" w:rsidP="008E5E2F">
      <w:pPr>
        <w:pStyle w:val="whitespace-normal"/>
      </w:pPr>
      <w:r>
        <w:t xml:space="preserve">Das Prädikat </w:t>
      </w:r>
      <w:r>
        <w:rPr>
          <w:rStyle w:val="Fett"/>
          <w:rtl/>
        </w:rPr>
        <w:t>עִמּוֹ</w:t>
      </w:r>
      <w:r>
        <w:rPr>
          <w:rtl/>
        </w:rPr>
        <w:t xml:space="preserve"> </w:t>
      </w:r>
      <w:r>
        <w:t xml:space="preserve">(Präposition </w:t>
      </w:r>
      <w:r>
        <w:rPr>
          <w:rtl/>
        </w:rPr>
        <w:t>עִם</w:t>
      </w:r>
      <w:r>
        <w:t xml:space="preserve"> mit Suffix 3. m. Sg., „mit ihm") drückt die göttliche Gegenwart aus. Die </w:t>
      </w:r>
      <w:r w:rsidR="00B513FF">
        <w:t xml:space="preserve">Constructus </w:t>
      </w:r>
      <w:r>
        <w:t xml:space="preserve">verbindung </w:t>
      </w:r>
      <w:r>
        <w:rPr>
          <w:rStyle w:val="Fett"/>
          <w:rtl/>
        </w:rPr>
        <w:t>וּתְרוּעַת מֶלֶךְ</w:t>
      </w:r>
      <w:r>
        <w:rPr>
          <w:rtl/>
        </w:rPr>
        <w:t xml:space="preserve"> </w:t>
      </w:r>
      <w:r>
        <w:t xml:space="preserve">(Kopula </w:t>
      </w:r>
      <w:r>
        <w:rPr>
          <w:rtl/>
        </w:rPr>
        <w:t>וְ</w:t>
      </w:r>
      <w:r>
        <w:t xml:space="preserve"> mit </w:t>
      </w:r>
      <w:r>
        <w:rPr>
          <w:rStyle w:val="Fett"/>
          <w:rtl/>
        </w:rPr>
        <w:t>תְּרוּעָה</w:t>
      </w:r>
      <w:r>
        <w:t xml:space="preserve">, „Jubelruf, Kriegsgeschrei", im </w:t>
      </w:r>
      <w:r w:rsidR="00F133EC">
        <w:t>Construct</w:t>
      </w:r>
      <w:r>
        <w:t xml:space="preserve">zustand mit </w:t>
      </w:r>
      <w:r>
        <w:rPr>
          <w:rStyle w:val="Fett"/>
          <w:rtl/>
        </w:rPr>
        <w:t>מֶלֶךְ</w:t>
      </w:r>
      <w:r>
        <w:t xml:space="preserve">, „König") bezeichnet den königlichen Jubel oder Triumphgeschrei. Die Präposition </w:t>
      </w:r>
      <w:r>
        <w:rPr>
          <w:rStyle w:val="Fett"/>
          <w:rtl/>
        </w:rPr>
        <w:t>בּוֹ</w:t>
      </w:r>
      <w:r>
        <w:rPr>
          <w:rtl/>
        </w:rPr>
        <w:t xml:space="preserve"> </w:t>
      </w:r>
      <w:r>
        <w:t>(</w:t>
      </w:r>
      <w:r>
        <w:rPr>
          <w:rtl/>
        </w:rPr>
        <w:t>בְּ</w:t>
      </w:r>
      <w:r>
        <w:t xml:space="preserve"> mit Suffix 3. m. Sg., „in ihm") zeigt, dass dieser Jubelruf im Volk Israel ist.</w:t>
      </w:r>
    </w:p>
    <w:p w14:paraId="57000168" w14:textId="1D3512D4" w:rsidR="008E5E2F" w:rsidRDefault="008E5E2F" w:rsidP="008E5E2F">
      <w:pPr>
        <w:pStyle w:val="whitespace-normal"/>
      </w:pPr>
      <w:r>
        <w:rPr>
          <w:rStyle w:val="Fett"/>
        </w:rPr>
        <w:t>Die LXX</w:t>
      </w:r>
      <w:r>
        <w:t xml:space="preserve"> </w:t>
      </w:r>
      <w:r w:rsidR="00C73FA4">
        <w:t>übersetzt „</w:t>
      </w:r>
      <w:r w:rsidR="00C73FA4" w:rsidRPr="00C73FA4">
        <w:rPr>
          <w:b/>
          <w:bCs/>
          <w:rtl/>
        </w:rPr>
        <w:t>לֹא־הִבִּיט אָוֶן</w:t>
      </w:r>
      <w:r w:rsidR="00C73FA4">
        <w:t>" (er erblickt nicht Unheil) mit „οὐκ ἔσται μόχθος" (es wird keine Mühsal sein), und „</w:t>
      </w:r>
      <w:r w:rsidR="00C73FA4" w:rsidRPr="00C73FA4">
        <w:rPr>
          <w:b/>
          <w:bCs/>
          <w:rtl/>
        </w:rPr>
        <w:t>וּתְרוּעַת מֶלֶךְ בּוֹ</w:t>
      </w:r>
      <w:r w:rsidR="00C73FA4">
        <w:t>" (und Jubelruf eines Königs ist in ihm) wird zu „τὰ ἔνδοξα ἀρχόντων ἐν αὐτῷ" (die herrlichen Dinge der Fürsten sind in ihm).</w:t>
      </w:r>
    </w:p>
    <w:p w14:paraId="3642E0A1" w14:textId="77777777" w:rsidR="008E5E2F" w:rsidRDefault="008E5E2F" w:rsidP="008E5E2F">
      <w:pPr>
        <w:pStyle w:val="whitespace-normal"/>
      </w:pPr>
      <w:r>
        <w:t xml:space="preserve">Die Satzstruktur besteht aus zwei parallelen verneinten Hauptsätzen, gefolgt von zwei positiven Nominalsätzen. Die erste Satzhälfte bildet einen synonymen Parallelismus: </w:t>
      </w:r>
      <w:r>
        <w:rPr>
          <w:rStyle w:val="Fett"/>
          <w:rtl/>
        </w:rPr>
        <w:t>לֹא־הִבִּיט אָוֶן בְּיַעֲקֹב</w:t>
      </w:r>
      <w:r>
        <w:rPr>
          <w:rtl/>
        </w:rPr>
        <w:t xml:space="preserve"> </w:t>
      </w:r>
      <w:r>
        <w:t xml:space="preserve">parallel zu </w:t>
      </w:r>
      <w:r>
        <w:rPr>
          <w:rStyle w:val="Fett"/>
          <w:rtl/>
        </w:rPr>
        <w:t>וְלֹא־רָאָה עָמָל בְּיִשְׂרָאֵל</w:t>
      </w:r>
      <w:r>
        <w:t xml:space="preserve">. Die zweite Satzhälfte enthält zwei Nominalsätze: </w:t>
      </w:r>
      <w:r>
        <w:rPr>
          <w:rStyle w:val="Fett"/>
          <w:rtl/>
        </w:rPr>
        <w:t>יְהוָה אֱלֹהָיו עִמּוֹ</w:t>
      </w:r>
      <w:r>
        <w:rPr>
          <w:rtl/>
        </w:rPr>
        <w:t xml:space="preserve"> </w:t>
      </w:r>
      <w:r>
        <w:t xml:space="preserve">und </w:t>
      </w:r>
      <w:r>
        <w:rPr>
          <w:rStyle w:val="Fett"/>
          <w:rtl/>
        </w:rPr>
        <w:t>וּתְרוּעַת מֶלֶךְ בּוֹ</w:t>
      </w:r>
      <w:r>
        <w:t>, die beide die göttliche Gegenwart und den Jubel Israels beschreiben.</w:t>
      </w:r>
    </w:p>
    <w:p w14:paraId="3EB03EE7" w14:textId="77777777" w:rsidR="008E5E2F" w:rsidRDefault="008E5E2F" w:rsidP="008E5E2F">
      <w:pPr>
        <w:pStyle w:val="whitespace-normal"/>
      </w:pPr>
      <w:r>
        <w:t>Der Vers beschreibt Israels privilegierte Stellung vor Gott. Gott sieht keine Schuld in seinem Volk – nicht weil Israel sündlos wäre, sondern weil Gott in seiner Gnade die Sünden vergibt oder nicht gegen sein Volk rechnet. Die göttliche Gegenwart (</w:t>
      </w:r>
      <w:r>
        <w:rPr>
          <w:rStyle w:val="Fett"/>
          <w:rtl/>
        </w:rPr>
        <w:t>יְהוָה אֱלֹהָיו עִמּוֹ</w:t>
      </w:r>
      <w:r>
        <w:t xml:space="preserve">) und der königliche Jubel unterstreichen Israels besondere Bundesbeziehung zu Gott. Der </w:t>
      </w:r>
      <w:r>
        <w:rPr>
          <w:rStyle w:val="Fett"/>
          <w:rtl/>
        </w:rPr>
        <w:t>תְּרוּעַת מֶלֶךְ</w:t>
      </w:r>
      <w:r>
        <w:rPr>
          <w:rtl/>
        </w:rPr>
        <w:t xml:space="preserve"> </w:t>
      </w:r>
      <w:r>
        <w:t>kann sowohl den Jubel über Gottes Königsherrschaft als auch den Kriegsruf des göttlichen Königs bezeichnen, der mit seinem Volk in den Kampf zieht.</w:t>
      </w:r>
    </w:p>
    <w:p w14:paraId="76A89FD2" w14:textId="77777777" w:rsidR="008E5E2F" w:rsidRPr="008E5E2F" w:rsidRDefault="008E5E2F" w:rsidP="008E5E2F">
      <w:pPr>
        <w:pStyle w:val="berschrift2"/>
        <w:rPr>
          <w:rFonts w:ascii="Times New Roman" w:hAnsi="Times New Roman" w:cs="Times New Roman"/>
          <w:b/>
          <w:bCs/>
          <w:color w:val="auto"/>
          <w:sz w:val="48"/>
          <w:szCs w:val="48"/>
        </w:rPr>
      </w:pPr>
      <w:r w:rsidRPr="008E5E2F">
        <w:rPr>
          <w:rFonts w:ascii="Times New Roman" w:hAnsi="Times New Roman" w:cs="Times New Roman"/>
          <w:b/>
          <w:bCs/>
          <w:color w:val="auto"/>
          <w:sz w:val="48"/>
          <w:szCs w:val="48"/>
        </w:rPr>
        <w:t>Numeri 23,22</w:t>
      </w:r>
    </w:p>
    <w:p w14:paraId="3E0824B7" w14:textId="77777777" w:rsidR="008E5E2F" w:rsidRDefault="008E5E2F" w:rsidP="008E5E2F">
      <w:pPr>
        <w:pStyle w:val="whitespace-normal"/>
      </w:pPr>
      <w:r>
        <w:rPr>
          <w:rStyle w:val="Fett"/>
        </w:rPr>
        <w:t>Hebräisch:</w:t>
      </w:r>
      <w:r>
        <w:t xml:space="preserve"> </w:t>
      </w:r>
      <w:r>
        <w:rPr>
          <w:rtl/>
        </w:rPr>
        <w:t>אֵ֖ל מוֹצִיאָ֣ם מִמִּצְרָ֑יִם כְּתוֹעֲפֹ֥ת רְאֵ֖ם לוֹֽ׃</w:t>
      </w:r>
    </w:p>
    <w:p w14:paraId="597549D6" w14:textId="77777777" w:rsidR="008E5E2F" w:rsidRDefault="008E5E2F" w:rsidP="008E5E2F">
      <w:pPr>
        <w:pStyle w:val="whitespace-normal"/>
      </w:pPr>
      <w:r>
        <w:rPr>
          <w:rStyle w:val="Fett"/>
        </w:rPr>
        <w:t>Deutsch:</w:t>
      </w:r>
      <w:r>
        <w:t xml:space="preserve"> Gott hat sie aus Mizrajim herausgeführt; er hat Stärke wie die eines Wildstiers.</w:t>
      </w:r>
    </w:p>
    <w:p w14:paraId="039E69EB" w14:textId="77777777" w:rsidR="008E5E2F" w:rsidRDefault="00F329DD" w:rsidP="008E5E2F">
      <w:r>
        <w:rPr>
          <w:noProof/>
        </w:rPr>
        <w:pict w14:anchorId="13888024">
          <v:rect id="_x0000_i1817" style="width:0;height:1.5pt" o:hralign="center" o:hrstd="t" o:hr="t" fillcolor="#a0a0a0" stroked="f"/>
        </w:pict>
      </w:r>
    </w:p>
    <w:p w14:paraId="6F52014F" w14:textId="77777777" w:rsidR="008E5E2F" w:rsidRDefault="008E5E2F" w:rsidP="008E5E2F">
      <w:pPr>
        <w:pStyle w:val="whitespace-normal"/>
      </w:pPr>
      <w:r>
        <w:rPr>
          <w:rStyle w:val="Fett"/>
        </w:rPr>
        <w:t>Kommentar:</w:t>
      </w:r>
      <w:r>
        <w:t xml:space="preserve"> Das Subjekt </w:t>
      </w:r>
      <w:r>
        <w:rPr>
          <w:rStyle w:val="Fett"/>
          <w:rtl/>
        </w:rPr>
        <w:t>אֵל</w:t>
      </w:r>
      <w:r>
        <w:rPr>
          <w:rtl/>
        </w:rPr>
        <w:t xml:space="preserve"> </w:t>
      </w:r>
      <w:r>
        <w:t xml:space="preserve">(„Gott") steht am Satzanfang in betonter Position. Das Partizip </w:t>
      </w:r>
      <w:r>
        <w:rPr>
          <w:rStyle w:val="Fett"/>
          <w:rtl/>
        </w:rPr>
        <w:t>מוֹצִיאָם</w:t>
      </w:r>
      <w:r>
        <w:rPr>
          <w:rtl/>
        </w:rPr>
        <w:t xml:space="preserve"> </w:t>
      </w:r>
      <w:r>
        <w:t xml:space="preserve">(Hifil Partizip m. Sg. von </w:t>
      </w:r>
      <w:r>
        <w:rPr>
          <w:rtl/>
        </w:rPr>
        <w:t>יצא</w:t>
      </w:r>
      <w:r>
        <w:t xml:space="preserve"> mit Objektsuffix 3. m. Pl., „der sie herausführt/herausgeführt hat") beschreibt Gottes Handeln am Volk.</w:t>
      </w:r>
    </w:p>
    <w:p w14:paraId="38092298" w14:textId="77777777" w:rsidR="008E5E2F" w:rsidRDefault="008E5E2F" w:rsidP="008E5E2F">
      <w:pPr>
        <w:pStyle w:val="whitespace-normal"/>
      </w:pPr>
      <w:r>
        <w:t xml:space="preserve">Die Hifil-Form hat kausative Bedeutung „herausführen lassen, befreien". Das Suffix </w:t>
      </w:r>
      <w:r>
        <w:rPr>
          <w:rStyle w:val="Fett"/>
          <w:rtl/>
        </w:rPr>
        <w:t>ם</w:t>
      </w:r>
      <w:r>
        <w:rPr>
          <w:rtl/>
        </w:rPr>
        <w:t xml:space="preserve"> </w:t>
      </w:r>
      <w:r>
        <w:t xml:space="preserve">(3. m. Pl.) bezieht sich auf Israel. Die Präpositionalphrase </w:t>
      </w:r>
      <w:r>
        <w:rPr>
          <w:rStyle w:val="Fett"/>
          <w:rtl/>
        </w:rPr>
        <w:t>מִמִּצְרָיִם</w:t>
      </w:r>
      <w:r>
        <w:rPr>
          <w:rtl/>
        </w:rPr>
        <w:t xml:space="preserve"> </w:t>
      </w:r>
      <w:r>
        <w:t xml:space="preserve">(Präposition </w:t>
      </w:r>
      <w:r>
        <w:rPr>
          <w:rtl/>
        </w:rPr>
        <w:t>מִן</w:t>
      </w:r>
      <w:r>
        <w:t xml:space="preserve">, „aus", mit dem Ländernamen </w:t>
      </w:r>
      <w:r>
        <w:rPr>
          <w:rStyle w:val="Fett"/>
          <w:rtl/>
        </w:rPr>
        <w:t>מִצְרַיִם</w:t>
      </w:r>
      <w:r>
        <w:t>, „Ägypten") bezeichnet den Ausgangspunkt des Exodus, des zentralen Heilsereignisses Israels.</w:t>
      </w:r>
    </w:p>
    <w:p w14:paraId="5180F477" w14:textId="5C18AC20" w:rsidR="008E5E2F" w:rsidRDefault="008E5E2F" w:rsidP="008E5E2F">
      <w:pPr>
        <w:pStyle w:val="whitespace-normal"/>
      </w:pPr>
      <w:r>
        <w:t xml:space="preserve">Die Präpositionalphrase </w:t>
      </w:r>
      <w:r>
        <w:rPr>
          <w:rStyle w:val="Fett"/>
          <w:rtl/>
        </w:rPr>
        <w:t>כְּתוֹעֲפֹת רְאֵם</w:t>
      </w:r>
      <w:r>
        <w:rPr>
          <w:rtl/>
        </w:rPr>
        <w:t xml:space="preserve"> </w:t>
      </w:r>
      <w:r>
        <w:t xml:space="preserve">verbindet die Präposition </w:t>
      </w:r>
      <w:r>
        <w:rPr>
          <w:rtl/>
        </w:rPr>
        <w:t>כְּ</w:t>
      </w:r>
      <w:r>
        <w:t xml:space="preserve"> („wie") mit der </w:t>
      </w:r>
      <w:r w:rsidR="00B513FF">
        <w:t xml:space="preserve">Constructus </w:t>
      </w:r>
      <w:r>
        <w:t xml:space="preserve">verbindung </w:t>
      </w:r>
      <w:r>
        <w:rPr>
          <w:rStyle w:val="Fett"/>
          <w:rtl/>
        </w:rPr>
        <w:t>תּוֹעֲפוֹת רְאֵם</w:t>
      </w:r>
      <w:r>
        <w:rPr>
          <w:rtl/>
        </w:rPr>
        <w:t xml:space="preserve"> </w:t>
      </w:r>
      <w:r>
        <w:t xml:space="preserve">(Plural von </w:t>
      </w:r>
      <w:r>
        <w:rPr>
          <w:rStyle w:val="Fett"/>
          <w:rtl/>
        </w:rPr>
        <w:t>תּוֹעָפָה</w:t>
      </w:r>
      <w:r>
        <w:t xml:space="preserve">, „Stärke, Kraft", im </w:t>
      </w:r>
      <w:r w:rsidR="00F133EC">
        <w:t>Construct</w:t>
      </w:r>
      <w:r>
        <w:t xml:space="preserve">zustand mit </w:t>
      </w:r>
      <w:r>
        <w:rPr>
          <w:rStyle w:val="Fett"/>
          <w:rtl/>
        </w:rPr>
        <w:t>רְאֵם</w:t>
      </w:r>
      <w:r>
        <w:t>, „Wildstier, Wildochse").</w:t>
      </w:r>
    </w:p>
    <w:p w14:paraId="5B2F4B80" w14:textId="77777777" w:rsidR="008E5E2F" w:rsidRDefault="008E5E2F" w:rsidP="008E5E2F">
      <w:pPr>
        <w:pStyle w:val="whitespace-normal"/>
      </w:pPr>
      <w:r>
        <w:lastRenderedPageBreak/>
        <w:t xml:space="preserve">Der </w:t>
      </w:r>
      <w:r>
        <w:rPr>
          <w:rStyle w:val="Fett"/>
          <w:rtl/>
        </w:rPr>
        <w:t>רְאֵם</w:t>
      </w:r>
      <w:r>
        <w:rPr>
          <w:rtl/>
        </w:rPr>
        <w:t xml:space="preserve"> </w:t>
      </w:r>
      <w:r>
        <w:t xml:space="preserve">ist ein mächtiges, ungezähmtes Tier, möglicherweise der ausgestorbene Auerochse, das in der hebräischen Bibel als Symbol für überwältigende Kraft dient. Das Suffix </w:t>
      </w:r>
      <w:r>
        <w:rPr>
          <w:rStyle w:val="Fett"/>
          <w:rtl/>
        </w:rPr>
        <w:t>לוֹ</w:t>
      </w:r>
      <w:r>
        <w:rPr>
          <w:rtl/>
        </w:rPr>
        <w:t xml:space="preserve"> </w:t>
      </w:r>
      <w:r>
        <w:t xml:space="preserve">(Präposition </w:t>
      </w:r>
      <w:r>
        <w:rPr>
          <w:rtl/>
        </w:rPr>
        <w:t>לְ</w:t>
      </w:r>
      <w:r>
        <w:t xml:space="preserve"> mit Suffix 3. m. Sg., „für ihn/ihm") bezieht sich auf Israel und zeigt, dass diese Stärke Israel gehört oder für Israel da ist.</w:t>
      </w:r>
    </w:p>
    <w:p w14:paraId="40705846" w14:textId="277AD858" w:rsidR="008E5E2F" w:rsidRDefault="008E5E2F" w:rsidP="008E5E2F">
      <w:pPr>
        <w:pStyle w:val="whitespace-normal"/>
      </w:pPr>
      <w:r>
        <w:rPr>
          <w:rStyle w:val="Fett"/>
        </w:rPr>
        <w:t xml:space="preserve">Die </w:t>
      </w:r>
      <w:r w:rsidR="00C73FA4">
        <w:t>übersetzt „</w:t>
      </w:r>
      <w:r w:rsidR="00C73FA4" w:rsidRPr="00C73FA4">
        <w:rPr>
          <w:b/>
          <w:bCs/>
          <w:rtl/>
        </w:rPr>
        <w:t>כְּתוֹעֲפֹת</w:t>
      </w:r>
      <w:r w:rsidR="00C73FA4">
        <w:rPr>
          <w:rtl/>
        </w:rPr>
        <w:t xml:space="preserve"> </w:t>
      </w:r>
      <w:r w:rsidR="00C73FA4" w:rsidRPr="00C73FA4">
        <w:rPr>
          <w:b/>
          <w:bCs/>
          <w:rtl/>
        </w:rPr>
        <w:t>רְאֵם</w:t>
      </w:r>
      <w:r w:rsidR="00C73FA4">
        <w:t>" (wie die Kraft/Hörner eines Wildochsen) mit „ὡς δόξα μονοκέρωτος" (wie die Herrlichkeit eines Einhorns), wobei der Wildochse zu einem Einhorn wird.</w:t>
      </w:r>
    </w:p>
    <w:p w14:paraId="30F7490D" w14:textId="77777777" w:rsidR="008E5E2F" w:rsidRDefault="008E5E2F" w:rsidP="008E5E2F">
      <w:pPr>
        <w:pStyle w:val="whitespace-normal"/>
      </w:pPr>
      <w:r>
        <w:t xml:space="preserve">Die Satzstruktur besteht aus einem Nominalsatz </w:t>
      </w:r>
      <w:r>
        <w:rPr>
          <w:rStyle w:val="Fett"/>
          <w:rtl/>
        </w:rPr>
        <w:t>אֵל מוֹצִיאָם מִמִּצְרָיִם</w:t>
      </w:r>
      <w:r>
        <w:rPr>
          <w:rtl/>
        </w:rPr>
        <w:t xml:space="preserve"> </w:t>
      </w:r>
      <w:r>
        <w:t xml:space="preserve">mit Subjekt, Partizip und präpositionalem Objekt. Der zweite Teil </w:t>
      </w:r>
      <w:r>
        <w:rPr>
          <w:rStyle w:val="Fett"/>
          <w:rtl/>
        </w:rPr>
        <w:t>כְּתוֹעֲפֹת רְאֵם לוֹ</w:t>
      </w:r>
      <w:r>
        <w:rPr>
          <w:rtl/>
        </w:rPr>
        <w:t xml:space="preserve"> </w:t>
      </w:r>
      <w:r>
        <w:t xml:space="preserve">ist ein Nominalsatz, der die Stärke beschreibt, wobei das </w:t>
      </w:r>
      <w:r>
        <w:rPr>
          <w:rtl/>
        </w:rPr>
        <w:t>כְּ</w:t>
      </w:r>
      <w:r>
        <w:t xml:space="preserve"> einen Vergleich einleitet.</w:t>
      </w:r>
    </w:p>
    <w:p w14:paraId="19BA467A" w14:textId="77777777" w:rsidR="008E5E2F" w:rsidRDefault="008E5E2F" w:rsidP="008E5E2F">
      <w:pPr>
        <w:pStyle w:val="whitespace-normal"/>
      </w:pPr>
      <w:r>
        <w:t>Der Vers erinnert an den Exodus als Grundlage von Israels Existenz und Identität. Die Befreiung aus Ägypten demonstriert Gottes Macht. Die Metapher des Wildstiers unterstreicht die unwiderstehliche, ungezähmte Kraft, mit der Gott für sein Volk handelt. Israel hat diese göttliche Stärke als Schutz und Macht in den Kämpfen gegen seine Feinde.</w:t>
      </w:r>
    </w:p>
    <w:p w14:paraId="1E8124EB" w14:textId="77777777" w:rsidR="008E5E2F" w:rsidRPr="008E5E2F" w:rsidRDefault="008E5E2F" w:rsidP="008E5E2F">
      <w:pPr>
        <w:spacing w:before="100" w:beforeAutospacing="1" w:after="100" w:afterAutospacing="1" w:line="240" w:lineRule="auto"/>
        <w:rPr>
          <w:rFonts w:eastAsia="Times New Roman" w:cs="Times New Roman"/>
          <w:b/>
          <w:bCs/>
          <w:sz w:val="48"/>
          <w:szCs w:val="48"/>
          <w:lang w:eastAsia="de-DE"/>
        </w:rPr>
      </w:pPr>
      <w:r w:rsidRPr="008E5E2F">
        <w:rPr>
          <w:rFonts w:eastAsia="Times New Roman" w:cs="Times New Roman"/>
          <w:b/>
          <w:bCs/>
          <w:sz w:val="48"/>
          <w:szCs w:val="48"/>
          <w:lang w:eastAsia="de-DE"/>
        </w:rPr>
        <w:t>Numeri 23,23</w:t>
      </w:r>
    </w:p>
    <w:p w14:paraId="5B721B05"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Hebräisch:</w:t>
      </w:r>
      <w:r w:rsidRPr="008E5E2F">
        <w:rPr>
          <w:rFonts w:eastAsia="Times New Roman" w:cs="Times New Roman"/>
          <w:lang w:eastAsia="de-DE"/>
        </w:rPr>
        <w:t xml:space="preserve"> </w:t>
      </w:r>
      <w:r w:rsidRPr="008E5E2F">
        <w:rPr>
          <w:rFonts w:eastAsia="Times New Roman" w:cs="Times New Roman"/>
          <w:rtl/>
          <w:lang w:eastAsia="de-DE"/>
        </w:rPr>
        <w:t>כִּ֤י לֹא־נַ֙חַשׁ֙ בְּיַעֲקֹ֔ב וְלֹא־קֶ֖סֶם בְּיִשְׂרָאֵ֑ל כָּעֵ֗ת יֵאָמֵ֤ר לְיַעֲקֹב֙ וּלְיִשְׂרָאֵ֔ל מַה־פָּ֖עַל אֵֽל׃</w:t>
      </w:r>
    </w:p>
    <w:p w14:paraId="43836BE1"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Deutsch:</w:t>
      </w:r>
      <w:r w:rsidRPr="008E5E2F">
        <w:rPr>
          <w:rFonts w:eastAsia="Times New Roman" w:cs="Times New Roman"/>
          <w:lang w:eastAsia="de-DE"/>
        </w:rPr>
        <w:t xml:space="preserve"> Denn es gibt keine Zauberei in Jaʿakov und keine Wahrsagerei in Jisraʾel. Jetzt wird zu Jaʿakov und zu Jisraʾel gesagt werden, was Gott gewirkt hat.</w:t>
      </w:r>
    </w:p>
    <w:p w14:paraId="23CE6125" w14:textId="77777777" w:rsidR="008E5E2F" w:rsidRPr="008E5E2F" w:rsidRDefault="00F329DD" w:rsidP="008E5E2F">
      <w:pPr>
        <w:spacing w:after="0" w:line="240" w:lineRule="auto"/>
        <w:rPr>
          <w:rFonts w:eastAsia="Times New Roman" w:cs="Times New Roman"/>
          <w:lang w:eastAsia="de-DE"/>
        </w:rPr>
      </w:pPr>
      <w:r>
        <w:rPr>
          <w:rFonts w:eastAsia="Times New Roman" w:cs="Times New Roman"/>
          <w:noProof/>
          <w:lang w:eastAsia="de-DE"/>
        </w:rPr>
        <w:pict w14:anchorId="7643B4EF">
          <v:rect id="_x0000_i1818" style="width:0;height:1.5pt" o:hralign="center" o:hrstd="t" o:hr="t" fillcolor="#a0a0a0" stroked="f"/>
        </w:pict>
      </w:r>
    </w:p>
    <w:p w14:paraId="3F718A14"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Kommentar:</w:t>
      </w:r>
      <w:r w:rsidRPr="008E5E2F">
        <w:rPr>
          <w:rFonts w:eastAsia="Times New Roman" w:cs="Times New Roman"/>
          <w:lang w:eastAsia="de-DE"/>
        </w:rPr>
        <w:t xml:space="preserve"> Die Partikel </w:t>
      </w:r>
      <w:r w:rsidRPr="008E5E2F">
        <w:rPr>
          <w:rFonts w:eastAsia="Times New Roman" w:cs="Times New Roman"/>
          <w:b/>
          <w:bCs/>
          <w:rtl/>
          <w:lang w:eastAsia="de-DE"/>
        </w:rPr>
        <w:t>כִּי</w:t>
      </w:r>
      <w:r w:rsidRPr="008E5E2F">
        <w:rPr>
          <w:rFonts w:eastAsia="Times New Roman" w:cs="Times New Roman"/>
          <w:rtl/>
          <w:lang w:eastAsia="de-DE"/>
        </w:rPr>
        <w:t xml:space="preserve"> </w:t>
      </w:r>
      <w:r w:rsidRPr="008E5E2F">
        <w:rPr>
          <w:rFonts w:eastAsia="Times New Roman" w:cs="Times New Roman"/>
          <w:lang w:eastAsia="de-DE"/>
        </w:rPr>
        <w:t xml:space="preserve">(„denn, weil") leitet eine Begründung für die vorherigen Aussagen ein. Die Negation </w:t>
      </w:r>
      <w:r w:rsidRPr="008E5E2F">
        <w:rPr>
          <w:rFonts w:eastAsia="Times New Roman" w:cs="Times New Roman"/>
          <w:b/>
          <w:bCs/>
          <w:rtl/>
          <w:lang w:eastAsia="de-DE"/>
        </w:rPr>
        <w:t>לֹא</w:t>
      </w:r>
      <w:r w:rsidRPr="008E5E2F">
        <w:rPr>
          <w:rFonts w:eastAsia="Times New Roman" w:cs="Times New Roman"/>
          <w:rtl/>
          <w:lang w:eastAsia="de-DE"/>
        </w:rPr>
        <w:t xml:space="preserve"> </w:t>
      </w:r>
      <w:r w:rsidRPr="008E5E2F">
        <w:rPr>
          <w:rFonts w:eastAsia="Times New Roman" w:cs="Times New Roman"/>
          <w:lang w:eastAsia="de-DE"/>
        </w:rPr>
        <w:t xml:space="preserve">mit dem Nomen </w:t>
      </w:r>
      <w:r w:rsidRPr="008E5E2F">
        <w:rPr>
          <w:rFonts w:eastAsia="Times New Roman" w:cs="Times New Roman"/>
          <w:b/>
          <w:bCs/>
          <w:rtl/>
          <w:lang w:eastAsia="de-DE"/>
        </w:rPr>
        <w:t>נַחַשׁ</w:t>
      </w:r>
      <w:r w:rsidRPr="008E5E2F">
        <w:rPr>
          <w:rFonts w:eastAsia="Times New Roman" w:cs="Times New Roman"/>
          <w:rtl/>
          <w:lang w:eastAsia="de-DE"/>
        </w:rPr>
        <w:t xml:space="preserve"> </w:t>
      </w:r>
      <w:r w:rsidRPr="008E5E2F">
        <w:rPr>
          <w:rFonts w:eastAsia="Times New Roman" w:cs="Times New Roman"/>
          <w:lang w:eastAsia="de-DE"/>
        </w:rPr>
        <w:t>(m. Sg., „Wahrsagerei, Zauberei, Omen") drückt die Abwesenheit magischer Praktiken aus.</w:t>
      </w:r>
    </w:p>
    <w:p w14:paraId="01CAFF9B"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Das Nomen </w:t>
      </w:r>
      <w:r w:rsidRPr="008E5E2F">
        <w:rPr>
          <w:rFonts w:eastAsia="Times New Roman" w:cs="Times New Roman"/>
          <w:b/>
          <w:bCs/>
          <w:rtl/>
          <w:lang w:eastAsia="de-DE"/>
        </w:rPr>
        <w:t>נַחַשׁ</w:t>
      </w:r>
      <w:r w:rsidRPr="008E5E2F">
        <w:rPr>
          <w:rFonts w:eastAsia="Times New Roman" w:cs="Times New Roman"/>
          <w:rtl/>
          <w:lang w:eastAsia="de-DE"/>
        </w:rPr>
        <w:t xml:space="preserve"> </w:t>
      </w:r>
      <w:r w:rsidRPr="008E5E2F">
        <w:rPr>
          <w:rFonts w:eastAsia="Times New Roman" w:cs="Times New Roman"/>
          <w:lang w:eastAsia="de-DE"/>
        </w:rPr>
        <w:t xml:space="preserve">stammt von der Wurzel </w:t>
      </w:r>
      <w:r w:rsidRPr="008E5E2F">
        <w:rPr>
          <w:rFonts w:eastAsia="Times New Roman" w:cs="Times New Roman"/>
          <w:rtl/>
          <w:lang w:eastAsia="de-DE"/>
        </w:rPr>
        <w:t>נחשׁ</w:t>
      </w:r>
      <w:r w:rsidRPr="008E5E2F">
        <w:rPr>
          <w:rFonts w:eastAsia="Times New Roman" w:cs="Times New Roman"/>
          <w:lang w:eastAsia="de-DE"/>
        </w:rPr>
        <w:t xml:space="preserve"> und bezeichnet das Deuten von Vorzeichen oder Omina. Die Präpositionalphrase </w:t>
      </w:r>
      <w:r w:rsidRPr="008E5E2F">
        <w:rPr>
          <w:rFonts w:eastAsia="Times New Roman" w:cs="Times New Roman"/>
          <w:b/>
          <w:bCs/>
          <w:rtl/>
          <w:lang w:eastAsia="de-DE"/>
        </w:rPr>
        <w:t>בְּיַעֲקֹב</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בְּ</w:t>
      </w:r>
      <w:r w:rsidRPr="008E5E2F">
        <w:rPr>
          <w:rFonts w:eastAsia="Times New Roman" w:cs="Times New Roman"/>
          <w:lang w:eastAsia="de-DE"/>
        </w:rPr>
        <w:t xml:space="preserve"> mit </w:t>
      </w:r>
      <w:r w:rsidRPr="008E5E2F">
        <w:rPr>
          <w:rFonts w:eastAsia="Times New Roman" w:cs="Times New Roman"/>
          <w:b/>
          <w:bCs/>
          <w:rtl/>
          <w:lang w:eastAsia="de-DE"/>
        </w:rPr>
        <w:t>יַעֲקֹב</w:t>
      </w:r>
      <w:r w:rsidRPr="008E5E2F">
        <w:rPr>
          <w:rFonts w:eastAsia="Times New Roman" w:cs="Times New Roman"/>
          <w:lang w:eastAsia="de-DE"/>
        </w:rPr>
        <w:t>, „in Jakob") zeigt den Bereich, in dem keine Wahrsagerei existiert.</w:t>
      </w:r>
    </w:p>
    <w:p w14:paraId="63BC84B8"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parallele Struktur </w:t>
      </w:r>
      <w:r w:rsidRPr="008E5E2F">
        <w:rPr>
          <w:rFonts w:eastAsia="Times New Roman" w:cs="Times New Roman"/>
          <w:b/>
          <w:bCs/>
          <w:rtl/>
          <w:lang w:eastAsia="de-DE"/>
        </w:rPr>
        <w:t>וְלֹא־קֶסֶם בְּיִשְׂרָאֵל</w:t>
      </w:r>
      <w:r w:rsidRPr="008E5E2F">
        <w:rPr>
          <w:rFonts w:eastAsia="Times New Roman" w:cs="Times New Roman"/>
          <w:rtl/>
          <w:lang w:eastAsia="de-DE"/>
        </w:rPr>
        <w:t xml:space="preserve"> </w:t>
      </w:r>
      <w:r w:rsidRPr="008E5E2F">
        <w:rPr>
          <w:rFonts w:eastAsia="Times New Roman" w:cs="Times New Roman"/>
          <w:lang w:eastAsia="de-DE"/>
        </w:rPr>
        <w:t xml:space="preserve">verwendet das Nomen </w:t>
      </w:r>
      <w:r w:rsidRPr="008E5E2F">
        <w:rPr>
          <w:rFonts w:eastAsia="Times New Roman" w:cs="Times New Roman"/>
          <w:b/>
          <w:bCs/>
          <w:rtl/>
          <w:lang w:eastAsia="de-DE"/>
        </w:rPr>
        <w:t>קֶסֶם</w:t>
      </w:r>
      <w:r w:rsidRPr="008E5E2F">
        <w:rPr>
          <w:rFonts w:eastAsia="Times New Roman" w:cs="Times New Roman"/>
          <w:rtl/>
          <w:lang w:eastAsia="de-DE"/>
        </w:rPr>
        <w:t xml:space="preserve"> </w:t>
      </w:r>
      <w:r w:rsidRPr="008E5E2F">
        <w:rPr>
          <w:rFonts w:eastAsia="Times New Roman" w:cs="Times New Roman"/>
          <w:lang w:eastAsia="de-DE"/>
        </w:rPr>
        <w:t xml:space="preserve">(m. Sg., „Wahrsagerei, Beschwörung") als Synonym zu </w:t>
      </w:r>
      <w:r w:rsidRPr="008E5E2F">
        <w:rPr>
          <w:rFonts w:eastAsia="Times New Roman" w:cs="Times New Roman"/>
          <w:b/>
          <w:bCs/>
          <w:rtl/>
          <w:lang w:eastAsia="de-DE"/>
        </w:rPr>
        <w:t>נַחַשׁ</w:t>
      </w:r>
      <w:r w:rsidRPr="008E5E2F">
        <w:rPr>
          <w:rFonts w:eastAsia="Times New Roman" w:cs="Times New Roman"/>
          <w:lang w:eastAsia="de-DE"/>
        </w:rPr>
        <w:t xml:space="preserve">. Die Präpositionalphrase </w:t>
      </w:r>
      <w:r w:rsidRPr="008E5E2F">
        <w:rPr>
          <w:rFonts w:eastAsia="Times New Roman" w:cs="Times New Roman"/>
          <w:b/>
          <w:bCs/>
          <w:rtl/>
          <w:lang w:eastAsia="de-DE"/>
        </w:rPr>
        <w:t>בְּיִשְׂרָאֵל</w:t>
      </w:r>
      <w:r w:rsidRPr="008E5E2F">
        <w:rPr>
          <w:rFonts w:eastAsia="Times New Roman" w:cs="Times New Roman"/>
          <w:rtl/>
          <w:lang w:eastAsia="de-DE"/>
        </w:rPr>
        <w:t xml:space="preserve"> </w:t>
      </w:r>
      <w:r w:rsidRPr="008E5E2F">
        <w:rPr>
          <w:rFonts w:eastAsia="Times New Roman" w:cs="Times New Roman"/>
          <w:lang w:eastAsia="de-DE"/>
        </w:rPr>
        <w:t xml:space="preserve">entspricht </w:t>
      </w:r>
      <w:r w:rsidRPr="008E5E2F">
        <w:rPr>
          <w:rFonts w:eastAsia="Times New Roman" w:cs="Times New Roman"/>
          <w:b/>
          <w:bCs/>
          <w:rtl/>
          <w:lang w:eastAsia="de-DE"/>
        </w:rPr>
        <w:t>בְּיַעֲקֹב</w:t>
      </w:r>
      <w:r w:rsidRPr="008E5E2F">
        <w:rPr>
          <w:rFonts w:eastAsia="Times New Roman" w:cs="Times New Roman"/>
          <w:rtl/>
          <w:lang w:eastAsia="de-DE"/>
        </w:rPr>
        <w:t xml:space="preserve"> </w:t>
      </w:r>
      <w:r w:rsidRPr="008E5E2F">
        <w:rPr>
          <w:rFonts w:eastAsia="Times New Roman" w:cs="Times New Roman"/>
          <w:lang w:eastAsia="de-DE"/>
        </w:rPr>
        <w:t>im synonymen Parallelismus.</w:t>
      </w:r>
    </w:p>
    <w:p w14:paraId="523C7584"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Der </w:t>
      </w:r>
      <w:r w:rsidRPr="008E5E2F">
        <w:rPr>
          <w:rFonts w:eastAsia="Times New Roman" w:cs="Times New Roman"/>
          <w:b/>
          <w:bCs/>
          <w:rtl/>
          <w:lang w:eastAsia="de-DE"/>
        </w:rPr>
        <w:t>קֶסֶם</w:t>
      </w:r>
      <w:r w:rsidRPr="008E5E2F">
        <w:rPr>
          <w:rFonts w:eastAsia="Times New Roman" w:cs="Times New Roman"/>
          <w:rtl/>
          <w:lang w:eastAsia="de-DE"/>
        </w:rPr>
        <w:t xml:space="preserve"> </w:t>
      </w:r>
      <w:r w:rsidRPr="008E5E2F">
        <w:rPr>
          <w:rFonts w:eastAsia="Times New Roman" w:cs="Times New Roman"/>
          <w:lang w:eastAsia="de-DE"/>
        </w:rPr>
        <w:t>bezeichnet verschiedene Formen der Divination und magischen Manipulation, die in Israel verboten waren (vgl. Dtn 18,10). Die beiden negierenden Aussagen betonen, dass Israel nicht auf menschliche Manipulationsversuche angewiesen ist, sondern direkte göttliche Offenbarung empfängt.</w:t>
      </w:r>
    </w:p>
    <w:p w14:paraId="74751E4B"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Präpositionalphrase </w:t>
      </w:r>
      <w:r w:rsidRPr="008E5E2F">
        <w:rPr>
          <w:rFonts w:eastAsia="Times New Roman" w:cs="Times New Roman"/>
          <w:b/>
          <w:bCs/>
          <w:rtl/>
          <w:lang w:eastAsia="de-DE"/>
        </w:rPr>
        <w:t>כָּעֵת</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כְּ</w:t>
      </w:r>
      <w:r w:rsidRPr="008E5E2F">
        <w:rPr>
          <w:rFonts w:eastAsia="Times New Roman" w:cs="Times New Roman"/>
          <w:lang w:eastAsia="de-DE"/>
        </w:rPr>
        <w:t xml:space="preserve"> mit </w:t>
      </w:r>
      <w:r w:rsidRPr="008E5E2F">
        <w:rPr>
          <w:rFonts w:eastAsia="Times New Roman" w:cs="Times New Roman"/>
          <w:b/>
          <w:bCs/>
          <w:rtl/>
          <w:lang w:eastAsia="de-DE"/>
        </w:rPr>
        <w:t>עֵת</w:t>
      </w:r>
      <w:r w:rsidRPr="008E5E2F">
        <w:rPr>
          <w:rFonts w:eastAsia="Times New Roman" w:cs="Times New Roman"/>
          <w:lang w:eastAsia="de-DE"/>
        </w:rPr>
        <w:t xml:space="preserve">, f. Sg., „wie zur Zeit, jetzt") fungiert als temporale Bestimmung. Das Verb </w:t>
      </w:r>
      <w:r w:rsidRPr="008E5E2F">
        <w:rPr>
          <w:rFonts w:eastAsia="Times New Roman" w:cs="Times New Roman"/>
          <w:b/>
          <w:bCs/>
          <w:rtl/>
          <w:lang w:eastAsia="de-DE"/>
        </w:rPr>
        <w:t>יֵאָמֵר</w:t>
      </w:r>
      <w:r w:rsidRPr="008E5E2F">
        <w:rPr>
          <w:rFonts w:eastAsia="Times New Roman" w:cs="Times New Roman"/>
          <w:rtl/>
          <w:lang w:eastAsia="de-DE"/>
        </w:rPr>
        <w:t xml:space="preserve"> </w:t>
      </w:r>
      <w:r w:rsidRPr="008E5E2F">
        <w:rPr>
          <w:rFonts w:eastAsia="Times New Roman" w:cs="Times New Roman"/>
          <w:lang w:eastAsia="de-DE"/>
        </w:rPr>
        <w:t xml:space="preserve">(Nifal Imperfekt 3. m. Sg. von </w:t>
      </w:r>
      <w:r w:rsidRPr="008E5E2F">
        <w:rPr>
          <w:rFonts w:eastAsia="Times New Roman" w:cs="Times New Roman"/>
          <w:rtl/>
          <w:lang w:eastAsia="de-DE"/>
        </w:rPr>
        <w:t>אמר</w:t>
      </w:r>
      <w:r w:rsidRPr="008E5E2F">
        <w:rPr>
          <w:rFonts w:eastAsia="Times New Roman" w:cs="Times New Roman"/>
          <w:lang w:eastAsia="de-DE"/>
        </w:rPr>
        <w:t>, „es wird gesagt werden") steht im passivischen Nifal und drückt die göttliche Offenbarung aus.</w:t>
      </w:r>
    </w:p>
    <w:p w14:paraId="4C181F2D"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lastRenderedPageBreak/>
        <w:t xml:space="preserve">Die doppelte Präpositionalphrase </w:t>
      </w:r>
      <w:r w:rsidRPr="008E5E2F">
        <w:rPr>
          <w:rFonts w:eastAsia="Times New Roman" w:cs="Times New Roman"/>
          <w:b/>
          <w:bCs/>
          <w:rtl/>
          <w:lang w:eastAsia="de-DE"/>
        </w:rPr>
        <w:t>לְיַעֲקֹב וּלְיִשְׂרָאֵל</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לְ</w:t>
      </w:r>
      <w:r w:rsidRPr="008E5E2F">
        <w:rPr>
          <w:rFonts w:eastAsia="Times New Roman" w:cs="Times New Roman"/>
          <w:lang w:eastAsia="de-DE"/>
        </w:rPr>
        <w:t xml:space="preserve"> mit beiden Namen, „zu Jakob und zu Israel") bezeichnet die Adressaten der göttlichen Botschaft. Die Fragepartikel </w:t>
      </w:r>
      <w:r w:rsidRPr="008E5E2F">
        <w:rPr>
          <w:rFonts w:eastAsia="Times New Roman" w:cs="Times New Roman"/>
          <w:b/>
          <w:bCs/>
          <w:rtl/>
          <w:lang w:eastAsia="de-DE"/>
        </w:rPr>
        <w:t>מַה</w:t>
      </w:r>
      <w:r w:rsidRPr="008E5E2F">
        <w:rPr>
          <w:rFonts w:eastAsia="Times New Roman" w:cs="Times New Roman"/>
          <w:rtl/>
          <w:lang w:eastAsia="de-DE"/>
        </w:rPr>
        <w:t xml:space="preserve"> </w:t>
      </w:r>
      <w:r w:rsidRPr="008E5E2F">
        <w:rPr>
          <w:rFonts w:eastAsia="Times New Roman" w:cs="Times New Roman"/>
          <w:lang w:eastAsia="de-DE"/>
        </w:rPr>
        <w:t>(„was") leitet den indirekten Fragesatz ein.</w:t>
      </w:r>
    </w:p>
    <w:p w14:paraId="5470EBF8"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Das Verb </w:t>
      </w:r>
      <w:r w:rsidRPr="008E5E2F">
        <w:rPr>
          <w:rFonts w:eastAsia="Times New Roman" w:cs="Times New Roman"/>
          <w:b/>
          <w:bCs/>
          <w:rtl/>
          <w:lang w:eastAsia="de-DE"/>
        </w:rPr>
        <w:t>פָּעַל</w:t>
      </w:r>
      <w:r w:rsidRPr="008E5E2F">
        <w:rPr>
          <w:rFonts w:eastAsia="Times New Roman" w:cs="Times New Roman"/>
          <w:rtl/>
          <w:lang w:eastAsia="de-DE"/>
        </w:rPr>
        <w:t xml:space="preserve"> </w:t>
      </w:r>
      <w:r w:rsidRPr="008E5E2F">
        <w:rPr>
          <w:rFonts w:eastAsia="Times New Roman" w:cs="Times New Roman"/>
          <w:lang w:eastAsia="de-DE"/>
        </w:rPr>
        <w:t xml:space="preserve">(Qal Perfekt 3. m. Sg. von </w:t>
      </w:r>
      <w:r w:rsidRPr="008E5E2F">
        <w:rPr>
          <w:rFonts w:eastAsia="Times New Roman" w:cs="Times New Roman"/>
          <w:rtl/>
          <w:lang w:eastAsia="de-DE"/>
        </w:rPr>
        <w:t>פעל</w:t>
      </w:r>
      <w:r w:rsidRPr="008E5E2F">
        <w:rPr>
          <w:rFonts w:eastAsia="Times New Roman" w:cs="Times New Roman"/>
          <w:lang w:eastAsia="de-DE"/>
        </w:rPr>
        <w:t xml:space="preserve">, „hat gewirkt/getan") beschreibt Gottes vollendete Handlung. Das Subjekt </w:t>
      </w:r>
      <w:r w:rsidRPr="008E5E2F">
        <w:rPr>
          <w:rFonts w:eastAsia="Times New Roman" w:cs="Times New Roman"/>
          <w:b/>
          <w:bCs/>
          <w:rtl/>
          <w:lang w:eastAsia="de-DE"/>
        </w:rPr>
        <w:t>אֵל</w:t>
      </w:r>
      <w:r w:rsidRPr="008E5E2F">
        <w:rPr>
          <w:rFonts w:eastAsia="Times New Roman" w:cs="Times New Roman"/>
          <w:rtl/>
          <w:lang w:eastAsia="de-DE"/>
        </w:rPr>
        <w:t xml:space="preserve"> </w:t>
      </w:r>
      <w:r w:rsidRPr="008E5E2F">
        <w:rPr>
          <w:rFonts w:eastAsia="Times New Roman" w:cs="Times New Roman"/>
          <w:lang w:eastAsia="de-DE"/>
        </w:rPr>
        <w:t>(„Gott") steht am Ende in emphatischer Position.</w:t>
      </w:r>
    </w:p>
    <w:p w14:paraId="0B197525" w14:textId="4B428214"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Die LXX</w:t>
      </w:r>
      <w:r w:rsidRPr="008E5E2F">
        <w:rPr>
          <w:rFonts w:eastAsia="Times New Roman" w:cs="Times New Roman"/>
          <w:lang w:eastAsia="de-DE"/>
        </w:rPr>
        <w:t xml:space="preserve"> </w:t>
      </w:r>
      <w:r w:rsidR="00CD2614">
        <w:t>übersetzt „</w:t>
      </w:r>
      <w:r w:rsidR="00CD2614" w:rsidRPr="00CD2614">
        <w:rPr>
          <w:b/>
          <w:bCs/>
          <w:rtl/>
        </w:rPr>
        <w:t>לֹא־נַחַשׁ</w:t>
      </w:r>
      <w:r w:rsidR="00CD2614">
        <w:t>" (keine Wahrsagerei) mit „οὐκ ἔστιν οἰωνισμὸς" (es gibt keine Vogelschau), was eine spezifische Form der Divination nennt, und „</w:t>
      </w:r>
      <w:r w:rsidR="00CD2614" w:rsidRPr="00CD2614">
        <w:rPr>
          <w:b/>
          <w:bCs/>
          <w:rtl/>
        </w:rPr>
        <w:t>כָּעֵת</w:t>
      </w:r>
      <w:r w:rsidR="00CD2614">
        <w:rPr>
          <w:rtl/>
        </w:rPr>
        <w:t xml:space="preserve"> </w:t>
      </w:r>
      <w:r w:rsidR="00CD2614" w:rsidRPr="00CD2614">
        <w:rPr>
          <w:b/>
          <w:bCs/>
          <w:rtl/>
        </w:rPr>
        <w:t>יֵאָמֵר</w:t>
      </w:r>
      <w:r w:rsidR="00CD2614">
        <w:t>" (zur rechten Zeit wird gesagt) wird zu „κατὰ καιρὸν ῥηθήσεται" (zur rechten Zeit wird gesagt werden).</w:t>
      </w:r>
    </w:p>
    <w:p w14:paraId="6AAFBD11"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Satzstruktur besteht aus zwei parallelen verneinten Nominalsätzen, gefolgt von einem Hauptsatz mit temporaler Bestimmung. Die erste Satzhälfte bildet einen synonymen Parallelismus: </w:t>
      </w:r>
      <w:r w:rsidRPr="008E5E2F">
        <w:rPr>
          <w:rFonts w:eastAsia="Times New Roman" w:cs="Times New Roman"/>
          <w:b/>
          <w:bCs/>
          <w:rtl/>
          <w:lang w:eastAsia="de-DE"/>
        </w:rPr>
        <w:t>לֹא־נַחַשׁ בְּיַעֲקֹב</w:t>
      </w:r>
      <w:r w:rsidRPr="008E5E2F">
        <w:rPr>
          <w:rFonts w:eastAsia="Times New Roman" w:cs="Times New Roman"/>
          <w:rtl/>
          <w:lang w:eastAsia="de-DE"/>
        </w:rPr>
        <w:t xml:space="preserve"> </w:t>
      </w:r>
      <w:r w:rsidRPr="008E5E2F">
        <w:rPr>
          <w:rFonts w:eastAsia="Times New Roman" w:cs="Times New Roman"/>
          <w:lang w:eastAsia="de-DE"/>
        </w:rPr>
        <w:t xml:space="preserve">parallel zu </w:t>
      </w:r>
      <w:r w:rsidRPr="008E5E2F">
        <w:rPr>
          <w:rFonts w:eastAsia="Times New Roman" w:cs="Times New Roman"/>
          <w:b/>
          <w:bCs/>
          <w:rtl/>
          <w:lang w:eastAsia="de-DE"/>
        </w:rPr>
        <w:t>וְלֹא־קֶסֶם בְּיִשְׂרָאֵל</w:t>
      </w:r>
      <w:r w:rsidRPr="008E5E2F">
        <w:rPr>
          <w:rFonts w:eastAsia="Times New Roman" w:cs="Times New Roman"/>
          <w:lang w:eastAsia="de-DE"/>
        </w:rPr>
        <w:t xml:space="preserve">. Der zweite Satz </w:t>
      </w:r>
      <w:r w:rsidRPr="008E5E2F">
        <w:rPr>
          <w:rFonts w:eastAsia="Times New Roman" w:cs="Times New Roman"/>
          <w:b/>
          <w:bCs/>
          <w:rtl/>
          <w:lang w:eastAsia="de-DE"/>
        </w:rPr>
        <w:t>כָּעֵת יֵאָמֵר לְיַעֲקֹב וּלְיִשְׂרָאֵל</w:t>
      </w:r>
      <w:r w:rsidRPr="008E5E2F">
        <w:rPr>
          <w:rFonts w:eastAsia="Times New Roman" w:cs="Times New Roman"/>
          <w:rtl/>
          <w:lang w:eastAsia="de-DE"/>
        </w:rPr>
        <w:t xml:space="preserve"> </w:t>
      </w:r>
      <w:r w:rsidRPr="008E5E2F">
        <w:rPr>
          <w:rFonts w:eastAsia="Times New Roman" w:cs="Times New Roman"/>
          <w:lang w:eastAsia="de-DE"/>
        </w:rPr>
        <w:t xml:space="preserve">ist ein Verbalsatz mit temporaler Bestimmung, gefolgt vom abhängigen indirekten Fragesatz </w:t>
      </w:r>
      <w:r w:rsidRPr="008E5E2F">
        <w:rPr>
          <w:rFonts w:eastAsia="Times New Roman" w:cs="Times New Roman"/>
          <w:b/>
          <w:bCs/>
          <w:rtl/>
          <w:lang w:eastAsia="de-DE"/>
        </w:rPr>
        <w:t>מַה־פָּעַל אֵל</w:t>
      </w:r>
      <w:r w:rsidRPr="008E5E2F">
        <w:rPr>
          <w:rFonts w:eastAsia="Times New Roman" w:cs="Times New Roman"/>
          <w:lang w:eastAsia="de-DE"/>
        </w:rPr>
        <w:t>.</w:t>
      </w:r>
    </w:p>
    <w:p w14:paraId="72F530F4"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Der Vers kontrastiert Israels Situation mit der von Bileam und Balak. Während Balak einen Wahrsager engagiert hat, um durch magische Mittel Israels Schicksal zu beeinflussen, ist Israel nicht auf solche Praktiken angewiesen. Israel empfängt direkte prophetische Offenbarung von Gott. Die Aussage </w:t>
      </w:r>
      <w:r w:rsidRPr="008E5E2F">
        <w:rPr>
          <w:rFonts w:eastAsia="Times New Roman" w:cs="Times New Roman"/>
          <w:b/>
          <w:bCs/>
          <w:rtl/>
          <w:lang w:eastAsia="de-DE"/>
        </w:rPr>
        <w:t>כָּעֵת יֵאָמֵר</w:t>
      </w:r>
      <w:r w:rsidRPr="008E5E2F">
        <w:rPr>
          <w:rFonts w:eastAsia="Times New Roman" w:cs="Times New Roman"/>
          <w:rtl/>
          <w:lang w:eastAsia="de-DE"/>
        </w:rPr>
        <w:t xml:space="preserve"> </w:t>
      </w:r>
      <w:r w:rsidRPr="008E5E2F">
        <w:rPr>
          <w:rFonts w:eastAsia="Times New Roman" w:cs="Times New Roman"/>
          <w:lang w:eastAsia="de-DE"/>
        </w:rPr>
        <w:t>betont, dass zur rechten Zeit Gott seinem Volk offenbart, was er tut und tun wird. Dies unterstreicht die Überlegenheit der prophetischen Offenbarung über heidnische Wahrsagerei.</w:t>
      </w:r>
    </w:p>
    <w:p w14:paraId="3C263C7A" w14:textId="77777777" w:rsidR="008E5E2F" w:rsidRPr="008E5E2F" w:rsidRDefault="008E5E2F" w:rsidP="008E5E2F">
      <w:pPr>
        <w:spacing w:before="100" w:beforeAutospacing="1" w:after="100" w:afterAutospacing="1" w:line="240" w:lineRule="auto"/>
        <w:outlineLvl w:val="0"/>
        <w:rPr>
          <w:rFonts w:eastAsia="Times New Roman" w:cs="Times New Roman"/>
          <w:b/>
          <w:bCs/>
          <w:kern w:val="36"/>
          <w:sz w:val="48"/>
          <w:szCs w:val="48"/>
          <w:lang w:eastAsia="de-DE"/>
        </w:rPr>
      </w:pPr>
      <w:r w:rsidRPr="008E5E2F">
        <w:rPr>
          <w:rFonts w:eastAsia="Times New Roman" w:cs="Times New Roman"/>
          <w:b/>
          <w:bCs/>
          <w:kern w:val="36"/>
          <w:sz w:val="48"/>
          <w:szCs w:val="48"/>
          <w:lang w:eastAsia="de-DE"/>
        </w:rPr>
        <w:t>Numeri 23,24</w:t>
      </w:r>
    </w:p>
    <w:p w14:paraId="21EAECE3"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Hebräisch:</w:t>
      </w:r>
      <w:r w:rsidRPr="008E5E2F">
        <w:rPr>
          <w:rFonts w:eastAsia="Times New Roman" w:cs="Times New Roman"/>
          <w:lang w:eastAsia="de-DE"/>
        </w:rPr>
        <w:t xml:space="preserve"> </w:t>
      </w:r>
      <w:r w:rsidRPr="008E5E2F">
        <w:rPr>
          <w:rFonts w:eastAsia="Times New Roman" w:cs="Times New Roman"/>
          <w:rtl/>
          <w:lang w:eastAsia="de-DE"/>
        </w:rPr>
        <w:t>הֶן־עָם֙ כְּלָבִ֣יא יָק֔וּם וְכַאֲרִ֖י יִתְנַשָּׂ֑א לֹ֤א יִשְׁכַּב֙ עַד־יֹ֣אכַל טֶ֔רֶף וְדַם־חֲלָלִ֖ים יִשְׁתֶּֽה׃</w:t>
      </w:r>
    </w:p>
    <w:p w14:paraId="4C8E8EC4"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Deutsch:</w:t>
      </w:r>
      <w:r w:rsidRPr="008E5E2F">
        <w:rPr>
          <w:rFonts w:eastAsia="Times New Roman" w:cs="Times New Roman"/>
          <w:lang w:eastAsia="de-DE"/>
        </w:rPr>
        <w:t xml:space="preserve"> Siehe, ein Volk, wie eine Löwin steht es auf und wie ein Löwe erhebt es sich! Es legt sich nicht nieder, bis es Beute frisst und das Blut der Erschlagenen trinkt.</w:t>
      </w:r>
    </w:p>
    <w:p w14:paraId="1407C7ED" w14:textId="77777777" w:rsidR="008E5E2F" w:rsidRPr="008E5E2F" w:rsidRDefault="00F329DD" w:rsidP="008E5E2F">
      <w:pPr>
        <w:spacing w:after="0" w:line="240" w:lineRule="auto"/>
        <w:rPr>
          <w:rFonts w:eastAsia="Times New Roman" w:cs="Times New Roman"/>
          <w:lang w:eastAsia="de-DE"/>
        </w:rPr>
      </w:pPr>
      <w:r>
        <w:rPr>
          <w:rFonts w:eastAsia="Times New Roman" w:cs="Times New Roman"/>
          <w:noProof/>
          <w:lang w:eastAsia="de-DE"/>
        </w:rPr>
        <w:pict w14:anchorId="5636818B">
          <v:rect id="_x0000_i1819" style="width:0;height:1.5pt" o:hralign="center" o:hrstd="t" o:hr="t" fillcolor="#a0a0a0" stroked="f"/>
        </w:pict>
      </w:r>
    </w:p>
    <w:p w14:paraId="098D96F5"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Kommentar:</w:t>
      </w:r>
      <w:r w:rsidRPr="008E5E2F">
        <w:rPr>
          <w:rFonts w:eastAsia="Times New Roman" w:cs="Times New Roman"/>
          <w:lang w:eastAsia="de-DE"/>
        </w:rPr>
        <w:t xml:space="preserve"> Die Präsentationspartikel </w:t>
      </w:r>
      <w:r w:rsidRPr="008E5E2F">
        <w:rPr>
          <w:rFonts w:eastAsia="Times New Roman" w:cs="Times New Roman"/>
          <w:b/>
          <w:bCs/>
          <w:rtl/>
          <w:lang w:eastAsia="de-DE"/>
        </w:rPr>
        <w:t>הֶן</w:t>
      </w:r>
      <w:r w:rsidRPr="008E5E2F">
        <w:rPr>
          <w:rFonts w:eastAsia="Times New Roman" w:cs="Times New Roman"/>
          <w:rtl/>
          <w:lang w:eastAsia="de-DE"/>
        </w:rPr>
        <w:t xml:space="preserve"> </w:t>
      </w:r>
      <w:r w:rsidRPr="008E5E2F">
        <w:rPr>
          <w:rFonts w:eastAsia="Times New Roman" w:cs="Times New Roman"/>
          <w:lang w:eastAsia="de-DE"/>
        </w:rPr>
        <w:t xml:space="preserve">(„siehe") lenkt die Aufmerksamkeit auf die folgende bildhafte Beschreibung. Das Nomen </w:t>
      </w:r>
      <w:r w:rsidRPr="008E5E2F">
        <w:rPr>
          <w:rFonts w:eastAsia="Times New Roman" w:cs="Times New Roman"/>
          <w:b/>
          <w:bCs/>
          <w:rtl/>
          <w:lang w:eastAsia="de-DE"/>
        </w:rPr>
        <w:t>עָם</w:t>
      </w:r>
      <w:r w:rsidRPr="008E5E2F">
        <w:rPr>
          <w:rFonts w:eastAsia="Times New Roman" w:cs="Times New Roman"/>
          <w:rtl/>
          <w:lang w:eastAsia="de-DE"/>
        </w:rPr>
        <w:t xml:space="preserve"> </w:t>
      </w:r>
      <w:r w:rsidRPr="008E5E2F">
        <w:rPr>
          <w:rFonts w:eastAsia="Times New Roman" w:cs="Times New Roman"/>
          <w:lang w:eastAsia="de-DE"/>
        </w:rPr>
        <w:t>(„Volk", m. Sg.) bezeichnet Israel kollektiv.</w:t>
      </w:r>
    </w:p>
    <w:p w14:paraId="17E4EFE6"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Präpositionalphrase </w:t>
      </w:r>
      <w:r w:rsidRPr="008E5E2F">
        <w:rPr>
          <w:rFonts w:eastAsia="Times New Roman" w:cs="Times New Roman"/>
          <w:b/>
          <w:bCs/>
          <w:rtl/>
          <w:lang w:eastAsia="de-DE"/>
        </w:rPr>
        <w:t>כְּלָבִיא</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כְּ</w:t>
      </w:r>
      <w:r w:rsidRPr="008E5E2F">
        <w:rPr>
          <w:rFonts w:eastAsia="Times New Roman" w:cs="Times New Roman"/>
          <w:lang w:eastAsia="de-DE"/>
        </w:rPr>
        <w:t xml:space="preserve"> mit </w:t>
      </w:r>
      <w:r w:rsidRPr="008E5E2F">
        <w:rPr>
          <w:rFonts w:eastAsia="Times New Roman" w:cs="Times New Roman"/>
          <w:b/>
          <w:bCs/>
          <w:rtl/>
          <w:lang w:eastAsia="de-DE"/>
        </w:rPr>
        <w:t>לָבִיא</w:t>
      </w:r>
      <w:r w:rsidRPr="008E5E2F">
        <w:rPr>
          <w:rFonts w:eastAsia="Times New Roman" w:cs="Times New Roman"/>
          <w:lang w:eastAsia="de-DE"/>
        </w:rPr>
        <w:t xml:space="preserve">, m. Sg., „wie eine Löwin") führt den ersten Vergleich ein. Der </w:t>
      </w:r>
      <w:r w:rsidRPr="008E5E2F">
        <w:rPr>
          <w:rFonts w:eastAsia="Times New Roman" w:cs="Times New Roman"/>
          <w:b/>
          <w:bCs/>
          <w:rtl/>
          <w:lang w:eastAsia="de-DE"/>
        </w:rPr>
        <w:t>לָבִיא</w:t>
      </w:r>
      <w:r w:rsidRPr="008E5E2F">
        <w:rPr>
          <w:rFonts w:eastAsia="Times New Roman" w:cs="Times New Roman"/>
          <w:rtl/>
          <w:lang w:eastAsia="de-DE"/>
        </w:rPr>
        <w:t xml:space="preserve"> </w:t>
      </w:r>
      <w:r w:rsidRPr="008E5E2F">
        <w:rPr>
          <w:rFonts w:eastAsia="Times New Roman" w:cs="Times New Roman"/>
          <w:lang w:eastAsia="de-DE"/>
        </w:rPr>
        <w:t xml:space="preserve">bezeichnet speziell die Löwin, die als besonders aggressive Jägerin gilt. Das Verb </w:t>
      </w:r>
      <w:r w:rsidRPr="008E5E2F">
        <w:rPr>
          <w:rFonts w:eastAsia="Times New Roman" w:cs="Times New Roman"/>
          <w:b/>
          <w:bCs/>
          <w:rtl/>
          <w:lang w:eastAsia="de-DE"/>
        </w:rPr>
        <w:t>יָקוּם</w:t>
      </w:r>
      <w:r w:rsidRPr="008E5E2F">
        <w:rPr>
          <w:rFonts w:eastAsia="Times New Roman" w:cs="Times New Roman"/>
          <w:rtl/>
          <w:lang w:eastAsia="de-DE"/>
        </w:rPr>
        <w:t xml:space="preserve"> </w:t>
      </w:r>
      <w:r w:rsidRPr="008E5E2F">
        <w:rPr>
          <w:rFonts w:eastAsia="Times New Roman" w:cs="Times New Roman"/>
          <w:lang w:eastAsia="de-DE"/>
        </w:rPr>
        <w:t xml:space="preserve">(Qal Imperfekt 3. m. Sg. von </w:t>
      </w:r>
      <w:r w:rsidRPr="008E5E2F">
        <w:rPr>
          <w:rFonts w:eastAsia="Times New Roman" w:cs="Times New Roman"/>
          <w:rtl/>
          <w:lang w:eastAsia="de-DE"/>
        </w:rPr>
        <w:t>קום</w:t>
      </w:r>
      <w:r w:rsidRPr="008E5E2F">
        <w:rPr>
          <w:rFonts w:eastAsia="Times New Roman" w:cs="Times New Roman"/>
          <w:lang w:eastAsia="de-DE"/>
        </w:rPr>
        <w:t>, „es steht auf") beschreibt das Aufstehen zum Angriff.</w:t>
      </w:r>
    </w:p>
    <w:p w14:paraId="44D41B8D"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parallele Struktur </w:t>
      </w:r>
      <w:r w:rsidRPr="008E5E2F">
        <w:rPr>
          <w:rFonts w:eastAsia="Times New Roman" w:cs="Times New Roman"/>
          <w:b/>
          <w:bCs/>
          <w:rtl/>
          <w:lang w:eastAsia="de-DE"/>
        </w:rPr>
        <w:t>וְכַאֲרִי יִתְנַשָּׂא</w:t>
      </w:r>
      <w:r w:rsidRPr="008E5E2F">
        <w:rPr>
          <w:rFonts w:eastAsia="Times New Roman" w:cs="Times New Roman"/>
          <w:rtl/>
          <w:lang w:eastAsia="de-DE"/>
        </w:rPr>
        <w:t xml:space="preserve"> </w:t>
      </w:r>
      <w:r w:rsidRPr="008E5E2F">
        <w:rPr>
          <w:rFonts w:eastAsia="Times New Roman" w:cs="Times New Roman"/>
          <w:lang w:eastAsia="de-DE"/>
        </w:rPr>
        <w:t xml:space="preserve">verwendet die Präposition </w:t>
      </w:r>
      <w:r w:rsidRPr="008E5E2F">
        <w:rPr>
          <w:rFonts w:eastAsia="Times New Roman" w:cs="Times New Roman"/>
          <w:b/>
          <w:bCs/>
          <w:rtl/>
          <w:lang w:eastAsia="de-DE"/>
        </w:rPr>
        <w:t>כְּ</w:t>
      </w:r>
      <w:r w:rsidRPr="008E5E2F">
        <w:rPr>
          <w:rFonts w:eastAsia="Times New Roman" w:cs="Times New Roman"/>
          <w:rtl/>
          <w:lang w:eastAsia="de-DE"/>
        </w:rPr>
        <w:t xml:space="preserve"> </w:t>
      </w:r>
      <w:r w:rsidRPr="008E5E2F">
        <w:rPr>
          <w:rFonts w:eastAsia="Times New Roman" w:cs="Times New Roman"/>
          <w:lang w:eastAsia="de-DE"/>
        </w:rPr>
        <w:t xml:space="preserve">mit </w:t>
      </w:r>
      <w:r w:rsidRPr="008E5E2F">
        <w:rPr>
          <w:rFonts w:eastAsia="Times New Roman" w:cs="Times New Roman"/>
          <w:b/>
          <w:bCs/>
          <w:rtl/>
          <w:lang w:eastAsia="de-DE"/>
        </w:rPr>
        <w:t>אֲרִי</w:t>
      </w:r>
      <w:r w:rsidRPr="008E5E2F">
        <w:rPr>
          <w:rFonts w:eastAsia="Times New Roman" w:cs="Times New Roman"/>
          <w:rtl/>
          <w:lang w:eastAsia="de-DE"/>
        </w:rPr>
        <w:t xml:space="preserve"> </w:t>
      </w:r>
      <w:r w:rsidRPr="008E5E2F">
        <w:rPr>
          <w:rFonts w:eastAsia="Times New Roman" w:cs="Times New Roman"/>
          <w:lang w:eastAsia="de-DE"/>
        </w:rPr>
        <w:t xml:space="preserve">(m. Sg., „Löwe"), einem Synonym zu </w:t>
      </w:r>
      <w:r w:rsidRPr="008E5E2F">
        <w:rPr>
          <w:rFonts w:eastAsia="Times New Roman" w:cs="Times New Roman"/>
          <w:b/>
          <w:bCs/>
          <w:rtl/>
          <w:lang w:eastAsia="de-DE"/>
        </w:rPr>
        <w:t>לָבִיא</w:t>
      </w:r>
      <w:r w:rsidRPr="008E5E2F">
        <w:rPr>
          <w:rFonts w:eastAsia="Times New Roman" w:cs="Times New Roman"/>
          <w:lang w:eastAsia="de-DE"/>
        </w:rPr>
        <w:t xml:space="preserve">. Das Verb </w:t>
      </w:r>
      <w:r w:rsidRPr="008E5E2F">
        <w:rPr>
          <w:rFonts w:eastAsia="Times New Roman" w:cs="Times New Roman"/>
          <w:b/>
          <w:bCs/>
          <w:rtl/>
          <w:lang w:eastAsia="de-DE"/>
        </w:rPr>
        <w:t>יִתְנַשָּׂא</w:t>
      </w:r>
      <w:r w:rsidRPr="008E5E2F">
        <w:rPr>
          <w:rFonts w:eastAsia="Times New Roman" w:cs="Times New Roman"/>
          <w:rtl/>
          <w:lang w:eastAsia="de-DE"/>
        </w:rPr>
        <w:t xml:space="preserve"> </w:t>
      </w:r>
      <w:r w:rsidRPr="008E5E2F">
        <w:rPr>
          <w:rFonts w:eastAsia="Times New Roman" w:cs="Times New Roman"/>
          <w:lang w:eastAsia="de-DE"/>
        </w:rPr>
        <w:t xml:space="preserve">(Hitpael Imperfekt 3. m. Sg. von </w:t>
      </w:r>
      <w:r w:rsidRPr="008E5E2F">
        <w:rPr>
          <w:rFonts w:eastAsia="Times New Roman" w:cs="Times New Roman"/>
          <w:rtl/>
          <w:lang w:eastAsia="de-DE"/>
        </w:rPr>
        <w:t>נשׂא</w:t>
      </w:r>
      <w:r w:rsidRPr="008E5E2F">
        <w:rPr>
          <w:rFonts w:eastAsia="Times New Roman" w:cs="Times New Roman"/>
          <w:lang w:eastAsia="de-DE"/>
        </w:rPr>
        <w:t>, „es erhebt sich") zeigt durch die Hitpael-Form die reflexive Bedeutung „sich erheben".</w:t>
      </w:r>
    </w:p>
    <w:p w14:paraId="1831D7A0"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Die beiden parallelen Vergleiche (</w:t>
      </w:r>
      <w:r w:rsidRPr="008E5E2F">
        <w:rPr>
          <w:rFonts w:eastAsia="Times New Roman" w:cs="Times New Roman"/>
          <w:b/>
          <w:bCs/>
          <w:rtl/>
          <w:lang w:eastAsia="de-DE"/>
        </w:rPr>
        <w:t>לָבִיא</w:t>
      </w:r>
      <w:r w:rsidRPr="008E5E2F">
        <w:rPr>
          <w:rFonts w:eastAsia="Times New Roman" w:cs="Times New Roman"/>
          <w:rtl/>
          <w:lang w:eastAsia="de-DE"/>
        </w:rPr>
        <w:t xml:space="preserve"> </w:t>
      </w:r>
      <w:r w:rsidRPr="008E5E2F">
        <w:rPr>
          <w:rFonts w:eastAsia="Times New Roman" w:cs="Times New Roman"/>
          <w:lang w:eastAsia="de-DE"/>
        </w:rPr>
        <w:t xml:space="preserve">und </w:t>
      </w:r>
      <w:r w:rsidRPr="008E5E2F">
        <w:rPr>
          <w:rFonts w:eastAsia="Times New Roman" w:cs="Times New Roman"/>
          <w:b/>
          <w:bCs/>
          <w:rtl/>
          <w:lang w:eastAsia="de-DE"/>
        </w:rPr>
        <w:t>אֲרִי</w:t>
      </w:r>
      <w:r w:rsidRPr="008E5E2F">
        <w:rPr>
          <w:rFonts w:eastAsia="Times New Roman" w:cs="Times New Roman"/>
          <w:lang w:eastAsia="de-DE"/>
        </w:rPr>
        <w:t>) mit ihren zugehörigen Verben (</w:t>
      </w:r>
      <w:r w:rsidRPr="008E5E2F">
        <w:rPr>
          <w:rFonts w:eastAsia="Times New Roman" w:cs="Times New Roman"/>
          <w:b/>
          <w:bCs/>
          <w:rtl/>
          <w:lang w:eastAsia="de-DE"/>
        </w:rPr>
        <w:t>יָקוּם</w:t>
      </w:r>
      <w:r w:rsidRPr="008E5E2F">
        <w:rPr>
          <w:rFonts w:eastAsia="Times New Roman" w:cs="Times New Roman"/>
          <w:rtl/>
          <w:lang w:eastAsia="de-DE"/>
        </w:rPr>
        <w:t xml:space="preserve"> </w:t>
      </w:r>
      <w:r w:rsidRPr="008E5E2F">
        <w:rPr>
          <w:rFonts w:eastAsia="Times New Roman" w:cs="Times New Roman"/>
          <w:lang w:eastAsia="de-DE"/>
        </w:rPr>
        <w:t xml:space="preserve">und </w:t>
      </w:r>
      <w:r w:rsidRPr="008E5E2F">
        <w:rPr>
          <w:rFonts w:eastAsia="Times New Roman" w:cs="Times New Roman"/>
          <w:b/>
          <w:bCs/>
          <w:rtl/>
          <w:lang w:eastAsia="de-DE"/>
        </w:rPr>
        <w:t>יִתְנַשָּׂא</w:t>
      </w:r>
      <w:r w:rsidRPr="008E5E2F">
        <w:rPr>
          <w:rFonts w:eastAsia="Times New Roman" w:cs="Times New Roman"/>
          <w:lang w:eastAsia="de-DE"/>
        </w:rPr>
        <w:t>) verstärken das Bild durch synonymen Parallelismus.</w:t>
      </w:r>
    </w:p>
    <w:p w14:paraId="4B29E213"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lastRenderedPageBreak/>
        <w:t xml:space="preserve">Die Negation </w:t>
      </w:r>
      <w:r w:rsidRPr="008E5E2F">
        <w:rPr>
          <w:rFonts w:eastAsia="Times New Roman" w:cs="Times New Roman"/>
          <w:b/>
          <w:bCs/>
          <w:rtl/>
          <w:lang w:eastAsia="de-DE"/>
        </w:rPr>
        <w:t>לֹא</w:t>
      </w:r>
      <w:r w:rsidRPr="008E5E2F">
        <w:rPr>
          <w:rFonts w:eastAsia="Times New Roman" w:cs="Times New Roman"/>
          <w:rtl/>
          <w:lang w:eastAsia="de-DE"/>
        </w:rPr>
        <w:t xml:space="preserve"> </w:t>
      </w:r>
      <w:r w:rsidRPr="008E5E2F">
        <w:rPr>
          <w:rFonts w:eastAsia="Times New Roman" w:cs="Times New Roman"/>
          <w:lang w:eastAsia="de-DE"/>
        </w:rPr>
        <w:t xml:space="preserve">mit dem Imperfekt </w:t>
      </w:r>
      <w:r w:rsidRPr="008E5E2F">
        <w:rPr>
          <w:rFonts w:eastAsia="Times New Roman" w:cs="Times New Roman"/>
          <w:b/>
          <w:bCs/>
          <w:rtl/>
          <w:lang w:eastAsia="de-DE"/>
        </w:rPr>
        <w:t>יִשְׁכַּב</w:t>
      </w:r>
      <w:r w:rsidRPr="008E5E2F">
        <w:rPr>
          <w:rFonts w:eastAsia="Times New Roman" w:cs="Times New Roman"/>
          <w:rtl/>
          <w:lang w:eastAsia="de-DE"/>
        </w:rPr>
        <w:t xml:space="preserve"> </w:t>
      </w:r>
      <w:r w:rsidRPr="008E5E2F">
        <w:rPr>
          <w:rFonts w:eastAsia="Times New Roman" w:cs="Times New Roman"/>
          <w:lang w:eastAsia="de-DE"/>
        </w:rPr>
        <w:t xml:space="preserve">(Qal Imperfekt 3. m. Sg. von </w:t>
      </w:r>
      <w:r w:rsidRPr="008E5E2F">
        <w:rPr>
          <w:rFonts w:eastAsia="Times New Roman" w:cs="Times New Roman"/>
          <w:rtl/>
          <w:lang w:eastAsia="de-DE"/>
        </w:rPr>
        <w:t>שׁכב</w:t>
      </w:r>
      <w:r w:rsidRPr="008E5E2F">
        <w:rPr>
          <w:rFonts w:eastAsia="Times New Roman" w:cs="Times New Roman"/>
          <w:lang w:eastAsia="de-DE"/>
        </w:rPr>
        <w:t xml:space="preserve">, „es legt sich nieder") drückt aus, dass das Volk nicht ruht. Die temporale Präposition </w:t>
      </w:r>
      <w:r w:rsidRPr="008E5E2F">
        <w:rPr>
          <w:rFonts w:eastAsia="Times New Roman" w:cs="Times New Roman"/>
          <w:b/>
          <w:bCs/>
          <w:rtl/>
          <w:lang w:eastAsia="de-DE"/>
        </w:rPr>
        <w:t>עַד</w:t>
      </w:r>
      <w:r w:rsidRPr="008E5E2F">
        <w:rPr>
          <w:rFonts w:eastAsia="Times New Roman" w:cs="Times New Roman"/>
          <w:rtl/>
          <w:lang w:eastAsia="de-DE"/>
        </w:rPr>
        <w:t xml:space="preserve"> </w:t>
      </w:r>
      <w:r w:rsidRPr="008E5E2F">
        <w:rPr>
          <w:rFonts w:eastAsia="Times New Roman" w:cs="Times New Roman"/>
          <w:lang w:eastAsia="de-DE"/>
        </w:rPr>
        <w:t xml:space="preserve">(„bis") mit dem Infinitiv construct </w:t>
      </w:r>
      <w:r w:rsidRPr="008E5E2F">
        <w:rPr>
          <w:rFonts w:eastAsia="Times New Roman" w:cs="Times New Roman"/>
          <w:b/>
          <w:bCs/>
          <w:rtl/>
          <w:lang w:eastAsia="de-DE"/>
        </w:rPr>
        <w:t>יֹאכַל</w:t>
      </w:r>
      <w:r w:rsidRPr="008E5E2F">
        <w:rPr>
          <w:rFonts w:eastAsia="Times New Roman" w:cs="Times New Roman"/>
          <w:rtl/>
          <w:lang w:eastAsia="de-DE"/>
        </w:rPr>
        <w:t xml:space="preserve"> </w:t>
      </w:r>
      <w:r w:rsidRPr="008E5E2F">
        <w:rPr>
          <w:rFonts w:eastAsia="Times New Roman" w:cs="Times New Roman"/>
          <w:lang w:eastAsia="de-DE"/>
        </w:rPr>
        <w:t xml:space="preserve">(Qal Infinitiv construct von </w:t>
      </w:r>
      <w:r w:rsidRPr="008E5E2F">
        <w:rPr>
          <w:rFonts w:eastAsia="Times New Roman" w:cs="Times New Roman"/>
          <w:rtl/>
          <w:lang w:eastAsia="de-DE"/>
        </w:rPr>
        <w:t>אכל</w:t>
      </w:r>
      <w:r w:rsidRPr="008E5E2F">
        <w:rPr>
          <w:rFonts w:eastAsia="Times New Roman" w:cs="Times New Roman"/>
          <w:lang w:eastAsia="de-DE"/>
        </w:rPr>
        <w:t>, „fressen") zeigt die zeitliche Grenze.</w:t>
      </w:r>
    </w:p>
    <w:p w14:paraId="20D2E1A6" w14:textId="692166BF"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Das Objekt </w:t>
      </w:r>
      <w:r w:rsidRPr="008E5E2F">
        <w:rPr>
          <w:rFonts w:eastAsia="Times New Roman" w:cs="Times New Roman"/>
          <w:b/>
          <w:bCs/>
          <w:rtl/>
          <w:lang w:eastAsia="de-DE"/>
        </w:rPr>
        <w:t>טֶרֶף</w:t>
      </w:r>
      <w:r w:rsidRPr="008E5E2F">
        <w:rPr>
          <w:rFonts w:eastAsia="Times New Roman" w:cs="Times New Roman"/>
          <w:rtl/>
          <w:lang w:eastAsia="de-DE"/>
        </w:rPr>
        <w:t xml:space="preserve"> </w:t>
      </w:r>
      <w:r w:rsidRPr="008E5E2F">
        <w:rPr>
          <w:rFonts w:eastAsia="Times New Roman" w:cs="Times New Roman"/>
          <w:lang w:eastAsia="de-DE"/>
        </w:rPr>
        <w:t xml:space="preserve">(m. Sg., „Beute, Raub") bezeichnet die erjagte Beute. Die </w:t>
      </w:r>
      <w:r w:rsidR="00B513FF">
        <w:rPr>
          <w:rFonts w:eastAsia="Times New Roman" w:cs="Times New Roman"/>
          <w:lang w:eastAsia="de-DE"/>
        </w:rPr>
        <w:t xml:space="preserve">Constructus </w:t>
      </w:r>
      <w:r w:rsidRPr="008E5E2F">
        <w:rPr>
          <w:rFonts w:eastAsia="Times New Roman" w:cs="Times New Roman"/>
          <w:lang w:eastAsia="de-DE"/>
        </w:rPr>
        <w:t xml:space="preserve">verbindung </w:t>
      </w:r>
      <w:r w:rsidRPr="008E5E2F">
        <w:rPr>
          <w:rFonts w:eastAsia="Times New Roman" w:cs="Times New Roman"/>
          <w:b/>
          <w:bCs/>
          <w:rtl/>
          <w:lang w:eastAsia="de-DE"/>
        </w:rPr>
        <w:t>וְדַם־חֲלָלִים</w:t>
      </w:r>
      <w:r w:rsidRPr="008E5E2F">
        <w:rPr>
          <w:rFonts w:eastAsia="Times New Roman" w:cs="Times New Roman"/>
          <w:rtl/>
          <w:lang w:eastAsia="de-DE"/>
        </w:rPr>
        <w:t xml:space="preserve"> </w:t>
      </w:r>
      <w:r w:rsidRPr="008E5E2F">
        <w:rPr>
          <w:rFonts w:eastAsia="Times New Roman" w:cs="Times New Roman"/>
          <w:lang w:eastAsia="de-DE"/>
        </w:rPr>
        <w:t xml:space="preserve">(Kopula </w:t>
      </w:r>
      <w:r w:rsidRPr="008E5E2F">
        <w:rPr>
          <w:rFonts w:eastAsia="Times New Roman" w:cs="Times New Roman"/>
          <w:rtl/>
          <w:lang w:eastAsia="de-DE"/>
        </w:rPr>
        <w:t>וְ</w:t>
      </w:r>
      <w:r w:rsidRPr="008E5E2F">
        <w:rPr>
          <w:rFonts w:eastAsia="Times New Roman" w:cs="Times New Roman"/>
          <w:lang w:eastAsia="de-DE"/>
        </w:rPr>
        <w:t xml:space="preserve"> mit </w:t>
      </w:r>
      <w:r w:rsidRPr="008E5E2F">
        <w:rPr>
          <w:rFonts w:eastAsia="Times New Roman" w:cs="Times New Roman"/>
          <w:b/>
          <w:bCs/>
          <w:rtl/>
          <w:lang w:eastAsia="de-DE"/>
        </w:rPr>
        <w:t>דָּם</w:t>
      </w:r>
      <w:r w:rsidRPr="008E5E2F">
        <w:rPr>
          <w:rFonts w:eastAsia="Times New Roman" w:cs="Times New Roman"/>
          <w:lang w:eastAsia="de-DE"/>
        </w:rPr>
        <w:t xml:space="preserve">, „Blut", im </w:t>
      </w:r>
      <w:r w:rsidR="00F133EC">
        <w:rPr>
          <w:rFonts w:eastAsia="Times New Roman" w:cs="Times New Roman"/>
          <w:lang w:eastAsia="de-DE"/>
        </w:rPr>
        <w:t>Construct</w:t>
      </w:r>
      <w:r w:rsidRPr="008E5E2F">
        <w:rPr>
          <w:rFonts w:eastAsia="Times New Roman" w:cs="Times New Roman"/>
          <w:lang w:eastAsia="de-DE"/>
        </w:rPr>
        <w:t xml:space="preserve">zustand mit </w:t>
      </w:r>
      <w:r w:rsidRPr="008E5E2F">
        <w:rPr>
          <w:rFonts w:eastAsia="Times New Roman" w:cs="Times New Roman"/>
          <w:b/>
          <w:bCs/>
          <w:rtl/>
          <w:lang w:eastAsia="de-DE"/>
        </w:rPr>
        <w:t>חֲלָלִים</w:t>
      </w:r>
      <w:r w:rsidRPr="008E5E2F">
        <w:rPr>
          <w:rFonts w:eastAsia="Times New Roman" w:cs="Times New Roman"/>
          <w:lang w:eastAsia="de-DE"/>
        </w:rPr>
        <w:t xml:space="preserve">, Pl. von </w:t>
      </w:r>
      <w:r w:rsidRPr="008E5E2F">
        <w:rPr>
          <w:rFonts w:eastAsia="Times New Roman" w:cs="Times New Roman"/>
          <w:b/>
          <w:bCs/>
          <w:rtl/>
          <w:lang w:eastAsia="de-DE"/>
        </w:rPr>
        <w:t>חָלָל</w:t>
      </w:r>
      <w:r w:rsidRPr="008E5E2F">
        <w:rPr>
          <w:rFonts w:eastAsia="Times New Roman" w:cs="Times New Roman"/>
          <w:lang w:eastAsia="de-DE"/>
        </w:rPr>
        <w:t>, „Erschlagene, Gefallene") beschreibt das Blut der im Kampf Getöteten.</w:t>
      </w:r>
    </w:p>
    <w:p w14:paraId="5527629D"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Das Verb </w:t>
      </w:r>
      <w:r w:rsidRPr="008E5E2F">
        <w:rPr>
          <w:rFonts w:eastAsia="Times New Roman" w:cs="Times New Roman"/>
          <w:b/>
          <w:bCs/>
          <w:rtl/>
          <w:lang w:eastAsia="de-DE"/>
        </w:rPr>
        <w:t>יִשְׁתֶּה</w:t>
      </w:r>
      <w:r w:rsidRPr="008E5E2F">
        <w:rPr>
          <w:rFonts w:eastAsia="Times New Roman" w:cs="Times New Roman"/>
          <w:rtl/>
          <w:lang w:eastAsia="de-DE"/>
        </w:rPr>
        <w:t xml:space="preserve"> </w:t>
      </w:r>
      <w:r w:rsidRPr="008E5E2F">
        <w:rPr>
          <w:rFonts w:eastAsia="Times New Roman" w:cs="Times New Roman"/>
          <w:lang w:eastAsia="de-DE"/>
        </w:rPr>
        <w:t xml:space="preserve">(Qal Imperfekt 3. m. Sg. von </w:t>
      </w:r>
      <w:r w:rsidRPr="008E5E2F">
        <w:rPr>
          <w:rFonts w:eastAsia="Times New Roman" w:cs="Times New Roman"/>
          <w:rtl/>
          <w:lang w:eastAsia="de-DE"/>
        </w:rPr>
        <w:t>שׁתה</w:t>
      </w:r>
      <w:r w:rsidRPr="008E5E2F">
        <w:rPr>
          <w:rFonts w:eastAsia="Times New Roman" w:cs="Times New Roman"/>
          <w:lang w:eastAsia="de-DE"/>
        </w:rPr>
        <w:t>, „es trinkt") vervollständigt das kriegerische Bild des siegreichen Löwen.</w:t>
      </w:r>
    </w:p>
    <w:p w14:paraId="62FEFB8C" w14:textId="4B200D62"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Die LXX</w:t>
      </w:r>
      <w:r w:rsidRPr="008E5E2F">
        <w:rPr>
          <w:rFonts w:eastAsia="Times New Roman" w:cs="Times New Roman"/>
          <w:lang w:eastAsia="de-DE"/>
        </w:rPr>
        <w:t xml:space="preserve"> </w:t>
      </w:r>
      <w:r w:rsidR="00CD2614">
        <w:t>übersetzt „</w:t>
      </w:r>
      <w:r w:rsidR="00CD2614" w:rsidRPr="00CD2614">
        <w:rPr>
          <w:b/>
          <w:bCs/>
          <w:rtl/>
        </w:rPr>
        <w:t>כְּלָבִיא</w:t>
      </w:r>
      <w:r w:rsidR="00CD2614">
        <w:t>" (wie eine Löwin) mit „ὡς σκύμνος" (wie ein junger Löwe), was das Geschlecht ändert, und „</w:t>
      </w:r>
      <w:r w:rsidR="00CD2614" w:rsidRPr="00CD2614">
        <w:rPr>
          <w:b/>
          <w:bCs/>
          <w:rtl/>
        </w:rPr>
        <w:t>יִתְנַשָּׂא</w:t>
      </w:r>
      <w:r w:rsidR="00CD2614">
        <w:t>" (erhebt sich) wird zu „γαυριωθήσεται" (wird sich stolz erheben).</w:t>
      </w:r>
    </w:p>
    <w:p w14:paraId="6B0513E1"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Satzstruktur besteht aus einem einleitenden Nominalsatz </w:t>
      </w:r>
      <w:r w:rsidRPr="008E5E2F">
        <w:rPr>
          <w:rFonts w:eastAsia="Times New Roman" w:cs="Times New Roman"/>
          <w:b/>
          <w:bCs/>
          <w:rtl/>
          <w:lang w:eastAsia="de-DE"/>
        </w:rPr>
        <w:t>הֶן־עָם</w:t>
      </w:r>
      <w:r w:rsidRPr="008E5E2F">
        <w:rPr>
          <w:rFonts w:eastAsia="Times New Roman" w:cs="Times New Roman"/>
          <w:rtl/>
          <w:lang w:eastAsia="de-DE"/>
        </w:rPr>
        <w:t xml:space="preserve"> </w:t>
      </w:r>
      <w:r w:rsidRPr="008E5E2F">
        <w:rPr>
          <w:rFonts w:eastAsia="Times New Roman" w:cs="Times New Roman"/>
          <w:lang w:eastAsia="de-DE"/>
        </w:rPr>
        <w:t xml:space="preserve">mit zwei parallelen Vergleichssätzen. Der erste Vergleich </w:t>
      </w:r>
      <w:r w:rsidRPr="008E5E2F">
        <w:rPr>
          <w:rFonts w:eastAsia="Times New Roman" w:cs="Times New Roman"/>
          <w:b/>
          <w:bCs/>
          <w:rtl/>
          <w:lang w:eastAsia="de-DE"/>
        </w:rPr>
        <w:t>כְּלָבִיא יָקוּם</w:t>
      </w:r>
      <w:r w:rsidRPr="008E5E2F">
        <w:rPr>
          <w:rFonts w:eastAsia="Times New Roman" w:cs="Times New Roman"/>
          <w:rtl/>
          <w:lang w:eastAsia="de-DE"/>
        </w:rPr>
        <w:t xml:space="preserve"> </w:t>
      </w:r>
      <w:r w:rsidRPr="008E5E2F">
        <w:rPr>
          <w:rFonts w:eastAsia="Times New Roman" w:cs="Times New Roman"/>
          <w:lang w:eastAsia="de-DE"/>
        </w:rPr>
        <w:t xml:space="preserve">und der zweite </w:t>
      </w:r>
      <w:r w:rsidRPr="008E5E2F">
        <w:rPr>
          <w:rFonts w:eastAsia="Times New Roman" w:cs="Times New Roman"/>
          <w:b/>
          <w:bCs/>
          <w:rtl/>
          <w:lang w:eastAsia="de-DE"/>
        </w:rPr>
        <w:t>וְכַאֲרִי יִתְנַשָּׂא</w:t>
      </w:r>
      <w:r w:rsidRPr="008E5E2F">
        <w:rPr>
          <w:rFonts w:eastAsia="Times New Roman" w:cs="Times New Roman"/>
          <w:rtl/>
          <w:lang w:eastAsia="de-DE"/>
        </w:rPr>
        <w:t xml:space="preserve"> </w:t>
      </w:r>
      <w:r w:rsidRPr="008E5E2F">
        <w:rPr>
          <w:rFonts w:eastAsia="Times New Roman" w:cs="Times New Roman"/>
          <w:lang w:eastAsia="de-DE"/>
        </w:rPr>
        <w:t xml:space="preserve">sind koordinierte Verbalsätze mit dem impliziten Subjekt </w:t>
      </w:r>
      <w:r w:rsidRPr="008E5E2F">
        <w:rPr>
          <w:rFonts w:eastAsia="Times New Roman" w:cs="Times New Roman"/>
          <w:b/>
          <w:bCs/>
          <w:rtl/>
          <w:lang w:eastAsia="de-DE"/>
        </w:rPr>
        <w:t>עָם</w:t>
      </w:r>
      <w:r w:rsidRPr="008E5E2F">
        <w:rPr>
          <w:rFonts w:eastAsia="Times New Roman" w:cs="Times New Roman"/>
          <w:lang w:eastAsia="de-DE"/>
        </w:rPr>
        <w:t xml:space="preserve">. Der folgende Hauptsatz </w:t>
      </w:r>
      <w:r w:rsidRPr="008E5E2F">
        <w:rPr>
          <w:rFonts w:eastAsia="Times New Roman" w:cs="Times New Roman"/>
          <w:b/>
          <w:bCs/>
          <w:rtl/>
          <w:lang w:eastAsia="de-DE"/>
        </w:rPr>
        <w:t>לֹא יִשְׁכַּב</w:t>
      </w:r>
      <w:r w:rsidRPr="008E5E2F">
        <w:rPr>
          <w:rFonts w:eastAsia="Times New Roman" w:cs="Times New Roman"/>
          <w:rtl/>
          <w:lang w:eastAsia="de-DE"/>
        </w:rPr>
        <w:t xml:space="preserve"> </w:t>
      </w:r>
      <w:r w:rsidRPr="008E5E2F">
        <w:rPr>
          <w:rFonts w:eastAsia="Times New Roman" w:cs="Times New Roman"/>
          <w:lang w:eastAsia="de-DE"/>
        </w:rPr>
        <w:t xml:space="preserve">ist ein negierter Verbalsatz mit temporalem Nebensatz </w:t>
      </w:r>
      <w:r w:rsidRPr="008E5E2F">
        <w:rPr>
          <w:rFonts w:eastAsia="Times New Roman" w:cs="Times New Roman"/>
          <w:b/>
          <w:bCs/>
          <w:rtl/>
          <w:lang w:eastAsia="de-DE"/>
        </w:rPr>
        <w:t>עַד־יֹאכַל טֶרֶף</w:t>
      </w:r>
      <w:r w:rsidRPr="008E5E2F">
        <w:rPr>
          <w:rFonts w:eastAsia="Times New Roman" w:cs="Times New Roman"/>
          <w:lang w:eastAsia="de-DE"/>
        </w:rPr>
        <w:t xml:space="preserve">, gefolgt vom koordinierten Verbalsatz </w:t>
      </w:r>
      <w:r w:rsidRPr="008E5E2F">
        <w:rPr>
          <w:rFonts w:eastAsia="Times New Roman" w:cs="Times New Roman"/>
          <w:b/>
          <w:bCs/>
          <w:rtl/>
          <w:lang w:eastAsia="de-DE"/>
        </w:rPr>
        <w:t>וְדַם־חֲלָלִים יִשְׁתֶּה</w:t>
      </w:r>
      <w:r w:rsidRPr="008E5E2F">
        <w:rPr>
          <w:rFonts w:eastAsia="Times New Roman" w:cs="Times New Roman"/>
          <w:lang w:eastAsia="de-DE"/>
        </w:rPr>
        <w:t>.</w:t>
      </w:r>
    </w:p>
    <w:p w14:paraId="3CD89FC4" w14:textId="1ABB3FB7" w:rsid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Der Vers verwendet die kraftvolle Metapher des Löwen, um Israels militärische Überlegenheit und Unbesiegbarkeit zu beschreiben. Das Bild zeigt Israel als gefährlichen, unaufhaltsamen Kämpfer, der nicht ruht, bis er seine Feinde vollständig besiegt hat. Diese Weissagung muss für Balak besonders bedrohlich gewesen sein, da sie genau das Gegenteil dessen verkündet, was er durch den Fluch erreichen wollte. Statt Israel zu schwächen, verkündet Bileam dessen Stärke und Sieghaftigkeit.</w:t>
      </w:r>
    </w:p>
    <w:p w14:paraId="7C8E2CDE" w14:textId="77777777" w:rsidR="007B5DE0" w:rsidRDefault="007B5DE0" w:rsidP="007B5DE0">
      <w:pPr>
        <w:pStyle w:val="font-claude-response-body"/>
      </w:pPr>
      <w:r>
        <w:rPr>
          <w:rStyle w:val="Fett"/>
        </w:rPr>
        <w:t>Christologische Typologie:</w:t>
      </w:r>
    </w:p>
    <w:p w14:paraId="755C3DC7" w14:textId="77777777" w:rsidR="007B5DE0" w:rsidRDefault="007B5DE0" w:rsidP="00F329DD">
      <w:pPr>
        <w:pStyle w:val="whitespace-normal"/>
        <w:numPr>
          <w:ilvl w:val="0"/>
          <w:numId w:val="261"/>
        </w:numPr>
      </w:pPr>
      <w:r>
        <w:rPr>
          <w:rStyle w:val="Fett"/>
        </w:rPr>
        <w:t>Offenbarung 5,5:</w:t>
      </w:r>
      <w:r>
        <w:t xml:space="preserve"> "Der Löwe aus dem Stamm Juda hat überwunden" → Jesus als eschatologischer Löwe Israels</w:t>
      </w:r>
    </w:p>
    <w:p w14:paraId="1C880D73" w14:textId="71B0221D" w:rsidR="007B5DE0" w:rsidRPr="007B5DE0" w:rsidRDefault="007B5DE0" w:rsidP="00F329DD">
      <w:pPr>
        <w:pStyle w:val="whitespace-normal"/>
        <w:numPr>
          <w:ilvl w:val="0"/>
          <w:numId w:val="261"/>
        </w:numPr>
      </w:pPr>
      <w:r>
        <w:rPr>
          <w:rStyle w:val="Fett"/>
        </w:rPr>
        <w:t>Genesis 49,9:</w:t>
      </w:r>
      <w:r>
        <w:t xml:space="preserve"> "Ein junger Löwe ist Juda" → Messianische Linie</w:t>
      </w:r>
    </w:p>
    <w:p w14:paraId="5D75F3F3" w14:textId="77777777" w:rsidR="008E5E2F" w:rsidRPr="008E5E2F" w:rsidRDefault="008E5E2F" w:rsidP="008E5E2F">
      <w:pPr>
        <w:spacing w:before="100" w:beforeAutospacing="1" w:after="100" w:afterAutospacing="1" w:line="240" w:lineRule="auto"/>
        <w:outlineLvl w:val="0"/>
        <w:rPr>
          <w:rFonts w:eastAsia="Times New Roman" w:cs="Times New Roman"/>
          <w:b/>
          <w:bCs/>
          <w:kern w:val="36"/>
          <w:sz w:val="48"/>
          <w:szCs w:val="48"/>
          <w:lang w:eastAsia="de-DE"/>
        </w:rPr>
      </w:pPr>
      <w:r w:rsidRPr="008E5E2F">
        <w:rPr>
          <w:rFonts w:eastAsia="Times New Roman" w:cs="Times New Roman"/>
          <w:b/>
          <w:bCs/>
          <w:kern w:val="36"/>
          <w:sz w:val="48"/>
          <w:szCs w:val="48"/>
          <w:lang w:eastAsia="de-DE"/>
        </w:rPr>
        <w:t>Numeri 23,25</w:t>
      </w:r>
    </w:p>
    <w:p w14:paraId="111C91A3"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Hebräisch:</w:t>
      </w:r>
      <w:r w:rsidRPr="008E5E2F">
        <w:rPr>
          <w:rFonts w:eastAsia="Times New Roman" w:cs="Times New Roman"/>
          <w:lang w:eastAsia="de-DE"/>
        </w:rPr>
        <w:t xml:space="preserve"> </w:t>
      </w:r>
      <w:r w:rsidRPr="008E5E2F">
        <w:rPr>
          <w:rFonts w:eastAsia="Times New Roman" w:cs="Times New Roman"/>
          <w:rtl/>
          <w:lang w:eastAsia="de-DE"/>
        </w:rPr>
        <w:t>וַיֹּ֤אמֶר בָּלָק֙ אֶל־בִּלְעָ֔ם גַּם־קֹ֖ב לֹ֣א תִקֳּבֶ֑נּוּ גַּם־בָּרֵ֖ךְ לֹ֥א תְבָרֲכֶֽנּוּ׃</w:t>
      </w:r>
    </w:p>
    <w:p w14:paraId="100BE452"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Deutsch:</w:t>
      </w:r>
      <w:r w:rsidRPr="008E5E2F">
        <w:rPr>
          <w:rFonts w:eastAsia="Times New Roman" w:cs="Times New Roman"/>
          <w:lang w:eastAsia="de-DE"/>
        </w:rPr>
        <w:t xml:space="preserve"> Da sprach Balak zu Bilʿam: Du sollst es gar nicht verwünschen, und du sollst es gar nicht segnen!</w:t>
      </w:r>
    </w:p>
    <w:p w14:paraId="3342E9EB" w14:textId="77777777" w:rsidR="008E5E2F" w:rsidRPr="008E5E2F" w:rsidRDefault="00F329DD" w:rsidP="008E5E2F">
      <w:pPr>
        <w:spacing w:after="0" w:line="240" w:lineRule="auto"/>
        <w:rPr>
          <w:rFonts w:eastAsia="Times New Roman" w:cs="Times New Roman"/>
          <w:lang w:eastAsia="de-DE"/>
        </w:rPr>
      </w:pPr>
      <w:r>
        <w:rPr>
          <w:rFonts w:eastAsia="Times New Roman" w:cs="Times New Roman"/>
          <w:noProof/>
          <w:lang w:eastAsia="de-DE"/>
        </w:rPr>
        <w:pict w14:anchorId="041490BC">
          <v:rect id="_x0000_i1820" style="width:0;height:1.5pt" o:hralign="center" o:hrstd="t" o:hr="t" fillcolor="#a0a0a0" stroked="f"/>
        </w:pict>
      </w:r>
    </w:p>
    <w:p w14:paraId="2914A4D4"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Kommentar:</w:t>
      </w:r>
      <w:r w:rsidRPr="008E5E2F">
        <w:rPr>
          <w:rFonts w:eastAsia="Times New Roman" w:cs="Times New Roman"/>
          <w:lang w:eastAsia="de-DE"/>
        </w:rPr>
        <w:t xml:space="preserve"> Das Verb </w:t>
      </w:r>
      <w:r w:rsidRPr="008E5E2F">
        <w:rPr>
          <w:rFonts w:eastAsia="Times New Roman" w:cs="Times New Roman"/>
          <w:b/>
          <w:bCs/>
          <w:rtl/>
          <w:lang w:eastAsia="de-DE"/>
        </w:rPr>
        <w:t>וַיֹּאמֶר</w:t>
      </w:r>
      <w:r w:rsidRPr="008E5E2F">
        <w:rPr>
          <w:rFonts w:eastAsia="Times New Roman" w:cs="Times New Roman"/>
          <w:rtl/>
          <w:lang w:eastAsia="de-DE"/>
        </w:rPr>
        <w:t xml:space="preserve"> </w:t>
      </w:r>
      <w:r w:rsidRPr="008E5E2F">
        <w:rPr>
          <w:rFonts w:eastAsia="Times New Roman" w:cs="Times New Roman"/>
          <w:lang w:eastAsia="de-DE"/>
        </w:rPr>
        <w:t xml:space="preserve">(Wayyiqtol, 3. m. Sg. von </w:t>
      </w:r>
      <w:r w:rsidRPr="008E5E2F">
        <w:rPr>
          <w:rFonts w:eastAsia="Times New Roman" w:cs="Times New Roman"/>
          <w:rtl/>
          <w:lang w:eastAsia="de-DE"/>
        </w:rPr>
        <w:t>אמר</w:t>
      </w:r>
      <w:r w:rsidRPr="008E5E2F">
        <w:rPr>
          <w:rFonts w:eastAsia="Times New Roman" w:cs="Times New Roman"/>
          <w:lang w:eastAsia="de-DE"/>
        </w:rPr>
        <w:t xml:space="preserve">) leitet Balaks Reaktion ein. Das Subjekt </w:t>
      </w:r>
      <w:r w:rsidRPr="008E5E2F">
        <w:rPr>
          <w:rFonts w:eastAsia="Times New Roman" w:cs="Times New Roman"/>
          <w:b/>
          <w:bCs/>
          <w:rtl/>
          <w:lang w:eastAsia="de-DE"/>
        </w:rPr>
        <w:t>בָּלָק</w:t>
      </w:r>
      <w:r w:rsidRPr="008E5E2F">
        <w:rPr>
          <w:rFonts w:eastAsia="Times New Roman" w:cs="Times New Roman"/>
          <w:rtl/>
          <w:lang w:eastAsia="de-DE"/>
        </w:rPr>
        <w:t xml:space="preserve"> </w:t>
      </w:r>
      <w:r w:rsidRPr="008E5E2F">
        <w:rPr>
          <w:rFonts w:eastAsia="Times New Roman" w:cs="Times New Roman"/>
          <w:lang w:eastAsia="de-DE"/>
        </w:rPr>
        <w:t xml:space="preserve">wird explizit genannt. Die Präpositionalphrase </w:t>
      </w:r>
      <w:r w:rsidRPr="008E5E2F">
        <w:rPr>
          <w:rFonts w:eastAsia="Times New Roman" w:cs="Times New Roman"/>
          <w:b/>
          <w:bCs/>
          <w:rtl/>
          <w:lang w:eastAsia="de-DE"/>
        </w:rPr>
        <w:t>אֶל־בִּלְעָם</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אֶל</w:t>
      </w:r>
      <w:r w:rsidRPr="008E5E2F">
        <w:rPr>
          <w:rFonts w:eastAsia="Times New Roman" w:cs="Times New Roman"/>
          <w:lang w:eastAsia="de-DE"/>
        </w:rPr>
        <w:t xml:space="preserve"> mit dem Eigennamen </w:t>
      </w:r>
      <w:r w:rsidRPr="008E5E2F">
        <w:rPr>
          <w:rFonts w:eastAsia="Times New Roman" w:cs="Times New Roman"/>
          <w:b/>
          <w:bCs/>
          <w:rtl/>
          <w:lang w:eastAsia="de-DE"/>
        </w:rPr>
        <w:t>בִּלְעָם</w:t>
      </w:r>
      <w:r w:rsidRPr="008E5E2F">
        <w:rPr>
          <w:rFonts w:eastAsia="Times New Roman" w:cs="Times New Roman"/>
          <w:lang w:eastAsia="de-DE"/>
        </w:rPr>
        <w:t>) bezeichnet den Adressaten.</w:t>
      </w:r>
    </w:p>
    <w:p w14:paraId="1804254C"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emphatische Partikel </w:t>
      </w:r>
      <w:r w:rsidRPr="008E5E2F">
        <w:rPr>
          <w:rFonts w:eastAsia="Times New Roman" w:cs="Times New Roman"/>
          <w:b/>
          <w:bCs/>
          <w:rtl/>
          <w:lang w:eastAsia="de-DE"/>
        </w:rPr>
        <w:t>גַּם</w:t>
      </w:r>
      <w:r w:rsidRPr="008E5E2F">
        <w:rPr>
          <w:rFonts w:eastAsia="Times New Roman" w:cs="Times New Roman"/>
          <w:rtl/>
          <w:lang w:eastAsia="de-DE"/>
        </w:rPr>
        <w:t xml:space="preserve"> </w:t>
      </w:r>
      <w:r w:rsidRPr="008E5E2F">
        <w:rPr>
          <w:rFonts w:eastAsia="Times New Roman" w:cs="Times New Roman"/>
          <w:lang w:eastAsia="de-DE"/>
        </w:rPr>
        <w:t xml:space="preserve">(„auch, gar") verstärkt die Negation. Das Infinitiv Absolutum </w:t>
      </w:r>
      <w:r w:rsidRPr="008E5E2F">
        <w:rPr>
          <w:rFonts w:eastAsia="Times New Roman" w:cs="Times New Roman"/>
          <w:b/>
          <w:bCs/>
          <w:rtl/>
          <w:lang w:eastAsia="de-DE"/>
        </w:rPr>
        <w:t>קֹב</w:t>
      </w:r>
      <w:r w:rsidRPr="008E5E2F">
        <w:rPr>
          <w:rFonts w:eastAsia="Times New Roman" w:cs="Times New Roman"/>
          <w:rtl/>
          <w:lang w:eastAsia="de-DE"/>
        </w:rPr>
        <w:t xml:space="preserve"> </w:t>
      </w:r>
      <w:r w:rsidRPr="008E5E2F">
        <w:rPr>
          <w:rFonts w:eastAsia="Times New Roman" w:cs="Times New Roman"/>
          <w:lang w:eastAsia="de-DE"/>
        </w:rPr>
        <w:t xml:space="preserve">(Qal Infinitiv Absolutum von </w:t>
      </w:r>
      <w:r w:rsidRPr="008E5E2F">
        <w:rPr>
          <w:rFonts w:eastAsia="Times New Roman" w:cs="Times New Roman"/>
          <w:rtl/>
          <w:lang w:eastAsia="de-DE"/>
        </w:rPr>
        <w:t>קבב</w:t>
      </w:r>
      <w:r w:rsidRPr="008E5E2F">
        <w:rPr>
          <w:rFonts w:eastAsia="Times New Roman" w:cs="Times New Roman"/>
          <w:lang w:eastAsia="de-DE"/>
        </w:rPr>
        <w:t xml:space="preserve">, „verfluchen") steht vor dem finiten Verb zur Verstärkung. </w:t>
      </w:r>
      <w:r w:rsidRPr="008E5E2F">
        <w:rPr>
          <w:rFonts w:eastAsia="Times New Roman" w:cs="Times New Roman"/>
          <w:lang w:eastAsia="de-DE"/>
        </w:rPr>
        <w:lastRenderedPageBreak/>
        <w:t xml:space="preserve">Die Negation </w:t>
      </w:r>
      <w:r w:rsidRPr="008E5E2F">
        <w:rPr>
          <w:rFonts w:eastAsia="Times New Roman" w:cs="Times New Roman"/>
          <w:b/>
          <w:bCs/>
          <w:rtl/>
          <w:lang w:eastAsia="de-DE"/>
        </w:rPr>
        <w:t>לֹא</w:t>
      </w:r>
      <w:r w:rsidRPr="008E5E2F">
        <w:rPr>
          <w:rFonts w:eastAsia="Times New Roman" w:cs="Times New Roman"/>
          <w:rtl/>
          <w:lang w:eastAsia="de-DE"/>
        </w:rPr>
        <w:t xml:space="preserve"> </w:t>
      </w:r>
      <w:r w:rsidRPr="008E5E2F">
        <w:rPr>
          <w:rFonts w:eastAsia="Times New Roman" w:cs="Times New Roman"/>
          <w:lang w:eastAsia="de-DE"/>
        </w:rPr>
        <w:t xml:space="preserve">mit dem Imperfekt </w:t>
      </w:r>
      <w:r w:rsidRPr="008E5E2F">
        <w:rPr>
          <w:rFonts w:eastAsia="Times New Roman" w:cs="Times New Roman"/>
          <w:b/>
          <w:bCs/>
          <w:rtl/>
          <w:lang w:eastAsia="de-DE"/>
        </w:rPr>
        <w:t>תִקֳּבֶנּוּ</w:t>
      </w:r>
      <w:r w:rsidRPr="008E5E2F">
        <w:rPr>
          <w:rFonts w:eastAsia="Times New Roman" w:cs="Times New Roman"/>
          <w:rtl/>
          <w:lang w:eastAsia="de-DE"/>
        </w:rPr>
        <w:t xml:space="preserve"> </w:t>
      </w:r>
      <w:r w:rsidRPr="008E5E2F">
        <w:rPr>
          <w:rFonts w:eastAsia="Times New Roman" w:cs="Times New Roman"/>
          <w:lang w:eastAsia="de-DE"/>
        </w:rPr>
        <w:t xml:space="preserve">(Qal Imperfekt 2. m. Sg. von </w:t>
      </w:r>
      <w:r w:rsidRPr="008E5E2F">
        <w:rPr>
          <w:rFonts w:eastAsia="Times New Roman" w:cs="Times New Roman"/>
          <w:rtl/>
          <w:lang w:eastAsia="de-DE"/>
        </w:rPr>
        <w:t>קבב</w:t>
      </w:r>
      <w:r w:rsidRPr="008E5E2F">
        <w:rPr>
          <w:rFonts w:eastAsia="Times New Roman" w:cs="Times New Roman"/>
          <w:lang w:eastAsia="de-DE"/>
        </w:rPr>
        <w:t xml:space="preserve"> mit Objektsuffix 3. m. Sg., „du sollst es verfluchen") drückt das Verbot aus.</w:t>
      </w:r>
    </w:p>
    <w:p w14:paraId="721784A3" w14:textId="70A8F676"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w:t>
      </w:r>
      <w:r w:rsidR="00F133EC">
        <w:rPr>
          <w:rFonts w:eastAsia="Times New Roman" w:cs="Times New Roman"/>
          <w:lang w:eastAsia="de-DE"/>
        </w:rPr>
        <w:t>Construct</w:t>
      </w:r>
      <w:r w:rsidRPr="008E5E2F">
        <w:rPr>
          <w:rFonts w:eastAsia="Times New Roman" w:cs="Times New Roman"/>
          <w:lang w:eastAsia="de-DE"/>
        </w:rPr>
        <w:t xml:space="preserve">ion Infinitiv Absolutum + finites Verb ist eine typisch hebräische Verstärkung, die hier die kategorische Ablehnung ausdrückt. Das Suffix </w:t>
      </w:r>
      <w:r w:rsidRPr="008E5E2F">
        <w:rPr>
          <w:rFonts w:eastAsia="Times New Roman" w:cs="Times New Roman"/>
          <w:b/>
          <w:bCs/>
          <w:rtl/>
          <w:lang w:eastAsia="de-DE"/>
        </w:rPr>
        <w:t>נּוּ</w:t>
      </w:r>
      <w:r w:rsidRPr="008E5E2F">
        <w:rPr>
          <w:rFonts w:eastAsia="Times New Roman" w:cs="Times New Roman"/>
          <w:rtl/>
          <w:lang w:eastAsia="de-DE"/>
        </w:rPr>
        <w:t xml:space="preserve"> </w:t>
      </w:r>
      <w:r w:rsidRPr="008E5E2F">
        <w:rPr>
          <w:rFonts w:eastAsia="Times New Roman" w:cs="Times New Roman"/>
          <w:lang w:eastAsia="de-DE"/>
        </w:rPr>
        <w:t>(3. m. Sg.) bezieht sich auf Israel.</w:t>
      </w:r>
    </w:p>
    <w:p w14:paraId="0B484B9E" w14:textId="3D76944E"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parallele Struktur </w:t>
      </w:r>
      <w:r w:rsidRPr="008E5E2F">
        <w:rPr>
          <w:rFonts w:eastAsia="Times New Roman" w:cs="Times New Roman"/>
          <w:b/>
          <w:bCs/>
          <w:rtl/>
          <w:lang w:eastAsia="de-DE"/>
        </w:rPr>
        <w:t>גַּם־בָּרֵךְ לֹא תְבָרֲכֶנּוּ</w:t>
      </w:r>
      <w:r w:rsidRPr="008E5E2F">
        <w:rPr>
          <w:rFonts w:eastAsia="Times New Roman" w:cs="Times New Roman"/>
          <w:rtl/>
          <w:lang w:eastAsia="de-DE"/>
        </w:rPr>
        <w:t xml:space="preserve"> </w:t>
      </w:r>
      <w:r w:rsidRPr="008E5E2F">
        <w:rPr>
          <w:rFonts w:eastAsia="Times New Roman" w:cs="Times New Roman"/>
          <w:lang w:eastAsia="de-DE"/>
        </w:rPr>
        <w:t xml:space="preserve">wiederholt die gleiche grammatische </w:t>
      </w:r>
      <w:r w:rsidR="00F133EC">
        <w:rPr>
          <w:rFonts w:eastAsia="Times New Roman" w:cs="Times New Roman"/>
          <w:lang w:eastAsia="de-DE"/>
        </w:rPr>
        <w:t>Construct</w:t>
      </w:r>
      <w:r w:rsidRPr="008E5E2F">
        <w:rPr>
          <w:rFonts w:eastAsia="Times New Roman" w:cs="Times New Roman"/>
          <w:lang w:eastAsia="de-DE"/>
        </w:rPr>
        <w:t xml:space="preserve">ion. Der Infinitiv Absolutum </w:t>
      </w:r>
      <w:r w:rsidRPr="008E5E2F">
        <w:rPr>
          <w:rFonts w:eastAsia="Times New Roman" w:cs="Times New Roman"/>
          <w:b/>
          <w:bCs/>
          <w:rtl/>
          <w:lang w:eastAsia="de-DE"/>
        </w:rPr>
        <w:t>בָּרֵךְ</w:t>
      </w:r>
      <w:r w:rsidRPr="008E5E2F">
        <w:rPr>
          <w:rFonts w:eastAsia="Times New Roman" w:cs="Times New Roman"/>
          <w:rtl/>
          <w:lang w:eastAsia="de-DE"/>
        </w:rPr>
        <w:t xml:space="preserve"> </w:t>
      </w:r>
      <w:r w:rsidRPr="008E5E2F">
        <w:rPr>
          <w:rFonts w:eastAsia="Times New Roman" w:cs="Times New Roman"/>
          <w:lang w:eastAsia="de-DE"/>
        </w:rPr>
        <w:t xml:space="preserve">(Piel Infinitiv Absolutum von </w:t>
      </w:r>
      <w:r w:rsidRPr="008E5E2F">
        <w:rPr>
          <w:rFonts w:eastAsia="Times New Roman" w:cs="Times New Roman"/>
          <w:rtl/>
          <w:lang w:eastAsia="de-DE"/>
        </w:rPr>
        <w:t>ברך</w:t>
      </w:r>
      <w:r w:rsidRPr="008E5E2F">
        <w:rPr>
          <w:rFonts w:eastAsia="Times New Roman" w:cs="Times New Roman"/>
          <w:lang w:eastAsia="de-DE"/>
        </w:rPr>
        <w:t xml:space="preserve">, „segnen") steht vor dem finiten Verb </w:t>
      </w:r>
      <w:r w:rsidRPr="008E5E2F">
        <w:rPr>
          <w:rFonts w:eastAsia="Times New Roman" w:cs="Times New Roman"/>
          <w:b/>
          <w:bCs/>
          <w:rtl/>
          <w:lang w:eastAsia="de-DE"/>
        </w:rPr>
        <w:t>תְבָרֲכֶנּוּ</w:t>
      </w:r>
      <w:r w:rsidRPr="008E5E2F">
        <w:rPr>
          <w:rFonts w:eastAsia="Times New Roman" w:cs="Times New Roman"/>
          <w:rtl/>
          <w:lang w:eastAsia="de-DE"/>
        </w:rPr>
        <w:t xml:space="preserve"> </w:t>
      </w:r>
      <w:r w:rsidRPr="008E5E2F">
        <w:rPr>
          <w:rFonts w:eastAsia="Times New Roman" w:cs="Times New Roman"/>
          <w:lang w:eastAsia="de-DE"/>
        </w:rPr>
        <w:t xml:space="preserve">(Piel Imperfekt 2. m. Sg. von </w:t>
      </w:r>
      <w:r w:rsidRPr="008E5E2F">
        <w:rPr>
          <w:rFonts w:eastAsia="Times New Roman" w:cs="Times New Roman"/>
          <w:rtl/>
          <w:lang w:eastAsia="de-DE"/>
        </w:rPr>
        <w:t>ברך</w:t>
      </w:r>
      <w:r w:rsidRPr="008E5E2F">
        <w:rPr>
          <w:rFonts w:eastAsia="Times New Roman" w:cs="Times New Roman"/>
          <w:lang w:eastAsia="de-DE"/>
        </w:rPr>
        <w:t xml:space="preserve"> mit Objektsuffix 3. m. Sg., „du sollst es segnen").</w:t>
      </w:r>
    </w:p>
    <w:p w14:paraId="6F899D2D"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Piel-Form intensiviert die Bedeutung des Segnens. Die Negation </w:t>
      </w:r>
      <w:r w:rsidRPr="008E5E2F">
        <w:rPr>
          <w:rFonts w:eastAsia="Times New Roman" w:cs="Times New Roman"/>
          <w:b/>
          <w:bCs/>
          <w:rtl/>
          <w:lang w:eastAsia="de-DE"/>
        </w:rPr>
        <w:t>לֹא</w:t>
      </w:r>
      <w:r w:rsidRPr="008E5E2F">
        <w:rPr>
          <w:rFonts w:eastAsia="Times New Roman" w:cs="Times New Roman"/>
          <w:rtl/>
          <w:lang w:eastAsia="de-DE"/>
        </w:rPr>
        <w:t xml:space="preserve"> </w:t>
      </w:r>
      <w:r w:rsidRPr="008E5E2F">
        <w:rPr>
          <w:rFonts w:eastAsia="Times New Roman" w:cs="Times New Roman"/>
          <w:lang w:eastAsia="de-DE"/>
        </w:rPr>
        <w:t>verbietet auch den Segen. Balaks Frustration zeigt sich in dieser paradoxen Forderung: Wenn Bileam Israel nicht verfluchen kann, soll er es wenigstens auch nicht segnen.</w:t>
      </w:r>
    </w:p>
    <w:p w14:paraId="0D5FAAB5" w14:textId="528432C0"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Die LXX</w:t>
      </w:r>
      <w:r w:rsidRPr="008E5E2F">
        <w:rPr>
          <w:rFonts w:eastAsia="Times New Roman" w:cs="Times New Roman"/>
          <w:lang w:eastAsia="de-DE"/>
        </w:rPr>
        <w:t xml:space="preserve"> übersetzt </w:t>
      </w:r>
      <w:r w:rsidRPr="008E5E2F">
        <w:rPr>
          <w:rFonts w:eastAsia="Times New Roman" w:cs="Times New Roman"/>
          <w:b/>
          <w:bCs/>
          <w:rtl/>
          <w:lang w:eastAsia="de-DE"/>
        </w:rPr>
        <w:t>גַּם־קֹב לֹא תִקֳּבֶנּוּ</w:t>
      </w:r>
      <w:r w:rsidRPr="008E5E2F">
        <w:rPr>
          <w:rFonts w:eastAsia="Times New Roman" w:cs="Times New Roman"/>
          <w:rtl/>
          <w:lang w:eastAsia="de-DE"/>
        </w:rPr>
        <w:t xml:space="preserve"> </w:t>
      </w:r>
      <w:r w:rsidRPr="008E5E2F">
        <w:rPr>
          <w:rFonts w:eastAsia="Times New Roman" w:cs="Times New Roman"/>
          <w:lang w:eastAsia="de-DE"/>
        </w:rPr>
        <w:t xml:space="preserve">mit ἀλλὰ καταρώμενος οὐ καταράσῃ αὐτόν (alla katarōmenos ou katarāsē auton, „sondern verfluchend sollst du ihn nicht verfluchen"). Die LXX gibt </w:t>
      </w:r>
      <w:r w:rsidRPr="008E5E2F">
        <w:rPr>
          <w:rFonts w:eastAsia="Times New Roman" w:cs="Times New Roman"/>
          <w:b/>
          <w:bCs/>
          <w:rtl/>
          <w:lang w:eastAsia="de-DE"/>
        </w:rPr>
        <w:t>גַּם־בָּרֵךְ לֹא תְבָרֲכֶנּוּ</w:t>
      </w:r>
      <w:r w:rsidRPr="008E5E2F">
        <w:rPr>
          <w:rFonts w:eastAsia="Times New Roman" w:cs="Times New Roman"/>
          <w:rtl/>
          <w:lang w:eastAsia="de-DE"/>
        </w:rPr>
        <w:t xml:space="preserve"> </w:t>
      </w:r>
      <w:r w:rsidRPr="008E5E2F">
        <w:rPr>
          <w:rFonts w:eastAsia="Times New Roman" w:cs="Times New Roman"/>
          <w:lang w:eastAsia="de-DE"/>
        </w:rPr>
        <w:t xml:space="preserve">mit καὶ εὐλογῶν οὐκ εὐλογήσεις αὐτόν (kai eulogōn ouk eulogēseis auton, „und segnend sollst du ihn nicht segnen") wieder. Die LXX behält die </w:t>
      </w:r>
      <w:r w:rsidR="00F133EC">
        <w:rPr>
          <w:rFonts w:eastAsia="Times New Roman" w:cs="Times New Roman"/>
          <w:lang w:eastAsia="de-DE"/>
        </w:rPr>
        <w:t>Construct</w:t>
      </w:r>
      <w:r w:rsidRPr="008E5E2F">
        <w:rPr>
          <w:rFonts w:eastAsia="Times New Roman" w:cs="Times New Roman"/>
          <w:lang w:eastAsia="de-DE"/>
        </w:rPr>
        <w:t>ion Partizip + finites Verb bei, um die Verstärkung auszudrücken.</w:t>
      </w:r>
    </w:p>
    <w:p w14:paraId="2A248FD6"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Satzstruktur besteht aus zwei parallelen Hauptsätzen, die durch </w:t>
      </w:r>
      <w:r w:rsidRPr="008E5E2F">
        <w:rPr>
          <w:rFonts w:eastAsia="Times New Roman" w:cs="Times New Roman"/>
          <w:b/>
          <w:bCs/>
          <w:rtl/>
          <w:lang w:eastAsia="de-DE"/>
        </w:rPr>
        <w:t>גַּם</w:t>
      </w:r>
      <w:r w:rsidRPr="008E5E2F">
        <w:rPr>
          <w:rFonts w:eastAsia="Times New Roman" w:cs="Times New Roman"/>
          <w:rtl/>
          <w:lang w:eastAsia="de-DE"/>
        </w:rPr>
        <w:t xml:space="preserve"> </w:t>
      </w:r>
      <w:r w:rsidRPr="008E5E2F">
        <w:rPr>
          <w:rFonts w:eastAsia="Times New Roman" w:cs="Times New Roman"/>
          <w:lang w:eastAsia="de-DE"/>
        </w:rPr>
        <w:t xml:space="preserve">koordiniert sind. Jeder Satz hat die Struktur: Partikel </w:t>
      </w:r>
      <w:r w:rsidRPr="008E5E2F">
        <w:rPr>
          <w:rFonts w:eastAsia="Times New Roman" w:cs="Times New Roman"/>
          <w:b/>
          <w:bCs/>
          <w:rtl/>
          <w:lang w:eastAsia="de-DE"/>
        </w:rPr>
        <w:t>גַּם</w:t>
      </w:r>
      <w:r w:rsidRPr="008E5E2F">
        <w:rPr>
          <w:rFonts w:eastAsia="Times New Roman" w:cs="Times New Roman"/>
          <w:rtl/>
          <w:lang w:eastAsia="de-DE"/>
        </w:rPr>
        <w:t xml:space="preserve"> </w:t>
      </w:r>
      <w:r w:rsidRPr="008E5E2F">
        <w:rPr>
          <w:rFonts w:eastAsia="Times New Roman" w:cs="Times New Roman"/>
          <w:lang w:eastAsia="de-DE"/>
        </w:rPr>
        <w:t xml:space="preserve">+ Infinitiv Absolutum + Negation </w:t>
      </w:r>
      <w:r w:rsidRPr="008E5E2F">
        <w:rPr>
          <w:rFonts w:eastAsia="Times New Roman" w:cs="Times New Roman"/>
          <w:b/>
          <w:bCs/>
          <w:rtl/>
          <w:lang w:eastAsia="de-DE"/>
        </w:rPr>
        <w:t>לֹא</w:t>
      </w:r>
      <w:r w:rsidRPr="008E5E2F">
        <w:rPr>
          <w:rFonts w:eastAsia="Times New Roman" w:cs="Times New Roman"/>
          <w:rtl/>
          <w:lang w:eastAsia="de-DE"/>
        </w:rPr>
        <w:t xml:space="preserve"> </w:t>
      </w:r>
      <w:r w:rsidRPr="008E5E2F">
        <w:rPr>
          <w:rFonts w:eastAsia="Times New Roman" w:cs="Times New Roman"/>
          <w:lang w:eastAsia="de-DE"/>
        </w:rPr>
        <w:t xml:space="preserve">+ Imperfekt mit Objektsuffix. Die beiden Sätze bilden einen antithetischen Parallelismus: </w:t>
      </w:r>
      <w:r w:rsidRPr="008E5E2F">
        <w:rPr>
          <w:rFonts w:eastAsia="Times New Roman" w:cs="Times New Roman"/>
          <w:b/>
          <w:bCs/>
          <w:rtl/>
          <w:lang w:eastAsia="de-DE"/>
        </w:rPr>
        <w:t>קֹב</w:t>
      </w:r>
      <w:r w:rsidRPr="008E5E2F">
        <w:rPr>
          <w:rFonts w:eastAsia="Times New Roman" w:cs="Times New Roman"/>
          <w:rtl/>
          <w:lang w:eastAsia="de-DE"/>
        </w:rPr>
        <w:t xml:space="preserve"> </w:t>
      </w:r>
      <w:r w:rsidRPr="008E5E2F">
        <w:rPr>
          <w:rFonts w:eastAsia="Times New Roman" w:cs="Times New Roman"/>
          <w:lang w:eastAsia="de-DE"/>
        </w:rPr>
        <w:t xml:space="preserve">gegenüber </w:t>
      </w:r>
      <w:r w:rsidRPr="008E5E2F">
        <w:rPr>
          <w:rFonts w:eastAsia="Times New Roman" w:cs="Times New Roman"/>
          <w:b/>
          <w:bCs/>
          <w:rtl/>
          <w:lang w:eastAsia="de-DE"/>
        </w:rPr>
        <w:t>בָּרֵךְ</w:t>
      </w:r>
      <w:r w:rsidRPr="008E5E2F">
        <w:rPr>
          <w:rFonts w:eastAsia="Times New Roman" w:cs="Times New Roman"/>
          <w:lang w:eastAsia="de-DE"/>
        </w:rPr>
        <w:t>, Fluch gegenüber Segen.</w:t>
      </w:r>
    </w:p>
    <w:p w14:paraId="57AED36A"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Der Vers zeigt Balaks wachsende Verzweiflung und Frustration. Er hatte Bileam engagiert, um Israel zu verfluchen, doch stattdessen hat Bileam Israel bereits zweimal gesegnet. In seiner Verärgerung fordert Balak nun, dass Bileam weder fluchen noch segnen soll – als ob Schweigen besser wäre als weitere Segensworte. Diese Forderung zeigt Balaks Unverständnis für die prophetische Berufung: Ein Prophet kann nicht einfach schweigen, wenn Gott durch ihn sprechen will. Balaks Versuch, die göttliche Botschaft zu kontrollieren oder zu unterdrücken, ist zum Scheitern verurteilt.</w:t>
      </w:r>
    </w:p>
    <w:p w14:paraId="68F17F11" w14:textId="77777777" w:rsidR="008E5E2F" w:rsidRPr="008E5E2F" w:rsidRDefault="008E5E2F" w:rsidP="008E5E2F">
      <w:pPr>
        <w:spacing w:before="100" w:beforeAutospacing="1" w:after="100" w:afterAutospacing="1" w:line="240" w:lineRule="auto"/>
        <w:outlineLvl w:val="0"/>
        <w:rPr>
          <w:rFonts w:eastAsia="Times New Roman" w:cs="Times New Roman"/>
          <w:b/>
          <w:bCs/>
          <w:kern w:val="36"/>
          <w:sz w:val="48"/>
          <w:szCs w:val="48"/>
          <w:lang w:eastAsia="de-DE"/>
        </w:rPr>
      </w:pPr>
      <w:r w:rsidRPr="008E5E2F">
        <w:rPr>
          <w:rFonts w:eastAsia="Times New Roman" w:cs="Times New Roman"/>
          <w:b/>
          <w:bCs/>
          <w:kern w:val="36"/>
          <w:sz w:val="48"/>
          <w:szCs w:val="48"/>
          <w:lang w:eastAsia="de-DE"/>
        </w:rPr>
        <w:t>Numeri 23,26</w:t>
      </w:r>
    </w:p>
    <w:p w14:paraId="13A4AF28"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Hebräisch:</w:t>
      </w:r>
      <w:r w:rsidRPr="008E5E2F">
        <w:rPr>
          <w:rFonts w:eastAsia="Times New Roman" w:cs="Times New Roman"/>
          <w:lang w:eastAsia="de-DE"/>
        </w:rPr>
        <w:t xml:space="preserve"> </w:t>
      </w:r>
      <w:r w:rsidRPr="008E5E2F">
        <w:rPr>
          <w:rFonts w:eastAsia="Times New Roman" w:cs="Times New Roman"/>
          <w:rtl/>
          <w:lang w:eastAsia="de-DE"/>
        </w:rPr>
        <w:t>וַיַּ֣עַן בִּלְעָ֔ם וַיֹּ֖אמֶר אֶל־בָּלָ֑ק הֲלֹ֗א דִּבַּ֤רְתִּי אֵלֶ֙יךָ֙ לֵאמֹ֔ר כֹּ֛ל אֲשֶׁר־יְדַבֵּ֥ר יְהוָ֖ה אֹתוֹ֥ אֶֽעֱשֶֽׂה׃</w:t>
      </w:r>
    </w:p>
    <w:p w14:paraId="2FE04E4D"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Deutsch:</w:t>
      </w:r>
      <w:r w:rsidRPr="008E5E2F">
        <w:rPr>
          <w:rFonts w:eastAsia="Times New Roman" w:cs="Times New Roman"/>
          <w:lang w:eastAsia="de-DE"/>
        </w:rPr>
        <w:t xml:space="preserve"> Und Bilʿam antwortete und sprach zu Balak: „Habe ich nicht zu dir geredet, sagend: Alles, was der Ewige reden wird, das werde ich tun?"</w:t>
      </w:r>
    </w:p>
    <w:p w14:paraId="4B289F5D" w14:textId="77777777" w:rsidR="008E5E2F" w:rsidRPr="008E5E2F" w:rsidRDefault="00F329DD" w:rsidP="008E5E2F">
      <w:pPr>
        <w:spacing w:after="0" w:line="240" w:lineRule="auto"/>
        <w:rPr>
          <w:rFonts w:eastAsia="Times New Roman" w:cs="Times New Roman"/>
          <w:lang w:eastAsia="de-DE"/>
        </w:rPr>
      </w:pPr>
      <w:r>
        <w:rPr>
          <w:rFonts w:eastAsia="Times New Roman" w:cs="Times New Roman"/>
          <w:noProof/>
          <w:lang w:eastAsia="de-DE"/>
        </w:rPr>
        <w:pict w14:anchorId="24012A9B">
          <v:rect id="_x0000_i1821" style="width:0;height:1.5pt" o:hralign="center" o:hrstd="t" o:hr="t" fillcolor="#a0a0a0" stroked="f"/>
        </w:pict>
      </w:r>
    </w:p>
    <w:p w14:paraId="70767FE2"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Kommentar:</w:t>
      </w:r>
      <w:r w:rsidRPr="008E5E2F">
        <w:rPr>
          <w:rFonts w:eastAsia="Times New Roman" w:cs="Times New Roman"/>
          <w:lang w:eastAsia="de-DE"/>
        </w:rPr>
        <w:t xml:space="preserve"> Das Verb </w:t>
      </w:r>
      <w:r w:rsidRPr="008E5E2F">
        <w:rPr>
          <w:rFonts w:eastAsia="Times New Roman" w:cs="Times New Roman"/>
          <w:b/>
          <w:bCs/>
          <w:rtl/>
          <w:lang w:eastAsia="de-DE"/>
        </w:rPr>
        <w:t>וַיַּעַן</w:t>
      </w:r>
      <w:r w:rsidRPr="008E5E2F">
        <w:rPr>
          <w:rFonts w:eastAsia="Times New Roman" w:cs="Times New Roman"/>
          <w:rtl/>
          <w:lang w:eastAsia="de-DE"/>
        </w:rPr>
        <w:t xml:space="preserve"> </w:t>
      </w:r>
      <w:r w:rsidRPr="008E5E2F">
        <w:rPr>
          <w:rFonts w:eastAsia="Times New Roman" w:cs="Times New Roman"/>
          <w:lang w:eastAsia="de-DE"/>
        </w:rPr>
        <w:t xml:space="preserve">(Wayyiqtol, 3. m. Sg. von </w:t>
      </w:r>
      <w:r w:rsidRPr="008E5E2F">
        <w:rPr>
          <w:rFonts w:eastAsia="Times New Roman" w:cs="Times New Roman"/>
          <w:rtl/>
          <w:lang w:eastAsia="de-DE"/>
        </w:rPr>
        <w:t>ענה</w:t>
      </w:r>
      <w:r w:rsidRPr="008E5E2F">
        <w:rPr>
          <w:rFonts w:eastAsia="Times New Roman" w:cs="Times New Roman"/>
          <w:lang w:eastAsia="de-DE"/>
        </w:rPr>
        <w:t xml:space="preserve">, „und er antwortete") leitet Bileams Antwort ein. Das Subjekt </w:t>
      </w:r>
      <w:r w:rsidRPr="008E5E2F">
        <w:rPr>
          <w:rFonts w:eastAsia="Times New Roman" w:cs="Times New Roman"/>
          <w:b/>
          <w:bCs/>
          <w:rtl/>
          <w:lang w:eastAsia="de-DE"/>
        </w:rPr>
        <w:t>בִּלְעָם</w:t>
      </w:r>
      <w:r w:rsidRPr="008E5E2F">
        <w:rPr>
          <w:rFonts w:eastAsia="Times New Roman" w:cs="Times New Roman"/>
          <w:rtl/>
          <w:lang w:eastAsia="de-DE"/>
        </w:rPr>
        <w:t xml:space="preserve"> </w:t>
      </w:r>
      <w:r w:rsidRPr="008E5E2F">
        <w:rPr>
          <w:rFonts w:eastAsia="Times New Roman" w:cs="Times New Roman"/>
          <w:lang w:eastAsia="de-DE"/>
        </w:rPr>
        <w:t xml:space="preserve">wird explizit genannt. Das Verb </w:t>
      </w:r>
      <w:r w:rsidRPr="008E5E2F">
        <w:rPr>
          <w:rFonts w:eastAsia="Times New Roman" w:cs="Times New Roman"/>
          <w:b/>
          <w:bCs/>
          <w:rtl/>
          <w:lang w:eastAsia="de-DE"/>
        </w:rPr>
        <w:t>וַיֹּאמֶר</w:t>
      </w:r>
      <w:r w:rsidRPr="008E5E2F">
        <w:rPr>
          <w:rFonts w:eastAsia="Times New Roman" w:cs="Times New Roman"/>
          <w:rtl/>
          <w:lang w:eastAsia="de-DE"/>
        </w:rPr>
        <w:t xml:space="preserve"> </w:t>
      </w:r>
      <w:r w:rsidRPr="008E5E2F">
        <w:rPr>
          <w:rFonts w:eastAsia="Times New Roman" w:cs="Times New Roman"/>
          <w:lang w:eastAsia="de-DE"/>
        </w:rPr>
        <w:t xml:space="preserve">(Wayyiqtol, 3. m. Sg. von </w:t>
      </w:r>
      <w:r w:rsidRPr="008E5E2F">
        <w:rPr>
          <w:rFonts w:eastAsia="Times New Roman" w:cs="Times New Roman"/>
          <w:rtl/>
          <w:lang w:eastAsia="de-DE"/>
        </w:rPr>
        <w:t>אמר</w:t>
      </w:r>
      <w:r w:rsidRPr="008E5E2F">
        <w:rPr>
          <w:rFonts w:eastAsia="Times New Roman" w:cs="Times New Roman"/>
          <w:lang w:eastAsia="de-DE"/>
        </w:rPr>
        <w:t>, „und er sprach") führt die direkte Rede ein.</w:t>
      </w:r>
    </w:p>
    <w:p w14:paraId="0D14FDC9"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Präpositionalphrase </w:t>
      </w:r>
      <w:r w:rsidRPr="008E5E2F">
        <w:rPr>
          <w:rFonts w:eastAsia="Times New Roman" w:cs="Times New Roman"/>
          <w:b/>
          <w:bCs/>
          <w:rtl/>
          <w:lang w:eastAsia="de-DE"/>
        </w:rPr>
        <w:t>אֶל־בָּלָק</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אֶל</w:t>
      </w:r>
      <w:r w:rsidRPr="008E5E2F">
        <w:rPr>
          <w:rFonts w:eastAsia="Times New Roman" w:cs="Times New Roman"/>
          <w:lang w:eastAsia="de-DE"/>
        </w:rPr>
        <w:t xml:space="preserve"> mit </w:t>
      </w:r>
      <w:r w:rsidRPr="008E5E2F">
        <w:rPr>
          <w:rFonts w:eastAsia="Times New Roman" w:cs="Times New Roman"/>
          <w:b/>
          <w:bCs/>
          <w:rtl/>
          <w:lang w:eastAsia="de-DE"/>
        </w:rPr>
        <w:t>בָּלָק</w:t>
      </w:r>
      <w:r w:rsidRPr="008E5E2F">
        <w:rPr>
          <w:rFonts w:eastAsia="Times New Roman" w:cs="Times New Roman"/>
          <w:lang w:eastAsia="de-DE"/>
        </w:rPr>
        <w:t>) bezeichnet den Adressaten.</w:t>
      </w:r>
    </w:p>
    <w:p w14:paraId="7958C515"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lastRenderedPageBreak/>
        <w:t xml:space="preserve">Die Fragepartikel </w:t>
      </w:r>
      <w:r w:rsidRPr="008E5E2F">
        <w:rPr>
          <w:rFonts w:eastAsia="Times New Roman" w:cs="Times New Roman"/>
          <w:b/>
          <w:bCs/>
          <w:rtl/>
          <w:lang w:eastAsia="de-DE"/>
        </w:rPr>
        <w:t>הֲלֹא</w:t>
      </w:r>
      <w:r w:rsidRPr="008E5E2F">
        <w:rPr>
          <w:rFonts w:eastAsia="Times New Roman" w:cs="Times New Roman"/>
          <w:rtl/>
          <w:lang w:eastAsia="de-DE"/>
        </w:rPr>
        <w:t xml:space="preserve"> </w:t>
      </w:r>
      <w:r w:rsidRPr="008E5E2F">
        <w:rPr>
          <w:rFonts w:eastAsia="Times New Roman" w:cs="Times New Roman"/>
          <w:lang w:eastAsia="de-DE"/>
        </w:rPr>
        <w:t xml:space="preserve">(interrogativ </w:t>
      </w:r>
      <w:r w:rsidRPr="008E5E2F">
        <w:rPr>
          <w:rFonts w:eastAsia="Times New Roman" w:cs="Times New Roman"/>
          <w:rtl/>
          <w:lang w:eastAsia="de-DE"/>
        </w:rPr>
        <w:t>ה</w:t>
      </w:r>
      <w:r w:rsidRPr="008E5E2F">
        <w:rPr>
          <w:rFonts w:eastAsia="Times New Roman" w:cs="Times New Roman"/>
          <w:lang w:eastAsia="de-DE"/>
        </w:rPr>
        <w:t xml:space="preserve"> mit Negation </w:t>
      </w:r>
      <w:r w:rsidRPr="008E5E2F">
        <w:rPr>
          <w:rFonts w:eastAsia="Times New Roman" w:cs="Times New Roman"/>
          <w:rtl/>
          <w:lang w:eastAsia="de-DE"/>
        </w:rPr>
        <w:t>לֹא</w:t>
      </w:r>
      <w:r w:rsidRPr="008E5E2F">
        <w:rPr>
          <w:rFonts w:eastAsia="Times New Roman" w:cs="Times New Roman"/>
          <w:lang w:eastAsia="de-DE"/>
        </w:rPr>
        <w:t xml:space="preserve">, „nicht wahr? habe ich nicht?") leitet eine rhetorische Frage ein, die eine bejahende Antwort erwartet. Das Verb </w:t>
      </w:r>
      <w:r w:rsidRPr="008E5E2F">
        <w:rPr>
          <w:rFonts w:eastAsia="Times New Roman" w:cs="Times New Roman"/>
          <w:b/>
          <w:bCs/>
          <w:rtl/>
          <w:lang w:eastAsia="de-DE"/>
        </w:rPr>
        <w:t>דִּבַּרְתִּי</w:t>
      </w:r>
      <w:r w:rsidRPr="008E5E2F">
        <w:rPr>
          <w:rFonts w:eastAsia="Times New Roman" w:cs="Times New Roman"/>
          <w:rtl/>
          <w:lang w:eastAsia="de-DE"/>
        </w:rPr>
        <w:t xml:space="preserve"> </w:t>
      </w:r>
      <w:r w:rsidRPr="008E5E2F">
        <w:rPr>
          <w:rFonts w:eastAsia="Times New Roman" w:cs="Times New Roman"/>
          <w:lang w:eastAsia="de-DE"/>
        </w:rPr>
        <w:t xml:space="preserve">(Piel Perfekt 1. c. Sg. von </w:t>
      </w:r>
      <w:r w:rsidRPr="008E5E2F">
        <w:rPr>
          <w:rFonts w:eastAsia="Times New Roman" w:cs="Times New Roman"/>
          <w:rtl/>
          <w:lang w:eastAsia="de-DE"/>
        </w:rPr>
        <w:t>דבר</w:t>
      </w:r>
      <w:r w:rsidRPr="008E5E2F">
        <w:rPr>
          <w:rFonts w:eastAsia="Times New Roman" w:cs="Times New Roman"/>
          <w:lang w:eastAsia="de-DE"/>
        </w:rPr>
        <w:t>, „ich habe geredet") zeigt durch die 1. Person, dass Bileam von seiner eigenen früheren Aussage spricht.</w:t>
      </w:r>
    </w:p>
    <w:p w14:paraId="5D8DB841"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Piel-Form intensiviert die Bedeutung des Redens. Die Präpositionalphrase </w:t>
      </w:r>
      <w:r w:rsidRPr="008E5E2F">
        <w:rPr>
          <w:rFonts w:eastAsia="Times New Roman" w:cs="Times New Roman"/>
          <w:b/>
          <w:bCs/>
          <w:rtl/>
          <w:lang w:eastAsia="de-DE"/>
        </w:rPr>
        <w:t>אֵלֶיךָ</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אֶל</w:t>
      </w:r>
      <w:r w:rsidRPr="008E5E2F">
        <w:rPr>
          <w:rFonts w:eastAsia="Times New Roman" w:cs="Times New Roman"/>
          <w:lang w:eastAsia="de-DE"/>
        </w:rPr>
        <w:t xml:space="preserve"> mit Suffix 2. m. Sg., „zu dir") zeigt den Adressaten von Bileams früherer Rede an.</w:t>
      </w:r>
    </w:p>
    <w:p w14:paraId="20E278BF"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Der Infinitiv construct </w:t>
      </w:r>
      <w:r w:rsidRPr="008E5E2F">
        <w:rPr>
          <w:rFonts w:eastAsia="Times New Roman" w:cs="Times New Roman"/>
          <w:b/>
          <w:bCs/>
          <w:rtl/>
          <w:lang w:eastAsia="de-DE"/>
        </w:rPr>
        <w:t>לֵאמֹר</w:t>
      </w:r>
      <w:r w:rsidRPr="008E5E2F">
        <w:rPr>
          <w:rFonts w:eastAsia="Times New Roman" w:cs="Times New Roman"/>
          <w:rtl/>
          <w:lang w:eastAsia="de-DE"/>
        </w:rPr>
        <w:t xml:space="preserve"> </w:t>
      </w:r>
      <w:r w:rsidRPr="008E5E2F">
        <w:rPr>
          <w:rFonts w:eastAsia="Times New Roman" w:cs="Times New Roman"/>
          <w:lang w:eastAsia="de-DE"/>
        </w:rPr>
        <w:t xml:space="preserve">(Qal Infinitiv construct von </w:t>
      </w:r>
      <w:r w:rsidRPr="008E5E2F">
        <w:rPr>
          <w:rFonts w:eastAsia="Times New Roman" w:cs="Times New Roman"/>
          <w:rtl/>
          <w:lang w:eastAsia="de-DE"/>
        </w:rPr>
        <w:t>אמר</w:t>
      </w:r>
      <w:r w:rsidRPr="008E5E2F">
        <w:rPr>
          <w:rFonts w:eastAsia="Times New Roman" w:cs="Times New Roman"/>
          <w:lang w:eastAsia="de-DE"/>
        </w:rPr>
        <w:t xml:space="preserve">, „sagend") leitet die indirekte Rede ein. Das Totaladjektiv </w:t>
      </w:r>
      <w:r w:rsidRPr="008E5E2F">
        <w:rPr>
          <w:rFonts w:eastAsia="Times New Roman" w:cs="Times New Roman"/>
          <w:b/>
          <w:bCs/>
          <w:rtl/>
          <w:lang w:eastAsia="de-DE"/>
        </w:rPr>
        <w:t>כֹּל</w:t>
      </w:r>
      <w:r w:rsidRPr="008E5E2F">
        <w:rPr>
          <w:rFonts w:eastAsia="Times New Roman" w:cs="Times New Roman"/>
          <w:rtl/>
          <w:lang w:eastAsia="de-DE"/>
        </w:rPr>
        <w:t xml:space="preserve"> </w:t>
      </w:r>
      <w:r w:rsidRPr="008E5E2F">
        <w:rPr>
          <w:rFonts w:eastAsia="Times New Roman" w:cs="Times New Roman"/>
          <w:lang w:eastAsia="de-DE"/>
        </w:rPr>
        <w:t xml:space="preserve">(„alles, jedes") mit dem Relativsatz </w:t>
      </w:r>
      <w:r w:rsidRPr="008E5E2F">
        <w:rPr>
          <w:rFonts w:eastAsia="Times New Roman" w:cs="Times New Roman"/>
          <w:b/>
          <w:bCs/>
          <w:rtl/>
          <w:lang w:eastAsia="de-DE"/>
        </w:rPr>
        <w:t>אֲשֶׁר־יְדַבֵּר יְהוָה</w:t>
      </w:r>
      <w:r w:rsidRPr="008E5E2F">
        <w:rPr>
          <w:rFonts w:eastAsia="Times New Roman" w:cs="Times New Roman"/>
          <w:rtl/>
          <w:lang w:eastAsia="de-DE"/>
        </w:rPr>
        <w:t xml:space="preserve"> </w:t>
      </w:r>
      <w:r w:rsidRPr="008E5E2F">
        <w:rPr>
          <w:rFonts w:eastAsia="Times New Roman" w:cs="Times New Roman"/>
          <w:lang w:eastAsia="de-DE"/>
        </w:rPr>
        <w:t>betont die Vollständigkeit des Gehorsams.</w:t>
      </w:r>
    </w:p>
    <w:p w14:paraId="2B3EF6C7"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Relativpartikel </w:t>
      </w:r>
      <w:r w:rsidRPr="008E5E2F">
        <w:rPr>
          <w:rFonts w:eastAsia="Times New Roman" w:cs="Times New Roman"/>
          <w:b/>
          <w:bCs/>
          <w:rtl/>
          <w:lang w:eastAsia="de-DE"/>
        </w:rPr>
        <w:t>אֲשֶׁר</w:t>
      </w:r>
      <w:r w:rsidRPr="008E5E2F">
        <w:rPr>
          <w:rFonts w:eastAsia="Times New Roman" w:cs="Times New Roman"/>
          <w:rtl/>
          <w:lang w:eastAsia="de-DE"/>
        </w:rPr>
        <w:t xml:space="preserve"> </w:t>
      </w:r>
      <w:r w:rsidRPr="008E5E2F">
        <w:rPr>
          <w:rFonts w:eastAsia="Times New Roman" w:cs="Times New Roman"/>
          <w:lang w:eastAsia="de-DE"/>
        </w:rPr>
        <w:t xml:space="preserve">(„was, das") leitet den Relativsatz ein. Das Verb </w:t>
      </w:r>
      <w:r w:rsidRPr="008E5E2F">
        <w:rPr>
          <w:rFonts w:eastAsia="Times New Roman" w:cs="Times New Roman"/>
          <w:b/>
          <w:bCs/>
          <w:rtl/>
          <w:lang w:eastAsia="de-DE"/>
        </w:rPr>
        <w:t>יְדַבֵּר</w:t>
      </w:r>
      <w:r w:rsidRPr="008E5E2F">
        <w:rPr>
          <w:rFonts w:eastAsia="Times New Roman" w:cs="Times New Roman"/>
          <w:rtl/>
          <w:lang w:eastAsia="de-DE"/>
        </w:rPr>
        <w:t xml:space="preserve"> </w:t>
      </w:r>
      <w:r w:rsidRPr="008E5E2F">
        <w:rPr>
          <w:rFonts w:eastAsia="Times New Roman" w:cs="Times New Roman"/>
          <w:lang w:eastAsia="de-DE"/>
        </w:rPr>
        <w:t xml:space="preserve">(Piel Imperfekt 3. m. Sg. von </w:t>
      </w:r>
      <w:r w:rsidRPr="008E5E2F">
        <w:rPr>
          <w:rFonts w:eastAsia="Times New Roman" w:cs="Times New Roman"/>
          <w:rtl/>
          <w:lang w:eastAsia="de-DE"/>
        </w:rPr>
        <w:t>דבר</w:t>
      </w:r>
      <w:r w:rsidRPr="008E5E2F">
        <w:rPr>
          <w:rFonts w:eastAsia="Times New Roman" w:cs="Times New Roman"/>
          <w:lang w:eastAsia="de-DE"/>
        </w:rPr>
        <w:t xml:space="preserve">, „er wird reden") steht im Imperfekt und bezeichnet zukünftiges oder wiederholtes Handeln. Das Subjekt </w:t>
      </w:r>
      <w:r w:rsidRPr="008E5E2F">
        <w:rPr>
          <w:rFonts w:eastAsia="Times New Roman" w:cs="Times New Roman"/>
          <w:b/>
          <w:bCs/>
          <w:rtl/>
          <w:lang w:eastAsia="de-DE"/>
        </w:rPr>
        <w:t>יְהוָה</w:t>
      </w:r>
      <w:r w:rsidRPr="008E5E2F">
        <w:rPr>
          <w:rFonts w:eastAsia="Times New Roman" w:cs="Times New Roman"/>
          <w:rtl/>
          <w:lang w:eastAsia="de-DE"/>
        </w:rPr>
        <w:t xml:space="preserve"> </w:t>
      </w:r>
      <w:r w:rsidRPr="008E5E2F">
        <w:rPr>
          <w:rFonts w:eastAsia="Times New Roman" w:cs="Times New Roman"/>
          <w:lang w:eastAsia="de-DE"/>
        </w:rPr>
        <w:t>(Gottesname) wird explizit genannt.</w:t>
      </w:r>
    </w:p>
    <w:p w14:paraId="298DFD65"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Das Pronomen </w:t>
      </w:r>
      <w:r w:rsidRPr="008E5E2F">
        <w:rPr>
          <w:rFonts w:eastAsia="Times New Roman" w:cs="Times New Roman"/>
          <w:b/>
          <w:bCs/>
          <w:rtl/>
          <w:lang w:eastAsia="de-DE"/>
        </w:rPr>
        <w:t>אֹתוֹ</w:t>
      </w:r>
      <w:r w:rsidRPr="008E5E2F">
        <w:rPr>
          <w:rFonts w:eastAsia="Times New Roman" w:cs="Times New Roman"/>
          <w:rtl/>
          <w:lang w:eastAsia="de-DE"/>
        </w:rPr>
        <w:t xml:space="preserve"> </w:t>
      </w:r>
      <w:r w:rsidRPr="008E5E2F">
        <w:rPr>
          <w:rFonts w:eastAsia="Times New Roman" w:cs="Times New Roman"/>
          <w:lang w:eastAsia="de-DE"/>
        </w:rPr>
        <w:t xml:space="preserve">(Objektmarker mit Suffix 3. m. Sg., „es") nimmt das Objekt von </w:t>
      </w:r>
      <w:r w:rsidRPr="008E5E2F">
        <w:rPr>
          <w:rFonts w:eastAsia="Times New Roman" w:cs="Times New Roman"/>
          <w:b/>
          <w:bCs/>
          <w:rtl/>
          <w:lang w:eastAsia="de-DE"/>
        </w:rPr>
        <w:t>יְדַבֵּר</w:t>
      </w:r>
      <w:r w:rsidRPr="008E5E2F">
        <w:rPr>
          <w:rFonts w:eastAsia="Times New Roman" w:cs="Times New Roman"/>
          <w:rtl/>
          <w:lang w:eastAsia="de-DE"/>
        </w:rPr>
        <w:t xml:space="preserve"> </w:t>
      </w:r>
      <w:r w:rsidRPr="008E5E2F">
        <w:rPr>
          <w:rFonts w:eastAsia="Times New Roman" w:cs="Times New Roman"/>
          <w:lang w:eastAsia="de-DE"/>
        </w:rPr>
        <w:t xml:space="preserve">vorweg. Das Verb </w:t>
      </w:r>
      <w:r w:rsidRPr="008E5E2F">
        <w:rPr>
          <w:rFonts w:eastAsia="Times New Roman" w:cs="Times New Roman"/>
          <w:b/>
          <w:bCs/>
          <w:rtl/>
          <w:lang w:eastAsia="de-DE"/>
        </w:rPr>
        <w:t>אֶעֱשֶׂה</w:t>
      </w:r>
      <w:r w:rsidRPr="008E5E2F">
        <w:rPr>
          <w:rFonts w:eastAsia="Times New Roman" w:cs="Times New Roman"/>
          <w:rtl/>
          <w:lang w:eastAsia="de-DE"/>
        </w:rPr>
        <w:t xml:space="preserve"> </w:t>
      </w:r>
      <w:r w:rsidRPr="008E5E2F">
        <w:rPr>
          <w:rFonts w:eastAsia="Times New Roman" w:cs="Times New Roman"/>
          <w:lang w:eastAsia="de-DE"/>
        </w:rPr>
        <w:t xml:space="preserve">(Qal Imperfekt 1. c. Sg. von </w:t>
      </w:r>
      <w:r w:rsidRPr="008E5E2F">
        <w:rPr>
          <w:rFonts w:eastAsia="Times New Roman" w:cs="Times New Roman"/>
          <w:rtl/>
          <w:lang w:eastAsia="de-DE"/>
        </w:rPr>
        <w:t>עשׂה</w:t>
      </w:r>
      <w:r w:rsidRPr="008E5E2F">
        <w:rPr>
          <w:rFonts w:eastAsia="Times New Roman" w:cs="Times New Roman"/>
          <w:lang w:eastAsia="de-DE"/>
        </w:rPr>
        <w:t>, „ich werde tun") drückt Bileams Verpflichtung zum Gehorsam aus.</w:t>
      </w:r>
    </w:p>
    <w:p w14:paraId="473EE202"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Die LXX</w:t>
      </w:r>
      <w:r w:rsidRPr="008E5E2F">
        <w:rPr>
          <w:rFonts w:eastAsia="Times New Roman" w:cs="Times New Roman"/>
          <w:lang w:eastAsia="de-DE"/>
        </w:rPr>
        <w:t xml:space="preserve"> übersetzt </w:t>
      </w:r>
      <w:r w:rsidRPr="008E5E2F">
        <w:rPr>
          <w:rFonts w:eastAsia="Times New Roman" w:cs="Times New Roman"/>
          <w:b/>
          <w:bCs/>
          <w:rtl/>
          <w:lang w:eastAsia="de-DE"/>
        </w:rPr>
        <w:t>הֲלֹא</w:t>
      </w:r>
      <w:r w:rsidRPr="008E5E2F">
        <w:rPr>
          <w:rFonts w:eastAsia="Times New Roman" w:cs="Times New Roman"/>
          <w:rtl/>
          <w:lang w:eastAsia="de-DE"/>
        </w:rPr>
        <w:t xml:space="preserve"> </w:t>
      </w:r>
      <w:r w:rsidRPr="008E5E2F">
        <w:rPr>
          <w:rFonts w:eastAsia="Times New Roman" w:cs="Times New Roman"/>
          <w:lang w:eastAsia="de-DE"/>
        </w:rPr>
        <w:t xml:space="preserve">mit οὐχί (ouchi, „nicht wahr?"), was die rhetorische Frage beibehält. Die LXX gibt </w:t>
      </w:r>
      <w:r w:rsidRPr="008E5E2F">
        <w:rPr>
          <w:rFonts w:eastAsia="Times New Roman" w:cs="Times New Roman"/>
          <w:b/>
          <w:bCs/>
          <w:rtl/>
          <w:lang w:eastAsia="de-DE"/>
        </w:rPr>
        <w:t>דִּבַּרְתִּי</w:t>
      </w:r>
      <w:r w:rsidRPr="008E5E2F">
        <w:rPr>
          <w:rFonts w:eastAsia="Times New Roman" w:cs="Times New Roman"/>
          <w:rtl/>
          <w:lang w:eastAsia="de-DE"/>
        </w:rPr>
        <w:t xml:space="preserve"> </w:t>
      </w:r>
      <w:r w:rsidRPr="008E5E2F">
        <w:rPr>
          <w:rFonts w:eastAsia="Times New Roman" w:cs="Times New Roman"/>
          <w:lang w:eastAsia="de-DE"/>
        </w:rPr>
        <w:t xml:space="preserve">mit λελάληκα (lelalēka, Perfekt „ich habe geredet") wieder. Für </w:t>
      </w:r>
      <w:r w:rsidRPr="008E5E2F">
        <w:rPr>
          <w:rFonts w:eastAsia="Times New Roman" w:cs="Times New Roman"/>
          <w:b/>
          <w:bCs/>
          <w:rtl/>
          <w:lang w:eastAsia="de-DE"/>
        </w:rPr>
        <w:t>כֹּל אֲשֶׁר־יְדַבֵּר יְהוָה</w:t>
      </w:r>
      <w:r w:rsidRPr="008E5E2F">
        <w:rPr>
          <w:rFonts w:eastAsia="Times New Roman" w:cs="Times New Roman"/>
          <w:rtl/>
          <w:lang w:eastAsia="de-DE"/>
        </w:rPr>
        <w:t xml:space="preserve"> </w:t>
      </w:r>
      <w:r w:rsidRPr="008E5E2F">
        <w:rPr>
          <w:rFonts w:eastAsia="Times New Roman" w:cs="Times New Roman"/>
          <w:lang w:eastAsia="de-DE"/>
        </w:rPr>
        <w:t xml:space="preserve">verwendet die LXX πάντα ὅσα ἐὰν λαλήσῃ ὁ θεός (panta hosa ean lalēsē ho theos, „alles, was Gott reden wird"), wobei sie </w:t>
      </w:r>
      <w:r w:rsidRPr="008E5E2F">
        <w:rPr>
          <w:rFonts w:eastAsia="Times New Roman" w:cs="Times New Roman"/>
          <w:b/>
          <w:bCs/>
          <w:rtl/>
          <w:lang w:eastAsia="de-DE"/>
        </w:rPr>
        <w:t>אֱלֹהִים</w:t>
      </w:r>
      <w:r w:rsidRPr="008E5E2F">
        <w:rPr>
          <w:rFonts w:eastAsia="Times New Roman" w:cs="Times New Roman"/>
          <w:rtl/>
          <w:lang w:eastAsia="de-DE"/>
        </w:rPr>
        <w:t xml:space="preserve"> </w:t>
      </w:r>
      <w:r w:rsidRPr="008E5E2F">
        <w:rPr>
          <w:rFonts w:eastAsia="Times New Roman" w:cs="Times New Roman"/>
          <w:lang w:eastAsia="de-DE"/>
        </w:rPr>
        <w:t xml:space="preserve">statt </w:t>
      </w:r>
      <w:r w:rsidRPr="008E5E2F">
        <w:rPr>
          <w:rFonts w:eastAsia="Times New Roman" w:cs="Times New Roman"/>
          <w:b/>
          <w:bCs/>
          <w:rtl/>
          <w:lang w:eastAsia="de-DE"/>
        </w:rPr>
        <w:t>יְהוָה</w:t>
      </w:r>
      <w:r w:rsidRPr="008E5E2F">
        <w:rPr>
          <w:rFonts w:eastAsia="Times New Roman" w:cs="Times New Roman"/>
          <w:rtl/>
          <w:lang w:eastAsia="de-DE"/>
        </w:rPr>
        <w:t xml:space="preserve"> </w:t>
      </w:r>
      <w:r w:rsidRPr="008E5E2F">
        <w:rPr>
          <w:rFonts w:eastAsia="Times New Roman" w:cs="Times New Roman"/>
          <w:lang w:eastAsia="de-DE"/>
        </w:rPr>
        <w:t xml:space="preserve">verwendet. Die LXX übersetzt </w:t>
      </w:r>
      <w:r w:rsidRPr="008E5E2F">
        <w:rPr>
          <w:rFonts w:eastAsia="Times New Roman" w:cs="Times New Roman"/>
          <w:b/>
          <w:bCs/>
          <w:rtl/>
          <w:lang w:eastAsia="de-DE"/>
        </w:rPr>
        <w:t>אֹתוֹ אֶעֱשֶׂה</w:t>
      </w:r>
      <w:r w:rsidRPr="008E5E2F">
        <w:rPr>
          <w:rFonts w:eastAsia="Times New Roman" w:cs="Times New Roman"/>
          <w:rtl/>
          <w:lang w:eastAsia="de-DE"/>
        </w:rPr>
        <w:t xml:space="preserve"> </w:t>
      </w:r>
      <w:r w:rsidRPr="008E5E2F">
        <w:rPr>
          <w:rFonts w:eastAsia="Times New Roman" w:cs="Times New Roman"/>
          <w:lang w:eastAsia="de-DE"/>
        </w:rPr>
        <w:t>mit ταῦτα ποιήσω (tauta poiēsō, „dies werde ich tun").</w:t>
      </w:r>
    </w:p>
    <w:p w14:paraId="52714A28"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Satzstruktur besteht aus einem Hauptsatz mit zwei koordinierten Verben </w:t>
      </w:r>
      <w:r w:rsidRPr="008E5E2F">
        <w:rPr>
          <w:rFonts w:eastAsia="Times New Roman" w:cs="Times New Roman"/>
          <w:b/>
          <w:bCs/>
          <w:rtl/>
          <w:lang w:eastAsia="de-DE"/>
        </w:rPr>
        <w:t>וַיַּעַן</w:t>
      </w:r>
      <w:r w:rsidRPr="008E5E2F">
        <w:rPr>
          <w:rFonts w:eastAsia="Times New Roman" w:cs="Times New Roman"/>
          <w:rtl/>
          <w:lang w:eastAsia="de-DE"/>
        </w:rPr>
        <w:t xml:space="preserve"> </w:t>
      </w:r>
      <w:r w:rsidRPr="008E5E2F">
        <w:rPr>
          <w:rFonts w:eastAsia="Times New Roman" w:cs="Times New Roman"/>
          <w:lang w:eastAsia="de-DE"/>
        </w:rPr>
        <w:t xml:space="preserve">und </w:t>
      </w:r>
      <w:r w:rsidRPr="008E5E2F">
        <w:rPr>
          <w:rFonts w:eastAsia="Times New Roman" w:cs="Times New Roman"/>
          <w:b/>
          <w:bCs/>
          <w:rtl/>
          <w:lang w:eastAsia="de-DE"/>
        </w:rPr>
        <w:t>וַיֹּאמֶר</w:t>
      </w:r>
      <w:r w:rsidRPr="008E5E2F">
        <w:rPr>
          <w:rFonts w:eastAsia="Times New Roman" w:cs="Times New Roman"/>
          <w:lang w:eastAsia="de-DE"/>
        </w:rPr>
        <w:t xml:space="preserve">, gefolgt von der direkten Rede. Die direkte Rede enthält eine rhetorische Frage mit dem Hauptverb </w:t>
      </w:r>
      <w:r w:rsidRPr="008E5E2F">
        <w:rPr>
          <w:rFonts w:eastAsia="Times New Roman" w:cs="Times New Roman"/>
          <w:b/>
          <w:bCs/>
          <w:rtl/>
          <w:lang w:eastAsia="de-DE"/>
        </w:rPr>
        <w:t>דִּבַּרְתִּי</w:t>
      </w:r>
      <w:r w:rsidRPr="008E5E2F">
        <w:rPr>
          <w:rFonts w:eastAsia="Times New Roman" w:cs="Times New Roman"/>
          <w:rtl/>
          <w:lang w:eastAsia="de-DE"/>
        </w:rPr>
        <w:t xml:space="preserve"> </w:t>
      </w:r>
      <w:r w:rsidRPr="008E5E2F">
        <w:rPr>
          <w:rFonts w:eastAsia="Times New Roman" w:cs="Times New Roman"/>
          <w:lang w:eastAsia="de-DE"/>
        </w:rPr>
        <w:t xml:space="preserve">und präpositionalem Objekt. Der Infinitiv </w:t>
      </w:r>
      <w:r w:rsidRPr="008E5E2F">
        <w:rPr>
          <w:rFonts w:eastAsia="Times New Roman" w:cs="Times New Roman"/>
          <w:b/>
          <w:bCs/>
          <w:rtl/>
          <w:lang w:eastAsia="de-DE"/>
        </w:rPr>
        <w:t>לֵאמֹר</w:t>
      </w:r>
      <w:r w:rsidRPr="008E5E2F">
        <w:rPr>
          <w:rFonts w:eastAsia="Times New Roman" w:cs="Times New Roman"/>
          <w:rtl/>
          <w:lang w:eastAsia="de-DE"/>
        </w:rPr>
        <w:t xml:space="preserve"> </w:t>
      </w:r>
      <w:r w:rsidRPr="008E5E2F">
        <w:rPr>
          <w:rFonts w:eastAsia="Times New Roman" w:cs="Times New Roman"/>
          <w:lang w:eastAsia="de-DE"/>
        </w:rPr>
        <w:t xml:space="preserve">leitet die indirekte Rede ein, die aus einem Hauptsatz mit Relativsatz besteht: </w:t>
      </w:r>
      <w:r w:rsidRPr="008E5E2F">
        <w:rPr>
          <w:rFonts w:eastAsia="Times New Roman" w:cs="Times New Roman"/>
          <w:b/>
          <w:bCs/>
          <w:rtl/>
          <w:lang w:eastAsia="de-DE"/>
        </w:rPr>
        <w:t>כֹּל</w:t>
      </w:r>
      <w:r w:rsidRPr="008E5E2F">
        <w:rPr>
          <w:rFonts w:eastAsia="Times New Roman" w:cs="Times New Roman"/>
          <w:rtl/>
          <w:lang w:eastAsia="de-DE"/>
        </w:rPr>
        <w:t xml:space="preserve"> </w:t>
      </w:r>
      <w:r w:rsidRPr="008E5E2F">
        <w:rPr>
          <w:rFonts w:eastAsia="Times New Roman" w:cs="Times New Roman"/>
          <w:lang w:eastAsia="de-DE"/>
        </w:rPr>
        <w:t xml:space="preserve">(Subjekt) </w:t>
      </w:r>
      <w:r w:rsidRPr="008E5E2F">
        <w:rPr>
          <w:rFonts w:eastAsia="Times New Roman" w:cs="Times New Roman"/>
          <w:b/>
          <w:bCs/>
          <w:rtl/>
          <w:lang w:eastAsia="de-DE"/>
        </w:rPr>
        <w:t>אֲשֶׁר־יְדַבֵּר יְהוָה</w:t>
      </w:r>
      <w:r w:rsidRPr="008E5E2F">
        <w:rPr>
          <w:rFonts w:eastAsia="Times New Roman" w:cs="Times New Roman"/>
          <w:rtl/>
          <w:lang w:eastAsia="de-DE"/>
        </w:rPr>
        <w:t xml:space="preserve"> </w:t>
      </w:r>
      <w:r w:rsidRPr="008E5E2F">
        <w:rPr>
          <w:rFonts w:eastAsia="Times New Roman" w:cs="Times New Roman"/>
          <w:lang w:eastAsia="de-DE"/>
        </w:rPr>
        <w:t xml:space="preserve">(Relativsatz) </w:t>
      </w:r>
      <w:r w:rsidRPr="008E5E2F">
        <w:rPr>
          <w:rFonts w:eastAsia="Times New Roman" w:cs="Times New Roman"/>
          <w:b/>
          <w:bCs/>
          <w:rtl/>
          <w:lang w:eastAsia="de-DE"/>
        </w:rPr>
        <w:t>אֹתוֹ אֶעֱשֶׂה</w:t>
      </w:r>
      <w:r w:rsidRPr="008E5E2F">
        <w:rPr>
          <w:rFonts w:eastAsia="Times New Roman" w:cs="Times New Roman"/>
          <w:rtl/>
          <w:lang w:eastAsia="de-DE"/>
        </w:rPr>
        <w:t xml:space="preserve"> </w:t>
      </w:r>
      <w:r w:rsidRPr="008E5E2F">
        <w:rPr>
          <w:rFonts w:eastAsia="Times New Roman" w:cs="Times New Roman"/>
          <w:lang w:eastAsia="de-DE"/>
        </w:rPr>
        <w:t>(Hauptsatz).</w:t>
      </w:r>
    </w:p>
    <w:p w14:paraId="5F36BBCB"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Der Vers zeigt Bileams konsequente Haltung: Er hat Balak von Anfang an klargemacht, dass er nur das tun kann, was Gott ihm befiehlt. Die rhetorische Frage erinnert Balak an diese frühere Warnung (vgl. Num 22,18.38). Bileam verteidigt sich nicht entschuldigend, sondern selbstbewusst: Er erfüllt exakt seine prophetische Pflicht und kann nicht anders handeln. Die Betonung auf </w:t>
      </w:r>
      <w:r w:rsidRPr="008E5E2F">
        <w:rPr>
          <w:rFonts w:eastAsia="Times New Roman" w:cs="Times New Roman"/>
          <w:b/>
          <w:bCs/>
          <w:rtl/>
          <w:lang w:eastAsia="de-DE"/>
        </w:rPr>
        <w:t>כֹּל</w:t>
      </w:r>
      <w:r w:rsidRPr="008E5E2F">
        <w:rPr>
          <w:rFonts w:eastAsia="Times New Roman" w:cs="Times New Roman"/>
          <w:rtl/>
          <w:lang w:eastAsia="de-DE"/>
        </w:rPr>
        <w:t xml:space="preserve"> </w:t>
      </w:r>
      <w:r w:rsidRPr="008E5E2F">
        <w:rPr>
          <w:rFonts w:eastAsia="Times New Roman" w:cs="Times New Roman"/>
          <w:lang w:eastAsia="de-DE"/>
        </w:rPr>
        <w:t>(„alles") unterstreicht die Vollständigkeit seines Gehorsams gegenüber Gottes Wort.</w:t>
      </w:r>
    </w:p>
    <w:p w14:paraId="51CF3DBA" w14:textId="77777777" w:rsidR="008E5E2F" w:rsidRPr="008E5E2F" w:rsidRDefault="008E5E2F" w:rsidP="008E5E2F">
      <w:pPr>
        <w:spacing w:before="100" w:beforeAutospacing="1" w:after="100" w:afterAutospacing="1" w:line="240" w:lineRule="auto"/>
        <w:outlineLvl w:val="0"/>
        <w:rPr>
          <w:rFonts w:eastAsia="Times New Roman" w:cs="Times New Roman"/>
          <w:b/>
          <w:bCs/>
          <w:kern w:val="36"/>
          <w:sz w:val="48"/>
          <w:szCs w:val="48"/>
          <w:lang w:eastAsia="de-DE"/>
        </w:rPr>
      </w:pPr>
      <w:r w:rsidRPr="008E5E2F">
        <w:rPr>
          <w:rFonts w:eastAsia="Times New Roman" w:cs="Times New Roman"/>
          <w:b/>
          <w:bCs/>
          <w:kern w:val="36"/>
          <w:sz w:val="48"/>
          <w:szCs w:val="48"/>
          <w:lang w:eastAsia="de-DE"/>
        </w:rPr>
        <w:t>Numeri 23,27</w:t>
      </w:r>
    </w:p>
    <w:p w14:paraId="167FE064"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Hebräisch:</w:t>
      </w:r>
      <w:r w:rsidRPr="008E5E2F">
        <w:rPr>
          <w:rFonts w:eastAsia="Times New Roman" w:cs="Times New Roman"/>
          <w:lang w:eastAsia="de-DE"/>
        </w:rPr>
        <w:t xml:space="preserve"> </w:t>
      </w:r>
      <w:r w:rsidRPr="008E5E2F">
        <w:rPr>
          <w:rFonts w:eastAsia="Times New Roman" w:cs="Times New Roman"/>
          <w:rtl/>
          <w:lang w:eastAsia="de-DE"/>
        </w:rPr>
        <w:t>וַיֹּ֤אמֶר בָּלָק֙ אֶל־בִּלְעָ֔ם לְכָה־נָּא֙ אֶקָּ֣חֲךָ֔ אֶל־מָק֖וֹם אַחֵ֑ר אוּלַ֤י יִישַׁר֙ בְּעֵינֵ֣י הָאֱלֹהִ֔ים וְקַבֹּ֥תוֹ לִ֖י מִשָּֽׁם׃</w:t>
      </w:r>
    </w:p>
    <w:p w14:paraId="42D00B4F"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Deutsch:</w:t>
      </w:r>
      <w:r w:rsidRPr="008E5E2F">
        <w:rPr>
          <w:rFonts w:eastAsia="Times New Roman" w:cs="Times New Roman"/>
          <w:lang w:eastAsia="de-DE"/>
        </w:rPr>
        <w:t xml:space="preserve"> Und Balak sprach zu Bilʿam: „Komm doch, ich will dich an einen anderen Ort mitnehmen. Vielleicht wird es recht sein in den Augen Gottes, dass du es mir von dort verfluchst."</w:t>
      </w:r>
    </w:p>
    <w:p w14:paraId="424EAB44" w14:textId="77777777" w:rsidR="008E5E2F" w:rsidRPr="008E5E2F" w:rsidRDefault="00F329DD" w:rsidP="008E5E2F">
      <w:pPr>
        <w:spacing w:after="0" w:line="240" w:lineRule="auto"/>
        <w:rPr>
          <w:rFonts w:eastAsia="Times New Roman" w:cs="Times New Roman"/>
          <w:lang w:eastAsia="de-DE"/>
        </w:rPr>
      </w:pPr>
      <w:r>
        <w:rPr>
          <w:rFonts w:eastAsia="Times New Roman" w:cs="Times New Roman"/>
          <w:noProof/>
          <w:lang w:eastAsia="de-DE"/>
        </w:rPr>
        <w:pict w14:anchorId="5BCC3986">
          <v:rect id="_x0000_i1822" style="width:0;height:1.5pt" o:hralign="center" o:hrstd="t" o:hr="t" fillcolor="#a0a0a0" stroked="f"/>
        </w:pict>
      </w:r>
    </w:p>
    <w:p w14:paraId="5F0D3A2D"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lastRenderedPageBreak/>
        <w:t>Kommentar:</w:t>
      </w:r>
      <w:r w:rsidRPr="008E5E2F">
        <w:rPr>
          <w:rFonts w:eastAsia="Times New Roman" w:cs="Times New Roman"/>
          <w:lang w:eastAsia="de-DE"/>
        </w:rPr>
        <w:t xml:space="preserve"> Das Verb </w:t>
      </w:r>
      <w:r w:rsidRPr="008E5E2F">
        <w:rPr>
          <w:rFonts w:eastAsia="Times New Roman" w:cs="Times New Roman"/>
          <w:b/>
          <w:bCs/>
          <w:rtl/>
          <w:lang w:eastAsia="de-DE"/>
        </w:rPr>
        <w:t>וַיֹּאמֶר</w:t>
      </w:r>
      <w:r w:rsidRPr="008E5E2F">
        <w:rPr>
          <w:rFonts w:eastAsia="Times New Roman" w:cs="Times New Roman"/>
          <w:rtl/>
          <w:lang w:eastAsia="de-DE"/>
        </w:rPr>
        <w:t xml:space="preserve"> </w:t>
      </w:r>
      <w:r w:rsidRPr="008E5E2F">
        <w:rPr>
          <w:rFonts w:eastAsia="Times New Roman" w:cs="Times New Roman"/>
          <w:lang w:eastAsia="de-DE"/>
        </w:rPr>
        <w:t xml:space="preserve">(Wayyiqtol, 3. m. Sg. von </w:t>
      </w:r>
      <w:r w:rsidRPr="008E5E2F">
        <w:rPr>
          <w:rFonts w:eastAsia="Times New Roman" w:cs="Times New Roman"/>
          <w:rtl/>
          <w:lang w:eastAsia="de-DE"/>
        </w:rPr>
        <w:t>אמר</w:t>
      </w:r>
      <w:r w:rsidRPr="008E5E2F">
        <w:rPr>
          <w:rFonts w:eastAsia="Times New Roman" w:cs="Times New Roman"/>
          <w:lang w:eastAsia="de-DE"/>
        </w:rPr>
        <w:t xml:space="preserve">) leitet Balaks erneuten Versuch ein. Das Subjekt </w:t>
      </w:r>
      <w:r w:rsidRPr="008E5E2F">
        <w:rPr>
          <w:rFonts w:eastAsia="Times New Roman" w:cs="Times New Roman"/>
          <w:b/>
          <w:bCs/>
          <w:rtl/>
          <w:lang w:eastAsia="de-DE"/>
        </w:rPr>
        <w:t>בָּלָק</w:t>
      </w:r>
      <w:r w:rsidRPr="008E5E2F">
        <w:rPr>
          <w:rFonts w:eastAsia="Times New Roman" w:cs="Times New Roman"/>
          <w:rtl/>
          <w:lang w:eastAsia="de-DE"/>
        </w:rPr>
        <w:t xml:space="preserve"> </w:t>
      </w:r>
      <w:r w:rsidRPr="008E5E2F">
        <w:rPr>
          <w:rFonts w:eastAsia="Times New Roman" w:cs="Times New Roman"/>
          <w:lang w:eastAsia="de-DE"/>
        </w:rPr>
        <w:t xml:space="preserve">wird explizit genannt. Die Präpositionalphrase </w:t>
      </w:r>
      <w:r w:rsidRPr="008E5E2F">
        <w:rPr>
          <w:rFonts w:eastAsia="Times New Roman" w:cs="Times New Roman"/>
          <w:b/>
          <w:bCs/>
          <w:rtl/>
          <w:lang w:eastAsia="de-DE"/>
        </w:rPr>
        <w:t>אֶל־בִּלְעָם</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אֶל</w:t>
      </w:r>
      <w:r w:rsidRPr="008E5E2F">
        <w:rPr>
          <w:rFonts w:eastAsia="Times New Roman" w:cs="Times New Roman"/>
          <w:lang w:eastAsia="de-DE"/>
        </w:rPr>
        <w:t xml:space="preserve"> mit </w:t>
      </w:r>
      <w:r w:rsidRPr="008E5E2F">
        <w:rPr>
          <w:rFonts w:eastAsia="Times New Roman" w:cs="Times New Roman"/>
          <w:b/>
          <w:bCs/>
          <w:rtl/>
          <w:lang w:eastAsia="de-DE"/>
        </w:rPr>
        <w:t>בִּלְעָם</w:t>
      </w:r>
      <w:r w:rsidRPr="008E5E2F">
        <w:rPr>
          <w:rFonts w:eastAsia="Times New Roman" w:cs="Times New Roman"/>
          <w:lang w:eastAsia="de-DE"/>
        </w:rPr>
        <w:t>) bezeichnet den Adressaten.</w:t>
      </w:r>
    </w:p>
    <w:p w14:paraId="197DAE76"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Der Imperativ </w:t>
      </w:r>
      <w:r w:rsidRPr="008E5E2F">
        <w:rPr>
          <w:rFonts w:eastAsia="Times New Roman" w:cs="Times New Roman"/>
          <w:b/>
          <w:bCs/>
          <w:rtl/>
          <w:lang w:eastAsia="de-DE"/>
        </w:rPr>
        <w:t>לְכָה</w:t>
      </w:r>
      <w:r w:rsidRPr="008E5E2F">
        <w:rPr>
          <w:rFonts w:eastAsia="Times New Roman" w:cs="Times New Roman"/>
          <w:rtl/>
          <w:lang w:eastAsia="de-DE"/>
        </w:rPr>
        <w:t xml:space="preserve"> </w:t>
      </w:r>
      <w:r w:rsidRPr="008E5E2F">
        <w:rPr>
          <w:rFonts w:eastAsia="Times New Roman" w:cs="Times New Roman"/>
          <w:lang w:eastAsia="de-DE"/>
        </w:rPr>
        <w:t xml:space="preserve">(Qal Imperativ m. Sg. von </w:t>
      </w:r>
      <w:r w:rsidRPr="008E5E2F">
        <w:rPr>
          <w:rFonts w:eastAsia="Times New Roman" w:cs="Times New Roman"/>
          <w:rtl/>
          <w:lang w:eastAsia="de-DE"/>
        </w:rPr>
        <w:t>הלך</w:t>
      </w:r>
      <w:r w:rsidRPr="008E5E2F">
        <w:rPr>
          <w:rFonts w:eastAsia="Times New Roman" w:cs="Times New Roman"/>
          <w:lang w:eastAsia="de-DE"/>
        </w:rPr>
        <w:t xml:space="preserve">, „komm, geh") mit der Partikel </w:t>
      </w:r>
      <w:r w:rsidRPr="008E5E2F">
        <w:rPr>
          <w:rFonts w:eastAsia="Times New Roman" w:cs="Times New Roman"/>
          <w:b/>
          <w:bCs/>
          <w:rtl/>
          <w:lang w:eastAsia="de-DE"/>
        </w:rPr>
        <w:t>נָא</w:t>
      </w:r>
      <w:r w:rsidRPr="008E5E2F">
        <w:rPr>
          <w:rFonts w:eastAsia="Times New Roman" w:cs="Times New Roman"/>
          <w:rtl/>
          <w:lang w:eastAsia="de-DE"/>
        </w:rPr>
        <w:t xml:space="preserve"> </w:t>
      </w:r>
      <w:r w:rsidRPr="008E5E2F">
        <w:rPr>
          <w:rFonts w:eastAsia="Times New Roman" w:cs="Times New Roman"/>
          <w:lang w:eastAsia="de-DE"/>
        </w:rPr>
        <w:t xml:space="preserve">(„doch, bitte") drückt eine höfliche, aber dringende Aufforderung aus. Das Verb </w:t>
      </w:r>
      <w:r w:rsidRPr="008E5E2F">
        <w:rPr>
          <w:rFonts w:eastAsia="Times New Roman" w:cs="Times New Roman"/>
          <w:b/>
          <w:bCs/>
          <w:rtl/>
          <w:lang w:eastAsia="de-DE"/>
        </w:rPr>
        <w:t>אֶקָּחֲךָ</w:t>
      </w:r>
      <w:r w:rsidRPr="008E5E2F">
        <w:rPr>
          <w:rFonts w:eastAsia="Times New Roman" w:cs="Times New Roman"/>
          <w:rtl/>
          <w:lang w:eastAsia="de-DE"/>
        </w:rPr>
        <w:t xml:space="preserve"> </w:t>
      </w:r>
      <w:r w:rsidRPr="008E5E2F">
        <w:rPr>
          <w:rFonts w:eastAsia="Times New Roman" w:cs="Times New Roman"/>
          <w:lang w:eastAsia="de-DE"/>
        </w:rPr>
        <w:t xml:space="preserve">(Qal Kohortativ 1. c. Sg. von </w:t>
      </w:r>
      <w:r w:rsidRPr="008E5E2F">
        <w:rPr>
          <w:rFonts w:eastAsia="Times New Roman" w:cs="Times New Roman"/>
          <w:rtl/>
          <w:lang w:eastAsia="de-DE"/>
        </w:rPr>
        <w:t>לקח</w:t>
      </w:r>
      <w:r w:rsidRPr="008E5E2F">
        <w:rPr>
          <w:rFonts w:eastAsia="Times New Roman" w:cs="Times New Roman"/>
          <w:lang w:eastAsia="de-DE"/>
        </w:rPr>
        <w:t xml:space="preserve"> mit Objektsuffix 2. m. Sg., „ich will dich nehmen/mitnehmen") zeigt Balaks Absicht.</w:t>
      </w:r>
    </w:p>
    <w:p w14:paraId="059A9DBE"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Kohortativform drückt den Willen oder die Absicht des Sprechers aus. Das Suffix </w:t>
      </w:r>
      <w:r w:rsidRPr="008E5E2F">
        <w:rPr>
          <w:rFonts w:eastAsia="Times New Roman" w:cs="Times New Roman"/>
          <w:b/>
          <w:bCs/>
          <w:rtl/>
          <w:lang w:eastAsia="de-DE"/>
        </w:rPr>
        <w:t>ךָ</w:t>
      </w:r>
      <w:r w:rsidRPr="008E5E2F">
        <w:rPr>
          <w:rFonts w:eastAsia="Times New Roman" w:cs="Times New Roman"/>
          <w:rtl/>
          <w:lang w:eastAsia="de-DE"/>
        </w:rPr>
        <w:t xml:space="preserve"> </w:t>
      </w:r>
      <w:r w:rsidRPr="008E5E2F">
        <w:rPr>
          <w:rFonts w:eastAsia="Times New Roman" w:cs="Times New Roman"/>
          <w:lang w:eastAsia="de-DE"/>
        </w:rPr>
        <w:t>(2. m. Sg.) bezieht sich auf Bileam.</w:t>
      </w:r>
    </w:p>
    <w:p w14:paraId="17A23055" w14:textId="0BBE9BDD"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Präpositionalphrase </w:t>
      </w:r>
      <w:r w:rsidRPr="008E5E2F">
        <w:rPr>
          <w:rFonts w:eastAsia="Times New Roman" w:cs="Times New Roman"/>
          <w:b/>
          <w:bCs/>
          <w:rtl/>
          <w:lang w:eastAsia="de-DE"/>
        </w:rPr>
        <w:t>אֶל־מָקוֹם אַחֵר</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אֶל</w:t>
      </w:r>
      <w:r w:rsidRPr="008E5E2F">
        <w:rPr>
          <w:rFonts w:eastAsia="Times New Roman" w:cs="Times New Roman"/>
          <w:lang w:eastAsia="de-DE"/>
        </w:rPr>
        <w:t xml:space="preserve"> mit der </w:t>
      </w:r>
      <w:r w:rsidR="00B513FF">
        <w:rPr>
          <w:rFonts w:eastAsia="Times New Roman" w:cs="Times New Roman"/>
          <w:lang w:eastAsia="de-DE"/>
        </w:rPr>
        <w:t xml:space="preserve">Constructus </w:t>
      </w:r>
      <w:r w:rsidRPr="008E5E2F">
        <w:rPr>
          <w:rFonts w:eastAsia="Times New Roman" w:cs="Times New Roman"/>
          <w:lang w:eastAsia="de-DE"/>
        </w:rPr>
        <w:t xml:space="preserve">verbindung </w:t>
      </w:r>
      <w:r w:rsidRPr="008E5E2F">
        <w:rPr>
          <w:rFonts w:eastAsia="Times New Roman" w:cs="Times New Roman"/>
          <w:b/>
          <w:bCs/>
          <w:rtl/>
          <w:lang w:eastAsia="de-DE"/>
        </w:rPr>
        <w:t>מָקוֹם</w:t>
      </w:r>
      <w:r w:rsidRPr="008E5E2F">
        <w:rPr>
          <w:rFonts w:eastAsia="Times New Roman" w:cs="Times New Roman"/>
          <w:lang w:eastAsia="de-DE"/>
        </w:rPr>
        <w:t xml:space="preserve">, „Ort", und </w:t>
      </w:r>
      <w:r w:rsidRPr="008E5E2F">
        <w:rPr>
          <w:rFonts w:eastAsia="Times New Roman" w:cs="Times New Roman"/>
          <w:b/>
          <w:bCs/>
          <w:rtl/>
          <w:lang w:eastAsia="de-DE"/>
        </w:rPr>
        <w:t>אַחֵר</w:t>
      </w:r>
      <w:r w:rsidRPr="008E5E2F">
        <w:rPr>
          <w:rFonts w:eastAsia="Times New Roman" w:cs="Times New Roman"/>
          <w:lang w:eastAsia="de-DE"/>
        </w:rPr>
        <w:t>, „anderer") zeigt das Ziel der Reise. Balak hofft offenbar, dass ein Ortswechsel das Ergebnis ändern könnte – eine magische Vorstellung, die das Wesen der Prophetie missversteht.</w:t>
      </w:r>
    </w:p>
    <w:p w14:paraId="4424EA18" w14:textId="5C03007F"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Partikel </w:t>
      </w:r>
      <w:r w:rsidRPr="008E5E2F">
        <w:rPr>
          <w:rFonts w:eastAsia="Times New Roman" w:cs="Times New Roman"/>
          <w:b/>
          <w:bCs/>
          <w:rtl/>
          <w:lang w:eastAsia="de-DE"/>
        </w:rPr>
        <w:t>אוּלַי</w:t>
      </w:r>
      <w:r w:rsidRPr="008E5E2F">
        <w:rPr>
          <w:rFonts w:eastAsia="Times New Roman" w:cs="Times New Roman"/>
          <w:rtl/>
          <w:lang w:eastAsia="de-DE"/>
        </w:rPr>
        <w:t xml:space="preserve"> </w:t>
      </w:r>
      <w:r w:rsidRPr="008E5E2F">
        <w:rPr>
          <w:rFonts w:eastAsia="Times New Roman" w:cs="Times New Roman"/>
          <w:lang w:eastAsia="de-DE"/>
        </w:rPr>
        <w:t xml:space="preserve">(„vielleicht") drückt Unsicherheit und Hoffnung aus. Das Verb </w:t>
      </w:r>
      <w:r w:rsidRPr="008E5E2F">
        <w:rPr>
          <w:rFonts w:eastAsia="Times New Roman" w:cs="Times New Roman"/>
          <w:b/>
          <w:bCs/>
          <w:rtl/>
          <w:lang w:eastAsia="de-DE"/>
        </w:rPr>
        <w:t>יִישַׁר</w:t>
      </w:r>
      <w:r w:rsidRPr="008E5E2F">
        <w:rPr>
          <w:rFonts w:eastAsia="Times New Roman" w:cs="Times New Roman"/>
          <w:rtl/>
          <w:lang w:eastAsia="de-DE"/>
        </w:rPr>
        <w:t xml:space="preserve"> </w:t>
      </w:r>
      <w:r w:rsidRPr="008E5E2F">
        <w:rPr>
          <w:rFonts w:eastAsia="Times New Roman" w:cs="Times New Roman"/>
          <w:lang w:eastAsia="de-DE"/>
        </w:rPr>
        <w:t xml:space="preserve">(Qal Imperfekt 3. m. Sg. von </w:t>
      </w:r>
      <w:r w:rsidRPr="008E5E2F">
        <w:rPr>
          <w:rFonts w:eastAsia="Times New Roman" w:cs="Times New Roman"/>
          <w:rtl/>
          <w:lang w:eastAsia="de-DE"/>
        </w:rPr>
        <w:t>ישׁר</w:t>
      </w:r>
      <w:r w:rsidRPr="008E5E2F">
        <w:rPr>
          <w:rFonts w:eastAsia="Times New Roman" w:cs="Times New Roman"/>
          <w:lang w:eastAsia="de-DE"/>
        </w:rPr>
        <w:t xml:space="preserve">, „es wird recht sein, es wird gefallen") beschreibt, was Balak erhofft. Die Präpositionalphrase </w:t>
      </w:r>
      <w:r w:rsidRPr="008E5E2F">
        <w:rPr>
          <w:rFonts w:eastAsia="Times New Roman" w:cs="Times New Roman"/>
          <w:b/>
          <w:bCs/>
          <w:rtl/>
          <w:lang w:eastAsia="de-DE"/>
        </w:rPr>
        <w:t>בְּעֵינֵי הָאֱלֹהִים</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בְּ</w:t>
      </w:r>
      <w:r w:rsidRPr="008E5E2F">
        <w:rPr>
          <w:rFonts w:eastAsia="Times New Roman" w:cs="Times New Roman"/>
          <w:lang w:eastAsia="de-DE"/>
        </w:rPr>
        <w:t xml:space="preserve"> mit der </w:t>
      </w:r>
      <w:r w:rsidR="00B513FF">
        <w:rPr>
          <w:rFonts w:eastAsia="Times New Roman" w:cs="Times New Roman"/>
          <w:lang w:eastAsia="de-DE"/>
        </w:rPr>
        <w:t xml:space="preserve">Constructus </w:t>
      </w:r>
      <w:r w:rsidRPr="008E5E2F">
        <w:rPr>
          <w:rFonts w:eastAsia="Times New Roman" w:cs="Times New Roman"/>
          <w:lang w:eastAsia="de-DE"/>
        </w:rPr>
        <w:t xml:space="preserve">verbindung </w:t>
      </w:r>
      <w:r w:rsidRPr="008E5E2F">
        <w:rPr>
          <w:rFonts w:eastAsia="Times New Roman" w:cs="Times New Roman"/>
          <w:b/>
          <w:bCs/>
          <w:rtl/>
          <w:lang w:eastAsia="de-DE"/>
        </w:rPr>
        <w:t>עֵינַיִם</w:t>
      </w:r>
      <w:r w:rsidRPr="008E5E2F">
        <w:rPr>
          <w:rFonts w:eastAsia="Times New Roman" w:cs="Times New Roman"/>
          <w:lang w:eastAsia="de-DE"/>
        </w:rPr>
        <w:t xml:space="preserve">, „Augen", Dual mit Artikel, und </w:t>
      </w:r>
      <w:r w:rsidRPr="008E5E2F">
        <w:rPr>
          <w:rFonts w:eastAsia="Times New Roman" w:cs="Times New Roman"/>
          <w:b/>
          <w:bCs/>
          <w:rtl/>
          <w:lang w:eastAsia="de-DE"/>
        </w:rPr>
        <w:t>הָאֱלֹהִים</w:t>
      </w:r>
      <w:r w:rsidRPr="008E5E2F">
        <w:rPr>
          <w:rFonts w:eastAsia="Times New Roman" w:cs="Times New Roman"/>
          <w:lang w:eastAsia="de-DE"/>
        </w:rPr>
        <w:t>, „Gott") ist eine idiomatische Wendung für „in den Augen Gottes", was „nach Gottes Willen, Gott gefällig" bedeutet.</w:t>
      </w:r>
    </w:p>
    <w:p w14:paraId="573583EB"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Das Verb </w:t>
      </w:r>
      <w:r w:rsidRPr="008E5E2F">
        <w:rPr>
          <w:rFonts w:eastAsia="Times New Roman" w:cs="Times New Roman"/>
          <w:b/>
          <w:bCs/>
          <w:rtl/>
          <w:lang w:eastAsia="de-DE"/>
        </w:rPr>
        <w:t>וְקַבֹּתוֹ</w:t>
      </w:r>
      <w:r w:rsidRPr="008E5E2F">
        <w:rPr>
          <w:rFonts w:eastAsia="Times New Roman" w:cs="Times New Roman"/>
          <w:rtl/>
          <w:lang w:eastAsia="de-DE"/>
        </w:rPr>
        <w:t xml:space="preserve"> </w:t>
      </w:r>
      <w:r w:rsidRPr="008E5E2F">
        <w:rPr>
          <w:rFonts w:eastAsia="Times New Roman" w:cs="Times New Roman"/>
          <w:lang w:eastAsia="de-DE"/>
        </w:rPr>
        <w:t xml:space="preserve">(Piel Perfekt 2. m. Sg. von </w:t>
      </w:r>
      <w:r w:rsidRPr="008E5E2F">
        <w:rPr>
          <w:rFonts w:eastAsia="Times New Roman" w:cs="Times New Roman"/>
          <w:rtl/>
          <w:lang w:eastAsia="de-DE"/>
        </w:rPr>
        <w:t>קבב</w:t>
      </w:r>
      <w:r w:rsidRPr="008E5E2F">
        <w:rPr>
          <w:rFonts w:eastAsia="Times New Roman" w:cs="Times New Roman"/>
          <w:lang w:eastAsia="de-DE"/>
        </w:rPr>
        <w:t xml:space="preserve"> mit Objektsuffix 3. m. Sg., „und du verfluchst es") steht nach </w:t>
      </w:r>
      <w:r w:rsidRPr="008E5E2F">
        <w:rPr>
          <w:rFonts w:eastAsia="Times New Roman" w:cs="Times New Roman"/>
          <w:b/>
          <w:bCs/>
          <w:rtl/>
          <w:lang w:eastAsia="de-DE"/>
        </w:rPr>
        <w:t>אוּלַי</w:t>
      </w:r>
      <w:r w:rsidRPr="008E5E2F">
        <w:rPr>
          <w:rFonts w:eastAsia="Times New Roman" w:cs="Times New Roman"/>
          <w:rtl/>
          <w:lang w:eastAsia="de-DE"/>
        </w:rPr>
        <w:t xml:space="preserve"> </w:t>
      </w:r>
      <w:r w:rsidRPr="008E5E2F">
        <w:rPr>
          <w:rFonts w:eastAsia="Times New Roman" w:cs="Times New Roman"/>
          <w:lang w:eastAsia="de-DE"/>
        </w:rPr>
        <w:t>in perfektiver Form, die hier eine erwartete oder erhoffte zukünftige Handlung ausdrückt. Die Piel-Form intensiviert die Bedeutung des Verfluchens.</w:t>
      </w:r>
    </w:p>
    <w:p w14:paraId="3B12A91C"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Präposition </w:t>
      </w:r>
      <w:r w:rsidRPr="008E5E2F">
        <w:rPr>
          <w:rFonts w:eastAsia="Times New Roman" w:cs="Times New Roman"/>
          <w:b/>
          <w:bCs/>
          <w:rtl/>
          <w:lang w:eastAsia="de-DE"/>
        </w:rPr>
        <w:t>לִי</w:t>
      </w:r>
      <w:r w:rsidRPr="008E5E2F">
        <w:rPr>
          <w:rFonts w:eastAsia="Times New Roman" w:cs="Times New Roman"/>
          <w:rtl/>
          <w:lang w:eastAsia="de-DE"/>
        </w:rPr>
        <w:t xml:space="preserve"> </w:t>
      </w:r>
      <w:r w:rsidRPr="008E5E2F">
        <w:rPr>
          <w:rFonts w:eastAsia="Times New Roman" w:cs="Times New Roman"/>
          <w:lang w:eastAsia="de-DE"/>
        </w:rPr>
        <w:t>(</w:t>
      </w:r>
      <w:r w:rsidRPr="008E5E2F">
        <w:rPr>
          <w:rFonts w:eastAsia="Times New Roman" w:cs="Times New Roman"/>
          <w:rtl/>
          <w:lang w:eastAsia="de-DE"/>
        </w:rPr>
        <w:t>לְ</w:t>
      </w:r>
      <w:r w:rsidRPr="008E5E2F">
        <w:rPr>
          <w:rFonts w:eastAsia="Times New Roman" w:cs="Times New Roman"/>
          <w:lang w:eastAsia="de-DE"/>
        </w:rPr>
        <w:t xml:space="preserve"> mit Suffix 1. c. Sg., „für mich") zeigt den Nutznießer des Fluches. Die Präpositionalphrase </w:t>
      </w:r>
      <w:r w:rsidRPr="008E5E2F">
        <w:rPr>
          <w:rFonts w:eastAsia="Times New Roman" w:cs="Times New Roman"/>
          <w:b/>
          <w:bCs/>
          <w:rtl/>
          <w:lang w:eastAsia="de-DE"/>
        </w:rPr>
        <w:t>מִשָּׁם</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מִן</w:t>
      </w:r>
      <w:r w:rsidRPr="008E5E2F">
        <w:rPr>
          <w:rFonts w:eastAsia="Times New Roman" w:cs="Times New Roman"/>
          <w:lang w:eastAsia="de-DE"/>
        </w:rPr>
        <w:t xml:space="preserve"> mit dem Adverb </w:t>
      </w:r>
      <w:r w:rsidRPr="008E5E2F">
        <w:rPr>
          <w:rFonts w:eastAsia="Times New Roman" w:cs="Times New Roman"/>
          <w:rtl/>
          <w:lang w:eastAsia="de-DE"/>
        </w:rPr>
        <w:t>שָׁם</w:t>
      </w:r>
      <w:r w:rsidRPr="008E5E2F">
        <w:rPr>
          <w:rFonts w:eastAsia="Times New Roman" w:cs="Times New Roman"/>
          <w:lang w:eastAsia="de-DE"/>
        </w:rPr>
        <w:t>, „von dort") bezeichnet den Ort, von dem aus der Fluch ausgesprochen werden soll.</w:t>
      </w:r>
    </w:p>
    <w:p w14:paraId="55EE6FBC"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Die LXX</w:t>
      </w:r>
      <w:r w:rsidRPr="008E5E2F">
        <w:rPr>
          <w:rFonts w:eastAsia="Times New Roman" w:cs="Times New Roman"/>
          <w:lang w:eastAsia="de-DE"/>
        </w:rPr>
        <w:t xml:space="preserve"> übersetzt </w:t>
      </w:r>
      <w:r w:rsidRPr="008E5E2F">
        <w:rPr>
          <w:rFonts w:eastAsia="Times New Roman" w:cs="Times New Roman"/>
          <w:b/>
          <w:bCs/>
          <w:rtl/>
          <w:lang w:eastAsia="de-DE"/>
        </w:rPr>
        <w:t>לְכָה־נָא</w:t>
      </w:r>
      <w:r w:rsidRPr="008E5E2F">
        <w:rPr>
          <w:rFonts w:eastAsia="Times New Roman" w:cs="Times New Roman"/>
          <w:rtl/>
          <w:lang w:eastAsia="de-DE"/>
        </w:rPr>
        <w:t xml:space="preserve"> </w:t>
      </w:r>
      <w:r w:rsidRPr="008E5E2F">
        <w:rPr>
          <w:rFonts w:eastAsia="Times New Roman" w:cs="Times New Roman"/>
          <w:lang w:eastAsia="de-DE"/>
        </w:rPr>
        <w:t xml:space="preserve">mit δεῦρο δή (deuro dē, „komm doch"). Die LXX gibt </w:t>
      </w:r>
      <w:r w:rsidRPr="008E5E2F">
        <w:rPr>
          <w:rFonts w:eastAsia="Times New Roman" w:cs="Times New Roman"/>
          <w:b/>
          <w:bCs/>
          <w:rtl/>
          <w:lang w:eastAsia="de-DE"/>
        </w:rPr>
        <w:t>אֶקָּחֲךָ</w:t>
      </w:r>
      <w:r w:rsidRPr="008E5E2F">
        <w:rPr>
          <w:rFonts w:eastAsia="Times New Roman" w:cs="Times New Roman"/>
          <w:rtl/>
          <w:lang w:eastAsia="de-DE"/>
        </w:rPr>
        <w:t xml:space="preserve"> </w:t>
      </w:r>
      <w:r w:rsidRPr="008E5E2F">
        <w:rPr>
          <w:rFonts w:eastAsia="Times New Roman" w:cs="Times New Roman"/>
          <w:lang w:eastAsia="de-DE"/>
        </w:rPr>
        <w:t xml:space="preserve">mit ἀναλάβω σε (analabō se, „ich werde dich mitnehmen") wieder, wobei sie das Futur verwendet. Für </w:t>
      </w:r>
      <w:r w:rsidRPr="008E5E2F">
        <w:rPr>
          <w:rFonts w:eastAsia="Times New Roman" w:cs="Times New Roman"/>
          <w:b/>
          <w:bCs/>
          <w:rtl/>
          <w:lang w:eastAsia="de-DE"/>
        </w:rPr>
        <w:t>יִישַׁר בְּעֵינֵי הָאֱלֹהִים</w:t>
      </w:r>
      <w:r w:rsidRPr="008E5E2F">
        <w:rPr>
          <w:rFonts w:eastAsia="Times New Roman" w:cs="Times New Roman"/>
          <w:rtl/>
          <w:lang w:eastAsia="de-DE"/>
        </w:rPr>
        <w:t xml:space="preserve"> </w:t>
      </w:r>
      <w:r w:rsidRPr="008E5E2F">
        <w:rPr>
          <w:rFonts w:eastAsia="Times New Roman" w:cs="Times New Roman"/>
          <w:lang w:eastAsia="de-DE"/>
        </w:rPr>
        <w:t xml:space="preserve">verwendet die LXX εἰ ἀρέσει τῷ θεῷ (ei aresei tō theō, „ob es Gott gefallen wird"). Die LXX übersetzt </w:t>
      </w:r>
      <w:r w:rsidRPr="008E5E2F">
        <w:rPr>
          <w:rFonts w:eastAsia="Times New Roman" w:cs="Times New Roman"/>
          <w:b/>
          <w:bCs/>
          <w:rtl/>
          <w:lang w:eastAsia="de-DE"/>
        </w:rPr>
        <w:t>וְקַבֹּתוֹ לִי</w:t>
      </w:r>
      <w:r w:rsidRPr="008E5E2F">
        <w:rPr>
          <w:rFonts w:eastAsia="Times New Roman" w:cs="Times New Roman"/>
          <w:rtl/>
          <w:lang w:eastAsia="de-DE"/>
        </w:rPr>
        <w:t xml:space="preserve"> </w:t>
      </w:r>
      <w:r w:rsidRPr="008E5E2F">
        <w:rPr>
          <w:rFonts w:eastAsia="Times New Roman" w:cs="Times New Roman"/>
          <w:lang w:eastAsia="de-DE"/>
        </w:rPr>
        <w:t>mit καὶ καταράσαι αὐτόν μοι (kai katarasai auton moi, „und ihn für mich zu verfluchen"), wobei sie den Infinitiv verwendet.</w:t>
      </w:r>
    </w:p>
    <w:p w14:paraId="374173F6"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Satzstruktur besteht aus einem Hauptsatz </w:t>
      </w:r>
      <w:r w:rsidRPr="008E5E2F">
        <w:rPr>
          <w:rFonts w:eastAsia="Times New Roman" w:cs="Times New Roman"/>
          <w:b/>
          <w:bCs/>
          <w:rtl/>
          <w:lang w:eastAsia="de-DE"/>
        </w:rPr>
        <w:t>וַיֹּאמֶר בָּלָק אֶל־בִּלְעָם</w:t>
      </w:r>
      <w:r w:rsidRPr="008E5E2F">
        <w:rPr>
          <w:rFonts w:eastAsia="Times New Roman" w:cs="Times New Roman"/>
          <w:lang w:eastAsia="de-DE"/>
        </w:rPr>
        <w:t xml:space="preserve">, gefolgt von der direkten Rede. Die direkte Rede enthält drei Hauptsätze: den Imperativ </w:t>
      </w:r>
      <w:r w:rsidRPr="008E5E2F">
        <w:rPr>
          <w:rFonts w:eastAsia="Times New Roman" w:cs="Times New Roman"/>
          <w:b/>
          <w:bCs/>
          <w:rtl/>
          <w:lang w:eastAsia="de-DE"/>
        </w:rPr>
        <w:t>לְכָה־נָא</w:t>
      </w:r>
      <w:r w:rsidRPr="008E5E2F">
        <w:rPr>
          <w:rFonts w:eastAsia="Times New Roman" w:cs="Times New Roman"/>
          <w:lang w:eastAsia="de-DE"/>
        </w:rPr>
        <w:t xml:space="preserve">, den kohortativischen Satz </w:t>
      </w:r>
      <w:r w:rsidRPr="008E5E2F">
        <w:rPr>
          <w:rFonts w:eastAsia="Times New Roman" w:cs="Times New Roman"/>
          <w:b/>
          <w:bCs/>
          <w:rtl/>
          <w:lang w:eastAsia="de-DE"/>
        </w:rPr>
        <w:t>אֶקָּחֲךָ אֶל־מָקוֹם אַחֵר</w:t>
      </w:r>
      <w:r w:rsidRPr="008E5E2F">
        <w:rPr>
          <w:rFonts w:eastAsia="Times New Roman" w:cs="Times New Roman"/>
          <w:lang w:eastAsia="de-DE"/>
        </w:rPr>
        <w:t xml:space="preserve">, und den Satz mit </w:t>
      </w:r>
      <w:r w:rsidRPr="008E5E2F">
        <w:rPr>
          <w:rFonts w:eastAsia="Times New Roman" w:cs="Times New Roman"/>
          <w:b/>
          <w:bCs/>
          <w:rtl/>
          <w:lang w:eastAsia="de-DE"/>
        </w:rPr>
        <w:t>אוּלַי</w:t>
      </w:r>
      <w:r w:rsidRPr="008E5E2F">
        <w:rPr>
          <w:rFonts w:eastAsia="Times New Roman" w:cs="Times New Roman"/>
          <w:lang w:eastAsia="de-DE"/>
        </w:rPr>
        <w:t xml:space="preserve">, der die Hoffnung ausdrückt: </w:t>
      </w:r>
      <w:r w:rsidRPr="008E5E2F">
        <w:rPr>
          <w:rFonts w:eastAsia="Times New Roman" w:cs="Times New Roman"/>
          <w:b/>
          <w:bCs/>
          <w:rtl/>
          <w:lang w:eastAsia="de-DE"/>
        </w:rPr>
        <w:t>אוּלַי יִישַׁר בְּעֵינֵי הָאֱלֹהִים וְקַבֹּתוֹ לִי מִשָּֽׁם</w:t>
      </w:r>
      <w:r w:rsidRPr="008E5E2F">
        <w:rPr>
          <w:rFonts w:eastAsia="Times New Roman" w:cs="Times New Roman"/>
          <w:lang w:eastAsia="de-DE"/>
        </w:rPr>
        <w:t>.</w:t>
      </w:r>
    </w:p>
    <w:p w14:paraId="650A7716"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Der Vers zeigt Balaks hartnäckige Weigerung, die göttliche Botschaft zu akzeptieren. Trotz zweimaliger eindeutiger Segnungen Israels durch Bileam versucht Balak es ein drittes Mal. Seine Hoffnung, dass ein anderer Ort vielleicht ein anderes Ergebnis bringen könnte, offenbart sein magisches Weltbild: Er denkt, der Ort könnte den Ausgang beeinflussen. Doch wahre Prophetie hängt nicht vom Ort ab, sondern allein von Gottes Willen. Die Formulierung </w:t>
      </w:r>
      <w:r w:rsidRPr="008E5E2F">
        <w:rPr>
          <w:rFonts w:eastAsia="Times New Roman" w:cs="Times New Roman"/>
          <w:b/>
          <w:bCs/>
          <w:rtl/>
          <w:lang w:eastAsia="de-DE"/>
        </w:rPr>
        <w:t>בְּעֵינֵי הָאֱלֹהִים</w:t>
      </w:r>
      <w:r w:rsidRPr="008E5E2F">
        <w:rPr>
          <w:rFonts w:eastAsia="Times New Roman" w:cs="Times New Roman"/>
          <w:rtl/>
          <w:lang w:eastAsia="de-DE"/>
        </w:rPr>
        <w:t xml:space="preserve"> </w:t>
      </w:r>
      <w:r w:rsidRPr="008E5E2F">
        <w:rPr>
          <w:rFonts w:eastAsia="Times New Roman" w:cs="Times New Roman"/>
          <w:lang w:eastAsia="de-DE"/>
        </w:rPr>
        <w:t>zeigt ironischerweise, dass selbst Balak erkennen muss, dass letztlich Gott entscheidet – nicht der Ort, nicht die Opfer, nicht Bileams Fähigkeiten.</w:t>
      </w:r>
    </w:p>
    <w:p w14:paraId="5D877536" w14:textId="77777777" w:rsidR="008E5E2F" w:rsidRPr="008E5E2F" w:rsidRDefault="008E5E2F" w:rsidP="008E5E2F">
      <w:pPr>
        <w:spacing w:before="100" w:beforeAutospacing="1" w:after="100" w:afterAutospacing="1" w:line="240" w:lineRule="auto"/>
        <w:outlineLvl w:val="0"/>
        <w:rPr>
          <w:rFonts w:eastAsia="Times New Roman" w:cs="Times New Roman"/>
          <w:b/>
          <w:bCs/>
          <w:kern w:val="36"/>
          <w:sz w:val="48"/>
          <w:szCs w:val="48"/>
          <w:lang w:eastAsia="de-DE"/>
        </w:rPr>
      </w:pPr>
      <w:r w:rsidRPr="008E5E2F">
        <w:rPr>
          <w:rFonts w:eastAsia="Times New Roman" w:cs="Times New Roman"/>
          <w:b/>
          <w:bCs/>
          <w:kern w:val="36"/>
          <w:sz w:val="48"/>
          <w:szCs w:val="48"/>
          <w:lang w:eastAsia="de-DE"/>
        </w:rPr>
        <w:lastRenderedPageBreak/>
        <w:t>Numeri 23,28</w:t>
      </w:r>
    </w:p>
    <w:p w14:paraId="30A879E0"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Hebräisch:</w:t>
      </w:r>
      <w:r w:rsidRPr="008E5E2F">
        <w:rPr>
          <w:rFonts w:eastAsia="Times New Roman" w:cs="Times New Roman"/>
          <w:lang w:eastAsia="de-DE"/>
        </w:rPr>
        <w:t xml:space="preserve"> </w:t>
      </w:r>
      <w:r w:rsidRPr="008E5E2F">
        <w:rPr>
          <w:rFonts w:eastAsia="Times New Roman" w:cs="Times New Roman"/>
          <w:rtl/>
          <w:lang w:eastAsia="de-DE"/>
        </w:rPr>
        <w:t>וַיִּקַּ֥ח בָּלָ֖ק אֶת־בִּלְעָ֑ם רֹ֣אשׁ הַפְּע֔וֹר הַנִּשְׁקָ֖ף עַל־פְּנֵ֥י הַיְשִׁימֹֽן׃</w:t>
      </w:r>
    </w:p>
    <w:p w14:paraId="4A58575F"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Deutsch:</w:t>
      </w:r>
      <w:r w:rsidRPr="008E5E2F">
        <w:rPr>
          <w:rFonts w:eastAsia="Times New Roman" w:cs="Times New Roman"/>
          <w:lang w:eastAsia="de-DE"/>
        </w:rPr>
        <w:t xml:space="preserve"> Und Balak nahm Bilʿam mit auf den Gipfel des Peor, der über die Fläche der Wildnis blickt.</w:t>
      </w:r>
    </w:p>
    <w:p w14:paraId="3A1CBEEA" w14:textId="77777777" w:rsidR="008E5E2F" w:rsidRPr="008E5E2F" w:rsidRDefault="00F329DD" w:rsidP="008E5E2F">
      <w:pPr>
        <w:spacing w:after="0" w:line="240" w:lineRule="auto"/>
        <w:rPr>
          <w:rFonts w:eastAsia="Times New Roman" w:cs="Times New Roman"/>
          <w:lang w:eastAsia="de-DE"/>
        </w:rPr>
      </w:pPr>
      <w:r>
        <w:rPr>
          <w:rFonts w:eastAsia="Times New Roman" w:cs="Times New Roman"/>
          <w:noProof/>
          <w:lang w:eastAsia="de-DE"/>
        </w:rPr>
        <w:pict w14:anchorId="44C7B2E1">
          <v:rect id="_x0000_i1823" style="width:0;height:1.5pt" o:hralign="center" o:hrstd="t" o:hr="t" fillcolor="#a0a0a0" stroked="f"/>
        </w:pict>
      </w:r>
    </w:p>
    <w:p w14:paraId="7BD4E3F5"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Kommentar:</w:t>
      </w:r>
      <w:r w:rsidRPr="008E5E2F">
        <w:rPr>
          <w:rFonts w:eastAsia="Times New Roman" w:cs="Times New Roman"/>
          <w:lang w:eastAsia="de-DE"/>
        </w:rPr>
        <w:t xml:space="preserve"> Das Verb </w:t>
      </w:r>
      <w:r w:rsidRPr="008E5E2F">
        <w:rPr>
          <w:rFonts w:eastAsia="Times New Roman" w:cs="Times New Roman"/>
          <w:b/>
          <w:bCs/>
          <w:rtl/>
          <w:lang w:eastAsia="de-DE"/>
        </w:rPr>
        <w:t>וַיִּקַּח</w:t>
      </w:r>
      <w:r w:rsidRPr="008E5E2F">
        <w:rPr>
          <w:rFonts w:eastAsia="Times New Roman" w:cs="Times New Roman"/>
          <w:rtl/>
          <w:lang w:eastAsia="de-DE"/>
        </w:rPr>
        <w:t xml:space="preserve"> </w:t>
      </w:r>
      <w:r w:rsidRPr="008E5E2F">
        <w:rPr>
          <w:rFonts w:eastAsia="Times New Roman" w:cs="Times New Roman"/>
          <w:lang w:eastAsia="de-DE"/>
        </w:rPr>
        <w:t xml:space="preserve">(Wayyiqtol, 3. m. Sg. von </w:t>
      </w:r>
      <w:r w:rsidRPr="008E5E2F">
        <w:rPr>
          <w:rFonts w:eastAsia="Times New Roman" w:cs="Times New Roman"/>
          <w:rtl/>
          <w:lang w:eastAsia="de-DE"/>
        </w:rPr>
        <w:t>לקח</w:t>
      </w:r>
      <w:r w:rsidRPr="008E5E2F">
        <w:rPr>
          <w:rFonts w:eastAsia="Times New Roman" w:cs="Times New Roman"/>
          <w:lang w:eastAsia="de-DE"/>
        </w:rPr>
        <w:t xml:space="preserve">, „und er nahm") beschreibt Balaks Handlung. Das Subjekt </w:t>
      </w:r>
      <w:r w:rsidRPr="008E5E2F">
        <w:rPr>
          <w:rFonts w:eastAsia="Times New Roman" w:cs="Times New Roman"/>
          <w:b/>
          <w:bCs/>
          <w:rtl/>
          <w:lang w:eastAsia="de-DE"/>
        </w:rPr>
        <w:t>בָּלָק</w:t>
      </w:r>
      <w:r w:rsidRPr="008E5E2F">
        <w:rPr>
          <w:rFonts w:eastAsia="Times New Roman" w:cs="Times New Roman"/>
          <w:rtl/>
          <w:lang w:eastAsia="de-DE"/>
        </w:rPr>
        <w:t xml:space="preserve"> </w:t>
      </w:r>
      <w:r w:rsidRPr="008E5E2F">
        <w:rPr>
          <w:rFonts w:eastAsia="Times New Roman" w:cs="Times New Roman"/>
          <w:lang w:eastAsia="de-DE"/>
        </w:rPr>
        <w:t xml:space="preserve">wird explizit genannt. Das direkte Objekt </w:t>
      </w:r>
      <w:r w:rsidRPr="008E5E2F">
        <w:rPr>
          <w:rFonts w:eastAsia="Times New Roman" w:cs="Times New Roman"/>
          <w:b/>
          <w:bCs/>
          <w:rtl/>
          <w:lang w:eastAsia="de-DE"/>
        </w:rPr>
        <w:t>אֶת־בִּלְעָם</w:t>
      </w:r>
      <w:r w:rsidRPr="008E5E2F">
        <w:rPr>
          <w:rFonts w:eastAsia="Times New Roman" w:cs="Times New Roman"/>
          <w:rtl/>
          <w:lang w:eastAsia="de-DE"/>
        </w:rPr>
        <w:t xml:space="preserve"> </w:t>
      </w:r>
      <w:r w:rsidRPr="008E5E2F">
        <w:rPr>
          <w:rFonts w:eastAsia="Times New Roman" w:cs="Times New Roman"/>
          <w:lang w:eastAsia="de-DE"/>
        </w:rPr>
        <w:t xml:space="preserve">(Objektmarker </w:t>
      </w:r>
      <w:r w:rsidRPr="008E5E2F">
        <w:rPr>
          <w:rFonts w:eastAsia="Times New Roman" w:cs="Times New Roman"/>
          <w:rtl/>
          <w:lang w:eastAsia="de-DE"/>
        </w:rPr>
        <w:t>אֶת</w:t>
      </w:r>
      <w:r w:rsidRPr="008E5E2F">
        <w:rPr>
          <w:rFonts w:eastAsia="Times New Roman" w:cs="Times New Roman"/>
          <w:lang w:eastAsia="de-DE"/>
        </w:rPr>
        <w:t xml:space="preserve"> mit </w:t>
      </w:r>
      <w:r w:rsidRPr="008E5E2F">
        <w:rPr>
          <w:rFonts w:eastAsia="Times New Roman" w:cs="Times New Roman"/>
          <w:b/>
          <w:bCs/>
          <w:rtl/>
          <w:lang w:eastAsia="de-DE"/>
        </w:rPr>
        <w:t>בִּלְעָם</w:t>
      </w:r>
      <w:r w:rsidRPr="008E5E2F">
        <w:rPr>
          <w:rFonts w:eastAsia="Times New Roman" w:cs="Times New Roman"/>
          <w:lang w:eastAsia="de-DE"/>
        </w:rPr>
        <w:t>) bezeichnet Bileam als denjenigen, der mitgenommen wird.</w:t>
      </w:r>
    </w:p>
    <w:p w14:paraId="313A1CC0"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Das Nomen </w:t>
      </w:r>
      <w:r w:rsidRPr="008E5E2F">
        <w:rPr>
          <w:rFonts w:eastAsia="Times New Roman" w:cs="Times New Roman"/>
          <w:b/>
          <w:bCs/>
          <w:rtl/>
          <w:lang w:eastAsia="de-DE"/>
        </w:rPr>
        <w:t>רֹאשׁ</w:t>
      </w:r>
      <w:r w:rsidRPr="008E5E2F">
        <w:rPr>
          <w:rFonts w:eastAsia="Times New Roman" w:cs="Times New Roman"/>
          <w:rtl/>
          <w:lang w:eastAsia="de-DE"/>
        </w:rPr>
        <w:t xml:space="preserve"> </w:t>
      </w:r>
      <w:r w:rsidRPr="008E5E2F">
        <w:rPr>
          <w:rFonts w:eastAsia="Times New Roman" w:cs="Times New Roman"/>
          <w:lang w:eastAsia="de-DE"/>
        </w:rPr>
        <w:t xml:space="preserve">(„Kopf, Gipfel", m. Sg.) mit dem Eigennamen </w:t>
      </w:r>
      <w:r w:rsidRPr="008E5E2F">
        <w:rPr>
          <w:rFonts w:eastAsia="Times New Roman" w:cs="Times New Roman"/>
          <w:b/>
          <w:bCs/>
          <w:rtl/>
          <w:lang w:eastAsia="de-DE"/>
        </w:rPr>
        <w:t>הַפְּעוֹר</w:t>
      </w:r>
      <w:r w:rsidRPr="008E5E2F">
        <w:rPr>
          <w:rFonts w:eastAsia="Times New Roman" w:cs="Times New Roman"/>
          <w:rtl/>
          <w:lang w:eastAsia="de-DE"/>
        </w:rPr>
        <w:t xml:space="preserve"> </w:t>
      </w:r>
      <w:r w:rsidRPr="008E5E2F">
        <w:rPr>
          <w:rFonts w:eastAsia="Times New Roman" w:cs="Times New Roman"/>
          <w:lang w:eastAsia="de-DE"/>
        </w:rPr>
        <w:t xml:space="preserve">(mit Artikel, „der Peor") bildet eine Genitivverbindung „Gipfel des Peor". Der </w:t>
      </w:r>
      <w:r w:rsidRPr="008E5E2F">
        <w:rPr>
          <w:rFonts w:eastAsia="Times New Roman" w:cs="Times New Roman"/>
          <w:b/>
          <w:bCs/>
          <w:rtl/>
          <w:lang w:eastAsia="de-DE"/>
        </w:rPr>
        <w:t>פְּעוֹר</w:t>
      </w:r>
      <w:r w:rsidRPr="008E5E2F">
        <w:rPr>
          <w:rFonts w:eastAsia="Times New Roman" w:cs="Times New Roman"/>
          <w:rtl/>
          <w:lang w:eastAsia="de-DE"/>
        </w:rPr>
        <w:t xml:space="preserve"> </w:t>
      </w:r>
      <w:r w:rsidRPr="008E5E2F">
        <w:rPr>
          <w:rFonts w:eastAsia="Times New Roman" w:cs="Times New Roman"/>
          <w:lang w:eastAsia="de-DE"/>
        </w:rPr>
        <w:t xml:space="preserve">ist ein Berg in Moab, der später auch als Kultstätte des Baal-Peor bekannt wird (vgl. Num 25,3). Der Artikel bei </w:t>
      </w:r>
      <w:r w:rsidRPr="008E5E2F">
        <w:rPr>
          <w:rFonts w:eastAsia="Times New Roman" w:cs="Times New Roman"/>
          <w:b/>
          <w:bCs/>
          <w:rtl/>
          <w:lang w:eastAsia="de-DE"/>
        </w:rPr>
        <w:t>הַפְּעוֹר</w:t>
      </w:r>
      <w:r w:rsidRPr="008E5E2F">
        <w:rPr>
          <w:rFonts w:eastAsia="Times New Roman" w:cs="Times New Roman"/>
          <w:rtl/>
          <w:lang w:eastAsia="de-DE"/>
        </w:rPr>
        <w:t xml:space="preserve"> </w:t>
      </w:r>
      <w:r w:rsidRPr="008E5E2F">
        <w:rPr>
          <w:rFonts w:eastAsia="Times New Roman" w:cs="Times New Roman"/>
          <w:lang w:eastAsia="de-DE"/>
        </w:rPr>
        <w:t>zeigt, dass es sich um einen bekannten, spezifischen Ort handelt.</w:t>
      </w:r>
    </w:p>
    <w:p w14:paraId="1D6DB736" w14:textId="27F7F4F1"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Das Partizip </w:t>
      </w:r>
      <w:r w:rsidRPr="008E5E2F">
        <w:rPr>
          <w:rFonts w:eastAsia="Times New Roman" w:cs="Times New Roman"/>
          <w:b/>
          <w:bCs/>
          <w:rtl/>
          <w:lang w:eastAsia="de-DE"/>
        </w:rPr>
        <w:t>הַנִּשְׁקָף</w:t>
      </w:r>
      <w:r w:rsidRPr="008E5E2F">
        <w:rPr>
          <w:rFonts w:eastAsia="Times New Roman" w:cs="Times New Roman"/>
          <w:rtl/>
          <w:lang w:eastAsia="de-DE"/>
        </w:rPr>
        <w:t xml:space="preserve"> </w:t>
      </w:r>
      <w:r w:rsidRPr="008E5E2F">
        <w:rPr>
          <w:rFonts w:eastAsia="Times New Roman" w:cs="Times New Roman"/>
          <w:lang w:eastAsia="de-DE"/>
        </w:rPr>
        <w:t xml:space="preserve">(Nifal Partizip m. Sg. von </w:t>
      </w:r>
      <w:r w:rsidRPr="008E5E2F">
        <w:rPr>
          <w:rFonts w:eastAsia="Times New Roman" w:cs="Times New Roman"/>
          <w:rtl/>
          <w:lang w:eastAsia="de-DE"/>
        </w:rPr>
        <w:t>שׁקף</w:t>
      </w:r>
      <w:r w:rsidRPr="008E5E2F">
        <w:rPr>
          <w:rFonts w:eastAsia="Times New Roman" w:cs="Times New Roman"/>
          <w:lang w:eastAsia="de-DE"/>
        </w:rPr>
        <w:t xml:space="preserve"> mit Artikel, „der hinabblickt, der überschaut") beschreibt die Lage des Berges. Die Nifal-Form hat hier passive oder reflexive Bedeutung. Die Präpositionalphrase </w:t>
      </w:r>
      <w:r w:rsidRPr="008E5E2F">
        <w:rPr>
          <w:rFonts w:eastAsia="Times New Roman" w:cs="Times New Roman"/>
          <w:b/>
          <w:bCs/>
          <w:rtl/>
          <w:lang w:eastAsia="de-DE"/>
        </w:rPr>
        <w:t>עַל־פְּנֵי הַיְשִׁימֹן</w:t>
      </w:r>
      <w:r w:rsidRPr="008E5E2F">
        <w:rPr>
          <w:rFonts w:eastAsia="Times New Roman" w:cs="Times New Roman"/>
          <w:rtl/>
          <w:lang w:eastAsia="de-DE"/>
        </w:rPr>
        <w:t xml:space="preserve"> </w:t>
      </w:r>
      <w:r w:rsidRPr="008E5E2F">
        <w:rPr>
          <w:rFonts w:eastAsia="Times New Roman" w:cs="Times New Roman"/>
          <w:lang w:eastAsia="de-DE"/>
        </w:rPr>
        <w:t xml:space="preserve">(Präposition </w:t>
      </w:r>
      <w:r w:rsidRPr="008E5E2F">
        <w:rPr>
          <w:rFonts w:eastAsia="Times New Roman" w:cs="Times New Roman"/>
          <w:rtl/>
          <w:lang w:eastAsia="de-DE"/>
        </w:rPr>
        <w:t>עַל</w:t>
      </w:r>
      <w:r w:rsidRPr="008E5E2F">
        <w:rPr>
          <w:rFonts w:eastAsia="Times New Roman" w:cs="Times New Roman"/>
          <w:lang w:eastAsia="de-DE"/>
        </w:rPr>
        <w:t xml:space="preserve"> mit der </w:t>
      </w:r>
      <w:r w:rsidR="00B513FF">
        <w:rPr>
          <w:rFonts w:eastAsia="Times New Roman" w:cs="Times New Roman"/>
          <w:lang w:eastAsia="de-DE"/>
        </w:rPr>
        <w:t xml:space="preserve">Constructus </w:t>
      </w:r>
      <w:r w:rsidRPr="008E5E2F">
        <w:rPr>
          <w:rFonts w:eastAsia="Times New Roman" w:cs="Times New Roman"/>
          <w:lang w:eastAsia="de-DE"/>
        </w:rPr>
        <w:t xml:space="preserve">verbindung </w:t>
      </w:r>
      <w:r w:rsidRPr="008E5E2F">
        <w:rPr>
          <w:rFonts w:eastAsia="Times New Roman" w:cs="Times New Roman"/>
          <w:b/>
          <w:bCs/>
          <w:rtl/>
          <w:lang w:eastAsia="de-DE"/>
        </w:rPr>
        <w:t>פְּנֵי</w:t>
      </w:r>
      <w:r w:rsidRPr="008E5E2F">
        <w:rPr>
          <w:rFonts w:eastAsia="Times New Roman" w:cs="Times New Roman"/>
          <w:lang w:eastAsia="de-DE"/>
        </w:rPr>
        <w:t xml:space="preserve">, „Angesicht", und </w:t>
      </w:r>
      <w:r w:rsidRPr="008E5E2F">
        <w:rPr>
          <w:rFonts w:eastAsia="Times New Roman" w:cs="Times New Roman"/>
          <w:b/>
          <w:bCs/>
          <w:rtl/>
          <w:lang w:eastAsia="de-DE"/>
        </w:rPr>
        <w:t>הַיְשִׁימוֹן</w:t>
      </w:r>
      <w:r w:rsidRPr="008E5E2F">
        <w:rPr>
          <w:rFonts w:eastAsia="Times New Roman" w:cs="Times New Roman"/>
          <w:rtl/>
          <w:lang w:eastAsia="de-DE"/>
        </w:rPr>
        <w:t xml:space="preserve"> </w:t>
      </w:r>
      <w:r w:rsidRPr="008E5E2F">
        <w:rPr>
          <w:rFonts w:eastAsia="Times New Roman" w:cs="Times New Roman"/>
          <w:lang w:eastAsia="de-DE"/>
        </w:rPr>
        <w:t>mit Artikel, „die Wildnis, die Einöde") beschreibt, worauf der Berg hinabblickt.</w:t>
      </w:r>
    </w:p>
    <w:p w14:paraId="151A54B5"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Das Nomen </w:t>
      </w:r>
      <w:r w:rsidRPr="008E5E2F">
        <w:rPr>
          <w:rFonts w:eastAsia="Times New Roman" w:cs="Times New Roman"/>
          <w:b/>
          <w:bCs/>
          <w:rtl/>
          <w:lang w:eastAsia="de-DE"/>
        </w:rPr>
        <w:t>יְשִׁימוֹן</w:t>
      </w:r>
      <w:r w:rsidRPr="008E5E2F">
        <w:rPr>
          <w:rFonts w:eastAsia="Times New Roman" w:cs="Times New Roman"/>
          <w:rtl/>
          <w:lang w:eastAsia="de-DE"/>
        </w:rPr>
        <w:t xml:space="preserve"> </w:t>
      </w:r>
      <w:r w:rsidRPr="008E5E2F">
        <w:rPr>
          <w:rFonts w:eastAsia="Times New Roman" w:cs="Times New Roman"/>
          <w:lang w:eastAsia="de-DE"/>
        </w:rPr>
        <w:t xml:space="preserve">bezeichnet eine öde, unbewohnte Gegend, wahrscheinlich die Wüste nordöstlich vom Toten Meer. Der Ausdruck </w:t>
      </w:r>
      <w:r w:rsidRPr="008E5E2F">
        <w:rPr>
          <w:rFonts w:eastAsia="Times New Roman" w:cs="Times New Roman"/>
          <w:b/>
          <w:bCs/>
          <w:rtl/>
          <w:lang w:eastAsia="de-DE"/>
        </w:rPr>
        <w:t>עַל־פְּנֵי</w:t>
      </w:r>
      <w:r w:rsidRPr="008E5E2F">
        <w:rPr>
          <w:rFonts w:eastAsia="Times New Roman" w:cs="Times New Roman"/>
          <w:rtl/>
          <w:lang w:eastAsia="de-DE"/>
        </w:rPr>
        <w:t xml:space="preserve"> </w:t>
      </w:r>
      <w:r w:rsidRPr="008E5E2F">
        <w:rPr>
          <w:rFonts w:eastAsia="Times New Roman" w:cs="Times New Roman"/>
          <w:lang w:eastAsia="de-DE"/>
        </w:rPr>
        <w:t>bedeutet wörtlich „auf dem Angesicht von" und idiomatisch „über, hinweg über".</w:t>
      </w:r>
    </w:p>
    <w:p w14:paraId="2E305F2C"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b/>
          <w:bCs/>
          <w:lang w:eastAsia="de-DE"/>
        </w:rPr>
        <w:t>Die LXX</w:t>
      </w:r>
      <w:r w:rsidRPr="008E5E2F">
        <w:rPr>
          <w:rFonts w:eastAsia="Times New Roman" w:cs="Times New Roman"/>
          <w:lang w:eastAsia="de-DE"/>
        </w:rPr>
        <w:t xml:space="preserve"> übersetzt </w:t>
      </w:r>
      <w:r w:rsidRPr="008E5E2F">
        <w:rPr>
          <w:rFonts w:eastAsia="Times New Roman" w:cs="Times New Roman"/>
          <w:b/>
          <w:bCs/>
          <w:rtl/>
          <w:lang w:eastAsia="de-DE"/>
        </w:rPr>
        <w:t>וַיִּקַּח</w:t>
      </w:r>
      <w:r w:rsidRPr="008E5E2F">
        <w:rPr>
          <w:rFonts w:eastAsia="Times New Roman" w:cs="Times New Roman"/>
          <w:rtl/>
          <w:lang w:eastAsia="de-DE"/>
        </w:rPr>
        <w:t xml:space="preserve"> </w:t>
      </w:r>
      <w:r w:rsidRPr="008E5E2F">
        <w:rPr>
          <w:rFonts w:eastAsia="Times New Roman" w:cs="Times New Roman"/>
          <w:lang w:eastAsia="de-DE"/>
        </w:rPr>
        <w:t xml:space="preserve">mit καὶ παρέλαβεν (kai parelaben, „und er nahm mit"). Die LXX gibt </w:t>
      </w:r>
      <w:r w:rsidRPr="008E5E2F">
        <w:rPr>
          <w:rFonts w:eastAsia="Times New Roman" w:cs="Times New Roman"/>
          <w:b/>
          <w:bCs/>
          <w:rtl/>
          <w:lang w:eastAsia="de-DE"/>
        </w:rPr>
        <w:t>רֹאשׁ הַפְּעוֹר</w:t>
      </w:r>
      <w:r w:rsidRPr="008E5E2F">
        <w:rPr>
          <w:rFonts w:eastAsia="Times New Roman" w:cs="Times New Roman"/>
          <w:rtl/>
          <w:lang w:eastAsia="de-DE"/>
        </w:rPr>
        <w:t xml:space="preserve"> </w:t>
      </w:r>
      <w:r w:rsidRPr="008E5E2F">
        <w:rPr>
          <w:rFonts w:eastAsia="Times New Roman" w:cs="Times New Roman"/>
          <w:lang w:eastAsia="de-DE"/>
        </w:rPr>
        <w:t xml:space="preserve">mit ἐπὶ κορυφὴν τοῦ Φογώρ (epi koryphēn tou Phogōr, „auf den Gipfel des Phogor") wieder. Für </w:t>
      </w:r>
      <w:r w:rsidRPr="008E5E2F">
        <w:rPr>
          <w:rFonts w:eastAsia="Times New Roman" w:cs="Times New Roman"/>
          <w:b/>
          <w:bCs/>
          <w:rtl/>
          <w:lang w:eastAsia="de-DE"/>
        </w:rPr>
        <w:t>הַנִּשְׁקָף</w:t>
      </w:r>
      <w:r w:rsidRPr="008E5E2F">
        <w:rPr>
          <w:rFonts w:eastAsia="Times New Roman" w:cs="Times New Roman"/>
          <w:rtl/>
          <w:lang w:eastAsia="de-DE"/>
        </w:rPr>
        <w:t xml:space="preserve"> </w:t>
      </w:r>
      <w:r w:rsidRPr="008E5E2F">
        <w:rPr>
          <w:rFonts w:eastAsia="Times New Roman" w:cs="Times New Roman"/>
          <w:lang w:eastAsia="de-DE"/>
        </w:rPr>
        <w:t xml:space="preserve">verwendet die LXX τὸ παρακύπτον (to parakupton, „das hinabblickt"). Die LXX übersetzt </w:t>
      </w:r>
      <w:r w:rsidRPr="008E5E2F">
        <w:rPr>
          <w:rFonts w:eastAsia="Times New Roman" w:cs="Times New Roman"/>
          <w:b/>
          <w:bCs/>
          <w:rtl/>
          <w:lang w:eastAsia="de-DE"/>
        </w:rPr>
        <w:t>עַל־פְּנֵי הַיְשִׁימֹן</w:t>
      </w:r>
      <w:r w:rsidRPr="008E5E2F">
        <w:rPr>
          <w:rFonts w:eastAsia="Times New Roman" w:cs="Times New Roman"/>
          <w:rtl/>
          <w:lang w:eastAsia="de-DE"/>
        </w:rPr>
        <w:t xml:space="preserve"> </w:t>
      </w:r>
      <w:r w:rsidRPr="008E5E2F">
        <w:rPr>
          <w:rFonts w:eastAsia="Times New Roman" w:cs="Times New Roman"/>
          <w:lang w:eastAsia="de-DE"/>
        </w:rPr>
        <w:t>mit ἐπὶ πρόσωπον τῆς ἐρήμου (epi prosōpon tēs erēmou, „auf das Angesicht der Wüste").</w:t>
      </w:r>
    </w:p>
    <w:p w14:paraId="10BFF666"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 xml:space="preserve">Die Satzstruktur besteht aus einem Hauptsatz </w:t>
      </w:r>
      <w:r w:rsidRPr="008E5E2F">
        <w:rPr>
          <w:rFonts w:eastAsia="Times New Roman" w:cs="Times New Roman"/>
          <w:b/>
          <w:bCs/>
          <w:rtl/>
          <w:lang w:eastAsia="de-DE"/>
        </w:rPr>
        <w:t>וַיִּקַּח בָּלָק אֶת־בִּלְעָם</w:t>
      </w:r>
      <w:r w:rsidRPr="008E5E2F">
        <w:rPr>
          <w:rFonts w:eastAsia="Times New Roman" w:cs="Times New Roman"/>
          <w:rtl/>
          <w:lang w:eastAsia="de-DE"/>
        </w:rPr>
        <w:t xml:space="preserve"> </w:t>
      </w:r>
      <w:r w:rsidRPr="008E5E2F">
        <w:rPr>
          <w:rFonts w:eastAsia="Times New Roman" w:cs="Times New Roman"/>
          <w:lang w:eastAsia="de-DE"/>
        </w:rPr>
        <w:t xml:space="preserve">mit Verb, Subjekt und Objekt. Die adverbiale Ortsbestimmung </w:t>
      </w:r>
      <w:r w:rsidRPr="008E5E2F">
        <w:rPr>
          <w:rFonts w:eastAsia="Times New Roman" w:cs="Times New Roman"/>
          <w:b/>
          <w:bCs/>
          <w:rtl/>
          <w:lang w:eastAsia="de-DE"/>
        </w:rPr>
        <w:t>רֹאשׁ הַפְּעוֹר</w:t>
      </w:r>
      <w:r w:rsidRPr="008E5E2F">
        <w:rPr>
          <w:rFonts w:eastAsia="Times New Roman" w:cs="Times New Roman"/>
          <w:rtl/>
          <w:lang w:eastAsia="de-DE"/>
        </w:rPr>
        <w:t xml:space="preserve"> </w:t>
      </w:r>
      <w:r w:rsidRPr="008E5E2F">
        <w:rPr>
          <w:rFonts w:eastAsia="Times New Roman" w:cs="Times New Roman"/>
          <w:lang w:eastAsia="de-DE"/>
        </w:rPr>
        <w:t xml:space="preserve">zeigt das Ziel der Bewegung. Der relativische Partizipialsatz </w:t>
      </w:r>
      <w:r w:rsidRPr="008E5E2F">
        <w:rPr>
          <w:rFonts w:eastAsia="Times New Roman" w:cs="Times New Roman"/>
          <w:b/>
          <w:bCs/>
          <w:rtl/>
          <w:lang w:eastAsia="de-DE"/>
        </w:rPr>
        <w:t>הַנִּשְׁקָף עַל־פְּנֵי הַיְשִׁימֹן</w:t>
      </w:r>
      <w:r w:rsidRPr="008E5E2F">
        <w:rPr>
          <w:rFonts w:eastAsia="Times New Roman" w:cs="Times New Roman"/>
          <w:rtl/>
          <w:lang w:eastAsia="de-DE"/>
        </w:rPr>
        <w:t xml:space="preserve"> </w:t>
      </w:r>
      <w:r w:rsidRPr="008E5E2F">
        <w:rPr>
          <w:rFonts w:eastAsia="Times New Roman" w:cs="Times New Roman"/>
          <w:lang w:eastAsia="de-DE"/>
        </w:rPr>
        <w:t xml:space="preserve">beschreibt näher die Lage des Berges und fungiert als Attribut zu </w:t>
      </w:r>
      <w:r w:rsidRPr="008E5E2F">
        <w:rPr>
          <w:rFonts w:eastAsia="Times New Roman" w:cs="Times New Roman"/>
          <w:b/>
          <w:bCs/>
          <w:rtl/>
          <w:lang w:eastAsia="de-DE"/>
        </w:rPr>
        <w:t>הַפְּעוֹר</w:t>
      </w:r>
      <w:r w:rsidRPr="008E5E2F">
        <w:rPr>
          <w:rFonts w:eastAsia="Times New Roman" w:cs="Times New Roman"/>
          <w:lang w:eastAsia="de-DE"/>
        </w:rPr>
        <w:t>.</w:t>
      </w:r>
    </w:p>
    <w:p w14:paraId="2F5C719C" w14:textId="77777777" w:rsidR="008E5E2F" w:rsidRPr="008E5E2F" w:rsidRDefault="008E5E2F" w:rsidP="008E5E2F">
      <w:pPr>
        <w:spacing w:before="100" w:beforeAutospacing="1" w:after="100" w:afterAutospacing="1" w:line="240" w:lineRule="auto"/>
        <w:rPr>
          <w:rFonts w:eastAsia="Times New Roman" w:cs="Times New Roman"/>
          <w:lang w:eastAsia="de-DE"/>
        </w:rPr>
      </w:pPr>
      <w:r w:rsidRPr="008E5E2F">
        <w:rPr>
          <w:rFonts w:eastAsia="Times New Roman" w:cs="Times New Roman"/>
          <w:lang w:eastAsia="de-DE"/>
        </w:rPr>
        <w:t>Der Vers beschreibt den dritten und letzten Versuch Balaks, einen Fluch über Israel zu erwirken. Der Peor-Berg hatte wahrscheinlich kultische Bedeutung und bot einen strategischen Ausblick über die Wüste, wo Israel lagerte. Die Ortswahl könnte Balaks magisches Denken widerspiegeln: Er hofft, dass dieser spezifische, möglicherweise kultisch bedeutsame Ort bessere Bedingungen für einen wirksamen Fluch bieten würde. Doch wie die folgenden Verse zeigen werden, ist auch dieser Versuch zum Scheitern verurteilt – Gottes Wille lässt sich nicht durch Ortswechsel manipulieren.</w:t>
      </w:r>
    </w:p>
    <w:p w14:paraId="45F2D65D" w14:textId="77777777" w:rsidR="00CF5304" w:rsidRPr="00CF5304" w:rsidRDefault="00CF5304" w:rsidP="00CF5304">
      <w:pPr>
        <w:spacing w:before="100" w:beforeAutospacing="1" w:after="100" w:afterAutospacing="1" w:line="240" w:lineRule="auto"/>
        <w:outlineLvl w:val="0"/>
        <w:rPr>
          <w:rFonts w:eastAsia="Times New Roman" w:cs="Times New Roman"/>
          <w:b/>
          <w:bCs/>
          <w:kern w:val="36"/>
          <w:sz w:val="48"/>
          <w:szCs w:val="48"/>
          <w:lang w:eastAsia="de-DE"/>
        </w:rPr>
      </w:pPr>
      <w:r w:rsidRPr="00CF5304">
        <w:rPr>
          <w:rFonts w:eastAsia="Times New Roman" w:cs="Times New Roman"/>
          <w:b/>
          <w:bCs/>
          <w:kern w:val="36"/>
          <w:sz w:val="48"/>
          <w:szCs w:val="48"/>
          <w:lang w:eastAsia="de-DE"/>
        </w:rPr>
        <w:t>Numeri 23,29</w:t>
      </w:r>
    </w:p>
    <w:p w14:paraId="1016818F"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lastRenderedPageBreak/>
        <w:t>Hebräisch:</w:t>
      </w:r>
      <w:r w:rsidRPr="00CF5304">
        <w:rPr>
          <w:rFonts w:eastAsia="Times New Roman" w:cs="Times New Roman"/>
          <w:lang w:eastAsia="de-DE"/>
        </w:rPr>
        <w:t xml:space="preserve"> </w:t>
      </w:r>
      <w:r w:rsidRPr="00CF5304">
        <w:rPr>
          <w:rFonts w:eastAsia="Times New Roman" w:cs="Times New Roman"/>
          <w:rtl/>
          <w:lang w:eastAsia="de-DE"/>
        </w:rPr>
        <w:t>וַיֹּ֤אמֶר בִּלְעָם֙ אֶל־בָּלָ֔ק בְּנֵה־לִ֥י בָזֶ֖ה שִׁבְעָ֣ה מִזְבְּחֹ֑ת וְהָכֵ֥ן לִי֙ בָּזֶ֔ה שִׁבְעָ֥ה פָרִ֖ים וְשִׁבְעָ֥ה אֵילִֽים׃</w:t>
      </w:r>
    </w:p>
    <w:p w14:paraId="4A750146"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Deutsch:</w:t>
      </w:r>
      <w:r w:rsidRPr="00CF5304">
        <w:rPr>
          <w:rFonts w:eastAsia="Times New Roman" w:cs="Times New Roman"/>
          <w:lang w:eastAsia="de-DE"/>
        </w:rPr>
        <w:t xml:space="preserve"> Und Bilʿam sprach zu Balak: „Baue mir hier sieben Altäre und bereite mir hier sieben Stiere und sieben Widder zu."</w:t>
      </w:r>
    </w:p>
    <w:p w14:paraId="05BEA85C" w14:textId="77777777" w:rsidR="00CF5304" w:rsidRPr="00CF5304" w:rsidRDefault="00F329DD" w:rsidP="00CF5304">
      <w:pPr>
        <w:spacing w:after="0" w:line="240" w:lineRule="auto"/>
        <w:rPr>
          <w:rFonts w:eastAsia="Times New Roman" w:cs="Times New Roman"/>
          <w:lang w:eastAsia="de-DE"/>
        </w:rPr>
      </w:pPr>
      <w:r>
        <w:rPr>
          <w:rFonts w:eastAsia="Times New Roman" w:cs="Times New Roman"/>
          <w:noProof/>
          <w:lang w:eastAsia="de-DE"/>
        </w:rPr>
        <w:pict w14:anchorId="1888DC43">
          <v:rect id="_x0000_i1824" style="width:0;height:1.5pt" o:hralign="center" o:hrstd="t" o:hr="t" fillcolor="#a0a0a0" stroked="f"/>
        </w:pict>
      </w:r>
    </w:p>
    <w:p w14:paraId="7E4D814C"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Kommentar:</w:t>
      </w:r>
      <w:r w:rsidRPr="00CF5304">
        <w:rPr>
          <w:rFonts w:eastAsia="Times New Roman" w:cs="Times New Roman"/>
          <w:lang w:eastAsia="de-DE"/>
        </w:rPr>
        <w:t xml:space="preserve"> Das Verb </w:t>
      </w:r>
      <w:r w:rsidRPr="00CF5304">
        <w:rPr>
          <w:rFonts w:eastAsia="Times New Roman" w:cs="Times New Roman"/>
          <w:b/>
          <w:bCs/>
          <w:rtl/>
          <w:lang w:eastAsia="de-DE"/>
        </w:rPr>
        <w:t>וַיֹּאמֶר</w:t>
      </w:r>
      <w:r w:rsidRPr="00CF5304">
        <w:rPr>
          <w:rFonts w:eastAsia="Times New Roman" w:cs="Times New Roman"/>
          <w:rtl/>
          <w:lang w:eastAsia="de-DE"/>
        </w:rPr>
        <w:t xml:space="preserve"> </w:t>
      </w:r>
      <w:r w:rsidRPr="00CF5304">
        <w:rPr>
          <w:rFonts w:eastAsia="Times New Roman" w:cs="Times New Roman"/>
          <w:lang w:eastAsia="de-DE"/>
        </w:rPr>
        <w:t xml:space="preserve">(Wayyiqtol, 3. m. Sg. von </w:t>
      </w:r>
      <w:r w:rsidRPr="00CF5304">
        <w:rPr>
          <w:rFonts w:eastAsia="Times New Roman" w:cs="Times New Roman"/>
          <w:rtl/>
          <w:lang w:eastAsia="de-DE"/>
        </w:rPr>
        <w:t>אמר</w:t>
      </w:r>
      <w:r w:rsidRPr="00CF5304">
        <w:rPr>
          <w:rFonts w:eastAsia="Times New Roman" w:cs="Times New Roman"/>
          <w:lang w:eastAsia="de-DE"/>
        </w:rPr>
        <w:t xml:space="preserve">) leitet Bileams Anweisung ein. Das Subjekt </w:t>
      </w:r>
      <w:r w:rsidRPr="00CF5304">
        <w:rPr>
          <w:rFonts w:eastAsia="Times New Roman" w:cs="Times New Roman"/>
          <w:b/>
          <w:bCs/>
          <w:rtl/>
          <w:lang w:eastAsia="de-DE"/>
        </w:rPr>
        <w:t>בִּלְעָם</w:t>
      </w:r>
      <w:r w:rsidRPr="00CF5304">
        <w:rPr>
          <w:rFonts w:eastAsia="Times New Roman" w:cs="Times New Roman"/>
          <w:rtl/>
          <w:lang w:eastAsia="de-DE"/>
        </w:rPr>
        <w:t xml:space="preserve"> </w:t>
      </w:r>
      <w:r w:rsidRPr="00CF5304">
        <w:rPr>
          <w:rFonts w:eastAsia="Times New Roman" w:cs="Times New Roman"/>
          <w:lang w:eastAsia="de-DE"/>
        </w:rPr>
        <w:t xml:space="preserve">wird explizit genannt. Die Präpositionalphrase </w:t>
      </w:r>
      <w:r w:rsidRPr="00CF5304">
        <w:rPr>
          <w:rFonts w:eastAsia="Times New Roman" w:cs="Times New Roman"/>
          <w:b/>
          <w:bCs/>
          <w:rtl/>
          <w:lang w:eastAsia="de-DE"/>
        </w:rPr>
        <w:t>אֶל־בָּלָק</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אֶל</w:t>
      </w:r>
      <w:r w:rsidRPr="00CF5304">
        <w:rPr>
          <w:rFonts w:eastAsia="Times New Roman" w:cs="Times New Roman"/>
          <w:lang w:eastAsia="de-DE"/>
        </w:rPr>
        <w:t xml:space="preserve"> mit </w:t>
      </w:r>
      <w:r w:rsidRPr="00CF5304">
        <w:rPr>
          <w:rFonts w:eastAsia="Times New Roman" w:cs="Times New Roman"/>
          <w:b/>
          <w:bCs/>
          <w:rtl/>
          <w:lang w:eastAsia="de-DE"/>
        </w:rPr>
        <w:t>בָּלָק</w:t>
      </w:r>
      <w:r w:rsidRPr="00CF5304">
        <w:rPr>
          <w:rFonts w:eastAsia="Times New Roman" w:cs="Times New Roman"/>
          <w:lang w:eastAsia="de-DE"/>
        </w:rPr>
        <w:t>) bezeichnet den Adressaten.</w:t>
      </w:r>
    </w:p>
    <w:p w14:paraId="7E66436E"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Imperativ </w:t>
      </w:r>
      <w:r w:rsidRPr="00CF5304">
        <w:rPr>
          <w:rFonts w:eastAsia="Times New Roman" w:cs="Times New Roman"/>
          <w:b/>
          <w:bCs/>
          <w:rtl/>
          <w:lang w:eastAsia="de-DE"/>
        </w:rPr>
        <w:t>בְּנֵה</w:t>
      </w:r>
      <w:r w:rsidRPr="00CF5304">
        <w:rPr>
          <w:rFonts w:eastAsia="Times New Roman" w:cs="Times New Roman"/>
          <w:rtl/>
          <w:lang w:eastAsia="de-DE"/>
        </w:rPr>
        <w:t xml:space="preserve"> </w:t>
      </w:r>
      <w:r w:rsidRPr="00CF5304">
        <w:rPr>
          <w:rFonts w:eastAsia="Times New Roman" w:cs="Times New Roman"/>
          <w:lang w:eastAsia="de-DE"/>
        </w:rPr>
        <w:t xml:space="preserve">(Qal Imperativ m. Sg. von </w:t>
      </w:r>
      <w:r w:rsidRPr="00CF5304">
        <w:rPr>
          <w:rFonts w:eastAsia="Times New Roman" w:cs="Times New Roman"/>
          <w:rtl/>
          <w:lang w:eastAsia="de-DE"/>
        </w:rPr>
        <w:t>בנה</w:t>
      </w:r>
      <w:r w:rsidRPr="00CF5304">
        <w:rPr>
          <w:rFonts w:eastAsia="Times New Roman" w:cs="Times New Roman"/>
          <w:lang w:eastAsia="de-DE"/>
        </w:rPr>
        <w:t xml:space="preserve">, „baue") fordert Balak zum Bau der Altäre auf. Die Präposition </w:t>
      </w:r>
      <w:r w:rsidRPr="00CF5304">
        <w:rPr>
          <w:rFonts w:eastAsia="Times New Roman" w:cs="Times New Roman"/>
          <w:b/>
          <w:bCs/>
          <w:rtl/>
          <w:lang w:eastAsia="de-DE"/>
        </w:rPr>
        <w:t>לִי</w:t>
      </w:r>
      <w:r w:rsidRPr="00CF5304">
        <w:rPr>
          <w:rFonts w:eastAsia="Times New Roman" w:cs="Times New Roman"/>
          <w:rtl/>
          <w:lang w:eastAsia="de-DE"/>
        </w:rPr>
        <w:t xml:space="preserve"> </w:t>
      </w:r>
      <w:r w:rsidRPr="00CF5304">
        <w:rPr>
          <w:rFonts w:eastAsia="Times New Roman" w:cs="Times New Roman"/>
          <w:lang w:eastAsia="de-DE"/>
        </w:rPr>
        <w:t>(</w:t>
      </w:r>
      <w:r w:rsidRPr="00CF5304">
        <w:rPr>
          <w:rFonts w:eastAsia="Times New Roman" w:cs="Times New Roman"/>
          <w:rtl/>
          <w:lang w:eastAsia="de-DE"/>
        </w:rPr>
        <w:t>לְ</w:t>
      </w:r>
      <w:r w:rsidRPr="00CF5304">
        <w:rPr>
          <w:rFonts w:eastAsia="Times New Roman" w:cs="Times New Roman"/>
          <w:lang w:eastAsia="de-DE"/>
        </w:rPr>
        <w:t xml:space="preserve"> mit Suffix 1. c. Sg., „für mich") zeigt den Nutznießer. Das Demonstrativpronomen </w:t>
      </w:r>
      <w:r w:rsidRPr="00CF5304">
        <w:rPr>
          <w:rFonts w:eastAsia="Times New Roman" w:cs="Times New Roman"/>
          <w:b/>
          <w:bCs/>
          <w:rtl/>
          <w:lang w:eastAsia="de-DE"/>
        </w:rPr>
        <w:t>בָזֶה</w:t>
      </w:r>
      <w:r w:rsidRPr="00CF5304">
        <w:rPr>
          <w:rFonts w:eastAsia="Times New Roman" w:cs="Times New Roman"/>
          <w:rtl/>
          <w:lang w:eastAsia="de-DE"/>
        </w:rPr>
        <w:t xml:space="preserve"> </w:t>
      </w:r>
      <w:r w:rsidRPr="00CF5304">
        <w:rPr>
          <w:rFonts w:eastAsia="Times New Roman" w:cs="Times New Roman"/>
          <w:lang w:eastAsia="de-DE"/>
        </w:rPr>
        <w:t xml:space="preserve">(„hier") mit der Präposition </w:t>
      </w:r>
      <w:r w:rsidRPr="00CF5304">
        <w:rPr>
          <w:rFonts w:eastAsia="Times New Roman" w:cs="Times New Roman"/>
          <w:rtl/>
          <w:lang w:eastAsia="de-DE"/>
        </w:rPr>
        <w:t>בְּ</w:t>
      </w:r>
      <w:r w:rsidRPr="00CF5304">
        <w:rPr>
          <w:rFonts w:eastAsia="Times New Roman" w:cs="Times New Roman"/>
          <w:lang w:eastAsia="de-DE"/>
        </w:rPr>
        <w:t xml:space="preserve"> bezeichnet den Ort: „an diesem Ort, hier".</w:t>
      </w:r>
    </w:p>
    <w:p w14:paraId="3435D8DC"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Zahlwort </w:t>
      </w:r>
      <w:r w:rsidRPr="00CF5304">
        <w:rPr>
          <w:rFonts w:eastAsia="Times New Roman" w:cs="Times New Roman"/>
          <w:b/>
          <w:bCs/>
          <w:rtl/>
          <w:lang w:eastAsia="de-DE"/>
        </w:rPr>
        <w:t>שִׁבְעָה</w:t>
      </w:r>
      <w:r w:rsidRPr="00CF5304">
        <w:rPr>
          <w:rFonts w:eastAsia="Times New Roman" w:cs="Times New Roman"/>
          <w:rtl/>
          <w:lang w:eastAsia="de-DE"/>
        </w:rPr>
        <w:t xml:space="preserve"> </w:t>
      </w:r>
      <w:r w:rsidRPr="00CF5304">
        <w:rPr>
          <w:rFonts w:eastAsia="Times New Roman" w:cs="Times New Roman"/>
          <w:lang w:eastAsia="de-DE"/>
        </w:rPr>
        <w:t xml:space="preserve">(„sieben", m. Pl.) mit dem Nomen </w:t>
      </w:r>
      <w:r w:rsidRPr="00CF5304">
        <w:rPr>
          <w:rFonts w:eastAsia="Times New Roman" w:cs="Times New Roman"/>
          <w:b/>
          <w:bCs/>
          <w:rtl/>
          <w:lang w:eastAsia="de-DE"/>
        </w:rPr>
        <w:t>מִזְבְּחֹת</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מִזְבֵּחַ</w:t>
      </w:r>
      <w:r w:rsidRPr="00CF5304">
        <w:rPr>
          <w:rFonts w:eastAsia="Times New Roman" w:cs="Times New Roman"/>
          <w:lang w:eastAsia="de-DE"/>
        </w:rPr>
        <w:t>, „Altar") bildet die Objektangabe „sieben Altäre". Die Zahl Sieben symbolisiert in der hebräischen Kultur Vollständigkeit und Vollkommenheit.</w:t>
      </w:r>
    </w:p>
    <w:p w14:paraId="10CD3A2E" w14:textId="577798B1"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w:t>
      </w:r>
      <w:r w:rsidR="00F133EC">
        <w:rPr>
          <w:rFonts w:eastAsia="Times New Roman" w:cs="Times New Roman"/>
          <w:lang w:eastAsia="de-DE"/>
        </w:rPr>
        <w:t>Construct</w:t>
      </w:r>
      <w:r w:rsidRPr="00CF5304">
        <w:rPr>
          <w:rFonts w:eastAsia="Times New Roman" w:cs="Times New Roman"/>
          <w:lang w:eastAsia="de-DE"/>
        </w:rPr>
        <w:t xml:space="preserve">ion </w:t>
      </w:r>
      <w:r w:rsidRPr="00CF5304">
        <w:rPr>
          <w:rFonts w:eastAsia="Times New Roman" w:cs="Times New Roman"/>
          <w:b/>
          <w:bCs/>
          <w:rtl/>
          <w:lang w:eastAsia="de-DE"/>
        </w:rPr>
        <w:t>וְהָכֵן לִי בָזֶה</w:t>
      </w:r>
      <w:r w:rsidRPr="00CF5304">
        <w:rPr>
          <w:rFonts w:eastAsia="Times New Roman" w:cs="Times New Roman"/>
          <w:rtl/>
          <w:lang w:eastAsia="de-DE"/>
        </w:rPr>
        <w:t xml:space="preserve"> </w:t>
      </w:r>
      <w:r w:rsidRPr="00CF5304">
        <w:rPr>
          <w:rFonts w:eastAsia="Times New Roman" w:cs="Times New Roman"/>
          <w:lang w:eastAsia="de-DE"/>
        </w:rPr>
        <w:t xml:space="preserve">(Kopula </w:t>
      </w:r>
      <w:r w:rsidRPr="00CF5304">
        <w:rPr>
          <w:rFonts w:eastAsia="Times New Roman" w:cs="Times New Roman"/>
          <w:rtl/>
          <w:lang w:eastAsia="de-DE"/>
        </w:rPr>
        <w:t>וְ</w:t>
      </w:r>
      <w:r w:rsidRPr="00CF5304">
        <w:rPr>
          <w:rFonts w:eastAsia="Times New Roman" w:cs="Times New Roman"/>
          <w:lang w:eastAsia="de-DE"/>
        </w:rPr>
        <w:t xml:space="preserve"> mit Imperativ </w:t>
      </w:r>
      <w:r w:rsidRPr="00CF5304">
        <w:rPr>
          <w:rFonts w:eastAsia="Times New Roman" w:cs="Times New Roman"/>
          <w:b/>
          <w:bCs/>
          <w:rtl/>
          <w:lang w:eastAsia="de-DE"/>
        </w:rPr>
        <w:t>הָכֵן</w:t>
      </w:r>
      <w:r w:rsidRPr="00CF5304">
        <w:rPr>
          <w:rFonts w:eastAsia="Times New Roman" w:cs="Times New Roman"/>
          <w:lang w:eastAsia="de-DE"/>
        </w:rPr>
        <w:t xml:space="preserve">, Hifil Imperativ m. Sg. von </w:t>
      </w:r>
      <w:r w:rsidRPr="00CF5304">
        <w:rPr>
          <w:rFonts w:eastAsia="Times New Roman" w:cs="Times New Roman"/>
          <w:rtl/>
          <w:lang w:eastAsia="de-DE"/>
        </w:rPr>
        <w:t>כון</w:t>
      </w:r>
      <w:r w:rsidRPr="00CF5304">
        <w:rPr>
          <w:rFonts w:eastAsia="Times New Roman" w:cs="Times New Roman"/>
          <w:lang w:eastAsia="de-DE"/>
        </w:rPr>
        <w:t xml:space="preserve">, „bereite zu") fordert die Vorbereitung der Opfertiere. Die Hifil-Form hat kausative Bedeutung „bereit machen, zurichten". Die Präposition </w:t>
      </w:r>
      <w:r w:rsidRPr="00CF5304">
        <w:rPr>
          <w:rFonts w:eastAsia="Times New Roman" w:cs="Times New Roman"/>
          <w:b/>
          <w:bCs/>
          <w:rtl/>
          <w:lang w:eastAsia="de-DE"/>
        </w:rPr>
        <w:t>לִי</w:t>
      </w:r>
      <w:r w:rsidRPr="00CF5304">
        <w:rPr>
          <w:rFonts w:eastAsia="Times New Roman" w:cs="Times New Roman"/>
          <w:rtl/>
          <w:lang w:eastAsia="de-DE"/>
        </w:rPr>
        <w:t xml:space="preserve"> </w:t>
      </w:r>
      <w:r w:rsidRPr="00CF5304">
        <w:rPr>
          <w:rFonts w:eastAsia="Times New Roman" w:cs="Times New Roman"/>
          <w:lang w:eastAsia="de-DE"/>
        </w:rPr>
        <w:t xml:space="preserve">und das Demonstrativum </w:t>
      </w:r>
      <w:r w:rsidRPr="00CF5304">
        <w:rPr>
          <w:rFonts w:eastAsia="Times New Roman" w:cs="Times New Roman"/>
          <w:b/>
          <w:bCs/>
          <w:rtl/>
          <w:lang w:eastAsia="de-DE"/>
        </w:rPr>
        <w:t>בָזֶה</w:t>
      </w:r>
      <w:r w:rsidRPr="00CF5304">
        <w:rPr>
          <w:rFonts w:eastAsia="Times New Roman" w:cs="Times New Roman"/>
          <w:rtl/>
          <w:lang w:eastAsia="de-DE"/>
        </w:rPr>
        <w:t xml:space="preserve"> </w:t>
      </w:r>
      <w:r w:rsidRPr="00CF5304">
        <w:rPr>
          <w:rFonts w:eastAsia="Times New Roman" w:cs="Times New Roman"/>
          <w:lang w:eastAsia="de-DE"/>
        </w:rPr>
        <w:t>wiederholen die Struktur des ersten Satzes.</w:t>
      </w:r>
    </w:p>
    <w:p w14:paraId="2C3DAA6A"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Zahlwort </w:t>
      </w:r>
      <w:r w:rsidRPr="00CF5304">
        <w:rPr>
          <w:rFonts w:eastAsia="Times New Roman" w:cs="Times New Roman"/>
          <w:b/>
          <w:bCs/>
          <w:rtl/>
          <w:lang w:eastAsia="de-DE"/>
        </w:rPr>
        <w:t>שִׁבְעָה</w:t>
      </w:r>
      <w:r w:rsidRPr="00CF5304">
        <w:rPr>
          <w:rFonts w:eastAsia="Times New Roman" w:cs="Times New Roman"/>
          <w:rtl/>
          <w:lang w:eastAsia="de-DE"/>
        </w:rPr>
        <w:t xml:space="preserve"> </w:t>
      </w:r>
      <w:r w:rsidRPr="00CF5304">
        <w:rPr>
          <w:rFonts w:eastAsia="Times New Roman" w:cs="Times New Roman"/>
          <w:lang w:eastAsia="de-DE"/>
        </w:rPr>
        <w:t xml:space="preserve">mit </w:t>
      </w:r>
      <w:r w:rsidRPr="00CF5304">
        <w:rPr>
          <w:rFonts w:eastAsia="Times New Roman" w:cs="Times New Roman"/>
          <w:b/>
          <w:bCs/>
          <w:rtl/>
          <w:lang w:eastAsia="de-DE"/>
        </w:rPr>
        <w:t>פָרִים</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פַּר</w:t>
      </w:r>
      <w:r w:rsidRPr="00CF5304">
        <w:rPr>
          <w:rFonts w:eastAsia="Times New Roman" w:cs="Times New Roman"/>
          <w:lang w:eastAsia="de-DE"/>
        </w:rPr>
        <w:t xml:space="preserve">, „Stier") bezeichnet „sieben Stiere". Die Koordination </w:t>
      </w:r>
      <w:r w:rsidRPr="00CF5304">
        <w:rPr>
          <w:rFonts w:eastAsia="Times New Roman" w:cs="Times New Roman"/>
          <w:b/>
          <w:bCs/>
          <w:rtl/>
          <w:lang w:eastAsia="de-DE"/>
        </w:rPr>
        <w:t>וְשִׁבְעָה אֵילִים</w:t>
      </w:r>
      <w:r w:rsidRPr="00CF5304">
        <w:rPr>
          <w:rFonts w:eastAsia="Times New Roman" w:cs="Times New Roman"/>
          <w:rtl/>
          <w:lang w:eastAsia="de-DE"/>
        </w:rPr>
        <w:t xml:space="preserve"> </w:t>
      </w:r>
      <w:r w:rsidRPr="00CF5304">
        <w:rPr>
          <w:rFonts w:eastAsia="Times New Roman" w:cs="Times New Roman"/>
          <w:lang w:eastAsia="de-DE"/>
        </w:rPr>
        <w:t xml:space="preserve">(Kopula </w:t>
      </w:r>
      <w:r w:rsidRPr="00CF5304">
        <w:rPr>
          <w:rFonts w:eastAsia="Times New Roman" w:cs="Times New Roman"/>
          <w:rtl/>
          <w:lang w:eastAsia="de-DE"/>
        </w:rPr>
        <w:t>וְ</w:t>
      </w:r>
      <w:r w:rsidRPr="00CF5304">
        <w:rPr>
          <w:rFonts w:eastAsia="Times New Roman" w:cs="Times New Roman"/>
          <w:lang w:eastAsia="de-DE"/>
        </w:rPr>
        <w:t xml:space="preserve"> mit Zahlwort und </w:t>
      </w:r>
      <w:r w:rsidRPr="00CF5304">
        <w:rPr>
          <w:rFonts w:eastAsia="Times New Roman" w:cs="Times New Roman"/>
          <w:b/>
          <w:bCs/>
          <w:rtl/>
          <w:lang w:eastAsia="de-DE"/>
        </w:rPr>
        <w:t>אֵילִים</w:t>
      </w:r>
      <w:r w:rsidRPr="00CF5304">
        <w:rPr>
          <w:rFonts w:eastAsia="Times New Roman" w:cs="Times New Roman"/>
          <w:lang w:eastAsia="de-DE"/>
        </w:rPr>
        <w:t xml:space="preserve">, Pl. von </w:t>
      </w:r>
      <w:r w:rsidRPr="00CF5304">
        <w:rPr>
          <w:rFonts w:eastAsia="Times New Roman" w:cs="Times New Roman"/>
          <w:b/>
          <w:bCs/>
          <w:rtl/>
          <w:lang w:eastAsia="de-DE"/>
        </w:rPr>
        <w:t>אַיִל</w:t>
      </w:r>
      <w:r w:rsidRPr="00CF5304">
        <w:rPr>
          <w:rFonts w:eastAsia="Times New Roman" w:cs="Times New Roman"/>
          <w:lang w:eastAsia="de-DE"/>
        </w:rPr>
        <w:t>, „Widder") fügt „sieben Widder" hinzu. Diese Opfertiere waren kostspielige Opfergaben, und die Anzahl von je sieben unterstreicht die Bedeutung und den Aufwand des Rituals.</w:t>
      </w:r>
    </w:p>
    <w:p w14:paraId="54BF64B8"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Die LXX</w:t>
      </w:r>
      <w:r w:rsidRPr="00CF5304">
        <w:rPr>
          <w:rFonts w:eastAsia="Times New Roman" w:cs="Times New Roman"/>
          <w:lang w:eastAsia="de-DE"/>
        </w:rPr>
        <w:t xml:space="preserve"> übersetzt </w:t>
      </w:r>
      <w:r w:rsidRPr="00CF5304">
        <w:rPr>
          <w:rFonts w:eastAsia="Times New Roman" w:cs="Times New Roman"/>
          <w:b/>
          <w:bCs/>
          <w:rtl/>
          <w:lang w:eastAsia="de-DE"/>
        </w:rPr>
        <w:t>בְּנֵה־לִי</w:t>
      </w:r>
      <w:r w:rsidRPr="00CF5304">
        <w:rPr>
          <w:rFonts w:eastAsia="Times New Roman" w:cs="Times New Roman"/>
          <w:rtl/>
          <w:lang w:eastAsia="de-DE"/>
        </w:rPr>
        <w:t xml:space="preserve"> </w:t>
      </w:r>
      <w:r w:rsidRPr="00CF5304">
        <w:rPr>
          <w:rFonts w:eastAsia="Times New Roman" w:cs="Times New Roman"/>
          <w:lang w:eastAsia="de-DE"/>
        </w:rPr>
        <w:t xml:space="preserve">mit οἰκοδόμησόν μοι (oikodomēson moi, „baue mir"). Die LXX gibt </w:t>
      </w:r>
      <w:r w:rsidRPr="00CF5304">
        <w:rPr>
          <w:rFonts w:eastAsia="Times New Roman" w:cs="Times New Roman"/>
          <w:b/>
          <w:bCs/>
          <w:rtl/>
          <w:lang w:eastAsia="de-DE"/>
        </w:rPr>
        <w:t>בָזֶה</w:t>
      </w:r>
      <w:r w:rsidRPr="00CF5304">
        <w:rPr>
          <w:rFonts w:eastAsia="Times New Roman" w:cs="Times New Roman"/>
          <w:rtl/>
          <w:lang w:eastAsia="de-DE"/>
        </w:rPr>
        <w:t xml:space="preserve"> </w:t>
      </w:r>
      <w:r w:rsidRPr="00CF5304">
        <w:rPr>
          <w:rFonts w:eastAsia="Times New Roman" w:cs="Times New Roman"/>
          <w:lang w:eastAsia="de-DE"/>
        </w:rPr>
        <w:t xml:space="preserve">mit ἐνταῦθα (entautha, „hier") wieder. Für </w:t>
      </w:r>
      <w:r w:rsidRPr="00CF5304">
        <w:rPr>
          <w:rFonts w:eastAsia="Times New Roman" w:cs="Times New Roman"/>
          <w:b/>
          <w:bCs/>
          <w:rtl/>
          <w:lang w:eastAsia="de-DE"/>
        </w:rPr>
        <w:t>מִזְבְּחֹת</w:t>
      </w:r>
      <w:r w:rsidRPr="00CF5304">
        <w:rPr>
          <w:rFonts w:eastAsia="Times New Roman" w:cs="Times New Roman"/>
          <w:rtl/>
          <w:lang w:eastAsia="de-DE"/>
        </w:rPr>
        <w:t xml:space="preserve"> </w:t>
      </w:r>
      <w:r w:rsidRPr="00CF5304">
        <w:rPr>
          <w:rFonts w:eastAsia="Times New Roman" w:cs="Times New Roman"/>
          <w:lang w:eastAsia="de-DE"/>
        </w:rPr>
        <w:t xml:space="preserve">verwendet die LXX θυσιαστήρια (thysiastēria, „Altäre"). Die LXX übersetzt </w:t>
      </w:r>
      <w:r w:rsidRPr="00CF5304">
        <w:rPr>
          <w:rFonts w:eastAsia="Times New Roman" w:cs="Times New Roman"/>
          <w:b/>
          <w:bCs/>
          <w:rtl/>
          <w:lang w:eastAsia="de-DE"/>
        </w:rPr>
        <w:t>הָכֵן</w:t>
      </w:r>
      <w:r w:rsidRPr="00CF5304">
        <w:rPr>
          <w:rFonts w:eastAsia="Times New Roman" w:cs="Times New Roman"/>
          <w:rtl/>
          <w:lang w:eastAsia="de-DE"/>
        </w:rPr>
        <w:t xml:space="preserve"> </w:t>
      </w:r>
      <w:r w:rsidRPr="00CF5304">
        <w:rPr>
          <w:rFonts w:eastAsia="Times New Roman" w:cs="Times New Roman"/>
          <w:lang w:eastAsia="de-DE"/>
        </w:rPr>
        <w:t xml:space="preserve">mit ἑτοίμασον (hetoimason, „bereite"). Die LXX gibt </w:t>
      </w:r>
      <w:r w:rsidRPr="00CF5304">
        <w:rPr>
          <w:rFonts w:eastAsia="Times New Roman" w:cs="Times New Roman"/>
          <w:b/>
          <w:bCs/>
          <w:rtl/>
          <w:lang w:eastAsia="de-DE"/>
        </w:rPr>
        <w:t>פָרִים</w:t>
      </w:r>
      <w:r w:rsidRPr="00CF5304">
        <w:rPr>
          <w:rFonts w:eastAsia="Times New Roman" w:cs="Times New Roman"/>
          <w:rtl/>
          <w:lang w:eastAsia="de-DE"/>
        </w:rPr>
        <w:t xml:space="preserve"> </w:t>
      </w:r>
      <w:r w:rsidRPr="00CF5304">
        <w:rPr>
          <w:rFonts w:eastAsia="Times New Roman" w:cs="Times New Roman"/>
          <w:lang w:eastAsia="de-DE"/>
        </w:rPr>
        <w:t xml:space="preserve">mit μόσχους (moschous, „Stiere") und </w:t>
      </w:r>
      <w:r w:rsidRPr="00CF5304">
        <w:rPr>
          <w:rFonts w:eastAsia="Times New Roman" w:cs="Times New Roman"/>
          <w:b/>
          <w:bCs/>
          <w:rtl/>
          <w:lang w:eastAsia="de-DE"/>
        </w:rPr>
        <w:t>אֵילִים</w:t>
      </w:r>
      <w:r w:rsidRPr="00CF5304">
        <w:rPr>
          <w:rFonts w:eastAsia="Times New Roman" w:cs="Times New Roman"/>
          <w:rtl/>
          <w:lang w:eastAsia="de-DE"/>
        </w:rPr>
        <w:t xml:space="preserve"> </w:t>
      </w:r>
      <w:r w:rsidRPr="00CF5304">
        <w:rPr>
          <w:rFonts w:eastAsia="Times New Roman" w:cs="Times New Roman"/>
          <w:lang w:eastAsia="de-DE"/>
        </w:rPr>
        <w:t>mit κριούς (krious, „Widder") wieder.</w:t>
      </w:r>
    </w:p>
    <w:p w14:paraId="4D87DA3C"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Satzstruktur besteht aus zwei parallelen imperativen Hauptsätzen. Der erste Satz </w:t>
      </w:r>
      <w:r w:rsidRPr="00CF5304">
        <w:rPr>
          <w:rFonts w:eastAsia="Times New Roman" w:cs="Times New Roman"/>
          <w:b/>
          <w:bCs/>
          <w:rtl/>
          <w:lang w:eastAsia="de-DE"/>
        </w:rPr>
        <w:t>בְּנֵה־לִי בָזֶה שִׁבְעָ֣ה מִזְבְּחֹת</w:t>
      </w:r>
      <w:r w:rsidRPr="00CF5304">
        <w:rPr>
          <w:rFonts w:eastAsia="Times New Roman" w:cs="Times New Roman"/>
          <w:rtl/>
          <w:lang w:eastAsia="de-DE"/>
        </w:rPr>
        <w:t xml:space="preserve"> </w:t>
      </w:r>
      <w:r w:rsidRPr="00CF5304">
        <w:rPr>
          <w:rFonts w:eastAsia="Times New Roman" w:cs="Times New Roman"/>
          <w:lang w:eastAsia="de-DE"/>
        </w:rPr>
        <w:t xml:space="preserve">hat die Struktur: Imperativ + indirektes Objekt + lokales Adverb + Zahladjektiv + direktes Objekt. Der zweite Satz </w:t>
      </w:r>
      <w:r w:rsidRPr="00CF5304">
        <w:rPr>
          <w:rFonts w:eastAsia="Times New Roman" w:cs="Times New Roman"/>
          <w:b/>
          <w:bCs/>
          <w:rtl/>
          <w:lang w:eastAsia="de-DE"/>
        </w:rPr>
        <w:t>וְהָכֵן לִי בָזֶה שִׁבְעָה פָרִים וְשִׁבְעָה אֵילִים</w:t>
      </w:r>
      <w:r w:rsidRPr="00CF5304">
        <w:rPr>
          <w:rFonts w:eastAsia="Times New Roman" w:cs="Times New Roman"/>
          <w:rtl/>
          <w:lang w:eastAsia="de-DE"/>
        </w:rPr>
        <w:t xml:space="preserve"> </w:t>
      </w:r>
      <w:r w:rsidRPr="00CF5304">
        <w:rPr>
          <w:rFonts w:eastAsia="Times New Roman" w:cs="Times New Roman"/>
          <w:lang w:eastAsia="de-DE"/>
        </w:rPr>
        <w:t>wiederholt diese Struktur mit koordiniertem Objekt.</w:t>
      </w:r>
    </w:p>
    <w:p w14:paraId="6FCBFF25"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Der Vers zeigt das wiederholte Ritual: Zum dritten Mal werden sieben Altäre errichtet und je sieben Stiere und Widder vorbereitet. Die identische Anweisung wie bei den vorherigen beiden Versuchen (vgl. Num 23,1-2; 23,14) unterstreicht Balaks verzweifelte Hoffnung, dass diesmal der gewünschte Fluch gelingen könnte. Doch das mechanische Wiederholen des gleichen Rituals zeigt das Missverständnis der magischen Weltanschauung: Opfer und Rituale können Gottes souveränen Willen nicht manipulieren oder ändern. Bileam folgt dem vertrauten Muster, obwohl er weiß, dass nicht das Ritual, sondern allein Gottes Wort entscheidend ist.</w:t>
      </w:r>
    </w:p>
    <w:p w14:paraId="000815FF" w14:textId="77777777" w:rsidR="00CF5304" w:rsidRPr="00CF5304" w:rsidRDefault="00CF5304" w:rsidP="00CF5304">
      <w:pPr>
        <w:spacing w:before="100" w:beforeAutospacing="1" w:after="100" w:afterAutospacing="1" w:line="240" w:lineRule="auto"/>
        <w:outlineLvl w:val="0"/>
        <w:rPr>
          <w:rFonts w:eastAsia="Times New Roman" w:cs="Times New Roman"/>
          <w:b/>
          <w:bCs/>
          <w:kern w:val="36"/>
          <w:sz w:val="48"/>
          <w:szCs w:val="48"/>
          <w:lang w:eastAsia="de-DE"/>
        </w:rPr>
      </w:pPr>
      <w:r w:rsidRPr="00CF5304">
        <w:rPr>
          <w:rFonts w:eastAsia="Times New Roman" w:cs="Times New Roman"/>
          <w:b/>
          <w:bCs/>
          <w:kern w:val="36"/>
          <w:sz w:val="48"/>
          <w:szCs w:val="48"/>
          <w:lang w:eastAsia="de-DE"/>
        </w:rPr>
        <w:lastRenderedPageBreak/>
        <w:t>Numeri 23,30</w:t>
      </w:r>
    </w:p>
    <w:p w14:paraId="51408C50"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Hebräisch:</w:t>
      </w:r>
      <w:r w:rsidRPr="00CF5304">
        <w:rPr>
          <w:rFonts w:eastAsia="Times New Roman" w:cs="Times New Roman"/>
          <w:lang w:eastAsia="de-DE"/>
        </w:rPr>
        <w:t xml:space="preserve"> </w:t>
      </w:r>
      <w:r w:rsidRPr="00CF5304">
        <w:rPr>
          <w:rFonts w:eastAsia="Times New Roman" w:cs="Times New Roman"/>
          <w:rtl/>
          <w:lang w:eastAsia="de-DE"/>
        </w:rPr>
        <w:t>וַיַּ֣עַשׂ בָּלָ֔ק כַּאֲשֶׁ֖ר אָמַ֣ר בִּלְעָ֑ם וַיַּ֛עַל פָּ֥ר וָאַ֖יִל בַּמִּזְבֵּֽחַ׃</w:t>
      </w:r>
    </w:p>
    <w:p w14:paraId="3453A724"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Deutsch:</w:t>
      </w:r>
      <w:r w:rsidRPr="00CF5304">
        <w:rPr>
          <w:rFonts w:eastAsia="Times New Roman" w:cs="Times New Roman"/>
          <w:lang w:eastAsia="de-DE"/>
        </w:rPr>
        <w:t xml:space="preserve"> Und Balak tat, wie Bilʿam gesagt hatte, und opferte einen Stier und einen Widder auf jedem Altar.</w:t>
      </w:r>
    </w:p>
    <w:p w14:paraId="083FDB89" w14:textId="77777777" w:rsidR="00CF5304" w:rsidRPr="00CF5304" w:rsidRDefault="00F329DD" w:rsidP="00CF5304">
      <w:pPr>
        <w:spacing w:after="0" w:line="240" w:lineRule="auto"/>
        <w:rPr>
          <w:rFonts w:eastAsia="Times New Roman" w:cs="Times New Roman"/>
          <w:lang w:eastAsia="de-DE"/>
        </w:rPr>
      </w:pPr>
      <w:r>
        <w:rPr>
          <w:rFonts w:eastAsia="Times New Roman" w:cs="Times New Roman"/>
          <w:noProof/>
          <w:lang w:eastAsia="de-DE"/>
        </w:rPr>
        <w:pict w14:anchorId="5576B461">
          <v:rect id="_x0000_i1825" style="width:0;height:1.5pt" o:hralign="center" o:hrstd="t" o:hr="t" fillcolor="#a0a0a0" stroked="f"/>
        </w:pict>
      </w:r>
    </w:p>
    <w:p w14:paraId="14D5C6E0"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Kommentar:</w:t>
      </w:r>
      <w:r w:rsidRPr="00CF5304">
        <w:rPr>
          <w:rFonts w:eastAsia="Times New Roman" w:cs="Times New Roman"/>
          <w:lang w:eastAsia="de-DE"/>
        </w:rPr>
        <w:t xml:space="preserve"> Das Verb </w:t>
      </w:r>
      <w:r w:rsidRPr="00CF5304">
        <w:rPr>
          <w:rFonts w:eastAsia="Times New Roman" w:cs="Times New Roman"/>
          <w:b/>
          <w:bCs/>
          <w:rtl/>
          <w:lang w:eastAsia="de-DE"/>
        </w:rPr>
        <w:t>וַיַּעַשׂ</w:t>
      </w:r>
      <w:r w:rsidRPr="00CF5304">
        <w:rPr>
          <w:rFonts w:eastAsia="Times New Roman" w:cs="Times New Roman"/>
          <w:rtl/>
          <w:lang w:eastAsia="de-DE"/>
        </w:rPr>
        <w:t xml:space="preserve"> </w:t>
      </w:r>
      <w:r w:rsidRPr="00CF5304">
        <w:rPr>
          <w:rFonts w:eastAsia="Times New Roman" w:cs="Times New Roman"/>
          <w:lang w:eastAsia="de-DE"/>
        </w:rPr>
        <w:t xml:space="preserve">(Wayyiqtol, 3. m. Sg. von </w:t>
      </w:r>
      <w:r w:rsidRPr="00CF5304">
        <w:rPr>
          <w:rFonts w:eastAsia="Times New Roman" w:cs="Times New Roman"/>
          <w:rtl/>
          <w:lang w:eastAsia="de-DE"/>
        </w:rPr>
        <w:t>עשׂה</w:t>
      </w:r>
      <w:r w:rsidRPr="00CF5304">
        <w:rPr>
          <w:rFonts w:eastAsia="Times New Roman" w:cs="Times New Roman"/>
          <w:lang w:eastAsia="de-DE"/>
        </w:rPr>
        <w:t xml:space="preserve">, „und er tat") leitet die Ausführung der Anweisung ein. Das Subjekt </w:t>
      </w:r>
      <w:r w:rsidRPr="00CF5304">
        <w:rPr>
          <w:rFonts w:eastAsia="Times New Roman" w:cs="Times New Roman"/>
          <w:b/>
          <w:bCs/>
          <w:rtl/>
          <w:lang w:eastAsia="de-DE"/>
        </w:rPr>
        <w:t>בָּלָק</w:t>
      </w:r>
      <w:r w:rsidRPr="00CF5304">
        <w:rPr>
          <w:rFonts w:eastAsia="Times New Roman" w:cs="Times New Roman"/>
          <w:rtl/>
          <w:lang w:eastAsia="de-DE"/>
        </w:rPr>
        <w:t xml:space="preserve"> </w:t>
      </w:r>
      <w:r w:rsidRPr="00CF5304">
        <w:rPr>
          <w:rFonts w:eastAsia="Times New Roman" w:cs="Times New Roman"/>
          <w:lang w:eastAsia="de-DE"/>
        </w:rPr>
        <w:t>wird explizit genannt.</w:t>
      </w:r>
    </w:p>
    <w:p w14:paraId="683B4A60"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Vergleichspartikel </w:t>
      </w:r>
      <w:r w:rsidRPr="00CF5304">
        <w:rPr>
          <w:rFonts w:eastAsia="Times New Roman" w:cs="Times New Roman"/>
          <w:b/>
          <w:bCs/>
          <w:rtl/>
          <w:lang w:eastAsia="de-DE"/>
        </w:rPr>
        <w:t>כַּאֲשֶׁר</w:t>
      </w:r>
      <w:r w:rsidRPr="00CF5304">
        <w:rPr>
          <w:rFonts w:eastAsia="Times New Roman" w:cs="Times New Roman"/>
          <w:rtl/>
          <w:lang w:eastAsia="de-DE"/>
        </w:rPr>
        <w:t xml:space="preserve"> </w:t>
      </w:r>
      <w:r w:rsidRPr="00CF5304">
        <w:rPr>
          <w:rFonts w:eastAsia="Times New Roman" w:cs="Times New Roman"/>
          <w:lang w:eastAsia="de-DE"/>
        </w:rPr>
        <w:t xml:space="preserve">(„wie, so wie") leitet einen Vergleichssatz ein, der die Übereinstimmung von Balaks Handlung mit Bileams Anweisung ausdrückt. Das Verb </w:t>
      </w:r>
      <w:r w:rsidRPr="00CF5304">
        <w:rPr>
          <w:rFonts w:eastAsia="Times New Roman" w:cs="Times New Roman"/>
          <w:b/>
          <w:bCs/>
          <w:rtl/>
          <w:lang w:eastAsia="de-DE"/>
        </w:rPr>
        <w:t>אָמַר</w:t>
      </w:r>
      <w:r w:rsidRPr="00CF5304">
        <w:rPr>
          <w:rFonts w:eastAsia="Times New Roman" w:cs="Times New Roman"/>
          <w:rtl/>
          <w:lang w:eastAsia="de-DE"/>
        </w:rPr>
        <w:t xml:space="preserve"> </w:t>
      </w:r>
      <w:r w:rsidRPr="00CF5304">
        <w:rPr>
          <w:rFonts w:eastAsia="Times New Roman" w:cs="Times New Roman"/>
          <w:lang w:eastAsia="de-DE"/>
        </w:rPr>
        <w:t xml:space="preserve">(Qal Perfekt 3. m. Sg. von </w:t>
      </w:r>
      <w:r w:rsidRPr="00CF5304">
        <w:rPr>
          <w:rFonts w:eastAsia="Times New Roman" w:cs="Times New Roman"/>
          <w:rtl/>
          <w:lang w:eastAsia="de-DE"/>
        </w:rPr>
        <w:t>אמר</w:t>
      </w:r>
      <w:r w:rsidRPr="00CF5304">
        <w:rPr>
          <w:rFonts w:eastAsia="Times New Roman" w:cs="Times New Roman"/>
          <w:lang w:eastAsia="de-DE"/>
        </w:rPr>
        <w:t xml:space="preserve">, „er hat gesagt") im Relativsatz beschreibt Bileams vorherige Anweisung. Das Subjekt </w:t>
      </w:r>
      <w:r w:rsidRPr="00CF5304">
        <w:rPr>
          <w:rFonts w:eastAsia="Times New Roman" w:cs="Times New Roman"/>
          <w:b/>
          <w:bCs/>
          <w:rtl/>
          <w:lang w:eastAsia="de-DE"/>
        </w:rPr>
        <w:t>בִּלְעָם</w:t>
      </w:r>
      <w:r w:rsidRPr="00CF5304">
        <w:rPr>
          <w:rFonts w:eastAsia="Times New Roman" w:cs="Times New Roman"/>
          <w:rtl/>
          <w:lang w:eastAsia="de-DE"/>
        </w:rPr>
        <w:t xml:space="preserve"> </w:t>
      </w:r>
      <w:r w:rsidRPr="00CF5304">
        <w:rPr>
          <w:rFonts w:eastAsia="Times New Roman" w:cs="Times New Roman"/>
          <w:lang w:eastAsia="de-DE"/>
        </w:rPr>
        <w:t>wird explizit genannt.</w:t>
      </w:r>
    </w:p>
    <w:p w14:paraId="45A13E42" w14:textId="045DBA0E"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Verb </w:t>
      </w:r>
      <w:r w:rsidRPr="00CF5304">
        <w:rPr>
          <w:rFonts w:eastAsia="Times New Roman" w:cs="Times New Roman"/>
          <w:b/>
          <w:bCs/>
          <w:rtl/>
          <w:lang w:eastAsia="de-DE"/>
        </w:rPr>
        <w:t>וַיַּעַל</w:t>
      </w:r>
      <w:r w:rsidRPr="00CF5304">
        <w:rPr>
          <w:rFonts w:eastAsia="Times New Roman" w:cs="Times New Roman"/>
          <w:rtl/>
          <w:lang w:eastAsia="de-DE"/>
        </w:rPr>
        <w:t xml:space="preserve"> </w:t>
      </w:r>
      <w:r w:rsidRPr="00CF5304">
        <w:rPr>
          <w:rFonts w:eastAsia="Times New Roman" w:cs="Times New Roman"/>
          <w:lang w:eastAsia="de-DE"/>
        </w:rPr>
        <w:t xml:space="preserve">(Hifil Wayyiqtol, 3. m. Sg. von </w:t>
      </w:r>
      <w:r w:rsidRPr="00CF5304">
        <w:rPr>
          <w:rFonts w:eastAsia="Times New Roman" w:cs="Times New Roman"/>
          <w:rtl/>
          <w:lang w:eastAsia="de-DE"/>
        </w:rPr>
        <w:t>עלה</w:t>
      </w:r>
      <w:r w:rsidRPr="00CF5304">
        <w:rPr>
          <w:rFonts w:eastAsia="Times New Roman" w:cs="Times New Roman"/>
          <w:lang w:eastAsia="de-DE"/>
        </w:rPr>
        <w:t xml:space="preserve">, „und er opferte hinauf, brachte als Aufsteigeopfer dar") beschreibt die Opferhandlung. Die Hifil-Form hat kausative Bedeutung „hinaufsteigen lassen", was sich auf das Aufsteigen des Rauches beim </w:t>
      </w:r>
      <w:r w:rsidR="00593666">
        <w:rPr>
          <w:rFonts w:eastAsia="Times New Roman" w:cs="Times New Roman"/>
          <w:lang w:eastAsia="de-DE"/>
        </w:rPr>
        <w:t>Aufsteigeopfer</w:t>
      </w:r>
      <w:r w:rsidRPr="00CF5304">
        <w:rPr>
          <w:rFonts w:eastAsia="Times New Roman" w:cs="Times New Roman"/>
          <w:lang w:eastAsia="de-DE"/>
        </w:rPr>
        <w:t xml:space="preserve"> bezieht.</w:t>
      </w:r>
    </w:p>
    <w:p w14:paraId="55DE4DB5"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direkte Objekt </w:t>
      </w:r>
      <w:r w:rsidRPr="00CF5304">
        <w:rPr>
          <w:rFonts w:eastAsia="Times New Roman" w:cs="Times New Roman"/>
          <w:b/>
          <w:bCs/>
          <w:rtl/>
          <w:lang w:eastAsia="de-DE"/>
        </w:rPr>
        <w:t>פָּר</w:t>
      </w:r>
      <w:r w:rsidRPr="00CF5304">
        <w:rPr>
          <w:rFonts w:eastAsia="Times New Roman" w:cs="Times New Roman"/>
          <w:rtl/>
          <w:lang w:eastAsia="de-DE"/>
        </w:rPr>
        <w:t xml:space="preserve"> </w:t>
      </w:r>
      <w:r w:rsidRPr="00CF5304">
        <w:rPr>
          <w:rFonts w:eastAsia="Times New Roman" w:cs="Times New Roman"/>
          <w:lang w:eastAsia="de-DE"/>
        </w:rPr>
        <w:t xml:space="preserve">(m. Sg., „Stier") und </w:t>
      </w:r>
      <w:r w:rsidRPr="00CF5304">
        <w:rPr>
          <w:rFonts w:eastAsia="Times New Roman" w:cs="Times New Roman"/>
          <w:b/>
          <w:bCs/>
          <w:rtl/>
          <w:lang w:eastAsia="de-DE"/>
        </w:rPr>
        <w:t>וָאַיִל</w:t>
      </w:r>
      <w:r w:rsidRPr="00CF5304">
        <w:rPr>
          <w:rFonts w:eastAsia="Times New Roman" w:cs="Times New Roman"/>
          <w:rtl/>
          <w:lang w:eastAsia="de-DE"/>
        </w:rPr>
        <w:t xml:space="preserve"> </w:t>
      </w:r>
      <w:r w:rsidRPr="00CF5304">
        <w:rPr>
          <w:rFonts w:eastAsia="Times New Roman" w:cs="Times New Roman"/>
          <w:lang w:eastAsia="de-DE"/>
        </w:rPr>
        <w:t xml:space="preserve">(Kopula </w:t>
      </w:r>
      <w:r w:rsidRPr="00CF5304">
        <w:rPr>
          <w:rFonts w:eastAsia="Times New Roman" w:cs="Times New Roman"/>
          <w:rtl/>
          <w:lang w:eastAsia="de-DE"/>
        </w:rPr>
        <w:t>וְ</w:t>
      </w:r>
      <w:r w:rsidRPr="00CF5304">
        <w:rPr>
          <w:rFonts w:eastAsia="Times New Roman" w:cs="Times New Roman"/>
          <w:lang w:eastAsia="de-DE"/>
        </w:rPr>
        <w:t xml:space="preserve"> mit </w:t>
      </w:r>
      <w:r w:rsidRPr="00CF5304">
        <w:rPr>
          <w:rFonts w:eastAsia="Times New Roman" w:cs="Times New Roman"/>
          <w:b/>
          <w:bCs/>
          <w:rtl/>
          <w:lang w:eastAsia="de-DE"/>
        </w:rPr>
        <w:t>אַיִל</w:t>
      </w:r>
      <w:r w:rsidRPr="00CF5304">
        <w:rPr>
          <w:rFonts w:eastAsia="Times New Roman" w:cs="Times New Roman"/>
          <w:lang w:eastAsia="de-DE"/>
        </w:rPr>
        <w:t xml:space="preserve">, m. Sg., „Widder") bezeichnet die Opfertiere. Die Präpositionalphrase </w:t>
      </w:r>
      <w:r w:rsidRPr="00CF5304">
        <w:rPr>
          <w:rFonts w:eastAsia="Times New Roman" w:cs="Times New Roman"/>
          <w:b/>
          <w:bCs/>
          <w:rtl/>
          <w:lang w:eastAsia="de-DE"/>
        </w:rPr>
        <w:t>בַּמִּזְבֵּחַ</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בְּ</w:t>
      </w:r>
      <w:r w:rsidRPr="00CF5304">
        <w:rPr>
          <w:rFonts w:eastAsia="Times New Roman" w:cs="Times New Roman"/>
          <w:lang w:eastAsia="de-DE"/>
        </w:rPr>
        <w:t xml:space="preserve"> mit </w:t>
      </w:r>
      <w:r w:rsidRPr="00CF5304">
        <w:rPr>
          <w:rFonts w:eastAsia="Times New Roman" w:cs="Times New Roman"/>
          <w:b/>
          <w:bCs/>
          <w:rtl/>
          <w:lang w:eastAsia="de-DE"/>
        </w:rPr>
        <w:t>הַמִּזְבֵּחַ</w:t>
      </w:r>
      <w:r w:rsidRPr="00CF5304">
        <w:rPr>
          <w:rFonts w:eastAsia="Times New Roman" w:cs="Times New Roman"/>
          <w:lang w:eastAsia="de-DE"/>
        </w:rPr>
        <w:t>, „auf dem Altar", m. Sg. mit Artikel) zeigt den Ort der Opferung.</w:t>
      </w:r>
    </w:p>
    <w:p w14:paraId="4C57E987"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Singular </w:t>
      </w:r>
      <w:r w:rsidRPr="00CF5304">
        <w:rPr>
          <w:rFonts w:eastAsia="Times New Roman" w:cs="Times New Roman"/>
          <w:b/>
          <w:bCs/>
          <w:rtl/>
          <w:lang w:eastAsia="de-DE"/>
        </w:rPr>
        <w:t>בַּמִּזְבֵּחַ</w:t>
      </w:r>
      <w:r w:rsidRPr="00CF5304">
        <w:rPr>
          <w:rFonts w:eastAsia="Times New Roman" w:cs="Times New Roman"/>
          <w:rtl/>
          <w:lang w:eastAsia="de-DE"/>
        </w:rPr>
        <w:t xml:space="preserve"> </w:t>
      </w:r>
      <w:r w:rsidRPr="00CF5304">
        <w:rPr>
          <w:rFonts w:eastAsia="Times New Roman" w:cs="Times New Roman"/>
          <w:lang w:eastAsia="de-DE"/>
        </w:rPr>
        <w:t>im Kontext der sieben Altäre ist distributiv zu verstehen: „auf jedem Altar" wurde je ein Stier und ein Widder geopfert, insgesamt also sieben Stiere und sieben Widder auf sieben Altären.</w:t>
      </w:r>
    </w:p>
    <w:p w14:paraId="63A6B28A"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Die LXX</w:t>
      </w:r>
      <w:r w:rsidRPr="00CF5304">
        <w:rPr>
          <w:rFonts w:eastAsia="Times New Roman" w:cs="Times New Roman"/>
          <w:lang w:eastAsia="de-DE"/>
        </w:rPr>
        <w:t xml:space="preserve"> übersetzt </w:t>
      </w:r>
      <w:r w:rsidRPr="00CF5304">
        <w:rPr>
          <w:rFonts w:eastAsia="Times New Roman" w:cs="Times New Roman"/>
          <w:b/>
          <w:bCs/>
          <w:rtl/>
          <w:lang w:eastAsia="de-DE"/>
        </w:rPr>
        <w:t>וַיַּעַשׂ</w:t>
      </w:r>
      <w:r w:rsidRPr="00CF5304">
        <w:rPr>
          <w:rFonts w:eastAsia="Times New Roman" w:cs="Times New Roman"/>
          <w:rtl/>
          <w:lang w:eastAsia="de-DE"/>
        </w:rPr>
        <w:t xml:space="preserve"> </w:t>
      </w:r>
      <w:r w:rsidRPr="00CF5304">
        <w:rPr>
          <w:rFonts w:eastAsia="Times New Roman" w:cs="Times New Roman"/>
          <w:lang w:eastAsia="de-DE"/>
        </w:rPr>
        <w:t xml:space="preserve">mit καὶ ἐποίησεν (kai epoiēsen, „und er tat"). Die LXX gibt </w:t>
      </w:r>
      <w:r w:rsidRPr="00CF5304">
        <w:rPr>
          <w:rFonts w:eastAsia="Times New Roman" w:cs="Times New Roman"/>
          <w:b/>
          <w:bCs/>
          <w:rtl/>
          <w:lang w:eastAsia="de-DE"/>
        </w:rPr>
        <w:t>כַּאֲשֶׁר אָמַר בִּלְעָם</w:t>
      </w:r>
      <w:r w:rsidRPr="00CF5304">
        <w:rPr>
          <w:rFonts w:eastAsia="Times New Roman" w:cs="Times New Roman"/>
          <w:rtl/>
          <w:lang w:eastAsia="de-DE"/>
        </w:rPr>
        <w:t xml:space="preserve"> </w:t>
      </w:r>
      <w:r w:rsidRPr="00CF5304">
        <w:rPr>
          <w:rFonts w:eastAsia="Times New Roman" w:cs="Times New Roman"/>
          <w:lang w:eastAsia="de-DE"/>
        </w:rPr>
        <w:t xml:space="preserve">mit καθὰ εἶπεν Βαλαάμ (katha eipen Balaam, „wie Balaam gesagt hatte") wieder. Für </w:t>
      </w:r>
      <w:r w:rsidRPr="00CF5304">
        <w:rPr>
          <w:rFonts w:eastAsia="Times New Roman" w:cs="Times New Roman"/>
          <w:b/>
          <w:bCs/>
          <w:rtl/>
          <w:lang w:eastAsia="de-DE"/>
        </w:rPr>
        <w:t>וַיַּעַל</w:t>
      </w:r>
      <w:r w:rsidRPr="00CF5304">
        <w:rPr>
          <w:rFonts w:eastAsia="Times New Roman" w:cs="Times New Roman"/>
          <w:rtl/>
          <w:lang w:eastAsia="de-DE"/>
        </w:rPr>
        <w:t xml:space="preserve"> </w:t>
      </w:r>
      <w:r w:rsidRPr="00CF5304">
        <w:rPr>
          <w:rFonts w:eastAsia="Times New Roman" w:cs="Times New Roman"/>
          <w:lang w:eastAsia="de-DE"/>
        </w:rPr>
        <w:t xml:space="preserve">verwendet die LXX καὶ ἀνήνεγκεν (kai anēnenken, „und er brachte hinauf"). Die LXX übersetzt </w:t>
      </w:r>
      <w:r w:rsidRPr="00CF5304">
        <w:rPr>
          <w:rFonts w:eastAsia="Times New Roman" w:cs="Times New Roman"/>
          <w:b/>
          <w:bCs/>
          <w:rtl/>
          <w:lang w:eastAsia="de-DE"/>
        </w:rPr>
        <w:t>פָּר וָאַיִל</w:t>
      </w:r>
      <w:r w:rsidRPr="00CF5304">
        <w:rPr>
          <w:rFonts w:eastAsia="Times New Roman" w:cs="Times New Roman"/>
          <w:rtl/>
          <w:lang w:eastAsia="de-DE"/>
        </w:rPr>
        <w:t xml:space="preserve"> </w:t>
      </w:r>
      <w:r w:rsidRPr="00CF5304">
        <w:rPr>
          <w:rFonts w:eastAsia="Times New Roman" w:cs="Times New Roman"/>
          <w:lang w:eastAsia="de-DE"/>
        </w:rPr>
        <w:t xml:space="preserve">mit μόσχον καὶ κριόν (moschon kai krion, „Stier und Widder"). Die LXX gibt </w:t>
      </w:r>
      <w:r w:rsidRPr="00CF5304">
        <w:rPr>
          <w:rFonts w:eastAsia="Times New Roman" w:cs="Times New Roman"/>
          <w:b/>
          <w:bCs/>
          <w:rtl/>
          <w:lang w:eastAsia="de-DE"/>
        </w:rPr>
        <w:t>בַּמִּזְבֵּחַ</w:t>
      </w:r>
      <w:r w:rsidRPr="00CF5304">
        <w:rPr>
          <w:rFonts w:eastAsia="Times New Roman" w:cs="Times New Roman"/>
          <w:rtl/>
          <w:lang w:eastAsia="de-DE"/>
        </w:rPr>
        <w:t xml:space="preserve"> </w:t>
      </w:r>
      <w:r w:rsidRPr="00CF5304">
        <w:rPr>
          <w:rFonts w:eastAsia="Times New Roman" w:cs="Times New Roman"/>
          <w:lang w:eastAsia="de-DE"/>
        </w:rPr>
        <w:t>mit κατὰ βωμόν (kata bōmon, „auf jedem Altar") wieder und macht damit die distributive Bedeutung explizit.</w:t>
      </w:r>
    </w:p>
    <w:p w14:paraId="0D1C3173"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Satzstruktur besteht aus zwei koordinierten Hauptsätzen. Der erste Hauptsatz </w:t>
      </w:r>
      <w:r w:rsidRPr="00CF5304">
        <w:rPr>
          <w:rFonts w:eastAsia="Times New Roman" w:cs="Times New Roman"/>
          <w:b/>
          <w:bCs/>
          <w:rtl/>
          <w:lang w:eastAsia="de-DE"/>
        </w:rPr>
        <w:t>וַיַּעַשׂ בָּלָק כַּאֲשֶׁר אָמַר בִּלְעָם</w:t>
      </w:r>
      <w:r w:rsidRPr="00CF5304">
        <w:rPr>
          <w:rFonts w:eastAsia="Times New Roman" w:cs="Times New Roman"/>
          <w:rtl/>
          <w:lang w:eastAsia="de-DE"/>
        </w:rPr>
        <w:t xml:space="preserve"> </w:t>
      </w:r>
      <w:r w:rsidRPr="00CF5304">
        <w:rPr>
          <w:rFonts w:eastAsia="Times New Roman" w:cs="Times New Roman"/>
          <w:lang w:eastAsia="de-DE"/>
        </w:rPr>
        <w:t xml:space="preserve">enthält Verb, Subjekt und Vergleichssatz. Der Vergleichssatz </w:t>
      </w:r>
      <w:r w:rsidRPr="00CF5304">
        <w:rPr>
          <w:rFonts w:eastAsia="Times New Roman" w:cs="Times New Roman"/>
          <w:b/>
          <w:bCs/>
          <w:rtl/>
          <w:lang w:eastAsia="de-DE"/>
        </w:rPr>
        <w:t>כַּאֲשֶׁר אָמַר בִּלְעָם</w:t>
      </w:r>
      <w:r w:rsidRPr="00CF5304">
        <w:rPr>
          <w:rFonts w:eastAsia="Times New Roman" w:cs="Times New Roman"/>
          <w:rtl/>
          <w:lang w:eastAsia="de-DE"/>
        </w:rPr>
        <w:t xml:space="preserve"> </w:t>
      </w:r>
      <w:r w:rsidRPr="00CF5304">
        <w:rPr>
          <w:rFonts w:eastAsia="Times New Roman" w:cs="Times New Roman"/>
          <w:lang w:eastAsia="de-DE"/>
        </w:rPr>
        <w:t xml:space="preserve">ist ein Nebensatz mit Verb und Subjekt. Der zweite Hauptsatz </w:t>
      </w:r>
      <w:r w:rsidRPr="00CF5304">
        <w:rPr>
          <w:rFonts w:eastAsia="Times New Roman" w:cs="Times New Roman"/>
          <w:b/>
          <w:bCs/>
          <w:rtl/>
          <w:lang w:eastAsia="de-DE"/>
        </w:rPr>
        <w:t>וַיַּעַל פָּר וָאַיִל בַּמִּזְבֵּחַ</w:t>
      </w:r>
      <w:r w:rsidRPr="00CF5304">
        <w:rPr>
          <w:rFonts w:eastAsia="Times New Roman" w:cs="Times New Roman"/>
          <w:rtl/>
          <w:lang w:eastAsia="de-DE"/>
        </w:rPr>
        <w:t xml:space="preserve"> </w:t>
      </w:r>
      <w:r w:rsidRPr="00CF5304">
        <w:rPr>
          <w:rFonts w:eastAsia="Times New Roman" w:cs="Times New Roman"/>
          <w:lang w:eastAsia="de-DE"/>
        </w:rPr>
        <w:t>besteht aus Verb, koordiniertem Objekt und lokaler Bestimmung.</w:t>
      </w:r>
    </w:p>
    <w:p w14:paraId="0DA1D00A" w14:textId="68DAC388" w:rsid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Vers schließt die Vorbereitungen für den dritten </w:t>
      </w:r>
      <w:r w:rsidR="00B513FF">
        <w:rPr>
          <w:rFonts w:eastAsia="Times New Roman" w:cs="Times New Roman"/>
          <w:lang w:eastAsia="de-DE"/>
        </w:rPr>
        <w:t>Weissagungs</w:t>
      </w:r>
      <w:r w:rsidRPr="00CF5304">
        <w:rPr>
          <w:rFonts w:eastAsia="Times New Roman" w:cs="Times New Roman"/>
          <w:lang w:eastAsia="de-DE"/>
        </w:rPr>
        <w:t xml:space="preserve">versuch ab. Balaks sofortiger und vollständiger Gehorsam gegenüber Bileams Anweisung zeigt seine verzweifelte Hoffnung, dass das wiederholte Ritual endlich den gewünschten Fluch über Israel bringen würde. Die Formulierung </w:t>
      </w:r>
      <w:r w:rsidRPr="00CF5304">
        <w:rPr>
          <w:rFonts w:eastAsia="Times New Roman" w:cs="Times New Roman"/>
          <w:b/>
          <w:bCs/>
          <w:rtl/>
          <w:lang w:eastAsia="de-DE"/>
        </w:rPr>
        <w:t>וַיַּעַשׂ בָּלָק כַּאֲשֶׁר אָמַר בִּלְעָם</w:t>
      </w:r>
      <w:r w:rsidRPr="00CF5304">
        <w:rPr>
          <w:rFonts w:eastAsia="Times New Roman" w:cs="Times New Roman"/>
          <w:rtl/>
          <w:lang w:eastAsia="de-DE"/>
        </w:rPr>
        <w:t xml:space="preserve"> </w:t>
      </w:r>
      <w:r w:rsidRPr="00CF5304">
        <w:rPr>
          <w:rFonts w:eastAsia="Times New Roman" w:cs="Times New Roman"/>
          <w:lang w:eastAsia="de-DE"/>
        </w:rPr>
        <w:t xml:space="preserve">betont die exakte Ausführung – Balak lässt nichts aus, was den Erfolg gefährden könnte. Die kostspieligen Opfer (insgesamt vierzehn Tiere) unterstreichen Balaks Entschlossenheit. Doch wie die folgenden Kapitel zeigen werden, kann auch dieses aufwendige Ritual Gottes Segen über </w:t>
      </w:r>
      <w:r w:rsidRPr="00CF5304">
        <w:rPr>
          <w:rFonts w:eastAsia="Times New Roman" w:cs="Times New Roman"/>
          <w:lang w:eastAsia="de-DE"/>
        </w:rPr>
        <w:lastRenderedPageBreak/>
        <w:t>Israel nicht in einen Fluch verwandeln. Der Vers bereitet die Szene für Bileams drittes und umfangreichstes Segens</w:t>
      </w:r>
      <w:r w:rsidR="007B5DE0">
        <w:rPr>
          <w:rFonts w:eastAsia="Times New Roman" w:cs="Times New Roman"/>
          <w:lang w:eastAsia="de-DE"/>
        </w:rPr>
        <w:t xml:space="preserve"> </w:t>
      </w:r>
      <w:r w:rsidR="00B513FF">
        <w:rPr>
          <w:rFonts w:eastAsia="Times New Roman" w:cs="Times New Roman"/>
          <w:lang w:eastAsia="de-DE"/>
        </w:rPr>
        <w:t>Weissagung</w:t>
      </w:r>
      <w:r w:rsidRPr="00CF5304">
        <w:rPr>
          <w:rFonts w:eastAsia="Times New Roman" w:cs="Times New Roman"/>
          <w:lang w:eastAsia="de-DE"/>
        </w:rPr>
        <w:t xml:space="preserve"> vor.</w:t>
      </w:r>
    </w:p>
    <w:tbl>
      <w:tblPr>
        <w:tblStyle w:val="Gitternetztabelle2Akzent4"/>
        <w:tblW w:w="4994" w:type="pct"/>
        <w:tblLook w:val="04A0" w:firstRow="1" w:lastRow="0" w:firstColumn="1" w:lastColumn="0" w:noHBand="0" w:noVBand="1"/>
      </w:tblPr>
      <w:tblGrid>
        <w:gridCol w:w="1984"/>
        <w:gridCol w:w="1845"/>
        <w:gridCol w:w="2552"/>
        <w:gridCol w:w="2680"/>
      </w:tblGrid>
      <w:tr w:rsidR="007B5DE0" w14:paraId="5AA93D12" w14:textId="77777777" w:rsidTr="00C87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57DC0B31" w14:textId="0AA35096" w:rsidR="007B5DE0" w:rsidRPr="00C879EC" w:rsidRDefault="007B5DE0" w:rsidP="00CF5304">
            <w:pPr>
              <w:spacing w:before="100" w:beforeAutospacing="1" w:after="100" w:afterAutospacing="1" w:line="240" w:lineRule="auto"/>
              <w:rPr>
                <w:rFonts w:eastAsia="Times New Roman" w:cs="Times New Roman"/>
                <w:lang w:eastAsia="de-DE"/>
              </w:rPr>
            </w:pPr>
            <w:r w:rsidRPr="00C879EC">
              <w:rPr>
                <w:rFonts w:eastAsia="Times New Roman" w:cs="Times New Roman"/>
                <w:lang w:eastAsia="de-DE"/>
              </w:rPr>
              <w:t>Versuch</w:t>
            </w:r>
          </w:p>
        </w:tc>
        <w:tc>
          <w:tcPr>
            <w:tcW w:w="1018" w:type="pct"/>
          </w:tcPr>
          <w:p w14:paraId="2FA64D90" w14:textId="3F4A03EE" w:rsidR="007B5DE0" w:rsidRPr="00C879EC" w:rsidRDefault="007B5DE0" w:rsidP="00CF5304">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r w:rsidRPr="00C879EC">
              <w:rPr>
                <w:rFonts w:eastAsia="Times New Roman" w:cs="Times New Roman"/>
                <w:lang w:eastAsia="de-DE"/>
              </w:rPr>
              <w:t>Ort</w:t>
            </w:r>
          </w:p>
        </w:tc>
        <w:tc>
          <w:tcPr>
            <w:tcW w:w="1408" w:type="pct"/>
          </w:tcPr>
          <w:p w14:paraId="19FA6355" w14:textId="088BD1E1" w:rsidR="007B5DE0" w:rsidRPr="00C879EC" w:rsidRDefault="007B5DE0" w:rsidP="00CF5304">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r w:rsidRPr="00C879EC">
              <w:rPr>
                <w:rFonts w:eastAsia="Times New Roman" w:cs="Times New Roman"/>
                <w:lang w:eastAsia="de-DE"/>
              </w:rPr>
              <w:t>Opfer</w:t>
            </w:r>
          </w:p>
        </w:tc>
        <w:tc>
          <w:tcPr>
            <w:tcW w:w="1479" w:type="pct"/>
          </w:tcPr>
          <w:p w14:paraId="35C17B70" w14:textId="1B68504B" w:rsidR="007B5DE0" w:rsidRPr="00C879EC" w:rsidRDefault="007B5DE0" w:rsidP="00CF5304">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r w:rsidRPr="00C879EC">
              <w:rPr>
                <w:rFonts w:eastAsia="Times New Roman" w:cs="Times New Roman"/>
                <w:lang w:eastAsia="de-DE"/>
              </w:rPr>
              <w:t>Ergebnis</w:t>
            </w:r>
          </w:p>
        </w:tc>
      </w:tr>
      <w:tr w:rsidR="007B5DE0" w14:paraId="1FB03987" w14:textId="77777777" w:rsidTr="00C87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2998BD06" w14:textId="002DB3D0" w:rsidR="007B5DE0" w:rsidRDefault="007B5DE0" w:rsidP="00CF5304">
            <w:pPr>
              <w:spacing w:before="100" w:beforeAutospacing="1" w:after="100" w:afterAutospacing="1" w:line="240" w:lineRule="auto"/>
              <w:rPr>
                <w:rFonts w:eastAsia="Times New Roman" w:cs="Times New Roman"/>
                <w:lang w:eastAsia="de-DE"/>
              </w:rPr>
            </w:pPr>
            <w:r>
              <w:rPr>
                <w:rFonts w:eastAsia="Times New Roman" w:cs="Times New Roman"/>
                <w:lang w:eastAsia="de-DE"/>
              </w:rPr>
              <w:t>1 (V. 1-12)</w:t>
            </w:r>
          </w:p>
        </w:tc>
        <w:tc>
          <w:tcPr>
            <w:tcW w:w="1018" w:type="pct"/>
          </w:tcPr>
          <w:p w14:paraId="63984EB8" w14:textId="33F94EEE" w:rsidR="007B5DE0" w:rsidRDefault="007B5DE0" w:rsidP="00CF5304">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Bamot-Baal</w:t>
            </w:r>
          </w:p>
        </w:tc>
        <w:tc>
          <w:tcPr>
            <w:tcW w:w="1408" w:type="pct"/>
          </w:tcPr>
          <w:p w14:paraId="6510C3E1" w14:textId="5695FEC0" w:rsidR="007B5DE0" w:rsidRDefault="007B5DE0" w:rsidP="00CF5304">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7 Altäre, 14 Tiere</w:t>
            </w:r>
          </w:p>
        </w:tc>
        <w:tc>
          <w:tcPr>
            <w:tcW w:w="1479" w:type="pct"/>
          </w:tcPr>
          <w:p w14:paraId="4F37832D" w14:textId="7B2A2457" w:rsidR="007B5DE0" w:rsidRDefault="007B5DE0" w:rsidP="00CF5304">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Segen (V. 7-10)</w:t>
            </w:r>
          </w:p>
        </w:tc>
      </w:tr>
      <w:tr w:rsidR="007B5DE0" w14:paraId="5FDEF588" w14:textId="77777777" w:rsidTr="00C879EC">
        <w:tc>
          <w:tcPr>
            <w:cnfStyle w:val="001000000000" w:firstRow="0" w:lastRow="0" w:firstColumn="1" w:lastColumn="0" w:oddVBand="0" w:evenVBand="0" w:oddHBand="0" w:evenHBand="0" w:firstRowFirstColumn="0" w:firstRowLastColumn="0" w:lastRowFirstColumn="0" w:lastRowLastColumn="0"/>
            <w:tcW w:w="1095" w:type="pct"/>
          </w:tcPr>
          <w:p w14:paraId="469BC443" w14:textId="504C2517" w:rsidR="007B5DE0" w:rsidRDefault="007B5DE0" w:rsidP="00CF5304">
            <w:pPr>
              <w:spacing w:before="100" w:beforeAutospacing="1" w:after="100" w:afterAutospacing="1" w:line="240" w:lineRule="auto"/>
              <w:rPr>
                <w:rFonts w:eastAsia="Times New Roman" w:cs="Times New Roman"/>
                <w:lang w:eastAsia="de-DE"/>
              </w:rPr>
            </w:pPr>
            <w:r>
              <w:rPr>
                <w:rFonts w:eastAsia="Times New Roman" w:cs="Times New Roman"/>
                <w:lang w:eastAsia="de-DE"/>
              </w:rPr>
              <w:t xml:space="preserve">2 (V. 13,26) </w:t>
            </w:r>
          </w:p>
        </w:tc>
        <w:tc>
          <w:tcPr>
            <w:tcW w:w="1018" w:type="pct"/>
          </w:tcPr>
          <w:p w14:paraId="60C51E79" w14:textId="6E70B3D1" w:rsidR="007B5DE0" w:rsidRDefault="007B5DE0" w:rsidP="00CF530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Pr>
                <w:rFonts w:eastAsia="Times New Roman" w:cs="Times New Roman"/>
                <w:lang w:eastAsia="de-DE"/>
              </w:rPr>
              <w:t>Pisga</w:t>
            </w:r>
          </w:p>
        </w:tc>
        <w:tc>
          <w:tcPr>
            <w:tcW w:w="1408" w:type="pct"/>
          </w:tcPr>
          <w:p w14:paraId="052EE386" w14:textId="60746B8B" w:rsidR="007B5DE0" w:rsidRDefault="007B5DE0" w:rsidP="00CF530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Pr>
                <w:rFonts w:eastAsia="Times New Roman" w:cs="Times New Roman"/>
                <w:lang w:eastAsia="de-DE"/>
              </w:rPr>
              <w:t>7 Altäre, 14 Tiere</w:t>
            </w:r>
          </w:p>
        </w:tc>
        <w:tc>
          <w:tcPr>
            <w:tcW w:w="1479" w:type="pct"/>
          </w:tcPr>
          <w:p w14:paraId="72DB3DCE" w14:textId="28C0A272" w:rsidR="007B5DE0" w:rsidRDefault="007B5DE0" w:rsidP="00CF530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Pr>
                <w:rFonts w:eastAsia="Times New Roman" w:cs="Times New Roman"/>
                <w:lang w:eastAsia="de-DE"/>
              </w:rPr>
              <w:t>Segen</w:t>
            </w:r>
            <w:r>
              <w:rPr>
                <w:rFonts w:eastAsia="Times New Roman" w:cs="Times New Roman"/>
                <w:lang w:eastAsia="de-DE"/>
              </w:rPr>
              <w:t xml:space="preserve"> (V. 18-24)</w:t>
            </w:r>
          </w:p>
        </w:tc>
      </w:tr>
      <w:tr w:rsidR="007B5DE0" w14:paraId="0EDF3060" w14:textId="77777777" w:rsidTr="00C87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14:paraId="077E3940" w14:textId="5A3FCCE9" w:rsidR="007B5DE0" w:rsidRDefault="007B5DE0" w:rsidP="00CF5304">
            <w:pPr>
              <w:spacing w:before="100" w:beforeAutospacing="1" w:after="100" w:afterAutospacing="1" w:line="240" w:lineRule="auto"/>
              <w:rPr>
                <w:rFonts w:eastAsia="Times New Roman" w:cs="Times New Roman"/>
                <w:lang w:eastAsia="de-DE"/>
              </w:rPr>
            </w:pPr>
            <w:r>
              <w:rPr>
                <w:rFonts w:eastAsia="Times New Roman" w:cs="Times New Roman"/>
                <w:lang w:eastAsia="de-DE"/>
              </w:rPr>
              <w:t>3 (V. 27-30)</w:t>
            </w:r>
          </w:p>
        </w:tc>
        <w:tc>
          <w:tcPr>
            <w:tcW w:w="1018" w:type="pct"/>
          </w:tcPr>
          <w:p w14:paraId="106713BC" w14:textId="4469965C" w:rsidR="007B5DE0" w:rsidRDefault="007B5DE0" w:rsidP="00CF5304">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Peor</w:t>
            </w:r>
          </w:p>
        </w:tc>
        <w:tc>
          <w:tcPr>
            <w:tcW w:w="1408" w:type="pct"/>
          </w:tcPr>
          <w:p w14:paraId="5D6CD1B6" w14:textId="6D4EA635" w:rsidR="007B5DE0" w:rsidRDefault="007B5DE0" w:rsidP="00CF5304">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7 Altäre, 14 Tiere</w:t>
            </w:r>
          </w:p>
        </w:tc>
        <w:tc>
          <w:tcPr>
            <w:tcW w:w="1479" w:type="pct"/>
          </w:tcPr>
          <w:p w14:paraId="32B618B9" w14:textId="50157B69" w:rsidR="007B5DE0" w:rsidRDefault="00C879EC" w:rsidP="00CF5304">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(Segen folgt Kap. 24)</w:t>
            </w:r>
          </w:p>
        </w:tc>
      </w:tr>
    </w:tbl>
    <w:p w14:paraId="2E32AB1A" w14:textId="5EEB8EB9" w:rsidR="007B5DE0" w:rsidRPr="00CF5304" w:rsidRDefault="00C879EC" w:rsidP="00CF5304">
      <w:pPr>
        <w:spacing w:before="100" w:beforeAutospacing="1" w:after="100" w:afterAutospacing="1" w:line="240" w:lineRule="auto"/>
        <w:rPr>
          <w:rFonts w:eastAsia="Times New Roman" w:cs="Times New Roman"/>
          <w:lang w:eastAsia="de-DE"/>
        </w:rPr>
      </w:pPr>
      <w:r>
        <w:t xml:space="preserve">→ </w:t>
      </w:r>
      <w:r>
        <w:rPr>
          <w:rStyle w:val="Fett"/>
        </w:rPr>
        <w:t>Steigerung:</w:t>
      </w:r>
      <w:r>
        <w:t xml:space="preserve"> Trotz dreimaliger Wiederholung des Rituals bleibt Gottes Wille</w:t>
      </w:r>
      <w:r>
        <w:t xml:space="preserve"> </w:t>
      </w:r>
      <w:r>
        <w:t>unveränderlich</w:t>
      </w:r>
    </w:p>
    <w:p w14:paraId="4D0A22A3" w14:textId="77777777" w:rsidR="00CF5304" w:rsidRPr="00CF5304" w:rsidRDefault="00CF5304" w:rsidP="00CF5304">
      <w:pPr>
        <w:spacing w:before="100" w:beforeAutospacing="1" w:after="100" w:afterAutospacing="1" w:line="240" w:lineRule="auto"/>
        <w:outlineLvl w:val="0"/>
        <w:rPr>
          <w:rFonts w:eastAsia="Times New Roman" w:cs="Times New Roman"/>
          <w:b/>
          <w:bCs/>
          <w:kern w:val="36"/>
          <w:sz w:val="48"/>
          <w:szCs w:val="48"/>
          <w:lang w:eastAsia="de-DE"/>
        </w:rPr>
      </w:pPr>
      <w:r w:rsidRPr="00CF5304">
        <w:rPr>
          <w:rFonts w:eastAsia="Times New Roman" w:cs="Times New Roman"/>
          <w:b/>
          <w:bCs/>
          <w:kern w:val="36"/>
          <w:sz w:val="48"/>
          <w:szCs w:val="48"/>
          <w:lang w:eastAsia="de-DE"/>
        </w:rPr>
        <w:t>Numeri 24,1</w:t>
      </w:r>
    </w:p>
    <w:p w14:paraId="18DFB37D"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Hebräisch:</w:t>
      </w:r>
      <w:r w:rsidRPr="00CF5304">
        <w:rPr>
          <w:rFonts w:eastAsia="Times New Roman" w:cs="Times New Roman"/>
          <w:lang w:eastAsia="de-DE"/>
        </w:rPr>
        <w:t xml:space="preserve"> </w:t>
      </w:r>
      <w:r w:rsidRPr="00CF5304">
        <w:rPr>
          <w:rFonts w:eastAsia="Times New Roman" w:cs="Times New Roman"/>
          <w:rtl/>
          <w:lang w:eastAsia="de-DE"/>
        </w:rPr>
        <w:t>וַיַּ֣רְא בִּלְעָ֗ם כִּ֣י ט֞וֹב בְּעֵינֵ֤י יְהוָה֙ לְבָרֵ֣ךְ אֶת־יִשְׂרָאֵ֔ל וְלֹא־הָלַ֥ךְ כְּפַֽעַם־בְּפַ֖עַם לִקְרַ֣את נְחָשִׁ֑ים וַיָּ֥שֶׁת אֶל־הַמִּדְבָּ֖ר פָּנָֽיו׃</w:t>
      </w:r>
    </w:p>
    <w:p w14:paraId="58F587F1"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Deutsch:</w:t>
      </w:r>
      <w:r w:rsidRPr="00CF5304">
        <w:rPr>
          <w:rFonts w:eastAsia="Times New Roman" w:cs="Times New Roman"/>
          <w:lang w:eastAsia="de-DE"/>
        </w:rPr>
        <w:t xml:space="preserve"> Als Bilʿam sah, dass es gut war in den Augen des Ewigen, Jisraʾel zu segnen, ging er nicht wie die vorigen Male, um Wahrsagungen zu begegnen, sondern richtete sein Angesicht zur Wüste.</w:t>
      </w:r>
    </w:p>
    <w:p w14:paraId="5E6D17F8" w14:textId="77777777" w:rsidR="00CF5304" w:rsidRPr="00CF5304" w:rsidRDefault="00F329DD" w:rsidP="00CF5304">
      <w:pPr>
        <w:spacing w:after="0" w:line="240" w:lineRule="auto"/>
        <w:rPr>
          <w:rFonts w:eastAsia="Times New Roman" w:cs="Times New Roman"/>
          <w:lang w:eastAsia="de-DE"/>
        </w:rPr>
      </w:pPr>
      <w:r>
        <w:rPr>
          <w:rFonts w:eastAsia="Times New Roman" w:cs="Times New Roman"/>
          <w:noProof/>
          <w:lang w:eastAsia="de-DE"/>
        </w:rPr>
        <w:pict w14:anchorId="01E9E503">
          <v:rect id="_x0000_i1826" style="width:0;height:1.5pt" o:hralign="center" o:hrstd="t" o:hr="t" fillcolor="#a0a0a0" stroked="f"/>
        </w:pict>
      </w:r>
    </w:p>
    <w:p w14:paraId="1A3D62C2"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Kommentar:</w:t>
      </w:r>
      <w:r w:rsidRPr="00CF5304">
        <w:rPr>
          <w:rFonts w:eastAsia="Times New Roman" w:cs="Times New Roman"/>
          <w:lang w:eastAsia="de-DE"/>
        </w:rPr>
        <w:t xml:space="preserve"> Das Verb </w:t>
      </w:r>
      <w:r w:rsidRPr="00CF5304">
        <w:rPr>
          <w:rFonts w:eastAsia="Times New Roman" w:cs="Times New Roman"/>
          <w:b/>
          <w:bCs/>
          <w:rtl/>
          <w:lang w:eastAsia="de-DE"/>
        </w:rPr>
        <w:t>וַיַּרְא</w:t>
      </w:r>
      <w:r w:rsidRPr="00CF5304">
        <w:rPr>
          <w:rFonts w:eastAsia="Times New Roman" w:cs="Times New Roman"/>
          <w:rtl/>
          <w:lang w:eastAsia="de-DE"/>
        </w:rPr>
        <w:t xml:space="preserve"> </w:t>
      </w:r>
      <w:r w:rsidRPr="00CF5304">
        <w:rPr>
          <w:rFonts w:eastAsia="Times New Roman" w:cs="Times New Roman"/>
          <w:lang w:eastAsia="de-DE"/>
        </w:rPr>
        <w:t xml:space="preserve">(Wayyiqtol, 3. m. Sg. von </w:t>
      </w:r>
      <w:r w:rsidRPr="00CF5304">
        <w:rPr>
          <w:rFonts w:eastAsia="Times New Roman" w:cs="Times New Roman"/>
          <w:rtl/>
          <w:lang w:eastAsia="de-DE"/>
        </w:rPr>
        <w:t>ראה</w:t>
      </w:r>
      <w:r w:rsidRPr="00CF5304">
        <w:rPr>
          <w:rFonts w:eastAsia="Times New Roman" w:cs="Times New Roman"/>
          <w:lang w:eastAsia="de-DE"/>
        </w:rPr>
        <w:t xml:space="preserve">, „und er sah") leitet Bileams Erkenntnis ein. Das Subjekt </w:t>
      </w:r>
      <w:r w:rsidRPr="00CF5304">
        <w:rPr>
          <w:rFonts w:eastAsia="Times New Roman" w:cs="Times New Roman"/>
          <w:b/>
          <w:bCs/>
          <w:rtl/>
          <w:lang w:eastAsia="de-DE"/>
        </w:rPr>
        <w:t>בִּלְעָם</w:t>
      </w:r>
      <w:r w:rsidRPr="00CF5304">
        <w:rPr>
          <w:rFonts w:eastAsia="Times New Roman" w:cs="Times New Roman"/>
          <w:rtl/>
          <w:lang w:eastAsia="de-DE"/>
        </w:rPr>
        <w:t xml:space="preserve"> </w:t>
      </w:r>
      <w:r w:rsidRPr="00CF5304">
        <w:rPr>
          <w:rFonts w:eastAsia="Times New Roman" w:cs="Times New Roman"/>
          <w:lang w:eastAsia="de-DE"/>
        </w:rPr>
        <w:t>wird explizit genannt.</w:t>
      </w:r>
    </w:p>
    <w:p w14:paraId="400261E7" w14:textId="3906CF2E"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Konjunktion </w:t>
      </w:r>
      <w:r w:rsidRPr="00CF5304">
        <w:rPr>
          <w:rFonts w:eastAsia="Times New Roman" w:cs="Times New Roman"/>
          <w:b/>
          <w:bCs/>
          <w:rtl/>
          <w:lang w:eastAsia="de-DE"/>
        </w:rPr>
        <w:t>כִּי</w:t>
      </w:r>
      <w:r w:rsidRPr="00CF5304">
        <w:rPr>
          <w:rFonts w:eastAsia="Times New Roman" w:cs="Times New Roman"/>
          <w:rtl/>
          <w:lang w:eastAsia="de-DE"/>
        </w:rPr>
        <w:t xml:space="preserve"> </w:t>
      </w:r>
      <w:r w:rsidRPr="00CF5304">
        <w:rPr>
          <w:rFonts w:eastAsia="Times New Roman" w:cs="Times New Roman"/>
          <w:lang w:eastAsia="de-DE"/>
        </w:rPr>
        <w:t xml:space="preserve">(„dass") leitet einen Objektsatz ein, der den Inhalt von Bileams Erkenntnis darstellt. Das Adjektiv </w:t>
      </w:r>
      <w:r w:rsidRPr="00CF5304">
        <w:rPr>
          <w:rFonts w:eastAsia="Times New Roman" w:cs="Times New Roman"/>
          <w:b/>
          <w:bCs/>
          <w:rtl/>
          <w:lang w:eastAsia="de-DE"/>
        </w:rPr>
        <w:t>טוֹב</w:t>
      </w:r>
      <w:r w:rsidRPr="00CF5304">
        <w:rPr>
          <w:rFonts w:eastAsia="Times New Roman" w:cs="Times New Roman"/>
          <w:rtl/>
          <w:lang w:eastAsia="de-DE"/>
        </w:rPr>
        <w:t xml:space="preserve"> </w:t>
      </w:r>
      <w:r w:rsidRPr="00CF5304">
        <w:rPr>
          <w:rFonts w:eastAsia="Times New Roman" w:cs="Times New Roman"/>
          <w:lang w:eastAsia="de-DE"/>
        </w:rPr>
        <w:t xml:space="preserve">(„gut") als Prädikat beschreibt die göttliche Wohlgefälligkeit. Die Präpositionalphrase </w:t>
      </w:r>
      <w:r w:rsidRPr="00CF5304">
        <w:rPr>
          <w:rFonts w:eastAsia="Times New Roman" w:cs="Times New Roman"/>
          <w:b/>
          <w:bCs/>
          <w:rtl/>
          <w:lang w:eastAsia="de-DE"/>
        </w:rPr>
        <w:t>בְּעֵינֵי יְהוָה</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בְּ</w:t>
      </w:r>
      <w:r w:rsidRPr="00CF5304">
        <w:rPr>
          <w:rFonts w:eastAsia="Times New Roman" w:cs="Times New Roman"/>
          <w:lang w:eastAsia="de-DE"/>
        </w:rPr>
        <w:t xml:space="preserve"> mit der </w:t>
      </w:r>
      <w:r w:rsidR="00B513FF">
        <w:rPr>
          <w:rFonts w:eastAsia="Times New Roman" w:cs="Times New Roman"/>
          <w:lang w:eastAsia="de-DE"/>
        </w:rPr>
        <w:t xml:space="preserve">Constructus </w:t>
      </w:r>
      <w:r w:rsidRPr="00CF5304">
        <w:rPr>
          <w:rFonts w:eastAsia="Times New Roman" w:cs="Times New Roman"/>
          <w:lang w:eastAsia="de-DE"/>
        </w:rPr>
        <w:t xml:space="preserve">verbindung </w:t>
      </w:r>
      <w:r w:rsidRPr="00CF5304">
        <w:rPr>
          <w:rFonts w:eastAsia="Times New Roman" w:cs="Times New Roman"/>
          <w:b/>
          <w:bCs/>
          <w:rtl/>
          <w:lang w:eastAsia="de-DE"/>
        </w:rPr>
        <w:t>עֵינֵי</w:t>
      </w:r>
      <w:r w:rsidRPr="00CF5304">
        <w:rPr>
          <w:rFonts w:eastAsia="Times New Roman" w:cs="Times New Roman"/>
          <w:lang w:eastAsia="de-DE"/>
        </w:rPr>
        <w:t xml:space="preserve">, Dual von </w:t>
      </w:r>
      <w:r w:rsidRPr="00CF5304">
        <w:rPr>
          <w:rFonts w:eastAsia="Times New Roman" w:cs="Times New Roman"/>
          <w:b/>
          <w:bCs/>
          <w:rtl/>
          <w:lang w:eastAsia="de-DE"/>
        </w:rPr>
        <w:t>עַיִן</w:t>
      </w:r>
      <w:r w:rsidRPr="00CF5304">
        <w:rPr>
          <w:rFonts w:eastAsia="Times New Roman" w:cs="Times New Roman"/>
          <w:lang w:eastAsia="de-DE"/>
        </w:rPr>
        <w:t xml:space="preserve">, „Augen", und </w:t>
      </w:r>
      <w:r w:rsidRPr="00CF5304">
        <w:rPr>
          <w:rFonts w:eastAsia="Times New Roman" w:cs="Times New Roman"/>
          <w:b/>
          <w:bCs/>
          <w:rtl/>
          <w:lang w:eastAsia="de-DE"/>
        </w:rPr>
        <w:t>יְהוָה</w:t>
      </w:r>
      <w:r w:rsidRPr="00CF5304">
        <w:rPr>
          <w:rFonts w:eastAsia="Times New Roman" w:cs="Times New Roman"/>
          <w:lang w:eastAsia="de-DE"/>
        </w:rPr>
        <w:t>, Gottesname) ist eine idiomatische Wendung für „nach dem Willen/Wohlgefallen des Ewigen".</w:t>
      </w:r>
    </w:p>
    <w:p w14:paraId="3672A1F3"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Infinitiv construct </w:t>
      </w:r>
      <w:r w:rsidRPr="00CF5304">
        <w:rPr>
          <w:rFonts w:eastAsia="Times New Roman" w:cs="Times New Roman"/>
          <w:b/>
          <w:bCs/>
          <w:rtl/>
          <w:lang w:eastAsia="de-DE"/>
        </w:rPr>
        <w:t>לְבָרֵךְ</w:t>
      </w:r>
      <w:r w:rsidRPr="00CF5304">
        <w:rPr>
          <w:rFonts w:eastAsia="Times New Roman" w:cs="Times New Roman"/>
          <w:rtl/>
          <w:lang w:eastAsia="de-DE"/>
        </w:rPr>
        <w:t xml:space="preserve"> </w:t>
      </w:r>
      <w:r w:rsidRPr="00CF5304">
        <w:rPr>
          <w:rFonts w:eastAsia="Times New Roman" w:cs="Times New Roman"/>
          <w:lang w:eastAsia="de-DE"/>
        </w:rPr>
        <w:t xml:space="preserve">(Piel Infinitiv construct von </w:t>
      </w:r>
      <w:r w:rsidRPr="00CF5304">
        <w:rPr>
          <w:rFonts w:eastAsia="Times New Roman" w:cs="Times New Roman"/>
          <w:rtl/>
          <w:lang w:eastAsia="de-DE"/>
        </w:rPr>
        <w:t>ברך</w:t>
      </w:r>
      <w:r w:rsidRPr="00CF5304">
        <w:rPr>
          <w:rFonts w:eastAsia="Times New Roman" w:cs="Times New Roman"/>
          <w:lang w:eastAsia="de-DE"/>
        </w:rPr>
        <w:t xml:space="preserve"> mit Präposition </w:t>
      </w:r>
      <w:r w:rsidRPr="00CF5304">
        <w:rPr>
          <w:rFonts w:eastAsia="Times New Roman" w:cs="Times New Roman"/>
          <w:rtl/>
          <w:lang w:eastAsia="de-DE"/>
        </w:rPr>
        <w:t>לְ</w:t>
      </w:r>
      <w:r w:rsidRPr="00CF5304">
        <w:rPr>
          <w:rFonts w:eastAsia="Times New Roman" w:cs="Times New Roman"/>
          <w:lang w:eastAsia="de-DE"/>
        </w:rPr>
        <w:t xml:space="preserve">, „zu segnen") fungiert als Subjekt des Objektsatzes. Die Piel-Form intensiviert die Bedeutung des Segnens. Das direkte Objekt </w:t>
      </w:r>
      <w:r w:rsidRPr="00CF5304">
        <w:rPr>
          <w:rFonts w:eastAsia="Times New Roman" w:cs="Times New Roman"/>
          <w:b/>
          <w:bCs/>
          <w:rtl/>
          <w:lang w:eastAsia="de-DE"/>
        </w:rPr>
        <w:t>אֶת־יִשְׂרָאֵל</w:t>
      </w:r>
      <w:r w:rsidRPr="00CF5304">
        <w:rPr>
          <w:rFonts w:eastAsia="Times New Roman" w:cs="Times New Roman"/>
          <w:rtl/>
          <w:lang w:eastAsia="de-DE"/>
        </w:rPr>
        <w:t xml:space="preserve"> </w:t>
      </w:r>
      <w:r w:rsidRPr="00CF5304">
        <w:rPr>
          <w:rFonts w:eastAsia="Times New Roman" w:cs="Times New Roman"/>
          <w:lang w:eastAsia="de-DE"/>
        </w:rPr>
        <w:t xml:space="preserve">(Objektmarker </w:t>
      </w:r>
      <w:r w:rsidRPr="00CF5304">
        <w:rPr>
          <w:rFonts w:eastAsia="Times New Roman" w:cs="Times New Roman"/>
          <w:rtl/>
          <w:lang w:eastAsia="de-DE"/>
        </w:rPr>
        <w:t>אֶת</w:t>
      </w:r>
      <w:r w:rsidRPr="00CF5304">
        <w:rPr>
          <w:rFonts w:eastAsia="Times New Roman" w:cs="Times New Roman"/>
          <w:lang w:eastAsia="de-DE"/>
        </w:rPr>
        <w:t xml:space="preserve"> mit </w:t>
      </w:r>
      <w:r w:rsidRPr="00CF5304">
        <w:rPr>
          <w:rFonts w:eastAsia="Times New Roman" w:cs="Times New Roman"/>
          <w:b/>
          <w:bCs/>
          <w:rtl/>
          <w:lang w:eastAsia="de-DE"/>
        </w:rPr>
        <w:t>יִשְׂרָאֵל</w:t>
      </w:r>
      <w:r w:rsidRPr="00CF5304">
        <w:rPr>
          <w:rFonts w:eastAsia="Times New Roman" w:cs="Times New Roman"/>
          <w:lang w:eastAsia="de-DE"/>
        </w:rPr>
        <w:t>) bezeichnet den Empfänger des Segens.</w:t>
      </w:r>
    </w:p>
    <w:p w14:paraId="66BBC89B" w14:textId="1BCA95A0"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Negation </w:t>
      </w:r>
      <w:r w:rsidRPr="00CF5304">
        <w:rPr>
          <w:rFonts w:eastAsia="Times New Roman" w:cs="Times New Roman"/>
          <w:b/>
          <w:bCs/>
          <w:rtl/>
          <w:lang w:eastAsia="de-DE"/>
        </w:rPr>
        <w:t>וְלֹא</w:t>
      </w:r>
      <w:r w:rsidRPr="00CF5304">
        <w:rPr>
          <w:rFonts w:eastAsia="Times New Roman" w:cs="Times New Roman"/>
          <w:rtl/>
          <w:lang w:eastAsia="de-DE"/>
        </w:rPr>
        <w:t xml:space="preserve"> </w:t>
      </w:r>
      <w:r w:rsidRPr="00CF5304">
        <w:rPr>
          <w:rFonts w:eastAsia="Times New Roman" w:cs="Times New Roman"/>
          <w:lang w:eastAsia="de-DE"/>
        </w:rPr>
        <w:t xml:space="preserve">mit dem Verb </w:t>
      </w:r>
      <w:r w:rsidRPr="00CF5304">
        <w:rPr>
          <w:rFonts w:eastAsia="Times New Roman" w:cs="Times New Roman"/>
          <w:b/>
          <w:bCs/>
          <w:rtl/>
          <w:lang w:eastAsia="de-DE"/>
        </w:rPr>
        <w:t>הָלַךְ</w:t>
      </w:r>
      <w:r w:rsidRPr="00CF5304">
        <w:rPr>
          <w:rFonts w:eastAsia="Times New Roman" w:cs="Times New Roman"/>
          <w:rtl/>
          <w:lang w:eastAsia="de-DE"/>
        </w:rPr>
        <w:t xml:space="preserve"> </w:t>
      </w:r>
      <w:r w:rsidRPr="00CF5304">
        <w:rPr>
          <w:rFonts w:eastAsia="Times New Roman" w:cs="Times New Roman"/>
          <w:lang w:eastAsia="de-DE"/>
        </w:rPr>
        <w:t xml:space="preserve">(Qal Perfekt 3. m. Sg. von </w:t>
      </w:r>
      <w:r w:rsidRPr="00CF5304">
        <w:rPr>
          <w:rFonts w:eastAsia="Times New Roman" w:cs="Times New Roman"/>
          <w:rtl/>
          <w:lang w:eastAsia="de-DE"/>
        </w:rPr>
        <w:t>הלך</w:t>
      </w:r>
      <w:r w:rsidRPr="00CF5304">
        <w:rPr>
          <w:rFonts w:eastAsia="Times New Roman" w:cs="Times New Roman"/>
          <w:lang w:eastAsia="de-DE"/>
        </w:rPr>
        <w:t xml:space="preserve">, „er ging") drückt aus, dass Bileam nicht ging. Die Präpositionalphrase </w:t>
      </w:r>
      <w:r w:rsidRPr="00CF5304">
        <w:rPr>
          <w:rFonts w:eastAsia="Times New Roman" w:cs="Times New Roman"/>
          <w:b/>
          <w:bCs/>
          <w:rtl/>
          <w:lang w:eastAsia="de-DE"/>
        </w:rPr>
        <w:t>כְּפַעַם־בְּפַעַם</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כְּ</w:t>
      </w:r>
      <w:r w:rsidRPr="00CF5304">
        <w:rPr>
          <w:rFonts w:eastAsia="Times New Roman" w:cs="Times New Roman"/>
          <w:lang w:eastAsia="de-DE"/>
        </w:rPr>
        <w:t xml:space="preserve"> mit der </w:t>
      </w:r>
      <w:r w:rsidR="00B513FF">
        <w:rPr>
          <w:rFonts w:eastAsia="Times New Roman" w:cs="Times New Roman"/>
          <w:lang w:eastAsia="de-DE"/>
        </w:rPr>
        <w:t xml:space="preserve">Constructus </w:t>
      </w:r>
      <w:r w:rsidRPr="00CF5304">
        <w:rPr>
          <w:rFonts w:eastAsia="Times New Roman" w:cs="Times New Roman"/>
          <w:lang w:eastAsia="de-DE"/>
        </w:rPr>
        <w:t xml:space="preserve">verbindung </w:t>
      </w:r>
      <w:r w:rsidRPr="00CF5304">
        <w:rPr>
          <w:rFonts w:eastAsia="Times New Roman" w:cs="Times New Roman"/>
          <w:b/>
          <w:bCs/>
          <w:rtl/>
          <w:lang w:eastAsia="de-DE"/>
        </w:rPr>
        <w:t>פַּעַם־בְּפַעַם</w:t>
      </w:r>
      <w:r w:rsidRPr="00CF5304">
        <w:rPr>
          <w:rFonts w:eastAsia="Times New Roman" w:cs="Times New Roman"/>
          <w:lang w:eastAsia="de-DE"/>
        </w:rPr>
        <w:t>, „wie Mal in/nach Mal", idiomatisch „wie die vorigen Male, wie zuvor") beschreibt die früheren Gelegenheiten.</w:t>
      </w:r>
    </w:p>
    <w:p w14:paraId="4D0BE0A3"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Infinitiv construct </w:t>
      </w:r>
      <w:r w:rsidRPr="00CF5304">
        <w:rPr>
          <w:rFonts w:eastAsia="Times New Roman" w:cs="Times New Roman"/>
          <w:b/>
          <w:bCs/>
          <w:rtl/>
          <w:lang w:eastAsia="de-DE"/>
        </w:rPr>
        <w:t>לִקְרַאת</w:t>
      </w:r>
      <w:r w:rsidRPr="00CF5304">
        <w:rPr>
          <w:rFonts w:eastAsia="Times New Roman" w:cs="Times New Roman"/>
          <w:rtl/>
          <w:lang w:eastAsia="de-DE"/>
        </w:rPr>
        <w:t xml:space="preserve"> </w:t>
      </w:r>
      <w:r w:rsidRPr="00CF5304">
        <w:rPr>
          <w:rFonts w:eastAsia="Times New Roman" w:cs="Times New Roman"/>
          <w:lang w:eastAsia="de-DE"/>
        </w:rPr>
        <w:t xml:space="preserve">(Qal Infinitiv construct von </w:t>
      </w:r>
      <w:r w:rsidRPr="00CF5304">
        <w:rPr>
          <w:rFonts w:eastAsia="Times New Roman" w:cs="Times New Roman"/>
          <w:rtl/>
          <w:lang w:eastAsia="de-DE"/>
        </w:rPr>
        <w:t>קרא</w:t>
      </w:r>
      <w:r w:rsidRPr="00CF5304">
        <w:rPr>
          <w:rFonts w:eastAsia="Times New Roman" w:cs="Times New Roman"/>
          <w:lang w:eastAsia="de-DE"/>
        </w:rPr>
        <w:t xml:space="preserve"> mit Präposition </w:t>
      </w:r>
      <w:r w:rsidRPr="00CF5304">
        <w:rPr>
          <w:rFonts w:eastAsia="Times New Roman" w:cs="Times New Roman"/>
          <w:rtl/>
          <w:lang w:eastAsia="de-DE"/>
        </w:rPr>
        <w:t>לְ</w:t>
      </w:r>
      <w:r w:rsidRPr="00CF5304">
        <w:rPr>
          <w:rFonts w:eastAsia="Times New Roman" w:cs="Times New Roman"/>
          <w:lang w:eastAsia="de-DE"/>
        </w:rPr>
        <w:t xml:space="preserve">, „um zu begegnen, um entgegenzugehen") drückt den Zweck aus. Das Objekt </w:t>
      </w:r>
      <w:r w:rsidRPr="00CF5304">
        <w:rPr>
          <w:rFonts w:eastAsia="Times New Roman" w:cs="Times New Roman"/>
          <w:b/>
          <w:bCs/>
          <w:rtl/>
          <w:lang w:eastAsia="de-DE"/>
        </w:rPr>
        <w:t>נְחָשִׁים</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נַחַשׁ</w:t>
      </w:r>
      <w:r w:rsidRPr="00CF5304">
        <w:rPr>
          <w:rFonts w:eastAsia="Times New Roman" w:cs="Times New Roman"/>
          <w:lang w:eastAsia="de-DE"/>
        </w:rPr>
        <w:t>, „Wahrsagungen, Omina, Zaubereien") bezeichnet die magischen Praktiken, die Bileam früher aufgesucht hatte.</w:t>
      </w:r>
    </w:p>
    <w:p w14:paraId="5BB5B07E"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Verb </w:t>
      </w:r>
      <w:r w:rsidRPr="00CF5304">
        <w:rPr>
          <w:rFonts w:eastAsia="Times New Roman" w:cs="Times New Roman"/>
          <w:b/>
          <w:bCs/>
          <w:rtl/>
          <w:lang w:eastAsia="de-DE"/>
        </w:rPr>
        <w:t>וַיָּשֶׁת</w:t>
      </w:r>
      <w:r w:rsidRPr="00CF5304">
        <w:rPr>
          <w:rFonts w:eastAsia="Times New Roman" w:cs="Times New Roman"/>
          <w:rtl/>
          <w:lang w:eastAsia="de-DE"/>
        </w:rPr>
        <w:t xml:space="preserve"> </w:t>
      </w:r>
      <w:r w:rsidRPr="00CF5304">
        <w:rPr>
          <w:rFonts w:eastAsia="Times New Roman" w:cs="Times New Roman"/>
          <w:lang w:eastAsia="de-DE"/>
        </w:rPr>
        <w:t xml:space="preserve">(Wayyiqtol, 3. m. Sg. von </w:t>
      </w:r>
      <w:r w:rsidRPr="00CF5304">
        <w:rPr>
          <w:rFonts w:eastAsia="Times New Roman" w:cs="Times New Roman"/>
          <w:rtl/>
          <w:lang w:eastAsia="de-DE"/>
        </w:rPr>
        <w:t>שׁית</w:t>
      </w:r>
      <w:r w:rsidRPr="00CF5304">
        <w:rPr>
          <w:rFonts w:eastAsia="Times New Roman" w:cs="Times New Roman"/>
          <w:lang w:eastAsia="de-DE"/>
        </w:rPr>
        <w:t xml:space="preserve">, „und er richtete, setzte") beschreibt die neue Handlung. Die Präpositionalphrase </w:t>
      </w:r>
      <w:r w:rsidRPr="00CF5304">
        <w:rPr>
          <w:rFonts w:eastAsia="Times New Roman" w:cs="Times New Roman"/>
          <w:b/>
          <w:bCs/>
          <w:rtl/>
          <w:lang w:eastAsia="de-DE"/>
        </w:rPr>
        <w:t>אֶל־הַמִּדְבָּר</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אֶל</w:t>
      </w:r>
      <w:r w:rsidRPr="00CF5304">
        <w:rPr>
          <w:rFonts w:eastAsia="Times New Roman" w:cs="Times New Roman"/>
          <w:lang w:eastAsia="de-DE"/>
        </w:rPr>
        <w:t xml:space="preserve"> mit </w:t>
      </w:r>
      <w:r w:rsidRPr="00CF5304">
        <w:rPr>
          <w:rFonts w:eastAsia="Times New Roman" w:cs="Times New Roman"/>
          <w:b/>
          <w:bCs/>
          <w:rtl/>
          <w:lang w:eastAsia="de-DE"/>
        </w:rPr>
        <w:t>הַמִּדְבָּר</w:t>
      </w:r>
      <w:r w:rsidRPr="00CF5304">
        <w:rPr>
          <w:rFonts w:eastAsia="Times New Roman" w:cs="Times New Roman"/>
          <w:lang w:eastAsia="de-DE"/>
        </w:rPr>
        <w:t xml:space="preserve">, „die Wüste", m. Sg. </w:t>
      </w:r>
      <w:r w:rsidRPr="00CF5304">
        <w:rPr>
          <w:rFonts w:eastAsia="Times New Roman" w:cs="Times New Roman"/>
          <w:lang w:eastAsia="de-DE"/>
        </w:rPr>
        <w:lastRenderedPageBreak/>
        <w:t xml:space="preserve">mit Artikel) zeigt die Richtung. Das Objekt </w:t>
      </w:r>
      <w:r w:rsidRPr="00CF5304">
        <w:rPr>
          <w:rFonts w:eastAsia="Times New Roman" w:cs="Times New Roman"/>
          <w:b/>
          <w:bCs/>
          <w:rtl/>
          <w:lang w:eastAsia="de-DE"/>
        </w:rPr>
        <w:t>פָּנָיו</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פָּנִים</w:t>
      </w:r>
      <w:r w:rsidRPr="00CF5304">
        <w:rPr>
          <w:rFonts w:eastAsia="Times New Roman" w:cs="Times New Roman"/>
          <w:lang w:eastAsia="de-DE"/>
        </w:rPr>
        <w:t>, „Angesicht", mit Suffix 3. m. Sg., „sein Angesicht") bildet mit dem Verb die idiomatische Wendung „sein Angesicht richten" für „sich hinwenden zu, ausrichten auf".</w:t>
      </w:r>
    </w:p>
    <w:p w14:paraId="6440C576" w14:textId="2C5CC722"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Die LXX</w:t>
      </w:r>
      <w:r w:rsidRPr="00CF5304">
        <w:rPr>
          <w:rFonts w:eastAsia="Times New Roman" w:cs="Times New Roman"/>
          <w:lang w:eastAsia="de-DE"/>
        </w:rPr>
        <w:t xml:space="preserve"> </w:t>
      </w:r>
      <w:r w:rsidR="00CD2614">
        <w:t>übersetzt „</w:t>
      </w:r>
      <w:r w:rsidR="00CD2614" w:rsidRPr="00CD2614">
        <w:rPr>
          <w:b/>
          <w:bCs/>
          <w:rtl/>
        </w:rPr>
        <w:t>לִקְרַאת</w:t>
      </w:r>
      <w:r w:rsidR="00CD2614">
        <w:rPr>
          <w:rtl/>
        </w:rPr>
        <w:t xml:space="preserve"> </w:t>
      </w:r>
      <w:r w:rsidR="00CD2614" w:rsidRPr="00CD2614">
        <w:rPr>
          <w:b/>
          <w:bCs/>
          <w:rtl/>
        </w:rPr>
        <w:t>נְחָשִׁים</w:t>
      </w:r>
      <w:r w:rsidR="00CD2614">
        <w:t>" (um Wahrsagereien zu begegnen) mit „εἰς συνάντησιν τοῖς οἰωνοῖς" (zur Begegnung mit den Vogelzeichen), was eine spezifische Form der Divination (Vogelschau) nennt statt allgemeiner Wahrsagerei.</w:t>
      </w:r>
    </w:p>
    <w:p w14:paraId="23E42B17"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Satzstruktur besteht aus drei koordinierten Hauptsätzen. Der erste Satz </w:t>
      </w:r>
      <w:r w:rsidRPr="00CF5304">
        <w:rPr>
          <w:rFonts w:eastAsia="Times New Roman" w:cs="Times New Roman"/>
          <w:b/>
          <w:bCs/>
          <w:rtl/>
          <w:lang w:eastAsia="de-DE"/>
        </w:rPr>
        <w:t>וַיַּרְא בִּלְעָם</w:t>
      </w:r>
      <w:r w:rsidRPr="00CF5304">
        <w:rPr>
          <w:rFonts w:eastAsia="Times New Roman" w:cs="Times New Roman"/>
          <w:rtl/>
          <w:lang w:eastAsia="de-DE"/>
        </w:rPr>
        <w:t xml:space="preserve"> </w:t>
      </w:r>
      <w:r w:rsidRPr="00CF5304">
        <w:rPr>
          <w:rFonts w:eastAsia="Times New Roman" w:cs="Times New Roman"/>
          <w:lang w:eastAsia="de-DE"/>
        </w:rPr>
        <w:t xml:space="preserve">mit dem Objektsatz </w:t>
      </w:r>
      <w:r w:rsidRPr="00CF5304">
        <w:rPr>
          <w:rFonts w:eastAsia="Times New Roman" w:cs="Times New Roman"/>
          <w:b/>
          <w:bCs/>
          <w:rtl/>
          <w:lang w:eastAsia="de-DE"/>
        </w:rPr>
        <w:t>כִּי טוֹב בְּעֵינֵי יְהוָה לְבָרֵךְ אֶת־יִשְׂרָאֵל</w:t>
      </w:r>
      <w:r w:rsidRPr="00CF5304">
        <w:rPr>
          <w:rFonts w:eastAsia="Times New Roman" w:cs="Times New Roman"/>
          <w:rtl/>
          <w:lang w:eastAsia="de-DE"/>
        </w:rPr>
        <w:t xml:space="preserve"> </w:t>
      </w:r>
      <w:r w:rsidRPr="00CF5304">
        <w:rPr>
          <w:rFonts w:eastAsia="Times New Roman" w:cs="Times New Roman"/>
          <w:lang w:eastAsia="de-DE"/>
        </w:rPr>
        <w:t xml:space="preserve">beschreibt Bileams Erkenntnis. Der zweite Satz </w:t>
      </w:r>
      <w:r w:rsidRPr="00CF5304">
        <w:rPr>
          <w:rFonts w:eastAsia="Times New Roman" w:cs="Times New Roman"/>
          <w:b/>
          <w:bCs/>
          <w:rtl/>
          <w:lang w:eastAsia="de-DE"/>
        </w:rPr>
        <w:t>וְלֹא־הָלַךְ כְּפַעַם־בְּפַעַם לִקְרַאת נְחָשִׁים</w:t>
      </w:r>
      <w:r w:rsidRPr="00CF5304">
        <w:rPr>
          <w:rFonts w:eastAsia="Times New Roman" w:cs="Times New Roman"/>
          <w:rtl/>
          <w:lang w:eastAsia="de-DE"/>
        </w:rPr>
        <w:t xml:space="preserve"> </w:t>
      </w:r>
      <w:r w:rsidRPr="00CF5304">
        <w:rPr>
          <w:rFonts w:eastAsia="Times New Roman" w:cs="Times New Roman"/>
          <w:lang w:eastAsia="de-DE"/>
        </w:rPr>
        <w:t xml:space="preserve">ist ein negierter Verbalsatz mit finalem Infinitiv. Der dritte Satz </w:t>
      </w:r>
      <w:r w:rsidRPr="00CF5304">
        <w:rPr>
          <w:rFonts w:eastAsia="Times New Roman" w:cs="Times New Roman"/>
          <w:b/>
          <w:bCs/>
          <w:rtl/>
          <w:lang w:eastAsia="de-DE"/>
        </w:rPr>
        <w:t>וַיָּשֶׁת אֶל־הַמִּדְבָּר פָּנָיו</w:t>
      </w:r>
      <w:r w:rsidRPr="00CF5304">
        <w:rPr>
          <w:rFonts w:eastAsia="Times New Roman" w:cs="Times New Roman"/>
          <w:rtl/>
          <w:lang w:eastAsia="de-DE"/>
        </w:rPr>
        <w:t xml:space="preserve"> </w:t>
      </w:r>
      <w:r w:rsidRPr="00CF5304">
        <w:rPr>
          <w:rFonts w:eastAsia="Times New Roman" w:cs="Times New Roman"/>
          <w:lang w:eastAsia="de-DE"/>
        </w:rPr>
        <w:t>beschreibt Bileams neue Handlung.</w:t>
      </w:r>
    </w:p>
    <w:p w14:paraId="0355E86D"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Der Vers markiert einen entscheidenden Wendepunkt in Bileams Verhalten. Nach zwei erfolglosen Versuchen, Israel zu verfluchen, erkennt Bileam endgültig, dass es Gottes Wille ist, Israel zu segnen. Im Gegensatz zu den vorherigen Malen (</w:t>
      </w:r>
      <w:r w:rsidRPr="00CF5304">
        <w:rPr>
          <w:rFonts w:eastAsia="Times New Roman" w:cs="Times New Roman"/>
          <w:b/>
          <w:bCs/>
          <w:rtl/>
          <w:lang w:eastAsia="de-DE"/>
        </w:rPr>
        <w:t>כְּפַעַם־בְּפַעַם</w:t>
      </w:r>
      <w:r w:rsidRPr="00CF5304">
        <w:rPr>
          <w:rFonts w:eastAsia="Times New Roman" w:cs="Times New Roman"/>
          <w:lang w:eastAsia="de-DE"/>
        </w:rPr>
        <w:t>) sucht er nun keine Wahrsagungen mehr auf (</w:t>
      </w:r>
      <w:r w:rsidRPr="00CF5304">
        <w:rPr>
          <w:rFonts w:eastAsia="Times New Roman" w:cs="Times New Roman"/>
          <w:b/>
          <w:bCs/>
          <w:rtl/>
          <w:lang w:eastAsia="de-DE"/>
        </w:rPr>
        <w:t>נְחָשִׁים</w:t>
      </w:r>
      <w:r w:rsidRPr="00CF5304">
        <w:rPr>
          <w:rFonts w:eastAsia="Times New Roman" w:cs="Times New Roman"/>
          <w:lang w:eastAsia="de-DE"/>
        </w:rPr>
        <w:t>), sondern wendet sich direkt der Wüste zu, wo Israel lagert. Diese Änderung zeigt Bileams wachsendes Verständnis: Wahrsagerei und magische Praktiken sind nutzlos, wenn Gottes Wille feststeht. Statt Omina zu suchen, öffnet er sich nun vollständig für die direkte göttliche Offenbarung. Das Richten seines Angesichts zur Wüste symbolisiert seine Bereitschaft, Israel direkt anzuschauen und Gottes Segen über das Volk zu empfangen und auszusprechen.</w:t>
      </w:r>
    </w:p>
    <w:p w14:paraId="11C253A0" w14:textId="77777777" w:rsidR="00CF5304" w:rsidRPr="00CF5304" w:rsidRDefault="00CF5304" w:rsidP="00CF5304">
      <w:pPr>
        <w:spacing w:before="100" w:beforeAutospacing="1" w:after="100" w:afterAutospacing="1" w:line="240" w:lineRule="auto"/>
        <w:outlineLvl w:val="0"/>
        <w:rPr>
          <w:rFonts w:eastAsia="Times New Roman" w:cs="Times New Roman"/>
          <w:b/>
          <w:bCs/>
          <w:kern w:val="36"/>
          <w:sz w:val="48"/>
          <w:szCs w:val="48"/>
          <w:lang w:eastAsia="de-DE"/>
        </w:rPr>
      </w:pPr>
      <w:r w:rsidRPr="00CF5304">
        <w:rPr>
          <w:rFonts w:eastAsia="Times New Roman" w:cs="Times New Roman"/>
          <w:b/>
          <w:bCs/>
          <w:kern w:val="36"/>
          <w:sz w:val="48"/>
          <w:szCs w:val="48"/>
          <w:lang w:eastAsia="de-DE"/>
        </w:rPr>
        <w:t>Numeri 24,2</w:t>
      </w:r>
    </w:p>
    <w:p w14:paraId="670ED32D"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Hebräisch:</w:t>
      </w:r>
      <w:r w:rsidRPr="00CF5304">
        <w:rPr>
          <w:rFonts w:eastAsia="Times New Roman" w:cs="Times New Roman"/>
          <w:lang w:eastAsia="de-DE"/>
        </w:rPr>
        <w:t xml:space="preserve"> </w:t>
      </w:r>
      <w:r w:rsidRPr="00CF5304">
        <w:rPr>
          <w:rFonts w:eastAsia="Times New Roman" w:cs="Times New Roman"/>
          <w:rtl/>
          <w:lang w:eastAsia="de-DE"/>
        </w:rPr>
        <w:t>וַיִּשָּׂ֨א בִלְעָ֜ם אֶת־עֵינָ֗יו וַיַּרְא֙ אֶת־יִשְׂרָאֵ֔ל שֹׁכֵ֖ן לִשְׁבָטָ֑יו וַתְּהִ֥י עָלָ֖יו ר֥וּחַ אֱלֹהִֽים׃</w:t>
      </w:r>
    </w:p>
    <w:p w14:paraId="3EC84C13"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Deutsch:</w:t>
      </w:r>
      <w:r w:rsidRPr="00CF5304">
        <w:rPr>
          <w:rFonts w:eastAsia="Times New Roman" w:cs="Times New Roman"/>
          <w:lang w:eastAsia="de-DE"/>
        </w:rPr>
        <w:t xml:space="preserve"> Und Bilʿam erhob seine Augen und sah Jisraʾel wohnend nach seinen Stämmen, und der Geist Gottes kam über ihn.</w:t>
      </w:r>
    </w:p>
    <w:p w14:paraId="251B4FDE" w14:textId="77777777" w:rsidR="00CF5304" w:rsidRPr="00CF5304" w:rsidRDefault="00F329DD" w:rsidP="00CF5304">
      <w:pPr>
        <w:spacing w:after="0" w:line="240" w:lineRule="auto"/>
        <w:rPr>
          <w:rFonts w:eastAsia="Times New Roman" w:cs="Times New Roman"/>
          <w:lang w:eastAsia="de-DE"/>
        </w:rPr>
      </w:pPr>
      <w:r>
        <w:rPr>
          <w:rFonts w:eastAsia="Times New Roman" w:cs="Times New Roman"/>
          <w:noProof/>
          <w:lang w:eastAsia="de-DE"/>
        </w:rPr>
        <w:pict w14:anchorId="05034A9B">
          <v:rect id="_x0000_i1827" style="width:0;height:1.5pt" o:hralign="center" o:hrstd="t" o:hr="t" fillcolor="#a0a0a0" stroked="f"/>
        </w:pict>
      </w:r>
    </w:p>
    <w:p w14:paraId="23D3BEC2"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Kommentar:</w:t>
      </w:r>
      <w:r w:rsidRPr="00CF5304">
        <w:rPr>
          <w:rFonts w:eastAsia="Times New Roman" w:cs="Times New Roman"/>
          <w:lang w:eastAsia="de-DE"/>
        </w:rPr>
        <w:t xml:space="preserve"> Das Verb </w:t>
      </w:r>
      <w:r w:rsidRPr="00CF5304">
        <w:rPr>
          <w:rFonts w:eastAsia="Times New Roman" w:cs="Times New Roman"/>
          <w:b/>
          <w:bCs/>
          <w:rtl/>
          <w:lang w:eastAsia="de-DE"/>
        </w:rPr>
        <w:t>וַיִּשָּׂא</w:t>
      </w:r>
      <w:r w:rsidRPr="00CF5304">
        <w:rPr>
          <w:rFonts w:eastAsia="Times New Roman" w:cs="Times New Roman"/>
          <w:rtl/>
          <w:lang w:eastAsia="de-DE"/>
        </w:rPr>
        <w:t xml:space="preserve"> </w:t>
      </w:r>
      <w:r w:rsidRPr="00CF5304">
        <w:rPr>
          <w:rFonts w:eastAsia="Times New Roman" w:cs="Times New Roman"/>
          <w:lang w:eastAsia="de-DE"/>
        </w:rPr>
        <w:t xml:space="preserve">(Wayyiqtol, 3. m. Sg. von </w:t>
      </w:r>
      <w:r w:rsidRPr="00CF5304">
        <w:rPr>
          <w:rFonts w:eastAsia="Times New Roman" w:cs="Times New Roman"/>
          <w:rtl/>
          <w:lang w:eastAsia="de-DE"/>
        </w:rPr>
        <w:t>נשׂא</w:t>
      </w:r>
      <w:r w:rsidRPr="00CF5304">
        <w:rPr>
          <w:rFonts w:eastAsia="Times New Roman" w:cs="Times New Roman"/>
          <w:lang w:eastAsia="de-DE"/>
        </w:rPr>
        <w:t xml:space="preserve">, „und er erhob") leitet die Handlung ein. Das Subjekt </w:t>
      </w:r>
      <w:r w:rsidRPr="00CF5304">
        <w:rPr>
          <w:rFonts w:eastAsia="Times New Roman" w:cs="Times New Roman"/>
          <w:b/>
          <w:bCs/>
          <w:rtl/>
          <w:lang w:eastAsia="de-DE"/>
        </w:rPr>
        <w:t>בִלְעָם</w:t>
      </w:r>
      <w:r w:rsidRPr="00CF5304">
        <w:rPr>
          <w:rFonts w:eastAsia="Times New Roman" w:cs="Times New Roman"/>
          <w:rtl/>
          <w:lang w:eastAsia="de-DE"/>
        </w:rPr>
        <w:t xml:space="preserve"> </w:t>
      </w:r>
      <w:r w:rsidRPr="00CF5304">
        <w:rPr>
          <w:rFonts w:eastAsia="Times New Roman" w:cs="Times New Roman"/>
          <w:lang w:eastAsia="de-DE"/>
        </w:rPr>
        <w:t xml:space="preserve">wird explizit genannt. Das direkte Objekt </w:t>
      </w:r>
      <w:r w:rsidRPr="00CF5304">
        <w:rPr>
          <w:rFonts w:eastAsia="Times New Roman" w:cs="Times New Roman"/>
          <w:b/>
          <w:bCs/>
          <w:rtl/>
          <w:lang w:eastAsia="de-DE"/>
        </w:rPr>
        <w:t>אֶת־עֵינָיו</w:t>
      </w:r>
      <w:r w:rsidRPr="00CF5304">
        <w:rPr>
          <w:rFonts w:eastAsia="Times New Roman" w:cs="Times New Roman"/>
          <w:rtl/>
          <w:lang w:eastAsia="de-DE"/>
        </w:rPr>
        <w:t xml:space="preserve"> </w:t>
      </w:r>
      <w:r w:rsidRPr="00CF5304">
        <w:rPr>
          <w:rFonts w:eastAsia="Times New Roman" w:cs="Times New Roman"/>
          <w:lang w:eastAsia="de-DE"/>
        </w:rPr>
        <w:t xml:space="preserve">(Objektmarker </w:t>
      </w:r>
      <w:r w:rsidRPr="00CF5304">
        <w:rPr>
          <w:rFonts w:eastAsia="Times New Roman" w:cs="Times New Roman"/>
          <w:rtl/>
          <w:lang w:eastAsia="de-DE"/>
        </w:rPr>
        <w:t>אֶת</w:t>
      </w:r>
      <w:r w:rsidRPr="00CF5304">
        <w:rPr>
          <w:rFonts w:eastAsia="Times New Roman" w:cs="Times New Roman"/>
          <w:lang w:eastAsia="de-DE"/>
        </w:rPr>
        <w:t xml:space="preserve"> mit </w:t>
      </w:r>
      <w:r w:rsidRPr="00CF5304">
        <w:rPr>
          <w:rFonts w:eastAsia="Times New Roman" w:cs="Times New Roman"/>
          <w:b/>
          <w:bCs/>
          <w:rtl/>
          <w:lang w:eastAsia="de-DE"/>
        </w:rPr>
        <w:t>עֵינַיִם</w:t>
      </w:r>
      <w:r w:rsidRPr="00CF5304">
        <w:rPr>
          <w:rFonts w:eastAsia="Times New Roman" w:cs="Times New Roman"/>
          <w:lang w:eastAsia="de-DE"/>
        </w:rPr>
        <w:t xml:space="preserve">, Dual von </w:t>
      </w:r>
      <w:r w:rsidRPr="00CF5304">
        <w:rPr>
          <w:rFonts w:eastAsia="Times New Roman" w:cs="Times New Roman"/>
          <w:b/>
          <w:bCs/>
          <w:rtl/>
          <w:lang w:eastAsia="de-DE"/>
        </w:rPr>
        <w:t>עַיִן</w:t>
      </w:r>
      <w:r w:rsidRPr="00CF5304">
        <w:rPr>
          <w:rFonts w:eastAsia="Times New Roman" w:cs="Times New Roman"/>
          <w:lang w:eastAsia="de-DE"/>
        </w:rPr>
        <w:t>, „Augen", mit Suffix 3. m. Sg., „seine Augen") bildet mit dem Verb die idiomatische Wendung „die Augen erheben" für „aufblicken, schauen".</w:t>
      </w:r>
    </w:p>
    <w:p w14:paraId="0D49DA6B"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Verb </w:t>
      </w:r>
      <w:r w:rsidRPr="00CF5304">
        <w:rPr>
          <w:rFonts w:eastAsia="Times New Roman" w:cs="Times New Roman"/>
          <w:b/>
          <w:bCs/>
          <w:rtl/>
          <w:lang w:eastAsia="de-DE"/>
        </w:rPr>
        <w:t>וַיַּרְא</w:t>
      </w:r>
      <w:r w:rsidRPr="00CF5304">
        <w:rPr>
          <w:rFonts w:eastAsia="Times New Roman" w:cs="Times New Roman"/>
          <w:rtl/>
          <w:lang w:eastAsia="de-DE"/>
        </w:rPr>
        <w:t xml:space="preserve"> </w:t>
      </w:r>
      <w:r w:rsidRPr="00CF5304">
        <w:rPr>
          <w:rFonts w:eastAsia="Times New Roman" w:cs="Times New Roman"/>
          <w:lang w:eastAsia="de-DE"/>
        </w:rPr>
        <w:t xml:space="preserve">(Wayyiqtol, 3. m. Sg. von </w:t>
      </w:r>
      <w:r w:rsidRPr="00CF5304">
        <w:rPr>
          <w:rFonts w:eastAsia="Times New Roman" w:cs="Times New Roman"/>
          <w:rtl/>
          <w:lang w:eastAsia="de-DE"/>
        </w:rPr>
        <w:t>ראה</w:t>
      </w:r>
      <w:r w:rsidRPr="00CF5304">
        <w:rPr>
          <w:rFonts w:eastAsia="Times New Roman" w:cs="Times New Roman"/>
          <w:lang w:eastAsia="de-DE"/>
        </w:rPr>
        <w:t xml:space="preserve">, „und er sah") beschreibt die Wahrnehmung. Das direkte Objekt </w:t>
      </w:r>
      <w:r w:rsidRPr="00CF5304">
        <w:rPr>
          <w:rFonts w:eastAsia="Times New Roman" w:cs="Times New Roman"/>
          <w:b/>
          <w:bCs/>
          <w:rtl/>
          <w:lang w:eastAsia="de-DE"/>
        </w:rPr>
        <w:t>אֶת־יִשְׂרָאֵל</w:t>
      </w:r>
      <w:r w:rsidRPr="00CF5304">
        <w:rPr>
          <w:rFonts w:eastAsia="Times New Roman" w:cs="Times New Roman"/>
          <w:rtl/>
          <w:lang w:eastAsia="de-DE"/>
        </w:rPr>
        <w:t xml:space="preserve"> </w:t>
      </w:r>
      <w:r w:rsidRPr="00CF5304">
        <w:rPr>
          <w:rFonts w:eastAsia="Times New Roman" w:cs="Times New Roman"/>
          <w:lang w:eastAsia="de-DE"/>
        </w:rPr>
        <w:t xml:space="preserve">(Objektmarker </w:t>
      </w:r>
      <w:r w:rsidRPr="00CF5304">
        <w:rPr>
          <w:rFonts w:eastAsia="Times New Roman" w:cs="Times New Roman"/>
          <w:rtl/>
          <w:lang w:eastAsia="de-DE"/>
        </w:rPr>
        <w:t>אֶת</w:t>
      </w:r>
      <w:r w:rsidRPr="00CF5304">
        <w:rPr>
          <w:rFonts w:eastAsia="Times New Roman" w:cs="Times New Roman"/>
          <w:lang w:eastAsia="de-DE"/>
        </w:rPr>
        <w:t xml:space="preserve"> mit </w:t>
      </w:r>
      <w:r w:rsidRPr="00CF5304">
        <w:rPr>
          <w:rFonts w:eastAsia="Times New Roman" w:cs="Times New Roman"/>
          <w:b/>
          <w:bCs/>
          <w:rtl/>
          <w:lang w:eastAsia="de-DE"/>
        </w:rPr>
        <w:t>יִשְׂרָאֵל</w:t>
      </w:r>
      <w:r w:rsidRPr="00CF5304">
        <w:rPr>
          <w:rFonts w:eastAsia="Times New Roman" w:cs="Times New Roman"/>
          <w:lang w:eastAsia="de-DE"/>
        </w:rPr>
        <w:t xml:space="preserve">) bezeichnet das Gesehene. Das Partizip </w:t>
      </w:r>
      <w:r w:rsidRPr="00CF5304">
        <w:rPr>
          <w:rFonts w:eastAsia="Times New Roman" w:cs="Times New Roman"/>
          <w:b/>
          <w:bCs/>
          <w:rtl/>
          <w:lang w:eastAsia="de-DE"/>
        </w:rPr>
        <w:t>שֹׁכֵן</w:t>
      </w:r>
      <w:r w:rsidRPr="00CF5304">
        <w:rPr>
          <w:rFonts w:eastAsia="Times New Roman" w:cs="Times New Roman"/>
          <w:rtl/>
          <w:lang w:eastAsia="de-DE"/>
        </w:rPr>
        <w:t xml:space="preserve"> </w:t>
      </w:r>
      <w:r w:rsidRPr="00CF5304">
        <w:rPr>
          <w:rFonts w:eastAsia="Times New Roman" w:cs="Times New Roman"/>
          <w:lang w:eastAsia="de-DE"/>
        </w:rPr>
        <w:t xml:space="preserve">(Qal Partizip m. Sg. von </w:t>
      </w:r>
      <w:r w:rsidRPr="00CF5304">
        <w:rPr>
          <w:rFonts w:eastAsia="Times New Roman" w:cs="Times New Roman"/>
          <w:rtl/>
          <w:lang w:eastAsia="de-DE"/>
        </w:rPr>
        <w:t>שׁכן</w:t>
      </w:r>
      <w:r w:rsidRPr="00CF5304">
        <w:rPr>
          <w:rFonts w:eastAsia="Times New Roman" w:cs="Times New Roman"/>
          <w:lang w:eastAsia="de-DE"/>
        </w:rPr>
        <w:t>, „wohnend, lagernd") beschreibt Israels Zustand.</w:t>
      </w:r>
    </w:p>
    <w:p w14:paraId="654CE85A"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Präpositionalphrase </w:t>
      </w:r>
      <w:r w:rsidRPr="00CF5304">
        <w:rPr>
          <w:rFonts w:eastAsia="Times New Roman" w:cs="Times New Roman"/>
          <w:b/>
          <w:bCs/>
          <w:rtl/>
          <w:lang w:eastAsia="de-DE"/>
        </w:rPr>
        <w:t>לִשְׁבָטָיו</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לְ</w:t>
      </w:r>
      <w:r w:rsidRPr="00CF5304">
        <w:rPr>
          <w:rFonts w:eastAsia="Times New Roman" w:cs="Times New Roman"/>
          <w:lang w:eastAsia="de-DE"/>
        </w:rPr>
        <w:t xml:space="preserve"> mit </w:t>
      </w:r>
      <w:r w:rsidRPr="00CF5304">
        <w:rPr>
          <w:rFonts w:eastAsia="Times New Roman" w:cs="Times New Roman"/>
          <w:b/>
          <w:bCs/>
          <w:rtl/>
          <w:lang w:eastAsia="de-DE"/>
        </w:rPr>
        <w:t>שְׁבָטִים</w:t>
      </w:r>
      <w:r w:rsidRPr="00CF5304">
        <w:rPr>
          <w:rFonts w:eastAsia="Times New Roman" w:cs="Times New Roman"/>
          <w:lang w:eastAsia="de-DE"/>
        </w:rPr>
        <w:t xml:space="preserve">, Pl. von </w:t>
      </w:r>
      <w:r w:rsidRPr="00CF5304">
        <w:rPr>
          <w:rFonts w:eastAsia="Times New Roman" w:cs="Times New Roman"/>
          <w:b/>
          <w:bCs/>
          <w:rtl/>
          <w:lang w:eastAsia="de-DE"/>
        </w:rPr>
        <w:t>שֵׁבֶט</w:t>
      </w:r>
      <w:r w:rsidRPr="00CF5304">
        <w:rPr>
          <w:rFonts w:eastAsia="Times New Roman" w:cs="Times New Roman"/>
          <w:lang w:eastAsia="de-DE"/>
        </w:rPr>
        <w:t xml:space="preserve">, „Stamm", mit Suffix 3. m. Sg., „nach seinen Stämmen") zeigt die geordnete Lagerung Israels nach den zwölf Stämmen an. Die Präposition </w:t>
      </w:r>
      <w:r w:rsidRPr="00CF5304">
        <w:rPr>
          <w:rFonts w:eastAsia="Times New Roman" w:cs="Times New Roman"/>
          <w:rtl/>
          <w:lang w:eastAsia="de-DE"/>
        </w:rPr>
        <w:t>לְ</w:t>
      </w:r>
      <w:r w:rsidRPr="00CF5304">
        <w:rPr>
          <w:rFonts w:eastAsia="Times New Roman" w:cs="Times New Roman"/>
          <w:lang w:eastAsia="de-DE"/>
        </w:rPr>
        <w:t xml:space="preserve"> hat hier distributive Bedeutung „gemäß, nach".</w:t>
      </w:r>
    </w:p>
    <w:p w14:paraId="527AA859" w14:textId="76687949"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Verb </w:t>
      </w:r>
      <w:r w:rsidRPr="00CF5304">
        <w:rPr>
          <w:rFonts w:eastAsia="Times New Roman" w:cs="Times New Roman"/>
          <w:b/>
          <w:bCs/>
          <w:rtl/>
          <w:lang w:eastAsia="de-DE"/>
        </w:rPr>
        <w:t>וַתְּהִי</w:t>
      </w:r>
      <w:r w:rsidRPr="00CF5304">
        <w:rPr>
          <w:rFonts w:eastAsia="Times New Roman" w:cs="Times New Roman"/>
          <w:rtl/>
          <w:lang w:eastAsia="de-DE"/>
        </w:rPr>
        <w:t xml:space="preserve"> </w:t>
      </w:r>
      <w:r w:rsidRPr="00CF5304">
        <w:rPr>
          <w:rFonts w:eastAsia="Times New Roman" w:cs="Times New Roman"/>
          <w:lang w:eastAsia="de-DE"/>
        </w:rPr>
        <w:t xml:space="preserve">(Wayyiqtol, 3. f. Sg. von </w:t>
      </w:r>
      <w:r w:rsidRPr="00CF5304">
        <w:rPr>
          <w:rFonts w:eastAsia="Times New Roman" w:cs="Times New Roman"/>
          <w:rtl/>
          <w:lang w:eastAsia="de-DE"/>
        </w:rPr>
        <w:t>היה</w:t>
      </w:r>
      <w:r w:rsidRPr="00CF5304">
        <w:rPr>
          <w:rFonts w:eastAsia="Times New Roman" w:cs="Times New Roman"/>
          <w:lang w:eastAsia="de-DE"/>
        </w:rPr>
        <w:t xml:space="preserve">, „und es war, und sie kam") leitet das Kommen des Geistes ein. Die Präpositionalphrase </w:t>
      </w:r>
      <w:r w:rsidRPr="00CF5304">
        <w:rPr>
          <w:rFonts w:eastAsia="Times New Roman" w:cs="Times New Roman"/>
          <w:b/>
          <w:bCs/>
          <w:rtl/>
          <w:lang w:eastAsia="de-DE"/>
        </w:rPr>
        <w:t>עָלָיו</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עַל</w:t>
      </w:r>
      <w:r w:rsidRPr="00CF5304">
        <w:rPr>
          <w:rFonts w:eastAsia="Times New Roman" w:cs="Times New Roman"/>
          <w:lang w:eastAsia="de-DE"/>
        </w:rPr>
        <w:t xml:space="preserve"> mit Suffix 3. m. Sg., „auf ihn") zeigt die Richtung der Geistesmitteilung. Das Subjekt </w:t>
      </w:r>
      <w:r w:rsidRPr="00CF5304">
        <w:rPr>
          <w:rFonts w:eastAsia="Times New Roman" w:cs="Times New Roman"/>
          <w:b/>
          <w:bCs/>
          <w:rtl/>
          <w:lang w:eastAsia="de-DE"/>
        </w:rPr>
        <w:t>רוּחַ אֱלֹהִים</w:t>
      </w:r>
      <w:r w:rsidRPr="00CF5304">
        <w:rPr>
          <w:rFonts w:eastAsia="Times New Roman" w:cs="Times New Roman"/>
          <w:rtl/>
          <w:lang w:eastAsia="de-DE"/>
        </w:rPr>
        <w:t xml:space="preserve"> </w:t>
      </w:r>
      <w:r w:rsidRPr="00CF5304">
        <w:rPr>
          <w:rFonts w:eastAsia="Times New Roman" w:cs="Times New Roman"/>
          <w:lang w:eastAsia="de-DE"/>
        </w:rPr>
        <w:t>(</w:t>
      </w:r>
      <w:r w:rsidR="00B513FF">
        <w:rPr>
          <w:rFonts w:eastAsia="Times New Roman" w:cs="Times New Roman"/>
          <w:lang w:eastAsia="de-DE"/>
        </w:rPr>
        <w:t xml:space="preserve">Constructus </w:t>
      </w:r>
      <w:r w:rsidRPr="00CF5304">
        <w:rPr>
          <w:rFonts w:eastAsia="Times New Roman" w:cs="Times New Roman"/>
          <w:lang w:eastAsia="de-DE"/>
        </w:rPr>
        <w:t xml:space="preserve">verbindung von </w:t>
      </w:r>
      <w:r w:rsidRPr="00CF5304">
        <w:rPr>
          <w:rFonts w:eastAsia="Times New Roman" w:cs="Times New Roman"/>
          <w:b/>
          <w:bCs/>
          <w:rtl/>
          <w:lang w:eastAsia="de-DE"/>
        </w:rPr>
        <w:lastRenderedPageBreak/>
        <w:t>רוּחַ</w:t>
      </w:r>
      <w:r w:rsidRPr="00CF5304">
        <w:rPr>
          <w:rFonts w:eastAsia="Times New Roman" w:cs="Times New Roman"/>
          <w:lang w:eastAsia="de-DE"/>
        </w:rPr>
        <w:t xml:space="preserve">, „Geist, Wind", f. Sg., mit </w:t>
      </w:r>
      <w:r w:rsidRPr="00CF5304">
        <w:rPr>
          <w:rFonts w:eastAsia="Times New Roman" w:cs="Times New Roman"/>
          <w:b/>
          <w:bCs/>
          <w:rtl/>
          <w:lang w:eastAsia="de-DE"/>
        </w:rPr>
        <w:t>אֱלֹהִים</w:t>
      </w:r>
      <w:r w:rsidRPr="00CF5304">
        <w:rPr>
          <w:rFonts w:eastAsia="Times New Roman" w:cs="Times New Roman"/>
          <w:lang w:eastAsia="de-DE"/>
        </w:rPr>
        <w:t>, „Gott") bezeichnet den „Geist Gottes", der Bileam zur prophetischen Rede befähigt.</w:t>
      </w:r>
    </w:p>
    <w:p w14:paraId="46994E80"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Die LXX</w:t>
      </w:r>
      <w:r w:rsidRPr="00CF5304">
        <w:rPr>
          <w:rFonts w:eastAsia="Times New Roman" w:cs="Times New Roman"/>
          <w:lang w:eastAsia="de-DE"/>
        </w:rPr>
        <w:t xml:space="preserve"> übersetzt </w:t>
      </w:r>
      <w:r w:rsidRPr="00CF5304">
        <w:rPr>
          <w:rFonts w:eastAsia="Times New Roman" w:cs="Times New Roman"/>
          <w:b/>
          <w:bCs/>
          <w:rtl/>
          <w:lang w:eastAsia="de-DE"/>
        </w:rPr>
        <w:t>וַיִּשָּׂא בִלְעָם אֶת־עֵינָיו</w:t>
      </w:r>
      <w:r w:rsidRPr="00CF5304">
        <w:rPr>
          <w:rFonts w:eastAsia="Times New Roman" w:cs="Times New Roman"/>
          <w:rtl/>
          <w:lang w:eastAsia="de-DE"/>
        </w:rPr>
        <w:t xml:space="preserve"> </w:t>
      </w:r>
      <w:r w:rsidRPr="00CF5304">
        <w:rPr>
          <w:rFonts w:eastAsia="Times New Roman" w:cs="Times New Roman"/>
          <w:lang w:eastAsia="de-DE"/>
        </w:rPr>
        <w:t xml:space="preserve">mit καὶ ἐπάρας Βαλαὰμ τοὺς ὀφθαλμοὺς αὐτοῦ (kai eparas Balaam tous ophthalmous autou, „und Balaam, erhoben habend seine Augen"). Die LXX gibt </w:t>
      </w:r>
      <w:r w:rsidRPr="00CF5304">
        <w:rPr>
          <w:rFonts w:eastAsia="Times New Roman" w:cs="Times New Roman"/>
          <w:b/>
          <w:bCs/>
          <w:rtl/>
          <w:lang w:eastAsia="de-DE"/>
        </w:rPr>
        <w:t>שֹׁכֵן לִשְׁבָטָיו</w:t>
      </w:r>
      <w:r w:rsidRPr="00CF5304">
        <w:rPr>
          <w:rFonts w:eastAsia="Times New Roman" w:cs="Times New Roman"/>
          <w:rtl/>
          <w:lang w:eastAsia="de-DE"/>
        </w:rPr>
        <w:t xml:space="preserve"> </w:t>
      </w:r>
      <w:r w:rsidRPr="00CF5304">
        <w:rPr>
          <w:rFonts w:eastAsia="Times New Roman" w:cs="Times New Roman"/>
          <w:lang w:eastAsia="de-DE"/>
        </w:rPr>
        <w:t xml:space="preserve">mit παρεμβεβληκότα κατὰ φυλάς (parembeblēkota kata phylas, „gelagert nach Stämmen") wieder. Für </w:t>
      </w:r>
      <w:r w:rsidRPr="00CF5304">
        <w:rPr>
          <w:rFonts w:eastAsia="Times New Roman" w:cs="Times New Roman"/>
          <w:b/>
          <w:bCs/>
          <w:rtl/>
          <w:lang w:eastAsia="de-DE"/>
        </w:rPr>
        <w:t>וַתְּהִי עָלָיו רוּחַ אֱלֹהִים</w:t>
      </w:r>
      <w:r w:rsidRPr="00CF5304">
        <w:rPr>
          <w:rFonts w:eastAsia="Times New Roman" w:cs="Times New Roman"/>
          <w:rtl/>
          <w:lang w:eastAsia="de-DE"/>
        </w:rPr>
        <w:t xml:space="preserve"> </w:t>
      </w:r>
      <w:r w:rsidRPr="00CF5304">
        <w:rPr>
          <w:rFonts w:eastAsia="Times New Roman" w:cs="Times New Roman"/>
          <w:lang w:eastAsia="de-DE"/>
        </w:rPr>
        <w:t>verwendet die LXX καὶ ἐγενήθη πνεῦμα θεοῦ ἐπ' αὐτῷ (kai egenēthē pneuma theou ep' autō, „und es kam Geist Gottes auf ihn").</w:t>
      </w:r>
    </w:p>
    <w:p w14:paraId="02655B1F"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Satzstruktur besteht aus drei koordinierten Hauptsätzen. Der erste Satz </w:t>
      </w:r>
      <w:r w:rsidRPr="00CF5304">
        <w:rPr>
          <w:rFonts w:eastAsia="Times New Roman" w:cs="Times New Roman"/>
          <w:b/>
          <w:bCs/>
          <w:rtl/>
          <w:lang w:eastAsia="de-DE"/>
        </w:rPr>
        <w:t>וַיִּשָּׂא בִלְעָם אֶת־עֵינָיו</w:t>
      </w:r>
      <w:r w:rsidRPr="00CF5304">
        <w:rPr>
          <w:rFonts w:eastAsia="Times New Roman" w:cs="Times New Roman"/>
          <w:rtl/>
          <w:lang w:eastAsia="de-DE"/>
        </w:rPr>
        <w:t xml:space="preserve"> </w:t>
      </w:r>
      <w:r w:rsidRPr="00CF5304">
        <w:rPr>
          <w:rFonts w:eastAsia="Times New Roman" w:cs="Times New Roman"/>
          <w:lang w:eastAsia="de-DE"/>
        </w:rPr>
        <w:t xml:space="preserve">ist ein Verbalsatz mit Subjekt und Objekt. Der zweite Satz </w:t>
      </w:r>
      <w:r w:rsidRPr="00CF5304">
        <w:rPr>
          <w:rFonts w:eastAsia="Times New Roman" w:cs="Times New Roman"/>
          <w:b/>
          <w:bCs/>
          <w:rtl/>
          <w:lang w:eastAsia="de-DE"/>
        </w:rPr>
        <w:t>וַיַּרְא אֶת־יִשְׂרָאֵל שֹׁכֵן לִשְׁבָטָיו</w:t>
      </w:r>
      <w:r w:rsidRPr="00CF5304">
        <w:rPr>
          <w:rFonts w:eastAsia="Times New Roman" w:cs="Times New Roman"/>
          <w:rtl/>
          <w:lang w:eastAsia="de-DE"/>
        </w:rPr>
        <w:t xml:space="preserve"> </w:t>
      </w:r>
      <w:r w:rsidRPr="00CF5304">
        <w:rPr>
          <w:rFonts w:eastAsia="Times New Roman" w:cs="Times New Roman"/>
          <w:lang w:eastAsia="de-DE"/>
        </w:rPr>
        <w:t xml:space="preserve">enthält das Verb, das Objekt und einen partizipialen Attributsatz. Der dritte Satz </w:t>
      </w:r>
      <w:r w:rsidRPr="00CF5304">
        <w:rPr>
          <w:rFonts w:eastAsia="Times New Roman" w:cs="Times New Roman"/>
          <w:b/>
          <w:bCs/>
          <w:rtl/>
          <w:lang w:eastAsia="de-DE"/>
        </w:rPr>
        <w:t>וַתְּהִי עָלָיו רוּחַ אֱלֹהִים</w:t>
      </w:r>
      <w:r w:rsidRPr="00CF5304">
        <w:rPr>
          <w:rFonts w:eastAsia="Times New Roman" w:cs="Times New Roman"/>
          <w:rtl/>
          <w:lang w:eastAsia="de-DE"/>
        </w:rPr>
        <w:t xml:space="preserve"> </w:t>
      </w:r>
      <w:r w:rsidRPr="00CF5304">
        <w:rPr>
          <w:rFonts w:eastAsia="Times New Roman" w:cs="Times New Roman"/>
          <w:lang w:eastAsia="de-DE"/>
        </w:rPr>
        <w:t>ist ein Verbalsatz mit präpositionalem Objekt und Subjekt.</w:t>
      </w:r>
    </w:p>
    <w:p w14:paraId="056566D8" w14:textId="7B12210C"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Vers beschreibt den Moment der prophetischen Inspiration. Bileam blickt auf und sieht Israel in geordneter, stammesmäßiger Lagerung. Dieser Anblick der göttlichen Ordnung im Volk löst das Kommen des Geistes Gottes aus. Die Formulierung </w:t>
      </w:r>
      <w:r w:rsidRPr="00CF5304">
        <w:rPr>
          <w:rFonts w:eastAsia="Times New Roman" w:cs="Times New Roman"/>
          <w:b/>
          <w:bCs/>
          <w:rtl/>
          <w:lang w:eastAsia="de-DE"/>
        </w:rPr>
        <w:t>רוּחַ אֱלֹהִים</w:t>
      </w:r>
      <w:r w:rsidRPr="00CF5304">
        <w:rPr>
          <w:rFonts w:eastAsia="Times New Roman" w:cs="Times New Roman"/>
          <w:rtl/>
          <w:lang w:eastAsia="de-DE"/>
        </w:rPr>
        <w:t xml:space="preserve"> </w:t>
      </w:r>
      <w:r w:rsidRPr="00CF5304">
        <w:rPr>
          <w:rFonts w:eastAsia="Times New Roman" w:cs="Times New Roman"/>
          <w:lang w:eastAsia="de-DE"/>
        </w:rPr>
        <w:t xml:space="preserve">betont die göttliche Quelle der folgenden Weissagung. Anders als bei den vorherigen </w:t>
      </w:r>
      <w:r w:rsidR="00B513FF">
        <w:rPr>
          <w:rFonts w:eastAsia="Times New Roman" w:cs="Times New Roman"/>
          <w:lang w:eastAsia="de-DE"/>
        </w:rPr>
        <w:t>Weissagunge</w:t>
      </w:r>
      <w:r w:rsidRPr="00CF5304">
        <w:rPr>
          <w:rFonts w:eastAsia="Times New Roman" w:cs="Times New Roman"/>
          <w:lang w:eastAsia="de-DE"/>
        </w:rPr>
        <w:t>n, wo Gott Bileam „begegnete" (</w:t>
      </w:r>
      <w:r w:rsidRPr="00CF5304">
        <w:rPr>
          <w:rFonts w:eastAsia="Times New Roman" w:cs="Times New Roman"/>
          <w:b/>
          <w:bCs/>
          <w:rtl/>
          <w:lang w:eastAsia="de-DE"/>
        </w:rPr>
        <w:t>קרה</w:t>
      </w:r>
      <w:r w:rsidRPr="00CF5304">
        <w:rPr>
          <w:rFonts w:eastAsia="Times New Roman" w:cs="Times New Roman"/>
          <w:lang w:eastAsia="de-DE"/>
        </w:rPr>
        <w:t xml:space="preserve">, Num 23,4.16), kommt hier der Geist Gottes direkt </w:t>
      </w:r>
      <w:r w:rsidRPr="00CF5304">
        <w:rPr>
          <w:rFonts w:eastAsia="Times New Roman" w:cs="Times New Roman"/>
          <w:b/>
          <w:bCs/>
          <w:rtl/>
          <w:lang w:eastAsia="de-DE"/>
        </w:rPr>
        <w:t>עָלָיו</w:t>
      </w:r>
      <w:r w:rsidRPr="00CF5304">
        <w:rPr>
          <w:rFonts w:eastAsia="Times New Roman" w:cs="Times New Roman"/>
          <w:rtl/>
          <w:lang w:eastAsia="de-DE"/>
        </w:rPr>
        <w:t xml:space="preserve"> </w:t>
      </w:r>
      <w:r w:rsidRPr="00CF5304">
        <w:rPr>
          <w:rFonts w:eastAsia="Times New Roman" w:cs="Times New Roman"/>
          <w:lang w:eastAsia="de-DE"/>
        </w:rPr>
        <w:t xml:space="preserve">(„auf ihn"). Dies unterstreicht die unmittelbare, mächtige göttliche Inspiration für das folgende, umfangreichste und bedeutendste </w:t>
      </w:r>
      <w:r w:rsidR="00B513FF">
        <w:rPr>
          <w:rFonts w:eastAsia="Times New Roman" w:cs="Times New Roman"/>
          <w:lang w:eastAsia="de-DE"/>
        </w:rPr>
        <w:t>Weissagung</w:t>
      </w:r>
      <w:r w:rsidRPr="00CF5304">
        <w:rPr>
          <w:rFonts w:eastAsia="Times New Roman" w:cs="Times New Roman"/>
          <w:lang w:eastAsia="de-DE"/>
        </w:rPr>
        <w:t xml:space="preserve">. Die geordnete Lagerung Israels </w:t>
      </w:r>
      <w:r w:rsidRPr="00CF5304">
        <w:rPr>
          <w:rFonts w:eastAsia="Times New Roman" w:cs="Times New Roman"/>
          <w:b/>
          <w:bCs/>
          <w:rtl/>
          <w:lang w:eastAsia="de-DE"/>
        </w:rPr>
        <w:t>לִשְׁבָטָיו</w:t>
      </w:r>
      <w:r w:rsidRPr="00CF5304">
        <w:rPr>
          <w:rFonts w:eastAsia="Times New Roman" w:cs="Times New Roman"/>
          <w:rtl/>
          <w:lang w:eastAsia="de-DE"/>
        </w:rPr>
        <w:t xml:space="preserve"> </w:t>
      </w:r>
      <w:r w:rsidRPr="00CF5304">
        <w:rPr>
          <w:rFonts w:eastAsia="Times New Roman" w:cs="Times New Roman"/>
          <w:lang w:eastAsia="de-DE"/>
        </w:rPr>
        <w:t>zeigt die Struktur und Disziplin des Volkes und mag Bileam beeindruckt haben – doch entscheidend ist die göttliche Geistesmitteilung, die ihn zur Weissagung befähigt.</w:t>
      </w:r>
    </w:p>
    <w:p w14:paraId="1E2710E3" w14:textId="77777777" w:rsidR="00CF5304" w:rsidRPr="00CF5304" w:rsidRDefault="00CF5304" w:rsidP="00CF5304">
      <w:pPr>
        <w:spacing w:before="100" w:beforeAutospacing="1" w:after="100" w:afterAutospacing="1" w:line="240" w:lineRule="auto"/>
        <w:outlineLvl w:val="0"/>
        <w:rPr>
          <w:rFonts w:eastAsia="Times New Roman" w:cs="Times New Roman"/>
          <w:b/>
          <w:bCs/>
          <w:kern w:val="36"/>
          <w:sz w:val="48"/>
          <w:szCs w:val="48"/>
          <w:lang w:eastAsia="de-DE"/>
        </w:rPr>
      </w:pPr>
      <w:r w:rsidRPr="00CF5304">
        <w:rPr>
          <w:rFonts w:eastAsia="Times New Roman" w:cs="Times New Roman"/>
          <w:b/>
          <w:bCs/>
          <w:kern w:val="36"/>
          <w:sz w:val="48"/>
          <w:szCs w:val="48"/>
          <w:lang w:eastAsia="de-DE"/>
        </w:rPr>
        <w:t>Numeri 24,3</w:t>
      </w:r>
    </w:p>
    <w:p w14:paraId="5BBFA993"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Hebräisch:</w:t>
      </w:r>
      <w:r w:rsidRPr="00CF5304">
        <w:rPr>
          <w:rFonts w:eastAsia="Times New Roman" w:cs="Times New Roman"/>
          <w:lang w:eastAsia="de-DE"/>
        </w:rPr>
        <w:t xml:space="preserve"> </w:t>
      </w:r>
      <w:r w:rsidRPr="00CF5304">
        <w:rPr>
          <w:rFonts w:eastAsia="Times New Roman" w:cs="Times New Roman"/>
          <w:rtl/>
          <w:lang w:eastAsia="de-DE"/>
        </w:rPr>
        <w:t>וַיִּשָּׂ֥א מְשָׁלֹ֖ו וַיֹּאמַ֑ר נְאֻ֤ם בִּלְעָם֙ בְּנ֣וֹ בְעֹ֔ר וּנְאֻ֥ם הַגֶּ֖בֶר שְׁתֻ֥ם הָעָֽיִן׃</w:t>
      </w:r>
    </w:p>
    <w:p w14:paraId="62D9442E"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Deutsch:</w:t>
      </w:r>
      <w:r w:rsidRPr="00CF5304">
        <w:rPr>
          <w:rFonts w:eastAsia="Times New Roman" w:cs="Times New Roman"/>
          <w:lang w:eastAsia="de-DE"/>
        </w:rPr>
        <w:t xml:space="preserve"> Und er hob seinen Spruch an und sprach: „Spruch Bilʿams, des Sohnes Beʿors, und Spruch des Mannes mit geöffnetem Auge."</w:t>
      </w:r>
    </w:p>
    <w:p w14:paraId="44197DB7" w14:textId="77777777" w:rsidR="00CF5304" w:rsidRPr="00CF5304" w:rsidRDefault="00F329DD" w:rsidP="00CF5304">
      <w:pPr>
        <w:spacing w:after="0" w:line="240" w:lineRule="auto"/>
        <w:rPr>
          <w:rFonts w:eastAsia="Times New Roman" w:cs="Times New Roman"/>
          <w:lang w:eastAsia="de-DE"/>
        </w:rPr>
      </w:pPr>
      <w:r>
        <w:rPr>
          <w:rFonts w:eastAsia="Times New Roman" w:cs="Times New Roman"/>
          <w:noProof/>
          <w:lang w:eastAsia="de-DE"/>
        </w:rPr>
        <w:pict w14:anchorId="6A51DDB9">
          <v:rect id="_x0000_i1828" style="width:0;height:1.5pt" o:hralign="center" o:hrstd="t" o:hr="t" fillcolor="#a0a0a0" stroked="f"/>
        </w:pict>
      </w:r>
    </w:p>
    <w:p w14:paraId="20F8A9A1" w14:textId="103162F5"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Kommentar:</w:t>
      </w:r>
      <w:r w:rsidRPr="00CF5304">
        <w:rPr>
          <w:rFonts w:eastAsia="Times New Roman" w:cs="Times New Roman"/>
          <w:lang w:eastAsia="de-DE"/>
        </w:rPr>
        <w:t xml:space="preserve"> Das Verb </w:t>
      </w:r>
      <w:r w:rsidRPr="00CF5304">
        <w:rPr>
          <w:rFonts w:eastAsia="Times New Roman" w:cs="Times New Roman"/>
          <w:b/>
          <w:bCs/>
          <w:rtl/>
          <w:lang w:eastAsia="de-DE"/>
        </w:rPr>
        <w:t>וַיִּשָּׂא</w:t>
      </w:r>
      <w:r w:rsidRPr="00CF5304">
        <w:rPr>
          <w:rFonts w:eastAsia="Times New Roman" w:cs="Times New Roman"/>
          <w:rtl/>
          <w:lang w:eastAsia="de-DE"/>
        </w:rPr>
        <w:t xml:space="preserve"> </w:t>
      </w:r>
      <w:r w:rsidRPr="00CF5304">
        <w:rPr>
          <w:rFonts w:eastAsia="Times New Roman" w:cs="Times New Roman"/>
          <w:lang w:eastAsia="de-DE"/>
        </w:rPr>
        <w:t xml:space="preserve">(Wayyiqtol, 3. m. Sg. von </w:t>
      </w:r>
      <w:r w:rsidRPr="00CF5304">
        <w:rPr>
          <w:rFonts w:eastAsia="Times New Roman" w:cs="Times New Roman"/>
          <w:rtl/>
          <w:lang w:eastAsia="de-DE"/>
        </w:rPr>
        <w:t>נשׂא</w:t>
      </w:r>
      <w:r w:rsidRPr="00CF5304">
        <w:rPr>
          <w:rFonts w:eastAsia="Times New Roman" w:cs="Times New Roman"/>
          <w:lang w:eastAsia="de-DE"/>
        </w:rPr>
        <w:t xml:space="preserve">, „und er erhob") leitet die Weissagung ein. Das Objekt </w:t>
      </w:r>
      <w:r w:rsidRPr="00CF5304">
        <w:rPr>
          <w:rFonts w:eastAsia="Times New Roman" w:cs="Times New Roman"/>
          <w:b/>
          <w:bCs/>
          <w:rtl/>
          <w:lang w:eastAsia="de-DE"/>
        </w:rPr>
        <w:t>מְשָׁלוֹ</w:t>
      </w:r>
      <w:r w:rsidRPr="00CF5304">
        <w:rPr>
          <w:rFonts w:eastAsia="Times New Roman" w:cs="Times New Roman"/>
          <w:rtl/>
          <w:lang w:eastAsia="de-DE"/>
        </w:rPr>
        <w:t xml:space="preserve"> </w:t>
      </w:r>
      <w:r w:rsidRPr="00CF5304">
        <w:rPr>
          <w:rFonts w:eastAsia="Times New Roman" w:cs="Times New Roman"/>
          <w:lang w:eastAsia="de-DE"/>
        </w:rPr>
        <w:t xml:space="preserve">(Nomen </w:t>
      </w:r>
      <w:r w:rsidRPr="00CF5304">
        <w:rPr>
          <w:rFonts w:eastAsia="Times New Roman" w:cs="Times New Roman"/>
          <w:b/>
          <w:bCs/>
          <w:rtl/>
          <w:lang w:eastAsia="de-DE"/>
        </w:rPr>
        <w:t>מָשָׁל</w:t>
      </w:r>
      <w:r w:rsidRPr="00CF5304">
        <w:rPr>
          <w:rFonts w:eastAsia="Times New Roman" w:cs="Times New Roman"/>
          <w:lang w:eastAsia="de-DE"/>
        </w:rPr>
        <w:t xml:space="preserve">, „Spruch, Weissagung", m. Sg. mit Suffix 3. m. Sg., „sein Spruch") bezeichnet den prophetischen </w:t>
      </w:r>
      <w:r w:rsidR="00B513FF">
        <w:rPr>
          <w:rFonts w:eastAsia="Times New Roman" w:cs="Times New Roman"/>
          <w:lang w:eastAsia="de-DE"/>
        </w:rPr>
        <w:t>Weissagungs</w:t>
      </w:r>
      <w:r w:rsidRPr="00CF5304">
        <w:rPr>
          <w:rFonts w:eastAsia="Times New Roman" w:cs="Times New Roman"/>
          <w:lang w:eastAsia="de-DE"/>
        </w:rPr>
        <w:t>spruch.</w:t>
      </w:r>
    </w:p>
    <w:p w14:paraId="7E903849"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Verb </w:t>
      </w:r>
      <w:r w:rsidRPr="00CF5304">
        <w:rPr>
          <w:rFonts w:eastAsia="Times New Roman" w:cs="Times New Roman"/>
          <w:b/>
          <w:bCs/>
          <w:rtl/>
          <w:lang w:eastAsia="de-DE"/>
        </w:rPr>
        <w:t>וַיֹּאמַר</w:t>
      </w:r>
      <w:r w:rsidRPr="00CF5304">
        <w:rPr>
          <w:rFonts w:eastAsia="Times New Roman" w:cs="Times New Roman"/>
          <w:rtl/>
          <w:lang w:eastAsia="de-DE"/>
        </w:rPr>
        <w:t xml:space="preserve"> </w:t>
      </w:r>
      <w:r w:rsidRPr="00CF5304">
        <w:rPr>
          <w:rFonts w:eastAsia="Times New Roman" w:cs="Times New Roman"/>
          <w:lang w:eastAsia="de-DE"/>
        </w:rPr>
        <w:t xml:space="preserve">(Wayyiqtol, 3. m. Sg. von </w:t>
      </w:r>
      <w:r w:rsidRPr="00CF5304">
        <w:rPr>
          <w:rFonts w:eastAsia="Times New Roman" w:cs="Times New Roman"/>
          <w:rtl/>
          <w:lang w:eastAsia="de-DE"/>
        </w:rPr>
        <w:t>אמר</w:t>
      </w:r>
      <w:r w:rsidRPr="00CF5304">
        <w:rPr>
          <w:rFonts w:eastAsia="Times New Roman" w:cs="Times New Roman"/>
          <w:lang w:eastAsia="de-DE"/>
        </w:rPr>
        <w:t>, „und er sprach") führt die direkte Rede ein.</w:t>
      </w:r>
    </w:p>
    <w:p w14:paraId="7DCC4E90" w14:textId="307C51BA"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Nomen </w:t>
      </w:r>
      <w:r w:rsidRPr="00CF5304">
        <w:rPr>
          <w:rFonts w:eastAsia="Times New Roman" w:cs="Times New Roman"/>
          <w:b/>
          <w:bCs/>
          <w:rtl/>
          <w:lang w:eastAsia="de-DE"/>
        </w:rPr>
        <w:t>נְאֻם</w:t>
      </w:r>
      <w:r w:rsidRPr="00CF5304">
        <w:rPr>
          <w:rFonts w:eastAsia="Times New Roman" w:cs="Times New Roman"/>
          <w:rtl/>
          <w:lang w:eastAsia="de-DE"/>
        </w:rPr>
        <w:t xml:space="preserve"> </w:t>
      </w:r>
      <w:r w:rsidRPr="00CF5304">
        <w:rPr>
          <w:rFonts w:eastAsia="Times New Roman" w:cs="Times New Roman"/>
          <w:lang w:eastAsia="de-DE"/>
        </w:rPr>
        <w:t xml:space="preserve">(m. Sg., „Spruch, Ausspruch") ist ein technischer Begriff für prophetische oder göttliche Rede, oft verwendet in der Formel </w:t>
      </w:r>
      <w:r w:rsidRPr="00CF5304">
        <w:rPr>
          <w:rFonts w:eastAsia="Times New Roman" w:cs="Times New Roman"/>
          <w:b/>
          <w:bCs/>
          <w:rtl/>
          <w:lang w:eastAsia="de-DE"/>
        </w:rPr>
        <w:t>נְאֻם יְהוָה</w:t>
      </w:r>
      <w:r w:rsidRPr="00CF5304">
        <w:rPr>
          <w:rFonts w:eastAsia="Times New Roman" w:cs="Times New Roman"/>
          <w:rtl/>
          <w:lang w:eastAsia="de-DE"/>
        </w:rPr>
        <w:t xml:space="preserve"> </w:t>
      </w:r>
      <w:r w:rsidRPr="00CF5304">
        <w:rPr>
          <w:rFonts w:eastAsia="Times New Roman" w:cs="Times New Roman"/>
          <w:lang w:eastAsia="de-DE"/>
        </w:rPr>
        <w:t xml:space="preserve">(„Spruch des Ewigen"). Die Genitivverbindung </w:t>
      </w:r>
      <w:r w:rsidRPr="00CF5304">
        <w:rPr>
          <w:rFonts w:eastAsia="Times New Roman" w:cs="Times New Roman"/>
          <w:b/>
          <w:bCs/>
          <w:rtl/>
          <w:lang w:eastAsia="de-DE"/>
        </w:rPr>
        <w:t>נְאֻם בִּלְעָם</w:t>
      </w:r>
      <w:r w:rsidRPr="00CF5304">
        <w:rPr>
          <w:rFonts w:eastAsia="Times New Roman" w:cs="Times New Roman"/>
          <w:rtl/>
          <w:lang w:eastAsia="de-DE"/>
        </w:rPr>
        <w:t xml:space="preserve"> </w:t>
      </w:r>
      <w:r w:rsidRPr="00CF5304">
        <w:rPr>
          <w:rFonts w:eastAsia="Times New Roman" w:cs="Times New Roman"/>
          <w:lang w:eastAsia="de-DE"/>
        </w:rPr>
        <w:t xml:space="preserve">(„Spruch Bileams") identifiziert den Sprecher. Die weitere Genitivverbindung </w:t>
      </w:r>
      <w:r w:rsidRPr="00CF5304">
        <w:rPr>
          <w:rFonts w:eastAsia="Times New Roman" w:cs="Times New Roman"/>
          <w:b/>
          <w:bCs/>
          <w:rtl/>
          <w:lang w:eastAsia="de-DE"/>
        </w:rPr>
        <w:t>בְּנוֹ בְעֹר</w:t>
      </w:r>
      <w:r w:rsidRPr="00CF5304">
        <w:rPr>
          <w:rFonts w:eastAsia="Times New Roman" w:cs="Times New Roman"/>
          <w:rtl/>
          <w:lang w:eastAsia="de-DE"/>
        </w:rPr>
        <w:t xml:space="preserve"> </w:t>
      </w:r>
      <w:r w:rsidRPr="00CF5304">
        <w:rPr>
          <w:rFonts w:eastAsia="Times New Roman" w:cs="Times New Roman"/>
          <w:lang w:eastAsia="de-DE"/>
        </w:rPr>
        <w:t>(</w:t>
      </w:r>
      <w:r w:rsidRPr="00CF5304">
        <w:rPr>
          <w:rFonts w:eastAsia="Times New Roman" w:cs="Times New Roman"/>
          <w:b/>
          <w:bCs/>
          <w:rtl/>
          <w:lang w:eastAsia="de-DE"/>
        </w:rPr>
        <w:t>בֵּן</w:t>
      </w:r>
      <w:r w:rsidRPr="00CF5304">
        <w:rPr>
          <w:rFonts w:eastAsia="Times New Roman" w:cs="Times New Roman"/>
          <w:lang w:eastAsia="de-DE"/>
        </w:rPr>
        <w:t xml:space="preserve">, „Sohn", im </w:t>
      </w:r>
      <w:r w:rsidR="00F133EC">
        <w:rPr>
          <w:rFonts w:eastAsia="Times New Roman" w:cs="Times New Roman"/>
          <w:lang w:eastAsia="de-DE"/>
        </w:rPr>
        <w:t>Construct</w:t>
      </w:r>
      <w:r w:rsidRPr="00CF5304">
        <w:rPr>
          <w:rFonts w:eastAsia="Times New Roman" w:cs="Times New Roman"/>
          <w:lang w:eastAsia="de-DE"/>
        </w:rPr>
        <w:t xml:space="preserve">zustand mit Suffix 3. m. Sg., und </w:t>
      </w:r>
      <w:r w:rsidRPr="00CF5304">
        <w:rPr>
          <w:rFonts w:eastAsia="Times New Roman" w:cs="Times New Roman"/>
          <w:b/>
          <w:bCs/>
          <w:rtl/>
          <w:lang w:eastAsia="de-DE"/>
        </w:rPr>
        <w:t>בְּעֹר</w:t>
      </w:r>
      <w:r w:rsidRPr="00CF5304">
        <w:rPr>
          <w:rFonts w:eastAsia="Times New Roman" w:cs="Times New Roman"/>
          <w:lang w:eastAsia="de-DE"/>
        </w:rPr>
        <w:t>, Eigenname „Beor") gibt die genealogische Identifikation: „Sohn Beors".</w:t>
      </w:r>
    </w:p>
    <w:p w14:paraId="21EEE8DE"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parallele Struktur </w:t>
      </w:r>
      <w:r w:rsidRPr="00CF5304">
        <w:rPr>
          <w:rFonts w:eastAsia="Times New Roman" w:cs="Times New Roman"/>
          <w:b/>
          <w:bCs/>
          <w:rtl/>
          <w:lang w:eastAsia="de-DE"/>
        </w:rPr>
        <w:t>וּנְאֻם הַגֶּבֶר שְׁתֻם הָעָיִן</w:t>
      </w:r>
      <w:r w:rsidRPr="00CF5304">
        <w:rPr>
          <w:rFonts w:eastAsia="Times New Roman" w:cs="Times New Roman"/>
          <w:rtl/>
          <w:lang w:eastAsia="de-DE"/>
        </w:rPr>
        <w:t xml:space="preserve"> </w:t>
      </w:r>
      <w:r w:rsidRPr="00CF5304">
        <w:rPr>
          <w:rFonts w:eastAsia="Times New Roman" w:cs="Times New Roman"/>
          <w:lang w:eastAsia="de-DE"/>
        </w:rPr>
        <w:t xml:space="preserve">wiederholt </w:t>
      </w:r>
      <w:r w:rsidRPr="00CF5304">
        <w:rPr>
          <w:rFonts w:eastAsia="Times New Roman" w:cs="Times New Roman"/>
          <w:b/>
          <w:bCs/>
          <w:rtl/>
          <w:lang w:eastAsia="de-DE"/>
        </w:rPr>
        <w:t>נְאֻם</w:t>
      </w:r>
      <w:r w:rsidRPr="00CF5304">
        <w:rPr>
          <w:rFonts w:eastAsia="Times New Roman" w:cs="Times New Roman"/>
          <w:rtl/>
          <w:lang w:eastAsia="de-DE"/>
        </w:rPr>
        <w:t xml:space="preserve"> </w:t>
      </w:r>
      <w:r w:rsidRPr="00CF5304">
        <w:rPr>
          <w:rFonts w:eastAsia="Times New Roman" w:cs="Times New Roman"/>
          <w:lang w:eastAsia="de-DE"/>
        </w:rPr>
        <w:t xml:space="preserve">(mit Kopula </w:t>
      </w:r>
      <w:r w:rsidRPr="00CF5304">
        <w:rPr>
          <w:rFonts w:eastAsia="Times New Roman" w:cs="Times New Roman"/>
          <w:rtl/>
          <w:lang w:eastAsia="de-DE"/>
        </w:rPr>
        <w:t>וְ</w:t>
      </w:r>
      <w:r w:rsidRPr="00CF5304">
        <w:rPr>
          <w:rFonts w:eastAsia="Times New Roman" w:cs="Times New Roman"/>
          <w:lang w:eastAsia="de-DE"/>
        </w:rPr>
        <w:t xml:space="preserve">) und fügt eine weitere Identifikation hinzu. Das Nomen </w:t>
      </w:r>
      <w:r w:rsidRPr="00CF5304">
        <w:rPr>
          <w:rFonts w:eastAsia="Times New Roman" w:cs="Times New Roman"/>
          <w:b/>
          <w:bCs/>
          <w:rtl/>
          <w:lang w:eastAsia="de-DE"/>
        </w:rPr>
        <w:t>הַגֶּבֶר</w:t>
      </w:r>
      <w:r w:rsidRPr="00CF5304">
        <w:rPr>
          <w:rFonts w:eastAsia="Times New Roman" w:cs="Times New Roman"/>
          <w:rtl/>
          <w:lang w:eastAsia="de-DE"/>
        </w:rPr>
        <w:t xml:space="preserve"> </w:t>
      </w:r>
      <w:r w:rsidRPr="00CF5304">
        <w:rPr>
          <w:rFonts w:eastAsia="Times New Roman" w:cs="Times New Roman"/>
          <w:lang w:eastAsia="de-DE"/>
        </w:rPr>
        <w:t xml:space="preserve">(m. Sg. mit Artikel, „der Mann, der starke Mann") </w:t>
      </w:r>
      <w:r w:rsidRPr="00CF5304">
        <w:rPr>
          <w:rFonts w:eastAsia="Times New Roman" w:cs="Times New Roman"/>
          <w:lang w:eastAsia="de-DE"/>
        </w:rPr>
        <w:lastRenderedPageBreak/>
        <w:t xml:space="preserve">bezeichnet Bileam. Das Partizip </w:t>
      </w:r>
      <w:r w:rsidRPr="00CF5304">
        <w:rPr>
          <w:rFonts w:eastAsia="Times New Roman" w:cs="Times New Roman"/>
          <w:b/>
          <w:bCs/>
          <w:rtl/>
          <w:lang w:eastAsia="de-DE"/>
        </w:rPr>
        <w:t>שְׁתֻם</w:t>
      </w:r>
      <w:r w:rsidRPr="00CF5304">
        <w:rPr>
          <w:rFonts w:eastAsia="Times New Roman" w:cs="Times New Roman"/>
          <w:rtl/>
          <w:lang w:eastAsia="de-DE"/>
        </w:rPr>
        <w:t xml:space="preserve"> </w:t>
      </w:r>
      <w:r w:rsidRPr="00CF5304">
        <w:rPr>
          <w:rFonts w:eastAsia="Times New Roman" w:cs="Times New Roman"/>
          <w:lang w:eastAsia="de-DE"/>
        </w:rPr>
        <w:t xml:space="preserve">(Qal Passiv Partizip m. Sg. von </w:t>
      </w:r>
      <w:r w:rsidRPr="00CF5304">
        <w:rPr>
          <w:rFonts w:eastAsia="Times New Roman" w:cs="Times New Roman"/>
          <w:rtl/>
          <w:lang w:eastAsia="de-DE"/>
        </w:rPr>
        <w:t>שׁתם</w:t>
      </w:r>
      <w:r w:rsidRPr="00CF5304">
        <w:rPr>
          <w:rFonts w:eastAsia="Times New Roman" w:cs="Times New Roman"/>
          <w:lang w:eastAsia="de-DE"/>
        </w:rPr>
        <w:t>, „verschlossen, geöffnet") mit dem Artikel ist mehrdeutig.</w:t>
      </w:r>
    </w:p>
    <w:p w14:paraId="65685E8B" w14:textId="49AA1FA4"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w:t>
      </w:r>
      <w:r w:rsidR="00B513FF">
        <w:rPr>
          <w:rFonts w:eastAsia="Times New Roman" w:cs="Times New Roman"/>
          <w:lang w:eastAsia="de-DE"/>
        </w:rPr>
        <w:t xml:space="preserve">Constructus </w:t>
      </w:r>
      <w:r w:rsidRPr="00CF5304">
        <w:rPr>
          <w:rFonts w:eastAsia="Times New Roman" w:cs="Times New Roman"/>
          <w:lang w:eastAsia="de-DE"/>
        </w:rPr>
        <w:t xml:space="preserve">verbindung </w:t>
      </w:r>
      <w:r w:rsidRPr="00CF5304">
        <w:rPr>
          <w:rFonts w:eastAsia="Times New Roman" w:cs="Times New Roman"/>
          <w:b/>
          <w:bCs/>
          <w:rtl/>
          <w:lang w:eastAsia="de-DE"/>
        </w:rPr>
        <w:t>שְׁתֻם הָעָיִן</w:t>
      </w:r>
      <w:r w:rsidRPr="00CF5304">
        <w:rPr>
          <w:rFonts w:eastAsia="Times New Roman" w:cs="Times New Roman"/>
          <w:rtl/>
          <w:lang w:eastAsia="de-DE"/>
        </w:rPr>
        <w:t xml:space="preserve"> </w:t>
      </w:r>
      <w:r w:rsidRPr="00CF5304">
        <w:rPr>
          <w:rFonts w:eastAsia="Times New Roman" w:cs="Times New Roman"/>
          <w:lang w:eastAsia="de-DE"/>
        </w:rPr>
        <w:t xml:space="preserve">(Partizip im </w:t>
      </w:r>
      <w:r w:rsidR="00F133EC">
        <w:rPr>
          <w:rFonts w:eastAsia="Times New Roman" w:cs="Times New Roman"/>
          <w:lang w:eastAsia="de-DE"/>
        </w:rPr>
        <w:t>Construct</w:t>
      </w:r>
      <w:r w:rsidRPr="00CF5304">
        <w:rPr>
          <w:rFonts w:eastAsia="Times New Roman" w:cs="Times New Roman"/>
          <w:lang w:eastAsia="de-DE"/>
        </w:rPr>
        <w:t xml:space="preserve">zustand mit </w:t>
      </w:r>
      <w:r w:rsidRPr="00CF5304">
        <w:rPr>
          <w:rFonts w:eastAsia="Times New Roman" w:cs="Times New Roman"/>
          <w:b/>
          <w:bCs/>
          <w:rtl/>
          <w:lang w:eastAsia="de-DE"/>
        </w:rPr>
        <w:t>הָעַיִן</w:t>
      </w:r>
      <w:r w:rsidRPr="00CF5304">
        <w:rPr>
          <w:rFonts w:eastAsia="Times New Roman" w:cs="Times New Roman"/>
          <w:lang w:eastAsia="de-DE"/>
        </w:rPr>
        <w:t xml:space="preserve">, f. Sg. mit Artikel, „das Auge") bedeutet wörtlich „verschlossen/geöffnet des Auges". Traditionell wird dies als „mit geöffnetem Auge" verstanden, im Sinne von prophetischer Vision. Das Passiv Partizip </w:t>
      </w:r>
      <w:r w:rsidRPr="00CF5304">
        <w:rPr>
          <w:rFonts w:eastAsia="Times New Roman" w:cs="Times New Roman"/>
          <w:b/>
          <w:bCs/>
          <w:rtl/>
          <w:lang w:eastAsia="de-DE"/>
        </w:rPr>
        <w:t>שְׁתֻם</w:t>
      </w:r>
      <w:r w:rsidRPr="00CF5304">
        <w:rPr>
          <w:rFonts w:eastAsia="Times New Roman" w:cs="Times New Roman"/>
          <w:rtl/>
          <w:lang w:eastAsia="de-DE"/>
        </w:rPr>
        <w:t xml:space="preserve"> </w:t>
      </w:r>
      <w:r w:rsidRPr="00CF5304">
        <w:rPr>
          <w:rFonts w:eastAsia="Times New Roman" w:cs="Times New Roman"/>
          <w:lang w:eastAsia="de-DE"/>
        </w:rPr>
        <w:t>kann sowohl „verschlossen" als auch paradoxerweise „geöffnet" bedeuten (durch göttliches Wirken). Der Kontext legt nahe: „dessen Auge geöffnet ist" für prophetische Schau.</w:t>
      </w:r>
    </w:p>
    <w:p w14:paraId="6FFFE8CA" w14:textId="199E82E3"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Die LXX</w:t>
      </w:r>
      <w:r w:rsidRPr="00CF5304">
        <w:rPr>
          <w:rFonts w:eastAsia="Times New Roman" w:cs="Times New Roman"/>
          <w:lang w:eastAsia="de-DE"/>
        </w:rPr>
        <w:t xml:space="preserve"> </w:t>
      </w:r>
      <w:r w:rsidR="00CD2614">
        <w:t>übersetzt „</w:t>
      </w:r>
      <w:r w:rsidR="00CD2614" w:rsidRPr="00CD2614">
        <w:rPr>
          <w:b/>
          <w:bCs/>
          <w:rtl/>
        </w:rPr>
        <w:t>שְׁתֻם</w:t>
      </w:r>
      <w:r w:rsidR="00CD2614">
        <w:rPr>
          <w:rtl/>
        </w:rPr>
        <w:t xml:space="preserve"> </w:t>
      </w:r>
      <w:r w:rsidR="00CD2614" w:rsidRPr="00CD2614">
        <w:rPr>
          <w:b/>
          <w:bCs/>
          <w:rtl/>
        </w:rPr>
        <w:t>הָעָיִן</w:t>
      </w:r>
      <w:r w:rsidR="00CD2614">
        <w:t>" (der offenen Auges ist, wörtlich: verschlossen des Auges) mit „ὁ ἀληθινῶς ὁρῶν" (der wahrhaftig sieht), was das paradoxe hebräische Idiom durch eine klarere Aussage ersetzt.</w:t>
      </w:r>
    </w:p>
    <w:p w14:paraId="4792759C"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Satzstruktur besteht aus zwei koordinierten Hauptsätzen </w:t>
      </w:r>
      <w:r w:rsidRPr="00CF5304">
        <w:rPr>
          <w:rFonts w:eastAsia="Times New Roman" w:cs="Times New Roman"/>
          <w:b/>
          <w:bCs/>
          <w:rtl/>
          <w:lang w:eastAsia="de-DE"/>
        </w:rPr>
        <w:t>וַיִּשָּׂא מְשָׁלוֹ וַיֹּאמַר</w:t>
      </w:r>
      <w:r w:rsidRPr="00CF5304">
        <w:rPr>
          <w:rFonts w:eastAsia="Times New Roman" w:cs="Times New Roman"/>
          <w:lang w:eastAsia="de-DE"/>
        </w:rPr>
        <w:t xml:space="preserve">, gefolgt von der direkten Rede. Die direkte Rede enthält zwei parallele Nominalsätze mit </w:t>
      </w:r>
      <w:r w:rsidRPr="00CF5304">
        <w:rPr>
          <w:rFonts w:eastAsia="Times New Roman" w:cs="Times New Roman"/>
          <w:b/>
          <w:bCs/>
          <w:rtl/>
          <w:lang w:eastAsia="de-DE"/>
        </w:rPr>
        <w:t>נְאֻם</w:t>
      </w:r>
      <w:r w:rsidRPr="00CF5304">
        <w:rPr>
          <w:rFonts w:eastAsia="Times New Roman" w:cs="Times New Roman"/>
          <w:rtl/>
          <w:lang w:eastAsia="de-DE"/>
        </w:rPr>
        <w:t xml:space="preserve"> </w:t>
      </w:r>
      <w:r w:rsidRPr="00CF5304">
        <w:rPr>
          <w:rFonts w:eastAsia="Times New Roman" w:cs="Times New Roman"/>
          <w:lang w:eastAsia="de-DE"/>
        </w:rPr>
        <w:t xml:space="preserve">als Kopf: </w:t>
      </w:r>
      <w:r w:rsidRPr="00CF5304">
        <w:rPr>
          <w:rFonts w:eastAsia="Times New Roman" w:cs="Times New Roman"/>
          <w:b/>
          <w:bCs/>
          <w:rtl/>
          <w:lang w:eastAsia="de-DE"/>
        </w:rPr>
        <w:t>נְאֻם בִּלְעָם בְּנוֹ בְעֹר</w:t>
      </w:r>
      <w:r w:rsidRPr="00CF5304">
        <w:rPr>
          <w:rFonts w:eastAsia="Times New Roman" w:cs="Times New Roman"/>
          <w:rtl/>
          <w:lang w:eastAsia="de-DE"/>
        </w:rPr>
        <w:t xml:space="preserve"> </w:t>
      </w:r>
      <w:r w:rsidRPr="00CF5304">
        <w:rPr>
          <w:rFonts w:eastAsia="Times New Roman" w:cs="Times New Roman"/>
          <w:lang w:eastAsia="de-DE"/>
        </w:rPr>
        <w:t xml:space="preserve">und </w:t>
      </w:r>
      <w:r w:rsidRPr="00CF5304">
        <w:rPr>
          <w:rFonts w:eastAsia="Times New Roman" w:cs="Times New Roman"/>
          <w:b/>
          <w:bCs/>
          <w:rtl/>
          <w:lang w:eastAsia="de-DE"/>
        </w:rPr>
        <w:t>וּנְאֻם הַגֶּבֶר שְׁתֻם הָעָיִן</w:t>
      </w:r>
      <w:r w:rsidRPr="00CF5304">
        <w:rPr>
          <w:rFonts w:eastAsia="Times New Roman" w:cs="Times New Roman"/>
          <w:lang w:eastAsia="de-DE"/>
        </w:rPr>
        <w:t>. Beide Sätze identifizieren den Sprecher durch verschiedene Attribute.</w:t>
      </w:r>
    </w:p>
    <w:p w14:paraId="58B6AE9F" w14:textId="79602FB2"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Vers eröffnet feierlich </w:t>
      </w:r>
      <w:r w:rsidR="00B513FF">
        <w:rPr>
          <w:rFonts w:eastAsia="Times New Roman" w:cs="Times New Roman"/>
          <w:lang w:eastAsia="de-DE"/>
        </w:rPr>
        <w:t>die</w:t>
      </w:r>
      <w:r w:rsidRPr="00CF5304">
        <w:rPr>
          <w:rFonts w:eastAsia="Times New Roman" w:cs="Times New Roman"/>
          <w:lang w:eastAsia="de-DE"/>
        </w:rPr>
        <w:t xml:space="preserve"> dritte große </w:t>
      </w:r>
      <w:r w:rsidR="00B513FF">
        <w:rPr>
          <w:rFonts w:eastAsia="Times New Roman" w:cs="Times New Roman"/>
          <w:lang w:eastAsia="de-DE"/>
        </w:rPr>
        <w:t>Weissagung</w:t>
      </w:r>
      <w:r w:rsidRPr="00CF5304">
        <w:rPr>
          <w:rFonts w:eastAsia="Times New Roman" w:cs="Times New Roman"/>
          <w:lang w:eastAsia="de-DE"/>
        </w:rPr>
        <w:t xml:space="preserve"> Bileams mit einer doppelten Selbstidentifikation. Die Verwendung von </w:t>
      </w:r>
      <w:r w:rsidRPr="00CF5304">
        <w:rPr>
          <w:rFonts w:eastAsia="Times New Roman" w:cs="Times New Roman"/>
          <w:b/>
          <w:bCs/>
          <w:rtl/>
          <w:lang w:eastAsia="de-DE"/>
        </w:rPr>
        <w:t>נְאֻם</w:t>
      </w:r>
      <w:r w:rsidRPr="00CF5304">
        <w:rPr>
          <w:rFonts w:eastAsia="Times New Roman" w:cs="Times New Roman"/>
          <w:lang w:eastAsia="de-DE"/>
        </w:rPr>
        <w:t>, normalerweise göttlichen Sprüchen vorbehalten, verleiht der Weissagung höchste Autorität. Bileam präsentiert sich zunächst mit seinem Namen und seiner Abstammung (</w:t>
      </w:r>
      <w:r w:rsidRPr="00CF5304">
        <w:rPr>
          <w:rFonts w:eastAsia="Times New Roman" w:cs="Times New Roman"/>
          <w:b/>
          <w:bCs/>
          <w:rtl/>
          <w:lang w:eastAsia="de-DE"/>
        </w:rPr>
        <w:t>בִּלְעָם בְּנוֹ בְעֹר</w:t>
      </w:r>
      <w:r w:rsidRPr="00CF5304">
        <w:rPr>
          <w:rFonts w:eastAsia="Times New Roman" w:cs="Times New Roman"/>
          <w:lang w:eastAsia="de-DE"/>
        </w:rPr>
        <w:t>), dann mit seiner prophetischen Qualifikation (</w:t>
      </w:r>
      <w:r w:rsidRPr="00CF5304">
        <w:rPr>
          <w:rFonts w:eastAsia="Times New Roman" w:cs="Times New Roman"/>
          <w:b/>
          <w:bCs/>
          <w:rtl/>
          <w:lang w:eastAsia="de-DE"/>
        </w:rPr>
        <w:t>שְׁתֻם הָעָיִן</w:t>
      </w:r>
      <w:r w:rsidRPr="00CF5304">
        <w:rPr>
          <w:rFonts w:eastAsia="Times New Roman" w:cs="Times New Roman"/>
          <w:lang w:eastAsia="de-DE"/>
        </w:rPr>
        <w:t>). Das „geöffnete Auge" symbolisiert seine Fähigkeit, göttliche Visionen zu empfangen und zu schauen, was anderen verborgen bleibt. Diese feierliche Einleitung bereitet auf die bedeutsamen messianischen Weissagungen vor, die folgen werden.</w:t>
      </w:r>
    </w:p>
    <w:p w14:paraId="436C0209" w14:textId="77777777" w:rsidR="00CF5304" w:rsidRPr="00CF5304" w:rsidRDefault="00CF5304" w:rsidP="00CF5304">
      <w:pPr>
        <w:spacing w:before="100" w:beforeAutospacing="1" w:after="100" w:afterAutospacing="1" w:line="240" w:lineRule="auto"/>
        <w:outlineLvl w:val="0"/>
        <w:rPr>
          <w:rFonts w:eastAsia="Times New Roman" w:cs="Times New Roman"/>
          <w:b/>
          <w:bCs/>
          <w:kern w:val="36"/>
          <w:sz w:val="48"/>
          <w:szCs w:val="48"/>
          <w:lang w:eastAsia="de-DE"/>
        </w:rPr>
      </w:pPr>
      <w:r w:rsidRPr="00CF5304">
        <w:rPr>
          <w:rFonts w:eastAsia="Times New Roman" w:cs="Times New Roman"/>
          <w:b/>
          <w:bCs/>
          <w:kern w:val="36"/>
          <w:sz w:val="48"/>
          <w:szCs w:val="48"/>
          <w:lang w:eastAsia="de-DE"/>
        </w:rPr>
        <w:t>Numeri 24,4</w:t>
      </w:r>
    </w:p>
    <w:p w14:paraId="2196F308"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Hebräisch:</w:t>
      </w:r>
      <w:r w:rsidRPr="00CF5304">
        <w:rPr>
          <w:rFonts w:eastAsia="Times New Roman" w:cs="Times New Roman"/>
          <w:lang w:eastAsia="de-DE"/>
        </w:rPr>
        <w:t xml:space="preserve"> </w:t>
      </w:r>
      <w:r w:rsidRPr="00CF5304">
        <w:rPr>
          <w:rFonts w:eastAsia="Times New Roman" w:cs="Times New Roman"/>
          <w:rtl/>
          <w:lang w:eastAsia="de-DE"/>
        </w:rPr>
        <w:t>נְאֻ֕ם שֹׁמֵ֖עַ אִמְרֵי־אֵ֑ל אֲשֶׁ֨ר מַחֲזֵ֤ה שַׁדַּי֙ יֶֽחֱזֶ֔ה נֹפֵ֖ל וּגְל֥וּי עֵינָֽיִם׃</w:t>
      </w:r>
    </w:p>
    <w:p w14:paraId="36F632A1"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Deutsch:</w:t>
      </w:r>
      <w:r w:rsidRPr="00CF5304">
        <w:rPr>
          <w:rFonts w:eastAsia="Times New Roman" w:cs="Times New Roman"/>
          <w:lang w:eastAsia="de-DE"/>
        </w:rPr>
        <w:t xml:space="preserve"> Spruch dessen, der die Worte Gottes hört, der ein Gesicht des Allmächtigen sieht, niederfallend und enthüllter Augen:</w:t>
      </w:r>
    </w:p>
    <w:p w14:paraId="1E011139" w14:textId="77777777" w:rsidR="00CF5304" w:rsidRPr="00CF5304" w:rsidRDefault="00F329DD" w:rsidP="00CF5304">
      <w:pPr>
        <w:spacing w:after="0" w:line="240" w:lineRule="auto"/>
        <w:rPr>
          <w:rFonts w:eastAsia="Times New Roman" w:cs="Times New Roman"/>
          <w:lang w:eastAsia="de-DE"/>
        </w:rPr>
      </w:pPr>
      <w:r>
        <w:rPr>
          <w:rFonts w:eastAsia="Times New Roman" w:cs="Times New Roman"/>
          <w:noProof/>
          <w:lang w:eastAsia="de-DE"/>
        </w:rPr>
        <w:pict w14:anchorId="4FEB2AA1">
          <v:rect id="_x0000_i1829" style="width:0;height:1.5pt" o:hralign="center" o:hrstd="t" o:hr="t" fillcolor="#a0a0a0" stroked="f"/>
        </w:pict>
      </w:r>
    </w:p>
    <w:p w14:paraId="29FE7D2B" w14:textId="14E03B7D"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Kommentar:</w:t>
      </w:r>
      <w:r w:rsidRPr="00CF5304">
        <w:rPr>
          <w:rFonts w:eastAsia="Times New Roman" w:cs="Times New Roman"/>
          <w:lang w:eastAsia="de-DE"/>
        </w:rPr>
        <w:t xml:space="preserve"> Das Nomen </w:t>
      </w:r>
      <w:r w:rsidRPr="00CF5304">
        <w:rPr>
          <w:rFonts w:eastAsia="Times New Roman" w:cs="Times New Roman"/>
          <w:b/>
          <w:bCs/>
          <w:rtl/>
          <w:lang w:eastAsia="de-DE"/>
        </w:rPr>
        <w:t>נְאֻם</w:t>
      </w:r>
      <w:r w:rsidRPr="00CF5304">
        <w:rPr>
          <w:rFonts w:eastAsia="Times New Roman" w:cs="Times New Roman"/>
          <w:rtl/>
          <w:lang w:eastAsia="de-DE"/>
        </w:rPr>
        <w:t xml:space="preserve"> </w:t>
      </w:r>
      <w:r w:rsidRPr="00CF5304">
        <w:rPr>
          <w:rFonts w:eastAsia="Times New Roman" w:cs="Times New Roman"/>
          <w:lang w:eastAsia="de-DE"/>
        </w:rPr>
        <w:t xml:space="preserve">(m. Sg., „Spruch") setzt die feierliche Einleitung fort. Das Partizip </w:t>
      </w:r>
      <w:r w:rsidRPr="00CF5304">
        <w:rPr>
          <w:rFonts w:eastAsia="Times New Roman" w:cs="Times New Roman"/>
          <w:b/>
          <w:bCs/>
          <w:rtl/>
          <w:lang w:eastAsia="de-DE"/>
        </w:rPr>
        <w:t>שֹׁמֵעַ</w:t>
      </w:r>
      <w:r w:rsidRPr="00CF5304">
        <w:rPr>
          <w:rFonts w:eastAsia="Times New Roman" w:cs="Times New Roman"/>
          <w:rtl/>
          <w:lang w:eastAsia="de-DE"/>
        </w:rPr>
        <w:t xml:space="preserve"> </w:t>
      </w:r>
      <w:r w:rsidRPr="00CF5304">
        <w:rPr>
          <w:rFonts w:eastAsia="Times New Roman" w:cs="Times New Roman"/>
          <w:lang w:eastAsia="de-DE"/>
        </w:rPr>
        <w:t xml:space="preserve">(Qal Partizip m. Sg. von </w:t>
      </w:r>
      <w:r w:rsidRPr="00CF5304">
        <w:rPr>
          <w:rFonts w:eastAsia="Times New Roman" w:cs="Times New Roman"/>
          <w:rtl/>
          <w:lang w:eastAsia="de-DE"/>
        </w:rPr>
        <w:t>שׁמע</w:t>
      </w:r>
      <w:r w:rsidRPr="00CF5304">
        <w:rPr>
          <w:rFonts w:eastAsia="Times New Roman" w:cs="Times New Roman"/>
          <w:lang w:eastAsia="de-DE"/>
        </w:rPr>
        <w:t xml:space="preserve">, „hörend, der hört") beschreibt Bileams prophetische Fähigkeit. Die </w:t>
      </w:r>
      <w:r w:rsidR="00B513FF">
        <w:rPr>
          <w:rFonts w:eastAsia="Times New Roman" w:cs="Times New Roman"/>
          <w:lang w:eastAsia="de-DE"/>
        </w:rPr>
        <w:t xml:space="preserve">Constructus </w:t>
      </w:r>
      <w:r w:rsidRPr="00CF5304">
        <w:rPr>
          <w:rFonts w:eastAsia="Times New Roman" w:cs="Times New Roman"/>
          <w:lang w:eastAsia="de-DE"/>
        </w:rPr>
        <w:t xml:space="preserve">verbindung </w:t>
      </w:r>
      <w:r w:rsidRPr="00CF5304">
        <w:rPr>
          <w:rFonts w:eastAsia="Times New Roman" w:cs="Times New Roman"/>
          <w:b/>
          <w:bCs/>
          <w:rtl/>
          <w:lang w:eastAsia="de-DE"/>
        </w:rPr>
        <w:t>אִמְרֵי־אֵל</w:t>
      </w:r>
      <w:r w:rsidRPr="00CF5304">
        <w:rPr>
          <w:rFonts w:eastAsia="Times New Roman" w:cs="Times New Roman"/>
          <w:rtl/>
          <w:lang w:eastAsia="de-DE"/>
        </w:rPr>
        <w:t xml:space="preserve"> </w:t>
      </w:r>
      <w:r w:rsidRPr="00CF5304">
        <w:rPr>
          <w:rFonts w:eastAsia="Times New Roman" w:cs="Times New Roman"/>
          <w:lang w:eastAsia="de-DE"/>
        </w:rPr>
        <w:t>(</w:t>
      </w:r>
      <w:r w:rsidRPr="00CF5304">
        <w:rPr>
          <w:rFonts w:eastAsia="Times New Roman" w:cs="Times New Roman"/>
          <w:b/>
          <w:bCs/>
          <w:rtl/>
          <w:lang w:eastAsia="de-DE"/>
        </w:rPr>
        <w:t>אֲמָרִים</w:t>
      </w:r>
      <w:r w:rsidRPr="00CF5304">
        <w:rPr>
          <w:rFonts w:eastAsia="Times New Roman" w:cs="Times New Roman"/>
          <w:lang w:eastAsia="de-DE"/>
        </w:rPr>
        <w:t xml:space="preserve">, Pl. von </w:t>
      </w:r>
      <w:r w:rsidRPr="00CF5304">
        <w:rPr>
          <w:rFonts w:eastAsia="Times New Roman" w:cs="Times New Roman"/>
          <w:b/>
          <w:bCs/>
          <w:rtl/>
          <w:lang w:eastAsia="de-DE"/>
        </w:rPr>
        <w:t>אֵמֶר</w:t>
      </w:r>
      <w:r w:rsidRPr="00CF5304">
        <w:rPr>
          <w:rFonts w:eastAsia="Times New Roman" w:cs="Times New Roman"/>
          <w:lang w:eastAsia="de-DE"/>
        </w:rPr>
        <w:t xml:space="preserve">, „Worte, Aussprüche", im </w:t>
      </w:r>
      <w:r w:rsidR="00F133EC">
        <w:rPr>
          <w:rFonts w:eastAsia="Times New Roman" w:cs="Times New Roman"/>
          <w:lang w:eastAsia="de-DE"/>
        </w:rPr>
        <w:t>Construct</w:t>
      </w:r>
      <w:r w:rsidRPr="00CF5304">
        <w:rPr>
          <w:rFonts w:eastAsia="Times New Roman" w:cs="Times New Roman"/>
          <w:lang w:eastAsia="de-DE"/>
        </w:rPr>
        <w:t xml:space="preserve">zustand mit </w:t>
      </w:r>
      <w:r w:rsidRPr="00CF5304">
        <w:rPr>
          <w:rFonts w:eastAsia="Times New Roman" w:cs="Times New Roman"/>
          <w:b/>
          <w:bCs/>
          <w:rtl/>
          <w:lang w:eastAsia="de-DE"/>
        </w:rPr>
        <w:t>אֵל</w:t>
      </w:r>
      <w:r w:rsidRPr="00CF5304">
        <w:rPr>
          <w:rFonts w:eastAsia="Times New Roman" w:cs="Times New Roman"/>
          <w:lang w:eastAsia="de-DE"/>
        </w:rPr>
        <w:t xml:space="preserve">, „Gott") bezeichnet „Worte Gottes". Die Verwendung von </w:t>
      </w:r>
      <w:r w:rsidRPr="00CF5304">
        <w:rPr>
          <w:rFonts w:eastAsia="Times New Roman" w:cs="Times New Roman"/>
          <w:b/>
          <w:bCs/>
          <w:rtl/>
          <w:lang w:eastAsia="de-DE"/>
        </w:rPr>
        <w:t>אֵל</w:t>
      </w:r>
      <w:r w:rsidRPr="00CF5304">
        <w:rPr>
          <w:rFonts w:eastAsia="Times New Roman" w:cs="Times New Roman"/>
          <w:rtl/>
          <w:lang w:eastAsia="de-DE"/>
        </w:rPr>
        <w:t xml:space="preserve"> </w:t>
      </w:r>
      <w:r w:rsidRPr="00CF5304">
        <w:rPr>
          <w:rFonts w:eastAsia="Times New Roman" w:cs="Times New Roman"/>
          <w:lang w:eastAsia="de-DE"/>
        </w:rPr>
        <w:t xml:space="preserve">(nicht </w:t>
      </w:r>
      <w:r w:rsidRPr="00CF5304">
        <w:rPr>
          <w:rFonts w:eastAsia="Times New Roman" w:cs="Times New Roman"/>
          <w:b/>
          <w:bCs/>
          <w:rtl/>
          <w:lang w:eastAsia="de-DE"/>
        </w:rPr>
        <w:t>אֱלֹהִים</w:t>
      </w:r>
      <w:r w:rsidRPr="00CF5304">
        <w:rPr>
          <w:rFonts w:eastAsia="Times New Roman" w:cs="Times New Roman"/>
          <w:lang w:eastAsia="de-DE"/>
        </w:rPr>
        <w:t>) betont die Macht und Erhabenheit Gottes.</w:t>
      </w:r>
    </w:p>
    <w:p w14:paraId="23149CB6"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Relativpartikel </w:t>
      </w:r>
      <w:r w:rsidRPr="00CF5304">
        <w:rPr>
          <w:rFonts w:eastAsia="Times New Roman" w:cs="Times New Roman"/>
          <w:b/>
          <w:bCs/>
          <w:rtl/>
          <w:lang w:eastAsia="de-DE"/>
        </w:rPr>
        <w:t>אֲשֶׁר</w:t>
      </w:r>
      <w:r w:rsidRPr="00CF5304">
        <w:rPr>
          <w:rFonts w:eastAsia="Times New Roman" w:cs="Times New Roman"/>
          <w:rtl/>
          <w:lang w:eastAsia="de-DE"/>
        </w:rPr>
        <w:t xml:space="preserve"> </w:t>
      </w:r>
      <w:r w:rsidRPr="00CF5304">
        <w:rPr>
          <w:rFonts w:eastAsia="Times New Roman" w:cs="Times New Roman"/>
          <w:lang w:eastAsia="de-DE"/>
        </w:rPr>
        <w:t xml:space="preserve">(„der, welcher") leitet einen Relativsatz ein. Das Nomen </w:t>
      </w:r>
      <w:r w:rsidRPr="00CF5304">
        <w:rPr>
          <w:rFonts w:eastAsia="Times New Roman" w:cs="Times New Roman"/>
          <w:b/>
          <w:bCs/>
          <w:rtl/>
          <w:lang w:eastAsia="de-DE"/>
        </w:rPr>
        <w:t>מַחֲזֵה</w:t>
      </w:r>
      <w:r w:rsidRPr="00CF5304">
        <w:rPr>
          <w:rFonts w:eastAsia="Times New Roman" w:cs="Times New Roman"/>
          <w:rtl/>
          <w:lang w:eastAsia="de-DE"/>
        </w:rPr>
        <w:t xml:space="preserve"> </w:t>
      </w:r>
      <w:r w:rsidRPr="00CF5304">
        <w:rPr>
          <w:rFonts w:eastAsia="Times New Roman" w:cs="Times New Roman"/>
          <w:lang w:eastAsia="de-DE"/>
        </w:rPr>
        <w:t xml:space="preserve">(m. Sg., „Gesicht, Vision") bezeichnet die prophetische Schau. Die Genitivverbindung </w:t>
      </w:r>
      <w:r w:rsidRPr="00CF5304">
        <w:rPr>
          <w:rFonts w:eastAsia="Times New Roman" w:cs="Times New Roman"/>
          <w:b/>
          <w:bCs/>
          <w:rtl/>
          <w:lang w:eastAsia="de-DE"/>
        </w:rPr>
        <w:t>מַחֲזֵה שַׁדַּי</w:t>
      </w:r>
      <w:r w:rsidRPr="00CF5304">
        <w:rPr>
          <w:rFonts w:eastAsia="Times New Roman" w:cs="Times New Roman"/>
          <w:rtl/>
          <w:lang w:eastAsia="de-DE"/>
        </w:rPr>
        <w:t xml:space="preserve"> </w:t>
      </w:r>
      <w:r w:rsidRPr="00CF5304">
        <w:rPr>
          <w:rFonts w:eastAsia="Times New Roman" w:cs="Times New Roman"/>
          <w:lang w:eastAsia="de-DE"/>
        </w:rPr>
        <w:t xml:space="preserve">(„Gesicht des Allmächtigen") mit dem Gottesnamen </w:t>
      </w:r>
      <w:r w:rsidRPr="00CF5304">
        <w:rPr>
          <w:rFonts w:eastAsia="Times New Roman" w:cs="Times New Roman"/>
          <w:b/>
          <w:bCs/>
          <w:rtl/>
          <w:lang w:eastAsia="de-DE"/>
        </w:rPr>
        <w:t>שַׁדַּי</w:t>
      </w:r>
      <w:r w:rsidRPr="00CF5304">
        <w:rPr>
          <w:rFonts w:eastAsia="Times New Roman" w:cs="Times New Roman"/>
          <w:rtl/>
          <w:lang w:eastAsia="de-DE"/>
        </w:rPr>
        <w:t xml:space="preserve"> </w:t>
      </w:r>
      <w:r w:rsidRPr="00CF5304">
        <w:rPr>
          <w:rFonts w:eastAsia="Times New Roman" w:cs="Times New Roman"/>
          <w:lang w:eastAsia="de-DE"/>
        </w:rPr>
        <w:t xml:space="preserve">(„Allmächtiger") betont die göttliche Quelle der Vision. </w:t>
      </w:r>
      <w:r w:rsidRPr="00CF5304">
        <w:rPr>
          <w:rFonts w:eastAsia="Times New Roman" w:cs="Times New Roman"/>
          <w:b/>
          <w:bCs/>
          <w:rtl/>
          <w:lang w:eastAsia="de-DE"/>
        </w:rPr>
        <w:t>שַׁדַּי</w:t>
      </w:r>
      <w:r w:rsidRPr="00CF5304">
        <w:rPr>
          <w:rFonts w:eastAsia="Times New Roman" w:cs="Times New Roman"/>
          <w:rtl/>
          <w:lang w:eastAsia="de-DE"/>
        </w:rPr>
        <w:t xml:space="preserve"> </w:t>
      </w:r>
      <w:r w:rsidRPr="00CF5304">
        <w:rPr>
          <w:rFonts w:eastAsia="Times New Roman" w:cs="Times New Roman"/>
          <w:lang w:eastAsia="de-DE"/>
        </w:rPr>
        <w:t>ist ein archaischer Gottesname, der besonders in der Patriarchenzeit verwendet wird und Gottes Allmacht ausdrückt.</w:t>
      </w:r>
    </w:p>
    <w:p w14:paraId="68CCAD88"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Verb </w:t>
      </w:r>
      <w:r w:rsidRPr="00CF5304">
        <w:rPr>
          <w:rFonts w:eastAsia="Times New Roman" w:cs="Times New Roman"/>
          <w:b/>
          <w:bCs/>
          <w:rtl/>
          <w:lang w:eastAsia="de-DE"/>
        </w:rPr>
        <w:t>יֶחֱזֶה</w:t>
      </w:r>
      <w:r w:rsidRPr="00CF5304">
        <w:rPr>
          <w:rFonts w:eastAsia="Times New Roman" w:cs="Times New Roman"/>
          <w:rtl/>
          <w:lang w:eastAsia="de-DE"/>
        </w:rPr>
        <w:t xml:space="preserve"> </w:t>
      </w:r>
      <w:r w:rsidRPr="00CF5304">
        <w:rPr>
          <w:rFonts w:eastAsia="Times New Roman" w:cs="Times New Roman"/>
          <w:lang w:eastAsia="de-DE"/>
        </w:rPr>
        <w:t xml:space="preserve">(Qal Imperfekt 3. m. Sg. von </w:t>
      </w:r>
      <w:r w:rsidRPr="00CF5304">
        <w:rPr>
          <w:rFonts w:eastAsia="Times New Roman" w:cs="Times New Roman"/>
          <w:rtl/>
          <w:lang w:eastAsia="de-DE"/>
        </w:rPr>
        <w:t>חזה</w:t>
      </w:r>
      <w:r w:rsidRPr="00CF5304">
        <w:rPr>
          <w:rFonts w:eastAsia="Times New Roman" w:cs="Times New Roman"/>
          <w:lang w:eastAsia="de-DE"/>
        </w:rPr>
        <w:t xml:space="preserve">, „er sieht, schaut") beschreibt die visionäre Wahrnehmung. Die Wurzel </w:t>
      </w:r>
      <w:r w:rsidRPr="00CF5304">
        <w:rPr>
          <w:rFonts w:eastAsia="Times New Roman" w:cs="Times New Roman"/>
          <w:rtl/>
          <w:lang w:eastAsia="de-DE"/>
        </w:rPr>
        <w:t>חזה</w:t>
      </w:r>
      <w:r w:rsidRPr="00CF5304">
        <w:rPr>
          <w:rFonts w:eastAsia="Times New Roman" w:cs="Times New Roman"/>
          <w:lang w:eastAsia="de-DE"/>
        </w:rPr>
        <w:t xml:space="preserve"> bezeichnet speziell prophetisches Schauen. Das Partizip </w:t>
      </w:r>
      <w:r w:rsidRPr="00CF5304">
        <w:rPr>
          <w:rFonts w:eastAsia="Times New Roman" w:cs="Times New Roman"/>
          <w:b/>
          <w:bCs/>
          <w:rtl/>
          <w:lang w:eastAsia="de-DE"/>
        </w:rPr>
        <w:t>נֹפֵל</w:t>
      </w:r>
      <w:r w:rsidRPr="00CF5304">
        <w:rPr>
          <w:rFonts w:eastAsia="Times New Roman" w:cs="Times New Roman"/>
          <w:rtl/>
          <w:lang w:eastAsia="de-DE"/>
        </w:rPr>
        <w:t xml:space="preserve"> </w:t>
      </w:r>
      <w:r w:rsidRPr="00CF5304">
        <w:rPr>
          <w:rFonts w:eastAsia="Times New Roman" w:cs="Times New Roman"/>
          <w:lang w:eastAsia="de-DE"/>
        </w:rPr>
        <w:lastRenderedPageBreak/>
        <w:t xml:space="preserve">(Qal Partizip m. Sg. von </w:t>
      </w:r>
      <w:r w:rsidRPr="00CF5304">
        <w:rPr>
          <w:rFonts w:eastAsia="Times New Roman" w:cs="Times New Roman"/>
          <w:rtl/>
          <w:lang w:eastAsia="de-DE"/>
        </w:rPr>
        <w:t>נפל</w:t>
      </w:r>
      <w:r w:rsidRPr="00CF5304">
        <w:rPr>
          <w:rFonts w:eastAsia="Times New Roman" w:cs="Times New Roman"/>
          <w:lang w:eastAsia="de-DE"/>
        </w:rPr>
        <w:t>, „fallend, niederfallend") beschreibt Bileams körperlichen Zustand während der Ekstase. Das Niederfallen ist ein typisches Merkmal prophetischer Trance oder göttlicher Offenbarungserfahrung.</w:t>
      </w:r>
    </w:p>
    <w:p w14:paraId="0F2A3C2F" w14:textId="14E43B21"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w:t>
      </w:r>
      <w:r w:rsidR="00B513FF">
        <w:rPr>
          <w:rFonts w:eastAsia="Times New Roman" w:cs="Times New Roman"/>
          <w:lang w:eastAsia="de-DE"/>
        </w:rPr>
        <w:t xml:space="preserve">Constructus </w:t>
      </w:r>
      <w:r w:rsidRPr="00CF5304">
        <w:rPr>
          <w:rFonts w:eastAsia="Times New Roman" w:cs="Times New Roman"/>
          <w:lang w:eastAsia="de-DE"/>
        </w:rPr>
        <w:t xml:space="preserve">verbindung </w:t>
      </w:r>
      <w:r w:rsidRPr="00CF5304">
        <w:rPr>
          <w:rFonts w:eastAsia="Times New Roman" w:cs="Times New Roman"/>
          <w:b/>
          <w:bCs/>
          <w:rtl/>
          <w:lang w:eastAsia="de-DE"/>
        </w:rPr>
        <w:t>וּגְלוּי עֵינָיִם</w:t>
      </w:r>
      <w:r w:rsidRPr="00CF5304">
        <w:rPr>
          <w:rFonts w:eastAsia="Times New Roman" w:cs="Times New Roman"/>
          <w:rtl/>
          <w:lang w:eastAsia="de-DE"/>
        </w:rPr>
        <w:t xml:space="preserve"> </w:t>
      </w:r>
      <w:r w:rsidRPr="00CF5304">
        <w:rPr>
          <w:rFonts w:eastAsia="Times New Roman" w:cs="Times New Roman"/>
          <w:lang w:eastAsia="de-DE"/>
        </w:rPr>
        <w:t xml:space="preserve">(Kopula </w:t>
      </w:r>
      <w:r w:rsidRPr="00CF5304">
        <w:rPr>
          <w:rFonts w:eastAsia="Times New Roman" w:cs="Times New Roman"/>
          <w:rtl/>
          <w:lang w:eastAsia="de-DE"/>
        </w:rPr>
        <w:t>וְ</w:t>
      </w:r>
      <w:r w:rsidRPr="00CF5304">
        <w:rPr>
          <w:rFonts w:eastAsia="Times New Roman" w:cs="Times New Roman"/>
          <w:lang w:eastAsia="de-DE"/>
        </w:rPr>
        <w:t xml:space="preserve"> mit Qal Passiv Partizip m. Sg. von </w:t>
      </w:r>
      <w:r w:rsidRPr="00CF5304">
        <w:rPr>
          <w:rFonts w:eastAsia="Times New Roman" w:cs="Times New Roman"/>
          <w:rtl/>
          <w:lang w:eastAsia="de-DE"/>
        </w:rPr>
        <w:t>גלה</w:t>
      </w:r>
      <w:r w:rsidRPr="00CF5304">
        <w:rPr>
          <w:rFonts w:eastAsia="Times New Roman" w:cs="Times New Roman"/>
          <w:lang w:eastAsia="de-DE"/>
        </w:rPr>
        <w:t xml:space="preserve">, „enthüllt, geöffnet", im </w:t>
      </w:r>
      <w:r w:rsidR="00F133EC">
        <w:rPr>
          <w:rFonts w:eastAsia="Times New Roman" w:cs="Times New Roman"/>
          <w:lang w:eastAsia="de-DE"/>
        </w:rPr>
        <w:t>Construct</w:t>
      </w:r>
      <w:r w:rsidRPr="00CF5304">
        <w:rPr>
          <w:rFonts w:eastAsia="Times New Roman" w:cs="Times New Roman"/>
          <w:lang w:eastAsia="de-DE"/>
        </w:rPr>
        <w:t xml:space="preserve">zustand mit </w:t>
      </w:r>
      <w:r w:rsidRPr="00CF5304">
        <w:rPr>
          <w:rFonts w:eastAsia="Times New Roman" w:cs="Times New Roman"/>
          <w:b/>
          <w:bCs/>
          <w:rtl/>
          <w:lang w:eastAsia="de-DE"/>
        </w:rPr>
        <w:t>עֵינַיִם</w:t>
      </w:r>
      <w:r w:rsidRPr="00CF5304">
        <w:rPr>
          <w:rFonts w:eastAsia="Times New Roman" w:cs="Times New Roman"/>
          <w:lang w:eastAsia="de-DE"/>
        </w:rPr>
        <w:t xml:space="preserve">, Dual von </w:t>
      </w:r>
      <w:r w:rsidRPr="00CF5304">
        <w:rPr>
          <w:rFonts w:eastAsia="Times New Roman" w:cs="Times New Roman"/>
          <w:b/>
          <w:bCs/>
          <w:rtl/>
          <w:lang w:eastAsia="de-DE"/>
        </w:rPr>
        <w:t>עַיִן</w:t>
      </w:r>
      <w:r w:rsidRPr="00CF5304">
        <w:rPr>
          <w:rFonts w:eastAsia="Times New Roman" w:cs="Times New Roman"/>
          <w:lang w:eastAsia="de-DE"/>
        </w:rPr>
        <w:t xml:space="preserve">, „Augen") bedeutet „und enthüllter Augen". Das passive Partizip </w:t>
      </w:r>
      <w:r w:rsidRPr="00CF5304">
        <w:rPr>
          <w:rFonts w:eastAsia="Times New Roman" w:cs="Times New Roman"/>
          <w:b/>
          <w:bCs/>
          <w:rtl/>
          <w:lang w:eastAsia="de-DE"/>
        </w:rPr>
        <w:t>גְלוּי</w:t>
      </w:r>
      <w:r w:rsidRPr="00CF5304">
        <w:rPr>
          <w:rFonts w:eastAsia="Times New Roman" w:cs="Times New Roman"/>
          <w:rtl/>
          <w:lang w:eastAsia="de-DE"/>
        </w:rPr>
        <w:t xml:space="preserve"> </w:t>
      </w:r>
      <w:r w:rsidRPr="00CF5304">
        <w:rPr>
          <w:rFonts w:eastAsia="Times New Roman" w:cs="Times New Roman"/>
          <w:lang w:eastAsia="de-DE"/>
        </w:rPr>
        <w:t xml:space="preserve">zeigt, dass die Augen durch göttliches Wirken geöffnet wurden. Die Formulierung bildet einen Chiasmus mit </w:t>
      </w:r>
      <w:r w:rsidRPr="00CF5304">
        <w:rPr>
          <w:rFonts w:eastAsia="Times New Roman" w:cs="Times New Roman"/>
          <w:b/>
          <w:bCs/>
          <w:rtl/>
          <w:lang w:eastAsia="de-DE"/>
        </w:rPr>
        <w:t>שְׁתֻם הָעָיִן</w:t>
      </w:r>
      <w:r w:rsidRPr="00CF5304">
        <w:rPr>
          <w:rFonts w:eastAsia="Times New Roman" w:cs="Times New Roman"/>
          <w:rtl/>
          <w:lang w:eastAsia="de-DE"/>
        </w:rPr>
        <w:t xml:space="preserve"> </w:t>
      </w:r>
      <w:r w:rsidRPr="00CF5304">
        <w:rPr>
          <w:rFonts w:eastAsia="Times New Roman" w:cs="Times New Roman"/>
          <w:lang w:eastAsia="de-DE"/>
        </w:rPr>
        <w:t>aus Vers 3: Während das physische Auge möglicherweise geschlossen ist (im ekstatischen Zustand), ist das geistige Auge geöffnet für göttliche Visionen.</w:t>
      </w:r>
    </w:p>
    <w:p w14:paraId="6253A1A0" w14:textId="7906BEE9"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 xml:space="preserve">Die </w:t>
      </w:r>
      <w:r w:rsidR="00CD2614">
        <w:t>fügt „ἐν ὕπνῳ" (im Schlaf) hinzu, was im Hebräischen nicht explizit erscheint, und übersetzt „</w:t>
      </w:r>
      <w:r w:rsidR="00CD2614" w:rsidRPr="00CD2614">
        <w:rPr>
          <w:b/>
          <w:bCs/>
          <w:rtl/>
        </w:rPr>
        <w:t>נֹפֵל וּגְלוּי עֵינָיִם</w:t>
      </w:r>
      <w:r w:rsidR="00CD2614">
        <w:t>" (fallend und offener Augen) mit „ἐν ὕπνῳ ἀποκεκαλυμμένοι οἱ ὀφθαλμοὶ αὐτοῦ" (im Schlaf sind seine Augen entschleiert).</w:t>
      </w:r>
    </w:p>
    <w:p w14:paraId="3D6C6D10"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Satzstruktur besteht aus einem Nominalsatz mit </w:t>
      </w:r>
      <w:r w:rsidRPr="00CF5304">
        <w:rPr>
          <w:rFonts w:eastAsia="Times New Roman" w:cs="Times New Roman"/>
          <w:b/>
          <w:bCs/>
          <w:rtl/>
          <w:lang w:eastAsia="de-DE"/>
        </w:rPr>
        <w:t>נְאֻם</w:t>
      </w:r>
      <w:r w:rsidRPr="00CF5304">
        <w:rPr>
          <w:rFonts w:eastAsia="Times New Roman" w:cs="Times New Roman"/>
          <w:rtl/>
          <w:lang w:eastAsia="de-DE"/>
        </w:rPr>
        <w:t xml:space="preserve"> </w:t>
      </w:r>
      <w:r w:rsidRPr="00CF5304">
        <w:rPr>
          <w:rFonts w:eastAsia="Times New Roman" w:cs="Times New Roman"/>
          <w:lang w:eastAsia="de-DE"/>
        </w:rPr>
        <w:t xml:space="preserve">als Kopf, gefolgt vom Partizip </w:t>
      </w:r>
      <w:r w:rsidRPr="00CF5304">
        <w:rPr>
          <w:rFonts w:eastAsia="Times New Roman" w:cs="Times New Roman"/>
          <w:b/>
          <w:bCs/>
          <w:rtl/>
          <w:lang w:eastAsia="de-DE"/>
        </w:rPr>
        <w:t>שֹׁמֵעַ</w:t>
      </w:r>
      <w:r w:rsidRPr="00CF5304">
        <w:rPr>
          <w:rFonts w:eastAsia="Times New Roman" w:cs="Times New Roman"/>
          <w:rtl/>
          <w:lang w:eastAsia="de-DE"/>
        </w:rPr>
        <w:t xml:space="preserve"> </w:t>
      </w:r>
      <w:r w:rsidRPr="00CF5304">
        <w:rPr>
          <w:rFonts w:eastAsia="Times New Roman" w:cs="Times New Roman"/>
          <w:lang w:eastAsia="de-DE"/>
        </w:rPr>
        <w:t xml:space="preserve">mit seinem Objekt </w:t>
      </w:r>
      <w:r w:rsidRPr="00CF5304">
        <w:rPr>
          <w:rFonts w:eastAsia="Times New Roman" w:cs="Times New Roman"/>
          <w:b/>
          <w:bCs/>
          <w:rtl/>
          <w:lang w:eastAsia="de-DE"/>
        </w:rPr>
        <w:t>אִמְרֵי־אֵל</w:t>
      </w:r>
      <w:r w:rsidRPr="00CF5304">
        <w:rPr>
          <w:rFonts w:eastAsia="Times New Roman" w:cs="Times New Roman"/>
          <w:lang w:eastAsia="de-DE"/>
        </w:rPr>
        <w:t xml:space="preserve">. Der Relativsatz </w:t>
      </w:r>
      <w:r w:rsidRPr="00CF5304">
        <w:rPr>
          <w:rFonts w:eastAsia="Times New Roman" w:cs="Times New Roman"/>
          <w:b/>
          <w:bCs/>
          <w:rtl/>
          <w:lang w:eastAsia="de-DE"/>
        </w:rPr>
        <w:t>אֲשֶׁר מַחֲזֵה שַׁדַּי יֶחֱזֶה</w:t>
      </w:r>
      <w:r w:rsidRPr="00CF5304">
        <w:rPr>
          <w:rFonts w:eastAsia="Times New Roman" w:cs="Times New Roman"/>
          <w:rtl/>
          <w:lang w:eastAsia="de-DE"/>
        </w:rPr>
        <w:t xml:space="preserve"> </w:t>
      </w:r>
      <w:r w:rsidRPr="00CF5304">
        <w:rPr>
          <w:rFonts w:eastAsia="Times New Roman" w:cs="Times New Roman"/>
          <w:lang w:eastAsia="de-DE"/>
        </w:rPr>
        <w:t xml:space="preserve">erweitert die Beschreibung. Die beiden Partizipien </w:t>
      </w:r>
      <w:r w:rsidRPr="00CF5304">
        <w:rPr>
          <w:rFonts w:eastAsia="Times New Roman" w:cs="Times New Roman"/>
          <w:b/>
          <w:bCs/>
          <w:rtl/>
          <w:lang w:eastAsia="de-DE"/>
        </w:rPr>
        <w:t>נֹפֵל</w:t>
      </w:r>
      <w:r w:rsidRPr="00CF5304">
        <w:rPr>
          <w:rFonts w:eastAsia="Times New Roman" w:cs="Times New Roman"/>
          <w:rtl/>
          <w:lang w:eastAsia="de-DE"/>
        </w:rPr>
        <w:t xml:space="preserve"> </w:t>
      </w:r>
      <w:r w:rsidRPr="00CF5304">
        <w:rPr>
          <w:rFonts w:eastAsia="Times New Roman" w:cs="Times New Roman"/>
          <w:lang w:eastAsia="de-DE"/>
        </w:rPr>
        <w:t xml:space="preserve">und </w:t>
      </w:r>
      <w:r w:rsidRPr="00CF5304">
        <w:rPr>
          <w:rFonts w:eastAsia="Times New Roman" w:cs="Times New Roman"/>
          <w:b/>
          <w:bCs/>
          <w:rtl/>
          <w:lang w:eastAsia="de-DE"/>
        </w:rPr>
        <w:t>גְלוּי עֵינָיִם</w:t>
      </w:r>
      <w:r w:rsidRPr="00CF5304">
        <w:rPr>
          <w:rFonts w:eastAsia="Times New Roman" w:cs="Times New Roman"/>
          <w:rtl/>
          <w:lang w:eastAsia="de-DE"/>
        </w:rPr>
        <w:t xml:space="preserve"> </w:t>
      </w:r>
      <w:r w:rsidRPr="00CF5304">
        <w:rPr>
          <w:rFonts w:eastAsia="Times New Roman" w:cs="Times New Roman"/>
          <w:lang w:eastAsia="de-DE"/>
        </w:rPr>
        <w:t>fungieren als Umstandsbestimmungen, die Bileams Zustand während der prophetischen Schau beschreiben.</w:t>
      </w:r>
    </w:p>
    <w:p w14:paraId="03A0D4E9" w14:textId="63EEB69D"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Der Vers intensiviert die Selbstdarstellung Bileams als echter Prophet. Er betont zwei Sinne der prophetischen Wahrnehmung: das Hören (</w:t>
      </w:r>
      <w:r w:rsidRPr="00CF5304">
        <w:rPr>
          <w:rFonts w:eastAsia="Times New Roman" w:cs="Times New Roman"/>
          <w:b/>
          <w:bCs/>
          <w:rtl/>
          <w:lang w:eastAsia="de-DE"/>
        </w:rPr>
        <w:t>שֹׁמֵעַ אִמְרֵי־אֵל</w:t>
      </w:r>
      <w:r w:rsidRPr="00CF5304">
        <w:rPr>
          <w:rFonts w:eastAsia="Times New Roman" w:cs="Times New Roman"/>
          <w:lang w:eastAsia="de-DE"/>
        </w:rPr>
        <w:t>) und das Sehen (</w:t>
      </w:r>
      <w:r w:rsidRPr="00CF5304">
        <w:rPr>
          <w:rFonts w:eastAsia="Times New Roman" w:cs="Times New Roman"/>
          <w:b/>
          <w:bCs/>
          <w:rtl/>
          <w:lang w:eastAsia="de-DE"/>
        </w:rPr>
        <w:t>מַחֲזֵה שַׁדַּי יֶחֱזֶה</w:t>
      </w:r>
      <w:r w:rsidRPr="00CF5304">
        <w:rPr>
          <w:rFonts w:eastAsia="Times New Roman" w:cs="Times New Roman"/>
          <w:lang w:eastAsia="de-DE"/>
        </w:rPr>
        <w:t xml:space="preserve">). Die Verwendung des Gottesnamens </w:t>
      </w:r>
      <w:r w:rsidRPr="00CF5304">
        <w:rPr>
          <w:rFonts w:eastAsia="Times New Roman" w:cs="Times New Roman"/>
          <w:b/>
          <w:bCs/>
          <w:rtl/>
          <w:lang w:eastAsia="de-DE"/>
        </w:rPr>
        <w:t>שַׁדַּי</w:t>
      </w:r>
      <w:r w:rsidRPr="00CF5304">
        <w:rPr>
          <w:rFonts w:eastAsia="Times New Roman" w:cs="Times New Roman"/>
          <w:rtl/>
          <w:lang w:eastAsia="de-DE"/>
        </w:rPr>
        <w:t xml:space="preserve"> </w:t>
      </w:r>
      <w:r w:rsidRPr="00CF5304">
        <w:rPr>
          <w:rFonts w:eastAsia="Times New Roman" w:cs="Times New Roman"/>
          <w:lang w:eastAsia="de-DE"/>
        </w:rPr>
        <w:t>verleiht der Weissagung archaische, patriarchalische Autorität. Die Beschreibung des ekstatischen Zustands (</w:t>
      </w:r>
      <w:r w:rsidRPr="00CF5304">
        <w:rPr>
          <w:rFonts w:eastAsia="Times New Roman" w:cs="Times New Roman"/>
          <w:b/>
          <w:bCs/>
          <w:rtl/>
          <w:lang w:eastAsia="de-DE"/>
        </w:rPr>
        <w:t>נֹפֵל וּגְלוּי עֵינָיִם</w:t>
      </w:r>
      <w:r w:rsidRPr="00CF5304">
        <w:rPr>
          <w:rFonts w:eastAsia="Times New Roman" w:cs="Times New Roman"/>
          <w:lang w:eastAsia="de-DE"/>
        </w:rPr>
        <w:t>) zeigt, dass Bileam in einem Zustand prophetischer Trance spricht, in dem sein inneres Auge für göttliche Offenbarung geöffnet ist. Diese ausführliche Legitimationsformel bereitet auf die außergewöhnliche Bedeutung de</w:t>
      </w:r>
      <w:r w:rsidR="00B513FF">
        <w:rPr>
          <w:rFonts w:eastAsia="Times New Roman" w:cs="Times New Roman"/>
          <w:lang w:eastAsia="de-DE"/>
        </w:rPr>
        <w:t>r</w:t>
      </w:r>
      <w:r w:rsidRPr="00CF5304">
        <w:rPr>
          <w:rFonts w:eastAsia="Times New Roman" w:cs="Times New Roman"/>
          <w:lang w:eastAsia="de-DE"/>
        </w:rPr>
        <w:t xml:space="preserve"> folgenden </w:t>
      </w:r>
      <w:r w:rsidR="00B513FF">
        <w:rPr>
          <w:rFonts w:eastAsia="Times New Roman" w:cs="Times New Roman"/>
          <w:lang w:eastAsia="de-DE"/>
        </w:rPr>
        <w:t>Weissagung</w:t>
      </w:r>
      <w:r w:rsidRPr="00CF5304">
        <w:rPr>
          <w:rFonts w:eastAsia="Times New Roman" w:cs="Times New Roman"/>
          <w:lang w:eastAsia="de-DE"/>
        </w:rPr>
        <w:t xml:space="preserve"> vor, das zu den wichtigsten messianischen Weissagungen des Alten Testaments gehört.</w:t>
      </w:r>
    </w:p>
    <w:p w14:paraId="4C1496CE" w14:textId="77777777" w:rsidR="00CF5304" w:rsidRPr="00CF5304" w:rsidRDefault="00CF5304" w:rsidP="00CF5304">
      <w:pPr>
        <w:spacing w:before="100" w:beforeAutospacing="1" w:after="100" w:afterAutospacing="1" w:line="240" w:lineRule="auto"/>
        <w:outlineLvl w:val="0"/>
        <w:rPr>
          <w:rFonts w:eastAsia="Times New Roman" w:cs="Times New Roman"/>
          <w:b/>
          <w:bCs/>
          <w:kern w:val="36"/>
          <w:sz w:val="48"/>
          <w:szCs w:val="48"/>
          <w:lang w:eastAsia="de-DE"/>
        </w:rPr>
      </w:pPr>
      <w:r w:rsidRPr="00CF5304">
        <w:rPr>
          <w:rFonts w:eastAsia="Times New Roman" w:cs="Times New Roman"/>
          <w:b/>
          <w:bCs/>
          <w:kern w:val="36"/>
          <w:sz w:val="48"/>
          <w:szCs w:val="48"/>
          <w:lang w:eastAsia="de-DE"/>
        </w:rPr>
        <w:t>Numeri 24,5</w:t>
      </w:r>
    </w:p>
    <w:p w14:paraId="4CEA4476"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Hebräisch:</w:t>
      </w:r>
      <w:r w:rsidRPr="00CF5304">
        <w:rPr>
          <w:rFonts w:eastAsia="Times New Roman" w:cs="Times New Roman"/>
          <w:lang w:eastAsia="de-DE"/>
        </w:rPr>
        <w:t xml:space="preserve"> </w:t>
      </w:r>
      <w:r w:rsidRPr="00CF5304">
        <w:rPr>
          <w:rFonts w:eastAsia="Times New Roman" w:cs="Times New Roman"/>
          <w:rtl/>
          <w:lang w:eastAsia="de-DE"/>
        </w:rPr>
        <w:t>מַה־טֹּ֥בוּ אֹהָלֶ֖יךָ יַעֲקֹ֑ב מִשְׁכְּנֹתֶ֖יךָ יִשְׂרָאֵֽל׃</w:t>
      </w:r>
    </w:p>
    <w:p w14:paraId="525144B9"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Deutsch:</w:t>
      </w:r>
      <w:r w:rsidRPr="00CF5304">
        <w:rPr>
          <w:rFonts w:eastAsia="Times New Roman" w:cs="Times New Roman"/>
          <w:lang w:eastAsia="de-DE"/>
        </w:rPr>
        <w:t xml:space="preserve"> Wie gut sind deine Zelte, Jaʿakov, deine Wohnungen, Jisraʾel!</w:t>
      </w:r>
    </w:p>
    <w:p w14:paraId="12C64F97" w14:textId="77777777" w:rsidR="00CF5304" w:rsidRPr="00CF5304" w:rsidRDefault="00F329DD" w:rsidP="00CF5304">
      <w:pPr>
        <w:spacing w:after="0" w:line="240" w:lineRule="auto"/>
        <w:rPr>
          <w:rFonts w:eastAsia="Times New Roman" w:cs="Times New Roman"/>
          <w:lang w:eastAsia="de-DE"/>
        </w:rPr>
      </w:pPr>
      <w:r>
        <w:rPr>
          <w:rFonts w:eastAsia="Times New Roman" w:cs="Times New Roman"/>
          <w:noProof/>
          <w:lang w:eastAsia="de-DE"/>
        </w:rPr>
        <w:pict w14:anchorId="0BCF3F54">
          <v:rect id="_x0000_i1830" style="width:0;height:1.5pt" o:hralign="center" o:hrstd="t" o:hr="t" fillcolor="#a0a0a0" stroked="f"/>
        </w:pict>
      </w:r>
    </w:p>
    <w:p w14:paraId="5CE81A49"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Kommentar:</w:t>
      </w:r>
      <w:r w:rsidRPr="00CF5304">
        <w:rPr>
          <w:rFonts w:eastAsia="Times New Roman" w:cs="Times New Roman"/>
          <w:lang w:eastAsia="de-DE"/>
        </w:rPr>
        <w:t xml:space="preserve"> Die Fragepartikel </w:t>
      </w:r>
      <w:r w:rsidRPr="00CF5304">
        <w:rPr>
          <w:rFonts w:eastAsia="Times New Roman" w:cs="Times New Roman"/>
          <w:b/>
          <w:bCs/>
          <w:rtl/>
          <w:lang w:eastAsia="de-DE"/>
        </w:rPr>
        <w:t>מַה</w:t>
      </w:r>
      <w:r w:rsidRPr="00CF5304">
        <w:rPr>
          <w:rFonts w:eastAsia="Times New Roman" w:cs="Times New Roman"/>
          <w:rtl/>
          <w:lang w:eastAsia="de-DE"/>
        </w:rPr>
        <w:t xml:space="preserve"> </w:t>
      </w:r>
      <w:r w:rsidRPr="00CF5304">
        <w:rPr>
          <w:rFonts w:eastAsia="Times New Roman" w:cs="Times New Roman"/>
          <w:lang w:eastAsia="de-DE"/>
        </w:rPr>
        <w:t xml:space="preserve">(„wie") in Ausrufen drückt Bewunderung oder Erstaunen aus und bedeutet „wie sehr, wie". Das Verb </w:t>
      </w:r>
      <w:r w:rsidRPr="00CF5304">
        <w:rPr>
          <w:rFonts w:eastAsia="Times New Roman" w:cs="Times New Roman"/>
          <w:b/>
          <w:bCs/>
          <w:rtl/>
          <w:lang w:eastAsia="de-DE"/>
        </w:rPr>
        <w:t>טֹּבוּ</w:t>
      </w:r>
      <w:r w:rsidRPr="00CF5304">
        <w:rPr>
          <w:rFonts w:eastAsia="Times New Roman" w:cs="Times New Roman"/>
          <w:rtl/>
          <w:lang w:eastAsia="de-DE"/>
        </w:rPr>
        <w:t xml:space="preserve"> </w:t>
      </w:r>
      <w:r w:rsidRPr="00CF5304">
        <w:rPr>
          <w:rFonts w:eastAsia="Times New Roman" w:cs="Times New Roman"/>
          <w:lang w:eastAsia="de-DE"/>
        </w:rPr>
        <w:t xml:space="preserve">(Qal Perfekt 3. c. Pl. von </w:t>
      </w:r>
      <w:r w:rsidRPr="00CF5304">
        <w:rPr>
          <w:rFonts w:eastAsia="Times New Roman" w:cs="Times New Roman"/>
          <w:rtl/>
          <w:lang w:eastAsia="de-DE"/>
        </w:rPr>
        <w:t>טוב</w:t>
      </w:r>
      <w:r w:rsidRPr="00CF5304">
        <w:rPr>
          <w:rFonts w:eastAsia="Times New Roman" w:cs="Times New Roman"/>
          <w:lang w:eastAsia="de-DE"/>
        </w:rPr>
        <w:t>, „sie sind gut") dient hier als Prädikat. Die Perfektform drückt einen gegenwärtigen Zustand aus.</w:t>
      </w:r>
    </w:p>
    <w:p w14:paraId="4F4558D5"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Subjekt </w:t>
      </w:r>
      <w:r w:rsidRPr="00CF5304">
        <w:rPr>
          <w:rFonts w:eastAsia="Times New Roman" w:cs="Times New Roman"/>
          <w:b/>
          <w:bCs/>
          <w:rtl/>
          <w:lang w:eastAsia="de-DE"/>
        </w:rPr>
        <w:t>אֹהָלֶיךָ</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אֹהֶל</w:t>
      </w:r>
      <w:r w:rsidRPr="00CF5304">
        <w:rPr>
          <w:rFonts w:eastAsia="Times New Roman" w:cs="Times New Roman"/>
          <w:lang w:eastAsia="de-DE"/>
        </w:rPr>
        <w:t xml:space="preserve">, „Zelt", mit Suffix 2. m. Sg., „deine Zelte") bezeichnet die Wohnstätten Israels. Das Vokativ </w:t>
      </w:r>
      <w:r w:rsidRPr="00CF5304">
        <w:rPr>
          <w:rFonts w:eastAsia="Times New Roman" w:cs="Times New Roman"/>
          <w:b/>
          <w:bCs/>
          <w:rtl/>
          <w:lang w:eastAsia="de-DE"/>
        </w:rPr>
        <w:t>יַעֲקֹב</w:t>
      </w:r>
      <w:r w:rsidRPr="00CF5304">
        <w:rPr>
          <w:rFonts w:eastAsia="Times New Roman" w:cs="Times New Roman"/>
          <w:rtl/>
          <w:lang w:eastAsia="de-DE"/>
        </w:rPr>
        <w:t xml:space="preserve"> </w:t>
      </w:r>
      <w:r w:rsidRPr="00CF5304">
        <w:rPr>
          <w:rFonts w:eastAsia="Times New Roman" w:cs="Times New Roman"/>
          <w:lang w:eastAsia="de-DE"/>
        </w:rPr>
        <w:t>(Eigenname „Jakob") spricht das Volk direkt an.</w:t>
      </w:r>
    </w:p>
    <w:p w14:paraId="326DB5F3"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parallele Struktur </w:t>
      </w:r>
      <w:r w:rsidRPr="00CF5304">
        <w:rPr>
          <w:rFonts w:eastAsia="Times New Roman" w:cs="Times New Roman"/>
          <w:b/>
          <w:bCs/>
          <w:rtl/>
          <w:lang w:eastAsia="de-DE"/>
        </w:rPr>
        <w:t>מִשְׁכְּנֹתֶיךָ יִשְׂרָאֵל</w:t>
      </w:r>
      <w:r w:rsidRPr="00CF5304">
        <w:rPr>
          <w:rFonts w:eastAsia="Times New Roman" w:cs="Times New Roman"/>
          <w:rtl/>
          <w:lang w:eastAsia="de-DE"/>
        </w:rPr>
        <w:t xml:space="preserve"> </w:t>
      </w:r>
      <w:r w:rsidRPr="00CF5304">
        <w:rPr>
          <w:rFonts w:eastAsia="Times New Roman" w:cs="Times New Roman"/>
          <w:lang w:eastAsia="de-DE"/>
        </w:rPr>
        <w:t xml:space="preserve">verwendet das Nomen </w:t>
      </w:r>
      <w:r w:rsidRPr="00CF5304">
        <w:rPr>
          <w:rFonts w:eastAsia="Times New Roman" w:cs="Times New Roman"/>
          <w:b/>
          <w:bCs/>
          <w:rtl/>
          <w:lang w:eastAsia="de-DE"/>
        </w:rPr>
        <w:t>מִשְׁכְּנֹתֶיךָ</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מִשְׁכָּן</w:t>
      </w:r>
      <w:r w:rsidRPr="00CF5304">
        <w:rPr>
          <w:rFonts w:eastAsia="Times New Roman" w:cs="Times New Roman"/>
          <w:lang w:eastAsia="de-DE"/>
        </w:rPr>
        <w:t xml:space="preserve">, „Wohnstätte, Wohnung", mit Suffix 2. m. Sg., „deine Wohnungen") als Synonym zu </w:t>
      </w:r>
      <w:r w:rsidRPr="00CF5304">
        <w:rPr>
          <w:rFonts w:eastAsia="Times New Roman" w:cs="Times New Roman"/>
          <w:b/>
          <w:bCs/>
          <w:rtl/>
          <w:lang w:eastAsia="de-DE"/>
        </w:rPr>
        <w:t>אֹהָלֶיךָ</w:t>
      </w:r>
      <w:r w:rsidRPr="00CF5304">
        <w:rPr>
          <w:rFonts w:eastAsia="Times New Roman" w:cs="Times New Roman"/>
          <w:lang w:eastAsia="de-DE"/>
        </w:rPr>
        <w:t xml:space="preserve">. Der Vokativ </w:t>
      </w:r>
      <w:r w:rsidRPr="00CF5304">
        <w:rPr>
          <w:rFonts w:eastAsia="Times New Roman" w:cs="Times New Roman"/>
          <w:b/>
          <w:bCs/>
          <w:rtl/>
          <w:lang w:eastAsia="de-DE"/>
        </w:rPr>
        <w:t>יִשְׂרָאֵל</w:t>
      </w:r>
      <w:r w:rsidRPr="00CF5304">
        <w:rPr>
          <w:rFonts w:eastAsia="Times New Roman" w:cs="Times New Roman"/>
          <w:rtl/>
          <w:lang w:eastAsia="de-DE"/>
        </w:rPr>
        <w:t xml:space="preserve"> </w:t>
      </w:r>
      <w:r w:rsidRPr="00CF5304">
        <w:rPr>
          <w:rFonts w:eastAsia="Times New Roman" w:cs="Times New Roman"/>
          <w:lang w:eastAsia="de-DE"/>
        </w:rPr>
        <w:t xml:space="preserve">(Eigenname „Israel") ist parallel zu </w:t>
      </w:r>
      <w:r w:rsidRPr="00CF5304">
        <w:rPr>
          <w:rFonts w:eastAsia="Times New Roman" w:cs="Times New Roman"/>
          <w:b/>
          <w:bCs/>
          <w:rtl/>
          <w:lang w:eastAsia="de-DE"/>
        </w:rPr>
        <w:t>יַעֲקֹב</w:t>
      </w:r>
      <w:r w:rsidRPr="00CF5304">
        <w:rPr>
          <w:rFonts w:eastAsia="Times New Roman" w:cs="Times New Roman"/>
          <w:lang w:eastAsia="de-DE"/>
        </w:rPr>
        <w:t xml:space="preserve">. Die beiden Namen </w:t>
      </w:r>
      <w:r w:rsidRPr="00CF5304">
        <w:rPr>
          <w:rFonts w:eastAsia="Times New Roman" w:cs="Times New Roman"/>
          <w:b/>
          <w:bCs/>
          <w:rtl/>
          <w:lang w:eastAsia="de-DE"/>
        </w:rPr>
        <w:t>יַעֲקֹב</w:t>
      </w:r>
      <w:r w:rsidRPr="00CF5304">
        <w:rPr>
          <w:rFonts w:eastAsia="Times New Roman" w:cs="Times New Roman"/>
          <w:rtl/>
          <w:lang w:eastAsia="de-DE"/>
        </w:rPr>
        <w:t xml:space="preserve"> </w:t>
      </w:r>
      <w:r w:rsidRPr="00CF5304">
        <w:rPr>
          <w:rFonts w:eastAsia="Times New Roman" w:cs="Times New Roman"/>
          <w:lang w:eastAsia="de-DE"/>
        </w:rPr>
        <w:t xml:space="preserve">und </w:t>
      </w:r>
      <w:r w:rsidRPr="00CF5304">
        <w:rPr>
          <w:rFonts w:eastAsia="Times New Roman" w:cs="Times New Roman"/>
          <w:b/>
          <w:bCs/>
          <w:rtl/>
          <w:lang w:eastAsia="de-DE"/>
        </w:rPr>
        <w:t>יִשְׂרָאֵל</w:t>
      </w:r>
      <w:r w:rsidRPr="00CF5304">
        <w:rPr>
          <w:rFonts w:eastAsia="Times New Roman" w:cs="Times New Roman"/>
          <w:rtl/>
          <w:lang w:eastAsia="de-DE"/>
        </w:rPr>
        <w:t xml:space="preserve"> </w:t>
      </w:r>
      <w:r w:rsidRPr="00CF5304">
        <w:rPr>
          <w:rFonts w:eastAsia="Times New Roman" w:cs="Times New Roman"/>
          <w:lang w:eastAsia="de-DE"/>
        </w:rPr>
        <w:t>bilden einen synonymen Parallelismus und bezeichnen beide das Volk Israel.</w:t>
      </w:r>
    </w:p>
    <w:p w14:paraId="35EA0B90"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lastRenderedPageBreak/>
        <w:t>Die LXX</w:t>
      </w:r>
      <w:r w:rsidRPr="00CF5304">
        <w:rPr>
          <w:rFonts w:eastAsia="Times New Roman" w:cs="Times New Roman"/>
          <w:lang w:eastAsia="de-DE"/>
        </w:rPr>
        <w:t xml:space="preserve"> übersetzt </w:t>
      </w:r>
      <w:r w:rsidRPr="00CF5304">
        <w:rPr>
          <w:rFonts w:eastAsia="Times New Roman" w:cs="Times New Roman"/>
          <w:b/>
          <w:bCs/>
          <w:rtl/>
          <w:lang w:eastAsia="de-DE"/>
        </w:rPr>
        <w:t>מַה־טֹּבוּ</w:t>
      </w:r>
      <w:r w:rsidRPr="00CF5304">
        <w:rPr>
          <w:rFonts w:eastAsia="Times New Roman" w:cs="Times New Roman"/>
          <w:rtl/>
          <w:lang w:eastAsia="de-DE"/>
        </w:rPr>
        <w:t xml:space="preserve"> </w:t>
      </w:r>
      <w:r w:rsidRPr="00CF5304">
        <w:rPr>
          <w:rFonts w:eastAsia="Times New Roman" w:cs="Times New Roman"/>
          <w:lang w:eastAsia="de-DE"/>
        </w:rPr>
        <w:t xml:space="preserve">mit ὡς καλοί (hōs kaloi, „wie schön"). Die LXX gibt </w:t>
      </w:r>
      <w:r w:rsidRPr="00CF5304">
        <w:rPr>
          <w:rFonts w:eastAsia="Times New Roman" w:cs="Times New Roman"/>
          <w:b/>
          <w:bCs/>
          <w:rtl/>
          <w:lang w:eastAsia="de-DE"/>
        </w:rPr>
        <w:t>אֹהָלֶיךָ</w:t>
      </w:r>
      <w:r w:rsidRPr="00CF5304">
        <w:rPr>
          <w:rFonts w:eastAsia="Times New Roman" w:cs="Times New Roman"/>
          <w:rtl/>
          <w:lang w:eastAsia="de-DE"/>
        </w:rPr>
        <w:t xml:space="preserve"> </w:t>
      </w:r>
      <w:r w:rsidRPr="00CF5304">
        <w:rPr>
          <w:rFonts w:eastAsia="Times New Roman" w:cs="Times New Roman"/>
          <w:lang w:eastAsia="de-DE"/>
        </w:rPr>
        <w:t xml:space="preserve">mit οἱ οἶκοί σου (hoi oikoi sou, „deine Häuser") wieder, was eine Interpretationsverschiebung von Zelten zu festen Häusern darstellt. Für </w:t>
      </w:r>
      <w:r w:rsidRPr="00CF5304">
        <w:rPr>
          <w:rFonts w:eastAsia="Times New Roman" w:cs="Times New Roman"/>
          <w:b/>
          <w:bCs/>
          <w:rtl/>
          <w:lang w:eastAsia="de-DE"/>
        </w:rPr>
        <w:t>מִשְׁכְּנֹתֶיךָ</w:t>
      </w:r>
      <w:r w:rsidRPr="00CF5304">
        <w:rPr>
          <w:rFonts w:eastAsia="Times New Roman" w:cs="Times New Roman"/>
          <w:rtl/>
          <w:lang w:eastAsia="de-DE"/>
        </w:rPr>
        <w:t xml:space="preserve"> </w:t>
      </w:r>
      <w:r w:rsidRPr="00CF5304">
        <w:rPr>
          <w:rFonts w:eastAsia="Times New Roman" w:cs="Times New Roman"/>
          <w:lang w:eastAsia="de-DE"/>
        </w:rPr>
        <w:t>verwendet die LXX αἱ σκηναί σου (hai skēnai sou, „deine Zelte"), was näher am hebräischen Text bleibt.</w:t>
      </w:r>
    </w:p>
    <w:p w14:paraId="6ECA5672"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Satzstruktur besteht aus zwei parallelen Ausrufesätzen im synonymen Parallelismus. Jeder Satz hat die Struktur: Ausrufepartikel </w:t>
      </w:r>
      <w:r w:rsidRPr="00CF5304">
        <w:rPr>
          <w:rFonts w:eastAsia="Times New Roman" w:cs="Times New Roman"/>
          <w:b/>
          <w:bCs/>
          <w:rtl/>
          <w:lang w:eastAsia="de-DE"/>
        </w:rPr>
        <w:t>מַה</w:t>
      </w:r>
      <w:r w:rsidRPr="00CF5304">
        <w:rPr>
          <w:rFonts w:eastAsia="Times New Roman" w:cs="Times New Roman"/>
          <w:rtl/>
          <w:lang w:eastAsia="de-DE"/>
        </w:rPr>
        <w:t xml:space="preserve"> </w:t>
      </w:r>
      <w:r w:rsidRPr="00CF5304">
        <w:rPr>
          <w:rFonts w:eastAsia="Times New Roman" w:cs="Times New Roman"/>
          <w:lang w:eastAsia="de-DE"/>
        </w:rPr>
        <w:t xml:space="preserve">+ Prädikat + Subjekt + Vokativ. Der erste Satz </w:t>
      </w:r>
      <w:r w:rsidRPr="00CF5304">
        <w:rPr>
          <w:rFonts w:eastAsia="Times New Roman" w:cs="Times New Roman"/>
          <w:b/>
          <w:bCs/>
          <w:rtl/>
          <w:lang w:eastAsia="de-DE"/>
        </w:rPr>
        <w:t>מַה־טֹּבוּ אֹהָלֶיךָ יַעֲקֹב</w:t>
      </w:r>
      <w:r w:rsidRPr="00CF5304">
        <w:rPr>
          <w:rFonts w:eastAsia="Times New Roman" w:cs="Times New Roman"/>
          <w:rtl/>
          <w:lang w:eastAsia="de-DE"/>
        </w:rPr>
        <w:t xml:space="preserve"> </w:t>
      </w:r>
      <w:r w:rsidRPr="00CF5304">
        <w:rPr>
          <w:rFonts w:eastAsia="Times New Roman" w:cs="Times New Roman"/>
          <w:lang w:eastAsia="de-DE"/>
        </w:rPr>
        <w:t xml:space="preserve">entspricht dem zweiten Satz </w:t>
      </w:r>
      <w:r w:rsidRPr="00CF5304">
        <w:rPr>
          <w:rFonts w:eastAsia="Times New Roman" w:cs="Times New Roman"/>
          <w:b/>
          <w:bCs/>
          <w:rtl/>
          <w:lang w:eastAsia="de-DE"/>
        </w:rPr>
        <w:t>מִשְׁכְּנֹתֶיךָ יִשְׂרָאֵל</w:t>
      </w:r>
      <w:r w:rsidRPr="00CF5304">
        <w:rPr>
          <w:rFonts w:eastAsia="Times New Roman" w:cs="Times New Roman"/>
          <w:lang w:eastAsia="de-DE"/>
        </w:rPr>
        <w:t>, wobei im zweiten Satz das Prädikat elliptisch ausgelassen ist.</w:t>
      </w:r>
    </w:p>
    <w:p w14:paraId="63634A06" w14:textId="2B3A418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Der Vers beginnt das eigentliche Segens</w:t>
      </w:r>
      <w:r w:rsidR="00B513FF">
        <w:rPr>
          <w:rFonts w:eastAsia="Times New Roman" w:cs="Times New Roman"/>
          <w:lang w:eastAsia="de-DE"/>
        </w:rPr>
        <w:t>-Weissagung</w:t>
      </w:r>
      <w:r w:rsidRPr="00CF5304">
        <w:rPr>
          <w:rFonts w:eastAsia="Times New Roman" w:cs="Times New Roman"/>
          <w:lang w:eastAsia="de-DE"/>
        </w:rPr>
        <w:t xml:space="preserve"> mit einem begeisterten Ausruf über die Schönheit und Ordnung der israelitischen Lager. Was Bileam beim Aufblicken (V. 2) gesehen hat – Israel </w:t>
      </w:r>
      <w:r w:rsidRPr="00CF5304">
        <w:rPr>
          <w:rFonts w:eastAsia="Times New Roman" w:cs="Times New Roman"/>
          <w:b/>
          <w:bCs/>
          <w:rtl/>
          <w:lang w:eastAsia="de-DE"/>
        </w:rPr>
        <w:t>שֹׁכֵן לִשְׁבָטָיו</w:t>
      </w:r>
      <w:r w:rsidRPr="00CF5304">
        <w:rPr>
          <w:rFonts w:eastAsia="Times New Roman" w:cs="Times New Roman"/>
          <w:rtl/>
          <w:lang w:eastAsia="de-DE"/>
        </w:rPr>
        <w:t xml:space="preserve"> </w:t>
      </w:r>
      <w:r w:rsidRPr="00CF5304">
        <w:rPr>
          <w:rFonts w:eastAsia="Times New Roman" w:cs="Times New Roman"/>
          <w:lang w:eastAsia="de-DE"/>
        </w:rPr>
        <w:t>(„wohnend nach seinen Stämmen") – beeindruckt ihn zutiefst. Die geordnete, stammesmäßige Lagerung spiegelt göttliche Ordnung wider.</w:t>
      </w:r>
    </w:p>
    <w:p w14:paraId="731BB6B2" w14:textId="1C81CFDA"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Doppelbezeichnung </w:t>
      </w:r>
      <w:r w:rsidRPr="00CF5304">
        <w:rPr>
          <w:rFonts w:eastAsia="Times New Roman" w:cs="Times New Roman"/>
          <w:b/>
          <w:bCs/>
          <w:rtl/>
          <w:lang w:eastAsia="de-DE"/>
        </w:rPr>
        <w:t>אֹהָלֶיךָ</w:t>
      </w:r>
      <w:r w:rsidRPr="00CF5304">
        <w:rPr>
          <w:rFonts w:eastAsia="Times New Roman" w:cs="Times New Roman"/>
          <w:rtl/>
          <w:lang w:eastAsia="de-DE"/>
        </w:rPr>
        <w:t xml:space="preserve"> </w:t>
      </w:r>
      <w:r w:rsidRPr="00CF5304">
        <w:rPr>
          <w:rFonts w:eastAsia="Times New Roman" w:cs="Times New Roman"/>
          <w:lang w:eastAsia="de-DE"/>
        </w:rPr>
        <w:t xml:space="preserve">und </w:t>
      </w:r>
      <w:r w:rsidRPr="00CF5304">
        <w:rPr>
          <w:rFonts w:eastAsia="Times New Roman" w:cs="Times New Roman"/>
          <w:b/>
          <w:bCs/>
          <w:rtl/>
          <w:lang w:eastAsia="de-DE"/>
        </w:rPr>
        <w:t>מִשְׁכְּנֹתֶיךָ</w:t>
      </w:r>
      <w:r w:rsidRPr="00CF5304">
        <w:rPr>
          <w:rFonts w:eastAsia="Times New Roman" w:cs="Times New Roman"/>
          <w:rtl/>
          <w:lang w:eastAsia="de-DE"/>
        </w:rPr>
        <w:t xml:space="preserve"> </w:t>
      </w:r>
      <w:r w:rsidRPr="00CF5304">
        <w:rPr>
          <w:rFonts w:eastAsia="Times New Roman" w:cs="Times New Roman"/>
          <w:lang w:eastAsia="de-DE"/>
        </w:rPr>
        <w:t xml:space="preserve">betont verschiedene Aspekte der Wohnstätten: </w:t>
      </w:r>
      <w:r w:rsidRPr="00CF5304">
        <w:rPr>
          <w:rFonts w:eastAsia="Times New Roman" w:cs="Times New Roman"/>
          <w:b/>
          <w:bCs/>
          <w:rtl/>
          <w:lang w:eastAsia="de-DE"/>
        </w:rPr>
        <w:t>אֹהֶל</w:t>
      </w:r>
      <w:r w:rsidRPr="00CF5304">
        <w:rPr>
          <w:rFonts w:eastAsia="Times New Roman" w:cs="Times New Roman"/>
          <w:rtl/>
          <w:lang w:eastAsia="de-DE"/>
        </w:rPr>
        <w:t xml:space="preserve"> </w:t>
      </w:r>
      <w:r w:rsidRPr="00CF5304">
        <w:rPr>
          <w:rFonts w:eastAsia="Times New Roman" w:cs="Times New Roman"/>
          <w:lang w:eastAsia="de-DE"/>
        </w:rPr>
        <w:t xml:space="preserve">bezeichnet das nomadische Zelt, während </w:t>
      </w:r>
      <w:r w:rsidRPr="00CF5304">
        <w:rPr>
          <w:rFonts w:eastAsia="Times New Roman" w:cs="Times New Roman"/>
          <w:b/>
          <w:bCs/>
          <w:rtl/>
          <w:lang w:eastAsia="de-DE"/>
        </w:rPr>
        <w:t>מִשְׁכָּן</w:t>
      </w:r>
      <w:r w:rsidRPr="00CF5304">
        <w:rPr>
          <w:rFonts w:eastAsia="Times New Roman" w:cs="Times New Roman"/>
          <w:rtl/>
          <w:lang w:eastAsia="de-DE"/>
        </w:rPr>
        <w:t xml:space="preserve"> </w:t>
      </w:r>
      <w:r w:rsidRPr="00CF5304">
        <w:rPr>
          <w:rFonts w:eastAsia="Times New Roman" w:cs="Times New Roman"/>
          <w:lang w:eastAsia="de-DE"/>
        </w:rPr>
        <w:t xml:space="preserve">(von der Wurzel </w:t>
      </w:r>
      <w:r w:rsidRPr="00CF5304">
        <w:rPr>
          <w:rFonts w:eastAsia="Times New Roman" w:cs="Times New Roman"/>
          <w:rtl/>
          <w:lang w:eastAsia="de-DE"/>
        </w:rPr>
        <w:t>שׁכן</w:t>
      </w:r>
      <w:r w:rsidRPr="00CF5304">
        <w:rPr>
          <w:rFonts w:eastAsia="Times New Roman" w:cs="Times New Roman"/>
          <w:lang w:eastAsia="de-DE"/>
        </w:rPr>
        <w:t xml:space="preserve">, „wohnen") die Wohnstätte als Ort der Gegenwart betont. Die direkte Anrede an </w:t>
      </w:r>
      <w:r w:rsidRPr="00CF5304">
        <w:rPr>
          <w:rFonts w:eastAsia="Times New Roman" w:cs="Times New Roman"/>
          <w:b/>
          <w:bCs/>
          <w:rtl/>
          <w:lang w:eastAsia="de-DE"/>
        </w:rPr>
        <w:t>יַעֲקֹב</w:t>
      </w:r>
      <w:r w:rsidRPr="00CF5304">
        <w:rPr>
          <w:rFonts w:eastAsia="Times New Roman" w:cs="Times New Roman"/>
          <w:rtl/>
          <w:lang w:eastAsia="de-DE"/>
        </w:rPr>
        <w:t xml:space="preserve"> </w:t>
      </w:r>
      <w:r w:rsidRPr="00CF5304">
        <w:rPr>
          <w:rFonts w:eastAsia="Times New Roman" w:cs="Times New Roman"/>
          <w:lang w:eastAsia="de-DE"/>
        </w:rPr>
        <w:t xml:space="preserve">und </w:t>
      </w:r>
      <w:r w:rsidRPr="00CF5304">
        <w:rPr>
          <w:rFonts w:eastAsia="Times New Roman" w:cs="Times New Roman"/>
          <w:b/>
          <w:bCs/>
          <w:rtl/>
          <w:lang w:eastAsia="de-DE"/>
        </w:rPr>
        <w:t>יִשְׂרָאֵל</w:t>
      </w:r>
      <w:r w:rsidRPr="00CF5304">
        <w:rPr>
          <w:rFonts w:eastAsia="Times New Roman" w:cs="Times New Roman"/>
          <w:rtl/>
          <w:lang w:eastAsia="de-DE"/>
        </w:rPr>
        <w:t xml:space="preserve"> </w:t>
      </w:r>
      <w:r w:rsidRPr="00CF5304">
        <w:rPr>
          <w:rFonts w:eastAsia="Times New Roman" w:cs="Times New Roman"/>
          <w:lang w:eastAsia="de-DE"/>
        </w:rPr>
        <w:t>macht d</w:t>
      </w:r>
      <w:r w:rsidR="00B513FF">
        <w:rPr>
          <w:rFonts w:eastAsia="Times New Roman" w:cs="Times New Roman"/>
          <w:lang w:eastAsia="de-DE"/>
        </w:rPr>
        <w:t>ie</w:t>
      </w:r>
      <w:r w:rsidRPr="00CF5304">
        <w:rPr>
          <w:rFonts w:eastAsia="Times New Roman" w:cs="Times New Roman"/>
          <w:lang w:eastAsia="de-DE"/>
        </w:rPr>
        <w:t xml:space="preserve"> </w:t>
      </w:r>
      <w:r w:rsidR="00B513FF">
        <w:rPr>
          <w:rFonts w:eastAsia="Times New Roman" w:cs="Times New Roman"/>
          <w:lang w:eastAsia="de-DE"/>
        </w:rPr>
        <w:t>Weissagung</w:t>
      </w:r>
      <w:r w:rsidRPr="00CF5304">
        <w:rPr>
          <w:rFonts w:eastAsia="Times New Roman" w:cs="Times New Roman"/>
          <w:lang w:eastAsia="de-DE"/>
        </w:rPr>
        <w:t xml:space="preserve"> persönlich und unmittelbar. Dieser Vers wurde später in die jüdische Liturgie aufgenommen als Eröffnung des Morgengebets (</w:t>
      </w:r>
      <w:r w:rsidRPr="00CF5304">
        <w:rPr>
          <w:rFonts w:eastAsia="Times New Roman" w:cs="Times New Roman"/>
          <w:b/>
          <w:bCs/>
          <w:rtl/>
          <w:lang w:eastAsia="de-DE"/>
        </w:rPr>
        <w:t>מַה טֹּבוּ</w:t>
      </w:r>
      <w:r w:rsidRPr="00CF5304">
        <w:rPr>
          <w:rFonts w:eastAsia="Times New Roman" w:cs="Times New Roman"/>
          <w:lang w:eastAsia="de-DE"/>
        </w:rPr>
        <w:t>, Ma Tovu), was seine bleibende Bedeutung unterstreicht.</w:t>
      </w:r>
    </w:p>
    <w:p w14:paraId="093CC7CC" w14:textId="77777777" w:rsidR="00CF5304" w:rsidRPr="00CF5304" w:rsidRDefault="00CF5304" w:rsidP="00CF5304">
      <w:pPr>
        <w:spacing w:before="100" w:beforeAutospacing="1" w:after="100" w:afterAutospacing="1" w:line="240" w:lineRule="auto"/>
        <w:outlineLvl w:val="0"/>
        <w:rPr>
          <w:rFonts w:eastAsia="Times New Roman" w:cs="Times New Roman"/>
          <w:b/>
          <w:bCs/>
          <w:kern w:val="36"/>
          <w:sz w:val="48"/>
          <w:szCs w:val="48"/>
          <w:lang w:eastAsia="de-DE"/>
        </w:rPr>
      </w:pPr>
      <w:r w:rsidRPr="00CF5304">
        <w:rPr>
          <w:rFonts w:eastAsia="Times New Roman" w:cs="Times New Roman"/>
          <w:b/>
          <w:bCs/>
          <w:kern w:val="36"/>
          <w:sz w:val="48"/>
          <w:szCs w:val="48"/>
          <w:lang w:eastAsia="de-DE"/>
        </w:rPr>
        <w:t>Numeri 24,6</w:t>
      </w:r>
    </w:p>
    <w:p w14:paraId="7BC99DC5"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Hebräisch:</w:t>
      </w:r>
      <w:r w:rsidRPr="00CF5304">
        <w:rPr>
          <w:rFonts w:eastAsia="Times New Roman" w:cs="Times New Roman"/>
          <w:lang w:eastAsia="de-DE"/>
        </w:rPr>
        <w:t xml:space="preserve"> </w:t>
      </w:r>
      <w:r w:rsidRPr="00CF5304">
        <w:rPr>
          <w:rFonts w:eastAsia="Times New Roman" w:cs="Times New Roman"/>
          <w:rtl/>
          <w:lang w:eastAsia="de-DE"/>
        </w:rPr>
        <w:t>כִּנְחָלִ֣ים נִטָּ֔יוּ כְּגַנֹּ֖ת עֲלֵ֣י נָהָ֑ר כַּאֲהָלִים֙ נָטַ֣ע יְהוָ֔ה כַּאֲרָזִ֖ים עֲלֵי־מָֽיִם׃</w:t>
      </w:r>
    </w:p>
    <w:p w14:paraId="00B68568"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Deutsch:</w:t>
      </w:r>
      <w:r w:rsidRPr="00CF5304">
        <w:rPr>
          <w:rFonts w:eastAsia="Times New Roman" w:cs="Times New Roman"/>
          <w:lang w:eastAsia="de-DE"/>
        </w:rPr>
        <w:t xml:space="preserve"> Wie Bäche sind sie ausgestreckt, wie Gärten am Strom, wie Aloebäume, die der Ewige gepflanzt hat, wie Zedern am Wasser.</w:t>
      </w:r>
    </w:p>
    <w:p w14:paraId="75289D8D" w14:textId="77777777" w:rsidR="00CF5304" w:rsidRPr="00CF5304" w:rsidRDefault="00F329DD" w:rsidP="00CF5304">
      <w:pPr>
        <w:spacing w:after="0" w:line="240" w:lineRule="auto"/>
        <w:rPr>
          <w:rFonts w:eastAsia="Times New Roman" w:cs="Times New Roman"/>
          <w:lang w:eastAsia="de-DE"/>
        </w:rPr>
      </w:pPr>
      <w:r>
        <w:rPr>
          <w:rFonts w:eastAsia="Times New Roman" w:cs="Times New Roman"/>
          <w:noProof/>
          <w:lang w:eastAsia="de-DE"/>
        </w:rPr>
        <w:pict w14:anchorId="28BD2F04">
          <v:rect id="_x0000_i1831" style="width:0;height:1.5pt" o:hralign="center" o:hrstd="t" o:hr="t" fillcolor="#a0a0a0" stroked="f"/>
        </w:pict>
      </w:r>
    </w:p>
    <w:p w14:paraId="323121F6"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Kommentar:</w:t>
      </w:r>
      <w:r w:rsidRPr="00CF5304">
        <w:rPr>
          <w:rFonts w:eastAsia="Times New Roman" w:cs="Times New Roman"/>
          <w:lang w:eastAsia="de-DE"/>
        </w:rPr>
        <w:t xml:space="preserve"> Die Präposition </w:t>
      </w:r>
      <w:r w:rsidRPr="00CF5304">
        <w:rPr>
          <w:rFonts w:eastAsia="Times New Roman" w:cs="Times New Roman"/>
          <w:b/>
          <w:bCs/>
          <w:rtl/>
          <w:lang w:eastAsia="de-DE"/>
        </w:rPr>
        <w:t>כְּ</w:t>
      </w:r>
      <w:r w:rsidRPr="00CF5304">
        <w:rPr>
          <w:rFonts w:eastAsia="Times New Roman" w:cs="Times New Roman"/>
          <w:rtl/>
          <w:lang w:eastAsia="de-DE"/>
        </w:rPr>
        <w:t xml:space="preserve"> </w:t>
      </w:r>
      <w:r w:rsidRPr="00CF5304">
        <w:rPr>
          <w:rFonts w:eastAsia="Times New Roman" w:cs="Times New Roman"/>
          <w:lang w:eastAsia="de-DE"/>
        </w:rPr>
        <w:t xml:space="preserve">(„wie") mit dem Nomen </w:t>
      </w:r>
      <w:r w:rsidRPr="00CF5304">
        <w:rPr>
          <w:rFonts w:eastAsia="Times New Roman" w:cs="Times New Roman"/>
          <w:b/>
          <w:bCs/>
          <w:rtl/>
          <w:lang w:eastAsia="de-DE"/>
        </w:rPr>
        <w:t>נְחָלִים</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נַחַל</w:t>
      </w:r>
      <w:r w:rsidRPr="00CF5304">
        <w:rPr>
          <w:rFonts w:eastAsia="Times New Roman" w:cs="Times New Roman"/>
          <w:lang w:eastAsia="de-DE"/>
        </w:rPr>
        <w:t xml:space="preserve">, „Bach, Wadi, Tal") leitet den ersten Vergleich ein. Das Verb </w:t>
      </w:r>
      <w:r w:rsidRPr="00CF5304">
        <w:rPr>
          <w:rFonts w:eastAsia="Times New Roman" w:cs="Times New Roman"/>
          <w:b/>
          <w:bCs/>
          <w:rtl/>
          <w:lang w:eastAsia="de-DE"/>
        </w:rPr>
        <w:t>נִטָּיוּ</w:t>
      </w:r>
      <w:r w:rsidRPr="00CF5304">
        <w:rPr>
          <w:rFonts w:eastAsia="Times New Roman" w:cs="Times New Roman"/>
          <w:rtl/>
          <w:lang w:eastAsia="de-DE"/>
        </w:rPr>
        <w:t xml:space="preserve"> </w:t>
      </w:r>
      <w:r w:rsidRPr="00CF5304">
        <w:rPr>
          <w:rFonts w:eastAsia="Times New Roman" w:cs="Times New Roman"/>
          <w:lang w:eastAsia="de-DE"/>
        </w:rPr>
        <w:t xml:space="preserve">(Nifal Perfekt 3. c. Pl. von </w:t>
      </w:r>
      <w:r w:rsidRPr="00CF5304">
        <w:rPr>
          <w:rFonts w:eastAsia="Times New Roman" w:cs="Times New Roman"/>
          <w:rtl/>
          <w:lang w:eastAsia="de-DE"/>
        </w:rPr>
        <w:t>נטה</w:t>
      </w:r>
      <w:r w:rsidRPr="00CF5304">
        <w:rPr>
          <w:rFonts w:eastAsia="Times New Roman" w:cs="Times New Roman"/>
          <w:lang w:eastAsia="de-DE"/>
        </w:rPr>
        <w:t>, „sie sind ausgestreckt, ausgebreitet") beschreibt durch die Nifal-Form das Sich-Ausstrecken der Täler oder Bäche. Die Vorstellung ist die von sich ausbreitenden, fruchtbaren Tälern oder Wasserläufen.</w:t>
      </w:r>
    </w:p>
    <w:p w14:paraId="21F0A36D"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parallele Struktur </w:t>
      </w:r>
      <w:r w:rsidRPr="00CF5304">
        <w:rPr>
          <w:rFonts w:eastAsia="Times New Roman" w:cs="Times New Roman"/>
          <w:b/>
          <w:bCs/>
          <w:rtl/>
          <w:lang w:eastAsia="de-DE"/>
        </w:rPr>
        <w:t>כְּגַנֹּת עֲלֵי נָהָר</w:t>
      </w:r>
      <w:r w:rsidRPr="00CF5304">
        <w:rPr>
          <w:rFonts w:eastAsia="Times New Roman" w:cs="Times New Roman"/>
          <w:rtl/>
          <w:lang w:eastAsia="de-DE"/>
        </w:rPr>
        <w:t xml:space="preserve"> </w:t>
      </w:r>
      <w:r w:rsidRPr="00CF5304">
        <w:rPr>
          <w:rFonts w:eastAsia="Times New Roman" w:cs="Times New Roman"/>
          <w:lang w:eastAsia="de-DE"/>
        </w:rPr>
        <w:t xml:space="preserve">verwendet die Präposition </w:t>
      </w:r>
      <w:r w:rsidRPr="00CF5304">
        <w:rPr>
          <w:rFonts w:eastAsia="Times New Roman" w:cs="Times New Roman"/>
          <w:b/>
          <w:bCs/>
          <w:rtl/>
          <w:lang w:eastAsia="de-DE"/>
        </w:rPr>
        <w:t>כְּ</w:t>
      </w:r>
      <w:r w:rsidRPr="00CF5304">
        <w:rPr>
          <w:rFonts w:eastAsia="Times New Roman" w:cs="Times New Roman"/>
          <w:rtl/>
          <w:lang w:eastAsia="de-DE"/>
        </w:rPr>
        <w:t xml:space="preserve"> </w:t>
      </w:r>
      <w:r w:rsidRPr="00CF5304">
        <w:rPr>
          <w:rFonts w:eastAsia="Times New Roman" w:cs="Times New Roman"/>
          <w:lang w:eastAsia="de-DE"/>
        </w:rPr>
        <w:t xml:space="preserve">mit </w:t>
      </w:r>
      <w:r w:rsidRPr="00CF5304">
        <w:rPr>
          <w:rFonts w:eastAsia="Times New Roman" w:cs="Times New Roman"/>
          <w:b/>
          <w:bCs/>
          <w:rtl/>
          <w:lang w:eastAsia="de-DE"/>
        </w:rPr>
        <w:t>גַּנֹּת</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גַּן</w:t>
      </w:r>
      <w:r w:rsidRPr="00CF5304">
        <w:rPr>
          <w:rFonts w:eastAsia="Times New Roman" w:cs="Times New Roman"/>
          <w:lang w:eastAsia="de-DE"/>
        </w:rPr>
        <w:t xml:space="preserve">, „Garten"). Die Präpositionalphrase </w:t>
      </w:r>
      <w:r w:rsidRPr="00CF5304">
        <w:rPr>
          <w:rFonts w:eastAsia="Times New Roman" w:cs="Times New Roman"/>
          <w:b/>
          <w:bCs/>
          <w:rtl/>
          <w:lang w:eastAsia="de-DE"/>
        </w:rPr>
        <w:t>עֲלֵי נָהָר</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עַל</w:t>
      </w:r>
      <w:r w:rsidRPr="00CF5304">
        <w:rPr>
          <w:rFonts w:eastAsia="Times New Roman" w:cs="Times New Roman"/>
          <w:lang w:eastAsia="de-DE"/>
        </w:rPr>
        <w:t xml:space="preserve"> mit </w:t>
      </w:r>
      <w:r w:rsidRPr="00CF5304">
        <w:rPr>
          <w:rFonts w:eastAsia="Times New Roman" w:cs="Times New Roman"/>
          <w:b/>
          <w:bCs/>
          <w:rtl/>
          <w:lang w:eastAsia="de-DE"/>
        </w:rPr>
        <w:t>נָהָר</w:t>
      </w:r>
      <w:r w:rsidRPr="00CF5304">
        <w:rPr>
          <w:rFonts w:eastAsia="Times New Roman" w:cs="Times New Roman"/>
          <w:lang w:eastAsia="de-DE"/>
        </w:rPr>
        <w:t>, „Strom, Fluss", m. Sg.) bedeutet „an/bei einem Strom". Gärten am Fluss sind besonders fruchtbar und grün – ein Bild paradiesischer Fülle.</w:t>
      </w:r>
    </w:p>
    <w:p w14:paraId="27BA43E6"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dritte Vergleich </w:t>
      </w:r>
      <w:r w:rsidRPr="00CF5304">
        <w:rPr>
          <w:rFonts w:eastAsia="Times New Roman" w:cs="Times New Roman"/>
          <w:b/>
          <w:bCs/>
          <w:rtl/>
          <w:lang w:eastAsia="de-DE"/>
        </w:rPr>
        <w:t>כַּאֲהָלִים נָטַע יְהוָה</w:t>
      </w:r>
      <w:r w:rsidRPr="00CF5304">
        <w:rPr>
          <w:rFonts w:eastAsia="Times New Roman" w:cs="Times New Roman"/>
          <w:rtl/>
          <w:lang w:eastAsia="de-DE"/>
        </w:rPr>
        <w:t xml:space="preserve"> </w:t>
      </w:r>
      <w:r w:rsidRPr="00CF5304">
        <w:rPr>
          <w:rFonts w:eastAsia="Times New Roman" w:cs="Times New Roman"/>
          <w:lang w:eastAsia="de-DE"/>
        </w:rPr>
        <w:t xml:space="preserve">verwendet die Präposition </w:t>
      </w:r>
      <w:r w:rsidRPr="00CF5304">
        <w:rPr>
          <w:rFonts w:eastAsia="Times New Roman" w:cs="Times New Roman"/>
          <w:b/>
          <w:bCs/>
          <w:rtl/>
          <w:lang w:eastAsia="de-DE"/>
        </w:rPr>
        <w:t>כְּ</w:t>
      </w:r>
      <w:r w:rsidRPr="00CF5304">
        <w:rPr>
          <w:rFonts w:eastAsia="Times New Roman" w:cs="Times New Roman"/>
          <w:rtl/>
          <w:lang w:eastAsia="de-DE"/>
        </w:rPr>
        <w:t xml:space="preserve"> </w:t>
      </w:r>
      <w:r w:rsidRPr="00CF5304">
        <w:rPr>
          <w:rFonts w:eastAsia="Times New Roman" w:cs="Times New Roman"/>
          <w:lang w:eastAsia="de-DE"/>
        </w:rPr>
        <w:t xml:space="preserve">mit </w:t>
      </w:r>
      <w:r w:rsidRPr="00CF5304">
        <w:rPr>
          <w:rFonts w:eastAsia="Times New Roman" w:cs="Times New Roman"/>
          <w:b/>
          <w:bCs/>
          <w:rtl/>
          <w:lang w:eastAsia="de-DE"/>
        </w:rPr>
        <w:t>אֲהָלִים</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אֲהָלִים</w:t>
      </w:r>
      <w:r w:rsidRPr="00CF5304">
        <w:rPr>
          <w:rFonts w:eastAsia="Times New Roman" w:cs="Times New Roman"/>
          <w:rtl/>
          <w:lang w:eastAsia="de-DE"/>
        </w:rPr>
        <w:t xml:space="preserve"> </w:t>
      </w:r>
      <w:r w:rsidRPr="00CF5304">
        <w:rPr>
          <w:rFonts w:eastAsia="Times New Roman" w:cs="Times New Roman"/>
          <w:lang w:eastAsia="de-DE"/>
        </w:rPr>
        <w:t xml:space="preserve">oder </w:t>
      </w:r>
      <w:r w:rsidRPr="00CF5304">
        <w:rPr>
          <w:rFonts w:eastAsia="Times New Roman" w:cs="Times New Roman"/>
          <w:b/>
          <w:bCs/>
          <w:rtl/>
          <w:lang w:eastAsia="de-DE"/>
        </w:rPr>
        <w:t>אַהֲלוֹת</w:t>
      </w:r>
      <w:r w:rsidRPr="00CF5304">
        <w:rPr>
          <w:rFonts w:eastAsia="Times New Roman" w:cs="Times New Roman"/>
          <w:lang w:eastAsia="de-DE"/>
        </w:rPr>
        <w:t xml:space="preserve">, ein aromatischer Baum, möglicherweise Aloeholz). Das Verb </w:t>
      </w:r>
      <w:r w:rsidRPr="00CF5304">
        <w:rPr>
          <w:rFonts w:eastAsia="Times New Roman" w:cs="Times New Roman"/>
          <w:b/>
          <w:bCs/>
          <w:rtl/>
          <w:lang w:eastAsia="de-DE"/>
        </w:rPr>
        <w:t>נָטַע</w:t>
      </w:r>
      <w:r w:rsidRPr="00CF5304">
        <w:rPr>
          <w:rFonts w:eastAsia="Times New Roman" w:cs="Times New Roman"/>
          <w:rtl/>
          <w:lang w:eastAsia="de-DE"/>
        </w:rPr>
        <w:t xml:space="preserve"> </w:t>
      </w:r>
      <w:r w:rsidRPr="00CF5304">
        <w:rPr>
          <w:rFonts w:eastAsia="Times New Roman" w:cs="Times New Roman"/>
          <w:lang w:eastAsia="de-DE"/>
        </w:rPr>
        <w:t xml:space="preserve">(Qal Perfekt 3. m. Sg. von </w:t>
      </w:r>
      <w:r w:rsidRPr="00CF5304">
        <w:rPr>
          <w:rFonts w:eastAsia="Times New Roman" w:cs="Times New Roman"/>
          <w:rtl/>
          <w:lang w:eastAsia="de-DE"/>
        </w:rPr>
        <w:t>נטע</w:t>
      </w:r>
      <w:r w:rsidRPr="00CF5304">
        <w:rPr>
          <w:rFonts w:eastAsia="Times New Roman" w:cs="Times New Roman"/>
          <w:lang w:eastAsia="de-DE"/>
        </w:rPr>
        <w:t xml:space="preserve">, „er hat gepflanzt") beschreibt göttliches Wirken. Das Subjekt </w:t>
      </w:r>
      <w:r w:rsidRPr="00CF5304">
        <w:rPr>
          <w:rFonts w:eastAsia="Times New Roman" w:cs="Times New Roman"/>
          <w:b/>
          <w:bCs/>
          <w:rtl/>
          <w:lang w:eastAsia="de-DE"/>
        </w:rPr>
        <w:t>יְהוָה</w:t>
      </w:r>
      <w:r w:rsidRPr="00CF5304">
        <w:rPr>
          <w:rFonts w:eastAsia="Times New Roman" w:cs="Times New Roman"/>
          <w:rtl/>
          <w:lang w:eastAsia="de-DE"/>
        </w:rPr>
        <w:t xml:space="preserve"> </w:t>
      </w:r>
      <w:r w:rsidRPr="00CF5304">
        <w:rPr>
          <w:rFonts w:eastAsia="Times New Roman" w:cs="Times New Roman"/>
          <w:lang w:eastAsia="de-DE"/>
        </w:rPr>
        <w:t>(Gottesname) wird explizit genannt und betont, dass diese Bäume von Gott selbst gepflanzt wurden.</w:t>
      </w:r>
    </w:p>
    <w:p w14:paraId="2FCB83FB"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lastRenderedPageBreak/>
        <w:t xml:space="preserve">Der vierte Vergleich </w:t>
      </w:r>
      <w:r w:rsidRPr="00CF5304">
        <w:rPr>
          <w:rFonts w:eastAsia="Times New Roman" w:cs="Times New Roman"/>
          <w:b/>
          <w:bCs/>
          <w:rtl/>
          <w:lang w:eastAsia="de-DE"/>
        </w:rPr>
        <w:t>כַּאֲרָזִים עֲלֵי־מָיִם</w:t>
      </w:r>
      <w:r w:rsidRPr="00CF5304">
        <w:rPr>
          <w:rFonts w:eastAsia="Times New Roman" w:cs="Times New Roman"/>
          <w:rtl/>
          <w:lang w:eastAsia="de-DE"/>
        </w:rPr>
        <w:t xml:space="preserve"> </w:t>
      </w:r>
      <w:r w:rsidRPr="00CF5304">
        <w:rPr>
          <w:rFonts w:eastAsia="Times New Roman" w:cs="Times New Roman"/>
          <w:lang w:eastAsia="de-DE"/>
        </w:rPr>
        <w:t xml:space="preserve">verwendet die Präposition </w:t>
      </w:r>
      <w:r w:rsidRPr="00CF5304">
        <w:rPr>
          <w:rFonts w:eastAsia="Times New Roman" w:cs="Times New Roman"/>
          <w:b/>
          <w:bCs/>
          <w:rtl/>
          <w:lang w:eastAsia="de-DE"/>
        </w:rPr>
        <w:t>כְּ</w:t>
      </w:r>
      <w:r w:rsidRPr="00CF5304">
        <w:rPr>
          <w:rFonts w:eastAsia="Times New Roman" w:cs="Times New Roman"/>
          <w:rtl/>
          <w:lang w:eastAsia="de-DE"/>
        </w:rPr>
        <w:t xml:space="preserve"> </w:t>
      </w:r>
      <w:r w:rsidRPr="00CF5304">
        <w:rPr>
          <w:rFonts w:eastAsia="Times New Roman" w:cs="Times New Roman"/>
          <w:lang w:eastAsia="de-DE"/>
        </w:rPr>
        <w:t xml:space="preserve">mit </w:t>
      </w:r>
      <w:r w:rsidRPr="00CF5304">
        <w:rPr>
          <w:rFonts w:eastAsia="Times New Roman" w:cs="Times New Roman"/>
          <w:b/>
          <w:bCs/>
          <w:rtl/>
          <w:lang w:eastAsia="de-DE"/>
        </w:rPr>
        <w:t>אֲרָזִים</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אֶרֶז</w:t>
      </w:r>
      <w:r w:rsidRPr="00CF5304">
        <w:rPr>
          <w:rFonts w:eastAsia="Times New Roman" w:cs="Times New Roman"/>
          <w:lang w:eastAsia="de-DE"/>
        </w:rPr>
        <w:t xml:space="preserve">, „Zeder"). Die Präpositionalphrase </w:t>
      </w:r>
      <w:r w:rsidRPr="00CF5304">
        <w:rPr>
          <w:rFonts w:eastAsia="Times New Roman" w:cs="Times New Roman"/>
          <w:b/>
          <w:bCs/>
          <w:rtl/>
          <w:lang w:eastAsia="de-DE"/>
        </w:rPr>
        <w:t>עֲלֵי־מָיִם</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עַל</w:t>
      </w:r>
      <w:r w:rsidRPr="00CF5304">
        <w:rPr>
          <w:rFonts w:eastAsia="Times New Roman" w:cs="Times New Roman"/>
          <w:lang w:eastAsia="de-DE"/>
        </w:rPr>
        <w:t xml:space="preserve"> mit </w:t>
      </w:r>
      <w:r w:rsidRPr="00CF5304">
        <w:rPr>
          <w:rFonts w:eastAsia="Times New Roman" w:cs="Times New Roman"/>
          <w:b/>
          <w:bCs/>
          <w:rtl/>
          <w:lang w:eastAsia="de-DE"/>
        </w:rPr>
        <w:t>מַיִם</w:t>
      </w:r>
      <w:r w:rsidRPr="00CF5304">
        <w:rPr>
          <w:rFonts w:eastAsia="Times New Roman" w:cs="Times New Roman"/>
          <w:lang w:eastAsia="de-DE"/>
        </w:rPr>
        <w:t>, „Wasser", m. Pl.) bedeutet „am/beim Wasser". Zedern am Wasser sind außergewöhnlich mächtig und langlebig. Die Zeder, besonders die Libanon-Zeder, ist in der Bibel Symbol für Stärke, Majestät und Beständigkeit.</w:t>
      </w:r>
    </w:p>
    <w:p w14:paraId="2D92FB38"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Die LXX</w:t>
      </w:r>
      <w:r w:rsidRPr="00CF5304">
        <w:rPr>
          <w:rFonts w:eastAsia="Times New Roman" w:cs="Times New Roman"/>
          <w:lang w:eastAsia="de-DE"/>
        </w:rPr>
        <w:t xml:space="preserve"> übersetzt </w:t>
      </w:r>
      <w:r w:rsidRPr="00CF5304">
        <w:rPr>
          <w:rFonts w:eastAsia="Times New Roman" w:cs="Times New Roman"/>
          <w:b/>
          <w:bCs/>
          <w:rtl/>
          <w:lang w:eastAsia="de-DE"/>
        </w:rPr>
        <w:t>נְחָלִים</w:t>
      </w:r>
      <w:r w:rsidRPr="00CF5304">
        <w:rPr>
          <w:rFonts w:eastAsia="Times New Roman" w:cs="Times New Roman"/>
          <w:rtl/>
          <w:lang w:eastAsia="de-DE"/>
        </w:rPr>
        <w:t xml:space="preserve"> </w:t>
      </w:r>
      <w:r w:rsidRPr="00CF5304">
        <w:rPr>
          <w:rFonts w:eastAsia="Times New Roman" w:cs="Times New Roman"/>
          <w:lang w:eastAsia="de-DE"/>
        </w:rPr>
        <w:t xml:space="preserve">mit φάραγγες (pharanges, „Schluchten"). Die LXX gibt </w:t>
      </w:r>
      <w:r w:rsidRPr="00CF5304">
        <w:rPr>
          <w:rFonts w:eastAsia="Times New Roman" w:cs="Times New Roman"/>
          <w:b/>
          <w:bCs/>
          <w:rtl/>
          <w:lang w:eastAsia="de-DE"/>
        </w:rPr>
        <w:t>נִטָּיוּ</w:t>
      </w:r>
      <w:r w:rsidRPr="00CF5304">
        <w:rPr>
          <w:rFonts w:eastAsia="Times New Roman" w:cs="Times New Roman"/>
          <w:rtl/>
          <w:lang w:eastAsia="de-DE"/>
        </w:rPr>
        <w:t xml:space="preserve"> </w:t>
      </w:r>
      <w:r w:rsidRPr="00CF5304">
        <w:rPr>
          <w:rFonts w:eastAsia="Times New Roman" w:cs="Times New Roman"/>
          <w:lang w:eastAsia="de-DE"/>
        </w:rPr>
        <w:t xml:space="preserve">mit κατασκιάζουσαι (kataskiazousai, „beschattend") wieder, was eine interpretative Übersetzung darstellt. Für </w:t>
      </w:r>
      <w:r w:rsidRPr="00CF5304">
        <w:rPr>
          <w:rFonts w:eastAsia="Times New Roman" w:cs="Times New Roman"/>
          <w:b/>
          <w:bCs/>
          <w:rtl/>
          <w:lang w:eastAsia="de-DE"/>
        </w:rPr>
        <w:t>גַּנֹּת עֲלֵי נָהָר</w:t>
      </w:r>
      <w:r w:rsidRPr="00CF5304">
        <w:rPr>
          <w:rFonts w:eastAsia="Times New Roman" w:cs="Times New Roman"/>
          <w:rtl/>
          <w:lang w:eastAsia="de-DE"/>
        </w:rPr>
        <w:t xml:space="preserve"> </w:t>
      </w:r>
      <w:r w:rsidRPr="00CF5304">
        <w:rPr>
          <w:rFonts w:eastAsia="Times New Roman" w:cs="Times New Roman"/>
          <w:lang w:eastAsia="de-DE"/>
        </w:rPr>
        <w:t xml:space="preserve">verwendet die LXX ὡς παράδεισοι ἐφ' ὕδατος (hōs paradeisoi eph' hydatos, „wie Paradiese auf Wasser"). Die LXX übersetzt </w:t>
      </w:r>
      <w:r w:rsidRPr="00CF5304">
        <w:rPr>
          <w:rFonts w:eastAsia="Times New Roman" w:cs="Times New Roman"/>
          <w:b/>
          <w:bCs/>
          <w:rtl/>
          <w:lang w:eastAsia="de-DE"/>
        </w:rPr>
        <w:t>אֲהָלִים</w:t>
      </w:r>
      <w:r w:rsidRPr="00CF5304">
        <w:rPr>
          <w:rFonts w:eastAsia="Times New Roman" w:cs="Times New Roman"/>
          <w:rtl/>
          <w:lang w:eastAsia="de-DE"/>
        </w:rPr>
        <w:t xml:space="preserve"> </w:t>
      </w:r>
      <w:r w:rsidRPr="00CF5304">
        <w:rPr>
          <w:rFonts w:eastAsia="Times New Roman" w:cs="Times New Roman"/>
          <w:lang w:eastAsia="de-DE"/>
        </w:rPr>
        <w:t xml:space="preserve">mit σκηναί (skēnai, „Zelte"), was eine Verwechslung mit </w:t>
      </w:r>
      <w:r w:rsidRPr="00CF5304">
        <w:rPr>
          <w:rFonts w:eastAsia="Times New Roman" w:cs="Times New Roman"/>
          <w:b/>
          <w:bCs/>
          <w:rtl/>
          <w:lang w:eastAsia="de-DE"/>
        </w:rPr>
        <w:t>אֹהָלִים</w:t>
      </w:r>
      <w:r w:rsidRPr="00CF5304">
        <w:rPr>
          <w:rFonts w:eastAsia="Times New Roman" w:cs="Times New Roman"/>
          <w:rtl/>
          <w:lang w:eastAsia="de-DE"/>
        </w:rPr>
        <w:t xml:space="preserve"> </w:t>
      </w:r>
      <w:r w:rsidRPr="00CF5304">
        <w:rPr>
          <w:rFonts w:eastAsia="Times New Roman" w:cs="Times New Roman"/>
          <w:lang w:eastAsia="de-DE"/>
        </w:rPr>
        <w:t xml:space="preserve">zeigt. Für </w:t>
      </w:r>
      <w:r w:rsidRPr="00CF5304">
        <w:rPr>
          <w:rFonts w:eastAsia="Times New Roman" w:cs="Times New Roman"/>
          <w:b/>
          <w:bCs/>
          <w:rtl/>
          <w:lang w:eastAsia="de-DE"/>
        </w:rPr>
        <w:t>אֲרָזִים</w:t>
      </w:r>
      <w:r w:rsidRPr="00CF5304">
        <w:rPr>
          <w:rFonts w:eastAsia="Times New Roman" w:cs="Times New Roman"/>
          <w:rtl/>
          <w:lang w:eastAsia="de-DE"/>
        </w:rPr>
        <w:t xml:space="preserve"> </w:t>
      </w:r>
      <w:r w:rsidRPr="00CF5304">
        <w:rPr>
          <w:rFonts w:eastAsia="Times New Roman" w:cs="Times New Roman"/>
          <w:lang w:eastAsia="de-DE"/>
        </w:rPr>
        <w:t>verwendet die LXX κέδροι (kedroi, „Zedern").</w:t>
      </w:r>
    </w:p>
    <w:p w14:paraId="7ABC4E4F"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Satzstruktur besteht aus vier parallelen Vergleichen, die alle mit </w:t>
      </w:r>
      <w:r w:rsidRPr="00CF5304">
        <w:rPr>
          <w:rFonts w:eastAsia="Times New Roman" w:cs="Times New Roman"/>
          <w:b/>
          <w:bCs/>
          <w:rtl/>
          <w:lang w:eastAsia="de-DE"/>
        </w:rPr>
        <w:t>כְּ</w:t>
      </w:r>
      <w:r w:rsidRPr="00CF5304">
        <w:rPr>
          <w:rFonts w:eastAsia="Times New Roman" w:cs="Times New Roman"/>
          <w:rtl/>
          <w:lang w:eastAsia="de-DE"/>
        </w:rPr>
        <w:t xml:space="preserve"> </w:t>
      </w:r>
      <w:r w:rsidRPr="00CF5304">
        <w:rPr>
          <w:rFonts w:eastAsia="Times New Roman" w:cs="Times New Roman"/>
          <w:lang w:eastAsia="de-DE"/>
        </w:rPr>
        <w:t xml:space="preserve">eingeleitet werden. Der erste Vergleich </w:t>
      </w:r>
      <w:r w:rsidRPr="00CF5304">
        <w:rPr>
          <w:rFonts w:eastAsia="Times New Roman" w:cs="Times New Roman"/>
          <w:b/>
          <w:bCs/>
          <w:rtl/>
          <w:lang w:eastAsia="de-DE"/>
        </w:rPr>
        <w:t>כִּנְחָלִים נִטָּיוּ</w:t>
      </w:r>
      <w:r w:rsidRPr="00CF5304">
        <w:rPr>
          <w:rFonts w:eastAsia="Times New Roman" w:cs="Times New Roman"/>
          <w:rtl/>
          <w:lang w:eastAsia="de-DE"/>
        </w:rPr>
        <w:t xml:space="preserve"> </w:t>
      </w:r>
      <w:r w:rsidRPr="00CF5304">
        <w:rPr>
          <w:rFonts w:eastAsia="Times New Roman" w:cs="Times New Roman"/>
          <w:lang w:eastAsia="de-DE"/>
        </w:rPr>
        <w:t xml:space="preserve">ist ein vollständiger Satz mit Verb. Die folgenden drei Vergleiche sind Nominalsätze ohne explizites Verb: </w:t>
      </w:r>
      <w:r w:rsidRPr="00CF5304">
        <w:rPr>
          <w:rFonts w:eastAsia="Times New Roman" w:cs="Times New Roman"/>
          <w:b/>
          <w:bCs/>
          <w:rtl/>
          <w:lang w:eastAsia="de-DE"/>
        </w:rPr>
        <w:t>כְּגַנֹּת עֲלֵי נָהָר</w:t>
      </w:r>
      <w:r w:rsidRPr="00CF5304">
        <w:rPr>
          <w:rFonts w:eastAsia="Times New Roman" w:cs="Times New Roman"/>
          <w:lang w:eastAsia="de-DE"/>
        </w:rPr>
        <w:t xml:space="preserve">, </w:t>
      </w:r>
      <w:r w:rsidRPr="00CF5304">
        <w:rPr>
          <w:rFonts w:eastAsia="Times New Roman" w:cs="Times New Roman"/>
          <w:b/>
          <w:bCs/>
          <w:rtl/>
          <w:lang w:eastAsia="de-DE"/>
        </w:rPr>
        <w:t>כַּאֲהָלִים נָטַע יְהוָה</w:t>
      </w:r>
      <w:r w:rsidRPr="00CF5304">
        <w:rPr>
          <w:rFonts w:eastAsia="Times New Roman" w:cs="Times New Roman"/>
          <w:lang w:eastAsia="de-DE"/>
        </w:rPr>
        <w:t xml:space="preserve">, und </w:t>
      </w:r>
      <w:r w:rsidRPr="00CF5304">
        <w:rPr>
          <w:rFonts w:eastAsia="Times New Roman" w:cs="Times New Roman"/>
          <w:b/>
          <w:bCs/>
          <w:rtl/>
          <w:lang w:eastAsia="de-DE"/>
        </w:rPr>
        <w:t>כַּאֲרָזִים עֲלֵי־מָיִם</w:t>
      </w:r>
      <w:r w:rsidRPr="00CF5304">
        <w:rPr>
          <w:rFonts w:eastAsia="Times New Roman" w:cs="Times New Roman"/>
          <w:lang w:eastAsia="de-DE"/>
        </w:rPr>
        <w:t>. Alle vier Bilder betonen Fruchtbarkeit, Wachstum und göttlichen Segen durch die Verbindung mit Wasser.</w:t>
      </w:r>
    </w:p>
    <w:p w14:paraId="25152B08"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Der Vers entfaltet durch vier Naturbilder die Herrlichkeit und den Segen Israels. Das erste Bild der sich ausstreckenden Täler/Bäche (</w:t>
      </w:r>
      <w:r w:rsidRPr="00CF5304">
        <w:rPr>
          <w:rFonts w:eastAsia="Times New Roman" w:cs="Times New Roman"/>
          <w:b/>
          <w:bCs/>
          <w:rtl/>
          <w:lang w:eastAsia="de-DE"/>
        </w:rPr>
        <w:t>נְחָלִים נִטָּיוּ</w:t>
      </w:r>
      <w:r w:rsidRPr="00CF5304">
        <w:rPr>
          <w:rFonts w:eastAsia="Times New Roman" w:cs="Times New Roman"/>
          <w:lang w:eastAsia="de-DE"/>
        </w:rPr>
        <w:t>) zeigt die räumliche Ausdehnung Israels. Das zweite Bild der Gärten am Strom (</w:t>
      </w:r>
      <w:r w:rsidRPr="00CF5304">
        <w:rPr>
          <w:rFonts w:eastAsia="Times New Roman" w:cs="Times New Roman"/>
          <w:b/>
          <w:bCs/>
          <w:rtl/>
          <w:lang w:eastAsia="de-DE"/>
        </w:rPr>
        <w:t>גַּנֹּת עֲלֵי נָהָר</w:t>
      </w:r>
      <w:r w:rsidRPr="00CF5304">
        <w:rPr>
          <w:rFonts w:eastAsia="Times New Roman" w:cs="Times New Roman"/>
          <w:lang w:eastAsia="de-DE"/>
        </w:rPr>
        <w:t>) betont Fruchtbarkeit und Schönheit. Das dritte Bild der von Gott gepflanzten Aloebäume (</w:t>
      </w:r>
      <w:r w:rsidRPr="00CF5304">
        <w:rPr>
          <w:rFonts w:eastAsia="Times New Roman" w:cs="Times New Roman"/>
          <w:b/>
          <w:bCs/>
          <w:rtl/>
          <w:lang w:eastAsia="de-DE"/>
        </w:rPr>
        <w:t>אֲהָלִים נָטַע יְהוָה</w:t>
      </w:r>
      <w:r w:rsidRPr="00CF5304">
        <w:rPr>
          <w:rFonts w:eastAsia="Times New Roman" w:cs="Times New Roman"/>
          <w:lang w:eastAsia="de-DE"/>
        </w:rPr>
        <w:t>) unterstreicht die göttliche Fürsorge und den kostbaren, aromatischen Charakter. Das vierte Bild der Zedern am Wasser (</w:t>
      </w:r>
      <w:r w:rsidRPr="00CF5304">
        <w:rPr>
          <w:rFonts w:eastAsia="Times New Roman" w:cs="Times New Roman"/>
          <w:b/>
          <w:bCs/>
          <w:rtl/>
          <w:lang w:eastAsia="de-DE"/>
        </w:rPr>
        <w:t>אֲרָזִים עֲלֵי־מָיִם</w:t>
      </w:r>
      <w:r w:rsidRPr="00CF5304">
        <w:rPr>
          <w:rFonts w:eastAsia="Times New Roman" w:cs="Times New Roman"/>
          <w:lang w:eastAsia="de-DE"/>
        </w:rPr>
        <w:t>) symbolisiert Stärke, Majestät und Beständigkeit.</w:t>
      </w:r>
    </w:p>
    <w:p w14:paraId="38208EF9"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Zentral in allen vier Bildern ist das Motiv des Wassers als Quelle des Lebens und Segens. Israel wird nicht als dürre Wüste gesehen, sondern als von göttlichem Segen bewässertes, fruchtbares Land. Die explizite Erwähnung </w:t>
      </w:r>
      <w:r w:rsidRPr="00CF5304">
        <w:rPr>
          <w:rFonts w:eastAsia="Times New Roman" w:cs="Times New Roman"/>
          <w:b/>
          <w:bCs/>
          <w:rtl/>
          <w:lang w:eastAsia="de-DE"/>
        </w:rPr>
        <w:t>יְהוָה</w:t>
      </w:r>
      <w:r w:rsidRPr="00CF5304">
        <w:rPr>
          <w:rFonts w:eastAsia="Times New Roman" w:cs="Times New Roman"/>
          <w:rtl/>
          <w:lang w:eastAsia="de-DE"/>
        </w:rPr>
        <w:t xml:space="preserve"> </w:t>
      </w:r>
      <w:r w:rsidRPr="00CF5304">
        <w:rPr>
          <w:rFonts w:eastAsia="Times New Roman" w:cs="Times New Roman"/>
          <w:lang w:eastAsia="de-DE"/>
        </w:rPr>
        <w:t>im dritten Vergleich macht deutlich, dass dieser Segen nicht natürlich, sondern göttlich gewirkt ist.</w:t>
      </w:r>
    </w:p>
    <w:p w14:paraId="5419C1B8" w14:textId="77777777" w:rsidR="00CF5304" w:rsidRPr="00CF5304" w:rsidRDefault="00CF5304" w:rsidP="00CF5304">
      <w:pPr>
        <w:spacing w:before="100" w:beforeAutospacing="1" w:after="100" w:afterAutospacing="1" w:line="240" w:lineRule="auto"/>
        <w:outlineLvl w:val="0"/>
        <w:rPr>
          <w:rFonts w:eastAsia="Times New Roman" w:cs="Times New Roman"/>
          <w:b/>
          <w:bCs/>
          <w:kern w:val="36"/>
          <w:sz w:val="48"/>
          <w:szCs w:val="48"/>
          <w:lang w:eastAsia="de-DE"/>
        </w:rPr>
      </w:pPr>
      <w:r w:rsidRPr="00CF5304">
        <w:rPr>
          <w:rFonts w:eastAsia="Times New Roman" w:cs="Times New Roman"/>
          <w:b/>
          <w:bCs/>
          <w:kern w:val="36"/>
          <w:sz w:val="48"/>
          <w:szCs w:val="48"/>
          <w:lang w:eastAsia="de-DE"/>
        </w:rPr>
        <w:t>Numeri 24,7</w:t>
      </w:r>
    </w:p>
    <w:p w14:paraId="7B2992D2"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Hebräisch:</w:t>
      </w:r>
      <w:r w:rsidRPr="00CF5304">
        <w:rPr>
          <w:rFonts w:eastAsia="Times New Roman" w:cs="Times New Roman"/>
          <w:lang w:eastAsia="de-DE"/>
        </w:rPr>
        <w:t xml:space="preserve"> </w:t>
      </w:r>
      <w:r w:rsidRPr="00CF5304">
        <w:rPr>
          <w:rFonts w:eastAsia="Times New Roman" w:cs="Times New Roman"/>
          <w:rtl/>
          <w:lang w:eastAsia="de-DE"/>
        </w:rPr>
        <w:t>יִֽזַּל־מַ֨יִם֙ מִדָּ֣לְיָ֔ו וְזַרְעֹ֖ו בְּמַ֣יִם רַבִּ֑ים וְיָרֹ֤ם מֵֽאֲגַג֙ מַלְכֹּ֔ו וְתִנַּשֵּׂ֖א מַלְכֻתֹֽו׃</w:t>
      </w:r>
    </w:p>
    <w:p w14:paraId="04F28079"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Deutsch:</w:t>
      </w:r>
      <w:r w:rsidRPr="00CF5304">
        <w:rPr>
          <w:rFonts w:eastAsia="Times New Roman" w:cs="Times New Roman"/>
          <w:lang w:eastAsia="de-DE"/>
        </w:rPr>
        <w:t xml:space="preserve"> Wasser fließt aus seinen Eimern, und seine Saat ist an reichlichem Wasser. Und sein König wird höher sein als Agag, und sein Königreich wird sich erheben.</w:t>
      </w:r>
    </w:p>
    <w:p w14:paraId="663750EF" w14:textId="77777777" w:rsidR="00CF5304" w:rsidRPr="00CF5304" w:rsidRDefault="00F329DD" w:rsidP="00CF5304">
      <w:pPr>
        <w:spacing w:after="0" w:line="240" w:lineRule="auto"/>
        <w:rPr>
          <w:rFonts w:eastAsia="Times New Roman" w:cs="Times New Roman"/>
          <w:lang w:eastAsia="de-DE"/>
        </w:rPr>
      </w:pPr>
      <w:r>
        <w:rPr>
          <w:rFonts w:eastAsia="Times New Roman" w:cs="Times New Roman"/>
          <w:noProof/>
          <w:lang w:eastAsia="de-DE"/>
        </w:rPr>
        <w:pict w14:anchorId="7CC17A73">
          <v:rect id="_x0000_i1832" style="width:0;height:1.5pt" o:hralign="center" o:hrstd="t" o:hr="t" fillcolor="#a0a0a0" stroked="f"/>
        </w:pict>
      </w:r>
    </w:p>
    <w:p w14:paraId="7328DCC1"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Kommentar:</w:t>
      </w:r>
      <w:r w:rsidRPr="00CF5304">
        <w:rPr>
          <w:rFonts w:eastAsia="Times New Roman" w:cs="Times New Roman"/>
          <w:lang w:eastAsia="de-DE"/>
        </w:rPr>
        <w:t xml:space="preserve"> Das Verb </w:t>
      </w:r>
      <w:r w:rsidRPr="00CF5304">
        <w:rPr>
          <w:rFonts w:eastAsia="Times New Roman" w:cs="Times New Roman"/>
          <w:b/>
          <w:bCs/>
          <w:rtl/>
          <w:lang w:eastAsia="de-DE"/>
        </w:rPr>
        <w:t>יִזַּל</w:t>
      </w:r>
      <w:r w:rsidRPr="00CF5304">
        <w:rPr>
          <w:rFonts w:eastAsia="Times New Roman" w:cs="Times New Roman"/>
          <w:rtl/>
          <w:lang w:eastAsia="de-DE"/>
        </w:rPr>
        <w:t xml:space="preserve"> </w:t>
      </w:r>
      <w:r w:rsidRPr="00CF5304">
        <w:rPr>
          <w:rFonts w:eastAsia="Times New Roman" w:cs="Times New Roman"/>
          <w:lang w:eastAsia="de-DE"/>
        </w:rPr>
        <w:t xml:space="preserve">(Qal Imperfekt 3. m. Sg. von </w:t>
      </w:r>
      <w:r w:rsidRPr="00CF5304">
        <w:rPr>
          <w:rFonts w:eastAsia="Times New Roman" w:cs="Times New Roman"/>
          <w:rtl/>
          <w:lang w:eastAsia="de-DE"/>
        </w:rPr>
        <w:t>נזל</w:t>
      </w:r>
      <w:r w:rsidRPr="00CF5304">
        <w:rPr>
          <w:rFonts w:eastAsia="Times New Roman" w:cs="Times New Roman"/>
          <w:lang w:eastAsia="de-DE"/>
        </w:rPr>
        <w:t xml:space="preserve">, „es fließt, träufelt") beschreibt das Fließen von Wasser. Das Subjekt </w:t>
      </w:r>
      <w:r w:rsidRPr="00CF5304">
        <w:rPr>
          <w:rFonts w:eastAsia="Times New Roman" w:cs="Times New Roman"/>
          <w:b/>
          <w:bCs/>
          <w:rtl/>
          <w:lang w:eastAsia="de-DE"/>
        </w:rPr>
        <w:t>מַיִם</w:t>
      </w:r>
      <w:r w:rsidRPr="00CF5304">
        <w:rPr>
          <w:rFonts w:eastAsia="Times New Roman" w:cs="Times New Roman"/>
          <w:rtl/>
          <w:lang w:eastAsia="de-DE"/>
        </w:rPr>
        <w:t xml:space="preserve"> </w:t>
      </w:r>
      <w:r w:rsidRPr="00CF5304">
        <w:rPr>
          <w:rFonts w:eastAsia="Times New Roman" w:cs="Times New Roman"/>
          <w:lang w:eastAsia="de-DE"/>
        </w:rPr>
        <w:t xml:space="preserve">(m. Pl., „Wasser") steht nachgestellt. Die Präpositionalphrase </w:t>
      </w:r>
      <w:r w:rsidRPr="00CF5304">
        <w:rPr>
          <w:rFonts w:eastAsia="Times New Roman" w:cs="Times New Roman"/>
          <w:b/>
          <w:bCs/>
          <w:rtl/>
          <w:lang w:eastAsia="de-DE"/>
        </w:rPr>
        <w:t>מִדָּלְיָו</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מִן</w:t>
      </w:r>
      <w:r w:rsidRPr="00CF5304">
        <w:rPr>
          <w:rFonts w:eastAsia="Times New Roman" w:cs="Times New Roman"/>
          <w:lang w:eastAsia="de-DE"/>
        </w:rPr>
        <w:t xml:space="preserve"> mit </w:t>
      </w:r>
      <w:r w:rsidRPr="00CF5304">
        <w:rPr>
          <w:rFonts w:eastAsia="Times New Roman" w:cs="Times New Roman"/>
          <w:b/>
          <w:bCs/>
          <w:rtl/>
          <w:lang w:eastAsia="de-DE"/>
        </w:rPr>
        <w:t>דְּלִי</w:t>
      </w:r>
      <w:r w:rsidRPr="00CF5304">
        <w:rPr>
          <w:rFonts w:eastAsia="Times New Roman" w:cs="Times New Roman"/>
          <w:lang w:eastAsia="de-DE"/>
        </w:rPr>
        <w:t>, „Eimer, Wassereimer", Pl. mit Suffix 3. m. Sg., „aus seinen Eimern") zeigt die Quelle des Wassers. Das Bild der überfließenden Eimer symbolisiert Überfluss und Segen.</w:t>
      </w:r>
    </w:p>
    <w:p w14:paraId="01A9C297" w14:textId="4EDDAB10"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w:t>
      </w:r>
      <w:r w:rsidR="00B513FF">
        <w:rPr>
          <w:rFonts w:eastAsia="Times New Roman" w:cs="Times New Roman"/>
          <w:lang w:eastAsia="de-DE"/>
        </w:rPr>
        <w:t xml:space="preserve">Constructus </w:t>
      </w:r>
      <w:r w:rsidRPr="00CF5304">
        <w:rPr>
          <w:rFonts w:eastAsia="Times New Roman" w:cs="Times New Roman"/>
          <w:lang w:eastAsia="de-DE"/>
        </w:rPr>
        <w:t xml:space="preserve">verbindung </w:t>
      </w:r>
      <w:r w:rsidRPr="00CF5304">
        <w:rPr>
          <w:rFonts w:eastAsia="Times New Roman" w:cs="Times New Roman"/>
          <w:b/>
          <w:bCs/>
          <w:rtl/>
          <w:lang w:eastAsia="de-DE"/>
        </w:rPr>
        <w:t>וְזַרְעוֹ</w:t>
      </w:r>
      <w:r w:rsidRPr="00CF5304">
        <w:rPr>
          <w:rFonts w:eastAsia="Times New Roman" w:cs="Times New Roman"/>
          <w:rtl/>
          <w:lang w:eastAsia="de-DE"/>
        </w:rPr>
        <w:t xml:space="preserve"> </w:t>
      </w:r>
      <w:r w:rsidRPr="00CF5304">
        <w:rPr>
          <w:rFonts w:eastAsia="Times New Roman" w:cs="Times New Roman"/>
          <w:lang w:eastAsia="de-DE"/>
        </w:rPr>
        <w:t xml:space="preserve">(Kopula </w:t>
      </w:r>
      <w:r w:rsidRPr="00CF5304">
        <w:rPr>
          <w:rFonts w:eastAsia="Times New Roman" w:cs="Times New Roman"/>
          <w:rtl/>
          <w:lang w:eastAsia="de-DE"/>
        </w:rPr>
        <w:t>וְ</w:t>
      </w:r>
      <w:r w:rsidRPr="00CF5304">
        <w:rPr>
          <w:rFonts w:eastAsia="Times New Roman" w:cs="Times New Roman"/>
          <w:lang w:eastAsia="de-DE"/>
        </w:rPr>
        <w:t xml:space="preserve"> mit </w:t>
      </w:r>
      <w:r w:rsidRPr="00CF5304">
        <w:rPr>
          <w:rFonts w:eastAsia="Times New Roman" w:cs="Times New Roman"/>
          <w:b/>
          <w:bCs/>
          <w:rtl/>
          <w:lang w:eastAsia="de-DE"/>
        </w:rPr>
        <w:t>זֶרַע</w:t>
      </w:r>
      <w:r w:rsidRPr="00CF5304">
        <w:rPr>
          <w:rFonts w:eastAsia="Times New Roman" w:cs="Times New Roman"/>
          <w:lang w:eastAsia="de-DE"/>
        </w:rPr>
        <w:t xml:space="preserve">, „Same, Nachkommenschaft", m. Sg. mit Suffix 3. m. Sg., „seine Saat/Nachkommenschaft") kann sowohl die landwirtschaftliche Saat als auch bildlich die Nachkommenschaft Israels bezeichnen. Die Präpositionalphrase </w:t>
      </w:r>
      <w:r w:rsidRPr="00CF5304">
        <w:rPr>
          <w:rFonts w:eastAsia="Times New Roman" w:cs="Times New Roman"/>
          <w:b/>
          <w:bCs/>
          <w:rtl/>
          <w:lang w:eastAsia="de-DE"/>
        </w:rPr>
        <w:t xml:space="preserve">בְּמַיִם </w:t>
      </w:r>
      <w:r w:rsidRPr="00CF5304">
        <w:rPr>
          <w:rFonts w:eastAsia="Times New Roman" w:cs="Times New Roman"/>
          <w:b/>
          <w:bCs/>
          <w:rtl/>
          <w:lang w:eastAsia="de-DE"/>
        </w:rPr>
        <w:lastRenderedPageBreak/>
        <w:t>רַבִּים</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בְּ</w:t>
      </w:r>
      <w:r w:rsidRPr="00CF5304">
        <w:rPr>
          <w:rFonts w:eastAsia="Times New Roman" w:cs="Times New Roman"/>
          <w:lang w:eastAsia="de-DE"/>
        </w:rPr>
        <w:t xml:space="preserve"> mit der </w:t>
      </w:r>
      <w:r w:rsidR="00B513FF">
        <w:rPr>
          <w:rFonts w:eastAsia="Times New Roman" w:cs="Times New Roman"/>
          <w:lang w:eastAsia="de-DE"/>
        </w:rPr>
        <w:t xml:space="preserve">Constructus </w:t>
      </w:r>
      <w:r w:rsidRPr="00CF5304">
        <w:rPr>
          <w:rFonts w:eastAsia="Times New Roman" w:cs="Times New Roman"/>
          <w:lang w:eastAsia="de-DE"/>
        </w:rPr>
        <w:t xml:space="preserve">verbindung </w:t>
      </w:r>
      <w:r w:rsidRPr="00CF5304">
        <w:rPr>
          <w:rFonts w:eastAsia="Times New Roman" w:cs="Times New Roman"/>
          <w:b/>
          <w:bCs/>
          <w:rtl/>
          <w:lang w:eastAsia="de-DE"/>
        </w:rPr>
        <w:t>מַיִם רַבִּים</w:t>
      </w:r>
      <w:r w:rsidRPr="00CF5304">
        <w:rPr>
          <w:rFonts w:eastAsia="Times New Roman" w:cs="Times New Roman"/>
          <w:lang w:eastAsia="de-DE"/>
        </w:rPr>
        <w:t xml:space="preserve">, „viele Wasser, reichliche Wasser") beschreibt den Überfluss an Wasser. Das Adjektiv </w:t>
      </w:r>
      <w:r w:rsidRPr="00CF5304">
        <w:rPr>
          <w:rFonts w:eastAsia="Times New Roman" w:cs="Times New Roman"/>
          <w:b/>
          <w:bCs/>
          <w:rtl/>
          <w:lang w:eastAsia="de-DE"/>
        </w:rPr>
        <w:t>רַבִּים</w:t>
      </w:r>
      <w:r w:rsidRPr="00CF5304">
        <w:rPr>
          <w:rFonts w:eastAsia="Times New Roman" w:cs="Times New Roman"/>
          <w:rtl/>
          <w:lang w:eastAsia="de-DE"/>
        </w:rPr>
        <w:t xml:space="preserve"> </w:t>
      </w:r>
      <w:r w:rsidRPr="00CF5304">
        <w:rPr>
          <w:rFonts w:eastAsia="Times New Roman" w:cs="Times New Roman"/>
          <w:lang w:eastAsia="de-DE"/>
        </w:rPr>
        <w:t xml:space="preserve">(Pl. von </w:t>
      </w:r>
      <w:r w:rsidRPr="00CF5304">
        <w:rPr>
          <w:rFonts w:eastAsia="Times New Roman" w:cs="Times New Roman"/>
          <w:b/>
          <w:bCs/>
          <w:rtl/>
          <w:lang w:eastAsia="de-DE"/>
        </w:rPr>
        <w:t>רַב</w:t>
      </w:r>
      <w:r w:rsidRPr="00CF5304">
        <w:rPr>
          <w:rFonts w:eastAsia="Times New Roman" w:cs="Times New Roman"/>
          <w:lang w:eastAsia="de-DE"/>
        </w:rPr>
        <w:t>, „viel, reichlich") betont die Fülle.</w:t>
      </w:r>
    </w:p>
    <w:p w14:paraId="689AD2AD"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Verb </w:t>
      </w:r>
      <w:r w:rsidRPr="00CF5304">
        <w:rPr>
          <w:rFonts w:eastAsia="Times New Roman" w:cs="Times New Roman"/>
          <w:b/>
          <w:bCs/>
          <w:rtl/>
          <w:lang w:eastAsia="de-DE"/>
        </w:rPr>
        <w:t>וְיָרֹם</w:t>
      </w:r>
      <w:r w:rsidRPr="00CF5304">
        <w:rPr>
          <w:rFonts w:eastAsia="Times New Roman" w:cs="Times New Roman"/>
          <w:rtl/>
          <w:lang w:eastAsia="de-DE"/>
        </w:rPr>
        <w:t xml:space="preserve"> </w:t>
      </w:r>
      <w:r w:rsidRPr="00CF5304">
        <w:rPr>
          <w:rFonts w:eastAsia="Times New Roman" w:cs="Times New Roman"/>
          <w:lang w:eastAsia="de-DE"/>
        </w:rPr>
        <w:t xml:space="preserve">(Qal Imperfekt 3. m. Sg. von </w:t>
      </w:r>
      <w:r w:rsidRPr="00CF5304">
        <w:rPr>
          <w:rFonts w:eastAsia="Times New Roman" w:cs="Times New Roman"/>
          <w:rtl/>
          <w:lang w:eastAsia="de-DE"/>
        </w:rPr>
        <w:t>רום</w:t>
      </w:r>
      <w:r w:rsidRPr="00CF5304">
        <w:rPr>
          <w:rFonts w:eastAsia="Times New Roman" w:cs="Times New Roman"/>
          <w:lang w:eastAsia="de-DE"/>
        </w:rPr>
        <w:t xml:space="preserve"> mit Kopula </w:t>
      </w:r>
      <w:r w:rsidRPr="00CF5304">
        <w:rPr>
          <w:rFonts w:eastAsia="Times New Roman" w:cs="Times New Roman"/>
          <w:rtl/>
          <w:lang w:eastAsia="de-DE"/>
        </w:rPr>
        <w:t>וְ</w:t>
      </w:r>
      <w:r w:rsidRPr="00CF5304">
        <w:rPr>
          <w:rFonts w:eastAsia="Times New Roman" w:cs="Times New Roman"/>
          <w:lang w:eastAsia="de-DE"/>
        </w:rPr>
        <w:t xml:space="preserve">, „und es/er wird hoch sein, sich erheben") beschreibt Erhöhung. Die Präpositionalphrase </w:t>
      </w:r>
      <w:r w:rsidRPr="00CF5304">
        <w:rPr>
          <w:rFonts w:eastAsia="Times New Roman" w:cs="Times New Roman"/>
          <w:b/>
          <w:bCs/>
          <w:rtl/>
          <w:lang w:eastAsia="de-DE"/>
        </w:rPr>
        <w:t>מֵאֲגַג</w:t>
      </w:r>
      <w:r w:rsidRPr="00CF5304">
        <w:rPr>
          <w:rFonts w:eastAsia="Times New Roman" w:cs="Times New Roman"/>
          <w:rtl/>
          <w:lang w:eastAsia="de-DE"/>
        </w:rPr>
        <w:t xml:space="preserve"> </w:t>
      </w:r>
      <w:r w:rsidRPr="00CF5304">
        <w:rPr>
          <w:rFonts w:eastAsia="Times New Roman" w:cs="Times New Roman"/>
          <w:lang w:eastAsia="de-DE"/>
        </w:rPr>
        <w:t xml:space="preserve">(Präposition </w:t>
      </w:r>
      <w:r w:rsidRPr="00CF5304">
        <w:rPr>
          <w:rFonts w:eastAsia="Times New Roman" w:cs="Times New Roman"/>
          <w:rtl/>
          <w:lang w:eastAsia="de-DE"/>
        </w:rPr>
        <w:t>מִן</w:t>
      </w:r>
      <w:r w:rsidRPr="00CF5304">
        <w:rPr>
          <w:rFonts w:eastAsia="Times New Roman" w:cs="Times New Roman"/>
          <w:lang w:eastAsia="de-DE"/>
        </w:rPr>
        <w:t xml:space="preserve"> im Vergleich mit </w:t>
      </w:r>
      <w:r w:rsidRPr="00CF5304">
        <w:rPr>
          <w:rFonts w:eastAsia="Times New Roman" w:cs="Times New Roman"/>
          <w:b/>
          <w:bCs/>
          <w:rtl/>
          <w:lang w:eastAsia="de-DE"/>
        </w:rPr>
        <w:t>אֲגַג</w:t>
      </w:r>
      <w:r w:rsidRPr="00CF5304">
        <w:rPr>
          <w:rFonts w:eastAsia="Times New Roman" w:cs="Times New Roman"/>
          <w:lang w:eastAsia="de-DE"/>
        </w:rPr>
        <w:t xml:space="preserve">, Eigenname „Agag") bedeutet „höher als Agag". </w:t>
      </w:r>
      <w:r w:rsidRPr="00CF5304">
        <w:rPr>
          <w:rFonts w:eastAsia="Times New Roman" w:cs="Times New Roman"/>
          <w:b/>
          <w:bCs/>
          <w:rtl/>
          <w:lang w:eastAsia="de-DE"/>
        </w:rPr>
        <w:t>אֲגַג</w:t>
      </w:r>
      <w:r w:rsidRPr="00CF5304">
        <w:rPr>
          <w:rFonts w:eastAsia="Times New Roman" w:cs="Times New Roman"/>
          <w:rtl/>
          <w:lang w:eastAsia="de-DE"/>
        </w:rPr>
        <w:t xml:space="preserve"> </w:t>
      </w:r>
      <w:r w:rsidRPr="00CF5304">
        <w:rPr>
          <w:rFonts w:eastAsia="Times New Roman" w:cs="Times New Roman"/>
          <w:lang w:eastAsia="de-DE"/>
        </w:rPr>
        <w:t>ist der Name oder Titel der amalekitischen Könige (vgl. 1 Sam 15,8). Die Erwähnung Agags zeigt Israels militärische Überlegenheit über seine Feinde.</w:t>
      </w:r>
    </w:p>
    <w:p w14:paraId="16911D0E"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Das Subjekt </w:t>
      </w:r>
      <w:r w:rsidRPr="00CF5304">
        <w:rPr>
          <w:rFonts w:eastAsia="Times New Roman" w:cs="Times New Roman"/>
          <w:b/>
          <w:bCs/>
          <w:rtl/>
          <w:lang w:eastAsia="de-DE"/>
        </w:rPr>
        <w:t>מַלְכּוֹ</w:t>
      </w:r>
      <w:r w:rsidRPr="00CF5304">
        <w:rPr>
          <w:rFonts w:eastAsia="Times New Roman" w:cs="Times New Roman"/>
          <w:rtl/>
          <w:lang w:eastAsia="de-DE"/>
        </w:rPr>
        <w:t xml:space="preserve"> </w:t>
      </w:r>
      <w:r w:rsidRPr="00CF5304">
        <w:rPr>
          <w:rFonts w:eastAsia="Times New Roman" w:cs="Times New Roman"/>
          <w:lang w:eastAsia="de-DE"/>
        </w:rPr>
        <w:t xml:space="preserve">(m. Sg., „sein König", mit Suffix 3. m. Sg.) bezieht sich auf Israels König. Das Verb </w:t>
      </w:r>
      <w:r w:rsidRPr="00CF5304">
        <w:rPr>
          <w:rFonts w:eastAsia="Times New Roman" w:cs="Times New Roman"/>
          <w:b/>
          <w:bCs/>
          <w:rtl/>
          <w:lang w:eastAsia="de-DE"/>
        </w:rPr>
        <w:t>וְתִנַּשֵּׂא</w:t>
      </w:r>
      <w:r w:rsidRPr="00CF5304">
        <w:rPr>
          <w:rFonts w:eastAsia="Times New Roman" w:cs="Times New Roman"/>
          <w:rtl/>
          <w:lang w:eastAsia="de-DE"/>
        </w:rPr>
        <w:t xml:space="preserve"> </w:t>
      </w:r>
      <w:r w:rsidRPr="00CF5304">
        <w:rPr>
          <w:rFonts w:eastAsia="Times New Roman" w:cs="Times New Roman"/>
          <w:lang w:eastAsia="de-DE"/>
        </w:rPr>
        <w:t xml:space="preserve">(Nifal Imperfekt 3. f. Sg. von </w:t>
      </w:r>
      <w:r w:rsidRPr="00CF5304">
        <w:rPr>
          <w:rFonts w:eastAsia="Times New Roman" w:cs="Times New Roman"/>
          <w:rtl/>
          <w:lang w:eastAsia="de-DE"/>
        </w:rPr>
        <w:t>נשׂא</w:t>
      </w:r>
      <w:r w:rsidRPr="00CF5304">
        <w:rPr>
          <w:rFonts w:eastAsia="Times New Roman" w:cs="Times New Roman"/>
          <w:lang w:eastAsia="de-DE"/>
        </w:rPr>
        <w:t xml:space="preserve"> mit Kopula </w:t>
      </w:r>
      <w:r w:rsidRPr="00CF5304">
        <w:rPr>
          <w:rFonts w:eastAsia="Times New Roman" w:cs="Times New Roman"/>
          <w:rtl/>
          <w:lang w:eastAsia="de-DE"/>
        </w:rPr>
        <w:t>וְ</w:t>
      </w:r>
      <w:r w:rsidRPr="00CF5304">
        <w:rPr>
          <w:rFonts w:eastAsia="Times New Roman" w:cs="Times New Roman"/>
          <w:lang w:eastAsia="de-DE"/>
        </w:rPr>
        <w:t xml:space="preserve">, „und sie wird sich erheben") beschreibt Erhöhung. Die Nifal-Form hat reflexive Bedeutung „sich erheben". Das Subjekt </w:t>
      </w:r>
      <w:r w:rsidRPr="00CF5304">
        <w:rPr>
          <w:rFonts w:eastAsia="Times New Roman" w:cs="Times New Roman"/>
          <w:b/>
          <w:bCs/>
          <w:rtl/>
          <w:lang w:eastAsia="de-DE"/>
        </w:rPr>
        <w:t>מַלְכֻתוֹ</w:t>
      </w:r>
      <w:r w:rsidRPr="00CF5304">
        <w:rPr>
          <w:rFonts w:eastAsia="Times New Roman" w:cs="Times New Roman"/>
          <w:rtl/>
          <w:lang w:eastAsia="de-DE"/>
        </w:rPr>
        <w:t xml:space="preserve"> </w:t>
      </w:r>
      <w:r w:rsidRPr="00CF5304">
        <w:rPr>
          <w:rFonts w:eastAsia="Times New Roman" w:cs="Times New Roman"/>
          <w:lang w:eastAsia="de-DE"/>
        </w:rPr>
        <w:t>(f. Sg., „sein Königreich", mit Suffix 3. m. Sg.) bezeichnet Israels Königreich.</w:t>
      </w:r>
    </w:p>
    <w:p w14:paraId="581457BC" w14:textId="373516BA"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b/>
          <w:bCs/>
          <w:lang w:eastAsia="de-DE"/>
        </w:rPr>
        <w:t>Die LXX</w:t>
      </w:r>
      <w:r w:rsidRPr="00CF5304">
        <w:rPr>
          <w:rFonts w:eastAsia="Times New Roman" w:cs="Times New Roman"/>
          <w:lang w:eastAsia="de-DE"/>
        </w:rPr>
        <w:t xml:space="preserve"> </w:t>
      </w:r>
      <w:r w:rsidR="00CD2614">
        <w:t>hat einen völlig anderen Text: Statt „</w:t>
      </w:r>
      <w:r w:rsidR="00CD2614" w:rsidRPr="00CD2614">
        <w:rPr>
          <w:b/>
          <w:bCs/>
          <w:rtl/>
        </w:rPr>
        <w:t>יִזַּל־מַיִם</w:t>
      </w:r>
      <w:r w:rsidR="00CD2614">
        <w:rPr>
          <w:rtl/>
        </w:rPr>
        <w:t xml:space="preserve"> </w:t>
      </w:r>
      <w:r w:rsidR="00CD2614" w:rsidRPr="00CD2614">
        <w:rPr>
          <w:b/>
          <w:bCs/>
          <w:rtl/>
        </w:rPr>
        <w:t>מִדָּלְיָו</w:t>
      </w:r>
      <w:r w:rsidR="00CD2614">
        <w:t>" (Wasser fließt aus seinen Eimern) hat sie „ἐξελεύσεται ἄνθρωπος ἐκ τοῦ σπέρματος αὐτοῦ" (ein Mensch wird aus seinem Samen hervorgehen). Das hebräische „</w:t>
      </w:r>
      <w:r w:rsidR="00CD2614" w:rsidRPr="00CD2614">
        <w:rPr>
          <w:b/>
          <w:bCs/>
          <w:rtl/>
        </w:rPr>
        <w:t>מֵאֲגַג</w:t>
      </w:r>
      <w:r w:rsidR="00CD2614">
        <w:t>" (über Agag) wird zu „ἢ Γὼγ" (als Gog), eine bedeutende textliche Variante.</w:t>
      </w:r>
    </w:p>
    <w:p w14:paraId="1F76A33C"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Die Satzstruktur besteht aus vier koordinierten Hauptsätzen. Der erste Satz </w:t>
      </w:r>
      <w:r w:rsidRPr="00CF5304">
        <w:rPr>
          <w:rFonts w:eastAsia="Times New Roman" w:cs="Times New Roman"/>
          <w:b/>
          <w:bCs/>
          <w:rtl/>
          <w:lang w:eastAsia="de-DE"/>
        </w:rPr>
        <w:t>יִזַּל־מַיִם מִדָּלְיָו</w:t>
      </w:r>
      <w:r w:rsidRPr="00CF5304">
        <w:rPr>
          <w:rFonts w:eastAsia="Times New Roman" w:cs="Times New Roman"/>
          <w:rtl/>
          <w:lang w:eastAsia="de-DE"/>
        </w:rPr>
        <w:t xml:space="preserve"> </w:t>
      </w:r>
      <w:r w:rsidRPr="00CF5304">
        <w:rPr>
          <w:rFonts w:eastAsia="Times New Roman" w:cs="Times New Roman"/>
          <w:lang w:eastAsia="de-DE"/>
        </w:rPr>
        <w:t xml:space="preserve">ist ein Verbalsatz mit nachgestelltem Subjekt. Der zweite Satz </w:t>
      </w:r>
      <w:r w:rsidRPr="00CF5304">
        <w:rPr>
          <w:rFonts w:eastAsia="Times New Roman" w:cs="Times New Roman"/>
          <w:b/>
          <w:bCs/>
          <w:rtl/>
          <w:lang w:eastAsia="de-DE"/>
        </w:rPr>
        <w:t>וְזַרְעוֹ בְּמַיִם רַבִּים</w:t>
      </w:r>
      <w:r w:rsidRPr="00CF5304">
        <w:rPr>
          <w:rFonts w:eastAsia="Times New Roman" w:cs="Times New Roman"/>
          <w:rtl/>
          <w:lang w:eastAsia="de-DE"/>
        </w:rPr>
        <w:t xml:space="preserve"> </w:t>
      </w:r>
      <w:r w:rsidRPr="00CF5304">
        <w:rPr>
          <w:rFonts w:eastAsia="Times New Roman" w:cs="Times New Roman"/>
          <w:lang w:eastAsia="de-DE"/>
        </w:rPr>
        <w:t xml:space="preserve">ist ein Nominalsatz. Der dritte Satz </w:t>
      </w:r>
      <w:r w:rsidRPr="00CF5304">
        <w:rPr>
          <w:rFonts w:eastAsia="Times New Roman" w:cs="Times New Roman"/>
          <w:b/>
          <w:bCs/>
          <w:rtl/>
          <w:lang w:eastAsia="de-DE"/>
        </w:rPr>
        <w:t>וְיָרֹם מֵאֲגַג מַלְכּוֹ</w:t>
      </w:r>
      <w:r w:rsidRPr="00CF5304">
        <w:rPr>
          <w:rFonts w:eastAsia="Times New Roman" w:cs="Times New Roman"/>
          <w:rtl/>
          <w:lang w:eastAsia="de-DE"/>
        </w:rPr>
        <w:t xml:space="preserve"> </w:t>
      </w:r>
      <w:r w:rsidRPr="00CF5304">
        <w:rPr>
          <w:rFonts w:eastAsia="Times New Roman" w:cs="Times New Roman"/>
          <w:lang w:eastAsia="de-DE"/>
        </w:rPr>
        <w:t xml:space="preserve">und der vierte Satz </w:t>
      </w:r>
      <w:r w:rsidRPr="00CF5304">
        <w:rPr>
          <w:rFonts w:eastAsia="Times New Roman" w:cs="Times New Roman"/>
          <w:b/>
          <w:bCs/>
          <w:rtl/>
          <w:lang w:eastAsia="de-DE"/>
        </w:rPr>
        <w:t>וְתִנַּשֵּׂא מַלְכֻתוֹ</w:t>
      </w:r>
      <w:r w:rsidRPr="00CF5304">
        <w:rPr>
          <w:rFonts w:eastAsia="Times New Roman" w:cs="Times New Roman"/>
          <w:rtl/>
          <w:lang w:eastAsia="de-DE"/>
        </w:rPr>
        <w:t xml:space="preserve"> </w:t>
      </w:r>
      <w:r w:rsidRPr="00CF5304">
        <w:rPr>
          <w:rFonts w:eastAsia="Times New Roman" w:cs="Times New Roman"/>
          <w:lang w:eastAsia="de-DE"/>
        </w:rPr>
        <w:t>sind Verbalsätze, die die politisch-militärische Erhöhung Israels beschreiben.</w:t>
      </w:r>
    </w:p>
    <w:p w14:paraId="256109C4"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Vers entwickelt das Wassermotiv weiter und verbindet materiellen Segen mit politischer Macht. Die überfließenden Eimer symbolisieren außergewöhnlichen Wohlstand und Fruchtbarkeit. Die Formulierung </w:t>
      </w:r>
      <w:r w:rsidRPr="00CF5304">
        <w:rPr>
          <w:rFonts w:eastAsia="Times New Roman" w:cs="Times New Roman"/>
          <w:b/>
          <w:bCs/>
          <w:rtl/>
          <w:lang w:eastAsia="de-DE"/>
        </w:rPr>
        <w:t>וְזַרְעוֹ בְּמַיִם רַבִּים</w:t>
      </w:r>
      <w:r w:rsidRPr="00CF5304">
        <w:rPr>
          <w:rFonts w:eastAsia="Times New Roman" w:cs="Times New Roman"/>
          <w:rtl/>
          <w:lang w:eastAsia="de-DE"/>
        </w:rPr>
        <w:t xml:space="preserve"> </w:t>
      </w:r>
      <w:r w:rsidRPr="00CF5304">
        <w:rPr>
          <w:rFonts w:eastAsia="Times New Roman" w:cs="Times New Roman"/>
          <w:lang w:eastAsia="de-DE"/>
        </w:rPr>
        <w:t>kann doppelt verstanden werden: Israels Saat (Feldfrüchte) hat reichlich Wasser, und Israels Nachkommenschaft wird zahlreich sein wie Wasser.</w:t>
      </w:r>
    </w:p>
    <w:p w14:paraId="16C07D4C" w14:textId="77777777" w:rsidR="00CF5304" w:rsidRPr="00CF5304" w:rsidRDefault="00CF5304" w:rsidP="00CF5304">
      <w:pPr>
        <w:spacing w:before="100" w:beforeAutospacing="1" w:after="100" w:afterAutospacing="1" w:line="240" w:lineRule="auto"/>
        <w:rPr>
          <w:rFonts w:eastAsia="Times New Roman" w:cs="Times New Roman"/>
          <w:lang w:eastAsia="de-DE"/>
        </w:rPr>
      </w:pPr>
      <w:r w:rsidRPr="00CF5304">
        <w:rPr>
          <w:rFonts w:eastAsia="Times New Roman" w:cs="Times New Roman"/>
          <w:lang w:eastAsia="de-DE"/>
        </w:rPr>
        <w:t xml:space="preserve">Der Übergang zur politischen Dimension in der zweiten Vershälfte ist bedeutsam. </w:t>
      </w:r>
      <w:r w:rsidRPr="00CF5304">
        <w:rPr>
          <w:rFonts w:eastAsia="Times New Roman" w:cs="Times New Roman"/>
          <w:b/>
          <w:bCs/>
          <w:rtl/>
          <w:lang w:eastAsia="de-DE"/>
        </w:rPr>
        <w:t>מַלְכּוֹ</w:t>
      </w:r>
      <w:r w:rsidRPr="00CF5304">
        <w:rPr>
          <w:rFonts w:eastAsia="Times New Roman" w:cs="Times New Roman"/>
          <w:rtl/>
          <w:lang w:eastAsia="de-DE"/>
        </w:rPr>
        <w:t xml:space="preserve"> </w:t>
      </w:r>
      <w:r w:rsidRPr="00CF5304">
        <w:rPr>
          <w:rFonts w:eastAsia="Times New Roman" w:cs="Times New Roman"/>
          <w:lang w:eastAsia="de-DE"/>
        </w:rPr>
        <w:t xml:space="preserve">(„sein König") deutet auf die zukünftige Monarchie Israels hin, die zur Zeit Bileams noch nicht existierte. Die Erwähnung von </w:t>
      </w:r>
      <w:r w:rsidRPr="00CF5304">
        <w:rPr>
          <w:rFonts w:eastAsia="Times New Roman" w:cs="Times New Roman"/>
          <w:b/>
          <w:bCs/>
          <w:rtl/>
          <w:lang w:eastAsia="de-DE"/>
        </w:rPr>
        <w:t>אֲגַג</w:t>
      </w:r>
      <w:r w:rsidRPr="00CF5304">
        <w:rPr>
          <w:rFonts w:eastAsia="Times New Roman" w:cs="Times New Roman"/>
          <w:lang w:eastAsia="de-DE"/>
        </w:rPr>
        <w:t>, dem amalekitischen König, ist prophetisch: König Saul wird später Agag besiegen (1 Sam 15). Die doppelte Aussage über die Erhöhung (</w:t>
      </w:r>
      <w:r w:rsidRPr="00CF5304">
        <w:rPr>
          <w:rFonts w:eastAsia="Times New Roman" w:cs="Times New Roman"/>
          <w:b/>
          <w:bCs/>
          <w:rtl/>
          <w:lang w:eastAsia="de-DE"/>
        </w:rPr>
        <w:t>וְיָרֹם... וְתִנַּשֵּׂא</w:t>
      </w:r>
      <w:r w:rsidRPr="00CF5304">
        <w:rPr>
          <w:rFonts w:eastAsia="Times New Roman" w:cs="Times New Roman"/>
          <w:lang w:eastAsia="de-DE"/>
        </w:rPr>
        <w:t>) betont Israels politische und militärische Überlegenheit. Das Königreich Israels wird sich über alle Feinde erheben – eine Weissagung, die sich in David und Salomo erfüllen wird, aber auch messianische Dimensionen hat.</w:t>
      </w:r>
    </w:p>
    <w:p w14:paraId="12253C7F"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24,8</w:t>
      </w:r>
    </w:p>
    <w:p w14:paraId="398E8CA2"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אֵ֚ל מוֹצִיאֹ֣ו מִמִּצְרַ֔יִם כְּתוֹעֲפֹ֥ת רְאֵ֖ם לוֹ֑ יֹאכַ֞ל גּוֹיִ֣ם צָרָ֗יו וְעַצְמֹתֵיהֶ֛ם יְגָרֵ֖ם וְחִצָּ֥יו יִמְחָֽץ׃</w:t>
      </w:r>
    </w:p>
    <w:p w14:paraId="2CB5FB0B"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Gott, der es aus Mizrajim herausgeführt hat, ist ihm wie die Hörner des Wildstiers. Es wird die Nationen, seine Feinde, fressen und ihre Gebeine zermalmen und sie mit seinen Pfeilen zerschmettern.</w:t>
      </w:r>
    </w:p>
    <w:p w14:paraId="5C6CA6D1"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1E31D1F7">
          <v:rect id="_x0000_i1833" style="width:0;height:1.5pt" o:hralign="center" o:hrstd="t" o:hr="t" fillcolor="#a0a0a0" stroked="f"/>
        </w:pict>
      </w:r>
    </w:p>
    <w:p w14:paraId="4F488740" w14:textId="7E927F30"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lastRenderedPageBreak/>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אֵל</w:t>
      </w:r>
      <w:r w:rsidRPr="006715F3">
        <w:rPr>
          <w:rFonts w:eastAsia="Times New Roman" w:cs="Times New Roman"/>
          <w:rtl/>
          <w:lang w:eastAsia="de-DE"/>
        </w:rPr>
        <w:t xml:space="preserve"> </w:t>
      </w:r>
      <w:r w:rsidRPr="006715F3">
        <w:rPr>
          <w:rFonts w:eastAsia="Times New Roman" w:cs="Times New Roman"/>
          <w:lang w:eastAsia="de-DE"/>
        </w:rPr>
        <w:t xml:space="preserve">als Eigenname für Gott, gefolgt vom Hiphil-Partizip </w:t>
      </w:r>
      <w:r w:rsidRPr="006715F3">
        <w:rPr>
          <w:rFonts w:eastAsia="Times New Roman" w:cs="Times New Roman"/>
          <w:b/>
          <w:bCs/>
          <w:rtl/>
          <w:lang w:eastAsia="de-DE"/>
        </w:rPr>
        <w:t>מוֹצִיאוֹ</w:t>
      </w:r>
      <w:r w:rsidRPr="006715F3">
        <w:rPr>
          <w:rFonts w:eastAsia="Times New Roman" w:cs="Times New Roman"/>
          <w:rtl/>
          <w:lang w:eastAsia="de-DE"/>
        </w:rPr>
        <w:t xml:space="preserve"> </w:t>
      </w:r>
      <w:r w:rsidRPr="006715F3">
        <w:rPr>
          <w:rFonts w:eastAsia="Times New Roman" w:cs="Times New Roman"/>
          <w:lang w:eastAsia="de-DE"/>
        </w:rPr>
        <w:t xml:space="preserve">(„der es herausführt") mit Suffix der 3. Person maskulin Singular und der Präposition </w:t>
      </w:r>
      <w:r w:rsidRPr="006715F3">
        <w:rPr>
          <w:rFonts w:eastAsia="Times New Roman" w:cs="Times New Roman"/>
          <w:b/>
          <w:bCs/>
          <w:rtl/>
          <w:lang w:eastAsia="de-DE"/>
        </w:rPr>
        <w:t>מִמִּצְרַיִם</w:t>
      </w:r>
      <w:r w:rsidRPr="006715F3">
        <w:rPr>
          <w:rFonts w:eastAsia="Times New Roman" w:cs="Times New Roman"/>
          <w:rtl/>
          <w:lang w:eastAsia="de-DE"/>
        </w:rPr>
        <w:t xml:space="preserve"> </w:t>
      </w:r>
      <w:r w:rsidRPr="006715F3">
        <w:rPr>
          <w:rFonts w:eastAsia="Times New Roman" w:cs="Times New Roman"/>
          <w:lang w:eastAsia="de-DE"/>
        </w:rPr>
        <w:t xml:space="preserve">(„aus Ägypten") mit assimiliertem Nun. Die </w:t>
      </w:r>
      <w:r w:rsidR="00F133EC">
        <w:rPr>
          <w:rFonts w:eastAsia="Times New Roman" w:cs="Times New Roman"/>
          <w:lang w:eastAsia="de-DE"/>
        </w:rPr>
        <w:t>Construct</w:t>
      </w:r>
      <w:r w:rsidRPr="006715F3">
        <w:rPr>
          <w:rFonts w:eastAsia="Times New Roman" w:cs="Times New Roman"/>
          <w:lang w:eastAsia="de-DE"/>
        </w:rPr>
        <w:t xml:space="preserve">ion betont Gottes rettende Tat beim Exodus als bestimmendes Merkmal Israels. </w:t>
      </w:r>
      <w:r w:rsidRPr="006715F3">
        <w:rPr>
          <w:rFonts w:eastAsia="Times New Roman" w:cs="Times New Roman"/>
          <w:b/>
          <w:bCs/>
          <w:rtl/>
          <w:lang w:eastAsia="de-DE"/>
        </w:rPr>
        <w:t>כְּתוֹעֲפֹת רְאֵם לוֹ</w:t>
      </w:r>
      <w:r w:rsidRPr="006715F3">
        <w:rPr>
          <w:rFonts w:eastAsia="Times New Roman" w:cs="Times New Roman"/>
          <w:rtl/>
          <w:lang w:eastAsia="de-DE"/>
        </w:rPr>
        <w:t xml:space="preserve"> </w:t>
      </w:r>
      <w:r w:rsidRPr="006715F3">
        <w:rPr>
          <w:rFonts w:eastAsia="Times New Roman" w:cs="Times New Roman"/>
          <w:lang w:eastAsia="de-DE"/>
        </w:rPr>
        <w:t xml:space="preserve">bildet einen Vergleichssatz mit der Präposition </w:t>
      </w:r>
      <w:r w:rsidRPr="006715F3">
        <w:rPr>
          <w:rFonts w:eastAsia="Times New Roman" w:cs="Times New Roman"/>
          <w:b/>
          <w:bCs/>
          <w:rtl/>
          <w:lang w:eastAsia="de-DE"/>
        </w:rPr>
        <w:t>כְּ</w:t>
      </w:r>
      <w:r w:rsidRPr="006715F3">
        <w:rPr>
          <w:rFonts w:eastAsia="Times New Roman" w:cs="Times New Roman"/>
          <w:rtl/>
          <w:lang w:eastAsia="de-DE"/>
        </w:rPr>
        <w:t xml:space="preserve"> </w:t>
      </w:r>
      <w:r w:rsidRPr="006715F3">
        <w:rPr>
          <w:rFonts w:eastAsia="Times New Roman" w:cs="Times New Roman"/>
          <w:lang w:eastAsia="de-DE"/>
        </w:rPr>
        <w:t xml:space="preserve">(„wie"), dem Plural </w:t>
      </w:r>
      <w:r w:rsidR="00B513FF">
        <w:rPr>
          <w:rFonts w:eastAsia="Times New Roman" w:cs="Times New Roman"/>
          <w:lang w:eastAsia="de-DE"/>
        </w:rPr>
        <w:t xml:space="preserve">Constructus </w:t>
      </w:r>
      <w:r w:rsidRPr="006715F3">
        <w:rPr>
          <w:rFonts w:eastAsia="Times New Roman" w:cs="Times New Roman"/>
          <w:lang w:eastAsia="de-DE"/>
        </w:rPr>
        <w:t xml:space="preserve"> </w:t>
      </w:r>
      <w:r w:rsidRPr="006715F3">
        <w:rPr>
          <w:rFonts w:eastAsia="Times New Roman" w:cs="Times New Roman"/>
          <w:b/>
          <w:bCs/>
          <w:rtl/>
          <w:lang w:eastAsia="de-DE"/>
        </w:rPr>
        <w:t>תוֹעֲפֹת</w:t>
      </w:r>
      <w:r w:rsidRPr="006715F3">
        <w:rPr>
          <w:rFonts w:eastAsia="Times New Roman" w:cs="Times New Roman"/>
          <w:rtl/>
          <w:lang w:eastAsia="de-DE"/>
        </w:rPr>
        <w:t xml:space="preserve"> </w:t>
      </w:r>
      <w:r w:rsidRPr="006715F3">
        <w:rPr>
          <w:rFonts w:eastAsia="Times New Roman" w:cs="Times New Roman"/>
          <w:lang w:eastAsia="de-DE"/>
        </w:rPr>
        <w:t xml:space="preserve">(„Hörner, Kraft") und </w:t>
      </w:r>
      <w:r w:rsidRPr="006715F3">
        <w:rPr>
          <w:rFonts w:eastAsia="Times New Roman" w:cs="Times New Roman"/>
          <w:b/>
          <w:bCs/>
          <w:rtl/>
          <w:lang w:eastAsia="de-DE"/>
        </w:rPr>
        <w:t>רְאֵם</w:t>
      </w:r>
      <w:r w:rsidRPr="006715F3">
        <w:rPr>
          <w:rFonts w:eastAsia="Times New Roman" w:cs="Times New Roman"/>
          <w:rtl/>
          <w:lang w:eastAsia="de-DE"/>
        </w:rPr>
        <w:t xml:space="preserve"> </w:t>
      </w:r>
      <w:r w:rsidRPr="006715F3">
        <w:rPr>
          <w:rFonts w:eastAsia="Times New Roman" w:cs="Times New Roman"/>
          <w:lang w:eastAsia="de-DE"/>
        </w:rPr>
        <w:t xml:space="preserve">(„Wildstier"). Das Suffix </w:t>
      </w:r>
      <w:r w:rsidRPr="006715F3">
        <w:rPr>
          <w:rFonts w:eastAsia="Times New Roman" w:cs="Times New Roman"/>
          <w:b/>
          <w:bCs/>
          <w:rtl/>
          <w:lang w:eastAsia="de-DE"/>
        </w:rPr>
        <w:t>לוֹ</w:t>
      </w:r>
      <w:r w:rsidRPr="006715F3">
        <w:rPr>
          <w:rFonts w:eastAsia="Times New Roman" w:cs="Times New Roman"/>
          <w:rtl/>
          <w:lang w:eastAsia="de-DE"/>
        </w:rPr>
        <w:t xml:space="preserve"> </w:t>
      </w:r>
      <w:r w:rsidRPr="006715F3">
        <w:rPr>
          <w:rFonts w:eastAsia="Times New Roman" w:cs="Times New Roman"/>
          <w:lang w:eastAsia="de-DE"/>
        </w:rPr>
        <w:t>zeigt die possessive Beziehung („für ihn, ihm gehörend") an.</w:t>
      </w:r>
    </w:p>
    <w:p w14:paraId="2C798E99"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 xml:space="preserve">Die drei folgenden Verben </w:t>
      </w:r>
      <w:r w:rsidRPr="006715F3">
        <w:rPr>
          <w:rFonts w:eastAsia="Times New Roman" w:cs="Times New Roman"/>
          <w:b/>
          <w:bCs/>
          <w:rtl/>
          <w:lang w:eastAsia="de-DE"/>
        </w:rPr>
        <w:t>יֹאכַל</w:t>
      </w:r>
      <w:r w:rsidRPr="006715F3">
        <w:rPr>
          <w:rFonts w:eastAsia="Times New Roman" w:cs="Times New Roman"/>
          <w:rtl/>
          <w:lang w:eastAsia="de-DE"/>
        </w:rPr>
        <w:t xml:space="preserve"> </w:t>
      </w:r>
      <w:r w:rsidRPr="006715F3">
        <w:rPr>
          <w:rFonts w:eastAsia="Times New Roman" w:cs="Times New Roman"/>
          <w:lang w:eastAsia="de-DE"/>
        </w:rPr>
        <w:t xml:space="preserve">(Qal Imperfekt „fressen"), </w:t>
      </w:r>
      <w:r w:rsidRPr="006715F3">
        <w:rPr>
          <w:rFonts w:eastAsia="Times New Roman" w:cs="Times New Roman"/>
          <w:b/>
          <w:bCs/>
          <w:rtl/>
          <w:lang w:eastAsia="de-DE"/>
        </w:rPr>
        <w:t>יְגָרֵם</w:t>
      </w:r>
      <w:r w:rsidRPr="006715F3">
        <w:rPr>
          <w:rFonts w:eastAsia="Times New Roman" w:cs="Times New Roman"/>
          <w:rtl/>
          <w:lang w:eastAsia="de-DE"/>
        </w:rPr>
        <w:t xml:space="preserve"> </w:t>
      </w:r>
      <w:r w:rsidRPr="006715F3">
        <w:rPr>
          <w:rFonts w:eastAsia="Times New Roman" w:cs="Times New Roman"/>
          <w:lang w:eastAsia="de-DE"/>
        </w:rPr>
        <w:t xml:space="preserve">(Piel Imperfekt „zermalmen") und </w:t>
      </w:r>
      <w:r w:rsidRPr="006715F3">
        <w:rPr>
          <w:rFonts w:eastAsia="Times New Roman" w:cs="Times New Roman"/>
          <w:b/>
          <w:bCs/>
          <w:rtl/>
          <w:lang w:eastAsia="de-DE"/>
        </w:rPr>
        <w:t>יִמְחָץ</w:t>
      </w:r>
      <w:r w:rsidRPr="006715F3">
        <w:rPr>
          <w:rFonts w:eastAsia="Times New Roman" w:cs="Times New Roman"/>
          <w:rtl/>
          <w:lang w:eastAsia="de-DE"/>
        </w:rPr>
        <w:t xml:space="preserve"> </w:t>
      </w:r>
      <w:r w:rsidRPr="006715F3">
        <w:rPr>
          <w:rFonts w:eastAsia="Times New Roman" w:cs="Times New Roman"/>
          <w:lang w:eastAsia="de-DE"/>
        </w:rPr>
        <w:t xml:space="preserve">(Qal Imperfekt „zerschmettern") bilden eine Klimax der Zerstörung, wobei das Piel die intensive Vernichtung betont. </w:t>
      </w:r>
      <w:r w:rsidRPr="006715F3">
        <w:rPr>
          <w:rFonts w:eastAsia="Times New Roman" w:cs="Times New Roman"/>
          <w:b/>
          <w:bCs/>
          <w:rtl/>
          <w:lang w:eastAsia="de-DE"/>
        </w:rPr>
        <w:t>גּוֹיִם צָרָיו</w:t>
      </w:r>
      <w:r w:rsidRPr="006715F3">
        <w:rPr>
          <w:rFonts w:eastAsia="Times New Roman" w:cs="Times New Roman"/>
          <w:rtl/>
          <w:lang w:eastAsia="de-DE"/>
        </w:rPr>
        <w:t xml:space="preserve"> </w:t>
      </w:r>
      <w:r w:rsidRPr="006715F3">
        <w:rPr>
          <w:rFonts w:eastAsia="Times New Roman" w:cs="Times New Roman"/>
          <w:lang w:eastAsia="de-DE"/>
        </w:rPr>
        <w:t xml:space="preserve">(„Nationen, seine Feinde") steht als Akkusativobjekt mit appositiver Ergänzung, </w:t>
      </w:r>
      <w:r w:rsidRPr="006715F3">
        <w:rPr>
          <w:rFonts w:eastAsia="Times New Roman" w:cs="Times New Roman"/>
          <w:b/>
          <w:bCs/>
          <w:rtl/>
          <w:lang w:eastAsia="de-DE"/>
        </w:rPr>
        <w:t>עַצְמֹתֵיהֶם</w:t>
      </w:r>
      <w:r w:rsidRPr="006715F3">
        <w:rPr>
          <w:rFonts w:eastAsia="Times New Roman" w:cs="Times New Roman"/>
          <w:rtl/>
          <w:lang w:eastAsia="de-DE"/>
        </w:rPr>
        <w:t xml:space="preserve"> </w:t>
      </w:r>
      <w:r w:rsidRPr="006715F3">
        <w:rPr>
          <w:rFonts w:eastAsia="Times New Roman" w:cs="Times New Roman"/>
          <w:lang w:eastAsia="de-DE"/>
        </w:rPr>
        <w:t xml:space="preserve">(„ihre Knochen") symbolisiert die vollständige Vernichtung bis ins Innerste, und </w:t>
      </w:r>
      <w:r w:rsidRPr="006715F3">
        <w:rPr>
          <w:rFonts w:eastAsia="Times New Roman" w:cs="Times New Roman"/>
          <w:b/>
          <w:bCs/>
          <w:rtl/>
          <w:lang w:eastAsia="de-DE"/>
        </w:rPr>
        <w:t>חִצָּיו</w:t>
      </w:r>
      <w:r w:rsidRPr="006715F3">
        <w:rPr>
          <w:rFonts w:eastAsia="Times New Roman" w:cs="Times New Roman"/>
          <w:rtl/>
          <w:lang w:eastAsia="de-DE"/>
        </w:rPr>
        <w:t xml:space="preserve"> </w:t>
      </w:r>
      <w:r w:rsidRPr="006715F3">
        <w:rPr>
          <w:rFonts w:eastAsia="Times New Roman" w:cs="Times New Roman"/>
          <w:lang w:eastAsia="de-DE"/>
        </w:rPr>
        <w:t>(„seine Pfeile") fungiert als Instrumental.</w:t>
      </w:r>
    </w:p>
    <w:p w14:paraId="4E605015" w14:textId="5A6C2B20"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w:t>
      </w:r>
      <w:r w:rsidR="00CD2614">
        <w:t>übersetzt „</w:t>
      </w:r>
      <w:r w:rsidR="00CD2614" w:rsidRPr="00CD2614">
        <w:rPr>
          <w:b/>
          <w:bCs/>
          <w:rtl/>
        </w:rPr>
        <w:t>כְּתוֹעֲפֹת</w:t>
      </w:r>
      <w:r w:rsidR="00CD2614">
        <w:rPr>
          <w:rtl/>
        </w:rPr>
        <w:t xml:space="preserve"> </w:t>
      </w:r>
      <w:r w:rsidR="00CD2614" w:rsidRPr="00CD2614">
        <w:rPr>
          <w:b/>
          <w:bCs/>
          <w:rtl/>
        </w:rPr>
        <w:t>רְאֵם</w:t>
      </w:r>
      <w:r w:rsidR="00CD2614">
        <w:t>" (wie die Hörner eines Wildochsen) erneut mit „ὡς δόξα μονοκέρωτος" (wie die Herrlichkeit eines Einhorns), und „</w:t>
      </w:r>
      <w:r w:rsidR="00CD2614" w:rsidRPr="00CD2614">
        <w:rPr>
          <w:b/>
          <w:bCs/>
          <w:rtl/>
        </w:rPr>
        <w:t>וְעַצְמֹתֵיהֶם</w:t>
      </w:r>
      <w:r w:rsidR="00CD2614">
        <w:rPr>
          <w:rtl/>
        </w:rPr>
        <w:t xml:space="preserve"> </w:t>
      </w:r>
      <w:r w:rsidR="00CD2614" w:rsidRPr="00CD2614">
        <w:rPr>
          <w:b/>
          <w:bCs/>
          <w:rtl/>
        </w:rPr>
        <w:t>יְגָרֵם</w:t>
      </w:r>
      <w:r w:rsidR="00CD2614">
        <w:t>" (und ihre Knochen wird er zermalmen) wird zu „καὶ τὰ πάχη αὐτῶν ἐκμυελιεῖ" (und ihr Fett wird er ausmarken).</w:t>
      </w:r>
    </w:p>
    <w:p w14:paraId="5FED20ED"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einen Nominalsatz mit erweitertem Subjekt (Gott als der Herausführende aus Ägypten), gefolgt von einem prädikativen Vergleich (wie die Hörner des Wildstiers). Daran schließen sich drei koordinierte Verbalsätze an, die alle Israel als implizites Subjekt haben und die Vernichtung der Feinde in drei Stufen beschreiben.</w:t>
      </w:r>
    </w:p>
    <w:p w14:paraId="27150222"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schildert Israels überwältigende militärische Überlegenheit als direkte Folge von Gottes Befreiungshandeln beim Exodus. Die Tiermetapher des Wildstiers mit seinen mächtigen Hörnern symbolisiert unwiderstehliche Kraft.</w:t>
      </w:r>
    </w:p>
    <w:p w14:paraId="6BFFAA9D"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24,9</w:t>
      </w:r>
    </w:p>
    <w:p w14:paraId="4A414830"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כָּרַ֨ע שָׁכַ֧ב כַּאֲרִ֛י וּכְלָבִ֖יא מִ֣י יְקִימֶ֑נּוּ מְבָרֲכֶ֣יךָ בָר֔וּךְ וְאֹרְרֶ֖יךָ אָרֽוּר׃</w:t>
      </w:r>
    </w:p>
    <w:p w14:paraId="457B3CB8"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Es duckt sich, es liegt da wie ein Löwe und wie eine Löwin; wer wird es aufstören? Die dich segnen, sind gesegnet, und die dich verfluchen, sind verflucht.</w:t>
      </w:r>
    </w:p>
    <w:p w14:paraId="23D52C2C"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7850A5ED">
          <v:rect id="_x0000_i1834" style="width:0;height:1.5pt" o:hralign="center" o:hrstd="t" o:hr="t" fillcolor="#a0a0a0" stroked="f"/>
        </w:pict>
      </w:r>
    </w:p>
    <w:p w14:paraId="440C58D8" w14:textId="38B27E89"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כָּרַע</w:t>
      </w:r>
      <w:r w:rsidRPr="006715F3">
        <w:rPr>
          <w:rFonts w:eastAsia="Times New Roman" w:cs="Times New Roman"/>
          <w:rtl/>
          <w:lang w:eastAsia="de-DE"/>
        </w:rPr>
        <w:t xml:space="preserve"> </w:t>
      </w:r>
      <w:r w:rsidRPr="006715F3">
        <w:rPr>
          <w:rFonts w:eastAsia="Times New Roman" w:cs="Times New Roman"/>
          <w:lang w:eastAsia="de-DE"/>
        </w:rPr>
        <w:t xml:space="preserve">(Qal Perfekt „sich ducken") und </w:t>
      </w:r>
      <w:r w:rsidRPr="006715F3">
        <w:rPr>
          <w:rFonts w:eastAsia="Times New Roman" w:cs="Times New Roman"/>
          <w:b/>
          <w:bCs/>
          <w:rtl/>
          <w:lang w:eastAsia="de-DE"/>
        </w:rPr>
        <w:t>שָׁכַב</w:t>
      </w:r>
      <w:r w:rsidRPr="006715F3">
        <w:rPr>
          <w:rFonts w:eastAsia="Times New Roman" w:cs="Times New Roman"/>
          <w:rtl/>
          <w:lang w:eastAsia="de-DE"/>
        </w:rPr>
        <w:t xml:space="preserve"> </w:t>
      </w:r>
      <w:r w:rsidRPr="006715F3">
        <w:rPr>
          <w:rFonts w:eastAsia="Times New Roman" w:cs="Times New Roman"/>
          <w:lang w:eastAsia="de-DE"/>
        </w:rPr>
        <w:t>(Qal Perfekt „liegen"), die asyndetisch nebeneinanderstehen und eine Hendiadyoin-</w:t>
      </w:r>
      <w:r w:rsidR="00F133EC">
        <w:rPr>
          <w:rFonts w:eastAsia="Times New Roman" w:cs="Times New Roman"/>
          <w:lang w:eastAsia="de-DE"/>
        </w:rPr>
        <w:t>Construct</w:t>
      </w:r>
      <w:r w:rsidRPr="006715F3">
        <w:rPr>
          <w:rFonts w:eastAsia="Times New Roman" w:cs="Times New Roman"/>
          <w:lang w:eastAsia="de-DE"/>
        </w:rPr>
        <w:t xml:space="preserve">ion bilden, die das ruhende, aber kampfbereite Tier beschreibt. </w:t>
      </w:r>
      <w:r w:rsidRPr="006715F3">
        <w:rPr>
          <w:rFonts w:eastAsia="Times New Roman" w:cs="Times New Roman"/>
          <w:b/>
          <w:bCs/>
          <w:rtl/>
          <w:lang w:eastAsia="de-DE"/>
        </w:rPr>
        <w:t>כַּאֲרִי</w:t>
      </w:r>
      <w:r w:rsidRPr="006715F3">
        <w:rPr>
          <w:rFonts w:eastAsia="Times New Roman" w:cs="Times New Roman"/>
          <w:rtl/>
          <w:lang w:eastAsia="de-DE"/>
        </w:rPr>
        <w:t xml:space="preserve"> </w:t>
      </w:r>
      <w:r w:rsidRPr="006715F3">
        <w:rPr>
          <w:rFonts w:eastAsia="Times New Roman" w:cs="Times New Roman"/>
          <w:lang w:eastAsia="de-DE"/>
        </w:rPr>
        <w:t xml:space="preserve">(„wie ein Löwe") und </w:t>
      </w:r>
      <w:r w:rsidRPr="006715F3">
        <w:rPr>
          <w:rFonts w:eastAsia="Times New Roman" w:cs="Times New Roman"/>
          <w:b/>
          <w:bCs/>
          <w:rtl/>
          <w:lang w:eastAsia="de-DE"/>
        </w:rPr>
        <w:t>וּכְלָבִיא</w:t>
      </w:r>
      <w:r w:rsidRPr="006715F3">
        <w:rPr>
          <w:rFonts w:eastAsia="Times New Roman" w:cs="Times New Roman"/>
          <w:rtl/>
          <w:lang w:eastAsia="de-DE"/>
        </w:rPr>
        <w:t xml:space="preserve"> </w:t>
      </w:r>
      <w:r w:rsidRPr="006715F3">
        <w:rPr>
          <w:rFonts w:eastAsia="Times New Roman" w:cs="Times New Roman"/>
          <w:lang w:eastAsia="de-DE"/>
        </w:rPr>
        <w:t xml:space="preserve">(„und wie eine Löwin/kräftiger Löwe") bilden eine doppelte Tiermetapher mit der Vergleichspräposition </w:t>
      </w:r>
      <w:r w:rsidRPr="006715F3">
        <w:rPr>
          <w:rFonts w:eastAsia="Times New Roman" w:cs="Times New Roman"/>
          <w:b/>
          <w:bCs/>
          <w:rtl/>
          <w:lang w:eastAsia="de-DE"/>
        </w:rPr>
        <w:t>כְּ</w:t>
      </w:r>
      <w:r w:rsidRPr="006715F3">
        <w:rPr>
          <w:rFonts w:eastAsia="Times New Roman" w:cs="Times New Roman"/>
          <w:lang w:eastAsia="de-DE"/>
        </w:rPr>
        <w:t xml:space="preserve">. </w:t>
      </w:r>
      <w:r w:rsidRPr="006715F3">
        <w:rPr>
          <w:rFonts w:eastAsia="Times New Roman" w:cs="Times New Roman"/>
          <w:b/>
          <w:bCs/>
          <w:rtl/>
          <w:lang w:eastAsia="de-DE"/>
        </w:rPr>
        <w:t>מִי יְקִימֶנּוּ</w:t>
      </w:r>
      <w:r w:rsidRPr="006715F3">
        <w:rPr>
          <w:rFonts w:eastAsia="Times New Roman" w:cs="Times New Roman"/>
          <w:rtl/>
          <w:lang w:eastAsia="de-DE"/>
        </w:rPr>
        <w:t xml:space="preserve"> </w:t>
      </w:r>
      <w:r w:rsidRPr="006715F3">
        <w:rPr>
          <w:rFonts w:eastAsia="Times New Roman" w:cs="Times New Roman"/>
          <w:lang w:eastAsia="de-DE"/>
        </w:rPr>
        <w:t xml:space="preserve">ist eine rhetorische Frage mit dem Interrogativpronomen </w:t>
      </w:r>
      <w:r w:rsidRPr="006715F3">
        <w:rPr>
          <w:rFonts w:eastAsia="Times New Roman" w:cs="Times New Roman"/>
          <w:b/>
          <w:bCs/>
          <w:rtl/>
          <w:lang w:eastAsia="de-DE"/>
        </w:rPr>
        <w:t>מִי</w:t>
      </w:r>
      <w:r w:rsidRPr="006715F3">
        <w:rPr>
          <w:rFonts w:eastAsia="Times New Roman" w:cs="Times New Roman"/>
          <w:rtl/>
          <w:lang w:eastAsia="de-DE"/>
        </w:rPr>
        <w:t xml:space="preserve"> </w:t>
      </w:r>
      <w:r w:rsidRPr="006715F3">
        <w:rPr>
          <w:rFonts w:eastAsia="Times New Roman" w:cs="Times New Roman"/>
          <w:lang w:eastAsia="de-DE"/>
        </w:rPr>
        <w:t xml:space="preserve">(„wer") und dem Hiphil Imperfekt </w:t>
      </w:r>
      <w:r w:rsidRPr="006715F3">
        <w:rPr>
          <w:rFonts w:eastAsia="Times New Roman" w:cs="Times New Roman"/>
          <w:b/>
          <w:bCs/>
          <w:rtl/>
          <w:lang w:eastAsia="de-DE"/>
        </w:rPr>
        <w:t>יְקִימֶנּוּ</w:t>
      </w:r>
      <w:r w:rsidRPr="006715F3">
        <w:rPr>
          <w:rFonts w:eastAsia="Times New Roman" w:cs="Times New Roman"/>
          <w:rtl/>
          <w:lang w:eastAsia="de-DE"/>
        </w:rPr>
        <w:t xml:space="preserve"> </w:t>
      </w:r>
      <w:r w:rsidRPr="006715F3">
        <w:rPr>
          <w:rFonts w:eastAsia="Times New Roman" w:cs="Times New Roman"/>
          <w:lang w:eastAsia="de-DE"/>
        </w:rPr>
        <w:t xml:space="preserve">von </w:t>
      </w:r>
      <w:r w:rsidRPr="006715F3">
        <w:rPr>
          <w:rFonts w:eastAsia="Times New Roman" w:cs="Times New Roman"/>
          <w:b/>
          <w:bCs/>
          <w:rtl/>
          <w:lang w:eastAsia="de-DE"/>
        </w:rPr>
        <w:t>קום</w:t>
      </w:r>
      <w:r w:rsidRPr="006715F3">
        <w:rPr>
          <w:rFonts w:eastAsia="Times New Roman" w:cs="Times New Roman"/>
          <w:rtl/>
          <w:lang w:eastAsia="de-DE"/>
        </w:rPr>
        <w:t xml:space="preserve"> </w:t>
      </w:r>
      <w:r w:rsidRPr="006715F3">
        <w:rPr>
          <w:rFonts w:eastAsia="Times New Roman" w:cs="Times New Roman"/>
          <w:lang w:eastAsia="de-DE"/>
        </w:rPr>
        <w:t>mit Suffix („ihn aufwecken, aufstören"), die die Antwort „niemand" erwartet und die Unantastbarkeit Israels betont.</w:t>
      </w:r>
    </w:p>
    <w:p w14:paraId="28B92D8A"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מְבָרֲכֶיךָ בָּרוּךְ</w:t>
      </w:r>
      <w:r w:rsidRPr="006715F3">
        <w:rPr>
          <w:rFonts w:eastAsia="Times New Roman" w:cs="Times New Roman"/>
          <w:rtl/>
          <w:lang w:eastAsia="de-DE"/>
        </w:rPr>
        <w:t xml:space="preserve"> </w:t>
      </w:r>
      <w:r w:rsidRPr="006715F3">
        <w:rPr>
          <w:rFonts w:eastAsia="Times New Roman" w:cs="Times New Roman"/>
          <w:lang w:eastAsia="de-DE"/>
        </w:rPr>
        <w:t xml:space="preserve">besteht aus dem Piel-Partizip Plural </w:t>
      </w:r>
      <w:r w:rsidRPr="006715F3">
        <w:rPr>
          <w:rFonts w:eastAsia="Times New Roman" w:cs="Times New Roman"/>
          <w:b/>
          <w:bCs/>
          <w:rtl/>
          <w:lang w:eastAsia="de-DE"/>
        </w:rPr>
        <w:t>מְבָרֲכֶיךָ</w:t>
      </w:r>
      <w:r w:rsidRPr="006715F3">
        <w:rPr>
          <w:rFonts w:eastAsia="Times New Roman" w:cs="Times New Roman"/>
          <w:rtl/>
          <w:lang w:eastAsia="de-DE"/>
        </w:rPr>
        <w:t xml:space="preserve"> </w:t>
      </w:r>
      <w:r w:rsidRPr="006715F3">
        <w:rPr>
          <w:rFonts w:eastAsia="Times New Roman" w:cs="Times New Roman"/>
          <w:lang w:eastAsia="de-DE"/>
        </w:rPr>
        <w:t xml:space="preserve">(„deine Segnenden") mit Suffix der 2. Person maskulin Singular und dem Qal Passiv-Partizip </w:t>
      </w:r>
      <w:r w:rsidRPr="006715F3">
        <w:rPr>
          <w:rFonts w:eastAsia="Times New Roman" w:cs="Times New Roman"/>
          <w:b/>
          <w:bCs/>
          <w:rtl/>
          <w:lang w:eastAsia="de-DE"/>
        </w:rPr>
        <w:t>בָּרוּךְ</w:t>
      </w:r>
      <w:r w:rsidRPr="006715F3">
        <w:rPr>
          <w:rFonts w:eastAsia="Times New Roman" w:cs="Times New Roman"/>
          <w:rtl/>
          <w:lang w:eastAsia="de-DE"/>
        </w:rPr>
        <w:t xml:space="preserve"> </w:t>
      </w:r>
      <w:r w:rsidRPr="006715F3">
        <w:rPr>
          <w:rFonts w:eastAsia="Times New Roman" w:cs="Times New Roman"/>
          <w:lang w:eastAsia="de-DE"/>
        </w:rPr>
        <w:t xml:space="preserve">(„gesegnet"), das einen Nominalsatz ohne Kopula bildet. </w:t>
      </w:r>
      <w:r w:rsidRPr="006715F3">
        <w:rPr>
          <w:rFonts w:eastAsia="Times New Roman" w:cs="Times New Roman"/>
          <w:b/>
          <w:bCs/>
          <w:rtl/>
          <w:lang w:eastAsia="de-DE"/>
        </w:rPr>
        <w:t>וְאֹרְרֶיךָ אָרוּר</w:t>
      </w:r>
      <w:r w:rsidRPr="006715F3">
        <w:rPr>
          <w:rFonts w:eastAsia="Times New Roman" w:cs="Times New Roman"/>
          <w:rtl/>
          <w:lang w:eastAsia="de-DE"/>
        </w:rPr>
        <w:t xml:space="preserve"> </w:t>
      </w:r>
      <w:r w:rsidRPr="006715F3">
        <w:rPr>
          <w:rFonts w:eastAsia="Times New Roman" w:cs="Times New Roman"/>
          <w:lang w:eastAsia="de-DE"/>
        </w:rPr>
        <w:t xml:space="preserve">ist die antithetische Parallele mit dem Qal-Partizip Plural </w:t>
      </w:r>
      <w:r w:rsidRPr="006715F3">
        <w:rPr>
          <w:rFonts w:eastAsia="Times New Roman" w:cs="Times New Roman"/>
          <w:b/>
          <w:bCs/>
          <w:rtl/>
          <w:lang w:eastAsia="de-DE"/>
        </w:rPr>
        <w:t>אֹרְרֶיךָ</w:t>
      </w:r>
      <w:r w:rsidRPr="006715F3">
        <w:rPr>
          <w:rFonts w:eastAsia="Times New Roman" w:cs="Times New Roman"/>
          <w:rtl/>
          <w:lang w:eastAsia="de-DE"/>
        </w:rPr>
        <w:t xml:space="preserve"> </w:t>
      </w:r>
      <w:r w:rsidRPr="006715F3">
        <w:rPr>
          <w:rFonts w:eastAsia="Times New Roman" w:cs="Times New Roman"/>
          <w:lang w:eastAsia="de-DE"/>
        </w:rPr>
        <w:t xml:space="preserve">(„deine Verfluchenden") und dem Passiv-Partizip </w:t>
      </w:r>
      <w:r w:rsidRPr="006715F3">
        <w:rPr>
          <w:rFonts w:eastAsia="Times New Roman" w:cs="Times New Roman"/>
          <w:b/>
          <w:bCs/>
          <w:rtl/>
          <w:lang w:eastAsia="de-DE"/>
        </w:rPr>
        <w:t>אָרוּר</w:t>
      </w:r>
      <w:r w:rsidRPr="006715F3">
        <w:rPr>
          <w:rFonts w:eastAsia="Times New Roman" w:cs="Times New Roman"/>
          <w:rtl/>
          <w:lang w:eastAsia="de-DE"/>
        </w:rPr>
        <w:t xml:space="preserve"> </w:t>
      </w:r>
      <w:r w:rsidRPr="006715F3">
        <w:rPr>
          <w:rFonts w:eastAsia="Times New Roman" w:cs="Times New Roman"/>
          <w:lang w:eastAsia="de-DE"/>
        </w:rPr>
        <w:t xml:space="preserve">(„verflucht"). Die Kongruenz zwischen Plural-Subjekt und Singular-Prädikat behandelt das Kollektiv als </w:t>
      </w:r>
      <w:r w:rsidRPr="006715F3">
        <w:rPr>
          <w:rFonts w:eastAsia="Times New Roman" w:cs="Times New Roman"/>
          <w:lang w:eastAsia="de-DE"/>
        </w:rPr>
        <w:lastRenderedPageBreak/>
        <w:t>Einheit. Diese Formulierung erinnert an Genesis 12,3 und betont die Kontinuität der Segenslinie von Abraham zu Israel.</w:t>
      </w:r>
    </w:p>
    <w:p w14:paraId="6314BD28" w14:textId="3D9A1AF6"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w:t>
      </w:r>
      <w:r w:rsidR="00CD2614">
        <w:t>übersetzt „</w:t>
      </w:r>
      <w:r w:rsidR="00CD2614" w:rsidRPr="00CD2614">
        <w:rPr>
          <w:b/>
          <w:bCs/>
          <w:rtl/>
        </w:rPr>
        <w:t>כַּאֲרִי</w:t>
      </w:r>
      <w:r w:rsidR="00CD2614">
        <w:rPr>
          <w:rtl/>
        </w:rPr>
        <w:t xml:space="preserve"> </w:t>
      </w:r>
      <w:r w:rsidR="00CD2614" w:rsidRPr="00CD2614">
        <w:rPr>
          <w:b/>
          <w:bCs/>
          <w:rtl/>
        </w:rPr>
        <w:t>וּכְלָבִיא</w:t>
      </w:r>
      <w:r w:rsidR="00CD2614">
        <w:t>" (wie ein Löwe und wie eine Löwin) mit „ὡς λέων καὶ ὡς σκύμνος" (wie ein Löwe und wie ein junger Löwe), wobei das Geschlecht geändert wird.</w:t>
      </w:r>
    </w:p>
    <w:p w14:paraId="2DA97FF3"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zunächst zwei asyndetische Perfektsätze mit zwei Vergleichen, gefolgt von einer rhetorischen Frage. Der zweite Teil besteht aus zwei parallelen Nominalsätzen, die eine chiastische Beziehung zwischen Segnen und Gesegnetsein bzw. Verfluchen und Verfluchtsein ausdrücken.</w:t>
      </w:r>
    </w:p>
    <w:p w14:paraId="5A9E4DA4"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verwendet die Metapher des ruhenden, aber gefährlichen Raubtiers, um Israels Zustand zu beschreiben. Die Segen-Fluch-Formel universalisiert die Bedeutung Israels für alle Völker.</w:t>
      </w:r>
    </w:p>
    <w:p w14:paraId="0615678C"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24,10</w:t>
      </w:r>
    </w:p>
    <w:p w14:paraId="7E320699"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וַיִּֽחַר־אַ֤ף בָּלָק֙ אֶל־בִּלְעָ֔ם וַיִּסְפֹּ֖ק אֶת־כַּפָּ֑יו וַיֹּ֨אמֶר בָּלָ֜ק אֶל־בִּלְעָ֗ם לָקֹ֤ב אֹֽיְבַי֙ קְרָאתִ֔יךָ וְהִנֵּה֙ בֵּרַ֣כְתָּ בָרֵ֔ךְ זֶ֖ה שָׁלֹ֥שׁ פְּעָמִֽים׃</w:t>
      </w:r>
    </w:p>
    <w:p w14:paraId="60342A3E"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Da entbrannte der Zorn Balaks gegen Bil'am, und er schlug seine Handflächen zusammen. Und Balak sprach zu Bil'am: „Meine Feinde zu verfluchen habe ich dich gerufen, und siehe, du hast sie sogar sehr gesegnet diese drei Male."</w:t>
      </w:r>
    </w:p>
    <w:p w14:paraId="4C4586BB"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48FA73F3">
          <v:rect id="_x0000_i1835" style="width:0;height:1.5pt" o:hralign="center" o:hrstd="t" o:hr="t" fillcolor="#a0a0a0" stroked="f"/>
        </w:pict>
      </w:r>
    </w:p>
    <w:p w14:paraId="224E9797"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der idiomatischen Wendung </w:t>
      </w:r>
      <w:r w:rsidRPr="006715F3">
        <w:rPr>
          <w:rFonts w:eastAsia="Times New Roman" w:cs="Times New Roman"/>
          <w:b/>
          <w:bCs/>
          <w:rtl/>
          <w:lang w:eastAsia="de-DE"/>
        </w:rPr>
        <w:t>וַיִּחַר־אַף</w:t>
      </w:r>
      <w:r w:rsidRPr="006715F3">
        <w:rPr>
          <w:rFonts w:eastAsia="Times New Roman" w:cs="Times New Roman"/>
          <w:rtl/>
          <w:lang w:eastAsia="de-DE"/>
        </w:rPr>
        <w:t xml:space="preserve"> </w:t>
      </w:r>
      <w:r w:rsidRPr="006715F3">
        <w:rPr>
          <w:rFonts w:eastAsia="Times New Roman" w:cs="Times New Roman"/>
          <w:lang w:eastAsia="de-DE"/>
        </w:rPr>
        <w:t xml:space="preserve">(Qal Wayyiqtol von </w:t>
      </w:r>
      <w:r w:rsidRPr="006715F3">
        <w:rPr>
          <w:rFonts w:eastAsia="Times New Roman" w:cs="Times New Roman"/>
          <w:b/>
          <w:bCs/>
          <w:rtl/>
          <w:lang w:eastAsia="de-DE"/>
        </w:rPr>
        <w:t>חרה</w:t>
      </w:r>
      <w:r w:rsidRPr="006715F3">
        <w:rPr>
          <w:rFonts w:eastAsia="Times New Roman" w:cs="Times New Roman"/>
          <w:rtl/>
          <w:lang w:eastAsia="de-DE"/>
        </w:rPr>
        <w:t xml:space="preserve"> </w:t>
      </w:r>
      <w:r w:rsidRPr="006715F3">
        <w:rPr>
          <w:rFonts w:eastAsia="Times New Roman" w:cs="Times New Roman"/>
          <w:lang w:eastAsia="de-DE"/>
        </w:rPr>
        <w:t xml:space="preserve">mit </w:t>
      </w:r>
      <w:r w:rsidRPr="006715F3">
        <w:rPr>
          <w:rFonts w:eastAsia="Times New Roman" w:cs="Times New Roman"/>
          <w:b/>
          <w:bCs/>
          <w:rtl/>
          <w:lang w:eastAsia="de-DE"/>
        </w:rPr>
        <w:t>אַף</w:t>
      </w:r>
      <w:r w:rsidRPr="006715F3">
        <w:rPr>
          <w:rFonts w:eastAsia="Times New Roman" w:cs="Times New Roman"/>
          <w:rtl/>
          <w:lang w:eastAsia="de-DE"/>
        </w:rPr>
        <w:t xml:space="preserve"> </w:t>
      </w:r>
      <w:r w:rsidRPr="006715F3">
        <w:rPr>
          <w:rFonts w:eastAsia="Times New Roman" w:cs="Times New Roman"/>
          <w:lang w:eastAsia="de-DE"/>
        </w:rPr>
        <w:t xml:space="preserve">als Subjekt, „es entbrannte Zorn"), wobei die Präposition </w:t>
      </w:r>
      <w:r w:rsidRPr="006715F3">
        <w:rPr>
          <w:rFonts w:eastAsia="Times New Roman" w:cs="Times New Roman"/>
          <w:b/>
          <w:bCs/>
          <w:rtl/>
          <w:lang w:eastAsia="de-DE"/>
        </w:rPr>
        <w:t>אֶל־בִּלְעָם</w:t>
      </w:r>
      <w:r w:rsidRPr="006715F3">
        <w:rPr>
          <w:rFonts w:eastAsia="Times New Roman" w:cs="Times New Roman"/>
          <w:rtl/>
          <w:lang w:eastAsia="de-DE"/>
        </w:rPr>
        <w:t xml:space="preserve"> </w:t>
      </w:r>
      <w:r w:rsidRPr="006715F3">
        <w:rPr>
          <w:rFonts w:eastAsia="Times New Roman" w:cs="Times New Roman"/>
          <w:lang w:eastAsia="de-DE"/>
        </w:rPr>
        <w:t xml:space="preserve">die Richtung des Zorns anzeigt („gegen Bil'am"). </w:t>
      </w:r>
      <w:r w:rsidRPr="006715F3">
        <w:rPr>
          <w:rFonts w:eastAsia="Times New Roman" w:cs="Times New Roman"/>
          <w:b/>
          <w:bCs/>
          <w:rtl/>
          <w:lang w:eastAsia="de-DE"/>
        </w:rPr>
        <w:t>וַיִּסְפֹּק אֶת־כַּפָּיו</w:t>
      </w:r>
      <w:r w:rsidRPr="006715F3">
        <w:rPr>
          <w:rFonts w:eastAsia="Times New Roman" w:cs="Times New Roman"/>
          <w:rtl/>
          <w:lang w:eastAsia="de-DE"/>
        </w:rPr>
        <w:t xml:space="preserve"> </w:t>
      </w:r>
      <w:r w:rsidRPr="006715F3">
        <w:rPr>
          <w:rFonts w:eastAsia="Times New Roman" w:cs="Times New Roman"/>
          <w:lang w:eastAsia="de-DE"/>
        </w:rPr>
        <w:t xml:space="preserve">beschreibt eine symbolische Handlung: Qal Wayyiqtol von </w:t>
      </w:r>
      <w:r w:rsidRPr="006715F3">
        <w:rPr>
          <w:rFonts w:eastAsia="Times New Roman" w:cs="Times New Roman"/>
          <w:b/>
          <w:bCs/>
          <w:rtl/>
          <w:lang w:eastAsia="de-DE"/>
        </w:rPr>
        <w:t>ספק</w:t>
      </w:r>
      <w:r w:rsidRPr="006715F3">
        <w:rPr>
          <w:rFonts w:eastAsia="Times New Roman" w:cs="Times New Roman"/>
          <w:rtl/>
          <w:lang w:eastAsia="de-DE"/>
        </w:rPr>
        <w:t xml:space="preserve"> </w:t>
      </w:r>
      <w:r w:rsidRPr="006715F3">
        <w:rPr>
          <w:rFonts w:eastAsia="Times New Roman" w:cs="Times New Roman"/>
          <w:lang w:eastAsia="de-DE"/>
        </w:rPr>
        <w:t xml:space="preserve">(„zusammenschlagen") mit dem Akkusativobjekt </w:t>
      </w:r>
      <w:r w:rsidRPr="006715F3">
        <w:rPr>
          <w:rFonts w:eastAsia="Times New Roman" w:cs="Times New Roman"/>
          <w:b/>
          <w:bCs/>
          <w:rtl/>
          <w:lang w:eastAsia="de-DE"/>
        </w:rPr>
        <w:t>כַּפָּיו</w:t>
      </w:r>
      <w:r w:rsidRPr="006715F3">
        <w:rPr>
          <w:rFonts w:eastAsia="Times New Roman" w:cs="Times New Roman"/>
          <w:rtl/>
          <w:lang w:eastAsia="de-DE"/>
        </w:rPr>
        <w:t xml:space="preserve"> </w:t>
      </w:r>
      <w:r w:rsidRPr="006715F3">
        <w:rPr>
          <w:rFonts w:eastAsia="Times New Roman" w:cs="Times New Roman"/>
          <w:lang w:eastAsia="de-DE"/>
        </w:rPr>
        <w:t>(Dual „seine Hände"), eine Geste des Zorns und der Frustration. Die beiden Wayyiqtol-Formen bilden eine Handlungssequenz: erst entbrennt der Zorn innerlich, dann manifestiert er sich äußerlich.</w:t>
      </w:r>
    </w:p>
    <w:p w14:paraId="3C1A45A9" w14:textId="34B9470A"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 xml:space="preserve">Die direkte Rede beginnt mit </w:t>
      </w:r>
      <w:r w:rsidRPr="006715F3">
        <w:rPr>
          <w:rFonts w:eastAsia="Times New Roman" w:cs="Times New Roman"/>
          <w:b/>
          <w:bCs/>
          <w:rtl/>
          <w:lang w:eastAsia="de-DE"/>
        </w:rPr>
        <w:t>לָקֹב אֹיְבַי קְרָאתִיךָ</w:t>
      </w:r>
      <w:r w:rsidRPr="006715F3">
        <w:rPr>
          <w:rFonts w:eastAsia="Times New Roman" w:cs="Times New Roman"/>
          <w:lang w:eastAsia="de-DE"/>
        </w:rPr>
        <w:t xml:space="preserve">, wobei </w:t>
      </w:r>
      <w:r w:rsidRPr="006715F3">
        <w:rPr>
          <w:rFonts w:eastAsia="Times New Roman" w:cs="Times New Roman"/>
          <w:b/>
          <w:bCs/>
          <w:rtl/>
          <w:lang w:eastAsia="de-DE"/>
        </w:rPr>
        <w:t>לָקֹב</w:t>
      </w:r>
      <w:r w:rsidRPr="006715F3">
        <w:rPr>
          <w:rFonts w:eastAsia="Times New Roman" w:cs="Times New Roman"/>
          <w:rtl/>
          <w:lang w:eastAsia="de-DE"/>
        </w:rPr>
        <w:t xml:space="preserve"> </w:t>
      </w:r>
      <w:r w:rsidRPr="006715F3">
        <w:rPr>
          <w:rFonts w:eastAsia="Times New Roman" w:cs="Times New Roman"/>
          <w:lang w:eastAsia="de-DE"/>
        </w:rPr>
        <w:t xml:space="preserve">(Qal Infinitiv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קבב</w:t>
      </w:r>
      <w:r w:rsidRPr="006715F3">
        <w:rPr>
          <w:rFonts w:eastAsia="Times New Roman" w:cs="Times New Roman"/>
          <w:rtl/>
          <w:lang w:eastAsia="de-DE"/>
        </w:rPr>
        <w:t xml:space="preserve"> </w:t>
      </w:r>
      <w:r w:rsidRPr="006715F3">
        <w:rPr>
          <w:rFonts w:eastAsia="Times New Roman" w:cs="Times New Roman"/>
          <w:lang w:eastAsia="de-DE"/>
        </w:rPr>
        <w:t xml:space="preserve">mit </w:t>
      </w:r>
      <w:r w:rsidRPr="006715F3">
        <w:rPr>
          <w:rFonts w:eastAsia="Times New Roman" w:cs="Times New Roman"/>
          <w:b/>
          <w:bCs/>
          <w:rtl/>
          <w:lang w:eastAsia="de-DE"/>
        </w:rPr>
        <w:t>לְ</w:t>
      </w:r>
      <w:r w:rsidRPr="006715F3">
        <w:rPr>
          <w:rFonts w:eastAsia="Times New Roman" w:cs="Times New Roman"/>
          <w:lang w:eastAsia="de-DE"/>
        </w:rPr>
        <w:t xml:space="preserve">) den Zweck ausdrückt („um zu verfluchen"). </w:t>
      </w:r>
      <w:r w:rsidRPr="006715F3">
        <w:rPr>
          <w:rFonts w:eastAsia="Times New Roman" w:cs="Times New Roman"/>
          <w:b/>
          <w:bCs/>
          <w:rtl/>
          <w:lang w:eastAsia="de-DE"/>
        </w:rPr>
        <w:t>אֹיְבַי</w:t>
      </w:r>
      <w:r w:rsidRPr="006715F3">
        <w:rPr>
          <w:rFonts w:eastAsia="Times New Roman" w:cs="Times New Roman"/>
          <w:rtl/>
          <w:lang w:eastAsia="de-DE"/>
        </w:rPr>
        <w:t xml:space="preserve"> </w:t>
      </w:r>
      <w:r w:rsidRPr="006715F3">
        <w:rPr>
          <w:rFonts w:eastAsia="Times New Roman" w:cs="Times New Roman"/>
          <w:lang w:eastAsia="de-DE"/>
        </w:rPr>
        <w:t xml:space="preserve">(„meine Feinde") ist das Objekt des Infinitivs, </w:t>
      </w:r>
      <w:r w:rsidRPr="006715F3">
        <w:rPr>
          <w:rFonts w:eastAsia="Times New Roman" w:cs="Times New Roman"/>
          <w:b/>
          <w:bCs/>
          <w:rtl/>
          <w:lang w:eastAsia="de-DE"/>
        </w:rPr>
        <w:t>קְרָאתִיךָ</w:t>
      </w:r>
      <w:r w:rsidRPr="006715F3">
        <w:rPr>
          <w:rFonts w:eastAsia="Times New Roman" w:cs="Times New Roman"/>
          <w:rtl/>
          <w:lang w:eastAsia="de-DE"/>
        </w:rPr>
        <w:t xml:space="preserve"> </w:t>
      </w:r>
      <w:r w:rsidRPr="006715F3">
        <w:rPr>
          <w:rFonts w:eastAsia="Times New Roman" w:cs="Times New Roman"/>
          <w:lang w:eastAsia="de-DE"/>
        </w:rPr>
        <w:t xml:space="preserve">(Qal Perfekt 1. Person Singular mit Suffix „ich habe dich gerufen") drückt die abgeschlossene Handlung aus. Die Wortstellung mit vorangestelltem Infinitiv betont den Zweck. </w:t>
      </w:r>
      <w:r w:rsidRPr="006715F3">
        <w:rPr>
          <w:rFonts w:eastAsia="Times New Roman" w:cs="Times New Roman"/>
          <w:b/>
          <w:bCs/>
          <w:rtl/>
          <w:lang w:eastAsia="de-DE"/>
        </w:rPr>
        <w:t>וְהִנֵּה בֵּרַכְתָּ בָרֵךְ</w:t>
      </w:r>
      <w:r w:rsidRPr="006715F3">
        <w:rPr>
          <w:rFonts w:eastAsia="Times New Roman" w:cs="Times New Roman"/>
          <w:rtl/>
          <w:lang w:eastAsia="de-DE"/>
        </w:rPr>
        <w:t xml:space="preserve"> </w:t>
      </w:r>
      <w:r w:rsidRPr="006715F3">
        <w:rPr>
          <w:rFonts w:eastAsia="Times New Roman" w:cs="Times New Roman"/>
          <w:lang w:eastAsia="de-DE"/>
        </w:rPr>
        <w:t xml:space="preserve">bildet den Kontrast: </w:t>
      </w:r>
      <w:r w:rsidRPr="006715F3">
        <w:rPr>
          <w:rFonts w:eastAsia="Times New Roman" w:cs="Times New Roman"/>
          <w:b/>
          <w:bCs/>
          <w:rtl/>
          <w:lang w:eastAsia="de-DE"/>
        </w:rPr>
        <w:t>הִנֵּה</w:t>
      </w:r>
      <w:r w:rsidRPr="006715F3">
        <w:rPr>
          <w:rFonts w:eastAsia="Times New Roman" w:cs="Times New Roman"/>
          <w:rtl/>
          <w:lang w:eastAsia="de-DE"/>
        </w:rPr>
        <w:t xml:space="preserve"> </w:t>
      </w:r>
      <w:r w:rsidRPr="006715F3">
        <w:rPr>
          <w:rFonts w:eastAsia="Times New Roman" w:cs="Times New Roman"/>
          <w:lang w:eastAsia="de-DE"/>
        </w:rPr>
        <w:t xml:space="preserve">(„siehe") leitet einen überraschenden Sachverhalt ein, </w:t>
      </w:r>
      <w:r w:rsidRPr="006715F3">
        <w:rPr>
          <w:rFonts w:eastAsia="Times New Roman" w:cs="Times New Roman"/>
          <w:b/>
          <w:bCs/>
          <w:rtl/>
          <w:lang w:eastAsia="de-DE"/>
        </w:rPr>
        <w:t>בֵּרַכְתָּ</w:t>
      </w:r>
      <w:r w:rsidRPr="006715F3">
        <w:rPr>
          <w:rFonts w:eastAsia="Times New Roman" w:cs="Times New Roman"/>
          <w:rtl/>
          <w:lang w:eastAsia="de-DE"/>
        </w:rPr>
        <w:t xml:space="preserve"> </w:t>
      </w:r>
      <w:r w:rsidRPr="006715F3">
        <w:rPr>
          <w:rFonts w:eastAsia="Times New Roman" w:cs="Times New Roman"/>
          <w:lang w:eastAsia="de-DE"/>
        </w:rPr>
        <w:t xml:space="preserve">(Piel Perfekt 2. Person maskulin Singular „du hast gesegnet") mit dem Infinitiv Absolutus </w:t>
      </w:r>
      <w:r w:rsidRPr="006715F3">
        <w:rPr>
          <w:rFonts w:eastAsia="Times New Roman" w:cs="Times New Roman"/>
          <w:b/>
          <w:bCs/>
          <w:rtl/>
          <w:lang w:eastAsia="de-DE"/>
        </w:rPr>
        <w:t>בָּרֵךְ</w:t>
      </w:r>
      <w:r w:rsidRPr="006715F3">
        <w:rPr>
          <w:rFonts w:eastAsia="Times New Roman" w:cs="Times New Roman"/>
          <w:rtl/>
          <w:lang w:eastAsia="de-DE"/>
        </w:rPr>
        <w:t xml:space="preserve"> </w:t>
      </w:r>
      <w:r w:rsidRPr="006715F3">
        <w:rPr>
          <w:rFonts w:eastAsia="Times New Roman" w:cs="Times New Roman"/>
          <w:lang w:eastAsia="de-DE"/>
        </w:rPr>
        <w:t xml:space="preserve">bildet eine Verstärkungskonstruktion („du hast sehr gesegnet, ja gesegnet"). </w:t>
      </w:r>
      <w:r w:rsidRPr="006715F3">
        <w:rPr>
          <w:rFonts w:eastAsia="Times New Roman" w:cs="Times New Roman"/>
          <w:b/>
          <w:bCs/>
          <w:rtl/>
          <w:lang w:eastAsia="de-DE"/>
        </w:rPr>
        <w:t>זֶה שָׁלֹשׁ פְּעָמִים</w:t>
      </w:r>
      <w:r w:rsidRPr="006715F3">
        <w:rPr>
          <w:rFonts w:eastAsia="Times New Roman" w:cs="Times New Roman"/>
          <w:rtl/>
          <w:lang w:eastAsia="de-DE"/>
        </w:rPr>
        <w:t xml:space="preserve"> </w:t>
      </w:r>
      <w:r w:rsidRPr="006715F3">
        <w:rPr>
          <w:rFonts w:eastAsia="Times New Roman" w:cs="Times New Roman"/>
          <w:lang w:eastAsia="de-DE"/>
        </w:rPr>
        <w:t>(„dies drei Male") spezifiziert die Häufigkeit als Akkusativ der Zeitausdehnung.</w:t>
      </w:r>
    </w:p>
    <w:p w14:paraId="56EF3B03"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gibt die Verstärkungskonstruktion </w:t>
      </w:r>
      <w:r w:rsidRPr="006715F3">
        <w:rPr>
          <w:rFonts w:eastAsia="Times New Roman" w:cs="Times New Roman"/>
          <w:b/>
          <w:bCs/>
          <w:rtl/>
          <w:lang w:eastAsia="de-DE"/>
        </w:rPr>
        <w:t>בֵּרַכְתָּ בָרֵךְ</w:t>
      </w:r>
      <w:r w:rsidRPr="006715F3">
        <w:rPr>
          <w:rFonts w:eastAsia="Times New Roman" w:cs="Times New Roman"/>
          <w:rtl/>
          <w:lang w:eastAsia="de-DE"/>
        </w:rPr>
        <w:t xml:space="preserve"> </w:t>
      </w:r>
      <w:r w:rsidRPr="006715F3">
        <w:rPr>
          <w:rFonts w:eastAsia="Times New Roman" w:cs="Times New Roman"/>
          <w:lang w:eastAsia="de-DE"/>
        </w:rPr>
        <w:t>nicht durch eine wörtliche Wiederholung des Verbs wieder, sondern verschiebt die Betonung auf die Häufigkeit durch τοῦτο τρίτον („dies zum dritten Mal"), was bedeutet, dass die Intensität des Segens im Griechischen weniger betont wird als im Hebräischen.</w:t>
      </w:r>
    </w:p>
    <w:p w14:paraId="32B7BB08"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lastRenderedPageBreak/>
        <w:t>Die Satzstruktur zeigt drei koordinierte Hauptsätze im Narrativ, gefolgt von der direkten Rede mit einem Hauptsatz mit vorangestelltem Finalsatz und einem adversativen Hauptsatz.</w:t>
      </w:r>
    </w:p>
    <w:p w14:paraId="4D8EECAF"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markiert den dramatischen Höhepunkt: Balaks Frustration explodiert, nachdem Bileam zum dritten Mal Israel gesegnet statt verflucht hat, was die Ironie der umgekehrten Erwartung unterstreicht.</w:t>
      </w:r>
    </w:p>
    <w:p w14:paraId="7F1ADA0D"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24,11</w:t>
      </w:r>
    </w:p>
    <w:p w14:paraId="442C14D1"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וְעַתָּ֖ה בְּרַח־לְךָ֣ אֶל־מְקוֹמֶ֑ךָ אָמַ֨רְתִּי֙ כַּבֵּ֣ד אֲכַבֶּדְךָ֔ וְהִנֵּ֛ה מְנָעֲךָ֥ יְהוָ֖ה מִכָּבֽוֹד׃</w:t>
      </w:r>
    </w:p>
    <w:p w14:paraId="6A276593"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nun flieh an deinen Ort. Ich hatte gesagt, ich werde dich gewiss ehren, aber siehe, der Ewige hat dir die Ehre verwehrt.</w:t>
      </w:r>
    </w:p>
    <w:p w14:paraId="04709578"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4B3F1F0C">
          <v:rect id="_x0000_i1836" style="width:0;height:1.5pt" o:hralign="center" o:hrstd="t" o:hr="t" fillcolor="#a0a0a0" stroked="f"/>
        </w:pict>
      </w:r>
    </w:p>
    <w:p w14:paraId="6E22C0A2" w14:textId="369C0B71"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וְעַתָּה</w:t>
      </w:r>
      <w:r w:rsidRPr="006715F3">
        <w:rPr>
          <w:rFonts w:eastAsia="Times New Roman" w:cs="Times New Roman"/>
          <w:rtl/>
          <w:lang w:eastAsia="de-DE"/>
        </w:rPr>
        <w:t xml:space="preserve"> </w:t>
      </w:r>
      <w:r w:rsidRPr="006715F3">
        <w:rPr>
          <w:rFonts w:eastAsia="Times New Roman" w:cs="Times New Roman"/>
          <w:lang w:eastAsia="de-DE"/>
        </w:rPr>
        <w:t xml:space="preserve">(„und nun"), einer temporalen Übergangsformel, gefolgt von </w:t>
      </w:r>
      <w:r w:rsidRPr="006715F3">
        <w:rPr>
          <w:rFonts w:eastAsia="Times New Roman" w:cs="Times New Roman"/>
          <w:b/>
          <w:bCs/>
          <w:rtl/>
          <w:lang w:eastAsia="de-DE"/>
        </w:rPr>
        <w:t>בְּרַח־לְךָ</w:t>
      </w:r>
      <w:r w:rsidRPr="006715F3">
        <w:rPr>
          <w:rFonts w:eastAsia="Times New Roman" w:cs="Times New Roman"/>
          <w:rtl/>
          <w:lang w:eastAsia="de-DE"/>
        </w:rPr>
        <w:t xml:space="preserve"> </w:t>
      </w:r>
      <w:r w:rsidRPr="006715F3">
        <w:rPr>
          <w:rFonts w:eastAsia="Times New Roman" w:cs="Times New Roman"/>
          <w:lang w:eastAsia="de-DE"/>
        </w:rPr>
        <w:t xml:space="preserve">(Qal Imperativ maskulin Singular von </w:t>
      </w:r>
      <w:r w:rsidRPr="006715F3">
        <w:rPr>
          <w:rFonts w:eastAsia="Times New Roman" w:cs="Times New Roman"/>
          <w:b/>
          <w:bCs/>
          <w:rtl/>
          <w:lang w:eastAsia="de-DE"/>
        </w:rPr>
        <w:t>ברח</w:t>
      </w:r>
      <w:r w:rsidRPr="006715F3">
        <w:rPr>
          <w:rFonts w:eastAsia="Times New Roman" w:cs="Times New Roman"/>
          <w:rtl/>
          <w:lang w:eastAsia="de-DE"/>
        </w:rPr>
        <w:t xml:space="preserve"> </w:t>
      </w:r>
      <w:r w:rsidRPr="006715F3">
        <w:rPr>
          <w:rFonts w:eastAsia="Times New Roman" w:cs="Times New Roman"/>
          <w:lang w:eastAsia="de-DE"/>
        </w:rPr>
        <w:t xml:space="preserve">„fliehen" mit ethischem Dativ </w:t>
      </w:r>
      <w:r w:rsidRPr="006715F3">
        <w:rPr>
          <w:rFonts w:eastAsia="Times New Roman" w:cs="Times New Roman"/>
          <w:b/>
          <w:bCs/>
          <w:rtl/>
          <w:lang w:eastAsia="de-DE"/>
        </w:rPr>
        <w:t>לְךָ</w:t>
      </w:r>
      <w:r w:rsidRPr="006715F3">
        <w:rPr>
          <w:rFonts w:eastAsia="Times New Roman" w:cs="Times New Roman"/>
          <w:lang w:eastAsia="de-DE"/>
        </w:rPr>
        <w:t xml:space="preserve">, der die Dringlichkeit verstärkt). </w:t>
      </w:r>
      <w:r w:rsidRPr="006715F3">
        <w:rPr>
          <w:rFonts w:eastAsia="Times New Roman" w:cs="Times New Roman"/>
          <w:b/>
          <w:bCs/>
          <w:rtl/>
          <w:lang w:eastAsia="de-DE"/>
        </w:rPr>
        <w:t>אֶל־מְקוֹמֶךָ</w:t>
      </w:r>
      <w:r w:rsidRPr="006715F3">
        <w:rPr>
          <w:rFonts w:eastAsia="Times New Roman" w:cs="Times New Roman"/>
          <w:rtl/>
          <w:lang w:eastAsia="de-DE"/>
        </w:rPr>
        <w:t xml:space="preserve"> </w:t>
      </w:r>
      <w:r w:rsidRPr="006715F3">
        <w:rPr>
          <w:rFonts w:eastAsia="Times New Roman" w:cs="Times New Roman"/>
          <w:lang w:eastAsia="de-DE"/>
        </w:rPr>
        <w:t xml:space="preserve">(„zu deinem Ort") gibt das Ziel mit der direktionalen Präposition </w:t>
      </w:r>
      <w:r w:rsidRPr="006715F3">
        <w:rPr>
          <w:rFonts w:eastAsia="Times New Roman" w:cs="Times New Roman"/>
          <w:b/>
          <w:bCs/>
          <w:rtl/>
          <w:lang w:eastAsia="de-DE"/>
        </w:rPr>
        <w:t>אֶל</w:t>
      </w:r>
      <w:r w:rsidRPr="006715F3">
        <w:rPr>
          <w:rFonts w:eastAsia="Times New Roman" w:cs="Times New Roman"/>
          <w:rtl/>
          <w:lang w:eastAsia="de-DE"/>
        </w:rPr>
        <w:t xml:space="preserve"> </w:t>
      </w:r>
      <w:r w:rsidRPr="006715F3">
        <w:rPr>
          <w:rFonts w:eastAsia="Times New Roman" w:cs="Times New Roman"/>
          <w:lang w:eastAsia="de-DE"/>
        </w:rPr>
        <w:t xml:space="preserve">an. Der Befehl drückt Balaks Entlassung und Zurückweisung aus. </w:t>
      </w:r>
      <w:r w:rsidRPr="006715F3">
        <w:rPr>
          <w:rFonts w:eastAsia="Times New Roman" w:cs="Times New Roman"/>
          <w:b/>
          <w:bCs/>
          <w:rtl/>
          <w:lang w:eastAsia="de-DE"/>
        </w:rPr>
        <w:t>אָמַרְתִּי כַּבֵּד אֲכַבֶּדְךָ</w:t>
      </w:r>
      <w:r w:rsidRPr="006715F3">
        <w:rPr>
          <w:rFonts w:eastAsia="Times New Roman" w:cs="Times New Roman"/>
          <w:rtl/>
          <w:lang w:eastAsia="de-DE"/>
        </w:rPr>
        <w:t xml:space="preserve"> </w:t>
      </w:r>
      <w:r w:rsidRPr="006715F3">
        <w:rPr>
          <w:rFonts w:eastAsia="Times New Roman" w:cs="Times New Roman"/>
          <w:lang w:eastAsia="de-DE"/>
        </w:rPr>
        <w:t xml:space="preserve">erinnert an die frühere Verheißung: </w:t>
      </w:r>
      <w:r w:rsidRPr="006715F3">
        <w:rPr>
          <w:rFonts w:eastAsia="Times New Roman" w:cs="Times New Roman"/>
          <w:b/>
          <w:bCs/>
          <w:rtl/>
          <w:lang w:eastAsia="de-DE"/>
        </w:rPr>
        <w:t>אָמַרְתִּי</w:t>
      </w:r>
      <w:r w:rsidRPr="006715F3">
        <w:rPr>
          <w:rFonts w:eastAsia="Times New Roman" w:cs="Times New Roman"/>
          <w:rtl/>
          <w:lang w:eastAsia="de-DE"/>
        </w:rPr>
        <w:t xml:space="preserve"> </w:t>
      </w:r>
      <w:r w:rsidRPr="006715F3">
        <w:rPr>
          <w:rFonts w:eastAsia="Times New Roman" w:cs="Times New Roman"/>
          <w:lang w:eastAsia="de-DE"/>
        </w:rPr>
        <w:t xml:space="preserve">(Qal Perfekt 1. Person Singular, hier Plusquamperfekt „ich hatte gesagt"), </w:t>
      </w:r>
      <w:r w:rsidRPr="006715F3">
        <w:rPr>
          <w:rFonts w:eastAsia="Times New Roman" w:cs="Times New Roman"/>
          <w:b/>
          <w:bCs/>
          <w:rtl/>
          <w:lang w:eastAsia="de-DE"/>
        </w:rPr>
        <w:t>כַּבֵּד</w:t>
      </w:r>
      <w:r w:rsidRPr="006715F3">
        <w:rPr>
          <w:rFonts w:eastAsia="Times New Roman" w:cs="Times New Roman"/>
          <w:rtl/>
          <w:lang w:eastAsia="de-DE"/>
        </w:rPr>
        <w:t xml:space="preserve"> </w:t>
      </w:r>
      <w:r w:rsidRPr="006715F3">
        <w:rPr>
          <w:rFonts w:eastAsia="Times New Roman" w:cs="Times New Roman"/>
          <w:lang w:eastAsia="de-DE"/>
        </w:rPr>
        <w:t xml:space="preserve">(Piel Infinitiv Absolutus) und </w:t>
      </w:r>
      <w:r w:rsidRPr="006715F3">
        <w:rPr>
          <w:rFonts w:eastAsia="Times New Roman" w:cs="Times New Roman"/>
          <w:b/>
          <w:bCs/>
          <w:rtl/>
          <w:lang w:eastAsia="de-DE"/>
        </w:rPr>
        <w:t>אֲכַבֶּדְךָ</w:t>
      </w:r>
      <w:r w:rsidRPr="006715F3">
        <w:rPr>
          <w:rFonts w:eastAsia="Times New Roman" w:cs="Times New Roman"/>
          <w:rtl/>
          <w:lang w:eastAsia="de-DE"/>
        </w:rPr>
        <w:t xml:space="preserve"> </w:t>
      </w:r>
      <w:r w:rsidRPr="006715F3">
        <w:rPr>
          <w:rFonts w:eastAsia="Times New Roman" w:cs="Times New Roman"/>
          <w:lang w:eastAsia="de-DE"/>
        </w:rPr>
        <w:t xml:space="preserve">(Piel Imperfekt 1. Person Singular mit Suffix „ich werde dich ehren") bilden die emphatische </w:t>
      </w:r>
      <w:r w:rsidR="00F133EC">
        <w:rPr>
          <w:rFonts w:eastAsia="Times New Roman" w:cs="Times New Roman"/>
          <w:lang w:eastAsia="de-DE"/>
        </w:rPr>
        <w:t>Construct</w:t>
      </w:r>
      <w:r w:rsidRPr="006715F3">
        <w:rPr>
          <w:rFonts w:eastAsia="Times New Roman" w:cs="Times New Roman"/>
          <w:lang w:eastAsia="de-DE"/>
        </w:rPr>
        <w:t xml:space="preserve">ion („ich werde dich gewiss ehren"). Das Piel verstärkt die Grundbedeutung von </w:t>
      </w:r>
      <w:r w:rsidRPr="006715F3">
        <w:rPr>
          <w:rFonts w:eastAsia="Times New Roman" w:cs="Times New Roman"/>
          <w:b/>
          <w:bCs/>
          <w:rtl/>
          <w:lang w:eastAsia="de-DE"/>
        </w:rPr>
        <w:t>כבד</w:t>
      </w:r>
      <w:r w:rsidRPr="006715F3">
        <w:rPr>
          <w:rFonts w:eastAsia="Times New Roman" w:cs="Times New Roman"/>
          <w:rtl/>
          <w:lang w:eastAsia="de-DE"/>
        </w:rPr>
        <w:t xml:space="preserve"> </w:t>
      </w:r>
      <w:r w:rsidRPr="006715F3">
        <w:rPr>
          <w:rFonts w:eastAsia="Times New Roman" w:cs="Times New Roman"/>
          <w:lang w:eastAsia="de-DE"/>
        </w:rPr>
        <w:t>(„ehren").</w:t>
      </w:r>
    </w:p>
    <w:p w14:paraId="4644EEDA"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וְהִנֵּה מְנָעֲךָ יְהוָה מִכָּבוֹד</w:t>
      </w:r>
      <w:r w:rsidRPr="006715F3">
        <w:rPr>
          <w:rFonts w:eastAsia="Times New Roman" w:cs="Times New Roman"/>
          <w:rtl/>
          <w:lang w:eastAsia="de-DE"/>
        </w:rPr>
        <w:t xml:space="preserve"> </w:t>
      </w:r>
      <w:r w:rsidRPr="006715F3">
        <w:rPr>
          <w:rFonts w:eastAsia="Times New Roman" w:cs="Times New Roman"/>
          <w:lang w:eastAsia="de-DE"/>
        </w:rPr>
        <w:t xml:space="preserve">bildet den adversativen Kontrast: </w:t>
      </w:r>
      <w:r w:rsidRPr="006715F3">
        <w:rPr>
          <w:rFonts w:eastAsia="Times New Roman" w:cs="Times New Roman"/>
          <w:b/>
          <w:bCs/>
          <w:rtl/>
          <w:lang w:eastAsia="de-DE"/>
        </w:rPr>
        <w:t>הִנֵּה</w:t>
      </w:r>
      <w:r w:rsidRPr="006715F3">
        <w:rPr>
          <w:rFonts w:eastAsia="Times New Roman" w:cs="Times New Roman"/>
          <w:rtl/>
          <w:lang w:eastAsia="de-DE"/>
        </w:rPr>
        <w:t xml:space="preserve"> </w:t>
      </w:r>
      <w:r w:rsidRPr="006715F3">
        <w:rPr>
          <w:rFonts w:eastAsia="Times New Roman" w:cs="Times New Roman"/>
          <w:lang w:eastAsia="de-DE"/>
        </w:rPr>
        <w:t xml:space="preserve">(„aber siehe"), </w:t>
      </w:r>
      <w:r w:rsidRPr="006715F3">
        <w:rPr>
          <w:rFonts w:eastAsia="Times New Roman" w:cs="Times New Roman"/>
          <w:b/>
          <w:bCs/>
          <w:rtl/>
          <w:lang w:eastAsia="de-DE"/>
        </w:rPr>
        <w:t>מְנָעֲךָ</w:t>
      </w:r>
      <w:r w:rsidRPr="006715F3">
        <w:rPr>
          <w:rFonts w:eastAsia="Times New Roman" w:cs="Times New Roman"/>
          <w:rtl/>
          <w:lang w:eastAsia="de-DE"/>
        </w:rPr>
        <w:t xml:space="preserve"> </w:t>
      </w:r>
      <w:r w:rsidRPr="006715F3">
        <w:rPr>
          <w:rFonts w:eastAsia="Times New Roman" w:cs="Times New Roman"/>
          <w:lang w:eastAsia="de-DE"/>
        </w:rPr>
        <w:t xml:space="preserve">(Qal Perfekt 3. Person maskulin Singular von </w:t>
      </w:r>
      <w:r w:rsidRPr="006715F3">
        <w:rPr>
          <w:rFonts w:eastAsia="Times New Roman" w:cs="Times New Roman"/>
          <w:b/>
          <w:bCs/>
          <w:rtl/>
          <w:lang w:eastAsia="de-DE"/>
        </w:rPr>
        <w:t>מנע</w:t>
      </w:r>
      <w:r w:rsidRPr="006715F3">
        <w:rPr>
          <w:rFonts w:eastAsia="Times New Roman" w:cs="Times New Roman"/>
          <w:rtl/>
          <w:lang w:eastAsia="de-DE"/>
        </w:rPr>
        <w:t xml:space="preserve"> </w:t>
      </w:r>
      <w:r w:rsidRPr="006715F3">
        <w:rPr>
          <w:rFonts w:eastAsia="Times New Roman" w:cs="Times New Roman"/>
          <w:lang w:eastAsia="de-DE"/>
        </w:rPr>
        <w:t xml:space="preserve">„zurückhalten, verwehren" mit Suffix der 2. Person maskulin Singular), </w:t>
      </w:r>
      <w:r w:rsidRPr="006715F3">
        <w:rPr>
          <w:rFonts w:eastAsia="Times New Roman" w:cs="Times New Roman"/>
          <w:b/>
          <w:bCs/>
          <w:rtl/>
          <w:lang w:eastAsia="de-DE"/>
        </w:rPr>
        <w:t>יְהוָה</w:t>
      </w:r>
      <w:r w:rsidRPr="006715F3">
        <w:rPr>
          <w:rFonts w:eastAsia="Times New Roman" w:cs="Times New Roman"/>
          <w:rtl/>
          <w:lang w:eastAsia="de-DE"/>
        </w:rPr>
        <w:t xml:space="preserve"> </w:t>
      </w:r>
      <w:r w:rsidRPr="006715F3">
        <w:rPr>
          <w:rFonts w:eastAsia="Times New Roman" w:cs="Times New Roman"/>
          <w:lang w:eastAsia="de-DE"/>
        </w:rPr>
        <w:t xml:space="preserve">(Tetragramm, nachgestellt für Emphase), </w:t>
      </w:r>
      <w:r w:rsidRPr="006715F3">
        <w:rPr>
          <w:rFonts w:eastAsia="Times New Roman" w:cs="Times New Roman"/>
          <w:b/>
          <w:bCs/>
          <w:rtl/>
          <w:lang w:eastAsia="de-DE"/>
        </w:rPr>
        <w:t>מִכָּבוֹד</w:t>
      </w:r>
      <w:r w:rsidRPr="006715F3">
        <w:rPr>
          <w:rFonts w:eastAsia="Times New Roman" w:cs="Times New Roman"/>
          <w:rtl/>
          <w:lang w:eastAsia="de-DE"/>
        </w:rPr>
        <w:t xml:space="preserve"> </w:t>
      </w:r>
      <w:r w:rsidRPr="006715F3">
        <w:rPr>
          <w:rFonts w:eastAsia="Times New Roman" w:cs="Times New Roman"/>
          <w:lang w:eastAsia="de-DE"/>
        </w:rPr>
        <w:t xml:space="preserve">(Präposition </w:t>
      </w:r>
      <w:r w:rsidRPr="006715F3">
        <w:rPr>
          <w:rFonts w:eastAsia="Times New Roman" w:cs="Times New Roman"/>
          <w:b/>
          <w:bCs/>
          <w:rtl/>
          <w:lang w:eastAsia="de-DE"/>
        </w:rPr>
        <w:t>מִן</w:t>
      </w:r>
      <w:r w:rsidRPr="006715F3">
        <w:rPr>
          <w:rFonts w:eastAsia="Times New Roman" w:cs="Times New Roman"/>
          <w:rtl/>
          <w:lang w:eastAsia="de-DE"/>
        </w:rPr>
        <w:t xml:space="preserve"> </w:t>
      </w:r>
      <w:r w:rsidRPr="006715F3">
        <w:rPr>
          <w:rFonts w:eastAsia="Times New Roman" w:cs="Times New Roman"/>
          <w:lang w:eastAsia="de-DE"/>
        </w:rPr>
        <w:t xml:space="preserve">„von" mit </w:t>
      </w:r>
      <w:r w:rsidRPr="006715F3">
        <w:rPr>
          <w:rFonts w:eastAsia="Times New Roman" w:cs="Times New Roman"/>
          <w:b/>
          <w:bCs/>
          <w:rtl/>
          <w:lang w:eastAsia="de-DE"/>
        </w:rPr>
        <w:t>כָּבוֹד</w:t>
      </w:r>
      <w:r w:rsidRPr="006715F3">
        <w:rPr>
          <w:rFonts w:eastAsia="Times New Roman" w:cs="Times New Roman"/>
          <w:rtl/>
          <w:lang w:eastAsia="de-DE"/>
        </w:rPr>
        <w:t xml:space="preserve"> </w:t>
      </w:r>
      <w:r w:rsidRPr="006715F3">
        <w:rPr>
          <w:rFonts w:eastAsia="Times New Roman" w:cs="Times New Roman"/>
          <w:lang w:eastAsia="de-DE"/>
        </w:rPr>
        <w:t>„Ehre"). Die Formulierung schreibt die Verhinderung der Belohnung direkt JHWH zu und nimmt Bileam in Schutz: nicht Bileam hat versagt, sondern Gott hat eingegriffen.</w:t>
      </w:r>
    </w:p>
    <w:p w14:paraId="5D8BFF87"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übersetzt </w:t>
      </w:r>
      <w:r w:rsidRPr="006715F3">
        <w:rPr>
          <w:rFonts w:eastAsia="Times New Roman" w:cs="Times New Roman"/>
          <w:b/>
          <w:bCs/>
          <w:rtl/>
          <w:lang w:eastAsia="de-DE"/>
        </w:rPr>
        <w:t>מנע</w:t>
      </w:r>
      <w:r w:rsidRPr="006715F3">
        <w:rPr>
          <w:rFonts w:eastAsia="Times New Roman" w:cs="Times New Roman"/>
          <w:rtl/>
          <w:lang w:eastAsia="de-DE"/>
        </w:rPr>
        <w:t xml:space="preserve"> </w:t>
      </w:r>
      <w:r w:rsidRPr="006715F3">
        <w:rPr>
          <w:rFonts w:eastAsia="Times New Roman" w:cs="Times New Roman"/>
          <w:lang w:eastAsia="de-DE"/>
        </w:rPr>
        <w:t>mit ἐστέρησεν („berauben"), was eine stärkere und negativere Bedeutung hat als das hebräische „zurückhalten/verwehren" und Gottes Handeln als aktive Entziehung statt bloßer Verhinderung darstellt.</w:t>
      </w:r>
    </w:p>
    <w:p w14:paraId="5ED6D22E"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einen einleitenden Imperativsatz, gefolgt von einem Perfektsatz mit Verstärkungskonstruktion und einem kontrastiven Hauptsatz mit nachgestelltem Subjekt.</w:t>
      </w:r>
    </w:p>
    <w:p w14:paraId="724A1D61"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demonstriert, wie Gott die menschlichen Pläne durchkreuzt und Bileam trotz Balaks Zorn unschuldig bleibt, indem die Verantwortung für das Ausbleiben der Belohnung Gott zugeschrieben wird.</w:t>
      </w:r>
    </w:p>
    <w:p w14:paraId="2055F6F2"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24,12</w:t>
      </w:r>
    </w:p>
    <w:p w14:paraId="1CEF5A30"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וַיֹּ֥אמֶר בִּלְעָ֖ם אֶל־בָּלָ֑ק הֲלֹ֗א גַּ֧ם אֶל־מַלְאָכֶ֛יךָ אֲשֶׁר־שָׁלַ֥חְתָּ אֵלַ֖י דִּבַּ֥רְתִּי לֵאמֹֽר׃</w:t>
      </w:r>
    </w:p>
    <w:p w14:paraId="2563A6BA"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lastRenderedPageBreak/>
        <w:t>Deutsch:</w:t>
      </w:r>
      <w:r w:rsidRPr="006715F3">
        <w:rPr>
          <w:rFonts w:eastAsia="Times New Roman" w:cs="Times New Roman"/>
          <w:lang w:eastAsia="de-DE"/>
        </w:rPr>
        <w:t xml:space="preserve"> Und Bil'am sprach zu Balak: „Habe ich nicht auch zu deinen Boten, die du zu mir gesandt hast, geredet und gesagt:</w:t>
      </w:r>
    </w:p>
    <w:p w14:paraId="7AFFE563"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4F96ED2B">
          <v:rect id="_x0000_i1837" style="width:0;height:1.5pt" o:hralign="center" o:hrstd="t" o:hr="t" fillcolor="#a0a0a0" stroked="f"/>
        </w:pict>
      </w:r>
    </w:p>
    <w:p w14:paraId="46101388"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der Standard-Redeeinleitung </w:t>
      </w:r>
      <w:r w:rsidRPr="006715F3">
        <w:rPr>
          <w:rFonts w:eastAsia="Times New Roman" w:cs="Times New Roman"/>
          <w:b/>
          <w:bCs/>
          <w:rtl/>
          <w:lang w:eastAsia="de-DE"/>
        </w:rPr>
        <w:t>וַיֹּאמֶר בִּלְעָם אֶל־בָּלָק</w:t>
      </w:r>
      <w:r w:rsidRPr="006715F3">
        <w:rPr>
          <w:rFonts w:eastAsia="Times New Roman" w:cs="Times New Roman"/>
          <w:rtl/>
          <w:lang w:eastAsia="de-DE"/>
        </w:rPr>
        <w:t xml:space="preserve"> </w:t>
      </w:r>
      <w:r w:rsidRPr="006715F3">
        <w:rPr>
          <w:rFonts w:eastAsia="Times New Roman" w:cs="Times New Roman"/>
          <w:lang w:eastAsia="de-DE"/>
        </w:rPr>
        <w:t xml:space="preserve">(Qal Wayyiqtol von </w:t>
      </w:r>
      <w:r w:rsidRPr="006715F3">
        <w:rPr>
          <w:rFonts w:eastAsia="Times New Roman" w:cs="Times New Roman"/>
          <w:b/>
          <w:bCs/>
          <w:rtl/>
          <w:lang w:eastAsia="de-DE"/>
        </w:rPr>
        <w:t>אמר</w:t>
      </w:r>
      <w:r w:rsidRPr="006715F3">
        <w:rPr>
          <w:rFonts w:eastAsia="Times New Roman" w:cs="Times New Roman"/>
          <w:rtl/>
          <w:lang w:eastAsia="de-DE"/>
        </w:rPr>
        <w:t xml:space="preserve"> </w:t>
      </w:r>
      <w:r w:rsidRPr="006715F3">
        <w:rPr>
          <w:rFonts w:eastAsia="Times New Roman" w:cs="Times New Roman"/>
          <w:lang w:eastAsia="de-DE"/>
        </w:rPr>
        <w:t xml:space="preserve">„sagen"). Die direkte Rede eröffnet mit </w:t>
      </w:r>
      <w:r w:rsidRPr="006715F3">
        <w:rPr>
          <w:rFonts w:eastAsia="Times New Roman" w:cs="Times New Roman"/>
          <w:b/>
          <w:bCs/>
          <w:rtl/>
          <w:lang w:eastAsia="de-DE"/>
        </w:rPr>
        <w:t>הֲלֹא</w:t>
      </w:r>
      <w:r w:rsidRPr="006715F3">
        <w:rPr>
          <w:rFonts w:eastAsia="Times New Roman" w:cs="Times New Roman"/>
          <w:lang w:eastAsia="de-DE"/>
        </w:rPr>
        <w:t xml:space="preserve">, einer rhetorischen Fragepartikel, die eine bejahende Antwort erwartet („nicht wahr, dass...?"). </w:t>
      </w:r>
      <w:r w:rsidRPr="006715F3">
        <w:rPr>
          <w:rFonts w:eastAsia="Times New Roman" w:cs="Times New Roman"/>
          <w:b/>
          <w:bCs/>
          <w:rtl/>
          <w:lang w:eastAsia="de-DE"/>
        </w:rPr>
        <w:t>גַּם</w:t>
      </w:r>
      <w:r w:rsidRPr="006715F3">
        <w:rPr>
          <w:rFonts w:eastAsia="Times New Roman" w:cs="Times New Roman"/>
          <w:rtl/>
          <w:lang w:eastAsia="de-DE"/>
        </w:rPr>
        <w:t xml:space="preserve"> </w:t>
      </w:r>
      <w:r w:rsidRPr="006715F3">
        <w:rPr>
          <w:rFonts w:eastAsia="Times New Roman" w:cs="Times New Roman"/>
          <w:lang w:eastAsia="de-DE"/>
        </w:rPr>
        <w:t xml:space="preserve">(„auch") verstärkt die Aussage und verbindet sie mit vorherigen Äußerungen. </w:t>
      </w:r>
      <w:r w:rsidRPr="006715F3">
        <w:rPr>
          <w:rFonts w:eastAsia="Times New Roman" w:cs="Times New Roman"/>
          <w:b/>
          <w:bCs/>
          <w:rtl/>
          <w:lang w:eastAsia="de-DE"/>
        </w:rPr>
        <w:t>אֶל־מַלְאָכֶיךָ</w:t>
      </w:r>
      <w:r w:rsidRPr="006715F3">
        <w:rPr>
          <w:rFonts w:eastAsia="Times New Roman" w:cs="Times New Roman"/>
          <w:rtl/>
          <w:lang w:eastAsia="de-DE"/>
        </w:rPr>
        <w:t xml:space="preserve"> </w:t>
      </w:r>
      <w:r w:rsidRPr="006715F3">
        <w:rPr>
          <w:rFonts w:eastAsia="Times New Roman" w:cs="Times New Roman"/>
          <w:lang w:eastAsia="de-DE"/>
        </w:rPr>
        <w:t xml:space="preserve">(„zu deinen Boten") gibt den Adressaten mit der direktionalen Präposition </w:t>
      </w:r>
      <w:r w:rsidRPr="006715F3">
        <w:rPr>
          <w:rFonts w:eastAsia="Times New Roman" w:cs="Times New Roman"/>
          <w:b/>
          <w:bCs/>
          <w:rtl/>
          <w:lang w:eastAsia="de-DE"/>
        </w:rPr>
        <w:t>אֶל</w:t>
      </w:r>
      <w:r w:rsidRPr="006715F3">
        <w:rPr>
          <w:rFonts w:eastAsia="Times New Roman" w:cs="Times New Roman"/>
          <w:rtl/>
          <w:lang w:eastAsia="de-DE"/>
        </w:rPr>
        <w:t xml:space="preserve"> </w:t>
      </w:r>
      <w:r w:rsidRPr="006715F3">
        <w:rPr>
          <w:rFonts w:eastAsia="Times New Roman" w:cs="Times New Roman"/>
          <w:lang w:eastAsia="de-DE"/>
        </w:rPr>
        <w:t xml:space="preserve">und dem maskulinen Plural </w:t>
      </w:r>
      <w:r w:rsidRPr="006715F3">
        <w:rPr>
          <w:rFonts w:eastAsia="Times New Roman" w:cs="Times New Roman"/>
          <w:b/>
          <w:bCs/>
          <w:rtl/>
          <w:lang w:eastAsia="de-DE"/>
        </w:rPr>
        <w:t>מַלְאָכִים</w:t>
      </w:r>
      <w:r w:rsidRPr="006715F3">
        <w:rPr>
          <w:rFonts w:eastAsia="Times New Roman" w:cs="Times New Roman"/>
          <w:rtl/>
          <w:lang w:eastAsia="de-DE"/>
        </w:rPr>
        <w:t xml:space="preserve"> </w:t>
      </w:r>
      <w:r w:rsidRPr="006715F3">
        <w:rPr>
          <w:rFonts w:eastAsia="Times New Roman" w:cs="Times New Roman"/>
          <w:lang w:eastAsia="de-DE"/>
        </w:rPr>
        <w:t>(„Boten") mit Suffix der 2. Person maskulin Singular an.</w:t>
      </w:r>
    </w:p>
    <w:p w14:paraId="71CA18F4" w14:textId="398E7AB2"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אֲשֶׁר־שָׁלַחְתָּ אֵלַי</w:t>
      </w:r>
      <w:r w:rsidRPr="006715F3">
        <w:rPr>
          <w:rFonts w:eastAsia="Times New Roman" w:cs="Times New Roman"/>
          <w:rtl/>
          <w:lang w:eastAsia="de-DE"/>
        </w:rPr>
        <w:t xml:space="preserve"> </w:t>
      </w:r>
      <w:r w:rsidRPr="006715F3">
        <w:rPr>
          <w:rFonts w:eastAsia="Times New Roman" w:cs="Times New Roman"/>
          <w:lang w:eastAsia="de-DE"/>
        </w:rPr>
        <w:t xml:space="preserve">ist ein Relativsatz: </w:t>
      </w:r>
      <w:r w:rsidRPr="006715F3">
        <w:rPr>
          <w:rFonts w:eastAsia="Times New Roman" w:cs="Times New Roman"/>
          <w:b/>
          <w:bCs/>
          <w:rtl/>
          <w:lang w:eastAsia="de-DE"/>
        </w:rPr>
        <w:t>אֲשֶׁר</w:t>
      </w:r>
      <w:r w:rsidRPr="006715F3">
        <w:rPr>
          <w:rFonts w:eastAsia="Times New Roman" w:cs="Times New Roman"/>
          <w:rtl/>
          <w:lang w:eastAsia="de-DE"/>
        </w:rPr>
        <w:t xml:space="preserve"> </w:t>
      </w:r>
      <w:r w:rsidRPr="006715F3">
        <w:rPr>
          <w:rFonts w:eastAsia="Times New Roman" w:cs="Times New Roman"/>
          <w:lang w:eastAsia="de-DE"/>
        </w:rPr>
        <w:t xml:space="preserve">ist das Relativpronomen, </w:t>
      </w:r>
      <w:r w:rsidRPr="006715F3">
        <w:rPr>
          <w:rFonts w:eastAsia="Times New Roman" w:cs="Times New Roman"/>
          <w:b/>
          <w:bCs/>
          <w:rtl/>
          <w:lang w:eastAsia="de-DE"/>
        </w:rPr>
        <w:t>שָׁלַחְתָּ</w:t>
      </w:r>
      <w:r w:rsidRPr="006715F3">
        <w:rPr>
          <w:rFonts w:eastAsia="Times New Roman" w:cs="Times New Roman"/>
          <w:rtl/>
          <w:lang w:eastAsia="de-DE"/>
        </w:rPr>
        <w:t xml:space="preserve"> </w:t>
      </w:r>
      <w:r w:rsidRPr="006715F3">
        <w:rPr>
          <w:rFonts w:eastAsia="Times New Roman" w:cs="Times New Roman"/>
          <w:lang w:eastAsia="de-DE"/>
        </w:rPr>
        <w:t xml:space="preserve">(Qal Perfekt 2. Person maskulin Singular von </w:t>
      </w:r>
      <w:r w:rsidRPr="006715F3">
        <w:rPr>
          <w:rFonts w:eastAsia="Times New Roman" w:cs="Times New Roman"/>
          <w:b/>
          <w:bCs/>
          <w:rtl/>
          <w:lang w:eastAsia="de-DE"/>
        </w:rPr>
        <w:t>שׁלח</w:t>
      </w:r>
      <w:r w:rsidRPr="006715F3">
        <w:rPr>
          <w:rFonts w:eastAsia="Times New Roman" w:cs="Times New Roman"/>
          <w:rtl/>
          <w:lang w:eastAsia="de-DE"/>
        </w:rPr>
        <w:t xml:space="preserve"> </w:t>
      </w:r>
      <w:r w:rsidRPr="006715F3">
        <w:rPr>
          <w:rFonts w:eastAsia="Times New Roman" w:cs="Times New Roman"/>
          <w:lang w:eastAsia="de-DE"/>
        </w:rPr>
        <w:t xml:space="preserve">„senden") mit </w:t>
      </w:r>
      <w:r w:rsidRPr="006715F3">
        <w:rPr>
          <w:rFonts w:eastAsia="Times New Roman" w:cs="Times New Roman"/>
          <w:b/>
          <w:bCs/>
          <w:rtl/>
          <w:lang w:eastAsia="de-DE"/>
        </w:rPr>
        <w:t>אֵלַי</w:t>
      </w:r>
      <w:r w:rsidRPr="006715F3">
        <w:rPr>
          <w:rFonts w:eastAsia="Times New Roman" w:cs="Times New Roman"/>
          <w:rtl/>
          <w:lang w:eastAsia="de-DE"/>
        </w:rPr>
        <w:t xml:space="preserve"> </w:t>
      </w:r>
      <w:r w:rsidRPr="006715F3">
        <w:rPr>
          <w:rFonts w:eastAsia="Times New Roman" w:cs="Times New Roman"/>
          <w:lang w:eastAsia="de-DE"/>
        </w:rPr>
        <w:t xml:space="preserve">(Präposition </w:t>
      </w:r>
      <w:r w:rsidRPr="006715F3">
        <w:rPr>
          <w:rFonts w:eastAsia="Times New Roman" w:cs="Times New Roman"/>
          <w:b/>
          <w:bCs/>
          <w:rtl/>
          <w:lang w:eastAsia="de-DE"/>
        </w:rPr>
        <w:t>אֶל</w:t>
      </w:r>
      <w:r w:rsidRPr="006715F3">
        <w:rPr>
          <w:rFonts w:eastAsia="Times New Roman" w:cs="Times New Roman"/>
          <w:rtl/>
          <w:lang w:eastAsia="de-DE"/>
        </w:rPr>
        <w:t xml:space="preserve"> </w:t>
      </w:r>
      <w:r w:rsidRPr="006715F3">
        <w:rPr>
          <w:rFonts w:eastAsia="Times New Roman" w:cs="Times New Roman"/>
          <w:lang w:eastAsia="de-DE"/>
        </w:rPr>
        <w:t xml:space="preserve">mit Suffix 1. Person Singular „zu mir") beschreibt die frühere Sendung der Boten in Numeri 22,5ff. </w:t>
      </w:r>
      <w:r w:rsidRPr="006715F3">
        <w:rPr>
          <w:rFonts w:eastAsia="Times New Roman" w:cs="Times New Roman"/>
          <w:b/>
          <w:bCs/>
          <w:rtl/>
          <w:lang w:eastAsia="de-DE"/>
        </w:rPr>
        <w:t>דִּבַּרְתִּי לֵאמֹר</w:t>
      </w:r>
      <w:r w:rsidRPr="006715F3">
        <w:rPr>
          <w:rFonts w:eastAsia="Times New Roman" w:cs="Times New Roman"/>
          <w:rtl/>
          <w:lang w:eastAsia="de-DE"/>
        </w:rPr>
        <w:t xml:space="preserve"> </w:t>
      </w:r>
      <w:r w:rsidRPr="006715F3">
        <w:rPr>
          <w:rFonts w:eastAsia="Times New Roman" w:cs="Times New Roman"/>
          <w:lang w:eastAsia="de-DE"/>
        </w:rPr>
        <w:t xml:space="preserve">schließt den Hauptsatz ab: </w:t>
      </w:r>
      <w:r w:rsidRPr="006715F3">
        <w:rPr>
          <w:rFonts w:eastAsia="Times New Roman" w:cs="Times New Roman"/>
          <w:b/>
          <w:bCs/>
          <w:rtl/>
          <w:lang w:eastAsia="de-DE"/>
        </w:rPr>
        <w:t>דִּבַּרְתִּי</w:t>
      </w:r>
      <w:r w:rsidRPr="006715F3">
        <w:rPr>
          <w:rFonts w:eastAsia="Times New Roman" w:cs="Times New Roman"/>
          <w:rtl/>
          <w:lang w:eastAsia="de-DE"/>
        </w:rPr>
        <w:t xml:space="preserve"> </w:t>
      </w:r>
      <w:r w:rsidRPr="006715F3">
        <w:rPr>
          <w:rFonts w:eastAsia="Times New Roman" w:cs="Times New Roman"/>
          <w:lang w:eastAsia="de-DE"/>
        </w:rPr>
        <w:t xml:space="preserve">(Piel Perfekt 1. Person Singular von </w:t>
      </w:r>
      <w:r w:rsidRPr="006715F3">
        <w:rPr>
          <w:rFonts w:eastAsia="Times New Roman" w:cs="Times New Roman"/>
          <w:b/>
          <w:bCs/>
          <w:rtl/>
          <w:lang w:eastAsia="de-DE"/>
        </w:rPr>
        <w:t>דבר</w:t>
      </w:r>
      <w:r w:rsidRPr="006715F3">
        <w:rPr>
          <w:rFonts w:eastAsia="Times New Roman" w:cs="Times New Roman"/>
          <w:rtl/>
          <w:lang w:eastAsia="de-DE"/>
        </w:rPr>
        <w:t xml:space="preserve"> </w:t>
      </w:r>
      <w:r w:rsidRPr="006715F3">
        <w:rPr>
          <w:rFonts w:eastAsia="Times New Roman" w:cs="Times New Roman"/>
          <w:lang w:eastAsia="de-DE"/>
        </w:rPr>
        <w:t xml:space="preserve">„reden, sprechen"), </w:t>
      </w:r>
      <w:r w:rsidRPr="006715F3">
        <w:rPr>
          <w:rFonts w:eastAsia="Times New Roman" w:cs="Times New Roman"/>
          <w:b/>
          <w:bCs/>
          <w:rtl/>
          <w:lang w:eastAsia="de-DE"/>
        </w:rPr>
        <w:t>לֵאמֹר</w:t>
      </w:r>
      <w:r w:rsidRPr="006715F3">
        <w:rPr>
          <w:rFonts w:eastAsia="Times New Roman" w:cs="Times New Roman"/>
          <w:rtl/>
          <w:lang w:eastAsia="de-DE"/>
        </w:rPr>
        <w:t xml:space="preserve"> </w:t>
      </w:r>
      <w:r w:rsidRPr="006715F3">
        <w:rPr>
          <w:rFonts w:eastAsia="Times New Roman" w:cs="Times New Roman"/>
          <w:lang w:eastAsia="de-DE"/>
        </w:rPr>
        <w:t xml:space="preserve">(Qal Infinitiv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אמר</w:t>
      </w:r>
      <w:r w:rsidRPr="006715F3">
        <w:rPr>
          <w:rFonts w:eastAsia="Times New Roman" w:cs="Times New Roman"/>
          <w:rtl/>
          <w:lang w:eastAsia="de-DE"/>
        </w:rPr>
        <w:t xml:space="preserve"> </w:t>
      </w:r>
      <w:r w:rsidRPr="006715F3">
        <w:rPr>
          <w:rFonts w:eastAsia="Times New Roman" w:cs="Times New Roman"/>
          <w:lang w:eastAsia="de-DE"/>
        </w:rPr>
        <w:t xml:space="preserve">mit </w:t>
      </w:r>
      <w:r w:rsidRPr="006715F3">
        <w:rPr>
          <w:rFonts w:eastAsia="Times New Roman" w:cs="Times New Roman"/>
          <w:b/>
          <w:bCs/>
          <w:rtl/>
          <w:lang w:eastAsia="de-DE"/>
        </w:rPr>
        <w:t>לְ</w:t>
      </w:r>
      <w:r w:rsidRPr="006715F3">
        <w:rPr>
          <w:rFonts w:eastAsia="Times New Roman" w:cs="Times New Roman"/>
          <w:lang w:eastAsia="de-DE"/>
        </w:rPr>
        <w:t xml:space="preserve">, „sagend") leitet die indirekte Rede ein, die im folgenden Vers ausgeführt wird. Das Piel von </w:t>
      </w:r>
      <w:r w:rsidRPr="006715F3">
        <w:rPr>
          <w:rFonts w:eastAsia="Times New Roman" w:cs="Times New Roman"/>
          <w:b/>
          <w:bCs/>
          <w:rtl/>
          <w:lang w:eastAsia="de-DE"/>
        </w:rPr>
        <w:t>דבר</w:t>
      </w:r>
      <w:r w:rsidRPr="006715F3">
        <w:rPr>
          <w:rFonts w:eastAsia="Times New Roman" w:cs="Times New Roman"/>
          <w:rtl/>
          <w:lang w:eastAsia="de-DE"/>
        </w:rPr>
        <w:t xml:space="preserve"> </w:t>
      </w:r>
      <w:r w:rsidRPr="006715F3">
        <w:rPr>
          <w:rFonts w:eastAsia="Times New Roman" w:cs="Times New Roman"/>
          <w:lang w:eastAsia="de-DE"/>
        </w:rPr>
        <w:t>betont oft die Direktheit oder Autorität des Sprechens.</w:t>
      </w:r>
    </w:p>
    <w:p w14:paraId="712C2C98" w14:textId="5A6BBF7A" w:rsidR="006715F3" w:rsidRPr="006715F3" w:rsidRDefault="006715F3" w:rsidP="006715F3">
      <w:pPr>
        <w:spacing w:before="100" w:beforeAutospacing="1" w:after="100" w:afterAutospacing="1" w:line="240" w:lineRule="auto"/>
        <w:rPr>
          <w:rFonts w:eastAsia="Times New Roman" w:cs="Times New Roman"/>
          <w:lang w:eastAsia="de-DE"/>
        </w:rPr>
      </w:pPr>
    </w:p>
    <w:p w14:paraId="46B7A90C"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einen Hauptsatz mit rhetorischer Frage, die ein Perfektverb enthält, dessen Objekt durch einen Relativsatz erweitert wird. Der Infinitiv leitet die folgende indirekte Rede ein.</w:t>
      </w:r>
    </w:p>
    <w:p w14:paraId="0EDD0582"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zeigt Bileams Verteidigung: Er erinnert Balak daran, dass er bereits bei der ersten Kontaktaufnahme seine Grenzen klargemacht hatte, was seine Konsistenz und Integrität unterstreicht.</w:t>
      </w:r>
    </w:p>
    <w:p w14:paraId="5028FF07"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24,13</w:t>
      </w:r>
    </w:p>
    <w:p w14:paraId="4FCC8F3A"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אִם־יִתֶּן־לִ֨י בָלָ֜ק מְלֹ֣א בֵיתוֹ֮ כֶּ֣סֶף וְזָהָב֒ לֹ֣א אוּכַ֗ל לַעֲבֹר֙ אֶת־פִּ֣י יְהוָ֔ה לַעֲשׂ֥וֹת טוֹבָ֛ה א֥וֹ רָעָ֖ה מִלִּבִּ֑י אֲשֶׁר־יְדַבֵּ֥ר יְהוָ֖ה אֹתוֹ֥ אֲדַבֵּֽר׃</w:t>
      </w:r>
    </w:p>
    <w:p w14:paraId="759F7C2F"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Wenn Balak mir sein Haus voll Silber und Gold gäbe, könnte ich nicht übertreten den Befehl des Ewigen, um aus meinem Herzen Gutes oder Böses zu tun; was der Ewige reden wird, das werde ich reden?</w:t>
      </w:r>
    </w:p>
    <w:p w14:paraId="026C084C"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6C157458">
          <v:rect id="_x0000_i1838" style="width:0;height:1.5pt" o:hralign="center" o:hrstd="t" o:hr="t" fillcolor="#a0a0a0" stroked="f"/>
        </w:pict>
      </w:r>
    </w:p>
    <w:p w14:paraId="0586EA69" w14:textId="3EB9CE3E"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אִם־יִתֶּן־לִי בָלָק</w:t>
      </w:r>
      <w:r w:rsidRPr="006715F3">
        <w:rPr>
          <w:rFonts w:eastAsia="Times New Roman" w:cs="Times New Roman"/>
          <w:lang w:eastAsia="de-DE"/>
        </w:rPr>
        <w:t xml:space="preserve">, einem irrealen Konditionalsatz: </w:t>
      </w:r>
      <w:r w:rsidRPr="006715F3">
        <w:rPr>
          <w:rFonts w:eastAsia="Times New Roman" w:cs="Times New Roman"/>
          <w:b/>
          <w:bCs/>
          <w:rtl/>
          <w:lang w:eastAsia="de-DE"/>
        </w:rPr>
        <w:t>אִם</w:t>
      </w:r>
      <w:r w:rsidRPr="006715F3">
        <w:rPr>
          <w:rFonts w:eastAsia="Times New Roman" w:cs="Times New Roman"/>
          <w:rtl/>
          <w:lang w:eastAsia="de-DE"/>
        </w:rPr>
        <w:t xml:space="preserve"> </w:t>
      </w:r>
      <w:r w:rsidRPr="006715F3">
        <w:rPr>
          <w:rFonts w:eastAsia="Times New Roman" w:cs="Times New Roman"/>
          <w:lang w:eastAsia="de-DE"/>
        </w:rPr>
        <w:t xml:space="preserve">(„wenn") leitet die Bedingung ein, </w:t>
      </w:r>
      <w:r w:rsidRPr="006715F3">
        <w:rPr>
          <w:rFonts w:eastAsia="Times New Roman" w:cs="Times New Roman"/>
          <w:b/>
          <w:bCs/>
          <w:rtl/>
          <w:lang w:eastAsia="de-DE"/>
        </w:rPr>
        <w:t>יִתֶּן</w:t>
      </w:r>
      <w:r w:rsidRPr="006715F3">
        <w:rPr>
          <w:rFonts w:eastAsia="Times New Roman" w:cs="Times New Roman"/>
          <w:rtl/>
          <w:lang w:eastAsia="de-DE"/>
        </w:rPr>
        <w:t xml:space="preserve"> </w:t>
      </w:r>
      <w:r w:rsidRPr="006715F3">
        <w:rPr>
          <w:rFonts w:eastAsia="Times New Roman" w:cs="Times New Roman"/>
          <w:lang w:eastAsia="de-DE"/>
        </w:rPr>
        <w:t xml:space="preserve">(Qal Imperfekt 3. Person maskulin Singular von </w:t>
      </w:r>
      <w:r w:rsidRPr="006715F3">
        <w:rPr>
          <w:rFonts w:eastAsia="Times New Roman" w:cs="Times New Roman"/>
          <w:b/>
          <w:bCs/>
          <w:rtl/>
          <w:lang w:eastAsia="de-DE"/>
        </w:rPr>
        <w:t>נתן</w:t>
      </w:r>
      <w:r w:rsidRPr="006715F3">
        <w:rPr>
          <w:rFonts w:eastAsia="Times New Roman" w:cs="Times New Roman"/>
          <w:rtl/>
          <w:lang w:eastAsia="de-DE"/>
        </w:rPr>
        <w:t xml:space="preserve"> </w:t>
      </w:r>
      <w:r w:rsidRPr="006715F3">
        <w:rPr>
          <w:rFonts w:eastAsia="Times New Roman" w:cs="Times New Roman"/>
          <w:lang w:eastAsia="de-DE"/>
        </w:rPr>
        <w:t xml:space="preserve">„geben") mit </w:t>
      </w:r>
      <w:r w:rsidRPr="006715F3">
        <w:rPr>
          <w:rFonts w:eastAsia="Times New Roman" w:cs="Times New Roman"/>
          <w:b/>
          <w:bCs/>
          <w:rtl/>
          <w:lang w:eastAsia="de-DE"/>
        </w:rPr>
        <w:t>לִי</w:t>
      </w:r>
      <w:r w:rsidRPr="006715F3">
        <w:rPr>
          <w:rFonts w:eastAsia="Times New Roman" w:cs="Times New Roman"/>
          <w:rtl/>
          <w:lang w:eastAsia="de-DE"/>
        </w:rPr>
        <w:t xml:space="preserve"> </w:t>
      </w:r>
      <w:r w:rsidRPr="006715F3">
        <w:rPr>
          <w:rFonts w:eastAsia="Times New Roman" w:cs="Times New Roman"/>
          <w:lang w:eastAsia="de-DE"/>
        </w:rPr>
        <w:t xml:space="preserve">(„mir") und </w:t>
      </w:r>
      <w:r w:rsidRPr="006715F3">
        <w:rPr>
          <w:rFonts w:eastAsia="Times New Roman" w:cs="Times New Roman"/>
          <w:b/>
          <w:bCs/>
          <w:rtl/>
          <w:lang w:eastAsia="de-DE"/>
        </w:rPr>
        <w:t>בָּלָק</w:t>
      </w:r>
      <w:r w:rsidRPr="006715F3">
        <w:rPr>
          <w:rFonts w:eastAsia="Times New Roman" w:cs="Times New Roman"/>
          <w:rtl/>
          <w:lang w:eastAsia="de-DE"/>
        </w:rPr>
        <w:t xml:space="preserve"> </w:t>
      </w:r>
      <w:r w:rsidRPr="006715F3">
        <w:rPr>
          <w:rFonts w:eastAsia="Times New Roman" w:cs="Times New Roman"/>
          <w:lang w:eastAsia="de-DE"/>
        </w:rPr>
        <w:t xml:space="preserve">als Subjekt. </w:t>
      </w:r>
      <w:r w:rsidRPr="006715F3">
        <w:rPr>
          <w:rFonts w:eastAsia="Times New Roman" w:cs="Times New Roman"/>
          <w:b/>
          <w:bCs/>
          <w:rtl/>
          <w:lang w:eastAsia="de-DE"/>
        </w:rPr>
        <w:t>מְלֹא בֵיתוֹ כֶּסֶף וְזָהָב</w:t>
      </w:r>
      <w:r w:rsidRPr="006715F3">
        <w:rPr>
          <w:rFonts w:eastAsia="Times New Roman" w:cs="Times New Roman"/>
          <w:rtl/>
          <w:lang w:eastAsia="de-DE"/>
        </w:rPr>
        <w:t xml:space="preserve"> </w:t>
      </w:r>
      <w:r w:rsidRPr="006715F3">
        <w:rPr>
          <w:rFonts w:eastAsia="Times New Roman" w:cs="Times New Roman"/>
          <w:lang w:eastAsia="de-DE"/>
        </w:rPr>
        <w:t xml:space="preserve">beschreibt das hypothetische Angebot: </w:t>
      </w:r>
      <w:r w:rsidRPr="006715F3">
        <w:rPr>
          <w:rFonts w:eastAsia="Times New Roman" w:cs="Times New Roman"/>
          <w:b/>
          <w:bCs/>
          <w:rtl/>
          <w:lang w:eastAsia="de-DE"/>
        </w:rPr>
        <w:t>מְלֹא</w:t>
      </w:r>
      <w:r w:rsidRPr="006715F3">
        <w:rPr>
          <w:rFonts w:eastAsia="Times New Roman" w:cs="Times New Roman"/>
          <w:rtl/>
          <w:lang w:eastAsia="de-DE"/>
        </w:rPr>
        <w:t xml:space="preserve"> </w:t>
      </w:r>
      <w:r w:rsidRPr="006715F3">
        <w:rPr>
          <w:rFonts w:eastAsia="Times New Roman" w:cs="Times New Roman"/>
          <w:lang w:eastAsia="de-DE"/>
        </w:rPr>
        <w:t>(</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מָלֵא</w:t>
      </w:r>
      <w:r w:rsidRPr="006715F3">
        <w:rPr>
          <w:rFonts w:eastAsia="Times New Roman" w:cs="Times New Roman"/>
          <w:rtl/>
          <w:lang w:eastAsia="de-DE"/>
        </w:rPr>
        <w:t xml:space="preserve"> </w:t>
      </w:r>
      <w:r w:rsidRPr="006715F3">
        <w:rPr>
          <w:rFonts w:eastAsia="Times New Roman" w:cs="Times New Roman"/>
          <w:lang w:eastAsia="de-DE"/>
        </w:rPr>
        <w:t xml:space="preserve">„Fülle") mit </w:t>
      </w:r>
      <w:r w:rsidRPr="006715F3">
        <w:rPr>
          <w:rFonts w:eastAsia="Times New Roman" w:cs="Times New Roman"/>
          <w:b/>
          <w:bCs/>
          <w:rtl/>
          <w:lang w:eastAsia="de-DE"/>
        </w:rPr>
        <w:t>בֵיתוֹ</w:t>
      </w:r>
      <w:r w:rsidRPr="006715F3">
        <w:rPr>
          <w:rFonts w:eastAsia="Times New Roman" w:cs="Times New Roman"/>
          <w:rtl/>
          <w:lang w:eastAsia="de-DE"/>
        </w:rPr>
        <w:t xml:space="preserve"> </w:t>
      </w:r>
      <w:r w:rsidRPr="006715F3">
        <w:rPr>
          <w:rFonts w:eastAsia="Times New Roman" w:cs="Times New Roman"/>
          <w:lang w:eastAsia="de-DE"/>
        </w:rPr>
        <w:t xml:space="preserve">(„sein Haus"), </w:t>
      </w:r>
      <w:r w:rsidRPr="006715F3">
        <w:rPr>
          <w:rFonts w:eastAsia="Times New Roman" w:cs="Times New Roman"/>
          <w:b/>
          <w:bCs/>
          <w:rtl/>
          <w:lang w:eastAsia="de-DE"/>
        </w:rPr>
        <w:t>כֶּסֶף וְזָהָב</w:t>
      </w:r>
      <w:r w:rsidRPr="006715F3">
        <w:rPr>
          <w:rFonts w:eastAsia="Times New Roman" w:cs="Times New Roman"/>
          <w:rtl/>
          <w:lang w:eastAsia="de-DE"/>
        </w:rPr>
        <w:t xml:space="preserve"> </w:t>
      </w:r>
      <w:r w:rsidRPr="006715F3">
        <w:rPr>
          <w:rFonts w:eastAsia="Times New Roman" w:cs="Times New Roman"/>
          <w:lang w:eastAsia="de-DE"/>
        </w:rPr>
        <w:t xml:space="preserve">(„Silber und Gold") als Akkusativ des Inhalts. </w:t>
      </w:r>
      <w:r w:rsidRPr="006715F3">
        <w:rPr>
          <w:rFonts w:eastAsia="Times New Roman" w:cs="Times New Roman"/>
          <w:b/>
          <w:bCs/>
          <w:rtl/>
          <w:lang w:eastAsia="de-DE"/>
        </w:rPr>
        <w:t>לֹא אוּכַל</w:t>
      </w:r>
      <w:r w:rsidRPr="006715F3">
        <w:rPr>
          <w:rFonts w:eastAsia="Times New Roman" w:cs="Times New Roman"/>
          <w:rtl/>
          <w:lang w:eastAsia="de-DE"/>
        </w:rPr>
        <w:t xml:space="preserve"> </w:t>
      </w:r>
      <w:r w:rsidRPr="006715F3">
        <w:rPr>
          <w:rFonts w:eastAsia="Times New Roman" w:cs="Times New Roman"/>
          <w:lang w:eastAsia="de-DE"/>
        </w:rPr>
        <w:t xml:space="preserve">bildet die Apodosis: </w:t>
      </w:r>
      <w:r w:rsidRPr="006715F3">
        <w:rPr>
          <w:rFonts w:eastAsia="Times New Roman" w:cs="Times New Roman"/>
          <w:b/>
          <w:bCs/>
          <w:rtl/>
          <w:lang w:eastAsia="de-DE"/>
        </w:rPr>
        <w:t>לֹא</w:t>
      </w:r>
      <w:r w:rsidRPr="006715F3">
        <w:rPr>
          <w:rFonts w:eastAsia="Times New Roman" w:cs="Times New Roman"/>
          <w:rtl/>
          <w:lang w:eastAsia="de-DE"/>
        </w:rPr>
        <w:t xml:space="preserve"> </w:t>
      </w:r>
      <w:r w:rsidRPr="006715F3">
        <w:rPr>
          <w:rFonts w:eastAsia="Times New Roman" w:cs="Times New Roman"/>
          <w:lang w:eastAsia="de-DE"/>
        </w:rPr>
        <w:t xml:space="preserve">(Negation) mit </w:t>
      </w:r>
      <w:r w:rsidRPr="006715F3">
        <w:rPr>
          <w:rFonts w:eastAsia="Times New Roman" w:cs="Times New Roman"/>
          <w:b/>
          <w:bCs/>
          <w:rtl/>
          <w:lang w:eastAsia="de-DE"/>
        </w:rPr>
        <w:t>אוּכַל</w:t>
      </w:r>
      <w:r w:rsidRPr="006715F3">
        <w:rPr>
          <w:rFonts w:eastAsia="Times New Roman" w:cs="Times New Roman"/>
          <w:rtl/>
          <w:lang w:eastAsia="de-DE"/>
        </w:rPr>
        <w:t xml:space="preserve"> </w:t>
      </w:r>
      <w:r w:rsidRPr="006715F3">
        <w:rPr>
          <w:rFonts w:eastAsia="Times New Roman" w:cs="Times New Roman"/>
          <w:lang w:eastAsia="de-DE"/>
        </w:rPr>
        <w:t xml:space="preserve">(Qal Imperfekt 1. Person Singular von </w:t>
      </w:r>
      <w:r w:rsidRPr="006715F3">
        <w:rPr>
          <w:rFonts w:eastAsia="Times New Roman" w:cs="Times New Roman"/>
          <w:b/>
          <w:bCs/>
          <w:rtl/>
          <w:lang w:eastAsia="de-DE"/>
        </w:rPr>
        <w:t>יכל</w:t>
      </w:r>
      <w:r w:rsidRPr="006715F3">
        <w:rPr>
          <w:rFonts w:eastAsia="Times New Roman" w:cs="Times New Roman"/>
          <w:rtl/>
          <w:lang w:eastAsia="de-DE"/>
        </w:rPr>
        <w:t xml:space="preserve"> </w:t>
      </w:r>
      <w:r w:rsidRPr="006715F3">
        <w:rPr>
          <w:rFonts w:eastAsia="Times New Roman" w:cs="Times New Roman"/>
          <w:lang w:eastAsia="de-DE"/>
        </w:rPr>
        <w:t>„können"), das die Unmöglichkeit ausdrückt.</w:t>
      </w:r>
    </w:p>
    <w:p w14:paraId="23DB645D" w14:textId="1ACCCE63"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לַעֲבֹר אֶת־פִּי יְהוָה</w:t>
      </w:r>
      <w:r w:rsidRPr="006715F3">
        <w:rPr>
          <w:rFonts w:eastAsia="Times New Roman" w:cs="Times New Roman"/>
          <w:rtl/>
          <w:lang w:eastAsia="de-DE"/>
        </w:rPr>
        <w:t xml:space="preserve"> </w:t>
      </w:r>
      <w:r w:rsidRPr="006715F3">
        <w:rPr>
          <w:rFonts w:eastAsia="Times New Roman" w:cs="Times New Roman"/>
          <w:lang w:eastAsia="de-DE"/>
        </w:rPr>
        <w:t xml:space="preserve">ist ein Infinitivsatz: </w:t>
      </w:r>
      <w:r w:rsidRPr="006715F3">
        <w:rPr>
          <w:rFonts w:eastAsia="Times New Roman" w:cs="Times New Roman"/>
          <w:b/>
          <w:bCs/>
          <w:rtl/>
          <w:lang w:eastAsia="de-DE"/>
        </w:rPr>
        <w:t>לַעֲבֹר</w:t>
      </w:r>
      <w:r w:rsidRPr="006715F3">
        <w:rPr>
          <w:rFonts w:eastAsia="Times New Roman" w:cs="Times New Roman"/>
          <w:rtl/>
          <w:lang w:eastAsia="de-DE"/>
        </w:rPr>
        <w:t xml:space="preserve"> </w:t>
      </w:r>
      <w:r w:rsidRPr="006715F3">
        <w:rPr>
          <w:rFonts w:eastAsia="Times New Roman" w:cs="Times New Roman"/>
          <w:lang w:eastAsia="de-DE"/>
        </w:rPr>
        <w:t xml:space="preserve">(Qal Infinitiv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עבר</w:t>
      </w:r>
      <w:r w:rsidRPr="006715F3">
        <w:rPr>
          <w:rFonts w:eastAsia="Times New Roman" w:cs="Times New Roman"/>
          <w:rtl/>
          <w:lang w:eastAsia="de-DE"/>
        </w:rPr>
        <w:t xml:space="preserve"> </w:t>
      </w:r>
      <w:r w:rsidRPr="006715F3">
        <w:rPr>
          <w:rFonts w:eastAsia="Times New Roman" w:cs="Times New Roman"/>
          <w:lang w:eastAsia="de-DE"/>
        </w:rPr>
        <w:t xml:space="preserve">„übertreten" mit </w:t>
      </w:r>
      <w:r w:rsidRPr="006715F3">
        <w:rPr>
          <w:rFonts w:eastAsia="Times New Roman" w:cs="Times New Roman"/>
          <w:b/>
          <w:bCs/>
          <w:rtl/>
          <w:lang w:eastAsia="de-DE"/>
        </w:rPr>
        <w:t>לְ</w:t>
      </w:r>
      <w:r w:rsidRPr="006715F3">
        <w:rPr>
          <w:rFonts w:eastAsia="Times New Roman" w:cs="Times New Roman"/>
          <w:lang w:eastAsia="de-DE"/>
        </w:rPr>
        <w:t xml:space="preserve">) mit </w:t>
      </w:r>
      <w:r w:rsidRPr="006715F3">
        <w:rPr>
          <w:rFonts w:eastAsia="Times New Roman" w:cs="Times New Roman"/>
          <w:b/>
          <w:bCs/>
          <w:rtl/>
          <w:lang w:eastAsia="de-DE"/>
        </w:rPr>
        <w:t>אֶת־פִּי יְהוָה</w:t>
      </w:r>
      <w:r w:rsidRPr="006715F3">
        <w:rPr>
          <w:rFonts w:eastAsia="Times New Roman" w:cs="Times New Roman"/>
          <w:rtl/>
          <w:lang w:eastAsia="de-DE"/>
        </w:rPr>
        <w:t xml:space="preserve"> </w:t>
      </w:r>
      <w:r w:rsidRPr="006715F3">
        <w:rPr>
          <w:rFonts w:eastAsia="Times New Roman" w:cs="Times New Roman"/>
          <w:lang w:eastAsia="de-DE"/>
        </w:rPr>
        <w:t xml:space="preserve">als Objekt, wobei </w:t>
      </w:r>
      <w:r w:rsidRPr="006715F3">
        <w:rPr>
          <w:rFonts w:eastAsia="Times New Roman" w:cs="Times New Roman"/>
          <w:b/>
          <w:bCs/>
          <w:rtl/>
          <w:lang w:eastAsia="de-DE"/>
        </w:rPr>
        <w:t>פִּי</w:t>
      </w:r>
      <w:r w:rsidRPr="006715F3">
        <w:rPr>
          <w:rFonts w:eastAsia="Times New Roman" w:cs="Times New Roman"/>
          <w:rtl/>
          <w:lang w:eastAsia="de-DE"/>
        </w:rPr>
        <w:t xml:space="preserve"> </w:t>
      </w:r>
      <w:r w:rsidRPr="006715F3">
        <w:rPr>
          <w:rFonts w:eastAsia="Times New Roman" w:cs="Times New Roman"/>
          <w:lang w:eastAsia="de-DE"/>
        </w:rPr>
        <w:t xml:space="preserve">(„Mund, Befehl") mit dem Tetragramm im Genitiv </w:t>
      </w:r>
      <w:r w:rsidRPr="006715F3">
        <w:rPr>
          <w:rFonts w:eastAsia="Times New Roman" w:cs="Times New Roman"/>
          <w:lang w:eastAsia="de-DE"/>
        </w:rPr>
        <w:lastRenderedPageBreak/>
        <w:t xml:space="preserve">steht. </w:t>
      </w:r>
      <w:r w:rsidRPr="006715F3">
        <w:rPr>
          <w:rFonts w:eastAsia="Times New Roman" w:cs="Times New Roman"/>
          <w:b/>
          <w:bCs/>
          <w:rtl/>
          <w:lang w:eastAsia="de-DE"/>
        </w:rPr>
        <w:t>לַעֲשׂוֹת טוֹבָה אוֹ רָעָה מִלִּבִּי</w:t>
      </w:r>
      <w:r w:rsidRPr="006715F3">
        <w:rPr>
          <w:rFonts w:eastAsia="Times New Roman" w:cs="Times New Roman"/>
          <w:rtl/>
          <w:lang w:eastAsia="de-DE"/>
        </w:rPr>
        <w:t xml:space="preserve"> </w:t>
      </w:r>
      <w:r w:rsidRPr="006715F3">
        <w:rPr>
          <w:rFonts w:eastAsia="Times New Roman" w:cs="Times New Roman"/>
          <w:lang w:eastAsia="de-DE"/>
        </w:rPr>
        <w:t xml:space="preserve">ist ein zweiter Infinitivsatz: </w:t>
      </w:r>
      <w:r w:rsidRPr="006715F3">
        <w:rPr>
          <w:rFonts w:eastAsia="Times New Roman" w:cs="Times New Roman"/>
          <w:b/>
          <w:bCs/>
          <w:rtl/>
          <w:lang w:eastAsia="de-DE"/>
        </w:rPr>
        <w:t>לַעֲשׂוֹת</w:t>
      </w:r>
      <w:r w:rsidRPr="006715F3">
        <w:rPr>
          <w:rFonts w:eastAsia="Times New Roman" w:cs="Times New Roman"/>
          <w:rtl/>
          <w:lang w:eastAsia="de-DE"/>
        </w:rPr>
        <w:t xml:space="preserve"> </w:t>
      </w:r>
      <w:r w:rsidRPr="006715F3">
        <w:rPr>
          <w:rFonts w:eastAsia="Times New Roman" w:cs="Times New Roman"/>
          <w:lang w:eastAsia="de-DE"/>
        </w:rPr>
        <w:t xml:space="preserve">(Qal Infinitiv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עשׂה</w:t>
      </w:r>
      <w:r w:rsidRPr="006715F3">
        <w:rPr>
          <w:rFonts w:eastAsia="Times New Roman" w:cs="Times New Roman"/>
          <w:rtl/>
          <w:lang w:eastAsia="de-DE"/>
        </w:rPr>
        <w:t xml:space="preserve"> </w:t>
      </w:r>
      <w:r w:rsidRPr="006715F3">
        <w:rPr>
          <w:rFonts w:eastAsia="Times New Roman" w:cs="Times New Roman"/>
          <w:lang w:eastAsia="de-DE"/>
        </w:rPr>
        <w:t xml:space="preserve">„tun" mit </w:t>
      </w:r>
      <w:r w:rsidRPr="006715F3">
        <w:rPr>
          <w:rFonts w:eastAsia="Times New Roman" w:cs="Times New Roman"/>
          <w:b/>
          <w:bCs/>
          <w:rtl/>
          <w:lang w:eastAsia="de-DE"/>
        </w:rPr>
        <w:t>לְ</w:t>
      </w:r>
      <w:r w:rsidRPr="006715F3">
        <w:rPr>
          <w:rFonts w:eastAsia="Times New Roman" w:cs="Times New Roman"/>
          <w:lang w:eastAsia="de-DE"/>
        </w:rPr>
        <w:t xml:space="preserve">), </w:t>
      </w:r>
      <w:r w:rsidRPr="006715F3">
        <w:rPr>
          <w:rFonts w:eastAsia="Times New Roman" w:cs="Times New Roman"/>
          <w:b/>
          <w:bCs/>
          <w:rtl/>
          <w:lang w:eastAsia="de-DE"/>
        </w:rPr>
        <w:t>טוֹבָה אוֹ רָעָה</w:t>
      </w:r>
      <w:r w:rsidRPr="006715F3">
        <w:rPr>
          <w:rFonts w:eastAsia="Times New Roman" w:cs="Times New Roman"/>
          <w:rtl/>
          <w:lang w:eastAsia="de-DE"/>
        </w:rPr>
        <w:t xml:space="preserve"> </w:t>
      </w:r>
      <w:r w:rsidRPr="006715F3">
        <w:rPr>
          <w:rFonts w:eastAsia="Times New Roman" w:cs="Times New Roman"/>
          <w:lang w:eastAsia="de-DE"/>
        </w:rPr>
        <w:t xml:space="preserve">(„Gutes oder Böses") mit der disjunktiven Konjunktion </w:t>
      </w:r>
      <w:r w:rsidRPr="006715F3">
        <w:rPr>
          <w:rFonts w:eastAsia="Times New Roman" w:cs="Times New Roman"/>
          <w:b/>
          <w:bCs/>
          <w:rtl/>
          <w:lang w:eastAsia="de-DE"/>
        </w:rPr>
        <w:t>אוֹ</w:t>
      </w:r>
      <w:r w:rsidRPr="006715F3">
        <w:rPr>
          <w:rFonts w:eastAsia="Times New Roman" w:cs="Times New Roman"/>
          <w:lang w:eastAsia="de-DE"/>
        </w:rPr>
        <w:t xml:space="preserve">, </w:t>
      </w:r>
      <w:r w:rsidRPr="006715F3">
        <w:rPr>
          <w:rFonts w:eastAsia="Times New Roman" w:cs="Times New Roman"/>
          <w:b/>
          <w:bCs/>
          <w:rtl/>
          <w:lang w:eastAsia="de-DE"/>
        </w:rPr>
        <w:t>מִלִּבִּי</w:t>
      </w:r>
      <w:r w:rsidRPr="006715F3">
        <w:rPr>
          <w:rFonts w:eastAsia="Times New Roman" w:cs="Times New Roman"/>
          <w:rtl/>
          <w:lang w:eastAsia="de-DE"/>
        </w:rPr>
        <w:t xml:space="preserve"> </w:t>
      </w:r>
      <w:r w:rsidRPr="006715F3">
        <w:rPr>
          <w:rFonts w:eastAsia="Times New Roman" w:cs="Times New Roman"/>
          <w:lang w:eastAsia="de-DE"/>
        </w:rPr>
        <w:t xml:space="preserve">(„aus meinem Herzen") mit </w:t>
      </w:r>
      <w:r w:rsidRPr="006715F3">
        <w:rPr>
          <w:rFonts w:eastAsia="Times New Roman" w:cs="Times New Roman"/>
          <w:b/>
          <w:bCs/>
          <w:rtl/>
          <w:lang w:eastAsia="de-DE"/>
        </w:rPr>
        <w:t>מִן</w:t>
      </w:r>
      <w:r w:rsidRPr="006715F3">
        <w:rPr>
          <w:rFonts w:eastAsia="Times New Roman" w:cs="Times New Roman"/>
          <w:rtl/>
          <w:lang w:eastAsia="de-DE"/>
        </w:rPr>
        <w:t xml:space="preserve"> </w:t>
      </w:r>
      <w:r w:rsidRPr="006715F3">
        <w:rPr>
          <w:rFonts w:eastAsia="Times New Roman" w:cs="Times New Roman"/>
          <w:lang w:eastAsia="de-DE"/>
        </w:rPr>
        <w:t xml:space="preserve">und </w:t>
      </w:r>
      <w:r w:rsidRPr="006715F3">
        <w:rPr>
          <w:rFonts w:eastAsia="Times New Roman" w:cs="Times New Roman"/>
          <w:b/>
          <w:bCs/>
          <w:rtl/>
          <w:lang w:eastAsia="de-DE"/>
        </w:rPr>
        <w:t>לֵב</w:t>
      </w:r>
      <w:r w:rsidRPr="006715F3">
        <w:rPr>
          <w:rFonts w:eastAsia="Times New Roman" w:cs="Times New Roman"/>
          <w:rtl/>
          <w:lang w:eastAsia="de-DE"/>
        </w:rPr>
        <w:t xml:space="preserve"> </w:t>
      </w:r>
      <w:r w:rsidRPr="006715F3">
        <w:rPr>
          <w:rFonts w:eastAsia="Times New Roman" w:cs="Times New Roman"/>
          <w:lang w:eastAsia="de-DE"/>
        </w:rPr>
        <w:t>mit Suffix 1. Person Singular, die die eigenmächtige Initiative bezeichnet.</w:t>
      </w:r>
    </w:p>
    <w:p w14:paraId="32A60052"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אֲשֶׁר־יְדַבֵּר יְהוָה אֹתוֹ אֲדַבֵּר</w:t>
      </w:r>
      <w:r w:rsidRPr="006715F3">
        <w:rPr>
          <w:rFonts w:eastAsia="Times New Roman" w:cs="Times New Roman"/>
          <w:rtl/>
          <w:lang w:eastAsia="de-DE"/>
        </w:rPr>
        <w:t xml:space="preserve"> </w:t>
      </w:r>
      <w:r w:rsidRPr="006715F3">
        <w:rPr>
          <w:rFonts w:eastAsia="Times New Roman" w:cs="Times New Roman"/>
          <w:lang w:eastAsia="de-DE"/>
        </w:rPr>
        <w:t xml:space="preserve">ist ein emphatischer Schlusssatz: </w:t>
      </w:r>
      <w:r w:rsidRPr="006715F3">
        <w:rPr>
          <w:rFonts w:eastAsia="Times New Roman" w:cs="Times New Roman"/>
          <w:b/>
          <w:bCs/>
          <w:rtl/>
          <w:lang w:eastAsia="de-DE"/>
        </w:rPr>
        <w:t>אֲשֶׁר</w:t>
      </w:r>
      <w:r w:rsidRPr="006715F3">
        <w:rPr>
          <w:rFonts w:eastAsia="Times New Roman" w:cs="Times New Roman"/>
          <w:rtl/>
          <w:lang w:eastAsia="de-DE"/>
        </w:rPr>
        <w:t xml:space="preserve"> </w:t>
      </w:r>
      <w:r w:rsidRPr="006715F3">
        <w:rPr>
          <w:rFonts w:eastAsia="Times New Roman" w:cs="Times New Roman"/>
          <w:lang w:eastAsia="de-DE"/>
        </w:rPr>
        <w:t xml:space="preserve">(Relativpronomen) mit </w:t>
      </w:r>
      <w:r w:rsidRPr="006715F3">
        <w:rPr>
          <w:rFonts w:eastAsia="Times New Roman" w:cs="Times New Roman"/>
          <w:b/>
          <w:bCs/>
          <w:rtl/>
          <w:lang w:eastAsia="de-DE"/>
        </w:rPr>
        <w:t>יְדַבֵּר</w:t>
      </w:r>
      <w:r w:rsidRPr="006715F3">
        <w:rPr>
          <w:rFonts w:eastAsia="Times New Roman" w:cs="Times New Roman"/>
          <w:rtl/>
          <w:lang w:eastAsia="de-DE"/>
        </w:rPr>
        <w:t xml:space="preserve"> </w:t>
      </w:r>
      <w:r w:rsidRPr="006715F3">
        <w:rPr>
          <w:rFonts w:eastAsia="Times New Roman" w:cs="Times New Roman"/>
          <w:lang w:eastAsia="de-DE"/>
        </w:rPr>
        <w:t xml:space="preserve">(Piel Imperfekt 3. Person maskulin Singular von </w:t>
      </w:r>
      <w:r w:rsidRPr="006715F3">
        <w:rPr>
          <w:rFonts w:eastAsia="Times New Roman" w:cs="Times New Roman"/>
          <w:b/>
          <w:bCs/>
          <w:rtl/>
          <w:lang w:eastAsia="de-DE"/>
        </w:rPr>
        <w:t>דבר</w:t>
      </w:r>
      <w:r w:rsidRPr="006715F3">
        <w:rPr>
          <w:rFonts w:eastAsia="Times New Roman" w:cs="Times New Roman"/>
          <w:lang w:eastAsia="de-DE"/>
        </w:rPr>
        <w:t xml:space="preserve">) und </w:t>
      </w:r>
      <w:r w:rsidRPr="006715F3">
        <w:rPr>
          <w:rFonts w:eastAsia="Times New Roman" w:cs="Times New Roman"/>
          <w:b/>
          <w:bCs/>
          <w:rtl/>
          <w:lang w:eastAsia="de-DE"/>
        </w:rPr>
        <w:t>יְהוָה</w:t>
      </w:r>
      <w:r w:rsidRPr="006715F3">
        <w:rPr>
          <w:rFonts w:eastAsia="Times New Roman" w:cs="Times New Roman"/>
          <w:rtl/>
          <w:lang w:eastAsia="de-DE"/>
        </w:rPr>
        <w:t xml:space="preserve"> </w:t>
      </w:r>
      <w:r w:rsidRPr="006715F3">
        <w:rPr>
          <w:rFonts w:eastAsia="Times New Roman" w:cs="Times New Roman"/>
          <w:lang w:eastAsia="de-DE"/>
        </w:rPr>
        <w:t xml:space="preserve">als Subjekt, </w:t>
      </w:r>
      <w:r w:rsidRPr="006715F3">
        <w:rPr>
          <w:rFonts w:eastAsia="Times New Roman" w:cs="Times New Roman"/>
          <w:b/>
          <w:bCs/>
          <w:rtl/>
          <w:lang w:eastAsia="de-DE"/>
        </w:rPr>
        <w:t>אֹתוֹ</w:t>
      </w:r>
      <w:r w:rsidRPr="006715F3">
        <w:rPr>
          <w:rFonts w:eastAsia="Times New Roman" w:cs="Times New Roman"/>
          <w:rtl/>
          <w:lang w:eastAsia="de-DE"/>
        </w:rPr>
        <w:t xml:space="preserve"> </w:t>
      </w:r>
      <w:r w:rsidRPr="006715F3">
        <w:rPr>
          <w:rFonts w:eastAsia="Times New Roman" w:cs="Times New Roman"/>
          <w:lang w:eastAsia="de-DE"/>
        </w:rPr>
        <w:t xml:space="preserve">(Akkusativpartikel mit Suffix „es") als Objekt. </w:t>
      </w:r>
      <w:r w:rsidRPr="006715F3">
        <w:rPr>
          <w:rFonts w:eastAsia="Times New Roman" w:cs="Times New Roman"/>
          <w:b/>
          <w:bCs/>
          <w:rtl/>
          <w:lang w:eastAsia="de-DE"/>
        </w:rPr>
        <w:t>אֲדַבֵּר</w:t>
      </w:r>
      <w:r w:rsidRPr="006715F3">
        <w:rPr>
          <w:rFonts w:eastAsia="Times New Roman" w:cs="Times New Roman"/>
          <w:rtl/>
          <w:lang w:eastAsia="de-DE"/>
        </w:rPr>
        <w:t xml:space="preserve"> </w:t>
      </w:r>
      <w:r w:rsidRPr="006715F3">
        <w:rPr>
          <w:rFonts w:eastAsia="Times New Roman" w:cs="Times New Roman"/>
          <w:lang w:eastAsia="de-DE"/>
        </w:rPr>
        <w:t>(Piel Imperfekt 1. Person Singular) im Hauptsatz bildet eine Korrespondenz. Diese Aussage wiederholt im Wesentlichen Numeri 22,38.</w:t>
      </w:r>
    </w:p>
    <w:p w14:paraId="25670B64"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übersetzt </w:t>
      </w:r>
      <w:r w:rsidRPr="006715F3">
        <w:rPr>
          <w:rFonts w:eastAsia="Times New Roman" w:cs="Times New Roman"/>
          <w:b/>
          <w:bCs/>
          <w:rtl/>
          <w:lang w:eastAsia="de-DE"/>
        </w:rPr>
        <w:t>פִּי</w:t>
      </w:r>
      <w:r w:rsidRPr="006715F3">
        <w:rPr>
          <w:rFonts w:eastAsia="Times New Roman" w:cs="Times New Roman"/>
          <w:rtl/>
          <w:lang w:eastAsia="de-DE"/>
        </w:rPr>
        <w:t xml:space="preserve"> </w:t>
      </w:r>
      <w:r w:rsidRPr="006715F3">
        <w:rPr>
          <w:rFonts w:eastAsia="Times New Roman" w:cs="Times New Roman"/>
          <w:lang w:eastAsia="de-DE"/>
        </w:rPr>
        <w:t xml:space="preserve">mit ῥῆμα („Wort") statt wörtlich „Mund", was eine sachliche Interpretation darstellt. Zudem wird </w:t>
      </w:r>
      <w:r w:rsidRPr="006715F3">
        <w:rPr>
          <w:rFonts w:eastAsia="Times New Roman" w:cs="Times New Roman"/>
          <w:b/>
          <w:bCs/>
          <w:rtl/>
          <w:lang w:eastAsia="de-DE"/>
        </w:rPr>
        <w:t>מִלִּבִּי</w:t>
      </w:r>
      <w:r w:rsidRPr="006715F3">
        <w:rPr>
          <w:rFonts w:eastAsia="Times New Roman" w:cs="Times New Roman"/>
          <w:rtl/>
          <w:lang w:eastAsia="de-DE"/>
        </w:rPr>
        <w:t xml:space="preserve"> </w:t>
      </w:r>
      <w:r w:rsidRPr="006715F3">
        <w:rPr>
          <w:rFonts w:eastAsia="Times New Roman" w:cs="Times New Roman"/>
          <w:lang w:eastAsia="de-DE"/>
        </w:rPr>
        <w:t>mit ἀπὸ τῆς διανοίας μου („aus meinem Verstand/Gesinnung") wiedergegeben, wobei das griechische Wort den kognitiven Aspekt stärker betont als das hebräische „Herz", das auch Emotionen und Willen umfasst.</w:t>
      </w:r>
    </w:p>
    <w:p w14:paraId="7D2CC2FE"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einen irrealen Konditionalsatz (Protasis mit Apodosis), gefolgt von zwei koordinierten Infinitivsätzen und einem emphatischen Relativsatz.</w:t>
      </w:r>
    </w:p>
    <w:p w14:paraId="394193A8"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bekräftigt Bileams prophetische Integrität und macht deutlich, dass weder Reichtum noch menschlicher Wille ihn von Gottes Wort abbringen können, was seine absolute Abhängigkeit vom göttlichen Auftrag unterstreicht.</w:t>
      </w:r>
    </w:p>
    <w:p w14:paraId="23CA5C30"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24,14</w:t>
      </w:r>
    </w:p>
    <w:p w14:paraId="253F7435"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וְעַתָּ֕ה הִנְנִ֥י הוֹלֵ֖ךְ לְעַמִּ֑י לְכָה֙ אִיעָ֣צְךָ֔ אֲשֶׁ֨ר יַעֲשֶׂ֜ה הָעָ֥ם הַזֶּ֛ה לְעַמְּךָ֖ בְּאַחֲרִ֥ית הַיָּמִֽים׃</w:t>
      </w:r>
    </w:p>
    <w:p w14:paraId="0E59D5C5"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nun siehe, ich bin dabei zu meinem Volk zu gehen. Komm, ich will dir raten, was dieses Volk deinem Volk tun wird am Ende der Tage.</w:t>
      </w:r>
    </w:p>
    <w:p w14:paraId="276AA91B"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0E1D3920">
          <v:rect id="_x0000_i1839" style="width:0;height:1.5pt" o:hralign="center" o:hrstd="t" o:hr="t" fillcolor="#a0a0a0" stroked="f"/>
        </w:pict>
      </w:r>
    </w:p>
    <w:p w14:paraId="41E62FAC"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וְעַתָּה</w:t>
      </w:r>
      <w:r w:rsidRPr="006715F3">
        <w:rPr>
          <w:rFonts w:eastAsia="Times New Roman" w:cs="Times New Roman"/>
          <w:rtl/>
          <w:lang w:eastAsia="de-DE"/>
        </w:rPr>
        <w:t xml:space="preserve"> </w:t>
      </w:r>
      <w:r w:rsidRPr="006715F3">
        <w:rPr>
          <w:rFonts w:eastAsia="Times New Roman" w:cs="Times New Roman"/>
          <w:lang w:eastAsia="de-DE"/>
        </w:rPr>
        <w:t xml:space="preserve">(„und nun"), der temporalen Übergangsformel, gefolgt von </w:t>
      </w:r>
      <w:r w:rsidRPr="006715F3">
        <w:rPr>
          <w:rFonts w:eastAsia="Times New Roman" w:cs="Times New Roman"/>
          <w:b/>
          <w:bCs/>
          <w:rtl/>
          <w:lang w:eastAsia="de-DE"/>
        </w:rPr>
        <w:t>הִנְנִי</w:t>
      </w:r>
      <w:r w:rsidRPr="006715F3">
        <w:rPr>
          <w:rFonts w:eastAsia="Times New Roman" w:cs="Times New Roman"/>
          <w:rtl/>
          <w:lang w:eastAsia="de-DE"/>
        </w:rPr>
        <w:t xml:space="preserve"> </w:t>
      </w:r>
      <w:r w:rsidRPr="006715F3">
        <w:rPr>
          <w:rFonts w:eastAsia="Times New Roman" w:cs="Times New Roman"/>
          <w:lang w:eastAsia="de-DE"/>
        </w:rPr>
        <w:t xml:space="preserve">(Interjektion </w:t>
      </w:r>
      <w:r w:rsidRPr="006715F3">
        <w:rPr>
          <w:rFonts w:eastAsia="Times New Roman" w:cs="Times New Roman"/>
          <w:b/>
          <w:bCs/>
          <w:rtl/>
          <w:lang w:eastAsia="de-DE"/>
        </w:rPr>
        <w:t>הִנֵּה</w:t>
      </w:r>
      <w:r w:rsidRPr="006715F3">
        <w:rPr>
          <w:rFonts w:eastAsia="Times New Roman" w:cs="Times New Roman"/>
          <w:rtl/>
          <w:lang w:eastAsia="de-DE"/>
        </w:rPr>
        <w:t xml:space="preserve"> </w:t>
      </w:r>
      <w:r w:rsidRPr="006715F3">
        <w:rPr>
          <w:rFonts w:eastAsia="Times New Roman" w:cs="Times New Roman"/>
          <w:lang w:eastAsia="de-DE"/>
        </w:rPr>
        <w:t xml:space="preserve">„siehe" mit Suffix 1. Person Singular „siehe mich, hier bin ich"), das die Ankündigung einer unmittelbaren Handlung einleitet. </w:t>
      </w:r>
      <w:r w:rsidRPr="006715F3">
        <w:rPr>
          <w:rFonts w:eastAsia="Times New Roman" w:cs="Times New Roman"/>
          <w:b/>
          <w:bCs/>
          <w:rtl/>
          <w:lang w:eastAsia="de-DE"/>
        </w:rPr>
        <w:t>הוֹלֵךְ לְעַמִּי</w:t>
      </w:r>
      <w:r w:rsidRPr="006715F3">
        <w:rPr>
          <w:rFonts w:eastAsia="Times New Roman" w:cs="Times New Roman"/>
          <w:rtl/>
          <w:lang w:eastAsia="de-DE"/>
        </w:rPr>
        <w:t xml:space="preserve"> </w:t>
      </w:r>
      <w:r w:rsidRPr="006715F3">
        <w:rPr>
          <w:rFonts w:eastAsia="Times New Roman" w:cs="Times New Roman"/>
          <w:lang w:eastAsia="de-DE"/>
        </w:rPr>
        <w:t xml:space="preserve">besteht aus dem Qal-Partizip maskulin Singular von </w:t>
      </w:r>
      <w:r w:rsidRPr="006715F3">
        <w:rPr>
          <w:rFonts w:eastAsia="Times New Roman" w:cs="Times New Roman"/>
          <w:b/>
          <w:bCs/>
          <w:rtl/>
          <w:lang w:eastAsia="de-DE"/>
        </w:rPr>
        <w:t>הלך</w:t>
      </w:r>
      <w:r w:rsidRPr="006715F3">
        <w:rPr>
          <w:rFonts w:eastAsia="Times New Roman" w:cs="Times New Roman"/>
          <w:rtl/>
          <w:lang w:eastAsia="de-DE"/>
        </w:rPr>
        <w:t xml:space="preserve"> </w:t>
      </w:r>
      <w:r w:rsidRPr="006715F3">
        <w:rPr>
          <w:rFonts w:eastAsia="Times New Roman" w:cs="Times New Roman"/>
          <w:lang w:eastAsia="de-DE"/>
        </w:rPr>
        <w:t xml:space="preserve">(„gehend") und der Präposition </w:t>
      </w:r>
      <w:r w:rsidRPr="006715F3">
        <w:rPr>
          <w:rFonts w:eastAsia="Times New Roman" w:cs="Times New Roman"/>
          <w:b/>
          <w:bCs/>
          <w:rtl/>
          <w:lang w:eastAsia="de-DE"/>
        </w:rPr>
        <w:t>לְ</w:t>
      </w:r>
      <w:r w:rsidRPr="006715F3">
        <w:rPr>
          <w:rFonts w:eastAsia="Times New Roman" w:cs="Times New Roman"/>
          <w:rtl/>
          <w:lang w:eastAsia="de-DE"/>
        </w:rPr>
        <w:t xml:space="preserve"> </w:t>
      </w:r>
      <w:r w:rsidRPr="006715F3">
        <w:rPr>
          <w:rFonts w:eastAsia="Times New Roman" w:cs="Times New Roman"/>
          <w:lang w:eastAsia="de-DE"/>
        </w:rPr>
        <w:t xml:space="preserve">mit </w:t>
      </w:r>
      <w:r w:rsidRPr="006715F3">
        <w:rPr>
          <w:rFonts w:eastAsia="Times New Roman" w:cs="Times New Roman"/>
          <w:b/>
          <w:bCs/>
          <w:rtl/>
          <w:lang w:eastAsia="de-DE"/>
        </w:rPr>
        <w:t>עַמִּי</w:t>
      </w:r>
      <w:r w:rsidRPr="006715F3">
        <w:rPr>
          <w:rFonts w:eastAsia="Times New Roman" w:cs="Times New Roman"/>
          <w:rtl/>
          <w:lang w:eastAsia="de-DE"/>
        </w:rPr>
        <w:t xml:space="preserve"> </w:t>
      </w:r>
      <w:r w:rsidRPr="006715F3">
        <w:rPr>
          <w:rFonts w:eastAsia="Times New Roman" w:cs="Times New Roman"/>
          <w:lang w:eastAsia="de-DE"/>
        </w:rPr>
        <w:t xml:space="preserve">(„mein Volk") mit Suffix 1. Person Singular. Die Partizipialkonstruktion mit </w:t>
      </w:r>
      <w:r w:rsidRPr="006715F3">
        <w:rPr>
          <w:rFonts w:eastAsia="Times New Roman" w:cs="Times New Roman"/>
          <w:b/>
          <w:bCs/>
          <w:rtl/>
          <w:lang w:eastAsia="de-DE"/>
        </w:rPr>
        <w:t>הִנְנִי</w:t>
      </w:r>
      <w:r w:rsidRPr="006715F3">
        <w:rPr>
          <w:rFonts w:eastAsia="Times New Roman" w:cs="Times New Roman"/>
          <w:rtl/>
          <w:lang w:eastAsia="de-DE"/>
        </w:rPr>
        <w:t xml:space="preserve"> </w:t>
      </w:r>
      <w:r w:rsidRPr="006715F3">
        <w:rPr>
          <w:rFonts w:eastAsia="Times New Roman" w:cs="Times New Roman"/>
          <w:lang w:eastAsia="de-DE"/>
        </w:rPr>
        <w:t xml:space="preserve">drückt eine gegenwärtige oder unmittelbar bevorstehende Handlung aus („ich bin dabei zu gehen"). </w:t>
      </w:r>
      <w:r w:rsidRPr="006715F3">
        <w:rPr>
          <w:rFonts w:eastAsia="Times New Roman" w:cs="Times New Roman"/>
          <w:b/>
          <w:bCs/>
          <w:rtl/>
          <w:lang w:eastAsia="de-DE"/>
        </w:rPr>
        <w:t>לְכָה</w:t>
      </w:r>
      <w:r w:rsidRPr="006715F3">
        <w:rPr>
          <w:rFonts w:eastAsia="Times New Roman" w:cs="Times New Roman"/>
          <w:rtl/>
          <w:lang w:eastAsia="de-DE"/>
        </w:rPr>
        <w:t xml:space="preserve"> </w:t>
      </w:r>
      <w:r w:rsidRPr="006715F3">
        <w:rPr>
          <w:rFonts w:eastAsia="Times New Roman" w:cs="Times New Roman"/>
          <w:lang w:eastAsia="de-DE"/>
        </w:rPr>
        <w:t xml:space="preserve">ist ein Imperativ maskulin Singular von </w:t>
      </w:r>
      <w:r w:rsidRPr="006715F3">
        <w:rPr>
          <w:rFonts w:eastAsia="Times New Roman" w:cs="Times New Roman"/>
          <w:b/>
          <w:bCs/>
          <w:rtl/>
          <w:lang w:eastAsia="de-DE"/>
        </w:rPr>
        <w:t>הלך</w:t>
      </w:r>
      <w:r w:rsidRPr="006715F3">
        <w:rPr>
          <w:rFonts w:eastAsia="Times New Roman" w:cs="Times New Roman"/>
          <w:rtl/>
          <w:lang w:eastAsia="de-DE"/>
        </w:rPr>
        <w:t xml:space="preserve"> </w:t>
      </w:r>
      <w:r w:rsidRPr="006715F3">
        <w:rPr>
          <w:rFonts w:eastAsia="Times New Roman" w:cs="Times New Roman"/>
          <w:lang w:eastAsia="de-DE"/>
        </w:rPr>
        <w:t>(„komm!"), der eine Aufforderung zur Aufmerksamkeit darstellt.</w:t>
      </w:r>
    </w:p>
    <w:p w14:paraId="36BFC289" w14:textId="7C103B71"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אִיעָצְךָ</w:t>
      </w:r>
      <w:r w:rsidRPr="006715F3">
        <w:rPr>
          <w:rFonts w:eastAsia="Times New Roman" w:cs="Times New Roman"/>
          <w:rtl/>
          <w:lang w:eastAsia="de-DE"/>
        </w:rPr>
        <w:t xml:space="preserve"> </w:t>
      </w:r>
      <w:r w:rsidRPr="006715F3">
        <w:rPr>
          <w:rFonts w:eastAsia="Times New Roman" w:cs="Times New Roman"/>
          <w:lang w:eastAsia="de-DE"/>
        </w:rPr>
        <w:t xml:space="preserve">ist Qal Imperfekt (oder Kohortativ) 1. Person Singular von </w:t>
      </w:r>
      <w:r w:rsidRPr="006715F3">
        <w:rPr>
          <w:rFonts w:eastAsia="Times New Roman" w:cs="Times New Roman"/>
          <w:b/>
          <w:bCs/>
          <w:rtl/>
          <w:lang w:eastAsia="de-DE"/>
        </w:rPr>
        <w:t>יעץ</w:t>
      </w:r>
      <w:r w:rsidRPr="006715F3">
        <w:rPr>
          <w:rFonts w:eastAsia="Times New Roman" w:cs="Times New Roman"/>
          <w:rtl/>
          <w:lang w:eastAsia="de-DE"/>
        </w:rPr>
        <w:t xml:space="preserve"> </w:t>
      </w:r>
      <w:r w:rsidRPr="006715F3">
        <w:rPr>
          <w:rFonts w:eastAsia="Times New Roman" w:cs="Times New Roman"/>
          <w:lang w:eastAsia="de-DE"/>
        </w:rPr>
        <w:t xml:space="preserve">(„raten, beraten") mit Suffix der 2. Person maskulin Singular („ich will dir raten"). </w:t>
      </w:r>
      <w:r w:rsidRPr="006715F3">
        <w:rPr>
          <w:rFonts w:eastAsia="Times New Roman" w:cs="Times New Roman"/>
          <w:b/>
          <w:bCs/>
          <w:rtl/>
          <w:lang w:eastAsia="de-DE"/>
        </w:rPr>
        <w:t>אֲשֶׁר יַעֲשֶׂה הָעָם הַזֶּה לְעַמְּךָ</w:t>
      </w:r>
      <w:r w:rsidRPr="006715F3">
        <w:rPr>
          <w:rFonts w:eastAsia="Times New Roman" w:cs="Times New Roman"/>
          <w:rtl/>
          <w:lang w:eastAsia="de-DE"/>
        </w:rPr>
        <w:t xml:space="preserve"> </w:t>
      </w:r>
      <w:r w:rsidRPr="006715F3">
        <w:rPr>
          <w:rFonts w:eastAsia="Times New Roman" w:cs="Times New Roman"/>
          <w:lang w:eastAsia="de-DE"/>
        </w:rPr>
        <w:t xml:space="preserve">ist ein Objektsatz: </w:t>
      </w:r>
      <w:r w:rsidRPr="006715F3">
        <w:rPr>
          <w:rFonts w:eastAsia="Times New Roman" w:cs="Times New Roman"/>
          <w:b/>
          <w:bCs/>
          <w:rtl/>
          <w:lang w:eastAsia="de-DE"/>
        </w:rPr>
        <w:t>אֲשֶׁר</w:t>
      </w:r>
      <w:r w:rsidRPr="006715F3">
        <w:rPr>
          <w:rFonts w:eastAsia="Times New Roman" w:cs="Times New Roman"/>
          <w:rtl/>
          <w:lang w:eastAsia="de-DE"/>
        </w:rPr>
        <w:t xml:space="preserve"> </w:t>
      </w:r>
      <w:r w:rsidRPr="006715F3">
        <w:rPr>
          <w:rFonts w:eastAsia="Times New Roman" w:cs="Times New Roman"/>
          <w:lang w:eastAsia="de-DE"/>
        </w:rPr>
        <w:t xml:space="preserve">(Relativpronomen) mit </w:t>
      </w:r>
      <w:r w:rsidRPr="006715F3">
        <w:rPr>
          <w:rFonts w:eastAsia="Times New Roman" w:cs="Times New Roman"/>
          <w:b/>
          <w:bCs/>
          <w:rtl/>
          <w:lang w:eastAsia="de-DE"/>
        </w:rPr>
        <w:t>יַעֲשֶׂה</w:t>
      </w:r>
      <w:r w:rsidRPr="006715F3">
        <w:rPr>
          <w:rFonts w:eastAsia="Times New Roman" w:cs="Times New Roman"/>
          <w:rtl/>
          <w:lang w:eastAsia="de-DE"/>
        </w:rPr>
        <w:t xml:space="preserve"> </w:t>
      </w:r>
      <w:r w:rsidRPr="006715F3">
        <w:rPr>
          <w:rFonts w:eastAsia="Times New Roman" w:cs="Times New Roman"/>
          <w:lang w:eastAsia="de-DE"/>
        </w:rPr>
        <w:t xml:space="preserve">(Qal Imperfekt 3. Person maskulin Singular von </w:t>
      </w:r>
      <w:r w:rsidRPr="006715F3">
        <w:rPr>
          <w:rFonts w:eastAsia="Times New Roman" w:cs="Times New Roman"/>
          <w:b/>
          <w:bCs/>
          <w:rtl/>
          <w:lang w:eastAsia="de-DE"/>
        </w:rPr>
        <w:t>עשׂה</w:t>
      </w:r>
      <w:r w:rsidRPr="006715F3">
        <w:rPr>
          <w:rFonts w:eastAsia="Times New Roman" w:cs="Times New Roman"/>
          <w:rtl/>
          <w:lang w:eastAsia="de-DE"/>
        </w:rPr>
        <w:t xml:space="preserve"> </w:t>
      </w:r>
      <w:r w:rsidRPr="006715F3">
        <w:rPr>
          <w:rFonts w:eastAsia="Times New Roman" w:cs="Times New Roman"/>
          <w:lang w:eastAsia="de-DE"/>
        </w:rPr>
        <w:t xml:space="preserve">„tun"), </w:t>
      </w:r>
      <w:r w:rsidRPr="006715F3">
        <w:rPr>
          <w:rFonts w:eastAsia="Times New Roman" w:cs="Times New Roman"/>
          <w:b/>
          <w:bCs/>
          <w:rtl/>
          <w:lang w:eastAsia="de-DE"/>
        </w:rPr>
        <w:t>הָעָם הַזֶּה</w:t>
      </w:r>
      <w:r w:rsidRPr="006715F3">
        <w:rPr>
          <w:rFonts w:eastAsia="Times New Roman" w:cs="Times New Roman"/>
          <w:rtl/>
          <w:lang w:eastAsia="de-DE"/>
        </w:rPr>
        <w:t xml:space="preserve"> </w:t>
      </w:r>
      <w:r w:rsidRPr="006715F3">
        <w:rPr>
          <w:rFonts w:eastAsia="Times New Roman" w:cs="Times New Roman"/>
          <w:lang w:eastAsia="de-DE"/>
        </w:rPr>
        <w:t xml:space="preserve">(„dieses Volk", d.h. Israel) als Subjekt, </w:t>
      </w:r>
      <w:r w:rsidRPr="006715F3">
        <w:rPr>
          <w:rFonts w:eastAsia="Times New Roman" w:cs="Times New Roman"/>
          <w:b/>
          <w:bCs/>
          <w:rtl/>
          <w:lang w:eastAsia="de-DE"/>
        </w:rPr>
        <w:t>לְעַמְּךָ</w:t>
      </w:r>
      <w:r w:rsidRPr="006715F3">
        <w:rPr>
          <w:rFonts w:eastAsia="Times New Roman" w:cs="Times New Roman"/>
          <w:rtl/>
          <w:lang w:eastAsia="de-DE"/>
        </w:rPr>
        <w:t xml:space="preserve"> </w:t>
      </w:r>
      <w:r w:rsidRPr="006715F3">
        <w:rPr>
          <w:rFonts w:eastAsia="Times New Roman" w:cs="Times New Roman"/>
          <w:lang w:eastAsia="de-DE"/>
        </w:rPr>
        <w:t xml:space="preserve">(Präposition </w:t>
      </w:r>
      <w:r w:rsidRPr="006715F3">
        <w:rPr>
          <w:rFonts w:eastAsia="Times New Roman" w:cs="Times New Roman"/>
          <w:b/>
          <w:bCs/>
          <w:rtl/>
          <w:lang w:eastAsia="de-DE"/>
        </w:rPr>
        <w:t>לְ</w:t>
      </w:r>
      <w:r w:rsidRPr="006715F3">
        <w:rPr>
          <w:rFonts w:eastAsia="Times New Roman" w:cs="Times New Roman"/>
          <w:rtl/>
          <w:lang w:eastAsia="de-DE"/>
        </w:rPr>
        <w:t xml:space="preserve"> </w:t>
      </w:r>
      <w:r w:rsidRPr="006715F3">
        <w:rPr>
          <w:rFonts w:eastAsia="Times New Roman" w:cs="Times New Roman"/>
          <w:lang w:eastAsia="de-DE"/>
        </w:rPr>
        <w:t xml:space="preserve">mit </w:t>
      </w:r>
      <w:r w:rsidRPr="006715F3">
        <w:rPr>
          <w:rFonts w:eastAsia="Times New Roman" w:cs="Times New Roman"/>
          <w:b/>
          <w:bCs/>
          <w:rtl/>
          <w:lang w:eastAsia="de-DE"/>
        </w:rPr>
        <w:t>עַם</w:t>
      </w:r>
      <w:r w:rsidRPr="006715F3">
        <w:rPr>
          <w:rFonts w:eastAsia="Times New Roman" w:cs="Times New Roman"/>
          <w:rtl/>
          <w:lang w:eastAsia="de-DE"/>
        </w:rPr>
        <w:t xml:space="preserve"> </w:t>
      </w:r>
      <w:r w:rsidRPr="006715F3">
        <w:rPr>
          <w:rFonts w:eastAsia="Times New Roman" w:cs="Times New Roman"/>
          <w:lang w:eastAsia="de-DE"/>
        </w:rPr>
        <w:t xml:space="preserve">„Volk" und Suffix 2. Person maskulin Singular „deinem Volk") als indirektes Objekt. </w:t>
      </w:r>
      <w:r w:rsidRPr="006715F3">
        <w:rPr>
          <w:rFonts w:eastAsia="Times New Roman" w:cs="Times New Roman"/>
          <w:b/>
          <w:bCs/>
          <w:rtl/>
          <w:lang w:eastAsia="de-DE"/>
        </w:rPr>
        <w:t>בְּאַחֲרִית הַיָּמִים</w:t>
      </w:r>
      <w:r w:rsidRPr="006715F3">
        <w:rPr>
          <w:rFonts w:eastAsia="Times New Roman" w:cs="Times New Roman"/>
          <w:rtl/>
          <w:lang w:eastAsia="de-DE"/>
        </w:rPr>
        <w:t xml:space="preserve"> </w:t>
      </w:r>
      <w:r w:rsidRPr="006715F3">
        <w:rPr>
          <w:rFonts w:eastAsia="Times New Roman" w:cs="Times New Roman"/>
          <w:lang w:eastAsia="de-DE"/>
        </w:rPr>
        <w:t xml:space="preserve">ist eine temporale Phrase: </w:t>
      </w:r>
      <w:r w:rsidRPr="006715F3">
        <w:rPr>
          <w:rFonts w:eastAsia="Times New Roman" w:cs="Times New Roman"/>
          <w:b/>
          <w:bCs/>
          <w:rtl/>
          <w:lang w:eastAsia="de-DE"/>
        </w:rPr>
        <w:t>בְּ</w:t>
      </w:r>
      <w:r w:rsidRPr="006715F3">
        <w:rPr>
          <w:rFonts w:eastAsia="Times New Roman" w:cs="Times New Roman"/>
          <w:rtl/>
          <w:lang w:eastAsia="de-DE"/>
        </w:rPr>
        <w:t xml:space="preserve"> </w:t>
      </w:r>
      <w:r w:rsidRPr="006715F3">
        <w:rPr>
          <w:rFonts w:eastAsia="Times New Roman" w:cs="Times New Roman"/>
          <w:lang w:eastAsia="de-DE"/>
        </w:rPr>
        <w:t xml:space="preserve">(Präposition „in"), </w:t>
      </w:r>
      <w:r w:rsidRPr="006715F3">
        <w:rPr>
          <w:rFonts w:eastAsia="Times New Roman" w:cs="Times New Roman"/>
          <w:b/>
          <w:bCs/>
          <w:rtl/>
          <w:lang w:eastAsia="de-DE"/>
        </w:rPr>
        <w:t>אַחֲרִית</w:t>
      </w:r>
      <w:r w:rsidRPr="006715F3">
        <w:rPr>
          <w:rFonts w:eastAsia="Times New Roman" w:cs="Times New Roman"/>
          <w:rtl/>
          <w:lang w:eastAsia="de-DE"/>
        </w:rPr>
        <w:t xml:space="preserve"> </w:t>
      </w:r>
      <w:r w:rsidRPr="006715F3">
        <w:rPr>
          <w:rFonts w:eastAsia="Times New Roman" w:cs="Times New Roman"/>
          <w:lang w:eastAsia="de-DE"/>
        </w:rPr>
        <w:t xml:space="preserve">(feminin Singular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אַחֲרִית</w:t>
      </w:r>
      <w:r w:rsidRPr="006715F3">
        <w:rPr>
          <w:rFonts w:eastAsia="Times New Roman" w:cs="Times New Roman"/>
          <w:rtl/>
          <w:lang w:eastAsia="de-DE"/>
        </w:rPr>
        <w:t xml:space="preserve"> </w:t>
      </w:r>
      <w:r w:rsidRPr="006715F3">
        <w:rPr>
          <w:rFonts w:eastAsia="Times New Roman" w:cs="Times New Roman"/>
          <w:lang w:eastAsia="de-DE"/>
        </w:rPr>
        <w:t xml:space="preserve">„Ende, Zukunft"), </w:t>
      </w:r>
      <w:r w:rsidRPr="006715F3">
        <w:rPr>
          <w:rFonts w:eastAsia="Times New Roman" w:cs="Times New Roman"/>
          <w:b/>
          <w:bCs/>
          <w:rtl/>
          <w:lang w:eastAsia="de-DE"/>
        </w:rPr>
        <w:t>הַיָּמִים</w:t>
      </w:r>
      <w:r w:rsidRPr="006715F3">
        <w:rPr>
          <w:rFonts w:eastAsia="Times New Roman" w:cs="Times New Roman"/>
          <w:rtl/>
          <w:lang w:eastAsia="de-DE"/>
        </w:rPr>
        <w:t xml:space="preserve"> </w:t>
      </w:r>
      <w:r w:rsidRPr="006715F3">
        <w:rPr>
          <w:rFonts w:eastAsia="Times New Roman" w:cs="Times New Roman"/>
          <w:lang w:eastAsia="de-DE"/>
        </w:rPr>
        <w:t xml:space="preserve">(Plural von </w:t>
      </w:r>
      <w:r w:rsidRPr="006715F3">
        <w:rPr>
          <w:rFonts w:eastAsia="Times New Roman" w:cs="Times New Roman"/>
          <w:b/>
          <w:bCs/>
          <w:rtl/>
          <w:lang w:eastAsia="de-DE"/>
        </w:rPr>
        <w:t>יוֹם</w:t>
      </w:r>
      <w:r w:rsidRPr="006715F3">
        <w:rPr>
          <w:rFonts w:eastAsia="Times New Roman" w:cs="Times New Roman"/>
          <w:rtl/>
          <w:lang w:eastAsia="de-DE"/>
        </w:rPr>
        <w:t xml:space="preserve"> </w:t>
      </w:r>
      <w:r w:rsidRPr="006715F3">
        <w:rPr>
          <w:rFonts w:eastAsia="Times New Roman" w:cs="Times New Roman"/>
          <w:lang w:eastAsia="de-DE"/>
        </w:rPr>
        <w:t>„Tag" mit Artikel). Diese eschatologische Formel bezeichnet die ferne Zukunft oder Endzeit.</w:t>
      </w:r>
    </w:p>
    <w:p w14:paraId="7596CE91"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lastRenderedPageBreak/>
        <w:t>Die LXX</w:t>
      </w:r>
      <w:r w:rsidRPr="006715F3">
        <w:rPr>
          <w:rFonts w:eastAsia="Times New Roman" w:cs="Times New Roman"/>
          <w:lang w:eastAsia="de-DE"/>
        </w:rPr>
        <w:t xml:space="preserve"> gibt keine signifikanten Abweichungen vom hebräischen Text, außer dass ἐν ἐσχάταις ἡμέραις für die eschatologische Formel eine präzise Entsprechung darstellt.</w:t>
      </w:r>
    </w:p>
    <w:p w14:paraId="357F97D9"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einen Hauptsatz mit Partizipialkonstruktion, gefolgt von einem Imperativ und einem Hauptsatz mit Objektsatz, der durch einen Relativsatz erweitert wird und eine temporale Bestimmung enthält.</w:t>
      </w:r>
    </w:p>
    <w:p w14:paraId="7AF12D61" w14:textId="4014CD59"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leitet d</w:t>
      </w:r>
      <w:r w:rsidR="00B513FF">
        <w:rPr>
          <w:rFonts w:eastAsia="Times New Roman" w:cs="Times New Roman"/>
          <w:lang w:eastAsia="de-DE"/>
        </w:rPr>
        <w:t>ie</w:t>
      </w:r>
      <w:r w:rsidRPr="006715F3">
        <w:rPr>
          <w:rFonts w:eastAsia="Times New Roman" w:cs="Times New Roman"/>
          <w:lang w:eastAsia="de-DE"/>
        </w:rPr>
        <w:t xml:space="preserve"> vierte und letzte </w:t>
      </w:r>
      <w:r w:rsidR="00B513FF">
        <w:rPr>
          <w:rFonts w:eastAsia="Times New Roman" w:cs="Times New Roman"/>
          <w:lang w:eastAsia="de-DE"/>
        </w:rPr>
        <w:t>Weissagung</w:t>
      </w:r>
      <w:r w:rsidRPr="006715F3">
        <w:rPr>
          <w:rFonts w:eastAsia="Times New Roman" w:cs="Times New Roman"/>
          <w:lang w:eastAsia="de-DE"/>
        </w:rPr>
        <w:t xml:space="preserve"> Bileams ein, in dem er ankündigt, Balak über die zukünftigen Schicksale der Völker zu informieren, wobei der Ausdruck „Ende der Tage" auf eine weitreichende prophetische Vision hinweist.</w:t>
      </w:r>
    </w:p>
    <w:p w14:paraId="5A24FAE0"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24,15</w:t>
      </w:r>
    </w:p>
    <w:p w14:paraId="57B952CB"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וַיִּשָּׂ֥א מְשָׁלֹ֖ו וַיֹּאמַ֑ר נְאֻ֤ם בִּלְעָם֙ בְּנ֣וֹ בְעֹ֔ר וּנְאֻ֥ם הַגֶּ֖בֶר שְׁתֻ֥ם הָעָֽיִן׃</w:t>
      </w:r>
    </w:p>
    <w:p w14:paraId="7BAA1367"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er hob seinen Spruch an und sprach: „Spruch Bil'ams, des Sohnes Be'ors, und Spruch des Mannes mit geöffnetem Auge."</w:t>
      </w:r>
    </w:p>
    <w:p w14:paraId="46B75891"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239D6921">
          <v:rect id="_x0000_i1840" style="width:0;height:1.5pt" o:hralign="center" o:hrstd="t" o:hr="t" fillcolor="#a0a0a0" stroked="f"/>
        </w:pict>
      </w:r>
    </w:p>
    <w:p w14:paraId="02CDA026" w14:textId="38F4C801"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וַיִּשָּׂא מְשָׁלוֹ וַיֹּאמַר</w:t>
      </w:r>
      <w:r w:rsidRPr="006715F3">
        <w:rPr>
          <w:rFonts w:eastAsia="Times New Roman" w:cs="Times New Roman"/>
          <w:lang w:eastAsia="de-DE"/>
        </w:rPr>
        <w:t>, der Standard-Formel zur Einleitung eine</w:t>
      </w:r>
      <w:r w:rsidR="00B513FF">
        <w:rPr>
          <w:rFonts w:eastAsia="Times New Roman" w:cs="Times New Roman"/>
          <w:lang w:eastAsia="de-DE"/>
        </w:rPr>
        <w:t>r</w:t>
      </w:r>
      <w:r w:rsidRPr="006715F3">
        <w:rPr>
          <w:rFonts w:eastAsia="Times New Roman" w:cs="Times New Roman"/>
          <w:lang w:eastAsia="de-DE"/>
        </w:rPr>
        <w:t xml:space="preserve"> </w:t>
      </w:r>
      <w:r w:rsidR="00B513FF">
        <w:rPr>
          <w:rFonts w:eastAsia="Times New Roman" w:cs="Times New Roman"/>
          <w:lang w:eastAsia="de-DE"/>
        </w:rPr>
        <w:t>Weissagung</w:t>
      </w:r>
      <w:r w:rsidRPr="006715F3">
        <w:rPr>
          <w:rFonts w:eastAsia="Times New Roman" w:cs="Times New Roman"/>
          <w:lang w:eastAsia="de-DE"/>
        </w:rPr>
        <w:t xml:space="preserve">. </w:t>
      </w:r>
      <w:r w:rsidRPr="006715F3">
        <w:rPr>
          <w:rFonts w:eastAsia="Times New Roman" w:cs="Times New Roman"/>
          <w:b/>
          <w:bCs/>
          <w:rtl/>
          <w:lang w:eastAsia="de-DE"/>
        </w:rPr>
        <w:t>וַיִּשָּׂא</w:t>
      </w:r>
      <w:r w:rsidRPr="006715F3">
        <w:rPr>
          <w:rFonts w:eastAsia="Times New Roman" w:cs="Times New Roman"/>
          <w:rtl/>
          <w:lang w:eastAsia="de-DE"/>
        </w:rPr>
        <w:t xml:space="preserve"> </w:t>
      </w:r>
      <w:r w:rsidRPr="006715F3">
        <w:rPr>
          <w:rFonts w:eastAsia="Times New Roman" w:cs="Times New Roman"/>
          <w:lang w:eastAsia="de-DE"/>
        </w:rPr>
        <w:t xml:space="preserve">ist Qal Wayyiqtol 3. Person maskulin Singular von </w:t>
      </w:r>
      <w:r w:rsidRPr="006715F3">
        <w:rPr>
          <w:rFonts w:eastAsia="Times New Roman" w:cs="Times New Roman"/>
          <w:b/>
          <w:bCs/>
          <w:rtl/>
          <w:lang w:eastAsia="de-DE"/>
        </w:rPr>
        <w:t>נשׂא</w:t>
      </w:r>
      <w:r w:rsidRPr="006715F3">
        <w:rPr>
          <w:rFonts w:eastAsia="Times New Roman" w:cs="Times New Roman"/>
          <w:rtl/>
          <w:lang w:eastAsia="de-DE"/>
        </w:rPr>
        <w:t xml:space="preserve"> </w:t>
      </w:r>
      <w:r w:rsidRPr="006715F3">
        <w:rPr>
          <w:rFonts w:eastAsia="Times New Roman" w:cs="Times New Roman"/>
          <w:lang w:eastAsia="de-DE"/>
        </w:rPr>
        <w:t xml:space="preserve">(„erheben, anheben"), </w:t>
      </w:r>
      <w:r w:rsidRPr="006715F3">
        <w:rPr>
          <w:rFonts w:eastAsia="Times New Roman" w:cs="Times New Roman"/>
          <w:b/>
          <w:bCs/>
          <w:rtl/>
          <w:lang w:eastAsia="de-DE"/>
        </w:rPr>
        <w:t>מְשָׁלוֹ</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von </w:t>
      </w:r>
      <w:r w:rsidRPr="006715F3">
        <w:rPr>
          <w:rFonts w:eastAsia="Times New Roman" w:cs="Times New Roman"/>
          <w:b/>
          <w:bCs/>
          <w:rtl/>
          <w:lang w:eastAsia="de-DE"/>
        </w:rPr>
        <w:t>מָשָׁל</w:t>
      </w:r>
      <w:r w:rsidRPr="006715F3">
        <w:rPr>
          <w:rFonts w:eastAsia="Times New Roman" w:cs="Times New Roman"/>
          <w:rtl/>
          <w:lang w:eastAsia="de-DE"/>
        </w:rPr>
        <w:t xml:space="preserve"> </w:t>
      </w:r>
      <w:r w:rsidRPr="006715F3">
        <w:rPr>
          <w:rFonts w:eastAsia="Times New Roman" w:cs="Times New Roman"/>
          <w:lang w:eastAsia="de-DE"/>
        </w:rPr>
        <w:t xml:space="preserve">(„Spruch, Gleichnis, </w:t>
      </w:r>
      <w:r w:rsidR="00B513FF">
        <w:rPr>
          <w:rFonts w:eastAsia="Times New Roman" w:cs="Times New Roman"/>
          <w:lang w:eastAsia="de-DE"/>
        </w:rPr>
        <w:t>Weissagung</w:t>
      </w:r>
      <w:r w:rsidRPr="006715F3">
        <w:rPr>
          <w:rFonts w:eastAsia="Times New Roman" w:cs="Times New Roman"/>
          <w:lang w:eastAsia="de-DE"/>
        </w:rPr>
        <w:t xml:space="preserve">") mit Suffix 3. Person maskulin Singular („seinen Spruch"). </w:t>
      </w:r>
      <w:r w:rsidRPr="006715F3">
        <w:rPr>
          <w:rFonts w:eastAsia="Times New Roman" w:cs="Times New Roman"/>
          <w:b/>
          <w:bCs/>
          <w:rtl/>
          <w:lang w:eastAsia="de-DE"/>
        </w:rPr>
        <w:t>וַיֹּאמַר</w:t>
      </w:r>
      <w:r w:rsidRPr="006715F3">
        <w:rPr>
          <w:rFonts w:eastAsia="Times New Roman" w:cs="Times New Roman"/>
          <w:rtl/>
          <w:lang w:eastAsia="de-DE"/>
        </w:rPr>
        <w:t xml:space="preserve"> </w:t>
      </w:r>
      <w:r w:rsidRPr="006715F3">
        <w:rPr>
          <w:rFonts w:eastAsia="Times New Roman" w:cs="Times New Roman"/>
          <w:lang w:eastAsia="de-DE"/>
        </w:rPr>
        <w:t xml:space="preserve">ist Qal Wayyiqtol von </w:t>
      </w:r>
      <w:r w:rsidRPr="006715F3">
        <w:rPr>
          <w:rFonts w:eastAsia="Times New Roman" w:cs="Times New Roman"/>
          <w:b/>
          <w:bCs/>
          <w:rtl/>
          <w:lang w:eastAsia="de-DE"/>
        </w:rPr>
        <w:t>אמר</w:t>
      </w:r>
      <w:r w:rsidRPr="006715F3">
        <w:rPr>
          <w:rFonts w:eastAsia="Times New Roman" w:cs="Times New Roman"/>
          <w:rtl/>
          <w:lang w:eastAsia="de-DE"/>
        </w:rPr>
        <w:t xml:space="preserve"> </w:t>
      </w:r>
      <w:r w:rsidRPr="006715F3">
        <w:rPr>
          <w:rFonts w:eastAsia="Times New Roman" w:cs="Times New Roman"/>
          <w:lang w:eastAsia="de-DE"/>
        </w:rPr>
        <w:t>(„sagen, sprechen"). Diese Formel markiert den feierlichen Beginn de</w:t>
      </w:r>
      <w:r w:rsidR="00B513FF">
        <w:rPr>
          <w:rFonts w:eastAsia="Times New Roman" w:cs="Times New Roman"/>
          <w:lang w:eastAsia="de-DE"/>
        </w:rPr>
        <w:t>r</w:t>
      </w:r>
      <w:r w:rsidRPr="006715F3">
        <w:rPr>
          <w:rFonts w:eastAsia="Times New Roman" w:cs="Times New Roman"/>
          <w:lang w:eastAsia="de-DE"/>
        </w:rPr>
        <w:t xml:space="preserve"> vierten und letzten </w:t>
      </w:r>
      <w:r w:rsidR="00B513FF">
        <w:rPr>
          <w:rFonts w:eastAsia="Times New Roman" w:cs="Times New Roman"/>
          <w:lang w:eastAsia="de-DE"/>
        </w:rPr>
        <w:t>Weissagung</w:t>
      </w:r>
      <w:r w:rsidRPr="006715F3">
        <w:rPr>
          <w:rFonts w:eastAsia="Times New Roman" w:cs="Times New Roman"/>
          <w:lang w:eastAsia="de-DE"/>
        </w:rPr>
        <w:t>.</w:t>
      </w:r>
    </w:p>
    <w:p w14:paraId="258593BE" w14:textId="2896BB8C"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נְאֻם בִּלְעָם בְּנוֹ בְעֹר</w:t>
      </w:r>
      <w:r w:rsidRPr="006715F3">
        <w:rPr>
          <w:rFonts w:eastAsia="Times New Roman" w:cs="Times New Roman"/>
          <w:rtl/>
          <w:lang w:eastAsia="de-DE"/>
        </w:rPr>
        <w:t xml:space="preserve"> </w:t>
      </w:r>
      <w:r w:rsidRPr="006715F3">
        <w:rPr>
          <w:rFonts w:eastAsia="Times New Roman" w:cs="Times New Roman"/>
          <w:lang w:eastAsia="de-DE"/>
        </w:rPr>
        <w:t xml:space="preserve">bildet die Selbstvorstellung. </w:t>
      </w:r>
      <w:r w:rsidRPr="006715F3">
        <w:rPr>
          <w:rFonts w:eastAsia="Times New Roman" w:cs="Times New Roman"/>
          <w:b/>
          <w:bCs/>
          <w:rtl/>
          <w:lang w:eastAsia="de-DE"/>
        </w:rPr>
        <w:t>נְאֻם</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von </w:t>
      </w:r>
      <w:r w:rsidRPr="006715F3">
        <w:rPr>
          <w:rFonts w:eastAsia="Times New Roman" w:cs="Times New Roman"/>
          <w:b/>
          <w:bCs/>
          <w:rtl/>
          <w:lang w:eastAsia="de-DE"/>
        </w:rPr>
        <w:t>נְאֻם</w:t>
      </w:r>
      <w:r w:rsidRPr="006715F3">
        <w:rPr>
          <w:rFonts w:eastAsia="Times New Roman" w:cs="Times New Roman"/>
          <w:rtl/>
          <w:lang w:eastAsia="de-DE"/>
        </w:rPr>
        <w:t xml:space="preserve"> </w:t>
      </w:r>
      <w:r w:rsidRPr="006715F3">
        <w:rPr>
          <w:rFonts w:eastAsia="Times New Roman" w:cs="Times New Roman"/>
          <w:lang w:eastAsia="de-DE"/>
        </w:rPr>
        <w:t>(„Spruch, Ausspruch"), ein technischer Begriff für prophetische Rede, der sonst oft mit dem Gottesnamen verbunden ist (</w:t>
      </w:r>
      <w:r w:rsidRPr="006715F3">
        <w:rPr>
          <w:rFonts w:eastAsia="Times New Roman" w:cs="Times New Roman"/>
          <w:b/>
          <w:bCs/>
          <w:rtl/>
          <w:lang w:eastAsia="de-DE"/>
        </w:rPr>
        <w:t>נְאֻם יהוה</w:t>
      </w:r>
      <w:r w:rsidRPr="006715F3">
        <w:rPr>
          <w:rFonts w:eastAsia="Times New Roman" w:cs="Times New Roman"/>
          <w:lang w:eastAsia="de-DE"/>
        </w:rPr>
        <w:t xml:space="preserve">). </w:t>
      </w:r>
      <w:r w:rsidRPr="006715F3">
        <w:rPr>
          <w:rFonts w:eastAsia="Times New Roman" w:cs="Times New Roman"/>
          <w:b/>
          <w:bCs/>
          <w:rtl/>
          <w:lang w:eastAsia="de-DE"/>
        </w:rPr>
        <w:t>בִּלְעָם</w:t>
      </w:r>
      <w:r w:rsidRPr="006715F3">
        <w:rPr>
          <w:rFonts w:eastAsia="Times New Roman" w:cs="Times New Roman"/>
          <w:rtl/>
          <w:lang w:eastAsia="de-DE"/>
        </w:rPr>
        <w:t xml:space="preserve"> </w:t>
      </w:r>
      <w:r w:rsidRPr="006715F3">
        <w:rPr>
          <w:rFonts w:eastAsia="Times New Roman" w:cs="Times New Roman"/>
          <w:lang w:eastAsia="de-DE"/>
        </w:rPr>
        <w:t xml:space="preserve">ist der Eigenname als Genitiv, </w:t>
      </w:r>
      <w:r w:rsidRPr="006715F3">
        <w:rPr>
          <w:rFonts w:eastAsia="Times New Roman" w:cs="Times New Roman"/>
          <w:b/>
          <w:bCs/>
          <w:rtl/>
          <w:lang w:eastAsia="de-DE"/>
        </w:rPr>
        <w:t>בְּנוֹ</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בֵּן</w:t>
      </w:r>
      <w:r w:rsidRPr="006715F3">
        <w:rPr>
          <w:rFonts w:eastAsia="Times New Roman" w:cs="Times New Roman"/>
          <w:rtl/>
          <w:lang w:eastAsia="de-DE"/>
        </w:rPr>
        <w:t xml:space="preserve"> </w:t>
      </w:r>
      <w:r w:rsidRPr="006715F3">
        <w:rPr>
          <w:rFonts w:eastAsia="Times New Roman" w:cs="Times New Roman"/>
          <w:lang w:eastAsia="de-DE"/>
        </w:rPr>
        <w:t xml:space="preserve">(„Sohn") mit Suffix 3. Person maskulin Singular („sein Sohn"), </w:t>
      </w:r>
      <w:r w:rsidRPr="006715F3">
        <w:rPr>
          <w:rFonts w:eastAsia="Times New Roman" w:cs="Times New Roman"/>
          <w:b/>
          <w:bCs/>
          <w:rtl/>
          <w:lang w:eastAsia="de-DE"/>
        </w:rPr>
        <w:t>בְעֹר</w:t>
      </w:r>
      <w:r w:rsidRPr="006715F3">
        <w:rPr>
          <w:rFonts w:eastAsia="Times New Roman" w:cs="Times New Roman"/>
          <w:rtl/>
          <w:lang w:eastAsia="de-DE"/>
        </w:rPr>
        <w:t xml:space="preserve"> </w:t>
      </w:r>
      <w:r w:rsidRPr="006715F3">
        <w:rPr>
          <w:rFonts w:eastAsia="Times New Roman" w:cs="Times New Roman"/>
          <w:lang w:eastAsia="de-DE"/>
        </w:rPr>
        <w:t xml:space="preserve">ist der Vatersname im Genitiv. Die </w:t>
      </w:r>
      <w:r w:rsidR="00F133EC">
        <w:rPr>
          <w:rFonts w:eastAsia="Times New Roman" w:cs="Times New Roman"/>
          <w:lang w:eastAsia="de-DE"/>
        </w:rPr>
        <w:t>Construct</w:t>
      </w:r>
      <w:r w:rsidRPr="006715F3">
        <w:rPr>
          <w:rFonts w:eastAsia="Times New Roman" w:cs="Times New Roman"/>
          <w:lang w:eastAsia="de-DE"/>
        </w:rPr>
        <w:t>ion betont die Legitimität und Autorität des Sprechers durch genealogische Identifikation.</w:t>
      </w:r>
    </w:p>
    <w:p w14:paraId="1081B3E0"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וּנְאֻם הַגֶּבֶר שְׁתֻם הָעָיִן</w:t>
      </w:r>
      <w:r w:rsidRPr="006715F3">
        <w:rPr>
          <w:rFonts w:eastAsia="Times New Roman" w:cs="Times New Roman"/>
          <w:rtl/>
          <w:lang w:eastAsia="de-DE"/>
        </w:rPr>
        <w:t xml:space="preserve"> </w:t>
      </w:r>
      <w:r w:rsidRPr="006715F3">
        <w:rPr>
          <w:rFonts w:eastAsia="Times New Roman" w:cs="Times New Roman"/>
          <w:lang w:eastAsia="de-DE"/>
        </w:rPr>
        <w:t xml:space="preserve">ist die parallele zweite Selbstbezeichnung. </w:t>
      </w:r>
      <w:r w:rsidRPr="006715F3">
        <w:rPr>
          <w:rFonts w:eastAsia="Times New Roman" w:cs="Times New Roman"/>
          <w:b/>
          <w:bCs/>
          <w:rtl/>
          <w:lang w:eastAsia="de-DE"/>
        </w:rPr>
        <w:t>וּנְאֻם</w:t>
      </w:r>
      <w:r w:rsidRPr="006715F3">
        <w:rPr>
          <w:rFonts w:eastAsia="Times New Roman" w:cs="Times New Roman"/>
          <w:rtl/>
          <w:lang w:eastAsia="de-DE"/>
        </w:rPr>
        <w:t xml:space="preserve"> </w:t>
      </w:r>
      <w:r w:rsidRPr="006715F3">
        <w:rPr>
          <w:rFonts w:eastAsia="Times New Roman" w:cs="Times New Roman"/>
          <w:lang w:eastAsia="de-DE"/>
        </w:rPr>
        <w:t xml:space="preserve">wiederholt die Einleitungsformel mit der Konjunktion </w:t>
      </w:r>
      <w:r w:rsidRPr="006715F3">
        <w:rPr>
          <w:rFonts w:eastAsia="Times New Roman" w:cs="Times New Roman"/>
          <w:b/>
          <w:bCs/>
          <w:rtl/>
          <w:lang w:eastAsia="de-DE"/>
        </w:rPr>
        <w:t>וְ</w:t>
      </w:r>
      <w:r w:rsidRPr="006715F3">
        <w:rPr>
          <w:rFonts w:eastAsia="Times New Roman" w:cs="Times New Roman"/>
          <w:lang w:eastAsia="de-DE"/>
        </w:rPr>
        <w:t xml:space="preserve">, </w:t>
      </w:r>
      <w:r w:rsidRPr="006715F3">
        <w:rPr>
          <w:rFonts w:eastAsia="Times New Roman" w:cs="Times New Roman"/>
          <w:b/>
          <w:bCs/>
          <w:rtl/>
          <w:lang w:eastAsia="de-DE"/>
        </w:rPr>
        <w:t>הַגֶּבֶר</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von </w:t>
      </w:r>
      <w:r w:rsidRPr="006715F3">
        <w:rPr>
          <w:rFonts w:eastAsia="Times New Roman" w:cs="Times New Roman"/>
          <w:b/>
          <w:bCs/>
          <w:rtl/>
          <w:lang w:eastAsia="de-DE"/>
        </w:rPr>
        <w:t>גֶּבֶר</w:t>
      </w:r>
      <w:r w:rsidRPr="006715F3">
        <w:rPr>
          <w:rFonts w:eastAsia="Times New Roman" w:cs="Times New Roman"/>
          <w:rtl/>
          <w:lang w:eastAsia="de-DE"/>
        </w:rPr>
        <w:t xml:space="preserve"> </w:t>
      </w:r>
      <w:r w:rsidRPr="006715F3">
        <w:rPr>
          <w:rFonts w:eastAsia="Times New Roman" w:cs="Times New Roman"/>
          <w:lang w:eastAsia="de-DE"/>
        </w:rPr>
        <w:t xml:space="preserve">(„Mann, starker Mann") mit Artikel. </w:t>
      </w:r>
      <w:r w:rsidRPr="006715F3">
        <w:rPr>
          <w:rFonts w:eastAsia="Times New Roman" w:cs="Times New Roman"/>
          <w:b/>
          <w:bCs/>
          <w:rtl/>
          <w:lang w:eastAsia="de-DE"/>
        </w:rPr>
        <w:t>שְׁתֻם הָעָיִן</w:t>
      </w:r>
      <w:r w:rsidRPr="006715F3">
        <w:rPr>
          <w:rFonts w:eastAsia="Times New Roman" w:cs="Times New Roman"/>
          <w:rtl/>
          <w:lang w:eastAsia="de-DE"/>
        </w:rPr>
        <w:t xml:space="preserve"> </w:t>
      </w:r>
      <w:r w:rsidRPr="006715F3">
        <w:rPr>
          <w:rFonts w:eastAsia="Times New Roman" w:cs="Times New Roman"/>
          <w:lang w:eastAsia="de-DE"/>
        </w:rPr>
        <w:t xml:space="preserve">ist umstritten: </w:t>
      </w:r>
      <w:r w:rsidRPr="006715F3">
        <w:rPr>
          <w:rFonts w:eastAsia="Times New Roman" w:cs="Times New Roman"/>
          <w:b/>
          <w:bCs/>
          <w:rtl/>
          <w:lang w:eastAsia="de-DE"/>
        </w:rPr>
        <w:t>שְׁתֻם</w:t>
      </w:r>
      <w:r w:rsidRPr="006715F3">
        <w:rPr>
          <w:rFonts w:eastAsia="Times New Roman" w:cs="Times New Roman"/>
          <w:rtl/>
          <w:lang w:eastAsia="de-DE"/>
        </w:rPr>
        <w:t xml:space="preserve"> </w:t>
      </w:r>
      <w:r w:rsidRPr="006715F3">
        <w:rPr>
          <w:rFonts w:eastAsia="Times New Roman" w:cs="Times New Roman"/>
          <w:lang w:eastAsia="de-DE"/>
        </w:rPr>
        <w:t xml:space="preserve">ist Qal Passiv-Partizip maskulin Singular von </w:t>
      </w:r>
      <w:r w:rsidRPr="006715F3">
        <w:rPr>
          <w:rFonts w:eastAsia="Times New Roman" w:cs="Times New Roman"/>
          <w:b/>
          <w:bCs/>
          <w:rtl/>
          <w:lang w:eastAsia="de-DE"/>
        </w:rPr>
        <w:t>שׁתם</w:t>
      </w:r>
      <w:r w:rsidRPr="006715F3">
        <w:rPr>
          <w:rFonts w:eastAsia="Times New Roman" w:cs="Times New Roman"/>
          <w:lang w:eastAsia="de-DE"/>
        </w:rPr>
        <w:t xml:space="preserve">, das entweder „verschlossen" oder „geöffnet" bedeuten kann. </w:t>
      </w:r>
      <w:r w:rsidRPr="006715F3">
        <w:rPr>
          <w:rFonts w:eastAsia="Times New Roman" w:cs="Times New Roman"/>
          <w:b/>
          <w:bCs/>
          <w:rtl/>
          <w:lang w:eastAsia="de-DE"/>
        </w:rPr>
        <w:t>הָעָיִן</w:t>
      </w:r>
      <w:r w:rsidRPr="006715F3">
        <w:rPr>
          <w:rFonts w:eastAsia="Times New Roman" w:cs="Times New Roman"/>
          <w:rtl/>
          <w:lang w:eastAsia="de-DE"/>
        </w:rPr>
        <w:t xml:space="preserve"> </w:t>
      </w:r>
      <w:r w:rsidRPr="006715F3">
        <w:rPr>
          <w:rFonts w:eastAsia="Times New Roman" w:cs="Times New Roman"/>
          <w:lang w:eastAsia="de-DE"/>
        </w:rPr>
        <w:t xml:space="preserve">ist feminin Singular von </w:t>
      </w:r>
      <w:r w:rsidRPr="006715F3">
        <w:rPr>
          <w:rFonts w:eastAsia="Times New Roman" w:cs="Times New Roman"/>
          <w:b/>
          <w:bCs/>
          <w:rtl/>
          <w:lang w:eastAsia="de-DE"/>
        </w:rPr>
        <w:t>עַיִן</w:t>
      </w:r>
      <w:r w:rsidRPr="006715F3">
        <w:rPr>
          <w:rFonts w:eastAsia="Times New Roman" w:cs="Times New Roman"/>
          <w:rtl/>
          <w:lang w:eastAsia="de-DE"/>
        </w:rPr>
        <w:t xml:space="preserve"> </w:t>
      </w:r>
      <w:r w:rsidRPr="006715F3">
        <w:rPr>
          <w:rFonts w:eastAsia="Times New Roman" w:cs="Times New Roman"/>
          <w:lang w:eastAsia="de-DE"/>
        </w:rPr>
        <w:t>(„Auge") mit Artikel. Die traditionelle Interpretation „geöffneten Auges" versteht dies als Bezeichnung für visionäre Fähigkeit, wobei das innere, prophetische Auge gemeint ist. Einige interpretieren es als „blinden Auges" (physisch verschlossen, aber geistlich sehend), was eine Paradoxie schaffen würde.</w:t>
      </w:r>
    </w:p>
    <w:p w14:paraId="5ADE464E"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übersetzt </w:t>
      </w:r>
      <w:r w:rsidRPr="006715F3">
        <w:rPr>
          <w:rFonts w:eastAsia="Times New Roman" w:cs="Times New Roman"/>
          <w:b/>
          <w:bCs/>
          <w:rtl/>
          <w:lang w:eastAsia="de-DE"/>
        </w:rPr>
        <w:t>שְׁתֻם הָעָיִן</w:t>
      </w:r>
      <w:r w:rsidRPr="006715F3">
        <w:rPr>
          <w:rFonts w:eastAsia="Times New Roman" w:cs="Times New Roman"/>
          <w:rtl/>
          <w:lang w:eastAsia="de-DE"/>
        </w:rPr>
        <w:t xml:space="preserve"> </w:t>
      </w:r>
      <w:r w:rsidRPr="006715F3">
        <w:rPr>
          <w:rFonts w:eastAsia="Times New Roman" w:cs="Times New Roman"/>
          <w:lang w:eastAsia="de-DE"/>
        </w:rPr>
        <w:t>mit ἀληθινῶς ὁρῶν („wahrhaftig sehend"), was deutlich die Interpretation „geöffneten Auges" als visionäre Fähigkeit unterstützt und jede Mehrdeutigkeit beseitigt.</w:t>
      </w:r>
    </w:p>
    <w:p w14:paraId="1C3C0571"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lastRenderedPageBreak/>
        <w:t xml:space="preserve">Die Satzstruktur zeigt zwei koordinierte Wayyiqtol-Formen als narrative Einleitung, gefolgt von zwei parallelen Nominalsätzen mit </w:t>
      </w:r>
      <w:r w:rsidRPr="006715F3">
        <w:rPr>
          <w:rFonts w:eastAsia="Times New Roman" w:cs="Times New Roman"/>
          <w:b/>
          <w:bCs/>
          <w:rtl/>
          <w:lang w:eastAsia="de-DE"/>
        </w:rPr>
        <w:t>נְאֻם</w:t>
      </w:r>
      <w:r w:rsidRPr="006715F3">
        <w:rPr>
          <w:rFonts w:eastAsia="Times New Roman" w:cs="Times New Roman"/>
          <w:rtl/>
          <w:lang w:eastAsia="de-DE"/>
        </w:rPr>
        <w:t xml:space="preserve"> </w:t>
      </w:r>
      <w:r w:rsidRPr="006715F3">
        <w:rPr>
          <w:rFonts w:eastAsia="Times New Roman" w:cs="Times New Roman"/>
          <w:lang w:eastAsia="de-DE"/>
        </w:rPr>
        <w:t>als Kopf, die jeweils die Identität des Sprechers etablieren.</w:t>
      </w:r>
    </w:p>
    <w:p w14:paraId="45A97121" w14:textId="74A12E4A"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eröffnet feierlich d</w:t>
      </w:r>
      <w:r w:rsidR="00B513FF">
        <w:rPr>
          <w:rFonts w:eastAsia="Times New Roman" w:cs="Times New Roman"/>
          <w:lang w:eastAsia="de-DE"/>
        </w:rPr>
        <w:t xml:space="preserve">ie </w:t>
      </w:r>
      <w:r w:rsidRPr="006715F3">
        <w:rPr>
          <w:rFonts w:eastAsia="Times New Roman" w:cs="Times New Roman"/>
          <w:lang w:eastAsia="de-DE"/>
        </w:rPr>
        <w:t xml:space="preserve">vierte </w:t>
      </w:r>
      <w:r w:rsidR="00B513FF">
        <w:rPr>
          <w:rFonts w:eastAsia="Times New Roman" w:cs="Times New Roman"/>
          <w:lang w:eastAsia="de-DE"/>
        </w:rPr>
        <w:t>Weissagung</w:t>
      </w:r>
      <w:r w:rsidRPr="006715F3">
        <w:rPr>
          <w:rFonts w:eastAsia="Times New Roman" w:cs="Times New Roman"/>
          <w:lang w:eastAsia="de-DE"/>
        </w:rPr>
        <w:t xml:space="preserve"> mit einer doppelten Selbstvorstellung Bileams, die sowohl seine menschliche Identität als auch seine besondere prophetische Begabung hervorhebt.</w:t>
      </w:r>
    </w:p>
    <w:p w14:paraId="1065D7DB"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24,16</w:t>
      </w:r>
    </w:p>
    <w:p w14:paraId="2E16B05F"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נְאֻ֗ם שֹׁמֵ֨עַ֙ אִמְרֵי־אֵ֔ל וְיֹדֵ֖עַ דַּ֣עַת עֶלְי֑וֹן מַחֲזֵ֤ה שַׁדַּי֙ יֶֽחֱזֶ֔ה נֹפֵ֖ל וּגְל֥וּי עֵינָֽיִם׃</w:t>
      </w:r>
    </w:p>
    <w:p w14:paraId="3778EEC0"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Spruch dessen, der die Worte Gottes hört und die Erkenntnis des Höchsten kennt, der ein Gesicht des Allmächtigen sieht, niederfallend und enthüllter Augen:</w:t>
      </w:r>
    </w:p>
    <w:p w14:paraId="356C051B"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68D6E80F">
          <v:rect id="_x0000_i1841" style="width:0;height:1.5pt" o:hralign="center" o:hrstd="t" o:hr="t" fillcolor="#a0a0a0" stroked="f"/>
        </w:pict>
      </w:r>
    </w:p>
    <w:p w14:paraId="0C0CAFFC" w14:textId="5DCE7085"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setzt die Selbstbeschreibung fort mit </w:t>
      </w:r>
      <w:r w:rsidRPr="006715F3">
        <w:rPr>
          <w:rFonts w:eastAsia="Times New Roman" w:cs="Times New Roman"/>
          <w:b/>
          <w:bCs/>
          <w:rtl/>
          <w:lang w:eastAsia="de-DE"/>
        </w:rPr>
        <w:t>נְאֻם</w:t>
      </w:r>
      <w:r w:rsidRPr="006715F3">
        <w:rPr>
          <w:rFonts w:eastAsia="Times New Roman" w:cs="Times New Roman"/>
          <w:lang w:eastAsia="de-DE"/>
        </w:rPr>
        <w:t xml:space="preserve">, das die Kontinuität zur vorherigen Formel markiert. </w:t>
      </w:r>
      <w:r w:rsidRPr="006715F3">
        <w:rPr>
          <w:rFonts w:eastAsia="Times New Roman" w:cs="Times New Roman"/>
          <w:b/>
          <w:bCs/>
          <w:rtl/>
          <w:lang w:eastAsia="de-DE"/>
        </w:rPr>
        <w:t>שֹׁמֵעַ אִמְרֵי־אֵל</w:t>
      </w:r>
      <w:r w:rsidRPr="006715F3">
        <w:rPr>
          <w:rFonts w:eastAsia="Times New Roman" w:cs="Times New Roman"/>
          <w:rtl/>
          <w:lang w:eastAsia="de-DE"/>
        </w:rPr>
        <w:t xml:space="preserve"> </w:t>
      </w:r>
      <w:r w:rsidRPr="006715F3">
        <w:rPr>
          <w:rFonts w:eastAsia="Times New Roman" w:cs="Times New Roman"/>
          <w:lang w:eastAsia="de-DE"/>
        </w:rPr>
        <w:t xml:space="preserve">besteht aus dem Qal-Partizip maskulin Singular von </w:t>
      </w:r>
      <w:r w:rsidRPr="006715F3">
        <w:rPr>
          <w:rFonts w:eastAsia="Times New Roman" w:cs="Times New Roman"/>
          <w:b/>
          <w:bCs/>
          <w:rtl/>
          <w:lang w:eastAsia="de-DE"/>
        </w:rPr>
        <w:t>שׁמע</w:t>
      </w:r>
      <w:r w:rsidRPr="006715F3">
        <w:rPr>
          <w:rFonts w:eastAsia="Times New Roman" w:cs="Times New Roman"/>
          <w:rtl/>
          <w:lang w:eastAsia="de-DE"/>
        </w:rPr>
        <w:t xml:space="preserve"> </w:t>
      </w:r>
      <w:r w:rsidRPr="006715F3">
        <w:rPr>
          <w:rFonts w:eastAsia="Times New Roman" w:cs="Times New Roman"/>
          <w:lang w:eastAsia="de-DE"/>
        </w:rPr>
        <w:t xml:space="preserve">(„hören, hörend") und dem maskulinen Plural </w:t>
      </w:r>
      <w:r w:rsidR="00B513FF">
        <w:rPr>
          <w:rFonts w:eastAsia="Times New Roman" w:cs="Times New Roman"/>
          <w:lang w:eastAsia="de-DE"/>
        </w:rPr>
        <w:t xml:space="preserve">Constructus </w:t>
      </w:r>
      <w:r w:rsidRPr="006715F3">
        <w:rPr>
          <w:rFonts w:eastAsia="Times New Roman" w:cs="Times New Roman"/>
          <w:lang w:eastAsia="de-DE"/>
        </w:rPr>
        <w:t xml:space="preserve"> </w:t>
      </w:r>
      <w:r w:rsidRPr="006715F3">
        <w:rPr>
          <w:rFonts w:eastAsia="Times New Roman" w:cs="Times New Roman"/>
          <w:b/>
          <w:bCs/>
          <w:rtl/>
          <w:lang w:eastAsia="de-DE"/>
        </w:rPr>
        <w:t>אִמְרֵי</w:t>
      </w:r>
      <w:r w:rsidRPr="006715F3">
        <w:rPr>
          <w:rFonts w:eastAsia="Times New Roman" w:cs="Times New Roman"/>
          <w:rtl/>
          <w:lang w:eastAsia="de-DE"/>
        </w:rPr>
        <w:t xml:space="preserve"> </w:t>
      </w:r>
      <w:r w:rsidRPr="006715F3">
        <w:rPr>
          <w:rFonts w:eastAsia="Times New Roman" w:cs="Times New Roman"/>
          <w:lang w:eastAsia="de-DE"/>
        </w:rPr>
        <w:t xml:space="preserve">von </w:t>
      </w:r>
      <w:r w:rsidRPr="006715F3">
        <w:rPr>
          <w:rFonts w:eastAsia="Times New Roman" w:cs="Times New Roman"/>
          <w:b/>
          <w:bCs/>
          <w:rtl/>
          <w:lang w:eastAsia="de-DE"/>
        </w:rPr>
        <w:t>אֵמֶר</w:t>
      </w:r>
      <w:r w:rsidRPr="006715F3">
        <w:rPr>
          <w:rFonts w:eastAsia="Times New Roman" w:cs="Times New Roman"/>
          <w:rtl/>
          <w:lang w:eastAsia="de-DE"/>
        </w:rPr>
        <w:t xml:space="preserve"> </w:t>
      </w:r>
      <w:r w:rsidRPr="006715F3">
        <w:rPr>
          <w:rFonts w:eastAsia="Times New Roman" w:cs="Times New Roman"/>
          <w:lang w:eastAsia="de-DE"/>
        </w:rPr>
        <w:t xml:space="preserve">(„Wort, Rede") mit </w:t>
      </w:r>
      <w:r w:rsidRPr="006715F3">
        <w:rPr>
          <w:rFonts w:eastAsia="Times New Roman" w:cs="Times New Roman"/>
          <w:b/>
          <w:bCs/>
          <w:rtl/>
          <w:lang w:eastAsia="de-DE"/>
        </w:rPr>
        <w:t>אֵל</w:t>
      </w:r>
      <w:r w:rsidRPr="006715F3">
        <w:rPr>
          <w:rFonts w:eastAsia="Times New Roman" w:cs="Times New Roman"/>
          <w:rtl/>
          <w:lang w:eastAsia="de-DE"/>
        </w:rPr>
        <w:t xml:space="preserve"> </w:t>
      </w:r>
      <w:r w:rsidRPr="006715F3">
        <w:rPr>
          <w:rFonts w:eastAsia="Times New Roman" w:cs="Times New Roman"/>
          <w:lang w:eastAsia="de-DE"/>
        </w:rPr>
        <w:t xml:space="preserve">(„Gott") im Genitiv. Die Partizipialkonstruktion beschreibt eine andauernde Fähigkeit oder Eigenschaft. </w:t>
      </w:r>
      <w:r w:rsidRPr="006715F3">
        <w:rPr>
          <w:rFonts w:eastAsia="Times New Roman" w:cs="Times New Roman"/>
          <w:b/>
          <w:bCs/>
          <w:rtl/>
          <w:lang w:eastAsia="de-DE"/>
        </w:rPr>
        <w:t>וְיֹדֵעַ דַּעַת עֶלְיוֹן</w:t>
      </w:r>
      <w:r w:rsidRPr="006715F3">
        <w:rPr>
          <w:rFonts w:eastAsia="Times New Roman" w:cs="Times New Roman"/>
          <w:rtl/>
          <w:lang w:eastAsia="de-DE"/>
        </w:rPr>
        <w:t xml:space="preserve"> </w:t>
      </w:r>
      <w:r w:rsidRPr="006715F3">
        <w:rPr>
          <w:rFonts w:eastAsia="Times New Roman" w:cs="Times New Roman"/>
          <w:lang w:eastAsia="de-DE"/>
        </w:rPr>
        <w:t xml:space="preserve">ist parallel konstruiert: </w:t>
      </w:r>
      <w:r w:rsidRPr="006715F3">
        <w:rPr>
          <w:rFonts w:eastAsia="Times New Roman" w:cs="Times New Roman"/>
          <w:b/>
          <w:bCs/>
          <w:rtl/>
          <w:lang w:eastAsia="de-DE"/>
        </w:rPr>
        <w:t>יֹדֵעַ</w:t>
      </w:r>
      <w:r w:rsidRPr="006715F3">
        <w:rPr>
          <w:rFonts w:eastAsia="Times New Roman" w:cs="Times New Roman"/>
          <w:rtl/>
          <w:lang w:eastAsia="de-DE"/>
        </w:rPr>
        <w:t xml:space="preserve"> </w:t>
      </w:r>
      <w:r w:rsidRPr="006715F3">
        <w:rPr>
          <w:rFonts w:eastAsia="Times New Roman" w:cs="Times New Roman"/>
          <w:lang w:eastAsia="de-DE"/>
        </w:rPr>
        <w:t xml:space="preserve">ist Qal-Partizip maskulin Singular von </w:t>
      </w:r>
      <w:r w:rsidRPr="006715F3">
        <w:rPr>
          <w:rFonts w:eastAsia="Times New Roman" w:cs="Times New Roman"/>
          <w:b/>
          <w:bCs/>
          <w:rtl/>
          <w:lang w:eastAsia="de-DE"/>
        </w:rPr>
        <w:t>ידע</w:t>
      </w:r>
      <w:r w:rsidRPr="006715F3">
        <w:rPr>
          <w:rFonts w:eastAsia="Times New Roman" w:cs="Times New Roman"/>
          <w:rtl/>
          <w:lang w:eastAsia="de-DE"/>
        </w:rPr>
        <w:t xml:space="preserve"> </w:t>
      </w:r>
      <w:r w:rsidRPr="006715F3">
        <w:rPr>
          <w:rFonts w:eastAsia="Times New Roman" w:cs="Times New Roman"/>
          <w:lang w:eastAsia="de-DE"/>
        </w:rPr>
        <w:t xml:space="preserve">(„wissen, kennen"), </w:t>
      </w:r>
      <w:r w:rsidRPr="006715F3">
        <w:rPr>
          <w:rFonts w:eastAsia="Times New Roman" w:cs="Times New Roman"/>
          <w:b/>
          <w:bCs/>
          <w:rtl/>
          <w:lang w:eastAsia="de-DE"/>
        </w:rPr>
        <w:t>דַּעַת</w:t>
      </w:r>
      <w:r w:rsidRPr="006715F3">
        <w:rPr>
          <w:rFonts w:eastAsia="Times New Roman" w:cs="Times New Roman"/>
          <w:rtl/>
          <w:lang w:eastAsia="de-DE"/>
        </w:rPr>
        <w:t xml:space="preserve"> </w:t>
      </w:r>
      <w:r w:rsidRPr="006715F3">
        <w:rPr>
          <w:rFonts w:eastAsia="Times New Roman" w:cs="Times New Roman"/>
          <w:lang w:eastAsia="de-DE"/>
        </w:rPr>
        <w:t xml:space="preserve">ist feminin Singular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דַּעַת</w:t>
      </w:r>
      <w:r w:rsidRPr="006715F3">
        <w:rPr>
          <w:rFonts w:eastAsia="Times New Roman" w:cs="Times New Roman"/>
          <w:rtl/>
          <w:lang w:eastAsia="de-DE"/>
        </w:rPr>
        <w:t xml:space="preserve"> </w:t>
      </w:r>
      <w:r w:rsidRPr="006715F3">
        <w:rPr>
          <w:rFonts w:eastAsia="Times New Roman" w:cs="Times New Roman"/>
          <w:lang w:eastAsia="de-DE"/>
        </w:rPr>
        <w:t xml:space="preserve">(„Erkenntnis, Wissen"), </w:t>
      </w:r>
      <w:r w:rsidRPr="006715F3">
        <w:rPr>
          <w:rFonts w:eastAsia="Times New Roman" w:cs="Times New Roman"/>
          <w:b/>
          <w:bCs/>
          <w:rtl/>
          <w:lang w:eastAsia="de-DE"/>
        </w:rPr>
        <w:t>עֶלְיוֹן</w:t>
      </w:r>
      <w:r w:rsidRPr="006715F3">
        <w:rPr>
          <w:rFonts w:eastAsia="Times New Roman" w:cs="Times New Roman"/>
          <w:rtl/>
          <w:lang w:eastAsia="de-DE"/>
        </w:rPr>
        <w:t xml:space="preserve"> </w:t>
      </w:r>
      <w:r w:rsidRPr="006715F3">
        <w:rPr>
          <w:rFonts w:eastAsia="Times New Roman" w:cs="Times New Roman"/>
          <w:lang w:eastAsia="de-DE"/>
        </w:rPr>
        <w:t>ist Adjektiv/Substantiv („Höchster"), ein Gottesname, der besonders die Erhabenheit Gottes betont.</w:t>
      </w:r>
    </w:p>
    <w:p w14:paraId="5DC7FB7C" w14:textId="253DB3A0"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מַחֲזֵה שַׁדַּי יֶחֱזֶה</w:t>
      </w:r>
      <w:r w:rsidRPr="006715F3">
        <w:rPr>
          <w:rFonts w:eastAsia="Times New Roman" w:cs="Times New Roman"/>
          <w:rtl/>
          <w:lang w:eastAsia="de-DE"/>
        </w:rPr>
        <w:t xml:space="preserve"> </w:t>
      </w:r>
      <w:r w:rsidRPr="006715F3">
        <w:rPr>
          <w:rFonts w:eastAsia="Times New Roman" w:cs="Times New Roman"/>
          <w:lang w:eastAsia="de-DE"/>
        </w:rPr>
        <w:t xml:space="preserve">bildet eine weitere Steigerung. </w:t>
      </w:r>
      <w:r w:rsidRPr="006715F3">
        <w:rPr>
          <w:rFonts w:eastAsia="Times New Roman" w:cs="Times New Roman"/>
          <w:b/>
          <w:bCs/>
          <w:rtl/>
          <w:lang w:eastAsia="de-DE"/>
        </w:rPr>
        <w:t>מַחֲזֵה</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מַחֲזֶה</w:t>
      </w:r>
      <w:r w:rsidRPr="006715F3">
        <w:rPr>
          <w:rFonts w:eastAsia="Times New Roman" w:cs="Times New Roman"/>
          <w:rtl/>
          <w:lang w:eastAsia="de-DE"/>
        </w:rPr>
        <w:t xml:space="preserve"> </w:t>
      </w:r>
      <w:r w:rsidRPr="006715F3">
        <w:rPr>
          <w:rFonts w:eastAsia="Times New Roman" w:cs="Times New Roman"/>
          <w:lang w:eastAsia="de-DE"/>
        </w:rPr>
        <w:t xml:space="preserve">(„Gesicht, Vision"), </w:t>
      </w:r>
      <w:r w:rsidRPr="006715F3">
        <w:rPr>
          <w:rFonts w:eastAsia="Times New Roman" w:cs="Times New Roman"/>
          <w:b/>
          <w:bCs/>
          <w:rtl/>
          <w:lang w:eastAsia="de-DE"/>
        </w:rPr>
        <w:t>שַׁדַּי</w:t>
      </w:r>
      <w:r w:rsidRPr="006715F3">
        <w:rPr>
          <w:rFonts w:eastAsia="Times New Roman" w:cs="Times New Roman"/>
          <w:rtl/>
          <w:lang w:eastAsia="de-DE"/>
        </w:rPr>
        <w:t xml:space="preserve"> </w:t>
      </w:r>
      <w:r w:rsidRPr="006715F3">
        <w:rPr>
          <w:rFonts w:eastAsia="Times New Roman" w:cs="Times New Roman"/>
          <w:lang w:eastAsia="de-DE"/>
        </w:rPr>
        <w:t xml:space="preserve">ist der Gottesname („Allmächtiger"). </w:t>
      </w:r>
      <w:r w:rsidRPr="006715F3">
        <w:rPr>
          <w:rFonts w:eastAsia="Times New Roman" w:cs="Times New Roman"/>
          <w:b/>
          <w:bCs/>
          <w:rtl/>
          <w:lang w:eastAsia="de-DE"/>
        </w:rPr>
        <w:t>יֶחֱזֶה</w:t>
      </w:r>
      <w:r w:rsidRPr="006715F3">
        <w:rPr>
          <w:rFonts w:eastAsia="Times New Roman" w:cs="Times New Roman"/>
          <w:rtl/>
          <w:lang w:eastAsia="de-DE"/>
        </w:rPr>
        <w:t xml:space="preserve"> </w:t>
      </w:r>
      <w:r w:rsidRPr="006715F3">
        <w:rPr>
          <w:rFonts w:eastAsia="Times New Roman" w:cs="Times New Roman"/>
          <w:lang w:eastAsia="de-DE"/>
        </w:rPr>
        <w:t xml:space="preserve">ist Qal Imperfekt 3. Person maskulin Singular von </w:t>
      </w:r>
      <w:r w:rsidRPr="006715F3">
        <w:rPr>
          <w:rFonts w:eastAsia="Times New Roman" w:cs="Times New Roman"/>
          <w:b/>
          <w:bCs/>
          <w:rtl/>
          <w:lang w:eastAsia="de-DE"/>
        </w:rPr>
        <w:t>חזה</w:t>
      </w:r>
      <w:r w:rsidRPr="006715F3">
        <w:rPr>
          <w:rFonts w:eastAsia="Times New Roman" w:cs="Times New Roman"/>
          <w:rtl/>
          <w:lang w:eastAsia="de-DE"/>
        </w:rPr>
        <w:t xml:space="preserve"> </w:t>
      </w:r>
      <w:r w:rsidRPr="006715F3">
        <w:rPr>
          <w:rFonts w:eastAsia="Times New Roman" w:cs="Times New Roman"/>
          <w:lang w:eastAsia="de-DE"/>
        </w:rPr>
        <w:t xml:space="preserve">(„sehen, schauen"), hier als Relativsatz ohne explizites </w:t>
      </w:r>
      <w:r w:rsidRPr="006715F3">
        <w:rPr>
          <w:rFonts w:eastAsia="Times New Roman" w:cs="Times New Roman"/>
          <w:b/>
          <w:bCs/>
          <w:rtl/>
          <w:lang w:eastAsia="de-DE"/>
        </w:rPr>
        <w:t>אֲשֶׁר</w:t>
      </w:r>
      <w:r w:rsidRPr="006715F3">
        <w:rPr>
          <w:rFonts w:eastAsia="Times New Roman" w:cs="Times New Roman"/>
          <w:rtl/>
          <w:lang w:eastAsia="de-DE"/>
        </w:rPr>
        <w:t xml:space="preserve"> </w:t>
      </w:r>
      <w:r w:rsidRPr="006715F3">
        <w:rPr>
          <w:rFonts w:eastAsia="Times New Roman" w:cs="Times New Roman"/>
          <w:lang w:eastAsia="de-DE"/>
        </w:rPr>
        <w:t xml:space="preserve">zu verstehen („der sieht"). Die </w:t>
      </w:r>
      <w:r w:rsidR="00F133EC">
        <w:rPr>
          <w:rFonts w:eastAsia="Times New Roman" w:cs="Times New Roman"/>
          <w:lang w:eastAsia="de-DE"/>
        </w:rPr>
        <w:t>Construct</w:t>
      </w:r>
      <w:r w:rsidRPr="006715F3">
        <w:rPr>
          <w:rFonts w:eastAsia="Times New Roman" w:cs="Times New Roman"/>
          <w:lang w:eastAsia="de-DE"/>
        </w:rPr>
        <w:t>ion mit Nomen und Verb derselben Wurzel verstärkt die Aussage („ein Gesicht schauend schaut er" oder „er schaut eine Vision").</w:t>
      </w:r>
    </w:p>
    <w:p w14:paraId="5C07B2F0"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נֹפֵל וּגְלוּי עֵינָיִם</w:t>
      </w:r>
      <w:r w:rsidRPr="006715F3">
        <w:rPr>
          <w:rFonts w:eastAsia="Times New Roman" w:cs="Times New Roman"/>
          <w:rtl/>
          <w:lang w:eastAsia="de-DE"/>
        </w:rPr>
        <w:t xml:space="preserve"> </w:t>
      </w:r>
      <w:r w:rsidRPr="006715F3">
        <w:rPr>
          <w:rFonts w:eastAsia="Times New Roman" w:cs="Times New Roman"/>
          <w:lang w:eastAsia="de-DE"/>
        </w:rPr>
        <w:t xml:space="preserve">beschreibt die Umstände der Vision. </w:t>
      </w:r>
      <w:r w:rsidRPr="006715F3">
        <w:rPr>
          <w:rFonts w:eastAsia="Times New Roman" w:cs="Times New Roman"/>
          <w:b/>
          <w:bCs/>
          <w:rtl/>
          <w:lang w:eastAsia="de-DE"/>
        </w:rPr>
        <w:t>נֹפֵל</w:t>
      </w:r>
      <w:r w:rsidRPr="006715F3">
        <w:rPr>
          <w:rFonts w:eastAsia="Times New Roman" w:cs="Times New Roman"/>
          <w:rtl/>
          <w:lang w:eastAsia="de-DE"/>
        </w:rPr>
        <w:t xml:space="preserve"> </w:t>
      </w:r>
      <w:r w:rsidRPr="006715F3">
        <w:rPr>
          <w:rFonts w:eastAsia="Times New Roman" w:cs="Times New Roman"/>
          <w:lang w:eastAsia="de-DE"/>
        </w:rPr>
        <w:t xml:space="preserve">ist Qal-Partizip maskulin Singular von </w:t>
      </w:r>
      <w:r w:rsidRPr="006715F3">
        <w:rPr>
          <w:rFonts w:eastAsia="Times New Roman" w:cs="Times New Roman"/>
          <w:b/>
          <w:bCs/>
          <w:rtl/>
          <w:lang w:eastAsia="de-DE"/>
        </w:rPr>
        <w:t>נפל</w:t>
      </w:r>
      <w:r w:rsidRPr="006715F3">
        <w:rPr>
          <w:rFonts w:eastAsia="Times New Roman" w:cs="Times New Roman"/>
          <w:rtl/>
          <w:lang w:eastAsia="de-DE"/>
        </w:rPr>
        <w:t xml:space="preserve"> </w:t>
      </w:r>
      <w:r w:rsidRPr="006715F3">
        <w:rPr>
          <w:rFonts w:eastAsia="Times New Roman" w:cs="Times New Roman"/>
          <w:lang w:eastAsia="de-DE"/>
        </w:rPr>
        <w:t xml:space="preserve">(„fallen, niederfallen"), was die ekstatische Haltung des Visionärs beschreibt. </w:t>
      </w:r>
      <w:r w:rsidRPr="006715F3">
        <w:rPr>
          <w:rFonts w:eastAsia="Times New Roman" w:cs="Times New Roman"/>
          <w:b/>
          <w:bCs/>
          <w:rtl/>
          <w:lang w:eastAsia="de-DE"/>
        </w:rPr>
        <w:t>וּגְלוּי</w:t>
      </w:r>
      <w:r w:rsidRPr="006715F3">
        <w:rPr>
          <w:rFonts w:eastAsia="Times New Roman" w:cs="Times New Roman"/>
          <w:rtl/>
          <w:lang w:eastAsia="de-DE"/>
        </w:rPr>
        <w:t xml:space="preserve"> </w:t>
      </w:r>
      <w:r w:rsidRPr="006715F3">
        <w:rPr>
          <w:rFonts w:eastAsia="Times New Roman" w:cs="Times New Roman"/>
          <w:lang w:eastAsia="de-DE"/>
        </w:rPr>
        <w:t xml:space="preserve">ist Qal Passiv-Partizip maskulin Singular von </w:t>
      </w:r>
      <w:r w:rsidRPr="006715F3">
        <w:rPr>
          <w:rFonts w:eastAsia="Times New Roman" w:cs="Times New Roman"/>
          <w:b/>
          <w:bCs/>
          <w:rtl/>
          <w:lang w:eastAsia="de-DE"/>
        </w:rPr>
        <w:t>גלה</w:t>
      </w:r>
      <w:r w:rsidRPr="006715F3">
        <w:rPr>
          <w:rFonts w:eastAsia="Times New Roman" w:cs="Times New Roman"/>
          <w:rtl/>
          <w:lang w:eastAsia="de-DE"/>
        </w:rPr>
        <w:t xml:space="preserve"> </w:t>
      </w:r>
      <w:r w:rsidRPr="006715F3">
        <w:rPr>
          <w:rFonts w:eastAsia="Times New Roman" w:cs="Times New Roman"/>
          <w:lang w:eastAsia="de-DE"/>
        </w:rPr>
        <w:t xml:space="preserve">(„offenbaren, enthüllen"), </w:t>
      </w:r>
      <w:r w:rsidRPr="006715F3">
        <w:rPr>
          <w:rFonts w:eastAsia="Times New Roman" w:cs="Times New Roman"/>
          <w:b/>
          <w:bCs/>
          <w:rtl/>
          <w:lang w:eastAsia="de-DE"/>
        </w:rPr>
        <w:t>עֵינָיִם</w:t>
      </w:r>
      <w:r w:rsidRPr="006715F3">
        <w:rPr>
          <w:rFonts w:eastAsia="Times New Roman" w:cs="Times New Roman"/>
          <w:rtl/>
          <w:lang w:eastAsia="de-DE"/>
        </w:rPr>
        <w:t xml:space="preserve"> </w:t>
      </w:r>
      <w:r w:rsidRPr="006715F3">
        <w:rPr>
          <w:rFonts w:eastAsia="Times New Roman" w:cs="Times New Roman"/>
          <w:lang w:eastAsia="de-DE"/>
        </w:rPr>
        <w:t xml:space="preserve">ist der duale Plural von </w:t>
      </w:r>
      <w:r w:rsidRPr="006715F3">
        <w:rPr>
          <w:rFonts w:eastAsia="Times New Roman" w:cs="Times New Roman"/>
          <w:b/>
          <w:bCs/>
          <w:rtl/>
          <w:lang w:eastAsia="de-DE"/>
        </w:rPr>
        <w:t>עַיִן</w:t>
      </w:r>
      <w:r w:rsidRPr="006715F3">
        <w:rPr>
          <w:rFonts w:eastAsia="Times New Roman" w:cs="Times New Roman"/>
          <w:rtl/>
          <w:lang w:eastAsia="de-DE"/>
        </w:rPr>
        <w:t xml:space="preserve"> </w:t>
      </w:r>
      <w:r w:rsidRPr="006715F3">
        <w:rPr>
          <w:rFonts w:eastAsia="Times New Roman" w:cs="Times New Roman"/>
          <w:lang w:eastAsia="de-DE"/>
        </w:rPr>
        <w:t>(„Augen"). Die Phrase beschreibt den Zustand offener oder enthüllter Augen während der Vision, was paradox zum physischen Niederfall steht, aber die geistliche Schau betont.</w:t>
      </w:r>
    </w:p>
    <w:p w14:paraId="2E689ACC"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übersetzt </w:t>
      </w:r>
      <w:r w:rsidRPr="006715F3">
        <w:rPr>
          <w:rFonts w:eastAsia="Times New Roman" w:cs="Times New Roman"/>
          <w:b/>
          <w:bCs/>
          <w:rtl/>
          <w:lang w:eastAsia="de-DE"/>
        </w:rPr>
        <w:t>עֶלְיוֹן</w:t>
      </w:r>
      <w:r w:rsidRPr="006715F3">
        <w:rPr>
          <w:rFonts w:eastAsia="Times New Roman" w:cs="Times New Roman"/>
          <w:rtl/>
          <w:lang w:eastAsia="de-DE"/>
        </w:rPr>
        <w:t xml:space="preserve"> </w:t>
      </w:r>
      <w:r w:rsidRPr="006715F3">
        <w:rPr>
          <w:rFonts w:eastAsia="Times New Roman" w:cs="Times New Roman"/>
          <w:lang w:eastAsia="de-DE"/>
        </w:rPr>
        <w:t xml:space="preserve">mit ὑψίστου, eine präzise Wiedergabe des Gottesnamens „Höchster". Bei </w:t>
      </w:r>
      <w:r w:rsidRPr="006715F3">
        <w:rPr>
          <w:rFonts w:eastAsia="Times New Roman" w:cs="Times New Roman"/>
          <w:b/>
          <w:bCs/>
          <w:rtl/>
          <w:lang w:eastAsia="de-DE"/>
        </w:rPr>
        <w:t>נֹפֵל וּגְלוּי עֵינָיִם</w:t>
      </w:r>
      <w:r w:rsidRPr="006715F3">
        <w:rPr>
          <w:rFonts w:eastAsia="Times New Roman" w:cs="Times New Roman"/>
          <w:rtl/>
          <w:lang w:eastAsia="de-DE"/>
        </w:rPr>
        <w:t xml:space="preserve"> </w:t>
      </w:r>
      <w:r w:rsidRPr="006715F3">
        <w:rPr>
          <w:rFonts w:eastAsia="Times New Roman" w:cs="Times New Roman"/>
          <w:lang w:eastAsia="de-DE"/>
        </w:rPr>
        <w:t>verwendet die LXX ἐν ὕπνῳ καὶ ἀπεκαλυμμένοι οἱ ὀφθαλμοὶ αὐτοῦ („im Schlaf und seine Augen enthüllt"), was das Niederfall-Motiv als Schlafzustand interpretiert und die Vision als Traumoffenbarung versteht.</w:t>
      </w:r>
    </w:p>
    <w:p w14:paraId="7E075661"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 xml:space="preserve">Die Satzstruktur zeigt eine Reihe von Partizipialsätzen, die alle als Attribute zu </w:t>
      </w:r>
      <w:r w:rsidRPr="006715F3">
        <w:rPr>
          <w:rFonts w:eastAsia="Times New Roman" w:cs="Times New Roman"/>
          <w:b/>
          <w:bCs/>
          <w:rtl/>
          <w:lang w:eastAsia="de-DE"/>
        </w:rPr>
        <w:t>נְאֻם</w:t>
      </w:r>
      <w:r w:rsidRPr="006715F3">
        <w:rPr>
          <w:rFonts w:eastAsia="Times New Roman" w:cs="Times New Roman"/>
          <w:rtl/>
          <w:lang w:eastAsia="de-DE"/>
        </w:rPr>
        <w:t xml:space="preserve"> </w:t>
      </w:r>
      <w:r w:rsidRPr="006715F3">
        <w:rPr>
          <w:rFonts w:eastAsia="Times New Roman" w:cs="Times New Roman"/>
          <w:lang w:eastAsia="de-DE"/>
        </w:rPr>
        <w:t>fungieren und die prophetische Qualifikation Bileams in vier Stufen beschreiben: Hören, Wissen, Schauen und den ekstatischen Zustand der Offenbarung.</w:t>
      </w:r>
    </w:p>
    <w:p w14:paraId="7A89B202"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lastRenderedPageBreak/>
        <w:t>Der Vers intensiviert die Selbstbeschreibung Bileams als Prophet und betont seine außergewöhnliche Nähe zu Gott durch vier Aspekte: auditive Offenbarung, intellektuelle Erkenntnis, visionäre Schau und ekstatische Erfahrung.</w:t>
      </w:r>
    </w:p>
    <w:p w14:paraId="0F7EF0CA"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24,17</w:t>
      </w:r>
    </w:p>
    <w:p w14:paraId="13E824D1"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אֶרְאֶ֨נּוּ֙ וְלֹ֣א עַתָּ֔ה אֲשׁוּרֶ֖נּוּ וְלֹ֣א קָר֑וֹב דָּרַ֨ךְ כּוֹכָ֜ב מִֽיַּעֲקֹ֗ב וְקָ֥ם שֵׁ֨בֶט֙ מִיִּשְׂרָאֵ֔ל וּמָחַץ֙ פַּאֲתֵ֣י מוֹאָ֔ב וְקַרְקַ֖ר כָּל־בְּנֵי־שֵֽׁת׃</w:t>
      </w:r>
    </w:p>
    <w:p w14:paraId="4BD91894"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Ich sehe ihn, aber nicht jetzt; ich schaue ihn, aber nicht nahe. Es tritt hervor ein Stern aus Ja'akov, und ein Zepter erhebt sich aus Jisra'el und zerschmettert die Schläfen Mo'avs und zerstört alle Söhne Schets.</w:t>
      </w:r>
    </w:p>
    <w:p w14:paraId="6290B783"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179175D2">
          <v:rect id="_x0000_i1842" style="width:0;height:1.5pt" o:hralign="center" o:hrstd="t" o:hr="t" fillcolor="#a0a0a0" stroked="f"/>
        </w:pict>
      </w:r>
    </w:p>
    <w:p w14:paraId="64DCFCF2"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אֶרְאֶנּוּ וְלֹא עַתָּה</w:t>
      </w:r>
      <w:r w:rsidRPr="006715F3">
        <w:rPr>
          <w:rFonts w:eastAsia="Times New Roman" w:cs="Times New Roman"/>
          <w:lang w:eastAsia="de-DE"/>
        </w:rPr>
        <w:t xml:space="preserve">, einem visionären Satz. </w:t>
      </w:r>
      <w:r w:rsidRPr="006715F3">
        <w:rPr>
          <w:rFonts w:eastAsia="Times New Roman" w:cs="Times New Roman"/>
          <w:b/>
          <w:bCs/>
          <w:rtl/>
          <w:lang w:eastAsia="de-DE"/>
        </w:rPr>
        <w:t>אֶרְאֶנּוּ</w:t>
      </w:r>
      <w:r w:rsidRPr="006715F3">
        <w:rPr>
          <w:rFonts w:eastAsia="Times New Roman" w:cs="Times New Roman"/>
          <w:rtl/>
          <w:lang w:eastAsia="de-DE"/>
        </w:rPr>
        <w:t xml:space="preserve"> </w:t>
      </w:r>
      <w:r w:rsidRPr="006715F3">
        <w:rPr>
          <w:rFonts w:eastAsia="Times New Roman" w:cs="Times New Roman"/>
          <w:lang w:eastAsia="de-DE"/>
        </w:rPr>
        <w:t xml:space="preserve">ist Qal Imperfekt 1. Person Singular von </w:t>
      </w:r>
      <w:r w:rsidRPr="006715F3">
        <w:rPr>
          <w:rFonts w:eastAsia="Times New Roman" w:cs="Times New Roman"/>
          <w:b/>
          <w:bCs/>
          <w:rtl/>
          <w:lang w:eastAsia="de-DE"/>
        </w:rPr>
        <w:t>ראה</w:t>
      </w:r>
      <w:r w:rsidRPr="006715F3">
        <w:rPr>
          <w:rFonts w:eastAsia="Times New Roman" w:cs="Times New Roman"/>
          <w:rtl/>
          <w:lang w:eastAsia="de-DE"/>
        </w:rPr>
        <w:t xml:space="preserve"> </w:t>
      </w:r>
      <w:r w:rsidRPr="006715F3">
        <w:rPr>
          <w:rFonts w:eastAsia="Times New Roman" w:cs="Times New Roman"/>
          <w:lang w:eastAsia="de-DE"/>
        </w:rPr>
        <w:t xml:space="preserve">(„sehen") mit Suffix 3. Person maskulin Singular („ihn"), hier als performatives Präsens („ich sehe") zu verstehen. </w:t>
      </w:r>
      <w:r w:rsidRPr="006715F3">
        <w:rPr>
          <w:rFonts w:eastAsia="Times New Roman" w:cs="Times New Roman"/>
          <w:b/>
          <w:bCs/>
          <w:rtl/>
          <w:lang w:eastAsia="de-DE"/>
        </w:rPr>
        <w:t>וְלֹא עַתָּה</w:t>
      </w:r>
      <w:r w:rsidRPr="006715F3">
        <w:rPr>
          <w:rFonts w:eastAsia="Times New Roman" w:cs="Times New Roman"/>
          <w:rtl/>
          <w:lang w:eastAsia="de-DE"/>
        </w:rPr>
        <w:t xml:space="preserve"> </w:t>
      </w:r>
      <w:r w:rsidRPr="006715F3">
        <w:rPr>
          <w:rFonts w:eastAsia="Times New Roman" w:cs="Times New Roman"/>
          <w:lang w:eastAsia="de-DE"/>
        </w:rPr>
        <w:t xml:space="preserve">(„aber nicht jetzt") mit der Negation </w:t>
      </w:r>
      <w:r w:rsidRPr="006715F3">
        <w:rPr>
          <w:rFonts w:eastAsia="Times New Roman" w:cs="Times New Roman"/>
          <w:b/>
          <w:bCs/>
          <w:rtl/>
          <w:lang w:eastAsia="de-DE"/>
        </w:rPr>
        <w:t>לֹא</w:t>
      </w:r>
      <w:r w:rsidRPr="006715F3">
        <w:rPr>
          <w:rFonts w:eastAsia="Times New Roman" w:cs="Times New Roman"/>
          <w:rtl/>
          <w:lang w:eastAsia="de-DE"/>
        </w:rPr>
        <w:t xml:space="preserve"> </w:t>
      </w:r>
      <w:r w:rsidRPr="006715F3">
        <w:rPr>
          <w:rFonts w:eastAsia="Times New Roman" w:cs="Times New Roman"/>
          <w:lang w:eastAsia="de-DE"/>
        </w:rPr>
        <w:t xml:space="preserve">und dem temporalen Adverb </w:t>
      </w:r>
      <w:r w:rsidRPr="006715F3">
        <w:rPr>
          <w:rFonts w:eastAsia="Times New Roman" w:cs="Times New Roman"/>
          <w:b/>
          <w:bCs/>
          <w:rtl/>
          <w:lang w:eastAsia="de-DE"/>
        </w:rPr>
        <w:t>עַתָּה</w:t>
      </w:r>
      <w:r w:rsidRPr="006715F3">
        <w:rPr>
          <w:rFonts w:eastAsia="Times New Roman" w:cs="Times New Roman"/>
          <w:rtl/>
          <w:lang w:eastAsia="de-DE"/>
        </w:rPr>
        <w:t xml:space="preserve"> </w:t>
      </w:r>
      <w:r w:rsidRPr="006715F3">
        <w:rPr>
          <w:rFonts w:eastAsia="Times New Roman" w:cs="Times New Roman"/>
          <w:lang w:eastAsia="de-DE"/>
        </w:rPr>
        <w:t xml:space="preserve">(„jetzt") drückt die zeitliche Distanz der Vision aus. </w:t>
      </w:r>
      <w:r w:rsidRPr="006715F3">
        <w:rPr>
          <w:rFonts w:eastAsia="Times New Roman" w:cs="Times New Roman"/>
          <w:b/>
          <w:bCs/>
          <w:rtl/>
          <w:lang w:eastAsia="de-DE"/>
        </w:rPr>
        <w:t>אֲשׁוּרֶנּוּ וְלֹא קָרוֹב</w:t>
      </w:r>
      <w:r w:rsidRPr="006715F3">
        <w:rPr>
          <w:rFonts w:eastAsia="Times New Roman" w:cs="Times New Roman"/>
          <w:rtl/>
          <w:lang w:eastAsia="de-DE"/>
        </w:rPr>
        <w:t xml:space="preserve"> </w:t>
      </w:r>
      <w:r w:rsidRPr="006715F3">
        <w:rPr>
          <w:rFonts w:eastAsia="Times New Roman" w:cs="Times New Roman"/>
          <w:lang w:eastAsia="de-DE"/>
        </w:rPr>
        <w:t xml:space="preserve">ist parallel konstruiert: </w:t>
      </w:r>
      <w:r w:rsidRPr="006715F3">
        <w:rPr>
          <w:rFonts w:eastAsia="Times New Roman" w:cs="Times New Roman"/>
          <w:b/>
          <w:bCs/>
          <w:rtl/>
          <w:lang w:eastAsia="de-DE"/>
        </w:rPr>
        <w:t>אֲשׁוּרֶנּוּ</w:t>
      </w:r>
      <w:r w:rsidRPr="006715F3">
        <w:rPr>
          <w:rFonts w:eastAsia="Times New Roman" w:cs="Times New Roman"/>
          <w:rtl/>
          <w:lang w:eastAsia="de-DE"/>
        </w:rPr>
        <w:t xml:space="preserve"> </w:t>
      </w:r>
      <w:r w:rsidRPr="006715F3">
        <w:rPr>
          <w:rFonts w:eastAsia="Times New Roman" w:cs="Times New Roman"/>
          <w:lang w:eastAsia="de-DE"/>
        </w:rPr>
        <w:t xml:space="preserve">ist Qal Imperfekt 1. Person Singular von </w:t>
      </w:r>
      <w:r w:rsidRPr="006715F3">
        <w:rPr>
          <w:rFonts w:eastAsia="Times New Roman" w:cs="Times New Roman"/>
          <w:b/>
          <w:bCs/>
          <w:rtl/>
          <w:lang w:eastAsia="de-DE"/>
        </w:rPr>
        <w:t>שׁור</w:t>
      </w:r>
      <w:r w:rsidRPr="006715F3">
        <w:rPr>
          <w:rFonts w:eastAsia="Times New Roman" w:cs="Times New Roman"/>
          <w:rtl/>
          <w:lang w:eastAsia="de-DE"/>
        </w:rPr>
        <w:t xml:space="preserve"> </w:t>
      </w:r>
      <w:r w:rsidRPr="006715F3">
        <w:rPr>
          <w:rFonts w:eastAsia="Times New Roman" w:cs="Times New Roman"/>
          <w:lang w:eastAsia="de-DE"/>
        </w:rPr>
        <w:t xml:space="preserve">(„schauen, blicken") mit Suffix 3. Person maskulin Singular, </w:t>
      </w:r>
      <w:r w:rsidRPr="006715F3">
        <w:rPr>
          <w:rFonts w:eastAsia="Times New Roman" w:cs="Times New Roman"/>
          <w:b/>
          <w:bCs/>
          <w:rtl/>
          <w:lang w:eastAsia="de-DE"/>
        </w:rPr>
        <w:t>וְלֹא קָרוֹב</w:t>
      </w:r>
      <w:r w:rsidRPr="006715F3">
        <w:rPr>
          <w:rFonts w:eastAsia="Times New Roman" w:cs="Times New Roman"/>
          <w:rtl/>
          <w:lang w:eastAsia="de-DE"/>
        </w:rPr>
        <w:t xml:space="preserve"> </w:t>
      </w:r>
      <w:r w:rsidRPr="006715F3">
        <w:rPr>
          <w:rFonts w:eastAsia="Times New Roman" w:cs="Times New Roman"/>
          <w:lang w:eastAsia="de-DE"/>
        </w:rPr>
        <w:t xml:space="preserve">(„aber nicht nahe") mit dem Adjektiv </w:t>
      </w:r>
      <w:r w:rsidRPr="006715F3">
        <w:rPr>
          <w:rFonts w:eastAsia="Times New Roman" w:cs="Times New Roman"/>
          <w:b/>
          <w:bCs/>
          <w:rtl/>
          <w:lang w:eastAsia="de-DE"/>
        </w:rPr>
        <w:t>קָרוֹב</w:t>
      </w:r>
      <w:r w:rsidRPr="006715F3">
        <w:rPr>
          <w:rFonts w:eastAsia="Times New Roman" w:cs="Times New Roman"/>
          <w:rtl/>
          <w:lang w:eastAsia="de-DE"/>
        </w:rPr>
        <w:t xml:space="preserve"> </w:t>
      </w:r>
      <w:r w:rsidRPr="006715F3">
        <w:rPr>
          <w:rFonts w:eastAsia="Times New Roman" w:cs="Times New Roman"/>
          <w:lang w:eastAsia="de-DE"/>
        </w:rPr>
        <w:t>(„nahe") verstärkt die zeitliche Ferne. Die doppelte Formulierung betont, dass die Vision eine ferne Zukunft betrifft.</w:t>
      </w:r>
    </w:p>
    <w:p w14:paraId="0CE0C063" w14:textId="6F25951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דָּרַךְ כּוֹכָב מִיַּעֲקֹב</w:t>
      </w:r>
      <w:r w:rsidRPr="006715F3">
        <w:rPr>
          <w:rFonts w:eastAsia="Times New Roman" w:cs="Times New Roman"/>
          <w:rtl/>
          <w:lang w:eastAsia="de-DE"/>
        </w:rPr>
        <w:t xml:space="preserve"> </w:t>
      </w:r>
      <w:r w:rsidRPr="006715F3">
        <w:rPr>
          <w:rFonts w:eastAsia="Times New Roman" w:cs="Times New Roman"/>
          <w:lang w:eastAsia="de-DE"/>
        </w:rPr>
        <w:t xml:space="preserve">ist der erste Teil der eigentlichen Prophezeiung. </w:t>
      </w:r>
      <w:r w:rsidRPr="006715F3">
        <w:rPr>
          <w:rFonts w:eastAsia="Times New Roman" w:cs="Times New Roman"/>
          <w:b/>
          <w:bCs/>
          <w:rtl/>
          <w:lang w:eastAsia="de-DE"/>
        </w:rPr>
        <w:t>דָּרַךְ</w:t>
      </w:r>
      <w:r w:rsidRPr="006715F3">
        <w:rPr>
          <w:rFonts w:eastAsia="Times New Roman" w:cs="Times New Roman"/>
          <w:rtl/>
          <w:lang w:eastAsia="de-DE"/>
        </w:rPr>
        <w:t xml:space="preserve"> </w:t>
      </w:r>
      <w:r w:rsidRPr="006715F3">
        <w:rPr>
          <w:rFonts w:eastAsia="Times New Roman" w:cs="Times New Roman"/>
          <w:lang w:eastAsia="de-DE"/>
        </w:rPr>
        <w:t xml:space="preserve">ist Qal Perfekt 3. Person maskulin Singular von </w:t>
      </w:r>
      <w:r w:rsidRPr="006715F3">
        <w:rPr>
          <w:rFonts w:eastAsia="Times New Roman" w:cs="Times New Roman"/>
          <w:b/>
          <w:bCs/>
          <w:rtl/>
          <w:lang w:eastAsia="de-DE"/>
        </w:rPr>
        <w:t>דרך</w:t>
      </w:r>
      <w:r w:rsidRPr="006715F3">
        <w:rPr>
          <w:rFonts w:eastAsia="Times New Roman" w:cs="Times New Roman"/>
          <w:rtl/>
          <w:lang w:eastAsia="de-DE"/>
        </w:rPr>
        <w:t xml:space="preserve"> </w:t>
      </w:r>
      <w:r w:rsidRPr="006715F3">
        <w:rPr>
          <w:rFonts w:eastAsia="Times New Roman" w:cs="Times New Roman"/>
          <w:lang w:eastAsia="de-DE"/>
        </w:rPr>
        <w:t xml:space="preserve">(„treten, hervortreten"), hier als prophetisches Perfekt (Perfectum propheticum) verwendet, das eine zukünftige Handlung als bereits geschehen darstellt. </w:t>
      </w:r>
      <w:r w:rsidRPr="006715F3">
        <w:rPr>
          <w:rFonts w:eastAsia="Times New Roman" w:cs="Times New Roman"/>
          <w:b/>
          <w:bCs/>
          <w:rtl/>
          <w:lang w:eastAsia="de-DE"/>
        </w:rPr>
        <w:t>כּוֹכָב</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von </w:t>
      </w:r>
      <w:r w:rsidRPr="006715F3">
        <w:rPr>
          <w:rFonts w:eastAsia="Times New Roman" w:cs="Times New Roman"/>
          <w:b/>
          <w:bCs/>
          <w:rtl/>
          <w:lang w:eastAsia="de-DE"/>
        </w:rPr>
        <w:t>כּוֹכָב</w:t>
      </w:r>
      <w:r w:rsidRPr="006715F3">
        <w:rPr>
          <w:rFonts w:eastAsia="Times New Roman" w:cs="Times New Roman"/>
          <w:rtl/>
          <w:lang w:eastAsia="de-DE"/>
        </w:rPr>
        <w:t xml:space="preserve"> </w:t>
      </w:r>
      <w:r w:rsidRPr="006715F3">
        <w:rPr>
          <w:rFonts w:eastAsia="Times New Roman" w:cs="Times New Roman"/>
          <w:lang w:eastAsia="de-DE"/>
        </w:rPr>
        <w:t xml:space="preserve">(„Stern"), </w:t>
      </w:r>
      <w:r w:rsidRPr="006715F3">
        <w:rPr>
          <w:rFonts w:eastAsia="Times New Roman" w:cs="Times New Roman"/>
          <w:b/>
          <w:bCs/>
          <w:rtl/>
          <w:lang w:eastAsia="de-DE"/>
        </w:rPr>
        <w:t>מִיַּעֲקֹב</w:t>
      </w:r>
      <w:r w:rsidRPr="006715F3">
        <w:rPr>
          <w:rFonts w:eastAsia="Times New Roman" w:cs="Times New Roman"/>
          <w:rtl/>
          <w:lang w:eastAsia="de-DE"/>
        </w:rPr>
        <w:t xml:space="preserve"> </w:t>
      </w:r>
      <w:r w:rsidRPr="006715F3">
        <w:rPr>
          <w:rFonts w:eastAsia="Times New Roman" w:cs="Times New Roman"/>
          <w:lang w:eastAsia="de-DE"/>
        </w:rPr>
        <w:t xml:space="preserve">besteht aus der Präposition </w:t>
      </w:r>
      <w:r w:rsidRPr="006715F3">
        <w:rPr>
          <w:rFonts w:eastAsia="Times New Roman" w:cs="Times New Roman"/>
          <w:b/>
          <w:bCs/>
          <w:rtl/>
          <w:lang w:eastAsia="de-DE"/>
        </w:rPr>
        <w:t>מִן</w:t>
      </w:r>
      <w:r w:rsidRPr="006715F3">
        <w:rPr>
          <w:rFonts w:eastAsia="Times New Roman" w:cs="Times New Roman"/>
          <w:rtl/>
          <w:lang w:eastAsia="de-DE"/>
        </w:rPr>
        <w:t xml:space="preserve"> </w:t>
      </w:r>
      <w:r w:rsidRPr="006715F3">
        <w:rPr>
          <w:rFonts w:eastAsia="Times New Roman" w:cs="Times New Roman"/>
          <w:lang w:eastAsia="de-DE"/>
        </w:rPr>
        <w:t xml:space="preserve">(„aus") und dem Eigennamen </w:t>
      </w:r>
      <w:r w:rsidRPr="006715F3">
        <w:rPr>
          <w:rFonts w:eastAsia="Times New Roman" w:cs="Times New Roman"/>
          <w:b/>
          <w:bCs/>
          <w:rtl/>
          <w:lang w:eastAsia="de-DE"/>
        </w:rPr>
        <w:t>יַעֲקֹב</w:t>
      </w:r>
      <w:r w:rsidRPr="006715F3">
        <w:rPr>
          <w:rFonts w:eastAsia="Times New Roman" w:cs="Times New Roman"/>
          <w:rtl/>
          <w:lang w:eastAsia="de-DE"/>
        </w:rPr>
        <w:t xml:space="preserve"> </w:t>
      </w:r>
      <w:r w:rsidRPr="006715F3">
        <w:rPr>
          <w:rFonts w:eastAsia="Times New Roman" w:cs="Times New Roman"/>
          <w:lang w:eastAsia="de-DE"/>
        </w:rPr>
        <w:t>(„Jakob"), der hier für das Volk Israel steht. Die Stern-Metapher symbolisiert einen herrschenden Führer oder König.</w:t>
      </w:r>
      <w:r w:rsidR="00F53528">
        <w:rPr>
          <w:rFonts w:eastAsia="Times New Roman" w:cs="Times New Roman"/>
          <w:lang w:eastAsia="de-DE"/>
        </w:rPr>
        <w:t xml:space="preserve"> </w:t>
      </w:r>
    </w:p>
    <w:p w14:paraId="25413BBB"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וְקָם שֵׁבֶט מִיִּשְׂרָאֵל</w:t>
      </w:r>
      <w:r w:rsidRPr="006715F3">
        <w:rPr>
          <w:rFonts w:eastAsia="Times New Roman" w:cs="Times New Roman"/>
          <w:rtl/>
          <w:lang w:eastAsia="de-DE"/>
        </w:rPr>
        <w:t xml:space="preserve"> </w:t>
      </w:r>
      <w:r w:rsidRPr="006715F3">
        <w:rPr>
          <w:rFonts w:eastAsia="Times New Roman" w:cs="Times New Roman"/>
          <w:lang w:eastAsia="de-DE"/>
        </w:rPr>
        <w:t xml:space="preserve">ist die parallele zweite Hälfte. </w:t>
      </w:r>
      <w:r w:rsidRPr="006715F3">
        <w:rPr>
          <w:rFonts w:eastAsia="Times New Roman" w:cs="Times New Roman"/>
          <w:b/>
          <w:bCs/>
          <w:rtl/>
          <w:lang w:eastAsia="de-DE"/>
        </w:rPr>
        <w:t>וְקָם</w:t>
      </w:r>
      <w:r w:rsidRPr="006715F3">
        <w:rPr>
          <w:rFonts w:eastAsia="Times New Roman" w:cs="Times New Roman"/>
          <w:rtl/>
          <w:lang w:eastAsia="de-DE"/>
        </w:rPr>
        <w:t xml:space="preserve"> </w:t>
      </w:r>
      <w:r w:rsidRPr="006715F3">
        <w:rPr>
          <w:rFonts w:eastAsia="Times New Roman" w:cs="Times New Roman"/>
          <w:lang w:eastAsia="de-DE"/>
        </w:rPr>
        <w:t xml:space="preserve">ist Qal Perfekt (prophetisches Perfekt) 3. Person maskulin Singular von </w:t>
      </w:r>
      <w:r w:rsidRPr="006715F3">
        <w:rPr>
          <w:rFonts w:eastAsia="Times New Roman" w:cs="Times New Roman"/>
          <w:b/>
          <w:bCs/>
          <w:rtl/>
          <w:lang w:eastAsia="de-DE"/>
        </w:rPr>
        <w:t>קום</w:t>
      </w:r>
      <w:r w:rsidRPr="006715F3">
        <w:rPr>
          <w:rFonts w:eastAsia="Times New Roman" w:cs="Times New Roman"/>
          <w:rtl/>
          <w:lang w:eastAsia="de-DE"/>
        </w:rPr>
        <w:t xml:space="preserve"> </w:t>
      </w:r>
      <w:r w:rsidRPr="006715F3">
        <w:rPr>
          <w:rFonts w:eastAsia="Times New Roman" w:cs="Times New Roman"/>
          <w:lang w:eastAsia="de-DE"/>
        </w:rPr>
        <w:t xml:space="preserve">(„aufstehen, sich erheben"), </w:t>
      </w:r>
      <w:r w:rsidRPr="006715F3">
        <w:rPr>
          <w:rFonts w:eastAsia="Times New Roman" w:cs="Times New Roman"/>
          <w:b/>
          <w:bCs/>
          <w:rtl/>
          <w:lang w:eastAsia="de-DE"/>
        </w:rPr>
        <w:t>שֵׁבֶט</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von </w:t>
      </w:r>
      <w:r w:rsidRPr="006715F3">
        <w:rPr>
          <w:rFonts w:eastAsia="Times New Roman" w:cs="Times New Roman"/>
          <w:b/>
          <w:bCs/>
          <w:rtl/>
          <w:lang w:eastAsia="de-DE"/>
        </w:rPr>
        <w:t>שֵׁבֶט</w:t>
      </w:r>
      <w:r w:rsidRPr="006715F3">
        <w:rPr>
          <w:rFonts w:eastAsia="Times New Roman" w:cs="Times New Roman"/>
          <w:rtl/>
          <w:lang w:eastAsia="de-DE"/>
        </w:rPr>
        <w:t xml:space="preserve"> </w:t>
      </w:r>
      <w:r w:rsidRPr="006715F3">
        <w:rPr>
          <w:rFonts w:eastAsia="Times New Roman" w:cs="Times New Roman"/>
          <w:lang w:eastAsia="de-DE"/>
        </w:rPr>
        <w:t xml:space="preserve">(„Stab, Zepter, Stamm"), hier als Symbol königlicher Herrschaft. </w:t>
      </w:r>
      <w:r w:rsidRPr="006715F3">
        <w:rPr>
          <w:rFonts w:eastAsia="Times New Roman" w:cs="Times New Roman"/>
          <w:b/>
          <w:bCs/>
          <w:rtl/>
          <w:lang w:eastAsia="de-DE"/>
        </w:rPr>
        <w:t>מִיִּשְׂרָאֵל</w:t>
      </w:r>
      <w:r w:rsidRPr="006715F3">
        <w:rPr>
          <w:rFonts w:eastAsia="Times New Roman" w:cs="Times New Roman"/>
          <w:rtl/>
          <w:lang w:eastAsia="de-DE"/>
        </w:rPr>
        <w:t xml:space="preserve"> </w:t>
      </w:r>
      <w:r w:rsidRPr="006715F3">
        <w:rPr>
          <w:rFonts w:eastAsia="Times New Roman" w:cs="Times New Roman"/>
          <w:lang w:eastAsia="de-DE"/>
        </w:rPr>
        <w:t xml:space="preserve">(Präposition </w:t>
      </w:r>
      <w:r w:rsidRPr="006715F3">
        <w:rPr>
          <w:rFonts w:eastAsia="Times New Roman" w:cs="Times New Roman"/>
          <w:b/>
          <w:bCs/>
          <w:rtl/>
          <w:lang w:eastAsia="de-DE"/>
        </w:rPr>
        <w:t>מִן</w:t>
      </w:r>
      <w:r w:rsidRPr="006715F3">
        <w:rPr>
          <w:rFonts w:eastAsia="Times New Roman" w:cs="Times New Roman"/>
          <w:rtl/>
          <w:lang w:eastAsia="de-DE"/>
        </w:rPr>
        <w:t xml:space="preserve"> </w:t>
      </w:r>
      <w:r w:rsidRPr="006715F3">
        <w:rPr>
          <w:rFonts w:eastAsia="Times New Roman" w:cs="Times New Roman"/>
          <w:lang w:eastAsia="de-DE"/>
        </w:rPr>
        <w:t xml:space="preserve">mit </w:t>
      </w:r>
      <w:r w:rsidRPr="006715F3">
        <w:rPr>
          <w:rFonts w:eastAsia="Times New Roman" w:cs="Times New Roman"/>
          <w:b/>
          <w:bCs/>
          <w:rtl/>
          <w:lang w:eastAsia="de-DE"/>
        </w:rPr>
        <w:t>יִשְׂרָאֵל</w:t>
      </w:r>
      <w:r w:rsidRPr="006715F3">
        <w:rPr>
          <w:rFonts w:eastAsia="Times New Roman" w:cs="Times New Roman"/>
          <w:rtl/>
          <w:lang w:eastAsia="de-DE"/>
        </w:rPr>
        <w:t xml:space="preserve"> </w:t>
      </w:r>
      <w:r w:rsidRPr="006715F3">
        <w:rPr>
          <w:rFonts w:eastAsia="Times New Roman" w:cs="Times New Roman"/>
          <w:lang w:eastAsia="de-DE"/>
        </w:rPr>
        <w:t xml:space="preserve">„Israel") ist parallel zu </w:t>
      </w:r>
      <w:r w:rsidRPr="006715F3">
        <w:rPr>
          <w:rFonts w:eastAsia="Times New Roman" w:cs="Times New Roman"/>
          <w:b/>
          <w:bCs/>
          <w:rtl/>
          <w:lang w:eastAsia="de-DE"/>
        </w:rPr>
        <w:t>מִיַּעֲקֹב</w:t>
      </w:r>
      <w:r w:rsidRPr="006715F3">
        <w:rPr>
          <w:rFonts w:eastAsia="Times New Roman" w:cs="Times New Roman"/>
          <w:lang w:eastAsia="de-DE"/>
        </w:rPr>
        <w:t>. Die beiden Stichen bilden einen synonymen Parallelismus: Stern und Zepter bezeichnen denselben zukünftigen Herrscher.</w:t>
      </w:r>
    </w:p>
    <w:p w14:paraId="529D3D63" w14:textId="1158E56F"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וּמָחַץ פַּאֲתֵי מוֹאָב</w:t>
      </w:r>
      <w:r w:rsidRPr="006715F3">
        <w:rPr>
          <w:rFonts w:eastAsia="Times New Roman" w:cs="Times New Roman"/>
          <w:rtl/>
          <w:lang w:eastAsia="de-DE"/>
        </w:rPr>
        <w:t xml:space="preserve"> </w:t>
      </w:r>
      <w:r w:rsidRPr="006715F3">
        <w:rPr>
          <w:rFonts w:eastAsia="Times New Roman" w:cs="Times New Roman"/>
          <w:lang w:eastAsia="de-DE"/>
        </w:rPr>
        <w:t xml:space="preserve">beschreibt die militärische Aktivität. </w:t>
      </w:r>
      <w:r w:rsidRPr="006715F3">
        <w:rPr>
          <w:rFonts w:eastAsia="Times New Roman" w:cs="Times New Roman"/>
          <w:b/>
          <w:bCs/>
          <w:rtl/>
          <w:lang w:eastAsia="de-DE"/>
        </w:rPr>
        <w:t>וּמָחַץ</w:t>
      </w:r>
      <w:r w:rsidRPr="006715F3">
        <w:rPr>
          <w:rFonts w:eastAsia="Times New Roman" w:cs="Times New Roman"/>
          <w:rtl/>
          <w:lang w:eastAsia="de-DE"/>
        </w:rPr>
        <w:t xml:space="preserve"> </w:t>
      </w:r>
      <w:r w:rsidRPr="006715F3">
        <w:rPr>
          <w:rFonts w:eastAsia="Times New Roman" w:cs="Times New Roman"/>
          <w:lang w:eastAsia="de-DE"/>
        </w:rPr>
        <w:t xml:space="preserve">ist Qal Perfekt (prophetisches Perfekt) 3. Person maskulin Singular von </w:t>
      </w:r>
      <w:r w:rsidRPr="006715F3">
        <w:rPr>
          <w:rFonts w:eastAsia="Times New Roman" w:cs="Times New Roman"/>
          <w:b/>
          <w:bCs/>
          <w:rtl/>
          <w:lang w:eastAsia="de-DE"/>
        </w:rPr>
        <w:t>מחץ</w:t>
      </w:r>
      <w:r w:rsidRPr="006715F3">
        <w:rPr>
          <w:rFonts w:eastAsia="Times New Roman" w:cs="Times New Roman"/>
          <w:rtl/>
          <w:lang w:eastAsia="de-DE"/>
        </w:rPr>
        <w:t xml:space="preserve"> </w:t>
      </w:r>
      <w:r w:rsidRPr="006715F3">
        <w:rPr>
          <w:rFonts w:eastAsia="Times New Roman" w:cs="Times New Roman"/>
          <w:lang w:eastAsia="de-DE"/>
        </w:rPr>
        <w:t xml:space="preserve">(„zerschlagen, zerschmettern"), </w:t>
      </w:r>
      <w:r w:rsidRPr="006715F3">
        <w:rPr>
          <w:rFonts w:eastAsia="Times New Roman" w:cs="Times New Roman"/>
          <w:b/>
          <w:bCs/>
          <w:rtl/>
          <w:lang w:eastAsia="de-DE"/>
        </w:rPr>
        <w:t>פַּאֲתֵי</w:t>
      </w:r>
      <w:r w:rsidRPr="006715F3">
        <w:rPr>
          <w:rFonts w:eastAsia="Times New Roman" w:cs="Times New Roman"/>
          <w:rtl/>
          <w:lang w:eastAsia="de-DE"/>
        </w:rPr>
        <w:t xml:space="preserve"> </w:t>
      </w:r>
      <w:r w:rsidRPr="006715F3">
        <w:rPr>
          <w:rFonts w:eastAsia="Times New Roman" w:cs="Times New Roman"/>
          <w:lang w:eastAsia="de-DE"/>
        </w:rPr>
        <w:t xml:space="preserve">ist der duale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פֵּאָה</w:t>
      </w:r>
      <w:r w:rsidRPr="006715F3">
        <w:rPr>
          <w:rFonts w:eastAsia="Times New Roman" w:cs="Times New Roman"/>
          <w:rtl/>
          <w:lang w:eastAsia="de-DE"/>
        </w:rPr>
        <w:t xml:space="preserve"> </w:t>
      </w:r>
      <w:r w:rsidRPr="006715F3">
        <w:rPr>
          <w:rFonts w:eastAsia="Times New Roman" w:cs="Times New Roman"/>
          <w:lang w:eastAsia="de-DE"/>
        </w:rPr>
        <w:t xml:space="preserve">(„Schläfe, Seite, Ecke"), </w:t>
      </w:r>
      <w:r w:rsidRPr="006715F3">
        <w:rPr>
          <w:rFonts w:eastAsia="Times New Roman" w:cs="Times New Roman"/>
          <w:b/>
          <w:bCs/>
          <w:rtl/>
          <w:lang w:eastAsia="de-DE"/>
        </w:rPr>
        <w:t>מוֹאָב</w:t>
      </w:r>
      <w:r w:rsidRPr="006715F3">
        <w:rPr>
          <w:rFonts w:eastAsia="Times New Roman" w:cs="Times New Roman"/>
          <w:rtl/>
          <w:lang w:eastAsia="de-DE"/>
        </w:rPr>
        <w:t xml:space="preserve"> </w:t>
      </w:r>
      <w:r w:rsidRPr="006715F3">
        <w:rPr>
          <w:rFonts w:eastAsia="Times New Roman" w:cs="Times New Roman"/>
          <w:lang w:eastAsia="de-DE"/>
        </w:rPr>
        <w:t xml:space="preserve">ist der Eigenname des Nachbarvolkes im Genitiv. Die Schläfen symbolisieren einen tödlichen Schlag gegen den Feind. </w:t>
      </w:r>
      <w:r w:rsidRPr="006715F3">
        <w:rPr>
          <w:rFonts w:eastAsia="Times New Roman" w:cs="Times New Roman"/>
          <w:b/>
          <w:bCs/>
          <w:rtl/>
          <w:lang w:eastAsia="de-DE"/>
        </w:rPr>
        <w:t>וְקַרְקַר כָּל־בְּנֵי־שֵׁת</w:t>
      </w:r>
      <w:r w:rsidRPr="006715F3">
        <w:rPr>
          <w:rFonts w:eastAsia="Times New Roman" w:cs="Times New Roman"/>
          <w:rtl/>
          <w:lang w:eastAsia="de-DE"/>
        </w:rPr>
        <w:t xml:space="preserve"> </w:t>
      </w:r>
      <w:r w:rsidRPr="006715F3">
        <w:rPr>
          <w:rFonts w:eastAsia="Times New Roman" w:cs="Times New Roman"/>
          <w:lang w:eastAsia="de-DE"/>
        </w:rPr>
        <w:t xml:space="preserve">setzt die Zerstörung fort: </w:t>
      </w:r>
      <w:r w:rsidRPr="006715F3">
        <w:rPr>
          <w:rFonts w:eastAsia="Times New Roman" w:cs="Times New Roman"/>
          <w:b/>
          <w:bCs/>
          <w:rtl/>
          <w:lang w:eastAsia="de-DE"/>
        </w:rPr>
        <w:t>וְקַרְקַר</w:t>
      </w:r>
      <w:r w:rsidRPr="006715F3">
        <w:rPr>
          <w:rFonts w:eastAsia="Times New Roman" w:cs="Times New Roman"/>
          <w:rtl/>
          <w:lang w:eastAsia="de-DE"/>
        </w:rPr>
        <w:t xml:space="preserve"> </w:t>
      </w:r>
      <w:r w:rsidRPr="006715F3">
        <w:rPr>
          <w:rFonts w:eastAsia="Times New Roman" w:cs="Times New Roman"/>
          <w:lang w:eastAsia="de-DE"/>
        </w:rPr>
        <w:t xml:space="preserve">ist Polel Perfekt (prophetisches Perfekt) 3. Person maskulin Singular von </w:t>
      </w:r>
      <w:r w:rsidRPr="006715F3">
        <w:rPr>
          <w:rFonts w:eastAsia="Times New Roman" w:cs="Times New Roman"/>
          <w:b/>
          <w:bCs/>
          <w:rtl/>
          <w:lang w:eastAsia="de-DE"/>
        </w:rPr>
        <w:t>קרקר</w:t>
      </w:r>
      <w:r w:rsidRPr="006715F3">
        <w:rPr>
          <w:rFonts w:eastAsia="Times New Roman" w:cs="Times New Roman"/>
          <w:rtl/>
          <w:lang w:eastAsia="de-DE"/>
        </w:rPr>
        <w:t xml:space="preserve"> </w:t>
      </w:r>
      <w:r w:rsidRPr="006715F3">
        <w:rPr>
          <w:rFonts w:eastAsia="Times New Roman" w:cs="Times New Roman"/>
          <w:lang w:eastAsia="de-DE"/>
        </w:rPr>
        <w:t xml:space="preserve">(„niederreißen, zerstören"), eine intensive Form. </w:t>
      </w:r>
      <w:r w:rsidRPr="006715F3">
        <w:rPr>
          <w:rFonts w:eastAsia="Times New Roman" w:cs="Times New Roman"/>
          <w:b/>
          <w:bCs/>
          <w:rtl/>
          <w:lang w:eastAsia="de-DE"/>
        </w:rPr>
        <w:t>כָּל־בְּנֵי־שֵׁת</w:t>
      </w:r>
      <w:r w:rsidRPr="006715F3">
        <w:rPr>
          <w:rFonts w:eastAsia="Times New Roman" w:cs="Times New Roman"/>
          <w:rtl/>
          <w:lang w:eastAsia="de-DE"/>
        </w:rPr>
        <w:t xml:space="preserve"> </w:t>
      </w:r>
      <w:r w:rsidRPr="006715F3">
        <w:rPr>
          <w:rFonts w:eastAsia="Times New Roman" w:cs="Times New Roman"/>
          <w:lang w:eastAsia="de-DE"/>
        </w:rPr>
        <w:t xml:space="preserve">(„alle Söhne Schets") ist umstritten: </w:t>
      </w:r>
      <w:r w:rsidRPr="006715F3">
        <w:rPr>
          <w:rFonts w:eastAsia="Times New Roman" w:cs="Times New Roman"/>
          <w:b/>
          <w:bCs/>
          <w:rtl/>
          <w:lang w:eastAsia="de-DE"/>
        </w:rPr>
        <w:t>שֵׁת</w:t>
      </w:r>
      <w:r w:rsidRPr="006715F3">
        <w:rPr>
          <w:rFonts w:eastAsia="Times New Roman" w:cs="Times New Roman"/>
          <w:rtl/>
          <w:lang w:eastAsia="de-DE"/>
        </w:rPr>
        <w:t xml:space="preserve"> </w:t>
      </w:r>
      <w:r w:rsidRPr="006715F3">
        <w:rPr>
          <w:rFonts w:eastAsia="Times New Roman" w:cs="Times New Roman"/>
          <w:lang w:eastAsia="de-DE"/>
        </w:rPr>
        <w:t>könnte der Name Set (Sohn Adams) sein und damit die gesamte Menschheit oder speziell die Nachbarn Moabs bezeichnen, oder es ist eine Textkorruptur für einen Völkernamen.</w:t>
      </w:r>
    </w:p>
    <w:p w14:paraId="7548F19A" w14:textId="5A543DE9"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w:t>
      </w:r>
      <w:r w:rsidR="00CD2614">
        <w:t>übersetzt „</w:t>
      </w:r>
      <w:r w:rsidR="00CD2614" w:rsidRPr="00CD2614">
        <w:rPr>
          <w:b/>
          <w:bCs/>
          <w:rtl/>
        </w:rPr>
        <w:t>אֶרְאֶנּוּ וְלֹא עַתָּה</w:t>
      </w:r>
      <w:r w:rsidR="00CD2614">
        <w:t>" (ich sehe ihn, aber nicht jetzt) mit „Δείξω αὐτῷ, καὶ οὐχὶ νῦν" (ich werde ihm zeigen, und nicht jetzt), und „</w:t>
      </w:r>
      <w:r w:rsidR="00CD2614" w:rsidRPr="00CD2614">
        <w:rPr>
          <w:b/>
          <w:bCs/>
          <w:rtl/>
        </w:rPr>
        <w:t>וְקַרְקַר כָּל־בְּנֵי־שֵׁת</w:t>
      </w:r>
      <w:r w:rsidR="00CD2614">
        <w:t xml:space="preserve">" (und zertrümmern alle </w:t>
      </w:r>
      <w:r w:rsidR="00CD2614">
        <w:lastRenderedPageBreak/>
        <w:t>Söhne Sets) wird zu „καὶ προνομεύσει πάντας υἱοὺς Σήθ" (und wird plündern alle Söhne Sets).</w:t>
      </w:r>
    </w:p>
    <w:p w14:paraId="0A699DB4"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zwei parallele Hauptsätze im Präsens mit temporalen Einschränkungen, gefolgt von zwei parallelen prophetischen Perfektsätzen (Stern/Zepter) und zwei weiteren prophetischen Perfektsätzen, die die Konsequenzen (Zerschmetterung der Feinde) beschreiben.</w:t>
      </w:r>
    </w:p>
    <w:p w14:paraId="10D3C681" w14:textId="4F5AC24F" w:rsidR="006715F3" w:rsidRDefault="006715F3" w:rsidP="00F53528">
      <w:pPr>
        <w:pStyle w:val="KeinLeerraum"/>
        <w:rPr>
          <w:lang w:eastAsia="de-DE"/>
        </w:rPr>
      </w:pPr>
      <w:r w:rsidRPr="006715F3">
        <w:rPr>
          <w:lang w:eastAsia="de-DE"/>
        </w:rPr>
        <w:t>Der Vers enthält die berühmte messianische Prophezeiung vom aufgehenden Stern und Zepter aus Jakob/Israel, die einen zukünftigen Herrscher ankündigt, der die Feinde Israels, insbesondere Moab, vernichten wird. Diese Vision wurde später auf verschiedene Herrscher angewendet, von bis zu messianischen Erwartungen.</w:t>
      </w:r>
      <w:r w:rsidR="00F53528">
        <w:rPr>
          <w:lang w:eastAsia="de-DE"/>
        </w:rPr>
        <w:t xml:space="preserve"> </w:t>
      </w:r>
    </w:p>
    <w:p w14:paraId="12AE9E4E" w14:textId="77777777" w:rsidR="00F53528" w:rsidRDefault="00F53528" w:rsidP="00F53528">
      <w:pPr>
        <w:pStyle w:val="KeinLeerraum"/>
      </w:pPr>
      <w:r>
        <w:t>→ Diese Weissagung wird:</w:t>
      </w:r>
    </w:p>
    <w:p w14:paraId="4FFBD56D" w14:textId="77777777" w:rsidR="00F53528" w:rsidRDefault="00F53528" w:rsidP="00F329DD">
      <w:pPr>
        <w:pStyle w:val="KeinLeerraum"/>
        <w:numPr>
          <w:ilvl w:val="0"/>
          <w:numId w:val="262"/>
        </w:numPr>
      </w:pPr>
      <w:r>
        <w:t>Im Judentum auf den Messias gedeutet</w:t>
      </w:r>
    </w:p>
    <w:p w14:paraId="0B378E31" w14:textId="77777777" w:rsidR="00F53528" w:rsidRDefault="00F53528" w:rsidP="00F329DD">
      <w:pPr>
        <w:pStyle w:val="KeinLeerraum"/>
        <w:numPr>
          <w:ilvl w:val="0"/>
          <w:numId w:val="262"/>
        </w:numPr>
      </w:pPr>
      <w:r>
        <w:t>Im NT auf Jesus Christus angewendet (Mt 2,2; Offb 22,16)</w:t>
      </w:r>
    </w:p>
    <w:p w14:paraId="37751D55" w14:textId="77777777" w:rsidR="00EC0221" w:rsidRDefault="00F53528" w:rsidP="00F329DD">
      <w:pPr>
        <w:pStyle w:val="KeinLeerraum"/>
        <w:numPr>
          <w:ilvl w:val="0"/>
          <w:numId w:val="262"/>
        </w:numPr>
      </w:pPr>
      <w:r>
        <w:t xml:space="preserve">Historisch auf David erfüllt </w:t>
      </w:r>
    </w:p>
    <w:p w14:paraId="6D56AE3D" w14:textId="22F30725" w:rsidR="00F53528" w:rsidRDefault="00F53528" w:rsidP="00EC0221">
      <w:pPr>
        <w:pStyle w:val="KeinLeerraum"/>
        <w:ind w:left="720"/>
      </w:pPr>
      <w:r>
        <w:t>(2Sam 8</w:t>
      </w:r>
      <w:r>
        <w:t>,2</w:t>
      </w:r>
      <w:r w:rsidR="00EC0221">
        <w:t xml:space="preserve"> -David unterwirft Moab</w:t>
      </w:r>
      <w:r>
        <w:t>)</w:t>
      </w:r>
    </w:p>
    <w:p w14:paraId="6065D1EF" w14:textId="1F7989CA" w:rsidR="00EC0221" w:rsidRDefault="00EC0221" w:rsidP="00EC0221">
      <w:pPr>
        <w:pStyle w:val="KeinLeerraum"/>
        <w:ind w:left="720"/>
      </w:pPr>
      <w:r>
        <w:t>(2Sam 8,14 -</w:t>
      </w:r>
      <w:r w:rsidRPr="00EC0221">
        <w:t xml:space="preserve"> </w:t>
      </w:r>
      <w:r>
        <w:t>David erobert Edom/Seir</w:t>
      </w:r>
      <w:r>
        <w:t>)</w:t>
      </w:r>
    </w:p>
    <w:p w14:paraId="14A7D431" w14:textId="483780AE" w:rsidR="00EC0221" w:rsidRDefault="00EC0221" w:rsidP="00EC0221">
      <w:pPr>
        <w:pStyle w:val="KeinLeerraum"/>
        <w:ind w:left="720"/>
      </w:pPr>
      <w:r>
        <w:t>(1Sam 15,7 -</w:t>
      </w:r>
      <w:r w:rsidRPr="00EC0221">
        <w:t xml:space="preserve"> </w:t>
      </w:r>
      <w:r>
        <w:t>Saul besiegt Agag</w:t>
      </w:r>
      <w:r>
        <w:t>)</w:t>
      </w:r>
    </w:p>
    <w:p w14:paraId="67DD407D" w14:textId="1A5CB163" w:rsidR="00F53528" w:rsidRPr="00F53528" w:rsidRDefault="00F53528" w:rsidP="00F329DD">
      <w:pPr>
        <w:pStyle w:val="KeinLeerraum"/>
        <w:numPr>
          <w:ilvl w:val="0"/>
          <w:numId w:val="262"/>
        </w:numPr>
        <w:rPr>
          <w:rFonts w:eastAsia="Times New Roman" w:cs="Times New Roman"/>
          <w:lang w:eastAsia="de-DE"/>
        </w:rPr>
      </w:pPr>
      <w:r>
        <w:t>Eschatologisch auf den wiederkommenden Christus bezogen</w:t>
      </w:r>
      <w:r>
        <w:t xml:space="preserve"> (2Petr 1,19)</w:t>
      </w:r>
    </w:p>
    <w:p w14:paraId="2772FA9D"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24,18</w:t>
      </w:r>
    </w:p>
    <w:p w14:paraId="010511E9"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וְהָיָ֨ה אֱד֜וֹם יְרֵשָׁ֗ה וְהָיָ֧ה יְרֵשָׁ֛ה שֵׂעִ֖יר אֹיְבָ֑יו וְיִשְׂרָאֵ֖ל עֹ֥שֶׂה חָֽיִל׃</w:t>
      </w:r>
    </w:p>
    <w:p w14:paraId="3A8CC5F3"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Edom wird ein Besitz sein und Se'ir ein Besitz, seine Feinde; und Jisra'el wird Macht entfalten.</w:t>
      </w:r>
    </w:p>
    <w:p w14:paraId="4592DEDC"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4261C21F">
          <v:rect id="_x0000_i1843" style="width:0;height:1.5pt" o:hralign="center" o:hrstd="t" o:hr="t" fillcolor="#a0a0a0" stroked="f"/>
        </w:pict>
      </w:r>
    </w:p>
    <w:p w14:paraId="2E7C6C39" w14:textId="45B0F096"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וְהָיָה אֱדוֹם יְרֵשָׁה</w:t>
      </w:r>
      <w:r w:rsidRPr="006715F3">
        <w:rPr>
          <w:rFonts w:eastAsia="Times New Roman" w:cs="Times New Roman"/>
          <w:lang w:eastAsia="de-DE"/>
        </w:rPr>
        <w:t xml:space="preserve">, einem Nominalsatz mit </w:t>
      </w:r>
      <w:r w:rsidRPr="006715F3">
        <w:rPr>
          <w:rFonts w:eastAsia="Times New Roman" w:cs="Times New Roman"/>
          <w:b/>
          <w:bCs/>
          <w:rtl/>
          <w:lang w:eastAsia="de-DE"/>
        </w:rPr>
        <w:t>הָיָה</w:t>
      </w:r>
      <w:r w:rsidRPr="006715F3">
        <w:rPr>
          <w:rFonts w:eastAsia="Times New Roman" w:cs="Times New Roman"/>
          <w:lang w:eastAsia="de-DE"/>
        </w:rPr>
        <w:t xml:space="preserve">. </w:t>
      </w:r>
      <w:r w:rsidRPr="006715F3">
        <w:rPr>
          <w:rFonts w:eastAsia="Times New Roman" w:cs="Times New Roman"/>
          <w:b/>
          <w:bCs/>
          <w:rtl/>
          <w:lang w:eastAsia="de-DE"/>
        </w:rPr>
        <w:t>וְהָיָה</w:t>
      </w:r>
      <w:r w:rsidRPr="006715F3">
        <w:rPr>
          <w:rFonts w:eastAsia="Times New Roman" w:cs="Times New Roman"/>
          <w:rtl/>
          <w:lang w:eastAsia="de-DE"/>
        </w:rPr>
        <w:t xml:space="preserve"> </w:t>
      </w:r>
      <w:r w:rsidRPr="006715F3">
        <w:rPr>
          <w:rFonts w:eastAsia="Times New Roman" w:cs="Times New Roman"/>
          <w:lang w:eastAsia="de-DE"/>
        </w:rPr>
        <w:t xml:space="preserve">ist Qal Perfekt (prophetisches Perfekt) 3. Person maskulin Singular von </w:t>
      </w:r>
      <w:r w:rsidRPr="006715F3">
        <w:rPr>
          <w:rFonts w:eastAsia="Times New Roman" w:cs="Times New Roman"/>
          <w:b/>
          <w:bCs/>
          <w:rtl/>
          <w:lang w:eastAsia="de-DE"/>
        </w:rPr>
        <w:t>היה</w:t>
      </w:r>
      <w:r w:rsidRPr="006715F3">
        <w:rPr>
          <w:rFonts w:eastAsia="Times New Roman" w:cs="Times New Roman"/>
          <w:rtl/>
          <w:lang w:eastAsia="de-DE"/>
        </w:rPr>
        <w:t xml:space="preserve"> </w:t>
      </w:r>
      <w:r w:rsidRPr="006715F3">
        <w:rPr>
          <w:rFonts w:eastAsia="Times New Roman" w:cs="Times New Roman"/>
          <w:lang w:eastAsia="de-DE"/>
        </w:rPr>
        <w:t xml:space="preserve">(„sein, werden"), </w:t>
      </w:r>
      <w:r w:rsidRPr="006715F3">
        <w:rPr>
          <w:rFonts w:eastAsia="Times New Roman" w:cs="Times New Roman"/>
          <w:b/>
          <w:bCs/>
          <w:rtl/>
          <w:lang w:eastAsia="de-DE"/>
        </w:rPr>
        <w:t>אֱדוֹם</w:t>
      </w:r>
      <w:r w:rsidRPr="006715F3">
        <w:rPr>
          <w:rFonts w:eastAsia="Times New Roman" w:cs="Times New Roman"/>
          <w:rtl/>
          <w:lang w:eastAsia="de-DE"/>
        </w:rPr>
        <w:t xml:space="preserve"> </w:t>
      </w:r>
      <w:r w:rsidRPr="006715F3">
        <w:rPr>
          <w:rFonts w:eastAsia="Times New Roman" w:cs="Times New Roman"/>
          <w:lang w:eastAsia="de-DE"/>
        </w:rPr>
        <w:t xml:space="preserve">ist der Eigenname des südöstlichen Nachbarvolkes als Subjekt, </w:t>
      </w:r>
      <w:r w:rsidRPr="006715F3">
        <w:rPr>
          <w:rFonts w:eastAsia="Times New Roman" w:cs="Times New Roman"/>
          <w:b/>
          <w:bCs/>
          <w:rtl/>
          <w:lang w:eastAsia="de-DE"/>
        </w:rPr>
        <w:t>יְרֵשָׁה</w:t>
      </w:r>
      <w:r w:rsidRPr="006715F3">
        <w:rPr>
          <w:rFonts w:eastAsia="Times New Roman" w:cs="Times New Roman"/>
          <w:rtl/>
          <w:lang w:eastAsia="de-DE"/>
        </w:rPr>
        <w:t xml:space="preserve"> </w:t>
      </w:r>
      <w:r w:rsidRPr="006715F3">
        <w:rPr>
          <w:rFonts w:eastAsia="Times New Roman" w:cs="Times New Roman"/>
          <w:lang w:eastAsia="de-DE"/>
        </w:rPr>
        <w:t xml:space="preserve">ist feminin Singular von </w:t>
      </w:r>
      <w:r w:rsidRPr="006715F3">
        <w:rPr>
          <w:rFonts w:eastAsia="Times New Roman" w:cs="Times New Roman"/>
          <w:b/>
          <w:bCs/>
          <w:rtl/>
          <w:lang w:eastAsia="de-DE"/>
        </w:rPr>
        <w:t>יְרֵשָׁה</w:t>
      </w:r>
      <w:r w:rsidRPr="006715F3">
        <w:rPr>
          <w:rFonts w:eastAsia="Times New Roman" w:cs="Times New Roman"/>
          <w:rtl/>
          <w:lang w:eastAsia="de-DE"/>
        </w:rPr>
        <w:t xml:space="preserve"> </w:t>
      </w:r>
      <w:r w:rsidRPr="006715F3">
        <w:rPr>
          <w:rFonts w:eastAsia="Times New Roman" w:cs="Times New Roman"/>
          <w:lang w:eastAsia="de-DE"/>
        </w:rPr>
        <w:t xml:space="preserve">(„Besitz, Eigentum") als Prädikatsnomen. Die </w:t>
      </w:r>
      <w:r w:rsidR="00F133EC">
        <w:rPr>
          <w:rFonts w:eastAsia="Times New Roman" w:cs="Times New Roman"/>
          <w:lang w:eastAsia="de-DE"/>
        </w:rPr>
        <w:t>Construct</w:t>
      </w:r>
      <w:r w:rsidRPr="006715F3">
        <w:rPr>
          <w:rFonts w:eastAsia="Times New Roman" w:cs="Times New Roman"/>
          <w:lang w:eastAsia="de-DE"/>
        </w:rPr>
        <w:t xml:space="preserve">ion besagt, dass Edom zum Besitz (Israels) werden wird. </w:t>
      </w:r>
      <w:r w:rsidRPr="006715F3">
        <w:rPr>
          <w:rFonts w:eastAsia="Times New Roman" w:cs="Times New Roman"/>
          <w:b/>
          <w:bCs/>
          <w:rtl/>
          <w:lang w:eastAsia="de-DE"/>
        </w:rPr>
        <w:t>וְהָיָה יְרֵשָׁה שֵׂעִיר אֹיְבָיו</w:t>
      </w:r>
      <w:r w:rsidRPr="006715F3">
        <w:rPr>
          <w:rFonts w:eastAsia="Times New Roman" w:cs="Times New Roman"/>
          <w:rtl/>
          <w:lang w:eastAsia="de-DE"/>
        </w:rPr>
        <w:t xml:space="preserve"> </w:t>
      </w:r>
      <w:r w:rsidRPr="006715F3">
        <w:rPr>
          <w:rFonts w:eastAsia="Times New Roman" w:cs="Times New Roman"/>
          <w:lang w:eastAsia="de-DE"/>
        </w:rPr>
        <w:t xml:space="preserve">wiederholt die Struktur: </w:t>
      </w:r>
      <w:r w:rsidRPr="006715F3">
        <w:rPr>
          <w:rFonts w:eastAsia="Times New Roman" w:cs="Times New Roman"/>
          <w:b/>
          <w:bCs/>
          <w:rtl/>
          <w:lang w:eastAsia="de-DE"/>
        </w:rPr>
        <w:t>שֵׂעִיר</w:t>
      </w:r>
      <w:r w:rsidRPr="006715F3">
        <w:rPr>
          <w:rFonts w:eastAsia="Times New Roman" w:cs="Times New Roman"/>
          <w:rtl/>
          <w:lang w:eastAsia="de-DE"/>
        </w:rPr>
        <w:t xml:space="preserve"> </w:t>
      </w:r>
      <w:r w:rsidRPr="006715F3">
        <w:rPr>
          <w:rFonts w:eastAsia="Times New Roman" w:cs="Times New Roman"/>
          <w:lang w:eastAsia="de-DE"/>
        </w:rPr>
        <w:t xml:space="preserve">ist ein alternativer Name für Edom oder das Gebirge Edoms. </w:t>
      </w:r>
      <w:r w:rsidRPr="006715F3">
        <w:rPr>
          <w:rFonts w:eastAsia="Times New Roman" w:cs="Times New Roman"/>
          <w:b/>
          <w:bCs/>
          <w:rtl/>
          <w:lang w:eastAsia="de-DE"/>
        </w:rPr>
        <w:t>אֹיְבָיו</w:t>
      </w:r>
      <w:r w:rsidRPr="006715F3">
        <w:rPr>
          <w:rFonts w:eastAsia="Times New Roman" w:cs="Times New Roman"/>
          <w:rtl/>
          <w:lang w:eastAsia="de-DE"/>
        </w:rPr>
        <w:t xml:space="preserve"> </w:t>
      </w:r>
      <w:r w:rsidRPr="006715F3">
        <w:rPr>
          <w:rFonts w:eastAsia="Times New Roman" w:cs="Times New Roman"/>
          <w:lang w:eastAsia="de-DE"/>
        </w:rPr>
        <w:t xml:space="preserve">(„seine Feinde") mit dem Plural von </w:t>
      </w:r>
      <w:r w:rsidRPr="006715F3">
        <w:rPr>
          <w:rFonts w:eastAsia="Times New Roman" w:cs="Times New Roman"/>
          <w:b/>
          <w:bCs/>
          <w:rtl/>
          <w:lang w:eastAsia="de-DE"/>
        </w:rPr>
        <w:t>אֹיֵב</w:t>
      </w:r>
      <w:r w:rsidRPr="006715F3">
        <w:rPr>
          <w:rFonts w:eastAsia="Times New Roman" w:cs="Times New Roman"/>
          <w:rtl/>
          <w:lang w:eastAsia="de-DE"/>
        </w:rPr>
        <w:t xml:space="preserve"> </w:t>
      </w:r>
      <w:r w:rsidRPr="006715F3">
        <w:rPr>
          <w:rFonts w:eastAsia="Times New Roman" w:cs="Times New Roman"/>
          <w:lang w:eastAsia="de-DE"/>
        </w:rPr>
        <w:t>(„Feind") und Suffix 3. Person maskulin Singular steht appositionell und identifiziert Seir als Feind Israels.</w:t>
      </w:r>
    </w:p>
    <w:p w14:paraId="7650996D"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וְיִשְׂרָאֵל עֹשֶׂה חָיִל</w:t>
      </w:r>
      <w:r w:rsidRPr="006715F3">
        <w:rPr>
          <w:rFonts w:eastAsia="Times New Roman" w:cs="Times New Roman"/>
          <w:rtl/>
          <w:lang w:eastAsia="de-DE"/>
        </w:rPr>
        <w:t xml:space="preserve"> </w:t>
      </w:r>
      <w:r w:rsidRPr="006715F3">
        <w:rPr>
          <w:rFonts w:eastAsia="Times New Roman" w:cs="Times New Roman"/>
          <w:lang w:eastAsia="de-DE"/>
        </w:rPr>
        <w:t xml:space="preserve">bildet den Kontrast. </w:t>
      </w:r>
      <w:r w:rsidRPr="006715F3">
        <w:rPr>
          <w:rFonts w:eastAsia="Times New Roman" w:cs="Times New Roman"/>
          <w:b/>
          <w:bCs/>
          <w:rtl/>
          <w:lang w:eastAsia="de-DE"/>
        </w:rPr>
        <w:t>וְיִשְׂרָאֵל</w:t>
      </w:r>
      <w:r w:rsidRPr="006715F3">
        <w:rPr>
          <w:rFonts w:eastAsia="Times New Roman" w:cs="Times New Roman"/>
          <w:rtl/>
          <w:lang w:eastAsia="de-DE"/>
        </w:rPr>
        <w:t xml:space="preserve"> </w:t>
      </w:r>
      <w:r w:rsidRPr="006715F3">
        <w:rPr>
          <w:rFonts w:eastAsia="Times New Roman" w:cs="Times New Roman"/>
          <w:lang w:eastAsia="de-DE"/>
        </w:rPr>
        <w:t xml:space="preserve">ist das Subjekt, </w:t>
      </w:r>
      <w:r w:rsidRPr="006715F3">
        <w:rPr>
          <w:rFonts w:eastAsia="Times New Roman" w:cs="Times New Roman"/>
          <w:b/>
          <w:bCs/>
          <w:rtl/>
          <w:lang w:eastAsia="de-DE"/>
        </w:rPr>
        <w:t>עֹשֶׂה</w:t>
      </w:r>
      <w:r w:rsidRPr="006715F3">
        <w:rPr>
          <w:rFonts w:eastAsia="Times New Roman" w:cs="Times New Roman"/>
          <w:rtl/>
          <w:lang w:eastAsia="de-DE"/>
        </w:rPr>
        <w:t xml:space="preserve"> </w:t>
      </w:r>
      <w:r w:rsidRPr="006715F3">
        <w:rPr>
          <w:rFonts w:eastAsia="Times New Roman" w:cs="Times New Roman"/>
          <w:lang w:eastAsia="de-DE"/>
        </w:rPr>
        <w:t xml:space="preserve">ist Qal-Partizip maskulin Singular von </w:t>
      </w:r>
      <w:r w:rsidRPr="006715F3">
        <w:rPr>
          <w:rFonts w:eastAsia="Times New Roman" w:cs="Times New Roman"/>
          <w:b/>
          <w:bCs/>
          <w:rtl/>
          <w:lang w:eastAsia="de-DE"/>
        </w:rPr>
        <w:t>עשׂה</w:t>
      </w:r>
      <w:r w:rsidRPr="006715F3">
        <w:rPr>
          <w:rFonts w:eastAsia="Times New Roman" w:cs="Times New Roman"/>
          <w:rtl/>
          <w:lang w:eastAsia="de-DE"/>
        </w:rPr>
        <w:t xml:space="preserve"> </w:t>
      </w:r>
      <w:r w:rsidRPr="006715F3">
        <w:rPr>
          <w:rFonts w:eastAsia="Times New Roman" w:cs="Times New Roman"/>
          <w:lang w:eastAsia="de-DE"/>
        </w:rPr>
        <w:t xml:space="preserve">(„tun, machen"), </w:t>
      </w:r>
      <w:r w:rsidRPr="006715F3">
        <w:rPr>
          <w:rFonts w:eastAsia="Times New Roman" w:cs="Times New Roman"/>
          <w:b/>
          <w:bCs/>
          <w:rtl/>
          <w:lang w:eastAsia="de-DE"/>
        </w:rPr>
        <w:t>חָיִל</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von </w:t>
      </w:r>
      <w:r w:rsidRPr="006715F3">
        <w:rPr>
          <w:rFonts w:eastAsia="Times New Roman" w:cs="Times New Roman"/>
          <w:b/>
          <w:bCs/>
          <w:rtl/>
          <w:lang w:eastAsia="de-DE"/>
        </w:rPr>
        <w:t>חַיִל</w:t>
      </w:r>
      <w:r w:rsidRPr="006715F3">
        <w:rPr>
          <w:rFonts w:eastAsia="Times New Roman" w:cs="Times New Roman"/>
          <w:rtl/>
          <w:lang w:eastAsia="de-DE"/>
        </w:rPr>
        <w:t xml:space="preserve"> </w:t>
      </w:r>
      <w:r w:rsidRPr="006715F3">
        <w:rPr>
          <w:rFonts w:eastAsia="Times New Roman" w:cs="Times New Roman"/>
          <w:lang w:eastAsia="de-DE"/>
        </w:rPr>
        <w:t xml:space="preserve">(„Kraft, Macht, Tapferkeit, Heer"). Die Phrase </w:t>
      </w:r>
      <w:r w:rsidRPr="006715F3">
        <w:rPr>
          <w:rFonts w:eastAsia="Times New Roman" w:cs="Times New Roman"/>
          <w:b/>
          <w:bCs/>
          <w:rtl/>
          <w:lang w:eastAsia="de-DE"/>
        </w:rPr>
        <w:t>עֹשֶׂה חָיִל</w:t>
      </w:r>
      <w:r w:rsidRPr="006715F3">
        <w:rPr>
          <w:rFonts w:eastAsia="Times New Roman" w:cs="Times New Roman"/>
          <w:rtl/>
          <w:lang w:eastAsia="de-DE"/>
        </w:rPr>
        <w:t xml:space="preserve"> </w:t>
      </w:r>
      <w:r w:rsidRPr="006715F3">
        <w:rPr>
          <w:rFonts w:eastAsia="Times New Roman" w:cs="Times New Roman"/>
          <w:lang w:eastAsia="de-DE"/>
        </w:rPr>
        <w:t>ist idiomatisch und bedeutet „Macht ausüben, tapfer handeln, erfolgreich sein". Die Partizipialkonstruktion drückt eine andauernde oder charakteristische Handlung aus.</w:t>
      </w:r>
    </w:p>
    <w:p w14:paraId="0D1AD8D2" w14:textId="0DA798C6"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w:t>
      </w:r>
      <w:r w:rsidR="00CD2614">
        <w:t>fügt „Ἠσαὺ" (Esau) hinzu: „καὶ ἔσται κληρονομία Ἠσαὺ ὁ ἐχθρὸς αὐτοῦ" (und Esau wird ein Besitz sein, sein Feind), was im MT nicht erscheint.</w:t>
      </w:r>
    </w:p>
    <w:p w14:paraId="59FCAB42"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lastRenderedPageBreak/>
        <w:t xml:space="preserve">Die Satzstruktur zeigt zwei parallele Nominalsätze mit </w:t>
      </w:r>
      <w:r w:rsidRPr="006715F3">
        <w:rPr>
          <w:rFonts w:eastAsia="Times New Roman" w:cs="Times New Roman"/>
          <w:b/>
          <w:bCs/>
          <w:rtl/>
          <w:lang w:eastAsia="de-DE"/>
        </w:rPr>
        <w:t>הָיָה</w:t>
      </w:r>
      <w:r w:rsidRPr="006715F3">
        <w:rPr>
          <w:rFonts w:eastAsia="Times New Roman" w:cs="Times New Roman"/>
          <w:rtl/>
          <w:lang w:eastAsia="de-DE"/>
        </w:rPr>
        <w:t xml:space="preserve"> </w:t>
      </w:r>
      <w:r w:rsidRPr="006715F3">
        <w:rPr>
          <w:rFonts w:eastAsia="Times New Roman" w:cs="Times New Roman"/>
          <w:lang w:eastAsia="de-DE"/>
        </w:rPr>
        <w:t>als Kopula (Edom/Seir wird Besitz sein), gefolgt von einem kontrastiven Nominalsatz mit Partizip (Israel handelt machtvoll).</w:t>
      </w:r>
    </w:p>
    <w:p w14:paraId="4D42DAF1"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prophezeit die Unterwerfung Edoms und Seirs unter Israel und kontrastiert deren kommende Niederlage mit Israels machtvollen Auftreten, was historisch teilweise unter David erfüllt wurde.</w:t>
      </w:r>
    </w:p>
    <w:p w14:paraId="18D632D5"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24,19</w:t>
      </w:r>
    </w:p>
    <w:p w14:paraId="6C68E2B4"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וְיֵ֖רְדְּ מִֽיַּעֲקֹ֑ב וְהֶֽאֱבִ֥יד שָׂרִ֖יד מֵעִֽיר׃</w:t>
      </w:r>
    </w:p>
    <w:p w14:paraId="0ECDFE9E"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einer aus Ja'akov wird herrschen und wird vernichten, was übrig ist aus der Stadt.</w:t>
      </w:r>
    </w:p>
    <w:p w14:paraId="0FADA42E"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3B60E805">
          <v:rect id="_x0000_i1844" style="width:0;height:1.5pt" o:hralign="center" o:hrstd="t" o:hr="t" fillcolor="#a0a0a0" stroked="f"/>
        </w:pict>
      </w:r>
    </w:p>
    <w:p w14:paraId="38990EB0" w14:textId="1B3D531C" w:rsidR="006715F3" w:rsidRPr="006715F3" w:rsidRDefault="006715F3" w:rsidP="00C0709A">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וְיֵרְדְּ מִיַּעֲקֹב</w:t>
      </w:r>
      <w:r w:rsidRPr="006715F3">
        <w:rPr>
          <w:rFonts w:eastAsia="Times New Roman" w:cs="Times New Roman"/>
          <w:lang w:eastAsia="de-DE"/>
        </w:rPr>
        <w:t xml:space="preserve">, wobei </w:t>
      </w:r>
      <w:r w:rsidRPr="006715F3">
        <w:rPr>
          <w:rFonts w:eastAsia="Times New Roman" w:cs="Times New Roman"/>
          <w:b/>
          <w:bCs/>
          <w:rtl/>
          <w:lang w:eastAsia="de-DE"/>
        </w:rPr>
        <w:t>וְיֵרְדְּ</w:t>
      </w:r>
      <w:r w:rsidRPr="006715F3">
        <w:rPr>
          <w:rFonts w:eastAsia="Times New Roman" w:cs="Times New Roman"/>
          <w:rtl/>
          <w:lang w:eastAsia="de-DE"/>
        </w:rPr>
        <w:t xml:space="preserve"> </w:t>
      </w:r>
      <w:r w:rsidRPr="006715F3">
        <w:rPr>
          <w:rFonts w:eastAsia="Times New Roman" w:cs="Times New Roman"/>
          <w:lang w:eastAsia="de-DE"/>
        </w:rPr>
        <w:t xml:space="preserve">Qal Perfekt (oder Imperfekt mit Waw consecutivum, hier wohl prophetisches Perfekt) 3. Person maskulin Singular von </w:t>
      </w:r>
      <w:r w:rsidRPr="006715F3">
        <w:rPr>
          <w:rFonts w:eastAsia="Times New Roman" w:cs="Times New Roman"/>
          <w:b/>
          <w:bCs/>
          <w:rtl/>
          <w:lang w:eastAsia="de-DE"/>
        </w:rPr>
        <w:t>רדה</w:t>
      </w:r>
      <w:r w:rsidRPr="006715F3">
        <w:rPr>
          <w:rFonts w:eastAsia="Times New Roman" w:cs="Times New Roman"/>
          <w:rtl/>
          <w:lang w:eastAsia="de-DE"/>
        </w:rPr>
        <w:t xml:space="preserve"> </w:t>
      </w:r>
      <w:r w:rsidRPr="006715F3">
        <w:rPr>
          <w:rFonts w:eastAsia="Times New Roman" w:cs="Times New Roman"/>
          <w:lang w:eastAsia="de-DE"/>
        </w:rPr>
        <w:t xml:space="preserve">(„herrschen, unterwerfen") ist. </w:t>
      </w:r>
      <w:r w:rsidRPr="006715F3">
        <w:rPr>
          <w:rFonts w:eastAsia="Times New Roman" w:cs="Times New Roman"/>
          <w:b/>
          <w:bCs/>
          <w:rtl/>
          <w:lang w:eastAsia="de-DE"/>
        </w:rPr>
        <w:t>מִיַּעֲקֹב</w:t>
      </w:r>
      <w:r w:rsidRPr="006715F3">
        <w:rPr>
          <w:rFonts w:eastAsia="Times New Roman" w:cs="Times New Roman"/>
          <w:rtl/>
          <w:lang w:eastAsia="de-DE"/>
        </w:rPr>
        <w:t xml:space="preserve"> </w:t>
      </w:r>
      <w:r w:rsidRPr="006715F3">
        <w:rPr>
          <w:rFonts w:eastAsia="Times New Roman" w:cs="Times New Roman"/>
          <w:lang w:eastAsia="de-DE"/>
        </w:rPr>
        <w:t xml:space="preserve">(Präposition </w:t>
      </w:r>
      <w:r w:rsidRPr="006715F3">
        <w:rPr>
          <w:rFonts w:eastAsia="Times New Roman" w:cs="Times New Roman"/>
          <w:b/>
          <w:bCs/>
          <w:rtl/>
          <w:lang w:eastAsia="de-DE"/>
        </w:rPr>
        <w:t>מִן</w:t>
      </w:r>
      <w:r w:rsidRPr="006715F3">
        <w:rPr>
          <w:rFonts w:eastAsia="Times New Roman" w:cs="Times New Roman"/>
          <w:rtl/>
          <w:lang w:eastAsia="de-DE"/>
        </w:rPr>
        <w:t xml:space="preserve"> </w:t>
      </w:r>
      <w:r w:rsidRPr="006715F3">
        <w:rPr>
          <w:rFonts w:eastAsia="Times New Roman" w:cs="Times New Roman"/>
          <w:lang w:eastAsia="de-DE"/>
        </w:rPr>
        <w:t xml:space="preserve">mit </w:t>
      </w:r>
      <w:r w:rsidRPr="006715F3">
        <w:rPr>
          <w:rFonts w:eastAsia="Times New Roman" w:cs="Times New Roman"/>
          <w:b/>
          <w:bCs/>
          <w:rtl/>
          <w:lang w:eastAsia="de-DE"/>
        </w:rPr>
        <w:t>יַעֲקֹב</w:t>
      </w:r>
      <w:r w:rsidRPr="006715F3">
        <w:rPr>
          <w:rFonts w:eastAsia="Times New Roman" w:cs="Times New Roman"/>
          <w:lang w:eastAsia="de-DE"/>
        </w:rPr>
        <w:t xml:space="preserve">) bedeutet „aus Jakob", wobei Jakob wieder für Israel steht. Das Verb beschreibt die Ausübung von Herrschaft. </w:t>
      </w:r>
      <w:r w:rsidRPr="006715F3">
        <w:rPr>
          <w:rFonts w:eastAsia="Times New Roman" w:cs="Times New Roman"/>
          <w:b/>
          <w:bCs/>
          <w:rtl/>
          <w:lang w:eastAsia="de-DE"/>
        </w:rPr>
        <w:t>וְהֶאֱבִיד שָׂרִיד מֵעִיר</w:t>
      </w:r>
      <w:r w:rsidRPr="006715F3">
        <w:rPr>
          <w:rFonts w:eastAsia="Times New Roman" w:cs="Times New Roman"/>
          <w:rtl/>
          <w:lang w:eastAsia="de-DE"/>
        </w:rPr>
        <w:t xml:space="preserve"> </w:t>
      </w:r>
      <w:r w:rsidRPr="006715F3">
        <w:rPr>
          <w:rFonts w:eastAsia="Times New Roman" w:cs="Times New Roman"/>
          <w:lang w:eastAsia="de-DE"/>
        </w:rPr>
        <w:t xml:space="preserve">ist die Fortsetzung: </w:t>
      </w:r>
      <w:r w:rsidRPr="006715F3">
        <w:rPr>
          <w:rFonts w:eastAsia="Times New Roman" w:cs="Times New Roman"/>
          <w:b/>
          <w:bCs/>
          <w:rtl/>
          <w:lang w:eastAsia="de-DE"/>
        </w:rPr>
        <w:t>וְהֶאֱבִיד</w:t>
      </w:r>
      <w:r w:rsidRPr="006715F3">
        <w:rPr>
          <w:rFonts w:eastAsia="Times New Roman" w:cs="Times New Roman"/>
          <w:rtl/>
          <w:lang w:eastAsia="de-DE"/>
        </w:rPr>
        <w:t xml:space="preserve"> </w:t>
      </w:r>
      <w:r w:rsidRPr="006715F3">
        <w:rPr>
          <w:rFonts w:eastAsia="Times New Roman" w:cs="Times New Roman"/>
          <w:lang w:eastAsia="de-DE"/>
        </w:rPr>
        <w:t xml:space="preserve">ist Hiphil Perfekt (prophetisches Perfekt) 3. Person maskulin Singular von </w:t>
      </w:r>
      <w:r w:rsidRPr="006715F3">
        <w:rPr>
          <w:rFonts w:eastAsia="Times New Roman" w:cs="Times New Roman"/>
          <w:b/>
          <w:bCs/>
          <w:rtl/>
          <w:lang w:eastAsia="de-DE"/>
        </w:rPr>
        <w:t>אבד</w:t>
      </w:r>
      <w:r w:rsidRPr="006715F3">
        <w:rPr>
          <w:rFonts w:eastAsia="Times New Roman" w:cs="Times New Roman"/>
          <w:rtl/>
          <w:lang w:eastAsia="de-DE"/>
        </w:rPr>
        <w:t xml:space="preserve"> </w:t>
      </w:r>
      <w:r w:rsidRPr="006715F3">
        <w:rPr>
          <w:rFonts w:eastAsia="Times New Roman" w:cs="Times New Roman"/>
          <w:lang w:eastAsia="de-DE"/>
        </w:rPr>
        <w:t xml:space="preserve">(„zugrunde gehen"), im Hiphil „zugrunde richten, vernichten". </w:t>
      </w:r>
      <w:r w:rsidRPr="006715F3">
        <w:rPr>
          <w:rFonts w:eastAsia="Times New Roman" w:cs="Times New Roman"/>
          <w:b/>
          <w:bCs/>
          <w:rtl/>
          <w:lang w:eastAsia="de-DE"/>
        </w:rPr>
        <w:t>שָׂרִיד</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von </w:t>
      </w:r>
      <w:r w:rsidRPr="006715F3">
        <w:rPr>
          <w:rFonts w:eastAsia="Times New Roman" w:cs="Times New Roman"/>
          <w:b/>
          <w:bCs/>
          <w:rtl/>
          <w:lang w:eastAsia="de-DE"/>
        </w:rPr>
        <w:t>שָׂרִיד</w:t>
      </w:r>
      <w:r w:rsidRPr="006715F3">
        <w:rPr>
          <w:rFonts w:eastAsia="Times New Roman" w:cs="Times New Roman"/>
          <w:rtl/>
          <w:lang w:eastAsia="de-DE"/>
        </w:rPr>
        <w:t xml:space="preserve"> </w:t>
      </w:r>
      <w:r w:rsidRPr="006715F3">
        <w:rPr>
          <w:rFonts w:eastAsia="Times New Roman" w:cs="Times New Roman"/>
          <w:lang w:eastAsia="de-DE"/>
        </w:rPr>
        <w:t xml:space="preserve">(„Überrest, Überlebender"), </w:t>
      </w:r>
      <w:r w:rsidRPr="006715F3">
        <w:rPr>
          <w:rFonts w:eastAsia="Times New Roman" w:cs="Times New Roman"/>
          <w:b/>
          <w:bCs/>
          <w:rtl/>
          <w:lang w:eastAsia="de-DE"/>
        </w:rPr>
        <w:t>מֵעִיר</w:t>
      </w:r>
      <w:r w:rsidRPr="006715F3">
        <w:rPr>
          <w:rFonts w:eastAsia="Times New Roman" w:cs="Times New Roman"/>
          <w:rtl/>
          <w:lang w:eastAsia="de-DE"/>
        </w:rPr>
        <w:t xml:space="preserve"> </w:t>
      </w:r>
      <w:r w:rsidRPr="006715F3">
        <w:rPr>
          <w:rFonts w:eastAsia="Times New Roman" w:cs="Times New Roman"/>
          <w:lang w:eastAsia="de-DE"/>
        </w:rPr>
        <w:t xml:space="preserve">(Präposition </w:t>
      </w:r>
      <w:r w:rsidRPr="006715F3">
        <w:rPr>
          <w:rFonts w:eastAsia="Times New Roman" w:cs="Times New Roman"/>
          <w:b/>
          <w:bCs/>
          <w:rtl/>
          <w:lang w:eastAsia="de-DE"/>
        </w:rPr>
        <w:t>מִן</w:t>
      </w:r>
      <w:r w:rsidRPr="006715F3">
        <w:rPr>
          <w:rFonts w:eastAsia="Times New Roman" w:cs="Times New Roman"/>
          <w:rtl/>
          <w:lang w:eastAsia="de-DE"/>
        </w:rPr>
        <w:t xml:space="preserve"> </w:t>
      </w:r>
      <w:r w:rsidRPr="006715F3">
        <w:rPr>
          <w:rFonts w:eastAsia="Times New Roman" w:cs="Times New Roman"/>
          <w:lang w:eastAsia="de-DE"/>
        </w:rPr>
        <w:t xml:space="preserve">mit </w:t>
      </w:r>
      <w:r w:rsidRPr="006715F3">
        <w:rPr>
          <w:rFonts w:eastAsia="Times New Roman" w:cs="Times New Roman"/>
          <w:b/>
          <w:bCs/>
          <w:rtl/>
          <w:lang w:eastAsia="de-DE"/>
        </w:rPr>
        <w:t>עִיר</w:t>
      </w:r>
      <w:r w:rsidRPr="006715F3">
        <w:rPr>
          <w:rFonts w:eastAsia="Times New Roman" w:cs="Times New Roman"/>
          <w:rtl/>
          <w:lang w:eastAsia="de-DE"/>
        </w:rPr>
        <w:t xml:space="preserve"> </w:t>
      </w:r>
      <w:r w:rsidRPr="006715F3">
        <w:rPr>
          <w:rFonts w:eastAsia="Times New Roman" w:cs="Times New Roman"/>
          <w:lang w:eastAsia="de-DE"/>
        </w:rPr>
        <w:t>„Stadt") bezeichnet die Herkunft. Die Stadt bezieht sich wahrscheinlich auf eine edomitische oder moabitische Stadt.</w:t>
      </w:r>
    </w:p>
    <w:p w14:paraId="62D536AC"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zwei koordinierte Verbalsätze mit prophetischem Perfekt, die beide denselben Herrscher aus Jakob als Subjekt haben.</w:t>
      </w:r>
    </w:p>
    <w:p w14:paraId="289F624A"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führt die Prophezeiung fort und betont, dass der kommende Herrscher aus Jakob nicht nur herrschen, sondern auch jeden Überrest der feindlichen Städte vernichten wird, was die Totalität des Sieges unterstreicht.</w:t>
      </w:r>
    </w:p>
    <w:p w14:paraId="058A89C0"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24,20</w:t>
      </w:r>
    </w:p>
    <w:p w14:paraId="2ED34E90"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וַיַּרְא֙ אֶת־עֲמָלֵ֔ק וַיִּשָּׂ֥א מְשָׁלֹ֖ו וַיֹּאמַ֑ר רֵאשִׁ֤ית גּוֹיִם֙ עֲמָלֵ֔ק וְאַחֲרִיתוֹ֖ עֲדֵ֥י אֹבֵֽד׃</w:t>
      </w:r>
    </w:p>
    <w:p w14:paraId="7B79AC8C"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er sah Amalek und hob seinen Spruch an und sprach: „Erster der Nationen war Amalek, aber sein Ende führt zum Untergang."</w:t>
      </w:r>
    </w:p>
    <w:p w14:paraId="05DD6695"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0FB1C99B">
          <v:rect id="_x0000_i1845" style="width:0;height:1.5pt" o:hralign="center" o:hrstd="t" o:hr="t" fillcolor="#a0a0a0" stroked="f"/>
        </w:pict>
      </w:r>
    </w:p>
    <w:p w14:paraId="19B50F03" w14:textId="255FD70F"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וַיַּרְא אֶת־עֲמָלֵק</w:t>
      </w:r>
      <w:r w:rsidRPr="006715F3">
        <w:rPr>
          <w:rFonts w:eastAsia="Times New Roman" w:cs="Times New Roman"/>
          <w:lang w:eastAsia="de-DE"/>
        </w:rPr>
        <w:t xml:space="preserve">, der narrativen Einleitung. </w:t>
      </w:r>
      <w:r w:rsidRPr="006715F3">
        <w:rPr>
          <w:rFonts w:eastAsia="Times New Roman" w:cs="Times New Roman"/>
          <w:b/>
          <w:bCs/>
          <w:rtl/>
          <w:lang w:eastAsia="de-DE"/>
        </w:rPr>
        <w:t>וַיַּרְא</w:t>
      </w:r>
      <w:r w:rsidRPr="006715F3">
        <w:rPr>
          <w:rFonts w:eastAsia="Times New Roman" w:cs="Times New Roman"/>
          <w:rtl/>
          <w:lang w:eastAsia="de-DE"/>
        </w:rPr>
        <w:t xml:space="preserve"> </w:t>
      </w:r>
      <w:r w:rsidRPr="006715F3">
        <w:rPr>
          <w:rFonts w:eastAsia="Times New Roman" w:cs="Times New Roman"/>
          <w:lang w:eastAsia="de-DE"/>
        </w:rPr>
        <w:t xml:space="preserve">ist Qal Wayyiqtol 3. Person maskulin Singular von </w:t>
      </w:r>
      <w:r w:rsidRPr="006715F3">
        <w:rPr>
          <w:rFonts w:eastAsia="Times New Roman" w:cs="Times New Roman"/>
          <w:b/>
          <w:bCs/>
          <w:rtl/>
          <w:lang w:eastAsia="de-DE"/>
        </w:rPr>
        <w:t>ראה</w:t>
      </w:r>
      <w:r w:rsidRPr="006715F3">
        <w:rPr>
          <w:rFonts w:eastAsia="Times New Roman" w:cs="Times New Roman"/>
          <w:rtl/>
          <w:lang w:eastAsia="de-DE"/>
        </w:rPr>
        <w:t xml:space="preserve"> </w:t>
      </w:r>
      <w:r w:rsidRPr="006715F3">
        <w:rPr>
          <w:rFonts w:eastAsia="Times New Roman" w:cs="Times New Roman"/>
          <w:lang w:eastAsia="de-DE"/>
        </w:rPr>
        <w:t xml:space="preserve">(„sehen"), </w:t>
      </w:r>
      <w:r w:rsidRPr="006715F3">
        <w:rPr>
          <w:rFonts w:eastAsia="Times New Roman" w:cs="Times New Roman"/>
          <w:b/>
          <w:bCs/>
          <w:rtl/>
          <w:lang w:eastAsia="de-DE"/>
        </w:rPr>
        <w:t>אֶת־עֲמָלֵק</w:t>
      </w:r>
      <w:r w:rsidRPr="006715F3">
        <w:rPr>
          <w:rFonts w:eastAsia="Times New Roman" w:cs="Times New Roman"/>
          <w:rtl/>
          <w:lang w:eastAsia="de-DE"/>
        </w:rPr>
        <w:t xml:space="preserve"> </w:t>
      </w:r>
      <w:r w:rsidRPr="006715F3">
        <w:rPr>
          <w:rFonts w:eastAsia="Times New Roman" w:cs="Times New Roman"/>
          <w:lang w:eastAsia="de-DE"/>
        </w:rPr>
        <w:t xml:space="preserve">(Akkusativpartikel mit dem Völkernamen </w:t>
      </w:r>
      <w:r w:rsidRPr="006715F3">
        <w:rPr>
          <w:rFonts w:eastAsia="Times New Roman" w:cs="Times New Roman"/>
          <w:b/>
          <w:bCs/>
          <w:rtl/>
          <w:lang w:eastAsia="de-DE"/>
        </w:rPr>
        <w:t>עֲמָלֵק</w:t>
      </w:r>
      <w:r w:rsidRPr="006715F3">
        <w:rPr>
          <w:rFonts w:eastAsia="Times New Roman" w:cs="Times New Roman"/>
          <w:rtl/>
          <w:lang w:eastAsia="de-DE"/>
        </w:rPr>
        <w:t xml:space="preserve"> </w:t>
      </w:r>
      <w:r w:rsidRPr="006715F3">
        <w:rPr>
          <w:rFonts w:eastAsia="Times New Roman" w:cs="Times New Roman"/>
          <w:lang w:eastAsia="de-DE"/>
        </w:rPr>
        <w:t xml:space="preserve">„Amalek") bezeichnet das Objekt der Vision. Amalek war ein erbitterter Feind Israels seit der Wüstenwanderung. </w:t>
      </w:r>
      <w:r w:rsidRPr="006715F3">
        <w:rPr>
          <w:rFonts w:eastAsia="Times New Roman" w:cs="Times New Roman"/>
          <w:b/>
          <w:bCs/>
          <w:rtl/>
          <w:lang w:eastAsia="de-DE"/>
        </w:rPr>
        <w:t>וַיִּשָּׂא מְשָׁלוֹ וַיֹּאמַר</w:t>
      </w:r>
      <w:r w:rsidRPr="006715F3">
        <w:rPr>
          <w:rFonts w:eastAsia="Times New Roman" w:cs="Times New Roman"/>
          <w:rtl/>
          <w:lang w:eastAsia="de-DE"/>
        </w:rPr>
        <w:t xml:space="preserve"> </w:t>
      </w:r>
      <w:r w:rsidRPr="006715F3">
        <w:rPr>
          <w:rFonts w:eastAsia="Times New Roman" w:cs="Times New Roman"/>
          <w:lang w:eastAsia="de-DE"/>
        </w:rPr>
        <w:t>ist die Standard-</w:t>
      </w:r>
      <w:r w:rsidR="00B513FF">
        <w:rPr>
          <w:rFonts w:eastAsia="Times New Roman" w:cs="Times New Roman"/>
          <w:lang w:eastAsia="de-DE"/>
        </w:rPr>
        <w:t>Weissagungsformel</w:t>
      </w:r>
      <w:r w:rsidRPr="006715F3">
        <w:rPr>
          <w:rFonts w:eastAsia="Times New Roman" w:cs="Times New Roman"/>
          <w:lang w:eastAsia="de-DE"/>
        </w:rPr>
        <w:t xml:space="preserve"> (wie in V. 15).</w:t>
      </w:r>
    </w:p>
    <w:p w14:paraId="520DB85C" w14:textId="1C4D3C08"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lastRenderedPageBreak/>
        <w:t>רֵאשִׁית גּוֹיִם עֲמָלֵק</w:t>
      </w:r>
      <w:r w:rsidRPr="006715F3">
        <w:rPr>
          <w:rFonts w:eastAsia="Times New Roman" w:cs="Times New Roman"/>
          <w:rtl/>
          <w:lang w:eastAsia="de-DE"/>
        </w:rPr>
        <w:t xml:space="preserve"> </w:t>
      </w:r>
      <w:r w:rsidRPr="006715F3">
        <w:rPr>
          <w:rFonts w:eastAsia="Times New Roman" w:cs="Times New Roman"/>
          <w:lang w:eastAsia="de-DE"/>
        </w:rPr>
        <w:t xml:space="preserve">ist ein Nominalsatz. </w:t>
      </w:r>
      <w:r w:rsidRPr="006715F3">
        <w:rPr>
          <w:rFonts w:eastAsia="Times New Roman" w:cs="Times New Roman"/>
          <w:b/>
          <w:bCs/>
          <w:rtl/>
          <w:lang w:eastAsia="de-DE"/>
        </w:rPr>
        <w:t>רֵאשִׁית</w:t>
      </w:r>
      <w:r w:rsidRPr="006715F3">
        <w:rPr>
          <w:rFonts w:eastAsia="Times New Roman" w:cs="Times New Roman"/>
          <w:rtl/>
          <w:lang w:eastAsia="de-DE"/>
        </w:rPr>
        <w:t xml:space="preserve"> </w:t>
      </w:r>
      <w:r w:rsidRPr="006715F3">
        <w:rPr>
          <w:rFonts w:eastAsia="Times New Roman" w:cs="Times New Roman"/>
          <w:lang w:eastAsia="de-DE"/>
        </w:rPr>
        <w:t xml:space="preserve">ist feminin Singular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רֵאשִׁית</w:t>
      </w:r>
      <w:r w:rsidRPr="006715F3">
        <w:rPr>
          <w:rFonts w:eastAsia="Times New Roman" w:cs="Times New Roman"/>
          <w:rtl/>
          <w:lang w:eastAsia="de-DE"/>
        </w:rPr>
        <w:t xml:space="preserve"> </w:t>
      </w:r>
      <w:r w:rsidRPr="006715F3">
        <w:rPr>
          <w:rFonts w:eastAsia="Times New Roman" w:cs="Times New Roman"/>
          <w:lang w:eastAsia="de-DE"/>
        </w:rPr>
        <w:t xml:space="preserve">(„Anfang, Erster, Erstling"), </w:t>
      </w:r>
      <w:r w:rsidRPr="006715F3">
        <w:rPr>
          <w:rFonts w:eastAsia="Times New Roman" w:cs="Times New Roman"/>
          <w:b/>
          <w:bCs/>
          <w:rtl/>
          <w:lang w:eastAsia="de-DE"/>
        </w:rPr>
        <w:t>גּוֹיִם</w:t>
      </w:r>
      <w:r w:rsidRPr="006715F3">
        <w:rPr>
          <w:rFonts w:eastAsia="Times New Roman" w:cs="Times New Roman"/>
          <w:rtl/>
          <w:lang w:eastAsia="de-DE"/>
        </w:rPr>
        <w:t xml:space="preserve"> </w:t>
      </w:r>
      <w:r w:rsidRPr="006715F3">
        <w:rPr>
          <w:rFonts w:eastAsia="Times New Roman" w:cs="Times New Roman"/>
          <w:lang w:eastAsia="de-DE"/>
        </w:rPr>
        <w:t xml:space="preserve">ist der Genitiv Plural von </w:t>
      </w:r>
      <w:r w:rsidRPr="006715F3">
        <w:rPr>
          <w:rFonts w:eastAsia="Times New Roman" w:cs="Times New Roman"/>
          <w:b/>
          <w:bCs/>
          <w:rtl/>
          <w:lang w:eastAsia="de-DE"/>
        </w:rPr>
        <w:t>גּוֹי</w:t>
      </w:r>
      <w:r w:rsidRPr="006715F3">
        <w:rPr>
          <w:rFonts w:eastAsia="Times New Roman" w:cs="Times New Roman"/>
          <w:rtl/>
          <w:lang w:eastAsia="de-DE"/>
        </w:rPr>
        <w:t xml:space="preserve"> </w:t>
      </w:r>
      <w:r w:rsidRPr="006715F3">
        <w:rPr>
          <w:rFonts w:eastAsia="Times New Roman" w:cs="Times New Roman"/>
          <w:lang w:eastAsia="de-DE"/>
        </w:rPr>
        <w:t xml:space="preserve">(„Nation, Volk"), </w:t>
      </w:r>
      <w:r w:rsidRPr="006715F3">
        <w:rPr>
          <w:rFonts w:eastAsia="Times New Roman" w:cs="Times New Roman"/>
          <w:b/>
          <w:bCs/>
          <w:rtl/>
          <w:lang w:eastAsia="de-DE"/>
        </w:rPr>
        <w:t>עֲמָלֵק</w:t>
      </w:r>
      <w:r w:rsidRPr="006715F3">
        <w:rPr>
          <w:rFonts w:eastAsia="Times New Roman" w:cs="Times New Roman"/>
          <w:rtl/>
          <w:lang w:eastAsia="de-DE"/>
        </w:rPr>
        <w:t xml:space="preserve"> </w:t>
      </w:r>
      <w:r w:rsidRPr="006715F3">
        <w:rPr>
          <w:rFonts w:eastAsia="Times New Roman" w:cs="Times New Roman"/>
          <w:lang w:eastAsia="de-DE"/>
        </w:rPr>
        <w:t xml:space="preserve">ist das nachgestellte Subjekt. Die Phrase kann bedeuten „der erste/älteste der Nationen" (zeitlich oder im Rang) oder „der Erste, der Israel angriff". </w:t>
      </w:r>
      <w:r w:rsidRPr="006715F3">
        <w:rPr>
          <w:rFonts w:eastAsia="Times New Roman" w:cs="Times New Roman"/>
          <w:b/>
          <w:bCs/>
          <w:rtl/>
          <w:lang w:eastAsia="de-DE"/>
        </w:rPr>
        <w:t>וְאַחֲרִיתוֹ עֲדֵי אֹבֵד</w:t>
      </w:r>
      <w:r w:rsidRPr="006715F3">
        <w:rPr>
          <w:rFonts w:eastAsia="Times New Roman" w:cs="Times New Roman"/>
          <w:rtl/>
          <w:lang w:eastAsia="de-DE"/>
        </w:rPr>
        <w:t xml:space="preserve"> </w:t>
      </w:r>
      <w:r w:rsidRPr="006715F3">
        <w:rPr>
          <w:rFonts w:eastAsia="Times New Roman" w:cs="Times New Roman"/>
          <w:lang w:eastAsia="de-DE"/>
        </w:rPr>
        <w:t xml:space="preserve">bildet den antithetischen Kontrast: </w:t>
      </w:r>
      <w:r w:rsidRPr="006715F3">
        <w:rPr>
          <w:rFonts w:eastAsia="Times New Roman" w:cs="Times New Roman"/>
          <w:b/>
          <w:bCs/>
          <w:rtl/>
          <w:lang w:eastAsia="de-DE"/>
        </w:rPr>
        <w:t>וְאַחֲרִיתוֹ</w:t>
      </w:r>
      <w:r w:rsidRPr="006715F3">
        <w:rPr>
          <w:rFonts w:eastAsia="Times New Roman" w:cs="Times New Roman"/>
          <w:rtl/>
          <w:lang w:eastAsia="de-DE"/>
        </w:rPr>
        <w:t xml:space="preserve"> </w:t>
      </w:r>
      <w:r w:rsidRPr="006715F3">
        <w:rPr>
          <w:rFonts w:eastAsia="Times New Roman" w:cs="Times New Roman"/>
          <w:lang w:eastAsia="de-DE"/>
        </w:rPr>
        <w:t xml:space="preserve">ist feminin Singular von </w:t>
      </w:r>
      <w:r w:rsidRPr="006715F3">
        <w:rPr>
          <w:rFonts w:eastAsia="Times New Roman" w:cs="Times New Roman"/>
          <w:b/>
          <w:bCs/>
          <w:rtl/>
          <w:lang w:eastAsia="de-DE"/>
        </w:rPr>
        <w:t>אַחֲרִית</w:t>
      </w:r>
      <w:r w:rsidRPr="006715F3">
        <w:rPr>
          <w:rFonts w:eastAsia="Times New Roman" w:cs="Times New Roman"/>
          <w:rtl/>
          <w:lang w:eastAsia="de-DE"/>
        </w:rPr>
        <w:t xml:space="preserve"> </w:t>
      </w:r>
      <w:r w:rsidRPr="006715F3">
        <w:rPr>
          <w:rFonts w:eastAsia="Times New Roman" w:cs="Times New Roman"/>
          <w:lang w:eastAsia="de-DE"/>
        </w:rPr>
        <w:t xml:space="preserve">(„Ende, Zukunft") mit Suffix 3. Person maskulin Singular („sein Ende"), </w:t>
      </w:r>
      <w:r w:rsidRPr="006715F3">
        <w:rPr>
          <w:rFonts w:eastAsia="Times New Roman" w:cs="Times New Roman"/>
          <w:b/>
          <w:bCs/>
          <w:rtl/>
          <w:lang w:eastAsia="de-DE"/>
        </w:rPr>
        <w:t>עֲדֵי</w:t>
      </w:r>
      <w:r w:rsidRPr="006715F3">
        <w:rPr>
          <w:rFonts w:eastAsia="Times New Roman" w:cs="Times New Roman"/>
          <w:rtl/>
          <w:lang w:eastAsia="de-DE"/>
        </w:rPr>
        <w:t xml:space="preserve"> </w:t>
      </w:r>
      <w:r w:rsidRPr="006715F3">
        <w:rPr>
          <w:rFonts w:eastAsia="Times New Roman" w:cs="Times New Roman"/>
          <w:lang w:eastAsia="de-DE"/>
        </w:rPr>
        <w:t xml:space="preserve">ist die Präposition </w:t>
      </w:r>
      <w:r w:rsidRPr="006715F3">
        <w:rPr>
          <w:rFonts w:eastAsia="Times New Roman" w:cs="Times New Roman"/>
          <w:b/>
          <w:bCs/>
          <w:rtl/>
          <w:lang w:eastAsia="de-DE"/>
        </w:rPr>
        <w:t>עַד</w:t>
      </w:r>
      <w:r w:rsidRPr="006715F3">
        <w:rPr>
          <w:rFonts w:eastAsia="Times New Roman" w:cs="Times New Roman"/>
          <w:rtl/>
          <w:lang w:eastAsia="de-DE"/>
        </w:rPr>
        <w:t xml:space="preserve"> </w:t>
      </w:r>
      <w:r w:rsidRPr="006715F3">
        <w:rPr>
          <w:rFonts w:eastAsia="Times New Roman" w:cs="Times New Roman"/>
          <w:lang w:eastAsia="de-DE"/>
        </w:rPr>
        <w:t xml:space="preserve">(„bis zu") mit Suffix (archaische Form), </w:t>
      </w:r>
      <w:r w:rsidRPr="006715F3">
        <w:rPr>
          <w:rFonts w:eastAsia="Times New Roman" w:cs="Times New Roman"/>
          <w:b/>
          <w:bCs/>
          <w:rtl/>
          <w:lang w:eastAsia="de-DE"/>
        </w:rPr>
        <w:t>אֹבֵד</w:t>
      </w:r>
      <w:r w:rsidRPr="006715F3">
        <w:rPr>
          <w:rFonts w:eastAsia="Times New Roman" w:cs="Times New Roman"/>
          <w:rtl/>
          <w:lang w:eastAsia="de-DE"/>
        </w:rPr>
        <w:t xml:space="preserve"> </w:t>
      </w:r>
      <w:r w:rsidRPr="006715F3">
        <w:rPr>
          <w:rFonts w:eastAsia="Times New Roman" w:cs="Times New Roman"/>
          <w:lang w:eastAsia="de-DE"/>
        </w:rPr>
        <w:t xml:space="preserve">ist Qal Infinitiv </w:t>
      </w:r>
      <w:r w:rsidR="00E031B3">
        <w:rPr>
          <w:rFonts w:eastAsia="Times New Roman" w:cs="Times New Roman"/>
          <w:lang w:eastAsia="de-DE"/>
        </w:rPr>
        <w:t>Constructus (</w:t>
      </w:r>
      <w:r w:rsidRPr="006715F3">
        <w:rPr>
          <w:rFonts w:eastAsia="Times New Roman" w:cs="Times New Roman"/>
          <w:lang w:eastAsia="de-DE"/>
        </w:rPr>
        <w:t xml:space="preserve">oder Partizip) von </w:t>
      </w:r>
      <w:r w:rsidRPr="006715F3">
        <w:rPr>
          <w:rFonts w:eastAsia="Times New Roman" w:cs="Times New Roman"/>
          <w:b/>
          <w:bCs/>
          <w:rtl/>
          <w:lang w:eastAsia="de-DE"/>
        </w:rPr>
        <w:t>אבד</w:t>
      </w:r>
      <w:r w:rsidRPr="006715F3">
        <w:rPr>
          <w:rFonts w:eastAsia="Times New Roman" w:cs="Times New Roman"/>
          <w:rtl/>
          <w:lang w:eastAsia="de-DE"/>
        </w:rPr>
        <w:t xml:space="preserve"> </w:t>
      </w:r>
      <w:r w:rsidRPr="006715F3">
        <w:rPr>
          <w:rFonts w:eastAsia="Times New Roman" w:cs="Times New Roman"/>
          <w:lang w:eastAsia="de-DE"/>
        </w:rPr>
        <w:t xml:space="preserve">(„zugrunde gehen, Untergang"). Die </w:t>
      </w:r>
      <w:r w:rsidR="00F133EC">
        <w:rPr>
          <w:rFonts w:eastAsia="Times New Roman" w:cs="Times New Roman"/>
          <w:lang w:eastAsia="de-DE"/>
        </w:rPr>
        <w:t>Construct</w:t>
      </w:r>
      <w:r w:rsidRPr="006715F3">
        <w:rPr>
          <w:rFonts w:eastAsia="Times New Roman" w:cs="Times New Roman"/>
          <w:lang w:eastAsia="de-DE"/>
        </w:rPr>
        <w:t>ion bedeutet „sein Ende ist bis zum Untergang" oder „sein Ende führt zur völligen Vernichtung".</w:t>
      </w:r>
    </w:p>
    <w:p w14:paraId="73668C31" w14:textId="10BBDDE1"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w:t>
      </w:r>
      <w:r w:rsidR="00CD2614">
        <w:t>fügt hinzu „καὶ τὸ σπέρμα αὐτῶν ἀπολεῖται" (und ihr Same wird umkommen), was im hebräischen „</w:t>
      </w:r>
      <w:r w:rsidR="00CD2614" w:rsidRPr="00CD2614">
        <w:rPr>
          <w:b/>
          <w:bCs/>
          <w:rtl/>
        </w:rPr>
        <w:t>וְאַחֲרִיתוֹ עֲדֵי אֹבֵד</w:t>
      </w:r>
      <w:r w:rsidR="00CD2614">
        <w:t>" (und sein Ende ist Untergang) präzisiert.</w:t>
      </w:r>
    </w:p>
    <w:p w14:paraId="401D2DC9"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drei narrative Wayyiqtol-Formen als Einleitung, gefolgt von zwei antithetischen Nominalsätzen, die Anfang und Ende Amaleks kontrastieren.</w:t>
      </w:r>
    </w:p>
    <w:p w14:paraId="3A7246C5"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prophezeit das Ende Amaleks: Obwohl Amalek eine prominente Stellung unter den Völkern hatte, ist sein endgültiger Untergang besiegelt, was die göttliche Vergeltung für Amaleks Feindschaft gegen Israel ausdrückt.</w:t>
      </w:r>
    </w:p>
    <w:p w14:paraId="4D11C9BC"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24,21</w:t>
      </w:r>
    </w:p>
    <w:p w14:paraId="3E7506CA"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וַיַּרְא֙ אֶת־הַקֵּינִ֔י וַיִּשָּׂ֥א מְשָׁלֹ֖ו וַיֹּאמַ֑ר אֵיתָן֙ מֽוֹשָׁבֶ֔ךָ וְשִׂ֥ים בַּסֶּ֖לַע קִנֶּֽךָ׃</w:t>
      </w:r>
    </w:p>
    <w:p w14:paraId="2A9256E4"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er sah den Keni und hob seinen Spruch an und sprach: „Fest ist dein Wohnsitz, und gelegt auf den Felsen dein Nest.</w:t>
      </w:r>
    </w:p>
    <w:p w14:paraId="4B1C24B2"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32900538">
          <v:rect id="_x0000_i1846" style="width:0;height:1.5pt" o:hralign="center" o:hrstd="t" o:hr="t" fillcolor="#a0a0a0" stroked="f"/>
        </w:pict>
      </w:r>
    </w:p>
    <w:p w14:paraId="11B89F87" w14:textId="2AC16C0E"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wieder mit </w:t>
      </w:r>
      <w:r w:rsidRPr="006715F3">
        <w:rPr>
          <w:rFonts w:eastAsia="Times New Roman" w:cs="Times New Roman"/>
          <w:b/>
          <w:bCs/>
          <w:rtl/>
          <w:lang w:eastAsia="de-DE"/>
        </w:rPr>
        <w:t>וַיַּרְא אֶת־הַקֵּינִי</w:t>
      </w:r>
      <w:r w:rsidRPr="006715F3">
        <w:rPr>
          <w:rFonts w:eastAsia="Times New Roman" w:cs="Times New Roman"/>
          <w:lang w:eastAsia="de-DE"/>
        </w:rPr>
        <w:t xml:space="preserve">, der narrativen Einleitung. </w:t>
      </w:r>
      <w:r w:rsidRPr="006715F3">
        <w:rPr>
          <w:rFonts w:eastAsia="Times New Roman" w:cs="Times New Roman"/>
          <w:b/>
          <w:bCs/>
          <w:rtl/>
          <w:lang w:eastAsia="de-DE"/>
        </w:rPr>
        <w:t>הַקֵּינִי</w:t>
      </w:r>
      <w:r w:rsidRPr="006715F3">
        <w:rPr>
          <w:rFonts w:eastAsia="Times New Roman" w:cs="Times New Roman"/>
          <w:rtl/>
          <w:lang w:eastAsia="de-DE"/>
        </w:rPr>
        <w:t xml:space="preserve"> </w:t>
      </w:r>
      <w:r w:rsidRPr="006715F3">
        <w:rPr>
          <w:rFonts w:eastAsia="Times New Roman" w:cs="Times New Roman"/>
          <w:lang w:eastAsia="de-DE"/>
        </w:rPr>
        <w:t xml:space="preserve">ist der Gentilname („der Keniter") mit Artikel, ein Nomadenstamm, der freundschaftliche Beziehungen zu Israel hatte. </w:t>
      </w:r>
      <w:r w:rsidRPr="006715F3">
        <w:rPr>
          <w:rFonts w:eastAsia="Times New Roman" w:cs="Times New Roman"/>
          <w:b/>
          <w:bCs/>
          <w:rtl/>
          <w:lang w:eastAsia="de-DE"/>
        </w:rPr>
        <w:t>וַיִּשָּׂא מְשָׁלוֹ וַיֹּאמַר</w:t>
      </w:r>
      <w:r w:rsidRPr="006715F3">
        <w:rPr>
          <w:rFonts w:eastAsia="Times New Roman" w:cs="Times New Roman"/>
          <w:rtl/>
          <w:lang w:eastAsia="de-DE"/>
        </w:rPr>
        <w:t xml:space="preserve"> </w:t>
      </w:r>
      <w:r w:rsidRPr="006715F3">
        <w:rPr>
          <w:rFonts w:eastAsia="Times New Roman" w:cs="Times New Roman"/>
          <w:lang w:eastAsia="de-DE"/>
        </w:rPr>
        <w:t>ist die Standard-</w:t>
      </w:r>
      <w:r w:rsidR="00B513FF">
        <w:rPr>
          <w:rFonts w:eastAsia="Times New Roman" w:cs="Times New Roman"/>
          <w:lang w:eastAsia="de-DE"/>
        </w:rPr>
        <w:t>Weissagung</w:t>
      </w:r>
      <w:r w:rsidRPr="006715F3">
        <w:rPr>
          <w:rFonts w:eastAsia="Times New Roman" w:cs="Times New Roman"/>
          <w:lang w:eastAsia="de-DE"/>
        </w:rPr>
        <w:t xml:space="preserve">formel. </w:t>
      </w:r>
      <w:r w:rsidRPr="006715F3">
        <w:rPr>
          <w:rFonts w:eastAsia="Times New Roman" w:cs="Times New Roman"/>
          <w:b/>
          <w:bCs/>
          <w:rtl/>
          <w:lang w:eastAsia="de-DE"/>
        </w:rPr>
        <w:t>אֵיתָן מוֹשָׁבֶךָ</w:t>
      </w:r>
      <w:r w:rsidRPr="006715F3">
        <w:rPr>
          <w:rFonts w:eastAsia="Times New Roman" w:cs="Times New Roman"/>
          <w:rtl/>
          <w:lang w:eastAsia="de-DE"/>
        </w:rPr>
        <w:t xml:space="preserve"> </w:t>
      </w:r>
      <w:r w:rsidRPr="006715F3">
        <w:rPr>
          <w:rFonts w:eastAsia="Times New Roman" w:cs="Times New Roman"/>
          <w:lang w:eastAsia="de-DE"/>
        </w:rPr>
        <w:t xml:space="preserve">ist ein Nominalsatz: </w:t>
      </w:r>
      <w:r w:rsidRPr="006715F3">
        <w:rPr>
          <w:rFonts w:eastAsia="Times New Roman" w:cs="Times New Roman"/>
          <w:b/>
          <w:bCs/>
          <w:rtl/>
          <w:lang w:eastAsia="de-DE"/>
        </w:rPr>
        <w:t>אֵיתָן</w:t>
      </w:r>
      <w:r w:rsidRPr="006715F3">
        <w:rPr>
          <w:rFonts w:eastAsia="Times New Roman" w:cs="Times New Roman"/>
          <w:rtl/>
          <w:lang w:eastAsia="de-DE"/>
        </w:rPr>
        <w:t xml:space="preserve"> </w:t>
      </w:r>
      <w:r w:rsidRPr="006715F3">
        <w:rPr>
          <w:rFonts w:eastAsia="Times New Roman" w:cs="Times New Roman"/>
          <w:lang w:eastAsia="de-DE"/>
        </w:rPr>
        <w:t xml:space="preserve">ist Adjektiv maskulin Singular von </w:t>
      </w:r>
      <w:r w:rsidRPr="006715F3">
        <w:rPr>
          <w:rFonts w:eastAsia="Times New Roman" w:cs="Times New Roman"/>
          <w:b/>
          <w:bCs/>
          <w:rtl/>
          <w:lang w:eastAsia="de-DE"/>
        </w:rPr>
        <w:t>אֵיתָן</w:t>
      </w:r>
      <w:r w:rsidRPr="006715F3">
        <w:rPr>
          <w:rFonts w:eastAsia="Times New Roman" w:cs="Times New Roman"/>
          <w:rtl/>
          <w:lang w:eastAsia="de-DE"/>
        </w:rPr>
        <w:t xml:space="preserve"> </w:t>
      </w:r>
      <w:r w:rsidRPr="006715F3">
        <w:rPr>
          <w:rFonts w:eastAsia="Times New Roman" w:cs="Times New Roman"/>
          <w:lang w:eastAsia="de-DE"/>
        </w:rPr>
        <w:t xml:space="preserve">(„fest, beständig, stark"), </w:t>
      </w:r>
      <w:r w:rsidRPr="006715F3">
        <w:rPr>
          <w:rFonts w:eastAsia="Times New Roman" w:cs="Times New Roman"/>
          <w:b/>
          <w:bCs/>
          <w:rtl/>
          <w:lang w:eastAsia="de-DE"/>
        </w:rPr>
        <w:t>מוֹשָׁבֶךָ</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von </w:t>
      </w:r>
      <w:r w:rsidRPr="006715F3">
        <w:rPr>
          <w:rFonts w:eastAsia="Times New Roman" w:cs="Times New Roman"/>
          <w:b/>
          <w:bCs/>
          <w:rtl/>
          <w:lang w:eastAsia="de-DE"/>
        </w:rPr>
        <w:t>מוֹשָׁב</w:t>
      </w:r>
      <w:r w:rsidRPr="006715F3">
        <w:rPr>
          <w:rFonts w:eastAsia="Times New Roman" w:cs="Times New Roman"/>
          <w:rtl/>
          <w:lang w:eastAsia="de-DE"/>
        </w:rPr>
        <w:t xml:space="preserve"> </w:t>
      </w:r>
      <w:r w:rsidRPr="006715F3">
        <w:rPr>
          <w:rFonts w:eastAsia="Times New Roman" w:cs="Times New Roman"/>
          <w:lang w:eastAsia="de-DE"/>
        </w:rPr>
        <w:t>(„Wohnsitz, Sitz") mit Suffix 2. Person maskulin Singular („dein Wohnsitz"). Die Formulierung lobt die Sicherheit der Wohnstätte der Keniter.</w:t>
      </w:r>
    </w:p>
    <w:p w14:paraId="3183CFD6" w14:textId="1AAA20BB" w:rsidR="006715F3" w:rsidRPr="006715F3" w:rsidRDefault="006715F3" w:rsidP="00C0709A">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וְשִׂים בַּסֶּלַע קִנֶּךָ</w:t>
      </w:r>
      <w:r w:rsidRPr="006715F3">
        <w:rPr>
          <w:rFonts w:eastAsia="Times New Roman" w:cs="Times New Roman"/>
          <w:rtl/>
          <w:lang w:eastAsia="de-DE"/>
        </w:rPr>
        <w:t xml:space="preserve"> </w:t>
      </w:r>
      <w:r w:rsidRPr="006715F3">
        <w:rPr>
          <w:rFonts w:eastAsia="Times New Roman" w:cs="Times New Roman"/>
          <w:lang w:eastAsia="de-DE"/>
        </w:rPr>
        <w:t xml:space="preserve">ist parallel konstruiert: </w:t>
      </w:r>
      <w:r w:rsidRPr="006715F3">
        <w:rPr>
          <w:rFonts w:eastAsia="Times New Roman" w:cs="Times New Roman"/>
          <w:b/>
          <w:bCs/>
          <w:rtl/>
          <w:lang w:eastAsia="de-DE"/>
        </w:rPr>
        <w:t>וְשִׂים</w:t>
      </w:r>
      <w:r w:rsidRPr="006715F3">
        <w:rPr>
          <w:rFonts w:eastAsia="Times New Roman" w:cs="Times New Roman"/>
          <w:rtl/>
          <w:lang w:eastAsia="de-DE"/>
        </w:rPr>
        <w:t xml:space="preserve"> </w:t>
      </w:r>
      <w:r w:rsidRPr="006715F3">
        <w:rPr>
          <w:rFonts w:eastAsia="Times New Roman" w:cs="Times New Roman"/>
          <w:lang w:eastAsia="de-DE"/>
        </w:rPr>
        <w:t xml:space="preserve">ist Qal Passiv-Partizip maskulin Singular von </w:t>
      </w:r>
      <w:r w:rsidRPr="006715F3">
        <w:rPr>
          <w:rFonts w:eastAsia="Times New Roman" w:cs="Times New Roman"/>
          <w:b/>
          <w:bCs/>
          <w:rtl/>
          <w:lang w:eastAsia="de-DE"/>
        </w:rPr>
        <w:t>שׂים</w:t>
      </w:r>
      <w:r w:rsidRPr="006715F3">
        <w:rPr>
          <w:rFonts w:eastAsia="Times New Roman" w:cs="Times New Roman"/>
          <w:rtl/>
          <w:lang w:eastAsia="de-DE"/>
        </w:rPr>
        <w:t xml:space="preserve"> </w:t>
      </w:r>
      <w:r w:rsidRPr="006715F3">
        <w:rPr>
          <w:rFonts w:eastAsia="Times New Roman" w:cs="Times New Roman"/>
          <w:lang w:eastAsia="de-DE"/>
        </w:rPr>
        <w:t xml:space="preserve">(„setzen, legen"), hier „gelegt". </w:t>
      </w:r>
      <w:r w:rsidRPr="006715F3">
        <w:rPr>
          <w:rFonts w:eastAsia="Times New Roman" w:cs="Times New Roman"/>
          <w:b/>
          <w:bCs/>
          <w:rtl/>
          <w:lang w:eastAsia="de-DE"/>
        </w:rPr>
        <w:t>בַּסֶּלַע</w:t>
      </w:r>
      <w:r w:rsidRPr="006715F3">
        <w:rPr>
          <w:rFonts w:eastAsia="Times New Roman" w:cs="Times New Roman"/>
          <w:rtl/>
          <w:lang w:eastAsia="de-DE"/>
        </w:rPr>
        <w:t xml:space="preserve"> </w:t>
      </w:r>
      <w:r w:rsidRPr="006715F3">
        <w:rPr>
          <w:rFonts w:eastAsia="Times New Roman" w:cs="Times New Roman"/>
          <w:lang w:eastAsia="de-DE"/>
        </w:rPr>
        <w:t xml:space="preserve">(Präposition </w:t>
      </w:r>
      <w:r w:rsidRPr="006715F3">
        <w:rPr>
          <w:rFonts w:eastAsia="Times New Roman" w:cs="Times New Roman"/>
          <w:b/>
          <w:bCs/>
          <w:rtl/>
          <w:lang w:eastAsia="de-DE"/>
        </w:rPr>
        <w:t>בְּ</w:t>
      </w:r>
      <w:r w:rsidRPr="006715F3">
        <w:rPr>
          <w:rFonts w:eastAsia="Times New Roman" w:cs="Times New Roman"/>
          <w:rtl/>
          <w:lang w:eastAsia="de-DE"/>
        </w:rPr>
        <w:t xml:space="preserve"> </w:t>
      </w:r>
      <w:r w:rsidRPr="006715F3">
        <w:rPr>
          <w:rFonts w:eastAsia="Times New Roman" w:cs="Times New Roman"/>
          <w:lang w:eastAsia="de-DE"/>
        </w:rPr>
        <w:t xml:space="preserve">mit </w:t>
      </w:r>
      <w:r w:rsidRPr="006715F3">
        <w:rPr>
          <w:rFonts w:eastAsia="Times New Roman" w:cs="Times New Roman"/>
          <w:b/>
          <w:bCs/>
          <w:rtl/>
          <w:lang w:eastAsia="de-DE"/>
        </w:rPr>
        <w:t>סֶלַע</w:t>
      </w:r>
      <w:r w:rsidRPr="006715F3">
        <w:rPr>
          <w:rFonts w:eastAsia="Times New Roman" w:cs="Times New Roman"/>
          <w:rtl/>
          <w:lang w:eastAsia="de-DE"/>
        </w:rPr>
        <w:t xml:space="preserve"> </w:t>
      </w:r>
      <w:r w:rsidRPr="006715F3">
        <w:rPr>
          <w:rFonts w:eastAsia="Times New Roman" w:cs="Times New Roman"/>
          <w:lang w:eastAsia="de-DE"/>
        </w:rPr>
        <w:t xml:space="preserve">„Fels, Felsen" und Artikel) bezeichnet den Ort, </w:t>
      </w:r>
      <w:r w:rsidRPr="006715F3">
        <w:rPr>
          <w:rFonts w:eastAsia="Times New Roman" w:cs="Times New Roman"/>
          <w:b/>
          <w:bCs/>
          <w:rtl/>
          <w:lang w:eastAsia="de-DE"/>
        </w:rPr>
        <w:t>קִנֶּךָ</w:t>
      </w:r>
      <w:r w:rsidRPr="006715F3">
        <w:rPr>
          <w:rFonts w:eastAsia="Times New Roman" w:cs="Times New Roman"/>
          <w:rtl/>
          <w:lang w:eastAsia="de-DE"/>
        </w:rPr>
        <w:t xml:space="preserve"> </w:t>
      </w:r>
      <w:r w:rsidRPr="006715F3">
        <w:rPr>
          <w:rFonts w:eastAsia="Times New Roman" w:cs="Times New Roman"/>
          <w:lang w:eastAsia="de-DE"/>
        </w:rPr>
        <w:t xml:space="preserve">ist maskuliner Singular von </w:t>
      </w:r>
      <w:r w:rsidRPr="006715F3">
        <w:rPr>
          <w:rFonts w:eastAsia="Times New Roman" w:cs="Times New Roman"/>
          <w:b/>
          <w:bCs/>
          <w:rtl/>
          <w:lang w:eastAsia="de-DE"/>
        </w:rPr>
        <w:t>קֵן</w:t>
      </w:r>
      <w:r w:rsidRPr="006715F3">
        <w:rPr>
          <w:rFonts w:eastAsia="Times New Roman" w:cs="Times New Roman"/>
          <w:rtl/>
          <w:lang w:eastAsia="de-DE"/>
        </w:rPr>
        <w:t xml:space="preserve"> </w:t>
      </w:r>
      <w:r w:rsidRPr="006715F3">
        <w:rPr>
          <w:rFonts w:eastAsia="Times New Roman" w:cs="Times New Roman"/>
          <w:lang w:eastAsia="de-DE"/>
        </w:rPr>
        <w:t xml:space="preserve">(„Nest") mit Suffix 2. Person maskulin Singular („dein Nest"). Die Nest-Metapher spielt auf den Namen </w:t>
      </w:r>
      <w:r w:rsidRPr="006715F3">
        <w:rPr>
          <w:rFonts w:eastAsia="Times New Roman" w:cs="Times New Roman"/>
          <w:b/>
          <w:bCs/>
          <w:rtl/>
          <w:lang w:eastAsia="de-DE"/>
        </w:rPr>
        <w:t>קֵינִי</w:t>
      </w:r>
      <w:r w:rsidRPr="006715F3">
        <w:rPr>
          <w:rFonts w:eastAsia="Times New Roman" w:cs="Times New Roman"/>
          <w:rtl/>
          <w:lang w:eastAsia="de-DE"/>
        </w:rPr>
        <w:t xml:space="preserve"> </w:t>
      </w:r>
      <w:r w:rsidRPr="006715F3">
        <w:rPr>
          <w:rFonts w:eastAsia="Times New Roman" w:cs="Times New Roman"/>
          <w:lang w:eastAsia="de-DE"/>
        </w:rPr>
        <w:t xml:space="preserve">(Keniter) an, der von </w:t>
      </w:r>
      <w:r w:rsidRPr="006715F3">
        <w:rPr>
          <w:rFonts w:eastAsia="Times New Roman" w:cs="Times New Roman"/>
          <w:b/>
          <w:bCs/>
          <w:rtl/>
          <w:lang w:eastAsia="de-DE"/>
        </w:rPr>
        <w:t>קַיִן</w:t>
      </w:r>
      <w:r w:rsidRPr="006715F3">
        <w:rPr>
          <w:rFonts w:eastAsia="Times New Roman" w:cs="Times New Roman"/>
          <w:rtl/>
          <w:lang w:eastAsia="de-DE"/>
        </w:rPr>
        <w:t xml:space="preserve"> </w:t>
      </w:r>
      <w:r w:rsidRPr="006715F3">
        <w:rPr>
          <w:rFonts w:eastAsia="Times New Roman" w:cs="Times New Roman"/>
          <w:lang w:eastAsia="de-DE"/>
        </w:rPr>
        <w:t xml:space="preserve">(Kain) oder </w:t>
      </w:r>
      <w:r w:rsidRPr="006715F3">
        <w:rPr>
          <w:rFonts w:eastAsia="Times New Roman" w:cs="Times New Roman"/>
          <w:b/>
          <w:bCs/>
          <w:rtl/>
          <w:lang w:eastAsia="de-DE"/>
        </w:rPr>
        <w:t>קֵן</w:t>
      </w:r>
      <w:r w:rsidRPr="006715F3">
        <w:rPr>
          <w:rFonts w:eastAsia="Times New Roman" w:cs="Times New Roman"/>
          <w:rtl/>
          <w:lang w:eastAsia="de-DE"/>
        </w:rPr>
        <w:t xml:space="preserve"> </w:t>
      </w:r>
      <w:r w:rsidRPr="006715F3">
        <w:rPr>
          <w:rFonts w:eastAsia="Times New Roman" w:cs="Times New Roman"/>
          <w:lang w:eastAsia="de-DE"/>
        </w:rPr>
        <w:t>(Nest) abgeleitet sein könnte. Der Felsen symbolisiert Sicherheit und Unzugänglichkeit.</w:t>
      </w:r>
    </w:p>
    <w:p w14:paraId="28C905B5"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drei narrative Wayyiqtol-Formen als Einleitung, gefolgt von zwei parallelen Nominalsätzen, die die sichere Lage der Keniter beschreiben.</w:t>
      </w:r>
    </w:p>
    <w:p w14:paraId="42ECB6BD"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lobt zunächst die sichere Position der Keniter in ihren Felsennestern, doch die folgenden Verse werden diese scheinbare Sicherheit relativieren.</w:t>
      </w:r>
    </w:p>
    <w:p w14:paraId="35121360"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lastRenderedPageBreak/>
        <w:t>Numeri 24,22</w:t>
      </w:r>
    </w:p>
    <w:p w14:paraId="117E2657"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כִּ֥י אִם־יִהְיֶ֖ה לְבָ֣עֵֽר קָ֑יִן עַד־מָ֖ה אַשּׁ֥וּר תִּשְׁבֶּֽךָּ׃</w:t>
      </w:r>
    </w:p>
    <w:p w14:paraId="2F9190A1"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Doch wird Kajin zur Vertilgung sein. Wie lange noch? Aschur wird dich gefangen wegführen.</w:t>
      </w:r>
    </w:p>
    <w:p w14:paraId="7E662CBA"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4F9C5F60">
          <v:rect id="_x0000_i1847" style="width:0;height:1.5pt" o:hralign="center" o:hrstd="t" o:hr="t" fillcolor="#a0a0a0" stroked="f"/>
        </w:pict>
      </w:r>
    </w:p>
    <w:p w14:paraId="30CEDD46" w14:textId="605B6721"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כִּי אִם</w:t>
      </w:r>
      <w:r w:rsidRPr="006715F3">
        <w:rPr>
          <w:rFonts w:eastAsia="Times New Roman" w:cs="Times New Roman"/>
          <w:lang w:eastAsia="de-DE"/>
        </w:rPr>
        <w:t xml:space="preserve">, einer adversativen </w:t>
      </w:r>
      <w:r w:rsidR="00F133EC">
        <w:rPr>
          <w:rFonts w:eastAsia="Times New Roman" w:cs="Times New Roman"/>
          <w:lang w:eastAsia="de-DE"/>
        </w:rPr>
        <w:t>Construct</w:t>
      </w:r>
      <w:r w:rsidRPr="006715F3">
        <w:rPr>
          <w:rFonts w:eastAsia="Times New Roman" w:cs="Times New Roman"/>
          <w:lang w:eastAsia="de-DE"/>
        </w:rPr>
        <w:t xml:space="preserve">ion („doch, dennoch, jedoch"), die einen Gegensatz zum vorherigen Vers markiert. </w:t>
      </w:r>
      <w:r w:rsidRPr="006715F3">
        <w:rPr>
          <w:rFonts w:eastAsia="Times New Roman" w:cs="Times New Roman"/>
          <w:b/>
          <w:bCs/>
          <w:rtl/>
          <w:lang w:eastAsia="de-DE"/>
        </w:rPr>
        <w:t>יִהְיֶה</w:t>
      </w:r>
      <w:r w:rsidRPr="006715F3">
        <w:rPr>
          <w:rFonts w:eastAsia="Times New Roman" w:cs="Times New Roman"/>
          <w:rtl/>
          <w:lang w:eastAsia="de-DE"/>
        </w:rPr>
        <w:t xml:space="preserve"> </w:t>
      </w:r>
      <w:r w:rsidRPr="006715F3">
        <w:rPr>
          <w:rFonts w:eastAsia="Times New Roman" w:cs="Times New Roman"/>
          <w:lang w:eastAsia="de-DE"/>
        </w:rPr>
        <w:t xml:space="preserve">ist Qal Imperfekt 3. Person maskulin Singular von </w:t>
      </w:r>
      <w:r w:rsidRPr="006715F3">
        <w:rPr>
          <w:rFonts w:eastAsia="Times New Roman" w:cs="Times New Roman"/>
          <w:b/>
          <w:bCs/>
          <w:rtl/>
          <w:lang w:eastAsia="de-DE"/>
        </w:rPr>
        <w:t>היה</w:t>
      </w:r>
      <w:r w:rsidRPr="006715F3">
        <w:rPr>
          <w:rFonts w:eastAsia="Times New Roman" w:cs="Times New Roman"/>
          <w:rtl/>
          <w:lang w:eastAsia="de-DE"/>
        </w:rPr>
        <w:t xml:space="preserve"> </w:t>
      </w:r>
      <w:r w:rsidRPr="006715F3">
        <w:rPr>
          <w:rFonts w:eastAsia="Times New Roman" w:cs="Times New Roman"/>
          <w:lang w:eastAsia="de-DE"/>
        </w:rPr>
        <w:t xml:space="preserve">(„sein, werden"), </w:t>
      </w:r>
      <w:r w:rsidRPr="006715F3">
        <w:rPr>
          <w:rFonts w:eastAsia="Times New Roman" w:cs="Times New Roman"/>
          <w:b/>
          <w:bCs/>
          <w:rtl/>
          <w:lang w:eastAsia="de-DE"/>
        </w:rPr>
        <w:t>לְבָעֵר</w:t>
      </w:r>
      <w:r w:rsidRPr="006715F3">
        <w:rPr>
          <w:rFonts w:eastAsia="Times New Roman" w:cs="Times New Roman"/>
          <w:rtl/>
          <w:lang w:eastAsia="de-DE"/>
        </w:rPr>
        <w:t xml:space="preserve"> </w:t>
      </w:r>
      <w:r w:rsidRPr="006715F3">
        <w:rPr>
          <w:rFonts w:eastAsia="Times New Roman" w:cs="Times New Roman"/>
          <w:lang w:eastAsia="de-DE"/>
        </w:rPr>
        <w:t xml:space="preserve">besteht aus der Präposition </w:t>
      </w:r>
      <w:r w:rsidRPr="006715F3">
        <w:rPr>
          <w:rFonts w:eastAsia="Times New Roman" w:cs="Times New Roman"/>
          <w:b/>
          <w:bCs/>
          <w:rtl/>
          <w:lang w:eastAsia="de-DE"/>
        </w:rPr>
        <w:t>לְ</w:t>
      </w:r>
      <w:r w:rsidRPr="006715F3">
        <w:rPr>
          <w:rFonts w:eastAsia="Times New Roman" w:cs="Times New Roman"/>
          <w:rtl/>
          <w:lang w:eastAsia="de-DE"/>
        </w:rPr>
        <w:t xml:space="preserve"> </w:t>
      </w:r>
      <w:r w:rsidRPr="006715F3">
        <w:rPr>
          <w:rFonts w:eastAsia="Times New Roman" w:cs="Times New Roman"/>
          <w:lang w:eastAsia="de-DE"/>
        </w:rPr>
        <w:t xml:space="preserve">und dem Qal Infinitiv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בער</w:t>
      </w:r>
      <w:r w:rsidRPr="006715F3">
        <w:rPr>
          <w:rFonts w:eastAsia="Times New Roman" w:cs="Times New Roman"/>
          <w:rtl/>
          <w:lang w:eastAsia="de-DE"/>
        </w:rPr>
        <w:t xml:space="preserve"> </w:t>
      </w:r>
      <w:r w:rsidRPr="006715F3">
        <w:rPr>
          <w:rFonts w:eastAsia="Times New Roman" w:cs="Times New Roman"/>
          <w:lang w:eastAsia="de-DE"/>
        </w:rPr>
        <w:t xml:space="preserve">(„brennen, vertilgen"), hier „zur Vertilgung". </w:t>
      </w:r>
      <w:r w:rsidRPr="006715F3">
        <w:rPr>
          <w:rFonts w:eastAsia="Times New Roman" w:cs="Times New Roman"/>
          <w:b/>
          <w:bCs/>
          <w:rtl/>
          <w:lang w:eastAsia="de-DE"/>
        </w:rPr>
        <w:t>קָיִן</w:t>
      </w:r>
      <w:r w:rsidRPr="006715F3">
        <w:rPr>
          <w:rFonts w:eastAsia="Times New Roman" w:cs="Times New Roman"/>
          <w:rtl/>
          <w:lang w:eastAsia="de-DE"/>
        </w:rPr>
        <w:t xml:space="preserve"> </w:t>
      </w:r>
      <w:r w:rsidRPr="006715F3">
        <w:rPr>
          <w:rFonts w:eastAsia="Times New Roman" w:cs="Times New Roman"/>
          <w:lang w:eastAsia="de-DE"/>
        </w:rPr>
        <w:t xml:space="preserve">ist entweder der Personenname Kain oder eine alternative Schreibweise für </w:t>
      </w:r>
      <w:r w:rsidRPr="006715F3">
        <w:rPr>
          <w:rFonts w:eastAsia="Times New Roman" w:cs="Times New Roman"/>
          <w:b/>
          <w:bCs/>
          <w:rtl/>
          <w:lang w:eastAsia="de-DE"/>
        </w:rPr>
        <w:t>קֵינִי</w:t>
      </w:r>
      <w:r w:rsidRPr="006715F3">
        <w:rPr>
          <w:rFonts w:eastAsia="Times New Roman" w:cs="Times New Roman"/>
          <w:rtl/>
          <w:lang w:eastAsia="de-DE"/>
        </w:rPr>
        <w:t xml:space="preserve"> </w:t>
      </w:r>
      <w:r w:rsidRPr="006715F3">
        <w:rPr>
          <w:rFonts w:eastAsia="Times New Roman" w:cs="Times New Roman"/>
          <w:lang w:eastAsia="de-DE"/>
        </w:rPr>
        <w:t xml:space="preserve">(Keniter). Die </w:t>
      </w:r>
      <w:r w:rsidR="00F133EC">
        <w:rPr>
          <w:rFonts w:eastAsia="Times New Roman" w:cs="Times New Roman"/>
          <w:lang w:eastAsia="de-DE"/>
        </w:rPr>
        <w:t>Construct</w:t>
      </w:r>
      <w:r w:rsidRPr="006715F3">
        <w:rPr>
          <w:rFonts w:eastAsia="Times New Roman" w:cs="Times New Roman"/>
          <w:lang w:eastAsia="de-DE"/>
        </w:rPr>
        <w:t>ion prophezeit die Vernichtung der Keniter.</w:t>
      </w:r>
    </w:p>
    <w:p w14:paraId="0B0B8A18"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עַד־מָה</w:t>
      </w:r>
      <w:r w:rsidRPr="006715F3">
        <w:rPr>
          <w:rFonts w:eastAsia="Times New Roman" w:cs="Times New Roman"/>
          <w:rtl/>
          <w:lang w:eastAsia="de-DE"/>
        </w:rPr>
        <w:t xml:space="preserve"> </w:t>
      </w:r>
      <w:r w:rsidRPr="006715F3">
        <w:rPr>
          <w:rFonts w:eastAsia="Times New Roman" w:cs="Times New Roman"/>
          <w:lang w:eastAsia="de-DE"/>
        </w:rPr>
        <w:t xml:space="preserve">ist eine rhetorische Frage: </w:t>
      </w:r>
      <w:r w:rsidRPr="006715F3">
        <w:rPr>
          <w:rFonts w:eastAsia="Times New Roman" w:cs="Times New Roman"/>
          <w:b/>
          <w:bCs/>
          <w:rtl/>
          <w:lang w:eastAsia="de-DE"/>
        </w:rPr>
        <w:t>עַד</w:t>
      </w:r>
      <w:r w:rsidRPr="006715F3">
        <w:rPr>
          <w:rFonts w:eastAsia="Times New Roman" w:cs="Times New Roman"/>
          <w:rtl/>
          <w:lang w:eastAsia="de-DE"/>
        </w:rPr>
        <w:t xml:space="preserve"> </w:t>
      </w:r>
      <w:r w:rsidRPr="006715F3">
        <w:rPr>
          <w:rFonts w:eastAsia="Times New Roman" w:cs="Times New Roman"/>
          <w:lang w:eastAsia="de-DE"/>
        </w:rPr>
        <w:t xml:space="preserve">(„bis") mit </w:t>
      </w:r>
      <w:r w:rsidRPr="006715F3">
        <w:rPr>
          <w:rFonts w:eastAsia="Times New Roman" w:cs="Times New Roman"/>
          <w:b/>
          <w:bCs/>
          <w:rtl/>
          <w:lang w:eastAsia="de-DE"/>
        </w:rPr>
        <w:t>מָה</w:t>
      </w:r>
      <w:r w:rsidRPr="006715F3">
        <w:rPr>
          <w:rFonts w:eastAsia="Times New Roman" w:cs="Times New Roman"/>
          <w:rtl/>
          <w:lang w:eastAsia="de-DE"/>
        </w:rPr>
        <w:t xml:space="preserve"> </w:t>
      </w:r>
      <w:r w:rsidRPr="006715F3">
        <w:rPr>
          <w:rFonts w:eastAsia="Times New Roman" w:cs="Times New Roman"/>
          <w:lang w:eastAsia="de-DE"/>
        </w:rPr>
        <w:t xml:space="preserve">(„was, wie lange"). Die Frage drückt zeitliche Ungewissheit oder Ungeduld aus („wie lange noch?"). </w:t>
      </w:r>
      <w:r w:rsidRPr="006715F3">
        <w:rPr>
          <w:rFonts w:eastAsia="Times New Roman" w:cs="Times New Roman"/>
          <w:b/>
          <w:bCs/>
          <w:rtl/>
          <w:lang w:eastAsia="de-DE"/>
        </w:rPr>
        <w:t>אַשּׁוּר תִּשְׁבֶּךָּ</w:t>
      </w:r>
      <w:r w:rsidRPr="006715F3">
        <w:rPr>
          <w:rFonts w:eastAsia="Times New Roman" w:cs="Times New Roman"/>
          <w:rtl/>
          <w:lang w:eastAsia="de-DE"/>
        </w:rPr>
        <w:t xml:space="preserve"> </w:t>
      </w:r>
      <w:r w:rsidRPr="006715F3">
        <w:rPr>
          <w:rFonts w:eastAsia="Times New Roman" w:cs="Times New Roman"/>
          <w:lang w:eastAsia="de-DE"/>
        </w:rPr>
        <w:t xml:space="preserve">bildet den Schlusssatz: </w:t>
      </w:r>
      <w:r w:rsidRPr="006715F3">
        <w:rPr>
          <w:rFonts w:eastAsia="Times New Roman" w:cs="Times New Roman"/>
          <w:b/>
          <w:bCs/>
          <w:rtl/>
          <w:lang w:eastAsia="de-DE"/>
        </w:rPr>
        <w:t>אַשּׁוּר</w:t>
      </w:r>
      <w:r w:rsidRPr="006715F3">
        <w:rPr>
          <w:rFonts w:eastAsia="Times New Roman" w:cs="Times New Roman"/>
          <w:rtl/>
          <w:lang w:eastAsia="de-DE"/>
        </w:rPr>
        <w:t xml:space="preserve"> </w:t>
      </w:r>
      <w:r w:rsidRPr="006715F3">
        <w:rPr>
          <w:rFonts w:eastAsia="Times New Roman" w:cs="Times New Roman"/>
          <w:lang w:eastAsia="de-DE"/>
        </w:rPr>
        <w:t xml:space="preserve">ist der Eigenname Assur/Assyrien als Subjekt, </w:t>
      </w:r>
      <w:r w:rsidRPr="006715F3">
        <w:rPr>
          <w:rFonts w:eastAsia="Times New Roman" w:cs="Times New Roman"/>
          <w:b/>
          <w:bCs/>
          <w:rtl/>
          <w:lang w:eastAsia="de-DE"/>
        </w:rPr>
        <w:t>תִּשְׁבֶּךָּ</w:t>
      </w:r>
      <w:r w:rsidRPr="006715F3">
        <w:rPr>
          <w:rFonts w:eastAsia="Times New Roman" w:cs="Times New Roman"/>
          <w:rtl/>
          <w:lang w:eastAsia="de-DE"/>
        </w:rPr>
        <w:t xml:space="preserve"> </w:t>
      </w:r>
      <w:r w:rsidRPr="006715F3">
        <w:rPr>
          <w:rFonts w:eastAsia="Times New Roman" w:cs="Times New Roman"/>
          <w:lang w:eastAsia="de-DE"/>
        </w:rPr>
        <w:t xml:space="preserve">ist Qal Imperfekt 3. Person maskulin Singular von </w:t>
      </w:r>
      <w:r w:rsidRPr="006715F3">
        <w:rPr>
          <w:rFonts w:eastAsia="Times New Roman" w:cs="Times New Roman"/>
          <w:b/>
          <w:bCs/>
          <w:rtl/>
          <w:lang w:eastAsia="de-DE"/>
        </w:rPr>
        <w:t>שׁבה</w:t>
      </w:r>
      <w:r w:rsidRPr="006715F3">
        <w:rPr>
          <w:rFonts w:eastAsia="Times New Roman" w:cs="Times New Roman"/>
          <w:rtl/>
          <w:lang w:eastAsia="de-DE"/>
        </w:rPr>
        <w:t xml:space="preserve"> </w:t>
      </w:r>
      <w:r w:rsidRPr="006715F3">
        <w:rPr>
          <w:rFonts w:eastAsia="Times New Roman" w:cs="Times New Roman"/>
          <w:lang w:eastAsia="de-DE"/>
        </w:rPr>
        <w:t>(„gefangen wegführen, deportieren") mit Suffix 2. Person maskulin Singular („dich"). Die Deportation durch Assyrien war eine historische Realität für viele Völker des Alten Orients im 8. Jahrhundert v. Chr.</w:t>
      </w:r>
    </w:p>
    <w:p w14:paraId="54BD6F05" w14:textId="3C958BF5"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w:t>
      </w:r>
      <w:r w:rsidR="00CD2614">
        <w:t>hat einen völlig anderen Text: Statt „</w:t>
      </w:r>
      <w:r w:rsidR="00CD2614" w:rsidRPr="00CD2614">
        <w:rPr>
          <w:b/>
          <w:bCs/>
          <w:rtl/>
        </w:rPr>
        <w:t>כִּי אִם־יִהְיֶה לְבָעֵר קָיִן</w:t>
      </w:r>
      <w:r w:rsidR="00CD2614">
        <w:t>" (denn wenn Kain ausgebrannt wird) hat sie „καὶ ἐὰν γένηται τῷ Βεὼρ νοσσιὰ πανουργίας" (und wenn Beor ein Nest der List wird), was Beor (Bileams Vater) statt Kain erwähnt.</w:t>
      </w:r>
    </w:p>
    <w:p w14:paraId="0258E46B"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einen adversativen Hauptsatz mit Futur-Bedeutung, gefolgt von einer rhetorischen Frage und einem weiteren Futur-Satz, der die Konsequenz beschreibt.</w:t>
      </w:r>
    </w:p>
    <w:p w14:paraId="273F88EE"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wendet sich trotz der scheinbaren Sicherheit der Keniter: Sie werden vernichtet und von Assyrien deportiert werden, was die Fragilität jeder menschlichen Sicherheit angesichts der großen politischen Mächte verdeutlicht.</w:t>
      </w:r>
    </w:p>
    <w:p w14:paraId="4B74E4CF"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24,23</w:t>
      </w:r>
    </w:p>
    <w:p w14:paraId="5E7ABB94"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וַיִּשָּׂ֥א מְשָׁלֹ֖ו וַיֹּאמַ֑ר א֕וֹי מִ֥י יִחְיֶ֖ה מִשֻּׂמֹ֥ו אֵֽל׃</w:t>
      </w:r>
    </w:p>
    <w:p w14:paraId="257B0990"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er hob seinen Spruch an und sprach: „Wehe! Wer wird leben, wenn Gott dies tut?</w:t>
      </w:r>
    </w:p>
    <w:p w14:paraId="7C2AA942"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3D03CF00">
          <v:rect id="_x0000_i1848" style="width:0;height:1.5pt" o:hralign="center" o:hrstd="t" o:hr="t" fillcolor="#a0a0a0" stroked="f"/>
        </w:pict>
      </w:r>
    </w:p>
    <w:p w14:paraId="0BAC41EA" w14:textId="189A3D7D"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וַיִּשָּׂא מְשָׁלוֹ וַיֹּאמַר</w:t>
      </w:r>
      <w:r w:rsidRPr="006715F3">
        <w:rPr>
          <w:rFonts w:eastAsia="Times New Roman" w:cs="Times New Roman"/>
          <w:lang w:eastAsia="de-DE"/>
        </w:rPr>
        <w:t>, der Standard-</w:t>
      </w:r>
      <w:r w:rsidR="00B513FF">
        <w:rPr>
          <w:rFonts w:eastAsia="Times New Roman" w:cs="Times New Roman"/>
          <w:lang w:eastAsia="de-DE"/>
        </w:rPr>
        <w:t>Weissagung</w:t>
      </w:r>
      <w:r w:rsidRPr="006715F3">
        <w:rPr>
          <w:rFonts w:eastAsia="Times New Roman" w:cs="Times New Roman"/>
          <w:lang w:eastAsia="de-DE"/>
        </w:rPr>
        <w:t xml:space="preserve">formel. </w:t>
      </w:r>
      <w:r w:rsidRPr="006715F3">
        <w:rPr>
          <w:rFonts w:eastAsia="Times New Roman" w:cs="Times New Roman"/>
          <w:b/>
          <w:bCs/>
          <w:rtl/>
          <w:lang w:eastAsia="de-DE"/>
        </w:rPr>
        <w:t>אוֹי</w:t>
      </w:r>
      <w:r w:rsidRPr="006715F3">
        <w:rPr>
          <w:rFonts w:eastAsia="Times New Roman" w:cs="Times New Roman"/>
          <w:rtl/>
          <w:lang w:eastAsia="de-DE"/>
        </w:rPr>
        <w:t xml:space="preserve"> </w:t>
      </w:r>
      <w:r w:rsidRPr="006715F3">
        <w:rPr>
          <w:rFonts w:eastAsia="Times New Roman" w:cs="Times New Roman"/>
          <w:lang w:eastAsia="de-DE"/>
        </w:rPr>
        <w:t xml:space="preserve">ist eine Interjektion des Schmerzes oder der Klage („wehe, ach"). </w:t>
      </w:r>
      <w:r w:rsidRPr="006715F3">
        <w:rPr>
          <w:rFonts w:eastAsia="Times New Roman" w:cs="Times New Roman"/>
          <w:b/>
          <w:bCs/>
          <w:rtl/>
          <w:lang w:eastAsia="de-DE"/>
        </w:rPr>
        <w:t>מִי יִחְיֶה</w:t>
      </w:r>
      <w:r w:rsidRPr="006715F3">
        <w:rPr>
          <w:rFonts w:eastAsia="Times New Roman" w:cs="Times New Roman"/>
          <w:rtl/>
          <w:lang w:eastAsia="de-DE"/>
        </w:rPr>
        <w:t xml:space="preserve"> </w:t>
      </w:r>
      <w:r w:rsidRPr="006715F3">
        <w:rPr>
          <w:rFonts w:eastAsia="Times New Roman" w:cs="Times New Roman"/>
          <w:lang w:eastAsia="de-DE"/>
        </w:rPr>
        <w:t xml:space="preserve">ist eine rhetorische Frage: </w:t>
      </w:r>
      <w:r w:rsidRPr="006715F3">
        <w:rPr>
          <w:rFonts w:eastAsia="Times New Roman" w:cs="Times New Roman"/>
          <w:b/>
          <w:bCs/>
          <w:rtl/>
          <w:lang w:eastAsia="de-DE"/>
        </w:rPr>
        <w:t>מִי</w:t>
      </w:r>
      <w:r w:rsidRPr="006715F3">
        <w:rPr>
          <w:rFonts w:eastAsia="Times New Roman" w:cs="Times New Roman"/>
          <w:rtl/>
          <w:lang w:eastAsia="de-DE"/>
        </w:rPr>
        <w:t xml:space="preserve"> </w:t>
      </w:r>
      <w:r w:rsidRPr="006715F3">
        <w:rPr>
          <w:rFonts w:eastAsia="Times New Roman" w:cs="Times New Roman"/>
          <w:lang w:eastAsia="de-DE"/>
        </w:rPr>
        <w:t xml:space="preserve">(„wer") als Interrogativpronomen, </w:t>
      </w:r>
      <w:r w:rsidRPr="006715F3">
        <w:rPr>
          <w:rFonts w:eastAsia="Times New Roman" w:cs="Times New Roman"/>
          <w:b/>
          <w:bCs/>
          <w:rtl/>
          <w:lang w:eastAsia="de-DE"/>
        </w:rPr>
        <w:t>יִחְיֶה</w:t>
      </w:r>
      <w:r w:rsidRPr="006715F3">
        <w:rPr>
          <w:rFonts w:eastAsia="Times New Roman" w:cs="Times New Roman"/>
          <w:rtl/>
          <w:lang w:eastAsia="de-DE"/>
        </w:rPr>
        <w:t xml:space="preserve"> </w:t>
      </w:r>
      <w:r w:rsidRPr="006715F3">
        <w:rPr>
          <w:rFonts w:eastAsia="Times New Roman" w:cs="Times New Roman"/>
          <w:lang w:eastAsia="de-DE"/>
        </w:rPr>
        <w:t xml:space="preserve">ist Qal Imperfekt 3. Person maskulin Singular von </w:t>
      </w:r>
      <w:r w:rsidRPr="006715F3">
        <w:rPr>
          <w:rFonts w:eastAsia="Times New Roman" w:cs="Times New Roman"/>
          <w:b/>
          <w:bCs/>
          <w:rtl/>
          <w:lang w:eastAsia="de-DE"/>
        </w:rPr>
        <w:t>חיה</w:t>
      </w:r>
      <w:r w:rsidRPr="006715F3">
        <w:rPr>
          <w:rFonts w:eastAsia="Times New Roman" w:cs="Times New Roman"/>
          <w:rtl/>
          <w:lang w:eastAsia="de-DE"/>
        </w:rPr>
        <w:t xml:space="preserve"> </w:t>
      </w:r>
      <w:r w:rsidRPr="006715F3">
        <w:rPr>
          <w:rFonts w:eastAsia="Times New Roman" w:cs="Times New Roman"/>
          <w:lang w:eastAsia="de-DE"/>
        </w:rPr>
        <w:t>(„leben"). Die Frage erwartet die Antwort „niemand" und drückt die Furchtbarkeit der kommenden Ereignisse aus.</w:t>
      </w:r>
    </w:p>
    <w:p w14:paraId="6A696813" w14:textId="1185A9D4"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lastRenderedPageBreak/>
        <w:t>מִשֻּׂמוֹ אֵל</w:t>
      </w:r>
      <w:r w:rsidRPr="006715F3">
        <w:rPr>
          <w:rFonts w:eastAsia="Times New Roman" w:cs="Times New Roman"/>
          <w:rtl/>
          <w:lang w:eastAsia="de-DE"/>
        </w:rPr>
        <w:t xml:space="preserve"> </w:t>
      </w:r>
      <w:r w:rsidRPr="006715F3">
        <w:rPr>
          <w:rFonts w:eastAsia="Times New Roman" w:cs="Times New Roman"/>
          <w:lang w:eastAsia="de-DE"/>
        </w:rPr>
        <w:t xml:space="preserve">ist schwierig zu deuten. </w:t>
      </w:r>
      <w:r w:rsidRPr="006715F3">
        <w:rPr>
          <w:rFonts w:eastAsia="Times New Roman" w:cs="Times New Roman"/>
          <w:b/>
          <w:bCs/>
          <w:rtl/>
          <w:lang w:eastAsia="de-DE"/>
        </w:rPr>
        <w:t>מִשֻּׂמוֹ</w:t>
      </w:r>
      <w:r w:rsidRPr="006715F3">
        <w:rPr>
          <w:rFonts w:eastAsia="Times New Roman" w:cs="Times New Roman"/>
          <w:rtl/>
          <w:lang w:eastAsia="de-DE"/>
        </w:rPr>
        <w:t xml:space="preserve"> </w:t>
      </w:r>
      <w:r w:rsidRPr="006715F3">
        <w:rPr>
          <w:rFonts w:eastAsia="Times New Roman" w:cs="Times New Roman"/>
          <w:lang w:eastAsia="de-DE"/>
        </w:rPr>
        <w:t xml:space="preserve">besteht aus der Präposition </w:t>
      </w:r>
      <w:r w:rsidRPr="006715F3">
        <w:rPr>
          <w:rFonts w:eastAsia="Times New Roman" w:cs="Times New Roman"/>
          <w:b/>
          <w:bCs/>
          <w:rtl/>
          <w:lang w:eastAsia="de-DE"/>
        </w:rPr>
        <w:t>מִן</w:t>
      </w:r>
      <w:r w:rsidRPr="006715F3">
        <w:rPr>
          <w:rFonts w:eastAsia="Times New Roman" w:cs="Times New Roman"/>
          <w:rtl/>
          <w:lang w:eastAsia="de-DE"/>
        </w:rPr>
        <w:t xml:space="preserve"> </w:t>
      </w:r>
      <w:r w:rsidRPr="006715F3">
        <w:rPr>
          <w:rFonts w:eastAsia="Times New Roman" w:cs="Times New Roman"/>
          <w:lang w:eastAsia="de-DE"/>
        </w:rPr>
        <w:t xml:space="preserve">(„von, wenn"), dem Qal Infinitiv </w:t>
      </w:r>
      <w:r w:rsidR="00E031B3">
        <w:rPr>
          <w:rFonts w:eastAsia="Times New Roman" w:cs="Times New Roman"/>
          <w:lang w:eastAsia="de-DE"/>
        </w:rPr>
        <w:t>Constructus von</w:t>
      </w:r>
      <w:r w:rsidRPr="006715F3">
        <w:rPr>
          <w:rFonts w:eastAsia="Times New Roman" w:cs="Times New Roman"/>
          <w:lang w:eastAsia="de-DE"/>
        </w:rPr>
        <w:t xml:space="preserve"> </w:t>
      </w:r>
      <w:r w:rsidRPr="006715F3">
        <w:rPr>
          <w:rFonts w:eastAsia="Times New Roman" w:cs="Times New Roman"/>
          <w:b/>
          <w:bCs/>
          <w:rtl/>
          <w:lang w:eastAsia="de-DE"/>
        </w:rPr>
        <w:t>שׂים</w:t>
      </w:r>
      <w:r w:rsidRPr="006715F3">
        <w:rPr>
          <w:rFonts w:eastAsia="Times New Roman" w:cs="Times New Roman"/>
          <w:rtl/>
          <w:lang w:eastAsia="de-DE"/>
        </w:rPr>
        <w:t xml:space="preserve"> </w:t>
      </w:r>
      <w:r w:rsidRPr="006715F3">
        <w:rPr>
          <w:rFonts w:eastAsia="Times New Roman" w:cs="Times New Roman"/>
          <w:lang w:eastAsia="de-DE"/>
        </w:rPr>
        <w:t xml:space="preserve">(„setzen, machen") und dem Suffix 3. Person maskulin Singular („sein Setzen, wenn er setzt/tut"). </w:t>
      </w:r>
      <w:r w:rsidRPr="006715F3">
        <w:rPr>
          <w:rFonts w:eastAsia="Times New Roman" w:cs="Times New Roman"/>
          <w:b/>
          <w:bCs/>
          <w:rtl/>
          <w:lang w:eastAsia="de-DE"/>
        </w:rPr>
        <w:t>אֵל</w:t>
      </w:r>
      <w:r w:rsidRPr="006715F3">
        <w:rPr>
          <w:rFonts w:eastAsia="Times New Roman" w:cs="Times New Roman"/>
          <w:rtl/>
          <w:lang w:eastAsia="de-DE"/>
        </w:rPr>
        <w:t xml:space="preserve"> </w:t>
      </w:r>
      <w:r w:rsidRPr="006715F3">
        <w:rPr>
          <w:rFonts w:eastAsia="Times New Roman" w:cs="Times New Roman"/>
          <w:lang w:eastAsia="de-DE"/>
        </w:rPr>
        <w:t xml:space="preserve">ist der Gottesname („Gott") als Subjekt. Die </w:t>
      </w:r>
      <w:r w:rsidR="00F133EC">
        <w:rPr>
          <w:rFonts w:eastAsia="Times New Roman" w:cs="Times New Roman"/>
          <w:lang w:eastAsia="de-DE"/>
        </w:rPr>
        <w:t>Construct</w:t>
      </w:r>
      <w:r w:rsidRPr="006715F3">
        <w:rPr>
          <w:rFonts w:eastAsia="Times New Roman" w:cs="Times New Roman"/>
          <w:lang w:eastAsia="de-DE"/>
        </w:rPr>
        <w:t>ion bedeutet „wenn Gott dies tut/einrichtet" oder „von dem, was Gott bestimmt". Die Phrase drückt aus, dass das kommende Gericht göttlichen Ursprungs ist und daher unausweichlich.</w:t>
      </w:r>
    </w:p>
    <w:p w14:paraId="68CA9856" w14:textId="64F9D6A0"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 xml:space="preserve">Die </w:t>
      </w:r>
      <w:r w:rsidR="00CD2614">
        <w:rPr>
          <w:rFonts w:eastAsia="Times New Roman" w:cs="Times New Roman"/>
          <w:b/>
          <w:bCs/>
          <w:lang w:eastAsia="de-DE"/>
        </w:rPr>
        <w:t xml:space="preserve">LXX </w:t>
      </w:r>
      <w:r w:rsidR="00CD2614">
        <w:t>fügt „τὸν Ὢγ" (den Og) hinzu, was im hebräischen Text nicht erscheint.</w:t>
      </w:r>
    </w:p>
    <w:p w14:paraId="3F43099D"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zwei narrative Wayyiqtol-Formen als Einleitung, gefolgt von einer Interjektion und einer rhetorischen Frage mit temporalem Nebensatz.</w:t>
      </w:r>
    </w:p>
    <w:p w14:paraId="6E351DD2" w14:textId="77777777" w:rsidR="00C879EC" w:rsidRDefault="00C879EC" w:rsidP="006715F3">
      <w:pPr>
        <w:spacing w:before="100" w:beforeAutospacing="1" w:after="100" w:afterAutospacing="1" w:line="240" w:lineRule="auto"/>
        <w:outlineLvl w:val="0"/>
      </w:pPr>
      <w:r>
        <w:t>Der Vers drückt Entsetzen über die kommenden göttlichen Gerichte aus und stellt die existentielle Frage, wer überleben kann, wenn Gott selbst als Richter handelt.</w:t>
      </w:r>
    </w:p>
    <w:p w14:paraId="6CE95FA1" w14:textId="6D1232D6"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24,24</w:t>
      </w:r>
    </w:p>
    <w:p w14:paraId="5006881E"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וְצִים֙ מִיַּ֣ד כִּתִּ֔ים וְעִנּ֥וּ אַשּׁ֖וּר וְעִנּוּ־עֵ֑בֶר וְגַם־ה֖וּא עֲדֵ֥י אֹבֵֽד׃</w:t>
      </w:r>
    </w:p>
    <w:p w14:paraId="25A0BEA4"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Schiffe von der Seite Kittims, sie werden Aschur demütigen und Ever demütigen, und auch er wird zum Untergang sein.</w:t>
      </w:r>
    </w:p>
    <w:p w14:paraId="22BE67F5"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7EF59040">
          <v:rect id="_x0000_i1850" style="width:0;height:1.5pt" o:hralign="center" o:hrstd="t" o:hr="t" fillcolor="#a0a0a0" stroked="f"/>
        </w:pict>
      </w:r>
    </w:p>
    <w:p w14:paraId="7DA6D554" w14:textId="00521221"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beginnt mit </w:t>
      </w:r>
      <w:r w:rsidRPr="006715F3">
        <w:rPr>
          <w:rFonts w:eastAsia="Times New Roman" w:cs="Times New Roman"/>
          <w:b/>
          <w:bCs/>
          <w:rtl/>
          <w:lang w:eastAsia="de-DE"/>
        </w:rPr>
        <w:t>וְצִים מִיַּד כִּתִּים</w:t>
      </w:r>
      <w:r w:rsidRPr="006715F3">
        <w:rPr>
          <w:rFonts w:eastAsia="Times New Roman" w:cs="Times New Roman"/>
          <w:lang w:eastAsia="de-DE"/>
        </w:rPr>
        <w:t xml:space="preserve">, einer syntaktisch und semantisch schwierigen Phrase. </w:t>
      </w:r>
      <w:r w:rsidRPr="006715F3">
        <w:rPr>
          <w:rFonts w:eastAsia="Times New Roman" w:cs="Times New Roman"/>
          <w:b/>
          <w:bCs/>
          <w:rtl/>
          <w:lang w:eastAsia="de-DE"/>
        </w:rPr>
        <w:t>וְצִים</w:t>
      </w:r>
      <w:r w:rsidRPr="006715F3">
        <w:rPr>
          <w:rFonts w:eastAsia="Times New Roman" w:cs="Times New Roman"/>
          <w:rtl/>
          <w:lang w:eastAsia="de-DE"/>
        </w:rPr>
        <w:t xml:space="preserve"> </w:t>
      </w:r>
      <w:r w:rsidRPr="006715F3">
        <w:rPr>
          <w:rFonts w:eastAsia="Times New Roman" w:cs="Times New Roman"/>
          <w:lang w:eastAsia="de-DE"/>
        </w:rPr>
        <w:t xml:space="preserve">ist maskuliner Plural von </w:t>
      </w:r>
      <w:r w:rsidRPr="006715F3">
        <w:rPr>
          <w:rFonts w:eastAsia="Times New Roman" w:cs="Times New Roman"/>
          <w:b/>
          <w:bCs/>
          <w:rtl/>
          <w:lang w:eastAsia="de-DE"/>
        </w:rPr>
        <w:t>צִי</w:t>
      </w:r>
      <w:r w:rsidRPr="006715F3">
        <w:rPr>
          <w:rFonts w:eastAsia="Times New Roman" w:cs="Times New Roman"/>
          <w:rtl/>
          <w:lang w:eastAsia="de-DE"/>
        </w:rPr>
        <w:t xml:space="preserve"> </w:t>
      </w:r>
      <w:r w:rsidRPr="006715F3">
        <w:rPr>
          <w:rFonts w:eastAsia="Times New Roman" w:cs="Times New Roman"/>
          <w:lang w:eastAsia="de-DE"/>
        </w:rPr>
        <w:t xml:space="preserve">(„Schiff, Flotte") mit der kopulativen Konjunktion </w:t>
      </w:r>
      <w:r w:rsidRPr="006715F3">
        <w:rPr>
          <w:rFonts w:eastAsia="Times New Roman" w:cs="Times New Roman"/>
          <w:b/>
          <w:bCs/>
          <w:rtl/>
          <w:lang w:eastAsia="de-DE"/>
        </w:rPr>
        <w:t>וְ</w:t>
      </w:r>
      <w:r w:rsidRPr="006715F3">
        <w:rPr>
          <w:rFonts w:eastAsia="Times New Roman" w:cs="Times New Roman"/>
          <w:lang w:eastAsia="de-DE"/>
        </w:rPr>
        <w:t xml:space="preserve">. </w:t>
      </w:r>
      <w:r w:rsidRPr="006715F3">
        <w:rPr>
          <w:rFonts w:eastAsia="Times New Roman" w:cs="Times New Roman"/>
          <w:b/>
          <w:bCs/>
          <w:rtl/>
          <w:lang w:eastAsia="de-DE"/>
        </w:rPr>
        <w:t>מִיַּד</w:t>
      </w:r>
      <w:r w:rsidRPr="006715F3">
        <w:rPr>
          <w:rFonts w:eastAsia="Times New Roman" w:cs="Times New Roman"/>
          <w:rtl/>
          <w:lang w:eastAsia="de-DE"/>
        </w:rPr>
        <w:t xml:space="preserve"> </w:t>
      </w:r>
      <w:r w:rsidRPr="006715F3">
        <w:rPr>
          <w:rFonts w:eastAsia="Times New Roman" w:cs="Times New Roman"/>
          <w:lang w:eastAsia="de-DE"/>
        </w:rPr>
        <w:t xml:space="preserve">besteht aus der Präposition </w:t>
      </w:r>
      <w:r w:rsidRPr="006715F3">
        <w:rPr>
          <w:rFonts w:eastAsia="Times New Roman" w:cs="Times New Roman"/>
          <w:b/>
          <w:bCs/>
          <w:rtl/>
          <w:lang w:eastAsia="de-DE"/>
        </w:rPr>
        <w:t>מִן</w:t>
      </w:r>
      <w:r w:rsidRPr="006715F3">
        <w:rPr>
          <w:rFonts w:eastAsia="Times New Roman" w:cs="Times New Roman"/>
          <w:rtl/>
          <w:lang w:eastAsia="de-DE"/>
        </w:rPr>
        <w:t xml:space="preserve"> </w:t>
      </w:r>
      <w:r w:rsidRPr="006715F3">
        <w:rPr>
          <w:rFonts w:eastAsia="Times New Roman" w:cs="Times New Roman"/>
          <w:lang w:eastAsia="de-DE"/>
        </w:rPr>
        <w:t xml:space="preserve">(„von") mit assimiliertem Nun und </w:t>
      </w:r>
      <w:r w:rsidRPr="006715F3">
        <w:rPr>
          <w:rFonts w:eastAsia="Times New Roman" w:cs="Times New Roman"/>
          <w:b/>
          <w:bCs/>
          <w:rtl/>
          <w:lang w:eastAsia="de-DE"/>
        </w:rPr>
        <w:t>יָד</w:t>
      </w:r>
      <w:r w:rsidRPr="006715F3">
        <w:rPr>
          <w:rFonts w:eastAsia="Times New Roman" w:cs="Times New Roman"/>
          <w:rtl/>
          <w:lang w:eastAsia="de-DE"/>
        </w:rPr>
        <w:t xml:space="preserve"> </w:t>
      </w:r>
      <w:r w:rsidRPr="006715F3">
        <w:rPr>
          <w:rFonts w:eastAsia="Times New Roman" w:cs="Times New Roman"/>
          <w:lang w:eastAsia="de-DE"/>
        </w:rPr>
        <w:t xml:space="preserve">(„Hand, Seite, Richtung"), wobei die </w:t>
      </w:r>
      <w:r w:rsidR="00F133EC">
        <w:rPr>
          <w:rFonts w:eastAsia="Times New Roman" w:cs="Times New Roman"/>
          <w:lang w:eastAsia="de-DE"/>
        </w:rPr>
        <w:t>Construct</w:t>
      </w:r>
      <w:r w:rsidRPr="006715F3">
        <w:rPr>
          <w:rFonts w:eastAsia="Times New Roman" w:cs="Times New Roman"/>
          <w:lang w:eastAsia="de-DE"/>
        </w:rPr>
        <w:t xml:space="preserve">ion „von der Seite, von der Richtung, aus dem Gebiet" bedeutet. </w:t>
      </w:r>
      <w:r w:rsidRPr="006715F3">
        <w:rPr>
          <w:rFonts w:eastAsia="Times New Roman" w:cs="Times New Roman"/>
          <w:b/>
          <w:bCs/>
          <w:rtl/>
          <w:lang w:eastAsia="de-DE"/>
        </w:rPr>
        <w:t>כִּתִּים</w:t>
      </w:r>
      <w:r w:rsidRPr="006715F3">
        <w:rPr>
          <w:rFonts w:eastAsia="Times New Roman" w:cs="Times New Roman"/>
          <w:rtl/>
          <w:lang w:eastAsia="de-DE"/>
        </w:rPr>
        <w:t xml:space="preserve"> </w:t>
      </w:r>
      <w:r w:rsidRPr="006715F3">
        <w:rPr>
          <w:rFonts w:eastAsia="Times New Roman" w:cs="Times New Roman"/>
          <w:lang w:eastAsia="de-DE"/>
        </w:rPr>
        <w:t xml:space="preserve">ist ein geographischer Eigenname, traditionell mit Zypern identifiziert (vgl. Gen 10,4), aber in späteren Texten (besonders in Qumran) als Bezeichnung für westliche Seemächte generell verwendet, insbesondere die Griechen, Makedoner oder sogar Römer. Die gesamte </w:t>
      </w:r>
      <w:r w:rsidR="00F133EC">
        <w:rPr>
          <w:rFonts w:eastAsia="Times New Roman" w:cs="Times New Roman"/>
          <w:lang w:eastAsia="de-DE"/>
        </w:rPr>
        <w:t>Construct</w:t>
      </w:r>
      <w:r w:rsidRPr="006715F3">
        <w:rPr>
          <w:rFonts w:eastAsia="Times New Roman" w:cs="Times New Roman"/>
          <w:lang w:eastAsia="de-DE"/>
        </w:rPr>
        <w:t>ion beschreibt eine Seeflotte, die aus dem westlichen Mittelmeerraum kommt. Die elliptische Syntax (ohne explizites Verb im ersten Teil) ist typisch für poetische Sprache.</w:t>
      </w:r>
    </w:p>
    <w:p w14:paraId="0452E19E"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וְעִנּוּ אַשּׁוּר וְעִנּוּ־עֵבֶר</w:t>
      </w:r>
      <w:r w:rsidRPr="006715F3">
        <w:rPr>
          <w:rFonts w:eastAsia="Times New Roman" w:cs="Times New Roman"/>
          <w:rtl/>
          <w:lang w:eastAsia="de-DE"/>
        </w:rPr>
        <w:t xml:space="preserve"> </w:t>
      </w:r>
      <w:r w:rsidRPr="006715F3">
        <w:rPr>
          <w:rFonts w:eastAsia="Times New Roman" w:cs="Times New Roman"/>
          <w:lang w:eastAsia="de-DE"/>
        </w:rPr>
        <w:t xml:space="preserve">zeigt die verheerende Wirkung dieser Flotte. </w:t>
      </w:r>
      <w:r w:rsidRPr="006715F3">
        <w:rPr>
          <w:rFonts w:eastAsia="Times New Roman" w:cs="Times New Roman"/>
          <w:b/>
          <w:bCs/>
          <w:rtl/>
          <w:lang w:eastAsia="de-DE"/>
        </w:rPr>
        <w:t>וְעִנּוּ</w:t>
      </w:r>
      <w:r w:rsidRPr="006715F3">
        <w:rPr>
          <w:rFonts w:eastAsia="Times New Roman" w:cs="Times New Roman"/>
          <w:rtl/>
          <w:lang w:eastAsia="de-DE"/>
        </w:rPr>
        <w:t xml:space="preserve"> </w:t>
      </w:r>
      <w:r w:rsidRPr="006715F3">
        <w:rPr>
          <w:rFonts w:eastAsia="Times New Roman" w:cs="Times New Roman"/>
          <w:lang w:eastAsia="de-DE"/>
        </w:rPr>
        <w:t xml:space="preserve">ist Piel Perfekt (prophetisches Perfekt) 3. Person Plural von </w:t>
      </w:r>
      <w:r w:rsidRPr="006715F3">
        <w:rPr>
          <w:rFonts w:eastAsia="Times New Roman" w:cs="Times New Roman"/>
          <w:b/>
          <w:bCs/>
          <w:rtl/>
          <w:lang w:eastAsia="de-DE"/>
        </w:rPr>
        <w:t>ענה</w:t>
      </w:r>
      <w:r w:rsidRPr="006715F3">
        <w:rPr>
          <w:rFonts w:eastAsia="Times New Roman" w:cs="Times New Roman"/>
          <w:b/>
          <w:bCs/>
          <w:lang w:eastAsia="de-DE"/>
        </w:rPr>
        <w:t xml:space="preserve"> II</w:t>
      </w:r>
      <w:r w:rsidRPr="006715F3">
        <w:rPr>
          <w:rFonts w:eastAsia="Times New Roman" w:cs="Times New Roman"/>
          <w:lang w:eastAsia="de-DE"/>
        </w:rPr>
        <w:t xml:space="preserve"> („demütigen, niederbeugen, unterdrücken, bezwingen"), das im Piel eine intensive oder wiederholte Handlung ausdrückt. Die Form steht zweimal, jeweils mit unterschiedlichem Objekt, was die Emphase und Totalität des Angriffs verstärkt. </w:t>
      </w:r>
      <w:r w:rsidRPr="006715F3">
        <w:rPr>
          <w:rFonts w:eastAsia="Times New Roman" w:cs="Times New Roman"/>
          <w:b/>
          <w:bCs/>
          <w:rtl/>
          <w:lang w:eastAsia="de-DE"/>
        </w:rPr>
        <w:t>אַשּׁוּר</w:t>
      </w:r>
      <w:r w:rsidRPr="006715F3">
        <w:rPr>
          <w:rFonts w:eastAsia="Times New Roman" w:cs="Times New Roman"/>
          <w:rtl/>
          <w:lang w:eastAsia="de-DE"/>
        </w:rPr>
        <w:t xml:space="preserve"> </w:t>
      </w:r>
      <w:r w:rsidRPr="006715F3">
        <w:rPr>
          <w:rFonts w:eastAsia="Times New Roman" w:cs="Times New Roman"/>
          <w:lang w:eastAsia="de-DE"/>
        </w:rPr>
        <w:t xml:space="preserve">ist der Eigenname Assyrien/Assur, die dominante Großmacht des Alten Orients im 8.-7. Jahrhundert v. Chr., hier als direktes Objekt. </w:t>
      </w:r>
      <w:r w:rsidRPr="006715F3">
        <w:rPr>
          <w:rFonts w:eastAsia="Times New Roman" w:cs="Times New Roman"/>
          <w:b/>
          <w:bCs/>
          <w:rtl/>
          <w:lang w:eastAsia="de-DE"/>
        </w:rPr>
        <w:t>עֵבֶר</w:t>
      </w:r>
      <w:r w:rsidRPr="006715F3">
        <w:rPr>
          <w:rFonts w:eastAsia="Times New Roman" w:cs="Times New Roman"/>
          <w:rtl/>
          <w:lang w:eastAsia="de-DE"/>
        </w:rPr>
        <w:t xml:space="preserve"> </w:t>
      </w:r>
      <w:r w:rsidRPr="006715F3">
        <w:rPr>
          <w:rFonts w:eastAsia="Times New Roman" w:cs="Times New Roman"/>
          <w:lang w:eastAsia="de-DE"/>
        </w:rPr>
        <w:t xml:space="preserve">ist mehrdeutig: Es könnte sich auf </w:t>
      </w:r>
      <w:r w:rsidRPr="006715F3">
        <w:rPr>
          <w:rFonts w:eastAsia="Times New Roman" w:cs="Times New Roman"/>
          <w:b/>
          <w:bCs/>
          <w:rtl/>
          <w:lang w:eastAsia="de-DE"/>
        </w:rPr>
        <w:t>עֵבֶר הַנָּהָר</w:t>
      </w:r>
      <w:r w:rsidRPr="006715F3">
        <w:rPr>
          <w:rFonts w:eastAsia="Times New Roman" w:cs="Times New Roman"/>
          <w:rtl/>
          <w:lang w:eastAsia="de-DE"/>
        </w:rPr>
        <w:t xml:space="preserve"> </w:t>
      </w:r>
      <w:r w:rsidRPr="006715F3">
        <w:rPr>
          <w:rFonts w:eastAsia="Times New Roman" w:cs="Times New Roman"/>
          <w:lang w:eastAsia="de-DE"/>
        </w:rPr>
        <w:t>(„jenseits des Flusses", d.h. Mesopotamien oder Transjordanien) beziehen, oder es ist eine Anspielung auf die Hebräer (</w:t>
      </w:r>
      <w:r w:rsidRPr="006715F3">
        <w:rPr>
          <w:rFonts w:eastAsia="Times New Roman" w:cs="Times New Roman"/>
          <w:b/>
          <w:bCs/>
          <w:rtl/>
          <w:lang w:eastAsia="de-DE"/>
        </w:rPr>
        <w:t>עִבְרִים</w:t>
      </w:r>
      <w:r w:rsidRPr="006715F3">
        <w:rPr>
          <w:rFonts w:eastAsia="Times New Roman" w:cs="Times New Roman"/>
          <w:lang w:eastAsia="de-DE"/>
        </w:rPr>
        <w:t xml:space="preserve">), die Nachkommen Ebers (Gen 10,21.25; 11,14-17). Einige interpretieren es als allgemeine Bezeichnung für die östlichen Völker. Die Wiederholung des Verbs </w:t>
      </w:r>
      <w:r w:rsidRPr="006715F3">
        <w:rPr>
          <w:rFonts w:eastAsia="Times New Roman" w:cs="Times New Roman"/>
          <w:b/>
          <w:bCs/>
          <w:rtl/>
          <w:lang w:eastAsia="de-DE"/>
        </w:rPr>
        <w:t>עִנּוּ</w:t>
      </w:r>
      <w:r w:rsidRPr="006715F3">
        <w:rPr>
          <w:rFonts w:eastAsia="Times New Roman" w:cs="Times New Roman"/>
          <w:rtl/>
          <w:lang w:eastAsia="de-DE"/>
        </w:rPr>
        <w:t xml:space="preserve"> </w:t>
      </w:r>
      <w:r w:rsidRPr="006715F3">
        <w:rPr>
          <w:rFonts w:eastAsia="Times New Roman" w:cs="Times New Roman"/>
          <w:lang w:eastAsia="de-DE"/>
        </w:rPr>
        <w:t>ohne Konjunktion zwischen den beiden Objekten (Asyndetons) verstärkt die Dringlichkeit und Brutalität der Aktion.</w:t>
      </w:r>
    </w:p>
    <w:p w14:paraId="7AA625AA" w14:textId="5618AA62"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וְגַם־הוּא עֲדֵי אֹבֵד</w:t>
      </w:r>
      <w:r w:rsidRPr="006715F3">
        <w:rPr>
          <w:rFonts w:eastAsia="Times New Roman" w:cs="Times New Roman"/>
          <w:rtl/>
          <w:lang w:eastAsia="de-DE"/>
        </w:rPr>
        <w:t xml:space="preserve"> </w:t>
      </w:r>
      <w:r w:rsidRPr="006715F3">
        <w:rPr>
          <w:rFonts w:eastAsia="Times New Roman" w:cs="Times New Roman"/>
          <w:lang w:eastAsia="de-DE"/>
        </w:rPr>
        <w:t xml:space="preserve">ist der ironische und klimaktische Schlusssatz. </w:t>
      </w:r>
      <w:r w:rsidRPr="006715F3">
        <w:rPr>
          <w:rFonts w:eastAsia="Times New Roman" w:cs="Times New Roman"/>
          <w:b/>
          <w:bCs/>
          <w:rtl/>
          <w:lang w:eastAsia="de-DE"/>
        </w:rPr>
        <w:t>וְגַם</w:t>
      </w:r>
      <w:r w:rsidRPr="006715F3">
        <w:rPr>
          <w:rFonts w:eastAsia="Times New Roman" w:cs="Times New Roman"/>
          <w:rtl/>
          <w:lang w:eastAsia="de-DE"/>
        </w:rPr>
        <w:t xml:space="preserve"> </w:t>
      </w:r>
      <w:r w:rsidRPr="006715F3">
        <w:rPr>
          <w:rFonts w:eastAsia="Times New Roman" w:cs="Times New Roman"/>
          <w:lang w:eastAsia="de-DE"/>
        </w:rPr>
        <w:t xml:space="preserve">ist die additive Konjunktion („und auch"), die eine überraschende Wendung einleitet. </w:t>
      </w:r>
      <w:r w:rsidRPr="006715F3">
        <w:rPr>
          <w:rFonts w:eastAsia="Times New Roman" w:cs="Times New Roman"/>
          <w:b/>
          <w:bCs/>
          <w:rtl/>
          <w:lang w:eastAsia="de-DE"/>
        </w:rPr>
        <w:t>הוּא</w:t>
      </w:r>
      <w:r w:rsidRPr="006715F3">
        <w:rPr>
          <w:rFonts w:eastAsia="Times New Roman" w:cs="Times New Roman"/>
          <w:rtl/>
          <w:lang w:eastAsia="de-DE"/>
        </w:rPr>
        <w:t xml:space="preserve"> </w:t>
      </w:r>
      <w:r w:rsidRPr="006715F3">
        <w:rPr>
          <w:rFonts w:eastAsia="Times New Roman" w:cs="Times New Roman"/>
          <w:lang w:eastAsia="de-DE"/>
        </w:rPr>
        <w:t xml:space="preserve">ist das </w:t>
      </w:r>
      <w:r w:rsidRPr="006715F3">
        <w:rPr>
          <w:rFonts w:eastAsia="Times New Roman" w:cs="Times New Roman"/>
          <w:lang w:eastAsia="de-DE"/>
        </w:rPr>
        <w:lastRenderedPageBreak/>
        <w:t xml:space="preserve">Personalpronomen 3. Person maskulin Singular („er"), das sich wahrscheinlich auf den Angreifer aus Kittim bezieht, möglicherweise aber auch auf Assur oder einen der anderen genannten. </w:t>
      </w:r>
      <w:r w:rsidRPr="006715F3">
        <w:rPr>
          <w:rFonts w:eastAsia="Times New Roman" w:cs="Times New Roman"/>
          <w:b/>
          <w:bCs/>
          <w:rtl/>
          <w:lang w:eastAsia="de-DE"/>
        </w:rPr>
        <w:t>עֲדֵי אֹבֵד</w:t>
      </w:r>
      <w:r w:rsidRPr="006715F3">
        <w:rPr>
          <w:rFonts w:eastAsia="Times New Roman" w:cs="Times New Roman"/>
          <w:rtl/>
          <w:lang w:eastAsia="de-DE"/>
        </w:rPr>
        <w:t xml:space="preserve"> </w:t>
      </w:r>
      <w:r w:rsidRPr="006715F3">
        <w:rPr>
          <w:rFonts w:eastAsia="Times New Roman" w:cs="Times New Roman"/>
          <w:lang w:eastAsia="de-DE"/>
        </w:rPr>
        <w:t xml:space="preserve">wiederholt die </w:t>
      </w:r>
      <w:r w:rsidR="00F133EC">
        <w:rPr>
          <w:rFonts w:eastAsia="Times New Roman" w:cs="Times New Roman"/>
          <w:lang w:eastAsia="de-DE"/>
        </w:rPr>
        <w:t>Construct</w:t>
      </w:r>
      <w:r w:rsidRPr="006715F3">
        <w:rPr>
          <w:rFonts w:eastAsia="Times New Roman" w:cs="Times New Roman"/>
          <w:lang w:eastAsia="de-DE"/>
        </w:rPr>
        <w:t xml:space="preserve">ion aus V. 20: </w:t>
      </w:r>
      <w:r w:rsidRPr="006715F3">
        <w:rPr>
          <w:rFonts w:eastAsia="Times New Roman" w:cs="Times New Roman"/>
          <w:b/>
          <w:bCs/>
          <w:rtl/>
          <w:lang w:eastAsia="de-DE"/>
        </w:rPr>
        <w:t>עַד</w:t>
      </w:r>
      <w:r w:rsidRPr="006715F3">
        <w:rPr>
          <w:rFonts w:eastAsia="Times New Roman" w:cs="Times New Roman"/>
          <w:rtl/>
          <w:lang w:eastAsia="de-DE"/>
        </w:rPr>
        <w:t xml:space="preserve"> </w:t>
      </w:r>
      <w:r w:rsidRPr="006715F3">
        <w:rPr>
          <w:rFonts w:eastAsia="Times New Roman" w:cs="Times New Roman"/>
          <w:lang w:eastAsia="de-DE"/>
        </w:rPr>
        <w:t xml:space="preserve">ist die Präposition („bis") mit dem archaischen Suffix </w:t>
      </w:r>
      <w:r w:rsidRPr="006715F3">
        <w:rPr>
          <w:rFonts w:eastAsia="Times New Roman" w:cs="Times New Roman"/>
          <w:b/>
          <w:bCs/>
          <w:rtl/>
          <w:lang w:eastAsia="de-DE"/>
        </w:rPr>
        <w:t>י</w:t>
      </w:r>
      <w:r w:rsidRPr="006715F3">
        <w:rPr>
          <w:rFonts w:eastAsia="Times New Roman" w:cs="Times New Roman"/>
          <w:b/>
          <w:bCs/>
          <w:lang w:eastAsia="de-DE"/>
        </w:rPr>
        <w:t>-</w:t>
      </w:r>
      <w:r w:rsidRPr="006715F3">
        <w:rPr>
          <w:rFonts w:eastAsia="Times New Roman" w:cs="Times New Roman"/>
          <w:lang w:eastAsia="de-DE"/>
        </w:rPr>
        <w:t xml:space="preserve">, </w:t>
      </w:r>
      <w:r w:rsidRPr="006715F3">
        <w:rPr>
          <w:rFonts w:eastAsia="Times New Roman" w:cs="Times New Roman"/>
          <w:b/>
          <w:bCs/>
          <w:rtl/>
          <w:lang w:eastAsia="de-DE"/>
        </w:rPr>
        <w:t>אֹבֵד</w:t>
      </w:r>
      <w:r w:rsidRPr="006715F3">
        <w:rPr>
          <w:rFonts w:eastAsia="Times New Roman" w:cs="Times New Roman"/>
          <w:rtl/>
          <w:lang w:eastAsia="de-DE"/>
        </w:rPr>
        <w:t xml:space="preserve"> </w:t>
      </w:r>
      <w:r w:rsidRPr="006715F3">
        <w:rPr>
          <w:rFonts w:eastAsia="Times New Roman" w:cs="Times New Roman"/>
          <w:lang w:eastAsia="de-DE"/>
        </w:rPr>
        <w:t xml:space="preserve">ist entweder Qal Infinitiv </w:t>
      </w:r>
      <w:r w:rsidR="00E031B3">
        <w:rPr>
          <w:rFonts w:eastAsia="Times New Roman" w:cs="Times New Roman"/>
          <w:lang w:eastAsia="de-DE"/>
        </w:rPr>
        <w:t>Constructus oder</w:t>
      </w:r>
      <w:r w:rsidRPr="006715F3">
        <w:rPr>
          <w:rFonts w:eastAsia="Times New Roman" w:cs="Times New Roman"/>
          <w:lang w:eastAsia="de-DE"/>
        </w:rPr>
        <w:t xml:space="preserve"> Qal Partizip von </w:t>
      </w:r>
      <w:r w:rsidRPr="006715F3">
        <w:rPr>
          <w:rFonts w:eastAsia="Times New Roman" w:cs="Times New Roman"/>
          <w:b/>
          <w:bCs/>
          <w:rtl/>
          <w:lang w:eastAsia="de-DE"/>
        </w:rPr>
        <w:t>אבד</w:t>
      </w:r>
      <w:r w:rsidRPr="006715F3">
        <w:rPr>
          <w:rFonts w:eastAsia="Times New Roman" w:cs="Times New Roman"/>
          <w:rtl/>
          <w:lang w:eastAsia="de-DE"/>
        </w:rPr>
        <w:t xml:space="preserve"> </w:t>
      </w:r>
      <w:r w:rsidRPr="006715F3">
        <w:rPr>
          <w:rFonts w:eastAsia="Times New Roman" w:cs="Times New Roman"/>
          <w:lang w:eastAsia="de-DE"/>
        </w:rPr>
        <w:t>(„zugrunde gehen, untergehen"). Die gesamte Phrase bedeutet „bis zum Untergang" oder „zur Vernichtung bestimmt". Die Aussage ist theologisch bedeutsam: Selbst die siegreiche westliche Macht, die die Großreiche demütigt, wird letztendlich selbst dem göttlichen Gericht verfallen. Dies unterstreicht die universale Souveränität Gottes über alle Weltmächte.</w:t>
      </w:r>
    </w:p>
    <w:p w14:paraId="52FFDE99" w14:textId="2D43F442"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Die LXX</w:t>
      </w:r>
      <w:r w:rsidRPr="006715F3">
        <w:rPr>
          <w:rFonts w:eastAsia="Times New Roman" w:cs="Times New Roman"/>
          <w:lang w:eastAsia="de-DE"/>
        </w:rPr>
        <w:t xml:space="preserve"> </w:t>
      </w:r>
      <w:r w:rsidR="00CD2614">
        <w:t>übersetzt „</w:t>
      </w:r>
      <w:r w:rsidR="00CD2614" w:rsidRPr="00CD2614">
        <w:rPr>
          <w:b/>
          <w:bCs/>
          <w:rtl/>
        </w:rPr>
        <w:t>וְצִים מִיַּד כִּתִּים</w:t>
      </w:r>
      <w:r w:rsidR="00CD2614">
        <w:t>" (und Schiffe von der Küste Kittims) mit „καὶ ἐξελεύσεται ἐκ χειρὸς Κιτιαίων" (und es wird hervorgehen aus der Hand der Kittäer), und „</w:t>
      </w:r>
      <w:r w:rsidR="00CD2614">
        <w:rPr>
          <w:rtl/>
        </w:rPr>
        <w:t>וְעִנּוּ־עֵבֶר</w:t>
      </w:r>
      <w:r w:rsidR="00CD2614">
        <w:t>" (und demütigen Eber) wird zu „καὶ κακώσουσιν Ἐβραίους" (und werden die Hebräer bedrängen), wobei Eber zu Hebräern wird.</w:t>
      </w:r>
    </w:p>
    <w:p w14:paraId="3D0B6687"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einen elliptischen Nominalsatz als Subjekt (Schiffe von Kittim), gefolgt von zwei asyndetisch koordinierten Verbalsätzen im prophetischen Perfekt (sie demütigen Assur, sie demütigen Eber) und einem abschließenden adversativen Nominalsatz, der das ironische Ende des Eroberers verkündet. Die gesamte Struktur ist chiastisch angelegt: Die westliche Macht kommt und demütigt die östlichen Mächte, wird aber selbst zum Untergang geführt.</w:t>
      </w:r>
    </w:p>
    <w:p w14:paraId="796925CD" w14:textId="571E6273"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enthält eine der rätselhaftesten Prophezeiungen der Bileam-</w:t>
      </w:r>
      <w:r w:rsidR="00B513FF">
        <w:rPr>
          <w:rFonts w:eastAsia="Times New Roman" w:cs="Times New Roman"/>
          <w:lang w:eastAsia="de-DE"/>
        </w:rPr>
        <w:t>Weissagung</w:t>
      </w:r>
      <w:r w:rsidRPr="006715F3">
        <w:rPr>
          <w:rFonts w:eastAsia="Times New Roman" w:cs="Times New Roman"/>
          <w:lang w:eastAsia="de-DE"/>
        </w:rPr>
        <w:t xml:space="preserve"> und wurde historisch auf verschiedene Eroberungen gedeutet: auf Alexander den Großen und die hellenistischen Reiche, auf die römischen Eroberungen des Ostens, oder eschatologisch auf endzeitliche Konflikte. Die Botschaft bleibt jedoch klar: Keine weltliche Macht, wie dominant sie auch erscheinen mag, entgeht dem göttlichen Gericht. Gott allein bleibt der Souverän über alle Geschichte.</w:t>
      </w:r>
    </w:p>
    <w:p w14:paraId="51DC24BB" w14:textId="77777777" w:rsidR="006715F3" w:rsidRPr="006715F3" w:rsidRDefault="006715F3" w:rsidP="006715F3">
      <w:pPr>
        <w:spacing w:before="100" w:beforeAutospacing="1" w:after="100" w:afterAutospacing="1" w:line="240" w:lineRule="auto"/>
        <w:outlineLvl w:val="0"/>
        <w:rPr>
          <w:rFonts w:eastAsia="Times New Roman" w:cs="Times New Roman"/>
          <w:b/>
          <w:bCs/>
          <w:kern w:val="36"/>
          <w:sz w:val="48"/>
          <w:szCs w:val="48"/>
          <w:lang w:eastAsia="de-DE"/>
        </w:rPr>
      </w:pPr>
      <w:r w:rsidRPr="006715F3">
        <w:rPr>
          <w:rFonts w:eastAsia="Times New Roman" w:cs="Times New Roman"/>
          <w:b/>
          <w:bCs/>
          <w:kern w:val="36"/>
          <w:sz w:val="48"/>
          <w:szCs w:val="48"/>
          <w:lang w:eastAsia="de-DE"/>
        </w:rPr>
        <w:t>Numeri 24,25</w:t>
      </w:r>
    </w:p>
    <w:p w14:paraId="0579EC22"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Hebräisch:</w:t>
      </w:r>
      <w:r w:rsidRPr="006715F3">
        <w:rPr>
          <w:rFonts w:eastAsia="Times New Roman" w:cs="Times New Roman"/>
          <w:lang w:eastAsia="de-DE"/>
        </w:rPr>
        <w:t xml:space="preserve"> </w:t>
      </w:r>
      <w:r w:rsidRPr="006715F3">
        <w:rPr>
          <w:rFonts w:eastAsia="Times New Roman" w:cs="Times New Roman"/>
          <w:rtl/>
          <w:lang w:eastAsia="de-DE"/>
        </w:rPr>
        <w:t>וַיָּ֣קָם בִּלְעָ֔ם וַיֵּ֖לֶךְ וַיָּ֣שָׁב לִמְקֹמֹ֑ו וְגַם־בָּלָ֖ק הָלַ֥ךְ לְדַרְכֹּֽו׃</w:t>
      </w:r>
    </w:p>
    <w:p w14:paraId="316491CB"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Deutsch:</w:t>
      </w:r>
      <w:r w:rsidRPr="006715F3">
        <w:rPr>
          <w:rFonts w:eastAsia="Times New Roman" w:cs="Times New Roman"/>
          <w:lang w:eastAsia="de-DE"/>
        </w:rPr>
        <w:t xml:space="preserve"> Und Bil'am machte sich auf und ging und kehrte an seinen Ort zurück; und auch Balak ging seines Weges.</w:t>
      </w:r>
    </w:p>
    <w:p w14:paraId="7A39F07C" w14:textId="77777777" w:rsidR="006715F3" w:rsidRPr="006715F3" w:rsidRDefault="00F329DD" w:rsidP="006715F3">
      <w:pPr>
        <w:spacing w:after="0" w:line="240" w:lineRule="auto"/>
        <w:rPr>
          <w:rFonts w:eastAsia="Times New Roman" w:cs="Times New Roman"/>
          <w:lang w:eastAsia="de-DE"/>
        </w:rPr>
      </w:pPr>
      <w:r>
        <w:rPr>
          <w:rFonts w:eastAsia="Times New Roman" w:cs="Times New Roman"/>
          <w:noProof/>
          <w:lang w:eastAsia="de-DE"/>
        </w:rPr>
        <w:pict w14:anchorId="2DABDB8A">
          <v:rect id="_x0000_i1851" style="width:0;height:1.5pt" o:hralign="center" o:hrstd="t" o:hr="t" fillcolor="#a0a0a0" stroked="f"/>
        </w:pict>
      </w:r>
    </w:p>
    <w:p w14:paraId="1BCBB9CA"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b/>
          <w:bCs/>
          <w:lang w:eastAsia="de-DE"/>
        </w:rPr>
        <w:t>Kommentar:</w:t>
      </w:r>
      <w:r w:rsidRPr="006715F3">
        <w:rPr>
          <w:rFonts w:eastAsia="Times New Roman" w:cs="Times New Roman"/>
          <w:lang w:eastAsia="de-DE"/>
        </w:rPr>
        <w:t xml:space="preserve"> Der Vers schließt die Bileam-Perikope mit drei Wayyiqtol-Formen ab, die Bileams Abreise beschreiben. </w:t>
      </w:r>
      <w:r w:rsidRPr="006715F3">
        <w:rPr>
          <w:rFonts w:eastAsia="Times New Roman" w:cs="Times New Roman"/>
          <w:b/>
          <w:bCs/>
          <w:rtl/>
          <w:lang w:eastAsia="de-DE"/>
        </w:rPr>
        <w:t>וַיָּקָם</w:t>
      </w:r>
      <w:r w:rsidRPr="006715F3">
        <w:rPr>
          <w:rFonts w:eastAsia="Times New Roman" w:cs="Times New Roman"/>
          <w:rtl/>
          <w:lang w:eastAsia="de-DE"/>
        </w:rPr>
        <w:t xml:space="preserve"> </w:t>
      </w:r>
      <w:r w:rsidRPr="006715F3">
        <w:rPr>
          <w:rFonts w:eastAsia="Times New Roman" w:cs="Times New Roman"/>
          <w:lang w:eastAsia="de-DE"/>
        </w:rPr>
        <w:t xml:space="preserve">ist Qal Wayyiqtol 3. Person maskulin Singular von </w:t>
      </w:r>
      <w:r w:rsidRPr="006715F3">
        <w:rPr>
          <w:rFonts w:eastAsia="Times New Roman" w:cs="Times New Roman"/>
          <w:b/>
          <w:bCs/>
          <w:rtl/>
          <w:lang w:eastAsia="de-DE"/>
        </w:rPr>
        <w:t>קום</w:t>
      </w:r>
      <w:r w:rsidRPr="006715F3">
        <w:rPr>
          <w:rFonts w:eastAsia="Times New Roman" w:cs="Times New Roman"/>
          <w:rtl/>
          <w:lang w:eastAsia="de-DE"/>
        </w:rPr>
        <w:t xml:space="preserve"> </w:t>
      </w:r>
      <w:r w:rsidRPr="006715F3">
        <w:rPr>
          <w:rFonts w:eastAsia="Times New Roman" w:cs="Times New Roman"/>
          <w:lang w:eastAsia="de-DE"/>
        </w:rPr>
        <w:t xml:space="preserve">(„aufstehen, sich erheben, sich aufmachen"), </w:t>
      </w:r>
      <w:r w:rsidRPr="006715F3">
        <w:rPr>
          <w:rFonts w:eastAsia="Times New Roman" w:cs="Times New Roman"/>
          <w:b/>
          <w:bCs/>
          <w:rtl/>
          <w:lang w:eastAsia="de-DE"/>
        </w:rPr>
        <w:t>בִּלְעָם</w:t>
      </w:r>
      <w:r w:rsidRPr="006715F3">
        <w:rPr>
          <w:rFonts w:eastAsia="Times New Roman" w:cs="Times New Roman"/>
          <w:rtl/>
          <w:lang w:eastAsia="de-DE"/>
        </w:rPr>
        <w:t xml:space="preserve"> </w:t>
      </w:r>
      <w:r w:rsidRPr="006715F3">
        <w:rPr>
          <w:rFonts w:eastAsia="Times New Roman" w:cs="Times New Roman"/>
          <w:lang w:eastAsia="de-DE"/>
        </w:rPr>
        <w:t xml:space="preserve">ist das Subjekt. </w:t>
      </w:r>
      <w:r w:rsidRPr="006715F3">
        <w:rPr>
          <w:rFonts w:eastAsia="Times New Roman" w:cs="Times New Roman"/>
          <w:b/>
          <w:bCs/>
          <w:rtl/>
          <w:lang w:eastAsia="de-DE"/>
        </w:rPr>
        <w:t>וַיֵּלֶךְ</w:t>
      </w:r>
      <w:r w:rsidRPr="006715F3">
        <w:rPr>
          <w:rFonts w:eastAsia="Times New Roman" w:cs="Times New Roman"/>
          <w:rtl/>
          <w:lang w:eastAsia="de-DE"/>
        </w:rPr>
        <w:t xml:space="preserve"> </w:t>
      </w:r>
      <w:r w:rsidRPr="006715F3">
        <w:rPr>
          <w:rFonts w:eastAsia="Times New Roman" w:cs="Times New Roman"/>
          <w:lang w:eastAsia="de-DE"/>
        </w:rPr>
        <w:t xml:space="preserve">ist Qal Wayyiqtol 3. Person maskulin Singular von </w:t>
      </w:r>
      <w:r w:rsidRPr="006715F3">
        <w:rPr>
          <w:rFonts w:eastAsia="Times New Roman" w:cs="Times New Roman"/>
          <w:b/>
          <w:bCs/>
          <w:rtl/>
          <w:lang w:eastAsia="de-DE"/>
        </w:rPr>
        <w:t>הלך</w:t>
      </w:r>
      <w:r w:rsidRPr="006715F3">
        <w:rPr>
          <w:rFonts w:eastAsia="Times New Roman" w:cs="Times New Roman"/>
          <w:rtl/>
          <w:lang w:eastAsia="de-DE"/>
        </w:rPr>
        <w:t xml:space="preserve"> </w:t>
      </w:r>
      <w:r w:rsidRPr="006715F3">
        <w:rPr>
          <w:rFonts w:eastAsia="Times New Roman" w:cs="Times New Roman"/>
          <w:lang w:eastAsia="de-DE"/>
        </w:rPr>
        <w:t xml:space="preserve">(„gehen, wandern"). </w:t>
      </w:r>
      <w:r w:rsidRPr="006715F3">
        <w:rPr>
          <w:rFonts w:eastAsia="Times New Roman" w:cs="Times New Roman"/>
          <w:b/>
          <w:bCs/>
          <w:rtl/>
          <w:lang w:eastAsia="de-DE"/>
        </w:rPr>
        <w:t>וַיָּשָׁב</w:t>
      </w:r>
      <w:r w:rsidRPr="006715F3">
        <w:rPr>
          <w:rFonts w:eastAsia="Times New Roman" w:cs="Times New Roman"/>
          <w:rtl/>
          <w:lang w:eastAsia="de-DE"/>
        </w:rPr>
        <w:t xml:space="preserve"> </w:t>
      </w:r>
      <w:r w:rsidRPr="006715F3">
        <w:rPr>
          <w:rFonts w:eastAsia="Times New Roman" w:cs="Times New Roman"/>
          <w:lang w:eastAsia="de-DE"/>
        </w:rPr>
        <w:t xml:space="preserve">ist Qal Wayyiqtol 3. Person maskulin Singular von </w:t>
      </w:r>
      <w:r w:rsidRPr="006715F3">
        <w:rPr>
          <w:rFonts w:eastAsia="Times New Roman" w:cs="Times New Roman"/>
          <w:b/>
          <w:bCs/>
          <w:rtl/>
          <w:lang w:eastAsia="de-DE"/>
        </w:rPr>
        <w:t>שׁוב</w:t>
      </w:r>
      <w:r w:rsidRPr="006715F3">
        <w:rPr>
          <w:rFonts w:eastAsia="Times New Roman" w:cs="Times New Roman"/>
          <w:rtl/>
          <w:lang w:eastAsia="de-DE"/>
        </w:rPr>
        <w:t xml:space="preserve"> </w:t>
      </w:r>
      <w:r w:rsidRPr="006715F3">
        <w:rPr>
          <w:rFonts w:eastAsia="Times New Roman" w:cs="Times New Roman"/>
          <w:lang w:eastAsia="de-DE"/>
        </w:rPr>
        <w:t xml:space="preserve">(„zurückkehren, umkehren"), </w:t>
      </w:r>
      <w:r w:rsidRPr="006715F3">
        <w:rPr>
          <w:rFonts w:eastAsia="Times New Roman" w:cs="Times New Roman"/>
          <w:b/>
          <w:bCs/>
          <w:rtl/>
          <w:lang w:eastAsia="de-DE"/>
        </w:rPr>
        <w:t>לִמְקֹמוֹ</w:t>
      </w:r>
      <w:r w:rsidRPr="006715F3">
        <w:rPr>
          <w:rFonts w:eastAsia="Times New Roman" w:cs="Times New Roman"/>
          <w:rtl/>
          <w:lang w:eastAsia="de-DE"/>
        </w:rPr>
        <w:t xml:space="preserve"> </w:t>
      </w:r>
      <w:r w:rsidRPr="006715F3">
        <w:rPr>
          <w:rFonts w:eastAsia="Times New Roman" w:cs="Times New Roman"/>
          <w:lang w:eastAsia="de-DE"/>
        </w:rPr>
        <w:t xml:space="preserve">besteht aus der Präposition </w:t>
      </w:r>
      <w:r w:rsidRPr="006715F3">
        <w:rPr>
          <w:rFonts w:eastAsia="Times New Roman" w:cs="Times New Roman"/>
          <w:b/>
          <w:bCs/>
          <w:rtl/>
          <w:lang w:eastAsia="de-DE"/>
        </w:rPr>
        <w:t>לְ</w:t>
      </w:r>
      <w:r w:rsidRPr="006715F3">
        <w:rPr>
          <w:rFonts w:eastAsia="Times New Roman" w:cs="Times New Roman"/>
          <w:rtl/>
          <w:lang w:eastAsia="de-DE"/>
        </w:rPr>
        <w:t xml:space="preserve"> </w:t>
      </w:r>
      <w:r w:rsidRPr="006715F3">
        <w:rPr>
          <w:rFonts w:eastAsia="Times New Roman" w:cs="Times New Roman"/>
          <w:lang w:eastAsia="de-DE"/>
        </w:rPr>
        <w:t xml:space="preserve">(„zu, nach") und </w:t>
      </w:r>
      <w:r w:rsidRPr="006715F3">
        <w:rPr>
          <w:rFonts w:eastAsia="Times New Roman" w:cs="Times New Roman"/>
          <w:b/>
          <w:bCs/>
          <w:rtl/>
          <w:lang w:eastAsia="de-DE"/>
        </w:rPr>
        <w:t>מָקוֹם</w:t>
      </w:r>
      <w:r w:rsidRPr="006715F3">
        <w:rPr>
          <w:rFonts w:eastAsia="Times New Roman" w:cs="Times New Roman"/>
          <w:rtl/>
          <w:lang w:eastAsia="de-DE"/>
        </w:rPr>
        <w:t xml:space="preserve"> </w:t>
      </w:r>
      <w:r w:rsidRPr="006715F3">
        <w:rPr>
          <w:rFonts w:eastAsia="Times New Roman" w:cs="Times New Roman"/>
          <w:lang w:eastAsia="de-DE"/>
        </w:rPr>
        <w:t>(„Ort, Platz") mit Suffix 3. Person maskulin Singular („zu seinem Ort"). Die drei Verben bilden eine typische Redewendung für Abreise und Heimkehr. Die Verwendung von drei Verben betont die Endgültigkeit der Trennung.</w:t>
      </w:r>
    </w:p>
    <w:p w14:paraId="1C232299" w14:textId="70019645" w:rsidR="006715F3" w:rsidRPr="006715F3" w:rsidRDefault="006715F3" w:rsidP="00C0709A">
      <w:pPr>
        <w:spacing w:before="100" w:beforeAutospacing="1" w:after="100" w:afterAutospacing="1" w:line="240" w:lineRule="auto"/>
        <w:rPr>
          <w:rFonts w:eastAsia="Times New Roman" w:cs="Times New Roman"/>
          <w:lang w:eastAsia="de-DE"/>
        </w:rPr>
      </w:pPr>
      <w:r w:rsidRPr="006715F3">
        <w:rPr>
          <w:rFonts w:eastAsia="Times New Roman" w:cs="Times New Roman"/>
          <w:b/>
          <w:bCs/>
          <w:rtl/>
          <w:lang w:eastAsia="de-DE"/>
        </w:rPr>
        <w:t>וְגַם־בָּלָק הָלַךְ לְדַרְכּוֹ</w:t>
      </w:r>
      <w:r w:rsidRPr="006715F3">
        <w:rPr>
          <w:rFonts w:eastAsia="Times New Roman" w:cs="Times New Roman"/>
          <w:rtl/>
          <w:lang w:eastAsia="de-DE"/>
        </w:rPr>
        <w:t xml:space="preserve"> </w:t>
      </w:r>
      <w:r w:rsidRPr="006715F3">
        <w:rPr>
          <w:rFonts w:eastAsia="Times New Roman" w:cs="Times New Roman"/>
          <w:lang w:eastAsia="de-DE"/>
        </w:rPr>
        <w:t xml:space="preserve">bildet den parallelen Abschluss. </w:t>
      </w:r>
      <w:r w:rsidRPr="006715F3">
        <w:rPr>
          <w:rFonts w:eastAsia="Times New Roman" w:cs="Times New Roman"/>
          <w:b/>
          <w:bCs/>
          <w:rtl/>
          <w:lang w:eastAsia="de-DE"/>
        </w:rPr>
        <w:t>וְגַם</w:t>
      </w:r>
      <w:r w:rsidRPr="006715F3">
        <w:rPr>
          <w:rFonts w:eastAsia="Times New Roman" w:cs="Times New Roman"/>
          <w:rtl/>
          <w:lang w:eastAsia="de-DE"/>
        </w:rPr>
        <w:t xml:space="preserve"> </w:t>
      </w:r>
      <w:r w:rsidRPr="006715F3">
        <w:rPr>
          <w:rFonts w:eastAsia="Times New Roman" w:cs="Times New Roman"/>
          <w:lang w:eastAsia="de-DE"/>
        </w:rPr>
        <w:t xml:space="preserve">ist die additive Konjunktion („und auch"), </w:t>
      </w:r>
      <w:r w:rsidRPr="006715F3">
        <w:rPr>
          <w:rFonts w:eastAsia="Times New Roman" w:cs="Times New Roman"/>
          <w:b/>
          <w:bCs/>
          <w:rtl/>
          <w:lang w:eastAsia="de-DE"/>
        </w:rPr>
        <w:t>בָּלָק</w:t>
      </w:r>
      <w:r w:rsidRPr="006715F3">
        <w:rPr>
          <w:rFonts w:eastAsia="Times New Roman" w:cs="Times New Roman"/>
          <w:rtl/>
          <w:lang w:eastAsia="de-DE"/>
        </w:rPr>
        <w:t xml:space="preserve"> </w:t>
      </w:r>
      <w:r w:rsidRPr="006715F3">
        <w:rPr>
          <w:rFonts w:eastAsia="Times New Roman" w:cs="Times New Roman"/>
          <w:lang w:eastAsia="de-DE"/>
        </w:rPr>
        <w:t xml:space="preserve">ist das Subjekt. </w:t>
      </w:r>
      <w:r w:rsidRPr="006715F3">
        <w:rPr>
          <w:rFonts w:eastAsia="Times New Roman" w:cs="Times New Roman"/>
          <w:b/>
          <w:bCs/>
          <w:rtl/>
          <w:lang w:eastAsia="de-DE"/>
        </w:rPr>
        <w:t>הָלַךְ</w:t>
      </w:r>
      <w:r w:rsidRPr="006715F3">
        <w:rPr>
          <w:rFonts w:eastAsia="Times New Roman" w:cs="Times New Roman"/>
          <w:rtl/>
          <w:lang w:eastAsia="de-DE"/>
        </w:rPr>
        <w:t xml:space="preserve"> </w:t>
      </w:r>
      <w:r w:rsidRPr="006715F3">
        <w:rPr>
          <w:rFonts w:eastAsia="Times New Roman" w:cs="Times New Roman"/>
          <w:lang w:eastAsia="de-DE"/>
        </w:rPr>
        <w:t xml:space="preserve">ist Qal Perfekt 3. Person maskulin Singular von </w:t>
      </w:r>
      <w:r w:rsidRPr="006715F3">
        <w:rPr>
          <w:rFonts w:eastAsia="Times New Roman" w:cs="Times New Roman"/>
          <w:b/>
          <w:bCs/>
          <w:rtl/>
          <w:lang w:eastAsia="de-DE"/>
        </w:rPr>
        <w:t>הלך</w:t>
      </w:r>
      <w:r w:rsidRPr="006715F3">
        <w:rPr>
          <w:rFonts w:eastAsia="Times New Roman" w:cs="Times New Roman"/>
          <w:rtl/>
          <w:lang w:eastAsia="de-DE"/>
        </w:rPr>
        <w:t xml:space="preserve"> </w:t>
      </w:r>
      <w:r w:rsidRPr="006715F3">
        <w:rPr>
          <w:rFonts w:eastAsia="Times New Roman" w:cs="Times New Roman"/>
          <w:lang w:eastAsia="de-DE"/>
        </w:rPr>
        <w:t xml:space="preserve">(„gehen"), hier nach Wayyiqtol-Formen als narrative Fortsetzung. </w:t>
      </w:r>
      <w:r w:rsidRPr="006715F3">
        <w:rPr>
          <w:rFonts w:eastAsia="Times New Roman" w:cs="Times New Roman"/>
          <w:b/>
          <w:bCs/>
          <w:rtl/>
          <w:lang w:eastAsia="de-DE"/>
        </w:rPr>
        <w:t>לְדַרְכּוֹ</w:t>
      </w:r>
      <w:r w:rsidRPr="006715F3">
        <w:rPr>
          <w:rFonts w:eastAsia="Times New Roman" w:cs="Times New Roman"/>
          <w:rtl/>
          <w:lang w:eastAsia="de-DE"/>
        </w:rPr>
        <w:t xml:space="preserve"> </w:t>
      </w:r>
      <w:r w:rsidRPr="006715F3">
        <w:rPr>
          <w:rFonts w:eastAsia="Times New Roman" w:cs="Times New Roman"/>
          <w:lang w:eastAsia="de-DE"/>
        </w:rPr>
        <w:t xml:space="preserve">besteht aus der </w:t>
      </w:r>
      <w:r w:rsidRPr="006715F3">
        <w:rPr>
          <w:rFonts w:eastAsia="Times New Roman" w:cs="Times New Roman"/>
          <w:lang w:eastAsia="de-DE"/>
        </w:rPr>
        <w:lastRenderedPageBreak/>
        <w:t xml:space="preserve">Präposition </w:t>
      </w:r>
      <w:r w:rsidRPr="006715F3">
        <w:rPr>
          <w:rFonts w:eastAsia="Times New Roman" w:cs="Times New Roman"/>
          <w:b/>
          <w:bCs/>
          <w:rtl/>
          <w:lang w:eastAsia="de-DE"/>
        </w:rPr>
        <w:t>לְ</w:t>
      </w:r>
      <w:r w:rsidRPr="006715F3">
        <w:rPr>
          <w:rFonts w:eastAsia="Times New Roman" w:cs="Times New Roman"/>
          <w:rtl/>
          <w:lang w:eastAsia="de-DE"/>
        </w:rPr>
        <w:t xml:space="preserve"> </w:t>
      </w:r>
      <w:r w:rsidRPr="006715F3">
        <w:rPr>
          <w:rFonts w:eastAsia="Times New Roman" w:cs="Times New Roman"/>
          <w:lang w:eastAsia="de-DE"/>
        </w:rPr>
        <w:t xml:space="preserve">und </w:t>
      </w:r>
      <w:r w:rsidRPr="006715F3">
        <w:rPr>
          <w:rFonts w:eastAsia="Times New Roman" w:cs="Times New Roman"/>
          <w:b/>
          <w:bCs/>
          <w:rtl/>
          <w:lang w:eastAsia="de-DE"/>
        </w:rPr>
        <w:t>דֶּרֶךְ</w:t>
      </w:r>
      <w:r w:rsidRPr="006715F3">
        <w:rPr>
          <w:rFonts w:eastAsia="Times New Roman" w:cs="Times New Roman"/>
          <w:rtl/>
          <w:lang w:eastAsia="de-DE"/>
        </w:rPr>
        <w:t xml:space="preserve"> </w:t>
      </w:r>
      <w:r w:rsidRPr="006715F3">
        <w:rPr>
          <w:rFonts w:eastAsia="Times New Roman" w:cs="Times New Roman"/>
          <w:lang w:eastAsia="de-DE"/>
        </w:rPr>
        <w:t xml:space="preserve">(„Weg, Pfad") mit Suffix 3. Person maskulin Singular („zu seinem Weg, seines Weges"). Die Formulierung </w:t>
      </w:r>
      <w:r w:rsidRPr="006715F3">
        <w:rPr>
          <w:rFonts w:eastAsia="Times New Roman" w:cs="Times New Roman"/>
          <w:b/>
          <w:bCs/>
          <w:rtl/>
          <w:lang w:eastAsia="de-DE"/>
        </w:rPr>
        <w:t>הלך לדרכו</w:t>
      </w:r>
      <w:r w:rsidRPr="006715F3">
        <w:rPr>
          <w:rFonts w:eastAsia="Times New Roman" w:cs="Times New Roman"/>
          <w:rtl/>
          <w:lang w:eastAsia="de-DE"/>
        </w:rPr>
        <w:t xml:space="preserve"> </w:t>
      </w:r>
      <w:r w:rsidRPr="006715F3">
        <w:rPr>
          <w:rFonts w:eastAsia="Times New Roman" w:cs="Times New Roman"/>
          <w:lang w:eastAsia="de-DE"/>
        </w:rPr>
        <w:t xml:space="preserve">ist idiomatisch für „seines Weges gehen, weitergehen". Der Kontrast zwischen </w:t>
      </w:r>
      <w:r w:rsidRPr="006715F3">
        <w:rPr>
          <w:rFonts w:eastAsia="Times New Roman" w:cs="Times New Roman"/>
          <w:b/>
          <w:bCs/>
          <w:rtl/>
          <w:lang w:eastAsia="de-DE"/>
        </w:rPr>
        <w:t>לִמְקֹמוֹ</w:t>
      </w:r>
      <w:r w:rsidRPr="006715F3">
        <w:rPr>
          <w:rFonts w:eastAsia="Times New Roman" w:cs="Times New Roman"/>
          <w:rtl/>
          <w:lang w:eastAsia="de-DE"/>
        </w:rPr>
        <w:t xml:space="preserve"> </w:t>
      </w:r>
      <w:r w:rsidRPr="006715F3">
        <w:rPr>
          <w:rFonts w:eastAsia="Times New Roman" w:cs="Times New Roman"/>
          <w:lang w:eastAsia="de-DE"/>
        </w:rPr>
        <w:t xml:space="preserve">(„zu seinem Ort") und </w:t>
      </w:r>
      <w:r w:rsidRPr="006715F3">
        <w:rPr>
          <w:rFonts w:eastAsia="Times New Roman" w:cs="Times New Roman"/>
          <w:b/>
          <w:bCs/>
          <w:rtl/>
          <w:lang w:eastAsia="de-DE"/>
        </w:rPr>
        <w:t>לְדַרְכּוֹ</w:t>
      </w:r>
      <w:r w:rsidRPr="006715F3">
        <w:rPr>
          <w:rFonts w:eastAsia="Times New Roman" w:cs="Times New Roman"/>
          <w:rtl/>
          <w:lang w:eastAsia="de-DE"/>
        </w:rPr>
        <w:t xml:space="preserve"> </w:t>
      </w:r>
      <w:r w:rsidRPr="006715F3">
        <w:rPr>
          <w:rFonts w:eastAsia="Times New Roman" w:cs="Times New Roman"/>
          <w:lang w:eastAsia="de-DE"/>
        </w:rPr>
        <w:t>(„seines Weges") ist subtil: Bileam kehrt zu einem festen Ort zurück, während Balak einfach weitergeht, was möglicherweise seine Enttäuschung und Ziellosigkeit andeutet.</w:t>
      </w:r>
    </w:p>
    <w:p w14:paraId="0AF2FAC3"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Die Satzstruktur zeigt drei koordinierte Wayyiqtol-Formen für Bileam (sich aufmachen, gehen, zurückkehren), gefolgt von einem parallelen Satz für Balak mit perfektischer Verbform. Die Parallelität der Struktur betont die gleichzeitige, aber separate Abreise beider Protagonisten.</w:t>
      </w:r>
    </w:p>
    <w:p w14:paraId="268AC0A4" w14:textId="77777777" w:rsidR="006715F3" w:rsidRPr="006715F3" w:rsidRDefault="006715F3" w:rsidP="006715F3">
      <w:pPr>
        <w:spacing w:before="100" w:beforeAutospacing="1" w:after="100" w:afterAutospacing="1" w:line="240" w:lineRule="auto"/>
        <w:rPr>
          <w:rFonts w:eastAsia="Times New Roman" w:cs="Times New Roman"/>
          <w:lang w:eastAsia="de-DE"/>
        </w:rPr>
      </w:pPr>
      <w:r w:rsidRPr="006715F3">
        <w:rPr>
          <w:rFonts w:eastAsia="Times New Roman" w:cs="Times New Roman"/>
          <w:lang w:eastAsia="de-DE"/>
        </w:rPr>
        <w:t>Der Vers beschließt die dramatische Begegnung zwischen Balak und Bileam mit einer nüchternen Feststellung: Beide gehen ihrer Wege, ohne dass Balaks Ziel erreicht wurde. Die Erzählung endet ohne Versöhnung oder weitere Interaktion, was die Spannung und das unbefriedigende Ergebnis aus Balaks Perspektive unterstreicht. Bileam hat seine prophetische Integrität bewahrt und Israel viermal gesegnet statt verflucht, was Gottes souveräne Kontrolle über menschliche Pläne demonstriert.</w:t>
      </w:r>
    </w:p>
    <w:p w14:paraId="26C0ABB6"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25,1</w:t>
      </w:r>
    </w:p>
    <w:p w14:paraId="488823C2"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וַיֵּ֥שֶׁב יִשְׂרָאֵ֖ל בַּשִּׁטִּ֑ים וַיָּ֣חֶל הָעָ֔ם לִזְנ֖וֹת אֶל־בְּנ֥וֹת מוֹאָֽב׃</w:t>
      </w:r>
    </w:p>
    <w:p w14:paraId="29D09D9F"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Jisra'el ließ sich nieder in Schittim, und das Volk fing an zu huren mit den Töchtern Mo'avs.</w:t>
      </w:r>
    </w:p>
    <w:p w14:paraId="433BB5ED"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6A37A4B2">
          <v:rect id="_x0000_i1852" style="width:0;height:1.5pt" o:hralign="center" o:hrstd="t" o:hr="t" fillcolor="#a0a0a0" stroked="f"/>
        </w:pict>
      </w:r>
    </w:p>
    <w:p w14:paraId="64BF24C7"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beginnt mit </w:t>
      </w:r>
      <w:r w:rsidRPr="00D70A0B">
        <w:rPr>
          <w:rFonts w:eastAsia="Times New Roman" w:cs="Times New Roman"/>
          <w:b/>
          <w:bCs/>
          <w:rtl/>
          <w:lang w:eastAsia="de-DE"/>
        </w:rPr>
        <w:t>וַיֵּשֶׁב יִשְׂרָאֵל בַּשִּׁטִּים</w:t>
      </w:r>
      <w:r w:rsidRPr="00D70A0B">
        <w:rPr>
          <w:rFonts w:eastAsia="Times New Roman" w:cs="Times New Roman"/>
          <w:lang w:eastAsia="de-DE"/>
        </w:rPr>
        <w:t xml:space="preserve">, einem narrativen Neueinsatz. </w:t>
      </w:r>
      <w:r w:rsidRPr="00D70A0B">
        <w:rPr>
          <w:rFonts w:eastAsia="Times New Roman" w:cs="Times New Roman"/>
          <w:b/>
          <w:bCs/>
          <w:rtl/>
          <w:lang w:eastAsia="de-DE"/>
        </w:rPr>
        <w:t>וַיֵּשֶׁב</w:t>
      </w:r>
      <w:r w:rsidRPr="00D70A0B">
        <w:rPr>
          <w:rFonts w:eastAsia="Times New Roman" w:cs="Times New Roman"/>
          <w:rtl/>
          <w:lang w:eastAsia="de-DE"/>
        </w:rPr>
        <w:t xml:space="preserve"> </w:t>
      </w:r>
      <w:r w:rsidRPr="00D70A0B">
        <w:rPr>
          <w:rFonts w:eastAsia="Times New Roman" w:cs="Times New Roman"/>
          <w:lang w:eastAsia="de-DE"/>
        </w:rPr>
        <w:t xml:space="preserve">ist Qal Wayyiqtol 3. Person maskulin Singular von </w:t>
      </w:r>
      <w:r w:rsidRPr="00D70A0B">
        <w:rPr>
          <w:rFonts w:eastAsia="Times New Roman" w:cs="Times New Roman"/>
          <w:b/>
          <w:bCs/>
          <w:rtl/>
          <w:lang w:eastAsia="de-DE"/>
        </w:rPr>
        <w:t>ישׁב</w:t>
      </w:r>
      <w:r w:rsidRPr="00D70A0B">
        <w:rPr>
          <w:rFonts w:eastAsia="Times New Roman" w:cs="Times New Roman"/>
          <w:rtl/>
          <w:lang w:eastAsia="de-DE"/>
        </w:rPr>
        <w:t xml:space="preserve"> </w:t>
      </w:r>
      <w:r w:rsidRPr="00D70A0B">
        <w:rPr>
          <w:rFonts w:eastAsia="Times New Roman" w:cs="Times New Roman"/>
          <w:lang w:eastAsia="de-DE"/>
        </w:rPr>
        <w:t xml:space="preserve">(„wohnen, sich niederlassen, bleiben"), </w:t>
      </w:r>
      <w:r w:rsidRPr="00D70A0B">
        <w:rPr>
          <w:rFonts w:eastAsia="Times New Roman" w:cs="Times New Roman"/>
          <w:b/>
          <w:bCs/>
          <w:rtl/>
          <w:lang w:eastAsia="de-DE"/>
        </w:rPr>
        <w:t>יִשְׂרָאֵל</w:t>
      </w:r>
      <w:r w:rsidRPr="00D70A0B">
        <w:rPr>
          <w:rFonts w:eastAsia="Times New Roman" w:cs="Times New Roman"/>
          <w:rtl/>
          <w:lang w:eastAsia="de-DE"/>
        </w:rPr>
        <w:t xml:space="preserve"> </w:t>
      </w:r>
      <w:r w:rsidRPr="00D70A0B">
        <w:rPr>
          <w:rFonts w:eastAsia="Times New Roman" w:cs="Times New Roman"/>
          <w:lang w:eastAsia="de-DE"/>
        </w:rPr>
        <w:t xml:space="preserve">ist das kollektive Subjekt (das Volk Israel). </w:t>
      </w:r>
      <w:r w:rsidRPr="00D70A0B">
        <w:rPr>
          <w:rFonts w:eastAsia="Times New Roman" w:cs="Times New Roman"/>
          <w:b/>
          <w:bCs/>
          <w:rtl/>
          <w:lang w:eastAsia="de-DE"/>
        </w:rPr>
        <w:t>בַּשִּׁטִּים</w:t>
      </w:r>
      <w:r w:rsidRPr="00D70A0B">
        <w:rPr>
          <w:rFonts w:eastAsia="Times New Roman" w:cs="Times New Roman"/>
          <w:rtl/>
          <w:lang w:eastAsia="de-DE"/>
        </w:rPr>
        <w:t xml:space="preserve"> </w:t>
      </w:r>
      <w:r w:rsidRPr="00D70A0B">
        <w:rPr>
          <w:rFonts w:eastAsia="Times New Roman" w:cs="Times New Roman"/>
          <w:lang w:eastAsia="de-DE"/>
        </w:rPr>
        <w:t xml:space="preserve">besteht aus der lokalen Präposition </w:t>
      </w:r>
      <w:r w:rsidRPr="00D70A0B">
        <w:rPr>
          <w:rFonts w:eastAsia="Times New Roman" w:cs="Times New Roman"/>
          <w:b/>
          <w:bCs/>
          <w:rtl/>
          <w:lang w:eastAsia="de-DE"/>
        </w:rPr>
        <w:t>בְּ</w:t>
      </w:r>
      <w:r w:rsidRPr="00D70A0B">
        <w:rPr>
          <w:rFonts w:eastAsia="Times New Roman" w:cs="Times New Roman"/>
          <w:rtl/>
          <w:lang w:eastAsia="de-DE"/>
        </w:rPr>
        <w:t xml:space="preserve"> </w:t>
      </w:r>
      <w:r w:rsidRPr="00D70A0B">
        <w:rPr>
          <w:rFonts w:eastAsia="Times New Roman" w:cs="Times New Roman"/>
          <w:lang w:eastAsia="de-DE"/>
        </w:rPr>
        <w:t xml:space="preserve">(„in") und dem Ortsnamen </w:t>
      </w:r>
      <w:r w:rsidRPr="00D70A0B">
        <w:rPr>
          <w:rFonts w:eastAsia="Times New Roman" w:cs="Times New Roman"/>
          <w:b/>
          <w:bCs/>
          <w:rtl/>
          <w:lang w:eastAsia="de-DE"/>
        </w:rPr>
        <w:t>שִׁטִּים</w:t>
      </w:r>
      <w:r w:rsidRPr="00D70A0B">
        <w:rPr>
          <w:rFonts w:eastAsia="Times New Roman" w:cs="Times New Roman"/>
          <w:rtl/>
          <w:lang w:eastAsia="de-DE"/>
        </w:rPr>
        <w:t xml:space="preserve"> </w:t>
      </w:r>
      <w:r w:rsidRPr="00D70A0B">
        <w:rPr>
          <w:rFonts w:eastAsia="Times New Roman" w:cs="Times New Roman"/>
          <w:lang w:eastAsia="de-DE"/>
        </w:rPr>
        <w:t>(„Schittim", wörtlich „Akazien"), der letzten Lagerstation Israels im Ostjordanland vor dem Einzug ins verheißene Land (vgl. Num 33,49; Jos 2,1; 3,1). Die Ortsangabe ist theologisch bedeutsam, da sie den Kontrast zwischen der Nähe zum Ziel und dem moralischen Fall markiert.</w:t>
      </w:r>
    </w:p>
    <w:p w14:paraId="13F2E4C6" w14:textId="0745D5FE"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וַיָּחֶל הָעָם לִזְנוֹת אֶל־בְּנוֹת מוֹאָב</w:t>
      </w:r>
      <w:r w:rsidRPr="00D70A0B">
        <w:rPr>
          <w:rFonts w:eastAsia="Times New Roman" w:cs="Times New Roman"/>
          <w:rtl/>
          <w:lang w:eastAsia="de-DE"/>
        </w:rPr>
        <w:t xml:space="preserve"> </w:t>
      </w:r>
      <w:r w:rsidRPr="00D70A0B">
        <w:rPr>
          <w:rFonts w:eastAsia="Times New Roman" w:cs="Times New Roman"/>
          <w:lang w:eastAsia="de-DE"/>
        </w:rPr>
        <w:t xml:space="preserve">beschreibt den Beginn der Sünde. </w:t>
      </w:r>
      <w:r w:rsidRPr="00D70A0B">
        <w:rPr>
          <w:rFonts w:eastAsia="Times New Roman" w:cs="Times New Roman"/>
          <w:b/>
          <w:bCs/>
          <w:rtl/>
          <w:lang w:eastAsia="de-DE"/>
        </w:rPr>
        <w:t>וַיָּחֶל</w:t>
      </w:r>
      <w:r w:rsidRPr="00D70A0B">
        <w:rPr>
          <w:rFonts w:eastAsia="Times New Roman" w:cs="Times New Roman"/>
          <w:rtl/>
          <w:lang w:eastAsia="de-DE"/>
        </w:rPr>
        <w:t xml:space="preserve"> </w:t>
      </w:r>
      <w:r w:rsidRPr="00D70A0B">
        <w:rPr>
          <w:rFonts w:eastAsia="Times New Roman" w:cs="Times New Roman"/>
          <w:lang w:eastAsia="de-DE"/>
        </w:rPr>
        <w:t xml:space="preserve">ist Hiphil Wayyiqtol 3. Person maskulin Singular von </w:t>
      </w:r>
      <w:r w:rsidRPr="00D70A0B">
        <w:rPr>
          <w:rFonts w:eastAsia="Times New Roman" w:cs="Times New Roman"/>
          <w:b/>
          <w:bCs/>
          <w:rtl/>
          <w:lang w:eastAsia="de-DE"/>
        </w:rPr>
        <w:t>חלל</w:t>
      </w:r>
      <w:r w:rsidRPr="00D70A0B">
        <w:rPr>
          <w:rFonts w:eastAsia="Times New Roman" w:cs="Times New Roman"/>
          <w:rtl/>
          <w:lang w:eastAsia="de-DE"/>
        </w:rPr>
        <w:t xml:space="preserve"> </w:t>
      </w:r>
      <w:r w:rsidRPr="00D70A0B">
        <w:rPr>
          <w:rFonts w:eastAsia="Times New Roman" w:cs="Times New Roman"/>
          <w:lang w:eastAsia="de-DE"/>
        </w:rPr>
        <w:t xml:space="preserve">(„anfangen, beginnen"), wobei das Hiphil die inchoative Bedeutung hat („anfangen zu"). </w:t>
      </w:r>
      <w:r w:rsidRPr="00D70A0B">
        <w:rPr>
          <w:rFonts w:eastAsia="Times New Roman" w:cs="Times New Roman"/>
          <w:b/>
          <w:bCs/>
          <w:rtl/>
          <w:lang w:eastAsia="de-DE"/>
        </w:rPr>
        <w:t>הָעָם</w:t>
      </w:r>
      <w:r w:rsidRPr="00D70A0B">
        <w:rPr>
          <w:rFonts w:eastAsia="Times New Roman" w:cs="Times New Roman"/>
          <w:rtl/>
          <w:lang w:eastAsia="de-DE"/>
        </w:rPr>
        <w:t xml:space="preserve"> </w:t>
      </w:r>
      <w:r w:rsidRPr="00D70A0B">
        <w:rPr>
          <w:rFonts w:eastAsia="Times New Roman" w:cs="Times New Roman"/>
          <w:lang w:eastAsia="de-DE"/>
        </w:rPr>
        <w:t xml:space="preserve">(„das Volk") ist das Subjekt, was die kollektive Verantwortung betont. </w:t>
      </w:r>
      <w:r w:rsidRPr="00D70A0B">
        <w:rPr>
          <w:rFonts w:eastAsia="Times New Roman" w:cs="Times New Roman"/>
          <w:b/>
          <w:bCs/>
          <w:rtl/>
          <w:lang w:eastAsia="de-DE"/>
        </w:rPr>
        <w:t>לִזְנוֹת</w:t>
      </w:r>
      <w:r w:rsidRPr="00D70A0B">
        <w:rPr>
          <w:rFonts w:eastAsia="Times New Roman" w:cs="Times New Roman"/>
          <w:rtl/>
          <w:lang w:eastAsia="de-DE"/>
        </w:rPr>
        <w:t xml:space="preserve"> </w:t>
      </w:r>
      <w:r w:rsidRPr="00D70A0B">
        <w:rPr>
          <w:rFonts w:eastAsia="Times New Roman" w:cs="Times New Roman"/>
          <w:lang w:eastAsia="de-DE"/>
        </w:rPr>
        <w:t xml:space="preserve">ist Qal Infinitiv </w:t>
      </w:r>
      <w:r w:rsidR="00E031B3">
        <w:rPr>
          <w:rFonts w:eastAsia="Times New Roman" w:cs="Times New Roman"/>
          <w:lang w:eastAsia="de-DE"/>
        </w:rPr>
        <w:t>Constructus von</w:t>
      </w:r>
      <w:r w:rsidRPr="00D70A0B">
        <w:rPr>
          <w:rFonts w:eastAsia="Times New Roman" w:cs="Times New Roman"/>
          <w:lang w:eastAsia="de-DE"/>
        </w:rPr>
        <w:t xml:space="preserve"> </w:t>
      </w:r>
      <w:r w:rsidRPr="00D70A0B">
        <w:rPr>
          <w:rFonts w:eastAsia="Times New Roman" w:cs="Times New Roman"/>
          <w:b/>
          <w:bCs/>
          <w:rtl/>
          <w:lang w:eastAsia="de-DE"/>
        </w:rPr>
        <w:t>זנה</w:t>
      </w:r>
      <w:r w:rsidRPr="00D70A0B">
        <w:rPr>
          <w:rFonts w:eastAsia="Times New Roman" w:cs="Times New Roman"/>
          <w:rtl/>
          <w:lang w:eastAsia="de-DE"/>
        </w:rPr>
        <w:t xml:space="preserve"> </w:t>
      </w:r>
      <w:r w:rsidRPr="00D70A0B">
        <w:rPr>
          <w:rFonts w:eastAsia="Times New Roman" w:cs="Times New Roman"/>
          <w:lang w:eastAsia="de-DE"/>
        </w:rPr>
        <w:t xml:space="preserve">(„huren, Unzucht treiben") mit der Präposition </w:t>
      </w:r>
      <w:r w:rsidRPr="00D70A0B">
        <w:rPr>
          <w:rFonts w:eastAsia="Times New Roman" w:cs="Times New Roman"/>
          <w:b/>
          <w:bCs/>
          <w:rtl/>
          <w:lang w:eastAsia="de-DE"/>
        </w:rPr>
        <w:t>לְ</w:t>
      </w:r>
      <w:r w:rsidRPr="00D70A0B">
        <w:rPr>
          <w:rFonts w:eastAsia="Times New Roman" w:cs="Times New Roman"/>
          <w:lang w:eastAsia="de-DE"/>
        </w:rPr>
        <w:t xml:space="preserve">, die den Inhalt der begonnenen Handlung angibt. Das Verb </w:t>
      </w:r>
      <w:r w:rsidRPr="00D70A0B">
        <w:rPr>
          <w:rFonts w:eastAsia="Times New Roman" w:cs="Times New Roman"/>
          <w:b/>
          <w:bCs/>
          <w:rtl/>
          <w:lang w:eastAsia="de-DE"/>
        </w:rPr>
        <w:t>זנה</w:t>
      </w:r>
      <w:r w:rsidRPr="00D70A0B">
        <w:rPr>
          <w:rFonts w:eastAsia="Times New Roman" w:cs="Times New Roman"/>
          <w:rtl/>
          <w:lang w:eastAsia="de-DE"/>
        </w:rPr>
        <w:t xml:space="preserve"> </w:t>
      </w:r>
      <w:r w:rsidRPr="00D70A0B">
        <w:rPr>
          <w:rFonts w:eastAsia="Times New Roman" w:cs="Times New Roman"/>
          <w:lang w:eastAsia="de-DE"/>
        </w:rPr>
        <w:t xml:space="preserve">wird im AT sowohl für sexuelle Unmoral als auch metaphorisch für religiöse Untreue verwendet; hier liegt wahrscheinlich beides vor. </w:t>
      </w:r>
      <w:r w:rsidRPr="00D70A0B">
        <w:rPr>
          <w:rFonts w:eastAsia="Times New Roman" w:cs="Times New Roman"/>
          <w:b/>
          <w:bCs/>
          <w:rtl/>
          <w:lang w:eastAsia="de-DE"/>
        </w:rPr>
        <w:t>אֶל־בְּנוֹת מוֹאָב</w:t>
      </w:r>
      <w:r w:rsidRPr="00D70A0B">
        <w:rPr>
          <w:rFonts w:eastAsia="Times New Roman" w:cs="Times New Roman"/>
          <w:rtl/>
          <w:lang w:eastAsia="de-DE"/>
        </w:rPr>
        <w:t xml:space="preserve"> </w:t>
      </w:r>
      <w:r w:rsidRPr="00D70A0B">
        <w:rPr>
          <w:rFonts w:eastAsia="Times New Roman" w:cs="Times New Roman"/>
          <w:lang w:eastAsia="de-DE"/>
        </w:rPr>
        <w:t xml:space="preserve">gibt das Objekt an: </w:t>
      </w:r>
      <w:r w:rsidRPr="00D70A0B">
        <w:rPr>
          <w:rFonts w:eastAsia="Times New Roman" w:cs="Times New Roman"/>
          <w:b/>
          <w:bCs/>
          <w:rtl/>
          <w:lang w:eastAsia="de-DE"/>
        </w:rPr>
        <w:t>אֶל</w:t>
      </w:r>
      <w:r w:rsidRPr="00D70A0B">
        <w:rPr>
          <w:rFonts w:eastAsia="Times New Roman" w:cs="Times New Roman"/>
          <w:rtl/>
          <w:lang w:eastAsia="de-DE"/>
        </w:rPr>
        <w:t xml:space="preserve"> </w:t>
      </w:r>
      <w:r w:rsidRPr="00D70A0B">
        <w:rPr>
          <w:rFonts w:eastAsia="Times New Roman" w:cs="Times New Roman"/>
          <w:lang w:eastAsia="de-DE"/>
        </w:rPr>
        <w:t xml:space="preserve">ist die direktionale Präposition („zu, mit"), </w:t>
      </w:r>
      <w:r w:rsidRPr="00D70A0B">
        <w:rPr>
          <w:rFonts w:eastAsia="Times New Roman" w:cs="Times New Roman"/>
          <w:b/>
          <w:bCs/>
          <w:rtl/>
          <w:lang w:eastAsia="de-DE"/>
        </w:rPr>
        <w:t>בְּנוֹת</w:t>
      </w:r>
      <w:r w:rsidRPr="00D70A0B">
        <w:rPr>
          <w:rFonts w:eastAsia="Times New Roman" w:cs="Times New Roman"/>
          <w:rtl/>
          <w:lang w:eastAsia="de-DE"/>
        </w:rPr>
        <w:t xml:space="preserve"> </w:t>
      </w:r>
      <w:r w:rsidRPr="00D70A0B">
        <w:rPr>
          <w:rFonts w:eastAsia="Times New Roman" w:cs="Times New Roman"/>
          <w:lang w:eastAsia="de-DE"/>
        </w:rPr>
        <w:t xml:space="preserve">ist der feminine Plural </w:t>
      </w:r>
      <w:r w:rsidR="00E031B3">
        <w:rPr>
          <w:rFonts w:eastAsia="Times New Roman" w:cs="Times New Roman"/>
          <w:lang w:eastAsia="de-DE"/>
        </w:rPr>
        <w:t>Constructus von</w:t>
      </w:r>
      <w:r w:rsidRPr="00D70A0B">
        <w:rPr>
          <w:rFonts w:eastAsia="Times New Roman" w:cs="Times New Roman"/>
          <w:lang w:eastAsia="de-DE"/>
        </w:rPr>
        <w:t xml:space="preserve"> </w:t>
      </w:r>
      <w:r w:rsidRPr="00D70A0B">
        <w:rPr>
          <w:rFonts w:eastAsia="Times New Roman" w:cs="Times New Roman"/>
          <w:b/>
          <w:bCs/>
          <w:rtl/>
          <w:lang w:eastAsia="de-DE"/>
        </w:rPr>
        <w:t>בַּת</w:t>
      </w:r>
      <w:r w:rsidRPr="00D70A0B">
        <w:rPr>
          <w:rFonts w:eastAsia="Times New Roman" w:cs="Times New Roman"/>
          <w:rtl/>
          <w:lang w:eastAsia="de-DE"/>
        </w:rPr>
        <w:t xml:space="preserve"> </w:t>
      </w:r>
      <w:r w:rsidRPr="00D70A0B">
        <w:rPr>
          <w:rFonts w:eastAsia="Times New Roman" w:cs="Times New Roman"/>
          <w:lang w:eastAsia="de-DE"/>
        </w:rPr>
        <w:t xml:space="preserve">(„Tochter"), </w:t>
      </w:r>
      <w:r w:rsidRPr="00D70A0B">
        <w:rPr>
          <w:rFonts w:eastAsia="Times New Roman" w:cs="Times New Roman"/>
          <w:b/>
          <w:bCs/>
          <w:rtl/>
          <w:lang w:eastAsia="de-DE"/>
        </w:rPr>
        <w:t>מוֹאָב</w:t>
      </w:r>
      <w:r w:rsidRPr="00D70A0B">
        <w:rPr>
          <w:rFonts w:eastAsia="Times New Roman" w:cs="Times New Roman"/>
          <w:rtl/>
          <w:lang w:eastAsia="de-DE"/>
        </w:rPr>
        <w:t xml:space="preserve"> </w:t>
      </w:r>
      <w:r w:rsidRPr="00D70A0B">
        <w:rPr>
          <w:rFonts w:eastAsia="Times New Roman" w:cs="Times New Roman"/>
          <w:lang w:eastAsia="de-DE"/>
        </w:rPr>
        <w:t>ist der Genitiv (die Töchter Moabs). Die Formulierung zeigt, dass israelitische Männer sexuelle Beziehungen zu moabitischen Frauen eingingen, was gegen das Gebot der Absonderung verstieß und zur religiösen Vermischung führte.</w:t>
      </w:r>
    </w:p>
    <w:p w14:paraId="683F4AC8" w14:textId="29F2501B"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lastRenderedPageBreak/>
        <w:t>Die LXX</w:t>
      </w:r>
      <w:r w:rsidRPr="00D70A0B">
        <w:rPr>
          <w:rFonts w:eastAsia="Times New Roman" w:cs="Times New Roman"/>
          <w:lang w:eastAsia="de-DE"/>
        </w:rPr>
        <w:t xml:space="preserve"> </w:t>
      </w:r>
      <w:r w:rsidR="00CD2614">
        <w:t>übersetzt „</w:t>
      </w:r>
      <w:r w:rsidR="00CD2614">
        <w:rPr>
          <w:rtl/>
        </w:rPr>
        <w:t>וַיָּחֶל הָעָם לִזְנוֹת</w:t>
      </w:r>
      <w:r w:rsidR="00CD2614">
        <w:t>" (und das Volk begann Unzucht zu treiben) mit „καὶ ἐβεβηλώθη ὁ λαὸς ἐκπορνεῦσαι" (und das Volk wurde entweiht, Unzucht zu treiben), was die Entweihung stärker betont.</w:t>
      </w:r>
    </w:p>
    <w:p w14:paraId="5F24C61A"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Die Satzstruktur zeigt zwei koordinierte Wayyiqtol-Sätze: Der erste etabliert die geographische Situation (Israel ließ sich in Schittim nieder), der zweite beschreibt die moralische Katastrophe (das Volk begann zu huren). Die kausale Verbindung ist implizit: Die Sesshaftigkeit in der Nähe Moabs führte zur Vermischung.</w:t>
      </w:r>
    </w:p>
    <w:p w14:paraId="20D0BF6B"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Der Vers markiert einen dramatischen Wendepunkt: Nach den viermaligen Segnungen Bileams, die Israel vor dem Fluch bewahrten, führt nun die eigene Sünde zur Katastrophe. Die Ironie ist evident: Was Balak durch Verfluchung nicht erreichen konnte, erreicht er durch Verführung. Der Text verbindet sexuelle und religiöse Untreue und zeigt, wie die Nähe zu fremden Völkern ohne geistliche Wachsamkeit zur Abkehr von JHWH führt.</w:t>
      </w:r>
    </w:p>
    <w:p w14:paraId="034C3BE6"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25,2</w:t>
      </w:r>
    </w:p>
    <w:p w14:paraId="1EA299BC"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וַתִּקְרֶ֣אןָ לָעָ֔ם לְזִבְחֵ֖י אֱלֹהֵיהֶ֑ן וַיֹּ֣אכַל הָעָ֔ם וַיִּֽשְׁתַּחֲוּ֖וּ לֵֽאלֹהֵיהֶֽן׃</w:t>
      </w:r>
    </w:p>
    <w:p w14:paraId="5EF07719"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sie luden das Volk zu den Schlachtopfern ihrer Götter ein, und das Volk aß und warf sich nieder vor ihren Göttern.</w:t>
      </w:r>
    </w:p>
    <w:p w14:paraId="4A15D498"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73B62D15">
          <v:rect id="_x0000_i1853" style="width:0;height:1.5pt" o:hralign="center" o:hrstd="t" o:hr="t" fillcolor="#a0a0a0" stroked="f"/>
        </w:pict>
      </w:r>
    </w:p>
    <w:p w14:paraId="4289B53E" w14:textId="35D53D96"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beschreibt die Konsequenzen der sexuellen Vermischung. </w:t>
      </w:r>
      <w:r w:rsidRPr="00D70A0B">
        <w:rPr>
          <w:rFonts w:eastAsia="Times New Roman" w:cs="Times New Roman"/>
          <w:b/>
          <w:bCs/>
          <w:rtl/>
          <w:lang w:eastAsia="de-DE"/>
        </w:rPr>
        <w:t>וַתִּקְרֶאןָ לָעָם</w:t>
      </w:r>
      <w:r w:rsidRPr="00D70A0B">
        <w:rPr>
          <w:rFonts w:eastAsia="Times New Roman" w:cs="Times New Roman"/>
          <w:rtl/>
          <w:lang w:eastAsia="de-DE"/>
        </w:rPr>
        <w:t xml:space="preserve"> </w:t>
      </w:r>
      <w:r w:rsidRPr="00D70A0B">
        <w:rPr>
          <w:rFonts w:eastAsia="Times New Roman" w:cs="Times New Roman"/>
          <w:lang w:eastAsia="de-DE"/>
        </w:rPr>
        <w:t xml:space="preserve">zeigt die Initiative der moabitischen Frauen. </w:t>
      </w:r>
      <w:r w:rsidRPr="00D70A0B">
        <w:rPr>
          <w:rFonts w:eastAsia="Times New Roman" w:cs="Times New Roman"/>
          <w:b/>
          <w:bCs/>
          <w:rtl/>
          <w:lang w:eastAsia="de-DE"/>
        </w:rPr>
        <w:t>וַתִּקְרֶאןָ</w:t>
      </w:r>
      <w:r w:rsidRPr="00D70A0B">
        <w:rPr>
          <w:rFonts w:eastAsia="Times New Roman" w:cs="Times New Roman"/>
          <w:rtl/>
          <w:lang w:eastAsia="de-DE"/>
        </w:rPr>
        <w:t xml:space="preserve"> </w:t>
      </w:r>
      <w:r w:rsidRPr="00D70A0B">
        <w:rPr>
          <w:rFonts w:eastAsia="Times New Roman" w:cs="Times New Roman"/>
          <w:lang w:eastAsia="de-DE"/>
        </w:rPr>
        <w:t xml:space="preserve">ist Qal Wayyiqtol 3. Person feminin Plural von </w:t>
      </w:r>
      <w:r w:rsidRPr="00D70A0B">
        <w:rPr>
          <w:rFonts w:eastAsia="Times New Roman" w:cs="Times New Roman"/>
          <w:b/>
          <w:bCs/>
          <w:rtl/>
          <w:lang w:eastAsia="de-DE"/>
        </w:rPr>
        <w:t>קרא</w:t>
      </w:r>
      <w:r w:rsidRPr="00D70A0B">
        <w:rPr>
          <w:rFonts w:eastAsia="Times New Roman" w:cs="Times New Roman"/>
          <w:rtl/>
          <w:lang w:eastAsia="de-DE"/>
        </w:rPr>
        <w:t xml:space="preserve"> </w:t>
      </w:r>
      <w:r w:rsidRPr="00D70A0B">
        <w:rPr>
          <w:rFonts w:eastAsia="Times New Roman" w:cs="Times New Roman"/>
          <w:lang w:eastAsia="de-DE"/>
        </w:rPr>
        <w:t xml:space="preserve">(„rufen, einladen"), wobei die feminine Pluralendung </w:t>
      </w:r>
      <w:r w:rsidRPr="00D70A0B">
        <w:rPr>
          <w:rFonts w:eastAsia="Times New Roman" w:cs="Times New Roman"/>
          <w:b/>
          <w:bCs/>
          <w:rtl/>
          <w:lang w:eastAsia="de-DE"/>
        </w:rPr>
        <w:t>־ןָ</w:t>
      </w:r>
      <w:r w:rsidRPr="00D70A0B">
        <w:rPr>
          <w:rFonts w:eastAsia="Times New Roman" w:cs="Times New Roman"/>
          <w:rtl/>
          <w:lang w:eastAsia="de-DE"/>
        </w:rPr>
        <w:t xml:space="preserve"> </w:t>
      </w:r>
      <w:r w:rsidRPr="00D70A0B">
        <w:rPr>
          <w:rFonts w:eastAsia="Times New Roman" w:cs="Times New Roman"/>
          <w:lang w:eastAsia="de-DE"/>
        </w:rPr>
        <w:t xml:space="preserve">das Subjekt (die Töchter Moabs aus V. 1) aufnimmt. </w:t>
      </w:r>
      <w:r w:rsidRPr="00D70A0B">
        <w:rPr>
          <w:rFonts w:eastAsia="Times New Roman" w:cs="Times New Roman"/>
          <w:b/>
          <w:bCs/>
          <w:rtl/>
          <w:lang w:eastAsia="de-DE"/>
        </w:rPr>
        <w:t>לָעָם</w:t>
      </w:r>
      <w:r w:rsidRPr="00D70A0B">
        <w:rPr>
          <w:rFonts w:eastAsia="Times New Roman" w:cs="Times New Roman"/>
          <w:rtl/>
          <w:lang w:eastAsia="de-DE"/>
        </w:rPr>
        <w:t xml:space="preserve"> </w:t>
      </w:r>
      <w:r w:rsidRPr="00D70A0B">
        <w:rPr>
          <w:rFonts w:eastAsia="Times New Roman" w:cs="Times New Roman"/>
          <w:lang w:eastAsia="de-DE"/>
        </w:rPr>
        <w:t xml:space="preserve">ist das indirekte Objekt mit der Präposition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 xml:space="preserve">(„dem Volk"). Das Verb </w:t>
      </w:r>
      <w:r w:rsidRPr="00D70A0B">
        <w:rPr>
          <w:rFonts w:eastAsia="Times New Roman" w:cs="Times New Roman"/>
          <w:b/>
          <w:bCs/>
          <w:rtl/>
          <w:lang w:eastAsia="de-DE"/>
        </w:rPr>
        <w:t>קרא</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 xml:space="preserve">bedeutet hier „einladen zu". </w:t>
      </w:r>
      <w:r w:rsidRPr="00D70A0B">
        <w:rPr>
          <w:rFonts w:eastAsia="Times New Roman" w:cs="Times New Roman"/>
          <w:b/>
          <w:bCs/>
          <w:rtl/>
          <w:lang w:eastAsia="de-DE"/>
        </w:rPr>
        <w:t>לְזִבְחֵי אֱלֹהֵיהֶן</w:t>
      </w:r>
      <w:r w:rsidRPr="00D70A0B">
        <w:rPr>
          <w:rFonts w:eastAsia="Times New Roman" w:cs="Times New Roman"/>
          <w:rtl/>
          <w:lang w:eastAsia="de-DE"/>
        </w:rPr>
        <w:t xml:space="preserve"> </w:t>
      </w:r>
      <w:r w:rsidRPr="00D70A0B">
        <w:rPr>
          <w:rFonts w:eastAsia="Times New Roman" w:cs="Times New Roman"/>
          <w:lang w:eastAsia="de-DE"/>
        </w:rPr>
        <w:t xml:space="preserve">gibt den Zweck der Einladung an: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 xml:space="preserve">ist die Präposition („zu"), </w:t>
      </w:r>
      <w:r w:rsidRPr="00D70A0B">
        <w:rPr>
          <w:rFonts w:eastAsia="Times New Roman" w:cs="Times New Roman"/>
          <w:b/>
          <w:bCs/>
          <w:rtl/>
          <w:lang w:eastAsia="de-DE"/>
        </w:rPr>
        <w:t>זִבְחֵי</w:t>
      </w:r>
      <w:r w:rsidRPr="00D70A0B">
        <w:rPr>
          <w:rFonts w:eastAsia="Times New Roman" w:cs="Times New Roman"/>
          <w:rtl/>
          <w:lang w:eastAsia="de-DE"/>
        </w:rPr>
        <w:t xml:space="preserve"> </w:t>
      </w:r>
      <w:r w:rsidRPr="00D70A0B">
        <w:rPr>
          <w:rFonts w:eastAsia="Times New Roman" w:cs="Times New Roman"/>
          <w:lang w:eastAsia="de-DE"/>
        </w:rPr>
        <w:t xml:space="preserve">ist der maskuline Plural </w:t>
      </w:r>
      <w:r w:rsidR="00E031B3">
        <w:rPr>
          <w:rFonts w:eastAsia="Times New Roman" w:cs="Times New Roman"/>
          <w:lang w:eastAsia="de-DE"/>
        </w:rPr>
        <w:t>Constructus von</w:t>
      </w:r>
      <w:r w:rsidRPr="00D70A0B">
        <w:rPr>
          <w:rFonts w:eastAsia="Times New Roman" w:cs="Times New Roman"/>
          <w:lang w:eastAsia="de-DE"/>
        </w:rPr>
        <w:t xml:space="preserve"> </w:t>
      </w:r>
      <w:r w:rsidRPr="00D70A0B">
        <w:rPr>
          <w:rFonts w:eastAsia="Times New Roman" w:cs="Times New Roman"/>
          <w:b/>
          <w:bCs/>
          <w:rtl/>
          <w:lang w:eastAsia="de-DE"/>
        </w:rPr>
        <w:t>זֶבַח</w:t>
      </w:r>
      <w:r w:rsidRPr="00D70A0B">
        <w:rPr>
          <w:rFonts w:eastAsia="Times New Roman" w:cs="Times New Roman"/>
          <w:rtl/>
          <w:lang w:eastAsia="de-DE"/>
        </w:rPr>
        <w:t xml:space="preserve"> </w:t>
      </w:r>
      <w:r w:rsidRPr="00D70A0B">
        <w:rPr>
          <w:rFonts w:eastAsia="Times New Roman" w:cs="Times New Roman"/>
          <w:lang w:eastAsia="de-DE"/>
        </w:rPr>
        <w:t xml:space="preserve">(„Schlachtopfer, Opfermahl"), </w:t>
      </w:r>
      <w:r w:rsidRPr="00D70A0B">
        <w:rPr>
          <w:rFonts w:eastAsia="Times New Roman" w:cs="Times New Roman"/>
          <w:b/>
          <w:bCs/>
          <w:rtl/>
          <w:lang w:eastAsia="de-DE"/>
        </w:rPr>
        <w:t>אֱלֹהֵיהֶן</w:t>
      </w:r>
      <w:r w:rsidRPr="00D70A0B">
        <w:rPr>
          <w:rFonts w:eastAsia="Times New Roman" w:cs="Times New Roman"/>
          <w:rtl/>
          <w:lang w:eastAsia="de-DE"/>
        </w:rPr>
        <w:t xml:space="preserve"> </w:t>
      </w:r>
      <w:r w:rsidRPr="00D70A0B">
        <w:rPr>
          <w:rFonts w:eastAsia="Times New Roman" w:cs="Times New Roman"/>
          <w:lang w:eastAsia="de-DE"/>
        </w:rPr>
        <w:t xml:space="preserve">ist der maskuline Plural von </w:t>
      </w:r>
      <w:r w:rsidRPr="00D70A0B">
        <w:rPr>
          <w:rFonts w:eastAsia="Times New Roman" w:cs="Times New Roman"/>
          <w:b/>
          <w:bCs/>
          <w:rtl/>
          <w:lang w:eastAsia="de-DE"/>
        </w:rPr>
        <w:t>אֱלֹהִים</w:t>
      </w:r>
      <w:r w:rsidRPr="00D70A0B">
        <w:rPr>
          <w:rFonts w:eastAsia="Times New Roman" w:cs="Times New Roman"/>
          <w:rtl/>
          <w:lang w:eastAsia="de-DE"/>
        </w:rPr>
        <w:t xml:space="preserve"> </w:t>
      </w:r>
      <w:r w:rsidRPr="00D70A0B">
        <w:rPr>
          <w:rFonts w:eastAsia="Times New Roman" w:cs="Times New Roman"/>
          <w:lang w:eastAsia="de-DE"/>
        </w:rPr>
        <w:t xml:space="preserve">(„Götter") mit dem femininen Pluralsuffix </w:t>
      </w:r>
      <w:r w:rsidRPr="00D70A0B">
        <w:rPr>
          <w:rFonts w:eastAsia="Times New Roman" w:cs="Times New Roman"/>
          <w:b/>
          <w:bCs/>
          <w:rtl/>
          <w:lang w:eastAsia="de-DE"/>
        </w:rPr>
        <w:t>־הֶן</w:t>
      </w:r>
      <w:r w:rsidRPr="00D70A0B">
        <w:rPr>
          <w:rFonts w:eastAsia="Times New Roman" w:cs="Times New Roman"/>
          <w:rtl/>
          <w:lang w:eastAsia="de-DE"/>
        </w:rPr>
        <w:t xml:space="preserve"> </w:t>
      </w:r>
      <w:r w:rsidRPr="00D70A0B">
        <w:rPr>
          <w:rFonts w:eastAsia="Times New Roman" w:cs="Times New Roman"/>
          <w:lang w:eastAsia="de-DE"/>
        </w:rPr>
        <w:t>(„ihre Götter"). Die Opfermahlzeiten waren integrale Bestandteile heidnischer Kultfeiern und schufen Gemeinschaft zwischen den Teilnehmern und der verehrten Gottheit.</w:t>
      </w:r>
    </w:p>
    <w:p w14:paraId="37FAE630"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וַיֹּאכַל הָעָם</w:t>
      </w:r>
      <w:r w:rsidRPr="00D70A0B">
        <w:rPr>
          <w:rFonts w:eastAsia="Times New Roman" w:cs="Times New Roman"/>
          <w:rtl/>
          <w:lang w:eastAsia="de-DE"/>
        </w:rPr>
        <w:t xml:space="preserve"> </w:t>
      </w:r>
      <w:r w:rsidRPr="00D70A0B">
        <w:rPr>
          <w:rFonts w:eastAsia="Times New Roman" w:cs="Times New Roman"/>
          <w:lang w:eastAsia="de-DE"/>
        </w:rPr>
        <w:t xml:space="preserve">beschreibt die erste Stufe der Teilnahme. </w:t>
      </w:r>
      <w:r w:rsidRPr="00D70A0B">
        <w:rPr>
          <w:rFonts w:eastAsia="Times New Roman" w:cs="Times New Roman"/>
          <w:b/>
          <w:bCs/>
          <w:rtl/>
          <w:lang w:eastAsia="de-DE"/>
        </w:rPr>
        <w:t>וַיֹּאכַל</w:t>
      </w:r>
      <w:r w:rsidRPr="00D70A0B">
        <w:rPr>
          <w:rFonts w:eastAsia="Times New Roman" w:cs="Times New Roman"/>
          <w:rtl/>
          <w:lang w:eastAsia="de-DE"/>
        </w:rPr>
        <w:t xml:space="preserve"> </w:t>
      </w:r>
      <w:r w:rsidRPr="00D70A0B">
        <w:rPr>
          <w:rFonts w:eastAsia="Times New Roman" w:cs="Times New Roman"/>
          <w:lang w:eastAsia="de-DE"/>
        </w:rPr>
        <w:t xml:space="preserve">ist Qal Wayyiqtol 3. Person maskulin Singular von </w:t>
      </w:r>
      <w:r w:rsidRPr="00D70A0B">
        <w:rPr>
          <w:rFonts w:eastAsia="Times New Roman" w:cs="Times New Roman"/>
          <w:b/>
          <w:bCs/>
          <w:rtl/>
          <w:lang w:eastAsia="de-DE"/>
        </w:rPr>
        <w:t>אכל</w:t>
      </w:r>
      <w:r w:rsidRPr="00D70A0B">
        <w:rPr>
          <w:rFonts w:eastAsia="Times New Roman" w:cs="Times New Roman"/>
          <w:rtl/>
          <w:lang w:eastAsia="de-DE"/>
        </w:rPr>
        <w:t xml:space="preserve"> </w:t>
      </w:r>
      <w:r w:rsidRPr="00D70A0B">
        <w:rPr>
          <w:rFonts w:eastAsia="Times New Roman" w:cs="Times New Roman"/>
          <w:lang w:eastAsia="de-DE"/>
        </w:rPr>
        <w:t xml:space="preserve">(„essen"), </w:t>
      </w:r>
      <w:r w:rsidRPr="00D70A0B">
        <w:rPr>
          <w:rFonts w:eastAsia="Times New Roman" w:cs="Times New Roman"/>
          <w:b/>
          <w:bCs/>
          <w:rtl/>
          <w:lang w:eastAsia="de-DE"/>
        </w:rPr>
        <w:t>הָעָם</w:t>
      </w:r>
      <w:r w:rsidRPr="00D70A0B">
        <w:rPr>
          <w:rFonts w:eastAsia="Times New Roman" w:cs="Times New Roman"/>
          <w:rtl/>
          <w:lang w:eastAsia="de-DE"/>
        </w:rPr>
        <w:t xml:space="preserve"> </w:t>
      </w:r>
      <w:r w:rsidRPr="00D70A0B">
        <w:rPr>
          <w:rFonts w:eastAsia="Times New Roman" w:cs="Times New Roman"/>
          <w:lang w:eastAsia="de-DE"/>
        </w:rPr>
        <w:t xml:space="preserve">ist das Subjekt. Das Essen von Opferfleisch bedeutete im altorientalischen Kontext Gemeinschaft mit der Gottheit und implizierte die Anerkennung dieser Gottheit. </w:t>
      </w:r>
      <w:r w:rsidRPr="00D70A0B">
        <w:rPr>
          <w:rFonts w:eastAsia="Times New Roman" w:cs="Times New Roman"/>
          <w:b/>
          <w:bCs/>
          <w:rtl/>
          <w:lang w:eastAsia="de-DE"/>
        </w:rPr>
        <w:t>וַיִּשְׁתַּחֲווּ לֵאלֹהֵיהֶן</w:t>
      </w:r>
      <w:r w:rsidRPr="00D70A0B">
        <w:rPr>
          <w:rFonts w:eastAsia="Times New Roman" w:cs="Times New Roman"/>
          <w:rtl/>
          <w:lang w:eastAsia="de-DE"/>
        </w:rPr>
        <w:t xml:space="preserve"> </w:t>
      </w:r>
      <w:r w:rsidRPr="00D70A0B">
        <w:rPr>
          <w:rFonts w:eastAsia="Times New Roman" w:cs="Times New Roman"/>
          <w:lang w:eastAsia="de-DE"/>
        </w:rPr>
        <w:t xml:space="preserve">zeigt die zweite, explizite Stufe des Abfalls. </w:t>
      </w:r>
      <w:r w:rsidRPr="00D70A0B">
        <w:rPr>
          <w:rFonts w:eastAsia="Times New Roman" w:cs="Times New Roman"/>
          <w:b/>
          <w:bCs/>
          <w:rtl/>
          <w:lang w:eastAsia="de-DE"/>
        </w:rPr>
        <w:t>וַיִּשְׁתַּחֲווּ</w:t>
      </w:r>
      <w:r w:rsidRPr="00D70A0B">
        <w:rPr>
          <w:rFonts w:eastAsia="Times New Roman" w:cs="Times New Roman"/>
          <w:rtl/>
          <w:lang w:eastAsia="de-DE"/>
        </w:rPr>
        <w:t xml:space="preserve"> </w:t>
      </w:r>
      <w:r w:rsidRPr="00D70A0B">
        <w:rPr>
          <w:rFonts w:eastAsia="Times New Roman" w:cs="Times New Roman"/>
          <w:lang w:eastAsia="de-DE"/>
        </w:rPr>
        <w:t xml:space="preserve">ist Hishtaphel Wayyiqtol 3. Person maskulin Plural von </w:t>
      </w:r>
      <w:r w:rsidRPr="00D70A0B">
        <w:rPr>
          <w:rFonts w:eastAsia="Times New Roman" w:cs="Times New Roman"/>
          <w:b/>
          <w:bCs/>
          <w:rtl/>
          <w:lang w:eastAsia="de-DE"/>
        </w:rPr>
        <w:t>שׁחה</w:t>
      </w:r>
      <w:r w:rsidRPr="00D70A0B">
        <w:rPr>
          <w:rFonts w:eastAsia="Times New Roman" w:cs="Times New Roman"/>
          <w:rtl/>
          <w:lang w:eastAsia="de-DE"/>
        </w:rPr>
        <w:t xml:space="preserve"> </w:t>
      </w:r>
      <w:r w:rsidRPr="00D70A0B">
        <w:rPr>
          <w:rFonts w:eastAsia="Times New Roman" w:cs="Times New Roman"/>
          <w:lang w:eastAsia="de-DE"/>
        </w:rPr>
        <w:t xml:space="preserve">(„sich niederwerfen, anbeten"), eine reflexive oder reziproke Form. </w:t>
      </w:r>
      <w:r w:rsidRPr="00D70A0B">
        <w:rPr>
          <w:rFonts w:eastAsia="Times New Roman" w:cs="Times New Roman"/>
          <w:b/>
          <w:bCs/>
          <w:rtl/>
          <w:lang w:eastAsia="de-DE"/>
        </w:rPr>
        <w:t>לֵאלֹהֵיהֶן</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אֱלֹהֵיהֶן</w:t>
      </w:r>
      <w:r w:rsidRPr="00D70A0B">
        <w:rPr>
          <w:rFonts w:eastAsia="Times New Roman" w:cs="Times New Roman"/>
          <w:lang w:eastAsia="de-DE"/>
        </w:rPr>
        <w:t>) gibt das Objekt der Anbetung an. Die Niederwerfung ist die höchste Form der Huldigung und religiösen Unterwerfung. Die Progression ist deutlich: Einladung → Essen → Anbetung, wobei jeder Schritt die Beteiligung am fremden Kult vertieft.</w:t>
      </w:r>
    </w:p>
    <w:p w14:paraId="2F5D9109" w14:textId="68B9A7E3"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Die LXX</w:t>
      </w:r>
      <w:r w:rsidRPr="00D70A0B">
        <w:rPr>
          <w:rFonts w:eastAsia="Times New Roman" w:cs="Times New Roman"/>
          <w:lang w:eastAsia="de-DE"/>
        </w:rPr>
        <w:t xml:space="preserve"> </w:t>
      </w:r>
      <w:r w:rsidR="00CD2614">
        <w:t>übersetzt „</w:t>
      </w:r>
      <w:r w:rsidR="00CD2614" w:rsidRPr="00CD2614">
        <w:rPr>
          <w:b/>
          <w:bCs/>
          <w:rtl/>
        </w:rPr>
        <w:t>לְזִבְחֵי</w:t>
      </w:r>
      <w:r w:rsidR="00CD2614">
        <w:rPr>
          <w:rtl/>
        </w:rPr>
        <w:t xml:space="preserve"> </w:t>
      </w:r>
      <w:r w:rsidR="00CD2614" w:rsidRPr="00CD2614">
        <w:rPr>
          <w:b/>
          <w:bCs/>
          <w:rtl/>
        </w:rPr>
        <w:t>אֱלֹהֵיהֶן</w:t>
      </w:r>
      <w:r w:rsidR="00CD2614">
        <w:t>" (zu den Opfern ihrer Götter) mit „ἐπὶ τὰς θυσίας τῶν εἰδώλων αὐτῶν" (zu den Opfern ihrer Götzen), wobei „εἰδώλων" (Götzen) negativer konnotiert ist als das neutrale hebräische „</w:t>
      </w:r>
      <w:r w:rsidR="00CD2614" w:rsidRPr="00CD2614">
        <w:rPr>
          <w:b/>
          <w:bCs/>
          <w:rtl/>
        </w:rPr>
        <w:t>אֱלֹהֵיהֶן</w:t>
      </w:r>
      <w:r w:rsidR="00CD2614">
        <w:t>" (ihre Götter), und verwendet „εἰδώλοις" (Götzen) erneut statt „</w:t>
      </w:r>
      <w:r w:rsidR="00CD2614" w:rsidRPr="00CD2614">
        <w:rPr>
          <w:b/>
          <w:bCs/>
          <w:rtl/>
        </w:rPr>
        <w:t>אֱלֹהֵיהֶן</w:t>
      </w:r>
      <w:r w:rsidR="00CD2614">
        <w:t>" (ihre Götter) für die Anbetung.</w:t>
      </w:r>
    </w:p>
    <w:p w14:paraId="3391D8B1"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lastRenderedPageBreak/>
        <w:t>Die Satzstruktur zeigt drei koordinierte Wayyiqtol-Sätze: Einladung (feminine Pluralform), Essen (maskuline Singularform mit kollektivem Subjekt) und Anbetung (maskuline Pluralform). Die Tempussequenz markiert die fortschreitende Eskalation vom sozialen Kontakt zur vollständigen religiösen Apostasie.</w:t>
      </w:r>
    </w:p>
    <w:p w14:paraId="7D32D0A5"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Der Vers dokumentiert die verhängnisvolle Kette: Aus der sexuellen Beziehung folgt die soziale Integration bei kultischen Festen, aus dem Essen von Opferfleisch die aktive Anbetung fremder Götter. Die Strategie der Verführung, die Balak nach Num 31,16 auf Bileams Rat hin anwandte, zeigt sich als tödlich effektiv. Israel begeht hier bewussten Bundesbruch, indem es das erste Gebot verletzt.</w:t>
      </w:r>
    </w:p>
    <w:p w14:paraId="217B3BAF"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25,3</w:t>
      </w:r>
    </w:p>
    <w:p w14:paraId="0FAD783A"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וַיִּצָּ֥מֶד יִשְׂרָאֵ֖ל לְבַ֣עַל פְּע֑וֹר וַיִּֽחַר־אַ֥ף יְהוָ֖ה בְּיִשְׂרָאֵֽל׃</w:t>
      </w:r>
    </w:p>
    <w:p w14:paraId="0CE9FFC5"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Jisra'el hängte sich an Ba'al-Pe'or. Da entbrannte der Zorn des Ewigen gegen Jisra'el.</w:t>
      </w:r>
    </w:p>
    <w:p w14:paraId="0805F2F9"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2EEC7877">
          <v:rect id="_x0000_i1854" style="width:0;height:1.5pt" o:hralign="center" o:hrstd="t" o:hr="t" fillcolor="#a0a0a0" stroked="f"/>
        </w:pict>
      </w:r>
    </w:p>
    <w:p w14:paraId="6746FC18"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fasst die religiöse Katastrophe zusammen und beschreibt die göttliche Reaktion. </w:t>
      </w:r>
      <w:r w:rsidRPr="00D70A0B">
        <w:rPr>
          <w:rFonts w:eastAsia="Times New Roman" w:cs="Times New Roman"/>
          <w:b/>
          <w:bCs/>
          <w:rtl/>
          <w:lang w:eastAsia="de-DE"/>
        </w:rPr>
        <w:t>וַיִּצָּמֶד יִשְׂרָאֵל לְבַעַל פְּעוֹר</w:t>
      </w:r>
      <w:r w:rsidRPr="00D70A0B">
        <w:rPr>
          <w:rFonts w:eastAsia="Times New Roman" w:cs="Times New Roman"/>
          <w:rtl/>
          <w:lang w:eastAsia="de-DE"/>
        </w:rPr>
        <w:t xml:space="preserve"> </w:t>
      </w:r>
      <w:r w:rsidRPr="00D70A0B">
        <w:rPr>
          <w:rFonts w:eastAsia="Times New Roman" w:cs="Times New Roman"/>
          <w:lang w:eastAsia="de-DE"/>
        </w:rPr>
        <w:t xml:space="preserve">ist die theologische Diagnose. </w:t>
      </w:r>
      <w:r w:rsidRPr="00D70A0B">
        <w:rPr>
          <w:rFonts w:eastAsia="Times New Roman" w:cs="Times New Roman"/>
          <w:b/>
          <w:bCs/>
          <w:rtl/>
          <w:lang w:eastAsia="de-DE"/>
        </w:rPr>
        <w:t>וַיִּצָּמֶד</w:t>
      </w:r>
      <w:r w:rsidRPr="00D70A0B">
        <w:rPr>
          <w:rFonts w:eastAsia="Times New Roman" w:cs="Times New Roman"/>
          <w:rtl/>
          <w:lang w:eastAsia="de-DE"/>
        </w:rPr>
        <w:t xml:space="preserve"> </w:t>
      </w:r>
      <w:r w:rsidRPr="00D70A0B">
        <w:rPr>
          <w:rFonts w:eastAsia="Times New Roman" w:cs="Times New Roman"/>
          <w:lang w:eastAsia="de-DE"/>
        </w:rPr>
        <w:t xml:space="preserve">ist Niphal Wayyiqtol 3. Person maskulin Singular von </w:t>
      </w:r>
      <w:r w:rsidRPr="00D70A0B">
        <w:rPr>
          <w:rFonts w:eastAsia="Times New Roman" w:cs="Times New Roman"/>
          <w:b/>
          <w:bCs/>
          <w:rtl/>
          <w:lang w:eastAsia="de-DE"/>
        </w:rPr>
        <w:t>צמד</w:t>
      </w:r>
      <w:r w:rsidRPr="00D70A0B">
        <w:rPr>
          <w:rFonts w:eastAsia="Times New Roman" w:cs="Times New Roman"/>
          <w:rtl/>
          <w:lang w:eastAsia="de-DE"/>
        </w:rPr>
        <w:t xml:space="preserve"> </w:t>
      </w:r>
      <w:r w:rsidRPr="00D70A0B">
        <w:rPr>
          <w:rFonts w:eastAsia="Times New Roman" w:cs="Times New Roman"/>
          <w:lang w:eastAsia="de-DE"/>
        </w:rPr>
        <w:t xml:space="preserve">(„sich anschließen, sich verbinden, sich anhängen"), wobei das Niphal entweder reflexiv („sich anhängen") oder passiv („angehängt werden") verstanden werden kann. </w:t>
      </w:r>
      <w:r w:rsidRPr="00D70A0B">
        <w:rPr>
          <w:rFonts w:eastAsia="Times New Roman" w:cs="Times New Roman"/>
          <w:b/>
          <w:bCs/>
          <w:rtl/>
          <w:lang w:eastAsia="de-DE"/>
        </w:rPr>
        <w:t>יִשְׂרָאֵל</w:t>
      </w:r>
      <w:r w:rsidRPr="00D70A0B">
        <w:rPr>
          <w:rFonts w:eastAsia="Times New Roman" w:cs="Times New Roman"/>
          <w:rtl/>
          <w:lang w:eastAsia="de-DE"/>
        </w:rPr>
        <w:t xml:space="preserve"> </w:t>
      </w:r>
      <w:r w:rsidRPr="00D70A0B">
        <w:rPr>
          <w:rFonts w:eastAsia="Times New Roman" w:cs="Times New Roman"/>
          <w:lang w:eastAsia="de-DE"/>
        </w:rPr>
        <w:t xml:space="preserve">ist das Subjekt. </w:t>
      </w:r>
      <w:r w:rsidRPr="00D70A0B">
        <w:rPr>
          <w:rFonts w:eastAsia="Times New Roman" w:cs="Times New Roman"/>
          <w:b/>
          <w:bCs/>
          <w:rtl/>
          <w:lang w:eastAsia="de-DE"/>
        </w:rPr>
        <w:t>לְבַעַל פְּעוֹר</w:t>
      </w:r>
      <w:r w:rsidRPr="00D70A0B">
        <w:rPr>
          <w:rFonts w:eastAsia="Times New Roman" w:cs="Times New Roman"/>
          <w:rtl/>
          <w:lang w:eastAsia="de-DE"/>
        </w:rPr>
        <w:t xml:space="preserve"> </w:t>
      </w:r>
      <w:r w:rsidRPr="00D70A0B">
        <w:rPr>
          <w:rFonts w:eastAsia="Times New Roman" w:cs="Times New Roman"/>
          <w:lang w:eastAsia="de-DE"/>
        </w:rPr>
        <w:t xml:space="preserve">gibt das Objekt der Bindung an: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 xml:space="preserve">ist die Präposition („an"), </w:t>
      </w:r>
      <w:r w:rsidRPr="00D70A0B">
        <w:rPr>
          <w:rFonts w:eastAsia="Times New Roman" w:cs="Times New Roman"/>
          <w:b/>
          <w:bCs/>
          <w:rtl/>
          <w:lang w:eastAsia="de-DE"/>
        </w:rPr>
        <w:t>בַּעַל פְּעוֹר</w:t>
      </w:r>
      <w:r w:rsidRPr="00D70A0B">
        <w:rPr>
          <w:rFonts w:eastAsia="Times New Roman" w:cs="Times New Roman"/>
          <w:rtl/>
          <w:lang w:eastAsia="de-DE"/>
        </w:rPr>
        <w:t xml:space="preserve"> </w:t>
      </w:r>
      <w:r w:rsidRPr="00D70A0B">
        <w:rPr>
          <w:rFonts w:eastAsia="Times New Roman" w:cs="Times New Roman"/>
          <w:lang w:eastAsia="de-DE"/>
        </w:rPr>
        <w:t xml:space="preserve">ist der zusammengesetzte Gottesname („Baal von Peor"). </w:t>
      </w:r>
      <w:r w:rsidRPr="00D70A0B">
        <w:rPr>
          <w:rFonts w:eastAsia="Times New Roman" w:cs="Times New Roman"/>
          <w:b/>
          <w:bCs/>
          <w:rtl/>
          <w:lang w:eastAsia="de-DE"/>
        </w:rPr>
        <w:t>בַּעַל</w:t>
      </w:r>
      <w:r w:rsidRPr="00D70A0B">
        <w:rPr>
          <w:rFonts w:eastAsia="Times New Roman" w:cs="Times New Roman"/>
          <w:rtl/>
          <w:lang w:eastAsia="de-DE"/>
        </w:rPr>
        <w:t xml:space="preserve"> </w:t>
      </w:r>
      <w:r w:rsidRPr="00D70A0B">
        <w:rPr>
          <w:rFonts w:eastAsia="Times New Roman" w:cs="Times New Roman"/>
          <w:lang w:eastAsia="de-DE"/>
        </w:rPr>
        <w:t xml:space="preserve">bedeutet „Herr, Besitzer" und ist der Name einer kanaanäischen Fruchtbarkeitsgottheit, </w:t>
      </w:r>
      <w:r w:rsidRPr="00D70A0B">
        <w:rPr>
          <w:rFonts w:eastAsia="Times New Roman" w:cs="Times New Roman"/>
          <w:b/>
          <w:bCs/>
          <w:rtl/>
          <w:lang w:eastAsia="de-DE"/>
        </w:rPr>
        <w:t>פְּעוֹר</w:t>
      </w:r>
      <w:r w:rsidRPr="00D70A0B">
        <w:rPr>
          <w:rFonts w:eastAsia="Times New Roman" w:cs="Times New Roman"/>
          <w:rtl/>
          <w:lang w:eastAsia="de-DE"/>
        </w:rPr>
        <w:t xml:space="preserve"> </w:t>
      </w:r>
      <w:r w:rsidRPr="00D70A0B">
        <w:rPr>
          <w:rFonts w:eastAsia="Times New Roman" w:cs="Times New Roman"/>
          <w:lang w:eastAsia="de-DE"/>
        </w:rPr>
        <w:t xml:space="preserve">ist wahrscheinlich ein Ortsname oder Beiname. Das Verb </w:t>
      </w:r>
      <w:r w:rsidRPr="00D70A0B">
        <w:rPr>
          <w:rFonts w:eastAsia="Times New Roman" w:cs="Times New Roman"/>
          <w:b/>
          <w:bCs/>
          <w:rtl/>
          <w:lang w:eastAsia="de-DE"/>
        </w:rPr>
        <w:t>צמד</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drückt eine feste, fast unlösbare Bindung aus und wird auch für die eheliche Verbindung verwendet (Gen 2,24). Die Formulierung zeigt, dass Israel eine intensive religiöse Beziehung zu dieser Gottheit einging und damit JHWH die Treue brach.</w:t>
      </w:r>
    </w:p>
    <w:p w14:paraId="2942030E" w14:textId="5285443A"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וַיִּחַר־אַף יהוה בְּיִשְׂרָאֵל</w:t>
      </w:r>
      <w:r w:rsidRPr="00D70A0B">
        <w:rPr>
          <w:rFonts w:eastAsia="Times New Roman" w:cs="Times New Roman"/>
          <w:rtl/>
          <w:lang w:eastAsia="de-DE"/>
        </w:rPr>
        <w:t xml:space="preserve"> </w:t>
      </w:r>
      <w:r w:rsidRPr="00D70A0B">
        <w:rPr>
          <w:rFonts w:eastAsia="Times New Roman" w:cs="Times New Roman"/>
          <w:lang w:eastAsia="de-DE"/>
        </w:rPr>
        <w:t xml:space="preserve">beschreibt die göttliche Reaktion mit der bereits bekannten idiomatischen Wendung. </w:t>
      </w:r>
      <w:r w:rsidRPr="00D70A0B">
        <w:rPr>
          <w:rFonts w:eastAsia="Times New Roman" w:cs="Times New Roman"/>
          <w:b/>
          <w:bCs/>
          <w:rtl/>
          <w:lang w:eastAsia="de-DE"/>
        </w:rPr>
        <w:t>וַיִּחַר־אַף</w:t>
      </w:r>
      <w:r w:rsidRPr="00D70A0B">
        <w:rPr>
          <w:rFonts w:eastAsia="Times New Roman" w:cs="Times New Roman"/>
          <w:rtl/>
          <w:lang w:eastAsia="de-DE"/>
        </w:rPr>
        <w:t xml:space="preserve"> </w:t>
      </w:r>
      <w:r w:rsidRPr="00D70A0B">
        <w:rPr>
          <w:rFonts w:eastAsia="Times New Roman" w:cs="Times New Roman"/>
          <w:lang w:eastAsia="de-DE"/>
        </w:rPr>
        <w:t xml:space="preserve">(Qal Wayyiqtol von </w:t>
      </w:r>
      <w:r w:rsidRPr="00D70A0B">
        <w:rPr>
          <w:rFonts w:eastAsia="Times New Roman" w:cs="Times New Roman"/>
          <w:b/>
          <w:bCs/>
          <w:rtl/>
          <w:lang w:eastAsia="de-DE"/>
        </w:rPr>
        <w:t>חרה</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אַף</w:t>
      </w:r>
      <w:r w:rsidRPr="00D70A0B">
        <w:rPr>
          <w:rFonts w:eastAsia="Times New Roman" w:cs="Times New Roman"/>
          <w:rtl/>
          <w:lang w:eastAsia="de-DE"/>
        </w:rPr>
        <w:t xml:space="preserve"> </w:t>
      </w:r>
      <w:r w:rsidRPr="00D70A0B">
        <w:rPr>
          <w:rFonts w:eastAsia="Times New Roman" w:cs="Times New Roman"/>
          <w:lang w:eastAsia="de-DE"/>
        </w:rPr>
        <w:t xml:space="preserve">als Subjekt, „es entbrannte Zorn") ist mit </w:t>
      </w:r>
      <w:r w:rsidR="00E031B3">
        <w:rPr>
          <w:rFonts w:eastAsia="Times New Roman" w:cs="Times New Roman"/>
          <w:lang w:eastAsia="de-DE"/>
        </w:rPr>
        <w:t>Maqqef</w:t>
      </w:r>
      <w:r w:rsidRPr="00D70A0B">
        <w:rPr>
          <w:rFonts w:eastAsia="Times New Roman" w:cs="Times New Roman"/>
          <w:lang w:eastAsia="de-DE"/>
        </w:rPr>
        <w:t xml:space="preserve"> verbunden. </w:t>
      </w:r>
      <w:r w:rsidRPr="00D70A0B">
        <w:rPr>
          <w:rFonts w:eastAsia="Times New Roman" w:cs="Times New Roman"/>
          <w:b/>
          <w:bCs/>
          <w:rtl/>
          <w:lang w:eastAsia="de-DE"/>
        </w:rPr>
        <w:t>יהוה</w:t>
      </w:r>
      <w:r w:rsidRPr="00D70A0B">
        <w:rPr>
          <w:rFonts w:eastAsia="Times New Roman" w:cs="Times New Roman"/>
          <w:rtl/>
          <w:lang w:eastAsia="de-DE"/>
        </w:rPr>
        <w:t xml:space="preserve"> </w:t>
      </w:r>
      <w:r w:rsidRPr="00D70A0B">
        <w:rPr>
          <w:rFonts w:eastAsia="Times New Roman" w:cs="Times New Roman"/>
          <w:lang w:eastAsia="de-DE"/>
        </w:rPr>
        <w:t xml:space="preserve">ist das Subjekt (der Tetragramm-Name betont die Bundesbeziehung), </w:t>
      </w:r>
      <w:r w:rsidRPr="00D70A0B">
        <w:rPr>
          <w:rFonts w:eastAsia="Times New Roman" w:cs="Times New Roman"/>
          <w:b/>
          <w:bCs/>
          <w:rtl/>
          <w:lang w:eastAsia="de-DE"/>
        </w:rPr>
        <w:t>בְּיִשְׂרָאֵל</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בְּ</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יִשְׂרָאֵל</w:t>
      </w:r>
      <w:r w:rsidRPr="00D70A0B">
        <w:rPr>
          <w:rFonts w:eastAsia="Times New Roman" w:cs="Times New Roman"/>
          <w:lang w:eastAsia="de-DE"/>
        </w:rPr>
        <w:t xml:space="preserve">) gibt das Objekt des Zorns an. Die Präposition </w:t>
      </w:r>
      <w:r w:rsidRPr="00D70A0B">
        <w:rPr>
          <w:rFonts w:eastAsia="Times New Roman" w:cs="Times New Roman"/>
          <w:b/>
          <w:bCs/>
          <w:rtl/>
          <w:lang w:eastAsia="de-DE"/>
        </w:rPr>
        <w:t>בְּ</w:t>
      </w:r>
      <w:r w:rsidRPr="00D70A0B">
        <w:rPr>
          <w:rFonts w:eastAsia="Times New Roman" w:cs="Times New Roman"/>
          <w:rtl/>
          <w:lang w:eastAsia="de-DE"/>
        </w:rPr>
        <w:t xml:space="preserve"> </w:t>
      </w:r>
      <w:r w:rsidRPr="00D70A0B">
        <w:rPr>
          <w:rFonts w:eastAsia="Times New Roman" w:cs="Times New Roman"/>
          <w:lang w:eastAsia="de-DE"/>
        </w:rPr>
        <w:t>kann hier „gegen" bedeuten oder die Sphäre des Zornes („in/unter Israel") bezeichnen. Der Zorn JHWHs ist nicht willkürlich, sondern die notwendige Reaktion auf Bundesbruch und Götzendienst.</w:t>
      </w:r>
    </w:p>
    <w:p w14:paraId="647BFDDC" w14:textId="421C9C6E"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Die LXX</w:t>
      </w:r>
      <w:r w:rsidRPr="00D70A0B">
        <w:rPr>
          <w:rFonts w:eastAsia="Times New Roman" w:cs="Times New Roman"/>
          <w:lang w:eastAsia="de-DE"/>
        </w:rPr>
        <w:t xml:space="preserve"> </w:t>
      </w:r>
      <w:r w:rsidR="00CD2614">
        <w:t>übersetzt „</w:t>
      </w:r>
      <w:r w:rsidR="00CD2614" w:rsidRPr="00CD2614">
        <w:rPr>
          <w:b/>
          <w:bCs/>
          <w:rtl/>
        </w:rPr>
        <w:t>וַיִּצָּמֶד</w:t>
      </w:r>
      <w:r w:rsidR="00CD2614">
        <w:t>" (und er hängte sich an) mit „καὶ ἐτελέσθη" (und er wurde eingeweiht/initiiert), was einen rituellen Aspekt betont.</w:t>
      </w:r>
    </w:p>
    <w:p w14:paraId="03C6CF98"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Die Satzstruktur zeigt zwei koordinierte Wayyiqtol-Sätze: Der erste beschreibt Israels Aktion (sich an Baal-Peor hängen), der zweite die göttliche Reaktion (JHWHs Zorn entbrennt). Die kausale Beziehung ist implizit aber evident: Israels Untreue provoziert göttlichen Zorn.</w:t>
      </w:r>
    </w:p>
    <w:p w14:paraId="7D16B88E"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 xml:space="preserve">Der Vers bringt die Krise auf den Punkt: Die in V. 1-2 beschriebenen Handlungen werden als Bundesbruch identifiziert. Die Bindung an Baal-Peor steht in direktem Widerspruch zur </w:t>
      </w:r>
      <w:r w:rsidRPr="00D70A0B">
        <w:rPr>
          <w:rFonts w:eastAsia="Times New Roman" w:cs="Times New Roman"/>
          <w:lang w:eastAsia="de-DE"/>
        </w:rPr>
        <w:lastRenderedPageBreak/>
        <w:t>Erwählung Israels als Volk JHWHs. Der entbrennende Zorn ist die notwendige Konsequenz der verletzten Bundesexklusivität. Die Episode zeigt, dass die größte Gefahr für Israel nicht von außen (durch Verfluchung), sondern von innen (durch religiöse Vermischung) kommt.</w:t>
      </w:r>
    </w:p>
    <w:p w14:paraId="6BB32495"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25,4</w:t>
      </w:r>
    </w:p>
    <w:p w14:paraId="528F51DA"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וַיֹּ֨אמֶר יְהוָ֜ה אֶל־מֹשֶׁ֗ה קַ֚ח אֶת־כָּל־רָאשֵׁ֣י הָעָ֔ם וְהוֹקַ֥ע אוֹתָ֛ם לַיהוָ֖ה נֶ֣גֶד הַשָּׁ֑מֶשׁ וְיָשֹׁ֛ב חֲר֥וֹן אַף־יְהוָ֖ה מִיִּשְׂרָאֵֽל׃</w:t>
      </w:r>
    </w:p>
    <w:p w14:paraId="5F43FD6C"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der Ewige sprach zu Mosche: „Nimm alle Häupter des Volkes und hänge sie dem Ewigen auf gegen die Sonne, damit sich abwende die Glut des Zornes des Ewigen von Jisra'el."</w:t>
      </w:r>
    </w:p>
    <w:p w14:paraId="4E5E0149"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40D62E32">
          <v:rect id="_x0000_i1855" style="width:0;height:1.5pt" o:hralign="center" o:hrstd="t" o:hr="t" fillcolor="#a0a0a0" stroked="f"/>
        </w:pict>
      </w:r>
    </w:p>
    <w:p w14:paraId="07641A53" w14:textId="67F4790B"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eröffnet mit der Standard-Redeeinleitung </w:t>
      </w:r>
      <w:r w:rsidRPr="00D70A0B">
        <w:rPr>
          <w:rFonts w:eastAsia="Times New Roman" w:cs="Times New Roman"/>
          <w:b/>
          <w:bCs/>
          <w:rtl/>
          <w:lang w:eastAsia="de-DE"/>
        </w:rPr>
        <w:t>וַיֹּאמֶר יהוה אֶל־מֹשֶׁה</w:t>
      </w:r>
      <w:r w:rsidRPr="00D70A0B">
        <w:rPr>
          <w:rFonts w:eastAsia="Times New Roman" w:cs="Times New Roman"/>
          <w:rtl/>
          <w:lang w:eastAsia="de-DE"/>
        </w:rPr>
        <w:t xml:space="preserve"> </w:t>
      </w:r>
      <w:r w:rsidRPr="00D70A0B">
        <w:rPr>
          <w:rFonts w:eastAsia="Times New Roman" w:cs="Times New Roman"/>
          <w:lang w:eastAsia="de-DE"/>
        </w:rPr>
        <w:t xml:space="preserve">(Qal Wayyiqtol von </w:t>
      </w:r>
      <w:r w:rsidRPr="00D70A0B">
        <w:rPr>
          <w:rFonts w:eastAsia="Times New Roman" w:cs="Times New Roman"/>
          <w:b/>
          <w:bCs/>
          <w:rtl/>
          <w:lang w:eastAsia="de-DE"/>
        </w:rPr>
        <w:t>אמר</w:t>
      </w:r>
      <w:r w:rsidRPr="00D70A0B">
        <w:rPr>
          <w:rFonts w:eastAsia="Times New Roman" w:cs="Times New Roman"/>
          <w:lang w:eastAsia="de-DE"/>
        </w:rPr>
        <w:t xml:space="preserve">, „sagen"). </w:t>
      </w:r>
      <w:r w:rsidRPr="00D70A0B">
        <w:rPr>
          <w:rFonts w:eastAsia="Times New Roman" w:cs="Times New Roman"/>
          <w:b/>
          <w:bCs/>
          <w:rtl/>
          <w:lang w:eastAsia="de-DE"/>
        </w:rPr>
        <w:t>קַח אֶת־כָּל־רָאשֵׁי הָעָם</w:t>
      </w:r>
      <w:r w:rsidRPr="00D70A0B">
        <w:rPr>
          <w:rFonts w:eastAsia="Times New Roman" w:cs="Times New Roman"/>
          <w:rtl/>
          <w:lang w:eastAsia="de-DE"/>
        </w:rPr>
        <w:t xml:space="preserve"> </w:t>
      </w:r>
      <w:r w:rsidRPr="00D70A0B">
        <w:rPr>
          <w:rFonts w:eastAsia="Times New Roman" w:cs="Times New Roman"/>
          <w:lang w:eastAsia="de-DE"/>
        </w:rPr>
        <w:t xml:space="preserve">ist der erste Teil des göttlichen Befehls. </w:t>
      </w:r>
      <w:r w:rsidRPr="00D70A0B">
        <w:rPr>
          <w:rFonts w:eastAsia="Times New Roman" w:cs="Times New Roman"/>
          <w:b/>
          <w:bCs/>
          <w:rtl/>
          <w:lang w:eastAsia="de-DE"/>
        </w:rPr>
        <w:t>קַח</w:t>
      </w:r>
      <w:r w:rsidRPr="00D70A0B">
        <w:rPr>
          <w:rFonts w:eastAsia="Times New Roman" w:cs="Times New Roman"/>
          <w:rtl/>
          <w:lang w:eastAsia="de-DE"/>
        </w:rPr>
        <w:t xml:space="preserve"> </w:t>
      </w:r>
      <w:r w:rsidRPr="00D70A0B">
        <w:rPr>
          <w:rFonts w:eastAsia="Times New Roman" w:cs="Times New Roman"/>
          <w:lang w:eastAsia="de-DE"/>
        </w:rPr>
        <w:t xml:space="preserve">ist Qal Imperativ maskulin Singular von </w:t>
      </w:r>
      <w:r w:rsidRPr="00D70A0B">
        <w:rPr>
          <w:rFonts w:eastAsia="Times New Roman" w:cs="Times New Roman"/>
          <w:b/>
          <w:bCs/>
          <w:rtl/>
          <w:lang w:eastAsia="de-DE"/>
        </w:rPr>
        <w:t>לקח</w:t>
      </w:r>
      <w:r w:rsidRPr="00D70A0B">
        <w:rPr>
          <w:rFonts w:eastAsia="Times New Roman" w:cs="Times New Roman"/>
          <w:rtl/>
          <w:lang w:eastAsia="de-DE"/>
        </w:rPr>
        <w:t xml:space="preserve"> </w:t>
      </w:r>
      <w:r w:rsidRPr="00D70A0B">
        <w:rPr>
          <w:rFonts w:eastAsia="Times New Roman" w:cs="Times New Roman"/>
          <w:lang w:eastAsia="de-DE"/>
        </w:rPr>
        <w:t xml:space="preserve">(„nehmen"), </w:t>
      </w:r>
      <w:r w:rsidRPr="00D70A0B">
        <w:rPr>
          <w:rFonts w:eastAsia="Times New Roman" w:cs="Times New Roman"/>
          <w:b/>
          <w:bCs/>
          <w:rtl/>
          <w:lang w:eastAsia="de-DE"/>
        </w:rPr>
        <w:t>אֶת־כָּל־רָאשֵׁי הָעָם</w:t>
      </w:r>
      <w:r w:rsidRPr="00D70A0B">
        <w:rPr>
          <w:rFonts w:eastAsia="Times New Roman" w:cs="Times New Roman"/>
          <w:rtl/>
          <w:lang w:eastAsia="de-DE"/>
        </w:rPr>
        <w:t xml:space="preserve"> </w:t>
      </w:r>
      <w:r w:rsidRPr="00D70A0B">
        <w:rPr>
          <w:rFonts w:eastAsia="Times New Roman" w:cs="Times New Roman"/>
          <w:lang w:eastAsia="de-DE"/>
        </w:rPr>
        <w:t xml:space="preserve">ist das Akkusativobjekt: </w:t>
      </w:r>
      <w:r w:rsidRPr="00D70A0B">
        <w:rPr>
          <w:rFonts w:eastAsia="Times New Roman" w:cs="Times New Roman"/>
          <w:b/>
          <w:bCs/>
          <w:rtl/>
          <w:lang w:eastAsia="de-DE"/>
        </w:rPr>
        <w:t>כָּל</w:t>
      </w:r>
      <w:r w:rsidRPr="00D70A0B">
        <w:rPr>
          <w:rFonts w:eastAsia="Times New Roman" w:cs="Times New Roman"/>
          <w:rtl/>
          <w:lang w:eastAsia="de-DE"/>
        </w:rPr>
        <w:t xml:space="preserve"> </w:t>
      </w:r>
      <w:r w:rsidRPr="00D70A0B">
        <w:rPr>
          <w:rFonts w:eastAsia="Times New Roman" w:cs="Times New Roman"/>
          <w:lang w:eastAsia="de-DE"/>
        </w:rPr>
        <w:t xml:space="preserve">(„alle") mit </w:t>
      </w:r>
      <w:r w:rsidRPr="00D70A0B">
        <w:rPr>
          <w:rFonts w:eastAsia="Times New Roman" w:cs="Times New Roman"/>
          <w:b/>
          <w:bCs/>
          <w:rtl/>
          <w:lang w:eastAsia="de-DE"/>
        </w:rPr>
        <w:t>רָאשֵׁי</w:t>
      </w:r>
      <w:r w:rsidRPr="00D70A0B">
        <w:rPr>
          <w:rFonts w:eastAsia="Times New Roman" w:cs="Times New Roman"/>
          <w:rtl/>
          <w:lang w:eastAsia="de-DE"/>
        </w:rPr>
        <w:t xml:space="preserve"> </w:t>
      </w:r>
      <w:r w:rsidRPr="00D70A0B">
        <w:rPr>
          <w:rFonts w:eastAsia="Times New Roman" w:cs="Times New Roman"/>
          <w:lang w:eastAsia="de-DE"/>
        </w:rPr>
        <w:t xml:space="preserve">(maskuliner Plural </w:t>
      </w:r>
      <w:r w:rsidR="00E031B3">
        <w:rPr>
          <w:rFonts w:eastAsia="Times New Roman" w:cs="Times New Roman"/>
          <w:lang w:eastAsia="de-DE"/>
        </w:rPr>
        <w:t>Constructus von</w:t>
      </w:r>
      <w:r w:rsidRPr="00D70A0B">
        <w:rPr>
          <w:rFonts w:eastAsia="Times New Roman" w:cs="Times New Roman"/>
          <w:lang w:eastAsia="de-DE"/>
        </w:rPr>
        <w:t xml:space="preserve"> </w:t>
      </w:r>
      <w:r w:rsidRPr="00D70A0B">
        <w:rPr>
          <w:rFonts w:eastAsia="Times New Roman" w:cs="Times New Roman"/>
          <w:b/>
          <w:bCs/>
          <w:rtl/>
          <w:lang w:eastAsia="de-DE"/>
        </w:rPr>
        <w:t>רֹאשׁ</w:t>
      </w:r>
      <w:r w:rsidRPr="00D70A0B">
        <w:rPr>
          <w:rFonts w:eastAsia="Times New Roman" w:cs="Times New Roman"/>
          <w:rtl/>
          <w:lang w:eastAsia="de-DE"/>
        </w:rPr>
        <w:t xml:space="preserve"> </w:t>
      </w:r>
      <w:r w:rsidRPr="00D70A0B">
        <w:rPr>
          <w:rFonts w:eastAsia="Times New Roman" w:cs="Times New Roman"/>
          <w:lang w:eastAsia="de-DE"/>
        </w:rPr>
        <w:t xml:space="preserve">„Haupt, Führer, Anführer") und </w:t>
      </w:r>
      <w:r w:rsidRPr="00D70A0B">
        <w:rPr>
          <w:rFonts w:eastAsia="Times New Roman" w:cs="Times New Roman"/>
          <w:b/>
          <w:bCs/>
          <w:rtl/>
          <w:lang w:eastAsia="de-DE"/>
        </w:rPr>
        <w:t>הָעָם</w:t>
      </w:r>
      <w:r w:rsidRPr="00D70A0B">
        <w:rPr>
          <w:rFonts w:eastAsia="Times New Roman" w:cs="Times New Roman"/>
          <w:rtl/>
          <w:lang w:eastAsia="de-DE"/>
        </w:rPr>
        <w:t xml:space="preserve"> </w:t>
      </w:r>
      <w:r w:rsidRPr="00D70A0B">
        <w:rPr>
          <w:rFonts w:eastAsia="Times New Roman" w:cs="Times New Roman"/>
          <w:lang w:eastAsia="de-DE"/>
        </w:rPr>
        <w:t>(„des Volkes") im Genitiv. Die „Häupter des Volkes" sind die Stammesführer oder Repräsentanten, die entweder selbst schuldig sind oder stellvertretend für das Volk bestraft werden sollen. Die Interpretation ist umstritten: Sind die Häupter die Täter oder sollen sie die Täter hinrichten?</w:t>
      </w:r>
    </w:p>
    <w:p w14:paraId="26529C99"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וְהוֹקַע אוֹתָם לַיהוה נֶגֶד הַשָּׁמֶשׁ</w:t>
      </w:r>
      <w:r w:rsidRPr="00D70A0B">
        <w:rPr>
          <w:rFonts w:eastAsia="Times New Roman" w:cs="Times New Roman"/>
          <w:rtl/>
          <w:lang w:eastAsia="de-DE"/>
        </w:rPr>
        <w:t xml:space="preserve"> </w:t>
      </w:r>
      <w:r w:rsidRPr="00D70A0B">
        <w:rPr>
          <w:rFonts w:eastAsia="Times New Roman" w:cs="Times New Roman"/>
          <w:lang w:eastAsia="de-DE"/>
        </w:rPr>
        <w:t xml:space="preserve">beschreibt die Art der Hinrichtung. </w:t>
      </w:r>
      <w:r w:rsidRPr="00D70A0B">
        <w:rPr>
          <w:rFonts w:eastAsia="Times New Roman" w:cs="Times New Roman"/>
          <w:b/>
          <w:bCs/>
          <w:rtl/>
          <w:lang w:eastAsia="de-DE"/>
        </w:rPr>
        <w:t>וְהוֹקַע</w:t>
      </w:r>
      <w:r w:rsidRPr="00D70A0B">
        <w:rPr>
          <w:rFonts w:eastAsia="Times New Roman" w:cs="Times New Roman"/>
          <w:rtl/>
          <w:lang w:eastAsia="de-DE"/>
        </w:rPr>
        <w:t xml:space="preserve"> </w:t>
      </w:r>
      <w:r w:rsidRPr="00D70A0B">
        <w:rPr>
          <w:rFonts w:eastAsia="Times New Roman" w:cs="Times New Roman"/>
          <w:lang w:eastAsia="de-DE"/>
        </w:rPr>
        <w:t xml:space="preserve">ist Hiphil Imperativ maskulin Singular von </w:t>
      </w:r>
      <w:r w:rsidRPr="00D70A0B">
        <w:rPr>
          <w:rFonts w:eastAsia="Times New Roman" w:cs="Times New Roman"/>
          <w:b/>
          <w:bCs/>
          <w:rtl/>
          <w:lang w:eastAsia="de-DE"/>
        </w:rPr>
        <w:t>יקע</w:t>
      </w:r>
      <w:r w:rsidRPr="00D70A0B">
        <w:rPr>
          <w:rFonts w:eastAsia="Times New Roman" w:cs="Times New Roman"/>
          <w:rtl/>
          <w:lang w:eastAsia="de-DE"/>
        </w:rPr>
        <w:t xml:space="preserve"> </w:t>
      </w:r>
      <w:r w:rsidRPr="00D70A0B">
        <w:rPr>
          <w:rFonts w:eastAsia="Times New Roman" w:cs="Times New Roman"/>
          <w:lang w:eastAsia="de-DE"/>
        </w:rPr>
        <w:t xml:space="preserve">(„aufhängen, pfählen, an den Pfahl schlagen"), eine seltene und drastische Form der Todesstrafe. </w:t>
      </w:r>
      <w:r w:rsidRPr="00D70A0B">
        <w:rPr>
          <w:rFonts w:eastAsia="Times New Roman" w:cs="Times New Roman"/>
          <w:b/>
          <w:bCs/>
          <w:rtl/>
          <w:lang w:eastAsia="de-DE"/>
        </w:rPr>
        <w:t>אוֹתָם</w:t>
      </w:r>
      <w:r w:rsidRPr="00D70A0B">
        <w:rPr>
          <w:rFonts w:eastAsia="Times New Roman" w:cs="Times New Roman"/>
          <w:rtl/>
          <w:lang w:eastAsia="de-DE"/>
        </w:rPr>
        <w:t xml:space="preserve"> </w:t>
      </w:r>
      <w:r w:rsidRPr="00D70A0B">
        <w:rPr>
          <w:rFonts w:eastAsia="Times New Roman" w:cs="Times New Roman"/>
          <w:lang w:eastAsia="de-DE"/>
        </w:rPr>
        <w:t xml:space="preserve">ist das Akkusativpronomen 3. Person maskulin Plural („sie"). </w:t>
      </w:r>
      <w:r w:rsidRPr="00D70A0B">
        <w:rPr>
          <w:rFonts w:eastAsia="Times New Roman" w:cs="Times New Roman"/>
          <w:b/>
          <w:bCs/>
          <w:rtl/>
          <w:lang w:eastAsia="de-DE"/>
        </w:rPr>
        <w:t>לַיהוה</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 xml:space="preserve">mit dem Tetragramm) gibt den Adressaten oder Zweck an („für JHWH, dem JHWH"). </w:t>
      </w:r>
      <w:r w:rsidRPr="00D70A0B">
        <w:rPr>
          <w:rFonts w:eastAsia="Times New Roman" w:cs="Times New Roman"/>
          <w:b/>
          <w:bCs/>
          <w:rtl/>
          <w:lang w:eastAsia="de-DE"/>
        </w:rPr>
        <w:t>נֶגֶד הַשָּׁמֶשׁ</w:t>
      </w:r>
      <w:r w:rsidRPr="00D70A0B">
        <w:rPr>
          <w:rFonts w:eastAsia="Times New Roman" w:cs="Times New Roman"/>
          <w:rtl/>
          <w:lang w:eastAsia="de-DE"/>
        </w:rPr>
        <w:t xml:space="preserve"> </w:t>
      </w:r>
      <w:r w:rsidRPr="00D70A0B">
        <w:rPr>
          <w:rFonts w:eastAsia="Times New Roman" w:cs="Times New Roman"/>
          <w:lang w:eastAsia="de-DE"/>
        </w:rPr>
        <w:t xml:space="preserve">ist eine lokale oder temporale Bestimmung: </w:t>
      </w:r>
      <w:r w:rsidRPr="00D70A0B">
        <w:rPr>
          <w:rFonts w:eastAsia="Times New Roman" w:cs="Times New Roman"/>
          <w:b/>
          <w:bCs/>
          <w:rtl/>
          <w:lang w:eastAsia="de-DE"/>
        </w:rPr>
        <w:t>נֶגֶד</w:t>
      </w:r>
      <w:r w:rsidRPr="00D70A0B">
        <w:rPr>
          <w:rFonts w:eastAsia="Times New Roman" w:cs="Times New Roman"/>
          <w:rtl/>
          <w:lang w:eastAsia="de-DE"/>
        </w:rPr>
        <w:t xml:space="preserve"> </w:t>
      </w:r>
      <w:r w:rsidRPr="00D70A0B">
        <w:rPr>
          <w:rFonts w:eastAsia="Times New Roman" w:cs="Times New Roman"/>
          <w:lang w:eastAsia="de-DE"/>
        </w:rPr>
        <w:t xml:space="preserve">(„gegenüber, vor, angesichts"), </w:t>
      </w:r>
      <w:r w:rsidRPr="00D70A0B">
        <w:rPr>
          <w:rFonts w:eastAsia="Times New Roman" w:cs="Times New Roman"/>
          <w:b/>
          <w:bCs/>
          <w:rtl/>
          <w:lang w:eastAsia="de-DE"/>
        </w:rPr>
        <w:t>הַשָּׁמֶשׁ</w:t>
      </w:r>
      <w:r w:rsidRPr="00D70A0B">
        <w:rPr>
          <w:rFonts w:eastAsia="Times New Roman" w:cs="Times New Roman"/>
          <w:rtl/>
          <w:lang w:eastAsia="de-DE"/>
        </w:rPr>
        <w:t xml:space="preserve"> </w:t>
      </w:r>
      <w:r w:rsidRPr="00D70A0B">
        <w:rPr>
          <w:rFonts w:eastAsia="Times New Roman" w:cs="Times New Roman"/>
          <w:lang w:eastAsia="de-DE"/>
        </w:rPr>
        <w:t>(„die Sonne" mit Artikel). Die Phrase kann bedeuten „öffentlich" (vor aller Augen, wie die Sonne alles sieht) oder „bei Tag" (solange die Sonne scheint). Die öffentliche Zurschaustellung der Hingerichteten diente als Abschreckung und als Zeichen der Sühne.</w:t>
      </w:r>
    </w:p>
    <w:p w14:paraId="4A4E6722" w14:textId="1252114B"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וְיָשֹׁב חֲרוֹן אַף־יהוה מִיִּשְׂרָאֵל</w:t>
      </w:r>
      <w:r w:rsidRPr="00D70A0B">
        <w:rPr>
          <w:rFonts w:eastAsia="Times New Roman" w:cs="Times New Roman"/>
          <w:rtl/>
          <w:lang w:eastAsia="de-DE"/>
        </w:rPr>
        <w:t xml:space="preserve"> </w:t>
      </w:r>
      <w:r w:rsidRPr="00D70A0B">
        <w:rPr>
          <w:rFonts w:eastAsia="Times New Roman" w:cs="Times New Roman"/>
          <w:lang w:eastAsia="de-DE"/>
        </w:rPr>
        <w:t xml:space="preserve">gibt den Zweck der Maßnahme an. </w:t>
      </w:r>
      <w:r w:rsidRPr="00D70A0B">
        <w:rPr>
          <w:rFonts w:eastAsia="Times New Roman" w:cs="Times New Roman"/>
          <w:b/>
          <w:bCs/>
          <w:rtl/>
          <w:lang w:eastAsia="de-DE"/>
        </w:rPr>
        <w:t>וְיָשֹׁב</w:t>
      </w:r>
      <w:r w:rsidRPr="00D70A0B">
        <w:rPr>
          <w:rFonts w:eastAsia="Times New Roman" w:cs="Times New Roman"/>
          <w:rtl/>
          <w:lang w:eastAsia="de-DE"/>
        </w:rPr>
        <w:t xml:space="preserve"> </w:t>
      </w:r>
      <w:r w:rsidRPr="00D70A0B">
        <w:rPr>
          <w:rFonts w:eastAsia="Times New Roman" w:cs="Times New Roman"/>
          <w:lang w:eastAsia="de-DE"/>
        </w:rPr>
        <w:t xml:space="preserve">ist Qal Imperfekt (oder Jussiv) 3. Person maskulin Singular von </w:t>
      </w:r>
      <w:r w:rsidRPr="00D70A0B">
        <w:rPr>
          <w:rFonts w:eastAsia="Times New Roman" w:cs="Times New Roman"/>
          <w:b/>
          <w:bCs/>
          <w:rtl/>
          <w:lang w:eastAsia="de-DE"/>
        </w:rPr>
        <w:t>שׁוב</w:t>
      </w:r>
      <w:r w:rsidRPr="00D70A0B">
        <w:rPr>
          <w:rFonts w:eastAsia="Times New Roman" w:cs="Times New Roman"/>
          <w:rtl/>
          <w:lang w:eastAsia="de-DE"/>
        </w:rPr>
        <w:t xml:space="preserve"> </w:t>
      </w:r>
      <w:r w:rsidRPr="00D70A0B">
        <w:rPr>
          <w:rFonts w:eastAsia="Times New Roman" w:cs="Times New Roman"/>
          <w:lang w:eastAsia="de-DE"/>
        </w:rPr>
        <w:t xml:space="preserve">(„zurückkehren, sich abwenden"), hier final oder konsekutiv verstanden („damit sich abwende"). </w:t>
      </w:r>
      <w:r w:rsidRPr="00D70A0B">
        <w:rPr>
          <w:rFonts w:eastAsia="Times New Roman" w:cs="Times New Roman"/>
          <w:b/>
          <w:bCs/>
          <w:rtl/>
          <w:lang w:eastAsia="de-DE"/>
        </w:rPr>
        <w:t>חֲרוֹן אַף־יהוה</w:t>
      </w:r>
      <w:r w:rsidRPr="00D70A0B">
        <w:rPr>
          <w:rFonts w:eastAsia="Times New Roman" w:cs="Times New Roman"/>
          <w:rtl/>
          <w:lang w:eastAsia="de-DE"/>
        </w:rPr>
        <w:t xml:space="preserve"> </w:t>
      </w:r>
      <w:r w:rsidRPr="00D70A0B">
        <w:rPr>
          <w:rFonts w:eastAsia="Times New Roman" w:cs="Times New Roman"/>
          <w:lang w:eastAsia="de-DE"/>
        </w:rPr>
        <w:t xml:space="preserve">ist eine verstärkte Form von </w:t>
      </w:r>
      <w:r w:rsidRPr="00D70A0B">
        <w:rPr>
          <w:rFonts w:eastAsia="Times New Roman" w:cs="Times New Roman"/>
          <w:b/>
          <w:bCs/>
          <w:rtl/>
          <w:lang w:eastAsia="de-DE"/>
        </w:rPr>
        <w:t>אַף</w:t>
      </w:r>
      <w:r w:rsidRPr="00D70A0B">
        <w:rPr>
          <w:rFonts w:eastAsia="Times New Roman" w:cs="Times New Roman"/>
          <w:lang w:eastAsia="de-DE"/>
        </w:rPr>
        <w:t xml:space="preserve">: </w:t>
      </w:r>
      <w:r w:rsidRPr="00D70A0B">
        <w:rPr>
          <w:rFonts w:eastAsia="Times New Roman" w:cs="Times New Roman"/>
          <w:b/>
          <w:bCs/>
          <w:rtl/>
          <w:lang w:eastAsia="de-DE"/>
        </w:rPr>
        <w:t>חֲרוֹן</w:t>
      </w:r>
      <w:r w:rsidRPr="00D70A0B">
        <w:rPr>
          <w:rFonts w:eastAsia="Times New Roman" w:cs="Times New Roman"/>
          <w:rtl/>
          <w:lang w:eastAsia="de-DE"/>
        </w:rPr>
        <w:t xml:space="preserve"> </w:t>
      </w:r>
      <w:r w:rsidRPr="00D70A0B">
        <w:rPr>
          <w:rFonts w:eastAsia="Times New Roman" w:cs="Times New Roman"/>
          <w:lang w:eastAsia="de-DE"/>
        </w:rPr>
        <w:t xml:space="preserve">(„Glut, Hitze") mit </w:t>
      </w:r>
      <w:r w:rsidRPr="00D70A0B">
        <w:rPr>
          <w:rFonts w:eastAsia="Times New Roman" w:cs="Times New Roman"/>
          <w:b/>
          <w:bCs/>
          <w:rtl/>
          <w:lang w:eastAsia="de-DE"/>
        </w:rPr>
        <w:t>אַף</w:t>
      </w:r>
      <w:r w:rsidRPr="00D70A0B">
        <w:rPr>
          <w:rFonts w:eastAsia="Times New Roman" w:cs="Times New Roman"/>
          <w:rtl/>
          <w:lang w:eastAsia="de-DE"/>
        </w:rPr>
        <w:t xml:space="preserve"> </w:t>
      </w:r>
      <w:r w:rsidRPr="00D70A0B">
        <w:rPr>
          <w:rFonts w:eastAsia="Times New Roman" w:cs="Times New Roman"/>
          <w:lang w:eastAsia="de-DE"/>
        </w:rPr>
        <w:t xml:space="preserve">(„Zorn") im </w:t>
      </w:r>
      <w:r w:rsidR="00E031B3">
        <w:rPr>
          <w:rFonts w:eastAsia="Times New Roman" w:cs="Times New Roman"/>
          <w:lang w:eastAsia="de-DE"/>
        </w:rPr>
        <w:t>Constructus und</w:t>
      </w:r>
      <w:r w:rsidRPr="00D70A0B">
        <w:rPr>
          <w:rFonts w:eastAsia="Times New Roman" w:cs="Times New Roman"/>
          <w:lang w:eastAsia="de-DE"/>
        </w:rPr>
        <w:t xml:space="preserve"> </w:t>
      </w:r>
      <w:r w:rsidRPr="00D70A0B">
        <w:rPr>
          <w:rFonts w:eastAsia="Times New Roman" w:cs="Times New Roman"/>
          <w:b/>
          <w:bCs/>
          <w:rtl/>
          <w:lang w:eastAsia="de-DE"/>
        </w:rPr>
        <w:t>יהוה</w:t>
      </w:r>
      <w:r w:rsidRPr="00D70A0B">
        <w:rPr>
          <w:rFonts w:eastAsia="Times New Roman" w:cs="Times New Roman"/>
          <w:rtl/>
          <w:lang w:eastAsia="de-DE"/>
        </w:rPr>
        <w:t xml:space="preserve"> </w:t>
      </w:r>
      <w:r w:rsidRPr="00D70A0B">
        <w:rPr>
          <w:rFonts w:eastAsia="Times New Roman" w:cs="Times New Roman"/>
          <w:lang w:eastAsia="de-DE"/>
        </w:rPr>
        <w:t xml:space="preserve">im Genitiv („die Zornesglut JHWHs"). </w:t>
      </w:r>
      <w:r w:rsidRPr="00D70A0B">
        <w:rPr>
          <w:rFonts w:eastAsia="Times New Roman" w:cs="Times New Roman"/>
          <w:b/>
          <w:bCs/>
          <w:rtl/>
          <w:lang w:eastAsia="de-DE"/>
        </w:rPr>
        <w:t>מִיִּשְׂרָאֵל</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מִן</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יִשְׂרָאֵל</w:t>
      </w:r>
      <w:r w:rsidRPr="00D70A0B">
        <w:rPr>
          <w:rFonts w:eastAsia="Times New Roman" w:cs="Times New Roman"/>
          <w:lang w:eastAsia="de-DE"/>
        </w:rPr>
        <w:t>) gibt die Richtung der Abwendung an („von Israel weg"). Die Hinrichtung der Schuldigen dient der Sühne und verhindert, dass der göttliche Zorn das ganze Volk vernichtet.</w:t>
      </w:r>
    </w:p>
    <w:p w14:paraId="3CD75D1E" w14:textId="287EB562"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Die LXX</w:t>
      </w:r>
      <w:r w:rsidRPr="00D70A0B">
        <w:rPr>
          <w:rFonts w:eastAsia="Times New Roman" w:cs="Times New Roman"/>
          <w:lang w:eastAsia="de-DE"/>
        </w:rPr>
        <w:t xml:space="preserve"> </w:t>
      </w:r>
      <w:r w:rsidR="00CD2614">
        <w:t>übersetzt „</w:t>
      </w:r>
      <w:r w:rsidR="00CD2614" w:rsidRPr="00CD2614">
        <w:rPr>
          <w:b/>
          <w:bCs/>
          <w:rtl/>
        </w:rPr>
        <w:t>וְהוֹקַע</w:t>
      </w:r>
      <w:r w:rsidR="00CD2614">
        <w:rPr>
          <w:rtl/>
        </w:rPr>
        <w:t xml:space="preserve"> </w:t>
      </w:r>
      <w:r w:rsidR="00CD2614" w:rsidRPr="00CD2614">
        <w:rPr>
          <w:b/>
          <w:bCs/>
          <w:rtl/>
        </w:rPr>
        <w:t>אוֹתָם</w:t>
      </w:r>
      <w:r w:rsidR="00CD2614">
        <w:t>" (und spieße sie auf/hänge sie auf) mit „καὶ παραδειγμάτισον αὐτούς" (und mache sie zu einem öffentlichen Beispiel), was die Art der Hinrichtung weniger explizit beschreibt.</w:t>
      </w:r>
    </w:p>
    <w:p w14:paraId="2D1C129A"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Die Satzstruktur zeigt eine Redeeinleitung, gefolgt von zwei koordinierten Imperativen (nimm, hänge auf) mit Spezifikationen und einem finalen Imperfekt/Jussiv-Satz, der den Zweck der Anordnung angibt.</w:t>
      </w:r>
    </w:p>
    <w:p w14:paraId="29027B75"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lastRenderedPageBreak/>
        <w:t>Der Vers zeigt die Radikalität der göttlichen Antwort auf die Sünde: Öffentliche Hinrichtung der Verantwortlichen ist notwendig, um den göttlichen Zorn vom ganzen Volk abzuwenden. Die Formulierung „für JHWH" zeigt, dass die Hinrichtung nicht nur Strafvollzug, sondern kultische Sühnehandlung ist. Die öffentliche Zurschaustellung unterstreicht die Schwere der Sünde und dient der kollektiven Reinigung.</w:t>
      </w:r>
    </w:p>
    <w:p w14:paraId="5F47055A"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25,5</w:t>
      </w:r>
    </w:p>
    <w:p w14:paraId="42A54355"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וַיֹּ֣אמֶר מֹשֶׁ֔ה אֶל־שֹׁפְטֵ֖י יִשְׂרָאֵ֑ל הִרְגוּ֙ אִ֣ישׁ אֲנָשָׁ֔יו הַנִּצְמָדִ֖ים לְבַ֥עַל פְּעֽוֹר׃</w:t>
      </w:r>
    </w:p>
    <w:p w14:paraId="5914F476"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Mosche sprach zu den Richtern Jisra'els: „Erschlagt ein jeder seine Männer, die sich an Ba'al-Pe'or gehängt haben."</w:t>
      </w:r>
    </w:p>
    <w:p w14:paraId="13F331E1"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73B6FA25">
          <v:rect id="_x0000_i1856" style="width:0;height:1.5pt" o:hralign="center" o:hrstd="t" o:hr="t" fillcolor="#a0a0a0" stroked="f"/>
        </w:pict>
      </w:r>
    </w:p>
    <w:p w14:paraId="73CD4480" w14:textId="7E3BF1BE"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zeigt Moses' Umsetzung des göttlichen Befehls. </w:t>
      </w:r>
      <w:r w:rsidRPr="00D70A0B">
        <w:rPr>
          <w:rFonts w:eastAsia="Times New Roman" w:cs="Times New Roman"/>
          <w:b/>
          <w:bCs/>
          <w:rtl/>
          <w:lang w:eastAsia="de-DE"/>
        </w:rPr>
        <w:t>וַיֹּאמֶר מֹשֶׁה אֶל־שֹׁפְטֵי יִשְׂרָאֵל</w:t>
      </w:r>
      <w:r w:rsidRPr="00D70A0B">
        <w:rPr>
          <w:rFonts w:eastAsia="Times New Roman" w:cs="Times New Roman"/>
          <w:rtl/>
          <w:lang w:eastAsia="de-DE"/>
        </w:rPr>
        <w:t xml:space="preserve"> </w:t>
      </w:r>
      <w:r w:rsidRPr="00D70A0B">
        <w:rPr>
          <w:rFonts w:eastAsia="Times New Roman" w:cs="Times New Roman"/>
          <w:lang w:eastAsia="de-DE"/>
        </w:rPr>
        <w:t xml:space="preserve">ist die Redeeinleitung. </w:t>
      </w:r>
      <w:r w:rsidRPr="00D70A0B">
        <w:rPr>
          <w:rFonts w:eastAsia="Times New Roman" w:cs="Times New Roman"/>
          <w:b/>
          <w:bCs/>
          <w:rtl/>
          <w:lang w:eastAsia="de-DE"/>
        </w:rPr>
        <w:t>שֹׁפְטֵי</w:t>
      </w:r>
      <w:r w:rsidRPr="00D70A0B">
        <w:rPr>
          <w:rFonts w:eastAsia="Times New Roman" w:cs="Times New Roman"/>
          <w:rtl/>
          <w:lang w:eastAsia="de-DE"/>
        </w:rPr>
        <w:t xml:space="preserve"> </w:t>
      </w:r>
      <w:r w:rsidRPr="00D70A0B">
        <w:rPr>
          <w:rFonts w:eastAsia="Times New Roman" w:cs="Times New Roman"/>
          <w:lang w:eastAsia="de-DE"/>
        </w:rPr>
        <w:t xml:space="preserve">ist der maskuline Plural </w:t>
      </w:r>
      <w:r w:rsidR="00E031B3">
        <w:rPr>
          <w:rFonts w:eastAsia="Times New Roman" w:cs="Times New Roman"/>
          <w:lang w:eastAsia="de-DE"/>
        </w:rPr>
        <w:t>Constructus von</w:t>
      </w:r>
      <w:r w:rsidRPr="00D70A0B">
        <w:rPr>
          <w:rFonts w:eastAsia="Times New Roman" w:cs="Times New Roman"/>
          <w:lang w:eastAsia="de-DE"/>
        </w:rPr>
        <w:t xml:space="preserve"> </w:t>
      </w:r>
      <w:r w:rsidRPr="00D70A0B">
        <w:rPr>
          <w:rFonts w:eastAsia="Times New Roman" w:cs="Times New Roman"/>
          <w:b/>
          <w:bCs/>
          <w:rtl/>
          <w:lang w:eastAsia="de-DE"/>
        </w:rPr>
        <w:t>שֹׁפֵט</w:t>
      </w:r>
      <w:r w:rsidRPr="00D70A0B">
        <w:rPr>
          <w:rFonts w:eastAsia="Times New Roman" w:cs="Times New Roman"/>
          <w:rtl/>
          <w:lang w:eastAsia="de-DE"/>
        </w:rPr>
        <w:t xml:space="preserve"> </w:t>
      </w:r>
      <w:r w:rsidRPr="00D70A0B">
        <w:rPr>
          <w:rFonts w:eastAsia="Times New Roman" w:cs="Times New Roman"/>
          <w:lang w:eastAsia="de-DE"/>
        </w:rPr>
        <w:t xml:space="preserve">(„Richter"), </w:t>
      </w:r>
      <w:r w:rsidRPr="00D70A0B">
        <w:rPr>
          <w:rFonts w:eastAsia="Times New Roman" w:cs="Times New Roman"/>
          <w:b/>
          <w:bCs/>
          <w:rtl/>
          <w:lang w:eastAsia="de-DE"/>
        </w:rPr>
        <w:t>יִשְׂרָאֵל</w:t>
      </w:r>
      <w:r w:rsidRPr="00D70A0B">
        <w:rPr>
          <w:rFonts w:eastAsia="Times New Roman" w:cs="Times New Roman"/>
          <w:rtl/>
          <w:lang w:eastAsia="de-DE"/>
        </w:rPr>
        <w:t xml:space="preserve"> </w:t>
      </w:r>
      <w:r w:rsidRPr="00D70A0B">
        <w:rPr>
          <w:rFonts w:eastAsia="Times New Roman" w:cs="Times New Roman"/>
          <w:lang w:eastAsia="de-DE"/>
        </w:rPr>
        <w:t>im Genitiv. Die Richter sind die lokalen Autoritäten, die für Rechtsprechung und Ordnung verantwortlich sind. Moses delegiert die Durchführung an sie, was die dezentrale Struktur der Strafaktion zeigt.</w:t>
      </w:r>
    </w:p>
    <w:p w14:paraId="24C9D272" w14:textId="320BA06D"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הִרְגוּ אִישׁ אֲנָשָׁיו</w:t>
      </w:r>
      <w:r w:rsidRPr="00D70A0B">
        <w:rPr>
          <w:rFonts w:eastAsia="Times New Roman" w:cs="Times New Roman"/>
          <w:rtl/>
          <w:lang w:eastAsia="de-DE"/>
        </w:rPr>
        <w:t xml:space="preserve"> </w:t>
      </w:r>
      <w:r w:rsidRPr="00D70A0B">
        <w:rPr>
          <w:rFonts w:eastAsia="Times New Roman" w:cs="Times New Roman"/>
          <w:lang w:eastAsia="de-DE"/>
        </w:rPr>
        <w:t xml:space="preserve">ist der Befehl. </w:t>
      </w:r>
      <w:r w:rsidRPr="00D70A0B">
        <w:rPr>
          <w:rFonts w:eastAsia="Times New Roman" w:cs="Times New Roman"/>
          <w:b/>
          <w:bCs/>
          <w:rtl/>
          <w:lang w:eastAsia="de-DE"/>
        </w:rPr>
        <w:t>הִרְגוּ</w:t>
      </w:r>
      <w:r w:rsidRPr="00D70A0B">
        <w:rPr>
          <w:rFonts w:eastAsia="Times New Roman" w:cs="Times New Roman"/>
          <w:rtl/>
          <w:lang w:eastAsia="de-DE"/>
        </w:rPr>
        <w:t xml:space="preserve"> </w:t>
      </w:r>
      <w:r w:rsidRPr="00D70A0B">
        <w:rPr>
          <w:rFonts w:eastAsia="Times New Roman" w:cs="Times New Roman"/>
          <w:lang w:eastAsia="de-DE"/>
        </w:rPr>
        <w:t xml:space="preserve">ist Qal Imperativ maskulin Plural von </w:t>
      </w:r>
      <w:r w:rsidRPr="00D70A0B">
        <w:rPr>
          <w:rFonts w:eastAsia="Times New Roman" w:cs="Times New Roman"/>
          <w:b/>
          <w:bCs/>
          <w:rtl/>
          <w:lang w:eastAsia="de-DE"/>
        </w:rPr>
        <w:t>הרג</w:t>
      </w:r>
      <w:r w:rsidRPr="00D70A0B">
        <w:rPr>
          <w:rFonts w:eastAsia="Times New Roman" w:cs="Times New Roman"/>
          <w:rtl/>
          <w:lang w:eastAsia="de-DE"/>
        </w:rPr>
        <w:t xml:space="preserve"> </w:t>
      </w:r>
      <w:r w:rsidRPr="00D70A0B">
        <w:rPr>
          <w:rFonts w:eastAsia="Times New Roman" w:cs="Times New Roman"/>
          <w:lang w:eastAsia="de-DE"/>
        </w:rPr>
        <w:t xml:space="preserve">(„töten, erschlagen"), </w:t>
      </w:r>
      <w:r w:rsidRPr="00D70A0B">
        <w:rPr>
          <w:rFonts w:eastAsia="Times New Roman" w:cs="Times New Roman"/>
          <w:b/>
          <w:bCs/>
          <w:rtl/>
          <w:lang w:eastAsia="de-DE"/>
        </w:rPr>
        <w:t>אִישׁ</w:t>
      </w:r>
      <w:r w:rsidRPr="00D70A0B">
        <w:rPr>
          <w:rFonts w:eastAsia="Times New Roman" w:cs="Times New Roman"/>
          <w:rtl/>
          <w:lang w:eastAsia="de-DE"/>
        </w:rPr>
        <w:t xml:space="preserve"> </w:t>
      </w:r>
      <w:r w:rsidRPr="00D70A0B">
        <w:rPr>
          <w:rFonts w:eastAsia="Times New Roman" w:cs="Times New Roman"/>
          <w:lang w:eastAsia="de-DE"/>
        </w:rPr>
        <w:t xml:space="preserve">(„ein jeder, jeder Mann") fungiert als Distributivpronomen, </w:t>
      </w:r>
      <w:r w:rsidRPr="00D70A0B">
        <w:rPr>
          <w:rFonts w:eastAsia="Times New Roman" w:cs="Times New Roman"/>
          <w:b/>
          <w:bCs/>
          <w:rtl/>
          <w:lang w:eastAsia="de-DE"/>
        </w:rPr>
        <w:t>אֲנָשָׁיו</w:t>
      </w:r>
      <w:r w:rsidRPr="00D70A0B">
        <w:rPr>
          <w:rFonts w:eastAsia="Times New Roman" w:cs="Times New Roman"/>
          <w:rtl/>
          <w:lang w:eastAsia="de-DE"/>
        </w:rPr>
        <w:t xml:space="preserve"> </w:t>
      </w:r>
      <w:r w:rsidRPr="00D70A0B">
        <w:rPr>
          <w:rFonts w:eastAsia="Times New Roman" w:cs="Times New Roman"/>
          <w:lang w:eastAsia="de-DE"/>
        </w:rPr>
        <w:t xml:space="preserve">ist der maskuline Plural von </w:t>
      </w:r>
      <w:r w:rsidRPr="00D70A0B">
        <w:rPr>
          <w:rFonts w:eastAsia="Times New Roman" w:cs="Times New Roman"/>
          <w:b/>
          <w:bCs/>
          <w:rtl/>
          <w:lang w:eastAsia="de-DE"/>
        </w:rPr>
        <w:t>אִישׁ</w:t>
      </w:r>
      <w:r w:rsidRPr="00D70A0B">
        <w:rPr>
          <w:rFonts w:eastAsia="Times New Roman" w:cs="Times New Roman"/>
          <w:rtl/>
          <w:lang w:eastAsia="de-DE"/>
        </w:rPr>
        <w:t xml:space="preserve"> </w:t>
      </w:r>
      <w:r w:rsidRPr="00D70A0B">
        <w:rPr>
          <w:rFonts w:eastAsia="Times New Roman" w:cs="Times New Roman"/>
          <w:lang w:eastAsia="de-DE"/>
        </w:rPr>
        <w:t xml:space="preserve">(„Mann, Mensch") mit Suffix 3. Person maskulin Singular („seine Männer"). Die </w:t>
      </w:r>
      <w:r w:rsidR="00F133EC">
        <w:rPr>
          <w:rFonts w:eastAsia="Times New Roman" w:cs="Times New Roman"/>
          <w:lang w:eastAsia="de-DE"/>
        </w:rPr>
        <w:t>Construct</w:t>
      </w:r>
      <w:r w:rsidRPr="00D70A0B">
        <w:rPr>
          <w:rFonts w:eastAsia="Times New Roman" w:cs="Times New Roman"/>
          <w:lang w:eastAsia="de-DE"/>
        </w:rPr>
        <w:t xml:space="preserve">ion </w:t>
      </w:r>
      <w:r w:rsidRPr="00D70A0B">
        <w:rPr>
          <w:rFonts w:eastAsia="Times New Roman" w:cs="Times New Roman"/>
          <w:b/>
          <w:bCs/>
          <w:rtl/>
          <w:lang w:eastAsia="de-DE"/>
        </w:rPr>
        <w:t>אִישׁ אֲנָשָׁיו</w:t>
      </w:r>
      <w:r w:rsidRPr="00D70A0B">
        <w:rPr>
          <w:rFonts w:eastAsia="Times New Roman" w:cs="Times New Roman"/>
          <w:rtl/>
          <w:lang w:eastAsia="de-DE"/>
        </w:rPr>
        <w:t xml:space="preserve"> </w:t>
      </w:r>
      <w:r w:rsidRPr="00D70A0B">
        <w:rPr>
          <w:rFonts w:eastAsia="Times New Roman" w:cs="Times New Roman"/>
          <w:lang w:eastAsia="de-DE"/>
        </w:rPr>
        <w:t>bedeutet „jeder (Richter soll töten) seine Männer", d.h. die Männer in seiner Zuständigkeit. Dies konkretisiert den göttlichen Befehl aus V. 4 und zeigt, dass nicht die Häupter selbst, sondern die Schuldigen unter ihrer Aufsicht hingerichtet werden sollen.</w:t>
      </w:r>
    </w:p>
    <w:p w14:paraId="6D9B2146"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הַנִּצְמָדִים לְבַעַל פְּעוֹר</w:t>
      </w:r>
      <w:r w:rsidRPr="00D70A0B">
        <w:rPr>
          <w:rFonts w:eastAsia="Times New Roman" w:cs="Times New Roman"/>
          <w:rtl/>
          <w:lang w:eastAsia="de-DE"/>
        </w:rPr>
        <w:t xml:space="preserve"> </w:t>
      </w:r>
      <w:r w:rsidRPr="00D70A0B">
        <w:rPr>
          <w:rFonts w:eastAsia="Times New Roman" w:cs="Times New Roman"/>
          <w:lang w:eastAsia="de-DE"/>
        </w:rPr>
        <w:t xml:space="preserve">identifiziert die Opfer. </w:t>
      </w:r>
      <w:r w:rsidRPr="00D70A0B">
        <w:rPr>
          <w:rFonts w:eastAsia="Times New Roman" w:cs="Times New Roman"/>
          <w:b/>
          <w:bCs/>
          <w:rtl/>
          <w:lang w:eastAsia="de-DE"/>
        </w:rPr>
        <w:t>הַנִּצְמָדִים</w:t>
      </w:r>
      <w:r w:rsidRPr="00D70A0B">
        <w:rPr>
          <w:rFonts w:eastAsia="Times New Roman" w:cs="Times New Roman"/>
          <w:rtl/>
          <w:lang w:eastAsia="de-DE"/>
        </w:rPr>
        <w:t xml:space="preserve"> </w:t>
      </w:r>
      <w:r w:rsidRPr="00D70A0B">
        <w:rPr>
          <w:rFonts w:eastAsia="Times New Roman" w:cs="Times New Roman"/>
          <w:lang w:eastAsia="de-DE"/>
        </w:rPr>
        <w:t xml:space="preserve">ist Niphal-Partizip maskulin Plural von </w:t>
      </w:r>
      <w:r w:rsidRPr="00D70A0B">
        <w:rPr>
          <w:rFonts w:eastAsia="Times New Roman" w:cs="Times New Roman"/>
          <w:b/>
          <w:bCs/>
          <w:rtl/>
          <w:lang w:eastAsia="de-DE"/>
        </w:rPr>
        <w:t>צמד</w:t>
      </w:r>
      <w:r w:rsidRPr="00D70A0B">
        <w:rPr>
          <w:rFonts w:eastAsia="Times New Roman" w:cs="Times New Roman"/>
          <w:rtl/>
          <w:lang w:eastAsia="de-DE"/>
        </w:rPr>
        <w:t xml:space="preserve"> </w:t>
      </w:r>
      <w:r w:rsidRPr="00D70A0B">
        <w:rPr>
          <w:rFonts w:eastAsia="Times New Roman" w:cs="Times New Roman"/>
          <w:lang w:eastAsia="de-DE"/>
        </w:rPr>
        <w:t xml:space="preserve">(„sich anhängen") mit Artikel, hier als substantiviertes Attribut („die sich Angehängten, die sich angehängt haben"). </w:t>
      </w:r>
      <w:r w:rsidRPr="00D70A0B">
        <w:rPr>
          <w:rFonts w:eastAsia="Times New Roman" w:cs="Times New Roman"/>
          <w:b/>
          <w:bCs/>
          <w:rtl/>
          <w:lang w:eastAsia="de-DE"/>
        </w:rPr>
        <w:t>לְבַעַל פְּעוֹר</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בַּעַל פְּעוֹר</w:t>
      </w:r>
      <w:r w:rsidRPr="00D70A0B">
        <w:rPr>
          <w:rFonts w:eastAsia="Times New Roman" w:cs="Times New Roman"/>
          <w:lang w:eastAsia="de-DE"/>
        </w:rPr>
        <w:t>) wiederholt die Formulierung aus V. 3. Das Partizip beschreibt eine andauernde oder abgeschlossene Handlung mit bleibender Wirkung: Die Männer haben sich an Baal-Peor gehängt und sind in diesem Zustand geblieben.</w:t>
      </w:r>
    </w:p>
    <w:p w14:paraId="73586DAB" w14:textId="64149995"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Die</w:t>
      </w:r>
      <w:r w:rsidR="00CD2614">
        <w:rPr>
          <w:rFonts w:eastAsia="Times New Roman" w:cs="Times New Roman"/>
          <w:b/>
          <w:bCs/>
          <w:lang w:eastAsia="de-DE"/>
        </w:rPr>
        <w:t xml:space="preserve"> LXX</w:t>
      </w:r>
      <w:r w:rsidRPr="00D70A0B">
        <w:rPr>
          <w:rFonts w:eastAsia="Times New Roman" w:cs="Times New Roman"/>
          <w:b/>
          <w:bCs/>
          <w:lang w:eastAsia="de-DE"/>
        </w:rPr>
        <w:t xml:space="preserve"> </w:t>
      </w:r>
      <w:r w:rsidR="00CD2614">
        <w:t>übersetzt „</w:t>
      </w:r>
      <w:r w:rsidR="00CD2614" w:rsidRPr="00CD2614">
        <w:rPr>
          <w:b/>
          <w:bCs/>
          <w:rtl/>
        </w:rPr>
        <w:t>שֹׁפְטֵי</w:t>
      </w:r>
      <w:r w:rsidR="00CD2614">
        <w:rPr>
          <w:rtl/>
        </w:rPr>
        <w:t xml:space="preserve"> </w:t>
      </w:r>
      <w:r w:rsidR="00CD2614" w:rsidRPr="00CD2614">
        <w:rPr>
          <w:b/>
          <w:bCs/>
          <w:rtl/>
        </w:rPr>
        <w:t>יִשְׂרָאֵל</w:t>
      </w:r>
      <w:r w:rsidR="00CD2614">
        <w:t>" (Richter Israels) mit „ταῖς φυλαῖς Ἰσραήλ" (zu den Stämmen Israels), was die Adressaten ändert.</w:t>
      </w:r>
    </w:p>
    <w:p w14:paraId="2274210C"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Die Satzstruktur zeigt eine Redeeinleitung, gefolgt von einem Imperativ mit distributivem Subjekt und einem partizipialen Attributsatz, der die Opfer spezifiziert.</w:t>
      </w:r>
    </w:p>
    <w:p w14:paraId="5C24A0CD"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Der Vers verdeutlicht Moses' Interpretation des göttlichen Befehls: Die Richter sollen in ihren Zuständigkeitsbereichen die Schuldigen hinrichten. Die Formulierung betont die persönliche Verantwortung jedes Richters. Die drastische Maßnahme zeigt, dass Götzendienst als Kapitalverbrechen behandelt wird, das die Existenz des ganzen Volkes gefährdet. Die dezentrale Durchführung ermöglicht eine schnelle und umfassende Bestrafung.</w:t>
      </w:r>
    </w:p>
    <w:p w14:paraId="0439B157"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lastRenderedPageBreak/>
        <w:t>Numeri 25,6</w:t>
      </w:r>
    </w:p>
    <w:p w14:paraId="34551A6B"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וְהִנֵּ֡ה אִישׁ֩ מִבְּנֵ֨י יִשְׂרָאֵ֜ל בָּ֗א וַיַּקְרֵ֤ב אֶל־אֶחָיו֙ אֶת־הַמִּדְיָנִ֔ית לְעֵינֵ֣י מֹשֶׁ֔ה וּלְעֵינֵ֖י כָּל־עֲדַ֣ת בְּנֵי־יִשְׂרָאֵ֑ל וְהֵ֣מָּה בֹכִ֔ים פֶּ֖תַח אֹ֥הֶל מוֹעֵֽד׃</w:t>
      </w:r>
    </w:p>
    <w:p w14:paraId="3FE33D1C"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siehe, ein Mann von den Söhnen Jisra'els kam und brachte eine Midjanit zu seinen Brüdern vor den Augen Mosches und vor den Augen der ganzen Gemeinde der Söhne Jisra'els, und sie waren weinend am Eingang des Zeltes der Begegnung.</w:t>
      </w:r>
    </w:p>
    <w:p w14:paraId="0BAC2488"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4DA7504E">
          <v:rect id="_x0000_i1857" style="width:0;height:1.5pt" o:hralign="center" o:hrstd="t" o:hr="t" fillcolor="#a0a0a0" stroked="f"/>
        </w:pict>
      </w:r>
    </w:p>
    <w:p w14:paraId="66022236"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beginnt mit </w:t>
      </w:r>
      <w:r w:rsidRPr="00D70A0B">
        <w:rPr>
          <w:rFonts w:eastAsia="Times New Roman" w:cs="Times New Roman"/>
          <w:b/>
          <w:bCs/>
          <w:rtl/>
          <w:lang w:eastAsia="de-DE"/>
        </w:rPr>
        <w:t>וְהִנֵּה</w:t>
      </w:r>
      <w:r w:rsidRPr="00D70A0B">
        <w:rPr>
          <w:rFonts w:eastAsia="Times New Roman" w:cs="Times New Roman"/>
          <w:lang w:eastAsia="de-DE"/>
        </w:rPr>
        <w:t xml:space="preserve">, der Interjektion („siehe, und siehe"), die eine überraschende oder bedeutsame neue Entwicklung einleitet. </w:t>
      </w:r>
      <w:r w:rsidRPr="00D70A0B">
        <w:rPr>
          <w:rFonts w:eastAsia="Times New Roman" w:cs="Times New Roman"/>
          <w:b/>
          <w:bCs/>
          <w:rtl/>
          <w:lang w:eastAsia="de-DE"/>
        </w:rPr>
        <w:t>אִישׁ מִבְּנֵי יִשְׂרָאֵל בָּא</w:t>
      </w:r>
      <w:r w:rsidRPr="00D70A0B">
        <w:rPr>
          <w:rFonts w:eastAsia="Times New Roman" w:cs="Times New Roman"/>
          <w:rtl/>
          <w:lang w:eastAsia="de-DE"/>
        </w:rPr>
        <w:t xml:space="preserve"> </w:t>
      </w:r>
      <w:r w:rsidRPr="00D70A0B">
        <w:rPr>
          <w:rFonts w:eastAsia="Times New Roman" w:cs="Times New Roman"/>
          <w:lang w:eastAsia="de-DE"/>
        </w:rPr>
        <w:t xml:space="preserve">beschreibt den Täter. </w:t>
      </w:r>
      <w:r w:rsidRPr="00D70A0B">
        <w:rPr>
          <w:rFonts w:eastAsia="Times New Roman" w:cs="Times New Roman"/>
          <w:b/>
          <w:bCs/>
          <w:rtl/>
          <w:lang w:eastAsia="de-DE"/>
        </w:rPr>
        <w:t>אִישׁ</w:t>
      </w:r>
      <w:r w:rsidRPr="00D70A0B">
        <w:rPr>
          <w:rFonts w:eastAsia="Times New Roman" w:cs="Times New Roman"/>
          <w:rtl/>
          <w:lang w:eastAsia="de-DE"/>
        </w:rPr>
        <w:t xml:space="preserve"> </w:t>
      </w:r>
      <w:r w:rsidRPr="00D70A0B">
        <w:rPr>
          <w:rFonts w:eastAsia="Times New Roman" w:cs="Times New Roman"/>
          <w:lang w:eastAsia="de-DE"/>
        </w:rPr>
        <w:t xml:space="preserve">(„ein Mann") ist indefinit und wird erst in V. 14 namentlich identifiziert. </w:t>
      </w:r>
      <w:r w:rsidRPr="00D70A0B">
        <w:rPr>
          <w:rFonts w:eastAsia="Times New Roman" w:cs="Times New Roman"/>
          <w:b/>
          <w:bCs/>
          <w:rtl/>
          <w:lang w:eastAsia="de-DE"/>
        </w:rPr>
        <w:t>מִבְּנֵי יִשְׂרָאֵל</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מִן</w:t>
      </w:r>
      <w:r w:rsidRPr="00D70A0B">
        <w:rPr>
          <w:rFonts w:eastAsia="Times New Roman" w:cs="Times New Roman"/>
          <w:rtl/>
          <w:lang w:eastAsia="de-DE"/>
        </w:rPr>
        <w:t xml:space="preserve"> </w:t>
      </w:r>
      <w:r w:rsidRPr="00D70A0B">
        <w:rPr>
          <w:rFonts w:eastAsia="Times New Roman" w:cs="Times New Roman"/>
          <w:lang w:eastAsia="de-DE"/>
        </w:rPr>
        <w:t xml:space="preserve">„von" mit </w:t>
      </w:r>
      <w:r w:rsidRPr="00D70A0B">
        <w:rPr>
          <w:rFonts w:eastAsia="Times New Roman" w:cs="Times New Roman"/>
          <w:b/>
          <w:bCs/>
          <w:rtl/>
          <w:lang w:eastAsia="de-DE"/>
        </w:rPr>
        <w:t>בְּנֵי יִשְׂרָאֵל</w:t>
      </w:r>
      <w:r w:rsidRPr="00D70A0B">
        <w:rPr>
          <w:rFonts w:eastAsia="Times New Roman" w:cs="Times New Roman"/>
          <w:rtl/>
          <w:lang w:eastAsia="de-DE"/>
        </w:rPr>
        <w:t xml:space="preserve"> </w:t>
      </w:r>
      <w:r w:rsidRPr="00D70A0B">
        <w:rPr>
          <w:rFonts w:eastAsia="Times New Roman" w:cs="Times New Roman"/>
          <w:lang w:eastAsia="de-DE"/>
        </w:rPr>
        <w:t xml:space="preserve">„Söhne Israels") zeigt die Herkunft. </w:t>
      </w:r>
      <w:r w:rsidRPr="00D70A0B">
        <w:rPr>
          <w:rFonts w:eastAsia="Times New Roman" w:cs="Times New Roman"/>
          <w:b/>
          <w:bCs/>
          <w:rtl/>
          <w:lang w:eastAsia="de-DE"/>
        </w:rPr>
        <w:t>בָּא</w:t>
      </w:r>
      <w:r w:rsidRPr="00D70A0B">
        <w:rPr>
          <w:rFonts w:eastAsia="Times New Roman" w:cs="Times New Roman"/>
          <w:rtl/>
          <w:lang w:eastAsia="de-DE"/>
        </w:rPr>
        <w:t xml:space="preserve"> </w:t>
      </w:r>
      <w:r w:rsidRPr="00D70A0B">
        <w:rPr>
          <w:rFonts w:eastAsia="Times New Roman" w:cs="Times New Roman"/>
          <w:lang w:eastAsia="de-DE"/>
        </w:rPr>
        <w:t xml:space="preserve">ist Qal Perfekt (oder Partizip) 3. Person maskulin Singular von </w:t>
      </w:r>
      <w:r w:rsidRPr="00D70A0B">
        <w:rPr>
          <w:rFonts w:eastAsia="Times New Roman" w:cs="Times New Roman"/>
          <w:b/>
          <w:bCs/>
          <w:rtl/>
          <w:lang w:eastAsia="de-DE"/>
        </w:rPr>
        <w:t>בוא</w:t>
      </w:r>
      <w:r w:rsidRPr="00D70A0B">
        <w:rPr>
          <w:rFonts w:eastAsia="Times New Roman" w:cs="Times New Roman"/>
          <w:rtl/>
          <w:lang w:eastAsia="de-DE"/>
        </w:rPr>
        <w:t xml:space="preserve"> </w:t>
      </w:r>
      <w:r w:rsidRPr="00D70A0B">
        <w:rPr>
          <w:rFonts w:eastAsia="Times New Roman" w:cs="Times New Roman"/>
          <w:lang w:eastAsia="de-DE"/>
        </w:rPr>
        <w:t>(„kommen"), hier wahrscheinlich als historisches Präsens zu verstehen („kommt"). Die Formulierung betont die Provokation: Während Moses die Hinrichtung der Götzendiener anordnet, kommt demonstrativ ein Israelit mit einer fremden Frau.</w:t>
      </w:r>
    </w:p>
    <w:p w14:paraId="7AE76348"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וַיַּקְרֵב אֶל־אֶחָיו אֶת־הַמִּדְיָנִית</w:t>
      </w:r>
      <w:r w:rsidRPr="00D70A0B">
        <w:rPr>
          <w:rFonts w:eastAsia="Times New Roman" w:cs="Times New Roman"/>
          <w:rtl/>
          <w:lang w:eastAsia="de-DE"/>
        </w:rPr>
        <w:t xml:space="preserve"> </w:t>
      </w:r>
      <w:r w:rsidRPr="00D70A0B">
        <w:rPr>
          <w:rFonts w:eastAsia="Times New Roman" w:cs="Times New Roman"/>
          <w:lang w:eastAsia="de-DE"/>
        </w:rPr>
        <w:t xml:space="preserve">beschreibt die Handlung. </w:t>
      </w:r>
      <w:r w:rsidRPr="00D70A0B">
        <w:rPr>
          <w:rFonts w:eastAsia="Times New Roman" w:cs="Times New Roman"/>
          <w:b/>
          <w:bCs/>
          <w:rtl/>
          <w:lang w:eastAsia="de-DE"/>
        </w:rPr>
        <w:t>וַיַּקְרֵב</w:t>
      </w:r>
      <w:r w:rsidRPr="00D70A0B">
        <w:rPr>
          <w:rFonts w:eastAsia="Times New Roman" w:cs="Times New Roman"/>
          <w:rtl/>
          <w:lang w:eastAsia="de-DE"/>
        </w:rPr>
        <w:t xml:space="preserve"> </w:t>
      </w:r>
      <w:r w:rsidRPr="00D70A0B">
        <w:rPr>
          <w:rFonts w:eastAsia="Times New Roman" w:cs="Times New Roman"/>
          <w:lang w:eastAsia="de-DE"/>
        </w:rPr>
        <w:t xml:space="preserve">ist Hiphil Wayyiqtol 3. Person maskulin Singular von </w:t>
      </w:r>
      <w:r w:rsidRPr="00D70A0B">
        <w:rPr>
          <w:rFonts w:eastAsia="Times New Roman" w:cs="Times New Roman"/>
          <w:b/>
          <w:bCs/>
          <w:rtl/>
          <w:lang w:eastAsia="de-DE"/>
        </w:rPr>
        <w:t>קרב</w:t>
      </w:r>
      <w:r w:rsidRPr="00D70A0B">
        <w:rPr>
          <w:rFonts w:eastAsia="Times New Roman" w:cs="Times New Roman"/>
          <w:rtl/>
          <w:lang w:eastAsia="de-DE"/>
        </w:rPr>
        <w:t xml:space="preserve"> </w:t>
      </w:r>
      <w:r w:rsidRPr="00D70A0B">
        <w:rPr>
          <w:rFonts w:eastAsia="Times New Roman" w:cs="Times New Roman"/>
          <w:lang w:eastAsia="de-DE"/>
        </w:rPr>
        <w:t xml:space="preserve">(„nahe bringen, herbeibringen"), </w:t>
      </w:r>
      <w:r w:rsidRPr="00D70A0B">
        <w:rPr>
          <w:rFonts w:eastAsia="Times New Roman" w:cs="Times New Roman"/>
          <w:b/>
          <w:bCs/>
          <w:rtl/>
          <w:lang w:eastAsia="de-DE"/>
        </w:rPr>
        <w:t>אֶל־אֶחָיו</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אֶל</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אֶחָיו</w:t>
      </w:r>
      <w:r w:rsidRPr="00D70A0B">
        <w:rPr>
          <w:rFonts w:eastAsia="Times New Roman" w:cs="Times New Roman"/>
          <w:lang w:eastAsia="de-DE"/>
        </w:rPr>
        <w:t xml:space="preserve">, maskuliner Plural von </w:t>
      </w:r>
      <w:r w:rsidRPr="00D70A0B">
        <w:rPr>
          <w:rFonts w:eastAsia="Times New Roman" w:cs="Times New Roman"/>
          <w:b/>
          <w:bCs/>
          <w:rtl/>
          <w:lang w:eastAsia="de-DE"/>
        </w:rPr>
        <w:t>אָח</w:t>
      </w:r>
      <w:r w:rsidRPr="00D70A0B">
        <w:rPr>
          <w:rFonts w:eastAsia="Times New Roman" w:cs="Times New Roman"/>
          <w:rtl/>
          <w:lang w:eastAsia="de-DE"/>
        </w:rPr>
        <w:t xml:space="preserve"> </w:t>
      </w:r>
      <w:r w:rsidRPr="00D70A0B">
        <w:rPr>
          <w:rFonts w:eastAsia="Times New Roman" w:cs="Times New Roman"/>
          <w:lang w:eastAsia="de-DE"/>
        </w:rPr>
        <w:t xml:space="preserve">„Bruder" mit Suffix 3. Person maskulin Singular „seine Brüder") gibt das Ziel an. </w:t>
      </w:r>
      <w:r w:rsidRPr="00D70A0B">
        <w:rPr>
          <w:rFonts w:eastAsia="Times New Roman" w:cs="Times New Roman"/>
          <w:b/>
          <w:bCs/>
          <w:rtl/>
          <w:lang w:eastAsia="de-DE"/>
        </w:rPr>
        <w:t>אֶת־הַמִּדְיָנִית</w:t>
      </w:r>
      <w:r w:rsidRPr="00D70A0B">
        <w:rPr>
          <w:rFonts w:eastAsia="Times New Roman" w:cs="Times New Roman"/>
          <w:rtl/>
          <w:lang w:eastAsia="de-DE"/>
        </w:rPr>
        <w:t xml:space="preserve"> </w:t>
      </w:r>
      <w:r w:rsidRPr="00D70A0B">
        <w:rPr>
          <w:rFonts w:eastAsia="Times New Roman" w:cs="Times New Roman"/>
          <w:lang w:eastAsia="de-DE"/>
        </w:rPr>
        <w:t xml:space="preserve">ist das Akkusativobjekt: </w:t>
      </w:r>
      <w:r w:rsidRPr="00D70A0B">
        <w:rPr>
          <w:rFonts w:eastAsia="Times New Roman" w:cs="Times New Roman"/>
          <w:b/>
          <w:bCs/>
          <w:rtl/>
          <w:lang w:eastAsia="de-DE"/>
        </w:rPr>
        <w:t>הַמִּדְיָנִית</w:t>
      </w:r>
      <w:r w:rsidRPr="00D70A0B">
        <w:rPr>
          <w:rFonts w:eastAsia="Times New Roman" w:cs="Times New Roman"/>
          <w:rtl/>
          <w:lang w:eastAsia="de-DE"/>
        </w:rPr>
        <w:t xml:space="preserve"> </w:t>
      </w:r>
      <w:r w:rsidRPr="00D70A0B">
        <w:rPr>
          <w:rFonts w:eastAsia="Times New Roman" w:cs="Times New Roman"/>
          <w:lang w:eastAsia="de-DE"/>
        </w:rPr>
        <w:t xml:space="preserve">ist das feminine Gentilizium („die Midjaniterin") mit Artikel. Die Midjaniter waren ein nomadisches Volk, das mit den Moabitern zusammenarbeitete (vgl. Num 22,4.7; 31,16). Das Verb </w:t>
      </w:r>
      <w:r w:rsidRPr="00D70A0B">
        <w:rPr>
          <w:rFonts w:eastAsia="Times New Roman" w:cs="Times New Roman"/>
          <w:b/>
          <w:bCs/>
          <w:rtl/>
          <w:lang w:eastAsia="de-DE"/>
        </w:rPr>
        <w:t>קרב</w:t>
      </w:r>
      <w:r w:rsidRPr="00D70A0B">
        <w:rPr>
          <w:rFonts w:eastAsia="Times New Roman" w:cs="Times New Roman"/>
          <w:rtl/>
          <w:lang w:eastAsia="de-DE"/>
        </w:rPr>
        <w:t xml:space="preserve"> </w:t>
      </w:r>
      <w:r w:rsidRPr="00D70A0B">
        <w:rPr>
          <w:rFonts w:eastAsia="Times New Roman" w:cs="Times New Roman"/>
          <w:lang w:eastAsia="de-DE"/>
        </w:rPr>
        <w:t>im Hiphil bedeutet hier „heranbringen" im Sinne von „zu sich nehmen, in seine Wohnung bringen", wahrscheinlich mit sexueller Absicht.</w:t>
      </w:r>
    </w:p>
    <w:p w14:paraId="19D8B00E" w14:textId="118E1363"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לְעֵינֵי מֹשֶׁה וּלְעֵינֵי כָּל־עֲדַת בְּנֵי־יִשְׂרָאֵל</w:t>
      </w:r>
      <w:r w:rsidRPr="00D70A0B">
        <w:rPr>
          <w:rFonts w:eastAsia="Times New Roman" w:cs="Times New Roman"/>
          <w:rtl/>
          <w:lang w:eastAsia="de-DE"/>
        </w:rPr>
        <w:t xml:space="preserve"> </w:t>
      </w:r>
      <w:r w:rsidRPr="00D70A0B">
        <w:rPr>
          <w:rFonts w:eastAsia="Times New Roman" w:cs="Times New Roman"/>
          <w:lang w:eastAsia="de-DE"/>
        </w:rPr>
        <w:t xml:space="preserve">betont die Öffentlichkeit und Dreistigkeit der Tat. </w:t>
      </w:r>
      <w:r w:rsidRPr="00D70A0B">
        <w:rPr>
          <w:rFonts w:eastAsia="Times New Roman" w:cs="Times New Roman"/>
          <w:b/>
          <w:bCs/>
          <w:rtl/>
          <w:lang w:eastAsia="de-DE"/>
        </w:rPr>
        <w:t>לְעֵינֵי</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 xml:space="preserve">mit dem dualen </w:t>
      </w:r>
      <w:r w:rsidR="00B513FF">
        <w:rPr>
          <w:rFonts w:eastAsia="Times New Roman" w:cs="Times New Roman"/>
          <w:lang w:eastAsia="de-DE"/>
        </w:rPr>
        <w:t xml:space="preserve">Constructus </w:t>
      </w:r>
      <w:r w:rsidRPr="00D70A0B">
        <w:rPr>
          <w:rFonts w:eastAsia="Times New Roman" w:cs="Times New Roman"/>
          <w:lang w:eastAsia="de-DE"/>
        </w:rPr>
        <w:t xml:space="preserve"> </w:t>
      </w:r>
      <w:r w:rsidRPr="00D70A0B">
        <w:rPr>
          <w:rFonts w:eastAsia="Times New Roman" w:cs="Times New Roman"/>
          <w:b/>
          <w:bCs/>
          <w:rtl/>
          <w:lang w:eastAsia="de-DE"/>
        </w:rPr>
        <w:t>עֵינֵי</w:t>
      </w:r>
      <w:r w:rsidRPr="00D70A0B">
        <w:rPr>
          <w:rFonts w:eastAsia="Times New Roman" w:cs="Times New Roman"/>
          <w:rtl/>
          <w:lang w:eastAsia="de-DE"/>
        </w:rPr>
        <w:t xml:space="preserve"> </w:t>
      </w:r>
      <w:r w:rsidRPr="00D70A0B">
        <w:rPr>
          <w:rFonts w:eastAsia="Times New Roman" w:cs="Times New Roman"/>
          <w:lang w:eastAsia="de-DE"/>
        </w:rPr>
        <w:t xml:space="preserve">von </w:t>
      </w:r>
      <w:r w:rsidRPr="00D70A0B">
        <w:rPr>
          <w:rFonts w:eastAsia="Times New Roman" w:cs="Times New Roman"/>
          <w:b/>
          <w:bCs/>
          <w:rtl/>
          <w:lang w:eastAsia="de-DE"/>
        </w:rPr>
        <w:t>עַיִן</w:t>
      </w:r>
      <w:r w:rsidRPr="00D70A0B">
        <w:rPr>
          <w:rFonts w:eastAsia="Times New Roman" w:cs="Times New Roman"/>
          <w:rtl/>
          <w:lang w:eastAsia="de-DE"/>
        </w:rPr>
        <w:t xml:space="preserve"> </w:t>
      </w:r>
      <w:r w:rsidRPr="00D70A0B">
        <w:rPr>
          <w:rFonts w:eastAsia="Times New Roman" w:cs="Times New Roman"/>
          <w:lang w:eastAsia="de-DE"/>
        </w:rPr>
        <w:t xml:space="preserve">„Auge") bedeutet idiomatisch „vor den Augen, in Gegenwart von". Die Formulierung wird zweimal wiederholt für maximale Emphase: </w:t>
      </w:r>
      <w:r w:rsidRPr="00D70A0B">
        <w:rPr>
          <w:rFonts w:eastAsia="Times New Roman" w:cs="Times New Roman"/>
          <w:b/>
          <w:bCs/>
          <w:rtl/>
          <w:lang w:eastAsia="de-DE"/>
        </w:rPr>
        <w:t>מֹשֶׁה</w:t>
      </w:r>
      <w:r w:rsidRPr="00D70A0B">
        <w:rPr>
          <w:rFonts w:eastAsia="Times New Roman" w:cs="Times New Roman"/>
          <w:rtl/>
          <w:lang w:eastAsia="de-DE"/>
        </w:rPr>
        <w:t xml:space="preserve"> </w:t>
      </w:r>
      <w:r w:rsidRPr="00D70A0B">
        <w:rPr>
          <w:rFonts w:eastAsia="Times New Roman" w:cs="Times New Roman"/>
          <w:lang w:eastAsia="de-DE"/>
        </w:rPr>
        <w:t xml:space="preserve">und </w:t>
      </w:r>
      <w:r w:rsidRPr="00D70A0B">
        <w:rPr>
          <w:rFonts w:eastAsia="Times New Roman" w:cs="Times New Roman"/>
          <w:b/>
          <w:bCs/>
          <w:rtl/>
          <w:lang w:eastAsia="de-DE"/>
        </w:rPr>
        <w:t>כָּל־עֲדַת בְּנֵי־יִשְׂרָאֵל</w:t>
      </w:r>
      <w:r w:rsidRPr="00D70A0B">
        <w:rPr>
          <w:rFonts w:eastAsia="Times New Roman" w:cs="Times New Roman"/>
          <w:rtl/>
          <w:lang w:eastAsia="de-DE"/>
        </w:rPr>
        <w:t xml:space="preserve"> </w:t>
      </w:r>
      <w:r w:rsidRPr="00D70A0B">
        <w:rPr>
          <w:rFonts w:eastAsia="Times New Roman" w:cs="Times New Roman"/>
          <w:lang w:eastAsia="de-DE"/>
        </w:rPr>
        <w:t>(„die ganze Gemeinde der Söhne Israels"). Die Tat ist nicht heimlich, sondern eine offene Provokation der religiösen und zivilen Autorität.</w:t>
      </w:r>
    </w:p>
    <w:p w14:paraId="7CA7A32F" w14:textId="77777777" w:rsidR="00D70A0B" w:rsidRDefault="00D70A0B" w:rsidP="00D70A0B">
      <w:pPr>
        <w:pStyle w:val="whitespace-normal"/>
      </w:pPr>
      <w:r w:rsidRPr="00D70A0B">
        <w:rPr>
          <w:b/>
          <w:bCs/>
          <w:rtl/>
        </w:rPr>
        <w:t>וְהֵמָּה בֹכִים פֶּתַח אֹהֶל מוֹעֵד</w:t>
      </w:r>
      <w:r w:rsidRPr="00D70A0B">
        <w:rPr>
          <w:rtl/>
        </w:rPr>
        <w:t xml:space="preserve"> </w:t>
      </w:r>
      <w:r w:rsidRPr="00D70A0B">
        <w:t xml:space="preserve">beschreibt den Kontext. </w:t>
      </w:r>
      <w:r w:rsidRPr="00D70A0B">
        <w:rPr>
          <w:b/>
          <w:bCs/>
          <w:rtl/>
        </w:rPr>
        <w:t>וְהֵמָּה</w:t>
      </w:r>
      <w:r w:rsidRPr="00D70A0B">
        <w:rPr>
          <w:rtl/>
        </w:rPr>
        <w:t xml:space="preserve"> </w:t>
      </w:r>
      <w:r w:rsidRPr="00D70A0B">
        <w:t xml:space="preserve">ist das Personalpronomen 3. Person maskulin Plural („und sie"), bezieht sich auf Moses und die Gemeinde. </w:t>
      </w:r>
      <w:r w:rsidRPr="00D70A0B">
        <w:rPr>
          <w:b/>
          <w:bCs/>
          <w:rtl/>
        </w:rPr>
        <w:t>בֹכִים</w:t>
      </w:r>
      <w:r w:rsidRPr="00D70A0B">
        <w:rPr>
          <w:rtl/>
        </w:rPr>
        <w:t xml:space="preserve"> </w:t>
      </w:r>
      <w:r w:rsidRPr="00D70A0B">
        <w:t xml:space="preserve">ist Qal-Partizip maskulin Plural von </w:t>
      </w:r>
      <w:r w:rsidRPr="00D70A0B">
        <w:rPr>
          <w:b/>
          <w:bCs/>
          <w:rtl/>
        </w:rPr>
        <w:t>בכה</w:t>
      </w:r>
      <w:r w:rsidRPr="00D70A0B">
        <w:rPr>
          <w:rtl/>
        </w:rPr>
        <w:t xml:space="preserve"> </w:t>
      </w:r>
      <w:r w:rsidRPr="00D70A0B">
        <w:t xml:space="preserve">(„weinen"), das einen andauernden Zustand beschreibt. </w:t>
      </w:r>
      <w:r w:rsidRPr="00D70A0B">
        <w:rPr>
          <w:b/>
          <w:bCs/>
          <w:rtl/>
        </w:rPr>
        <w:t xml:space="preserve">פֶּתַח </w:t>
      </w:r>
      <w:r>
        <w:rPr>
          <w:b/>
          <w:bCs/>
        </w:rPr>
        <w:t xml:space="preserve"> </w:t>
      </w:r>
      <w:r>
        <w:rPr>
          <w:rStyle w:val="Fett"/>
          <w:rtl/>
        </w:rPr>
        <w:t>פֶּתַח אֹהֶל מוֹעֵד</w:t>
      </w:r>
      <w:r>
        <w:rPr>
          <w:rtl/>
        </w:rPr>
        <w:t xml:space="preserve"> </w:t>
      </w:r>
      <w:r>
        <w:t xml:space="preserve">ist die lokale Bestimmung: </w:t>
      </w:r>
      <w:r>
        <w:rPr>
          <w:rStyle w:val="Fett"/>
          <w:rtl/>
        </w:rPr>
        <w:t>פֶּתַח</w:t>
      </w:r>
      <w:r>
        <w:rPr>
          <w:rtl/>
        </w:rPr>
        <w:t xml:space="preserve"> </w:t>
      </w:r>
      <w:r>
        <w:t xml:space="preserve">(„Eingang"), </w:t>
      </w:r>
      <w:r>
        <w:rPr>
          <w:rStyle w:val="Fett"/>
          <w:rtl/>
        </w:rPr>
        <w:t>אֹהֶל מוֹעֵד</w:t>
      </w:r>
      <w:r>
        <w:rPr>
          <w:rtl/>
        </w:rPr>
        <w:t xml:space="preserve"> </w:t>
      </w:r>
      <w:r>
        <w:t>(„Zelt der Begegnung") im Genitiv. Das Weinen am Eingang des Heiligtums ist Ausdruck der Buße und der Trauer über die Sünde des Volkes und die daraus resultierende Plage (vgl. V. 8-9). Der Kontrast ist dramatisch: Während die Gemeinde vor Gott bußfertig weint, führt ein Mann provokativ eine fremde Frau in sein Zelt.</w:t>
      </w:r>
    </w:p>
    <w:p w14:paraId="462C2BCC" w14:textId="7C412708" w:rsidR="00D70A0B" w:rsidRDefault="00D70A0B" w:rsidP="00D70A0B">
      <w:pPr>
        <w:pStyle w:val="whitespace-normal"/>
      </w:pPr>
      <w:r>
        <w:rPr>
          <w:rStyle w:val="Fett"/>
        </w:rPr>
        <w:t>Die LXX</w:t>
      </w:r>
      <w:r>
        <w:t xml:space="preserve"> </w:t>
      </w:r>
      <w:r w:rsidR="00CD2614">
        <w:t>übersetzt „</w:t>
      </w:r>
      <w:r w:rsidR="00CD2614" w:rsidRPr="00CD2614">
        <w:rPr>
          <w:b/>
          <w:bCs/>
          <w:rtl/>
        </w:rPr>
        <w:t>וַיַּקְרֵב אֶל־אֶחָיו</w:t>
      </w:r>
      <w:r w:rsidR="00CD2614">
        <w:t>" (und er brachte zu seinen Brüdern) mit „προσήγαγεν τὸν ἀδελφὸν αὐτοῦ" (er brachte seinen Bruder herbei), was singularisch statt plural ist.</w:t>
      </w:r>
    </w:p>
    <w:p w14:paraId="27991657" w14:textId="77777777" w:rsidR="00D70A0B" w:rsidRDefault="00D70A0B" w:rsidP="00D70A0B">
      <w:pPr>
        <w:pStyle w:val="whitespace-normal"/>
      </w:pPr>
      <w:r>
        <w:t xml:space="preserve">Die Satzstruktur zeigt einen komplexen Satz mit Interjektion, zwei koordinierten Verben (kam, brachte) mit lokalen Ergänzungen, die die Öffentlichkeit betonen, und einem </w:t>
      </w:r>
      <w:r>
        <w:lastRenderedPageBreak/>
        <w:t>Umstandssatz (Partizipialsatz), der die Situation der Gemeinde beschreibt. Die Struktur erzeugt Spannung zwischen dem provokanten Handeln des Mannes und der bußfertigen Haltung der Gemeinde.</w:t>
      </w:r>
    </w:p>
    <w:p w14:paraId="36FACA4B" w14:textId="77777777" w:rsidR="00D70A0B" w:rsidRDefault="00D70A0B" w:rsidP="00D70A0B">
      <w:pPr>
        <w:pStyle w:val="whitespace-normal"/>
      </w:pPr>
      <w:r>
        <w:t>Der Vers schildert einen Akt extremer Provokation: Mitten in der Krise, während Moses Hinrichtungen anordnet und die Gemeinde vor Gott weint, führt ein israelitischer Mann öffentlich eine midjanitische Frau herbei. Die Tat ist nicht nur moralisch verwerflich, sondern auch ein direkter Affront gegen die göttliche und mosaische Autorität. Die Szene verdeutlicht die Tiefe der Korruption in Israel und die Notwendigkeit entschiedenen Handelns.</w:t>
      </w:r>
    </w:p>
    <w:p w14:paraId="0759853A"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25,7</w:t>
      </w:r>
    </w:p>
    <w:p w14:paraId="1058B9D2"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וַיַּ֗רְא פִּֽינְחָס֙ בֶּן־אֶלְעָזָ֔ר בֶּֽן־אַהֲרֹ֖ן הַכֹּהֵ֑ן וַיָּ֨קָם֙ מִתּ֣וֹךְ הָֽעֵדָ֔ה וַיִּקַּ֥ח רֹ֖מַח בְּיָדֹֽו׃</w:t>
      </w:r>
    </w:p>
    <w:p w14:paraId="36DD6629"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Pinchas, der Sohn El'asars, des Sohnes 'Aharons, des Priesters, sah es und stand auf aus der Mitte der Gemeinde und nahm einen Speer in seine Hand.</w:t>
      </w:r>
    </w:p>
    <w:p w14:paraId="66A50790"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1B5E4624">
          <v:rect id="_x0000_i1858" style="width:0;height:1.5pt" o:hralign="center" o:hrstd="t" o:hr="t" fillcolor="#a0a0a0" stroked="f"/>
        </w:pict>
      </w:r>
    </w:p>
    <w:p w14:paraId="642002E4"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führt den Helden der Episode ein. </w:t>
      </w:r>
      <w:r w:rsidRPr="00D70A0B">
        <w:rPr>
          <w:rFonts w:eastAsia="Times New Roman" w:cs="Times New Roman"/>
          <w:b/>
          <w:bCs/>
          <w:rtl/>
          <w:lang w:eastAsia="de-DE"/>
        </w:rPr>
        <w:t>וַיַּרְא פִּינְחָס בֶּן־אֶלְעָזָר בֶּן־אַהֲרֹן הַכֹּהֵן</w:t>
      </w:r>
      <w:r w:rsidRPr="00D70A0B">
        <w:rPr>
          <w:rFonts w:eastAsia="Times New Roman" w:cs="Times New Roman"/>
          <w:rtl/>
          <w:lang w:eastAsia="de-DE"/>
        </w:rPr>
        <w:t xml:space="preserve"> </w:t>
      </w:r>
      <w:r w:rsidRPr="00D70A0B">
        <w:rPr>
          <w:rFonts w:eastAsia="Times New Roman" w:cs="Times New Roman"/>
          <w:lang w:eastAsia="de-DE"/>
        </w:rPr>
        <w:t xml:space="preserve">ist die ausführliche Identifikation. </w:t>
      </w:r>
      <w:r w:rsidRPr="00D70A0B">
        <w:rPr>
          <w:rFonts w:eastAsia="Times New Roman" w:cs="Times New Roman"/>
          <w:b/>
          <w:bCs/>
          <w:rtl/>
          <w:lang w:eastAsia="de-DE"/>
        </w:rPr>
        <w:t>וַיַּרְא</w:t>
      </w:r>
      <w:r w:rsidRPr="00D70A0B">
        <w:rPr>
          <w:rFonts w:eastAsia="Times New Roman" w:cs="Times New Roman"/>
          <w:rtl/>
          <w:lang w:eastAsia="de-DE"/>
        </w:rPr>
        <w:t xml:space="preserve"> </w:t>
      </w:r>
      <w:r w:rsidRPr="00D70A0B">
        <w:rPr>
          <w:rFonts w:eastAsia="Times New Roman" w:cs="Times New Roman"/>
          <w:lang w:eastAsia="de-DE"/>
        </w:rPr>
        <w:t xml:space="preserve">ist Qal Wayyiqtol 3. Person maskulin Singular von </w:t>
      </w:r>
      <w:r w:rsidRPr="00D70A0B">
        <w:rPr>
          <w:rFonts w:eastAsia="Times New Roman" w:cs="Times New Roman"/>
          <w:b/>
          <w:bCs/>
          <w:rtl/>
          <w:lang w:eastAsia="de-DE"/>
        </w:rPr>
        <w:t>ראה</w:t>
      </w:r>
      <w:r w:rsidRPr="00D70A0B">
        <w:rPr>
          <w:rFonts w:eastAsia="Times New Roman" w:cs="Times New Roman"/>
          <w:rtl/>
          <w:lang w:eastAsia="de-DE"/>
        </w:rPr>
        <w:t xml:space="preserve"> </w:t>
      </w:r>
      <w:r w:rsidRPr="00D70A0B">
        <w:rPr>
          <w:rFonts w:eastAsia="Times New Roman" w:cs="Times New Roman"/>
          <w:lang w:eastAsia="de-DE"/>
        </w:rPr>
        <w:t xml:space="preserve">(„sehen"), </w:t>
      </w:r>
      <w:r w:rsidRPr="00D70A0B">
        <w:rPr>
          <w:rFonts w:eastAsia="Times New Roman" w:cs="Times New Roman"/>
          <w:b/>
          <w:bCs/>
          <w:rtl/>
          <w:lang w:eastAsia="de-DE"/>
        </w:rPr>
        <w:t>פִּינְחָס</w:t>
      </w:r>
      <w:r w:rsidRPr="00D70A0B">
        <w:rPr>
          <w:rFonts w:eastAsia="Times New Roman" w:cs="Times New Roman"/>
          <w:rtl/>
          <w:lang w:eastAsia="de-DE"/>
        </w:rPr>
        <w:t xml:space="preserve"> </w:t>
      </w:r>
      <w:r w:rsidRPr="00D70A0B">
        <w:rPr>
          <w:rFonts w:eastAsia="Times New Roman" w:cs="Times New Roman"/>
          <w:lang w:eastAsia="de-DE"/>
        </w:rPr>
        <w:t xml:space="preserve">ist der Eigenname (Pinehas, ägyptischen Ursprungs, bedeutet „der Nubier"). Die genealogische Spezifikation </w:t>
      </w:r>
      <w:r w:rsidRPr="00D70A0B">
        <w:rPr>
          <w:rFonts w:eastAsia="Times New Roman" w:cs="Times New Roman"/>
          <w:b/>
          <w:bCs/>
          <w:rtl/>
          <w:lang w:eastAsia="de-DE"/>
        </w:rPr>
        <w:t>בֶּן־אֶלְעָזָר בֶּן־אַהֲרֹן הַכֹּהֵן</w:t>
      </w:r>
      <w:r w:rsidRPr="00D70A0B">
        <w:rPr>
          <w:rFonts w:eastAsia="Times New Roman" w:cs="Times New Roman"/>
          <w:rtl/>
          <w:lang w:eastAsia="de-DE"/>
        </w:rPr>
        <w:t xml:space="preserve"> </w:t>
      </w:r>
      <w:r w:rsidRPr="00D70A0B">
        <w:rPr>
          <w:rFonts w:eastAsia="Times New Roman" w:cs="Times New Roman"/>
          <w:lang w:eastAsia="de-DE"/>
        </w:rPr>
        <w:t xml:space="preserve">(„Sohn Eleasars, des Sohnes Aarons, des Priesters") ist ungewöhnlich ausführlich und betont Pinehas' priesterliche Legitimität und Autorität. </w:t>
      </w:r>
      <w:r w:rsidRPr="00D70A0B">
        <w:rPr>
          <w:rFonts w:eastAsia="Times New Roman" w:cs="Times New Roman"/>
          <w:b/>
          <w:bCs/>
          <w:rtl/>
          <w:lang w:eastAsia="de-DE"/>
        </w:rPr>
        <w:t>אֶלְעָזָר</w:t>
      </w:r>
      <w:r w:rsidRPr="00D70A0B">
        <w:rPr>
          <w:rFonts w:eastAsia="Times New Roman" w:cs="Times New Roman"/>
          <w:rtl/>
          <w:lang w:eastAsia="de-DE"/>
        </w:rPr>
        <w:t xml:space="preserve"> </w:t>
      </w:r>
      <w:r w:rsidRPr="00D70A0B">
        <w:rPr>
          <w:rFonts w:eastAsia="Times New Roman" w:cs="Times New Roman"/>
          <w:lang w:eastAsia="de-DE"/>
        </w:rPr>
        <w:t xml:space="preserve">war der amtierende Hohepriester nach Aarons Tod (Num 20,25-28), </w:t>
      </w:r>
      <w:r w:rsidRPr="00D70A0B">
        <w:rPr>
          <w:rFonts w:eastAsia="Times New Roman" w:cs="Times New Roman"/>
          <w:b/>
          <w:bCs/>
          <w:rtl/>
          <w:lang w:eastAsia="de-DE"/>
        </w:rPr>
        <w:t>אַהֲרֹן</w:t>
      </w:r>
      <w:r w:rsidRPr="00D70A0B">
        <w:rPr>
          <w:rFonts w:eastAsia="Times New Roman" w:cs="Times New Roman"/>
          <w:rtl/>
          <w:lang w:eastAsia="de-DE"/>
        </w:rPr>
        <w:t xml:space="preserve"> </w:t>
      </w:r>
      <w:r w:rsidRPr="00D70A0B">
        <w:rPr>
          <w:rFonts w:eastAsia="Times New Roman" w:cs="Times New Roman"/>
          <w:lang w:eastAsia="de-DE"/>
        </w:rPr>
        <w:t xml:space="preserve">der erste Hohepriester, </w:t>
      </w:r>
      <w:r w:rsidRPr="00D70A0B">
        <w:rPr>
          <w:rFonts w:eastAsia="Times New Roman" w:cs="Times New Roman"/>
          <w:b/>
          <w:bCs/>
          <w:rtl/>
          <w:lang w:eastAsia="de-DE"/>
        </w:rPr>
        <w:t>הַכֹּהֵן</w:t>
      </w:r>
      <w:r w:rsidRPr="00D70A0B">
        <w:rPr>
          <w:rFonts w:eastAsia="Times New Roman" w:cs="Times New Roman"/>
          <w:rtl/>
          <w:lang w:eastAsia="de-DE"/>
        </w:rPr>
        <w:t xml:space="preserve"> </w:t>
      </w:r>
      <w:r w:rsidRPr="00D70A0B">
        <w:rPr>
          <w:rFonts w:eastAsia="Times New Roman" w:cs="Times New Roman"/>
          <w:lang w:eastAsia="de-DE"/>
        </w:rPr>
        <w:t>(„der Priester") verstärkt die priesterliche Identität. Die Betonung der priesterlichen Abstammung ist theologisch bedeutsam, da Pinehas als Priester berechtigt ist, für die Heiligkeit Israels einzutreten.</w:t>
      </w:r>
    </w:p>
    <w:p w14:paraId="3B1BCE07"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וַיָּקָם מִתּוֹךְ הָעֵדָה</w:t>
      </w:r>
      <w:r w:rsidRPr="00D70A0B">
        <w:rPr>
          <w:rFonts w:eastAsia="Times New Roman" w:cs="Times New Roman"/>
          <w:rtl/>
          <w:lang w:eastAsia="de-DE"/>
        </w:rPr>
        <w:t xml:space="preserve"> </w:t>
      </w:r>
      <w:r w:rsidRPr="00D70A0B">
        <w:rPr>
          <w:rFonts w:eastAsia="Times New Roman" w:cs="Times New Roman"/>
          <w:lang w:eastAsia="de-DE"/>
        </w:rPr>
        <w:t xml:space="preserve">beschreibt die erste Reaktion. </w:t>
      </w:r>
      <w:r w:rsidRPr="00D70A0B">
        <w:rPr>
          <w:rFonts w:eastAsia="Times New Roman" w:cs="Times New Roman"/>
          <w:b/>
          <w:bCs/>
          <w:rtl/>
          <w:lang w:eastAsia="de-DE"/>
        </w:rPr>
        <w:t>וַיָּקָם</w:t>
      </w:r>
      <w:r w:rsidRPr="00D70A0B">
        <w:rPr>
          <w:rFonts w:eastAsia="Times New Roman" w:cs="Times New Roman"/>
          <w:rtl/>
          <w:lang w:eastAsia="de-DE"/>
        </w:rPr>
        <w:t xml:space="preserve"> </w:t>
      </w:r>
      <w:r w:rsidRPr="00D70A0B">
        <w:rPr>
          <w:rFonts w:eastAsia="Times New Roman" w:cs="Times New Roman"/>
          <w:lang w:eastAsia="de-DE"/>
        </w:rPr>
        <w:t xml:space="preserve">ist Qal Wayyiqtol 3. Person maskulin Singular von </w:t>
      </w:r>
      <w:r w:rsidRPr="00D70A0B">
        <w:rPr>
          <w:rFonts w:eastAsia="Times New Roman" w:cs="Times New Roman"/>
          <w:b/>
          <w:bCs/>
          <w:rtl/>
          <w:lang w:eastAsia="de-DE"/>
        </w:rPr>
        <w:t>קום</w:t>
      </w:r>
      <w:r w:rsidRPr="00D70A0B">
        <w:rPr>
          <w:rFonts w:eastAsia="Times New Roman" w:cs="Times New Roman"/>
          <w:rtl/>
          <w:lang w:eastAsia="de-DE"/>
        </w:rPr>
        <w:t xml:space="preserve"> </w:t>
      </w:r>
      <w:r w:rsidRPr="00D70A0B">
        <w:rPr>
          <w:rFonts w:eastAsia="Times New Roman" w:cs="Times New Roman"/>
          <w:lang w:eastAsia="de-DE"/>
        </w:rPr>
        <w:t xml:space="preserve">(„aufstehen, sich erheben"), </w:t>
      </w:r>
      <w:r w:rsidRPr="00D70A0B">
        <w:rPr>
          <w:rFonts w:eastAsia="Times New Roman" w:cs="Times New Roman"/>
          <w:b/>
          <w:bCs/>
          <w:rtl/>
          <w:lang w:eastAsia="de-DE"/>
        </w:rPr>
        <w:t>מִתּוֹךְ</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מִן</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תּוֹךְ</w:t>
      </w:r>
      <w:r w:rsidRPr="00D70A0B">
        <w:rPr>
          <w:rFonts w:eastAsia="Times New Roman" w:cs="Times New Roman"/>
          <w:rtl/>
          <w:lang w:eastAsia="de-DE"/>
        </w:rPr>
        <w:t xml:space="preserve"> </w:t>
      </w:r>
      <w:r w:rsidRPr="00D70A0B">
        <w:rPr>
          <w:rFonts w:eastAsia="Times New Roman" w:cs="Times New Roman"/>
          <w:lang w:eastAsia="de-DE"/>
        </w:rPr>
        <w:t xml:space="preserve">„Mitte, Inneres") mit </w:t>
      </w:r>
      <w:r w:rsidRPr="00D70A0B">
        <w:rPr>
          <w:rFonts w:eastAsia="Times New Roman" w:cs="Times New Roman"/>
          <w:b/>
          <w:bCs/>
          <w:rtl/>
          <w:lang w:eastAsia="de-DE"/>
        </w:rPr>
        <w:t>הָעֵדָה</w:t>
      </w:r>
      <w:r w:rsidRPr="00D70A0B">
        <w:rPr>
          <w:rFonts w:eastAsia="Times New Roman" w:cs="Times New Roman"/>
          <w:rtl/>
          <w:lang w:eastAsia="de-DE"/>
        </w:rPr>
        <w:t xml:space="preserve"> </w:t>
      </w:r>
      <w:r w:rsidRPr="00D70A0B">
        <w:rPr>
          <w:rFonts w:eastAsia="Times New Roman" w:cs="Times New Roman"/>
          <w:lang w:eastAsia="de-DE"/>
        </w:rPr>
        <w:t>(„die Gemeinde") zeigt, dass Pinehas sich aus der weinenden Menge erhebt. Das Aufstehen markiert den Übergang von passiver Trauer zu aktiver Intervention.</w:t>
      </w:r>
    </w:p>
    <w:p w14:paraId="34BBBD48"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וַיִּקַּח רֹמַח בְּיָדוֹ</w:t>
      </w:r>
      <w:r w:rsidRPr="00D70A0B">
        <w:rPr>
          <w:rFonts w:eastAsia="Times New Roman" w:cs="Times New Roman"/>
          <w:rtl/>
          <w:lang w:eastAsia="de-DE"/>
        </w:rPr>
        <w:t xml:space="preserve"> </w:t>
      </w:r>
      <w:r w:rsidRPr="00D70A0B">
        <w:rPr>
          <w:rFonts w:eastAsia="Times New Roman" w:cs="Times New Roman"/>
          <w:lang w:eastAsia="de-DE"/>
        </w:rPr>
        <w:t xml:space="preserve">bereitet die Tat vor. </w:t>
      </w:r>
      <w:r w:rsidRPr="00D70A0B">
        <w:rPr>
          <w:rFonts w:eastAsia="Times New Roman" w:cs="Times New Roman"/>
          <w:b/>
          <w:bCs/>
          <w:rtl/>
          <w:lang w:eastAsia="de-DE"/>
        </w:rPr>
        <w:t>וַיִּקַּח</w:t>
      </w:r>
      <w:r w:rsidRPr="00D70A0B">
        <w:rPr>
          <w:rFonts w:eastAsia="Times New Roman" w:cs="Times New Roman"/>
          <w:rtl/>
          <w:lang w:eastAsia="de-DE"/>
        </w:rPr>
        <w:t xml:space="preserve"> </w:t>
      </w:r>
      <w:r w:rsidRPr="00D70A0B">
        <w:rPr>
          <w:rFonts w:eastAsia="Times New Roman" w:cs="Times New Roman"/>
          <w:lang w:eastAsia="de-DE"/>
        </w:rPr>
        <w:t xml:space="preserve">ist Qal Wayyiqtol 3. Person maskulin Singular von </w:t>
      </w:r>
      <w:r w:rsidRPr="00D70A0B">
        <w:rPr>
          <w:rFonts w:eastAsia="Times New Roman" w:cs="Times New Roman"/>
          <w:b/>
          <w:bCs/>
          <w:rtl/>
          <w:lang w:eastAsia="de-DE"/>
        </w:rPr>
        <w:t>לקח</w:t>
      </w:r>
      <w:r w:rsidRPr="00D70A0B">
        <w:rPr>
          <w:rFonts w:eastAsia="Times New Roman" w:cs="Times New Roman"/>
          <w:rtl/>
          <w:lang w:eastAsia="de-DE"/>
        </w:rPr>
        <w:t xml:space="preserve"> </w:t>
      </w:r>
      <w:r w:rsidRPr="00D70A0B">
        <w:rPr>
          <w:rFonts w:eastAsia="Times New Roman" w:cs="Times New Roman"/>
          <w:lang w:eastAsia="de-DE"/>
        </w:rPr>
        <w:t xml:space="preserve">(„nehmen"), </w:t>
      </w:r>
      <w:r w:rsidRPr="00D70A0B">
        <w:rPr>
          <w:rFonts w:eastAsia="Times New Roman" w:cs="Times New Roman"/>
          <w:b/>
          <w:bCs/>
          <w:rtl/>
          <w:lang w:eastAsia="de-DE"/>
        </w:rPr>
        <w:t>רֹמַח</w:t>
      </w:r>
      <w:r w:rsidRPr="00D70A0B">
        <w:rPr>
          <w:rFonts w:eastAsia="Times New Roman" w:cs="Times New Roman"/>
          <w:rtl/>
          <w:lang w:eastAsia="de-DE"/>
        </w:rPr>
        <w:t xml:space="preserve"> </w:t>
      </w:r>
      <w:r w:rsidRPr="00D70A0B">
        <w:rPr>
          <w:rFonts w:eastAsia="Times New Roman" w:cs="Times New Roman"/>
          <w:lang w:eastAsia="de-DE"/>
        </w:rPr>
        <w:t xml:space="preserve">ist maskuliner Singular von </w:t>
      </w:r>
      <w:r w:rsidRPr="00D70A0B">
        <w:rPr>
          <w:rFonts w:eastAsia="Times New Roman" w:cs="Times New Roman"/>
          <w:b/>
          <w:bCs/>
          <w:rtl/>
          <w:lang w:eastAsia="de-DE"/>
        </w:rPr>
        <w:t>רֹמַח</w:t>
      </w:r>
      <w:r w:rsidRPr="00D70A0B">
        <w:rPr>
          <w:rFonts w:eastAsia="Times New Roman" w:cs="Times New Roman"/>
          <w:rtl/>
          <w:lang w:eastAsia="de-DE"/>
        </w:rPr>
        <w:t xml:space="preserve"> </w:t>
      </w:r>
      <w:r w:rsidRPr="00D70A0B">
        <w:rPr>
          <w:rFonts w:eastAsia="Times New Roman" w:cs="Times New Roman"/>
          <w:lang w:eastAsia="de-DE"/>
        </w:rPr>
        <w:t xml:space="preserve">(„Speer, Lanze"), </w:t>
      </w:r>
      <w:r w:rsidRPr="00D70A0B">
        <w:rPr>
          <w:rFonts w:eastAsia="Times New Roman" w:cs="Times New Roman"/>
          <w:b/>
          <w:bCs/>
          <w:rtl/>
          <w:lang w:eastAsia="de-DE"/>
        </w:rPr>
        <w:t>בְּיָדוֹ</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בְּ</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יָד</w:t>
      </w:r>
      <w:r w:rsidRPr="00D70A0B">
        <w:rPr>
          <w:rFonts w:eastAsia="Times New Roman" w:cs="Times New Roman"/>
          <w:rtl/>
          <w:lang w:eastAsia="de-DE"/>
        </w:rPr>
        <w:t xml:space="preserve"> </w:t>
      </w:r>
      <w:r w:rsidRPr="00D70A0B">
        <w:rPr>
          <w:rFonts w:eastAsia="Times New Roman" w:cs="Times New Roman"/>
          <w:lang w:eastAsia="de-DE"/>
        </w:rPr>
        <w:t>„Hand" und Suffix 3. Person maskulin Singular „in seiner Hand") ist die lokale Ergänzung. Der Speer ist eine Waffe für den Nahkampf, was die persönliche und direkte Natur der kommenden Handlung andeutet.</w:t>
      </w:r>
    </w:p>
    <w:p w14:paraId="21594BB9" w14:textId="00F7008D"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Die LXX</w:t>
      </w:r>
      <w:r w:rsidRPr="00D70A0B">
        <w:rPr>
          <w:rFonts w:eastAsia="Times New Roman" w:cs="Times New Roman"/>
          <w:lang w:eastAsia="de-DE"/>
        </w:rPr>
        <w:t xml:space="preserve"> </w:t>
      </w:r>
      <w:r w:rsidR="00CD2614">
        <w:t>übersetzt „</w:t>
      </w:r>
      <w:r w:rsidR="00CD2614">
        <w:rPr>
          <w:rtl/>
        </w:rPr>
        <w:t>רֹמַח</w:t>
      </w:r>
      <w:r w:rsidR="00CD2614">
        <w:t>" (Speer) mit „σιρομάστην" (eine Lanze/einen Dolch), ein seltenes griechisches Wort.</w:t>
      </w:r>
    </w:p>
    <w:p w14:paraId="79BAC681"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Die Satzstruktur zeigt drei koordinierte Wayyiqtol-Sätze, die eine Handlungssequenz bilden: Sehen → Aufstehen → Bewaffnen. Die ausführliche Identifikation unterbricht den narrativen Fluss und lenkt die Aufmerksamkeit auf die Bedeutung der Person.</w:t>
      </w:r>
    </w:p>
    <w:p w14:paraId="0D5E3BF3"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 xml:space="preserve">Der Vers inszeniert Pinehas als entschlossenen Akteur: Während andere weinen und zögern, ergreift er die Initiative. Die Betonung seiner priesterlichen Abstammung legitimiert sein </w:t>
      </w:r>
      <w:r w:rsidRPr="00D70A0B">
        <w:rPr>
          <w:rFonts w:eastAsia="Times New Roman" w:cs="Times New Roman"/>
          <w:lang w:eastAsia="de-DE"/>
        </w:rPr>
        <w:lastRenderedPageBreak/>
        <w:t>folgendes Handeln als nicht nur persönliche Rache, sondern als priesterliche Amtsausübung zum Schutz der Heiligkeit Israels. Das Ergreifen des Speers signalisiert, dass er bereit ist, die Sünde mit Gewalt zu ahnden.</w:t>
      </w:r>
    </w:p>
    <w:p w14:paraId="732EA121"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25,8</w:t>
      </w:r>
    </w:p>
    <w:p w14:paraId="5EE8769B"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וַ֠יָּבֹא אַחַ֨ר אִֽישׁ־יִשְׂרָאֵ֜ל אֶל־הַקֻּבָּ֗ה וַיִּדְקֹר֙ אֶת־שְׁנֵיהֶ֔ם אֵ֚ת אִ֣ישׁ יִשְׂרָאֵ֔ל וְאֶת־הָאִשָּׁ֖ה אֶל־קֳבָתָ֑הּ וַתֵּֽעָצַר֙ הַמַּגֵּפָ֔ה מֵעַ֖ל בְּנֵ֥י יִשְׂרָאֵֽל׃</w:t>
      </w:r>
    </w:p>
    <w:p w14:paraId="171B0FD2"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er ging dem Mann Jisra'els nach in das Innere des Zeltes und durchbohrte sie beide, den Mann Jisra'els und die Frau, durch ihren Unterleib. Da wurde die Plage von den Söhnen Jisra'el abgewandt.</w:t>
      </w:r>
    </w:p>
    <w:p w14:paraId="043ABA44"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0AB59B8A">
          <v:rect id="_x0000_i1859" style="width:0;height:1.5pt" o:hralign="center" o:hrstd="t" o:hr="t" fillcolor="#a0a0a0" stroked="f"/>
        </w:pict>
      </w:r>
    </w:p>
    <w:p w14:paraId="5C088769"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beschreibt die dramatische Hinrichtung. </w:t>
      </w:r>
      <w:r w:rsidRPr="00D70A0B">
        <w:rPr>
          <w:rFonts w:eastAsia="Times New Roman" w:cs="Times New Roman"/>
          <w:b/>
          <w:bCs/>
          <w:rtl/>
          <w:lang w:eastAsia="de-DE"/>
        </w:rPr>
        <w:t>וַיָּבֹא אַחַר אִישׁ־יִשְׂרָאֵל אֶל־הַקֻּבָּה</w:t>
      </w:r>
      <w:r w:rsidRPr="00D70A0B">
        <w:rPr>
          <w:rFonts w:eastAsia="Times New Roman" w:cs="Times New Roman"/>
          <w:rtl/>
          <w:lang w:eastAsia="de-DE"/>
        </w:rPr>
        <w:t xml:space="preserve"> </w:t>
      </w:r>
      <w:r w:rsidRPr="00D70A0B">
        <w:rPr>
          <w:rFonts w:eastAsia="Times New Roman" w:cs="Times New Roman"/>
          <w:lang w:eastAsia="de-DE"/>
        </w:rPr>
        <w:t xml:space="preserve">schildert die Verfolgung. </w:t>
      </w:r>
      <w:r w:rsidRPr="00D70A0B">
        <w:rPr>
          <w:rFonts w:eastAsia="Times New Roman" w:cs="Times New Roman"/>
          <w:b/>
          <w:bCs/>
          <w:rtl/>
          <w:lang w:eastAsia="de-DE"/>
        </w:rPr>
        <w:t>וַיָּבֹא</w:t>
      </w:r>
      <w:r w:rsidRPr="00D70A0B">
        <w:rPr>
          <w:rFonts w:eastAsia="Times New Roman" w:cs="Times New Roman"/>
          <w:rtl/>
          <w:lang w:eastAsia="de-DE"/>
        </w:rPr>
        <w:t xml:space="preserve"> </w:t>
      </w:r>
      <w:r w:rsidRPr="00D70A0B">
        <w:rPr>
          <w:rFonts w:eastAsia="Times New Roman" w:cs="Times New Roman"/>
          <w:lang w:eastAsia="de-DE"/>
        </w:rPr>
        <w:t xml:space="preserve">ist Qal Wayyiqtol 3. Person maskulin Singular von </w:t>
      </w:r>
      <w:r w:rsidRPr="00D70A0B">
        <w:rPr>
          <w:rFonts w:eastAsia="Times New Roman" w:cs="Times New Roman"/>
          <w:b/>
          <w:bCs/>
          <w:rtl/>
          <w:lang w:eastAsia="de-DE"/>
        </w:rPr>
        <w:t>בוא</w:t>
      </w:r>
      <w:r w:rsidRPr="00D70A0B">
        <w:rPr>
          <w:rFonts w:eastAsia="Times New Roman" w:cs="Times New Roman"/>
          <w:rtl/>
          <w:lang w:eastAsia="de-DE"/>
        </w:rPr>
        <w:t xml:space="preserve"> </w:t>
      </w:r>
      <w:r w:rsidRPr="00D70A0B">
        <w:rPr>
          <w:rFonts w:eastAsia="Times New Roman" w:cs="Times New Roman"/>
          <w:lang w:eastAsia="de-DE"/>
        </w:rPr>
        <w:t xml:space="preserve">(„kommen, gehen, eintreten"), </w:t>
      </w:r>
      <w:r w:rsidRPr="00D70A0B">
        <w:rPr>
          <w:rFonts w:eastAsia="Times New Roman" w:cs="Times New Roman"/>
          <w:b/>
          <w:bCs/>
          <w:rtl/>
          <w:lang w:eastAsia="de-DE"/>
        </w:rPr>
        <w:t>אַחַר</w:t>
      </w:r>
      <w:r w:rsidRPr="00D70A0B">
        <w:rPr>
          <w:rFonts w:eastAsia="Times New Roman" w:cs="Times New Roman"/>
          <w:rtl/>
          <w:lang w:eastAsia="de-DE"/>
        </w:rPr>
        <w:t xml:space="preserve"> </w:t>
      </w:r>
      <w:r w:rsidRPr="00D70A0B">
        <w:rPr>
          <w:rFonts w:eastAsia="Times New Roman" w:cs="Times New Roman"/>
          <w:lang w:eastAsia="de-DE"/>
        </w:rPr>
        <w:t xml:space="preserve">ist die Präposition („hinter, nach"), </w:t>
      </w:r>
      <w:r w:rsidRPr="00D70A0B">
        <w:rPr>
          <w:rFonts w:eastAsia="Times New Roman" w:cs="Times New Roman"/>
          <w:b/>
          <w:bCs/>
          <w:rtl/>
          <w:lang w:eastAsia="de-DE"/>
        </w:rPr>
        <w:t>אִישׁ־יִשְׂרָאֵל</w:t>
      </w:r>
      <w:r w:rsidRPr="00D70A0B">
        <w:rPr>
          <w:rFonts w:eastAsia="Times New Roman" w:cs="Times New Roman"/>
          <w:rtl/>
          <w:lang w:eastAsia="de-DE"/>
        </w:rPr>
        <w:t xml:space="preserve"> </w:t>
      </w:r>
      <w:r w:rsidRPr="00D70A0B">
        <w:rPr>
          <w:rFonts w:eastAsia="Times New Roman" w:cs="Times New Roman"/>
          <w:lang w:eastAsia="de-DE"/>
        </w:rPr>
        <w:t xml:space="preserve">(„der Mann Israels") identifiziert den Täter aus V. 6. </w:t>
      </w:r>
      <w:r w:rsidRPr="00D70A0B">
        <w:rPr>
          <w:rFonts w:eastAsia="Times New Roman" w:cs="Times New Roman"/>
          <w:b/>
          <w:bCs/>
          <w:rtl/>
          <w:lang w:eastAsia="de-DE"/>
        </w:rPr>
        <w:t>אֶל־הַקֻּבָּה</w:t>
      </w:r>
      <w:r w:rsidRPr="00D70A0B">
        <w:rPr>
          <w:rFonts w:eastAsia="Times New Roman" w:cs="Times New Roman"/>
          <w:rtl/>
          <w:lang w:eastAsia="de-DE"/>
        </w:rPr>
        <w:t xml:space="preserve"> </w:t>
      </w:r>
      <w:r w:rsidRPr="00D70A0B">
        <w:rPr>
          <w:rFonts w:eastAsia="Times New Roman" w:cs="Times New Roman"/>
          <w:lang w:eastAsia="de-DE"/>
        </w:rPr>
        <w:t xml:space="preserve">gibt das Ziel an: </w:t>
      </w:r>
      <w:r w:rsidRPr="00D70A0B">
        <w:rPr>
          <w:rFonts w:eastAsia="Times New Roman" w:cs="Times New Roman"/>
          <w:b/>
          <w:bCs/>
          <w:rtl/>
          <w:lang w:eastAsia="de-DE"/>
        </w:rPr>
        <w:t>אֶל</w:t>
      </w:r>
      <w:r w:rsidRPr="00D70A0B">
        <w:rPr>
          <w:rFonts w:eastAsia="Times New Roman" w:cs="Times New Roman"/>
          <w:rtl/>
          <w:lang w:eastAsia="de-DE"/>
        </w:rPr>
        <w:t xml:space="preserve"> </w:t>
      </w:r>
      <w:r w:rsidRPr="00D70A0B">
        <w:rPr>
          <w:rFonts w:eastAsia="Times New Roman" w:cs="Times New Roman"/>
          <w:lang w:eastAsia="de-DE"/>
        </w:rPr>
        <w:t xml:space="preserve">ist die direktionale Präposition, </w:t>
      </w:r>
      <w:r w:rsidRPr="00D70A0B">
        <w:rPr>
          <w:rFonts w:eastAsia="Times New Roman" w:cs="Times New Roman"/>
          <w:b/>
          <w:bCs/>
          <w:rtl/>
          <w:lang w:eastAsia="de-DE"/>
        </w:rPr>
        <w:t>הַקֻּבָּה</w:t>
      </w:r>
      <w:r w:rsidRPr="00D70A0B">
        <w:rPr>
          <w:rFonts w:eastAsia="Times New Roman" w:cs="Times New Roman"/>
          <w:rtl/>
          <w:lang w:eastAsia="de-DE"/>
        </w:rPr>
        <w:t xml:space="preserve"> </w:t>
      </w:r>
      <w:r w:rsidRPr="00D70A0B">
        <w:rPr>
          <w:rFonts w:eastAsia="Times New Roman" w:cs="Times New Roman"/>
          <w:lang w:eastAsia="de-DE"/>
        </w:rPr>
        <w:t xml:space="preserve">ist feminin Singular von </w:t>
      </w:r>
      <w:r w:rsidRPr="00D70A0B">
        <w:rPr>
          <w:rFonts w:eastAsia="Times New Roman" w:cs="Times New Roman"/>
          <w:b/>
          <w:bCs/>
          <w:rtl/>
          <w:lang w:eastAsia="de-DE"/>
        </w:rPr>
        <w:t>קֻבָּה</w:t>
      </w:r>
      <w:r w:rsidRPr="00D70A0B">
        <w:rPr>
          <w:rFonts w:eastAsia="Times New Roman" w:cs="Times New Roman"/>
          <w:rtl/>
          <w:lang w:eastAsia="de-DE"/>
        </w:rPr>
        <w:t xml:space="preserve"> </w:t>
      </w:r>
      <w:r w:rsidRPr="00D70A0B">
        <w:rPr>
          <w:rFonts w:eastAsia="Times New Roman" w:cs="Times New Roman"/>
          <w:lang w:eastAsia="de-DE"/>
        </w:rPr>
        <w:t>(„Zelt, Kuppel, Gemach"), ein seltenes Wort, das wahrscheinlich einen privaten oder intimen Raum bezeichnet, möglicherweise das Innere eines Zeltes oder einen abgeschirmten Bereich. Die Formulierung zeigt, dass Pinehas dem Paar in ihren Privatbereich folgt.</w:t>
      </w:r>
    </w:p>
    <w:p w14:paraId="4E3FB6A3" w14:textId="53DDBEB0"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וַיִּדְקֹר אֶת־שְׁנֵיהֶם אֵת אִישׁ יִשְׂרָאֵל וְאֶת־הָאִשָּׁה אֶל־קֳבָתָהּ</w:t>
      </w:r>
      <w:r w:rsidRPr="00D70A0B">
        <w:rPr>
          <w:rFonts w:eastAsia="Times New Roman" w:cs="Times New Roman"/>
          <w:rtl/>
          <w:lang w:eastAsia="de-DE"/>
        </w:rPr>
        <w:t xml:space="preserve"> </w:t>
      </w:r>
      <w:r w:rsidRPr="00D70A0B">
        <w:rPr>
          <w:rFonts w:eastAsia="Times New Roman" w:cs="Times New Roman"/>
          <w:lang w:eastAsia="de-DE"/>
        </w:rPr>
        <w:t xml:space="preserve">beschreibt die Tötung. </w:t>
      </w:r>
      <w:r w:rsidRPr="00D70A0B">
        <w:rPr>
          <w:rFonts w:eastAsia="Times New Roman" w:cs="Times New Roman"/>
          <w:b/>
          <w:bCs/>
          <w:rtl/>
          <w:lang w:eastAsia="de-DE"/>
        </w:rPr>
        <w:t>וַיִּדְקֹר</w:t>
      </w:r>
      <w:r w:rsidRPr="00D70A0B">
        <w:rPr>
          <w:rFonts w:eastAsia="Times New Roman" w:cs="Times New Roman"/>
          <w:rtl/>
          <w:lang w:eastAsia="de-DE"/>
        </w:rPr>
        <w:t xml:space="preserve"> </w:t>
      </w:r>
      <w:r w:rsidRPr="00D70A0B">
        <w:rPr>
          <w:rFonts w:eastAsia="Times New Roman" w:cs="Times New Roman"/>
          <w:lang w:eastAsia="de-DE"/>
        </w:rPr>
        <w:t xml:space="preserve">ist Qal Wayyiqtol 3. Person maskulin Singular von </w:t>
      </w:r>
      <w:r w:rsidRPr="00D70A0B">
        <w:rPr>
          <w:rFonts w:eastAsia="Times New Roman" w:cs="Times New Roman"/>
          <w:b/>
          <w:bCs/>
          <w:rtl/>
          <w:lang w:eastAsia="de-DE"/>
        </w:rPr>
        <w:t>דקר</w:t>
      </w:r>
      <w:r w:rsidRPr="00D70A0B">
        <w:rPr>
          <w:rFonts w:eastAsia="Times New Roman" w:cs="Times New Roman"/>
          <w:rtl/>
          <w:lang w:eastAsia="de-DE"/>
        </w:rPr>
        <w:t xml:space="preserve"> </w:t>
      </w:r>
      <w:r w:rsidRPr="00D70A0B">
        <w:rPr>
          <w:rFonts w:eastAsia="Times New Roman" w:cs="Times New Roman"/>
          <w:lang w:eastAsia="de-DE"/>
        </w:rPr>
        <w:t xml:space="preserve">(„durchbohren, durchstechen"), ein Verb, das eine gewaltsame Durchbohrung mit einer spitzen Waffe beschreibt. </w:t>
      </w:r>
      <w:r w:rsidRPr="00D70A0B">
        <w:rPr>
          <w:rFonts w:eastAsia="Times New Roman" w:cs="Times New Roman"/>
          <w:b/>
          <w:bCs/>
          <w:rtl/>
          <w:lang w:eastAsia="de-DE"/>
        </w:rPr>
        <w:t>אֶת־שְׁנֵיהֶם</w:t>
      </w:r>
      <w:r w:rsidRPr="00D70A0B">
        <w:rPr>
          <w:rFonts w:eastAsia="Times New Roman" w:cs="Times New Roman"/>
          <w:rtl/>
          <w:lang w:eastAsia="de-DE"/>
        </w:rPr>
        <w:t xml:space="preserve"> </w:t>
      </w:r>
      <w:r w:rsidRPr="00D70A0B">
        <w:rPr>
          <w:rFonts w:eastAsia="Times New Roman" w:cs="Times New Roman"/>
          <w:lang w:eastAsia="de-DE"/>
        </w:rPr>
        <w:t xml:space="preserve">(„sie beide") ist das erste Objekt mit dem Dual </w:t>
      </w:r>
      <w:r w:rsidRPr="00D70A0B">
        <w:rPr>
          <w:rFonts w:eastAsia="Times New Roman" w:cs="Times New Roman"/>
          <w:b/>
          <w:bCs/>
          <w:rtl/>
          <w:lang w:eastAsia="de-DE"/>
        </w:rPr>
        <w:t>שְׁנַיִם</w:t>
      </w:r>
      <w:r w:rsidRPr="00D70A0B">
        <w:rPr>
          <w:rFonts w:eastAsia="Times New Roman" w:cs="Times New Roman"/>
          <w:rtl/>
          <w:lang w:eastAsia="de-DE"/>
        </w:rPr>
        <w:t xml:space="preserve"> </w:t>
      </w:r>
      <w:r w:rsidRPr="00D70A0B">
        <w:rPr>
          <w:rFonts w:eastAsia="Times New Roman" w:cs="Times New Roman"/>
          <w:lang w:eastAsia="de-DE"/>
        </w:rPr>
        <w:t xml:space="preserve">(„zwei") und Suffix 3. Person maskulin Plural. </w:t>
      </w:r>
      <w:r w:rsidRPr="00D70A0B">
        <w:rPr>
          <w:rFonts w:eastAsia="Times New Roman" w:cs="Times New Roman"/>
          <w:b/>
          <w:bCs/>
          <w:rtl/>
          <w:lang w:eastAsia="de-DE"/>
        </w:rPr>
        <w:t>אֵת אִישׁ יִשְׂרָאֵל וְאֶת־הָאִשָּׁה</w:t>
      </w:r>
      <w:r w:rsidRPr="00D70A0B">
        <w:rPr>
          <w:rFonts w:eastAsia="Times New Roman" w:cs="Times New Roman"/>
          <w:rtl/>
          <w:lang w:eastAsia="de-DE"/>
        </w:rPr>
        <w:t xml:space="preserve"> </w:t>
      </w:r>
      <w:r w:rsidRPr="00D70A0B">
        <w:rPr>
          <w:rFonts w:eastAsia="Times New Roman" w:cs="Times New Roman"/>
          <w:lang w:eastAsia="de-DE"/>
        </w:rPr>
        <w:t xml:space="preserve">spezifiziert die beiden Opfer: </w:t>
      </w:r>
      <w:r w:rsidRPr="00D70A0B">
        <w:rPr>
          <w:rFonts w:eastAsia="Times New Roman" w:cs="Times New Roman"/>
          <w:b/>
          <w:bCs/>
          <w:rtl/>
          <w:lang w:eastAsia="de-DE"/>
        </w:rPr>
        <w:t>אִישׁ יִשְׂרָאֵל</w:t>
      </w:r>
      <w:r w:rsidRPr="00D70A0B">
        <w:rPr>
          <w:rFonts w:eastAsia="Times New Roman" w:cs="Times New Roman"/>
          <w:rtl/>
          <w:lang w:eastAsia="de-DE"/>
        </w:rPr>
        <w:t xml:space="preserve"> </w:t>
      </w:r>
      <w:r w:rsidRPr="00D70A0B">
        <w:rPr>
          <w:rFonts w:eastAsia="Times New Roman" w:cs="Times New Roman"/>
          <w:lang w:eastAsia="de-DE"/>
        </w:rPr>
        <w:t xml:space="preserve">und </w:t>
      </w:r>
      <w:r w:rsidRPr="00D70A0B">
        <w:rPr>
          <w:rFonts w:eastAsia="Times New Roman" w:cs="Times New Roman"/>
          <w:b/>
          <w:bCs/>
          <w:rtl/>
          <w:lang w:eastAsia="de-DE"/>
        </w:rPr>
        <w:t>הָאִשָּׁה</w:t>
      </w:r>
      <w:r w:rsidRPr="00D70A0B">
        <w:rPr>
          <w:rFonts w:eastAsia="Times New Roman" w:cs="Times New Roman"/>
          <w:rtl/>
          <w:lang w:eastAsia="de-DE"/>
        </w:rPr>
        <w:t xml:space="preserve"> </w:t>
      </w:r>
      <w:r w:rsidRPr="00D70A0B">
        <w:rPr>
          <w:rFonts w:eastAsia="Times New Roman" w:cs="Times New Roman"/>
          <w:lang w:eastAsia="de-DE"/>
        </w:rPr>
        <w:t xml:space="preserve">(„die Frau") mit Artikel. </w:t>
      </w:r>
      <w:r w:rsidRPr="00D70A0B">
        <w:rPr>
          <w:rFonts w:eastAsia="Times New Roman" w:cs="Times New Roman"/>
          <w:b/>
          <w:bCs/>
          <w:rtl/>
          <w:lang w:eastAsia="de-DE"/>
        </w:rPr>
        <w:t>אֶל־קֳבָתָהּ</w:t>
      </w:r>
      <w:r w:rsidRPr="00D70A0B">
        <w:rPr>
          <w:rFonts w:eastAsia="Times New Roman" w:cs="Times New Roman"/>
          <w:rtl/>
          <w:lang w:eastAsia="de-DE"/>
        </w:rPr>
        <w:t xml:space="preserve"> </w:t>
      </w:r>
      <w:r w:rsidRPr="00D70A0B">
        <w:rPr>
          <w:rFonts w:eastAsia="Times New Roman" w:cs="Times New Roman"/>
          <w:lang w:eastAsia="de-DE"/>
        </w:rPr>
        <w:t xml:space="preserve">ist anatomisch schwierig: </w:t>
      </w:r>
      <w:r w:rsidRPr="00D70A0B">
        <w:rPr>
          <w:rFonts w:eastAsia="Times New Roman" w:cs="Times New Roman"/>
          <w:b/>
          <w:bCs/>
          <w:rtl/>
          <w:lang w:eastAsia="de-DE"/>
        </w:rPr>
        <w:t>קֳבָה</w:t>
      </w:r>
      <w:r w:rsidRPr="00D70A0B">
        <w:rPr>
          <w:rFonts w:eastAsia="Times New Roman" w:cs="Times New Roman"/>
          <w:rtl/>
          <w:lang w:eastAsia="de-DE"/>
        </w:rPr>
        <w:t xml:space="preserve"> </w:t>
      </w:r>
      <w:r w:rsidRPr="00D70A0B">
        <w:rPr>
          <w:rFonts w:eastAsia="Times New Roman" w:cs="Times New Roman"/>
          <w:lang w:eastAsia="de-DE"/>
        </w:rPr>
        <w:t xml:space="preserve">ist feminin Singular von </w:t>
      </w:r>
      <w:r w:rsidRPr="00D70A0B">
        <w:rPr>
          <w:rFonts w:eastAsia="Times New Roman" w:cs="Times New Roman"/>
          <w:b/>
          <w:bCs/>
          <w:rtl/>
          <w:lang w:eastAsia="de-DE"/>
        </w:rPr>
        <w:t>קֵבָה</w:t>
      </w:r>
      <w:r w:rsidRPr="00D70A0B">
        <w:rPr>
          <w:rFonts w:eastAsia="Times New Roman" w:cs="Times New Roman"/>
          <w:rtl/>
          <w:lang w:eastAsia="de-DE"/>
        </w:rPr>
        <w:t xml:space="preserve"> </w:t>
      </w:r>
      <w:r w:rsidRPr="00D70A0B">
        <w:rPr>
          <w:rFonts w:eastAsia="Times New Roman" w:cs="Times New Roman"/>
          <w:lang w:eastAsia="de-DE"/>
        </w:rPr>
        <w:t xml:space="preserve">(„Magen, Unterleib, Gebärmutter"), mit Suffix 3. Person feminin Singular („ihr Unterleib"). Die Präposition </w:t>
      </w:r>
      <w:r w:rsidRPr="00D70A0B">
        <w:rPr>
          <w:rFonts w:eastAsia="Times New Roman" w:cs="Times New Roman"/>
          <w:b/>
          <w:bCs/>
          <w:rtl/>
          <w:lang w:eastAsia="de-DE"/>
        </w:rPr>
        <w:t>אֶל</w:t>
      </w:r>
      <w:r w:rsidRPr="00D70A0B">
        <w:rPr>
          <w:rFonts w:eastAsia="Times New Roman" w:cs="Times New Roman"/>
          <w:rtl/>
          <w:lang w:eastAsia="de-DE"/>
        </w:rPr>
        <w:t xml:space="preserve"> </w:t>
      </w:r>
      <w:r w:rsidRPr="00D70A0B">
        <w:rPr>
          <w:rFonts w:eastAsia="Times New Roman" w:cs="Times New Roman"/>
          <w:lang w:eastAsia="de-DE"/>
        </w:rPr>
        <w:t xml:space="preserve">(„zu, in") zeigt die Richtung des Stoßes. Die Formulierung ist drastisch und deutet darauf hin, dass Pinehas beide mit einem Stoß durchbohrte, möglicherweise während sie sexuell vereint waren, </w:t>
      </w:r>
      <w:r w:rsidR="00EC0221">
        <w:t>wobei der Speer beide durch den Unterleib der Frau traf.</w:t>
      </w:r>
      <w:r w:rsidRPr="00D70A0B">
        <w:rPr>
          <w:rFonts w:eastAsia="Times New Roman" w:cs="Times New Roman"/>
          <w:lang w:eastAsia="de-DE"/>
        </w:rPr>
        <w:t xml:space="preserve"> Diese Interpretation wird durch die rabbinische Tradition gestützt.</w:t>
      </w:r>
    </w:p>
    <w:p w14:paraId="7D4E6FD7"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וַתֵּעָצַר הַמַּגֵּפָה מֵעַל בְּנֵי יִשְׂרָאֵל</w:t>
      </w:r>
      <w:r w:rsidRPr="00D70A0B">
        <w:rPr>
          <w:rFonts w:eastAsia="Times New Roman" w:cs="Times New Roman"/>
          <w:rtl/>
          <w:lang w:eastAsia="de-DE"/>
        </w:rPr>
        <w:t xml:space="preserve"> </w:t>
      </w:r>
      <w:r w:rsidRPr="00D70A0B">
        <w:rPr>
          <w:rFonts w:eastAsia="Times New Roman" w:cs="Times New Roman"/>
          <w:lang w:eastAsia="de-DE"/>
        </w:rPr>
        <w:t xml:space="preserve">beschreibt die unmittelbare göttliche Reaktion. </w:t>
      </w:r>
      <w:r w:rsidRPr="00D70A0B">
        <w:rPr>
          <w:rFonts w:eastAsia="Times New Roman" w:cs="Times New Roman"/>
          <w:b/>
          <w:bCs/>
          <w:rtl/>
          <w:lang w:eastAsia="de-DE"/>
        </w:rPr>
        <w:t>וַתֵּעָצַר</w:t>
      </w:r>
      <w:r w:rsidRPr="00D70A0B">
        <w:rPr>
          <w:rFonts w:eastAsia="Times New Roman" w:cs="Times New Roman"/>
          <w:rtl/>
          <w:lang w:eastAsia="de-DE"/>
        </w:rPr>
        <w:t xml:space="preserve"> </w:t>
      </w:r>
      <w:r w:rsidRPr="00D70A0B">
        <w:rPr>
          <w:rFonts w:eastAsia="Times New Roman" w:cs="Times New Roman"/>
          <w:lang w:eastAsia="de-DE"/>
        </w:rPr>
        <w:t xml:space="preserve">ist Niphal Wayyiqtol 3. Person feminin Singular von </w:t>
      </w:r>
      <w:r w:rsidRPr="00D70A0B">
        <w:rPr>
          <w:rFonts w:eastAsia="Times New Roman" w:cs="Times New Roman"/>
          <w:b/>
          <w:bCs/>
          <w:rtl/>
          <w:lang w:eastAsia="de-DE"/>
        </w:rPr>
        <w:t>עצר</w:t>
      </w:r>
      <w:r w:rsidRPr="00D70A0B">
        <w:rPr>
          <w:rFonts w:eastAsia="Times New Roman" w:cs="Times New Roman"/>
          <w:rtl/>
          <w:lang w:eastAsia="de-DE"/>
        </w:rPr>
        <w:t xml:space="preserve"> </w:t>
      </w:r>
      <w:r w:rsidRPr="00D70A0B">
        <w:rPr>
          <w:rFonts w:eastAsia="Times New Roman" w:cs="Times New Roman"/>
          <w:lang w:eastAsia="de-DE"/>
        </w:rPr>
        <w:t xml:space="preserve">(„zurückhalten, aufhalten, stoppen"), im Niphal „gestoppt werden, aufhören". </w:t>
      </w:r>
      <w:r w:rsidRPr="00D70A0B">
        <w:rPr>
          <w:rFonts w:eastAsia="Times New Roman" w:cs="Times New Roman"/>
          <w:b/>
          <w:bCs/>
          <w:rtl/>
          <w:lang w:eastAsia="de-DE"/>
        </w:rPr>
        <w:t>הַמַּגֵּפָה</w:t>
      </w:r>
      <w:r w:rsidRPr="00D70A0B">
        <w:rPr>
          <w:rFonts w:eastAsia="Times New Roman" w:cs="Times New Roman"/>
          <w:rtl/>
          <w:lang w:eastAsia="de-DE"/>
        </w:rPr>
        <w:t xml:space="preserve"> </w:t>
      </w:r>
      <w:r w:rsidRPr="00D70A0B">
        <w:rPr>
          <w:rFonts w:eastAsia="Times New Roman" w:cs="Times New Roman"/>
          <w:lang w:eastAsia="de-DE"/>
        </w:rPr>
        <w:t xml:space="preserve">(„die Plage, die Seuche") ist das Subjekt, ein feminines Nomen, das eine göttlich gesandte Epidemie bezeichnet (vgl. V. 9). </w:t>
      </w:r>
      <w:r w:rsidRPr="00D70A0B">
        <w:rPr>
          <w:rFonts w:eastAsia="Times New Roman" w:cs="Times New Roman"/>
          <w:b/>
          <w:bCs/>
          <w:rtl/>
          <w:lang w:eastAsia="de-DE"/>
        </w:rPr>
        <w:t>מֵעַל</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מִן</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עַל</w:t>
      </w:r>
      <w:r w:rsidRPr="00D70A0B">
        <w:rPr>
          <w:rFonts w:eastAsia="Times New Roman" w:cs="Times New Roman"/>
          <w:rtl/>
          <w:lang w:eastAsia="de-DE"/>
        </w:rPr>
        <w:t xml:space="preserve"> </w:t>
      </w:r>
      <w:r w:rsidRPr="00D70A0B">
        <w:rPr>
          <w:rFonts w:eastAsia="Times New Roman" w:cs="Times New Roman"/>
          <w:lang w:eastAsia="de-DE"/>
        </w:rPr>
        <w:t xml:space="preserve">„von ... weg, von ... über") mit </w:t>
      </w:r>
      <w:r w:rsidRPr="00D70A0B">
        <w:rPr>
          <w:rFonts w:eastAsia="Times New Roman" w:cs="Times New Roman"/>
          <w:b/>
          <w:bCs/>
          <w:rtl/>
          <w:lang w:eastAsia="de-DE"/>
        </w:rPr>
        <w:t>בְּנֵי יִשְׂרָאֵל</w:t>
      </w:r>
      <w:r w:rsidRPr="00D70A0B">
        <w:rPr>
          <w:rFonts w:eastAsia="Times New Roman" w:cs="Times New Roman"/>
          <w:rtl/>
          <w:lang w:eastAsia="de-DE"/>
        </w:rPr>
        <w:t xml:space="preserve"> </w:t>
      </w:r>
      <w:r w:rsidRPr="00D70A0B">
        <w:rPr>
          <w:rFonts w:eastAsia="Times New Roman" w:cs="Times New Roman"/>
          <w:lang w:eastAsia="de-DE"/>
        </w:rPr>
        <w:t>zeigt, dass die Plage vom Volk genommen wird. Der unmittelbare Zusammenhang zwischen Pinehas' Tat und dem Ende der Plage zeigt göttliche Billigung.</w:t>
      </w:r>
    </w:p>
    <w:p w14:paraId="45258923" w14:textId="32CE396C"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Die LXX</w:t>
      </w:r>
      <w:r w:rsidRPr="00D70A0B">
        <w:rPr>
          <w:rFonts w:eastAsia="Times New Roman" w:cs="Times New Roman"/>
          <w:lang w:eastAsia="de-DE"/>
        </w:rPr>
        <w:t xml:space="preserve"> </w:t>
      </w:r>
      <w:r w:rsidR="0033022C">
        <w:t>übersetzt „</w:t>
      </w:r>
      <w:r w:rsidR="0033022C" w:rsidRPr="0033022C">
        <w:rPr>
          <w:b/>
          <w:bCs/>
          <w:rtl/>
        </w:rPr>
        <w:t>הַקֻּבָּה</w:t>
      </w:r>
      <w:r w:rsidR="0033022C">
        <w:t>" (das Zelt/die Kuppel) mit „τὴν κάμινον" (den Ofen/die Kammer), eine völlig andere Beschreibung des Ortes, und „</w:t>
      </w:r>
      <w:r w:rsidR="0033022C" w:rsidRPr="0033022C">
        <w:rPr>
          <w:b/>
          <w:bCs/>
          <w:rtl/>
        </w:rPr>
        <w:t>אֶל־קֳבָתָהּ</w:t>
      </w:r>
      <w:r w:rsidR="0033022C">
        <w:t>" (in ihren Unterleib) wird zu „διὰ τῆς μήτρας αὐτῆς" (durch ihre Gebärmutter), was expliziter ist.</w:t>
      </w:r>
    </w:p>
    <w:p w14:paraId="4C0ACB45"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lastRenderedPageBreak/>
        <w:t>Die Satzstruktur zeigt drei koordinierte Wayyiqtol-Sätze: Eintreten → Durchbohren (mit doppelter Objektspezifikation und anatomischer Präzisierung) → Aufhören der Plage. Die narrative Sequenz ist straff und betont die Kausalität zwischen Pinehas' Tat und dem Ende der Plage.</w:t>
      </w:r>
    </w:p>
    <w:p w14:paraId="552501D0"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Der Vers schildert eine extreme Gewalttat, die aus moderner Sicht problematisch erscheint, im Kontext jedoch als notwendige Sühnehandlung verstanden wird. Pinehas vollstreckt im priesterlichen Eifer das göttliche Gericht an denen, die öffentlich Gottes Gebot übertreten haben. Das sofortige Ende der Plage zeigt göttliche Zustimmung und interpretiert Pinehas' Tat als stellvertretende Sühne, die das ganze Volk rettet. Die drastische Beschreibung unterstreicht die Schwere der Sünde und die Notwendigkeit radikaler Reinigung.</w:t>
      </w:r>
    </w:p>
    <w:p w14:paraId="07C36A0C"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25,9</w:t>
      </w:r>
    </w:p>
    <w:p w14:paraId="6EC80DE5"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וַיִּהְי֕וּ הַמֵּתִ֖ים בַּמַּגֵּפָ֑ה אַרְבָּעָ֥ה וְעֶשְׂרִ֖ים אָֽלֶף׃</w:t>
      </w:r>
    </w:p>
    <w:p w14:paraId="0BCA0B99"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es waren 24.000, die durch die Plage starben.</w:t>
      </w:r>
    </w:p>
    <w:p w14:paraId="612B945E"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741CA30B">
          <v:rect id="_x0000_i1860" style="width:0;height:1.5pt" o:hralign="center" o:hrstd="t" o:hr="t" fillcolor="#a0a0a0" stroked="f"/>
        </w:pict>
      </w:r>
    </w:p>
    <w:p w14:paraId="5FE7C54B"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gibt eine summarische Statistik der Katastrophe. </w:t>
      </w:r>
      <w:r w:rsidRPr="00D70A0B">
        <w:rPr>
          <w:rFonts w:eastAsia="Times New Roman" w:cs="Times New Roman"/>
          <w:b/>
          <w:bCs/>
          <w:rtl/>
          <w:lang w:eastAsia="de-DE"/>
        </w:rPr>
        <w:t>וַיִּהְיוּ הַמֵּתִים בַּמַּגֵּפָה</w:t>
      </w:r>
      <w:r w:rsidRPr="00D70A0B">
        <w:rPr>
          <w:rFonts w:eastAsia="Times New Roman" w:cs="Times New Roman"/>
          <w:rtl/>
          <w:lang w:eastAsia="de-DE"/>
        </w:rPr>
        <w:t xml:space="preserve"> </w:t>
      </w:r>
      <w:r w:rsidRPr="00D70A0B">
        <w:rPr>
          <w:rFonts w:eastAsia="Times New Roman" w:cs="Times New Roman"/>
          <w:lang w:eastAsia="de-DE"/>
        </w:rPr>
        <w:t xml:space="preserve">ist ein Nominalsatz mit </w:t>
      </w:r>
      <w:r w:rsidRPr="00D70A0B">
        <w:rPr>
          <w:rFonts w:eastAsia="Times New Roman" w:cs="Times New Roman"/>
          <w:b/>
          <w:bCs/>
          <w:rtl/>
          <w:lang w:eastAsia="de-DE"/>
        </w:rPr>
        <w:t>היה</w:t>
      </w:r>
      <w:r w:rsidRPr="00D70A0B">
        <w:rPr>
          <w:rFonts w:eastAsia="Times New Roman" w:cs="Times New Roman"/>
          <w:lang w:eastAsia="de-DE"/>
        </w:rPr>
        <w:t xml:space="preserve">. </w:t>
      </w:r>
      <w:r w:rsidRPr="00D70A0B">
        <w:rPr>
          <w:rFonts w:eastAsia="Times New Roman" w:cs="Times New Roman"/>
          <w:b/>
          <w:bCs/>
          <w:rtl/>
          <w:lang w:eastAsia="de-DE"/>
        </w:rPr>
        <w:t>וַיִּהְיוּ</w:t>
      </w:r>
      <w:r w:rsidRPr="00D70A0B">
        <w:rPr>
          <w:rFonts w:eastAsia="Times New Roman" w:cs="Times New Roman"/>
          <w:rtl/>
          <w:lang w:eastAsia="de-DE"/>
        </w:rPr>
        <w:t xml:space="preserve"> </w:t>
      </w:r>
      <w:r w:rsidRPr="00D70A0B">
        <w:rPr>
          <w:rFonts w:eastAsia="Times New Roman" w:cs="Times New Roman"/>
          <w:lang w:eastAsia="de-DE"/>
        </w:rPr>
        <w:t xml:space="preserve">ist Qal Wayyiqtol 3. Person maskulin Plural von </w:t>
      </w:r>
      <w:r w:rsidRPr="00D70A0B">
        <w:rPr>
          <w:rFonts w:eastAsia="Times New Roman" w:cs="Times New Roman"/>
          <w:b/>
          <w:bCs/>
          <w:rtl/>
          <w:lang w:eastAsia="de-DE"/>
        </w:rPr>
        <w:t>היה</w:t>
      </w:r>
      <w:r w:rsidRPr="00D70A0B">
        <w:rPr>
          <w:rFonts w:eastAsia="Times New Roman" w:cs="Times New Roman"/>
          <w:rtl/>
          <w:lang w:eastAsia="de-DE"/>
        </w:rPr>
        <w:t xml:space="preserve"> </w:t>
      </w:r>
      <w:r w:rsidRPr="00D70A0B">
        <w:rPr>
          <w:rFonts w:eastAsia="Times New Roman" w:cs="Times New Roman"/>
          <w:lang w:eastAsia="de-DE"/>
        </w:rPr>
        <w:t xml:space="preserve">(„sein, werden"), </w:t>
      </w:r>
      <w:r w:rsidRPr="00D70A0B">
        <w:rPr>
          <w:rFonts w:eastAsia="Times New Roman" w:cs="Times New Roman"/>
          <w:b/>
          <w:bCs/>
          <w:rtl/>
          <w:lang w:eastAsia="de-DE"/>
        </w:rPr>
        <w:t>הַמֵּתִים</w:t>
      </w:r>
      <w:r w:rsidRPr="00D70A0B">
        <w:rPr>
          <w:rFonts w:eastAsia="Times New Roman" w:cs="Times New Roman"/>
          <w:rtl/>
          <w:lang w:eastAsia="de-DE"/>
        </w:rPr>
        <w:t xml:space="preserve"> </w:t>
      </w:r>
      <w:r w:rsidRPr="00D70A0B">
        <w:rPr>
          <w:rFonts w:eastAsia="Times New Roman" w:cs="Times New Roman"/>
          <w:lang w:eastAsia="de-DE"/>
        </w:rPr>
        <w:t xml:space="preserve">ist Qal-Partizip maskulin Plural von </w:t>
      </w:r>
      <w:r w:rsidRPr="00D70A0B">
        <w:rPr>
          <w:rFonts w:eastAsia="Times New Roman" w:cs="Times New Roman"/>
          <w:b/>
          <w:bCs/>
          <w:rtl/>
          <w:lang w:eastAsia="de-DE"/>
        </w:rPr>
        <w:t>מות</w:t>
      </w:r>
      <w:r w:rsidRPr="00D70A0B">
        <w:rPr>
          <w:rFonts w:eastAsia="Times New Roman" w:cs="Times New Roman"/>
          <w:rtl/>
          <w:lang w:eastAsia="de-DE"/>
        </w:rPr>
        <w:t xml:space="preserve"> </w:t>
      </w:r>
      <w:r w:rsidRPr="00D70A0B">
        <w:rPr>
          <w:rFonts w:eastAsia="Times New Roman" w:cs="Times New Roman"/>
          <w:lang w:eastAsia="de-DE"/>
        </w:rPr>
        <w:t xml:space="preserve">(„sterben") mit Artikel, substantiviert („die Toten, die Gestorbenen"). </w:t>
      </w:r>
      <w:r w:rsidRPr="00D70A0B">
        <w:rPr>
          <w:rFonts w:eastAsia="Times New Roman" w:cs="Times New Roman"/>
          <w:b/>
          <w:bCs/>
          <w:rtl/>
          <w:lang w:eastAsia="de-DE"/>
        </w:rPr>
        <w:t>בַּמַּגֵּפָה</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בְּ</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הַמַּגֵּפָה</w:t>
      </w:r>
      <w:r w:rsidRPr="00D70A0B">
        <w:rPr>
          <w:rFonts w:eastAsia="Times New Roman" w:cs="Times New Roman"/>
          <w:rtl/>
          <w:lang w:eastAsia="de-DE"/>
        </w:rPr>
        <w:t xml:space="preserve"> </w:t>
      </w:r>
      <w:r w:rsidRPr="00D70A0B">
        <w:rPr>
          <w:rFonts w:eastAsia="Times New Roman" w:cs="Times New Roman"/>
          <w:lang w:eastAsia="de-DE"/>
        </w:rPr>
        <w:t xml:space="preserve">„die Plage") gibt die Todesursache an. </w:t>
      </w:r>
      <w:r w:rsidRPr="00D70A0B">
        <w:rPr>
          <w:rFonts w:eastAsia="Times New Roman" w:cs="Times New Roman"/>
          <w:b/>
          <w:bCs/>
          <w:rtl/>
          <w:lang w:eastAsia="de-DE"/>
        </w:rPr>
        <w:t>אַרְבָּעָה וְעֶשְׂרִים אָלֶף</w:t>
      </w:r>
      <w:r w:rsidRPr="00D70A0B">
        <w:rPr>
          <w:rFonts w:eastAsia="Times New Roman" w:cs="Times New Roman"/>
          <w:rtl/>
          <w:lang w:eastAsia="de-DE"/>
        </w:rPr>
        <w:t xml:space="preserve"> </w:t>
      </w:r>
      <w:r w:rsidRPr="00D70A0B">
        <w:rPr>
          <w:rFonts w:eastAsia="Times New Roman" w:cs="Times New Roman"/>
          <w:lang w:eastAsia="de-DE"/>
        </w:rPr>
        <w:t xml:space="preserve">ist die Zahlenangabe: </w:t>
      </w:r>
      <w:r w:rsidRPr="00D70A0B">
        <w:rPr>
          <w:rFonts w:eastAsia="Times New Roman" w:cs="Times New Roman"/>
          <w:b/>
          <w:bCs/>
          <w:rtl/>
          <w:lang w:eastAsia="de-DE"/>
        </w:rPr>
        <w:t>אַרְבָּעָה</w:t>
      </w:r>
      <w:r w:rsidRPr="00D70A0B">
        <w:rPr>
          <w:rFonts w:eastAsia="Times New Roman" w:cs="Times New Roman"/>
          <w:rtl/>
          <w:lang w:eastAsia="de-DE"/>
        </w:rPr>
        <w:t xml:space="preserve"> </w:t>
      </w:r>
      <w:r w:rsidRPr="00D70A0B">
        <w:rPr>
          <w:rFonts w:eastAsia="Times New Roman" w:cs="Times New Roman"/>
          <w:lang w:eastAsia="de-DE"/>
        </w:rPr>
        <w:t xml:space="preserve">(„vier"), </w:t>
      </w:r>
      <w:r w:rsidRPr="00D70A0B">
        <w:rPr>
          <w:rFonts w:eastAsia="Times New Roman" w:cs="Times New Roman"/>
          <w:b/>
          <w:bCs/>
          <w:rtl/>
          <w:lang w:eastAsia="de-DE"/>
        </w:rPr>
        <w:t>וְעֶשְׂרִים</w:t>
      </w:r>
      <w:r w:rsidRPr="00D70A0B">
        <w:rPr>
          <w:rFonts w:eastAsia="Times New Roman" w:cs="Times New Roman"/>
          <w:rtl/>
          <w:lang w:eastAsia="de-DE"/>
        </w:rPr>
        <w:t xml:space="preserve"> </w:t>
      </w:r>
      <w:r w:rsidRPr="00D70A0B">
        <w:rPr>
          <w:rFonts w:eastAsia="Times New Roman" w:cs="Times New Roman"/>
          <w:lang w:eastAsia="de-DE"/>
        </w:rPr>
        <w:t xml:space="preserve">(„und zwanzig"), </w:t>
      </w:r>
      <w:r w:rsidRPr="00D70A0B">
        <w:rPr>
          <w:rFonts w:eastAsia="Times New Roman" w:cs="Times New Roman"/>
          <w:b/>
          <w:bCs/>
          <w:rtl/>
          <w:lang w:eastAsia="de-DE"/>
        </w:rPr>
        <w:t>אָלֶף</w:t>
      </w:r>
      <w:r w:rsidRPr="00D70A0B">
        <w:rPr>
          <w:rFonts w:eastAsia="Times New Roman" w:cs="Times New Roman"/>
          <w:rtl/>
          <w:lang w:eastAsia="de-DE"/>
        </w:rPr>
        <w:t xml:space="preserve"> </w:t>
      </w:r>
      <w:r w:rsidRPr="00D70A0B">
        <w:rPr>
          <w:rFonts w:eastAsia="Times New Roman" w:cs="Times New Roman"/>
          <w:lang w:eastAsia="de-DE"/>
        </w:rPr>
        <w:t>(„tausend"), zusammen „vierundzwanzigtausend". Die hohe Zahl unterstreicht die Schwere der Krise und die Notwendigkeit der drastischen Maßnahmen.</w:t>
      </w:r>
    </w:p>
    <w:p w14:paraId="5988C4B5"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Die LXX</w:t>
      </w:r>
      <w:r w:rsidRPr="00D70A0B">
        <w:rPr>
          <w:rFonts w:eastAsia="Times New Roman" w:cs="Times New Roman"/>
          <w:lang w:eastAsia="de-DE"/>
        </w:rPr>
        <w:t xml:space="preserve"> gibt die Zahl als τέσσαρες καὶ εἴκοσι χιλιάδες wieder, eine präzise Entsprechung. Interessanterweise erwähnt 1 Kor 10,8 „dreiundzwanzigtausend", was entweder auf eine abweichende Textüberlieferung, auf Paulus' Gedächtnisfehler oder auf eine andere Zählweise (z.B. Ausschluss bestimmter Gruppen) hindeutet.</w:t>
      </w:r>
    </w:p>
    <w:p w14:paraId="6EEF3442"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Die Satzstruktur zeigt einen einfachen Nominalsatz mit kopulativem Verb, der die Zahl der Todesopfer angibt.</w:t>
      </w:r>
    </w:p>
    <w:p w14:paraId="69B4C661" w14:textId="0D6E8697" w:rsid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Der Vers markiert das katastrophale Ausmaß der göttlichen Strafe: Fast ein Prozent der männlichen Bevölkerung (bei geschätzten 600.000 Männern, vgl. Num 26,51) starb durch die Plage. Die hohe Zahl zeigt die Ernsthaftigkeit des Bundesbruchs und rechtfertigt retrospektiv Pinehas' drastisches Eingreifen, das weitere Tote verhinderte. Der Vers schließt den narrativen Teil der Episode ab, bevor die göttliche Bewertung in den folgenden Versen erfolgt.</w:t>
      </w:r>
    </w:p>
    <w:p w14:paraId="0B209213" w14:textId="77777777" w:rsidR="00EC0221" w:rsidRDefault="00EC0221" w:rsidP="00EC0221">
      <w:pPr>
        <w:pStyle w:val="font-claude-response-body"/>
      </w:pPr>
      <w:r>
        <w:rPr>
          <w:rStyle w:val="Fett"/>
        </w:rPr>
        <w:t>NT-Perspektive zur Plage:</w:t>
      </w:r>
    </w:p>
    <w:p w14:paraId="7B9099E5" w14:textId="77777777" w:rsidR="00EC0221" w:rsidRDefault="00EC0221" w:rsidP="00EC0221">
      <w:pPr>
        <w:pStyle w:val="font-claude-response-body"/>
      </w:pPr>
      <w:r>
        <w:rPr>
          <w:rStyle w:val="Fett"/>
        </w:rPr>
        <w:t>1. Korinther 10,7-8:</w:t>
      </w:r>
      <w:r>
        <w:t xml:space="preserve"> "Werdet auch nicht Götzendiener wie einige von ihnen, wie geschrieben steht: 'Das Volk setzte sich nieder, um zu essen und zu trinken, und stand auf, um zu spielen.' Auch lasst uns nicht Unzucht treiben, wie einige von ihnen Unzucht trieben, und es fielen an einem Tag dreiundzwanzigtausend."</w:t>
      </w:r>
    </w:p>
    <w:p w14:paraId="756CF2D4" w14:textId="77777777" w:rsidR="00EC0221" w:rsidRDefault="00EC0221" w:rsidP="00EC0221">
      <w:pPr>
        <w:pStyle w:val="font-claude-response-body"/>
      </w:pPr>
      <w:r>
        <w:lastRenderedPageBreak/>
        <w:t xml:space="preserve">→ Paulus zitiert die Peor-Episode als </w:t>
      </w:r>
      <w:r>
        <w:rPr>
          <w:rStyle w:val="Fett"/>
        </w:rPr>
        <w:t>Warnung</w:t>
      </w:r>
      <w:r>
        <w:t xml:space="preserve"> für die korinthische Gemeinde → Die Diskrepanz (23.000 vs. 24.000) könnte auf unterschiedliche Zählweisen hindeuten</w:t>
      </w:r>
    </w:p>
    <w:p w14:paraId="642E09BF" w14:textId="77777777" w:rsidR="00EC0221" w:rsidRPr="00D70A0B" w:rsidRDefault="00EC0221" w:rsidP="00D70A0B">
      <w:pPr>
        <w:spacing w:before="100" w:beforeAutospacing="1" w:after="100" w:afterAutospacing="1" w:line="240" w:lineRule="auto"/>
        <w:rPr>
          <w:rFonts w:eastAsia="Times New Roman" w:cs="Times New Roman"/>
          <w:lang w:eastAsia="de-DE"/>
        </w:rPr>
      </w:pPr>
    </w:p>
    <w:p w14:paraId="572B618F"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25,10</w:t>
      </w:r>
    </w:p>
    <w:p w14:paraId="364AA17D"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וַיְדַבֵּ֥ר יְהוָ֖ה אֶל־מֹשֶׁ֥ה לֵּאמֹֽר׃</w:t>
      </w:r>
    </w:p>
    <w:p w14:paraId="6821F985"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Und der Ewige redete zu Mosche und sprach:</w:t>
      </w:r>
    </w:p>
    <w:p w14:paraId="7A6E5D99"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09A7D9C1">
          <v:rect id="_x0000_i1861" style="width:0;height:1.5pt" o:hralign="center" o:hrstd="t" o:hr="t" fillcolor="#a0a0a0" stroked="f"/>
        </w:pict>
      </w:r>
    </w:p>
    <w:p w14:paraId="7709A134" w14:textId="4AB2B7ED"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ist die Standard-Redeeinleitung für göttliche Offenbarung. </w:t>
      </w:r>
      <w:r w:rsidRPr="00D70A0B">
        <w:rPr>
          <w:rFonts w:eastAsia="Times New Roman" w:cs="Times New Roman"/>
          <w:b/>
          <w:bCs/>
          <w:rtl/>
          <w:lang w:eastAsia="de-DE"/>
        </w:rPr>
        <w:t>וַיְדַבֵּר</w:t>
      </w:r>
      <w:r w:rsidRPr="00D70A0B">
        <w:rPr>
          <w:rFonts w:eastAsia="Times New Roman" w:cs="Times New Roman"/>
          <w:rtl/>
          <w:lang w:eastAsia="de-DE"/>
        </w:rPr>
        <w:t xml:space="preserve"> </w:t>
      </w:r>
      <w:r w:rsidRPr="00D70A0B">
        <w:rPr>
          <w:rFonts w:eastAsia="Times New Roman" w:cs="Times New Roman"/>
          <w:lang w:eastAsia="de-DE"/>
        </w:rPr>
        <w:t xml:space="preserve">ist Piel Wayyiqtol 3. Person maskulin Singular von </w:t>
      </w:r>
      <w:r w:rsidRPr="00D70A0B">
        <w:rPr>
          <w:rFonts w:eastAsia="Times New Roman" w:cs="Times New Roman"/>
          <w:b/>
          <w:bCs/>
          <w:rtl/>
          <w:lang w:eastAsia="de-DE"/>
        </w:rPr>
        <w:t>דבר</w:t>
      </w:r>
      <w:r w:rsidRPr="00D70A0B">
        <w:rPr>
          <w:rFonts w:eastAsia="Times New Roman" w:cs="Times New Roman"/>
          <w:rtl/>
          <w:lang w:eastAsia="de-DE"/>
        </w:rPr>
        <w:t xml:space="preserve"> </w:t>
      </w:r>
      <w:r w:rsidRPr="00D70A0B">
        <w:rPr>
          <w:rFonts w:eastAsia="Times New Roman" w:cs="Times New Roman"/>
          <w:lang w:eastAsia="de-DE"/>
        </w:rPr>
        <w:t xml:space="preserve">(„reden, sprechen"), </w:t>
      </w:r>
      <w:r w:rsidRPr="00D70A0B">
        <w:rPr>
          <w:rFonts w:eastAsia="Times New Roman" w:cs="Times New Roman"/>
          <w:b/>
          <w:bCs/>
          <w:rtl/>
          <w:lang w:eastAsia="de-DE"/>
        </w:rPr>
        <w:t>יהוה</w:t>
      </w:r>
      <w:r w:rsidRPr="00D70A0B">
        <w:rPr>
          <w:rFonts w:eastAsia="Times New Roman" w:cs="Times New Roman"/>
          <w:rtl/>
          <w:lang w:eastAsia="de-DE"/>
        </w:rPr>
        <w:t xml:space="preserve"> </w:t>
      </w:r>
      <w:r w:rsidRPr="00D70A0B">
        <w:rPr>
          <w:rFonts w:eastAsia="Times New Roman" w:cs="Times New Roman"/>
          <w:lang w:eastAsia="de-DE"/>
        </w:rPr>
        <w:t xml:space="preserve">ist das Subjekt (Tetragramm), </w:t>
      </w:r>
      <w:r w:rsidRPr="00D70A0B">
        <w:rPr>
          <w:rFonts w:eastAsia="Times New Roman" w:cs="Times New Roman"/>
          <w:b/>
          <w:bCs/>
          <w:rtl/>
          <w:lang w:eastAsia="de-DE"/>
        </w:rPr>
        <w:t>אֶל־מֹשֶׁה</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אֶל</w:t>
      </w:r>
      <w:r w:rsidRPr="00D70A0B">
        <w:rPr>
          <w:rFonts w:eastAsia="Times New Roman" w:cs="Times New Roman"/>
          <w:rtl/>
          <w:lang w:eastAsia="de-DE"/>
        </w:rPr>
        <w:t xml:space="preserve"> </w:t>
      </w:r>
      <w:r w:rsidRPr="00D70A0B">
        <w:rPr>
          <w:rFonts w:eastAsia="Times New Roman" w:cs="Times New Roman"/>
          <w:lang w:eastAsia="de-DE"/>
        </w:rPr>
        <w:t xml:space="preserve">mit dem Eigennamen </w:t>
      </w:r>
      <w:r w:rsidRPr="00D70A0B">
        <w:rPr>
          <w:rFonts w:eastAsia="Times New Roman" w:cs="Times New Roman"/>
          <w:b/>
          <w:bCs/>
          <w:rtl/>
          <w:lang w:eastAsia="de-DE"/>
        </w:rPr>
        <w:t>מֹשֶׁה</w:t>
      </w:r>
      <w:r w:rsidRPr="00D70A0B">
        <w:rPr>
          <w:rFonts w:eastAsia="Times New Roman" w:cs="Times New Roman"/>
          <w:lang w:eastAsia="de-DE"/>
        </w:rPr>
        <w:t xml:space="preserve">) gibt den Adressaten an. </w:t>
      </w:r>
      <w:r w:rsidRPr="00D70A0B">
        <w:rPr>
          <w:rFonts w:eastAsia="Times New Roman" w:cs="Times New Roman"/>
          <w:b/>
          <w:bCs/>
          <w:rtl/>
          <w:lang w:eastAsia="de-DE"/>
        </w:rPr>
        <w:t>לֵּאמֹר</w:t>
      </w:r>
      <w:r w:rsidRPr="00D70A0B">
        <w:rPr>
          <w:rFonts w:eastAsia="Times New Roman" w:cs="Times New Roman"/>
          <w:rtl/>
          <w:lang w:eastAsia="de-DE"/>
        </w:rPr>
        <w:t xml:space="preserve"> </w:t>
      </w:r>
      <w:r w:rsidRPr="00D70A0B">
        <w:rPr>
          <w:rFonts w:eastAsia="Times New Roman" w:cs="Times New Roman"/>
          <w:lang w:eastAsia="de-DE"/>
        </w:rPr>
        <w:t xml:space="preserve">ist Qal Infinitiv </w:t>
      </w:r>
      <w:r w:rsidR="00E031B3">
        <w:rPr>
          <w:rFonts w:eastAsia="Times New Roman" w:cs="Times New Roman"/>
          <w:lang w:eastAsia="de-DE"/>
        </w:rPr>
        <w:t>Constructus von</w:t>
      </w:r>
      <w:r w:rsidRPr="00D70A0B">
        <w:rPr>
          <w:rFonts w:eastAsia="Times New Roman" w:cs="Times New Roman"/>
          <w:lang w:eastAsia="de-DE"/>
        </w:rPr>
        <w:t xml:space="preserve"> </w:t>
      </w:r>
      <w:r w:rsidRPr="00D70A0B">
        <w:rPr>
          <w:rFonts w:eastAsia="Times New Roman" w:cs="Times New Roman"/>
          <w:b/>
          <w:bCs/>
          <w:rtl/>
          <w:lang w:eastAsia="de-DE"/>
        </w:rPr>
        <w:t>אמר</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לְ</w:t>
      </w:r>
      <w:r w:rsidRPr="00D70A0B">
        <w:rPr>
          <w:rFonts w:eastAsia="Times New Roman" w:cs="Times New Roman"/>
          <w:rtl/>
          <w:lang w:eastAsia="de-DE"/>
        </w:rPr>
        <w:t xml:space="preserve"> </w:t>
      </w:r>
      <w:r w:rsidRPr="00D70A0B">
        <w:rPr>
          <w:rFonts w:eastAsia="Times New Roman" w:cs="Times New Roman"/>
          <w:lang w:eastAsia="de-DE"/>
        </w:rPr>
        <w:t xml:space="preserve">(„sagend, sprechend"), die standard-Formel zur Einleitung direkter Rede. Das Piel von </w:t>
      </w:r>
      <w:r w:rsidRPr="00D70A0B">
        <w:rPr>
          <w:rFonts w:eastAsia="Times New Roman" w:cs="Times New Roman"/>
          <w:b/>
          <w:bCs/>
          <w:rtl/>
          <w:lang w:eastAsia="de-DE"/>
        </w:rPr>
        <w:t>דבר</w:t>
      </w:r>
      <w:r w:rsidRPr="00D70A0B">
        <w:rPr>
          <w:rFonts w:eastAsia="Times New Roman" w:cs="Times New Roman"/>
          <w:rtl/>
          <w:lang w:eastAsia="de-DE"/>
        </w:rPr>
        <w:t xml:space="preserve"> </w:t>
      </w:r>
      <w:r w:rsidRPr="00D70A0B">
        <w:rPr>
          <w:rFonts w:eastAsia="Times New Roman" w:cs="Times New Roman"/>
          <w:lang w:eastAsia="de-DE"/>
        </w:rPr>
        <w:t>wird oft für göttliche Offenbarung verwendet und kann intensivere oder autoritativere Rede implizieren als das Qal.</w:t>
      </w:r>
    </w:p>
    <w:p w14:paraId="362A3520"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Die Satzstruktur ist eine einfache Redeeinleitung.</w:t>
      </w:r>
    </w:p>
    <w:p w14:paraId="0C44E4E5"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Der Vers leitet die göttliche Bewertung von Pinehas' Handeln ein und schafft Spannung: Wie wird Gott auf die eigenmächtige Gewalttat reagieren? Die folgende göttliche Rede wird zeigen, dass Pinehas' Eifer göttliche Billigung findet.</w:t>
      </w:r>
    </w:p>
    <w:p w14:paraId="1F1060E1"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25,11</w:t>
      </w:r>
    </w:p>
    <w:p w14:paraId="52614D9C"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פִּֽינְחָ֨ס בֶּן־אֶלְעָזָ֜ר בֶּן־אַהֲרֹ֣ן הַכֹּהֵ֗ן הֵשִׁ֤יב אֶת־חֲמָתִי֙ מֵעַ֣ל בְּנֵֽי־יִשְׂרָאֵ֔ל בְּקַנְאֹ֥ו אֶת־קִנְאָתִ֖י בְּתוֹכָ֑ם וְלֹא־כִלִּ֥יתִי אֶת־בְּנֵֽי־יִשְׂרָאֵ֖ל בְּקִנְאָתִֽי׃</w:t>
      </w:r>
    </w:p>
    <w:p w14:paraId="79EB4A83"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„Pinchas, der Sohn El'asars, des Sohnes 'Aharons, des Priesters, hat meinen Grimm von den Söhnen Jisra'els abgewendet, indem er meinen Eifer in ihrer Mitte eiferte, sodass ich die Söhne Jisra'els nicht in meinem Eifer vernichtet habe.</w:t>
      </w:r>
    </w:p>
    <w:p w14:paraId="5296728F"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1D6F895F">
          <v:rect id="_x0000_i1862" style="width:0;height:1.5pt" o:hralign="center" o:hrstd="t" o:hr="t" fillcolor="#a0a0a0" stroked="f"/>
        </w:pict>
      </w:r>
    </w:p>
    <w:p w14:paraId="70B5B23C"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eröffnet die göttliche Rede mit einer ausführlichen Würdigung. </w:t>
      </w:r>
      <w:r w:rsidRPr="00D70A0B">
        <w:rPr>
          <w:rFonts w:eastAsia="Times New Roman" w:cs="Times New Roman"/>
          <w:b/>
          <w:bCs/>
          <w:rtl/>
          <w:lang w:eastAsia="de-DE"/>
        </w:rPr>
        <w:t>פִּינְחָס בֶּן־אֶלְעָזָר בֶּן־אַהֲרֹן הַכֹּהֵן</w:t>
      </w:r>
      <w:r w:rsidRPr="00D70A0B">
        <w:rPr>
          <w:rFonts w:eastAsia="Times New Roman" w:cs="Times New Roman"/>
          <w:rtl/>
          <w:lang w:eastAsia="de-DE"/>
        </w:rPr>
        <w:t xml:space="preserve"> </w:t>
      </w:r>
      <w:r w:rsidRPr="00D70A0B">
        <w:rPr>
          <w:rFonts w:eastAsia="Times New Roman" w:cs="Times New Roman"/>
          <w:lang w:eastAsia="de-DE"/>
        </w:rPr>
        <w:t xml:space="preserve">wiederholt die genealogische Identifikation aus V. 7, was die Bedeutung der priesterlichen Identität unterstreicht. </w:t>
      </w:r>
      <w:r w:rsidRPr="00D70A0B">
        <w:rPr>
          <w:rFonts w:eastAsia="Times New Roman" w:cs="Times New Roman"/>
          <w:b/>
          <w:bCs/>
          <w:rtl/>
          <w:lang w:eastAsia="de-DE"/>
        </w:rPr>
        <w:t>הֵשִׁיב אֶת־חֲמָתִי מֵעַל בְּנֵי־יִשְׂרָאֵל</w:t>
      </w:r>
      <w:r w:rsidRPr="00D70A0B">
        <w:rPr>
          <w:rFonts w:eastAsia="Times New Roman" w:cs="Times New Roman"/>
          <w:rtl/>
          <w:lang w:eastAsia="de-DE"/>
        </w:rPr>
        <w:t xml:space="preserve"> </w:t>
      </w:r>
      <w:r w:rsidRPr="00D70A0B">
        <w:rPr>
          <w:rFonts w:eastAsia="Times New Roman" w:cs="Times New Roman"/>
          <w:lang w:eastAsia="de-DE"/>
        </w:rPr>
        <w:t xml:space="preserve">ist das Hauptverb. </w:t>
      </w:r>
      <w:r w:rsidRPr="00D70A0B">
        <w:rPr>
          <w:rFonts w:eastAsia="Times New Roman" w:cs="Times New Roman"/>
          <w:b/>
          <w:bCs/>
          <w:rtl/>
          <w:lang w:eastAsia="de-DE"/>
        </w:rPr>
        <w:t>הֵשִׁיב</w:t>
      </w:r>
      <w:r w:rsidRPr="00D70A0B">
        <w:rPr>
          <w:rFonts w:eastAsia="Times New Roman" w:cs="Times New Roman"/>
          <w:rtl/>
          <w:lang w:eastAsia="de-DE"/>
        </w:rPr>
        <w:t xml:space="preserve"> </w:t>
      </w:r>
      <w:r w:rsidRPr="00D70A0B">
        <w:rPr>
          <w:rFonts w:eastAsia="Times New Roman" w:cs="Times New Roman"/>
          <w:lang w:eastAsia="de-DE"/>
        </w:rPr>
        <w:t xml:space="preserve">ist Hiphil Perfekt 3. Person maskulin Singular von </w:t>
      </w:r>
      <w:r w:rsidRPr="00D70A0B">
        <w:rPr>
          <w:rFonts w:eastAsia="Times New Roman" w:cs="Times New Roman"/>
          <w:b/>
          <w:bCs/>
          <w:rtl/>
          <w:lang w:eastAsia="de-DE"/>
        </w:rPr>
        <w:t>שׁוב</w:t>
      </w:r>
      <w:r w:rsidRPr="00D70A0B">
        <w:rPr>
          <w:rFonts w:eastAsia="Times New Roman" w:cs="Times New Roman"/>
          <w:rtl/>
          <w:lang w:eastAsia="de-DE"/>
        </w:rPr>
        <w:t xml:space="preserve"> </w:t>
      </w:r>
      <w:r w:rsidRPr="00D70A0B">
        <w:rPr>
          <w:rFonts w:eastAsia="Times New Roman" w:cs="Times New Roman"/>
          <w:lang w:eastAsia="de-DE"/>
        </w:rPr>
        <w:t xml:space="preserve">(„zurückkehren"), im Hiphil „zurückwenden, abwenden". </w:t>
      </w:r>
      <w:r w:rsidRPr="00D70A0B">
        <w:rPr>
          <w:rFonts w:eastAsia="Times New Roman" w:cs="Times New Roman"/>
          <w:b/>
          <w:bCs/>
          <w:rtl/>
          <w:lang w:eastAsia="de-DE"/>
        </w:rPr>
        <w:t>אֶת־חֲמָתִי</w:t>
      </w:r>
      <w:r w:rsidRPr="00D70A0B">
        <w:rPr>
          <w:rFonts w:eastAsia="Times New Roman" w:cs="Times New Roman"/>
          <w:rtl/>
          <w:lang w:eastAsia="de-DE"/>
        </w:rPr>
        <w:t xml:space="preserve"> </w:t>
      </w:r>
      <w:r w:rsidRPr="00D70A0B">
        <w:rPr>
          <w:rFonts w:eastAsia="Times New Roman" w:cs="Times New Roman"/>
          <w:lang w:eastAsia="de-DE"/>
        </w:rPr>
        <w:t xml:space="preserve">(„meinen Grimm") ist das Objekt: </w:t>
      </w:r>
      <w:r w:rsidRPr="00D70A0B">
        <w:rPr>
          <w:rFonts w:eastAsia="Times New Roman" w:cs="Times New Roman"/>
          <w:b/>
          <w:bCs/>
          <w:rtl/>
          <w:lang w:eastAsia="de-DE"/>
        </w:rPr>
        <w:t>חֵמָה</w:t>
      </w:r>
      <w:r w:rsidRPr="00D70A0B">
        <w:rPr>
          <w:rFonts w:eastAsia="Times New Roman" w:cs="Times New Roman"/>
          <w:rtl/>
          <w:lang w:eastAsia="de-DE"/>
        </w:rPr>
        <w:t xml:space="preserve"> </w:t>
      </w:r>
      <w:r w:rsidRPr="00D70A0B">
        <w:rPr>
          <w:rFonts w:eastAsia="Times New Roman" w:cs="Times New Roman"/>
          <w:lang w:eastAsia="de-DE"/>
        </w:rPr>
        <w:t xml:space="preserve">(„Hitze, Grimm, Zorn") ist intensiver als </w:t>
      </w:r>
      <w:r w:rsidRPr="00D70A0B">
        <w:rPr>
          <w:rFonts w:eastAsia="Times New Roman" w:cs="Times New Roman"/>
          <w:b/>
          <w:bCs/>
          <w:rtl/>
          <w:lang w:eastAsia="de-DE"/>
        </w:rPr>
        <w:t>אַף</w:t>
      </w:r>
      <w:r w:rsidRPr="00D70A0B">
        <w:rPr>
          <w:rFonts w:eastAsia="Times New Roman" w:cs="Times New Roman"/>
          <w:rtl/>
          <w:lang w:eastAsia="de-DE"/>
        </w:rPr>
        <w:t xml:space="preserve"> </w:t>
      </w:r>
      <w:r w:rsidRPr="00D70A0B">
        <w:rPr>
          <w:rFonts w:eastAsia="Times New Roman" w:cs="Times New Roman"/>
          <w:lang w:eastAsia="de-DE"/>
        </w:rPr>
        <w:t xml:space="preserve">und bezeichnet kochenden, leidenschaftlichen Zorn, hier mit Suffix 1. Person Singular. </w:t>
      </w:r>
      <w:r w:rsidRPr="00D70A0B">
        <w:rPr>
          <w:rFonts w:eastAsia="Times New Roman" w:cs="Times New Roman"/>
          <w:b/>
          <w:bCs/>
          <w:rtl/>
          <w:lang w:eastAsia="de-DE"/>
        </w:rPr>
        <w:t>מֵעַל בְּנֵי־יִשְׂרָאֵל</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מִן</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עַל</w:t>
      </w:r>
      <w:r w:rsidRPr="00D70A0B">
        <w:rPr>
          <w:rFonts w:eastAsia="Times New Roman" w:cs="Times New Roman"/>
          <w:rtl/>
          <w:lang w:eastAsia="de-DE"/>
        </w:rPr>
        <w:t xml:space="preserve"> </w:t>
      </w:r>
      <w:r w:rsidRPr="00D70A0B">
        <w:rPr>
          <w:rFonts w:eastAsia="Times New Roman" w:cs="Times New Roman"/>
          <w:lang w:eastAsia="de-DE"/>
        </w:rPr>
        <w:t xml:space="preserve">„von ... weg von" mit </w:t>
      </w:r>
      <w:r w:rsidRPr="00D70A0B">
        <w:rPr>
          <w:rFonts w:eastAsia="Times New Roman" w:cs="Times New Roman"/>
          <w:b/>
          <w:bCs/>
          <w:rtl/>
          <w:lang w:eastAsia="de-DE"/>
        </w:rPr>
        <w:t>בְּנֵי־יִשְׂרָאֵל</w:t>
      </w:r>
      <w:r w:rsidRPr="00D70A0B">
        <w:rPr>
          <w:rFonts w:eastAsia="Times New Roman" w:cs="Times New Roman"/>
          <w:lang w:eastAsia="de-DE"/>
        </w:rPr>
        <w:t>) zeigt die Richtung der Abwendung.</w:t>
      </w:r>
    </w:p>
    <w:p w14:paraId="0583A348" w14:textId="09E6CDE1"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בְּקַנְאוֹ אֶת־קִנְאָתִי בְּתוֹכָם</w:t>
      </w:r>
      <w:r w:rsidRPr="00D70A0B">
        <w:rPr>
          <w:rFonts w:eastAsia="Times New Roman" w:cs="Times New Roman"/>
          <w:rtl/>
          <w:lang w:eastAsia="de-DE"/>
        </w:rPr>
        <w:t xml:space="preserve"> </w:t>
      </w:r>
      <w:r w:rsidRPr="00D70A0B">
        <w:rPr>
          <w:rFonts w:eastAsia="Times New Roman" w:cs="Times New Roman"/>
          <w:lang w:eastAsia="de-DE"/>
        </w:rPr>
        <w:t xml:space="preserve">gibt die Art und Weise an, wie Pinehas dies erreichte. </w:t>
      </w:r>
      <w:r w:rsidRPr="00D70A0B">
        <w:rPr>
          <w:rFonts w:eastAsia="Times New Roman" w:cs="Times New Roman"/>
          <w:b/>
          <w:bCs/>
          <w:rtl/>
          <w:lang w:eastAsia="de-DE"/>
        </w:rPr>
        <w:t>בְּקַנְאוֹ</w:t>
      </w:r>
      <w:r w:rsidRPr="00D70A0B">
        <w:rPr>
          <w:rFonts w:eastAsia="Times New Roman" w:cs="Times New Roman"/>
          <w:rtl/>
          <w:lang w:eastAsia="de-DE"/>
        </w:rPr>
        <w:t xml:space="preserve"> </w:t>
      </w:r>
      <w:r w:rsidRPr="00D70A0B">
        <w:rPr>
          <w:rFonts w:eastAsia="Times New Roman" w:cs="Times New Roman"/>
          <w:lang w:eastAsia="de-DE"/>
        </w:rPr>
        <w:t xml:space="preserve">ist Piel Infinitiv </w:t>
      </w:r>
      <w:r w:rsidR="00E031B3">
        <w:rPr>
          <w:rFonts w:eastAsia="Times New Roman" w:cs="Times New Roman"/>
          <w:lang w:eastAsia="de-DE"/>
        </w:rPr>
        <w:t>Constructus von</w:t>
      </w:r>
      <w:r w:rsidRPr="00D70A0B">
        <w:rPr>
          <w:rFonts w:eastAsia="Times New Roman" w:cs="Times New Roman"/>
          <w:lang w:eastAsia="de-DE"/>
        </w:rPr>
        <w:t xml:space="preserve"> </w:t>
      </w:r>
      <w:r w:rsidRPr="00D70A0B">
        <w:rPr>
          <w:rFonts w:eastAsia="Times New Roman" w:cs="Times New Roman"/>
          <w:b/>
          <w:bCs/>
          <w:rtl/>
          <w:lang w:eastAsia="de-DE"/>
        </w:rPr>
        <w:t>קנא</w:t>
      </w:r>
      <w:r w:rsidRPr="00D70A0B">
        <w:rPr>
          <w:rFonts w:eastAsia="Times New Roman" w:cs="Times New Roman"/>
          <w:rtl/>
          <w:lang w:eastAsia="de-DE"/>
        </w:rPr>
        <w:t xml:space="preserve"> </w:t>
      </w:r>
      <w:r w:rsidRPr="00D70A0B">
        <w:rPr>
          <w:rFonts w:eastAsia="Times New Roman" w:cs="Times New Roman"/>
          <w:lang w:eastAsia="de-DE"/>
        </w:rPr>
        <w:t xml:space="preserve">(„eifern, eifersüchtig sein") mit Präposition </w:t>
      </w:r>
      <w:r w:rsidRPr="00D70A0B">
        <w:rPr>
          <w:rFonts w:eastAsia="Times New Roman" w:cs="Times New Roman"/>
          <w:b/>
          <w:bCs/>
          <w:rtl/>
          <w:lang w:eastAsia="de-DE"/>
        </w:rPr>
        <w:t>בְּ</w:t>
      </w:r>
      <w:r w:rsidRPr="00D70A0B">
        <w:rPr>
          <w:rFonts w:eastAsia="Times New Roman" w:cs="Times New Roman"/>
          <w:rtl/>
          <w:lang w:eastAsia="de-DE"/>
        </w:rPr>
        <w:t xml:space="preserve"> </w:t>
      </w:r>
      <w:r w:rsidRPr="00D70A0B">
        <w:rPr>
          <w:rFonts w:eastAsia="Times New Roman" w:cs="Times New Roman"/>
          <w:lang w:eastAsia="de-DE"/>
        </w:rPr>
        <w:t xml:space="preserve">und Suffix 3. </w:t>
      </w:r>
      <w:r w:rsidRPr="00D70A0B">
        <w:rPr>
          <w:rFonts w:eastAsia="Times New Roman" w:cs="Times New Roman"/>
          <w:lang w:eastAsia="de-DE"/>
        </w:rPr>
        <w:lastRenderedPageBreak/>
        <w:t xml:space="preserve">Person maskulin Singular („indem er eiferte"). </w:t>
      </w:r>
      <w:r w:rsidRPr="00D70A0B">
        <w:rPr>
          <w:rFonts w:eastAsia="Times New Roman" w:cs="Times New Roman"/>
          <w:b/>
          <w:bCs/>
          <w:rtl/>
          <w:lang w:eastAsia="de-DE"/>
        </w:rPr>
        <w:t>אֶת־קִנְאָתִי</w:t>
      </w:r>
      <w:r w:rsidRPr="00D70A0B">
        <w:rPr>
          <w:rFonts w:eastAsia="Times New Roman" w:cs="Times New Roman"/>
          <w:rtl/>
          <w:lang w:eastAsia="de-DE"/>
        </w:rPr>
        <w:t xml:space="preserve"> </w:t>
      </w:r>
      <w:r w:rsidRPr="00D70A0B">
        <w:rPr>
          <w:rFonts w:eastAsia="Times New Roman" w:cs="Times New Roman"/>
          <w:lang w:eastAsia="de-DE"/>
        </w:rPr>
        <w:t xml:space="preserve">ist eine figura etymologica (inneres Objekt): </w:t>
      </w:r>
      <w:r w:rsidRPr="00D70A0B">
        <w:rPr>
          <w:rFonts w:eastAsia="Times New Roman" w:cs="Times New Roman"/>
          <w:b/>
          <w:bCs/>
          <w:rtl/>
          <w:lang w:eastAsia="de-DE"/>
        </w:rPr>
        <w:t>קִנְאָה</w:t>
      </w:r>
      <w:r w:rsidRPr="00D70A0B">
        <w:rPr>
          <w:rFonts w:eastAsia="Times New Roman" w:cs="Times New Roman"/>
          <w:rtl/>
          <w:lang w:eastAsia="de-DE"/>
        </w:rPr>
        <w:t xml:space="preserve"> </w:t>
      </w:r>
      <w:r w:rsidRPr="00D70A0B">
        <w:rPr>
          <w:rFonts w:eastAsia="Times New Roman" w:cs="Times New Roman"/>
          <w:lang w:eastAsia="de-DE"/>
        </w:rPr>
        <w:t xml:space="preserve">(„Eifer, Eifersucht") mit Suffix 1. Person Singular („meinen Eifer"). Die </w:t>
      </w:r>
      <w:r w:rsidR="00F133EC">
        <w:rPr>
          <w:rFonts w:eastAsia="Times New Roman" w:cs="Times New Roman"/>
          <w:lang w:eastAsia="de-DE"/>
        </w:rPr>
        <w:t>Construct</w:t>
      </w:r>
      <w:r w:rsidRPr="00D70A0B">
        <w:rPr>
          <w:rFonts w:eastAsia="Times New Roman" w:cs="Times New Roman"/>
          <w:lang w:eastAsia="de-DE"/>
        </w:rPr>
        <w:t xml:space="preserve">ion „er eiferte meinen Eifer" bedeutet, dass Pinehas göttlichen Eifer für Gottes Ehre manifestierte. </w:t>
      </w:r>
      <w:r w:rsidRPr="00D70A0B">
        <w:rPr>
          <w:rFonts w:eastAsia="Times New Roman" w:cs="Times New Roman"/>
          <w:b/>
          <w:bCs/>
          <w:rtl/>
          <w:lang w:eastAsia="de-DE"/>
        </w:rPr>
        <w:t>בְּתוֹכָם</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בְּ</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תּוֹךְ</w:t>
      </w:r>
      <w:r w:rsidRPr="00D70A0B">
        <w:rPr>
          <w:rFonts w:eastAsia="Times New Roman" w:cs="Times New Roman"/>
          <w:rtl/>
          <w:lang w:eastAsia="de-DE"/>
        </w:rPr>
        <w:t xml:space="preserve"> </w:t>
      </w:r>
      <w:r w:rsidRPr="00D70A0B">
        <w:rPr>
          <w:rFonts w:eastAsia="Times New Roman" w:cs="Times New Roman"/>
          <w:lang w:eastAsia="de-DE"/>
        </w:rPr>
        <w:t xml:space="preserve">„Mitte" und Suffix 3. Person maskulin Plural „in ihrer Mitte") zeigt den Ort. Das Verb </w:t>
      </w:r>
      <w:r w:rsidRPr="00D70A0B">
        <w:rPr>
          <w:rFonts w:eastAsia="Times New Roman" w:cs="Times New Roman"/>
          <w:b/>
          <w:bCs/>
          <w:rtl/>
          <w:lang w:eastAsia="de-DE"/>
        </w:rPr>
        <w:t>קנא</w:t>
      </w:r>
      <w:r w:rsidRPr="00D70A0B">
        <w:rPr>
          <w:rFonts w:eastAsia="Times New Roman" w:cs="Times New Roman"/>
          <w:rtl/>
          <w:lang w:eastAsia="de-DE"/>
        </w:rPr>
        <w:t xml:space="preserve"> </w:t>
      </w:r>
      <w:r w:rsidRPr="00D70A0B">
        <w:rPr>
          <w:rFonts w:eastAsia="Times New Roman" w:cs="Times New Roman"/>
          <w:lang w:eastAsia="de-DE"/>
        </w:rPr>
        <w:t>beschreibt intensive emotionale Hingabe und kann sowohl positive Eifersucht (für Gottes Ehre) als auch negative Eifersucht bedeuten.</w:t>
      </w:r>
    </w:p>
    <w:p w14:paraId="261BC1D2"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t>וְלֹא־כִלִּיתִי אֶת־בְּנֵי־יִשְׂרָאֵל בְּקִנְאָתִי</w:t>
      </w:r>
      <w:r w:rsidRPr="00D70A0B">
        <w:rPr>
          <w:rFonts w:eastAsia="Times New Roman" w:cs="Times New Roman"/>
          <w:rtl/>
          <w:lang w:eastAsia="de-DE"/>
        </w:rPr>
        <w:t xml:space="preserve"> </w:t>
      </w:r>
      <w:r w:rsidRPr="00D70A0B">
        <w:rPr>
          <w:rFonts w:eastAsia="Times New Roman" w:cs="Times New Roman"/>
          <w:lang w:eastAsia="de-DE"/>
        </w:rPr>
        <w:t xml:space="preserve">gibt die Konsequenz an. </w:t>
      </w:r>
      <w:r w:rsidRPr="00D70A0B">
        <w:rPr>
          <w:rFonts w:eastAsia="Times New Roman" w:cs="Times New Roman"/>
          <w:b/>
          <w:bCs/>
          <w:rtl/>
          <w:lang w:eastAsia="de-DE"/>
        </w:rPr>
        <w:t>וְלֹא־כִלִּיתִי</w:t>
      </w:r>
      <w:r w:rsidRPr="00D70A0B">
        <w:rPr>
          <w:rFonts w:eastAsia="Times New Roman" w:cs="Times New Roman"/>
          <w:rtl/>
          <w:lang w:eastAsia="de-DE"/>
        </w:rPr>
        <w:t xml:space="preserve"> </w:t>
      </w:r>
      <w:r w:rsidRPr="00D70A0B">
        <w:rPr>
          <w:rFonts w:eastAsia="Times New Roman" w:cs="Times New Roman"/>
          <w:lang w:eastAsia="de-DE"/>
        </w:rPr>
        <w:t xml:space="preserve">ist Piel Perfekt 1. Person Singular von </w:t>
      </w:r>
      <w:r w:rsidRPr="00D70A0B">
        <w:rPr>
          <w:rFonts w:eastAsia="Times New Roman" w:cs="Times New Roman"/>
          <w:b/>
          <w:bCs/>
          <w:rtl/>
          <w:lang w:eastAsia="de-DE"/>
        </w:rPr>
        <w:t>כלה</w:t>
      </w:r>
      <w:r w:rsidRPr="00D70A0B">
        <w:rPr>
          <w:rFonts w:eastAsia="Times New Roman" w:cs="Times New Roman"/>
          <w:rtl/>
          <w:lang w:eastAsia="de-DE"/>
        </w:rPr>
        <w:t xml:space="preserve"> </w:t>
      </w:r>
      <w:r w:rsidRPr="00D70A0B">
        <w:rPr>
          <w:rFonts w:eastAsia="Times New Roman" w:cs="Times New Roman"/>
          <w:lang w:eastAsia="de-DE"/>
        </w:rPr>
        <w:t xml:space="preserve">(„vollenden, vernichten") mit Negation </w:t>
      </w:r>
      <w:r w:rsidRPr="00D70A0B">
        <w:rPr>
          <w:rFonts w:eastAsia="Times New Roman" w:cs="Times New Roman"/>
          <w:b/>
          <w:bCs/>
          <w:rtl/>
          <w:lang w:eastAsia="de-DE"/>
        </w:rPr>
        <w:t>לֹא</w:t>
      </w:r>
      <w:r w:rsidRPr="00D70A0B">
        <w:rPr>
          <w:rFonts w:eastAsia="Times New Roman" w:cs="Times New Roman"/>
          <w:lang w:eastAsia="de-DE"/>
        </w:rPr>
        <w:t xml:space="preserve">. Das Piel verstärkt die Bedeutung: „völlig vernichten, ausrotten". </w:t>
      </w:r>
      <w:r w:rsidRPr="00D70A0B">
        <w:rPr>
          <w:rFonts w:eastAsia="Times New Roman" w:cs="Times New Roman"/>
          <w:b/>
          <w:bCs/>
          <w:rtl/>
          <w:lang w:eastAsia="de-DE"/>
        </w:rPr>
        <w:t>אֶת־בְּנֵי־יִשְׂרָאֵל</w:t>
      </w:r>
      <w:r w:rsidRPr="00D70A0B">
        <w:rPr>
          <w:rFonts w:eastAsia="Times New Roman" w:cs="Times New Roman"/>
          <w:rtl/>
          <w:lang w:eastAsia="de-DE"/>
        </w:rPr>
        <w:t xml:space="preserve"> </w:t>
      </w:r>
      <w:r w:rsidRPr="00D70A0B">
        <w:rPr>
          <w:rFonts w:eastAsia="Times New Roman" w:cs="Times New Roman"/>
          <w:lang w:eastAsia="de-DE"/>
        </w:rPr>
        <w:t xml:space="preserve">ist das Objekt. </w:t>
      </w:r>
      <w:r w:rsidRPr="00D70A0B">
        <w:rPr>
          <w:rFonts w:eastAsia="Times New Roman" w:cs="Times New Roman"/>
          <w:b/>
          <w:bCs/>
          <w:rtl/>
          <w:lang w:eastAsia="de-DE"/>
        </w:rPr>
        <w:t>בְּקִנְאָתִי</w:t>
      </w:r>
      <w:r w:rsidRPr="00D70A0B">
        <w:rPr>
          <w:rFonts w:eastAsia="Times New Roman" w:cs="Times New Roman"/>
          <w:rtl/>
          <w:lang w:eastAsia="de-DE"/>
        </w:rPr>
        <w:t xml:space="preserve"> </w:t>
      </w:r>
      <w:r w:rsidRPr="00D70A0B">
        <w:rPr>
          <w:rFonts w:eastAsia="Times New Roman" w:cs="Times New Roman"/>
          <w:lang w:eastAsia="de-DE"/>
        </w:rPr>
        <w:t xml:space="preserve">(Präposition </w:t>
      </w:r>
      <w:r w:rsidRPr="00D70A0B">
        <w:rPr>
          <w:rFonts w:eastAsia="Times New Roman" w:cs="Times New Roman"/>
          <w:b/>
          <w:bCs/>
          <w:rtl/>
          <w:lang w:eastAsia="de-DE"/>
        </w:rPr>
        <w:t>בְּ</w:t>
      </w:r>
      <w:r w:rsidRPr="00D70A0B">
        <w:rPr>
          <w:rFonts w:eastAsia="Times New Roman" w:cs="Times New Roman"/>
          <w:rtl/>
          <w:lang w:eastAsia="de-DE"/>
        </w:rPr>
        <w:t xml:space="preserve"> </w:t>
      </w:r>
      <w:r w:rsidRPr="00D70A0B">
        <w:rPr>
          <w:rFonts w:eastAsia="Times New Roman" w:cs="Times New Roman"/>
          <w:lang w:eastAsia="de-DE"/>
        </w:rPr>
        <w:t xml:space="preserve">mit </w:t>
      </w:r>
      <w:r w:rsidRPr="00D70A0B">
        <w:rPr>
          <w:rFonts w:eastAsia="Times New Roman" w:cs="Times New Roman"/>
          <w:b/>
          <w:bCs/>
          <w:rtl/>
          <w:lang w:eastAsia="de-DE"/>
        </w:rPr>
        <w:t>קִנְאָה</w:t>
      </w:r>
      <w:r w:rsidRPr="00D70A0B">
        <w:rPr>
          <w:rFonts w:eastAsia="Times New Roman" w:cs="Times New Roman"/>
          <w:rtl/>
          <w:lang w:eastAsia="de-DE"/>
        </w:rPr>
        <w:t xml:space="preserve"> </w:t>
      </w:r>
      <w:r w:rsidRPr="00D70A0B">
        <w:rPr>
          <w:rFonts w:eastAsia="Times New Roman" w:cs="Times New Roman"/>
          <w:lang w:eastAsia="de-DE"/>
        </w:rPr>
        <w:t>und Suffix 1. Person Singular „in meinem Eifer") zeigt das Mittel oder die Motivation. Der Satz drückt aus, dass Gott ohne Pinehas' Eingreifen das ganze Volk in seinem Eifer vernichtet hätte. Pinehas' Eifer wirkte stellvertretend und sühnend.</w:t>
      </w:r>
    </w:p>
    <w:p w14:paraId="11E765C4" w14:textId="7FCB1EF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Die LXX</w:t>
      </w:r>
      <w:r w:rsidRPr="00D70A0B">
        <w:rPr>
          <w:rFonts w:eastAsia="Times New Roman" w:cs="Times New Roman"/>
          <w:lang w:eastAsia="de-DE"/>
        </w:rPr>
        <w:t xml:space="preserve"> übersetzt </w:t>
      </w:r>
      <w:r w:rsidRPr="00D70A0B">
        <w:rPr>
          <w:rFonts w:eastAsia="Times New Roman" w:cs="Times New Roman"/>
          <w:b/>
          <w:bCs/>
          <w:rtl/>
          <w:lang w:eastAsia="de-DE"/>
        </w:rPr>
        <w:t>חֲמָתִי</w:t>
      </w:r>
      <w:r w:rsidRPr="00D70A0B">
        <w:rPr>
          <w:rFonts w:eastAsia="Times New Roman" w:cs="Times New Roman"/>
          <w:rtl/>
          <w:lang w:eastAsia="de-DE"/>
        </w:rPr>
        <w:t xml:space="preserve"> </w:t>
      </w:r>
      <w:r w:rsidRPr="00D70A0B">
        <w:rPr>
          <w:rFonts w:eastAsia="Times New Roman" w:cs="Times New Roman"/>
          <w:lang w:eastAsia="de-DE"/>
        </w:rPr>
        <w:t xml:space="preserve">mit τὸν θυμόν μου („meinen Zorn"), eine standard-Entsprechung. Die figura etymologica </w:t>
      </w:r>
      <w:r w:rsidRPr="00D70A0B">
        <w:rPr>
          <w:rFonts w:eastAsia="Times New Roman" w:cs="Times New Roman"/>
          <w:b/>
          <w:bCs/>
          <w:rtl/>
          <w:lang w:eastAsia="de-DE"/>
        </w:rPr>
        <w:t>בְּקַנְאוֹ אֶת־קִנְאָתִי</w:t>
      </w:r>
      <w:r w:rsidRPr="00D70A0B">
        <w:rPr>
          <w:rFonts w:eastAsia="Times New Roman" w:cs="Times New Roman"/>
          <w:rtl/>
          <w:lang w:eastAsia="de-DE"/>
        </w:rPr>
        <w:t xml:space="preserve"> </w:t>
      </w:r>
      <w:r w:rsidRPr="00D70A0B">
        <w:rPr>
          <w:rFonts w:eastAsia="Times New Roman" w:cs="Times New Roman"/>
          <w:lang w:eastAsia="de-DE"/>
        </w:rPr>
        <w:t xml:space="preserve">wird mit ἐν τῷ ζηλῶσαι αὐτὸν τὸν ζῆλόν μου wiedergegeben, was die hebräische </w:t>
      </w:r>
      <w:r w:rsidR="00F133EC">
        <w:rPr>
          <w:rFonts w:eastAsia="Times New Roman" w:cs="Times New Roman"/>
          <w:lang w:eastAsia="de-DE"/>
        </w:rPr>
        <w:t>Construct</w:t>
      </w:r>
      <w:r w:rsidRPr="00D70A0B">
        <w:rPr>
          <w:rFonts w:eastAsia="Times New Roman" w:cs="Times New Roman"/>
          <w:lang w:eastAsia="de-DE"/>
        </w:rPr>
        <w:t xml:space="preserve">ion präzise nachbildet. Bei </w:t>
      </w:r>
      <w:r w:rsidRPr="00D70A0B">
        <w:rPr>
          <w:rFonts w:eastAsia="Times New Roman" w:cs="Times New Roman"/>
          <w:b/>
          <w:bCs/>
          <w:rtl/>
          <w:lang w:eastAsia="de-DE"/>
        </w:rPr>
        <w:t>כִלִּיתִי</w:t>
      </w:r>
      <w:r w:rsidRPr="00D70A0B">
        <w:rPr>
          <w:rFonts w:eastAsia="Times New Roman" w:cs="Times New Roman"/>
          <w:rtl/>
          <w:lang w:eastAsia="de-DE"/>
        </w:rPr>
        <w:t xml:space="preserve"> </w:t>
      </w:r>
      <w:r w:rsidRPr="00D70A0B">
        <w:rPr>
          <w:rFonts w:eastAsia="Times New Roman" w:cs="Times New Roman"/>
          <w:lang w:eastAsia="de-DE"/>
        </w:rPr>
        <w:t>verwendet die LXX ἐξανάλωσα („ich verzehrte, vernichtete völlig"), was die Intensität des Piel gut wiedergibt.</w:t>
      </w:r>
    </w:p>
    <w:p w14:paraId="7537C6D3"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 xml:space="preserve">Die Satzstruktur zeigt einen Hauptsatz (Pinehas wendete meinen Grimm ab), gefolgt von einem modalen Infinitivsatz (indem er meinen Eifer eiferte) und einem konsekutiven Hauptsatz mit Negation (sodass ich Israel nicht vernichtete). Die dreifache Verwendung der Wortwurzel </w:t>
      </w:r>
      <w:r w:rsidRPr="00D70A0B">
        <w:rPr>
          <w:rFonts w:eastAsia="Times New Roman" w:cs="Times New Roman"/>
          <w:b/>
          <w:bCs/>
          <w:rtl/>
          <w:lang w:eastAsia="de-DE"/>
        </w:rPr>
        <w:t>קנא</w:t>
      </w:r>
      <w:r w:rsidRPr="00D70A0B">
        <w:rPr>
          <w:rFonts w:eastAsia="Times New Roman" w:cs="Times New Roman"/>
          <w:rtl/>
          <w:lang w:eastAsia="de-DE"/>
        </w:rPr>
        <w:t xml:space="preserve"> </w:t>
      </w:r>
      <w:r w:rsidRPr="00D70A0B">
        <w:rPr>
          <w:rFonts w:eastAsia="Times New Roman" w:cs="Times New Roman"/>
          <w:lang w:eastAsia="de-DE"/>
        </w:rPr>
        <w:t>(eifern, Eifer, Eifer) ist rhetorisch bedeutsam und betont das zentrale Thema.</w:t>
      </w:r>
    </w:p>
    <w:p w14:paraId="77D37673"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 xml:space="preserve">Der Vers enthält die göttliche Interpretation von Pinehas' Tat: Sie war nicht Mord, sondern priesterliche Sühnehandlung. Pinehas handelte als menschliches Instrument des göttlichen Eifers und verhinderte durch sein stellvertretendes Handeln die Vernichtung des ganzen Volkes. Der Vers etabliert </w:t>
      </w:r>
      <w:r w:rsidRPr="00D70A0B">
        <w:rPr>
          <w:rFonts w:eastAsia="Times New Roman" w:cs="Times New Roman"/>
          <w:b/>
          <w:bCs/>
          <w:rtl/>
          <w:lang w:eastAsia="de-DE"/>
        </w:rPr>
        <w:t>קנא</w:t>
      </w:r>
      <w:r w:rsidRPr="00D70A0B">
        <w:rPr>
          <w:rFonts w:eastAsia="Times New Roman" w:cs="Times New Roman"/>
          <w:rtl/>
          <w:lang w:eastAsia="de-DE"/>
        </w:rPr>
        <w:t xml:space="preserve"> </w:t>
      </w:r>
      <w:r w:rsidRPr="00D70A0B">
        <w:rPr>
          <w:rFonts w:eastAsia="Times New Roman" w:cs="Times New Roman"/>
          <w:lang w:eastAsia="de-DE"/>
        </w:rPr>
        <w:t>(„Eifer für Gottes Ehre") als positive theologische Tugend, die göttlichen Zorn abwenden kann.</w:t>
      </w:r>
    </w:p>
    <w:p w14:paraId="067405E7" w14:textId="77777777" w:rsidR="00D70A0B" w:rsidRPr="00D70A0B" w:rsidRDefault="00D70A0B" w:rsidP="00D70A0B">
      <w:pPr>
        <w:spacing w:before="100" w:beforeAutospacing="1" w:after="100" w:afterAutospacing="1" w:line="240" w:lineRule="auto"/>
        <w:outlineLvl w:val="0"/>
        <w:rPr>
          <w:rFonts w:eastAsia="Times New Roman" w:cs="Times New Roman"/>
          <w:b/>
          <w:bCs/>
          <w:kern w:val="36"/>
          <w:sz w:val="48"/>
          <w:szCs w:val="48"/>
          <w:lang w:eastAsia="de-DE"/>
        </w:rPr>
      </w:pPr>
      <w:r w:rsidRPr="00D70A0B">
        <w:rPr>
          <w:rFonts w:eastAsia="Times New Roman" w:cs="Times New Roman"/>
          <w:b/>
          <w:bCs/>
          <w:kern w:val="36"/>
          <w:sz w:val="48"/>
          <w:szCs w:val="48"/>
          <w:lang w:eastAsia="de-DE"/>
        </w:rPr>
        <w:t>Numeri 25,12</w:t>
      </w:r>
    </w:p>
    <w:p w14:paraId="2C132697"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Hebräisch:</w:t>
      </w:r>
      <w:r w:rsidRPr="00D70A0B">
        <w:rPr>
          <w:rFonts w:eastAsia="Times New Roman" w:cs="Times New Roman"/>
          <w:lang w:eastAsia="de-DE"/>
        </w:rPr>
        <w:t xml:space="preserve"> </w:t>
      </w:r>
      <w:r w:rsidRPr="00D70A0B">
        <w:rPr>
          <w:rFonts w:eastAsia="Times New Roman" w:cs="Times New Roman"/>
          <w:rtl/>
          <w:lang w:eastAsia="de-DE"/>
        </w:rPr>
        <w:t>לָכֵ֖ן אֱמֹ֑ר הִנְנִ֨י נֹתֵ֥ן לוֹ֛ אֶת־בְּרִיתִ֖י שָׁלֽוֹם׃</w:t>
      </w:r>
    </w:p>
    <w:p w14:paraId="75BC471E"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Deutsch:</w:t>
      </w:r>
      <w:r w:rsidRPr="00D70A0B">
        <w:rPr>
          <w:rFonts w:eastAsia="Times New Roman" w:cs="Times New Roman"/>
          <w:lang w:eastAsia="de-DE"/>
        </w:rPr>
        <w:t xml:space="preserve"> Darum sprich: Siehe, ich gebe ihm meinen Bund des Friedens,</w:t>
      </w:r>
    </w:p>
    <w:p w14:paraId="5301490D" w14:textId="77777777" w:rsidR="00D70A0B" w:rsidRPr="00D70A0B" w:rsidRDefault="00F329DD" w:rsidP="00D70A0B">
      <w:pPr>
        <w:spacing w:after="0" w:line="240" w:lineRule="auto"/>
        <w:rPr>
          <w:rFonts w:eastAsia="Times New Roman" w:cs="Times New Roman"/>
          <w:lang w:eastAsia="de-DE"/>
        </w:rPr>
      </w:pPr>
      <w:r>
        <w:rPr>
          <w:rFonts w:eastAsia="Times New Roman" w:cs="Times New Roman"/>
          <w:noProof/>
          <w:lang w:eastAsia="de-DE"/>
        </w:rPr>
        <w:pict w14:anchorId="5AF5B43D">
          <v:rect id="_x0000_i1863" style="width:0;height:1.5pt" o:hralign="center" o:hrstd="t" o:hr="t" fillcolor="#a0a0a0" stroked="f"/>
        </w:pict>
      </w:r>
    </w:p>
    <w:p w14:paraId="735C5B00"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Kommentar:</w:t>
      </w:r>
      <w:r w:rsidRPr="00D70A0B">
        <w:rPr>
          <w:rFonts w:eastAsia="Times New Roman" w:cs="Times New Roman"/>
          <w:lang w:eastAsia="de-DE"/>
        </w:rPr>
        <w:t xml:space="preserve"> Der Vers verkündet die göttliche Belohnung. </w:t>
      </w:r>
      <w:r w:rsidRPr="00D70A0B">
        <w:rPr>
          <w:rFonts w:eastAsia="Times New Roman" w:cs="Times New Roman"/>
          <w:b/>
          <w:bCs/>
          <w:rtl/>
          <w:lang w:eastAsia="de-DE"/>
        </w:rPr>
        <w:t>לָכֵן</w:t>
      </w:r>
      <w:r w:rsidRPr="00D70A0B">
        <w:rPr>
          <w:rFonts w:eastAsia="Times New Roman" w:cs="Times New Roman"/>
          <w:rtl/>
          <w:lang w:eastAsia="de-DE"/>
        </w:rPr>
        <w:t xml:space="preserve"> </w:t>
      </w:r>
      <w:r w:rsidRPr="00D70A0B">
        <w:rPr>
          <w:rFonts w:eastAsia="Times New Roman" w:cs="Times New Roman"/>
          <w:lang w:eastAsia="de-DE"/>
        </w:rPr>
        <w:t xml:space="preserve">(„darum, deshalb") ist die kausale Konjunktion, die die folgende Verheißung als logische Konsequenz von V. 11 markiert. </w:t>
      </w:r>
      <w:r w:rsidRPr="00D70A0B">
        <w:rPr>
          <w:rFonts w:eastAsia="Times New Roman" w:cs="Times New Roman"/>
          <w:b/>
          <w:bCs/>
          <w:rtl/>
          <w:lang w:eastAsia="de-DE"/>
        </w:rPr>
        <w:t>אֱמֹר</w:t>
      </w:r>
      <w:r w:rsidRPr="00D70A0B">
        <w:rPr>
          <w:rFonts w:eastAsia="Times New Roman" w:cs="Times New Roman"/>
          <w:rtl/>
          <w:lang w:eastAsia="de-DE"/>
        </w:rPr>
        <w:t xml:space="preserve"> </w:t>
      </w:r>
      <w:r w:rsidRPr="00D70A0B">
        <w:rPr>
          <w:rFonts w:eastAsia="Times New Roman" w:cs="Times New Roman"/>
          <w:lang w:eastAsia="de-DE"/>
        </w:rPr>
        <w:t xml:space="preserve">ist Qal Imperativ maskulin Singular von </w:t>
      </w:r>
      <w:r w:rsidRPr="00D70A0B">
        <w:rPr>
          <w:rFonts w:eastAsia="Times New Roman" w:cs="Times New Roman"/>
          <w:b/>
          <w:bCs/>
          <w:rtl/>
          <w:lang w:eastAsia="de-DE"/>
        </w:rPr>
        <w:t>אמר</w:t>
      </w:r>
      <w:r w:rsidRPr="00D70A0B">
        <w:rPr>
          <w:rFonts w:eastAsia="Times New Roman" w:cs="Times New Roman"/>
          <w:rtl/>
          <w:lang w:eastAsia="de-DE"/>
        </w:rPr>
        <w:t xml:space="preserve"> </w:t>
      </w:r>
      <w:r w:rsidRPr="00D70A0B">
        <w:rPr>
          <w:rFonts w:eastAsia="Times New Roman" w:cs="Times New Roman"/>
          <w:lang w:eastAsia="de-DE"/>
        </w:rPr>
        <w:t xml:space="preserve">(„sagen"), gerichtet an Mose, der die Botschaft weitergeben soll. </w:t>
      </w:r>
      <w:r w:rsidRPr="00D70A0B">
        <w:rPr>
          <w:rFonts w:eastAsia="Times New Roman" w:cs="Times New Roman"/>
          <w:b/>
          <w:bCs/>
          <w:rtl/>
          <w:lang w:eastAsia="de-DE"/>
        </w:rPr>
        <w:t>הִנְנִי נֹתֵן לוֹ אֶת־בְּרִיתִי שָׁלוֹם</w:t>
      </w:r>
      <w:r w:rsidRPr="00D70A0B">
        <w:rPr>
          <w:rFonts w:eastAsia="Times New Roman" w:cs="Times New Roman"/>
          <w:rtl/>
          <w:lang w:eastAsia="de-DE"/>
        </w:rPr>
        <w:t xml:space="preserve"> </w:t>
      </w:r>
      <w:r w:rsidRPr="00D70A0B">
        <w:rPr>
          <w:rFonts w:eastAsia="Times New Roman" w:cs="Times New Roman"/>
          <w:lang w:eastAsia="de-DE"/>
        </w:rPr>
        <w:t xml:space="preserve">ist die eigentliche Verheißung. </w:t>
      </w:r>
      <w:r w:rsidRPr="00D70A0B">
        <w:rPr>
          <w:rFonts w:eastAsia="Times New Roman" w:cs="Times New Roman"/>
          <w:b/>
          <w:bCs/>
          <w:rtl/>
          <w:lang w:eastAsia="de-DE"/>
        </w:rPr>
        <w:t>הִנְנִי</w:t>
      </w:r>
      <w:r w:rsidRPr="00D70A0B">
        <w:rPr>
          <w:rFonts w:eastAsia="Times New Roman" w:cs="Times New Roman"/>
          <w:rtl/>
          <w:lang w:eastAsia="de-DE"/>
        </w:rPr>
        <w:t xml:space="preserve"> </w:t>
      </w:r>
      <w:r w:rsidRPr="00D70A0B">
        <w:rPr>
          <w:rFonts w:eastAsia="Times New Roman" w:cs="Times New Roman"/>
          <w:lang w:eastAsia="de-DE"/>
        </w:rPr>
        <w:t xml:space="preserve">(Interjektion </w:t>
      </w:r>
      <w:r w:rsidRPr="00D70A0B">
        <w:rPr>
          <w:rFonts w:eastAsia="Times New Roman" w:cs="Times New Roman"/>
          <w:b/>
          <w:bCs/>
          <w:rtl/>
          <w:lang w:eastAsia="de-DE"/>
        </w:rPr>
        <w:t>הִנֵּה</w:t>
      </w:r>
      <w:r w:rsidRPr="00D70A0B">
        <w:rPr>
          <w:rFonts w:eastAsia="Times New Roman" w:cs="Times New Roman"/>
          <w:rtl/>
          <w:lang w:eastAsia="de-DE"/>
        </w:rPr>
        <w:t xml:space="preserve"> </w:t>
      </w:r>
      <w:r w:rsidRPr="00D70A0B">
        <w:rPr>
          <w:rFonts w:eastAsia="Times New Roman" w:cs="Times New Roman"/>
          <w:lang w:eastAsia="de-DE"/>
        </w:rPr>
        <w:t xml:space="preserve">mit Suffix 1. Person Singular „siehe mich, hier bin ich") leitet eine bedeutsame Ankündigung ein. </w:t>
      </w:r>
      <w:r w:rsidRPr="00D70A0B">
        <w:rPr>
          <w:rFonts w:eastAsia="Times New Roman" w:cs="Times New Roman"/>
          <w:b/>
          <w:bCs/>
          <w:rtl/>
          <w:lang w:eastAsia="de-DE"/>
        </w:rPr>
        <w:t>נֹתֵן</w:t>
      </w:r>
      <w:r w:rsidRPr="00D70A0B">
        <w:rPr>
          <w:rFonts w:eastAsia="Times New Roman" w:cs="Times New Roman"/>
          <w:rtl/>
          <w:lang w:eastAsia="de-DE"/>
        </w:rPr>
        <w:t xml:space="preserve"> </w:t>
      </w:r>
      <w:r w:rsidRPr="00D70A0B">
        <w:rPr>
          <w:rFonts w:eastAsia="Times New Roman" w:cs="Times New Roman"/>
          <w:lang w:eastAsia="de-DE"/>
        </w:rPr>
        <w:t xml:space="preserve">ist Qal-Partizip maskulin Singular von </w:t>
      </w:r>
      <w:r w:rsidRPr="00D70A0B">
        <w:rPr>
          <w:rFonts w:eastAsia="Times New Roman" w:cs="Times New Roman"/>
          <w:b/>
          <w:bCs/>
          <w:rtl/>
          <w:lang w:eastAsia="de-DE"/>
        </w:rPr>
        <w:t>נתן</w:t>
      </w:r>
      <w:r w:rsidRPr="00D70A0B">
        <w:rPr>
          <w:rFonts w:eastAsia="Times New Roman" w:cs="Times New Roman"/>
          <w:rtl/>
          <w:lang w:eastAsia="de-DE"/>
        </w:rPr>
        <w:t xml:space="preserve"> </w:t>
      </w:r>
      <w:r w:rsidRPr="00D70A0B">
        <w:rPr>
          <w:rFonts w:eastAsia="Times New Roman" w:cs="Times New Roman"/>
          <w:lang w:eastAsia="de-DE"/>
        </w:rPr>
        <w:t xml:space="preserve">(„geben"), das eine gegenwärtige oder unmittelbar bevorstehende Handlung ausdrückt. </w:t>
      </w:r>
      <w:r w:rsidRPr="00D70A0B">
        <w:rPr>
          <w:rFonts w:eastAsia="Times New Roman" w:cs="Times New Roman"/>
          <w:b/>
          <w:bCs/>
          <w:rtl/>
          <w:lang w:eastAsia="de-DE"/>
        </w:rPr>
        <w:t>לוֹ</w:t>
      </w:r>
      <w:r w:rsidRPr="00D70A0B">
        <w:rPr>
          <w:rFonts w:eastAsia="Times New Roman" w:cs="Times New Roman"/>
          <w:rtl/>
          <w:lang w:eastAsia="de-DE"/>
        </w:rPr>
        <w:t xml:space="preserve"> </w:t>
      </w:r>
      <w:r w:rsidRPr="00D70A0B">
        <w:rPr>
          <w:rFonts w:eastAsia="Times New Roman" w:cs="Times New Roman"/>
          <w:lang w:eastAsia="de-DE"/>
        </w:rPr>
        <w:t>ist das indirekte Objekt (Dativ „ihm", d.h. Pinehas).</w:t>
      </w:r>
    </w:p>
    <w:p w14:paraId="391C02B1" w14:textId="188AAF43"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rtl/>
          <w:lang w:eastAsia="de-DE"/>
        </w:rPr>
        <w:lastRenderedPageBreak/>
        <w:t>אֶת־בְּרִיתִי שָׁלוֹם</w:t>
      </w:r>
      <w:r w:rsidRPr="00D70A0B">
        <w:rPr>
          <w:rFonts w:eastAsia="Times New Roman" w:cs="Times New Roman"/>
          <w:rtl/>
          <w:lang w:eastAsia="de-DE"/>
        </w:rPr>
        <w:t xml:space="preserve"> </w:t>
      </w:r>
      <w:r w:rsidRPr="00D70A0B">
        <w:rPr>
          <w:rFonts w:eastAsia="Times New Roman" w:cs="Times New Roman"/>
          <w:lang w:eastAsia="de-DE"/>
        </w:rPr>
        <w:t xml:space="preserve">ist das direkte Objekt. </w:t>
      </w:r>
      <w:r w:rsidRPr="00D70A0B">
        <w:rPr>
          <w:rFonts w:eastAsia="Times New Roman" w:cs="Times New Roman"/>
          <w:b/>
          <w:bCs/>
          <w:rtl/>
          <w:lang w:eastAsia="de-DE"/>
        </w:rPr>
        <w:t>בְּרִיתִי</w:t>
      </w:r>
      <w:r w:rsidRPr="00D70A0B">
        <w:rPr>
          <w:rFonts w:eastAsia="Times New Roman" w:cs="Times New Roman"/>
          <w:rtl/>
          <w:lang w:eastAsia="de-DE"/>
        </w:rPr>
        <w:t xml:space="preserve"> </w:t>
      </w:r>
      <w:r w:rsidRPr="00D70A0B">
        <w:rPr>
          <w:rFonts w:eastAsia="Times New Roman" w:cs="Times New Roman"/>
          <w:lang w:eastAsia="de-DE"/>
        </w:rPr>
        <w:t xml:space="preserve">ist feminin Singular von </w:t>
      </w:r>
      <w:r w:rsidRPr="00D70A0B">
        <w:rPr>
          <w:rFonts w:eastAsia="Times New Roman" w:cs="Times New Roman"/>
          <w:b/>
          <w:bCs/>
          <w:rtl/>
          <w:lang w:eastAsia="de-DE"/>
        </w:rPr>
        <w:t>בְּרִית</w:t>
      </w:r>
      <w:r w:rsidRPr="00D70A0B">
        <w:rPr>
          <w:rFonts w:eastAsia="Times New Roman" w:cs="Times New Roman"/>
          <w:rtl/>
          <w:lang w:eastAsia="de-DE"/>
        </w:rPr>
        <w:t xml:space="preserve"> </w:t>
      </w:r>
      <w:r w:rsidRPr="00D70A0B">
        <w:rPr>
          <w:rFonts w:eastAsia="Times New Roman" w:cs="Times New Roman"/>
          <w:lang w:eastAsia="de-DE"/>
        </w:rPr>
        <w:t xml:space="preserve">(„Bund, Vertrag, Bundesschluss") mit Suffix 1. Person Singular („meinen Bund"). </w:t>
      </w:r>
      <w:r w:rsidRPr="00D70A0B">
        <w:rPr>
          <w:rFonts w:eastAsia="Times New Roman" w:cs="Times New Roman"/>
          <w:b/>
          <w:bCs/>
          <w:rtl/>
          <w:lang w:eastAsia="de-DE"/>
        </w:rPr>
        <w:t>שָׁלוֹם</w:t>
      </w:r>
      <w:r w:rsidRPr="00D70A0B">
        <w:rPr>
          <w:rFonts w:eastAsia="Times New Roman" w:cs="Times New Roman"/>
          <w:rtl/>
          <w:lang w:eastAsia="de-DE"/>
        </w:rPr>
        <w:t xml:space="preserve"> </w:t>
      </w:r>
      <w:r w:rsidRPr="00D70A0B">
        <w:rPr>
          <w:rFonts w:eastAsia="Times New Roman" w:cs="Times New Roman"/>
          <w:lang w:eastAsia="de-DE"/>
        </w:rPr>
        <w:t xml:space="preserve">(„Friede, Wohlergehen, Heil") steht im Genitiv oder als Apposition und qualifiziert den Bund. Die </w:t>
      </w:r>
      <w:r w:rsidR="00F133EC">
        <w:rPr>
          <w:rFonts w:eastAsia="Times New Roman" w:cs="Times New Roman"/>
          <w:lang w:eastAsia="de-DE"/>
        </w:rPr>
        <w:t>Construct</w:t>
      </w:r>
      <w:r w:rsidRPr="00D70A0B">
        <w:rPr>
          <w:rFonts w:eastAsia="Times New Roman" w:cs="Times New Roman"/>
          <w:lang w:eastAsia="de-DE"/>
        </w:rPr>
        <w:t xml:space="preserve">ion </w:t>
      </w:r>
      <w:r w:rsidRPr="00D70A0B">
        <w:rPr>
          <w:rFonts w:eastAsia="Times New Roman" w:cs="Times New Roman"/>
          <w:b/>
          <w:bCs/>
          <w:rtl/>
          <w:lang w:eastAsia="de-DE"/>
        </w:rPr>
        <w:t>בְּרִית שָׁלוֹם</w:t>
      </w:r>
      <w:r w:rsidRPr="00D70A0B">
        <w:rPr>
          <w:rFonts w:eastAsia="Times New Roman" w:cs="Times New Roman"/>
          <w:rtl/>
          <w:lang w:eastAsia="de-DE"/>
        </w:rPr>
        <w:t xml:space="preserve"> </w:t>
      </w:r>
      <w:r w:rsidRPr="00D70A0B">
        <w:rPr>
          <w:rFonts w:eastAsia="Times New Roman" w:cs="Times New Roman"/>
          <w:lang w:eastAsia="de-DE"/>
        </w:rPr>
        <w:t>(„Bund des Friedens") ist eine bedeutsame Formulierung, die einen Bund bezeichnet, der Frieden, Sicherheit, Wohlergehen und umfassendes Heil garantiert. Der Ausdruck erscheint auch in Jes 54,10; Ez 34,25; 37,26 und bezeichnet einen ewigen, unverbrüchlichen Bund. Dieser Bund steht im Kontrast zu Pinehas' Gewalttat: Durch seinen Eifer für Gottes Ehre erwirbt er paradoxerweise einen Friedensbund.</w:t>
      </w:r>
    </w:p>
    <w:p w14:paraId="02A0052A"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b/>
          <w:bCs/>
          <w:lang w:eastAsia="de-DE"/>
        </w:rPr>
        <w:t>Die LXX</w:t>
      </w:r>
      <w:r w:rsidRPr="00D70A0B">
        <w:rPr>
          <w:rFonts w:eastAsia="Times New Roman" w:cs="Times New Roman"/>
          <w:lang w:eastAsia="de-DE"/>
        </w:rPr>
        <w:t xml:space="preserve"> übersetzt </w:t>
      </w:r>
      <w:r w:rsidRPr="00D70A0B">
        <w:rPr>
          <w:rFonts w:eastAsia="Times New Roman" w:cs="Times New Roman"/>
          <w:b/>
          <w:bCs/>
          <w:rtl/>
          <w:lang w:eastAsia="de-DE"/>
        </w:rPr>
        <w:t>בְּרִיתִי שָׁלוֹם</w:t>
      </w:r>
      <w:r w:rsidRPr="00D70A0B">
        <w:rPr>
          <w:rFonts w:eastAsia="Times New Roman" w:cs="Times New Roman"/>
          <w:rtl/>
          <w:lang w:eastAsia="de-DE"/>
        </w:rPr>
        <w:t xml:space="preserve"> </w:t>
      </w:r>
      <w:r w:rsidRPr="00D70A0B">
        <w:rPr>
          <w:rFonts w:eastAsia="Times New Roman" w:cs="Times New Roman"/>
          <w:lang w:eastAsia="de-DE"/>
        </w:rPr>
        <w:t xml:space="preserve">mit διαθήκην εἰρήνης („Bund des Friedens"), eine wörtliche Wiedergabe. Das griechische εἰρήνη entspricht dem hebräischen Konzept von </w:t>
      </w:r>
      <w:r w:rsidRPr="00D70A0B">
        <w:rPr>
          <w:rFonts w:eastAsia="Times New Roman" w:cs="Times New Roman"/>
          <w:b/>
          <w:bCs/>
          <w:rtl/>
          <w:lang w:eastAsia="de-DE"/>
        </w:rPr>
        <w:t>שָׁלוֹם</w:t>
      </w:r>
      <w:r w:rsidRPr="00D70A0B">
        <w:rPr>
          <w:rFonts w:eastAsia="Times New Roman" w:cs="Times New Roman"/>
          <w:rtl/>
          <w:lang w:eastAsia="de-DE"/>
        </w:rPr>
        <w:t xml:space="preserve"> </w:t>
      </w:r>
      <w:r w:rsidRPr="00D70A0B">
        <w:rPr>
          <w:rFonts w:eastAsia="Times New Roman" w:cs="Times New Roman"/>
          <w:lang w:eastAsia="de-DE"/>
        </w:rPr>
        <w:t>als umfassendem Wohlergehen.</w:t>
      </w:r>
    </w:p>
    <w:p w14:paraId="4FF2CCF6"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Die Satzstruktur zeigt eine kausale Konjunktion, einen Imperativ (Botenformel) und eine Partizipialkonstruktion mit Objekt, die die göttliche Zusage verkündet.</w:t>
      </w:r>
    </w:p>
    <w:p w14:paraId="30ADD5C2" w14:textId="77777777" w:rsidR="00D70A0B" w:rsidRPr="00D70A0B" w:rsidRDefault="00D70A0B" w:rsidP="00D70A0B">
      <w:pPr>
        <w:spacing w:before="100" w:beforeAutospacing="1" w:after="100" w:afterAutospacing="1" w:line="240" w:lineRule="auto"/>
        <w:rPr>
          <w:rFonts w:eastAsia="Times New Roman" w:cs="Times New Roman"/>
          <w:lang w:eastAsia="de-DE"/>
        </w:rPr>
      </w:pPr>
      <w:r w:rsidRPr="00D70A0B">
        <w:rPr>
          <w:rFonts w:eastAsia="Times New Roman" w:cs="Times New Roman"/>
          <w:lang w:eastAsia="de-DE"/>
        </w:rPr>
        <w:t>Der Vers markiert die Verleihung eines besonderen göttlichen Bundes an Pinehas. Die Ironie ist bedeutsam: Der Mann, der Gewalt ausübte, erhält einen Friedensbund. Dies zeigt, dass wahrer Friede nicht durch Kompromiss mit der Sünde, sondern durch Eifer für Gottes Heiligkeit erreicht wird. Der Bund ist persönlich („mein Bund") und garantiert Pinehas und seiner Nachkommenschaft göttlichen Schutz und Segen.</w:t>
      </w:r>
    </w:p>
    <w:p w14:paraId="18B3E6FA" w14:textId="77777777" w:rsidR="00A70521" w:rsidRPr="00A70521" w:rsidRDefault="00A70521" w:rsidP="00A70521">
      <w:pPr>
        <w:spacing w:before="100" w:beforeAutospacing="1" w:after="100" w:afterAutospacing="1" w:line="240" w:lineRule="auto"/>
        <w:outlineLvl w:val="0"/>
        <w:rPr>
          <w:rFonts w:eastAsia="Times New Roman" w:cs="Times New Roman"/>
          <w:b/>
          <w:bCs/>
          <w:kern w:val="36"/>
          <w:sz w:val="48"/>
          <w:szCs w:val="48"/>
          <w:lang w:eastAsia="de-DE"/>
        </w:rPr>
      </w:pPr>
      <w:r w:rsidRPr="00A70521">
        <w:rPr>
          <w:rFonts w:eastAsia="Times New Roman" w:cs="Times New Roman"/>
          <w:b/>
          <w:bCs/>
          <w:kern w:val="36"/>
          <w:sz w:val="48"/>
          <w:szCs w:val="48"/>
          <w:lang w:eastAsia="de-DE"/>
        </w:rPr>
        <w:t>Numeri 25,13</w:t>
      </w:r>
    </w:p>
    <w:p w14:paraId="48B0D598"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Hebräisch:</w:t>
      </w:r>
      <w:r w:rsidRPr="00A70521">
        <w:rPr>
          <w:rFonts w:eastAsia="Times New Roman" w:cs="Times New Roman"/>
          <w:lang w:eastAsia="de-DE"/>
        </w:rPr>
        <w:t xml:space="preserve"> </w:t>
      </w:r>
      <w:r w:rsidRPr="00A70521">
        <w:rPr>
          <w:rFonts w:eastAsia="Times New Roman" w:cs="Times New Roman"/>
          <w:rtl/>
          <w:lang w:eastAsia="de-DE"/>
        </w:rPr>
        <w:t>וְהָ֤יְתָה לּוֹ֙ וּלְזַרְעֹ֣ו אַחֲרָ֔יו בְּרִ֖ית כְּהֻנַּ֣ת עוֹלָ֑ם תַּ֗חַת אֲשֶׁ֤ר קִנֵּא֙ לֵֽאלֹהָ֔יו וַיְכַפֵּ֖ר עַל־בְּנֵ֥י יִשְׂרָאֵֽל׃</w:t>
      </w:r>
    </w:p>
    <w:p w14:paraId="42FEFAB7"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Deutsch:</w:t>
      </w:r>
      <w:r w:rsidRPr="00A70521">
        <w:rPr>
          <w:rFonts w:eastAsia="Times New Roman" w:cs="Times New Roman"/>
          <w:lang w:eastAsia="de-DE"/>
        </w:rPr>
        <w:t xml:space="preserve"> und es wird ihm und seinem Samen nach ihm ein Bund ewigen Priestertums sein, weil er für seinen Gott geeifert und für die Söhne Jisra'els Sühnung erwirkt hat.</w:t>
      </w:r>
    </w:p>
    <w:p w14:paraId="4AE517CB" w14:textId="77777777" w:rsidR="00A70521" w:rsidRPr="00A70521" w:rsidRDefault="00F329DD" w:rsidP="00A70521">
      <w:pPr>
        <w:spacing w:after="0" w:line="240" w:lineRule="auto"/>
        <w:rPr>
          <w:rFonts w:eastAsia="Times New Roman" w:cs="Times New Roman"/>
          <w:lang w:eastAsia="de-DE"/>
        </w:rPr>
      </w:pPr>
      <w:r>
        <w:rPr>
          <w:rFonts w:eastAsia="Times New Roman" w:cs="Times New Roman"/>
          <w:noProof/>
          <w:lang w:eastAsia="de-DE"/>
        </w:rPr>
        <w:pict w14:anchorId="79BCDD47">
          <v:rect id="_x0000_i1864" style="width:0;height:1.5pt" o:hralign="center" o:hrstd="t" o:hr="t" fillcolor="#a0a0a0" stroked="f"/>
        </w:pict>
      </w:r>
    </w:p>
    <w:p w14:paraId="51CEB45E"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Kommentar:</w:t>
      </w:r>
      <w:r w:rsidRPr="00A70521">
        <w:rPr>
          <w:rFonts w:eastAsia="Times New Roman" w:cs="Times New Roman"/>
          <w:lang w:eastAsia="de-DE"/>
        </w:rPr>
        <w:t xml:space="preserve"> Der Vers präzisiert den Inhalt des Friedensbundes. </w:t>
      </w:r>
      <w:r w:rsidRPr="00A70521">
        <w:rPr>
          <w:rFonts w:eastAsia="Times New Roman" w:cs="Times New Roman"/>
          <w:b/>
          <w:bCs/>
          <w:rtl/>
          <w:lang w:eastAsia="de-DE"/>
        </w:rPr>
        <w:t>וְהָיְתָה לּוֹ וּלְזַרְעוֹ אַחֲרָיו</w:t>
      </w:r>
      <w:r w:rsidRPr="00A70521">
        <w:rPr>
          <w:rFonts w:eastAsia="Times New Roman" w:cs="Times New Roman"/>
          <w:rtl/>
          <w:lang w:eastAsia="de-DE"/>
        </w:rPr>
        <w:t xml:space="preserve"> </w:t>
      </w:r>
      <w:r w:rsidRPr="00A70521">
        <w:rPr>
          <w:rFonts w:eastAsia="Times New Roman" w:cs="Times New Roman"/>
          <w:lang w:eastAsia="de-DE"/>
        </w:rPr>
        <w:t xml:space="preserve">definiert die Reichweite des Bundes. </w:t>
      </w:r>
      <w:r w:rsidRPr="00A70521">
        <w:rPr>
          <w:rFonts w:eastAsia="Times New Roman" w:cs="Times New Roman"/>
          <w:b/>
          <w:bCs/>
          <w:rtl/>
          <w:lang w:eastAsia="de-DE"/>
        </w:rPr>
        <w:t>וְהָיְתָה</w:t>
      </w:r>
      <w:r w:rsidRPr="00A70521">
        <w:rPr>
          <w:rFonts w:eastAsia="Times New Roman" w:cs="Times New Roman"/>
          <w:rtl/>
          <w:lang w:eastAsia="de-DE"/>
        </w:rPr>
        <w:t xml:space="preserve"> </w:t>
      </w:r>
      <w:r w:rsidRPr="00A70521">
        <w:rPr>
          <w:rFonts w:eastAsia="Times New Roman" w:cs="Times New Roman"/>
          <w:lang w:eastAsia="de-DE"/>
        </w:rPr>
        <w:t xml:space="preserve">ist Qal Perfekt (prophetisches Perfekt oder Waw-Perfekt) 3. Person feminin Singular von </w:t>
      </w:r>
      <w:r w:rsidRPr="00A70521">
        <w:rPr>
          <w:rFonts w:eastAsia="Times New Roman" w:cs="Times New Roman"/>
          <w:b/>
          <w:bCs/>
          <w:rtl/>
          <w:lang w:eastAsia="de-DE"/>
        </w:rPr>
        <w:t>היה</w:t>
      </w:r>
      <w:r w:rsidRPr="00A70521">
        <w:rPr>
          <w:rFonts w:eastAsia="Times New Roman" w:cs="Times New Roman"/>
          <w:rtl/>
          <w:lang w:eastAsia="de-DE"/>
        </w:rPr>
        <w:t xml:space="preserve"> </w:t>
      </w:r>
      <w:r w:rsidRPr="00A70521">
        <w:rPr>
          <w:rFonts w:eastAsia="Times New Roman" w:cs="Times New Roman"/>
          <w:lang w:eastAsia="de-DE"/>
        </w:rPr>
        <w:t xml:space="preserve">(„sein, werden"), das sich auf </w:t>
      </w:r>
      <w:r w:rsidRPr="00A70521">
        <w:rPr>
          <w:rFonts w:eastAsia="Times New Roman" w:cs="Times New Roman"/>
          <w:b/>
          <w:bCs/>
          <w:rtl/>
          <w:lang w:eastAsia="de-DE"/>
        </w:rPr>
        <w:t>בְּרִית</w:t>
      </w:r>
      <w:r w:rsidRPr="00A70521">
        <w:rPr>
          <w:rFonts w:eastAsia="Times New Roman" w:cs="Times New Roman"/>
          <w:rtl/>
          <w:lang w:eastAsia="de-DE"/>
        </w:rPr>
        <w:t xml:space="preserve"> </w:t>
      </w:r>
      <w:r w:rsidRPr="00A70521">
        <w:rPr>
          <w:rFonts w:eastAsia="Times New Roman" w:cs="Times New Roman"/>
          <w:lang w:eastAsia="de-DE"/>
        </w:rPr>
        <w:t xml:space="preserve">(feminin) aus V. 12 bezieht. </w:t>
      </w:r>
      <w:r w:rsidRPr="00A70521">
        <w:rPr>
          <w:rFonts w:eastAsia="Times New Roman" w:cs="Times New Roman"/>
          <w:b/>
          <w:bCs/>
          <w:rtl/>
          <w:lang w:eastAsia="de-DE"/>
        </w:rPr>
        <w:t>לּוֹ</w:t>
      </w:r>
      <w:r w:rsidRPr="00A70521">
        <w:rPr>
          <w:rFonts w:eastAsia="Times New Roman" w:cs="Times New Roman"/>
          <w:rtl/>
          <w:lang w:eastAsia="de-DE"/>
        </w:rPr>
        <w:t xml:space="preserve"> </w:t>
      </w:r>
      <w:r w:rsidRPr="00A70521">
        <w:rPr>
          <w:rFonts w:eastAsia="Times New Roman" w:cs="Times New Roman"/>
          <w:lang w:eastAsia="de-DE"/>
        </w:rPr>
        <w:t xml:space="preserve">ist das indirekte Objekt („ihm"), </w:t>
      </w:r>
      <w:r w:rsidRPr="00A70521">
        <w:rPr>
          <w:rFonts w:eastAsia="Times New Roman" w:cs="Times New Roman"/>
          <w:b/>
          <w:bCs/>
          <w:rtl/>
          <w:lang w:eastAsia="de-DE"/>
        </w:rPr>
        <w:t>וּלְזַרְעוֹ אַחֲרָיו</w:t>
      </w:r>
      <w:r w:rsidRPr="00A70521">
        <w:rPr>
          <w:rFonts w:eastAsia="Times New Roman" w:cs="Times New Roman"/>
          <w:rtl/>
          <w:lang w:eastAsia="de-DE"/>
        </w:rPr>
        <w:t xml:space="preserve"> </w:t>
      </w:r>
      <w:r w:rsidRPr="00A70521">
        <w:rPr>
          <w:rFonts w:eastAsia="Times New Roman" w:cs="Times New Roman"/>
          <w:lang w:eastAsia="de-DE"/>
        </w:rPr>
        <w:t xml:space="preserve">erweitert die Verheißung: </w:t>
      </w:r>
      <w:r w:rsidRPr="00A70521">
        <w:rPr>
          <w:rFonts w:eastAsia="Times New Roman" w:cs="Times New Roman"/>
          <w:b/>
          <w:bCs/>
          <w:rtl/>
          <w:lang w:eastAsia="de-DE"/>
        </w:rPr>
        <w:t>לְזַרְעוֹ</w:t>
      </w:r>
      <w:r w:rsidRPr="00A70521">
        <w:rPr>
          <w:rFonts w:eastAsia="Times New Roman" w:cs="Times New Roman"/>
          <w:rtl/>
          <w:lang w:eastAsia="de-DE"/>
        </w:rPr>
        <w:t xml:space="preserve"> </w:t>
      </w:r>
      <w:r w:rsidRPr="00A70521">
        <w:rPr>
          <w:rFonts w:eastAsia="Times New Roman" w:cs="Times New Roman"/>
          <w:lang w:eastAsia="de-DE"/>
        </w:rPr>
        <w:t xml:space="preserve">(Präposition </w:t>
      </w:r>
      <w:r w:rsidRPr="00A70521">
        <w:rPr>
          <w:rFonts w:eastAsia="Times New Roman" w:cs="Times New Roman"/>
          <w:b/>
          <w:bCs/>
          <w:rtl/>
          <w:lang w:eastAsia="de-DE"/>
        </w:rPr>
        <w:t>לְ</w:t>
      </w:r>
      <w:r w:rsidRPr="00A70521">
        <w:rPr>
          <w:rFonts w:eastAsia="Times New Roman" w:cs="Times New Roman"/>
          <w:rtl/>
          <w:lang w:eastAsia="de-DE"/>
        </w:rPr>
        <w:t xml:space="preserve"> </w:t>
      </w:r>
      <w:r w:rsidRPr="00A70521">
        <w:rPr>
          <w:rFonts w:eastAsia="Times New Roman" w:cs="Times New Roman"/>
          <w:lang w:eastAsia="de-DE"/>
        </w:rPr>
        <w:t xml:space="preserve">mit </w:t>
      </w:r>
      <w:r w:rsidRPr="00A70521">
        <w:rPr>
          <w:rFonts w:eastAsia="Times New Roman" w:cs="Times New Roman"/>
          <w:b/>
          <w:bCs/>
          <w:rtl/>
          <w:lang w:eastAsia="de-DE"/>
        </w:rPr>
        <w:t>זֶרַע</w:t>
      </w:r>
      <w:r w:rsidRPr="00A70521">
        <w:rPr>
          <w:rFonts w:eastAsia="Times New Roman" w:cs="Times New Roman"/>
          <w:rtl/>
          <w:lang w:eastAsia="de-DE"/>
        </w:rPr>
        <w:t xml:space="preserve"> </w:t>
      </w:r>
      <w:r w:rsidRPr="00A70521">
        <w:rPr>
          <w:rFonts w:eastAsia="Times New Roman" w:cs="Times New Roman"/>
          <w:lang w:eastAsia="de-DE"/>
        </w:rPr>
        <w:t xml:space="preserve">„Same, Nachkommenschaft" und Suffix 3. Person maskulin Singular), </w:t>
      </w:r>
      <w:r w:rsidRPr="00A70521">
        <w:rPr>
          <w:rFonts w:eastAsia="Times New Roman" w:cs="Times New Roman"/>
          <w:b/>
          <w:bCs/>
          <w:rtl/>
          <w:lang w:eastAsia="de-DE"/>
        </w:rPr>
        <w:t>אַחֲרָיו</w:t>
      </w:r>
      <w:r w:rsidRPr="00A70521">
        <w:rPr>
          <w:rFonts w:eastAsia="Times New Roman" w:cs="Times New Roman"/>
          <w:rtl/>
          <w:lang w:eastAsia="de-DE"/>
        </w:rPr>
        <w:t xml:space="preserve"> </w:t>
      </w:r>
      <w:r w:rsidRPr="00A70521">
        <w:rPr>
          <w:rFonts w:eastAsia="Times New Roman" w:cs="Times New Roman"/>
          <w:lang w:eastAsia="de-DE"/>
        </w:rPr>
        <w:t xml:space="preserve">(„nach ihm") mit der Präposition </w:t>
      </w:r>
      <w:r w:rsidRPr="00A70521">
        <w:rPr>
          <w:rFonts w:eastAsia="Times New Roman" w:cs="Times New Roman"/>
          <w:b/>
          <w:bCs/>
          <w:rtl/>
          <w:lang w:eastAsia="de-DE"/>
        </w:rPr>
        <w:t>אַחַר</w:t>
      </w:r>
      <w:r w:rsidRPr="00A70521">
        <w:rPr>
          <w:rFonts w:eastAsia="Times New Roman" w:cs="Times New Roman"/>
          <w:rtl/>
          <w:lang w:eastAsia="de-DE"/>
        </w:rPr>
        <w:t xml:space="preserve"> </w:t>
      </w:r>
      <w:r w:rsidRPr="00A70521">
        <w:rPr>
          <w:rFonts w:eastAsia="Times New Roman" w:cs="Times New Roman"/>
          <w:lang w:eastAsia="de-DE"/>
        </w:rPr>
        <w:t>(„nach") und Suffix 3. Person maskulin Singular. Der Bund ist nicht nur persönlich, sondern dynastisch und betrifft alle Nachkommen des Pinehas.</w:t>
      </w:r>
    </w:p>
    <w:p w14:paraId="01EA4A07" w14:textId="0B6DD548"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rtl/>
          <w:lang w:eastAsia="de-DE"/>
        </w:rPr>
        <w:t>בְּרִית כְּהֻנַּת עוֹלָם</w:t>
      </w:r>
      <w:r w:rsidRPr="00A70521">
        <w:rPr>
          <w:rFonts w:eastAsia="Times New Roman" w:cs="Times New Roman"/>
          <w:rtl/>
          <w:lang w:eastAsia="de-DE"/>
        </w:rPr>
        <w:t xml:space="preserve"> </w:t>
      </w:r>
      <w:r w:rsidRPr="00A70521">
        <w:rPr>
          <w:rFonts w:eastAsia="Times New Roman" w:cs="Times New Roman"/>
          <w:lang w:eastAsia="de-DE"/>
        </w:rPr>
        <w:t xml:space="preserve">spezifiziert den Inhalt. </w:t>
      </w:r>
      <w:r w:rsidRPr="00A70521">
        <w:rPr>
          <w:rFonts w:eastAsia="Times New Roman" w:cs="Times New Roman"/>
          <w:b/>
          <w:bCs/>
          <w:rtl/>
          <w:lang w:eastAsia="de-DE"/>
        </w:rPr>
        <w:t>בְּרִית</w:t>
      </w:r>
      <w:r w:rsidRPr="00A70521">
        <w:rPr>
          <w:rFonts w:eastAsia="Times New Roman" w:cs="Times New Roman"/>
          <w:rtl/>
          <w:lang w:eastAsia="de-DE"/>
        </w:rPr>
        <w:t xml:space="preserve"> </w:t>
      </w:r>
      <w:r w:rsidRPr="00A70521">
        <w:rPr>
          <w:rFonts w:eastAsia="Times New Roman" w:cs="Times New Roman"/>
          <w:lang w:eastAsia="de-DE"/>
        </w:rPr>
        <w:t xml:space="preserve">(„Bund") wird wiederholt, </w:t>
      </w:r>
      <w:r w:rsidRPr="00A70521">
        <w:rPr>
          <w:rFonts w:eastAsia="Times New Roman" w:cs="Times New Roman"/>
          <w:b/>
          <w:bCs/>
          <w:rtl/>
          <w:lang w:eastAsia="de-DE"/>
        </w:rPr>
        <w:t>כְּהֻנַּת</w:t>
      </w:r>
      <w:r w:rsidRPr="00A70521">
        <w:rPr>
          <w:rFonts w:eastAsia="Times New Roman" w:cs="Times New Roman"/>
          <w:rtl/>
          <w:lang w:eastAsia="de-DE"/>
        </w:rPr>
        <w:t xml:space="preserve"> </w:t>
      </w:r>
      <w:r w:rsidRPr="00A70521">
        <w:rPr>
          <w:rFonts w:eastAsia="Times New Roman" w:cs="Times New Roman"/>
          <w:lang w:eastAsia="de-DE"/>
        </w:rPr>
        <w:t xml:space="preserve">ist feminin Singular </w:t>
      </w:r>
      <w:r w:rsidR="00E031B3">
        <w:rPr>
          <w:rFonts w:eastAsia="Times New Roman" w:cs="Times New Roman"/>
          <w:lang w:eastAsia="de-DE"/>
        </w:rPr>
        <w:t>Constructus von</w:t>
      </w:r>
      <w:r w:rsidRPr="00A70521">
        <w:rPr>
          <w:rFonts w:eastAsia="Times New Roman" w:cs="Times New Roman"/>
          <w:lang w:eastAsia="de-DE"/>
        </w:rPr>
        <w:t xml:space="preserve"> </w:t>
      </w:r>
      <w:r w:rsidRPr="00A70521">
        <w:rPr>
          <w:rFonts w:eastAsia="Times New Roman" w:cs="Times New Roman"/>
          <w:b/>
          <w:bCs/>
          <w:rtl/>
          <w:lang w:eastAsia="de-DE"/>
        </w:rPr>
        <w:t>כְּהֻנָּה</w:t>
      </w:r>
      <w:r w:rsidRPr="00A70521">
        <w:rPr>
          <w:rFonts w:eastAsia="Times New Roman" w:cs="Times New Roman"/>
          <w:rtl/>
          <w:lang w:eastAsia="de-DE"/>
        </w:rPr>
        <w:t xml:space="preserve"> </w:t>
      </w:r>
      <w:r w:rsidRPr="00A70521">
        <w:rPr>
          <w:rFonts w:eastAsia="Times New Roman" w:cs="Times New Roman"/>
          <w:lang w:eastAsia="de-DE"/>
        </w:rPr>
        <w:t xml:space="preserve">(„Priestertum, priesterliches Amt"), </w:t>
      </w:r>
      <w:r w:rsidRPr="00A70521">
        <w:rPr>
          <w:rFonts w:eastAsia="Times New Roman" w:cs="Times New Roman"/>
          <w:b/>
          <w:bCs/>
          <w:rtl/>
          <w:lang w:eastAsia="de-DE"/>
        </w:rPr>
        <w:t>עוֹלָם</w:t>
      </w:r>
      <w:r w:rsidRPr="00A70521">
        <w:rPr>
          <w:rFonts w:eastAsia="Times New Roman" w:cs="Times New Roman"/>
          <w:rtl/>
          <w:lang w:eastAsia="de-DE"/>
        </w:rPr>
        <w:t xml:space="preserve"> </w:t>
      </w:r>
      <w:r w:rsidRPr="00A70521">
        <w:rPr>
          <w:rFonts w:eastAsia="Times New Roman" w:cs="Times New Roman"/>
          <w:lang w:eastAsia="de-DE"/>
        </w:rPr>
        <w:t xml:space="preserve">(„Ewigkeit, für immer") im Genitiv. Die </w:t>
      </w:r>
      <w:r w:rsidR="00F133EC">
        <w:rPr>
          <w:rFonts w:eastAsia="Times New Roman" w:cs="Times New Roman"/>
          <w:lang w:eastAsia="de-DE"/>
        </w:rPr>
        <w:t>Construct</w:t>
      </w:r>
      <w:r w:rsidRPr="00A70521">
        <w:rPr>
          <w:rFonts w:eastAsia="Times New Roman" w:cs="Times New Roman"/>
          <w:lang w:eastAsia="de-DE"/>
        </w:rPr>
        <w:t xml:space="preserve">ion </w:t>
      </w:r>
      <w:r w:rsidRPr="00A70521">
        <w:rPr>
          <w:rFonts w:eastAsia="Times New Roman" w:cs="Times New Roman"/>
          <w:b/>
          <w:bCs/>
          <w:rtl/>
          <w:lang w:eastAsia="de-DE"/>
        </w:rPr>
        <w:t>בְּרִית כְּהֻנַּת עוֹלָם</w:t>
      </w:r>
      <w:r w:rsidRPr="00A70521">
        <w:rPr>
          <w:rFonts w:eastAsia="Times New Roman" w:cs="Times New Roman"/>
          <w:rtl/>
          <w:lang w:eastAsia="de-DE"/>
        </w:rPr>
        <w:t xml:space="preserve"> </w:t>
      </w:r>
      <w:r w:rsidRPr="00A70521">
        <w:rPr>
          <w:rFonts w:eastAsia="Times New Roman" w:cs="Times New Roman"/>
          <w:lang w:eastAsia="de-DE"/>
        </w:rPr>
        <w:t>(„Bund ewigen Priestertums") garantiert Pinehas und seinen Nachkommen das Hohepriesteramt für alle Generationen. Historisch wurde diese Verheißung erfüllt: Die Linie des Pinehas dominierte das Hohepriesteramt bis zur Zerstörung des zweiten Tempels (vgl. 1 Chr 6,35-38; Esr 7,1-5).</w:t>
      </w:r>
    </w:p>
    <w:p w14:paraId="142693C9"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rtl/>
          <w:lang w:eastAsia="de-DE"/>
        </w:rPr>
        <w:t>תַּחַת אֲשֶׁר קִנֵּא לֵאלֹהָיו</w:t>
      </w:r>
      <w:r w:rsidRPr="00A70521">
        <w:rPr>
          <w:rFonts w:eastAsia="Times New Roman" w:cs="Times New Roman"/>
          <w:rtl/>
          <w:lang w:eastAsia="de-DE"/>
        </w:rPr>
        <w:t xml:space="preserve"> </w:t>
      </w:r>
      <w:r w:rsidRPr="00A70521">
        <w:rPr>
          <w:rFonts w:eastAsia="Times New Roman" w:cs="Times New Roman"/>
          <w:lang w:eastAsia="de-DE"/>
        </w:rPr>
        <w:t xml:space="preserve">gibt die Begründung an. </w:t>
      </w:r>
      <w:r w:rsidRPr="00A70521">
        <w:rPr>
          <w:rFonts w:eastAsia="Times New Roman" w:cs="Times New Roman"/>
          <w:b/>
          <w:bCs/>
          <w:rtl/>
          <w:lang w:eastAsia="de-DE"/>
        </w:rPr>
        <w:t>תַּחַת</w:t>
      </w:r>
      <w:r w:rsidRPr="00A70521">
        <w:rPr>
          <w:rFonts w:eastAsia="Times New Roman" w:cs="Times New Roman"/>
          <w:rtl/>
          <w:lang w:eastAsia="de-DE"/>
        </w:rPr>
        <w:t xml:space="preserve"> </w:t>
      </w:r>
      <w:r w:rsidRPr="00A70521">
        <w:rPr>
          <w:rFonts w:eastAsia="Times New Roman" w:cs="Times New Roman"/>
          <w:lang w:eastAsia="de-DE"/>
        </w:rPr>
        <w:t xml:space="preserve">ist die kausale Präposition („weil, dafür dass, anstelle von"). </w:t>
      </w:r>
      <w:r w:rsidRPr="00A70521">
        <w:rPr>
          <w:rFonts w:eastAsia="Times New Roman" w:cs="Times New Roman"/>
          <w:b/>
          <w:bCs/>
          <w:rtl/>
          <w:lang w:eastAsia="de-DE"/>
        </w:rPr>
        <w:t>אֲשֶׁר</w:t>
      </w:r>
      <w:r w:rsidRPr="00A70521">
        <w:rPr>
          <w:rFonts w:eastAsia="Times New Roman" w:cs="Times New Roman"/>
          <w:rtl/>
          <w:lang w:eastAsia="de-DE"/>
        </w:rPr>
        <w:t xml:space="preserve"> </w:t>
      </w:r>
      <w:r w:rsidRPr="00A70521">
        <w:rPr>
          <w:rFonts w:eastAsia="Times New Roman" w:cs="Times New Roman"/>
          <w:lang w:eastAsia="de-DE"/>
        </w:rPr>
        <w:t xml:space="preserve">ist die Konjunktion („dass"), </w:t>
      </w:r>
      <w:r w:rsidRPr="00A70521">
        <w:rPr>
          <w:rFonts w:eastAsia="Times New Roman" w:cs="Times New Roman"/>
          <w:b/>
          <w:bCs/>
          <w:rtl/>
          <w:lang w:eastAsia="de-DE"/>
        </w:rPr>
        <w:t>קִנֵּא</w:t>
      </w:r>
      <w:r w:rsidRPr="00A70521">
        <w:rPr>
          <w:rFonts w:eastAsia="Times New Roman" w:cs="Times New Roman"/>
          <w:rtl/>
          <w:lang w:eastAsia="de-DE"/>
        </w:rPr>
        <w:t xml:space="preserve"> </w:t>
      </w:r>
      <w:r w:rsidRPr="00A70521">
        <w:rPr>
          <w:rFonts w:eastAsia="Times New Roman" w:cs="Times New Roman"/>
          <w:lang w:eastAsia="de-DE"/>
        </w:rPr>
        <w:t xml:space="preserve">ist Piel Perfekt 3. Person maskulin </w:t>
      </w:r>
      <w:r w:rsidRPr="00A70521">
        <w:rPr>
          <w:rFonts w:eastAsia="Times New Roman" w:cs="Times New Roman"/>
          <w:lang w:eastAsia="de-DE"/>
        </w:rPr>
        <w:lastRenderedPageBreak/>
        <w:t xml:space="preserve">Singular von </w:t>
      </w:r>
      <w:r w:rsidRPr="00A70521">
        <w:rPr>
          <w:rFonts w:eastAsia="Times New Roman" w:cs="Times New Roman"/>
          <w:b/>
          <w:bCs/>
          <w:rtl/>
          <w:lang w:eastAsia="de-DE"/>
        </w:rPr>
        <w:t>קנא</w:t>
      </w:r>
      <w:r w:rsidRPr="00A70521">
        <w:rPr>
          <w:rFonts w:eastAsia="Times New Roman" w:cs="Times New Roman"/>
          <w:rtl/>
          <w:lang w:eastAsia="de-DE"/>
        </w:rPr>
        <w:t xml:space="preserve"> </w:t>
      </w:r>
      <w:r w:rsidRPr="00A70521">
        <w:rPr>
          <w:rFonts w:eastAsia="Times New Roman" w:cs="Times New Roman"/>
          <w:lang w:eastAsia="de-DE"/>
        </w:rPr>
        <w:t xml:space="preserve">(„eifern"), </w:t>
      </w:r>
      <w:r w:rsidRPr="00A70521">
        <w:rPr>
          <w:rFonts w:eastAsia="Times New Roman" w:cs="Times New Roman"/>
          <w:b/>
          <w:bCs/>
          <w:rtl/>
          <w:lang w:eastAsia="de-DE"/>
        </w:rPr>
        <w:t>לֵאלֹהָיו</w:t>
      </w:r>
      <w:r w:rsidRPr="00A70521">
        <w:rPr>
          <w:rFonts w:eastAsia="Times New Roman" w:cs="Times New Roman"/>
          <w:rtl/>
          <w:lang w:eastAsia="de-DE"/>
        </w:rPr>
        <w:t xml:space="preserve"> </w:t>
      </w:r>
      <w:r w:rsidRPr="00A70521">
        <w:rPr>
          <w:rFonts w:eastAsia="Times New Roman" w:cs="Times New Roman"/>
          <w:lang w:eastAsia="de-DE"/>
        </w:rPr>
        <w:t xml:space="preserve">(Präposition </w:t>
      </w:r>
      <w:r w:rsidRPr="00A70521">
        <w:rPr>
          <w:rFonts w:eastAsia="Times New Roman" w:cs="Times New Roman"/>
          <w:b/>
          <w:bCs/>
          <w:rtl/>
          <w:lang w:eastAsia="de-DE"/>
        </w:rPr>
        <w:t>לְ</w:t>
      </w:r>
      <w:r w:rsidRPr="00A70521">
        <w:rPr>
          <w:rFonts w:eastAsia="Times New Roman" w:cs="Times New Roman"/>
          <w:rtl/>
          <w:lang w:eastAsia="de-DE"/>
        </w:rPr>
        <w:t xml:space="preserve"> </w:t>
      </w:r>
      <w:r w:rsidRPr="00A70521">
        <w:rPr>
          <w:rFonts w:eastAsia="Times New Roman" w:cs="Times New Roman"/>
          <w:lang w:eastAsia="de-DE"/>
        </w:rPr>
        <w:t xml:space="preserve">mit </w:t>
      </w:r>
      <w:r w:rsidRPr="00A70521">
        <w:rPr>
          <w:rFonts w:eastAsia="Times New Roman" w:cs="Times New Roman"/>
          <w:b/>
          <w:bCs/>
          <w:rtl/>
          <w:lang w:eastAsia="de-DE"/>
        </w:rPr>
        <w:t>אֱלֹהִים</w:t>
      </w:r>
      <w:r w:rsidRPr="00A70521">
        <w:rPr>
          <w:rFonts w:eastAsia="Times New Roman" w:cs="Times New Roman"/>
          <w:rtl/>
          <w:lang w:eastAsia="de-DE"/>
        </w:rPr>
        <w:t xml:space="preserve"> </w:t>
      </w:r>
      <w:r w:rsidRPr="00A70521">
        <w:rPr>
          <w:rFonts w:eastAsia="Times New Roman" w:cs="Times New Roman"/>
          <w:lang w:eastAsia="de-DE"/>
        </w:rPr>
        <w:t xml:space="preserve">„Gott" und Suffix 3. Person maskulin Singular „für seinen Gott"). Das Eifern </w:t>
      </w:r>
      <w:r w:rsidRPr="00A70521">
        <w:rPr>
          <w:rFonts w:eastAsia="Times New Roman" w:cs="Times New Roman"/>
          <w:b/>
          <w:bCs/>
          <w:rtl/>
          <w:lang w:eastAsia="de-DE"/>
        </w:rPr>
        <w:t>לְ</w:t>
      </w:r>
      <w:r w:rsidRPr="00A70521">
        <w:rPr>
          <w:rFonts w:eastAsia="Times New Roman" w:cs="Times New Roman"/>
          <w:rtl/>
          <w:lang w:eastAsia="de-DE"/>
        </w:rPr>
        <w:t xml:space="preserve"> </w:t>
      </w:r>
      <w:r w:rsidRPr="00A70521">
        <w:rPr>
          <w:rFonts w:eastAsia="Times New Roman" w:cs="Times New Roman"/>
          <w:lang w:eastAsia="de-DE"/>
        </w:rPr>
        <w:t>bedeutet „für jemanden eifern, für jemandes Interessen eintreten". Die Formulierung betont, dass Pinehas nicht aus persönlicher Rache, sondern aus Hingabe an Gott handelte.</w:t>
      </w:r>
    </w:p>
    <w:p w14:paraId="27004410"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rtl/>
          <w:lang w:eastAsia="de-DE"/>
        </w:rPr>
        <w:t>וַיְכַפֵּר עַל־בְּנֵי יִשְׂרָאֵל</w:t>
      </w:r>
      <w:r w:rsidRPr="00A70521">
        <w:rPr>
          <w:rFonts w:eastAsia="Times New Roman" w:cs="Times New Roman"/>
          <w:rtl/>
          <w:lang w:eastAsia="de-DE"/>
        </w:rPr>
        <w:t xml:space="preserve"> </w:t>
      </w:r>
      <w:r w:rsidRPr="00A70521">
        <w:rPr>
          <w:rFonts w:eastAsia="Times New Roman" w:cs="Times New Roman"/>
          <w:lang w:eastAsia="de-DE"/>
        </w:rPr>
        <w:t xml:space="preserve">ist die zweite Begründung. </w:t>
      </w:r>
      <w:r w:rsidRPr="00A70521">
        <w:rPr>
          <w:rFonts w:eastAsia="Times New Roman" w:cs="Times New Roman"/>
          <w:b/>
          <w:bCs/>
          <w:rtl/>
          <w:lang w:eastAsia="de-DE"/>
        </w:rPr>
        <w:t>וַיְכַפֵּר</w:t>
      </w:r>
      <w:r w:rsidRPr="00A70521">
        <w:rPr>
          <w:rFonts w:eastAsia="Times New Roman" w:cs="Times New Roman"/>
          <w:rtl/>
          <w:lang w:eastAsia="de-DE"/>
        </w:rPr>
        <w:t xml:space="preserve"> </w:t>
      </w:r>
      <w:r w:rsidRPr="00A70521">
        <w:rPr>
          <w:rFonts w:eastAsia="Times New Roman" w:cs="Times New Roman"/>
          <w:lang w:eastAsia="de-DE"/>
        </w:rPr>
        <w:t xml:space="preserve">ist Piel Wayyiqtol (oder Perfekt) 3. Person maskulin Singular von </w:t>
      </w:r>
      <w:r w:rsidRPr="00A70521">
        <w:rPr>
          <w:rFonts w:eastAsia="Times New Roman" w:cs="Times New Roman"/>
          <w:b/>
          <w:bCs/>
          <w:rtl/>
          <w:lang w:eastAsia="de-DE"/>
        </w:rPr>
        <w:t>כפר</w:t>
      </w:r>
      <w:r w:rsidRPr="00A70521">
        <w:rPr>
          <w:rFonts w:eastAsia="Times New Roman" w:cs="Times New Roman"/>
          <w:rtl/>
          <w:lang w:eastAsia="de-DE"/>
        </w:rPr>
        <w:t xml:space="preserve"> </w:t>
      </w:r>
      <w:r w:rsidRPr="00A70521">
        <w:rPr>
          <w:rFonts w:eastAsia="Times New Roman" w:cs="Times New Roman"/>
          <w:lang w:eastAsia="de-DE"/>
        </w:rPr>
        <w:t xml:space="preserve">(„sühnen, Sühne schaffen"). Das Piel von </w:t>
      </w:r>
      <w:r w:rsidRPr="00A70521">
        <w:rPr>
          <w:rFonts w:eastAsia="Times New Roman" w:cs="Times New Roman"/>
          <w:b/>
          <w:bCs/>
          <w:rtl/>
          <w:lang w:eastAsia="de-DE"/>
        </w:rPr>
        <w:t>כפר</w:t>
      </w:r>
      <w:r w:rsidRPr="00A70521">
        <w:rPr>
          <w:rFonts w:eastAsia="Times New Roman" w:cs="Times New Roman"/>
          <w:rtl/>
          <w:lang w:eastAsia="de-DE"/>
        </w:rPr>
        <w:t xml:space="preserve"> </w:t>
      </w:r>
      <w:r w:rsidRPr="00A70521">
        <w:rPr>
          <w:rFonts w:eastAsia="Times New Roman" w:cs="Times New Roman"/>
          <w:lang w:eastAsia="de-DE"/>
        </w:rPr>
        <w:t xml:space="preserve">ist der zentrale kultische Terminus für priesterliche Sühnhandlungen, die Sünde bedecken oder abwischen und die Beziehung zwischen Gott und Mensch wiederherstellen. </w:t>
      </w:r>
      <w:r w:rsidRPr="00A70521">
        <w:rPr>
          <w:rFonts w:eastAsia="Times New Roman" w:cs="Times New Roman"/>
          <w:b/>
          <w:bCs/>
          <w:rtl/>
          <w:lang w:eastAsia="de-DE"/>
        </w:rPr>
        <w:t>עַל־בְּנֵי יִשְׂרָאֵל</w:t>
      </w:r>
      <w:r w:rsidRPr="00A70521">
        <w:rPr>
          <w:rFonts w:eastAsia="Times New Roman" w:cs="Times New Roman"/>
          <w:rtl/>
          <w:lang w:eastAsia="de-DE"/>
        </w:rPr>
        <w:t xml:space="preserve"> </w:t>
      </w:r>
      <w:r w:rsidRPr="00A70521">
        <w:rPr>
          <w:rFonts w:eastAsia="Times New Roman" w:cs="Times New Roman"/>
          <w:lang w:eastAsia="de-DE"/>
        </w:rPr>
        <w:t xml:space="preserve">(Präposition </w:t>
      </w:r>
      <w:r w:rsidRPr="00A70521">
        <w:rPr>
          <w:rFonts w:eastAsia="Times New Roman" w:cs="Times New Roman"/>
          <w:b/>
          <w:bCs/>
          <w:rtl/>
          <w:lang w:eastAsia="de-DE"/>
        </w:rPr>
        <w:t>עַל</w:t>
      </w:r>
      <w:r w:rsidRPr="00A70521">
        <w:rPr>
          <w:rFonts w:eastAsia="Times New Roman" w:cs="Times New Roman"/>
          <w:rtl/>
          <w:lang w:eastAsia="de-DE"/>
        </w:rPr>
        <w:t xml:space="preserve"> </w:t>
      </w:r>
      <w:r w:rsidRPr="00A70521">
        <w:rPr>
          <w:rFonts w:eastAsia="Times New Roman" w:cs="Times New Roman"/>
          <w:lang w:eastAsia="de-DE"/>
        </w:rPr>
        <w:t xml:space="preserve">„für" mit </w:t>
      </w:r>
      <w:r w:rsidRPr="00A70521">
        <w:rPr>
          <w:rFonts w:eastAsia="Times New Roman" w:cs="Times New Roman"/>
          <w:b/>
          <w:bCs/>
          <w:rtl/>
          <w:lang w:eastAsia="de-DE"/>
        </w:rPr>
        <w:t>בְּנֵי יִשְׂרָאֵל</w:t>
      </w:r>
      <w:r w:rsidRPr="00A70521">
        <w:rPr>
          <w:rFonts w:eastAsia="Times New Roman" w:cs="Times New Roman"/>
          <w:lang w:eastAsia="de-DE"/>
        </w:rPr>
        <w:t>) gibt den Nutznießer der Sühne an. Pinehas' Tat wird hier theologisch als priesterliche Sühnhandlung interpretiert, die das ganze Volk vor der Vernichtung rettete.</w:t>
      </w:r>
    </w:p>
    <w:p w14:paraId="503FF393"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Die LXX</w:t>
      </w:r>
      <w:r w:rsidRPr="00A70521">
        <w:rPr>
          <w:rFonts w:eastAsia="Times New Roman" w:cs="Times New Roman"/>
          <w:lang w:eastAsia="de-DE"/>
        </w:rPr>
        <w:t xml:space="preserve"> übersetzt </w:t>
      </w:r>
      <w:r w:rsidRPr="00A70521">
        <w:rPr>
          <w:rFonts w:eastAsia="Times New Roman" w:cs="Times New Roman"/>
          <w:b/>
          <w:bCs/>
          <w:rtl/>
          <w:lang w:eastAsia="de-DE"/>
        </w:rPr>
        <w:t>כְּהֻנַּת עוֹלָם</w:t>
      </w:r>
      <w:r w:rsidRPr="00A70521">
        <w:rPr>
          <w:rFonts w:eastAsia="Times New Roman" w:cs="Times New Roman"/>
          <w:rtl/>
          <w:lang w:eastAsia="de-DE"/>
        </w:rPr>
        <w:t xml:space="preserve"> </w:t>
      </w:r>
      <w:r w:rsidRPr="00A70521">
        <w:rPr>
          <w:rFonts w:eastAsia="Times New Roman" w:cs="Times New Roman"/>
          <w:lang w:eastAsia="de-DE"/>
        </w:rPr>
        <w:t xml:space="preserve">mit ἱερατείας αἰωνίας („ewiges Priestertum"), eine präzise Wiedergabe. Bei </w:t>
      </w:r>
      <w:r w:rsidRPr="00A70521">
        <w:rPr>
          <w:rFonts w:eastAsia="Times New Roman" w:cs="Times New Roman"/>
          <w:b/>
          <w:bCs/>
          <w:rtl/>
          <w:lang w:eastAsia="de-DE"/>
        </w:rPr>
        <w:t>קִנֵּא</w:t>
      </w:r>
      <w:r w:rsidRPr="00A70521">
        <w:rPr>
          <w:rFonts w:eastAsia="Times New Roman" w:cs="Times New Roman"/>
          <w:rtl/>
          <w:lang w:eastAsia="de-DE"/>
        </w:rPr>
        <w:t xml:space="preserve"> </w:t>
      </w:r>
      <w:r w:rsidRPr="00A70521">
        <w:rPr>
          <w:rFonts w:eastAsia="Times New Roman" w:cs="Times New Roman"/>
          <w:lang w:eastAsia="de-DE"/>
        </w:rPr>
        <w:t xml:space="preserve">verwendet die LXX ἐζήλωσεν („er eiferte"), und bei </w:t>
      </w:r>
      <w:r w:rsidRPr="00A70521">
        <w:rPr>
          <w:rFonts w:eastAsia="Times New Roman" w:cs="Times New Roman"/>
          <w:b/>
          <w:bCs/>
          <w:rtl/>
          <w:lang w:eastAsia="de-DE"/>
        </w:rPr>
        <w:t>וַיְכַפֵּר</w:t>
      </w:r>
      <w:r w:rsidRPr="00A70521">
        <w:rPr>
          <w:rFonts w:eastAsia="Times New Roman" w:cs="Times New Roman"/>
          <w:rtl/>
          <w:lang w:eastAsia="de-DE"/>
        </w:rPr>
        <w:t xml:space="preserve"> </w:t>
      </w:r>
      <w:r w:rsidRPr="00A70521">
        <w:rPr>
          <w:rFonts w:eastAsia="Times New Roman" w:cs="Times New Roman"/>
          <w:lang w:eastAsia="de-DE"/>
        </w:rPr>
        <w:t>ἐξιλάσατο („er sühnte, versöhnte"), das standard-griechische Äquivalent für kultische Sühne.</w:t>
      </w:r>
    </w:p>
    <w:p w14:paraId="40703F78"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Die Satzstruktur zeigt einen Hauptsatz mit Kopula (es wird sein ein Bund), erweitert durch Dativ-Ergänzungen (für ihn und seine Nachkommen) und Apposition (ein Bund ewigen Priestertums), gefolgt von zwei kausalen Nebensätzen, die die Begründung geben (weil er eiferte, weil er sühnte).</w:t>
      </w:r>
    </w:p>
    <w:p w14:paraId="2D3FBC1B" w14:textId="34886071" w:rsid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Der Vers enthält die theologische Schlüsselaussage: Pinehas' gewaltsame Tat wird als legitime priesterliche Sühnhandlung interpretiert. Der ewige Priesterbund ist die Belohnung für seinen Eifer. Die Verbindung von Eifer und Sühne ist bedeutsam: Wahre Sühne erfordert kompromisslosen Einsatz für Gottes Heiligkeit. Der Vers etabliert eine theologische Rechtfertigung für religiösen Eifer und zeigt, dass priesterliches Handeln manchmal drastische Maßnahmen zum Schutz der Heiligkeit erfordert. Die dynastische Dimension sichert die priesterliche Kontinuität in Pinehas' Familie.</w:t>
      </w:r>
    </w:p>
    <w:p w14:paraId="202769CB" w14:textId="77777777" w:rsidR="00EC0221" w:rsidRDefault="00EC0221" w:rsidP="00EC0221">
      <w:pPr>
        <w:pStyle w:val="font-claude-response-body"/>
      </w:pPr>
      <w:r>
        <w:rPr>
          <w:rStyle w:val="Fett"/>
        </w:rPr>
        <w:t>Theologische Reflexion: Eifer im NT:</w:t>
      </w:r>
    </w:p>
    <w:p w14:paraId="23124F77" w14:textId="77777777" w:rsidR="00EC0221" w:rsidRDefault="00EC0221" w:rsidP="00EC0221">
      <w:pPr>
        <w:pStyle w:val="font-claude-response-body"/>
      </w:pPr>
      <w:r>
        <w:rPr>
          <w:rStyle w:val="Fett"/>
        </w:rPr>
        <w:t>Positiv:</w:t>
      </w:r>
    </w:p>
    <w:p w14:paraId="107F3CFC" w14:textId="77777777" w:rsidR="00EC0221" w:rsidRDefault="00EC0221" w:rsidP="00F329DD">
      <w:pPr>
        <w:pStyle w:val="whitespace-normal"/>
        <w:numPr>
          <w:ilvl w:val="0"/>
          <w:numId w:val="263"/>
        </w:numPr>
      </w:pPr>
      <w:r>
        <w:rPr>
          <w:rStyle w:val="Fett"/>
        </w:rPr>
        <w:t>Johannes 2,17:</w:t>
      </w:r>
      <w:r>
        <w:t xml:space="preserve"> "Der Eifer um dein Haus wird mich verzehren" - Jesus' Tempelreinigung</w:t>
      </w:r>
    </w:p>
    <w:p w14:paraId="7C533E39" w14:textId="77777777" w:rsidR="00EC0221" w:rsidRDefault="00EC0221" w:rsidP="00F329DD">
      <w:pPr>
        <w:pStyle w:val="whitespace-normal"/>
        <w:numPr>
          <w:ilvl w:val="0"/>
          <w:numId w:val="263"/>
        </w:numPr>
      </w:pPr>
      <w:r>
        <w:rPr>
          <w:rStyle w:val="Fett"/>
        </w:rPr>
        <w:t>Römer 10,2:</w:t>
      </w:r>
      <w:r>
        <w:t xml:space="preserve"> "Sie haben Eifer für Gott" (über Israel)</w:t>
      </w:r>
    </w:p>
    <w:p w14:paraId="20871721" w14:textId="77777777" w:rsidR="00EC0221" w:rsidRDefault="00EC0221" w:rsidP="00EC0221">
      <w:pPr>
        <w:pStyle w:val="font-claude-response-body"/>
      </w:pPr>
      <w:r>
        <w:rPr>
          <w:rStyle w:val="Fett"/>
        </w:rPr>
        <w:t>Problematisch:</w:t>
      </w:r>
    </w:p>
    <w:p w14:paraId="798F21BB" w14:textId="77777777" w:rsidR="00EC0221" w:rsidRDefault="00EC0221" w:rsidP="00F329DD">
      <w:pPr>
        <w:pStyle w:val="whitespace-normal"/>
        <w:numPr>
          <w:ilvl w:val="0"/>
          <w:numId w:val="264"/>
        </w:numPr>
      </w:pPr>
      <w:r>
        <w:rPr>
          <w:rStyle w:val="Fett"/>
        </w:rPr>
        <w:t>Galater 1,14:</w:t>
      </w:r>
      <w:r>
        <w:t xml:space="preserve"> Paulus' früherer "Eifer für die Überlieferungen"</w:t>
      </w:r>
    </w:p>
    <w:p w14:paraId="030DED7C" w14:textId="77777777" w:rsidR="00EC0221" w:rsidRDefault="00EC0221" w:rsidP="00F329DD">
      <w:pPr>
        <w:pStyle w:val="whitespace-normal"/>
        <w:numPr>
          <w:ilvl w:val="0"/>
          <w:numId w:val="264"/>
        </w:numPr>
      </w:pPr>
      <w:r>
        <w:rPr>
          <w:rStyle w:val="Fett"/>
        </w:rPr>
        <w:t>Philipper 3,6:</w:t>
      </w:r>
      <w:r>
        <w:t xml:space="preserve"> "was den Eifer betrifft, ein Verfolger der Gemeinde"</w:t>
      </w:r>
    </w:p>
    <w:p w14:paraId="485C6CE9" w14:textId="77777777" w:rsidR="00EC0221" w:rsidRDefault="00EC0221" w:rsidP="00EC0221">
      <w:pPr>
        <w:pStyle w:val="font-claude-response-body"/>
      </w:pPr>
      <w:r>
        <w:t xml:space="preserve">→ Das NT unterscheidet zwischen </w:t>
      </w:r>
      <w:r>
        <w:rPr>
          <w:rStyle w:val="Fett"/>
        </w:rPr>
        <w:t>rechtem Eifer</w:t>
      </w:r>
      <w:r>
        <w:t xml:space="preserve"> (für Gottes Ehre, wie Pinehas) und </w:t>
      </w:r>
      <w:r>
        <w:rPr>
          <w:rStyle w:val="Fett"/>
        </w:rPr>
        <w:t>falschem Eifer</w:t>
      </w:r>
      <w:r>
        <w:t xml:space="preserve"> (religiöser Fanatismus)</w:t>
      </w:r>
    </w:p>
    <w:p w14:paraId="1CCB0FB3" w14:textId="77777777" w:rsidR="00EC0221" w:rsidRDefault="00EC0221" w:rsidP="00EC0221">
      <w:pPr>
        <w:pStyle w:val="font-claude-response-body"/>
      </w:pPr>
      <w:r>
        <w:rPr>
          <w:rStyle w:val="Fett"/>
        </w:rPr>
        <w:t>Christologische Perspektive:</w:t>
      </w:r>
    </w:p>
    <w:p w14:paraId="35260378" w14:textId="77777777" w:rsidR="00EC0221" w:rsidRDefault="00EC0221" w:rsidP="00F329DD">
      <w:pPr>
        <w:pStyle w:val="whitespace-normal"/>
        <w:numPr>
          <w:ilvl w:val="0"/>
          <w:numId w:val="265"/>
        </w:numPr>
      </w:pPr>
      <w:r>
        <w:t xml:space="preserve">Pinehas' Sühnehandlung ist </w:t>
      </w:r>
      <w:r>
        <w:rPr>
          <w:rStyle w:val="Fett"/>
        </w:rPr>
        <w:t>typologisch</w:t>
      </w:r>
      <w:r>
        <w:t>: Ein Mensch sühnt stellvertretend für das Volk</w:t>
      </w:r>
    </w:p>
    <w:p w14:paraId="6EE89C39" w14:textId="0462F631" w:rsidR="00EC0221" w:rsidRPr="008D6149" w:rsidRDefault="00EC0221" w:rsidP="00F329DD">
      <w:pPr>
        <w:pStyle w:val="whitespace-normal"/>
        <w:numPr>
          <w:ilvl w:val="0"/>
          <w:numId w:val="265"/>
        </w:numPr>
      </w:pPr>
      <w:r>
        <w:t xml:space="preserve">Erfüllung in Christus: </w:t>
      </w:r>
      <w:r>
        <w:rPr>
          <w:rStyle w:val="Fett"/>
        </w:rPr>
        <w:t>Ein für alle Mal</w:t>
      </w:r>
      <w:r>
        <w:t xml:space="preserve"> (Hebr 9,12.26)</w:t>
      </w:r>
    </w:p>
    <w:p w14:paraId="012025AA" w14:textId="77777777" w:rsidR="00A70521" w:rsidRPr="00A70521" w:rsidRDefault="00A70521" w:rsidP="00A70521">
      <w:pPr>
        <w:spacing w:before="100" w:beforeAutospacing="1" w:after="100" w:afterAutospacing="1" w:line="240" w:lineRule="auto"/>
        <w:outlineLvl w:val="0"/>
        <w:rPr>
          <w:rFonts w:eastAsia="Times New Roman" w:cs="Times New Roman"/>
          <w:b/>
          <w:bCs/>
          <w:kern w:val="36"/>
          <w:sz w:val="48"/>
          <w:szCs w:val="48"/>
          <w:lang w:eastAsia="de-DE"/>
        </w:rPr>
      </w:pPr>
      <w:r w:rsidRPr="00A70521">
        <w:rPr>
          <w:rFonts w:eastAsia="Times New Roman" w:cs="Times New Roman"/>
          <w:b/>
          <w:bCs/>
          <w:kern w:val="36"/>
          <w:sz w:val="48"/>
          <w:szCs w:val="48"/>
          <w:lang w:eastAsia="de-DE"/>
        </w:rPr>
        <w:lastRenderedPageBreak/>
        <w:t>Numeri 25,14</w:t>
      </w:r>
    </w:p>
    <w:p w14:paraId="495193AB"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Hebräisch:</w:t>
      </w:r>
      <w:r w:rsidRPr="00A70521">
        <w:rPr>
          <w:rFonts w:eastAsia="Times New Roman" w:cs="Times New Roman"/>
          <w:lang w:eastAsia="de-DE"/>
        </w:rPr>
        <w:t xml:space="preserve"> </w:t>
      </w:r>
      <w:r w:rsidRPr="00A70521">
        <w:rPr>
          <w:rFonts w:eastAsia="Times New Roman" w:cs="Times New Roman"/>
          <w:rtl/>
          <w:lang w:eastAsia="de-DE"/>
        </w:rPr>
        <w:t>וְשֵׁם֩ אִ֨ישׁ יִשְׂרָאֵ֜ל הַמֻּכֶּ֗ה אֲשֶׁ֤ר הֻכָּה֙ אֶת־הַמִּדְיָנִ֔ית זִמְרִ֖י בֶּן־סָל֑וּא נְשִׂ֥יא בֵֽית־אָ֖ב לַשִּׁמְעֹנִֽי׃</w:t>
      </w:r>
    </w:p>
    <w:p w14:paraId="599AE7B4"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Deutsch:</w:t>
      </w:r>
      <w:r w:rsidRPr="00A70521">
        <w:rPr>
          <w:rFonts w:eastAsia="Times New Roman" w:cs="Times New Roman"/>
          <w:lang w:eastAsia="de-DE"/>
        </w:rPr>
        <w:t xml:space="preserve"> Und der Name des erschlagenen Mannes Jisra'els, der mit der Midjanit erschlagen wurde, war Simri, der Sohn Salus, ein Fürst eines Vaterhauses des Schim'oni.</w:t>
      </w:r>
    </w:p>
    <w:p w14:paraId="26B7CEDE" w14:textId="77777777" w:rsidR="00A70521" w:rsidRPr="00A70521" w:rsidRDefault="00F329DD" w:rsidP="00A70521">
      <w:pPr>
        <w:spacing w:after="0" w:line="240" w:lineRule="auto"/>
        <w:rPr>
          <w:rFonts w:eastAsia="Times New Roman" w:cs="Times New Roman"/>
          <w:lang w:eastAsia="de-DE"/>
        </w:rPr>
      </w:pPr>
      <w:r>
        <w:rPr>
          <w:rFonts w:eastAsia="Times New Roman" w:cs="Times New Roman"/>
          <w:noProof/>
          <w:lang w:eastAsia="de-DE"/>
        </w:rPr>
        <w:pict w14:anchorId="5D81F071">
          <v:rect id="_x0000_i1865" style="width:0;height:1.5pt" o:hralign="center" o:hrstd="t" o:hr="t" fillcolor="#a0a0a0" stroked="f"/>
        </w:pict>
      </w:r>
    </w:p>
    <w:p w14:paraId="7487D264"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Kommentar:</w:t>
      </w:r>
      <w:r w:rsidRPr="00A70521">
        <w:rPr>
          <w:rFonts w:eastAsia="Times New Roman" w:cs="Times New Roman"/>
          <w:lang w:eastAsia="de-DE"/>
        </w:rPr>
        <w:t xml:space="preserve"> Der Vers identifiziert nachträglich den getöteten Israeliten. </w:t>
      </w:r>
      <w:r w:rsidRPr="00A70521">
        <w:rPr>
          <w:rFonts w:eastAsia="Times New Roman" w:cs="Times New Roman"/>
          <w:b/>
          <w:bCs/>
          <w:rtl/>
          <w:lang w:eastAsia="de-DE"/>
        </w:rPr>
        <w:t>וְשֵׁם אִישׁ יִשְׂרָאֵל הַמֻּכֶּה</w:t>
      </w:r>
      <w:r w:rsidRPr="00A70521">
        <w:rPr>
          <w:rFonts w:eastAsia="Times New Roman" w:cs="Times New Roman"/>
          <w:rtl/>
          <w:lang w:eastAsia="de-DE"/>
        </w:rPr>
        <w:t xml:space="preserve"> </w:t>
      </w:r>
      <w:r w:rsidRPr="00A70521">
        <w:rPr>
          <w:rFonts w:eastAsia="Times New Roman" w:cs="Times New Roman"/>
          <w:lang w:eastAsia="de-DE"/>
        </w:rPr>
        <w:t xml:space="preserve">ist das Subjekt. </w:t>
      </w:r>
      <w:r w:rsidRPr="00A70521">
        <w:rPr>
          <w:rFonts w:eastAsia="Times New Roman" w:cs="Times New Roman"/>
          <w:b/>
          <w:bCs/>
          <w:rtl/>
          <w:lang w:eastAsia="de-DE"/>
        </w:rPr>
        <w:t>וְשֵׁם</w:t>
      </w:r>
      <w:r w:rsidRPr="00A70521">
        <w:rPr>
          <w:rFonts w:eastAsia="Times New Roman" w:cs="Times New Roman"/>
          <w:rtl/>
          <w:lang w:eastAsia="de-DE"/>
        </w:rPr>
        <w:t xml:space="preserve"> </w:t>
      </w:r>
      <w:r w:rsidRPr="00A70521">
        <w:rPr>
          <w:rFonts w:eastAsia="Times New Roman" w:cs="Times New Roman"/>
          <w:lang w:eastAsia="de-DE"/>
        </w:rPr>
        <w:t xml:space="preserve">(„und der Name") mit </w:t>
      </w:r>
      <w:r w:rsidRPr="00A70521">
        <w:rPr>
          <w:rFonts w:eastAsia="Times New Roman" w:cs="Times New Roman"/>
          <w:b/>
          <w:bCs/>
          <w:rtl/>
          <w:lang w:eastAsia="de-DE"/>
        </w:rPr>
        <w:t>אִישׁ יִשְׂרָאֵל</w:t>
      </w:r>
      <w:r w:rsidRPr="00A70521">
        <w:rPr>
          <w:rFonts w:eastAsia="Times New Roman" w:cs="Times New Roman"/>
          <w:rtl/>
          <w:lang w:eastAsia="de-DE"/>
        </w:rPr>
        <w:t xml:space="preserve"> </w:t>
      </w:r>
      <w:r w:rsidRPr="00A70521">
        <w:rPr>
          <w:rFonts w:eastAsia="Times New Roman" w:cs="Times New Roman"/>
          <w:lang w:eastAsia="de-DE"/>
        </w:rPr>
        <w:t xml:space="preserve">(„der Mann Israels"), </w:t>
      </w:r>
      <w:r w:rsidRPr="00A70521">
        <w:rPr>
          <w:rFonts w:eastAsia="Times New Roman" w:cs="Times New Roman"/>
          <w:b/>
          <w:bCs/>
          <w:rtl/>
          <w:lang w:eastAsia="de-DE"/>
        </w:rPr>
        <w:t>הַמֻּכֶּה</w:t>
      </w:r>
      <w:r w:rsidRPr="00A70521">
        <w:rPr>
          <w:rFonts w:eastAsia="Times New Roman" w:cs="Times New Roman"/>
          <w:rtl/>
          <w:lang w:eastAsia="de-DE"/>
        </w:rPr>
        <w:t xml:space="preserve"> </w:t>
      </w:r>
      <w:r w:rsidRPr="00A70521">
        <w:rPr>
          <w:rFonts w:eastAsia="Times New Roman" w:cs="Times New Roman"/>
          <w:lang w:eastAsia="de-DE"/>
        </w:rPr>
        <w:t xml:space="preserve">ist Hophal-Partizip maskulin Singular von </w:t>
      </w:r>
      <w:r w:rsidRPr="00A70521">
        <w:rPr>
          <w:rFonts w:eastAsia="Times New Roman" w:cs="Times New Roman"/>
          <w:b/>
          <w:bCs/>
          <w:rtl/>
          <w:lang w:eastAsia="de-DE"/>
        </w:rPr>
        <w:t>נכה</w:t>
      </w:r>
      <w:r w:rsidRPr="00A70521">
        <w:rPr>
          <w:rFonts w:eastAsia="Times New Roman" w:cs="Times New Roman"/>
          <w:rtl/>
          <w:lang w:eastAsia="de-DE"/>
        </w:rPr>
        <w:t xml:space="preserve"> </w:t>
      </w:r>
      <w:r w:rsidRPr="00A70521">
        <w:rPr>
          <w:rFonts w:eastAsia="Times New Roman" w:cs="Times New Roman"/>
          <w:lang w:eastAsia="de-DE"/>
        </w:rPr>
        <w:t xml:space="preserve">(„schlagen, erschlagen"), im Hophal „erschlagen werden, getötet werden" mit Artikel. </w:t>
      </w:r>
      <w:r w:rsidRPr="00A70521">
        <w:rPr>
          <w:rFonts w:eastAsia="Times New Roman" w:cs="Times New Roman"/>
          <w:b/>
          <w:bCs/>
          <w:rtl/>
          <w:lang w:eastAsia="de-DE"/>
        </w:rPr>
        <w:t>אֲשֶׁר הֻכָּה אֶת־הַמִּדְיָנִית</w:t>
      </w:r>
      <w:r w:rsidRPr="00A70521">
        <w:rPr>
          <w:rFonts w:eastAsia="Times New Roman" w:cs="Times New Roman"/>
          <w:rtl/>
          <w:lang w:eastAsia="de-DE"/>
        </w:rPr>
        <w:t xml:space="preserve"> </w:t>
      </w:r>
      <w:r w:rsidRPr="00A70521">
        <w:rPr>
          <w:rFonts w:eastAsia="Times New Roman" w:cs="Times New Roman"/>
          <w:lang w:eastAsia="de-DE"/>
        </w:rPr>
        <w:t xml:space="preserve">ist ein Relativsatz: </w:t>
      </w:r>
      <w:r w:rsidRPr="00A70521">
        <w:rPr>
          <w:rFonts w:eastAsia="Times New Roman" w:cs="Times New Roman"/>
          <w:b/>
          <w:bCs/>
          <w:rtl/>
          <w:lang w:eastAsia="de-DE"/>
        </w:rPr>
        <w:t>אֲשֶׁר</w:t>
      </w:r>
      <w:r w:rsidRPr="00A70521">
        <w:rPr>
          <w:rFonts w:eastAsia="Times New Roman" w:cs="Times New Roman"/>
          <w:rtl/>
          <w:lang w:eastAsia="de-DE"/>
        </w:rPr>
        <w:t xml:space="preserve"> </w:t>
      </w:r>
      <w:r w:rsidRPr="00A70521">
        <w:rPr>
          <w:rFonts w:eastAsia="Times New Roman" w:cs="Times New Roman"/>
          <w:lang w:eastAsia="de-DE"/>
        </w:rPr>
        <w:t xml:space="preserve">(Relativpronomen), </w:t>
      </w:r>
      <w:r w:rsidRPr="00A70521">
        <w:rPr>
          <w:rFonts w:eastAsia="Times New Roman" w:cs="Times New Roman"/>
          <w:b/>
          <w:bCs/>
          <w:rtl/>
          <w:lang w:eastAsia="de-DE"/>
        </w:rPr>
        <w:t>הֻכָּה</w:t>
      </w:r>
      <w:r w:rsidRPr="00A70521">
        <w:rPr>
          <w:rFonts w:eastAsia="Times New Roman" w:cs="Times New Roman"/>
          <w:rtl/>
          <w:lang w:eastAsia="de-DE"/>
        </w:rPr>
        <w:t xml:space="preserve"> </w:t>
      </w:r>
      <w:r w:rsidRPr="00A70521">
        <w:rPr>
          <w:rFonts w:eastAsia="Times New Roman" w:cs="Times New Roman"/>
          <w:lang w:eastAsia="de-DE"/>
        </w:rPr>
        <w:t xml:space="preserve">ist Hophal Perfekt 3. Person maskulin Singular von </w:t>
      </w:r>
      <w:r w:rsidRPr="00A70521">
        <w:rPr>
          <w:rFonts w:eastAsia="Times New Roman" w:cs="Times New Roman"/>
          <w:b/>
          <w:bCs/>
          <w:rtl/>
          <w:lang w:eastAsia="de-DE"/>
        </w:rPr>
        <w:t>נכה</w:t>
      </w:r>
      <w:r w:rsidRPr="00A70521">
        <w:rPr>
          <w:rFonts w:eastAsia="Times New Roman" w:cs="Times New Roman"/>
          <w:rtl/>
          <w:lang w:eastAsia="de-DE"/>
        </w:rPr>
        <w:t xml:space="preserve"> </w:t>
      </w:r>
      <w:r w:rsidRPr="00A70521">
        <w:rPr>
          <w:rFonts w:eastAsia="Times New Roman" w:cs="Times New Roman"/>
          <w:lang w:eastAsia="de-DE"/>
        </w:rPr>
        <w:t xml:space="preserve">(„erschlagen werden"), </w:t>
      </w:r>
      <w:r w:rsidRPr="00A70521">
        <w:rPr>
          <w:rFonts w:eastAsia="Times New Roman" w:cs="Times New Roman"/>
          <w:b/>
          <w:bCs/>
          <w:rtl/>
          <w:lang w:eastAsia="de-DE"/>
        </w:rPr>
        <w:t>אֶת־הַמִּדְיָנִית</w:t>
      </w:r>
      <w:r w:rsidRPr="00A70521">
        <w:rPr>
          <w:rFonts w:eastAsia="Times New Roman" w:cs="Times New Roman"/>
          <w:rtl/>
          <w:lang w:eastAsia="de-DE"/>
        </w:rPr>
        <w:t xml:space="preserve"> </w:t>
      </w:r>
      <w:r w:rsidRPr="00A70521">
        <w:rPr>
          <w:rFonts w:eastAsia="Times New Roman" w:cs="Times New Roman"/>
          <w:lang w:eastAsia="de-DE"/>
        </w:rPr>
        <w:t xml:space="preserve">(„mit der Midjaniterin") mit der Präposition </w:t>
      </w:r>
      <w:r w:rsidRPr="00A70521">
        <w:rPr>
          <w:rFonts w:eastAsia="Times New Roman" w:cs="Times New Roman"/>
          <w:b/>
          <w:bCs/>
          <w:rtl/>
          <w:lang w:eastAsia="de-DE"/>
        </w:rPr>
        <w:t>אֶת</w:t>
      </w:r>
      <w:r w:rsidRPr="00A70521">
        <w:rPr>
          <w:rFonts w:eastAsia="Times New Roman" w:cs="Times New Roman"/>
          <w:rtl/>
          <w:lang w:eastAsia="de-DE"/>
        </w:rPr>
        <w:t xml:space="preserve"> </w:t>
      </w:r>
      <w:r w:rsidRPr="00A70521">
        <w:rPr>
          <w:rFonts w:eastAsia="Times New Roman" w:cs="Times New Roman"/>
          <w:lang w:eastAsia="de-DE"/>
        </w:rPr>
        <w:t>in der Bedeutung „mit, zusammen mit". Die Formulierung betont, dass beide zusammen getötet wurden.</w:t>
      </w:r>
    </w:p>
    <w:p w14:paraId="199F4BEE"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rtl/>
          <w:lang w:eastAsia="de-DE"/>
        </w:rPr>
        <w:t>זִמְרִי בֶּן־סָלוּא</w:t>
      </w:r>
      <w:r w:rsidRPr="00A70521">
        <w:rPr>
          <w:rFonts w:eastAsia="Times New Roman" w:cs="Times New Roman"/>
          <w:rtl/>
          <w:lang w:eastAsia="de-DE"/>
        </w:rPr>
        <w:t xml:space="preserve"> </w:t>
      </w:r>
      <w:r w:rsidRPr="00A70521">
        <w:rPr>
          <w:rFonts w:eastAsia="Times New Roman" w:cs="Times New Roman"/>
          <w:lang w:eastAsia="de-DE"/>
        </w:rPr>
        <w:t xml:space="preserve">ist die Namensangabe. </w:t>
      </w:r>
      <w:r w:rsidRPr="00A70521">
        <w:rPr>
          <w:rFonts w:eastAsia="Times New Roman" w:cs="Times New Roman"/>
          <w:b/>
          <w:bCs/>
          <w:rtl/>
          <w:lang w:eastAsia="de-DE"/>
        </w:rPr>
        <w:t>זִמְרִי</w:t>
      </w:r>
      <w:r w:rsidRPr="00A70521">
        <w:rPr>
          <w:rFonts w:eastAsia="Times New Roman" w:cs="Times New Roman"/>
          <w:rtl/>
          <w:lang w:eastAsia="de-DE"/>
        </w:rPr>
        <w:t xml:space="preserve"> </w:t>
      </w:r>
      <w:r w:rsidRPr="00A70521">
        <w:rPr>
          <w:rFonts w:eastAsia="Times New Roman" w:cs="Times New Roman"/>
          <w:lang w:eastAsia="de-DE"/>
        </w:rPr>
        <w:t xml:space="preserve">(Simri) ist ein hebräischer Name, möglicherweise von der Wurzel </w:t>
      </w:r>
      <w:r w:rsidRPr="00A70521">
        <w:rPr>
          <w:rFonts w:eastAsia="Times New Roman" w:cs="Times New Roman"/>
          <w:b/>
          <w:bCs/>
          <w:rtl/>
          <w:lang w:eastAsia="de-DE"/>
        </w:rPr>
        <w:t>זמר</w:t>
      </w:r>
      <w:r w:rsidRPr="00A70521">
        <w:rPr>
          <w:rFonts w:eastAsia="Times New Roman" w:cs="Times New Roman"/>
          <w:rtl/>
          <w:lang w:eastAsia="de-DE"/>
        </w:rPr>
        <w:t xml:space="preserve"> </w:t>
      </w:r>
      <w:r w:rsidRPr="00A70521">
        <w:rPr>
          <w:rFonts w:eastAsia="Times New Roman" w:cs="Times New Roman"/>
          <w:lang w:eastAsia="de-DE"/>
        </w:rPr>
        <w:t xml:space="preserve">(„singen, preisen") abgeleitet. </w:t>
      </w:r>
      <w:r w:rsidRPr="00A70521">
        <w:rPr>
          <w:rFonts w:eastAsia="Times New Roman" w:cs="Times New Roman"/>
          <w:b/>
          <w:bCs/>
          <w:rtl/>
          <w:lang w:eastAsia="de-DE"/>
        </w:rPr>
        <w:t>בֶּן־סָלוּא</w:t>
      </w:r>
      <w:r w:rsidRPr="00A70521">
        <w:rPr>
          <w:rFonts w:eastAsia="Times New Roman" w:cs="Times New Roman"/>
          <w:rtl/>
          <w:lang w:eastAsia="de-DE"/>
        </w:rPr>
        <w:t xml:space="preserve"> </w:t>
      </w:r>
      <w:r w:rsidRPr="00A70521">
        <w:rPr>
          <w:rFonts w:eastAsia="Times New Roman" w:cs="Times New Roman"/>
          <w:lang w:eastAsia="de-DE"/>
        </w:rPr>
        <w:t xml:space="preserve">(„Sohn des Salu") gibt die Abstammung an. </w:t>
      </w:r>
      <w:r w:rsidRPr="00A70521">
        <w:rPr>
          <w:rFonts w:eastAsia="Times New Roman" w:cs="Times New Roman"/>
          <w:b/>
          <w:bCs/>
          <w:rtl/>
          <w:lang w:eastAsia="de-DE"/>
        </w:rPr>
        <w:t>נְשִׂיא בֵית־אָב לַשִּׁמְעֹנִי</w:t>
      </w:r>
      <w:r w:rsidRPr="00A70521">
        <w:rPr>
          <w:rFonts w:eastAsia="Times New Roman" w:cs="Times New Roman"/>
          <w:rtl/>
          <w:lang w:eastAsia="de-DE"/>
        </w:rPr>
        <w:t xml:space="preserve"> </w:t>
      </w:r>
      <w:r w:rsidRPr="00A70521">
        <w:rPr>
          <w:rFonts w:eastAsia="Times New Roman" w:cs="Times New Roman"/>
          <w:lang w:eastAsia="de-DE"/>
        </w:rPr>
        <w:t xml:space="preserve">beschreibt seinen sozialen Status. </w:t>
      </w:r>
      <w:r w:rsidRPr="00A70521">
        <w:rPr>
          <w:rFonts w:eastAsia="Times New Roman" w:cs="Times New Roman"/>
          <w:b/>
          <w:bCs/>
          <w:rtl/>
          <w:lang w:eastAsia="de-DE"/>
        </w:rPr>
        <w:t>נְשִׂיא</w:t>
      </w:r>
      <w:r w:rsidRPr="00A70521">
        <w:rPr>
          <w:rFonts w:eastAsia="Times New Roman" w:cs="Times New Roman"/>
          <w:rtl/>
          <w:lang w:eastAsia="de-DE"/>
        </w:rPr>
        <w:t xml:space="preserve"> </w:t>
      </w:r>
      <w:r w:rsidRPr="00A70521">
        <w:rPr>
          <w:rFonts w:eastAsia="Times New Roman" w:cs="Times New Roman"/>
          <w:lang w:eastAsia="de-DE"/>
        </w:rPr>
        <w:t xml:space="preserve">(„Fürst, Anführer, Stammeshaupt") bezeichnet einen hochrangigen Stammesvertreter. </w:t>
      </w:r>
      <w:r w:rsidRPr="00A70521">
        <w:rPr>
          <w:rFonts w:eastAsia="Times New Roman" w:cs="Times New Roman"/>
          <w:b/>
          <w:bCs/>
          <w:rtl/>
          <w:lang w:eastAsia="de-DE"/>
        </w:rPr>
        <w:t>בֵית־אָב</w:t>
      </w:r>
      <w:r w:rsidRPr="00A70521">
        <w:rPr>
          <w:rFonts w:eastAsia="Times New Roman" w:cs="Times New Roman"/>
          <w:rtl/>
          <w:lang w:eastAsia="de-DE"/>
        </w:rPr>
        <w:t xml:space="preserve"> </w:t>
      </w:r>
      <w:r w:rsidRPr="00A70521">
        <w:rPr>
          <w:rFonts w:eastAsia="Times New Roman" w:cs="Times New Roman"/>
          <w:lang w:eastAsia="de-DE"/>
        </w:rPr>
        <w:t xml:space="preserve">(„Vaterhaus, Sippe") im Genitiv, </w:t>
      </w:r>
      <w:r w:rsidRPr="00A70521">
        <w:rPr>
          <w:rFonts w:eastAsia="Times New Roman" w:cs="Times New Roman"/>
          <w:b/>
          <w:bCs/>
          <w:rtl/>
          <w:lang w:eastAsia="de-DE"/>
        </w:rPr>
        <w:t>לַשִּׁמְעֹנִי</w:t>
      </w:r>
      <w:r w:rsidRPr="00A70521">
        <w:rPr>
          <w:rFonts w:eastAsia="Times New Roman" w:cs="Times New Roman"/>
          <w:rtl/>
          <w:lang w:eastAsia="de-DE"/>
        </w:rPr>
        <w:t xml:space="preserve"> </w:t>
      </w:r>
      <w:r w:rsidRPr="00A70521">
        <w:rPr>
          <w:rFonts w:eastAsia="Times New Roman" w:cs="Times New Roman"/>
          <w:lang w:eastAsia="de-DE"/>
        </w:rPr>
        <w:t xml:space="preserve">(Präposition </w:t>
      </w:r>
      <w:r w:rsidRPr="00A70521">
        <w:rPr>
          <w:rFonts w:eastAsia="Times New Roman" w:cs="Times New Roman"/>
          <w:b/>
          <w:bCs/>
          <w:rtl/>
          <w:lang w:eastAsia="de-DE"/>
        </w:rPr>
        <w:t>לְ</w:t>
      </w:r>
      <w:r w:rsidRPr="00A70521">
        <w:rPr>
          <w:rFonts w:eastAsia="Times New Roman" w:cs="Times New Roman"/>
          <w:rtl/>
          <w:lang w:eastAsia="de-DE"/>
        </w:rPr>
        <w:t xml:space="preserve"> </w:t>
      </w:r>
      <w:r w:rsidRPr="00A70521">
        <w:rPr>
          <w:rFonts w:eastAsia="Times New Roman" w:cs="Times New Roman"/>
          <w:lang w:eastAsia="de-DE"/>
        </w:rPr>
        <w:t xml:space="preserve">mit dem Gentilizium </w:t>
      </w:r>
      <w:r w:rsidRPr="00A70521">
        <w:rPr>
          <w:rFonts w:eastAsia="Times New Roman" w:cs="Times New Roman"/>
          <w:b/>
          <w:bCs/>
          <w:rtl/>
          <w:lang w:eastAsia="de-DE"/>
        </w:rPr>
        <w:t>שִׁמְעֹנִי</w:t>
      </w:r>
      <w:r w:rsidRPr="00A70521">
        <w:rPr>
          <w:rFonts w:eastAsia="Times New Roman" w:cs="Times New Roman"/>
          <w:rtl/>
          <w:lang w:eastAsia="de-DE"/>
        </w:rPr>
        <w:t xml:space="preserve"> </w:t>
      </w:r>
      <w:r w:rsidRPr="00A70521">
        <w:rPr>
          <w:rFonts w:eastAsia="Times New Roman" w:cs="Times New Roman"/>
          <w:lang w:eastAsia="de-DE"/>
        </w:rPr>
        <w:t>„Simeoniter"). Simri war also nicht irgendein einfacher Israelit, sondern ein hochrangiger Führer aus dem Stamm Simeon. Dies macht seine Tat noch skandalöser und erklärt die öffentliche Provokation.</w:t>
      </w:r>
    </w:p>
    <w:p w14:paraId="0F3097D8"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Die LXX</w:t>
      </w:r>
      <w:r w:rsidRPr="00A70521">
        <w:rPr>
          <w:rFonts w:eastAsia="Times New Roman" w:cs="Times New Roman"/>
          <w:lang w:eastAsia="de-DE"/>
        </w:rPr>
        <w:t xml:space="preserve"> transliteriert die Namen als Ζαμβρι υἱὸς Σαλω. Bei </w:t>
      </w:r>
      <w:r w:rsidRPr="00A70521">
        <w:rPr>
          <w:rFonts w:eastAsia="Times New Roman" w:cs="Times New Roman"/>
          <w:b/>
          <w:bCs/>
          <w:rtl/>
          <w:lang w:eastAsia="de-DE"/>
        </w:rPr>
        <w:t>נְשִׂיא</w:t>
      </w:r>
      <w:r w:rsidRPr="00A70521">
        <w:rPr>
          <w:rFonts w:eastAsia="Times New Roman" w:cs="Times New Roman"/>
          <w:rtl/>
          <w:lang w:eastAsia="de-DE"/>
        </w:rPr>
        <w:t xml:space="preserve"> </w:t>
      </w:r>
      <w:r w:rsidRPr="00A70521">
        <w:rPr>
          <w:rFonts w:eastAsia="Times New Roman" w:cs="Times New Roman"/>
          <w:lang w:eastAsia="de-DE"/>
        </w:rPr>
        <w:t>verwendet sie ἄρχων („Herrscher, Fürst"), eine standard-Entsprechung.</w:t>
      </w:r>
    </w:p>
    <w:p w14:paraId="563DFDA7"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Die Satzstruktur zeigt einen Nominalsatz mit erweitertem Subjekt (Name des erschlagenen Mannes, mit Partizipialattribut und Relativsatz) und Prädikatsnomen (Simri ben Salu), gefolgt von einer appositiven Statusangabe.</w:t>
      </w:r>
    </w:p>
    <w:p w14:paraId="2338D4C0" w14:textId="6A4CDB17" w:rsidR="00A70521" w:rsidRPr="00A70521" w:rsidRDefault="00A70521" w:rsidP="00E13E0D">
      <w:pPr>
        <w:pStyle w:val="font-claude-response-body"/>
      </w:pPr>
      <w:r w:rsidRPr="00A70521">
        <w:t>Der Vers offenbart die Identität des Täters und zeigt, dass es sich nicht um einen unbedeutenden Israeliten handelte, sondern um einen Stammesführer. Dies erklärt seine Dreistigkeit (er fühlte sich möglicherweise durch seinen Status geschützt) und zeigt, dass die Korruption bis in die höchsten Ebenen der Gesellschaft reichte. Die Tatsache, dass Pinehas auch vor einem Fürsten nicht zurückschreckte, unterstreicht seinen kompromisslosen Eifer für Gottes Heiligkeit.</w:t>
      </w:r>
      <w:r w:rsidR="00E13E0D">
        <w:t xml:space="preserve"> </w:t>
      </w:r>
    </w:p>
    <w:p w14:paraId="56467E80" w14:textId="77777777" w:rsidR="00A70521" w:rsidRPr="00A70521" w:rsidRDefault="00A70521" w:rsidP="00A70521">
      <w:pPr>
        <w:spacing w:before="100" w:beforeAutospacing="1" w:after="100" w:afterAutospacing="1" w:line="240" w:lineRule="auto"/>
        <w:outlineLvl w:val="0"/>
        <w:rPr>
          <w:rFonts w:eastAsia="Times New Roman" w:cs="Times New Roman"/>
          <w:b/>
          <w:bCs/>
          <w:kern w:val="36"/>
          <w:sz w:val="48"/>
          <w:szCs w:val="48"/>
          <w:lang w:eastAsia="de-DE"/>
        </w:rPr>
      </w:pPr>
      <w:r w:rsidRPr="00A70521">
        <w:rPr>
          <w:rFonts w:eastAsia="Times New Roman" w:cs="Times New Roman"/>
          <w:b/>
          <w:bCs/>
          <w:kern w:val="36"/>
          <w:sz w:val="48"/>
          <w:szCs w:val="48"/>
          <w:lang w:eastAsia="de-DE"/>
        </w:rPr>
        <w:t>Numeri 25,15</w:t>
      </w:r>
    </w:p>
    <w:p w14:paraId="696FC98B"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Hebräisch:</w:t>
      </w:r>
      <w:r w:rsidRPr="00A70521">
        <w:rPr>
          <w:rFonts w:eastAsia="Times New Roman" w:cs="Times New Roman"/>
          <w:lang w:eastAsia="de-DE"/>
        </w:rPr>
        <w:t xml:space="preserve"> </w:t>
      </w:r>
      <w:r w:rsidRPr="00A70521">
        <w:rPr>
          <w:rFonts w:eastAsia="Times New Roman" w:cs="Times New Roman"/>
          <w:rtl/>
          <w:lang w:eastAsia="de-DE"/>
        </w:rPr>
        <w:t>וְשֵׁ֨ם הָֽאִשָּׁ֧ה הַמֻּכָּ֛ה הַמִּדְיָנִ֖ית כָּזְבִּ֣י בַת־צ֑וּר רֹ֣אשׁ אֻמּ֥וֹת בֵּֽית־אָ֛ב בְּמִדְיָ֖ן הֽוּא׃</w:t>
      </w:r>
    </w:p>
    <w:p w14:paraId="0093B98F"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Deutsch:</w:t>
      </w:r>
      <w:r w:rsidRPr="00A70521">
        <w:rPr>
          <w:rFonts w:eastAsia="Times New Roman" w:cs="Times New Roman"/>
          <w:lang w:eastAsia="de-DE"/>
        </w:rPr>
        <w:t xml:space="preserve"> Und der Name der erschlagenen midjanit Frau war Kosbi, die Tochter Zurs; er war Stammeshaupt eines Vaterhauses in Midjan.</w:t>
      </w:r>
    </w:p>
    <w:p w14:paraId="3E42512E" w14:textId="77777777" w:rsidR="00A70521" w:rsidRPr="00A70521" w:rsidRDefault="00F329DD" w:rsidP="00A70521">
      <w:pPr>
        <w:spacing w:after="0" w:line="240" w:lineRule="auto"/>
        <w:rPr>
          <w:rFonts w:eastAsia="Times New Roman" w:cs="Times New Roman"/>
          <w:lang w:eastAsia="de-DE"/>
        </w:rPr>
      </w:pPr>
      <w:r>
        <w:rPr>
          <w:rFonts w:eastAsia="Times New Roman" w:cs="Times New Roman"/>
          <w:noProof/>
          <w:lang w:eastAsia="de-DE"/>
        </w:rPr>
        <w:pict w14:anchorId="5CF1FE6F">
          <v:rect id="_x0000_i1866" style="width:0;height:1.5pt" o:hralign="center" o:hrstd="t" o:hr="t" fillcolor="#a0a0a0" stroked="f"/>
        </w:pict>
      </w:r>
    </w:p>
    <w:p w14:paraId="11312E54"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lastRenderedPageBreak/>
        <w:t>Kommentar:</w:t>
      </w:r>
      <w:r w:rsidRPr="00A70521">
        <w:rPr>
          <w:rFonts w:eastAsia="Times New Roman" w:cs="Times New Roman"/>
          <w:lang w:eastAsia="de-DE"/>
        </w:rPr>
        <w:t xml:space="preserve"> Der Vers identifiziert parallel die getötete Frau. </w:t>
      </w:r>
      <w:r w:rsidRPr="00A70521">
        <w:rPr>
          <w:rFonts w:eastAsia="Times New Roman" w:cs="Times New Roman"/>
          <w:b/>
          <w:bCs/>
          <w:rtl/>
          <w:lang w:eastAsia="de-DE"/>
        </w:rPr>
        <w:t>וְשֵׁם הָאִשָּׁה הַמֻּכָּה הַמִּדְיָנִית</w:t>
      </w:r>
      <w:r w:rsidRPr="00A70521">
        <w:rPr>
          <w:rFonts w:eastAsia="Times New Roman" w:cs="Times New Roman"/>
          <w:rtl/>
          <w:lang w:eastAsia="de-DE"/>
        </w:rPr>
        <w:t xml:space="preserve"> </w:t>
      </w:r>
      <w:r w:rsidRPr="00A70521">
        <w:rPr>
          <w:rFonts w:eastAsia="Times New Roman" w:cs="Times New Roman"/>
          <w:lang w:eastAsia="de-DE"/>
        </w:rPr>
        <w:t xml:space="preserve">ist das Subjekt. </w:t>
      </w:r>
      <w:r w:rsidRPr="00A70521">
        <w:rPr>
          <w:rFonts w:eastAsia="Times New Roman" w:cs="Times New Roman"/>
          <w:b/>
          <w:bCs/>
          <w:rtl/>
          <w:lang w:eastAsia="de-DE"/>
        </w:rPr>
        <w:t>וְשֵׁם הָאִשָּׁה</w:t>
      </w:r>
      <w:r w:rsidRPr="00A70521">
        <w:rPr>
          <w:rFonts w:eastAsia="Times New Roman" w:cs="Times New Roman"/>
          <w:rtl/>
          <w:lang w:eastAsia="de-DE"/>
        </w:rPr>
        <w:t xml:space="preserve"> </w:t>
      </w:r>
      <w:r w:rsidRPr="00A70521">
        <w:rPr>
          <w:rFonts w:eastAsia="Times New Roman" w:cs="Times New Roman"/>
          <w:lang w:eastAsia="de-DE"/>
        </w:rPr>
        <w:t xml:space="preserve">(„und der Name der Frau"), </w:t>
      </w:r>
      <w:r w:rsidRPr="00A70521">
        <w:rPr>
          <w:rFonts w:eastAsia="Times New Roman" w:cs="Times New Roman"/>
          <w:b/>
          <w:bCs/>
          <w:rtl/>
          <w:lang w:eastAsia="de-DE"/>
        </w:rPr>
        <w:t>הַמֻּכָּה</w:t>
      </w:r>
      <w:r w:rsidRPr="00A70521">
        <w:rPr>
          <w:rFonts w:eastAsia="Times New Roman" w:cs="Times New Roman"/>
          <w:rtl/>
          <w:lang w:eastAsia="de-DE"/>
        </w:rPr>
        <w:t xml:space="preserve"> </w:t>
      </w:r>
      <w:r w:rsidRPr="00A70521">
        <w:rPr>
          <w:rFonts w:eastAsia="Times New Roman" w:cs="Times New Roman"/>
          <w:lang w:eastAsia="de-DE"/>
        </w:rPr>
        <w:t xml:space="preserve">ist wieder Hophal-Partizip feminin Singular von </w:t>
      </w:r>
      <w:r w:rsidRPr="00A70521">
        <w:rPr>
          <w:rFonts w:eastAsia="Times New Roman" w:cs="Times New Roman"/>
          <w:b/>
          <w:bCs/>
          <w:rtl/>
          <w:lang w:eastAsia="de-DE"/>
        </w:rPr>
        <w:t>נכה</w:t>
      </w:r>
      <w:r w:rsidRPr="00A70521">
        <w:rPr>
          <w:rFonts w:eastAsia="Times New Roman" w:cs="Times New Roman"/>
          <w:rtl/>
          <w:lang w:eastAsia="de-DE"/>
        </w:rPr>
        <w:t xml:space="preserve"> </w:t>
      </w:r>
      <w:r w:rsidRPr="00A70521">
        <w:rPr>
          <w:rFonts w:eastAsia="Times New Roman" w:cs="Times New Roman"/>
          <w:lang w:eastAsia="de-DE"/>
        </w:rPr>
        <w:t xml:space="preserve">(„die Erschlagene") mit Artikel, </w:t>
      </w:r>
      <w:r w:rsidRPr="00A70521">
        <w:rPr>
          <w:rFonts w:eastAsia="Times New Roman" w:cs="Times New Roman"/>
          <w:b/>
          <w:bCs/>
          <w:rtl/>
          <w:lang w:eastAsia="de-DE"/>
        </w:rPr>
        <w:t>הַמִּדְיָנִית</w:t>
      </w:r>
      <w:r w:rsidRPr="00A70521">
        <w:rPr>
          <w:rFonts w:eastAsia="Times New Roman" w:cs="Times New Roman"/>
          <w:rtl/>
          <w:lang w:eastAsia="de-DE"/>
        </w:rPr>
        <w:t xml:space="preserve"> </w:t>
      </w:r>
      <w:r w:rsidRPr="00A70521">
        <w:rPr>
          <w:rFonts w:eastAsia="Times New Roman" w:cs="Times New Roman"/>
          <w:lang w:eastAsia="de-DE"/>
        </w:rPr>
        <w:t xml:space="preserve">ist das feminine Gentilizium („die Midjaniterin") mit Artikel, hier als Apposition. </w:t>
      </w:r>
      <w:r w:rsidRPr="00A70521">
        <w:rPr>
          <w:rFonts w:eastAsia="Times New Roman" w:cs="Times New Roman"/>
          <w:b/>
          <w:bCs/>
          <w:rtl/>
          <w:lang w:eastAsia="de-DE"/>
        </w:rPr>
        <w:t>כָּזְבִּי בַת־צוּר</w:t>
      </w:r>
      <w:r w:rsidRPr="00A70521">
        <w:rPr>
          <w:rFonts w:eastAsia="Times New Roman" w:cs="Times New Roman"/>
          <w:rtl/>
          <w:lang w:eastAsia="de-DE"/>
        </w:rPr>
        <w:t xml:space="preserve"> </w:t>
      </w:r>
      <w:r w:rsidRPr="00A70521">
        <w:rPr>
          <w:rFonts w:eastAsia="Times New Roman" w:cs="Times New Roman"/>
          <w:lang w:eastAsia="de-DE"/>
        </w:rPr>
        <w:t xml:space="preserve">ist die Namensangabe. </w:t>
      </w:r>
      <w:r w:rsidRPr="00A70521">
        <w:rPr>
          <w:rFonts w:eastAsia="Times New Roman" w:cs="Times New Roman"/>
          <w:b/>
          <w:bCs/>
          <w:rtl/>
          <w:lang w:eastAsia="de-DE"/>
        </w:rPr>
        <w:t>כָּזְבִּי</w:t>
      </w:r>
      <w:r w:rsidRPr="00A70521">
        <w:rPr>
          <w:rFonts w:eastAsia="Times New Roman" w:cs="Times New Roman"/>
          <w:rtl/>
          <w:lang w:eastAsia="de-DE"/>
        </w:rPr>
        <w:t xml:space="preserve"> </w:t>
      </w:r>
      <w:r w:rsidRPr="00A70521">
        <w:rPr>
          <w:rFonts w:eastAsia="Times New Roman" w:cs="Times New Roman"/>
          <w:lang w:eastAsia="de-DE"/>
        </w:rPr>
        <w:t xml:space="preserve">(Kosbi) ist wahrscheinlich von der Wurzel </w:t>
      </w:r>
      <w:r w:rsidRPr="00A70521">
        <w:rPr>
          <w:rFonts w:eastAsia="Times New Roman" w:cs="Times New Roman"/>
          <w:b/>
          <w:bCs/>
          <w:rtl/>
          <w:lang w:eastAsia="de-DE"/>
        </w:rPr>
        <w:t>כזב</w:t>
      </w:r>
      <w:r w:rsidRPr="00A70521">
        <w:rPr>
          <w:rFonts w:eastAsia="Times New Roman" w:cs="Times New Roman"/>
          <w:rtl/>
          <w:lang w:eastAsia="de-DE"/>
        </w:rPr>
        <w:t xml:space="preserve"> </w:t>
      </w:r>
      <w:r w:rsidRPr="00A70521">
        <w:rPr>
          <w:rFonts w:eastAsia="Times New Roman" w:cs="Times New Roman"/>
          <w:lang w:eastAsia="de-DE"/>
        </w:rPr>
        <w:t xml:space="preserve">(„lügen, täuschen") abgeleitet, was ironisch ist. </w:t>
      </w:r>
      <w:r w:rsidRPr="00A70521">
        <w:rPr>
          <w:rFonts w:eastAsia="Times New Roman" w:cs="Times New Roman"/>
          <w:b/>
          <w:bCs/>
          <w:rtl/>
          <w:lang w:eastAsia="de-DE"/>
        </w:rPr>
        <w:t>בַת־צוּר</w:t>
      </w:r>
      <w:r w:rsidRPr="00A70521">
        <w:rPr>
          <w:rFonts w:eastAsia="Times New Roman" w:cs="Times New Roman"/>
          <w:rtl/>
          <w:lang w:eastAsia="de-DE"/>
        </w:rPr>
        <w:t xml:space="preserve"> </w:t>
      </w:r>
      <w:r w:rsidRPr="00A70521">
        <w:rPr>
          <w:rFonts w:eastAsia="Times New Roman" w:cs="Times New Roman"/>
          <w:lang w:eastAsia="de-DE"/>
        </w:rPr>
        <w:t>(„Tochter des Zur") gibt die Abstammung an.</w:t>
      </w:r>
    </w:p>
    <w:p w14:paraId="26CAF893" w14:textId="6BEF050B"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rtl/>
          <w:lang w:eastAsia="de-DE"/>
        </w:rPr>
        <w:t>רֹאשׁ אֻמּוֹת בֵּית־אָב בְּמִדְיָן הוּא</w:t>
      </w:r>
      <w:r w:rsidRPr="00A70521">
        <w:rPr>
          <w:rFonts w:eastAsia="Times New Roman" w:cs="Times New Roman"/>
          <w:rtl/>
          <w:lang w:eastAsia="de-DE"/>
        </w:rPr>
        <w:t xml:space="preserve"> </w:t>
      </w:r>
      <w:r w:rsidRPr="00A70521">
        <w:rPr>
          <w:rFonts w:eastAsia="Times New Roman" w:cs="Times New Roman"/>
          <w:lang w:eastAsia="de-DE"/>
        </w:rPr>
        <w:t xml:space="preserve">beschreibt den Status ihres Vaters. </w:t>
      </w:r>
      <w:r w:rsidRPr="00A70521">
        <w:rPr>
          <w:rFonts w:eastAsia="Times New Roman" w:cs="Times New Roman"/>
          <w:b/>
          <w:bCs/>
          <w:rtl/>
          <w:lang w:eastAsia="de-DE"/>
        </w:rPr>
        <w:t>רֹאשׁ</w:t>
      </w:r>
      <w:r w:rsidRPr="00A70521">
        <w:rPr>
          <w:rFonts w:eastAsia="Times New Roman" w:cs="Times New Roman"/>
          <w:rtl/>
          <w:lang w:eastAsia="de-DE"/>
        </w:rPr>
        <w:t xml:space="preserve"> </w:t>
      </w:r>
      <w:r w:rsidRPr="00A70521">
        <w:rPr>
          <w:rFonts w:eastAsia="Times New Roman" w:cs="Times New Roman"/>
          <w:lang w:eastAsia="de-DE"/>
        </w:rPr>
        <w:t xml:space="preserve">(„Haupt, Anführer"), </w:t>
      </w:r>
      <w:r w:rsidRPr="00A70521">
        <w:rPr>
          <w:rFonts w:eastAsia="Times New Roman" w:cs="Times New Roman"/>
          <w:b/>
          <w:bCs/>
          <w:rtl/>
          <w:lang w:eastAsia="de-DE"/>
        </w:rPr>
        <w:t>אֻמּוֹת</w:t>
      </w:r>
      <w:r w:rsidRPr="00A70521">
        <w:rPr>
          <w:rFonts w:eastAsia="Times New Roman" w:cs="Times New Roman"/>
          <w:rtl/>
          <w:lang w:eastAsia="de-DE"/>
        </w:rPr>
        <w:t xml:space="preserve"> </w:t>
      </w:r>
      <w:r w:rsidRPr="00A70521">
        <w:rPr>
          <w:rFonts w:eastAsia="Times New Roman" w:cs="Times New Roman"/>
          <w:lang w:eastAsia="de-DE"/>
        </w:rPr>
        <w:t xml:space="preserve">ist der Plural von </w:t>
      </w:r>
      <w:r w:rsidRPr="00A70521">
        <w:rPr>
          <w:rFonts w:eastAsia="Times New Roman" w:cs="Times New Roman"/>
          <w:b/>
          <w:bCs/>
          <w:rtl/>
          <w:lang w:eastAsia="de-DE"/>
        </w:rPr>
        <w:t>אֻמָּה</w:t>
      </w:r>
      <w:r w:rsidRPr="00A70521">
        <w:rPr>
          <w:rFonts w:eastAsia="Times New Roman" w:cs="Times New Roman"/>
          <w:rtl/>
          <w:lang w:eastAsia="de-DE"/>
        </w:rPr>
        <w:t xml:space="preserve"> </w:t>
      </w:r>
      <w:r w:rsidRPr="00A70521">
        <w:rPr>
          <w:rFonts w:eastAsia="Times New Roman" w:cs="Times New Roman"/>
          <w:lang w:eastAsia="de-DE"/>
        </w:rPr>
        <w:t xml:space="preserve">(„Stamm, Volk, Sippe"), </w:t>
      </w:r>
      <w:r w:rsidRPr="00A70521">
        <w:rPr>
          <w:rFonts w:eastAsia="Times New Roman" w:cs="Times New Roman"/>
          <w:b/>
          <w:bCs/>
          <w:rtl/>
          <w:lang w:eastAsia="de-DE"/>
        </w:rPr>
        <w:t>בֵּית־אָב</w:t>
      </w:r>
      <w:r w:rsidRPr="00A70521">
        <w:rPr>
          <w:rFonts w:eastAsia="Times New Roman" w:cs="Times New Roman"/>
          <w:rtl/>
          <w:lang w:eastAsia="de-DE"/>
        </w:rPr>
        <w:t xml:space="preserve"> </w:t>
      </w:r>
      <w:r w:rsidRPr="00A70521">
        <w:rPr>
          <w:rFonts w:eastAsia="Times New Roman" w:cs="Times New Roman"/>
          <w:lang w:eastAsia="de-DE"/>
        </w:rPr>
        <w:t xml:space="preserve">(„Vaterhaus") im Genitiv, </w:t>
      </w:r>
      <w:r w:rsidRPr="00A70521">
        <w:rPr>
          <w:rFonts w:eastAsia="Times New Roman" w:cs="Times New Roman"/>
          <w:b/>
          <w:bCs/>
          <w:rtl/>
          <w:lang w:eastAsia="de-DE"/>
        </w:rPr>
        <w:t>בְּמִדְיָן</w:t>
      </w:r>
      <w:r w:rsidRPr="00A70521">
        <w:rPr>
          <w:rFonts w:eastAsia="Times New Roman" w:cs="Times New Roman"/>
          <w:rtl/>
          <w:lang w:eastAsia="de-DE"/>
        </w:rPr>
        <w:t xml:space="preserve"> </w:t>
      </w:r>
      <w:r w:rsidRPr="00A70521">
        <w:rPr>
          <w:rFonts w:eastAsia="Times New Roman" w:cs="Times New Roman"/>
          <w:lang w:eastAsia="de-DE"/>
        </w:rPr>
        <w:t xml:space="preserve">(Präposition </w:t>
      </w:r>
      <w:r w:rsidRPr="00A70521">
        <w:rPr>
          <w:rFonts w:eastAsia="Times New Roman" w:cs="Times New Roman"/>
          <w:b/>
          <w:bCs/>
          <w:rtl/>
          <w:lang w:eastAsia="de-DE"/>
        </w:rPr>
        <w:t>בְּ</w:t>
      </w:r>
      <w:r w:rsidRPr="00A70521">
        <w:rPr>
          <w:rFonts w:eastAsia="Times New Roman" w:cs="Times New Roman"/>
          <w:rtl/>
          <w:lang w:eastAsia="de-DE"/>
        </w:rPr>
        <w:t xml:space="preserve"> </w:t>
      </w:r>
      <w:r w:rsidRPr="00A70521">
        <w:rPr>
          <w:rFonts w:eastAsia="Times New Roman" w:cs="Times New Roman"/>
          <w:lang w:eastAsia="de-DE"/>
        </w:rPr>
        <w:t xml:space="preserve">mit </w:t>
      </w:r>
      <w:r w:rsidRPr="00A70521">
        <w:rPr>
          <w:rFonts w:eastAsia="Times New Roman" w:cs="Times New Roman"/>
          <w:b/>
          <w:bCs/>
          <w:rtl/>
          <w:lang w:eastAsia="de-DE"/>
        </w:rPr>
        <w:t>מִדְיָן</w:t>
      </w:r>
      <w:r w:rsidRPr="00A70521">
        <w:rPr>
          <w:rFonts w:eastAsia="Times New Roman" w:cs="Times New Roman"/>
          <w:rtl/>
          <w:lang w:eastAsia="de-DE"/>
        </w:rPr>
        <w:t xml:space="preserve"> </w:t>
      </w:r>
      <w:r w:rsidRPr="00A70521">
        <w:rPr>
          <w:rFonts w:eastAsia="Times New Roman" w:cs="Times New Roman"/>
          <w:lang w:eastAsia="de-DE"/>
        </w:rPr>
        <w:t xml:space="preserve">„in Midjan"). </w:t>
      </w:r>
      <w:r w:rsidRPr="00A70521">
        <w:rPr>
          <w:rFonts w:eastAsia="Times New Roman" w:cs="Times New Roman"/>
          <w:b/>
          <w:bCs/>
          <w:rtl/>
          <w:lang w:eastAsia="de-DE"/>
        </w:rPr>
        <w:t>הוּא</w:t>
      </w:r>
      <w:r w:rsidRPr="00A70521">
        <w:rPr>
          <w:rFonts w:eastAsia="Times New Roman" w:cs="Times New Roman"/>
          <w:rtl/>
          <w:lang w:eastAsia="de-DE"/>
        </w:rPr>
        <w:t xml:space="preserve"> </w:t>
      </w:r>
      <w:r w:rsidRPr="00A70521">
        <w:rPr>
          <w:rFonts w:eastAsia="Times New Roman" w:cs="Times New Roman"/>
          <w:lang w:eastAsia="de-DE"/>
        </w:rPr>
        <w:t xml:space="preserve">ist das Personalpronomen 3. Person maskulin Singular („er"), das sich auf Zur bezieht. Die </w:t>
      </w:r>
      <w:r w:rsidR="00F133EC">
        <w:rPr>
          <w:rFonts w:eastAsia="Times New Roman" w:cs="Times New Roman"/>
          <w:lang w:eastAsia="de-DE"/>
        </w:rPr>
        <w:t>Construct</w:t>
      </w:r>
      <w:r w:rsidRPr="00A70521">
        <w:rPr>
          <w:rFonts w:eastAsia="Times New Roman" w:cs="Times New Roman"/>
          <w:lang w:eastAsia="de-DE"/>
        </w:rPr>
        <w:t xml:space="preserve">ion zeigt, dass Zur ein hochrangiger Stammesführer in Midjan war, was Kosbi zu einer Prinzessin macht. Die Formulierung </w:t>
      </w:r>
      <w:r w:rsidRPr="00A70521">
        <w:rPr>
          <w:rFonts w:eastAsia="Times New Roman" w:cs="Times New Roman"/>
          <w:b/>
          <w:bCs/>
          <w:rtl/>
          <w:lang w:eastAsia="de-DE"/>
        </w:rPr>
        <w:t>רֹאשׁ אֻמּוֹת</w:t>
      </w:r>
      <w:r w:rsidRPr="00A70521">
        <w:rPr>
          <w:rFonts w:eastAsia="Times New Roman" w:cs="Times New Roman"/>
          <w:rtl/>
          <w:lang w:eastAsia="de-DE"/>
        </w:rPr>
        <w:t xml:space="preserve"> </w:t>
      </w:r>
      <w:r w:rsidRPr="00A70521">
        <w:rPr>
          <w:rFonts w:eastAsia="Times New Roman" w:cs="Times New Roman"/>
          <w:lang w:eastAsia="de-DE"/>
        </w:rPr>
        <w:t>(„Haupt der Stämme/Sippen") deutet auf eine führende Position über mehrere Sippen hin.</w:t>
      </w:r>
    </w:p>
    <w:p w14:paraId="53AEF1BF" w14:textId="5799FDBC"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Die LXX</w:t>
      </w:r>
      <w:r w:rsidRPr="00A70521">
        <w:rPr>
          <w:rFonts w:eastAsia="Times New Roman" w:cs="Times New Roman"/>
          <w:lang w:eastAsia="de-DE"/>
        </w:rPr>
        <w:t xml:space="preserve"> </w:t>
      </w:r>
      <w:r w:rsidR="0033022C">
        <w:t>fügt „Ὀμμώθ" (Ommoth) hinzu bei der Beschreibung von Kosbi: „ἄρχοντος ἔθνους Ὀμμώθ" (Fürst des Volkes Ommoth), was im hebräischen Text nicht erscheint.</w:t>
      </w:r>
    </w:p>
    <w:p w14:paraId="797D1E20"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Die Satzstruktur zeigt einen parallelen Nominalsatz zu V. 14 mit erweitertem Subjekt und Prädikatsnomen, gefolgt von einer appositiven Statusangabe über den Vater.</w:t>
      </w:r>
    </w:p>
    <w:p w14:paraId="4FF9A77D"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Der Vers zeigt, dass auch die Frau aus hochrangiger Familie stammte. Die Verbindung zwischen einem simeonitischen Fürsten und einer midjanitischen Prinzessin war wahrscheinlich nicht zufällig, sondern Teil einer strategischen Allianz zur Verführung Israels (vgl. Num 31,16). Die hohen sozialen Ränge beider Partner unterstreichen die Schwere der Tat und die politischen Dimensionen der Verschwörung gegen Israel. Die nachträgliche Namensnennung dient der historischen Dokumentation und zeigt, dass selbst hochrangige Personen dem göttlichen Gericht nicht entkommen.</w:t>
      </w:r>
    </w:p>
    <w:p w14:paraId="379B359C" w14:textId="77777777" w:rsidR="00A70521" w:rsidRPr="00A70521" w:rsidRDefault="00A70521" w:rsidP="00A70521">
      <w:pPr>
        <w:spacing w:before="100" w:beforeAutospacing="1" w:after="100" w:afterAutospacing="1" w:line="240" w:lineRule="auto"/>
        <w:outlineLvl w:val="0"/>
        <w:rPr>
          <w:rFonts w:eastAsia="Times New Roman" w:cs="Times New Roman"/>
          <w:b/>
          <w:bCs/>
          <w:kern w:val="36"/>
          <w:sz w:val="48"/>
          <w:szCs w:val="48"/>
          <w:lang w:eastAsia="de-DE"/>
        </w:rPr>
      </w:pPr>
      <w:r w:rsidRPr="00A70521">
        <w:rPr>
          <w:rFonts w:eastAsia="Times New Roman" w:cs="Times New Roman"/>
          <w:b/>
          <w:bCs/>
          <w:kern w:val="36"/>
          <w:sz w:val="48"/>
          <w:szCs w:val="48"/>
          <w:lang w:eastAsia="de-DE"/>
        </w:rPr>
        <w:t>Numeri 25,16</w:t>
      </w:r>
    </w:p>
    <w:p w14:paraId="58647B49"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Hebräisch:</w:t>
      </w:r>
      <w:r w:rsidRPr="00A70521">
        <w:rPr>
          <w:rFonts w:eastAsia="Times New Roman" w:cs="Times New Roman"/>
          <w:lang w:eastAsia="de-DE"/>
        </w:rPr>
        <w:t xml:space="preserve"> </w:t>
      </w:r>
      <w:r w:rsidRPr="00A70521">
        <w:rPr>
          <w:rFonts w:eastAsia="Times New Roman" w:cs="Times New Roman"/>
          <w:rtl/>
          <w:lang w:eastAsia="de-DE"/>
        </w:rPr>
        <w:t>וַיְדַבֵּ֥ר יְהוָ֖ה אֶל־מֹשֶׁ֥ה לֵּאמֹֽר׃</w:t>
      </w:r>
    </w:p>
    <w:p w14:paraId="21DA82A7"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Deutsch:</w:t>
      </w:r>
      <w:r w:rsidRPr="00A70521">
        <w:rPr>
          <w:rFonts w:eastAsia="Times New Roman" w:cs="Times New Roman"/>
          <w:lang w:eastAsia="de-DE"/>
        </w:rPr>
        <w:t xml:space="preserve"> Und der Ewige redete zu Mosche und sprach:</w:t>
      </w:r>
    </w:p>
    <w:p w14:paraId="56D3000E" w14:textId="77777777" w:rsidR="00A70521" w:rsidRPr="00A70521" w:rsidRDefault="00F329DD" w:rsidP="00A70521">
      <w:pPr>
        <w:spacing w:after="0" w:line="240" w:lineRule="auto"/>
        <w:rPr>
          <w:rFonts w:eastAsia="Times New Roman" w:cs="Times New Roman"/>
          <w:lang w:eastAsia="de-DE"/>
        </w:rPr>
      </w:pPr>
      <w:r>
        <w:rPr>
          <w:rFonts w:eastAsia="Times New Roman" w:cs="Times New Roman"/>
          <w:noProof/>
          <w:lang w:eastAsia="de-DE"/>
        </w:rPr>
        <w:pict w14:anchorId="4ABACAEE">
          <v:rect id="_x0000_i1867" style="width:0;height:1.5pt" o:hralign="center" o:hrstd="t" o:hr="t" fillcolor="#a0a0a0" stroked="f"/>
        </w:pict>
      </w:r>
    </w:p>
    <w:p w14:paraId="77B60C8C"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Kommentar:</w:t>
      </w:r>
      <w:r w:rsidRPr="00A70521">
        <w:rPr>
          <w:rFonts w:eastAsia="Times New Roman" w:cs="Times New Roman"/>
          <w:lang w:eastAsia="de-DE"/>
        </w:rPr>
        <w:t xml:space="preserve"> Der Vers ist wieder die Standard-Redeeinleitung für eine neue göttliche Anweisung. </w:t>
      </w:r>
      <w:r w:rsidRPr="00A70521">
        <w:rPr>
          <w:rFonts w:eastAsia="Times New Roman" w:cs="Times New Roman"/>
          <w:b/>
          <w:bCs/>
          <w:rtl/>
          <w:lang w:eastAsia="de-DE"/>
        </w:rPr>
        <w:t>וַיְדַבֵּר יהוה אֶל־מֹשֶׁה לֵּאמֹר</w:t>
      </w:r>
      <w:r w:rsidRPr="00A70521">
        <w:rPr>
          <w:rFonts w:eastAsia="Times New Roman" w:cs="Times New Roman"/>
          <w:rtl/>
          <w:lang w:eastAsia="de-DE"/>
        </w:rPr>
        <w:t xml:space="preserve"> </w:t>
      </w:r>
      <w:r w:rsidRPr="00A70521">
        <w:rPr>
          <w:rFonts w:eastAsia="Times New Roman" w:cs="Times New Roman"/>
          <w:lang w:eastAsia="de-DE"/>
        </w:rPr>
        <w:t>folgt dem bekannten Muster (vgl. V. 10). Die erneute Redeeinleitung markiert einen thematischen Übergang von der Belohnung des Pinehas zum Befehl gegen die Midjaniter.</w:t>
      </w:r>
    </w:p>
    <w:p w14:paraId="1E0C538B" w14:textId="3590CF53"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Die LXX</w:t>
      </w:r>
      <w:r w:rsidRPr="00A70521">
        <w:rPr>
          <w:rFonts w:eastAsia="Times New Roman" w:cs="Times New Roman"/>
          <w:lang w:eastAsia="de-DE"/>
        </w:rPr>
        <w:t xml:space="preserve"> </w:t>
      </w:r>
      <w:r w:rsidR="0033022C">
        <w:rPr>
          <w:rStyle w:val="Fett"/>
        </w:rPr>
        <w:t>Vers 16-17:</w:t>
      </w:r>
      <w:r w:rsidR="0033022C">
        <w:t xml:space="preserve"> </w:t>
      </w:r>
      <w:r w:rsidR="0033022C">
        <w:rPr>
          <w:rStyle w:val="Fett"/>
        </w:rPr>
        <w:t>Die LXX</w:t>
      </w:r>
      <w:r w:rsidR="0033022C">
        <w:t xml:space="preserve"> fügt „Λάλησον τοῖς υἱοῖς Ἰσραὴλ λέγων" (Sprich zu den Söhnen Israels, sagend) zu Vers 16 hinzu, was im MT erst in späteren Zusammenhängen erscheint.</w:t>
      </w:r>
    </w:p>
    <w:p w14:paraId="59EDB890"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Die Satzstruktur ist eine einfache Redeeinleitung.</w:t>
      </w:r>
    </w:p>
    <w:p w14:paraId="0FCE4794"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lastRenderedPageBreak/>
        <w:t>Der Vers leitet den göttlichen Befehl zum Krieg gegen Midjan ein, der die langfristigen Konsequenzen der Verführung aufzeigt.</w:t>
      </w:r>
    </w:p>
    <w:p w14:paraId="779CB561" w14:textId="77777777" w:rsidR="00A70521" w:rsidRPr="00A70521" w:rsidRDefault="00A70521" w:rsidP="00A70521">
      <w:pPr>
        <w:spacing w:before="100" w:beforeAutospacing="1" w:after="100" w:afterAutospacing="1" w:line="240" w:lineRule="auto"/>
        <w:outlineLvl w:val="0"/>
        <w:rPr>
          <w:rFonts w:eastAsia="Times New Roman" w:cs="Times New Roman"/>
          <w:b/>
          <w:bCs/>
          <w:kern w:val="36"/>
          <w:sz w:val="48"/>
          <w:szCs w:val="48"/>
          <w:lang w:eastAsia="de-DE"/>
        </w:rPr>
      </w:pPr>
      <w:r w:rsidRPr="00A70521">
        <w:rPr>
          <w:rFonts w:eastAsia="Times New Roman" w:cs="Times New Roman"/>
          <w:b/>
          <w:bCs/>
          <w:kern w:val="36"/>
          <w:sz w:val="48"/>
          <w:szCs w:val="48"/>
          <w:lang w:eastAsia="de-DE"/>
        </w:rPr>
        <w:t>Numeri 25,17</w:t>
      </w:r>
    </w:p>
    <w:p w14:paraId="51E7486B"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Hebräisch:</w:t>
      </w:r>
      <w:r w:rsidRPr="00A70521">
        <w:rPr>
          <w:rFonts w:eastAsia="Times New Roman" w:cs="Times New Roman"/>
          <w:lang w:eastAsia="de-DE"/>
        </w:rPr>
        <w:t xml:space="preserve"> </w:t>
      </w:r>
      <w:r w:rsidRPr="00A70521">
        <w:rPr>
          <w:rFonts w:eastAsia="Times New Roman" w:cs="Times New Roman"/>
          <w:rtl/>
          <w:lang w:eastAsia="de-DE"/>
        </w:rPr>
        <w:t>צָר֖וֹר אֶת־הַמִּדְיָנִ֑ים וְהִכִּיתֶ֖ם אוֹתָֽם׃</w:t>
      </w:r>
    </w:p>
    <w:p w14:paraId="30D20637"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Deutsch:</w:t>
      </w:r>
      <w:r w:rsidRPr="00A70521">
        <w:rPr>
          <w:rFonts w:eastAsia="Times New Roman" w:cs="Times New Roman"/>
          <w:lang w:eastAsia="de-DE"/>
        </w:rPr>
        <w:t xml:space="preserve"> „Bedränge die Midjanim und schlag sie,</w:t>
      </w:r>
    </w:p>
    <w:p w14:paraId="0445418D" w14:textId="77777777" w:rsidR="00A70521" w:rsidRPr="00A70521" w:rsidRDefault="00F329DD" w:rsidP="00A70521">
      <w:pPr>
        <w:spacing w:after="0" w:line="240" w:lineRule="auto"/>
        <w:rPr>
          <w:rFonts w:eastAsia="Times New Roman" w:cs="Times New Roman"/>
          <w:lang w:eastAsia="de-DE"/>
        </w:rPr>
      </w:pPr>
      <w:r>
        <w:rPr>
          <w:rFonts w:eastAsia="Times New Roman" w:cs="Times New Roman"/>
          <w:noProof/>
          <w:lang w:eastAsia="de-DE"/>
        </w:rPr>
        <w:pict w14:anchorId="7B07E7CC">
          <v:rect id="_x0000_i1868" style="width:0;height:1.5pt" o:hralign="center" o:hrstd="t" o:hr="t" fillcolor="#a0a0a0" stroked="f"/>
        </w:pict>
      </w:r>
    </w:p>
    <w:p w14:paraId="6FF08254"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Kommentar:</w:t>
      </w:r>
      <w:r w:rsidRPr="00A70521">
        <w:rPr>
          <w:rFonts w:eastAsia="Times New Roman" w:cs="Times New Roman"/>
          <w:lang w:eastAsia="de-DE"/>
        </w:rPr>
        <w:t xml:space="preserve"> Der Vers enthält den göttlichen Kriegsbefehl. </w:t>
      </w:r>
      <w:r w:rsidRPr="00A70521">
        <w:rPr>
          <w:rFonts w:eastAsia="Times New Roman" w:cs="Times New Roman"/>
          <w:b/>
          <w:bCs/>
          <w:rtl/>
          <w:lang w:eastAsia="de-DE"/>
        </w:rPr>
        <w:t>צָרוֹר אֶת־הַמִּדְיָנִים</w:t>
      </w:r>
      <w:r w:rsidRPr="00A70521">
        <w:rPr>
          <w:rFonts w:eastAsia="Times New Roman" w:cs="Times New Roman"/>
          <w:rtl/>
          <w:lang w:eastAsia="de-DE"/>
        </w:rPr>
        <w:t xml:space="preserve"> </w:t>
      </w:r>
      <w:r w:rsidRPr="00A70521">
        <w:rPr>
          <w:rFonts w:eastAsia="Times New Roman" w:cs="Times New Roman"/>
          <w:lang w:eastAsia="de-DE"/>
        </w:rPr>
        <w:t xml:space="preserve">ist der erste Imperativ. </w:t>
      </w:r>
      <w:r w:rsidRPr="00A70521">
        <w:rPr>
          <w:rFonts w:eastAsia="Times New Roman" w:cs="Times New Roman"/>
          <w:b/>
          <w:bCs/>
          <w:rtl/>
          <w:lang w:eastAsia="de-DE"/>
        </w:rPr>
        <w:t>צָרוֹר</w:t>
      </w:r>
      <w:r w:rsidRPr="00A70521">
        <w:rPr>
          <w:rFonts w:eastAsia="Times New Roman" w:cs="Times New Roman"/>
          <w:rtl/>
          <w:lang w:eastAsia="de-DE"/>
        </w:rPr>
        <w:t xml:space="preserve"> </w:t>
      </w:r>
      <w:r w:rsidRPr="00A70521">
        <w:rPr>
          <w:rFonts w:eastAsia="Times New Roman" w:cs="Times New Roman"/>
          <w:lang w:eastAsia="de-DE"/>
        </w:rPr>
        <w:t xml:space="preserve">ist Qal Imperativ maskulin Singular von </w:t>
      </w:r>
      <w:r w:rsidRPr="00A70521">
        <w:rPr>
          <w:rFonts w:eastAsia="Times New Roman" w:cs="Times New Roman"/>
          <w:b/>
          <w:bCs/>
          <w:rtl/>
          <w:lang w:eastAsia="de-DE"/>
        </w:rPr>
        <w:t>צרר</w:t>
      </w:r>
      <w:r w:rsidRPr="00A70521">
        <w:rPr>
          <w:rFonts w:eastAsia="Times New Roman" w:cs="Times New Roman"/>
          <w:rtl/>
          <w:lang w:eastAsia="de-DE"/>
        </w:rPr>
        <w:t xml:space="preserve"> </w:t>
      </w:r>
      <w:r w:rsidRPr="00A70521">
        <w:rPr>
          <w:rFonts w:eastAsia="Times New Roman" w:cs="Times New Roman"/>
          <w:lang w:eastAsia="de-DE"/>
        </w:rPr>
        <w:t xml:space="preserve">(„bedrängen, in Bedrängnis bringen, als Feind behandeln"). Das Verb bezeichnet feindselige Handlungen und kann auch „angreifen" bedeuten. </w:t>
      </w:r>
      <w:r w:rsidRPr="00A70521">
        <w:rPr>
          <w:rFonts w:eastAsia="Times New Roman" w:cs="Times New Roman"/>
          <w:b/>
          <w:bCs/>
          <w:rtl/>
          <w:lang w:eastAsia="de-DE"/>
        </w:rPr>
        <w:t>אֶת־הַמִּדְיָנִים</w:t>
      </w:r>
      <w:r w:rsidRPr="00A70521">
        <w:rPr>
          <w:rFonts w:eastAsia="Times New Roman" w:cs="Times New Roman"/>
          <w:rtl/>
          <w:lang w:eastAsia="de-DE"/>
        </w:rPr>
        <w:t xml:space="preserve"> </w:t>
      </w:r>
      <w:r w:rsidRPr="00A70521">
        <w:rPr>
          <w:rFonts w:eastAsia="Times New Roman" w:cs="Times New Roman"/>
          <w:lang w:eastAsia="de-DE"/>
        </w:rPr>
        <w:t xml:space="preserve">ist das Akkusativobjekt: </w:t>
      </w:r>
      <w:r w:rsidRPr="00A70521">
        <w:rPr>
          <w:rFonts w:eastAsia="Times New Roman" w:cs="Times New Roman"/>
          <w:b/>
          <w:bCs/>
          <w:rtl/>
          <w:lang w:eastAsia="de-DE"/>
        </w:rPr>
        <w:t>הַמִּדְיָנִים</w:t>
      </w:r>
      <w:r w:rsidRPr="00A70521">
        <w:rPr>
          <w:rFonts w:eastAsia="Times New Roman" w:cs="Times New Roman"/>
          <w:rtl/>
          <w:lang w:eastAsia="de-DE"/>
        </w:rPr>
        <w:t xml:space="preserve"> </w:t>
      </w:r>
      <w:r w:rsidRPr="00A70521">
        <w:rPr>
          <w:rFonts w:eastAsia="Times New Roman" w:cs="Times New Roman"/>
          <w:lang w:eastAsia="de-DE"/>
        </w:rPr>
        <w:t>ist der maskuline Plural des Gentiliziums („die Midjaniter") mit Artikel. Die Midjaniter sind kollektiv als Volk angesprochen, nicht nur die beteiligten Individuen.</w:t>
      </w:r>
    </w:p>
    <w:p w14:paraId="78C4D4FC"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rtl/>
          <w:lang w:eastAsia="de-DE"/>
        </w:rPr>
        <w:t>וְהִכִּיתֶם אוֹתָם</w:t>
      </w:r>
      <w:r w:rsidRPr="00A70521">
        <w:rPr>
          <w:rFonts w:eastAsia="Times New Roman" w:cs="Times New Roman"/>
          <w:rtl/>
          <w:lang w:eastAsia="de-DE"/>
        </w:rPr>
        <w:t xml:space="preserve"> </w:t>
      </w:r>
      <w:r w:rsidRPr="00A70521">
        <w:rPr>
          <w:rFonts w:eastAsia="Times New Roman" w:cs="Times New Roman"/>
          <w:lang w:eastAsia="de-DE"/>
        </w:rPr>
        <w:t xml:space="preserve">ist der zweite, intensivere Imperativ. </w:t>
      </w:r>
      <w:r w:rsidRPr="00A70521">
        <w:rPr>
          <w:rFonts w:eastAsia="Times New Roman" w:cs="Times New Roman"/>
          <w:b/>
          <w:bCs/>
          <w:rtl/>
          <w:lang w:eastAsia="de-DE"/>
        </w:rPr>
        <w:t>וְהִכִּיתֶם</w:t>
      </w:r>
      <w:r w:rsidRPr="00A70521">
        <w:rPr>
          <w:rFonts w:eastAsia="Times New Roman" w:cs="Times New Roman"/>
          <w:rtl/>
          <w:lang w:eastAsia="de-DE"/>
        </w:rPr>
        <w:t xml:space="preserve"> </w:t>
      </w:r>
      <w:r w:rsidRPr="00A70521">
        <w:rPr>
          <w:rFonts w:eastAsia="Times New Roman" w:cs="Times New Roman"/>
          <w:lang w:eastAsia="de-DE"/>
        </w:rPr>
        <w:t xml:space="preserve">ist Hiphil Perfekt (mit Waw consecutivum) oder Imperativ 2. Person maskulin Plural von </w:t>
      </w:r>
      <w:r w:rsidRPr="00A70521">
        <w:rPr>
          <w:rFonts w:eastAsia="Times New Roman" w:cs="Times New Roman"/>
          <w:b/>
          <w:bCs/>
          <w:rtl/>
          <w:lang w:eastAsia="de-DE"/>
        </w:rPr>
        <w:t>נכה</w:t>
      </w:r>
      <w:r w:rsidRPr="00A70521">
        <w:rPr>
          <w:rFonts w:eastAsia="Times New Roman" w:cs="Times New Roman"/>
          <w:rtl/>
          <w:lang w:eastAsia="de-DE"/>
        </w:rPr>
        <w:t xml:space="preserve"> </w:t>
      </w:r>
      <w:r w:rsidRPr="00A70521">
        <w:rPr>
          <w:rFonts w:eastAsia="Times New Roman" w:cs="Times New Roman"/>
          <w:lang w:eastAsia="de-DE"/>
        </w:rPr>
        <w:t xml:space="preserve">(„schlagen, erschlagen"), im Hiphil intensiv „niederschlagen, vernichten". </w:t>
      </w:r>
      <w:r w:rsidRPr="00A70521">
        <w:rPr>
          <w:rFonts w:eastAsia="Times New Roman" w:cs="Times New Roman"/>
          <w:b/>
          <w:bCs/>
          <w:rtl/>
          <w:lang w:eastAsia="de-DE"/>
        </w:rPr>
        <w:t>אוֹתָם</w:t>
      </w:r>
      <w:r w:rsidRPr="00A70521">
        <w:rPr>
          <w:rFonts w:eastAsia="Times New Roman" w:cs="Times New Roman"/>
          <w:rtl/>
          <w:lang w:eastAsia="de-DE"/>
        </w:rPr>
        <w:t xml:space="preserve"> </w:t>
      </w:r>
      <w:r w:rsidRPr="00A70521">
        <w:rPr>
          <w:rFonts w:eastAsia="Times New Roman" w:cs="Times New Roman"/>
          <w:lang w:eastAsia="de-DE"/>
        </w:rPr>
        <w:t xml:space="preserve">ist das Akkusativpronomen 3. Person maskulin Plural („sie"). Die Formulierung ist militärisch und befiehlt die gewaltsame Bestrafung der Midjaniter. Die Eskalation von </w:t>
      </w:r>
      <w:r w:rsidRPr="00A70521">
        <w:rPr>
          <w:rFonts w:eastAsia="Times New Roman" w:cs="Times New Roman"/>
          <w:b/>
          <w:bCs/>
          <w:rtl/>
          <w:lang w:eastAsia="de-DE"/>
        </w:rPr>
        <w:t>צרר</w:t>
      </w:r>
      <w:r w:rsidRPr="00A70521">
        <w:rPr>
          <w:rFonts w:eastAsia="Times New Roman" w:cs="Times New Roman"/>
          <w:rtl/>
          <w:lang w:eastAsia="de-DE"/>
        </w:rPr>
        <w:t xml:space="preserve"> </w:t>
      </w:r>
      <w:r w:rsidRPr="00A70521">
        <w:rPr>
          <w:rFonts w:eastAsia="Times New Roman" w:cs="Times New Roman"/>
          <w:lang w:eastAsia="de-DE"/>
        </w:rPr>
        <w:t xml:space="preserve">(„bedrängen") zu </w:t>
      </w:r>
      <w:r w:rsidRPr="00A70521">
        <w:rPr>
          <w:rFonts w:eastAsia="Times New Roman" w:cs="Times New Roman"/>
          <w:b/>
          <w:bCs/>
          <w:rtl/>
          <w:lang w:eastAsia="de-DE"/>
        </w:rPr>
        <w:t>נכה</w:t>
      </w:r>
      <w:r w:rsidRPr="00A70521">
        <w:rPr>
          <w:rFonts w:eastAsia="Times New Roman" w:cs="Times New Roman"/>
          <w:rtl/>
          <w:lang w:eastAsia="de-DE"/>
        </w:rPr>
        <w:t xml:space="preserve"> </w:t>
      </w:r>
      <w:r w:rsidRPr="00A70521">
        <w:rPr>
          <w:rFonts w:eastAsia="Times New Roman" w:cs="Times New Roman"/>
          <w:lang w:eastAsia="de-DE"/>
        </w:rPr>
        <w:t>(„schlagen") zeigt die Intensität des göttlichen Zorns.</w:t>
      </w:r>
    </w:p>
    <w:p w14:paraId="322BCD25"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Die LXX</w:t>
      </w:r>
      <w:r w:rsidRPr="00A70521">
        <w:rPr>
          <w:rFonts w:eastAsia="Times New Roman" w:cs="Times New Roman"/>
          <w:lang w:eastAsia="de-DE"/>
        </w:rPr>
        <w:t xml:space="preserve"> übersetzt </w:t>
      </w:r>
      <w:r w:rsidRPr="00A70521">
        <w:rPr>
          <w:rFonts w:eastAsia="Times New Roman" w:cs="Times New Roman"/>
          <w:b/>
          <w:bCs/>
          <w:rtl/>
          <w:lang w:eastAsia="de-DE"/>
        </w:rPr>
        <w:t>צָרוֹר</w:t>
      </w:r>
      <w:r w:rsidRPr="00A70521">
        <w:rPr>
          <w:rFonts w:eastAsia="Times New Roman" w:cs="Times New Roman"/>
          <w:rtl/>
          <w:lang w:eastAsia="de-DE"/>
        </w:rPr>
        <w:t xml:space="preserve"> </w:t>
      </w:r>
      <w:r w:rsidRPr="00A70521">
        <w:rPr>
          <w:rFonts w:eastAsia="Times New Roman" w:cs="Times New Roman"/>
          <w:lang w:eastAsia="de-DE"/>
        </w:rPr>
        <w:t xml:space="preserve">mit ἐχθραίνετε („seid feindlich, behandelt als Feinde"), was die Grundbedeutung gut wiedergibt. Bei </w:t>
      </w:r>
      <w:r w:rsidRPr="00A70521">
        <w:rPr>
          <w:rFonts w:eastAsia="Times New Roman" w:cs="Times New Roman"/>
          <w:b/>
          <w:bCs/>
          <w:rtl/>
          <w:lang w:eastAsia="de-DE"/>
        </w:rPr>
        <w:t>וְהִכִּיתֶם</w:t>
      </w:r>
      <w:r w:rsidRPr="00A70521">
        <w:rPr>
          <w:rFonts w:eastAsia="Times New Roman" w:cs="Times New Roman"/>
          <w:rtl/>
          <w:lang w:eastAsia="de-DE"/>
        </w:rPr>
        <w:t xml:space="preserve"> </w:t>
      </w:r>
      <w:r w:rsidRPr="00A70521">
        <w:rPr>
          <w:rFonts w:eastAsia="Times New Roman" w:cs="Times New Roman"/>
          <w:lang w:eastAsia="de-DE"/>
        </w:rPr>
        <w:t>verwendet sie πατάξατε („schlagt"), eine standard-Entsprechung.</w:t>
      </w:r>
    </w:p>
    <w:p w14:paraId="5569D92F"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Die Satzstruktur zeigt zwei koordinierte Imperative, die einen eskalierenden Befehl bilden: erst Feindschaft, dann militärische Aktion.</w:t>
      </w:r>
    </w:p>
    <w:p w14:paraId="58BDCA9F"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Der Vers befiehlt den Heiligen Krieg gegen die Midjaniter als Vergeltung für ihre Verführung Israels. Die Härte des Befehls spiegelt die Schwere der Sünde: Die Midjaniter haben nicht nur individuell gesündigt, sondern systematisch versucht, Israel von JHWH abzubringen. Der Befehl wird in Num 31 ausgeführt.</w:t>
      </w:r>
    </w:p>
    <w:p w14:paraId="04131AD8" w14:textId="77777777" w:rsidR="00A70521" w:rsidRPr="00A70521" w:rsidRDefault="00A70521" w:rsidP="00A70521">
      <w:pPr>
        <w:spacing w:before="100" w:beforeAutospacing="1" w:after="100" w:afterAutospacing="1" w:line="240" w:lineRule="auto"/>
        <w:outlineLvl w:val="0"/>
        <w:rPr>
          <w:rFonts w:eastAsia="Times New Roman" w:cs="Times New Roman"/>
          <w:b/>
          <w:bCs/>
          <w:kern w:val="36"/>
          <w:sz w:val="48"/>
          <w:szCs w:val="48"/>
          <w:lang w:eastAsia="de-DE"/>
        </w:rPr>
      </w:pPr>
      <w:r w:rsidRPr="00A70521">
        <w:rPr>
          <w:rFonts w:eastAsia="Times New Roman" w:cs="Times New Roman"/>
          <w:b/>
          <w:bCs/>
          <w:kern w:val="36"/>
          <w:sz w:val="48"/>
          <w:szCs w:val="48"/>
          <w:lang w:eastAsia="de-DE"/>
        </w:rPr>
        <w:t>Numeri 25,18</w:t>
      </w:r>
    </w:p>
    <w:p w14:paraId="6BF98537"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Hebräisch:</w:t>
      </w:r>
      <w:r w:rsidRPr="00A70521">
        <w:rPr>
          <w:rFonts w:eastAsia="Times New Roman" w:cs="Times New Roman"/>
          <w:lang w:eastAsia="de-DE"/>
        </w:rPr>
        <w:t xml:space="preserve"> </w:t>
      </w:r>
      <w:r w:rsidRPr="00A70521">
        <w:rPr>
          <w:rFonts w:eastAsia="Times New Roman" w:cs="Times New Roman"/>
          <w:rtl/>
          <w:lang w:eastAsia="de-DE"/>
        </w:rPr>
        <w:t>כִּ֣י צֹרְרִ֥ים הֵם֙ לָכֶ֔ם בְּנִכְלֵיהֶ֛ם אֲשֶׁר־נִכְּל֥וּ לָכֶ֖ם עַל־דְּבַר־פְּע֑וֹר וְעַל־דְּבַ֞ר כָּזְבִּ֨י בַת־נְשִׂ֤יא מִדְיָן֙ אֲחֹתָ֔ם הַמֻּכָּ֥ה בְיוֹם־הַמַּגֵּפָ֖ה עַל־דְּבַר־פְּעֽוֹר׃</w:t>
      </w:r>
    </w:p>
    <w:p w14:paraId="5E788A63"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Deutsch:</w:t>
      </w:r>
      <w:r w:rsidRPr="00A70521">
        <w:rPr>
          <w:rFonts w:eastAsia="Times New Roman" w:cs="Times New Roman"/>
          <w:lang w:eastAsia="de-DE"/>
        </w:rPr>
        <w:t xml:space="preserve"> denn sie sind euch Bedränger mit ihren Listen, mit denen sie euch überlistet haben in der Sache des Peor und in der Sache der Kosbi, der Tochter eines Fürsten von Midjan, ihrer Schwester, die erschlagen wurde am Tag der Plage wegen der Sache des Peor.</w:t>
      </w:r>
    </w:p>
    <w:p w14:paraId="5161D819" w14:textId="77777777" w:rsidR="00A70521" w:rsidRPr="00A70521" w:rsidRDefault="00F329DD" w:rsidP="00A70521">
      <w:pPr>
        <w:spacing w:after="0" w:line="240" w:lineRule="auto"/>
        <w:rPr>
          <w:rFonts w:eastAsia="Times New Roman" w:cs="Times New Roman"/>
          <w:lang w:eastAsia="de-DE"/>
        </w:rPr>
      </w:pPr>
      <w:r>
        <w:rPr>
          <w:rFonts w:eastAsia="Times New Roman" w:cs="Times New Roman"/>
          <w:noProof/>
          <w:lang w:eastAsia="de-DE"/>
        </w:rPr>
        <w:pict w14:anchorId="7954670E">
          <v:rect id="_x0000_i1869" style="width:0;height:1.5pt" o:hralign="center" o:hrstd="t" o:hr="t" fillcolor="#a0a0a0" stroked="f"/>
        </w:pict>
      </w:r>
    </w:p>
    <w:p w14:paraId="31AC12A5"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lastRenderedPageBreak/>
        <w:t>Kommentar:</w:t>
      </w:r>
      <w:r w:rsidRPr="00A70521">
        <w:rPr>
          <w:rFonts w:eastAsia="Times New Roman" w:cs="Times New Roman"/>
          <w:lang w:eastAsia="de-DE"/>
        </w:rPr>
        <w:t xml:space="preserve"> Der Vers begründet den Kriegsbefehl ausführlich. </w:t>
      </w:r>
      <w:r w:rsidRPr="00A70521">
        <w:rPr>
          <w:rFonts w:eastAsia="Times New Roman" w:cs="Times New Roman"/>
          <w:b/>
          <w:bCs/>
          <w:rtl/>
          <w:lang w:eastAsia="de-DE"/>
        </w:rPr>
        <w:t>כִּי צֹרְרִים הֵם לָכֶם</w:t>
      </w:r>
      <w:r w:rsidRPr="00A70521">
        <w:rPr>
          <w:rFonts w:eastAsia="Times New Roman" w:cs="Times New Roman"/>
          <w:rtl/>
          <w:lang w:eastAsia="de-DE"/>
        </w:rPr>
        <w:t xml:space="preserve"> </w:t>
      </w:r>
      <w:r w:rsidRPr="00A70521">
        <w:rPr>
          <w:rFonts w:eastAsia="Times New Roman" w:cs="Times New Roman"/>
          <w:lang w:eastAsia="de-DE"/>
        </w:rPr>
        <w:t xml:space="preserve">ist die Hauptaussage. </w:t>
      </w:r>
      <w:r w:rsidRPr="00A70521">
        <w:rPr>
          <w:rFonts w:eastAsia="Times New Roman" w:cs="Times New Roman"/>
          <w:b/>
          <w:bCs/>
          <w:rtl/>
          <w:lang w:eastAsia="de-DE"/>
        </w:rPr>
        <w:t>כִּי</w:t>
      </w:r>
      <w:r w:rsidRPr="00A70521">
        <w:rPr>
          <w:rFonts w:eastAsia="Times New Roman" w:cs="Times New Roman"/>
          <w:rtl/>
          <w:lang w:eastAsia="de-DE"/>
        </w:rPr>
        <w:t xml:space="preserve"> </w:t>
      </w:r>
      <w:r w:rsidRPr="00A70521">
        <w:rPr>
          <w:rFonts w:eastAsia="Times New Roman" w:cs="Times New Roman"/>
          <w:lang w:eastAsia="de-DE"/>
        </w:rPr>
        <w:t xml:space="preserve">(„denn, weil") ist die kausale Konjunktion, </w:t>
      </w:r>
      <w:r w:rsidRPr="00A70521">
        <w:rPr>
          <w:rFonts w:eastAsia="Times New Roman" w:cs="Times New Roman"/>
          <w:b/>
          <w:bCs/>
          <w:rtl/>
          <w:lang w:eastAsia="de-DE"/>
        </w:rPr>
        <w:t>צֹרְרִים</w:t>
      </w:r>
      <w:r w:rsidRPr="00A70521">
        <w:rPr>
          <w:rFonts w:eastAsia="Times New Roman" w:cs="Times New Roman"/>
          <w:rtl/>
          <w:lang w:eastAsia="de-DE"/>
        </w:rPr>
        <w:t xml:space="preserve"> </w:t>
      </w:r>
      <w:r w:rsidRPr="00A70521">
        <w:rPr>
          <w:rFonts w:eastAsia="Times New Roman" w:cs="Times New Roman"/>
          <w:lang w:eastAsia="de-DE"/>
        </w:rPr>
        <w:t xml:space="preserve">ist Qal-Partizip maskulin Plural von </w:t>
      </w:r>
      <w:r w:rsidRPr="00A70521">
        <w:rPr>
          <w:rFonts w:eastAsia="Times New Roman" w:cs="Times New Roman"/>
          <w:b/>
          <w:bCs/>
          <w:rtl/>
          <w:lang w:eastAsia="de-DE"/>
        </w:rPr>
        <w:t>צרר</w:t>
      </w:r>
      <w:r w:rsidRPr="00A70521">
        <w:rPr>
          <w:rFonts w:eastAsia="Times New Roman" w:cs="Times New Roman"/>
          <w:rtl/>
          <w:lang w:eastAsia="de-DE"/>
        </w:rPr>
        <w:t xml:space="preserve"> </w:t>
      </w:r>
      <w:r w:rsidRPr="00A70521">
        <w:rPr>
          <w:rFonts w:eastAsia="Times New Roman" w:cs="Times New Roman"/>
          <w:lang w:eastAsia="de-DE"/>
        </w:rPr>
        <w:t xml:space="preserve">(„bedrängen, Feind sein"), substantiviert als „Bedränger, Feinde". </w:t>
      </w:r>
      <w:r w:rsidRPr="00A70521">
        <w:rPr>
          <w:rFonts w:eastAsia="Times New Roman" w:cs="Times New Roman"/>
          <w:b/>
          <w:bCs/>
          <w:rtl/>
          <w:lang w:eastAsia="de-DE"/>
        </w:rPr>
        <w:t>הֵם</w:t>
      </w:r>
      <w:r w:rsidRPr="00A70521">
        <w:rPr>
          <w:rFonts w:eastAsia="Times New Roman" w:cs="Times New Roman"/>
          <w:rtl/>
          <w:lang w:eastAsia="de-DE"/>
        </w:rPr>
        <w:t xml:space="preserve"> </w:t>
      </w:r>
      <w:r w:rsidRPr="00A70521">
        <w:rPr>
          <w:rFonts w:eastAsia="Times New Roman" w:cs="Times New Roman"/>
          <w:lang w:eastAsia="de-DE"/>
        </w:rPr>
        <w:t xml:space="preserve">ist das Personalpronomen 3. Person maskulin Plural („sie"), </w:t>
      </w:r>
      <w:r w:rsidRPr="00A70521">
        <w:rPr>
          <w:rFonts w:eastAsia="Times New Roman" w:cs="Times New Roman"/>
          <w:b/>
          <w:bCs/>
          <w:rtl/>
          <w:lang w:eastAsia="de-DE"/>
        </w:rPr>
        <w:t>לָכֶם</w:t>
      </w:r>
      <w:r w:rsidRPr="00A70521">
        <w:rPr>
          <w:rFonts w:eastAsia="Times New Roman" w:cs="Times New Roman"/>
          <w:rtl/>
          <w:lang w:eastAsia="de-DE"/>
        </w:rPr>
        <w:t xml:space="preserve"> </w:t>
      </w:r>
      <w:r w:rsidRPr="00A70521">
        <w:rPr>
          <w:rFonts w:eastAsia="Times New Roman" w:cs="Times New Roman"/>
          <w:lang w:eastAsia="de-DE"/>
        </w:rPr>
        <w:t xml:space="preserve">(Präposition </w:t>
      </w:r>
      <w:r w:rsidRPr="00A70521">
        <w:rPr>
          <w:rFonts w:eastAsia="Times New Roman" w:cs="Times New Roman"/>
          <w:b/>
          <w:bCs/>
          <w:rtl/>
          <w:lang w:eastAsia="de-DE"/>
        </w:rPr>
        <w:t>לְ</w:t>
      </w:r>
      <w:r w:rsidRPr="00A70521">
        <w:rPr>
          <w:rFonts w:eastAsia="Times New Roman" w:cs="Times New Roman"/>
          <w:rtl/>
          <w:lang w:eastAsia="de-DE"/>
        </w:rPr>
        <w:t xml:space="preserve"> </w:t>
      </w:r>
      <w:r w:rsidRPr="00A70521">
        <w:rPr>
          <w:rFonts w:eastAsia="Times New Roman" w:cs="Times New Roman"/>
          <w:lang w:eastAsia="de-DE"/>
        </w:rPr>
        <w:t>mit Suffix 2. Person maskulin Plural „für euch, euch gegenüber") zeigt die Richtung der Feindschaft. Die Partizipialkonstruktion beschreibt einen andauernden Zustand: Die Midjaniter sind und bleiben Feinde Israels.</w:t>
      </w:r>
    </w:p>
    <w:p w14:paraId="31541C6F"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rtl/>
          <w:lang w:eastAsia="de-DE"/>
        </w:rPr>
        <w:t>בְּנִכְלֵיהֶם אֲשֶׁר־נִכְּלוּ לָכֶם</w:t>
      </w:r>
      <w:r w:rsidRPr="00A70521">
        <w:rPr>
          <w:rFonts w:eastAsia="Times New Roman" w:cs="Times New Roman"/>
          <w:rtl/>
          <w:lang w:eastAsia="de-DE"/>
        </w:rPr>
        <w:t xml:space="preserve"> </w:t>
      </w:r>
      <w:r w:rsidRPr="00A70521">
        <w:rPr>
          <w:rFonts w:eastAsia="Times New Roman" w:cs="Times New Roman"/>
          <w:lang w:eastAsia="de-DE"/>
        </w:rPr>
        <w:t xml:space="preserve">spezifiziert die Art der Feindschaft. </w:t>
      </w:r>
      <w:r w:rsidRPr="00A70521">
        <w:rPr>
          <w:rFonts w:eastAsia="Times New Roman" w:cs="Times New Roman"/>
          <w:b/>
          <w:bCs/>
          <w:rtl/>
          <w:lang w:eastAsia="de-DE"/>
        </w:rPr>
        <w:t>בְּנִכְלֵיהֶם</w:t>
      </w:r>
      <w:r w:rsidRPr="00A70521">
        <w:rPr>
          <w:rFonts w:eastAsia="Times New Roman" w:cs="Times New Roman"/>
          <w:rtl/>
          <w:lang w:eastAsia="de-DE"/>
        </w:rPr>
        <w:t xml:space="preserve"> </w:t>
      </w:r>
      <w:r w:rsidRPr="00A70521">
        <w:rPr>
          <w:rFonts w:eastAsia="Times New Roman" w:cs="Times New Roman"/>
          <w:lang w:eastAsia="de-DE"/>
        </w:rPr>
        <w:t xml:space="preserve">(Präposition </w:t>
      </w:r>
      <w:r w:rsidRPr="00A70521">
        <w:rPr>
          <w:rFonts w:eastAsia="Times New Roman" w:cs="Times New Roman"/>
          <w:b/>
          <w:bCs/>
          <w:rtl/>
          <w:lang w:eastAsia="de-DE"/>
        </w:rPr>
        <w:t>בְּ</w:t>
      </w:r>
      <w:r w:rsidRPr="00A70521">
        <w:rPr>
          <w:rFonts w:eastAsia="Times New Roman" w:cs="Times New Roman"/>
          <w:rtl/>
          <w:lang w:eastAsia="de-DE"/>
        </w:rPr>
        <w:t xml:space="preserve"> </w:t>
      </w:r>
      <w:r w:rsidRPr="00A70521">
        <w:rPr>
          <w:rFonts w:eastAsia="Times New Roman" w:cs="Times New Roman"/>
          <w:lang w:eastAsia="de-DE"/>
        </w:rPr>
        <w:t xml:space="preserve">mit </w:t>
      </w:r>
      <w:r w:rsidRPr="00A70521">
        <w:rPr>
          <w:rFonts w:eastAsia="Times New Roman" w:cs="Times New Roman"/>
          <w:b/>
          <w:bCs/>
          <w:rtl/>
          <w:lang w:eastAsia="de-DE"/>
        </w:rPr>
        <w:t>נֵכֶל</w:t>
      </w:r>
      <w:r w:rsidRPr="00A70521">
        <w:rPr>
          <w:rFonts w:eastAsia="Times New Roman" w:cs="Times New Roman"/>
          <w:rtl/>
          <w:lang w:eastAsia="de-DE"/>
        </w:rPr>
        <w:t xml:space="preserve"> </w:t>
      </w:r>
      <w:r w:rsidRPr="00A70521">
        <w:rPr>
          <w:rFonts w:eastAsia="Times New Roman" w:cs="Times New Roman"/>
          <w:lang w:eastAsia="de-DE"/>
        </w:rPr>
        <w:t xml:space="preserve">„List, Betrug, Täuschung" im Plural und Suffix 3. Person maskulin Plural „mit ihren Listen") ist instrumental. </w:t>
      </w:r>
      <w:r w:rsidRPr="00A70521">
        <w:rPr>
          <w:rFonts w:eastAsia="Times New Roman" w:cs="Times New Roman"/>
          <w:b/>
          <w:bCs/>
          <w:rtl/>
          <w:lang w:eastAsia="de-DE"/>
        </w:rPr>
        <w:t>אֲשֶׁר־נִכְּלוּ לָכֶם</w:t>
      </w:r>
      <w:r w:rsidRPr="00A70521">
        <w:rPr>
          <w:rFonts w:eastAsia="Times New Roman" w:cs="Times New Roman"/>
          <w:rtl/>
          <w:lang w:eastAsia="de-DE"/>
        </w:rPr>
        <w:t xml:space="preserve"> </w:t>
      </w:r>
      <w:r w:rsidRPr="00A70521">
        <w:rPr>
          <w:rFonts w:eastAsia="Times New Roman" w:cs="Times New Roman"/>
          <w:lang w:eastAsia="de-DE"/>
        </w:rPr>
        <w:t xml:space="preserve">ist ein Relativsatz: </w:t>
      </w:r>
      <w:r w:rsidRPr="00A70521">
        <w:rPr>
          <w:rFonts w:eastAsia="Times New Roman" w:cs="Times New Roman"/>
          <w:b/>
          <w:bCs/>
          <w:rtl/>
          <w:lang w:eastAsia="de-DE"/>
        </w:rPr>
        <w:t>אֲשֶׁר</w:t>
      </w:r>
      <w:r w:rsidRPr="00A70521">
        <w:rPr>
          <w:rFonts w:eastAsia="Times New Roman" w:cs="Times New Roman"/>
          <w:rtl/>
          <w:lang w:eastAsia="de-DE"/>
        </w:rPr>
        <w:t xml:space="preserve"> </w:t>
      </w:r>
      <w:r w:rsidRPr="00A70521">
        <w:rPr>
          <w:rFonts w:eastAsia="Times New Roman" w:cs="Times New Roman"/>
          <w:lang w:eastAsia="de-DE"/>
        </w:rPr>
        <w:t xml:space="preserve">(Relativpronomen), </w:t>
      </w:r>
      <w:r w:rsidRPr="00A70521">
        <w:rPr>
          <w:rFonts w:eastAsia="Times New Roman" w:cs="Times New Roman"/>
          <w:b/>
          <w:bCs/>
          <w:rtl/>
          <w:lang w:eastAsia="de-DE"/>
        </w:rPr>
        <w:t>נִכְּלוּ</w:t>
      </w:r>
      <w:r w:rsidRPr="00A70521">
        <w:rPr>
          <w:rFonts w:eastAsia="Times New Roman" w:cs="Times New Roman"/>
          <w:rtl/>
          <w:lang w:eastAsia="de-DE"/>
        </w:rPr>
        <w:t xml:space="preserve"> </w:t>
      </w:r>
      <w:r w:rsidRPr="00A70521">
        <w:rPr>
          <w:rFonts w:eastAsia="Times New Roman" w:cs="Times New Roman"/>
          <w:lang w:eastAsia="de-DE"/>
        </w:rPr>
        <w:t xml:space="preserve">ist Piel Perfekt 3. Person maskulin Plural von </w:t>
      </w:r>
      <w:r w:rsidRPr="00A70521">
        <w:rPr>
          <w:rFonts w:eastAsia="Times New Roman" w:cs="Times New Roman"/>
          <w:b/>
          <w:bCs/>
          <w:rtl/>
          <w:lang w:eastAsia="de-DE"/>
        </w:rPr>
        <w:t>נכל</w:t>
      </w:r>
      <w:r w:rsidRPr="00A70521">
        <w:rPr>
          <w:rFonts w:eastAsia="Times New Roman" w:cs="Times New Roman"/>
          <w:rtl/>
          <w:lang w:eastAsia="de-DE"/>
        </w:rPr>
        <w:t xml:space="preserve"> </w:t>
      </w:r>
      <w:r w:rsidRPr="00A70521">
        <w:rPr>
          <w:rFonts w:eastAsia="Times New Roman" w:cs="Times New Roman"/>
          <w:lang w:eastAsia="de-DE"/>
        </w:rPr>
        <w:t xml:space="preserve">(„täuschen, überlisten"), </w:t>
      </w:r>
      <w:r w:rsidRPr="00A70521">
        <w:rPr>
          <w:rFonts w:eastAsia="Times New Roman" w:cs="Times New Roman"/>
          <w:b/>
          <w:bCs/>
          <w:rtl/>
          <w:lang w:eastAsia="de-DE"/>
        </w:rPr>
        <w:t>לָכֶם</w:t>
      </w:r>
      <w:r w:rsidRPr="00A70521">
        <w:rPr>
          <w:rFonts w:eastAsia="Times New Roman" w:cs="Times New Roman"/>
          <w:rtl/>
          <w:lang w:eastAsia="de-DE"/>
        </w:rPr>
        <w:t xml:space="preserve"> </w:t>
      </w:r>
      <w:r w:rsidRPr="00A70521">
        <w:rPr>
          <w:rFonts w:eastAsia="Times New Roman" w:cs="Times New Roman"/>
          <w:lang w:eastAsia="de-DE"/>
        </w:rPr>
        <w:t xml:space="preserve">(„euch"). Die figura etymologica </w:t>
      </w:r>
      <w:r w:rsidRPr="00A70521">
        <w:rPr>
          <w:rFonts w:eastAsia="Times New Roman" w:cs="Times New Roman"/>
          <w:b/>
          <w:bCs/>
          <w:rtl/>
          <w:lang w:eastAsia="de-DE"/>
        </w:rPr>
        <w:t>בְּנִכְלֵיהֶם ... נִכְּלוּ</w:t>
      </w:r>
      <w:r w:rsidRPr="00A70521">
        <w:rPr>
          <w:rFonts w:eastAsia="Times New Roman" w:cs="Times New Roman"/>
          <w:rtl/>
          <w:lang w:eastAsia="de-DE"/>
        </w:rPr>
        <w:t xml:space="preserve"> </w:t>
      </w:r>
      <w:r w:rsidRPr="00A70521">
        <w:rPr>
          <w:rFonts w:eastAsia="Times New Roman" w:cs="Times New Roman"/>
          <w:lang w:eastAsia="de-DE"/>
        </w:rPr>
        <w:t>(„mit ihren Listen ... sie haben überlistet") betont die Hinterhältigkeit der Tat. Die Midjaniter haben nicht offen gekämpft, sondern durch Täuschung und Verführung gehandelt.</w:t>
      </w:r>
    </w:p>
    <w:p w14:paraId="02D395A9"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rtl/>
          <w:lang w:eastAsia="de-DE"/>
        </w:rPr>
        <w:t>עַל־דְּבַר־פְּעוֹר</w:t>
      </w:r>
      <w:r w:rsidRPr="00A70521">
        <w:rPr>
          <w:rFonts w:eastAsia="Times New Roman" w:cs="Times New Roman"/>
          <w:rtl/>
          <w:lang w:eastAsia="de-DE"/>
        </w:rPr>
        <w:t xml:space="preserve"> </w:t>
      </w:r>
      <w:r w:rsidRPr="00A70521">
        <w:rPr>
          <w:rFonts w:eastAsia="Times New Roman" w:cs="Times New Roman"/>
          <w:lang w:eastAsia="de-DE"/>
        </w:rPr>
        <w:t xml:space="preserve">spezifiziert den ersten Anklagepunkt. </w:t>
      </w:r>
      <w:r w:rsidRPr="00A70521">
        <w:rPr>
          <w:rFonts w:eastAsia="Times New Roman" w:cs="Times New Roman"/>
          <w:b/>
          <w:bCs/>
          <w:rtl/>
          <w:lang w:eastAsia="de-DE"/>
        </w:rPr>
        <w:t>עַל־דְּבַר</w:t>
      </w:r>
      <w:r w:rsidRPr="00A70521">
        <w:rPr>
          <w:rFonts w:eastAsia="Times New Roman" w:cs="Times New Roman"/>
          <w:rtl/>
          <w:lang w:eastAsia="de-DE"/>
        </w:rPr>
        <w:t xml:space="preserve"> </w:t>
      </w:r>
      <w:r w:rsidRPr="00A70521">
        <w:rPr>
          <w:rFonts w:eastAsia="Times New Roman" w:cs="Times New Roman"/>
          <w:lang w:eastAsia="de-DE"/>
        </w:rPr>
        <w:t xml:space="preserve">(„wegen der Sache von, in der Angelegenheit") ist eine standard-Formulierung für rechtliche oder faktische Sachverhalte. </w:t>
      </w:r>
      <w:r w:rsidRPr="00A70521">
        <w:rPr>
          <w:rFonts w:eastAsia="Times New Roman" w:cs="Times New Roman"/>
          <w:b/>
          <w:bCs/>
          <w:rtl/>
          <w:lang w:eastAsia="de-DE"/>
        </w:rPr>
        <w:t>פְּעוֹר</w:t>
      </w:r>
      <w:r w:rsidRPr="00A70521">
        <w:rPr>
          <w:rFonts w:eastAsia="Times New Roman" w:cs="Times New Roman"/>
          <w:rtl/>
          <w:lang w:eastAsia="de-DE"/>
        </w:rPr>
        <w:t xml:space="preserve"> </w:t>
      </w:r>
      <w:r w:rsidRPr="00A70521">
        <w:rPr>
          <w:rFonts w:eastAsia="Times New Roman" w:cs="Times New Roman"/>
          <w:lang w:eastAsia="de-DE"/>
        </w:rPr>
        <w:t xml:space="preserve">bezieht sich auf den Baal-Peor-Kult. </w:t>
      </w:r>
      <w:r w:rsidRPr="00A70521">
        <w:rPr>
          <w:rFonts w:eastAsia="Times New Roman" w:cs="Times New Roman"/>
          <w:b/>
          <w:bCs/>
          <w:rtl/>
          <w:lang w:eastAsia="de-DE"/>
        </w:rPr>
        <w:t>וְעַל־דְּבַר כָּזְבִּי בַת־נְשִׂיא מִדְיָן אֲחֹתָם</w:t>
      </w:r>
      <w:r w:rsidRPr="00A70521">
        <w:rPr>
          <w:rFonts w:eastAsia="Times New Roman" w:cs="Times New Roman"/>
          <w:rtl/>
          <w:lang w:eastAsia="de-DE"/>
        </w:rPr>
        <w:t xml:space="preserve"> </w:t>
      </w:r>
      <w:r w:rsidRPr="00A70521">
        <w:rPr>
          <w:rFonts w:eastAsia="Times New Roman" w:cs="Times New Roman"/>
          <w:lang w:eastAsia="de-DE"/>
        </w:rPr>
        <w:t xml:space="preserve">ist der zweite, konkrete Anklagepunkt. </w:t>
      </w:r>
      <w:r w:rsidRPr="00A70521">
        <w:rPr>
          <w:rFonts w:eastAsia="Times New Roman" w:cs="Times New Roman"/>
          <w:b/>
          <w:bCs/>
          <w:rtl/>
          <w:lang w:eastAsia="de-DE"/>
        </w:rPr>
        <w:t>כָּזְבִּי בַת־נְשִׂיא מִדְיָן</w:t>
      </w:r>
      <w:r w:rsidRPr="00A70521">
        <w:rPr>
          <w:rFonts w:eastAsia="Times New Roman" w:cs="Times New Roman"/>
          <w:rtl/>
          <w:lang w:eastAsia="de-DE"/>
        </w:rPr>
        <w:t xml:space="preserve"> </w:t>
      </w:r>
      <w:r w:rsidRPr="00A70521">
        <w:rPr>
          <w:rFonts w:eastAsia="Times New Roman" w:cs="Times New Roman"/>
          <w:lang w:eastAsia="de-DE"/>
        </w:rPr>
        <w:t xml:space="preserve">identifiziert Kosbi (vgl. V. 15), </w:t>
      </w:r>
      <w:r w:rsidRPr="00A70521">
        <w:rPr>
          <w:rFonts w:eastAsia="Times New Roman" w:cs="Times New Roman"/>
          <w:b/>
          <w:bCs/>
          <w:rtl/>
          <w:lang w:eastAsia="de-DE"/>
        </w:rPr>
        <w:t>אֲחֹתָם</w:t>
      </w:r>
      <w:r w:rsidRPr="00A70521">
        <w:rPr>
          <w:rFonts w:eastAsia="Times New Roman" w:cs="Times New Roman"/>
          <w:rtl/>
          <w:lang w:eastAsia="de-DE"/>
        </w:rPr>
        <w:t xml:space="preserve"> </w:t>
      </w:r>
      <w:r w:rsidRPr="00A70521">
        <w:rPr>
          <w:rFonts w:eastAsia="Times New Roman" w:cs="Times New Roman"/>
          <w:lang w:eastAsia="de-DE"/>
        </w:rPr>
        <w:t>(„ihre Schwester") mit Suffix 3. Person maskulin Plural bezieht sich wahrscheinlich auf die Israeliten oder die Midjaniter und bezeichnet Kosbi als Angehörige des midjanitischen Volkes.</w:t>
      </w:r>
    </w:p>
    <w:p w14:paraId="0A2124E0" w14:textId="295D0989"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rtl/>
          <w:lang w:eastAsia="de-DE"/>
        </w:rPr>
        <w:t>הַמֻּכָּה בְיוֹם־הַמַּגֵּפָה עַל־דְּבַר־פְּעוֹר</w:t>
      </w:r>
      <w:r w:rsidRPr="00A70521">
        <w:rPr>
          <w:rFonts w:eastAsia="Times New Roman" w:cs="Times New Roman"/>
          <w:rtl/>
          <w:lang w:eastAsia="de-DE"/>
        </w:rPr>
        <w:t xml:space="preserve"> </w:t>
      </w:r>
      <w:r w:rsidRPr="00A70521">
        <w:rPr>
          <w:rFonts w:eastAsia="Times New Roman" w:cs="Times New Roman"/>
          <w:lang w:eastAsia="de-DE"/>
        </w:rPr>
        <w:t xml:space="preserve">ist ein erweitertes Partizipialattribut. </w:t>
      </w:r>
      <w:r w:rsidRPr="00A70521">
        <w:rPr>
          <w:rFonts w:eastAsia="Times New Roman" w:cs="Times New Roman"/>
          <w:b/>
          <w:bCs/>
          <w:rtl/>
          <w:lang w:eastAsia="de-DE"/>
        </w:rPr>
        <w:t>הַמֻּכָּה</w:t>
      </w:r>
      <w:r w:rsidRPr="00A70521">
        <w:rPr>
          <w:rFonts w:eastAsia="Times New Roman" w:cs="Times New Roman"/>
          <w:rtl/>
          <w:lang w:eastAsia="de-DE"/>
        </w:rPr>
        <w:t xml:space="preserve"> </w:t>
      </w:r>
      <w:r w:rsidRPr="00A70521">
        <w:rPr>
          <w:rFonts w:eastAsia="Times New Roman" w:cs="Times New Roman"/>
          <w:lang w:eastAsia="de-DE"/>
        </w:rPr>
        <w:t xml:space="preserve">(Hophal-Partizip feminin Singular von </w:t>
      </w:r>
      <w:r w:rsidRPr="00A70521">
        <w:rPr>
          <w:rFonts w:eastAsia="Times New Roman" w:cs="Times New Roman"/>
          <w:b/>
          <w:bCs/>
          <w:rtl/>
          <w:lang w:eastAsia="de-DE"/>
        </w:rPr>
        <w:t>נכה</w:t>
      </w:r>
      <w:r w:rsidRPr="00A70521">
        <w:rPr>
          <w:rFonts w:eastAsia="Times New Roman" w:cs="Times New Roman"/>
          <w:rtl/>
          <w:lang w:eastAsia="de-DE"/>
        </w:rPr>
        <w:t xml:space="preserve"> </w:t>
      </w:r>
      <w:r w:rsidRPr="00A70521">
        <w:rPr>
          <w:rFonts w:eastAsia="Times New Roman" w:cs="Times New Roman"/>
          <w:lang w:eastAsia="de-DE"/>
        </w:rPr>
        <w:t xml:space="preserve">„die Erschlagene") mit Artikel, </w:t>
      </w:r>
      <w:r w:rsidRPr="00A70521">
        <w:rPr>
          <w:rFonts w:eastAsia="Times New Roman" w:cs="Times New Roman"/>
          <w:b/>
          <w:bCs/>
          <w:rtl/>
          <w:lang w:eastAsia="de-DE"/>
        </w:rPr>
        <w:t>בְיוֹם־הַמַּגֵּפָה</w:t>
      </w:r>
      <w:r w:rsidRPr="00A70521">
        <w:rPr>
          <w:rFonts w:eastAsia="Times New Roman" w:cs="Times New Roman"/>
          <w:rtl/>
          <w:lang w:eastAsia="de-DE"/>
        </w:rPr>
        <w:t xml:space="preserve"> </w:t>
      </w:r>
      <w:r w:rsidRPr="00A70521">
        <w:rPr>
          <w:rFonts w:eastAsia="Times New Roman" w:cs="Times New Roman"/>
          <w:lang w:eastAsia="de-DE"/>
        </w:rPr>
        <w:t xml:space="preserve">(Präposition </w:t>
      </w:r>
      <w:r w:rsidRPr="00A70521">
        <w:rPr>
          <w:rFonts w:eastAsia="Times New Roman" w:cs="Times New Roman"/>
          <w:b/>
          <w:bCs/>
          <w:rtl/>
          <w:lang w:eastAsia="de-DE"/>
        </w:rPr>
        <w:t>בְּ</w:t>
      </w:r>
      <w:r w:rsidRPr="00A70521">
        <w:rPr>
          <w:rFonts w:eastAsia="Times New Roman" w:cs="Times New Roman"/>
          <w:rtl/>
          <w:lang w:eastAsia="de-DE"/>
        </w:rPr>
        <w:t xml:space="preserve"> </w:t>
      </w:r>
      <w:r w:rsidRPr="00A70521">
        <w:rPr>
          <w:rFonts w:eastAsia="Times New Roman" w:cs="Times New Roman"/>
          <w:lang w:eastAsia="de-DE"/>
        </w:rPr>
        <w:t xml:space="preserve">„am" mit </w:t>
      </w:r>
      <w:r w:rsidRPr="00A70521">
        <w:rPr>
          <w:rFonts w:eastAsia="Times New Roman" w:cs="Times New Roman"/>
          <w:b/>
          <w:bCs/>
          <w:rtl/>
          <w:lang w:eastAsia="de-DE"/>
        </w:rPr>
        <w:t>יוֹם</w:t>
      </w:r>
      <w:r w:rsidRPr="00A70521">
        <w:rPr>
          <w:rFonts w:eastAsia="Times New Roman" w:cs="Times New Roman"/>
          <w:rtl/>
          <w:lang w:eastAsia="de-DE"/>
        </w:rPr>
        <w:t xml:space="preserve"> </w:t>
      </w:r>
      <w:r w:rsidRPr="00A70521">
        <w:rPr>
          <w:rFonts w:eastAsia="Times New Roman" w:cs="Times New Roman"/>
          <w:lang w:eastAsia="de-DE"/>
        </w:rPr>
        <w:t xml:space="preserve">„Tag" im </w:t>
      </w:r>
      <w:r w:rsidR="00E031B3">
        <w:rPr>
          <w:rFonts w:eastAsia="Times New Roman" w:cs="Times New Roman"/>
          <w:lang w:eastAsia="de-DE"/>
        </w:rPr>
        <w:t>Constructus und</w:t>
      </w:r>
      <w:r w:rsidRPr="00A70521">
        <w:rPr>
          <w:rFonts w:eastAsia="Times New Roman" w:cs="Times New Roman"/>
          <w:lang w:eastAsia="de-DE"/>
        </w:rPr>
        <w:t xml:space="preserve"> </w:t>
      </w:r>
      <w:r w:rsidRPr="00A70521">
        <w:rPr>
          <w:rFonts w:eastAsia="Times New Roman" w:cs="Times New Roman"/>
          <w:b/>
          <w:bCs/>
          <w:rtl/>
          <w:lang w:eastAsia="de-DE"/>
        </w:rPr>
        <w:t>הַמַּגֵּפָה</w:t>
      </w:r>
      <w:r w:rsidRPr="00A70521">
        <w:rPr>
          <w:rFonts w:eastAsia="Times New Roman" w:cs="Times New Roman"/>
          <w:rtl/>
          <w:lang w:eastAsia="de-DE"/>
        </w:rPr>
        <w:t xml:space="preserve"> </w:t>
      </w:r>
      <w:r w:rsidRPr="00A70521">
        <w:rPr>
          <w:rFonts w:eastAsia="Times New Roman" w:cs="Times New Roman"/>
          <w:lang w:eastAsia="de-DE"/>
        </w:rPr>
        <w:t xml:space="preserve">„die Plage" mit Artikel) gibt die Zeit an. </w:t>
      </w:r>
      <w:r w:rsidRPr="00A70521">
        <w:rPr>
          <w:rFonts w:eastAsia="Times New Roman" w:cs="Times New Roman"/>
          <w:b/>
          <w:bCs/>
          <w:rtl/>
          <w:lang w:eastAsia="de-DE"/>
        </w:rPr>
        <w:t>עַל־דְּבַר־פְּעוֹר</w:t>
      </w:r>
      <w:r w:rsidRPr="00A70521">
        <w:rPr>
          <w:rFonts w:eastAsia="Times New Roman" w:cs="Times New Roman"/>
          <w:rtl/>
          <w:lang w:eastAsia="de-DE"/>
        </w:rPr>
        <w:t xml:space="preserve"> </w:t>
      </w:r>
      <w:r w:rsidRPr="00A70521">
        <w:rPr>
          <w:rFonts w:eastAsia="Times New Roman" w:cs="Times New Roman"/>
          <w:lang w:eastAsia="de-DE"/>
        </w:rPr>
        <w:t xml:space="preserve">wiederholt die Begründung und schließt den Kreis zur Hauptanklage. Die Wiederholung der Formel </w:t>
      </w:r>
      <w:r w:rsidRPr="00A70521">
        <w:rPr>
          <w:rFonts w:eastAsia="Times New Roman" w:cs="Times New Roman"/>
          <w:b/>
          <w:bCs/>
          <w:rtl/>
          <w:lang w:eastAsia="de-DE"/>
        </w:rPr>
        <w:t>עַל־דְּבַר־פְּעוֹר</w:t>
      </w:r>
      <w:r w:rsidRPr="00A70521">
        <w:rPr>
          <w:rFonts w:eastAsia="Times New Roman" w:cs="Times New Roman"/>
          <w:rtl/>
          <w:lang w:eastAsia="de-DE"/>
        </w:rPr>
        <w:t xml:space="preserve"> </w:t>
      </w:r>
      <w:r w:rsidRPr="00A70521">
        <w:rPr>
          <w:rFonts w:eastAsia="Times New Roman" w:cs="Times New Roman"/>
          <w:lang w:eastAsia="de-DE"/>
        </w:rPr>
        <w:t>rahmt den Vers und betont die zentrale Schuld.</w:t>
      </w:r>
    </w:p>
    <w:p w14:paraId="34906CDC" w14:textId="249A85C6"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Die LXX</w:t>
      </w:r>
      <w:r w:rsidRPr="00A70521">
        <w:rPr>
          <w:rFonts w:eastAsia="Times New Roman" w:cs="Times New Roman"/>
          <w:lang w:eastAsia="de-DE"/>
        </w:rPr>
        <w:t xml:space="preserve"> </w:t>
      </w:r>
      <w:r w:rsidR="0033022C">
        <w:t>übersetzt „</w:t>
      </w:r>
      <w:r w:rsidR="0033022C" w:rsidRPr="0033022C">
        <w:rPr>
          <w:b/>
          <w:bCs/>
          <w:rtl/>
        </w:rPr>
        <w:t>צֹרְרִים הֵם לָכֶם בְּנִכְלֵיהֶם</w:t>
      </w:r>
      <w:r w:rsidR="0033022C">
        <w:t>" (sie sind Feinde für euch mit ihren Listen) mit „ἐχθραίνουσιν αὐτοὶ ὑμῖν ἐν δολιότητι" (sie sind feindlich gegen euch mit Hinterlist).</w:t>
      </w:r>
    </w:p>
    <w:p w14:paraId="23AD0955"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Die Satzstruktur zeigt einen kausalen Hauptsatz (sie sind Feinde) mit instrumentalem Nebensatz (mit ihren Listen) und Relativsatz (die sie verwendet haben), gefolgt von zwei koordinierten präpositionalen Phrasen, die die Anklagepunkte spezifizieren, wobei die zweite durch ein ausführliches Partizipialattribut erweitert wird.</w:t>
      </w:r>
    </w:p>
    <w:p w14:paraId="404BCF2B" w14:textId="638B5917" w:rsid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Der Vers enthüllt die systematische Natur der midjanitischen Verschwörung: Es war keine spontane Sünde, sondern eine kalkulierte List, Israel von JHWH wegzuführen. Die Verwendung einer Prinzessin (Kosbi) zeigt die hohe politische Ebene der Verschwörung. Die Begründung des Kriegsbefehls ist nicht willkürlich, sondern antwortet auf eine existentielle Bedrohung für Israels Bundesbeziehung zu JHWH. Der Vers rechtfertigt den Heiligen Krieg als Verteidigung gegen geistliche Aggression.</w:t>
      </w:r>
    </w:p>
    <w:p w14:paraId="5E150554" w14:textId="77777777" w:rsidR="008D6149" w:rsidRDefault="008D6149" w:rsidP="008D6149">
      <w:pPr>
        <w:pStyle w:val="font-claude-response-body"/>
      </w:pPr>
      <w:r>
        <w:rPr>
          <w:rStyle w:val="Fett"/>
        </w:rPr>
        <w:t>Erfüllung des Kriegsbefehls:</w:t>
      </w:r>
    </w:p>
    <w:p w14:paraId="677A61B9" w14:textId="77777777" w:rsidR="008D6149" w:rsidRDefault="008D6149" w:rsidP="008D6149">
      <w:pPr>
        <w:pStyle w:val="font-claude-response-body"/>
      </w:pPr>
      <w:r>
        <w:t xml:space="preserve">Der göttliche Befehl gegen die Midjaniter wird in </w:t>
      </w:r>
      <w:r>
        <w:rPr>
          <w:rStyle w:val="Fett"/>
        </w:rPr>
        <w:t>Numeri 31</w:t>
      </w:r>
      <w:r>
        <w:t xml:space="preserve"> ausgeführt:</w:t>
      </w:r>
    </w:p>
    <w:p w14:paraId="5D03D9DC" w14:textId="77777777" w:rsidR="008D6149" w:rsidRDefault="008D6149" w:rsidP="00F329DD">
      <w:pPr>
        <w:pStyle w:val="whitespace-normal"/>
        <w:numPr>
          <w:ilvl w:val="0"/>
          <w:numId w:val="266"/>
        </w:numPr>
      </w:pPr>
      <w:r>
        <w:rPr>
          <w:rStyle w:val="Fett"/>
        </w:rPr>
        <w:t>Num 31,1-2:</w:t>
      </w:r>
      <w:r>
        <w:t xml:space="preserve"> JHWH befiehlt Mose: "Übe Rache an den Midjanitern"</w:t>
      </w:r>
    </w:p>
    <w:p w14:paraId="77C9BD16" w14:textId="77777777" w:rsidR="008D6149" w:rsidRDefault="008D6149" w:rsidP="00F329DD">
      <w:pPr>
        <w:pStyle w:val="whitespace-normal"/>
        <w:numPr>
          <w:ilvl w:val="0"/>
          <w:numId w:val="266"/>
        </w:numPr>
      </w:pPr>
      <w:r>
        <w:rPr>
          <w:rStyle w:val="Fett"/>
        </w:rPr>
        <w:lastRenderedPageBreak/>
        <w:t>Num 31,16:</w:t>
      </w:r>
      <w:r>
        <w:t xml:space="preserve"> Bileams Rolle wird enthüllt: "Sie waren es ja, die auf Bileams Rat hin die Israeliten veranlassten, dem HERRN die Treue zu brechen"</w:t>
      </w:r>
    </w:p>
    <w:p w14:paraId="73E5B665" w14:textId="29D6E707" w:rsidR="008D6149" w:rsidRPr="00A70521" w:rsidRDefault="008D6149" w:rsidP="008D6149">
      <w:pPr>
        <w:pStyle w:val="font-claude-response-body"/>
      </w:pPr>
      <w:r>
        <w:t xml:space="preserve">→ Die Strategie war </w:t>
      </w:r>
      <w:r>
        <w:rPr>
          <w:rStyle w:val="Fett"/>
        </w:rPr>
        <w:t>kalkuliert</w:t>
      </w:r>
      <w:r>
        <w:t xml:space="preserve">, nicht spontan → Bileam, der in vier großen Weissagungen Israel segnen musste (statt zu verfluchen, wie Balak es wünschte), </w:t>
      </w:r>
      <w:r>
        <w:t>(Num 23,7-10.18-24; Num 24,3-9.15-19</w:t>
      </w:r>
      <w:r>
        <w:t xml:space="preserve"> riet zur </w:t>
      </w:r>
      <w:r>
        <w:rPr>
          <w:rStyle w:val="Fett"/>
        </w:rPr>
        <w:t>Verführung</w:t>
      </w:r>
      <w:r>
        <w:t xml:space="preserve"> statt Verfluchung</w:t>
      </w:r>
    </w:p>
    <w:p w14:paraId="384263C8" w14:textId="4FE3E39F" w:rsidR="00A70521" w:rsidRPr="00A70521" w:rsidRDefault="00A70521" w:rsidP="00A70521">
      <w:pPr>
        <w:pStyle w:val="KeinLeerraum"/>
        <w:rPr>
          <w:b/>
          <w:bCs/>
          <w:sz w:val="48"/>
          <w:szCs w:val="48"/>
          <w:lang w:eastAsia="de-DE"/>
        </w:rPr>
      </w:pPr>
      <w:r w:rsidRPr="00A70521">
        <w:rPr>
          <w:b/>
          <w:bCs/>
          <w:sz w:val="48"/>
          <w:szCs w:val="48"/>
          <w:lang w:eastAsia="de-DE"/>
        </w:rPr>
        <w:t xml:space="preserve">Numeri </w:t>
      </w:r>
      <w:r w:rsidR="00346F0B">
        <w:rPr>
          <w:b/>
          <w:bCs/>
          <w:sz w:val="48"/>
          <w:szCs w:val="48"/>
          <w:lang w:eastAsia="de-DE"/>
        </w:rPr>
        <w:t>25,19</w:t>
      </w:r>
      <w:r w:rsidRPr="00A70521">
        <w:rPr>
          <w:b/>
          <w:bCs/>
          <w:sz w:val="48"/>
          <w:szCs w:val="48"/>
          <w:lang w:eastAsia="de-DE"/>
        </w:rPr>
        <w:t xml:space="preserve"> </w:t>
      </w:r>
    </w:p>
    <w:p w14:paraId="3757792E" w14:textId="12EA0EB1" w:rsidR="00A70521" w:rsidRPr="00A70521" w:rsidRDefault="00A70521" w:rsidP="00A70521">
      <w:pPr>
        <w:pStyle w:val="KeinLeerraum"/>
        <w:rPr>
          <w:lang w:eastAsia="de-DE"/>
        </w:rPr>
      </w:pPr>
      <w:r w:rsidRPr="00A70521">
        <w:rPr>
          <w:b/>
          <w:bCs/>
          <w:sz w:val="48"/>
          <w:szCs w:val="48"/>
          <w:lang w:eastAsia="de-DE"/>
        </w:rPr>
        <w:t>(25,19 nach hebräischer Zählung)</w:t>
      </w:r>
    </w:p>
    <w:p w14:paraId="31D09FB2"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Hebräisch:</w:t>
      </w:r>
      <w:r w:rsidRPr="00A70521">
        <w:rPr>
          <w:rFonts w:eastAsia="Times New Roman" w:cs="Times New Roman"/>
          <w:lang w:eastAsia="de-DE"/>
        </w:rPr>
        <w:t xml:space="preserve"> </w:t>
      </w:r>
      <w:r w:rsidRPr="00A70521">
        <w:rPr>
          <w:rFonts w:eastAsia="Times New Roman" w:cs="Times New Roman"/>
          <w:rtl/>
          <w:lang w:eastAsia="de-DE"/>
        </w:rPr>
        <w:t>וַיְהִ֖י אַחֲרֵ֣י הַמַּגֵּפָ֑ה׃</w:t>
      </w:r>
    </w:p>
    <w:p w14:paraId="2B8B3C2B"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Deutsch:</w:t>
      </w:r>
      <w:r w:rsidRPr="00A70521">
        <w:rPr>
          <w:rFonts w:eastAsia="Times New Roman" w:cs="Times New Roman"/>
          <w:lang w:eastAsia="de-DE"/>
        </w:rPr>
        <w:t xml:space="preserve"> Und es geschah nach der Plage.</w:t>
      </w:r>
    </w:p>
    <w:p w14:paraId="1790028F" w14:textId="77777777" w:rsidR="00A70521" w:rsidRPr="00A70521" w:rsidRDefault="00F329DD" w:rsidP="00A70521">
      <w:pPr>
        <w:spacing w:after="0" w:line="240" w:lineRule="auto"/>
        <w:rPr>
          <w:rFonts w:eastAsia="Times New Roman" w:cs="Times New Roman"/>
          <w:lang w:eastAsia="de-DE"/>
        </w:rPr>
      </w:pPr>
      <w:r>
        <w:rPr>
          <w:rFonts w:eastAsia="Times New Roman" w:cs="Times New Roman"/>
          <w:noProof/>
          <w:lang w:eastAsia="de-DE"/>
        </w:rPr>
        <w:pict w14:anchorId="36027E4B">
          <v:rect id="_x0000_i1870" style="width:0;height:1.5pt" o:hralign="center" o:hrstd="t" o:hr="t" fillcolor="#a0a0a0" stroked="f"/>
        </w:pict>
      </w:r>
    </w:p>
    <w:p w14:paraId="0ABEDFA0"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Kommentar:</w:t>
      </w:r>
      <w:r w:rsidRPr="00A70521">
        <w:rPr>
          <w:rFonts w:eastAsia="Times New Roman" w:cs="Times New Roman"/>
          <w:lang w:eastAsia="de-DE"/>
        </w:rPr>
        <w:t xml:space="preserve"> Der Vers bildet einen narrativen Übergang und schließt die Peor-Episode ab. </w:t>
      </w:r>
      <w:r w:rsidRPr="00A70521">
        <w:rPr>
          <w:rFonts w:eastAsia="Times New Roman" w:cs="Times New Roman"/>
          <w:b/>
          <w:bCs/>
          <w:rtl/>
          <w:lang w:eastAsia="de-DE"/>
        </w:rPr>
        <w:t>וַיְהִי</w:t>
      </w:r>
      <w:r w:rsidRPr="00A70521">
        <w:rPr>
          <w:rFonts w:eastAsia="Times New Roman" w:cs="Times New Roman"/>
          <w:rtl/>
          <w:lang w:eastAsia="de-DE"/>
        </w:rPr>
        <w:t xml:space="preserve"> </w:t>
      </w:r>
      <w:r w:rsidRPr="00A70521">
        <w:rPr>
          <w:rFonts w:eastAsia="Times New Roman" w:cs="Times New Roman"/>
          <w:lang w:eastAsia="de-DE"/>
        </w:rPr>
        <w:t xml:space="preserve">ist Qal Wayyiqtol 3. Person maskulin Singular von </w:t>
      </w:r>
      <w:r w:rsidRPr="00A70521">
        <w:rPr>
          <w:rFonts w:eastAsia="Times New Roman" w:cs="Times New Roman"/>
          <w:b/>
          <w:bCs/>
          <w:rtl/>
          <w:lang w:eastAsia="de-DE"/>
        </w:rPr>
        <w:t>היה</w:t>
      </w:r>
      <w:r w:rsidRPr="00A70521">
        <w:rPr>
          <w:rFonts w:eastAsia="Times New Roman" w:cs="Times New Roman"/>
          <w:rtl/>
          <w:lang w:eastAsia="de-DE"/>
        </w:rPr>
        <w:t xml:space="preserve"> </w:t>
      </w:r>
      <w:r w:rsidRPr="00A70521">
        <w:rPr>
          <w:rFonts w:eastAsia="Times New Roman" w:cs="Times New Roman"/>
          <w:lang w:eastAsia="de-DE"/>
        </w:rPr>
        <w:t xml:space="preserve">(„sein, geschehen"), die standard-Formel für zeitliche Übergänge („und es geschah, und es war"). </w:t>
      </w:r>
      <w:r w:rsidRPr="00A70521">
        <w:rPr>
          <w:rFonts w:eastAsia="Times New Roman" w:cs="Times New Roman"/>
          <w:b/>
          <w:bCs/>
          <w:rtl/>
          <w:lang w:eastAsia="de-DE"/>
        </w:rPr>
        <w:t>אַחֲרֵי הַמַּגֵּפָה</w:t>
      </w:r>
      <w:r w:rsidRPr="00A70521">
        <w:rPr>
          <w:rFonts w:eastAsia="Times New Roman" w:cs="Times New Roman"/>
          <w:rtl/>
          <w:lang w:eastAsia="de-DE"/>
        </w:rPr>
        <w:t xml:space="preserve"> </w:t>
      </w:r>
      <w:r w:rsidRPr="00A70521">
        <w:rPr>
          <w:rFonts w:eastAsia="Times New Roman" w:cs="Times New Roman"/>
          <w:lang w:eastAsia="de-DE"/>
        </w:rPr>
        <w:t xml:space="preserve">(Präposition </w:t>
      </w:r>
      <w:r w:rsidRPr="00A70521">
        <w:rPr>
          <w:rFonts w:eastAsia="Times New Roman" w:cs="Times New Roman"/>
          <w:b/>
          <w:bCs/>
          <w:rtl/>
          <w:lang w:eastAsia="de-DE"/>
        </w:rPr>
        <w:t>אַחֲרֵי</w:t>
      </w:r>
      <w:r w:rsidRPr="00A70521">
        <w:rPr>
          <w:rFonts w:eastAsia="Times New Roman" w:cs="Times New Roman"/>
          <w:rtl/>
          <w:lang w:eastAsia="de-DE"/>
        </w:rPr>
        <w:t xml:space="preserve"> </w:t>
      </w:r>
      <w:r w:rsidRPr="00A70521">
        <w:rPr>
          <w:rFonts w:eastAsia="Times New Roman" w:cs="Times New Roman"/>
          <w:lang w:eastAsia="de-DE"/>
        </w:rPr>
        <w:t xml:space="preserve">„nach" mit </w:t>
      </w:r>
      <w:r w:rsidRPr="00A70521">
        <w:rPr>
          <w:rFonts w:eastAsia="Times New Roman" w:cs="Times New Roman"/>
          <w:b/>
          <w:bCs/>
          <w:rtl/>
          <w:lang w:eastAsia="de-DE"/>
        </w:rPr>
        <w:t>הַמַּגֵּפָה</w:t>
      </w:r>
      <w:r w:rsidRPr="00A70521">
        <w:rPr>
          <w:rFonts w:eastAsia="Times New Roman" w:cs="Times New Roman"/>
          <w:rtl/>
          <w:lang w:eastAsia="de-DE"/>
        </w:rPr>
        <w:t xml:space="preserve"> </w:t>
      </w:r>
      <w:r w:rsidRPr="00A70521">
        <w:rPr>
          <w:rFonts w:eastAsia="Times New Roman" w:cs="Times New Roman"/>
          <w:lang w:eastAsia="de-DE"/>
        </w:rPr>
        <w:t>„die Plage" mit Artikel) gibt die temporale Bestimmung. Der Vers ist unvollständig und wird in Kapitel 26 fortgesetzt mit dem Befehl zur neuen Volkszählung. In einigen hebräischen Handschriften wird dieser Vers als letzter Vers von Kapitel 25 gezählt, in anderen als erster Vers von Kapitel 26.</w:t>
      </w:r>
    </w:p>
    <w:p w14:paraId="5795AF07" w14:textId="1F3EC7E3"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b/>
          <w:bCs/>
          <w:lang w:eastAsia="de-DE"/>
        </w:rPr>
        <w:t>Die LXX</w:t>
      </w:r>
      <w:r w:rsidRPr="00A70521">
        <w:rPr>
          <w:rFonts w:eastAsia="Times New Roman" w:cs="Times New Roman"/>
          <w:lang w:eastAsia="de-DE"/>
        </w:rPr>
        <w:t xml:space="preserve"> </w:t>
      </w:r>
      <w:r w:rsidR="0033022C">
        <w:t>lässt „</w:t>
      </w:r>
      <w:r w:rsidR="0033022C">
        <w:rPr>
          <w:rtl/>
        </w:rPr>
        <w:t>ו</w:t>
      </w:r>
      <w:r w:rsidR="0033022C" w:rsidRPr="0033022C">
        <w:rPr>
          <w:b/>
          <w:bCs/>
          <w:rtl/>
        </w:rPr>
        <w:t>ַיְהִי אַחֲרֵי הַמַּגֵּפָה</w:t>
      </w:r>
      <w:r w:rsidR="0033022C">
        <w:t>" (und es geschah nach der Plage) weg, was im MT als Überleitung zum nächsten Abschnitt dient.</w:t>
      </w:r>
    </w:p>
    <w:p w14:paraId="24687856"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Die Satzstruktur zeigt eine einfache temporale Übergangsformel ohne Hauptverb, die auf eine Fortsetzung wartet.</w:t>
      </w:r>
    </w:p>
    <w:p w14:paraId="56DD3815" w14:textId="77777777" w:rsidR="00A70521" w:rsidRPr="00A70521" w:rsidRDefault="00A70521" w:rsidP="00A70521">
      <w:pPr>
        <w:spacing w:before="100" w:beforeAutospacing="1" w:after="100" w:afterAutospacing="1" w:line="240" w:lineRule="auto"/>
        <w:rPr>
          <w:rFonts w:eastAsia="Times New Roman" w:cs="Times New Roman"/>
          <w:lang w:eastAsia="de-DE"/>
        </w:rPr>
      </w:pPr>
      <w:r w:rsidRPr="00A70521">
        <w:rPr>
          <w:rFonts w:eastAsia="Times New Roman" w:cs="Times New Roman"/>
          <w:lang w:eastAsia="de-DE"/>
        </w:rPr>
        <w:t>Der Vers markiert das Ende der Krise: Nach der Plage, nach Pinehas' Eingreifen und nach der göttlichen Verheißung beginnt eine neue Phase. Die neue Volkszählung in Kapitel 26 wird zeigen, wie viele überlebt haben und bereitet die neue Generation auf den Einzug ins verheißene Land vor. Die Peor-Episode war die letzte große Krise vor dem Einzug, ein letzter Test, den Israel nur durch göttliches Eingreifen bestand.</w:t>
      </w:r>
    </w:p>
    <w:p w14:paraId="1E12C452"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26,1</w:t>
      </w:r>
    </w:p>
    <w:p w14:paraId="510230BD"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וַיְהִ֖י אַחֲרֵ֣י הַמַּגֵּפָ֑ה וַיֹּ֤אמֶר יְהוָה֙ אֶל־מֹשֶׁ֔ה וְאֶ֧ל אֶלְעָזָ֛ר בֶּן־אַהֲרֹ֥ן הַכֹּהֵ֖ן לֵאמֹֽר׃</w:t>
      </w:r>
    </w:p>
    <w:p w14:paraId="5C14B047"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Und es geschah nach der Plage, da sprach der Ewige zu Mosche und zu El'asar, dem Sohn 'Aharons, des Priesters, und sprach:</w:t>
      </w:r>
    </w:p>
    <w:p w14:paraId="20BB8A08"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128C28C5">
          <v:rect id="_x0000_i1871" style="width:0;height:1.5pt" o:hralign="center" o:hrstd="t" o:hr="t" fillcolor="#a0a0a0" stroked="f"/>
        </w:pict>
      </w:r>
    </w:p>
    <w:p w14:paraId="55AB2082"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Der Vers schließt die Peor-Episode ab und leitet zur neuen Volkszählung über. </w:t>
      </w:r>
      <w:r w:rsidRPr="00346F0B">
        <w:rPr>
          <w:rFonts w:eastAsia="Times New Roman" w:cs="Times New Roman"/>
          <w:b/>
          <w:bCs/>
          <w:rtl/>
          <w:lang w:eastAsia="de-DE"/>
        </w:rPr>
        <w:t>וַיְהִי אַחֲרֵי הַמַּגֵּפָה</w:t>
      </w:r>
      <w:r w:rsidRPr="00346F0B">
        <w:rPr>
          <w:rFonts w:eastAsia="Times New Roman" w:cs="Times New Roman"/>
          <w:rtl/>
          <w:lang w:eastAsia="de-DE"/>
        </w:rPr>
        <w:t xml:space="preserve"> </w:t>
      </w:r>
      <w:r w:rsidRPr="00346F0B">
        <w:rPr>
          <w:rFonts w:eastAsia="Times New Roman" w:cs="Times New Roman"/>
          <w:lang w:eastAsia="de-DE"/>
        </w:rPr>
        <w:t xml:space="preserve">ist die temporale Übergangsformel. </w:t>
      </w:r>
      <w:r w:rsidRPr="00346F0B">
        <w:rPr>
          <w:rFonts w:eastAsia="Times New Roman" w:cs="Times New Roman"/>
          <w:b/>
          <w:bCs/>
          <w:rtl/>
          <w:lang w:eastAsia="de-DE"/>
        </w:rPr>
        <w:t>וַיְהִי</w:t>
      </w:r>
      <w:r w:rsidRPr="00346F0B">
        <w:rPr>
          <w:rFonts w:eastAsia="Times New Roman" w:cs="Times New Roman"/>
          <w:rtl/>
          <w:lang w:eastAsia="de-DE"/>
        </w:rPr>
        <w:t xml:space="preserve"> </w:t>
      </w:r>
      <w:r w:rsidRPr="00346F0B">
        <w:rPr>
          <w:rFonts w:eastAsia="Times New Roman" w:cs="Times New Roman"/>
          <w:lang w:eastAsia="de-DE"/>
        </w:rPr>
        <w:t xml:space="preserve">ist Qal Wayyiqtol 3. Person maskulin </w:t>
      </w:r>
      <w:r w:rsidRPr="00346F0B">
        <w:rPr>
          <w:rFonts w:eastAsia="Times New Roman" w:cs="Times New Roman"/>
          <w:lang w:eastAsia="de-DE"/>
        </w:rPr>
        <w:lastRenderedPageBreak/>
        <w:t xml:space="preserve">Singular von </w:t>
      </w:r>
      <w:r w:rsidRPr="00346F0B">
        <w:rPr>
          <w:rFonts w:eastAsia="Times New Roman" w:cs="Times New Roman"/>
          <w:b/>
          <w:bCs/>
          <w:rtl/>
          <w:lang w:eastAsia="de-DE"/>
        </w:rPr>
        <w:t>היה</w:t>
      </w:r>
      <w:r w:rsidRPr="00346F0B">
        <w:rPr>
          <w:rFonts w:eastAsia="Times New Roman" w:cs="Times New Roman"/>
          <w:rtl/>
          <w:lang w:eastAsia="de-DE"/>
        </w:rPr>
        <w:t xml:space="preserve"> </w:t>
      </w:r>
      <w:r w:rsidRPr="00346F0B">
        <w:rPr>
          <w:rFonts w:eastAsia="Times New Roman" w:cs="Times New Roman"/>
          <w:lang w:eastAsia="de-DE"/>
        </w:rPr>
        <w:t xml:space="preserve">(„sein, geschehen"), </w:t>
      </w:r>
      <w:r w:rsidRPr="00346F0B">
        <w:rPr>
          <w:rFonts w:eastAsia="Times New Roman" w:cs="Times New Roman"/>
          <w:b/>
          <w:bCs/>
          <w:rtl/>
          <w:lang w:eastAsia="de-DE"/>
        </w:rPr>
        <w:t>אַחֲרֵי</w:t>
      </w:r>
      <w:r w:rsidRPr="00346F0B">
        <w:rPr>
          <w:rFonts w:eastAsia="Times New Roman" w:cs="Times New Roman"/>
          <w:rtl/>
          <w:lang w:eastAsia="de-DE"/>
        </w:rPr>
        <w:t xml:space="preserve"> </w:t>
      </w:r>
      <w:r w:rsidRPr="00346F0B">
        <w:rPr>
          <w:rFonts w:eastAsia="Times New Roman" w:cs="Times New Roman"/>
          <w:lang w:eastAsia="de-DE"/>
        </w:rPr>
        <w:t xml:space="preserve">ist die temporale Präposition („nach"), </w:t>
      </w:r>
      <w:r w:rsidRPr="00346F0B">
        <w:rPr>
          <w:rFonts w:eastAsia="Times New Roman" w:cs="Times New Roman"/>
          <w:b/>
          <w:bCs/>
          <w:rtl/>
          <w:lang w:eastAsia="de-DE"/>
        </w:rPr>
        <w:t>הַמַּגֵּפָה</w:t>
      </w:r>
      <w:r w:rsidRPr="00346F0B">
        <w:rPr>
          <w:rFonts w:eastAsia="Times New Roman" w:cs="Times New Roman"/>
          <w:rtl/>
          <w:lang w:eastAsia="de-DE"/>
        </w:rPr>
        <w:t xml:space="preserve"> </w:t>
      </w:r>
      <w:r w:rsidRPr="00346F0B">
        <w:rPr>
          <w:rFonts w:eastAsia="Times New Roman" w:cs="Times New Roman"/>
          <w:lang w:eastAsia="de-DE"/>
        </w:rPr>
        <w:t>(„die Plage") mit Artikel bezieht sich auf die in Num 25,8-9 beschriebene Seuche, die 24.000 Israeliten das Leben kostete. Die Formulierung markiert einen Neuanfang nach der Katastrophe.</w:t>
      </w:r>
    </w:p>
    <w:p w14:paraId="210AFFA2"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t>וַיֹּאמֶר יהוה אֶל־מֹשֶׁה וְאֶל אֶלְעָזָר בֶּן־אַהֲרֹן הַכֹּהֵן לֵאמֹר</w:t>
      </w:r>
      <w:r w:rsidRPr="00346F0B">
        <w:rPr>
          <w:rFonts w:eastAsia="Times New Roman" w:cs="Times New Roman"/>
          <w:rtl/>
          <w:lang w:eastAsia="de-DE"/>
        </w:rPr>
        <w:t xml:space="preserve"> </w:t>
      </w:r>
      <w:r w:rsidRPr="00346F0B">
        <w:rPr>
          <w:rFonts w:eastAsia="Times New Roman" w:cs="Times New Roman"/>
          <w:lang w:eastAsia="de-DE"/>
        </w:rPr>
        <w:t xml:space="preserve">ist bemerkenswert, da hier erstmals Eleasar neben Mose als Empfänger göttlicher Anweisungen erscheint. </w:t>
      </w:r>
      <w:r w:rsidRPr="00346F0B">
        <w:rPr>
          <w:rFonts w:eastAsia="Times New Roman" w:cs="Times New Roman"/>
          <w:b/>
          <w:bCs/>
          <w:rtl/>
          <w:lang w:eastAsia="de-DE"/>
        </w:rPr>
        <w:t>וַיֹּאמֶר</w:t>
      </w:r>
      <w:r w:rsidRPr="00346F0B">
        <w:rPr>
          <w:rFonts w:eastAsia="Times New Roman" w:cs="Times New Roman"/>
          <w:rtl/>
          <w:lang w:eastAsia="de-DE"/>
        </w:rPr>
        <w:t xml:space="preserve"> </w:t>
      </w:r>
      <w:r w:rsidRPr="00346F0B">
        <w:rPr>
          <w:rFonts w:eastAsia="Times New Roman" w:cs="Times New Roman"/>
          <w:lang w:eastAsia="de-DE"/>
        </w:rPr>
        <w:t xml:space="preserve">ist Qal Wayyiqtol 3. Person maskulin Singular von </w:t>
      </w:r>
      <w:r w:rsidRPr="00346F0B">
        <w:rPr>
          <w:rFonts w:eastAsia="Times New Roman" w:cs="Times New Roman"/>
          <w:b/>
          <w:bCs/>
          <w:rtl/>
          <w:lang w:eastAsia="de-DE"/>
        </w:rPr>
        <w:t>אמר</w:t>
      </w:r>
      <w:r w:rsidRPr="00346F0B">
        <w:rPr>
          <w:rFonts w:eastAsia="Times New Roman" w:cs="Times New Roman"/>
          <w:rtl/>
          <w:lang w:eastAsia="de-DE"/>
        </w:rPr>
        <w:t xml:space="preserve"> </w:t>
      </w:r>
      <w:r w:rsidRPr="00346F0B">
        <w:rPr>
          <w:rFonts w:eastAsia="Times New Roman" w:cs="Times New Roman"/>
          <w:lang w:eastAsia="de-DE"/>
        </w:rPr>
        <w:t xml:space="preserve">(„sagen, sprechen"), </w:t>
      </w:r>
      <w:r w:rsidRPr="00346F0B">
        <w:rPr>
          <w:rFonts w:eastAsia="Times New Roman" w:cs="Times New Roman"/>
          <w:b/>
          <w:bCs/>
          <w:rtl/>
          <w:lang w:eastAsia="de-DE"/>
        </w:rPr>
        <w:t>יהוה</w:t>
      </w:r>
      <w:r w:rsidRPr="00346F0B">
        <w:rPr>
          <w:rFonts w:eastAsia="Times New Roman" w:cs="Times New Roman"/>
          <w:rtl/>
          <w:lang w:eastAsia="de-DE"/>
        </w:rPr>
        <w:t xml:space="preserve"> </w:t>
      </w:r>
      <w:r w:rsidRPr="00346F0B">
        <w:rPr>
          <w:rFonts w:eastAsia="Times New Roman" w:cs="Times New Roman"/>
          <w:lang w:eastAsia="de-DE"/>
        </w:rPr>
        <w:t xml:space="preserve">ist das Subjekt. </w:t>
      </w:r>
      <w:r w:rsidRPr="00346F0B">
        <w:rPr>
          <w:rFonts w:eastAsia="Times New Roman" w:cs="Times New Roman"/>
          <w:b/>
          <w:bCs/>
          <w:rtl/>
          <w:lang w:eastAsia="de-DE"/>
        </w:rPr>
        <w:t>אֶל־מֹשֶׁה וְאֶל אֶלְעָזָר</w:t>
      </w:r>
      <w:r w:rsidRPr="00346F0B">
        <w:rPr>
          <w:rFonts w:eastAsia="Times New Roman" w:cs="Times New Roman"/>
          <w:rtl/>
          <w:lang w:eastAsia="de-DE"/>
        </w:rPr>
        <w:t xml:space="preserve"> </w:t>
      </w:r>
      <w:r w:rsidRPr="00346F0B">
        <w:rPr>
          <w:rFonts w:eastAsia="Times New Roman" w:cs="Times New Roman"/>
          <w:lang w:eastAsia="de-DE"/>
        </w:rPr>
        <w:t xml:space="preserve">zeigt mit der wiederholten Präposition </w:t>
      </w:r>
      <w:r w:rsidRPr="00346F0B">
        <w:rPr>
          <w:rFonts w:eastAsia="Times New Roman" w:cs="Times New Roman"/>
          <w:b/>
          <w:bCs/>
          <w:rtl/>
          <w:lang w:eastAsia="de-DE"/>
        </w:rPr>
        <w:t>אֶל</w:t>
      </w:r>
      <w:r w:rsidRPr="00346F0B">
        <w:rPr>
          <w:rFonts w:eastAsia="Times New Roman" w:cs="Times New Roman"/>
          <w:rtl/>
          <w:lang w:eastAsia="de-DE"/>
        </w:rPr>
        <w:t xml:space="preserve"> </w:t>
      </w:r>
      <w:r w:rsidRPr="00346F0B">
        <w:rPr>
          <w:rFonts w:eastAsia="Times New Roman" w:cs="Times New Roman"/>
          <w:lang w:eastAsia="de-DE"/>
        </w:rPr>
        <w:t xml:space="preserve">beide Adressaten gleichberechtigt. </w:t>
      </w:r>
      <w:r w:rsidRPr="00346F0B">
        <w:rPr>
          <w:rFonts w:eastAsia="Times New Roman" w:cs="Times New Roman"/>
          <w:b/>
          <w:bCs/>
          <w:rtl/>
          <w:lang w:eastAsia="de-DE"/>
        </w:rPr>
        <w:t>בֶּן־אַהֲרֹן הַכֹּהֵן</w:t>
      </w:r>
      <w:r w:rsidRPr="00346F0B">
        <w:rPr>
          <w:rFonts w:eastAsia="Times New Roman" w:cs="Times New Roman"/>
          <w:rtl/>
          <w:lang w:eastAsia="de-DE"/>
        </w:rPr>
        <w:t xml:space="preserve"> </w:t>
      </w:r>
      <w:r w:rsidRPr="00346F0B">
        <w:rPr>
          <w:rFonts w:eastAsia="Times New Roman" w:cs="Times New Roman"/>
          <w:lang w:eastAsia="de-DE"/>
        </w:rPr>
        <w:t>identifiziert Eleasar durch seine Abstammung („Sohn Aarons") und sein Amt (</w:t>
      </w:r>
      <w:r w:rsidRPr="00346F0B">
        <w:rPr>
          <w:rFonts w:eastAsia="Times New Roman" w:cs="Times New Roman"/>
          <w:b/>
          <w:bCs/>
          <w:rtl/>
          <w:lang w:eastAsia="de-DE"/>
        </w:rPr>
        <w:t>הַכֹּהֵן</w:t>
      </w:r>
      <w:r w:rsidRPr="00346F0B">
        <w:rPr>
          <w:rFonts w:eastAsia="Times New Roman" w:cs="Times New Roman"/>
          <w:rtl/>
          <w:lang w:eastAsia="de-DE"/>
        </w:rPr>
        <w:t xml:space="preserve"> </w:t>
      </w:r>
      <w:r w:rsidRPr="00346F0B">
        <w:rPr>
          <w:rFonts w:eastAsia="Times New Roman" w:cs="Times New Roman"/>
          <w:lang w:eastAsia="de-DE"/>
        </w:rPr>
        <w:t xml:space="preserve">„der Priester" mit Artikel). Nach Aarons Tod (Num 20,22-29) ist Eleasar Hohepriester. Seine Nennung neben Mose bereitet seine wachsende Rolle vor und zeigt die institutionelle Kontinuität der Führung. </w:t>
      </w:r>
      <w:r w:rsidRPr="00346F0B">
        <w:rPr>
          <w:rFonts w:eastAsia="Times New Roman" w:cs="Times New Roman"/>
          <w:b/>
          <w:bCs/>
          <w:rtl/>
          <w:lang w:eastAsia="de-DE"/>
        </w:rPr>
        <w:t>לֵאמֹר</w:t>
      </w:r>
      <w:r w:rsidRPr="00346F0B">
        <w:rPr>
          <w:rFonts w:eastAsia="Times New Roman" w:cs="Times New Roman"/>
          <w:rtl/>
          <w:lang w:eastAsia="de-DE"/>
        </w:rPr>
        <w:t xml:space="preserve"> </w:t>
      </w:r>
      <w:r w:rsidRPr="00346F0B">
        <w:rPr>
          <w:rFonts w:eastAsia="Times New Roman" w:cs="Times New Roman"/>
          <w:lang w:eastAsia="de-DE"/>
        </w:rPr>
        <w:t>ist die standard-Formel zur Einleitung direkter Rede.</w:t>
      </w:r>
    </w:p>
    <w:p w14:paraId="3DFDAC9D" w14:textId="60049AC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Die LXX</w:t>
      </w:r>
      <w:r w:rsidRPr="00346F0B">
        <w:rPr>
          <w:rFonts w:eastAsia="Times New Roman" w:cs="Times New Roman"/>
          <w:lang w:eastAsia="de-DE"/>
        </w:rPr>
        <w:t xml:space="preserve"> </w:t>
      </w:r>
      <w:r w:rsidR="0033022C">
        <w:t>fügt am Anfang hinzu „Καὶ ἐγένετο μετὰ τὴν πληγήν" (Und es geschah nach der Plage), was im MT nicht erscheint und eine Verbindung zum vorherigen Kapitel herstellt.</w:t>
      </w:r>
    </w:p>
    <w:p w14:paraId="47D3D6CE"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Satzstruktur zeigt eine temporale Übergangsformel, gefolgt von einer Redeeinleitung mit zwei gleichberechtigten Adressaten.</w:t>
      </w:r>
    </w:p>
    <w:p w14:paraId="24E47986"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Der Vers schließt die Peor-Krise ab und markiert den Übergang zur Vorbereitung auf den Landeinzug durch die neue Volkszählung. Die erstmalige gleichberechtigte Nennung Eleasars neben Mose signalisiert den Generationswechsel in der Führung und bereitet auf die Zeit nach Moses Tod vor.</w:t>
      </w:r>
    </w:p>
    <w:p w14:paraId="6C16D79A"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26,2</w:t>
      </w:r>
    </w:p>
    <w:p w14:paraId="435A2B8D"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שְׂא֞וּ אֶת־רֹ֣אשׁ׀ כָּל־עֲדַ֣ת בְּנֵי־יִשְׂרָאֵ֗ל מִבֶּ֨ן עֶשְׂרִ֥ים שָׁנָ֛ה וָמַ֖עְלָה לְבֵ֣ית אֲבֹתָ֑ם כָּל־יֹצֵ֥א צָבָ֖א בְּיִשְׂרָאֵֽל׃</w:t>
      </w:r>
    </w:p>
    <w:p w14:paraId="75459CC2"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„Nehmt die Summe der ganzen Gemeinde der Söhne Jisra'els auf, von 20 Jahren an und darüber, nach ihren Vaterhäusern, alle, die zum Heeresdienst in Jisra'el ausziehen können."</w:t>
      </w:r>
    </w:p>
    <w:p w14:paraId="0A9BA4D5"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2604B7FA">
          <v:rect id="_x0000_i1872" style="width:0;height:1.5pt" o:hralign="center" o:hrstd="t" o:hr="t" fillcolor="#a0a0a0" stroked="f"/>
        </w:pict>
      </w:r>
    </w:p>
    <w:p w14:paraId="100F37A7" w14:textId="303CEA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Der Vers enthält den göttlichen Befehl zur zweiten Volkszählung. </w:t>
      </w:r>
      <w:r w:rsidRPr="00346F0B">
        <w:rPr>
          <w:rFonts w:eastAsia="Times New Roman" w:cs="Times New Roman"/>
          <w:b/>
          <w:bCs/>
          <w:rtl/>
          <w:lang w:eastAsia="de-DE"/>
        </w:rPr>
        <w:t>שְׂאוּ אֶת־רֹאשׁ כָּל־עֲדַת בְּנֵי־יִשְׂרָאֵל</w:t>
      </w:r>
      <w:r w:rsidRPr="00346F0B">
        <w:rPr>
          <w:rFonts w:eastAsia="Times New Roman" w:cs="Times New Roman"/>
          <w:rtl/>
          <w:lang w:eastAsia="de-DE"/>
        </w:rPr>
        <w:t xml:space="preserve"> </w:t>
      </w:r>
      <w:r w:rsidRPr="00346F0B">
        <w:rPr>
          <w:rFonts w:eastAsia="Times New Roman" w:cs="Times New Roman"/>
          <w:lang w:eastAsia="de-DE"/>
        </w:rPr>
        <w:t xml:space="preserve">ist die Hauptanweisung. </w:t>
      </w:r>
      <w:r w:rsidRPr="00346F0B">
        <w:rPr>
          <w:rFonts w:eastAsia="Times New Roman" w:cs="Times New Roman"/>
          <w:b/>
          <w:bCs/>
          <w:rtl/>
          <w:lang w:eastAsia="de-DE"/>
        </w:rPr>
        <w:t>שְׂאוּ</w:t>
      </w:r>
      <w:r w:rsidRPr="00346F0B">
        <w:rPr>
          <w:rFonts w:eastAsia="Times New Roman" w:cs="Times New Roman"/>
          <w:rtl/>
          <w:lang w:eastAsia="de-DE"/>
        </w:rPr>
        <w:t xml:space="preserve"> </w:t>
      </w:r>
      <w:r w:rsidRPr="00346F0B">
        <w:rPr>
          <w:rFonts w:eastAsia="Times New Roman" w:cs="Times New Roman"/>
          <w:lang w:eastAsia="de-DE"/>
        </w:rPr>
        <w:t xml:space="preserve">ist Qal Imperativ maskulin Plural von </w:t>
      </w:r>
      <w:r w:rsidRPr="00346F0B">
        <w:rPr>
          <w:rFonts w:eastAsia="Times New Roman" w:cs="Times New Roman"/>
          <w:b/>
          <w:bCs/>
          <w:rtl/>
          <w:lang w:eastAsia="de-DE"/>
        </w:rPr>
        <w:t>נשׂא</w:t>
      </w:r>
      <w:r w:rsidRPr="00346F0B">
        <w:rPr>
          <w:rFonts w:eastAsia="Times New Roman" w:cs="Times New Roman"/>
          <w:rtl/>
          <w:lang w:eastAsia="de-DE"/>
        </w:rPr>
        <w:t xml:space="preserve"> </w:t>
      </w:r>
      <w:r w:rsidRPr="00346F0B">
        <w:rPr>
          <w:rFonts w:eastAsia="Times New Roman" w:cs="Times New Roman"/>
          <w:lang w:eastAsia="de-DE"/>
        </w:rPr>
        <w:t xml:space="preserve">(„erheben, tragen, zählen"), </w:t>
      </w:r>
      <w:r w:rsidRPr="00346F0B">
        <w:rPr>
          <w:rFonts w:eastAsia="Times New Roman" w:cs="Times New Roman"/>
          <w:b/>
          <w:bCs/>
          <w:rtl/>
          <w:lang w:eastAsia="de-DE"/>
        </w:rPr>
        <w:t>אֶת־רֹאשׁ</w:t>
      </w:r>
      <w:r w:rsidRPr="00346F0B">
        <w:rPr>
          <w:rFonts w:eastAsia="Times New Roman" w:cs="Times New Roman"/>
          <w:rtl/>
          <w:lang w:eastAsia="de-DE"/>
        </w:rPr>
        <w:t xml:space="preserve"> </w:t>
      </w:r>
      <w:r w:rsidRPr="00346F0B">
        <w:rPr>
          <w:rFonts w:eastAsia="Times New Roman" w:cs="Times New Roman"/>
          <w:lang w:eastAsia="de-DE"/>
        </w:rPr>
        <w:t xml:space="preserve">ist idiomatisch: </w:t>
      </w:r>
      <w:r w:rsidRPr="00346F0B">
        <w:rPr>
          <w:rFonts w:eastAsia="Times New Roman" w:cs="Times New Roman"/>
          <w:b/>
          <w:bCs/>
          <w:rtl/>
          <w:lang w:eastAsia="de-DE"/>
        </w:rPr>
        <w:t>רֹאשׁ</w:t>
      </w:r>
      <w:r w:rsidRPr="00346F0B">
        <w:rPr>
          <w:rFonts w:eastAsia="Times New Roman" w:cs="Times New Roman"/>
          <w:rtl/>
          <w:lang w:eastAsia="de-DE"/>
        </w:rPr>
        <w:t xml:space="preserve"> </w:t>
      </w:r>
      <w:r w:rsidRPr="00346F0B">
        <w:rPr>
          <w:rFonts w:eastAsia="Times New Roman" w:cs="Times New Roman"/>
          <w:lang w:eastAsia="de-DE"/>
        </w:rPr>
        <w:t xml:space="preserve">bedeutet wörtlich „Haupt, Kopf", aber die Wendung </w:t>
      </w:r>
      <w:r w:rsidRPr="00346F0B">
        <w:rPr>
          <w:rFonts w:eastAsia="Times New Roman" w:cs="Times New Roman"/>
          <w:b/>
          <w:bCs/>
          <w:rtl/>
          <w:lang w:eastAsia="de-DE"/>
        </w:rPr>
        <w:t>נשׂא ראש</w:t>
      </w:r>
      <w:r w:rsidRPr="00346F0B">
        <w:rPr>
          <w:rFonts w:eastAsia="Times New Roman" w:cs="Times New Roman"/>
          <w:rtl/>
          <w:lang w:eastAsia="de-DE"/>
        </w:rPr>
        <w:t xml:space="preserve"> </w:t>
      </w:r>
      <w:r w:rsidRPr="00346F0B">
        <w:rPr>
          <w:rFonts w:eastAsia="Times New Roman" w:cs="Times New Roman"/>
          <w:lang w:eastAsia="de-DE"/>
        </w:rPr>
        <w:t xml:space="preserve">bedeutet „Kopfzählung durchführen, mustern, zählen". </w:t>
      </w:r>
      <w:r w:rsidRPr="00346F0B">
        <w:rPr>
          <w:rFonts w:eastAsia="Times New Roman" w:cs="Times New Roman"/>
          <w:b/>
          <w:bCs/>
          <w:rtl/>
          <w:lang w:eastAsia="de-DE"/>
        </w:rPr>
        <w:t>כָּל־עֲדַת בְּנֵי־יִשְׂרָאֵל</w:t>
      </w:r>
      <w:r w:rsidRPr="00346F0B">
        <w:rPr>
          <w:rFonts w:eastAsia="Times New Roman" w:cs="Times New Roman"/>
          <w:rtl/>
          <w:lang w:eastAsia="de-DE"/>
        </w:rPr>
        <w:t xml:space="preserve"> </w:t>
      </w:r>
      <w:r w:rsidRPr="00346F0B">
        <w:rPr>
          <w:rFonts w:eastAsia="Times New Roman" w:cs="Times New Roman"/>
          <w:lang w:eastAsia="de-DE"/>
        </w:rPr>
        <w:t xml:space="preserve">ist das Objekt: </w:t>
      </w:r>
      <w:r w:rsidRPr="00346F0B">
        <w:rPr>
          <w:rFonts w:eastAsia="Times New Roman" w:cs="Times New Roman"/>
          <w:b/>
          <w:bCs/>
          <w:rtl/>
          <w:lang w:eastAsia="de-DE"/>
        </w:rPr>
        <w:t>כָּל</w:t>
      </w:r>
      <w:r w:rsidRPr="00346F0B">
        <w:rPr>
          <w:rFonts w:eastAsia="Times New Roman" w:cs="Times New Roman"/>
          <w:rtl/>
          <w:lang w:eastAsia="de-DE"/>
        </w:rPr>
        <w:t xml:space="preserve"> </w:t>
      </w:r>
      <w:r w:rsidRPr="00346F0B">
        <w:rPr>
          <w:rFonts w:eastAsia="Times New Roman" w:cs="Times New Roman"/>
          <w:lang w:eastAsia="de-DE"/>
        </w:rPr>
        <w:t xml:space="preserve">(„ganz, alle") mit </w:t>
      </w:r>
      <w:r w:rsidRPr="00346F0B">
        <w:rPr>
          <w:rFonts w:eastAsia="Times New Roman" w:cs="Times New Roman"/>
          <w:b/>
          <w:bCs/>
          <w:rtl/>
          <w:lang w:eastAsia="de-DE"/>
        </w:rPr>
        <w:t>עֲדַת</w:t>
      </w:r>
      <w:r w:rsidRPr="00346F0B">
        <w:rPr>
          <w:rFonts w:eastAsia="Times New Roman" w:cs="Times New Roman"/>
          <w:rtl/>
          <w:lang w:eastAsia="de-DE"/>
        </w:rPr>
        <w:t xml:space="preserve"> </w:t>
      </w:r>
      <w:r w:rsidRPr="00346F0B">
        <w:rPr>
          <w:rFonts w:eastAsia="Times New Roman" w:cs="Times New Roman"/>
          <w:lang w:eastAsia="de-DE"/>
        </w:rPr>
        <w:t xml:space="preserve">(feminin Singular </w:t>
      </w:r>
      <w:r w:rsidR="00E031B3">
        <w:rPr>
          <w:rFonts w:eastAsia="Times New Roman" w:cs="Times New Roman"/>
          <w:lang w:eastAsia="de-DE"/>
        </w:rPr>
        <w:t>Constructus von</w:t>
      </w:r>
      <w:r w:rsidRPr="00346F0B">
        <w:rPr>
          <w:rFonts w:eastAsia="Times New Roman" w:cs="Times New Roman"/>
          <w:lang w:eastAsia="de-DE"/>
        </w:rPr>
        <w:t xml:space="preserve"> </w:t>
      </w:r>
      <w:r w:rsidRPr="00346F0B">
        <w:rPr>
          <w:rFonts w:eastAsia="Times New Roman" w:cs="Times New Roman"/>
          <w:b/>
          <w:bCs/>
          <w:rtl/>
          <w:lang w:eastAsia="de-DE"/>
        </w:rPr>
        <w:t>עֵדָה</w:t>
      </w:r>
      <w:r w:rsidRPr="00346F0B">
        <w:rPr>
          <w:rFonts w:eastAsia="Times New Roman" w:cs="Times New Roman"/>
          <w:rtl/>
          <w:lang w:eastAsia="de-DE"/>
        </w:rPr>
        <w:t xml:space="preserve"> </w:t>
      </w:r>
      <w:r w:rsidRPr="00346F0B">
        <w:rPr>
          <w:rFonts w:eastAsia="Times New Roman" w:cs="Times New Roman"/>
          <w:lang w:eastAsia="de-DE"/>
        </w:rPr>
        <w:t xml:space="preserve">„Gemeinde, Versammlung") und </w:t>
      </w:r>
      <w:r w:rsidRPr="00346F0B">
        <w:rPr>
          <w:rFonts w:eastAsia="Times New Roman" w:cs="Times New Roman"/>
          <w:b/>
          <w:bCs/>
          <w:rtl/>
          <w:lang w:eastAsia="de-DE"/>
        </w:rPr>
        <w:t>בְּנֵי־יִשְׂרָאֵל</w:t>
      </w:r>
      <w:r w:rsidRPr="00346F0B">
        <w:rPr>
          <w:rFonts w:eastAsia="Times New Roman" w:cs="Times New Roman"/>
          <w:rtl/>
          <w:lang w:eastAsia="de-DE"/>
        </w:rPr>
        <w:t xml:space="preserve"> </w:t>
      </w:r>
      <w:r w:rsidRPr="00346F0B">
        <w:rPr>
          <w:rFonts w:eastAsia="Times New Roman" w:cs="Times New Roman"/>
          <w:lang w:eastAsia="de-DE"/>
        </w:rPr>
        <w:t>im Genitiv. Die Formulierung betont die Vollständigkeit der Zählung.</w:t>
      </w:r>
    </w:p>
    <w:p w14:paraId="32D6C4F4" w14:textId="5B17BC82"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t>מִבֶּן עֶשְׂרִים שָׁנָה וָמַעְלָה</w:t>
      </w:r>
      <w:r w:rsidRPr="00346F0B">
        <w:rPr>
          <w:rFonts w:eastAsia="Times New Roman" w:cs="Times New Roman"/>
          <w:rtl/>
          <w:lang w:eastAsia="de-DE"/>
        </w:rPr>
        <w:t xml:space="preserve"> </w:t>
      </w:r>
      <w:r w:rsidRPr="00346F0B">
        <w:rPr>
          <w:rFonts w:eastAsia="Times New Roman" w:cs="Times New Roman"/>
          <w:lang w:eastAsia="de-DE"/>
        </w:rPr>
        <w:t xml:space="preserve">definiert die Altersgrenze. </w:t>
      </w:r>
      <w:r w:rsidRPr="00346F0B">
        <w:rPr>
          <w:rFonts w:eastAsia="Times New Roman" w:cs="Times New Roman"/>
          <w:b/>
          <w:bCs/>
          <w:rtl/>
          <w:lang w:eastAsia="de-DE"/>
        </w:rPr>
        <w:t>מִבֶּן</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מִן</w:t>
      </w:r>
      <w:r w:rsidRPr="00346F0B">
        <w:rPr>
          <w:rFonts w:eastAsia="Times New Roman" w:cs="Times New Roman"/>
          <w:rtl/>
          <w:lang w:eastAsia="de-DE"/>
        </w:rPr>
        <w:t xml:space="preserve"> </w:t>
      </w:r>
      <w:r w:rsidRPr="00346F0B">
        <w:rPr>
          <w:rFonts w:eastAsia="Times New Roman" w:cs="Times New Roman"/>
          <w:lang w:eastAsia="de-DE"/>
        </w:rPr>
        <w:t xml:space="preserve">„von" mit </w:t>
      </w:r>
      <w:r w:rsidRPr="00346F0B">
        <w:rPr>
          <w:rFonts w:eastAsia="Times New Roman" w:cs="Times New Roman"/>
          <w:b/>
          <w:bCs/>
          <w:rtl/>
          <w:lang w:eastAsia="de-DE"/>
        </w:rPr>
        <w:t>בֶּן</w:t>
      </w:r>
      <w:r w:rsidRPr="00346F0B">
        <w:rPr>
          <w:rFonts w:eastAsia="Times New Roman" w:cs="Times New Roman"/>
          <w:rtl/>
          <w:lang w:eastAsia="de-DE"/>
        </w:rPr>
        <w:t xml:space="preserve"> </w:t>
      </w:r>
      <w:r w:rsidRPr="00346F0B">
        <w:rPr>
          <w:rFonts w:eastAsia="Times New Roman" w:cs="Times New Roman"/>
          <w:lang w:eastAsia="de-DE"/>
        </w:rPr>
        <w:t xml:space="preserve">„Sohn" im </w:t>
      </w:r>
      <w:r w:rsidR="00B513FF">
        <w:rPr>
          <w:rFonts w:eastAsia="Times New Roman" w:cs="Times New Roman"/>
          <w:lang w:eastAsia="de-DE"/>
        </w:rPr>
        <w:t xml:space="preserve">Constructus </w:t>
      </w:r>
      <w:r w:rsidRPr="00346F0B">
        <w:rPr>
          <w:rFonts w:eastAsia="Times New Roman" w:cs="Times New Roman"/>
          <w:lang w:eastAsia="de-DE"/>
        </w:rPr>
        <w:t xml:space="preserve">) bedeutet „von ... Jahren an", </w:t>
      </w:r>
      <w:r w:rsidRPr="00346F0B">
        <w:rPr>
          <w:rFonts w:eastAsia="Times New Roman" w:cs="Times New Roman"/>
          <w:b/>
          <w:bCs/>
          <w:rtl/>
          <w:lang w:eastAsia="de-DE"/>
        </w:rPr>
        <w:t>עֶשְׂרִים</w:t>
      </w:r>
      <w:r w:rsidRPr="00346F0B">
        <w:rPr>
          <w:rFonts w:eastAsia="Times New Roman" w:cs="Times New Roman"/>
          <w:rtl/>
          <w:lang w:eastAsia="de-DE"/>
        </w:rPr>
        <w:t xml:space="preserve"> </w:t>
      </w:r>
      <w:r w:rsidRPr="00346F0B">
        <w:rPr>
          <w:rFonts w:eastAsia="Times New Roman" w:cs="Times New Roman"/>
          <w:lang w:eastAsia="de-DE"/>
        </w:rPr>
        <w:t xml:space="preserve">ist die Kardinalzahl „zwanzig", </w:t>
      </w:r>
      <w:r w:rsidRPr="00346F0B">
        <w:rPr>
          <w:rFonts w:eastAsia="Times New Roman" w:cs="Times New Roman"/>
          <w:b/>
          <w:bCs/>
          <w:rtl/>
          <w:lang w:eastAsia="de-DE"/>
        </w:rPr>
        <w:t>שָׁנָה</w:t>
      </w:r>
      <w:r w:rsidRPr="00346F0B">
        <w:rPr>
          <w:rFonts w:eastAsia="Times New Roman" w:cs="Times New Roman"/>
          <w:rtl/>
          <w:lang w:eastAsia="de-DE"/>
        </w:rPr>
        <w:t xml:space="preserve"> </w:t>
      </w:r>
      <w:r w:rsidRPr="00346F0B">
        <w:rPr>
          <w:rFonts w:eastAsia="Times New Roman" w:cs="Times New Roman"/>
          <w:lang w:eastAsia="de-DE"/>
        </w:rPr>
        <w:t xml:space="preserve">(„Jahr"), </w:t>
      </w:r>
      <w:r w:rsidRPr="00346F0B">
        <w:rPr>
          <w:rFonts w:eastAsia="Times New Roman" w:cs="Times New Roman"/>
          <w:b/>
          <w:bCs/>
          <w:rtl/>
          <w:lang w:eastAsia="de-DE"/>
        </w:rPr>
        <w:t>וָמַעְלָה</w:t>
      </w:r>
      <w:r w:rsidRPr="00346F0B">
        <w:rPr>
          <w:rFonts w:eastAsia="Times New Roman" w:cs="Times New Roman"/>
          <w:rtl/>
          <w:lang w:eastAsia="de-DE"/>
        </w:rPr>
        <w:t xml:space="preserve"> </w:t>
      </w:r>
      <w:r w:rsidRPr="00346F0B">
        <w:rPr>
          <w:rFonts w:eastAsia="Times New Roman" w:cs="Times New Roman"/>
          <w:lang w:eastAsia="de-DE"/>
        </w:rPr>
        <w:t xml:space="preserve">(Konjunktion </w:t>
      </w:r>
      <w:r w:rsidRPr="00346F0B">
        <w:rPr>
          <w:rFonts w:eastAsia="Times New Roman" w:cs="Times New Roman"/>
          <w:b/>
          <w:bCs/>
          <w:rtl/>
          <w:lang w:eastAsia="de-DE"/>
        </w:rPr>
        <w:t>וְ</w:t>
      </w:r>
      <w:r w:rsidRPr="00346F0B">
        <w:rPr>
          <w:rFonts w:eastAsia="Times New Roman" w:cs="Times New Roman"/>
          <w:rtl/>
          <w:lang w:eastAsia="de-DE"/>
        </w:rPr>
        <w:t xml:space="preserve"> </w:t>
      </w:r>
      <w:r w:rsidRPr="00346F0B">
        <w:rPr>
          <w:rFonts w:eastAsia="Times New Roman" w:cs="Times New Roman"/>
          <w:lang w:eastAsia="de-DE"/>
        </w:rPr>
        <w:t xml:space="preserve">mit </w:t>
      </w:r>
      <w:r w:rsidRPr="00346F0B">
        <w:rPr>
          <w:rFonts w:eastAsia="Times New Roman" w:cs="Times New Roman"/>
          <w:b/>
          <w:bCs/>
          <w:rtl/>
          <w:lang w:eastAsia="de-DE"/>
        </w:rPr>
        <w:t>מַעְלָה</w:t>
      </w:r>
      <w:r w:rsidRPr="00346F0B">
        <w:rPr>
          <w:rFonts w:eastAsia="Times New Roman" w:cs="Times New Roman"/>
          <w:rtl/>
          <w:lang w:eastAsia="de-DE"/>
        </w:rPr>
        <w:t xml:space="preserve"> </w:t>
      </w:r>
      <w:r w:rsidRPr="00346F0B">
        <w:rPr>
          <w:rFonts w:eastAsia="Times New Roman" w:cs="Times New Roman"/>
          <w:lang w:eastAsia="de-DE"/>
        </w:rPr>
        <w:t>„aufwärts, darüber") bedeutet „und höher, und darüber". Die Altersgrenze von zwanzig Jahren ist die gleiche wie bei der ersten Zählung (Num 1,3) und definiert die wehrfähigen Männer.</w:t>
      </w:r>
    </w:p>
    <w:p w14:paraId="744EA2D3" w14:textId="144A9EC9"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lastRenderedPageBreak/>
        <w:t>לְבֵית אֲבֹתָם</w:t>
      </w:r>
      <w:r w:rsidRPr="00346F0B">
        <w:rPr>
          <w:rFonts w:eastAsia="Times New Roman" w:cs="Times New Roman"/>
          <w:rtl/>
          <w:lang w:eastAsia="de-DE"/>
        </w:rPr>
        <w:t xml:space="preserve"> </w:t>
      </w:r>
      <w:r w:rsidRPr="00346F0B">
        <w:rPr>
          <w:rFonts w:eastAsia="Times New Roman" w:cs="Times New Roman"/>
          <w:lang w:eastAsia="de-DE"/>
        </w:rPr>
        <w:t xml:space="preserve">gibt die Organisationsstruktur an. </w:t>
      </w:r>
      <w:r w:rsidRPr="00346F0B">
        <w:rPr>
          <w:rFonts w:eastAsia="Times New Roman" w:cs="Times New Roman"/>
          <w:b/>
          <w:bCs/>
          <w:rtl/>
          <w:lang w:eastAsia="de-DE"/>
        </w:rPr>
        <w:t>לְבֵית</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לְ</w:t>
      </w:r>
      <w:r w:rsidRPr="00346F0B">
        <w:rPr>
          <w:rFonts w:eastAsia="Times New Roman" w:cs="Times New Roman"/>
          <w:rtl/>
          <w:lang w:eastAsia="de-DE"/>
        </w:rPr>
        <w:t xml:space="preserve"> </w:t>
      </w:r>
      <w:r w:rsidRPr="00346F0B">
        <w:rPr>
          <w:rFonts w:eastAsia="Times New Roman" w:cs="Times New Roman"/>
          <w:lang w:eastAsia="de-DE"/>
        </w:rPr>
        <w:t xml:space="preserve">mit </w:t>
      </w:r>
      <w:r w:rsidRPr="00346F0B">
        <w:rPr>
          <w:rFonts w:eastAsia="Times New Roman" w:cs="Times New Roman"/>
          <w:b/>
          <w:bCs/>
          <w:rtl/>
          <w:lang w:eastAsia="de-DE"/>
        </w:rPr>
        <w:t>בַּיִת</w:t>
      </w:r>
      <w:r w:rsidRPr="00346F0B">
        <w:rPr>
          <w:rFonts w:eastAsia="Times New Roman" w:cs="Times New Roman"/>
          <w:rtl/>
          <w:lang w:eastAsia="de-DE"/>
        </w:rPr>
        <w:t xml:space="preserve"> </w:t>
      </w:r>
      <w:r w:rsidRPr="00346F0B">
        <w:rPr>
          <w:rFonts w:eastAsia="Times New Roman" w:cs="Times New Roman"/>
          <w:lang w:eastAsia="de-DE"/>
        </w:rPr>
        <w:t xml:space="preserve">„Haus" im </w:t>
      </w:r>
      <w:r w:rsidR="00B513FF">
        <w:rPr>
          <w:rFonts w:eastAsia="Times New Roman" w:cs="Times New Roman"/>
          <w:lang w:eastAsia="de-DE"/>
        </w:rPr>
        <w:t xml:space="preserve">Constructus </w:t>
      </w:r>
      <w:r w:rsidRPr="00346F0B">
        <w:rPr>
          <w:rFonts w:eastAsia="Times New Roman" w:cs="Times New Roman"/>
          <w:lang w:eastAsia="de-DE"/>
        </w:rPr>
        <w:t xml:space="preserve">) mit </w:t>
      </w:r>
      <w:r w:rsidRPr="00346F0B">
        <w:rPr>
          <w:rFonts w:eastAsia="Times New Roman" w:cs="Times New Roman"/>
          <w:b/>
          <w:bCs/>
          <w:rtl/>
          <w:lang w:eastAsia="de-DE"/>
        </w:rPr>
        <w:t>אֲבֹתָם</w:t>
      </w:r>
      <w:r w:rsidRPr="00346F0B">
        <w:rPr>
          <w:rFonts w:eastAsia="Times New Roman" w:cs="Times New Roman"/>
          <w:rtl/>
          <w:lang w:eastAsia="de-DE"/>
        </w:rPr>
        <w:t xml:space="preserve"> </w:t>
      </w:r>
      <w:r w:rsidRPr="00346F0B">
        <w:rPr>
          <w:rFonts w:eastAsia="Times New Roman" w:cs="Times New Roman"/>
          <w:lang w:eastAsia="de-DE"/>
        </w:rPr>
        <w:t xml:space="preserve">(maskuliner Plural von </w:t>
      </w:r>
      <w:r w:rsidRPr="00346F0B">
        <w:rPr>
          <w:rFonts w:eastAsia="Times New Roman" w:cs="Times New Roman"/>
          <w:b/>
          <w:bCs/>
          <w:rtl/>
          <w:lang w:eastAsia="de-DE"/>
        </w:rPr>
        <w:t>אָב</w:t>
      </w:r>
      <w:r w:rsidRPr="00346F0B">
        <w:rPr>
          <w:rFonts w:eastAsia="Times New Roman" w:cs="Times New Roman"/>
          <w:rtl/>
          <w:lang w:eastAsia="de-DE"/>
        </w:rPr>
        <w:t xml:space="preserve"> </w:t>
      </w:r>
      <w:r w:rsidRPr="00346F0B">
        <w:rPr>
          <w:rFonts w:eastAsia="Times New Roman" w:cs="Times New Roman"/>
          <w:lang w:eastAsia="de-DE"/>
        </w:rPr>
        <w:t xml:space="preserve">„Vater" mit Suffix 3. Person maskulin Plural „ihre Väter") bedeutet „nach ihren Vaterhäusern", d.h. nach genealogischen Familieneinheiten. </w:t>
      </w:r>
      <w:r w:rsidRPr="00346F0B">
        <w:rPr>
          <w:rFonts w:eastAsia="Times New Roman" w:cs="Times New Roman"/>
          <w:b/>
          <w:bCs/>
          <w:rtl/>
          <w:lang w:eastAsia="de-DE"/>
        </w:rPr>
        <w:t>כָּל־יֹצֵא צָבָא בְּיִשְׂרָאֵל</w:t>
      </w:r>
      <w:r w:rsidRPr="00346F0B">
        <w:rPr>
          <w:rFonts w:eastAsia="Times New Roman" w:cs="Times New Roman"/>
          <w:rtl/>
          <w:lang w:eastAsia="de-DE"/>
        </w:rPr>
        <w:t xml:space="preserve"> </w:t>
      </w:r>
      <w:r w:rsidRPr="00346F0B">
        <w:rPr>
          <w:rFonts w:eastAsia="Times New Roman" w:cs="Times New Roman"/>
          <w:lang w:eastAsia="de-DE"/>
        </w:rPr>
        <w:t xml:space="preserve">spezifiziert den Zweck. </w:t>
      </w:r>
      <w:r w:rsidRPr="00346F0B">
        <w:rPr>
          <w:rFonts w:eastAsia="Times New Roman" w:cs="Times New Roman"/>
          <w:b/>
          <w:bCs/>
          <w:rtl/>
          <w:lang w:eastAsia="de-DE"/>
        </w:rPr>
        <w:t>כָּל</w:t>
      </w:r>
      <w:r w:rsidRPr="00346F0B">
        <w:rPr>
          <w:rFonts w:eastAsia="Times New Roman" w:cs="Times New Roman"/>
          <w:rtl/>
          <w:lang w:eastAsia="de-DE"/>
        </w:rPr>
        <w:t xml:space="preserve"> </w:t>
      </w:r>
      <w:r w:rsidRPr="00346F0B">
        <w:rPr>
          <w:rFonts w:eastAsia="Times New Roman" w:cs="Times New Roman"/>
          <w:lang w:eastAsia="de-DE"/>
        </w:rPr>
        <w:t xml:space="preserve">(„alle"), </w:t>
      </w:r>
      <w:r w:rsidRPr="00346F0B">
        <w:rPr>
          <w:rFonts w:eastAsia="Times New Roman" w:cs="Times New Roman"/>
          <w:b/>
          <w:bCs/>
          <w:rtl/>
          <w:lang w:eastAsia="de-DE"/>
        </w:rPr>
        <w:t>יֹצֵא</w:t>
      </w:r>
      <w:r w:rsidRPr="00346F0B">
        <w:rPr>
          <w:rFonts w:eastAsia="Times New Roman" w:cs="Times New Roman"/>
          <w:rtl/>
          <w:lang w:eastAsia="de-DE"/>
        </w:rPr>
        <w:t xml:space="preserve"> </w:t>
      </w:r>
      <w:r w:rsidRPr="00346F0B">
        <w:rPr>
          <w:rFonts w:eastAsia="Times New Roman" w:cs="Times New Roman"/>
          <w:lang w:eastAsia="de-DE"/>
        </w:rPr>
        <w:t xml:space="preserve">(Qal-Partizip maskulin Singular von </w:t>
      </w:r>
      <w:r w:rsidRPr="00346F0B">
        <w:rPr>
          <w:rFonts w:eastAsia="Times New Roman" w:cs="Times New Roman"/>
          <w:b/>
          <w:bCs/>
          <w:rtl/>
          <w:lang w:eastAsia="de-DE"/>
        </w:rPr>
        <w:t>יצא</w:t>
      </w:r>
      <w:r w:rsidRPr="00346F0B">
        <w:rPr>
          <w:rFonts w:eastAsia="Times New Roman" w:cs="Times New Roman"/>
          <w:rtl/>
          <w:lang w:eastAsia="de-DE"/>
        </w:rPr>
        <w:t xml:space="preserve"> </w:t>
      </w:r>
      <w:r w:rsidRPr="00346F0B">
        <w:rPr>
          <w:rFonts w:eastAsia="Times New Roman" w:cs="Times New Roman"/>
          <w:lang w:eastAsia="de-DE"/>
        </w:rPr>
        <w:t xml:space="preserve">„ausziehen, hinausgehen"), </w:t>
      </w:r>
      <w:r w:rsidRPr="00346F0B">
        <w:rPr>
          <w:rFonts w:eastAsia="Times New Roman" w:cs="Times New Roman"/>
          <w:b/>
          <w:bCs/>
          <w:rtl/>
          <w:lang w:eastAsia="de-DE"/>
        </w:rPr>
        <w:t>צָבָא</w:t>
      </w:r>
      <w:r w:rsidRPr="00346F0B">
        <w:rPr>
          <w:rFonts w:eastAsia="Times New Roman" w:cs="Times New Roman"/>
          <w:rtl/>
          <w:lang w:eastAsia="de-DE"/>
        </w:rPr>
        <w:t xml:space="preserve"> </w:t>
      </w:r>
      <w:r w:rsidRPr="00346F0B">
        <w:rPr>
          <w:rFonts w:eastAsia="Times New Roman" w:cs="Times New Roman"/>
          <w:lang w:eastAsia="de-DE"/>
        </w:rPr>
        <w:t xml:space="preserve">(maskuliner Singular „Heer, Kriegsdienst, militärischer Dienst"), </w:t>
      </w:r>
      <w:r w:rsidRPr="00346F0B">
        <w:rPr>
          <w:rFonts w:eastAsia="Times New Roman" w:cs="Times New Roman"/>
          <w:b/>
          <w:bCs/>
          <w:rtl/>
          <w:lang w:eastAsia="de-DE"/>
        </w:rPr>
        <w:t>בְּיִשְׂרָאֵל</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בְ</w:t>
      </w:r>
      <w:r w:rsidRPr="00346F0B">
        <w:rPr>
          <w:rFonts w:eastAsia="Times New Roman" w:cs="Times New Roman"/>
          <w:rtl/>
          <w:lang w:eastAsia="de-DE"/>
        </w:rPr>
        <w:t xml:space="preserve"> </w:t>
      </w:r>
      <w:r w:rsidRPr="00346F0B">
        <w:rPr>
          <w:rFonts w:eastAsia="Times New Roman" w:cs="Times New Roman"/>
          <w:lang w:eastAsia="de-DE"/>
        </w:rPr>
        <w:t xml:space="preserve">mit </w:t>
      </w:r>
      <w:r w:rsidRPr="00346F0B">
        <w:rPr>
          <w:rFonts w:eastAsia="Times New Roman" w:cs="Times New Roman"/>
          <w:b/>
          <w:bCs/>
          <w:rtl/>
          <w:lang w:eastAsia="de-DE"/>
        </w:rPr>
        <w:t>יִשְׂרָאֵל</w:t>
      </w:r>
      <w:r w:rsidRPr="00346F0B">
        <w:rPr>
          <w:rFonts w:eastAsia="Times New Roman" w:cs="Times New Roman"/>
          <w:rtl/>
          <w:lang w:eastAsia="de-DE"/>
        </w:rPr>
        <w:t xml:space="preserve"> </w:t>
      </w:r>
      <w:r w:rsidRPr="00346F0B">
        <w:rPr>
          <w:rFonts w:eastAsia="Times New Roman" w:cs="Times New Roman"/>
          <w:lang w:eastAsia="de-DE"/>
        </w:rPr>
        <w:t xml:space="preserve">„in Israel"). Die Wendung </w:t>
      </w:r>
      <w:r w:rsidRPr="00346F0B">
        <w:rPr>
          <w:rFonts w:eastAsia="Times New Roman" w:cs="Times New Roman"/>
          <w:b/>
          <w:bCs/>
          <w:rtl/>
          <w:lang w:eastAsia="de-DE"/>
        </w:rPr>
        <w:t>יֹצֵא צָבָא</w:t>
      </w:r>
      <w:r w:rsidRPr="00346F0B">
        <w:rPr>
          <w:rFonts w:eastAsia="Times New Roman" w:cs="Times New Roman"/>
          <w:rtl/>
          <w:lang w:eastAsia="de-DE"/>
        </w:rPr>
        <w:t xml:space="preserve"> </w:t>
      </w:r>
      <w:r w:rsidRPr="00346F0B">
        <w:rPr>
          <w:rFonts w:eastAsia="Times New Roman" w:cs="Times New Roman"/>
          <w:lang w:eastAsia="de-DE"/>
        </w:rPr>
        <w:t>ist der Terminus technicus für „zum Kriegsdienst ausziehen, militärdienstfähig sein". Die Zählung ist also primär militärisch motiviert zur Vorbereitung auf die Landeroberung.</w:t>
      </w:r>
    </w:p>
    <w:p w14:paraId="07C95EDC"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Die LXX</w:t>
      </w:r>
      <w:r w:rsidRPr="00346F0B">
        <w:rPr>
          <w:rFonts w:eastAsia="Times New Roman" w:cs="Times New Roman"/>
          <w:lang w:eastAsia="de-DE"/>
        </w:rPr>
        <w:t xml:space="preserve"> gibt keine bedeutenden Abweichungen vom hebräischen Text, außer dass sie </w:t>
      </w:r>
      <w:r w:rsidRPr="00346F0B">
        <w:rPr>
          <w:rFonts w:eastAsia="Times New Roman" w:cs="Times New Roman"/>
          <w:b/>
          <w:bCs/>
          <w:rtl/>
          <w:lang w:eastAsia="de-DE"/>
        </w:rPr>
        <w:t>שְׂאוּ אֶת־רֹאשׁ</w:t>
      </w:r>
      <w:r w:rsidRPr="00346F0B">
        <w:rPr>
          <w:rFonts w:eastAsia="Times New Roman" w:cs="Times New Roman"/>
          <w:rtl/>
          <w:lang w:eastAsia="de-DE"/>
        </w:rPr>
        <w:t xml:space="preserve"> </w:t>
      </w:r>
      <w:r w:rsidRPr="00346F0B">
        <w:rPr>
          <w:rFonts w:eastAsia="Times New Roman" w:cs="Times New Roman"/>
          <w:lang w:eastAsia="de-DE"/>
        </w:rPr>
        <w:t>mit λάβετε τὴν ἀρχὴν („nehmt die Gesamtzahl") wiedergibt.</w:t>
      </w:r>
    </w:p>
    <w:p w14:paraId="5348C81B"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Satzstruktur zeigt einen Imperativ mit Akkusativobjekt, gefolgt von drei präpositionalen Phrasen, die Altersgrenze, Organisationsprinzip und Zweck spezifizieren.</w:t>
      </w:r>
    </w:p>
    <w:p w14:paraId="2A3197C4"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Der Vers befiehlt die zweite Volkszählung, die nach der Katastrophe von Peor und knapp vierzig Jahre nach der ersten Zählung (Num 1) durchgeführt wird. Die Zählung dient der Erfassung der neuen, im Kriegsdienst einsatzfähigen Generation, die das verheißene Land erobern soll, und bereitet die Landverteilung vor.</w:t>
      </w:r>
    </w:p>
    <w:p w14:paraId="1D535F2F"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26,3</w:t>
      </w:r>
    </w:p>
    <w:p w14:paraId="22773E7B"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וַיְדַבֵּ֨ר מֹשֶׁ֜ה וְאֶלְעָזָ֧ר הַכֹּהֵ֛ן אֹתָ֖ם בְּעַֽרְבֹ֣ת מוֹאָ֑ב עַל־יַרְדֵּ֥ן יְרֵח֖וֹ לֵאמֹֽר׃</w:t>
      </w:r>
    </w:p>
    <w:p w14:paraId="53A4B532"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Und Mosche und El'asar, der Priester, redeten mit ihnen in den Ebenen Mo'avs am Jarden von Jerecho, und sprachen:</w:t>
      </w:r>
    </w:p>
    <w:p w14:paraId="70C82810"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798B311F">
          <v:rect id="_x0000_i1873" style="width:0;height:1.5pt" o:hralign="center" o:hrstd="t" o:hr="t" fillcolor="#a0a0a0" stroked="f"/>
        </w:pict>
      </w:r>
    </w:p>
    <w:p w14:paraId="49B5D30A"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Der Vers beschreibt die Ausführung des göttlichen Befehls. </w:t>
      </w:r>
      <w:r w:rsidRPr="00346F0B">
        <w:rPr>
          <w:rFonts w:eastAsia="Times New Roman" w:cs="Times New Roman"/>
          <w:b/>
          <w:bCs/>
          <w:rtl/>
          <w:lang w:eastAsia="de-DE"/>
        </w:rPr>
        <w:t>וַיְדַבֵּר מֹשֶׁה וְאֶלְעָזָר הַכֹּהֵן אֹתָם</w:t>
      </w:r>
      <w:r w:rsidRPr="00346F0B">
        <w:rPr>
          <w:rFonts w:eastAsia="Times New Roman" w:cs="Times New Roman"/>
          <w:rtl/>
          <w:lang w:eastAsia="de-DE"/>
        </w:rPr>
        <w:t xml:space="preserve"> </w:t>
      </w:r>
      <w:r w:rsidRPr="00346F0B">
        <w:rPr>
          <w:rFonts w:eastAsia="Times New Roman" w:cs="Times New Roman"/>
          <w:lang w:eastAsia="de-DE"/>
        </w:rPr>
        <w:t xml:space="preserve">zeigt die gemeinsame Handlung. </w:t>
      </w:r>
      <w:r w:rsidRPr="00346F0B">
        <w:rPr>
          <w:rFonts w:eastAsia="Times New Roman" w:cs="Times New Roman"/>
          <w:b/>
          <w:bCs/>
          <w:rtl/>
          <w:lang w:eastAsia="de-DE"/>
        </w:rPr>
        <w:t>וַיְדַבֵּר</w:t>
      </w:r>
      <w:r w:rsidRPr="00346F0B">
        <w:rPr>
          <w:rFonts w:eastAsia="Times New Roman" w:cs="Times New Roman"/>
          <w:rtl/>
          <w:lang w:eastAsia="de-DE"/>
        </w:rPr>
        <w:t xml:space="preserve"> </w:t>
      </w:r>
      <w:r w:rsidRPr="00346F0B">
        <w:rPr>
          <w:rFonts w:eastAsia="Times New Roman" w:cs="Times New Roman"/>
          <w:lang w:eastAsia="de-DE"/>
        </w:rPr>
        <w:t xml:space="preserve">ist Piel Wayyiqtol 3. Person maskulin Singular von </w:t>
      </w:r>
      <w:r w:rsidRPr="00346F0B">
        <w:rPr>
          <w:rFonts w:eastAsia="Times New Roman" w:cs="Times New Roman"/>
          <w:b/>
          <w:bCs/>
          <w:rtl/>
          <w:lang w:eastAsia="de-DE"/>
        </w:rPr>
        <w:t>דבר</w:t>
      </w:r>
      <w:r w:rsidRPr="00346F0B">
        <w:rPr>
          <w:rFonts w:eastAsia="Times New Roman" w:cs="Times New Roman"/>
          <w:rtl/>
          <w:lang w:eastAsia="de-DE"/>
        </w:rPr>
        <w:t xml:space="preserve"> </w:t>
      </w:r>
      <w:r w:rsidRPr="00346F0B">
        <w:rPr>
          <w:rFonts w:eastAsia="Times New Roman" w:cs="Times New Roman"/>
          <w:lang w:eastAsia="de-DE"/>
        </w:rPr>
        <w:t xml:space="preserve">(„reden, sprechen"), wobei das Singular trotz des Doppelsubjekts </w:t>
      </w:r>
      <w:r w:rsidRPr="00346F0B">
        <w:rPr>
          <w:rFonts w:eastAsia="Times New Roman" w:cs="Times New Roman"/>
          <w:b/>
          <w:bCs/>
          <w:rtl/>
          <w:lang w:eastAsia="de-DE"/>
        </w:rPr>
        <w:t>מֹשֶׁה וְאֶלְעָזָר</w:t>
      </w:r>
      <w:r w:rsidRPr="00346F0B">
        <w:rPr>
          <w:rFonts w:eastAsia="Times New Roman" w:cs="Times New Roman"/>
          <w:rtl/>
          <w:lang w:eastAsia="de-DE"/>
        </w:rPr>
        <w:t xml:space="preserve"> </w:t>
      </w:r>
      <w:r w:rsidRPr="00346F0B">
        <w:rPr>
          <w:rFonts w:eastAsia="Times New Roman" w:cs="Times New Roman"/>
          <w:lang w:eastAsia="de-DE"/>
        </w:rPr>
        <w:t xml:space="preserve">verwendet wird, was im Hebräischen möglich ist. </w:t>
      </w:r>
      <w:r w:rsidRPr="00346F0B">
        <w:rPr>
          <w:rFonts w:eastAsia="Times New Roman" w:cs="Times New Roman"/>
          <w:b/>
          <w:bCs/>
          <w:rtl/>
          <w:lang w:eastAsia="de-DE"/>
        </w:rPr>
        <w:t>הַכֹּהֵן</w:t>
      </w:r>
      <w:r w:rsidRPr="00346F0B">
        <w:rPr>
          <w:rFonts w:eastAsia="Times New Roman" w:cs="Times New Roman"/>
          <w:rtl/>
          <w:lang w:eastAsia="de-DE"/>
        </w:rPr>
        <w:t xml:space="preserve"> </w:t>
      </w:r>
      <w:r w:rsidRPr="00346F0B">
        <w:rPr>
          <w:rFonts w:eastAsia="Times New Roman" w:cs="Times New Roman"/>
          <w:lang w:eastAsia="de-DE"/>
        </w:rPr>
        <w:t xml:space="preserve">(„der Priester") identifiziert Eleasar mit Artikel. </w:t>
      </w:r>
      <w:r w:rsidRPr="00346F0B">
        <w:rPr>
          <w:rFonts w:eastAsia="Times New Roman" w:cs="Times New Roman"/>
          <w:b/>
          <w:bCs/>
          <w:rtl/>
          <w:lang w:eastAsia="de-DE"/>
        </w:rPr>
        <w:t>אֹתָם</w:t>
      </w:r>
      <w:r w:rsidRPr="00346F0B">
        <w:rPr>
          <w:rFonts w:eastAsia="Times New Roman" w:cs="Times New Roman"/>
          <w:rtl/>
          <w:lang w:eastAsia="de-DE"/>
        </w:rPr>
        <w:t xml:space="preserve"> </w:t>
      </w:r>
      <w:r w:rsidRPr="00346F0B">
        <w:rPr>
          <w:rFonts w:eastAsia="Times New Roman" w:cs="Times New Roman"/>
          <w:lang w:eastAsia="de-DE"/>
        </w:rPr>
        <w:t>ist das Akkusativpronomen 3. Person maskulin Plural („sie, mit ihnen"), das hier das Volk Israel bezeichnet.</w:t>
      </w:r>
    </w:p>
    <w:p w14:paraId="5F6E0FC1" w14:textId="47E6282D"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t>בְּעַרְבֹת מוֹאָב עַל־יַרְדֵן יְרֵחוֹ</w:t>
      </w:r>
      <w:r w:rsidRPr="00346F0B">
        <w:rPr>
          <w:rFonts w:eastAsia="Times New Roman" w:cs="Times New Roman"/>
          <w:rtl/>
          <w:lang w:eastAsia="de-DE"/>
        </w:rPr>
        <w:t xml:space="preserve"> </w:t>
      </w:r>
      <w:r w:rsidRPr="00346F0B">
        <w:rPr>
          <w:rFonts w:eastAsia="Times New Roman" w:cs="Times New Roman"/>
          <w:lang w:eastAsia="de-DE"/>
        </w:rPr>
        <w:t xml:space="preserve">gibt die geographische Lage präzise an. </w:t>
      </w:r>
      <w:r w:rsidRPr="00346F0B">
        <w:rPr>
          <w:rFonts w:eastAsia="Times New Roman" w:cs="Times New Roman"/>
          <w:b/>
          <w:bCs/>
          <w:rtl/>
          <w:lang w:eastAsia="de-DE"/>
        </w:rPr>
        <w:t>בְּעַרְבֹת מוֹאָב</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בְ</w:t>
      </w:r>
      <w:r w:rsidRPr="00346F0B">
        <w:rPr>
          <w:rFonts w:eastAsia="Times New Roman" w:cs="Times New Roman"/>
          <w:rtl/>
          <w:lang w:eastAsia="de-DE"/>
        </w:rPr>
        <w:t xml:space="preserve"> </w:t>
      </w:r>
      <w:r w:rsidRPr="00346F0B">
        <w:rPr>
          <w:rFonts w:eastAsia="Times New Roman" w:cs="Times New Roman"/>
          <w:lang w:eastAsia="de-DE"/>
        </w:rPr>
        <w:t xml:space="preserve">mit </w:t>
      </w:r>
      <w:r w:rsidRPr="00346F0B">
        <w:rPr>
          <w:rFonts w:eastAsia="Times New Roman" w:cs="Times New Roman"/>
          <w:b/>
          <w:bCs/>
          <w:rtl/>
          <w:lang w:eastAsia="de-DE"/>
        </w:rPr>
        <w:t>עַרְבֹת</w:t>
      </w:r>
      <w:r w:rsidRPr="00346F0B">
        <w:rPr>
          <w:rFonts w:eastAsia="Times New Roman" w:cs="Times New Roman"/>
          <w:rtl/>
          <w:lang w:eastAsia="de-DE"/>
        </w:rPr>
        <w:t xml:space="preserve"> </w:t>
      </w:r>
      <w:r w:rsidRPr="00346F0B">
        <w:rPr>
          <w:rFonts w:eastAsia="Times New Roman" w:cs="Times New Roman"/>
          <w:lang w:eastAsia="de-DE"/>
        </w:rPr>
        <w:t xml:space="preserve">„Steppen, Ebenen" im Plural </w:t>
      </w:r>
      <w:r w:rsidR="00E031B3">
        <w:rPr>
          <w:rFonts w:eastAsia="Times New Roman" w:cs="Times New Roman"/>
          <w:lang w:eastAsia="de-DE"/>
        </w:rPr>
        <w:t>Constructus und</w:t>
      </w:r>
      <w:r w:rsidRPr="00346F0B">
        <w:rPr>
          <w:rFonts w:eastAsia="Times New Roman" w:cs="Times New Roman"/>
          <w:lang w:eastAsia="de-DE"/>
        </w:rPr>
        <w:t xml:space="preserve"> </w:t>
      </w:r>
      <w:r w:rsidRPr="00346F0B">
        <w:rPr>
          <w:rFonts w:eastAsia="Times New Roman" w:cs="Times New Roman"/>
          <w:b/>
          <w:bCs/>
          <w:rtl/>
          <w:lang w:eastAsia="de-DE"/>
        </w:rPr>
        <w:t>מוֹאָב</w:t>
      </w:r>
      <w:r w:rsidRPr="00346F0B">
        <w:rPr>
          <w:rFonts w:eastAsia="Times New Roman" w:cs="Times New Roman"/>
          <w:rtl/>
          <w:lang w:eastAsia="de-DE"/>
        </w:rPr>
        <w:t xml:space="preserve"> </w:t>
      </w:r>
      <w:r w:rsidRPr="00346F0B">
        <w:rPr>
          <w:rFonts w:eastAsia="Times New Roman" w:cs="Times New Roman"/>
          <w:lang w:eastAsia="de-DE"/>
        </w:rPr>
        <w:t xml:space="preserve">„Moab") bezeichnet die Ebenen oder Steppengebiete Moabs östlich des Jordan. </w:t>
      </w:r>
      <w:r w:rsidRPr="00346F0B">
        <w:rPr>
          <w:rFonts w:eastAsia="Times New Roman" w:cs="Times New Roman"/>
          <w:b/>
          <w:bCs/>
          <w:rtl/>
          <w:lang w:eastAsia="de-DE"/>
        </w:rPr>
        <w:t>עַל־יַרְדֵן יְרֵחוֹ</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עַל</w:t>
      </w:r>
      <w:r w:rsidRPr="00346F0B">
        <w:rPr>
          <w:rFonts w:eastAsia="Times New Roman" w:cs="Times New Roman"/>
          <w:rtl/>
          <w:lang w:eastAsia="de-DE"/>
        </w:rPr>
        <w:t xml:space="preserve"> </w:t>
      </w:r>
      <w:r w:rsidRPr="00346F0B">
        <w:rPr>
          <w:rFonts w:eastAsia="Times New Roman" w:cs="Times New Roman"/>
          <w:lang w:eastAsia="de-DE"/>
        </w:rPr>
        <w:t xml:space="preserve">„bei, an" mit </w:t>
      </w:r>
      <w:r w:rsidRPr="00346F0B">
        <w:rPr>
          <w:rFonts w:eastAsia="Times New Roman" w:cs="Times New Roman"/>
          <w:b/>
          <w:bCs/>
          <w:rtl/>
          <w:lang w:eastAsia="de-DE"/>
        </w:rPr>
        <w:t>יַרְדֵן</w:t>
      </w:r>
      <w:r w:rsidRPr="00346F0B">
        <w:rPr>
          <w:rFonts w:eastAsia="Times New Roman" w:cs="Times New Roman"/>
          <w:rtl/>
          <w:lang w:eastAsia="de-DE"/>
        </w:rPr>
        <w:t xml:space="preserve"> </w:t>
      </w:r>
      <w:r w:rsidRPr="00346F0B">
        <w:rPr>
          <w:rFonts w:eastAsia="Times New Roman" w:cs="Times New Roman"/>
          <w:lang w:eastAsia="de-DE"/>
        </w:rPr>
        <w:t xml:space="preserve">„Jordan" und </w:t>
      </w:r>
      <w:r w:rsidRPr="00346F0B">
        <w:rPr>
          <w:rFonts w:eastAsia="Times New Roman" w:cs="Times New Roman"/>
          <w:b/>
          <w:bCs/>
          <w:rtl/>
          <w:lang w:eastAsia="de-DE"/>
        </w:rPr>
        <w:t>יְרֵחוֹ</w:t>
      </w:r>
      <w:r w:rsidRPr="00346F0B">
        <w:rPr>
          <w:rFonts w:eastAsia="Times New Roman" w:cs="Times New Roman"/>
          <w:rtl/>
          <w:lang w:eastAsia="de-DE"/>
        </w:rPr>
        <w:t xml:space="preserve"> </w:t>
      </w:r>
      <w:r w:rsidRPr="00346F0B">
        <w:rPr>
          <w:rFonts w:eastAsia="Times New Roman" w:cs="Times New Roman"/>
          <w:lang w:eastAsia="de-DE"/>
        </w:rPr>
        <w:t xml:space="preserve">„Jericho" im Genitiv) spezifiziert „am Jordan gegenüber Jericho". Dies ist die letzte Lagerstation vor dem Einzug ins verheißene Land, wo Israel seit Num 22,1 lagert. </w:t>
      </w:r>
      <w:r w:rsidRPr="00346F0B">
        <w:rPr>
          <w:rFonts w:eastAsia="Times New Roman" w:cs="Times New Roman"/>
          <w:b/>
          <w:bCs/>
          <w:rtl/>
          <w:lang w:eastAsia="de-DE"/>
        </w:rPr>
        <w:t>לֵאמֹר</w:t>
      </w:r>
      <w:r w:rsidRPr="00346F0B">
        <w:rPr>
          <w:rFonts w:eastAsia="Times New Roman" w:cs="Times New Roman"/>
          <w:rtl/>
          <w:lang w:eastAsia="de-DE"/>
        </w:rPr>
        <w:t xml:space="preserve"> </w:t>
      </w:r>
      <w:r w:rsidRPr="00346F0B">
        <w:rPr>
          <w:rFonts w:eastAsia="Times New Roman" w:cs="Times New Roman"/>
          <w:lang w:eastAsia="de-DE"/>
        </w:rPr>
        <w:t>leitet die direkte Rede ein, die in V. 4 fortgesetzt wird.</w:t>
      </w:r>
    </w:p>
    <w:p w14:paraId="1C5F5940" w14:textId="7AA7B838"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Die LXX</w:t>
      </w:r>
      <w:r w:rsidRPr="00346F0B">
        <w:rPr>
          <w:rFonts w:eastAsia="Times New Roman" w:cs="Times New Roman"/>
          <w:lang w:eastAsia="de-DE"/>
        </w:rPr>
        <w:t xml:space="preserve"> </w:t>
      </w:r>
      <w:r w:rsidR="0033022C">
        <w:t>hat eine andere Satzstruktur: Der Vers endet mit „Καὶ οἱ υἱοὶ Ἰσραὴλ οἱ ἐξελθόντες ἐξ Αἰγύπτου" (Und die Söhne Israels, die aus Ägypten auszogen), während im MT die Aufzählung der Stämme ohne diese Einleitung beginnt.</w:t>
      </w:r>
    </w:p>
    <w:p w14:paraId="10EFA294"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lastRenderedPageBreak/>
        <w:t>Die Satzstruktur zeigt einen Hauptsatz mit Doppelsubject und Objekt, gefolgt von zwei präpositionalen Ortsangaben und der Redeformel.</w:t>
      </w:r>
    </w:p>
    <w:p w14:paraId="543CAF54"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Der Vers dokumentiert die Ausführung der Zählung durch die beiden Leiter Mose und Eleasar an der Schwelle zum verheißenen Land. Die geographische Präzision unterstreicht die historische Bedeutung dieses Moments: Nach vierzig Jahren Wüstenwanderung steht die neue Generation bereit, das Land zu erobern.</w:t>
      </w:r>
    </w:p>
    <w:p w14:paraId="371EFFC2"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26,4</w:t>
      </w:r>
    </w:p>
    <w:p w14:paraId="3B4691F0"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מִבֶּ֛ן עֶשְׂרִ֥ים שָׁנָ֖ה וָמָ֑עְלָה כַּאֲשֶׁר֩ צִוָּ֨ה יְהוָ֤ה אֶת־מֹשֶׁה֙ וּבְנֵ֣י יִשְׂרָאֵ֔ל הַיֹּצְאִ֖ים מֵאֶ֥רֶץ מִצְרָֽיִם׃</w:t>
      </w:r>
    </w:p>
    <w:p w14:paraId="1D598393"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„Von 20 Jahren an und darüber", wie der Ewige Mosche und den Söhnen Jisra'els geboten hatte, die aus dem Land Mizrajim ausgezogen waren:</w:t>
      </w:r>
    </w:p>
    <w:p w14:paraId="0E195AA6"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6BE85C95">
          <v:rect id="_x0000_i1874" style="width:0;height:1.5pt" o:hralign="center" o:hrstd="t" o:hr="t" fillcolor="#a0a0a0" stroked="f"/>
        </w:pict>
      </w:r>
    </w:p>
    <w:p w14:paraId="5B012E85" w14:textId="1ACC006E" w:rsidR="007032F0" w:rsidRDefault="00346F0B" w:rsidP="007032F0">
      <w:pPr>
        <w:pStyle w:val="font-claude-response-body"/>
      </w:pPr>
      <w:r w:rsidRPr="00346F0B">
        <w:rPr>
          <w:b/>
          <w:bCs/>
        </w:rPr>
        <w:t>Kommentar:</w:t>
      </w:r>
      <w:r w:rsidRPr="00346F0B">
        <w:t xml:space="preserve"> </w:t>
      </w:r>
      <w:r w:rsidR="007032F0">
        <w:t xml:space="preserve">Der Vers ist grammatisch schwierig, da er kein Hauptverb enthält. Er setzt wahrscheinlich die direkte Rede aus V. 3 fort und wiederholt die Zählkriterien aus V. 2. </w:t>
      </w:r>
      <w:r w:rsidR="007032F0">
        <w:rPr>
          <w:rtl/>
        </w:rPr>
        <w:t xml:space="preserve">מִבֶּן </w:t>
      </w:r>
      <w:r w:rsidR="007032F0" w:rsidRPr="00D97624">
        <w:rPr>
          <w:b/>
          <w:bCs/>
          <w:rtl/>
        </w:rPr>
        <w:t>עֶשְׂרִים שָׁנָה וָמָעְלָה</w:t>
      </w:r>
      <w:r w:rsidR="007032F0">
        <w:t xml:space="preserve"> wiederholt wörtlich die Altersangabe. </w:t>
      </w:r>
      <w:r w:rsidR="007032F0" w:rsidRPr="00D97624">
        <w:rPr>
          <w:b/>
          <w:bCs/>
          <w:rtl/>
        </w:rPr>
        <w:t>כַּאֲשֶׁר צִוָּה יהוה אֶת־מֹשֶׁה וּבְנֵי יִשְׂרָאֵל</w:t>
      </w:r>
      <w:r w:rsidR="007032F0">
        <w:t xml:space="preserve"> ist ein Vergleichssatz: </w:t>
      </w:r>
      <w:r w:rsidR="007032F0" w:rsidRPr="00522C34">
        <w:rPr>
          <w:rtl/>
        </w:rPr>
        <w:t>כַּאֲשֶׁר</w:t>
      </w:r>
      <w:r w:rsidR="007032F0">
        <w:t xml:space="preserve"> („wie, sowie"), </w:t>
      </w:r>
      <w:r w:rsidR="007032F0">
        <w:rPr>
          <w:rtl/>
        </w:rPr>
        <w:t>צִוָּה</w:t>
      </w:r>
      <w:r w:rsidR="007032F0">
        <w:t xml:space="preserve"> (Piel Perfekt 3. m. Sg. von </w:t>
      </w:r>
      <w:r w:rsidR="007032F0">
        <w:rPr>
          <w:rtl/>
        </w:rPr>
        <w:t>צוה</w:t>
      </w:r>
      <w:r w:rsidR="007032F0">
        <w:t xml:space="preserve"> „befehlen"), der auf frühere göttliche Befehle verweist (besonders Num 1,3).</w:t>
      </w:r>
    </w:p>
    <w:p w14:paraId="7DB74747" w14:textId="745B79A0" w:rsidR="00346F0B" w:rsidRDefault="007032F0" w:rsidP="007032F0">
      <w:pPr>
        <w:pStyle w:val="font-claude-response-body"/>
      </w:pPr>
      <w:r w:rsidRPr="00522C34">
        <w:rPr>
          <w:b/>
          <w:bCs/>
          <w:rtl/>
        </w:rPr>
        <w:t>הַיֹּצְאִים מֵאֶרֶץ מִצְרָיִם</w:t>
      </w:r>
      <w:r>
        <w:t xml:space="preserve"> ist ein Relativsatz ohne explizites </w:t>
      </w:r>
      <w:r w:rsidRPr="00522C34">
        <w:rPr>
          <w:b/>
          <w:bCs/>
          <w:rtl/>
        </w:rPr>
        <w:t>אֲשֶׁר. הַיֹּצְאִים</w:t>
      </w:r>
      <w:r>
        <w:t xml:space="preserve"> (Qal-Partizip m. Pl. von </w:t>
      </w:r>
      <w:r>
        <w:rPr>
          <w:rtl/>
        </w:rPr>
        <w:t>יצא</w:t>
      </w:r>
      <w:r>
        <w:t xml:space="preserve"> „ausziehen") mit Artikel, substantiviert („die Auszügler"). Die Phrase bezieht sich auf die </w:t>
      </w:r>
      <w:r>
        <w:rPr>
          <w:rStyle w:val="Fett"/>
        </w:rPr>
        <w:t>Exodus-Generation</w:t>
      </w:r>
      <w:r>
        <w:t>.</w:t>
      </w:r>
    </w:p>
    <w:p w14:paraId="546B2EF0" w14:textId="77777777" w:rsidR="00D97624" w:rsidRDefault="00D97624" w:rsidP="00D97624">
      <w:pPr>
        <w:pStyle w:val="font-claude-response-body"/>
      </w:pPr>
      <w:r>
        <w:rPr>
          <w:rStyle w:val="Fett"/>
        </w:rPr>
        <w:t>Textproblem:</w:t>
      </w:r>
      <w:r>
        <w:t xml:space="preserve"> Der Vers hat kein finites Hauptverb und ist syntaktisch schwierig. Es gibt drei Erklärungsmöglichkeiten:</w:t>
      </w:r>
    </w:p>
    <w:p w14:paraId="7AF250DA" w14:textId="77777777" w:rsidR="00522C34" w:rsidRDefault="00D97624" w:rsidP="00522C34">
      <w:pPr>
        <w:pStyle w:val="font-claude-response-body"/>
      </w:pPr>
      <w:r>
        <w:rPr>
          <w:rStyle w:val="Fett"/>
        </w:rPr>
        <w:t>1. Ellipse (wahrscheinlichste Lösung):</w:t>
      </w:r>
      <w:r>
        <w:t xml:space="preserve"> Der Vers setzt die direkte Rede aus V. 3 (</w:t>
      </w:r>
      <w:r w:rsidRPr="00522C34">
        <w:rPr>
          <w:b/>
          <w:bCs/>
          <w:rtl/>
        </w:rPr>
        <w:t>לֵאמֹר</w:t>
      </w:r>
      <w:r>
        <w:t xml:space="preserve">) fort und wiederholt die Zählkriterien aus V. 2. Das Verb </w:t>
      </w:r>
      <w:r>
        <w:rPr>
          <w:rtl/>
        </w:rPr>
        <w:t>שְׂאוּ</w:t>
      </w:r>
      <w:r>
        <w:t xml:space="preserve"> („nehmt [die Summe]") ist zu ergänzen. </w:t>
      </w:r>
      <w:r w:rsidR="00522C34">
        <w:t>Diese Interpretation wird durch mehrere Argumente gestützt:</w:t>
      </w:r>
    </w:p>
    <w:p w14:paraId="3D14C4B0" w14:textId="77777777" w:rsidR="00522C34" w:rsidRDefault="00522C34" w:rsidP="00F329DD">
      <w:pPr>
        <w:pStyle w:val="whitespace-normal"/>
        <w:numPr>
          <w:ilvl w:val="0"/>
          <w:numId w:val="268"/>
        </w:numPr>
      </w:pPr>
      <w:r>
        <w:rPr>
          <w:rStyle w:val="Fett"/>
        </w:rPr>
        <w:t>Parallele zu Num 1,2-3:</w:t>
      </w:r>
      <w:r>
        <w:t xml:space="preserve"> Die Struktur entspricht exakt der ersten Volkszählung: </w:t>
      </w:r>
    </w:p>
    <w:p w14:paraId="60CA79C3" w14:textId="77777777" w:rsidR="00522C34" w:rsidRDefault="00522C34" w:rsidP="00F329DD">
      <w:pPr>
        <w:pStyle w:val="whitespace-normal"/>
        <w:numPr>
          <w:ilvl w:val="1"/>
          <w:numId w:val="268"/>
        </w:numPr>
      </w:pPr>
      <w:r>
        <w:rPr>
          <w:rStyle w:val="Fett"/>
        </w:rPr>
        <w:t>Num 1,2:</w:t>
      </w:r>
      <w:r>
        <w:t xml:space="preserve"> </w:t>
      </w:r>
      <w:r>
        <w:rPr>
          <w:rtl/>
        </w:rPr>
        <w:t>שְׂאוּ אֶת־רֹאשׁ</w:t>
      </w:r>
      <w:r>
        <w:t>... („Nehmt die Summe...")</w:t>
      </w:r>
    </w:p>
    <w:p w14:paraId="52AE2846" w14:textId="77777777" w:rsidR="00522C34" w:rsidRDefault="00522C34" w:rsidP="00F329DD">
      <w:pPr>
        <w:pStyle w:val="whitespace-normal"/>
        <w:numPr>
          <w:ilvl w:val="1"/>
          <w:numId w:val="268"/>
        </w:numPr>
      </w:pPr>
      <w:r>
        <w:rPr>
          <w:rStyle w:val="Fett"/>
        </w:rPr>
        <w:t>Num 1,3:</w:t>
      </w:r>
      <w:r>
        <w:t xml:space="preserve"> </w:t>
      </w:r>
      <w:r>
        <w:rPr>
          <w:rtl/>
        </w:rPr>
        <w:t>מִבֶּן עֶשְׂרִים שָׁנָה וָמַעְלָה</w:t>
      </w:r>
      <w:r>
        <w:t xml:space="preserve"> („Von 20 Jahren an und darüber")</w:t>
      </w:r>
    </w:p>
    <w:p w14:paraId="7E4BD79F" w14:textId="77777777" w:rsidR="00522C34" w:rsidRDefault="00522C34" w:rsidP="00522C34">
      <w:pPr>
        <w:pStyle w:val="whitespace-normal"/>
        <w:spacing w:before="0" w:after="0"/>
        <w:ind w:left="720"/>
      </w:pPr>
      <w:r>
        <w:t xml:space="preserve">→ In beiden Fällen folgt auf den göttlichen Befehl (1,2; 26,2) die Ausführung mit Wiederholung der Altersangabe (1,3; 26,4). Dies ist die normale Struktur biblischer Erzählung: </w:t>
      </w:r>
      <w:r>
        <w:rPr>
          <w:rStyle w:val="Fett"/>
        </w:rPr>
        <w:t>Befehl → Ausführung mit Wiederholung</w:t>
      </w:r>
      <w:r>
        <w:t>.</w:t>
      </w:r>
    </w:p>
    <w:p w14:paraId="3E9BF8EE" w14:textId="77777777" w:rsidR="00522C34" w:rsidRDefault="00522C34" w:rsidP="00F329DD">
      <w:pPr>
        <w:pStyle w:val="whitespace-normal"/>
        <w:numPr>
          <w:ilvl w:val="0"/>
          <w:numId w:val="268"/>
        </w:numPr>
      </w:pPr>
      <w:r>
        <w:rPr>
          <w:rStyle w:val="Fett"/>
        </w:rPr>
        <w:t>LXX-Bestätigung:</w:t>
      </w:r>
      <w:r>
        <w:t xml:space="preserve"> Die Septuaginta behandelt V. 4 als Fortsetzung der direkten Rede aus V. 3 (</w:t>
      </w:r>
      <w:proofErr w:type="spellStart"/>
      <w:r>
        <w:t>λέγων</w:t>
      </w:r>
      <w:proofErr w:type="spellEnd"/>
      <w:r>
        <w:t xml:space="preserve">): </w:t>
      </w:r>
    </w:p>
    <w:p w14:paraId="00A99A35" w14:textId="77777777" w:rsidR="00522C34" w:rsidRDefault="00522C34" w:rsidP="00F329DD">
      <w:pPr>
        <w:pStyle w:val="whitespace-normal"/>
        <w:numPr>
          <w:ilvl w:val="1"/>
          <w:numId w:val="268"/>
        </w:numPr>
      </w:pPr>
      <w:r>
        <w:rPr>
          <w:rStyle w:val="Fett"/>
        </w:rPr>
        <w:t>LXX 26,3:</w:t>
      </w:r>
      <w:r>
        <w:t xml:space="preserve"> καὶ </w:t>
      </w:r>
      <w:proofErr w:type="spellStart"/>
      <w:r>
        <w:t>ἐλάλησεν</w:t>
      </w:r>
      <w:proofErr w:type="spellEnd"/>
      <w:r>
        <w:t xml:space="preserve"> Μωυσῆς... </w:t>
      </w:r>
      <w:proofErr w:type="spellStart"/>
      <w:r>
        <w:t>λέγων</w:t>
      </w:r>
      <w:proofErr w:type="spellEnd"/>
      <w:r>
        <w:t xml:space="preserve"> („und Mose redete... sagend")</w:t>
      </w:r>
    </w:p>
    <w:p w14:paraId="058D8B45" w14:textId="77777777" w:rsidR="00522C34" w:rsidRDefault="00522C34" w:rsidP="00F329DD">
      <w:pPr>
        <w:pStyle w:val="whitespace-normal"/>
        <w:numPr>
          <w:ilvl w:val="1"/>
          <w:numId w:val="268"/>
        </w:numPr>
      </w:pPr>
      <w:r>
        <w:rPr>
          <w:rStyle w:val="Fett"/>
        </w:rPr>
        <w:t>LXX 26,4:</w:t>
      </w:r>
      <w:r>
        <w:t xml:space="preserve"> ἀπὸ </w:t>
      </w:r>
      <w:proofErr w:type="spellStart"/>
      <w:r>
        <w:t>εἰκοσ</w:t>
      </w:r>
      <w:proofErr w:type="spellEnd"/>
      <w:r>
        <w:t>αετοῦς καὶ ἐπ</w:t>
      </w:r>
      <w:proofErr w:type="spellStart"/>
      <w:r>
        <w:t>άνω</w:t>
      </w:r>
      <w:proofErr w:type="spellEnd"/>
      <w:r>
        <w:t xml:space="preserve"> </w:t>
      </w:r>
      <w:proofErr w:type="spellStart"/>
      <w:r>
        <w:t>ὃν</w:t>
      </w:r>
      <w:proofErr w:type="spellEnd"/>
      <w:r>
        <w:t xml:space="preserve"> </w:t>
      </w:r>
      <w:proofErr w:type="spellStart"/>
      <w:r>
        <w:t>τρό</w:t>
      </w:r>
      <w:proofErr w:type="spellEnd"/>
      <w:r>
        <w:t xml:space="preserve">πον </w:t>
      </w:r>
      <w:proofErr w:type="spellStart"/>
      <w:r>
        <w:t>συνέτ</w:t>
      </w:r>
      <w:proofErr w:type="spellEnd"/>
      <w:r>
        <w:t xml:space="preserve">αξεν </w:t>
      </w:r>
      <w:proofErr w:type="spellStart"/>
      <w:r>
        <w:t>κύριος</w:t>
      </w:r>
      <w:proofErr w:type="spellEnd"/>
      <w:r>
        <w:t xml:space="preserve"> („von zwanzig Jahren an und darüber, wie der Herr geboten hatte")</w:t>
      </w:r>
    </w:p>
    <w:p w14:paraId="22248965" w14:textId="77777777" w:rsidR="00522C34" w:rsidRDefault="00522C34" w:rsidP="00522C34">
      <w:pPr>
        <w:pStyle w:val="whitespace-normal"/>
        <w:spacing w:before="0" w:after="0"/>
        <w:ind w:left="720"/>
      </w:pPr>
      <w:r>
        <w:t>→ Die LXX zeigt keine Textstörung und bestätigt die Ellipse des Hauptverbs.</w:t>
      </w:r>
    </w:p>
    <w:p w14:paraId="6EB7B6EC" w14:textId="77777777" w:rsidR="00522C34" w:rsidRDefault="00522C34" w:rsidP="00F329DD">
      <w:pPr>
        <w:pStyle w:val="whitespace-normal"/>
        <w:numPr>
          <w:ilvl w:val="0"/>
          <w:numId w:val="268"/>
        </w:numPr>
      </w:pPr>
      <w:r>
        <w:rPr>
          <w:rStyle w:val="Fett"/>
        </w:rPr>
        <w:lastRenderedPageBreak/>
        <w:t>Textkritische Evidenz:</w:t>
      </w:r>
      <w:r>
        <w:t xml:space="preserve"> Samaritanischer Pentateuch, Targum Onkelos und Targum Pseudo-Jonathan stimmen mit dem MT überein – </w:t>
      </w:r>
      <w:r>
        <w:rPr>
          <w:rStyle w:val="Fett"/>
        </w:rPr>
        <w:t>keine Textvarianten bekannt</w:t>
      </w:r>
      <w:r>
        <w:t>.</w:t>
      </w:r>
    </w:p>
    <w:p w14:paraId="18F16460" w14:textId="77777777" w:rsidR="00522C34" w:rsidRDefault="00522C34" w:rsidP="00522C34">
      <w:pPr>
        <w:pStyle w:val="font-claude-response-body"/>
      </w:pPr>
      <w:r>
        <w:rPr>
          <w:rStyle w:val="Fett"/>
        </w:rPr>
        <w:t>2. Partizipialsatz als Überleitung:</w:t>
      </w:r>
      <w:r>
        <w:t xml:space="preserve"> </w:t>
      </w:r>
      <w:r>
        <w:rPr>
          <w:rtl/>
        </w:rPr>
        <w:t>הַיֹּצְאִים מֵאֶרֶץ מִצְרָיִם</w:t>
      </w:r>
      <w:r>
        <w:t xml:space="preserve"> könnte als selbständiger Nominalsatz verstanden werden, der zur Stammesliste (V. 5ff) überleitet: „[Dies sind die Nachkommen der] aus Ägypten Ausgezogenen." So interpretiert auch die LXX, die einen neuen Satz beginnt: καὶ </w:t>
      </w:r>
      <w:proofErr w:type="spellStart"/>
      <w:r>
        <w:t>οἱ</w:t>
      </w:r>
      <w:proofErr w:type="spellEnd"/>
      <w:r>
        <w:t xml:space="preserve"> </w:t>
      </w:r>
      <w:proofErr w:type="spellStart"/>
      <w:r>
        <w:t>υἱοὶ</w:t>
      </w:r>
      <w:proofErr w:type="spellEnd"/>
      <w:r>
        <w:t xml:space="preserve"> </w:t>
      </w:r>
      <w:proofErr w:type="spellStart"/>
      <w:r>
        <w:t>Ισρ</w:t>
      </w:r>
      <w:proofErr w:type="spellEnd"/>
      <w:r>
        <w:t xml:space="preserve">αηλ </w:t>
      </w:r>
      <w:proofErr w:type="spellStart"/>
      <w:r>
        <w:t>οἱ</w:t>
      </w:r>
      <w:proofErr w:type="spellEnd"/>
      <w:r>
        <w:t xml:space="preserve"> </w:t>
      </w:r>
      <w:proofErr w:type="spellStart"/>
      <w:r>
        <w:t>ἐξελθόντες</w:t>
      </w:r>
      <w:proofErr w:type="spellEnd"/>
      <w:r>
        <w:t xml:space="preserve"> </w:t>
      </w:r>
      <w:proofErr w:type="spellStart"/>
      <w:r>
        <w:t>ἐξ</w:t>
      </w:r>
      <w:proofErr w:type="spellEnd"/>
      <w:r>
        <w:t xml:space="preserve"> Αἰγύπτου („Und die Söhne Israels, die aus Ägypten ausgezogen waren").</w:t>
      </w:r>
    </w:p>
    <w:p w14:paraId="7FA470A4" w14:textId="77777777" w:rsidR="00522C34" w:rsidRDefault="00522C34" w:rsidP="00522C34">
      <w:pPr>
        <w:pStyle w:val="font-claude-response-body"/>
      </w:pPr>
      <w:r>
        <w:rPr>
          <w:rStyle w:val="Fett"/>
        </w:rPr>
        <w:t>3. Textstörung (weniger wahrscheinlich):</w:t>
      </w:r>
      <w:r>
        <w:t xml:space="preserve"> Ein Verb könnte ausgefallen sein. Dafür gibt es jedoch </w:t>
      </w:r>
      <w:r>
        <w:rPr>
          <w:rStyle w:val="Fett"/>
        </w:rPr>
        <w:t>keine handschriftliche Evidenz</w:t>
      </w:r>
      <w:r>
        <w:t xml:space="preserve"> im MT, in der LXX, im Samaritanischen Pentateuch oder in den erhaltenen Qumran-Fragmenten.</w:t>
      </w:r>
    </w:p>
    <w:p w14:paraId="50D84958" w14:textId="62824581" w:rsidR="00D97624" w:rsidRDefault="00D97624" w:rsidP="00522C34">
      <w:pPr>
        <w:pStyle w:val="font-claude-response-body"/>
      </w:pPr>
      <w:r>
        <w:rPr>
          <w:rStyle w:val="Fett"/>
          <w:b w:val="0"/>
          <w:bCs w:val="0"/>
        </w:rPr>
        <w:t>Zusätzliche textkritische Evidenz</w:t>
      </w:r>
    </w:p>
    <w:p w14:paraId="14828F1C" w14:textId="77777777" w:rsidR="00D97624" w:rsidRDefault="00D97624" w:rsidP="00D97624">
      <w:pPr>
        <w:pStyle w:val="berschrift3"/>
      </w:pPr>
      <w:r>
        <w:rPr>
          <w:rStyle w:val="Fett"/>
          <w:b w:val="0"/>
          <w:bCs w:val="0"/>
        </w:rPr>
        <w:t>Qumran:</w:t>
      </w:r>
    </w:p>
    <w:p w14:paraId="6FB8EC5A" w14:textId="77777777" w:rsidR="00D97624" w:rsidRDefault="00D97624" w:rsidP="00D97624">
      <w:pPr>
        <w:pStyle w:val="font-claude-response-body"/>
      </w:pPr>
      <w:r>
        <w:t xml:space="preserve">Leider ist </w:t>
      </w:r>
      <w:r>
        <w:rPr>
          <w:rStyle w:val="Fett"/>
        </w:rPr>
        <w:t>4QNumb</w:t>
      </w:r>
      <w:r>
        <w:t xml:space="preserve"> (4Q27) an dieser Stelle </w:t>
      </w:r>
      <w:r>
        <w:rPr>
          <w:rStyle w:val="Fett"/>
        </w:rPr>
        <w:t>fragmentarisch</w:t>
      </w:r>
      <w:r>
        <w:t>, sodass V. 4 nicht erhalten ist.</w:t>
      </w:r>
    </w:p>
    <w:p w14:paraId="245027F7" w14:textId="77777777" w:rsidR="00D97624" w:rsidRDefault="00D97624" w:rsidP="00D97624">
      <w:pPr>
        <w:pStyle w:val="berschrift3"/>
      </w:pPr>
      <w:r>
        <w:rPr>
          <w:rStyle w:val="Fett"/>
          <w:b w:val="0"/>
          <w:bCs w:val="0"/>
        </w:rPr>
        <w:t>Samaritanischer Pentateuch:</w:t>
      </w:r>
    </w:p>
    <w:p w14:paraId="3219FE88" w14:textId="77777777" w:rsidR="00D97624" w:rsidRDefault="00D97624" w:rsidP="00D97624">
      <w:pPr>
        <w:pStyle w:val="font-claude-response-body"/>
      </w:pPr>
      <w:r>
        <w:t xml:space="preserve">Der </w:t>
      </w:r>
      <w:r>
        <w:rPr>
          <w:rStyle w:val="Fett"/>
        </w:rPr>
        <w:t>SP</w:t>
      </w:r>
      <w:r>
        <w:t xml:space="preserve"> stimmt mit dem </w:t>
      </w:r>
      <w:r>
        <w:rPr>
          <w:rStyle w:val="Fett"/>
        </w:rPr>
        <w:t>MT</w:t>
      </w:r>
      <w:r>
        <w:t xml:space="preserve"> überein – </w:t>
      </w:r>
      <w:r>
        <w:rPr>
          <w:rStyle w:val="Fett"/>
        </w:rPr>
        <w:t>keine Variante</w:t>
      </w:r>
      <w:r>
        <w:t>.</w:t>
      </w:r>
    </w:p>
    <w:p w14:paraId="2A466C0B" w14:textId="77777777" w:rsidR="00D97624" w:rsidRDefault="00D97624" w:rsidP="00D97624">
      <w:pPr>
        <w:pStyle w:val="berschrift3"/>
      </w:pPr>
      <w:r>
        <w:rPr>
          <w:rStyle w:val="Fett"/>
          <w:b w:val="0"/>
          <w:bCs w:val="0"/>
        </w:rPr>
        <w:t>Targume:</w:t>
      </w:r>
    </w:p>
    <w:p w14:paraId="799D3CB0" w14:textId="7ED805B1" w:rsidR="00D97624" w:rsidRDefault="00D97624" w:rsidP="00D97624">
      <w:pPr>
        <w:pStyle w:val="font-claude-response-body"/>
      </w:pPr>
      <w:r>
        <w:rPr>
          <w:rStyle w:val="Fett"/>
        </w:rPr>
        <w:t>Targum Onkelos</w:t>
      </w:r>
      <w:r>
        <w:t xml:space="preserve"> und </w:t>
      </w:r>
      <w:r>
        <w:rPr>
          <w:rStyle w:val="Fett"/>
        </w:rPr>
        <w:t>Targum Pseudo-Jonathan</w:t>
      </w:r>
      <w:r>
        <w:t xml:space="preserve"> folgen ebenfalls dem MT und interpretieren V. 4 als </w:t>
      </w:r>
      <w:r>
        <w:rPr>
          <w:rStyle w:val="Fett"/>
        </w:rPr>
        <w:t>Fortsetzung der direkten Rede</w:t>
      </w:r>
      <w:r>
        <w:t>.</w:t>
      </w:r>
    </w:p>
    <w:p w14:paraId="2D7A3200" w14:textId="77777777" w:rsidR="001B5A27" w:rsidRDefault="001B5A27" w:rsidP="001B5A27">
      <w:pPr>
        <w:pStyle w:val="font-claude-response-body"/>
      </w:pPr>
      <w:r w:rsidRPr="001B5A27">
        <w:rPr>
          <w:b/>
          <w:bCs/>
        </w:rPr>
        <w:t>Die LXX</w:t>
      </w:r>
      <w:r>
        <w:t xml:space="preserve"> zeigt:</w:t>
      </w:r>
    </w:p>
    <w:p w14:paraId="43DCEFD5" w14:textId="77777777" w:rsidR="001B5A27" w:rsidRDefault="001B5A27" w:rsidP="00F329DD">
      <w:pPr>
        <w:pStyle w:val="whitespace-normal"/>
        <w:numPr>
          <w:ilvl w:val="0"/>
          <w:numId w:val="269"/>
        </w:numPr>
      </w:pPr>
      <w:r>
        <w:rPr>
          <w:rStyle w:val="Fett"/>
        </w:rPr>
        <w:t>Keine Textstörung</w:t>
      </w:r>
      <w:r>
        <w:t xml:space="preserve"> – der Vers wird als grammatisch vollständig verstanden</w:t>
      </w:r>
    </w:p>
    <w:p w14:paraId="0DE9A350" w14:textId="77777777" w:rsidR="001B5A27" w:rsidRDefault="001B5A27" w:rsidP="00F329DD">
      <w:pPr>
        <w:pStyle w:val="whitespace-normal"/>
        <w:numPr>
          <w:ilvl w:val="0"/>
          <w:numId w:val="269"/>
        </w:numPr>
      </w:pPr>
      <w:r>
        <w:rPr>
          <w:rStyle w:val="Fett"/>
        </w:rPr>
        <w:t>Fortsetzung der direkten Rede</w:t>
      </w:r>
      <w:r>
        <w:t xml:space="preserve"> aus V. 3 (</w:t>
      </w:r>
      <w:proofErr w:type="spellStart"/>
      <w:r>
        <w:t>λέγων</w:t>
      </w:r>
      <w:proofErr w:type="spellEnd"/>
      <w:r>
        <w:t>)</w:t>
      </w:r>
    </w:p>
    <w:p w14:paraId="572ADAE0" w14:textId="77777777" w:rsidR="001B5A27" w:rsidRDefault="001B5A27" w:rsidP="00F329DD">
      <w:pPr>
        <w:pStyle w:val="whitespace-normal"/>
        <w:numPr>
          <w:ilvl w:val="0"/>
          <w:numId w:val="269"/>
        </w:numPr>
      </w:pPr>
      <w:r>
        <w:rPr>
          <w:rStyle w:val="Fett"/>
        </w:rPr>
        <w:t>Neuer Satz</w:t>
      </w:r>
      <w:r>
        <w:t xml:space="preserve"> beginnt mit καὶ </w:t>
      </w:r>
      <w:proofErr w:type="spellStart"/>
      <w:r>
        <w:t>οἱ</w:t>
      </w:r>
      <w:proofErr w:type="spellEnd"/>
      <w:r>
        <w:t xml:space="preserve"> </w:t>
      </w:r>
      <w:proofErr w:type="spellStart"/>
      <w:r>
        <w:t>υἱοὶ</w:t>
      </w:r>
      <w:proofErr w:type="spellEnd"/>
      <w:r>
        <w:t xml:space="preserve"> </w:t>
      </w:r>
      <w:proofErr w:type="spellStart"/>
      <w:r>
        <w:t>Ισρ</w:t>
      </w:r>
      <w:proofErr w:type="spellEnd"/>
      <w:r>
        <w:t xml:space="preserve">αηλ („Und die Söhne Israels"), was das Partizip </w:t>
      </w:r>
      <w:r>
        <w:rPr>
          <w:rtl/>
        </w:rPr>
        <w:t>הַיֹּצְאִים</w:t>
      </w:r>
      <w:r>
        <w:t xml:space="preserve"> als Überleitung zur Stammesliste interpretiert</w:t>
      </w:r>
    </w:p>
    <w:p w14:paraId="405F4346" w14:textId="0D22EA9F" w:rsidR="001B5A27" w:rsidRDefault="001B5A27" w:rsidP="001B5A27">
      <w:pPr>
        <w:pStyle w:val="font-claude-response-body"/>
      </w:pPr>
      <w:r>
        <w:t xml:space="preserve">Dies bestätigt, dass die </w:t>
      </w:r>
      <w:r>
        <w:rPr>
          <w:rStyle w:val="Fett"/>
        </w:rPr>
        <w:t>Ellipse des Hauptverbs</w:t>
      </w:r>
      <w:r>
        <w:t xml:space="preserve"> (</w:t>
      </w:r>
      <w:r>
        <w:rPr>
          <w:rtl/>
        </w:rPr>
        <w:t>שְׂאוּ</w:t>
      </w:r>
      <w:r>
        <w:t xml:space="preserve"> aus V. 2) die korrekte Interpretation ist und </w:t>
      </w:r>
      <w:r>
        <w:rPr>
          <w:rStyle w:val="Fett"/>
        </w:rPr>
        <w:t>keine Textverderbnis</w:t>
      </w:r>
      <w:r>
        <w:t xml:space="preserve"> vorliegt.</w:t>
      </w:r>
    </w:p>
    <w:p w14:paraId="1F19DC61"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Satzstruktur zeigt eine wiederholte Altersangabe, gefolgt von einem Vergleichssatz, der auf frühere göttliche Befehle verweist, mit einem partizipialen Attributsatz, der die Exodus-Generation identifiziert.</w:t>
      </w:r>
    </w:p>
    <w:p w14:paraId="3E284616" w14:textId="224308C6" w:rsid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Der Vers schafft Kontinuität zwischen der ersten und zweiten Zählung durch Verweis auf den ursprünglichen Befehl, unterstreicht aber zugleich den radikalen Generationenwechsel: Die gezählte Generation ist nicht mehr die des Exodus, sondern deren Nachkommen, die im verheißenen Land leben werden.</w:t>
      </w:r>
      <w:r w:rsidR="001B5A27">
        <w:rPr>
          <w:rFonts w:eastAsia="Times New Roman" w:cs="Times New Roman"/>
          <w:lang w:eastAsia="de-DE"/>
        </w:rPr>
        <w:t xml:space="preserve"> </w:t>
      </w:r>
      <w:r w:rsidR="001B5A27">
        <w:t xml:space="preserve">Die </w:t>
      </w:r>
      <w:r w:rsidR="001B5A27" w:rsidRPr="001B5A27">
        <w:rPr>
          <w:rStyle w:val="Fett"/>
        </w:rPr>
        <w:t>Treue Gottes</w:t>
      </w:r>
      <w:r w:rsidR="001B5A27">
        <w:t xml:space="preserve"> zu seinem Bund steht in Kontrast zum </w:t>
      </w:r>
      <w:r w:rsidR="001B5A27" w:rsidRPr="001B5A27">
        <w:rPr>
          <w:rStyle w:val="Fett"/>
        </w:rPr>
        <w:t>Gericht über die Untreue</w:t>
      </w:r>
      <w:r w:rsidR="001B5A27">
        <w:t xml:space="preserve"> der ersten Generation.</w:t>
      </w:r>
    </w:p>
    <w:p w14:paraId="2A159375"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lastRenderedPageBreak/>
        <w:t>Numeri 26,5</w:t>
      </w:r>
    </w:p>
    <w:p w14:paraId="18C6C4B3"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רְאוּבֵ֖ן בְּכ֣וֹר יִשְׂרָאֵ֑ל בְּנֵ֣י רְאוּבֵ֗ן חֲנוֹךְ֙ מִשְׁפַּ֣חַת הַחֲנֹכִ֔י לְפַלּ֕וּא מִשְׁפַּ֖חַת הַפַּלֻּאִֽי׃</w:t>
      </w:r>
    </w:p>
    <w:p w14:paraId="1C74CEA9"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Re'uven, der erstgeborene Jisra'els; die Söhne Re'uvens: von Chanoch die Familie des Chanochi; von Pallu die Familie des Pallu'i;</w:t>
      </w:r>
    </w:p>
    <w:p w14:paraId="4828F5BF"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4C34B6BD">
          <v:rect id="_x0000_i1875" style="width:0;height:1.5pt" o:hralign="center" o:hrstd="t" o:hr="t" fillcolor="#a0a0a0" stroked="f"/>
        </w:pict>
      </w:r>
    </w:p>
    <w:p w14:paraId="66687DBF"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Der Vers beginnt die systematische Auflistung der Stämme mit Ruben. </w:t>
      </w:r>
      <w:r w:rsidRPr="00346F0B">
        <w:rPr>
          <w:rFonts w:eastAsia="Times New Roman" w:cs="Times New Roman"/>
          <w:b/>
          <w:bCs/>
          <w:rtl/>
          <w:lang w:eastAsia="de-DE"/>
        </w:rPr>
        <w:t>רְאוּבֵן בְּכוֹר יִשְׂרָאֵל</w:t>
      </w:r>
      <w:r w:rsidRPr="00346F0B">
        <w:rPr>
          <w:rFonts w:eastAsia="Times New Roman" w:cs="Times New Roman"/>
          <w:rtl/>
          <w:lang w:eastAsia="de-DE"/>
        </w:rPr>
        <w:t xml:space="preserve"> </w:t>
      </w:r>
      <w:r w:rsidRPr="00346F0B">
        <w:rPr>
          <w:rFonts w:eastAsia="Times New Roman" w:cs="Times New Roman"/>
          <w:lang w:eastAsia="de-DE"/>
        </w:rPr>
        <w:t xml:space="preserve">ist die einleitende Identifikation. </w:t>
      </w:r>
      <w:r w:rsidRPr="00346F0B">
        <w:rPr>
          <w:rFonts w:eastAsia="Times New Roman" w:cs="Times New Roman"/>
          <w:b/>
          <w:bCs/>
          <w:rtl/>
          <w:lang w:eastAsia="de-DE"/>
        </w:rPr>
        <w:t>רְאוּבֵן</w:t>
      </w:r>
      <w:r w:rsidRPr="00346F0B">
        <w:rPr>
          <w:rFonts w:eastAsia="Times New Roman" w:cs="Times New Roman"/>
          <w:rtl/>
          <w:lang w:eastAsia="de-DE"/>
        </w:rPr>
        <w:t xml:space="preserve"> </w:t>
      </w:r>
      <w:r w:rsidRPr="00346F0B">
        <w:rPr>
          <w:rFonts w:eastAsia="Times New Roman" w:cs="Times New Roman"/>
          <w:lang w:eastAsia="de-DE"/>
        </w:rPr>
        <w:t xml:space="preserve">ist der Eigenname (Ruben), </w:t>
      </w:r>
      <w:r w:rsidRPr="00346F0B">
        <w:rPr>
          <w:rFonts w:eastAsia="Times New Roman" w:cs="Times New Roman"/>
          <w:b/>
          <w:bCs/>
          <w:rtl/>
          <w:lang w:eastAsia="de-DE"/>
        </w:rPr>
        <w:t>בְּכוֹר</w:t>
      </w:r>
      <w:r w:rsidRPr="00346F0B">
        <w:rPr>
          <w:rFonts w:eastAsia="Times New Roman" w:cs="Times New Roman"/>
          <w:rtl/>
          <w:lang w:eastAsia="de-DE"/>
        </w:rPr>
        <w:t xml:space="preserve"> </w:t>
      </w:r>
      <w:r w:rsidRPr="00346F0B">
        <w:rPr>
          <w:rFonts w:eastAsia="Times New Roman" w:cs="Times New Roman"/>
          <w:lang w:eastAsia="de-DE"/>
        </w:rPr>
        <w:t xml:space="preserve">(maskuliner Singular von </w:t>
      </w:r>
      <w:r w:rsidRPr="00346F0B">
        <w:rPr>
          <w:rFonts w:eastAsia="Times New Roman" w:cs="Times New Roman"/>
          <w:b/>
          <w:bCs/>
          <w:rtl/>
          <w:lang w:eastAsia="de-DE"/>
        </w:rPr>
        <w:t>בְּכוֹר</w:t>
      </w:r>
      <w:r w:rsidRPr="00346F0B">
        <w:rPr>
          <w:rFonts w:eastAsia="Times New Roman" w:cs="Times New Roman"/>
          <w:rtl/>
          <w:lang w:eastAsia="de-DE"/>
        </w:rPr>
        <w:t xml:space="preserve"> </w:t>
      </w:r>
      <w:r w:rsidRPr="00346F0B">
        <w:rPr>
          <w:rFonts w:eastAsia="Times New Roman" w:cs="Times New Roman"/>
          <w:lang w:eastAsia="de-DE"/>
        </w:rPr>
        <w:t xml:space="preserve">„Erstgeborener") mit </w:t>
      </w:r>
      <w:r w:rsidRPr="00346F0B">
        <w:rPr>
          <w:rFonts w:eastAsia="Times New Roman" w:cs="Times New Roman"/>
          <w:b/>
          <w:bCs/>
          <w:rtl/>
          <w:lang w:eastAsia="de-DE"/>
        </w:rPr>
        <w:t>יִשְׂרָאֵל</w:t>
      </w:r>
      <w:r w:rsidRPr="00346F0B">
        <w:rPr>
          <w:rFonts w:eastAsia="Times New Roman" w:cs="Times New Roman"/>
          <w:rtl/>
          <w:lang w:eastAsia="de-DE"/>
        </w:rPr>
        <w:t xml:space="preserve"> </w:t>
      </w:r>
      <w:r w:rsidRPr="00346F0B">
        <w:rPr>
          <w:rFonts w:eastAsia="Times New Roman" w:cs="Times New Roman"/>
          <w:lang w:eastAsia="de-DE"/>
        </w:rPr>
        <w:t>im Genitiv („Erstgeborener Israels") betont Rubens Status als ältester Sohn Jakobs (Gen 29,32; 49,3). Trotz seines Erstgeburtsrechts verlor Ruben seine Führungsrolle wegen seiner Sünde (Gen 35,22; 49,4; 1 Chr 5,1).</w:t>
      </w:r>
    </w:p>
    <w:p w14:paraId="51ACEEAA" w14:textId="6F88CAF2"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t>בְּנֵי רְאוּבֵן</w:t>
      </w:r>
      <w:r w:rsidRPr="00346F0B">
        <w:rPr>
          <w:rFonts w:eastAsia="Times New Roman" w:cs="Times New Roman"/>
          <w:rtl/>
          <w:lang w:eastAsia="de-DE"/>
        </w:rPr>
        <w:t xml:space="preserve"> </w:t>
      </w:r>
      <w:r w:rsidRPr="00346F0B">
        <w:rPr>
          <w:rFonts w:eastAsia="Times New Roman" w:cs="Times New Roman"/>
          <w:lang w:eastAsia="de-DE"/>
        </w:rPr>
        <w:t xml:space="preserve">(„die Söhne Rubens") leitet die Aufzählung ein. Die folgenden Formulierungen folgen einem festen Muster: </w:t>
      </w:r>
      <w:r w:rsidRPr="00346F0B">
        <w:rPr>
          <w:rFonts w:eastAsia="Times New Roman" w:cs="Times New Roman"/>
          <w:b/>
          <w:bCs/>
          <w:rtl/>
          <w:lang w:eastAsia="de-DE"/>
        </w:rPr>
        <w:t>חֲנוֹךְ מִשְׁפַּחַת הַחֲנֹכִי</w:t>
      </w:r>
      <w:r w:rsidRPr="00346F0B">
        <w:rPr>
          <w:rFonts w:eastAsia="Times New Roman" w:cs="Times New Roman"/>
          <w:rtl/>
          <w:lang w:eastAsia="de-DE"/>
        </w:rPr>
        <w:t xml:space="preserve"> </w:t>
      </w:r>
      <w:r w:rsidRPr="00346F0B">
        <w:rPr>
          <w:rFonts w:eastAsia="Times New Roman" w:cs="Times New Roman"/>
          <w:lang w:eastAsia="de-DE"/>
        </w:rPr>
        <w:t xml:space="preserve">zeigt die Struktur. </w:t>
      </w:r>
      <w:r w:rsidRPr="00346F0B">
        <w:rPr>
          <w:rFonts w:eastAsia="Times New Roman" w:cs="Times New Roman"/>
          <w:b/>
          <w:bCs/>
          <w:rtl/>
          <w:lang w:eastAsia="de-DE"/>
        </w:rPr>
        <w:t>חֲנוֹךְ</w:t>
      </w:r>
      <w:r w:rsidRPr="00346F0B">
        <w:rPr>
          <w:rFonts w:eastAsia="Times New Roman" w:cs="Times New Roman"/>
          <w:rtl/>
          <w:lang w:eastAsia="de-DE"/>
        </w:rPr>
        <w:t xml:space="preserve"> </w:t>
      </w:r>
      <w:r w:rsidRPr="00346F0B">
        <w:rPr>
          <w:rFonts w:eastAsia="Times New Roman" w:cs="Times New Roman"/>
          <w:lang w:eastAsia="de-DE"/>
        </w:rPr>
        <w:t xml:space="preserve">(Chanoch, Henoch) ist der Name des Sohnes, </w:t>
      </w:r>
      <w:r w:rsidRPr="00346F0B">
        <w:rPr>
          <w:rFonts w:eastAsia="Times New Roman" w:cs="Times New Roman"/>
          <w:b/>
          <w:bCs/>
          <w:rtl/>
          <w:lang w:eastAsia="de-DE"/>
        </w:rPr>
        <w:t>מִשְׁפַּחַת</w:t>
      </w:r>
      <w:r w:rsidRPr="00346F0B">
        <w:rPr>
          <w:rFonts w:eastAsia="Times New Roman" w:cs="Times New Roman"/>
          <w:rtl/>
          <w:lang w:eastAsia="de-DE"/>
        </w:rPr>
        <w:t xml:space="preserve"> </w:t>
      </w:r>
      <w:r w:rsidRPr="00346F0B">
        <w:rPr>
          <w:rFonts w:eastAsia="Times New Roman" w:cs="Times New Roman"/>
          <w:lang w:eastAsia="de-DE"/>
        </w:rPr>
        <w:t xml:space="preserve">ist feminin Singular </w:t>
      </w:r>
      <w:r w:rsidR="00E031B3">
        <w:rPr>
          <w:rFonts w:eastAsia="Times New Roman" w:cs="Times New Roman"/>
          <w:lang w:eastAsia="de-DE"/>
        </w:rPr>
        <w:t>Constructus von</w:t>
      </w:r>
      <w:r w:rsidRPr="00346F0B">
        <w:rPr>
          <w:rFonts w:eastAsia="Times New Roman" w:cs="Times New Roman"/>
          <w:lang w:eastAsia="de-DE"/>
        </w:rPr>
        <w:t xml:space="preserve"> </w:t>
      </w:r>
      <w:r w:rsidRPr="00346F0B">
        <w:rPr>
          <w:rFonts w:eastAsia="Times New Roman" w:cs="Times New Roman"/>
          <w:b/>
          <w:bCs/>
          <w:rtl/>
          <w:lang w:eastAsia="de-DE"/>
        </w:rPr>
        <w:t>מִשְׁפָּחָה</w:t>
      </w:r>
      <w:r w:rsidRPr="00346F0B">
        <w:rPr>
          <w:rFonts w:eastAsia="Times New Roman" w:cs="Times New Roman"/>
          <w:rtl/>
          <w:lang w:eastAsia="de-DE"/>
        </w:rPr>
        <w:t xml:space="preserve"> </w:t>
      </w:r>
      <w:r w:rsidRPr="00346F0B">
        <w:rPr>
          <w:rFonts w:eastAsia="Times New Roman" w:cs="Times New Roman"/>
          <w:lang w:eastAsia="de-DE"/>
        </w:rPr>
        <w:t xml:space="preserve">(„Sippe, Familie, Klan"), </w:t>
      </w:r>
      <w:r w:rsidRPr="00346F0B">
        <w:rPr>
          <w:rFonts w:eastAsia="Times New Roman" w:cs="Times New Roman"/>
          <w:b/>
          <w:bCs/>
          <w:rtl/>
          <w:lang w:eastAsia="de-DE"/>
        </w:rPr>
        <w:t>הַחֲנֹכִי</w:t>
      </w:r>
      <w:r w:rsidRPr="00346F0B">
        <w:rPr>
          <w:rFonts w:eastAsia="Times New Roman" w:cs="Times New Roman"/>
          <w:rtl/>
          <w:lang w:eastAsia="de-DE"/>
        </w:rPr>
        <w:t xml:space="preserve"> </w:t>
      </w:r>
      <w:r w:rsidRPr="00346F0B">
        <w:rPr>
          <w:rFonts w:eastAsia="Times New Roman" w:cs="Times New Roman"/>
          <w:lang w:eastAsia="de-DE"/>
        </w:rPr>
        <w:t xml:space="preserve">ist das Gentilizium mit Artikel („der Chanochit, die Chanochiter"). Die Präposition </w:t>
      </w:r>
      <w:r w:rsidRPr="00346F0B">
        <w:rPr>
          <w:rFonts w:eastAsia="Times New Roman" w:cs="Times New Roman"/>
          <w:b/>
          <w:bCs/>
          <w:rtl/>
          <w:lang w:eastAsia="de-DE"/>
        </w:rPr>
        <w:t>לְ</w:t>
      </w:r>
      <w:r w:rsidRPr="00346F0B">
        <w:rPr>
          <w:rFonts w:eastAsia="Times New Roman" w:cs="Times New Roman"/>
          <w:rtl/>
          <w:lang w:eastAsia="de-DE"/>
        </w:rPr>
        <w:t xml:space="preserve"> </w:t>
      </w:r>
      <w:r w:rsidRPr="00346F0B">
        <w:rPr>
          <w:rFonts w:eastAsia="Times New Roman" w:cs="Times New Roman"/>
          <w:lang w:eastAsia="de-DE"/>
        </w:rPr>
        <w:t xml:space="preserve">vor den Namen bedeutet hier „von, zu" und zeigt die Zugehörigkeit an. </w:t>
      </w:r>
      <w:r w:rsidRPr="00346F0B">
        <w:rPr>
          <w:rFonts w:eastAsia="Times New Roman" w:cs="Times New Roman"/>
          <w:b/>
          <w:bCs/>
          <w:rtl/>
          <w:lang w:eastAsia="de-DE"/>
        </w:rPr>
        <w:t>לְפַלּוּא מִשְׁפַּחַת הַפַּלֻּאִי</w:t>
      </w:r>
      <w:r w:rsidRPr="00346F0B">
        <w:rPr>
          <w:rFonts w:eastAsia="Times New Roman" w:cs="Times New Roman"/>
          <w:rtl/>
          <w:lang w:eastAsia="de-DE"/>
        </w:rPr>
        <w:t xml:space="preserve"> </w:t>
      </w:r>
      <w:r w:rsidRPr="00346F0B">
        <w:rPr>
          <w:rFonts w:eastAsia="Times New Roman" w:cs="Times New Roman"/>
          <w:lang w:eastAsia="de-DE"/>
        </w:rPr>
        <w:t xml:space="preserve">folgt demselben Muster: </w:t>
      </w:r>
      <w:r w:rsidRPr="00346F0B">
        <w:rPr>
          <w:rFonts w:eastAsia="Times New Roman" w:cs="Times New Roman"/>
          <w:b/>
          <w:bCs/>
          <w:rtl/>
          <w:lang w:eastAsia="de-DE"/>
        </w:rPr>
        <w:t>פַּלּוּא</w:t>
      </w:r>
      <w:r w:rsidRPr="00346F0B">
        <w:rPr>
          <w:rFonts w:eastAsia="Times New Roman" w:cs="Times New Roman"/>
          <w:rtl/>
          <w:lang w:eastAsia="de-DE"/>
        </w:rPr>
        <w:t xml:space="preserve"> </w:t>
      </w:r>
      <w:r w:rsidRPr="00346F0B">
        <w:rPr>
          <w:rFonts w:eastAsia="Times New Roman" w:cs="Times New Roman"/>
          <w:lang w:eastAsia="de-DE"/>
        </w:rPr>
        <w:t xml:space="preserve">(Pallu) ist der zweite Sohn, </w:t>
      </w:r>
      <w:r w:rsidRPr="00346F0B">
        <w:rPr>
          <w:rFonts w:eastAsia="Times New Roman" w:cs="Times New Roman"/>
          <w:b/>
          <w:bCs/>
          <w:rtl/>
          <w:lang w:eastAsia="de-DE"/>
        </w:rPr>
        <w:t>הַפַּלֻּאִי</w:t>
      </w:r>
      <w:r w:rsidRPr="00346F0B">
        <w:rPr>
          <w:rFonts w:eastAsia="Times New Roman" w:cs="Times New Roman"/>
          <w:rtl/>
          <w:lang w:eastAsia="de-DE"/>
        </w:rPr>
        <w:t xml:space="preserve"> </w:t>
      </w:r>
      <w:r w:rsidRPr="00346F0B">
        <w:rPr>
          <w:rFonts w:eastAsia="Times New Roman" w:cs="Times New Roman"/>
          <w:lang w:eastAsia="de-DE"/>
        </w:rPr>
        <w:t>das Gentilizium. Die Formulierung entspricht der Genealogie in Gen 46,9 und Ex 6,14.</w:t>
      </w:r>
    </w:p>
    <w:p w14:paraId="724CC745"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Die LXX</w:t>
      </w:r>
      <w:r w:rsidRPr="00346F0B">
        <w:rPr>
          <w:rFonts w:eastAsia="Times New Roman" w:cs="Times New Roman"/>
          <w:lang w:eastAsia="de-DE"/>
        </w:rPr>
        <w:t xml:space="preserve"> transliteriert die Namen als Ενωχ und Φαλλους und verwendet die standard-Formel δῆμος („Sippe, Stamm") für </w:t>
      </w:r>
      <w:r w:rsidRPr="00346F0B">
        <w:rPr>
          <w:rFonts w:eastAsia="Times New Roman" w:cs="Times New Roman"/>
          <w:b/>
          <w:bCs/>
          <w:rtl/>
          <w:lang w:eastAsia="de-DE"/>
        </w:rPr>
        <w:t>מִשְׁפָּחָה</w:t>
      </w:r>
      <w:r w:rsidRPr="00346F0B">
        <w:rPr>
          <w:rFonts w:eastAsia="Times New Roman" w:cs="Times New Roman"/>
          <w:lang w:eastAsia="de-DE"/>
        </w:rPr>
        <w:t>.</w:t>
      </w:r>
    </w:p>
    <w:p w14:paraId="0685A844"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Satzstruktur zeigt einen Nominalsatz als Überschrift, gefolgt von einer Aufzählungsformel, die sich durch das ganze Kapitel wiederholt.</w:t>
      </w:r>
    </w:p>
    <w:p w14:paraId="5094F877"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Der Vers eröffnet die systematische Stammesauflistung mit Ruben, wobei dessen Erstgeburtsstatus zwar genannt, aber faktisch nicht mehr relevant ist, da Juda militärisch (Num 2,3) und messianisch (Gen 49,8-12) die Führung übernommen hat. Die Zählung dokumentiert die genealogische Kontinuität von der Patriarchenzeit bis zur Schwelle des verheißenen Landes.</w:t>
      </w:r>
    </w:p>
    <w:p w14:paraId="5832C91B"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26,6</w:t>
      </w:r>
    </w:p>
    <w:p w14:paraId="2F59FE94"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לְחֶצְרֹ֕ן מִשְׁפַּ֖חַת הַֽחֶצְרוֹנִ֑י לְכַרְמִ֕י מִשְׁפַּ֖חַת הַכַּרְמִֽי׃</w:t>
      </w:r>
    </w:p>
    <w:p w14:paraId="2A885194"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von Chezron die Familie des Chezroni; von Karmi die Familie des Karmi.</w:t>
      </w:r>
    </w:p>
    <w:p w14:paraId="4AAE5E20"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0F47E17E">
          <v:rect id="_x0000_i1876" style="width:0;height:1.5pt" o:hralign="center" o:hrstd="t" o:hr="t" fillcolor="#a0a0a0" stroked="f"/>
        </w:pict>
      </w:r>
    </w:p>
    <w:p w14:paraId="1E5DD6C8"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Der Vers setzt die Aufzählung der rubenitischen Familien fort. </w:t>
      </w:r>
      <w:r w:rsidRPr="00346F0B">
        <w:rPr>
          <w:rFonts w:eastAsia="Times New Roman" w:cs="Times New Roman"/>
          <w:b/>
          <w:bCs/>
          <w:rtl/>
          <w:lang w:eastAsia="de-DE"/>
        </w:rPr>
        <w:t>לְחֶצְרֹן מִשְׁפַּחַת הַחֶצְרוֹנִי</w:t>
      </w:r>
      <w:r w:rsidRPr="00346F0B">
        <w:rPr>
          <w:rFonts w:eastAsia="Times New Roman" w:cs="Times New Roman"/>
          <w:rtl/>
          <w:lang w:eastAsia="de-DE"/>
        </w:rPr>
        <w:t xml:space="preserve"> </w:t>
      </w:r>
      <w:r w:rsidRPr="00346F0B">
        <w:rPr>
          <w:rFonts w:eastAsia="Times New Roman" w:cs="Times New Roman"/>
          <w:lang w:eastAsia="de-DE"/>
        </w:rPr>
        <w:t xml:space="preserve">folgt dem etablierten Muster: </w:t>
      </w:r>
      <w:r w:rsidRPr="00346F0B">
        <w:rPr>
          <w:rFonts w:eastAsia="Times New Roman" w:cs="Times New Roman"/>
          <w:b/>
          <w:bCs/>
          <w:rtl/>
          <w:lang w:eastAsia="de-DE"/>
        </w:rPr>
        <w:t>חֶצְרֹן</w:t>
      </w:r>
      <w:r w:rsidRPr="00346F0B">
        <w:rPr>
          <w:rFonts w:eastAsia="Times New Roman" w:cs="Times New Roman"/>
          <w:rtl/>
          <w:lang w:eastAsia="de-DE"/>
        </w:rPr>
        <w:t xml:space="preserve"> </w:t>
      </w:r>
      <w:r w:rsidRPr="00346F0B">
        <w:rPr>
          <w:rFonts w:eastAsia="Times New Roman" w:cs="Times New Roman"/>
          <w:lang w:eastAsia="de-DE"/>
        </w:rPr>
        <w:t xml:space="preserve">(Chezron, Hezron) ist der dritte Sohn Rubens, </w:t>
      </w:r>
      <w:r w:rsidRPr="00346F0B">
        <w:rPr>
          <w:rFonts w:eastAsia="Times New Roman" w:cs="Times New Roman"/>
          <w:b/>
          <w:bCs/>
          <w:rtl/>
          <w:lang w:eastAsia="de-DE"/>
        </w:rPr>
        <w:t>הַחֶצְרוֹנִי</w:t>
      </w:r>
      <w:r w:rsidRPr="00346F0B">
        <w:rPr>
          <w:rFonts w:eastAsia="Times New Roman" w:cs="Times New Roman"/>
          <w:rtl/>
          <w:lang w:eastAsia="de-DE"/>
        </w:rPr>
        <w:t xml:space="preserve"> </w:t>
      </w:r>
      <w:r w:rsidRPr="00346F0B">
        <w:rPr>
          <w:rFonts w:eastAsia="Times New Roman" w:cs="Times New Roman"/>
          <w:lang w:eastAsia="de-DE"/>
        </w:rPr>
        <w:t xml:space="preserve">das entsprechende Gentilizium mit Artikel. </w:t>
      </w:r>
      <w:r w:rsidRPr="00346F0B">
        <w:rPr>
          <w:rFonts w:eastAsia="Times New Roman" w:cs="Times New Roman"/>
          <w:b/>
          <w:bCs/>
          <w:rtl/>
          <w:lang w:eastAsia="de-DE"/>
        </w:rPr>
        <w:t>לְכַרְמִי מִשְׁפַּחַת הַכַּרְמִי</w:t>
      </w:r>
      <w:r w:rsidRPr="00346F0B">
        <w:rPr>
          <w:rFonts w:eastAsia="Times New Roman" w:cs="Times New Roman"/>
          <w:rtl/>
          <w:lang w:eastAsia="de-DE"/>
        </w:rPr>
        <w:t xml:space="preserve"> </w:t>
      </w:r>
      <w:r w:rsidRPr="00346F0B">
        <w:rPr>
          <w:rFonts w:eastAsia="Times New Roman" w:cs="Times New Roman"/>
          <w:lang w:eastAsia="de-DE"/>
        </w:rPr>
        <w:t xml:space="preserve">nennt den vierten </w:t>
      </w:r>
      <w:r w:rsidRPr="00346F0B">
        <w:rPr>
          <w:rFonts w:eastAsia="Times New Roman" w:cs="Times New Roman"/>
          <w:lang w:eastAsia="de-DE"/>
        </w:rPr>
        <w:lastRenderedPageBreak/>
        <w:t xml:space="preserve">Sohn: </w:t>
      </w:r>
      <w:r w:rsidRPr="00346F0B">
        <w:rPr>
          <w:rFonts w:eastAsia="Times New Roman" w:cs="Times New Roman"/>
          <w:b/>
          <w:bCs/>
          <w:rtl/>
          <w:lang w:eastAsia="de-DE"/>
        </w:rPr>
        <w:t>כַּרְמִי</w:t>
      </w:r>
      <w:r w:rsidRPr="00346F0B">
        <w:rPr>
          <w:rFonts w:eastAsia="Times New Roman" w:cs="Times New Roman"/>
          <w:rtl/>
          <w:lang w:eastAsia="de-DE"/>
        </w:rPr>
        <w:t xml:space="preserve"> </w:t>
      </w:r>
      <w:r w:rsidRPr="00346F0B">
        <w:rPr>
          <w:rFonts w:eastAsia="Times New Roman" w:cs="Times New Roman"/>
          <w:lang w:eastAsia="de-DE"/>
        </w:rPr>
        <w:t xml:space="preserve">(Karmi), </w:t>
      </w:r>
      <w:r w:rsidRPr="00346F0B">
        <w:rPr>
          <w:rFonts w:eastAsia="Times New Roman" w:cs="Times New Roman"/>
          <w:b/>
          <w:bCs/>
          <w:rtl/>
          <w:lang w:eastAsia="de-DE"/>
        </w:rPr>
        <w:t>הַכַּרְמִי</w:t>
      </w:r>
      <w:r w:rsidRPr="00346F0B">
        <w:rPr>
          <w:rFonts w:eastAsia="Times New Roman" w:cs="Times New Roman"/>
          <w:rtl/>
          <w:lang w:eastAsia="de-DE"/>
        </w:rPr>
        <w:t xml:space="preserve"> </w:t>
      </w:r>
      <w:r w:rsidRPr="00346F0B">
        <w:rPr>
          <w:rFonts w:eastAsia="Times New Roman" w:cs="Times New Roman"/>
          <w:lang w:eastAsia="de-DE"/>
        </w:rPr>
        <w:t xml:space="preserve">das Gentilizium. Die Namen entsprechen Gen 46,9 und Ex 6,14. Die Präposition </w:t>
      </w:r>
      <w:r w:rsidRPr="00346F0B">
        <w:rPr>
          <w:rFonts w:eastAsia="Times New Roman" w:cs="Times New Roman"/>
          <w:b/>
          <w:bCs/>
          <w:rtl/>
          <w:lang w:eastAsia="de-DE"/>
        </w:rPr>
        <w:t>לְ</w:t>
      </w:r>
      <w:r w:rsidRPr="00346F0B">
        <w:rPr>
          <w:rFonts w:eastAsia="Times New Roman" w:cs="Times New Roman"/>
          <w:rtl/>
          <w:lang w:eastAsia="de-DE"/>
        </w:rPr>
        <w:t xml:space="preserve"> </w:t>
      </w:r>
      <w:r w:rsidRPr="00346F0B">
        <w:rPr>
          <w:rFonts w:eastAsia="Times New Roman" w:cs="Times New Roman"/>
          <w:lang w:eastAsia="de-DE"/>
        </w:rPr>
        <w:t>behält ihre Bedeutung „von, zu" bei.</w:t>
      </w:r>
    </w:p>
    <w:p w14:paraId="11057261"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Die LXX</w:t>
      </w:r>
      <w:r w:rsidRPr="00346F0B">
        <w:rPr>
          <w:rFonts w:eastAsia="Times New Roman" w:cs="Times New Roman"/>
          <w:lang w:eastAsia="de-DE"/>
        </w:rPr>
        <w:t xml:space="preserve"> transliteriert als Χασρων und Χαρμι.</w:t>
      </w:r>
    </w:p>
    <w:p w14:paraId="19019DCD"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Satzstruktur wiederholt das Aufzählungsmuster aus V. 5.</w:t>
      </w:r>
    </w:p>
    <w:p w14:paraId="6E0F7B8A"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Der Vers vervollständigt die vier Hauptfamilien des Stammes Ruben und bereitet die summarische Zählung in V. 7 vor.</w:t>
      </w:r>
    </w:p>
    <w:p w14:paraId="63035491"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26,7</w:t>
      </w:r>
    </w:p>
    <w:p w14:paraId="11D02D33"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אֵ֖לֶּה מִשְׁפְּחֹ֣ת הָרֻֽאוּבֵנִ֑י וַיִּהְי֣וּ פְקֻדֵיהֶ֗ם שְׁלֹשָׁ֤ה וְאַרְבָּעִים֙ אֶ֔לֶף וּשְׁבַ֥ע מֵא֖וֹת וּשְׁלֹשִֽׁים׃</w:t>
      </w:r>
    </w:p>
    <w:p w14:paraId="7A62ADEE"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Das sind die Familien der Re'uveni; und ihre Gemusterten waren 43.730.</w:t>
      </w:r>
    </w:p>
    <w:p w14:paraId="36B76A57"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53A2498E">
          <v:rect id="_x0000_i1877" style="width:0;height:1.5pt" o:hralign="center" o:hrstd="t" o:hr="t" fillcolor="#a0a0a0" stroked="f"/>
        </w:pict>
      </w:r>
    </w:p>
    <w:p w14:paraId="35774E38"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Der Vers schließt die Aufzählung des Stammes Ruben ab. </w:t>
      </w:r>
      <w:r w:rsidRPr="00346F0B">
        <w:rPr>
          <w:rFonts w:eastAsia="Times New Roman" w:cs="Times New Roman"/>
          <w:b/>
          <w:bCs/>
          <w:rtl/>
          <w:lang w:eastAsia="de-DE"/>
        </w:rPr>
        <w:t>אֵלֶּה מִשְׁפְּחֹת הָרֻאוּבֵנִי</w:t>
      </w:r>
      <w:r w:rsidRPr="00346F0B">
        <w:rPr>
          <w:rFonts w:eastAsia="Times New Roman" w:cs="Times New Roman"/>
          <w:rtl/>
          <w:lang w:eastAsia="de-DE"/>
        </w:rPr>
        <w:t xml:space="preserve"> </w:t>
      </w:r>
      <w:r w:rsidRPr="00346F0B">
        <w:rPr>
          <w:rFonts w:eastAsia="Times New Roman" w:cs="Times New Roman"/>
          <w:lang w:eastAsia="de-DE"/>
        </w:rPr>
        <w:t xml:space="preserve">ist die Abschlussformel. </w:t>
      </w:r>
      <w:r w:rsidRPr="00346F0B">
        <w:rPr>
          <w:rFonts w:eastAsia="Times New Roman" w:cs="Times New Roman"/>
          <w:b/>
          <w:bCs/>
          <w:rtl/>
          <w:lang w:eastAsia="de-DE"/>
        </w:rPr>
        <w:t>אֵלֶּה</w:t>
      </w:r>
      <w:r w:rsidRPr="00346F0B">
        <w:rPr>
          <w:rFonts w:eastAsia="Times New Roman" w:cs="Times New Roman"/>
          <w:rtl/>
          <w:lang w:eastAsia="de-DE"/>
        </w:rPr>
        <w:t xml:space="preserve"> </w:t>
      </w:r>
      <w:r w:rsidRPr="00346F0B">
        <w:rPr>
          <w:rFonts w:eastAsia="Times New Roman" w:cs="Times New Roman"/>
          <w:lang w:eastAsia="de-DE"/>
        </w:rPr>
        <w:t xml:space="preserve">(„diese") ist das Demonstrativpronomen, </w:t>
      </w:r>
      <w:r w:rsidRPr="00346F0B">
        <w:rPr>
          <w:rFonts w:eastAsia="Times New Roman" w:cs="Times New Roman"/>
          <w:b/>
          <w:bCs/>
          <w:rtl/>
          <w:lang w:eastAsia="de-DE"/>
        </w:rPr>
        <w:t>מִשְׁפְּחֹת</w:t>
      </w:r>
      <w:r w:rsidRPr="00346F0B">
        <w:rPr>
          <w:rFonts w:eastAsia="Times New Roman" w:cs="Times New Roman"/>
          <w:rtl/>
          <w:lang w:eastAsia="de-DE"/>
        </w:rPr>
        <w:t xml:space="preserve"> </w:t>
      </w:r>
      <w:r w:rsidRPr="00346F0B">
        <w:rPr>
          <w:rFonts w:eastAsia="Times New Roman" w:cs="Times New Roman"/>
          <w:lang w:eastAsia="de-DE"/>
        </w:rPr>
        <w:t xml:space="preserve">(Plural von </w:t>
      </w:r>
      <w:r w:rsidRPr="00346F0B">
        <w:rPr>
          <w:rFonts w:eastAsia="Times New Roman" w:cs="Times New Roman"/>
          <w:b/>
          <w:bCs/>
          <w:rtl/>
          <w:lang w:eastAsia="de-DE"/>
        </w:rPr>
        <w:t>מִשְׁפָּחָה</w:t>
      </w:r>
      <w:r w:rsidRPr="00346F0B">
        <w:rPr>
          <w:rFonts w:eastAsia="Times New Roman" w:cs="Times New Roman"/>
          <w:rtl/>
          <w:lang w:eastAsia="de-DE"/>
        </w:rPr>
        <w:t xml:space="preserve"> </w:t>
      </w:r>
      <w:r w:rsidRPr="00346F0B">
        <w:rPr>
          <w:rFonts w:eastAsia="Times New Roman" w:cs="Times New Roman"/>
          <w:lang w:eastAsia="de-DE"/>
        </w:rPr>
        <w:t xml:space="preserve">„Familien"), </w:t>
      </w:r>
      <w:r w:rsidRPr="00346F0B">
        <w:rPr>
          <w:rFonts w:eastAsia="Times New Roman" w:cs="Times New Roman"/>
          <w:b/>
          <w:bCs/>
          <w:rtl/>
          <w:lang w:eastAsia="de-DE"/>
        </w:rPr>
        <w:t>הָרֻאוּבֵנִי</w:t>
      </w:r>
      <w:r w:rsidRPr="00346F0B">
        <w:rPr>
          <w:rFonts w:eastAsia="Times New Roman" w:cs="Times New Roman"/>
          <w:rtl/>
          <w:lang w:eastAsia="de-DE"/>
        </w:rPr>
        <w:t xml:space="preserve"> </w:t>
      </w:r>
      <w:r w:rsidRPr="00346F0B">
        <w:rPr>
          <w:rFonts w:eastAsia="Times New Roman" w:cs="Times New Roman"/>
          <w:lang w:eastAsia="de-DE"/>
        </w:rPr>
        <w:t xml:space="preserve">ist das kollektive Gentilizium mit Artikel („die Rubeniter"). </w:t>
      </w:r>
      <w:r w:rsidRPr="00346F0B">
        <w:rPr>
          <w:rFonts w:eastAsia="Times New Roman" w:cs="Times New Roman"/>
          <w:b/>
          <w:bCs/>
          <w:rtl/>
          <w:lang w:eastAsia="de-DE"/>
        </w:rPr>
        <w:t>וַיִּהְיוּ פְקֻדֵיהֶם</w:t>
      </w:r>
      <w:r w:rsidRPr="00346F0B">
        <w:rPr>
          <w:rFonts w:eastAsia="Times New Roman" w:cs="Times New Roman"/>
          <w:rtl/>
          <w:lang w:eastAsia="de-DE"/>
        </w:rPr>
        <w:t xml:space="preserve"> </w:t>
      </w:r>
      <w:r w:rsidRPr="00346F0B">
        <w:rPr>
          <w:rFonts w:eastAsia="Times New Roman" w:cs="Times New Roman"/>
          <w:lang w:eastAsia="de-DE"/>
        </w:rPr>
        <w:t xml:space="preserve">leitet die Zahlenangabe ein: </w:t>
      </w:r>
      <w:r w:rsidRPr="00346F0B">
        <w:rPr>
          <w:rFonts w:eastAsia="Times New Roman" w:cs="Times New Roman"/>
          <w:b/>
          <w:bCs/>
          <w:rtl/>
          <w:lang w:eastAsia="de-DE"/>
        </w:rPr>
        <w:t>וַיִּהְיוּ</w:t>
      </w:r>
      <w:r w:rsidRPr="00346F0B">
        <w:rPr>
          <w:rFonts w:eastAsia="Times New Roman" w:cs="Times New Roman"/>
          <w:rtl/>
          <w:lang w:eastAsia="de-DE"/>
        </w:rPr>
        <w:t xml:space="preserve"> </w:t>
      </w:r>
      <w:r w:rsidRPr="00346F0B">
        <w:rPr>
          <w:rFonts w:eastAsia="Times New Roman" w:cs="Times New Roman"/>
          <w:lang w:eastAsia="de-DE"/>
        </w:rPr>
        <w:t xml:space="preserve">ist Qal Wayyiqtol 3. Person maskulin Plural von </w:t>
      </w:r>
      <w:r w:rsidRPr="00346F0B">
        <w:rPr>
          <w:rFonts w:eastAsia="Times New Roman" w:cs="Times New Roman"/>
          <w:b/>
          <w:bCs/>
          <w:rtl/>
          <w:lang w:eastAsia="de-DE"/>
        </w:rPr>
        <w:t>היה</w:t>
      </w:r>
      <w:r w:rsidRPr="00346F0B">
        <w:rPr>
          <w:rFonts w:eastAsia="Times New Roman" w:cs="Times New Roman"/>
          <w:rtl/>
          <w:lang w:eastAsia="de-DE"/>
        </w:rPr>
        <w:t xml:space="preserve"> </w:t>
      </w:r>
      <w:r w:rsidRPr="00346F0B">
        <w:rPr>
          <w:rFonts w:eastAsia="Times New Roman" w:cs="Times New Roman"/>
          <w:lang w:eastAsia="de-DE"/>
        </w:rPr>
        <w:t xml:space="preserve">(„sein"), </w:t>
      </w:r>
      <w:r w:rsidRPr="00346F0B">
        <w:rPr>
          <w:rFonts w:eastAsia="Times New Roman" w:cs="Times New Roman"/>
          <w:b/>
          <w:bCs/>
          <w:rtl/>
          <w:lang w:eastAsia="de-DE"/>
        </w:rPr>
        <w:t>פְקֻדֵיהֶם</w:t>
      </w:r>
      <w:r w:rsidRPr="00346F0B">
        <w:rPr>
          <w:rFonts w:eastAsia="Times New Roman" w:cs="Times New Roman"/>
          <w:rtl/>
          <w:lang w:eastAsia="de-DE"/>
        </w:rPr>
        <w:t xml:space="preserve"> </w:t>
      </w:r>
      <w:r w:rsidRPr="00346F0B">
        <w:rPr>
          <w:rFonts w:eastAsia="Times New Roman" w:cs="Times New Roman"/>
          <w:lang w:eastAsia="de-DE"/>
        </w:rPr>
        <w:t xml:space="preserve">ist maskuliner Plural von </w:t>
      </w:r>
      <w:r w:rsidRPr="00346F0B">
        <w:rPr>
          <w:rFonts w:eastAsia="Times New Roman" w:cs="Times New Roman"/>
          <w:b/>
          <w:bCs/>
          <w:rtl/>
          <w:lang w:eastAsia="de-DE"/>
        </w:rPr>
        <w:t>פָּקוּד</w:t>
      </w:r>
      <w:r w:rsidRPr="00346F0B">
        <w:rPr>
          <w:rFonts w:eastAsia="Times New Roman" w:cs="Times New Roman"/>
          <w:rtl/>
          <w:lang w:eastAsia="de-DE"/>
        </w:rPr>
        <w:t xml:space="preserve"> </w:t>
      </w:r>
      <w:r w:rsidRPr="00346F0B">
        <w:rPr>
          <w:rFonts w:eastAsia="Times New Roman" w:cs="Times New Roman"/>
          <w:lang w:eastAsia="de-DE"/>
        </w:rPr>
        <w:t xml:space="preserve">(„Gemusterter, Gezählter") mit Suffix 3. Person maskulin Plural („ihre Gemusterten"). Das Nomen </w:t>
      </w:r>
      <w:r w:rsidRPr="00346F0B">
        <w:rPr>
          <w:rFonts w:eastAsia="Times New Roman" w:cs="Times New Roman"/>
          <w:b/>
          <w:bCs/>
          <w:rtl/>
          <w:lang w:eastAsia="de-DE"/>
        </w:rPr>
        <w:t>פָּקוּד</w:t>
      </w:r>
      <w:r w:rsidRPr="00346F0B">
        <w:rPr>
          <w:rFonts w:eastAsia="Times New Roman" w:cs="Times New Roman"/>
          <w:rtl/>
          <w:lang w:eastAsia="de-DE"/>
        </w:rPr>
        <w:t xml:space="preserve"> </w:t>
      </w:r>
      <w:r w:rsidRPr="00346F0B">
        <w:rPr>
          <w:rFonts w:eastAsia="Times New Roman" w:cs="Times New Roman"/>
          <w:lang w:eastAsia="de-DE"/>
        </w:rPr>
        <w:t xml:space="preserve">ist von der Wurzel </w:t>
      </w:r>
      <w:r w:rsidRPr="00346F0B">
        <w:rPr>
          <w:rFonts w:eastAsia="Times New Roman" w:cs="Times New Roman"/>
          <w:b/>
          <w:bCs/>
          <w:rtl/>
          <w:lang w:eastAsia="de-DE"/>
        </w:rPr>
        <w:t>פקד</w:t>
      </w:r>
      <w:r w:rsidRPr="00346F0B">
        <w:rPr>
          <w:rFonts w:eastAsia="Times New Roman" w:cs="Times New Roman"/>
          <w:rtl/>
          <w:lang w:eastAsia="de-DE"/>
        </w:rPr>
        <w:t xml:space="preserve"> </w:t>
      </w:r>
      <w:r w:rsidRPr="00346F0B">
        <w:rPr>
          <w:rFonts w:eastAsia="Times New Roman" w:cs="Times New Roman"/>
          <w:lang w:eastAsia="de-DE"/>
        </w:rPr>
        <w:t>(„mustern, zählen") abgeleitet.</w:t>
      </w:r>
    </w:p>
    <w:p w14:paraId="3D00802D"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t>שְׁלֹשָׁה וְאַרְבָּעִים אֶלֶף וּשְׁבַע מֵאוֹת וּשְׁלֹשִׁים</w:t>
      </w:r>
      <w:r w:rsidRPr="00346F0B">
        <w:rPr>
          <w:rFonts w:eastAsia="Times New Roman" w:cs="Times New Roman"/>
          <w:rtl/>
          <w:lang w:eastAsia="de-DE"/>
        </w:rPr>
        <w:t xml:space="preserve"> </w:t>
      </w:r>
      <w:r w:rsidRPr="00346F0B">
        <w:rPr>
          <w:rFonts w:eastAsia="Times New Roman" w:cs="Times New Roman"/>
          <w:lang w:eastAsia="de-DE"/>
        </w:rPr>
        <w:t xml:space="preserve">ist die Zahlangabe: </w:t>
      </w:r>
      <w:r w:rsidRPr="00346F0B">
        <w:rPr>
          <w:rFonts w:eastAsia="Times New Roman" w:cs="Times New Roman"/>
          <w:b/>
          <w:bCs/>
          <w:rtl/>
          <w:lang w:eastAsia="de-DE"/>
        </w:rPr>
        <w:t>שְׁלֹשָׁה</w:t>
      </w:r>
      <w:r w:rsidRPr="00346F0B">
        <w:rPr>
          <w:rFonts w:eastAsia="Times New Roman" w:cs="Times New Roman"/>
          <w:rtl/>
          <w:lang w:eastAsia="de-DE"/>
        </w:rPr>
        <w:t xml:space="preserve"> </w:t>
      </w:r>
      <w:r w:rsidRPr="00346F0B">
        <w:rPr>
          <w:rFonts w:eastAsia="Times New Roman" w:cs="Times New Roman"/>
          <w:lang w:eastAsia="de-DE"/>
        </w:rPr>
        <w:t xml:space="preserve">(„drei"), </w:t>
      </w:r>
      <w:r w:rsidRPr="00346F0B">
        <w:rPr>
          <w:rFonts w:eastAsia="Times New Roman" w:cs="Times New Roman"/>
          <w:b/>
          <w:bCs/>
          <w:rtl/>
          <w:lang w:eastAsia="de-DE"/>
        </w:rPr>
        <w:t>וְאַרְבָּעִים</w:t>
      </w:r>
      <w:r w:rsidRPr="00346F0B">
        <w:rPr>
          <w:rFonts w:eastAsia="Times New Roman" w:cs="Times New Roman"/>
          <w:rtl/>
          <w:lang w:eastAsia="de-DE"/>
        </w:rPr>
        <w:t xml:space="preserve"> </w:t>
      </w:r>
      <w:r w:rsidRPr="00346F0B">
        <w:rPr>
          <w:rFonts w:eastAsia="Times New Roman" w:cs="Times New Roman"/>
          <w:lang w:eastAsia="de-DE"/>
        </w:rPr>
        <w:t xml:space="preserve">(„und vierzig"), </w:t>
      </w:r>
      <w:r w:rsidRPr="00346F0B">
        <w:rPr>
          <w:rFonts w:eastAsia="Times New Roman" w:cs="Times New Roman"/>
          <w:b/>
          <w:bCs/>
          <w:rtl/>
          <w:lang w:eastAsia="de-DE"/>
        </w:rPr>
        <w:t>אֶלֶף</w:t>
      </w:r>
      <w:r w:rsidRPr="00346F0B">
        <w:rPr>
          <w:rFonts w:eastAsia="Times New Roman" w:cs="Times New Roman"/>
          <w:rtl/>
          <w:lang w:eastAsia="de-DE"/>
        </w:rPr>
        <w:t xml:space="preserve"> </w:t>
      </w:r>
      <w:r w:rsidRPr="00346F0B">
        <w:rPr>
          <w:rFonts w:eastAsia="Times New Roman" w:cs="Times New Roman"/>
          <w:lang w:eastAsia="de-DE"/>
        </w:rPr>
        <w:t xml:space="preserve">(„tausend"), </w:t>
      </w:r>
      <w:r w:rsidRPr="00346F0B">
        <w:rPr>
          <w:rFonts w:eastAsia="Times New Roman" w:cs="Times New Roman"/>
          <w:b/>
          <w:bCs/>
          <w:rtl/>
          <w:lang w:eastAsia="de-DE"/>
        </w:rPr>
        <w:t>וּשְׁבַע מֵאוֹת</w:t>
      </w:r>
      <w:r w:rsidRPr="00346F0B">
        <w:rPr>
          <w:rFonts w:eastAsia="Times New Roman" w:cs="Times New Roman"/>
          <w:rtl/>
          <w:lang w:eastAsia="de-DE"/>
        </w:rPr>
        <w:t xml:space="preserve"> </w:t>
      </w:r>
      <w:r w:rsidRPr="00346F0B">
        <w:rPr>
          <w:rFonts w:eastAsia="Times New Roman" w:cs="Times New Roman"/>
          <w:lang w:eastAsia="de-DE"/>
        </w:rPr>
        <w:t xml:space="preserve">(„und sieben hundert"), </w:t>
      </w:r>
      <w:r w:rsidRPr="00346F0B">
        <w:rPr>
          <w:rFonts w:eastAsia="Times New Roman" w:cs="Times New Roman"/>
          <w:b/>
          <w:bCs/>
          <w:rtl/>
          <w:lang w:eastAsia="de-DE"/>
        </w:rPr>
        <w:t>וּשְׁלֹשִׁים</w:t>
      </w:r>
      <w:r w:rsidRPr="00346F0B">
        <w:rPr>
          <w:rFonts w:eastAsia="Times New Roman" w:cs="Times New Roman"/>
          <w:rtl/>
          <w:lang w:eastAsia="de-DE"/>
        </w:rPr>
        <w:t xml:space="preserve"> </w:t>
      </w:r>
      <w:r w:rsidRPr="00346F0B">
        <w:rPr>
          <w:rFonts w:eastAsia="Times New Roman" w:cs="Times New Roman"/>
          <w:lang w:eastAsia="de-DE"/>
        </w:rPr>
        <w:t>(„und dreißig"), zusammen 43.730. Im Vergleich zur ersten Zählung (Num 1,21: 46.500) ist der Stamm Ruben um 2.770 Mann geschrumpft, was etwa 6% Verlust bedeutet.</w:t>
      </w:r>
    </w:p>
    <w:p w14:paraId="57422346"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Die LXX</w:t>
      </w:r>
      <w:r w:rsidRPr="00346F0B">
        <w:rPr>
          <w:rFonts w:eastAsia="Times New Roman" w:cs="Times New Roman"/>
          <w:lang w:eastAsia="de-DE"/>
        </w:rPr>
        <w:t xml:space="preserve"> gibt die Zahl als τρεῖς καὶ τεσσαράκοντα χιλιάδες ἑπτακόσιοι τριάκοντα wieder.</w:t>
      </w:r>
    </w:p>
    <w:p w14:paraId="1F5027F9"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Satzstruktur zeigt eine Abschlussformel mit Demonstrativpronomen, gefolgt von einem Zahlensatz mit Kopula. Der Vers dokumentiert den Bevölkerungsrückgang Rubens, möglicherweise als Folge seiner geschwächten Position unter den Stämmen.</w:t>
      </w:r>
    </w:p>
    <w:p w14:paraId="611A3261"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26,8-11</w:t>
      </w:r>
    </w:p>
    <w:p w14:paraId="450B928C"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וּבְנֵ֥י פַלּ֖וּא אֱלִיאָֽב׃ וּבְנֵ֣י אֱלִיאָ֔ב נְמוּאֵ֖ל וְדָתָ֣ן וַאֲבִירָ֑ם הֽוּא־דָתָ֨ן וַאֲבִירָ֜ם קְרוּאֵי הָעֵדָ֗ה אֲשֶׁ֨ר הִצּ֜וּ עַל־מֹשֶׁ֤ה וְעַֽל־אַהֲרֹן֙ בַּעֲדַת־קֹ֔רַח בְּהַצֹּתָ֖ם עַל־יְהוָֽה׃ וַתִּפְתַּ֨ח הָאָ֜רֶץ אֶת־פִּ֗יהָ וַתִּבְלַ֥ע אֹתָ֛ם וְאֶת־קֹ֖רַח בְּמ֣וֹת הָעֵדָ֑ה בַּאֲכֹ֣ל הָאֵ֗שׁ אֵ֣ת חֲמִשִּׁ֤ים וּמָאתַ֨יִם֙ אִ֔ישׁ וַיִּהְי֖וּ לְנֵֽס׃ וּבְנֵי־קֹ֖רַח לֹא־מֵֽתוּ׃</w:t>
      </w:r>
    </w:p>
    <w:p w14:paraId="6801E07F"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Und die Söhne Pallus: Eliav. Und die Söhne Eliavs: Nemu'el und Datan und Aviram; das sind Datan und Aviram, die Berufenen der Gemeinde, die gegen Mosche und gegen 'Aharon in der Rotte Korachs stritten, als sie gegen den Ewigen stritten. Und die Erde öffnete ihren Mund und verschlang sie und Korach, als die Rotte starb, indem das Feuer die </w:t>
      </w:r>
      <w:r w:rsidRPr="00346F0B">
        <w:rPr>
          <w:rFonts w:eastAsia="Times New Roman" w:cs="Times New Roman"/>
          <w:lang w:eastAsia="de-DE"/>
        </w:rPr>
        <w:lastRenderedPageBreak/>
        <w:t>250 Männer verzehrte, und sie wurden zu einem Zeichen. Aber die Söhne Korachs starben nicht.</w:t>
      </w:r>
    </w:p>
    <w:p w14:paraId="2B0E4799"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13ECC1ED">
          <v:rect id="_x0000_i1878" style="width:0;height:1.5pt" o:hralign="center" o:hrstd="t" o:hr="t" fillcolor="#a0a0a0" stroked="f"/>
        </w:pict>
      </w:r>
    </w:p>
    <w:p w14:paraId="5DDD7BCB" w14:textId="0DF168C1"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Die Verse unterbrechen die genealogische Liste mit einer historischen Erinnerung. </w:t>
      </w:r>
      <w:r w:rsidRPr="00346F0B">
        <w:rPr>
          <w:rFonts w:eastAsia="Times New Roman" w:cs="Times New Roman"/>
          <w:b/>
          <w:bCs/>
          <w:rtl/>
          <w:lang w:eastAsia="de-DE"/>
        </w:rPr>
        <w:t>וּבְנֵי פַלּוּא אֱלִיאָב</w:t>
      </w:r>
      <w:r w:rsidRPr="00346F0B">
        <w:rPr>
          <w:rFonts w:eastAsia="Times New Roman" w:cs="Times New Roman"/>
          <w:rtl/>
          <w:lang w:eastAsia="de-DE"/>
        </w:rPr>
        <w:t xml:space="preserve"> </w:t>
      </w:r>
      <w:r w:rsidRPr="00346F0B">
        <w:rPr>
          <w:rFonts w:eastAsia="Times New Roman" w:cs="Times New Roman"/>
          <w:lang w:eastAsia="de-DE"/>
        </w:rPr>
        <w:t xml:space="preserve">führt die Genealogie von Pallu (V. 5) weiter: </w:t>
      </w:r>
      <w:r w:rsidRPr="00346F0B">
        <w:rPr>
          <w:rFonts w:eastAsia="Times New Roman" w:cs="Times New Roman"/>
          <w:b/>
          <w:bCs/>
          <w:rtl/>
          <w:lang w:eastAsia="de-DE"/>
        </w:rPr>
        <w:t>אֱלִיאָב</w:t>
      </w:r>
      <w:r w:rsidRPr="00346F0B">
        <w:rPr>
          <w:rFonts w:eastAsia="Times New Roman" w:cs="Times New Roman"/>
          <w:rtl/>
          <w:lang w:eastAsia="de-DE"/>
        </w:rPr>
        <w:t xml:space="preserve"> </w:t>
      </w:r>
      <w:r w:rsidRPr="00346F0B">
        <w:rPr>
          <w:rFonts w:eastAsia="Times New Roman" w:cs="Times New Roman"/>
          <w:lang w:eastAsia="de-DE"/>
        </w:rPr>
        <w:t xml:space="preserve">(Eliab) ist sein Sohn. </w:t>
      </w:r>
      <w:r w:rsidRPr="00346F0B">
        <w:rPr>
          <w:rFonts w:eastAsia="Times New Roman" w:cs="Times New Roman"/>
          <w:b/>
          <w:bCs/>
          <w:rtl/>
          <w:lang w:eastAsia="de-DE"/>
        </w:rPr>
        <w:t>וּבְנֵי אֱלִיאָב נְמוּאֵל וְדָתָן וַאֲבִירָם</w:t>
      </w:r>
      <w:r w:rsidRPr="00346F0B">
        <w:rPr>
          <w:rFonts w:eastAsia="Times New Roman" w:cs="Times New Roman"/>
          <w:rtl/>
          <w:lang w:eastAsia="de-DE"/>
        </w:rPr>
        <w:t xml:space="preserve"> </w:t>
      </w:r>
      <w:r w:rsidRPr="00346F0B">
        <w:rPr>
          <w:rFonts w:eastAsia="Times New Roman" w:cs="Times New Roman"/>
          <w:lang w:eastAsia="de-DE"/>
        </w:rPr>
        <w:t xml:space="preserve">nennt die drei Söhne Eliabs: </w:t>
      </w:r>
      <w:r w:rsidRPr="00346F0B">
        <w:rPr>
          <w:rFonts w:eastAsia="Times New Roman" w:cs="Times New Roman"/>
          <w:b/>
          <w:bCs/>
          <w:rtl/>
          <w:lang w:eastAsia="de-DE"/>
        </w:rPr>
        <w:t>נְמוּאֵל</w:t>
      </w:r>
      <w:r w:rsidRPr="00346F0B">
        <w:rPr>
          <w:rFonts w:eastAsia="Times New Roman" w:cs="Times New Roman"/>
          <w:rtl/>
          <w:lang w:eastAsia="de-DE"/>
        </w:rPr>
        <w:t xml:space="preserve"> </w:t>
      </w:r>
      <w:r w:rsidRPr="00346F0B">
        <w:rPr>
          <w:rFonts w:eastAsia="Times New Roman" w:cs="Times New Roman"/>
          <w:lang w:eastAsia="de-DE"/>
        </w:rPr>
        <w:t xml:space="preserve">(Nemuel), </w:t>
      </w:r>
      <w:r w:rsidRPr="00346F0B">
        <w:rPr>
          <w:rFonts w:eastAsia="Times New Roman" w:cs="Times New Roman"/>
          <w:b/>
          <w:bCs/>
          <w:rtl/>
          <w:lang w:eastAsia="de-DE"/>
        </w:rPr>
        <w:t>דָתָן</w:t>
      </w:r>
      <w:r w:rsidRPr="00346F0B">
        <w:rPr>
          <w:rFonts w:eastAsia="Times New Roman" w:cs="Times New Roman"/>
          <w:rtl/>
          <w:lang w:eastAsia="de-DE"/>
        </w:rPr>
        <w:t xml:space="preserve"> </w:t>
      </w:r>
      <w:r w:rsidRPr="00346F0B">
        <w:rPr>
          <w:rFonts w:eastAsia="Times New Roman" w:cs="Times New Roman"/>
          <w:lang w:eastAsia="de-DE"/>
        </w:rPr>
        <w:t xml:space="preserve">(Datan) und </w:t>
      </w:r>
      <w:r w:rsidRPr="00346F0B">
        <w:rPr>
          <w:rFonts w:eastAsia="Times New Roman" w:cs="Times New Roman"/>
          <w:b/>
          <w:bCs/>
          <w:rtl/>
          <w:lang w:eastAsia="de-DE"/>
        </w:rPr>
        <w:t>אֲבִירָם</w:t>
      </w:r>
      <w:r w:rsidRPr="00346F0B">
        <w:rPr>
          <w:rFonts w:eastAsia="Times New Roman" w:cs="Times New Roman"/>
          <w:rtl/>
          <w:lang w:eastAsia="de-DE"/>
        </w:rPr>
        <w:t xml:space="preserve"> </w:t>
      </w:r>
      <w:r w:rsidRPr="00346F0B">
        <w:rPr>
          <w:rFonts w:eastAsia="Times New Roman" w:cs="Times New Roman"/>
          <w:lang w:eastAsia="de-DE"/>
        </w:rPr>
        <w:t xml:space="preserve">(Abiram). Die beiden letzteren werden sofort identifiziert: </w:t>
      </w:r>
      <w:r w:rsidRPr="00346F0B">
        <w:rPr>
          <w:rFonts w:eastAsia="Times New Roman" w:cs="Times New Roman"/>
          <w:b/>
          <w:bCs/>
          <w:rtl/>
          <w:lang w:eastAsia="de-DE"/>
        </w:rPr>
        <w:t>הוּא־דָתָן וַאֲבִירָם קְרוּאֵי הָעֵדָה</w:t>
      </w:r>
      <w:r w:rsidRPr="00346F0B">
        <w:rPr>
          <w:rFonts w:eastAsia="Times New Roman" w:cs="Times New Roman"/>
          <w:rtl/>
          <w:lang w:eastAsia="de-DE"/>
        </w:rPr>
        <w:t xml:space="preserve"> </w:t>
      </w:r>
      <w:r w:rsidRPr="00346F0B">
        <w:rPr>
          <w:rFonts w:eastAsia="Times New Roman" w:cs="Times New Roman"/>
          <w:lang w:eastAsia="de-DE"/>
        </w:rPr>
        <w:t xml:space="preserve">– </w:t>
      </w:r>
      <w:r w:rsidRPr="00346F0B">
        <w:rPr>
          <w:rFonts w:eastAsia="Times New Roman" w:cs="Times New Roman"/>
          <w:b/>
          <w:bCs/>
          <w:rtl/>
          <w:lang w:eastAsia="de-DE"/>
        </w:rPr>
        <w:t>הוּא</w:t>
      </w:r>
      <w:r w:rsidRPr="00346F0B">
        <w:rPr>
          <w:rFonts w:eastAsia="Times New Roman" w:cs="Times New Roman"/>
          <w:rtl/>
          <w:lang w:eastAsia="de-DE"/>
        </w:rPr>
        <w:t xml:space="preserve"> </w:t>
      </w:r>
      <w:r w:rsidRPr="00346F0B">
        <w:rPr>
          <w:rFonts w:eastAsia="Times New Roman" w:cs="Times New Roman"/>
          <w:lang w:eastAsia="de-DE"/>
        </w:rPr>
        <w:t xml:space="preserve">ist das emphatische Pronomen („das sind"), </w:t>
      </w:r>
      <w:r w:rsidRPr="00346F0B">
        <w:rPr>
          <w:rFonts w:eastAsia="Times New Roman" w:cs="Times New Roman"/>
          <w:b/>
          <w:bCs/>
          <w:rtl/>
          <w:lang w:eastAsia="de-DE"/>
        </w:rPr>
        <w:t>קְרוּאֵי</w:t>
      </w:r>
      <w:r w:rsidRPr="00346F0B">
        <w:rPr>
          <w:rFonts w:eastAsia="Times New Roman" w:cs="Times New Roman"/>
          <w:rtl/>
          <w:lang w:eastAsia="de-DE"/>
        </w:rPr>
        <w:t xml:space="preserve"> </w:t>
      </w:r>
      <w:r w:rsidRPr="00346F0B">
        <w:rPr>
          <w:rFonts w:eastAsia="Times New Roman" w:cs="Times New Roman"/>
          <w:lang w:eastAsia="de-DE"/>
        </w:rPr>
        <w:t xml:space="preserve">ist Qal Passiv-Partizip Plural </w:t>
      </w:r>
      <w:r w:rsidR="00E031B3">
        <w:rPr>
          <w:rFonts w:eastAsia="Times New Roman" w:cs="Times New Roman"/>
          <w:lang w:eastAsia="de-DE"/>
        </w:rPr>
        <w:t>Constructus von</w:t>
      </w:r>
      <w:r w:rsidRPr="00346F0B">
        <w:rPr>
          <w:rFonts w:eastAsia="Times New Roman" w:cs="Times New Roman"/>
          <w:lang w:eastAsia="de-DE"/>
        </w:rPr>
        <w:t xml:space="preserve"> </w:t>
      </w:r>
      <w:r w:rsidRPr="00346F0B">
        <w:rPr>
          <w:rFonts w:eastAsia="Times New Roman" w:cs="Times New Roman"/>
          <w:b/>
          <w:bCs/>
          <w:rtl/>
          <w:lang w:eastAsia="de-DE"/>
        </w:rPr>
        <w:t>קרא</w:t>
      </w:r>
      <w:r w:rsidRPr="00346F0B">
        <w:rPr>
          <w:rFonts w:eastAsia="Times New Roman" w:cs="Times New Roman"/>
          <w:rtl/>
          <w:lang w:eastAsia="de-DE"/>
        </w:rPr>
        <w:t xml:space="preserve"> </w:t>
      </w:r>
      <w:r w:rsidRPr="00346F0B">
        <w:rPr>
          <w:rFonts w:eastAsia="Times New Roman" w:cs="Times New Roman"/>
          <w:lang w:eastAsia="de-DE"/>
        </w:rPr>
        <w:t xml:space="preserve">(„berufen, gerufen") mit </w:t>
      </w:r>
      <w:r w:rsidRPr="00346F0B">
        <w:rPr>
          <w:rFonts w:eastAsia="Times New Roman" w:cs="Times New Roman"/>
          <w:b/>
          <w:bCs/>
          <w:rtl/>
          <w:lang w:eastAsia="de-DE"/>
        </w:rPr>
        <w:t>הָעֵדָה</w:t>
      </w:r>
      <w:r w:rsidRPr="00346F0B">
        <w:rPr>
          <w:rFonts w:eastAsia="Times New Roman" w:cs="Times New Roman"/>
          <w:rtl/>
          <w:lang w:eastAsia="de-DE"/>
        </w:rPr>
        <w:t xml:space="preserve"> </w:t>
      </w:r>
      <w:r w:rsidRPr="00346F0B">
        <w:rPr>
          <w:rFonts w:eastAsia="Times New Roman" w:cs="Times New Roman"/>
          <w:lang w:eastAsia="de-DE"/>
        </w:rPr>
        <w:t>(„der Gemeinde"). Sie waren prominente Gemeindevertreter.</w:t>
      </w:r>
    </w:p>
    <w:p w14:paraId="14E2F1F7" w14:textId="2CEFE4A6"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t>אֲשֶׁר הִצּוּ עַל־מֹשֶׁה וְעַל־אַהֲרֹן בַּעֲדַת־קֹרַח</w:t>
      </w:r>
      <w:r w:rsidRPr="00346F0B">
        <w:rPr>
          <w:rFonts w:eastAsia="Times New Roman" w:cs="Times New Roman"/>
          <w:rtl/>
          <w:lang w:eastAsia="de-DE"/>
        </w:rPr>
        <w:t xml:space="preserve"> </w:t>
      </w:r>
      <w:r w:rsidRPr="00346F0B">
        <w:rPr>
          <w:rFonts w:eastAsia="Times New Roman" w:cs="Times New Roman"/>
          <w:lang w:eastAsia="de-DE"/>
        </w:rPr>
        <w:t xml:space="preserve">beschreibt ihre Rebellion. </w:t>
      </w:r>
      <w:r w:rsidRPr="00346F0B">
        <w:rPr>
          <w:rFonts w:eastAsia="Times New Roman" w:cs="Times New Roman"/>
          <w:b/>
          <w:bCs/>
          <w:rtl/>
          <w:lang w:eastAsia="de-DE"/>
        </w:rPr>
        <w:t>הִצּוּ</w:t>
      </w:r>
      <w:r w:rsidRPr="00346F0B">
        <w:rPr>
          <w:rFonts w:eastAsia="Times New Roman" w:cs="Times New Roman"/>
          <w:rtl/>
          <w:lang w:eastAsia="de-DE"/>
        </w:rPr>
        <w:t xml:space="preserve"> </w:t>
      </w:r>
      <w:r w:rsidRPr="00346F0B">
        <w:rPr>
          <w:rFonts w:eastAsia="Times New Roman" w:cs="Times New Roman"/>
          <w:lang w:eastAsia="de-DE"/>
        </w:rPr>
        <w:t xml:space="preserve">ist Hiphil Perfekt 3. Person Plural von </w:t>
      </w:r>
      <w:r w:rsidRPr="00346F0B">
        <w:rPr>
          <w:rFonts w:eastAsia="Times New Roman" w:cs="Times New Roman"/>
          <w:b/>
          <w:bCs/>
          <w:rtl/>
          <w:lang w:eastAsia="de-DE"/>
        </w:rPr>
        <w:t>נצה</w:t>
      </w:r>
      <w:r w:rsidRPr="00346F0B">
        <w:rPr>
          <w:rFonts w:eastAsia="Times New Roman" w:cs="Times New Roman"/>
          <w:rtl/>
          <w:lang w:eastAsia="de-DE"/>
        </w:rPr>
        <w:t xml:space="preserve"> </w:t>
      </w:r>
      <w:r w:rsidRPr="00346F0B">
        <w:rPr>
          <w:rFonts w:eastAsia="Times New Roman" w:cs="Times New Roman"/>
          <w:lang w:eastAsia="de-DE"/>
        </w:rPr>
        <w:t xml:space="preserve">(„streiten, zanken, rebellieren"), </w:t>
      </w:r>
      <w:r w:rsidRPr="00346F0B">
        <w:rPr>
          <w:rFonts w:eastAsia="Times New Roman" w:cs="Times New Roman"/>
          <w:b/>
          <w:bCs/>
          <w:rtl/>
          <w:lang w:eastAsia="de-DE"/>
        </w:rPr>
        <w:t>עַל</w:t>
      </w:r>
      <w:r w:rsidRPr="00346F0B">
        <w:rPr>
          <w:rFonts w:eastAsia="Times New Roman" w:cs="Times New Roman"/>
          <w:rtl/>
          <w:lang w:eastAsia="de-DE"/>
        </w:rPr>
        <w:t xml:space="preserve"> </w:t>
      </w:r>
      <w:r w:rsidRPr="00346F0B">
        <w:rPr>
          <w:rFonts w:eastAsia="Times New Roman" w:cs="Times New Roman"/>
          <w:lang w:eastAsia="de-DE"/>
        </w:rPr>
        <w:t xml:space="preserve">zeigt hier „gegen" an. </w:t>
      </w:r>
      <w:r w:rsidRPr="00346F0B">
        <w:rPr>
          <w:rFonts w:eastAsia="Times New Roman" w:cs="Times New Roman"/>
          <w:b/>
          <w:bCs/>
          <w:rtl/>
          <w:lang w:eastAsia="de-DE"/>
        </w:rPr>
        <w:t>בַּעֲדַת־קֹרַח</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בְ</w:t>
      </w:r>
      <w:r w:rsidRPr="00346F0B">
        <w:rPr>
          <w:rFonts w:eastAsia="Times New Roman" w:cs="Times New Roman"/>
          <w:rtl/>
          <w:lang w:eastAsia="de-DE"/>
        </w:rPr>
        <w:t xml:space="preserve"> </w:t>
      </w:r>
      <w:r w:rsidRPr="00346F0B">
        <w:rPr>
          <w:rFonts w:eastAsia="Times New Roman" w:cs="Times New Roman"/>
          <w:lang w:eastAsia="de-DE"/>
        </w:rPr>
        <w:t xml:space="preserve">mit </w:t>
      </w:r>
      <w:r w:rsidRPr="00346F0B">
        <w:rPr>
          <w:rFonts w:eastAsia="Times New Roman" w:cs="Times New Roman"/>
          <w:b/>
          <w:bCs/>
          <w:rtl/>
          <w:lang w:eastAsia="de-DE"/>
        </w:rPr>
        <w:t>עֲדַת</w:t>
      </w:r>
      <w:r w:rsidRPr="00346F0B">
        <w:rPr>
          <w:rFonts w:eastAsia="Times New Roman" w:cs="Times New Roman"/>
          <w:rtl/>
          <w:lang w:eastAsia="de-DE"/>
        </w:rPr>
        <w:t xml:space="preserve"> </w:t>
      </w:r>
      <w:r w:rsidRPr="00346F0B">
        <w:rPr>
          <w:rFonts w:eastAsia="Times New Roman" w:cs="Times New Roman"/>
          <w:lang w:eastAsia="de-DE"/>
        </w:rPr>
        <w:t xml:space="preserve">„Rotte, Gruppe" im </w:t>
      </w:r>
      <w:r w:rsidR="00E031B3">
        <w:rPr>
          <w:rFonts w:eastAsia="Times New Roman" w:cs="Times New Roman"/>
          <w:lang w:eastAsia="de-DE"/>
        </w:rPr>
        <w:t>Constructus und</w:t>
      </w:r>
      <w:r w:rsidRPr="00346F0B">
        <w:rPr>
          <w:rFonts w:eastAsia="Times New Roman" w:cs="Times New Roman"/>
          <w:lang w:eastAsia="de-DE"/>
        </w:rPr>
        <w:t xml:space="preserve"> </w:t>
      </w:r>
      <w:r w:rsidRPr="00346F0B">
        <w:rPr>
          <w:rFonts w:eastAsia="Times New Roman" w:cs="Times New Roman"/>
          <w:b/>
          <w:bCs/>
          <w:rtl/>
          <w:lang w:eastAsia="de-DE"/>
        </w:rPr>
        <w:t>קֹרַח</w:t>
      </w:r>
      <w:r w:rsidRPr="00346F0B">
        <w:rPr>
          <w:rFonts w:eastAsia="Times New Roman" w:cs="Times New Roman"/>
          <w:rtl/>
          <w:lang w:eastAsia="de-DE"/>
        </w:rPr>
        <w:t xml:space="preserve"> </w:t>
      </w:r>
      <w:r w:rsidRPr="00346F0B">
        <w:rPr>
          <w:rFonts w:eastAsia="Times New Roman" w:cs="Times New Roman"/>
          <w:lang w:eastAsia="de-DE"/>
        </w:rPr>
        <w:t xml:space="preserve">„Korach") identifiziert die Korach-Rebellion (Num 16). </w:t>
      </w:r>
      <w:r w:rsidRPr="00346F0B">
        <w:rPr>
          <w:rFonts w:eastAsia="Times New Roman" w:cs="Times New Roman"/>
          <w:b/>
          <w:bCs/>
          <w:rtl/>
          <w:lang w:eastAsia="de-DE"/>
        </w:rPr>
        <w:t>בְּהַצֹּתָם עַל־יהוה</w:t>
      </w:r>
      <w:r w:rsidRPr="00346F0B">
        <w:rPr>
          <w:rFonts w:eastAsia="Times New Roman" w:cs="Times New Roman"/>
          <w:rtl/>
          <w:lang w:eastAsia="de-DE"/>
        </w:rPr>
        <w:t xml:space="preserve"> </w:t>
      </w:r>
      <w:r w:rsidRPr="00346F0B">
        <w:rPr>
          <w:rFonts w:eastAsia="Times New Roman" w:cs="Times New Roman"/>
          <w:lang w:eastAsia="de-DE"/>
        </w:rPr>
        <w:t xml:space="preserve">gibt die tiefere Ursache an: </w:t>
      </w:r>
      <w:r w:rsidRPr="00346F0B">
        <w:rPr>
          <w:rFonts w:eastAsia="Times New Roman" w:cs="Times New Roman"/>
          <w:b/>
          <w:bCs/>
          <w:rtl/>
          <w:lang w:eastAsia="de-DE"/>
        </w:rPr>
        <w:t>בְּ</w:t>
      </w:r>
      <w:r w:rsidRPr="00346F0B">
        <w:rPr>
          <w:rFonts w:eastAsia="Times New Roman" w:cs="Times New Roman"/>
          <w:rtl/>
          <w:lang w:eastAsia="de-DE"/>
        </w:rPr>
        <w:t xml:space="preserve"> </w:t>
      </w:r>
      <w:r w:rsidRPr="00346F0B">
        <w:rPr>
          <w:rFonts w:eastAsia="Times New Roman" w:cs="Times New Roman"/>
          <w:lang w:eastAsia="de-DE"/>
        </w:rPr>
        <w:t xml:space="preserve">mit Hiphil Infinitiv </w:t>
      </w:r>
      <w:r w:rsidR="00E031B3">
        <w:rPr>
          <w:rFonts w:eastAsia="Times New Roman" w:cs="Times New Roman"/>
          <w:lang w:eastAsia="de-DE"/>
        </w:rPr>
        <w:t>Constructus von</w:t>
      </w:r>
      <w:r w:rsidRPr="00346F0B">
        <w:rPr>
          <w:rFonts w:eastAsia="Times New Roman" w:cs="Times New Roman"/>
          <w:lang w:eastAsia="de-DE"/>
        </w:rPr>
        <w:t xml:space="preserve"> </w:t>
      </w:r>
      <w:r w:rsidRPr="00346F0B">
        <w:rPr>
          <w:rFonts w:eastAsia="Times New Roman" w:cs="Times New Roman"/>
          <w:b/>
          <w:bCs/>
          <w:rtl/>
          <w:lang w:eastAsia="de-DE"/>
        </w:rPr>
        <w:t>נצה</w:t>
      </w:r>
      <w:r w:rsidRPr="00346F0B">
        <w:rPr>
          <w:rFonts w:eastAsia="Times New Roman" w:cs="Times New Roman"/>
          <w:rtl/>
          <w:lang w:eastAsia="de-DE"/>
        </w:rPr>
        <w:t xml:space="preserve"> </w:t>
      </w:r>
      <w:r w:rsidRPr="00346F0B">
        <w:rPr>
          <w:rFonts w:eastAsia="Times New Roman" w:cs="Times New Roman"/>
          <w:lang w:eastAsia="de-DE"/>
        </w:rPr>
        <w:t xml:space="preserve">mit Suffix 3. Person maskulin Plural („bei ihrem Streiten"), </w:t>
      </w:r>
      <w:r w:rsidRPr="00346F0B">
        <w:rPr>
          <w:rFonts w:eastAsia="Times New Roman" w:cs="Times New Roman"/>
          <w:b/>
          <w:bCs/>
          <w:rtl/>
          <w:lang w:eastAsia="de-DE"/>
        </w:rPr>
        <w:t>עַל־יהוה</w:t>
      </w:r>
      <w:r w:rsidRPr="00346F0B">
        <w:rPr>
          <w:rFonts w:eastAsia="Times New Roman" w:cs="Times New Roman"/>
          <w:rtl/>
          <w:lang w:eastAsia="de-DE"/>
        </w:rPr>
        <w:t xml:space="preserve"> </w:t>
      </w:r>
      <w:r w:rsidRPr="00346F0B">
        <w:rPr>
          <w:rFonts w:eastAsia="Times New Roman" w:cs="Times New Roman"/>
          <w:lang w:eastAsia="de-DE"/>
        </w:rPr>
        <w:t>(„gegen JHWH"). Die Rebellion gegen die menschlichen Führer war letztlich Rebellion gegen Gott.</w:t>
      </w:r>
    </w:p>
    <w:p w14:paraId="616954B0" w14:textId="27C26821"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t>וַתִּפְתַּח הָאָרֶץ אֶת־פִּיהָ וַתִּבְלַע אֹתָם</w:t>
      </w:r>
      <w:r w:rsidRPr="00346F0B">
        <w:rPr>
          <w:rFonts w:eastAsia="Times New Roman" w:cs="Times New Roman"/>
          <w:rtl/>
          <w:lang w:eastAsia="de-DE"/>
        </w:rPr>
        <w:t xml:space="preserve"> </w:t>
      </w:r>
      <w:r w:rsidRPr="00346F0B">
        <w:rPr>
          <w:rFonts w:eastAsia="Times New Roman" w:cs="Times New Roman"/>
          <w:lang w:eastAsia="de-DE"/>
        </w:rPr>
        <w:t xml:space="preserve">erinnert an das göttliche Gericht. </w:t>
      </w:r>
      <w:r w:rsidRPr="00346F0B">
        <w:rPr>
          <w:rFonts w:eastAsia="Times New Roman" w:cs="Times New Roman"/>
          <w:b/>
          <w:bCs/>
          <w:rtl/>
          <w:lang w:eastAsia="de-DE"/>
        </w:rPr>
        <w:t>וַתִּפְתַּח</w:t>
      </w:r>
      <w:r w:rsidRPr="00346F0B">
        <w:rPr>
          <w:rFonts w:eastAsia="Times New Roman" w:cs="Times New Roman"/>
          <w:rtl/>
          <w:lang w:eastAsia="de-DE"/>
        </w:rPr>
        <w:t xml:space="preserve"> </w:t>
      </w:r>
      <w:r w:rsidRPr="00346F0B">
        <w:rPr>
          <w:rFonts w:eastAsia="Times New Roman" w:cs="Times New Roman"/>
          <w:lang w:eastAsia="de-DE"/>
        </w:rPr>
        <w:t xml:space="preserve">(Qal Wayyiqtol von </w:t>
      </w:r>
      <w:r w:rsidRPr="00346F0B">
        <w:rPr>
          <w:rFonts w:eastAsia="Times New Roman" w:cs="Times New Roman"/>
          <w:b/>
          <w:bCs/>
          <w:rtl/>
          <w:lang w:eastAsia="de-DE"/>
        </w:rPr>
        <w:t>פתח</w:t>
      </w:r>
      <w:r w:rsidRPr="00346F0B">
        <w:rPr>
          <w:rFonts w:eastAsia="Times New Roman" w:cs="Times New Roman"/>
          <w:rtl/>
          <w:lang w:eastAsia="de-DE"/>
        </w:rPr>
        <w:t xml:space="preserve"> </w:t>
      </w:r>
      <w:r w:rsidRPr="00346F0B">
        <w:rPr>
          <w:rFonts w:eastAsia="Times New Roman" w:cs="Times New Roman"/>
          <w:lang w:eastAsia="de-DE"/>
        </w:rPr>
        <w:t xml:space="preserve">„öffnen"), </w:t>
      </w:r>
      <w:r w:rsidRPr="00346F0B">
        <w:rPr>
          <w:rFonts w:eastAsia="Times New Roman" w:cs="Times New Roman"/>
          <w:b/>
          <w:bCs/>
          <w:rtl/>
          <w:lang w:eastAsia="de-DE"/>
        </w:rPr>
        <w:t>הָאָרֶץ</w:t>
      </w:r>
      <w:r w:rsidRPr="00346F0B">
        <w:rPr>
          <w:rFonts w:eastAsia="Times New Roman" w:cs="Times New Roman"/>
          <w:rtl/>
          <w:lang w:eastAsia="de-DE"/>
        </w:rPr>
        <w:t xml:space="preserve"> </w:t>
      </w:r>
      <w:r w:rsidRPr="00346F0B">
        <w:rPr>
          <w:rFonts w:eastAsia="Times New Roman" w:cs="Times New Roman"/>
          <w:lang w:eastAsia="de-DE"/>
        </w:rPr>
        <w:t xml:space="preserve">(„die Erde") als Subjekt, </w:t>
      </w:r>
      <w:r w:rsidRPr="00346F0B">
        <w:rPr>
          <w:rFonts w:eastAsia="Times New Roman" w:cs="Times New Roman"/>
          <w:b/>
          <w:bCs/>
          <w:rtl/>
          <w:lang w:eastAsia="de-DE"/>
        </w:rPr>
        <w:t>אֶת־פִּיהָ</w:t>
      </w:r>
      <w:r w:rsidRPr="00346F0B">
        <w:rPr>
          <w:rFonts w:eastAsia="Times New Roman" w:cs="Times New Roman"/>
          <w:rtl/>
          <w:lang w:eastAsia="de-DE"/>
        </w:rPr>
        <w:t xml:space="preserve"> </w:t>
      </w:r>
      <w:r w:rsidRPr="00346F0B">
        <w:rPr>
          <w:rFonts w:eastAsia="Times New Roman" w:cs="Times New Roman"/>
          <w:lang w:eastAsia="de-DE"/>
        </w:rPr>
        <w:t xml:space="preserve">(„ihren Mund"), </w:t>
      </w:r>
      <w:r w:rsidRPr="00346F0B">
        <w:rPr>
          <w:rFonts w:eastAsia="Times New Roman" w:cs="Times New Roman"/>
          <w:b/>
          <w:bCs/>
          <w:rtl/>
          <w:lang w:eastAsia="de-DE"/>
        </w:rPr>
        <w:t>וַתִּבְלַע</w:t>
      </w:r>
      <w:r w:rsidRPr="00346F0B">
        <w:rPr>
          <w:rFonts w:eastAsia="Times New Roman" w:cs="Times New Roman"/>
          <w:rtl/>
          <w:lang w:eastAsia="de-DE"/>
        </w:rPr>
        <w:t xml:space="preserve"> </w:t>
      </w:r>
      <w:r w:rsidRPr="00346F0B">
        <w:rPr>
          <w:rFonts w:eastAsia="Times New Roman" w:cs="Times New Roman"/>
          <w:lang w:eastAsia="de-DE"/>
        </w:rPr>
        <w:t xml:space="preserve">(Qal Wayyiqtol von </w:t>
      </w:r>
      <w:r w:rsidRPr="00346F0B">
        <w:rPr>
          <w:rFonts w:eastAsia="Times New Roman" w:cs="Times New Roman"/>
          <w:b/>
          <w:bCs/>
          <w:rtl/>
          <w:lang w:eastAsia="de-DE"/>
        </w:rPr>
        <w:t>בלע</w:t>
      </w:r>
      <w:r w:rsidRPr="00346F0B">
        <w:rPr>
          <w:rFonts w:eastAsia="Times New Roman" w:cs="Times New Roman"/>
          <w:rtl/>
          <w:lang w:eastAsia="de-DE"/>
        </w:rPr>
        <w:t xml:space="preserve"> </w:t>
      </w:r>
      <w:r w:rsidRPr="00346F0B">
        <w:rPr>
          <w:rFonts w:eastAsia="Times New Roman" w:cs="Times New Roman"/>
          <w:lang w:eastAsia="de-DE"/>
        </w:rPr>
        <w:t xml:space="preserve">„verschlingen"), </w:t>
      </w:r>
      <w:r w:rsidRPr="00346F0B">
        <w:rPr>
          <w:rFonts w:eastAsia="Times New Roman" w:cs="Times New Roman"/>
          <w:b/>
          <w:bCs/>
          <w:rtl/>
          <w:lang w:eastAsia="de-DE"/>
        </w:rPr>
        <w:t>אֹתָם</w:t>
      </w:r>
      <w:r w:rsidRPr="00346F0B">
        <w:rPr>
          <w:rFonts w:eastAsia="Times New Roman" w:cs="Times New Roman"/>
          <w:rtl/>
          <w:lang w:eastAsia="de-DE"/>
        </w:rPr>
        <w:t xml:space="preserve"> </w:t>
      </w:r>
      <w:r w:rsidRPr="00346F0B">
        <w:rPr>
          <w:rFonts w:eastAsia="Times New Roman" w:cs="Times New Roman"/>
          <w:lang w:eastAsia="de-DE"/>
        </w:rPr>
        <w:t xml:space="preserve">(„sie"). </w:t>
      </w:r>
      <w:r w:rsidRPr="00346F0B">
        <w:rPr>
          <w:rFonts w:eastAsia="Times New Roman" w:cs="Times New Roman"/>
          <w:b/>
          <w:bCs/>
          <w:rtl/>
          <w:lang w:eastAsia="de-DE"/>
        </w:rPr>
        <w:t>וְאֶת־קֹרַח</w:t>
      </w:r>
      <w:r w:rsidRPr="00346F0B">
        <w:rPr>
          <w:rFonts w:eastAsia="Times New Roman" w:cs="Times New Roman"/>
          <w:rtl/>
          <w:lang w:eastAsia="de-DE"/>
        </w:rPr>
        <w:t xml:space="preserve"> </w:t>
      </w:r>
      <w:r w:rsidRPr="00346F0B">
        <w:rPr>
          <w:rFonts w:eastAsia="Times New Roman" w:cs="Times New Roman"/>
          <w:lang w:eastAsia="de-DE"/>
        </w:rPr>
        <w:t xml:space="preserve">fügt Korach hinzu. </w:t>
      </w:r>
      <w:r w:rsidRPr="00346F0B">
        <w:rPr>
          <w:rFonts w:eastAsia="Times New Roman" w:cs="Times New Roman"/>
          <w:b/>
          <w:bCs/>
          <w:rtl/>
          <w:lang w:eastAsia="de-DE"/>
        </w:rPr>
        <w:t>בְּמוֹת הָעֵדָה</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בְ</w:t>
      </w:r>
      <w:r w:rsidRPr="00346F0B">
        <w:rPr>
          <w:rFonts w:eastAsia="Times New Roman" w:cs="Times New Roman"/>
          <w:rtl/>
          <w:lang w:eastAsia="de-DE"/>
        </w:rPr>
        <w:t xml:space="preserve"> </w:t>
      </w:r>
      <w:r w:rsidRPr="00346F0B">
        <w:rPr>
          <w:rFonts w:eastAsia="Times New Roman" w:cs="Times New Roman"/>
          <w:lang w:eastAsia="de-DE"/>
        </w:rPr>
        <w:t xml:space="preserve">mit Qal Infinitiv </w:t>
      </w:r>
      <w:r w:rsidR="00E031B3">
        <w:rPr>
          <w:rFonts w:eastAsia="Times New Roman" w:cs="Times New Roman"/>
          <w:lang w:eastAsia="de-DE"/>
        </w:rPr>
        <w:t>Constructus von</w:t>
      </w:r>
      <w:r w:rsidRPr="00346F0B">
        <w:rPr>
          <w:rFonts w:eastAsia="Times New Roman" w:cs="Times New Roman"/>
          <w:lang w:eastAsia="de-DE"/>
        </w:rPr>
        <w:t xml:space="preserve"> </w:t>
      </w:r>
      <w:r w:rsidRPr="00346F0B">
        <w:rPr>
          <w:rFonts w:eastAsia="Times New Roman" w:cs="Times New Roman"/>
          <w:b/>
          <w:bCs/>
          <w:rtl/>
          <w:lang w:eastAsia="de-DE"/>
        </w:rPr>
        <w:t>מות</w:t>
      </w:r>
      <w:r w:rsidRPr="00346F0B">
        <w:rPr>
          <w:rFonts w:eastAsia="Times New Roman" w:cs="Times New Roman"/>
          <w:rtl/>
          <w:lang w:eastAsia="de-DE"/>
        </w:rPr>
        <w:t xml:space="preserve"> </w:t>
      </w:r>
      <w:r w:rsidRPr="00346F0B">
        <w:rPr>
          <w:rFonts w:eastAsia="Times New Roman" w:cs="Times New Roman"/>
          <w:lang w:eastAsia="de-DE"/>
        </w:rPr>
        <w:t xml:space="preserve">„sterben" und </w:t>
      </w:r>
      <w:r w:rsidRPr="00346F0B">
        <w:rPr>
          <w:rFonts w:eastAsia="Times New Roman" w:cs="Times New Roman"/>
          <w:b/>
          <w:bCs/>
          <w:rtl/>
          <w:lang w:eastAsia="de-DE"/>
        </w:rPr>
        <w:t>הָעֵדָה</w:t>
      </w:r>
      <w:r w:rsidRPr="00346F0B">
        <w:rPr>
          <w:rFonts w:eastAsia="Times New Roman" w:cs="Times New Roman"/>
          <w:lang w:eastAsia="de-DE"/>
        </w:rPr>
        <w:t xml:space="preserve">) gibt den Zeitpunkt an. </w:t>
      </w:r>
      <w:r w:rsidRPr="00346F0B">
        <w:rPr>
          <w:rFonts w:eastAsia="Times New Roman" w:cs="Times New Roman"/>
          <w:b/>
          <w:bCs/>
          <w:rtl/>
          <w:lang w:eastAsia="de-DE"/>
        </w:rPr>
        <w:t>בַּאֲכֹל הָאֵשׁ אֵת חֲמִשִּׁים וּמָאתַיִם אִישׁ</w:t>
      </w:r>
      <w:r w:rsidRPr="00346F0B">
        <w:rPr>
          <w:rFonts w:eastAsia="Times New Roman" w:cs="Times New Roman"/>
          <w:rtl/>
          <w:lang w:eastAsia="de-DE"/>
        </w:rPr>
        <w:t xml:space="preserve"> </w:t>
      </w:r>
      <w:r w:rsidRPr="00346F0B">
        <w:rPr>
          <w:rFonts w:eastAsia="Times New Roman" w:cs="Times New Roman"/>
          <w:lang w:eastAsia="de-DE"/>
        </w:rPr>
        <w:t xml:space="preserve">beschreibt das zweite Gericht: </w:t>
      </w:r>
      <w:r w:rsidRPr="00346F0B">
        <w:rPr>
          <w:rFonts w:eastAsia="Times New Roman" w:cs="Times New Roman"/>
          <w:b/>
          <w:bCs/>
          <w:rtl/>
          <w:lang w:eastAsia="de-DE"/>
        </w:rPr>
        <w:t>בַּאֲכֹל</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בְ</w:t>
      </w:r>
      <w:r w:rsidRPr="00346F0B">
        <w:rPr>
          <w:rFonts w:eastAsia="Times New Roman" w:cs="Times New Roman"/>
          <w:rtl/>
          <w:lang w:eastAsia="de-DE"/>
        </w:rPr>
        <w:t xml:space="preserve"> </w:t>
      </w:r>
      <w:r w:rsidRPr="00346F0B">
        <w:rPr>
          <w:rFonts w:eastAsia="Times New Roman" w:cs="Times New Roman"/>
          <w:lang w:eastAsia="de-DE"/>
        </w:rPr>
        <w:t xml:space="preserve">mit Qal Infinitiv </w:t>
      </w:r>
      <w:r w:rsidR="00E031B3">
        <w:rPr>
          <w:rFonts w:eastAsia="Times New Roman" w:cs="Times New Roman"/>
          <w:lang w:eastAsia="de-DE"/>
        </w:rPr>
        <w:t>Constructus von</w:t>
      </w:r>
      <w:r w:rsidRPr="00346F0B">
        <w:rPr>
          <w:rFonts w:eastAsia="Times New Roman" w:cs="Times New Roman"/>
          <w:lang w:eastAsia="de-DE"/>
        </w:rPr>
        <w:t xml:space="preserve"> </w:t>
      </w:r>
      <w:r w:rsidRPr="00346F0B">
        <w:rPr>
          <w:rFonts w:eastAsia="Times New Roman" w:cs="Times New Roman"/>
          <w:b/>
          <w:bCs/>
          <w:rtl/>
          <w:lang w:eastAsia="de-DE"/>
        </w:rPr>
        <w:t>אכל</w:t>
      </w:r>
      <w:r w:rsidRPr="00346F0B">
        <w:rPr>
          <w:rFonts w:eastAsia="Times New Roman" w:cs="Times New Roman"/>
          <w:rtl/>
          <w:lang w:eastAsia="de-DE"/>
        </w:rPr>
        <w:t xml:space="preserve"> </w:t>
      </w:r>
      <w:r w:rsidRPr="00346F0B">
        <w:rPr>
          <w:rFonts w:eastAsia="Times New Roman" w:cs="Times New Roman"/>
          <w:lang w:eastAsia="de-DE"/>
        </w:rPr>
        <w:t xml:space="preserve">„fressen, verzehren"), </w:t>
      </w:r>
      <w:r w:rsidRPr="00346F0B">
        <w:rPr>
          <w:rFonts w:eastAsia="Times New Roman" w:cs="Times New Roman"/>
          <w:b/>
          <w:bCs/>
          <w:rtl/>
          <w:lang w:eastAsia="de-DE"/>
        </w:rPr>
        <w:t>הָאֵשׁ</w:t>
      </w:r>
      <w:r w:rsidRPr="00346F0B">
        <w:rPr>
          <w:rFonts w:eastAsia="Times New Roman" w:cs="Times New Roman"/>
          <w:rtl/>
          <w:lang w:eastAsia="de-DE"/>
        </w:rPr>
        <w:t xml:space="preserve"> </w:t>
      </w:r>
      <w:r w:rsidRPr="00346F0B">
        <w:rPr>
          <w:rFonts w:eastAsia="Times New Roman" w:cs="Times New Roman"/>
          <w:lang w:eastAsia="de-DE"/>
        </w:rPr>
        <w:t xml:space="preserve">(„das Feuer") als Subjekt, die 250 Männer als Objekt. </w:t>
      </w:r>
      <w:r w:rsidRPr="00346F0B">
        <w:rPr>
          <w:rFonts w:eastAsia="Times New Roman" w:cs="Times New Roman"/>
          <w:b/>
          <w:bCs/>
          <w:rtl/>
          <w:lang w:eastAsia="de-DE"/>
        </w:rPr>
        <w:t>וַיִּהְיוּ לְנֵס</w:t>
      </w:r>
      <w:r w:rsidRPr="00346F0B">
        <w:rPr>
          <w:rFonts w:eastAsia="Times New Roman" w:cs="Times New Roman"/>
          <w:rtl/>
          <w:lang w:eastAsia="de-DE"/>
        </w:rPr>
        <w:t xml:space="preserve"> </w:t>
      </w:r>
      <w:r w:rsidRPr="00346F0B">
        <w:rPr>
          <w:rFonts w:eastAsia="Times New Roman" w:cs="Times New Roman"/>
          <w:lang w:eastAsia="de-DE"/>
        </w:rPr>
        <w:t xml:space="preserve">ist die theologische Bewertung: </w:t>
      </w:r>
      <w:r w:rsidRPr="00346F0B">
        <w:rPr>
          <w:rFonts w:eastAsia="Times New Roman" w:cs="Times New Roman"/>
          <w:b/>
          <w:bCs/>
          <w:rtl/>
          <w:lang w:eastAsia="de-DE"/>
        </w:rPr>
        <w:t>לְנֵס</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לְ</w:t>
      </w:r>
      <w:r w:rsidRPr="00346F0B">
        <w:rPr>
          <w:rFonts w:eastAsia="Times New Roman" w:cs="Times New Roman"/>
          <w:rtl/>
          <w:lang w:eastAsia="de-DE"/>
        </w:rPr>
        <w:t xml:space="preserve"> </w:t>
      </w:r>
      <w:r w:rsidRPr="00346F0B">
        <w:rPr>
          <w:rFonts w:eastAsia="Times New Roman" w:cs="Times New Roman"/>
          <w:lang w:eastAsia="de-DE"/>
        </w:rPr>
        <w:t xml:space="preserve">mit </w:t>
      </w:r>
      <w:r w:rsidRPr="00346F0B">
        <w:rPr>
          <w:rFonts w:eastAsia="Times New Roman" w:cs="Times New Roman"/>
          <w:b/>
          <w:bCs/>
          <w:rtl/>
          <w:lang w:eastAsia="de-DE"/>
        </w:rPr>
        <w:t>נֵס</w:t>
      </w:r>
      <w:r w:rsidRPr="00346F0B">
        <w:rPr>
          <w:rFonts w:eastAsia="Times New Roman" w:cs="Times New Roman"/>
          <w:rtl/>
          <w:lang w:eastAsia="de-DE"/>
        </w:rPr>
        <w:t xml:space="preserve"> </w:t>
      </w:r>
      <w:r w:rsidRPr="00346F0B">
        <w:rPr>
          <w:rFonts w:eastAsia="Times New Roman" w:cs="Times New Roman"/>
          <w:lang w:eastAsia="de-DE"/>
        </w:rPr>
        <w:t>„Zeichen, Warnung") – sie wurden zum abschreckenden Beispiel.</w:t>
      </w:r>
    </w:p>
    <w:p w14:paraId="39E43B6F" w14:textId="07EECDE4" w:rsidR="00346F0B" w:rsidRPr="00346F0B" w:rsidRDefault="00346F0B" w:rsidP="00C0709A">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t>וּבְנֵי־קֹרַח לֹא־מֵתוּ</w:t>
      </w:r>
      <w:r w:rsidRPr="00346F0B">
        <w:rPr>
          <w:rFonts w:eastAsia="Times New Roman" w:cs="Times New Roman"/>
          <w:rtl/>
          <w:lang w:eastAsia="de-DE"/>
        </w:rPr>
        <w:t xml:space="preserve"> </w:t>
      </w:r>
      <w:r w:rsidRPr="00346F0B">
        <w:rPr>
          <w:rFonts w:eastAsia="Times New Roman" w:cs="Times New Roman"/>
          <w:lang w:eastAsia="de-DE"/>
        </w:rPr>
        <w:t xml:space="preserve">ist eine bemerkenswerte Ausnahme. </w:t>
      </w:r>
      <w:r w:rsidRPr="00346F0B">
        <w:rPr>
          <w:rFonts w:eastAsia="Times New Roman" w:cs="Times New Roman"/>
          <w:b/>
          <w:bCs/>
          <w:rtl/>
          <w:lang w:eastAsia="de-DE"/>
        </w:rPr>
        <w:t>לֹא־מֵתוּ</w:t>
      </w:r>
      <w:r w:rsidRPr="00346F0B">
        <w:rPr>
          <w:rFonts w:eastAsia="Times New Roman" w:cs="Times New Roman"/>
          <w:rtl/>
          <w:lang w:eastAsia="de-DE"/>
        </w:rPr>
        <w:t xml:space="preserve"> </w:t>
      </w:r>
      <w:r w:rsidRPr="00346F0B">
        <w:rPr>
          <w:rFonts w:eastAsia="Times New Roman" w:cs="Times New Roman"/>
          <w:lang w:eastAsia="de-DE"/>
        </w:rPr>
        <w:t xml:space="preserve">(Negation </w:t>
      </w:r>
      <w:r w:rsidRPr="00346F0B">
        <w:rPr>
          <w:rFonts w:eastAsia="Times New Roman" w:cs="Times New Roman"/>
          <w:b/>
          <w:bCs/>
          <w:rtl/>
          <w:lang w:eastAsia="de-DE"/>
        </w:rPr>
        <w:t>לֹא</w:t>
      </w:r>
      <w:r w:rsidRPr="00346F0B">
        <w:rPr>
          <w:rFonts w:eastAsia="Times New Roman" w:cs="Times New Roman"/>
          <w:rtl/>
          <w:lang w:eastAsia="de-DE"/>
        </w:rPr>
        <w:t xml:space="preserve"> </w:t>
      </w:r>
      <w:r w:rsidRPr="00346F0B">
        <w:rPr>
          <w:rFonts w:eastAsia="Times New Roman" w:cs="Times New Roman"/>
          <w:lang w:eastAsia="de-DE"/>
        </w:rPr>
        <w:t xml:space="preserve">mit Qal Perfekt 3. Person Plural von </w:t>
      </w:r>
      <w:r w:rsidRPr="00346F0B">
        <w:rPr>
          <w:rFonts w:eastAsia="Times New Roman" w:cs="Times New Roman"/>
          <w:b/>
          <w:bCs/>
          <w:rtl/>
          <w:lang w:eastAsia="de-DE"/>
        </w:rPr>
        <w:t>מות</w:t>
      </w:r>
      <w:r w:rsidRPr="00346F0B">
        <w:rPr>
          <w:rFonts w:eastAsia="Times New Roman" w:cs="Times New Roman"/>
          <w:rtl/>
          <w:lang w:eastAsia="de-DE"/>
        </w:rPr>
        <w:t xml:space="preserve"> </w:t>
      </w:r>
      <w:r w:rsidRPr="00346F0B">
        <w:rPr>
          <w:rFonts w:eastAsia="Times New Roman" w:cs="Times New Roman"/>
          <w:lang w:eastAsia="de-DE"/>
        </w:rPr>
        <w:t>„sterben") zeigt göttliche Gnade. Die Nachkommen Korachs wurden verschont und bildeten später eine bedeutende levitische Psalmistenfamilie (Ps 42; 44-49; 84-85; 87-88).</w:t>
      </w:r>
    </w:p>
    <w:p w14:paraId="03C8E53F"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Satzstruktur zeigt genealogische Formeln, unterbrochen durch eine ausführliche historische Parenthese mit mehreren subordinierten Sätzen, die die Korach-Rebellion rekapituliert. Die Verse mahnen zur Treue und zeigen zugleich, dass göttliches Gericht individuell und nicht automatisch generationenübergreifend ist.</w:t>
      </w:r>
    </w:p>
    <w:p w14:paraId="4D0F6625"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26,12-14</w:t>
      </w:r>
    </w:p>
    <w:p w14:paraId="62CE857C"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בְּנֵ֣י שִׁמְעוֹן֮ לְמִשְׁפְּחֹתָם֒ לִנְמוּאֵ֗ל מִשְׁפַּ֨חַת֙ הַנְּמ֣וּאֵלִ֔י לְיָמִ֕ין מִשְׁפַּ֖חַת הַיָּמִינִ֑י לְיָכִ֕ין מִשְׁפַּ֖חַת הַיָּכִינִֽי׃ לְזֶ֕רַח מִשְׁפַּ֖חַת הַזַּרְחִ֑י לְשָׁא֕וּל מִשְׁפַּ֖חַת הַשָּׁאוּלִֽי׃ אֵ֖לֶּה מִשְׁפְּחֹ֣ת הַשִּׁמְעֹנִ֑י שְׁנַ֧יִם וְעֶשְׂרִ֛ים אֶ֖לֶף וּמָאתָֽיִם׃</w:t>
      </w:r>
    </w:p>
    <w:p w14:paraId="27E3E367"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Die Söhne Schim'ons nach ihren Familien: von Nemu'el die Familie des Nemu'eli; von Jamin die Familie des Jamini; von Jachin die Familie des Jachini; von Serach die Familie des Sarchi; von Scha'ul die Familie des Scha'uli. Das sind die Familien des Schim'oni: 22.200.</w:t>
      </w:r>
    </w:p>
    <w:p w14:paraId="6C97BBD5"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lastRenderedPageBreak/>
        <w:pict w14:anchorId="7CD865CE">
          <v:rect id="_x0000_i1879" style="width:0;height:1.5pt" o:hralign="center" o:hrstd="t" o:hr="t" fillcolor="#a0a0a0" stroked="f"/>
        </w:pict>
      </w:r>
    </w:p>
    <w:p w14:paraId="140DDD48"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Die Verse listen den Stamm Simeon mit fünf Familien auf. Die Namen entsprechen weitgehend Gen 46,10 und Ex 6,15. </w:t>
      </w:r>
      <w:r w:rsidRPr="00346F0B">
        <w:rPr>
          <w:rFonts w:eastAsia="Times New Roman" w:cs="Times New Roman"/>
          <w:b/>
          <w:bCs/>
          <w:rtl/>
          <w:lang w:eastAsia="de-DE"/>
        </w:rPr>
        <w:t>שְׁנַיִם וְעֶשְׂרִים אֶלֶף וּמָאתָיִם</w:t>
      </w:r>
      <w:r w:rsidRPr="00346F0B">
        <w:rPr>
          <w:rFonts w:eastAsia="Times New Roman" w:cs="Times New Roman"/>
          <w:rtl/>
          <w:lang w:eastAsia="de-DE"/>
        </w:rPr>
        <w:t xml:space="preserve"> </w:t>
      </w:r>
      <w:r w:rsidRPr="00346F0B">
        <w:rPr>
          <w:rFonts w:eastAsia="Times New Roman" w:cs="Times New Roman"/>
          <w:lang w:eastAsia="de-DE"/>
        </w:rPr>
        <w:t>(22.200) zeigt einen drastischen Rückgang gegenüber der ersten Zählung (Num 1,23: 59.300), einen Verlust von 37.100 oder 63%. Dies ist der größte prozentuale Verlust aller Stämme. Der Rückgang könnte mit der Peor-Sünde zusammenhängen, da Simri aus Simeon stammte (Num 25,14), oder mit dem Verlust der territorialen Eigenständigkeit (Simeon wurde später in Juda integriert, Jos 19,1-9).</w:t>
      </w:r>
    </w:p>
    <w:p w14:paraId="72EED338"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Die LXX</w:t>
      </w:r>
      <w:r w:rsidRPr="00346F0B">
        <w:rPr>
          <w:rFonts w:eastAsia="Times New Roman" w:cs="Times New Roman"/>
          <w:lang w:eastAsia="de-DE"/>
        </w:rPr>
        <w:t xml:space="preserve"> gibt keine bedeutenden Abweichungen.</w:t>
      </w:r>
    </w:p>
    <w:p w14:paraId="7634A8FA" w14:textId="77777777" w:rsidR="00E13E0D" w:rsidRDefault="00346F0B" w:rsidP="00E13E0D">
      <w:pPr>
        <w:pStyle w:val="font-claude-response-body"/>
      </w:pPr>
      <w:r w:rsidRPr="00346F0B">
        <w:t>Der Vers dokumentiert den dramatischen Niedergang Simeons, der historisch zur Absorption dieses Stammes in Juda führte.</w:t>
      </w:r>
      <w:r w:rsidR="00E13E0D">
        <w:t xml:space="preserve"> </w:t>
      </w:r>
      <w:r w:rsidR="00E13E0D">
        <w:t xml:space="preserve">Der drastische Rückgang Simeons um 63% (von 59.300 auf 22.200) ist </w:t>
      </w:r>
      <w:r w:rsidR="00E13E0D" w:rsidRPr="00E13E0D">
        <w:rPr>
          <w:rStyle w:val="Fett"/>
          <w:b w:val="0"/>
          <w:bCs w:val="0"/>
        </w:rPr>
        <w:t>theologisch bedeutsam</w:t>
      </w:r>
      <w:r w:rsidR="00E13E0D" w:rsidRPr="00E13E0D">
        <w:rPr>
          <w:b/>
          <w:bCs/>
        </w:rPr>
        <w:t>:</w:t>
      </w:r>
    </w:p>
    <w:p w14:paraId="5D4378A7" w14:textId="77777777" w:rsidR="00E13E0D" w:rsidRDefault="00E13E0D" w:rsidP="00F329DD">
      <w:pPr>
        <w:pStyle w:val="whitespace-normal"/>
        <w:numPr>
          <w:ilvl w:val="0"/>
          <w:numId w:val="267"/>
        </w:numPr>
      </w:pPr>
      <w:r>
        <w:rPr>
          <w:rStyle w:val="Fett"/>
        </w:rPr>
        <w:t>Peor-Sünde:</w:t>
      </w:r>
      <w:r>
        <w:t xml:space="preserve"> Simri, der Anführer der Peor-Rebellion, war </w:t>
      </w:r>
      <w:r>
        <w:rPr>
          <w:rStyle w:val="Fett"/>
        </w:rPr>
        <w:t>Fürst aus Simeon</w:t>
      </w:r>
      <w:r>
        <w:t xml:space="preserve"> (Num 25,14)</w:t>
      </w:r>
    </w:p>
    <w:p w14:paraId="00788600" w14:textId="77777777" w:rsidR="00E13E0D" w:rsidRDefault="00E13E0D" w:rsidP="00F329DD">
      <w:pPr>
        <w:pStyle w:val="whitespace-normal"/>
        <w:numPr>
          <w:ilvl w:val="0"/>
          <w:numId w:val="267"/>
        </w:numPr>
      </w:pPr>
      <w:r>
        <w:rPr>
          <w:rStyle w:val="Fett"/>
        </w:rPr>
        <w:t>Göttliches Gericht:</w:t>
      </w:r>
      <w:r>
        <w:t xml:space="preserve"> Die Plage tötete 24.000 (Num 25,9) – Simeon war offenbar </w:t>
      </w:r>
      <w:r>
        <w:rPr>
          <w:rStyle w:val="Fett"/>
        </w:rPr>
        <w:t>besonders betroffen</w:t>
      </w:r>
    </w:p>
    <w:p w14:paraId="2AB94D9F" w14:textId="77777777" w:rsidR="00E13E0D" w:rsidRDefault="00E13E0D" w:rsidP="00F329DD">
      <w:pPr>
        <w:pStyle w:val="whitespace-normal"/>
        <w:numPr>
          <w:ilvl w:val="0"/>
          <w:numId w:val="267"/>
        </w:numPr>
      </w:pPr>
      <w:r>
        <w:rPr>
          <w:rStyle w:val="Fett"/>
        </w:rPr>
        <w:t>Spätere Marginalisierung:</w:t>
      </w:r>
      <w:r>
        <w:t xml:space="preserve"> Simeon verliert später </w:t>
      </w:r>
      <w:r>
        <w:rPr>
          <w:rStyle w:val="Fett"/>
        </w:rPr>
        <w:t>territoriale Eigenständigkeit</w:t>
      </w:r>
      <w:r>
        <w:t xml:space="preserve"> und wird in Juda absorbiert (Jos 19,1-9; Ri 1,3.17)</w:t>
      </w:r>
    </w:p>
    <w:p w14:paraId="21E39944" w14:textId="77777777" w:rsidR="00E13E0D" w:rsidRDefault="00E13E0D" w:rsidP="00F329DD">
      <w:pPr>
        <w:pStyle w:val="whitespace-normal"/>
        <w:numPr>
          <w:ilvl w:val="0"/>
          <w:numId w:val="267"/>
        </w:numPr>
      </w:pPr>
      <w:r>
        <w:rPr>
          <w:rStyle w:val="Fett"/>
        </w:rPr>
        <w:t>Jakobs Fluch:</w:t>
      </w:r>
      <w:r>
        <w:t xml:space="preserve"> Bereits Gen 49,5-7 prophezeit Simeons </w:t>
      </w:r>
      <w:r>
        <w:rPr>
          <w:rStyle w:val="Fett"/>
        </w:rPr>
        <w:t>Zerstreuung</w:t>
      </w:r>
      <w:r>
        <w:t xml:space="preserve"> wegen Gewalttat</w:t>
      </w:r>
    </w:p>
    <w:p w14:paraId="337B9624" w14:textId="77777777" w:rsidR="00E13E0D" w:rsidRDefault="00E13E0D" w:rsidP="00E13E0D">
      <w:pPr>
        <w:pStyle w:val="font-claude-response-body"/>
      </w:pPr>
      <w:r>
        <w:t xml:space="preserve">→ Der Stamm Simeon trägt die </w:t>
      </w:r>
      <w:r>
        <w:rPr>
          <w:rStyle w:val="Fett"/>
        </w:rPr>
        <w:t>Konsequenzen der Sünde</w:t>
      </w:r>
      <w:r>
        <w:t xml:space="preserve"> exemplarisch."</w:t>
      </w:r>
    </w:p>
    <w:p w14:paraId="4F29F0CC" w14:textId="273BA966" w:rsidR="00346F0B" w:rsidRPr="00346F0B" w:rsidRDefault="00346F0B" w:rsidP="00346F0B">
      <w:pPr>
        <w:spacing w:before="100" w:beforeAutospacing="1" w:after="100" w:afterAutospacing="1" w:line="240" w:lineRule="auto"/>
        <w:rPr>
          <w:rFonts w:eastAsia="Times New Roman" w:cs="Times New Roman"/>
          <w:lang w:eastAsia="de-DE"/>
        </w:rPr>
      </w:pPr>
    </w:p>
    <w:p w14:paraId="170799DA"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26,15-51</w:t>
      </w:r>
    </w:p>
    <w:p w14:paraId="19A60E93" w14:textId="6216BB70" w:rsid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folgenden Verse 15-51 listen systematisch die restlichen Stämme auf: Gad (V. 15-18: 40.500), Juda (V. 19-22: 76.500), Issachar (V. 23-25: 64.300), Sebulon (V. 26-27: 60.500), Manasse (V. 28-34: 52.700), Ephraim (V. 35-37: 32.500), Benjamin (V. 38-41: 45.600), Dan (V. 42-43: 64.400), Ascher (V. 44-47: 53.400), Naphthali (V. 48-50: 45.400). Vers 51 gibt die Gesamtsumme an.]</w:t>
      </w:r>
    </w:p>
    <w:p w14:paraId="61AC0568" w14:textId="77777777" w:rsidR="0033022C" w:rsidRDefault="0033022C" w:rsidP="0033022C">
      <w:pPr>
        <w:pStyle w:val="KeinLeerraum"/>
      </w:pPr>
      <w:r>
        <w:rPr>
          <w:rStyle w:val="Fett"/>
        </w:rPr>
        <w:t>Vers 15-27:</w:t>
      </w:r>
      <w:r>
        <w:t xml:space="preserve"> </w:t>
      </w:r>
      <w:r>
        <w:rPr>
          <w:rStyle w:val="Fett"/>
        </w:rPr>
        <w:t>Die LXX</w:t>
      </w:r>
      <w:r>
        <w:t xml:space="preserve"> hat eine völlig andere Reihenfolge der Stämme: </w:t>
      </w:r>
    </w:p>
    <w:p w14:paraId="1B4532A6" w14:textId="77C52868" w:rsidR="0033022C" w:rsidRDefault="0033022C" w:rsidP="0033022C">
      <w:pPr>
        <w:pStyle w:val="KeinLeerraum"/>
      </w:pPr>
      <w:r>
        <w:t xml:space="preserve">Sie listet </w:t>
      </w:r>
    </w:p>
    <w:p w14:paraId="727518D5" w14:textId="77777777" w:rsidR="0033022C" w:rsidRPr="0033022C" w:rsidRDefault="0033022C" w:rsidP="00C15C06">
      <w:pPr>
        <w:pStyle w:val="KeinLeerraum"/>
        <w:numPr>
          <w:ilvl w:val="0"/>
          <w:numId w:val="34"/>
        </w:numPr>
        <w:rPr>
          <w:rFonts w:eastAsia="Times New Roman" w:cs="Times New Roman"/>
          <w:lang w:eastAsia="de-DE"/>
        </w:rPr>
      </w:pPr>
      <w:r>
        <w:t xml:space="preserve">Juda (V. 15-18), </w:t>
      </w:r>
    </w:p>
    <w:p w14:paraId="5E6B97F6" w14:textId="77777777" w:rsidR="0033022C" w:rsidRPr="0033022C" w:rsidRDefault="0033022C" w:rsidP="00C15C06">
      <w:pPr>
        <w:pStyle w:val="KeinLeerraum"/>
        <w:numPr>
          <w:ilvl w:val="0"/>
          <w:numId w:val="34"/>
        </w:numPr>
        <w:rPr>
          <w:rFonts w:eastAsia="Times New Roman" w:cs="Times New Roman"/>
          <w:lang w:eastAsia="de-DE"/>
        </w:rPr>
      </w:pPr>
      <w:r>
        <w:t xml:space="preserve">Issaschar (V. 19-21), </w:t>
      </w:r>
    </w:p>
    <w:p w14:paraId="17C4271C" w14:textId="77777777" w:rsidR="0033022C" w:rsidRPr="0033022C" w:rsidRDefault="0033022C" w:rsidP="00C15C06">
      <w:pPr>
        <w:pStyle w:val="KeinLeerraum"/>
        <w:numPr>
          <w:ilvl w:val="0"/>
          <w:numId w:val="34"/>
        </w:numPr>
        <w:rPr>
          <w:rFonts w:eastAsia="Times New Roman" w:cs="Times New Roman"/>
          <w:lang w:eastAsia="de-DE"/>
        </w:rPr>
      </w:pPr>
      <w:r>
        <w:t xml:space="preserve">Sebulon (V. 22-23), </w:t>
      </w:r>
    </w:p>
    <w:p w14:paraId="5DE0EC4B" w14:textId="77777777" w:rsidR="0033022C" w:rsidRPr="0033022C" w:rsidRDefault="0033022C" w:rsidP="00C15C06">
      <w:pPr>
        <w:pStyle w:val="KeinLeerraum"/>
        <w:numPr>
          <w:ilvl w:val="0"/>
          <w:numId w:val="34"/>
        </w:numPr>
        <w:rPr>
          <w:rFonts w:eastAsia="Times New Roman" w:cs="Times New Roman"/>
          <w:lang w:eastAsia="de-DE"/>
        </w:rPr>
      </w:pPr>
      <w:r>
        <w:t xml:space="preserve">Gad (V. 24-27) auf, </w:t>
      </w:r>
    </w:p>
    <w:p w14:paraId="5E4C21F2" w14:textId="77777777" w:rsidR="0033022C" w:rsidRPr="0033022C" w:rsidRDefault="0033022C" w:rsidP="00C15C06">
      <w:pPr>
        <w:pStyle w:val="KeinLeerraum"/>
        <w:numPr>
          <w:ilvl w:val="0"/>
          <w:numId w:val="34"/>
        </w:numPr>
        <w:rPr>
          <w:rFonts w:eastAsia="Times New Roman" w:cs="Times New Roman"/>
          <w:lang w:eastAsia="de-DE"/>
        </w:rPr>
      </w:pPr>
      <w:r w:rsidRPr="0033022C">
        <w:rPr>
          <w:b/>
          <w:bCs/>
        </w:rPr>
        <w:t>während der MT</w:t>
      </w:r>
      <w:r>
        <w:t xml:space="preserve"> </w:t>
      </w:r>
    </w:p>
    <w:p w14:paraId="05F797C3" w14:textId="18D5D4A9" w:rsidR="0033022C" w:rsidRPr="0033022C" w:rsidRDefault="0033022C" w:rsidP="00C15C06">
      <w:pPr>
        <w:pStyle w:val="KeinLeerraum"/>
        <w:numPr>
          <w:ilvl w:val="0"/>
          <w:numId w:val="34"/>
        </w:numPr>
        <w:rPr>
          <w:rFonts w:eastAsia="Times New Roman" w:cs="Times New Roman"/>
          <w:lang w:eastAsia="de-DE"/>
        </w:rPr>
      </w:pPr>
      <w:r>
        <w:t xml:space="preserve">Gad (V. 15-18), </w:t>
      </w:r>
    </w:p>
    <w:p w14:paraId="27A81F4A" w14:textId="77777777" w:rsidR="0033022C" w:rsidRPr="0033022C" w:rsidRDefault="0033022C" w:rsidP="00C15C06">
      <w:pPr>
        <w:pStyle w:val="KeinLeerraum"/>
        <w:numPr>
          <w:ilvl w:val="0"/>
          <w:numId w:val="34"/>
        </w:numPr>
        <w:rPr>
          <w:rFonts w:eastAsia="Times New Roman" w:cs="Times New Roman"/>
          <w:lang w:eastAsia="de-DE"/>
        </w:rPr>
      </w:pPr>
      <w:r>
        <w:t xml:space="preserve">Juda (V. 19-22), </w:t>
      </w:r>
    </w:p>
    <w:p w14:paraId="581EFEDC" w14:textId="29BF36DA" w:rsidR="0033022C" w:rsidRPr="0033022C" w:rsidRDefault="0033022C" w:rsidP="00C15C06">
      <w:pPr>
        <w:pStyle w:val="KeinLeerraum"/>
        <w:numPr>
          <w:ilvl w:val="0"/>
          <w:numId w:val="34"/>
        </w:numPr>
        <w:rPr>
          <w:rFonts w:eastAsia="Times New Roman" w:cs="Times New Roman"/>
          <w:lang w:eastAsia="de-DE"/>
        </w:rPr>
      </w:pPr>
      <w:r>
        <w:t xml:space="preserve">Issaschar (V. 23-25), </w:t>
      </w:r>
    </w:p>
    <w:p w14:paraId="1D21ADB4" w14:textId="509BE55B" w:rsidR="0033022C" w:rsidRPr="002900A1" w:rsidRDefault="0033022C" w:rsidP="00C15C06">
      <w:pPr>
        <w:pStyle w:val="KeinLeerraum"/>
        <w:numPr>
          <w:ilvl w:val="0"/>
          <w:numId w:val="34"/>
        </w:numPr>
        <w:rPr>
          <w:rFonts w:eastAsia="Times New Roman" w:cs="Times New Roman"/>
          <w:lang w:eastAsia="de-DE"/>
        </w:rPr>
      </w:pPr>
      <w:r>
        <w:t>Sebulon (V. 26-27) hat.</w:t>
      </w:r>
    </w:p>
    <w:p w14:paraId="07BAC61B" w14:textId="045EFD2D" w:rsidR="002900A1" w:rsidRDefault="002900A1" w:rsidP="002900A1">
      <w:pPr>
        <w:pStyle w:val="KeinLeerraum"/>
        <w:rPr>
          <w:rFonts w:eastAsia="Times New Roman" w:cs="Times New Roman"/>
          <w:lang w:eastAsia="de-DE"/>
        </w:rPr>
      </w:pPr>
    </w:p>
    <w:p w14:paraId="2574FC11" w14:textId="77777777" w:rsidR="002900A1" w:rsidRDefault="002900A1" w:rsidP="002900A1">
      <w:pPr>
        <w:pStyle w:val="whitespace-normal"/>
      </w:pPr>
      <w:r>
        <w:rPr>
          <w:rStyle w:val="Fett"/>
        </w:rPr>
        <w:lastRenderedPageBreak/>
        <w:t>Vers 21 (MT):</w:t>
      </w:r>
      <w:r>
        <w:t xml:space="preserve"> </w:t>
      </w:r>
      <w:r>
        <w:rPr>
          <w:rStyle w:val="Fett"/>
        </w:rPr>
        <w:t>Die LXX</w:t>
      </w:r>
      <w:r>
        <w:t xml:space="preserve"> übersetzt „</w:t>
      </w:r>
      <w:r w:rsidRPr="002900A1">
        <w:rPr>
          <w:b/>
          <w:bCs/>
          <w:rtl/>
        </w:rPr>
        <w:t>חָמוּל</w:t>
      </w:r>
      <w:r>
        <w:t>" (Hamul) als „Ἰαμουηλ" (Jamuel), eine Namensvariation.</w:t>
      </w:r>
    </w:p>
    <w:p w14:paraId="13F6D984" w14:textId="77777777" w:rsidR="002900A1" w:rsidRDefault="002900A1" w:rsidP="002900A1">
      <w:pPr>
        <w:pStyle w:val="whitespace-normal"/>
      </w:pPr>
      <w:r>
        <w:rPr>
          <w:rStyle w:val="Fett"/>
        </w:rPr>
        <w:t>Vers 28-31 (LXX):</w:t>
      </w:r>
      <w:r>
        <w:t xml:space="preserve"> </w:t>
      </w:r>
      <w:r>
        <w:rPr>
          <w:rStyle w:val="Fett"/>
        </w:rPr>
        <w:t>Die LXX</w:t>
      </w:r>
      <w:r>
        <w:t xml:space="preserve"> platziert Asser (V. 28-31) vor den Söhnen Josephs, während der MT die Söhne Josephs (V. 28-37) zuerst und dann Asser (V. 44-47) auflistet.</w:t>
      </w:r>
    </w:p>
    <w:p w14:paraId="00035F6B" w14:textId="77777777" w:rsidR="002900A1" w:rsidRDefault="002900A1" w:rsidP="002900A1">
      <w:pPr>
        <w:pStyle w:val="whitespace-normal"/>
      </w:pPr>
      <w:r>
        <w:rPr>
          <w:rStyle w:val="Fett"/>
        </w:rPr>
        <w:t>Vers 35-36 (MT) / 39 (LXX):</w:t>
      </w:r>
      <w:r>
        <w:t xml:space="preserve"> </w:t>
      </w:r>
      <w:r>
        <w:rPr>
          <w:rStyle w:val="Fett"/>
        </w:rPr>
        <w:t>Die LXX</w:t>
      </w:r>
      <w:r>
        <w:t xml:space="preserve"> lässt „Beker" (</w:t>
      </w:r>
      <w:r w:rsidRPr="002900A1">
        <w:rPr>
          <w:b/>
          <w:bCs/>
          <w:rtl/>
        </w:rPr>
        <w:t>בֶכֶר</w:t>
      </w:r>
      <w:r>
        <w:t>) aus der Liste der Söhne Ephraims weg und hat nur zwei Söhne statt drei.</w:t>
      </w:r>
    </w:p>
    <w:p w14:paraId="1C7043C5" w14:textId="77777777" w:rsidR="002900A1" w:rsidRDefault="002900A1" w:rsidP="002900A1">
      <w:pPr>
        <w:pStyle w:val="whitespace-normal"/>
      </w:pPr>
      <w:r>
        <w:rPr>
          <w:rStyle w:val="Fett"/>
        </w:rPr>
        <w:t>Vers 39 (MT):</w:t>
      </w:r>
      <w:r>
        <w:t xml:space="preserve"> </w:t>
      </w:r>
      <w:r>
        <w:rPr>
          <w:rStyle w:val="Fett"/>
        </w:rPr>
        <w:t>Die LXX</w:t>
      </w:r>
      <w:r>
        <w:t xml:space="preserve"> übersetzt „</w:t>
      </w:r>
      <w:r w:rsidRPr="002900A1">
        <w:rPr>
          <w:b/>
          <w:bCs/>
          <w:rtl/>
        </w:rPr>
        <w:t>שְׁפוּפָם</w:t>
      </w:r>
      <w:r>
        <w:t>" (Schupham) als „Σωφάν" (Sophan), und lässt „Hupham" (</w:t>
      </w:r>
      <w:r w:rsidRPr="002900A1">
        <w:rPr>
          <w:b/>
          <w:bCs/>
          <w:rtl/>
        </w:rPr>
        <w:t>חוּפָם</w:t>
      </w:r>
      <w:r>
        <w:t>) aus Vers 39 weg, fügt ihn aber unter den Söhnen Belas (Vers 44) hinzu.</w:t>
      </w:r>
    </w:p>
    <w:p w14:paraId="19E4A361" w14:textId="77777777" w:rsidR="002900A1" w:rsidRDefault="002900A1" w:rsidP="002900A1">
      <w:pPr>
        <w:pStyle w:val="whitespace-normal"/>
      </w:pPr>
      <w:r>
        <w:rPr>
          <w:rStyle w:val="Fett"/>
        </w:rPr>
        <w:t>Vers 40 (MT) / 44 (LXX):</w:t>
      </w:r>
      <w:r>
        <w:t xml:space="preserve"> </w:t>
      </w:r>
      <w:r>
        <w:rPr>
          <w:rStyle w:val="Fett"/>
        </w:rPr>
        <w:t>Die LXX</w:t>
      </w:r>
      <w:r>
        <w:t xml:space="preserve"> übersetzt „</w:t>
      </w:r>
      <w:r w:rsidRPr="002900A1">
        <w:rPr>
          <w:b/>
          <w:bCs/>
          <w:rtl/>
        </w:rPr>
        <w:t>אַרְדְּ</w:t>
      </w:r>
      <w:r>
        <w:t>" (Ard) als „Ἀδάρ" (Adar), eine leichte Namensvariation.</w:t>
      </w:r>
    </w:p>
    <w:p w14:paraId="4B236949" w14:textId="36DE86BC" w:rsidR="002900A1" w:rsidRPr="00346F0B" w:rsidRDefault="002900A1" w:rsidP="00E13E0D">
      <w:pPr>
        <w:pStyle w:val="whitespace-normal"/>
      </w:pPr>
      <w:r>
        <w:rPr>
          <w:rStyle w:val="Fett"/>
        </w:rPr>
        <w:t>Vers 42-43 (MT) / 46-47 (LXX):</w:t>
      </w:r>
      <w:r>
        <w:t xml:space="preserve"> </w:t>
      </w:r>
      <w:r>
        <w:rPr>
          <w:rStyle w:val="Fett"/>
        </w:rPr>
        <w:t>Die LXX</w:t>
      </w:r>
      <w:r>
        <w:t xml:space="preserve"> übersetzt „</w:t>
      </w:r>
      <w:r w:rsidRPr="002900A1">
        <w:rPr>
          <w:b/>
          <w:bCs/>
          <w:rtl/>
        </w:rPr>
        <w:t>שׁוּחָם</w:t>
      </w:r>
      <w:r>
        <w:t>" (Schuham) als „Σαμί" (Sami), eine erhebliche Namensänderung für den einzigen Sohn Dans.</w:t>
      </w:r>
    </w:p>
    <w:p w14:paraId="1289D0BB"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26,51</w:t>
      </w:r>
    </w:p>
    <w:p w14:paraId="4C1959AB"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אֵ֗לֶּה פְּקוּדֵי֙ בְּנֵ֣י יִשְׂרָאֵ֔ל שֵׁשׁ־מֵא֥וֹת אֶ֖לֶף וָאָ֑לֶף שְׁבַ֥ע מֵא֖וֹת וּשְׁלֹשִֽׁים׃</w:t>
      </w:r>
    </w:p>
    <w:p w14:paraId="0391D6C2"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Das sind die Gemusterten der Söhne Jisra'el: 601.730.</w:t>
      </w:r>
    </w:p>
    <w:p w14:paraId="0CE87798"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14C67F55">
          <v:rect id="_x0000_i1880" style="width:0;height:1.5pt" o:hralign="center" o:hrstd="t" o:hr="t" fillcolor="#a0a0a0" stroked="f"/>
        </w:pict>
      </w:r>
    </w:p>
    <w:p w14:paraId="4D40AEA7"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w:t>
      </w:r>
      <w:r w:rsidRPr="00346F0B">
        <w:rPr>
          <w:rFonts w:eastAsia="Times New Roman" w:cs="Times New Roman"/>
          <w:b/>
          <w:bCs/>
          <w:rtl/>
          <w:lang w:eastAsia="de-DE"/>
        </w:rPr>
        <w:t>אֵלֶּה פְּקוּדֵי בְּנֵי יִשְׂרָאֵל</w:t>
      </w:r>
      <w:r w:rsidRPr="00346F0B">
        <w:rPr>
          <w:rFonts w:eastAsia="Times New Roman" w:cs="Times New Roman"/>
          <w:rtl/>
          <w:lang w:eastAsia="de-DE"/>
        </w:rPr>
        <w:t xml:space="preserve"> </w:t>
      </w:r>
      <w:r w:rsidRPr="00346F0B">
        <w:rPr>
          <w:rFonts w:eastAsia="Times New Roman" w:cs="Times New Roman"/>
          <w:lang w:eastAsia="de-DE"/>
        </w:rPr>
        <w:t xml:space="preserve">ist die summarische Abschlussformel. </w:t>
      </w:r>
      <w:r w:rsidRPr="00346F0B">
        <w:rPr>
          <w:rFonts w:eastAsia="Times New Roman" w:cs="Times New Roman"/>
          <w:b/>
          <w:bCs/>
          <w:rtl/>
          <w:lang w:eastAsia="de-DE"/>
        </w:rPr>
        <w:t>שֵׁשׁ־מֵאוֹת אֶלֶף וָאָלֶף שְׁבַע מֵאוֹת וּשְׁלֹשִׁים</w:t>
      </w:r>
      <w:r w:rsidRPr="00346F0B">
        <w:rPr>
          <w:rFonts w:eastAsia="Times New Roman" w:cs="Times New Roman"/>
          <w:rtl/>
          <w:lang w:eastAsia="de-DE"/>
        </w:rPr>
        <w:t xml:space="preserve"> </w:t>
      </w:r>
      <w:r w:rsidRPr="00346F0B">
        <w:rPr>
          <w:rFonts w:eastAsia="Times New Roman" w:cs="Times New Roman"/>
          <w:lang w:eastAsia="de-DE"/>
        </w:rPr>
        <w:t>ist 601.730. Im Vergleich zur ersten Zählung (Num 1,46: 603.550) ist dies ein Rückgang von 1.820 Mann oder 0,3%. Die nahezu identische Gesamtzahl trotz der vierzig Jahre ist bemerkenswert und zeigt göttliche Bewahrung trotz der Katastrophen. Einige Stämme wuchsen (Juda, Issachar, Sebulon, Manasse, Benjamin, Dan, Ascher), andere schrumpften dramatisch (besonders Simeon, aber auch Ruben, Gad, Ephraim).</w:t>
      </w:r>
    </w:p>
    <w:p w14:paraId="45790B7E"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Die LXX</w:t>
      </w:r>
      <w:r w:rsidRPr="00346F0B">
        <w:rPr>
          <w:rFonts w:eastAsia="Times New Roman" w:cs="Times New Roman"/>
          <w:lang w:eastAsia="de-DE"/>
        </w:rPr>
        <w:t xml:space="preserve"> gibt die Zahl präzise wieder.</w:t>
      </w:r>
    </w:p>
    <w:p w14:paraId="4FBABDE9"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Der Vers dokumentiert die vollständige Erfüllung des göttlichen Gerichts: Die alte Generation ist gestorben, eine neue steht bereit, annähernd gleich stark, aber gereinigt und kampfbereit für die Landeroberung.</w:t>
      </w:r>
    </w:p>
    <w:p w14:paraId="4A146504"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26,52-56</w:t>
      </w:r>
    </w:p>
    <w:p w14:paraId="0B742E56"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Verse 52-56 geben göttliche Anweisungen zur Landverteilung: proportional nach Stammesgrößen, aber durch das Los bestimmt, um sowohl Gerechtigkeit als auch göttliche Souveränität zu gewährleisten.]</w:t>
      </w:r>
    </w:p>
    <w:p w14:paraId="03225198"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26,57-62</w:t>
      </w:r>
    </w:p>
    <w:p w14:paraId="56A0D81C" w14:textId="7C2DD13F" w:rsid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lastRenderedPageBreak/>
        <w:t>[Die Verse 57-62 listen die Leviten separat auf (23.000 ab einem Monat alt), da sie kein</w:t>
      </w:r>
      <w:r w:rsidR="008D68BA">
        <w:rPr>
          <w:rFonts w:eastAsia="Times New Roman" w:cs="Times New Roman"/>
          <w:lang w:eastAsia="de-DE"/>
        </w:rPr>
        <w:t>en</w:t>
      </w:r>
      <w:r w:rsidRPr="00346F0B">
        <w:rPr>
          <w:rFonts w:eastAsia="Times New Roman" w:cs="Times New Roman"/>
          <w:lang w:eastAsia="de-DE"/>
        </w:rPr>
        <w:t xml:space="preserve"> territoriale</w:t>
      </w:r>
      <w:r w:rsidR="008D68BA">
        <w:rPr>
          <w:rFonts w:eastAsia="Times New Roman" w:cs="Times New Roman"/>
          <w:lang w:eastAsia="de-DE"/>
        </w:rPr>
        <w:t>n</w:t>
      </w:r>
      <w:r w:rsidRPr="00346F0B">
        <w:rPr>
          <w:rFonts w:eastAsia="Times New Roman" w:cs="Times New Roman"/>
          <w:lang w:eastAsia="de-DE"/>
        </w:rPr>
        <w:t xml:space="preserve"> Erbteil erhalten, sondern Priesterdienst verrichten.]</w:t>
      </w:r>
    </w:p>
    <w:p w14:paraId="04C16570" w14:textId="3D8AABC6" w:rsidR="002900A1" w:rsidRDefault="002900A1" w:rsidP="00346F0B">
      <w:pPr>
        <w:spacing w:before="100" w:beforeAutospacing="1" w:after="100" w:afterAutospacing="1" w:line="240" w:lineRule="auto"/>
      </w:pPr>
      <w:r>
        <w:rPr>
          <w:rStyle w:val="Fett"/>
        </w:rPr>
        <w:t>Vers 58:</w:t>
      </w:r>
      <w:r>
        <w:t xml:space="preserve"> </w:t>
      </w:r>
      <w:r>
        <w:rPr>
          <w:rStyle w:val="Fett"/>
        </w:rPr>
        <w:t>Die LXX</w:t>
      </w:r>
      <w:r>
        <w:t xml:space="preserve"> erwähnt „δῆμος ὁ Κόρε" (den Stamm Korahs) in der Liste der levitischen Familien, während der MT die „Familie des Korach" (</w:t>
      </w:r>
      <w:r w:rsidRPr="002900A1">
        <w:rPr>
          <w:b/>
          <w:bCs/>
          <w:rtl/>
        </w:rPr>
        <w:t>מִשְׁפַּחַת</w:t>
      </w:r>
      <w:r>
        <w:rPr>
          <w:rtl/>
        </w:rPr>
        <w:t xml:space="preserve"> </w:t>
      </w:r>
      <w:r w:rsidRPr="002900A1">
        <w:rPr>
          <w:b/>
          <w:bCs/>
          <w:rtl/>
        </w:rPr>
        <w:t>הַקָּרְחִי</w:t>
      </w:r>
      <w:r>
        <w:t>) auflistet.</w:t>
      </w:r>
    </w:p>
    <w:p w14:paraId="0BECA3CC" w14:textId="7AE6B490" w:rsidR="002900A1" w:rsidRPr="00346F0B" w:rsidRDefault="002900A1" w:rsidP="00346F0B">
      <w:pPr>
        <w:spacing w:before="100" w:beforeAutospacing="1" w:after="100" w:afterAutospacing="1" w:line="240" w:lineRule="auto"/>
        <w:rPr>
          <w:rFonts w:eastAsia="Times New Roman" w:cs="Times New Roman"/>
          <w:lang w:eastAsia="de-DE"/>
        </w:rPr>
      </w:pPr>
      <w:r>
        <w:rPr>
          <w:rStyle w:val="Fett"/>
        </w:rPr>
        <w:t>Vers 59:</w:t>
      </w:r>
      <w:r>
        <w:t xml:space="preserve"> </w:t>
      </w:r>
      <w:r>
        <w:rPr>
          <w:rStyle w:val="Fett"/>
        </w:rPr>
        <w:t>Die LXX</w:t>
      </w:r>
      <w:r>
        <w:t xml:space="preserve"> übersetzt den Namen von Amrams Frau als „Ἰωχάβεδ" (Jochabed) statt „</w:t>
      </w:r>
      <w:r w:rsidRPr="002900A1">
        <w:rPr>
          <w:b/>
          <w:bCs/>
          <w:rtl/>
        </w:rPr>
        <w:t>יוֹכֶבֶד</w:t>
      </w:r>
      <w:r>
        <w:t>" (Jochebed), eine Transliterationsvariante, und fügt hinzu „ἣ ἔτεκεν τούτους τῷ Λευὶ ἐν Αἰγύπτῳ" (die diese dem Levi in Ägypten gebar), während der MT sagt „</w:t>
      </w:r>
      <w:r w:rsidRPr="002900A1">
        <w:rPr>
          <w:b/>
          <w:bCs/>
          <w:rtl/>
        </w:rPr>
        <w:t>אֲשֶׁר יָלְדָה אֹתָהּ לְלֵוִי בְּמִצְרָיִם</w:t>
      </w:r>
      <w:r>
        <w:t>" (die dem Levi in Ägypten geboren wurde).</w:t>
      </w:r>
    </w:p>
    <w:p w14:paraId="738F843C" w14:textId="77777777" w:rsidR="00346F0B" w:rsidRPr="00346F0B" w:rsidRDefault="00346F0B" w:rsidP="00346F0B">
      <w:pPr>
        <w:spacing w:before="100" w:beforeAutospacing="1" w:after="100" w:afterAutospacing="1" w:line="240" w:lineRule="auto"/>
        <w:outlineLvl w:val="0"/>
        <w:rPr>
          <w:rFonts w:eastAsia="Times New Roman" w:cs="Times New Roman"/>
          <w:b/>
          <w:bCs/>
          <w:kern w:val="36"/>
          <w:sz w:val="48"/>
          <w:szCs w:val="48"/>
          <w:lang w:eastAsia="de-DE"/>
        </w:rPr>
      </w:pPr>
      <w:r w:rsidRPr="00346F0B">
        <w:rPr>
          <w:rFonts w:eastAsia="Times New Roman" w:cs="Times New Roman"/>
          <w:b/>
          <w:bCs/>
          <w:kern w:val="36"/>
          <w:sz w:val="48"/>
          <w:szCs w:val="48"/>
          <w:lang w:eastAsia="de-DE"/>
        </w:rPr>
        <w:t>Numeri 26,63-65</w:t>
      </w:r>
    </w:p>
    <w:p w14:paraId="63D0EF60"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Hebräisch:</w:t>
      </w:r>
      <w:r w:rsidRPr="00346F0B">
        <w:rPr>
          <w:rFonts w:eastAsia="Times New Roman" w:cs="Times New Roman"/>
          <w:lang w:eastAsia="de-DE"/>
        </w:rPr>
        <w:t xml:space="preserve"> </w:t>
      </w:r>
      <w:r w:rsidRPr="00346F0B">
        <w:rPr>
          <w:rFonts w:eastAsia="Times New Roman" w:cs="Times New Roman"/>
          <w:rtl/>
          <w:lang w:eastAsia="de-DE"/>
        </w:rPr>
        <w:t>אֵ֚לֶּה פְּקוּדֵ֣י מֹשֶׁ֔ה וְאֶלְעָזָ֖ר הַכֹּהֵ֑ן אֲשֶׁ֨ר פָּֽקְד֜וּ אֶת־בְּנֵ֤י יִשְׂרָאֵל֙ בְּעַֽרְבֹ֣ת מוֹאָ֔ב עַ֖ל יַרְדֵּ֥ן יְרֵחֽוֹ׃ וּבְאֵ֨לֶּה֙ לֹא־הָ֣יָה אִ֔ישׁ מִפְּקוּדֵ֣י מֹשֶׁ֔ה וְאַהֲרֹ֖ן הַכֹּהֵ֑ן אֲשֶׁ֥ר פָּקְד֛וּ אֶת־בְּנֵ֥י יִשְׂרָאֵ֖ל בְּמִדְבַּ֥ר סִינָֽי׃ כִּֽי־אָמַ֤ר יְהוָה֙ לָהֶ֔ם מ֥וֹת יָמֻ֖תוּ בַּמִּדְבָּ֑ר וְלֹא־נוֹתַ֤ר מֵהֶם֙ אִ֔ישׁ כִּ֚י אִם־כָּלֵ֣ב בֶּן־יְפֻנֶּ֔ה וִיהוֹשֻׁ֖עַ בִּן־נֽוּן׃</w:t>
      </w:r>
    </w:p>
    <w:p w14:paraId="617C2032"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Deutsch:</w:t>
      </w:r>
      <w:r w:rsidRPr="00346F0B">
        <w:rPr>
          <w:rFonts w:eastAsia="Times New Roman" w:cs="Times New Roman"/>
          <w:lang w:eastAsia="de-DE"/>
        </w:rPr>
        <w:t xml:space="preserve"> Das sind die von Mosche und El'asar, dem Priester, Gemusterten, welche die Söhne Jisra'el in den Ebenen Mo'avs, am Jarden Jerechos, musterten. Und unter diesen war kein Mann von denen, die von Mosche und 'Aharon, dem Priester, gemustert worden waren, als sie die Söhne Jisra'el in der Wüste Sinai musterten. Denn der Ewige hatte von ihnen gesagt: Sie werden gewiss in der Wüste sterben! Und kein Mann von ihnen war übriggeblieben außer Kalev, dem Sohn Jephunnes, und Jehoschua, dem Sohn Nuns.</w:t>
      </w:r>
    </w:p>
    <w:p w14:paraId="71EC14B3" w14:textId="77777777" w:rsidR="00346F0B" w:rsidRPr="00346F0B" w:rsidRDefault="00F329DD" w:rsidP="00346F0B">
      <w:pPr>
        <w:spacing w:after="0" w:line="240" w:lineRule="auto"/>
        <w:rPr>
          <w:rFonts w:eastAsia="Times New Roman" w:cs="Times New Roman"/>
          <w:lang w:eastAsia="de-DE"/>
        </w:rPr>
      </w:pPr>
      <w:r>
        <w:rPr>
          <w:rFonts w:eastAsia="Times New Roman" w:cs="Times New Roman"/>
          <w:noProof/>
          <w:lang w:eastAsia="de-DE"/>
        </w:rPr>
        <w:pict w14:anchorId="1E0F9E26">
          <v:rect id="_x0000_i1881" style="width:0;height:1.5pt" o:hralign="center" o:hrstd="t" o:hr="t" fillcolor="#a0a0a0" stroked="f"/>
        </w:pict>
      </w:r>
    </w:p>
    <w:p w14:paraId="08E2FE82" w14:textId="77777777"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Kommentar:</w:t>
      </w:r>
      <w:r w:rsidRPr="00346F0B">
        <w:rPr>
          <w:rFonts w:eastAsia="Times New Roman" w:cs="Times New Roman"/>
          <w:lang w:eastAsia="de-DE"/>
        </w:rPr>
        <w:t xml:space="preserve"> Die Schlussverse betonen den vollständigen Generationenwechsel. </w:t>
      </w:r>
      <w:r w:rsidRPr="00346F0B">
        <w:rPr>
          <w:rFonts w:eastAsia="Times New Roman" w:cs="Times New Roman"/>
          <w:b/>
          <w:bCs/>
          <w:rtl/>
          <w:lang w:eastAsia="de-DE"/>
        </w:rPr>
        <w:t>וּבְאֵלֶּה לֹא־הָיָה אִישׁ מִפְּקוּדֵי מֹשֶׁה וְאַהֲרֹן הַכֹּהֵן</w:t>
      </w:r>
      <w:r w:rsidRPr="00346F0B">
        <w:rPr>
          <w:rFonts w:eastAsia="Times New Roman" w:cs="Times New Roman"/>
          <w:rtl/>
          <w:lang w:eastAsia="de-DE"/>
        </w:rPr>
        <w:t xml:space="preserve"> </w:t>
      </w:r>
      <w:r w:rsidRPr="00346F0B">
        <w:rPr>
          <w:rFonts w:eastAsia="Times New Roman" w:cs="Times New Roman"/>
          <w:lang w:eastAsia="de-DE"/>
        </w:rPr>
        <w:t xml:space="preserve">ist die zentrale Aussage: </w:t>
      </w:r>
      <w:r w:rsidRPr="00346F0B">
        <w:rPr>
          <w:rFonts w:eastAsia="Times New Roman" w:cs="Times New Roman"/>
          <w:b/>
          <w:bCs/>
          <w:rtl/>
          <w:lang w:eastAsia="de-DE"/>
        </w:rPr>
        <w:t>בְּ</w:t>
      </w:r>
      <w:r w:rsidRPr="00346F0B">
        <w:rPr>
          <w:rFonts w:eastAsia="Times New Roman" w:cs="Times New Roman"/>
          <w:rtl/>
          <w:lang w:eastAsia="de-DE"/>
        </w:rPr>
        <w:t xml:space="preserve"> </w:t>
      </w:r>
      <w:r w:rsidRPr="00346F0B">
        <w:rPr>
          <w:rFonts w:eastAsia="Times New Roman" w:cs="Times New Roman"/>
          <w:lang w:eastAsia="de-DE"/>
        </w:rPr>
        <w:t xml:space="preserve">mit dem Demonstrativpronomen („unter diesen"), </w:t>
      </w:r>
      <w:r w:rsidRPr="00346F0B">
        <w:rPr>
          <w:rFonts w:eastAsia="Times New Roman" w:cs="Times New Roman"/>
          <w:b/>
          <w:bCs/>
          <w:rtl/>
          <w:lang w:eastAsia="de-DE"/>
        </w:rPr>
        <w:t>לֹא־הָיָה אִישׁ</w:t>
      </w:r>
      <w:r w:rsidRPr="00346F0B">
        <w:rPr>
          <w:rFonts w:eastAsia="Times New Roman" w:cs="Times New Roman"/>
          <w:rtl/>
          <w:lang w:eastAsia="de-DE"/>
        </w:rPr>
        <w:t xml:space="preserve"> </w:t>
      </w:r>
      <w:r w:rsidRPr="00346F0B">
        <w:rPr>
          <w:rFonts w:eastAsia="Times New Roman" w:cs="Times New Roman"/>
          <w:lang w:eastAsia="de-DE"/>
        </w:rPr>
        <w:t xml:space="preserve">(Negation mit Qal Perfekt von </w:t>
      </w:r>
      <w:r w:rsidRPr="00346F0B">
        <w:rPr>
          <w:rFonts w:eastAsia="Times New Roman" w:cs="Times New Roman"/>
          <w:b/>
          <w:bCs/>
          <w:rtl/>
          <w:lang w:eastAsia="de-DE"/>
        </w:rPr>
        <w:t>היה</w:t>
      </w:r>
      <w:r w:rsidRPr="00346F0B">
        <w:rPr>
          <w:rFonts w:eastAsia="Times New Roman" w:cs="Times New Roman"/>
          <w:rtl/>
          <w:lang w:eastAsia="de-DE"/>
        </w:rPr>
        <w:t xml:space="preserve"> </w:t>
      </w:r>
      <w:r w:rsidRPr="00346F0B">
        <w:rPr>
          <w:rFonts w:eastAsia="Times New Roman" w:cs="Times New Roman"/>
          <w:lang w:eastAsia="de-DE"/>
        </w:rPr>
        <w:t xml:space="preserve">und </w:t>
      </w:r>
      <w:r w:rsidRPr="00346F0B">
        <w:rPr>
          <w:rFonts w:eastAsia="Times New Roman" w:cs="Times New Roman"/>
          <w:b/>
          <w:bCs/>
          <w:rtl/>
          <w:lang w:eastAsia="de-DE"/>
        </w:rPr>
        <w:t>אִישׁ</w:t>
      </w:r>
      <w:r w:rsidRPr="00346F0B">
        <w:rPr>
          <w:rFonts w:eastAsia="Times New Roman" w:cs="Times New Roman"/>
          <w:rtl/>
          <w:lang w:eastAsia="de-DE"/>
        </w:rPr>
        <w:t xml:space="preserve"> </w:t>
      </w:r>
      <w:r w:rsidRPr="00346F0B">
        <w:rPr>
          <w:rFonts w:eastAsia="Times New Roman" w:cs="Times New Roman"/>
          <w:lang w:eastAsia="de-DE"/>
        </w:rPr>
        <w:t xml:space="preserve">„kein Mann war"), </w:t>
      </w:r>
      <w:r w:rsidRPr="00346F0B">
        <w:rPr>
          <w:rFonts w:eastAsia="Times New Roman" w:cs="Times New Roman"/>
          <w:b/>
          <w:bCs/>
          <w:rtl/>
          <w:lang w:eastAsia="de-DE"/>
        </w:rPr>
        <w:t>מִפְּקוּדֵי</w:t>
      </w:r>
      <w:r w:rsidRPr="00346F0B">
        <w:rPr>
          <w:rFonts w:eastAsia="Times New Roman" w:cs="Times New Roman"/>
          <w:rtl/>
          <w:lang w:eastAsia="de-DE"/>
        </w:rPr>
        <w:t xml:space="preserve"> </w:t>
      </w:r>
      <w:r w:rsidRPr="00346F0B">
        <w:rPr>
          <w:rFonts w:eastAsia="Times New Roman" w:cs="Times New Roman"/>
          <w:lang w:eastAsia="de-DE"/>
        </w:rPr>
        <w:t xml:space="preserve">(Präposition </w:t>
      </w:r>
      <w:r w:rsidRPr="00346F0B">
        <w:rPr>
          <w:rFonts w:eastAsia="Times New Roman" w:cs="Times New Roman"/>
          <w:b/>
          <w:bCs/>
          <w:rtl/>
          <w:lang w:eastAsia="de-DE"/>
        </w:rPr>
        <w:t>מִן</w:t>
      </w:r>
      <w:r w:rsidRPr="00346F0B">
        <w:rPr>
          <w:rFonts w:eastAsia="Times New Roman" w:cs="Times New Roman"/>
          <w:rtl/>
          <w:lang w:eastAsia="de-DE"/>
        </w:rPr>
        <w:t xml:space="preserve"> </w:t>
      </w:r>
      <w:r w:rsidRPr="00346F0B">
        <w:rPr>
          <w:rFonts w:eastAsia="Times New Roman" w:cs="Times New Roman"/>
          <w:lang w:eastAsia="de-DE"/>
        </w:rPr>
        <w:t xml:space="preserve">mit Plural von </w:t>
      </w:r>
      <w:r w:rsidRPr="00346F0B">
        <w:rPr>
          <w:rFonts w:eastAsia="Times New Roman" w:cs="Times New Roman"/>
          <w:b/>
          <w:bCs/>
          <w:rtl/>
          <w:lang w:eastAsia="de-DE"/>
        </w:rPr>
        <w:t>פָּקוּד</w:t>
      </w:r>
      <w:r w:rsidRPr="00346F0B">
        <w:rPr>
          <w:rFonts w:eastAsia="Times New Roman" w:cs="Times New Roman"/>
          <w:rtl/>
          <w:lang w:eastAsia="de-DE"/>
        </w:rPr>
        <w:t xml:space="preserve"> </w:t>
      </w:r>
      <w:r w:rsidRPr="00346F0B">
        <w:rPr>
          <w:rFonts w:eastAsia="Times New Roman" w:cs="Times New Roman"/>
          <w:lang w:eastAsia="de-DE"/>
        </w:rPr>
        <w:t>„von den Gemusterten"). Niemand aus der ersten Zählung am Sinai (Num 1) ist noch am Leben.</w:t>
      </w:r>
    </w:p>
    <w:p w14:paraId="074A6EDD" w14:textId="4F825955"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rtl/>
          <w:lang w:eastAsia="de-DE"/>
        </w:rPr>
        <w:t>כִּי־אָמַר יהוה לָהֶם מוֹת יָמֻתוּ בַּמִּדְבָּר</w:t>
      </w:r>
      <w:r w:rsidRPr="00346F0B">
        <w:rPr>
          <w:rFonts w:eastAsia="Times New Roman" w:cs="Times New Roman"/>
          <w:rtl/>
          <w:lang w:eastAsia="de-DE"/>
        </w:rPr>
        <w:t xml:space="preserve"> </w:t>
      </w:r>
      <w:r w:rsidRPr="00346F0B">
        <w:rPr>
          <w:rFonts w:eastAsia="Times New Roman" w:cs="Times New Roman"/>
          <w:lang w:eastAsia="de-DE"/>
        </w:rPr>
        <w:t xml:space="preserve">gibt die theologische Begründung. </w:t>
      </w:r>
      <w:r w:rsidRPr="00346F0B">
        <w:rPr>
          <w:rFonts w:eastAsia="Times New Roman" w:cs="Times New Roman"/>
          <w:b/>
          <w:bCs/>
          <w:rtl/>
          <w:lang w:eastAsia="de-DE"/>
        </w:rPr>
        <w:t>מוֹת יָמֻתוּ</w:t>
      </w:r>
      <w:r w:rsidRPr="00346F0B">
        <w:rPr>
          <w:rFonts w:eastAsia="Times New Roman" w:cs="Times New Roman"/>
          <w:rtl/>
          <w:lang w:eastAsia="de-DE"/>
        </w:rPr>
        <w:t xml:space="preserve"> </w:t>
      </w:r>
      <w:r w:rsidRPr="00346F0B">
        <w:rPr>
          <w:rFonts w:eastAsia="Times New Roman" w:cs="Times New Roman"/>
          <w:lang w:eastAsia="de-DE"/>
        </w:rPr>
        <w:t xml:space="preserve">ist die emphatische </w:t>
      </w:r>
      <w:r w:rsidR="00F133EC">
        <w:rPr>
          <w:rFonts w:eastAsia="Times New Roman" w:cs="Times New Roman"/>
          <w:lang w:eastAsia="de-DE"/>
        </w:rPr>
        <w:t>Construct</w:t>
      </w:r>
      <w:r w:rsidRPr="00346F0B">
        <w:rPr>
          <w:rFonts w:eastAsia="Times New Roman" w:cs="Times New Roman"/>
          <w:lang w:eastAsia="de-DE"/>
        </w:rPr>
        <w:t xml:space="preserve">ion mit Infinitiv Absolutus und finitem Verb („sie werden gewiss sterben"), die das göttliche Urteil nach der Kundschafterrebellion (Num 14,29-35) zitiert. </w:t>
      </w:r>
      <w:r w:rsidRPr="00346F0B">
        <w:rPr>
          <w:rFonts w:eastAsia="Times New Roman" w:cs="Times New Roman"/>
          <w:b/>
          <w:bCs/>
          <w:rtl/>
          <w:lang w:eastAsia="de-DE"/>
        </w:rPr>
        <w:t>וְלֹא־נוֹתַר מֵהֶם אִישׁ כִּי אִם־כָּלֵב בֶּן־יְפֻנֶּה וִיהוֹשֻׁעַ בִּן־נוּן</w:t>
      </w:r>
      <w:r w:rsidRPr="00346F0B">
        <w:rPr>
          <w:rFonts w:eastAsia="Times New Roman" w:cs="Times New Roman"/>
          <w:rtl/>
          <w:lang w:eastAsia="de-DE"/>
        </w:rPr>
        <w:t xml:space="preserve"> </w:t>
      </w:r>
      <w:r w:rsidRPr="00346F0B">
        <w:rPr>
          <w:rFonts w:eastAsia="Times New Roman" w:cs="Times New Roman"/>
          <w:lang w:eastAsia="de-DE"/>
        </w:rPr>
        <w:t xml:space="preserve">nennt die einzigen zwei Ausnahmen: </w:t>
      </w:r>
      <w:r w:rsidRPr="00346F0B">
        <w:rPr>
          <w:rFonts w:eastAsia="Times New Roman" w:cs="Times New Roman"/>
          <w:b/>
          <w:bCs/>
          <w:rtl/>
          <w:lang w:eastAsia="de-DE"/>
        </w:rPr>
        <w:t>נוֹתַר</w:t>
      </w:r>
      <w:r w:rsidRPr="00346F0B">
        <w:rPr>
          <w:rFonts w:eastAsia="Times New Roman" w:cs="Times New Roman"/>
          <w:rtl/>
          <w:lang w:eastAsia="de-DE"/>
        </w:rPr>
        <w:t xml:space="preserve"> </w:t>
      </w:r>
      <w:r w:rsidRPr="00346F0B">
        <w:rPr>
          <w:rFonts w:eastAsia="Times New Roman" w:cs="Times New Roman"/>
          <w:lang w:eastAsia="de-DE"/>
        </w:rPr>
        <w:t xml:space="preserve">(Niphal Perfekt von </w:t>
      </w:r>
      <w:r w:rsidRPr="00346F0B">
        <w:rPr>
          <w:rFonts w:eastAsia="Times New Roman" w:cs="Times New Roman"/>
          <w:b/>
          <w:bCs/>
          <w:rtl/>
          <w:lang w:eastAsia="de-DE"/>
        </w:rPr>
        <w:t>יתר</w:t>
      </w:r>
      <w:r w:rsidRPr="00346F0B">
        <w:rPr>
          <w:rFonts w:eastAsia="Times New Roman" w:cs="Times New Roman"/>
          <w:rtl/>
          <w:lang w:eastAsia="de-DE"/>
        </w:rPr>
        <w:t xml:space="preserve"> </w:t>
      </w:r>
      <w:r w:rsidRPr="00346F0B">
        <w:rPr>
          <w:rFonts w:eastAsia="Times New Roman" w:cs="Times New Roman"/>
          <w:lang w:eastAsia="de-DE"/>
        </w:rPr>
        <w:t xml:space="preserve">„übrigbleiben"), </w:t>
      </w:r>
      <w:r w:rsidRPr="00346F0B">
        <w:rPr>
          <w:rFonts w:eastAsia="Times New Roman" w:cs="Times New Roman"/>
          <w:b/>
          <w:bCs/>
          <w:rtl/>
          <w:lang w:eastAsia="de-DE"/>
        </w:rPr>
        <w:t>כִּי אִם</w:t>
      </w:r>
      <w:r w:rsidRPr="00346F0B">
        <w:rPr>
          <w:rFonts w:eastAsia="Times New Roman" w:cs="Times New Roman"/>
          <w:rtl/>
          <w:lang w:eastAsia="de-DE"/>
        </w:rPr>
        <w:t xml:space="preserve"> </w:t>
      </w:r>
      <w:r w:rsidRPr="00346F0B">
        <w:rPr>
          <w:rFonts w:eastAsia="Times New Roman" w:cs="Times New Roman"/>
          <w:lang w:eastAsia="de-DE"/>
        </w:rPr>
        <w:t xml:space="preserve">ist die exklusive </w:t>
      </w:r>
      <w:r w:rsidR="00F133EC">
        <w:rPr>
          <w:rFonts w:eastAsia="Times New Roman" w:cs="Times New Roman"/>
          <w:lang w:eastAsia="de-DE"/>
        </w:rPr>
        <w:t>Construct</w:t>
      </w:r>
      <w:r w:rsidRPr="00346F0B">
        <w:rPr>
          <w:rFonts w:eastAsia="Times New Roman" w:cs="Times New Roman"/>
          <w:lang w:eastAsia="de-DE"/>
        </w:rPr>
        <w:t>ion („außer, nur"). Kaleb und Josua hatten Glauben gezeigt (Num 14,6-9.30.38) und dürfen als Einzige der alten Generation das Land betreten.</w:t>
      </w:r>
    </w:p>
    <w:p w14:paraId="4D8BB926" w14:textId="454C6959" w:rsidR="00346F0B" w:rsidRP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b/>
          <w:bCs/>
          <w:lang w:eastAsia="de-DE"/>
        </w:rPr>
        <w:t>Die LXX</w:t>
      </w:r>
      <w:r w:rsidRPr="00346F0B">
        <w:rPr>
          <w:rFonts w:eastAsia="Times New Roman" w:cs="Times New Roman"/>
          <w:lang w:eastAsia="de-DE"/>
        </w:rPr>
        <w:t xml:space="preserve"> </w:t>
      </w:r>
      <w:r w:rsidR="002900A1">
        <w:rPr>
          <w:rStyle w:val="Fett"/>
        </w:rPr>
        <w:t>Vers 61:</w:t>
      </w:r>
      <w:r w:rsidR="002900A1">
        <w:t xml:space="preserve"> </w:t>
      </w:r>
      <w:r w:rsidR="002900A1">
        <w:rPr>
          <w:rStyle w:val="Fett"/>
        </w:rPr>
        <w:t>Die LXX</w:t>
      </w:r>
      <w:r w:rsidR="002900A1">
        <w:t xml:space="preserve"> fügt hinzu „ἐν τῇ ἐρήμῳ Σινά" (in der Wüste Sinai), was im MT nicht erscheint, der nur sagt „vor dem </w:t>
      </w:r>
      <w:r w:rsidR="00095BF0">
        <w:t>Ewigen</w:t>
      </w:r>
      <w:r w:rsidR="002900A1">
        <w:t>" (</w:t>
      </w:r>
      <w:r w:rsidR="002900A1" w:rsidRPr="002900A1">
        <w:rPr>
          <w:b/>
          <w:bCs/>
          <w:rtl/>
        </w:rPr>
        <w:t>לִפְנֵי</w:t>
      </w:r>
      <w:r w:rsidR="002900A1">
        <w:rPr>
          <w:rtl/>
        </w:rPr>
        <w:t xml:space="preserve"> </w:t>
      </w:r>
      <w:r w:rsidR="002900A1" w:rsidRPr="002900A1">
        <w:rPr>
          <w:b/>
          <w:bCs/>
          <w:rtl/>
        </w:rPr>
        <w:t>יְהוָה</w:t>
      </w:r>
      <w:r w:rsidR="002900A1">
        <w:t>).</w:t>
      </w:r>
    </w:p>
    <w:p w14:paraId="044ACEBC" w14:textId="0A522C0A" w:rsidR="00346F0B" w:rsidRDefault="00346F0B" w:rsidP="00346F0B">
      <w:pPr>
        <w:spacing w:before="100" w:beforeAutospacing="1" w:after="100" w:afterAutospacing="1" w:line="240" w:lineRule="auto"/>
        <w:rPr>
          <w:rFonts w:eastAsia="Times New Roman" w:cs="Times New Roman"/>
          <w:lang w:eastAsia="de-DE"/>
        </w:rPr>
      </w:pPr>
      <w:r w:rsidRPr="00346F0B">
        <w:rPr>
          <w:rFonts w:eastAsia="Times New Roman" w:cs="Times New Roman"/>
          <w:lang w:eastAsia="de-DE"/>
        </w:rPr>
        <w:t>Die Satzstruktur zeigt eine Identifikationsformel, gefolgt von einer negativen Existenzaussage mit Begründungssatz und Ausnahmeklausel. Die Verse schließen das Buch Numeri mit dem Grundthema: Gottes Gericht über Ungehorsam ist ernst und vollständig, aber seine Verheißungen an die Treuen bleiben bestehen. Die neue Generation steht bereit, die Aufgabe zu erfüllen, an der die Väter gescheitert waren.</w:t>
      </w:r>
    </w:p>
    <w:p w14:paraId="0D702DEA" w14:textId="2A23DC5E" w:rsidR="002900A1" w:rsidRDefault="002900A1" w:rsidP="00346F0B">
      <w:pPr>
        <w:spacing w:before="100" w:beforeAutospacing="1" w:after="100" w:afterAutospacing="1" w:line="240" w:lineRule="auto"/>
        <w:rPr>
          <w:rFonts w:eastAsia="Times New Roman" w:cs="Times New Roman"/>
          <w:lang w:eastAsia="de-DE"/>
        </w:rPr>
      </w:pPr>
      <w:r>
        <w:rPr>
          <w:rStyle w:val="Fett"/>
        </w:rPr>
        <w:lastRenderedPageBreak/>
        <w:t>Gesamtstruktur:</w:t>
      </w:r>
      <w:r>
        <w:t xml:space="preserve"> Die Stammeslisten in der LXX folgen einer anderen Ordnung als im MT, was auf verschiedene Texttraditionen oder redaktionelle Entscheidungen hindeutet.</w:t>
      </w:r>
    </w:p>
    <w:p w14:paraId="2FF8E17E" w14:textId="77777777" w:rsidR="008D68BA" w:rsidRPr="008D68BA" w:rsidRDefault="008D68BA" w:rsidP="008D68BA">
      <w:pPr>
        <w:spacing w:before="100" w:beforeAutospacing="1" w:after="100" w:afterAutospacing="1" w:line="240" w:lineRule="auto"/>
        <w:outlineLvl w:val="0"/>
        <w:rPr>
          <w:rFonts w:eastAsia="Times New Roman" w:cs="Times New Roman"/>
          <w:b/>
          <w:bCs/>
          <w:kern w:val="36"/>
          <w:sz w:val="48"/>
          <w:szCs w:val="48"/>
          <w:lang w:eastAsia="de-DE"/>
        </w:rPr>
      </w:pPr>
      <w:r w:rsidRPr="008D68BA">
        <w:rPr>
          <w:rFonts w:eastAsia="Times New Roman" w:cs="Times New Roman"/>
          <w:b/>
          <w:bCs/>
          <w:kern w:val="36"/>
          <w:sz w:val="48"/>
          <w:szCs w:val="48"/>
          <w:lang w:eastAsia="de-DE"/>
        </w:rPr>
        <w:t>Numeri 27,1</w:t>
      </w:r>
    </w:p>
    <w:p w14:paraId="79EF5B03"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Hebräisch:</w:t>
      </w:r>
      <w:r w:rsidRPr="008D68BA">
        <w:rPr>
          <w:rFonts w:eastAsia="Times New Roman" w:cs="Times New Roman"/>
          <w:lang w:eastAsia="de-DE"/>
        </w:rPr>
        <w:t xml:space="preserve"> </w:t>
      </w:r>
      <w:r w:rsidRPr="008D68BA">
        <w:rPr>
          <w:rFonts w:eastAsia="Times New Roman" w:cs="Times New Roman"/>
          <w:rtl/>
          <w:lang w:eastAsia="de-DE"/>
        </w:rPr>
        <w:t>וַתִּקְרַ֜בְנָה בְּנ֣וֹת צְלָפְחָ֗ד בֶּן־חֵ֤פֶר בֶּן־גִּלְעָד֙ בֶּן־מָכִ֣יר בֶּן־מְנַשֶּׁ֔ה לְמִשְׁפְּחֹ֖ת מְנַשֶּׁ֣ה בֶן־יוֹסֵ֑ף וְאֵ֨לֶּה֙ שְׁמ֣וֹת בְּנֹתָ֔יו מַחְלָ֣ה נֹעָ֔ה וְחָגְלָ֥ה וּמִלְכָּ֖ה וְתִרְצָֽה׃</w:t>
      </w:r>
    </w:p>
    <w:p w14:paraId="6E8383CA"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Deutsch:</w:t>
      </w:r>
      <w:r w:rsidRPr="008D68BA">
        <w:rPr>
          <w:rFonts w:eastAsia="Times New Roman" w:cs="Times New Roman"/>
          <w:lang w:eastAsia="de-DE"/>
        </w:rPr>
        <w:t xml:space="preserve"> Da nahten die Töchter Zelophchads, des Sohnes Chephers, des Sohnes Gil'ads, des Sohnes Machirs, des Sohnes Menasches, von den Familien Menasches, des Sohnes Josefs. Und dies sind die Namen seiner Töchter: Machla, Noa und Chogla und Milka und Tirza.</w:t>
      </w:r>
    </w:p>
    <w:p w14:paraId="4663C668" w14:textId="77777777" w:rsidR="008D68BA" w:rsidRPr="008D68BA" w:rsidRDefault="00F329DD" w:rsidP="008D68BA">
      <w:pPr>
        <w:spacing w:after="0" w:line="240" w:lineRule="auto"/>
        <w:rPr>
          <w:rFonts w:eastAsia="Times New Roman" w:cs="Times New Roman"/>
          <w:lang w:eastAsia="de-DE"/>
        </w:rPr>
      </w:pPr>
      <w:r>
        <w:rPr>
          <w:rFonts w:eastAsia="Times New Roman" w:cs="Times New Roman"/>
          <w:noProof/>
          <w:lang w:eastAsia="de-DE"/>
        </w:rPr>
        <w:pict w14:anchorId="3791CF00">
          <v:rect id="_x0000_i1882" style="width:0;height:1.5pt" o:hralign="center" o:hrstd="t" o:hr="t" fillcolor="#a0a0a0" stroked="f"/>
        </w:pict>
      </w:r>
    </w:p>
    <w:p w14:paraId="7CBF5E84" w14:textId="6762898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Kommentar:</w:t>
      </w:r>
      <w:r w:rsidRPr="008D68BA">
        <w:rPr>
          <w:rFonts w:eastAsia="Times New Roman" w:cs="Times New Roman"/>
          <w:lang w:eastAsia="de-DE"/>
        </w:rPr>
        <w:t xml:space="preserve"> Der Vers führt eine bedeutende Rechtsfallerzählung ein. </w:t>
      </w:r>
      <w:r w:rsidRPr="008D68BA">
        <w:rPr>
          <w:rFonts w:eastAsia="Times New Roman" w:cs="Times New Roman"/>
          <w:b/>
          <w:bCs/>
          <w:rtl/>
          <w:lang w:eastAsia="de-DE"/>
        </w:rPr>
        <w:t>וַתִּקְרַבְנָה בְּנוֹת צְלָפְחָד</w:t>
      </w:r>
      <w:r w:rsidRPr="008D68BA">
        <w:rPr>
          <w:rFonts w:eastAsia="Times New Roman" w:cs="Times New Roman"/>
          <w:rtl/>
          <w:lang w:eastAsia="de-DE"/>
        </w:rPr>
        <w:t xml:space="preserve"> </w:t>
      </w:r>
      <w:r w:rsidRPr="008D68BA">
        <w:rPr>
          <w:rFonts w:eastAsia="Times New Roman" w:cs="Times New Roman"/>
          <w:lang w:eastAsia="de-DE"/>
        </w:rPr>
        <w:t xml:space="preserve">ist die Haupthandlung. </w:t>
      </w:r>
      <w:r w:rsidRPr="008D68BA">
        <w:rPr>
          <w:rFonts w:eastAsia="Times New Roman" w:cs="Times New Roman"/>
          <w:b/>
          <w:bCs/>
          <w:rtl/>
          <w:lang w:eastAsia="de-DE"/>
        </w:rPr>
        <w:t>וַתִּקְרַבְנָה</w:t>
      </w:r>
      <w:r w:rsidRPr="008D68BA">
        <w:rPr>
          <w:rFonts w:eastAsia="Times New Roman" w:cs="Times New Roman"/>
          <w:rtl/>
          <w:lang w:eastAsia="de-DE"/>
        </w:rPr>
        <w:t xml:space="preserve"> </w:t>
      </w:r>
      <w:r w:rsidRPr="008D68BA">
        <w:rPr>
          <w:rFonts w:eastAsia="Times New Roman" w:cs="Times New Roman"/>
          <w:lang w:eastAsia="de-DE"/>
        </w:rPr>
        <w:t xml:space="preserve">ist Qal Wayyiqtol 3. Person feminin Plural von </w:t>
      </w:r>
      <w:r w:rsidRPr="008D68BA">
        <w:rPr>
          <w:rFonts w:eastAsia="Times New Roman" w:cs="Times New Roman"/>
          <w:b/>
          <w:bCs/>
          <w:rtl/>
          <w:lang w:eastAsia="de-DE"/>
        </w:rPr>
        <w:t>קרב</w:t>
      </w:r>
      <w:r w:rsidRPr="008D68BA">
        <w:rPr>
          <w:rFonts w:eastAsia="Times New Roman" w:cs="Times New Roman"/>
          <w:rtl/>
          <w:lang w:eastAsia="de-DE"/>
        </w:rPr>
        <w:t xml:space="preserve"> </w:t>
      </w:r>
      <w:r w:rsidRPr="008D68BA">
        <w:rPr>
          <w:rFonts w:eastAsia="Times New Roman" w:cs="Times New Roman"/>
          <w:lang w:eastAsia="de-DE"/>
        </w:rPr>
        <w:t xml:space="preserve">(„nahen, herantreten"), wobei die feminine Pluralendung </w:t>
      </w:r>
      <w:r w:rsidRPr="008D68BA">
        <w:rPr>
          <w:rFonts w:eastAsia="Times New Roman" w:cs="Times New Roman"/>
          <w:b/>
          <w:bCs/>
          <w:rtl/>
          <w:lang w:eastAsia="de-DE"/>
        </w:rPr>
        <w:t>־נָה</w:t>
      </w:r>
      <w:r w:rsidRPr="008D68BA">
        <w:rPr>
          <w:rFonts w:eastAsia="Times New Roman" w:cs="Times New Roman"/>
          <w:rtl/>
          <w:lang w:eastAsia="de-DE"/>
        </w:rPr>
        <w:t xml:space="preserve"> </w:t>
      </w:r>
      <w:r w:rsidRPr="008D68BA">
        <w:rPr>
          <w:rFonts w:eastAsia="Times New Roman" w:cs="Times New Roman"/>
          <w:lang w:eastAsia="de-DE"/>
        </w:rPr>
        <w:t xml:space="preserve">die weiblichen Subjekte markiert. </w:t>
      </w:r>
      <w:r w:rsidRPr="008D68BA">
        <w:rPr>
          <w:rFonts w:eastAsia="Times New Roman" w:cs="Times New Roman"/>
          <w:b/>
          <w:bCs/>
          <w:rtl/>
          <w:lang w:eastAsia="de-DE"/>
        </w:rPr>
        <w:t>בְּנוֹת</w:t>
      </w:r>
      <w:r w:rsidRPr="008D68BA">
        <w:rPr>
          <w:rFonts w:eastAsia="Times New Roman" w:cs="Times New Roman"/>
          <w:rtl/>
          <w:lang w:eastAsia="de-DE"/>
        </w:rPr>
        <w:t xml:space="preserve"> </w:t>
      </w:r>
      <w:r w:rsidRPr="008D68BA">
        <w:rPr>
          <w:rFonts w:eastAsia="Times New Roman" w:cs="Times New Roman"/>
          <w:lang w:eastAsia="de-DE"/>
        </w:rPr>
        <w:t xml:space="preserve">ist der feminine Plural </w:t>
      </w:r>
      <w:r w:rsidR="00E031B3">
        <w:rPr>
          <w:rFonts w:eastAsia="Times New Roman" w:cs="Times New Roman"/>
          <w:lang w:eastAsia="de-DE"/>
        </w:rPr>
        <w:t>Constructus von</w:t>
      </w:r>
      <w:r w:rsidRPr="008D68BA">
        <w:rPr>
          <w:rFonts w:eastAsia="Times New Roman" w:cs="Times New Roman"/>
          <w:lang w:eastAsia="de-DE"/>
        </w:rPr>
        <w:t xml:space="preserve"> </w:t>
      </w:r>
      <w:r w:rsidRPr="008D68BA">
        <w:rPr>
          <w:rFonts w:eastAsia="Times New Roman" w:cs="Times New Roman"/>
          <w:b/>
          <w:bCs/>
          <w:rtl/>
          <w:lang w:eastAsia="de-DE"/>
        </w:rPr>
        <w:t>בַּת</w:t>
      </w:r>
      <w:r w:rsidRPr="008D68BA">
        <w:rPr>
          <w:rFonts w:eastAsia="Times New Roman" w:cs="Times New Roman"/>
          <w:rtl/>
          <w:lang w:eastAsia="de-DE"/>
        </w:rPr>
        <w:t xml:space="preserve"> </w:t>
      </w:r>
      <w:r w:rsidRPr="008D68BA">
        <w:rPr>
          <w:rFonts w:eastAsia="Times New Roman" w:cs="Times New Roman"/>
          <w:lang w:eastAsia="de-DE"/>
        </w:rPr>
        <w:t xml:space="preserve">(„Tochter"), </w:t>
      </w:r>
      <w:r w:rsidRPr="008D68BA">
        <w:rPr>
          <w:rFonts w:eastAsia="Times New Roman" w:cs="Times New Roman"/>
          <w:b/>
          <w:bCs/>
          <w:rtl/>
          <w:lang w:eastAsia="de-DE"/>
        </w:rPr>
        <w:t>צְלָפְחָד</w:t>
      </w:r>
      <w:r w:rsidRPr="008D68BA">
        <w:rPr>
          <w:rFonts w:eastAsia="Times New Roman" w:cs="Times New Roman"/>
          <w:rtl/>
          <w:lang w:eastAsia="de-DE"/>
        </w:rPr>
        <w:t xml:space="preserve"> </w:t>
      </w:r>
      <w:r w:rsidRPr="008D68BA">
        <w:rPr>
          <w:rFonts w:eastAsia="Times New Roman" w:cs="Times New Roman"/>
          <w:lang w:eastAsia="de-DE"/>
        </w:rPr>
        <w:t xml:space="preserve">(Zelophchad, Zelafchad) ist der Vatersname. Das Verb </w:t>
      </w:r>
      <w:r w:rsidRPr="008D68BA">
        <w:rPr>
          <w:rFonts w:eastAsia="Times New Roman" w:cs="Times New Roman"/>
          <w:b/>
          <w:bCs/>
          <w:rtl/>
          <w:lang w:eastAsia="de-DE"/>
        </w:rPr>
        <w:t>קרב</w:t>
      </w:r>
      <w:r w:rsidRPr="008D68BA">
        <w:rPr>
          <w:rFonts w:eastAsia="Times New Roman" w:cs="Times New Roman"/>
          <w:rtl/>
          <w:lang w:eastAsia="de-DE"/>
        </w:rPr>
        <w:t xml:space="preserve"> </w:t>
      </w:r>
      <w:r w:rsidRPr="008D68BA">
        <w:rPr>
          <w:rFonts w:eastAsia="Times New Roman" w:cs="Times New Roman"/>
          <w:lang w:eastAsia="de-DE"/>
        </w:rPr>
        <w:t>wird oft für das formelle Herantreten vor eine Autorität verwendet.</w:t>
      </w:r>
    </w:p>
    <w:p w14:paraId="5499ECE1" w14:textId="4EBF2F49"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 xml:space="preserve">Die ausführliche Genealogie </w:t>
      </w:r>
      <w:r w:rsidRPr="008D68BA">
        <w:rPr>
          <w:rFonts w:eastAsia="Times New Roman" w:cs="Times New Roman"/>
          <w:b/>
          <w:bCs/>
          <w:rtl/>
          <w:lang w:eastAsia="de-DE"/>
        </w:rPr>
        <w:t>בֶּן־חֵפֶר בֶּן־גִּלְעָד בֶּן־מָכִיר בֶּן־מְנַשֶּׁה לְמִשְׁפְּחֹת מְנַשֶּׁה בֶן־יוֹסֵף</w:t>
      </w:r>
      <w:r w:rsidRPr="008D68BA">
        <w:rPr>
          <w:rFonts w:eastAsia="Times New Roman" w:cs="Times New Roman"/>
          <w:rtl/>
          <w:lang w:eastAsia="de-DE"/>
        </w:rPr>
        <w:t xml:space="preserve"> </w:t>
      </w:r>
      <w:r w:rsidRPr="008D68BA">
        <w:rPr>
          <w:rFonts w:eastAsia="Times New Roman" w:cs="Times New Roman"/>
          <w:lang w:eastAsia="de-DE"/>
        </w:rPr>
        <w:t xml:space="preserve">etabliert die legitime Stammeszugehörigkeit. Die fünffache </w:t>
      </w:r>
      <w:r w:rsidRPr="008D68BA">
        <w:rPr>
          <w:rFonts w:eastAsia="Times New Roman" w:cs="Times New Roman"/>
          <w:b/>
          <w:bCs/>
          <w:rtl/>
          <w:lang w:eastAsia="de-DE"/>
        </w:rPr>
        <w:t>בֶּן</w:t>
      </w:r>
      <w:r w:rsidRPr="008D68BA">
        <w:rPr>
          <w:rFonts w:eastAsia="Times New Roman" w:cs="Times New Roman"/>
          <w:lang w:eastAsia="de-DE"/>
        </w:rPr>
        <w:t>-</w:t>
      </w:r>
      <w:r w:rsidR="00F133EC">
        <w:rPr>
          <w:rFonts w:eastAsia="Times New Roman" w:cs="Times New Roman"/>
          <w:lang w:eastAsia="de-DE"/>
        </w:rPr>
        <w:t>Construct</w:t>
      </w:r>
      <w:r w:rsidRPr="008D68BA">
        <w:rPr>
          <w:rFonts w:eastAsia="Times New Roman" w:cs="Times New Roman"/>
          <w:lang w:eastAsia="de-DE"/>
        </w:rPr>
        <w:t xml:space="preserve">ion („Sohn des... Sohn des...") führt von Zelophchad über Chepher, Gilead und Makir bis zu Manasse zurück. </w:t>
      </w:r>
      <w:r w:rsidRPr="008D68BA">
        <w:rPr>
          <w:rFonts w:eastAsia="Times New Roman" w:cs="Times New Roman"/>
          <w:b/>
          <w:bCs/>
          <w:rtl/>
          <w:lang w:eastAsia="de-DE"/>
        </w:rPr>
        <w:t>לְמִשְׁפְּחֹת מְנַשֶּׁה</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לְ</w:t>
      </w:r>
      <w:r w:rsidRPr="008D68BA">
        <w:rPr>
          <w:rFonts w:eastAsia="Times New Roman" w:cs="Times New Roman"/>
          <w:rtl/>
          <w:lang w:eastAsia="de-DE"/>
        </w:rPr>
        <w:t xml:space="preserve"> </w:t>
      </w:r>
      <w:r w:rsidRPr="008D68BA">
        <w:rPr>
          <w:rFonts w:eastAsia="Times New Roman" w:cs="Times New Roman"/>
          <w:lang w:eastAsia="de-DE"/>
        </w:rPr>
        <w:t xml:space="preserve">mit Plural von </w:t>
      </w:r>
      <w:r w:rsidRPr="008D68BA">
        <w:rPr>
          <w:rFonts w:eastAsia="Times New Roman" w:cs="Times New Roman"/>
          <w:b/>
          <w:bCs/>
          <w:rtl/>
          <w:lang w:eastAsia="de-DE"/>
        </w:rPr>
        <w:t>מִשְׁפָּחָה</w:t>
      </w:r>
      <w:r w:rsidRPr="008D68BA">
        <w:rPr>
          <w:rFonts w:eastAsia="Times New Roman" w:cs="Times New Roman"/>
          <w:rtl/>
          <w:lang w:eastAsia="de-DE"/>
        </w:rPr>
        <w:t xml:space="preserve"> </w:t>
      </w:r>
      <w:r w:rsidRPr="008D68BA">
        <w:rPr>
          <w:rFonts w:eastAsia="Times New Roman" w:cs="Times New Roman"/>
          <w:lang w:eastAsia="de-DE"/>
        </w:rPr>
        <w:t xml:space="preserve">„für die Familien Manasses") und </w:t>
      </w:r>
      <w:r w:rsidRPr="008D68BA">
        <w:rPr>
          <w:rFonts w:eastAsia="Times New Roman" w:cs="Times New Roman"/>
          <w:b/>
          <w:bCs/>
          <w:rtl/>
          <w:lang w:eastAsia="de-DE"/>
        </w:rPr>
        <w:t>בֶן־יוֹסֵף</w:t>
      </w:r>
      <w:r w:rsidRPr="008D68BA">
        <w:rPr>
          <w:rFonts w:eastAsia="Times New Roman" w:cs="Times New Roman"/>
          <w:rtl/>
          <w:lang w:eastAsia="de-DE"/>
        </w:rPr>
        <w:t xml:space="preserve"> </w:t>
      </w:r>
      <w:r w:rsidRPr="008D68BA">
        <w:rPr>
          <w:rFonts w:eastAsia="Times New Roman" w:cs="Times New Roman"/>
          <w:lang w:eastAsia="de-DE"/>
        </w:rPr>
        <w:t>ordnen Manasse als Sohn Josefs ein. Diese detaillierte Abstammung legitimiert den Anspruch der Töchter und verweist zurück auf die Erwähnung Zelophchads in Num 26,33.</w:t>
      </w:r>
    </w:p>
    <w:p w14:paraId="3021688E" w14:textId="04008A02"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rtl/>
          <w:lang w:eastAsia="de-DE"/>
        </w:rPr>
        <w:t>וְאֵלֶּה שְׁמוֹת בְּנֹתָיו</w:t>
      </w:r>
      <w:r w:rsidRPr="008D68BA">
        <w:rPr>
          <w:rFonts w:eastAsia="Times New Roman" w:cs="Times New Roman"/>
          <w:rtl/>
          <w:lang w:eastAsia="de-DE"/>
        </w:rPr>
        <w:t xml:space="preserve"> </w:t>
      </w:r>
      <w:r w:rsidRPr="008D68BA">
        <w:rPr>
          <w:rFonts w:eastAsia="Times New Roman" w:cs="Times New Roman"/>
          <w:lang w:eastAsia="de-DE"/>
        </w:rPr>
        <w:t xml:space="preserve">leitet die Namensaufzählung ein. </w:t>
      </w:r>
      <w:r w:rsidRPr="008D68BA">
        <w:rPr>
          <w:rFonts w:eastAsia="Times New Roman" w:cs="Times New Roman"/>
          <w:b/>
          <w:bCs/>
          <w:rtl/>
          <w:lang w:eastAsia="de-DE"/>
        </w:rPr>
        <w:t>אֵלֶּה</w:t>
      </w:r>
      <w:r w:rsidRPr="008D68BA">
        <w:rPr>
          <w:rFonts w:eastAsia="Times New Roman" w:cs="Times New Roman"/>
          <w:rtl/>
          <w:lang w:eastAsia="de-DE"/>
        </w:rPr>
        <w:t xml:space="preserve"> </w:t>
      </w:r>
      <w:r w:rsidRPr="008D68BA">
        <w:rPr>
          <w:rFonts w:eastAsia="Times New Roman" w:cs="Times New Roman"/>
          <w:lang w:eastAsia="de-DE"/>
        </w:rPr>
        <w:t xml:space="preserve">(„diese") ist das Demonstrativpronomen, </w:t>
      </w:r>
      <w:r w:rsidRPr="008D68BA">
        <w:rPr>
          <w:rFonts w:eastAsia="Times New Roman" w:cs="Times New Roman"/>
          <w:b/>
          <w:bCs/>
          <w:rtl/>
          <w:lang w:eastAsia="de-DE"/>
        </w:rPr>
        <w:t>שְׁמוֹת</w:t>
      </w:r>
      <w:r w:rsidRPr="008D68BA">
        <w:rPr>
          <w:rFonts w:eastAsia="Times New Roman" w:cs="Times New Roman"/>
          <w:rtl/>
          <w:lang w:eastAsia="de-DE"/>
        </w:rPr>
        <w:t xml:space="preserve"> </w:t>
      </w:r>
      <w:r w:rsidRPr="008D68BA">
        <w:rPr>
          <w:rFonts w:eastAsia="Times New Roman" w:cs="Times New Roman"/>
          <w:lang w:eastAsia="de-DE"/>
        </w:rPr>
        <w:t xml:space="preserve">(Plural von </w:t>
      </w:r>
      <w:r w:rsidRPr="008D68BA">
        <w:rPr>
          <w:rFonts w:eastAsia="Times New Roman" w:cs="Times New Roman"/>
          <w:b/>
          <w:bCs/>
          <w:rtl/>
          <w:lang w:eastAsia="de-DE"/>
        </w:rPr>
        <w:t>שֵׁם</w:t>
      </w:r>
      <w:r w:rsidRPr="008D68BA">
        <w:rPr>
          <w:rFonts w:eastAsia="Times New Roman" w:cs="Times New Roman"/>
          <w:rtl/>
          <w:lang w:eastAsia="de-DE"/>
        </w:rPr>
        <w:t xml:space="preserve"> </w:t>
      </w:r>
      <w:r w:rsidRPr="008D68BA">
        <w:rPr>
          <w:rFonts w:eastAsia="Times New Roman" w:cs="Times New Roman"/>
          <w:lang w:eastAsia="de-DE"/>
        </w:rPr>
        <w:t xml:space="preserve">„Name"), </w:t>
      </w:r>
      <w:r w:rsidRPr="008D68BA">
        <w:rPr>
          <w:rFonts w:eastAsia="Times New Roman" w:cs="Times New Roman"/>
          <w:b/>
          <w:bCs/>
          <w:rtl/>
          <w:lang w:eastAsia="de-DE"/>
        </w:rPr>
        <w:t>בְּנֹתָיו</w:t>
      </w:r>
      <w:r w:rsidRPr="008D68BA">
        <w:rPr>
          <w:rFonts w:eastAsia="Times New Roman" w:cs="Times New Roman"/>
          <w:rtl/>
          <w:lang w:eastAsia="de-DE"/>
        </w:rPr>
        <w:t xml:space="preserve"> </w:t>
      </w:r>
      <w:r w:rsidRPr="008D68BA">
        <w:rPr>
          <w:rFonts w:eastAsia="Times New Roman" w:cs="Times New Roman"/>
          <w:lang w:eastAsia="de-DE"/>
        </w:rPr>
        <w:t xml:space="preserve">(feminine Plural </w:t>
      </w:r>
      <w:r w:rsidR="00E031B3">
        <w:rPr>
          <w:rFonts w:eastAsia="Times New Roman" w:cs="Times New Roman"/>
          <w:lang w:eastAsia="de-DE"/>
        </w:rPr>
        <w:t>Constructus von</w:t>
      </w:r>
      <w:r w:rsidRPr="008D68BA">
        <w:rPr>
          <w:rFonts w:eastAsia="Times New Roman" w:cs="Times New Roman"/>
          <w:lang w:eastAsia="de-DE"/>
        </w:rPr>
        <w:t xml:space="preserve"> </w:t>
      </w:r>
      <w:r w:rsidRPr="008D68BA">
        <w:rPr>
          <w:rFonts w:eastAsia="Times New Roman" w:cs="Times New Roman"/>
          <w:b/>
          <w:bCs/>
          <w:rtl/>
          <w:lang w:eastAsia="de-DE"/>
        </w:rPr>
        <w:t>בַּת</w:t>
      </w:r>
      <w:r w:rsidRPr="008D68BA">
        <w:rPr>
          <w:rFonts w:eastAsia="Times New Roman" w:cs="Times New Roman"/>
          <w:rtl/>
          <w:lang w:eastAsia="de-DE"/>
        </w:rPr>
        <w:t xml:space="preserve"> </w:t>
      </w:r>
      <w:r w:rsidRPr="008D68BA">
        <w:rPr>
          <w:rFonts w:eastAsia="Times New Roman" w:cs="Times New Roman"/>
          <w:lang w:eastAsia="de-DE"/>
        </w:rPr>
        <w:t xml:space="preserve">mit Suffix 3. Person maskulin Singular „seine Töchter"). </w:t>
      </w:r>
      <w:r w:rsidRPr="008D68BA">
        <w:rPr>
          <w:rFonts w:eastAsia="Times New Roman" w:cs="Times New Roman"/>
          <w:b/>
          <w:bCs/>
          <w:rtl/>
          <w:lang w:eastAsia="de-DE"/>
        </w:rPr>
        <w:t>מַחְלָה נֹעָה וְחָגְלָה וּמִלְכָּה וְתִרְצָה</w:t>
      </w:r>
      <w:r w:rsidRPr="008D68BA">
        <w:rPr>
          <w:rFonts w:eastAsia="Times New Roman" w:cs="Times New Roman"/>
          <w:rtl/>
          <w:lang w:eastAsia="de-DE"/>
        </w:rPr>
        <w:t xml:space="preserve"> </w:t>
      </w:r>
      <w:r w:rsidRPr="008D68BA">
        <w:rPr>
          <w:rFonts w:eastAsia="Times New Roman" w:cs="Times New Roman"/>
          <w:lang w:eastAsia="de-DE"/>
        </w:rPr>
        <w:t>sind die fünf Namen: Machla, Noa, Chogla, Milka und Tirza. Die Namen wurden bereits in Num 26,33 erwähnt, hier aber in leicht veränderter Reihenfolge. Die fünf Frauen werden als Gruppe handelnd dargestellt, was ihre Solidarität betont.</w:t>
      </w:r>
    </w:p>
    <w:p w14:paraId="0CB4C9E2" w14:textId="75AEA501"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Die LXX</w:t>
      </w:r>
      <w:r w:rsidRPr="008D68BA">
        <w:rPr>
          <w:rFonts w:eastAsia="Times New Roman" w:cs="Times New Roman"/>
          <w:lang w:eastAsia="de-DE"/>
        </w:rPr>
        <w:t xml:space="preserve"> </w:t>
      </w:r>
      <w:r w:rsidR="002900A1">
        <w:t>übersetzt „</w:t>
      </w:r>
      <w:r w:rsidR="002900A1" w:rsidRPr="002900A1">
        <w:rPr>
          <w:b/>
          <w:bCs/>
          <w:rtl/>
        </w:rPr>
        <w:t>חֵפֶר</w:t>
      </w:r>
      <w:r w:rsidR="002900A1">
        <w:t>" (Hepher) als „Ὅφερ" (Opher), eine Transliterationsvariante, und „</w:t>
      </w:r>
      <w:r w:rsidR="002900A1" w:rsidRPr="002900A1">
        <w:rPr>
          <w:b/>
          <w:bCs/>
          <w:rtl/>
        </w:rPr>
        <w:t>לְמִשְׁפְּחֹת מְנַשֶּׁה בֶן־יוֹסֵף</w:t>
      </w:r>
      <w:r w:rsidR="002900A1">
        <w:t>" (zu den Familien Manasses, des Sohnes Josephs) wird zu „τοῦ δήμου Μανασσὴ τῶν υἱῶν Ἰωσήφ" (vom Stamm Manasses der Söhne Josephs).</w:t>
      </w:r>
    </w:p>
    <w:p w14:paraId="0EB1A2B8"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Die Satzstruktur zeigt einen Hauptsatz (die Töchter nahten heran) mit ausführlicher genealogischer Erweiterung, gefolgt von einem Nominalsatz, der die Namen aufzählt.</w:t>
      </w:r>
    </w:p>
    <w:p w14:paraId="4FBC287C"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Der Vers eröffnet einen Präzedenzfall für Erbrecht: Fünf Frauen treten mutig vor die Autoritäten, um eine rechtliche Klärung zu erreichen. Ihre ausführliche Genealogie unterstreicht die Legitimität ihres Anliegens und ihre feste Verankerung im Stammessystem Israels.</w:t>
      </w:r>
    </w:p>
    <w:p w14:paraId="006A0D5E" w14:textId="77777777" w:rsidR="008D68BA" w:rsidRPr="008D68BA" w:rsidRDefault="008D68BA" w:rsidP="008D68BA">
      <w:pPr>
        <w:spacing w:before="100" w:beforeAutospacing="1" w:after="100" w:afterAutospacing="1" w:line="240" w:lineRule="auto"/>
        <w:outlineLvl w:val="0"/>
        <w:rPr>
          <w:rFonts w:eastAsia="Times New Roman" w:cs="Times New Roman"/>
          <w:b/>
          <w:bCs/>
          <w:kern w:val="36"/>
          <w:sz w:val="48"/>
          <w:szCs w:val="48"/>
          <w:lang w:eastAsia="de-DE"/>
        </w:rPr>
      </w:pPr>
      <w:r w:rsidRPr="008D68BA">
        <w:rPr>
          <w:rFonts w:eastAsia="Times New Roman" w:cs="Times New Roman"/>
          <w:b/>
          <w:bCs/>
          <w:kern w:val="36"/>
          <w:sz w:val="48"/>
          <w:szCs w:val="48"/>
          <w:lang w:eastAsia="de-DE"/>
        </w:rPr>
        <w:t>Numeri 27,2</w:t>
      </w:r>
    </w:p>
    <w:p w14:paraId="7F8F8D56"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lastRenderedPageBreak/>
        <w:t>Hebräisch:</w:t>
      </w:r>
      <w:r w:rsidRPr="008D68BA">
        <w:rPr>
          <w:rFonts w:eastAsia="Times New Roman" w:cs="Times New Roman"/>
          <w:lang w:eastAsia="de-DE"/>
        </w:rPr>
        <w:t xml:space="preserve"> </w:t>
      </w:r>
      <w:r w:rsidRPr="008D68BA">
        <w:rPr>
          <w:rFonts w:eastAsia="Times New Roman" w:cs="Times New Roman"/>
          <w:rtl/>
          <w:lang w:eastAsia="de-DE"/>
        </w:rPr>
        <w:t>וַֽתַּעֲמֹ֜דְנָה לִפְנֵ֣י מֹשֶׁ֗ה וְלִפְנֵי֙ אֶלְעָזָ֣ר הַכֹּהֵ֔ן וְלִפְנֵ֥י הַנְּשִׂיאִ֖ם וְכָל־הָעֵדָ֑ה פֶּ֥תַח אֹֽהֶל־מוֹעֵ֖ד לֵאמֹֽר׃</w:t>
      </w:r>
    </w:p>
    <w:p w14:paraId="412E134E"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Deutsch:</w:t>
      </w:r>
      <w:r w:rsidRPr="008D68BA">
        <w:rPr>
          <w:rFonts w:eastAsia="Times New Roman" w:cs="Times New Roman"/>
          <w:lang w:eastAsia="de-DE"/>
        </w:rPr>
        <w:t xml:space="preserve"> Und sie standen vor Mosche und vor El'asar, dem Priester, und vor den Fürsten und der ganzen Gemeinde am Eingang des Zeltes der Begegnung, sagend:</w:t>
      </w:r>
    </w:p>
    <w:p w14:paraId="1FA77154" w14:textId="77777777" w:rsidR="008D68BA" w:rsidRPr="008D68BA" w:rsidRDefault="00F329DD" w:rsidP="008D68BA">
      <w:pPr>
        <w:spacing w:after="0" w:line="240" w:lineRule="auto"/>
        <w:rPr>
          <w:rFonts w:eastAsia="Times New Roman" w:cs="Times New Roman"/>
          <w:lang w:eastAsia="de-DE"/>
        </w:rPr>
      </w:pPr>
      <w:r>
        <w:rPr>
          <w:rFonts w:eastAsia="Times New Roman" w:cs="Times New Roman"/>
          <w:noProof/>
          <w:lang w:eastAsia="de-DE"/>
        </w:rPr>
        <w:pict w14:anchorId="6FBF069E">
          <v:rect id="_x0000_i1883" style="width:0;height:1.5pt" o:hralign="center" o:hrstd="t" o:hr="t" fillcolor="#a0a0a0" stroked="f"/>
        </w:pict>
      </w:r>
    </w:p>
    <w:p w14:paraId="75B35CC2" w14:textId="5BAEE6FC"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Kommentar:</w:t>
      </w:r>
      <w:r w:rsidRPr="008D68BA">
        <w:rPr>
          <w:rFonts w:eastAsia="Times New Roman" w:cs="Times New Roman"/>
          <w:lang w:eastAsia="de-DE"/>
        </w:rPr>
        <w:t xml:space="preserve"> Der Vers beschreibt die öffentliche Präsentation des Falles. </w:t>
      </w:r>
      <w:r w:rsidRPr="008D68BA">
        <w:rPr>
          <w:rFonts w:eastAsia="Times New Roman" w:cs="Times New Roman"/>
          <w:b/>
          <w:bCs/>
          <w:rtl/>
          <w:lang w:eastAsia="de-DE"/>
        </w:rPr>
        <w:t>וַתַּעֲמֹדְנָה לִפְנֵי</w:t>
      </w:r>
      <w:r w:rsidRPr="008D68BA">
        <w:rPr>
          <w:rFonts w:eastAsia="Times New Roman" w:cs="Times New Roman"/>
          <w:rtl/>
          <w:lang w:eastAsia="de-DE"/>
        </w:rPr>
        <w:t xml:space="preserve"> </w:t>
      </w:r>
      <w:r w:rsidRPr="008D68BA">
        <w:rPr>
          <w:rFonts w:eastAsia="Times New Roman" w:cs="Times New Roman"/>
          <w:lang w:eastAsia="de-DE"/>
        </w:rPr>
        <w:t xml:space="preserve">zeigt die formelle Stellung. </w:t>
      </w:r>
      <w:r w:rsidRPr="008D68BA">
        <w:rPr>
          <w:rFonts w:eastAsia="Times New Roman" w:cs="Times New Roman"/>
          <w:b/>
          <w:bCs/>
          <w:rtl/>
          <w:lang w:eastAsia="de-DE"/>
        </w:rPr>
        <w:t>וַתַּעֲמֹדְנָה</w:t>
      </w:r>
      <w:r w:rsidRPr="008D68BA">
        <w:rPr>
          <w:rFonts w:eastAsia="Times New Roman" w:cs="Times New Roman"/>
          <w:rtl/>
          <w:lang w:eastAsia="de-DE"/>
        </w:rPr>
        <w:t xml:space="preserve"> </w:t>
      </w:r>
      <w:r w:rsidRPr="008D68BA">
        <w:rPr>
          <w:rFonts w:eastAsia="Times New Roman" w:cs="Times New Roman"/>
          <w:lang w:eastAsia="de-DE"/>
        </w:rPr>
        <w:t xml:space="preserve">ist Qal Wayyiqtol 3. Person feminin Plural von </w:t>
      </w:r>
      <w:r w:rsidRPr="008D68BA">
        <w:rPr>
          <w:rFonts w:eastAsia="Times New Roman" w:cs="Times New Roman"/>
          <w:b/>
          <w:bCs/>
          <w:rtl/>
          <w:lang w:eastAsia="de-DE"/>
        </w:rPr>
        <w:t>עמד</w:t>
      </w:r>
      <w:r w:rsidRPr="008D68BA">
        <w:rPr>
          <w:rFonts w:eastAsia="Times New Roman" w:cs="Times New Roman"/>
          <w:rtl/>
          <w:lang w:eastAsia="de-DE"/>
        </w:rPr>
        <w:t xml:space="preserve"> </w:t>
      </w:r>
      <w:r w:rsidRPr="008D68BA">
        <w:rPr>
          <w:rFonts w:eastAsia="Times New Roman" w:cs="Times New Roman"/>
          <w:lang w:eastAsia="de-DE"/>
        </w:rPr>
        <w:t xml:space="preserve">(„stehen, stehen bleiben"), mit der femininen Pluralendung </w:t>
      </w:r>
      <w:r w:rsidRPr="008D68BA">
        <w:rPr>
          <w:rFonts w:eastAsia="Times New Roman" w:cs="Times New Roman"/>
          <w:b/>
          <w:bCs/>
          <w:rtl/>
          <w:lang w:eastAsia="de-DE"/>
        </w:rPr>
        <w:t>־נָה</w:t>
      </w:r>
      <w:r w:rsidRPr="008D68BA">
        <w:rPr>
          <w:rFonts w:eastAsia="Times New Roman" w:cs="Times New Roman"/>
          <w:lang w:eastAsia="de-DE"/>
        </w:rPr>
        <w:t xml:space="preserve">. </w:t>
      </w:r>
      <w:r w:rsidRPr="008D68BA">
        <w:rPr>
          <w:rFonts w:eastAsia="Times New Roman" w:cs="Times New Roman"/>
          <w:b/>
          <w:bCs/>
          <w:rtl/>
          <w:lang w:eastAsia="de-DE"/>
        </w:rPr>
        <w:t>לִפְנֵי</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לְ</w:t>
      </w:r>
      <w:r w:rsidRPr="008D68BA">
        <w:rPr>
          <w:rFonts w:eastAsia="Times New Roman" w:cs="Times New Roman"/>
          <w:rtl/>
          <w:lang w:eastAsia="de-DE"/>
        </w:rPr>
        <w:t xml:space="preserve"> </w:t>
      </w:r>
      <w:r w:rsidRPr="008D68BA">
        <w:rPr>
          <w:rFonts w:eastAsia="Times New Roman" w:cs="Times New Roman"/>
          <w:lang w:eastAsia="de-DE"/>
        </w:rPr>
        <w:t xml:space="preserve">mit Plural </w:t>
      </w:r>
      <w:r w:rsidR="00E031B3">
        <w:rPr>
          <w:rFonts w:eastAsia="Times New Roman" w:cs="Times New Roman"/>
          <w:lang w:eastAsia="de-DE"/>
        </w:rPr>
        <w:t>Constructus von</w:t>
      </w:r>
      <w:r w:rsidRPr="008D68BA">
        <w:rPr>
          <w:rFonts w:eastAsia="Times New Roman" w:cs="Times New Roman"/>
          <w:lang w:eastAsia="de-DE"/>
        </w:rPr>
        <w:t xml:space="preserve"> </w:t>
      </w:r>
      <w:r w:rsidRPr="008D68BA">
        <w:rPr>
          <w:rFonts w:eastAsia="Times New Roman" w:cs="Times New Roman"/>
          <w:b/>
          <w:bCs/>
          <w:rtl/>
          <w:lang w:eastAsia="de-DE"/>
        </w:rPr>
        <w:t>פָּנִים</w:t>
      </w:r>
      <w:r w:rsidRPr="008D68BA">
        <w:rPr>
          <w:rFonts w:eastAsia="Times New Roman" w:cs="Times New Roman"/>
          <w:rtl/>
          <w:lang w:eastAsia="de-DE"/>
        </w:rPr>
        <w:t xml:space="preserve"> </w:t>
      </w:r>
      <w:r w:rsidRPr="008D68BA">
        <w:rPr>
          <w:rFonts w:eastAsia="Times New Roman" w:cs="Times New Roman"/>
          <w:lang w:eastAsia="de-DE"/>
        </w:rPr>
        <w:t xml:space="preserve">„Gesicht, Angesicht") bedeutet „vor, in Gegenwart von". Die Wiederholung von </w:t>
      </w:r>
      <w:r w:rsidRPr="008D68BA">
        <w:rPr>
          <w:rFonts w:eastAsia="Times New Roman" w:cs="Times New Roman"/>
          <w:b/>
          <w:bCs/>
          <w:rtl/>
          <w:lang w:eastAsia="de-DE"/>
        </w:rPr>
        <w:t>לִפְנֵי</w:t>
      </w:r>
      <w:r w:rsidRPr="008D68BA">
        <w:rPr>
          <w:rFonts w:eastAsia="Times New Roman" w:cs="Times New Roman"/>
          <w:rtl/>
          <w:lang w:eastAsia="de-DE"/>
        </w:rPr>
        <w:t xml:space="preserve"> </w:t>
      </w:r>
      <w:r w:rsidRPr="008D68BA">
        <w:rPr>
          <w:rFonts w:eastAsia="Times New Roman" w:cs="Times New Roman"/>
          <w:lang w:eastAsia="de-DE"/>
        </w:rPr>
        <w:t>vier Mal betont die Vollständigkeit und Öffentlichkeit der Verhandlung vor allen Autoritätsebenen.</w:t>
      </w:r>
    </w:p>
    <w:p w14:paraId="7CFA75FC"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 xml:space="preserve">Die vier Instanzen sind: </w:t>
      </w:r>
      <w:r w:rsidRPr="008D68BA">
        <w:rPr>
          <w:rFonts w:eastAsia="Times New Roman" w:cs="Times New Roman"/>
          <w:b/>
          <w:bCs/>
          <w:rtl/>
          <w:lang w:eastAsia="de-DE"/>
        </w:rPr>
        <w:t>מֹשֶׁה</w:t>
      </w:r>
      <w:r w:rsidRPr="008D68BA">
        <w:rPr>
          <w:rFonts w:eastAsia="Times New Roman" w:cs="Times New Roman"/>
          <w:rtl/>
          <w:lang w:eastAsia="de-DE"/>
        </w:rPr>
        <w:t xml:space="preserve"> </w:t>
      </w:r>
      <w:r w:rsidRPr="008D68BA">
        <w:rPr>
          <w:rFonts w:eastAsia="Times New Roman" w:cs="Times New Roman"/>
          <w:lang w:eastAsia="de-DE"/>
        </w:rPr>
        <w:t xml:space="preserve">(Mose, die höchste zivile Autorität), </w:t>
      </w:r>
      <w:r w:rsidRPr="008D68BA">
        <w:rPr>
          <w:rFonts w:eastAsia="Times New Roman" w:cs="Times New Roman"/>
          <w:b/>
          <w:bCs/>
          <w:rtl/>
          <w:lang w:eastAsia="de-DE"/>
        </w:rPr>
        <w:t>אֶלְעָזָר הַכֹּהֵן</w:t>
      </w:r>
      <w:r w:rsidRPr="008D68BA">
        <w:rPr>
          <w:rFonts w:eastAsia="Times New Roman" w:cs="Times New Roman"/>
          <w:rtl/>
          <w:lang w:eastAsia="de-DE"/>
        </w:rPr>
        <w:t xml:space="preserve"> </w:t>
      </w:r>
      <w:r w:rsidRPr="008D68BA">
        <w:rPr>
          <w:rFonts w:eastAsia="Times New Roman" w:cs="Times New Roman"/>
          <w:lang w:eastAsia="de-DE"/>
        </w:rPr>
        <w:t xml:space="preserve">(Eleasar der Priester, die religiöse Autorität), </w:t>
      </w:r>
      <w:r w:rsidRPr="008D68BA">
        <w:rPr>
          <w:rFonts w:eastAsia="Times New Roman" w:cs="Times New Roman"/>
          <w:b/>
          <w:bCs/>
          <w:rtl/>
          <w:lang w:eastAsia="de-DE"/>
        </w:rPr>
        <w:t>הַנְּשִׂיאִם</w:t>
      </w:r>
      <w:r w:rsidRPr="008D68BA">
        <w:rPr>
          <w:rFonts w:eastAsia="Times New Roman" w:cs="Times New Roman"/>
          <w:rtl/>
          <w:lang w:eastAsia="de-DE"/>
        </w:rPr>
        <w:t xml:space="preserve"> </w:t>
      </w:r>
      <w:r w:rsidRPr="008D68BA">
        <w:rPr>
          <w:rFonts w:eastAsia="Times New Roman" w:cs="Times New Roman"/>
          <w:lang w:eastAsia="de-DE"/>
        </w:rPr>
        <w:t xml:space="preserve">(maskuliner Plural von </w:t>
      </w:r>
      <w:r w:rsidRPr="008D68BA">
        <w:rPr>
          <w:rFonts w:eastAsia="Times New Roman" w:cs="Times New Roman"/>
          <w:b/>
          <w:bCs/>
          <w:rtl/>
          <w:lang w:eastAsia="de-DE"/>
        </w:rPr>
        <w:t>נָשִׂיא</w:t>
      </w:r>
      <w:r w:rsidRPr="008D68BA">
        <w:rPr>
          <w:rFonts w:eastAsia="Times New Roman" w:cs="Times New Roman"/>
          <w:rtl/>
          <w:lang w:eastAsia="de-DE"/>
        </w:rPr>
        <w:t xml:space="preserve"> </w:t>
      </w:r>
      <w:r w:rsidRPr="008D68BA">
        <w:rPr>
          <w:rFonts w:eastAsia="Times New Roman" w:cs="Times New Roman"/>
          <w:lang w:eastAsia="de-DE"/>
        </w:rPr>
        <w:t xml:space="preserve">„Fürst, Anführer" mit Artikel, die Stammesführer), </w:t>
      </w:r>
      <w:r w:rsidRPr="008D68BA">
        <w:rPr>
          <w:rFonts w:eastAsia="Times New Roman" w:cs="Times New Roman"/>
          <w:b/>
          <w:bCs/>
          <w:rtl/>
          <w:lang w:eastAsia="de-DE"/>
        </w:rPr>
        <w:t>וְכָל־הָעֵדָה</w:t>
      </w:r>
      <w:r w:rsidRPr="008D68BA">
        <w:rPr>
          <w:rFonts w:eastAsia="Times New Roman" w:cs="Times New Roman"/>
          <w:rtl/>
          <w:lang w:eastAsia="de-DE"/>
        </w:rPr>
        <w:t xml:space="preserve"> </w:t>
      </w:r>
      <w:r w:rsidRPr="008D68BA">
        <w:rPr>
          <w:rFonts w:eastAsia="Times New Roman" w:cs="Times New Roman"/>
          <w:lang w:eastAsia="de-DE"/>
        </w:rPr>
        <w:t>(„und die ganze Gemeinde", das Volk als Zeugen). Die Aufzählung zeigt die Bedeutung des Falles: Er betrifft nicht nur eine Familie, sondern hat Konsequenzen für ganz Israel.</w:t>
      </w:r>
    </w:p>
    <w:p w14:paraId="57F55E1E" w14:textId="6F5D6696" w:rsidR="008D68BA" w:rsidRPr="008D68BA" w:rsidRDefault="008D68BA" w:rsidP="00C0709A">
      <w:pPr>
        <w:spacing w:before="100" w:beforeAutospacing="1" w:after="100" w:afterAutospacing="1" w:line="240" w:lineRule="auto"/>
        <w:rPr>
          <w:rFonts w:eastAsia="Times New Roman" w:cs="Times New Roman"/>
          <w:lang w:eastAsia="de-DE"/>
        </w:rPr>
      </w:pPr>
      <w:r w:rsidRPr="008D68BA">
        <w:rPr>
          <w:rFonts w:eastAsia="Times New Roman" w:cs="Times New Roman"/>
          <w:b/>
          <w:bCs/>
          <w:rtl/>
          <w:lang w:eastAsia="de-DE"/>
        </w:rPr>
        <w:t>פֶּתַח אֹהֶל־מוֹעֵד</w:t>
      </w:r>
      <w:r w:rsidRPr="008D68BA">
        <w:rPr>
          <w:rFonts w:eastAsia="Times New Roman" w:cs="Times New Roman"/>
          <w:rtl/>
          <w:lang w:eastAsia="de-DE"/>
        </w:rPr>
        <w:t xml:space="preserve"> </w:t>
      </w:r>
      <w:r w:rsidRPr="008D68BA">
        <w:rPr>
          <w:rFonts w:eastAsia="Times New Roman" w:cs="Times New Roman"/>
          <w:lang w:eastAsia="de-DE"/>
        </w:rPr>
        <w:t xml:space="preserve">gibt den Ort an: </w:t>
      </w:r>
      <w:r w:rsidRPr="008D68BA">
        <w:rPr>
          <w:rFonts w:eastAsia="Times New Roman" w:cs="Times New Roman"/>
          <w:b/>
          <w:bCs/>
          <w:rtl/>
          <w:lang w:eastAsia="de-DE"/>
        </w:rPr>
        <w:t>פֶּתַח</w:t>
      </w:r>
      <w:r w:rsidRPr="008D68BA">
        <w:rPr>
          <w:rFonts w:eastAsia="Times New Roman" w:cs="Times New Roman"/>
          <w:rtl/>
          <w:lang w:eastAsia="de-DE"/>
        </w:rPr>
        <w:t xml:space="preserve"> </w:t>
      </w:r>
      <w:r w:rsidRPr="008D68BA">
        <w:rPr>
          <w:rFonts w:eastAsia="Times New Roman" w:cs="Times New Roman"/>
          <w:lang w:eastAsia="de-DE"/>
        </w:rPr>
        <w:t xml:space="preserve">(„Eingang, Öffnung"), </w:t>
      </w:r>
      <w:r w:rsidRPr="008D68BA">
        <w:rPr>
          <w:rFonts w:eastAsia="Times New Roman" w:cs="Times New Roman"/>
          <w:b/>
          <w:bCs/>
          <w:rtl/>
          <w:lang w:eastAsia="de-DE"/>
        </w:rPr>
        <w:t>אֹהֶל־מוֹעֵד</w:t>
      </w:r>
      <w:r w:rsidRPr="008D68BA">
        <w:rPr>
          <w:rFonts w:eastAsia="Times New Roman" w:cs="Times New Roman"/>
          <w:rtl/>
          <w:lang w:eastAsia="de-DE"/>
        </w:rPr>
        <w:t xml:space="preserve"> </w:t>
      </w:r>
      <w:r w:rsidRPr="008D68BA">
        <w:rPr>
          <w:rFonts w:eastAsia="Times New Roman" w:cs="Times New Roman"/>
          <w:lang w:eastAsia="de-DE"/>
        </w:rPr>
        <w:t xml:space="preserve">(„Zelt der Begegnung") im Genitiv. Der Eingang des Zeltes ist der offizielle Ort für rechtliche Verhandlungen und göttliche Offenbarung. </w:t>
      </w:r>
      <w:r w:rsidRPr="008D68BA">
        <w:rPr>
          <w:rFonts w:eastAsia="Times New Roman" w:cs="Times New Roman"/>
          <w:b/>
          <w:bCs/>
          <w:rtl/>
          <w:lang w:eastAsia="de-DE"/>
        </w:rPr>
        <w:t>לֵאמֹר</w:t>
      </w:r>
      <w:r w:rsidRPr="008D68BA">
        <w:rPr>
          <w:rFonts w:eastAsia="Times New Roman" w:cs="Times New Roman"/>
          <w:rtl/>
          <w:lang w:eastAsia="de-DE"/>
        </w:rPr>
        <w:t xml:space="preserve"> </w:t>
      </w:r>
      <w:r w:rsidRPr="008D68BA">
        <w:rPr>
          <w:rFonts w:eastAsia="Times New Roman" w:cs="Times New Roman"/>
          <w:lang w:eastAsia="de-DE"/>
        </w:rPr>
        <w:t>leitet die direkte Rede ein.</w:t>
      </w:r>
    </w:p>
    <w:p w14:paraId="7B28973C"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Die Satzstruktur zeigt einen Hauptsatz mit vierfacher Wiederholung der präpositionalen Phrase vor verschiedenen Autoritäten, gefolgt von der Ortsangabe und der Redeeinleitung.</w:t>
      </w:r>
    </w:p>
    <w:p w14:paraId="5F3EE00A"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Der Vers unterstreicht die Öffentlichkeit und Legitimität des Verfahrens: Die Frauen agieren nicht heimlich, sondern treten vor alle Instanzen der israelitischen Gesellschaft. Dies zeigt ihren Mut und die grundsätzliche Bedeutung ihrer Anfrage für das gesamte Rechtssystem.</w:t>
      </w:r>
    </w:p>
    <w:p w14:paraId="0A25DA98" w14:textId="77777777" w:rsidR="008D68BA" w:rsidRPr="008D68BA" w:rsidRDefault="008D68BA" w:rsidP="008D68BA">
      <w:pPr>
        <w:spacing w:before="100" w:beforeAutospacing="1" w:after="100" w:afterAutospacing="1" w:line="240" w:lineRule="auto"/>
        <w:outlineLvl w:val="0"/>
        <w:rPr>
          <w:rFonts w:eastAsia="Times New Roman" w:cs="Times New Roman"/>
          <w:b/>
          <w:bCs/>
          <w:kern w:val="36"/>
          <w:sz w:val="48"/>
          <w:szCs w:val="48"/>
          <w:lang w:eastAsia="de-DE"/>
        </w:rPr>
      </w:pPr>
      <w:r w:rsidRPr="008D68BA">
        <w:rPr>
          <w:rFonts w:eastAsia="Times New Roman" w:cs="Times New Roman"/>
          <w:b/>
          <w:bCs/>
          <w:kern w:val="36"/>
          <w:sz w:val="48"/>
          <w:szCs w:val="48"/>
          <w:lang w:eastAsia="de-DE"/>
        </w:rPr>
        <w:t>Numeri 27,3</w:t>
      </w:r>
    </w:p>
    <w:p w14:paraId="693FAF77"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Hebräisch:</w:t>
      </w:r>
      <w:r w:rsidRPr="008D68BA">
        <w:rPr>
          <w:rFonts w:eastAsia="Times New Roman" w:cs="Times New Roman"/>
          <w:lang w:eastAsia="de-DE"/>
        </w:rPr>
        <w:t xml:space="preserve"> </w:t>
      </w:r>
      <w:r w:rsidRPr="008D68BA">
        <w:rPr>
          <w:rFonts w:eastAsia="Times New Roman" w:cs="Times New Roman"/>
          <w:rtl/>
          <w:lang w:eastAsia="de-DE"/>
        </w:rPr>
        <w:t>אָבִינוּ֮ מֵ֣ת בַּמִּדְבָּר֒ וְה֨וּא לֹא־הָיָ֜ה בְּת֣וֹךְ הָעֵדָ֗ה הַנּוֹעָדִ֛ים עַל־יְהוָ֖ה בַּעֲדַת־קֹ֑רַח כִּֽי־בְחֶטְאֹ֣ו מֵ֔ת וּבָנִ֖ים לֹא־הָ֥יוּ לוֹֽ׃</w:t>
      </w:r>
    </w:p>
    <w:p w14:paraId="4B3B558D"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Deutsch:</w:t>
      </w:r>
      <w:r w:rsidRPr="008D68BA">
        <w:rPr>
          <w:rFonts w:eastAsia="Times New Roman" w:cs="Times New Roman"/>
          <w:lang w:eastAsia="de-DE"/>
        </w:rPr>
        <w:t xml:space="preserve"> „Unser Vater ist in der Wüste gestorben; er war aber nicht inmitten der Gemeinde, die sich in der Gemeinde Korachs gegen den Ewigen zusammenrotteten, sondern er ist durch seine eigene Sünde gestorben, und er hatte keine Söhne.</w:t>
      </w:r>
    </w:p>
    <w:p w14:paraId="3E4DDC96" w14:textId="77777777" w:rsidR="008D68BA" w:rsidRPr="008D68BA" w:rsidRDefault="00F329DD" w:rsidP="008D68BA">
      <w:pPr>
        <w:spacing w:after="0" w:line="240" w:lineRule="auto"/>
        <w:rPr>
          <w:rFonts w:eastAsia="Times New Roman" w:cs="Times New Roman"/>
          <w:lang w:eastAsia="de-DE"/>
        </w:rPr>
      </w:pPr>
      <w:r>
        <w:rPr>
          <w:rFonts w:eastAsia="Times New Roman" w:cs="Times New Roman"/>
          <w:noProof/>
          <w:lang w:eastAsia="de-DE"/>
        </w:rPr>
        <w:pict w14:anchorId="0E6DD084">
          <v:rect id="_x0000_i1884" style="width:0;height:1.5pt" o:hralign="center" o:hrstd="t" o:hr="t" fillcolor="#a0a0a0" stroked="f"/>
        </w:pict>
      </w:r>
    </w:p>
    <w:p w14:paraId="4C144294"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Kommentar:</w:t>
      </w:r>
      <w:r w:rsidRPr="008D68BA">
        <w:rPr>
          <w:rFonts w:eastAsia="Times New Roman" w:cs="Times New Roman"/>
          <w:lang w:eastAsia="de-DE"/>
        </w:rPr>
        <w:t xml:space="preserve"> Der Vers beginnt die Argumentation mit drei Punkten. </w:t>
      </w:r>
      <w:r w:rsidRPr="008D68BA">
        <w:rPr>
          <w:rFonts w:eastAsia="Times New Roman" w:cs="Times New Roman"/>
          <w:b/>
          <w:bCs/>
          <w:rtl/>
          <w:lang w:eastAsia="de-DE"/>
        </w:rPr>
        <w:t>אָבִינוּ מֵת בַּמִּדְבָּר</w:t>
      </w:r>
      <w:r w:rsidRPr="008D68BA">
        <w:rPr>
          <w:rFonts w:eastAsia="Times New Roman" w:cs="Times New Roman"/>
          <w:rtl/>
          <w:lang w:eastAsia="de-DE"/>
        </w:rPr>
        <w:t xml:space="preserve"> </w:t>
      </w:r>
      <w:r w:rsidRPr="008D68BA">
        <w:rPr>
          <w:rFonts w:eastAsia="Times New Roman" w:cs="Times New Roman"/>
          <w:lang w:eastAsia="de-DE"/>
        </w:rPr>
        <w:t xml:space="preserve">stellt den Grundsachverhalt fest. </w:t>
      </w:r>
      <w:r w:rsidRPr="008D68BA">
        <w:rPr>
          <w:rFonts w:eastAsia="Times New Roman" w:cs="Times New Roman"/>
          <w:b/>
          <w:bCs/>
          <w:rtl/>
          <w:lang w:eastAsia="de-DE"/>
        </w:rPr>
        <w:t>אָבִינוּ</w:t>
      </w:r>
      <w:r w:rsidRPr="008D68BA">
        <w:rPr>
          <w:rFonts w:eastAsia="Times New Roman" w:cs="Times New Roman"/>
          <w:rtl/>
          <w:lang w:eastAsia="de-DE"/>
        </w:rPr>
        <w:t xml:space="preserve"> </w:t>
      </w:r>
      <w:r w:rsidRPr="008D68BA">
        <w:rPr>
          <w:rFonts w:eastAsia="Times New Roman" w:cs="Times New Roman"/>
          <w:lang w:eastAsia="de-DE"/>
        </w:rPr>
        <w:t xml:space="preserve">(„unser Vater") mit Suffix 1. Person Plural schafft emotionale Nähe, </w:t>
      </w:r>
      <w:r w:rsidRPr="008D68BA">
        <w:rPr>
          <w:rFonts w:eastAsia="Times New Roman" w:cs="Times New Roman"/>
          <w:b/>
          <w:bCs/>
          <w:rtl/>
          <w:lang w:eastAsia="de-DE"/>
        </w:rPr>
        <w:t>מֵת</w:t>
      </w:r>
      <w:r w:rsidRPr="008D68BA">
        <w:rPr>
          <w:rFonts w:eastAsia="Times New Roman" w:cs="Times New Roman"/>
          <w:rtl/>
          <w:lang w:eastAsia="de-DE"/>
        </w:rPr>
        <w:t xml:space="preserve"> </w:t>
      </w:r>
      <w:r w:rsidRPr="008D68BA">
        <w:rPr>
          <w:rFonts w:eastAsia="Times New Roman" w:cs="Times New Roman"/>
          <w:lang w:eastAsia="de-DE"/>
        </w:rPr>
        <w:t xml:space="preserve">ist Qal Perfekt 3. Person maskulin Singular von </w:t>
      </w:r>
      <w:r w:rsidRPr="008D68BA">
        <w:rPr>
          <w:rFonts w:eastAsia="Times New Roman" w:cs="Times New Roman"/>
          <w:b/>
          <w:bCs/>
          <w:rtl/>
          <w:lang w:eastAsia="de-DE"/>
        </w:rPr>
        <w:t>מות</w:t>
      </w:r>
      <w:r w:rsidRPr="008D68BA">
        <w:rPr>
          <w:rFonts w:eastAsia="Times New Roman" w:cs="Times New Roman"/>
          <w:rtl/>
          <w:lang w:eastAsia="de-DE"/>
        </w:rPr>
        <w:t xml:space="preserve"> </w:t>
      </w:r>
      <w:r w:rsidRPr="008D68BA">
        <w:rPr>
          <w:rFonts w:eastAsia="Times New Roman" w:cs="Times New Roman"/>
          <w:lang w:eastAsia="de-DE"/>
        </w:rPr>
        <w:t xml:space="preserve">(„sterben"), </w:t>
      </w:r>
      <w:r w:rsidRPr="008D68BA">
        <w:rPr>
          <w:rFonts w:eastAsia="Times New Roman" w:cs="Times New Roman"/>
          <w:b/>
          <w:bCs/>
          <w:rtl/>
          <w:lang w:eastAsia="de-DE"/>
        </w:rPr>
        <w:t>בַּמִּדְבָּר</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בְּ</w:t>
      </w:r>
      <w:r w:rsidRPr="008D68BA">
        <w:rPr>
          <w:rFonts w:eastAsia="Times New Roman" w:cs="Times New Roman"/>
          <w:rtl/>
          <w:lang w:eastAsia="de-DE"/>
        </w:rPr>
        <w:t xml:space="preserve"> </w:t>
      </w:r>
      <w:r w:rsidRPr="008D68BA">
        <w:rPr>
          <w:rFonts w:eastAsia="Times New Roman" w:cs="Times New Roman"/>
          <w:lang w:eastAsia="de-DE"/>
        </w:rPr>
        <w:t xml:space="preserve">mit </w:t>
      </w:r>
      <w:r w:rsidRPr="008D68BA">
        <w:rPr>
          <w:rFonts w:eastAsia="Times New Roman" w:cs="Times New Roman"/>
          <w:b/>
          <w:bCs/>
          <w:rtl/>
          <w:lang w:eastAsia="de-DE"/>
        </w:rPr>
        <w:t>מִדְבָּר</w:t>
      </w:r>
      <w:r w:rsidRPr="008D68BA">
        <w:rPr>
          <w:rFonts w:eastAsia="Times New Roman" w:cs="Times New Roman"/>
          <w:rtl/>
          <w:lang w:eastAsia="de-DE"/>
        </w:rPr>
        <w:t xml:space="preserve"> </w:t>
      </w:r>
      <w:r w:rsidRPr="008D68BA">
        <w:rPr>
          <w:rFonts w:eastAsia="Times New Roman" w:cs="Times New Roman"/>
          <w:lang w:eastAsia="de-DE"/>
        </w:rPr>
        <w:t>„Wüste" und Artikel) gibt den Ort an. Der Vater gehört zur Generation, die in der Wüste sterben musste (Num 14,29-35; 26,64-65).</w:t>
      </w:r>
    </w:p>
    <w:p w14:paraId="404B0AAC" w14:textId="10D775B4"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rtl/>
          <w:lang w:eastAsia="de-DE"/>
        </w:rPr>
        <w:lastRenderedPageBreak/>
        <w:t>וְהוּא לֹא־הָיָה בְּתוֹךְ הָעֵדָה הַנּוֹעָדִים עַל־יהוה בַּעֲדַת־קֹרַח</w:t>
      </w:r>
      <w:r w:rsidRPr="008D68BA">
        <w:rPr>
          <w:rFonts w:eastAsia="Times New Roman" w:cs="Times New Roman"/>
          <w:rtl/>
          <w:lang w:eastAsia="de-DE"/>
        </w:rPr>
        <w:t xml:space="preserve"> </w:t>
      </w:r>
      <w:r w:rsidRPr="008D68BA">
        <w:rPr>
          <w:rFonts w:eastAsia="Times New Roman" w:cs="Times New Roman"/>
          <w:lang w:eastAsia="de-DE"/>
        </w:rPr>
        <w:t xml:space="preserve">ist die erste Verteidigungsaussage. </w:t>
      </w:r>
      <w:r w:rsidRPr="008D68BA">
        <w:rPr>
          <w:rFonts w:eastAsia="Times New Roman" w:cs="Times New Roman"/>
          <w:b/>
          <w:bCs/>
          <w:rtl/>
          <w:lang w:eastAsia="de-DE"/>
        </w:rPr>
        <w:t>וְהוּא</w:t>
      </w:r>
      <w:r w:rsidRPr="008D68BA">
        <w:rPr>
          <w:rFonts w:eastAsia="Times New Roman" w:cs="Times New Roman"/>
          <w:rtl/>
          <w:lang w:eastAsia="de-DE"/>
        </w:rPr>
        <w:t xml:space="preserve"> </w:t>
      </w:r>
      <w:r w:rsidRPr="008D68BA">
        <w:rPr>
          <w:rFonts w:eastAsia="Times New Roman" w:cs="Times New Roman"/>
          <w:lang w:eastAsia="de-DE"/>
        </w:rPr>
        <w:t xml:space="preserve">(emphatisches Personalpronomen „aber er"), </w:t>
      </w:r>
      <w:r w:rsidRPr="008D68BA">
        <w:rPr>
          <w:rFonts w:eastAsia="Times New Roman" w:cs="Times New Roman"/>
          <w:b/>
          <w:bCs/>
          <w:rtl/>
          <w:lang w:eastAsia="de-DE"/>
        </w:rPr>
        <w:t>לֹא־הָיָה</w:t>
      </w:r>
      <w:r w:rsidRPr="008D68BA">
        <w:rPr>
          <w:rFonts w:eastAsia="Times New Roman" w:cs="Times New Roman"/>
          <w:rtl/>
          <w:lang w:eastAsia="de-DE"/>
        </w:rPr>
        <w:t xml:space="preserve"> </w:t>
      </w:r>
      <w:r w:rsidRPr="008D68BA">
        <w:rPr>
          <w:rFonts w:eastAsia="Times New Roman" w:cs="Times New Roman"/>
          <w:lang w:eastAsia="de-DE"/>
        </w:rPr>
        <w:t xml:space="preserve">(Negation mit Qal Perfekt von </w:t>
      </w:r>
      <w:r w:rsidRPr="008D68BA">
        <w:rPr>
          <w:rFonts w:eastAsia="Times New Roman" w:cs="Times New Roman"/>
          <w:b/>
          <w:bCs/>
          <w:rtl/>
          <w:lang w:eastAsia="de-DE"/>
        </w:rPr>
        <w:t>היה</w:t>
      </w:r>
      <w:r w:rsidRPr="008D68BA">
        <w:rPr>
          <w:rFonts w:eastAsia="Times New Roman" w:cs="Times New Roman"/>
          <w:rtl/>
          <w:lang w:eastAsia="de-DE"/>
        </w:rPr>
        <w:t xml:space="preserve"> </w:t>
      </w:r>
      <w:r w:rsidRPr="008D68BA">
        <w:rPr>
          <w:rFonts w:eastAsia="Times New Roman" w:cs="Times New Roman"/>
          <w:lang w:eastAsia="de-DE"/>
        </w:rPr>
        <w:t xml:space="preserve">„er war nicht"), </w:t>
      </w:r>
      <w:r w:rsidRPr="008D68BA">
        <w:rPr>
          <w:rFonts w:eastAsia="Times New Roman" w:cs="Times New Roman"/>
          <w:b/>
          <w:bCs/>
          <w:rtl/>
          <w:lang w:eastAsia="de-DE"/>
        </w:rPr>
        <w:t>בְּתוֹךְ</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בְּ</w:t>
      </w:r>
      <w:r w:rsidRPr="008D68BA">
        <w:rPr>
          <w:rFonts w:eastAsia="Times New Roman" w:cs="Times New Roman"/>
          <w:rtl/>
          <w:lang w:eastAsia="de-DE"/>
        </w:rPr>
        <w:t xml:space="preserve"> </w:t>
      </w:r>
      <w:r w:rsidRPr="008D68BA">
        <w:rPr>
          <w:rFonts w:eastAsia="Times New Roman" w:cs="Times New Roman"/>
          <w:lang w:eastAsia="de-DE"/>
        </w:rPr>
        <w:t xml:space="preserve">mit </w:t>
      </w:r>
      <w:r w:rsidRPr="008D68BA">
        <w:rPr>
          <w:rFonts w:eastAsia="Times New Roman" w:cs="Times New Roman"/>
          <w:b/>
          <w:bCs/>
          <w:rtl/>
          <w:lang w:eastAsia="de-DE"/>
        </w:rPr>
        <w:t>תּוֹךְ</w:t>
      </w:r>
      <w:r w:rsidRPr="008D68BA">
        <w:rPr>
          <w:rFonts w:eastAsia="Times New Roman" w:cs="Times New Roman"/>
          <w:rtl/>
          <w:lang w:eastAsia="de-DE"/>
        </w:rPr>
        <w:t xml:space="preserve"> </w:t>
      </w:r>
      <w:r w:rsidRPr="008D68BA">
        <w:rPr>
          <w:rFonts w:eastAsia="Times New Roman" w:cs="Times New Roman"/>
          <w:lang w:eastAsia="de-DE"/>
        </w:rPr>
        <w:t xml:space="preserve">„Mitte, Inneres"), </w:t>
      </w:r>
      <w:r w:rsidRPr="008D68BA">
        <w:rPr>
          <w:rFonts w:eastAsia="Times New Roman" w:cs="Times New Roman"/>
          <w:b/>
          <w:bCs/>
          <w:rtl/>
          <w:lang w:eastAsia="de-DE"/>
        </w:rPr>
        <w:t>הָעֵדָה</w:t>
      </w:r>
      <w:r w:rsidRPr="008D68BA">
        <w:rPr>
          <w:rFonts w:eastAsia="Times New Roman" w:cs="Times New Roman"/>
          <w:rtl/>
          <w:lang w:eastAsia="de-DE"/>
        </w:rPr>
        <w:t xml:space="preserve"> </w:t>
      </w:r>
      <w:r w:rsidRPr="008D68BA">
        <w:rPr>
          <w:rFonts w:eastAsia="Times New Roman" w:cs="Times New Roman"/>
          <w:lang w:eastAsia="de-DE"/>
        </w:rPr>
        <w:t xml:space="preserve">(„die Gemeinde") mit Artikel. </w:t>
      </w:r>
      <w:r w:rsidRPr="008D68BA">
        <w:rPr>
          <w:rFonts w:eastAsia="Times New Roman" w:cs="Times New Roman"/>
          <w:b/>
          <w:bCs/>
          <w:rtl/>
          <w:lang w:eastAsia="de-DE"/>
        </w:rPr>
        <w:t>הַנּוֹעָדִים</w:t>
      </w:r>
      <w:r w:rsidRPr="008D68BA">
        <w:rPr>
          <w:rFonts w:eastAsia="Times New Roman" w:cs="Times New Roman"/>
          <w:rtl/>
          <w:lang w:eastAsia="de-DE"/>
        </w:rPr>
        <w:t xml:space="preserve"> </w:t>
      </w:r>
      <w:r w:rsidRPr="008D68BA">
        <w:rPr>
          <w:rFonts w:eastAsia="Times New Roman" w:cs="Times New Roman"/>
          <w:lang w:eastAsia="de-DE"/>
        </w:rPr>
        <w:t xml:space="preserve">ist Niphal-Partizip maskulin Plural von </w:t>
      </w:r>
      <w:r w:rsidRPr="008D68BA">
        <w:rPr>
          <w:rFonts w:eastAsia="Times New Roman" w:cs="Times New Roman"/>
          <w:b/>
          <w:bCs/>
          <w:rtl/>
          <w:lang w:eastAsia="de-DE"/>
        </w:rPr>
        <w:t>יעד</w:t>
      </w:r>
      <w:r w:rsidRPr="008D68BA">
        <w:rPr>
          <w:rFonts w:eastAsia="Times New Roman" w:cs="Times New Roman"/>
          <w:rtl/>
          <w:lang w:eastAsia="de-DE"/>
        </w:rPr>
        <w:t xml:space="preserve"> </w:t>
      </w:r>
      <w:r w:rsidRPr="008D68BA">
        <w:rPr>
          <w:rFonts w:eastAsia="Times New Roman" w:cs="Times New Roman"/>
          <w:lang w:eastAsia="de-DE"/>
        </w:rPr>
        <w:t xml:space="preserve">(„sich versammeln, sich zusammenrotten") mit Artikel, das eine rebellische Versammlung bezeichnet. </w:t>
      </w:r>
      <w:r w:rsidRPr="008D68BA">
        <w:rPr>
          <w:rFonts w:eastAsia="Times New Roman" w:cs="Times New Roman"/>
          <w:b/>
          <w:bCs/>
          <w:rtl/>
          <w:lang w:eastAsia="de-DE"/>
        </w:rPr>
        <w:t>עַל־יהוה</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עַל</w:t>
      </w:r>
      <w:r w:rsidRPr="008D68BA">
        <w:rPr>
          <w:rFonts w:eastAsia="Times New Roman" w:cs="Times New Roman"/>
          <w:rtl/>
          <w:lang w:eastAsia="de-DE"/>
        </w:rPr>
        <w:t xml:space="preserve"> </w:t>
      </w:r>
      <w:r w:rsidRPr="008D68BA">
        <w:rPr>
          <w:rFonts w:eastAsia="Times New Roman" w:cs="Times New Roman"/>
          <w:lang w:eastAsia="de-DE"/>
        </w:rPr>
        <w:t xml:space="preserve">„gegen" mit dem Tetragramm) zeigt die Richtung der Rebellion. </w:t>
      </w:r>
      <w:r w:rsidRPr="008D68BA">
        <w:rPr>
          <w:rFonts w:eastAsia="Times New Roman" w:cs="Times New Roman"/>
          <w:b/>
          <w:bCs/>
          <w:rtl/>
          <w:lang w:eastAsia="de-DE"/>
        </w:rPr>
        <w:t>בַּעֲדַת־קֹרַח</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בְ</w:t>
      </w:r>
      <w:r w:rsidRPr="008D68BA">
        <w:rPr>
          <w:rFonts w:eastAsia="Times New Roman" w:cs="Times New Roman"/>
          <w:rtl/>
          <w:lang w:eastAsia="de-DE"/>
        </w:rPr>
        <w:t xml:space="preserve"> </w:t>
      </w:r>
      <w:r w:rsidRPr="008D68BA">
        <w:rPr>
          <w:rFonts w:eastAsia="Times New Roman" w:cs="Times New Roman"/>
          <w:lang w:eastAsia="de-DE"/>
        </w:rPr>
        <w:t xml:space="preserve">mit </w:t>
      </w:r>
      <w:r w:rsidRPr="008D68BA">
        <w:rPr>
          <w:rFonts w:eastAsia="Times New Roman" w:cs="Times New Roman"/>
          <w:b/>
          <w:bCs/>
          <w:rtl/>
          <w:lang w:eastAsia="de-DE"/>
        </w:rPr>
        <w:t>עֲדַת</w:t>
      </w:r>
      <w:r w:rsidRPr="008D68BA">
        <w:rPr>
          <w:rFonts w:eastAsia="Times New Roman" w:cs="Times New Roman"/>
          <w:rtl/>
          <w:lang w:eastAsia="de-DE"/>
        </w:rPr>
        <w:t xml:space="preserve"> </w:t>
      </w:r>
      <w:r w:rsidRPr="008D68BA">
        <w:rPr>
          <w:rFonts w:eastAsia="Times New Roman" w:cs="Times New Roman"/>
          <w:lang w:eastAsia="de-DE"/>
        </w:rPr>
        <w:t xml:space="preserve">„Rotte, Gruppe" im </w:t>
      </w:r>
      <w:r w:rsidR="00E031B3">
        <w:rPr>
          <w:rFonts w:eastAsia="Times New Roman" w:cs="Times New Roman"/>
          <w:lang w:eastAsia="de-DE"/>
        </w:rPr>
        <w:t>Constructus und</w:t>
      </w:r>
      <w:r w:rsidRPr="008D68BA">
        <w:rPr>
          <w:rFonts w:eastAsia="Times New Roman" w:cs="Times New Roman"/>
          <w:lang w:eastAsia="de-DE"/>
        </w:rPr>
        <w:t xml:space="preserve"> </w:t>
      </w:r>
      <w:r w:rsidRPr="008D68BA">
        <w:rPr>
          <w:rFonts w:eastAsia="Times New Roman" w:cs="Times New Roman"/>
          <w:b/>
          <w:bCs/>
          <w:rtl/>
          <w:lang w:eastAsia="de-DE"/>
        </w:rPr>
        <w:t>קֹרַח</w:t>
      </w:r>
      <w:r w:rsidRPr="008D68BA">
        <w:rPr>
          <w:rFonts w:eastAsia="Times New Roman" w:cs="Times New Roman"/>
          <w:rtl/>
          <w:lang w:eastAsia="de-DE"/>
        </w:rPr>
        <w:t xml:space="preserve"> </w:t>
      </w:r>
      <w:r w:rsidRPr="008D68BA">
        <w:rPr>
          <w:rFonts w:eastAsia="Times New Roman" w:cs="Times New Roman"/>
          <w:lang w:eastAsia="de-DE"/>
        </w:rPr>
        <w:t>„Korach") identifiziert die spezifische Rebellion aus Num 16. Die Töchter distanzieren ihren Vater explizit von der schwersten kollektiven Sünde.</w:t>
      </w:r>
    </w:p>
    <w:p w14:paraId="19E53956"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rtl/>
          <w:lang w:eastAsia="de-DE"/>
        </w:rPr>
        <w:t>כִּי־בְחֶטְאֹו מֵת</w:t>
      </w:r>
      <w:r w:rsidRPr="008D68BA">
        <w:rPr>
          <w:rFonts w:eastAsia="Times New Roman" w:cs="Times New Roman"/>
          <w:rtl/>
          <w:lang w:eastAsia="de-DE"/>
        </w:rPr>
        <w:t xml:space="preserve"> </w:t>
      </w:r>
      <w:r w:rsidRPr="008D68BA">
        <w:rPr>
          <w:rFonts w:eastAsia="Times New Roman" w:cs="Times New Roman"/>
          <w:lang w:eastAsia="de-DE"/>
        </w:rPr>
        <w:t xml:space="preserve">ist die zweite Verteidigungsaussage. </w:t>
      </w:r>
      <w:r w:rsidRPr="008D68BA">
        <w:rPr>
          <w:rFonts w:eastAsia="Times New Roman" w:cs="Times New Roman"/>
          <w:b/>
          <w:bCs/>
          <w:rtl/>
          <w:lang w:eastAsia="de-DE"/>
        </w:rPr>
        <w:t>כִּי</w:t>
      </w:r>
      <w:r w:rsidRPr="008D68BA">
        <w:rPr>
          <w:rFonts w:eastAsia="Times New Roman" w:cs="Times New Roman"/>
          <w:rtl/>
          <w:lang w:eastAsia="de-DE"/>
        </w:rPr>
        <w:t xml:space="preserve"> </w:t>
      </w:r>
      <w:r w:rsidRPr="008D68BA">
        <w:rPr>
          <w:rFonts w:eastAsia="Times New Roman" w:cs="Times New Roman"/>
          <w:lang w:eastAsia="de-DE"/>
        </w:rPr>
        <w:t xml:space="preserve">(„sondern, vielmehr") ist adversativ, </w:t>
      </w:r>
      <w:r w:rsidRPr="008D68BA">
        <w:rPr>
          <w:rFonts w:eastAsia="Times New Roman" w:cs="Times New Roman"/>
          <w:b/>
          <w:bCs/>
          <w:rtl/>
          <w:lang w:eastAsia="de-DE"/>
        </w:rPr>
        <w:t>בְחֶטְאֹו</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בְ</w:t>
      </w:r>
      <w:r w:rsidRPr="008D68BA">
        <w:rPr>
          <w:rFonts w:eastAsia="Times New Roman" w:cs="Times New Roman"/>
          <w:rtl/>
          <w:lang w:eastAsia="de-DE"/>
        </w:rPr>
        <w:t xml:space="preserve"> </w:t>
      </w:r>
      <w:r w:rsidRPr="008D68BA">
        <w:rPr>
          <w:rFonts w:eastAsia="Times New Roman" w:cs="Times New Roman"/>
          <w:lang w:eastAsia="de-DE"/>
        </w:rPr>
        <w:t xml:space="preserve">mit maskulinem Singular von </w:t>
      </w:r>
      <w:r w:rsidRPr="008D68BA">
        <w:rPr>
          <w:rFonts w:eastAsia="Times New Roman" w:cs="Times New Roman"/>
          <w:b/>
          <w:bCs/>
          <w:rtl/>
          <w:lang w:eastAsia="de-DE"/>
        </w:rPr>
        <w:t>חֵטְא</w:t>
      </w:r>
      <w:r w:rsidRPr="008D68BA">
        <w:rPr>
          <w:rFonts w:eastAsia="Times New Roman" w:cs="Times New Roman"/>
          <w:rtl/>
          <w:lang w:eastAsia="de-DE"/>
        </w:rPr>
        <w:t xml:space="preserve"> </w:t>
      </w:r>
      <w:r w:rsidRPr="008D68BA">
        <w:rPr>
          <w:rFonts w:eastAsia="Times New Roman" w:cs="Times New Roman"/>
          <w:lang w:eastAsia="de-DE"/>
        </w:rPr>
        <w:t xml:space="preserve">„Sünde" und Suffix 3. Person maskulin Singular „durch seine Sünde"), </w:t>
      </w:r>
      <w:r w:rsidRPr="008D68BA">
        <w:rPr>
          <w:rFonts w:eastAsia="Times New Roman" w:cs="Times New Roman"/>
          <w:b/>
          <w:bCs/>
          <w:rtl/>
          <w:lang w:eastAsia="de-DE"/>
        </w:rPr>
        <w:t>מֵת</w:t>
      </w:r>
      <w:r w:rsidRPr="008D68BA">
        <w:rPr>
          <w:rFonts w:eastAsia="Times New Roman" w:cs="Times New Roman"/>
          <w:rtl/>
          <w:lang w:eastAsia="de-DE"/>
        </w:rPr>
        <w:t xml:space="preserve"> </w:t>
      </w:r>
      <w:r w:rsidRPr="008D68BA">
        <w:rPr>
          <w:rFonts w:eastAsia="Times New Roman" w:cs="Times New Roman"/>
          <w:lang w:eastAsia="de-DE"/>
        </w:rPr>
        <w:t xml:space="preserve">(Qal Perfekt von </w:t>
      </w:r>
      <w:r w:rsidRPr="008D68BA">
        <w:rPr>
          <w:rFonts w:eastAsia="Times New Roman" w:cs="Times New Roman"/>
          <w:b/>
          <w:bCs/>
          <w:rtl/>
          <w:lang w:eastAsia="de-DE"/>
        </w:rPr>
        <w:t>מות</w:t>
      </w:r>
      <w:r w:rsidRPr="008D68BA">
        <w:rPr>
          <w:rFonts w:eastAsia="Times New Roman" w:cs="Times New Roman"/>
          <w:lang w:eastAsia="de-DE"/>
        </w:rPr>
        <w:t xml:space="preserve">). Die Formulierung bedeutet, dass er durch seine eigene, individuelle Sünde starb, nicht durch kollektive Rebellion. Dies ist vermutlich eine Anspielung auf das allgemeine Urteil über die Exodus-Generation (Num 14,29-35). </w:t>
      </w:r>
      <w:r w:rsidRPr="008D68BA">
        <w:rPr>
          <w:rFonts w:eastAsia="Times New Roman" w:cs="Times New Roman"/>
          <w:b/>
          <w:bCs/>
          <w:rtl/>
          <w:lang w:eastAsia="de-DE"/>
        </w:rPr>
        <w:t>וּבָנִים לֹא־הָיוּ לוֹ</w:t>
      </w:r>
      <w:r w:rsidRPr="008D68BA">
        <w:rPr>
          <w:rFonts w:eastAsia="Times New Roman" w:cs="Times New Roman"/>
          <w:rtl/>
          <w:lang w:eastAsia="de-DE"/>
        </w:rPr>
        <w:t xml:space="preserve"> </w:t>
      </w:r>
      <w:r w:rsidRPr="008D68BA">
        <w:rPr>
          <w:rFonts w:eastAsia="Times New Roman" w:cs="Times New Roman"/>
          <w:lang w:eastAsia="de-DE"/>
        </w:rPr>
        <w:t xml:space="preserve">stellt das praktische Problem dar: </w:t>
      </w:r>
      <w:r w:rsidRPr="008D68BA">
        <w:rPr>
          <w:rFonts w:eastAsia="Times New Roman" w:cs="Times New Roman"/>
          <w:b/>
          <w:bCs/>
          <w:rtl/>
          <w:lang w:eastAsia="de-DE"/>
        </w:rPr>
        <w:t>בָּנִים</w:t>
      </w:r>
      <w:r w:rsidRPr="008D68BA">
        <w:rPr>
          <w:rFonts w:eastAsia="Times New Roman" w:cs="Times New Roman"/>
          <w:rtl/>
          <w:lang w:eastAsia="de-DE"/>
        </w:rPr>
        <w:t xml:space="preserve"> </w:t>
      </w:r>
      <w:r w:rsidRPr="008D68BA">
        <w:rPr>
          <w:rFonts w:eastAsia="Times New Roman" w:cs="Times New Roman"/>
          <w:lang w:eastAsia="de-DE"/>
        </w:rPr>
        <w:t xml:space="preserve">(Plural von </w:t>
      </w:r>
      <w:r w:rsidRPr="008D68BA">
        <w:rPr>
          <w:rFonts w:eastAsia="Times New Roman" w:cs="Times New Roman"/>
          <w:b/>
          <w:bCs/>
          <w:rtl/>
          <w:lang w:eastAsia="de-DE"/>
        </w:rPr>
        <w:t>בֵּן</w:t>
      </w:r>
      <w:r w:rsidRPr="008D68BA">
        <w:rPr>
          <w:rFonts w:eastAsia="Times New Roman" w:cs="Times New Roman"/>
          <w:rtl/>
          <w:lang w:eastAsia="de-DE"/>
        </w:rPr>
        <w:t xml:space="preserve"> </w:t>
      </w:r>
      <w:r w:rsidRPr="008D68BA">
        <w:rPr>
          <w:rFonts w:eastAsia="Times New Roman" w:cs="Times New Roman"/>
          <w:lang w:eastAsia="de-DE"/>
        </w:rPr>
        <w:t xml:space="preserve">„Sohn"), </w:t>
      </w:r>
      <w:r w:rsidRPr="008D68BA">
        <w:rPr>
          <w:rFonts w:eastAsia="Times New Roman" w:cs="Times New Roman"/>
          <w:b/>
          <w:bCs/>
          <w:rtl/>
          <w:lang w:eastAsia="de-DE"/>
        </w:rPr>
        <w:t>לֹא־הָיוּ</w:t>
      </w:r>
      <w:r w:rsidRPr="008D68BA">
        <w:rPr>
          <w:rFonts w:eastAsia="Times New Roman" w:cs="Times New Roman"/>
          <w:rtl/>
          <w:lang w:eastAsia="de-DE"/>
        </w:rPr>
        <w:t xml:space="preserve"> </w:t>
      </w:r>
      <w:r w:rsidRPr="008D68BA">
        <w:rPr>
          <w:rFonts w:eastAsia="Times New Roman" w:cs="Times New Roman"/>
          <w:lang w:eastAsia="de-DE"/>
        </w:rPr>
        <w:t xml:space="preserve">(Negation mit Qal Perfekt 3. Person Plural von </w:t>
      </w:r>
      <w:r w:rsidRPr="008D68BA">
        <w:rPr>
          <w:rFonts w:eastAsia="Times New Roman" w:cs="Times New Roman"/>
          <w:b/>
          <w:bCs/>
          <w:rtl/>
          <w:lang w:eastAsia="de-DE"/>
        </w:rPr>
        <w:t>היה</w:t>
      </w:r>
      <w:r w:rsidRPr="008D68BA">
        <w:rPr>
          <w:rFonts w:eastAsia="Times New Roman" w:cs="Times New Roman"/>
          <w:lang w:eastAsia="de-DE"/>
        </w:rPr>
        <w:t xml:space="preserve">), </w:t>
      </w:r>
      <w:r w:rsidRPr="008D68BA">
        <w:rPr>
          <w:rFonts w:eastAsia="Times New Roman" w:cs="Times New Roman"/>
          <w:b/>
          <w:bCs/>
          <w:rtl/>
          <w:lang w:eastAsia="de-DE"/>
        </w:rPr>
        <w:t>לוֹ</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לְ</w:t>
      </w:r>
      <w:r w:rsidRPr="008D68BA">
        <w:rPr>
          <w:rFonts w:eastAsia="Times New Roman" w:cs="Times New Roman"/>
          <w:rtl/>
          <w:lang w:eastAsia="de-DE"/>
        </w:rPr>
        <w:t xml:space="preserve"> </w:t>
      </w:r>
      <w:r w:rsidRPr="008D68BA">
        <w:rPr>
          <w:rFonts w:eastAsia="Times New Roman" w:cs="Times New Roman"/>
          <w:lang w:eastAsia="de-DE"/>
        </w:rPr>
        <w:t>mit Suffix „für ihn, ihm"). Das Fehlen männlicher Erben gefährdet das Familienerbe.</w:t>
      </w:r>
    </w:p>
    <w:p w14:paraId="09D54B59" w14:textId="6DE09DC9"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Die LXX</w:t>
      </w:r>
      <w:r w:rsidRPr="008D68BA">
        <w:rPr>
          <w:rFonts w:eastAsia="Times New Roman" w:cs="Times New Roman"/>
          <w:lang w:eastAsia="de-DE"/>
        </w:rPr>
        <w:t xml:space="preserve"> </w:t>
      </w:r>
      <w:r w:rsidR="002900A1">
        <w:t>übersetzt „</w:t>
      </w:r>
      <w:r w:rsidR="002900A1" w:rsidRPr="002900A1">
        <w:rPr>
          <w:b/>
          <w:bCs/>
          <w:rtl/>
        </w:rPr>
        <w:t>בְּחֶטְאוֹ</w:t>
      </w:r>
      <w:r w:rsidR="002900A1">
        <w:rPr>
          <w:rtl/>
        </w:rPr>
        <w:t xml:space="preserve"> </w:t>
      </w:r>
      <w:r w:rsidR="002900A1" w:rsidRPr="002900A1">
        <w:rPr>
          <w:b/>
          <w:bCs/>
          <w:rtl/>
        </w:rPr>
        <w:t>מֵת</w:t>
      </w:r>
      <w:r w:rsidR="002900A1">
        <w:t>" (durch seine Sünde starb er) mit „διὰ ἁμαρτίαν αὐτοῦ ἀπέθανεν" (wegen seiner Sünde starb er), was ähnlich ist, aber „</w:t>
      </w:r>
      <w:r w:rsidR="002900A1" w:rsidRPr="002900A1">
        <w:rPr>
          <w:b/>
          <w:bCs/>
          <w:rtl/>
        </w:rPr>
        <w:t>וּבָנִים לֹא־הָיוּ לו</w:t>
      </w:r>
      <w:r w:rsidR="002900A1">
        <w:rPr>
          <w:rtl/>
        </w:rPr>
        <w:t>ֹ</w:t>
      </w:r>
      <w:r w:rsidR="002900A1">
        <w:t>" (und er hatte keine Söhne) wird zu „καὶ υἱοὶ οὐκ ἐγένοντο αὐτῷ" (und es wurden ihm keine Söhne).</w:t>
      </w:r>
    </w:p>
    <w:p w14:paraId="56B84429"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Die Satzstruktur zeigt drei koordinierte Hauptsätze: eine Feststellung (Vater starb in der Wüste), eine negative Aussage mit Partizipialattribut (er war nicht bei Korachs Rebellion), und zwei weitere Hauptsätze (er starb durch eigene Sünde, er hatte keine Söhne).</w:t>
      </w:r>
    </w:p>
    <w:p w14:paraId="761BC6E3"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Der Vers zeigt geschickte Rhetorik: Die Töchter distanzieren ihren Vater von schwerer kollektiver Schuld, akzeptieren aber seine persönliche Verantwortung für sein Schicksal. Dies macht ihn weder zu einem Helden noch zu einem Erzrebellen, sondern zu einem normalen Israeliten der verlorenen Generation. Das Fehlen von Söhnen wird als faktisches Problem präsentiert, das eine Lösung erfordert.</w:t>
      </w:r>
    </w:p>
    <w:p w14:paraId="22A9E52F" w14:textId="77777777" w:rsidR="008D68BA" w:rsidRPr="008D68BA" w:rsidRDefault="008D68BA" w:rsidP="008D68BA">
      <w:pPr>
        <w:spacing w:before="100" w:beforeAutospacing="1" w:after="100" w:afterAutospacing="1" w:line="240" w:lineRule="auto"/>
        <w:outlineLvl w:val="0"/>
        <w:rPr>
          <w:rFonts w:eastAsia="Times New Roman" w:cs="Times New Roman"/>
          <w:b/>
          <w:bCs/>
          <w:kern w:val="36"/>
          <w:sz w:val="48"/>
          <w:szCs w:val="48"/>
          <w:lang w:eastAsia="de-DE"/>
        </w:rPr>
      </w:pPr>
      <w:r w:rsidRPr="008D68BA">
        <w:rPr>
          <w:rFonts w:eastAsia="Times New Roman" w:cs="Times New Roman"/>
          <w:b/>
          <w:bCs/>
          <w:kern w:val="36"/>
          <w:sz w:val="48"/>
          <w:szCs w:val="48"/>
          <w:lang w:eastAsia="de-DE"/>
        </w:rPr>
        <w:t>Numeri 27,4</w:t>
      </w:r>
    </w:p>
    <w:p w14:paraId="6AC9F325"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Hebräisch:</w:t>
      </w:r>
      <w:r w:rsidRPr="008D68BA">
        <w:rPr>
          <w:rFonts w:eastAsia="Times New Roman" w:cs="Times New Roman"/>
          <w:lang w:eastAsia="de-DE"/>
        </w:rPr>
        <w:t xml:space="preserve"> </w:t>
      </w:r>
      <w:r w:rsidRPr="008D68BA">
        <w:rPr>
          <w:rFonts w:eastAsia="Times New Roman" w:cs="Times New Roman"/>
          <w:rtl/>
          <w:lang w:eastAsia="de-DE"/>
        </w:rPr>
        <w:t>לָ֣מָּה יִגָּרַ֤ע שֵׁם־אָבִ֨ינוּ֙ מִתּ֣וֹךְ מִשְׁפַּחְתּוֹ֔ כִּ֛י אֵ֥ין לוֹ֖ בֵּ֑ן תְּנָה־לָּ֣נוּ אֲחֻזָּ֔ה בְּת֖וֹךְ אֲחֵ֥י אָבִֽינוּ׃</w:t>
      </w:r>
    </w:p>
    <w:p w14:paraId="6081BFAF"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Deutsch:</w:t>
      </w:r>
      <w:r w:rsidRPr="008D68BA">
        <w:rPr>
          <w:rFonts w:eastAsia="Times New Roman" w:cs="Times New Roman"/>
          <w:lang w:eastAsia="de-DE"/>
        </w:rPr>
        <w:t xml:space="preserve"> Warum soll der Name unseres Vaters aus der Mitte seiner Familie fehlen, weil er keinen Sohn hat? Gib uns einen Besitz inmitten der Brüder unseres Vaters!</w:t>
      </w:r>
    </w:p>
    <w:p w14:paraId="6CA3967B" w14:textId="77777777" w:rsidR="008D68BA" w:rsidRPr="008D68BA" w:rsidRDefault="00F329DD" w:rsidP="008D68BA">
      <w:pPr>
        <w:spacing w:after="0" w:line="240" w:lineRule="auto"/>
        <w:rPr>
          <w:rFonts w:eastAsia="Times New Roman" w:cs="Times New Roman"/>
          <w:lang w:eastAsia="de-DE"/>
        </w:rPr>
      </w:pPr>
      <w:r>
        <w:rPr>
          <w:rFonts w:eastAsia="Times New Roman" w:cs="Times New Roman"/>
          <w:noProof/>
          <w:lang w:eastAsia="de-DE"/>
        </w:rPr>
        <w:pict w14:anchorId="25E507D6">
          <v:rect id="_x0000_i1885" style="width:0;height:1.5pt" o:hralign="center" o:hrstd="t" o:hr="t" fillcolor="#a0a0a0" stroked="f"/>
        </w:pict>
      </w:r>
    </w:p>
    <w:p w14:paraId="5AD0DAD4"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Kommentar:</w:t>
      </w:r>
      <w:r w:rsidRPr="008D68BA">
        <w:rPr>
          <w:rFonts w:eastAsia="Times New Roman" w:cs="Times New Roman"/>
          <w:lang w:eastAsia="de-DE"/>
        </w:rPr>
        <w:t xml:space="preserve"> Der Vers formuliert die rhetorische Frage und die konkrete Bitte. </w:t>
      </w:r>
      <w:r w:rsidRPr="008D68BA">
        <w:rPr>
          <w:rFonts w:eastAsia="Times New Roman" w:cs="Times New Roman"/>
          <w:b/>
          <w:bCs/>
          <w:rtl/>
          <w:lang w:eastAsia="de-DE"/>
        </w:rPr>
        <w:t>לָמָּה יִגָּרַע שֵׁם־אָבִינוּ מִתּוֹךְ מִשְׁפַּחְתּוֹ</w:t>
      </w:r>
      <w:r w:rsidRPr="008D68BA">
        <w:rPr>
          <w:rFonts w:eastAsia="Times New Roman" w:cs="Times New Roman"/>
          <w:rtl/>
          <w:lang w:eastAsia="de-DE"/>
        </w:rPr>
        <w:t xml:space="preserve"> </w:t>
      </w:r>
      <w:r w:rsidRPr="008D68BA">
        <w:rPr>
          <w:rFonts w:eastAsia="Times New Roman" w:cs="Times New Roman"/>
          <w:lang w:eastAsia="de-DE"/>
        </w:rPr>
        <w:t xml:space="preserve">ist die rhetorische Frage. </w:t>
      </w:r>
      <w:r w:rsidRPr="008D68BA">
        <w:rPr>
          <w:rFonts w:eastAsia="Times New Roman" w:cs="Times New Roman"/>
          <w:b/>
          <w:bCs/>
          <w:rtl/>
          <w:lang w:eastAsia="de-DE"/>
        </w:rPr>
        <w:t>לָמָּה</w:t>
      </w:r>
      <w:r w:rsidRPr="008D68BA">
        <w:rPr>
          <w:rFonts w:eastAsia="Times New Roman" w:cs="Times New Roman"/>
          <w:rtl/>
          <w:lang w:eastAsia="de-DE"/>
        </w:rPr>
        <w:t xml:space="preserve"> </w:t>
      </w:r>
      <w:r w:rsidRPr="008D68BA">
        <w:rPr>
          <w:rFonts w:eastAsia="Times New Roman" w:cs="Times New Roman"/>
          <w:lang w:eastAsia="de-DE"/>
        </w:rPr>
        <w:t xml:space="preserve">ist das Interrogativadverb („warum"), </w:t>
      </w:r>
      <w:r w:rsidRPr="008D68BA">
        <w:rPr>
          <w:rFonts w:eastAsia="Times New Roman" w:cs="Times New Roman"/>
          <w:b/>
          <w:bCs/>
          <w:rtl/>
          <w:lang w:eastAsia="de-DE"/>
        </w:rPr>
        <w:t>יִגָּרַע</w:t>
      </w:r>
      <w:r w:rsidRPr="008D68BA">
        <w:rPr>
          <w:rFonts w:eastAsia="Times New Roman" w:cs="Times New Roman"/>
          <w:rtl/>
          <w:lang w:eastAsia="de-DE"/>
        </w:rPr>
        <w:t xml:space="preserve"> </w:t>
      </w:r>
      <w:r w:rsidRPr="008D68BA">
        <w:rPr>
          <w:rFonts w:eastAsia="Times New Roman" w:cs="Times New Roman"/>
          <w:lang w:eastAsia="de-DE"/>
        </w:rPr>
        <w:t xml:space="preserve">ist Niphal Imperfekt 3. Person maskulin Singular von </w:t>
      </w:r>
      <w:r w:rsidRPr="008D68BA">
        <w:rPr>
          <w:rFonts w:eastAsia="Times New Roman" w:cs="Times New Roman"/>
          <w:b/>
          <w:bCs/>
          <w:rtl/>
          <w:lang w:eastAsia="de-DE"/>
        </w:rPr>
        <w:t>גרע</w:t>
      </w:r>
      <w:r w:rsidRPr="008D68BA">
        <w:rPr>
          <w:rFonts w:eastAsia="Times New Roman" w:cs="Times New Roman"/>
          <w:rtl/>
          <w:lang w:eastAsia="de-DE"/>
        </w:rPr>
        <w:t xml:space="preserve"> </w:t>
      </w:r>
      <w:r w:rsidRPr="008D68BA">
        <w:rPr>
          <w:rFonts w:eastAsia="Times New Roman" w:cs="Times New Roman"/>
          <w:lang w:eastAsia="de-DE"/>
        </w:rPr>
        <w:t xml:space="preserve">(„vermindern, fehlen, weggenommen werden"). </w:t>
      </w:r>
      <w:r w:rsidRPr="008D68BA">
        <w:rPr>
          <w:rFonts w:eastAsia="Times New Roman" w:cs="Times New Roman"/>
          <w:b/>
          <w:bCs/>
          <w:rtl/>
          <w:lang w:eastAsia="de-DE"/>
        </w:rPr>
        <w:t>שֵׁם־אָבִינוּ</w:t>
      </w:r>
      <w:r w:rsidRPr="008D68BA">
        <w:rPr>
          <w:rFonts w:eastAsia="Times New Roman" w:cs="Times New Roman"/>
          <w:rtl/>
          <w:lang w:eastAsia="de-DE"/>
        </w:rPr>
        <w:t xml:space="preserve"> </w:t>
      </w:r>
      <w:r w:rsidRPr="008D68BA">
        <w:rPr>
          <w:rFonts w:eastAsia="Times New Roman" w:cs="Times New Roman"/>
          <w:lang w:eastAsia="de-DE"/>
        </w:rPr>
        <w:t xml:space="preserve">(„Name unseres Vaters") steht für die familiale Identität und Kontinuität. </w:t>
      </w:r>
      <w:r w:rsidRPr="008D68BA">
        <w:rPr>
          <w:rFonts w:eastAsia="Times New Roman" w:cs="Times New Roman"/>
          <w:b/>
          <w:bCs/>
          <w:rtl/>
          <w:lang w:eastAsia="de-DE"/>
        </w:rPr>
        <w:t>מִתּוֹךְ מִשְׁפַּחְתּוֹ</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מִן</w:t>
      </w:r>
      <w:r w:rsidRPr="008D68BA">
        <w:rPr>
          <w:rFonts w:eastAsia="Times New Roman" w:cs="Times New Roman"/>
          <w:rtl/>
          <w:lang w:eastAsia="de-DE"/>
        </w:rPr>
        <w:t xml:space="preserve"> </w:t>
      </w:r>
      <w:r w:rsidRPr="008D68BA">
        <w:rPr>
          <w:rFonts w:eastAsia="Times New Roman" w:cs="Times New Roman"/>
          <w:lang w:eastAsia="de-DE"/>
        </w:rPr>
        <w:t xml:space="preserve">mit </w:t>
      </w:r>
      <w:r w:rsidRPr="008D68BA">
        <w:rPr>
          <w:rFonts w:eastAsia="Times New Roman" w:cs="Times New Roman"/>
          <w:b/>
          <w:bCs/>
          <w:rtl/>
          <w:lang w:eastAsia="de-DE"/>
        </w:rPr>
        <w:t>תּוֹךְ</w:t>
      </w:r>
      <w:r w:rsidRPr="008D68BA">
        <w:rPr>
          <w:rFonts w:eastAsia="Times New Roman" w:cs="Times New Roman"/>
          <w:rtl/>
          <w:lang w:eastAsia="de-DE"/>
        </w:rPr>
        <w:t xml:space="preserve"> </w:t>
      </w:r>
      <w:r w:rsidRPr="008D68BA">
        <w:rPr>
          <w:rFonts w:eastAsia="Times New Roman" w:cs="Times New Roman"/>
          <w:lang w:eastAsia="de-DE"/>
        </w:rPr>
        <w:t xml:space="preserve">und </w:t>
      </w:r>
      <w:r w:rsidRPr="008D68BA">
        <w:rPr>
          <w:rFonts w:eastAsia="Times New Roman" w:cs="Times New Roman"/>
          <w:b/>
          <w:bCs/>
          <w:rtl/>
          <w:lang w:eastAsia="de-DE"/>
        </w:rPr>
        <w:t>מִשְׁפָּחָה</w:t>
      </w:r>
      <w:r w:rsidRPr="008D68BA">
        <w:rPr>
          <w:rFonts w:eastAsia="Times New Roman" w:cs="Times New Roman"/>
          <w:rtl/>
          <w:lang w:eastAsia="de-DE"/>
        </w:rPr>
        <w:t xml:space="preserve"> </w:t>
      </w:r>
      <w:r w:rsidRPr="008D68BA">
        <w:rPr>
          <w:rFonts w:eastAsia="Times New Roman" w:cs="Times New Roman"/>
          <w:lang w:eastAsia="de-DE"/>
        </w:rPr>
        <w:t>„Familie" mit Suffix 3. Person maskulin Singular) bedeutet „aus seiner Familie heraus". Die Frage impliziert: Es gibt keinen guten Grund für diese Ungerechtigkeit.</w:t>
      </w:r>
    </w:p>
    <w:p w14:paraId="1967D175"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rtl/>
          <w:lang w:eastAsia="de-DE"/>
        </w:rPr>
        <w:lastRenderedPageBreak/>
        <w:t>כִּי אֵין לוֹ בֵּן</w:t>
      </w:r>
      <w:r w:rsidRPr="008D68BA">
        <w:rPr>
          <w:rFonts w:eastAsia="Times New Roman" w:cs="Times New Roman"/>
          <w:rtl/>
          <w:lang w:eastAsia="de-DE"/>
        </w:rPr>
        <w:t xml:space="preserve"> </w:t>
      </w:r>
      <w:r w:rsidRPr="008D68BA">
        <w:rPr>
          <w:rFonts w:eastAsia="Times New Roman" w:cs="Times New Roman"/>
          <w:lang w:eastAsia="de-DE"/>
        </w:rPr>
        <w:t xml:space="preserve">gibt die kausale Begründung. </w:t>
      </w:r>
      <w:r w:rsidRPr="008D68BA">
        <w:rPr>
          <w:rFonts w:eastAsia="Times New Roman" w:cs="Times New Roman"/>
          <w:b/>
          <w:bCs/>
          <w:rtl/>
          <w:lang w:eastAsia="de-DE"/>
        </w:rPr>
        <w:t>כִּי</w:t>
      </w:r>
      <w:r w:rsidRPr="008D68BA">
        <w:rPr>
          <w:rFonts w:eastAsia="Times New Roman" w:cs="Times New Roman"/>
          <w:rtl/>
          <w:lang w:eastAsia="de-DE"/>
        </w:rPr>
        <w:t xml:space="preserve"> </w:t>
      </w:r>
      <w:r w:rsidRPr="008D68BA">
        <w:rPr>
          <w:rFonts w:eastAsia="Times New Roman" w:cs="Times New Roman"/>
          <w:lang w:eastAsia="de-DE"/>
        </w:rPr>
        <w:t xml:space="preserve">(„weil"), </w:t>
      </w:r>
      <w:r w:rsidRPr="008D68BA">
        <w:rPr>
          <w:rFonts w:eastAsia="Times New Roman" w:cs="Times New Roman"/>
          <w:b/>
          <w:bCs/>
          <w:rtl/>
          <w:lang w:eastAsia="de-DE"/>
        </w:rPr>
        <w:t>אֵין</w:t>
      </w:r>
      <w:r w:rsidRPr="008D68BA">
        <w:rPr>
          <w:rFonts w:eastAsia="Times New Roman" w:cs="Times New Roman"/>
          <w:rtl/>
          <w:lang w:eastAsia="de-DE"/>
        </w:rPr>
        <w:t xml:space="preserve"> </w:t>
      </w:r>
      <w:r w:rsidRPr="008D68BA">
        <w:rPr>
          <w:rFonts w:eastAsia="Times New Roman" w:cs="Times New Roman"/>
          <w:lang w:eastAsia="de-DE"/>
        </w:rPr>
        <w:t xml:space="preserve">ist die Existenznegation („es gibt nicht"), </w:t>
      </w:r>
      <w:r w:rsidRPr="008D68BA">
        <w:rPr>
          <w:rFonts w:eastAsia="Times New Roman" w:cs="Times New Roman"/>
          <w:b/>
          <w:bCs/>
          <w:rtl/>
          <w:lang w:eastAsia="de-DE"/>
        </w:rPr>
        <w:t>לוֹ</w:t>
      </w:r>
      <w:r w:rsidRPr="008D68BA">
        <w:rPr>
          <w:rFonts w:eastAsia="Times New Roman" w:cs="Times New Roman"/>
          <w:rtl/>
          <w:lang w:eastAsia="de-DE"/>
        </w:rPr>
        <w:t xml:space="preserve"> </w:t>
      </w:r>
      <w:r w:rsidRPr="008D68BA">
        <w:rPr>
          <w:rFonts w:eastAsia="Times New Roman" w:cs="Times New Roman"/>
          <w:lang w:eastAsia="de-DE"/>
        </w:rPr>
        <w:t xml:space="preserve">(Dativpräposition mit Suffix „für ihn"), </w:t>
      </w:r>
      <w:r w:rsidRPr="008D68BA">
        <w:rPr>
          <w:rFonts w:eastAsia="Times New Roman" w:cs="Times New Roman"/>
          <w:b/>
          <w:bCs/>
          <w:rtl/>
          <w:lang w:eastAsia="de-DE"/>
        </w:rPr>
        <w:t>בֵּן</w:t>
      </w:r>
      <w:r w:rsidRPr="008D68BA">
        <w:rPr>
          <w:rFonts w:eastAsia="Times New Roman" w:cs="Times New Roman"/>
          <w:rtl/>
          <w:lang w:eastAsia="de-DE"/>
        </w:rPr>
        <w:t xml:space="preserve"> </w:t>
      </w:r>
      <w:r w:rsidRPr="008D68BA">
        <w:rPr>
          <w:rFonts w:eastAsia="Times New Roman" w:cs="Times New Roman"/>
          <w:lang w:eastAsia="de-DE"/>
        </w:rPr>
        <w:t>(„Sohn"). Die Formulierung zeigt, dass das biologische Faktum (kein Sohn) nicht automatisch zum rechtlichen Verlust (keine Identität) führen sollte.</w:t>
      </w:r>
    </w:p>
    <w:p w14:paraId="3EDB3232" w14:textId="398DBCDD"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rtl/>
          <w:lang w:eastAsia="de-DE"/>
        </w:rPr>
        <w:t>תְּנָה־לָּנוּ אֲחֻזָּה בְּתוֹךְ אֲחֵי אָבִינוּ</w:t>
      </w:r>
      <w:r w:rsidRPr="008D68BA">
        <w:rPr>
          <w:rFonts w:eastAsia="Times New Roman" w:cs="Times New Roman"/>
          <w:rtl/>
          <w:lang w:eastAsia="de-DE"/>
        </w:rPr>
        <w:t xml:space="preserve"> </w:t>
      </w:r>
      <w:r w:rsidRPr="008D68BA">
        <w:rPr>
          <w:rFonts w:eastAsia="Times New Roman" w:cs="Times New Roman"/>
          <w:lang w:eastAsia="de-DE"/>
        </w:rPr>
        <w:t xml:space="preserve">ist die direkte Bitte. </w:t>
      </w:r>
      <w:r w:rsidRPr="008D68BA">
        <w:rPr>
          <w:rFonts w:eastAsia="Times New Roman" w:cs="Times New Roman"/>
          <w:b/>
          <w:bCs/>
          <w:rtl/>
          <w:lang w:eastAsia="de-DE"/>
        </w:rPr>
        <w:t>תְּנָה</w:t>
      </w:r>
      <w:r w:rsidRPr="008D68BA">
        <w:rPr>
          <w:rFonts w:eastAsia="Times New Roman" w:cs="Times New Roman"/>
          <w:rtl/>
          <w:lang w:eastAsia="de-DE"/>
        </w:rPr>
        <w:t xml:space="preserve"> </w:t>
      </w:r>
      <w:r w:rsidRPr="008D68BA">
        <w:rPr>
          <w:rFonts w:eastAsia="Times New Roman" w:cs="Times New Roman"/>
          <w:lang w:eastAsia="de-DE"/>
        </w:rPr>
        <w:t xml:space="preserve">ist Qal Imperativ maskulin Singular von </w:t>
      </w:r>
      <w:r w:rsidRPr="008D68BA">
        <w:rPr>
          <w:rFonts w:eastAsia="Times New Roman" w:cs="Times New Roman"/>
          <w:b/>
          <w:bCs/>
          <w:rtl/>
          <w:lang w:eastAsia="de-DE"/>
        </w:rPr>
        <w:t>נתן</w:t>
      </w:r>
      <w:r w:rsidRPr="008D68BA">
        <w:rPr>
          <w:rFonts w:eastAsia="Times New Roman" w:cs="Times New Roman"/>
          <w:rtl/>
          <w:lang w:eastAsia="de-DE"/>
        </w:rPr>
        <w:t xml:space="preserve"> </w:t>
      </w:r>
      <w:r w:rsidRPr="008D68BA">
        <w:rPr>
          <w:rFonts w:eastAsia="Times New Roman" w:cs="Times New Roman"/>
          <w:lang w:eastAsia="de-DE"/>
        </w:rPr>
        <w:t xml:space="preserve">(„geben") mit Paragogischem He, das Emphase oder Höflichkeit ausdrückt. </w:t>
      </w:r>
      <w:r w:rsidRPr="008D68BA">
        <w:rPr>
          <w:rFonts w:eastAsia="Times New Roman" w:cs="Times New Roman"/>
          <w:b/>
          <w:bCs/>
          <w:rtl/>
          <w:lang w:eastAsia="de-DE"/>
        </w:rPr>
        <w:t>לָּנוּ</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לְ</w:t>
      </w:r>
      <w:r w:rsidRPr="008D68BA">
        <w:rPr>
          <w:rFonts w:eastAsia="Times New Roman" w:cs="Times New Roman"/>
          <w:rtl/>
          <w:lang w:eastAsia="de-DE"/>
        </w:rPr>
        <w:t xml:space="preserve"> </w:t>
      </w:r>
      <w:r w:rsidRPr="008D68BA">
        <w:rPr>
          <w:rFonts w:eastAsia="Times New Roman" w:cs="Times New Roman"/>
          <w:lang w:eastAsia="de-DE"/>
        </w:rPr>
        <w:t xml:space="preserve">mit Suffix 1. Person Plural „uns"). </w:t>
      </w:r>
      <w:r w:rsidRPr="008D68BA">
        <w:rPr>
          <w:rFonts w:eastAsia="Times New Roman" w:cs="Times New Roman"/>
          <w:b/>
          <w:bCs/>
          <w:rtl/>
          <w:lang w:eastAsia="de-DE"/>
        </w:rPr>
        <w:t>אֲחֻזָּה</w:t>
      </w:r>
      <w:r w:rsidRPr="008D68BA">
        <w:rPr>
          <w:rFonts w:eastAsia="Times New Roman" w:cs="Times New Roman"/>
          <w:rtl/>
          <w:lang w:eastAsia="de-DE"/>
        </w:rPr>
        <w:t xml:space="preserve"> </w:t>
      </w:r>
      <w:r w:rsidRPr="008D68BA">
        <w:rPr>
          <w:rFonts w:eastAsia="Times New Roman" w:cs="Times New Roman"/>
          <w:lang w:eastAsia="de-DE"/>
        </w:rPr>
        <w:t xml:space="preserve">ist feminin Singular von </w:t>
      </w:r>
      <w:r w:rsidRPr="008D68BA">
        <w:rPr>
          <w:rFonts w:eastAsia="Times New Roman" w:cs="Times New Roman"/>
          <w:b/>
          <w:bCs/>
          <w:rtl/>
          <w:lang w:eastAsia="de-DE"/>
        </w:rPr>
        <w:t>אֲחֻזָּה</w:t>
      </w:r>
      <w:r w:rsidRPr="008D68BA">
        <w:rPr>
          <w:rFonts w:eastAsia="Times New Roman" w:cs="Times New Roman"/>
          <w:rtl/>
          <w:lang w:eastAsia="de-DE"/>
        </w:rPr>
        <w:t xml:space="preserve"> </w:t>
      </w:r>
      <w:r w:rsidRPr="008D68BA">
        <w:rPr>
          <w:rFonts w:eastAsia="Times New Roman" w:cs="Times New Roman"/>
          <w:lang w:eastAsia="de-DE"/>
        </w:rPr>
        <w:t xml:space="preserve">(„Besitz, Landbesitz, Erbteil"), ein technischer Terminus für dauerhaften Grundbesitz. </w:t>
      </w:r>
      <w:r w:rsidRPr="008D68BA">
        <w:rPr>
          <w:rFonts w:eastAsia="Times New Roman" w:cs="Times New Roman"/>
          <w:b/>
          <w:bCs/>
          <w:rtl/>
          <w:lang w:eastAsia="de-DE"/>
        </w:rPr>
        <w:t>בְּתוֹךְ אֲחֵי אָבִינוּ</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בְ</w:t>
      </w:r>
      <w:r w:rsidRPr="008D68BA">
        <w:rPr>
          <w:rFonts w:eastAsia="Times New Roman" w:cs="Times New Roman"/>
          <w:rtl/>
          <w:lang w:eastAsia="de-DE"/>
        </w:rPr>
        <w:t xml:space="preserve"> </w:t>
      </w:r>
      <w:r w:rsidRPr="008D68BA">
        <w:rPr>
          <w:rFonts w:eastAsia="Times New Roman" w:cs="Times New Roman"/>
          <w:lang w:eastAsia="de-DE"/>
        </w:rPr>
        <w:t xml:space="preserve">mit </w:t>
      </w:r>
      <w:r w:rsidRPr="008D68BA">
        <w:rPr>
          <w:rFonts w:eastAsia="Times New Roman" w:cs="Times New Roman"/>
          <w:b/>
          <w:bCs/>
          <w:rtl/>
          <w:lang w:eastAsia="de-DE"/>
        </w:rPr>
        <w:t>תּוֹךְ</w:t>
      </w:r>
      <w:r w:rsidRPr="008D68BA">
        <w:rPr>
          <w:rFonts w:eastAsia="Times New Roman" w:cs="Times New Roman"/>
          <w:lang w:eastAsia="de-DE"/>
        </w:rPr>
        <w:t xml:space="preserve">, </w:t>
      </w:r>
      <w:r w:rsidRPr="008D68BA">
        <w:rPr>
          <w:rFonts w:eastAsia="Times New Roman" w:cs="Times New Roman"/>
          <w:b/>
          <w:bCs/>
          <w:rtl/>
          <w:lang w:eastAsia="de-DE"/>
        </w:rPr>
        <w:t>אֲחֵי</w:t>
      </w:r>
      <w:r w:rsidRPr="008D68BA">
        <w:rPr>
          <w:rFonts w:eastAsia="Times New Roman" w:cs="Times New Roman"/>
          <w:rtl/>
          <w:lang w:eastAsia="de-DE"/>
        </w:rPr>
        <w:t xml:space="preserve"> </w:t>
      </w:r>
      <w:r w:rsidRPr="008D68BA">
        <w:rPr>
          <w:rFonts w:eastAsia="Times New Roman" w:cs="Times New Roman"/>
          <w:lang w:eastAsia="de-DE"/>
        </w:rPr>
        <w:t xml:space="preserve">Plural </w:t>
      </w:r>
      <w:r w:rsidR="00E031B3">
        <w:rPr>
          <w:rFonts w:eastAsia="Times New Roman" w:cs="Times New Roman"/>
          <w:lang w:eastAsia="de-DE"/>
        </w:rPr>
        <w:t>Constructus von</w:t>
      </w:r>
      <w:r w:rsidRPr="008D68BA">
        <w:rPr>
          <w:rFonts w:eastAsia="Times New Roman" w:cs="Times New Roman"/>
          <w:lang w:eastAsia="de-DE"/>
        </w:rPr>
        <w:t xml:space="preserve"> </w:t>
      </w:r>
      <w:r w:rsidRPr="008D68BA">
        <w:rPr>
          <w:rFonts w:eastAsia="Times New Roman" w:cs="Times New Roman"/>
          <w:b/>
          <w:bCs/>
          <w:rtl/>
          <w:lang w:eastAsia="de-DE"/>
        </w:rPr>
        <w:t>אָח</w:t>
      </w:r>
      <w:r w:rsidRPr="008D68BA">
        <w:rPr>
          <w:rFonts w:eastAsia="Times New Roman" w:cs="Times New Roman"/>
          <w:rtl/>
          <w:lang w:eastAsia="de-DE"/>
        </w:rPr>
        <w:t xml:space="preserve"> </w:t>
      </w:r>
      <w:r w:rsidRPr="008D68BA">
        <w:rPr>
          <w:rFonts w:eastAsia="Times New Roman" w:cs="Times New Roman"/>
          <w:lang w:eastAsia="de-DE"/>
        </w:rPr>
        <w:t xml:space="preserve">„Bruder" und </w:t>
      </w:r>
      <w:r w:rsidRPr="008D68BA">
        <w:rPr>
          <w:rFonts w:eastAsia="Times New Roman" w:cs="Times New Roman"/>
          <w:b/>
          <w:bCs/>
          <w:rtl/>
          <w:lang w:eastAsia="de-DE"/>
        </w:rPr>
        <w:t>אָבִינוּ</w:t>
      </w:r>
      <w:r w:rsidRPr="008D68BA">
        <w:rPr>
          <w:rFonts w:eastAsia="Times New Roman" w:cs="Times New Roman"/>
          <w:rtl/>
          <w:lang w:eastAsia="de-DE"/>
        </w:rPr>
        <w:t xml:space="preserve"> </w:t>
      </w:r>
      <w:r w:rsidRPr="008D68BA">
        <w:rPr>
          <w:rFonts w:eastAsia="Times New Roman" w:cs="Times New Roman"/>
          <w:lang w:eastAsia="de-DE"/>
        </w:rPr>
        <w:t>„unser Vater") bedeutet „inmitten der Brüder unseres Vaters", d.h. gleichberechtigt mit den männlichen Verwandten. Die Frauen fordern nicht Sonderrechte, sondern Gleichbehandlung innerhalb des bestehenden Systems.</w:t>
      </w:r>
    </w:p>
    <w:p w14:paraId="7A2186F2" w14:textId="490836B9"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Die LXX</w:t>
      </w:r>
      <w:r w:rsidRPr="008D68BA">
        <w:rPr>
          <w:rFonts w:eastAsia="Times New Roman" w:cs="Times New Roman"/>
          <w:lang w:eastAsia="de-DE"/>
        </w:rPr>
        <w:t xml:space="preserve"> </w:t>
      </w:r>
      <w:r w:rsidR="002900A1">
        <w:t>übersetzt „</w:t>
      </w:r>
      <w:r w:rsidR="002900A1" w:rsidRPr="002900A1">
        <w:rPr>
          <w:b/>
          <w:bCs/>
          <w:rtl/>
        </w:rPr>
        <w:t>לָמָּה יִגָּרַע שֵׁם־אָבִינו</w:t>
      </w:r>
      <w:r w:rsidR="002900A1">
        <w:rPr>
          <w:rtl/>
        </w:rPr>
        <w:t>ּ</w:t>
      </w:r>
      <w:r w:rsidR="002900A1">
        <w:t>" (Warum soll der Name unseres Vaters vermindert werden?) mit „μὴ ἐξαλειφθήτω τὸ ὄνομα τοῦ πατρὸς ἡμῶν" (Möge der Name unseres Vaters nicht ausgelöscht werden), was eine etwas andere Nuance hat.</w:t>
      </w:r>
    </w:p>
    <w:p w14:paraId="7342E97F"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Die Satzstruktur zeigt eine rhetorische Frage mit kausalem Nebensatz, gefolgt von einem emphatischen Imperativsatz mit präpositionaler Ergänzung.</w:t>
      </w:r>
    </w:p>
    <w:p w14:paraId="6904A971"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Der Vers formuliert ein fundamentales Gerechtigkeitsprinzip: Biologische Zufälle (Geschlecht der Nachkommen) sollen nicht zur Auslöschung familärer Identität führen. Die Frauen argumentieren klug: Sie stellen das System nicht grundsätzlich infrage, fordern aber eine Korrektur einer ungerechten Lücke. Ihre Bitte ist bescheiden (Gleichstellung, nicht Bevorzugung) und legitimiert durch familiäre Solidarität.</w:t>
      </w:r>
    </w:p>
    <w:p w14:paraId="72E53B13" w14:textId="77777777" w:rsidR="008D68BA" w:rsidRPr="008D68BA" w:rsidRDefault="008D68BA" w:rsidP="008D68BA">
      <w:pPr>
        <w:spacing w:before="100" w:beforeAutospacing="1" w:after="100" w:afterAutospacing="1" w:line="240" w:lineRule="auto"/>
        <w:outlineLvl w:val="0"/>
        <w:rPr>
          <w:rFonts w:eastAsia="Times New Roman" w:cs="Times New Roman"/>
          <w:b/>
          <w:bCs/>
          <w:kern w:val="36"/>
          <w:sz w:val="48"/>
          <w:szCs w:val="48"/>
          <w:lang w:eastAsia="de-DE"/>
        </w:rPr>
      </w:pPr>
      <w:r w:rsidRPr="008D68BA">
        <w:rPr>
          <w:rFonts w:eastAsia="Times New Roman" w:cs="Times New Roman"/>
          <w:b/>
          <w:bCs/>
          <w:kern w:val="36"/>
          <w:sz w:val="48"/>
          <w:szCs w:val="48"/>
          <w:lang w:eastAsia="de-DE"/>
        </w:rPr>
        <w:t>Numeri 27,5</w:t>
      </w:r>
    </w:p>
    <w:p w14:paraId="5F183EBD"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Hebräisch:</w:t>
      </w:r>
      <w:r w:rsidRPr="008D68BA">
        <w:rPr>
          <w:rFonts w:eastAsia="Times New Roman" w:cs="Times New Roman"/>
          <w:lang w:eastAsia="de-DE"/>
        </w:rPr>
        <w:t xml:space="preserve"> </w:t>
      </w:r>
      <w:r w:rsidRPr="008D68BA">
        <w:rPr>
          <w:rFonts w:eastAsia="Times New Roman" w:cs="Times New Roman"/>
          <w:rtl/>
          <w:lang w:eastAsia="de-DE"/>
        </w:rPr>
        <w:t>וַיַּקְרֵ֥ב מֹשֶׁ֛ה אֶת־מִשְׁפָּטָ֖ן לִפְנֵ֥י יְהוָֽה׃</w:t>
      </w:r>
    </w:p>
    <w:p w14:paraId="402BB5CC"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Deutsch:</w:t>
      </w:r>
      <w:r w:rsidRPr="008D68BA">
        <w:rPr>
          <w:rFonts w:eastAsia="Times New Roman" w:cs="Times New Roman"/>
          <w:lang w:eastAsia="de-DE"/>
        </w:rPr>
        <w:t xml:space="preserve"> Und Mosche brachte ihre Rechtssache vor den Ewigen.</w:t>
      </w:r>
    </w:p>
    <w:p w14:paraId="67EA247B" w14:textId="77777777" w:rsidR="008D68BA" w:rsidRPr="008D68BA" w:rsidRDefault="00F329DD" w:rsidP="008D68BA">
      <w:pPr>
        <w:spacing w:after="0" w:line="240" w:lineRule="auto"/>
        <w:rPr>
          <w:rFonts w:eastAsia="Times New Roman" w:cs="Times New Roman"/>
          <w:lang w:eastAsia="de-DE"/>
        </w:rPr>
      </w:pPr>
      <w:r>
        <w:rPr>
          <w:rFonts w:eastAsia="Times New Roman" w:cs="Times New Roman"/>
          <w:noProof/>
          <w:lang w:eastAsia="de-DE"/>
        </w:rPr>
        <w:pict w14:anchorId="5E6A52D7">
          <v:rect id="_x0000_i1886" style="width:0;height:1.5pt" o:hralign="center" o:hrstd="t" o:hr="t" fillcolor="#a0a0a0" stroked="f"/>
        </w:pict>
      </w:r>
    </w:p>
    <w:p w14:paraId="1C866691"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b/>
          <w:bCs/>
          <w:lang w:eastAsia="de-DE"/>
        </w:rPr>
        <w:t>Kommentar:</w:t>
      </w:r>
      <w:r w:rsidRPr="008D68BA">
        <w:rPr>
          <w:rFonts w:eastAsia="Times New Roman" w:cs="Times New Roman"/>
          <w:lang w:eastAsia="de-DE"/>
        </w:rPr>
        <w:t xml:space="preserve"> Der Vers zeigt Moses Reaktion auf den ungewöhnlichen Fall. </w:t>
      </w:r>
      <w:r w:rsidRPr="008D68BA">
        <w:rPr>
          <w:rFonts w:eastAsia="Times New Roman" w:cs="Times New Roman"/>
          <w:b/>
          <w:bCs/>
          <w:rtl/>
          <w:lang w:eastAsia="de-DE"/>
        </w:rPr>
        <w:t>וַיַּקְרֵב מֹשֶׁה אֶת־מִשְׁפָּטָן לִפְנֵי יהוה</w:t>
      </w:r>
      <w:r w:rsidRPr="008D68BA">
        <w:rPr>
          <w:rFonts w:eastAsia="Times New Roman" w:cs="Times New Roman"/>
          <w:rtl/>
          <w:lang w:eastAsia="de-DE"/>
        </w:rPr>
        <w:t xml:space="preserve"> </w:t>
      </w:r>
      <w:r w:rsidRPr="008D68BA">
        <w:rPr>
          <w:rFonts w:eastAsia="Times New Roman" w:cs="Times New Roman"/>
          <w:lang w:eastAsia="de-DE"/>
        </w:rPr>
        <w:t xml:space="preserve">ist ein prägnanter Satz. </w:t>
      </w:r>
      <w:r w:rsidRPr="008D68BA">
        <w:rPr>
          <w:rFonts w:eastAsia="Times New Roman" w:cs="Times New Roman"/>
          <w:b/>
          <w:bCs/>
          <w:rtl/>
          <w:lang w:eastAsia="de-DE"/>
        </w:rPr>
        <w:t>וַיַּקְרֵב</w:t>
      </w:r>
      <w:r w:rsidRPr="008D68BA">
        <w:rPr>
          <w:rFonts w:eastAsia="Times New Roman" w:cs="Times New Roman"/>
          <w:rtl/>
          <w:lang w:eastAsia="de-DE"/>
        </w:rPr>
        <w:t xml:space="preserve"> </w:t>
      </w:r>
      <w:r w:rsidRPr="008D68BA">
        <w:rPr>
          <w:rFonts w:eastAsia="Times New Roman" w:cs="Times New Roman"/>
          <w:lang w:eastAsia="de-DE"/>
        </w:rPr>
        <w:t xml:space="preserve">ist Hiphil Wayyiqtol 3. Person maskulin Singular von </w:t>
      </w:r>
      <w:r w:rsidRPr="008D68BA">
        <w:rPr>
          <w:rFonts w:eastAsia="Times New Roman" w:cs="Times New Roman"/>
          <w:b/>
          <w:bCs/>
          <w:rtl/>
          <w:lang w:eastAsia="de-DE"/>
        </w:rPr>
        <w:t>קרב</w:t>
      </w:r>
      <w:r w:rsidRPr="008D68BA">
        <w:rPr>
          <w:rFonts w:eastAsia="Times New Roman" w:cs="Times New Roman"/>
          <w:rtl/>
          <w:lang w:eastAsia="de-DE"/>
        </w:rPr>
        <w:t xml:space="preserve"> </w:t>
      </w:r>
      <w:r w:rsidRPr="008D68BA">
        <w:rPr>
          <w:rFonts w:eastAsia="Times New Roman" w:cs="Times New Roman"/>
          <w:lang w:eastAsia="de-DE"/>
        </w:rPr>
        <w:t xml:space="preserve">(„nahe bringen, herbringen, vorlegen"), </w:t>
      </w:r>
      <w:r w:rsidRPr="008D68BA">
        <w:rPr>
          <w:rFonts w:eastAsia="Times New Roman" w:cs="Times New Roman"/>
          <w:b/>
          <w:bCs/>
          <w:rtl/>
          <w:lang w:eastAsia="de-DE"/>
        </w:rPr>
        <w:t>מֹשֶׁה</w:t>
      </w:r>
      <w:r w:rsidRPr="008D68BA">
        <w:rPr>
          <w:rFonts w:eastAsia="Times New Roman" w:cs="Times New Roman"/>
          <w:rtl/>
          <w:lang w:eastAsia="de-DE"/>
        </w:rPr>
        <w:t xml:space="preserve"> </w:t>
      </w:r>
      <w:r w:rsidRPr="008D68BA">
        <w:rPr>
          <w:rFonts w:eastAsia="Times New Roman" w:cs="Times New Roman"/>
          <w:lang w:eastAsia="de-DE"/>
        </w:rPr>
        <w:t xml:space="preserve">ist das Subjekt. </w:t>
      </w:r>
      <w:r w:rsidRPr="008D68BA">
        <w:rPr>
          <w:rFonts w:eastAsia="Times New Roman" w:cs="Times New Roman"/>
          <w:b/>
          <w:bCs/>
          <w:rtl/>
          <w:lang w:eastAsia="de-DE"/>
        </w:rPr>
        <w:t>אֶת־מִשְׁפָּטָן</w:t>
      </w:r>
      <w:r w:rsidRPr="008D68BA">
        <w:rPr>
          <w:rFonts w:eastAsia="Times New Roman" w:cs="Times New Roman"/>
          <w:rtl/>
          <w:lang w:eastAsia="de-DE"/>
        </w:rPr>
        <w:t xml:space="preserve"> </w:t>
      </w:r>
      <w:r w:rsidRPr="008D68BA">
        <w:rPr>
          <w:rFonts w:eastAsia="Times New Roman" w:cs="Times New Roman"/>
          <w:lang w:eastAsia="de-DE"/>
        </w:rPr>
        <w:t xml:space="preserve">ist das Akkusativobjekt: </w:t>
      </w:r>
      <w:r w:rsidRPr="008D68BA">
        <w:rPr>
          <w:rFonts w:eastAsia="Times New Roman" w:cs="Times New Roman"/>
          <w:b/>
          <w:bCs/>
          <w:rtl/>
          <w:lang w:eastAsia="de-DE"/>
        </w:rPr>
        <w:t>מִשְׁפָּט</w:t>
      </w:r>
      <w:r w:rsidRPr="008D68BA">
        <w:rPr>
          <w:rFonts w:eastAsia="Times New Roman" w:cs="Times New Roman"/>
          <w:rtl/>
          <w:lang w:eastAsia="de-DE"/>
        </w:rPr>
        <w:t xml:space="preserve"> </w:t>
      </w:r>
      <w:r w:rsidRPr="008D68BA">
        <w:rPr>
          <w:rFonts w:eastAsia="Times New Roman" w:cs="Times New Roman"/>
          <w:lang w:eastAsia="de-DE"/>
        </w:rPr>
        <w:t xml:space="preserve">(maskuliner Singular „Rechtsfall, Rechtssache, Urteil") mit Suffix 3. Person feminin Plural („ihre Rechtssache"). </w:t>
      </w:r>
      <w:r w:rsidRPr="008D68BA">
        <w:rPr>
          <w:rFonts w:eastAsia="Times New Roman" w:cs="Times New Roman"/>
          <w:b/>
          <w:bCs/>
          <w:rtl/>
          <w:lang w:eastAsia="de-DE"/>
        </w:rPr>
        <w:t>לִפְנֵי יהוה</w:t>
      </w:r>
      <w:r w:rsidRPr="008D68BA">
        <w:rPr>
          <w:rFonts w:eastAsia="Times New Roman" w:cs="Times New Roman"/>
          <w:rtl/>
          <w:lang w:eastAsia="de-DE"/>
        </w:rPr>
        <w:t xml:space="preserve"> </w:t>
      </w:r>
      <w:r w:rsidRPr="008D68BA">
        <w:rPr>
          <w:rFonts w:eastAsia="Times New Roman" w:cs="Times New Roman"/>
          <w:lang w:eastAsia="de-DE"/>
        </w:rPr>
        <w:t xml:space="preserve">(Präposition </w:t>
      </w:r>
      <w:r w:rsidRPr="008D68BA">
        <w:rPr>
          <w:rFonts w:eastAsia="Times New Roman" w:cs="Times New Roman"/>
          <w:b/>
          <w:bCs/>
          <w:rtl/>
          <w:lang w:eastAsia="de-DE"/>
        </w:rPr>
        <w:t>לִפְנֵי</w:t>
      </w:r>
      <w:r w:rsidRPr="008D68BA">
        <w:rPr>
          <w:rFonts w:eastAsia="Times New Roman" w:cs="Times New Roman"/>
          <w:rtl/>
          <w:lang w:eastAsia="de-DE"/>
        </w:rPr>
        <w:t xml:space="preserve"> </w:t>
      </w:r>
      <w:r w:rsidRPr="008D68BA">
        <w:rPr>
          <w:rFonts w:eastAsia="Times New Roman" w:cs="Times New Roman"/>
          <w:lang w:eastAsia="de-DE"/>
        </w:rPr>
        <w:t>„vor" mit dem Tetragramm) zeigt, dass Mose den Fall an die höchste Instanz weiterleitet.</w:t>
      </w:r>
    </w:p>
    <w:p w14:paraId="4C778D6F" w14:textId="6D35829F" w:rsidR="008D68BA" w:rsidRPr="008D68BA" w:rsidRDefault="008D68BA" w:rsidP="00C0709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Moses Handeln zeigt Weisheit und Demut: Er entscheidet den Fall nicht eigenmächtig, obwohl er die höchste irdische Autorität ist. Er erkennt, dass hier ein grundsätzliches rechtliches Prinzip etabliert werden muss, das göttliche Autorität erfordert. Dies entspricht seinem früheren Verhalten in schwierigen Fällen (vgl. Ex 18,15-16; Lev 24,12; Num 9,8; 15,34).</w:t>
      </w:r>
    </w:p>
    <w:p w14:paraId="2179B577"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t>Die Satzstruktur zeigt einen einfachen Hauptsatz mit Verb, Subjekt, Objekt und Zielangabe.</w:t>
      </w:r>
    </w:p>
    <w:p w14:paraId="55335D69" w14:textId="77777777" w:rsidR="008D68BA" w:rsidRPr="008D68BA" w:rsidRDefault="008D68BA" w:rsidP="008D68BA">
      <w:pPr>
        <w:spacing w:before="100" w:beforeAutospacing="1" w:after="100" w:afterAutospacing="1" w:line="240" w:lineRule="auto"/>
        <w:rPr>
          <w:rFonts w:eastAsia="Times New Roman" w:cs="Times New Roman"/>
          <w:lang w:eastAsia="de-DE"/>
        </w:rPr>
      </w:pPr>
      <w:r w:rsidRPr="008D68BA">
        <w:rPr>
          <w:rFonts w:eastAsia="Times New Roman" w:cs="Times New Roman"/>
          <w:lang w:eastAsia="de-DE"/>
        </w:rPr>
        <w:lastRenderedPageBreak/>
        <w:t>Der Vers dokumentiert Moses Weisheit: Er weiß, wann ein Fall seine Kompetenz übersteigt oder wenn eine göttliche Entscheidung erforderlich ist, um Präzedenz für künftige Generationen zu schaffen. Die knappe Formulierung betont die Selbstverständlichkeit, mit der Mose bei grundsätzlichen Rechtsfragen göttliche Weisung einholt.</w:t>
      </w:r>
    </w:p>
    <w:p w14:paraId="181CB135" w14:textId="77777777" w:rsidR="007D3D45" w:rsidRPr="007D3D45" w:rsidRDefault="007D3D45" w:rsidP="007D3D45">
      <w:pPr>
        <w:spacing w:before="100" w:beforeAutospacing="1" w:after="100" w:afterAutospacing="1" w:line="240" w:lineRule="auto"/>
        <w:outlineLvl w:val="0"/>
        <w:rPr>
          <w:rFonts w:eastAsia="Times New Roman" w:cs="Times New Roman"/>
          <w:b/>
          <w:bCs/>
          <w:kern w:val="36"/>
          <w:sz w:val="48"/>
          <w:szCs w:val="48"/>
          <w:lang w:eastAsia="de-DE"/>
        </w:rPr>
      </w:pPr>
      <w:r w:rsidRPr="007D3D45">
        <w:rPr>
          <w:rFonts w:eastAsia="Times New Roman" w:cs="Times New Roman"/>
          <w:b/>
          <w:bCs/>
          <w:kern w:val="36"/>
          <w:sz w:val="48"/>
          <w:szCs w:val="48"/>
          <w:lang w:eastAsia="de-DE"/>
        </w:rPr>
        <w:t>Numeri 27,6</w:t>
      </w:r>
    </w:p>
    <w:p w14:paraId="1FC6F999"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Hebräisch:</w:t>
      </w:r>
      <w:r w:rsidRPr="007D3D45">
        <w:rPr>
          <w:rFonts w:eastAsia="Times New Roman" w:cs="Times New Roman"/>
          <w:lang w:eastAsia="de-DE"/>
        </w:rPr>
        <w:t xml:space="preserve"> </w:t>
      </w:r>
      <w:r w:rsidRPr="007D3D45">
        <w:rPr>
          <w:rFonts w:eastAsia="Times New Roman" w:cs="Times New Roman"/>
          <w:rtl/>
          <w:lang w:eastAsia="de-DE"/>
        </w:rPr>
        <w:t>וַיֹּ֥אמֶר יְהוָ֖ה אֶל־מֹשֶׁ֥ה לֵּאמֹֽר׃</w:t>
      </w:r>
    </w:p>
    <w:p w14:paraId="2F623707"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Deutsch:</w:t>
      </w:r>
      <w:r w:rsidRPr="007D3D45">
        <w:rPr>
          <w:rFonts w:eastAsia="Times New Roman" w:cs="Times New Roman"/>
          <w:lang w:eastAsia="de-DE"/>
        </w:rPr>
        <w:t xml:space="preserve"> Und der Ewige sprach zu Mosche, sagend:</w:t>
      </w:r>
    </w:p>
    <w:p w14:paraId="65E5D637" w14:textId="77777777" w:rsidR="007D3D45" w:rsidRPr="007D3D45" w:rsidRDefault="00F329DD" w:rsidP="007D3D45">
      <w:pPr>
        <w:spacing w:after="0" w:line="240" w:lineRule="auto"/>
        <w:rPr>
          <w:rFonts w:eastAsia="Times New Roman" w:cs="Times New Roman"/>
          <w:lang w:eastAsia="de-DE"/>
        </w:rPr>
      </w:pPr>
      <w:r>
        <w:rPr>
          <w:rFonts w:eastAsia="Times New Roman" w:cs="Times New Roman"/>
          <w:noProof/>
          <w:lang w:eastAsia="de-DE"/>
        </w:rPr>
        <w:pict w14:anchorId="678D53D8">
          <v:rect id="_x0000_i1887" style="width:0;height:1.5pt" o:hralign="center" o:hrstd="t" o:hr="t" fillcolor="#a0a0a0" stroked="f"/>
        </w:pict>
      </w:r>
    </w:p>
    <w:p w14:paraId="3D57F18B" w14:textId="67559E06"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Kommentar:</w:t>
      </w:r>
      <w:r w:rsidRPr="007D3D45">
        <w:rPr>
          <w:rFonts w:eastAsia="Times New Roman" w:cs="Times New Roman"/>
          <w:lang w:eastAsia="de-DE"/>
        </w:rPr>
        <w:t xml:space="preserve"> Der Vers ist die Standard-Redeeinleitung für göttliche Offenbarung. </w:t>
      </w:r>
      <w:r w:rsidRPr="007D3D45">
        <w:rPr>
          <w:rFonts w:eastAsia="Times New Roman" w:cs="Times New Roman"/>
          <w:b/>
          <w:bCs/>
          <w:rtl/>
          <w:lang w:eastAsia="de-DE"/>
        </w:rPr>
        <w:t>וַיֹּאמֶר</w:t>
      </w:r>
      <w:r w:rsidRPr="007D3D45">
        <w:rPr>
          <w:rFonts w:eastAsia="Times New Roman" w:cs="Times New Roman"/>
          <w:rtl/>
          <w:lang w:eastAsia="de-DE"/>
        </w:rPr>
        <w:t xml:space="preserve"> </w:t>
      </w:r>
      <w:r w:rsidRPr="007D3D45">
        <w:rPr>
          <w:rFonts w:eastAsia="Times New Roman" w:cs="Times New Roman"/>
          <w:lang w:eastAsia="de-DE"/>
        </w:rPr>
        <w:t xml:space="preserve">ist Qal Wayyiqtol 3. Person maskulin Singular von </w:t>
      </w:r>
      <w:r w:rsidRPr="007D3D45">
        <w:rPr>
          <w:rFonts w:eastAsia="Times New Roman" w:cs="Times New Roman"/>
          <w:b/>
          <w:bCs/>
          <w:rtl/>
          <w:lang w:eastAsia="de-DE"/>
        </w:rPr>
        <w:t>אמר</w:t>
      </w:r>
      <w:r w:rsidRPr="007D3D45">
        <w:rPr>
          <w:rFonts w:eastAsia="Times New Roman" w:cs="Times New Roman"/>
          <w:rtl/>
          <w:lang w:eastAsia="de-DE"/>
        </w:rPr>
        <w:t xml:space="preserve"> </w:t>
      </w:r>
      <w:r w:rsidRPr="007D3D45">
        <w:rPr>
          <w:rFonts w:eastAsia="Times New Roman" w:cs="Times New Roman"/>
          <w:lang w:eastAsia="de-DE"/>
        </w:rPr>
        <w:t xml:space="preserve">(„sagen, sprechen"), </w:t>
      </w:r>
      <w:r w:rsidRPr="007D3D45">
        <w:rPr>
          <w:rFonts w:eastAsia="Times New Roman" w:cs="Times New Roman"/>
          <w:b/>
          <w:bCs/>
          <w:rtl/>
          <w:lang w:eastAsia="de-DE"/>
        </w:rPr>
        <w:t>יהוה</w:t>
      </w:r>
      <w:r w:rsidRPr="007D3D45">
        <w:rPr>
          <w:rFonts w:eastAsia="Times New Roman" w:cs="Times New Roman"/>
          <w:rtl/>
          <w:lang w:eastAsia="de-DE"/>
        </w:rPr>
        <w:t xml:space="preserve"> </w:t>
      </w:r>
      <w:r w:rsidRPr="007D3D45">
        <w:rPr>
          <w:rFonts w:eastAsia="Times New Roman" w:cs="Times New Roman"/>
          <w:lang w:eastAsia="de-DE"/>
        </w:rPr>
        <w:t xml:space="preserve">ist das Subjekt (Tetragramm), </w:t>
      </w:r>
      <w:r w:rsidRPr="007D3D45">
        <w:rPr>
          <w:rFonts w:eastAsia="Times New Roman" w:cs="Times New Roman"/>
          <w:b/>
          <w:bCs/>
          <w:rtl/>
          <w:lang w:eastAsia="de-DE"/>
        </w:rPr>
        <w:t>אֶל־מֹשֶׁה</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אֶל</w:t>
      </w:r>
      <w:r w:rsidRPr="007D3D45">
        <w:rPr>
          <w:rFonts w:eastAsia="Times New Roman" w:cs="Times New Roman"/>
          <w:rtl/>
          <w:lang w:eastAsia="de-DE"/>
        </w:rPr>
        <w:t xml:space="preserve"> </w:t>
      </w:r>
      <w:r w:rsidRPr="007D3D45">
        <w:rPr>
          <w:rFonts w:eastAsia="Times New Roman" w:cs="Times New Roman"/>
          <w:lang w:eastAsia="de-DE"/>
        </w:rPr>
        <w:t xml:space="preserve">mit dem Eigennamen </w:t>
      </w:r>
      <w:r w:rsidRPr="007D3D45">
        <w:rPr>
          <w:rFonts w:eastAsia="Times New Roman" w:cs="Times New Roman"/>
          <w:b/>
          <w:bCs/>
          <w:rtl/>
          <w:lang w:eastAsia="de-DE"/>
        </w:rPr>
        <w:t>מֹשֶׁה</w:t>
      </w:r>
      <w:r w:rsidRPr="007D3D45">
        <w:rPr>
          <w:rFonts w:eastAsia="Times New Roman" w:cs="Times New Roman"/>
          <w:lang w:eastAsia="de-DE"/>
        </w:rPr>
        <w:t xml:space="preserve">) gibt den Adressaten an. </w:t>
      </w:r>
      <w:r w:rsidRPr="007D3D45">
        <w:rPr>
          <w:rFonts w:eastAsia="Times New Roman" w:cs="Times New Roman"/>
          <w:b/>
          <w:bCs/>
          <w:rtl/>
          <w:lang w:eastAsia="de-DE"/>
        </w:rPr>
        <w:t>לֵּאמֹר</w:t>
      </w:r>
      <w:r w:rsidRPr="007D3D45">
        <w:rPr>
          <w:rFonts w:eastAsia="Times New Roman" w:cs="Times New Roman"/>
          <w:rtl/>
          <w:lang w:eastAsia="de-DE"/>
        </w:rPr>
        <w:t xml:space="preserve"> </w:t>
      </w:r>
      <w:r w:rsidRPr="007D3D45">
        <w:rPr>
          <w:rFonts w:eastAsia="Times New Roman" w:cs="Times New Roman"/>
          <w:lang w:eastAsia="de-DE"/>
        </w:rPr>
        <w:t xml:space="preserve">ist Qal Infinitiv </w:t>
      </w:r>
      <w:r w:rsidR="00E031B3">
        <w:rPr>
          <w:rFonts w:eastAsia="Times New Roman" w:cs="Times New Roman"/>
          <w:lang w:eastAsia="de-DE"/>
        </w:rPr>
        <w:t>Constructus von</w:t>
      </w:r>
      <w:r w:rsidRPr="007D3D45">
        <w:rPr>
          <w:rFonts w:eastAsia="Times New Roman" w:cs="Times New Roman"/>
          <w:lang w:eastAsia="de-DE"/>
        </w:rPr>
        <w:t xml:space="preserve"> </w:t>
      </w:r>
      <w:r w:rsidRPr="007D3D45">
        <w:rPr>
          <w:rFonts w:eastAsia="Times New Roman" w:cs="Times New Roman"/>
          <w:b/>
          <w:bCs/>
          <w:rtl/>
          <w:lang w:eastAsia="de-DE"/>
        </w:rPr>
        <w:t>אמר</w:t>
      </w:r>
      <w:r w:rsidRPr="007D3D45">
        <w:rPr>
          <w:rFonts w:eastAsia="Times New Roman" w:cs="Times New Roman"/>
          <w:rtl/>
          <w:lang w:eastAsia="de-DE"/>
        </w:rPr>
        <w:t xml:space="preserve"> </w:t>
      </w:r>
      <w:r w:rsidRPr="007D3D45">
        <w:rPr>
          <w:rFonts w:eastAsia="Times New Roman" w:cs="Times New Roman"/>
          <w:lang w:eastAsia="de-DE"/>
        </w:rPr>
        <w:t xml:space="preserve">mit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(„sagend"), die standard-Formel zur Einleitung direkter Rede.</w:t>
      </w:r>
    </w:p>
    <w:p w14:paraId="5C1A844D"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Die Satzstruktur ist eine einfache Redeeinleitung mit Subjekt, Prädikat und Adressat, gefolgt von der Infinitivformel.</w:t>
      </w:r>
    </w:p>
    <w:p w14:paraId="005263CE"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Der Vers leitet die göttliche Antwort auf den Rechtsfall der Töchter Zelophchads ein und schafft Spannung für das folgende göttliche Urteil.</w:t>
      </w:r>
    </w:p>
    <w:p w14:paraId="73CB838A" w14:textId="77777777" w:rsidR="007D3D45" w:rsidRPr="007D3D45" w:rsidRDefault="007D3D45" w:rsidP="007D3D45">
      <w:pPr>
        <w:spacing w:before="100" w:beforeAutospacing="1" w:after="100" w:afterAutospacing="1" w:line="240" w:lineRule="auto"/>
        <w:outlineLvl w:val="0"/>
        <w:rPr>
          <w:rFonts w:eastAsia="Times New Roman" w:cs="Times New Roman"/>
          <w:b/>
          <w:bCs/>
          <w:kern w:val="36"/>
          <w:sz w:val="48"/>
          <w:szCs w:val="48"/>
          <w:lang w:eastAsia="de-DE"/>
        </w:rPr>
      </w:pPr>
      <w:r w:rsidRPr="007D3D45">
        <w:rPr>
          <w:rFonts w:eastAsia="Times New Roman" w:cs="Times New Roman"/>
          <w:b/>
          <w:bCs/>
          <w:kern w:val="36"/>
          <w:sz w:val="48"/>
          <w:szCs w:val="48"/>
          <w:lang w:eastAsia="de-DE"/>
        </w:rPr>
        <w:t>Numeri 27,7</w:t>
      </w:r>
    </w:p>
    <w:p w14:paraId="61823DB1"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Hebräisch:</w:t>
      </w:r>
      <w:r w:rsidRPr="007D3D45">
        <w:rPr>
          <w:rFonts w:eastAsia="Times New Roman" w:cs="Times New Roman"/>
          <w:lang w:eastAsia="de-DE"/>
        </w:rPr>
        <w:t xml:space="preserve"> </w:t>
      </w:r>
      <w:r w:rsidRPr="007D3D45">
        <w:rPr>
          <w:rFonts w:eastAsia="Times New Roman" w:cs="Times New Roman"/>
          <w:rtl/>
          <w:lang w:eastAsia="de-DE"/>
        </w:rPr>
        <w:t>כֵּ֗ן בְּנ֣וֹת צְלָפְחָד֮ דֹּבְרֹת֒ נָתֹ֨ן תִּתֵּ֤ן לָהֶם֙ אֲחֻזַּ֣ת נַחֲלָ֔ה בְּת֖וֹךְ אֲחֵ֣י אֲבִיהֶ֑ם וְהַֽעֲבַרְתָּ֛ אֶת־נַחֲלַ֥ת אֲבִיהֶ֖ן לָהֶֽן׃</w:t>
      </w:r>
    </w:p>
    <w:p w14:paraId="5C85A191"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Deutsch:</w:t>
      </w:r>
      <w:r w:rsidRPr="007D3D45">
        <w:rPr>
          <w:rFonts w:eastAsia="Times New Roman" w:cs="Times New Roman"/>
          <w:lang w:eastAsia="de-DE"/>
        </w:rPr>
        <w:t xml:space="preserve"> „Recht reden die Töchter Zelophchads. Du sollst ihnen gewiss einen Erbbesitz inmitten der Brüder ihres Vaters geben und sollst das Erbe ihres Vaters auf sie übergehen lassen.</w:t>
      </w:r>
    </w:p>
    <w:p w14:paraId="0D941198" w14:textId="77777777" w:rsidR="007D3D45" w:rsidRPr="007D3D45" w:rsidRDefault="00F329DD" w:rsidP="007D3D45">
      <w:pPr>
        <w:spacing w:after="0" w:line="240" w:lineRule="auto"/>
        <w:rPr>
          <w:rFonts w:eastAsia="Times New Roman" w:cs="Times New Roman"/>
          <w:lang w:eastAsia="de-DE"/>
        </w:rPr>
      </w:pPr>
      <w:r>
        <w:rPr>
          <w:rFonts w:eastAsia="Times New Roman" w:cs="Times New Roman"/>
          <w:noProof/>
          <w:lang w:eastAsia="de-DE"/>
        </w:rPr>
        <w:pict w14:anchorId="33D6812D">
          <v:rect id="_x0000_i1888" style="width:0;height:1.5pt" o:hralign="center" o:hrstd="t" o:hr="t" fillcolor="#a0a0a0" stroked="f"/>
        </w:pict>
      </w:r>
    </w:p>
    <w:p w14:paraId="0473A680" w14:textId="042E13BF"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Kommentar:</w:t>
      </w:r>
      <w:r w:rsidRPr="007D3D45">
        <w:rPr>
          <w:rFonts w:eastAsia="Times New Roman" w:cs="Times New Roman"/>
          <w:lang w:eastAsia="de-DE"/>
        </w:rPr>
        <w:t xml:space="preserve"> Der Vers enthält die bemerkenswerte göttliche Bestätigung und den Befehl. </w:t>
      </w:r>
      <w:r w:rsidRPr="007D3D45">
        <w:rPr>
          <w:rFonts w:eastAsia="Times New Roman" w:cs="Times New Roman"/>
          <w:b/>
          <w:bCs/>
          <w:rtl/>
          <w:lang w:eastAsia="de-DE"/>
        </w:rPr>
        <w:t>כֵּן בְּנוֹת צְלָפְחָד דֹּבְרֹת</w:t>
      </w:r>
      <w:r w:rsidRPr="007D3D45">
        <w:rPr>
          <w:rFonts w:eastAsia="Times New Roman" w:cs="Times New Roman"/>
          <w:rtl/>
          <w:lang w:eastAsia="de-DE"/>
        </w:rPr>
        <w:t xml:space="preserve"> </w:t>
      </w:r>
      <w:r w:rsidRPr="007D3D45">
        <w:rPr>
          <w:rFonts w:eastAsia="Times New Roman" w:cs="Times New Roman"/>
          <w:lang w:eastAsia="de-DE"/>
        </w:rPr>
        <w:t xml:space="preserve">ist die Eröffnung. </w:t>
      </w:r>
      <w:r w:rsidRPr="007D3D45">
        <w:rPr>
          <w:rFonts w:eastAsia="Times New Roman" w:cs="Times New Roman"/>
          <w:b/>
          <w:bCs/>
          <w:rtl/>
          <w:lang w:eastAsia="de-DE"/>
        </w:rPr>
        <w:t>כֵּן</w:t>
      </w:r>
      <w:r w:rsidRPr="007D3D45">
        <w:rPr>
          <w:rFonts w:eastAsia="Times New Roman" w:cs="Times New Roman"/>
          <w:rtl/>
          <w:lang w:eastAsia="de-DE"/>
        </w:rPr>
        <w:t xml:space="preserve"> </w:t>
      </w:r>
      <w:r w:rsidRPr="007D3D45">
        <w:rPr>
          <w:rFonts w:eastAsia="Times New Roman" w:cs="Times New Roman"/>
          <w:lang w:eastAsia="de-DE"/>
        </w:rPr>
        <w:t xml:space="preserve">ist ein Adverb der Bestätigung („richtig, recht, so"), </w:t>
      </w:r>
      <w:r w:rsidRPr="007D3D45">
        <w:rPr>
          <w:rFonts w:eastAsia="Times New Roman" w:cs="Times New Roman"/>
          <w:b/>
          <w:bCs/>
          <w:rtl/>
          <w:lang w:eastAsia="de-DE"/>
        </w:rPr>
        <w:t>בְּנוֹת צְלָפְחָד</w:t>
      </w:r>
      <w:r w:rsidRPr="007D3D45">
        <w:rPr>
          <w:rFonts w:eastAsia="Times New Roman" w:cs="Times New Roman"/>
          <w:rtl/>
          <w:lang w:eastAsia="de-DE"/>
        </w:rPr>
        <w:t xml:space="preserve"> </w:t>
      </w:r>
      <w:r w:rsidRPr="007D3D45">
        <w:rPr>
          <w:rFonts w:eastAsia="Times New Roman" w:cs="Times New Roman"/>
          <w:lang w:eastAsia="de-DE"/>
        </w:rPr>
        <w:t xml:space="preserve">ist das Subjekt, </w:t>
      </w:r>
      <w:r w:rsidRPr="007D3D45">
        <w:rPr>
          <w:rFonts w:eastAsia="Times New Roman" w:cs="Times New Roman"/>
          <w:b/>
          <w:bCs/>
          <w:rtl/>
          <w:lang w:eastAsia="de-DE"/>
        </w:rPr>
        <w:t>דֹּבְרֹת</w:t>
      </w:r>
      <w:r w:rsidRPr="007D3D45">
        <w:rPr>
          <w:rFonts w:eastAsia="Times New Roman" w:cs="Times New Roman"/>
          <w:rtl/>
          <w:lang w:eastAsia="de-DE"/>
        </w:rPr>
        <w:t xml:space="preserve"> </w:t>
      </w:r>
      <w:r w:rsidRPr="007D3D45">
        <w:rPr>
          <w:rFonts w:eastAsia="Times New Roman" w:cs="Times New Roman"/>
          <w:lang w:eastAsia="de-DE"/>
        </w:rPr>
        <w:t xml:space="preserve">ist Qal-Partizip feminin Plural von </w:t>
      </w:r>
      <w:r w:rsidRPr="007D3D45">
        <w:rPr>
          <w:rFonts w:eastAsia="Times New Roman" w:cs="Times New Roman"/>
          <w:b/>
          <w:bCs/>
          <w:rtl/>
          <w:lang w:eastAsia="de-DE"/>
        </w:rPr>
        <w:t>דבר</w:t>
      </w:r>
      <w:r w:rsidRPr="007D3D45">
        <w:rPr>
          <w:rFonts w:eastAsia="Times New Roman" w:cs="Times New Roman"/>
          <w:rtl/>
          <w:lang w:eastAsia="de-DE"/>
        </w:rPr>
        <w:t xml:space="preserve"> </w:t>
      </w:r>
      <w:r w:rsidRPr="007D3D45">
        <w:rPr>
          <w:rFonts w:eastAsia="Times New Roman" w:cs="Times New Roman"/>
          <w:lang w:eastAsia="de-DE"/>
        </w:rPr>
        <w:t xml:space="preserve">(„reden, sprechen"). Die </w:t>
      </w:r>
      <w:r w:rsidR="00F133EC">
        <w:rPr>
          <w:rFonts w:eastAsia="Times New Roman" w:cs="Times New Roman"/>
          <w:lang w:eastAsia="de-DE"/>
        </w:rPr>
        <w:t>Construct</w:t>
      </w:r>
      <w:r w:rsidRPr="007D3D45">
        <w:rPr>
          <w:rFonts w:eastAsia="Times New Roman" w:cs="Times New Roman"/>
          <w:lang w:eastAsia="de-DE"/>
        </w:rPr>
        <w:t>ion ist ein Nominalsatz: „Recht reden die Töchter Zelophchads". Gott bestätigt explizit die Richtigkeit ihres Arguments, was außergewöhnlich ist und ihre mutige Initiative würdigt.</w:t>
      </w:r>
    </w:p>
    <w:p w14:paraId="63C72B67" w14:textId="7274A644"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נָתֹן תִּתֵּן לָהֶם אֲחֻזַּת נַחֲלָה בְּתוֹךְ אֲחֵי אֲבִיהֶם</w:t>
      </w:r>
      <w:r w:rsidRPr="007D3D45">
        <w:rPr>
          <w:rFonts w:eastAsia="Times New Roman" w:cs="Times New Roman"/>
          <w:rtl/>
          <w:lang w:eastAsia="de-DE"/>
        </w:rPr>
        <w:t xml:space="preserve"> </w:t>
      </w:r>
      <w:r w:rsidRPr="007D3D45">
        <w:rPr>
          <w:rFonts w:eastAsia="Times New Roman" w:cs="Times New Roman"/>
          <w:lang w:eastAsia="de-DE"/>
        </w:rPr>
        <w:t xml:space="preserve">ist der erste Befehl. </w:t>
      </w:r>
      <w:r w:rsidRPr="007D3D45">
        <w:rPr>
          <w:rFonts w:eastAsia="Times New Roman" w:cs="Times New Roman"/>
          <w:b/>
          <w:bCs/>
          <w:rtl/>
          <w:lang w:eastAsia="de-DE"/>
        </w:rPr>
        <w:t>נָתֹן תִּתֵּן</w:t>
      </w:r>
      <w:r w:rsidRPr="007D3D45">
        <w:rPr>
          <w:rFonts w:eastAsia="Times New Roman" w:cs="Times New Roman"/>
          <w:rtl/>
          <w:lang w:eastAsia="de-DE"/>
        </w:rPr>
        <w:t xml:space="preserve"> </w:t>
      </w:r>
      <w:r w:rsidRPr="007D3D45">
        <w:rPr>
          <w:rFonts w:eastAsia="Times New Roman" w:cs="Times New Roman"/>
          <w:lang w:eastAsia="de-DE"/>
        </w:rPr>
        <w:t xml:space="preserve">ist die emphatische Verstärkungskonstruktion mit Infinitiv Absolutus und Qal Imperfekt 2. Person maskulin Singular von </w:t>
      </w:r>
      <w:r w:rsidRPr="007D3D45">
        <w:rPr>
          <w:rFonts w:eastAsia="Times New Roman" w:cs="Times New Roman"/>
          <w:b/>
          <w:bCs/>
          <w:rtl/>
          <w:lang w:eastAsia="de-DE"/>
        </w:rPr>
        <w:t>נתן</w:t>
      </w:r>
      <w:r w:rsidRPr="007D3D45">
        <w:rPr>
          <w:rFonts w:eastAsia="Times New Roman" w:cs="Times New Roman"/>
          <w:rtl/>
          <w:lang w:eastAsia="de-DE"/>
        </w:rPr>
        <w:t xml:space="preserve"> </w:t>
      </w:r>
      <w:r w:rsidRPr="007D3D45">
        <w:rPr>
          <w:rFonts w:eastAsia="Times New Roman" w:cs="Times New Roman"/>
          <w:lang w:eastAsia="de-DE"/>
        </w:rPr>
        <w:t xml:space="preserve">(„du sollst gewiss geben"). </w:t>
      </w:r>
      <w:r w:rsidRPr="007D3D45">
        <w:rPr>
          <w:rFonts w:eastAsia="Times New Roman" w:cs="Times New Roman"/>
          <w:b/>
          <w:bCs/>
          <w:rtl/>
          <w:lang w:eastAsia="de-DE"/>
        </w:rPr>
        <w:t>לָהֶם</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 xml:space="preserve">mit Suffix 3. Person feminin Plural „ihnen"). </w:t>
      </w:r>
      <w:r w:rsidRPr="007D3D45">
        <w:rPr>
          <w:rFonts w:eastAsia="Times New Roman" w:cs="Times New Roman"/>
          <w:b/>
          <w:bCs/>
          <w:rtl/>
          <w:lang w:eastAsia="de-DE"/>
        </w:rPr>
        <w:t>אֲחֻזַּת נַחֲלָה</w:t>
      </w:r>
      <w:r w:rsidRPr="007D3D45">
        <w:rPr>
          <w:rFonts w:eastAsia="Times New Roman" w:cs="Times New Roman"/>
          <w:rtl/>
          <w:lang w:eastAsia="de-DE"/>
        </w:rPr>
        <w:t xml:space="preserve"> </w:t>
      </w:r>
      <w:r w:rsidRPr="007D3D45">
        <w:rPr>
          <w:rFonts w:eastAsia="Times New Roman" w:cs="Times New Roman"/>
          <w:lang w:eastAsia="de-DE"/>
        </w:rPr>
        <w:t xml:space="preserve">ist eine Genitivverbindung zweier synonymer Begriffe: </w:t>
      </w:r>
      <w:r w:rsidRPr="007D3D45">
        <w:rPr>
          <w:rFonts w:eastAsia="Times New Roman" w:cs="Times New Roman"/>
          <w:b/>
          <w:bCs/>
          <w:rtl/>
          <w:lang w:eastAsia="de-DE"/>
        </w:rPr>
        <w:t>אֲחֻזָּה</w:t>
      </w:r>
      <w:r w:rsidRPr="007D3D45">
        <w:rPr>
          <w:rFonts w:eastAsia="Times New Roman" w:cs="Times New Roman"/>
          <w:rtl/>
          <w:lang w:eastAsia="de-DE"/>
        </w:rPr>
        <w:t xml:space="preserve"> </w:t>
      </w:r>
      <w:r w:rsidRPr="007D3D45">
        <w:rPr>
          <w:rFonts w:eastAsia="Times New Roman" w:cs="Times New Roman"/>
          <w:lang w:eastAsia="de-DE"/>
        </w:rPr>
        <w:t xml:space="preserve">(„Besitz, Landbesitz") im </w:t>
      </w:r>
      <w:r w:rsidR="00E031B3">
        <w:rPr>
          <w:rFonts w:eastAsia="Times New Roman" w:cs="Times New Roman"/>
          <w:lang w:eastAsia="de-DE"/>
        </w:rPr>
        <w:t>Constructus und</w:t>
      </w:r>
      <w:r w:rsidRPr="007D3D45">
        <w:rPr>
          <w:rFonts w:eastAsia="Times New Roman" w:cs="Times New Roman"/>
          <w:lang w:eastAsia="de-DE"/>
        </w:rPr>
        <w:t xml:space="preserve"> </w:t>
      </w:r>
      <w:r w:rsidRPr="007D3D45">
        <w:rPr>
          <w:rFonts w:eastAsia="Times New Roman" w:cs="Times New Roman"/>
          <w:b/>
          <w:bCs/>
          <w:rtl/>
          <w:lang w:eastAsia="de-DE"/>
        </w:rPr>
        <w:t>נַחֲלָה</w:t>
      </w:r>
      <w:r w:rsidRPr="007D3D45">
        <w:rPr>
          <w:rFonts w:eastAsia="Times New Roman" w:cs="Times New Roman"/>
          <w:rtl/>
          <w:lang w:eastAsia="de-DE"/>
        </w:rPr>
        <w:t xml:space="preserve"> </w:t>
      </w:r>
      <w:r w:rsidRPr="007D3D45">
        <w:rPr>
          <w:rFonts w:eastAsia="Times New Roman" w:cs="Times New Roman"/>
          <w:lang w:eastAsia="de-DE"/>
        </w:rPr>
        <w:t xml:space="preserve">(„Erbe, Erbbesitz"), die zusammen „erblicher Landbesitz" bedeuten. </w:t>
      </w:r>
      <w:r w:rsidRPr="007D3D45">
        <w:rPr>
          <w:rFonts w:eastAsia="Times New Roman" w:cs="Times New Roman"/>
          <w:b/>
          <w:bCs/>
          <w:rtl/>
          <w:lang w:eastAsia="de-DE"/>
        </w:rPr>
        <w:t>בְּתוֹךְ אֲחֵי אֲבִיהֶם</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בְ</w:t>
      </w:r>
      <w:r w:rsidRPr="007D3D45">
        <w:rPr>
          <w:rFonts w:eastAsia="Times New Roman" w:cs="Times New Roman"/>
          <w:rtl/>
          <w:lang w:eastAsia="de-DE"/>
        </w:rPr>
        <w:t xml:space="preserve"> </w:t>
      </w:r>
      <w:r w:rsidRPr="007D3D45">
        <w:rPr>
          <w:rFonts w:eastAsia="Times New Roman" w:cs="Times New Roman"/>
          <w:lang w:eastAsia="de-DE"/>
        </w:rPr>
        <w:t xml:space="preserve">mit </w:t>
      </w:r>
      <w:r w:rsidRPr="007D3D45">
        <w:rPr>
          <w:rFonts w:eastAsia="Times New Roman" w:cs="Times New Roman"/>
          <w:b/>
          <w:bCs/>
          <w:rtl/>
          <w:lang w:eastAsia="de-DE"/>
        </w:rPr>
        <w:t>תּוֹךְ</w:t>
      </w:r>
      <w:r w:rsidRPr="007D3D45">
        <w:rPr>
          <w:rFonts w:eastAsia="Times New Roman" w:cs="Times New Roman"/>
          <w:rtl/>
          <w:lang w:eastAsia="de-DE"/>
        </w:rPr>
        <w:t xml:space="preserve"> </w:t>
      </w:r>
      <w:r w:rsidRPr="007D3D45">
        <w:rPr>
          <w:rFonts w:eastAsia="Times New Roman" w:cs="Times New Roman"/>
          <w:lang w:eastAsia="de-DE"/>
        </w:rPr>
        <w:t xml:space="preserve">„Mitte", </w:t>
      </w:r>
      <w:r w:rsidRPr="007D3D45">
        <w:rPr>
          <w:rFonts w:eastAsia="Times New Roman" w:cs="Times New Roman"/>
          <w:b/>
          <w:bCs/>
          <w:rtl/>
          <w:lang w:eastAsia="de-DE"/>
        </w:rPr>
        <w:t>אֲחֵי</w:t>
      </w:r>
      <w:r w:rsidRPr="007D3D45">
        <w:rPr>
          <w:rFonts w:eastAsia="Times New Roman" w:cs="Times New Roman"/>
          <w:rtl/>
          <w:lang w:eastAsia="de-DE"/>
        </w:rPr>
        <w:t xml:space="preserve"> </w:t>
      </w:r>
      <w:r w:rsidRPr="007D3D45">
        <w:rPr>
          <w:rFonts w:eastAsia="Times New Roman" w:cs="Times New Roman"/>
          <w:lang w:eastAsia="de-DE"/>
        </w:rPr>
        <w:t xml:space="preserve">Plural </w:t>
      </w:r>
      <w:r w:rsidR="00E031B3">
        <w:rPr>
          <w:rFonts w:eastAsia="Times New Roman" w:cs="Times New Roman"/>
          <w:lang w:eastAsia="de-DE"/>
        </w:rPr>
        <w:t xml:space="preserve">Constructus </w:t>
      </w:r>
      <w:r w:rsidR="00E031B3">
        <w:rPr>
          <w:rFonts w:eastAsia="Times New Roman" w:cs="Times New Roman"/>
          <w:lang w:eastAsia="de-DE"/>
        </w:rPr>
        <w:lastRenderedPageBreak/>
        <w:t>von</w:t>
      </w:r>
      <w:r w:rsidRPr="007D3D45">
        <w:rPr>
          <w:rFonts w:eastAsia="Times New Roman" w:cs="Times New Roman"/>
          <w:lang w:eastAsia="de-DE"/>
        </w:rPr>
        <w:t xml:space="preserve"> </w:t>
      </w:r>
      <w:r w:rsidRPr="007D3D45">
        <w:rPr>
          <w:rFonts w:eastAsia="Times New Roman" w:cs="Times New Roman"/>
          <w:b/>
          <w:bCs/>
          <w:rtl/>
          <w:lang w:eastAsia="de-DE"/>
        </w:rPr>
        <w:t>אָח</w:t>
      </w:r>
      <w:r w:rsidRPr="007D3D45">
        <w:rPr>
          <w:rFonts w:eastAsia="Times New Roman" w:cs="Times New Roman"/>
          <w:rtl/>
          <w:lang w:eastAsia="de-DE"/>
        </w:rPr>
        <w:t xml:space="preserve"> </w:t>
      </w:r>
      <w:r w:rsidRPr="007D3D45">
        <w:rPr>
          <w:rFonts w:eastAsia="Times New Roman" w:cs="Times New Roman"/>
          <w:lang w:eastAsia="de-DE"/>
        </w:rPr>
        <w:t xml:space="preserve">„Bruder" und </w:t>
      </w:r>
      <w:r w:rsidRPr="007D3D45">
        <w:rPr>
          <w:rFonts w:eastAsia="Times New Roman" w:cs="Times New Roman"/>
          <w:b/>
          <w:bCs/>
          <w:rtl/>
          <w:lang w:eastAsia="de-DE"/>
        </w:rPr>
        <w:t>אֲבִיהֶם</w:t>
      </w:r>
      <w:r w:rsidRPr="007D3D45">
        <w:rPr>
          <w:rFonts w:eastAsia="Times New Roman" w:cs="Times New Roman"/>
          <w:rtl/>
          <w:lang w:eastAsia="de-DE"/>
        </w:rPr>
        <w:t xml:space="preserve"> </w:t>
      </w:r>
      <w:r w:rsidRPr="007D3D45">
        <w:rPr>
          <w:rFonts w:eastAsia="Times New Roman" w:cs="Times New Roman"/>
          <w:lang w:eastAsia="de-DE"/>
        </w:rPr>
        <w:t>„ihr Vater" mit Suffix 3. Person feminin Plural) wiederholt die Formulierung aus V. 4 und bestätigt die Gleichstellung mit den männlichen Verwandten.</w:t>
      </w:r>
    </w:p>
    <w:p w14:paraId="6AD90361" w14:textId="36D27F35"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וְהַעֲבַרְתָּ אֶת־נַחֲלַת אֲבִיהֶן לָהֶן</w:t>
      </w:r>
      <w:r w:rsidRPr="007D3D45">
        <w:rPr>
          <w:rFonts w:eastAsia="Times New Roman" w:cs="Times New Roman"/>
          <w:rtl/>
          <w:lang w:eastAsia="de-DE"/>
        </w:rPr>
        <w:t xml:space="preserve"> </w:t>
      </w:r>
      <w:r w:rsidRPr="007D3D45">
        <w:rPr>
          <w:rFonts w:eastAsia="Times New Roman" w:cs="Times New Roman"/>
          <w:lang w:eastAsia="de-DE"/>
        </w:rPr>
        <w:t xml:space="preserve">ist der zweite Befehl. </w:t>
      </w:r>
      <w:r w:rsidRPr="007D3D45">
        <w:rPr>
          <w:rFonts w:eastAsia="Times New Roman" w:cs="Times New Roman"/>
          <w:b/>
          <w:bCs/>
          <w:rtl/>
          <w:lang w:eastAsia="de-DE"/>
        </w:rPr>
        <w:t>וְהַעֲבַרְתָּ</w:t>
      </w:r>
      <w:r w:rsidRPr="007D3D45">
        <w:rPr>
          <w:rFonts w:eastAsia="Times New Roman" w:cs="Times New Roman"/>
          <w:rtl/>
          <w:lang w:eastAsia="de-DE"/>
        </w:rPr>
        <w:t xml:space="preserve"> </w:t>
      </w:r>
      <w:r w:rsidRPr="007D3D45">
        <w:rPr>
          <w:rFonts w:eastAsia="Times New Roman" w:cs="Times New Roman"/>
          <w:lang w:eastAsia="de-DE"/>
        </w:rPr>
        <w:t xml:space="preserve">ist Hiphil Perfekt (mit Waw consecutivum) 2. Person maskulin Singular von </w:t>
      </w:r>
      <w:r w:rsidRPr="007D3D45">
        <w:rPr>
          <w:rFonts w:eastAsia="Times New Roman" w:cs="Times New Roman"/>
          <w:b/>
          <w:bCs/>
          <w:rtl/>
          <w:lang w:eastAsia="de-DE"/>
        </w:rPr>
        <w:t>עבר</w:t>
      </w:r>
      <w:r w:rsidRPr="007D3D45">
        <w:rPr>
          <w:rFonts w:eastAsia="Times New Roman" w:cs="Times New Roman"/>
          <w:rtl/>
          <w:lang w:eastAsia="de-DE"/>
        </w:rPr>
        <w:t xml:space="preserve"> </w:t>
      </w:r>
      <w:r w:rsidRPr="007D3D45">
        <w:rPr>
          <w:rFonts w:eastAsia="Times New Roman" w:cs="Times New Roman"/>
          <w:lang w:eastAsia="de-DE"/>
        </w:rPr>
        <w:t xml:space="preserve">(„übergehen lassen, übertragen"), </w:t>
      </w:r>
      <w:r w:rsidRPr="007D3D45">
        <w:rPr>
          <w:rFonts w:eastAsia="Times New Roman" w:cs="Times New Roman"/>
          <w:b/>
          <w:bCs/>
          <w:rtl/>
          <w:lang w:eastAsia="de-DE"/>
        </w:rPr>
        <w:t>אֶת־נַחֲלַת אֲבִיהֶן</w:t>
      </w:r>
      <w:r w:rsidRPr="007D3D45">
        <w:rPr>
          <w:rFonts w:eastAsia="Times New Roman" w:cs="Times New Roman"/>
          <w:rtl/>
          <w:lang w:eastAsia="de-DE"/>
        </w:rPr>
        <w:t xml:space="preserve"> </w:t>
      </w:r>
      <w:r w:rsidRPr="007D3D45">
        <w:rPr>
          <w:rFonts w:eastAsia="Times New Roman" w:cs="Times New Roman"/>
          <w:lang w:eastAsia="de-DE"/>
        </w:rPr>
        <w:t xml:space="preserve">(„das Erbe ihres Vaters") ist das Objekt mit </w:t>
      </w:r>
      <w:r w:rsidRPr="007D3D45">
        <w:rPr>
          <w:rFonts w:eastAsia="Times New Roman" w:cs="Times New Roman"/>
          <w:b/>
          <w:bCs/>
          <w:rtl/>
          <w:lang w:eastAsia="de-DE"/>
        </w:rPr>
        <w:t>נַחֲלַת</w:t>
      </w:r>
      <w:r w:rsidRPr="007D3D45">
        <w:rPr>
          <w:rFonts w:eastAsia="Times New Roman" w:cs="Times New Roman"/>
          <w:rtl/>
          <w:lang w:eastAsia="de-DE"/>
        </w:rPr>
        <w:t xml:space="preserve"> </w:t>
      </w:r>
      <w:r w:rsidRPr="007D3D45">
        <w:rPr>
          <w:rFonts w:eastAsia="Times New Roman" w:cs="Times New Roman"/>
          <w:lang w:eastAsia="de-DE"/>
        </w:rPr>
        <w:t xml:space="preserve">im </w:t>
      </w:r>
      <w:r w:rsidR="00E031B3">
        <w:rPr>
          <w:rFonts w:eastAsia="Times New Roman" w:cs="Times New Roman"/>
          <w:lang w:eastAsia="de-DE"/>
        </w:rPr>
        <w:t>Constructus und</w:t>
      </w:r>
      <w:r w:rsidRPr="007D3D45">
        <w:rPr>
          <w:rFonts w:eastAsia="Times New Roman" w:cs="Times New Roman"/>
          <w:lang w:eastAsia="de-DE"/>
        </w:rPr>
        <w:t xml:space="preserve"> </w:t>
      </w:r>
      <w:r w:rsidRPr="007D3D45">
        <w:rPr>
          <w:rFonts w:eastAsia="Times New Roman" w:cs="Times New Roman"/>
          <w:b/>
          <w:bCs/>
          <w:rtl/>
          <w:lang w:eastAsia="de-DE"/>
        </w:rPr>
        <w:t>אֲבִיהֶן</w:t>
      </w:r>
      <w:r w:rsidRPr="007D3D45">
        <w:rPr>
          <w:rFonts w:eastAsia="Times New Roman" w:cs="Times New Roman"/>
          <w:rtl/>
          <w:lang w:eastAsia="de-DE"/>
        </w:rPr>
        <w:t xml:space="preserve"> </w:t>
      </w:r>
      <w:r w:rsidRPr="007D3D45">
        <w:rPr>
          <w:rFonts w:eastAsia="Times New Roman" w:cs="Times New Roman"/>
          <w:lang w:eastAsia="de-DE"/>
        </w:rPr>
        <w:t xml:space="preserve">(Suffix 3. Person feminin Plural), </w:t>
      </w:r>
      <w:r w:rsidRPr="007D3D45">
        <w:rPr>
          <w:rFonts w:eastAsia="Times New Roman" w:cs="Times New Roman"/>
          <w:b/>
          <w:bCs/>
          <w:rtl/>
          <w:lang w:eastAsia="de-DE"/>
        </w:rPr>
        <w:t>לָהֶן</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mit Suffix 3. Person feminin Plural „auf sie, zu ihnen") gibt die Richtung an. Das Hiphil drückt die kausative Handlung aus: Mose soll aktiv dafür sorgen, dass das Erbe auf die Töchter übergeht.</w:t>
      </w:r>
    </w:p>
    <w:p w14:paraId="22638ED6" w14:textId="3DBF3671"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Die LXX</w:t>
      </w:r>
      <w:r w:rsidRPr="007D3D45">
        <w:rPr>
          <w:rFonts w:eastAsia="Times New Roman" w:cs="Times New Roman"/>
          <w:lang w:eastAsia="de-DE"/>
        </w:rPr>
        <w:t xml:space="preserve"> </w:t>
      </w:r>
      <w:r w:rsidR="002900A1">
        <w:t>übersetzt „</w:t>
      </w:r>
      <w:r w:rsidR="002900A1" w:rsidRPr="002900A1">
        <w:rPr>
          <w:b/>
          <w:bCs/>
          <w:rtl/>
        </w:rPr>
        <w:t>כֵּן בְּנוֹת צְלָפְחָד דֹּבְרֹת</w:t>
      </w:r>
      <w:r w:rsidR="002900A1">
        <w:t>" (Die Töchter Zelophchads sprechen recht) mit „Ὀρθῶς θυγατέρες Σαλπαὰδ λελαλήκασιν" (Richtig haben die Töchter Salpaads gesprochen).</w:t>
      </w:r>
    </w:p>
    <w:p w14:paraId="606B5F1D"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Die Satzstruktur zeigt einen bestätigenden Nominalsatz, gefolgt von zwei koordinierten Imperativen (der erste mit Verstärkungskonstruktion, der zweite mit Waw consecutivum), die die praktische Umsetzung anordnen.</w:t>
      </w:r>
    </w:p>
    <w:p w14:paraId="190F31E5" w14:textId="7DF1EC51" w:rsidR="00041673" w:rsidRDefault="007D3D45" w:rsidP="00041673">
      <w:pPr>
        <w:pStyle w:val="KeinLeerraum"/>
      </w:pPr>
      <w:r w:rsidRPr="00041673">
        <w:t>Der Vers validiert nicht nur die Bitte der Töchter, sondern lobt ausdrücklich ihre Argumentation, was ihre Rechtschaffenheit und ihren Mut würdigt. Das göttliche Urteil schafft einen rechtlichen Präzedenzfall für alle zukünftigen Generationen und zeigt, dass Gerechtigkeit über Tradition steht.</w:t>
      </w:r>
      <w:r w:rsidR="00041673" w:rsidRPr="00041673">
        <w:rPr>
          <w:i/>
          <w:iCs/>
        </w:rPr>
        <w:t xml:space="preserve"> </w:t>
      </w:r>
      <w:r w:rsidR="00041673" w:rsidRPr="00041673">
        <w:rPr>
          <w:rStyle w:val="Fett"/>
          <w:b w:val="0"/>
          <w:bCs w:val="0"/>
        </w:rPr>
        <w:t>Gerechtigkeit ist nicht identisch mit Tradition.</w:t>
      </w:r>
    </w:p>
    <w:p w14:paraId="76F9CC7E" w14:textId="4503EAB8" w:rsidR="00041673" w:rsidRDefault="00041673" w:rsidP="00041673">
      <w:pPr>
        <w:pStyle w:val="StandardWeb"/>
      </w:pPr>
      <w:r>
        <w:t>Die Tora</w:t>
      </w:r>
      <w:r>
        <w:t>h</w:t>
      </w:r>
      <w:r>
        <w:t xml:space="preserve"> zeigt sich hier </w:t>
      </w:r>
      <w:r>
        <w:rPr>
          <w:rStyle w:val="Fett"/>
        </w:rPr>
        <w:t>dynamisch</w:t>
      </w:r>
      <w:r>
        <w:t>, nicht statisch:</w:t>
      </w:r>
    </w:p>
    <w:p w14:paraId="682707B7" w14:textId="77777777" w:rsidR="00041673" w:rsidRDefault="00041673" w:rsidP="00F329DD">
      <w:pPr>
        <w:pStyle w:val="StandardWeb"/>
        <w:numPr>
          <w:ilvl w:val="0"/>
          <w:numId w:val="271"/>
        </w:numPr>
      </w:pPr>
      <w:r>
        <w:t>Tradition = bewahrenswert</w:t>
      </w:r>
    </w:p>
    <w:p w14:paraId="79CA7F4B" w14:textId="5264BEA0" w:rsidR="00041673" w:rsidRPr="00041673" w:rsidRDefault="00041673" w:rsidP="00F329DD">
      <w:pPr>
        <w:pStyle w:val="StandardWeb"/>
        <w:numPr>
          <w:ilvl w:val="0"/>
          <w:numId w:val="271"/>
        </w:numPr>
      </w:pPr>
      <w:r>
        <w:rPr>
          <w:rStyle w:val="Fett"/>
        </w:rPr>
        <w:t>Gerechtigkeit (</w:t>
      </w:r>
      <w:r>
        <w:rPr>
          <w:rStyle w:val="Fett"/>
          <w:rtl/>
        </w:rPr>
        <w:t>צְדָקָה</w:t>
      </w:r>
      <w:r>
        <w:rPr>
          <w:rStyle w:val="Fett"/>
        </w:rPr>
        <w:t>)</w:t>
      </w:r>
      <w:r>
        <w:t xml:space="preserve"> = normativ höhergestellt</w:t>
      </w:r>
    </w:p>
    <w:p w14:paraId="05D43BE2" w14:textId="2D142B36" w:rsidR="00041673" w:rsidRPr="00041673" w:rsidRDefault="00041673" w:rsidP="00041673">
      <w:pPr>
        <w:pStyle w:val="berschrift4"/>
        <w:rPr>
          <w:rFonts w:ascii="Times New Roman" w:hAnsi="Times New Roman" w:cs="Times New Roman"/>
          <w:b/>
          <w:bCs/>
          <w:i w:val="0"/>
          <w:iCs w:val="0"/>
          <w:color w:val="auto"/>
        </w:rPr>
      </w:pPr>
      <w:r w:rsidRPr="00041673">
        <w:rPr>
          <w:rFonts w:ascii="Times New Roman" w:hAnsi="Times New Roman" w:cs="Times New Roman"/>
          <w:b/>
          <w:bCs/>
          <w:i w:val="0"/>
          <w:iCs w:val="0"/>
          <w:color w:val="auto"/>
        </w:rPr>
        <w:t>NT-Perspektive</w:t>
      </w:r>
    </w:p>
    <w:p w14:paraId="3A0A0E37" w14:textId="77777777" w:rsidR="00041673" w:rsidRDefault="00041673" w:rsidP="00041673">
      <w:pPr>
        <w:pStyle w:val="StandardWeb"/>
      </w:pPr>
      <w:r>
        <w:t>Dieses Prinzip findet im NT klare Entsprechungen:</w:t>
      </w:r>
    </w:p>
    <w:p w14:paraId="2ED027E7" w14:textId="77777777" w:rsidR="00041673" w:rsidRDefault="00041673" w:rsidP="00F329DD">
      <w:pPr>
        <w:pStyle w:val="StandardWeb"/>
        <w:numPr>
          <w:ilvl w:val="0"/>
          <w:numId w:val="270"/>
        </w:numPr>
      </w:pPr>
      <w:r>
        <w:rPr>
          <w:rStyle w:val="Fett"/>
        </w:rPr>
        <w:t>Jesus</w:t>
      </w:r>
      <w:r>
        <w:t>:</w:t>
      </w:r>
    </w:p>
    <w:p w14:paraId="02978D2F" w14:textId="77777777" w:rsidR="00041673" w:rsidRDefault="00041673" w:rsidP="00F329DD">
      <w:pPr>
        <w:pStyle w:val="StandardWeb"/>
        <w:numPr>
          <w:ilvl w:val="1"/>
          <w:numId w:val="270"/>
        </w:numPr>
      </w:pPr>
      <w:r>
        <w:t xml:space="preserve">Mk 2,27: </w:t>
      </w:r>
      <w:r>
        <w:rPr>
          <w:rStyle w:val="Hervorhebung"/>
        </w:rPr>
        <w:t>„Der Sabbat ist um des Menschen willen gemacht…“</w:t>
      </w:r>
    </w:p>
    <w:p w14:paraId="0B0FE366" w14:textId="77777777" w:rsidR="00041673" w:rsidRDefault="00041673" w:rsidP="00F329DD">
      <w:pPr>
        <w:pStyle w:val="StandardWeb"/>
        <w:numPr>
          <w:ilvl w:val="1"/>
          <w:numId w:val="270"/>
        </w:numPr>
      </w:pPr>
      <w:r>
        <w:t>Mt 12; Joh 5: Heilung gegen tradierte Auslegung</w:t>
      </w:r>
    </w:p>
    <w:p w14:paraId="7B9370AF" w14:textId="77777777" w:rsidR="00041673" w:rsidRDefault="00041673" w:rsidP="00F329DD">
      <w:pPr>
        <w:pStyle w:val="StandardWeb"/>
        <w:numPr>
          <w:ilvl w:val="0"/>
          <w:numId w:val="270"/>
        </w:numPr>
      </w:pPr>
      <w:r>
        <w:rPr>
          <w:rStyle w:val="Fett"/>
        </w:rPr>
        <w:t>Paulus</w:t>
      </w:r>
      <w:r>
        <w:t>:</w:t>
      </w:r>
    </w:p>
    <w:p w14:paraId="6256D5FC" w14:textId="77777777" w:rsidR="00041673" w:rsidRDefault="00041673" w:rsidP="00F329DD">
      <w:pPr>
        <w:pStyle w:val="StandardWeb"/>
        <w:numPr>
          <w:ilvl w:val="1"/>
          <w:numId w:val="270"/>
        </w:numPr>
      </w:pPr>
      <w:r>
        <w:t>Gal 3,28: Überwindung sozialer/rechtlicher Grenzziehungen</w:t>
      </w:r>
    </w:p>
    <w:p w14:paraId="385C0F2C" w14:textId="77777777" w:rsidR="00041673" w:rsidRDefault="00041673" w:rsidP="00F329DD">
      <w:pPr>
        <w:pStyle w:val="StandardWeb"/>
        <w:numPr>
          <w:ilvl w:val="0"/>
          <w:numId w:val="270"/>
        </w:numPr>
      </w:pPr>
      <w:r>
        <w:rPr>
          <w:rStyle w:val="Fett"/>
        </w:rPr>
        <w:t>Jakobus 2</w:t>
      </w:r>
      <w:r>
        <w:t>:</w:t>
      </w:r>
    </w:p>
    <w:p w14:paraId="3EBED0AB" w14:textId="77777777" w:rsidR="00041673" w:rsidRDefault="00041673" w:rsidP="00F329DD">
      <w:pPr>
        <w:pStyle w:val="StandardWeb"/>
        <w:numPr>
          <w:ilvl w:val="1"/>
          <w:numId w:val="270"/>
        </w:numPr>
      </w:pPr>
      <w:r>
        <w:t>Kritik an formal-rechtlicher Ungleichbehandlung</w:t>
      </w:r>
    </w:p>
    <w:p w14:paraId="122CBE4B" w14:textId="42506218" w:rsidR="007D3D45" w:rsidRPr="007D3D45" w:rsidRDefault="00041673" w:rsidP="00041673">
      <w:pPr>
        <w:pStyle w:val="StandardWeb"/>
      </w:pPr>
      <w:r>
        <w:rPr>
          <w:rStyle w:val="Fett"/>
        </w:rPr>
        <w:t>Numeri 27 antizipiert das NT-Prinzip</w:t>
      </w:r>
      <w:r>
        <w:t>, dass Gottes Wille nicht mechanisch-traditionell, sondern gerechtigkeitsorientiert ist.</w:t>
      </w:r>
    </w:p>
    <w:p w14:paraId="598D0628" w14:textId="77777777" w:rsidR="007D3D45" w:rsidRPr="007D3D45" w:rsidRDefault="007D3D45" w:rsidP="007D3D45">
      <w:pPr>
        <w:spacing w:before="100" w:beforeAutospacing="1" w:after="100" w:afterAutospacing="1" w:line="240" w:lineRule="auto"/>
        <w:outlineLvl w:val="0"/>
        <w:rPr>
          <w:rFonts w:eastAsia="Times New Roman" w:cs="Times New Roman"/>
          <w:b/>
          <w:bCs/>
          <w:kern w:val="36"/>
          <w:sz w:val="48"/>
          <w:szCs w:val="48"/>
          <w:lang w:eastAsia="de-DE"/>
        </w:rPr>
      </w:pPr>
      <w:r w:rsidRPr="007D3D45">
        <w:rPr>
          <w:rFonts w:eastAsia="Times New Roman" w:cs="Times New Roman"/>
          <w:b/>
          <w:bCs/>
          <w:kern w:val="36"/>
          <w:sz w:val="48"/>
          <w:szCs w:val="48"/>
          <w:lang w:eastAsia="de-DE"/>
        </w:rPr>
        <w:t>Numeri 27,8</w:t>
      </w:r>
    </w:p>
    <w:p w14:paraId="12320E3E"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Hebräisch:</w:t>
      </w:r>
      <w:r w:rsidRPr="007D3D45">
        <w:rPr>
          <w:rFonts w:eastAsia="Times New Roman" w:cs="Times New Roman"/>
          <w:lang w:eastAsia="de-DE"/>
        </w:rPr>
        <w:t xml:space="preserve"> </w:t>
      </w:r>
      <w:r w:rsidRPr="007D3D45">
        <w:rPr>
          <w:rFonts w:eastAsia="Times New Roman" w:cs="Times New Roman"/>
          <w:rtl/>
          <w:lang w:eastAsia="de-DE"/>
        </w:rPr>
        <w:t>וְאֶל־בְּנֵ֥י יִשְׂרָאֵ֖ל תְּדַבֵּ֣ר לֵאמֹ֑ר אִ֣ישׁ כִּֽי־יָמ֗וּת וּבֵן֙ אֵ֣ין לוֹ֔ וְהַֽעֲבַרְתֶּ֥ם אֶת־נַחֲלָתוֹ֖ לְבִתּוֹֽ׃</w:t>
      </w:r>
    </w:p>
    <w:p w14:paraId="25590E9B"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Deutsch:</w:t>
      </w:r>
      <w:r w:rsidRPr="007D3D45">
        <w:rPr>
          <w:rFonts w:eastAsia="Times New Roman" w:cs="Times New Roman"/>
          <w:lang w:eastAsia="de-DE"/>
        </w:rPr>
        <w:t xml:space="preserve"> Und zu den Söhnen Jisra'el sollst du reden, sagend: Wenn ein Mann stirbt und keinen Sohn hat, so sollt ihr sein Erbe auf seine Tochter übergehen lassen.</w:t>
      </w:r>
    </w:p>
    <w:p w14:paraId="64921EFB" w14:textId="77777777" w:rsidR="007D3D45" w:rsidRPr="007D3D45" w:rsidRDefault="00F329DD" w:rsidP="007D3D45">
      <w:pPr>
        <w:spacing w:after="0" w:line="240" w:lineRule="auto"/>
        <w:rPr>
          <w:rFonts w:eastAsia="Times New Roman" w:cs="Times New Roman"/>
          <w:lang w:eastAsia="de-DE"/>
        </w:rPr>
      </w:pPr>
      <w:r>
        <w:rPr>
          <w:rFonts w:eastAsia="Times New Roman" w:cs="Times New Roman"/>
          <w:noProof/>
          <w:lang w:eastAsia="de-DE"/>
        </w:rPr>
        <w:lastRenderedPageBreak/>
        <w:pict w14:anchorId="472670EA">
          <v:rect id="_x0000_i1889" style="width:0;height:1.5pt" o:hralign="center" o:hrstd="t" o:hr="t" fillcolor="#a0a0a0" stroked="f"/>
        </w:pict>
      </w:r>
    </w:p>
    <w:p w14:paraId="54BB78BF" w14:textId="25FE77B1"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Kommentar:</w:t>
      </w:r>
      <w:r w:rsidRPr="007D3D45">
        <w:rPr>
          <w:rFonts w:eastAsia="Times New Roman" w:cs="Times New Roman"/>
          <w:lang w:eastAsia="de-DE"/>
        </w:rPr>
        <w:t xml:space="preserve"> Der Vers etabliert das erste allgemeine Erbprinzip für ganz Israel. </w:t>
      </w:r>
      <w:r w:rsidRPr="007D3D45">
        <w:rPr>
          <w:rFonts w:eastAsia="Times New Roman" w:cs="Times New Roman"/>
          <w:b/>
          <w:bCs/>
          <w:rtl/>
          <w:lang w:eastAsia="de-DE"/>
        </w:rPr>
        <w:t>וְאֶל־בְּנֵי יִשְׂרָאֵל תְּדַבֵּר לֵאמֹר</w:t>
      </w:r>
      <w:r w:rsidRPr="007D3D45">
        <w:rPr>
          <w:rFonts w:eastAsia="Times New Roman" w:cs="Times New Roman"/>
          <w:rtl/>
          <w:lang w:eastAsia="de-DE"/>
        </w:rPr>
        <w:t xml:space="preserve"> </w:t>
      </w:r>
      <w:r w:rsidRPr="007D3D45">
        <w:rPr>
          <w:rFonts w:eastAsia="Times New Roman" w:cs="Times New Roman"/>
          <w:lang w:eastAsia="de-DE"/>
        </w:rPr>
        <w:t xml:space="preserve">leitet die Gesetzgebung ein. </w:t>
      </w:r>
      <w:r w:rsidRPr="007D3D45">
        <w:rPr>
          <w:rFonts w:eastAsia="Times New Roman" w:cs="Times New Roman"/>
          <w:b/>
          <w:bCs/>
          <w:rtl/>
          <w:lang w:eastAsia="de-DE"/>
        </w:rPr>
        <w:t>וְ</w:t>
      </w:r>
      <w:r w:rsidRPr="007D3D45">
        <w:rPr>
          <w:rFonts w:eastAsia="Times New Roman" w:cs="Times New Roman"/>
          <w:rtl/>
          <w:lang w:eastAsia="de-DE"/>
        </w:rPr>
        <w:t xml:space="preserve"> </w:t>
      </w:r>
      <w:r w:rsidRPr="007D3D45">
        <w:rPr>
          <w:rFonts w:eastAsia="Times New Roman" w:cs="Times New Roman"/>
          <w:lang w:eastAsia="de-DE"/>
        </w:rPr>
        <w:t xml:space="preserve">ist die kopulative Konjunktion, </w:t>
      </w:r>
      <w:r w:rsidRPr="007D3D45">
        <w:rPr>
          <w:rFonts w:eastAsia="Times New Roman" w:cs="Times New Roman"/>
          <w:b/>
          <w:bCs/>
          <w:rtl/>
          <w:lang w:eastAsia="de-DE"/>
        </w:rPr>
        <w:t>אֶל־בְּנֵי יִשְׂרָאֵל</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אֶל</w:t>
      </w:r>
      <w:r w:rsidRPr="007D3D45">
        <w:rPr>
          <w:rFonts w:eastAsia="Times New Roman" w:cs="Times New Roman"/>
          <w:rtl/>
          <w:lang w:eastAsia="de-DE"/>
        </w:rPr>
        <w:t xml:space="preserve"> </w:t>
      </w:r>
      <w:r w:rsidRPr="007D3D45">
        <w:rPr>
          <w:rFonts w:eastAsia="Times New Roman" w:cs="Times New Roman"/>
          <w:lang w:eastAsia="de-DE"/>
        </w:rPr>
        <w:t xml:space="preserve">„zu" mit </w:t>
      </w:r>
      <w:r w:rsidRPr="007D3D45">
        <w:rPr>
          <w:rFonts w:eastAsia="Times New Roman" w:cs="Times New Roman"/>
          <w:b/>
          <w:bCs/>
          <w:rtl/>
          <w:lang w:eastAsia="de-DE"/>
        </w:rPr>
        <w:t>בְּנֵי יִשְׂרָאֵל</w:t>
      </w:r>
      <w:r w:rsidRPr="007D3D45">
        <w:rPr>
          <w:rFonts w:eastAsia="Times New Roman" w:cs="Times New Roman"/>
          <w:rtl/>
          <w:lang w:eastAsia="de-DE"/>
        </w:rPr>
        <w:t xml:space="preserve"> </w:t>
      </w:r>
      <w:r w:rsidRPr="007D3D45">
        <w:rPr>
          <w:rFonts w:eastAsia="Times New Roman" w:cs="Times New Roman"/>
          <w:lang w:eastAsia="de-DE"/>
        </w:rPr>
        <w:t xml:space="preserve">„Söhne Israels") gibt die Adressaten an, </w:t>
      </w:r>
      <w:r w:rsidRPr="007D3D45">
        <w:rPr>
          <w:rFonts w:eastAsia="Times New Roman" w:cs="Times New Roman"/>
          <w:b/>
          <w:bCs/>
          <w:rtl/>
          <w:lang w:eastAsia="de-DE"/>
        </w:rPr>
        <w:t>תְּדַבֵּר</w:t>
      </w:r>
      <w:r w:rsidRPr="007D3D45">
        <w:rPr>
          <w:rFonts w:eastAsia="Times New Roman" w:cs="Times New Roman"/>
          <w:rtl/>
          <w:lang w:eastAsia="de-DE"/>
        </w:rPr>
        <w:t xml:space="preserve"> </w:t>
      </w:r>
      <w:r w:rsidRPr="007D3D45">
        <w:rPr>
          <w:rFonts w:eastAsia="Times New Roman" w:cs="Times New Roman"/>
          <w:lang w:eastAsia="de-DE"/>
        </w:rPr>
        <w:t xml:space="preserve">ist Piel Imperfekt 2. Person maskulin Singular von </w:t>
      </w:r>
      <w:r w:rsidRPr="007D3D45">
        <w:rPr>
          <w:rFonts w:eastAsia="Times New Roman" w:cs="Times New Roman"/>
          <w:b/>
          <w:bCs/>
          <w:rtl/>
          <w:lang w:eastAsia="de-DE"/>
        </w:rPr>
        <w:t>דבר</w:t>
      </w:r>
      <w:r w:rsidRPr="007D3D45">
        <w:rPr>
          <w:rFonts w:eastAsia="Times New Roman" w:cs="Times New Roman"/>
          <w:rtl/>
          <w:lang w:eastAsia="de-DE"/>
        </w:rPr>
        <w:t xml:space="preserve"> </w:t>
      </w:r>
      <w:r w:rsidRPr="007D3D45">
        <w:rPr>
          <w:rFonts w:eastAsia="Times New Roman" w:cs="Times New Roman"/>
          <w:lang w:eastAsia="de-DE"/>
        </w:rPr>
        <w:t xml:space="preserve">(„reden, sprechen"), </w:t>
      </w:r>
      <w:r w:rsidRPr="007D3D45">
        <w:rPr>
          <w:rFonts w:eastAsia="Times New Roman" w:cs="Times New Roman"/>
          <w:b/>
          <w:bCs/>
          <w:rtl/>
          <w:lang w:eastAsia="de-DE"/>
        </w:rPr>
        <w:t>לֵאמֹר</w:t>
      </w:r>
      <w:r w:rsidRPr="007D3D45">
        <w:rPr>
          <w:rFonts w:eastAsia="Times New Roman" w:cs="Times New Roman"/>
          <w:rtl/>
          <w:lang w:eastAsia="de-DE"/>
        </w:rPr>
        <w:t xml:space="preserve"> </w:t>
      </w:r>
      <w:r w:rsidRPr="007D3D45">
        <w:rPr>
          <w:rFonts w:eastAsia="Times New Roman" w:cs="Times New Roman"/>
          <w:lang w:eastAsia="de-DE"/>
        </w:rPr>
        <w:t xml:space="preserve">(Infinitiv </w:t>
      </w:r>
      <w:r w:rsidR="00E031B3">
        <w:rPr>
          <w:rFonts w:eastAsia="Times New Roman" w:cs="Times New Roman"/>
          <w:lang w:eastAsia="de-DE"/>
        </w:rPr>
        <w:t>Constructus von</w:t>
      </w:r>
      <w:r w:rsidRPr="007D3D45">
        <w:rPr>
          <w:rFonts w:eastAsia="Times New Roman" w:cs="Times New Roman"/>
          <w:lang w:eastAsia="de-DE"/>
        </w:rPr>
        <w:t xml:space="preserve"> </w:t>
      </w:r>
      <w:r w:rsidRPr="007D3D45">
        <w:rPr>
          <w:rFonts w:eastAsia="Times New Roman" w:cs="Times New Roman"/>
          <w:b/>
          <w:bCs/>
          <w:rtl/>
          <w:lang w:eastAsia="de-DE"/>
        </w:rPr>
        <w:t>אמר</w:t>
      </w:r>
      <w:r w:rsidRPr="007D3D45">
        <w:rPr>
          <w:rFonts w:eastAsia="Times New Roman" w:cs="Times New Roman"/>
          <w:rtl/>
          <w:lang w:eastAsia="de-DE"/>
        </w:rPr>
        <w:t xml:space="preserve"> </w:t>
      </w:r>
      <w:r w:rsidRPr="007D3D45">
        <w:rPr>
          <w:rFonts w:eastAsia="Times New Roman" w:cs="Times New Roman"/>
          <w:lang w:eastAsia="de-DE"/>
        </w:rPr>
        <w:t xml:space="preserve">mit </w:t>
      </w:r>
      <w:r w:rsidRPr="007D3D45">
        <w:rPr>
          <w:rFonts w:eastAsia="Times New Roman" w:cs="Times New Roman"/>
          <w:b/>
          <w:bCs/>
          <w:rtl/>
          <w:lang w:eastAsia="de-DE"/>
        </w:rPr>
        <w:t>לְ</w:t>
      </w:r>
      <w:r w:rsidRPr="007D3D45">
        <w:rPr>
          <w:rFonts w:eastAsia="Times New Roman" w:cs="Times New Roman"/>
          <w:lang w:eastAsia="de-DE"/>
        </w:rPr>
        <w:t>) leitet die direkte Rede ein.</w:t>
      </w:r>
    </w:p>
    <w:p w14:paraId="37141100" w14:textId="147C85DE"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אִישׁ כִּי־יָמוּת וּבֵן אֵין לוֹ</w:t>
      </w:r>
      <w:r w:rsidRPr="007D3D45">
        <w:rPr>
          <w:rFonts w:eastAsia="Times New Roman" w:cs="Times New Roman"/>
          <w:rtl/>
          <w:lang w:eastAsia="de-DE"/>
        </w:rPr>
        <w:t xml:space="preserve"> </w:t>
      </w:r>
      <w:r w:rsidRPr="007D3D45">
        <w:rPr>
          <w:rFonts w:eastAsia="Times New Roman" w:cs="Times New Roman"/>
          <w:lang w:eastAsia="de-DE"/>
        </w:rPr>
        <w:t xml:space="preserve">ist die Bedingungssetzung. </w:t>
      </w:r>
      <w:r w:rsidRPr="007D3D45">
        <w:rPr>
          <w:rFonts w:eastAsia="Times New Roman" w:cs="Times New Roman"/>
          <w:b/>
          <w:bCs/>
          <w:rtl/>
          <w:lang w:eastAsia="de-DE"/>
        </w:rPr>
        <w:t>אִישׁ</w:t>
      </w:r>
      <w:r w:rsidRPr="007D3D45">
        <w:rPr>
          <w:rFonts w:eastAsia="Times New Roman" w:cs="Times New Roman"/>
          <w:rtl/>
          <w:lang w:eastAsia="de-DE"/>
        </w:rPr>
        <w:t xml:space="preserve"> </w:t>
      </w:r>
      <w:r w:rsidRPr="007D3D45">
        <w:rPr>
          <w:rFonts w:eastAsia="Times New Roman" w:cs="Times New Roman"/>
          <w:lang w:eastAsia="de-DE"/>
        </w:rPr>
        <w:t xml:space="preserve">(„ein Mann, jemand"), </w:t>
      </w:r>
      <w:r w:rsidRPr="007D3D45">
        <w:rPr>
          <w:rFonts w:eastAsia="Times New Roman" w:cs="Times New Roman"/>
          <w:b/>
          <w:bCs/>
          <w:rtl/>
          <w:lang w:eastAsia="de-DE"/>
        </w:rPr>
        <w:t>כִּי־יָמוּת</w:t>
      </w:r>
      <w:r w:rsidRPr="007D3D45">
        <w:rPr>
          <w:rFonts w:eastAsia="Times New Roman" w:cs="Times New Roman"/>
          <w:rtl/>
          <w:lang w:eastAsia="de-DE"/>
        </w:rPr>
        <w:t xml:space="preserve"> </w:t>
      </w:r>
      <w:r w:rsidRPr="007D3D45">
        <w:rPr>
          <w:rFonts w:eastAsia="Times New Roman" w:cs="Times New Roman"/>
          <w:lang w:eastAsia="de-DE"/>
        </w:rPr>
        <w:t xml:space="preserve">(konditionale Konjunktion </w:t>
      </w:r>
      <w:r w:rsidRPr="007D3D45">
        <w:rPr>
          <w:rFonts w:eastAsia="Times New Roman" w:cs="Times New Roman"/>
          <w:b/>
          <w:bCs/>
          <w:rtl/>
          <w:lang w:eastAsia="de-DE"/>
        </w:rPr>
        <w:t>כִּי</w:t>
      </w:r>
      <w:r w:rsidRPr="007D3D45">
        <w:rPr>
          <w:rFonts w:eastAsia="Times New Roman" w:cs="Times New Roman"/>
          <w:rtl/>
          <w:lang w:eastAsia="de-DE"/>
        </w:rPr>
        <w:t xml:space="preserve"> </w:t>
      </w:r>
      <w:r w:rsidRPr="007D3D45">
        <w:rPr>
          <w:rFonts w:eastAsia="Times New Roman" w:cs="Times New Roman"/>
          <w:lang w:eastAsia="de-DE"/>
        </w:rPr>
        <w:t xml:space="preserve">„wenn" mit Qal Imperfekt 3. Person maskulin Singular von </w:t>
      </w:r>
      <w:r w:rsidRPr="007D3D45">
        <w:rPr>
          <w:rFonts w:eastAsia="Times New Roman" w:cs="Times New Roman"/>
          <w:b/>
          <w:bCs/>
          <w:rtl/>
          <w:lang w:eastAsia="de-DE"/>
        </w:rPr>
        <w:t>מות</w:t>
      </w:r>
      <w:r w:rsidRPr="007D3D45">
        <w:rPr>
          <w:rFonts w:eastAsia="Times New Roman" w:cs="Times New Roman"/>
          <w:rtl/>
          <w:lang w:eastAsia="de-DE"/>
        </w:rPr>
        <w:t xml:space="preserve"> </w:t>
      </w:r>
      <w:r w:rsidRPr="007D3D45">
        <w:rPr>
          <w:rFonts w:eastAsia="Times New Roman" w:cs="Times New Roman"/>
          <w:lang w:eastAsia="de-DE"/>
        </w:rPr>
        <w:t xml:space="preserve">„sterben"), </w:t>
      </w:r>
      <w:r w:rsidRPr="007D3D45">
        <w:rPr>
          <w:rFonts w:eastAsia="Times New Roman" w:cs="Times New Roman"/>
          <w:b/>
          <w:bCs/>
          <w:rtl/>
          <w:lang w:eastAsia="de-DE"/>
        </w:rPr>
        <w:t>וּבֵן אֵין לוֹ</w:t>
      </w:r>
      <w:r w:rsidRPr="007D3D45">
        <w:rPr>
          <w:rFonts w:eastAsia="Times New Roman" w:cs="Times New Roman"/>
          <w:rtl/>
          <w:lang w:eastAsia="de-DE"/>
        </w:rPr>
        <w:t xml:space="preserve"> </w:t>
      </w:r>
      <w:r w:rsidRPr="007D3D45">
        <w:rPr>
          <w:rFonts w:eastAsia="Times New Roman" w:cs="Times New Roman"/>
          <w:lang w:eastAsia="de-DE"/>
        </w:rPr>
        <w:t xml:space="preserve">(Konjunktion </w:t>
      </w:r>
      <w:r w:rsidRPr="007D3D45">
        <w:rPr>
          <w:rFonts w:eastAsia="Times New Roman" w:cs="Times New Roman"/>
          <w:b/>
          <w:bCs/>
          <w:rtl/>
          <w:lang w:eastAsia="de-DE"/>
        </w:rPr>
        <w:t>וְ</w:t>
      </w:r>
      <w:r w:rsidRPr="007D3D45">
        <w:rPr>
          <w:rFonts w:eastAsia="Times New Roman" w:cs="Times New Roman"/>
          <w:rtl/>
          <w:lang w:eastAsia="de-DE"/>
        </w:rPr>
        <w:t xml:space="preserve"> </w:t>
      </w:r>
      <w:r w:rsidRPr="007D3D45">
        <w:rPr>
          <w:rFonts w:eastAsia="Times New Roman" w:cs="Times New Roman"/>
          <w:lang w:eastAsia="de-DE"/>
        </w:rPr>
        <w:t xml:space="preserve">mit </w:t>
      </w:r>
      <w:r w:rsidRPr="007D3D45">
        <w:rPr>
          <w:rFonts w:eastAsia="Times New Roman" w:cs="Times New Roman"/>
          <w:b/>
          <w:bCs/>
          <w:rtl/>
          <w:lang w:eastAsia="de-DE"/>
        </w:rPr>
        <w:t>בֵן</w:t>
      </w:r>
      <w:r w:rsidRPr="007D3D45">
        <w:rPr>
          <w:rFonts w:eastAsia="Times New Roman" w:cs="Times New Roman"/>
          <w:rtl/>
          <w:lang w:eastAsia="de-DE"/>
        </w:rPr>
        <w:t xml:space="preserve"> </w:t>
      </w:r>
      <w:r w:rsidRPr="007D3D45">
        <w:rPr>
          <w:rFonts w:eastAsia="Times New Roman" w:cs="Times New Roman"/>
          <w:lang w:eastAsia="de-DE"/>
        </w:rPr>
        <w:t xml:space="preserve">„Sohn", Existenznegation </w:t>
      </w:r>
      <w:r w:rsidRPr="007D3D45">
        <w:rPr>
          <w:rFonts w:eastAsia="Times New Roman" w:cs="Times New Roman"/>
          <w:b/>
          <w:bCs/>
          <w:rtl/>
          <w:lang w:eastAsia="de-DE"/>
        </w:rPr>
        <w:t>אֵין</w:t>
      </w:r>
      <w:r w:rsidRPr="007D3D45">
        <w:rPr>
          <w:rFonts w:eastAsia="Times New Roman" w:cs="Times New Roman"/>
          <w:rtl/>
          <w:lang w:eastAsia="de-DE"/>
        </w:rPr>
        <w:t xml:space="preserve"> </w:t>
      </w:r>
      <w:r w:rsidRPr="007D3D45">
        <w:rPr>
          <w:rFonts w:eastAsia="Times New Roman" w:cs="Times New Roman"/>
          <w:lang w:eastAsia="de-DE"/>
        </w:rPr>
        <w:t xml:space="preserve">und 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 xml:space="preserve">mit Suffix 3. Person maskulin Singular „für ihn"). Die </w:t>
      </w:r>
      <w:r w:rsidR="00F133EC">
        <w:rPr>
          <w:rFonts w:eastAsia="Times New Roman" w:cs="Times New Roman"/>
          <w:lang w:eastAsia="de-DE"/>
        </w:rPr>
        <w:t>Construct</w:t>
      </w:r>
      <w:r w:rsidRPr="007D3D45">
        <w:rPr>
          <w:rFonts w:eastAsia="Times New Roman" w:cs="Times New Roman"/>
          <w:lang w:eastAsia="de-DE"/>
        </w:rPr>
        <w:t xml:space="preserve">ion </w:t>
      </w:r>
      <w:r w:rsidRPr="007D3D45">
        <w:rPr>
          <w:rFonts w:eastAsia="Times New Roman" w:cs="Times New Roman"/>
          <w:b/>
          <w:bCs/>
          <w:rtl/>
          <w:lang w:eastAsia="de-DE"/>
        </w:rPr>
        <w:t>אֵין לוֹ</w:t>
      </w:r>
      <w:r w:rsidRPr="007D3D45">
        <w:rPr>
          <w:rFonts w:eastAsia="Times New Roman" w:cs="Times New Roman"/>
          <w:rtl/>
          <w:lang w:eastAsia="de-DE"/>
        </w:rPr>
        <w:t xml:space="preserve"> </w:t>
      </w:r>
      <w:r w:rsidRPr="007D3D45">
        <w:rPr>
          <w:rFonts w:eastAsia="Times New Roman" w:cs="Times New Roman"/>
          <w:lang w:eastAsia="de-DE"/>
        </w:rPr>
        <w:t>bedeutet „er hat nicht". Die Bedingung beschreibt den Fall eines Mannes, der ohne männlichen Erben stirbt.</w:t>
      </w:r>
    </w:p>
    <w:p w14:paraId="16C0A7BE" w14:textId="38E110F6" w:rsidR="007D3D45" w:rsidRPr="007D3D45" w:rsidRDefault="007D3D45" w:rsidP="00C0709A">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וְהַעֲבַרְתֶּם אֶת־נַחֲלָתוֹ לְבִתּוֹ</w:t>
      </w:r>
      <w:r w:rsidRPr="007D3D45">
        <w:rPr>
          <w:rFonts w:eastAsia="Times New Roman" w:cs="Times New Roman"/>
          <w:rtl/>
          <w:lang w:eastAsia="de-DE"/>
        </w:rPr>
        <w:t xml:space="preserve"> </w:t>
      </w:r>
      <w:r w:rsidRPr="007D3D45">
        <w:rPr>
          <w:rFonts w:eastAsia="Times New Roman" w:cs="Times New Roman"/>
          <w:lang w:eastAsia="de-DE"/>
        </w:rPr>
        <w:t xml:space="preserve">ist die rechtliche Konsequenz. </w:t>
      </w:r>
      <w:r w:rsidRPr="007D3D45">
        <w:rPr>
          <w:rFonts w:eastAsia="Times New Roman" w:cs="Times New Roman"/>
          <w:b/>
          <w:bCs/>
          <w:rtl/>
          <w:lang w:eastAsia="de-DE"/>
        </w:rPr>
        <w:t>וְהַעֲבַרְתֶּם</w:t>
      </w:r>
      <w:r w:rsidRPr="007D3D45">
        <w:rPr>
          <w:rFonts w:eastAsia="Times New Roman" w:cs="Times New Roman"/>
          <w:rtl/>
          <w:lang w:eastAsia="de-DE"/>
        </w:rPr>
        <w:t xml:space="preserve"> </w:t>
      </w:r>
      <w:r w:rsidRPr="007D3D45">
        <w:rPr>
          <w:rFonts w:eastAsia="Times New Roman" w:cs="Times New Roman"/>
          <w:lang w:eastAsia="de-DE"/>
        </w:rPr>
        <w:t xml:space="preserve">ist Hiphil Perfekt (mit Waw consecutivum) 2. Person maskulin Plural von </w:t>
      </w:r>
      <w:r w:rsidRPr="007D3D45">
        <w:rPr>
          <w:rFonts w:eastAsia="Times New Roman" w:cs="Times New Roman"/>
          <w:b/>
          <w:bCs/>
          <w:rtl/>
          <w:lang w:eastAsia="de-DE"/>
        </w:rPr>
        <w:t>עבר</w:t>
      </w:r>
      <w:r w:rsidRPr="007D3D45">
        <w:rPr>
          <w:rFonts w:eastAsia="Times New Roman" w:cs="Times New Roman"/>
          <w:rtl/>
          <w:lang w:eastAsia="de-DE"/>
        </w:rPr>
        <w:t xml:space="preserve"> </w:t>
      </w:r>
      <w:r w:rsidRPr="007D3D45">
        <w:rPr>
          <w:rFonts w:eastAsia="Times New Roman" w:cs="Times New Roman"/>
          <w:lang w:eastAsia="de-DE"/>
        </w:rPr>
        <w:t xml:space="preserve">(„ihr sollt übergehen lassen, übertragen"), </w:t>
      </w:r>
      <w:r w:rsidRPr="007D3D45">
        <w:rPr>
          <w:rFonts w:eastAsia="Times New Roman" w:cs="Times New Roman"/>
          <w:b/>
          <w:bCs/>
          <w:rtl/>
          <w:lang w:eastAsia="de-DE"/>
        </w:rPr>
        <w:t>אֶת־נַחֲלָתוֹ</w:t>
      </w:r>
      <w:r w:rsidRPr="007D3D45">
        <w:rPr>
          <w:rFonts w:eastAsia="Times New Roman" w:cs="Times New Roman"/>
          <w:rtl/>
          <w:lang w:eastAsia="de-DE"/>
        </w:rPr>
        <w:t xml:space="preserve"> </w:t>
      </w:r>
      <w:r w:rsidRPr="007D3D45">
        <w:rPr>
          <w:rFonts w:eastAsia="Times New Roman" w:cs="Times New Roman"/>
          <w:lang w:eastAsia="de-DE"/>
        </w:rPr>
        <w:t xml:space="preserve">(„sein Erbe") mit </w:t>
      </w:r>
      <w:r w:rsidRPr="007D3D45">
        <w:rPr>
          <w:rFonts w:eastAsia="Times New Roman" w:cs="Times New Roman"/>
          <w:b/>
          <w:bCs/>
          <w:rtl/>
          <w:lang w:eastAsia="de-DE"/>
        </w:rPr>
        <w:t>נַחֲלָה</w:t>
      </w:r>
      <w:r w:rsidRPr="007D3D45">
        <w:rPr>
          <w:rFonts w:eastAsia="Times New Roman" w:cs="Times New Roman"/>
          <w:rtl/>
          <w:lang w:eastAsia="de-DE"/>
        </w:rPr>
        <w:t xml:space="preserve"> </w:t>
      </w:r>
      <w:r w:rsidRPr="007D3D45">
        <w:rPr>
          <w:rFonts w:eastAsia="Times New Roman" w:cs="Times New Roman"/>
          <w:lang w:eastAsia="de-DE"/>
        </w:rPr>
        <w:t xml:space="preserve">und Suffix 3. Person maskulin Singular, </w:t>
      </w:r>
      <w:r w:rsidRPr="007D3D45">
        <w:rPr>
          <w:rFonts w:eastAsia="Times New Roman" w:cs="Times New Roman"/>
          <w:b/>
          <w:bCs/>
          <w:rtl/>
          <w:lang w:eastAsia="de-DE"/>
        </w:rPr>
        <w:t>לְבִתּוֹ</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 xml:space="preserve">„zu, auf" mit feminin Singular </w:t>
      </w:r>
      <w:r w:rsidRPr="007D3D45">
        <w:rPr>
          <w:rFonts w:eastAsia="Times New Roman" w:cs="Times New Roman"/>
          <w:b/>
          <w:bCs/>
          <w:rtl/>
          <w:lang w:eastAsia="de-DE"/>
        </w:rPr>
        <w:t>בַּת</w:t>
      </w:r>
      <w:r w:rsidRPr="007D3D45">
        <w:rPr>
          <w:rFonts w:eastAsia="Times New Roman" w:cs="Times New Roman"/>
          <w:rtl/>
          <w:lang w:eastAsia="de-DE"/>
        </w:rPr>
        <w:t xml:space="preserve"> </w:t>
      </w:r>
      <w:r w:rsidRPr="007D3D45">
        <w:rPr>
          <w:rFonts w:eastAsia="Times New Roman" w:cs="Times New Roman"/>
          <w:lang w:eastAsia="de-DE"/>
        </w:rPr>
        <w:t>„Tochter" und Suffix 3. Person maskulin Singular „zu seiner Tochter"). Das Hiphil hat kausative Bedeutung: aktiv veranlassen, dass das Erbe übergeht. Das Gesetz etabliert Töchter als legitime Erbinnen beim Fehlen von Söhnen.</w:t>
      </w:r>
    </w:p>
    <w:p w14:paraId="77EFF11F"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Die Satzstruktur zeigt einen Imperativ mit Redeeinleitung und Adressat, gefolgt von einem Konditionalsatz (Protasis mit Subjekt, Verb und zweitem Satz mit Existenznegation) und der rechtlichen Folge (Apodosis mit Hiphil-Perfekt und Waw consecutivum).</w:t>
      </w:r>
    </w:p>
    <w:p w14:paraId="4B022EF1"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Der Vers universalisiert den spezifischen Fall der Töchter Zelophchads zu einem allgemeinen Rechtsprinzip für ganz Israel und sichert damit das Erbrecht von Töchtern bei Fehlen männlicher Nachkommen.</w:t>
      </w:r>
    </w:p>
    <w:p w14:paraId="2DCFB6FB" w14:textId="77777777" w:rsidR="007D3D45" w:rsidRPr="007D3D45" w:rsidRDefault="007D3D45" w:rsidP="007D3D45">
      <w:pPr>
        <w:spacing w:before="100" w:beforeAutospacing="1" w:after="100" w:afterAutospacing="1" w:line="240" w:lineRule="auto"/>
        <w:outlineLvl w:val="0"/>
        <w:rPr>
          <w:rFonts w:eastAsia="Times New Roman" w:cs="Times New Roman"/>
          <w:b/>
          <w:bCs/>
          <w:kern w:val="36"/>
          <w:sz w:val="48"/>
          <w:szCs w:val="48"/>
          <w:lang w:eastAsia="de-DE"/>
        </w:rPr>
      </w:pPr>
      <w:r w:rsidRPr="007D3D45">
        <w:rPr>
          <w:rFonts w:eastAsia="Times New Roman" w:cs="Times New Roman"/>
          <w:b/>
          <w:bCs/>
          <w:kern w:val="36"/>
          <w:sz w:val="48"/>
          <w:szCs w:val="48"/>
          <w:lang w:eastAsia="de-DE"/>
        </w:rPr>
        <w:t>Numeri 27,9</w:t>
      </w:r>
    </w:p>
    <w:p w14:paraId="14AB9673"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Hebräisch:</w:t>
      </w:r>
      <w:r w:rsidRPr="007D3D45">
        <w:rPr>
          <w:rFonts w:eastAsia="Times New Roman" w:cs="Times New Roman"/>
          <w:lang w:eastAsia="de-DE"/>
        </w:rPr>
        <w:t xml:space="preserve"> </w:t>
      </w:r>
      <w:r w:rsidRPr="007D3D45">
        <w:rPr>
          <w:rFonts w:eastAsia="Times New Roman" w:cs="Times New Roman"/>
          <w:rtl/>
          <w:lang w:eastAsia="de-DE"/>
        </w:rPr>
        <w:t>וְאִם־אֵ֥ין לוֹ֖ בַּ֑ת וּנְתַתֶּ֥ם אֶת־נַחֲלָתוֹ֖ לְאֶחָיו׃</w:t>
      </w:r>
    </w:p>
    <w:p w14:paraId="15B77666"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Deutsch:</w:t>
      </w:r>
      <w:r w:rsidRPr="007D3D45">
        <w:rPr>
          <w:rFonts w:eastAsia="Times New Roman" w:cs="Times New Roman"/>
          <w:lang w:eastAsia="de-DE"/>
        </w:rPr>
        <w:t xml:space="preserve"> Und wenn er keine Tochter hat, so sollt ihr sein Erbe seinen Brüdern geben.</w:t>
      </w:r>
    </w:p>
    <w:p w14:paraId="3A45D882" w14:textId="77777777" w:rsidR="007D3D45" w:rsidRPr="007D3D45" w:rsidRDefault="00F329DD" w:rsidP="007D3D45">
      <w:pPr>
        <w:spacing w:after="0" w:line="240" w:lineRule="auto"/>
        <w:rPr>
          <w:rFonts w:eastAsia="Times New Roman" w:cs="Times New Roman"/>
          <w:lang w:eastAsia="de-DE"/>
        </w:rPr>
      </w:pPr>
      <w:r>
        <w:rPr>
          <w:rFonts w:eastAsia="Times New Roman" w:cs="Times New Roman"/>
          <w:noProof/>
          <w:lang w:eastAsia="de-DE"/>
        </w:rPr>
        <w:pict w14:anchorId="28C6AB7C">
          <v:rect id="_x0000_i1890" style="width:0;height:1.5pt" o:hralign="center" o:hrstd="t" o:hr="t" fillcolor="#a0a0a0" stroked="f"/>
        </w:pict>
      </w:r>
    </w:p>
    <w:p w14:paraId="248FC892" w14:textId="0B0EB35F"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Kommentar:</w:t>
      </w:r>
      <w:r w:rsidRPr="007D3D45">
        <w:rPr>
          <w:rFonts w:eastAsia="Times New Roman" w:cs="Times New Roman"/>
          <w:lang w:eastAsia="de-DE"/>
        </w:rPr>
        <w:t xml:space="preserve"> Der Vers setzt die Erbfolgeregelung fort. </w:t>
      </w:r>
      <w:r w:rsidRPr="007D3D45">
        <w:rPr>
          <w:rFonts w:eastAsia="Times New Roman" w:cs="Times New Roman"/>
          <w:b/>
          <w:bCs/>
          <w:rtl/>
          <w:lang w:eastAsia="de-DE"/>
        </w:rPr>
        <w:t>וְאִם־אֵין לוֹ בַּת</w:t>
      </w:r>
      <w:r w:rsidRPr="007D3D45">
        <w:rPr>
          <w:rFonts w:eastAsia="Times New Roman" w:cs="Times New Roman"/>
          <w:rtl/>
          <w:lang w:eastAsia="de-DE"/>
        </w:rPr>
        <w:t xml:space="preserve"> </w:t>
      </w:r>
      <w:r w:rsidRPr="007D3D45">
        <w:rPr>
          <w:rFonts w:eastAsia="Times New Roman" w:cs="Times New Roman"/>
          <w:lang w:eastAsia="de-DE"/>
        </w:rPr>
        <w:t xml:space="preserve">ist die nächste Bedingung. </w:t>
      </w:r>
      <w:r w:rsidRPr="007D3D45">
        <w:rPr>
          <w:rFonts w:eastAsia="Times New Roman" w:cs="Times New Roman"/>
          <w:b/>
          <w:bCs/>
          <w:rtl/>
          <w:lang w:eastAsia="de-DE"/>
        </w:rPr>
        <w:t>וְ</w:t>
      </w:r>
      <w:r w:rsidRPr="007D3D45">
        <w:rPr>
          <w:rFonts w:eastAsia="Times New Roman" w:cs="Times New Roman"/>
          <w:rtl/>
          <w:lang w:eastAsia="de-DE"/>
        </w:rPr>
        <w:t xml:space="preserve"> </w:t>
      </w:r>
      <w:r w:rsidRPr="007D3D45">
        <w:rPr>
          <w:rFonts w:eastAsia="Times New Roman" w:cs="Times New Roman"/>
          <w:lang w:eastAsia="de-DE"/>
        </w:rPr>
        <w:t xml:space="preserve">ist die kopulative Konjunktion, </w:t>
      </w:r>
      <w:r w:rsidRPr="007D3D45">
        <w:rPr>
          <w:rFonts w:eastAsia="Times New Roman" w:cs="Times New Roman"/>
          <w:b/>
          <w:bCs/>
          <w:rtl/>
          <w:lang w:eastAsia="de-DE"/>
        </w:rPr>
        <w:t>אִם</w:t>
      </w:r>
      <w:r w:rsidRPr="007D3D45">
        <w:rPr>
          <w:rFonts w:eastAsia="Times New Roman" w:cs="Times New Roman"/>
          <w:rtl/>
          <w:lang w:eastAsia="de-DE"/>
        </w:rPr>
        <w:t xml:space="preserve"> </w:t>
      </w:r>
      <w:r w:rsidRPr="007D3D45">
        <w:rPr>
          <w:rFonts w:eastAsia="Times New Roman" w:cs="Times New Roman"/>
          <w:lang w:eastAsia="de-DE"/>
        </w:rPr>
        <w:t xml:space="preserve">(„wenn") ist die Bedingungspartikel, </w:t>
      </w:r>
      <w:r w:rsidRPr="007D3D45">
        <w:rPr>
          <w:rFonts w:eastAsia="Times New Roman" w:cs="Times New Roman"/>
          <w:b/>
          <w:bCs/>
          <w:rtl/>
          <w:lang w:eastAsia="de-DE"/>
        </w:rPr>
        <w:t>אֵין</w:t>
      </w:r>
      <w:r w:rsidRPr="007D3D45">
        <w:rPr>
          <w:rFonts w:eastAsia="Times New Roman" w:cs="Times New Roman"/>
          <w:rtl/>
          <w:lang w:eastAsia="de-DE"/>
        </w:rPr>
        <w:t xml:space="preserve"> </w:t>
      </w:r>
      <w:r w:rsidRPr="007D3D45">
        <w:rPr>
          <w:rFonts w:eastAsia="Times New Roman" w:cs="Times New Roman"/>
          <w:lang w:eastAsia="de-DE"/>
        </w:rPr>
        <w:t xml:space="preserve">ist die Existenznegation, </w:t>
      </w:r>
      <w:r w:rsidRPr="007D3D45">
        <w:rPr>
          <w:rFonts w:eastAsia="Times New Roman" w:cs="Times New Roman"/>
          <w:b/>
          <w:bCs/>
          <w:rtl/>
          <w:lang w:eastAsia="de-DE"/>
        </w:rPr>
        <w:t>לוֹ</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 xml:space="preserve">mit Suffix 3. Person maskulin Singular „für ihn, ihm"), </w:t>
      </w:r>
      <w:r w:rsidRPr="007D3D45">
        <w:rPr>
          <w:rFonts w:eastAsia="Times New Roman" w:cs="Times New Roman"/>
          <w:b/>
          <w:bCs/>
          <w:rtl/>
          <w:lang w:eastAsia="de-DE"/>
        </w:rPr>
        <w:t>בַּת</w:t>
      </w:r>
      <w:r w:rsidRPr="007D3D45">
        <w:rPr>
          <w:rFonts w:eastAsia="Times New Roman" w:cs="Times New Roman"/>
          <w:rtl/>
          <w:lang w:eastAsia="de-DE"/>
        </w:rPr>
        <w:t xml:space="preserve"> </w:t>
      </w:r>
      <w:r w:rsidRPr="007D3D45">
        <w:rPr>
          <w:rFonts w:eastAsia="Times New Roman" w:cs="Times New Roman"/>
          <w:lang w:eastAsia="de-DE"/>
        </w:rPr>
        <w:t xml:space="preserve">(„Tochter"). Die </w:t>
      </w:r>
      <w:r w:rsidR="00F133EC">
        <w:rPr>
          <w:rFonts w:eastAsia="Times New Roman" w:cs="Times New Roman"/>
          <w:lang w:eastAsia="de-DE"/>
        </w:rPr>
        <w:t>Construct</w:t>
      </w:r>
      <w:r w:rsidRPr="007D3D45">
        <w:rPr>
          <w:rFonts w:eastAsia="Times New Roman" w:cs="Times New Roman"/>
          <w:lang w:eastAsia="de-DE"/>
        </w:rPr>
        <w:t xml:space="preserve">ion </w:t>
      </w:r>
      <w:r w:rsidRPr="007D3D45">
        <w:rPr>
          <w:rFonts w:eastAsia="Times New Roman" w:cs="Times New Roman"/>
          <w:b/>
          <w:bCs/>
          <w:rtl/>
          <w:lang w:eastAsia="de-DE"/>
        </w:rPr>
        <w:t>אֵין לוֹ בַּת</w:t>
      </w:r>
      <w:r w:rsidRPr="007D3D45">
        <w:rPr>
          <w:rFonts w:eastAsia="Times New Roman" w:cs="Times New Roman"/>
          <w:rtl/>
          <w:lang w:eastAsia="de-DE"/>
        </w:rPr>
        <w:t xml:space="preserve"> </w:t>
      </w:r>
      <w:r w:rsidRPr="007D3D45">
        <w:rPr>
          <w:rFonts w:eastAsia="Times New Roman" w:cs="Times New Roman"/>
          <w:lang w:eastAsia="de-DE"/>
        </w:rPr>
        <w:t>bedeutet „er hat keine Tochter". Die Bedingung setzt den Fall voraus, dass weder Sohn noch Tochter vorhanden sind.</w:t>
      </w:r>
    </w:p>
    <w:p w14:paraId="31504AC8" w14:textId="2D54894E" w:rsidR="007D3D45" w:rsidRPr="007D3D45" w:rsidRDefault="007D3D45" w:rsidP="00C0709A">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וּנְתַתֶּם אֶת־נַחֲלָתוֹ לְאֶחָיו</w:t>
      </w:r>
      <w:r w:rsidRPr="007D3D45">
        <w:rPr>
          <w:rFonts w:eastAsia="Times New Roman" w:cs="Times New Roman"/>
          <w:rtl/>
          <w:lang w:eastAsia="de-DE"/>
        </w:rPr>
        <w:t xml:space="preserve"> </w:t>
      </w:r>
      <w:r w:rsidRPr="007D3D45">
        <w:rPr>
          <w:rFonts w:eastAsia="Times New Roman" w:cs="Times New Roman"/>
          <w:lang w:eastAsia="de-DE"/>
        </w:rPr>
        <w:t xml:space="preserve">ist die Rechtsfolge. </w:t>
      </w:r>
      <w:r w:rsidRPr="007D3D45">
        <w:rPr>
          <w:rFonts w:eastAsia="Times New Roman" w:cs="Times New Roman"/>
          <w:b/>
          <w:bCs/>
          <w:rtl/>
          <w:lang w:eastAsia="de-DE"/>
        </w:rPr>
        <w:t>וּנְתַתֶּם</w:t>
      </w:r>
      <w:r w:rsidRPr="007D3D45">
        <w:rPr>
          <w:rFonts w:eastAsia="Times New Roman" w:cs="Times New Roman"/>
          <w:rtl/>
          <w:lang w:eastAsia="de-DE"/>
        </w:rPr>
        <w:t xml:space="preserve"> </w:t>
      </w:r>
      <w:r w:rsidRPr="007D3D45">
        <w:rPr>
          <w:rFonts w:eastAsia="Times New Roman" w:cs="Times New Roman"/>
          <w:lang w:eastAsia="de-DE"/>
        </w:rPr>
        <w:t xml:space="preserve">ist Qal Perfekt (mit Waw consecutivum) 2. Person maskulin Plural von </w:t>
      </w:r>
      <w:r w:rsidRPr="007D3D45">
        <w:rPr>
          <w:rFonts w:eastAsia="Times New Roman" w:cs="Times New Roman"/>
          <w:b/>
          <w:bCs/>
          <w:rtl/>
          <w:lang w:eastAsia="de-DE"/>
        </w:rPr>
        <w:t>נתן</w:t>
      </w:r>
      <w:r w:rsidRPr="007D3D45">
        <w:rPr>
          <w:rFonts w:eastAsia="Times New Roman" w:cs="Times New Roman"/>
          <w:rtl/>
          <w:lang w:eastAsia="de-DE"/>
        </w:rPr>
        <w:t xml:space="preserve"> </w:t>
      </w:r>
      <w:r w:rsidRPr="007D3D45">
        <w:rPr>
          <w:rFonts w:eastAsia="Times New Roman" w:cs="Times New Roman"/>
          <w:lang w:eastAsia="de-DE"/>
        </w:rPr>
        <w:t xml:space="preserve">(„geben"), hier „ihr sollt geben". </w:t>
      </w:r>
      <w:r w:rsidRPr="007D3D45">
        <w:rPr>
          <w:rFonts w:eastAsia="Times New Roman" w:cs="Times New Roman"/>
          <w:b/>
          <w:bCs/>
          <w:rtl/>
          <w:lang w:eastAsia="de-DE"/>
        </w:rPr>
        <w:t>אֶת־נַחֲלָתוֹ</w:t>
      </w:r>
      <w:r w:rsidRPr="007D3D45">
        <w:rPr>
          <w:rFonts w:eastAsia="Times New Roman" w:cs="Times New Roman"/>
          <w:rtl/>
          <w:lang w:eastAsia="de-DE"/>
        </w:rPr>
        <w:t xml:space="preserve"> </w:t>
      </w:r>
      <w:r w:rsidRPr="007D3D45">
        <w:rPr>
          <w:rFonts w:eastAsia="Times New Roman" w:cs="Times New Roman"/>
          <w:lang w:eastAsia="de-DE"/>
        </w:rPr>
        <w:t xml:space="preserve">(„sein Erbe") ist das Akkusativobjekt, </w:t>
      </w:r>
      <w:r w:rsidRPr="007D3D45">
        <w:rPr>
          <w:rFonts w:eastAsia="Times New Roman" w:cs="Times New Roman"/>
          <w:b/>
          <w:bCs/>
          <w:rtl/>
          <w:lang w:eastAsia="de-DE"/>
        </w:rPr>
        <w:t>לְאֶחָיו</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 xml:space="preserve">mit Plural von </w:t>
      </w:r>
      <w:r w:rsidRPr="007D3D45">
        <w:rPr>
          <w:rFonts w:eastAsia="Times New Roman" w:cs="Times New Roman"/>
          <w:b/>
          <w:bCs/>
          <w:rtl/>
          <w:lang w:eastAsia="de-DE"/>
        </w:rPr>
        <w:t>אָח</w:t>
      </w:r>
      <w:r w:rsidRPr="007D3D45">
        <w:rPr>
          <w:rFonts w:eastAsia="Times New Roman" w:cs="Times New Roman"/>
          <w:rtl/>
          <w:lang w:eastAsia="de-DE"/>
        </w:rPr>
        <w:t xml:space="preserve"> </w:t>
      </w:r>
      <w:r w:rsidRPr="007D3D45">
        <w:rPr>
          <w:rFonts w:eastAsia="Times New Roman" w:cs="Times New Roman"/>
          <w:lang w:eastAsia="de-DE"/>
        </w:rPr>
        <w:t>„Bruder" und Suffix 3. Person maskulin Singular „seinen Brüdern") gibt die Empfänger an. Die Brüder des Verstorbenen sind die nächsten in der Erbfolge.</w:t>
      </w:r>
    </w:p>
    <w:p w14:paraId="7051B8C3"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lastRenderedPageBreak/>
        <w:t>Die Satzstruktur zeigt einen Konditionalsatz (Protasis mit Existenznegation) und die rechtliche Folge (Apodosis mit Qal-Perfekt und Waw consecutivum).</w:t>
      </w:r>
    </w:p>
    <w:p w14:paraId="0A2A1671"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Der Vers etabliert die zweite Stufe der Erbfolge: Nach direkten Nachkommen (Söhnen und Töchtern) kommen die Brüder des Verstorbenen als Erben in Betracht.</w:t>
      </w:r>
    </w:p>
    <w:p w14:paraId="0BAB9B6F" w14:textId="77777777" w:rsidR="007D3D45" w:rsidRPr="007D3D45" w:rsidRDefault="007D3D45" w:rsidP="007D3D45">
      <w:pPr>
        <w:spacing w:before="100" w:beforeAutospacing="1" w:after="100" w:afterAutospacing="1" w:line="240" w:lineRule="auto"/>
        <w:outlineLvl w:val="0"/>
        <w:rPr>
          <w:rFonts w:eastAsia="Times New Roman" w:cs="Times New Roman"/>
          <w:b/>
          <w:bCs/>
          <w:kern w:val="36"/>
          <w:sz w:val="48"/>
          <w:szCs w:val="48"/>
          <w:lang w:eastAsia="de-DE"/>
        </w:rPr>
      </w:pPr>
      <w:r w:rsidRPr="007D3D45">
        <w:rPr>
          <w:rFonts w:eastAsia="Times New Roman" w:cs="Times New Roman"/>
          <w:b/>
          <w:bCs/>
          <w:kern w:val="36"/>
          <w:sz w:val="48"/>
          <w:szCs w:val="48"/>
          <w:lang w:eastAsia="de-DE"/>
        </w:rPr>
        <w:t>Numeri 27,10</w:t>
      </w:r>
    </w:p>
    <w:p w14:paraId="5176B582"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Hebräisch:</w:t>
      </w:r>
      <w:r w:rsidRPr="007D3D45">
        <w:rPr>
          <w:rFonts w:eastAsia="Times New Roman" w:cs="Times New Roman"/>
          <w:lang w:eastAsia="de-DE"/>
        </w:rPr>
        <w:t xml:space="preserve"> </w:t>
      </w:r>
      <w:r w:rsidRPr="007D3D45">
        <w:rPr>
          <w:rFonts w:eastAsia="Times New Roman" w:cs="Times New Roman"/>
          <w:rtl/>
          <w:lang w:eastAsia="de-DE"/>
        </w:rPr>
        <w:t>וְאִם־אֵ֥ין לוֹ֖ אַחִ֑ים וּנְתַתֶּ֥ם אֶת־נַחֲלָתוֹ֖ לַאֲחֵ֥י אָבִֽיו׃</w:t>
      </w:r>
    </w:p>
    <w:p w14:paraId="521E214E"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Deutsch:</w:t>
      </w:r>
      <w:r w:rsidRPr="007D3D45">
        <w:rPr>
          <w:rFonts w:eastAsia="Times New Roman" w:cs="Times New Roman"/>
          <w:lang w:eastAsia="de-DE"/>
        </w:rPr>
        <w:t xml:space="preserve"> Und wenn er keine Brüder hat, so sollt ihr sein Erbe den Brüdern seines Vaters geben.</w:t>
      </w:r>
    </w:p>
    <w:p w14:paraId="68F08872" w14:textId="77777777" w:rsidR="007D3D45" w:rsidRPr="007D3D45" w:rsidRDefault="00F329DD" w:rsidP="007D3D45">
      <w:pPr>
        <w:spacing w:after="0" w:line="240" w:lineRule="auto"/>
        <w:rPr>
          <w:rFonts w:eastAsia="Times New Roman" w:cs="Times New Roman"/>
          <w:lang w:eastAsia="de-DE"/>
        </w:rPr>
      </w:pPr>
      <w:r>
        <w:rPr>
          <w:rFonts w:eastAsia="Times New Roman" w:cs="Times New Roman"/>
          <w:noProof/>
          <w:lang w:eastAsia="de-DE"/>
        </w:rPr>
        <w:pict w14:anchorId="68AD6BCB">
          <v:rect id="_x0000_i1891" style="width:0;height:1.5pt" o:hralign="center" o:hrstd="t" o:hr="t" fillcolor="#a0a0a0" stroked="f"/>
        </w:pict>
      </w:r>
    </w:p>
    <w:p w14:paraId="6EAF78D2"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Kommentar:</w:t>
      </w:r>
      <w:r w:rsidRPr="007D3D45">
        <w:rPr>
          <w:rFonts w:eastAsia="Times New Roman" w:cs="Times New Roman"/>
          <w:lang w:eastAsia="de-DE"/>
        </w:rPr>
        <w:t xml:space="preserve"> Der Vers setzt die Erbfolge in die nächste Generation fort. </w:t>
      </w:r>
      <w:r w:rsidRPr="007D3D45">
        <w:rPr>
          <w:rFonts w:eastAsia="Times New Roman" w:cs="Times New Roman"/>
          <w:b/>
          <w:bCs/>
          <w:rtl/>
          <w:lang w:eastAsia="de-DE"/>
        </w:rPr>
        <w:t>וְאִם־אֵין לוֹ אַחִים</w:t>
      </w:r>
      <w:r w:rsidRPr="007D3D45">
        <w:rPr>
          <w:rFonts w:eastAsia="Times New Roman" w:cs="Times New Roman"/>
          <w:rtl/>
          <w:lang w:eastAsia="de-DE"/>
        </w:rPr>
        <w:t xml:space="preserve"> </w:t>
      </w:r>
      <w:r w:rsidRPr="007D3D45">
        <w:rPr>
          <w:rFonts w:eastAsia="Times New Roman" w:cs="Times New Roman"/>
          <w:lang w:eastAsia="de-DE"/>
        </w:rPr>
        <w:t xml:space="preserve">ist die dritte Bedingung. </w:t>
      </w:r>
      <w:r w:rsidRPr="007D3D45">
        <w:rPr>
          <w:rFonts w:eastAsia="Times New Roman" w:cs="Times New Roman"/>
          <w:b/>
          <w:bCs/>
          <w:rtl/>
          <w:lang w:eastAsia="de-DE"/>
        </w:rPr>
        <w:t>וְאִם</w:t>
      </w:r>
      <w:r w:rsidRPr="007D3D45">
        <w:rPr>
          <w:rFonts w:eastAsia="Times New Roman" w:cs="Times New Roman"/>
          <w:rtl/>
          <w:lang w:eastAsia="de-DE"/>
        </w:rPr>
        <w:t xml:space="preserve"> </w:t>
      </w:r>
      <w:r w:rsidRPr="007D3D45">
        <w:rPr>
          <w:rFonts w:eastAsia="Times New Roman" w:cs="Times New Roman"/>
          <w:lang w:eastAsia="de-DE"/>
        </w:rPr>
        <w:t xml:space="preserve">(„und wenn") mit Existenznegation </w:t>
      </w:r>
      <w:r w:rsidRPr="007D3D45">
        <w:rPr>
          <w:rFonts w:eastAsia="Times New Roman" w:cs="Times New Roman"/>
          <w:b/>
          <w:bCs/>
          <w:rtl/>
          <w:lang w:eastAsia="de-DE"/>
        </w:rPr>
        <w:t>אֵין</w:t>
      </w:r>
      <w:r w:rsidRPr="007D3D45">
        <w:rPr>
          <w:rFonts w:eastAsia="Times New Roman" w:cs="Times New Roman"/>
          <w:lang w:eastAsia="de-DE"/>
        </w:rPr>
        <w:t xml:space="preserve">, </w:t>
      </w:r>
      <w:r w:rsidRPr="007D3D45">
        <w:rPr>
          <w:rFonts w:eastAsia="Times New Roman" w:cs="Times New Roman"/>
          <w:b/>
          <w:bCs/>
          <w:rtl/>
          <w:lang w:eastAsia="de-DE"/>
        </w:rPr>
        <w:t>לוֹ</w:t>
      </w:r>
      <w:r w:rsidRPr="007D3D45">
        <w:rPr>
          <w:rFonts w:eastAsia="Times New Roman" w:cs="Times New Roman"/>
          <w:rtl/>
          <w:lang w:eastAsia="de-DE"/>
        </w:rPr>
        <w:t xml:space="preserve"> </w:t>
      </w:r>
      <w:r w:rsidRPr="007D3D45">
        <w:rPr>
          <w:rFonts w:eastAsia="Times New Roman" w:cs="Times New Roman"/>
          <w:lang w:eastAsia="de-DE"/>
        </w:rPr>
        <w:t xml:space="preserve">(Dativpräposition mit Suffix), </w:t>
      </w:r>
      <w:r w:rsidRPr="007D3D45">
        <w:rPr>
          <w:rFonts w:eastAsia="Times New Roman" w:cs="Times New Roman"/>
          <w:b/>
          <w:bCs/>
          <w:rtl/>
          <w:lang w:eastAsia="de-DE"/>
        </w:rPr>
        <w:t>אַחִים</w:t>
      </w:r>
      <w:r w:rsidRPr="007D3D45">
        <w:rPr>
          <w:rFonts w:eastAsia="Times New Roman" w:cs="Times New Roman"/>
          <w:rtl/>
          <w:lang w:eastAsia="de-DE"/>
        </w:rPr>
        <w:t xml:space="preserve"> </w:t>
      </w:r>
      <w:r w:rsidRPr="007D3D45">
        <w:rPr>
          <w:rFonts w:eastAsia="Times New Roman" w:cs="Times New Roman"/>
          <w:lang w:eastAsia="de-DE"/>
        </w:rPr>
        <w:t xml:space="preserve">ist der maskuline Plural von </w:t>
      </w:r>
      <w:r w:rsidRPr="007D3D45">
        <w:rPr>
          <w:rFonts w:eastAsia="Times New Roman" w:cs="Times New Roman"/>
          <w:b/>
          <w:bCs/>
          <w:rtl/>
          <w:lang w:eastAsia="de-DE"/>
        </w:rPr>
        <w:t>אָח</w:t>
      </w:r>
      <w:r w:rsidRPr="007D3D45">
        <w:rPr>
          <w:rFonts w:eastAsia="Times New Roman" w:cs="Times New Roman"/>
          <w:rtl/>
          <w:lang w:eastAsia="de-DE"/>
        </w:rPr>
        <w:t xml:space="preserve"> </w:t>
      </w:r>
      <w:r w:rsidRPr="007D3D45">
        <w:rPr>
          <w:rFonts w:eastAsia="Times New Roman" w:cs="Times New Roman"/>
          <w:lang w:eastAsia="de-DE"/>
        </w:rPr>
        <w:t>(„Brüder"). Die Bedingung setzt voraus, dass der Verstorbene keine direkten Nachkommen und keine Brüder hat.</w:t>
      </w:r>
    </w:p>
    <w:p w14:paraId="0AA35B14" w14:textId="492A4993" w:rsidR="007D3D45" w:rsidRPr="007D3D45" w:rsidRDefault="007D3D45" w:rsidP="00C0709A">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וּנְתַתֶּם אֶת־נַחֲלָתוֹ לַאֲחֵי אָבִיו</w:t>
      </w:r>
      <w:r w:rsidRPr="007D3D45">
        <w:rPr>
          <w:rFonts w:eastAsia="Times New Roman" w:cs="Times New Roman"/>
          <w:rtl/>
          <w:lang w:eastAsia="de-DE"/>
        </w:rPr>
        <w:t xml:space="preserve"> </w:t>
      </w:r>
      <w:r w:rsidRPr="007D3D45">
        <w:rPr>
          <w:rFonts w:eastAsia="Times New Roman" w:cs="Times New Roman"/>
          <w:lang w:eastAsia="de-DE"/>
        </w:rPr>
        <w:t xml:space="preserve">ist die entsprechende Rechtsfolge. </w:t>
      </w:r>
      <w:r w:rsidRPr="007D3D45">
        <w:rPr>
          <w:rFonts w:eastAsia="Times New Roman" w:cs="Times New Roman"/>
          <w:b/>
          <w:bCs/>
          <w:rtl/>
          <w:lang w:eastAsia="de-DE"/>
        </w:rPr>
        <w:t>וּנְתַתֶּם</w:t>
      </w:r>
      <w:r w:rsidRPr="007D3D45">
        <w:rPr>
          <w:rFonts w:eastAsia="Times New Roman" w:cs="Times New Roman"/>
          <w:rtl/>
          <w:lang w:eastAsia="de-DE"/>
        </w:rPr>
        <w:t xml:space="preserve"> </w:t>
      </w:r>
      <w:r w:rsidRPr="007D3D45">
        <w:rPr>
          <w:rFonts w:eastAsia="Times New Roman" w:cs="Times New Roman"/>
          <w:lang w:eastAsia="de-DE"/>
        </w:rPr>
        <w:t xml:space="preserve">ist wieder Qal Perfekt 2. Person maskulin Plural mit Waw consecutivum von </w:t>
      </w:r>
      <w:r w:rsidRPr="007D3D45">
        <w:rPr>
          <w:rFonts w:eastAsia="Times New Roman" w:cs="Times New Roman"/>
          <w:b/>
          <w:bCs/>
          <w:rtl/>
          <w:lang w:eastAsia="de-DE"/>
        </w:rPr>
        <w:t>נתן</w:t>
      </w:r>
      <w:r w:rsidRPr="007D3D45">
        <w:rPr>
          <w:rFonts w:eastAsia="Times New Roman" w:cs="Times New Roman"/>
          <w:lang w:eastAsia="de-DE"/>
        </w:rPr>
        <w:t xml:space="preserve">, </w:t>
      </w:r>
      <w:r w:rsidRPr="007D3D45">
        <w:rPr>
          <w:rFonts w:eastAsia="Times New Roman" w:cs="Times New Roman"/>
          <w:b/>
          <w:bCs/>
          <w:rtl/>
          <w:lang w:eastAsia="de-DE"/>
        </w:rPr>
        <w:t>אֶת־נַחֲלָתוֹ</w:t>
      </w:r>
      <w:r w:rsidRPr="007D3D45">
        <w:rPr>
          <w:rFonts w:eastAsia="Times New Roman" w:cs="Times New Roman"/>
          <w:rtl/>
          <w:lang w:eastAsia="de-DE"/>
        </w:rPr>
        <w:t xml:space="preserve"> </w:t>
      </w:r>
      <w:r w:rsidRPr="007D3D45">
        <w:rPr>
          <w:rFonts w:eastAsia="Times New Roman" w:cs="Times New Roman"/>
          <w:lang w:eastAsia="de-DE"/>
        </w:rPr>
        <w:t xml:space="preserve">ist das Objekt. </w:t>
      </w:r>
      <w:r w:rsidRPr="007D3D45">
        <w:rPr>
          <w:rFonts w:eastAsia="Times New Roman" w:cs="Times New Roman"/>
          <w:b/>
          <w:bCs/>
          <w:rtl/>
          <w:lang w:eastAsia="de-DE"/>
        </w:rPr>
        <w:t>לַאֲחֵי אָבִיו</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 xml:space="preserve">mit </w:t>
      </w:r>
      <w:r w:rsidRPr="007D3D45">
        <w:rPr>
          <w:rFonts w:eastAsia="Times New Roman" w:cs="Times New Roman"/>
          <w:b/>
          <w:bCs/>
          <w:rtl/>
          <w:lang w:eastAsia="de-DE"/>
        </w:rPr>
        <w:t>אֲחֵי</w:t>
      </w:r>
      <w:r w:rsidRPr="007D3D45">
        <w:rPr>
          <w:rFonts w:eastAsia="Times New Roman" w:cs="Times New Roman"/>
          <w:rtl/>
          <w:lang w:eastAsia="de-DE"/>
        </w:rPr>
        <w:t xml:space="preserve"> </w:t>
      </w:r>
      <w:r w:rsidRPr="007D3D45">
        <w:rPr>
          <w:rFonts w:eastAsia="Times New Roman" w:cs="Times New Roman"/>
          <w:lang w:eastAsia="de-DE"/>
        </w:rPr>
        <w:t xml:space="preserve">Plural </w:t>
      </w:r>
      <w:r w:rsidR="00E031B3">
        <w:rPr>
          <w:rFonts w:eastAsia="Times New Roman" w:cs="Times New Roman"/>
          <w:lang w:eastAsia="de-DE"/>
        </w:rPr>
        <w:t>Constructus von</w:t>
      </w:r>
      <w:r w:rsidRPr="007D3D45">
        <w:rPr>
          <w:rFonts w:eastAsia="Times New Roman" w:cs="Times New Roman"/>
          <w:lang w:eastAsia="de-DE"/>
        </w:rPr>
        <w:t xml:space="preserve"> </w:t>
      </w:r>
      <w:r w:rsidRPr="007D3D45">
        <w:rPr>
          <w:rFonts w:eastAsia="Times New Roman" w:cs="Times New Roman"/>
          <w:b/>
          <w:bCs/>
          <w:rtl/>
          <w:lang w:eastAsia="de-DE"/>
        </w:rPr>
        <w:t>אָח</w:t>
      </w:r>
      <w:r w:rsidRPr="007D3D45">
        <w:rPr>
          <w:rFonts w:eastAsia="Times New Roman" w:cs="Times New Roman"/>
          <w:rtl/>
          <w:lang w:eastAsia="de-DE"/>
        </w:rPr>
        <w:t xml:space="preserve"> </w:t>
      </w:r>
      <w:r w:rsidRPr="007D3D45">
        <w:rPr>
          <w:rFonts w:eastAsia="Times New Roman" w:cs="Times New Roman"/>
          <w:lang w:eastAsia="de-DE"/>
        </w:rPr>
        <w:t xml:space="preserve">„Brüder" und </w:t>
      </w:r>
      <w:r w:rsidRPr="007D3D45">
        <w:rPr>
          <w:rFonts w:eastAsia="Times New Roman" w:cs="Times New Roman"/>
          <w:b/>
          <w:bCs/>
          <w:rtl/>
          <w:lang w:eastAsia="de-DE"/>
        </w:rPr>
        <w:t>אָבִיו</w:t>
      </w:r>
      <w:r w:rsidRPr="007D3D45">
        <w:rPr>
          <w:rFonts w:eastAsia="Times New Roman" w:cs="Times New Roman"/>
          <w:rtl/>
          <w:lang w:eastAsia="de-DE"/>
        </w:rPr>
        <w:t xml:space="preserve"> </w:t>
      </w:r>
      <w:r w:rsidRPr="007D3D45">
        <w:rPr>
          <w:rFonts w:eastAsia="Times New Roman" w:cs="Times New Roman"/>
          <w:lang w:eastAsia="de-DE"/>
        </w:rPr>
        <w:t>„sein Vater" mit Suffix 3. Person maskulin Singular) bezeichnet die Onkel väterlicherseits. Die Erbfolge geht in die vorherige Generation zurück.</w:t>
      </w:r>
    </w:p>
    <w:p w14:paraId="37E9D274"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Die Satzstruktur wiederholt das Muster aus V. 9: Konditionalsatz mit Existenznegation und Rechtsfolge mit Qal-Perfekt und Waw consecutivum.</w:t>
      </w:r>
    </w:p>
    <w:p w14:paraId="203B6ADC"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Der Vers etabliert die dritte Stufe der Erbfolge: Die Onkel (Brüder des Vaters) erben, wenn keine direkten Nachkommen und keine Brüder vorhanden sind, wodurch das Erbe in der erweiterten Familie bleibt.</w:t>
      </w:r>
    </w:p>
    <w:p w14:paraId="227F2EAC" w14:textId="77777777" w:rsidR="007D3D45" w:rsidRPr="007D3D45" w:rsidRDefault="007D3D45" w:rsidP="007D3D45">
      <w:pPr>
        <w:spacing w:before="100" w:beforeAutospacing="1" w:after="100" w:afterAutospacing="1" w:line="240" w:lineRule="auto"/>
        <w:outlineLvl w:val="0"/>
        <w:rPr>
          <w:rFonts w:eastAsia="Times New Roman" w:cs="Times New Roman"/>
          <w:b/>
          <w:bCs/>
          <w:kern w:val="36"/>
          <w:sz w:val="48"/>
          <w:szCs w:val="48"/>
          <w:lang w:eastAsia="de-DE"/>
        </w:rPr>
      </w:pPr>
      <w:r w:rsidRPr="007D3D45">
        <w:rPr>
          <w:rFonts w:eastAsia="Times New Roman" w:cs="Times New Roman"/>
          <w:b/>
          <w:bCs/>
          <w:kern w:val="36"/>
          <w:sz w:val="48"/>
          <w:szCs w:val="48"/>
          <w:lang w:eastAsia="de-DE"/>
        </w:rPr>
        <w:t>Numeri 27,11</w:t>
      </w:r>
    </w:p>
    <w:p w14:paraId="042E5188"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Hebräisch:</w:t>
      </w:r>
      <w:r w:rsidRPr="007D3D45">
        <w:rPr>
          <w:rFonts w:eastAsia="Times New Roman" w:cs="Times New Roman"/>
          <w:lang w:eastAsia="de-DE"/>
        </w:rPr>
        <w:t xml:space="preserve"> </w:t>
      </w:r>
      <w:r w:rsidRPr="007D3D45">
        <w:rPr>
          <w:rFonts w:eastAsia="Times New Roman" w:cs="Times New Roman"/>
          <w:rtl/>
          <w:lang w:eastAsia="de-DE"/>
        </w:rPr>
        <w:t>וְאִם־אֵ֣ין אַחִים֮ לְאָבִיו֒ וּנְתַתֶּ֣ם אֶת־נַחֲלָתוֹ֗ לִשְׁאֵרֹ֞ו הַקָּרֹ֥ב אֵלָ֛יו מִמִּשְׁפַּחְתּוֹ֖ וְיָרַ֣שׁ אֹתָ֑הּ וְֽהָ֨יְתָ֜ה לִבְנֵ֤י יִשְׂרָאֵל֙ לְחֻקַּ֣ת מִשְׁפָּ֔ט כַּאֲשֶׁ֛ר צִוָּ֥ה יְהוָ֖ה אֶת־מֹשֶֽׁה׃</w:t>
      </w:r>
    </w:p>
    <w:p w14:paraId="7FFA8819"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Deutsch:</w:t>
      </w:r>
      <w:r w:rsidRPr="007D3D45">
        <w:rPr>
          <w:rFonts w:eastAsia="Times New Roman" w:cs="Times New Roman"/>
          <w:lang w:eastAsia="de-DE"/>
        </w:rPr>
        <w:t xml:space="preserve"> Und wenn sein Vater keine Brüder hat, so sollt ihr sein Erbe seinem Verwandten, der ihm am nächsten ist aus seiner Familie, geben, dass er es besitze. Und dies soll den Söhnen Jisra'el zu einer Rechtssatzung sein, wie der Ewige dem Mosche geboten hat.</w:t>
      </w:r>
    </w:p>
    <w:p w14:paraId="4944220A" w14:textId="77777777" w:rsidR="007D3D45" w:rsidRPr="007D3D45" w:rsidRDefault="00F329DD" w:rsidP="007D3D45">
      <w:pPr>
        <w:spacing w:after="0" w:line="240" w:lineRule="auto"/>
        <w:rPr>
          <w:rFonts w:eastAsia="Times New Roman" w:cs="Times New Roman"/>
          <w:lang w:eastAsia="de-DE"/>
        </w:rPr>
      </w:pPr>
      <w:r>
        <w:rPr>
          <w:rFonts w:eastAsia="Times New Roman" w:cs="Times New Roman"/>
          <w:noProof/>
          <w:lang w:eastAsia="de-DE"/>
        </w:rPr>
        <w:pict w14:anchorId="600D29FA">
          <v:rect id="_x0000_i1892" style="width:0;height:1.5pt" o:hralign="center" o:hrstd="t" o:hr="t" fillcolor="#a0a0a0" stroked="f"/>
        </w:pict>
      </w:r>
    </w:p>
    <w:p w14:paraId="55DAB651"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Kommentar:</w:t>
      </w:r>
      <w:r w:rsidRPr="007D3D45">
        <w:rPr>
          <w:rFonts w:eastAsia="Times New Roman" w:cs="Times New Roman"/>
          <w:lang w:eastAsia="de-DE"/>
        </w:rPr>
        <w:t xml:space="preserve"> Der Vers gibt die letzte Stufe der Erbfolge und schließt mit einer Autorisierungsformel. </w:t>
      </w:r>
      <w:r w:rsidRPr="007D3D45">
        <w:rPr>
          <w:rFonts w:eastAsia="Times New Roman" w:cs="Times New Roman"/>
          <w:b/>
          <w:bCs/>
          <w:rtl/>
          <w:lang w:eastAsia="de-DE"/>
        </w:rPr>
        <w:t>וְאִם־אֵין אַחִים לְאָבִיו</w:t>
      </w:r>
      <w:r w:rsidRPr="007D3D45">
        <w:rPr>
          <w:rFonts w:eastAsia="Times New Roman" w:cs="Times New Roman"/>
          <w:rtl/>
          <w:lang w:eastAsia="de-DE"/>
        </w:rPr>
        <w:t xml:space="preserve"> </w:t>
      </w:r>
      <w:r w:rsidRPr="007D3D45">
        <w:rPr>
          <w:rFonts w:eastAsia="Times New Roman" w:cs="Times New Roman"/>
          <w:lang w:eastAsia="de-DE"/>
        </w:rPr>
        <w:t xml:space="preserve">ist die vierte und letzte Bedingung. </w:t>
      </w:r>
      <w:r w:rsidRPr="007D3D45">
        <w:rPr>
          <w:rFonts w:eastAsia="Times New Roman" w:cs="Times New Roman"/>
          <w:b/>
          <w:bCs/>
          <w:rtl/>
          <w:lang w:eastAsia="de-DE"/>
        </w:rPr>
        <w:t>וְאִם־אֵין</w:t>
      </w:r>
      <w:r w:rsidRPr="007D3D45">
        <w:rPr>
          <w:rFonts w:eastAsia="Times New Roman" w:cs="Times New Roman"/>
          <w:rtl/>
          <w:lang w:eastAsia="de-DE"/>
        </w:rPr>
        <w:t xml:space="preserve"> </w:t>
      </w:r>
      <w:r w:rsidRPr="007D3D45">
        <w:rPr>
          <w:rFonts w:eastAsia="Times New Roman" w:cs="Times New Roman"/>
          <w:lang w:eastAsia="de-DE"/>
        </w:rPr>
        <w:t xml:space="preserve">(„und wenn nicht gibt es"), </w:t>
      </w:r>
      <w:r w:rsidRPr="007D3D45">
        <w:rPr>
          <w:rFonts w:eastAsia="Times New Roman" w:cs="Times New Roman"/>
          <w:b/>
          <w:bCs/>
          <w:rtl/>
          <w:lang w:eastAsia="de-DE"/>
        </w:rPr>
        <w:t>אַחִים</w:t>
      </w:r>
      <w:r w:rsidRPr="007D3D45">
        <w:rPr>
          <w:rFonts w:eastAsia="Times New Roman" w:cs="Times New Roman"/>
          <w:rtl/>
          <w:lang w:eastAsia="de-DE"/>
        </w:rPr>
        <w:t xml:space="preserve"> </w:t>
      </w:r>
      <w:r w:rsidRPr="007D3D45">
        <w:rPr>
          <w:rFonts w:eastAsia="Times New Roman" w:cs="Times New Roman"/>
          <w:lang w:eastAsia="de-DE"/>
        </w:rPr>
        <w:t xml:space="preserve">(Plural „Brüder"), </w:t>
      </w:r>
      <w:r w:rsidRPr="007D3D45">
        <w:rPr>
          <w:rFonts w:eastAsia="Times New Roman" w:cs="Times New Roman"/>
          <w:b/>
          <w:bCs/>
          <w:rtl/>
          <w:lang w:eastAsia="de-DE"/>
        </w:rPr>
        <w:t>לְאָבִיו</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 xml:space="preserve">mit </w:t>
      </w:r>
      <w:r w:rsidRPr="007D3D45">
        <w:rPr>
          <w:rFonts w:eastAsia="Times New Roman" w:cs="Times New Roman"/>
          <w:b/>
          <w:bCs/>
          <w:rtl/>
          <w:lang w:eastAsia="de-DE"/>
        </w:rPr>
        <w:t>אָב</w:t>
      </w:r>
      <w:r w:rsidRPr="007D3D45">
        <w:rPr>
          <w:rFonts w:eastAsia="Times New Roman" w:cs="Times New Roman"/>
          <w:rtl/>
          <w:lang w:eastAsia="de-DE"/>
        </w:rPr>
        <w:t xml:space="preserve"> </w:t>
      </w:r>
      <w:r w:rsidRPr="007D3D45">
        <w:rPr>
          <w:rFonts w:eastAsia="Times New Roman" w:cs="Times New Roman"/>
          <w:lang w:eastAsia="de-DE"/>
        </w:rPr>
        <w:t xml:space="preserve">„Vater" und Suffix 3. </w:t>
      </w:r>
      <w:r w:rsidRPr="007D3D45">
        <w:rPr>
          <w:rFonts w:eastAsia="Times New Roman" w:cs="Times New Roman"/>
          <w:lang w:eastAsia="de-DE"/>
        </w:rPr>
        <w:lastRenderedPageBreak/>
        <w:t>Person maskulin Singular „für seinen Vater"). Die Bedingung beschreibt den Fall, dass auch die Onkel nicht vorhanden sind.</w:t>
      </w:r>
    </w:p>
    <w:p w14:paraId="429135B7"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וּנְתַתֶּם אֶת־נַחֲלָתוֹ לִשְׁאֵרוֹ הַקָּרֹב אֵלָיו מִמִּשְׁפַּחְתּוֹ</w:t>
      </w:r>
      <w:r w:rsidRPr="007D3D45">
        <w:rPr>
          <w:rFonts w:eastAsia="Times New Roman" w:cs="Times New Roman"/>
          <w:rtl/>
          <w:lang w:eastAsia="de-DE"/>
        </w:rPr>
        <w:t xml:space="preserve"> </w:t>
      </w:r>
      <w:r w:rsidRPr="007D3D45">
        <w:rPr>
          <w:rFonts w:eastAsia="Times New Roman" w:cs="Times New Roman"/>
          <w:lang w:eastAsia="de-DE"/>
        </w:rPr>
        <w:t xml:space="preserve">ist die umfassende Lösung. </w:t>
      </w:r>
      <w:r w:rsidRPr="007D3D45">
        <w:rPr>
          <w:rFonts w:eastAsia="Times New Roman" w:cs="Times New Roman"/>
          <w:b/>
          <w:bCs/>
          <w:rtl/>
          <w:lang w:eastAsia="de-DE"/>
        </w:rPr>
        <w:t>וּנְתַתֶּם אֶת־נַחֲלָתוֹ</w:t>
      </w:r>
      <w:r w:rsidRPr="007D3D45">
        <w:rPr>
          <w:rFonts w:eastAsia="Times New Roman" w:cs="Times New Roman"/>
          <w:rtl/>
          <w:lang w:eastAsia="de-DE"/>
        </w:rPr>
        <w:t xml:space="preserve"> </w:t>
      </w:r>
      <w:r w:rsidRPr="007D3D45">
        <w:rPr>
          <w:rFonts w:eastAsia="Times New Roman" w:cs="Times New Roman"/>
          <w:lang w:eastAsia="de-DE"/>
        </w:rPr>
        <w:t xml:space="preserve">folgt dem bekannten Muster. </w:t>
      </w:r>
      <w:r w:rsidRPr="007D3D45">
        <w:rPr>
          <w:rFonts w:eastAsia="Times New Roman" w:cs="Times New Roman"/>
          <w:b/>
          <w:bCs/>
          <w:rtl/>
          <w:lang w:eastAsia="de-DE"/>
        </w:rPr>
        <w:t>לִשְׁאֵרוֹ</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 xml:space="preserve">mit maskulinem Singular </w:t>
      </w:r>
      <w:r w:rsidRPr="007D3D45">
        <w:rPr>
          <w:rFonts w:eastAsia="Times New Roman" w:cs="Times New Roman"/>
          <w:b/>
          <w:bCs/>
          <w:rtl/>
          <w:lang w:eastAsia="de-DE"/>
        </w:rPr>
        <w:t>שְׁאֵר</w:t>
      </w:r>
      <w:r w:rsidRPr="007D3D45">
        <w:rPr>
          <w:rFonts w:eastAsia="Times New Roman" w:cs="Times New Roman"/>
          <w:rtl/>
          <w:lang w:eastAsia="de-DE"/>
        </w:rPr>
        <w:t xml:space="preserve"> </w:t>
      </w:r>
      <w:r w:rsidRPr="007D3D45">
        <w:rPr>
          <w:rFonts w:eastAsia="Times New Roman" w:cs="Times New Roman"/>
          <w:lang w:eastAsia="de-DE"/>
        </w:rPr>
        <w:t xml:space="preserve">„Verwandter, Blutsverwandter" und Suffix 3. Person maskulin Singular „seinem Verwandten"), </w:t>
      </w:r>
      <w:r w:rsidRPr="007D3D45">
        <w:rPr>
          <w:rFonts w:eastAsia="Times New Roman" w:cs="Times New Roman"/>
          <w:b/>
          <w:bCs/>
          <w:rtl/>
          <w:lang w:eastAsia="de-DE"/>
        </w:rPr>
        <w:t>הַקָּרֹב אֵלָיו</w:t>
      </w:r>
      <w:r w:rsidRPr="007D3D45">
        <w:rPr>
          <w:rFonts w:eastAsia="Times New Roman" w:cs="Times New Roman"/>
          <w:rtl/>
          <w:lang w:eastAsia="de-DE"/>
        </w:rPr>
        <w:t xml:space="preserve"> </w:t>
      </w:r>
      <w:r w:rsidRPr="007D3D45">
        <w:rPr>
          <w:rFonts w:eastAsia="Times New Roman" w:cs="Times New Roman"/>
          <w:lang w:eastAsia="de-DE"/>
        </w:rPr>
        <w:t xml:space="preserve">(Qal-Partizip maskulin Singular von </w:t>
      </w:r>
      <w:r w:rsidRPr="007D3D45">
        <w:rPr>
          <w:rFonts w:eastAsia="Times New Roman" w:cs="Times New Roman"/>
          <w:b/>
          <w:bCs/>
          <w:rtl/>
          <w:lang w:eastAsia="de-DE"/>
        </w:rPr>
        <w:t>קרב</w:t>
      </w:r>
      <w:r w:rsidRPr="007D3D45">
        <w:rPr>
          <w:rFonts w:eastAsia="Times New Roman" w:cs="Times New Roman"/>
          <w:rtl/>
          <w:lang w:eastAsia="de-DE"/>
        </w:rPr>
        <w:t xml:space="preserve"> </w:t>
      </w:r>
      <w:r w:rsidRPr="007D3D45">
        <w:rPr>
          <w:rFonts w:eastAsia="Times New Roman" w:cs="Times New Roman"/>
          <w:lang w:eastAsia="de-DE"/>
        </w:rPr>
        <w:t xml:space="preserve">„nahe sein" mit Artikel und Präposition </w:t>
      </w:r>
      <w:r w:rsidRPr="007D3D45">
        <w:rPr>
          <w:rFonts w:eastAsia="Times New Roman" w:cs="Times New Roman"/>
          <w:b/>
          <w:bCs/>
          <w:rtl/>
          <w:lang w:eastAsia="de-DE"/>
        </w:rPr>
        <w:t>אֶל</w:t>
      </w:r>
      <w:r w:rsidRPr="007D3D45">
        <w:rPr>
          <w:rFonts w:eastAsia="Times New Roman" w:cs="Times New Roman"/>
          <w:rtl/>
          <w:lang w:eastAsia="de-DE"/>
        </w:rPr>
        <w:t xml:space="preserve"> </w:t>
      </w:r>
      <w:r w:rsidRPr="007D3D45">
        <w:rPr>
          <w:rFonts w:eastAsia="Times New Roman" w:cs="Times New Roman"/>
          <w:lang w:eastAsia="de-DE"/>
        </w:rPr>
        <w:t xml:space="preserve">mit Suffix „der nahe zu ihm ist") spezifiziert als nächster Verwandter, </w:t>
      </w:r>
      <w:r w:rsidRPr="007D3D45">
        <w:rPr>
          <w:rFonts w:eastAsia="Times New Roman" w:cs="Times New Roman"/>
          <w:b/>
          <w:bCs/>
          <w:rtl/>
          <w:lang w:eastAsia="de-DE"/>
        </w:rPr>
        <w:t>מִמִּשְׁפַּחְתּוֹ</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מִן</w:t>
      </w:r>
      <w:r w:rsidRPr="007D3D45">
        <w:rPr>
          <w:rFonts w:eastAsia="Times New Roman" w:cs="Times New Roman"/>
          <w:rtl/>
          <w:lang w:eastAsia="de-DE"/>
        </w:rPr>
        <w:t xml:space="preserve"> </w:t>
      </w:r>
      <w:r w:rsidRPr="007D3D45">
        <w:rPr>
          <w:rFonts w:eastAsia="Times New Roman" w:cs="Times New Roman"/>
          <w:lang w:eastAsia="de-DE"/>
        </w:rPr>
        <w:t xml:space="preserve">mit </w:t>
      </w:r>
      <w:r w:rsidRPr="007D3D45">
        <w:rPr>
          <w:rFonts w:eastAsia="Times New Roman" w:cs="Times New Roman"/>
          <w:b/>
          <w:bCs/>
          <w:rtl/>
          <w:lang w:eastAsia="de-DE"/>
        </w:rPr>
        <w:t>מִשְׁפָּחָה</w:t>
      </w:r>
      <w:r w:rsidRPr="007D3D45">
        <w:rPr>
          <w:rFonts w:eastAsia="Times New Roman" w:cs="Times New Roman"/>
          <w:rtl/>
          <w:lang w:eastAsia="de-DE"/>
        </w:rPr>
        <w:t xml:space="preserve"> </w:t>
      </w:r>
      <w:r w:rsidRPr="007D3D45">
        <w:rPr>
          <w:rFonts w:eastAsia="Times New Roman" w:cs="Times New Roman"/>
          <w:lang w:eastAsia="de-DE"/>
        </w:rPr>
        <w:t>„Familie, Sippe" und Suffix 3. Person maskulin Singular „aus seiner Familie"). Die Formulierung ist bewusst weit gefasst und schließt alle Fälle ein.</w:t>
      </w:r>
    </w:p>
    <w:p w14:paraId="57C683B9"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וְיָרַשׁ אֹתָהּ</w:t>
      </w:r>
      <w:r w:rsidRPr="007D3D45">
        <w:rPr>
          <w:rFonts w:eastAsia="Times New Roman" w:cs="Times New Roman"/>
          <w:rtl/>
          <w:lang w:eastAsia="de-DE"/>
        </w:rPr>
        <w:t xml:space="preserve"> </w:t>
      </w:r>
      <w:r w:rsidRPr="007D3D45">
        <w:rPr>
          <w:rFonts w:eastAsia="Times New Roman" w:cs="Times New Roman"/>
          <w:lang w:eastAsia="de-DE"/>
        </w:rPr>
        <w:t xml:space="preserve">gibt den Zweck an. </w:t>
      </w:r>
      <w:r w:rsidRPr="007D3D45">
        <w:rPr>
          <w:rFonts w:eastAsia="Times New Roman" w:cs="Times New Roman"/>
          <w:b/>
          <w:bCs/>
          <w:rtl/>
          <w:lang w:eastAsia="de-DE"/>
        </w:rPr>
        <w:t>וְיָרַשׁ</w:t>
      </w:r>
      <w:r w:rsidRPr="007D3D45">
        <w:rPr>
          <w:rFonts w:eastAsia="Times New Roman" w:cs="Times New Roman"/>
          <w:rtl/>
          <w:lang w:eastAsia="de-DE"/>
        </w:rPr>
        <w:t xml:space="preserve"> </w:t>
      </w:r>
      <w:r w:rsidRPr="007D3D45">
        <w:rPr>
          <w:rFonts w:eastAsia="Times New Roman" w:cs="Times New Roman"/>
          <w:lang w:eastAsia="de-DE"/>
        </w:rPr>
        <w:t xml:space="preserve">ist Qal Perfekt (mit Waw consecutivum) 3. Person maskulin Singular von </w:t>
      </w:r>
      <w:r w:rsidRPr="007D3D45">
        <w:rPr>
          <w:rFonts w:eastAsia="Times New Roman" w:cs="Times New Roman"/>
          <w:b/>
          <w:bCs/>
          <w:rtl/>
          <w:lang w:eastAsia="de-DE"/>
        </w:rPr>
        <w:t>ירשׁ</w:t>
      </w:r>
      <w:r w:rsidRPr="007D3D45">
        <w:rPr>
          <w:rFonts w:eastAsia="Times New Roman" w:cs="Times New Roman"/>
          <w:rtl/>
          <w:lang w:eastAsia="de-DE"/>
        </w:rPr>
        <w:t xml:space="preserve"> </w:t>
      </w:r>
      <w:r w:rsidRPr="007D3D45">
        <w:rPr>
          <w:rFonts w:eastAsia="Times New Roman" w:cs="Times New Roman"/>
          <w:lang w:eastAsia="de-DE"/>
        </w:rPr>
        <w:t xml:space="preserve">(„besitzen, erben, in Besitz nehmen"), </w:t>
      </w:r>
      <w:r w:rsidRPr="007D3D45">
        <w:rPr>
          <w:rFonts w:eastAsia="Times New Roman" w:cs="Times New Roman"/>
          <w:b/>
          <w:bCs/>
          <w:rtl/>
          <w:lang w:eastAsia="de-DE"/>
        </w:rPr>
        <w:t>אֹתָהּ</w:t>
      </w:r>
      <w:r w:rsidRPr="007D3D45">
        <w:rPr>
          <w:rFonts w:eastAsia="Times New Roman" w:cs="Times New Roman"/>
          <w:rtl/>
          <w:lang w:eastAsia="de-DE"/>
        </w:rPr>
        <w:t xml:space="preserve"> </w:t>
      </w:r>
      <w:r w:rsidRPr="007D3D45">
        <w:rPr>
          <w:rFonts w:eastAsia="Times New Roman" w:cs="Times New Roman"/>
          <w:lang w:eastAsia="de-DE"/>
        </w:rPr>
        <w:t xml:space="preserve">(Akkusativpartikel mit feminin Singular Suffix, bezieht sich auf </w:t>
      </w:r>
      <w:r w:rsidRPr="007D3D45">
        <w:rPr>
          <w:rFonts w:eastAsia="Times New Roman" w:cs="Times New Roman"/>
          <w:b/>
          <w:bCs/>
          <w:rtl/>
          <w:lang w:eastAsia="de-DE"/>
        </w:rPr>
        <w:t>נַחֲלָה</w:t>
      </w:r>
      <w:r w:rsidRPr="007D3D45">
        <w:rPr>
          <w:rFonts w:eastAsia="Times New Roman" w:cs="Times New Roman"/>
          <w:rtl/>
          <w:lang w:eastAsia="de-DE"/>
        </w:rPr>
        <w:t xml:space="preserve"> </w:t>
      </w:r>
      <w:r w:rsidRPr="007D3D45">
        <w:rPr>
          <w:rFonts w:eastAsia="Times New Roman" w:cs="Times New Roman"/>
          <w:lang w:eastAsia="de-DE"/>
        </w:rPr>
        <w:t>„dass er es besitze"). Das Verb betont den tatsächlichen Besitzübergang.</w:t>
      </w:r>
    </w:p>
    <w:p w14:paraId="35967B81" w14:textId="38453742" w:rsidR="007D3D45" w:rsidRPr="007D3D45" w:rsidRDefault="007D3D45" w:rsidP="00C0709A">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וְהָיְתָה לִבְנֵי יִשְׂרָאֵל לְחֻקַּת מִשְׁפָּט</w:t>
      </w:r>
      <w:r w:rsidRPr="007D3D45">
        <w:rPr>
          <w:rFonts w:eastAsia="Times New Roman" w:cs="Times New Roman"/>
          <w:rtl/>
          <w:lang w:eastAsia="de-DE"/>
        </w:rPr>
        <w:t xml:space="preserve"> </w:t>
      </w:r>
      <w:r w:rsidRPr="007D3D45">
        <w:rPr>
          <w:rFonts w:eastAsia="Times New Roman" w:cs="Times New Roman"/>
          <w:lang w:eastAsia="de-DE"/>
        </w:rPr>
        <w:t xml:space="preserve">ist die Abschlussformel. </w:t>
      </w:r>
      <w:r w:rsidRPr="007D3D45">
        <w:rPr>
          <w:rFonts w:eastAsia="Times New Roman" w:cs="Times New Roman"/>
          <w:b/>
          <w:bCs/>
          <w:rtl/>
          <w:lang w:eastAsia="de-DE"/>
        </w:rPr>
        <w:t>וְהָיְתָה</w:t>
      </w:r>
      <w:r w:rsidRPr="007D3D45">
        <w:rPr>
          <w:rFonts w:eastAsia="Times New Roman" w:cs="Times New Roman"/>
          <w:rtl/>
          <w:lang w:eastAsia="de-DE"/>
        </w:rPr>
        <w:t xml:space="preserve"> </w:t>
      </w:r>
      <w:r w:rsidRPr="007D3D45">
        <w:rPr>
          <w:rFonts w:eastAsia="Times New Roman" w:cs="Times New Roman"/>
          <w:lang w:eastAsia="de-DE"/>
        </w:rPr>
        <w:t xml:space="preserve">(Qal Perfekt 3. Person feminin Singular von </w:t>
      </w:r>
      <w:r w:rsidRPr="007D3D45">
        <w:rPr>
          <w:rFonts w:eastAsia="Times New Roman" w:cs="Times New Roman"/>
          <w:b/>
          <w:bCs/>
          <w:rtl/>
          <w:lang w:eastAsia="de-DE"/>
        </w:rPr>
        <w:t>היה</w:t>
      </w:r>
      <w:r w:rsidRPr="007D3D45">
        <w:rPr>
          <w:rFonts w:eastAsia="Times New Roman" w:cs="Times New Roman"/>
          <w:rtl/>
          <w:lang w:eastAsia="de-DE"/>
        </w:rPr>
        <w:t xml:space="preserve"> </w:t>
      </w:r>
      <w:r w:rsidRPr="007D3D45">
        <w:rPr>
          <w:rFonts w:eastAsia="Times New Roman" w:cs="Times New Roman"/>
          <w:lang w:eastAsia="de-DE"/>
        </w:rPr>
        <w:t xml:space="preserve">mit Waw consecutivum, bezieht sich auf die gesamte Regelung), </w:t>
      </w:r>
      <w:r w:rsidRPr="007D3D45">
        <w:rPr>
          <w:rFonts w:eastAsia="Times New Roman" w:cs="Times New Roman"/>
          <w:b/>
          <w:bCs/>
          <w:rtl/>
          <w:lang w:eastAsia="de-DE"/>
        </w:rPr>
        <w:t>לִבְנֵי יִשְׂרָאֵל</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 xml:space="preserve">mit „Söhne Israels"), </w:t>
      </w:r>
      <w:r w:rsidRPr="007D3D45">
        <w:rPr>
          <w:rFonts w:eastAsia="Times New Roman" w:cs="Times New Roman"/>
          <w:b/>
          <w:bCs/>
          <w:rtl/>
          <w:lang w:eastAsia="de-DE"/>
        </w:rPr>
        <w:t>לְחֻקַּת מִשְׁפָּט</w:t>
      </w:r>
      <w:r w:rsidRPr="007D3D45">
        <w:rPr>
          <w:rFonts w:eastAsia="Times New Roman" w:cs="Times New Roman"/>
          <w:rtl/>
          <w:lang w:eastAsia="de-DE"/>
        </w:rPr>
        <w:t xml:space="preserve"> </w:t>
      </w:r>
      <w:r w:rsidRPr="007D3D45">
        <w:rPr>
          <w:rFonts w:eastAsia="Times New Roman" w:cs="Times New Roman"/>
          <w:lang w:eastAsia="de-DE"/>
        </w:rPr>
        <w:t xml:space="preserve">ist eine Genitivverbindung: </w:t>
      </w:r>
      <w:r w:rsidRPr="007D3D45">
        <w:rPr>
          <w:rFonts w:eastAsia="Times New Roman" w:cs="Times New Roman"/>
          <w:b/>
          <w:bCs/>
          <w:rtl/>
          <w:lang w:eastAsia="de-DE"/>
        </w:rPr>
        <w:t>חֻקָּה</w:t>
      </w:r>
      <w:r w:rsidRPr="007D3D45">
        <w:rPr>
          <w:rFonts w:eastAsia="Times New Roman" w:cs="Times New Roman"/>
          <w:rtl/>
          <w:lang w:eastAsia="de-DE"/>
        </w:rPr>
        <w:t xml:space="preserve"> </w:t>
      </w:r>
      <w:r w:rsidRPr="007D3D45">
        <w:rPr>
          <w:rFonts w:eastAsia="Times New Roman" w:cs="Times New Roman"/>
          <w:lang w:eastAsia="de-DE"/>
        </w:rPr>
        <w:t xml:space="preserve">(„Satzung, Verordnung") im </w:t>
      </w:r>
      <w:r w:rsidR="00E031B3">
        <w:rPr>
          <w:rFonts w:eastAsia="Times New Roman" w:cs="Times New Roman"/>
          <w:lang w:eastAsia="de-DE"/>
        </w:rPr>
        <w:t>Constructus und</w:t>
      </w:r>
      <w:r w:rsidRPr="007D3D45">
        <w:rPr>
          <w:rFonts w:eastAsia="Times New Roman" w:cs="Times New Roman"/>
          <w:lang w:eastAsia="de-DE"/>
        </w:rPr>
        <w:t xml:space="preserve"> </w:t>
      </w:r>
      <w:r w:rsidRPr="007D3D45">
        <w:rPr>
          <w:rFonts w:eastAsia="Times New Roman" w:cs="Times New Roman"/>
          <w:b/>
          <w:bCs/>
          <w:rtl/>
          <w:lang w:eastAsia="de-DE"/>
        </w:rPr>
        <w:t>מִשְׁפָּט</w:t>
      </w:r>
      <w:r w:rsidRPr="007D3D45">
        <w:rPr>
          <w:rFonts w:eastAsia="Times New Roman" w:cs="Times New Roman"/>
          <w:rtl/>
          <w:lang w:eastAsia="de-DE"/>
        </w:rPr>
        <w:t xml:space="preserve"> </w:t>
      </w:r>
      <w:r w:rsidRPr="007D3D45">
        <w:rPr>
          <w:rFonts w:eastAsia="Times New Roman" w:cs="Times New Roman"/>
          <w:lang w:eastAsia="de-DE"/>
        </w:rPr>
        <w:t xml:space="preserve">(„Recht, Rechtsspruch"), zusammen „Rechtssatzung". Der Begriff bezeichnet ein bindendes, dauerhaftes Gesetz. </w:t>
      </w:r>
      <w:r w:rsidRPr="007D3D45">
        <w:rPr>
          <w:rFonts w:eastAsia="Times New Roman" w:cs="Times New Roman"/>
          <w:b/>
          <w:bCs/>
          <w:rtl/>
          <w:lang w:eastAsia="de-DE"/>
        </w:rPr>
        <w:t>כַּאֲשֶׁר צִוָּה יהוה אֶת־מֹשֶׁה</w:t>
      </w:r>
      <w:r w:rsidRPr="007D3D45">
        <w:rPr>
          <w:rFonts w:eastAsia="Times New Roman" w:cs="Times New Roman"/>
          <w:rtl/>
          <w:lang w:eastAsia="de-DE"/>
        </w:rPr>
        <w:t xml:space="preserve"> </w:t>
      </w:r>
      <w:r w:rsidRPr="007D3D45">
        <w:rPr>
          <w:rFonts w:eastAsia="Times New Roman" w:cs="Times New Roman"/>
          <w:lang w:eastAsia="de-DE"/>
        </w:rPr>
        <w:t xml:space="preserve">(Vergleichskonjunktion </w:t>
      </w:r>
      <w:r w:rsidRPr="007D3D45">
        <w:rPr>
          <w:rFonts w:eastAsia="Times New Roman" w:cs="Times New Roman"/>
          <w:b/>
          <w:bCs/>
          <w:rtl/>
          <w:lang w:eastAsia="de-DE"/>
        </w:rPr>
        <w:t>כַּאֲשֶׁר</w:t>
      </w:r>
      <w:r w:rsidRPr="007D3D45">
        <w:rPr>
          <w:rFonts w:eastAsia="Times New Roman" w:cs="Times New Roman"/>
          <w:rtl/>
          <w:lang w:eastAsia="de-DE"/>
        </w:rPr>
        <w:t xml:space="preserve"> </w:t>
      </w:r>
      <w:r w:rsidRPr="007D3D45">
        <w:rPr>
          <w:rFonts w:eastAsia="Times New Roman" w:cs="Times New Roman"/>
          <w:lang w:eastAsia="de-DE"/>
        </w:rPr>
        <w:t xml:space="preserve">„wie" mit Piel Perfekt 3. Person maskulin Singular von </w:t>
      </w:r>
      <w:r w:rsidRPr="007D3D45">
        <w:rPr>
          <w:rFonts w:eastAsia="Times New Roman" w:cs="Times New Roman"/>
          <w:b/>
          <w:bCs/>
          <w:rtl/>
          <w:lang w:eastAsia="de-DE"/>
        </w:rPr>
        <w:t>צוה</w:t>
      </w:r>
      <w:r w:rsidRPr="007D3D45">
        <w:rPr>
          <w:rFonts w:eastAsia="Times New Roman" w:cs="Times New Roman"/>
          <w:rtl/>
          <w:lang w:eastAsia="de-DE"/>
        </w:rPr>
        <w:t xml:space="preserve"> </w:t>
      </w:r>
      <w:r w:rsidRPr="007D3D45">
        <w:rPr>
          <w:rFonts w:eastAsia="Times New Roman" w:cs="Times New Roman"/>
          <w:lang w:eastAsia="de-DE"/>
        </w:rPr>
        <w:t xml:space="preserve">„befehlen" und den beiden Objekten </w:t>
      </w:r>
      <w:r w:rsidRPr="007D3D45">
        <w:rPr>
          <w:rFonts w:eastAsia="Times New Roman" w:cs="Times New Roman"/>
          <w:b/>
          <w:bCs/>
          <w:rtl/>
          <w:lang w:eastAsia="de-DE"/>
        </w:rPr>
        <w:t>יהוה</w:t>
      </w:r>
      <w:r w:rsidRPr="007D3D45">
        <w:rPr>
          <w:rFonts w:eastAsia="Times New Roman" w:cs="Times New Roman"/>
          <w:rtl/>
          <w:lang w:eastAsia="de-DE"/>
        </w:rPr>
        <w:t xml:space="preserve"> </w:t>
      </w:r>
      <w:r w:rsidRPr="007D3D45">
        <w:rPr>
          <w:rFonts w:eastAsia="Times New Roman" w:cs="Times New Roman"/>
          <w:lang w:eastAsia="de-DE"/>
        </w:rPr>
        <w:t xml:space="preserve">als Subjekt und </w:t>
      </w:r>
      <w:r w:rsidRPr="007D3D45">
        <w:rPr>
          <w:rFonts w:eastAsia="Times New Roman" w:cs="Times New Roman"/>
          <w:b/>
          <w:bCs/>
          <w:rtl/>
          <w:lang w:eastAsia="de-DE"/>
        </w:rPr>
        <w:t>מֹשֶׁה</w:t>
      </w:r>
      <w:r w:rsidRPr="007D3D45">
        <w:rPr>
          <w:rFonts w:eastAsia="Times New Roman" w:cs="Times New Roman"/>
          <w:rtl/>
          <w:lang w:eastAsia="de-DE"/>
        </w:rPr>
        <w:t xml:space="preserve"> </w:t>
      </w:r>
      <w:r w:rsidRPr="007D3D45">
        <w:rPr>
          <w:rFonts w:eastAsia="Times New Roman" w:cs="Times New Roman"/>
          <w:lang w:eastAsia="de-DE"/>
        </w:rPr>
        <w:t>als indirektem Objekt) bestätigt die göttliche Autorität und schließt die Regelung ab.</w:t>
      </w:r>
    </w:p>
    <w:p w14:paraId="690CE68B"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Die Satzstruktur zeigt einen finalen Konditionalsatz mit Rechtsfolge, gefolgt von einem konsekutiven Satz (Zweckangabe), abgeschlossen durch eine doppelte Schlussformel (Rechtsstatus und göttliche Autorisierung).</w:t>
      </w:r>
    </w:p>
    <w:p w14:paraId="009FB363" w14:textId="77777777" w:rsidR="004142D5" w:rsidRDefault="004142D5" w:rsidP="00041673">
      <w:pPr>
        <w:pStyle w:val="KeinLeerraum"/>
      </w:pPr>
      <w:r>
        <w:t>Der Vers vervollständigt das Erbrecht durch eine umfassende Auffangregelung für alle denkbaren Fälle und erhebt die gesamte Ordnung zu einem dauerhaften Gesetz für Israel; damit wird das Familienerbe unter allen Umständen gesichert, wobei die Initiative der Töchter Zelophchads zu einem bleibenden Rechtsprinzip wird, das in Numeri 36 durch die Regelung der endogamen Eheschließung innerhalb des Stammes weiter konkretisiert und abgesichert wird.</w:t>
      </w:r>
    </w:p>
    <w:p w14:paraId="78D19552" w14:textId="77777777" w:rsidR="004142D5" w:rsidRDefault="004142D5" w:rsidP="00041673">
      <w:pPr>
        <w:pStyle w:val="KeinLeerraum"/>
      </w:pPr>
    </w:p>
    <w:p w14:paraId="0179F7FC" w14:textId="09B17B3D" w:rsidR="00041673" w:rsidRPr="00041673" w:rsidRDefault="00041673" w:rsidP="00041673">
      <w:pPr>
        <w:pStyle w:val="KeinLeerraum"/>
        <w:rPr>
          <w:b/>
          <w:bCs/>
        </w:rPr>
      </w:pPr>
      <w:r w:rsidRPr="00041673">
        <w:rPr>
          <w:b/>
          <w:bCs/>
        </w:rPr>
        <w:t>I</w:t>
      </w:r>
      <w:r w:rsidRPr="00041673">
        <w:rPr>
          <w:b/>
          <w:bCs/>
        </w:rPr>
        <w:t>m altorientalischen Kontext</w:t>
      </w:r>
      <w:r w:rsidRPr="00041673">
        <w:rPr>
          <w:b/>
          <w:bCs/>
        </w:rPr>
        <w:t>:</w:t>
      </w:r>
    </w:p>
    <w:p w14:paraId="7112A25A" w14:textId="77777777" w:rsidR="00041673" w:rsidRDefault="00041673" w:rsidP="00041673">
      <w:pPr>
        <w:pStyle w:val="KeinLeerraum"/>
      </w:pPr>
      <w:r>
        <w:t xml:space="preserve">Numeri 27,11 steht im Vergleich zum altorientalischen Recht – etwa dem </w:t>
      </w:r>
      <w:r>
        <w:rPr>
          <w:rStyle w:val="Fett"/>
        </w:rPr>
        <w:t>Codex Hammurapi</w:t>
      </w:r>
      <w:r>
        <w:t xml:space="preserve"> – als </w:t>
      </w:r>
      <w:r>
        <w:rPr>
          <w:rStyle w:val="Fett"/>
        </w:rPr>
        <w:t>bemerkenswert fortschrittliche Regelung</w:t>
      </w:r>
      <w:r>
        <w:t xml:space="preserve"> da.</w:t>
      </w:r>
    </w:p>
    <w:p w14:paraId="72EB497C" w14:textId="77777777" w:rsidR="00041673" w:rsidRDefault="00041673" w:rsidP="00F329DD">
      <w:pPr>
        <w:pStyle w:val="StandardWeb"/>
        <w:numPr>
          <w:ilvl w:val="0"/>
          <w:numId w:val="272"/>
        </w:numPr>
      </w:pPr>
      <w:r>
        <w:t xml:space="preserve">Im Codex Hammurapi konnten Töchter </w:t>
      </w:r>
      <w:r>
        <w:rPr>
          <w:rStyle w:val="Fett"/>
        </w:rPr>
        <w:t>nur ausnahmsweise</w:t>
      </w:r>
      <w:r>
        <w:t xml:space="preserve"> erben, meist nur bei fehlenden Söhnen und häufig unter Einschränkungen (Mitgift, begrenzter Besitz).</w:t>
      </w:r>
    </w:p>
    <w:p w14:paraId="476EFE60" w14:textId="77777777" w:rsidR="00041673" w:rsidRDefault="00041673" w:rsidP="00F329DD">
      <w:pPr>
        <w:pStyle w:val="StandardWeb"/>
        <w:numPr>
          <w:ilvl w:val="0"/>
          <w:numId w:val="272"/>
        </w:numPr>
      </w:pPr>
      <w:r>
        <w:t xml:space="preserve">Numeri 27 gewährt Töchtern dagegen ein </w:t>
      </w:r>
      <w:r>
        <w:rPr>
          <w:rStyle w:val="Fett"/>
        </w:rPr>
        <w:t>vollwertiges Erbrecht</w:t>
      </w:r>
      <w:r>
        <w:t xml:space="preserve">, ausdrücklich bestätigt durch ein </w:t>
      </w:r>
      <w:r>
        <w:rPr>
          <w:rStyle w:val="Fett"/>
        </w:rPr>
        <w:t>göttliches Rechtsurteil</w:t>
      </w:r>
      <w:r>
        <w:t>.</w:t>
      </w:r>
    </w:p>
    <w:p w14:paraId="08218B1C" w14:textId="77777777" w:rsidR="00041673" w:rsidRDefault="00041673" w:rsidP="00041673">
      <w:pPr>
        <w:pStyle w:val="StandardWeb"/>
      </w:pPr>
      <w:r>
        <w:t xml:space="preserve">Der entscheidende Unterschied liegt nicht nur im Ergebnis, sondern in der </w:t>
      </w:r>
      <w:r>
        <w:rPr>
          <w:rStyle w:val="Fett"/>
        </w:rPr>
        <w:t>Begründung</w:t>
      </w:r>
      <w:r>
        <w:t>:</w:t>
      </w:r>
    </w:p>
    <w:p w14:paraId="09E269AC" w14:textId="77777777" w:rsidR="00041673" w:rsidRDefault="00041673" w:rsidP="00F329DD">
      <w:pPr>
        <w:pStyle w:val="StandardWeb"/>
        <w:numPr>
          <w:ilvl w:val="0"/>
          <w:numId w:val="273"/>
        </w:numPr>
      </w:pPr>
      <w:r>
        <w:t>Hammurapi: Recht dient primär der sozialen Ordnung.</w:t>
      </w:r>
    </w:p>
    <w:p w14:paraId="4DFC9D50" w14:textId="77777777" w:rsidR="00041673" w:rsidRDefault="00041673" w:rsidP="00F329DD">
      <w:pPr>
        <w:pStyle w:val="StandardWeb"/>
        <w:numPr>
          <w:ilvl w:val="0"/>
          <w:numId w:val="273"/>
        </w:numPr>
      </w:pPr>
      <w:r>
        <w:t xml:space="preserve">Tora: Recht entspringt </w:t>
      </w:r>
      <w:r>
        <w:rPr>
          <w:rStyle w:val="Fett"/>
        </w:rPr>
        <w:t>Gottes Gerechtigkeit</w:t>
      </w:r>
      <w:r>
        <w:t xml:space="preserve"> und ist offen für Weiterentwicklung.</w:t>
      </w:r>
    </w:p>
    <w:p w14:paraId="62B5E374" w14:textId="77777777" w:rsidR="00041673" w:rsidRPr="00041673" w:rsidRDefault="00041673" w:rsidP="00041673">
      <w:pPr>
        <w:spacing w:before="100" w:beforeAutospacing="1" w:after="100" w:afterAutospacing="1" w:line="240" w:lineRule="auto"/>
        <w:rPr>
          <w:b/>
          <w:bCs/>
        </w:rPr>
      </w:pPr>
    </w:p>
    <w:p w14:paraId="125D524E" w14:textId="77777777" w:rsidR="007D3D45" w:rsidRPr="007D3D45" w:rsidRDefault="007D3D45" w:rsidP="007D3D45">
      <w:pPr>
        <w:spacing w:before="100" w:beforeAutospacing="1" w:after="100" w:afterAutospacing="1" w:line="240" w:lineRule="auto"/>
        <w:outlineLvl w:val="0"/>
        <w:rPr>
          <w:rFonts w:eastAsia="Times New Roman" w:cs="Times New Roman"/>
          <w:b/>
          <w:bCs/>
          <w:kern w:val="36"/>
          <w:sz w:val="48"/>
          <w:szCs w:val="48"/>
          <w:lang w:eastAsia="de-DE"/>
        </w:rPr>
      </w:pPr>
      <w:r w:rsidRPr="007D3D45">
        <w:rPr>
          <w:rFonts w:eastAsia="Times New Roman" w:cs="Times New Roman"/>
          <w:b/>
          <w:bCs/>
          <w:kern w:val="36"/>
          <w:sz w:val="48"/>
          <w:szCs w:val="48"/>
          <w:lang w:eastAsia="de-DE"/>
        </w:rPr>
        <w:t>Numeri 27,12</w:t>
      </w:r>
    </w:p>
    <w:p w14:paraId="212B280B"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Hebräisch:</w:t>
      </w:r>
      <w:r w:rsidRPr="007D3D45">
        <w:rPr>
          <w:rFonts w:eastAsia="Times New Roman" w:cs="Times New Roman"/>
          <w:lang w:eastAsia="de-DE"/>
        </w:rPr>
        <w:t xml:space="preserve"> </w:t>
      </w:r>
      <w:r w:rsidRPr="007D3D45">
        <w:rPr>
          <w:rFonts w:eastAsia="Times New Roman" w:cs="Times New Roman"/>
          <w:rtl/>
          <w:lang w:eastAsia="de-DE"/>
        </w:rPr>
        <w:t>וַיֹּ֤אמֶר יְהוָה֙ אֶל־מֹשֶׁ֔ה עֲלֵ֛ה אֶל־הַ֥ר הָעֲבָרִ֖ים הַזֶּ֑ה וּרְאֵה֙ אֶת־הָאָ֔רֶץ אֲשֶׁ֥ר נָתַ֖תִּי לִבְנֵ֥י יִשְׂרָאֵֽל׃</w:t>
      </w:r>
    </w:p>
    <w:p w14:paraId="0FAC0032"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Deutsch:</w:t>
      </w:r>
      <w:r w:rsidRPr="007D3D45">
        <w:rPr>
          <w:rFonts w:eastAsia="Times New Roman" w:cs="Times New Roman"/>
          <w:lang w:eastAsia="de-DE"/>
        </w:rPr>
        <w:t xml:space="preserve"> Und der Ewige sprach zu Mosche: „Steige auf dieses Gebirge Avarim und sieh das Land, das ich den Söhnen Jisra'el gegeben habe.</w:t>
      </w:r>
    </w:p>
    <w:p w14:paraId="54903B9B" w14:textId="77777777" w:rsidR="007D3D45" w:rsidRPr="007D3D45" w:rsidRDefault="00F329DD" w:rsidP="007D3D45">
      <w:pPr>
        <w:spacing w:after="0" w:line="240" w:lineRule="auto"/>
        <w:rPr>
          <w:rFonts w:eastAsia="Times New Roman" w:cs="Times New Roman"/>
          <w:lang w:eastAsia="de-DE"/>
        </w:rPr>
      </w:pPr>
      <w:r>
        <w:rPr>
          <w:rFonts w:eastAsia="Times New Roman" w:cs="Times New Roman"/>
          <w:noProof/>
          <w:lang w:eastAsia="de-DE"/>
        </w:rPr>
        <w:pict w14:anchorId="741056DA">
          <v:rect id="_x0000_i1893" style="width:0;height:1.5pt" o:hralign="center" o:hrstd="t" o:hr="t" fillcolor="#a0a0a0" stroked="f"/>
        </w:pict>
      </w:r>
    </w:p>
    <w:p w14:paraId="3C4B810D" w14:textId="207BFD9D"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Kommentar:</w:t>
      </w:r>
      <w:r w:rsidRPr="007D3D45">
        <w:rPr>
          <w:rFonts w:eastAsia="Times New Roman" w:cs="Times New Roman"/>
          <w:lang w:eastAsia="de-DE"/>
        </w:rPr>
        <w:t xml:space="preserve"> Der Vers leitet einen dramatischen Themenwechsel ein: von Erbrecht zu Moses bevorstehendem Tod. </w:t>
      </w:r>
      <w:r w:rsidRPr="007D3D45">
        <w:rPr>
          <w:rFonts w:eastAsia="Times New Roman" w:cs="Times New Roman"/>
          <w:b/>
          <w:bCs/>
          <w:rtl/>
          <w:lang w:eastAsia="de-DE"/>
        </w:rPr>
        <w:t>וַיֹּאמֶר יהוה אֶל־מֹשֶׁה</w:t>
      </w:r>
      <w:r w:rsidRPr="007D3D45">
        <w:rPr>
          <w:rFonts w:eastAsia="Times New Roman" w:cs="Times New Roman"/>
          <w:rtl/>
          <w:lang w:eastAsia="de-DE"/>
        </w:rPr>
        <w:t xml:space="preserve"> </w:t>
      </w:r>
      <w:r w:rsidRPr="007D3D45">
        <w:rPr>
          <w:rFonts w:eastAsia="Times New Roman" w:cs="Times New Roman"/>
          <w:lang w:eastAsia="de-DE"/>
        </w:rPr>
        <w:t xml:space="preserve">ist die Standard-Redeeinleitung. </w:t>
      </w:r>
      <w:r w:rsidRPr="007D3D45">
        <w:rPr>
          <w:rFonts w:eastAsia="Times New Roman" w:cs="Times New Roman"/>
          <w:b/>
          <w:bCs/>
          <w:rtl/>
          <w:lang w:eastAsia="de-DE"/>
        </w:rPr>
        <w:t>עֲלֵה אֶל־הַר הָעֲבָרִים הַזֶּה</w:t>
      </w:r>
      <w:r w:rsidRPr="007D3D45">
        <w:rPr>
          <w:rFonts w:eastAsia="Times New Roman" w:cs="Times New Roman"/>
          <w:rtl/>
          <w:lang w:eastAsia="de-DE"/>
        </w:rPr>
        <w:t xml:space="preserve"> </w:t>
      </w:r>
      <w:r w:rsidRPr="007D3D45">
        <w:rPr>
          <w:rFonts w:eastAsia="Times New Roman" w:cs="Times New Roman"/>
          <w:lang w:eastAsia="de-DE"/>
        </w:rPr>
        <w:t xml:space="preserve">ist der erste Befehl. </w:t>
      </w:r>
      <w:r w:rsidRPr="007D3D45">
        <w:rPr>
          <w:rFonts w:eastAsia="Times New Roman" w:cs="Times New Roman"/>
          <w:b/>
          <w:bCs/>
          <w:rtl/>
          <w:lang w:eastAsia="de-DE"/>
        </w:rPr>
        <w:t>עֲלֵה</w:t>
      </w:r>
      <w:r w:rsidRPr="007D3D45">
        <w:rPr>
          <w:rFonts w:eastAsia="Times New Roman" w:cs="Times New Roman"/>
          <w:rtl/>
          <w:lang w:eastAsia="de-DE"/>
        </w:rPr>
        <w:t xml:space="preserve"> </w:t>
      </w:r>
      <w:r w:rsidRPr="007D3D45">
        <w:rPr>
          <w:rFonts w:eastAsia="Times New Roman" w:cs="Times New Roman"/>
          <w:lang w:eastAsia="de-DE"/>
        </w:rPr>
        <w:t xml:space="preserve">ist Qal Imperativ maskulin Singular von </w:t>
      </w:r>
      <w:r w:rsidRPr="007D3D45">
        <w:rPr>
          <w:rFonts w:eastAsia="Times New Roman" w:cs="Times New Roman"/>
          <w:b/>
          <w:bCs/>
          <w:rtl/>
          <w:lang w:eastAsia="de-DE"/>
        </w:rPr>
        <w:t>עלה</w:t>
      </w:r>
      <w:r w:rsidRPr="007D3D45">
        <w:rPr>
          <w:rFonts w:eastAsia="Times New Roman" w:cs="Times New Roman"/>
          <w:rtl/>
          <w:lang w:eastAsia="de-DE"/>
        </w:rPr>
        <w:t xml:space="preserve"> </w:t>
      </w:r>
      <w:r w:rsidRPr="007D3D45">
        <w:rPr>
          <w:rFonts w:eastAsia="Times New Roman" w:cs="Times New Roman"/>
          <w:lang w:eastAsia="de-DE"/>
        </w:rPr>
        <w:t xml:space="preserve">(„hinaufsteigen"), </w:t>
      </w:r>
      <w:r w:rsidRPr="007D3D45">
        <w:rPr>
          <w:rFonts w:eastAsia="Times New Roman" w:cs="Times New Roman"/>
          <w:b/>
          <w:bCs/>
          <w:rtl/>
          <w:lang w:eastAsia="de-DE"/>
        </w:rPr>
        <w:t>אֶל־הַר הָעֲבָרִים</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אֶל</w:t>
      </w:r>
      <w:r w:rsidRPr="007D3D45">
        <w:rPr>
          <w:rFonts w:eastAsia="Times New Roman" w:cs="Times New Roman"/>
          <w:rtl/>
          <w:lang w:eastAsia="de-DE"/>
        </w:rPr>
        <w:t xml:space="preserve"> </w:t>
      </w:r>
      <w:r w:rsidRPr="007D3D45">
        <w:rPr>
          <w:rFonts w:eastAsia="Times New Roman" w:cs="Times New Roman"/>
          <w:lang w:eastAsia="de-DE"/>
        </w:rPr>
        <w:t xml:space="preserve">„zu, auf" mit </w:t>
      </w:r>
      <w:r w:rsidRPr="007D3D45">
        <w:rPr>
          <w:rFonts w:eastAsia="Times New Roman" w:cs="Times New Roman"/>
          <w:b/>
          <w:bCs/>
          <w:rtl/>
          <w:lang w:eastAsia="de-DE"/>
        </w:rPr>
        <w:t>הַר</w:t>
      </w:r>
      <w:r w:rsidRPr="007D3D45">
        <w:rPr>
          <w:rFonts w:eastAsia="Times New Roman" w:cs="Times New Roman"/>
          <w:rtl/>
          <w:lang w:eastAsia="de-DE"/>
        </w:rPr>
        <w:t xml:space="preserve"> </w:t>
      </w:r>
      <w:r w:rsidRPr="007D3D45">
        <w:rPr>
          <w:rFonts w:eastAsia="Times New Roman" w:cs="Times New Roman"/>
          <w:lang w:eastAsia="de-DE"/>
        </w:rPr>
        <w:t xml:space="preserve">„Berg" im </w:t>
      </w:r>
      <w:r w:rsidR="00E031B3">
        <w:rPr>
          <w:rFonts w:eastAsia="Times New Roman" w:cs="Times New Roman"/>
          <w:lang w:eastAsia="de-DE"/>
        </w:rPr>
        <w:t>Constructus und</w:t>
      </w:r>
      <w:r w:rsidRPr="007D3D45">
        <w:rPr>
          <w:rFonts w:eastAsia="Times New Roman" w:cs="Times New Roman"/>
          <w:lang w:eastAsia="de-DE"/>
        </w:rPr>
        <w:t xml:space="preserve"> </w:t>
      </w:r>
      <w:r w:rsidRPr="007D3D45">
        <w:rPr>
          <w:rFonts w:eastAsia="Times New Roman" w:cs="Times New Roman"/>
          <w:b/>
          <w:bCs/>
          <w:rtl/>
          <w:lang w:eastAsia="de-DE"/>
        </w:rPr>
        <w:t>עֲבָרִים</w:t>
      </w:r>
      <w:r w:rsidRPr="007D3D45">
        <w:rPr>
          <w:rFonts w:eastAsia="Times New Roman" w:cs="Times New Roman"/>
          <w:rtl/>
          <w:lang w:eastAsia="de-DE"/>
        </w:rPr>
        <w:t xml:space="preserve"> </w:t>
      </w:r>
      <w:r w:rsidRPr="007D3D45">
        <w:rPr>
          <w:rFonts w:eastAsia="Times New Roman" w:cs="Times New Roman"/>
          <w:lang w:eastAsia="de-DE"/>
        </w:rPr>
        <w:t xml:space="preserve">„Abarim, Jenseits") bezeichnet das Gebirge östlich des Jordan. </w:t>
      </w:r>
      <w:r w:rsidRPr="007D3D45">
        <w:rPr>
          <w:rFonts w:eastAsia="Times New Roman" w:cs="Times New Roman"/>
          <w:b/>
          <w:bCs/>
          <w:rtl/>
          <w:lang w:eastAsia="de-DE"/>
        </w:rPr>
        <w:t>הַזֶּה</w:t>
      </w:r>
      <w:r w:rsidRPr="007D3D45">
        <w:rPr>
          <w:rFonts w:eastAsia="Times New Roman" w:cs="Times New Roman"/>
          <w:rtl/>
          <w:lang w:eastAsia="de-DE"/>
        </w:rPr>
        <w:t xml:space="preserve"> </w:t>
      </w:r>
      <w:r w:rsidRPr="007D3D45">
        <w:rPr>
          <w:rFonts w:eastAsia="Times New Roman" w:cs="Times New Roman"/>
          <w:lang w:eastAsia="de-DE"/>
        </w:rPr>
        <w:t>(Demonstrativpronomen „dieser") zeigt, dass der Berg in Sichtweite ist. Das Gebirge Abarim umfasst den Berg Nebo (Dtn 32,49; 34,1).</w:t>
      </w:r>
    </w:p>
    <w:p w14:paraId="37A29E19"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וּרְאֵה אֶת־הָאָרֶץ אֲשֶׁר נָתַתִּי לִבְנֵי יִשְׂרָאֵל</w:t>
      </w:r>
      <w:r w:rsidRPr="007D3D45">
        <w:rPr>
          <w:rFonts w:eastAsia="Times New Roman" w:cs="Times New Roman"/>
          <w:rtl/>
          <w:lang w:eastAsia="de-DE"/>
        </w:rPr>
        <w:t xml:space="preserve"> </w:t>
      </w:r>
      <w:r w:rsidRPr="007D3D45">
        <w:rPr>
          <w:rFonts w:eastAsia="Times New Roman" w:cs="Times New Roman"/>
          <w:lang w:eastAsia="de-DE"/>
        </w:rPr>
        <w:t xml:space="preserve">ist der zweite Befehl mit Begründung. </w:t>
      </w:r>
      <w:r w:rsidRPr="007D3D45">
        <w:rPr>
          <w:rFonts w:eastAsia="Times New Roman" w:cs="Times New Roman"/>
          <w:b/>
          <w:bCs/>
          <w:rtl/>
          <w:lang w:eastAsia="de-DE"/>
        </w:rPr>
        <w:t>וּרְאֵה</w:t>
      </w:r>
      <w:r w:rsidRPr="007D3D45">
        <w:rPr>
          <w:rFonts w:eastAsia="Times New Roman" w:cs="Times New Roman"/>
          <w:rtl/>
          <w:lang w:eastAsia="de-DE"/>
        </w:rPr>
        <w:t xml:space="preserve"> </w:t>
      </w:r>
      <w:r w:rsidRPr="007D3D45">
        <w:rPr>
          <w:rFonts w:eastAsia="Times New Roman" w:cs="Times New Roman"/>
          <w:lang w:eastAsia="de-DE"/>
        </w:rPr>
        <w:t xml:space="preserve">ist Qal Imperativ maskulin Singular von </w:t>
      </w:r>
      <w:r w:rsidRPr="007D3D45">
        <w:rPr>
          <w:rFonts w:eastAsia="Times New Roman" w:cs="Times New Roman"/>
          <w:b/>
          <w:bCs/>
          <w:rtl/>
          <w:lang w:eastAsia="de-DE"/>
        </w:rPr>
        <w:t>ראה</w:t>
      </w:r>
      <w:r w:rsidRPr="007D3D45">
        <w:rPr>
          <w:rFonts w:eastAsia="Times New Roman" w:cs="Times New Roman"/>
          <w:rtl/>
          <w:lang w:eastAsia="de-DE"/>
        </w:rPr>
        <w:t xml:space="preserve"> </w:t>
      </w:r>
      <w:r w:rsidRPr="007D3D45">
        <w:rPr>
          <w:rFonts w:eastAsia="Times New Roman" w:cs="Times New Roman"/>
          <w:lang w:eastAsia="de-DE"/>
        </w:rPr>
        <w:t xml:space="preserve">(„sehen") mit Konjunktion </w:t>
      </w:r>
      <w:r w:rsidRPr="007D3D45">
        <w:rPr>
          <w:rFonts w:eastAsia="Times New Roman" w:cs="Times New Roman"/>
          <w:b/>
          <w:bCs/>
          <w:rtl/>
          <w:lang w:eastAsia="de-DE"/>
        </w:rPr>
        <w:t>וְ</w:t>
      </w:r>
      <w:r w:rsidRPr="007D3D45">
        <w:rPr>
          <w:rFonts w:eastAsia="Times New Roman" w:cs="Times New Roman"/>
          <w:lang w:eastAsia="de-DE"/>
        </w:rPr>
        <w:t xml:space="preserve">, </w:t>
      </w:r>
      <w:r w:rsidRPr="007D3D45">
        <w:rPr>
          <w:rFonts w:eastAsia="Times New Roman" w:cs="Times New Roman"/>
          <w:b/>
          <w:bCs/>
          <w:rtl/>
          <w:lang w:eastAsia="de-DE"/>
        </w:rPr>
        <w:t>אֶת־הָאָרֶץ</w:t>
      </w:r>
      <w:r w:rsidRPr="007D3D45">
        <w:rPr>
          <w:rFonts w:eastAsia="Times New Roman" w:cs="Times New Roman"/>
          <w:rtl/>
          <w:lang w:eastAsia="de-DE"/>
        </w:rPr>
        <w:t xml:space="preserve"> </w:t>
      </w:r>
      <w:r w:rsidRPr="007D3D45">
        <w:rPr>
          <w:rFonts w:eastAsia="Times New Roman" w:cs="Times New Roman"/>
          <w:lang w:eastAsia="de-DE"/>
        </w:rPr>
        <w:t xml:space="preserve">(„das Land") mit Artikel ist das Akkusativobjekt. </w:t>
      </w:r>
      <w:r w:rsidRPr="007D3D45">
        <w:rPr>
          <w:rFonts w:eastAsia="Times New Roman" w:cs="Times New Roman"/>
          <w:b/>
          <w:bCs/>
          <w:rtl/>
          <w:lang w:eastAsia="de-DE"/>
        </w:rPr>
        <w:t>אֲשֶׁר נָתַתִּי לִבְנֵי יִשְׂרָאֵל</w:t>
      </w:r>
      <w:r w:rsidRPr="007D3D45">
        <w:rPr>
          <w:rFonts w:eastAsia="Times New Roman" w:cs="Times New Roman"/>
          <w:rtl/>
          <w:lang w:eastAsia="de-DE"/>
        </w:rPr>
        <w:t xml:space="preserve"> </w:t>
      </w:r>
      <w:r w:rsidRPr="007D3D45">
        <w:rPr>
          <w:rFonts w:eastAsia="Times New Roman" w:cs="Times New Roman"/>
          <w:lang w:eastAsia="de-DE"/>
        </w:rPr>
        <w:t xml:space="preserve">ist ein Relativsatz: </w:t>
      </w:r>
      <w:r w:rsidRPr="007D3D45">
        <w:rPr>
          <w:rFonts w:eastAsia="Times New Roman" w:cs="Times New Roman"/>
          <w:b/>
          <w:bCs/>
          <w:rtl/>
          <w:lang w:eastAsia="de-DE"/>
        </w:rPr>
        <w:t>אֲשֶׁר</w:t>
      </w:r>
      <w:r w:rsidRPr="007D3D45">
        <w:rPr>
          <w:rFonts w:eastAsia="Times New Roman" w:cs="Times New Roman"/>
          <w:rtl/>
          <w:lang w:eastAsia="de-DE"/>
        </w:rPr>
        <w:t xml:space="preserve"> </w:t>
      </w:r>
      <w:r w:rsidRPr="007D3D45">
        <w:rPr>
          <w:rFonts w:eastAsia="Times New Roman" w:cs="Times New Roman"/>
          <w:lang w:eastAsia="de-DE"/>
        </w:rPr>
        <w:t xml:space="preserve">(Relativpronomen), </w:t>
      </w:r>
      <w:r w:rsidRPr="007D3D45">
        <w:rPr>
          <w:rFonts w:eastAsia="Times New Roman" w:cs="Times New Roman"/>
          <w:b/>
          <w:bCs/>
          <w:rtl/>
          <w:lang w:eastAsia="de-DE"/>
        </w:rPr>
        <w:t>נָתַתִּי</w:t>
      </w:r>
      <w:r w:rsidRPr="007D3D45">
        <w:rPr>
          <w:rFonts w:eastAsia="Times New Roman" w:cs="Times New Roman"/>
          <w:rtl/>
          <w:lang w:eastAsia="de-DE"/>
        </w:rPr>
        <w:t xml:space="preserve"> </w:t>
      </w:r>
      <w:r w:rsidRPr="007D3D45">
        <w:rPr>
          <w:rFonts w:eastAsia="Times New Roman" w:cs="Times New Roman"/>
          <w:lang w:eastAsia="de-DE"/>
        </w:rPr>
        <w:t xml:space="preserve">(Qal Perfekt 1. Person Singular von </w:t>
      </w:r>
      <w:r w:rsidRPr="007D3D45">
        <w:rPr>
          <w:rFonts w:eastAsia="Times New Roman" w:cs="Times New Roman"/>
          <w:b/>
          <w:bCs/>
          <w:rtl/>
          <w:lang w:eastAsia="de-DE"/>
        </w:rPr>
        <w:t>נתן</w:t>
      </w:r>
      <w:r w:rsidRPr="007D3D45">
        <w:rPr>
          <w:rFonts w:eastAsia="Times New Roman" w:cs="Times New Roman"/>
          <w:rtl/>
          <w:lang w:eastAsia="de-DE"/>
        </w:rPr>
        <w:t xml:space="preserve"> </w:t>
      </w:r>
      <w:r w:rsidRPr="007D3D45">
        <w:rPr>
          <w:rFonts w:eastAsia="Times New Roman" w:cs="Times New Roman"/>
          <w:lang w:eastAsia="de-DE"/>
        </w:rPr>
        <w:t xml:space="preserve">„geben"), </w:t>
      </w:r>
      <w:r w:rsidRPr="007D3D45">
        <w:rPr>
          <w:rFonts w:eastAsia="Times New Roman" w:cs="Times New Roman"/>
          <w:b/>
          <w:bCs/>
          <w:rtl/>
          <w:lang w:eastAsia="de-DE"/>
        </w:rPr>
        <w:t>לִבְנֵי יִשְׂרָאֵל</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לְ</w:t>
      </w:r>
      <w:r w:rsidRPr="007D3D45">
        <w:rPr>
          <w:rFonts w:eastAsia="Times New Roman" w:cs="Times New Roman"/>
          <w:rtl/>
          <w:lang w:eastAsia="de-DE"/>
        </w:rPr>
        <w:t xml:space="preserve"> </w:t>
      </w:r>
      <w:r w:rsidRPr="007D3D45">
        <w:rPr>
          <w:rFonts w:eastAsia="Times New Roman" w:cs="Times New Roman"/>
          <w:lang w:eastAsia="de-DE"/>
        </w:rPr>
        <w:t>mit „Söhne Israels") als indirektes Objekt. Das Perfekt drückt die bereits erfolgte göttliche Zusage aus, obwohl die physische Inbesitznahme noch bevorsteht. Mose darf das Land sehen, aber nicht betreten - eine bittersüße Gnade.</w:t>
      </w:r>
    </w:p>
    <w:p w14:paraId="7497FEC5" w14:textId="3BA5AE7E"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Die LXX</w:t>
      </w:r>
      <w:r w:rsidRPr="007D3D45">
        <w:rPr>
          <w:rFonts w:eastAsia="Times New Roman" w:cs="Times New Roman"/>
          <w:lang w:eastAsia="de-DE"/>
        </w:rPr>
        <w:t xml:space="preserve"> </w:t>
      </w:r>
      <w:r w:rsidR="002900A1">
        <w:t>fügt eine signifikante Glosse hinzu: „Ἀνάβηθι εἰς τὸ ὄρος τὸ ἐν τῷ πέραν (τοῦτο ὄρος Ναβαύ)" (Steige auf den Berg, der jenseits ist (dies ist der Berg Nebo)), während der MT nur „</w:t>
      </w:r>
      <w:r w:rsidR="002900A1" w:rsidRPr="002900A1">
        <w:rPr>
          <w:b/>
          <w:bCs/>
          <w:rtl/>
        </w:rPr>
        <w:t>הַר הָעֲבָרִים הַזֶּה</w:t>
      </w:r>
      <w:r w:rsidR="002900A1">
        <w:t>" (diesen Berg Abarim) hat. Die LXX identifiziert den Berg explizit als Nebo.</w:t>
      </w:r>
    </w:p>
    <w:p w14:paraId="0615B5AB"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Die Satzstruktur zeigt eine Redeeinleitung, gefolgt von zwei koordinierten Imperativen mit lokaler bzw. objektbezogener Ergänzung, wobei der zweite Imperativ durch einen Relativsatz erweitert wird.</w:t>
      </w:r>
    </w:p>
    <w:p w14:paraId="09E71C65"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Der Vers kündet Moses bevorstehendes Ende an: Er darf das verheißene Land vom Berg aus sehen, was zugleich Erfüllung (er sieht das Ziel) und Tragik (er darf nicht hinein) bedeutet und den Preis seiner früheren Verfehlung zeigt.</w:t>
      </w:r>
    </w:p>
    <w:p w14:paraId="0238F5CF" w14:textId="77777777" w:rsidR="007D3D45" w:rsidRPr="007D3D45" w:rsidRDefault="007D3D45" w:rsidP="007D3D45">
      <w:pPr>
        <w:spacing w:before="100" w:beforeAutospacing="1" w:after="100" w:afterAutospacing="1" w:line="240" w:lineRule="auto"/>
        <w:outlineLvl w:val="0"/>
        <w:rPr>
          <w:rFonts w:eastAsia="Times New Roman" w:cs="Times New Roman"/>
          <w:b/>
          <w:bCs/>
          <w:kern w:val="36"/>
          <w:sz w:val="48"/>
          <w:szCs w:val="48"/>
          <w:lang w:eastAsia="de-DE"/>
        </w:rPr>
      </w:pPr>
      <w:r w:rsidRPr="007D3D45">
        <w:rPr>
          <w:rFonts w:eastAsia="Times New Roman" w:cs="Times New Roman"/>
          <w:b/>
          <w:bCs/>
          <w:kern w:val="36"/>
          <w:sz w:val="48"/>
          <w:szCs w:val="48"/>
          <w:lang w:eastAsia="de-DE"/>
        </w:rPr>
        <w:t>Numeri 27,13</w:t>
      </w:r>
    </w:p>
    <w:p w14:paraId="5E3AB2A1"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Hebräisch:</w:t>
      </w:r>
      <w:r w:rsidRPr="007D3D45">
        <w:rPr>
          <w:rFonts w:eastAsia="Times New Roman" w:cs="Times New Roman"/>
          <w:lang w:eastAsia="de-DE"/>
        </w:rPr>
        <w:t xml:space="preserve"> </w:t>
      </w:r>
      <w:r w:rsidRPr="007D3D45">
        <w:rPr>
          <w:rFonts w:eastAsia="Times New Roman" w:cs="Times New Roman"/>
          <w:rtl/>
          <w:lang w:eastAsia="de-DE"/>
        </w:rPr>
        <w:t>וְרָאִ֣יתָה אֹתָ֔הּ וְנֶאֱסַפְתָּ֥ אֶל־עַמֶּ֖יךָ גַּם־אָ֑תָּה כַּאֲשֶׁ֥ר נֶאֱסַ֖ף אַהֲרֹ֥ן אָחִֽיךָ׃</w:t>
      </w:r>
    </w:p>
    <w:p w14:paraId="0CE3BFAF"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Deutsch:</w:t>
      </w:r>
      <w:r w:rsidRPr="007D3D45">
        <w:rPr>
          <w:rFonts w:eastAsia="Times New Roman" w:cs="Times New Roman"/>
          <w:lang w:eastAsia="de-DE"/>
        </w:rPr>
        <w:t xml:space="preserve"> Und wenn du es gesehen hast, sollst auch du zu deinen Völkern versammelt werden, wie dein Bruder 'Aharon versammelt worden ist,</w:t>
      </w:r>
    </w:p>
    <w:p w14:paraId="183D43FD" w14:textId="77777777" w:rsidR="007D3D45" w:rsidRPr="007D3D45" w:rsidRDefault="00F329DD" w:rsidP="007D3D45">
      <w:pPr>
        <w:spacing w:after="0" w:line="240" w:lineRule="auto"/>
        <w:rPr>
          <w:rFonts w:eastAsia="Times New Roman" w:cs="Times New Roman"/>
          <w:lang w:eastAsia="de-DE"/>
        </w:rPr>
      </w:pPr>
      <w:r>
        <w:rPr>
          <w:rFonts w:eastAsia="Times New Roman" w:cs="Times New Roman"/>
          <w:noProof/>
          <w:lang w:eastAsia="de-DE"/>
        </w:rPr>
        <w:pict w14:anchorId="31E0CCC7">
          <v:rect id="_x0000_i1894" style="width:0;height:1.5pt" o:hralign="center" o:hrstd="t" o:hr="t" fillcolor="#a0a0a0" stroked="f"/>
        </w:pict>
      </w:r>
    </w:p>
    <w:p w14:paraId="01660938" w14:textId="0A1E4E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lastRenderedPageBreak/>
        <w:t>Kommentar:</w:t>
      </w:r>
      <w:r w:rsidRPr="007D3D45">
        <w:rPr>
          <w:rFonts w:eastAsia="Times New Roman" w:cs="Times New Roman"/>
          <w:lang w:eastAsia="de-DE"/>
        </w:rPr>
        <w:t xml:space="preserve"> Der Vers verkündet Moses Tod. </w:t>
      </w:r>
      <w:r w:rsidRPr="007D3D45">
        <w:rPr>
          <w:rFonts w:eastAsia="Times New Roman" w:cs="Times New Roman"/>
          <w:b/>
          <w:bCs/>
          <w:rtl/>
          <w:lang w:eastAsia="de-DE"/>
        </w:rPr>
        <w:t>וְרָאִיתָה אֹתָהּ</w:t>
      </w:r>
      <w:r w:rsidRPr="007D3D45">
        <w:rPr>
          <w:rFonts w:eastAsia="Times New Roman" w:cs="Times New Roman"/>
          <w:rtl/>
          <w:lang w:eastAsia="de-DE"/>
        </w:rPr>
        <w:t xml:space="preserve"> </w:t>
      </w:r>
      <w:r w:rsidRPr="007D3D45">
        <w:rPr>
          <w:rFonts w:eastAsia="Times New Roman" w:cs="Times New Roman"/>
          <w:lang w:eastAsia="de-DE"/>
        </w:rPr>
        <w:t xml:space="preserve">ist die Vorbedingung. </w:t>
      </w:r>
      <w:r w:rsidRPr="007D3D45">
        <w:rPr>
          <w:rFonts w:eastAsia="Times New Roman" w:cs="Times New Roman"/>
          <w:b/>
          <w:bCs/>
          <w:rtl/>
          <w:lang w:eastAsia="de-DE"/>
        </w:rPr>
        <w:t>וְרָאִיתָה</w:t>
      </w:r>
      <w:r w:rsidRPr="007D3D45">
        <w:rPr>
          <w:rFonts w:eastAsia="Times New Roman" w:cs="Times New Roman"/>
          <w:rtl/>
          <w:lang w:eastAsia="de-DE"/>
        </w:rPr>
        <w:t xml:space="preserve"> </w:t>
      </w:r>
      <w:r w:rsidRPr="007D3D45">
        <w:rPr>
          <w:rFonts w:eastAsia="Times New Roman" w:cs="Times New Roman"/>
          <w:lang w:eastAsia="de-DE"/>
        </w:rPr>
        <w:t xml:space="preserve">ist Qal Perfekt 2. Person maskulin Singular von </w:t>
      </w:r>
      <w:r w:rsidRPr="007D3D45">
        <w:rPr>
          <w:rFonts w:eastAsia="Times New Roman" w:cs="Times New Roman"/>
          <w:b/>
          <w:bCs/>
          <w:rtl/>
          <w:lang w:eastAsia="de-DE"/>
        </w:rPr>
        <w:t>ראה</w:t>
      </w:r>
      <w:r w:rsidRPr="007D3D45">
        <w:rPr>
          <w:rFonts w:eastAsia="Times New Roman" w:cs="Times New Roman"/>
          <w:rtl/>
          <w:lang w:eastAsia="de-DE"/>
        </w:rPr>
        <w:t xml:space="preserve"> </w:t>
      </w:r>
      <w:r w:rsidRPr="007D3D45">
        <w:rPr>
          <w:rFonts w:eastAsia="Times New Roman" w:cs="Times New Roman"/>
          <w:lang w:eastAsia="de-DE"/>
        </w:rPr>
        <w:t xml:space="preserve">(„sehen") mit Waw consecutivum und Paragogischem He (das Emphase ausdrückt), </w:t>
      </w:r>
      <w:r w:rsidRPr="007D3D45">
        <w:rPr>
          <w:rFonts w:eastAsia="Times New Roman" w:cs="Times New Roman"/>
          <w:b/>
          <w:bCs/>
          <w:rtl/>
          <w:lang w:eastAsia="de-DE"/>
        </w:rPr>
        <w:t>אֹתָהּ</w:t>
      </w:r>
      <w:r w:rsidRPr="007D3D45">
        <w:rPr>
          <w:rFonts w:eastAsia="Times New Roman" w:cs="Times New Roman"/>
          <w:rtl/>
          <w:lang w:eastAsia="de-DE"/>
        </w:rPr>
        <w:t xml:space="preserve"> </w:t>
      </w:r>
      <w:r w:rsidRPr="007D3D45">
        <w:rPr>
          <w:rFonts w:eastAsia="Times New Roman" w:cs="Times New Roman"/>
          <w:lang w:eastAsia="de-DE"/>
        </w:rPr>
        <w:t xml:space="preserve">(Akkusativpartikel mit feminin Singular Suffix „es"), bezieht sich auf </w:t>
      </w:r>
      <w:r w:rsidRPr="007D3D45">
        <w:rPr>
          <w:rFonts w:eastAsia="Times New Roman" w:cs="Times New Roman"/>
          <w:b/>
          <w:bCs/>
          <w:rtl/>
          <w:lang w:eastAsia="de-DE"/>
        </w:rPr>
        <w:t>הָאָרֶץ</w:t>
      </w:r>
      <w:r w:rsidRPr="007D3D45">
        <w:rPr>
          <w:rFonts w:eastAsia="Times New Roman" w:cs="Times New Roman"/>
          <w:rtl/>
          <w:lang w:eastAsia="de-DE"/>
        </w:rPr>
        <w:t xml:space="preserve"> </w:t>
      </w:r>
      <w:r w:rsidRPr="007D3D45">
        <w:rPr>
          <w:rFonts w:eastAsia="Times New Roman" w:cs="Times New Roman"/>
          <w:lang w:eastAsia="de-DE"/>
        </w:rPr>
        <w:t xml:space="preserve">aus V. 12. Die </w:t>
      </w:r>
      <w:r w:rsidR="00F133EC">
        <w:rPr>
          <w:rFonts w:eastAsia="Times New Roman" w:cs="Times New Roman"/>
          <w:lang w:eastAsia="de-DE"/>
        </w:rPr>
        <w:t>Construct</w:t>
      </w:r>
      <w:r w:rsidRPr="007D3D45">
        <w:rPr>
          <w:rFonts w:eastAsia="Times New Roman" w:cs="Times New Roman"/>
          <w:lang w:eastAsia="de-DE"/>
        </w:rPr>
        <w:t>ion „und wenn du es gesehen hast" oder „nachdem du es gesehen hast" markiert eine zeitliche Sequenz.</w:t>
      </w:r>
    </w:p>
    <w:p w14:paraId="427C67AF"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וְנֶאֱסַפְתָּ אֶל־עַמֶּיךָ גַּם־אָתָּה</w:t>
      </w:r>
      <w:r w:rsidRPr="007D3D45">
        <w:rPr>
          <w:rFonts w:eastAsia="Times New Roman" w:cs="Times New Roman"/>
          <w:rtl/>
          <w:lang w:eastAsia="de-DE"/>
        </w:rPr>
        <w:t xml:space="preserve"> </w:t>
      </w:r>
      <w:r w:rsidRPr="007D3D45">
        <w:rPr>
          <w:rFonts w:eastAsia="Times New Roman" w:cs="Times New Roman"/>
          <w:lang w:eastAsia="de-DE"/>
        </w:rPr>
        <w:t xml:space="preserve">verkündet das Ende. </w:t>
      </w:r>
      <w:r w:rsidRPr="007D3D45">
        <w:rPr>
          <w:rFonts w:eastAsia="Times New Roman" w:cs="Times New Roman"/>
          <w:b/>
          <w:bCs/>
          <w:rtl/>
          <w:lang w:eastAsia="de-DE"/>
        </w:rPr>
        <w:t>וְנֶאֱסַפְתָּ</w:t>
      </w:r>
      <w:r w:rsidRPr="007D3D45">
        <w:rPr>
          <w:rFonts w:eastAsia="Times New Roman" w:cs="Times New Roman"/>
          <w:rtl/>
          <w:lang w:eastAsia="de-DE"/>
        </w:rPr>
        <w:t xml:space="preserve"> </w:t>
      </w:r>
      <w:r w:rsidRPr="007D3D45">
        <w:rPr>
          <w:rFonts w:eastAsia="Times New Roman" w:cs="Times New Roman"/>
          <w:lang w:eastAsia="de-DE"/>
        </w:rPr>
        <w:t xml:space="preserve">ist Niphal Perfekt 2. Person maskulin Singular von </w:t>
      </w:r>
      <w:r w:rsidRPr="007D3D45">
        <w:rPr>
          <w:rFonts w:eastAsia="Times New Roman" w:cs="Times New Roman"/>
          <w:b/>
          <w:bCs/>
          <w:rtl/>
          <w:lang w:eastAsia="de-DE"/>
        </w:rPr>
        <w:t>אסף</w:t>
      </w:r>
      <w:r w:rsidRPr="007D3D45">
        <w:rPr>
          <w:rFonts w:eastAsia="Times New Roman" w:cs="Times New Roman"/>
          <w:rtl/>
          <w:lang w:eastAsia="de-DE"/>
        </w:rPr>
        <w:t xml:space="preserve"> </w:t>
      </w:r>
      <w:r w:rsidRPr="007D3D45">
        <w:rPr>
          <w:rFonts w:eastAsia="Times New Roman" w:cs="Times New Roman"/>
          <w:lang w:eastAsia="de-DE"/>
        </w:rPr>
        <w:t xml:space="preserve">(„versammeln") mit Waw consecutivum, im Niphal „versammelt werden". </w:t>
      </w:r>
      <w:r w:rsidRPr="007D3D45">
        <w:rPr>
          <w:rFonts w:eastAsia="Times New Roman" w:cs="Times New Roman"/>
          <w:b/>
          <w:bCs/>
          <w:rtl/>
          <w:lang w:eastAsia="de-DE"/>
        </w:rPr>
        <w:t>אֶל־עַמֶּיךָ</w:t>
      </w:r>
      <w:r w:rsidRPr="007D3D45">
        <w:rPr>
          <w:rFonts w:eastAsia="Times New Roman" w:cs="Times New Roman"/>
          <w:rtl/>
          <w:lang w:eastAsia="de-DE"/>
        </w:rPr>
        <w:t xml:space="preserve"> </w:t>
      </w:r>
      <w:r w:rsidRPr="007D3D45">
        <w:rPr>
          <w:rFonts w:eastAsia="Times New Roman" w:cs="Times New Roman"/>
          <w:lang w:eastAsia="de-DE"/>
        </w:rPr>
        <w:t xml:space="preserve">(Präposition </w:t>
      </w:r>
      <w:r w:rsidRPr="007D3D45">
        <w:rPr>
          <w:rFonts w:eastAsia="Times New Roman" w:cs="Times New Roman"/>
          <w:b/>
          <w:bCs/>
          <w:rtl/>
          <w:lang w:eastAsia="de-DE"/>
        </w:rPr>
        <w:t>אֶל</w:t>
      </w:r>
      <w:r w:rsidRPr="007D3D45">
        <w:rPr>
          <w:rFonts w:eastAsia="Times New Roman" w:cs="Times New Roman"/>
          <w:rtl/>
          <w:lang w:eastAsia="de-DE"/>
        </w:rPr>
        <w:t xml:space="preserve"> </w:t>
      </w:r>
      <w:r w:rsidRPr="007D3D45">
        <w:rPr>
          <w:rFonts w:eastAsia="Times New Roman" w:cs="Times New Roman"/>
          <w:lang w:eastAsia="de-DE"/>
        </w:rPr>
        <w:t xml:space="preserve">mit Plural von </w:t>
      </w:r>
      <w:r w:rsidRPr="007D3D45">
        <w:rPr>
          <w:rFonts w:eastAsia="Times New Roman" w:cs="Times New Roman"/>
          <w:b/>
          <w:bCs/>
          <w:rtl/>
          <w:lang w:eastAsia="de-DE"/>
        </w:rPr>
        <w:t>עַם</w:t>
      </w:r>
      <w:r w:rsidRPr="007D3D45">
        <w:rPr>
          <w:rFonts w:eastAsia="Times New Roman" w:cs="Times New Roman"/>
          <w:rtl/>
          <w:lang w:eastAsia="de-DE"/>
        </w:rPr>
        <w:t xml:space="preserve"> </w:t>
      </w:r>
      <w:r w:rsidRPr="007D3D45">
        <w:rPr>
          <w:rFonts w:eastAsia="Times New Roman" w:cs="Times New Roman"/>
          <w:lang w:eastAsia="de-DE"/>
        </w:rPr>
        <w:t xml:space="preserve">„Volk" und Suffix 2. Person maskulin Singular „zu deinen Völkern") ist eine euphemistische Umschreibung für Sterben, die die Wiedervereinigung mit den Ahnen ausdrückt. </w:t>
      </w:r>
      <w:r w:rsidRPr="007D3D45">
        <w:rPr>
          <w:rFonts w:eastAsia="Times New Roman" w:cs="Times New Roman"/>
          <w:b/>
          <w:bCs/>
          <w:rtl/>
          <w:lang w:eastAsia="de-DE"/>
        </w:rPr>
        <w:t>גַּם־אָתָּה</w:t>
      </w:r>
      <w:r w:rsidRPr="007D3D45">
        <w:rPr>
          <w:rFonts w:eastAsia="Times New Roman" w:cs="Times New Roman"/>
          <w:rtl/>
          <w:lang w:eastAsia="de-DE"/>
        </w:rPr>
        <w:t xml:space="preserve"> </w:t>
      </w:r>
      <w:r w:rsidRPr="007D3D45">
        <w:rPr>
          <w:rFonts w:eastAsia="Times New Roman" w:cs="Times New Roman"/>
          <w:lang w:eastAsia="de-DE"/>
        </w:rPr>
        <w:t xml:space="preserve">(„auch du") mit der emphatischen Partikel </w:t>
      </w:r>
      <w:r w:rsidRPr="007D3D45">
        <w:rPr>
          <w:rFonts w:eastAsia="Times New Roman" w:cs="Times New Roman"/>
          <w:b/>
          <w:bCs/>
          <w:rtl/>
          <w:lang w:eastAsia="de-DE"/>
        </w:rPr>
        <w:t>גַּם</w:t>
      </w:r>
      <w:r w:rsidRPr="007D3D45">
        <w:rPr>
          <w:rFonts w:eastAsia="Times New Roman" w:cs="Times New Roman"/>
          <w:rtl/>
          <w:lang w:eastAsia="de-DE"/>
        </w:rPr>
        <w:t xml:space="preserve"> </w:t>
      </w:r>
      <w:r w:rsidRPr="007D3D45">
        <w:rPr>
          <w:rFonts w:eastAsia="Times New Roman" w:cs="Times New Roman"/>
          <w:lang w:eastAsia="de-DE"/>
        </w:rPr>
        <w:t>und dem Personalpronomen betont Moses Einbeziehung in das allgemeine menschliche Schicksal.</w:t>
      </w:r>
    </w:p>
    <w:p w14:paraId="39A28336"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rtl/>
          <w:lang w:eastAsia="de-DE"/>
        </w:rPr>
        <w:t>כַּאֲשֶׁר נֶאֱסַף אַהֲרֹן אָחִיךָ</w:t>
      </w:r>
      <w:r w:rsidRPr="007D3D45">
        <w:rPr>
          <w:rFonts w:eastAsia="Times New Roman" w:cs="Times New Roman"/>
          <w:rtl/>
          <w:lang w:eastAsia="de-DE"/>
        </w:rPr>
        <w:t xml:space="preserve"> </w:t>
      </w:r>
      <w:r w:rsidRPr="007D3D45">
        <w:rPr>
          <w:rFonts w:eastAsia="Times New Roman" w:cs="Times New Roman"/>
          <w:lang w:eastAsia="de-DE"/>
        </w:rPr>
        <w:t xml:space="preserve">stellt die Parallele zu Aaron her. </w:t>
      </w:r>
      <w:r w:rsidRPr="007D3D45">
        <w:rPr>
          <w:rFonts w:eastAsia="Times New Roman" w:cs="Times New Roman"/>
          <w:b/>
          <w:bCs/>
          <w:rtl/>
          <w:lang w:eastAsia="de-DE"/>
        </w:rPr>
        <w:t>כַּאֲשֶׁר</w:t>
      </w:r>
      <w:r w:rsidRPr="007D3D45">
        <w:rPr>
          <w:rFonts w:eastAsia="Times New Roman" w:cs="Times New Roman"/>
          <w:rtl/>
          <w:lang w:eastAsia="de-DE"/>
        </w:rPr>
        <w:t xml:space="preserve"> </w:t>
      </w:r>
      <w:r w:rsidRPr="007D3D45">
        <w:rPr>
          <w:rFonts w:eastAsia="Times New Roman" w:cs="Times New Roman"/>
          <w:lang w:eastAsia="de-DE"/>
        </w:rPr>
        <w:t xml:space="preserve">ist die Vergleichskonjunktion („wie, so wie"), </w:t>
      </w:r>
      <w:r w:rsidRPr="007D3D45">
        <w:rPr>
          <w:rFonts w:eastAsia="Times New Roman" w:cs="Times New Roman"/>
          <w:b/>
          <w:bCs/>
          <w:rtl/>
          <w:lang w:eastAsia="de-DE"/>
        </w:rPr>
        <w:t>נֶאֱסַף</w:t>
      </w:r>
      <w:r w:rsidRPr="007D3D45">
        <w:rPr>
          <w:rFonts w:eastAsia="Times New Roman" w:cs="Times New Roman"/>
          <w:rtl/>
          <w:lang w:eastAsia="de-DE"/>
        </w:rPr>
        <w:t xml:space="preserve"> </w:t>
      </w:r>
      <w:r w:rsidRPr="007D3D45">
        <w:rPr>
          <w:rFonts w:eastAsia="Times New Roman" w:cs="Times New Roman"/>
          <w:lang w:eastAsia="de-DE"/>
        </w:rPr>
        <w:t xml:space="preserve">ist Niphal Perfekt 3. Person maskulin Singular von </w:t>
      </w:r>
      <w:r w:rsidRPr="007D3D45">
        <w:rPr>
          <w:rFonts w:eastAsia="Times New Roman" w:cs="Times New Roman"/>
          <w:b/>
          <w:bCs/>
          <w:rtl/>
          <w:lang w:eastAsia="de-DE"/>
        </w:rPr>
        <w:t>אסף</w:t>
      </w:r>
      <w:r w:rsidRPr="007D3D45">
        <w:rPr>
          <w:rFonts w:eastAsia="Times New Roman" w:cs="Times New Roman"/>
          <w:lang w:eastAsia="de-DE"/>
        </w:rPr>
        <w:t xml:space="preserve">, </w:t>
      </w:r>
      <w:r w:rsidRPr="007D3D45">
        <w:rPr>
          <w:rFonts w:eastAsia="Times New Roman" w:cs="Times New Roman"/>
          <w:b/>
          <w:bCs/>
          <w:rtl/>
          <w:lang w:eastAsia="de-DE"/>
        </w:rPr>
        <w:t>אַהֲרֹן אָחִיךָ</w:t>
      </w:r>
      <w:r w:rsidRPr="007D3D45">
        <w:rPr>
          <w:rFonts w:eastAsia="Times New Roman" w:cs="Times New Roman"/>
          <w:rtl/>
          <w:lang w:eastAsia="de-DE"/>
        </w:rPr>
        <w:t xml:space="preserve"> </w:t>
      </w:r>
      <w:r w:rsidRPr="007D3D45">
        <w:rPr>
          <w:rFonts w:eastAsia="Times New Roman" w:cs="Times New Roman"/>
          <w:lang w:eastAsia="de-DE"/>
        </w:rPr>
        <w:t xml:space="preserve">(„Aaron dein Bruder") mit </w:t>
      </w:r>
      <w:r w:rsidRPr="007D3D45">
        <w:rPr>
          <w:rFonts w:eastAsia="Times New Roman" w:cs="Times New Roman"/>
          <w:b/>
          <w:bCs/>
          <w:rtl/>
          <w:lang w:eastAsia="de-DE"/>
        </w:rPr>
        <w:t>אָח</w:t>
      </w:r>
      <w:r w:rsidRPr="007D3D45">
        <w:rPr>
          <w:rFonts w:eastAsia="Times New Roman" w:cs="Times New Roman"/>
          <w:rtl/>
          <w:lang w:eastAsia="de-DE"/>
        </w:rPr>
        <w:t xml:space="preserve"> </w:t>
      </w:r>
      <w:r w:rsidRPr="007D3D45">
        <w:rPr>
          <w:rFonts w:eastAsia="Times New Roman" w:cs="Times New Roman"/>
          <w:lang w:eastAsia="de-DE"/>
        </w:rPr>
        <w:t>und Suffix 2. Person maskulin Singular. Der Verweis auf Aarons Tod (Num 20,22-29) verbindet beide Brüder im gemeinsamen Schicksal.</w:t>
      </w:r>
    </w:p>
    <w:p w14:paraId="2A907D5E" w14:textId="7532EBE9"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b/>
          <w:bCs/>
          <w:lang w:eastAsia="de-DE"/>
        </w:rPr>
        <w:t>Die LXX</w:t>
      </w:r>
      <w:r w:rsidRPr="007D3D45">
        <w:rPr>
          <w:rFonts w:eastAsia="Times New Roman" w:cs="Times New Roman"/>
          <w:lang w:eastAsia="de-DE"/>
        </w:rPr>
        <w:t xml:space="preserve"> </w:t>
      </w:r>
      <w:r w:rsidR="002900A1">
        <w:t>fügt hinzu „ἐν τῷ Ὢρ τῷ ὄρει" (auf dem Berg Hor), was im MT nicht erscheint, der nur sagt „wie Aaron, dein Bruder, versammelt wurde".</w:t>
      </w:r>
    </w:p>
    <w:p w14:paraId="04265552"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Die Satzstruktur zeigt einen temporalen Nebensatz (Perfekt mit Waw consecutivum), gefolgt von der Hauptaussage (Niphal-Perfekt mit Waw consecutivum) mit emphatischer Ergänzung und einem Vergleichssatz.</w:t>
      </w:r>
    </w:p>
    <w:p w14:paraId="4DA3D9EB" w14:textId="77777777" w:rsidR="007D3D45" w:rsidRPr="007D3D45" w:rsidRDefault="007D3D45" w:rsidP="007D3D45">
      <w:pPr>
        <w:spacing w:before="100" w:beforeAutospacing="1" w:after="100" w:afterAutospacing="1" w:line="240" w:lineRule="auto"/>
        <w:rPr>
          <w:rFonts w:eastAsia="Times New Roman" w:cs="Times New Roman"/>
          <w:lang w:eastAsia="de-DE"/>
        </w:rPr>
      </w:pPr>
      <w:r w:rsidRPr="007D3D45">
        <w:rPr>
          <w:rFonts w:eastAsia="Times New Roman" w:cs="Times New Roman"/>
          <w:lang w:eastAsia="de-DE"/>
        </w:rPr>
        <w:t>Der Vers verkündet Moses baldigen Tod in parallel zu Aaron: Beide Brüder dürfen das verheißene Land nicht betreten, beide sterben kurz vor dem Ziel, was die Schwere ihrer gemeinsamen Verfehlung unterstreicht.</w:t>
      </w:r>
    </w:p>
    <w:p w14:paraId="2ED8C0A8" w14:textId="77777777" w:rsidR="00932AD3" w:rsidRPr="00932AD3" w:rsidRDefault="00932AD3" w:rsidP="00932AD3">
      <w:pPr>
        <w:spacing w:before="100" w:beforeAutospacing="1" w:after="100" w:afterAutospacing="1" w:line="240" w:lineRule="auto"/>
        <w:outlineLvl w:val="0"/>
        <w:rPr>
          <w:rFonts w:eastAsia="Times New Roman" w:cs="Times New Roman"/>
          <w:b/>
          <w:bCs/>
          <w:kern w:val="36"/>
          <w:sz w:val="48"/>
          <w:szCs w:val="48"/>
          <w:lang w:eastAsia="de-DE"/>
        </w:rPr>
      </w:pPr>
      <w:r w:rsidRPr="00932AD3">
        <w:rPr>
          <w:rFonts w:eastAsia="Times New Roman" w:cs="Times New Roman"/>
          <w:b/>
          <w:bCs/>
          <w:kern w:val="36"/>
          <w:sz w:val="48"/>
          <w:szCs w:val="48"/>
          <w:lang w:eastAsia="de-DE"/>
        </w:rPr>
        <w:t>Numeri 27,14</w:t>
      </w:r>
    </w:p>
    <w:p w14:paraId="4C63B809"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Hebräisch:</w:t>
      </w:r>
      <w:r w:rsidRPr="00932AD3">
        <w:rPr>
          <w:rFonts w:eastAsia="Times New Roman" w:cs="Times New Roman"/>
          <w:lang w:eastAsia="de-DE"/>
        </w:rPr>
        <w:t xml:space="preserve"> </w:t>
      </w:r>
      <w:r w:rsidRPr="00932AD3">
        <w:rPr>
          <w:rFonts w:eastAsia="Times New Roman" w:cs="Times New Roman"/>
          <w:rtl/>
          <w:lang w:eastAsia="de-DE"/>
        </w:rPr>
        <w:t>כַּאֲשֶׁר֩ מְרִיתֶ֨ם פִּ֜י בְּמִדְבַּר־צִ֗ן בִּמְרִיבַת֙ הָֽעֵדָ֔ה לְהַקְדִּישֵׁ֥נִי בַמַּ֖יִם לְעֵינֵיהֶ֑ם הֵ֛ם מֵֽי־מְרִיבַ֥ת קָדֵ֖שׁ מִדְבַּר־צִֽן׃</w:t>
      </w:r>
    </w:p>
    <w:p w14:paraId="2898044B"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Deutsch:</w:t>
      </w:r>
      <w:r w:rsidRPr="00932AD3">
        <w:rPr>
          <w:rFonts w:eastAsia="Times New Roman" w:cs="Times New Roman"/>
          <w:lang w:eastAsia="de-DE"/>
        </w:rPr>
        <w:t xml:space="preserve"> weil ihr in der Wüste Zin, beim Hadern der Gemeinde, meinem Mund widerspenstig gewesen seid, mich durch das Wasser vor ihren Augen zu heiligen." Das ist das Haderwasser von Kadesch in der Wüste Zin.</w:t>
      </w:r>
    </w:p>
    <w:p w14:paraId="6AE96E9C" w14:textId="77777777" w:rsidR="00932AD3" w:rsidRPr="00932AD3" w:rsidRDefault="00F329DD" w:rsidP="00932AD3">
      <w:pPr>
        <w:spacing w:after="0" w:line="240" w:lineRule="auto"/>
        <w:rPr>
          <w:rFonts w:eastAsia="Times New Roman" w:cs="Times New Roman"/>
          <w:lang w:eastAsia="de-DE"/>
        </w:rPr>
      </w:pPr>
      <w:r>
        <w:rPr>
          <w:rFonts w:eastAsia="Times New Roman" w:cs="Times New Roman"/>
          <w:noProof/>
          <w:lang w:eastAsia="de-DE"/>
        </w:rPr>
        <w:pict w14:anchorId="18CB2C94">
          <v:rect id="_x0000_i1895" style="width:0;height:1.5pt" o:hralign="center" o:hrstd="t" o:hr="t" fillcolor="#a0a0a0" stroked="f"/>
        </w:pict>
      </w:r>
    </w:p>
    <w:p w14:paraId="18454DD0" w14:textId="2740CE1A"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Kommentar:</w:t>
      </w:r>
      <w:r w:rsidRPr="00932AD3">
        <w:rPr>
          <w:rFonts w:eastAsia="Times New Roman" w:cs="Times New Roman"/>
          <w:lang w:eastAsia="de-DE"/>
        </w:rPr>
        <w:t xml:space="preserve"> Der Vers gibt die Begründung für Moses Ausschluss vom verheißenen Land. </w:t>
      </w:r>
      <w:r w:rsidRPr="00932AD3">
        <w:rPr>
          <w:rFonts w:eastAsia="Times New Roman" w:cs="Times New Roman"/>
          <w:b/>
          <w:bCs/>
          <w:rtl/>
          <w:lang w:eastAsia="de-DE"/>
        </w:rPr>
        <w:t>כַּאֲשֶׁר מְרִיתֶם פִּי בְּמִדְבַּר־צִן בִּמְרִיבַת הָעֵדָה</w:t>
      </w:r>
      <w:r w:rsidRPr="00932AD3">
        <w:rPr>
          <w:rFonts w:eastAsia="Times New Roman" w:cs="Times New Roman"/>
          <w:rtl/>
          <w:lang w:eastAsia="de-DE"/>
        </w:rPr>
        <w:t xml:space="preserve"> </w:t>
      </w:r>
      <w:r w:rsidRPr="00932AD3">
        <w:rPr>
          <w:rFonts w:eastAsia="Times New Roman" w:cs="Times New Roman"/>
          <w:lang w:eastAsia="de-DE"/>
        </w:rPr>
        <w:t xml:space="preserve">erklärt die Verfehlung. </w:t>
      </w:r>
      <w:r w:rsidRPr="00932AD3">
        <w:rPr>
          <w:rFonts w:eastAsia="Times New Roman" w:cs="Times New Roman"/>
          <w:b/>
          <w:bCs/>
          <w:rtl/>
          <w:lang w:eastAsia="de-DE"/>
        </w:rPr>
        <w:t>כַּאֲשֶׁר</w:t>
      </w:r>
      <w:r w:rsidRPr="00932AD3">
        <w:rPr>
          <w:rFonts w:eastAsia="Times New Roman" w:cs="Times New Roman"/>
          <w:rtl/>
          <w:lang w:eastAsia="de-DE"/>
        </w:rPr>
        <w:t xml:space="preserve"> </w:t>
      </w:r>
      <w:r w:rsidRPr="00932AD3">
        <w:rPr>
          <w:rFonts w:eastAsia="Times New Roman" w:cs="Times New Roman"/>
          <w:lang w:eastAsia="de-DE"/>
        </w:rPr>
        <w:t xml:space="preserve">ist die kausale Konjunktion („weil, da"), </w:t>
      </w:r>
      <w:r w:rsidRPr="00932AD3">
        <w:rPr>
          <w:rFonts w:eastAsia="Times New Roman" w:cs="Times New Roman"/>
          <w:b/>
          <w:bCs/>
          <w:rtl/>
          <w:lang w:eastAsia="de-DE"/>
        </w:rPr>
        <w:t>מְרִיתֶם</w:t>
      </w:r>
      <w:r w:rsidRPr="00932AD3">
        <w:rPr>
          <w:rFonts w:eastAsia="Times New Roman" w:cs="Times New Roman"/>
          <w:rtl/>
          <w:lang w:eastAsia="de-DE"/>
        </w:rPr>
        <w:t xml:space="preserve"> </w:t>
      </w:r>
      <w:r w:rsidRPr="00932AD3">
        <w:rPr>
          <w:rFonts w:eastAsia="Times New Roman" w:cs="Times New Roman"/>
          <w:lang w:eastAsia="de-DE"/>
        </w:rPr>
        <w:t xml:space="preserve">ist Qal Perfekt 2. Person maskulin Plural von </w:t>
      </w:r>
      <w:r w:rsidRPr="00932AD3">
        <w:rPr>
          <w:rFonts w:eastAsia="Times New Roman" w:cs="Times New Roman"/>
          <w:b/>
          <w:bCs/>
          <w:rtl/>
          <w:lang w:eastAsia="de-DE"/>
        </w:rPr>
        <w:t>מרה</w:t>
      </w:r>
      <w:r w:rsidRPr="00932AD3">
        <w:rPr>
          <w:rFonts w:eastAsia="Times New Roman" w:cs="Times New Roman"/>
          <w:rtl/>
          <w:lang w:eastAsia="de-DE"/>
        </w:rPr>
        <w:t xml:space="preserve"> </w:t>
      </w:r>
      <w:r w:rsidRPr="00932AD3">
        <w:rPr>
          <w:rFonts w:eastAsia="Times New Roman" w:cs="Times New Roman"/>
          <w:lang w:eastAsia="de-DE"/>
        </w:rPr>
        <w:t xml:space="preserve">(„widerspenstig sein, rebellieren, sich widersetzen"), </w:t>
      </w:r>
      <w:r w:rsidRPr="00932AD3">
        <w:rPr>
          <w:rFonts w:eastAsia="Times New Roman" w:cs="Times New Roman"/>
          <w:b/>
          <w:bCs/>
          <w:rtl/>
          <w:lang w:eastAsia="de-DE"/>
        </w:rPr>
        <w:t>פִּי</w:t>
      </w:r>
      <w:r w:rsidRPr="00932AD3">
        <w:rPr>
          <w:rFonts w:eastAsia="Times New Roman" w:cs="Times New Roman"/>
          <w:rtl/>
          <w:lang w:eastAsia="de-DE"/>
        </w:rPr>
        <w:t xml:space="preserve"> </w:t>
      </w:r>
      <w:r w:rsidRPr="00932AD3">
        <w:rPr>
          <w:rFonts w:eastAsia="Times New Roman" w:cs="Times New Roman"/>
          <w:lang w:eastAsia="de-DE"/>
        </w:rPr>
        <w:t xml:space="preserve">ist das Akkusativobjekt mit Suffix 1. Person Singular („meinen Mund"), was idiomatisch für Gottes Befehl steht. </w:t>
      </w:r>
      <w:r w:rsidRPr="00932AD3">
        <w:rPr>
          <w:rFonts w:eastAsia="Times New Roman" w:cs="Times New Roman"/>
          <w:b/>
          <w:bCs/>
          <w:rtl/>
          <w:lang w:eastAsia="de-DE"/>
        </w:rPr>
        <w:t>בְּמִדְבַּר־צִן</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בְ</w:t>
      </w:r>
      <w:r w:rsidRPr="00932AD3">
        <w:rPr>
          <w:rFonts w:eastAsia="Times New Roman" w:cs="Times New Roman"/>
          <w:rtl/>
          <w:lang w:eastAsia="de-DE"/>
        </w:rPr>
        <w:t xml:space="preserve"> </w:t>
      </w:r>
      <w:r w:rsidRPr="00932AD3">
        <w:rPr>
          <w:rFonts w:eastAsia="Times New Roman" w:cs="Times New Roman"/>
          <w:lang w:eastAsia="de-DE"/>
        </w:rPr>
        <w:t xml:space="preserve">mit </w:t>
      </w:r>
      <w:r w:rsidRPr="00932AD3">
        <w:rPr>
          <w:rFonts w:eastAsia="Times New Roman" w:cs="Times New Roman"/>
          <w:b/>
          <w:bCs/>
          <w:rtl/>
          <w:lang w:eastAsia="de-DE"/>
        </w:rPr>
        <w:t>מִדְבָּר</w:t>
      </w:r>
      <w:r w:rsidRPr="00932AD3">
        <w:rPr>
          <w:rFonts w:eastAsia="Times New Roman" w:cs="Times New Roman"/>
          <w:rtl/>
          <w:lang w:eastAsia="de-DE"/>
        </w:rPr>
        <w:t xml:space="preserve"> </w:t>
      </w:r>
      <w:r w:rsidRPr="00932AD3">
        <w:rPr>
          <w:rFonts w:eastAsia="Times New Roman" w:cs="Times New Roman"/>
          <w:lang w:eastAsia="de-DE"/>
        </w:rPr>
        <w:t xml:space="preserve">„Wüste" im </w:t>
      </w:r>
      <w:r w:rsidR="00E031B3">
        <w:rPr>
          <w:rFonts w:eastAsia="Times New Roman" w:cs="Times New Roman"/>
          <w:lang w:eastAsia="de-DE"/>
        </w:rPr>
        <w:t>Constructus und</w:t>
      </w:r>
      <w:r w:rsidRPr="00932AD3">
        <w:rPr>
          <w:rFonts w:eastAsia="Times New Roman" w:cs="Times New Roman"/>
          <w:lang w:eastAsia="de-DE"/>
        </w:rPr>
        <w:t xml:space="preserve"> </w:t>
      </w:r>
      <w:r w:rsidRPr="00932AD3">
        <w:rPr>
          <w:rFonts w:eastAsia="Times New Roman" w:cs="Times New Roman"/>
          <w:b/>
          <w:bCs/>
          <w:rtl/>
          <w:lang w:eastAsia="de-DE"/>
        </w:rPr>
        <w:t>צִן</w:t>
      </w:r>
      <w:r w:rsidRPr="00932AD3">
        <w:rPr>
          <w:rFonts w:eastAsia="Times New Roman" w:cs="Times New Roman"/>
          <w:rtl/>
          <w:lang w:eastAsia="de-DE"/>
        </w:rPr>
        <w:t xml:space="preserve"> </w:t>
      </w:r>
      <w:r w:rsidRPr="00932AD3">
        <w:rPr>
          <w:rFonts w:eastAsia="Times New Roman" w:cs="Times New Roman"/>
          <w:lang w:eastAsia="de-DE"/>
        </w:rPr>
        <w:t xml:space="preserve">„Zin") lokalisiert das Ereignis. </w:t>
      </w:r>
      <w:r w:rsidRPr="00932AD3">
        <w:rPr>
          <w:rFonts w:eastAsia="Times New Roman" w:cs="Times New Roman"/>
          <w:b/>
          <w:bCs/>
          <w:rtl/>
          <w:lang w:eastAsia="de-DE"/>
        </w:rPr>
        <w:t>בִּמְרִיבַת הָעֵדָה</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בְ</w:t>
      </w:r>
      <w:r w:rsidRPr="00932AD3">
        <w:rPr>
          <w:rFonts w:eastAsia="Times New Roman" w:cs="Times New Roman"/>
          <w:rtl/>
          <w:lang w:eastAsia="de-DE"/>
        </w:rPr>
        <w:t xml:space="preserve"> </w:t>
      </w:r>
      <w:r w:rsidRPr="00932AD3">
        <w:rPr>
          <w:rFonts w:eastAsia="Times New Roman" w:cs="Times New Roman"/>
          <w:lang w:eastAsia="de-DE"/>
        </w:rPr>
        <w:t xml:space="preserve">mit </w:t>
      </w:r>
      <w:r w:rsidRPr="00932AD3">
        <w:rPr>
          <w:rFonts w:eastAsia="Times New Roman" w:cs="Times New Roman"/>
          <w:b/>
          <w:bCs/>
          <w:rtl/>
          <w:lang w:eastAsia="de-DE"/>
        </w:rPr>
        <w:t>מְרִיבָה</w:t>
      </w:r>
      <w:r w:rsidRPr="00932AD3">
        <w:rPr>
          <w:rFonts w:eastAsia="Times New Roman" w:cs="Times New Roman"/>
          <w:rtl/>
          <w:lang w:eastAsia="de-DE"/>
        </w:rPr>
        <w:t xml:space="preserve"> </w:t>
      </w:r>
      <w:r w:rsidRPr="00932AD3">
        <w:rPr>
          <w:rFonts w:eastAsia="Times New Roman" w:cs="Times New Roman"/>
          <w:lang w:eastAsia="de-DE"/>
        </w:rPr>
        <w:t xml:space="preserve">„Streit, Hadern" im </w:t>
      </w:r>
      <w:r w:rsidR="00E031B3">
        <w:rPr>
          <w:rFonts w:eastAsia="Times New Roman" w:cs="Times New Roman"/>
          <w:lang w:eastAsia="de-DE"/>
        </w:rPr>
        <w:t>Constructus und</w:t>
      </w:r>
      <w:r w:rsidRPr="00932AD3">
        <w:rPr>
          <w:rFonts w:eastAsia="Times New Roman" w:cs="Times New Roman"/>
          <w:lang w:eastAsia="de-DE"/>
        </w:rPr>
        <w:t xml:space="preserve"> </w:t>
      </w:r>
      <w:r w:rsidRPr="00932AD3">
        <w:rPr>
          <w:rFonts w:eastAsia="Times New Roman" w:cs="Times New Roman"/>
          <w:b/>
          <w:bCs/>
          <w:rtl/>
          <w:lang w:eastAsia="de-DE"/>
        </w:rPr>
        <w:t>הָעֵדָה</w:t>
      </w:r>
      <w:r w:rsidRPr="00932AD3">
        <w:rPr>
          <w:rFonts w:eastAsia="Times New Roman" w:cs="Times New Roman"/>
          <w:rtl/>
          <w:lang w:eastAsia="de-DE"/>
        </w:rPr>
        <w:t xml:space="preserve"> </w:t>
      </w:r>
      <w:r w:rsidRPr="00932AD3">
        <w:rPr>
          <w:rFonts w:eastAsia="Times New Roman" w:cs="Times New Roman"/>
          <w:lang w:eastAsia="de-DE"/>
        </w:rPr>
        <w:t xml:space="preserve">„die Gemeinde" mit Artikel) spezifiziert den Anlass. Der Plural </w:t>
      </w:r>
      <w:r w:rsidRPr="00932AD3">
        <w:rPr>
          <w:rFonts w:eastAsia="Times New Roman" w:cs="Times New Roman"/>
          <w:b/>
          <w:bCs/>
          <w:rtl/>
          <w:lang w:eastAsia="de-DE"/>
        </w:rPr>
        <w:t>מְרִיתֶם</w:t>
      </w:r>
      <w:r w:rsidRPr="00932AD3">
        <w:rPr>
          <w:rFonts w:eastAsia="Times New Roman" w:cs="Times New Roman"/>
          <w:rtl/>
          <w:lang w:eastAsia="de-DE"/>
        </w:rPr>
        <w:t xml:space="preserve"> </w:t>
      </w:r>
      <w:r w:rsidRPr="00932AD3">
        <w:rPr>
          <w:rFonts w:eastAsia="Times New Roman" w:cs="Times New Roman"/>
          <w:lang w:eastAsia="de-DE"/>
        </w:rPr>
        <w:t>(„ihr habt rebelliert") schließt sowohl Mose als auch Aaron ein.</w:t>
      </w:r>
    </w:p>
    <w:p w14:paraId="35C6D0D9" w14:textId="5AC8801E"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lastRenderedPageBreak/>
        <w:t>לְהַקְדִּישֵׁנִי בַמַּיִם לְעֵינֵיהֶם</w:t>
      </w:r>
      <w:r w:rsidRPr="00932AD3">
        <w:rPr>
          <w:rFonts w:eastAsia="Times New Roman" w:cs="Times New Roman"/>
          <w:rtl/>
          <w:lang w:eastAsia="de-DE"/>
        </w:rPr>
        <w:t xml:space="preserve"> </w:t>
      </w:r>
      <w:r w:rsidRPr="00932AD3">
        <w:rPr>
          <w:rFonts w:eastAsia="Times New Roman" w:cs="Times New Roman"/>
          <w:lang w:eastAsia="de-DE"/>
        </w:rPr>
        <w:t xml:space="preserve">erklärt, worin die Verfehlung bestand. </w:t>
      </w:r>
      <w:r w:rsidRPr="00932AD3">
        <w:rPr>
          <w:rFonts w:eastAsia="Times New Roman" w:cs="Times New Roman"/>
          <w:b/>
          <w:bCs/>
          <w:rtl/>
          <w:lang w:eastAsia="de-DE"/>
        </w:rPr>
        <w:t>לְהַקְדִּישֵׁנִי</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לְ</w:t>
      </w:r>
      <w:r w:rsidRPr="00932AD3">
        <w:rPr>
          <w:rFonts w:eastAsia="Times New Roman" w:cs="Times New Roman"/>
          <w:rtl/>
          <w:lang w:eastAsia="de-DE"/>
        </w:rPr>
        <w:t xml:space="preserve"> </w:t>
      </w:r>
      <w:r w:rsidRPr="00932AD3">
        <w:rPr>
          <w:rFonts w:eastAsia="Times New Roman" w:cs="Times New Roman"/>
          <w:lang w:eastAsia="de-DE"/>
        </w:rPr>
        <w:t xml:space="preserve">mit Hiphil Infinitiv </w:t>
      </w:r>
      <w:r w:rsidR="00E031B3">
        <w:rPr>
          <w:rFonts w:eastAsia="Times New Roman" w:cs="Times New Roman"/>
          <w:lang w:eastAsia="de-DE"/>
        </w:rPr>
        <w:t>Constructus von</w:t>
      </w:r>
      <w:r w:rsidRPr="00932AD3">
        <w:rPr>
          <w:rFonts w:eastAsia="Times New Roman" w:cs="Times New Roman"/>
          <w:lang w:eastAsia="de-DE"/>
        </w:rPr>
        <w:t xml:space="preserve"> </w:t>
      </w:r>
      <w:r w:rsidRPr="00932AD3">
        <w:rPr>
          <w:rFonts w:eastAsia="Times New Roman" w:cs="Times New Roman"/>
          <w:b/>
          <w:bCs/>
          <w:rtl/>
          <w:lang w:eastAsia="de-DE"/>
        </w:rPr>
        <w:t>קדשׁ</w:t>
      </w:r>
      <w:r w:rsidRPr="00932AD3">
        <w:rPr>
          <w:rFonts w:eastAsia="Times New Roman" w:cs="Times New Roman"/>
          <w:rtl/>
          <w:lang w:eastAsia="de-DE"/>
        </w:rPr>
        <w:t xml:space="preserve"> </w:t>
      </w:r>
      <w:r w:rsidRPr="00932AD3">
        <w:rPr>
          <w:rFonts w:eastAsia="Times New Roman" w:cs="Times New Roman"/>
          <w:lang w:eastAsia="de-DE"/>
        </w:rPr>
        <w:t xml:space="preserve">„heiligen" und Suffix 1. Person Singular „mich zu heiligen") gibt den Zweck an, der verfehlt wurde. Das Hiphil bedeutet „heilig machen, als heilig erweisen". </w:t>
      </w:r>
      <w:r w:rsidRPr="00932AD3">
        <w:rPr>
          <w:rFonts w:eastAsia="Times New Roman" w:cs="Times New Roman"/>
          <w:b/>
          <w:bCs/>
          <w:rtl/>
          <w:lang w:eastAsia="de-DE"/>
        </w:rPr>
        <w:t>בַמַּיִם</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בְ</w:t>
      </w:r>
      <w:r w:rsidRPr="00932AD3">
        <w:rPr>
          <w:rFonts w:eastAsia="Times New Roman" w:cs="Times New Roman"/>
          <w:rtl/>
          <w:lang w:eastAsia="de-DE"/>
        </w:rPr>
        <w:t xml:space="preserve"> </w:t>
      </w:r>
      <w:r w:rsidRPr="00932AD3">
        <w:rPr>
          <w:rFonts w:eastAsia="Times New Roman" w:cs="Times New Roman"/>
          <w:lang w:eastAsia="de-DE"/>
        </w:rPr>
        <w:t xml:space="preserve">mit Plural </w:t>
      </w:r>
      <w:r w:rsidRPr="00932AD3">
        <w:rPr>
          <w:rFonts w:eastAsia="Times New Roman" w:cs="Times New Roman"/>
          <w:b/>
          <w:bCs/>
          <w:rtl/>
          <w:lang w:eastAsia="de-DE"/>
        </w:rPr>
        <w:t>מַיִם</w:t>
      </w:r>
      <w:r w:rsidRPr="00932AD3">
        <w:rPr>
          <w:rFonts w:eastAsia="Times New Roman" w:cs="Times New Roman"/>
          <w:rtl/>
          <w:lang w:eastAsia="de-DE"/>
        </w:rPr>
        <w:t xml:space="preserve"> </w:t>
      </w:r>
      <w:r w:rsidRPr="00932AD3">
        <w:rPr>
          <w:rFonts w:eastAsia="Times New Roman" w:cs="Times New Roman"/>
          <w:lang w:eastAsia="de-DE"/>
        </w:rPr>
        <w:t xml:space="preserve">„Wasser" und Artikel „durch das Wasser, am Wasser"), </w:t>
      </w:r>
      <w:r w:rsidRPr="00932AD3">
        <w:rPr>
          <w:rFonts w:eastAsia="Times New Roman" w:cs="Times New Roman"/>
          <w:b/>
          <w:bCs/>
          <w:rtl/>
          <w:lang w:eastAsia="de-DE"/>
        </w:rPr>
        <w:t>לְעֵינֵיהֶם</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לְ</w:t>
      </w:r>
      <w:r w:rsidRPr="00932AD3">
        <w:rPr>
          <w:rFonts w:eastAsia="Times New Roman" w:cs="Times New Roman"/>
          <w:rtl/>
          <w:lang w:eastAsia="de-DE"/>
        </w:rPr>
        <w:t xml:space="preserve"> </w:t>
      </w:r>
      <w:r w:rsidRPr="00932AD3">
        <w:rPr>
          <w:rFonts w:eastAsia="Times New Roman" w:cs="Times New Roman"/>
          <w:lang w:eastAsia="de-DE"/>
        </w:rPr>
        <w:t xml:space="preserve">mit Dual </w:t>
      </w:r>
      <w:r w:rsidR="00E031B3">
        <w:rPr>
          <w:rFonts w:eastAsia="Times New Roman" w:cs="Times New Roman"/>
          <w:lang w:eastAsia="de-DE"/>
        </w:rPr>
        <w:t>Constructus von</w:t>
      </w:r>
      <w:r w:rsidRPr="00932AD3">
        <w:rPr>
          <w:rFonts w:eastAsia="Times New Roman" w:cs="Times New Roman"/>
          <w:lang w:eastAsia="de-DE"/>
        </w:rPr>
        <w:t xml:space="preserve"> </w:t>
      </w:r>
      <w:r w:rsidRPr="00932AD3">
        <w:rPr>
          <w:rFonts w:eastAsia="Times New Roman" w:cs="Times New Roman"/>
          <w:b/>
          <w:bCs/>
          <w:rtl/>
          <w:lang w:eastAsia="de-DE"/>
        </w:rPr>
        <w:t>עַיִן</w:t>
      </w:r>
      <w:r w:rsidRPr="00932AD3">
        <w:rPr>
          <w:rFonts w:eastAsia="Times New Roman" w:cs="Times New Roman"/>
          <w:rtl/>
          <w:lang w:eastAsia="de-DE"/>
        </w:rPr>
        <w:t xml:space="preserve"> </w:t>
      </w:r>
      <w:r w:rsidRPr="00932AD3">
        <w:rPr>
          <w:rFonts w:eastAsia="Times New Roman" w:cs="Times New Roman"/>
          <w:lang w:eastAsia="de-DE"/>
        </w:rPr>
        <w:t xml:space="preserve">„Auge" und Suffix 3. Person maskulin Plural „vor ihren Augen"). Der Infinitiv mit </w:t>
      </w:r>
      <w:r w:rsidRPr="00932AD3">
        <w:rPr>
          <w:rFonts w:eastAsia="Times New Roman" w:cs="Times New Roman"/>
          <w:b/>
          <w:bCs/>
          <w:rtl/>
          <w:lang w:eastAsia="de-DE"/>
        </w:rPr>
        <w:t>לְ</w:t>
      </w:r>
      <w:r w:rsidRPr="00932AD3">
        <w:rPr>
          <w:rFonts w:eastAsia="Times New Roman" w:cs="Times New Roman"/>
          <w:rtl/>
          <w:lang w:eastAsia="de-DE"/>
        </w:rPr>
        <w:t xml:space="preserve"> </w:t>
      </w:r>
      <w:r w:rsidRPr="00932AD3">
        <w:rPr>
          <w:rFonts w:eastAsia="Times New Roman" w:cs="Times New Roman"/>
          <w:lang w:eastAsia="de-DE"/>
        </w:rPr>
        <w:t>nach einem Verb der Unterlassung drückt aus, was hätte geschehen sollen, aber nicht geschah: Mose und Aaron sollten Gott durch ihr Handeln am Wasser vor dem Volk heiligen, haben dies aber verfehlt. Die genaue Natur der Verfehlung wird in Num 20,7-13 beschrieben: Sie schlugen den Felsen zweimal statt zu ihm zu reden und schrieben sich selbst die Wunderkraft zu.</w:t>
      </w:r>
    </w:p>
    <w:p w14:paraId="2746D5B9" w14:textId="55DF7878"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t>הֵם מֵי־מְרִיבַת קָדֵשׁ מִדְבַּר־צִן</w:t>
      </w:r>
      <w:r w:rsidRPr="00932AD3">
        <w:rPr>
          <w:rFonts w:eastAsia="Times New Roman" w:cs="Times New Roman"/>
          <w:rtl/>
          <w:lang w:eastAsia="de-DE"/>
        </w:rPr>
        <w:t xml:space="preserve"> </w:t>
      </w:r>
      <w:r w:rsidRPr="00932AD3">
        <w:rPr>
          <w:rFonts w:eastAsia="Times New Roman" w:cs="Times New Roman"/>
          <w:lang w:eastAsia="de-DE"/>
        </w:rPr>
        <w:t xml:space="preserve">ist die abschließende topographische Identifikation. </w:t>
      </w:r>
      <w:r w:rsidRPr="00932AD3">
        <w:rPr>
          <w:rFonts w:eastAsia="Times New Roman" w:cs="Times New Roman"/>
          <w:b/>
          <w:bCs/>
          <w:rtl/>
          <w:lang w:eastAsia="de-DE"/>
        </w:rPr>
        <w:t>הֵם</w:t>
      </w:r>
      <w:r w:rsidRPr="00932AD3">
        <w:rPr>
          <w:rFonts w:eastAsia="Times New Roman" w:cs="Times New Roman"/>
          <w:rtl/>
          <w:lang w:eastAsia="de-DE"/>
        </w:rPr>
        <w:t xml:space="preserve"> </w:t>
      </w:r>
      <w:r w:rsidRPr="00932AD3">
        <w:rPr>
          <w:rFonts w:eastAsia="Times New Roman" w:cs="Times New Roman"/>
          <w:lang w:eastAsia="de-DE"/>
        </w:rPr>
        <w:t xml:space="preserve">ist das Personalpronomen 3. Person maskulin Plural („das sind, dies ist"), </w:t>
      </w:r>
      <w:r w:rsidRPr="00932AD3">
        <w:rPr>
          <w:rFonts w:eastAsia="Times New Roman" w:cs="Times New Roman"/>
          <w:b/>
          <w:bCs/>
          <w:rtl/>
          <w:lang w:eastAsia="de-DE"/>
        </w:rPr>
        <w:t>מֵי</w:t>
      </w:r>
      <w:r w:rsidRPr="00932AD3">
        <w:rPr>
          <w:rFonts w:eastAsia="Times New Roman" w:cs="Times New Roman"/>
          <w:rtl/>
          <w:lang w:eastAsia="de-DE"/>
        </w:rPr>
        <w:t xml:space="preserve"> </w:t>
      </w:r>
      <w:r w:rsidRPr="00932AD3">
        <w:rPr>
          <w:rFonts w:eastAsia="Times New Roman" w:cs="Times New Roman"/>
          <w:lang w:eastAsia="de-DE"/>
        </w:rPr>
        <w:t xml:space="preserve">ist der Plural </w:t>
      </w:r>
      <w:r w:rsidR="00E031B3">
        <w:rPr>
          <w:rFonts w:eastAsia="Times New Roman" w:cs="Times New Roman"/>
          <w:lang w:eastAsia="de-DE"/>
        </w:rPr>
        <w:t>Constructus von</w:t>
      </w:r>
      <w:r w:rsidRPr="00932AD3">
        <w:rPr>
          <w:rFonts w:eastAsia="Times New Roman" w:cs="Times New Roman"/>
          <w:lang w:eastAsia="de-DE"/>
        </w:rPr>
        <w:t xml:space="preserve"> </w:t>
      </w:r>
      <w:r w:rsidRPr="00932AD3">
        <w:rPr>
          <w:rFonts w:eastAsia="Times New Roman" w:cs="Times New Roman"/>
          <w:b/>
          <w:bCs/>
          <w:rtl/>
          <w:lang w:eastAsia="de-DE"/>
        </w:rPr>
        <w:t>מַיִם</w:t>
      </w:r>
      <w:r w:rsidRPr="00932AD3">
        <w:rPr>
          <w:rFonts w:eastAsia="Times New Roman" w:cs="Times New Roman"/>
          <w:rtl/>
          <w:lang w:eastAsia="de-DE"/>
        </w:rPr>
        <w:t xml:space="preserve"> </w:t>
      </w:r>
      <w:r w:rsidRPr="00932AD3">
        <w:rPr>
          <w:rFonts w:eastAsia="Times New Roman" w:cs="Times New Roman"/>
          <w:lang w:eastAsia="de-DE"/>
        </w:rPr>
        <w:t xml:space="preserve">(„Wasser"), </w:t>
      </w:r>
      <w:r w:rsidRPr="00932AD3">
        <w:rPr>
          <w:rFonts w:eastAsia="Times New Roman" w:cs="Times New Roman"/>
          <w:b/>
          <w:bCs/>
          <w:rtl/>
          <w:lang w:eastAsia="de-DE"/>
        </w:rPr>
        <w:t>מְרִיבַת קָדֵשׁ</w:t>
      </w:r>
      <w:r w:rsidRPr="00932AD3">
        <w:rPr>
          <w:rFonts w:eastAsia="Times New Roman" w:cs="Times New Roman"/>
          <w:rtl/>
          <w:lang w:eastAsia="de-DE"/>
        </w:rPr>
        <w:t xml:space="preserve"> </w:t>
      </w:r>
      <w:r w:rsidRPr="00932AD3">
        <w:rPr>
          <w:rFonts w:eastAsia="Times New Roman" w:cs="Times New Roman"/>
          <w:lang w:eastAsia="de-DE"/>
        </w:rPr>
        <w:t xml:space="preserve">ist eine Genitivverbindung: </w:t>
      </w:r>
      <w:r w:rsidRPr="00932AD3">
        <w:rPr>
          <w:rFonts w:eastAsia="Times New Roman" w:cs="Times New Roman"/>
          <w:b/>
          <w:bCs/>
          <w:rtl/>
          <w:lang w:eastAsia="de-DE"/>
        </w:rPr>
        <w:t>מְרִיבַת</w:t>
      </w:r>
      <w:r w:rsidRPr="00932AD3">
        <w:rPr>
          <w:rFonts w:eastAsia="Times New Roman" w:cs="Times New Roman"/>
          <w:rtl/>
          <w:lang w:eastAsia="de-DE"/>
        </w:rPr>
        <w:t xml:space="preserve"> </w:t>
      </w:r>
      <w:r w:rsidRPr="00932AD3">
        <w:rPr>
          <w:rFonts w:eastAsia="Times New Roman" w:cs="Times New Roman"/>
          <w:lang w:eastAsia="de-DE"/>
        </w:rPr>
        <w:t>(</w:t>
      </w:r>
      <w:r w:rsidR="00E031B3">
        <w:rPr>
          <w:rFonts w:eastAsia="Times New Roman" w:cs="Times New Roman"/>
          <w:lang w:eastAsia="de-DE"/>
        </w:rPr>
        <w:t>Constructus von</w:t>
      </w:r>
      <w:r w:rsidRPr="00932AD3">
        <w:rPr>
          <w:rFonts w:eastAsia="Times New Roman" w:cs="Times New Roman"/>
          <w:lang w:eastAsia="de-DE"/>
        </w:rPr>
        <w:t xml:space="preserve"> </w:t>
      </w:r>
      <w:r w:rsidRPr="00932AD3">
        <w:rPr>
          <w:rFonts w:eastAsia="Times New Roman" w:cs="Times New Roman"/>
          <w:b/>
          <w:bCs/>
          <w:rtl/>
          <w:lang w:eastAsia="de-DE"/>
        </w:rPr>
        <w:t>מְרִיבָה</w:t>
      </w:r>
      <w:r w:rsidRPr="00932AD3">
        <w:rPr>
          <w:rFonts w:eastAsia="Times New Roman" w:cs="Times New Roman"/>
          <w:rtl/>
          <w:lang w:eastAsia="de-DE"/>
        </w:rPr>
        <w:t xml:space="preserve"> </w:t>
      </w:r>
      <w:r w:rsidRPr="00932AD3">
        <w:rPr>
          <w:rFonts w:eastAsia="Times New Roman" w:cs="Times New Roman"/>
          <w:lang w:eastAsia="de-DE"/>
        </w:rPr>
        <w:t xml:space="preserve">„Hadern, Streit") und </w:t>
      </w:r>
      <w:r w:rsidRPr="00932AD3">
        <w:rPr>
          <w:rFonts w:eastAsia="Times New Roman" w:cs="Times New Roman"/>
          <w:b/>
          <w:bCs/>
          <w:rtl/>
          <w:lang w:eastAsia="de-DE"/>
        </w:rPr>
        <w:t>קָדֵשׁ</w:t>
      </w:r>
      <w:r w:rsidRPr="00932AD3">
        <w:rPr>
          <w:rFonts w:eastAsia="Times New Roman" w:cs="Times New Roman"/>
          <w:rtl/>
          <w:lang w:eastAsia="de-DE"/>
        </w:rPr>
        <w:t xml:space="preserve"> </w:t>
      </w:r>
      <w:r w:rsidRPr="00932AD3">
        <w:rPr>
          <w:rFonts w:eastAsia="Times New Roman" w:cs="Times New Roman"/>
          <w:lang w:eastAsia="de-DE"/>
        </w:rPr>
        <w:t xml:space="preserve">(Ortsname „Kadesch"), zusammen „Hadern von Kadesch" oder „Haderwasser von Kadesch". </w:t>
      </w:r>
      <w:r w:rsidRPr="00932AD3">
        <w:rPr>
          <w:rFonts w:eastAsia="Times New Roman" w:cs="Times New Roman"/>
          <w:b/>
          <w:bCs/>
          <w:rtl/>
          <w:lang w:eastAsia="de-DE"/>
        </w:rPr>
        <w:t>מִדְבַּר־צִן</w:t>
      </w:r>
      <w:r w:rsidRPr="00932AD3">
        <w:rPr>
          <w:rFonts w:eastAsia="Times New Roman" w:cs="Times New Roman"/>
          <w:rtl/>
          <w:lang w:eastAsia="de-DE"/>
        </w:rPr>
        <w:t xml:space="preserve"> </w:t>
      </w:r>
      <w:r w:rsidRPr="00932AD3">
        <w:rPr>
          <w:rFonts w:eastAsia="Times New Roman" w:cs="Times New Roman"/>
          <w:lang w:eastAsia="de-DE"/>
        </w:rPr>
        <w:t>(„Wüste Zin") ist die weitere Lokalisierung. Die Formulierung betont die Erinnerung an diesen Ort als Stätte der Rebellion.</w:t>
      </w:r>
    </w:p>
    <w:p w14:paraId="6381D938" w14:textId="20E5C392"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Die LXX</w:t>
      </w:r>
      <w:r w:rsidRPr="00932AD3">
        <w:rPr>
          <w:rFonts w:eastAsia="Times New Roman" w:cs="Times New Roman"/>
          <w:lang w:eastAsia="de-DE"/>
        </w:rPr>
        <w:t xml:space="preserve"> </w:t>
      </w:r>
      <w:r w:rsidR="002900A1">
        <w:t>hat „ἐν τῷ ἀντιπίπτειν τὴν συναγωγὴν ἁγιάσαι με· οὐχ ἡγιάσατέ με" (als die Gemeinde widerstrebte, mich zu heiligen; ihr habt mich nicht geheiligt) statt dem MT „</w:t>
      </w:r>
      <w:r w:rsidR="002900A1">
        <w:rPr>
          <w:rtl/>
        </w:rPr>
        <w:t>ב</w:t>
      </w:r>
      <w:r w:rsidR="002900A1" w:rsidRPr="002900A1">
        <w:rPr>
          <w:b/>
          <w:bCs/>
          <w:rtl/>
        </w:rPr>
        <w:t>ִּמְרִיבַת הָעֵדָה לְהַקְדִּישֵׁנִי</w:t>
      </w:r>
      <w:r w:rsidR="002900A1">
        <w:t>" (beim Streit der Gemeinde, mich zu heiligen), und fügt eine erklärende Glosse hinzu: „(τοῦτό ἐστιν ὕδωρ ἀντιλογίας Καδὴς ἐν τῇ ἐρήμῳ Σίν)" (dies ist das Wasser des Widerspruchs von Kadesch in der Wüste Sin).</w:t>
      </w:r>
    </w:p>
    <w:p w14:paraId="07773055"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Die Satzstruktur zeigt einen kausalen Nebensatz mit Verb und Objekt, gefolgt von zwei lokalen/temporalen Bestimmungen, einem finalen Infinitivsatz, der die verfehlte Aufgabe beschreibt, und einer abschließenden Identifikationsformel.</w:t>
      </w:r>
    </w:p>
    <w:p w14:paraId="0285F171"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Der Vers hält die schwere Verfehlung Moses und Aarons fest: In einem Moment der Frustration versagten sie darin, Gottes Heiligkeit vor dem Volk zu demonstrieren, und müssen dafür den höchsten Preis zahlen - den Ausschluss vom verheißenen Land. Die Härte des Urteils unterstreicht die besondere Verantwortung der Leiter und zeigt, dass selbst treue Diener für Ungehorsam zur Rechenschaft gezogen werden.</w:t>
      </w:r>
    </w:p>
    <w:p w14:paraId="678C373E" w14:textId="77777777" w:rsidR="00932AD3" w:rsidRPr="00932AD3" w:rsidRDefault="00932AD3" w:rsidP="00932AD3">
      <w:pPr>
        <w:spacing w:before="100" w:beforeAutospacing="1" w:after="100" w:afterAutospacing="1" w:line="240" w:lineRule="auto"/>
        <w:outlineLvl w:val="0"/>
        <w:rPr>
          <w:rFonts w:eastAsia="Times New Roman" w:cs="Times New Roman"/>
          <w:b/>
          <w:bCs/>
          <w:kern w:val="36"/>
          <w:sz w:val="48"/>
          <w:szCs w:val="48"/>
          <w:lang w:eastAsia="de-DE"/>
        </w:rPr>
      </w:pPr>
      <w:r w:rsidRPr="00932AD3">
        <w:rPr>
          <w:rFonts w:eastAsia="Times New Roman" w:cs="Times New Roman"/>
          <w:b/>
          <w:bCs/>
          <w:kern w:val="36"/>
          <w:sz w:val="48"/>
          <w:szCs w:val="48"/>
          <w:lang w:eastAsia="de-DE"/>
        </w:rPr>
        <w:t>Numeri 27,15</w:t>
      </w:r>
    </w:p>
    <w:p w14:paraId="09303266"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Hebräisch:</w:t>
      </w:r>
      <w:r w:rsidRPr="00932AD3">
        <w:rPr>
          <w:rFonts w:eastAsia="Times New Roman" w:cs="Times New Roman"/>
          <w:lang w:eastAsia="de-DE"/>
        </w:rPr>
        <w:t xml:space="preserve"> </w:t>
      </w:r>
      <w:r w:rsidRPr="00932AD3">
        <w:rPr>
          <w:rFonts w:eastAsia="Times New Roman" w:cs="Times New Roman"/>
          <w:rtl/>
          <w:lang w:eastAsia="de-DE"/>
        </w:rPr>
        <w:t>וַיְדַבֵּ֣ר מֹשֶׁ֔ה אֶל־יְהוָ֖ה לֵאמֹֽר׃</w:t>
      </w:r>
    </w:p>
    <w:p w14:paraId="190A3A9D"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Deutsch:</w:t>
      </w:r>
      <w:r w:rsidRPr="00932AD3">
        <w:rPr>
          <w:rFonts w:eastAsia="Times New Roman" w:cs="Times New Roman"/>
          <w:lang w:eastAsia="de-DE"/>
        </w:rPr>
        <w:t xml:space="preserve"> Und Mosche redete zum Ewigen, sagend:</w:t>
      </w:r>
    </w:p>
    <w:p w14:paraId="38775E6B" w14:textId="77777777" w:rsidR="00932AD3" w:rsidRPr="00932AD3" w:rsidRDefault="00F329DD" w:rsidP="00932AD3">
      <w:pPr>
        <w:spacing w:after="0" w:line="240" w:lineRule="auto"/>
        <w:rPr>
          <w:rFonts w:eastAsia="Times New Roman" w:cs="Times New Roman"/>
          <w:lang w:eastAsia="de-DE"/>
        </w:rPr>
      </w:pPr>
      <w:r>
        <w:rPr>
          <w:rFonts w:eastAsia="Times New Roman" w:cs="Times New Roman"/>
          <w:noProof/>
          <w:lang w:eastAsia="de-DE"/>
        </w:rPr>
        <w:pict w14:anchorId="4579F345">
          <v:rect id="_x0000_i1896" style="width:0;height:1.5pt" o:hralign="center" o:hrstd="t" o:hr="t" fillcolor="#a0a0a0" stroked="f"/>
        </w:pict>
      </w:r>
    </w:p>
    <w:p w14:paraId="566E105A" w14:textId="7D461B9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Kommentar:</w:t>
      </w:r>
      <w:r w:rsidRPr="00932AD3">
        <w:rPr>
          <w:rFonts w:eastAsia="Times New Roman" w:cs="Times New Roman"/>
          <w:lang w:eastAsia="de-DE"/>
        </w:rPr>
        <w:t xml:space="preserve"> Der Vers zeigt Moses sofortige Reaktion auf die Todesankündigung. </w:t>
      </w:r>
      <w:r w:rsidRPr="00932AD3">
        <w:rPr>
          <w:rFonts w:eastAsia="Times New Roman" w:cs="Times New Roman"/>
          <w:b/>
          <w:bCs/>
          <w:rtl/>
          <w:lang w:eastAsia="de-DE"/>
        </w:rPr>
        <w:t>וַיְדַבֵּר מֹשֶׁה אֶל־יהוה לֵאמֹר</w:t>
      </w:r>
      <w:r w:rsidRPr="00932AD3">
        <w:rPr>
          <w:rFonts w:eastAsia="Times New Roman" w:cs="Times New Roman"/>
          <w:rtl/>
          <w:lang w:eastAsia="de-DE"/>
        </w:rPr>
        <w:t xml:space="preserve"> </w:t>
      </w:r>
      <w:r w:rsidRPr="00932AD3">
        <w:rPr>
          <w:rFonts w:eastAsia="Times New Roman" w:cs="Times New Roman"/>
          <w:lang w:eastAsia="de-DE"/>
        </w:rPr>
        <w:t xml:space="preserve">ist die Redeeinleitung. </w:t>
      </w:r>
      <w:r w:rsidRPr="00932AD3">
        <w:rPr>
          <w:rFonts w:eastAsia="Times New Roman" w:cs="Times New Roman"/>
          <w:b/>
          <w:bCs/>
          <w:rtl/>
          <w:lang w:eastAsia="de-DE"/>
        </w:rPr>
        <w:t>וַיְדַבֵּר</w:t>
      </w:r>
      <w:r w:rsidRPr="00932AD3">
        <w:rPr>
          <w:rFonts w:eastAsia="Times New Roman" w:cs="Times New Roman"/>
          <w:rtl/>
          <w:lang w:eastAsia="de-DE"/>
        </w:rPr>
        <w:t xml:space="preserve"> </w:t>
      </w:r>
      <w:r w:rsidRPr="00932AD3">
        <w:rPr>
          <w:rFonts w:eastAsia="Times New Roman" w:cs="Times New Roman"/>
          <w:lang w:eastAsia="de-DE"/>
        </w:rPr>
        <w:t xml:space="preserve">ist Piel Wayyiqtol 3. Person maskulin Singular von </w:t>
      </w:r>
      <w:r w:rsidRPr="00932AD3">
        <w:rPr>
          <w:rFonts w:eastAsia="Times New Roman" w:cs="Times New Roman"/>
          <w:b/>
          <w:bCs/>
          <w:rtl/>
          <w:lang w:eastAsia="de-DE"/>
        </w:rPr>
        <w:t>דבר</w:t>
      </w:r>
      <w:r w:rsidRPr="00932AD3">
        <w:rPr>
          <w:rFonts w:eastAsia="Times New Roman" w:cs="Times New Roman"/>
          <w:rtl/>
          <w:lang w:eastAsia="de-DE"/>
        </w:rPr>
        <w:t xml:space="preserve"> </w:t>
      </w:r>
      <w:r w:rsidRPr="00932AD3">
        <w:rPr>
          <w:rFonts w:eastAsia="Times New Roman" w:cs="Times New Roman"/>
          <w:lang w:eastAsia="de-DE"/>
        </w:rPr>
        <w:t xml:space="preserve">(„reden, sprechen"), </w:t>
      </w:r>
      <w:r w:rsidRPr="00932AD3">
        <w:rPr>
          <w:rFonts w:eastAsia="Times New Roman" w:cs="Times New Roman"/>
          <w:b/>
          <w:bCs/>
          <w:rtl/>
          <w:lang w:eastAsia="de-DE"/>
        </w:rPr>
        <w:t>מֹשֶׁה</w:t>
      </w:r>
      <w:r w:rsidRPr="00932AD3">
        <w:rPr>
          <w:rFonts w:eastAsia="Times New Roman" w:cs="Times New Roman"/>
          <w:rtl/>
          <w:lang w:eastAsia="de-DE"/>
        </w:rPr>
        <w:t xml:space="preserve"> </w:t>
      </w:r>
      <w:r w:rsidRPr="00932AD3">
        <w:rPr>
          <w:rFonts w:eastAsia="Times New Roman" w:cs="Times New Roman"/>
          <w:lang w:eastAsia="de-DE"/>
        </w:rPr>
        <w:t xml:space="preserve">ist das Subjekt. Bemerkenswert ist </w:t>
      </w:r>
      <w:r w:rsidRPr="00932AD3">
        <w:rPr>
          <w:rFonts w:eastAsia="Times New Roman" w:cs="Times New Roman"/>
          <w:b/>
          <w:bCs/>
          <w:rtl/>
          <w:lang w:eastAsia="de-DE"/>
        </w:rPr>
        <w:t>אֶל־יהוה</w:t>
      </w:r>
      <w:r w:rsidRPr="00932AD3">
        <w:rPr>
          <w:rFonts w:eastAsia="Times New Roman" w:cs="Times New Roman"/>
          <w:rtl/>
          <w:lang w:eastAsia="de-DE"/>
        </w:rPr>
        <w:t xml:space="preserve"> </w:t>
      </w:r>
      <w:r w:rsidRPr="00932AD3">
        <w:rPr>
          <w:rFonts w:eastAsia="Times New Roman" w:cs="Times New Roman"/>
          <w:lang w:eastAsia="de-DE"/>
        </w:rPr>
        <w:t xml:space="preserve">(„zu JHWH") statt des üblicheren „JHWH sprach zu Mose": Mose ergreift die Initiative und wendet sich an Gott. Das Piel von </w:t>
      </w:r>
      <w:r w:rsidRPr="00932AD3">
        <w:rPr>
          <w:rFonts w:eastAsia="Times New Roman" w:cs="Times New Roman"/>
          <w:b/>
          <w:bCs/>
          <w:rtl/>
          <w:lang w:eastAsia="de-DE"/>
        </w:rPr>
        <w:t>דבר</w:t>
      </w:r>
      <w:r w:rsidRPr="00932AD3">
        <w:rPr>
          <w:rFonts w:eastAsia="Times New Roman" w:cs="Times New Roman"/>
          <w:rtl/>
          <w:lang w:eastAsia="de-DE"/>
        </w:rPr>
        <w:t xml:space="preserve"> </w:t>
      </w:r>
      <w:r w:rsidRPr="00932AD3">
        <w:rPr>
          <w:rFonts w:eastAsia="Times New Roman" w:cs="Times New Roman"/>
          <w:lang w:eastAsia="de-DE"/>
        </w:rPr>
        <w:t xml:space="preserve">kann intensivere oder autoritativere Rede implizieren. </w:t>
      </w:r>
      <w:r w:rsidRPr="00932AD3">
        <w:rPr>
          <w:rFonts w:eastAsia="Times New Roman" w:cs="Times New Roman"/>
          <w:b/>
          <w:bCs/>
          <w:rtl/>
          <w:lang w:eastAsia="de-DE"/>
        </w:rPr>
        <w:t>לֵאמֹר</w:t>
      </w:r>
      <w:r w:rsidRPr="00932AD3">
        <w:rPr>
          <w:rFonts w:eastAsia="Times New Roman" w:cs="Times New Roman"/>
          <w:rtl/>
          <w:lang w:eastAsia="de-DE"/>
        </w:rPr>
        <w:t xml:space="preserve"> </w:t>
      </w:r>
      <w:r w:rsidRPr="00932AD3">
        <w:rPr>
          <w:rFonts w:eastAsia="Times New Roman" w:cs="Times New Roman"/>
          <w:lang w:eastAsia="de-DE"/>
        </w:rPr>
        <w:t xml:space="preserve">(Infinitiv </w:t>
      </w:r>
      <w:r w:rsidR="00E031B3">
        <w:rPr>
          <w:rFonts w:eastAsia="Times New Roman" w:cs="Times New Roman"/>
          <w:lang w:eastAsia="de-DE"/>
        </w:rPr>
        <w:t>Constructus von</w:t>
      </w:r>
      <w:r w:rsidRPr="00932AD3">
        <w:rPr>
          <w:rFonts w:eastAsia="Times New Roman" w:cs="Times New Roman"/>
          <w:lang w:eastAsia="de-DE"/>
        </w:rPr>
        <w:t xml:space="preserve"> </w:t>
      </w:r>
      <w:r w:rsidRPr="00932AD3">
        <w:rPr>
          <w:rFonts w:eastAsia="Times New Roman" w:cs="Times New Roman"/>
          <w:b/>
          <w:bCs/>
          <w:rtl/>
          <w:lang w:eastAsia="de-DE"/>
        </w:rPr>
        <w:t>אמר</w:t>
      </w:r>
      <w:r w:rsidRPr="00932AD3">
        <w:rPr>
          <w:rFonts w:eastAsia="Times New Roman" w:cs="Times New Roman"/>
          <w:rtl/>
          <w:lang w:eastAsia="de-DE"/>
        </w:rPr>
        <w:t xml:space="preserve"> </w:t>
      </w:r>
      <w:r w:rsidRPr="00932AD3">
        <w:rPr>
          <w:rFonts w:eastAsia="Times New Roman" w:cs="Times New Roman"/>
          <w:lang w:eastAsia="de-DE"/>
        </w:rPr>
        <w:t xml:space="preserve">mit </w:t>
      </w:r>
      <w:r w:rsidRPr="00932AD3">
        <w:rPr>
          <w:rFonts w:eastAsia="Times New Roman" w:cs="Times New Roman"/>
          <w:b/>
          <w:bCs/>
          <w:rtl/>
          <w:lang w:eastAsia="de-DE"/>
        </w:rPr>
        <w:t>לְ</w:t>
      </w:r>
      <w:r w:rsidRPr="00932AD3">
        <w:rPr>
          <w:rFonts w:eastAsia="Times New Roman" w:cs="Times New Roman"/>
          <w:lang w:eastAsia="de-DE"/>
        </w:rPr>
        <w:t>) leitet die direkte Rede ein.</w:t>
      </w:r>
    </w:p>
    <w:p w14:paraId="6C7FF29E"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lastRenderedPageBreak/>
        <w:t>Die Satzstruktur ist eine einfache Redeeinleitung mit Subjekt, Prädikat und Adressat.</w:t>
      </w:r>
    </w:p>
    <w:p w14:paraId="038B8BD7"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Der Vers zeigt Moses charakteristische Selbstlosigkeit: Statt über sein eigenes Schicksal zu klagen oder zu protestieren, wendet er sich sofort der Sorge um das Volk zu, was seine Größe als Führer demonstriert.</w:t>
      </w:r>
    </w:p>
    <w:p w14:paraId="1B807513" w14:textId="77777777" w:rsidR="00932AD3" w:rsidRPr="00932AD3" w:rsidRDefault="00932AD3" w:rsidP="00932AD3">
      <w:pPr>
        <w:spacing w:before="100" w:beforeAutospacing="1" w:after="100" w:afterAutospacing="1" w:line="240" w:lineRule="auto"/>
        <w:outlineLvl w:val="0"/>
        <w:rPr>
          <w:rFonts w:eastAsia="Times New Roman" w:cs="Times New Roman"/>
          <w:b/>
          <w:bCs/>
          <w:kern w:val="36"/>
          <w:sz w:val="48"/>
          <w:szCs w:val="48"/>
          <w:lang w:eastAsia="de-DE"/>
        </w:rPr>
      </w:pPr>
      <w:r w:rsidRPr="00932AD3">
        <w:rPr>
          <w:rFonts w:eastAsia="Times New Roman" w:cs="Times New Roman"/>
          <w:b/>
          <w:bCs/>
          <w:kern w:val="36"/>
          <w:sz w:val="48"/>
          <w:szCs w:val="48"/>
          <w:lang w:eastAsia="de-DE"/>
        </w:rPr>
        <w:t>Numeri 27,16</w:t>
      </w:r>
    </w:p>
    <w:p w14:paraId="2A1815B2"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Hebräisch:</w:t>
      </w:r>
      <w:r w:rsidRPr="00932AD3">
        <w:rPr>
          <w:rFonts w:eastAsia="Times New Roman" w:cs="Times New Roman"/>
          <w:lang w:eastAsia="de-DE"/>
        </w:rPr>
        <w:t xml:space="preserve"> </w:t>
      </w:r>
      <w:r w:rsidRPr="00932AD3">
        <w:rPr>
          <w:rFonts w:eastAsia="Times New Roman" w:cs="Times New Roman"/>
          <w:rtl/>
          <w:lang w:eastAsia="de-DE"/>
        </w:rPr>
        <w:t>יִפְקֹ֣ד יְהוָ֔ה אֱלֹהֵ֥י הָרוּחֹ֖ת לְכָל־בָּשָׂ֑ר אִ֖ישׁ עַל־הָעֵדָֽה׃</w:t>
      </w:r>
    </w:p>
    <w:p w14:paraId="7905258D"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Deutsch:</w:t>
      </w:r>
      <w:r w:rsidRPr="00932AD3">
        <w:rPr>
          <w:rFonts w:eastAsia="Times New Roman" w:cs="Times New Roman"/>
          <w:lang w:eastAsia="de-DE"/>
        </w:rPr>
        <w:t xml:space="preserve"> „Es bestelle der Ewige, der Gott der Geister allen Fleisches, einen Mann über die Gemeinde,</w:t>
      </w:r>
    </w:p>
    <w:p w14:paraId="557E94E6" w14:textId="77777777" w:rsidR="00932AD3" w:rsidRPr="00932AD3" w:rsidRDefault="00F329DD" w:rsidP="00932AD3">
      <w:pPr>
        <w:spacing w:after="0" w:line="240" w:lineRule="auto"/>
        <w:rPr>
          <w:rFonts w:eastAsia="Times New Roman" w:cs="Times New Roman"/>
          <w:lang w:eastAsia="de-DE"/>
        </w:rPr>
      </w:pPr>
      <w:r>
        <w:rPr>
          <w:rFonts w:eastAsia="Times New Roman" w:cs="Times New Roman"/>
          <w:noProof/>
          <w:lang w:eastAsia="de-DE"/>
        </w:rPr>
        <w:pict w14:anchorId="72767F2C">
          <v:rect id="_x0000_i1897" style="width:0;height:1.5pt" o:hralign="center" o:hrstd="t" o:hr="t" fillcolor="#a0a0a0" stroked="f"/>
        </w:pict>
      </w:r>
    </w:p>
    <w:p w14:paraId="74230D00"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Kommentar:</w:t>
      </w:r>
      <w:r w:rsidRPr="00932AD3">
        <w:rPr>
          <w:rFonts w:eastAsia="Times New Roman" w:cs="Times New Roman"/>
          <w:lang w:eastAsia="de-DE"/>
        </w:rPr>
        <w:t xml:space="preserve"> Der Vers enthält Moses Bitte um einen Nachfolger. </w:t>
      </w:r>
      <w:r w:rsidRPr="00932AD3">
        <w:rPr>
          <w:rFonts w:eastAsia="Times New Roman" w:cs="Times New Roman"/>
          <w:b/>
          <w:bCs/>
          <w:rtl/>
          <w:lang w:eastAsia="de-DE"/>
        </w:rPr>
        <w:t>יִפְקֹד יהוה אֱלֹהֵי הָרוּחֹת לְכָל־בָּשָׂר אִישׁ עַל־הָעֵדָה</w:t>
      </w:r>
      <w:r w:rsidRPr="00932AD3">
        <w:rPr>
          <w:rFonts w:eastAsia="Times New Roman" w:cs="Times New Roman"/>
          <w:rtl/>
          <w:lang w:eastAsia="de-DE"/>
        </w:rPr>
        <w:t xml:space="preserve"> </w:t>
      </w:r>
      <w:r w:rsidRPr="00932AD3">
        <w:rPr>
          <w:rFonts w:eastAsia="Times New Roman" w:cs="Times New Roman"/>
          <w:lang w:eastAsia="de-DE"/>
        </w:rPr>
        <w:t xml:space="preserve">ist ein vollständiger Satz. </w:t>
      </w:r>
      <w:r w:rsidRPr="00932AD3">
        <w:rPr>
          <w:rFonts w:eastAsia="Times New Roman" w:cs="Times New Roman"/>
          <w:b/>
          <w:bCs/>
          <w:rtl/>
          <w:lang w:eastAsia="de-DE"/>
        </w:rPr>
        <w:t>יִפְקֹד</w:t>
      </w:r>
      <w:r w:rsidRPr="00932AD3">
        <w:rPr>
          <w:rFonts w:eastAsia="Times New Roman" w:cs="Times New Roman"/>
          <w:rtl/>
          <w:lang w:eastAsia="de-DE"/>
        </w:rPr>
        <w:t xml:space="preserve"> </w:t>
      </w:r>
      <w:r w:rsidRPr="00932AD3">
        <w:rPr>
          <w:rFonts w:eastAsia="Times New Roman" w:cs="Times New Roman"/>
          <w:lang w:eastAsia="de-DE"/>
        </w:rPr>
        <w:t xml:space="preserve">ist Qal Jussiv (oder Imperfekt) 3. Person maskulin Singular von </w:t>
      </w:r>
      <w:r w:rsidRPr="00932AD3">
        <w:rPr>
          <w:rFonts w:eastAsia="Times New Roman" w:cs="Times New Roman"/>
          <w:b/>
          <w:bCs/>
          <w:rtl/>
          <w:lang w:eastAsia="de-DE"/>
        </w:rPr>
        <w:t>פקד</w:t>
      </w:r>
      <w:r w:rsidRPr="00932AD3">
        <w:rPr>
          <w:rFonts w:eastAsia="Times New Roman" w:cs="Times New Roman"/>
          <w:rtl/>
          <w:lang w:eastAsia="de-DE"/>
        </w:rPr>
        <w:t xml:space="preserve"> </w:t>
      </w:r>
      <w:r w:rsidRPr="00932AD3">
        <w:rPr>
          <w:rFonts w:eastAsia="Times New Roman" w:cs="Times New Roman"/>
          <w:lang w:eastAsia="de-DE"/>
        </w:rPr>
        <w:t>(„bestellen, einsetzen, beaufsichtigen, mustern"), hier mit präkativem oder optativem Sinn („möge bestellen, er möge bestellen"). Der Jussiv drückt einen Wunsch oder eine höfliche Bitte aus.</w:t>
      </w:r>
    </w:p>
    <w:p w14:paraId="7FB6A3D8" w14:textId="039BC44E"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t>יהוה אֱלֹהֵי הָרוּחֹת לְכָל־בָּשָׂר</w:t>
      </w:r>
      <w:r w:rsidRPr="00932AD3">
        <w:rPr>
          <w:rFonts w:eastAsia="Times New Roman" w:cs="Times New Roman"/>
          <w:rtl/>
          <w:lang w:eastAsia="de-DE"/>
        </w:rPr>
        <w:t xml:space="preserve"> </w:t>
      </w:r>
      <w:r w:rsidRPr="00932AD3">
        <w:rPr>
          <w:rFonts w:eastAsia="Times New Roman" w:cs="Times New Roman"/>
          <w:lang w:eastAsia="de-DE"/>
        </w:rPr>
        <w:t xml:space="preserve">ist die einzigartige Gottesbezeichnung. </w:t>
      </w:r>
      <w:r w:rsidRPr="00932AD3">
        <w:rPr>
          <w:rFonts w:eastAsia="Times New Roman" w:cs="Times New Roman"/>
          <w:b/>
          <w:bCs/>
          <w:rtl/>
          <w:lang w:eastAsia="de-DE"/>
        </w:rPr>
        <w:t>יהוה</w:t>
      </w:r>
      <w:r w:rsidRPr="00932AD3">
        <w:rPr>
          <w:rFonts w:eastAsia="Times New Roman" w:cs="Times New Roman"/>
          <w:rtl/>
          <w:lang w:eastAsia="de-DE"/>
        </w:rPr>
        <w:t xml:space="preserve"> </w:t>
      </w:r>
      <w:r w:rsidRPr="00932AD3">
        <w:rPr>
          <w:rFonts w:eastAsia="Times New Roman" w:cs="Times New Roman"/>
          <w:lang w:eastAsia="de-DE"/>
        </w:rPr>
        <w:t xml:space="preserve">(Tetragramm) ist das Subjekt, </w:t>
      </w:r>
      <w:r w:rsidRPr="00932AD3">
        <w:rPr>
          <w:rFonts w:eastAsia="Times New Roman" w:cs="Times New Roman"/>
          <w:b/>
          <w:bCs/>
          <w:rtl/>
          <w:lang w:eastAsia="de-DE"/>
        </w:rPr>
        <w:t>אֱלֹהֵי הָרוּחֹת לְכָל־בָּשָׂר</w:t>
      </w:r>
      <w:r w:rsidRPr="00932AD3">
        <w:rPr>
          <w:rFonts w:eastAsia="Times New Roman" w:cs="Times New Roman"/>
          <w:rtl/>
          <w:lang w:eastAsia="de-DE"/>
        </w:rPr>
        <w:t xml:space="preserve"> </w:t>
      </w:r>
      <w:r w:rsidRPr="00932AD3">
        <w:rPr>
          <w:rFonts w:eastAsia="Times New Roman" w:cs="Times New Roman"/>
          <w:lang w:eastAsia="de-DE"/>
        </w:rPr>
        <w:t xml:space="preserve">ist die appositionelle Erweiterung. </w:t>
      </w:r>
      <w:r w:rsidRPr="00932AD3">
        <w:rPr>
          <w:rFonts w:eastAsia="Times New Roman" w:cs="Times New Roman"/>
          <w:b/>
          <w:bCs/>
          <w:rtl/>
          <w:lang w:eastAsia="de-DE"/>
        </w:rPr>
        <w:t>אֱלֹהֵי</w:t>
      </w:r>
      <w:r w:rsidRPr="00932AD3">
        <w:rPr>
          <w:rFonts w:eastAsia="Times New Roman" w:cs="Times New Roman"/>
          <w:rtl/>
          <w:lang w:eastAsia="de-DE"/>
        </w:rPr>
        <w:t xml:space="preserve"> </w:t>
      </w:r>
      <w:r w:rsidRPr="00932AD3">
        <w:rPr>
          <w:rFonts w:eastAsia="Times New Roman" w:cs="Times New Roman"/>
          <w:lang w:eastAsia="de-DE"/>
        </w:rPr>
        <w:t xml:space="preserve">ist der Plural </w:t>
      </w:r>
      <w:r w:rsidR="00E031B3">
        <w:rPr>
          <w:rFonts w:eastAsia="Times New Roman" w:cs="Times New Roman"/>
          <w:lang w:eastAsia="de-DE"/>
        </w:rPr>
        <w:t>Constructus von</w:t>
      </w:r>
      <w:r w:rsidRPr="00932AD3">
        <w:rPr>
          <w:rFonts w:eastAsia="Times New Roman" w:cs="Times New Roman"/>
          <w:lang w:eastAsia="de-DE"/>
        </w:rPr>
        <w:t xml:space="preserve"> </w:t>
      </w:r>
      <w:r w:rsidRPr="00932AD3">
        <w:rPr>
          <w:rFonts w:eastAsia="Times New Roman" w:cs="Times New Roman"/>
          <w:b/>
          <w:bCs/>
          <w:rtl/>
          <w:lang w:eastAsia="de-DE"/>
        </w:rPr>
        <w:t>אֱלֹהִים</w:t>
      </w:r>
      <w:r w:rsidRPr="00932AD3">
        <w:rPr>
          <w:rFonts w:eastAsia="Times New Roman" w:cs="Times New Roman"/>
          <w:rtl/>
          <w:lang w:eastAsia="de-DE"/>
        </w:rPr>
        <w:t xml:space="preserve"> </w:t>
      </w:r>
      <w:r w:rsidRPr="00932AD3">
        <w:rPr>
          <w:rFonts w:eastAsia="Times New Roman" w:cs="Times New Roman"/>
          <w:lang w:eastAsia="de-DE"/>
        </w:rPr>
        <w:t xml:space="preserve">(„Gott"), </w:t>
      </w:r>
      <w:r w:rsidRPr="00932AD3">
        <w:rPr>
          <w:rFonts w:eastAsia="Times New Roman" w:cs="Times New Roman"/>
          <w:b/>
          <w:bCs/>
          <w:rtl/>
          <w:lang w:eastAsia="de-DE"/>
        </w:rPr>
        <w:t>הָרוּחֹת</w:t>
      </w:r>
      <w:r w:rsidRPr="00932AD3">
        <w:rPr>
          <w:rFonts w:eastAsia="Times New Roman" w:cs="Times New Roman"/>
          <w:rtl/>
          <w:lang w:eastAsia="de-DE"/>
        </w:rPr>
        <w:t xml:space="preserve"> </w:t>
      </w:r>
      <w:r w:rsidRPr="00932AD3">
        <w:rPr>
          <w:rFonts w:eastAsia="Times New Roman" w:cs="Times New Roman"/>
          <w:lang w:eastAsia="de-DE"/>
        </w:rPr>
        <w:t xml:space="preserve">ist der feminine Plural von </w:t>
      </w:r>
      <w:r w:rsidRPr="00932AD3">
        <w:rPr>
          <w:rFonts w:eastAsia="Times New Roman" w:cs="Times New Roman"/>
          <w:b/>
          <w:bCs/>
          <w:rtl/>
          <w:lang w:eastAsia="de-DE"/>
        </w:rPr>
        <w:t>רוּחַ</w:t>
      </w:r>
      <w:r w:rsidRPr="00932AD3">
        <w:rPr>
          <w:rFonts w:eastAsia="Times New Roman" w:cs="Times New Roman"/>
          <w:rtl/>
          <w:lang w:eastAsia="de-DE"/>
        </w:rPr>
        <w:t xml:space="preserve"> </w:t>
      </w:r>
      <w:r w:rsidRPr="00932AD3">
        <w:rPr>
          <w:rFonts w:eastAsia="Times New Roman" w:cs="Times New Roman"/>
          <w:lang w:eastAsia="de-DE"/>
        </w:rPr>
        <w:t xml:space="preserve">(„Geist, Atem, Lebenshauch") mit Artikel, </w:t>
      </w:r>
      <w:r w:rsidRPr="00932AD3">
        <w:rPr>
          <w:rFonts w:eastAsia="Times New Roman" w:cs="Times New Roman"/>
          <w:b/>
          <w:bCs/>
          <w:rtl/>
          <w:lang w:eastAsia="de-DE"/>
        </w:rPr>
        <w:t>לְכָל־בָּשָׂר</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לְ</w:t>
      </w:r>
      <w:r w:rsidRPr="00932AD3">
        <w:rPr>
          <w:rFonts w:eastAsia="Times New Roman" w:cs="Times New Roman"/>
          <w:rtl/>
          <w:lang w:eastAsia="de-DE"/>
        </w:rPr>
        <w:t xml:space="preserve"> </w:t>
      </w:r>
      <w:r w:rsidRPr="00932AD3">
        <w:rPr>
          <w:rFonts w:eastAsia="Times New Roman" w:cs="Times New Roman"/>
          <w:lang w:eastAsia="de-DE"/>
        </w:rPr>
        <w:t xml:space="preserve">mit </w:t>
      </w:r>
      <w:r w:rsidRPr="00932AD3">
        <w:rPr>
          <w:rFonts w:eastAsia="Times New Roman" w:cs="Times New Roman"/>
          <w:b/>
          <w:bCs/>
          <w:rtl/>
          <w:lang w:eastAsia="de-DE"/>
        </w:rPr>
        <w:t>כֹּל</w:t>
      </w:r>
      <w:r w:rsidRPr="00932AD3">
        <w:rPr>
          <w:rFonts w:eastAsia="Times New Roman" w:cs="Times New Roman"/>
          <w:rtl/>
          <w:lang w:eastAsia="de-DE"/>
        </w:rPr>
        <w:t xml:space="preserve"> </w:t>
      </w:r>
      <w:r w:rsidRPr="00932AD3">
        <w:rPr>
          <w:rFonts w:eastAsia="Times New Roman" w:cs="Times New Roman"/>
          <w:lang w:eastAsia="de-DE"/>
        </w:rPr>
        <w:t xml:space="preserve">„alles" und </w:t>
      </w:r>
      <w:r w:rsidRPr="00932AD3">
        <w:rPr>
          <w:rFonts w:eastAsia="Times New Roman" w:cs="Times New Roman"/>
          <w:b/>
          <w:bCs/>
          <w:rtl/>
          <w:lang w:eastAsia="de-DE"/>
        </w:rPr>
        <w:t>בָּשָׂר</w:t>
      </w:r>
      <w:r w:rsidRPr="00932AD3">
        <w:rPr>
          <w:rFonts w:eastAsia="Times New Roman" w:cs="Times New Roman"/>
          <w:rtl/>
          <w:lang w:eastAsia="de-DE"/>
        </w:rPr>
        <w:t xml:space="preserve"> </w:t>
      </w:r>
      <w:r w:rsidRPr="00932AD3">
        <w:rPr>
          <w:rFonts w:eastAsia="Times New Roman" w:cs="Times New Roman"/>
          <w:lang w:eastAsia="de-DE"/>
        </w:rPr>
        <w:t>„Fleisch") bedeutet „für alles Fleisch" oder „allen Fleisches". Die gesamte Bezeichnung „Gott der Geister allen Fleisches" erscheint nur hier und in Num 16,22. Sie betont Gottes Souveränität über das Leben aller Menschen, seine Kenntnis der innersten Natur jedes Menschen und seine Fähigkeit, den rechten Führer zu erkennen und zu berufen. Die Anrede zeigt Moses Vertrauen, dass Gott den richtigen Nachfolger kennt.</w:t>
      </w:r>
    </w:p>
    <w:p w14:paraId="1CB89693"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t>אִישׁ עַל־הָעֵדָה</w:t>
      </w:r>
      <w:r w:rsidRPr="00932AD3">
        <w:rPr>
          <w:rFonts w:eastAsia="Times New Roman" w:cs="Times New Roman"/>
          <w:rtl/>
          <w:lang w:eastAsia="de-DE"/>
        </w:rPr>
        <w:t xml:space="preserve"> </w:t>
      </w:r>
      <w:r w:rsidRPr="00932AD3">
        <w:rPr>
          <w:rFonts w:eastAsia="Times New Roman" w:cs="Times New Roman"/>
          <w:lang w:eastAsia="de-DE"/>
        </w:rPr>
        <w:t xml:space="preserve">ist das Objekt der Bitte. </w:t>
      </w:r>
      <w:r w:rsidRPr="00932AD3">
        <w:rPr>
          <w:rFonts w:eastAsia="Times New Roman" w:cs="Times New Roman"/>
          <w:b/>
          <w:bCs/>
          <w:rtl/>
          <w:lang w:eastAsia="de-DE"/>
        </w:rPr>
        <w:t>אִישׁ</w:t>
      </w:r>
      <w:r w:rsidRPr="00932AD3">
        <w:rPr>
          <w:rFonts w:eastAsia="Times New Roman" w:cs="Times New Roman"/>
          <w:rtl/>
          <w:lang w:eastAsia="de-DE"/>
        </w:rPr>
        <w:t xml:space="preserve"> </w:t>
      </w:r>
      <w:r w:rsidRPr="00932AD3">
        <w:rPr>
          <w:rFonts w:eastAsia="Times New Roman" w:cs="Times New Roman"/>
          <w:lang w:eastAsia="de-DE"/>
        </w:rPr>
        <w:t xml:space="preserve">(„ein Mann, jemand"), </w:t>
      </w:r>
      <w:r w:rsidRPr="00932AD3">
        <w:rPr>
          <w:rFonts w:eastAsia="Times New Roman" w:cs="Times New Roman"/>
          <w:b/>
          <w:bCs/>
          <w:rtl/>
          <w:lang w:eastAsia="de-DE"/>
        </w:rPr>
        <w:t>עַל־הָעֵדָה</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עַל</w:t>
      </w:r>
      <w:r w:rsidRPr="00932AD3">
        <w:rPr>
          <w:rFonts w:eastAsia="Times New Roman" w:cs="Times New Roman"/>
          <w:rtl/>
          <w:lang w:eastAsia="de-DE"/>
        </w:rPr>
        <w:t xml:space="preserve"> </w:t>
      </w:r>
      <w:r w:rsidRPr="00932AD3">
        <w:rPr>
          <w:rFonts w:eastAsia="Times New Roman" w:cs="Times New Roman"/>
          <w:lang w:eastAsia="de-DE"/>
        </w:rPr>
        <w:t xml:space="preserve">„über" mit </w:t>
      </w:r>
      <w:r w:rsidRPr="00932AD3">
        <w:rPr>
          <w:rFonts w:eastAsia="Times New Roman" w:cs="Times New Roman"/>
          <w:b/>
          <w:bCs/>
          <w:rtl/>
          <w:lang w:eastAsia="de-DE"/>
        </w:rPr>
        <w:t>הָעֵדָה</w:t>
      </w:r>
      <w:r w:rsidRPr="00932AD3">
        <w:rPr>
          <w:rFonts w:eastAsia="Times New Roman" w:cs="Times New Roman"/>
          <w:rtl/>
          <w:lang w:eastAsia="de-DE"/>
        </w:rPr>
        <w:t xml:space="preserve"> </w:t>
      </w:r>
      <w:r w:rsidRPr="00932AD3">
        <w:rPr>
          <w:rFonts w:eastAsia="Times New Roman" w:cs="Times New Roman"/>
          <w:lang w:eastAsia="de-DE"/>
        </w:rPr>
        <w:t xml:space="preserve">„die Gemeinde" mit Artikel) bezeichnet die Führungsposition. Die Präposition </w:t>
      </w:r>
      <w:r w:rsidRPr="00932AD3">
        <w:rPr>
          <w:rFonts w:eastAsia="Times New Roman" w:cs="Times New Roman"/>
          <w:b/>
          <w:bCs/>
          <w:rtl/>
          <w:lang w:eastAsia="de-DE"/>
        </w:rPr>
        <w:t>עַל</w:t>
      </w:r>
      <w:r w:rsidRPr="00932AD3">
        <w:rPr>
          <w:rFonts w:eastAsia="Times New Roman" w:cs="Times New Roman"/>
          <w:rtl/>
          <w:lang w:eastAsia="de-DE"/>
        </w:rPr>
        <w:t xml:space="preserve"> </w:t>
      </w:r>
      <w:r w:rsidRPr="00932AD3">
        <w:rPr>
          <w:rFonts w:eastAsia="Times New Roman" w:cs="Times New Roman"/>
          <w:lang w:eastAsia="de-DE"/>
        </w:rPr>
        <w:t>drückt Autorität aus.</w:t>
      </w:r>
    </w:p>
    <w:p w14:paraId="707537AD"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Die LXX</w:t>
      </w:r>
      <w:r w:rsidRPr="00932AD3">
        <w:rPr>
          <w:rFonts w:eastAsia="Times New Roman" w:cs="Times New Roman"/>
          <w:lang w:eastAsia="de-DE"/>
        </w:rPr>
        <w:t xml:space="preserve"> übersetzt </w:t>
      </w:r>
      <w:r w:rsidRPr="00932AD3">
        <w:rPr>
          <w:rFonts w:eastAsia="Times New Roman" w:cs="Times New Roman"/>
          <w:b/>
          <w:bCs/>
          <w:rtl/>
          <w:lang w:eastAsia="de-DE"/>
        </w:rPr>
        <w:t>אֱלֹהֵי הָרוּחֹת</w:t>
      </w:r>
      <w:r w:rsidRPr="00932AD3">
        <w:rPr>
          <w:rFonts w:eastAsia="Times New Roman" w:cs="Times New Roman"/>
          <w:rtl/>
          <w:lang w:eastAsia="de-DE"/>
        </w:rPr>
        <w:t xml:space="preserve"> </w:t>
      </w:r>
      <w:r w:rsidRPr="00932AD3">
        <w:rPr>
          <w:rFonts w:eastAsia="Times New Roman" w:cs="Times New Roman"/>
          <w:lang w:eastAsia="de-DE"/>
        </w:rPr>
        <w:t>mit ὁ θεὸς τῶν πνευμάτων, eine wörtliche Wiedergabe.</w:t>
      </w:r>
    </w:p>
    <w:p w14:paraId="5BE5E37A"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Die Satzstruktur zeigt einen Jussiv mit erweitertem Subjekt (Gottesname mit appositiver Beschreibung) und Akkusativobjekt (Mann über die Gemeinde).</w:t>
      </w:r>
    </w:p>
    <w:p w14:paraId="1D54B470"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Der Vers offenbart Moses pastorale Sorge: Seine erste Reaktion auf die Nachricht seines bevorstehenden Todes ist nicht Selbstmitleid, sondern die Bitte um einen würdigen Nachfolger. Die besondere Gottesanrede zeigt Moses Vertrauen in Gottes Weisheit, den richtigen Führer zu wählen.</w:t>
      </w:r>
    </w:p>
    <w:p w14:paraId="559ADC7E" w14:textId="77777777" w:rsidR="00932AD3" w:rsidRPr="00932AD3" w:rsidRDefault="00932AD3" w:rsidP="00932AD3">
      <w:pPr>
        <w:spacing w:before="100" w:beforeAutospacing="1" w:after="100" w:afterAutospacing="1" w:line="240" w:lineRule="auto"/>
        <w:outlineLvl w:val="0"/>
        <w:rPr>
          <w:rFonts w:eastAsia="Times New Roman" w:cs="Times New Roman"/>
          <w:b/>
          <w:bCs/>
          <w:kern w:val="36"/>
          <w:sz w:val="48"/>
          <w:szCs w:val="48"/>
          <w:lang w:eastAsia="de-DE"/>
        </w:rPr>
      </w:pPr>
      <w:r w:rsidRPr="00932AD3">
        <w:rPr>
          <w:rFonts w:eastAsia="Times New Roman" w:cs="Times New Roman"/>
          <w:b/>
          <w:bCs/>
          <w:kern w:val="36"/>
          <w:sz w:val="48"/>
          <w:szCs w:val="48"/>
          <w:lang w:eastAsia="de-DE"/>
        </w:rPr>
        <w:t>Numeri 27,17</w:t>
      </w:r>
    </w:p>
    <w:p w14:paraId="3109A345"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lastRenderedPageBreak/>
        <w:t>Hebräisch:</w:t>
      </w:r>
      <w:r w:rsidRPr="00932AD3">
        <w:rPr>
          <w:rFonts w:eastAsia="Times New Roman" w:cs="Times New Roman"/>
          <w:lang w:eastAsia="de-DE"/>
        </w:rPr>
        <w:t xml:space="preserve"> </w:t>
      </w:r>
      <w:r w:rsidRPr="00932AD3">
        <w:rPr>
          <w:rFonts w:eastAsia="Times New Roman" w:cs="Times New Roman"/>
          <w:rtl/>
          <w:lang w:eastAsia="de-DE"/>
        </w:rPr>
        <w:t>אֲשֶׁר־יֵצֵ֣א לִפְנֵיהֶ֗ם וַאֲשֶׁ֤ר יָבֹא֙ לִפְנֵיהֶ֔ם וַאֲשֶׁ֥ר יוֹצִיאֵ֖ם וַאֲשֶׁ֣ר יְבִיאֵ֑ם וְלֹ֤א תִהְיֶה֙ עֲדַ֣ת יְהוָ֔ה כַּצֹּ֕אן אֲשֶׁ֥ר אֵין־לָהֶ֖ם רֹעֶֽה׃</w:t>
      </w:r>
    </w:p>
    <w:p w14:paraId="59C94B35"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Deutsch:</w:t>
      </w:r>
      <w:r w:rsidRPr="00932AD3">
        <w:rPr>
          <w:rFonts w:eastAsia="Times New Roman" w:cs="Times New Roman"/>
          <w:lang w:eastAsia="de-DE"/>
        </w:rPr>
        <w:t xml:space="preserve"> der vor ihnen her ausziehe und vor ihnen her einziehe, und der sie ausführe und einführe, damit die Gemeinde des Ewigen nicht sei wie Schafe, die keinen Hirten haben.</w:t>
      </w:r>
    </w:p>
    <w:p w14:paraId="1A57127D" w14:textId="77777777" w:rsidR="00932AD3" w:rsidRPr="00932AD3" w:rsidRDefault="00F329DD" w:rsidP="00932AD3">
      <w:pPr>
        <w:spacing w:after="0" w:line="240" w:lineRule="auto"/>
        <w:rPr>
          <w:rFonts w:eastAsia="Times New Roman" w:cs="Times New Roman"/>
          <w:lang w:eastAsia="de-DE"/>
        </w:rPr>
      </w:pPr>
      <w:r>
        <w:rPr>
          <w:rFonts w:eastAsia="Times New Roman" w:cs="Times New Roman"/>
          <w:noProof/>
          <w:lang w:eastAsia="de-DE"/>
        </w:rPr>
        <w:pict w14:anchorId="46F9A469">
          <v:rect id="_x0000_i1898" style="width:0;height:1.5pt" o:hralign="center" o:hrstd="t" o:hr="t" fillcolor="#a0a0a0" stroked="f"/>
        </w:pict>
      </w:r>
    </w:p>
    <w:p w14:paraId="196CFDE9" w14:textId="214808EB"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Kommentar:</w:t>
      </w:r>
      <w:r w:rsidRPr="00932AD3">
        <w:rPr>
          <w:rFonts w:eastAsia="Times New Roman" w:cs="Times New Roman"/>
          <w:lang w:eastAsia="de-DE"/>
        </w:rPr>
        <w:t xml:space="preserve"> Der Vers definiert die Anforderungen an den Nachfolger durch vier Relativsätze und eine negative Finalbestimmung. </w:t>
      </w:r>
      <w:r w:rsidRPr="00932AD3">
        <w:rPr>
          <w:rFonts w:eastAsia="Times New Roman" w:cs="Times New Roman"/>
          <w:b/>
          <w:bCs/>
          <w:rtl/>
          <w:lang w:eastAsia="de-DE"/>
        </w:rPr>
        <w:t>אֲשֶׁר־יֵצֵא לִפְנֵיהֶם וַאֲשֶׁר יָבֹא לִפְנֵיהֶם</w:t>
      </w:r>
      <w:r w:rsidRPr="00932AD3">
        <w:rPr>
          <w:rFonts w:eastAsia="Times New Roman" w:cs="Times New Roman"/>
          <w:rtl/>
          <w:lang w:eastAsia="de-DE"/>
        </w:rPr>
        <w:t xml:space="preserve"> </w:t>
      </w:r>
      <w:r w:rsidRPr="00932AD3">
        <w:rPr>
          <w:rFonts w:eastAsia="Times New Roman" w:cs="Times New Roman"/>
          <w:lang w:eastAsia="de-DE"/>
        </w:rPr>
        <w:t xml:space="preserve">beschreibt die erste Qualifikation. </w:t>
      </w:r>
      <w:r w:rsidRPr="00932AD3">
        <w:rPr>
          <w:rFonts w:eastAsia="Times New Roman" w:cs="Times New Roman"/>
          <w:b/>
          <w:bCs/>
          <w:rtl/>
          <w:lang w:eastAsia="de-DE"/>
        </w:rPr>
        <w:t>אֲשֶׁר</w:t>
      </w:r>
      <w:r w:rsidRPr="00932AD3">
        <w:rPr>
          <w:rFonts w:eastAsia="Times New Roman" w:cs="Times New Roman"/>
          <w:rtl/>
          <w:lang w:eastAsia="de-DE"/>
        </w:rPr>
        <w:t xml:space="preserve"> </w:t>
      </w:r>
      <w:r w:rsidRPr="00932AD3">
        <w:rPr>
          <w:rFonts w:eastAsia="Times New Roman" w:cs="Times New Roman"/>
          <w:lang w:eastAsia="de-DE"/>
        </w:rPr>
        <w:t xml:space="preserve">ist das Relativpronomen („der"), </w:t>
      </w:r>
      <w:r w:rsidRPr="00932AD3">
        <w:rPr>
          <w:rFonts w:eastAsia="Times New Roman" w:cs="Times New Roman"/>
          <w:b/>
          <w:bCs/>
          <w:rtl/>
          <w:lang w:eastAsia="de-DE"/>
        </w:rPr>
        <w:t>יֵצֵא</w:t>
      </w:r>
      <w:r w:rsidRPr="00932AD3">
        <w:rPr>
          <w:rFonts w:eastAsia="Times New Roman" w:cs="Times New Roman"/>
          <w:rtl/>
          <w:lang w:eastAsia="de-DE"/>
        </w:rPr>
        <w:t xml:space="preserve"> </w:t>
      </w:r>
      <w:r w:rsidRPr="00932AD3">
        <w:rPr>
          <w:rFonts w:eastAsia="Times New Roman" w:cs="Times New Roman"/>
          <w:lang w:eastAsia="de-DE"/>
        </w:rPr>
        <w:t xml:space="preserve">ist Qal Imperfekt 3. Person maskulin Singular von </w:t>
      </w:r>
      <w:r w:rsidRPr="00932AD3">
        <w:rPr>
          <w:rFonts w:eastAsia="Times New Roman" w:cs="Times New Roman"/>
          <w:b/>
          <w:bCs/>
          <w:rtl/>
          <w:lang w:eastAsia="de-DE"/>
        </w:rPr>
        <w:t>יצא</w:t>
      </w:r>
      <w:r w:rsidRPr="00932AD3">
        <w:rPr>
          <w:rFonts w:eastAsia="Times New Roman" w:cs="Times New Roman"/>
          <w:rtl/>
          <w:lang w:eastAsia="de-DE"/>
        </w:rPr>
        <w:t xml:space="preserve"> </w:t>
      </w:r>
      <w:r w:rsidRPr="00932AD3">
        <w:rPr>
          <w:rFonts w:eastAsia="Times New Roman" w:cs="Times New Roman"/>
          <w:lang w:eastAsia="de-DE"/>
        </w:rPr>
        <w:t xml:space="preserve">(„ausziehen, hinausgehen"), </w:t>
      </w:r>
      <w:r w:rsidRPr="00932AD3">
        <w:rPr>
          <w:rFonts w:eastAsia="Times New Roman" w:cs="Times New Roman"/>
          <w:b/>
          <w:bCs/>
          <w:rtl/>
          <w:lang w:eastAsia="de-DE"/>
        </w:rPr>
        <w:t>לִפְנֵיהֶם</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לְ</w:t>
      </w:r>
      <w:r w:rsidRPr="00932AD3">
        <w:rPr>
          <w:rFonts w:eastAsia="Times New Roman" w:cs="Times New Roman"/>
          <w:rtl/>
          <w:lang w:eastAsia="de-DE"/>
        </w:rPr>
        <w:t xml:space="preserve"> </w:t>
      </w:r>
      <w:r w:rsidRPr="00932AD3">
        <w:rPr>
          <w:rFonts w:eastAsia="Times New Roman" w:cs="Times New Roman"/>
          <w:lang w:eastAsia="de-DE"/>
        </w:rPr>
        <w:t xml:space="preserve">mit Plural </w:t>
      </w:r>
      <w:r w:rsidR="00E031B3">
        <w:rPr>
          <w:rFonts w:eastAsia="Times New Roman" w:cs="Times New Roman"/>
          <w:lang w:eastAsia="de-DE"/>
        </w:rPr>
        <w:t>Constructus von</w:t>
      </w:r>
      <w:r w:rsidRPr="00932AD3">
        <w:rPr>
          <w:rFonts w:eastAsia="Times New Roman" w:cs="Times New Roman"/>
          <w:lang w:eastAsia="de-DE"/>
        </w:rPr>
        <w:t xml:space="preserve"> </w:t>
      </w:r>
      <w:r w:rsidRPr="00932AD3">
        <w:rPr>
          <w:rFonts w:eastAsia="Times New Roman" w:cs="Times New Roman"/>
          <w:b/>
          <w:bCs/>
          <w:rtl/>
          <w:lang w:eastAsia="de-DE"/>
        </w:rPr>
        <w:t>פָּנִים</w:t>
      </w:r>
      <w:r w:rsidRPr="00932AD3">
        <w:rPr>
          <w:rFonts w:eastAsia="Times New Roman" w:cs="Times New Roman"/>
          <w:rtl/>
          <w:lang w:eastAsia="de-DE"/>
        </w:rPr>
        <w:t xml:space="preserve"> </w:t>
      </w:r>
      <w:r w:rsidRPr="00932AD3">
        <w:rPr>
          <w:rFonts w:eastAsia="Times New Roman" w:cs="Times New Roman"/>
          <w:lang w:eastAsia="de-DE"/>
        </w:rPr>
        <w:t xml:space="preserve">„Gesicht" und Suffix 3. Person maskulin Plural „vor ihnen"). </w:t>
      </w:r>
      <w:r w:rsidRPr="00932AD3">
        <w:rPr>
          <w:rFonts w:eastAsia="Times New Roman" w:cs="Times New Roman"/>
          <w:b/>
          <w:bCs/>
          <w:rtl/>
          <w:lang w:eastAsia="de-DE"/>
        </w:rPr>
        <w:t>וַאֲשֶׁר יָבֹא לִפְנֵיהֶם</w:t>
      </w:r>
      <w:r w:rsidRPr="00932AD3">
        <w:rPr>
          <w:rFonts w:eastAsia="Times New Roman" w:cs="Times New Roman"/>
          <w:rtl/>
          <w:lang w:eastAsia="de-DE"/>
        </w:rPr>
        <w:t xml:space="preserve"> </w:t>
      </w:r>
      <w:r w:rsidRPr="00932AD3">
        <w:rPr>
          <w:rFonts w:eastAsia="Times New Roman" w:cs="Times New Roman"/>
          <w:lang w:eastAsia="de-DE"/>
        </w:rPr>
        <w:t xml:space="preserve">ist parallel konstruiert: </w:t>
      </w:r>
      <w:r w:rsidRPr="00932AD3">
        <w:rPr>
          <w:rFonts w:eastAsia="Times New Roman" w:cs="Times New Roman"/>
          <w:b/>
          <w:bCs/>
          <w:rtl/>
          <w:lang w:eastAsia="de-DE"/>
        </w:rPr>
        <w:t>וַאֲשֶׁר</w:t>
      </w:r>
      <w:r w:rsidRPr="00932AD3">
        <w:rPr>
          <w:rFonts w:eastAsia="Times New Roman" w:cs="Times New Roman"/>
          <w:rtl/>
          <w:lang w:eastAsia="de-DE"/>
        </w:rPr>
        <w:t xml:space="preserve"> </w:t>
      </w:r>
      <w:r w:rsidRPr="00932AD3">
        <w:rPr>
          <w:rFonts w:eastAsia="Times New Roman" w:cs="Times New Roman"/>
          <w:lang w:eastAsia="de-DE"/>
        </w:rPr>
        <w:t xml:space="preserve">(Konjunktion </w:t>
      </w:r>
      <w:r w:rsidRPr="00932AD3">
        <w:rPr>
          <w:rFonts w:eastAsia="Times New Roman" w:cs="Times New Roman"/>
          <w:b/>
          <w:bCs/>
          <w:rtl/>
          <w:lang w:eastAsia="de-DE"/>
        </w:rPr>
        <w:t>וְ</w:t>
      </w:r>
      <w:r w:rsidRPr="00932AD3">
        <w:rPr>
          <w:rFonts w:eastAsia="Times New Roman" w:cs="Times New Roman"/>
          <w:rtl/>
          <w:lang w:eastAsia="de-DE"/>
        </w:rPr>
        <w:t xml:space="preserve"> </w:t>
      </w:r>
      <w:r w:rsidRPr="00932AD3">
        <w:rPr>
          <w:rFonts w:eastAsia="Times New Roman" w:cs="Times New Roman"/>
          <w:lang w:eastAsia="de-DE"/>
        </w:rPr>
        <w:t xml:space="preserve">mit Relativpronomen), </w:t>
      </w:r>
      <w:r w:rsidRPr="00932AD3">
        <w:rPr>
          <w:rFonts w:eastAsia="Times New Roman" w:cs="Times New Roman"/>
          <w:b/>
          <w:bCs/>
          <w:rtl/>
          <w:lang w:eastAsia="de-DE"/>
        </w:rPr>
        <w:t>יָבֹא</w:t>
      </w:r>
      <w:r w:rsidRPr="00932AD3">
        <w:rPr>
          <w:rFonts w:eastAsia="Times New Roman" w:cs="Times New Roman"/>
          <w:rtl/>
          <w:lang w:eastAsia="de-DE"/>
        </w:rPr>
        <w:t xml:space="preserve"> </w:t>
      </w:r>
      <w:r w:rsidRPr="00932AD3">
        <w:rPr>
          <w:rFonts w:eastAsia="Times New Roman" w:cs="Times New Roman"/>
          <w:lang w:eastAsia="de-DE"/>
        </w:rPr>
        <w:t xml:space="preserve">(Qal Imperfekt von </w:t>
      </w:r>
      <w:r w:rsidRPr="00932AD3">
        <w:rPr>
          <w:rFonts w:eastAsia="Times New Roman" w:cs="Times New Roman"/>
          <w:b/>
          <w:bCs/>
          <w:rtl/>
          <w:lang w:eastAsia="de-DE"/>
        </w:rPr>
        <w:t>בוא</w:t>
      </w:r>
      <w:r w:rsidRPr="00932AD3">
        <w:rPr>
          <w:rFonts w:eastAsia="Times New Roman" w:cs="Times New Roman"/>
          <w:rtl/>
          <w:lang w:eastAsia="de-DE"/>
        </w:rPr>
        <w:t xml:space="preserve"> </w:t>
      </w:r>
      <w:r w:rsidRPr="00932AD3">
        <w:rPr>
          <w:rFonts w:eastAsia="Times New Roman" w:cs="Times New Roman"/>
          <w:lang w:eastAsia="de-DE"/>
        </w:rPr>
        <w:t xml:space="preserve">„einziehen, hineingehen, kommen"), ebenfalls </w:t>
      </w:r>
      <w:r w:rsidRPr="00932AD3">
        <w:rPr>
          <w:rFonts w:eastAsia="Times New Roman" w:cs="Times New Roman"/>
          <w:b/>
          <w:bCs/>
          <w:rtl/>
          <w:lang w:eastAsia="de-DE"/>
        </w:rPr>
        <w:t>לִפְנֵיהֶם</w:t>
      </w:r>
      <w:r w:rsidRPr="00932AD3">
        <w:rPr>
          <w:rFonts w:eastAsia="Times New Roman" w:cs="Times New Roman"/>
          <w:lang w:eastAsia="de-DE"/>
        </w:rPr>
        <w:t>. Die Wendung „ausziehen und einziehen vor ihnen" ist eine Merismus für alle Aspekte der Führung, besonders die militärische Führung (vgl. Dtn 31,2; 1 Sam 18,13.16; 2 Chr 1,10).</w:t>
      </w:r>
    </w:p>
    <w:p w14:paraId="0555857A"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t>וַאֲשֶׁר יוֹצִיאֵם וַאֲשֶׁר יְבִיאֵם</w:t>
      </w:r>
      <w:r w:rsidRPr="00932AD3">
        <w:rPr>
          <w:rFonts w:eastAsia="Times New Roman" w:cs="Times New Roman"/>
          <w:rtl/>
          <w:lang w:eastAsia="de-DE"/>
        </w:rPr>
        <w:t xml:space="preserve"> </w:t>
      </w:r>
      <w:r w:rsidRPr="00932AD3">
        <w:rPr>
          <w:rFonts w:eastAsia="Times New Roman" w:cs="Times New Roman"/>
          <w:lang w:eastAsia="de-DE"/>
        </w:rPr>
        <w:t xml:space="preserve">intensiviert die Anforderung. </w:t>
      </w:r>
      <w:r w:rsidRPr="00932AD3">
        <w:rPr>
          <w:rFonts w:eastAsia="Times New Roman" w:cs="Times New Roman"/>
          <w:b/>
          <w:bCs/>
          <w:rtl/>
          <w:lang w:eastAsia="de-DE"/>
        </w:rPr>
        <w:t>וַאֲשֶׁר יוֹצִיאֵם</w:t>
      </w:r>
      <w:r w:rsidRPr="00932AD3">
        <w:rPr>
          <w:rFonts w:eastAsia="Times New Roman" w:cs="Times New Roman"/>
          <w:rtl/>
          <w:lang w:eastAsia="de-DE"/>
        </w:rPr>
        <w:t xml:space="preserve"> </w:t>
      </w:r>
      <w:r w:rsidRPr="00932AD3">
        <w:rPr>
          <w:rFonts w:eastAsia="Times New Roman" w:cs="Times New Roman"/>
          <w:lang w:eastAsia="de-DE"/>
        </w:rPr>
        <w:t xml:space="preserve">(Relativpronomen mit Hiphil Imperfekt 3. Person maskulin Singular von </w:t>
      </w:r>
      <w:r w:rsidRPr="00932AD3">
        <w:rPr>
          <w:rFonts w:eastAsia="Times New Roman" w:cs="Times New Roman"/>
          <w:b/>
          <w:bCs/>
          <w:rtl/>
          <w:lang w:eastAsia="de-DE"/>
        </w:rPr>
        <w:t>יצא</w:t>
      </w:r>
      <w:r w:rsidRPr="00932AD3">
        <w:rPr>
          <w:rFonts w:eastAsia="Times New Roman" w:cs="Times New Roman"/>
          <w:rtl/>
          <w:lang w:eastAsia="de-DE"/>
        </w:rPr>
        <w:t xml:space="preserve"> </w:t>
      </w:r>
      <w:r w:rsidRPr="00932AD3">
        <w:rPr>
          <w:rFonts w:eastAsia="Times New Roman" w:cs="Times New Roman"/>
          <w:lang w:eastAsia="de-DE"/>
        </w:rPr>
        <w:t xml:space="preserve">„ausführen, hinausführen" und Suffix 3. Person maskulin Plural als Objekt „sie"), </w:t>
      </w:r>
      <w:r w:rsidRPr="00932AD3">
        <w:rPr>
          <w:rFonts w:eastAsia="Times New Roman" w:cs="Times New Roman"/>
          <w:b/>
          <w:bCs/>
          <w:rtl/>
          <w:lang w:eastAsia="de-DE"/>
        </w:rPr>
        <w:t>וַאֲשֶׁר יְבִיאֵם</w:t>
      </w:r>
      <w:r w:rsidRPr="00932AD3">
        <w:rPr>
          <w:rFonts w:eastAsia="Times New Roman" w:cs="Times New Roman"/>
          <w:rtl/>
          <w:lang w:eastAsia="de-DE"/>
        </w:rPr>
        <w:t xml:space="preserve"> </w:t>
      </w:r>
      <w:r w:rsidRPr="00932AD3">
        <w:rPr>
          <w:rFonts w:eastAsia="Times New Roman" w:cs="Times New Roman"/>
          <w:lang w:eastAsia="de-DE"/>
        </w:rPr>
        <w:t xml:space="preserve">(Relativpronomen mit Hiphil Imperfekt von </w:t>
      </w:r>
      <w:r w:rsidRPr="00932AD3">
        <w:rPr>
          <w:rFonts w:eastAsia="Times New Roman" w:cs="Times New Roman"/>
          <w:b/>
          <w:bCs/>
          <w:rtl/>
          <w:lang w:eastAsia="de-DE"/>
        </w:rPr>
        <w:t>בוא</w:t>
      </w:r>
      <w:r w:rsidRPr="00932AD3">
        <w:rPr>
          <w:rFonts w:eastAsia="Times New Roman" w:cs="Times New Roman"/>
          <w:rtl/>
          <w:lang w:eastAsia="de-DE"/>
        </w:rPr>
        <w:t xml:space="preserve"> </w:t>
      </w:r>
      <w:r w:rsidRPr="00932AD3">
        <w:rPr>
          <w:rFonts w:eastAsia="Times New Roman" w:cs="Times New Roman"/>
          <w:lang w:eastAsia="de-DE"/>
        </w:rPr>
        <w:t xml:space="preserve">„einführen, hineinführen" und Suffix). Das Hiphil ist kausativ: Der Führer geht nicht nur selbst, sondern führt das Volk. Die vierfache Wiederholung mit </w:t>
      </w:r>
      <w:r w:rsidRPr="00932AD3">
        <w:rPr>
          <w:rFonts w:eastAsia="Times New Roman" w:cs="Times New Roman"/>
          <w:b/>
          <w:bCs/>
          <w:rtl/>
          <w:lang w:eastAsia="de-DE"/>
        </w:rPr>
        <w:t>אֲשֶׁר</w:t>
      </w:r>
      <w:r w:rsidRPr="00932AD3">
        <w:rPr>
          <w:rFonts w:eastAsia="Times New Roman" w:cs="Times New Roman"/>
          <w:rtl/>
          <w:lang w:eastAsia="de-DE"/>
        </w:rPr>
        <w:t xml:space="preserve"> </w:t>
      </w:r>
      <w:r w:rsidRPr="00932AD3">
        <w:rPr>
          <w:rFonts w:eastAsia="Times New Roman" w:cs="Times New Roman"/>
          <w:lang w:eastAsia="de-DE"/>
        </w:rPr>
        <w:t>betont die Wichtigkeit dieser Führungsqualitäten.</w:t>
      </w:r>
    </w:p>
    <w:p w14:paraId="1BD16D9F" w14:textId="0B7D0D51" w:rsidR="00932AD3" w:rsidRPr="00932AD3" w:rsidRDefault="00932AD3" w:rsidP="00C0709A">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t>וְלֹא תִהְיֶה עֲדַת יהוה כַּצֹּאן אֲשֶׁר אֵין־לָהֶם רֹעֶה</w:t>
      </w:r>
      <w:r w:rsidRPr="00932AD3">
        <w:rPr>
          <w:rFonts w:eastAsia="Times New Roman" w:cs="Times New Roman"/>
          <w:rtl/>
          <w:lang w:eastAsia="de-DE"/>
        </w:rPr>
        <w:t xml:space="preserve"> </w:t>
      </w:r>
      <w:r w:rsidRPr="00932AD3">
        <w:rPr>
          <w:rFonts w:eastAsia="Times New Roman" w:cs="Times New Roman"/>
          <w:lang w:eastAsia="de-DE"/>
        </w:rPr>
        <w:t xml:space="preserve">gibt den Zweck an. </w:t>
      </w:r>
      <w:r w:rsidRPr="00932AD3">
        <w:rPr>
          <w:rFonts w:eastAsia="Times New Roman" w:cs="Times New Roman"/>
          <w:b/>
          <w:bCs/>
          <w:rtl/>
          <w:lang w:eastAsia="de-DE"/>
        </w:rPr>
        <w:t>וְלֹא תִהְיֶה</w:t>
      </w:r>
      <w:r w:rsidRPr="00932AD3">
        <w:rPr>
          <w:rFonts w:eastAsia="Times New Roman" w:cs="Times New Roman"/>
          <w:rtl/>
          <w:lang w:eastAsia="de-DE"/>
        </w:rPr>
        <w:t xml:space="preserve"> </w:t>
      </w:r>
      <w:r w:rsidRPr="00932AD3">
        <w:rPr>
          <w:rFonts w:eastAsia="Times New Roman" w:cs="Times New Roman"/>
          <w:lang w:eastAsia="de-DE"/>
        </w:rPr>
        <w:t xml:space="preserve">(Konjunktion </w:t>
      </w:r>
      <w:r w:rsidRPr="00932AD3">
        <w:rPr>
          <w:rFonts w:eastAsia="Times New Roman" w:cs="Times New Roman"/>
          <w:b/>
          <w:bCs/>
          <w:rtl/>
          <w:lang w:eastAsia="de-DE"/>
        </w:rPr>
        <w:t>וְ</w:t>
      </w:r>
      <w:r w:rsidRPr="00932AD3">
        <w:rPr>
          <w:rFonts w:eastAsia="Times New Roman" w:cs="Times New Roman"/>
          <w:rtl/>
          <w:lang w:eastAsia="de-DE"/>
        </w:rPr>
        <w:t xml:space="preserve"> </w:t>
      </w:r>
      <w:r w:rsidRPr="00932AD3">
        <w:rPr>
          <w:rFonts w:eastAsia="Times New Roman" w:cs="Times New Roman"/>
          <w:lang w:eastAsia="de-DE"/>
        </w:rPr>
        <w:t xml:space="preserve">mit Negation </w:t>
      </w:r>
      <w:r w:rsidRPr="00932AD3">
        <w:rPr>
          <w:rFonts w:eastAsia="Times New Roman" w:cs="Times New Roman"/>
          <w:b/>
          <w:bCs/>
          <w:rtl/>
          <w:lang w:eastAsia="de-DE"/>
        </w:rPr>
        <w:t>לֹא</w:t>
      </w:r>
      <w:r w:rsidRPr="00932AD3">
        <w:rPr>
          <w:rFonts w:eastAsia="Times New Roman" w:cs="Times New Roman"/>
          <w:rtl/>
          <w:lang w:eastAsia="de-DE"/>
        </w:rPr>
        <w:t xml:space="preserve"> </w:t>
      </w:r>
      <w:r w:rsidRPr="00932AD3">
        <w:rPr>
          <w:rFonts w:eastAsia="Times New Roman" w:cs="Times New Roman"/>
          <w:lang w:eastAsia="de-DE"/>
        </w:rPr>
        <w:t xml:space="preserve">und Qal Imperfekt 3. Person feminin Singular von </w:t>
      </w:r>
      <w:r w:rsidRPr="00932AD3">
        <w:rPr>
          <w:rFonts w:eastAsia="Times New Roman" w:cs="Times New Roman"/>
          <w:b/>
          <w:bCs/>
          <w:rtl/>
          <w:lang w:eastAsia="de-DE"/>
        </w:rPr>
        <w:t>היה</w:t>
      </w:r>
      <w:r w:rsidRPr="00932AD3">
        <w:rPr>
          <w:rFonts w:eastAsia="Times New Roman" w:cs="Times New Roman"/>
          <w:rtl/>
          <w:lang w:eastAsia="de-DE"/>
        </w:rPr>
        <w:t xml:space="preserve"> </w:t>
      </w:r>
      <w:r w:rsidRPr="00932AD3">
        <w:rPr>
          <w:rFonts w:eastAsia="Times New Roman" w:cs="Times New Roman"/>
          <w:lang w:eastAsia="de-DE"/>
        </w:rPr>
        <w:t xml:space="preserve">„sein") drückt Absicht oder Zweck aus („damit nicht sei"). </w:t>
      </w:r>
      <w:r w:rsidRPr="00932AD3">
        <w:rPr>
          <w:rFonts w:eastAsia="Times New Roman" w:cs="Times New Roman"/>
          <w:b/>
          <w:bCs/>
          <w:rtl/>
          <w:lang w:eastAsia="de-DE"/>
        </w:rPr>
        <w:t>עֲדַת יהוה</w:t>
      </w:r>
      <w:r w:rsidRPr="00932AD3">
        <w:rPr>
          <w:rFonts w:eastAsia="Times New Roman" w:cs="Times New Roman"/>
          <w:rtl/>
          <w:lang w:eastAsia="de-DE"/>
        </w:rPr>
        <w:t xml:space="preserve"> </w:t>
      </w:r>
      <w:r w:rsidRPr="00932AD3">
        <w:rPr>
          <w:rFonts w:eastAsia="Times New Roman" w:cs="Times New Roman"/>
          <w:lang w:eastAsia="de-DE"/>
        </w:rPr>
        <w:t xml:space="preserve">(„Gemeinde JHWHs") ist das Subjekt, wobei die Genitivverbindung betont, dass das Volk Gott gehört. </w:t>
      </w:r>
      <w:r w:rsidRPr="00932AD3">
        <w:rPr>
          <w:rFonts w:eastAsia="Times New Roman" w:cs="Times New Roman"/>
          <w:b/>
          <w:bCs/>
          <w:rtl/>
          <w:lang w:eastAsia="de-DE"/>
        </w:rPr>
        <w:t>כַּצֹּאן אֲשֶׁר אֵין־לָהֶם רֹעֶה</w:t>
      </w:r>
      <w:r w:rsidRPr="00932AD3">
        <w:rPr>
          <w:rFonts w:eastAsia="Times New Roman" w:cs="Times New Roman"/>
          <w:rtl/>
          <w:lang w:eastAsia="de-DE"/>
        </w:rPr>
        <w:t xml:space="preserve"> </w:t>
      </w:r>
      <w:r w:rsidRPr="00932AD3">
        <w:rPr>
          <w:rFonts w:eastAsia="Times New Roman" w:cs="Times New Roman"/>
          <w:lang w:eastAsia="de-DE"/>
        </w:rPr>
        <w:t xml:space="preserve">ist der Vergleich: </w:t>
      </w:r>
      <w:r w:rsidRPr="00932AD3">
        <w:rPr>
          <w:rFonts w:eastAsia="Times New Roman" w:cs="Times New Roman"/>
          <w:b/>
          <w:bCs/>
          <w:rtl/>
          <w:lang w:eastAsia="de-DE"/>
        </w:rPr>
        <w:t>כְּ</w:t>
      </w:r>
      <w:r w:rsidRPr="00932AD3">
        <w:rPr>
          <w:rFonts w:eastAsia="Times New Roman" w:cs="Times New Roman"/>
          <w:rtl/>
          <w:lang w:eastAsia="de-DE"/>
        </w:rPr>
        <w:t xml:space="preserve"> </w:t>
      </w:r>
      <w:r w:rsidRPr="00932AD3">
        <w:rPr>
          <w:rFonts w:eastAsia="Times New Roman" w:cs="Times New Roman"/>
          <w:lang w:eastAsia="de-DE"/>
        </w:rPr>
        <w:t xml:space="preserve">ist die Vergleichspräposition, </w:t>
      </w:r>
      <w:r w:rsidRPr="00932AD3">
        <w:rPr>
          <w:rFonts w:eastAsia="Times New Roman" w:cs="Times New Roman"/>
          <w:b/>
          <w:bCs/>
          <w:rtl/>
          <w:lang w:eastAsia="de-DE"/>
        </w:rPr>
        <w:t>צֹאן</w:t>
      </w:r>
      <w:r w:rsidRPr="00932AD3">
        <w:rPr>
          <w:rFonts w:eastAsia="Times New Roman" w:cs="Times New Roman"/>
          <w:rtl/>
          <w:lang w:eastAsia="de-DE"/>
        </w:rPr>
        <w:t xml:space="preserve"> </w:t>
      </w:r>
      <w:r w:rsidRPr="00932AD3">
        <w:rPr>
          <w:rFonts w:eastAsia="Times New Roman" w:cs="Times New Roman"/>
          <w:lang w:eastAsia="de-DE"/>
        </w:rPr>
        <w:t xml:space="preserve">(kollektiver Singular „Schafe, Kleinvieh"), </w:t>
      </w:r>
      <w:r w:rsidRPr="00932AD3">
        <w:rPr>
          <w:rFonts w:eastAsia="Times New Roman" w:cs="Times New Roman"/>
          <w:b/>
          <w:bCs/>
          <w:rtl/>
          <w:lang w:eastAsia="de-DE"/>
        </w:rPr>
        <w:t>אֲשֶׁר אֵין־לָהֶם</w:t>
      </w:r>
      <w:r w:rsidRPr="00932AD3">
        <w:rPr>
          <w:rFonts w:eastAsia="Times New Roman" w:cs="Times New Roman"/>
          <w:rtl/>
          <w:lang w:eastAsia="de-DE"/>
        </w:rPr>
        <w:t xml:space="preserve"> </w:t>
      </w:r>
      <w:r w:rsidRPr="00932AD3">
        <w:rPr>
          <w:rFonts w:eastAsia="Times New Roman" w:cs="Times New Roman"/>
          <w:lang w:eastAsia="de-DE"/>
        </w:rPr>
        <w:t xml:space="preserve">(Relativpronomen mit Existenznegation und Dativpräposition mit Suffix 3. Person maskulin Plural), </w:t>
      </w:r>
      <w:r w:rsidRPr="00932AD3">
        <w:rPr>
          <w:rFonts w:eastAsia="Times New Roman" w:cs="Times New Roman"/>
          <w:b/>
          <w:bCs/>
          <w:rtl/>
          <w:lang w:eastAsia="de-DE"/>
        </w:rPr>
        <w:t>רֹעֶה</w:t>
      </w:r>
      <w:r w:rsidRPr="00932AD3">
        <w:rPr>
          <w:rFonts w:eastAsia="Times New Roman" w:cs="Times New Roman"/>
          <w:rtl/>
          <w:lang w:eastAsia="de-DE"/>
        </w:rPr>
        <w:t xml:space="preserve"> </w:t>
      </w:r>
      <w:r w:rsidRPr="00932AD3">
        <w:rPr>
          <w:rFonts w:eastAsia="Times New Roman" w:cs="Times New Roman"/>
          <w:lang w:eastAsia="de-DE"/>
        </w:rPr>
        <w:t xml:space="preserve">(Qal-Partizip maskulin Singular von </w:t>
      </w:r>
      <w:r w:rsidRPr="00932AD3">
        <w:rPr>
          <w:rFonts w:eastAsia="Times New Roman" w:cs="Times New Roman"/>
          <w:b/>
          <w:bCs/>
          <w:rtl/>
          <w:lang w:eastAsia="de-DE"/>
        </w:rPr>
        <w:t>רעה</w:t>
      </w:r>
      <w:r w:rsidRPr="00932AD3">
        <w:rPr>
          <w:rFonts w:eastAsia="Times New Roman" w:cs="Times New Roman"/>
          <w:rtl/>
          <w:lang w:eastAsia="de-DE"/>
        </w:rPr>
        <w:t xml:space="preserve"> </w:t>
      </w:r>
      <w:r w:rsidRPr="00932AD3">
        <w:rPr>
          <w:rFonts w:eastAsia="Times New Roman" w:cs="Times New Roman"/>
          <w:lang w:eastAsia="de-DE"/>
        </w:rPr>
        <w:t>„weiden" als Substantiv „Hirte"). Das Bild der Schafe ohne Hirten drückt Hilflosigkeit, Orientierungslosigkeit und Gefährdung aus (vgl. 1 Kön 22,17; Ez 34,5; Mt 9,36).</w:t>
      </w:r>
    </w:p>
    <w:p w14:paraId="4C6732BF"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Die Satzstruktur zeigt vier parallele Relativsätze (zwei mit Qal, zwei mit Hiphil), die die Anforderungen beschreiben, gefolgt von einer negativen Finalbestimmung mit Vergleich, die den Zweck angibt.</w:t>
      </w:r>
    </w:p>
    <w:p w14:paraId="2E1295E4"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Der Vers zeigt Moses tiefe pastorale Sorge: Der Nachfolger muss ein Führer sein, der das Volk in allen Situationen leitet, besonders im Krieg. Die Hirtenmetapher betont die Fürsorge und Schutzverantwortung, die Moses für das Volk empfindet und die sein Nachfolger übernehmen muss.</w:t>
      </w:r>
    </w:p>
    <w:p w14:paraId="1A0D10C4" w14:textId="77777777" w:rsidR="00932AD3" w:rsidRPr="00932AD3" w:rsidRDefault="00932AD3" w:rsidP="00932AD3">
      <w:pPr>
        <w:spacing w:before="100" w:beforeAutospacing="1" w:after="100" w:afterAutospacing="1" w:line="240" w:lineRule="auto"/>
        <w:outlineLvl w:val="0"/>
        <w:rPr>
          <w:rFonts w:eastAsia="Times New Roman" w:cs="Times New Roman"/>
          <w:b/>
          <w:bCs/>
          <w:kern w:val="36"/>
          <w:sz w:val="48"/>
          <w:szCs w:val="48"/>
          <w:lang w:eastAsia="de-DE"/>
        </w:rPr>
      </w:pPr>
      <w:r w:rsidRPr="00932AD3">
        <w:rPr>
          <w:rFonts w:eastAsia="Times New Roman" w:cs="Times New Roman"/>
          <w:b/>
          <w:bCs/>
          <w:kern w:val="36"/>
          <w:sz w:val="48"/>
          <w:szCs w:val="48"/>
          <w:lang w:eastAsia="de-DE"/>
        </w:rPr>
        <w:t>Numeri 27,18</w:t>
      </w:r>
    </w:p>
    <w:p w14:paraId="0248E6E1"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Hebräisch:</w:t>
      </w:r>
      <w:r w:rsidRPr="00932AD3">
        <w:rPr>
          <w:rFonts w:eastAsia="Times New Roman" w:cs="Times New Roman"/>
          <w:lang w:eastAsia="de-DE"/>
        </w:rPr>
        <w:t xml:space="preserve"> </w:t>
      </w:r>
      <w:r w:rsidRPr="00932AD3">
        <w:rPr>
          <w:rFonts w:eastAsia="Times New Roman" w:cs="Times New Roman"/>
          <w:rtl/>
          <w:lang w:eastAsia="de-DE"/>
        </w:rPr>
        <w:t>וַיֹּ֨אמֶר יְהוָ֜ה אֶל־מֹשֶׁ֗ה קַח־לְךָ֙ אֶת־יְהוֹשֻׁ֣עַ בִּן־נ֔וּן אִ֖ישׁ אֲשֶׁר־ר֣וּחַ בּוֹ֑ וְסָמַכְתָּ֥ אֶת־יָדְךָ֖ עָלָֽיו׃</w:t>
      </w:r>
    </w:p>
    <w:p w14:paraId="41CDF7A4"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lastRenderedPageBreak/>
        <w:t>Deutsch:</w:t>
      </w:r>
      <w:r w:rsidRPr="00932AD3">
        <w:rPr>
          <w:rFonts w:eastAsia="Times New Roman" w:cs="Times New Roman"/>
          <w:lang w:eastAsia="de-DE"/>
        </w:rPr>
        <w:t xml:space="preserve"> Und der Ewige sprach zu Mosche: „Nimm dir Jehoschua, den Sohn Nuns, einen Mann, in dem Geist ist, und lege deine Hand auf ihn;</w:t>
      </w:r>
    </w:p>
    <w:p w14:paraId="15A22760" w14:textId="77777777" w:rsidR="00932AD3" w:rsidRPr="00932AD3" w:rsidRDefault="00F329DD" w:rsidP="00932AD3">
      <w:pPr>
        <w:spacing w:after="0" w:line="240" w:lineRule="auto"/>
        <w:rPr>
          <w:rFonts w:eastAsia="Times New Roman" w:cs="Times New Roman"/>
          <w:lang w:eastAsia="de-DE"/>
        </w:rPr>
      </w:pPr>
      <w:r>
        <w:rPr>
          <w:rFonts w:eastAsia="Times New Roman" w:cs="Times New Roman"/>
          <w:noProof/>
          <w:lang w:eastAsia="de-DE"/>
        </w:rPr>
        <w:pict w14:anchorId="7225197F">
          <v:rect id="_x0000_i1899" style="width:0;height:1.5pt" o:hralign="center" o:hrstd="t" o:hr="t" fillcolor="#a0a0a0" stroked="f"/>
        </w:pict>
      </w:r>
    </w:p>
    <w:p w14:paraId="08CD3B5C"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Kommentar:</w:t>
      </w:r>
      <w:r w:rsidRPr="00932AD3">
        <w:rPr>
          <w:rFonts w:eastAsia="Times New Roman" w:cs="Times New Roman"/>
          <w:lang w:eastAsia="de-DE"/>
        </w:rPr>
        <w:t xml:space="preserve"> Der Vers enthält Gottes Antwort mit der Wahl Josuas. </w:t>
      </w:r>
      <w:r w:rsidRPr="00932AD3">
        <w:rPr>
          <w:rFonts w:eastAsia="Times New Roman" w:cs="Times New Roman"/>
          <w:b/>
          <w:bCs/>
          <w:rtl/>
          <w:lang w:eastAsia="de-DE"/>
        </w:rPr>
        <w:t>וַיֹּאמֶר יהוה אֶל־מֹשֶׁה</w:t>
      </w:r>
      <w:r w:rsidRPr="00932AD3">
        <w:rPr>
          <w:rFonts w:eastAsia="Times New Roman" w:cs="Times New Roman"/>
          <w:rtl/>
          <w:lang w:eastAsia="de-DE"/>
        </w:rPr>
        <w:t xml:space="preserve"> </w:t>
      </w:r>
      <w:r w:rsidRPr="00932AD3">
        <w:rPr>
          <w:rFonts w:eastAsia="Times New Roman" w:cs="Times New Roman"/>
          <w:lang w:eastAsia="de-DE"/>
        </w:rPr>
        <w:t xml:space="preserve">ist die Standard-Redeeinleitung. </w:t>
      </w:r>
      <w:r w:rsidRPr="00932AD3">
        <w:rPr>
          <w:rFonts w:eastAsia="Times New Roman" w:cs="Times New Roman"/>
          <w:b/>
          <w:bCs/>
          <w:rtl/>
          <w:lang w:eastAsia="de-DE"/>
        </w:rPr>
        <w:t>קַח־לְךָ אֶת־יְהוֹשֻׁעַ בִּן־נוּן</w:t>
      </w:r>
      <w:r w:rsidRPr="00932AD3">
        <w:rPr>
          <w:rFonts w:eastAsia="Times New Roman" w:cs="Times New Roman"/>
          <w:rtl/>
          <w:lang w:eastAsia="de-DE"/>
        </w:rPr>
        <w:t xml:space="preserve"> </w:t>
      </w:r>
      <w:r w:rsidRPr="00932AD3">
        <w:rPr>
          <w:rFonts w:eastAsia="Times New Roman" w:cs="Times New Roman"/>
          <w:lang w:eastAsia="de-DE"/>
        </w:rPr>
        <w:t xml:space="preserve">ist der erste Befehl. </w:t>
      </w:r>
      <w:r w:rsidRPr="00932AD3">
        <w:rPr>
          <w:rFonts w:eastAsia="Times New Roman" w:cs="Times New Roman"/>
          <w:b/>
          <w:bCs/>
          <w:rtl/>
          <w:lang w:eastAsia="de-DE"/>
        </w:rPr>
        <w:t>קַח־לְךָ</w:t>
      </w:r>
      <w:r w:rsidRPr="00932AD3">
        <w:rPr>
          <w:rFonts w:eastAsia="Times New Roman" w:cs="Times New Roman"/>
          <w:rtl/>
          <w:lang w:eastAsia="de-DE"/>
        </w:rPr>
        <w:t xml:space="preserve"> </w:t>
      </w:r>
      <w:r w:rsidRPr="00932AD3">
        <w:rPr>
          <w:rFonts w:eastAsia="Times New Roman" w:cs="Times New Roman"/>
          <w:lang w:eastAsia="de-DE"/>
        </w:rPr>
        <w:t xml:space="preserve">ist Qal Imperativ maskulin Singular von </w:t>
      </w:r>
      <w:r w:rsidRPr="00932AD3">
        <w:rPr>
          <w:rFonts w:eastAsia="Times New Roman" w:cs="Times New Roman"/>
          <w:b/>
          <w:bCs/>
          <w:rtl/>
          <w:lang w:eastAsia="de-DE"/>
        </w:rPr>
        <w:t>לקח</w:t>
      </w:r>
      <w:r w:rsidRPr="00932AD3">
        <w:rPr>
          <w:rFonts w:eastAsia="Times New Roman" w:cs="Times New Roman"/>
          <w:rtl/>
          <w:lang w:eastAsia="de-DE"/>
        </w:rPr>
        <w:t xml:space="preserve"> </w:t>
      </w:r>
      <w:r w:rsidRPr="00932AD3">
        <w:rPr>
          <w:rFonts w:eastAsia="Times New Roman" w:cs="Times New Roman"/>
          <w:lang w:eastAsia="de-DE"/>
        </w:rPr>
        <w:t xml:space="preserve">(„nehmen") mit ethischem Dativ </w:t>
      </w:r>
      <w:r w:rsidRPr="00932AD3">
        <w:rPr>
          <w:rFonts w:eastAsia="Times New Roman" w:cs="Times New Roman"/>
          <w:b/>
          <w:bCs/>
          <w:rtl/>
          <w:lang w:eastAsia="de-DE"/>
        </w:rPr>
        <w:t>לְךָ</w:t>
      </w:r>
      <w:r w:rsidRPr="00932AD3">
        <w:rPr>
          <w:rFonts w:eastAsia="Times New Roman" w:cs="Times New Roman"/>
          <w:rtl/>
          <w:lang w:eastAsia="de-DE"/>
        </w:rPr>
        <w:t xml:space="preserve"> </w:t>
      </w:r>
      <w:r w:rsidRPr="00932AD3">
        <w:rPr>
          <w:rFonts w:eastAsia="Times New Roman" w:cs="Times New Roman"/>
          <w:lang w:eastAsia="de-DE"/>
        </w:rPr>
        <w:t xml:space="preserve">(der Moses persönliches Interesse oder Vorteil andeutet). </w:t>
      </w:r>
      <w:r w:rsidRPr="00932AD3">
        <w:rPr>
          <w:rFonts w:eastAsia="Times New Roman" w:cs="Times New Roman"/>
          <w:b/>
          <w:bCs/>
          <w:rtl/>
          <w:lang w:eastAsia="de-DE"/>
        </w:rPr>
        <w:t>אֶת־יְהוֹשֻׁעַ בִּן־נוּן</w:t>
      </w:r>
      <w:r w:rsidRPr="00932AD3">
        <w:rPr>
          <w:rFonts w:eastAsia="Times New Roman" w:cs="Times New Roman"/>
          <w:rtl/>
          <w:lang w:eastAsia="de-DE"/>
        </w:rPr>
        <w:t xml:space="preserve"> </w:t>
      </w:r>
      <w:r w:rsidRPr="00932AD3">
        <w:rPr>
          <w:rFonts w:eastAsia="Times New Roman" w:cs="Times New Roman"/>
          <w:lang w:eastAsia="de-DE"/>
        </w:rPr>
        <w:t xml:space="preserve">identifiziert den Nachfolger: </w:t>
      </w:r>
      <w:r w:rsidRPr="00932AD3">
        <w:rPr>
          <w:rFonts w:eastAsia="Times New Roman" w:cs="Times New Roman"/>
          <w:b/>
          <w:bCs/>
          <w:rtl/>
          <w:lang w:eastAsia="de-DE"/>
        </w:rPr>
        <w:t>יְהוֹשֻׁעַ</w:t>
      </w:r>
      <w:r w:rsidRPr="00932AD3">
        <w:rPr>
          <w:rFonts w:eastAsia="Times New Roman" w:cs="Times New Roman"/>
          <w:rtl/>
          <w:lang w:eastAsia="de-DE"/>
        </w:rPr>
        <w:t xml:space="preserve"> </w:t>
      </w:r>
      <w:r w:rsidRPr="00932AD3">
        <w:rPr>
          <w:rFonts w:eastAsia="Times New Roman" w:cs="Times New Roman"/>
          <w:lang w:eastAsia="de-DE"/>
        </w:rPr>
        <w:t xml:space="preserve">(Josua, bedeutet „JHWH ist Rettung"), </w:t>
      </w:r>
      <w:r w:rsidRPr="00932AD3">
        <w:rPr>
          <w:rFonts w:eastAsia="Times New Roman" w:cs="Times New Roman"/>
          <w:b/>
          <w:bCs/>
          <w:rtl/>
          <w:lang w:eastAsia="de-DE"/>
        </w:rPr>
        <w:t>בִּן־נוּן</w:t>
      </w:r>
      <w:r w:rsidRPr="00932AD3">
        <w:rPr>
          <w:rFonts w:eastAsia="Times New Roman" w:cs="Times New Roman"/>
          <w:rtl/>
          <w:lang w:eastAsia="de-DE"/>
        </w:rPr>
        <w:t xml:space="preserve"> </w:t>
      </w:r>
      <w:r w:rsidRPr="00932AD3">
        <w:rPr>
          <w:rFonts w:eastAsia="Times New Roman" w:cs="Times New Roman"/>
          <w:lang w:eastAsia="de-DE"/>
        </w:rPr>
        <w:t>(„Sohn des Nun"). Josua war bereits Moses Diener und militärischer Führer (Ex 17,9-14; 24,13; 33,11; Num 11,28; 13,16; 14,6.30.38).</w:t>
      </w:r>
    </w:p>
    <w:p w14:paraId="446AF5B7" w14:textId="7F60A7FA"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t>אִישׁ אֲשֶׁר־רוּחַ בּוֹ</w:t>
      </w:r>
      <w:r w:rsidRPr="00932AD3">
        <w:rPr>
          <w:rFonts w:eastAsia="Times New Roman" w:cs="Times New Roman"/>
          <w:rtl/>
          <w:lang w:eastAsia="de-DE"/>
        </w:rPr>
        <w:t xml:space="preserve"> </w:t>
      </w:r>
      <w:r w:rsidRPr="00932AD3">
        <w:rPr>
          <w:rFonts w:eastAsia="Times New Roman" w:cs="Times New Roman"/>
          <w:lang w:eastAsia="de-DE"/>
        </w:rPr>
        <w:t xml:space="preserve">ist die entscheidende Qualifikation. </w:t>
      </w:r>
      <w:r w:rsidRPr="00932AD3">
        <w:rPr>
          <w:rFonts w:eastAsia="Times New Roman" w:cs="Times New Roman"/>
          <w:b/>
          <w:bCs/>
          <w:rtl/>
          <w:lang w:eastAsia="de-DE"/>
        </w:rPr>
        <w:t>אִישׁ</w:t>
      </w:r>
      <w:r w:rsidRPr="00932AD3">
        <w:rPr>
          <w:rFonts w:eastAsia="Times New Roman" w:cs="Times New Roman"/>
          <w:rtl/>
          <w:lang w:eastAsia="de-DE"/>
        </w:rPr>
        <w:t xml:space="preserve"> </w:t>
      </w:r>
      <w:r w:rsidRPr="00932AD3">
        <w:rPr>
          <w:rFonts w:eastAsia="Times New Roman" w:cs="Times New Roman"/>
          <w:lang w:eastAsia="de-DE"/>
        </w:rPr>
        <w:t xml:space="preserve">(„ein Mann"), </w:t>
      </w:r>
      <w:r w:rsidRPr="00932AD3">
        <w:rPr>
          <w:rFonts w:eastAsia="Times New Roman" w:cs="Times New Roman"/>
          <w:b/>
          <w:bCs/>
          <w:rtl/>
          <w:lang w:eastAsia="de-DE"/>
        </w:rPr>
        <w:t>אֲשֶׁר־רוּחַ בּוֹ</w:t>
      </w:r>
      <w:r w:rsidRPr="00932AD3">
        <w:rPr>
          <w:rFonts w:eastAsia="Times New Roman" w:cs="Times New Roman"/>
          <w:rtl/>
          <w:lang w:eastAsia="de-DE"/>
        </w:rPr>
        <w:t xml:space="preserve"> </w:t>
      </w:r>
      <w:r w:rsidRPr="00932AD3">
        <w:rPr>
          <w:rFonts w:eastAsia="Times New Roman" w:cs="Times New Roman"/>
          <w:lang w:eastAsia="de-DE"/>
        </w:rPr>
        <w:t xml:space="preserve">ist ein Relativsatz: </w:t>
      </w:r>
      <w:r w:rsidRPr="00932AD3">
        <w:rPr>
          <w:rFonts w:eastAsia="Times New Roman" w:cs="Times New Roman"/>
          <w:b/>
          <w:bCs/>
          <w:rtl/>
          <w:lang w:eastAsia="de-DE"/>
        </w:rPr>
        <w:t>אֲשֶׁר</w:t>
      </w:r>
      <w:r w:rsidRPr="00932AD3">
        <w:rPr>
          <w:rFonts w:eastAsia="Times New Roman" w:cs="Times New Roman"/>
          <w:rtl/>
          <w:lang w:eastAsia="de-DE"/>
        </w:rPr>
        <w:t xml:space="preserve"> </w:t>
      </w:r>
      <w:r w:rsidRPr="00932AD3">
        <w:rPr>
          <w:rFonts w:eastAsia="Times New Roman" w:cs="Times New Roman"/>
          <w:lang w:eastAsia="de-DE"/>
        </w:rPr>
        <w:t xml:space="preserve">(Relativpronomen), </w:t>
      </w:r>
      <w:r w:rsidRPr="00932AD3">
        <w:rPr>
          <w:rFonts w:eastAsia="Times New Roman" w:cs="Times New Roman"/>
          <w:b/>
          <w:bCs/>
          <w:rtl/>
          <w:lang w:eastAsia="de-DE"/>
        </w:rPr>
        <w:t>רוּחַ</w:t>
      </w:r>
      <w:r w:rsidRPr="00932AD3">
        <w:rPr>
          <w:rFonts w:eastAsia="Times New Roman" w:cs="Times New Roman"/>
          <w:rtl/>
          <w:lang w:eastAsia="de-DE"/>
        </w:rPr>
        <w:t xml:space="preserve"> </w:t>
      </w:r>
      <w:r w:rsidRPr="00932AD3">
        <w:rPr>
          <w:rFonts w:eastAsia="Times New Roman" w:cs="Times New Roman"/>
          <w:lang w:eastAsia="de-DE"/>
        </w:rPr>
        <w:t xml:space="preserve">(feminin Singular „Geist, Atem") ohne Artikel, </w:t>
      </w:r>
      <w:r w:rsidRPr="00932AD3">
        <w:rPr>
          <w:rFonts w:eastAsia="Times New Roman" w:cs="Times New Roman"/>
          <w:b/>
          <w:bCs/>
          <w:rtl/>
          <w:lang w:eastAsia="de-DE"/>
        </w:rPr>
        <w:t>בּוֹ</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בְ</w:t>
      </w:r>
      <w:r w:rsidRPr="00932AD3">
        <w:rPr>
          <w:rFonts w:eastAsia="Times New Roman" w:cs="Times New Roman"/>
          <w:rtl/>
          <w:lang w:eastAsia="de-DE"/>
        </w:rPr>
        <w:t xml:space="preserve"> </w:t>
      </w:r>
      <w:r w:rsidRPr="00932AD3">
        <w:rPr>
          <w:rFonts w:eastAsia="Times New Roman" w:cs="Times New Roman"/>
          <w:lang w:eastAsia="de-DE"/>
        </w:rPr>
        <w:t xml:space="preserve">mit Suffix 3. Person maskulin Singular „in ihm"). Die </w:t>
      </w:r>
      <w:r w:rsidR="00F133EC">
        <w:rPr>
          <w:rFonts w:eastAsia="Times New Roman" w:cs="Times New Roman"/>
          <w:lang w:eastAsia="de-DE"/>
        </w:rPr>
        <w:t>Construct</w:t>
      </w:r>
      <w:r w:rsidRPr="00932AD3">
        <w:rPr>
          <w:rFonts w:eastAsia="Times New Roman" w:cs="Times New Roman"/>
          <w:lang w:eastAsia="de-DE"/>
        </w:rPr>
        <w:t xml:space="preserve">ion </w:t>
      </w:r>
      <w:r w:rsidRPr="00932AD3">
        <w:rPr>
          <w:rFonts w:eastAsia="Times New Roman" w:cs="Times New Roman"/>
          <w:b/>
          <w:bCs/>
          <w:rtl/>
          <w:lang w:eastAsia="de-DE"/>
        </w:rPr>
        <w:t>רוּחַ בּוֹ</w:t>
      </w:r>
      <w:r w:rsidRPr="00932AD3">
        <w:rPr>
          <w:rFonts w:eastAsia="Times New Roman" w:cs="Times New Roman"/>
          <w:rtl/>
          <w:lang w:eastAsia="de-DE"/>
        </w:rPr>
        <w:t xml:space="preserve"> </w:t>
      </w:r>
      <w:r w:rsidRPr="00932AD3">
        <w:rPr>
          <w:rFonts w:eastAsia="Times New Roman" w:cs="Times New Roman"/>
          <w:lang w:eastAsia="de-DE"/>
        </w:rPr>
        <w:t xml:space="preserve">(„Geist in ihm") ohne Artikel kann bedeuten „ein Mann, in dem Geist ist" oder spezifischer „ein Mann, in dem göttlicher Geist ist". Das Fehlen des Artikels bei </w:t>
      </w:r>
      <w:r w:rsidRPr="00932AD3">
        <w:rPr>
          <w:rFonts w:eastAsia="Times New Roman" w:cs="Times New Roman"/>
          <w:b/>
          <w:bCs/>
          <w:rtl/>
          <w:lang w:eastAsia="de-DE"/>
        </w:rPr>
        <w:t>רוּחַ</w:t>
      </w:r>
      <w:r w:rsidRPr="00932AD3">
        <w:rPr>
          <w:rFonts w:eastAsia="Times New Roman" w:cs="Times New Roman"/>
          <w:rtl/>
          <w:lang w:eastAsia="de-DE"/>
        </w:rPr>
        <w:t xml:space="preserve"> </w:t>
      </w:r>
      <w:r w:rsidRPr="00932AD3">
        <w:rPr>
          <w:rFonts w:eastAsia="Times New Roman" w:cs="Times New Roman"/>
          <w:lang w:eastAsia="de-DE"/>
        </w:rPr>
        <w:t>kann qualitativ verstanden werden: Josua besitzt geistliche Qualitäten. Die Formulierung antwortet direkt auf Moses Anrede Gottes als „Gott der Geister" (V. 16): Gott, der alle Geister kennt, hat einen Mann mit dem rechten Geist gewählt.</w:t>
      </w:r>
    </w:p>
    <w:p w14:paraId="56613749"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t>וְסָמַכְתָּ אֶת־יָדְךָ עָלָיו</w:t>
      </w:r>
      <w:r w:rsidRPr="00932AD3">
        <w:rPr>
          <w:rFonts w:eastAsia="Times New Roman" w:cs="Times New Roman"/>
          <w:rtl/>
          <w:lang w:eastAsia="de-DE"/>
        </w:rPr>
        <w:t xml:space="preserve"> </w:t>
      </w:r>
      <w:r w:rsidRPr="00932AD3">
        <w:rPr>
          <w:rFonts w:eastAsia="Times New Roman" w:cs="Times New Roman"/>
          <w:lang w:eastAsia="de-DE"/>
        </w:rPr>
        <w:t xml:space="preserve">ist der zweite Befehl. </w:t>
      </w:r>
      <w:r w:rsidRPr="00932AD3">
        <w:rPr>
          <w:rFonts w:eastAsia="Times New Roman" w:cs="Times New Roman"/>
          <w:b/>
          <w:bCs/>
          <w:rtl/>
          <w:lang w:eastAsia="de-DE"/>
        </w:rPr>
        <w:t>וְסָמַכְתָּ</w:t>
      </w:r>
      <w:r w:rsidRPr="00932AD3">
        <w:rPr>
          <w:rFonts w:eastAsia="Times New Roman" w:cs="Times New Roman"/>
          <w:rtl/>
          <w:lang w:eastAsia="de-DE"/>
        </w:rPr>
        <w:t xml:space="preserve"> </w:t>
      </w:r>
      <w:r w:rsidRPr="00932AD3">
        <w:rPr>
          <w:rFonts w:eastAsia="Times New Roman" w:cs="Times New Roman"/>
          <w:lang w:eastAsia="de-DE"/>
        </w:rPr>
        <w:t xml:space="preserve">ist Qal Perfekt (mit Waw consecutivum) 2. Person maskulin Singular von </w:t>
      </w:r>
      <w:r w:rsidRPr="00932AD3">
        <w:rPr>
          <w:rFonts w:eastAsia="Times New Roman" w:cs="Times New Roman"/>
          <w:b/>
          <w:bCs/>
          <w:rtl/>
          <w:lang w:eastAsia="de-DE"/>
        </w:rPr>
        <w:t>סמך</w:t>
      </w:r>
      <w:r w:rsidRPr="00932AD3">
        <w:rPr>
          <w:rFonts w:eastAsia="Times New Roman" w:cs="Times New Roman"/>
          <w:rtl/>
          <w:lang w:eastAsia="de-DE"/>
        </w:rPr>
        <w:t xml:space="preserve"> </w:t>
      </w:r>
      <w:r w:rsidRPr="00932AD3">
        <w:rPr>
          <w:rFonts w:eastAsia="Times New Roman" w:cs="Times New Roman"/>
          <w:lang w:eastAsia="de-DE"/>
        </w:rPr>
        <w:t xml:space="preserve">(„stützen, legen, auflegen"), </w:t>
      </w:r>
      <w:r w:rsidRPr="00932AD3">
        <w:rPr>
          <w:rFonts w:eastAsia="Times New Roman" w:cs="Times New Roman"/>
          <w:b/>
          <w:bCs/>
          <w:rtl/>
          <w:lang w:eastAsia="de-DE"/>
        </w:rPr>
        <w:t>אֶת־יָדְךָ</w:t>
      </w:r>
      <w:r w:rsidRPr="00932AD3">
        <w:rPr>
          <w:rFonts w:eastAsia="Times New Roman" w:cs="Times New Roman"/>
          <w:rtl/>
          <w:lang w:eastAsia="de-DE"/>
        </w:rPr>
        <w:t xml:space="preserve"> </w:t>
      </w:r>
      <w:r w:rsidRPr="00932AD3">
        <w:rPr>
          <w:rFonts w:eastAsia="Times New Roman" w:cs="Times New Roman"/>
          <w:lang w:eastAsia="de-DE"/>
        </w:rPr>
        <w:t xml:space="preserve">(„deine Hand") ist das Akkusativobjekt, </w:t>
      </w:r>
      <w:r w:rsidRPr="00932AD3">
        <w:rPr>
          <w:rFonts w:eastAsia="Times New Roman" w:cs="Times New Roman"/>
          <w:b/>
          <w:bCs/>
          <w:rtl/>
          <w:lang w:eastAsia="de-DE"/>
        </w:rPr>
        <w:t>עָלָיו</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עַל</w:t>
      </w:r>
      <w:r w:rsidRPr="00932AD3">
        <w:rPr>
          <w:rFonts w:eastAsia="Times New Roman" w:cs="Times New Roman"/>
          <w:rtl/>
          <w:lang w:eastAsia="de-DE"/>
        </w:rPr>
        <w:t xml:space="preserve"> </w:t>
      </w:r>
      <w:r w:rsidRPr="00932AD3">
        <w:rPr>
          <w:rFonts w:eastAsia="Times New Roman" w:cs="Times New Roman"/>
          <w:lang w:eastAsia="de-DE"/>
        </w:rPr>
        <w:t>„auf" mit Suffix 3. Person maskulin Singular „auf ihn"). Die Handauflegung ist ein symbolischer Akt der Amtsübertragung und Autoritätsweitergabe.</w:t>
      </w:r>
    </w:p>
    <w:p w14:paraId="6A92C222" w14:textId="771655FF"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Die LXX</w:t>
      </w:r>
      <w:r w:rsidRPr="00932AD3">
        <w:rPr>
          <w:rFonts w:eastAsia="Times New Roman" w:cs="Times New Roman"/>
          <w:lang w:eastAsia="de-DE"/>
        </w:rPr>
        <w:t xml:space="preserve"> </w:t>
      </w:r>
      <w:r w:rsidR="002900A1">
        <w:t>übersetzt „</w:t>
      </w:r>
      <w:r w:rsidR="002900A1" w:rsidRPr="002900A1">
        <w:rPr>
          <w:b/>
          <w:bCs/>
          <w:rtl/>
        </w:rPr>
        <w:t>אִישׁ אֲשֶׁר־רוּחַ בּו</w:t>
      </w:r>
      <w:r w:rsidR="002900A1">
        <w:rPr>
          <w:rtl/>
        </w:rPr>
        <w:t>ֹ</w:t>
      </w:r>
      <w:r w:rsidR="002900A1">
        <w:t>" (ein Mann, in dem Geist ist) mit „ἄνθρωπον, ὃς ἔχει πνεῦμα ἐν ἑαυτῷ" (einen Menschen, der Geist in sich hat).</w:t>
      </w:r>
    </w:p>
    <w:p w14:paraId="1B2E91A8"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Die Satzstruktur zeigt eine Redeeinleitung, gefolgt von einem Imperativ mit ethischem Dativ und Akkusativobjekt, einer appositiven Qualifikation (Relativsatz) und einem zweiten Imperativ (Perfekt mit Waw consecutivum).</w:t>
      </w:r>
    </w:p>
    <w:p w14:paraId="6496A4CF"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Der Vers zeigt Gottes souveräne Wahl: Josua wird nicht aufgrund menschlicher Überlegungen, sondern aufgrund göttlicher Erkenntnis seines Geistes ausgewählt. Die Handauflegung markiert den offiziellen Beginn der Amtsübergabe und verbindet Josuas Autorität mit Moses Amt.</w:t>
      </w:r>
    </w:p>
    <w:p w14:paraId="023D7DAF" w14:textId="77777777" w:rsidR="00932AD3" w:rsidRPr="00932AD3" w:rsidRDefault="00932AD3" w:rsidP="00932AD3">
      <w:pPr>
        <w:spacing w:before="100" w:beforeAutospacing="1" w:after="100" w:afterAutospacing="1" w:line="240" w:lineRule="auto"/>
        <w:outlineLvl w:val="0"/>
        <w:rPr>
          <w:rFonts w:eastAsia="Times New Roman" w:cs="Times New Roman"/>
          <w:b/>
          <w:bCs/>
          <w:kern w:val="36"/>
          <w:sz w:val="48"/>
          <w:szCs w:val="48"/>
          <w:lang w:eastAsia="de-DE"/>
        </w:rPr>
      </w:pPr>
      <w:r w:rsidRPr="00932AD3">
        <w:rPr>
          <w:rFonts w:eastAsia="Times New Roman" w:cs="Times New Roman"/>
          <w:b/>
          <w:bCs/>
          <w:kern w:val="36"/>
          <w:sz w:val="48"/>
          <w:szCs w:val="48"/>
          <w:lang w:eastAsia="de-DE"/>
        </w:rPr>
        <w:t>Numeri 27,19</w:t>
      </w:r>
    </w:p>
    <w:p w14:paraId="0C0B45F2"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Hebräisch:</w:t>
      </w:r>
      <w:r w:rsidRPr="00932AD3">
        <w:rPr>
          <w:rFonts w:eastAsia="Times New Roman" w:cs="Times New Roman"/>
          <w:lang w:eastAsia="de-DE"/>
        </w:rPr>
        <w:t xml:space="preserve"> </w:t>
      </w:r>
      <w:r w:rsidRPr="00932AD3">
        <w:rPr>
          <w:rFonts w:eastAsia="Times New Roman" w:cs="Times New Roman"/>
          <w:rtl/>
          <w:lang w:eastAsia="de-DE"/>
        </w:rPr>
        <w:t>וְהַֽעֲמַדְתָּ֣ אֹתוֹ֗ לִפְנֵי֙ אֶלְעָזָ֣ר הַכֹּהֵ֔ן וְלִפְנֵ֖י כָּל־הָעֵדָ֑ה וְצִוִּיתָ֥ה אֹתוֹ֖ לְעֵינֵיהֶֽם׃</w:t>
      </w:r>
    </w:p>
    <w:p w14:paraId="2786FE34"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Deutsch:</w:t>
      </w:r>
      <w:r w:rsidRPr="00932AD3">
        <w:rPr>
          <w:rFonts w:eastAsia="Times New Roman" w:cs="Times New Roman"/>
          <w:lang w:eastAsia="de-DE"/>
        </w:rPr>
        <w:t xml:space="preserve"> und stelle ihn vor El'asar, den Priester, und vor die ganze Gemeinde, und gib ihm Weisung vor ihren Augen,</w:t>
      </w:r>
    </w:p>
    <w:p w14:paraId="00D2DE96" w14:textId="77777777" w:rsidR="00932AD3" w:rsidRPr="00932AD3" w:rsidRDefault="00F329DD" w:rsidP="00932AD3">
      <w:pPr>
        <w:spacing w:after="0" w:line="240" w:lineRule="auto"/>
        <w:rPr>
          <w:rFonts w:eastAsia="Times New Roman" w:cs="Times New Roman"/>
          <w:lang w:eastAsia="de-DE"/>
        </w:rPr>
      </w:pPr>
      <w:r>
        <w:rPr>
          <w:rFonts w:eastAsia="Times New Roman" w:cs="Times New Roman"/>
          <w:noProof/>
          <w:lang w:eastAsia="de-DE"/>
        </w:rPr>
        <w:pict w14:anchorId="145016AC">
          <v:rect id="_x0000_i1900" style="width:0;height:1.5pt" o:hralign="center" o:hrstd="t" o:hr="t" fillcolor="#a0a0a0" stroked="f"/>
        </w:pict>
      </w:r>
    </w:p>
    <w:p w14:paraId="34B1D295" w14:textId="64A44881"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Kommentar:</w:t>
      </w:r>
      <w:r w:rsidRPr="00932AD3">
        <w:rPr>
          <w:rFonts w:eastAsia="Times New Roman" w:cs="Times New Roman"/>
          <w:lang w:eastAsia="de-DE"/>
        </w:rPr>
        <w:t xml:space="preserve"> Der Vers beschreibt die öffentliche Amtseinsetzung. </w:t>
      </w:r>
      <w:r w:rsidRPr="00932AD3">
        <w:rPr>
          <w:rFonts w:eastAsia="Times New Roman" w:cs="Times New Roman"/>
          <w:b/>
          <w:bCs/>
          <w:rtl/>
          <w:lang w:eastAsia="de-DE"/>
        </w:rPr>
        <w:t>וְהַעֲמַדְתָּ אֹתוֹ לִפְנֵי אֶלְעָזָר הַכֹּהֵן וְלִפְנֵי כָל־הָעֵדָה</w:t>
      </w:r>
      <w:r w:rsidRPr="00932AD3">
        <w:rPr>
          <w:rFonts w:eastAsia="Times New Roman" w:cs="Times New Roman"/>
          <w:rtl/>
          <w:lang w:eastAsia="de-DE"/>
        </w:rPr>
        <w:t xml:space="preserve"> </w:t>
      </w:r>
      <w:r w:rsidRPr="00932AD3">
        <w:rPr>
          <w:rFonts w:eastAsia="Times New Roman" w:cs="Times New Roman"/>
          <w:lang w:eastAsia="de-DE"/>
        </w:rPr>
        <w:t xml:space="preserve">ist der erste Teil. </w:t>
      </w:r>
      <w:r w:rsidRPr="00932AD3">
        <w:rPr>
          <w:rFonts w:eastAsia="Times New Roman" w:cs="Times New Roman"/>
          <w:b/>
          <w:bCs/>
          <w:rtl/>
          <w:lang w:eastAsia="de-DE"/>
        </w:rPr>
        <w:t>וְהַעֲמַדְתָּ</w:t>
      </w:r>
      <w:r w:rsidRPr="00932AD3">
        <w:rPr>
          <w:rFonts w:eastAsia="Times New Roman" w:cs="Times New Roman"/>
          <w:rtl/>
          <w:lang w:eastAsia="de-DE"/>
        </w:rPr>
        <w:t xml:space="preserve"> </w:t>
      </w:r>
      <w:r w:rsidRPr="00932AD3">
        <w:rPr>
          <w:rFonts w:eastAsia="Times New Roman" w:cs="Times New Roman"/>
          <w:lang w:eastAsia="de-DE"/>
        </w:rPr>
        <w:t xml:space="preserve">ist Hiphil Perfekt (mit Waw consecutivum) 2. </w:t>
      </w:r>
      <w:r w:rsidRPr="00932AD3">
        <w:rPr>
          <w:rFonts w:eastAsia="Times New Roman" w:cs="Times New Roman"/>
          <w:lang w:eastAsia="de-DE"/>
        </w:rPr>
        <w:lastRenderedPageBreak/>
        <w:t xml:space="preserve">Person maskulin Singular von </w:t>
      </w:r>
      <w:r w:rsidRPr="00932AD3">
        <w:rPr>
          <w:rFonts w:eastAsia="Times New Roman" w:cs="Times New Roman"/>
          <w:b/>
          <w:bCs/>
          <w:rtl/>
          <w:lang w:eastAsia="de-DE"/>
        </w:rPr>
        <w:t>עמד</w:t>
      </w:r>
      <w:r w:rsidRPr="00932AD3">
        <w:rPr>
          <w:rFonts w:eastAsia="Times New Roman" w:cs="Times New Roman"/>
          <w:rtl/>
          <w:lang w:eastAsia="de-DE"/>
        </w:rPr>
        <w:t xml:space="preserve"> </w:t>
      </w:r>
      <w:r w:rsidRPr="00932AD3">
        <w:rPr>
          <w:rFonts w:eastAsia="Times New Roman" w:cs="Times New Roman"/>
          <w:lang w:eastAsia="de-DE"/>
        </w:rPr>
        <w:t xml:space="preserve">(„stehen"), im Hiphil „stellen, hinstellen, aufstellen". </w:t>
      </w:r>
      <w:r w:rsidRPr="00932AD3">
        <w:rPr>
          <w:rFonts w:eastAsia="Times New Roman" w:cs="Times New Roman"/>
          <w:b/>
          <w:bCs/>
          <w:rtl/>
          <w:lang w:eastAsia="de-DE"/>
        </w:rPr>
        <w:t>אֹתוֹ</w:t>
      </w:r>
      <w:r w:rsidRPr="00932AD3">
        <w:rPr>
          <w:rFonts w:eastAsia="Times New Roman" w:cs="Times New Roman"/>
          <w:rtl/>
          <w:lang w:eastAsia="de-DE"/>
        </w:rPr>
        <w:t xml:space="preserve"> </w:t>
      </w:r>
      <w:r w:rsidRPr="00932AD3">
        <w:rPr>
          <w:rFonts w:eastAsia="Times New Roman" w:cs="Times New Roman"/>
          <w:lang w:eastAsia="de-DE"/>
        </w:rPr>
        <w:t xml:space="preserve">(Akkusativpartikel mit Suffix 3. Person maskulin Singular „ihn") ist das Objekt. </w:t>
      </w:r>
      <w:r w:rsidRPr="00932AD3">
        <w:rPr>
          <w:rFonts w:eastAsia="Times New Roman" w:cs="Times New Roman"/>
          <w:b/>
          <w:bCs/>
          <w:rtl/>
          <w:lang w:eastAsia="de-DE"/>
        </w:rPr>
        <w:t>לִפְנֵי אֶלְעָזָר הַכֹּהֵן</w:t>
      </w:r>
      <w:r w:rsidRPr="00932AD3">
        <w:rPr>
          <w:rFonts w:eastAsia="Times New Roman" w:cs="Times New Roman"/>
          <w:rtl/>
          <w:lang w:eastAsia="de-DE"/>
        </w:rPr>
        <w:t xml:space="preserve"> </w:t>
      </w:r>
      <w:r w:rsidRPr="00932AD3">
        <w:rPr>
          <w:rFonts w:eastAsia="Times New Roman" w:cs="Times New Roman"/>
          <w:lang w:eastAsia="de-DE"/>
        </w:rPr>
        <w:t xml:space="preserve">(Präposition mit Plural </w:t>
      </w:r>
      <w:r w:rsidR="00E031B3">
        <w:rPr>
          <w:rFonts w:eastAsia="Times New Roman" w:cs="Times New Roman"/>
          <w:lang w:eastAsia="de-DE"/>
        </w:rPr>
        <w:t>Constructus von</w:t>
      </w:r>
      <w:r w:rsidRPr="00932AD3">
        <w:rPr>
          <w:rFonts w:eastAsia="Times New Roman" w:cs="Times New Roman"/>
          <w:lang w:eastAsia="de-DE"/>
        </w:rPr>
        <w:t xml:space="preserve"> </w:t>
      </w:r>
      <w:r w:rsidRPr="00932AD3">
        <w:rPr>
          <w:rFonts w:eastAsia="Times New Roman" w:cs="Times New Roman"/>
          <w:b/>
          <w:bCs/>
          <w:rtl/>
          <w:lang w:eastAsia="de-DE"/>
        </w:rPr>
        <w:t>פָּנִים</w:t>
      </w:r>
      <w:r w:rsidRPr="00932AD3">
        <w:rPr>
          <w:rFonts w:eastAsia="Times New Roman" w:cs="Times New Roman"/>
          <w:rtl/>
          <w:lang w:eastAsia="de-DE"/>
        </w:rPr>
        <w:t xml:space="preserve"> </w:t>
      </w:r>
      <w:r w:rsidRPr="00932AD3">
        <w:rPr>
          <w:rFonts w:eastAsia="Times New Roman" w:cs="Times New Roman"/>
          <w:lang w:eastAsia="de-DE"/>
        </w:rPr>
        <w:t xml:space="preserve">und </w:t>
      </w:r>
      <w:r w:rsidRPr="00932AD3">
        <w:rPr>
          <w:rFonts w:eastAsia="Times New Roman" w:cs="Times New Roman"/>
          <w:b/>
          <w:bCs/>
          <w:rtl/>
          <w:lang w:eastAsia="de-DE"/>
        </w:rPr>
        <w:t>אֶלְעָזָר הַכֹּהֵן</w:t>
      </w:r>
      <w:r w:rsidRPr="00932AD3">
        <w:rPr>
          <w:rFonts w:eastAsia="Times New Roman" w:cs="Times New Roman"/>
          <w:rtl/>
          <w:lang w:eastAsia="de-DE"/>
        </w:rPr>
        <w:t xml:space="preserve"> </w:t>
      </w:r>
      <w:r w:rsidRPr="00932AD3">
        <w:rPr>
          <w:rFonts w:eastAsia="Times New Roman" w:cs="Times New Roman"/>
          <w:lang w:eastAsia="de-DE"/>
        </w:rPr>
        <w:t xml:space="preserve">„Eleasar der Priester") gibt die erste Instanz an, </w:t>
      </w:r>
      <w:r w:rsidRPr="00932AD3">
        <w:rPr>
          <w:rFonts w:eastAsia="Times New Roman" w:cs="Times New Roman"/>
          <w:b/>
          <w:bCs/>
          <w:rtl/>
          <w:lang w:eastAsia="de-DE"/>
        </w:rPr>
        <w:t>וְלִפְנֵי כָל־הָעֵדָה</w:t>
      </w:r>
      <w:r w:rsidRPr="00932AD3">
        <w:rPr>
          <w:rFonts w:eastAsia="Times New Roman" w:cs="Times New Roman"/>
          <w:rtl/>
          <w:lang w:eastAsia="de-DE"/>
        </w:rPr>
        <w:t xml:space="preserve"> </w:t>
      </w:r>
      <w:r w:rsidRPr="00932AD3">
        <w:rPr>
          <w:rFonts w:eastAsia="Times New Roman" w:cs="Times New Roman"/>
          <w:lang w:eastAsia="de-DE"/>
        </w:rPr>
        <w:t xml:space="preserve">(Konjunktion mit gleicher Präpositionalphrase und </w:t>
      </w:r>
      <w:r w:rsidRPr="00932AD3">
        <w:rPr>
          <w:rFonts w:eastAsia="Times New Roman" w:cs="Times New Roman"/>
          <w:b/>
          <w:bCs/>
          <w:rtl/>
          <w:lang w:eastAsia="de-DE"/>
        </w:rPr>
        <w:t>כָּל־הָעֵדָה</w:t>
      </w:r>
      <w:r w:rsidRPr="00932AD3">
        <w:rPr>
          <w:rFonts w:eastAsia="Times New Roman" w:cs="Times New Roman"/>
          <w:rtl/>
          <w:lang w:eastAsia="de-DE"/>
        </w:rPr>
        <w:t xml:space="preserve"> </w:t>
      </w:r>
      <w:r w:rsidRPr="00932AD3">
        <w:rPr>
          <w:rFonts w:eastAsia="Times New Roman" w:cs="Times New Roman"/>
          <w:lang w:eastAsia="de-DE"/>
        </w:rPr>
        <w:t>„die ganze Gemeinde") die zweite. Die doppelte Präsentation betont die Öffentlichkeit und Legitimität der Amtsübertragung vor der religiösen und der zivilen Autorität.</w:t>
      </w:r>
    </w:p>
    <w:p w14:paraId="24E87529" w14:textId="458B89A3"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t>וְצִוִּיתָה אֹתוֹ לְעֵינֵיהֶם</w:t>
      </w:r>
      <w:r w:rsidRPr="00932AD3">
        <w:rPr>
          <w:rFonts w:eastAsia="Times New Roman" w:cs="Times New Roman"/>
          <w:rtl/>
          <w:lang w:eastAsia="de-DE"/>
        </w:rPr>
        <w:t xml:space="preserve"> </w:t>
      </w:r>
      <w:r w:rsidRPr="00932AD3">
        <w:rPr>
          <w:rFonts w:eastAsia="Times New Roman" w:cs="Times New Roman"/>
          <w:lang w:eastAsia="de-DE"/>
        </w:rPr>
        <w:t xml:space="preserve">ist der zweite Befehl. </w:t>
      </w:r>
      <w:r w:rsidRPr="00932AD3">
        <w:rPr>
          <w:rFonts w:eastAsia="Times New Roman" w:cs="Times New Roman"/>
          <w:b/>
          <w:bCs/>
          <w:rtl/>
          <w:lang w:eastAsia="de-DE"/>
        </w:rPr>
        <w:t>וְצִוִּיתָה</w:t>
      </w:r>
      <w:r w:rsidRPr="00932AD3">
        <w:rPr>
          <w:rFonts w:eastAsia="Times New Roman" w:cs="Times New Roman"/>
          <w:rtl/>
          <w:lang w:eastAsia="de-DE"/>
        </w:rPr>
        <w:t xml:space="preserve"> </w:t>
      </w:r>
      <w:r w:rsidRPr="00932AD3">
        <w:rPr>
          <w:rFonts w:eastAsia="Times New Roman" w:cs="Times New Roman"/>
          <w:lang w:eastAsia="de-DE"/>
        </w:rPr>
        <w:t xml:space="preserve">ist Piel Perfekt (mit Waw consecutivum) 2. Person maskulin Singular von </w:t>
      </w:r>
      <w:r w:rsidRPr="00932AD3">
        <w:rPr>
          <w:rFonts w:eastAsia="Times New Roman" w:cs="Times New Roman"/>
          <w:b/>
          <w:bCs/>
          <w:rtl/>
          <w:lang w:eastAsia="de-DE"/>
        </w:rPr>
        <w:t>צוה</w:t>
      </w:r>
      <w:r w:rsidRPr="00932AD3">
        <w:rPr>
          <w:rFonts w:eastAsia="Times New Roman" w:cs="Times New Roman"/>
          <w:rtl/>
          <w:lang w:eastAsia="de-DE"/>
        </w:rPr>
        <w:t xml:space="preserve"> </w:t>
      </w:r>
      <w:r w:rsidRPr="00932AD3">
        <w:rPr>
          <w:rFonts w:eastAsia="Times New Roman" w:cs="Times New Roman"/>
          <w:lang w:eastAsia="de-DE"/>
        </w:rPr>
        <w:t xml:space="preserve">(„befehlen, beauftragen, anweisen"), mit Paragogischem He. Das Piel kann „Anweisungen geben, beauftragen, einsetzen" bedeuten. </w:t>
      </w:r>
      <w:r w:rsidRPr="00932AD3">
        <w:rPr>
          <w:rFonts w:eastAsia="Times New Roman" w:cs="Times New Roman"/>
          <w:b/>
          <w:bCs/>
          <w:rtl/>
          <w:lang w:eastAsia="de-DE"/>
        </w:rPr>
        <w:t>אֹתוֹ</w:t>
      </w:r>
      <w:r w:rsidRPr="00932AD3">
        <w:rPr>
          <w:rFonts w:eastAsia="Times New Roman" w:cs="Times New Roman"/>
          <w:rtl/>
          <w:lang w:eastAsia="de-DE"/>
        </w:rPr>
        <w:t xml:space="preserve"> </w:t>
      </w:r>
      <w:r w:rsidRPr="00932AD3">
        <w:rPr>
          <w:rFonts w:eastAsia="Times New Roman" w:cs="Times New Roman"/>
          <w:lang w:eastAsia="de-DE"/>
        </w:rPr>
        <w:t xml:space="preserve">ist das direkte Objekt („ihn"). </w:t>
      </w:r>
      <w:r w:rsidRPr="00932AD3">
        <w:rPr>
          <w:rFonts w:eastAsia="Times New Roman" w:cs="Times New Roman"/>
          <w:b/>
          <w:bCs/>
          <w:rtl/>
          <w:lang w:eastAsia="de-DE"/>
        </w:rPr>
        <w:t>לְעֵינֵיהֶם</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לְ</w:t>
      </w:r>
      <w:r w:rsidRPr="00932AD3">
        <w:rPr>
          <w:rFonts w:eastAsia="Times New Roman" w:cs="Times New Roman"/>
          <w:rtl/>
          <w:lang w:eastAsia="de-DE"/>
        </w:rPr>
        <w:t xml:space="preserve"> </w:t>
      </w:r>
      <w:r w:rsidRPr="00932AD3">
        <w:rPr>
          <w:rFonts w:eastAsia="Times New Roman" w:cs="Times New Roman"/>
          <w:lang w:eastAsia="de-DE"/>
        </w:rPr>
        <w:t xml:space="preserve">mit Dual </w:t>
      </w:r>
      <w:r w:rsidR="00E031B3">
        <w:rPr>
          <w:rFonts w:eastAsia="Times New Roman" w:cs="Times New Roman"/>
          <w:lang w:eastAsia="de-DE"/>
        </w:rPr>
        <w:t>Constructus von</w:t>
      </w:r>
      <w:r w:rsidRPr="00932AD3">
        <w:rPr>
          <w:rFonts w:eastAsia="Times New Roman" w:cs="Times New Roman"/>
          <w:lang w:eastAsia="de-DE"/>
        </w:rPr>
        <w:t xml:space="preserve"> </w:t>
      </w:r>
      <w:r w:rsidRPr="00932AD3">
        <w:rPr>
          <w:rFonts w:eastAsia="Times New Roman" w:cs="Times New Roman"/>
          <w:b/>
          <w:bCs/>
          <w:rtl/>
          <w:lang w:eastAsia="de-DE"/>
        </w:rPr>
        <w:t>עַיִן</w:t>
      </w:r>
      <w:r w:rsidRPr="00932AD3">
        <w:rPr>
          <w:rFonts w:eastAsia="Times New Roman" w:cs="Times New Roman"/>
          <w:rtl/>
          <w:lang w:eastAsia="de-DE"/>
        </w:rPr>
        <w:t xml:space="preserve"> </w:t>
      </w:r>
      <w:r w:rsidRPr="00932AD3">
        <w:rPr>
          <w:rFonts w:eastAsia="Times New Roman" w:cs="Times New Roman"/>
          <w:lang w:eastAsia="de-DE"/>
        </w:rPr>
        <w:t>„Auge" und Suffix 3. Person maskulin Plural „vor ihren Augen") betont die Öffentlichkeit. Mose soll Josua öffentlich beauftragen und ihm Anweisungen geben, damit alle Zeugen der Autorität übertragung sind.</w:t>
      </w:r>
    </w:p>
    <w:p w14:paraId="04E3771F" w14:textId="79DB7C56"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Die LXX</w:t>
      </w:r>
      <w:r w:rsidRPr="00932AD3">
        <w:rPr>
          <w:rFonts w:eastAsia="Times New Roman" w:cs="Times New Roman"/>
          <w:lang w:eastAsia="de-DE"/>
        </w:rPr>
        <w:t xml:space="preserve"> </w:t>
      </w:r>
      <w:r w:rsidR="002900A1">
        <w:t>fügt hinzu „καὶ ἐντελῇ περὶ αὐτοῦ ἐναντίον αὐτῶν" (und befiehl bezüglich ihm vor ihnen), was im MT nicht explizit erscheint.</w:t>
      </w:r>
    </w:p>
    <w:p w14:paraId="255D8FD8"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Die Satzstruktur zeigt zwei koordinierte Hiphil/Piel-Perfekta mit Waw consecutivum, das erste mit doppelter präpositionaler Ergänzung (vor Eleasar und vor der Gemeinde), das zweite mit präpositionaler Modalbestimmung (vor ihren Augen).</w:t>
      </w:r>
    </w:p>
    <w:p w14:paraId="1164120F"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Der Vers betont die Öffentlichkeit und Transparenz der Nachfolgeregelung: Die Amtsübertragung geschieht vor allen Instanzen (religiöse und zivile Autorität) und vor dem ganzen Volk, um Josuas Legitimität zweifelsfrei zu etablieren.</w:t>
      </w:r>
    </w:p>
    <w:p w14:paraId="471592F4" w14:textId="77777777" w:rsidR="00932AD3" w:rsidRPr="00932AD3" w:rsidRDefault="00932AD3" w:rsidP="00932AD3">
      <w:pPr>
        <w:spacing w:before="100" w:beforeAutospacing="1" w:after="100" w:afterAutospacing="1" w:line="240" w:lineRule="auto"/>
        <w:outlineLvl w:val="0"/>
        <w:rPr>
          <w:rFonts w:eastAsia="Times New Roman" w:cs="Times New Roman"/>
          <w:b/>
          <w:bCs/>
          <w:kern w:val="36"/>
          <w:sz w:val="48"/>
          <w:szCs w:val="48"/>
          <w:lang w:eastAsia="de-DE"/>
        </w:rPr>
      </w:pPr>
      <w:r w:rsidRPr="00932AD3">
        <w:rPr>
          <w:rFonts w:eastAsia="Times New Roman" w:cs="Times New Roman"/>
          <w:b/>
          <w:bCs/>
          <w:kern w:val="36"/>
          <w:sz w:val="48"/>
          <w:szCs w:val="48"/>
          <w:lang w:eastAsia="de-DE"/>
        </w:rPr>
        <w:t>Numeri 27,20</w:t>
      </w:r>
    </w:p>
    <w:p w14:paraId="21B37BC0"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Hebräisch:</w:t>
      </w:r>
      <w:r w:rsidRPr="00932AD3">
        <w:rPr>
          <w:rFonts w:eastAsia="Times New Roman" w:cs="Times New Roman"/>
          <w:lang w:eastAsia="de-DE"/>
        </w:rPr>
        <w:t xml:space="preserve"> </w:t>
      </w:r>
      <w:r w:rsidRPr="00932AD3">
        <w:rPr>
          <w:rFonts w:eastAsia="Times New Roman" w:cs="Times New Roman"/>
          <w:rtl/>
          <w:lang w:eastAsia="de-DE"/>
        </w:rPr>
        <w:t>וְנָתַתָּ֥ה מֵהֽוֹדְךָ֖ עָלָ֑יו לְמַ֣עַן יִשְׁמְע֔וּ כָּל־עֲדַ֖ת בְּנֵ֥י יִשְׂרָאֵֽל׃</w:t>
      </w:r>
    </w:p>
    <w:p w14:paraId="7D9F37CF"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Deutsch:</w:t>
      </w:r>
      <w:r w:rsidRPr="00932AD3">
        <w:rPr>
          <w:rFonts w:eastAsia="Times New Roman" w:cs="Times New Roman"/>
          <w:lang w:eastAsia="de-DE"/>
        </w:rPr>
        <w:t xml:space="preserve"> und lege von deiner Majestät auf ihn, damit die ganze Gemeinde der Söhne Jisra'el hören.</w:t>
      </w:r>
    </w:p>
    <w:p w14:paraId="602CEFD7" w14:textId="77777777" w:rsidR="00932AD3" w:rsidRPr="00932AD3" w:rsidRDefault="00F329DD" w:rsidP="00932AD3">
      <w:pPr>
        <w:spacing w:after="0" w:line="240" w:lineRule="auto"/>
        <w:rPr>
          <w:rFonts w:eastAsia="Times New Roman" w:cs="Times New Roman"/>
          <w:lang w:eastAsia="de-DE"/>
        </w:rPr>
      </w:pPr>
      <w:r>
        <w:rPr>
          <w:rFonts w:eastAsia="Times New Roman" w:cs="Times New Roman"/>
          <w:noProof/>
          <w:lang w:eastAsia="de-DE"/>
        </w:rPr>
        <w:pict w14:anchorId="5F828FF0">
          <v:rect id="_x0000_i1901" style="width:0;height:1.5pt" o:hralign="center" o:hrstd="t" o:hr="t" fillcolor="#a0a0a0" stroked="f"/>
        </w:pict>
      </w:r>
    </w:p>
    <w:p w14:paraId="36F9FDD2"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Kommentar:</w:t>
      </w:r>
      <w:r w:rsidRPr="00932AD3">
        <w:rPr>
          <w:rFonts w:eastAsia="Times New Roman" w:cs="Times New Roman"/>
          <w:lang w:eastAsia="de-DE"/>
        </w:rPr>
        <w:t xml:space="preserve"> Der Vers beschreibt die Übertragung von Autorität. </w:t>
      </w:r>
      <w:r w:rsidRPr="00932AD3">
        <w:rPr>
          <w:rFonts w:eastAsia="Times New Roman" w:cs="Times New Roman"/>
          <w:b/>
          <w:bCs/>
          <w:rtl/>
          <w:lang w:eastAsia="de-DE"/>
        </w:rPr>
        <w:t>וְנָתַתָּה מֵהוֹדְךָ עָלָיו</w:t>
      </w:r>
      <w:r w:rsidRPr="00932AD3">
        <w:rPr>
          <w:rFonts w:eastAsia="Times New Roman" w:cs="Times New Roman"/>
          <w:rtl/>
          <w:lang w:eastAsia="de-DE"/>
        </w:rPr>
        <w:t xml:space="preserve"> </w:t>
      </w:r>
      <w:r w:rsidRPr="00932AD3">
        <w:rPr>
          <w:rFonts w:eastAsia="Times New Roman" w:cs="Times New Roman"/>
          <w:lang w:eastAsia="de-DE"/>
        </w:rPr>
        <w:t xml:space="preserve">ist der zentrale Befehl. </w:t>
      </w:r>
      <w:r w:rsidRPr="00932AD3">
        <w:rPr>
          <w:rFonts w:eastAsia="Times New Roman" w:cs="Times New Roman"/>
          <w:b/>
          <w:bCs/>
          <w:rtl/>
          <w:lang w:eastAsia="de-DE"/>
        </w:rPr>
        <w:t>וְנָתַתָּה</w:t>
      </w:r>
      <w:r w:rsidRPr="00932AD3">
        <w:rPr>
          <w:rFonts w:eastAsia="Times New Roman" w:cs="Times New Roman"/>
          <w:rtl/>
          <w:lang w:eastAsia="de-DE"/>
        </w:rPr>
        <w:t xml:space="preserve"> </w:t>
      </w:r>
      <w:r w:rsidRPr="00932AD3">
        <w:rPr>
          <w:rFonts w:eastAsia="Times New Roman" w:cs="Times New Roman"/>
          <w:lang w:eastAsia="de-DE"/>
        </w:rPr>
        <w:t xml:space="preserve">ist Qal Perfekt (mit Waw consecutivum und Paragogischem He) 2. Person maskulin Singular von </w:t>
      </w:r>
      <w:r w:rsidRPr="00932AD3">
        <w:rPr>
          <w:rFonts w:eastAsia="Times New Roman" w:cs="Times New Roman"/>
          <w:b/>
          <w:bCs/>
          <w:rtl/>
          <w:lang w:eastAsia="de-DE"/>
        </w:rPr>
        <w:t>נתן</w:t>
      </w:r>
      <w:r w:rsidRPr="00932AD3">
        <w:rPr>
          <w:rFonts w:eastAsia="Times New Roman" w:cs="Times New Roman"/>
          <w:rtl/>
          <w:lang w:eastAsia="de-DE"/>
        </w:rPr>
        <w:t xml:space="preserve"> </w:t>
      </w:r>
      <w:r w:rsidRPr="00932AD3">
        <w:rPr>
          <w:rFonts w:eastAsia="Times New Roman" w:cs="Times New Roman"/>
          <w:lang w:eastAsia="de-DE"/>
        </w:rPr>
        <w:t xml:space="preserve">(„geben, legen"), </w:t>
      </w:r>
      <w:r w:rsidRPr="00932AD3">
        <w:rPr>
          <w:rFonts w:eastAsia="Times New Roman" w:cs="Times New Roman"/>
          <w:b/>
          <w:bCs/>
          <w:rtl/>
          <w:lang w:eastAsia="de-DE"/>
        </w:rPr>
        <w:t>מֵהוֹדְךָ</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מִן</w:t>
      </w:r>
      <w:r w:rsidRPr="00932AD3">
        <w:rPr>
          <w:rFonts w:eastAsia="Times New Roman" w:cs="Times New Roman"/>
          <w:rtl/>
          <w:lang w:eastAsia="de-DE"/>
        </w:rPr>
        <w:t xml:space="preserve"> </w:t>
      </w:r>
      <w:r w:rsidRPr="00932AD3">
        <w:rPr>
          <w:rFonts w:eastAsia="Times New Roman" w:cs="Times New Roman"/>
          <w:lang w:eastAsia="de-DE"/>
        </w:rPr>
        <w:t xml:space="preserve">in partitiver Funktion „von" mit maskulinem Singular </w:t>
      </w:r>
      <w:r w:rsidRPr="00932AD3">
        <w:rPr>
          <w:rFonts w:eastAsia="Times New Roman" w:cs="Times New Roman"/>
          <w:b/>
          <w:bCs/>
          <w:rtl/>
          <w:lang w:eastAsia="de-DE"/>
        </w:rPr>
        <w:t>הוֹד</w:t>
      </w:r>
      <w:r w:rsidRPr="00932AD3">
        <w:rPr>
          <w:rFonts w:eastAsia="Times New Roman" w:cs="Times New Roman"/>
          <w:rtl/>
          <w:lang w:eastAsia="de-DE"/>
        </w:rPr>
        <w:t xml:space="preserve"> </w:t>
      </w:r>
      <w:r w:rsidRPr="00932AD3">
        <w:rPr>
          <w:rFonts w:eastAsia="Times New Roman" w:cs="Times New Roman"/>
          <w:lang w:eastAsia="de-DE"/>
        </w:rPr>
        <w:t xml:space="preserve">„Majestät, Pracht, Würde, Glanz" und Suffix 2. Person maskulin Singular „von deiner Majestät") ist das Objekt. </w:t>
      </w:r>
      <w:r w:rsidRPr="00932AD3">
        <w:rPr>
          <w:rFonts w:eastAsia="Times New Roman" w:cs="Times New Roman"/>
          <w:b/>
          <w:bCs/>
          <w:rtl/>
          <w:lang w:eastAsia="de-DE"/>
        </w:rPr>
        <w:t>עָלָיו</w:t>
      </w:r>
      <w:r w:rsidRPr="00932AD3">
        <w:rPr>
          <w:rFonts w:eastAsia="Times New Roman" w:cs="Times New Roman"/>
          <w:rtl/>
          <w:lang w:eastAsia="de-DE"/>
        </w:rPr>
        <w:t xml:space="preserve"> </w:t>
      </w:r>
      <w:r w:rsidRPr="00932AD3">
        <w:rPr>
          <w:rFonts w:eastAsia="Times New Roman" w:cs="Times New Roman"/>
          <w:lang w:eastAsia="de-DE"/>
        </w:rPr>
        <w:t xml:space="preserve">(Präposition </w:t>
      </w:r>
      <w:r w:rsidRPr="00932AD3">
        <w:rPr>
          <w:rFonts w:eastAsia="Times New Roman" w:cs="Times New Roman"/>
          <w:b/>
          <w:bCs/>
          <w:rtl/>
          <w:lang w:eastAsia="de-DE"/>
        </w:rPr>
        <w:t>עַל</w:t>
      </w:r>
      <w:r w:rsidRPr="00932AD3">
        <w:rPr>
          <w:rFonts w:eastAsia="Times New Roman" w:cs="Times New Roman"/>
          <w:rtl/>
          <w:lang w:eastAsia="de-DE"/>
        </w:rPr>
        <w:t xml:space="preserve"> </w:t>
      </w:r>
      <w:r w:rsidRPr="00932AD3">
        <w:rPr>
          <w:rFonts w:eastAsia="Times New Roman" w:cs="Times New Roman"/>
          <w:lang w:eastAsia="de-DE"/>
        </w:rPr>
        <w:t xml:space="preserve">mit Suffix 3. Person maskulin Singular „auf ihn") gibt die Richtung an. Das Wort </w:t>
      </w:r>
      <w:r w:rsidRPr="00932AD3">
        <w:rPr>
          <w:rFonts w:eastAsia="Times New Roman" w:cs="Times New Roman"/>
          <w:b/>
          <w:bCs/>
          <w:rtl/>
          <w:lang w:eastAsia="de-DE"/>
        </w:rPr>
        <w:t>הוֹד</w:t>
      </w:r>
      <w:r w:rsidRPr="00932AD3">
        <w:rPr>
          <w:rFonts w:eastAsia="Times New Roman" w:cs="Times New Roman"/>
          <w:rtl/>
          <w:lang w:eastAsia="de-DE"/>
        </w:rPr>
        <w:t xml:space="preserve"> </w:t>
      </w:r>
      <w:r w:rsidRPr="00932AD3">
        <w:rPr>
          <w:rFonts w:eastAsia="Times New Roman" w:cs="Times New Roman"/>
          <w:lang w:eastAsia="de-DE"/>
        </w:rPr>
        <w:t xml:space="preserve">bezeichnet äußere Pracht, Würde und Autorität, die Respekt einflößt. Die partitive Präposition </w:t>
      </w:r>
      <w:r w:rsidRPr="00932AD3">
        <w:rPr>
          <w:rFonts w:eastAsia="Times New Roman" w:cs="Times New Roman"/>
          <w:b/>
          <w:bCs/>
          <w:rtl/>
          <w:lang w:eastAsia="de-DE"/>
        </w:rPr>
        <w:t>מִן</w:t>
      </w:r>
      <w:r w:rsidRPr="00932AD3">
        <w:rPr>
          <w:rFonts w:eastAsia="Times New Roman" w:cs="Times New Roman"/>
          <w:rtl/>
          <w:lang w:eastAsia="de-DE"/>
        </w:rPr>
        <w:t xml:space="preserve"> </w:t>
      </w:r>
      <w:r w:rsidRPr="00932AD3">
        <w:rPr>
          <w:rFonts w:eastAsia="Times New Roman" w:cs="Times New Roman"/>
          <w:lang w:eastAsia="de-DE"/>
        </w:rPr>
        <w:t xml:space="preserve">(„von") ist bedeutsam: Mose soll </w:t>
      </w:r>
      <w:r w:rsidRPr="00932AD3">
        <w:rPr>
          <w:rFonts w:eastAsia="Times New Roman" w:cs="Times New Roman"/>
          <w:b/>
          <w:bCs/>
          <w:lang w:eastAsia="de-DE"/>
        </w:rPr>
        <w:t>von</w:t>
      </w:r>
      <w:r w:rsidRPr="00932AD3">
        <w:rPr>
          <w:rFonts w:eastAsia="Times New Roman" w:cs="Times New Roman"/>
          <w:lang w:eastAsia="de-DE"/>
        </w:rPr>
        <w:t xml:space="preserve"> seiner Majestät geben, nicht alle, d.h. einen Teil seiner Autorität übertragen. Mose bleibt bis zu seinem Tod der oberste Führer, aber Josua erhält bereits einen Teil der Autorität zur Vorbereitung.</w:t>
      </w:r>
    </w:p>
    <w:p w14:paraId="2F8B3EA7"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rtl/>
          <w:lang w:eastAsia="de-DE"/>
        </w:rPr>
        <w:t>לְמַעַן יִשְׁמְעוּ כָּל־עֲדַת בְּנֵי יִשְׂרָאֵל</w:t>
      </w:r>
      <w:r w:rsidRPr="00932AD3">
        <w:rPr>
          <w:rFonts w:eastAsia="Times New Roman" w:cs="Times New Roman"/>
          <w:rtl/>
          <w:lang w:eastAsia="de-DE"/>
        </w:rPr>
        <w:t xml:space="preserve"> </w:t>
      </w:r>
      <w:r w:rsidRPr="00932AD3">
        <w:rPr>
          <w:rFonts w:eastAsia="Times New Roman" w:cs="Times New Roman"/>
          <w:lang w:eastAsia="de-DE"/>
        </w:rPr>
        <w:t xml:space="preserve">gibt den Zweck an. </w:t>
      </w:r>
      <w:r w:rsidRPr="00932AD3">
        <w:rPr>
          <w:rFonts w:eastAsia="Times New Roman" w:cs="Times New Roman"/>
          <w:b/>
          <w:bCs/>
          <w:rtl/>
          <w:lang w:eastAsia="de-DE"/>
        </w:rPr>
        <w:t>לְמַעַן</w:t>
      </w:r>
      <w:r w:rsidRPr="00932AD3">
        <w:rPr>
          <w:rFonts w:eastAsia="Times New Roman" w:cs="Times New Roman"/>
          <w:rtl/>
          <w:lang w:eastAsia="de-DE"/>
        </w:rPr>
        <w:t xml:space="preserve"> </w:t>
      </w:r>
      <w:r w:rsidRPr="00932AD3">
        <w:rPr>
          <w:rFonts w:eastAsia="Times New Roman" w:cs="Times New Roman"/>
          <w:lang w:eastAsia="de-DE"/>
        </w:rPr>
        <w:t xml:space="preserve">ist die finale Konjunktion („damit, auf dass"), </w:t>
      </w:r>
      <w:r w:rsidRPr="00932AD3">
        <w:rPr>
          <w:rFonts w:eastAsia="Times New Roman" w:cs="Times New Roman"/>
          <w:b/>
          <w:bCs/>
          <w:rtl/>
          <w:lang w:eastAsia="de-DE"/>
        </w:rPr>
        <w:t>יִשְׁמְעוּ</w:t>
      </w:r>
      <w:r w:rsidRPr="00932AD3">
        <w:rPr>
          <w:rFonts w:eastAsia="Times New Roman" w:cs="Times New Roman"/>
          <w:rtl/>
          <w:lang w:eastAsia="de-DE"/>
        </w:rPr>
        <w:t xml:space="preserve"> </w:t>
      </w:r>
      <w:r w:rsidRPr="00932AD3">
        <w:rPr>
          <w:rFonts w:eastAsia="Times New Roman" w:cs="Times New Roman"/>
          <w:lang w:eastAsia="de-DE"/>
        </w:rPr>
        <w:t xml:space="preserve">ist Qal Imperfekt 3. Person maskulin Plural von </w:t>
      </w:r>
      <w:r w:rsidRPr="00932AD3">
        <w:rPr>
          <w:rFonts w:eastAsia="Times New Roman" w:cs="Times New Roman"/>
          <w:b/>
          <w:bCs/>
          <w:rtl/>
          <w:lang w:eastAsia="de-DE"/>
        </w:rPr>
        <w:t>שׁמע</w:t>
      </w:r>
      <w:r w:rsidRPr="00932AD3">
        <w:rPr>
          <w:rFonts w:eastAsia="Times New Roman" w:cs="Times New Roman"/>
          <w:rtl/>
          <w:lang w:eastAsia="de-DE"/>
        </w:rPr>
        <w:t xml:space="preserve"> </w:t>
      </w:r>
      <w:r w:rsidRPr="00932AD3">
        <w:rPr>
          <w:rFonts w:eastAsia="Times New Roman" w:cs="Times New Roman"/>
          <w:lang w:eastAsia="de-DE"/>
        </w:rPr>
        <w:t xml:space="preserve">(„hören, gehorchen"). Das Verb </w:t>
      </w:r>
      <w:r w:rsidRPr="00932AD3">
        <w:rPr>
          <w:rFonts w:eastAsia="Times New Roman" w:cs="Times New Roman"/>
          <w:b/>
          <w:bCs/>
          <w:rtl/>
          <w:lang w:eastAsia="de-DE"/>
        </w:rPr>
        <w:t>שׁמע</w:t>
      </w:r>
      <w:r w:rsidRPr="00932AD3">
        <w:rPr>
          <w:rFonts w:eastAsia="Times New Roman" w:cs="Times New Roman"/>
          <w:rtl/>
          <w:lang w:eastAsia="de-DE"/>
        </w:rPr>
        <w:t xml:space="preserve"> </w:t>
      </w:r>
      <w:r w:rsidRPr="00932AD3">
        <w:rPr>
          <w:rFonts w:eastAsia="Times New Roman" w:cs="Times New Roman"/>
          <w:lang w:eastAsia="de-DE"/>
        </w:rPr>
        <w:t xml:space="preserve">bedeutet im Hebräischen oft mehr als nur akustisches Hören, sondern impliziert </w:t>
      </w:r>
      <w:r w:rsidRPr="00932AD3">
        <w:rPr>
          <w:rFonts w:eastAsia="Times New Roman" w:cs="Times New Roman"/>
          <w:lang w:eastAsia="de-DE"/>
        </w:rPr>
        <w:lastRenderedPageBreak/>
        <w:t xml:space="preserve">Gehorsam und Befolgung. </w:t>
      </w:r>
      <w:r w:rsidRPr="00932AD3">
        <w:rPr>
          <w:rFonts w:eastAsia="Times New Roman" w:cs="Times New Roman"/>
          <w:b/>
          <w:bCs/>
          <w:rtl/>
          <w:lang w:eastAsia="de-DE"/>
        </w:rPr>
        <w:t>כָּל־עֲדַת בְּנֵי יִשְׂרָאֵל</w:t>
      </w:r>
      <w:r w:rsidRPr="00932AD3">
        <w:rPr>
          <w:rFonts w:eastAsia="Times New Roman" w:cs="Times New Roman"/>
          <w:rtl/>
          <w:lang w:eastAsia="de-DE"/>
        </w:rPr>
        <w:t xml:space="preserve"> </w:t>
      </w:r>
      <w:r w:rsidRPr="00932AD3">
        <w:rPr>
          <w:rFonts w:eastAsia="Times New Roman" w:cs="Times New Roman"/>
          <w:lang w:eastAsia="de-DE"/>
        </w:rPr>
        <w:t>(„die ganze Gemeinde der Söhne Israels") ist das Subjekt. Der Zweck der Autoritätsübertragung ist, dass das ganze Volk Josua gehorchen wird.</w:t>
      </w:r>
    </w:p>
    <w:p w14:paraId="0BEF4C96" w14:textId="2A43340D"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b/>
          <w:bCs/>
          <w:lang w:eastAsia="de-DE"/>
        </w:rPr>
        <w:t>Die LXX</w:t>
      </w:r>
      <w:r w:rsidRPr="00932AD3">
        <w:rPr>
          <w:rFonts w:eastAsia="Times New Roman" w:cs="Times New Roman"/>
          <w:lang w:eastAsia="de-DE"/>
        </w:rPr>
        <w:t xml:space="preserve"> </w:t>
      </w:r>
      <w:r w:rsidR="002900A1">
        <w:t>übersetzt „</w:t>
      </w:r>
      <w:r w:rsidR="002900A1" w:rsidRPr="002900A1">
        <w:rPr>
          <w:b/>
          <w:bCs/>
          <w:rtl/>
        </w:rPr>
        <w:t>מֵהוֹדְךָ</w:t>
      </w:r>
      <w:r w:rsidR="002900A1">
        <w:t>" (von deiner Hoheit/Würde) mit „τῆς δόξης σου" (von deiner Herrlichkeit).</w:t>
      </w:r>
    </w:p>
    <w:p w14:paraId="7659C7A4"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Die Satzstruktur zeigt einen Hauptsatz (Imperativ mit partitivem Objekt und Richtungsangabe), gefolgt von einer finalen Nebensatzkonjunktion mit Imperfekt.</w:t>
      </w:r>
    </w:p>
    <w:p w14:paraId="6D4CE4C6" w14:textId="77777777" w:rsidR="00932AD3" w:rsidRPr="00932AD3" w:rsidRDefault="00932AD3" w:rsidP="00932AD3">
      <w:pPr>
        <w:spacing w:before="100" w:beforeAutospacing="1" w:after="100" w:afterAutospacing="1" w:line="240" w:lineRule="auto"/>
        <w:rPr>
          <w:rFonts w:eastAsia="Times New Roman" w:cs="Times New Roman"/>
          <w:lang w:eastAsia="de-DE"/>
        </w:rPr>
      </w:pPr>
      <w:r w:rsidRPr="00932AD3">
        <w:rPr>
          <w:rFonts w:eastAsia="Times New Roman" w:cs="Times New Roman"/>
          <w:lang w:eastAsia="de-DE"/>
        </w:rPr>
        <w:t>Der Vers regelt die Autoritätsübertragung: Josua erhält einen Teil von Moses Würde, was seine Legitimität in den Augen des Volkes etabliert und Gehorsam sichert, aber Moses einzigartige Position bleibt bis zu seinem Tod unangetastet.</w:t>
      </w:r>
    </w:p>
    <w:p w14:paraId="782648C3" w14:textId="77777777" w:rsidR="003D269D" w:rsidRPr="003D269D" w:rsidRDefault="003D269D" w:rsidP="003D269D">
      <w:pPr>
        <w:spacing w:before="100" w:beforeAutospacing="1" w:after="100" w:afterAutospacing="1" w:line="240" w:lineRule="auto"/>
        <w:outlineLvl w:val="0"/>
        <w:rPr>
          <w:rFonts w:eastAsia="Times New Roman" w:cs="Times New Roman"/>
          <w:b/>
          <w:bCs/>
          <w:kern w:val="36"/>
          <w:sz w:val="48"/>
          <w:szCs w:val="48"/>
          <w:lang w:eastAsia="de-DE"/>
        </w:rPr>
      </w:pPr>
      <w:r w:rsidRPr="003D269D">
        <w:rPr>
          <w:rFonts w:eastAsia="Times New Roman" w:cs="Times New Roman"/>
          <w:b/>
          <w:bCs/>
          <w:kern w:val="36"/>
          <w:sz w:val="48"/>
          <w:szCs w:val="48"/>
          <w:lang w:eastAsia="de-DE"/>
        </w:rPr>
        <w:t>Numeri 27,21</w:t>
      </w:r>
    </w:p>
    <w:p w14:paraId="6FC254AD"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Hebräisch:</w:t>
      </w:r>
      <w:r w:rsidRPr="003D269D">
        <w:rPr>
          <w:rFonts w:eastAsia="Times New Roman" w:cs="Times New Roman"/>
          <w:lang w:eastAsia="de-DE"/>
        </w:rPr>
        <w:t xml:space="preserve"> </w:t>
      </w:r>
      <w:r w:rsidRPr="003D269D">
        <w:rPr>
          <w:rFonts w:eastAsia="Times New Roman" w:cs="Times New Roman"/>
          <w:rtl/>
          <w:lang w:eastAsia="de-DE"/>
        </w:rPr>
        <w:t>וְלִפְנֵ֨י אֶלְעָזָ֤ר הַכֹּהֵן֙ יַעֲמֹ֔ד וְשָׁ֥אַל לוֹ֛ בְּמִשְׁפַּ֥ט הָאוּרִ֖ים לִפְנֵ֣י יְהוָ֑ה עַל־פִּ֨יו יֵצְא֜וּ וְעַל־פִּ֣יו יָבֹ֗אוּ ה֛וּא וְכָל־בְּנֵי־יִשְׂרָאֵ֥ל אִתּוֹ֖ וְכָל־הָעֵדָֽה׃</w:t>
      </w:r>
    </w:p>
    <w:p w14:paraId="0D376A29"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Deutsch:</w:t>
      </w:r>
      <w:r w:rsidRPr="003D269D">
        <w:rPr>
          <w:rFonts w:eastAsia="Times New Roman" w:cs="Times New Roman"/>
          <w:lang w:eastAsia="de-DE"/>
        </w:rPr>
        <w:t xml:space="preserve"> Und er soll vor El'asar, den Priester, treten, und der soll für ihn das Urteil der Urim vor dem Ewigen erfragen. Nach seinem Wort sollen sie ausziehen, und nach seinem Wort sollen sie einziehen, er und alle Söhne Jisra'el mit ihm, und die ganze Gemeinde.</w:t>
      </w:r>
    </w:p>
    <w:p w14:paraId="21F05D5F" w14:textId="77777777" w:rsidR="003D269D" w:rsidRPr="003D269D" w:rsidRDefault="00F329DD" w:rsidP="003D269D">
      <w:pPr>
        <w:spacing w:after="0" w:line="240" w:lineRule="auto"/>
        <w:rPr>
          <w:rFonts w:eastAsia="Times New Roman" w:cs="Times New Roman"/>
          <w:lang w:eastAsia="de-DE"/>
        </w:rPr>
      </w:pPr>
      <w:r>
        <w:rPr>
          <w:rFonts w:eastAsia="Times New Roman" w:cs="Times New Roman"/>
          <w:noProof/>
          <w:lang w:eastAsia="de-DE"/>
        </w:rPr>
        <w:pict w14:anchorId="2292A6FA">
          <v:rect id="_x0000_i1902" style="width:0;height:1.5pt" o:hralign="center" o:hrstd="t" o:hr="t" fillcolor="#a0a0a0" stroked="f"/>
        </w:pict>
      </w:r>
    </w:p>
    <w:p w14:paraId="1D3ABB03"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Kommentar:</w:t>
      </w:r>
      <w:r w:rsidRPr="003D269D">
        <w:rPr>
          <w:rFonts w:eastAsia="Times New Roman" w:cs="Times New Roman"/>
          <w:lang w:eastAsia="de-DE"/>
        </w:rPr>
        <w:t xml:space="preserve"> Der Vers definiert Josuas Abhängigkeit vom Priester für göttliche Führung. </w:t>
      </w:r>
      <w:r w:rsidRPr="003D269D">
        <w:rPr>
          <w:rFonts w:eastAsia="Times New Roman" w:cs="Times New Roman"/>
          <w:b/>
          <w:bCs/>
          <w:rtl/>
          <w:lang w:eastAsia="de-DE"/>
        </w:rPr>
        <w:t>וְלִפְנֵי אֶלְעָזָר הַכֹּהֵן יַעֲמֹד</w:t>
      </w:r>
      <w:r w:rsidRPr="003D269D">
        <w:rPr>
          <w:rFonts w:eastAsia="Times New Roman" w:cs="Times New Roman"/>
          <w:rtl/>
          <w:lang w:eastAsia="de-DE"/>
        </w:rPr>
        <w:t xml:space="preserve"> </w:t>
      </w:r>
      <w:r w:rsidRPr="003D269D">
        <w:rPr>
          <w:rFonts w:eastAsia="Times New Roman" w:cs="Times New Roman"/>
          <w:lang w:eastAsia="de-DE"/>
        </w:rPr>
        <w:t xml:space="preserve">beschreibt Josuas Position. </w:t>
      </w:r>
      <w:r w:rsidRPr="003D269D">
        <w:rPr>
          <w:rFonts w:eastAsia="Times New Roman" w:cs="Times New Roman"/>
          <w:b/>
          <w:bCs/>
          <w:rtl/>
          <w:lang w:eastAsia="de-DE"/>
        </w:rPr>
        <w:t>וְלִפְנֵי אֶלְעָזָר הַכֹּהֵן</w:t>
      </w:r>
      <w:r w:rsidRPr="003D269D">
        <w:rPr>
          <w:rFonts w:eastAsia="Times New Roman" w:cs="Times New Roman"/>
          <w:rtl/>
          <w:lang w:eastAsia="de-DE"/>
        </w:rPr>
        <w:t xml:space="preserve"> </w:t>
      </w:r>
      <w:r w:rsidRPr="003D269D">
        <w:rPr>
          <w:rFonts w:eastAsia="Times New Roman" w:cs="Times New Roman"/>
          <w:lang w:eastAsia="de-DE"/>
        </w:rPr>
        <w:t xml:space="preserve">(Konjunktion </w:t>
      </w:r>
      <w:r w:rsidRPr="003D269D">
        <w:rPr>
          <w:rFonts w:eastAsia="Times New Roman" w:cs="Times New Roman"/>
          <w:b/>
          <w:bCs/>
          <w:rtl/>
          <w:lang w:eastAsia="de-DE"/>
        </w:rPr>
        <w:t>וְ</w:t>
      </w:r>
      <w:r w:rsidRPr="003D269D">
        <w:rPr>
          <w:rFonts w:eastAsia="Times New Roman" w:cs="Times New Roman"/>
          <w:rtl/>
          <w:lang w:eastAsia="de-DE"/>
        </w:rPr>
        <w:t xml:space="preserve"> </w:t>
      </w:r>
      <w:r w:rsidRPr="003D269D">
        <w:rPr>
          <w:rFonts w:eastAsia="Times New Roman" w:cs="Times New Roman"/>
          <w:lang w:eastAsia="de-DE"/>
        </w:rPr>
        <w:t xml:space="preserve">mit Präposition </w:t>
      </w:r>
      <w:r w:rsidRPr="003D269D">
        <w:rPr>
          <w:rFonts w:eastAsia="Times New Roman" w:cs="Times New Roman"/>
          <w:b/>
          <w:bCs/>
          <w:rtl/>
          <w:lang w:eastAsia="de-DE"/>
        </w:rPr>
        <w:t>לִפְנֵי</w:t>
      </w:r>
      <w:r w:rsidRPr="003D269D">
        <w:rPr>
          <w:rFonts w:eastAsia="Times New Roman" w:cs="Times New Roman"/>
          <w:rtl/>
          <w:lang w:eastAsia="de-DE"/>
        </w:rPr>
        <w:t xml:space="preserve"> </w:t>
      </w:r>
      <w:r w:rsidRPr="003D269D">
        <w:rPr>
          <w:rFonts w:eastAsia="Times New Roman" w:cs="Times New Roman"/>
          <w:lang w:eastAsia="de-DE"/>
        </w:rPr>
        <w:t xml:space="preserve">„vor" und </w:t>
      </w:r>
      <w:r w:rsidRPr="003D269D">
        <w:rPr>
          <w:rFonts w:eastAsia="Times New Roman" w:cs="Times New Roman"/>
          <w:b/>
          <w:bCs/>
          <w:rtl/>
          <w:lang w:eastAsia="de-DE"/>
        </w:rPr>
        <w:t>אֶלְעָזָר הַכֹּהֵן</w:t>
      </w:r>
      <w:r w:rsidRPr="003D269D">
        <w:rPr>
          <w:rFonts w:eastAsia="Times New Roman" w:cs="Times New Roman"/>
          <w:rtl/>
          <w:lang w:eastAsia="de-DE"/>
        </w:rPr>
        <w:t xml:space="preserve"> </w:t>
      </w:r>
      <w:r w:rsidRPr="003D269D">
        <w:rPr>
          <w:rFonts w:eastAsia="Times New Roman" w:cs="Times New Roman"/>
          <w:lang w:eastAsia="de-DE"/>
        </w:rPr>
        <w:t xml:space="preserve">„Eleasar der Priester"), </w:t>
      </w:r>
      <w:r w:rsidRPr="003D269D">
        <w:rPr>
          <w:rFonts w:eastAsia="Times New Roman" w:cs="Times New Roman"/>
          <w:b/>
          <w:bCs/>
          <w:rtl/>
          <w:lang w:eastAsia="de-DE"/>
        </w:rPr>
        <w:t>יַעֲמֹד</w:t>
      </w:r>
      <w:r w:rsidRPr="003D269D">
        <w:rPr>
          <w:rFonts w:eastAsia="Times New Roman" w:cs="Times New Roman"/>
          <w:rtl/>
          <w:lang w:eastAsia="de-DE"/>
        </w:rPr>
        <w:t xml:space="preserve"> </w:t>
      </w:r>
      <w:r w:rsidRPr="003D269D">
        <w:rPr>
          <w:rFonts w:eastAsia="Times New Roman" w:cs="Times New Roman"/>
          <w:lang w:eastAsia="de-DE"/>
        </w:rPr>
        <w:t xml:space="preserve">ist Qal Imperfekt 3. Person maskulin Singular von </w:t>
      </w:r>
      <w:r w:rsidRPr="003D269D">
        <w:rPr>
          <w:rFonts w:eastAsia="Times New Roman" w:cs="Times New Roman"/>
          <w:b/>
          <w:bCs/>
          <w:rtl/>
          <w:lang w:eastAsia="de-DE"/>
        </w:rPr>
        <w:t>עמד</w:t>
      </w:r>
      <w:r w:rsidRPr="003D269D">
        <w:rPr>
          <w:rFonts w:eastAsia="Times New Roman" w:cs="Times New Roman"/>
          <w:rtl/>
          <w:lang w:eastAsia="de-DE"/>
        </w:rPr>
        <w:t xml:space="preserve"> </w:t>
      </w:r>
      <w:r w:rsidRPr="003D269D">
        <w:rPr>
          <w:rFonts w:eastAsia="Times New Roman" w:cs="Times New Roman"/>
          <w:lang w:eastAsia="de-DE"/>
        </w:rPr>
        <w:t>(„stehen"). Das Imperfekt drückt wiederholte oder gewohnheitsmäßige Handlung aus: Josua soll regelmäßig vor dem Priester stehen.</w:t>
      </w:r>
    </w:p>
    <w:p w14:paraId="71253016" w14:textId="44B62EC6"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rtl/>
          <w:lang w:eastAsia="de-DE"/>
        </w:rPr>
        <w:t>וְשָׁאַל לוֹ בְּמִשְׁפַּט הָאוּרִים לִפְנֵי יהוה</w:t>
      </w:r>
      <w:r w:rsidRPr="003D269D">
        <w:rPr>
          <w:rFonts w:eastAsia="Times New Roman" w:cs="Times New Roman"/>
          <w:rtl/>
          <w:lang w:eastAsia="de-DE"/>
        </w:rPr>
        <w:t xml:space="preserve"> </w:t>
      </w:r>
      <w:r w:rsidRPr="003D269D">
        <w:rPr>
          <w:rFonts w:eastAsia="Times New Roman" w:cs="Times New Roman"/>
          <w:lang w:eastAsia="de-DE"/>
        </w:rPr>
        <w:t xml:space="preserve">beschreibt den Prozess der Entscheidungsfindung. </w:t>
      </w:r>
      <w:r w:rsidRPr="003D269D">
        <w:rPr>
          <w:rFonts w:eastAsia="Times New Roman" w:cs="Times New Roman"/>
          <w:b/>
          <w:bCs/>
          <w:rtl/>
          <w:lang w:eastAsia="de-DE"/>
        </w:rPr>
        <w:t>וְשָׁאַל</w:t>
      </w:r>
      <w:r w:rsidRPr="003D269D">
        <w:rPr>
          <w:rFonts w:eastAsia="Times New Roman" w:cs="Times New Roman"/>
          <w:rtl/>
          <w:lang w:eastAsia="de-DE"/>
        </w:rPr>
        <w:t xml:space="preserve"> </w:t>
      </w:r>
      <w:r w:rsidRPr="003D269D">
        <w:rPr>
          <w:rFonts w:eastAsia="Times New Roman" w:cs="Times New Roman"/>
          <w:lang w:eastAsia="de-DE"/>
        </w:rPr>
        <w:t xml:space="preserve">ist Qal Perfekt (mit Waw consecutivum) 3. Person maskulin Singular von </w:t>
      </w:r>
      <w:r w:rsidRPr="003D269D">
        <w:rPr>
          <w:rFonts w:eastAsia="Times New Roman" w:cs="Times New Roman"/>
          <w:b/>
          <w:bCs/>
          <w:rtl/>
          <w:lang w:eastAsia="de-DE"/>
        </w:rPr>
        <w:t>שׁאל</w:t>
      </w:r>
      <w:r w:rsidRPr="003D269D">
        <w:rPr>
          <w:rFonts w:eastAsia="Times New Roman" w:cs="Times New Roman"/>
          <w:rtl/>
          <w:lang w:eastAsia="de-DE"/>
        </w:rPr>
        <w:t xml:space="preserve"> </w:t>
      </w:r>
      <w:r w:rsidRPr="003D269D">
        <w:rPr>
          <w:rFonts w:eastAsia="Times New Roman" w:cs="Times New Roman"/>
          <w:lang w:eastAsia="de-DE"/>
        </w:rPr>
        <w:t xml:space="preserve">(„fragen, befragen"), wobei Eleasar das implizite Subjekt ist. </w:t>
      </w:r>
      <w:r w:rsidRPr="003D269D">
        <w:rPr>
          <w:rFonts w:eastAsia="Times New Roman" w:cs="Times New Roman"/>
          <w:b/>
          <w:bCs/>
          <w:rtl/>
          <w:lang w:eastAsia="de-DE"/>
        </w:rPr>
        <w:t>לוֹ</w:t>
      </w:r>
      <w:r w:rsidRPr="003D269D">
        <w:rPr>
          <w:rFonts w:eastAsia="Times New Roman" w:cs="Times New Roman"/>
          <w:rtl/>
          <w:lang w:eastAsia="de-DE"/>
        </w:rPr>
        <w:t xml:space="preserve"> </w:t>
      </w:r>
      <w:r w:rsidRPr="003D269D">
        <w:rPr>
          <w:rFonts w:eastAsia="Times New Roman" w:cs="Times New Roman"/>
          <w:lang w:eastAsia="de-DE"/>
        </w:rPr>
        <w:t xml:space="preserve">(Präposition </w:t>
      </w:r>
      <w:r w:rsidRPr="003D269D">
        <w:rPr>
          <w:rFonts w:eastAsia="Times New Roman" w:cs="Times New Roman"/>
          <w:b/>
          <w:bCs/>
          <w:rtl/>
          <w:lang w:eastAsia="de-DE"/>
        </w:rPr>
        <w:t>לְ</w:t>
      </w:r>
      <w:r w:rsidRPr="003D269D">
        <w:rPr>
          <w:rFonts w:eastAsia="Times New Roman" w:cs="Times New Roman"/>
          <w:rtl/>
          <w:lang w:eastAsia="de-DE"/>
        </w:rPr>
        <w:t xml:space="preserve"> </w:t>
      </w:r>
      <w:r w:rsidRPr="003D269D">
        <w:rPr>
          <w:rFonts w:eastAsia="Times New Roman" w:cs="Times New Roman"/>
          <w:lang w:eastAsia="de-DE"/>
        </w:rPr>
        <w:t xml:space="preserve">mit Suffix 3. Person maskulin Singular „für ihn", d.h. für Josua). </w:t>
      </w:r>
      <w:r w:rsidRPr="003D269D">
        <w:rPr>
          <w:rFonts w:eastAsia="Times New Roman" w:cs="Times New Roman"/>
          <w:b/>
          <w:bCs/>
          <w:rtl/>
          <w:lang w:eastAsia="de-DE"/>
        </w:rPr>
        <w:t>בְּמִשְׁפַּט הָאוּרִים</w:t>
      </w:r>
      <w:r w:rsidRPr="003D269D">
        <w:rPr>
          <w:rFonts w:eastAsia="Times New Roman" w:cs="Times New Roman"/>
          <w:rtl/>
          <w:lang w:eastAsia="de-DE"/>
        </w:rPr>
        <w:t xml:space="preserve"> </w:t>
      </w:r>
      <w:r w:rsidRPr="003D269D">
        <w:rPr>
          <w:rFonts w:eastAsia="Times New Roman" w:cs="Times New Roman"/>
          <w:lang w:eastAsia="de-DE"/>
        </w:rPr>
        <w:t xml:space="preserve">(Präposition </w:t>
      </w:r>
      <w:r w:rsidRPr="003D269D">
        <w:rPr>
          <w:rFonts w:eastAsia="Times New Roman" w:cs="Times New Roman"/>
          <w:b/>
          <w:bCs/>
          <w:rtl/>
          <w:lang w:eastAsia="de-DE"/>
        </w:rPr>
        <w:t>בְ</w:t>
      </w:r>
      <w:r w:rsidRPr="003D269D">
        <w:rPr>
          <w:rFonts w:eastAsia="Times New Roman" w:cs="Times New Roman"/>
          <w:rtl/>
          <w:lang w:eastAsia="de-DE"/>
        </w:rPr>
        <w:t xml:space="preserve"> </w:t>
      </w:r>
      <w:r w:rsidRPr="003D269D">
        <w:rPr>
          <w:rFonts w:eastAsia="Times New Roman" w:cs="Times New Roman"/>
          <w:lang w:eastAsia="de-DE"/>
        </w:rPr>
        <w:t xml:space="preserve">mit </w:t>
      </w:r>
      <w:r w:rsidRPr="003D269D">
        <w:rPr>
          <w:rFonts w:eastAsia="Times New Roman" w:cs="Times New Roman"/>
          <w:b/>
          <w:bCs/>
          <w:rtl/>
          <w:lang w:eastAsia="de-DE"/>
        </w:rPr>
        <w:t>מִשְׁפָּט</w:t>
      </w:r>
      <w:r w:rsidRPr="003D269D">
        <w:rPr>
          <w:rFonts w:eastAsia="Times New Roman" w:cs="Times New Roman"/>
          <w:rtl/>
          <w:lang w:eastAsia="de-DE"/>
        </w:rPr>
        <w:t xml:space="preserve"> </w:t>
      </w:r>
      <w:r w:rsidRPr="003D269D">
        <w:rPr>
          <w:rFonts w:eastAsia="Times New Roman" w:cs="Times New Roman"/>
          <w:lang w:eastAsia="de-DE"/>
        </w:rPr>
        <w:t xml:space="preserve">„Urteil, Entscheidung, </w:t>
      </w:r>
      <w:r w:rsidR="00B513FF">
        <w:rPr>
          <w:rFonts w:eastAsia="Times New Roman" w:cs="Times New Roman"/>
          <w:lang w:eastAsia="de-DE"/>
        </w:rPr>
        <w:t>Weissagung</w:t>
      </w:r>
      <w:r w:rsidRPr="003D269D">
        <w:rPr>
          <w:rFonts w:eastAsia="Times New Roman" w:cs="Times New Roman"/>
          <w:lang w:eastAsia="de-DE"/>
        </w:rPr>
        <w:t xml:space="preserve">" im </w:t>
      </w:r>
      <w:r w:rsidR="00E031B3">
        <w:rPr>
          <w:rFonts w:eastAsia="Times New Roman" w:cs="Times New Roman"/>
          <w:lang w:eastAsia="de-DE"/>
        </w:rPr>
        <w:t>Constructus und</w:t>
      </w:r>
      <w:r w:rsidRPr="003D269D">
        <w:rPr>
          <w:rFonts w:eastAsia="Times New Roman" w:cs="Times New Roman"/>
          <w:lang w:eastAsia="de-DE"/>
        </w:rPr>
        <w:t xml:space="preserve"> </w:t>
      </w:r>
      <w:r w:rsidRPr="003D269D">
        <w:rPr>
          <w:rFonts w:eastAsia="Times New Roman" w:cs="Times New Roman"/>
          <w:b/>
          <w:bCs/>
          <w:rtl/>
          <w:lang w:eastAsia="de-DE"/>
        </w:rPr>
        <w:t>הָאוּרִים</w:t>
      </w:r>
      <w:r w:rsidRPr="003D269D">
        <w:rPr>
          <w:rFonts w:eastAsia="Times New Roman" w:cs="Times New Roman"/>
          <w:rtl/>
          <w:lang w:eastAsia="de-DE"/>
        </w:rPr>
        <w:t xml:space="preserve"> </w:t>
      </w:r>
      <w:r w:rsidRPr="003D269D">
        <w:rPr>
          <w:rFonts w:eastAsia="Times New Roman" w:cs="Times New Roman"/>
          <w:lang w:eastAsia="de-DE"/>
        </w:rPr>
        <w:t>„die Urim" mit Artikel). Die Urim (zusammen mit Tummim, vgl. Ex 28,30; Lev 8,8) waren Los</w:t>
      </w:r>
      <w:r w:rsidR="00B513FF">
        <w:rPr>
          <w:rFonts w:eastAsia="Times New Roman" w:cs="Times New Roman"/>
          <w:lang w:eastAsia="de-DE"/>
        </w:rPr>
        <w:t>-Weissagung</w:t>
      </w:r>
      <w:r w:rsidRPr="003D269D">
        <w:rPr>
          <w:rFonts w:eastAsia="Times New Roman" w:cs="Times New Roman"/>
          <w:lang w:eastAsia="de-DE"/>
        </w:rPr>
        <w:t xml:space="preserve"> im Brustschild des Hohenpriesters zur Einholung göttlicher Entscheidungen. </w:t>
      </w:r>
      <w:r w:rsidRPr="003D269D">
        <w:rPr>
          <w:rFonts w:eastAsia="Times New Roman" w:cs="Times New Roman"/>
          <w:b/>
          <w:bCs/>
          <w:rtl/>
          <w:lang w:eastAsia="de-DE"/>
        </w:rPr>
        <w:t>לִפְנֵי יהוה</w:t>
      </w:r>
      <w:r w:rsidRPr="003D269D">
        <w:rPr>
          <w:rFonts w:eastAsia="Times New Roman" w:cs="Times New Roman"/>
          <w:rtl/>
          <w:lang w:eastAsia="de-DE"/>
        </w:rPr>
        <w:t xml:space="preserve"> </w:t>
      </w:r>
      <w:r w:rsidRPr="003D269D">
        <w:rPr>
          <w:rFonts w:eastAsia="Times New Roman" w:cs="Times New Roman"/>
          <w:lang w:eastAsia="de-DE"/>
        </w:rPr>
        <w:t>(„vor JHWH") betont, dass dies göttliche Offenbarung ist. Der Unterschied zu Mose ist bedeutsam: Mose sprach direkt mit Gott (Num 12,6-8), Josua muss durch priesterliche Vermittlung göttliche Führung empfangen.</w:t>
      </w:r>
    </w:p>
    <w:p w14:paraId="3AB2BF91" w14:textId="5BCA714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rtl/>
          <w:lang w:eastAsia="de-DE"/>
        </w:rPr>
        <w:t>עַל־פִּיו יֵצְאוּ וְעַל־פִּיו יָבֹאוּ</w:t>
      </w:r>
      <w:r w:rsidRPr="003D269D">
        <w:rPr>
          <w:rFonts w:eastAsia="Times New Roman" w:cs="Times New Roman"/>
          <w:rtl/>
          <w:lang w:eastAsia="de-DE"/>
        </w:rPr>
        <w:t xml:space="preserve"> </w:t>
      </w:r>
      <w:r w:rsidRPr="003D269D">
        <w:rPr>
          <w:rFonts w:eastAsia="Times New Roman" w:cs="Times New Roman"/>
          <w:lang w:eastAsia="de-DE"/>
        </w:rPr>
        <w:t xml:space="preserve">beschreibt die Konsequenzen. </w:t>
      </w:r>
      <w:r w:rsidRPr="003D269D">
        <w:rPr>
          <w:rFonts w:eastAsia="Times New Roman" w:cs="Times New Roman"/>
          <w:b/>
          <w:bCs/>
          <w:rtl/>
          <w:lang w:eastAsia="de-DE"/>
        </w:rPr>
        <w:t>עַל־פִּיו</w:t>
      </w:r>
      <w:r w:rsidRPr="003D269D">
        <w:rPr>
          <w:rFonts w:eastAsia="Times New Roman" w:cs="Times New Roman"/>
          <w:rtl/>
          <w:lang w:eastAsia="de-DE"/>
        </w:rPr>
        <w:t xml:space="preserve"> </w:t>
      </w:r>
      <w:r w:rsidRPr="003D269D">
        <w:rPr>
          <w:rFonts w:eastAsia="Times New Roman" w:cs="Times New Roman"/>
          <w:lang w:eastAsia="de-DE"/>
        </w:rPr>
        <w:t xml:space="preserve">(Präposition </w:t>
      </w:r>
      <w:r w:rsidRPr="003D269D">
        <w:rPr>
          <w:rFonts w:eastAsia="Times New Roman" w:cs="Times New Roman"/>
          <w:b/>
          <w:bCs/>
          <w:rtl/>
          <w:lang w:eastAsia="de-DE"/>
        </w:rPr>
        <w:t>עַל</w:t>
      </w:r>
      <w:r w:rsidRPr="003D269D">
        <w:rPr>
          <w:rFonts w:eastAsia="Times New Roman" w:cs="Times New Roman"/>
          <w:rtl/>
          <w:lang w:eastAsia="de-DE"/>
        </w:rPr>
        <w:t xml:space="preserve"> </w:t>
      </w:r>
      <w:r w:rsidRPr="003D269D">
        <w:rPr>
          <w:rFonts w:eastAsia="Times New Roman" w:cs="Times New Roman"/>
          <w:lang w:eastAsia="de-DE"/>
        </w:rPr>
        <w:t xml:space="preserve">„nach, gemäß" mit </w:t>
      </w:r>
      <w:r w:rsidRPr="003D269D">
        <w:rPr>
          <w:rFonts w:eastAsia="Times New Roman" w:cs="Times New Roman"/>
          <w:b/>
          <w:bCs/>
          <w:rtl/>
          <w:lang w:eastAsia="de-DE"/>
        </w:rPr>
        <w:t>פֶּה</w:t>
      </w:r>
      <w:r w:rsidRPr="003D269D">
        <w:rPr>
          <w:rFonts w:eastAsia="Times New Roman" w:cs="Times New Roman"/>
          <w:rtl/>
          <w:lang w:eastAsia="de-DE"/>
        </w:rPr>
        <w:t xml:space="preserve"> </w:t>
      </w:r>
      <w:r w:rsidRPr="003D269D">
        <w:rPr>
          <w:rFonts w:eastAsia="Times New Roman" w:cs="Times New Roman"/>
          <w:lang w:eastAsia="de-DE"/>
        </w:rPr>
        <w:t xml:space="preserve">„Mund" und Suffix 3. Person maskulin Singular „nach seinem Wort/Befehl") erscheint zweimal. </w:t>
      </w:r>
      <w:r w:rsidRPr="003D269D">
        <w:rPr>
          <w:rFonts w:eastAsia="Times New Roman" w:cs="Times New Roman"/>
          <w:b/>
          <w:bCs/>
          <w:rtl/>
          <w:lang w:eastAsia="de-DE"/>
        </w:rPr>
        <w:t>יֵצְאוּ</w:t>
      </w:r>
      <w:r w:rsidRPr="003D269D">
        <w:rPr>
          <w:rFonts w:eastAsia="Times New Roman" w:cs="Times New Roman"/>
          <w:rtl/>
          <w:lang w:eastAsia="de-DE"/>
        </w:rPr>
        <w:t xml:space="preserve"> </w:t>
      </w:r>
      <w:r w:rsidRPr="003D269D">
        <w:rPr>
          <w:rFonts w:eastAsia="Times New Roman" w:cs="Times New Roman"/>
          <w:lang w:eastAsia="de-DE"/>
        </w:rPr>
        <w:t xml:space="preserve">ist Qal Imperfekt 3. Person maskulin Plural von </w:t>
      </w:r>
      <w:r w:rsidRPr="003D269D">
        <w:rPr>
          <w:rFonts w:eastAsia="Times New Roman" w:cs="Times New Roman"/>
          <w:b/>
          <w:bCs/>
          <w:rtl/>
          <w:lang w:eastAsia="de-DE"/>
        </w:rPr>
        <w:t>יצא</w:t>
      </w:r>
      <w:r w:rsidRPr="003D269D">
        <w:rPr>
          <w:rFonts w:eastAsia="Times New Roman" w:cs="Times New Roman"/>
          <w:rtl/>
          <w:lang w:eastAsia="de-DE"/>
        </w:rPr>
        <w:t xml:space="preserve"> </w:t>
      </w:r>
      <w:r w:rsidRPr="003D269D">
        <w:rPr>
          <w:rFonts w:eastAsia="Times New Roman" w:cs="Times New Roman"/>
          <w:lang w:eastAsia="de-DE"/>
        </w:rPr>
        <w:t xml:space="preserve">(„ausziehen"), </w:t>
      </w:r>
      <w:r w:rsidRPr="003D269D">
        <w:rPr>
          <w:rFonts w:eastAsia="Times New Roman" w:cs="Times New Roman"/>
          <w:b/>
          <w:bCs/>
          <w:rtl/>
          <w:lang w:eastAsia="de-DE"/>
        </w:rPr>
        <w:t>יָבֹאוּ</w:t>
      </w:r>
      <w:r w:rsidRPr="003D269D">
        <w:rPr>
          <w:rFonts w:eastAsia="Times New Roman" w:cs="Times New Roman"/>
          <w:rtl/>
          <w:lang w:eastAsia="de-DE"/>
        </w:rPr>
        <w:t xml:space="preserve"> </w:t>
      </w:r>
      <w:r w:rsidRPr="003D269D">
        <w:rPr>
          <w:rFonts w:eastAsia="Times New Roman" w:cs="Times New Roman"/>
          <w:lang w:eastAsia="de-DE"/>
        </w:rPr>
        <w:t xml:space="preserve">ist Qal Imperfekt 3. Person maskulin Plural von </w:t>
      </w:r>
      <w:r w:rsidRPr="003D269D">
        <w:rPr>
          <w:rFonts w:eastAsia="Times New Roman" w:cs="Times New Roman"/>
          <w:b/>
          <w:bCs/>
          <w:rtl/>
          <w:lang w:eastAsia="de-DE"/>
        </w:rPr>
        <w:t>בוא</w:t>
      </w:r>
      <w:r w:rsidRPr="003D269D">
        <w:rPr>
          <w:rFonts w:eastAsia="Times New Roman" w:cs="Times New Roman"/>
          <w:rtl/>
          <w:lang w:eastAsia="de-DE"/>
        </w:rPr>
        <w:t xml:space="preserve"> </w:t>
      </w:r>
      <w:r w:rsidRPr="003D269D">
        <w:rPr>
          <w:rFonts w:eastAsia="Times New Roman" w:cs="Times New Roman"/>
          <w:lang w:eastAsia="de-DE"/>
        </w:rPr>
        <w:t xml:space="preserve">(„einziehen"). Diese Verben greifen Moses Bitte aus V. 17 auf. Das Suffix in </w:t>
      </w:r>
      <w:r w:rsidRPr="003D269D">
        <w:rPr>
          <w:rFonts w:eastAsia="Times New Roman" w:cs="Times New Roman"/>
          <w:b/>
          <w:bCs/>
          <w:rtl/>
          <w:lang w:eastAsia="de-DE"/>
        </w:rPr>
        <w:t>פִּיו</w:t>
      </w:r>
      <w:r w:rsidRPr="003D269D">
        <w:rPr>
          <w:rFonts w:eastAsia="Times New Roman" w:cs="Times New Roman"/>
          <w:rtl/>
          <w:lang w:eastAsia="de-DE"/>
        </w:rPr>
        <w:t xml:space="preserve"> </w:t>
      </w:r>
      <w:r w:rsidRPr="003D269D">
        <w:rPr>
          <w:rFonts w:eastAsia="Times New Roman" w:cs="Times New Roman"/>
          <w:lang w:eastAsia="de-DE"/>
        </w:rPr>
        <w:t>bezieht sich auf d</w:t>
      </w:r>
      <w:r w:rsidR="00B513FF">
        <w:rPr>
          <w:rFonts w:eastAsia="Times New Roman" w:cs="Times New Roman"/>
          <w:lang w:eastAsia="de-DE"/>
        </w:rPr>
        <w:t>ie</w:t>
      </w:r>
      <w:r w:rsidRPr="003D269D">
        <w:rPr>
          <w:rFonts w:eastAsia="Times New Roman" w:cs="Times New Roman"/>
          <w:lang w:eastAsia="de-DE"/>
        </w:rPr>
        <w:t xml:space="preserve"> </w:t>
      </w:r>
      <w:r w:rsidR="00B513FF">
        <w:rPr>
          <w:rFonts w:eastAsia="Times New Roman" w:cs="Times New Roman"/>
          <w:lang w:eastAsia="de-DE"/>
        </w:rPr>
        <w:t>Weissagung</w:t>
      </w:r>
      <w:r w:rsidRPr="003D269D">
        <w:rPr>
          <w:rFonts w:eastAsia="Times New Roman" w:cs="Times New Roman"/>
          <w:lang w:eastAsia="de-DE"/>
        </w:rPr>
        <w:t xml:space="preserve"> bzw. Gottes Wort durch </w:t>
      </w:r>
      <w:r w:rsidR="00B513FF">
        <w:rPr>
          <w:rFonts w:eastAsia="Times New Roman" w:cs="Times New Roman"/>
          <w:lang w:eastAsia="de-DE"/>
        </w:rPr>
        <w:t>die</w:t>
      </w:r>
      <w:r w:rsidRPr="003D269D">
        <w:rPr>
          <w:rFonts w:eastAsia="Times New Roman" w:cs="Times New Roman"/>
          <w:lang w:eastAsia="de-DE"/>
        </w:rPr>
        <w:t xml:space="preserve"> </w:t>
      </w:r>
      <w:r w:rsidR="00B513FF">
        <w:rPr>
          <w:rFonts w:eastAsia="Times New Roman" w:cs="Times New Roman"/>
          <w:lang w:eastAsia="de-DE"/>
        </w:rPr>
        <w:t>Weissagung</w:t>
      </w:r>
      <w:r w:rsidRPr="003D269D">
        <w:rPr>
          <w:rFonts w:eastAsia="Times New Roman" w:cs="Times New Roman"/>
          <w:lang w:eastAsia="de-DE"/>
        </w:rPr>
        <w:t>.</w:t>
      </w:r>
    </w:p>
    <w:p w14:paraId="766BF603" w14:textId="05947133"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rtl/>
          <w:lang w:eastAsia="de-DE"/>
        </w:rPr>
        <w:lastRenderedPageBreak/>
        <w:t>הוּא וְכָל־בְּנֵי־יִשְׂרָאֵל אִתּוֹ וְכָל־הָעֵדָה</w:t>
      </w:r>
      <w:r w:rsidRPr="003D269D">
        <w:rPr>
          <w:rFonts w:eastAsia="Times New Roman" w:cs="Times New Roman"/>
          <w:rtl/>
          <w:lang w:eastAsia="de-DE"/>
        </w:rPr>
        <w:t xml:space="preserve"> </w:t>
      </w:r>
      <w:r w:rsidRPr="003D269D">
        <w:rPr>
          <w:rFonts w:eastAsia="Times New Roman" w:cs="Times New Roman"/>
          <w:lang w:eastAsia="de-DE"/>
        </w:rPr>
        <w:t xml:space="preserve">spezifiziert die Subjekte. </w:t>
      </w:r>
      <w:r w:rsidRPr="003D269D">
        <w:rPr>
          <w:rFonts w:eastAsia="Times New Roman" w:cs="Times New Roman"/>
          <w:b/>
          <w:bCs/>
          <w:rtl/>
          <w:lang w:eastAsia="de-DE"/>
        </w:rPr>
        <w:t>הוּא</w:t>
      </w:r>
      <w:r w:rsidRPr="003D269D">
        <w:rPr>
          <w:rFonts w:eastAsia="Times New Roman" w:cs="Times New Roman"/>
          <w:rtl/>
          <w:lang w:eastAsia="de-DE"/>
        </w:rPr>
        <w:t xml:space="preserve"> </w:t>
      </w:r>
      <w:r w:rsidRPr="003D269D">
        <w:rPr>
          <w:rFonts w:eastAsia="Times New Roman" w:cs="Times New Roman"/>
          <w:lang w:eastAsia="de-DE"/>
        </w:rPr>
        <w:t xml:space="preserve">(„er", d.h. Josua), </w:t>
      </w:r>
      <w:r w:rsidRPr="003D269D">
        <w:rPr>
          <w:rFonts w:eastAsia="Times New Roman" w:cs="Times New Roman"/>
          <w:b/>
          <w:bCs/>
          <w:rtl/>
          <w:lang w:eastAsia="de-DE"/>
        </w:rPr>
        <w:t>וְכָל־בְּנֵי־יִשְׂרָאֵל</w:t>
      </w:r>
      <w:r w:rsidRPr="003D269D">
        <w:rPr>
          <w:rFonts w:eastAsia="Times New Roman" w:cs="Times New Roman"/>
          <w:rtl/>
          <w:lang w:eastAsia="de-DE"/>
        </w:rPr>
        <w:t xml:space="preserve"> </w:t>
      </w:r>
      <w:r w:rsidRPr="003D269D">
        <w:rPr>
          <w:rFonts w:eastAsia="Times New Roman" w:cs="Times New Roman"/>
          <w:lang w:eastAsia="de-DE"/>
        </w:rPr>
        <w:t xml:space="preserve">(„und alle Söhne Israels"), </w:t>
      </w:r>
      <w:r w:rsidRPr="003D269D">
        <w:rPr>
          <w:rFonts w:eastAsia="Times New Roman" w:cs="Times New Roman"/>
          <w:b/>
          <w:bCs/>
          <w:rtl/>
          <w:lang w:eastAsia="de-DE"/>
        </w:rPr>
        <w:t>אִתּוֹ</w:t>
      </w:r>
      <w:r w:rsidRPr="003D269D">
        <w:rPr>
          <w:rFonts w:eastAsia="Times New Roman" w:cs="Times New Roman"/>
          <w:rtl/>
          <w:lang w:eastAsia="de-DE"/>
        </w:rPr>
        <w:t xml:space="preserve"> </w:t>
      </w:r>
      <w:r w:rsidRPr="003D269D">
        <w:rPr>
          <w:rFonts w:eastAsia="Times New Roman" w:cs="Times New Roman"/>
          <w:lang w:eastAsia="de-DE"/>
        </w:rPr>
        <w:t xml:space="preserve">(Präposition </w:t>
      </w:r>
      <w:r w:rsidRPr="003D269D">
        <w:rPr>
          <w:rFonts w:eastAsia="Times New Roman" w:cs="Times New Roman"/>
          <w:b/>
          <w:bCs/>
          <w:rtl/>
          <w:lang w:eastAsia="de-DE"/>
        </w:rPr>
        <w:t>אֵת</w:t>
      </w:r>
      <w:r w:rsidRPr="003D269D">
        <w:rPr>
          <w:rFonts w:eastAsia="Times New Roman" w:cs="Times New Roman"/>
          <w:rtl/>
          <w:lang w:eastAsia="de-DE"/>
        </w:rPr>
        <w:t xml:space="preserve"> </w:t>
      </w:r>
      <w:r w:rsidRPr="003D269D">
        <w:rPr>
          <w:rFonts w:eastAsia="Times New Roman" w:cs="Times New Roman"/>
          <w:lang w:eastAsia="de-DE"/>
        </w:rPr>
        <w:t xml:space="preserve">„mit" und Suffix 3. Person maskulin Singular „mit ihm"), </w:t>
      </w:r>
      <w:r w:rsidRPr="003D269D">
        <w:rPr>
          <w:rFonts w:eastAsia="Times New Roman" w:cs="Times New Roman"/>
          <w:b/>
          <w:bCs/>
          <w:rtl/>
          <w:lang w:eastAsia="de-DE"/>
        </w:rPr>
        <w:t>וְכָל־הָעֵדָה</w:t>
      </w:r>
      <w:r w:rsidRPr="003D269D">
        <w:rPr>
          <w:rFonts w:eastAsia="Times New Roman" w:cs="Times New Roman"/>
          <w:rtl/>
          <w:lang w:eastAsia="de-DE"/>
        </w:rPr>
        <w:t xml:space="preserve"> </w:t>
      </w:r>
      <w:r w:rsidRPr="003D269D">
        <w:rPr>
          <w:rFonts w:eastAsia="Times New Roman" w:cs="Times New Roman"/>
          <w:lang w:eastAsia="de-DE"/>
        </w:rPr>
        <w:t>(„und die ganze Gemeinde"). Die dreifache Formulierung betont die Totalität: Josua, alle Israeliten und die gesamte Gemeinde sollen nach de</w:t>
      </w:r>
      <w:r w:rsidR="00B513FF">
        <w:rPr>
          <w:rFonts w:eastAsia="Times New Roman" w:cs="Times New Roman"/>
          <w:lang w:eastAsia="de-DE"/>
        </w:rPr>
        <w:t>r</w:t>
      </w:r>
      <w:r w:rsidRPr="003D269D">
        <w:rPr>
          <w:rFonts w:eastAsia="Times New Roman" w:cs="Times New Roman"/>
          <w:lang w:eastAsia="de-DE"/>
        </w:rPr>
        <w:t xml:space="preserve"> göttlichen </w:t>
      </w:r>
      <w:r w:rsidR="00B513FF">
        <w:rPr>
          <w:rFonts w:eastAsia="Times New Roman" w:cs="Times New Roman"/>
          <w:lang w:eastAsia="de-DE"/>
        </w:rPr>
        <w:t>Weissagung</w:t>
      </w:r>
      <w:r w:rsidRPr="003D269D">
        <w:rPr>
          <w:rFonts w:eastAsia="Times New Roman" w:cs="Times New Roman"/>
          <w:lang w:eastAsia="de-DE"/>
        </w:rPr>
        <w:t xml:space="preserve"> handeln.</w:t>
      </w:r>
    </w:p>
    <w:p w14:paraId="26C9D737" w14:textId="73E219B2"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Die LXX</w:t>
      </w:r>
      <w:r w:rsidRPr="003D269D">
        <w:rPr>
          <w:rFonts w:eastAsia="Times New Roman" w:cs="Times New Roman"/>
          <w:lang w:eastAsia="de-DE"/>
        </w:rPr>
        <w:t xml:space="preserve"> </w:t>
      </w:r>
      <w:r w:rsidR="002900A1">
        <w:t>übersetzt „</w:t>
      </w:r>
      <w:r w:rsidR="002900A1" w:rsidRPr="002900A1">
        <w:rPr>
          <w:b/>
          <w:bCs/>
          <w:rtl/>
        </w:rPr>
        <w:t>בְּמִשְׁפַּט</w:t>
      </w:r>
      <w:r w:rsidR="002900A1">
        <w:rPr>
          <w:rtl/>
        </w:rPr>
        <w:t xml:space="preserve"> </w:t>
      </w:r>
      <w:r w:rsidR="002900A1" w:rsidRPr="002900A1">
        <w:rPr>
          <w:b/>
          <w:bCs/>
          <w:rtl/>
        </w:rPr>
        <w:t>הָאוּרִים</w:t>
      </w:r>
      <w:r w:rsidR="002900A1">
        <w:t>" (durch das Urteil der Urim) mit „τὴν κρίσιν τῶν δήλων" (das Urteil der Offenbarungen/der Delos), wobei „δήλων" die Urim umschreibt.</w:t>
      </w:r>
    </w:p>
    <w:p w14:paraId="285211DA"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lang w:eastAsia="de-DE"/>
        </w:rPr>
        <w:t>Die Satzstruktur zeigt einen Hauptsatz (er soll stehen), gefolgt von einem Perfekt mit Waw consecutivum (er soll befragen), dann zwei parallele Imperfektsätze mit doppelter präpositionaler Phrase (nach seinem Wort sollen sie aus-/einziehen) und einer dreifachen Subjektspezifikation.</w:t>
      </w:r>
    </w:p>
    <w:p w14:paraId="6F83ACDD"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lang w:eastAsia="de-DE"/>
        </w:rPr>
        <w:t>Der Vers etabliert die Regierungsstruktur für die Zeit nach Mose: Josua ist der zivile und militärische Führer, aber abhängig von Eleasar als Hohepriester für göttliche Weisung. Dies unterscheidet sich von Moses direktem Zugang zu Gott und zeigt eine institutionalisierte Form der Theokratie, in der priesterliche Vermittlung notwendig wird.</w:t>
      </w:r>
    </w:p>
    <w:p w14:paraId="298B7DDE" w14:textId="77777777" w:rsidR="003D269D" w:rsidRPr="003D269D" w:rsidRDefault="003D269D" w:rsidP="003D269D">
      <w:pPr>
        <w:spacing w:before="100" w:beforeAutospacing="1" w:after="100" w:afterAutospacing="1" w:line="240" w:lineRule="auto"/>
        <w:outlineLvl w:val="0"/>
        <w:rPr>
          <w:rFonts w:eastAsia="Times New Roman" w:cs="Times New Roman"/>
          <w:b/>
          <w:bCs/>
          <w:kern w:val="36"/>
          <w:sz w:val="48"/>
          <w:szCs w:val="48"/>
          <w:lang w:eastAsia="de-DE"/>
        </w:rPr>
      </w:pPr>
      <w:r w:rsidRPr="003D269D">
        <w:rPr>
          <w:rFonts w:eastAsia="Times New Roman" w:cs="Times New Roman"/>
          <w:b/>
          <w:bCs/>
          <w:kern w:val="36"/>
          <w:sz w:val="48"/>
          <w:szCs w:val="48"/>
          <w:lang w:eastAsia="de-DE"/>
        </w:rPr>
        <w:t>Numeri 27,22</w:t>
      </w:r>
    </w:p>
    <w:p w14:paraId="6768708F"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Hebräisch:</w:t>
      </w:r>
      <w:r w:rsidRPr="003D269D">
        <w:rPr>
          <w:rFonts w:eastAsia="Times New Roman" w:cs="Times New Roman"/>
          <w:lang w:eastAsia="de-DE"/>
        </w:rPr>
        <w:t xml:space="preserve"> </w:t>
      </w:r>
      <w:r w:rsidRPr="003D269D">
        <w:rPr>
          <w:rFonts w:eastAsia="Times New Roman" w:cs="Times New Roman"/>
          <w:rtl/>
          <w:lang w:eastAsia="de-DE"/>
        </w:rPr>
        <w:t>וַיַּ֣עַשׂ מֹשֶׁ֔ה כַּאֲשֶׁ֛ר צִוָּ֥ה יְהוָ֖ה אֹתוֹ֑ וַיִּקַּ֣ח אֶת־יְהוֹשֻׁ֗עַ וַיַּֽעֲמִדֵ֨הוּ֙ לִפְנֵי֙ אֶלְעָזָ֣ר הַכֹּהֵ֔ן וְלִפְנֵ֖י כָּל־הָעֵדָֽה׃</w:t>
      </w:r>
    </w:p>
    <w:p w14:paraId="2CB2FFA8"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Deutsch:</w:t>
      </w:r>
      <w:r w:rsidRPr="003D269D">
        <w:rPr>
          <w:rFonts w:eastAsia="Times New Roman" w:cs="Times New Roman"/>
          <w:lang w:eastAsia="de-DE"/>
        </w:rPr>
        <w:t xml:space="preserve"> Und Mosche tat, wie der Ewige ihm geboten hatte, und er nahm Jehoschua und stellte ihn vor El'asar, den Priester, und vor die ganze Gemeinde.</w:t>
      </w:r>
    </w:p>
    <w:p w14:paraId="6A06A479" w14:textId="77777777" w:rsidR="003D269D" w:rsidRPr="003D269D" w:rsidRDefault="00F329DD" w:rsidP="003D269D">
      <w:pPr>
        <w:spacing w:after="0" w:line="240" w:lineRule="auto"/>
        <w:rPr>
          <w:rFonts w:eastAsia="Times New Roman" w:cs="Times New Roman"/>
          <w:lang w:eastAsia="de-DE"/>
        </w:rPr>
      </w:pPr>
      <w:r>
        <w:rPr>
          <w:rFonts w:eastAsia="Times New Roman" w:cs="Times New Roman"/>
          <w:noProof/>
          <w:lang w:eastAsia="de-DE"/>
        </w:rPr>
        <w:pict w14:anchorId="6F1C7825">
          <v:rect id="_x0000_i1903" style="width:0;height:1.5pt" o:hralign="center" o:hrstd="t" o:hr="t" fillcolor="#a0a0a0" stroked="f"/>
        </w:pict>
      </w:r>
    </w:p>
    <w:p w14:paraId="1BE0AAFF"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Kommentar:</w:t>
      </w:r>
      <w:r w:rsidRPr="003D269D">
        <w:rPr>
          <w:rFonts w:eastAsia="Times New Roman" w:cs="Times New Roman"/>
          <w:lang w:eastAsia="de-DE"/>
        </w:rPr>
        <w:t xml:space="preserve"> Der Vers dokumentiert Moses gehorsame Ausführung. </w:t>
      </w:r>
      <w:r w:rsidRPr="003D269D">
        <w:rPr>
          <w:rFonts w:eastAsia="Times New Roman" w:cs="Times New Roman"/>
          <w:b/>
          <w:bCs/>
          <w:rtl/>
          <w:lang w:eastAsia="de-DE"/>
        </w:rPr>
        <w:t>וַיַּעַשׂ מֹשֶׁה כַּאֲשֶׁר צִוָּה יהוה אֹתוֹ</w:t>
      </w:r>
      <w:r w:rsidRPr="003D269D">
        <w:rPr>
          <w:rFonts w:eastAsia="Times New Roman" w:cs="Times New Roman"/>
          <w:rtl/>
          <w:lang w:eastAsia="de-DE"/>
        </w:rPr>
        <w:t xml:space="preserve"> </w:t>
      </w:r>
      <w:r w:rsidRPr="003D269D">
        <w:rPr>
          <w:rFonts w:eastAsia="Times New Roman" w:cs="Times New Roman"/>
          <w:lang w:eastAsia="de-DE"/>
        </w:rPr>
        <w:t xml:space="preserve">ist die Gehorsamformel. </w:t>
      </w:r>
      <w:r w:rsidRPr="003D269D">
        <w:rPr>
          <w:rFonts w:eastAsia="Times New Roman" w:cs="Times New Roman"/>
          <w:b/>
          <w:bCs/>
          <w:rtl/>
          <w:lang w:eastAsia="de-DE"/>
        </w:rPr>
        <w:t>וַיַּעַשׂ</w:t>
      </w:r>
      <w:r w:rsidRPr="003D269D">
        <w:rPr>
          <w:rFonts w:eastAsia="Times New Roman" w:cs="Times New Roman"/>
          <w:rtl/>
          <w:lang w:eastAsia="de-DE"/>
        </w:rPr>
        <w:t xml:space="preserve"> </w:t>
      </w:r>
      <w:r w:rsidRPr="003D269D">
        <w:rPr>
          <w:rFonts w:eastAsia="Times New Roman" w:cs="Times New Roman"/>
          <w:lang w:eastAsia="de-DE"/>
        </w:rPr>
        <w:t xml:space="preserve">ist Qal Wayyiqtol 3. Person maskulin Singular von </w:t>
      </w:r>
      <w:r w:rsidRPr="003D269D">
        <w:rPr>
          <w:rFonts w:eastAsia="Times New Roman" w:cs="Times New Roman"/>
          <w:b/>
          <w:bCs/>
          <w:rtl/>
          <w:lang w:eastAsia="de-DE"/>
        </w:rPr>
        <w:t>עשׂה</w:t>
      </w:r>
      <w:r w:rsidRPr="003D269D">
        <w:rPr>
          <w:rFonts w:eastAsia="Times New Roman" w:cs="Times New Roman"/>
          <w:rtl/>
          <w:lang w:eastAsia="de-DE"/>
        </w:rPr>
        <w:t xml:space="preserve"> </w:t>
      </w:r>
      <w:r w:rsidRPr="003D269D">
        <w:rPr>
          <w:rFonts w:eastAsia="Times New Roman" w:cs="Times New Roman"/>
          <w:lang w:eastAsia="de-DE"/>
        </w:rPr>
        <w:t xml:space="preserve">(„tun, machen"), </w:t>
      </w:r>
      <w:r w:rsidRPr="003D269D">
        <w:rPr>
          <w:rFonts w:eastAsia="Times New Roman" w:cs="Times New Roman"/>
          <w:b/>
          <w:bCs/>
          <w:rtl/>
          <w:lang w:eastAsia="de-DE"/>
        </w:rPr>
        <w:t>מֹשֶׁה</w:t>
      </w:r>
      <w:r w:rsidRPr="003D269D">
        <w:rPr>
          <w:rFonts w:eastAsia="Times New Roman" w:cs="Times New Roman"/>
          <w:rtl/>
          <w:lang w:eastAsia="de-DE"/>
        </w:rPr>
        <w:t xml:space="preserve"> </w:t>
      </w:r>
      <w:r w:rsidRPr="003D269D">
        <w:rPr>
          <w:rFonts w:eastAsia="Times New Roman" w:cs="Times New Roman"/>
          <w:lang w:eastAsia="de-DE"/>
        </w:rPr>
        <w:t xml:space="preserve">ist das Subjekt. </w:t>
      </w:r>
      <w:r w:rsidRPr="003D269D">
        <w:rPr>
          <w:rFonts w:eastAsia="Times New Roman" w:cs="Times New Roman"/>
          <w:b/>
          <w:bCs/>
          <w:rtl/>
          <w:lang w:eastAsia="de-DE"/>
        </w:rPr>
        <w:t>כַּאֲשֶׁר צִוָּה יהוה אֹתוֹ</w:t>
      </w:r>
      <w:r w:rsidRPr="003D269D">
        <w:rPr>
          <w:rFonts w:eastAsia="Times New Roman" w:cs="Times New Roman"/>
          <w:rtl/>
          <w:lang w:eastAsia="de-DE"/>
        </w:rPr>
        <w:t xml:space="preserve"> </w:t>
      </w:r>
      <w:r w:rsidRPr="003D269D">
        <w:rPr>
          <w:rFonts w:eastAsia="Times New Roman" w:cs="Times New Roman"/>
          <w:lang w:eastAsia="de-DE"/>
        </w:rPr>
        <w:t xml:space="preserve">(Vergleichskonjunktion </w:t>
      </w:r>
      <w:r w:rsidRPr="003D269D">
        <w:rPr>
          <w:rFonts w:eastAsia="Times New Roman" w:cs="Times New Roman"/>
          <w:b/>
          <w:bCs/>
          <w:rtl/>
          <w:lang w:eastAsia="de-DE"/>
        </w:rPr>
        <w:t>כַּאֲשֶׁר</w:t>
      </w:r>
      <w:r w:rsidRPr="003D269D">
        <w:rPr>
          <w:rFonts w:eastAsia="Times New Roman" w:cs="Times New Roman"/>
          <w:rtl/>
          <w:lang w:eastAsia="de-DE"/>
        </w:rPr>
        <w:t xml:space="preserve"> </w:t>
      </w:r>
      <w:r w:rsidRPr="003D269D">
        <w:rPr>
          <w:rFonts w:eastAsia="Times New Roman" w:cs="Times New Roman"/>
          <w:lang w:eastAsia="de-DE"/>
        </w:rPr>
        <w:t xml:space="preserve">„wie" mit Piel Perfekt 3. Person maskulin Singular von </w:t>
      </w:r>
      <w:r w:rsidRPr="003D269D">
        <w:rPr>
          <w:rFonts w:eastAsia="Times New Roman" w:cs="Times New Roman"/>
          <w:b/>
          <w:bCs/>
          <w:rtl/>
          <w:lang w:eastAsia="de-DE"/>
        </w:rPr>
        <w:t>צוה</w:t>
      </w:r>
      <w:r w:rsidRPr="003D269D">
        <w:rPr>
          <w:rFonts w:eastAsia="Times New Roman" w:cs="Times New Roman"/>
          <w:rtl/>
          <w:lang w:eastAsia="de-DE"/>
        </w:rPr>
        <w:t xml:space="preserve"> </w:t>
      </w:r>
      <w:r w:rsidRPr="003D269D">
        <w:rPr>
          <w:rFonts w:eastAsia="Times New Roman" w:cs="Times New Roman"/>
          <w:lang w:eastAsia="de-DE"/>
        </w:rPr>
        <w:t xml:space="preserve">„befehlen", </w:t>
      </w:r>
      <w:r w:rsidRPr="003D269D">
        <w:rPr>
          <w:rFonts w:eastAsia="Times New Roman" w:cs="Times New Roman"/>
          <w:b/>
          <w:bCs/>
          <w:rtl/>
          <w:lang w:eastAsia="de-DE"/>
        </w:rPr>
        <w:t>יהוה</w:t>
      </w:r>
      <w:r w:rsidRPr="003D269D">
        <w:rPr>
          <w:rFonts w:eastAsia="Times New Roman" w:cs="Times New Roman"/>
          <w:rtl/>
          <w:lang w:eastAsia="de-DE"/>
        </w:rPr>
        <w:t xml:space="preserve"> </w:t>
      </w:r>
      <w:r w:rsidRPr="003D269D">
        <w:rPr>
          <w:rFonts w:eastAsia="Times New Roman" w:cs="Times New Roman"/>
          <w:lang w:eastAsia="de-DE"/>
        </w:rPr>
        <w:t xml:space="preserve">als Subjekt und </w:t>
      </w:r>
      <w:r w:rsidRPr="003D269D">
        <w:rPr>
          <w:rFonts w:eastAsia="Times New Roman" w:cs="Times New Roman"/>
          <w:b/>
          <w:bCs/>
          <w:rtl/>
          <w:lang w:eastAsia="de-DE"/>
        </w:rPr>
        <w:t>אֹתוֹ</w:t>
      </w:r>
      <w:r w:rsidRPr="003D269D">
        <w:rPr>
          <w:rFonts w:eastAsia="Times New Roman" w:cs="Times New Roman"/>
          <w:rtl/>
          <w:lang w:eastAsia="de-DE"/>
        </w:rPr>
        <w:t xml:space="preserve"> </w:t>
      </w:r>
      <w:r w:rsidRPr="003D269D">
        <w:rPr>
          <w:rFonts w:eastAsia="Times New Roman" w:cs="Times New Roman"/>
          <w:lang w:eastAsia="de-DE"/>
        </w:rPr>
        <w:t>„ihn" als Objekt) bestätigt, dass Mose exakt nach göttlicher Anweisung handelte.</w:t>
      </w:r>
    </w:p>
    <w:p w14:paraId="150CC7D7"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rtl/>
          <w:lang w:eastAsia="de-DE"/>
        </w:rPr>
        <w:t>וַיִּקַּח אֶת־יְהוֹשֻׁעַ</w:t>
      </w:r>
      <w:r w:rsidRPr="003D269D">
        <w:rPr>
          <w:rFonts w:eastAsia="Times New Roman" w:cs="Times New Roman"/>
          <w:rtl/>
          <w:lang w:eastAsia="de-DE"/>
        </w:rPr>
        <w:t xml:space="preserve"> </w:t>
      </w:r>
      <w:r w:rsidRPr="003D269D">
        <w:rPr>
          <w:rFonts w:eastAsia="Times New Roman" w:cs="Times New Roman"/>
          <w:lang w:eastAsia="de-DE"/>
        </w:rPr>
        <w:t xml:space="preserve">beginnt die Detailbeschreibung. </w:t>
      </w:r>
      <w:r w:rsidRPr="003D269D">
        <w:rPr>
          <w:rFonts w:eastAsia="Times New Roman" w:cs="Times New Roman"/>
          <w:b/>
          <w:bCs/>
          <w:rtl/>
          <w:lang w:eastAsia="de-DE"/>
        </w:rPr>
        <w:t>וַיִּקַּח</w:t>
      </w:r>
      <w:r w:rsidRPr="003D269D">
        <w:rPr>
          <w:rFonts w:eastAsia="Times New Roman" w:cs="Times New Roman"/>
          <w:rtl/>
          <w:lang w:eastAsia="de-DE"/>
        </w:rPr>
        <w:t xml:space="preserve"> </w:t>
      </w:r>
      <w:r w:rsidRPr="003D269D">
        <w:rPr>
          <w:rFonts w:eastAsia="Times New Roman" w:cs="Times New Roman"/>
          <w:lang w:eastAsia="de-DE"/>
        </w:rPr>
        <w:t xml:space="preserve">ist Qal Wayyiqtol 3. Person maskulin Singular von </w:t>
      </w:r>
      <w:r w:rsidRPr="003D269D">
        <w:rPr>
          <w:rFonts w:eastAsia="Times New Roman" w:cs="Times New Roman"/>
          <w:b/>
          <w:bCs/>
          <w:rtl/>
          <w:lang w:eastAsia="de-DE"/>
        </w:rPr>
        <w:t>לקח</w:t>
      </w:r>
      <w:r w:rsidRPr="003D269D">
        <w:rPr>
          <w:rFonts w:eastAsia="Times New Roman" w:cs="Times New Roman"/>
          <w:rtl/>
          <w:lang w:eastAsia="de-DE"/>
        </w:rPr>
        <w:t xml:space="preserve"> </w:t>
      </w:r>
      <w:r w:rsidRPr="003D269D">
        <w:rPr>
          <w:rFonts w:eastAsia="Times New Roman" w:cs="Times New Roman"/>
          <w:lang w:eastAsia="de-DE"/>
        </w:rPr>
        <w:t xml:space="preserve">(„nehmen"), </w:t>
      </w:r>
      <w:r w:rsidRPr="003D269D">
        <w:rPr>
          <w:rFonts w:eastAsia="Times New Roman" w:cs="Times New Roman"/>
          <w:b/>
          <w:bCs/>
          <w:rtl/>
          <w:lang w:eastAsia="de-DE"/>
        </w:rPr>
        <w:t>אֶת־יְהוֹשֻׁעַ</w:t>
      </w:r>
      <w:r w:rsidRPr="003D269D">
        <w:rPr>
          <w:rFonts w:eastAsia="Times New Roman" w:cs="Times New Roman"/>
          <w:rtl/>
          <w:lang w:eastAsia="de-DE"/>
        </w:rPr>
        <w:t xml:space="preserve"> </w:t>
      </w:r>
      <w:r w:rsidRPr="003D269D">
        <w:rPr>
          <w:rFonts w:eastAsia="Times New Roman" w:cs="Times New Roman"/>
          <w:lang w:eastAsia="de-DE"/>
        </w:rPr>
        <w:t xml:space="preserve">ist das Akkusativobjekt. Das Verb entspricht dem Befehl aus V. 18. </w:t>
      </w:r>
      <w:r w:rsidRPr="003D269D">
        <w:rPr>
          <w:rFonts w:eastAsia="Times New Roman" w:cs="Times New Roman"/>
          <w:b/>
          <w:bCs/>
          <w:rtl/>
          <w:lang w:eastAsia="de-DE"/>
        </w:rPr>
        <w:t>וַיַּעֲמִדֵהוּ לִפְנֵי אֶלְעָזָר הַכֹּהֵן וְלִפְנֵי כָל־הָעֵדָה</w:t>
      </w:r>
      <w:r w:rsidRPr="003D269D">
        <w:rPr>
          <w:rFonts w:eastAsia="Times New Roman" w:cs="Times New Roman"/>
          <w:rtl/>
          <w:lang w:eastAsia="de-DE"/>
        </w:rPr>
        <w:t xml:space="preserve"> </w:t>
      </w:r>
      <w:r w:rsidRPr="003D269D">
        <w:rPr>
          <w:rFonts w:eastAsia="Times New Roman" w:cs="Times New Roman"/>
          <w:lang w:eastAsia="de-DE"/>
        </w:rPr>
        <w:t xml:space="preserve">führt die Ausführung fort. </w:t>
      </w:r>
      <w:r w:rsidRPr="003D269D">
        <w:rPr>
          <w:rFonts w:eastAsia="Times New Roman" w:cs="Times New Roman"/>
          <w:b/>
          <w:bCs/>
          <w:rtl/>
          <w:lang w:eastAsia="de-DE"/>
        </w:rPr>
        <w:t>וַיַּעֲמִדֵהוּ</w:t>
      </w:r>
      <w:r w:rsidRPr="003D269D">
        <w:rPr>
          <w:rFonts w:eastAsia="Times New Roman" w:cs="Times New Roman"/>
          <w:rtl/>
          <w:lang w:eastAsia="de-DE"/>
        </w:rPr>
        <w:t xml:space="preserve"> </w:t>
      </w:r>
      <w:r w:rsidRPr="003D269D">
        <w:rPr>
          <w:rFonts w:eastAsia="Times New Roman" w:cs="Times New Roman"/>
          <w:lang w:eastAsia="de-DE"/>
        </w:rPr>
        <w:t xml:space="preserve">ist Hiphil Wayyiqtol 3. Person maskulin Singular von </w:t>
      </w:r>
      <w:r w:rsidRPr="003D269D">
        <w:rPr>
          <w:rFonts w:eastAsia="Times New Roman" w:cs="Times New Roman"/>
          <w:b/>
          <w:bCs/>
          <w:rtl/>
          <w:lang w:eastAsia="de-DE"/>
        </w:rPr>
        <w:t>עמד</w:t>
      </w:r>
      <w:r w:rsidRPr="003D269D">
        <w:rPr>
          <w:rFonts w:eastAsia="Times New Roman" w:cs="Times New Roman"/>
          <w:rtl/>
          <w:lang w:eastAsia="de-DE"/>
        </w:rPr>
        <w:t xml:space="preserve"> </w:t>
      </w:r>
      <w:r w:rsidRPr="003D269D">
        <w:rPr>
          <w:rFonts w:eastAsia="Times New Roman" w:cs="Times New Roman"/>
          <w:lang w:eastAsia="de-DE"/>
        </w:rPr>
        <w:t xml:space="preserve">(„stellen") mit Suffix 3. Person maskulin Singular („ihn"). </w:t>
      </w:r>
      <w:r w:rsidRPr="003D269D">
        <w:rPr>
          <w:rFonts w:eastAsia="Times New Roman" w:cs="Times New Roman"/>
          <w:b/>
          <w:bCs/>
          <w:rtl/>
          <w:lang w:eastAsia="de-DE"/>
        </w:rPr>
        <w:t>לִפְנֵי אֶלְעָזָר הַכֹּהֵן וְלִפְנֵי כָל־הָעֵדָה</w:t>
      </w:r>
      <w:r w:rsidRPr="003D269D">
        <w:rPr>
          <w:rFonts w:eastAsia="Times New Roman" w:cs="Times New Roman"/>
          <w:rtl/>
          <w:lang w:eastAsia="de-DE"/>
        </w:rPr>
        <w:t xml:space="preserve"> </w:t>
      </w:r>
      <w:r w:rsidRPr="003D269D">
        <w:rPr>
          <w:rFonts w:eastAsia="Times New Roman" w:cs="Times New Roman"/>
          <w:lang w:eastAsia="de-DE"/>
        </w:rPr>
        <w:t>(doppelte Präpositionalphrase „vor Eleasar dem Priester und vor der ganzen Gemeinde") entspricht genau dem Befehl aus V. 19.</w:t>
      </w:r>
    </w:p>
    <w:p w14:paraId="14412431"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lang w:eastAsia="de-DE"/>
        </w:rPr>
        <w:t>Die Satzstruktur zeigt eine Gehorsamformel, gefolgt von drei koordinierten Wayyiqtol-Sätzen, die die einzelnen Schritte der Ausführung dokumentieren.</w:t>
      </w:r>
    </w:p>
    <w:p w14:paraId="22162B31"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lang w:eastAsia="de-DE"/>
        </w:rPr>
        <w:t>Der Vers dokumentiert Moses vollständigen Gehorsam gegenüber Gottes Anweisungen und zeigt, dass die öffentliche Amtseinsetzung Josuas vor allen Autoritäten stattfand, wodurch seine Legitimität zweifelsfrei etabliert wurde.</w:t>
      </w:r>
    </w:p>
    <w:p w14:paraId="4783C3E7" w14:textId="77777777" w:rsidR="003D269D" w:rsidRPr="003D269D" w:rsidRDefault="003D269D" w:rsidP="003D269D">
      <w:pPr>
        <w:spacing w:before="100" w:beforeAutospacing="1" w:after="100" w:afterAutospacing="1" w:line="240" w:lineRule="auto"/>
        <w:outlineLvl w:val="0"/>
        <w:rPr>
          <w:rFonts w:eastAsia="Times New Roman" w:cs="Times New Roman"/>
          <w:b/>
          <w:bCs/>
          <w:kern w:val="36"/>
          <w:sz w:val="48"/>
          <w:szCs w:val="48"/>
          <w:lang w:eastAsia="de-DE"/>
        </w:rPr>
      </w:pPr>
      <w:r w:rsidRPr="003D269D">
        <w:rPr>
          <w:rFonts w:eastAsia="Times New Roman" w:cs="Times New Roman"/>
          <w:b/>
          <w:bCs/>
          <w:kern w:val="36"/>
          <w:sz w:val="48"/>
          <w:szCs w:val="48"/>
          <w:lang w:eastAsia="de-DE"/>
        </w:rPr>
        <w:lastRenderedPageBreak/>
        <w:t>Numeri 27,23</w:t>
      </w:r>
    </w:p>
    <w:p w14:paraId="24FF4B3D"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Hebräisch:</w:t>
      </w:r>
      <w:r w:rsidRPr="003D269D">
        <w:rPr>
          <w:rFonts w:eastAsia="Times New Roman" w:cs="Times New Roman"/>
          <w:lang w:eastAsia="de-DE"/>
        </w:rPr>
        <w:t xml:space="preserve"> </w:t>
      </w:r>
      <w:r w:rsidRPr="003D269D">
        <w:rPr>
          <w:rFonts w:eastAsia="Times New Roman" w:cs="Times New Roman"/>
          <w:rtl/>
          <w:lang w:eastAsia="de-DE"/>
        </w:rPr>
        <w:t>וַיִּסְמֹ֧ךְ אֶת־יָדָ֛יו עָלָ֖יו וַיְצַוֵּ֑הוּ כַּאֲשֶׁ֛ר דִּבֶּ֥ר יְהוָ֖ה בְּיַד־מֹשֶֽׁה׃</w:t>
      </w:r>
    </w:p>
    <w:p w14:paraId="70F62039"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Deutsch:</w:t>
      </w:r>
      <w:r w:rsidRPr="003D269D">
        <w:rPr>
          <w:rFonts w:eastAsia="Times New Roman" w:cs="Times New Roman"/>
          <w:lang w:eastAsia="de-DE"/>
        </w:rPr>
        <w:t xml:space="preserve"> Und er legte seine Hände auf ihn und gab ihm Weisung, so wie der Ewige durch Mosche geredet hatte.</w:t>
      </w:r>
    </w:p>
    <w:p w14:paraId="2D3F2C56" w14:textId="77777777" w:rsidR="003D269D" w:rsidRPr="003D269D" w:rsidRDefault="00F329DD" w:rsidP="003D269D">
      <w:pPr>
        <w:spacing w:after="0" w:line="240" w:lineRule="auto"/>
        <w:rPr>
          <w:rFonts w:eastAsia="Times New Roman" w:cs="Times New Roman"/>
          <w:lang w:eastAsia="de-DE"/>
        </w:rPr>
      </w:pPr>
      <w:r>
        <w:rPr>
          <w:rFonts w:eastAsia="Times New Roman" w:cs="Times New Roman"/>
          <w:noProof/>
          <w:lang w:eastAsia="de-DE"/>
        </w:rPr>
        <w:pict w14:anchorId="323A0D8B">
          <v:rect id="_x0000_i1904" style="width:0;height:1.5pt" o:hralign="center" o:hrstd="t" o:hr="t" fillcolor="#a0a0a0" stroked="f"/>
        </w:pict>
      </w:r>
    </w:p>
    <w:p w14:paraId="6B949C02"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Kommentar:</w:t>
      </w:r>
      <w:r w:rsidRPr="003D269D">
        <w:rPr>
          <w:rFonts w:eastAsia="Times New Roman" w:cs="Times New Roman"/>
          <w:lang w:eastAsia="de-DE"/>
        </w:rPr>
        <w:t xml:space="preserve"> Der Vers schließt die Amtseinsetzung ab. </w:t>
      </w:r>
      <w:r w:rsidRPr="003D269D">
        <w:rPr>
          <w:rFonts w:eastAsia="Times New Roman" w:cs="Times New Roman"/>
          <w:b/>
          <w:bCs/>
          <w:rtl/>
          <w:lang w:eastAsia="de-DE"/>
        </w:rPr>
        <w:t>וַיִּסְמֹךְ אֶת־יָדָיו עָלָיו</w:t>
      </w:r>
      <w:r w:rsidRPr="003D269D">
        <w:rPr>
          <w:rFonts w:eastAsia="Times New Roman" w:cs="Times New Roman"/>
          <w:rtl/>
          <w:lang w:eastAsia="de-DE"/>
        </w:rPr>
        <w:t xml:space="preserve"> </w:t>
      </w:r>
      <w:r w:rsidRPr="003D269D">
        <w:rPr>
          <w:rFonts w:eastAsia="Times New Roman" w:cs="Times New Roman"/>
          <w:lang w:eastAsia="de-DE"/>
        </w:rPr>
        <w:t xml:space="preserve">beschreibt die symbolische Handlung. </w:t>
      </w:r>
      <w:r w:rsidRPr="003D269D">
        <w:rPr>
          <w:rFonts w:eastAsia="Times New Roman" w:cs="Times New Roman"/>
          <w:b/>
          <w:bCs/>
          <w:rtl/>
          <w:lang w:eastAsia="de-DE"/>
        </w:rPr>
        <w:t>וַיִּסְמֹךְ</w:t>
      </w:r>
      <w:r w:rsidRPr="003D269D">
        <w:rPr>
          <w:rFonts w:eastAsia="Times New Roman" w:cs="Times New Roman"/>
          <w:rtl/>
          <w:lang w:eastAsia="de-DE"/>
        </w:rPr>
        <w:t xml:space="preserve"> </w:t>
      </w:r>
      <w:r w:rsidRPr="003D269D">
        <w:rPr>
          <w:rFonts w:eastAsia="Times New Roman" w:cs="Times New Roman"/>
          <w:lang w:eastAsia="de-DE"/>
        </w:rPr>
        <w:t xml:space="preserve">ist Qal Wayyiqtol 3. Person maskulin Singular von </w:t>
      </w:r>
      <w:r w:rsidRPr="003D269D">
        <w:rPr>
          <w:rFonts w:eastAsia="Times New Roman" w:cs="Times New Roman"/>
          <w:b/>
          <w:bCs/>
          <w:rtl/>
          <w:lang w:eastAsia="de-DE"/>
        </w:rPr>
        <w:t>סמך</w:t>
      </w:r>
      <w:r w:rsidRPr="003D269D">
        <w:rPr>
          <w:rFonts w:eastAsia="Times New Roman" w:cs="Times New Roman"/>
          <w:rtl/>
          <w:lang w:eastAsia="de-DE"/>
        </w:rPr>
        <w:t xml:space="preserve"> </w:t>
      </w:r>
      <w:r w:rsidRPr="003D269D">
        <w:rPr>
          <w:rFonts w:eastAsia="Times New Roman" w:cs="Times New Roman"/>
          <w:lang w:eastAsia="de-DE"/>
        </w:rPr>
        <w:t xml:space="preserve">(„stützen, auflegen"), </w:t>
      </w:r>
      <w:r w:rsidRPr="003D269D">
        <w:rPr>
          <w:rFonts w:eastAsia="Times New Roman" w:cs="Times New Roman"/>
          <w:b/>
          <w:bCs/>
          <w:rtl/>
          <w:lang w:eastAsia="de-DE"/>
        </w:rPr>
        <w:t>אֶת־יָדָיו</w:t>
      </w:r>
      <w:r w:rsidRPr="003D269D">
        <w:rPr>
          <w:rFonts w:eastAsia="Times New Roman" w:cs="Times New Roman"/>
          <w:rtl/>
          <w:lang w:eastAsia="de-DE"/>
        </w:rPr>
        <w:t xml:space="preserve"> </w:t>
      </w:r>
      <w:r w:rsidRPr="003D269D">
        <w:rPr>
          <w:rFonts w:eastAsia="Times New Roman" w:cs="Times New Roman"/>
          <w:lang w:eastAsia="de-DE"/>
        </w:rPr>
        <w:t xml:space="preserve">(„seine Hände") ist das Akkusativobjekt. Bemerkenswert ist der Plural </w:t>
      </w:r>
      <w:r w:rsidRPr="003D269D">
        <w:rPr>
          <w:rFonts w:eastAsia="Times New Roman" w:cs="Times New Roman"/>
          <w:b/>
          <w:bCs/>
          <w:rtl/>
          <w:lang w:eastAsia="de-DE"/>
        </w:rPr>
        <w:t>יָדָיו</w:t>
      </w:r>
      <w:r w:rsidRPr="003D269D">
        <w:rPr>
          <w:rFonts w:eastAsia="Times New Roman" w:cs="Times New Roman"/>
          <w:rtl/>
          <w:lang w:eastAsia="de-DE"/>
        </w:rPr>
        <w:t xml:space="preserve"> </w:t>
      </w:r>
      <w:r w:rsidRPr="003D269D">
        <w:rPr>
          <w:rFonts w:eastAsia="Times New Roman" w:cs="Times New Roman"/>
          <w:lang w:eastAsia="de-DE"/>
        </w:rPr>
        <w:t xml:space="preserve">(Dual „seine beiden Hände"), während V. 18 den Singular </w:t>
      </w:r>
      <w:r w:rsidRPr="003D269D">
        <w:rPr>
          <w:rFonts w:eastAsia="Times New Roman" w:cs="Times New Roman"/>
          <w:b/>
          <w:bCs/>
          <w:rtl/>
          <w:lang w:eastAsia="de-DE"/>
        </w:rPr>
        <w:t>יָדְךָ</w:t>
      </w:r>
      <w:r w:rsidRPr="003D269D">
        <w:rPr>
          <w:rFonts w:eastAsia="Times New Roman" w:cs="Times New Roman"/>
          <w:rtl/>
          <w:lang w:eastAsia="de-DE"/>
        </w:rPr>
        <w:t xml:space="preserve"> </w:t>
      </w:r>
      <w:r w:rsidRPr="003D269D">
        <w:rPr>
          <w:rFonts w:eastAsia="Times New Roman" w:cs="Times New Roman"/>
          <w:lang w:eastAsia="de-DE"/>
        </w:rPr>
        <w:t xml:space="preserve">(„deine Hand") verwendet. Mose legt beide Hände auf, was die Vollständigkeit und Feierlichkeit der Handlung unterstreicht. </w:t>
      </w:r>
      <w:r w:rsidRPr="003D269D">
        <w:rPr>
          <w:rFonts w:eastAsia="Times New Roman" w:cs="Times New Roman"/>
          <w:b/>
          <w:bCs/>
          <w:rtl/>
          <w:lang w:eastAsia="de-DE"/>
        </w:rPr>
        <w:t>עָלָיו</w:t>
      </w:r>
      <w:r w:rsidRPr="003D269D">
        <w:rPr>
          <w:rFonts w:eastAsia="Times New Roman" w:cs="Times New Roman"/>
          <w:rtl/>
          <w:lang w:eastAsia="de-DE"/>
        </w:rPr>
        <w:t xml:space="preserve"> </w:t>
      </w:r>
      <w:r w:rsidRPr="003D269D">
        <w:rPr>
          <w:rFonts w:eastAsia="Times New Roman" w:cs="Times New Roman"/>
          <w:lang w:eastAsia="de-DE"/>
        </w:rPr>
        <w:t xml:space="preserve">(Präposition </w:t>
      </w:r>
      <w:r w:rsidRPr="003D269D">
        <w:rPr>
          <w:rFonts w:eastAsia="Times New Roman" w:cs="Times New Roman"/>
          <w:b/>
          <w:bCs/>
          <w:rtl/>
          <w:lang w:eastAsia="de-DE"/>
        </w:rPr>
        <w:t>עַל</w:t>
      </w:r>
      <w:r w:rsidRPr="003D269D">
        <w:rPr>
          <w:rFonts w:eastAsia="Times New Roman" w:cs="Times New Roman"/>
          <w:rtl/>
          <w:lang w:eastAsia="de-DE"/>
        </w:rPr>
        <w:t xml:space="preserve"> </w:t>
      </w:r>
      <w:r w:rsidRPr="003D269D">
        <w:rPr>
          <w:rFonts w:eastAsia="Times New Roman" w:cs="Times New Roman"/>
          <w:lang w:eastAsia="de-DE"/>
        </w:rPr>
        <w:t>mit Suffix „auf ihn"). Die Handauflegung symbolisiert Autoritätsübertragung, Segnung und Identifikation.</w:t>
      </w:r>
    </w:p>
    <w:p w14:paraId="3F31DE7B"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rtl/>
          <w:lang w:eastAsia="de-DE"/>
        </w:rPr>
        <w:t>וַיְצַוֵּהוּ</w:t>
      </w:r>
      <w:r w:rsidRPr="003D269D">
        <w:rPr>
          <w:rFonts w:eastAsia="Times New Roman" w:cs="Times New Roman"/>
          <w:rtl/>
          <w:lang w:eastAsia="de-DE"/>
        </w:rPr>
        <w:t xml:space="preserve"> </w:t>
      </w:r>
      <w:r w:rsidRPr="003D269D">
        <w:rPr>
          <w:rFonts w:eastAsia="Times New Roman" w:cs="Times New Roman"/>
          <w:lang w:eastAsia="de-DE"/>
        </w:rPr>
        <w:t xml:space="preserve">ist der zweite Akt. </w:t>
      </w:r>
      <w:r w:rsidRPr="003D269D">
        <w:rPr>
          <w:rFonts w:eastAsia="Times New Roman" w:cs="Times New Roman"/>
          <w:b/>
          <w:bCs/>
          <w:rtl/>
          <w:lang w:eastAsia="de-DE"/>
        </w:rPr>
        <w:t>וַיְצַוֵּהוּ</w:t>
      </w:r>
      <w:r w:rsidRPr="003D269D">
        <w:rPr>
          <w:rFonts w:eastAsia="Times New Roman" w:cs="Times New Roman"/>
          <w:rtl/>
          <w:lang w:eastAsia="de-DE"/>
        </w:rPr>
        <w:t xml:space="preserve"> </w:t>
      </w:r>
      <w:r w:rsidRPr="003D269D">
        <w:rPr>
          <w:rFonts w:eastAsia="Times New Roman" w:cs="Times New Roman"/>
          <w:lang w:eastAsia="de-DE"/>
        </w:rPr>
        <w:t xml:space="preserve">ist Piel Wayyiqtol 3. Person maskulin Singular von </w:t>
      </w:r>
      <w:r w:rsidRPr="003D269D">
        <w:rPr>
          <w:rFonts w:eastAsia="Times New Roman" w:cs="Times New Roman"/>
          <w:b/>
          <w:bCs/>
          <w:rtl/>
          <w:lang w:eastAsia="de-DE"/>
        </w:rPr>
        <w:t>צוה</w:t>
      </w:r>
      <w:r w:rsidRPr="003D269D">
        <w:rPr>
          <w:rFonts w:eastAsia="Times New Roman" w:cs="Times New Roman"/>
          <w:rtl/>
          <w:lang w:eastAsia="de-DE"/>
        </w:rPr>
        <w:t xml:space="preserve"> </w:t>
      </w:r>
      <w:r w:rsidRPr="003D269D">
        <w:rPr>
          <w:rFonts w:eastAsia="Times New Roman" w:cs="Times New Roman"/>
          <w:lang w:eastAsia="de-DE"/>
        </w:rPr>
        <w:t>(„befehlen, beauftragen, anweisen") mit Suffix 3. Person maskulin Singular („ihn"). Das Piel betont die Autorität der Anweisung. Mose gibt Josua die notwendigen Anweisungen für sein Amt.</w:t>
      </w:r>
    </w:p>
    <w:p w14:paraId="7730E1EE" w14:textId="3AEA69BF"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rtl/>
          <w:lang w:eastAsia="de-DE"/>
        </w:rPr>
        <w:t>כַּאֲשֶׁר דִּבֶּר יהוה בְּיַד־מֹשֶׁה</w:t>
      </w:r>
      <w:r w:rsidRPr="003D269D">
        <w:rPr>
          <w:rFonts w:eastAsia="Times New Roman" w:cs="Times New Roman"/>
          <w:rtl/>
          <w:lang w:eastAsia="de-DE"/>
        </w:rPr>
        <w:t xml:space="preserve"> </w:t>
      </w:r>
      <w:r w:rsidRPr="003D269D">
        <w:rPr>
          <w:rFonts w:eastAsia="Times New Roman" w:cs="Times New Roman"/>
          <w:lang w:eastAsia="de-DE"/>
        </w:rPr>
        <w:t xml:space="preserve">ist die abschließende Validierung. </w:t>
      </w:r>
      <w:r w:rsidRPr="003D269D">
        <w:rPr>
          <w:rFonts w:eastAsia="Times New Roman" w:cs="Times New Roman"/>
          <w:b/>
          <w:bCs/>
          <w:rtl/>
          <w:lang w:eastAsia="de-DE"/>
        </w:rPr>
        <w:t>כַּאֲשֶׁר</w:t>
      </w:r>
      <w:r w:rsidRPr="003D269D">
        <w:rPr>
          <w:rFonts w:eastAsia="Times New Roman" w:cs="Times New Roman"/>
          <w:rtl/>
          <w:lang w:eastAsia="de-DE"/>
        </w:rPr>
        <w:t xml:space="preserve"> </w:t>
      </w:r>
      <w:r w:rsidRPr="003D269D">
        <w:rPr>
          <w:rFonts w:eastAsia="Times New Roman" w:cs="Times New Roman"/>
          <w:lang w:eastAsia="de-DE"/>
        </w:rPr>
        <w:t xml:space="preserve">(„wie, so wie") mit </w:t>
      </w:r>
      <w:r w:rsidRPr="003D269D">
        <w:rPr>
          <w:rFonts w:eastAsia="Times New Roman" w:cs="Times New Roman"/>
          <w:b/>
          <w:bCs/>
          <w:rtl/>
          <w:lang w:eastAsia="de-DE"/>
        </w:rPr>
        <w:t>דִּבֶּר</w:t>
      </w:r>
      <w:r w:rsidRPr="003D269D">
        <w:rPr>
          <w:rFonts w:eastAsia="Times New Roman" w:cs="Times New Roman"/>
          <w:rtl/>
          <w:lang w:eastAsia="de-DE"/>
        </w:rPr>
        <w:t xml:space="preserve"> </w:t>
      </w:r>
      <w:r w:rsidRPr="003D269D">
        <w:rPr>
          <w:rFonts w:eastAsia="Times New Roman" w:cs="Times New Roman"/>
          <w:lang w:eastAsia="de-DE"/>
        </w:rPr>
        <w:t xml:space="preserve">(Piel Perfekt 3. Person maskulin Singular von </w:t>
      </w:r>
      <w:r w:rsidRPr="003D269D">
        <w:rPr>
          <w:rFonts w:eastAsia="Times New Roman" w:cs="Times New Roman"/>
          <w:b/>
          <w:bCs/>
          <w:rtl/>
          <w:lang w:eastAsia="de-DE"/>
        </w:rPr>
        <w:t>דבר</w:t>
      </w:r>
      <w:r w:rsidRPr="003D269D">
        <w:rPr>
          <w:rFonts w:eastAsia="Times New Roman" w:cs="Times New Roman"/>
          <w:rtl/>
          <w:lang w:eastAsia="de-DE"/>
        </w:rPr>
        <w:t xml:space="preserve"> </w:t>
      </w:r>
      <w:r w:rsidRPr="003D269D">
        <w:rPr>
          <w:rFonts w:eastAsia="Times New Roman" w:cs="Times New Roman"/>
          <w:lang w:eastAsia="de-DE"/>
        </w:rPr>
        <w:t xml:space="preserve">„reden"), </w:t>
      </w:r>
      <w:r w:rsidRPr="003D269D">
        <w:rPr>
          <w:rFonts w:eastAsia="Times New Roman" w:cs="Times New Roman"/>
          <w:b/>
          <w:bCs/>
          <w:rtl/>
          <w:lang w:eastAsia="de-DE"/>
        </w:rPr>
        <w:t>יהוה</w:t>
      </w:r>
      <w:r w:rsidRPr="003D269D">
        <w:rPr>
          <w:rFonts w:eastAsia="Times New Roman" w:cs="Times New Roman"/>
          <w:rtl/>
          <w:lang w:eastAsia="de-DE"/>
        </w:rPr>
        <w:t xml:space="preserve"> </w:t>
      </w:r>
      <w:r w:rsidRPr="003D269D">
        <w:rPr>
          <w:rFonts w:eastAsia="Times New Roman" w:cs="Times New Roman"/>
          <w:lang w:eastAsia="de-DE"/>
        </w:rPr>
        <w:t xml:space="preserve">als Subjekt. </w:t>
      </w:r>
      <w:r w:rsidRPr="003D269D">
        <w:rPr>
          <w:rFonts w:eastAsia="Times New Roman" w:cs="Times New Roman"/>
          <w:b/>
          <w:bCs/>
          <w:rtl/>
          <w:lang w:eastAsia="de-DE"/>
        </w:rPr>
        <w:t>בְּיַד־מֹשֶׁה</w:t>
      </w:r>
      <w:r w:rsidRPr="003D269D">
        <w:rPr>
          <w:rFonts w:eastAsia="Times New Roman" w:cs="Times New Roman"/>
          <w:rtl/>
          <w:lang w:eastAsia="de-DE"/>
        </w:rPr>
        <w:t xml:space="preserve"> </w:t>
      </w:r>
      <w:r w:rsidRPr="003D269D">
        <w:rPr>
          <w:rFonts w:eastAsia="Times New Roman" w:cs="Times New Roman"/>
          <w:lang w:eastAsia="de-DE"/>
        </w:rPr>
        <w:t xml:space="preserve">(Präposition </w:t>
      </w:r>
      <w:r w:rsidRPr="003D269D">
        <w:rPr>
          <w:rFonts w:eastAsia="Times New Roman" w:cs="Times New Roman"/>
          <w:b/>
          <w:bCs/>
          <w:rtl/>
          <w:lang w:eastAsia="de-DE"/>
        </w:rPr>
        <w:t>בְ</w:t>
      </w:r>
      <w:r w:rsidRPr="003D269D">
        <w:rPr>
          <w:rFonts w:eastAsia="Times New Roman" w:cs="Times New Roman"/>
          <w:rtl/>
          <w:lang w:eastAsia="de-DE"/>
        </w:rPr>
        <w:t xml:space="preserve"> </w:t>
      </w:r>
      <w:r w:rsidRPr="003D269D">
        <w:rPr>
          <w:rFonts w:eastAsia="Times New Roman" w:cs="Times New Roman"/>
          <w:lang w:eastAsia="de-DE"/>
        </w:rPr>
        <w:t xml:space="preserve">mit </w:t>
      </w:r>
      <w:r w:rsidRPr="003D269D">
        <w:rPr>
          <w:rFonts w:eastAsia="Times New Roman" w:cs="Times New Roman"/>
          <w:b/>
          <w:bCs/>
          <w:rtl/>
          <w:lang w:eastAsia="de-DE"/>
        </w:rPr>
        <w:t>יָד</w:t>
      </w:r>
      <w:r w:rsidRPr="003D269D">
        <w:rPr>
          <w:rFonts w:eastAsia="Times New Roman" w:cs="Times New Roman"/>
          <w:rtl/>
          <w:lang w:eastAsia="de-DE"/>
        </w:rPr>
        <w:t xml:space="preserve"> </w:t>
      </w:r>
      <w:r w:rsidRPr="003D269D">
        <w:rPr>
          <w:rFonts w:eastAsia="Times New Roman" w:cs="Times New Roman"/>
          <w:lang w:eastAsia="de-DE"/>
        </w:rPr>
        <w:t xml:space="preserve">„Hand" im </w:t>
      </w:r>
      <w:r w:rsidR="00B513FF" w:rsidRPr="003D269D">
        <w:rPr>
          <w:rFonts w:eastAsia="Times New Roman" w:cs="Times New Roman"/>
          <w:lang w:eastAsia="de-DE"/>
        </w:rPr>
        <w:t>Constructus</w:t>
      </w:r>
      <w:r w:rsidRPr="003D269D">
        <w:rPr>
          <w:rFonts w:eastAsia="Times New Roman" w:cs="Times New Roman"/>
          <w:lang w:eastAsia="de-DE"/>
        </w:rPr>
        <w:t xml:space="preserve"> und </w:t>
      </w:r>
      <w:r w:rsidRPr="003D269D">
        <w:rPr>
          <w:rFonts w:eastAsia="Times New Roman" w:cs="Times New Roman"/>
          <w:b/>
          <w:bCs/>
          <w:rtl/>
          <w:lang w:eastAsia="de-DE"/>
        </w:rPr>
        <w:t>מֹשֶׁה</w:t>
      </w:r>
      <w:r w:rsidRPr="003D269D">
        <w:rPr>
          <w:rFonts w:eastAsia="Times New Roman" w:cs="Times New Roman"/>
          <w:lang w:eastAsia="de-DE"/>
        </w:rPr>
        <w:t>) ist eine idiomatische Wendung, die „durch, vermittels" bedeutet. Die Formulierung betont, dass Mose als Instrument Gottes handelt.</w:t>
      </w:r>
    </w:p>
    <w:p w14:paraId="29587214" w14:textId="2D9FE7CF"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b/>
          <w:bCs/>
          <w:lang w:eastAsia="de-DE"/>
        </w:rPr>
        <w:t>Die LXX</w:t>
      </w:r>
      <w:r w:rsidRPr="003D269D">
        <w:rPr>
          <w:rFonts w:eastAsia="Times New Roman" w:cs="Times New Roman"/>
          <w:lang w:eastAsia="de-DE"/>
        </w:rPr>
        <w:t xml:space="preserve"> </w:t>
      </w:r>
      <w:r w:rsidR="002900A1">
        <w:t>übersetzt „</w:t>
      </w:r>
      <w:r w:rsidR="002900A1" w:rsidRPr="002900A1">
        <w:rPr>
          <w:b/>
          <w:bCs/>
          <w:rtl/>
        </w:rPr>
        <w:t>וַיִּסְמֹךְ</w:t>
      </w:r>
      <w:r w:rsidR="002900A1">
        <w:rPr>
          <w:rtl/>
        </w:rPr>
        <w:t xml:space="preserve"> </w:t>
      </w:r>
      <w:r w:rsidR="002900A1" w:rsidRPr="002900A1">
        <w:rPr>
          <w:b/>
          <w:bCs/>
          <w:rtl/>
        </w:rPr>
        <w:t>אֶת־יָדָיו</w:t>
      </w:r>
      <w:r w:rsidR="002900A1">
        <w:t>" (und er legte seine Hände auf) mit „καὶ ἐπέθηκεν τὰς χεῖρας αὐτοῦ" (und er legte seine Hände auf), was singular statt dual ist, und fügt „καὶ συνέστησεν αὐτόν" (und er setzte ihn ein) hinzu.</w:t>
      </w:r>
    </w:p>
    <w:p w14:paraId="411D449A"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lang w:eastAsia="de-DE"/>
        </w:rPr>
        <w:t>Die Satzstruktur zeigt zwei koordinierte Wayyiqtol-Sätze (er legte auf, er wies an), gefolgt von einer Validierungsformel mit Vergleichskonjunktion.</w:t>
      </w:r>
    </w:p>
    <w:p w14:paraId="1ADDB1E6" w14:textId="77777777" w:rsidR="003D269D" w:rsidRPr="003D269D" w:rsidRDefault="003D269D" w:rsidP="003D269D">
      <w:pPr>
        <w:spacing w:before="100" w:beforeAutospacing="1" w:after="100" w:afterAutospacing="1" w:line="240" w:lineRule="auto"/>
        <w:rPr>
          <w:rFonts w:eastAsia="Times New Roman" w:cs="Times New Roman"/>
          <w:lang w:eastAsia="de-DE"/>
        </w:rPr>
      </w:pPr>
      <w:r w:rsidRPr="003D269D">
        <w:rPr>
          <w:rFonts w:eastAsia="Times New Roman" w:cs="Times New Roman"/>
          <w:lang w:eastAsia="de-DE"/>
        </w:rPr>
        <w:t>Der Vers schließt die feierliche Amtseinsetzung Josuas ab: Durch Handauflegung und Beauftragung überträgt Mose sein Amt auf Josua, wobei die doppelte Bestätigung (V. 22: „wie JHWH ihm geboten hatte", V. 23: „wie JHWH durch Mose geredet hatte") die göttliche Autorität des gesamten Vorgangs unterstreicht und Josuas Legitimität als Moses Nachfolger zweifelsfrei etabliert. Die Verwendung beider Hände betont die Vollständigkeit der Übertragung, während die Formulierung „durch Mose" Moses bleibende Mittlerrolle würdigt.</w:t>
      </w:r>
    </w:p>
    <w:p w14:paraId="38EA9B84"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28,1</w:t>
      </w:r>
    </w:p>
    <w:p w14:paraId="1B5CD8BE"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וַיְדַבֵּ֥ר יְהוָ֖ה אֶל־מֹשֶׁ֥ה לֵּאמֹֽר׃</w:t>
      </w:r>
    </w:p>
    <w:p w14:paraId="53F3B6EE"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der Ewige redete zu Mosche, sagend:</w:t>
      </w:r>
    </w:p>
    <w:p w14:paraId="47BDB45C"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530660D8">
          <v:rect id="_x0000_i1905" style="width:0;height:1.5pt" o:hralign="center" o:hrstd="t" o:hr="t" fillcolor="#a0a0a0" stroked="f"/>
        </w:pict>
      </w:r>
    </w:p>
    <w:p w14:paraId="53BCF67A" w14:textId="552DAE63"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lastRenderedPageBreak/>
        <w:t>Kommentar:</w:t>
      </w:r>
      <w:r w:rsidRPr="00C71F15">
        <w:rPr>
          <w:rFonts w:eastAsia="Times New Roman" w:cs="Times New Roman"/>
          <w:lang w:eastAsia="de-DE"/>
        </w:rPr>
        <w:t xml:space="preserve"> Der Vers ist die Standard-Redeeinleitung für ein neues göttliches Gesetz. </w:t>
      </w:r>
      <w:r w:rsidRPr="00C71F15">
        <w:rPr>
          <w:rFonts w:eastAsia="Times New Roman" w:cs="Times New Roman"/>
          <w:b/>
          <w:bCs/>
          <w:rtl/>
          <w:lang w:eastAsia="de-DE"/>
        </w:rPr>
        <w:t>וַיְדַבֵּר</w:t>
      </w:r>
      <w:r w:rsidRPr="00C71F15">
        <w:rPr>
          <w:rFonts w:eastAsia="Times New Roman" w:cs="Times New Roman"/>
          <w:rtl/>
          <w:lang w:eastAsia="de-DE"/>
        </w:rPr>
        <w:t xml:space="preserve"> </w:t>
      </w:r>
      <w:r w:rsidRPr="00C71F15">
        <w:rPr>
          <w:rFonts w:eastAsia="Times New Roman" w:cs="Times New Roman"/>
          <w:lang w:eastAsia="de-DE"/>
        </w:rPr>
        <w:t xml:space="preserve">ist Piel Wayyiqtol 3. Person maskulin Singular von </w:t>
      </w:r>
      <w:r w:rsidRPr="00C71F15">
        <w:rPr>
          <w:rFonts w:eastAsia="Times New Roman" w:cs="Times New Roman"/>
          <w:b/>
          <w:bCs/>
          <w:rtl/>
          <w:lang w:eastAsia="de-DE"/>
        </w:rPr>
        <w:t>דבר</w:t>
      </w:r>
      <w:r w:rsidRPr="00C71F15">
        <w:rPr>
          <w:rFonts w:eastAsia="Times New Roman" w:cs="Times New Roman"/>
          <w:rtl/>
          <w:lang w:eastAsia="de-DE"/>
        </w:rPr>
        <w:t xml:space="preserve"> </w:t>
      </w:r>
      <w:r w:rsidRPr="00C71F15">
        <w:rPr>
          <w:rFonts w:eastAsia="Times New Roman" w:cs="Times New Roman"/>
          <w:lang w:eastAsia="de-DE"/>
        </w:rPr>
        <w:t xml:space="preserve">(„reden, sprechen"), </w:t>
      </w:r>
      <w:r w:rsidRPr="00C71F15">
        <w:rPr>
          <w:rFonts w:eastAsia="Times New Roman" w:cs="Times New Roman"/>
          <w:b/>
          <w:bCs/>
          <w:rtl/>
          <w:lang w:eastAsia="de-DE"/>
        </w:rPr>
        <w:t>יהוה</w:t>
      </w:r>
      <w:r w:rsidRPr="00C71F15">
        <w:rPr>
          <w:rFonts w:eastAsia="Times New Roman" w:cs="Times New Roman"/>
          <w:rtl/>
          <w:lang w:eastAsia="de-DE"/>
        </w:rPr>
        <w:t xml:space="preserve"> </w:t>
      </w:r>
      <w:r w:rsidRPr="00C71F15">
        <w:rPr>
          <w:rFonts w:eastAsia="Times New Roman" w:cs="Times New Roman"/>
          <w:lang w:eastAsia="de-DE"/>
        </w:rPr>
        <w:t xml:space="preserve">ist das Subjekt (Tetragramm), </w:t>
      </w:r>
      <w:r w:rsidRPr="00C71F15">
        <w:rPr>
          <w:rFonts w:eastAsia="Times New Roman" w:cs="Times New Roman"/>
          <w:b/>
          <w:bCs/>
          <w:rtl/>
          <w:lang w:eastAsia="de-DE"/>
        </w:rPr>
        <w:t>אֶל־מֹשֶׁה</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אֶל</w:t>
      </w:r>
      <w:r w:rsidRPr="00C71F15">
        <w:rPr>
          <w:rFonts w:eastAsia="Times New Roman" w:cs="Times New Roman"/>
          <w:rtl/>
          <w:lang w:eastAsia="de-DE"/>
        </w:rPr>
        <w:t xml:space="preserve"> </w:t>
      </w:r>
      <w:r w:rsidRPr="00C71F15">
        <w:rPr>
          <w:rFonts w:eastAsia="Times New Roman" w:cs="Times New Roman"/>
          <w:lang w:eastAsia="de-DE"/>
        </w:rPr>
        <w:t xml:space="preserve">mit dem Eigennamen) gibt den Adressaten an. </w:t>
      </w:r>
      <w:r w:rsidRPr="00C71F15">
        <w:rPr>
          <w:rFonts w:eastAsia="Times New Roman" w:cs="Times New Roman"/>
          <w:b/>
          <w:bCs/>
          <w:rtl/>
          <w:lang w:eastAsia="de-DE"/>
        </w:rPr>
        <w:t>לֵּאמֹר</w:t>
      </w:r>
      <w:r w:rsidRPr="00C71F15">
        <w:rPr>
          <w:rFonts w:eastAsia="Times New Roman" w:cs="Times New Roman"/>
          <w:rtl/>
          <w:lang w:eastAsia="de-DE"/>
        </w:rPr>
        <w:t xml:space="preserve"> </w:t>
      </w:r>
      <w:r w:rsidRPr="00C71F15">
        <w:rPr>
          <w:rFonts w:eastAsia="Times New Roman" w:cs="Times New Roman"/>
          <w:lang w:eastAsia="de-DE"/>
        </w:rPr>
        <w:t xml:space="preserve">ist Qal Infinitiv </w:t>
      </w:r>
      <w:r w:rsidR="00E031B3">
        <w:rPr>
          <w:rFonts w:eastAsia="Times New Roman" w:cs="Times New Roman"/>
          <w:lang w:eastAsia="de-DE"/>
        </w:rPr>
        <w:t>Constructus von</w:t>
      </w:r>
      <w:r w:rsidRPr="00C71F15">
        <w:rPr>
          <w:rFonts w:eastAsia="Times New Roman" w:cs="Times New Roman"/>
          <w:lang w:eastAsia="de-DE"/>
        </w:rPr>
        <w:t xml:space="preserve"> </w:t>
      </w:r>
      <w:r w:rsidRPr="00C71F15">
        <w:rPr>
          <w:rFonts w:eastAsia="Times New Roman" w:cs="Times New Roman"/>
          <w:b/>
          <w:bCs/>
          <w:rtl/>
          <w:lang w:eastAsia="de-DE"/>
        </w:rPr>
        <w:t>אמר</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(„sagend"), die standard-Formel zur Einleitung direkter Rede. Das Piel von </w:t>
      </w:r>
      <w:r w:rsidRPr="00C71F15">
        <w:rPr>
          <w:rFonts w:eastAsia="Times New Roman" w:cs="Times New Roman"/>
          <w:b/>
          <w:bCs/>
          <w:rtl/>
          <w:lang w:eastAsia="de-DE"/>
        </w:rPr>
        <w:t>דבר</w:t>
      </w:r>
      <w:r w:rsidRPr="00C71F15">
        <w:rPr>
          <w:rFonts w:eastAsia="Times New Roman" w:cs="Times New Roman"/>
          <w:rtl/>
          <w:lang w:eastAsia="de-DE"/>
        </w:rPr>
        <w:t xml:space="preserve"> </w:t>
      </w:r>
      <w:r w:rsidRPr="00C71F15">
        <w:rPr>
          <w:rFonts w:eastAsia="Times New Roman" w:cs="Times New Roman"/>
          <w:lang w:eastAsia="de-DE"/>
        </w:rPr>
        <w:t>wird oft für göttliche Offenbarung verwendet.</w:t>
      </w:r>
    </w:p>
    <w:p w14:paraId="5FFC0FF8"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ist eine einfache Redeeinleitung.</w:t>
      </w:r>
    </w:p>
    <w:p w14:paraId="63FD8A7D"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eröffnet Kapitel 28, das den kultischen Kalender Israels mit den regelmäßigen Opfern systematisch darstellt - ein passender Übergang nach der Nachfolgeregelung für Josua, da der neue Führer diese gottesdienstliche Ordnung aufrechterhalten muss.</w:t>
      </w:r>
    </w:p>
    <w:p w14:paraId="10B6BEBF"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28,2</w:t>
      </w:r>
    </w:p>
    <w:p w14:paraId="4DC056FD"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צַ֚ו אֶת־בְּנֵ֣י יִשְׂרָאֵ֔ל וְאָמַרְתָּ֖ אֲלֵהֶ֑ם אֶת־קָרְבָּנִ֨י לַחְמִ֜י לְאִשַּׁ֗י רֵ֚יחַ נִֽיחֹחִ֔י תִּשְׁמְר֕וּ לְהַקְרִ֥יב לִ֖י בְּמוֹעֲדֹֽו׃</w:t>
      </w:r>
    </w:p>
    <w:p w14:paraId="66D60B30"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„Befiehl den Söhnen Jisra'els und sprich zu ihnen: Mein Opfer, meine Speise für meine Feueropfer, meinen wohlgefälligen Geruch, sollt ihr darauf achten, mir darzubringen zu seiner bestimmten Zeit.</w:t>
      </w:r>
    </w:p>
    <w:p w14:paraId="3C782421"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36BE2DAA">
          <v:rect id="_x0000_i1906" style="width:0;height:1.5pt" o:hralign="center" o:hrstd="t" o:hr="t" fillcolor="#a0a0a0" stroked="f"/>
        </w:pict>
      </w:r>
    </w:p>
    <w:p w14:paraId="680ECAD8"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enthält den göttlichen Auftrag zur Einhaltung des Opferkalenders. </w:t>
      </w:r>
      <w:r w:rsidRPr="00C71F15">
        <w:rPr>
          <w:rFonts w:eastAsia="Times New Roman" w:cs="Times New Roman"/>
          <w:b/>
          <w:bCs/>
          <w:rtl/>
          <w:lang w:eastAsia="de-DE"/>
        </w:rPr>
        <w:t>צַו אֶת־בְּנֵי יִשְׂרָאֵל וְאָמַרְתָּ אֲלֵהֶם</w:t>
      </w:r>
      <w:r w:rsidRPr="00C71F15">
        <w:rPr>
          <w:rFonts w:eastAsia="Times New Roman" w:cs="Times New Roman"/>
          <w:rtl/>
          <w:lang w:eastAsia="de-DE"/>
        </w:rPr>
        <w:t xml:space="preserve"> </w:t>
      </w:r>
      <w:r w:rsidRPr="00C71F15">
        <w:rPr>
          <w:rFonts w:eastAsia="Times New Roman" w:cs="Times New Roman"/>
          <w:lang w:eastAsia="de-DE"/>
        </w:rPr>
        <w:t xml:space="preserve">ist die doppelte Beauftragungsformel. </w:t>
      </w:r>
      <w:r w:rsidRPr="00C71F15">
        <w:rPr>
          <w:rFonts w:eastAsia="Times New Roman" w:cs="Times New Roman"/>
          <w:b/>
          <w:bCs/>
          <w:rtl/>
          <w:lang w:eastAsia="de-DE"/>
        </w:rPr>
        <w:t>צַו</w:t>
      </w:r>
      <w:r w:rsidRPr="00C71F15">
        <w:rPr>
          <w:rFonts w:eastAsia="Times New Roman" w:cs="Times New Roman"/>
          <w:rtl/>
          <w:lang w:eastAsia="de-DE"/>
        </w:rPr>
        <w:t xml:space="preserve"> </w:t>
      </w:r>
      <w:r w:rsidRPr="00C71F15">
        <w:rPr>
          <w:rFonts w:eastAsia="Times New Roman" w:cs="Times New Roman"/>
          <w:lang w:eastAsia="de-DE"/>
        </w:rPr>
        <w:t xml:space="preserve">ist Piel Imperativ maskulin Singular von </w:t>
      </w:r>
      <w:r w:rsidRPr="00C71F15">
        <w:rPr>
          <w:rFonts w:eastAsia="Times New Roman" w:cs="Times New Roman"/>
          <w:b/>
          <w:bCs/>
          <w:rtl/>
          <w:lang w:eastAsia="de-DE"/>
        </w:rPr>
        <w:t>צוה</w:t>
      </w:r>
      <w:r w:rsidRPr="00C71F15">
        <w:rPr>
          <w:rFonts w:eastAsia="Times New Roman" w:cs="Times New Roman"/>
          <w:rtl/>
          <w:lang w:eastAsia="de-DE"/>
        </w:rPr>
        <w:t xml:space="preserve"> </w:t>
      </w:r>
      <w:r w:rsidRPr="00C71F15">
        <w:rPr>
          <w:rFonts w:eastAsia="Times New Roman" w:cs="Times New Roman"/>
          <w:lang w:eastAsia="de-DE"/>
        </w:rPr>
        <w:t xml:space="preserve">(„befehlen"), </w:t>
      </w:r>
      <w:r w:rsidRPr="00C71F15">
        <w:rPr>
          <w:rFonts w:eastAsia="Times New Roman" w:cs="Times New Roman"/>
          <w:b/>
          <w:bCs/>
          <w:rtl/>
          <w:lang w:eastAsia="de-DE"/>
        </w:rPr>
        <w:t>אֶת־בְּנֵי יִשְׂרָאֵל</w:t>
      </w:r>
      <w:r w:rsidRPr="00C71F15">
        <w:rPr>
          <w:rFonts w:eastAsia="Times New Roman" w:cs="Times New Roman"/>
          <w:rtl/>
          <w:lang w:eastAsia="de-DE"/>
        </w:rPr>
        <w:t xml:space="preserve"> </w:t>
      </w:r>
      <w:r w:rsidRPr="00C71F15">
        <w:rPr>
          <w:rFonts w:eastAsia="Times New Roman" w:cs="Times New Roman"/>
          <w:lang w:eastAsia="de-DE"/>
        </w:rPr>
        <w:t xml:space="preserve">ist das Akkusativobjekt. </w:t>
      </w:r>
      <w:r w:rsidRPr="00C71F15">
        <w:rPr>
          <w:rFonts w:eastAsia="Times New Roman" w:cs="Times New Roman"/>
          <w:b/>
          <w:bCs/>
          <w:rtl/>
          <w:lang w:eastAsia="de-DE"/>
        </w:rPr>
        <w:t>וְאָמַרְתָּ אֲלֵהֶם</w:t>
      </w:r>
      <w:r w:rsidRPr="00C71F15">
        <w:rPr>
          <w:rFonts w:eastAsia="Times New Roman" w:cs="Times New Roman"/>
          <w:rtl/>
          <w:lang w:eastAsia="de-DE"/>
        </w:rPr>
        <w:t xml:space="preserve"> </w:t>
      </w:r>
      <w:r w:rsidRPr="00C71F15">
        <w:rPr>
          <w:rFonts w:eastAsia="Times New Roman" w:cs="Times New Roman"/>
          <w:lang w:eastAsia="de-DE"/>
        </w:rPr>
        <w:t xml:space="preserve">(Konjunktion </w:t>
      </w:r>
      <w:r w:rsidRPr="00C71F15">
        <w:rPr>
          <w:rFonts w:eastAsia="Times New Roman" w:cs="Times New Roman"/>
          <w:b/>
          <w:bCs/>
          <w:rtl/>
          <w:lang w:eastAsia="de-DE"/>
        </w:rPr>
        <w:t>וְ</w:t>
      </w:r>
      <w:r w:rsidRPr="00C71F15">
        <w:rPr>
          <w:rFonts w:eastAsia="Times New Roman" w:cs="Times New Roman"/>
          <w:rtl/>
          <w:lang w:eastAsia="de-DE"/>
        </w:rPr>
        <w:t xml:space="preserve"> </w:t>
      </w:r>
      <w:r w:rsidRPr="00C71F15">
        <w:rPr>
          <w:rFonts w:eastAsia="Times New Roman" w:cs="Times New Roman"/>
          <w:lang w:eastAsia="de-DE"/>
        </w:rPr>
        <w:t xml:space="preserve">mit Qal Perfekt 2. Person maskulin Singular mit Waw consecutivum von </w:t>
      </w:r>
      <w:r w:rsidRPr="00C71F15">
        <w:rPr>
          <w:rFonts w:eastAsia="Times New Roman" w:cs="Times New Roman"/>
          <w:b/>
          <w:bCs/>
          <w:rtl/>
          <w:lang w:eastAsia="de-DE"/>
        </w:rPr>
        <w:t>אמר</w:t>
      </w:r>
      <w:r w:rsidRPr="00C71F15">
        <w:rPr>
          <w:rFonts w:eastAsia="Times New Roman" w:cs="Times New Roman"/>
          <w:rtl/>
          <w:lang w:eastAsia="de-DE"/>
        </w:rPr>
        <w:t xml:space="preserve"> </w:t>
      </w:r>
      <w:r w:rsidRPr="00C71F15">
        <w:rPr>
          <w:rFonts w:eastAsia="Times New Roman" w:cs="Times New Roman"/>
          <w:lang w:eastAsia="de-DE"/>
        </w:rPr>
        <w:t xml:space="preserve">„sagen" und Präposition </w:t>
      </w:r>
      <w:r w:rsidRPr="00C71F15">
        <w:rPr>
          <w:rFonts w:eastAsia="Times New Roman" w:cs="Times New Roman"/>
          <w:b/>
          <w:bCs/>
          <w:rtl/>
          <w:lang w:eastAsia="de-DE"/>
        </w:rPr>
        <w:t>אֶל</w:t>
      </w:r>
      <w:r w:rsidRPr="00C71F15">
        <w:rPr>
          <w:rFonts w:eastAsia="Times New Roman" w:cs="Times New Roman"/>
          <w:rtl/>
          <w:lang w:eastAsia="de-DE"/>
        </w:rPr>
        <w:t xml:space="preserve"> </w:t>
      </w:r>
      <w:r w:rsidRPr="00C71F15">
        <w:rPr>
          <w:rFonts w:eastAsia="Times New Roman" w:cs="Times New Roman"/>
          <w:lang w:eastAsia="de-DE"/>
        </w:rPr>
        <w:t>mit Suffix 3. Person maskulin Plural „zu ihnen") verstärkt die Anweisung.</w:t>
      </w:r>
    </w:p>
    <w:p w14:paraId="1A88BDE7" w14:textId="284BE05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אֶת־קָרְבָּנִי לַחְמִי לְאִשַּׁי רֵיחַ נִיחֹחִי</w:t>
      </w:r>
      <w:r w:rsidRPr="00C71F15">
        <w:rPr>
          <w:rFonts w:eastAsia="Times New Roman" w:cs="Times New Roman"/>
          <w:rtl/>
          <w:lang w:eastAsia="de-DE"/>
        </w:rPr>
        <w:t xml:space="preserve"> </w:t>
      </w:r>
      <w:r w:rsidRPr="00C71F15">
        <w:rPr>
          <w:rFonts w:eastAsia="Times New Roman" w:cs="Times New Roman"/>
          <w:lang w:eastAsia="de-DE"/>
        </w:rPr>
        <w:t xml:space="preserve">ist eine Kette von Genitivverbindungen. </w:t>
      </w:r>
      <w:r w:rsidRPr="00C71F15">
        <w:rPr>
          <w:rFonts w:eastAsia="Times New Roman" w:cs="Times New Roman"/>
          <w:b/>
          <w:bCs/>
          <w:rtl/>
          <w:lang w:eastAsia="de-DE"/>
        </w:rPr>
        <w:t>אֶת־קָרְבָּנִי</w:t>
      </w:r>
      <w:r w:rsidRPr="00C71F15">
        <w:rPr>
          <w:rFonts w:eastAsia="Times New Roman" w:cs="Times New Roman"/>
          <w:rtl/>
          <w:lang w:eastAsia="de-DE"/>
        </w:rPr>
        <w:t xml:space="preserve"> </w:t>
      </w:r>
      <w:r w:rsidRPr="00C71F15">
        <w:rPr>
          <w:rFonts w:eastAsia="Times New Roman" w:cs="Times New Roman"/>
          <w:lang w:eastAsia="de-DE"/>
        </w:rPr>
        <w:t xml:space="preserve">(Akkusativpartikel mit </w:t>
      </w:r>
      <w:r w:rsidRPr="00C71F15">
        <w:rPr>
          <w:rFonts w:eastAsia="Times New Roman" w:cs="Times New Roman"/>
          <w:b/>
          <w:bCs/>
          <w:rtl/>
          <w:lang w:eastAsia="de-DE"/>
        </w:rPr>
        <w:t>קָרְבָּן</w:t>
      </w:r>
      <w:r w:rsidRPr="00C71F15">
        <w:rPr>
          <w:rFonts w:eastAsia="Times New Roman" w:cs="Times New Roman"/>
          <w:rtl/>
          <w:lang w:eastAsia="de-DE"/>
        </w:rPr>
        <w:t xml:space="preserve"> </w:t>
      </w:r>
      <w:r w:rsidRPr="00C71F15">
        <w:rPr>
          <w:rFonts w:eastAsia="Times New Roman" w:cs="Times New Roman"/>
          <w:lang w:eastAsia="de-DE"/>
        </w:rPr>
        <w:t xml:space="preserve">„Opfer, Opfergabe" und Suffix 1. Person Singular „mein Opfer"), </w:t>
      </w:r>
      <w:r w:rsidRPr="00C71F15">
        <w:rPr>
          <w:rFonts w:eastAsia="Times New Roman" w:cs="Times New Roman"/>
          <w:b/>
          <w:bCs/>
          <w:rtl/>
          <w:lang w:eastAsia="de-DE"/>
        </w:rPr>
        <w:t>לַחְמִי</w:t>
      </w:r>
      <w:r w:rsidRPr="00C71F15">
        <w:rPr>
          <w:rFonts w:eastAsia="Times New Roman" w:cs="Times New Roman"/>
          <w:rtl/>
          <w:lang w:eastAsia="de-DE"/>
        </w:rPr>
        <w:t xml:space="preserve"> </w:t>
      </w:r>
      <w:r w:rsidRPr="00C71F15">
        <w:rPr>
          <w:rFonts w:eastAsia="Times New Roman" w:cs="Times New Roman"/>
          <w:lang w:eastAsia="de-DE"/>
        </w:rPr>
        <w:t xml:space="preserve">(maskuliner Singular </w:t>
      </w:r>
      <w:r w:rsidRPr="00C71F15">
        <w:rPr>
          <w:rFonts w:eastAsia="Times New Roman" w:cs="Times New Roman"/>
          <w:b/>
          <w:bCs/>
          <w:rtl/>
          <w:lang w:eastAsia="de-DE"/>
        </w:rPr>
        <w:t>לֶחֶם</w:t>
      </w:r>
      <w:r w:rsidRPr="00C71F15">
        <w:rPr>
          <w:rFonts w:eastAsia="Times New Roman" w:cs="Times New Roman"/>
          <w:rtl/>
          <w:lang w:eastAsia="de-DE"/>
        </w:rPr>
        <w:t xml:space="preserve"> </w:t>
      </w:r>
      <w:r w:rsidRPr="00C71F15">
        <w:rPr>
          <w:rFonts w:eastAsia="Times New Roman" w:cs="Times New Roman"/>
          <w:lang w:eastAsia="de-DE"/>
        </w:rPr>
        <w:t xml:space="preserve">„Brot, Speise" mit Suffix 1. Person Singular „meine Speise") steht in Apposition. </w:t>
      </w:r>
      <w:r w:rsidRPr="00C71F15">
        <w:rPr>
          <w:rFonts w:eastAsia="Times New Roman" w:cs="Times New Roman"/>
          <w:b/>
          <w:bCs/>
          <w:rtl/>
          <w:lang w:eastAsia="de-DE"/>
        </w:rPr>
        <w:t>לְאִשַּׁי</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mit Plural von </w:t>
      </w:r>
      <w:r w:rsidRPr="00C71F15">
        <w:rPr>
          <w:rFonts w:eastAsia="Times New Roman" w:cs="Times New Roman"/>
          <w:b/>
          <w:bCs/>
          <w:rtl/>
          <w:lang w:eastAsia="de-DE"/>
        </w:rPr>
        <w:t>אִשֶּׁה</w:t>
      </w:r>
      <w:r w:rsidRPr="00C71F15">
        <w:rPr>
          <w:rFonts w:eastAsia="Times New Roman" w:cs="Times New Roman"/>
          <w:rtl/>
          <w:lang w:eastAsia="de-DE"/>
        </w:rPr>
        <w:t xml:space="preserve"> </w:t>
      </w:r>
      <w:r w:rsidRPr="00C71F15">
        <w:rPr>
          <w:rFonts w:eastAsia="Times New Roman" w:cs="Times New Roman"/>
          <w:lang w:eastAsia="de-DE"/>
        </w:rPr>
        <w:t xml:space="preserve">„Feueropfer" und Suffix 1. Person Singular „für meine Feueropfer"), </w:t>
      </w:r>
      <w:r w:rsidRPr="00C71F15">
        <w:rPr>
          <w:rFonts w:eastAsia="Times New Roman" w:cs="Times New Roman"/>
          <w:b/>
          <w:bCs/>
          <w:rtl/>
          <w:lang w:eastAsia="de-DE"/>
        </w:rPr>
        <w:t>רֵיחַ נִיחֹחִי</w:t>
      </w:r>
      <w:r w:rsidRPr="00C71F15">
        <w:rPr>
          <w:rFonts w:eastAsia="Times New Roman" w:cs="Times New Roman"/>
          <w:rtl/>
          <w:lang w:eastAsia="de-DE"/>
        </w:rPr>
        <w:t xml:space="preserve"> </w:t>
      </w:r>
      <w:r w:rsidRPr="00C71F15">
        <w:rPr>
          <w:rFonts w:eastAsia="Times New Roman" w:cs="Times New Roman"/>
          <w:lang w:eastAsia="de-DE"/>
        </w:rPr>
        <w:t xml:space="preserve">ist eine Genitivverbindung: </w:t>
      </w:r>
      <w:r w:rsidRPr="00C71F15">
        <w:rPr>
          <w:rFonts w:eastAsia="Times New Roman" w:cs="Times New Roman"/>
          <w:b/>
          <w:bCs/>
          <w:rtl/>
          <w:lang w:eastAsia="de-DE"/>
        </w:rPr>
        <w:t>רֵיחַ</w:t>
      </w:r>
      <w:r w:rsidRPr="00C71F15">
        <w:rPr>
          <w:rFonts w:eastAsia="Times New Roman" w:cs="Times New Roman"/>
          <w:rtl/>
          <w:lang w:eastAsia="de-DE"/>
        </w:rPr>
        <w:t xml:space="preserve"> </w:t>
      </w:r>
      <w:r w:rsidRPr="00C71F15">
        <w:rPr>
          <w:rFonts w:eastAsia="Times New Roman" w:cs="Times New Roman"/>
          <w:lang w:eastAsia="de-DE"/>
        </w:rPr>
        <w:t xml:space="preserve">(„Geruch, Duft") im </w:t>
      </w:r>
      <w:r w:rsidR="00E031B3">
        <w:rPr>
          <w:rFonts w:eastAsia="Times New Roman" w:cs="Times New Roman"/>
          <w:lang w:eastAsia="de-DE"/>
        </w:rPr>
        <w:t>Constructus mit</w:t>
      </w:r>
      <w:r w:rsidRPr="00C71F15">
        <w:rPr>
          <w:rFonts w:eastAsia="Times New Roman" w:cs="Times New Roman"/>
          <w:lang w:eastAsia="de-DE"/>
        </w:rPr>
        <w:t xml:space="preserve"> </w:t>
      </w:r>
      <w:r w:rsidRPr="00C71F15">
        <w:rPr>
          <w:rFonts w:eastAsia="Times New Roman" w:cs="Times New Roman"/>
          <w:b/>
          <w:bCs/>
          <w:rtl/>
          <w:lang w:eastAsia="de-DE"/>
        </w:rPr>
        <w:t>נִיחֹחַ</w:t>
      </w:r>
      <w:r w:rsidRPr="00C71F15">
        <w:rPr>
          <w:rFonts w:eastAsia="Times New Roman" w:cs="Times New Roman"/>
          <w:rtl/>
          <w:lang w:eastAsia="de-DE"/>
        </w:rPr>
        <w:t xml:space="preserve"> </w:t>
      </w:r>
      <w:r w:rsidRPr="00C71F15">
        <w:rPr>
          <w:rFonts w:eastAsia="Times New Roman" w:cs="Times New Roman"/>
          <w:lang w:eastAsia="de-DE"/>
        </w:rPr>
        <w:t>(„wohlgefällig, beruhigend") und Suffix 1. Person Singular. Die anthropomorphe Sprache von „meiner Speise" und „meinem wohlgefälligen Geruch" drückt Gottes Annahme der Opfer aus.</w:t>
      </w:r>
    </w:p>
    <w:p w14:paraId="0AE9FCF2" w14:textId="7E67EBE8"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תִּשְׁמְרוּ לְהַקְרִיב לִי בְּמוֹעֲדוֹ</w:t>
      </w:r>
      <w:r w:rsidRPr="00C71F15">
        <w:rPr>
          <w:rFonts w:eastAsia="Times New Roman" w:cs="Times New Roman"/>
          <w:rtl/>
          <w:lang w:eastAsia="de-DE"/>
        </w:rPr>
        <w:t xml:space="preserve"> </w:t>
      </w:r>
      <w:r w:rsidRPr="00C71F15">
        <w:rPr>
          <w:rFonts w:eastAsia="Times New Roman" w:cs="Times New Roman"/>
          <w:lang w:eastAsia="de-DE"/>
        </w:rPr>
        <w:t xml:space="preserve">ist der eigentliche Befehl. </w:t>
      </w:r>
      <w:r w:rsidRPr="00C71F15">
        <w:rPr>
          <w:rFonts w:eastAsia="Times New Roman" w:cs="Times New Roman"/>
          <w:b/>
          <w:bCs/>
          <w:rtl/>
          <w:lang w:eastAsia="de-DE"/>
        </w:rPr>
        <w:t>תִּשְׁמְרוּ</w:t>
      </w:r>
      <w:r w:rsidRPr="00C71F15">
        <w:rPr>
          <w:rFonts w:eastAsia="Times New Roman" w:cs="Times New Roman"/>
          <w:rtl/>
          <w:lang w:eastAsia="de-DE"/>
        </w:rPr>
        <w:t xml:space="preserve"> </w:t>
      </w:r>
      <w:r w:rsidRPr="00C71F15">
        <w:rPr>
          <w:rFonts w:eastAsia="Times New Roman" w:cs="Times New Roman"/>
          <w:lang w:eastAsia="de-DE"/>
        </w:rPr>
        <w:t xml:space="preserve">ist Qal Imperfekt 2. Person maskulin Plural von </w:t>
      </w:r>
      <w:r w:rsidRPr="00C71F15">
        <w:rPr>
          <w:rFonts w:eastAsia="Times New Roman" w:cs="Times New Roman"/>
          <w:b/>
          <w:bCs/>
          <w:rtl/>
          <w:lang w:eastAsia="de-DE"/>
        </w:rPr>
        <w:t>שׁמר</w:t>
      </w:r>
      <w:r w:rsidRPr="00C71F15">
        <w:rPr>
          <w:rFonts w:eastAsia="Times New Roman" w:cs="Times New Roman"/>
          <w:rtl/>
          <w:lang w:eastAsia="de-DE"/>
        </w:rPr>
        <w:t xml:space="preserve"> </w:t>
      </w:r>
      <w:r w:rsidRPr="00C71F15">
        <w:rPr>
          <w:rFonts w:eastAsia="Times New Roman" w:cs="Times New Roman"/>
          <w:lang w:eastAsia="de-DE"/>
        </w:rPr>
        <w:t xml:space="preserve">(„bewahren, beachten, darauf achten"), </w:t>
      </w:r>
      <w:r w:rsidRPr="00C71F15">
        <w:rPr>
          <w:rFonts w:eastAsia="Times New Roman" w:cs="Times New Roman"/>
          <w:b/>
          <w:bCs/>
          <w:rtl/>
          <w:lang w:eastAsia="de-DE"/>
        </w:rPr>
        <w:t>לְהַקְרִיב</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mit Hiphil Infinitiv </w:t>
      </w:r>
      <w:r w:rsidR="00E031B3">
        <w:rPr>
          <w:rFonts w:eastAsia="Times New Roman" w:cs="Times New Roman"/>
          <w:lang w:eastAsia="de-DE"/>
        </w:rPr>
        <w:t>Constructus von</w:t>
      </w:r>
      <w:r w:rsidRPr="00C71F15">
        <w:rPr>
          <w:rFonts w:eastAsia="Times New Roman" w:cs="Times New Roman"/>
          <w:lang w:eastAsia="de-DE"/>
        </w:rPr>
        <w:t xml:space="preserve"> </w:t>
      </w:r>
      <w:r w:rsidRPr="00C71F15">
        <w:rPr>
          <w:rFonts w:eastAsia="Times New Roman" w:cs="Times New Roman"/>
          <w:b/>
          <w:bCs/>
          <w:rtl/>
          <w:lang w:eastAsia="de-DE"/>
        </w:rPr>
        <w:t>קרב</w:t>
      </w:r>
      <w:r w:rsidRPr="00C71F15">
        <w:rPr>
          <w:rFonts w:eastAsia="Times New Roman" w:cs="Times New Roman"/>
          <w:rtl/>
          <w:lang w:eastAsia="de-DE"/>
        </w:rPr>
        <w:t xml:space="preserve"> </w:t>
      </w:r>
      <w:r w:rsidRPr="00C71F15">
        <w:rPr>
          <w:rFonts w:eastAsia="Times New Roman" w:cs="Times New Roman"/>
          <w:lang w:eastAsia="de-DE"/>
        </w:rPr>
        <w:t xml:space="preserve">„nahe bringen, darbringen") gibt den Zweck an. </w:t>
      </w:r>
      <w:r w:rsidRPr="00C71F15">
        <w:rPr>
          <w:rFonts w:eastAsia="Times New Roman" w:cs="Times New Roman"/>
          <w:b/>
          <w:bCs/>
          <w:rtl/>
          <w:lang w:eastAsia="de-DE"/>
        </w:rPr>
        <w:t>לִי</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mit Suffix 1. Person Singular „mir, für mich"). </w:t>
      </w:r>
      <w:r w:rsidRPr="00C71F15">
        <w:rPr>
          <w:rFonts w:eastAsia="Times New Roman" w:cs="Times New Roman"/>
          <w:b/>
          <w:bCs/>
          <w:rtl/>
          <w:lang w:eastAsia="de-DE"/>
        </w:rPr>
        <w:t>בְּמוֹעֲדוֹ</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בְ</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מוֹעֵד</w:t>
      </w:r>
      <w:r w:rsidRPr="00C71F15">
        <w:rPr>
          <w:rFonts w:eastAsia="Times New Roman" w:cs="Times New Roman"/>
          <w:rtl/>
          <w:lang w:eastAsia="de-DE"/>
        </w:rPr>
        <w:t xml:space="preserve"> </w:t>
      </w:r>
      <w:r w:rsidRPr="00C71F15">
        <w:rPr>
          <w:rFonts w:eastAsia="Times New Roman" w:cs="Times New Roman"/>
          <w:lang w:eastAsia="de-DE"/>
        </w:rPr>
        <w:t>„bestimmte Zeit, Festzeit" und Suffix 3. Person maskulin Singular „zu seiner bestimmten Zeit") betont die zeitliche Präzision.</w:t>
      </w:r>
    </w:p>
    <w:p w14:paraId="4D9981F7" w14:textId="1DB50F59"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Die LXX</w:t>
      </w:r>
      <w:r w:rsidRPr="00C71F15">
        <w:rPr>
          <w:rFonts w:eastAsia="Times New Roman" w:cs="Times New Roman"/>
          <w:lang w:eastAsia="de-DE"/>
        </w:rPr>
        <w:t xml:space="preserve"> </w:t>
      </w:r>
      <w:r w:rsidR="00EA15C5">
        <w:t>übersetzt „</w:t>
      </w:r>
      <w:r w:rsidR="00EA15C5" w:rsidRPr="00EA15C5">
        <w:rPr>
          <w:b/>
          <w:bCs/>
          <w:rtl/>
        </w:rPr>
        <w:t>אֶת־קָרְבָּנִי לַחְמִי לְאִשַּׁי</w:t>
      </w:r>
      <w:r w:rsidR="00EA15C5">
        <w:t xml:space="preserve">" (meine Opfergabe, meine Speise für meine Feueropfer) mit „Τὰ δῶρά μου δόματά μου καρπώματά μου" (Meine Gaben, meine Geschenke, meine Opfergaben), wobei drei verschiedene griechische Begriffe verwendet </w:t>
      </w:r>
      <w:r w:rsidR="00EA15C5">
        <w:lastRenderedPageBreak/>
        <w:t>werden, und „</w:t>
      </w:r>
      <w:r w:rsidR="00EA15C5" w:rsidRPr="00EA15C5">
        <w:rPr>
          <w:b/>
          <w:bCs/>
          <w:rtl/>
        </w:rPr>
        <w:t>בְּמוֹעֲדוֹ</w:t>
      </w:r>
      <w:r w:rsidR="00EA15C5">
        <w:t>" (zu seiner bestimmten Zeit) wird zu „ἐν ταῖς ἑορταῖς μου" (an meinen Festen), was die zeitliche Bestimmung zu Festzeiten präzisiert.</w:t>
      </w:r>
    </w:p>
    <w:p w14:paraId="151BC776"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zeigt eine doppelte Beauftragungsformel, gefolgt von einem erweiterten Akkusativobjekt (Opfer mit mehreren Appositionen) und einem Imperativ mit finalem Infinitiv und temporaler Bestimmung.</w:t>
      </w:r>
    </w:p>
    <w:p w14:paraId="65BFAE77"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betont die Wichtigkeit der regelmäßigen und pünktlichen Opferdarbringung als zentrale Verpflichtung Israels gegenüber Gott, wobei die anthropomorphe Sprache die Beziehungsebene zwischen Gott und seinem Volk unterstreicht.</w:t>
      </w:r>
    </w:p>
    <w:p w14:paraId="5966C360"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28,3</w:t>
      </w:r>
    </w:p>
    <w:p w14:paraId="566229E4"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וְאָמַרְתָּ֣ לָהֶ֔ם זֶ֚ה הָֽאִשֶּׁ֔ה אֲשֶׁ֥ר תַּקְרִ֖יבוּ לַיהוָ֑ה כְּבָשִׂ֨ים בְּנֵֽי־שָׁנָ֧ה תְמִימִ֛ם שְׁנַ֥יִם לַיּ֖וֹם עֹלָ֥ה תָמִֽיד׃</w:t>
      </w:r>
    </w:p>
    <w:p w14:paraId="0EEDFEE0"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sage zu ihnen: Dies ist das Feueropfer, das ihr dem Ewigen darbringen sollt: zwei einjährige Lämmer ohne Fehl, täglich, als beständiges Aufsteigeopfer.</w:t>
      </w:r>
    </w:p>
    <w:p w14:paraId="5B579231"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7069F38A">
          <v:rect id="_x0000_i1907" style="width:0;height:1.5pt" o:hralign="center" o:hrstd="t" o:hr="t" fillcolor="#a0a0a0" stroked="f"/>
        </w:pict>
      </w:r>
    </w:p>
    <w:p w14:paraId="49905231"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spezifiziert das tägliche Opfer. </w:t>
      </w:r>
      <w:r w:rsidRPr="00C71F15">
        <w:rPr>
          <w:rFonts w:eastAsia="Times New Roman" w:cs="Times New Roman"/>
          <w:b/>
          <w:bCs/>
          <w:rtl/>
          <w:lang w:eastAsia="de-DE"/>
        </w:rPr>
        <w:t>וְאָמַרְתָּ לָהֶם</w:t>
      </w:r>
      <w:r w:rsidRPr="00C71F15">
        <w:rPr>
          <w:rFonts w:eastAsia="Times New Roman" w:cs="Times New Roman"/>
          <w:rtl/>
          <w:lang w:eastAsia="de-DE"/>
        </w:rPr>
        <w:t xml:space="preserve"> </w:t>
      </w:r>
      <w:r w:rsidRPr="00C71F15">
        <w:rPr>
          <w:rFonts w:eastAsia="Times New Roman" w:cs="Times New Roman"/>
          <w:lang w:eastAsia="de-DE"/>
        </w:rPr>
        <w:t xml:space="preserve">wiederholt die Redeformel aus V. 2 (Qal Perfekt mit Waw consecutivum 2. Person maskulin Singular von </w:t>
      </w:r>
      <w:r w:rsidRPr="00C71F15">
        <w:rPr>
          <w:rFonts w:eastAsia="Times New Roman" w:cs="Times New Roman"/>
          <w:b/>
          <w:bCs/>
          <w:rtl/>
          <w:lang w:eastAsia="de-DE"/>
        </w:rPr>
        <w:t>אמר</w:t>
      </w:r>
      <w:r w:rsidRPr="00C71F15">
        <w:rPr>
          <w:rFonts w:eastAsia="Times New Roman" w:cs="Times New Roman"/>
          <w:rtl/>
          <w:lang w:eastAsia="de-DE"/>
        </w:rPr>
        <w:t xml:space="preserve"> </w:t>
      </w:r>
      <w:r w:rsidRPr="00C71F15">
        <w:rPr>
          <w:rFonts w:eastAsia="Times New Roman" w:cs="Times New Roman"/>
          <w:lang w:eastAsia="de-DE"/>
        </w:rPr>
        <w:t xml:space="preserve">mit 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und Suffix 3. Person maskulin Plural). </w:t>
      </w:r>
      <w:r w:rsidRPr="00C71F15">
        <w:rPr>
          <w:rFonts w:eastAsia="Times New Roman" w:cs="Times New Roman"/>
          <w:b/>
          <w:bCs/>
          <w:rtl/>
          <w:lang w:eastAsia="de-DE"/>
        </w:rPr>
        <w:t>זֶה הָאִשֶּׁה אֲשֶׁר תַּקְרִיבוּ לַיהוה</w:t>
      </w:r>
      <w:r w:rsidRPr="00C71F15">
        <w:rPr>
          <w:rFonts w:eastAsia="Times New Roman" w:cs="Times New Roman"/>
          <w:rtl/>
          <w:lang w:eastAsia="de-DE"/>
        </w:rPr>
        <w:t xml:space="preserve"> </w:t>
      </w:r>
      <w:r w:rsidRPr="00C71F15">
        <w:rPr>
          <w:rFonts w:eastAsia="Times New Roman" w:cs="Times New Roman"/>
          <w:lang w:eastAsia="de-DE"/>
        </w:rPr>
        <w:t xml:space="preserve">ist die einleitende Formel. </w:t>
      </w:r>
      <w:r w:rsidRPr="00C71F15">
        <w:rPr>
          <w:rFonts w:eastAsia="Times New Roman" w:cs="Times New Roman"/>
          <w:b/>
          <w:bCs/>
          <w:rtl/>
          <w:lang w:eastAsia="de-DE"/>
        </w:rPr>
        <w:t>זֶה</w:t>
      </w:r>
      <w:r w:rsidRPr="00C71F15">
        <w:rPr>
          <w:rFonts w:eastAsia="Times New Roman" w:cs="Times New Roman"/>
          <w:rtl/>
          <w:lang w:eastAsia="de-DE"/>
        </w:rPr>
        <w:t xml:space="preserve"> </w:t>
      </w:r>
      <w:r w:rsidRPr="00C71F15">
        <w:rPr>
          <w:rFonts w:eastAsia="Times New Roman" w:cs="Times New Roman"/>
          <w:lang w:eastAsia="de-DE"/>
        </w:rPr>
        <w:t xml:space="preserve">(„dies") ist das Demonstrativpronomen, </w:t>
      </w:r>
      <w:r w:rsidRPr="00C71F15">
        <w:rPr>
          <w:rFonts w:eastAsia="Times New Roman" w:cs="Times New Roman"/>
          <w:b/>
          <w:bCs/>
          <w:rtl/>
          <w:lang w:eastAsia="de-DE"/>
        </w:rPr>
        <w:t>הָאִשֶּׁה</w:t>
      </w:r>
      <w:r w:rsidRPr="00C71F15">
        <w:rPr>
          <w:rFonts w:eastAsia="Times New Roman" w:cs="Times New Roman"/>
          <w:rtl/>
          <w:lang w:eastAsia="de-DE"/>
        </w:rPr>
        <w:t xml:space="preserve"> </w:t>
      </w:r>
      <w:r w:rsidRPr="00C71F15">
        <w:rPr>
          <w:rFonts w:eastAsia="Times New Roman" w:cs="Times New Roman"/>
          <w:lang w:eastAsia="de-DE"/>
        </w:rPr>
        <w:t xml:space="preserve">(maskulines Nomen </w:t>
      </w:r>
      <w:r w:rsidRPr="00C71F15">
        <w:rPr>
          <w:rFonts w:eastAsia="Times New Roman" w:cs="Times New Roman"/>
          <w:b/>
          <w:bCs/>
          <w:rtl/>
          <w:lang w:eastAsia="de-DE"/>
        </w:rPr>
        <w:t>אִשֶּׁה</w:t>
      </w:r>
      <w:r w:rsidRPr="00C71F15">
        <w:rPr>
          <w:rFonts w:eastAsia="Times New Roman" w:cs="Times New Roman"/>
          <w:rtl/>
          <w:lang w:eastAsia="de-DE"/>
        </w:rPr>
        <w:t xml:space="preserve"> </w:t>
      </w:r>
      <w:r w:rsidRPr="00C71F15">
        <w:rPr>
          <w:rFonts w:eastAsia="Times New Roman" w:cs="Times New Roman"/>
          <w:lang w:eastAsia="de-DE"/>
        </w:rPr>
        <w:t xml:space="preserve">„Feueropfer" mit Artikel), </w:t>
      </w:r>
      <w:r w:rsidRPr="00C71F15">
        <w:rPr>
          <w:rFonts w:eastAsia="Times New Roman" w:cs="Times New Roman"/>
          <w:b/>
          <w:bCs/>
          <w:rtl/>
          <w:lang w:eastAsia="de-DE"/>
        </w:rPr>
        <w:t>אֲשֶׁר</w:t>
      </w:r>
      <w:r w:rsidRPr="00C71F15">
        <w:rPr>
          <w:rFonts w:eastAsia="Times New Roman" w:cs="Times New Roman"/>
          <w:rtl/>
          <w:lang w:eastAsia="de-DE"/>
        </w:rPr>
        <w:t xml:space="preserve"> </w:t>
      </w:r>
      <w:r w:rsidRPr="00C71F15">
        <w:rPr>
          <w:rFonts w:eastAsia="Times New Roman" w:cs="Times New Roman"/>
          <w:lang w:eastAsia="de-DE"/>
        </w:rPr>
        <w:t xml:space="preserve">(Relativpronomen), </w:t>
      </w:r>
      <w:r w:rsidRPr="00C71F15">
        <w:rPr>
          <w:rFonts w:eastAsia="Times New Roman" w:cs="Times New Roman"/>
          <w:b/>
          <w:bCs/>
          <w:rtl/>
          <w:lang w:eastAsia="de-DE"/>
        </w:rPr>
        <w:t>תַּקְרִיבוּ</w:t>
      </w:r>
      <w:r w:rsidRPr="00C71F15">
        <w:rPr>
          <w:rFonts w:eastAsia="Times New Roman" w:cs="Times New Roman"/>
          <w:rtl/>
          <w:lang w:eastAsia="de-DE"/>
        </w:rPr>
        <w:t xml:space="preserve"> </w:t>
      </w:r>
      <w:r w:rsidRPr="00C71F15">
        <w:rPr>
          <w:rFonts w:eastAsia="Times New Roman" w:cs="Times New Roman"/>
          <w:lang w:eastAsia="de-DE"/>
        </w:rPr>
        <w:t xml:space="preserve">(Hiphil Imperfekt 2. Person maskulin Plural von </w:t>
      </w:r>
      <w:r w:rsidRPr="00C71F15">
        <w:rPr>
          <w:rFonts w:eastAsia="Times New Roman" w:cs="Times New Roman"/>
          <w:b/>
          <w:bCs/>
          <w:rtl/>
          <w:lang w:eastAsia="de-DE"/>
        </w:rPr>
        <w:t>קרב</w:t>
      </w:r>
      <w:r w:rsidRPr="00C71F15">
        <w:rPr>
          <w:rFonts w:eastAsia="Times New Roman" w:cs="Times New Roman"/>
          <w:rtl/>
          <w:lang w:eastAsia="de-DE"/>
        </w:rPr>
        <w:t xml:space="preserve"> </w:t>
      </w:r>
      <w:r w:rsidRPr="00C71F15">
        <w:rPr>
          <w:rFonts w:eastAsia="Times New Roman" w:cs="Times New Roman"/>
          <w:lang w:eastAsia="de-DE"/>
        </w:rPr>
        <w:t xml:space="preserve">„darbringen"), </w:t>
      </w:r>
      <w:r w:rsidRPr="00C71F15">
        <w:rPr>
          <w:rFonts w:eastAsia="Times New Roman" w:cs="Times New Roman"/>
          <w:b/>
          <w:bCs/>
          <w:rtl/>
          <w:lang w:eastAsia="de-DE"/>
        </w:rPr>
        <w:t>לַיהוה</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mit Tetragramm „dem Ewigen").</w:t>
      </w:r>
    </w:p>
    <w:p w14:paraId="40AE0D53" w14:textId="5FEFFA7C"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כְּבָשִׂים בְּנֵי־שָׁנָה תְמִימִם שְׁנַיִם לַיּוֹם</w:t>
      </w:r>
      <w:r w:rsidRPr="00C71F15">
        <w:rPr>
          <w:rFonts w:eastAsia="Times New Roman" w:cs="Times New Roman"/>
          <w:rtl/>
          <w:lang w:eastAsia="de-DE"/>
        </w:rPr>
        <w:t xml:space="preserve"> </w:t>
      </w:r>
      <w:r w:rsidRPr="00C71F15">
        <w:rPr>
          <w:rFonts w:eastAsia="Times New Roman" w:cs="Times New Roman"/>
          <w:lang w:eastAsia="de-DE"/>
        </w:rPr>
        <w:t xml:space="preserve">beschreibt das Opfer. </w:t>
      </w:r>
      <w:r w:rsidRPr="00C71F15">
        <w:rPr>
          <w:rFonts w:eastAsia="Times New Roman" w:cs="Times New Roman"/>
          <w:b/>
          <w:bCs/>
          <w:rtl/>
          <w:lang w:eastAsia="de-DE"/>
        </w:rPr>
        <w:t>כְּבָשִׂים</w:t>
      </w:r>
      <w:r w:rsidRPr="00C71F15">
        <w:rPr>
          <w:rFonts w:eastAsia="Times New Roman" w:cs="Times New Roman"/>
          <w:rtl/>
          <w:lang w:eastAsia="de-DE"/>
        </w:rPr>
        <w:t xml:space="preserve"> </w:t>
      </w:r>
      <w:r w:rsidRPr="00C71F15">
        <w:rPr>
          <w:rFonts w:eastAsia="Times New Roman" w:cs="Times New Roman"/>
          <w:lang w:eastAsia="de-DE"/>
        </w:rPr>
        <w:t xml:space="preserve">(maskuliner Plural von </w:t>
      </w:r>
      <w:r w:rsidRPr="00C71F15">
        <w:rPr>
          <w:rFonts w:eastAsia="Times New Roman" w:cs="Times New Roman"/>
          <w:b/>
          <w:bCs/>
          <w:rtl/>
          <w:lang w:eastAsia="de-DE"/>
        </w:rPr>
        <w:t>כֶּבֶשׂ</w:t>
      </w:r>
      <w:r w:rsidRPr="00C71F15">
        <w:rPr>
          <w:rFonts w:eastAsia="Times New Roman" w:cs="Times New Roman"/>
          <w:rtl/>
          <w:lang w:eastAsia="de-DE"/>
        </w:rPr>
        <w:t xml:space="preserve"> </w:t>
      </w:r>
      <w:r w:rsidRPr="00C71F15">
        <w:rPr>
          <w:rFonts w:eastAsia="Times New Roman" w:cs="Times New Roman"/>
          <w:lang w:eastAsia="de-DE"/>
        </w:rPr>
        <w:t xml:space="preserve">„Lamm"), </w:t>
      </w:r>
      <w:r w:rsidRPr="00C71F15">
        <w:rPr>
          <w:rFonts w:eastAsia="Times New Roman" w:cs="Times New Roman"/>
          <w:b/>
          <w:bCs/>
          <w:rtl/>
          <w:lang w:eastAsia="de-DE"/>
        </w:rPr>
        <w:t>בְּנֵי־שָׁנָה</w:t>
      </w:r>
      <w:r w:rsidRPr="00C71F15">
        <w:rPr>
          <w:rFonts w:eastAsia="Times New Roman" w:cs="Times New Roman"/>
          <w:rtl/>
          <w:lang w:eastAsia="de-DE"/>
        </w:rPr>
        <w:t xml:space="preserve"> </w:t>
      </w:r>
      <w:r w:rsidRPr="00C71F15">
        <w:rPr>
          <w:rFonts w:eastAsia="Times New Roman" w:cs="Times New Roman"/>
          <w:lang w:eastAsia="de-DE"/>
        </w:rPr>
        <w:t xml:space="preserve">ist eine Genitivverbindung: </w:t>
      </w:r>
      <w:r w:rsidRPr="00C71F15">
        <w:rPr>
          <w:rFonts w:eastAsia="Times New Roman" w:cs="Times New Roman"/>
          <w:b/>
          <w:bCs/>
          <w:rtl/>
          <w:lang w:eastAsia="de-DE"/>
        </w:rPr>
        <w:t>בְּנֵי</w:t>
      </w:r>
      <w:r w:rsidRPr="00C71F15">
        <w:rPr>
          <w:rFonts w:eastAsia="Times New Roman" w:cs="Times New Roman"/>
          <w:rtl/>
          <w:lang w:eastAsia="de-DE"/>
        </w:rPr>
        <w:t xml:space="preserve"> </w:t>
      </w:r>
      <w:r w:rsidRPr="00C71F15">
        <w:rPr>
          <w:rFonts w:eastAsia="Times New Roman" w:cs="Times New Roman"/>
          <w:lang w:eastAsia="de-DE"/>
        </w:rPr>
        <w:t xml:space="preserve">(Plural </w:t>
      </w:r>
      <w:r w:rsidR="00E031B3">
        <w:rPr>
          <w:rFonts w:eastAsia="Times New Roman" w:cs="Times New Roman"/>
          <w:lang w:eastAsia="de-DE"/>
        </w:rPr>
        <w:t>Constructus von</w:t>
      </w:r>
      <w:r w:rsidRPr="00C71F15">
        <w:rPr>
          <w:rFonts w:eastAsia="Times New Roman" w:cs="Times New Roman"/>
          <w:lang w:eastAsia="de-DE"/>
        </w:rPr>
        <w:t xml:space="preserve"> </w:t>
      </w:r>
      <w:r w:rsidRPr="00C71F15">
        <w:rPr>
          <w:rFonts w:eastAsia="Times New Roman" w:cs="Times New Roman"/>
          <w:b/>
          <w:bCs/>
          <w:rtl/>
          <w:lang w:eastAsia="de-DE"/>
        </w:rPr>
        <w:t>בֵּן</w:t>
      </w:r>
      <w:r w:rsidRPr="00C71F15">
        <w:rPr>
          <w:rFonts w:eastAsia="Times New Roman" w:cs="Times New Roman"/>
          <w:rtl/>
          <w:lang w:eastAsia="de-DE"/>
        </w:rPr>
        <w:t xml:space="preserve"> </w:t>
      </w:r>
      <w:r w:rsidRPr="00C71F15">
        <w:rPr>
          <w:rFonts w:eastAsia="Times New Roman" w:cs="Times New Roman"/>
          <w:lang w:eastAsia="de-DE"/>
        </w:rPr>
        <w:t xml:space="preserve">„Sohn") mit </w:t>
      </w:r>
      <w:r w:rsidRPr="00C71F15">
        <w:rPr>
          <w:rFonts w:eastAsia="Times New Roman" w:cs="Times New Roman"/>
          <w:b/>
          <w:bCs/>
          <w:rtl/>
          <w:lang w:eastAsia="de-DE"/>
        </w:rPr>
        <w:t>שָׁנָה</w:t>
      </w:r>
      <w:r w:rsidRPr="00C71F15">
        <w:rPr>
          <w:rFonts w:eastAsia="Times New Roman" w:cs="Times New Roman"/>
          <w:rtl/>
          <w:lang w:eastAsia="de-DE"/>
        </w:rPr>
        <w:t xml:space="preserve"> </w:t>
      </w:r>
      <w:r w:rsidRPr="00C71F15">
        <w:rPr>
          <w:rFonts w:eastAsia="Times New Roman" w:cs="Times New Roman"/>
          <w:lang w:eastAsia="de-DE"/>
        </w:rPr>
        <w:t xml:space="preserve">(„Jahr") bedeutet idiomatisch „einjährig". </w:t>
      </w:r>
      <w:r w:rsidRPr="00C71F15">
        <w:rPr>
          <w:rFonts w:eastAsia="Times New Roman" w:cs="Times New Roman"/>
          <w:b/>
          <w:bCs/>
          <w:rtl/>
          <w:lang w:eastAsia="de-DE"/>
        </w:rPr>
        <w:t>תְמִימִם</w:t>
      </w:r>
      <w:r w:rsidRPr="00C71F15">
        <w:rPr>
          <w:rFonts w:eastAsia="Times New Roman" w:cs="Times New Roman"/>
          <w:rtl/>
          <w:lang w:eastAsia="de-DE"/>
        </w:rPr>
        <w:t xml:space="preserve"> </w:t>
      </w:r>
      <w:r w:rsidRPr="00C71F15">
        <w:rPr>
          <w:rFonts w:eastAsia="Times New Roman" w:cs="Times New Roman"/>
          <w:lang w:eastAsia="de-DE"/>
        </w:rPr>
        <w:t xml:space="preserve">(maskuliner Plural von </w:t>
      </w:r>
      <w:r w:rsidRPr="00C71F15">
        <w:rPr>
          <w:rFonts w:eastAsia="Times New Roman" w:cs="Times New Roman"/>
          <w:b/>
          <w:bCs/>
          <w:rtl/>
          <w:lang w:eastAsia="de-DE"/>
        </w:rPr>
        <w:t>תָּמִים</w:t>
      </w:r>
      <w:r w:rsidRPr="00C71F15">
        <w:rPr>
          <w:rFonts w:eastAsia="Times New Roman" w:cs="Times New Roman"/>
          <w:rtl/>
          <w:lang w:eastAsia="de-DE"/>
        </w:rPr>
        <w:t xml:space="preserve"> </w:t>
      </w:r>
      <w:r w:rsidRPr="00C71F15">
        <w:rPr>
          <w:rFonts w:eastAsia="Times New Roman" w:cs="Times New Roman"/>
          <w:lang w:eastAsia="de-DE"/>
        </w:rPr>
        <w:t xml:space="preserve">„vollkommen, makellos, ohne Fehl"), </w:t>
      </w:r>
      <w:r w:rsidRPr="00C71F15">
        <w:rPr>
          <w:rFonts w:eastAsia="Times New Roman" w:cs="Times New Roman"/>
          <w:b/>
          <w:bCs/>
          <w:rtl/>
          <w:lang w:eastAsia="de-DE"/>
        </w:rPr>
        <w:t>שְׁנַיִם</w:t>
      </w:r>
      <w:r w:rsidRPr="00C71F15">
        <w:rPr>
          <w:rFonts w:eastAsia="Times New Roman" w:cs="Times New Roman"/>
          <w:rtl/>
          <w:lang w:eastAsia="de-DE"/>
        </w:rPr>
        <w:t xml:space="preserve"> </w:t>
      </w:r>
      <w:r w:rsidRPr="00C71F15">
        <w:rPr>
          <w:rFonts w:eastAsia="Times New Roman" w:cs="Times New Roman"/>
          <w:lang w:eastAsia="de-DE"/>
        </w:rPr>
        <w:t xml:space="preserve">ist die Kardinalzahl „zwei". </w:t>
      </w:r>
      <w:r w:rsidRPr="00C71F15">
        <w:rPr>
          <w:rFonts w:eastAsia="Times New Roman" w:cs="Times New Roman"/>
          <w:b/>
          <w:bCs/>
          <w:rtl/>
          <w:lang w:eastAsia="de-DE"/>
        </w:rPr>
        <w:t>לַיּוֹם</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יוֹם</w:t>
      </w:r>
      <w:r w:rsidRPr="00C71F15">
        <w:rPr>
          <w:rFonts w:eastAsia="Times New Roman" w:cs="Times New Roman"/>
          <w:rtl/>
          <w:lang w:eastAsia="de-DE"/>
        </w:rPr>
        <w:t xml:space="preserve"> </w:t>
      </w:r>
      <w:r w:rsidRPr="00C71F15">
        <w:rPr>
          <w:rFonts w:eastAsia="Times New Roman" w:cs="Times New Roman"/>
          <w:lang w:eastAsia="de-DE"/>
        </w:rPr>
        <w:t xml:space="preserve">„Tag" und Artikel „pro Tag, täglich"). </w:t>
      </w:r>
      <w:r w:rsidRPr="00C71F15">
        <w:rPr>
          <w:rFonts w:eastAsia="Times New Roman" w:cs="Times New Roman"/>
          <w:b/>
          <w:bCs/>
          <w:rtl/>
          <w:lang w:eastAsia="de-DE"/>
        </w:rPr>
        <w:t>עֹלָה תָמִיד</w:t>
      </w:r>
      <w:r w:rsidRPr="00C71F15">
        <w:rPr>
          <w:rFonts w:eastAsia="Times New Roman" w:cs="Times New Roman"/>
          <w:rtl/>
          <w:lang w:eastAsia="de-DE"/>
        </w:rPr>
        <w:t xml:space="preserve"> </w:t>
      </w:r>
      <w:r w:rsidRPr="00C71F15">
        <w:rPr>
          <w:rFonts w:eastAsia="Times New Roman" w:cs="Times New Roman"/>
          <w:lang w:eastAsia="de-DE"/>
        </w:rPr>
        <w:t xml:space="preserve">ist eine Apposition: </w:t>
      </w:r>
      <w:r w:rsidRPr="00C71F15">
        <w:rPr>
          <w:rFonts w:eastAsia="Times New Roman" w:cs="Times New Roman"/>
          <w:b/>
          <w:bCs/>
          <w:rtl/>
          <w:lang w:eastAsia="de-DE"/>
        </w:rPr>
        <w:t>עֹלָה</w:t>
      </w:r>
      <w:r w:rsidRPr="00C71F15">
        <w:rPr>
          <w:rFonts w:eastAsia="Times New Roman" w:cs="Times New Roman"/>
          <w:rtl/>
          <w:lang w:eastAsia="de-DE"/>
        </w:rPr>
        <w:t xml:space="preserve"> </w:t>
      </w:r>
      <w:r w:rsidRPr="00C71F15">
        <w:rPr>
          <w:rFonts w:eastAsia="Times New Roman" w:cs="Times New Roman"/>
          <w:lang w:eastAsia="de-DE"/>
        </w:rPr>
        <w:t>(feminin Singular „</w:t>
      </w:r>
      <w:r w:rsidR="00593666">
        <w:rPr>
          <w:rFonts w:eastAsia="Times New Roman" w:cs="Times New Roman"/>
          <w:lang w:eastAsia="de-DE"/>
        </w:rPr>
        <w:t>Aufsteigeopfer</w:t>
      </w:r>
      <w:r w:rsidRPr="00C71F15">
        <w:rPr>
          <w:rFonts w:eastAsia="Times New Roman" w:cs="Times New Roman"/>
          <w:lang w:eastAsia="de-DE"/>
        </w:rPr>
        <w:t xml:space="preserve">"), </w:t>
      </w:r>
      <w:r w:rsidRPr="00C71F15">
        <w:rPr>
          <w:rFonts w:eastAsia="Times New Roman" w:cs="Times New Roman"/>
          <w:b/>
          <w:bCs/>
          <w:rtl/>
          <w:lang w:eastAsia="de-DE"/>
        </w:rPr>
        <w:t>תָמִיד</w:t>
      </w:r>
      <w:r w:rsidRPr="00C71F15">
        <w:rPr>
          <w:rFonts w:eastAsia="Times New Roman" w:cs="Times New Roman"/>
          <w:rtl/>
          <w:lang w:eastAsia="de-DE"/>
        </w:rPr>
        <w:t xml:space="preserve"> </w:t>
      </w:r>
      <w:r w:rsidRPr="00C71F15">
        <w:rPr>
          <w:rFonts w:eastAsia="Times New Roman" w:cs="Times New Roman"/>
          <w:lang w:eastAsia="de-DE"/>
        </w:rPr>
        <w:t xml:space="preserve">(Adverb „beständig, regelmäßig, kontinuierlich"). Das </w:t>
      </w:r>
      <w:r w:rsidRPr="00C71F15">
        <w:rPr>
          <w:rFonts w:eastAsia="Times New Roman" w:cs="Times New Roman"/>
          <w:b/>
          <w:bCs/>
          <w:rtl/>
          <w:lang w:eastAsia="de-DE"/>
        </w:rPr>
        <w:t>תָּמִיד</w:t>
      </w:r>
      <w:r w:rsidRPr="00C71F15">
        <w:rPr>
          <w:rFonts w:eastAsia="Times New Roman" w:cs="Times New Roman"/>
          <w:lang w:eastAsia="de-DE"/>
        </w:rPr>
        <w:t>-Opfer (Tamid) wurde zum zentralen Begriff für das tägliche Morgen- und Abendopfer.</w:t>
      </w:r>
    </w:p>
    <w:p w14:paraId="7041F5BA" w14:textId="179F6321"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Die LXX</w:t>
      </w:r>
      <w:r w:rsidRPr="00C71F15">
        <w:rPr>
          <w:rFonts w:eastAsia="Times New Roman" w:cs="Times New Roman"/>
          <w:lang w:eastAsia="de-DE"/>
        </w:rPr>
        <w:t xml:space="preserve"> </w:t>
      </w:r>
      <w:r w:rsidR="00EA15C5">
        <w:t>übersetzt „</w:t>
      </w:r>
      <w:r w:rsidR="00EA15C5" w:rsidRPr="00EA15C5">
        <w:rPr>
          <w:b/>
          <w:bCs/>
          <w:rtl/>
        </w:rPr>
        <w:t>הָאִשֶּׁה</w:t>
      </w:r>
      <w:r w:rsidR="00EA15C5">
        <w:t>" (das Feueropfer) mit „τὰ καρπώματα" (die Opfergaben), wobei der Aspekt des Feuers weggelassen wird.</w:t>
      </w:r>
    </w:p>
    <w:p w14:paraId="2D7CD2D6"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zeigt eine Redeformel, gefolgt von einem Demonstrativsatz mit Relativsatz und einer detaillierten Objektbeschreibung mit mehreren Attributen und appositiver Ergänzung.</w:t>
      </w:r>
    </w:p>
    <w:p w14:paraId="28B135BC" w14:textId="7D45A96E"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 xml:space="preserve">Der Vers etabliert das fundamentale tägliche Opfer: zwei makellose einjährige Lämmer als beständiges </w:t>
      </w:r>
      <w:r w:rsidR="00593666">
        <w:rPr>
          <w:rFonts w:eastAsia="Times New Roman" w:cs="Times New Roman"/>
          <w:lang w:eastAsia="de-DE"/>
        </w:rPr>
        <w:t>Aufsteigeopfer</w:t>
      </w:r>
      <w:r w:rsidRPr="00C71F15">
        <w:rPr>
          <w:rFonts w:eastAsia="Times New Roman" w:cs="Times New Roman"/>
          <w:lang w:eastAsia="de-DE"/>
        </w:rPr>
        <w:t>, das die kontinuierliche Beziehung zwischen Gott und Israel symbolisiert und später im Jerusalemer Tempel zentral wurde.</w:t>
      </w:r>
    </w:p>
    <w:p w14:paraId="3167268B"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28,4</w:t>
      </w:r>
    </w:p>
    <w:p w14:paraId="5D3E73A4"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lastRenderedPageBreak/>
        <w:t>Hebräisch:</w:t>
      </w:r>
      <w:r w:rsidRPr="00C71F15">
        <w:rPr>
          <w:rFonts w:eastAsia="Times New Roman" w:cs="Times New Roman"/>
          <w:lang w:eastAsia="de-DE"/>
        </w:rPr>
        <w:t xml:space="preserve"> </w:t>
      </w:r>
      <w:r w:rsidRPr="00C71F15">
        <w:rPr>
          <w:rFonts w:eastAsia="Times New Roman" w:cs="Times New Roman"/>
          <w:rtl/>
          <w:lang w:eastAsia="de-DE"/>
        </w:rPr>
        <w:t>אֶת־הַכֶּ֥בֶשׂ אֶחָ֖ד תַּעֲשֶׂ֣ה בַבֹּ֑קֶר וְאֵת֙ הַכֶּ֣בֶשׂ הַשֵּׁנִ֔י תַּעֲשֶׂ֖ה בֵּ֥ין הָֽעַרְבָּֽיִם׃</w:t>
      </w:r>
    </w:p>
    <w:p w14:paraId="3FE74FEB"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Das eine Lamm sollst du am Morgen machen, und das zweite Lamm sollst du zwischen den beiden Abenden machen;</w:t>
      </w:r>
    </w:p>
    <w:p w14:paraId="27F1AF15"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2BB0F9D5">
          <v:rect id="_x0000_i1908" style="width:0;height:1.5pt" o:hralign="center" o:hrstd="t" o:hr="t" fillcolor="#a0a0a0" stroked="f"/>
        </w:pict>
      </w:r>
    </w:p>
    <w:p w14:paraId="7DD681C1"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teilt das tägliche Opfer zeitlich auf. </w:t>
      </w:r>
      <w:r w:rsidRPr="00C71F15">
        <w:rPr>
          <w:rFonts w:eastAsia="Times New Roman" w:cs="Times New Roman"/>
          <w:b/>
          <w:bCs/>
          <w:rtl/>
          <w:lang w:eastAsia="de-DE"/>
        </w:rPr>
        <w:t>אֶת־הַכֶּבֶשׂ אֶחָד תַּעֲשֶׂה בַבֹּקֶר</w:t>
      </w:r>
      <w:r w:rsidRPr="00C71F15">
        <w:rPr>
          <w:rFonts w:eastAsia="Times New Roman" w:cs="Times New Roman"/>
          <w:rtl/>
          <w:lang w:eastAsia="de-DE"/>
        </w:rPr>
        <w:t xml:space="preserve"> </w:t>
      </w:r>
      <w:r w:rsidRPr="00C71F15">
        <w:rPr>
          <w:rFonts w:eastAsia="Times New Roman" w:cs="Times New Roman"/>
          <w:lang w:eastAsia="de-DE"/>
        </w:rPr>
        <w:t xml:space="preserve">gibt die Morgenzeit an. </w:t>
      </w:r>
      <w:r w:rsidRPr="00C71F15">
        <w:rPr>
          <w:rFonts w:eastAsia="Times New Roman" w:cs="Times New Roman"/>
          <w:b/>
          <w:bCs/>
          <w:rtl/>
          <w:lang w:eastAsia="de-DE"/>
        </w:rPr>
        <w:t>אֶת־הַכֶּבֶשׂ</w:t>
      </w:r>
      <w:r w:rsidRPr="00C71F15">
        <w:rPr>
          <w:rFonts w:eastAsia="Times New Roman" w:cs="Times New Roman"/>
          <w:rtl/>
          <w:lang w:eastAsia="de-DE"/>
        </w:rPr>
        <w:t xml:space="preserve"> </w:t>
      </w:r>
      <w:r w:rsidRPr="00C71F15">
        <w:rPr>
          <w:rFonts w:eastAsia="Times New Roman" w:cs="Times New Roman"/>
          <w:lang w:eastAsia="de-DE"/>
        </w:rPr>
        <w:t xml:space="preserve">(Akkusativpartikel mit </w:t>
      </w:r>
      <w:r w:rsidRPr="00C71F15">
        <w:rPr>
          <w:rFonts w:eastAsia="Times New Roman" w:cs="Times New Roman"/>
          <w:b/>
          <w:bCs/>
          <w:rtl/>
          <w:lang w:eastAsia="de-DE"/>
        </w:rPr>
        <w:t>כֶּבֶשׂ</w:t>
      </w:r>
      <w:r w:rsidRPr="00C71F15">
        <w:rPr>
          <w:rFonts w:eastAsia="Times New Roman" w:cs="Times New Roman"/>
          <w:rtl/>
          <w:lang w:eastAsia="de-DE"/>
        </w:rPr>
        <w:t xml:space="preserve"> </w:t>
      </w:r>
      <w:r w:rsidRPr="00C71F15">
        <w:rPr>
          <w:rFonts w:eastAsia="Times New Roman" w:cs="Times New Roman"/>
          <w:lang w:eastAsia="de-DE"/>
        </w:rPr>
        <w:t xml:space="preserve">„Lamm" und Artikel), </w:t>
      </w:r>
      <w:r w:rsidRPr="00C71F15">
        <w:rPr>
          <w:rFonts w:eastAsia="Times New Roman" w:cs="Times New Roman"/>
          <w:b/>
          <w:bCs/>
          <w:rtl/>
          <w:lang w:eastAsia="de-DE"/>
        </w:rPr>
        <w:t>אֶחָד</w:t>
      </w:r>
      <w:r w:rsidRPr="00C71F15">
        <w:rPr>
          <w:rFonts w:eastAsia="Times New Roman" w:cs="Times New Roman"/>
          <w:rtl/>
          <w:lang w:eastAsia="de-DE"/>
        </w:rPr>
        <w:t xml:space="preserve"> </w:t>
      </w:r>
      <w:r w:rsidRPr="00C71F15">
        <w:rPr>
          <w:rFonts w:eastAsia="Times New Roman" w:cs="Times New Roman"/>
          <w:lang w:eastAsia="de-DE"/>
        </w:rPr>
        <w:t xml:space="preserve">(Kardinalzahl „eins, ein"), </w:t>
      </w:r>
      <w:r w:rsidRPr="00C71F15">
        <w:rPr>
          <w:rFonts w:eastAsia="Times New Roman" w:cs="Times New Roman"/>
          <w:b/>
          <w:bCs/>
          <w:rtl/>
          <w:lang w:eastAsia="de-DE"/>
        </w:rPr>
        <w:t>תַּעֲשֶׂה</w:t>
      </w:r>
      <w:r w:rsidRPr="00C71F15">
        <w:rPr>
          <w:rFonts w:eastAsia="Times New Roman" w:cs="Times New Roman"/>
          <w:rtl/>
          <w:lang w:eastAsia="de-DE"/>
        </w:rPr>
        <w:t xml:space="preserve"> </w:t>
      </w:r>
      <w:r w:rsidRPr="00C71F15">
        <w:rPr>
          <w:rFonts w:eastAsia="Times New Roman" w:cs="Times New Roman"/>
          <w:lang w:eastAsia="de-DE"/>
        </w:rPr>
        <w:t xml:space="preserve">(Qal Imperfekt 2. Person maskulin Singular von </w:t>
      </w:r>
      <w:r w:rsidRPr="00C71F15">
        <w:rPr>
          <w:rFonts w:eastAsia="Times New Roman" w:cs="Times New Roman"/>
          <w:b/>
          <w:bCs/>
          <w:rtl/>
          <w:lang w:eastAsia="de-DE"/>
        </w:rPr>
        <w:t>עשׂה</w:t>
      </w:r>
      <w:r w:rsidRPr="00C71F15">
        <w:rPr>
          <w:rFonts w:eastAsia="Times New Roman" w:cs="Times New Roman"/>
          <w:rtl/>
          <w:lang w:eastAsia="de-DE"/>
        </w:rPr>
        <w:t xml:space="preserve"> </w:t>
      </w:r>
      <w:r w:rsidRPr="00C71F15">
        <w:rPr>
          <w:rFonts w:eastAsia="Times New Roman" w:cs="Times New Roman"/>
          <w:lang w:eastAsia="de-DE"/>
        </w:rPr>
        <w:t xml:space="preserve">„machen, bereiten, darbringen"), </w:t>
      </w:r>
      <w:r w:rsidRPr="00C71F15">
        <w:rPr>
          <w:rFonts w:eastAsia="Times New Roman" w:cs="Times New Roman"/>
          <w:b/>
          <w:bCs/>
          <w:rtl/>
          <w:lang w:eastAsia="de-DE"/>
        </w:rPr>
        <w:t>בַבֹּקֶר</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בְ</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בֹּקֶר</w:t>
      </w:r>
      <w:r w:rsidRPr="00C71F15">
        <w:rPr>
          <w:rFonts w:eastAsia="Times New Roman" w:cs="Times New Roman"/>
          <w:rtl/>
          <w:lang w:eastAsia="de-DE"/>
        </w:rPr>
        <w:t xml:space="preserve"> </w:t>
      </w:r>
      <w:r w:rsidRPr="00C71F15">
        <w:rPr>
          <w:rFonts w:eastAsia="Times New Roman" w:cs="Times New Roman"/>
          <w:lang w:eastAsia="de-DE"/>
        </w:rPr>
        <w:t>„Morgen" und Artikel „am Morgen").</w:t>
      </w:r>
    </w:p>
    <w:p w14:paraId="293CD41B"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וְאֵת הַכֶּבֶשׂ הַשֵּׁנִי תַּעֲשֶׂה בֵּין הָעַרְבָּיִם</w:t>
      </w:r>
      <w:r w:rsidRPr="00C71F15">
        <w:rPr>
          <w:rFonts w:eastAsia="Times New Roman" w:cs="Times New Roman"/>
          <w:rtl/>
          <w:lang w:eastAsia="de-DE"/>
        </w:rPr>
        <w:t xml:space="preserve"> </w:t>
      </w:r>
      <w:r w:rsidRPr="00C71F15">
        <w:rPr>
          <w:rFonts w:eastAsia="Times New Roman" w:cs="Times New Roman"/>
          <w:lang w:eastAsia="de-DE"/>
        </w:rPr>
        <w:t xml:space="preserve">gibt die Abendzeit an. </w:t>
      </w:r>
      <w:r w:rsidRPr="00C71F15">
        <w:rPr>
          <w:rFonts w:eastAsia="Times New Roman" w:cs="Times New Roman"/>
          <w:b/>
          <w:bCs/>
          <w:rtl/>
          <w:lang w:eastAsia="de-DE"/>
        </w:rPr>
        <w:t>וְאֵת הַכֶּבֶשׂ הַשֵּׁנִי</w:t>
      </w:r>
      <w:r w:rsidRPr="00C71F15">
        <w:rPr>
          <w:rFonts w:eastAsia="Times New Roman" w:cs="Times New Roman"/>
          <w:rtl/>
          <w:lang w:eastAsia="de-DE"/>
        </w:rPr>
        <w:t xml:space="preserve"> </w:t>
      </w:r>
      <w:r w:rsidRPr="00C71F15">
        <w:rPr>
          <w:rFonts w:eastAsia="Times New Roman" w:cs="Times New Roman"/>
          <w:lang w:eastAsia="de-DE"/>
        </w:rPr>
        <w:t xml:space="preserve">(Konjunktion mit Akkusativpartikel, </w:t>
      </w:r>
      <w:r w:rsidRPr="00C71F15">
        <w:rPr>
          <w:rFonts w:eastAsia="Times New Roman" w:cs="Times New Roman"/>
          <w:b/>
          <w:bCs/>
          <w:rtl/>
          <w:lang w:eastAsia="de-DE"/>
        </w:rPr>
        <w:t>כֶּבֶשׂ</w:t>
      </w:r>
      <w:r w:rsidRPr="00C71F15">
        <w:rPr>
          <w:rFonts w:eastAsia="Times New Roman" w:cs="Times New Roman"/>
          <w:rtl/>
          <w:lang w:eastAsia="de-DE"/>
        </w:rPr>
        <w:t xml:space="preserve"> </w:t>
      </w:r>
      <w:r w:rsidRPr="00C71F15">
        <w:rPr>
          <w:rFonts w:eastAsia="Times New Roman" w:cs="Times New Roman"/>
          <w:lang w:eastAsia="de-DE"/>
        </w:rPr>
        <w:t xml:space="preserve">mit Artikel und </w:t>
      </w:r>
      <w:r w:rsidRPr="00C71F15">
        <w:rPr>
          <w:rFonts w:eastAsia="Times New Roman" w:cs="Times New Roman"/>
          <w:b/>
          <w:bCs/>
          <w:rtl/>
          <w:lang w:eastAsia="de-DE"/>
        </w:rPr>
        <w:t>שֵׁנִי</w:t>
      </w:r>
      <w:r w:rsidRPr="00C71F15">
        <w:rPr>
          <w:rFonts w:eastAsia="Times New Roman" w:cs="Times New Roman"/>
          <w:rtl/>
          <w:lang w:eastAsia="de-DE"/>
        </w:rPr>
        <w:t xml:space="preserve"> </w:t>
      </w:r>
      <w:r w:rsidRPr="00C71F15">
        <w:rPr>
          <w:rFonts w:eastAsia="Times New Roman" w:cs="Times New Roman"/>
          <w:lang w:eastAsia="de-DE"/>
        </w:rPr>
        <w:t xml:space="preserve">„zweiter" mit Artikel), </w:t>
      </w:r>
      <w:r w:rsidRPr="00C71F15">
        <w:rPr>
          <w:rFonts w:eastAsia="Times New Roman" w:cs="Times New Roman"/>
          <w:b/>
          <w:bCs/>
          <w:rtl/>
          <w:lang w:eastAsia="de-DE"/>
        </w:rPr>
        <w:t>תַּעֲשֶׂה</w:t>
      </w:r>
      <w:r w:rsidRPr="00C71F15">
        <w:rPr>
          <w:rFonts w:eastAsia="Times New Roman" w:cs="Times New Roman"/>
          <w:rtl/>
          <w:lang w:eastAsia="de-DE"/>
        </w:rPr>
        <w:t xml:space="preserve"> </w:t>
      </w:r>
      <w:r w:rsidRPr="00C71F15">
        <w:rPr>
          <w:rFonts w:eastAsia="Times New Roman" w:cs="Times New Roman"/>
          <w:lang w:eastAsia="de-DE"/>
        </w:rPr>
        <w:t xml:space="preserve">(wie zuvor). </w:t>
      </w:r>
      <w:r w:rsidRPr="00C71F15">
        <w:rPr>
          <w:rFonts w:eastAsia="Times New Roman" w:cs="Times New Roman"/>
          <w:b/>
          <w:bCs/>
          <w:rtl/>
          <w:lang w:eastAsia="de-DE"/>
        </w:rPr>
        <w:t>בֵּין הָעַרְבָּיִם</w:t>
      </w:r>
      <w:r w:rsidRPr="00C71F15">
        <w:rPr>
          <w:rFonts w:eastAsia="Times New Roman" w:cs="Times New Roman"/>
          <w:rtl/>
          <w:lang w:eastAsia="de-DE"/>
        </w:rPr>
        <w:t xml:space="preserve"> </w:t>
      </w:r>
      <w:r w:rsidRPr="00C71F15">
        <w:rPr>
          <w:rFonts w:eastAsia="Times New Roman" w:cs="Times New Roman"/>
          <w:lang w:eastAsia="de-DE"/>
        </w:rPr>
        <w:t xml:space="preserve">ist idiomatisch: </w:t>
      </w:r>
      <w:r w:rsidRPr="00C71F15">
        <w:rPr>
          <w:rFonts w:eastAsia="Times New Roman" w:cs="Times New Roman"/>
          <w:b/>
          <w:bCs/>
          <w:rtl/>
          <w:lang w:eastAsia="de-DE"/>
        </w:rPr>
        <w:t>בֵּין</w:t>
      </w:r>
      <w:r w:rsidRPr="00C71F15">
        <w:rPr>
          <w:rFonts w:eastAsia="Times New Roman" w:cs="Times New Roman"/>
          <w:rtl/>
          <w:lang w:eastAsia="de-DE"/>
        </w:rPr>
        <w:t xml:space="preserve"> </w:t>
      </w:r>
      <w:r w:rsidRPr="00C71F15">
        <w:rPr>
          <w:rFonts w:eastAsia="Times New Roman" w:cs="Times New Roman"/>
          <w:lang w:eastAsia="de-DE"/>
        </w:rPr>
        <w:t xml:space="preserve">(„zwischen"), </w:t>
      </w:r>
      <w:r w:rsidRPr="00C71F15">
        <w:rPr>
          <w:rFonts w:eastAsia="Times New Roman" w:cs="Times New Roman"/>
          <w:b/>
          <w:bCs/>
          <w:rtl/>
          <w:lang w:eastAsia="de-DE"/>
        </w:rPr>
        <w:t>הָעַרְבָּיִם</w:t>
      </w:r>
      <w:r w:rsidRPr="00C71F15">
        <w:rPr>
          <w:rFonts w:eastAsia="Times New Roman" w:cs="Times New Roman"/>
          <w:rtl/>
          <w:lang w:eastAsia="de-DE"/>
        </w:rPr>
        <w:t xml:space="preserve"> </w:t>
      </w:r>
      <w:r w:rsidRPr="00C71F15">
        <w:rPr>
          <w:rFonts w:eastAsia="Times New Roman" w:cs="Times New Roman"/>
          <w:lang w:eastAsia="de-DE"/>
        </w:rPr>
        <w:t xml:space="preserve">(Dual von </w:t>
      </w:r>
      <w:r w:rsidRPr="00C71F15">
        <w:rPr>
          <w:rFonts w:eastAsia="Times New Roman" w:cs="Times New Roman"/>
          <w:b/>
          <w:bCs/>
          <w:rtl/>
          <w:lang w:eastAsia="de-DE"/>
        </w:rPr>
        <w:t>עֶרֶב</w:t>
      </w:r>
      <w:r w:rsidRPr="00C71F15">
        <w:rPr>
          <w:rFonts w:eastAsia="Times New Roman" w:cs="Times New Roman"/>
          <w:rtl/>
          <w:lang w:eastAsia="de-DE"/>
        </w:rPr>
        <w:t xml:space="preserve"> </w:t>
      </w:r>
      <w:r w:rsidRPr="00C71F15">
        <w:rPr>
          <w:rFonts w:eastAsia="Times New Roman" w:cs="Times New Roman"/>
          <w:lang w:eastAsia="de-DE"/>
        </w:rPr>
        <w:t xml:space="preserve">„Abend" mit Artikel „die beiden Abende"). Der Ausdruck </w:t>
      </w:r>
      <w:r w:rsidRPr="00C71F15">
        <w:rPr>
          <w:rFonts w:eastAsia="Times New Roman" w:cs="Times New Roman"/>
          <w:b/>
          <w:bCs/>
          <w:rtl/>
          <w:lang w:eastAsia="de-DE"/>
        </w:rPr>
        <w:t>בֵּין הָעַרְבָּיִם</w:t>
      </w:r>
      <w:r w:rsidRPr="00C71F15">
        <w:rPr>
          <w:rFonts w:eastAsia="Times New Roman" w:cs="Times New Roman"/>
          <w:rtl/>
          <w:lang w:eastAsia="de-DE"/>
        </w:rPr>
        <w:t xml:space="preserve"> </w:t>
      </w:r>
      <w:r w:rsidRPr="00C71F15">
        <w:rPr>
          <w:rFonts w:eastAsia="Times New Roman" w:cs="Times New Roman"/>
          <w:lang w:eastAsia="de-DE"/>
        </w:rPr>
        <w:t>wird unterschiedlich interpretiert: entweder zwischen Sonnenuntergang und Dunkelheit oder zwischen Nachmittag (wenn die Sonne zu sinken beginnt) und Sonnenuntergang.</w:t>
      </w:r>
    </w:p>
    <w:p w14:paraId="1DA1E78D"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Die LXX</w:t>
      </w:r>
      <w:r w:rsidRPr="00C71F15">
        <w:rPr>
          <w:rFonts w:eastAsia="Times New Roman" w:cs="Times New Roman"/>
          <w:lang w:eastAsia="de-DE"/>
        </w:rPr>
        <w:t xml:space="preserve"> übersetzt </w:t>
      </w:r>
      <w:r w:rsidRPr="00C71F15">
        <w:rPr>
          <w:rFonts w:eastAsia="Times New Roman" w:cs="Times New Roman"/>
          <w:b/>
          <w:bCs/>
          <w:rtl/>
          <w:lang w:eastAsia="de-DE"/>
        </w:rPr>
        <w:t>בֵּין הָעַרְבָּיִם</w:t>
      </w:r>
      <w:r w:rsidRPr="00C71F15">
        <w:rPr>
          <w:rFonts w:eastAsia="Times New Roman" w:cs="Times New Roman"/>
          <w:rtl/>
          <w:lang w:eastAsia="de-DE"/>
        </w:rPr>
        <w:t xml:space="preserve"> </w:t>
      </w:r>
      <w:r w:rsidRPr="00C71F15">
        <w:rPr>
          <w:rFonts w:eastAsia="Times New Roman" w:cs="Times New Roman"/>
          <w:lang w:eastAsia="de-DE"/>
        </w:rPr>
        <w:t>mit τὸ πρὸς ἑσπέραν („gegen Abend").</w:t>
      </w:r>
    </w:p>
    <w:p w14:paraId="673CDA98"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zeigt zwei parallele Sätze mit Akkusativobjekt, Verb und temporaler Bestimmung.</w:t>
      </w:r>
    </w:p>
    <w:p w14:paraId="249AF946"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etabliert den zweimaligen täglichen Rhythmus des Opferdienstes, der den Tag kultisch rahmt und Israel in ständiger Verbindung mit Gott hält.</w:t>
      </w:r>
    </w:p>
    <w:p w14:paraId="6859B62A"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28,5</w:t>
      </w:r>
    </w:p>
    <w:p w14:paraId="54AE4AE3"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וַעֲשִׂירִ֧ית הָאֵיפָ֛ה סֹ֖לֶת לְמִנְחָ֑ה בְּלוּלָ֛ה בְּשֶׁ֥מֶן כָּתִ֖ית רְבִיעִ֥ת הַהִֽין׃</w:t>
      </w:r>
    </w:p>
    <w:p w14:paraId="3D7BDA4E"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zum Speiseopfer ein Zehntel Epha Feinmehl, gemengt mit einem Viertel Hin gestoßenem Öl.</w:t>
      </w:r>
    </w:p>
    <w:p w14:paraId="5372B521"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3F6D2E3B">
          <v:rect id="_x0000_i1909" style="width:0;height:1.5pt" o:hralign="center" o:hrstd="t" o:hr="t" fillcolor="#a0a0a0" stroked="f"/>
        </w:pict>
      </w:r>
    </w:p>
    <w:p w14:paraId="729BA82C"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fügt das begleitende Speiseopfer hinzu. </w:t>
      </w:r>
      <w:r w:rsidRPr="00C71F15">
        <w:rPr>
          <w:rFonts w:eastAsia="Times New Roman" w:cs="Times New Roman"/>
          <w:b/>
          <w:bCs/>
          <w:rtl/>
          <w:lang w:eastAsia="de-DE"/>
        </w:rPr>
        <w:t>וַעֲשִׂירִית הָאֵיפָה סֹלֶת לְמִנְחָה</w:t>
      </w:r>
      <w:r w:rsidRPr="00C71F15">
        <w:rPr>
          <w:rFonts w:eastAsia="Times New Roman" w:cs="Times New Roman"/>
          <w:rtl/>
          <w:lang w:eastAsia="de-DE"/>
        </w:rPr>
        <w:t xml:space="preserve"> </w:t>
      </w:r>
      <w:r w:rsidRPr="00C71F15">
        <w:rPr>
          <w:rFonts w:eastAsia="Times New Roman" w:cs="Times New Roman"/>
          <w:lang w:eastAsia="de-DE"/>
        </w:rPr>
        <w:t xml:space="preserve">beschreibt das Mehl. </w:t>
      </w:r>
      <w:r w:rsidRPr="00C71F15">
        <w:rPr>
          <w:rFonts w:eastAsia="Times New Roman" w:cs="Times New Roman"/>
          <w:b/>
          <w:bCs/>
          <w:rtl/>
          <w:lang w:eastAsia="de-DE"/>
        </w:rPr>
        <w:t>וַעֲשִׂירִית</w:t>
      </w:r>
      <w:r w:rsidRPr="00C71F15">
        <w:rPr>
          <w:rFonts w:eastAsia="Times New Roman" w:cs="Times New Roman"/>
          <w:rtl/>
          <w:lang w:eastAsia="de-DE"/>
        </w:rPr>
        <w:t xml:space="preserve"> </w:t>
      </w:r>
      <w:r w:rsidRPr="00C71F15">
        <w:rPr>
          <w:rFonts w:eastAsia="Times New Roman" w:cs="Times New Roman"/>
          <w:lang w:eastAsia="de-DE"/>
        </w:rPr>
        <w:t xml:space="preserve">(Konjunktion mit femininem Singular von </w:t>
      </w:r>
      <w:r w:rsidRPr="00C71F15">
        <w:rPr>
          <w:rFonts w:eastAsia="Times New Roman" w:cs="Times New Roman"/>
          <w:b/>
          <w:bCs/>
          <w:rtl/>
          <w:lang w:eastAsia="de-DE"/>
        </w:rPr>
        <w:t>עֲשִׂירִית</w:t>
      </w:r>
      <w:r w:rsidRPr="00C71F15">
        <w:rPr>
          <w:rFonts w:eastAsia="Times New Roman" w:cs="Times New Roman"/>
          <w:rtl/>
          <w:lang w:eastAsia="de-DE"/>
        </w:rPr>
        <w:t xml:space="preserve"> </w:t>
      </w:r>
      <w:r w:rsidRPr="00C71F15">
        <w:rPr>
          <w:rFonts w:eastAsia="Times New Roman" w:cs="Times New Roman"/>
          <w:lang w:eastAsia="de-DE"/>
        </w:rPr>
        <w:t xml:space="preserve">„Zehntel"), </w:t>
      </w:r>
      <w:r w:rsidRPr="00C71F15">
        <w:rPr>
          <w:rFonts w:eastAsia="Times New Roman" w:cs="Times New Roman"/>
          <w:b/>
          <w:bCs/>
          <w:rtl/>
          <w:lang w:eastAsia="de-DE"/>
        </w:rPr>
        <w:t>הָאֵיפָה</w:t>
      </w:r>
      <w:r w:rsidRPr="00C71F15">
        <w:rPr>
          <w:rFonts w:eastAsia="Times New Roman" w:cs="Times New Roman"/>
          <w:rtl/>
          <w:lang w:eastAsia="de-DE"/>
        </w:rPr>
        <w:t xml:space="preserve"> </w:t>
      </w:r>
      <w:r w:rsidRPr="00C71F15">
        <w:rPr>
          <w:rFonts w:eastAsia="Times New Roman" w:cs="Times New Roman"/>
          <w:lang w:eastAsia="de-DE"/>
        </w:rPr>
        <w:t xml:space="preserve">(feminin Singular </w:t>
      </w:r>
      <w:r w:rsidRPr="00C71F15">
        <w:rPr>
          <w:rFonts w:eastAsia="Times New Roman" w:cs="Times New Roman"/>
          <w:b/>
          <w:bCs/>
          <w:rtl/>
          <w:lang w:eastAsia="de-DE"/>
        </w:rPr>
        <w:t>אֵיפָה</w:t>
      </w:r>
      <w:r w:rsidRPr="00C71F15">
        <w:rPr>
          <w:rFonts w:eastAsia="Times New Roman" w:cs="Times New Roman"/>
          <w:rtl/>
          <w:lang w:eastAsia="de-DE"/>
        </w:rPr>
        <w:t xml:space="preserve"> </w:t>
      </w:r>
      <w:r w:rsidRPr="00C71F15">
        <w:rPr>
          <w:rFonts w:eastAsia="Times New Roman" w:cs="Times New Roman"/>
          <w:lang w:eastAsia="de-DE"/>
        </w:rPr>
        <w:t xml:space="preserve">„Epha" mit Artikel, ein Hohlmaß von ca. 22 Litern), zusammen „ein Zehntel Epha" (ca. 2,2 Liter). </w:t>
      </w:r>
      <w:r w:rsidRPr="00C71F15">
        <w:rPr>
          <w:rFonts w:eastAsia="Times New Roman" w:cs="Times New Roman"/>
          <w:b/>
          <w:bCs/>
          <w:rtl/>
          <w:lang w:eastAsia="de-DE"/>
        </w:rPr>
        <w:t>סֹלֶת</w:t>
      </w:r>
      <w:r w:rsidRPr="00C71F15">
        <w:rPr>
          <w:rFonts w:eastAsia="Times New Roman" w:cs="Times New Roman"/>
          <w:rtl/>
          <w:lang w:eastAsia="de-DE"/>
        </w:rPr>
        <w:t xml:space="preserve"> </w:t>
      </w:r>
      <w:r w:rsidRPr="00C71F15">
        <w:rPr>
          <w:rFonts w:eastAsia="Times New Roman" w:cs="Times New Roman"/>
          <w:lang w:eastAsia="de-DE"/>
        </w:rPr>
        <w:t xml:space="preserve">(feminin Singular „Feinmehl, Weizenmehl"), </w:t>
      </w:r>
      <w:r w:rsidRPr="00C71F15">
        <w:rPr>
          <w:rFonts w:eastAsia="Times New Roman" w:cs="Times New Roman"/>
          <w:b/>
          <w:bCs/>
          <w:rtl/>
          <w:lang w:eastAsia="de-DE"/>
        </w:rPr>
        <w:t>לְמִנְחָה</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מִנְחָה</w:t>
      </w:r>
      <w:r w:rsidRPr="00C71F15">
        <w:rPr>
          <w:rFonts w:eastAsia="Times New Roman" w:cs="Times New Roman"/>
          <w:rtl/>
          <w:lang w:eastAsia="de-DE"/>
        </w:rPr>
        <w:t xml:space="preserve"> </w:t>
      </w:r>
      <w:r w:rsidRPr="00C71F15">
        <w:rPr>
          <w:rFonts w:eastAsia="Times New Roman" w:cs="Times New Roman"/>
          <w:lang w:eastAsia="de-DE"/>
        </w:rPr>
        <w:t>„Speiseopfer, Gaben" „als Speiseopfer").</w:t>
      </w:r>
    </w:p>
    <w:p w14:paraId="197F9D7F" w14:textId="26AB81F7" w:rsidR="00C71F15" w:rsidRPr="00C71F15" w:rsidRDefault="00C71F15" w:rsidP="00C0709A">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בְּלוּלָה בְּשֶׁמֶן כָּתִית רְבִיעִת הַהִין</w:t>
      </w:r>
      <w:r w:rsidRPr="00C71F15">
        <w:rPr>
          <w:rFonts w:eastAsia="Times New Roman" w:cs="Times New Roman"/>
          <w:rtl/>
          <w:lang w:eastAsia="de-DE"/>
        </w:rPr>
        <w:t xml:space="preserve"> </w:t>
      </w:r>
      <w:r w:rsidRPr="00C71F15">
        <w:rPr>
          <w:rFonts w:eastAsia="Times New Roman" w:cs="Times New Roman"/>
          <w:lang w:eastAsia="de-DE"/>
        </w:rPr>
        <w:t xml:space="preserve">beschreibt das Öl. </w:t>
      </w:r>
      <w:r w:rsidRPr="00C71F15">
        <w:rPr>
          <w:rFonts w:eastAsia="Times New Roman" w:cs="Times New Roman"/>
          <w:b/>
          <w:bCs/>
          <w:rtl/>
          <w:lang w:eastAsia="de-DE"/>
        </w:rPr>
        <w:t>בְּלוּלָה</w:t>
      </w:r>
      <w:r w:rsidRPr="00C71F15">
        <w:rPr>
          <w:rFonts w:eastAsia="Times New Roman" w:cs="Times New Roman"/>
          <w:rtl/>
          <w:lang w:eastAsia="de-DE"/>
        </w:rPr>
        <w:t xml:space="preserve"> </w:t>
      </w:r>
      <w:r w:rsidRPr="00C71F15">
        <w:rPr>
          <w:rFonts w:eastAsia="Times New Roman" w:cs="Times New Roman"/>
          <w:lang w:eastAsia="de-DE"/>
        </w:rPr>
        <w:t xml:space="preserve">(Qal Passiv-Partizip feminin Singular von </w:t>
      </w:r>
      <w:r w:rsidRPr="00C71F15">
        <w:rPr>
          <w:rFonts w:eastAsia="Times New Roman" w:cs="Times New Roman"/>
          <w:b/>
          <w:bCs/>
          <w:rtl/>
          <w:lang w:eastAsia="de-DE"/>
        </w:rPr>
        <w:t>בלל</w:t>
      </w:r>
      <w:r w:rsidRPr="00C71F15">
        <w:rPr>
          <w:rFonts w:eastAsia="Times New Roman" w:cs="Times New Roman"/>
          <w:rtl/>
          <w:lang w:eastAsia="de-DE"/>
        </w:rPr>
        <w:t xml:space="preserve"> </w:t>
      </w:r>
      <w:r w:rsidRPr="00C71F15">
        <w:rPr>
          <w:rFonts w:eastAsia="Times New Roman" w:cs="Times New Roman"/>
          <w:lang w:eastAsia="de-DE"/>
        </w:rPr>
        <w:t xml:space="preserve">„mengen, mischen" „gemengt"), </w:t>
      </w:r>
      <w:r w:rsidRPr="00C71F15">
        <w:rPr>
          <w:rFonts w:eastAsia="Times New Roman" w:cs="Times New Roman"/>
          <w:b/>
          <w:bCs/>
          <w:rtl/>
          <w:lang w:eastAsia="de-DE"/>
        </w:rPr>
        <w:t>בְּשֶׁמֶן</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בְ</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שֶׁמֶן</w:t>
      </w:r>
      <w:r w:rsidRPr="00C71F15">
        <w:rPr>
          <w:rFonts w:eastAsia="Times New Roman" w:cs="Times New Roman"/>
          <w:rtl/>
          <w:lang w:eastAsia="de-DE"/>
        </w:rPr>
        <w:t xml:space="preserve"> </w:t>
      </w:r>
      <w:r w:rsidRPr="00C71F15">
        <w:rPr>
          <w:rFonts w:eastAsia="Times New Roman" w:cs="Times New Roman"/>
          <w:lang w:eastAsia="de-DE"/>
        </w:rPr>
        <w:t xml:space="preserve">„Öl" „mit Öl"). </w:t>
      </w:r>
      <w:r w:rsidRPr="00C71F15">
        <w:rPr>
          <w:rFonts w:eastAsia="Times New Roman" w:cs="Times New Roman"/>
          <w:b/>
          <w:bCs/>
          <w:rtl/>
          <w:lang w:eastAsia="de-DE"/>
        </w:rPr>
        <w:t>כָּתִית</w:t>
      </w:r>
      <w:r w:rsidRPr="00C71F15">
        <w:rPr>
          <w:rFonts w:eastAsia="Times New Roman" w:cs="Times New Roman"/>
          <w:rtl/>
          <w:lang w:eastAsia="de-DE"/>
        </w:rPr>
        <w:t xml:space="preserve"> </w:t>
      </w:r>
      <w:r w:rsidRPr="00C71F15">
        <w:rPr>
          <w:rFonts w:eastAsia="Times New Roman" w:cs="Times New Roman"/>
          <w:lang w:eastAsia="de-DE"/>
        </w:rPr>
        <w:t xml:space="preserve">(Qal Passiv-Partizip maskulin Singular von </w:t>
      </w:r>
      <w:r w:rsidRPr="00C71F15">
        <w:rPr>
          <w:rFonts w:eastAsia="Times New Roman" w:cs="Times New Roman"/>
          <w:b/>
          <w:bCs/>
          <w:rtl/>
          <w:lang w:eastAsia="de-DE"/>
        </w:rPr>
        <w:t>כתת</w:t>
      </w:r>
      <w:r w:rsidRPr="00C71F15">
        <w:rPr>
          <w:rFonts w:eastAsia="Times New Roman" w:cs="Times New Roman"/>
          <w:rtl/>
          <w:lang w:eastAsia="de-DE"/>
        </w:rPr>
        <w:t xml:space="preserve"> </w:t>
      </w:r>
      <w:r w:rsidRPr="00C71F15">
        <w:rPr>
          <w:rFonts w:eastAsia="Times New Roman" w:cs="Times New Roman"/>
          <w:lang w:eastAsia="de-DE"/>
        </w:rPr>
        <w:t xml:space="preserve">„zerstoßen, schlagen" „gestoßen, zerkleinert"), bezieht sich auf die Qualität des Öls: aus zerstoßenen (nicht gepressten) Oliven. </w:t>
      </w:r>
      <w:r w:rsidRPr="00C71F15">
        <w:rPr>
          <w:rFonts w:eastAsia="Times New Roman" w:cs="Times New Roman"/>
          <w:b/>
          <w:bCs/>
          <w:rtl/>
          <w:lang w:eastAsia="de-DE"/>
        </w:rPr>
        <w:t>רְבִיעִת הַהִין</w:t>
      </w:r>
      <w:r w:rsidRPr="00C71F15">
        <w:rPr>
          <w:rFonts w:eastAsia="Times New Roman" w:cs="Times New Roman"/>
          <w:rtl/>
          <w:lang w:eastAsia="de-DE"/>
        </w:rPr>
        <w:t xml:space="preserve"> </w:t>
      </w:r>
      <w:r w:rsidRPr="00C71F15">
        <w:rPr>
          <w:rFonts w:eastAsia="Times New Roman" w:cs="Times New Roman"/>
          <w:lang w:eastAsia="de-DE"/>
        </w:rPr>
        <w:t xml:space="preserve">(feminin Singular </w:t>
      </w:r>
      <w:r w:rsidR="00E031B3">
        <w:rPr>
          <w:rFonts w:eastAsia="Times New Roman" w:cs="Times New Roman"/>
          <w:lang w:eastAsia="de-DE"/>
        </w:rPr>
        <w:t>Constructus von</w:t>
      </w:r>
      <w:r w:rsidRPr="00C71F15">
        <w:rPr>
          <w:rFonts w:eastAsia="Times New Roman" w:cs="Times New Roman"/>
          <w:lang w:eastAsia="de-DE"/>
        </w:rPr>
        <w:t xml:space="preserve"> </w:t>
      </w:r>
      <w:r w:rsidRPr="00C71F15">
        <w:rPr>
          <w:rFonts w:eastAsia="Times New Roman" w:cs="Times New Roman"/>
          <w:b/>
          <w:bCs/>
          <w:rtl/>
          <w:lang w:eastAsia="de-DE"/>
        </w:rPr>
        <w:t>רְבִיעִית</w:t>
      </w:r>
      <w:r w:rsidRPr="00C71F15">
        <w:rPr>
          <w:rFonts w:eastAsia="Times New Roman" w:cs="Times New Roman"/>
          <w:rtl/>
          <w:lang w:eastAsia="de-DE"/>
        </w:rPr>
        <w:t xml:space="preserve"> </w:t>
      </w:r>
      <w:r w:rsidRPr="00C71F15">
        <w:rPr>
          <w:rFonts w:eastAsia="Times New Roman" w:cs="Times New Roman"/>
          <w:lang w:eastAsia="de-DE"/>
        </w:rPr>
        <w:t xml:space="preserve">„Viertel" mit </w:t>
      </w:r>
      <w:r w:rsidRPr="00C71F15">
        <w:rPr>
          <w:rFonts w:eastAsia="Times New Roman" w:cs="Times New Roman"/>
          <w:b/>
          <w:bCs/>
          <w:rtl/>
          <w:lang w:eastAsia="de-DE"/>
        </w:rPr>
        <w:t>הִין</w:t>
      </w:r>
      <w:r w:rsidRPr="00C71F15">
        <w:rPr>
          <w:rFonts w:eastAsia="Times New Roman" w:cs="Times New Roman"/>
          <w:rtl/>
          <w:lang w:eastAsia="de-DE"/>
        </w:rPr>
        <w:t xml:space="preserve"> </w:t>
      </w:r>
      <w:r w:rsidRPr="00C71F15">
        <w:rPr>
          <w:rFonts w:eastAsia="Times New Roman" w:cs="Times New Roman"/>
          <w:lang w:eastAsia="de-DE"/>
        </w:rPr>
        <w:t>„Hin" mit Artikel), ein Hin ist ca. 6 Liter, ein Viertel also ca. 1,5 Liter.</w:t>
      </w:r>
    </w:p>
    <w:p w14:paraId="4FC9D59F" w14:textId="6FB9E341"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lastRenderedPageBreak/>
        <w:t xml:space="preserve">Die Satzstruktur zeigt eine nominale </w:t>
      </w:r>
      <w:r w:rsidR="00F133EC">
        <w:rPr>
          <w:rFonts w:eastAsia="Times New Roman" w:cs="Times New Roman"/>
          <w:lang w:eastAsia="de-DE"/>
        </w:rPr>
        <w:t>Construct</w:t>
      </w:r>
      <w:r w:rsidRPr="00C71F15">
        <w:rPr>
          <w:rFonts w:eastAsia="Times New Roman" w:cs="Times New Roman"/>
          <w:lang w:eastAsia="de-DE"/>
        </w:rPr>
        <w:t>ion mit Mengenangaben und partizipialen Attributen.</w:t>
      </w:r>
    </w:p>
    <w:p w14:paraId="0D150F5A" w14:textId="34128C51"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 xml:space="preserve">Der Vers spezifiziert die Begleitung des </w:t>
      </w:r>
      <w:r w:rsidR="00593666">
        <w:rPr>
          <w:rFonts w:eastAsia="Times New Roman" w:cs="Times New Roman"/>
          <w:lang w:eastAsia="de-DE"/>
        </w:rPr>
        <w:t>Aufsteigeopfer</w:t>
      </w:r>
      <w:r w:rsidRPr="00C71F15">
        <w:rPr>
          <w:rFonts w:eastAsia="Times New Roman" w:cs="Times New Roman"/>
          <w:lang w:eastAsia="de-DE"/>
        </w:rPr>
        <w:t>s durch ein Speiseopfer aus Feinmehl mit hochwertigem Öl, was die Ganzheitlichkeit der Hingabe an Gott symbolisiert.</w:t>
      </w:r>
    </w:p>
    <w:p w14:paraId="7BFABA52"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28,6</w:t>
      </w:r>
    </w:p>
    <w:p w14:paraId="5CCAD8B1"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עֹלַ֖ת תָּמִ֑יד הָעֲשֻׂיָה֙ בְּהַ֣ר סִינַ֔י לְרֵ֣יחַ נִיחֹ֔חַ אִשֶּׁ֖ה לַֽיהוָֽה׃</w:t>
      </w:r>
    </w:p>
    <w:p w14:paraId="6CE7F6B5"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Es ist das beständige Aufsteigeopfer, das am Berg Sinai gemacht wurde zum wohlgefälligen Geruch, ein Feueropfer dem Ewigen.</w:t>
      </w:r>
    </w:p>
    <w:p w14:paraId="19F079FD"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5A935CB5">
          <v:rect id="_x0000_i1910" style="width:0;height:1.5pt" o:hralign="center" o:hrstd="t" o:hr="t" fillcolor="#a0a0a0" stroked="f"/>
        </w:pict>
      </w:r>
    </w:p>
    <w:p w14:paraId="398498AE" w14:textId="121C0A3F"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verbindet das tägliche Opfer mit der Sinai-Offenbarung. </w:t>
      </w:r>
      <w:r w:rsidRPr="00C71F15">
        <w:rPr>
          <w:rFonts w:eastAsia="Times New Roman" w:cs="Times New Roman"/>
          <w:b/>
          <w:bCs/>
          <w:rtl/>
          <w:lang w:eastAsia="de-DE"/>
        </w:rPr>
        <w:t>עֹלַת תָּמִיד</w:t>
      </w:r>
      <w:r w:rsidRPr="00C71F15">
        <w:rPr>
          <w:rFonts w:eastAsia="Times New Roman" w:cs="Times New Roman"/>
          <w:rtl/>
          <w:lang w:eastAsia="de-DE"/>
        </w:rPr>
        <w:t xml:space="preserve"> </w:t>
      </w:r>
      <w:r w:rsidRPr="00C71F15">
        <w:rPr>
          <w:rFonts w:eastAsia="Times New Roman" w:cs="Times New Roman"/>
          <w:lang w:eastAsia="de-DE"/>
        </w:rPr>
        <w:t xml:space="preserve">(Genitivverbindung: </w:t>
      </w:r>
      <w:r w:rsidRPr="00C71F15">
        <w:rPr>
          <w:rFonts w:eastAsia="Times New Roman" w:cs="Times New Roman"/>
          <w:b/>
          <w:bCs/>
          <w:rtl/>
          <w:lang w:eastAsia="de-DE"/>
        </w:rPr>
        <w:t>עֹלָה</w:t>
      </w:r>
      <w:r w:rsidRPr="00C71F15">
        <w:rPr>
          <w:rFonts w:eastAsia="Times New Roman" w:cs="Times New Roman"/>
          <w:rtl/>
          <w:lang w:eastAsia="de-DE"/>
        </w:rPr>
        <w:t xml:space="preserve"> </w:t>
      </w:r>
      <w:r w:rsidRPr="00C71F15">
        <w:rPr>
          <w:rFonts w:eastAsia="Times New Roman" w:cs="Times New Roman"/>
          <w:lang w:eastAsia="de-DE"/>
        </w:rPr>
        <w:t>„</w:t>
      </w:r>
      <w:r w:rsidR="00593666">
        <w:rPr>
          <w:rFonts w:eastAsia="Times New Roman" w:cs="Times New Roman"/>
          <w:lang w:eastAsia="de-DE"/>
        </w:rPr>
        <w:t>Aufsteigeopfer</w:t>
      </w:r>
      <w:r w:rsidRPr="00C71F15">
        <w:rPr>
          <w:rFonts w:eastAsia="Times New Roman" w:cs="Times New Roman"/>
          <w:lang w:eastAsia="de-DE"/>
        </w:rPr>
        <w:t xml:space="preserve">" im </w:t>
      </w:r>
      <w:r w:rsidR="00E031B3">
        <w:rPr>
          <w:rFonts w:eastAsia="Times New Roman" w:cs="Times New Roman"/>
          <w:lang w:eastAsia="de-DE"/>
        </w:rPr>
        <w:t>Constructus mit</w:t>
      </w:r>
      <w:r w:rsidRPr="00C71F15">
        <w:rPr>
          <w:rFonts w:eastAsia="Times New Roman" w:cs="Times New Roman"/>
          <w:lang w:eastAsia="de-DE"/>
        </w:rPr>
        <w:t xml:space="preserve"> </w:t>
      </w:r>
      <w:r w:rsidRPr="00C71F15">
        <w:rPr>
          <w:rFonts w:eastAsia="Times New Roman" w:cs="Times New Roman"/>
          <w:b/>
          <w:bCs/>
          <w:rtl/>
          <w:lang w:eastAsia="de-DE"/>
        </w:rPr>
        <w:t>תָּמִיד</w:t>
      </w:r>
      <w:r w:rsidRPr="00C71F15">
        <w:rPr>
          <w:rFonts w:eastAsia="Times New Roman" w:cs="Times New Roman"/>
          <w:rtl/>
          <w:lang w:eastAsia="de-DE"/>
        </w:rPr>
        <w:t xml:space="preserve"> </w:t>
      </w:r>
      <w:r w:rsidRPr="00C71F15">
        <w:rPr>
          <w:rFonts w:eastAsia="Times New Roman" w:cs="Times New Roman"/>
          <w:lang w:eastAsia="de-DE"/>
        </w:rPr>
        <w:t xml:space="preserve">„beständig") ist das Subjekt eines Nominalsatzes. </w:t>
      </w:r>
      <w:r w:rsidRPr="00C71F15">
        <w:rPr>
          <w:rFonts w:eastAsia="Times New Roman" w:cs="Times New Roman"/>
          <w:b/>
          <w:bCs/>
          <w:rtl/>
          <w:lang w:eastAsia="de-DE"/>
        </w:rPr>
        <w:t>הָעֲשֻׂיָה בְּהַר סִינַי</w:t>
      </w:r>
      <w:r w:rsidRPr="00C71F15">
        <w:rPr>
          <w:rFonts w:eastAsia="Times New Roman" w:cs="Times New Roman"/>
          <w:rtl/>
          <w:lang w:eastAsia="de-DE"/>
        </w:rPr>
        <w:t xml:space="preserve"> </w:t>
      </w:r>
      <w:r w:rsidRPr="00C71F15">
        <w:rPr>
          <w:rFonts w:eastAsia="Times New Roman" w:cs="Times New Roman"/>
          <w:lang w:eastAsia="de-DE"/>
        </w:rPr>
        <w:t xml:space="preserve">ist ein attributiver Relativsatz ohne </w:t>
      </w:r>
      <w:r w:rsidRPr="00C71F15">
        <w:rPr>
          <w:rFonts w:eastAsia="Times New Roman" w:cs="Times New Roman"/>
          <w:b/>
          <w:bCs/>
          <w:rtl/>
          <w:lang w:eastAsia="de-DE"/>
        </w:rPr>
        <w:t>אֲשֶׁר</w:t>
      </w:r>
      <w:r w:rsidRPr="00C71F15">
        <w:rPr>
          <w:rFonts w:eastAsia="Times New Roman" w:cs="Times New Roman"/>
          <w:lang w:eastAsia="de-DE"/>
        </w:rPr>
        <w:t xml:space="preserve">. </w:t>
      </w:r>
      <w:r w:rsidRPr="00C71F15">
        <w:rPr>
          <w:rFonts w:eastAsia="Times New Roman" w:cs="Times New Roman"/>
          <w:b/>
          <w:bCs/>
          <w:rtl/>
          <w:lang w:eastAsia="de-DE"/>
        </w:rPr>
        <w:t>הָעֲשֻׂיָה</w:t>
      </w:r>
      <w:r w:rsidRPr="00C71F15">
        <w:rPr>
          <w:rFonts w:eastAsia="Times New Roman" w:cs="Times New Roman"/>
          <w:rtl/>
          <w:lang w:eastAsia="de-DE"/>
        </w:rPr>
        <w:t xml:space="preserve"> </w:t>
      </w:r>
      <w:r w:rsidRPr="00C71F15">
        <w:rPr>
          <w:rFonts w:eastAsia="Times New Roman" w:cs="Times New Roman"/>
          <w:lang w:eastAsia="de-DE"/>
        </w:rPr>
        <w:t xml:space="preserve">(Qal Passiv-Partizip feminin Singular von </w:t>
      </w:r>
      <w:r w:rsidRPr="00C71F15">
        <w:rPr>
          <w:rFonts w:eastAsia="Times New Roman" w:cs="Times New Roman"/>
          <w:b/>
          <w:bCs/>
          <w:rtl/>
          <w:lang w:eastAsia="de-DE"/>
        </w:rPr>
        <w:t>עשׂה</w:t>
      </w:r>
      <w:r w:rsidRPr="00C71F15">
        <w:rPr>
          <w:rFonts w:eastAsia="Times New Roman" w:cs="Times New Roman"/>
          <w:rtl/>
          <w:lang w:eastAsia="de-DE"/>
        </w:rPr>
        <w:t xml:space="preserve"> </w:t>
      </w:r>
      <w:r w:rsidRPr="00C71F15">
        <w:rPr>
          <w:rFonts w:eastAsia="Times New Roman" w:cs="Times New Roman"/>
          <w:lang w:eastAsia="de-DE"/>
        </w:rPr>
        <w:t xml:space="preserve">„gemacht" mit Artikel), </w:t>
      </w:r>
      <w:r w:rsidRPr="00C71F15">
        <w:rPr>
          <w:rFonts w:eastAsia="Times New Roman" w:cs="Times New Roman"/>
          <w:b/>
          <w:bCs/>
          <w:rtl/>
          <w:lang w:eastAsia="de-DE"/>
        </w:rPr>
        <w:t>בְּהַר סִינַי</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בְ</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הַר</w:t>
      </w:r>
      <w:r w:rsidRPr="00C71F15">
        <w:rPr>
          <w:rFonts w:eastAsia="Times New Roman" w:cs="Times New Roman"/>
          <w:rtl/>
          <w:lang w:eastAsia="de-DE"/>
        </w:rPr>
        <w:t xml:space="preserve"> </w:t>
      </w:r>
      <w:r w:rsidRPr="00C71F15">
        <w:rPr>
          <w:rFonts w:eastAsia="Times New Roman" w:cs="Times New Roman"/>
          <w:lang w:eastAsia="de-DE"/>
        </w:rPr>
        <w:t xml:space="preserve">„Berg" im </w:t>
      </w:r>
      <w:r w:rsidR="00B513FF">
        <w:rPr>
          <w:rFonts w:eastAsia="Times New Roman" w:cs="Times New Roman"/>
          <w:lang w:eastAsia="de-DE"/>
        </w:rPr>
        <w:t xml:space="preserve">Constructus </w:t>
      </w:r>
      <w:r w:rsidRPr="00C71F15">
        <w:rPr>
          <w:rFonts w:eastAsia="Times New Roman" w:cs="Times New Roman"/>
          <w:lang w:eastAsia="de-DE"/>
        </w:rPr>
        <w:t xml:space="preserve">, </w:t>
      </w:r>
      <w:r w:rsidRPr="00C71F15">
        <w:rPr>
          <w:rFonts w:eastAsia="Times New Roman" w:cs="Times New Roman"/>
          <w:b/>
          <w:bCs/>
          <w:rtl/>
          <w:lang w:eastAsia="de-DE"/>
        </w:rPr>
        <w:t>סִינַי</w:t>
      </w:r>
      <w:r w:rsidRPr="00C71F15">
        <w:rPr>
          <w:rFonts w:eastAsia="Times New Roman" w:cs="Times New Roman"/>
          <w:rtl/>
          <w:lang w:eastAsia="de-DE"/>
        </w:rPr>
        <w:t xml:space="preserve"> </w:t>
      </w:r>
      <w:r w:rsidRPr="00C71F15">
        <w:rPr>
          <w:rFonts w:eastAsia="Times New Roman" w:cs="Times New Roman"/>
          <w:lang w:eastAsia="de-DE"/>
        </w:rPr>
        <w:t>„Sinai" „am Berg Sinai"). Der Verweis bezieht sich auf Ex 29,38-42, wo das tägliche Opfer erstmals eingesetzt wurde.</w:t>
      </w:r>
    </w:p>
    <w:p w14:paraId="34F6526C" w14:textId="0F747991" w:rsidR="00C71F15" w:rsidRPr="00C71F15" w:rsidRDefault="00C71F15" w:rsidP="00C0709A">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לְרֵיחַ נִיחֹחַ אִשֶּׁה לַיהוה</w:t>
      </w:r>
      <w:r w:rsidRPr="00C71F15">
        <w:rPr>
          <w:rFonts w:eastAsia="Times New Roman" w:cs="Times New Roman"/>
          <w:rtl/>
          <w:lang w:eastAsia="de-DE"/>
        </w:rPr>
        <w:t xml:space="preserve"> </w:t>
      </w:r>
      <w:r w:rsidRPr="00C71F15">
        <w:rPr>
          <w:rFonts w:eastAsia="Times New Roman" w:cs="Times New Roman"/>
          <w:lang w:eastAsia="de-DE"/>
        </w:rPr>
        <w:t xml:space="preserve">gibt Zweck und Charakter an. </w:t>
      </w:r>
      <w:r w:rsidRPr="00C71F15">
        <w:rPr>
          <w:rFonts w:eastAsia="Times New Roman" w:cs="Times New Roman"/>
          <w:b/>
          <w:bCs/>
          <w:rtl/>
          <w:lang w:eastAsia="de-DE"/>
        </w:rPr>
        <w:t>לְרֵיחַ נִיחֹחַ</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mit der Genitivverbindung </w:t>
      </w:r>
      <w:r w:rsidRPr="00C71F15">
        <w:rPr>
          <w:rFonts w:eastAsia="Times New Roman" w:cs="Times New Roman"/>
          <w:b/>
          <w:bCs/>
          <w:rtl/>
          <w:lang w:eastAsia="de-DE"/>
        </w:rPr>
        <w:t>רֵיחַ</w:t>
      </w:r>
      <w:r w:rsidRPr="00C71F15">
        <w:rPr>
          <w:rFonts w:eastAsia="Times New Roman" w:cs="Times New Roman"/>
          <w:rtl/>
          <w:lang w:eastAsia="de-DE"/>
        </w:rPr>
        <w:t xml:space="preserve"> </w:t>
      </w:r>
      <w:r w:rsidRPr="00C71F15">
        <w:rPr>
          <w:rFonts w:eastAsia="Times New Roman" w:cs="Times New Roman"/>
          <w:lang w:eastAsia="de-DE"/>
        </w:rPr>
        <w:t xml:space="preserve">„Geruch" im </w:t>
      </w:r>
      <w:r w:rsidR="00E031B3">
        <w:rPr>
          <w:rFonts w:eastAsia="Times New Roman" w:cs="Times New Roman"/>
          <w:lang w:eastAsia="de-DE"/>
        </w:rPr>
        <w:t>Constructus und</w:t>
      </w:r>
      <w:r w:rsidRPr="00C71F15">
        <w:rPr>
          <w:rFonts w:eastAsia="Times New Roman" w:cs="Times New Roman"/>
          <w:lang w:eastAsia="de-DE"/>
        </w:rPr>
        <w:t xml:space="preserve"> </w:t>
      </w:r>
      <w:r w:rsidRPr="00C71F15">
        <w:rPr>
          <w:rFonts w:eastAsia="Times New Roman" w:cs="Times New Roman"/>
          <w:b/>
          <w:bCs/>
          <w:rtl/>
          <w:lang w:eastAsia="de-DE"/>
        </w:rPr>
        <w:t>נִיחֹחַ</w:t>
      </w:r>
      <w:r w:rsidRPr="00C71F15">
        <w:rPr>
          <w:rFonts w:eastAsia="Times New Roman" w:cs="Times New Roman"/>
          <w:rtl/>
          <w:lang w:eastAsia="de-DE"/>
        </w:rPr>
        <w:t xml:space="preserve"> </w:t>
      </w:r>
      <w:r w:rsidRPr="00C71F15">
        <w:rPr>
          <w:rFonts w:eastAsia="Times New Roman" w:cs="Times New Roman"/>
          <w:lang w:eastAsia="de-DE"/>
        </w:rPr>
        <w:t xml:space="preserve">„wohlgefällig, beruhigend" „zum wohlgefälligen Geruch"), </w:t>
      </w:r>
      <w:r w:rsidRPr="00C71F15">
        <w:rPr>
          <w:rFonts w:eastAsia="Times New Roman" w:cs="Times New Roman"/>
          <w:b/>
          <w:bCs/>
          <w:rtl/>
          <w:lang w:eastAsia="de-DE"/>
        </w:rPr>
        <w:t>אִשֶּׁה</w:t>
      </w:r>
      <w:r w:rsidRPr="00C71F15">
        <w:rPr>
          <w:rFonts w:eastAsia="Times New Roman" w:cs="Times New Roman"/>
          <w:rtl/>
          <w:lang w:eastAsia="de-DE"/>
        </w:rPr>
        <w:t xml:space="preserve"> </w:t>
      </w:r>
      <w:r w:rsidRPr="00C71F15">
        <w:rPr>
          <w:rFonts w:eastAsia="Times New Roman" w:cs="Times New Roman"/>
          <w:lang w:eastAsia="de-DE"/>
        </w:rPr>
        <w:t xml:space="preserve">(maskulines Nomen „Feueropfer"), </w:t>
      </w:r>
      <w:r w:rsidRPr="00C71F15">
        <w:rPr>
          <w:rFonts w:eastAsia="Times New Roman" w:cs="Times New Roman"/>
          <w:b/>
          <w:bCs/>
          <w:rtl/>
          <w:lang w:eastAsia="de-DE"/>
        </w:rPr>
        <w:t>לַיהוה</w:t>
      </w:r>
      <w:r w:rsidRPr="00C71F15">
        <w:rPr>
          <w:rFonts w:eastAsia="Times New Roman" w:cs="Times New Roman"/>
          <w:rtl/>
          <w:lang w:eastAsia="de-DE"/>
        </w:rPr>
        <w:t xml:space="preserve"> </w:t>
      </w:r>
      <w:r w:rsidRPr="00C71F15">
        <w:rPr>
          <w:rFonts w:eastAsia="Times New Roman" w:cs="Times New Roman"/>
          <w:lang w:eastAsia="de-DE"/>
        </w:rPr>
        <w:t>(Präposition mit Tetragramm „dem Ewigen").</w:t>
      </w:r>
    </w:p>
    <w:p w14:paraId="68C4C090"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zeigt einen Nominalsatz mit Subjekt und partizipialem Attribut, gefolgt von zwei präpositionalen Phrasen.</w:t>
      </w:r>
    </w:p>
    <w:p w14:paraId="5F1C5184"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legitimiert das tägliche Opfer durch Rückbezug auf die Sinai-Offenbarung und unterstreicht dessen kontinuierliche Gültigkeit seit der Wüstenzeit.</w:t>
      </w:r>
    </w:p>
    <w:p w14:paraId="5C7022CC"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28,7</w:t>
      </w:r>
    </w:p>
    <w:p w14:paraId="54F3D0E3"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וְנִסְכּוֹ֙ רְבִיעִ֣ת הַהִ֔ין לַכֶּ֖בֶשׂ הָאֶחָ֑ד בַּקֹּ֗דֶשׁ הַסֵּ֛ךְ נֶ֥סֶךְ שֵׁכָ֖ר לַיהוָֽה׃</w:t>
      </w:r>
    </w:p>
    <w:p w14:paraId="28A17A12"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sein Trankopfer, ein Viertel Hin zu dem einen Lamm; im Heiligtum sollst du das Trankopfer von starkem Getränk dem Ewigen ausgießen.</w:t>
      </w:r>
    </w:p>
    <w:p w14:paraId="55D4C3B4"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62586C56">
          <v:rect id="_x0000_i1911" style="width:0;height:1.5pt" o:hralign="center" o:hrstd="t" o:hr="t" fillcolor="#a0a0a0" stroked="f"/>
        </w:pict>
      </w:r>
    </w:p>
    <w:p w14:paraId="5E64AEF3"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fügt das Trankopfer hinzu. </w:t>
      </w:r>
      <w:r w:rsidRPr="00C71F15">
        <w:rPr>
          <w:rFonts w:eastAsia="Times New Roman" w:cs="Times New Roman"/>
          <w:b/>
          <w:bCs/>
          <w:rtl/>
          <w:lang w:eastAsia="de-DE"/>
        </w:rPr>
        <w:t>וְנִסְכּוֹ רְבִיעִת הַהִין לַכֶּבֶשׂ הָאֶחָד</w:t>
      </w:r>
      <w:r w:rsidRPr="00C71F15">
        <w:rPr>
          <w:rFonts w:eastAsia="Times New Roman" w:cs="Times New Roman"/>
          <w:rtl/>
          <w:lang w:eastAsia="de-DE"/>
        </w:rPr>
        <w:t xml:space="preserve"> </w:t>
      </w:r>
      <w:r w:rsidRPr="00C71F15">
        <w:rPr>
          <w:rFonts w:eastAsia="Times New Roman" w:cs="Times New Roman"/>
          <w:lang w:eastAsia="de-DE"/>
        </w:rPr>
        <w:t xml:space="preserve">beschreibt die Menge. </w:t>
      </w:r>
      <w:r w:rsidRPr="00C71F15">
        <w:rPr>
          <w:rFonts w:eastAsia="Times New Roman" w:cs="Times New Roman"/>
          <w:b/>
          <w:bCs/>
          <w:rtl/>
          <w:lang w:eastAsia="de-DE"/>
        </w:rPr>
        <w:t>וְנִסְכּוֹ</w:t>
      </w:r>
      <w:r w:rsidRPr="00C71F15">
        <w:rPr>
          <w:rFonts w:eastAsia="Times New Roman" w:cs="Times New Roman"/>
          <w:rtl/>
          <w:lang w:eastAsia="de-DE"/>
        </w:rPr>
        <w:t xml:space="preserve"> </w:t>
      </w:r>
      <w:r w:rsidRPr="00C71F15">
        <w:rPr>
          <w:rFonts w:eastAsia="Times New Roman" w:cs="Times New Roman"/>
          <w:lang w:eastAsia="de-DE"/>
        </w:rPr>
        <w:t xml:space="preserve">(Konjunktion mit maskulinem Singular </w:t>
      </w:r>
      <w:r w:rsidRPr="00C71F15">
        <w:rPr>
          <w:rFonts w:eastAsia="Times New Roman" w:cs="Times New Roman"/>
          <w:b/>
          <w:bCs/>
          <w:rtl/>
          <w:lang w:eastAsia="de-DE"/>
        </w:rPr>
        <w:t>נֶסֶךְ</w:t>
      </w:r>
      <w:r w:rsidRPr="00C71F15">
        <w:rPr>
          <w:rFonts w:eastAsia="Times New Roman" w:cs="Times New Roman"/>
          <w:rtl/>
          <w:lang w:eastAsia="de-DE"/>
        </w:rPr>
        <w:t xml:space="preserve"> </w:t>
      </w:r>
      <w:r w:rsidRPr="00C71F15">
        <w:rPr>
          <w:rFonts w:eastAsia="Times New Roman" w:cs="Times New Roman"/>
          <w:lang w:eastAsia="de-DE"/>
        </w:rPr>
        <w:t xml:space="preserve">„Trankopfer, Libation" und Suffix 3. Person maskulin Singular „sein Trankopfer"), </w:t>
      </w:r>
      <w:r w:rsidRPr="00C71F15">
        <w:rPr>
          <w:rFonts w:eastAsia="Times New Roman" w:cs="Times New Roman"/>
          <w:b/>
          <w:bCs/>
          <w:rtl/>
          <w:lang w:eastAsia="de-DE"/>
        </w:rPr>
        <w:t>רְבִיעִת הַהִין</w:t>
      </w:r>
      <w:r w:rsidRPr="00C71F15">
        <w:rPr>
          <w:rFonts w:eastAsia="Times New Roman" w:cs="Times New Roman"/>
          <w:rtl/>
          <w:lang w:eastAsia="de-DE"/>
        </w:rPr>
        <w:t xml:space="preserve"> </w:t>
      </w:r>
      <w:r w:rsidRPr="00C71F15">
        <w:rPr>
          <w:rFonts w:eastAsia="Times New Roman" w:cs="Times New Roman"/>
          <w:lang w:eastAsia="de-DE"/>
        </w:rPr>
        <w:t xml:space="preserve">(„ein Viertel Hin" wie in V. 5), </w:t>
      </w:r>
      <w:r w:rsidRPr="00C71F15">
        <w:rPr>
          <w:rFonts w:eastAsia="Times New Roman" w:cs="Times New Roman"/>
          <w:b/>
          <w:bCs/>
          <w:rtl/>
          <w:lang w:eastAsia="de-DE"/>
        </w:rPr>
        <w:t>לַכֶּבֶשׂ הָאֶחָד</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„für" mit </w:t>
      </w:r>
      <w:r w:rsidRPr="00C71F15">
        <w:rPr>
          <w:rFonts w:eastAsia="Times New Roman" w:cs="Times New Roman"/>
          <w:b/>
          <w:bCs/>
          <w:rtl/>
          <w:lang w:eastAsia="de-DE"/>
        </w:rPr>
        <w:t>כֶּבֶשׂ</w:t>
      </w:r>
      <w:r w:rsidRPr="00C71F15">
        <w:rPr>
          <w:rFonts w:eastAsia="Times New Roman" w:cs="Times New Roman"/>
          <w:rtl/>
          <w:lang w:eastAsia="de-DE"/>
        </w:rPr>
        <w:t xml:space="preserve"> </w:t>
      </w:r>
      <w:r w:rsidRPr="00C71F15">
        <w:rPr>
          <w:rFonts w:eastAsia="Times New Roman" w:cs="Times New Roman"/>
          <w:lang w:eastAsia="de-DE"/>
        </w:rPr>
        <w:t xml:space="preserve">„Lamm" und </w:t>
      </w:r>
      <w:r w:rsidRPr="00C71F15">
        <w:rPr>
          <w:rFonts w:eastAsia="Times New Roman" w:cs="Times New Roman"/>
          <w:b/>
          <w:bCs/>
          <w:rtl/>
          <w:lang w:eastAsia="de-DE"/>
        </w:rPr>
        <w:t>אֶחָד</w:t>
      </w:r>
      <w:r w:rsidRPr="00C71F15">
        <w:rPr>
          <w:rFonts w:eastAsia="Times New Roman" w:cs="Times New Roman"/>
          <w:rtl/>
          <w:lang w:eastAsia="de-DE"/>
        </w:rPr>
        <w:t xml:space="preserve"> </w:t>
      </w:r>
      <w:r w:rsidRPr="00C71F15">
        <w:rPr>
          <w:rFonts w:eastAsia="Times New Roman" w:cs="Times New Roman"/>
          <w:lang w:eastAsia="de-DE"/>
        </w:rPr>
        <w:t>„eins" mit Artikeln „für das eine Lamm").</w:t>
      </w:r>
    </w:p>
    <w:p w14:paraId="579882F5" w14:textId="1D6240C6"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lastRenderedPageBreak/>
        <w:t>בַּקֹּדֶשׁ הַסֵּךְ נֶסֶךְ שֵׁכָר לַיהוה</w:t>
      </w:r>
      <w:r w:rsidRPr="00C71F15">
        <w:rPr>
          <w:rFonts w:eastAsia="Times New Roman" w:cs="Times New Roman"/>
          <w:rtl/>
          <w:lang w:eastAsia="de-DE"/>
        </w:rPr>
        <w:t xml:space="preserve"> </w:t>
      </w:r>
      <w:r w:rsidRPr="00C71F15">
        <w:rPr>
          <w:rFonts w:eastAsia="Times New Roman" w:cs="Times New Roman"/>
          <w:lang w:eastAsia="de-DE"/>
        </w:rPr>
        <w:t xml:space="preserve">gibt Ort und Art an. </w:t>
      </w:r>
      <w:r w:rsidRPr="00C71F15">
        <w:rPr>
          <w:rFonts w:eastAsia="Times New Roman" w:cs="Times New Roman"/>
          <w:b/>
          <w:bCs/>
          <w:rtl/>
          <w:lang w:eastAsia="de-DE"/>
        </w:rPr>
        <w:t>בַּקֹּדֶשׁ</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בְ</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קֹדֶשׁ</w:t>
      </w:r>
      <w:r w:rsidRPr="00C71F15">
        <w:rPr>
          <w:rFonts w:eastAsia="Times New Roman" w:cs="Times New Roman"/>
          <w:rtl/>
          <w:lang w:eastAsia="de-DE"/>
        </w:rPr>
        <w:t xml:space="preserve"> </w:t>
      </w:r>
      <w:r w:rsidRPr="00C71F15">
        <w:rPr>
          <w:rFonts w:eastAsia="Times New Roman" w:cs="Times New Roman"/>
          <w:lang w:eastAsia="de-DE"/>
        </w:rPr>
        <w:t xml:space="preserve">„Heiligtum, heiliger Ort" und Artikel „im Heiligtum"), </w:t>
      </w:r>
      <w:r w:rsidRPr="00C71F15">
        <w:rPr>
          <w:rFonts w:eastAsia="Times New Roman" w:cs="Times New Roman"/>
          <w:b/>
          <w:bCs/>
          <w:rtl/>
          <w:lang w:eastAsia="de-DE"/>
        </w:rPr>
        <w:t>הַסֵּךְ</w:t>
      </w:r>
      <w:r w:rsidRPr="00C71F15">
        <w:rPr>
          <w:rFonts w:eastAsia="Times New Roman" w:cs="Times New Roman"/>
          <w:rtl/>
          <w:lang w:eastAsia="de-DE"/>
        </w:rPr>
        <w:t xml:space="preserve"> </w:t>
      </w:r>
      <w:r w:rsidRPr="00C71F15">
        <w:rPr>
          <w:rFonts w:eastAsia="Times New Roman" w:cs="Times New Roman"/>
          <w:lang w:eastAsia="de-DE"/>
        </w:rPr>
        <w:t xml:space="preserve">(Hiphil Imperativ maskulin Singular von </w:t>
      </w:r>
      <w:r w:rsidRPr="00C71F15">
        <w:rPr>
          <w:rFonts w:eastAsia="Times New Roman" w:cs="Times New Roman"/>
          <w:b/>
          <w:bCs/>
          <w:rtl/>
          <w:lang w:eastAsia="de-DE"/>
        </w:rPr>
        <w:t>נסך</w:t>
      </w:r>
      <w:r w:rsidRPr="00C71F15">
        <w:rPr>
          <w:rFonts w:eastAsia="Times New Roman" w:cs="Times New Roman"/>
          <w:rtl/>
          <w:lang w:eastAsia="de-DE"/>
        </w:rPr>
        <w:t xml:space="preserve"> </w:t>
      </w:r>
      <w:r w:rsidRPr="00C71F15">
        <w:rPr>
          <w:rFonts w:eastAsia="Times New Roman" w:cs="Times New Roman"/>
          <w:lang w:eastAsia="de-DE"/>
        </w:rPr>
        <w:t xml:space="preserve">„ausgießen" mit Artikel, ungewöhnlich für einen Imperativ), </w:t>
      </w:r>
      <w:r w:rsidRPr="00C71F15">
        <w:rPr>
          <w:rFonts w:eastAsia="Times New Roman" w:cs="Times New Roman"/>
          <w:b/>
          <w:bCs/>
          <w:rtl/>
          <w:lang w:eastAsia="de-DE"/>
        </w:rPr>
        <w:t>נֶסֶךְ שֵׁכָר</w:t>
      </w:r>
      <w:r w:rsidRPr="00C71F15">
        <w:rPr>
          <w:rFonts w:eastAsia="Times New Roman" w:cs="Times New Roman"/>
          <w:rtl/>
          <w:lang w:eastAsia="de-DE"/>
        </w:rPr>
        <w:t xml:space="preserve"> </w:t>
      </w:r>
      <w:r w:rsidRPr="00C71F15">
        <w:rPr>
          <w:rFonts w:eastAsia="Times New Roman" w:cs="Times New Roman"/>
          <w:lang w:eastAsia="de-DE"/>
        </w:rPr>
        <w:t xml:space="preserve">(Genitivverbindung: </w:t>
      </w:r>
      <w:r w:rsidRPr="00C71F15">
        <w:rPr>
          <w:rFonts w:eastAsia="Times New Roman" w:cs="Times New Roman"/>
          <w:b/>
          <w:bCs/>
          <w:rtl/>
          <w:lang w:eastAsia="de-DE"/>
        </w:rPr>
        <w:t>נֶסֶךְ</w:t>
      </w:r>
      <w:r w:rsidRPr="00C71F15">
        <w:rPr>
          <w:rFonts w:eastAsia="Times New Roman" w:cs="Times New Roman"/>
          <w:rtl/>
          <w:lang w:eastAsia="de-DE"/>
        </w:rPr>
        <w:t xml:space="preserve"> </w:t>
      </w:r>
      <w:r w:rsidRPr="00C71F15">
        <w:rPr>
          <w:rFonts w:eastAsia="Times New Roman" w:cs="Times New Roman"/>
          <w:lang w:eastAsia="de-DE"/>
        </w:rPr>
        <w:t xml:space="preserve">„Trankopfer" im </w:t>
      </w:r>
      <w:r w:rsidR="00E031B3">
        <w:rPr>
          <w:rFonts w:eastAsia="Times New Roman" w:cs="Times New Roman"/>
          <w:lang w:eastAsia="de-DE"/>
        </w:rPr>
        <w:t>Constructus mit</w:t>
      </w:r>
      <w:r w:rsidRPr="00C71F15">
        <w:rPr>
          <w:rFonts w:eastAsia="Times New Roman" w:cs="Times New Roman"/>
          <w:lang w:eastAsia="de-DE"/>
        </w:rPr>
        <w:t xml:space="preserve"> </w:t>
      </w:r>
      <w:r w:rsidRPr="00C71F15">
        <w:rPr>
          <w:rFonts w:eastAsia="Times New Roman" w:cs="Times New Roman"/>
          <w:b/>
          <w:bCs/>
          <w:rtl/>
          <w:lang w:eastAsia="de-DE"/>
        </w:rPr>
        <w:t>שֵׁכָר</w:t>
      </w:r>
      <w:r w:rsidRPr="00C71F15">
        <w:rPr>
          <w:rFonts w:eastAsia="Times New Roman" w:cs="Times New Roman"/>
          <w:rtl/>
          <w:lang w:eastAsia="de-DE"/>
        </w:rPr>
        <w:t xml:space="preserve"> </w:t>
      </w:r>
      <w:r w:rsidRPr="00C71F15">
        <w:rPr>
          <w:rFonts w:eastAsia="Times New Roman" w:cs="Times New Roman"/>
          <w:lang w:eastAsia="de-DE"/>
        </w:rPr>
        <w:t xml:space="preserve">„starkes Getränk, berauschendes Getränk"), </w:t>
      </w:r>
      <w:r w:rsidRPr="00C71F15">
        <w:rPr>
          <w:rFonts w:eastAsia="Times New Roman" w:cs="Times New Roman"/>
          <w:b/>
          <w:bCs/>
          <w:rtl/>
          <w:lang w:eastAsia="de-DE"/>
        </w:rPr>
        <w:t>לַיהוה</w:t>
      </w:r>
      <w:r w:rsidRPr="00C71F15">
        <w:rPr>
          <w:rFonts w:eastAsia="Times New Roman" w:cs="Times New Roman"/>
          <w:rtl/>
          <w:lang w:eastAsia="de-DE"/>
        </w:rPr>
        <w:t xml:space="preserve"> </w:t>
      </w:r>
      <w:r w:rsidRPr="00C71F15">
        <w:rPr>
          <w:rFonts w:eastAsia="Times New Roman" w:cs="Times New Roman"/>
          <w:lang w:eastAsia="de-DE"/>
        </w:rPr>
        <w:t xml:space="preserve">(Präposition mit Tetragramm). Der Ausdruck </w:t>
      </w:r>
      <w:r w:rsidRPr="00C71F15">
        <w:rPr>
          <w:rFonts w:eastAsia="Times New Roman" w:cs="Times New Roman"/>
          <w:b/>
          <w:bCs/>
          <w:rtl/>
          <w:lang w:eastAsia="de-DE"/>
        </w:rPr>
        <w:t>שֵׁכָר</w:t>
      </w:r>
      <w:r w:rsidRPr="00C71F15">
        <w:rPr>
          <w:rFonts w:eastAsia="Times New Roman" w:cs="Times New Roman"/>
          <w:rtl/>
          <w:lang w:eastAsia="de-DE"/>
        </w:rPr>
        <w:t xml:space="preserve"> </w:t>
      </w:r>
      <w:r w:rsidRPr="00C71F15">
        <w:rPr>
          <w:rFonts w:eastAsia="Times New Roman" w:cs="Times New Roman"/>
          <w:lang w:eastAsia="de-DE"/>
        </w:rPr>
        <w:t>bezeichnet hier wahrscheinlich Wein (vgl. V. 14), nicht Bier.</w:t>
      </w:r>
    </w:p>
    <w:p w14:paraId="10E4D350" w14:textId="4D188BF5" w:rsidR="00C71F15" w:rsidRPr="00C71F15" w:rsidRDefault="00EA15C5" w:rsidP="00C71F1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EA15C5">
        <w:rPr>
          <w:b/>
          <w:bCs/>
          <w:rtl/>
        </w:rPr>
        <w:t>נֶסֶךְ שֵׁכָר</w:t>
      </w:r>
      <w:r>
        <w:t>" (ein Trankopfer von berauschendem Getränk) mit „σπονδὴν σίκερα" (ein Trankopfer von Sikera), wobei „σίκερα" eine Transliteration des hebräischen Begriffs ist.</w:t>
      </w:r>
    </w:p>
    <w:p w14:paraId="358B6387"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zeigt ein nominales Subjekt mit Mengenangabe und Bezug, gefolgt von einer Imperativkonstruktion mit lokaler und objektbezogener Bestimmung.</w:t>
      </w:r>
    </w:p>
    <w:p w14:paraId="3F76061D"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vervollständigt das tägliche Opfer durch das Trankopfer, das im Heiligtum ausgegossen werden muss, wodurch die Ganzheit der Hingabe symbolisiert wird.</w:t>
      </w:r>
    </w:p>
    <w:p w14:paraId="2DD558BC"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28,8</w:t>
      </w:r>
    </w:p>
    <w:p w14:paraId="6CB9E1BC"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וְאֵת֙ הַכֶּ֣בֶשׂ הַשֵּׁנִ֔י תַּעֲשֶׂ֖ה בֵּ֣ין הָֽעַרְבָּ֑יִם כְּמִנְחַ֨ת הַבֹּ֤קֶר וּכְנִסְכּוֹ֙ תַּעֲשֶׂ֔ה אִשֵּׁ֛ה רֵ֥יחַ נִיחֹ֖חַ לַיהוָֽה׃</w:t>
      </w:r>
    </w:p>
    <w:p w14:paraId="3215E767"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das zweite Lamm sollst du zwischen den beiden Abenden machen; wie das Morgen-Speiseopfer und wie sein Trankopfer sollst du es machen, ein Feueropfer wohlgefälligen Geruchs dem Ewigen.</w:t>
      </w:r>
    </w:p>
    <w:p w14:paraId="0D5B28DF"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7540FE40">
          <v:rect id="_x0000_i1912" style="width:0;height:1.5pt" o:hralign="center" o:hrstd="t" o:hr="t" fillcolor="#a0a0a0" stroked="f"/>
        </w:pict>
      </w:r>
    </w:p>
    <w:p w14:paraId="75746F4F" w14:textId="7C570251" w:rsidR="00C71F15" w:rsidRPr="00C71F15" w:rsidRDefault="00C71F15" w:rsidP="00C0709A">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wiederholt die Anweisung für das Abendopfer. </w:t>
      </w:r>
      <w:r w:rsidRPr="00C71F15">
        <w:rPr>
          <w:rFonts w:eastAsia="Times New Roman" w:cs="Times New Roman"/>
          <w:b/>
          <w:bCs/>
          <w:rtl/>
          <w:lang w:eastAsia="de-DE"/>
        </w:rPr>
        <w:t>וְאֵת הַכֶּבֶשׂ הַשֵּׁנִי תַּעֲשֶׂה בֵּין הָעַרְבָּיִם</w:t>
      </w:r>
      <w:r w:rsidRPr="00C71F15">
        <w:rPr>
          <w:rFonts w:eastAsia="Times New Roman" w:cs="Times New Roman"/>
          <w:rtl/>
          <w:lang w:eastAsia="de-DE"/>
        </w:rPr>
        <w:t xml:space="preserve"> </w:t>
      </w:r>
      <w:r w:rsidRPr="00C71F15">
        <w:rPr>
          <w:rFonts w:eastAsia="Times New Roman" w:cs="Times New Roman"/>
          <w:lang w:eastAsia="de-DE"/>
        </w:rPr>
        <w:t xml:space="preserve">greift V. 4 auf (Akkusativobjekt, Verb, temporale Bestimmung). </w:t>
      </w:r>
      <w:r w:rsidRPr="00C71F15">
        <w:rPr>
          <w:rFonts w:eastAsia="Times New Roman" w:cs="Times New Roman"/>
          <w:b/>
          <w:bCs/>
          <w:rtl/>
          <w:lang w:eastAsia="de-DE"/>
        </w:rPr>
        <w:t>כְּמִנְחַת הַבֹּקֶר וּכְנִסְכּוֹ תַּעֲשֶׂה</w:t>
      </w:r>
      <w:r w:rsidRPr="00C71F15">
        <w:rPr>
          <w:rFonts w:eastAsia="Times New Roman" w:cs="Times New Roman"/>
          <w:rtl/>
          <w:lang w:eastAsia="de-DE"/>
        </w:rPr>
        <w:t xml:space="preserve"> </w:t>
      </w:r>
      <w:r w:rsidRPr="00C71F15">
        <w:rPr>
          <w:rFonts w:eastAsia="Times New Roman" w:cs="Times New Roman"/>
          <w:lang w:eastAsia="de-DE"/>
        </w:rPr>
        <w:t xml:space="preserve">gibt die Gleichheit der Opfer an. </w:t>
      </w:r>
      <w:r w:rsidRPr="00C71F15">
        <w:rPr>
          <w:rFonts w:eastAsia="Times New Roman" w:cs="Times New Roman"/>
          <w:b/>
          <w:bCs/>
          <w:rtl/>
          <w:lang w:eastAsia="de-DE"/>
        </w:rPr>
        <w:t>כְּמִנְחַת הַבֹּקֶר</w:t>
      </w:r>
      <w:r w:rsidRPr="00C71F15">
        <w:rPr>
          <w:rFonts w:eastAsia="Times New Roman" w:cs="Times New Roman"/>
          <w:rtl/>
          <w:lang w:eastAsia="de-DE"/>
        </w:rPr>
        <w:t xml:space="preserve"> </w:t>
      </w:r>
      <w:r w:rsidRPr="00C71F15">
        <w:rPr>
          <w:rFonts w:eastAsia="Times New Roman" w:cs="Times New Roman"/>
          <w:lang w:eastAsia="de-DE"/>
        </w:rPr>
        <w:t xml:space="preserve">(Vergleichspräposition </w:t>
      </w:r>
      <w:r w:rsidRPr="00C71F15">
        <w:rPr>
          <w:rFonts w:eastAsia="Times New Roman" w:cs="Times New Roman"/>
          <w:b/>
          <w:bCs/>
          <w:rtl/>
          <w:lang w:eastAsia="de-DE"/>
        </w:rPr>
        <w:t>כְּ</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מִנְחַת</w:t>
      </w:r>
      <w:r w:rsidRPr="00C71F15">
        <w:rPr>
          <w:rFonts w:eastAsia="Times New Roman" w:cs="Times New Roman"/>
          <w:rtl/>
          <w:lang w:eastAsia="de-DE"/>
        </w:rPr>
        <w:t xml:space="preserve"> </w:t>
      </w:r>
      <w:r w:rsidRPr="00C71F15">
        <w:rPr>
          <w:rFonts w:eastAsia="Times New Roman" w:cs="Times New Roman"/>
          <w:lang w:eastAsia="de-DE"/>
        </w:rPr>
        <w:t xml:space="preserve">„Speiseopfer" im </w:t>
      </w:r>
      <w:r w:rsidR="00E031B3">
        <w:rPr>
          <w:rFonts w:eastAsia="Times New Roman" w:cs="Times New Roman"/>
          <w:lang w:eastAsia="de-DE"/>
        </w:rPr>
        <w:t>Constructus und</w:t>
      </w:r>
      <w:r w:rsidRPr="00C71F15">
        <w:rPr>
          <w:rFonts w:eastAsia="Times New Roman" w:cs="Times New Roman"/>
          <w:lang w:eastAsia="de-DE"/>
        </w:rPr>
        <w:t xml:space="preserve"> </w:t>
      </w:r>
      <w:r w:rsidRPr="00C71F15">
        <w:rPr>
          <w:rFonts w:eastAsia="Times New Roman" w:cs="Times New Roman"/>
          <w:b/>
          <w:bCs/>
          <w:rtl/>
          <w:lang w:eastAsia="de-DE"/>
        </w:rPr>
        <w:t>הַבֹּקֶר</w:t>
      </w:r>
      <w:r w:rsidRPr="00C71F15">
        <w:rPr>
          <w:rFonts w:eastAsia="Times New Roman" w:cs="Times New Roman"/>
          <w:rtl/>
          <w:lang w:eastAsia="de-DE"/>
        </w:rPr>
        <w:t xml:space="preserve"> </w:t>
      </w:r>
      <w:r w:rsidRPr="00C71F15">
        <w:rPr>
          <w:rFonts w:eastAsia="Times New Roman" w:cs="Times New Roman"/>
          <w:lang w:eastAsia="de-DE"/>
        </w:rPr>
        <w:t xml:space="preserve">„der Morgen" mit Artikel „wie das Morgen-Speiseopfer"), </w:t>
      </w:r>
      <w:r w:rsidRPr="00C71F15">
        <w:rPr>
          <w:rFonts w:eastAsia="Times New Roman" w:cs="Times New Roman"/>
          <w:b/>
          <w:bCs/>
          <w:rtl/>
          <w:lang w:eastAsia="de-DE"/>
        </w:rPr>
        <w:t>וּכְנִסְכּוֹ</w:t>
      </w:r>
      <w:r w:rsidRPr="00C71F15">
        <w:rPr>
          <w:rFonts w:eastAsia="Times New Roman" w:cs="Times New Roman"/>
          <w:rtl/>
          <w:lang w:eastAsia="de-DE"/>
        </w:rPr>
        <w:t xml:space="preserve"> </w:t>
      </w:r>
      <w:r w:rsidRPr="00C71F15">
        <w:rPr>
          <w:rFonts w:eastAsia="Times New Roman" w:cs="Times New Roman"/>
          <w:lang w:eastAsia="de-DE"/>
        </w:rPr>
        <w:t xml:space="preserve">(Konjunktion mit Vergleichspräposition und </w:t>
      </w:r>
      <w:r w:rsidRPr="00C71F15">
        <w:rPr>
          <w:rFonts w:eastAsia="Times New Roman" w:cs="Times New Roman"/>
          <w:b/>
          <w:bCs/>
          <w:rtl/>
          <w:lang w:eastAsia="de-DE"/>
        </w:rPr>
        <w:t>נֶסֶךְ</w:t>
      </w:r>
      <w:r w:rsidRPr="00C71F15">
        <w:rPr>
          <w:rFonts w:eastAsia="Times New Roman" w:cs="Times New Roman"/>
          <w:rtl/>
          <w:lang w:eastAsia="de-DE"/>
        </w:rPr>
        <w:t xml:space="preserve"> </w:t>
      </w:r>
      <w:r w:rsidRPr="00C71F15">
        <w:rPr>
          <w:rFonts w:eastAsia="Times New Roman" w:cs="Times New Roman"/>
          <w:lang w:eastAsia="de-DE"/>
        </w:rPr>
        <w:t xml:space="preserve">mit Suffix „und wie sein Trankopfer"), </w:t>
      </w:r>
      <w:r w:rsidRPr="00C71F15">
        <w:rPr>
          <w:rFonts w:eastAsia="Times New Roman" w:cs="Times New Roman"/>
          <w:b/>
          <w:bCs/>
          <w:rtl/>
          <w:lang w:eastAsia="de-DE"/>
        </w:rPr>
        <w:t>תַּעֲשֶׂה</w:t>
      </w:r>
      <w:r w:rsidRPr="00C71F15">
        <w:rPr>
          <w:rFonts w:eastAsia="Times New Roman" w:cs="Times New Roman"/>
          <w:rtl/>
          <w:lang w:eastAsia="de-DE"/>
        </w:rPr>
        <w:t xml:space="preserve"> </w:t>
      </w:r>
      <w:r w:rsidRPr="00C71F15">
        <w:rPr>
          <w:rFonts w:eastAsia="Times New Roman" w:cs="Times New Roman"/>
          <w:lang w:eastAsia="de-DE"/>
        </w:rPr>
        <w:t xml:space="preserve">wiederholt das Verb. </w:t>
      </w:r>
      <w:r w:rsidRPr="00C71F15">
        <w:rPr>
          <w:rFonts w:eastAsia="Times New Roman" w:cs="Times New Roman"/>
          <w:b/>
          <w:bCs/>
          <w:rtl/>
          <w:lang w:eastAsia="de-DE"/>
        </w:rPr>
        <w:t>אִשֵּׁה רֵיחַ נִיחֹחַ לַיהוה</w:t>
      </w:r>
      <w:r w:rsidRPr="00C71F15">
        <w:rPr>
          <w:rFonts w:eastAsia="Times New Roman" w:cs="Times New Roman"/>
          <w:rtl/>
          <w:lang w:eastAsia="de-DE"/>
        </w:rPr>
        <w:t xml:space="preserve"> </w:t>
      </w:r>
      <w:r w:rsidRPr="00C71F15">
        <w:rPr>
          <w:rFonts w:eastAsia="Times New Roman" w:cs="Times New Roman"/>
          <w:lang w:eastAsia="de-DE"/>
        </w:rPr>
        <w:t xml:space="preserve">(Apposition: </w:t>
      </w:r>
      <w:r w:rsidRPr="00C71F15">
        <w:rPr>
          <w:rFonts w:eastAsia="Times New Roman" w:cs="Times New Roman"/>
          <w:b/>
          <w:bCs/>
          <w:rtl/>
          <w:lang w:eastAsia="de-DE"/>
        </w:rPr>
        <w:t>אִשֶּׁה</w:t>
      </w:r>
      <w:r w:rsidRPr="00C71F15">
        <w:rPr>
          <w:rFonts w:eastAsia="Times New Roman" w:cs="Times New Roman"/>
          <w:rtl/>
          <w:lang w:eastAsia="de-DE"/>
        </w:rPr>
        <w:t xml:space="preserve"> </w:t>
      </w:r>
      <w:r w:rsidRPr="00C71F15">
        <w:rPr>
          <w:rFonts w:eastAsia="Times New Roman" w:cs="Times New Roman"/>
          <w:lang w:eastAsia="de-DE"/>
        </w:rPr>
        <w:t xml:space="preserve">„Feueropfer", Genitivverbindung </w:t>
      </w:r>
      <w:r w:rsidRPr="00C71F15">
        <w:rPr>
          <w:rFonts w:eastAsia="Times New Roman" w:cs="Times New Roman"/>
          <w:b/>
          <w:bCs/>
          <w:rtl/>
          <w:lang w:eastAsia="de-DE"/>
        </w:rPr>
        <w:t>רֵיחַ נִיחֹחַ</w:t>
      </w:r>
      <w:r w:rsidRPr="00C71F15">
        <w:rPr>
          <w:rFonts w:eastAsia="Times New Roman" w:cs="Times New Roman"/>
          <w:rtl/>
          <w:lang w:eastAsia="de-DE"/>
        </w:rPr>
        <w:t xml:space="preserve"> </w:t>
      </w:r>
      <w:r w:rsidRPr="00C71F15">
        <w:rPr>
          <w:rFonts w:eastAsia="Times New Roman" w:cs="Times New Roman"/>
          <w:lang w:eastAsia="de-DE"/>
        </w:rPr>
        <w:t>„wohlgefälliger Geruch", Präposition mit Tetragramm) wiederholt die Formulierung aus V. 6.</w:t>
      </w:r>
    </w:p>
    <w:p w14:paraId="0EDF3226"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zeigt ein Akkusativobjekt mit Verb und temporaler Bestimmung, gefolgt von zwei Vergleichsphrasen mit wiederholtem Verb und appositiver Ergänzung.</w:t>
      </w:r>
    </w:p>
    <w:p w14:paraId="23938671"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betont die Symmetrie der Morgen- und Abendopfer, die den Tag kultisch rahmen und die beständige Präsenz Gottes symbolisieren.</w:t>
      </w:r>
    </w:p>
    <w:p w14:paraId="30EF01BE"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28,9</w:t>
      </w:r>
    </w:p>
    <w:p w14:paraId="5C22A419"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וּבְיוֹם֙ הַשַּׁבָּ֔ת שְׁנֵֽי־כְבָשִׂ֥ים בְּנֵֽי־שָׁנָ֖ה תְּמִימִ֑ם וּשְׁנֵ֣י עֶשְׂרֹנִ֗ים סֹ֧לֶת מִנְחָ֛ה בְּלוּלָ֥ה בַשֶּׁ֖מֶן וְנִסְכֹּֽו׃</w:t>
      </w:r>
    </w:p>
    <w:p w14:paraId="37FE3743"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am Schabbattag zwei einjährige Lämmer ohne Fehl, und als Speiseopfer zwei Zehntel Feinmehl, gemengt mit Öl, und sein Trankopfer.</w:t>
      </w:r>
    </w:p>
    <w:p w14:paraId="2E9AD990"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lastRenderedPageBreak/>
        <w:pict w14:anchorId="4365A89E">
          <v:rect id="_x0000_i1913" style="width:0;height:1.5pt" o:hralign="center" o:hrstd="t" o:hr="t" fillcolor="#a0a0a0" stroked="f"/>
        </w:pict>
      </w:r>
    </w:p>
    <w:p w14:paraId="05992316" w14:textId="6E82BDFC"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beschreibt das zusätzliche Sabbatopfer. </w:t>
      </w:r>
      <w:r w:rsidRPr="00C71F15">
        <w:rPr>
          <w:rFonts w:eastAsia="Times New Roman" w:cs="Times New Roman"/>
          <w:b/>
          <w:bCs/>
          <w:rtl/>
          <w:lang w:eastAsia="de-DE"/>
        </w:rPr>
        <w:t>וּבְיוֹם הַשַּׁבָּת</w:t>
      </w:r>
      <w:r w:rsidRPr="00C71F15">
        <w:rPr>
          <w:rFonts w:eastAsia="Times New Roman" w:cs="Times New Roman"/>
          <w:rtl/>
          <w:lang w:eastAsia="de-DE"/>
        </w:rPr>
        <w:t xml:space="preserve"> </w:t>
      </w:r>
      <w:r w:rsidRPr="00C71F15">
        <w:rPr>
          <w:rFonts w:eastAsia="Times New Roman" w:cs="Times New Roman"/>
          <w:lang w:eastAsia="de-DE"/>
        </w:rPr>
        <w:t xml:space="preserve">ist die temporale Einleitung. </w:t>
      </w:r>
      <w:r w:rsidRPr="00C71F15">
        <w:rPr>
          <w:rFonts w:eastAsia="Times New Roman" w:cs="Times New Roman"/>
          <w:b/>
          <w:bCs/>
          <w:rtl/>
          <w:lang w:eastAsia="de-DE"/>
        </w:rPr>
        <w:t>וּבְ</w:t>
      </w:r>
      <w:r w:rsidRPr="00C71F15">
        <w:rPr>
          <w:rFonts w:eastAsia="Times New Roman" w:cs="Times New Roman"/>
          <w:rtl/>
          <w:lang w:eastAsia="de-DE"/>
        </w:rPr>
        <w:t xml:space="preserve"> </w:t>
      </w:r>
      <w:r w:rsidRPr="00C71F15">
        <w:rPr>
          <w:rFonts w:eastAsia="Times New Roman" w:cs="Times New Roman"/>
          <w:lang w:eastAsia="de-DE"/>
        </w:rPr>
        <w:t xml:space="preserve">(Konjunktion </w:t>
      </w:r>
      <w:r w:rsidRPr="00C71F15">
        <w:rPr>
          <w:rFonts w:eastAsia="Times New Roman" w:cs="Times New Roman"/>
          <w:b/>
          <w:bCs/>
          <w:rtl/>
          <w:lang w:eastAsia="de-DE"/>
        </w:rPr>
        <w:t>וְ</w:t>
      </w:r>
      <w:r w:rsidRPr="00C71F15">
        <w:rPr>
          <w:rFonts w:eastAsia="Times New Roman" w:cs="Times New Roman"/>
          <w:rtl/>
          <w:lang w:eastAsia="de-DE"/>
        </w:rPr>
        <w:t xml:space="preserve"> </w:t>
      </w:r>
      <w:r w:rsidRPr="00C71F15">
        <w:rPr>
          <w:rFonts w:eastAsia="Times New Roman" w:cs="Times New Roman"/>
          <w:lang w:eastAsia="de-DE"/>
        </w:rPr>
        <w:t xml:space="preserve">mit Präposition </w:t>
      </w:r>
      <w:r w:rsidRPr="00C71F15">
        <w:rPr>
          <w:rFonts w:eastAsia="Times New Roman" w:cs="Times New Roman"/>
          <w:b/>
          <w:bCs/>
          <w:rtl/>
          <w:lang w:eastAsia="de-DE"/>
        </w:rPr>
        <w:t>בְ</w:t>
      </w:r>
      <w:r w:rsidRPr="00C71F15">
        <w:rPr>
          <w:rFonts w:eastAsia="Times New Roman" w:cs="Times New Roman"/>
          <w:lang w:eastAsia="de-DE"/>
        </w:rPr>
        <w:t xml:space="preserve">), </w:t>
      </w:r>
      <w:r w:rsidRPr="00C71F15">
        <w:rPr>
          <w:rFonts w:eastAsia="Times New Roman" w:cs="Times New Roman"/>
          <w:b/>
          <w:bCs/>
          <w:rtl/>
          <w:lang w:eastAsia="de-DE"/>
        </w:rPr>
        <w:t>יוֹם</w:t>
      </w:r>
      <w:r w:rsidRPr="00C71F15">
        <w:rPr>
          <w:rFonts w:eastAsia="Times New Roman" w:cs="Times New Roman"/>
          <w:rtl/>
          <w:lang w:eastAsia="de-DE"/>
        </w:rPr>
        <w:t xml:space="preserve"> </w:t>
      </w:r>
      <w:r w:rsidRPr="00C71F15">
        <w:rPr>
          <w:rFonts w:eastAsia="Times New Roman" w:cs="Times New Roman"/>
          <w:lang w:eastAsia="de-DE"/>
        </w:rPr>
        <w:t xml:space="preserve">(„Tag"), </w:t>
      </w:r>
      <w:r w:rsidRPr="00C71F15">
        <w:rPr>
          <w:rFonts w:eastAsia="Times New Roman" w:cs="Times New Roman"/>
          <w:b/>
          <w:bCs/>
          <w:rtl/>
          <w:lang w:eastAsia="de-DE"/>
        </w:rPr>
        <w:t>הַשַּׁבָּת</w:t>
      </w:r>
      <w:r w:rsidRPr="00C71F15">
        <w:rPr>
          <w:rFonts w:eastAsia="Times New Roman" w:cs="Times New Roman"/>
          <w:rtl/>
          <w:lang w:eastAsia="de-DE"/>
        </w:rPr>
        <w:t xml:space="preserve"> </w:t>
      </w:r>
      <w:r w:rsidRPr="00C71F15">
        <w:rPr>
          <w:rFonts w:eastAsia="Times New Roman" w:cs="Times New Roman"/>
          <w:lang w:eastAsia="de-DE"/>
        </w:rPr>
        <w:t xml:space="preserve">(feminin Singular </w:t>
      </w:r>
      <w:r w:rsidRPr="00C71F15">
        <w:rPr>
          <w:rFonts w:eastAsia="Times New Roman" w:cs="Times New Roman"/>
          <w:b/>
          <w:bCs/>
          <w:rtl/>
          <w:lang w:eastAsia="de-DE"/>
        </w:rPr>
        <w:t>שַׁבָּת</w:t>
      </w:r>
      <w:r w:rsidRPr="00C71F15">
        <w:rPr>
          <w:rFonts w:eastAsia="Times New Roman" w:cs="Times New Roman"/>
          <w:rtl/>
          <w:lang w:eastAsia="de-DE"/>
        </w:rPr>
        <w:t xml:space="preserve"> </w:t>
      </w:r>
      <w:r w:rsidRPr="00C71F15">
        <w:rPr>
          <w:rFonts w:eastAsia="Times New Roman" w:cs="Times New Roman"/>
          <w:lang w:eastAsia="de-DE"/>
        </w:rPr>
        <w:t xml:space="preserve">„Sabbat" mit Artikel „am Sabbattag"). </w:t>
      </w:r>
      <w:r w:rsidRPr="00C71F15">
        <w:rPr>
          <w:rFonts w:eastAsia="Times New Roman" w:cs="Times New Roman"/>
          <w:b/>
          <w:bCs/>
          <w:rtl/>
          <w:lang w:eastAsia="de-DE"/>
        </w:rPr>
        <w:t>שְׁנֵי־כְבָשִׂים בְּנֵי־שָׁנָה תְּמִימִם</w:t>
      </w:r>
      <w:r w:rsidRPr="00C71F15">
        <w:rPr>
          <w:rFonts w:eastAsia="Times New Roman" w:cs="Times New Roman"/>
          <w:rtl/>
          <w:lang w:eastAsia="de-DE"/>
        </w:rPr>
        <w:t xml:space="preserve"> </w:t>
      </w:r>
      <w:r w:rsidRPr="00C71F15">
        <w:rPr>
          <w:rFonts w:eastAsia="Times New Roman" w:cs="Times New Roman"/>
          <w:lang w:eastAsia="de-DE"/>
        </w:rPr>
        <w:t xml:space="preserve">beschreibt die Opfertiere. </w:t>
      </w:r>
      <w:r w:rsidRPr="00C71F15">
        <w:rPr>
          <w:rFonts w:eastAsia="Times New Roman" w:cs="Times New Roman"/>
          <w:b/>
          <w:bCs/>
          <w:rtl/>
          <w:lang w:eastAsia="de-DE"/>
        </w:rPr>
        <w:t>שְׁנֵי</w:t>
      </w:r>
      <w:r w:rsidRPr="00C71F15">
        <w:rPr>
          <w:rFonts w:eastAsia="Times New Roman" w:cs="Times New Roman"/>
          <w:rtl/>
          <w:lang w:eastAsia="de-DE"/>
        </w:rPr>
        <w:t xml:space="preserve"> </w:t>
      </w:r>
      <w:r w:rsidRPr="00C71F15">
        <w:rPr>
          <w:rFonts w:eastAsia="Times New Roman" w:cs="Times New Roman"/>
          <w:lang w:eastAsia="de-DE"/>
        </w:rPr>
        <w:t>(</w:t>
      </w:r>
      <w:r w:rsidR="00B513FF">
        <w:rPr>
          <w:rFonts w:eastAsia="Times New Roman" w:cs="Times New Roman"/>
          <w:lang w:eastAsia="de-DE"/>
        </w:rPr>
        <w:t xml:space="preserve">Constructus </w:t>
      </w:r>
      <w:r w:rsidRPr="00C71F15">
        <w:rPr>
          <w:rFonts w:eastAsia="Times New Roman" w:cs="Times New Roman"/>
          <w:lang w:eastAsia="de-DE"/>
        </w:rPr>
        <w:t xml:space="preserve"> der Kardinalzahl „zwei"), </w:t>
      </w:r>
      <w:r w:rsidRPr="00C71F15">
        <w:rPr>
          <w:rFonts w:eastAsia="Times New Roman" w:cs="Times New Roman"/>
          <w:b/>
          <w:bCs/>
          <w:rtl/>
          <w:lang w:eastAsia="de-DE"/>
        </w:rPr>
        <w:t>כְבָשִׂים</w:t>
      </w:r>
      <w:r w:rsidRPr="00C71F15">
        <w:rPr>
          <w:rFonts w:eastAsia="Times New Roman" w:cs="Times New Roman"/>
          <w:rtl/>
          <w:lang w:eastAsia="de-DE"/>
        </w:rPr>
        <w:t xml:space="preserve"> </w:t>
      </w:r>
      <w:r w:rsidRPr="00C71F15">
        <w:rPr>
          <w:rFonts w:eastAsia="Times New Roman" w:cs="Times New Roman"/>
          <w:lang w:eastAsia="de-DE"/>
        </w:rPr>
        <w:t xml:space="preserve">(Plural von </w:t>
      </w:r>
      <w:r w:rsidRPr="00C71F15">
        <w:rPr>
          <w:rFonts w:eastAsia="Times New Roman" w:cs="Times New Roman"/>
          <w:b/>
          <w:bCs/>
          <w:rtl/>
          <w:lang w:eastAsia="de-DE"/>
        </w:rPr>
        <w:t>כֶּבֶשׂ</w:t>
      </w:r>
      <w:r w:rsidRPr="00C71F15">
        <w:rPr>
          <w:rFonts w:eastAsia="Times New Roman" w:cs="Times New Roman"/>
          <w:rtl/>
          <w:lang w:eastAsia="de-DE"/>
        </w:rPr>
        <w:t xml:space="preserve"> </w:t>
      </w:r>
      <w:r w:rsidRPr="00C71F15">
        <w:rPr>
          <w:rFonts w:eastAsia="Times New Roman" w:cs="Times New Roman"/>
          <w:lang w:eastAsia="de-DE"/>
        </w:rPr>
        <w:t xml:space="preserve">„Lämmer"), </w:t>
      </w:r>
      <w:r w:rsidRPr="00C71F15">
        <w:rPr>
          <w:rFonts w:eastAsia="Times New Roman" w:cs="Times New Roman"/>
          <w:b/>
          <w:bCs/>
          <w:rtl/>
          <w:lang w:eastAsia="de-DE"/>
        </w:rPr>
        <w:t>בְּנֵי־שָׁנָה</w:t>
      </w:r>
      <w:r w:rsidRPr="00C71F15">
        <w:rPr>
          <w:rFonts w:eastAsia="Times New Roman" w:cs="Times New Roman"/>
          <w:rtl/>
          <w:lang w:eastAsia="de-DE"/>
        </w:rPr>
        <w:t xml:space="preserve"> </w:t>
      </w:r>
      <w:r w:rsidRPr="00C71F15">
        <w:rPr>
          <w:rFonts w:eastAsia="Times New Roman" w:cs="Times New Roman"/>
          <w:lang w:eastAsia="de-DE"/>
        </w:rPr>
        <w:t xml:space="preserve">(„einjährig" wie in V. 3), </w:t>
      </w:r>
      <w:r w:rsidRPr="00C71F15">
        <w:rPr>
          <w:rFonts w:eastAsia="Times New Roman" w:cs="Times New Roman"/>
          <w:b/>
          <w:bCs/>
          <w:rtl/>
          <w:lang w:eastAsia="de-DE"/>
        </w:rPr>
        <w:t>תְּמִימִם</w:t>
      </w:r>
      <w:r w:rsidRPr="00C71F15">
        <w:rPr>
          <w:rFonts w:eastAsia="Times New Roman" w:cs="Times New Roman"/>
          <w:rtl/>
          <w:lang w:eastAsia="de-DE"/>
        </w:rPr>
        <w:t xml:space="preserve"> </w:t>
      </w:r>
      <w:r w:rsidRPr="00C71F15">
        <w:rPr>
          <w:rFonts w:eastAsia="Times New Roman" w:cs="Times New Roman"/>
          <w:lang w:eastAsia="de-DE"/>
        </w:rPr>
        <w:t xml:space="preserve">(Plural von </w:t>
      </w:r>
      <w:r w:rsidRPr="00C71F15">
        <w:rPr>
          <w:rFonts w:eastAsia="Times New Roman" w:cs="Times New Roman"/>
          <w:b/>
          <w:bCs/>
          <w:rtl/>
          <w:lang w:eastAsia="de-DE"/>
        </w:rPr>
        <w:t>תָּמִים</w:t>
      </w:r>
      <w:r w:rsidRPr="00C71F15">
        <w:rPr>
          <w:rFonts w:eastAsia="Times New Roman" w:cs="Times New Roman"/>
          <w:rtl/>
          <w:lang w:eastAsia="de-DE"/>
        </w:rPr>
        <w:t xml:space="preserve"> </w:t>
      </w:r>
      <w:r w:rsidRPr="00C71F15">
        <w:rPr>
          <w:rFonts w:eastAsia="Times New Roman" w:cs="Times New Roman"/>
          <w:lang w:eastAsia="de-DE"/>
        </w:rPr>
        <w:t>„ohne Fehl").</w:t>
      </w:r>
    </w:p>
    <w:p w14:paraId="611E084A" w14:textId="74CF8999" w:rsidR="00C71F15" w:rsidRPr="00C71F15" w:rsidRDefault="00C71F15" w:rsidP="00C0709A">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וּשְׁנֵי עֶשְׂרֹנִים סֹלֶת מִנְחָה בְּלוּלָה בַשֶּׁמֶן וְנִסְכּוֹ</w:t>
      </w:r>
      <w:r w:rsidRPr="00C71F15">
        <w:rPr>
          <w:rFonts w:eastAsia="Times New Roman" w:cs="Times New Roman"/>
          <w:rtl/>
          <w:lang w:eastAsia="de-DE"/>
        </w:rPr>
        <w:t xml:space="preserve"> </w:t>
      </w:r>
      <w:r w:rsidRPr="00C71F15">
        <w:rPr>
          <w:rFonts w:eastAsia="Times New Roman" w:cs="Times New Roman"/>
          <w:lang w:eastAsia="de-DE"/>
        </w:rPr>
        <w:t xml:space="preserve">beschreibt die Begleitopfer. </w:t>
      </w:r>
      <w:r w:rsidRPr="00C71F15">
        <w:rPr>
          <w:rFonts w:eastAsia="Times New Roman" w:cs="Times New Roman"/>
          <w:b/>
          <w:bCs/>
          <w:rtl/>
          <w:lang w:eastAsia="de-DE"/>
        </w:rPr>
        <w:t>וּשְׁנֵי עֶשְׂרֹנִים</w:t>
      </w:r>
      <w:r w:rsidRPr="00C71F15">
        <w:rPr>
          <w:rFonts w:eastAsia="Times New Roman" w:cs="Times New Roman"/>
          <w:rtl/>
          <w:lang w:eastAsia="de-DE"/>
        </w:rPr>
        <w:t xml:space="preserve"> </w:t>
      </w:r>
      <w:r w:rsidRPr="00C71F15">
        <w:rPr>
          <w:rFonts w:eastAsia="Times New Roman" w:cs="Times New Roman"/>
          <w:lang w:eastAsia="de-DE"/>
        </w:rPr>
        <w:t xml:space="preserve">(„und zwei Zehntel"), </w:t>
      </w:r>
      <w:r w:rsidRPr="00C71F15">
        <w:rPr>
          <w:rFonts w:eastAsia="Times New Roman" w:cs="Times New Roman"/>
          <w:b/>
          <w:bCs/>
          <w:rtl/>
          <w:lang w:eastAsia="de-DE"/>
        </w:rPr>
        <w:t>סֹלֶת</w:t>
      </w:r>
      <w:r w:rsidRPr="00C71F15">
        <w:rPr>
          <w:rFonts w:eastAsia="Times New Roman" w:cs="Times New Roman"/>
          <w:rtl/>
          <w:lang w:eastAsia="de-DE"/>
        </w:rPr>
        <w:t xml:space="preserve"> </w:t>
      </w:r>
      <w:r w:rsidRPr="00C71F15">
        <w:rPr>
          <w:rFonts w:eastAsia="Times New Roman" w:cs="Times New Roman"/>
          <w:lang w:eastAsia="de-DE"/>
        </w:rPr>
        <w:t xml:space="preserve">(„Feinmehl"), </w:t>
      </w:r>
      <w:r w:rsidRPr="00C71F15">
        <w:rPr>
          <w:rFonts w:eastAsia="Times New Roman" w:cs="Times New Roman"/>
          <w:b/>
          <w:bCs/>
          <w:rtl/>
          <w:lang w:eastAsia="de-DE"/>
        </w:rPr>
        <w:t>מִנְחָה</w:t>
      </w:r>
      <w:r w:rsidRPr="00C71F15">
        <w:rPr>
          <w:rFonts w:eastAsia="Times New Roman" w:cs="Times New Roman"/>
          <w:rtl/>
          <w:lang w:eastAsia="de-DE"/>
        </w:rPr>
        <w:t xml:space="preserve"> </w:t>
      </w:r>
      <w:r w:rsidRPr="00C71F15">
        <w:rPr>
          <w:rFonts w:eastAsia="Times New Roman" w:cs="Times New Roman"/>
          <w:lang w:eastAsia="de-DE"/>
        </w:rPr>
        <w:t xml:space="preserve">(„Speiseopfer"), </w:t>
      </w:r>
      <w:r w:rsidRPr="00C71F15">
        <w:rPr>
          <w:rFonts w:eastAsia="Times New Roman" w:cs="Times New Roman"/>
          <w:b/>
          <w:bCs/>
          <w:rtl/>
          <w:lang w:eastAsia="de-DE"/>
        </w:rPr>
        <w:t>בְּלוּלָה בַשֶּׁמֶן</w:t>
      </w:r>
      <w:r w:rsidRPr="00C71F15">
        <w:rPr>
          <w:rFonts w:eastAsia="Times New Roman" w:cs="Times New Roman"/>
          <w:rtl/>
          <w:lang w:eastAsia="de-DE"/>
        </w:rPr>
        <w:t xml:space="preserve"> </w:t>
      </w:r>
      <w:r w:rsidRPr="00C71F15">
        <w:rPr>
          <w:rFonts w:eastAsia="Times New Roman" w:cs="Times New Roman"/>
          <w:lang w:eastAsia="de-DE"/>
        </w:rPr>
        <w:t xml:space="preserve">(„gemengt mit Öl" wie in V. 5), </w:t>
      </w:r>
      <w:r w:rsidRPr="00C71F15">
        <w:rPr>
          <w:rFonts w:eastAsia="Times New Roman" w:cs="Times New Roman"/>
          <w:b/>
          <w:bCs/>
          <w:rtl/>
          <w:lang w:eastAsia="de-DE"/>
        </w:rPr>
        <w:t>וְנִסְכּוֹ</w:t>
      </w:r>
      <w:r w:rsidRPr="00C71F15">
        <w:rPr>
          <w:rFonts w:eastAsia="Times New Roman" w:cs="Times New Roman"/>
          <w:rtl/>
          <w:lang w:eastAsia="de-DE"/>
        </w:rPr>
        <w:t xml:space="preserve"> </w:t>
      </w:r>
      <w:r w:rsidRPr="00C71F15">
        <w:rPr>
          <w:rFonts w:eastAsia="Times New Roman" w:cs="Times New Roman"/>
          <w:lang w:eastAsia="de-DE"/>
        </w:rPr>
        <w:t>(„und sein Trankopfer" mit Suffix, wobei die genaue Menge nicht spezifiziert wird, vermutlich weil sie aus V. 7 bekannt ist).</w:t>
      </w:r>
    </w:p>
    <w:p w14:paraId="5830EC94" w14:textId="22860470"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 xml:space="preserve">Die Satzstruktur zeigt eine temporale Einleitung, gefolgt von einer Aufzählung von Opfergaben ohne finites Verb (elliptische </w:t>
      </w:r>
      <w:r w:rsidR="00F133EC">
        <w:rPr>
          <w:rFonts w:eastAsia="Times New Roman" w:cs="Times New Roman"/>
          <w:lang w:eastAsia="de-DE"/>
        </w:rPr>
        <w:t>Construct</w:t>
      </w:r>
      <w:r w:rsidRPr="00C71F15">
        <w:rPr>
          <w:rFonts w:eastAsia="Times New Roman" w:cs="Times New Roman"/>
          <w:lang w:eastAsia="de-DE"/>
        </w:rPr>
        <w:t>ion).</w:t>
      </w:r>
    </w:p>
    <w:p w14:paraId="67F0C09B"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etabliert ein zusätzliches Opfer für den Sabbat, das zum täglichen Tamid hinzukommt und die besondere Heiligkeit dieses Tages unterstreicht.</w:t>
      </w:r>
    </w:p>
    <w:p w14:paraId="1A19E828"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28,10</w:t>
      </w:r>
    </w:p>
    <w:p w14:paraId="6EEC04F2"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עֹלַ֥ת שַׁבַּ֖ת בְּשַׁבַּתֹּ֑ו עַל־עֹלַ֥ת הַתָּמִ֖יד וְנִסְכָּֽהּ׃</w:t>
      </w:r>
    </w:p>
    <w:p w14:paraId="6F869D84"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Es ist das Schabbat-Aufsteigeopfer an jedem Schabbat, außer dem beständigen Aufsteigeopfer und seinem Trankopfer.</w:t>
      </w:r>
    </w:p>
    <w:p w14:paraId="1A55B67C"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2E0285CC">
          <v:rect id="_x0000_i1914" style="width:0;height:1.5pt" o:hralign="center" o:hrstd="t" o:hr="t" fillcolor="#a0a0a0" stroked="f"/>
        </w:pict>
      </w:r>
    </w:p>
    <w:p w14:paraId="65466B51" w14:textId="1F2488C6"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klärt das Verhältnis zwischen Sabbat- und Tamid-Opfer. </w:t>
      </w:r>
      <w:r w:rsidRPr="00C71F15">
        <w:rPr>
          <w:rFonts w:eastAsia="Times New Roman" w:cs="Times New Roman"/>
          <w:b/>
          <w:bCs/>
          <w:rtl/>
          <w:lang w:eastAsia="de-DE"/>
        </w:rPr>
        <w:t>עֹלַת שַׁבַּת בְּשַׁבַּתּוֹ</w:t>
      </w:r>
      <w:r w:rsidRPr="00C71F15">
        <w:rPr>
          <w:rFonts w:eastAsia="Times New Roman" w:cs="Times New Roman"/>
          <w:rtl/>
          <w:lang w:eastAsia="de-DE"/>
        </w:rPr>
        <w:t xml:space="preserve"> </w:t>
      </w:r>
      <w:r w:rsidRPr="00C71F15">
        <w:rPr>
          <w:rFonts w:eastAsia="Times New Roman" w:cs="Times New Roman"/>
          <w:lang w:eastAsia="de-DE"/>
        </w:rPr>
        <w:t xml:space="preserve">ist ein Nominalsatz. </w:t>
      </w:r>
      <w:r w:rsidRPr="00C71F15">
        <w:rPr>
          <w:rFonts w:eastAsia="Times New Roman" w:cs="Times New Roman"/>
          <w:b/>
          <w:bCs/>
          <w:rtl/>
          <w:lang w:eastAsia="de-DE"/>
        </w:rPr>
        <w:t>עֹלַת שַׁבַּת</w:t>
      </w:r>
      <w:r w:rsidRPr="00C71F15">
        <w:rPr>
          <w:rFonts w:eastAsia="Times New Roman" w:cs="Times New Roman"/>
          <w:rtl/>
          <w:lang w:eastAsia="de-DE"/>
        </w:rPr>
        <w:t xml:space="preserve"> </w:t>
      </w:r>
      <w:r w:rsidRPr="00C71F15">
        <w:rPr>
          <w:rFonts w:eastAsia="Times New Roman" w:cs="Times New Roman"/>
          <w:lang w:eastAsia="de-DE"/>
        </w:rPr>
        <w:t xml:space="preserve">(Genitivverbindung: </w:t>
      </w:r>
      <w:r w:rsidRPr="00C71F15">
        <w:rPr>
          <w:rFonts w:eastAsia="Times New Roman" w:cs="Times New Roman"/>
          <w:b/>
          <w:bCs/>
          <w:rtl/>
          <w:lang w:eastAsia="de-DE"/>
        </w:rPr>
        <w:t>עֹלָה</w:t>
      </w:r>
      <w:r w:rsidRPr="00C71F15">
        <w:rPr>
          <w:rFonts w:eastAsia="Times New Roman" w:cs="Times New Roman"/>
          <w:rtl/>
          <w:lang w:eastAsia="de-DE"/>
        </w:rPr>
        <w:t xml:space="preserve"> </w:t>
      </w:r>
      <w:r w:rsidRPr="00C71F15">
        <w:rPr>
          <w:rFonts w:eastAsia="Times New Roman" w:cs="Times New Roman"/>
          <w:lang w:eastAsia="de-DE"/>
        </w:rPr>
        <w:t>„</w:t>
      </w:r>
      <w:r w:rsidR="00593666">
        <w:rPr>
          <w:rFonts w:eastAsia="Times New Roman" w:cs="Times New Roman"/>
          <w:lang w:eastAsia="de-DE"/>
        </w:rPr>
        <w:t>Aufsteigeopfer</w:t>
      </w:r>
      <w:r w:rsidRPr="00C71F15">
        <w:rPr>
          <w:rFonts w:eastAsia="Times New Roman" w:cs="Times New Roman"/>
          <w:lang w:eastAsia="de-DE"/>
        </w:rPr>
        <w:t xml:space="preserve">" im </w:t>
      </w:r>
      <w:r w:rsidR="00E031B3">
        <w:rPr>
          <w:rFonts w:eastAsia="Times New Roman" w:cs="Times New Roman"/>
          <w:lang w:eastAsia="de-DE"/>
        </w:rPr>
        <w:t>Constructus mit</w:t>
      </w:r>
      <w:r w:rsidRPr="00C71F15">
        <w:rPr>
          <w:rFonts w:eastAsia="Times New Roman" w:cs="Times New Roman"/>
          <w:lang w:eastAsia="de-DE"/>
        </w:rPr>
        <w:t xml:space="preserve"> </w:t>
      </w:r>
      <w:r w:rsidRPr="00C71F15">
        <w:rPr>
          <w:rFonts w:eastAsia="Times New Roman" w:cs="Times New Roman"/>
          <w:b/>
          <w:bCs/>
          <w:rtl/>
          <w:lang w:eastAsia="de-DE"/>
        </w:rPr>
        <w:t>שַׁבָּת</w:t>
      </w:r>
      <w:r w:rsidRPr="00C71F15">
        <w:rPr>
          <w:rFonts w:eastAsia="Times New Roman" w:cs="Times New Roman"/>
          <w:rtl/>
          <w:lang w:eastAsia="de-DE"/>
        </w:rPr>
        <w:t xml:space="preserve"> </w:t>
      </w:r>
      <w:r w:rsidRPr="00C71F15">
        <w:rPr>
          <w:rFonts w:eastAsia="Times New Roman" w:cs="Times New Roman"/>
          <w:lang w:eastAsia="de-DE"/>
        </w:rPr>
        <w:t xml:space="preserve">„Sabbat"), </w:t>
      </w:r>
      <w:r w:rsidRPr="00C71F15">
        <w:rPr>
          <w:rFonts w:eastAsia="Times New Roman" w:cs="Times New Roman"/>
          <w:b/>
          <w:bCs/>
          <w:rtl/>
          <w:lang w:eastAsia="de-DE"/>
        </w:rPr>
        <w:t>בְּשַׁבַּתּוֹ</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בְ</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שַׁבָּת</w:t>
      </w:r>
      <w:r w:rsidRPr="00C71F15">
        <w:rPr>
          <w:rFonts w:eastAsia="Times New Roman" w:cs="Times New Roman"/>
          <w:rtl/>
          <w:lang w:eastAsia="de-DE"/>
        </w:rPr>
        <w:t xml:space="preserve"> </w:t>
      </w:r>
      <w:r w:rsidRPr="00C71F15">
        <w:rPr>
          <w:rFonts w:eastAsia="Times New Roman" w:cs="Times New Roman"/>
          <w:lang w:eastAsia="de-DE"/>
        </w:rPr>
        <w:t xml:space="preserve">und Suffix 3. Person maskulin Singular „an seinem Sabbat"), wobei die Wiederholung </w:t>
      </w:r>
      <w:r w:rsidRPr="00C71F15">
        <w:rPr>
          <w:rFonts w:eastAsia="Times New Roman" w:cs="Times New Roman"/>
          <w:b/>
          <w:bCs/>
          <w:rtl/>
          <w:lang w:eastAsia="de-DE"/>
        </w:rPr>
        <w:t>בְּשַׁבַּתּוֹ</w:t>
      </w:r>
      <w:r w:rsidRPr="00C71F15">
        <w:rPr>
          <w:rFonts w:eastAsia="Times New Roman" w:cs="Times New Roman"/>
          <w:rtl/>
          <w:lang w:eastAsia="de-DE"/>
        </w:rPr>
        <w:t xml:space="preserve"> </w:t>
      </w:r>
      <w:r w:rsidRPr="00C71F15">
        <w:rPr>
          <w:rFonts w:eastAsia="Times New Roman" w:cs="Times New Roman"/>
          <w:lang w:eastAsia="de-DE"/>
        </w:rPr>
        <w:t>distributive Bedeutung hat: „an jedem Sabbat, Sabbat für Sabbat".</w:t>
      </w:r>
    </w:p>
    <w:p w14:paraId="01607317" w14:textId="58DEA718" w:rsidR="00C71F15" w:rsidRPr="00C71F15" w:rsidRDefault="00C71F15" w:rsidP="00C0709A">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עַל־עֹלַת הַתָּמִיד וְנִסְכָּהּ</w:t>
      </w:r>
      <w:r w:rsidRPr="00C71F15">
        <w:rPr>
          <w:rFonts w:eastAsia="Times New Roman" w:cs="Times New Roman"/>
          <w:rtl/>
          <w:lang w:eastAsia="de-DE"/>
        </w:rPr>
        <w:t xml:space="preserve"> </w:t>
      </w:r>
      <w:r w:rsidRPr="00C71F15">
        <w:rPr>
          <w:rFonts w:eastAsia="Times New Roman" w:cs="Times New Roman"/>
          <w:lang w:eastAsia="de-DE"/>
        </w:rPr>
        <w:t xml:space="preserve">zeigt die Zusätzlichkeit. </w:t>
      </w:r>
      <w:r w:rsidRPr="00C71F15">
        <w:rPr>
          <w:rFonts w:eastAsia="Times New Roman" w:cs="Times New Roman"/>
          <w:b/>
          <w:bCs/>
          <w:rtl/>
          <w:lang w:eastAsia="de-DE"/>
        </w:rPr>
        <w:t>עַל</w:t>
      </w:r>
      <w:r w:rsidRPr="00C71F15">
        <w:rPr>
          <w:rFonts w:eastAsia="Times New Roman" w:cs="Times New Roman"/>
          <w:rtl/>
          <w:lang w:eastAsia="de-DE"/>
        </w:rPr>
        <w:t xml:space="preserve"> </w:t>
      </w:r>
      <w:r w:rsidRPr="00C71F15">
        <w:rPr>
          <w:rFonts w:eastAsia="Times New Roman" w:cs="Times New Roman"/>
          <w:lang w:eastAsia="de-DE"/>
        </w:rPr>
        <w:t xml:space="preserve">(Präposition „auf, über, zusätzlich zu, außer"), </w:t>
      </w:r>
      <w:r w:rsidRPr="00C71F15">
        <w:rPr>
          <w:rFonts w:eastAsia="Times New Roman" w:cs="Times New Roman"/>
          <w:b/>
          <w:bCs/>
          <w:rtl/>
          <w:lang w:eastAsia="de-DE"/>
        </w:rPr>
        <w:t>עֹלַת הַתָּמִיד</w:t>
      </w:r>
      <w:r w:rsidRPr="00C71F15">
        <w:rPr>
          <w:rFonts w:eastAsia="Times New Roman" w:cs="Times New Roman"/>
          <w:rtl/>
          <w:lang w:eastAsia="de-DE"/>
        </w:rPr>
        <w:t xml:space="preserve"> </w:t>
      </w:r>
      <w:r w:rsidRPr="00C71F15">
        <w:rPr>
          <w:rFonts w:eastAsia="Times New Roman" w:cs="Times New Roman"/>
          <w:lang w:eastAsia="de-DE"/>
        </w:rPr>
        <w:t xml:space="preserve">(Genitivverbindung „das beständige </w:t>
      </w:r>
      <w:r w:rsidR="00593666">
        <w:rPr>
          <w:rFonts w:eastAsia="Times New Roman" w:cs="Times New Roman"/>
          <w:lang w:eastAsia="de-DE"/>
        </w:rPr>
        <w:t>Aufsteigeopfer</w:t>
      </w:r>
      <w:r w:rsidRPr="00C71F15">
        <w:rPr>
          <w:rFonts w:eastAsia="Times New Roman" w:cs="Times New Roman"/>
          <w:lang w:eastAsia="de-DE"/>
        </w:rPr>
        <w:t xml:space="preserve">" mit Artikel), </w:t>
      </w:r>
      <w:r w:rsidRPr="00C71F15">
        <w:rPr>
          <w:rFonts w:eastAsia="Times New Roman" w:cs="Times New Roman"/>
          <w:b/>
          <w:bCs/>
          <w:rtl/>
          <w:lang w:eastAsia="de-DE"/>
        </w:rPr>
        <w:t>וְנִסְכָּהּ</w:t>
      </w:r>
      <w:r w:rsidRPr="00C71F15">
        <w:rPr>
          <w:rFonts w:eastAsia="Times New Roman" w:cs="Times New Roman"/>
          <w:rtl/>
          <w:lang w:eastAsia="de-DE"/>
        </w:rPr>
        <w:t xml:space="preserve"> </w:t>
      </w:r>
      <w:r w:rsidRPr="00C71F15">
        <w:rPr>
          <w:rFonts w:eastAsia="Times New Roman" w:cs="Times New Roman"/>
          <w:lang w:eastAsia="de-DE"/>
        </w:rPr>
        <w:t xml:space="preserve">(Konjunktion mit </w:t>
      </w:r>
      <w:r w:rsidRPr="00C71F15">
        <w:rPr>
          <w:rFonts w:eastAsia="Times New Roman" w:cs="Times New Roman"/>
          <w:b/>
          <w:bCs/>
          <w:rtl/>
          <w:lang w:eastAsia="de-DE"/>
        </w:rPr>
        <w:t>נֶסֶךְ</w:t>
      </w:r>
      <w:r w:rsidRPr="00C71F15">
        <w:rPr>
          <w:rFonts w:eastAsia="Times New Roman" w:cs="Times New Roman"/>
          <w:rtl/>
          <w:lang w:eastAsia="de-DE"/>
        </w:rPr>
        <w:t xml:space="preserve"> </w:t>
      </w:r>
      <w:r w:rsidRPr="00C71F15">
        <w:rPr>
          <w:rFonts w:eastAsia="Times New Roman" w:cs="Times New Roman"/>
          <w:lang w:eastAsia="de-DE"/>
        </w:rPr>
        <w:t xml:space="preserve">„Trankopfer" und feminin Singular Suffix, bezieht sich auf </w:t>
      </w:r>
      <w:r w:rsidRPr="00C71F15">
        <w:rPr>
          <w:rFonts w:eastAsia="Times New Roman" w:cs="Times New Roman"/>
          <w:b/>
          <w:bCs/>
          <w:rtl/>
          <w:lang w:eastAsia="de-DE"/>
        </w:rPr>
        <w:t>עֹלָה</w:t>
      </w:r>
      <w:r w:rsidRPr="00C71F15">
        <w:rPr>
          <w:rFonts w:eastAsia="Times New Roman" w:cs="Times New Roman"/>
          <w:rtl/>
          <w:lang w:eastAsia="de-DE"/>
        </w:rPr>
        <w:t xml:space="preserve"> </w:t>
      </w:r>
      <w:r w:rsidRPr="00C71F15">
        <w:rPr>
          <w:rFonts w:eastAsia="Times New Roman" w:cs="Times New Roman"/>
          <w:lang w:eastAsia="de-DE"/>
        </w:rPr>
        <w:t>„und ihr Trankopfer"). Das Sabbatopfer kommt zum täglichen Opfer hinzu, ersetzt es nicht.</w:t>
      </w:r>
    </w:p>
    <w:p w14:paraId="6C2BF931"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zeigt einen Nominalsatz mit Genitivverbindung und präpositionaler Ergänzung, gefolgt von einer präpositionalen Phrase, die die Kumulation ausdrückt.</w:t>
      </w:r>
    </w:p>
    <w:p w14:paraId="6E03C3B6"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stellt klar, dass das Sabbatopfer zusätzlich zum täglichen Tamid-Opfer dargebracht wird, wodurch der Sabbat als Tag erhöhter Heiligkeit und intensivierter Gottesverehrung markiert wird.</w:t>
      </w:r>
    </w:p>
    <w:p w14:paraId="21780CB0"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28,11</w:t>
      </w:r>
    </w:p>
    <w:p w14:paraId="158B8140"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lastRenderedPageBreak/>
        <w:t>Hebräisch:</w:t>
      </w:r>
      <w:r w:rsidRPr="00C71F15">
        <w:rPr>
          <w:rFonts w:eastAsia="Times New Roman" w:cs="Times New Roman"/>
          <w:lang w:eastAsia="de-DE"/>
        </w:rPr>
        <w:t xml:space="preserve"> </w:t>
      </w:r>
      <w:r w:rsidRPr="00C71F15">
        <w:rPr>
          <w:rFonts w:eastAsia="Times New Roman" w:cs="Times New Roman"/>
          <w:rtl/>
          <w:lang w:eastAsia="de-DE"/>
        </w:rPr>
        <w:t>וּבְרָאשֵׁי֙ חָדְשֵׁיכֶ֔ם תַּקְרִ֥יבוּ עֹלָ֖ה לַיהוָ֑ה פָּרִ֨ים בְּנֵֽי־בָקָ֤ר שְׁנַ֨יִם֙ וְאַ֣יִל אֶחָ֔ד כְּבָשִׂ֧ים בְּנֵי־שָׁנָ֛ה שִׁבְעָ֖ה תְּמִימִֽם׃</w:t>
      </w:r>
    </w:p>
    <w:p w14:paraId="23EA2867"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an euren Monatsanfängen sollt ihr dem Ewigen als Aufsteigeopfer darbringen: zwei junge Stiere und einen Widder, sieben einjährige Lämmer ohne Fehl;</w:t>
      </w:r>
    </w:p>
    <w:p w14:paraId="691CBB13"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31D3B921">
          <v:rect id="_x0000_i1915" style="width:0;height:1.5pt" o:hralign="center" o:hrstd="t" o:hr="t" fillcolor="#a0a0a0" stroked="f"/>
        </w:pict>
      </w:r>
    </w:p>
    <w:p w14:paraId="0E41C8EF" w14:textId="1886B7AB"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beschreibt das Neumondopfer. </w:t>
      </w:r>
      <w:r w:rsidRPr="00C71F15">
        <w:rPr>
          <w:rFonts w:eastAsia="Times New Roman" w:cs="Times New Roman"/>
          <w:b/>
          <w:bCs/>
          <w:rtl/>
          <w:lang w:eastAsia="de-DE"/>
        </w:rPr>
        <w:t>וּבְרָאשֵׁי חָדְשֵׁיכֶם</w:t>
      </w:r>
      <w:r w:rsidRPr="00C71F15">
        <w:rPr>
          <w:rFonts w:eastAsia="Times New Roman" w:cs="Times New Roman"/>
          <w:rtl/>
          <w:lang w:eastAsia="de-DE"/>
        </w:rPr>
        <w:t xml:space="preserve"> </w:t>
      </w:r>
      <w:r w:rsidRPr="00C71F15">
        <w:rPr>
          <w:rFonts w:eastAsia="Times New Roman" w:cs="Times New Roman"/>
          <w:lang w:eastAsia="de-DE"/>
        </w:rPr>
        <w:t xml:space="preserve">ist die temporale Einleitung. </w:t>
      </w:r>
      <w:r w:rsidRPr="00C71F15">
        <w:rPr>
          <w:rFonts w:eastAsia="Times New Roman" w:cs="Times New Roman"/>
          <w:b/>
          <w:bCs/>
          <w:rtl/>
          <w:lang w:eastAsia="de-DE"/>
        </w:rPr>
        <w:t>וּבְרָאשֵׁי</w:t>
      </w:r>
      <w:r w:rsidRPr="00C71F15">
        <w:rPr>
          <w:rFonts w:eastAsia="Times New Roman" w:cs="Times New Roman"/>
          <w:rtl/>
          <w:lang w:eastAsia="de-DE"/>
        </w:rPr>
        <w:t xml:space="preserve"> </w:t>
      </w:r>
      <w:r w:rsidRPr="00C71F15">
        <w:rPr>
          <w:rFonts w:eastAsia="Times New Roman" w:cs="Times New Roman"/>
          <w:lang w:eastAsia="de-DE"/>
        </w:rPr>
        <w:t xml:space="preserve">(Konjunktion mit Präposition </w:t>
      </w:r>
      <w:r w:rsidRPr="00C71F15">
        <w:rPr>
          <w:rFonts w:eastAsia="Times New Roman" w:cs="Times New Roman"/>
          <w:b/>
          <w:bCs/>
          <w:rtl/>
          <w:lang w:eastAsia="de-DE"/>
        </w:rPr>
        <w:t>בְ</w:t>
      </w:r>
      <w:r w:rsidRPr="00C71F15">
        <w:rPr>
          <w:rFonts w:eastAsia="Times New Roman" w:cs="Times New Roman"/>
          <w:rtl/>
          <w:lang w:eastAsia="de-DE"/>
        </w:rPr>
        <w:t xml:space="preserve"> </w:t>
      </w:r>
      <w:r w:rsidRPr="00C71F15">
        <w:rPr>
          <w:rFonts w:eastAsia="Times New Roman" w:cs="Times New Roman"/>
          <w:lang w:eastAsia="de-DE"/>
        </w:rPr>
        <w:t xml:space="preserve">und Plural </w:t>
      </w:r>
      <w:r w:rsidR="00E031B3">
        <w:rPr>
          <w:rFonts w:eastAsia="Times New Roman" w:cs="Times New Roman"/>
          <w:lang w:eastAsia="de-DE"/>
        </w:rPr>
        <w:t>Constructus von</w:t>
      </w:r>
      <w:r w:rsidRPr="00C71F15">
        <w:rPr>
          <w:rFonts w:eastAsia="Times New Roman" w:cs="Times New Roman"/>
          <w:lang w:eastAsia="de-DE"/>
        </w:rPr>
        <w:t xml:space="preserve"> </w:t>
      </w:r>
      <w:r w:rsidRPr="00C71F15">
        <w:rPr>
          <w:rFonts w:eastAsia="Times New Roman" w:cs="Times New Roman"/>
          <w:b/>
          <w:bCs/>
          <w:rtl/>
          <w:lang w:eastAsia="de-DE"/>
        </w:rPr>
        <w:t>רֹאשׁ</w:t>
      </w:r>
      <w:r w:rsidRPr="00C71F15">
        <w:rPr>
          <w:rFonts w:eastAsia="Times New Roman" w:cs="Times New Roman"/>
          <w:rtl/>
          <w:lang w:eastAsia="de-DE"/>
        </w:rPr>
        <w:t xml:space="preserve"> </w:t>
      </w:r>
      <w:r w:rsidRPr="00C71F15">
        <w:rPr>
          <w:rFonts w:eastAsia="Times New Roman" w:cs="Times New Roman"/>
          <w:lang w:eastAsia="de-DE"/>
        </w:rPr>
        <w:t xml:space="preserve">„Haupt, Anfang"), </w:t>
      </w:r>
      <w:r w:rsidRPr="00C71F15">
        <w:rPr>
          <w:rFonts w:eastAsia="Times New Roman" w:cs="Times New Roman"/>
          <w:b/>
          <w:bCs/>
          <w:rtl/>
          <w:lang w:eastAsia="de-DE"/>
        </w:rPr>
        <w:t>חָדְשֵׁיכֶם</w:t>
      </w:r>
      <w:r w:rsidRPr="00C71F15">
        <w:rPr>
          <w:rFonts w:eastAsia="Times New Roman" w:cs="Times New Roman"/>
          <w:rtl/>
          <w:lang w:eastAsia="de-DE"/>
        </w:rPr>
        <w:t xml:space="preserve"> </w:t>
      </w:r>
      <w:r w:rsidRPr="00C71F15">
        <w:rPr>
          <w:rFonts w:eastAsia="Times New Roman" w:cs="Times New Roman"/>
          <w:lang w:eastAsia="de-DE"/>
        </w:rPr>
        <w:t xml:space="preserve">(Plural von </w:t>
      </w:r>
      <w:r w:rsidRPr="00C71F15">
        <w:rPr>
          <w:rFonts w:eastAsia="Times New Roman" w:cs="Times New Roman"/>
          <w:b/>
          <w:bCs/>
          <w:rtl/>
          <w:lang w:eastAsia="de-DE"/>
        </w:rPr>
        <w:t>חֹדֶשׁ</w:t>
      </w:r>
      <w:r w:rsidRPr="00C71F15">
        <w:rPr>
          <w:rFonts w:eastAsia="Times New Roman" w:cs="Times New Roman"/>
          <w:rtl/>
          <w:lang w:eastAsia="de-DE"/>
        </w:rPr>
        <w:t xml:space="preserve"> </w:t>
      </w:r>
      <w:r w:rsidRPr="00C71F15">
        <w:rPr>
          <w:rFonts w:eastAsia="Times New Roman" w:cs="Times New Roman"/>
          <w:lang w:eastAsia="de-DE"/>
        </w:rPr>
        <w:t>„Monat, Neumond" mit Suffix 2. Person maskulin Plural „eurer Monate" d.h. „an euren Monatsanfängen"). Der Neumond war ein wichtiger Feiertag im antiken Israel.</w:t>
      </w:r>
    </w:p>
    <w:p w14:paraId="0CC62410" w14:textId="6A0E808F"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תַּקְרִיבוּ עֹלָה לַיהוה</w:t>
      </w:r>
      <w:r w:rsidRPr="00C71F15">
        <w:rPr>
          <w:rFonts w:eastAsia="Times New Roman" w:cs="Times New Roman"/>
          <w:rtl/>
          <w:lang w:eastAsia="de-DE"/>
        </w:rPr>
        <w:t xml:space="preserve"> </w:t>
      </w:r>
      <w:r w:rsidRPr="00C71F15">
        <w:rPr>
          <w:rFonts w:eastAsia="Times New Roman" w:cs="Times New Roman"/>
          <w:lang w:eastAsia="de-DE"/>
        </w:rPr>
        <w:t xml:space="preserve">ist das Hauptverb. </w:t>
      </w:r>
      <w:r w:rsidRPr="00C71F15">
        <w:rPr>
          <w:rFonts w:eastAsia="Times New Roman" w:cs="Times New Roman"/>
          <w:b/>
          <w:bCs/>
          <w:rtl/>
          <w:lang w:eastAsia="de-DE"/>
        </w:rPr>
        <w:t>תַּקְרִיבוּ</w:t>
      </w:r>
      <w:r w:rsidRPr="00C71F15">
        <w:rPr>
          <w:rFonts w:eastAsia="Times New Roman" w:cs="Times New Roman"/>
          <w:rtl/>
          <w:lang w:eastAsia="de-DE"/>
        </w:rPr>
        <w:t xml:space="preserve"> </w:t>
      </w:r>
      <w:r w:rsidRPr="00C71F15">
        <w:rPr>
          <w:rFonts w:eastAsia="Times New Roman" w:cs="Times New Roman"/>
          <w:lang w:eastAsia="de-DE"/>
        </w:rPr>
        <w:t xml:space="preserve">(Hiphil Imperfekt 2. Person maskulin Plural von </w:t>
      </w:r>
      <w:r w:rsidRPr="00C71F15">
        <w:rPr>
          <w:rFonts w:eastAsia="Times New Roman" w:cs="Times New Roman"/>
          <w:b/>
          <w:bCs/>
          <w:rtl/>
          <w:lang w:eastAsia="de-DE"/>
        </w:rPr>
        <w:t>קרב</w:t>
      </w:r>
      <w:r w:rsidRPr="00C71F15">
        <w:rPr>
          <w:rFonts w:eastAsia="Times New Roman" w:cs="Times New Roman"/>
          <w:rtl/>
          <w:lang w:eastAsia="de-DE"/>
        </w:rPr>
        <w:t xml:space="preserve"> </w:t>
      </w:r>
      <w:r w:rsidRPr="00C71F15">
        <w:rPr>
          <w:rFonts w:eastAsia="Times New Roman" w:cs="Times New Roman"/>
          <w:lang w:eastAsia="de-DE"/>
        </w:rPr>
        <w:t xml:space="preserve">„darbringen"), </w:t>
      </w:r>
      <w:r w:rsidRPr="00C71F15">
        <w:rPr>
          <w:rFonts w:eastAsia="Times New Roman" w:cs="Times New Roman"/>
          <w:b/>
          <w:bCs/>
          <w:rtl/>
          <w:lang w:eastAsia="de-DE"/>
        </w:rPr>
        <w:t>עֹלָה</w:t>
      </w:r>
      <w:r w:rsidRPr="00C71F15">
        <w:rPr>
          <w:rFonts w:eastAsia="Times New Roman" w:cs="Times New Roman"/>
          <w:rtl/>
          <w:lang w:eastAsia="de-DE"/>
        </w:rPr>
        <w:t xml:space="preserve"> </w:t>
      </w:r>
      <w:r w:rsidRPr="00C71F15">
        <w:rPr>
          <w:rFonts w:eastAsia="Times New Roman" w:cs="Times New Roman"/>
          <w:lang w:eastAsia="de-DE"/>
        </w:rPr>
        <w:t>(„</w:t>
      </w:r>
      <w:r w:rsidR="00593666">
        <w:rPr>
          <w:rFonts w:eastAsia="Times New Roman" w:cs="Times New Roman"/>
          <w:lang w:eastAsia="de-DE"/>
        </w:rPr>
        <w:t>Aufsteigeopfer</w:t>
      </w:r>
      <w:r w:rsidRPr="00C71F15">
        <w:rPr>
          <w:rFonts w:eastAsia="Times New Roman" w:cs="Times New Roman"/>
          <w:lang w:eastAsia="de-DE"/>
        </w:rPr>
        <w:t xml:space="preserve">"), </w:t>
      </w:r>
      <w:r w:rsidRPr="00C71F15">
        <w:rPr>
          <w:rFonts w:eastAsia="Times New Roman" w:cs="Times New Roman"/>
          <w:b/>
          <w:bCs/>
          <w:rtl/>
          <w:lang w:eastAsia="de-DE"/>
        </w:rPr>
        <w:t>לַיהוה</w:t>
      </w:r>
      <w:r w:rsidRPr="00C71F15">
        <w:rPr>
          <w:rFonts w:eastAsia="Times New Roman" w:cs="Times New Roman"/>
          <w:rtl/>
          <w:lang w:eastAsia="de-DE"/>
        </w:rPr>
        <w:t xml:space="preserve"> </w:t>
      </w:r>
      <w:r w:rsidRPr="00C71F15">
        <w:rPr>
          <w:rFonts w:eastAsia="Times New Roman" w:cs="Times New Roman"/>
          <w:lang w:eastAsia="de-DE"/>
        </w:rPr>
        <w:t xml:space="preserve">(Präposition mit Tetragramm). </w:t>
      </w:r>
      <w:r w:rsidRPr="00C71F15">
        <w:rPr>
          <w:rFonts w:eastAsia="Times New Roman" w:cs="Times New Roman"/>
          <w:b/>
          <w:bCs/>
          <w:rtl/>
          <w:lang w:eastAsia="de-DE"/>
        </w:rPr>
        <w:t>פָּרִים בְּנֵי־בָקָר שְׁנַיִם</w:t>
      </w:r>
      <w:r w:rsidRPr="00C71F15">
        <w:rPr>
          <w:rFonts w:eastAsia="Times New Roman" w:cs="Times New Roman"/>
          <w:rtl/>
          <w:lang w:eastAsia="de-DE"/>
        </w:rPr>
        <w:t xml:space="preserve"> </w:t>
      </w:r>
      <w:r w:rsidRPr="00C71F15">
        <w:rPr>
          <w:rFonts w:eastAsia="Times New Roman" w:cs="Times New Roman"/>
          <w:lang w:eastAsia="de-DE"/>
        </w:rPr>
        <w:t xml:space="preserve">beschreibt die ersten Opfertiere. </w:t>
      </w:r>
      <w:r w:rsidRPr="00C71F15">
        <w:rPr>
          <w:rFonts w:eastAsia="Times New Roman" w:cs="Times New Roman"/>
          <w:b/>
          <w:bCs/>
          <w:rtl/>
          <w:lang w:eastAsia="de-DE"/>
        </w:rPr>
        <w:t>פָּרִים</w:t>
      </w:r>
      <w:r w:rsidRPr="00C71F15">
        <w:rPr>
          <w:rFonts w:eastAsia="Times New Roman" w:cs="Times New Roman"/>
          <w:rtl/>
          <w:lang w:eastAsia="de-DE"/>
        </w:rPr>
        <w:t xml:space="preserve"> </w:t>
      </w:r>
      <w:r w:rsidRPr="00C71F15">
        <w:rPr>
          <w:rFonts w:eastAsia="Times New Roman" w:cs="Times New Roman"/>
          <w:lang w:eastAsia="de-DE"/>
        </w:rPr>
        <w:t xml:space="preserve">(Plural von </w:t>
      </w:r>
      <w:r w:rsidRPr="00C71F15">
        <w:rPr>
          <w:rFonts w:eastAsia="Times New Roman" w:cs="Times New Roman"/>
          <w:b/>
          <w:bCs/>
          <w:rtl/>
          <w:lang w:eastAsia="de-DE"/>
        </w:rPr>
        <w:t>פַּר</w:t>
      </w:r>
      <w:r w:rsidRPr="00C71F15">
        <w:rPr>
          <w:rFonts w:eastAsia="Times New Roman" w:cs="Times New Roman"/>
          <w:rtl/>
          <w:lang w:eastAsia="de-DE"/>
        </w:rPr>
        <w:t xml:space="preserve"> </w:t>
      </w:r>
      <w:r w:rsidRPr="00C71F15">
        <w:rPr>
          <w:rFonts w:eastAsia="Times New Roman" w:cs="Times New Roman"/>
          <w:lang w:eastAsia="de-DE"/>
        </w:rPr>
        <w:t xml:space="preserve">„Stier, junger Stier"), </w:t>
      </w:r>
      <w:r w:rsidRPr="00C71F15">
        <w:rPr>
          <w:rFonts w:eastAsia="Times New Roman" w:cs="Times New Roman"/>
          <w:b/>
          <w:bCs/>
          <w:rtl/>
          <w:lang w:eastAsia="de-DE"/>
        </w:rPr>
        <w:t>בְּנֵי־בָקָר</w:t>
      </w:r>
      <w:r w:rsidRPr="00C71F15">
        <w:rPr>
          <w:rFonts w:eastAsia="Times New Roman" w:cs="Times New Roman"/>
          <w:rtl/>
          <w:lang w:eastAsia="de-DE"/>
        </w:rPr>
        <w:t xml:space="preserve"> </w:t>
      </w:r>
      <w:r w:rsidRPr="00C71F15">
        <w:rPr>
          <w:rFonts w:eastAsia="Times New Roman" w:cs="Times New Roman"/>
          <w:lang w:eastAsia="de-DE"/>
        </w:rPr>
        <w:t xml:space="preserve">(Genitivverbindung: Plural </w:t>
      </w:r>
      <w:r w:rsidR="00E031B3">
        <w:rPr>
          <w:rFonts w:eastAsia="Times New Roman" w:cs="Times New Roman"/>
          <w:lang w:eastAsia="de-DE"/>
        </w:rPr>
        <w:t>Constructus von</w:t>
      </w:r>
      <w:r w:rsidRPr="00C71F15">
        <w:rPr>
          <w:rFonts w:eastAsia="Times New Roman" w:cs="Times New Roman"/>
          <w:lang w:eastAsia="de-DE"/>
        </w:rPr>
        <w:t xml:space="preserve"> </w:t>
      </w:r>
      <w:r w:rsidRPr="00C71F15">
        <w:rPr>
          <w:rFonts w:eastAsia="Times New Roman" w:cs="Times New Roman"/>
          <w:b/>
          <w:bCs/>
          <w:rtl/>
          <w:lang w:eastAsia="de-DE"/>
        </w:rPr>
        <w:t>בֵּן</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בָּקָר</w:t>
      </w:r>
      <w:r w:rsidRPr="00C71F15">
        <w:rPr>
          <w:rFonts w:eastAsia="Times New Roman" w:cs="Times New Roman"/>
          <w:rtl/>
          <w:lang w:eastAsia="de-DE"/>
        </w:rPr>
        <w:t xml:space="preserve"> </w:t>
      </w:r>
      <w:r w:rsidRPr="00C71F15">
        <w:rPr>
          <w:rFonts w:eastAsia="Times New Roman" w:cs="Times New Roman"/>
          <w:lang w:eastAsia="de-DE"/>
        </w:rPr>
        <w:t xml:space="preserve">„Rind" „junge Rinder"), eine appositive Erklärung, </w:t>
      </w:r>
      <w:r w:rsidRPr="00C71F15">
        <w:rPr>
          <w:rFonts w:eastAsia="Times New Roman" w:cs="Times New Roman"/>
          <w:b/>
          <w:bCs/>
          <w:rtl/>
          <w:lang w:eastAsia="de-DE"/>
        </w:rPr>
        <w:t>שְׁנַיִם</w:t>
      </w:r>
      <w:r w:rsidRPr="00C71F15">
        <w:rPr>
          <w:rFonts w:eastAsia="Times New Roman" w:cs="Times New Roman"/>
          <w:rtl/>
          <w:lang w:eastAsia="de-DE"/>
        </w:rPr>
        <w:t xml:space="preserve"> </w:t>
      </w:r>
      <w:r w:rsidRPr="00C71F15">
        <w:rPr>
          <w:rFonts w:eastAsia="Times New Roman" w:cs="Times New Roman"/>
          <w:lang w:eastAsia="de-DE"/>
        </w:rPr>
        <w:t>(„zwei").</w:t>
      </w:r>
    </w:p>
    <w:p w14:paraId="5853AE5B" w14:textId="70BD2EF0" w:rsidR="00C71F15" w:rsidRPr="00C71F15" w:rsidRDefault="00C71F15" w:rsidP="00C0709A">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וְאַיִל אֶחָד</w:t>
      </w:r>
      <w:r w:rsidRPr="00C71F15">
        <w:rPr>
          <w:rFonts w:eastAsia="Times New Roman" w:cs="Times New Roman"/>
          <w:rtl/>
          <w:lang w:eastAsia="de-DE"/>
        </w:rPr>
        <w:t xml:space="preserve"> </w:t>
      </w:r>
      <w:r w:rsidRPr="00C71F15">
        <w:rPr>
          <w:rFonts w:eastAsia="Times New Roman" w:cs="Times New Roman"/>
          <w:lang w:eastAsia="de-DE"/>
        </w:rPr>
        <w:t xml:space="preserve">fügt hinzu: </w:t>
      </w:r>
      <w:r w:rsidRPr="00C71F15">
        <w:rPr>
          <w:rFonts w:eastAsia="Times New Roman" w:cs="Times New Roman"/>
          <w:b/>
          <w:bCs/>
          <w:rtl/>
          <w:lang w:eastAsia="de-DE"/>
        </w:rPr>
        <w:t>אַיִל</w:t>
      </w:r>
      <w:r w:rsidRPr="00C71F15">
        <w:rPr>
          <w:rFonts w:eastAsia="Times New Roman" w:cs="Times New Roman"/>
          <w:rtl/>
          <w:lang w:eastAsia="de-DE"/>
        </w:rPr>
        <w:t xml:space="preserve"> </w:t>
      </w:r>
      <w:r w:rsidRPr="00C71F15">
        <w:rPr>
          <w:rFonts w:eastAsia="Times New Roman" w:cs="Times New Roman"/>
          <w:lang w:eastAsia="de-DE"/>
        </w:rPr>
        <w:t xml:space="preserve">(maskuliner Singular „Widder"), </w:t>
      </w:r>
      <w:r w:rsidRPr="00C71F15">
        <w:rPr>
          <w:rFonts w:eastAsia="Times New Roman" w:cs="Times New Roman"/>
          <w:b/>
          <w:bCs/>
          <w:rtl/>
          <w:lang w:eastAsia="de-DE"/>
        </w:rPr>
        <w:t>אֶחָד</w:t>
      </w:r>
      <w:r w:rsidRPr="00C71F15">
        <w:rPr>
          <w:rFonts w:eastAsia="Times New Roman" w:cs="Times New Roman"/>
          <w:rtl/>
          <w:lang w:eastAsia="de-DE"/>
        </w:rPr>
        <w:t xml:space="preserve"> </w:t>
      </w:r>
      <w:r w:rsidRPr="00C71F15">
        <w:rPr>
          <w:rFonts w:eastAsia="Times New Roman" w:cs="Times New Roman"/>
          <w:lang w:eastAsia="de-DE"/>
        </w:rPr>
        <w:t xml:space="preserve">(„einer"). </w:t>
      </w:r>
      <w:r w:rsidRPr="00C71F15">
        <w:rPr>
          <w:rFonts w:eastAsia="Times New Roman" w:cs="Times New Roman"/>
          <w:b/>
          <w:bCs/>
          <w:rtl/>
          <w:lang w:eastAsia="de-DE"/>
        </w:rPr>
        <w:t>כְּבָשִׂים בְּנֵי־שָׁנָה שִׁבְעָה תְּמִימִם</w:t>
      </w:r>
      <w:r w:rsidRPr="00C71F15">
        <w:rPr>
          <w:rFonts w:eastAsia="Times New Roman" w:cs="Times New Roman"/>
          <w:rtl/>
          <w:lang w:eastAsia="de-DE"/>
        </w:rPr>
        <w:t xml:space="preserve"> </w:t>
      </w:r>
      <w:r w:rsidRPr="00C71F15">
        <w:rPr>
          <w:rFonts w:eastAsia="Times New Roman" w:cs="Times New Roman"/>
          <w:lang w:eastAsia="de-DE"/>
        </w:rPr>
        <w:t xml:space="preserve">ergänzt: </w:t>
      </w:r>
      <w:r w:rsidRPr="00C71F15">
        <w:rPr>
          <w:rFonts w:eastAsia="Times New Roman" w:cs="Times New Roman"/>
          <w:b/>
          <w:bCs/>
          <w:rtl/>
          <w:lang w:eastAsia="de-DE"/>
        </w:rPr>
        <w:t>כְּבָשִׂים</w:t>
      </w:r>
      <w:r w:rsidRPr="00C71F15">
        <w:rPr>
          <w:rFonts w:eastAsia="Times New Roman" w:cs="Times New Roman"/>
          <w:rtl/>
          <w:lang w:eastAsia="de-DE"/>
        </w:rPr>
        <w:t xml:space="preserve"> </w:t>
      </w:r>
      <w:r w:rsidRPr="00C71F15">
        <w:rPr>
          <w:rFonts w:eastAsia="Times New Roman" w:cs="Times New Roman"/>
          <w:lang w:eastAsia="de-DE"/>
        </w:rPr>
        <w:t xml:space="preserve">(„Lämmer"), </w:t>
      </w:r>
      <w:r w:rsidRPr="00C71F15">
        <w:rPr>
          <w:rFonts w:eastAsia="Times New Roman" w:cs="Times New Roman"/>
          <w:b/>
          <w:bCs/>
          <w:rtl/>
          <w:lang w:eastAsia="de-DE"/>
        </w:rPr>
        <w:t>בְּנֵי־שָׁנָה</w:t>
      </w:r>
      <w:r w:rsidRPr="00C71F15">
        <w:rPr>
          <w:rFonts w:eastAsia="Times New Roman" w:cs="Times New Roman"/>
          <w:rtl/>
          <w:lang w:eastAsia="de-DE"/>
        </w:rPr>
        <w:t xml:space="preserve"> </w:t>
      </w:r>
      <w:r w:rsidRPr="00C71F15">
        <w:rPr>
          <w:rFonts w:eastAsia="Times New Roman" w:cs="Times New Roman"/>
          <w:lang w:eastAsia="de-DE"/>
        </w:rPr>
        <w:t xml:space="preserve">(„einjährig"), </w:t>
      </w:r>
      <w:r w:rsidRPr="00C71F15">
        <w:rPr>
          <w:rFonts w:eastAsia="Times New Roman" w:cs="Times New Roman"/>
          <w:b/>
          <w:bCs/>
          <w:rtl/>
          <w:lang w:eastAsia="de-DE"/>
        </w:rPr>
        <w:t>שִׁבְעָה</w:t>
      </w:r>
      <w:r w:rsidRPr="00C71F15">
        <w:rPr>
          <w:rFonts w:eastAsia="Times New Roman" w:cs="Times New Roman"/>
          <w:rtl/>
          <w:lang w:eastAsia="de-DE"/>
        </w:rPr>
        <w:t xml:space="preserve"> </w:t>
      </w:r>
      <w:r w:rsidRPr="00C71F15">
        <w:rPr>
          <w:rFonts w:eastAsia="Times New Roman" w:cs="Times New Roman"/>
          <w:lang w:eastAsia="de-DE"/>
        </w:rPr>
        <w:t xml:space="preserve">(Kardinalzahl „sieben"), </w:t>
      </w:r>
      <w:r w:rsidRPr="00C71F15">
        <w:rPr>
          <w:rFonts w:eastAsia="Times New Roman" w:cs="Times New Roman"/>
          <w:b/>
          <w:bCs/>
          <w:rtl/>
          <w:lang w:eastAsia="de-DE"/>
        </w:rPr>
        <w:t>תְּמִימִם</w:t>
      </w:r>
      <w:r w:rsidRPr="00C71F15">
        <w:rPr>
          <w:rFonts w:eastAsia="Times New Roman" w:cs="Times New Roman"/>
          <w:rtl/>
          <w:lang w:eastAsia="de-DE"/>
        </w:rPr>
        <w:t xml:space="preserve"> </w:t>
      </w:r>
      <w:r w:rsidRPr="00C71F15">
        <w:rPr>
          <w:rFonts w:eastAsia="Times New Roman" w:cs="Times New Roman"/>
          <w:lang w:eastAsia="de-DE"/>
        </w:rPr>
        <w:t>(„ohne Fehl").</w:t>
      </w:r>
    </w:p>
    <w:p w14:paraId="1D54CACD"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zeigt eine temporale Einleitung, gefolgt von einem Hauptsatz mit Verb und Objekt, das durch drei koordinierte Aufzählungen von Opfertieren erweitert wird.</w:t>
      </w:r>
    </w:p>
    <w:p w14:paraId="58F4E9F8"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etabliert das monatliche Neumondopfer, das deutlich umfangreicher ist als das tägliche oder Sabbatopfer (zehn Tiere statt zwei), was die besondere Bedeutung dieses zyklischen Festes unterstreicht.</w:t>
      </w:r>
    </w:p>
    <w:p w14:paraId="46C0C495"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28,12-13</w:t>
      </w:r>
    </w:p>
    <w:p w14:paraId="6C425AC6"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וּשְׁלֹשָׁ֣ה עֶשְׂרֹנִ֗ים סֹ֤לֶת מִנְחָה֙ בְּלוּלָ֣ה בַשֶּׁ֔מֶן לַפָּ֖ר הָאֶחָ֑ד וּשְׁנֵ֣י עֶשְׂרֹנִ֗ים סֹ֤לֶת מִנְחָה֙ בְּלוּלָ֣ה בַשֶּׁ֔מֶן לָאַ֖יִל הָֽאֶחָֽד׃ וְעִשָּׂרֹ֣ן עִשָּׂר֗וֹן סֹ֤לֶת מִנְחָה֙ בְּלוּלָ֣ה בַשֶּׁ֔מֶן לַכֶּ֖בֶשׂ הָאֶחָ֑ד עֹלָה֙ רֵ֣יחַ נִיחֹ֔חַ אִשֶּׁ֖ה לַיהוָֽה׃</w:t>
      </w:r>
    </w:p>
    <w:p w14:paraId="48A1452E"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drei Zehntel Feinmehl, gemengt mit Öl, als Speiseopfer zu dem einen Stier; und zwei Zehntel Feinmehl, gemengt mit Öl, als Speiseopfer zu dem einen Widder; und je ein Zehntel Feinmehl, gemengt mit Öl, als Speiseopfer zu jedem Lamm. Es ist ein Aufsteigeopfer, ein wohlgefälliger Geruch, ein Feueropfer dem Ewigen.</w:t>
      </w:r>
    </w:p>
    <w:p w14:paraId="6DE7DB3C"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2271EE8C">
          <v:rect id="_x0000_i1916" style="width:0;height:1.5pt" o:hralign="center" o:hrstd="t" o:hr="t" fillcolor="#a0a0a0" stroked="f"/>
        </w:pict>
      </w:r>
    </w:p>
    <w:p w14:paraId="72D291B8"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Die Verse spezifizieren die Speiseopfer zum Neumondopfer. </w:t>
      </w:r>
      <w:r w:rsidRPr="00C71F15">
        <w:rPr>
          <w:rFonts w:eastAsia="Times New Roman" w:cs="Times New Roman"/>
          <w:b/>
          <w:bCs/>
          <w:rtl/>
          <w:lang w:eastAsia="de-DE"/>
        </w:rPr>
        <w:t>וּשְׁלֹשָׁה עֶשְׂרֹנִים סֹלֶת מִנְחָה בְּלוּלָה בַשֶּׁמֶן לַפָּר הָאֶחָד</w:t>
      </w:r>
      <w:r w:rsidRPr="00C71F15">
        <w:rPr>
          <w:rFonts w:eastAsia="Times New Roman" w:cs="Times New Roman"/>
          <w:rtl/>
          <w:lang w:eastAsia="de-DE"/>
        </w:rPr>
        <w:t xml:space="preserve"> </w:t>
      </w:r>
      <w:r w:rsidRPr="00C71F15">
        <w:rPr>
          <w:rFonts w:eastAsia="Times New Roman" w:cs="Times New Roman"/>
          <w:lang w:eastAsia="de-DE"/>
        </w:rPr>
        <w:t xml:space="preserve">gibt die Menge für den Stier. </w:t>
      </w:r>
      <w:r w:rsidRPr="00C71F15">
        <w:rPr>
          <w:rFonts w:eastAsia="Times New Roman" w:cs="Times New Roman"/>
          <w:b/>
          <w:bCs/>
          <w:rtl/>
          <w:lang w:eastAsia="de-DE"/>
        </w:rPr>
        <w:t>שְׁלֹשָׁה עֶשְׂרֹנִים</w:t>
      </w:r>
      <w:r w:rsidRPr="00C71F15">
        <w:rPr>
          <w:rFonts w:eastAsia="Times New Roman" w:cs="Times New Roman"/>
          <w:rtl/>
          <w:lang w:eastAsia="de-DE"/>
        </w:rPr>
        <w:t xml:space="preserve"> </w:t>
      </w:r>
      <w:r w:rsidRPr="00C71F15">
        <w:rPr>
          <w:rFonts w:eastAsia="Times New Roman" w:cs="Times New Roman"/>
          <w:lang w:eastAsia="de-DE"/>
        </w:rPr>
        <w:t xml:space="preserve">(„drei Zehntel"), </w:t>
      </w:r>
      <w:r w:rsidRPr="00C71F15">
        <w:rPr>
          <w:rFonts w:eastAsia="Times New Roman" w:cs="Times New Roman"/>
          <w:b/>
          <w:bCs/>
          <w:rtl/>
          <w:lang w:eastAsia="de-DE"/>
        </w:rPr>
        <w:t>סֹלֶת</w:t>
      </w:r>
      <w:r w:rsidRPr="00C71F15">
        <w:rPr>
          <w:rFonts w:eastAsia="Times New Roman" w:cs="Times New Roman"/>
          <w:rtl/>
          <w:lang w:eastAsia="de-DE"/>
        </w:rPr>
        <w:t xml:space="preserve"> </w:t>
      </w:r>
      <w:r w:rsidRPr="00C71F15">
        <w:rPr>
          <w:rFonts w:eastAsia="Times New Roman" w:cs="Times New Roman"/>
          <w:lang w:eastAsia="de-DE"/>
        </w:rPr>
        <w:t xml:space="preserve">(„Feinmehl"), </w:t>
      </w:r>
      <w:r w:rsidRPr="00C71F15">
        <w:rPr>
          <w:rFonts w:eastAsia="Times New Roman" w:cs="Times New Roman"/>
          <w:b/>
          <w:bCs/>
          <w:rtl/>
          <w:lang w:eastAsia="de-DE"/>
        </w:rPr>
        <w:t>מִנְחָה</w:t>
      </w:r>
      <w:r w:rsidRPr="00C71F15">
        <w:rPr>
          <w:rFonts w:eastAsia="Times New Roman" w:cs="Times New Roman"/>
          <w:rtl/>
          <w:lang w:eastAsia="de-DE"/>
        </w:rPr>
        <w:t xml:space="preserve"> </w:t>
      </w:r>
      <w:r w:rsidRPr="00C71F15">
        <w:rPr>
          <w:rFonts w:eastAsia="Times New Roman" w:cs="Times New Roman"/>
          <w:lang w:eastAsia="de-DE"/>
        </w:rPr>
        <w:t xml:space="preserve">(„Speiseopfer"), </w:t>
      </w:r>
      <w:r w:rsidRPr="00C71F15">
        <w:rPr>
          <w:rFonts w:eastAsia="Times New Roman" w:cs="Times New Roman"/>
          <w:b/>
          <w:bCs/>
          <w:rtl/>
          <w:lang w:eastAsia="de-DE"/>
        </w:rPr>
        <w:t>בְּלוּלָה בַשֶּׁמֶן</w:t>
      </w:r>
      <w:r w:rsidRPr="00C71F15">
        <w:rPr>
          <w:rFonts w:eastAsia="Times New Roman" w:cs="Times New Roman"/>
          <w:rtl/>
          <w:lang w:eastAsia="de-DE"/>
        </w:rPr>
        <w:t xml:space="preserve"> </w:t>
      </w:r>
      <w:r w:rsidRPr="00C71F15">
        <w:rPr>
          <w:rFonts w:eastAsia="Times New Roman" w:cs="Times New Roman"/>
          <w:lang w:eastAsia="de-DE"/>
        </w:rPr>
        <w:t xml:space="preserve">(„gemengt mit Öl"), </w:t>
      </w:r>
      <w:r w:rsidRPr="00C71F15">
        <w:rPr>
          <w:rFonts w:eastAsia="Times New Roman" w:cs="Times New Roman"/>
          <w:b/>
          <w:bCs/>
          <w:rtl/>
          <w:lang w:eastAsia="de-DE"/>
        </w:rPr>
        <w:t>לַפָּר הָאֶחָד</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„für" mit </w:t>
      </w:r>
      <w:r w:rsidRPr="00C71F15">
        <w:rPr>
          <w:rFonts w:eastAsia="Times New Roman" w:cs="Times New Roman"/>
          <w:b/>
          <w:bCs/>
          <w:rtl/>
          <w:lang w:eastAsia="de-DE"/>
        </w:rPr>
        <w:t>פַּר</w:t>
      </w:r>
      <w:r w:rsidRPr="00C71F15">
        <w:rPr>
          <w:rFonts w:eastAsia="Times New Roman" w:cs="Times New Roman"/>
          <w:rtl/>
          <w:lang w:eastAsia="de-DE"/>
        </w:rPr>
        <w:t xml:space="preserve"> </w:t>
      </w:r>
      <w:r w:rsidRPr="00C71F15">
        <w:rPr>
          <w:rFonts w:eastAsia="Times New Roman" w:cs="Times New Roman"/>
          <w:lang w:eastAsia="de-DE"/>
        </w:rPr>
        <w:t xml:space="preserve">„Stier" und </w:t>
      </w:r>
      <w:r w:rsidRPr="00C71F15">
        <w:rPr>
          <w:rFonts w:eastAsia="Times New Roman" w:cs="Times New Roman"/>
          <w:b/>
          <w:bCs/>
          <w:rtl/>
          <w:lang w:eastAsia="de-DE"/>
        </w:rPr>
        <w:t>אֶחָד</w:t>
      </w:r>
      <w:r w:rsidRPr="00C71F15">
        <w:rPr>
          <w:rFonts w:eastAsia="Times New Roman" w:cs="Times New Roman"/>
          <w:rtl/>
          <w:lang w:eastAsia="de-DE"/>
        </w:rPr>
        <w:t xml:space="preserve"> </w:t>
      </w:r>
      <w:r w:rsidRPr="00C71F15">
        <w:rPr>
          <w:rFonts w:eastAsia="Times New Roman" w:cs="Times New Roman"/>
          <w:lang w:eastAsia="de-DE"/>
        </w:rPr>
        <w:t>„der eine" mit Artikeln).</w:t>
      </w:r>
    </w:p>
    <w:p w14:paraId="132D22AD" w14:textId="62CAAE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וּשְׁנֵי עֶשְׂרֹנִים סֹלֶת מִנְחָה בְּלוּלָה בַשֶּׁמֶן לָאַיִל הָאֶחָד</w:t>
      </w:r>
      <w:r w:rsidRPr="00C71F15">
        <w:rPr>
          <w:rFonts w:eastAsia="Times New Roman" w:cs="Times New Roman"/>
          <w:rtl/>
          <w:lang w:eastAsia="de-DE"/>
        </w:rPr>
        <w:t xml:space="preserve"> </w:t>
      </w:r>
      <w:r w:rsidRPr="00C71F15">
        <w:rPr>
          <w:rFonts w:eastAsia="Times New Roman" w:cs="Times New Roman"/>
          <w:lang w:eastAsia="de-DE"/>
        </w:rPr>
        <w:t xml:space="preserve">folgt dem gleichen Muster für den Widder („zwei Zehntel"). </w:t>
      </w:r>
      <w:r w:rsidRPr="00C71F15">
        <w:rPr>
          <w:rFonts w:eastAsia="Times New Roman" w:cs="Times New Roman"/>
          <w:b/>
          <w:bCs/>
          <w:rtl/>
          <w:lang w:eastAsia="de-DE"/>
        </w:rPr>
        <w:t>וְעִשָּׂרֹן עִשָּׂרוֹן</w:t>
      </w:r>
      <w:r w:rsidRPr="00C71F15">
        <w:rPr>
          <w:rFonts w:eastAsia="Times New Roman" w:cs="Times New Roman"/>
          <w:rtl/>
          <w:lang w:eastAsia="de-DE"/>
        </w:rPr>
        <w:t xml:space="preserve"> </w:t>
      </w:r>
      <w:r w:rsidRPr="00C71F15">
        <w:rPr>
          <w:rFonts w:eastAsia="Times New Roman" w:cs="Times New Roman"/>
          <w:lang w:eastAsia="de-DE"/>
        </w:rPr>
        <w:t xml:space="preserve">in V. 13 ist eine distributive </w:t>
      </w:r>
      <w:r w:rsidR="00F133EC">
        <w:rPr>
          <w:rFonts w:eastAsia="Times New Roman" w:cs="Times New Roman"/>
          <w:lang w:eastAsia="de-DE"/>
        </w:rPr>
        <w:t>Construct</w:t>
      </w:r>
      <w:r w:rsidRPr="00C71F15">
        <w:rPr>
          <w:rFonts w:eastAsia="Times New Roman" w:cs="Times New Roman"/>
          <w:lang w:eastAsia="de-DE"/>
        </w:rPr>
        <w:t xml:space="preserve">ion: </w:t>
      </w:r>
      <w:r w:rsidRPr="00C71F15">
        <w:rPr>
          <w:rFonts w:eastAsia="Times New Roman" w:cs="Times New Roman"/>
          <w:b/>
          <w:bCs/>
          <w:rtl/>
          <w:lang w:eastAsia="de-DE"/>
        </w:rPr>
        <w:t>עִשָּׂרֹן</w:t>
      </w:r>
      <w:r w:rsidRPr="00C71F15">
        <w:rPr>
          <w:rFonts w:eastAsia="Times New Roman" w:cs="Times New Roman"/>
          <w:rtl/>
          <w:lang w:eastAsia="de-DE"/>
        </w:rPr>
        <w:t xml:space="preserve"> </w:t>
      </w:r>
      <w:r w:rsidRPr="00C71F15">
        <w:rPr>
          <w:rFonts w:eastAsia="Times New Roman" w:cs="Times New Roman"/>
          <w:lang w:eastAsia="de-DE"/>
        </w:rPr>
        <w:t xml:space="preserve">(„Zehntel") </w:t>
      </w:r>
      <w:r w:rsidRPr="00C71F15">
        <w:rPr>
          <w:rFonts w:eastAsia="Times New Roman" w:cs="Times New Roman"/>
          <w:lang w:eastAsia="de-DE"/>
        </w:rPr>
        <w:lastRenderedPageBreak/>
        <w:t xml:space="preserve">wiederholt bedeutet „je ein Zehntel". </w:t>
      </w:r>
      <w:r w:rsidRPr="00C71F15">
        <w:rPr>
          <w:rFonts w:eastAsia="Times New Roman" w:cs="Times New Roman"/>
          <w:b/>
          <w:bCs/>
          <w:rtl/>
          <w:lang w:eastAsia="de-DE"/>
        </w:rPr>
        <w:t>לַכֶּבֶשׂ הָאֶחָד</w:t>
      </w:r>
      <w:r w:rsidRPr="00C71F15">
        <w:rPr>
          <w:rFonts w:eastAsia="Times New Roman" w:cs="Times New Roman"/>
          <w:rtl/>
          <w:lang w:eastAsia="de-DE"/>
        </w:rPr>
        <w:t xml:space="preserve"> </w:t>
      </w:r>
      <w:r w:rsidRPr="00C71F15">
        <w:rPr>
          <w:rFonts w:eastAsia="Times New Roman" w:cs="Times New Roman"/>
          <w:lang w:eastAsia="de-DE"/>
        </w:rPr>
        <w:t>(„für das eine Lamm", d.h. für jedes einzelne der sieben Lämmer).</w:t>
      </w:r>
    </w:p>
    <w:p w14:paraId="75C96D06" w14:textId="24BEAA9F" w:rsidR="00C71F15" w:rsidRPr="00C71F15" w:rsidRDefault="00C71F15" w:rsidP="00C0709A">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עֹלָה רֵיחַ נִיחֹחַ אִשֶּׁה לַיהוה</w:t>
      </w:r>
      <w:r w:rsidRPr="00C71F15">
        <w:rPr>
          <w:rFonts w:eastAsia="Times New Roman" w:cs="Times New Roman"/>
          <w:rtl/>
          <w:lang w:eastAsia="de-DE"/>
        </w:rPr>
        <w:t xml:space="preserve"> </w:t>
      </w:r>
      <w:r w:rsidRPr="00C71F15">
        <w:rPr>
          <w:rFonts w:eastAsia="Times New Roman" w:cs="Times New Roman"/>
          <w:lang w:eastAsia="de-DE"/>
        </w:rPr>
        <w:t>ist die abschließende Charakterisierung (wie in V. 6 und 8).</w:t>
      </w:r>
    </w:p>
    <w:p w14:paraId="4B68763E" w14:textId="09600E5C"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 xml:space="preserve">Die Satzstruktur zeigt drei parallele nominale </w:t>
      </w:r>
      <w:r w:rsidR="00F133EC">
        <w:rPr>
          <w:rFonts w:eastAsia="Times New Roman" w:cs="Times New Roman"/>
          <w:lang w:eastAsia="de-DE"/>
        </w:rPr>
        <w:t>Construct</w:t>
      </w:r>
      <w:r w:rsidRPr="00C71F15">
        <w:rPr>
          <w:rFonts w:eastAsia="Times New Roman" w:cs="Times New Roman"/>
          <w:lang w:eastAsia="de-DE"/>
        </w:rPr>
        <w:t>ionen mit Mengenangaben und Bezugsobjekten, abgeschlossen durch eine appositive Charakterisierung.</w:t>
      </w:r>
    </w:p>
    <w:p w14:paraId="018CF421"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Verse zeigen die abgestufte Menge der Speiseopfer entsprechend der Größe der Tiere: drei Zehntel für den Stier, zwei für den Widder, eines für jedes Lamm, was eine proportionale Ordnung widerspiegelt.</w:t>
      </w:r>
    </w:p>
    <w:p w14:paraId="177E5408"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28,14-15</w:t>
      </w:r>
    </w:p>
    <w:p w14:paraId="646A79AB"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וְנִסְכֵּיהֶ֗ם חֲצִ֣י הַהִין֩ יִהְיֶ֨ה לַפָּ֜ר וּשְׁלִישִׁ֧ת הַהִ֣ין לָאַ֗יִל וּרְבִיעִ֥ת הַהִ֛ין לַכֶּ֖בֶשׂ יָ֑יִן זֹ֣את עֹלַ֥ת חֹ֨דֶשׁ֙ בְּחָדְשֹׁ֔ו לְחָדְשֵׁ֖י הַשָּׁנָֽה׃ וּשְׂעִ֨יר עִזִּ֥ים אֶחָ֛ד לְחַטָּ֖את לַיהוָ֑ה עַל־עֹלַ֧ת הַתָּמִ֛יד יֵעָשֶׂ֖ה וְנִסְכֹּֽו׃</w:t>
      </w:r>
    </w:p>
    <w:p w14:paraId="63CA7464"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ihre Trankopfer: ein halbes Hin Wein soll zu einem Stier sein, und ein Drittel Hin zu dem Widder, und ein viertel Hin zu einem Lamm. Das ist das monatliche Aufsteigeopfer für die Monate des Jahres. Und ein Ziegenbock zum Sündopfer dem Ewigen; außer dem beständigen Aufsteigeopfer soll er gemacht werden mit seinem Trankopfer.</w:t>
      </w:r>
    </w:p>
    <w:p w14:paraId="68E00BA0"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07D9363F">
          <v:rect id="_x0000_i1917" style="width:0;height:1.5pt" o:hralign="center" o:hrstd="t" o:hr="t" fillcolor="#a0a0a0" stroked="f"/>
        </w:pict>
      </w:r>
    </w:p>
    <w:p w14:paraId="762AD728"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Die Verse spezifizieren die Trankopfer und fügen ein Sündopfer hinzu. </w:t>
      </w:r>
      <w:r w:rsidRPr="00C71F15">
        <w:rPr>
          <w:rFonts w:eastAsia="Times New Roman" w:cs="Times New Roman"/>
          <w:b/>
          <w:bCs/>
          <w:rtl/>
          <w:lang w:eastAsia="de-DE"/>
        </w:rPr>
        <w:t>וְנִסְכֵּיהֶם</w:t>
      </w:r>
      <w:r w:rsidRPr="00C71F15">
        <w:rPr>
          <w:rFonts w:eastAsia="Times New Roman" w:cs="Times New Roman"/>
          <w:rtl/>
          <w:lang w:eastAsia="de-DE"/>
        </w:rPr>
        <w:t xml:space="preserve"> </w:t>
      </w:r>
      <w:r w:rsidRPr="00C71F15">
        <w:rPr>
          <w:rFonts w:eastAsia="Times New Roman" w:cs="Times New Roman"/>
          <w:lang w:eastAsia="de-DE"/>
        </w:rPr>
        <w:t xml:space="preserve">(Konjunktion mit Plural von </w:t>
      </w:r>
      <w:r w:rsidRPr="00C71F15">
        <w:rPr>
          <w:rFonts w:eastAsia="Times New Roman" w:cs="Times New Roman"/>
          <w:b/>
          <w:bCs/>
          <w:rtl/>
          <w:lang w:eastAsia="de-DE"/>
        </w:rPr>
        <w:t>נֶסֶךְ</w:t>
      </w:r>
      <w:r w:rsidRPr="00C71F15">
        <w:rPr>
          <w:rFonts w:eastAsia="Times New Roman" w:cs="Times New Roman"/>
          <w:rtl/>
          <w:lang w:eastAsia="de-DE"/>
        </w:rPr>
        <w:t xml:space="preserve"> </w:t>
      </w:r>
      <w:r w:rsidRPr="00C71F15">
        <w:rPr>
          <w:rFonts w:eastAsia="Times New Roman" w:cs="Times New Roman"/>
          <w:lang w:eastAsia="de-DE"/>
        </w:rPr>
        <w:t xml:space="preserve">„Trankopfer" und Suffix 3. Person maskulin Plural „ihre Trankopfer"), </w:t>
      </w:r>
      <w:r w:rsidRPr="00C71F15">
        <w:rPr>
          <w:rFonts w:eastAsia="Times New Roman" w:cs="Times New Roman"/>
          <w:b/>
          <w:bCs/>
          <w:rtl/>
          <w:lang w:eastAsia="de-DE"/>
        </w:rPr>
        <w:t>חֲצִי הַהִין יִהְיֶה לַפָּר</w:t>
      </w:r>
      <w:r w:rsidRPr="00C71F15">
        <w:rPr>
          <w:rFonts w:eastAsia="Times New Roman" w:cs="Times New Roman"/>
          <w:rtl/>
          <w:lang w:eastAsia="de-DE"/>
        </w:rPr>
        <w:t xml:space="preserve"> </w:t>
      </w:r>
      <w:r w:rsidRPr="00C71F15">
        <w:rPr>
          <w:rFonts w:eastAsia="Times New Roman" w:cs="Times New Roman"/>
          <w:lang w:eastAsia="de-DE"/>
        </w:rPr>
        <w:t xml:space="preserve">(„ein halbes Hin soll für den Stier sein"), </w:t>
      </w:r>
      <w:r w:rsidRPr="00C71F15">
        <w:rPr>
          <w:rFonts w:eastAsia="Times New Roman" w:cs="Times New Roman"/>
          <w:b/>
          <w:bCs/>
          <w:rtl/>
          <w:lang w:eastAsia="de-DE"/>
        </w:rPr>
        <w:t>וּשְׁלִישִׁת הַהִין לָאַיִל</w:t>
      </w:r>
      <w:r w:rsidRPr="00C71F15">
        <w:rPr>
          <w:rFonts w:eastAsia="Times New Roman" w:cs="Times New Roman"/>
          <w:rtl/>
          <w:lang w:eastAsia="de-DE"/>
        </w:rPr>
        <w:t xml:space="preserve"> </w:t>
      </w:r>
      <w:r w:rsidRPr="00C71F15">
        <w:rPr>
          <w:rFonts w:eastAsia="Times New Roman" w:cs="Times New Roman"/>
          <w:lang w:eastAsia="de-DE"/>
        </w:rPr>
        <w:t xml:space="preserve">(„und ein Drittel Hin für den Widder"), </w:t>
      </w:r>
      <w:r w:rsidRPr="00C71F15">
        <w:rPr>
          <w:rFonts w:eastAsia="Times New Roman" w:cs="Times New Roman"/>
          <w:b/>
          <w:bCs/>
          <w:rtl/>
          <w:lang w:eastAsia="de-DE"/>
        </w:rPr>
        <w:t>וּרְבִיעִת הַהִין לַכֶּבֶשׂ</w:t>
      </w:r>
      <w:r w:rsidRPr="00C71F15">
        <w:rPr>
          <w:rFonts w:eastAsia="Times New Roman" w:cs="Times New Roman"/>
          <w:rtl/>
          <w:lang w:eastAsia="de-DE"/>
        </w:rPr>
        <w:t xml:space="preserve"> </w:t>
      </w:r>
      <w:r w:rsidRPr="00C71F15">
        <w:rPr>
          <w:rFonts w:eastAsia="Times New Roman" w:cs="Times New Roman"/>
          <w:lang w:eastAsia="de-DE"/>
        </w:rPr>
        <w:t xml:space="preserve">(„und ein Viertel Hin für das Lamm"). </w:t>
      </w:r>
      <w:r w:rsidRPr="00C71F15">
        <w:rPr>
          <w:rFonts w:eastAsia="Times New Roman" w:cs="Times New Roman"/>
          <w:b/>
          <w:bCs/>
          <w:rtl/>
          <w:lang w:eastAsia="de-DE"/>
        </w:rPr>
        <w:t>יָיִן</w:t>
      </w:r>
      <w:r w:rsidRPr="00C71F15">
        <w:rPr>
          <w:rFonts w:eastAsia="Times New Roman" w:cs="Times New Roman"/>
          <w:rtl/>
          <w:lang w:eastAsia="de-DE"/>
        </w:rPr>
        <w:t xml:space="preserve"> </w:t>
      </w:r>
      <w:r w:rsidRPr="00C71F15">
        <w:rPr>
          <w:rFonts w:eastAsia="Times New Roman" w:cs="Times New Roman"/>
          <w:lang w:eastAsia="de-DE"/>
        </w:rPr>
        <w:t xml:space="preserve">(„Wein") spezifiziert die Flüssigkeit (vgl. V. 7 </w:t>
      </w:r>
      <w:r w:rsidRPr="00C71F15">
        <w:rPr>
          <w:rFonts w:eastAsia="Times New Roman" w:cs="Times New Roman"/>
          <w:b/>
          <w:bCs/>
          <w:rtl/>
          <w:lang w:eastAsia="de-DE"/>
        </w:rPr>
        <w:t>שֵׁכָר</w:t>
      </w:r>
      <w:r w:rsidRPr="00C71F15">
        <w:rPr>
          <w:rFonts w:eastAsia="Times New Roman" w:cs="Times New Roman"/>
          <w:lang w:eastAsia="de-DE"/>
        </w:rPr>
        <w:t>). Die Mengen sind wieder proportional zur Größe der Tiere.</w:t>
      </w:r>
    </w:p>
    <w:p w14:paraId="648D1828" w14:textId="0BA6040A"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זֹאת עֹלַת חֹדֶשׁ בְּחָדְשׁוֹ לְחָדְשֵׁי הַשָּׁנָה</w:t>
      </w:r>
      <w:r w:rsidRPr="00C71F15">
        <w:rPr>
          <w:rFonts w:eastAsia="Times New Roman" w:cs="Times New Roman"/>
          <w:rtl/>
          <w:lang w:eastAsia="de-DE"/>
        </w:rPr>
        <w:t xml:space="preserve"> </w:t>
      </w:r>
      <w:r w:rsidRPr="00C71F15">
        <w:rPr>
          <w:rFonts w:eastAsia="Times New Roman" w:cs="Times New Roman"/>
          <w:lang w:eastAsia="de-DE"/>
        </w:rPr>
        <w:t xml:space="preserve">ist die Zusammenfassung. </w:t>
      </w:r>
      <w:r w:rsidRPr="00C71F15">
        <w:rPr>
          <w:rFonts w:eastAsia="Times New Roman" w:cs="Times New Roman"/>
          <w:b/>
          <w:bCs/>
          <w:rtl/>
          <w:lang w:eastAsia="de-DE"/>
        </w:rPr>
        <w:t>זֹאת</w:t>
      </w:r>
      <w:r w:rsidRPr="00C71F15">
        <w:rPr>
          <w:rFonts w:eastAsia="Times New Roman" w:cs="Times New Roman"/>
          <w:rtl/>
          <w:lang w:eastAsia="de-DE"/>
        </w:rPr>
        <w:t xml:space="preserve"> </w:t>
      </w:r>
      <w:r w:rsidRPr="00C71F15">
        <w:rPr>
          <w:rFonts w:eastAsia="Times New Roman" w:cs="Times New Roman"/>
          <w:lang w:eastAsia="de-DE"/>
        </w:rPr>
        <w:t xml:space="preserve">(„dies"), </w:t>
      </w:r>
      <w:r w:rsidRPr="00C71F15">
        <w:rPr>
          <w:rFonts w:eastAsia="Times New Roman" w:cs="Times New Roman"/>
          <w:b/>
          <w:bCs/>
          <w:rtl/>
          <w:lang w:eastAsia="de-DE"/>
        </w:rPr>
        <w:t>עֹלַת חֹדֶשׁ</w:t>
      </w:r>
      <w:r w:rsidRPr="00C71F15">
        <w:rPr>
          <w:rFonts w:eastAsia="Times New Roman" w:cs="Times New Roman"/>
          <w:rtl/>
          <w:lang w:eastAsia="de-DE"/>
        </w:rPr>
        <w:t xml:space="preserve"> </w:t>
      </w:r>
      <w:r w:rsidRPr="00C71F15">
        <w:rPr>
          <w:rFonts w:eastAsia="Times New Roman" w:cs="Times New Roman"/>
          <w:lang w:eastAsia="de-DE"/>
        </w:rPr>
        <w:t>(Genitivverbindung „Monats-</w:t>
      </w:r>
      <w:r w:rsidR="00593666">
        <w:rPr>
          <w:rFonts w:eastAsia="Times New Roman" w:cs="Times New Roman"/>
          <w:lang w:eastAsia="de-DE"/>
        </w:rPr>
        <w:t>Aufsteigeopfer</w:t>
      </w:r>
      <w:r w:rsidRPr="00C71F15">
        <w:rPr>
          <w:rFonts w:eastAsia="Times New Roman" w:cs="Times New Roman"/>
          <w:lang w:eastAsia="de-DE"/>
        </w:rPr>
        <w:t xml:space="preserve">"), </w:t>
      </w:r>
      <w:r w:rsidRPr="00C71F15">
        <w:rPr>
          <w:rFonts w:eastAsia="Times New Roman" w:cs="Times New Roman"/>
          <w:b/>
          <w:bCs/>
          <w:rtl/>
          <w:lang w:eastAsia="de-DE"/>
        </w:rPr>
        <w:t>בְּחָדְשׁוֹ</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בְ</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חֹדֶשׁ</w:t>
      </w:r>
      <w:r w:rsidRPr="00C71F15">
        <w:rPr>
          <w:rFonts w:eastAsia="Times New Roman" w:cs="Times New Roman"/>
          <w:rtl/>
          <w:lang w:eastAsia="de-DE"/>
        </w:rPr>
        <w:t xml:space="preserve"> </w:t>
      </w:r>
      <w:r w:rsidRPr="00C71F15">
        <w:rPr>
          <w:rFonts w:eastAsia="Times New Roman" w:cs="Times New Roman"/>
          <w:lang w:eastAsia="de-DE"/>
        </w:rPr>
        <w:t xml:space="preserve">und Suffix „in seinem Monat"), distributiv: „Monat für Monat". </w:t>
      </w:r>
      <w:r w:rsidRPr="00C71F15">
        <w:rPr>
          <w:rFonts w:eastAsia="Times New Roman" w:cs="Times New Roman"/>
          <w:b/>
          <w:bCs/>
          <w:rtl/>
          <w:lang w:eastAsia="de-DE"/>
        </w:rPr>
        <w:t>לְחָדְשֵׁי הַשָּׁנָה</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mit Plural </w:t>
      </w:r>
      <w:r w:rsidR="00E031B3">
        <w:rPr>
          <w:rFonts w:eastAsia="Times New Roman" w:cs="Times New Roman"/>
          <w:lang w:eastAsia="de-DE"/>
        </w:rPr>
        <w:t>Constructus von</w:t>
      </w:r>
      <w:r w:rsidRPr="00C71F15">
        <w:rPr>
          <w:rFonts w:eastAsia="Times New Roman" w:cs="Times New Roman"/>
          <w:lang w:eastAsia="de-DE"/>
        </w:rPr>
        <w:t xml:space="preserve"> </w:t>
      </w:r>
      <w:r w:rsidRPr="00C71F15">
        <w:rPr>
          <w:rFonts w:eastAsia="Times New Roman" w:cs="Times New Roman"/>
          <w:b/>
          <w:bCs/>
          <w:rtl/>
          <w:lang w:eastAsia="de-DE"/>
        </w:rPr>
        <w:t>חֹדֶשׁ</w:t>
      </w:r>
      <w:r w:rsidRPr="00C71F15">
        <w:rPr>
          <w:rFonts w:eastAsia="Times New Roman" w:cs="Times New Roman"/>
          <w:rtl/>
          <w:lang w:eastAsia="de-DE"/>
        </w:rPr>
        <w:t xml:space="preserve"> </w:t>
      </w:r>
      <w:r w:rsidRPr="00C71F15">
        <w:rPr>
          <w:rFonts w:eastAsia="Times New Roman" w:cs="Times New Roman"/>
          <w:lang w:eastAsia="de-DE"/>
        </w:rPr>
        <w:t xml:space="preserve">und </w:t>
      </w:r>
      <w:r w:rsidRPr="00C71F15">
        <w:rPr>
          <w:rFonts w:eastAsia="Times New Roman" w:cs="Times New Roman"/>
          <w:b/>
          <w:bCs/>
          <w:rtl/>
          <w:lang w:eastAsia="de-DE"/>
        </w:rPr>
        <w:t>שָׁנָה</w:t>
      </w:r>
      <w:r w:rsidRPr="00C71F15">
        <w:rPr>
          <w:rFonts w:eastAsia="Times New Roman" w:cs="Times New Roman"/>
          <w:rtl/>
          <w:lang w:eastAsia="de-DE"/>
        </w:rPr>
        <w:t xml:space="preserve"> </w:t>
      </w:r>
      <w:r w:rsidRPr="00C71F15">
        <w:rPr>
          <w:rFonts w:eastAsia="Times New Roman" w:cs="Times New Roman"/>
          <w:lang w:eastAsia="de-DE"/>
        </w:rPr>
        <w:t>„Jahr" mit Artikel „für die Monate des Jahres").</w:t>
      </w:r>
    </w:p>
    <w:p w14:paraId="13E4B5D6" w14:textId="2B18AB45"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וּשְׂעִיר עִזִּים אֶחָד לְחַטָּאת לַיהוה</w:t>
      </w:r>
      <w:r w:rsidRPr="00C71F15">
        <w:rPr>
          <w:rFonts w:eastAsia="Times New Roman" w:cs="Times New Roman"/>
          <w:rtl/>
          <w:lang w:eastAsia="de-DE"/>
        </w:rPr>
        <w:t xml:space="preserve"> </w:t>
      </w:r>
      <w:r w:rsidRPr="00C71F15">
        <w:rPr>
          <w:rFonts w:eastAsia="Times New Roman" w:cs="Times New Roman"/>
          <w:lang w:eastAsia="de-DE"/>
        </w:rPr>
        <w:t xml:space="preserve">fügt ein Sündopfer hinzu. </w:t>
      </w:r>
      <w:r w:rsidRPr="00C71F15">
        <w:rPr>
          <w:rFonts w:eastAsia="Times New Roman" w:cs="Times New Roman"/>
          <w:b/>
          <w:bCs/>
          <w:rtl/>
          <w:lang w:eastAsia="de-DE"/>
        </w:rPr>
        <w:t>שְׂעִיר עִזִּים</w:t>
      </w:r>
      <w:r w:rsidRPr="00C71F15">
        <w:rPr>
          <w:rFonts w:eastAsia="Times New Roman" w:cs="Times New Roman"/>
          <w:rtl/>
          <w:lang w:eastAsia="de-DE"/>
        </w:rPr>
        <w:t xml:space="preserve"> </w:t>
      </w:r>
      <w:r w:rsidRPr="00C71F15">
        <w:rPr>
          <w:rFonts w:eastAsia="Times New Roman" w:cs="Times New Roman"/>
          <w:lang w:eastAsia="de-DE"/>
        </w:rPr>
        <w:t xml:space="preserve">(Genitivverbindung: </w:t>
      </w:r>
      <w:r w:rsidRPr="00C71F15">
        <w:rPr>
          <w:rFonts w:eastAsia="Times New Roman" w:cs="Times New Roman"/>
          <w:b/>
          <w:bCs/>
          <w:rtl/>
          <w:lang w:eastAsia="de-DE"/>
        </w:rPr>
        <w:t>שָׂעִיר</w:t>
      </w:r>
      <w:r w:rsidRPr="00C71F15">
        <w:rPr>
          <w:rFonts w:eastAsia="Times New Roman" w:cs="Times New Roman"/>
          <w:rtl/>
          <w:lang w:eastAsia="de-DE"/>
        </w:rPr>
        <w:t xml:space="preserve"> </w:t>
      </w:r>
      <w:r w:rsidRPr="00C71F15">
        <w:rPr>
          <w:rFonts w:eastAsia="Times New Roman" w:cs="Times New Roman"/>
          <w:lang w:eastAsia="de-DE"/>
        </w:rPr>
        <w:t xml:space="preserve">„Ziegenbock" im </w:t>
      </w:r>
      <w:r w:rsidR="00E031B3">
        <w:rPr>
          <w:rFonts w:eastAsia="Times New Roman" w:cs="Times New Roman"/>
          <w:lang w:eastAsia="de-DE"/>
        </w:rPr>
        <w:t>Constructus mit</w:t>
      </w:r>
      <w:r w:rsidRPr="00C71F15">
        <w:rPr>
          <w:rFonts w:eastAsia="Times New Roman" w:cs="Times New Roman"/>
          <w:lang w:eastAsia="de-DE"/>
        </w:rPr>
        <w:t xml:space="preserve"> Plural </w:t>
      </w:r>
      <w:r w:rsidRPr="00C71F15">
        <w:rPr>
          <w:rFonts w:eastAsia="Times New Roman" w:cs="Times New Roman"/>
          <w:b/>
          <w:bCs/>
          <w:rtl/>
          <w:lang w:eastAsia="de-DE"/>
        </w:rPr>
        <w:t>עֵז</w:t>
      </w:r>
      <w:r w:rsidRPr="00C71F15">
        <w:rPr>
          <w:rFonts w:eastAsia="Times New Roman" w:cs="Times New Roman"/>
          <w:rtl/>
          <w:lang w:eastAsia="de-DE"/>
        </w:rPr>
        <w:t xml:space="preserve"> </w:t>
      </w:r>
      <w:r w:rsidRPr="00C71F15">
        <w:rPr>
          <w:rFonts w:eastAsia="Times New Roman" w:cs="Times New Roman"/>
          <w:lang w:eastAsia="de-DE"/>
        </w:rPr>
        <w:t xml:space="preserve">„Ziege"), </w:t>
      </w:r>
      <w:r w:rsidRPr="00C71F15">
        <w:rPr>
          <w:rFonts w:eastAsia="Times New Roman" w:cs="Times New Roman"/>
          <w:b/>
          <w:bCs/>
          <w:rtl/>
          <w:lang w:eastAsia="de-DE"/>
        </w:rPr>
        <w:t>אֶחָד</w:t>
      </w:r>
      <w:r w:rsidRPr="00C71F15">
        <w:rPr>
          <w:rFonts w:eastAsia="Times New Roman" w:cs="Times New Roman"/>
          <w:rtl/>
          <w:lang w:eastAsia="de-DE"/>
        </w:rPr>
        <w:t xml:space="preserve"> </w:t>
      </w:r>
      <w:r w:rsidRPr="00C71F15">
        <w:rPr>
          <w:rFonts w:eastAsia="Times New Roman" w:cs="Times New Roman"/>
          <w:lang w:eastAsia="de-DE"/>
        </w:rPr>
        <w:t xml:space="preserve">(„einer"), </w:t>
      </w:r>
      <w:r w:rsidRPr="00C71F15">
        <w:rPr>
          <w:rFonts w:eastAsia="Times New Roman" w:cs="Times New Roman"/>
          <w:b/>
          <w:bCs/>
          <w:rtl/>
          <w:lang w:eastAsia="de-DE"/>
        </w:rPr>
        <w:t>לְחַטָּאת</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לְ</w:t>
      </w:r>
      <w:r w:rsidRPr="00C71F15">
        <w:rPr>
          <w:rFonts w:eastAsia="Times New Roman" w:cs="Times New Roman"/>
          <w:rtl/>
          <w:lang w:eastAsia="de-DE"/>
        </w:rPr>
        <w:t xml:space="preserve"> </w:t>
      </w:r>
      <w:r w:rsidRPr="00C71F15">
        <w:rPr>
          <w:rFonts w:eastAsia="Times New Roman" w:cs="Times New Roman"/>
          <w:lang w:eastAsia="de-DE"/>
        </w:rPr>
        <w:t xml:space="preserve">mit </w:t>
      </w:r>
      <w:r w:rsidRPr="00C71F15">
        <w:rPr>
          <w:rFonts w:eastAsia="Times New Roman" w:cs="Times New Roman"/>
          <w:b/>
          <w:bCs/>
          <w:rtl/>
          <w:lang w:eastAsia="de-DE"/>
        </w:rPr>
        <w:t>חַטָּאת</w:t>
      </w:r>
      <w:r w:rsidRPr="00C71F15">
        <w:rPr>
          <w:rFonts w:eastAsia="Times New Roman" w:cs="Times New Roman"/>
          <w:rtl/>
          <w:lang w:eastAsia="de-DE"/>
        </w:rPr>
        <w:t xml:space="preserve"> </w:t>
      </w:r>
      <w:r w:rsidRPr="00C71F15">
        <w:rPr>
          <w:rFonts w:eastAsia="Times New Roman" w:cs="Times New Roman"/>
          <w:lang w:eastAsia="de-DE"/>
        </w:rPr>
        <w:t xml:space="preserve">„Sündopfer"), </w:t>
      </w:r>
      <w:r w:rsidRPr="00C71F15">
        <w:rPr>
          <w:rFonts w:eastAsia="Times New Roman" w:cs="Times New Roman"/>
          <w:b/>
          <w:bCs/>
          <w:rtl/>
          <w:lang w:eastAsia="de-DE"/>
        </w:rPr>
        <w:t>לַיהוה</w:t>
      </w:r>
      <w:r w:rsidRPr="00C71F15">
        <w:rPr>
          <w:rFonts w:eastAsia="Times New Roman" w:cs="Times New Roman"/>
          <w:rtl/>
          <w:lang w:eastAsia="de-DE"/>
        </w:rPr>
        <w:t xml:space="preserve"> </w:t>
      </w:r>
      <w:r w:rsidRPr="00C71F15">
        <w:rPr>
          <w:rFonts w:eastAsia="Times New Roman" w:cs="Times New Roman"/>
          <w:lang w:eastAsia="de-DE"/>
        </w:rPr>
        <w:t xml:space="preserve">(Präposition mit Tetragramm). </w:t>
      </w:r>
      <w:r w:rsidRPr="00C71F15">
        <w:rPr>
          <w:rFonts w:eastAsia="Times New Roman" w:cs="Times New Roman"/>
          <w:b/>
          <w:bCs/>
          <w:rtl/>
          <w:lang w:eastAsia="de-DE"/>
        </w:rPr>
        <w:t>עַל־עֹלַת הַתָּמִיד יֵעָשֶׂה וְנִסְכּוֹ</w:t>
      </w:r>
      <w:r w:rsidRPr="00C71F15">
        <w:rPr>
          <w:rFonts w:eastAsia="Times New Roman" w:cs="Times New Roman"/>
          <w:rtl/>
          <w:lang w:eastAsia="de-DE"/>
        </w:rPr>
        <w:t xml:space="preserve"> </w:t>
      </w:r>
      <w:r w:rsidRPr="00C71F15">
        <w:rPr>
          <w:rFonts w:eastAsia="Times New Roman" w:cs="Times New Roman"/>
          <w:lang w:eastAsia="de-DE"/>
        </w:rPr>
        <w:t xml:space="preserve">(wie in V. 10: „zusätzlich zum beständigen </w:t>
      </w:r>
      <w:r w:rsidR="00593666">
        <w:rPr>
          <w:rFonts w:eastAsia="Times New Roman" w:cs="Times New Roman"/>
          <w:lang w:eastAsia="de-DE"/>
        </w:rPr>
        <w:t>Aufsteigeopfer</w:t>
      </w:r>
      <w:r w:rsidRPr="00C71F15">
        <w:rPr>
          <w:rFonts w:eastAsia="Times New Roman" w:cs="Times New Roman"/>
          <w:lang w:eastAsia="de-DE"/>
        </w:rPr>
        <w:t xml:space="preserve"> soll er gemacht werden und sein Trankopfer").</w:t>
      </w:r>
    </w:p>
    <w:p w14:paraId="48209D85" w14:textId="3D7BD1D6"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Die LXX</w:t>
      </w:r>
      <w:r w:rsidRPr="00C71F15">
        <w:rPr>
          <w:rFonts w:eastAsia="Times New Roman" w:cs="Times New Roman"/>
          <w:lang w:eastAsia="de-DE"/>
        </w:rPr>
        <w:t xml:space="preserve"> </w:t>
      </w:r>
      <w:r w:rsidR="00EA15C5">
        <w:t>übersetzt „</w:t>
      </w:r>
      <w:r w:rsidR="00EA15C5">
        <w:rPr>
          <w:rtl/>
        </w:rPr>
        <w:t>וּשְׂעִיר עִזִּים</w:t>
      </w:r>
      <w:r w:rsidR="00EA15C5">
        <w:t>" (und ein Ziegenbock) mit „καὶ χίμαρον ἐξ αἰγῶν" (und einen Ziegenbock aus Ziegen), was expliziter ist.</w:t>
      </w:r>
    </w:p>
    <w:p w14:paraId="2647DBCC"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 Satzstruktur zeigt nominale Aufzählungen mit proportionalen Mengenangaben, eine summarische Identifikation und eine Ergänzung durch ein Sündopfer.</w:t>
      </w:r>
    </w:p>
    <w:p w14:paraId="2DC7EAD7"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lastRenderedPageBreak/>
        <w:t>Die Verse vervollständigen das Neumondopfer durch Trankopfer (proportional abgestuft) und ein Sündopfer, das die sühnende Dimension hinzufügt und zusätzlich zu allen anderen Opfern kommt.</w:t>
      </w:r>
    </w:p>
    <w:p w14:paraId="698909C1"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28,16-25</w:t>
      </w:r>
    </w:p>
    <w:p w14:paraId="49480E2D" w14:textId="2D6827B7" w:rsid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Diese Verse beschreiben die Passah- und Mazzotfest-Opfer: Am 14. des ersten Monats ist Passah (V. 16), vom 15.-21. wird das Fest der ungesäuerten Brote gefeiert (V. 17-25) mit täglichen Opfern von zwei Stieren, einem Widder, sieben Lämmern plus Speise- und Trankopfern sowie einem Sündopfer-Ziegenbock, zusätzlich zum täglichen Tamid.</w:t>
      </w:r>
    </w:p>
    <w:p w14:paraId="0FC86423" w14:textId="37D8D679" w:rsidR="00EA15C5" w:rsidRPr="00C71F15" w:rsidRDefault="00EA15C5" w:rsidP="00C71F15">
      <w:pPr>
        <w:spacing w:before="100" w:beforeAutospacing="1" w:after="100" w:afterAutospacing="1" w:line="240" w:lineRule="auto"/>
        <w:rPr>
          <w:rFonts w:eastAsia="Times New Roman" w:cs="Times New Roman"/>
          <w:lang w:eastAsia="de-DE"/>
        </w:rPr>
      </w:pPr>
      <w:r>
        <w:rPr>
          <w:rStyle w:val="Fett"/>
        </w:rPr>
        <w:t>Die LXX</w:t>
      </w:r>
      <w:r>
        <w:t xml:space="preserve"> fügt „τῆς πρωινῆς" (des Morgens) hinzu zu „ὁλοκαυτώσεως τῆς διὰ παντὸς τῆς πρωινῆς" (das beständige Aufsteigeopfer des Morgens), während der MT nur „</w:t>
      </w:r>
      <w:r>
        <w:rPr>
          <w:rtl/>
        </w:rPr>
        <w:t>עֹלַת הַבֹּקֶר אֲשֶׁר לְעֹלַת הַתָּמִיד</w:t>
      </w:r>
      <w:r>
        <w:t>" (das Morgenaufsteigeopfer, welches das beständige Aufsteigeopfer ist) hat.</w:t>
      </w:r>
    </w:p>
    <w:p w14:paraId="6C549EC0"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28,26</w:t>
      </w:r>
    </w:p>
    <w:p w14:paraId="055B13C1"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w:t>
      </w:r>
      <w:r w:rsidRPr="00C71F15">
        <w:rPr>
          <w:rFonts w:eastAsia="Times New Roman" w:cs="Times New Roman"/>
          <w:rtl/>
          <w:lang w:eastAsia="de-DE"/>
        </w:rPr>
        <w:t>וּבְי֣וֹם הַבִּכּוּרִ֗ים בְּהַקְרִ֨יבְכֶ֜ם מִנְחָ֤ה חֲדָשָׁה֙ לַֽיהוָ֔ה בְּשָׁבֻעֹ֖תֵיכֶ֑ם מִֽקְרָא־קֹ֨דֶשׁ֙ יִהְיֶ֣ה לָכֶ֔ם כָּל־מְלֶ֥אכֶת עֲבֹדָ֖ה לֹ֥א תַעֲשֽׂוּ׃</w:t>
      </w:r>
    </w:p>
    <w:p w14:paraId="12118B16"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Deutsch:</w:t>
      </w:r>
      <w:r w:rsidRPr="00C71F15">
        <w:rPr>
          <w:rFonts w:eastAsia="Times New Roman" w:cs="Times New Roman"/>
          <w:lang w:eastAsia="de-DE"/>
        </w:rPr>
        <w:t xml:space="preserve"> Und am Tag der Erstlinge, wenn ihr dem Ewigen ein neues Speiseopfer darbringt, an eurem Wochenfest, soll euch eine heilige Einberufung sein; keinerlei Dienstarbeit sollt ihr tun.</w:t>
      </w:r>
    </w:p>
    <w:p w14:paraId="461198C5"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3302CA02">
          <v:rect id="_x0000_i1918" style="width:0;height:1.5pt" o:hralign="center" o:hrstd="t" o:hr="t" fillcolor="#a0a0a0" stroked="f"/>
        </w:pict>
      </w:r>
    </w:p>
    <w:p w14:paraId="2C1E85E0" w14:textId="3B6C621D"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Kommentar:</w:t>
      </w:r>
      <w:r w:rsidRPr="00C71F15">
        <w:rPr>
          <w:rFonts w:eastAsia="Times New Roman" w:cs="Times New Roman"/>
          <w:lang w:eastAsia="de-DE"/>
        </w:rPr>
        <w:t xml:space="preserve"> Der Vers beschreibt das Wochenfest (Schawuot). </w:t>
      </w:r>
      <w:r w:rsidRPr="00C71F15">
        <w:rPr>
          <w:rFonts w:eastAsia="Times New Roman" w:cs="Times New Roman"/>
          <w:b/>
          <w:bCs/>
          <w:rtl/>
          <w:lang w:eastAsia="de-DE"/>
        </w:rPr>
        <w:t>וּבְיוֹם הַבִּכּוּרִים</w:t>
      </w:r>
      <w:r w:rsidRPr="00C71F15">
        <w:rPr>
          <w:rFonts w:eastAsia="Times New Roman" w:cs="Times New Roman"/>
          <w:rtl/>
          <w:lang w:eastAsia="de-DE"/>
        </w:rPr>
        <w:t xml:space="preserve"> </w:t>
      </w:r>
      <w:r w:rsidRPr="00C71F15">
        <w:rPr>
          <w:rFonts w:eastAsia="Times New Roman" w:cs="Times New Roman"/>
          <w:lang w:eastAsia="de-DE"/>
        </w:rPr>
        <w:t xml:space="preserve">ist die temporale Einleitung. </w:t>
      </w:r>
      <w:r w:rsidRPr="00C71F15">
        <w:rPr>
          <w:rFonts w:eastAsia="Times New Roman" w:cs="Times New Roman"/>
          <w:b/>
          <w:bCs/>
          <w:rtl/>
          <w:lang w:eastAsia="de-DE"/>
        </w:rPr>
        <w:t>יוֹם הַבִּכּוּרִים</w:t>
      </w:r>
      <w:r w:rsidRPr="00C71F15">
        <w:rPr>
          <w:rFonts w:eastAsia="Times New Roman" w:cs="Times New Roman"/>
          <w:rtl/>
          <w:lang w:eastAsia="de-DE"/>
        </w:rPr>
        <w:t xml:space="preserve"> </w:t>
      </w:r>
      <w:r w:rsidRPr="00C71F15">
        <w:rPr>
          <w:rFonts w:eastAsia="Times New Roman" w:cs="Times New Roman"/>
          <w:lang w:eastAsia="de-DE"/>
        </w:rPr>
        <w:t xml:space="preserve">(Genitivverbindung: </w:t>
      </w:r>
      <w:r w:rsidRPr="00C71F15">
        <w:rPr>
          <w:rFonts w:eastAsia="Times New Roman" w:cs="Times New Roman"/>
          <w:b/>
          <w:bCs/>
          <w:rtl/>
          <w:lang w:eastAsia="de-DE"/>
        </w:rPr>
        <w:t>יוֹם</w:t>
      </w:r>
      <w:r w:rsidRPr="00C71F15">
        <w:rPr>
          <w:rFonts w:eastAsia="Times New Roman" w:cs="Times New Roman"/>
          <w:rtl/>
          <w:lang w:eastAsia="de-DE"/>
        </w:rPr>
        <w:t xml:space="preserve"> </w:t>
      </w:r>
      <w:r w:rsidRPr="00C71F15">
        <w:rPr>
          <w:rFonts w:eastAsia="Times New Roman" w:cs="Times New Roman"/>
          <w:lang w:eastAsia="de-DE"/>
        </w:rPr>
        <w:t xml:space="preserve">„Tag" mit Plural von </w:t>
      </w:r>
      <w:r w:rsidRPr="00C71F15">
        <w:rPr>
          <w:rFonts w:eastAsia="Times New Roman" w:cs="Times New Roman"/>
          <w:b/>
          <w:bCs/>
          <w:rtl/>
          <w:lang w:eastAsia="de-DE"/>
        </w:rPr>
        <w:t>בִּכּוּר</w:t>
      </w:r>
      <w:r w:rsidRPr="00C71F15">
        <w:rPr>
          <w:rFonts w:eastAsia="Times New Roman" w:cs="Times New Roman"/>
          <w:rtl/>
          <w:lang w:eastAsia="de-DE"/>
        </w:rPr>
        <w:t xml:space="preserve"> </w:t>
      </w:r>
      <w:r w:rsidRPr="00C71F15">
        <w:rPr>
          <w:rFonts w:eastAsia="Times New Roman" w:cs="Times New Roman"/>
          <w:lang w:eastAsia="de-DE"/>
        </w:rPr>
        <w:t xml:space="preserve">„Erstlingsfrucht" mit Artikel „Tag der Erstlinge"), das Fest der ersten Ernte. </w:t>
      </w:r>
      <w:r w:rsidRPr="00C71F15">
        <w:rPr>
          <w:rFonts w:eastAsia="Times New Roman" w:cs="Times New Roman"/>
          <w:b/>
          <w:bCs/>
          <w:rtl/>
          <w:lang w:eastAsia="de-DE"/>
        </w:rPr>
        <w:t>בְּהַקְרִיבְכֶם מִנְחָה חֲדָשָׁה לַיהוה</w:t>
      </w:r>
      <w:r w:rsidRPr="00C71F15">
        <w:rPr>
          <w:rFonts w:eastAsia="Times New Roman" w:cs="Times New Roman"/>
          <w:rtl/>
          <w:lang w:eastAsia="de-DE"/>
        </w:rPr>
        <w:t xml:space="preserve"> </w:t>
      </w:r>
      <w:r w:rsidRPr="00C71F15">
        <w:rPr>
          <w:rFonts w:eastAsia="Times New Roman" w:cs="Times New Roman"/>
          <w:lang w:eastAsia="de-DE"/>
        </w:rPr>
        <w:t xml:space="preserve">spezifiziert weiter. </w:t>
      </w:r>
      <w:r w:rsidRPr="00C71F15">
        <w:rPr>
          <w:rFonts w:eastAsia="Times New Roman" w:cs="Times New Roman"/>
          <w:b/>
          <w:bCs/>
          <w:rtl/>
          <w:lang w:eastAsia="de-DE"/>
        </w:rPr>
        <w:t>בְּהַקְרִיבְכֶם</w:t>
      </w:r>
      <w:r w:rsidRPr="00C71F15">
        <w:rPr>
          <w:rFonts w:eastAsia="Times New Roman" w:cs="Times New Roman"/>
          <w:rtl/>
          <w:lang w:eastAsia="de-DE"/>
        </w:rPr>
        <w:t xml:space="preserve"> </w:t>
      </w:r>
      <w:r w:rsidRPr="00C71F15">
        <w:rPr>
          <w:rFonts w:eastAsia="Times New Roman" w:cs="Times New Roman"/>
          <w:lang w:eastAsia="de-DE"/>
        </w:rPr>
        <w:t xml:space="preserve">(Präposition </w:t>
      </w:r>
      <w:r w:rsidRPr="00C71F15">
        <w:rPr>
          <w:rFonts w:eastAsia="Times New Roman" w:cs="Times New Roman"/>
          <w:b/>
          <w:bCs/>
          <w:rtl/>
          <w:lang w:eastAsia="de-DE"/>
        </w:rPr>
        <w:t>בְ</w:t>
      </w:r>
      <w:r w:rsidRPr="00C71F15">
        <w:rPr>
          <w:rFonts w:eastAsia="Times New Roman" w:cs="Times New Roman"/>
          <w:rtl/>
          <w:lang w:eastAsia="de-DE"/>
        </w:rPr>
        <w:t xml:space="preserve"> </w:t>
      </w:r>
      <w:r w:rsidRPr="00C71F15">
        <w:rPr>
          <w:rFonts w:eastAsia="Times New Roman" w:cs="Times New Roman"/>
          <w:lang w:eastAsia="de-DE"/>
        </w:rPr>
        <w:t xml:space="preserve">mit Hiphil Infinitiv </w:t>
      </w:r>
      <w:r w:rsidR="00E031B3">
        <w:rPr>
          <w:rFonts w:eastAsia="Times New Roman" w:cs="Times New Roman"/>
          <w:lang w:eastAsia="de-DE"/>
        </w:rPr>
        <w:t>Constructus von</w:t>
      </w:r>
      <w:r w:rsidRPr="00C71F15">
        <w:rPr>
          <w:rFonts w:eastAsia="Times New Roman" w:cs="Times New Roman"/>
          <w:lang w:eastAsia="de-DE"/>
        </w:rPr>
        <w:t xml:space="preserve"> </w:t>
      </w:r>
      <w:r w:rsidRPr="00C71F15">
        <w:rPr>
          <w:rFonts w:eastAsia="Times New Roman" w:cs="Times New Roman"/>
          <w:b/>
          <w:bCs/>
          <w:rtl/>
          <w:lang w:eastAsia="de-DE"/>
        </w:rPr>
        <w:t>קרב</w:t>
      </w:r>
      <w:r w:rsidRPr="00C71F15">
        <w:rPr>
          <w:rFonts w:eastAsia="Times New Roman" w:cs="Times New Roman"/>
          <w:rtl/>
          <w:lang w:eastAsia="de-DE"/>
        </w:rPr>
        <w:t xml:space="preserve"> </w:t>
      </w:r>
      <w:r w:rsidRPr="00C71F15">
        <w:rPr>
          <w:rFonts w:eastAsia="Times New Roman" w:cs="Times New Roman"/>
          <w:lang w:eastAsia="de-DE"/>
        </w:rPr>
        <w:t xml:space="preserve">„darbringen" und Suffix 2. Person maskulin Plural „wenn ihr darbringt"), </w:t>
      </w:r>
      <w:r w:rsidRPr="00C71F15">
        <w:rPr>
          <w:rFonts w:eastAsia="Times New Roman" w:cs="Times New Roman"/>
          <w:b/>
          <w:bCs/>
          <w:rtl/>
          <w:lang w:eastAsia="de-DE"/>
        </w:rPr>
        <w:t>מִנְחָה חֲדָשָׁה</w:t>
      </w:r>
      <w:r w:rsidRPr="00C71F15">
        <w:rPr>
          <w:rFonts w:eastAsia="Times New Roman" w:cs="Times New Roman"/>
          <w:rtl/>
          <w:lang w:eastAsia="de-DE"/>
        </w:rPr>
        <w:t xml:space="preserve"> </w:t>
      </w:r>
      <w:r w:rsidRPr="00C71F15">
        <w:rPr>
          <w:rFonts w:eastAsia="Times New Roman" w:cs="Times New Roman"/>
          <w:lang w:eastAsia="de-DE"/>
        </w:rPr>
        <w:t xml:space="preserve">(„neues Speiseopfer" von der neuen Ernte), </w:t>
      </w:r>
      <w:r w:rsidRPr="00C71F15">
        <w:rPr>
          <w:rFonts w:eastAsia="Times New Roman" w:cs="Times New Roman"/>
          <w:b/>
          <w:bCs/>
          <w:rtl/>
          <w:lang w:eastAsia="de-DE"/>
        </w:rPr>
        <w:t>לַיהוה</w:t>
      </w:r>
      <w:r w:rsidRPr="00C71F15">
        <w:rPr>
          <w:rFonts w:eastAsia="Times New Roman" w:cs="Times New Roman"/>
          <w:rtl/>
          <w:lang w:eastAsia="de-DE"/>
        </w:rPr>
        <w:t xml:space="preserve"> </w:t>
      </w:r>
      <w:r w:rsidRPr="00C71F15">
        <w:rPr>
          <w:rFonts w:eastAsia="Times New Roman" w:cs="Times New Roman"/>
          <w:lang w:eastAsia="de-DE"/>
        </w:rPr>
        <w:t>(Präposition mit Tetragramm).</w:t>
      </w:r>
    </w:p>
    <w:p w14:paraId="2A02A0B8"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בְּשָׁבֻעֹתֵיכֶם</w:t>
      </w:r>
      <w:r w:rsidRPr="00C71F15">
        <w:rPr>
          <w:rFonts w:eastAsia="Times New Roman" w:cs="Times New Roman"/>
          <w:rtl/>
          <w:lang w:eastAsia="de-DE"/>
        </w:rPr>
        <w:t xml:space="preserve"> </w:t>
      </w:r>
      <w:r w:rsidRPr="00C71F15">
        <w:rPr>
          <w:rFonts w:eastAsia="Times New Roman" w:cs="Times New Roman"/>
          <w:lang w:eastAsia="de-DE"/>
        </w:rPr>
        <w:t xml:space="preserve">ist eine weitere Bezeichnung. </w:t>
      </w:r>
      <w:r w:rsidRPr="00C71F15">
        <w:rPr>
          <w:rFonts w:eastAsia="Times New Roman" w:cs="Times New Roman"/>
          <w:b/>
          <w:bCs/>
          <w:rtl/>
          <w:lang w:eastAsia="de-DE"/>
        </w:rPr>
        <w:t>שָׁבֻעוֹת</w:t>
      </w:r>
      <w:r w:rsidRPr="00C71F15">
        <w:rPr>
          <w:rFonts w:eastAsia="Times New Roman" w:cs="Times New Roman"/>
          <w:rtl/>
          <w:lang w:eastAsia="de-DE"/>
        </w:rPr>
        <w:t xml:space="preserve"> </w:t>
      </w:r>
      <w:r w:rsidRPr="00C71F15">
        <w:rPr>
          <w:rFonts w:eastAsia="Times New Roman" w:cs="Times New Roman"/>
          <w:lang w:eastAsia="de-DE"/>
        </w:rPr>
        <w:t xml:space="preserve">(Plural von </w:t>
      </w:r>
      <w:r w:rsidRPr="00C71F15">
        <w:rPr>
          <w:rFonts w:eastAsia="Times New Roman" w:cs="Times New Roman"/>
          <w:b/>
          <w:bCs/>
          <w:rtl/>
          <w:lang w:eastAsia="de-DE"/>
        </w:rPr>
        <w:t>שָׁבוּעַ</w:t>
      </w:r>
      <w:r w:rsidRPr="00C71F15">
        <w:rPr>
          <w:rFonts w:eastAsia="Times New Roman" w:cs="Times New Roman"/>
          <w:rtl/>
          <w:lang w:eastAsia="de-DE"/>
        </w:rPr>
        <w:t xml:space="preserve"> </w:t>
      </w:r>
      <w:r w:rsidRPr="00C71F15">
        <w:rPr>
          <w:rFonts w:eastAsia="Times New Roman" w:cs="Times New Roman"/>
          <w:lang w:eastAsia="de-DE"/>
        </w:rPr>
        <w:t xml:space="preserve">„Woche") mit Suffix 2. Person maskulin Plural („an eurem Wochenfest"). Das Fest wird nach den sieben Wochen seit dem Passah benannt (vgl. Lev 23,15-16). </w:t>
      </w:r>
      <w:r w:rsidRPr="00C71F15">
        <w:rPr>
          <w:rFonts w:eastAsia="Times New Roman" w:cs="Times New Roman"/>
          <w:b/>
          <w:bCs/>
          <w:rtl/>
          <w:lang w:eastAsia="de-DE"/>
        </w:rPr>
        <w:t>מִקְרָא־קֹדֶשׁ יִהְיֶה לָכֶם</w:t>
      </w:r>
      <w:r w:rsidRPr="00C71F15">
        <w:rPr>
          <w:rFonts w:eastAsia="Times New Roman" w:cs="Times New Roman"/>
          <w:rtl/>
          <w:lang w:eastAsia="de-DE"/>
        </w:rPr>
        <w:t xml:space="preserve"> </w:t>
      </w:r>
      <w:r w:rsidRPr="00C71F15">
        <w:rPr>
          <w:rFonts w:eastAsia="Times New Roman" w:cs="Times New Roman"/>
          <w:lang w:eastAsia="de-DE"/>
        </w:rPr>
        <w:t xml:space="preserve">ist die Charakterisierung. </w:t>
      </w:r>
      <w:r w:rsidRPr="00C71F15">
        <w:rPr>
          <w:rFonts w:eastAsia="Times New Roman" w:cs="Times New Roman"/>
          <w:b/>
          <w:bCs/>
          <w:rtl/>
          <w:lang w:eastAsia="de-DE"/>
        </w:rPr>
        <w:t>מִקְרָא־קֹדֶשׁ</w:t>
      </w:r>
      <w:r w:rsidRPr="00C71F15">
        <w:rPr>
          <w:rFonts w:eastAsia="Times New Roman" w:cs="Times New Roman"/>
          <w:rtl/>
          <w:lang w:eastAsia="de-DE"/>
        </w:rPr>
        <w:t xml:space="preserve"> </w:t>
      </w:r>
      <w:r w:rsidRPr="00C71F15">
        <w:rPr>
          <w:rFonts w:eastAsia="Times New Roman" w:cs="Times New Roman"/>
          <w:lang w:eastAsia="de-DE"/>
        </w:rPr>
        <w:t xml:space="preserve">(Genitivverbindung: </w:t>
      </w:r>
      <w:r w:rsidRPr="00C71F15">
        <w:rPr>
          <w:rFonts w:eastAsia="Times New Roman" w:cs="Times New Roman"/>
          <w:b/>
          <w:bCs/>
          <w:rtl/>
          <w:lang w:eastAsia="de-DE"/>
        </w:rPr>
        <w:t>מִקְרָא</w:t>
      </w:r>
      <w:r w:rsidRPr="00C71F15">
        <w:rPr>
          <w:rFonts w:eastAsia="Times New Roman" w:cs="Times New Roman"/>
          <w:rtl/>
          <w:lang w:eastAsia="de-DE"/>
        </w:rPr>
        <w:t xml:space="preserve"> </w:t>
      </w:r>
      <w:r w:rsidRPr="00C71F15">
        <w:rPr>
          <w:rFonts w:eastAsia="Times New Roman" w:cs="Times New Roman"/>
          <w:lang w:eastAsia="de-DE"/>
        </w:rPr>
        <w:t xml:space="preserve">„Einberufung, Versammlung" mit </w:t>
      </w:r>
      <w:r w:rsidRPr="00C71F15">
        <w:rPr>
          <w:rFonts w:eastAsia="Times New Roman" w:cs="Times New Roman"/>
          <w:b/>
          <w:bCs/>
          <w:rtl/>
          <w:lang w:eastAsia="de-DE"/>
        </w:rPr>
        <w:t>קֹדֶשׁ</w:t>
      </w:r>
      <w:r w:rsidRPr="00C71F15">
        <w:rPr>
          <w:rFonts w:eastAsia="Times New Roman" w:cs="Times New Roman"/>
          <w:rtl/>
          <w:lang w:eastAsia="de-DE"/>
        </w:rPr>
        <w:t xml:space="preserve"> </w:t>
      </w:r>
      <w:r w:rsidRPr="00C71F15">
        <w:rPr>
          <w:rFonts w:eastAsia="Times New Roman" w:cs="Times New Roman"/>
          <w:lang w:eastAsia="de-DE"/>
        </w:rPr>
        <w:t xml:space="preserve">„Heiligkeit" „heilige Einberufung"), </w:t>
      </w:r>
      <w:r w:rsidRPr="00C71F15">
        <w:rPr>
          <w:rFonts w:eastAsia="Times New Roman" w:cs="Times New Roman"/>
          <w:b/>
          <w:bCs/>
          <w:rtl/>
          <w:lang w:eastAsia="de-DE"/>
        </w:rPr>
        <w:t>יִהְיֶה</w:t>
      </w:r>
      <w:r w:rsidRPr="00C71F15">
        <w:rPr>
          <w:rFonts w:eastAsia="Times New Roman" w:cs="Times New Roman"/>
          <w:rtl/>
          <w:lang w:eastAsia="de-DE"/>
        </w:rPr>
        <w:t xml:space="preserve"> </w:t>
      </w:r>
      <w:r w:rsidRPr="00C71F15">
        <w:rPr>
          <w:rFonts w:eastAsia="Times New Roman" w:cs="Times New Roman"/>
          <w:lang w:eastAsia="de-DE"/>
        </w:rPr>
        <w:t xml:space="preserve">(Qal Imperfekt 3. Person maskulin Singular von </w:t>
      </w:r>
      <w:r w:rsidRPr="00C71F15">
        <w:rPr>
          <w:rFonts w:eastAsia="Times New Roman" w:cs="Times New Roman"/>
          <w:b/>
          <w:bCs/>
          <w:rtl/>
          <w:lang w:eastAsia="de-DE"/>
        </w:rPr>
        <w:t>היה</w:t>
      </w:r>
      <w:r w:rsidRPr="00C71F15">
        <w:rPr>
          <w:rFonts w:eastAsia="Times New Roman" w:cs="Times New Roman"/>
          <w:rtl/>
          <w:lang w:eastAsia="de-DE"/>
        </w:rPr>
        <w:t xml:space="preserve"> </w:t>
      </w:r>
      <w:r w:rsidRPr="00C71F15">
        <w:rPr>
          <w:rFonts w:eastAsia="Times New Roman" w:cs="Times New Roman"/>
          <w:lang w:eastAsia="de-DE"/>
        </w:rPr>
        <w:t xml:space="preserve">„sein"), </w:t>
      </w:r>
      <w:r w:rsidRPr="00C71F15">
        <w:rPr>
          <w:rFonts w:eastAsia="Times New Roman" w:cs="Times New Roman"/>
          <w:b/>
          <w:bCs/>
          <w:rtl/>
          <w:lang w:eastAsia="de-DE"/>
        </w:rPr>
        <w:t>לָכֶם</w:t>
      </w:r>
      <w:r w:rsidRPr="00C71F15">
        <w:rPr>
          <w:rFonts w:eastAsia="Times New Roman" w:cs="Times New Roman"/>
          <w:rtl/>
          <w:lang w:eastAsia="de-DE"/>
        </w:rPr>
        <w:t xml:space="preserve"> </w:t>
      </w:r>
      <w:r w:rsidRPr="00C71F15">
        <w:rPr>
          <w:rFonts w:eastAsia="Times New Roman" w:cs="Times New Roman"/>
          <w:lang w:eastAsia="de-DE"/>
        </w:rPr>
        <w:t>(Präposition mit Suffix 2. Person maskulin Plural „für euch").</w:t>
      </w:r>
    </w:p>
    <w:p w14:paraId="41DC6B1D" w14:textId="072CAA39"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rtl/>
          <w:lang w:eastAsia="de-DE"/>
        </w:rPr>
        <w:t>כָּל־מְלֶאכֶת עֲבֹדָה לֹא תַעֲשׂוּ</w:t>
      </w:r>
      <w:r w:rsidRPr="00C71F15">
        <w:rPr>
          <w:rFonts w:eastAsia="Times New Roman" w:cs="Times New Roman"/>
          <w:rtl/>
          <w:lang w:eastAsia="de-DE"/>
        </w:rPr>
        <w:t xml:space="preserve"> </w:t>
      </w:r>
      <w:r w:rsidRPr="00C71F15">
        <w:rPr>
          <w:rFonts w:eastAsia="Times New Roman" w:cs="Times New Roman"/>
          <w:lang w:eastAsia="de-DE"/>
        </w:rPr>
        <w:t xml:space="preserve">ist das Arbeitsverbot. </w:t>
      </w:r>
      <w:r w:rsidRPr="00C71F15">
        <w:rPr>
          <w:rFonts w:eastAsia="Times New Roman" w:cs="Times New Roman"/>
          <w:b/>
          <w:bCs/>
          <w:rtl/>
          <w:lang w:eastAsia="de-DE"/>
        </w:rPr>
        <w:t>כָּל־מְלֶאכֶת עֲבֹדָה</w:t>
      </w:r>
      <w:r w:rsidRPr="00C71F15">
        <w:rPr>
          <w:rFonts w:eastAsia="Times New Roman" w:cs="Times New Roman"/>
          <w:rtl/>
          <w:lang w:eastAsia="de-DE"/>
        </w:rPr>
        <w:t xml:space="preserve"> </w:t>
      </w:r>
      <w:r w:rsidRPr="00C71F15">
        <w:rPr>
          <w:rFonts w:eastAsia="Times New Roman" w:cs="Times New Roman"/>
          <w:lang w:eastAsia="de-DE"/>
        </w:rPr>
        <w:t xml:space="preserve">(Genitivverbindung: </w:t>
      </w:r>
      <w:r w:rsidRPr="00C71F15">
        <w:rPr>
          <w:rFonts w:eastAsia="Times New Roman" w:cs="Times New Roman"/>
          <w:b/>
          <w:bCs/>
          <w:rtl/>
          <w:lang w:eastAsia="de-DE"/>
        </w:rPr>
        <w:t>כֹּל</w:t>
      </w:r>
      <w:r w:rsidRPr="00C71F15">
        <w:rPr>
          <w:rFonts w:eastAsia="Times New Roman" w:cs="Times New Roman"/>
          <w:rtl/>
          <w:lang w:eastAsia="de-DE"/>
        </w:rPr>
        <w:t xml:space="preserve"> </w:t>
      </w:r>
      <w:r w:rsidRPr="00C71F15">
        <w:rPr>
          <w:rFonts w:eastAsia="Times New Roman" w:cs="Times New Roman"/>
          <w:lang w:eastAsia="de-DE"/>
        </w:rPr>
        <w:t xml:space="preserve">„alle" mit </w:t>
      </w:r>
      <w:r w:rsidRPr="00C71F15">
        <w:rPr>
          <w:rFonts w:eastAsia="Times New Roman" w:cs="Times New Roman"/>
          <w:b/>
          <w:bCs/>
          <w:rtl/>
          <w:lang w:eastAsia="de-DE"/>
        </w:rPr>
        <w:t>מְלֶאכֶת</w:t>
      </w:r>
      <w:r w:rsidRPr="00C71F15">
        <w:rPr>
          <w:rFonts w:eastAsia="Times New Roman" w:cs="Times New Roman"/>
          <w:rtl/>
          <w:lang w:eastAsia="de-DE"/>
        </w:rPr>
        <w:t xml:space="preserve"> </w:t>
      </w:r>
      <w:r w:rsidRPr="00C71F15">
        <w:rPr>
          <w:rFonts w:eastAsia="Times New Roman" w:cs="Times New Roman"/>
          <w:lang w:eastAsia="de-DE"/>
        </w:rPr>
        <w:t xml:space="preserve">„Arbeit" im </w:t>
      </w:r>
      <w:r w:rsidR="00E031B3">
        <w:rPr>
          <w:rFonts w:eastAsia="Times New Roman" w:cs="Times New Roman"/>
          <w:lang w:eastAsia="de-DE"/>
        </w:rPr>
        <w:t>Constructus und</w:t>
      </w:r>
      <w:r w:rsidRPr="00C71F15">
        <w:rPr>
          <w:rFonts w:eastAsia="Times New Roman" w:cs="Times New Roman"/>
          <w:lang w:eastAsia="de-DE"/>
        </w:rPr>
        <w:t xml:space="preserve"> </w:t>
      </w:r>
      <w:r w:rsidRPr="00C71F15">
        <w:rPr>
          <w:rFonts w:eastAsia="Times New Roman" w:cs="Times New Roman"/>
          <w:b/>
          <w:bCs/>
          <w:rtl/>
          <w:lang w:eastAsia="de-DE"/>
        </w:rPr>
        <w:t>עֲבֹדָה</w:t>
      </w:r>
      <w:r w:rsidRPr="00C71F15">
        <w:rPr>
          <w:rFonts w:eastAsia="Times New Roman" w:cs="Times New Roman"/>
          <w:rtl/>
          <w:lang w:eastAsia="de-DE"/>
        </w:rPr>
        <w:t xml:space="preserve"> </w:t>
      </w:r>
      <w:r w:rsidRPr="00C71F15">
        <w:rPr>
          <w:rFonts w:eastAsia="Times New Roman" w:cs="Times New Roman"/>
          <w:lang w:eastAsia="de-DE"/>
        </w:rPr>
        <w:t xml:space="preserve">„Dienstarbeit, schwere Arbeit"), </w:t>
      </w:r>
      <w:r w:rsidRPr="00C71F15">
        <w:rPr>
          <w:rFonts w:eastAsia="Times New Roman" w:cs="Times New Roman"/>
          <w:b/>
          <w:bCs/>
          <w:rtl/>
          <w:lang w:eastAsia="de-DE"/>
        </w:rPr>
        <w:t>לֹא תַעֲשׂוּ</w:t>
      </w:r>
      <w:r w:rsidRPr="00C71F15">
        <w:rPr>
          <w:rFonts w:eastAsia="Times New Roman" w:cs="Times New Roman"/>
          <w:rtl/>
          <w:lang w:eastAsia="de-DE"/>
        </w:rPr>
        <w:t xml:space="preserve"> </w:t>
      </w:r>
      <w:r w:rsidRPr="00C71F15">
        <w:rPr>
          <w:rFonts w:eastAsia="Times New Roman" w:cs="Times New Roman"/>
          <w:lang w:eastAsia="de-DE"/>
        </w:rPr>
        <w:t xml:space="preserve">(Negation mit Qal Imperfekt 2. Person maskulin Plural von </w:t>
      </w:r>
      <w:r w:rsidRPr="00C71F15">
        <w:rPr>
          <w:rFonts w:eastAsia="Times New Roman" w:cs="Times New Roman"/>
          <w:b/>
          <w:bCs/>
          <w:rtl/>
          <w:lang w:eastAsia="de-DE"/>
        </w:rPr>
        <w:t>עשׂה</w:t>
      </w:r>
      <w:r w:rsidRPr="00C71F15">
        <w:rPr>
          <w:rFonts w:eastAsia="Times New Roman" w:cs="Times New Roman"/>
          <w:rtl/>
          <w:lang w:eastAsia="de-DE"/>
        </w:rPr>
        <w:t xml:space="preserve"> </w:t>
      </w:r>
      <w:r w:rsidRPr="00C71F15">
        <w:rPr>
          <w:rFonts w:eastAsia="Times New Roman" w:cs="Times New Roman"/>
          <w:lang w:eastAsia="de-DE"/>
        </w:rPr>
        <w:t>„tun" „ihr sollt nicht tun").</w:t>
      </w:r>
    </w:p>
    <w:p w14:paraId="4006212F" w14:textId="61CE805D"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Die LXX</w:t>
      </w:r>
      <w:r w:rsidRPr="00C71F15">
        <w:rPr>
          <w:rFonts w:eastAsia="Times New Roman" w:cs="Times New Roman"/>
          <w:lang w:eastAsia="de-DE"/>
        </w:rPr>
        <w:t xml:space="preserve"> </w:t>
      </w:r>
      <w:r w:rsidR="00EA15C5">
        <w:t>übersetzt „</w:t>
      </w:r>
      <w:r w:rsidR="00EA15C5" w:rsidRPr="00EA15C5">
        <w:rPr>
          <w:b/>
          <w:bCs/>
          <w:rtl/>
        </w:rPr>
        <w:t>וּבְיוֹם הַבִּכּוּרִים</w:t>
      </w:r>
      <w:r w:rsidR="00EA15C5">
        <w:t>" (und am Tag der Erstlinge) mit „Καὶ τῇ ἡμέρᾳ τῶν νέων" (Und am Tag der Neuen), und „</w:t>
      </w:r>
      <w:r w:rsidR="00EA15C5" w:rsidRPr="00EA15C5">
        <w:rPr>
          <w:b/>
          <w:bCs/>
          <w:rtl/>
        </w:rPr>
        <w:t>בְּשָׁבֻעֹתֵיכֶם</w:t>
      </w:r>
      <w:r w:rsidR="00EA15C5">
        <w:t>" (an eurem Wochenfest) wird zu „τῶν ἑβδομάδων" (der Wochen), was das Wochenfest (Schawuot/Pfingsten) bezeichnet.</w:t>
      </w:r>
    </w:p>
    <w:p w14:paraId="4633E642"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lastRenderedPageBreak/>
        <w:t>Die Satzstruktur zeigt eine doppelte temporale Einleitung (Tag der Erstlinge, wenn ihr darbringt, an eurem Wochenfest), gefolgt von einem Hauptsatz (es soll eine heilige Einberufung sein) und einem prohibitiven Satz.</w:t>
      </w:r>
    </w:p>
    <w:p w14:paraId="5015582E"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Der Vers etabliert das Wochenfest als heiligen Feiertag mit Arbeitsruhe, der die Dankbarkeit für die Ernte ausdrückt und sieben Wochen nach dem Passah gefeiert wird.</w:t>
      </w:r>
    </w:p>
    <w:p w14:paraId="5DE4AD42" w14:textId="77777777" w:rsidR="00C71F15" w:rsidRPr="00C71F15" w:rsidRDefault="00C71F15" w:rsidP="00C71F15">
      <w:pPr>
        <w:spacing w:before="100" w:beforeAutospacing="1" w:after="100" w:afterAutospacing="1" w:line="240" w:lineRule="auto"/>
        <w:outlineLvl w:val="0"/>
        <w:rPr>
          <w:rFonts w:eastAsia="Times New Roman" w:cs="Times New Roman"/>
          <w:b/>
          <w:bCs/>
          <w:kern w:val="36"/>
          <w:sz w:val="48"/>
          <w:szCs w:val="48"/>
          <w:lang w:eastAsia="de-DE"/>
        </w:rPr>
      </w:pPr>
      <w:r w:rsidRPr="00C71F15">
        <w:rPr>
          <w:rFonts w:eastAsia="Times New Roman" w:cs="Times New Roman"/>
          <w:b/>
          <w:bCs/>
          <w:kern w:val="36"/>
          <w:sz w:val="48"/>
          <w:szCs w:val="48"/>
          <w:lang w:eastAsia="de-DE"/>
        </w:rPr>
        <w:t>Numeri 28,27-31</w:t>
      </w:r>
    </w:p>
    <w:p w14:paraId="28D7A0EF" w14:textId="77777777" w:rsidR="00C71F15" w:rsidRPr="00C71F15"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b/>
          <w:bCs/>
          <w:lang w:eastAsia="de-DE"/>
        </w:rPr>
        <w:t>Hebräisch:</w:t>
      </w:r>
      <w:r w:rsidRPr="00C71F15">
        <w:rPr>
          <w:rFonts w:eastAsia="Times New Roman" w:cs="Times New Roman"/>
          <w:lang w:eastAsia="de-DE"/>
        </w:rPr>
        <w:t xml:space="preserve"> [Diese Verse spezifizieren die Opfer für Schawuot: zwei Stiere, ein Widder, sieben Lämmer mit den entsprechenden Speise- und Trankopfern sowie ein Sündopfer-Ziegenbock, alles zusätzlich zum täglichen Tamid. V. 31 betont, dass die Tiere </w:t>
      </w:r>
      <w:r w:rsidRPr="00C71F15">
        <w:rPr>
          <w:rFonts w:eastAsia="Times New Roman" w:cs="Times New Roman"/>
          <w:b/>
          <w:bCs/>
          <w:rtl/>
          <w:lang w:eastAsia="de-DE"/>
        </w:rPr>
        <w:t>תְּמִימִם</w:t>
      </w:r>
      <w:r w:rsidRPr="00C71F15">
        <w:rPr>
          <w:rFonts w:eastAsia="Times New Roman" w:cs="Times New Roman"/>
          <w:rtl/>
          <w:lang w:eastAsia="de-DE"/>
        </w:rPr>
        <w:t xml:space="preserve"> </w:t>
      </w:r>
      <w:r w:rsidRPr="00C71F15">
        <w:rPr>
          <w:rFonts w:eastAsia="Times New Roman" w:cs="Times New Roman"/>
          <w:lang w:eastAsia="de-DE"/>
        </w:rPr>
        <w:t>„ohne Fehl" sein müssen.]</w:t>
      </w:r>
    </w:p>
    <w:p w14:paraId="7345B023" w14:textId="77777777" w:rsidR="00C71F15" w:rsidRPr="00C71F15" w:rsidRDefault="00F329DD" w:rsidP="00C71F15">
      <w:pPr>
        <w:spacing w:after="0" w:line="240" w:lineRule="auto"/>
        <w:rPr>
          <w:rFonts w:eastAsia="Times New Roman" w:cs="Times New Roman"/>
          <w:lang w:eastAsia="de-DE"/>
        </w:rPr>
      </w:pPr>
      <w:r>
        <w:rPr>
          <w:rFonts w:eastAsia="Times New Roman" w:cs="Times New Roman"/>
          <w:noProof/>
          <w:lang w:eastAsia="de-DE"/>
        </w:rPr>
        <w:pict w14:anchorId="0D0C6E45">
          <v:rect id="_x0000_i1919" style="width:0;height:1.5pt" o:hralign="center" o:hrstd="t" o:hr="t" fillcolor="#a0a0a0" stroked="f"/>
        </w:pict>
      </w:r>
    </w:p>
    <w:p w14:paraId="3CF9B9A1" w14:textId="77777777" w:rsidR="00ED1B86" w:rsidRDefault="00C71F15" w:rsidP="00C71F15">
      <w:pPr>
        <w:spacing w:before="100" w:beforeAutospacing="1" w:after="100" w:afterAutospacing="1" w:line="240" w:lineRule="auto"/>
        <w:rPr>
          <w:rFonts w:eastAsia="Times New Roman" w:cs="Times New Roman"/>
          <w:lang w:eastAsia="de-DE"/>
        </w:rPr>
      </w:pPr>
      <w:r w:rsidRPr="00C71F15">
        <w:rPr>
          <w:rFonts w:eastAsia="Times New Roman" w:cs="Times New Roman"/>
          <w:lang w:eastAsia="de-DE"/>
        </w:rPr>
        <w:t>Das Kapitel</w:t>
      </w:r>
      <w:r w:rsidR="00ED1B86">
        <w:rPr>
          <w:rFonts w:eastAsia="Times New Roman" w:cs="Times New Roman"/>
          <w:lang w:eastAsia="de-DE"/>
        </w:rPr>
        <w:t xml:space="preserve"> </w:t>
      </w:r>
      <w:r w:rsidR="00ED1B86" w:rsidRPr="00C71F15">
        <w:rPr>
          <w:rFonts w:eastAsia="Times New Roman" w:cs="Times New Roman"/>
          <w:b/>
          <w:bCs/>
          <w:lang w:eastAsia="de-DE"/>
        </w:rPr>
        <w:t>Numeri 28</w:t>
      </w:r>
      <w:r w:rsidRPr="00C71F15">
        <w:rPr>
          <w:rFonts w:eastAsia="Times New Roman" w:cs="Times New Roman"/>
          <w:lang w:eastAsia="de-DE"/>
        </w:rPr>
        <w:t xml:space="preserve"> systematisiert den israelitischen Opferkalender mit präzisen Anweisungen für die regelmäßigen Opfer: </w:t>
      </w:r>
    </w:p>
    <w:p w14:paraId="0588880C" w14:textId="77777777" w:rsidR="00ED1B86" w:rsidRDefault="00C71F15" w:rsidP="00C15C06">
      <w:pPr>
        <w:pStyle w:val="Listenabsatz"/>
        <w:numPr>
          <w:ilvl w:val="0"/>
          <w:numId w:val="19"/>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 xml:space="preserve">das tägliche Tamid (morgens und abends, V. 3-8), </w:t>
      </w:r>
    </w:p>
    <w:p w14:paraId="34641D37" w14:textId="77777777" w:rsidR="00ED1B86" w:rsidRDefault="00C71F15" w:rsidP="00C15C06">
      <w:pPr>
        <w:pStyle w:val="Listenabsatz"/>
        <w:numPr>
          <w:ilvl w:val="0"/>
          <w:numId w:val="19"/>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 xml:space="preserve">das zusätzliche Sabbatopfer (V. 9-10), </w:t>
      </w:r>
    </w:p>
    <w:p w14:paraId="408B9DC0" w14:textId="77777777" w:rsidR="00ED1B86" w:rsidRDefault="00C71F15" w:rsidP="00C15C06">
      <w:pPr>
        <w:pStyle w:val="Listenabsatz"/>
        <w:numPr>
          <w:ilvl w:val="0"/>
          <w:numId w:val="19"/>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 xml:space="preserve">das monatliche Neumondopfer (V. 11-15), </w:t>
      </w:r>
    </w:p>
    <w:p w14:paraId="0716608E" w14:textId="77777777" w:rsidR="00ED1B86" w:rsidRDefault="00C71F15" w:rsidP="00C15C06">
      <w:pPr>
        <w:pStyle w:val="Listenabsatz"/>
        <w:numPr>
          <w:ilvl w:val="0"/>
          <w:numId w:val="19"/>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 xml:space="preserve">die Passah- und Mazzot-Opfer (V. 16-25) und </w:t>
      </w:r>
    </w:p>
    <w:p w14:paraId="34A262F0" w14:textId="77777777" w:rsidR="00ED1B86" w:rsidRDefault="00C71F15" w:rsidP="00C15C06">
      <w:pPr>
        <w:pStyle w:val="Listenabsatz"/>
        <w:numPr>
          <w:ilvl w:val="0"/>
          <w:numId w:val="19"/>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 xml:space="preserve">das Wochenfest-Opfer (V. 26-31). </w:t>
      </w:r>
    </w:p>
    <w:p w14:paraId="53831B36" w14:textId="5B2F37F9" w:rsidR="00C71F15" w:rsidRDefault="00C71F15" w:rsidP="00ED1B86">
      <w:pPr>
        <w:spacing w:before="100" w:beforeAutospacing="1" w:after="100" w:afterAutospacing="1" w:line="240" w:lineRule="auto"/>
        <w:ind w:left="360"/>
        <w:rPr>
          <w:rFonts w:eastAsia="Times New Roman" w:cs="Times New Roman"/>
          <w:lang w:eastAsia="de-DE"/>
        </w:rPr>
      </w:pPr>
      <w:r w:rsidRPr="00ED1B86">
        <w:rPr>
          <w:rFonts w:eastAsia="Times New Roman" w:cs="Times New Roman"/>
          <w:lang w:eastAsia="de-DE"/>
        </w:rPr>
        <w:t>Jedes Opfer ist detailliert mit Tierzahl, -art, -alter sowie den begleitenden Speise- und Trankopfern spezifiziert. Das Kapitel betont die kumulative Natur: Festopfer kommen zum täglichen Tamid hinzu, nicht an dessen Stelle. Die Struktur zeigt eine Steigerung von täglich (2 Lämmer) über wöchentlich (zusätzlich 2 Lämmer am Sabbat) zu monatlich (10 Tiere am Neumond) bis zu den Jahresfesten. Diese liturgische Ordnung schafft einen heiligen Rhythmus, der das gesamte Jahr durchzieht und Israel in ständiger Verbindung mit Gott hält.</w:t>
      </w:r>
    </w:p>
    <w:p w14:paraId="3D832885" w14:textId="2549F1C7" w:rsidR="00EA15C5" w:rsidRDefault="00EA15C5" w:rsidP="00ED1B86">
      <w:pPr>
        <w:spacing w:before="100" w:beforeAutospacing="1" w:after="100" w:afterAutospacing="1" w:line="240" w:lineRule="auto"/>
        <w:ind w:left="360"/>
      </w:pPr>
      <w:r>
        <w:rPr>
          <w:rStyle w:val="Fett"/>
        </w:rPr>
        <w:t>Die LXX</w:t>
      </w:r>
      <w:r>
        <w:t xml:space="preserve"> fügt hinzu „ποιήσετέ μοι" (ihr sollt mir tun/bereiten), was im MT nicht erscheint, und übersetzt „</w:t>
      </w:r>
      <w:r>
        <w:rPr>
          <w:rtl/>
        </w:rPr>
        <w:t>תְּמִימִם יִהְיוּ־לָכֶם</w:t>
      </w:r>
      <w:r>
        <w:t>" (makellos sollen sie für euch sein) mit „ἄμωμοι ἔσονται ὑμῖν" (makellos werden sie für euch sein).</w:t>
      </w:r>
    </w:p>
    <w:p w14:paraId="20CD1E9C" w14:textId="79E7E790" w:rsidR="00EA15C5" w:rsidRPr="00ED1B86" w:rsidRDefault="00EA15C5" w:rsidP="00ED1B86">
      <w:pPr>
        <w:spacing w:before="100" w:beforeAutospacing="1" w:after="100" w:afterAutospacing="1" w:line="240" w:lineRule="auto"/>
        <w:ind w:left="360"/>
        <w:rPr>
          <w:rFonts w:eastAsia="Times New Roman" w:cs="Times New Roman"/>
          <w:lang w:eastAsia="de-DE"/>
        </w:rPr>
      </w:pPr>
      <w:r>
        <w:rPr>
          <w:rStyle w:val="Fett"/>
        </w:rPr>
        <w:t>Allgemeine Beobachtung:</w:t>
      </w:r>
      <w:r>
        <w:t xml:space="preserve"> Die LXX verwendet durchgehend „καρπώματα" (Opfergaben) für „</w:t>
      </w:r>
      <w:r>
        <w:rPr>
          <w:rtl/>
        </w:rPr>
        <w:t>אִשֶּׁה</w:t>
      </w:r>
      <w:r>
        <w:t>" (Feueropfer), was den Fokus vom Feueraspekt zur allgemeinen Opfergabe verschiebt. Die LXX tendiert auch dazu, erklärende Zusätze einzufügen, um liturgische Begriffe zu verdeutlichen.</w:t>
      </w:r>
    </w:p>
    <w:p w14:paraId="77457458"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29,1</w:t>
      </w:r>
    </w:p>
    <w:p w14:paraId="3E8D5A77"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w:t>
      </w:r>
      <w:r w:rsidRPr="00ED1B86">
        <w:rPr>
          <w:rFonts w:eastAsia="Times New Roman" w:cs="Times New Roman"/>
          <w:rtl/>
          <w:lang w:eastAsia="de-DE"/>
        </w:rPr>
        <w:t>וּבַחֹ֨דֶשׁ הַשְּׁבִיעִ֜י בְּאֶחָ֣ד לַחֹ֗דֶשׁ מִֽקְרָא־קֹ֨דֶשׁ֙ יִהְיֶ֣ה לָכֶ֔ם כָּל־מְלֶ֥אכֶת עֲבֹדָ֖ה לֹ֣א תַעֲשׂ֑וּ י֥וֹם תְּרוּעָ֖ה יִהְיֶ֥ה לָכֶֽם׃</w:t>
      </w:r>
    </w:p>
    <w:p w14:paraId="4FD462DE"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lastRenderedPageBreak/>
        <w:t>Deutsch:</w:t>
      </w:r>
      <w:r w:rsidRPr="00ED1B86">
        <w:rPr>
          <w:rFonts w:eastAsia="Times New Roman" w:cs="Times New Roman"/>
          <w:lang w:eastAsia="de-DE"/>
        </w:rPr>
        <w:t xml:space="preserve"> Und im siebten Monat, am Ersten des Monats, soll euch eine heilige Einberufung sein; keinerlei Dienstarbeit sollt ihr tun; ein Tag des Lärmblasens soll es euch sein.</w:t>
      </w:r>
    </w:p>
    <w:p w14:paraId="21E1BE1C" w14:textId="77777777" w:rsidR="00ED1B86" w:rsidRPr="00ED1B86" w:rsidRDefault="00F329DD" w:rsidP="00ED1B86">
      <w:pPr>
        <w:spacing w:after="0" w:line="240" w:lineRule="auto"/>
        <w:rPr>
          <w:rFonts w:eastAsia="Times New Roman" w:cs="Times New Roman"/>
          <w:lang w:eastAsia="de-DE"/>
        </w:rPr>
      </w:pPr>
      <w:r>
        <w:rPr>
          <w:rFonts w:eastAsia="Times New Roman" w:cs="Times New Roman"/>
          <w:noProof/>
          <w:lang w:eastAsia="de-DE"/>
        </w:rPr>
        <w:pict w14:anchorId="14E99AA6">
          <v:rect id="_x0000_i1920" style="width:0;height:1.5pt" o:hralign="center" o:hrstd="t" o:hr="t" fillcolor="#a0a0a0" stroked="f"/>
        </w:pict>
      </w:r>
    </w:p>
    <w:p w14:paraId="6C46FB61"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Kommentar:</w:t>
      </w:r>
      <w:r w:rsidRPr="00ED1B86">
        <w:rPr>
          <w:rFonts w:eastAsia="Times New Roman" w:cs="Times New Roman"/>
          <w:lang w:eastAsia="de-DE"/>
        </w:rPr>
        <w:t xml:space="preserve"> Der Vers eröffnet das Kapitel über die Herbstfeste im siebten Monat. </w:t>
      </w:r>
      <w:r w:rsidRPr="00ED1B86">
        <w:rPr>
          <w:rFonts w:eastAsia="Times New Roman" w:cs="Times New Roman"/>
          <w:b/>
          <w:bCs/>
          <w:rtl/>
          <w:lang w:eastAsia="de-DE"/>
        </w:rPr>
        <w:t>וּבַחֹדֶשׁ הַשְּׁבִיעִי בְּאֶחָד לַחֹדֶשׁ</w:t>
      </w:r>
      <w:r w:rsidRPr="00ED1B86">
        <w:rPr>
          <w:rFonts w:eastAsia="Times New Roman" w:cs="Times New Roman"/>
          <w:rtl/>
          <w:lang w:eastAsia="de-DE"/>
        </w:rPr>
        <w:t xml:space="preserve"> </w:t>
      </w:r>
      <w:r w:rsidRPr="00ED1B86">
        <w:rPr>
          <w:rFonts w:eastAsia="Times New Roman" w:cs="Times New Roman"/>
          <w:lang w:eastAsia="de-DE"/>
        </w:rPr>
        <w:t xml:space="preserve">ist die temporale Einleitung. </w:t>
      </w:r>
      <w:r w:rsidRPr="00ED1B86">
        <w:rPr>
          <w:rFonts w:eastAsia="Times New Roman" w:cs="Times New Roman"/>
          <w:b/>
          <w:bCs/>
          <w:rtl/>
          <w:lang w:eastAsia="de-DE"/>
        </w:rPr>
        <w:t>וּבַחֹדֶשׁ הַשְּׁבִיעִי</w:t>
      </w:r>
      <w:r w:rsidRPr="00ED1B86">
        <w:rPr>
          <w:rFonts w:eastAsia="Times New Roman" w:cs="Times New Roman"/>
          <w:rtl/>
          <w:lang w:eastAsia="de-DE"/>
        </w:rPr>
        <w:t xml:space="preserve"> </w:t>
      </w:r>
      <w:r w:rsidRPr="00ED1B86">
        <w:rPr>
          <w:rFonts w:eastAsia="Times New Roman" w:cs="Times New Roman"/>
          <w:lang w:eastAsia="de-DE"/>
        </w:rPr>
        <w:t xml:space="preserve">(Konjunktion mit Präposition </w:t>
      </w:r>
      <w:r w:rsidRPr="00ED1B86">
        <w:rPr>
          <w:rFonts w:eastAsia="Times New Roman" w:cs="Times New Roman"/>
          <w:b/>
          <w:bCs/>
          <w:rtl/>
          <w:lang w:eastAsia="de-DE"/>
        </w:rPr>
        <w:t>בְ</w:t>
      </w:r>
      <w:r w:rsidRPr="00ED1B86">
        <w:rPr>
          <w:rFonts w:eastAsia="Times New Roman" w:cs="Times New Roman"/>
          <w:lang w:eastAsia="de-DE"/>
        </w:rPr>
        <w:t xml:space="preserve">, </w:t>
      </w:r>
      <w:r w:rsidRPr="00ED1B86">
        <w:rPr>
          <w:rFonts w:eastAsia="Times New Roman" w:cs="Times New Roman"/>
          <w:b/>
          <w:bCs/>
          <w:rtl/>
          <w:lang w:eastAsia="de-DE"/>
        </w:rPr>
        <w:t>חֹדֶשׁ</w:t>
      </w:r>
      <w:r w:rsidRPr="00ED1B86">
        <w:rPr>
          <w:rFonts w:eastAsia="Times New Roman" w:cs="Times New Roman"/>
          <w:rtl/>
          <w:lang w:eastAsia="de-DE"/>
        </w:rPr>
        <w:t xml:space="preserve"> </w:t>
      </w:r>
      <w:r w:rsidRPr="00ED1B86">
        <w:rPr>
          <w:rFonts w:eastAsia="Times New Roman" w:cs="Times New Roman"/>
          <w:lang w:eastAsia="de-DE"/>
        </w:rPr>
        <w:t xml:space="preserve">„Monat" und </w:t>
      </w:r>
      <w:r w:rsidRPr="00ED1B86">
        <w:rPr>
          <w:rFonts w:eastAsia="Times New Roman" w:cs="Times New Roman"/>
          <w:b/>
          <w:bCs/>
          <w:rtl/>
          <w:lang w:eastAsia="de-DE"/>
        </w:rPr>
        <w:t>הַשְּׁבִיעִי</w:t>
      </w:r>
      <w:r w:rsidRPr="00ED1B86">
        <w:rPr>
          <w:rFonts w:eastAsia="Times New Roman" w:cs="Times New Roman"/>
          <w:rtl/>
          <w:lang w:eastAsia="de-DE"/>
        </w:rPr>
        <w:t xml:space="preserve"> </w:t>
      </w:r>
      <w:r w:rsidRPr="00ED1B86">
        <w:rPr>
          <w:rFonts w:eastAsia="Times New Roman" w:cs="Times New Roman"/>
          <w:lang w:eastAsia="de-DE"/>
        </w:rPr>
        <w:t xml:space="preserve">„der siebte" mit Artikel „im siebten Monat"), </w:t>
      </w:r>
      <w:r w:rsidRPr="00ED1B86">
        <w:rPr>
          <w:rFonts w:eastAsia="Times New Roman" w:cs="Times New Roman"/>
          <w:b/>
          <w:bCs/>
          <w:rtl/>
          <w:lang w:eastAsia="de-DE"/>
        </w:rPr>
        <w:t>בְּאֶחָד לַחֹדֶשׁ</w:t>
      </w:r>
      <w:r w:rsidRPr="00ED1B86">
        <w:rPr>
          <w:rFonts w:eastAsia="Times New Roman" w:cs="Times New Roman"/>
          <w:rtl/>
          <w:lang w:eastAsia="de-DE"/>
        </w:rPr>
        <w:t xml:space="preserve"> </w:t>
      </w:r>
      <w:r w:rsidRPr="00ED1B86">
        <w:rPr>
          <w:rFonts w:eastAsia="Times New Roman" w:cs="Times New Roman"/>
          <w:lang w:eastAsia="de-DE"/>
        </w:rPr>
        <w:t xml:space="preserve">(Präposition mit Kardinalzahl </w:t>
      </w:r>
      <w:r w:rsidRPr="00ED1B86">
        <w:rPr>
          <w:rFonts w:eastAsia="Times New Roman" w:cs="Times New Roman"/>
          <w:b/>
          <w:bCs/>
          <w:rtl/>
          <w:lang w:eastAsia="de-DE"/>
        </w:rPr>
        <w:t>אֶחָד</w:t>
      </w:r>
      <w:r w:rsidRPr="00ED1B86">
        <w:rPr>
          <w:rFonts w:eastAsia="Times New Roman" w:cs="Times New Roman"/>
          <w:rtl/>
          <w:lang w:eastAsia="de-DE"/>
        </w:rPr>
        <w:t xml:space="preserve"> </w:t>
      </w:r>
      <w:r w:rsidRPr="00ED1B86">
        <w:rPr>
          <w:rFonts w:eastAsia="Times New Roman" w:cs="Times New Roman"/>
          <w:lang w:eastAsia="de-DE"/>
        </w:rPr>
        <w:t xml:space="preserve">„eins, erster" und Präposition </w:t>
      </w:r>
      <w:r w:rsidRPr="00ED1B86">
        <w:rPr>
          <w:rFonts w:eastAsia="Times New Roman" w:cs="Times New Roman"/>
          <w:b/>
          <w:bCs/>
          <w:rtl/>
          <w:lang w:eastAsia="de-DE"/>
        </w:rPr>
        <w:t>לְ</w:t>
      </w:r>
      <w:r w:rsidRPr="00ED1B86">
        <w:rPr>
          <w:rFonts w:eastAsia="Times New Roman" w:cs="Times New Roman"/>
          <w:rtl/>
          <w:lang w:eastAsia="de-DE"/>
        </w:rPr>
        <w:t xml:space="preserve"> </w:t>
      </w:r>
      <w:r w:rsidRPr="00ED1B86">
        <w:rPr>
          <w:rFonts w:eastAsia="Times New Roman" w:cs="Times New Roman"/>
          <w:lang w:eastAsia="de-DE"/>
        </w:rPr>
        <w:t xml:space="preserve">mit </w:t>
      </w:r>
      <w:r w:rsidRPr="00ED1B86">
        <w:rPr>
          <w:rFonts w:eastAsia="Times New Roman" w:cs="Times New Roman"/>
          <w:b/>
          <w:bCs/>
          <w:rtl/>
          <w:lang w:eastAsia="de-DE"/>
        </w:rPr>
        <w:t>חֹדֶשׁ</w:t>
      </w:r>
      <w:r w:rsidRPr="00ED1B86">
        <w:rPr>
          <w:rFonts w:eastAsia="Times New Roman" w:cs="Times New Roman"/>
          <w:rtl/>
          <w:lang w:eastAsia="de-DE"/>
        </w:rPr>
        <w:t xml:space="preserve"> </w:t>
      </w:r>
      <w:r w:rsidRPr="00ED1B86">
        <w:rPr>
          <w:rFonts w:eastAsia="Times New Roman" w:cs="Times New Roman"/>
          <w:lang w:eastAsia="de-DE"/>
        </w:rPr>
        <w:t>„am Ersten des Monats"). Der siebte Monat ist nach der Frühjahrszählung (ab Nisan/Abib) der Monat Tischri, nach der Herbstzählung der erste Monat des Jahres.</w:t>
      </w:r>
    </w:p>
    <w:p w14:paraId="7A26B5D1"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rtl/>
          <w:lang w:eastAsia="de-DE"/>
        </w:rPr>
        <w:t>מִקְרָא־קֹדֶשׁ יִהְיֶה לָכֶם</w:t>
      </w:r>
      <w:r w:rsidRPr="00ED1B86">
        <w:rPr>
          <w:rFonts w:eastAsia="Times New Roman" w:cs="Times New Roman"/>
          <w:rtl/>
          <w:lang w:eastAsia="de-DE"/>
        </w:rPr>
        <w:t xml:space="preserve"> </w:t>
      </w:r>
      <w:r w:rsidRPr="00ED1B86">
        <w:rPr>
          <w:rFonts w:eastAsia="Times New Roman" w:cs="Times New Roman"/>
          <w:lang w:eastAsia="de-DE"/>
        </w:rPr>
        <w:t xml:space="preserve">ist die Charakterisierung (wie in 28,26). </w:t>
      </w:r>
      <w:r w:rsidRPr="00ED1B86">
        <w:rPr>
          <w:rFonts w:eastAsia="Times New Roman" w:cs="Times New Roman"/>
          <w:b/>
          <w:bCs/>
          <w:rtl/>
          <w:lang w:eastAsia="de-DE"/>
        </w:rPr>
        <w:t>מִקְרָא־קֹדֶשׁ</w:t>
      </w:r>
      <w:r w:rsidRPr="00ED1B86">
        <w:rPr>
          <w:rFonts w:eastAsia="Times New Roman" w:cs="Times New Roman"/>
          <w:rtl/>
          <w:lang w:eastAsia="de-DE"/>
        </w:rPr>
        <w:t xml:space="preserve"> </w:t>
      </w:r>
      <w:r w:rsidRPr="00ED1B86">
        <w:rPr>
          <w:rFonts w:eastAsia="Times New Roman" w:cs="Times New Roman"/>
          <w:lang w:eastAsia="de-DE"/>
        </w:rPr>
        <w:t xml:space="preserve">(Genitivverbindung „heilige Einberufung"), </w:t>
      </w:r>
      <w:r w:rsidRPr="00ED1B86">
        <w:rPr>
          <w:rFonts w:eastAsia="Times New Roman" w:cs="Times New Roman"/>
          <w:b/>
          <w:bCs/>
          <w:rtl/>
          <w:lang w:eastAsia="de-DE"/>
        </w:rPr>
        <w:t>יִהְיֶה לָכֶם</w:t>
      </w:r>
      <w:r w:rsidRPr="00ED1B86">
        <w:rPr>
          <w:rFonts w:eastAsia="Times New Roman" w:cs="Times New Roman"/>
          <w:rtl/>
          <w:lang w:eastAsia="de-DE"/>
        </w:rPr>
        <w:t xml:space="preserve"> </w:t>
      </w:r>
      <w:r w:rsidRPr="00ED1B86">
        <w:rPr>
          <w:rFonts w:eastAsia="Times New Roman" w:cs="Times New Roman"/>
          <w:lang w:eastAsia="de-DE"/>
        </w:rPr>
        <w:t xml:space="preserve">(Qal Imperfekt 3. Person maskulin Singular von </w:t>
      </w:r>
      <w:r w:rsidRPr="00ED1B86">
        <w:rPr>
          <w:rFonts w:eastAsia="Times New Roman" w:cs="Times New Roman"/>
          <w:b/>
          <w:bCs/>
          <w:rtl/>
          <w:lang w:eastAsia="de-DE"/>
        </w:rPr>
        <w:t>היה</w:t>
      </w:r>
      <w:r w:rsidRPr="00ED1B86">
        <w:rPr>
          <w:rFonts w:eastAsia="Times New Roman" w:cs="Times New Roman"/>
          <w:rtl/>
          <w:lang w:eastAsia="de-DE"/>
        </w:rPr>
        <w:t xml:space="preserve"> </w:t>
      </w:r>
      <w:r w:rsidRPr="00ED1B86">
        <w:rPr>
          <w:rFonts w:eastAsia="Times New Roman" w:cs="Times New Roman"/>
          <w:lang w:eastAsia="de-DE"/>
        </w:rPr>
        <w:t xml:space="preserve">mit Präposition und Suffix „soll für euch sein"). </w:t>
      </w:r>
      <w:r w:rsidRPr="00ED1B86">
        <w:rPr>
          <w:rFonts w:eastAsia="Times New Roman" w:cs="Times New Roman"/>
          <w:b/>
          <w:bCs/>
          <w:rtl/>
          <w:lang w:eastAsia="de-DE"/>
        </w:rPr>
        <w:t>כָּל־מְלֶאכֶת עֲבֹדָה לֹא תַעֲשׂוּ</w:t>
      </w:r>
      <w:r w:rsidRPr="00ED1B86">
        <w:rPr>
          <w:rFonts w:eastAsia="Times New Roman" w:cs="Times New Roman"/>
          <w:rtl/>
          <w:lang w:eastAsia="de-DE"/>
        </w:rPr>
        <w:t xml:space="preserve"> </w:t>
      </w:r>
      <w:r w:rsidRPr="00ED1B86">
        <w:rPr>
          <w:rFonts w:eastAsia="Times New Roman" w:cs="Times New Roman"/>
          <w:lang w:eastAsia="de-DE"/>
        </w:rPr>
        <w:t>ist das Arbeitsverbot (identisch mit 28,26).</w:t>
      </w:r>
    </w:p>
    <w:p w14:paraId="3A19FD40"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rtl/>
          <w:lang w:eastAsia="de-DE"/>
        </w:rPr>
        <w:t>יוֹם תְּרוּעָה יִהְיֶה לָכֶם</w:t>
      </w:r>
      <w:r w:rsidRPr="00ED1B86">
        <w:rPr>
          <w:rFonts w:eastAsia="Times New Roman" w:cs="Times New Roman"/>
          <w:rtl/>
          <w:lang w:eastAsia="de-DE"/>
        </w:rPr>
        <w:t xml:space="preserve"> </w:t>
      </w:r>
      <w:r w:rsidRPr="00ED1B86">
        <w:rPr>
          <w:rFonts w:eastAsia="Times New Roman" w:cs="Times New Roman"/>
          <w:lang w:eastAsia="de-DE"/>
        </w:rPr>
        <w:t xml:space="preserve">gibt die besondere Bezeichnung. </w:t>
      </w:r>
      <w:r w:rsidRPr="00ED1B86">
        <w:rPr>
          <w:rFonts w:eastAsia="Times New Roman" w:cs="Times New Roman"/>
          <w:b/>
          <w:bCs/>
          <w:rtl/>
          <w:lang w:eastAsia="de-DE"/>
        </w:rPr>
        <w:t>יוֹם תְּרוּעָה</w:t>
      </w:r>
      <w:r w:rsidRPr="00ED1B86">
        <w:rPr>
          <w:rFonts w:eastAsia="Times New Roman" w:cs="Times New Roman"/>
          <w:rtl/>
          <w:lang w:eastAsia="de-DE"/>
        </w:rPr>
        <w:t xml:space="preserve"> </w:t>
      </w:r>
      <w:r w:rsidRPr="00ED1B86">
        <w:rPr>
          <w:rFonts w:eastAsia="Times New Roman" w:cs="Times New Roman"/>
          <w:lang w:eastAsia="de-DE"/>
        </w:rPr>
        <w:t xml:space="preserve">(Genitivverbindung: </w:t>
      </w:r>
      <w:r w:rsidRPr="00ED1B86">
        <w:rPr>
          <w:rFonts w:eastAsia="Times New Roman" w:cs="Times New Roman"/>
          <w:b/>
          <w:bCs/>
          <w:rtl/>
          <w:lang w:eastAsia="de-DE"/>
        </w:rPr>
        <w:t>יוֹם</w:t>
      </w:r>
      <w:r w:rsidRPr="00ED1B86">
        <w:rPr>
          <w:rFonts w:eastAsia="Times New Roman" w:cs="Times New Roman"/>
          <w:rtl/>
          <w:lang w:eastAsia="de-DE"/>
        </w:rPr>
        <w:t xml:space="preserve"> </w:t>
      </w:r>
      <w:r w:rsidRPr="00ED1B86">
        <w:rPr>
          <w:rFonts w:eastAsia="Times New Roman" w:cs="Times New Roman"/>
          <w:lang w:eastAsia="de-DE"/>
        </w:rPr>
        <w:t xml:space="preserve">„Tag" mit </w:t>
      </w:r>
      <w:r w:rsidRPr="00ED1B86">
        <w:rPr>
          <w:rFonts w:eastAsia="Times New Roman" w:cs="Times New Roman"/>
          <w:b/>
          <w:bCs/>
          <w:rtl/>
          <w:lang w:eastAsia="de-DE"/>
        </w:rPr>
        <w:t>תְּרוּעָה</w:t>
      </w:r>
      <w:r w:rsidRPr="00ED1B86">
        <w:rPr>
          <w:rFonts w:eastAsia="Times New Roman" w:cs="Times New Roman"/>
          <w:rtl/>
          <w:lang w:eastAsia="de-DE"/>
        </w:rPr>
        <w:t xml:space="preserve"> </w:t>
      </w:r>
      <w:r w:rsidRPr="00ED1B86">
        <w:rPr>
          <w:rFonts w:eastAsia="Times New Roman" w:cs="Times New Roman"/>
          <w:lang w:eastAsia="de-DE"/>
        </w:rPr>
        <w:t xml:space="preserve">„Lärmblasen, Trompetenschall, Jubel" „Tag des Lärmblasens"), </w:t>
      </w:r>
      <w:r w:rsidRPr="00ED1B86">
        <w:rPr>
          <w:rFonts w:eastAsia="Times New Roman" w:cs="Times New Roman"/>
          <w:b/>
          <w:bCs/>
          <w:rtl/>
          <w:lang w:eastAsia="de-DE"/>
        </w:rPr>
        <w:t>יִהְיֶה לָכֶם</w:t>
      </w:r>
      <w:r w:rsidRPr="00ED1B86">
        <w:rPr>
          <w:rFonts w:eastAsia="Times New Roman" w:cs="Times New Roman"/>
          <w:rtl/>
          <w:lang w:eastAsia="de-DE"/>
        </w:rPr>
        <w:t xml:space="preserve"> </w:t>
      </w:r>
      <w:r w:rsidRPr="00ED1B86">
        <w:rPr>
          <w:rFonts w:eastAsia="Times New Roman" w:cs="Times New Roman"/>
          <w:lang w:eastAsia="de-DE"/>
        </w:rPr>
        <w:t xml:space="preserve">wiederholt die Formel. Das Wort </w:t>
      </w:r>
      <w:r w:rsidRPr="00ED1B86">
        <w:rPr>
          <w:rFonts w:eastAsia="Times New Roman" w:cs="Times New Roman"/>
          <w:b/>
          <w:bCs/>
          <w:rtl/>
          <w:lang w:eastAsia="de-DE"/>
        </w:rPr>
        <w:t>תְּרוּעָה</w:t>
      </w:r>
      <w:r w:rsidRPr="00ED1B86">
        <w:rPr>
          <w:rFonts w:eastAsia="Times New Roman" w:cs="Times New Roman"/>
          <w:rtl/>
          <w:lang w:eastAsia="de-DE"/>
        </w:rPr>
        <w:t xml:space="preserve"> </w:t>
      </w:r>
      <w:r w:rsidRPr="00ED1B86">
        <w:rPr>
          <w:rFonts w:eastAsia="Times New Roman" w:cs="Times New Roman"/>
          <w:lang w:eastAsia="de-DE"/>
        </w:rPr>
        <w:t>bezeichnet den durchdringenden Schall des Schofar (Widderhorn). Dieser Tag wird später Rosch HaSchana (Neujahr) genannt, obwohl der Text ihn hier nicht als Jahresbeginn bezeichnet.</w:t>
      </w:r>
    </w:p>
    <w:p w14:paraId="12155080" w14:textId="3CB3F08E"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Die LXX</w:t>
      </w:r>
      <w:r w:rsidRPr="00ED1B86">
        <w:rPr>
          <w:rFonts w:eastAsia="Times New Roman" w:cs="Times New Roman"/>
          <w:lang w:eastAsia="de-DE"/>
        </w:rPr>
        <w:t xml:space="preserve"> </w:t>
      </w:r>
      <w:r w:rsidR="00EA15C5">
        <w:t>übersetzt „</w:t>
      </w:r>
      <w:r w:rsidR="00EA15C5" w:rsidRPr="00EA15C5">
        <w:rPr>
          <w:b/>
          <w:bCs/>
          <w:rtl/>
        </w:rPr>
        <w:t>יוֹם תְּרוּעָה</w:t>
      </w:r>
      <w:r w:rsidR="00EA15C5">
        <w:t>" (ein Tag des Posaunenblasens) mit „ἡμέρα σημασίας" (ein Tag des Signals/der Verkündigung), was den Aspekt des Alarmschlags oder der Verkündigung betont.</w:t>
      </w:r>
    </w:p>
    <w:p w14:paraId="56BE0694"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Die Satzstruktur zeigt eine temporale Einleitung, gefolgt von zwei Nominalsätzen (heilige Einberufung, Tag des Lärmblasens) mit Arbeitsverbot dazwischen.</w:t>
      </w:r>
    </w:p>
    <w:p w14:paraId="530F51ED"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Der Vers etabliert den Neujahrstag (Rosch HaSchana) als heiligen Festtag, charakterisiert durch Schofarschall, der zum Gedenken, zur Umkehr und zur Vorbereitung auf Jom Kippur aufruft.</w:t>
      </w:r>
    </w:p>
    <w:p w14:paraId="0DC6DC19"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29,2-5</w:t>
      </w:r>
    </w:p>
    <w:p w14:paraId="20F66D3F"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[Die Verse spezifizieren das Opfer für Rosch HaSchana: ein Stier, ein Widder, sieben Lämmer mit Speiseopfern (drei Zehntel für den Stier, zwei für den Widder, je eins für jedes Lamm) plus ein Sündopfer-Ziegenbock.]</w:t>
      </w:r>
    </w:p>
    <w:p w14:paraId="28C9CC46"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29,6</w:t>
      </w:r>
    </w:p>
    <w:p w14:paraId="60AE70B8"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w:t>
      </w:r>
      <w:r w:rsidRPr="00ED1B86">
        <w:rPr>
          <w:rFonts w:eastAsia="Times New Roman" w:cs="Times New Roman"/>
          <w:rtl/>
          <w:lang w:eastAsia="de-DE"/>
        </w:rPr>
        <w:t>מִלְּבַד֩ עֹלַ֨ת הַחֹ֜דֶשׁ וּמִנְחָתָ֗הּ וְעֹלַ֤ת הַתָּמִיד֙ וּמִנְחָתָ֔הּ וְנִסְכֵּיהֶ֖ם כְּמִשְׁפָּטָ֑ם לְרֵ֣יחַ נִיחֹ֔חַ אִשֶּׁ֖ה לַיהוָֽה׃</w:t>
      </w:r>
    </w:p>
    <w:p w14:paraId="1F273423"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Deutsch:</w:t>
      </w:r>
      <w:r w:rsidRPr="00ED1B86">
        <w:rPr>
          <w:rFonts w:eastAsia="Times New Roman" w:cs="Times New Roman"/>
          <w:lang w:eastAsia="de-DE"/>
        </w:rPr>
        <w:t xml:space="preserve"> außer dem Aufsteigeopfer des Neumondes und seinem Speiseopfer und dem beständigen Aufsteigeopfer und seinem Speiseopfer und ihren Trankopfern, nach ihrer Vorschrift, zum wohlgefälligen Geruch, ein Feueropfer dem Ewigen.</w:t>
      </w:r>
    </w:p>
    <w:p w14:paraId="3E07EEC4" w14:textId="77777777" w:rsidR="00ED1B86" w:rsidRPr="00ED1B86" w:rsidRDefault="00F329DD" w:rsidP="00ED1B86">
      <w:pPr>
        <w:spacing w:after="0" w:line="240" w:lineRule="auto"/>
        <w:rPr>
          <w:rFonts w:eastAsia="Times New Roman" w:cs="Times New Roman"/>
          <w:lang w:eastAsia="de-DE"/>
        </w:rPr>
      </w:pPr>
      <w:r>
        <w:rPr>
          <w:rFonts w:eastAsia="Times New Roman" w:cs="Times New Roman"/>
          <w:noProof/>
          <w:lang w:eastAsia="de-DE"/>
        </w:rPr>
        <w:lastRenderedPageBreak/>
        <w:pict w14:anchorId="60DE7F69">
          <v:rect id="_x0000_i1921" style="width:0;height:1.5pt" o:hralign="center" o:hrstd="t" o:hr="t" fillcolor="#a0a0a0" stroked="f"/>
        </w:pict>
      </w:r>
    </w:p>
    <w:p w14:paraId="515FBD0E" w14:textId="1D36E1EE"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Kommentar:</w:t>
      </w:r>
      <w:r w:rsidRPr="00ED1B86">
        <w:rPr>
          <w:rFonts w:eastAsia="Times New Roman" w:cs="Times New Roman"/>
          <w:lang w:eastAsia="de-DE"/>
        </w:rPr>
        <w:t xml:space="preserve"> Der Vers klärt die Kumulation der Opfer. </w:t>
      </w:r>
      <w:r w:rsidRPr="00ED1B86">
        <w:rPr>
          <w:rFonts w:eastAsia="Times New Roman" w:cs="Times New Roman"/>
          <w:b/>
          <w:bCs/>
          <w:rtl/>
          <w:lang w:eastAsia="de-DE"/>
        </w:rPr>
        <w:t>מִלְּבַד עֹלַת הַחֹדֶשׁ וּמִנְחָתָהּ</w:t>
      </w:r>
      <w:r w:rsidRPr="00ED1B86">
        <w:rPr>
          <w:rFonts w:eastAsia="Times New Roman" w:cs="Times New Roman"/>
          <w:rtl/>
          <w:lang w:eastAsia="de-DE"/>
        </w:rPr>
        <w:t xml:space="preserve"> </w:t>
      </w:r>
      <w:r w:rsidRPr="00ED1B86">
        <w:rPr>
          <w:rFonts w:eastAsia="Times New Roman" w:cs="Times New Roman"/>
          <w:lang w:eastAsia="de-DE"/>
        </w:rPr>
        <w:t xml:space="preserve">zeigt die erste Zusätzlichkeit. </w:t>
      </w:r>
      <w:r w:rsidRPr="00ED1B86">
        <w:rPr>
          <w:rFonts w:eastAsia="Times New Roman" w:cs="Times New Roman"/>
          <w:b/>
          <w:bCs/>
          <w:rtl/>
          <w:lang w:eastAsia="de-DE"/>
        </w:rPr>
        <w:t>מִלְּבַד</w:t>
      </w:r>
      <w:r w:rsidRPr="00ED1B86">
        <w:rPr>
          <w:rFonts w:eastAsia="Times New Roman" w:cs="Times New Roman"/>
          <w:rtl/>
          <w:lang w:eastAsia="de-DE"/>
        </w:rPr>
        <w:t xml:space="preserve"> </w:t>
      </w:r>
      <w:r w:rsidRPr="00ED1B86">
        <w:rPr>
          <w:rFonts w:eastAsia="Times New Roman" w:cs="Times New Roman"/>
          <w:lang w:eastAsia="de-DE"/>
        </w:rPr>
        <w:t xml:space="preserve">(Präposition „außer, zusätzlich zu"), </w:t>
      </w:r>
      <w:r w:rsidRPr="00ED1B86">
        <w:rPr>
          <w:rFonts w:eastAsia="Times New Roman" w:cs="Times New Roman"/>
          <w:b/>
          <w:bCs/>
          <w:rtl/>
          <w:lang w:eastAsia="de-DE"/>
        </w:rPr>
        <w:t>עֹלַת הַחֹדֶשׁ</w:t>
      </w:r>
      <w:r w:rsidRPr="00ED1B86">
        <w:rPr>
          <w:rFonts w:eastAsia="Times New Roman" w:cs="Times New Roman"/>
          <w:rtl/>
          <w:lang w:eastAsia="de-DE"/>
        </w:rPr>
        <w:t xml:space="preserve"> </w:t>
      </w:r>
      <w:r w:rsidRPr="00ED1B86">
        <w:rPr>
          <w:rFonts w:eastAsia="Times New Roman" w:cs="Times New Roman"/>
          <w:lang w:eastAsia="de-DE"/>
        </w:rPr>
        <w:t>(Genitivverbindung „das Neumond-</w:t>
      </w:r>
      <w:r w:rsidR="00593666">
        <w:rPr>
          <w:rFonts w:eastAsia="Times New Roman" w:cs="Times New Roman"/>
          <w:lang w:eastAsia="de-DE"/>
        </w:rPr>
        <w:t>Aufsteigeopfer</w:t>
      </w:r>
      <w:r w:rsidRPr="00ED1B86">
        <w:rPr>
          <w:rFonts w:eastAsia="Times New Roman" w:cs="Times New Roman"/>
          <w:lang w:eastAsia="de-DE"/>
        </w:rPr>
        <w:t xml:space="preserve">" mit Artikel), </w:t>
      </w:r>
      <w:r w:rsidRPr="00ED1B86">
        <w:rPr>
          <w:rFonts w:eastAsia="Times New Roman" w:cs="Times New Roman"/>
          <w:b/>
          <w:bCs/>
          <w:rtl/>
          <w:lang w:eastAsia="de-DE"/>
        </w:rPr>
        <w:t>וּמִנְחָתָהּ</w:t>
      </w:r>
      <w:r w:rsidRPr="00ED1B86">
        <w:rPr>
          <w:rFonts w:eastAsia="Times New Roman" w:cs="Times New Roman"/>
          <w:rtl/>
          <w:lang w:eastAsia="de-DE"/>
        </w:rPr>
        <w:t xml:space="preserve"> </w:t>
      </w:r>
      <w:r w:rsidRPr="00ED1B86">
        <w:rPr>
          <w:rFonts w:eastAsia="Times New Roman" w:cs="Times New Roman"/>
          <w:lang w:eastAsia="de-DE"/>
        </w:rPr>
        <w:t xml:space="preserve">(Konjunktion mit </w:t>
      </w:r>
      <w:r w:rsidRPr="00ED1B86">
        <w:rPr>
          <w:rFonts w:eastAsia="Times New Roman" w:cs="Times New Roman"/>
          <w:b/>
          <w:bCs/>
          <w:rtl/>
          <w:lang w:eastAsia="de-DE"/>
        </w:rPr>
        <w:t>מִנְחָה</w:t>
      </w:r>
      <w:r w:rsidRPr="00ED1B86">
        <w:rPr>
          <w:rFonts w:eastAsia="Times New Roman" w:cs="Times New Roman"/>
          <w:rtl/>
          <w:lang w:eastAsia="de-DE"/>
        </w:rPr>
        <w:t xml:space="preserve"> </w:t>
      </w:r>
      <w:r w:rsidRPr="00ED1B86">
        <w:rPr>
          <w:rFonts w:eastAsia="Times New Roman" w:cs="Times New Roman"/>
          <w:lang w:eastAsia="de-DE"/>
        </w:rPr>
        <w:t>„Speiseopfer" und feminin Singular Suffix „und sein Speiseopfer"). Das Rosch-HaSchana-Opfer kommt zum regulären Neumondopfer (28,11-15) hinzu.</w:t>
      </w:r>
    </w:p>
    <w:p w14:paraId="60E4927B" w14:textId="7D68137C"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rtl/>
          <w:lang w:eastAsia="de-DE"/>
        </w:rPr>
        <w:t>וְעֹלַת הַתָּמִיד וּמִנְחָתָהּ וְנִסְכֵּיהֶם כְּמִשְׁפָּטָם</w:t>
      </w:r>
      <w:r w:rsidRPr="00ED1B86">
        <w:rPr>
          <w:rFonts w:eastAsia="Times New Roman" w:cs="Times New Roman"/>
          <w:rtl/>
          <w:lang w:eastAsia="de-DE"/>
        </w:rPr>
        <w:t xml:space="preserve"> </w:t>
      </w:r>
      <w:r w:rsidRPr="00ED1B86">
        <w:rPr>
          <w:rFonts w:eastAsia="Times New Roman" w:cs="Times New Roman"/>
          <w:lang w:eastAsia="de-DE"/>
        </w:rPr>
        <w:t xml:space="preserve">fügt das tägliche Opfer hinzu. </w:t>
      </w:r>
      <w:r w:rsidRPr="00ED1B86">
        <w:rPr>
          <w:rFonts w:eastAsia="Times New Roman" w:cs="Times New Roman"/>
          <w:b/>
          <w:bCs/>
          <w:rtl/>
          <w:lang w:eastAsia="de-DE"/>
        </w:rPr>
        <w:t>עֹלַת הַתָּמִיד</w:t>
      </w:r>
      <w:r w:rsidRPr="00ED1B86">
        <w:rPr>
          <w:rFonts w:eastAsia="Times New Roman" w:cs="Times New Roman"/>
          <w:rtl/>
          <w:lang w:eastAsia="de-DE"/>
        </w:rPr>
        <w:t xml:space="preserve"> </w:t>
      </w:r>
      <w:r w:rsidRPr="00ED1B86">
        <w:rPr>
          <w:rFonts w:eastAsia="Times New Roman" w:cs="Times New Roman"/>
          <w:lang w:eastAsia="de-DE"/>
        </w:rPr>
        <w:t xml:space="preserve">(„das beständige </w:t>
      </w:r>
      <w:r w:rsidR="00593666">
        <w:rPr>
          <w:rFonts w:eastAsia="Times New Roman" w:cs="Times New Roman"/>
          <w:lang w:eastAsia="de-DE"/>
        </w:rPr>
        <w:t>Aufsteigeopfer</w:t>
      </w:r>
      <w:r w:rsidRPr="00ED1B86">
        <w:rPr>
          <w:rFonts w:eastAsia="Times New Roman" w:cs="Times New Roman"/>
          <w:lang w:eastAsia="de-DE"/>
        </w:rPr>
        <w:t xml:space="preserve">"), </w:t>
      </w:r>
      <w:r w:rsidRPr="00ED1B86">
        <w:rPr>
          <w:rFonts w:eastAsia="Times New Roman" w:cs="Times New Roman"/>
          <w:b/>
          <w:bCs/>
          <w:rtl/>
          <w:lang w:eastAsia="de-DE"/>
        </w:rPr>
        <w:t>וּמִנְחָתָהּ</w:t>
      </w:r>
      <w:r w:rsidRPr="00ED1B86">
        <w:rPr>
          <w:rFonts w:eastAsia="Times New Roman" w:cs="Times New Roman"/>
          <w:rtl/>
          <w:lang w:eastAsia="de-DE"/>
        </w:rPr>
        <w:t xml:space="preserve"> </w:t>
      </w:r>
      <w:r w:rsidRPr="00ED1B86">
        <w:rPr>
          <w:rFonts w:eastAsia="Times New Roman" w:cs="Times New Roman"/>
          <w:lang w:eastAsia="de-DE"/>
        </w:rPr>
        <w:t xml:space="preserve">(„und sein Speiseopfer"), </w:t>
      </w:r>
      <w:r w:rsidRPr="00ED1B86">
        <w:rPr>
          <w:rFonts w:eastAsia="Times New Roman" w:cs="Times New Roman"/>
          <w:b/>
          <w:bCs/>
          <w:rtl/>
          <w:lang w:eastAsia="de-DE"/>
        </w:rPr>
        <w:t>וְנִסְכֵּיהֶם</w:t>
      </w:r>
      <w:r w:rsidRPr="00ED1B86">
        <w:rPr>
          <w:rFonts w:eastAsia="Times New Roman" w:cs="Times New Roman"/>
          <w:rtl/>
          <w:lang w:eastAsia="de-DE"/>
        </w:rPr>
        <w:t xml:space="preserve"> </w:t>
      </w:r>
      <w:r w:rsidRPr="00ED1B86">
        <w:rPr>
          <w:rFonts w:eastAsia="Times New Roman" w:cs="Times New Roman"/>
          <w:lang w:eastAsia="de-DE"/>
        </w:rPr>
        <w:t xml:space="preserve">(Konjunktion mit Plural von </w:t>
      </w:r>
      <w:r w:rsidRPr="00ED1B86">
        <w:rPr>
          <w:rFonts w:eastAsia="Times New Roman" w:cs="Times New Roman"/>
          <w:b/>
          <w:bCs/>
          <w:rtl/>
          <w:lang w:eastAsia="de-DE"/>
        </w:rPr>
        <w:t>נֶסֶךְ</w:t>
      </w:r>
      <w:r w:rsidRPr="00ED1B86">
        <w:rPr>
          <w:rFonts w:eastAsia="Times New Roman" w:cs="Times New Roman"/>
          <w:rtl/>
          <w:lang w:eastAsia="de-DE"/>
        </w:rPr>
        <w:t xml:space="preserve"> </w:t>
      </w:r>
      <w:r w:rsidRPr="00ED1B86">
        <w:rPr>
          <w:rFonts w:eastAsia="Times New Roman" w:cs="Times New Roman"/>
          <w:lang w:eastAsia="de-DE"/>
        </w:rPr>
        <w:t xml:space="preserve">„Trankopfer" und Suffix 3. Person maskulin Plural „und ihre Trankopfer"), </w:t>
      </w:r>
      <w:r w:rsidRPr="00ED1B86">
        <w:rPr>
          <w:rFonts w:eastAsia="Times New Roman" w:cs="Times New Roman"/>
          <w:b/>
          <w:bCs/>
          <w:rtl/>
          <w:lang w:eastAsia="de-DE"/>
        </w:rPr>
        <w:t>כְּמִשְׁפָּטָם</w:t>
      </w:r>
      <w:r w:rsidRPr="00ED1B86">
        <w:rPr>
          <w:rFonts w:eastAsia="Times New Roman" w:cs="Times New Roman"/>
          <w:rtl/>
          <w:lang w:eastAsia="de-DE"/>
        </w:rPr>
        <w:t xml:space="preserve"> </w:t>
      </w:r>
      <w:r w:rsidRPr="00ED1B86">
        <w:rPr>
          <w:rFonts w:eastAsia="Times New Roman" w:cs="Times New Roman"/>
          <w:lang w:eastAsia="de-DE"/>
        </w:rPr>
        <w:t xml:space="preserve">(Präposition </w:t>
      </w:r>
      <w:r w:rsidRPr="00ED1B86">
        <w:rPr>
          <w:rFonts w:eastAsia="Times New Roman" w:cs="Times New Roman"/>
          <w:b/>
          <w:bCs/>
          <w:rtl/>
          <w:lang w:eastAsia="de-DE"/>
        </w:rPr>
        <w:t>כְּ</w:t>
      </w:r>
      <w:r w:rsidRPr="00ED1B86">
        <w:rPr>
          <w:rFonts w:eastAsia="Times New Roman" w:cs="Times New Roman"/>
          <w:rtl/>
          <w:lang w:eastAsia="de-DE"/>
        </w:rPr>
        <w:t xml:space="preserve"> </w:t>
      </w:r>
      <w:r w:rsidRPr="00ED1B86">
        <w:rPr>
          <w:rFonts w:eastAsia="Times New Roman" w:cs="Times New Roman"/>
          <w:lang w:eastAsia="de-DE"/>
        </w:rPr>
        <w:t xml:space="preserve">„gemäß" mit </w:t>
      </w:r>
      <w:r w:rsidRPr="00ED1B86">
        <w:rPr>
          <w:rFonts w:eastAsia="Times New Roman" w:cs="Times New Roman"/>
          <w:b/>
          <w:bCs/>
          <w:rtl/>
          <w:lang w:eastAsia="de-DE"/>
        </w:rPr>
        <w:t>מִשְׁפָּט</w:t>
      </w:r>
      <w:r w:rsidRPr="00ED1B86">
        <w:rPr>
          <w:rFonts w:eastAsia="Times New Roman" w:cs="Times New Roman"/>
          <w:rtl/>
          <w:lang w:eastAsia="de-DE"/>
        </w:rPr>
        <w:t xml:space="preserve"> </w:t>
      </w:r>
      <w:r w:rsidRPr="00ED1B86">
        <w:rPr>
          <w:rFonts w:eastAsia="Times New Roman" w:cs="Times New Roman"/>
          <w:lang w:eastAsia="de-DE"/>
        </w:rPr>
        <w:t>„Vorschrift, Ordnung" und Suffix „gemäß ihrer Vorschrift").</w:t>
      </w:r>
    </w:p>
    <w:p w14:paraId="3BD47511"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rtl/>
          <w:lang w:eastAsia="de-DE"/>
        </w:rPr>
        <w:t>לְרֵיחַ נִיחֹחַ אִשֶּׁה לַיהוה</w:t>
      </w:r>
      <w:r w:rsidRPr="00ED1B86">
        <w:rPr>
          <w:rFonts w:eastAsia="Times New Roman" w:cs="Times New Roman"/>
          <w:rtl/>
          <w:lang w:eastAsia="de-DE"/>
        </w:rPr>
        <w:t xml:space="preserve"> </w:t>
      </w:r>
      <w:r w:rsidRPr="00ED1B86">
        <w:rPr>
          <w:rFonts w:eastAsia="Times New Roman" w:cs="Times New Roman"/>
          <w:lang w:eastAsia="de-DE"/>
        </w:rPr>
        <w:t>ist die abschließende Charakterisierung (wie zuvor).</w:t>
      </w:r>
    </w:p>
    <w:p w14:paraId="609BD4BB" w14:textId="77BA8A56"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Die LXX</w:t>
      </w:r>
      <w:r w:rsidRPr="00ED1B86">
        <w:rPr>
          <w:rFonts w:eastAsia="Times New Roman" w:cs="Times New Roman"/>
          <w:lang w:eastAsia="de-DE"/>
        </w:rPr>
        <w:t xml:space="preserve"> </w:t>
      </w:r>
      <w:r w:rsidR="00EA15C5">
        <w:t>übersetzt „</w:t>
      </w:r>
      <w:r w:rsidR="00EA15C5" w:rsidRPr="00EA15C5">
        <w:rPr>
          <w:b/>
          <w:bCs/>
          <w:rtl/>
        </w:rPr>
        <w:t>כְּמִשְׁפָּטָם</w:t>
      </w:r>
      <w:r w:rsidR="00EA15C5">
        <w:t>" (nach ihrer Ordnung) mit „κατὰ τὴν σύγκρισιν αὐτῶν" (nach ihrer Zusammensetzung/Vorschrift).</w:t>
      </w:r>
    </w:p>
    <w:p w14:paraId="553CF5AE"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Die Satzstruktur zeigt eine Kette präpositionaler Ausnahmen/Ergänzungen mit einer abschließenden Zweckbestimmung.</w:t>
      </w:r>
    </w:p>
    <w:p w14:paraId="1EA9F5B2"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Der Vers betont die Kumulation: Am ersten des siebten Monats werden drei Opfergruppen dargebracht - das spezielle Rosch-HaSchana-Opfer, das reguläre Neumondopfer und das tägliche Tamid, was die außerordentliche Heiligkeit dieses Tages unterstreicht.</w:t>
      </w:r>
    </w:p>
    <w:p w14:paraId="79436D33"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29,7</w:t>
      </w:r>
    </w:p>
    <w:p w14:paraId="2AC13EEE"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w:t>
      </w:r>
      <w:r w:rsidRPr="00ED1B86">
        <w:rPr>
          <w:rFonts w:eastAsia="Times New Roman" w:cs="Times New Roman"/>
          <w:rtl/>
          <w:lang w:eastAsia="de-DE"/>
        </w:rPr>
        <w:t>וּבֶעָשׂוֹר֩ לַחֹ֨דֶשׁ הַשְּׁבִיעִ֜י הַזֶּ֗ה מִֽקְרָא־קֹ֨דֶשׁ֙ יִהְיֶ֣ה לָכֶ֔ם וְעִנִּיתֶ֖ם אֶת־נַפְשֹׁתֵיכֶ֑ם כָּל־מְלָאכָ֖ה לֹ֥א תַעֲשֽׂוּ׃</w:t>
      </w:r>
    </w:p>
    <w:p w14:paraId="5297FE9C"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Deutsch:</w:t>
      </w:r>
      <w:r w:rsidRPr="00ED1B86">
        <w:rPr>
          <w:rFonts w:eastAsia="Times New Roman" w:cs="Times New Roman"/>
          <w:lang w:eastAsia="de-DE"/>
        </w:rPr>
        <w:t xml:space="preserve"> Und am Zehnten dieses siebten Monats soll euch eine heilige Einberufung sein, und ihr sollt eure Seelen kasteien; keinerlei Arbeit sollt ihr tun.</w:t>
      </w:r>
    </w:p>
    <w:p w14:paraId="2C0F91D2" w14:textId="77777777" w:rsidR="00ED1B86" w:rsidRPr="00ED1B86" w:rsidRDefault="00F329DD" w:rsidP="00ED1B86">
      <w:pPr>
        <w:spacing w:after="0" w:line="240" w:lineRule="auto"/>
        <w:rPr>
          <w:rFonts w:eastAsia="Times New Roman" w:cs="Times New Roman"/>
          <w:lang w:eastAsia="de-DE"/>
        </w:rPr>
      </w:pPr>
      <w:r>
        <w:rPr>
          <w:rFonts w:eastAsia="Times New Roman" w:cs="Times New Roman"/>
          <w:noProof/>
          <w:lang w:eastAsia="de-DE"/>
        </w:rPr>
        <w:pict w14:anchorId="52CAC652">
          <v:rect id="_x0000_i1922" style="width:0;height:1.5pt" o:hralign="center" o:hrstd="t" o:hr="t" fillcolor="#a0a0a0" stroked="f"/>
        </w:pict>
      </w:r>
    </w:p>
    <w:p w14:paraId="6C59F563"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Kommentar:</w:t>
      </w:r>
      <w:r w:rsidRPr="00ED1B86">
        <w:rPr>
          <w:rFonts w:eastAsia="Times New Roman" w:cs="Times New Roman"/>
          <w:lang w:eastAsia="de-DE"/>
        </w:rPr>
        <w:t xml:space="preserve"> Der Vers beschreibt Jom Kippur, den Versöhnungstag. </w:t>
      </w:r>
      <w:r w:rsidRPr="00ED1B86">
        <w:rPr>
          <w:rFonts w:eastAsia="Times New Roman" w:cs="Times New Roman"/>
          <w:b/>
          <w:bCs/>
          <w:rtl/>
          <w:lang w:eastAsia="de-DE"/>
        </w:rPr>
        <w:t>וּבֶעָשׂוֹר לַחֹדֶשׁ הַשְּׁבִיעִי הַזֶּה</w:t>
      </w:r>
      <w:r w:rsidRPr="00ED1B86">
        <w:rPr>
          <w:rFonts w:eastAsia="Times New Roman" w:cs="Times New Roman"/>
          <w:rtl/>
          <w:lang w:eastAsia="de-DE"/>
        </w:rPr>
        <w:t xml:space="preserve"> </w:t>
      </w:r>
      <w:r w:rsidRPr="00ED1B86">
        <w:rPr>
          <w:rFonts w:eastAsia="Times New Roman" w:cs="Times New Roman"/>
          <w:lang w:eastAsia="de-DE"/>
        </w:rPr>
        <w:t xml:space="preserve">ist die temporale Einleitung. </w:t>
      </w:r>
      <w:r w:rsidRPr="00ED1B86">
        <w:rPr>
          <w:rFonts w:eastAsia="Times New Roman" w:cs="Times New Roman"/>
          <w:b/>
          <w:bCs/>
          <w:rtl/>
          <w:lang w:eastAsia="de-DE"/>
        </w:rPr>
        <w:t>וּבֶעָשׂוֹר</w:t>
      </w:r>
      <w:r w:rsidRPr="00ED1B86">
        <w:rPr>
          <w:rFonts w:eastAsia="Times New Roman" w:cs="Times New Roman"/>
          <w:rtl/>
          <w:lang w:eastAsia="de-DE"/>
        </w:rPr>
        <w:t xml:space="preserve"> </w:t>
      </w:r>
      <w:r w:rsidRPr="00ED1B86">
        <w:rPr>
          <w:rFonts w:eastAsia="Times New Roman" w:cs="Times New Roman"/>
          <w:lang w:eastAsia="de-DE"/>
        </w:rPr>
        <w:t xml:space="preserve">(Konjunktion mit Präposition </w:t>
      </w:r>
      <w:r w:rsidRPr="00ED1B86">
        <w:rPr>
          <w:rFonts w:eastAsia="Times New Roman" w:cs="Times New Roman"/>
          <w:b/>
          <w:bCs/>
          <w:rtl/>
          <w:lang w:eastAsia="de-DE"/>
        </w:rPr>
        <w:t>בְ</w:t>
      </w:r>
      <w:r w:rsidRPr="00ED1B86">
        <w:rPr>
          <w:rFonts w:eastAsia="Times New Roman" w:cs="Times New Roman"/>
          <w:rtl/>
          <w:lang w:eastAsia="de-DE"/>
        </w:rPr>
        <w:t xml:space="preserve"> </w:t>
      </w:r>
      <w:r w:rsidRPr="00ED1B86">
        <w:rPr>
          <w:rFonts w:eastAsia="Times New Roman" w:cs="Times New Roman"/>
          <w:lang w:eastAsia="de-DE"/>
        </w:rPr>
        <w:t xml:space="preserve">und </w:t>
      </w:r>
      <w:r w:rsidRPr="00ED1B86">
        <w:rPr>
          <w:rFonts w:eastAsia="Times New Roman" w:cs="Times New Roman"/>
          <w:b/>
          <w:bCs/>
          <w:rtl/>
          <w:lang w:eastAsia="de-DE"/>
        </w:rPr>
        <w:t>עָשׂוֹר</w:t>
      </w:r>
      <w:r w:rsidRPr="00ED1B86">
        <w:rPr>
          <w:rFonts w:eastAsia="Times New Roman" w:cs="Times New Roman"/>
          <w:rtl/>
          <w:lang w:eastAsia="de-DE"/>
        </w:rPr>
        <w:t xml:space="preserve"> </w:t>
      </w:r>
      <w:r w:rsidRPr="00ED1B86">
        <w:rPr>
          <w:rFonts w:eastAsia="Times New Roman" w:cs="Times New Roman"/>
          <w:lang w:eastAsia="de-DE"/>
        </w:rPr>
        <w:t xml:space="preserve">„Zehnter, der Zehnte"), </w:t>
      </w:r>
      <w:r w:rsidRPr="00ED1B86">
        <w:rPr>
          <w:rFonts w:eastAsia="Times New Roman" w:cs="Times New Roman"/>
          <w:b/>
          <w:bCs/>
          <w:rtl/>
          <w:lang w:eastAsia="de-DE"/>
        </w:rPr>
        <w:t>לַחֹדֶשׁ הַשְּׁבִיעִי הַזֶּה</w:t>
      </w:r>
      <w:r w:rsidRPr="00ED1B86">
        <w:rPr>
          <w:rFonts w:eastAsia="Times New Roman" w:cs="Times New Roman"/>
          <w:rtl/>
          <w:lang w:eastAsia="de-DE"/>
        </w:rPr>
        <w:t xml:space="preserve"> </w:t>
      </w:r>
      <w:r w:rsidRPr="00ED1B86">
        <w:rPr>
          <w:rFonts w:eastAsia="Times New Roman" w:cs="Times New Roman"/>
          <w:lang w:eastAsia="de-DE"/>
        </w:rPr>
        <w:t xml:space="preserve">(Präposition mit </w:t>
      </w:r>
      <w:r w:rsidRPr="00ED1B86">
        <w:rPr>
          <w:rFonts w:eastAsia="Times New Roman" w:cs="Times New Roman"/>
          <w:b/>
          <w:bCs/>
          <w:rtl/>
          <w:lang w:eastAsia="de-DE"/>
        </w:rPr>
        <w:t>חֹדֶשׁ</w:t>
      </w:r>
      <w:r w:rsidRPr="00ED1B86">
        <w:rPr>
          <w:rFonts w:eastAsia="Times New Roman" w:cs="Times New Roman"/>
          <w:rtl/>
          <w:lang w:eastAsia="de-DE"/>
        </w:rPr>
        <w:t xml:space="preserve"> </w:t>
      </w:r>
      <w:r w:rsidRPr="00ED1B86">
        <w:rPr>
          <w:rFonts w:eastAsia="Times New Roman" w:cs="Times New Roman"/>
          <w:lang w:eastAsia="de-DE"/>
        </w:rPr>
        <w:t xml:space="preserve">„Monat", </w:t>
      </w:r>
      <w:r w:rsidRPr="00ED1B86">
        <w:rPr>
          <w:rFonts w:eastAsia="Times New Roman" w:cs="Times New Roman"/>
          <w:b/>
          <w:bCs/>
          <w:rtl/>
          <w:lang w:eastAsia="de-DE"/>
        </w:rPr>
        <w:t>הַשְּׁבִיעִי</w:t>
      </w:r>
      <w:r w:rsidRPr="00ED1B86">
        <w:rPr>
          <w:rFonts w:eastAsia="Times New Roman" w:cs="Times New Roman"/>
          <w:rtl/>
          <w:lang w:eastAsia="de-DE"/>
        </w:rPr>
        <w:t xml:space="preserve"> </w:t>
      </w:r>
      <w:r w:rsidRPr="00ED1B86">
        <w:rPr>
          <w:rFonts w:eastAsia="Times New Roman" w:cs="Times New Roman"/>
          <w:lang w:eastAsia="de-DE"/>
        </w:rPr>
        <w:t xml:space="preserve">„der siebte" und Demonstrativpronomen </w:t>
      </w:r>
      <w:r w:rsidRPr="00ED1B86">
        <w:rPr>
          <w:rFonts w:eastAsia="Times New Roman" w:cs="Times New Roman"/>
          <w:b/>
          <w:bCs/>
          <w:rtl/>
          <w:lang w:eastAsia="de-DE"/>
        </w:rPr>
        <w:t>הַזֶּה</w:t>
      </w:r>
      <w:r w:rsidRPr="00ED1B86">
        <w:rPr>
          <w:rFonts w:eastAsia="Times New Roman" w:cs="Times New Roman"/>
          <w:rtl/>
          <w:lang w:eastAsia="de-DE"/>
        </w:rPr>
        <w:t xml:space="preserve"> </w:t>
      </w:r>
      <w:r w:rsidRPr="00ED1B86">
        <w:rPr>
          <w:rFonts w:eastAsia="Times New Roman" w:cs="Times New Roman"/>
          <w:lang w:eastAsia="de-DE"/>
        </w:rPr>
        <w:t>„dieser" „am Zehnten dieses siebten Monats"). Der zehnte Tischri ist Jom Kippur.</w:t>
      </w:r>
    </w:p>
    <w:p w14:paraId="5227B779"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rtl/>
          <w:lang w:eastAsia="de-DE"/>
        </w:rPr>
        <w:t>מִקְרָא־קֹדֶשׁ יִהְיֶה לָכֶם</w:t>
      </w:r>
      <w:r w:rsidRPr="00ED1B86">
        <w:rPr>
          <w:rFonts w:eastAsia="Times New Roman" w:cs="Times New Roman"/>
          <w:rtl/>
          <w:lang w:eastAsia="de-DE"/>
        </w:rPr>
        <w:t xml:space="preserve"> </w:t>
      </w:r>
      <w:r w:rsidRPr="00ED1B86">
        <w:rPr>
          <w:rFonts w:eastAsia="Times New Roman" w:cs="Times New Roman"/>
          <w:lang w:eastAsia="de-DE"/>
        </w:rPr>
        <w:t xml:space="preserve">wiederholt die Formel aus V. 1. </w:t>
      </w:r>
      <w:r w:rsidRPr="00ED1B86">
        <w:rPr>
          <w:rFonts w:eastAsia="Times New Roman" w:cs="Times New Roman"/>
          <w:b/>
          <w:bCs/>
          <w:rtl/>
          <w:lang w:eastAsia="de-DE"/>
        </w:rPr>
        <w:t>וְעִנִּיתֶם אֶת־נַפְשֹׁתֵיכֶם</w:t>
      </w:r>
      <w:r w:rsidRPr="00ED1B86">
        <w:rPr>
          <w:rFonts w:eastAsia="Times New Roman" w:cs="Times New Roman"/>
          <w:rtl/>
          <w:lang w:eastAsia="de-DE"/>
        </w:rPr>
        <w:t xml:space="preserve"> </w:t>
      </w:r>
      <w:r w:rsidRPr="00ED1B86">
        <w:rPr>
          <w:rFonts w:eastAsia="Times New Roman" w:cs="Times New Roman"/>
          <w:lang w:eastAsia="de-DE"/>
        </w:rPr>
        <w:t xml:space="preserve">ist die besondere Verpflichtung. </w:t>
      </w:r>
      <w:r w:rsidRPr="00ED1B86">
        <w:rPr>
          <w:rFonts w:eastAsia="Times New Roman" w:cs="Times New Roman"/>
          <w:b/>
          <w:bCs/>
          <w:rtl/>
          <w:lang w:eastAsia="de-DE"/>
        </w:rPr>
        <w:t>וְעִנִּיתֶם</w:t>
      </w:r>
      <w:r w:rsidRPr="00ED1B86">
        <w:rPr>
          <w:rFonts w:eastAsia="Times New Roman" w:cs="Times New Roman"/>
          <w:rtl/>
          <w:lang w:eastAsia="de-DE"/>
        </w:rPr>
        <w:t xml:space="preserve"> </w:t>
      </w:r>
      <w:r w:rsidRPr="00ED1B86">
        <w:rPr>
          <w:rFonts w:eastAsia="Times New Roman" w:cs="Times New Roman"/>
          <w:lang w:eastAsia="de-DE"/>
        </w:rPr>
        <w:t xml:space="preserve">(Konjunktion mit Piel Perfekt 2. Person maskulin Plural mit Waw consecutivum von </w:t>
      </w:r>
      <w:r w:rsidRPr="00ED1B86">
        <w:rPr>
          <w:rFonts w:eastAsia="Times New Roman" w:cs="Times New Roman"/>
          <w:b/>
          <w:bCs/>
          <w:rtl/>
          <w:lang w:eastAsia="de-DE"/>
        </w:rPr>
        <w:t>ענה</w:t>
      </w:r>
      <w:r w:rsidRPr="00ED1B86">
        <w:rPr>
          <w:rFonts w:eastAsia="Times New Roman" w:cs="Times New Roman"/>
          <w:rtl/>
          <w:lang w:eastAsia="de-DE"/>
        </w:rPr>
        <w:t xml:space="preserve"> </w:t>
      </w:r>
      <w:r w:rsidRPr="00ED1B86">
        <w:rPr>
          <w:rFonts w:eastAsia="Times New Roman" w:cs="Times New Roman"/>
          <w:lang w:eastAsia="de-DE"/>
        </w:rPr>
        <w:t xml:space="preserve">„demütigen, kasteien, plagen"), </w:t>
      </w:r>
      <w:r w:rsidRPr="00ED1B86">
        <w:rPr>
          <w:rFonts w:eastAsia="Times New Roman" w:cs="Times New Roman"/>
          <w:b/>
          <w:bCs/>
          <w:rtl/>
          <w:lang w:eastAsia="de-DE"/>
        </w:rPr>
        <w:t>אֶת־נַפְשֹׁתֵיכֶם</w:t>
      </w:r>
      <w:r w:rsidRPr="00ED1B86">
        <w:rPr>
          <w:rFonts w:eastAsia="Times New Roman" w:cs="Times New Roman"/>
          <w:rtl/>
          <w:lang w:eastAsia="de-DE"/>
        </w:rPr>
        <w:t xml:space="preserve"> </w:t>
      </w:r>
      <w:r w:rsidRPr="00ED1B86">
        <w:rPr>
          <w:rFonts w:eastAsia="Times New Roman" w:cs="Times New Roman"/>
          <w:lang w:eastAsia="de-DE"/>
        </w:rPr>
        <w:t xml:space="preserve">(Akkusativpartikel mit feminin Plural von </w:t>
      </w:r>
      <w:r w:rsidRPr="00ED1B86">
        <w:rPr>
          <w:rFonts w:eastAsia="Times New Roman" w:cs="Times New Roman"/>
          <w:b/>
          <w:bCs/>
          <w:rtl/>
          <w:lang w:eastAsia="de-DE"/>
        </w:rPr>
        <w:t>נֶפֶשׁ</w:t>
      </w:r>
      <w:r w:rsidRPr="00ED1B86">
        <w:rPr>
          <w:rFonts w:eastAsia="Times New Roman" w:cs="Times New Roman"/>
          <w:rtl/>
          <w:lang w:eastAsia="de-DE"/>
        </w:rPr>
        <w:t xml:space="preserve"> </w:t>
      </w:r>
      <w:r w:rsidRPr="00ED1B86">
        <w:rPr>
          <w:rFonts w:eastAsia="Times New Roman" w:cs="Times New Roman"/>
          <w:lang w:eastAsia="de-DE"/>
        </w:rPr>
        <w:t xml:space="preserve">„Seele, Person, Leben" und Suffix 2. Person maskulin Plural „eure Seelen"). Das Piel von </w:t>
      </w:r>
      <w:r w:rsidRPr="00ED1B86">
        <w:rPr>
          <w:rFonts w:eastAsia="Times New Roman" w:cs="Times New Roman"/>
          <w:b/>
          <w:bCs/>
          <w:rtl/>
          <w:lang w:eastAsia="de-DE"/>
        </w:rPr>
        <w:t>ענה</w:t>
      </w:r>
      <w:r w:rsidRPr="00ED1B86">
        <w:rPr>
          <w:rFonts w:eastAsia="Times New Roman" w:cs="Times New Roman"/>
          <w:rtl/>
          <w:lang w:eastAsia="de-DE"/>
        </w:rPr>
        <w:t xml:space="preserve"> </w:t>
      </w:r>
      <w:r w:rsidRPr="00ED1B86">
        <w:rPr>
          <w:rFonts w:eastAsia="Times New Roman" w:cs="Times New Roman"/>
          <w:lang w:eastAsia="de-DE"/>
        </w:rPr>
        <w:t xml:space="preserve">mit </w:t>
      </w:r>
      <w:r w:rsidRPr="00ED1B86">
        <w:rPr>
          <w:rFonts w:eastAsia="Times New Roman" w:cs="Times New Roman"/>
          <w:b/>
          <w:bCs/>
          <w:rtl/>
          <w:lang w:eastAsia="de-DE"/>
        </w:rPr>
        <w:t>נֶפֶשׁ</w:t>
      </w:r>
      <w:r w:rsidRPr="00ED1B86">
        <w:rPr>
          <w:rFonts w:eastAsia="Times New Roman" w:cs="Times New Roman"/>
          <w:rtl/>
          <w:lang w:eastAsia="de-DE"/>
        </w:rPr>
        <w:t xml:space="preserve"> </w:t>
      </w:r>
      <w:r w:rsidRPr="00ED1B86">
        <w:rPr>
          <w:rFonts w:eastAsia="Times New Roman" w:cs="Times New Roman"/>
          <w:lang w:eastAsia="de-DE"/>
        </w:rPr>
        <w:t>bedeutet „fasten, sich kasteien" (vgl. Lev 16,29.31; 23,27.32). Dies ist der höchste Fastentag im jüdischen Kalender.</w:t>
      </w:r>
    </w:p>
    <w:p w14:paraId="58B674FF"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rtl/>
          <w:lang w:eastAsia="de-DE"/>
        </w:rPr>
        <w:lastRenderedPageBreak/>
        <w:t>כָּל־מְלָאכָה לֹא תַעֲשׂוּ</w:t>
      </w:r>
      <w:r w:rsidRPr="00ED1B86">
        <w:rPr>
          <w:rFonts w:eastAsia="Times New Roman" w:cs="Times New Roman"/>
          <w:rtl/>
          <w:lang w:eastAsia="de-DE"/>
        </w:rPr>
        <w:t xml:space="preserve"> </w:t>
      </w:r>
      <w:r w:rsidRPr="00ED1B86">
        <w:rPr>
          <w:rFonts w:eastAsia="Times New Roman" w:cs="Times New Roman"/>
          <w:lang w:eastAsia="de-DE"/>
        </w:rPr>
        <w:t xml:space="preserve">ist das Arbeitsverbot, hier mit </w:t>
      </w:r>
      <w:r w:rsidRPr="00ED1B86">
        <w:rPr>
          <w:rFonts w:eastAsia="Times New Roman" w:cs="Times New Roman"/>
          <w:b/>
          <w:bCs/>
          <w:rtl/>
          <w:lang w:eastAsia="de-DE"/>
        </w:rPr>
        <w:t>כָּל־מְלָאכָה</w:t>
      </w:r>
      <w:r w:rsidRPr="00ED1B86">
        <w:rPr>
          <w:rFonts w:eastAsia="Times New Roman" w:cs="Times New Roman"/>
          <w:rtl/>
          <w:lang w:eastAsia="de-DE"/>
        </w:rPr>
        <w:t xml:space="preserve"> </w:t>
      </w:r>
      <w:r w:rsidRPr="00ED1B86">
        <w:rPr>
          <w:rFonts w:eastAsia="Times New Roman" w:cs="Times New Roman"/>
          <w:lang w:eastAsia="de-DE"/>
        </w:rPr>
        <w:t xml:space="preserve">(„jegliche Arbeit") statt </w:t>
      </w:r>
      <w:r w:rsidRPr="00ED1B86">
        <w:rPr>
          <w:rFonts w:eastAsia="Times New Roman" w:cs="Times New Roman"/>
          <w:b/>
          <w:bCs/>
          <w:rtl/>
          <w:lang w:eastAsia="de-DE"/>
        </w:rPr>
        <w:t>מְלֶאכֶת עֲבֹדָה</w:t>
      </w:r>
      <w:r w:rsidRPr="00ED1B86">
        <w:rPr>
          <w:rFonts w:eastAsia="Times New Roman" w:cs="Times New Roman"/>
          <w:rtl/>
          <w:lang w:eastAsia="de-DE"/>
        </w:rPr>
        <w:t xml:space="preserve"> </w:t>
      </w:r>
      <w:r w:rsidRPr="00ED1B86">
        <w:rPr>
          <w:rFonts w:eastAsia="Times New Roman" w:cs="Times New Roman"/>
          <w:lang w:eastAsia="de-DE"/>
        </w:rPr>
        <w:t>(„Dienstarbeit"), was ein noch strengeres Verbot andeutet.</w:t>
      </w:r>
    </w:p>
    <w:p w14:paraId="6AB344E2" w14:textId="4D6EE601"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Die LXX</w:t>
      </w:r>
      <w:r w:rsidRPr="00ED1B86">
        <w:rPr>
          <w:rFonts w:eastAsia="Times New Roman" w:cs="Times New Roman"/>
          <w:lang w:eastAsia="de-DE"/>
        </w:rPr>
        <w:t xml:space="preserve"> </w:t>
      </w:r>
      <w:r w:rsidR="00EA15C5">
        <w:t>übersetzt „</w:t>
      </w:r>
      <w:r w:rsidR="00EA15C5" w:rsidRPr="00EA15C5">
        <w:rPr>
          <w:b/>
          <w:bCs/>
          <w:rtl/>
        </w:rPr>
        <w:t>וְעִנִּיתֶם</w:t>
      </w:r>
      <w:r w:rsidR="00EA15C5">
        <w:rPr>
          <w:rtl/>
        </w:rPr>
        <w:t xml:space="preserve"> </w:t>
      </w:r>
      <w:r w:rsidR="00EA15C5" w:rsidRPr="00EA15C5">
        <w:rPr>
          <w:b/>
          <w:bCs/>
          <w:rtl/>
        </w:rPr>
        <w:t>אֶת־נַפְשֹׁתֵיכֶם</w:t>
      </w:r>
      <w:r w:rsidR="00EA15C5">
        <w:t>" (und ihr sollt eure Seelen demütigen/kasteien) mit „καὶ κακώσετε τὰς ψυχὰς ὑμῶν" (und ihr sollt eure Seelen bedrängen/quälen), was einen stärkeren Ton der Selbstbedrängnis hat.</w:t>
      </w:r>
    </w:p>
    <w:p w14:paraId="7A6681AB"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Die Satzstruktur zeigt eine temporale Einleitung, einen Nominalsatz, einen Imperativ (als Perfekt mit Waw consecutivum) und ein Verbot.</w:t>
      </w:r>
    </w:p>
    <w:p w14:paraId="498968B8"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Der Vers etabliert Jom Kippur als den heiligsten Tag des Jahres, charakterisiert durch Fasten und vollständige Arbeitsruhe, ein Tag der Selbsterniedrigung und Versöhnung mit Gott.</w:t>
      </w:r>
    </w:p>
    <w:p w14:paraId="37832E64"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29,8-11</w:t>
      </w:r>
    </w:p>
    <w:p w14:paraId="3E977A1C" w14:textId="1B9D4769" w:rsid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[Die Verse spezifizieren das Opfer für Jom Kippur: ein Stier, ein Widder, sieben Lämmer mit den entsprechenden Speiseopfern plus ein Sündopfer-Ziegenbock. V. 11 betont, dass dies </w:t>
      </w:r>
      <w:r w:rsidRPr="00ED1B86">
        <w:rPr>
          <w:rFonts w:eastAsia="Times New Roman" w:cs="Times New Roman"/>
          <w:b/>
          <w:bCs/>
          <w:rtl/>
          <w:lang w:eastAsia="de-DE"/>
        </w:rPr>
        <w:t>מִלְּבַד חַטַּאת הַכִּפֻּרִים</w:t>
      </w:r>
      <w:r w:rsidRPr="00ED1B86">
        <w:rPr>
          <w:rFonts w:eastAsia="Times New Roman" w:cs="Times New Roman"/>
          <w:rtl/>
          <w:lang w:eastAsia="de-DE"/>
        </w:rPr>
        <w:t xml:space="preserve"> </w:t>
      </w:r>
      <w:r w:rsidRPr="00ED1B86">
        <w:rPr>
          <w:rFonts w:eastAsia="Times New Roman" w:cs="Times New Roman"/>
          <w:lang w:eastAsia="de-DE"/>
        </w:rPr>
        <w:t>„außer dem Sündopfer der Versöhnung" ist - eine Anspielung auf das spezielle Jom-Kippur-Ritual aus Lev 16 mit dem Sündenbock (Asasel).]</w:t>
      </w:r>
    </w:p>
    <w:p w14:paraId="7BC936DF" w14:textId="584354BD" w:rsidR="00EA15C5" w:rsidRDefault="00EA15C5" w:rsidP="00ED1B86">
      <w:pPr>
        <w:spacing w:before="100" w:beforeAutospacing="1" w:after="100" w:afterAutospacing="1" w:line="240" w:lineRule="auto"/>
      </w:pPr>
      <w:r w:rsidRPr="00EA15C5">
        <w:rPr>
          <w:b/>
          <w:bCs/>
        </w:rPr>
        <w:t>Vers 8:</w:t>
      </w:r>
      <w:r w:rsidRPr="00EA15C5">
        <w:rPr>
          <w:rStyle w:val="Fett"/>
          <w:b w:val="0"/>
          <w:bCs w:val="0"/>
        </w:rPr>
        <w:t xml:space="preserve"> </w:t>
      </w:r>
      <w:r>
        <w:rPr>
          <w:rStyle w:val="Fett"/>
        </w:rPr>
        <w:t>Die LXX</w:t>
      </w:r>
      <w:r>
        <w:t xml:space="preserve"> fügt „καρπώματα" (Opfergaben) nach „ὁλοκαυτώματα εἰς ὀσμὴν εὐωδίας" hinzu, was im MT nicht erscheint.</w:t>
      </w:r>
    </w:p>
    <w:p w14:paraId="2A16C7CE" w14:textId="4C56E13E" w:rsidR="00EA15C5" w:rsidRPr="00ED1B86" w:rsidRDefault="006B51A1" w:rsidP="00ED1B86">
      <w:pPr>
        <w:spacing w:before="100" w:beforeAutospacing="1" w:after="100" w:afterAutospacing="1" w:line="240" w:lineRule="auto"/>
        <w:rPr>
          <w:rFonts w:eastAsia="Times New Roman" w:cs="Times New Roman"/>
          <w:lang w:eastAsia="de-DE"/>
        </w:rPr>
      </w:pPr>
      <w:r>
        <w:rPr>
          <w:rStyle w:val="Fett"/>
        </w:rPr>
        <w:t>Vers 11:</w:t>
      </w:r>
      <w:r>
        <w:t xml:space="preserve"> </w:t>
      </w:r>
      <w:r>
        <w:rPr>
          <w:rStyle w:val="Fett"/>
        </w:rPr>
        <w:t>Die LXX</w:t>
      </w:r>
      <w:r>
        <w:t xml:space="preserve"> fügt am Ende hinzu „κατὰ τὴν σύγκρισιν, εἰς ὀσμὴν εὐωδίας κάρπωμα κυρίῳ" (nach der Vorschrift, zu einem wohlriechenden Duft, eine Opfergabe für den Herrn), eine erklärende Ergänzung.</w:t>
      </w:r>
    </w:p>
    <w:p w14:paraId="54345E76"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29,12</w:t>
      </w:r>
    </w:p>
    <w:p w14:paraId="7818A9FC"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w:t>
      </w:r>
      <w:r w:rsidRPr="00ED1B86">
        <w:rPr>
          <w:rFonts w:eastAsia="Times New Roman" w:cs="Times New Roman"/>
          <w:rtl/>
          <w:lang w:eastAsia="de-DE"/>
        </w:rPr>
        <w:t>וּבַחֲמִשָּׁה֩ עָשָׂ֨ר י֜וֹם לַחֹ֣דֶשׁ הַשְּׁבִיעִ֗י מִֽקְרָא־קֹ֨דֶשׁ֙ יִהְיֶ֣ה לָכֶ֔ם כָּל־מְלֶ֥אכֶת עֲבֹדָ֖ה לֹ֣א תַעֲשׂ֑וּ וְחַגֹּתֶ֥ם חַ֛ג לַיהוָ֖ה שִׁבְעַ֥ת יָמִֽים׃</w:t>
      </w:r>
    </w:p>
    <w:p w14:paraId="653E0F92"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Deutsch:</w:t>
      </w:r>
      <w:r w:rsidRPr="00ED1B86">
        <w:rPr>
          <w:rFonts w:eastAsia="Times New Roman" w:cs="Times New Roman"/>
          <w:lang w:eastAsia="de-DE"/>
        </w:rPr>
        <w:t xml:space="preserve"> Und am 15. Tag des siebten Monats soll euch eine heilige Einberufung sein; keinerlei Dienstarbeit sollt ihr tun, und ihr sollt dem Ewigen ein Fest feiern, sieben Tage.</w:t>
      </w:r>
    </w:p>
    <w:p w14:paraId="18E84AF4" w14:textId="77777777" w:rsidR="00ED1B86" w:rsidRPr="00ED1B86" w:rsidRDefault="00F329DD" w:rsidP="00ED1B86">
      <w:pPr>
        <w:spacing w:after="0" w:line="240" w:lineRule="auto"/>
        <w:rPr>
          <w:rFonts w:eastAsia="Times New Roman" w:cs="Times New Roman"/>
          <w:lang w:eastAsia="de-DE"/>
        </w:rPr>
      </w:pPr>
      <w:r>
        <w:rPr>
          <w:rFonts w:eastAsia="Times New Roman" w:cs="Times New Roman"/>
          <w:noProof/>
          <w:lang w:eastAsia="de-DE"/>
        </w:rPr>
        <w:pict w14:anchorId="48271633">
          <v:rect id="_x0000_i1923" style="width:0;height:1.5pt" o:hralign="center" o:hrstd="t" o:hr="t" fillcolor="#a0a0a0" stroked="f"/>
        </w:pict>
      </w:r>
    </w:p>
    <w:p w14:paraId="2290303C"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Kommentar:</w:t>
      </w:r>
      <w:r w:rsidRPr="00ED1B86">
        <w:rPr>
          <w:rFonts w:eastAsia="Times New Roman" w:cs="Times New Roman"/>
          <w:lang w:eastAsia="de-DE"/>
        </w:rPr>
        <w:t xml:space="preserve"> Der Vers leitet das Laubhüttenfest (Sukkot) ein. </w:t>
      </w:r>
      <w:r w:rsidRPr="00ED1B86">
        <w:rPr>
          <w:rFonts w:eastAsia="Times New Roman" w:cs="Times New Roman"/>
          <w:b/>
          <w:bCs/>
          <w:rtl/>
          <w:lang w:eastAsia="de-DE"/>
        </w:rPr>
        <w:t>וּבַחֲמִשָּׁה עָשָׂר יוֹם לַחֹדֶשׁ הַשְּׁבִיעִי</w:t>
      </w:r>
      <w:r w:rsidRPr="00ED1B86">
        <w:rPr>
          <w:rFonts w:eastAsia="Times New Roman" w:cs="Times New Roman"/>
          <w:rtl/>
          <w:lang w:eastAsia="de-DE"/>
        </w:rPr>
        <w:t xml:space="preserve"> </w:t>
      </w:r>
      <w:r w:rsidRPr="00ED1B86">
        <w:rPr>
          <w:rFonts w:eastAsia="Times New Roman" w:cs="Times New Roman"/>
          <w:lang w:eastAsia="de-DE"/>
        </w:rPr>
        <w:t xml:space="preserve">ist die temporale Einleitung. </w:t>
      </w:r>
      <w:r w:rsidRPr="00ED1B86">
        <w:rPr>
          <w:rFonts w:eastAsia="Times New Roman" w:cs="Times New Roman"/>
          <w:b/>
          <w:bCs/>
          <w:rtl/>
          <w:lang w:eastAsia="de-DE"/>
        </w:rPr>
        <w:t>חֲמִשָּׁה עָשָׂר</w:t>
      </w:r>
      <w:r w:rsidRPr="00ED1B86">
        <w:rPr>
          <w:rFonts w:eastAsia="Times New Roman" w:cs="Times New Roman"/>
          <w:rtl/>
          <w:lang w:eastAsia="de-DE"/>
        </w:rPr>
        <w:t xml:space="preserve"> </w:t>
      </w:r>
      <w:r w:rsidRPr="00ED1B86">
        <w:rPr>
          <w:rFonts w:eastAsia="Times New Roman" w:cs="Times New Roman"/>
          <w:lang w:eastAsia="de-DE"/>
        </w:rPr>
        <w:t xml:space="preserve">(„fünfzehn"), </w:t>
      </w:r>
      <w:r w:rsidRPr="00ED1B86">
        <w:rPr>
          <w:rFonts w:eastAsia="Times New Roman" w:cs="Times New Roman"/>
          <w:b/>
          <w:bCs/>
          <w:rtl/>
          <w:lang w:eastAsia="de-DE"/>
        </w:rPr>
        <w:t>יוֹם</w:t>
      </w:r>
      <w:r w:rsidRPr="00ED1B86">
        <w:rPr>
          <w:rFonts w:eastAsia="Times New Roman" w:cs="Times New Roman"/>
          <w:rtl/>
          <w:lang w:eastAsia="de-DE"/>
        </w:rPr>
        <w:t xml:space="preserve"> </w:t>
      </w:r>
      <w:r w:rsidRPr="00ED1B86">
        <w:rPr>
          <w:rFonts w:eastAsia="Times New Roman" w:cs="Times New Roman"/>
          <w:lang w:eastAsia="de-DE"/>
        </w:rPr>
        <w:t xml:space="preserve">(„Tag"), </w:t>
      </w:r>
      <w:r w:rsidRPr="00ED1B86">
        <w:rPr>
          <w:rFonts w:eastAsia="Times New Roman" w:cs="Times New Roman"/>
          <w:b/>
          <w:bCs/>
          <w:rtl/>
          <w:lang w:eastAsia="de-DE"/>
        </w:rPr>
        <w:t>לַחֹדֶשׁ הַשְּׁבִיעִי</w:t>
      </w:r>
      <w:r w:rsidRPr="00ED1B86">
        <w:rPr>
          <w:rFonts w:eastAsia="Times New Roman" w:cs="Times New Roman"/>
          <w:rtl/>
          <w:lang w:eastAsia="de-DE"/>
        </w:rPr>
        <w:t xml:space="preserve"> </w:t>
      </w:r>
      <w:r w:rsidRPr="00ED1B86">
        <w:rPr>
          <w:rFonts w:eastAsia="Times New Roman" w:cs="Times New Roman"/>
          <w:lang w:eastAsia="de-DE"/>
        </w:rPr>
        <w:t>(Präposition mit „Monat" und „der siebte" „am 15. Tag des siebten Monats"). Das Fest beginnt fünf Tage nach Jom Kippur.</w:t>
      </w:r>
    </w:p>
    <w:p w14:paraId="12AA77AC" w14:textId="41A44BEF" w:rsidR="00ED1B86" w:rsidRPr="00ED1B86" w:rsidRDefault="00ED1B86" w:rsidP="00C0709A">
      <w:pPr>
        <w:spacing w:before="100" w:beforeAutospacing="1" w:after="100" w:afterAutospacing="1" w:line="240" w:lineRule="auto"/>
        <w:rPr>
          <w:rFonts w:eastAsia="Times New Roman" w:cs="Times New Roman"/>
          <w:lang w:eastAsia="de-DE"/>
        </w:rPr>
      </w:pPr>
      <w:r w:rsidRPr="00ED1B86">
        <w:rPr>
          <w:rFonts w:eastAsia="Times New Roman" w:cs="Times New Roman"/>
          <w:b/>
          <w:bCs/>
          <w:rtl/>
          <w:lang w:eastAsia="de-DE"/>
        </w:rPr>
        <w:t>מִקְרָא־קֹדֶשׁ יִהְיֶה לָכֶם כָּל־מְלֶאכֶת עֲבֹדָה לֹא תַעֲשׂוּ</w:t>
      </w:r>
      <w:r w:rsidRPr="00ED1B86">
        <w:rPr>
          <w:rFonts w:eastAsia="Times New Roman" w:cs="Times New Roman"/>
          <w:rtl/>
          <w:lang w:eastAsia="de-DE"/>
        </w:rPr>
        <w:t xml:space="preserve"> </w:t>
      </w:r>
      <w:r w:rsidRPr="00ED1B86">
        <w:rPr>
          <w:rFonts w:eastAsia="Times New Roman" w:cs="Times New Roman"/>
          <w:lang w:eastAsia="de-DE"/>
        </w:rPr>
        <w:t xml:space="preserve">wiederholt die bekannte Formel. </w:t>
      </w:r>
      <w:r w:rsidRPr="00ED1B86">
        <w:rPr>
          <w:rFonts w:eastAsia="Times New Roman" w:cs="Times New Roman"/>
          <w:b/>
          <w:bCs/>
          <w:rtl/>
          <w:lang w:eastAsia="de-DE"/>
        </w:rPr>
        <w:t>וְחַגֹּתֶם חַג לַיהוה שִׁבְעַת יָמִים</w:t>
      </w:r>
      <w:r w:rsidRPr="00ED1B86">
        <w:rPr>
          <w:rFonts w:eastAsia="Times New Roman" w:cs="Times New Roman"/>
          <w:rtl/>
          <w:lang w:eastAsia="de-DE"/>
        </w:rPr>
        <w:t xml:space="preserve"> </w:t>
      </w:r>
      <w:r w:rsidRPr="00ED1B86">
        <w:rPr>
          <w:rFonts w:eastAsia="Times New Roman" w:cs="Times New Roman"/>
          <w:lang w:eastAsia="de-DE"/>
        </w:rPr>
        <w:t xml:space="preserve">gibt die Dauer an. </w:t>
      </w:r>
      <w:r w:rsidRPr="00ED1B86">
        <w:rPr>
          <w:rFonts w:eastAsia="Times New Roman" w:cs="Times New Roman"/>
          <w:b/>
          <w:bCs/>
          <w:rtl/>
          <w:lang w:eastAsia="de-DE"/>
        </w:rPr>
        <w:t>וְחַגֹּתֶם</w:t>
      </w:r>
      <w:r w:rsidRPr="00ED1B86">
        <w:rPr>
          <w:rFonts w:eastAsia="Times New Roman" w:cs="Times New Roman"/>
          <w:rtl/>
          <w:lang w:eastAsia="de-DE"/>
        </w:rPr>
        <w:t xml:space="preserve"> </w:t>
      </w:r>
      <w:r w:rsidRPr="00ED1B86">
        <w:rPr>
          <w:rFonts w:eastAsia="Times New Roman" w:cs="Times New Roman"/>
          <w:lang w:eastAsia="de-DE"/>
        </w:rPr>
        <w:t xml:space="preserve">(Konjunktion mit Qal Perfekt 2. Person maskulin Plural mit Waw consecutivum von </w:t>
      </w:r>
      <w:r w:rsidRPr="00ED1B86">
        <w:rPr>
          <w:rFonts w:eastAsia="Times New Roman" w:cs="Times New Roman"/>
          <w:b/>
          <w:bCs/>
          <w:rtl/>
          <w:lang w:eastAsia="de-DE"/>
        </w:rPr>
        <w:t>חגג</w:t>
      </w:r>
      <w:r w:rsidRPr="00ED1B86">
        <w:rPr>
          <w:rFonts w:eastAsia="Times New Roman" w:cs="Times New Roman"/>
          <w:rtl/>
          <w:lang w:eastAsia="de-DE"/>
        </w:rPr>
        <w:t xml:space="preserve"> </w:t>
      </w:r>
      <w:r w:rsidRPr="00ED1B86">
        <w:rPr>
          <w:rFonts w:eastAsia="Times New Roman" w:cs="Times New Roman"/>
          <w:lang w:eastAsia="de-DE"/>
        </w:rPr>
        <w:t xml:space="preserve">„feiern, ein Fest halten"), </w:t>
      </w:r>
      <w:r w:rsidRPr="00ED1B86">
        <w:rPr>
          <w:rFonts w:eastAsia="Times New Roman" w:cs="Times New Roman"/>
          <w:b/>
          <w:bCs/>
          <w:rtl/>
          <w:lang w:eastAsia="de-DE"/>
        </w:rPr>
        <w:t>חַג</w:t>
      </w:r>
      <w:r w:rsidRPr="00ED1B86">
        <w:rPr>
          <w:rFonts w:eastAsia="Times New Roman" w:cs="Times New Roman"/>
          <w:rtl/>
          <w:lang w:eastAsia="de-DE"/>
        </w:rPr>
        <w:t xml:space="preserve"> </w:t>
      </w:r>
      <w:r w:rsidRPr="00ED1B86">
        <w:rPr>
          <w:rFonts w:eastAsia="Times New Roman" w:cs="Times New Roman"/>
          <w:lang w:eastAsia="de-DE"/>
        </w:rPr>
        <w:t xml:space="preserve">(maskuliner Singular „Fest") als inneres Objekt, </w:t>
      </w:r>
      <w:r w:rsidRPr="00ED1B86">
        <w:rPr>
          <w:rFonts w:eastAsia="Times New Roman" w:cs="Times New Roman"/>
          <w:b/>
          <w:bCs/>
          <w:rtl/>
          <w:lang w:eastAsia="de-DE"/>
        </w:rPr>
        <w:t>לַיהוה</w:t>
      </w:r>
      <w:r w:rsidRPr="00ED1B86">
        <w:rPr>
          <w:rFonts w:eastAsia="Times New Roman" w:cs="Times New Roman"/>
          <w:rtl/>
          <w:lang w:eastAsia="de-DE"/>
        </w:rPr>
        <w:t xml:space="preserve"> </w:t>
      </w:r>
      <w:r w:rsidRPr="00ED1B86">
        <w:rPr>
          <w:rFonts w:eastAsia="Times New Roman" w:cs="Times New Roman"/>
          <w:lang w:eastAsia="de-DE"/>
        </w:rPr>
        <w:t xml:space="preserve">(Präposition mit Tetragramm „dem Ewigen"), </w:t>
      </w:r>
      <w:r w:rsidRPr="00ED1B86">
        <w:rPr>
          <w:rFonts w:eastAsia="Times New Roman" w:cs="Times New Roman"/>
          <w:b/>
          <w:bCs/>
          <w:rtl/>
          <w:lang w:eastAsia="de-DE"/>
        </w:rPr>
        <w:t>שִׁבְעַת יָמִים</w:t>
      </w:r>
      <w:r w:rsidRPr="00ED1B86">
        <w:rPr>
          <w:rFonts w:eastAsia="Times New Roman" w:cs="Times New Roman"/>
          <w:rtl/>
          <w:lang w:eastAsia="de-DE"/>
        </w:rPr>
        <w:t xml:space="preserve"> </w:t>
      </w:r>
      <w:r w:rsidRPr="00ED1B86">
        <w:rPr>
          <w:rFonts w:eastAsia="Times New Roman" w:cs="Times New Roman"/>
          <w:lang w:eastAsia="de-DE"/>
        </w:rPr>
        <w:t>(</w:t>
      </w:r>
      <w:r w:rsidR="00B513FF">
        <w:rPr>
          <w:rFonts w:eastAsia="Times New Roman" w:cs="Times New Roman"/>
          <w:lang w:eastAsia="de-DE"/>
        </w:rPr>
        <w:t xml:space="preserve">Constructus </w:t>
      </w:r>
      <w:r w:rsidRPr="00ED1B86">
        <w:rPr>
          <w:rFonts w:eastAsia="Times New Roman" w:cs="Times New Roman"/>
          <w:lang w:eastAsia="de-DE"/>
        </w:rPr>
        <w:t xml:space="preserve"> der Kardinalzahl „sieben" mit Plural </w:t>
      </w:r>
      <w:r w:rsidRPr="00ED1B86">
        <w:rPr>
          <w:rFonts w:eastAsia="Times New Roman" w:cs="Times New Roman"/>
          <w:b/>
          <w:bCs/>
          <w:rtl/>
          <w:lang w:eastAsia="de-DE"/>
        </w:rPr>
        <w:t>יוֹם</w:t>
      </w:r>
      <w:r w:rsidRPr="00ED1B86">
        <w:rPr>
          <w:rFonts w:eastAsia="Times New Roman" w:cs="Times New Roman"/>
          <w:rtl/>
          <w:lang w:eastAsia="de-DE"/>
        </w:rPr>
        <w:t xml:space="preserve"> </w:t>
      </w:r>
      <w:r w:rsidRPr="00ED1B86">
        <w:rPr>
          <w:rFonts w:eastAsia="Times New Roman" w:cs="Times New Roman"/>
          <w:lang w:eastAsia="de-DE"/>
        </w:rPr>
        <w:t xml:space="preserve">„Tage" „sieben Tage"). Das Verb </w:t>
      </w:r>
      <w:r w:rsidRPr="00ED1B86">
        <w:rPr>
          <w:rFonts w:eastAsia="Times New Roman" w:cs="Times New Roman"/>
          <w:b/>
          <w:bCs/>
          <w:rtl/>
          <w:lang w:eastAsia="de-DE"/>
        </w:rPr>
        <w:t>חגג</w:t>
      </w:r>
      <w:r w:rsidRPr="00ED1B86">
        <w:rPr>
          <w:rFonts w:eastAsia="Times New Roman" w:cs="Times New Roman"/>
          <w:rtl/>
          <w:lang w:eastAsia="de-DE"/>
        </w:rPr>
        <w:t xml:space="preserve"> </w:t>
      </w:r>
      <w:r w:rsidRPr="00ED1B86">
        <w:rPr>
          <w:rFonts w:eastAsia="Times New Roman" w:cs="Times New Roman"/>
          <w:lang w:eastAsia="de-DE"/>
        </w:rPr>
        <w:t xml:space="preserve">mit dem Objekt </w:t>
      </w:r>
      <w:r w:rsidRPr="00ED1B86">
        <w:rPr>
          <w:rFonts w:eastAsia="Times New Roman" w:cs="Times New Roman"/>
          <w:b/>
          <w:bCs/>
          <w:rtl/>
          <w:lang w:eastAsia="de-DE"/>
        </w:rPr>
        <w:t>חַג</w:t>
      </w:r>
      <w:r w:rsidRPr="00ED1B86">
        <w:rPr>
          <w:rFonts w:eastAsia="Times New Roman" w:cs="Times New Roman"/>
          <w:rtl/>
          <w:lang w:eastAsia="de-DE"/>
        </w:rPr>
        <w:t xml:space="preserve"> </w:t>
      </w:r>
      <w:r w:rsidRPr="00ED1B86">
        <w:rPr>
          <w:rFonts w:eastAsia="Times New Roman" w:cs="Times New Roman"/>
          <w:lang w:eastAsia="de-DE"/>
        </w:rPr>
        <w:t>ist eine figura etymologica („ein Fest feiern").</w:t>
      </w:r>
    </w:p>
    <w:p w14:paraId="30BDB590"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lastRenderedPageBreak/>
        <w:t>Die Satzstruktur zeigt eine temporale Einleitung, einen Nominalsatz mit Verbot und einen Imperativ (Perfekt mit Waw consecutivum) mit temporaler Bestimmung.</w:t>
      </w:r>
    </w:p>
    <w:p w14:paraId="78EB1200"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Der Vers eröffnet das siebentägige Laubhüttenfest (Sukkot), das fröhlichste der drei Pilgerfeste, das die Erntedankbarkeit und die Erinnerung an die Wüstenwanderung verbindet.</w:t>
      </w:r>
    </w:p>
    <w:p w14:paraId="6D1E8F25"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29,13</w:t>
      </w:r>
    </w:p>
    <w:p w14:paraId="4866761A"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w:t>
      </w:r>
      <w:r w:rsidRPr="00ED1B86">
        <w:rPr>
          <w:rFonts w:eastAsia="Times New Roman" w:cs="Times New Roman"/>
          <w:rtl/>
          <w:lang w:eastAsia="de-DE"/>
        </w:rPr>
        <w:t>וְהִקְרַבְתֶּ֨ם עֹלָ֜ה אִשֵּׁ֨ה רֵ֤יחַ נִיחֹ֨חַ֙ לַֽיהוָ֔ה פָּרִ֧ים בְּנֵי־בָקָ֛ר שְׁלֹשָׁ֥ה עָשָׂ֖ר אֵילִ֣ם שְׁנָ֑יִם כְּבָשִׂ֧ים בְּנֵֽי־שָׁנָ֛ה אַרְבָּעָ֥ה עָשָׂ֖ר תְּמִימִ֥ם יִהְיֽוּ׃</w:t>
      </w:r>
    </w:p>
    <w:p w14:paraId="1DCDA06F"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Deutsch:</w:t>
      </w:r>
      <w:r w:rsidRPr="00ED1B86">
        <w:rPr>
          <w:rFonts w:eastAsia="Times New Roman" w:cs="Times New Roman"/>
          <w:lang w:eastAsia="de-DE"/>
        </w:rPr>
        <w:t xml:space="preserve"> Und ihr sollt ein Aufsteigeopfer darbringen, ein Feueropfer wohlgefälligen Geruchs dem Ewigen: 13 junge Stiere, zwei Widder, 14 einjährige Lämmer; ohne Fehl sollen sie sein;</w:t>
      </w:r>
    </w:p>
    <w:p w14:paraId="749085C2" w14:textId="77777777" w:rsidR="00ED1B86" w:rsidRPr="00ED1B86" w:rsidRDefault="00F329DD" w:rsidP="00ED1B86">
      <w:pPr>
        <w:spacing w:after="0" w:line="240" w:lineRule="auto"/>
        <w:rPr>
          <w:rFonts w:eastAsia="Times New Roman" w:cs="Times New Roman"/>
          <w:lang w:eastAsia="de-DE"/>
        </w:rPr>
      </w:pPr>
      <w:r>
        <w:rPr>
          <w:rFonts w:eastAsia="Times New Roman" w:cs="Times New Roman"/>
          <w:noProof/>
          <w:lang w:eastAsia="de-DE"/>
        </w:rPr>
        <w:pict w14:anchorId="1E8B7746">
          <v:rect id="_x0000_i1924" style="width:0;height:1.5pt" o:hralign="center" o:hrstd="t" o:hr="t" fillcolor="#a0a0a0" stroked="f"/>
        </w:pict>
      </w:r>
    </w:p>
    <w:p w14:paraId="67684F99"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Kommentar:</w:t>
      </w:r>
      <w:r w:rsidRPr="00ED1B86">
        <w:rPr>
          <w:rFonts w:eastAsia="Times New Roman" w:cs="Times New Roman"/>
          <w:lang w:eastAsia="de-DE"/>
        </w:rPr>
        <w:t xml:space="preserve"> Der Vers beschreibt das beeindruckende erste Opfer von Sukkot. </w:t>
      </w:r>
      <w:r w:rsidRPr="00ED1B86">
        <w:rPr>
          <w:rFonts w:eastAsia="Times New Roman" w:cs="Times New Roman"/>
          <w:b/>
          <w:bCs/>
          <w:rtl/>
          <w:lang w:eastAsia="de-DE"/>
        </w:rPr>
        <w:t>וְהִקְרַבְתֶּם עֹלָה אִשֵּׁה רֵיחַ נִיחֹחַ לַיהוה</w:t>
      </w:r>
      <w:r w:rsidRPr="00ED1B86">
        <w:rPr>
          <w:rFonts w:eastAsia="Times New Roman" w:cs="Times New Roman"/>
          <w:rtl/>
          <w:lang w:eastAsia="de-DE"/>
        </w:rPr>
        <w:t xml:space="preserve"> </w:t>
      </w:r>
      <w:r w:rsidRPr="00ED1B86">
        <w:rPr>
          <w:rFonts w:eastAsia="Times New Roman" w:cs="Times New Roman"/>
          <w:lang w:eastAsia="de-DE"/>
        </w:rPr>
        <w:t xml:space="preserve">ist die Einleitung (Hiphil Perfekt mit Waw consecutivum 2. Person maskulin Plural von </w:t>
      </w:r>
      <w:r w:rsidRPr="00ED1B86">
        <w:rPr>
          <w:rFonts w:eastAsia="Times New Roman" w:cs="Times New Roman"/>
          <w:b/>
          <w:bCs/>
          <w:rtl/>
          <w:lang w:eastAsia="de-DE"/>
        </w:rPr>
        <w:t>קרב</w:t>
      </w:r>
      <w:r w:rsidRPr="00ED1B86">
        <w:rPr>
          <w:rFonts w:eastAsia="Times New Roman" w:cs="Times New Roman"/>
          <w:rtl/>
          <w:lang w:eastAsia="de-DE"/>
        </w:rPr>
        <w:t xml:space="preserve"> </w:t>
      </w:r>
      <w:r w:rsidRPr="00ED1B86">
        <w:rPr>
          <w:rFonts w:eastAsia="Times New Roman" w:cs="Times New Roman"/>
          <w:lang w:eastAsia="de-DE"/>
        </w:rPr>
        <w:t xml:space="preserve">„darbringen"). </w:t>
      </w:r>
      <w:r w:rsidRPr="00ED1B86">
        <w:rPr>
          <w:rFonts w:eastAsia="Times New Roman" w:cs="Times New Roman"/>
          <w:b/>
          <w:bCs/>
          <w:rtl/>
          <w:lang w:eastAsia="de-DE"/>
        </w:rPr>
        <w:t>פָּרִים בְּנֵי־בָקָר שְׁלֹשָׁה עָשָׂר</w:t>
      </w:r>
      <w:r w:rsidRPr="00ED1B86">
        <w:rPr>
          <w:rFonts w:eastAsia="Times New Roman" w:cs="Times New Roman"/>
          <w:rtl/>
          <w:lang w:eastAsia="de-DE"/>
        </w:rPr>
        <w:t xml:space="preserve"> </w:t>
      </w:r>
      <w:r w:rsidRPr="00ED1B86">
        <w:rPr>
          <w:rFonts w:eastAsia="Times New Roman" w:cs="Times New Roman"/>
          <w:lang w:eastAsia="de-DE"/>
        </w:rPr>
        <w:t xml:space="preserve">beschreibt die Stiere. </w:t>
      </w:r>
      <w:r w:rsidRPr="00ED1B86">
        <w:rPr>
          <w:rFonts w:eastAsia="Times New Roman" w:cs="Times New Roman"/>
          <w:b/>
          <w:bCs/>
          <w:rtl/>
          <w:lang w:eastAsia="de-DE"/>
        </w:rPr>
        <w:t>שְׁלֹשָׁה עָשָׂר</w:t>
      </w:r>
      <w:r w:rsidRPr="00ED1B86">
        <w:rPr>
          <w:rFonts w:eastAsia="Times New Roman" w:cs="Times New Roman"/>
          <w:rtl/>
          <w:lang w:eastAsia="de-DE"/>
        </w:rPr>
        <w:t xml:space="preserve"> </w:t>
      </w:r>
      <w:r w:rsidRPr="00ED1B86">
        <w:rPr>
          <w:rFonts w:eastAsia="Times New Roman" w:cs="Times New Roman"/>
          <w:lang w:eastAsia="de-DE"/>
        </w:rPr>
        <w:t xml:space="preserve">(„dreizehn") - die höchste Anzahl von Stieren bei irgendeinem Fest. </w:t>
      </w:r>
      <w:r w:rsidRPr="00ED1B86">
        <w:rPr>
          <w:rFonts w:eastAsia="Times New Roman" w:cs="Times New Roman"/>
          <w:b/>
          <w:bCs/>
          <w:rtl/>
          <w:lang w:eastAsia="de-DE"/>
        </w:rPr>
        <w:t>אֵילִם שְׁנָיִם</w:t>
      </w:r>
      <w:r w:rsidRPr="00ED1B86">
        <w:rPr>
          <w:rFonts w:eastAsia="Times New Roman" w:cs="Times New Roman"/>
          <w:rtl/>
          <w:lang w:eastAsia="de-DE"/>
        </w:rPr>
        <w:t xml:space="preserve"> </w:t>
      </w:r>
      <w:r w:rsidRPr="00ED1B86">
        <w:rPr>
          <w:rFonts w:eastAsia="Times New Roman" w:cs="Times New Roman"/>
          <w:lang w:eastAsia="de-DE"/>
        </w:rPr>
        <w:t xml:space="preserve">(„zwei Widder"), </w:t>
      </w:r>
      <w:r w:rsidRPr="00ED1B86">
        <w:rPr>
          <w:rFonts w:eastAsia="Times New Roman" w:cs="Times New Roman"/>
          <w:b/>
          <w:bCs/>
          <w:rtl/>
          <w:lang w:eastAsia="de-DE"/>
        </w:rPr>
        <w:t>כְּבָשִׂים בְּנֵי־שָׁנָה אַרְבָּעָה עָשָׂר</w:t>
      </w:r>
      <w:r w:rsidRPr="00ED1B86">
        <w:rPr>
          <w:rFonts w:eastAsia="Times New Roman" w:cs="Times New Roman"/>
          <w:rtl/>
          <w:lang w:eastAsia="de-DE"/>
        </w:rPr>
        <w:t xml:space="preserve"> </w:t>
      </w:r>
      <w:r w:rsidRPr="00ED1B86">
        <w:rPr>
          <w:rFonts w:eastAsia="Times New Roman" w:cs="Times New Roman"/>
          <w:lang w:eastAsia="de-DE"/>
        </w:rPr>
        <w:t xml:space="preserve">(„vierzehn einjährige Lämmer"). </w:t>
      </w:r>
      <w:r w:rsidRPr="00ED1B86">
        <w:rPr>
          <w:rFonts w:eastAsia="Times New Roman" w:cs="Times New Roman"/>
          <w:b/>
          <w:bCs/>
          <w:rtl/>
          <w:lang w:eastAsia="de-DE"/>
        </w:rPr>
        <w:t>תְּמִימִם יִהְיוּ</w:t>
      </w:r>
      <w:r w:rsidRPr="00ED1B86">
        <w:rPr>
          <w:rFonts w:eastAsia="Times New Roman" w:cs="Times New Roman"/>
          <w:rtl/>
          <w:lang w:eastAsia="de-DE"/>
        </w:rPr>
        <w:t xml:space="preserve"> </w:t>
      </w:r>
      <w:r w:rsidRPr="00ED1B86">
        <w:rPr>
          <w:rFonts w:eastAsia="Times New Roman" w:cs="Times New Roman"/>
          <w:lang w:eastAsia="de-DE"/>
        </w:rPr>
        <w:t xml:space="preserve">(Plural „ohne Fehl" mit Qal Imperfekt 3. Person maskulin Plural von </w:t>
      </w:r>
      <w:r w:rsidRPr="00ED1B86">
        <w:rPr>
          <w:rFonts w:eastAsia="Times New Roman" w:cs="Times New Roman"/>
          <w:b/>
          <w:bCs/>
          <w:rtl/>
          <w:lang w:eastAsia="de-DE"/>
        </w:rPr>
        <w:t>היה</w:t>
      </w:r>
      <w:r w:rsidRPr="00ED1B86">
        <w:rPr>
          <w:rFonts w:eastAsia="Times New Roman" w:cs="Times New Roman"/>
          <w:rtl/>
          <w:lang w:eastAsia="de-DE"/>
        </w:rPr>
        <w:t xml:space="preserve"> </w:t>
      </w:r>
      <w:r w:rsidRPr="00ED1B86">
        <w:rPr>
          <w:rFonts w:eastAsia="Times New Roman" w:cs="Times New Roman"/>
          <w:lang w:eastAsia="de-DE"/>
        </w:rPr>
        <w:t>„sie sollen sein").</w:t>
      </w:r>
    </w:p>
    <w:p w14:paraId="27C27E9E"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Insgesamt 29 Tiere am ersten Tag - das umfangreichste Tagesopfer im gesamten Kalender.</w:t>
      </w:r>
    </w:p>
    <w:p w14:paraId="0A014A4F" w14:textId="77777777" w:rsidR="006B51A1" w:rsidRDefault="00ED1B86" w:rsidP="006B51A1">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Die LXX</w:t>
      </w:r>
      <w:r w:rsidRPr="00ED1B86">
        <w:rPr>
          <w:rFonts w:eastAsia="Times New Roman" w:cs="Times New Roman"/>
          <w:lang w:eastAsia="de-DE"/>
        </w:rPr>
        <w:t xml:space="preserve"> </w:t>
      </w:r>
      <w:r w:rsidR="006B51A1">
        <w:t>fügt „τῇ ἡμέρᾳ τῇ πρώτῃ" (am ersten Tag) hinzu, was im MT nicht explizit erscheint, obwohl es impliziert ist.</w:t>
      </w:r>
      <w:r w:rsidR="006B51A1" w:rsidRPr="00ED1B86">
        <w:rPr>
          <w:rFonts w:eastAsia="Times New Roman" w:cs="Times New Roman"/>
          <w:lang w:eastAsia="de-DE"/>
        </w:rPr>
        <w:t xml:space="preserve"> </w:t>
      </w:r>
    </w:p>
    <w:p w14:paraId="33E3918D" w14:textId="1E5DA7F6" w:rsidR="00ED1B86" w:rsidRPr="00ED1B86" w:rsidRDefault="00ED1B86" w:rsidP="006B51A1">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Die Satzstruktur zeigt einen Imperativ mit Objektbeschreibung und drei koordinierten Aufzählungen, abgeschlossen durch eine Qualitätsbestimmung.</w:t>
      </w:r>
    </w:p>
    <w:p w14:paraId="3C538B24"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Der Vers zeigt den Höhepunkt der festlichen Opfer: 29 Tiere am ersten Sukkot-Tag, was die außerordentliche Freude und Dankbarkeit dieses Festes ausdrückt.</w:t>
      </w:r>
    </w:p>
    <w:p w14:paraId="6C0DB167"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29,14-16</w:t>
      </w:r>
    </w:p>
    <w:p w14:paraId="645BA7A3"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[Die Verse spezifizieren die Speiseopfer (drei Zehntel pro Stier für 13 Stiere = 39 Zehntel, zwei Zehntel pro Widder für 2 Widder = 4 Zehntel, ein Zehntel pro Lamm für 14 Lämmer = 14 Zehntel) plus ein Sündopfer-Ziegenbock, alles zusätzlich zum täglichen Tamid.]</w:t>
      </w:r>
    </w:p>
    <w:p w14:paraId="2B3B15B9"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29,17-34</w:t>
      </w:r>
    </w:p>
    <w:p w14:paraId="14BD1734"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[Die Verse 17-34 beschreiben die Opfer für die Tage 2-7 von Sukkot. Ein bemerkenswertes Muster zeigt sich: Die Anzahl der Stiere nimmt täglich um eins ab:</w:t>
      </w:r>
    </w:p>
    <w:p w14:paraId="352FD3D3" w14:textId="77777777" w:rsidR="00ED1B86" w:rsidRPr="00ED1B86" w:rsidRDefault="00ED1B86" w:rsidP="00C15C06">
      <w:pPr>
        <w:numPr>
          <w:ilvl w:val="0"/>
          <w:numId w:val="20"/>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Tag 1: 13 Stiere (V. 13)</w:t>
      </w:r>
    </w:p>
    <w:p w14:paraId="06DE0665" w14:textId="77777777" w:rsidR="00ED1B86" w:rsidRPr="00ED1B86" w:rsidRDefault="00ED1B86" w:rsidP="00C15C06">
      <w:pPr>
        <w:numPr>
          <w:ilvl w:val="0"/>
          <w:numId w:val="20"/>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lastRenderedPageBreak/>
        <w:t>Tag 2: 12 Stiere (V. 17)</w:t>
      </w:r>
    </w:p>
    <w:p w14:paraId="0EA801C6" w14:textId="77777777" w:rsidR="00ED1B86" w:rsidRPr="00ED1B86" w:rsidRDefault="00ED1B86" w:rsidP="00C15C06">
      <w:pPr>
        <w:numPr>
          <w:ilvl w:val="0"/>
          <w:numId w:val="20"/>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Tag 3: 11 Stiere (V. 20)</w:t>
      </w:r>
    </w:p>
    <w:p w14:paraId="5E58BB6E" w14:textId="77777777" w:rsidR="00ED1B86" w:rsidRPr="00ED1B86" w:rsidRDefault="00ED1B86" w:rsidP="00C15C06">
      <w:pPr>
        <w:numPr>
          <w:ilvl w:val="0"/>
          <w:numId w:val="20"/>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Tag 4: 10 Stiere (V. 23)</w:t>
      </w:r>
    </w:p>
    <w:p w14:paraId="0D1B5523" w14:textId="77777777" w:rsidR="00ED1B86" w:rsidRPr="00ED1B86" w:rsidRDefault="00ED1B86" w:rsidP="00C15C06">
      <w:pPr>
        <w:numPr>
          <w:ilvl w:val="0"/>
          <w:numId w:val="20"/>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Tag 5: 9 Stiere (V. 26)</w:t>
      </w:r>
    </w:p>
    <w:p w14:paraId="6C9DE1F3" w14:textId="77777777" w:rsidR="00ED1B86" w:rsidRPr="00ED1B86" w:rsidRDefault="00ED1B86" w:rsidP="00C15C06">
      <w:pPr>
        <w:numPr>
          <w:ilvl w:val="0"/>
          <w:numId w:val="20"/>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Tag 6: 8 Stiere (V. 29)</w:t>
      </w:r>
    </w:p>
    <w:p w14:paraId="7FF216FE" w14:textId="77777777" w:rsidR="00ED1B86" w:rsidRPr="00ED1B86" w:rsidRDefault="00ED1B86" w:rsidP="00C15C06">
      <w:pPr>
        <w:numPr>
          <w:ilvl w:val="0"/>
          <w:numId w:val="20"/>
        </w:num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Tag 7: 7 Stiere (V. 32)</w:t>
      </w:r>
    </w:p>
    <w:p w14:paraId="056907E3"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Während die Widder (2) und Lämmer (14) konstant bleiben. Insgesamt werden während der sieben Tage 70 Stiere geopfert. Jeder Tag hat sein eigenes Sündopfer-Ziegenbock zusätzlich zum Tamid.]</w:t>
      </w:r>
    </w:p>
    <w:p w14:paraId="29603B73"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29,35</w:t>
      </w:r>
    </w:p>
    <w:p w14:paraId="6BD57627"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w:t>
      </w:r>
      <w:r w:rsidRPr="00ED1B86">
        <w:rPr>
          <w:rFonts w:eastAsia="Times New Roman" w:cs="Times New Roman"/>
          <w:rtl/>
          <w:lang w:eastAsia="de-DE"/>
        </w:rPr>
        <w:t>בַּיּוֹם֙ הַשְּׁמִינִ֔י עֲצֶ֖רֶת תִּהְיֶ֣ה לָכֶ֑ם כָּל־מְלֶ֥אכֶת עֲבֹדָ֖ה לֹ֥א תַעֲשֽׂוּ׃</w:t>
      </w:r>
    </w:p>
    <w:p w14:paraId="7722AC07"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Deutsch:</w:t>
      </w:r>
      <w:r w:rsidRPr="00ED1B86">
        <w:rPr>
          <w:rFonts w:eastAsia="Times New Roman" w:cs="Times New Roman"/>
          <w:lang w:eastAsia="de-DE"/>
        </w:rPr>
        <w:t xml:space="preserve"> Am achten Tag soll euch eine Festversammlung sein; keinerlei Dienstarbeit sollt ihr tun.</w:t>
      </w:r>
    </w:p>
    <w:p w14:paraId="082E7E1C" w14:textId="77777777" w:rsidR="00ED1B86" w:rsidRPr="00ED1B86" w:rsidRDefault="00F329DD" w:rsidP="00ED1B86">
      <w:pPr>
        <w:spacing w:after="0" w:line="240" w:lineRule="auto"/>
        <w:rPr>
          <w:rFonts w:eastAsia="Times New Roman" w:cs="Times New Roman"/>
          <w:lang w:eastAsia="de-DE"/>
        </w:rPr>
      </w:pPr>
      <w:r>
        <w:rPr>
          <w:rFonts w:eastAsia="Times New Roman" w:cs="Times New Roman"/>
          <w:noProof/>
          <w:lang w:eastAsia="de-DE"/>
        </w:rPr>
        <w:pict w14:anchorId="676B7C9D">
          <v:rect id="_x0000_i1925" style="width:0;height:1.5pt" o:hralign="center" o:hrstd="t" o:hr="t" fillcolor="#a0a0a0" stroked="f"/>
        </w:pict>
      </w:r>
    </w:p>
    <w:p w14:paraId="7AA8AB7F"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Kommentar:</w:t>
      </w:r>
      <w:r w:rsidRPr="00ED1B86">
        <w:rPr>
          <w:rFonts w:eastAsia="Times New Roman" w:cs="Times New Roman"/>
          <w:lang w:eastAsia="de-DE"/>
        </w:rPr>
        <w:t xml:space="preserve"> Der Vers beschreibt Schemini Azeret, den achten Tag. </w:t>
      </w:r>
      <w:r w:rsidRPr="00ED1B86">
        <w:rPr>
          <w:rFonts w:eastAsia="Times New Roman" w:cs="Times New Roman"/>
          <w:b/>
          <w:bCs/>
          <w:rtl/>
          <w:lang w:eastAsia="de-DE"/>
        </w:rPr>
        <w:t>בַּיּוֹם הַשְּׁמִינִי</w:t>
      </w:r>
      <w:r w:rsidRPr="00ED1B86">
        <w:rPr>
          <w:rFonts w:eastAsia="Times New Roman" w:cs="Times New Roman"/>
          <w:rtl/>
          <w:lang w:eastAsia="de-DE"/>
        </w:rPr>
        <w:t xml:space="preserve"> </w:t>
      </w:r>
      <w:r w:rsidRPr="00ED1B86">
        <w:rPr>
          <w:rFonts w:eastAsia="Times New Roman" w:cs="Times New Roman"/>
          <w:lang w:eastAsia="de-DE"/>
        </w:rPr>
        <w:t xml:space="preserve">(Präposition </w:t>
      </w:r>
      <w:r w:rsidRPr="00ED1B86">
        <w:rPr>
          <w:rFonts w:eastAsia="Times New Roman" w:cs="Times New Roman"/>
          <w:b/>
          <w:bCs/>
          <w:rtl/>
          <w:lang w:eastAsia="de-DE"/>
        </w:rPr>
        <w:t>בְ</w:t>
      </w:r>
      <w:r w:rsidRPr="00ED1B86">
        <w:rPr>
          <w:rFonts w:eastAsia="Times New Roman" w:cs="Times New Roman"/>
          <w:rtl/>
          <w:lang w:eastAsia="de-DE"/>
        </w:rPr>
        <w:t xml:space="preserve"> </w:t>
      </w:r>
      <w:r w:rsidRPr="00ED1B86">
        <w:rPr>
          <w:rFonts w:eastAsia="Times New Roman" w:cs="Times New Roman"/>
          <w:lang w:eastAsia="de-DE"/>
        </w:rPr>
        <w:t xml:space="preserve">mit </w:t>
      </w:r>
      <w:r w:rsidRPr="00ED1B86">
        <w:rPr>
          <w:rFonts w:eastAsia="Times New Roman" w:cs="Times New Roman"/>
          <w:b/>
          <w:bCs/>
          <w:rtl/>
          <w:lang w:eastAsia="de-DE"/>
        </w:rPr>
        <w:t>יוֹם</w:t>
      </w:r>
      <w:r w:rsidRPr="00ED1B86">
        <w:rPr>
          <w:rFonts w:eastAsia="Times New Roman" w:cs="Times New Roman"/>
          <w:rtl/>
          <w:lang w:eastAsia="de-DE"/>
        </w:rPr>
        <w:t xml:space="preserve"> </w:t>
      </w:r>
      <w:r w:rsidRPr="00ED1B86">
        <w:rPr>
          <w:rFonts w:eastAsia="Times New Roman" w:cs="Times New Roman"/>
          <w:lang w:eastAsia="de-DE"/>
        </w:rPr>
        <w:t xml:space="preserve">„Tag" und </w:t>
      </w:r>
      <w:r w:rsidRPr="00ED1B86">
        <w:rPr>
          <w:rFonts w:eastAsia="Times New Roman" w:cs="Times New Roman"/>
          <w:b/>
          <w:bCs/>
          <w:rtl/>
          <w:lang w:eastAsia="de-DE"/>
        </w:rPr>
        <w:t>הַשְּׁמִינִי</w:t>
      </w:r>
      <w:r w:rsidRPr="00ED1B86">
        <w:rPr>
          <w:rFonts w:eastAsia="Times New Roman" w:cs="Times New Roman"/>
          <w:rtl/>
          <w:lang w:eastAsia="de-DE"/>
        </w:rPr>
        <w:t xml:space="preserve"> </w:t>
      </w:r>
      <w:r w:rsidRPr="00ED1B86">
        <w:rPr>
          <w:rFonts w:eastAsia="Times New Roman" w:cs="Times New Roman"/>
          <w:lang w:eastAsia="de-DE"/>
        </w:rPr>
        <w:t xml:space="preserve">„der achte" mit Artikel „am achten Tag"), der Tag nach dem siebentägigen Sukkot. </w:t>
      </w:r>
      <w:r w:rsidRPr="00ED1B86">
        <w:rPr>
          <w:rFonts w:eastAsia="Times New Roman" w:cs="Times New Roman"/>
          <w:b/>
          <w:bCs/>
          <w:rtl/>
          <w:lang w:eastAsia="de-DE"/>
        </w:rPr>
        <w:t>עֲצֶרֶת תִּהְיֶה לָכֶם</w:t>
      </w:r>
      <w:r w:rsidRPr="00ED1B86">
        <w:rPr>
          <w:rFonts w:eastAsia="Times New Roman" w:cs="Times New Roman"/>
          <w:rtl/>
          <w:lang w:eastAsia="de-DE"/>
        </w:rPr>
        <w:t xml:space="preserve"> </w:t>
      </w:r>
      <w:r w:rsidRPr="00ED1B86">
        <w:rPr>
          <w:rFonts w:eastAsia="Times New Roman" w:cs="Times New Roman"/>
          <w:lang w:eastAsia="de-DE"/>
        </w:rPr>
        <w:t xml:space="preserve">ist die Charakterisierung. </w:t>
      </w:r>
      <w:r w:rsidRPr="00ED1B86">
        <w:rPr>
          <w:rFonts w:eastAsia="Times New Roman" w:cs="Times New Roman"/>
          <w:b/>
          <w:bCs/>
          <w:rtl/>
          <w:lang w:eastAsia="de-DE"/>
        </w:rPr>
        <w:t>עֲצֶרֶת</w:t>
      </w:r>
      <w:r w:rsidRPr="00ED1B86">
        <w:rPr>
          <w:rFonts w:eastAsia="Times New Roman" w:cs="Times New Roman"/>
          <w:rtl/>
          <w:lang w:eastAsia="de-DE"/>
        </w:rPr>
        <w:t xml:space="preserve"> </w:t>
      </w:r>
      <w:r w:rsidRPr="00ED1B86">
        <w:rPr>
          <w:rFonts w:eastAsia="Times New Roman" w:cs="Times New Roman"/>
          <w:lang w:eastAsia="de-DE"/>
        </w:rPr>
        <w:t xml:space="preserve">(feminin Singular „Festversammlung, feierliche Versammlung") von der Wurzel </w:t>
      </w:r>
      <w:r w:rsidRPr="00ED1B86">
        <w:rPr>
          <w:rFonts w:eastAsia="Times New Roman" w:cs="Times New Roman"/>
          <w:b/>
          <w:bCs/>
          <w:rtl/>
          <w:lang w:eastAsia="de-DE"/>
        </w:rPr>
        <w:t>עצר</w:t>
      </w:r>
      <w:r w:rsidRPr="00ED1B86">
        <w:rPr>
          <w:rFonts w:eastAsia="Times New Roman" w:cs="Times New Roman"/>
          <w:rtl/>
          <w:lang w:eastAsia="de-DE"/>
        </w:rPr>
        <w:t xml:space="preserve"> </w:t>
      </w:r>
      <w:r w:rsidRPr="00ED1B86">
        <w:rPr>
          <w:rFonts w:eastAsia="Times New Roman" w:cs="Times New Roman"/>
          <w:lang w:eastAsia="de-DE"/>
        </w:rPr>
        <w:t xml:space="preserve">(„zurückhalten, versammeln"), </w:t>
      </w:r>
      <w:r w:rsidRPr="00ED1B86">
        <w:rPr>
          <w:rFonts w:eastAsia="Times New Roman" w:cs="Times New Roman"/>
          <w:b/>
          <w:bCs/>
          <w:rtl/>
          <w:lang w:eastAsia="de-DE"/>
        </w:rPr>
        <w:t>תִּהְיֶה לָכֶם</w:t>
      </w:r>
      <w:r w:rsidRPr="00ED1B86">
        <w:rPr>
          <w:rFonts w:eastAsia="Times New Roman" w:cs="Times New Roman"/>
          <w:rtl/>
          <w:lang w:eastAsia="de-DE"/>
        </w:rPr>
        <w:t xml:space="preserve"> </w:t>
      </w:r>
      <w:r w:rsidRPr="00ED1B86">
        <w:rPr>
          <w:rFonts w:eastAsia="Times New Roman" w:cs="Times New Roman"/>
          <w:lang w:eastAsia="de-DE"/>
        </w:rPr>
        <w:t xml:space="preserve">(Qal Imperfekt von </w:t>
      </w:r>
      <w:r w:rsidRPr="00ED1B86">
        <w:rPr>
          <w:rFonts w:eastAsia="Times New Roman" w:cs="Times New Roman"/>
          <w:b/>
          <w:bCs/>
          <w:rtl/>
          <w:lang w:eastAsia="de-DE"/>
        </w:rPr>
        <w:t>היה</w:t>
      </w:r>
      <w:r w:rsidRPr="00ED1B86">
        <w:rPr>
          <w:rFonts w:eastAsia="Times New Roman" w:cs="Times New Roman"/>
          <w:rtl/>
          <w:lang w:eastAsia="de-DE"/>
        </w:rPr>
        <w:t xml:space="preserve"> </w:t>
      </w:r>
      <w:r w:rsidRPr="00ED1B86">
        <w:rPr>
          <w:rFonts w:eastAsia="Times New Roman" w:cs="Times New Roman"/>
          <w:lang w:eastAsia="de-DE"/>
        </w:rPr>
        <w:t xml:space="preserve">mit Präposition und Suffix „soll für euch sein"). </w:t>
      </w:r>
      <w:r w:rsidRPr="00ED1B86">
        <w:rPr>
          <w:rFonts w:eastAsia="Times New Roman" w:cs="Times New Roman"/>
          <w:b/>
          <w:bCs/>
          <w:rtl/>
          <w:lang w:eastAsia="de-DE"/>
        </w:rPr>
        <w:t>כָּל־מְלֶאכֶת עֲבֹדָה לֹא תַעֲשׂוּ</w:t>
      </w:r>
      <w:r w:rsidRPr="00ED1B86">
        <w:rPr>
          <w:rFonts w:eastAsia="Times New Roman" w:cs="Times New Roman"/>
          <w:rtl/>
          <w:lang w:eastAsia="de-DE"/>
        </w:rPr>
        <w:t xml:space="preserve"> </w:t>
      </w:r>
      <w:r w:rsidRPr="00ED1B86">
        <w:rPr>
          <w:rFonts w:eastAsia="Times New Roman" w:cs="Times New Roman"/>
          <w:lang w:eastAsia="de-DE"/>
        </w:rPr>
        <w:t>ist das bekannte Arbeitsverbot.</w:t>
      </w:r>
    </w:p>
    <w:p w14:paraId="33C8113C" w14:textId="1D1F563B"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Die LXX</w:t>
      </w:r>
      <w:r w:rsidRPr="00ED1B86">
        <w:rPr>
          <w:rFonts w:eastAsia="Times New Roman" w:cs="Times New Roman"/>
          <w:lang w:eastAsia="de-DE"/>
        </w:rPr>
        <w:t xml:space="preserve"> </w:t>
      </w:r>
      <w:r w:rsidR="006B51A1">
        <w:t>übersetzt „</w:t>
      </w:r>
      <w:r w:rsidR="006B51A1" w:rsidRPr="006B51A1">
        <w:rPr>
          <w:b/>
          <w:bCs/>
          <w:rtl/>
        </w:rPr>
        <w:t>עֲצֶרֶת</w:t>
      </w:r>
      <w:r w:rsidR="006B51A1">
        <w:t>" (eine Versammlung/ein Abschlussfest) mit „ἐξόδιον" (ein Abschied/Weggang), was den Aspekt des Abschlusses betont.</w:t>
      </w:r>
    </w:p>
    <w:p w14:paraId="1D4A0C6E"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Die Satzstruktur zeigt eine temporale Einleitung, einen Nominalsatz und ein Verbot.</w:t>
      </w:r>
    </w:p>
    <w:p w14:paraId="3CCBA570"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Der Vers etabliert den achten Tag als eigenständiges Fest nach Sukkot, eine feierliche Versammlung, die den festlichen Herbstzyklus abschließt.</w:t>
      </w:r>
    </w:p>
    <w:p w14:paraId="6B968C7B"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29,36-38</w:t>
      </w:r>
    </w:p>
    <w:p w14:paraId="09983FE0"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[Die Verse beschreiben das Opfer für den achten Tag: ein Stier, ein Widder, sieben Lämmer mit Speise- und Trankopfern plus ein Sündopfer-Ziegenbock. Die drastische Reduktion von 29 Tieren am ersten Sukkot-Tag auf 9 Tiere am achten Tag markiert den Übergang vom Fest zur Normalität.]</w:t>
      </w:r>
    </w:p>
    <w:p w14:paraId="30D72B26" w14:textId="77777777" w:rsidR="00ED1B86" w:rsidRPr="00ED1B86" w:rsidRDefault="00ED1B86" w:rsidP="00ED1B86">
      <w:pPr>
        <w:spacing w:before="100" w:beforeAutospacing="1" w:after="100" w:afterAutospacing="1" w:line="240" w:lineRule="auto"/>
        <w:outlineLvl w:val="0"/>
        <w:rPr>
          <w:rFonts w:eastAsia="Times New Roman" w:cs="Times New Roman"/>
          <w:b/>
          <w:bCs/>
          <w:kern w:val="36"/>
          <w:sz w:val="48"/>
          <w:szCs w:val="48"/>
          <w:lang w:eastAsia="de-DE"/>
        </w:rPr>
      </w:pPr>
      <w:r w:rsidRPr="00ED1B86">
        <w:rPr>
          <w:rFonts w:eastAsia="Times New Roman" w:cs="Times New Roman"/>
          <w:b/>
          <w:bCs/>
          <w:kern w:val="36"/>
          <w:sz w:val="48"/>
          <w:szCs w:val="48"/>
          <w:lang w:eastAsia="de-DE"/>
        </w:rPr>
        <w:t>Numeri 29,39</w:t>
      </w:r>
    </w:p>
    <w:p w14:paraId="499F222D"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Hebräisch:</w:t>
      </w:r>
      <w:r w:rsidRPr="00ED1B86">
        <w:rPr>
          <w:rFonts w:eastAsia="Times New Roman" w:cs="Times New Roman"/>
          <w:lang w:eastAsia="de-DE"/>
        </w:rPr>
        <w:t xml:space="preserve"> </w:t>
      </w:r>
      <w:r w:rsidRPr="00ED1B86">
        <w:rPr>
          <w:rFonts w:eastAsia="Times New Roman" w:cs="Times New Roman"/>
          <w:rtl/>
          <w:lang w:eastAsia="de-DE"/>
        </w:rPr>
        <w:t>אֵ֛לֶּה תַּעֲשׂ֥וּ לַיהוָ֖ה בְּמוֹעֲדֵיכֶ֑ם לְבַ֨ד מִנִּדְרֵיכֶ֜ם וְנִדְבֹתֵיכֶ֗ם לְעֹלֹֽתֵיכֶם֙ וּלְמִנְחֹ֣תֵיכֶ֔ם וּלְנִסְכֵּיכֶ֖ם וּלְשַׁלְמֵיכֶֽם׃</w:t>
      </w:r>
    </w:p>
    <w:p w14:paraId="78EEFC39"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lastRenderedPageBreak/>
        <w:t>Deutsch:</w:t>
      </w:r>
      <w:r w:rsidRPr="00ED1B86">
        <w:rPr>
          <w:rFonts w:eastAsia="Times New Roman" w:cs="Times New Roman"/>
          <w:lang w:eastAsia="de-DE"/>
        </w:rPr>
        <w:t xml:space="preserve"> Das sollt ihr dem Ewigen machen an euren Festen, außer euren Gelübden und euren freiwilligen Gaben, für eure Aufsteigeopfer und eure Speiseopfer und eure Trankopfer und eure Friedensopfer.</w:t>
      </w:r>
    </w:p>
    <w:p w14:paraId="034F1BC9" w14:textId="77777777" w:rsidR="00ED1B86" w:rsidRPr="00ED1B86" w:rsidRDefault="00F329DD" w:rsidP="00ED1B86">
      <w:pPr>
        <w:spacing w:after="0" w:line="240" w:lineRule="auto"/>
        <w:rPr>
          <w:rFonts w:eastAsia="Times New Roman" w:cs="Times New Roman"/>
          <w:lang w:eastAsia="de-DE"/>
        </w:rPr>
      </w:pPr>
      <w:r>
        <w:rPr>
          <w:rFonts w:eastAsia="Times New Roman" w:cs="Times New Roman"/>
          <w:noProof/>
          <w:lang w:eastAsia="de-DE"/>
        </w:rPr>
        <w:pict w14:anchorId="2198781E">
          <v:rect id="_x0000_i1926" style="width:0;height:1.5pt" o:hralign="center" o:hrstd="t" o:hr="t" fillcolor="#a0a0a0" stroked="f"/>
        </w:pict>
      </w:r>
    </w:p>
    <w:p w14:paraId="0CE991EA"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Kommentar:</w:t>
      </w:r>
      <w:r w:rsidRPr="00ED1B86">
        <w:rPr>
          <w:rFonts w:eastAsia="Times New Roman" w:cs="Times New Roman"/>
          <w:lang w:eastAsia="de-DE"/>
        </w:rPr>
        <w:t xml:space="preserve"> Der Vers schließt die Opferordnung ab. </w:t>
      </w:r>
      <w:r w:rsidRPr="00ED1B86">
        <w:rPr>
          <w:rFonts w:eastAsia="Times New Roman" w:cs="Times New Roman"/>
          <w:b/>
          <w:bCs/>
          <w:rtl/>
          <w:lang w:eastAsia="de-DE"/>
        </w:rPr>
        <w:t>אֵלֶּה תַּעֲשׂוּ לַיהוה בְּמוֹעֲדֵיכֶם</w:t>
      </w:r>
      <w:r w:rsidRPr="00ED1B86">
        <w:rPr>
          <w:rFonts w:eastAsia="Times New Roman" w:cs="Times New Roman"/>
          <w:rtl/>
          <w:lang w:eastAsia="de-DE"/>
        </w:rPr>
        <w:t xml:space="preserve"> </w:t>
      </w:r>
      <w:r w:rsidRPr="00ED1B86">
        <w:rPr>
          <w:rFonts w:eastAsia="Times New Roman" w:cs="Times New Roman"/>
          <w:lang w:eastAsia="de-DE"/>
        </w:rPr>
        <w:t xml:space="preserve">ist die Zusammenfassung. </w:t>
      </w:r>
      <w:r w:rsidRPr="00ED1B86">
        <w:rPr>
          <w:rFonts w:eastAsia="Times New Roman" w:cs="Times New Roman"/>
          <w:b/>
          <w:bCs/>
          <w:rtl/>
          <w:lang w:eastAsia="de-DE"/>
        </w:rPr>
        <w:t>אֵלֶּה</w:t>
      </w:r>
      <w:r w:rsidRPr="00ED1B86">
        <w:rPr>
          <w:rFonts w:eastAsia="Times New Roman" w:cs="Times New Roman"/>
          <w:rtl/>
          <w:lang w:eastAsia="de-DE"/>
        </w:rPr>
        <w:t xml:space="preserve"> </w:t>
      </w:r>
      <w:r w:rsidRPr="00ED1B86">
        <w:rPr>
          <w:rFonts w:eastAsia="Times New Roman" w:cs="Times New Roman"/>
          <w:lang w:eastAsia="de-DE"/>
        </w:rPr>
        <w:t xml:space="preserve">(Demonstrativpronomen Plural „diese"), </w:t>
      </w:r>
      <w:r w:rsidRPr="00ED1B86">
        <w:rPr>
          <w:rFonts w:eastAsia="Times New Roman" w:cs="Times New Roman"/>
          <w:b/>
          <w:bCs/>
          <w:rtl/>
          <w:lang w:eastAsia="de-DE"/>
        </w:rPr>
        <w:t>תַּעֲשׂוּ</w:t>
      </w:r>
      <w:r w:rsidRPr="00ED1B86">
        <w:rPr>
          <w:rFonts w:eastAsia="Times New Roman" w:cs="Times New Roman"/>
          <w:rtl/>
          <w:lang w:eastAsia="de-DE"/>
        </w:rPr>
        <w:t xml:space="preserve"> </w:t>
      </w:r>
      <w:r w:rsidRPr="00ED1B86">
        <w:rPr>
          <w:rFonts w:eastAsia="Times New Roman" w:cs="Times New Roman"/>
          <w:lang w:eastAsia="de-DE"/>
        </w:rPr>
        <w:t xml:space="preserve">(Qal Imperfekt 2. Person maskulin Plural von </w:t>
      </w:r>
      <w:r w:rsidRPr="00ED1B86">
        <w:rPr>
          <w:rFonts w:eastAsia="Times New Roman" w:cs="Times New Roman"/>
          <w:b/>
          <w:bCs/>
          <w:rtl/>
          <w:lang w:eastAsia="de-DE"/>
        </w:rPr>
        <w:t>עשׂה</w:t>
      </w:r>
      <w:r w:rsidRPr="00ED1B86">
        <w:rPr>
          <w:rFonts w:eastAsia="Times New Roman" w:cs="Times New Roman"/>
          <w:rtl/>
          <w:lang w:eastAsia="de-DE"/>
        </w:rPr>
        <w:t xml:space="preserve"> </w:t>
      </w:r>
      <w:r w:rsidRPr="00ED1B86">
        <w:rPr>
          <w:rFonts w:eastAsia="Times New Roman" w:cs="Times New Roman"/>
          <w:lang w:eastAsia="de-DE"/>
        </w:rPr>
        <w:t xml:space="preserve">„machen, tun"), </w:t>
      </w:r>
      <w:r w:rsidRPr="00ED1B86">
        <w:rPr>
          <w:rFonts w:eastAsia="Times New Roman" w:cs="Times New Roman"/>
          <w:b/>
          <w:bCs/>
          <w:rtl/>
          <w:lang w:eastAsia="de-DE"/>
        </w:rPr>
        <w:t>לַיהוה</w:t>
      </w:r>
      <w:r w:rsidRPr="00ED1B86">
        <w:rPr>
          <w:rFonts w:eastAsia="Times New Roman" w:cs="Times New Roman"/>
          <w:rtl/>
          <w:lang w:eastAsia="de-DE"/>
        </w:rPr>
        <w:t xml:space="preserve"> </w:t>
      </w:r>
      <w:r w:rsidRPr="00ED1B86">
        <w:rPr>
          <w:rFonts w:eastAsia="Times New Roman" w:cs="Times New Roman"/>
          <w:lang w:eastAsia="de-DE"/>
        </w:rPr>
        <w:t xml:space="preserve">(Präposition mit Tetragramm), </w:t>
      </w:r>
      <w:r w:rsidRPr="00ED1B86">
        <w:rPr>
          <w:rFonts w:eastAsia="Times New Roman" w:cs="Times New Roman"/>
          <w:b/>
          <w:bCs/>
          <w:rtl/>
          <w:lang w:eastAsia="de-DE"/>
        </w:rPr>
        <w:t>בְּמוֹעֲדֵיכֶם</w:t>
      </w:r>
      <w:r w:rsidRPr="00ED1B86">
        <w:rPr>
          <w:rFonts w:eastAsia="Times New Roman" w:cs="Times New Roman"/>
          <w:rtl/>
          <w:lang w:eastAsia="de-DE"/>
        </w:rPr>
        <w:t xml:space="preserve"> </w:t>
      </w:r>
      <w:r w:rsidRPr="00ED1B86">
        <w:rPr>
          <w:rFonts w:eastAsia="Times New Roman" w:cs="Times New Roman"/>
          <w:lang w:eastAsia="de-DE"/>
        </w:rPr>
        <w:t xml:space="preserve">(Präposition </w:t>
      </w:r>
      <w:r w:rsidRPr="00ED1B86">
        <w:rPr>
          <w:rFonts w:eastAsia="Times New Roman" w:cs="Times New Roman"/>
          <w:b/>
          <w:bCs/>
          <w:rtl/>
          <w:lang w:eastAsia="de-DE"/>
        </w:rPr>
        <w:t>בְ</w:t>
      </w:r>
      <w:r w:rsidRPr="00ED1B86">
        <w:rPr>
          <w:rFonts w:eastAsia="Times New Roman" w:cs="Times New Roman"/>
          <w:rtl/>
          <w:lang w:eastAsia="de-DE"/>
        </w:rPr>
        <w:t xml:space="preserve"> </w:t>
      </w:r>
      <w:r w:rsidRPr="00ED1B86">
        <w:rPr>
          <w:rFonts w:eastAsia="Times New Roman" w:cs="Times New Roman"/>
          <w:lang w:eastAsia="de-DE"/>
        </w:rPr>
        <w:t xml:space="preserve">mit Plural von </w:t>
      </w:r>
      <w:r w:rsidRPr="00ED1B86">
        <w:rPr>
          <w:rFonts w:eastAsia="Times New Roman" w:cs="Times New Roman"/>
          <w:b/>
          <w:bCs/>
          <w:rtl/>
          <w:lang w:eastAsia="de-DE"/>
        </w:rPr>
        <w:t>מוֹעֵד</w:t>
      </w:r>
      <w:r w:rsidRPr="00ED1B86">
        <w:rPr>
          <w:rFonts w:eastAsia="Times New Roman" w:cs="Times New Roman"/>
          <w:rtl/>
          <w:lang w:eastAsia="de-DE"/>
        </w:rPr>
        <w:t xml:space="preserve"> </w:t>
      </w:r>
      <w:r w:rsidRPr="00ED1B86">
        <w:rPr>
          <w:rFonts w:eastAsia="Times New Roman" w:cs="Times New Roman"/>
          <w:lang w:eastAsia="de-DE"/>
        </w:rPr>
        <w:t>„Festzeit, bestimmte Zeit" und Suffix 2. Person maskulin Plural „an euren Festen").</w:t>
      </w:r>
    </w:p>
    <w:p w14:paraId="778F71B5" w14:textId="1EA51DFF"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rtl/>
          <w:lang w:eastAsia="de-DE"/>
        </w:rPr>
        <w:t>לְבַד מִנִּדְרֵיכֶם וְנִדְבֹתֵיכֶם</w:t>
      </w:r>
      <w:r w:rsidRPr="00ED1B86">
        <w:rPr>
          <w:rFonts w:eastAsia="Times New Roman" w:cs="Times New Roman"/>
          <w:rtl/>
          <w:lang w:eastAsia="de-DE"/>
        </w:rPr>
        <w:t xml:space="preserve"> </w:t>
      </w:r>
      <w:r w:rsidRPr="00ED1B86">
        <w:rPr>
          <w:rFonts w:eastAsia="Times New Roman" w:cs="Times New Roman"/>
          <w:lang w:eastAsia="de-DE"/>
        </w:rPr>
        <w:t xml:space="preserve">fügt die freiwilligen Opfer hinzu. </w:t>
      </w:r>
      <w:r w:rsidRPr="00ED1B86">
        <w:rPr>
          <w:rFonts w:eastAsia="Times New Roman" w:cs="Times New Roman"/>
          <w:b/>
          <w:bCs/>
          <w:rtl/>
          <w:lang w:eastAsia="de-DE"/>
        </w:rPr>
        <w:t>לְבַד</w:t>
      </w:r>
      <w:r w:rsidRPr="00ED1B86">
        <w:rPr>
          <w:rFonts w:eastAsia="Times New Roman" w:cs="Times New Roman"/>
          <w:rtl/>
          <w:lang w:eastAsia="de-DE"/>
        </w:rPr>
        <w:t xml:space="preserve"> </w:t>
      </w:r>
      <w:r w:rsidRPr="00ED1B86">
        <w:rPr>
          <w:rFonts w:eastAsia="Times New Roman" w:cs="Times New Roman"/>
          <w:lang w:eastAsia="de-DE"/>
        </w:rPr>
        <w:t xml:space="preserve">(Präposition „außer, abgesehen von"), </w:t>
      </w:r>
      <w:r w:rsidRPr="00ED1B86">
        <w:rPr>
          <w:rFonts w:eastAsia="Times New Roman" w:cs="Times New Roman"/>
          <w:b/>
          <w:bCs/>
          <w:rtl/>
          <w:lang w:eastAsia="de-DE"/>
        </w:rPr>
        <w:t>מִנִּדְרֵיכֶם</w:t>
      </w:r>
      <w:r w:rsidRPr="00ED1B86">
        <w:rPr>
          <w:rFonts w:eastAsia="Times New Roman" w:cs="Times New Roman"/>
          <w:rtl/>
          <w:lang w:eastAsia="de-DE"/>
        </w:rPr>
        <w:t xml:space="preserve"> </w:t>
      </w:r>
      <w:r w:rsidRPr="00ED1B86">
        <w:rPr>
          <w:rFonts w:eastAsia="Times New Roman" w:cs="Times New Roman"/>
          <w:lang w:eastAsia="de-DE"/>
        </w:rPr>
        <w:t xml:space="preserve">(Präposition </w:t>
      </w:r>
      <w:r w:rsidRPr="00ED1B86">
        <w:rPr>
          <w:rFonts w:eastAsia="Times New Roman" w:cs="Times New Roman"/>
          <w:b/>
          <w:bCs/>
          <w:rtl/>
          <w:lang w:eastAsia="de-DE"/>
        </w:rPr>
        <w:t>מִן</w:t>
      </w:r>
      <w:r w:rsidRPr="00ED1B86">
        <w:rPr>
          <w:rFonts w:eastAsia="Times New Roman" w:cs="Times New Roman"/>
          <w:rtl/>
          <w:lang w:eastAsia="de-DE"/>
        </w:rPr>
        <w:t xml:space="preserve"> </w:t>
      </w:r>
      <w:r w:rsidRPr="00ED1B86">
        <w:rPr>
          <w:rFonts w:eastAsia="Times New Roman" w:cs="Times New Roman"/>
          <w:lang w:eastAsia="de-DE"/>
        </w:rPr>
        <w:t xml:space="preserve">mit Plural von </w:t>
      </w:r>
      <w:r w:rsidRPr="00ED1B86">
        <w:rPr>
          <w:rFonts w:eastAsia="Times New Roman" w:cs="Times New Roman"/>
          <w:b/>
          <w:bCs/>
          <w:rtl/>
          <w:lang w:eastAsia="de-DE"/>
        </w:rPr>
        <w:t>נֶדֶר</w:t>
      </w:r>
      <w:r w:rsidRPr="00ED1B86">
        <w:rPr>
          <w:rFonts w:eastAsia="Times New Roman" w:cs="Times New Roman"/>
          <w:rtl/>
          <w:lang w:eastAsia="de-DE"/>
        </w:rPr>
        <w:t xml:space="preserve"> </w:t>
      </w:r>
      <w:r w:rsidRPr="00ED1B86">
        <w:rPr>
          <w:rFonts w:eastAsia="Times New Roman" w:cs="Times New Roman"/>
          <w:lang w:eastAsia="de-DE"/>
        </w:rPr>
        <w:t xml:space="preserve">„Gelübde" und Suffix „von euren Gelübden"), </w:t>
      </w:r>
      <w:r w:rsidRPr="00ED1B86">
        <w:rPr>
          <w:rFonts w:eastAsia="Times New Roman" w:cs="Times New Roman"/>
          <w:b/>
          <w:bCs/>
          <w:rtl/>
          <w:lang w:eastAsia="de-DE"/>
        </w:rPr>
        <w:t>וְנִדְבֹתֵיכֶם</w:t>
      </w:r>
      <w:r w:rsidRPr="00ED1B86">
        <w:rPr>
          <w:rFonts w:eastAsia="Times New Roman" w:cs="Times New Roman"/>
          <w:rtl/>
          <w:lang w:eastAsia="de-DE"/>
        </w:rPr>
        <w:t xml:space="preserve"> </w:t>
      </w:r>
      <w:r w:rsidRPr="00ED1B86">
        <w:rPr>
          <w:rFonts w:eastAsia="Times New Roman" w:cs="Times New Roman"/>
          <w:lang w:eastAsia="de-DE"/>
        </w:rPr>
        <w:t xml:space="preserve">(Konjunktion mit Plural von </w:t>
      </w:r>
      <w:r w:rsidRPr="00ED1B86">
        <w:rPr>
          <w:rFonts w:eastAsia="Times New Roman" w:cs="Times New Roman"/>
          <w:b/>
          <w:bCs/>
          <w:rtl/>
          <w:lang w:eastAsia="de-DE"/>
        </w:rPr>
        <w:t>נְדָבָה</w:t>
      </w:r>
      <w:r w:rsidRPr="00ED1B86">
        <w:rPr>
          <w:rFonts w:eastAsia="Times New Roman" w:cs="Times New Roman"/>
          <w:rtl/>
          <w:lang w:eastAsia="de-DE"/>
        </w:rPr>
        <w:t xml:space="preserve"> </w:t>
      </w:r>
      <w:r w:rsidRPr="00ED1B86">
        <w:rPr>
          <w:rFonts w:eastAsia="Times New Roman" w:cs="Times New Roman"/>
          <w:lang w:eastAsia="de-DE"/>
        </w:rPr>
        <w:t xml:space="preserve">„freiwillige Gabe" und Suffix „und euren freiwilligen Gaben"). </w:t>
      </w:r>
      <w:r w:rsidRPr="00ED1B86">
        <w:rPr>
          <w:rFonts w:eastAsia="Times New Roman" w:cs="Times New Roman"/>
          <w:b/>
          <w:bCs/>
          <w:rtl/>
          <w:lang w:eastAsia="de-DE"/>
        </w:rPr>
        <w:t>לְעֹלֹתֵיכֶם וּלְמִנְחֹתֵיכֶם וּלְנִסְכֵּיכֶם וּלְשַׁלְמֵיכֶם</w:t>
      </w:r>
      <w:r w:rsidRPr="00ED1B86">
        <w:rPr>
          <w:rFonts w:eastAsia="Times New Roman" w:cs="Times New Roman"/>
          <w:rtl/>
          <w:lang w:eastAsia="de-DE"/>
        </w:rPr>
        <w:t xml:space="preserve"> </w:t>
      </w:r>
      <w:r w:rsidRPr="00ED1B86">
        <w:rPr>
          <w:rFonts w:eastAsia="Times New Roman" w:cs="Times New Roman"/>
          <w:lang w:eastAsia="de-DE"/>
        </w:rPr>
        <w:t xml:space="preserve">ist eine vierfache Aufzählung: </w:t>
      </w:r>
      <w:r w:rsidRPr="00ED1B86">
        <w:rPr>
          <w:rFonts w:eastAsia="Times New Roman" w:cs="Times New Roman"/>
          <w:b/>
          <w:bCs/>
          <w:rtl/>
          <w:lang w:eastAsia="de-DE"/>
        </w:rPr>
        <w:t>עֹלוֹת</w:t>
      </w:r>
      <w:r w:rsidRPr="00ED1B86">
        <w:rPr>
          <w:rFonts w:eastAsia="Times New Roman" w:cs="Times New Roman"/>
          <w:rtl/>
          <w:lang w:eastAsia="de-DE"/>
        </w:rPr>
        <w:t xml:space="preserve"> </w:t>
      </w:r>
      <w:r w:rsidRPr="00ED1B86">
        <w:rPr>
          <w:rFonts w:eastAsia="Times New Roman" w:cs="Times New Roman"/>
          <w:lang w:eastAsia="de-DE"/>
        </w:rPr>
        <w:t>(„</w:t>
      </w:r>
      <w:r w:rsidR="00593666">
        <w:rPr>
          <w:rFonts w:eastAsia="Times New Roman" w:cs="Times New Roman"/>
          <w:lang w:eastAsia="de-DE"/>
        </w:rPr>
        <w:t>Aufsteigeopfer</w:t>
      </w:r>
      <w:r w:rsidRPr="00ED1B86">
        <w:rPr>
          <w:rFonts w:eastAsia="Times New Roman" w:cs="Times New Roman"/>
          <w:lang w:eastAsia="de-DE"/>
        </w:rPr>
        <w:t xml:space="preserve">"), </w:t>
      </w:r>
      <w:r w:rsidRPr="00ED1B86">
        <w:rPr>
          <w:rFonts w:eastAsia="Times New Roman" w:cs="Times New Roman"/>
          <w:b/>
          <w:bCs/>
          <w:rtl/>
          <w:lang w:eastAsia="de-DE"/>
        </w:rPr>
        <w:t>מִנְחוֹת</w:t>
      </w:r>
      <w:r w:rsidRPr="00ED1B86">
        <w:rPr>
          <w:rFonts w:eastAsia="Times New Roman" w:cs="Times New Roman"/>
          <w:rtl/>
          <w:lang w:eastAsia="de-DE"/>
        </w:rPr>
        <w:t xml:space="preserve"> </w:t>
      </w:r>
      <w:r w:rsidRPr="00ED1B86">
        <w:rPr>
          <w:rFonts w:eastAsia="Times New Roman" w:cs="Times New Roman"/>
          <w:lang w:eastAsia="de-DE"/>
        </w:rPr>
        <w:t xml:space="preserve">(„Speiseopfer"), </w:t>
      </w:r>
      <w:r w:rsidRPr="00ED1B86">
        <w:rPr>
          <w:rFonts w:eastAsia="Times New Roman" w:cs="Times New Roman"/>
          <w:b/>
          <w:bCs/>
          <w:rtl/>
          <w:lang w:eastAsia="de-DE"/>
        </w:rPr>
        <w:t>נְסָכִים</w:t>
      </w:r>
      <w:r w:rsidRPr="00ED1B86">
        <w:rPr>
          <w:rFonts w:eastAsia="Times New Roman" w:cs="Times New Roman"/>
          <w:rtl/>
          <w:lang w:eastAsia="de-DE"/>
        </w:rPr>
        <w:t xml:space="preserve"> </w:t>
      </w:r>
      <w:r w:rsidRPr="00ED1B86">
        <w:rPr>
          <w:rFonts w:eastAsia="Times New Roman" w:cs="Times New Roman"/>
          <w:lang w:eastAsia="de-DE"/>
        </w:rPr>
        <w:t xml:space="preserve">(„Trankopfer"), </w:t>
      </w:r>
      <w:r w:rsidRPr="00ED1B86">
        <w:rPr>
          <w:rFonts w:eastAsia="Times New Roman" w:cs="Times New Roman"/>
          <w:b/>
          <w:bCs/>
          <w:rtl/>
          <w:lang w:eastAsia="de-DE"/>
        </w:rPr>
        <w:t>שְׁלָמִים</w:t>
      </w:r>
      <w:r w:rsidRPr="00ED1B86">
        <w:rPr>
          <w:rFonts w:eastAsia="Times New Roman" w:cs="Times New Roman"/>
          <w:rtl/>
          <w:lang w:eastAsia="de-DE"/>
        </w:rPr>
        <w:t xml:space="preserve"> </w:t>
      </w:r>
      <w:r w:rsidRPr="00ED1B86">
        <w:rPr>
          <w:rFonts w:eastAsia="Times New Roman" w:cs="Times New Roman"/>
          <w:lang w:eastAsia="de-DE"/>
        </w:rPr>
        <w:t>(„Friedensopfer"), alle im Plural mit Suffix 2. Person maskulin Plural.</w:t>
      </w:r>
    </w:p>
    <w:p w14:paraId="550A2A53" w14:textId="7A7C0482"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b/>
          <w:bCs/>
          <w:lang w:eastAsia="de-DE"/>
        </w:rPr>
        <w:t>Die LXX</w:t>
      </w:r>
      <w:r w:rsidRPr="00ED1B86">
        <w:rPr>
          <w:rFonts w:eastAsia="Times New Roman" w:cs="Times New Roman"/>
          <w:lang w:eastAsia="de-DE"/>
        </w:rPr>
        <w:t xml:space="preserve"> </w:t>
      </w:r>
      <w:r w:rsidR="006B51A1">
        <w:t>übersetzt „</w:t>
      </w:r>
      <w:r w:rsidR="006B51A1" w:rsidRPr="006B51A1">
        <w:rPr>
          <w:b/>
          <w:bCs/>
          <w:rtl/>
        </w:rPr>
        <w:t>וּלְשַׁלְמֵיכֶם</w:t>
      </w:r>
      <w:r w:rsidR="006B51A1">
        <w:t>" (und für eure Friedensopfer) mit „καὶ τὰ σωτήρια ὑμῶν" (und eure Heilsopfer), wobei „σωτήρια" (Heilsopfer) eine theologische Interpretation des hebräischen Begriffs darstellt.</w:t>
      </w:r>
    </w:p>
    <w:p w14:paraId="02068D58"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Die Satzstruktur zeigt einen Hauptsatz mit temporaler Bestimmung, gefolgt von einer Ausnahme/Ergänzung mit vierfacher Aufzählung.</w:t>
      </w:r>
    </w:p>
    <w:p w14:paraId="50691E9E" w14:textId="77777777" w:rsidR="00ED1B86" w:rsidRPr="00ED1B86"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Der Vers stellt klar, dass die detailliert beschriebenen Festopfer das Minimum sind - individuelle Gelübde und freiwillige Gaben kommen noch hinzu, was die lebendige persönliche Beziehung zwischen Israeliten und Gott betont.</w:t>
      </w:r>
    </w:p>
    <w:p w14:paraId="6BC86F56" w14:textId="77777777" w:rsidR="00ED1B86" w:rsidRPr="00ED1B86" w:rsidRDefault="00F329DD" w:rsidP="00ED1B86">
      <w:pPr>
        <w:spacing w:after="0" w:line="240" w:lineRule="auto"/>
        <w:rPr>
          <w:rFonts w:eastAsia="Times New Roman" w:cs="Times New Roman"/>
          <w:lang w:eastAsia="de-DE"/>
        </w:rPr>
      </w:pPr>
      <w:r>
        <w:rPr>
          <w:rFonts w:eastAsia="Times New Roman" w:cs="Times New Roman"/>
          <w:noProof/>
          <w:lang w:eastAsia="de-DE"/>
        </w:rPr>
        <w:pict w14:anchorId="7144CBA5">
          <v:rect id="_x0000_i1927" style="width:0;height:1.5pt" o:hralign="center" o:hrstd="t" o:hr="t" fillcolor="#a0a0a0" stroked="f"/>
        </w:pict>
      </w:r>
    </w:p>
    <w:p w14:paraId="66004E5F" w14:textId="77777777" w:rsidR="008460FE" w:rsidRDefault="00ED1B86" w:rsidP="00ED1B86">
      <w:pPr>
        <w:spacing w:before="100" w:beforeAutospacing="1" w:after="100" w:afterAutospacing="1" w:line="240" w:lineRule="auto"/>
        <w:rPr>
          <w:rFonts w:eastAsia="Times New Roman" w:cs="Times New Roman"/>
          <w:lang w:eastAsia="de-DE"/>
        </w:rPr>
      </w:pPr>
      <w:r w:rsidRPr="00ED1B86">
        <w:rPr>
          <w:rFonts w:eastAsia="Times New Roman" w:cs="Times New Roman"/>
          <w:lang w:eastAsia="de-DE"/>
        </w:rPr>
        <w:t xml:space="preserve">Das Kapitel </w:t>
      </w:r>
      <w:r w:rsidR="008460FE" w:rsidRPr="00ED1B86">
        <w:rPr>
          <w:rFonts w:eastAsia="Times New Roman" w:cs="Times New Roman"/>
          <w:lang w:eastAsia="de-DE"/>
        </w:rPr>
        <w:t>Numeri 29</w:t>
      </w:r>
      <w:r w:rsidR="008460FE">
        <w:rPr>
          <w:rFonts w:eastAsia="Times New Roman" w:cs="Times New Roman"/>
          <w:b/>
          <w:bCs/>
          <w:lang w:eastAsia="de-DE"/>
        </w:rPr>
        <w:t xml:space="preserve"> </w:t>
      </w:r>
      <w:r w:rsidRPr="00ED1B86">
        <w:rPr>
          <w:rFonts w:eastAsia="Times New Roman" w:cs="Times New Roman"/>
          <w:lang w:eastAsia="de-DE"/>
        </w:rPr>
        <w:t xml:space="preserve">beschreibt die Opfer für die Herbstfeste im siebten Monat: </w:t>
      </w:r>
    </w:p>
    <w:p w14:paraId="1A471E5F" w14:textId="77777777" w:rsidR="008460FE" w:rsidRDefault="00ED1B86" w:rsidP="00C15C06">
      <w:pPr>
        <w:pStyle w:val="Listenabsatz"/>
        <w:numPr>
          <w:ilvl w:val="0"/>
          <w:numId w:val="21"/>
        </w:num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 xml:space="preserve">Rosch HaSchana am 1. (Tag des Lärmblasens, V. 1-6), </w:t>
      </w:r>
    </w:p>
    <w:p w14:paraId="79695175" w14:textId="77777777" w:rsidR="008460FE" w:rsidRDefault="00ED1B86" w:rsidP="00C15C06">
      <w:pPr>
        <w:pStyle w:val="Listenabsatz"/>
        <w:numPr>
          <w:ilvl w:val="0"/>
          <w:numId w:val="21"/>
        </w:num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 xml:space="preserve">Jom Kippur am 10. (Versöhnungstag mit Fasten, V. 7-11), </w:t>
      </w:r>
    </w:p>
    <w:p w14:paraId="7F7D030D" w14:textId="77777777" w:rsidR="008460FE" w:rsidRDefault="00ED1B86" w:rsidP="00C15C06">
      <w:pPr>
        <w:pStyle w:val="Listenabsatz"/>
        <w:numPr>
          <w:ilvl w:val="0"/>
          <w:numId w:val="21"/>
        </w:num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 xml:space="preserve">Sukkot vom 15.-21. (Laubhüttenfest, V. 12-34) und </w:t>
      </w:r>
    </w:p>
    <w:p w14:paraId="77337091" w14:textId="77777777" w:rsidR="008460FE" w:rsidRDefault="00ED1B86" w:rsidP="00C15C06">
      <w:pPr>
        <w:pStyle w:val="Listenabsatz"/>
        <w:numPr>
          <w:ilvl w:val="0"/>
          <w:numId w:val="21"/>
        </w:num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 xml:space="preserve">Schemini Azeret am 22. (achter Tag, V. 35-38). </w:t>
      </w:r>
    </w:p>
    <w:p w14:paraId="1F9954C2" w14:textId="77777777" w:rsidR="008460FE" w:rsidRDefault="00ED1B86" w:rsidP="008460FE">
      <w:pPr>
        <w:pStyle w:val="KeinLeerraum"/>
        <w:rPr>
          <w:lang w:eastAsia="de-DE"/>
        </w:rPr>
      </w:pPr>
      <w:r w:rsidRPr="008460FE">
        <w:rPr>
          <w:lang w:eastAsia="de-DE"/>
        </w:rPr>
        <w:t xml:space="preserve">Ein bemerkenswertes Muster zeigt sich bei Sukkot: Die Stieropfer nehmen täglich von 13 auf 7 ab (insgesamt 70 Stiere in sieben Tagen), während Widder (2) und Lämmer (14) konstant bleiben. </w:t>
      </w:r>
    </w:p>
    <w:p w14:paraId="03642238" w14:textId="6BB5BC2A" w:rsidR="00ED1B86" w:rsidRDefault="00ED1B86" w:rsidP="008460FE">
      <w:pPr>
        <w:pStyle w:val="KeinLeerraum"/>
        <w:rPr>
          <w:lang w:eastAsia="de-DE"/>
        </w:rPr>
      </w:pPr>
      <w:r w:rsidRPr="008460FE">
        <w:rPr>
          <w:lang w:eastAsia="de-DE"/>
        </w:rPr>
        <w:t>Der achte Tag reduziert drastisch auf 1 Stier, 1 Widder, 7 Lämmer. V. 39 betont, dass diese Pflichtopfer zusätzlich zu freiwilligen Gaben dargebracht werden. Die Herbstfeste bilden mit ihrem Ernst (Jom Kippur) und ihrer Freude (Sukkot) den Höhepunkt des liturgischen Jahres und zeigen die Fülle der Versöhnung und des Segens.</w:t>
      </w:r>
    </w:p>
    <w:p w14:paraId="3600839B" w14:textId="77777777" w:rsidR="006B51A1" w:rsidRDefault="006B51A1" w:rsidP="008460FE">
      <w:pPr>
        <w:pStyle w:val="KeinLeerraum"/>
        <w:rPr>
          <w:lang w:eastAsia="de-DE"/>
        </w:rPr>
      </w:pPr>
    </w:p>
    <w:p w14:paraId="365ABBD9" w14:textId="48DB3296" w:rsidR="006B51A1" w:rsidRPr="008460FE" w:rsidRDefault="006B51A1" w:rsidP="008460FE">
      <w:pPr>
        <w:pStyle w:val="KeinLeerraum"/>
        <w:rPr>
          <w:lang w:eastAsia="de-DE"/>
        </w:rPr>
      </w:pPr>
      <w:r>
        <w:rPr>
          <w:rStyle w:val="Fett"/>
        </w:rPr>
        <w:t>Allgemeine Beobachtung:</w:t>
      </w:r>
      <w:r>
        <w:t xml:space="preserve"> Die LXX fügt durchgängig „κατὰ τὴν σύγκρισιν αὐτῶν" (nach ihrer Vorschrift/Zusammensetzung) für das hebräische „</w:t>
      </w:r>
      <w:r w:rsidRPr="006B51A1">
        <w:rPr>
          <w:b/>
          <w:bCs/>
          <w:rtl/>
        </w:rPr>
        <w:t>כַּמִּשְׁפָּט</w:t>
      </w:r>
      <w:r>
        <w:t xml:space="preserve">" hinzu und verwendet </w:t>
      </w:r>
      <w:r>
        <w:lastRenderedPageBreak/>
        <w:t>konsistent „καρπώματα" (Opfergaben) neben „ὁλοκαυτώματα" (</w:t>
      </w:r>
      <w:r w:rsidR="00F133EC">
        <w:t>Aufsteigeopfer</w:t>
      </w:r>
      <w:r>
        <w:t>), um die liturgischen Details zu präzisieren. Die präzise Aufzählung der Opfertiere für jeden Tag des Laubhüttenfestes bleibt in beiden Texten weitgehend identisch.</w:t>
      </w:r>
    </w:p>
    <w:p w14:paraId="1000D3FF" w14:textId="77777777" w:rsidR="008460FE" w:rsidRPr="008460FE" w:rsidRDefault="008460FE" w:rsidP="008460FE">
      <w:pPr>
        <w:spacing w:before="100" w:beforeAutospacing="1" w:after="100" w:afterAutospacing="1" w:line="240" w:lineRule="auto"/>
        <w:outlineLvl w:val="0"/>
        <w:rPr>
          <w:rFonts w:eastAsia="Times New Roman" w:cs="Times New Roman"/>
          <w:b/>
          <w:bCs/>
          <w:kern w:val="36"/>
          <w:sz w:val="48"/>
          <w:szCs w:val="48"/>
          <w:lang w:eastAsia="de-DE"/>
        </w:rPr>
      </w:pPr>
      <w:r w:rsidRPr="008460FE">
        <w:rPr>
          <w:rFonts w:eastAsia="Times New Roman" w:cs="Times New Roman"/>
          <w:b/>
          <w:bCs/>
          <w:kern w:val="36"/>
          <w:sz w:val="48"/>
          <w:szCs w:val="48"/>
          <w:lang w:eastAsia="de-DE"/>
        </w:rPr>
        <w:t>Numeri 30,1</w:t>
      </w:r>
    </w:p>
    <w:p w14:paraId="0AD19370"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Hebräisch:</w:t>
      </w:r>
      <w:r w:rsidRPr="008460FE">
        <w:rPr>
          <w:rFonts w:eastAsia="Times New Roman" w:cs="Times New Roman"/>
          <w:lang w:eastAsia="de-DE"/>
        </w:rPr>
        <w:t xml:space="preserve"> </w:t>
      </w:r>
      <w:r w:rsidRPr="008460FE">
        <w:rPr>
          <w:rFonts w:eastAsia="Times New Roman" w:cs="Times New Roman"/>
          <w:rtl/>
          <w:lang w:eastAsia="de-DE"/>
        </w:rPr>
        <w:t>וַיֹּ֥אמֶר מֹשֶׁ֖ה אֶל־בְּנֵ֣י יִשְׂרָאֵ֑ל כְּכֹ֛ל אֲשֶׁר־צִוָּ֥ה יְהוָ֖ה אֶת־מֹשֶֽׁה׃</w:t>
      </w:r>
    </w:p>
    <w:p w14:paraId="2511F333"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Deutsch:</w:t>
      </w:r>
      <w:r w:rsidRPr="008460FE">
        <w:rPr>
          <w:rFonts w:eastAsia="Times New Roman" w:cs="Times New Roman"/>
          <w:lang w:eastAsia="de-DE"/>
        </w:rPr>
        <w:t xml:space="preserve"> Und Mosche sagte den Söhnen Jisra'el alles, wie der Ewige Mosche geboten hatte.</w:t>
      </w:r>
    </w:p>
    <w:p w14:paraId="3CABB841" w14:textId="77777777" w:rsidR="008460FE" w:rsidRPr="008460FE" w:rsidRDefault="00F329DD" w:rsidP="008460FE">
      <w:pPr>
        <w:spacing w:after="0" w:line="240" w:lineRule="auto"/>
        <w:rPr>
          <w:rFonts w:eastAsia="Times New Roman" w:cs="Times New Roman"/>
          <w:lang w:eastAsia="de-DE"/>
        </w:rPr>
      </w:pPr>
      <w:r>
        <w:rPr>
          <w:rFonts w:eastAsia="Times New Roman" w:cs="Times New Roman"/>
          <w:noProof/>
          <w:lang w:eastAsia="de-DE"/>
        </w:rPr>
        <w:pict w14:anchorId="6D8B3BA4">
          <v:rect id="_x0000_i1928" style="width:0;height:1.5pt" o:hralign="center" o:hrstd="t" o:hr="t" fillcolor="#a0a0a0" stroked="f"/>
        </w:pict>
      </w:r>
    </w:p>
    <w:p w14:paraId="22C86F74"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Kommentar:</w:t>
      </w:r>
      <w:r w:rsidRPr="008460FE">
        <w:rPr>
          <w:rFonts w:eastAsia="Times New Roman" w:cs="Times New Roman"/>
          <w:lang w:eastAsia="de-DE"/>
        </w:rPr>
        <w:t xml:space="preserve"> Der Vers schließt Kapitel 29 ab und leitet zu Kapitel 30 über. </w:t>
      </w:r>
      <w:r w:rsidRPr="008460FE">
        <w:rPr>
          <w:rFonts w:eastAsia="Times New Roman" w:cs="Times New Roman"/>
          <w:b/>
          <w:bCs/>
          <w:rtl/>
          <w:lang w:eastAsia="de-DE"/>
        </w:rPr>
        <w:t>וַיֹּאמֶר מֹשֶׁה אֶל־בְּנֵי יִשְׂרָאֵל</w:t>
      </w:r>
      <w:r w:rsidRPr="008460FE">
        <w:rPr>
          <w:rFonts w:eastAsia="Times New Roman" w:cs="Times New Roman"/>
          <w:rtl/>
          <w:lang w:eastAsia="de-DE"/>
        </w:rPr>
        <w:t xml:space="preserve"> </w:t>
      </w:r>
      <w:r w:rsidRPr="008460FE">
        <w:rPr>
          <w:rFonts w:eastAsia="Times New Roman" w:cs="Times New Roman"/>
          <w:lang w:eastAsia="de-DE"/>
        </w:rPr>
        <w:t xml:space="preserve">ist die Redeeinleitung. </w:t>
      </w:r>
      <w:r w:rsidRPr="008460FE">
        <w:rPr>
          <w:rFonts w:eastAsia="Times New Roman" w:cs="Times New Roman"/>
          <w:b/>
          <w:bCs/>
          <w:rtl/>
          <w:lang w:eastAsia="de-DE"/>
        </w:rPr>
        <w:t>וַיֹּאמֶר</w:t>
      </w:r>
      <w:r w:rsidRPr="008460FE">
        <w:rPr>
          <w:rFonts w:eastAsia="Times New Roman" w:cs="Times New Roman"/>
          <w:rtl/>
          <w:lang w:eastAsia="de-DE"/>
        </w:rPr>
        <w:t xml:space="preserve"> </w:t>
      </w:r>
      <w:r w:rsidRPr="008460FE">
        <w:rPr>
          <w:rFonts w:eastAsia="Times New Roman" w:cs="Times New Roman"/>
          <w:lang w:eastAsia="de-DE"/>
        </w:rPr>
        <w:t xml:space="preserve">(Qal Wayyiqtol 3. Person maskulin Singular von </w:t>
      </w:r>
      <w:r w:rsidRPr="008460FE">
        <w:rPr>
          <w:rFonts w:eastAsia="Times New Roman" w:cs="Times New Roman"/>
          <w:b/>
          <w:bCs/>
          <w:rtl/>
          <w:lang w:eastAsia="de-DE"/>
        </w:rPr>
        <w:t>אמר</w:t>
      </w:r>
      <w:r w:rsidRPr="008460FE">
        <w:rPr>
          <w:rFonts w:eastAsia="Times New Roman" w:cs="Times New Roman"/>
          <w:rtl/>
          <w:lang w:eastAsia="de-DE"/>
        </w:rPr>
        <w:t xml:space="preserve"> </w:t>
      </w:r>
      <w:r w:rsidRPr="008460FE">
        <w:rPr>
          <w:rFonts w:eastAsia="Times New Roman" w:cs="Times New Roman"/>
          <w:lang w:eastAsia="de-DE"/>
        </w:rPr>
        <w:t xml:space="preserve">„sagen"), </w:t>
      </w:r>
      <w:r w:rsidRPr="008460FE">
        <w:rPr>
          <w:rFonts w:eastAsia="Times New Roman" w:cs="Times New Roman"/>
          <w:b/>
          <w:bCs/>
          <w:rtl/>
          <w:lang w:eastAsia="de-DE"/>
        </w:rPr>
        <w:t>מֹשֶׁה</w:t>
      </w:r>
      <w:r w:rsidRPr="008460FE">
        <w:rPr>
          <w:rFonts w:eastAsia="Times New Roman" w:cs="Times New Roman"/>
          <w:rtl/>
          <w:lang w:eastAsia="de-DE"/>
        </w:rPr>
        <w:t xml:space="preserve"> </w:t>
      </w:r>
      <w:r w:rsidRPr="008460FE">
        <w:rPr>
          <w:rFonts w:eastAsia="Times New Roman" w:cs="Times New Roman"/>
          <w:lang w:eastAsia="de-DE"/>
        </w:rPr>
        <w:t xml:space="preserve">ist das Subjekt, </w:t>
      </w:r>
      <w:r w:rsidRPr="008460FE">
        <w:rPr>
          <w:rFonts w:eastAsia="Times New Roman" w:cs="Times New Roman"/>
          <w:b/>
          <w:bCs/>
          <w:rtl/>
          <w:lang w:eastAsia="de-DE"/>
        </w:rPr>
        <w:t>אֶל־בְּנֵי יִשְׂרָאֵל</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אֶל</w:t>
      </w:r>
      <w:r w:rsidRPr="008460FE">
        <w:rPr>
          <w:rFonts w:eastAsia="Times New Roman" w:cs="Times New Roman"/>
          <w:rtl/>
          <w:lang w:eastAsia="de-DE"/>
        </w:rPr>
        <w:t xml:space="preserve"> </w:t>
      </w:r>
      <w:r w:rsidRPr="008460FE">
        <w:rPr>
          <w:rFonts w:eastAsia="Times New Roman" w:cs="Times New Roman"/>
          <w:lang w:eastAsia="de-DE"/>
        </w:rPr>
        <w:t xml:space="preserve">mit „Söhne Israels") gibt die Adressaten an. </w:t>
      </w:r>
      <w:r w:rsidRPr="008460FE">
        <w:rPr>
          <w:rFonts w:eastAsia="Times New Roman" w:cs="Times New Roman"/>
          <w:b/>
          <w:bCs/>
          <w:rtl/>
          <w:lang w:eastAsia="de-DE"/>
        </w:rPr>
        <w:t>כְּכֹל אֲשֶׁר־צִוָּה יהוה אֶת־מֹשֶׁה</w:t>
      </w:r>
      <w:r w:rsidRPr="008460FE">
        <w:rPr>
          <w:rFonts w:eastAsia="Times New Roman" w:cs="Times New Roman"/>
          <w:rtl/>
          <w:lang w:eastAsia="de-DE"/>
        </w:rPr>
        <w:t xml:space="preserve"> </w:t>
      </w:r>
      <w:r w:rsidRPr="008460FE">
        <w:rPr>
          <w:rFonts w:eastAsia="Times New Roman" w:cs="Times New Roman"/>
          <w:lang w:eastAsia="de-DE"/>
        </w:rPr>
        <w:t xml:space="preserve">ist die Validierungsformel. </w:t>
      </w:r>
      <w:r w:rsidRPr="008460FE">
        <w:rPr>
          <w:rFonts w:eastAsia="Times New Roman" w:cs="Times New Roman"/>
          <w:b/>
          <w:bCs/>
          <w:rtl/>
          <w:lang w:eastAsia="de-DE"/>
        </w:rPr>
        <w:t>כְּכֹל</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כְּ</w:t>
      </w:r>
      <w:r w:rsidRPr="008460FE">
        <w:rPr>
          <w:rFonts w:eastAsia="Times New Roman" w:cs="Times New Roman"/>
          <w:rtl/>
          <w:lang w:eastAsia="de-DE"/>
        </w:rPr>
        <w:t xml:space="preserve"> </w:t>
      </w:r>
      <w:r w:rsidRPr="008460FE">
        <w:rPr>
          <w:rFonts w:eastAsia="Times New Roman" w:cs="Times New Roman"/>
          <w:lang w:eastAsia="de-DE"/>
        </w:rPr>
        <w:t xml:space="preserve">„gemäß" mit </w:t>
      </w:r>
      <w:r w:rsidRPr="008460FE">
        <w:rPr>
          <w:rFonts w:eastAsia="Times New Roman" w:cs="Times New Roman"/>
          <w:b/>
          <w:bCs/>
          <w:rtl/>
          <w:lang w:eastAsia="de-DE"/>
        </w:rPr>
        <w:t>כֹּל</w:t>
      </w:r>
      <w:r w:rsidRPr="008460FE">
        <w:rPr>
          <w:rFonts w:eastAsia="Times New Roman" w:cs="Times New Roman"/>
          <w:rtl/>
          <w:lang w:eastAsia="de-DE"/>
        </w:rPr>
        <w:t xml:space="preserve"> </w:t>
      </w:r>
      <w:r w:rsidRPr="008460FE">
        <w:rPr>
          <w:rFonts w:eastAsia="Times New Roman" w:cs="Times New Roman"/>
          <w:lang w:eastAsia="de-DE"/>
        </w:rPr>
        <w:t xml:space="preserve">„alles"), </w:t>
      </w:r>
      <w:r w:rsidRPr="008460FE">
        <w:rPr>
          <w:rFonts w:eastAsia="Times New Roman" w:cs="Times New Roman"/>
          <w:b/>
          <w:bCs/>
          <w:rtl/>
          <w:lang w:eastAsia="de-DE"/>
        </w:rPr>
        <w:t>אֲשֶׁר־צִוָּה</w:t>
      </w:r>
      <w:r w:rsidRPr="008460FE">
        <w:rPr>
          <w:rFonts w:eastAsia="Times New Roman" w:cs="Times New Roman"/>
          <w:rtl/>
          <w:lang w:eastAsia="de-DE"/>
        </w:rPr>
        <w:t xml:space="preserve"> </w:t>
      </w:r>
      <w:r w:rsidRPr="008460FE">
        <w:rPr>
          <w:rFonts w:eastAsia="Times New Roman" w:cs="Times New Roman"/>
          <w:lang w:eastAsia="de-DE"/>
        </w:rPr>
        <w:t xml:space="preserve">(Relativpronomen mit Piel Perfekt 3. Person maskulin Singular von </w:t>
      </w:r>
      <w:r w:rsidRPr="008460FE">
        <w:rPr>
          <w:rFonts w:eastAsia="Times New Roman" w:cs="Times New Roman"/>
          <w:b/>
          <w:bCs/>
          <w:rtl/>
          <w:lang w:eastAsia="de-DE"/>
        </w:rPr>
        <w:t>צוה</w:t>
      </w:r>
      <w:r w:rsidRPr="008460FE">
        <w:rPr>
          <w:rFonts w:eastAsia="Times New Roman" w:cs="Times New Roman"/>
          <w:rtl/>
          <w:lang w:eastAsia="de-DE"/>
        </w:rPr>
        <w:t xml:space="preserve"> </w:t>
      </w:r>
      <w:r w:rsidRPr="008460FE">
        <w:rPr>
          <w:rFonts w:eastAsia="Times New Roman" w:cs="Times New Roman"/>
          <w:lang w:eastAsia="de-DE"/>
        </w:rPr>
        <w:t xml:space="preserve">„befehlen"), </w:t>
      </w:r>
      <w:r w:rsidRPr="008460FE">
        <w:rPr>
          <w:rFonts w:eastAsia="Times New Roman" w:cs="Times New Roman"/>
          <w:b/>
          <w:bCs/>
          <w:rtl/>
          <w:lang w:eastAsia="de-DE"/>
        </w:rPr>
        <w:t>יהוה</w:t>
      </w:r>
      <w:r w:rsidRPr="008460FE">
        <w:rPr>
          <w:rFonts w:eastAsia="Times New Roman" w:cs="Times New Roman"/>
          <w:rtl/>
          <w:lang w:eastAsia="de-DE"/>
        </w:rPr>
        <w:t xml:space="preserve"> </w:t>
      </w:r>
      <w:r w:rsidRPr="008460FE">
        <w:rPr>
          <w:rFonts w:eastAsia="Times New Roman" w:cs="Times New Roman"/>
          <w:lang w:eastAsia="de-DE"/>
        </w:rPr>
        <w:t xml:space="preserve">als Subjekt, </w:t>
      </w:r>
      <w:r w:rsidRPr="008460FE">
        <w:rPr>
          <w:rFonts w:eastAsia="Times New Roman" w:cs="Times New Roman"/>
          <w:b/>
          <w:bCs/>
          <w:rtl/>
          <w:lang w:eastAsia="de-DE"/>
        </w:rPr>
        <w:t>אֶת־מֹשֶׁה</w:t>
      </w:r>
      <w:r w:rsidRPr="008460FE">
        <w:rPr>
          <w:rFonts w:eastAsia="Times New Roman" w:cs="Times New Roman"/>
          <w:rtl/>
          <w:lang w:eastAsia="de-DE"/>
        </w:rPr>
        <w:t xml:space="preserve"> </w:t>
      </w:r>
      <w:r w:rsidRPr="008460FE">
        <w:rPr>
          <w:rFonts w:eastAsia="Times New Roman" w:cs="Times New Roman"/>
          <w:lang w:eastAsia="de-DE"/>
        </w:rPr>
        <w:t>als Objekt („wie der Ewige Mose befohlen hatte").</w:t>
      </w:r>
    </w:p>
    <w:p w14:paraId="7E6886CF" w14:textId="11C06F82" w:rsidR="008460FE" w:rsidRPr="008460FE" w:rsidRDefault="006B51A1" w:rsidP="008460FE">
      <w:pPr>
        <w:spacing w:before="100" w:beforeAutospacing="1" w:after="100" w:afterAutospacing="1" w:line="240" w:lineRule="auto"/>
        <w:rPr>
          <w:rFonts w:eastAsia="Times New Roman" w:cs="Times New Roman"/>
          <w:lang w:eastAsia="de-DE"/>
        </w:rPr>
      </w:pPr>
      <w:r>
        <w:rPr>
          <w:rStyle w:val="Fett"/>
        </w:rPr>
        <w:t>Vers 1 (MT) = 29:40 (LXX):</w:t>
      </w:r>
      <w:r>
        <w:t xml:space="preserve"> Dieser Vers erscheint als Abschluss von Kapitel 29 in der LXX, während er im MT Kapitel 30 eröffnet. </w:t>
      </w:r>
      <w:r>
        <w:rPr>
          <w:rStyle w:val="Fett"/>
        </w:rPr>
        <w:t>Die LXX</w:t>
      </w:r>
      <w:r>
        <w:t xml:space="preserve"> hat „Καὶ ἐλάλησεν Μωυσῆς τοῖς υἱοῖς Ἰσραὴλ κατὰ πάντα, ὅσα ἐνετείλατο κύριος τῷ Μωυσῇ" (Und Mose sprach zu den Söhnen Israels gemäß allem, was der Herr dem Mose befohlen hatte).</w:t>
      </w:r>
    </w:p>
    <w:p w14:paraId="0B08B2F5"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Die Satzstruktur zeigt einen Hauptsatz mit Prädikat, Subjekt, Adressat und einer Vergleichsphrase mit Relativsatz.</w:t>
      </w:r>
    </w:p>
    <w:p w14:paraId="67C608F0"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Der Vers betont Moses treue Weitergabe der göttlichen Anweisungen über die Festopfer und bildet die Überleitung zum neuen Thema der Gelübde.</w:t>
      </w:r>
    </w:p>
    <w:p w14:paraId="3351D846" w14:textId="77777777" w:rsidR="008460FE" w:rsidRPr="008460FE" w:rsidRDefault="008460FE" w:rsidP="008460FE">
      <w:pPr>
        <w:spacing w:before="100" w:beforeAutospacing="1" w:after="100" w:afterAutospacing="1" w:line="240" w:lineRule="auto"/>
        <w:outlineLvl w:val="0"/>
        <w:rPr>
          <w:rFonts w:eastAsia="Times New Roman" w:cs="Times New Roman"/>
          <w:b/>
          <w:bCs/>
          <w:kern w:val="36"/>
          <w:sz w:val="48"/>
          <w:szCs w:val="48"/>
          <w:lang w:eastAsia="de-DE"/>
        </w:rPr>
      </w:pPr>
      <w:r w:rsidRPr="008460FE">
        <w:rPr>
          <w:rFonts w:eastAsia="Times New Roman" w:cs="Times New Roman"/>
          <w:b/>
          <w:bCs/>
          <w:kern w:val="36"/>
          <w:sz w:val="48"/>
          <w:szCs w:val="48"/>
          <w:lang w:eastAsia="de-DE"/>
        </w:rPr>
        <w:t>Numeri 30,2</w:t>
      </w:r>
    </w:p>
    <w:p w14:paraId="65E2BD49"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Hebräisch:</w:t>
      </w:r>
      <w:r w:rsidRPr="008460FE">
        <w:rPr>
          <w:rFonts w:eastAsia="Times New Roman" w:cs="Times New Roman"/>
          <w:lang w:eastAsia="de-DE"/>
        </w:rPr>
        <w:t xml:space="preserve"> </w:t>
      </w:r>
      <w:r w:rsidRPr="008460FE">
        <w:rPr>
          <w:rFonts w:eastAsia="Times New Roman" w:cs="Times New Roman"/>
          <w:rtl/>
          <w:lang w:eastAsia="de-DE"/>
        </w:rPr>
        <w:t>וַיְדַבֵּ֤ר מֹשֶׁה֙ אֶל־רָאשֵׁ֣י הַמַּטּ֔וֹת לִבְנֵ֥י יִשְׂרָאֵ֖ל לֵאמֹ֑ר זֶ֣ה הַדָּבָ֔ר אֲשֶׁ֖ר צִוָּ֥ה יְהוָֽה׃</w:t>
      </w:r>
    </w:p>
    <w:p w14:paraId="46847AC7"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Deutsch:</w:t>
      </w:r>
      <w:r w:rsidRPr="008460FE">
        <w:rPr>
          <w:rFonts w:eastAsia="Times New Roman" w:cs="Times New Roman"/>
          <w:lang w:eastAsia="de-DE"/>
        </w:rPr>
        <w:t xml:space="preserve"> Und Mosche redete zu den Häuptern der Stämme der Söhne Jisra'el, sagend: Dies ist die Sache, die der Ewige geboten hat:</w:t>
      </w:r>
    </w:p>
    <w:p w14:paraId="6366F54A" w14:textId="77777777" w:rsidR="008460FE" w:rsidRPr="008460FE" w:rsidRDefault="00F329DD" w:rsidP="008460FE">
      <w:pPr>
        <w:spacing w:after="0" w:line="240" w:lineRule="auto"/>
        <w:rPr>
          <w:rFonts w:eastAsia="Times New Roman" w:cs="Times New Roman"/>
          <w:lang w:eastAsia="de-DE"/>
        </w:rPr>
      </w:pPr>
      <w:r>
        <w:rPr>
          <w:rFonts w:eastAsia="Times New Roman" w:cs="Times New Roman"/>
          <w:noProof/>
          <w:lang w:eastAsia="de-DE"/>
        </w:rPr>
        <w:pict w14:anchorId="117C02B5">
          <v:rect id="_x0000_i1929" style="width:0;height:1.5pt" o:hralign="center" o:hrstd="t" o:hr="t" fillcolor="#a0a0a0" stroked="f"/>
        </w:pict>
      </w:r>
    </w:p>
    <w:p w14:paraId="7FDCFF48" w14:textId="483390CE"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Kommentar:</w:t>
      </w:r>
      <w:r w:rsidRPr="008460FE">
        <w:rPr>
          <w:rFonts w:eastAsia="Times New Roman" w:cs="Times New Roman"/>
          <w:lang w:eastAsia="de-DE"/>
        </w:rPr>
        <w:t xml:space="preserve"> Der Vers leitet das Gelübdegesetz ein. </w:t>
      </w:r>
      <w:r w:rsidRPr="008460FE">
        <w:rPr>
          <w:rFonts w:eastAsia="Times New Roman" w:cs="Times New Roman"/>
          <w:b/>
          <w:bCs/>
          <w:rtl/>
          <w:lang w:eastAsia="de-DE"/>
        </w:rPr>
        <w:t>וַיְדַבֵּר מֹשֶׁה אֶל־רָאשֵׁי הַמַּטּוֹת לִבְנֵי יִשְׂרָאֵל</w:t>
      </w:r>
      <w:r w:rsidRPr="008460FE">
        <w:rPr>
          <w:rFonts w:eastAsia="Times New Roman" w:cs="Times New Roman"/>
          <w:rtl/>
          <w:lang w:eastAsia="de-DE"/>
        </w:rPr>
        <w:t xml:space="preserve"> </w:t>
      </w:r>
      <w:r w:rsidRPr="008460FE">
        <w:rPr>
          <w:rFonts w:eastAsia="Times New Roman" w:cs="Times New Roman"/>
          <w:lang w:eastAsia="de-DE"/>
        </w:rPr>
        <w:t xml:space="preserve">ist die Redeeinleitung. </w:t>
      </w:r>
      <w:r w:rsidRPr="008460FE">
        <w:rPr>
          <w:rFonts w:eastAsia="Times New Roman" w:cs="Times New Roman"/>
          <w:b/>
          <w:bCs/>
          <w:rtl/>
          <w:lang w:eastAsia="de-DE"/>
        </w:rPr>
        <w:t>וַיְדַבֵּר</w:t>
      </w:r>
      <w:r w:rsidRPr="008460FE">
        <w:rPr>
          <w:rFonts w:eastAsia="Times New Roman" w:cs="Times New Roman"/>
          <w:rtl/>
          <w:lang w:eastAsia="de-DE"/>
        </w:rPr>
        <w:t xml:space="preserve"> </w:t>
      </w:r>
      <w:r w:rsidRPr="008460FE">
        <w:rPr>
          <w:rFonts w:eastAsia="Times New Roman" w:cs="Times New Roman"/>
          <w:lang w:eastAsia="de-DE"/>
        </w:rPr>
        <w:t xml:space="preserve">(Piel Wayyiqtol von </w:t>
      </w:r>
      <w:r w:rsidRPr="008460FE">
        <w:rPr>
          <w:rFonts w:eastAsia="Times New Roman" w:cs="Times New Roman"/>
          <w:b/>
          <w:bCs/>
          <w:rtl/>
          <w:lang w:eastAsia="de-DE"/>
        </w:rPr>
        <w:t>דבר</w:t>
      </w:r>
      <w:r w:rsidRPr="008460FE">
        <w:rPr>
          <w:rFonts w:eastAsia="Times New Roman" w:cs="Times New Roman"/>
          <w:lang w:eastAsia="de-DE"/>
        </w:rPr>
        <w:t xml:space="preserve">), </w:t>
      </w:r>
      <w:r w:rsidRPr="008460FE">
        <w:rPr>
          <w:rFonts w:eastAsia="Times New Roman" w:cs="Times New Roman"/>
          <w:b/>
          <w:bCs/>
          <w:rtl/>
          <w:lang w:eastAsia="de-DE"/>
        </w:rPr>
        <w:t>אֶל־רָאשֵׁי הַמַּטּוֹת</w:t>
      </w:r>
      <w:r w:rsidRPr="008460FE">
        <w:rPr>
          <w:rFonts w:eastAsia="Times New Roman" w:cs="Times New Roman"/>
          <w:rtl/>
          <w:lang w:eastAsia="de-DE"/>
        </w:rPr>
        <w:t xml:space="preserve"> </w:t>
      </w:r>
      <w:r w:rsidRPr="008460FE">
        <w:rPr>
          <w:rFonts w:eastAsia="Times New Roman" w:cs="Times New Roman"/>
          <w:lang w:eastAsia="de-DE"/>
        </w:rPr>
        <w:t xml:space="preserve">(Präposition mit Plural </w:t>
      </w:r>
      <w:r w:rsidR="00E031B3">
        <w:rPr>
          <w:rFonts w:eastAsia="Times New Roman" w:cs="Times New Roman"/>
          <w:lang w:eastAsia="de-DE"/>
        </w:rPr>
        <w:t>Constructus von</w:t>
      </w:r>
      <w:r w:rsidRPr="008460FE">
        <w:rPr>
          <w:rFonts w:eastAsia="Times New Roman" w:cs="Times New Roman"/>
          <w:lang w:eastAsia="de-DE"/>
        </w:rPr>
        <w:t xml:space="preserve"> </w:t>
      </w:r>
      <w:r w:rsidRPr="008460FE">
        <w:rPr>
          <w:rFonts w:eastAsia="Times New Roman" w:cs="Times New Roman"/>
          <w:b/>
          <w:bCs/>
          <w:rtl/>
          <w:lang w:eastAsia="de-DE"/>
        </w:rPr>
        <w:t>רֹאשׁ</w:t>
      </w:r>
      <w:r w:rsidRPr="008460FE">
        <w:rPr>
          <w:rFonts w:eastAsia="Times New Roman" w:cs="Times New Roman"/>
          <w:rtl/>
          <w:lang w:eastAsia="de-DE"/>
        </w:rPr>
        <w:t xml:space="preserve"> </w:t>
      </w:r>
      <w:r w:rsidRPr="008460FE">
        <w:rPr>
          <w:rFonts w:eastAsia="Times New Roman" w:cs="Times New Roman"/>
          <w:lang w:eastAsia="de-DE"/>
        </w:rPr>
        <w:t xml:space="preserve">„Haupt" und Plural von </w:t>
      </w:r>
      <w:r w:rsidRPr="008460FE">
        <w:rPr>
          <w:rFonts w:eastAsia="Times New Roman" w:cs="Times New Roman"/>
          <w:b/>
          <w:bCs/>
          <w:rtl/>
          <w:lang w:eastAsia="de-DE"/>
        </w:rPr>
        <w:t>מַטֶּה</w:t>
      </w:r>
      <w:r w:rsidRPr="008460FE">
        <w:rPr>
          <w:rFonts w:eastAsia="Times New Roman" w:cs="Times New Roman"/>
          <w:rtl/>
          <w:lang w:eastAsia="de-DE"/>
        </w:rPr>
        <w:t xml:space="preserve"> </w:t>
      </w:r>
      <w:r w:rsidRPr="008460FE">
        <w:rPr>
          <w:rFonts w:eastAsia="Times New Roman" w:cs="Times New Roman"/>
          <w:lang w:eastAsia="de-DE"/>
        </w:rPr>
        <w:t xml:space="preserve">„Stamm" mit Artikel „zu den Häuptern der Stämme"). </w:t>
      </w:r>
      <w:r w:rsidRPr="008460FE">
        <w:rPr>
          <w:rFonts w:eastAsia="Times New Roman" w:cs="Times New Roman"/>
          <w:b/>
          <w:bCs/>
          <w:rtl/>
          <w:lang w:eastAsia="de-DE"/>
        </w:rPr>
        <w:t>לִבְנֵי יִשְׂרָאֵל</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לְ</w:t>
      </w:r>
      <w:r w:rsidRPr="008460FE">
        <w:rPr>
          <w:rFonts w:eastAsia="Times New Roman" w:cs="Times New Roman"/>
          <w:rtl/>
          <w:lang w:eastAsia="de-DE"/>
        </w:rPr>
        <w:t xml:space="preserve"> </w:t>
      </w:r>
      <w:r w:rsidRPr="008460FE">
        <w:rPr>
          <w:rFonts w:eastAsia="Times New Roman" w:cs="Times New Roman"/>
          <w:lang w:eastAsia="de-DE"/>
        </w:rPr>
        <w:t xml:space="preserve">mit „Söhne Israels") ist entweder eine weitere Apposition oder Genitiv zu </w:t>
      </w:r>
      <w:r w:rsidRPr="008460FE">
        <w:rPr>
          <w:rFonts w:eastAsia="Times New Roman" w:cs="Times New Roman"/>
          <w:b/>
          <w:bCs/>
          <w:rtl/>
          <w:lang w:eastAsia="de-DE"/>
        </w:rPr>
        <w:t>מַטּוֹת</w:t>
      </w:r>
      <w:r w:rsidRPr="008460FE">
        <w:rPr>
          <w:rFonts w:eastAsia="Times New Roman" w:cs="Times New Roman"/>
          <w:rtl/>
          <w:lang w:eastAsia="de-DE"/>
        </w:rPr>
        <w:t xml:space="preserve"> </w:t>
      </w:r>
      <w:r w:rsidRPr="008460FE">
        <w:rPr>
          <w:rFonts w:eastAsia="Times New Roman" w:cs="Times New Roman"/>
          <w:lang w:eastAsia="de-DE"/>
        </w:rPr>
        <w:t>(„Stämme der Söhne Israels"). Die Adressierung an die Stammeshäupter betont die rechtliche und administrative Bedeutung der folgenden Regelung.</w:t>
      </w:r>
    </w:p>
    <w:p w14:paraId="5C3A6078" w14:textId="1226A30F"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rtl/>
          <w:lang w:eastAsia="de-DE"/>
        </w:rPr>
        <w:lastRenderedPageBreak/>
        <w:t>לֵאמֹר זֶה הַדָּבָר אֲשֶׁר צִוָּה יהוה</w:t>
      </w:r>
      <w:r w:rsidRPr="008460FE">
        <w:rPr>
          <w:rFonts w:eastAsia="Times New Roman" w:cs="Times New Roman"/>
          <w:rtl/>
          <w:lang w:eastAsia="de-DE"/>
        </w:rPr>
        <w:t xml:space="preserve"> </w:t>
      </w:r>
      <w:r w:rsidRPr="008460FE">
        <w:rPr>
          <w:rFonts w:eastAsia="Times New Roman" w:cs="Times New Roman"/>
          <w:lang w:eastAsia="de-DE"/>
        </w:rPr>
        <w:t xml:space="preserve">ist die einleitende Formel. </w:t>
      </w:r>
      <w:r w:rsidRPr="008460FE">
        <w:rPr>
          <w:rFonts w:eastAsia="Times New Roman" w:cs="Times New Roman"/>
          <w:b/>
          <w:bCs/>
          <w:rtl/>
          <w:lang w:eastAsia="de-DE"/>
        </w:rPr>
        <w:t>לֵאמֹר</w:t>
      </w:r>
      <w:r w:rsidRPr="008460FE">
        <w:rPr>
          <w:rFonts w:eastAsia="Times New Roman" w:cs="Times New Roman"/>
          <w:rtl/>
          <w:lang w:eastAsia="de-DE"/>
        </w:rPr>
        <w:t xml:space="preserve"> </w:t>
      </w:r>
      <w:r w:rsidRPr="008460FE">
        <w:rPr>
          <w:rFonts w:eastAsia="Times New Roman" w:cs="Times New Roman"/>
          <w:lang w:eastAsia="de-DE"/>
        </w:rPr>
        <w:t xml:space="preserve">(Infinitiv </w:t>
      </w:r>
      <w:r w:rsidR="00B513FF">
        <w:rPr>
          <w:rFonts w:eastAsia="Times New Roman" w:cs="Times New Roman"/>
          <w:lang w:eastAsia="de-DE"/>
        </w:rPr>
        <w:t xml:space="preserve">Constructus </w:t>
      </w:r>
      <w:r w:rsidRPr="008460FE">
        <w:rPr>
          <w:rFonts w:eastAsia="Times New Roman" w:cs="Times New Roman"/>
          <w:lang w:eastAsia="de-DE"/>
        </w:rPr>
        <w:t xml:space="preserve">), </w:t>
      </w:r>
      <w:r w:rsidRPr="008460FE">
        <w:rPr>
          <w:rFonts w:eastAsia="Times New Roman" w:cs="Times New Roman"/>
          <w:b/>
          <w:bCs/>
          <w:rtl/>
          <w:lang w:eastAsia="de-DE"/>
        </w:rPr>
        <w:t>זֶה הַדָּבָר</w:t>
      </w:r>
      <w:r w:rsidRPr="008460FE">
        <w:rPr>
          <w:rFonts w:eastAsia="Times New Roman" w:cs="Times New Roman"/>
          <w:rtl/>
          <w:lang w:eastAsia="de-DE"/>
        </w:rPr>
        <w:t xml:space="preserve"> </w:t>
      </w:r>
      <w:r w:rsidRPr="008460FE">
        <w:rPr>
          <w:rFonts w:eastAsia="Times New Roman" w:cs="Times New Roman"/>
          <w:lang w:eastAsia="de-DE"/>
        </w:rPr>
        <w:t xml:space="preserve">(Demonstrativpronomen mit </w:t>
      </w:r>
      <w:r w:rsidRPr="008460FE">
        <w:rPr>
          <w:rFonts w:eastAsia="Times New Roman" w:cs="Times New Roman"/>
          <w:b/>
          <w:bCs/>
          <w:rtl/>
          <w:lang w:eastAsia="de-DE"/>
        </w:rPr>
        <w:t>דָּבָר</w:t>
      </w:r>
      <w:r w:rsidRPr="008460FE">
        <w:rPr>
          <w:rFonts w:eastAsia="Times New Roman" w:cs="Times New Roman"/>
          <w:rtl/>
          <w:lang w:eastAsia="de-DE"/>
        </w:rPr>
        <w:t xml:space="preserve"> </w:t>
      </w:r>
      <w:r w:rsidRPr="008460FE">
        <w:rPr>
          <w:rFonts w:eastAsia="Times New Roman" w:cs="Times New Roman"/>
          <w:lang w:eastAsia="de-DE"/>
        </w:rPr>
        <w:t xml:space="preserve">„Sache, Wort, Angelegenheit" und Artikel „dies ist die Sache"), </w:t>
      </w:r>
      <w:r w:rsidRPr="008460FE">
        <w:rPr>
          <w:rFonts w:eastAsia="Times New Roman" w:cs="Times New Roman"/>
          <w:b/>
          <w:bCs/>
          <w:rtl/>
          <w:lang w:eastAsia="de-DE"/>
        </w:rPr>
        <w:t>אֲשֶׁר צִוָּה יהוה</w:t>
      </w:r>
      <w:r w:rsidRPr="008460FE">
        <w:rPr>
          <w:rFonts w:eastAsia="Times New Roman" w:cs="Times New Roman"/>
          <w:rtl/>
          <w:lang w:eastAsia="de-DE"/>
        </w:rPr>
        <w:t xml:space="preserve"> </w:t>
      </w:r>
      <w:r w:rsidRPr="008460FE">
        <w:rPr>
          <w:rFonts w:eastAsia="Times New Roman" w:cs="Times New Roman"/>
          <w:lang w:eastAsia="de-DE"/>
        </w:rPr>
        <w:t>(Relativsatz: „die der Ewige geboten hat").</w:t>
      </w:r>
    </w:p>
    <w:p w14:paraId="05328289" w14:textId="77777777" w:rsidR="006B51A1" w:rsidRDefault="006B51A1" w:rsidP="008460FE">
      <w:pPr>
        <w:spacing w:before="100" w:beforeAutospacing="1" w:after="100" w:afterAutospacing="1" w:line="240" w:lineRule="auto"/>
        <w:rPr>
          <w:rFonts w:eastAsia="Times New Roman" w:cs="Times New Roman"/>
          <w:lang w:eastAsia="de-DE"/>
        </w:rPr>
      </w:pPr>
      <w:r>
        <w:rPr>
          <w:rStyle w:val="Fett"/>
        </w:rPr>
        <w:t>Vers 2 (MT) = Vers 1 (LXX):</w:t>
      </w:r>
      <w:r>
        <w:t xml:space="preserve"> Die Versenzählung unterscheidet sich ab hier um eins zwischen MT und LXX.</w:t>
      </w:r>
      <w:r w:rsidRPr="008460FE">
        <w:rPr>
          <w:rFonts w:eastAsia="Times New Roman" w:cs="Times New Roman"/>
          <w:lang w:eastAsia="de-DE"/>
        </w:rPr>
        <w:t xml:space="preserve"> </w:t>
      </w:r>
    </w:p>
    <w:p w14:paraId="2EC910C9" w14:textId="517EB6AA"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Die Satzstruktur zeigt eine Redeeinleitung mit spezifizierten Adressaten, gefolgt von einer Demonstrativformel mit Relativsatz.</w:t>
      </w:r>
    </w:p>
    <w:p w14:paraId="7295C569"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Der Vers markiert den thematischen Wechsel von den Festopfern zu den Gelübdegesetzen und betont durch die Adressierung der Stammeshäupter deren juristische Autorität in diesen Fragen.</w:t>
      </w:r>
    </w:p>
    <w:p w14:paraId="76C3378A" w14:textId="77777777" w:rsidR="008460FE" w:rsidRPr="008460FE" w:rsidRDefault="008460FE" w:rsidP="008460FE">
      <w:pPr>
        <w:spacing w:before="100" w:beforeAutospacing="1" w:after="100" w:afterAutospacing="1" w:line="240" w:lineRule="auto"/>
        <w:outlineLvl w:val="0"/>
        <w:rPr>
          <w:rFonts w:eastAsia="Times New Roman" w:cs="Times New Roman"/>
          <w:b/>
          <w:bCs/>
          <w:kern w:val="36"/>
          <w:sz w:val="48"/>
          <w:szCs w:val="48"/>
          <w:lang w:eastAsia="de-DE"/>
        </w:rPr>
      </w:pPr>
      <w:r w:rsidRPr="008460FE">
        <w:rPr>
          <w:rFonts w:eastAsia="Times New Roman" w:cs="Times New Roman"/>
          <w:b/>
          <w:bCs/>
          <w:kern w:val="36"/>
          <w:sz w:val="48"/>
          <w:szCs w:val="48"/>
          <w:lang w:eastAsia="de-DE"/>
        </w:rPr>
        <w:t>Numeri 30,3</w:t>
      </w:r>
    </w:p>
    <w:p w14:paraId="3A36A6A3"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Hebräisch:</w:t>
      </w:r>
      <w:r w:rsidRPr="008460FE">
        <w:rPr>
          <w:rFonts w:eastAsia="Times New Roman" w:cs="Times New Roman"/>
          <w:lang w:eastAsia="de-DE"/>
        </w:rPr>
        <w:t xml:space="preserve"> </w:t>
      </w:r>
      <w:r w:rsidRPr="008460FE">
        <w:rPr>
          <w:rFonts w:eastAsia="Times New Roman" w:cs="Times New Roman"/>
          <w:rtl/>
          <w:lang w:eastAsia="de-DE"/>
        </w:rPr>
        <w:t>אִישׁ֩ כִּֽי־יִדֹּ֨ר נֶ֜דֶר לַֽיהוָ֗ה אֽוֹ־הִשָּׁ֤בַע שְׁבֻעָה֙ לֶאְסֹ֤ר אִסָּר֙ עַל־נַפְשֹׁ֔ו לֹ֥א יַחֵ֖ל דְּבָרֹ֑ו כְּכָל־הַיֹּצֵ֥א מִפִּ֖יו יַעֲשֶֽׂה׃</w:t>
      </w:r>
    </w:p>
    <w:p w14:paraId="5DA39EA5"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Deutsch:</w:t>
      </w:r>
      <w:r w:rsidRPr="008460FE">
        <w:rPr>
          <w:rFonts w:eastAsia="Times New Roman" w:cs="Times New Roman"/>
          <w:lang w:eastAsia="de-DE"/>
        </w:rPr>
        <w:t xml:space="preserve"> Wenn ein Mann dem Ewigen ein Gelübde gelobt oder einen Eid schwört, eine Verpflichtung auf seine Seele zu nehmen, soll er sein Wort nicht entweihen: nach allem, was aus seinem Mund gegangen ist, soll er tun.</w:t>
      </w:r>
    </w:p>
    <w:p w14:paraId="6909FB34" w14:textId="77777777" w:rsidR="008460FE" w:rsidRPr="008460FE" w:rsidRDefault="00F329DD" w:rsidP="008460FE">
      <w:pPr>
        <w:spacing w:after="0" w:line="240" w:lineRule="auto"/>
        <w:rPr>
          <w:rFonts w:eastAsia="Times New Roman" w:cs="Times New Roman"/>
          <w:lang w:eastAsia="de-DE"/>
        </w:rPr>
      </w:pPr>
      <w:r>
        <w:rPr>
          <w:rFonts w:eastAsia="Times New Roman" w:cs="Times New Roman"/>
          <w:noProof/>
          <w:lang w:eastAsia="de-DE"/>
        </w:rPr>
        <w:pict w14:anchorId="5D80A49B">
          <v:rect id="_x0000_i1930" style="width:0;height:1.5pt" o:hralign="center" o:hrstd="t" o:hr="t" fillcolor="#a0a0a0" stroked="f"/>
        </w:pict>
      </w:r>
    </w:p>
    <w:p w14:paraId="3EF6DCDF"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Kommentar:</w:t>
      </w:r>
      <w:r w:rsidRPr="008460FE">
        <w:rPr>
          <w:rFonts w:eastAsia="Times New Roman" w:cs="Times New Roman"/>
          <w:lang w:eastAsia="de-DE"/>
        </w:rPr>
        <w:t xml:space="preserve"> Der Vers etabliert das Grundprinzip der Gelübdebindung für Männer. </w:t>
      </w:r>
      <w:r w:rsidRPr="008460FE">
        <w:rPr>
          <w:rFonts w:eastAsia="Times New Roman" w:cs="Times New Roman"/>
          <w:b/>
          <w:bCs/>
          <w:rtl/>
          <w:lang w:eastAsia="de-DE"/>
        </w:rPr>
        <w:t>אִישׁ כִּי־יִדֹּר נֶדֶר לַיהוה</w:t>
      </w:r>
      <w:r w:rsidRPr="008460FE">
        <w:rPr>
          <w:rFonts w:eastAsia="Times New Roman" w:cs="Times New Roman"/>
          <w:rtl/>
          <w:lang w:eastAsia="de-DE"/>
        </w:rPr>
        <w:t xml:space="preserve"> </w:t>
      </w:r>
      <w:r w:rsidRPr="008460FE">
        <w:rPr>
          <w:rFonts w:eastAsia="Times New Roman" w:cs="Times New Roman"/>
          <w:lang w:eastAsia="de-DE"/>
        </w:rPr>
        <w:t xml:space="preserve">ist der erste Fall. </w:t>
      </w:r>
      <w:r w:rsidRPr="008460FE">
        <w:rPr>
          <w:rFonts w:eastAsia="Times New Roman" w:cs="Times New Roman"/>
          <w:b/>
          <w:bCs/>
          <w:rtl/>
          <w:lang w:eastAsia="de-DE"/>
        </w:rPr>
        <w:t>אִישׁ</w:t>
      </w:r>
      <w:r w:rsidRPr="008460FE">
        <w:rPr>
          <w:rFonts w:eastAsia="Times New Roman" w:cs="Times New Roman"/>
          <w:rtl/>
          <w:lang w:eastAsia="de-DE"/>
        </w:rPr>
        <w:t xml:space="preserve"> </w:t>
      </w:r>
      <w:r w:rsidRPr="008460FE">
        <w:rPr>
          <w:rFonts w:eastAsia="Times New Roman" w:cs="Times New Roman"/>
          <w:lang w:eastAsia="de-DE"/>
        </w:rPr>
        <w:t xml:space="preserve">(„ein Mann"), </w:t>
      </w:r>
      <w:r w:rsidRPr="008460FE">
        <w:rPr>
          <w:rFonts w:eastAsia="Times New Roman" w:cs="Times New Roman"/>
          <w:b/>
          <w:bCs/>
          <w:rtl/>
          <w:lang w:eastAsia="de-DE"/>
        </w:rPr>
        <w:t>כִּי־יִדֹּר</w:t>
      </w:r>
      <w:r w:rsidRPr="008460FE">
        <w:rPr>
          <w:rFonts w:eastAsia="Times New Roman" w:cs="Times New Roman"/>
          <w:rtl/>
          <w:lang w:eastAsia="de-DE"/>
        </w:rPr>
        <w:t xml:space="preserve"> </w:t>
      </w:r>
      <w:r w:rsidRPr="008460FE">
        <w:rPr>
          <w:rFonts w:eastAsia="Times New Roman" w:cs="Times New Roman"/>
          <w:lang w:eastAsia="de-DE"/>
        </w:rPr>
        <w:t xml:space="preserve">(konditionale Konjunktion </w:t>
      </w:r>
      <w:r w:rsidRPr="008460FE">
        <w:rPr>
          <w:rFonts w:eastAsia="Times New Roman" w:cs="Times New Roman"/>
          <w:b/>
          <w:bCs/>
          <w:rtl/>
          <w:lang w:eastAsia="de-DE"/>
        </w:rPr>
        <w:t>כִּי</w:t>
      </w:r>
      <w:r w:rsidRPr="008460FE">
        <w:rPr>
          <w:rFonts w:eastAsia="Times New Roman" w:cs="Times New Roman"/>
          <w:rtl/>
          <w:lang w:eastAsia="de-DE"/>
        </w:rPr>
        <w:t xml:space="preserve"> </w:t>
      </w:r>
      <w:r w:rsidRPr="008460FE">
        <w:rPr>
          <w:rFonts w:eastAsia="Times New Roman" w:cs="Times New Roman"/>
          <w:lang w:eastAsia="de-DE"/>
        </w:rPr>
        <w:t xml:space="preserve">„wenn" mit Qal Imperfekt 3. Person maskulin Singular von </w:t>
      </w:r>
      <w:r w:rsidRPr="008460FE">
        <w:rPr>
          <w:rFonts w:eastAsia="Times New Roman" w:cs="Times New Roman"/>
          <w:b/>
          <w:bCs/>
          <w:rtl/>
          <w:lang w:eastAsia="de-DE"/>
        </w:rPr>
        <w:t>נדר</w:t>
      </w:r>
      <w:r w:rsidRPr="008460FE">
        <w:rPr>
          <w:rFonts w:eastAsia="Times New Roman" w:cs="Times New Roman"/>
          <w:rtl/>
          <w:lang w:eastAsia="de-DE"/>
        </w:rPr>
        <w:t xml:space="preserve"> </w:t>
      </w:r>
      <w:r w:rsidRPr="008460FE">
        <w:rPr>
          <w:rFonts w:eastAsia="Times New Roman" w:cs="Times New Roman"/>
          <w:lang w:eastAsia="de-DE"/>
        </w:rPr>
        <w:t xml:space="preserve">„geloben"), </w:t>
      </w:r>
      <w:r w:rsidRPr="008460FE">
        <w:rPr>
          <w:rFonts w:eastAsia="Times New Roman" w:cs="Times New Roman"/>
          <w:b/>
          <w:bCs/>
          <w:rtl/>
          <w:lang w:eastAsia="de-DE"/>
        </w:rPr>
        <w:t>נֶדֶר</w:t>
      </w:r>
      <w:r w:rsidRPr="008460FE">
        <w:rPr>
          <w:rFonts w:eastAsia="Times New Roman" w:cs="Times New Roman"/>
          <w:rtl/>
          <w:lang w:eastAsia="de-DE"/>
        </w:rPr>
        <w:t xml:space="preserve"> </w:t>
      </w:r>
      <w:r w:rsidRPr="008460FE">
        <w:rPr>
          <w:rFonts w:eastAsia="Times New Roman" w:cs="Times New Roman"/>
          <w:lang w:eastAsia="de-DE"/>
        </w:rPr>
        <w:t xml:space="preserve">(maskulines Nomen als inneres Objekt „ein Gelübde"), </w:t>
      </w:r>
      <w:r w:rsidRPr="008460FE">
        <w:rPr>
          <w:rFonts w:eastAsia="Times New Roman" w:cs="Times New Roman"/>
          <w:b/>
          <w:bCs/>
          <w:rtl/>
          <w:lang w:eastAsia="de-DE"/>
        </w:rPr>
        <w:t>לַיהוה</w:t>
      </w:r>
      <w:r w:rsidRPr="008460FE">
        <w:rPr>
          <w:rFonts w:eastAsia="Times New Roman" w:cs="Times New Roman"/>
          <w:rtl/>
          <w:lang w:eastAsia="de-DE"/>
        </w:rPr>
        <w:t xml:space="preserve"> </w:t>
      </w:r>
      <w:r w:rsidRPr="008460FE">
        <w:rPr>
          <w:rFonts w:eastAsia="Times New Roman" w:cs="Times New Roman"/>
          <w:lang w:eastAsia="de-DE"/>
        </w:rPr>
        <w:t xml:space="preserve">(Präposition mit Tetragramm „dem Ewigen"). Die figura etymologica </w:t>
      </w:r>
      <w:r w:rsidRPr="008460FE">
        <w:rPr>
          <w:rFonts w:eastAsia="Times New Roman" w:cs="Times New Roman"/>
          <w:b/>
          <w:bCs/>
          <w:rtl/>
          <w:lang w:eastAsia="de-DE"/>
        </w:rPr>
        <w:t>נדר נֶדֶר</w:t>
      </w:r>
      <w:r w:rsidRPr="008460FE">
        <w:rPr>
          <w:rFonts w:eastAsia="Times New Roman" w:cs="Times New Roman"/>
          <w:rtl/>
          <w:lang w:eastAsia="de-DE"/>
        </w:rPr>
        <w:t xml:space="preserve"> </w:t>
      </w:r>
      <w:r w:rsidRPr="008460FE">
        <w:rPr>
          <w:rFonts w:eastAsia="Times New Roman" w:cs="Times New Roman"/>
          <w:lang w:eastAsia="de-DE"/>
        </w:rPr>
        <w:t>betont die Ernsthaftigkeit der Handlung.</w:t>
      </w:r>
    </w:p>
    <w:p w14:paraId="1F842ED4" w14:textId="2A4F9912"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rtl/>
          <w:lang w:eastAsia="de-DE"/>
        </w:rPr>
        <w:t>אוֹ־הִשָּׁבַע שְׁבֻעָה לֶאְסֹר אִסָּר עַל־נַפְשׁוֹ</w:t>
      </w:r>
      <w:r w:rsidRPr="008460FE">
        <w:rPr>
          <w:rFonts w:eastAsia="Times New Roman" w:cs="Times New Roman"/>
          <w:rtl/>
          <w:lang w:eastAsia="de-DE"/>
        </w:rPr>
        <w:t xml:space="preserve"> </w:t>
      </w:r>
      <w:r w:rsidRPr="008460FE">
        <w:rPr>
          <w:rFonts w:eastAsia="Times New Roman" w:cs="Times New Roman"/>
          <w:lang w:eastAsia="de-DE"/>
        </w:rPr>
        <w:t xml:space="preserve">ist der zweite Fall. </w:t>
      </w:r>
      <w:r w:rsidRPr="008460FE">
        <w:rPr>
          <w:rFonts w:eastAsia="Times New Roman" w:cs="Times New Roman"/>
          <w:b/>
          <w:bCs/>
          <w:rtl/>
          <w:lang w:eastAsia="de-DE"/>
        </w:rPr>
        <w:t>אוֹ</w:t>
      </w:r>
      <w:r w:rsidRPr="008460FE">
        <w:rPr>
          <w:rFonts w:eastAsia="Times New Roman" w:cs="Times New Roman"/>
          <w:rtl/>
          <w:lang w:eastAsia="de-DE"/>
        </w:rPr>
        <w:t xml:space="preserve"> </w:t>
      </w:r>
      <w:r w:rsidRPr="008460FE">
        <w:rPr>
          <w:rFonts w:eastAsia="Times New Roman" w:cs="Times New Roman"/>
          <w:lang w:eastAsia="de-DE"/>
        </w:rPr>
        <w:t xml:space="preserve">(„oder"), </w:t>
      </w:r>
      <w:r w:rsidRPr="008460FE">
        <w:rPr>
          <w:rFonts w:eastAsia="Times New Roman" w:cs="Times New Roman"/>
          <w:b/>
          <w:bCs/>
          <w:rtl/>
          <w:lang w:eastAsia="de-DE"/>
        </w:rPr>
        <w:t>הִשָּׁבַע</w:t>
      </w:r>
      <w:r w:rsidRPr="008460FE">
        <w:rPr>
          <w:rFonts w:eastAsia="Times New Roman" w:cs="Times New Roman"/>
          <w:rtl/>
          <w:lang w:eastAsia="de-DE"/>
        </w:rPr>
        <w:t xml:space="preserve"> </w:t>
      </w:r>
      <w:r w:rsidRPr="008460FE">
        <w:rPr>
          <w:rFonts w:eastAsia="Times New Roman" w:cs="Times New Roman"/>
          <w:lang w:eastAsia="de-DE"/>
        </w:rPr>
        <w:t xml:space="preserve">(Niphal Perfekt 3. Person maskulin Singular von </w:t>
      </w:r>
      <w:r w:rsidRPr="008460FE">
        <w:rPr>
          <w:rFonts w:eastAsia="Times New Roman" w:cs="Times New Roman"/>
          <w:b/>
          <w:bCs/>
          <w:rtl/>
          <w:lang w:eastAsia="de-DE"/>
        </w:rPr>
        <w:t>שׁבע</w:t>
      </w:r>
      <w:r w:rsidRPr="008460FE">
        <w:rPr>
          <w:rFonts w:eastAsia="Times New Roman" w:cs="Times New Roman"/>
          <w:rtl/>
          <w:lang w:eastAsia="de-DE"/>
        </w:rPr>
        <w:t xml:space="preserve"> </w:t>
      </w:r>
      <w:r w:rsidRPr="008460FE">
        <w:rPr>
          <w:rFonts w:eastAsia="Times New Roman" w:cs="Times New Roman"/>
          <w:lang w:eastAsia="de-DE"/>
        </w:rPr>
        <w:t xml:space="preserve">„schwören"), </w:t>
      </w:r>
      <w:r w:rsidRPr="008460FE">
        <w:rPr>
          <w:rFonts w:eastAsia="Times New Roman" w:cs="Times New Roman"/>
          <w:b/>
          <w:bCs/>
          <w:rtl/>
          <w:lang w:eastAsia="de-DE"/>
        </w:rPr>
        <w:t>שְׁבֻעָה</w:t>
      </w:r>
      <w:r w:rsidRPr="008460FE">
        <w:rPr>
          <w:rFonts w:eastAsia="Times New Roman" w:cs="Times New Roman"/>
          <w:rtl/>
          <w:lang w:eastAsia="de-DE"/>
        </w:rPr>
        <w:t xml:space="preserve"> </w:t>
      </w:r>
      <w:r w:rsidRPr="008460FE">
        <w:rPr>
          <w:rFonts w:eastAsia="Times New Roman" w:cs="Times New Roman"/>
          <w:lang w:eastAsia="de-DE"/>
        </w:rPr>
        <w:t xml:space="preserve">(feminine Form „einen Eid" als inneres Objekt), </w:t>
      </w:r>
      <w:r w:rsidRPr="008460FE">
        <w:rPr>
          <w:rFonts w:eastAsia="Times New Roman" w:cs="Times New Roman"/>
          <w:b/>
          <w:bCs/>
          <w:rtl/>
          <w:lang w:eastAsia="de-DE"/>
        </w:rPr>
        <w:t>לֶאְסֹר אִסָּר</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לְ</w:t>
      </w:r>
      <w:r w:rsidRPr="008460FE">
        <w:rPr>
          <w:rFonts w:eastAsia="Times New Roman" w:cs="Times New Roman"/>
          <w:rtl/>
          <w:lang w:eastAsia="de-DE"/>
        </w:rPr>
        <w:t xml:space="preserve"> </w:t>
      </w:r>
      <w:r w:rsidRPr="008460FE">
        <w:rPr>
          <w:rFonts w:eastAsia="Times New Roman" w:cs="Times New Roman"/>
          <w:lang w:eastAsia="de-DE"/>
        </w:rPr>
        <w:t xml:space="preserve">mit Qal Infinitiv </w:t>
      </w:r>
      <w:r w:rsidR="00E031B3">
        <w:rPr>
          <w:rFonts w:eastAsia="Times New Roman" w:cs="Times New Roman"/>
          <w:lang w:eastAsia="de-DE"/>
        </w:rPr>
        <w:t>Constructus von</w:t>
      </w:r>
      <w:r w:rsidRPr="008460FE">
        <w:rPr>
          <w:rFonts w:eastAsia="Times New Roman" w:cs="Times New Roman"/>
          <w:lang w:eastAsia="de-DE"/>
        </w:rPr>
        <w:t xml:space="preserve"> </w:t>
      </w:r>
      <w:r w:rsidRPr="008460FE">
        <w:rPr>
          <w:rFonts w:eastAsia="Times New Roman" w:cs="Times New Roman"/>
          <w:b/>
          <w:bCs/>
          <w:rtl/>
          <w:lang w:eastAsia="de-DE"/>
        </w:rPr>
        <w:t>אסר</w:t>
      </w:r>
      <w:r w:rsidRPr="008460FE">
        <w:rPr>
          <w:rFonts w:eastAsia="Times New Roman" w:cs="Times New Roman"/>
          <w:rtl/>
          <w:lang w:eastAsia="de-DE"/>
        </w:rPr>
        <w:t xml:space="preserve"> </w:t>
      </w:r>
      <w:r w:rsidRPr="008460FE">
        <w:rPr>
          <w:rFonts w:eastAsia="Times New Roman" w:cs="Times New Roman"/>
          <w:lang w:eastAsia="de-DE"/>
        </w:rPr>
        <w:t xml:space="preserve">„binden" und maskulines Nomen </w:t>
      </w:r>
      <w:r w:rsidRPr="008460FE">
        <w:rPr>
          <w:rFonts w:eastAsia="Times New Roman" w:cs="Times New Roman"/>
          <w:b/>
          <w:bCs/>
          <w:rtl/>
          <w:lang w:eastAsia="de-DE"/>
        </w:rPr>
        <w:t>אִסָּר</w:t>
      </w:r>
      <w:r w:rsidRPr="008460FE">
        <w:rPr>
          <w:rFonts w:eastAsia="Times New Roman" w:cs="Times New Roman"/>
          <w:rtl/>
          <w:lang w:eastAsia="de-DE"/>
        </w:rPr>
        <w:t xml:space="preserve"> </w:t>
      </w:r>
      <w:r w:rsidRPr="008460FE">
        <w:rPr>
          <w:rFonts w:eastAsia="Times New Roman" w:cs="Times New Roman"/>
          <w:lang w:eastAsia="de-DE"/>
        </w:rPr>
        <w:t xml:space="preserve">„Verpflichtung, Bindung" als inneres Objekt „eine Verpflichtung zu binden"), </w:t>
      </w:r>
      <w:r w:rsidRPr="008460FE">
        <w:rPr>
          <w:rFonts w:eastAsia="Times New Roman" w:cs="Times New Roman"/>
          <w:b/>
          <w:bCs/>
          <w:rtl/>
          <w:lang w:eastAsia="de-DE"/>
        </w:rPr>
        <w:t>עַל־נַפְשׁוֹ</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עַל</w:t>
      </w:r>
      <w:r w:rsidRPr="008460FE">
        <w:rPr>
          <w:rFonts w:eastAsia="Times New Roman" w:cs="Times New Roman"/>
          <w:rtl/>
          <w:lang w:eastAsia="de-DE"/>
        </w:rPr>
        <w:t xml:space="preserve"> </w:t>
      </w:r>
      <w:r w:rsidRPr="008460FE">
        <w:rPr>
          <w:rFonts w:eastAsia="Times New Roman" w:cs="Times New Roman"/>
          <w:lang w:eastAsia="de-DE"/>
        </w:rPr>
        <w:t xml:space="preserve">„auf" mit </w:t>
      </w:r>
      <w:r w:rsidRPr="008460FE">
        <w:rPr>
          <w:rFonts w:eastAsia="Times New Roman" w:cs="Times New Roman"/>
          <w:b/>
          <w:bCs/>
          <w:rtl/>
          <w:lang w:eastAsia="de-DE"/>
        </w:rPr>
        <w:t>נֶפֶשׁ</w:t>
      </w:r>
      <w:r w:rsidRPr="008460FE">
        <w:rPr>
          <w:rFonts w:eastAsia="Times New Roman" w:cs="Times New Roman"/>
          <w:rtl/>
          <w:lang w:eastAsia="de-DE"/>
        </w:rPr>
        <w:t xml:space="preserve"> </w:t>
      </w:r>
      <w:r w:rsidRPr="008460FE">
        <w:rPr>
          <w:rFonts w:eastAsia="Times New Roman" w:cs="Times New Roman"/>
          <w:lang w:eastAsia="de-DE"/>
        </w:rPr>
        <w:t>„Seele, Person" und Suffix 3. Person maskulin Singular „auf seine Seele").</w:t>
      </w:r>
    </w:p>
    <w:p w14:paraId="2D05505C"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rtl/>
          <w:lang w:eastAsia="de-DE"/>
        </w:rPr>
        <w:t>לֹא יַחֵל דְּבָרוֹ</w:t>
      </w:r>
      <w:r w:rsidRPr="008460FE">
        <w:rPr>
          <w:rFonts w:eastAsia="Times New Roman" w:cs="Times New Roman"/>
          <w:rtl/>
          <w:lang w:eastAsia="de-DE"/>
        </w:rPr>
        <w:t xml:space="preserve"> </w:t>
      </w:r>
      <w:r w:rsidRPr="008460FE">
        <w:rPr>
          <w:rFonts w:eastAsia="Times New Roman" w:cs="Times New Roman"/>
          <w:lang w:eastAsia="de-DE"/>
        </w:rPr>
        <w:t xml:space="preserve">ist das Verbot. </w:t>
      </w:r>
      <w:r w:rsidRPr="008460FE">
        <w:rPr>
          <w:rFonts w:eastAsia="Times New Roman" w:cs="Times New Roman"/>
          <w:b/>
          <w:bCs/>
          <w:rtl/>
          <w:lang w:eastAsia="de-DE"/>
        </w:rPr>
        <w:t>לֹא</w:t>
      </w:r>
      <w:r w:rsidRPr="008460FE">
        <w:rPr>
          <w:rFonts w:eastAsia="Times New Roman" w:cs="Times New Roman"/>
          <w:rtl/>
          <w:lang w:eastAsia="de-DE"/>
        </w:rPr>
        <w:t xml:space="preserve"> </w:t>
      </w:r>
      <w:r w:rsidRPr="008460FE">
        <w:rPr>
          <w:rFonts w:eastAsia="Times New Roman" w:cs="Times New Roman"/>
          <w:lang w:eastAsia="de-DE"/>
        </w:rPr>
        <w:t xml:space="preserve">(Negation), </w:t>
      </w:r>
      <w:r w:rsidRPr="008460FE">
        <w:rPr>
          <w:rFonts w:eastAsia="Times New Roman" w:cs="Times New Roman"/>
          <w:b/>
          <w:bCs/>
          <w:rtl/>
          <w:lang w:eastAsia="de-DE"/>
        </w:rPr>
        <w:t>יַחֵל</w:t>
      </w:r>
      <w:r w:rsidRPr="008460FE">
        <w:rPr>
          <w:rFonts w:eastAsia="Times New Roman" w:cs="Times New Roman"/>
          <w:rtl/>
          <w:lang w:eastAsia="de-DE"/>
        </w:rPr>
        <w:t xml:space="preserve"> </w:t>
      </w:r>
      <w:r w:rsidRPr="008460FE">
        <w:rPr>
          <w:rFonts w:eastAsia="Times New Roman" w:cs="Times New Roman"/>
          <w:lang w:eastAsia="de-DE"/>
        </w:rPr>
        <w:t xml:space="preserve">(Hiphil Imperfekt 3. Person maskulin Singular von </w:t>
      </w:r>
      <w:r w:rsidRPr="008460FE">
        <w:rPr>
          <w:rFonts w:eastAsia="Times New Roman" w:cs="Times New Roman"/>
          <w:b/>
          <w:bCs/>
          <w:rtl/>
          <w:lang w:eastAsia="de-DE"/>
        </w:rPr>
        <w:t>חלל</w:t>
      </w:r>
      <w:r w:rsidRPr="008460FE">
        <w:rPr>
          <w:rFonts w:eastAsia="Times New Roman" w:cs="Times New Roman"/>
          <w:rtl/>
          <w:lang w:eastAsia="de-DE"/>
        </w:rPr>
        <w:t xml:space="preserve"> </w:t>
      </w:r>
      <w:r w:rsidRPr="008460FE">
        <w:rPr>
          <w:rFonts w:eastAsia="Times New Roman" w:cs="Times New Roman"/>
          <w:lang w:eastAsia="de-DE"/>
        </w:rPr>
        <w:t xml:space="preserve">„entweihen, profanieren, brechen"), </w:t>
      </w:r>
      <w:r w:rsidRPr="008460FE">
        <w:rPr>
          <w:rFonts w:eastAsia="Times New Roman" w:cs="Times New Roman"/>
          <w:b/>
          <w:bCs/>
          <w:rtl/>
          <w:lang w:eastAsia="de-DE"/>
        </w:rPr>
        <w:t>דְּבָרוֹ</w:t>
      </w:r>
      <w:r w:rsidRPr="008460FE">
        <w:rPr>
          <w:rFonts w:eastAsia="Times New Roman" w:cs="Times New Roman"/>
          <w:rtl/>
          <w:lang w:eastAsia="de-DE"/>
        </w:rPr>
        <w:t xml:space="preserve"> </w:t>
      </w:r>
      <w:r w:rsidRPr="008460FE">
        <w:rPr>
          <w:rFonts w:eastAsia="Times New Roman" w:cs="Times New Roman"/>
          <w:lang w:eastAsia="de-DE"/>
        </w:rPr>
        <w:t xml:space="preserve">(maskulines Nomen </w:t>
      </w:r>
      <w:r w:rsidRPr="008460FE">
        <w:rPr>
          <w:rFonts w:eastAsia="Times New Roman" w:cs="Times New Roman"/>
          <w:b/>
          <w:bCs/>
          <w:rtl/>
          <w:lang w:eastAsia="de-DE"/>
        </w:rPr>
        <w:t>דָּבָר</w:t>
      </w:r>
      <w:r w:rsidRPr="008460FE">
        <w:rPr>
          <w:rFonts w:eastAsia="Times New Roman" w:cs="Times New Roman"/>
          <w:rtl/>
          <w:lang w:eastAsia="de-DE"/>
        </w:rPr>
        <w:t xml:space="preserve"> </w:t>
      </w:r>
      <w:r w:rsidRPr="008460FE">
        <w:rPr>
          <w:rFonts w:eastAsia="Times New Roman" w:cs="Times New Roman"/>
          <w:lang w:eastAsia="de-DE"/>
        </w:rPr>
        <w:t xml:space="preserve">„Wort" mit Suffix „sein Wort"). Das Verb </w:t>
      </w:r>
      <w:r w:rsidRPr="008460FE">
        <w:rPr>
          <w:rFonts w:eastAsia="Times New Roman" w:cs="Times New Roman"/>
          <w:b/>
          <w:bCs/>
          <w:rtl/>
          <w:lang w:eastAsia="de-DE"/>
        </w:rPr>
        <w:t>חלל</w:t>
      </w:r>
      <w:r w:rsidRPr="008460FE">
        <w:rPr>
          <w:rFonts w:eastAsia="Times New Roman" w:cs="Times New Roman"/>
          <w:rtl/>
          <w:lang w:eastAsia="de-DE"/>
        </w:rPr>
        <w:t xml:space="preserve"> </w:t>
      </w:r>
      <w:r w:rsidRPr="008460FE">
        <w:rPr>
          <w:rFonts w:eastAsia="Times New Roman" w:cs="Times New Roman"/>
          <w:lang w:eastAsia="de-DE"/>
        </w:rPr>
        <w:t>im Hiphil bedeutet „entweihen, für gemein erklären", d.h. das gegebene Wort durch Nichterfüllung entwerten.</w:t>
      </w:r>
    </w:p>
    <w:p w14:paraId="3FE8AEFE"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rtl/>
          <w:lang w:eastAsia="de-DE"/>
        </w:rPr>
        <w:t>כְּכָל־הַיֹּצֵא מִפִּיו יַעֲשֶׂה</w:t>
      </w:r>
      <w:r w:rsidRPr="008460FE">
        <w:rPr>
          <w:rFonts w:eastAsia="Times New Roman" w:cs="Times New Roman"/>
          <w:rtl/>
          <w:lang w:eastAsia="de-DE"/>
        </w:rPr>
        <w:t xml:space="preserve"> </w:t>
      </w:r>
      <w:r w:rsidRPr="008460FE">
        <w:rPr>
          <w:rFonts w:eastAsia="Times New Roman" w:cs="Times New Roman"/>
          <w:lang w:eastAsia="de-DE"/>
        </w:rPr>
        <w:t xml:space="preserve">ist die positive Verpflichtung. </w:t>
      </w:r>
      <w:r w:rsidRPr="008460FE">
        <w:rPr>
          <w:rFonts w:eastAsia="Times New Roman" w:cs="Times New Roman"/>
          <w:b/>
          <w:bCs/>
          <w:rtl/>
          <w:lang w:eastAsia="de-DE"/>
        </w:rPr>
        <w:t>כְּכָל</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כְּ</w:t>
      </w:r>
      <w:r w:rsidRPr="008460FE">
        <w:rPr>
          <w:rFonts w:eastAsia="Times New Roman" w:cs="Times New Roman"/>
          <w:rtl/>
          <w:lang w:eastAsia="de-DE"/>
        </w:rPr>
        <w:t xml:space="preserve"> </w:t>
      </w:r>
      <w:r w:rsidRPr="008460FE">
        <w:rPr>
          <w:rFonts w:eastAsia="Times New Roman" w:cs="Times New Roman"/>
          <w:lang w:eastAsia="de-DE"/>
        </w:rPr>
        <w:t xml:space="preserve">„gemäß" mit </w:t>
      </w:r>
      <w:r w:rsidRPr="008460FE">
        <w:rPr>
          <w:rFonts w:eastAsia="Times New Roman" w:cs="Times New Roman"/>
          <w:b/>
          <w:bCs/>
          <w:rtl/>
          <w:lang w:eastAsia="de-DE"/>
        </w:rPr>
        <w:t>כֹּל</w:t>
      </w:r>
      <w:r w:rsidRPr="008460FE">
        <w:rPr>
          <w:rFonts w:eastAsia="Times New Roman" w:cs="Times New Roman"/>
          <w:rtl/>
          <w:lang w:eastAsia="de-DE"/>
        </w:rPr>
        <w:t xml:space="preserve"> </w:t>
      </w:r>
      <w:r w:rsidRPr="008460FE">
        <w:rPr>
          <w:rFonts w:eastAsia="Times New Roman" w:cs="Times New Roman"/>
          <w:lang w:eastAsia="de-DE"/>
        </w:rPr>
        <w:t xml:space="preserve">„alles"), </w:t>
      </w:r>
      <w:r w:rsidRPr="008460FE">
        <w:rPr>
          <w:rFonts w:eastAsia="Times New Roman" w:cs="Times New Roman"/>
          <w:b/>
          <w:bCs/>
          <w:rtl/>
          <w:lang w:eastAsia="de-DE"/>
        </w:rPr>
        <w:t>הַיֹּצֵא מִפִּיו</w:t>
      </w:r>
      <w:r w:rsidRPr="008460FE">
        <w:rPr>
          <w:rFonts w:eastAsia="Times New Roman" w:cs="Times New Roman"/>
          <w:rtl/>
          <w:lang w:eastAsia="de-DE"/>
        </w:rPr>
        <w:t xml:space="preserve"> </w:t>
      </w:r>
      <w:r w:rsidRPr="008460FE">
        <w:rPr>
          <w:rFonts w:eastAsia="Times New Roman" w:cs="Times New Roman"/>
          <w:lang w:eastAsia="de-DE"/>
        </w:rPr>
        <w:t xml:space="preserve">(Qal-Partizip maskulin Singular von </w:t>
      </w:r>
      <w:r w:rsidRPr="008460FE">
        <w:rPr>
          <w:rFonts w:eastAsia="Times New Roman" w:cs="Times New Roman"/>
          <w:b/>
          <w:bCs/>
          <w:rtl/>
          <w:lang w:eastAsia="de-DE"/>
        </w:rPr>
        <w:t>יצא</w:t>
      </w:r>
      <w:r w:rsidRPr="008460FE">
        <w:rPr>
          <w:rFonts w:eastAsia="Times New Roman" w:cs="Times New Roman"/>
          <w:rtl/>
          <w:lang w:eastAsia="de-DE"/>
        </w:rPr>
        <w:t xml:space="preserve"> </w:t>
      </w:r>
      <w:r w:rsidRPr="008460FE">
        <w:rPr>
          <w:rFonts w:eastAsia="Times New Roman" w:cs="Times New Roman"/>
          <w:lang w:eastAsia="de-DE"/>
        </w:rPr>
        <w:t xml:space="preserve">„ausgehen, herauskommen" mit Artikel, Präposition </w:t>
      </w:r>
      <w:r w:rsidRPr="008460FE">
        <w:rPr>
          <w:rFonts w:eastAsia="Times New Roman" w:cs="Times New Roman"/>
          <w:b/>
          <w:bCs/>
          <w:rtl/>
          <w:lang w:eastAsia="de-DE"/>
        </w:rPr>
        <w:t>מִן</w:t>
      </w:r>
      <w:r w:rsidRPr="008460FE">
        <w:rPr>
          <w:rFonts w:eastAsia="Times New Roman" w:cs="Times New Roman"/>
          <w:rtl/>
          <w:lang w:eastAsia="de-DE"/>
        </w:rPr>
        <w:t xml:space="preserve"> </w:t>
      </w:r>
      <w:r w:rsidRPr="008460FE">
        <w:rPr>
          <w:rFonts w:eastAsia="Times New Roman" w:cs="Times New Roman"/>
          <w:lang w:eastAsia="de-DE"/>
        </w:rPr>
        <w:t xml:space="preserve">mit </w:t>
      </w:r>
      <w:r w:rsidRPr="008460FE">
        <w:rPr>
          <w:rFonts w:eastAsia="Times New Roman" w:cs="Times New Roman"/>
          <w:b/>
          <w:bCs/>
          <w:rtl/>
          <w:lang w:eastAsia="de-DE"/>
        </w:rPr>
        <w:t>פֶּה</w:t>
      </w:r>
      <w:r w:rsidRPr="008460FE">
        <w:rPr>
          <w:rFonts w:eastAsia="Times New Roman" w:cs="Times New Roman"/>
          <w:rtl/>
          <w:lang w:eastAsia="de-DE"/>
        </w:rPr>
        <w:t xml:space="preserve"> </w:t>
      </w:r>
      <w:r w:rsidRPr="008460FE">
        <w:rPr>
          <w:rFonts w:eastAsia="Times New Roman" w:cs="Times New Roman"/>
          <w:lang w:eastAsia="de-DE"/>
        </w:rPr>
        <w:t xml:space="preserve">„Mund" und Suffix „das Ausgehende aus seinem Mund"), </w:t>
      </w:r>
      <w:r w:rsidRPr="008460FE">
        <w:rPr>
          <w:rFonts w:eastAsia="Times New Roman" w:cs="Times New Roman"/>
          <w:b/>
          <w:bCs/>
          <w:rtl/>
          <w:lang w:eastAsia="de-DE"/>
        </w:rPr>
        <w:t>יַעֲשֶׂה</w:t>
      </w:r>
      <w:r w:rsidRPr="008460FE">
        <w:rPr>
          <w:rFonts w:eastAsia="Times New Roman" w:cs="Times New Roman"/>
          <w:rtl/>
          <w:lang w:eastAsia="de-DE"/>
        </w:rPr>
        <w:t xml:space="preserve"> </w:t>
      </w:r>
      <w:r w:rsidRPr="008460FE">
        <w:rPr>
          <w:rFonts w:eastAsia="Times New Roman" w:cs="Times New Roman"/>
          <w:lang w:eastAsia="de-DE"/>
        </w:rPr>
        <w:t xml:space="preserve">(Qal Imperfekt 3. Person maskulin Singular von </w:t>
      </w:r>
      <w:r w:rsidRPr="008460FE">
        <w:rPr>
          <w:rFonts w:eastAsia="Times New Roman" w:cs="Times New Roman"/>
          <w:b/>
          <w:bCs/>
          <w:rtl/>
          <w:lang w:eastAsia="de-DE"/>
        </w:rPr>
        <w:t>עשׂה</w:t>
      </w:r>
      <w:r w:rsidRPr="008460FE">
        <w:rPr>
          <w:rFonts w:eastAsia="Times New Roman" w:cs="Times New Roman"/>
          <w:rtl/>
          <w:lang w:eastAsia="de-DE"/>
        </w:rPr>
        <w:t xml:space="preserve"> </w:t>
      </w:r>
      <w:r w:rsidRPr="008460FE">
        <w:rPr>
          <w:rFonts w:eastAsia="Times New Roman" w:cs="Times New Roman"/>
          <w:lang w:eastAsia="de-DE"/>
        </w:rPr>
        <w:t>„tun, machen").</w:t>
      </w:r>
    </w:p>
    <w:p w14:paraId="6C4FA084" w14:textId="77777777" w:rsidR="006B51A1" w:rsidRDefault="006B51A1" w:rsidP="008460FE">
      <w:pPr>
        <w:spacing w:before="100" w:beforeAutospacing="1" w:after="100" w:afterAutospacing="1" w:line="240" w:lineRule="auto"/>
        <w:rPr>
          <w:rFonts w:eastAsia="Times New Roman" w:cs="Times New Roman"/>
          <w:lang w:eastAsia="de-DE"/>
        </w:rPr>
      </w:pPr>
      <w:r>
        <w:rPr>
          <w:rStyle w:val="Fett"/>
        </w:rPr>
        <w:lastRenderedPageBreak/>
        <w:t>Vers 3:</w:t>
      </w:r>
      <w:r>
        <w:t xml:space="preserve"> </w:t>
      </w:r>
      <w:r>
        <w:rPr>
          <w:rStyle w:val="Fett"/>
        </w:rPr>
        <w:t>Die LXX</w:t>
      </w:r>
      <w:r>
        <w:t xml:space="preserve"> übersetzt „</w:t>
      </w:r>
      <w:r w:rsidRPr="006B51A1">
        <w:rPr>
          <w:b/>
          <w:bCs/>
          <w:rtl/>
        </w:rPr>
        <w:t>לֹא</w:t>
      </w:r>
      <w:r>
        <w:rPr>
          <w:rtl/>
        </w:rPr>
        <w:t xml:space="preserve"> </w:t>
      </w:r>
      <w:r w:rsidRPr="006B51A1">
        <w:rPr>
          <w:b/>
          <w:bCs/>
          <w:rtl/>
        </w:rPr>
        <w:t>יַחֵל</w:t>
      </w:r>
      <w:r>
        <w:rPr>
          <w:rtl/>
        </w:rPr>
        <w:t xml:space="preserve"> </w:t>
      </w:r>
      <w:r w:rsidRPr="006B51A1">
        <w:rPr>
          <w:b/>
          <w:bCs/>
          <w:rtl/>
        </w:rPr>
        <w:t>דְּבָרוֹ</w:t>
      </w:r>
      <w:r>
        <w:t>" (er soll sein Wort nicht entweihen/brechen) mit „οὐ βεβηλώσει τὸ ῥῆμα αὐτοῦ" (er soll sein Wort nicht profanieren), wobei dieselbe Wurzel verwendet wird.</w:t>
      </w:r>
      <w:r w:rsidRPr="008460FE">
        <w:rPr>
          <w:rFonts w:eastAsia="Times New Roman" w:cs="Times New Roman"/>
          <w:lang w:eastAsia="de-DE"/>
        </w:rPr>
        <w:t xml:space="preserve"> </w:t>
      </w:r>
    </w:p>
    <w:p w14:paraId="50312FB6" w14:textId="04131D1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Die Satzstruktur zeigt eine doppelte konditionale Einleitung (wenn ein Mann gelobt oder schwört), gefolgt von einem Verbot und einer positiven Verpflichtung.</w:t>
      </w:r>
    </w:p>
    <w:p w14:paraId="0A00385B"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Der Vers etabliert die absolute Bindungskraft von Gelübden für erwachsene Männer: Was einmal gesprochen ist, muss erfüllt werden, ohne Möglichkeit der Aufhebung - ein Prinzip, das die Heiligkeit des gesprochenen Wortes betont.</w:t>
      </w:r>
    </w:p>
    <w:p w14:paraId="457EA95D" w14:textId="77777777" w:rsidR="008460FE" w:rsidRPr="008460FE" w:rsidRDefault="008460FE" w:rsidP="008460FE">
      <w:pPr>
        <w:spacing w:before="100" w:beforeAutospacing="1" w:after="100" w:afterAutospacing="1" w:line="240" w:lineRule="auto"/>
        <w:outlineLvl w:val="0"/>
        <w:rPr>
          <w:rFonts w:eastAsia="Times New Roman" w:cs="Times New Roman"/>
          <w:b/>
          <w:bCs/>
          <w:kern w:val="36"/>
          <w:sz w:val="48"/>
          <w:szCs w:val="48"/>
          <w:lang w:eastAsia="de-DE"/>
        </w:rPr>
      </w:pPr>
      <w:r w:rsidRPr="008460FE">
        <w:rPr>
          <w:rFonts w:eastAsia="Times New Roman" w:cs="Times New Roman"/>
          <w:b/>
          <w:bCs/>
          <w:kern w:val="36"/>
          <w:sz w:val="48"/>
          <w:szCs w:val="48"/>
          <w:lang w:eastAsia="de-DE"/>
        </w:rPr>
        <w:t>Numeri 30,4</w:t>
      </w:r>
    </w:p>
    <w:p w14:paraId="2734385E"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Hebräisch:</w:t>
      </w:r>
      <w:r w:rsidRPr="008460FE">
        <w:rPr>
          <w:rFonts w:eastAsia="Times New Roman" w:cs="Times New Roman"/>
          <w:lang w:eastAsia="de-DE"/>
        </w:rPr>
        <w:t xml:space="preserve"> </w:t>
      </w:r>
      <w:r w:rsidRPr="008460FE">
        <w:rPr>
          <w:rFonts w:eastAsia="Times New Roman" w:cs="Times New Roman"/>
          <w:rtl/>
          <w:lang w:eastAsia="de-DE"/>
        </w:rPr>
        <w:t>וְאִשָּׁ֕ה כִּֽי־תִדֹּ֥ר נֶ֖דֶר לַיהוָ֑ה וְאָסְרָ֥ה אִסָּ֛ר בְּבֵ֥ית אָבִ֖יהָ בִּנְעֻרֶֽיהָ׃</w:t>
      </w:r>
    </w:p>
    <w:p w14:paraId="196330FD"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Deutsch:</w:t>
      </w:r>
      <w:r w:rsidRPr="008460FE">
        <w:rPr>
          <w:rFonts w:eastAsia="Times New Roman" w:cs="Times New Roman"/>
          <w:lang w:eastAsia="de-DE"/>
        </w:rPr>
        <w:t xml:space="preserve"> Und wenn eine Frau dem Ewigen ein Gelübde gelobt oder eine Verpflichtung bindet im Haus ihres Vaters, in ihrer Jugend,</w:t>
      </w:r>
    </w:p>
    <w:p w14:paraId="0D5B0E4A" w14:textId="77777777" w:rsidR="008460FE" w:rsidRPr="008460FE" w:rsidRDefault="00F329DD" w:rsidP="008460FE">
      <w:pPr>
        <w:spacing w:after="0" w:line="240" w:lineRule="auto"/>
        <w:rPr>
          <w:rFonts w:eastAsia="Times New Roman" w:cs="Times New Roman"/>
          <w:lang w:eastAsia="de-DE"/>
        </w:rPr>
      </w:pPr>
      <w:r>
        <w:rPr>
          <w:rFonts w:eastAsia="Times New Roman" w:cs="Times New Roman"/>
          <w:noProof/>
          <w:lang w:eastAsia="de-DE"/>
        </w:rPr>
        <w:pict w14:anchorId="2B37B9C2">
          <v:rect id="_x0000_i1931" style="width:0;height:1.5pt" o:hralign="center" o:hrstd="t" o:hr="t" fillcolor="#a0a0a0" stroked="f"/>
        </w:pict>
      </w:r>
    </w:p>
    <w:p w14:paraId="793FDF15"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Kommentar:</w:t>
      </w:r>
      <w:r w:rsidRPr="008460FE">
        <w:rPr>
          <w:rFonts w:eastAsia="Times New Roman" w:cs="Times New Roman"/>
          <w:lang w:eastAsia="de-DE"/>
        </w:rPr>
        <w:t xml:space="preserve"> Der Vers beginnt die Regelung für unverheiratete Frauen. </w:t>
      </w:r>
      <w:r w:rsidRPr="008460FE">
        <w:rPr>
          <w:rFonts w:eastAsia="Times New Roman" w:cs="Times New Roman"/>
          <w:b/>
          <w:bCs/>
          <w:rtl/>
          <w:lang w:eastAsia="de-DE"/>
        </w:rPr>
        <w:t>וְאִשָּׁה כִּי־תִדֹּר נֶדֶר לַיהוה</w:t>
      </w:r>
      <w:r w:rsidRPr="008460FE">
        <w:rPr>
          <w:rFonts w:eastAsia="Times New Roman" w:cs="Times New Roman"/>
          <w:rtl/>
          <w:lang w:eastAsia="de-DE"/>
        </w:rPr>
        <w:t xml:space="preserve"> </w:t>
      </w:r>
      <w:r w:rsidRPr="008460FE">
        <w:rPr>
          <w:rFonts w:eastAsia="Times New Roman" w:cs="Times New Roman"/>
          <w:lang w:eastAsia="de-DE"/>
        </w:rPr>
        <w:t xml:space="preserve">folgt dem Muster von V. 3. </w:t>
      </w:r>
      <w:r w:rsidRPr="008460FE">
        <w:rPr>
          <w:rFonts w:eastAsia="Times New Roman" w:cs="Times New Roman"/>
          <w:b/>
          <w:bCs/>
          <w:rtl/>
          <w:lang w:eastAsia="de-DE"/>
        </w:rPr>
        <w:t>אִשָּׁה</w:t>
      </w:r>
      <w:r w:rsidRPr="008460FE">
        <w:rPr>
          <w:rFonts w:eastAsia="Times New Roman" w:cs="Times New Roman"/>
          <w:rtl/>
          <w:lang w:eastAsia="de-DE"/>
        </w:rPr>
        <w:t xml:space="preserve"> </w:t>
      </w:r>
      <w:r w:rsidRPr="008460FE">
        <w:rPr>
          <w:rFonts w:eastAsia="Times New Roman" w:cs="Times New Roman"/>
          <w:lang w:eastAsia="de-DE"/>
        </w:rPr>
        <w:t xml:space="preserve">(feminine Form „eine Frau"), </w:t>
      </w:r>
      <w:r w:rsidRPr="008460FE">
        <w:rPr>
          <w:rFonts w:eastAsia="Times New Roman" w:cs="Times New Roman"/>
          <w:b/>
          <w:bCs/>
          <w:rtl/>
          <w:lang w:eastAsia="de-DE"/>
        </w:rPr>
        <w:t>תִדֹּר</w:t>
      </w:r>
      <w:r w:rsidRPr="008460FE">
        <w:rPr>
          <w:rFonts w:eastAsia="Times New Roman" w:cs="Times New Roman"/>
          <w:rtl/>
          <w:lang w:eastAsia="de-DE"/>
        </w:rPr>
        <w:t xml:space="preserve"> </w:t>
      </w:r>
      <w:r w:rsidRPr="008460FE">
        <w:rPr>
          <w:rFonts w:eastAsia="Times New Roman" w:cs="Times New Roman"/>
          <w:lang w:eastAsia="de-DE"/>
        </w:rPr>
        <w:t xml:space="preserve">(Qal Imperfekt 3. Person feminin Singular von </w:t>
      </w:r>
      <w:r w:rsidRPr="008460FE">
        <w:rPr>
          <w:rFonts w:eastAsia="Times New Roman" w:cs="Times New Roman"/>
          <w:b/>
          <w:bCs/>
          <w:rtl/>
          <w:lang w:eastAsia="de-DE"/>
        </w:rPr>
        <w:t>נדר</w:t>
      </w:r>
      <w:r w:rsidRPr="008460FE">
        <w:rPr>
          <w:rFonts w:eastAsia="Times New Roman" w:cs="Times New Roman"/>
          <w:lang w:eastAsia="de-DE"/>
        </w:rPr>
        <w:t xml:space="preserve">), </w:t>
      </w:r>
      <w:r w:rsidRPr="008460FE">
        <w:rPr>
          <w:rFonts w:eastAsia="Times New Roman" w:cs="Times New Roman"/>
          <w:b/>
          <w:bCs/>
          <w:rtl/>
          <w:lang w:eastAsia="de-DE"/>
        </w:rPr>
        <w:t>נֶדֶר לַיהוה</w:t>
      </w:r>
      <w:r w:rsidRPr="008460FE">
        <w:rPr>
          <w:rFonts w:eastAsia="Times New Roman" w:cs="Times New Roman"/>
          <w:rtl/>
          <w:lang w:eastAsia="de-DE"/>
        </w:rPr>
        <w:t xml:space="preserve"> </w:t>
      </w:r>
      <w:r w:rsidRPr="008460FE">
        <w:rPr>
          <w:rFonts w:eastAsia="Times New Roman" w:cs="Times New Roman"/>
          <w:lang w:eastAsia="de-DE"/>
        </w:rPr>
        <w:t xml:space="preserve">wie zuvor. </w:t>
      </w:r>
      <w:r w:rsidRPr="008460FE">
        <w:rPr>
          <w:rFonts w:eastAsia="Times New Roman" w:cs="Times New Roman"/>
          <w:b/>
          <w:bCs/>
          <w:rtl/>
          <w:lang w:eastAsia="de-DE"/>
        </w:rPr>
        <w:t>וְאָסְרָה אִסָּר</w:t>
      </w:r>
      <w:r w:rsidRPr="008460FE">
        <w:rPr>
          <w:rFonts w:eastAsia="Times New Roman" w:cs="Times New Roman"/>
          <w:rtl/>
          <w:lang w:eastAsia="de-DE"/>
        </w:rPr>
        <w:t xml:space="preserve"> </w:t>
      </w:r>
      <w:r w:rsidRPr="008460FE">
        <w:rPr>
          <w:rFonts w:eastAsia="Times New Roman" w:cs="Times New Roman"/>
          <w:lang w:eastAsia="de-DE"/>
        </w:rPr>
        <w:t xml:space="preserve">(Konjunktion mit Qal Perfekt 3. Person feminin Singular mit Waw consecutivum von </w:t>
      </w:r>
      <w:r w:rsidRPr="008460FE">
        <w:rPr>
          <w:rFonts w:eastAsia="Times New Roman" w:cs="Times New Roman"/>
          <w:b/>
          <w:bCs/>
          <w:rtl/>
          <w:lang w:eastAsia="de-DE"/>
        </w:rPr>
        <w:t>אסר</w:t>
      </w:r>
      <w:r w:rsidRPr="008460FE">
        <w:rPr>
          <w:rFonts w:eastAsia="Times New Roman" w:cs="Times New Roman"/>
          <w:rtl/>
          <w:lang w:eastAsia="de-DE"/>
        </w:rPr>
        <w:t xml:space="preserve"> </w:t>
      </w:r>
      <w:r w:rsidRPr="008460FE">
        <w:rPr>
          <w:rFonts w:eastAsia="Times New Roman" w:cs="Times New Roman"/>
          <w:lang w:eastAsia="de-DE"/>
        </w:rPr>
        <w:t xml:space="preserve">„binden" und maskulines Nomen </w:t>
      </w:r>
      <w:r w:rsidRPr="008460FE">
        <w:rPr>
          <w:rFonts w:eastAsia="Times New Roman" w:cs="Times New Roman"/>
          <w:b/>
          <w:bCs/>
          <w:rtl/>
          <w:lang w:eastAsia="de-DE"/>
        </w:rPr>
        <w:t>אִסָּר</w:t>
      </w:r>
      <w:r w:rsidRPr="008460FE">
        <w:rPr>
          <w:rFonts w:eastAsia="Times New Roman" w:cs="Times New Roman"/>
          <w:rtl/>
          <w:lang w:eastAsia="de-DE"/>
        </w:rPr>
        <w:t xml:space="preserve"> </w:t>
      </w:r>
      <w:r w:rsidRPr="008460FE">
        <w:rPr>
          <w:rFonts w:eastAsia="Times New Roman" w:cs="Times New Roman"/>
          <w:lang w:eastAsia="de-DE"/>
        </w:rPr>
        <w:t>„Verpflichtung" „oder bindet eine Verpflichtung").</w:t>
      </w:r>
    </w:p>
    <w:p w14:paraId="225E1D4B" w14:textId="14EB5BA6"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rtl/>
          <w:lang w:eastAsia="de-DE"/>
        </w:rPr>
        <w:t>בְּבֵית אָבִיהָ בִּנְעֻרֶיהָ</w:t>
      </w:r>
      <w:r w:rsidRPr="008460FE">
        <w:rPr>
          <w:rFonts w:eastAsia="Times New Roman" w:cs="Times New Roman"/>
          <w:rtl/>
          <w:lang w:eastAsia="de-DE"/>
        </w:rPr>
        <w:t xml:space="preserve"> </w:t>
      </w:r>
      <w:r w:rsidRPr="008460FE">
        <w:rPr>
          <w:rFonts w:eastAsia="Times New Roman" w:cs="Times New Roman"/>
          <w:lang w:eastAsia="de-DE"/>
        </w:rPr>
        <w:t xml:space="preserve">sind zwei situative Bestimmungen. </w:t>
      </w:r>
      <w:r w:rsidRPr="008460FE">
        <w:rPr>
          <w:rFonts w:eastAsia="Times New Roman" w:cs="Times New Roman"/>
          <w:b/>
          <w:bCs/>
          <w:rtl/>
          <w:lang w:eastAsia="de-DE"/>
        </w:rPr>
        <w:t>בְּבֵית אָבִיהָ</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בְ</w:t>
      </w:r>
      <w:r w:rsidRPr="008460FE">
        <w:rPr>
          <w:rFonts w:eastAsia="Times New Roman" w:cs="Times New Roman"/>
          <w:rtl/>
          <w:lang w:eastAsia="de-DE"/>
        </w:rPr>
        <w:t xml:space="preserve"> </w:t>
      </w:r>
      <w:r w:rsidRPr="008460FE">
        <w:rPr>
          <w:rFonts w:eastAsia="Times New Roman" w:cs="Times New Roman"/>
          <w:lang w:eastAsia="de-DE"/>
        </w:rPr>
        <w:t xml:space="preserve">mit </w:t>
      </w:r>
      <w:r w:rsidRPr="008460FE">
        <w:rPr>
          <w:rFonts w:eastAsia="Times New Roman" w:cs="Times New Roman"/>
          <w:b/>
          <w:bCs/>
          <w:rtl/>
          <w:lang w:eastAsia="de-DE"/>
        </w:rPr>
        <w:t>בַּיִת</w:t>
      </w:r>
      <w:r w:rsidRPr="008460FE">
        <w:rPr>
          <w:rFonts w:eastAsia="Times New Roman" w:cs="Times New Roman"/>
          <w:rtl/>
          <w:lang w:eastAsia="de-DE"/>
        </w:rPr>
        <w:t xml:space="preserve"> </w:t>
      </w:r>
      <w:r w:rsidRPr="008460FE">
        <w:rPr>
          <w:rFonts w:eastAsia="Times New Roman" w:cs="Times New Roman"/>
          <w:lang w:eastAsia="de-DE"/>
        </w:rPr>
        <w:t xml:space="preserve">„Haus" im </w:t>
      </w:r>
      <w:r w:rsidR="00B513FF">
        <w:rPr>
          <w:rFonts w:eastAsia="Times New Roman" w:cs="Times New Roman"/>
          <w:lang w:eastAsia="de-DE"/>
        </w:rPr>
        <w:t xml:space="preserve">Constructus </w:t>
      </w:r>
      <w:r w:rsidRPr="008460FE">
        <w:rPr>
          <w:rFonts w:eastAsia="Times New Roman" w:cs="Times New Roman"/>
          <w:lang w:eastAsia="de-DE"/>
        </w:rPr>
        <w:t xml:space="preserve">, </w:t>
      </w:r>
      <w:r w:rsidRPr="008460FE">
        <w:rPr>
          <w:rFonts w:eastAsia="Times New Roman" w:cs="Times New Roman"/>
          <w:b/>
          <w:bCs/>
          <w:rtl/>
          <w:lang w:eastAsia="de-DE"/>
        </w:rPr>
        <w:t>אָב</w:t>
      </w:r>
      <w:r w:rsidRPr="008460FE">
        <w:rPr>
          <w:rFonts w:eastAsia="Times New Roman" w:cs="Times New Roman"/>
          <w:rtl/>
          <w:lang w:eastAsia="de-DE"/>
        </w:rPr>
        <w:t xml:space="preserve"> </w:t>
      </w:r>
      <w:r w:rsidRPr="008460FE">
        <w:rPr>
          <w:rFonts w:eastAsia="Times New Roman" w:cs="Times New Roman"/>
          <w:lang w:eastAsia="de-DE"/>
        </w:rPr>
        <w:t xml:space="preserve">„Vater" und Suffix 3. Person feminin Singular „im Haus ihres Vaters"), </w:t>
      </w:r>
      <w:r w:rsidRPr="008460FE">
        <w:rPr>
          <w:rFonts w:eastAsia="Times New Roman" w:cs="Times New Roman"/>
          <w:b/>
          <w:bCs/>
          <w:rtl/>
          <w:lang w:eastAsia="de-DE"/>
        </w:rPr>
        <w:t>בִּנְעֻרֶיהָ</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בְ</w:t>
      </w:r>
      <w:r w:rsidRPr="008460FE">
        <w:rPr>
          <w:rFonts w:eastAsia="Times New Roman" w:cs="Times New Roman"/>
          <w:rtl/>
          <w:lang w:eastAsia="de-DE"/>
        </w:rPr>
        <w:t xml:space="preserve"> </w:t>
      </w:r>
      <w:r w:rsidRPr="008460FE">
        <w:rPr>
          <w:rFonts w:eastAsia="Times New Roman" w:cs="Times New Roman"/>
          <w:lang w:eastAsia="de-DE"/>
        </w:rPr>
        <w:t xml:space="preserve">mit Plural von </w:t>
      </w:r>
      <w:r w:rsidRPr="008460FE">
        <w:rPr>
          <w:rFonts w:eastAsia="Times New Roman" w:cs="Times New Roman"/>
          <w:b/>
          <w:bCs/>
          <w:rtl/>
          <w:lang w:eastAsia="de-DE"/>
        </w:rPr>
        <w:t>נְעוּרִים</w:t>
      </w:r>
      <w:r w:rsidRPr="008460FE">
        <w:rPr>
          <w:rFonts w:eastAsia="Times New Roman" w:cs="Times New Roman"/>
          <w:rtl/>
          <w:lang w:eastAsia="de-DE"/>
        </w:rPr>
        <w:t xml:space="preserve"> </w:t>
      </w:r>
      <w:r w:rsidRPr="008460FE">
        <w:rPr>
          <w:rFonts w:eastAsia="Times New Roman" w:cs="Times New Roman"/>
          <w:lang w:eastAsia="de-DE"/>
        </w:rPr>
        <w:t>„Jugend" und Suffix „in ihrer Jugend"). Die doppelte Lokalisierung (im Vaterhaus + in der Jugend) bezeichnet eine unverheiratete junge Frau unter väterlicher Autorität.</w:t>
      </w:r>
    </w:p>
    <w:p w14:paraId="1F7A09D3"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Die Satzstruktur zeigt eine konditionale Einleitung mit zwei situativen Bestimmungen, die den Protasis eines längeren Konditionalgefüges bildet (die Apodosis folgt in V. 5-6).</w:t>
      </w:r>
    </w:p>
    <w:p w14:paraId="27D79A6D"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Der Vers eröffnet die differenziertere Regelung für Frauen, deren Gelübde im Unterschied zu Männern unter bestimmten Bedingungen aufgehoben werden können - eine Reflexion der patriarchalen Familienstruktur des antiken Israel.</w:t>
      </w:r>
    </w:p>
    <w:p w14:paraId="154C18F9" w14:textId="77777777" w:rsidR="008460FE" w:rsidRPr="008460FE" w:rsidRDefault="008460FE" w:rsidP="008460FE">
      <w:pPr>
        <w:spacing w:before="100" w:beforeAutospacing="1" w:after="100" w:afterAutospacing="1" w:line="240" w:lineRule="auto"/>
        <w:outlineLvl w:val="0"/>
        <w:rPr>
          <w:rFonts w:eastAsia="Times New Roman" w:cs="Times New Roman"/>
          <w:b/>
          <w:bCs/>
          <w:kern w:val="36"/>
          <w:sz w:val="48"/>
          <w:szCs w:val="48"/>
          <w:lang w:eastAsia="de-DE"/>
        </w:rPr>
      </w:pPr>
      <w:r w:rsidRPr="008460FE">
        <w:rPr>
          <w:rFonts w:eastAsia="Times New Roman" w:cs="Times New Roman"/>
          <w:b/>
          <w:bCs/>
          <w:kern w:val="36"/>
          <w:sz w:val="48"/>
          <w:szCs w:val="48"/>
          <w:lang w:eastAsia="de-DE"/>
        </w:rPr>
        <w:t>Numeri 30,5</w:t>
      </w:r>
    </w:p>
    <w:p w14:paraId="2366C5FA"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Hebräisch:</w:t>
      </w:r>
      <w:r w:rsidRPr="008460FE">
        <w:rPr>
          <w:rFonts w:eastAsia="Times New Roman" w:cs="Times New Roman"/>
          <w:lang w:eastAsia="de-DE"/>
        </w:rPr>
        <w:t xml:space="preserve"> </w:t>
      </w:r>
      <w:r w:rsidRPr="008460FE">
        <w:rPr>
          <w:rFonts w:eastAsia="Times New Roman" w:cs="Times New Roman"/>
          <w:rtl/>
          <w:lang w:eastAsia="de-DE"/>
        </w:rPr>
        <w:t>וְשָׁמַ֨ע אָבִ֜יהָ אֶת־נִדְרָ֗הּ וֶֽאֱסָרָהּ֙ אֲשֶׁ֣ר אָֽסְרָ֣ה עַל־נַפְשָׁ֔הּ וְהֶחֱרִ֥ישׁ לָ֖הּ אָבִ֑יהָ וְקָ֨מוּ֙ כָּל־נְדָרֶ֔יהָ וְכָל־אִסָּ֛ר אֲשֶׁר־אָסְרָ֥ה עַל־נַפְשָׁ֖הּ יָקֽוּם׃</w:t>
      </w:r>
    </w:p>
    <w:p w14:paraId="38C5C02B"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Deutsch:</w:t>
      </w:r>
      <w:r w:rsidRPr="008460FE">
        <w:rPr>
          <w:rFonts w:eastAsia="Times New Roman" w:cs="Times New Roman"/>
          <w:lang w:eastAsia="de-DE"/>
        </w:rPr>
        <w:t xml:space="preserve"> und ihr Vater hört ihr Gelübde oder ihre Verpflichtung, die sie auf ihre Seele gebunden hat, und ihr Vater schweigt ihr gegenüber: so sollen alle ihre Gelübde bestehen, und jede Verpflichtung, die sie auf ihre Seele gebunden hat, soll bestehen.</w:t>
      </w:r>
    </w:p>
    <w:p w14:paraId="1569FBE1" w14:textId="77777777" w:rsidR="008460FE" w:rsidRPr="008460FE" w:rsidRDefault="00F329DD" w:rsidP="008460FE">
      <w:pPr>
        <w:spacing w:after="0" w:line="240" w:lineRule="auto"/>
        <w:rPr>
          <w:rFonts w:eastAsia="Times New Roman" w:cs="Times New Roman"/>
          <w:lang w:eastAsia="de-DE"/>
        </w:rPr>
      </w:pPr>
      <w:r>
        <w:rPr>
          <w:rFonts w:eastAsia="Times New Roman" w:cs="Times New Roman"/>
          <w:noProof/>
          <w:lang w:eastAsia="de-DE"/>
        </w:rPr>
        <w:lastRenderedPageBreak/>
        <w:pict w14:anchorId="13DE0D17">
          <v:rect id="_x0000_i1932" style="width:0;height:1.5pt" o:hralign="center" o:hrstd="t" o:hr="t" fillcolor="#a0a0a0" stroked="f"/>
        </w:pict>
      </w:r>
    </w:p>
    <w:p w14:paraId="1DF09A71"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Kommentar:</w:t>
      </w:r>
      <w:r w:rsidRPr="008460FE">
        <w:rPr>
          <w:rFonts w:eastAsia="Times New Roman" w:cs="Times New Roman"/>
          <w:lang w:eastAsia="de-DE"/>
        </w:rPr>
        <w:t xml:space="preserve"> Der Vers gibt den ersten Fall: Bestätigung durch Schweigen. </w:t>
      </w:r>
      <w:r w:rsidRPr="008460FE">
        <w:rPr>
          <w:rFonts w:eastAsia="Times New Roman" w:cs="Times New Roman"/>
          <w:b/>
          <w:bCs/>
          <w:rtl/>
          <w:lang w:eastAsia="de-DE"/>
        </w:rPr>
        <w:t>וְשָׁמַע אָבִיהָ אֶת־נִדְרָהּ וֶאֱסָרָהּ אֲשֶׁר אָסְרָה עַל־נַפְשָׁהּ</w:t>
      </w:r>
      <w:r w:rsidRPr="008460FE">
        <w:rPr>
          <w:rFonts w:eastAsia="Times New Roman" w:cs="Times New Roman"/>
          <w:rtl/>
          <w:lang w:eastAsia="de-DE"/>
        </w:rPr>
        <w:t xml:space="preserve"> </w:t>
      </w:r>
      <w:r w:rsidRPr="008460FE">
        <w:rPr>
          <w:rFonts w:eastAsia="Times New Roman" w:cs="Times New Roman"/>
          <w:lang w:eastAsia="de-DE"/>
        </w:rPr>
        <w:t xml:space="preserve">ist die Bedingung. </w:t>
      </w:r>
      <w:r w:rsidRPr="008460FE">
        <w:rPr>
          <w:rFonts w:eastAsia="Times New Roman" w:cs="Times New Roman"/>
          <w:b/>
          <w:bCs/>
          <w:rtl/>
          <w:lang w:eastAsia="de-DE"/>
        </w:rPr>
        <w:t>וְשָׁמַע</w:t>
      </w:r>
      <w:r w:rsidRPr="008460FE">
        <w:rPr>
          <w:rFonts w:eastAsia="Times New Roman" w:cs="Times New Roman"/>
          <w:rtl/>
          <w:lang w:eastAsia="de-DE"/>
        </w:rPr>
        <w:t xml:space="preserve"> </w:t>
      </w:r>
      <w:r w:rsidRPr="008460FE">
        <w:rPr>
          <w:rFonts w:eastAsia="Times New Roman" w:cs="Times New Roman"/>
          <w:lang w:eastAsia="de-DE"/>
        </w:rPr>
        <w:t xml:space="preserve">(Konjunktion mit Qal Perfekt 3. Person maskulin Singular mit Waw consecutivum von </w:t>
      </w:r>
      <w:r w:rsidRPr="008460FE">
        <w:rPr>
          <w:rFonts w:eastAsia="Times New Roman" w:cs="Times New Roman"/>
          <w:b/>
          <w:bCs/>
          <w:rtl/>
          <w:lang w:eastAsia="de-DE"/>
        </w:rPr>
        <w:t>שׁמע</w:t>
      </w:r>
      <w:r w:rsidRPr="008460FE">
        <w:rPr>
          <w:rFonts w:eastAsia="Times New Roman" w:cs="Times New Roman"/>
          <w:rtl/>
          <w:lang w:eastAsia="de-DE"/>
        </w:rPr>
        <w:t xml:space="preserve"> </w:t>
      </w:r>
      <w:r w:rsidRPr="008460FE">
        <w:rPr>
          <w:rFonts w:eastAsia="Times New Roman" w:cs="Times New Roman"/>
          <w:lang w:eastAsia="de-DE"/>
        </w:rPr>
        <w:t xml:space="preserve">„hören"), </w:t>
      </w:r>
      <w:r w:rsidRPr="008460FE">
        <w:rPr>
          <w:rFonts w:eastAsia="Times New Roman" w:cs="Times New Roman"/>
          <w:b/>
          <w:bCs/>
          <w:rtl/>
          <w:lang w:eastAsia="de-DE"/>
        </w:rPr>
        <w:t>אָבִיהָ</w:t>
      </w:r>
      <w:r w:rsidRPr="008460FE">
        <w:rPr>
          <w:rFonts w:eastAsia="Times New Roman" w:cs="Times New Roman"/>
          <w:rtl/>
          <w:lang w:eastAsia="de-DE"/>
        </w:rPr>
        <w:t xml:space="preserve"> </w:t>
      </w:r>
      <w:r w:rsidRPr="008460FE">
        <w:rPr>
          <w:rFonts w:eastAsia="Times New Roman" w:cs="Times New Roman"/>
          <w:lang w:eastAsia="de-DE"/>
        </w:rPr>
        <w:t xml:space="preserve">(Subjekt mit Suffix), </w:t>
      </w:r>
      <w:r w:rsidRPr="008460FE">
        <w:rPr>
          <w:rFonts w:eastAsia="Times New Roman" w:cs="Times New Roman"/>
          <w:b/>
          <w:bCs/>
          <w:rtl/>
          <w:lang w:eastAsia="de-DE"/>
        </w:rPr>
        <w:t>אֶת־נִדְרָהּ</w:t>
      </w:r>
      <w:r w:rsidRPr="008460FE">
        <w:rPr>
          <w:rFonts w:eastAsia="Times New Roman" w:cs="Times New Roman"/>
          <w:rtl/>
          <w:lang w:eastAsia="de-DE"/>
        </w:rPr>
        <w:t xml:space="preserve"> </w:t>
      </w:r>
      <w:r w:rsidRPr="008460FE">
        <w:rPr>
          <w:rFonts w:eastAsia="Times New Roman" w:cs="Times New Roman"/>
          <w:lang w:eastAsia="de-DE"/>
        </w:rPr>
        <w:t xml:space="preserve">(Akkusativpartikel mit </w:t>
      </w:r>
      <w:r w:rsidRPr="008460FE">
        <w:rPr>
          <w:rFonts w:eastAsia="Times New Roman" w:cs="Times New Roman"/>
          <w:b/>
          <w:bCs/>
          <w:rtl/>
          <w:lang w:eastAsia="de-DE"/>
        </w:rPr>
        <w:t>נֶדֶר</w:t>
      </w:r>
      <w:r w:rsidRPr="008460FE">
        <w:rPr>
          <w:rFonts w:eastAsia="Times New Roman" w:cs="Times New Roman"/>
          <w:rtl/>
          <w:lang w:eastAsia="de-DE"/>
        </w:rPr>
        <w:t xml:space="preserve"> </w:t>
      </w:r>
      <w:r w:rsidRPr="008460FE">
        <w:rPr>
          <w:rFonts w:eastAsia="Times New Roman" w:cs="Times New Roman"/>
          <w:lang w:eastAsia="de-DE"/>
        </w:rPr>
        <w:t xml:space="preserve">und Suffix 3. Person feminin Singular „ihr Gelübde"), </w:t>
      </w:r>
      <w:r w:rsidRPr="008460FE">
        <w:rPr>
          <w:rFonts w:eastAsia="Times New Roman" w:cs="Times New Roman"/>
          <w:b/>
          <w:bCs/>
          <w:rtl/>
          <w:lang w:eastAsia="de-DE"/>
        </w:rPr>
        <w:t>וֶאֱסָרָהּ</w:t>
      </w:r>
      <w:r w:rsidRPr="008460FE">
        <w:rPr>
          <w:rFonts w:eastAsia="Times New Roman" w:cs="Times New Roman"/>
          <w:rtl/>
          <w:lang w:eastAsia="de-DE"/>
        </w:rPr>
        <w:t xml:space="preserve"> </w:t>
      </w:r>
      <w:r w:rsidRPr="008460FE">
        <w:rPr>
          <w:rFonts w:eastAsia="Times New Roman" w:cs="Times New Roman"/>
          <w:lang w:eastAsia="de-DE"/>
        </w:rPr>
        <w:t xml:space="preserve">(Konjunktion mit Akkusativpartikel und </w:t>
      </w:r>
      <w:r w:rsidRPr="008460FE">
        <w:rPr>
          <w:rFonts w:eastAsia="Times New Roman" w:cs="Times New Roman"/>
          <w:b/>
          <w:bCs/>
          <w:rtl/>
          <w:lang w:eastAsia="de-DE"/>
        </w:rPr>
        <w:t>אִסָּר</w:t>
      </w:r>
      <w:r w:rsidRPr="008460FE">
        <w:rPr>
          <w:rFonts w:eastAsia="Times New Roman" w:cs="Times New Roman"/>
          <w:rtl/>
          <w:lang w:eastAsia="de-DE"/>
        </w:rPr>
        <w:t xml:space="preserve"> </w:t>
      </w:r>
      <w:r w:rsidRPr="008460FE">
        <w:rPr>
          <w:rFonts w:eastAsia="Times New Roman" w:cs="Times New Roman"/>
          <w:lang w:eastAsia="de-DE"/>
        </w:rPr>
        <w:t xml:space="preserve">mit Suffix „und ihre Verpflichtung"), </w:t>
      </w:r>
      <w:r w:rsidRPr="008460FE">
        <w:rPr>
          <w:rFonts w:eastAsia="Times New Roman" w:cs="Times New Roman"/>
          <w:b/>
          <w:bCs/>
          <w:rtl/>
          <w:lang w:eastAsia="de-DE"/>
        </w:rPr>
        <w:t>אֲשֶׁר אָסְרָה עַל־נַפְשָׁהּ</w:t>
      </w:r>
      <w:r w:rsidRPr="008460FE">
        <w:rPr>
          <w:rFonts w:eastAsia="Times New Roman" w:cs="Times New Roman"/>
          <w:rtl/>
          <w:lang w:eastAsia="de-DE"/>
        </w:rPr>
        <w:t xml:space="preserve"> </w:t>
      </w:r>
      <w:r w:rsidRPr="008460FE">
        <w:rPr>
          <w:rFonts w:eastAsia="Times New Roman" w:cs="Times New Roman"/>
          <w:lang w:eastAsia="de-DE"/>
        </w:rPr>
        <w:t>(Relativsatz: „die sie auf ihre Seele gebunden hat").</w:t>
      </w:r>
    </w:p>
    <w:p w14:paraId="3261A144"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rtl/>
          <w:lang w:eastAsia="de-DE"/>
        </w:rPr>
        <w:t>וְהֶחֱרִישׁ לָהּ אָבִיהָ</w:t>
      </w:r>
      <w:r w:rsidRPr="008460FE">
        <w:rPr>
          <w:rFonts w:eastAsia="Times New Roman" w:cs="Times New Roman"/>
          <w:rtl/>
          <w:lang w:eastAsia="de-DE"/>
        </w:rPr>
        <w:t xml:space="preserve"> </w:t>
      </w:r>
      <w:r w:rsidRPr="008460FE">
        <w:rPr>
          <w:rFonts w:eastAsia="Times New Roman" w:cs="Times New Roman"/>
          <w:lang w:eastAsia="de-DE"/>
        </w:rPr>
        <w:t xml:space="preserve">ist die entscheidende Reaktion. </w:t>
      </w:r>
      <w:r w:rsidRPr="008460FE">
        <w:rPr>
          <w:rFonts w:eastAsia="Times New Roman" w:cs="Times New Roman"/>
          <w:b/>
          <w:bCs/>
          <w:rtl/>
          <w:lang w:eastAsia="de-DE"/>
        </w:rPr>
        <w:t>וְהֶחֱרִישׁ</w:t>
      </w:r>
      <w:r w:rsidRPr="008460FE">
        <w:rPr>
          <w:rFonts w:eastAsia="Times New Roman" w:cs="Times New Roman"/>
          <w:rtl/>
          <w:lang w:eastAsia="de-DE"/>
        </w:rPr>
        <w:t xml:space="preserve"> </w:t>
      </w:r>
      <w:r w:rsidRPr="008460FE">
        <w:rPr>
          <w:rFonts w:eastAsia="Times New Roman" w:cs="Times New Roman"/>
          <w:lang w:eastAsia="de-DE"/>
        </w:rPr>
        <w:t xml:space="preserve">(Konjunktion mit Hiphil Perfekt 3. Person maskulin Singular mit Waw consecutivum von </w:t>
      </w:r>
      <w:r w:rsidRPr="008460FE">
        <w:rPr>
          <w:rFonts w:eastAsia="Times New Roman" w:cs="Times New Roman"/>
          <w:b/>
          <w:bCs/>
          <w:rtl/>
          <w:lang w:eastAsia="de-DE"/>
        </w:rPr>
        <w:t>חרשׁ</w:t>
      </w:r>
      <w:r w:rsidRPr="008460FE">
        <w:rPr>
          <w:rFonts w:eastAsia="Times New Roman" w:cs="Times New Roman"/>
          <w:rtl/>
          <w:lang w:eastAsia="de-DE"/>
        </w:rPr>
        <w:t xml:space="preserve"> </w:t>
      </w:r>
      <w:r w:rsidRPr="008460FE">
        <w:rPr>
          <w:rFonts w:eastAsia="Times New Roman" w:cs="Times New Roman"/>
          <w:lang w:eastAsia="de-DE"/>
        </w:rPr>
        <w:t xml:space="preserve">„schweigen, still sein"), </w:t>
      </w:r>
      <w:r w:rsidRPr="008460FE">
        <w:rPr>
          <w:rFonts w:eastAsia="Times New Roman" w:cs="Times New Roman"/>
          <w:b/>
          <w:bCs/>
          <w:rtl/>
          <w:lang w:eastAsia="de-DE"/>
        </w:rPr>
        <w:t>לָהּ</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לְ</w:t>
      </w:r>
      <w:r w:rsidRPr="008460FE">
        <w:rPr>
          <w:rFonts w:eastAsia="Times New Roman" w:cs="Times New Roman"/>
          <w:rtl/>
          <w:lang w:eastAsia="de-DE"/>
        </w:rPr>
        <w:t xml:space="preserve"> </w:t>
      </w:r>
      <w:r w:rsidRPr="008460FE">
        <w:rPr>
          <w:rFonts w:eastAsia="Times New Roman" w:cs="Times New Roman"/>
          <w:lang w:eastAsia="de-DE"/>
        </w:rPr>
        <w:t xml:space="preserve">mit Suffix 3. Person feminin Singular „ihr gegenüber"), </w:t>
      </w:r>
      <w:r w:rsidRPr="008460FE">
        <w:rPr>
          <w:rFonts w:eastAsia="Times New Roman" w:cs="Times New Roman"/>
          <w:b/>
          <w:bCs/>
          <w:rtl/>
          <w:lang w:eastAsia="de-DE"/>
        </w:rPr>
        <w:t>אָבִיהָ</w:t>
      </w:r>
      <w:r w:rsidRPr="008460FE">
        <w:rPr>
          <w:rFonts w:eastAsia="Times New Roman" w:cs="Times New Roman"/>
          <w:rtl/>
          <w:lang w:eastAsia="de-DE"/>
        </w:rPr>
        <w:t xml:space="preserve"> </w:t>
      </w:r>
      <w:r w:rsidRPr="008460FE">
        <w:rPr>
          <w:rFonts w:eastAsia="Times New Roman" w:cs="Times New Roman"/>
          <w:lang w:eastAsia="de-DE"/>
        </w:rPr>
        <w:t>ist das Subjekt. Das Schweigen gilt als Zustimmung.</w:t>
      </w:r>
    </w:p>
    <w:p w14:paraId="66747ABA"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rtl/>
          <w:lang w:eastAsia="de-DE"/>
        </w:rPr>
        <w:t>וְקָמוּ כָּל־נְדָרֶיהָ וְכָל־אִסָּר אֲשֶׁר־אָסְרָה עַל־נַפְשָׁהּ יָקוּם</w:t>
      </w:r>
      <w:r w:rsidRPr="008460FE">
        <w:rPr>
          <w:rFonts w:eastAsia="Times New Roman" w:cs="Times New Roman"/>
          <w:rtl/>
          <w:lang w:eastAsia="de-DE"/>
        </w:rPr>
        <w:t xml:space="preserve"> </w:t>
      </w:r>
      <w:r w:rsidRPr="008460FE">
        <w:rPr>
          <w:rFonts w:eastAsia="Times New Roman" w:cs="Times New Roman"/>
          <w:lang w:eastAsia="de-DE"/>
        </w:rPr>
        <w:t xml:space="preserve">ist die Rechtsfolge. </w:t>
      </w:r>
      <w:r w:rsidRPr="008460FE">
        <w:rPr>
          <w:rFonts w:eastAsia="Times New Roman" w:cs="Times New Roman"/>
          <w:b/>
          <w:bCs/>
          <w:rtl/>
          <w:lang w:eastAsia="de-DE"/>
        </w:rPr>
        <w:t>וְקָמוּ</w:t>
      </w:r>
      <w:r w:rsidRPr="008460FE">
        <w:rPr>
          <w:rFonts w:eastAsia="Times New Roman" w:cs="Times New Roman"/>
          <w:rtl/>
          <w:lang w:eastAsia="de-DE"/>
        </w:rPr>
        <w:t xml:space="preserve"> </w:t>
      </w:r>
      <w:r w:rsidRPr="008460FE">
        <w:rPr>
          <w:rFonts w:eastAsia="Times New Roman" w:cs="Times New Roman"/>
          <w:lang w:eastAsia="de-DE"/>
        </w:rPr>
        <w:t xml:space="preserve">(Konjunktion mit Qal Perfekt 3. Person maskulin Plural mit Waw consecutivum von </w:t>
      </w:r>
      <w:r w:rsidRPr="008460FE">
        <w:rPr>
          <w:rFonts w:eastAsia="Times New Roman" w:cs="Times New Roman"/>
          <w:b/>
          <w:bCs/>
          <w:rtl/>
          <w:lang w:eastAsia="de-DE"/>
        </w:rPr>
        <w:t>קום</w:t>
      </w:r>
      <w:r w:rsidRPr="008460FE">
        <w:rPr>
          <w:rFonts w:eastAsia="Times New Roman" w:cs="Times New Roman"/>
          <w:rtl/>
          <w:lang w:eastAsia="de-DE"/>
        </w:rPr>
        <w:t xml:space="preserve"> </w:t>
      </w:r>
      <w:r w:rsidRPr="008460FE">
        <w:rPr>
          <w:rFonts w:eastAsia="Times New Roman" w:cs="Times New Roman"/>
          <w:lang w:eastAsia="de-DE"/>
        </w:rPr>
        <w:t xml:space="preserve">„bestehen, gültig sein"), </w:t>
      </w:r>
      <w:r w:rsidRPr="008460FE">
        <w:rPr>
          <w:rFonts w:eastAsia="Times New Roman" w:cs="Times New Roman"/>
          <w:b/>
          <w:bCs/>
          <w:rtl/>
          <w:lang w:eastAsia="de-DE"/>
        </w:rPr>
        <w:t>כָּל־נְדָרֶיהָ</w:t>
      </w:r>
      <w:r w:rsidRPr="008460FE">
        <w:rPr>
          <w:rFonts w:eastAsia="Times New Roman" w:cs="Times New Roman"/>
          <w:rtl/>
          <w:lang w:eastAsia="de-DE"/>
        </w:rPr>
        <w:t xml:space="preserve"> </w:t>
      </w:r>
      <w:r w:rsidRPr="008460FE">
        <w:rPr>
          <w:rFonts w:eastAsia="Times New Roman" w:cs="Times New Roman"/>
          <w:lang w:eastAsia="de-DE"/>
        </w:rPr>
        <w:t xml:space="preserve">(„alle ihre Gelübde"), </w:t>
      </w:r>
      <w:r w:rsidRPr="008460FE">
        <w:rPr>
          <w:rFonts w:eastAsia="Times New Roman" w:cs="Times New Roman"/>
          <w:b/>
          <w:bCs/>
          <w:rtl/>
          <w:lang w:eastAsia="de-DE"/>
        </w:rPr>
        <w:t>וְכָל־אִסָּר... יָקוּם</w:t>
      </w:r>
      <w:r w:rsidRPr="008460FE">
        <w:rPr>
          <w:rFonts w:eastAsia="Times New Roman" w:cs="Times New Roman"/>
          <w:rtl/>
          <w:lang w:eastAsia="de-DE"/>
        </w:rPr>
        <w:t xml:space="preserve"> </w:t>
      </w:r>
      <w:r w:rsidRPr="008460FE">
        <w:rPr>
          <w:rFonts w:eastAsia="Times New Roman" w:cs="Times New Roman"/>
          <w:lang w:eastAsia="de-DE"/>
        </w:rPr>
        <w:t xml:space="preserve">(Konjunktion mit „jede Verpflichtung" und Qal Imperfekt 3. Person maskulin Singular von </w:t>
      </w:r>
      <w:r w:rsidRPr="008460FE">
        <w:rPr>
          <w:rFonts w:eastAsia="Times New Roman" w:cs="Times New Roman"/>
          <w:b/>
          <w:bCs/>
          <w:rtl/>
          <w:lang w:eastAsia="de-DE"/>
        </w:rPr>
        <w:t>קום</w:t>
      </w:r>
      <w:r w:rsidRPr="008460FE">
        <w:rPr>
          <w:rFonts w:eastAsia="Times New Roman" w:cs="Times New Roman"/>
          <w:rtl/>
          <w:lang w:eastAsia="de-DE"/>
        </w:rPr>
        <w:t xml:space="preserve"> </w:t>
      </w:r>
      <w:r w:rsidRPr="008460FE">
        <w:rPr>
          <w:rFonts w:eastAsia="Times New Roman" w:cs="Times New Roman"/>
          <w:lang w:eastAsia="de-DE"/>
        </w:rPr>
        <w:t xml:space="preserve">„soll bestehen"). Die Wiederholung mit </w:t>
      </w:r>
      <w:r w:rsidRPr="008460FE">
        <w:rPr>
          <w:rFonts w:eastAsia="Times New Roman" w:cs="Times New Roman"/>
          <w:b/>
          <w:bCs/>
          <w:rtl/>
          <w:lang w:eastAsia="de-DE"/>
        </w:rPr>
        <w:t>קום</w:t>
      </w:r>
      <w:r w:rsidRPr="008460FE">
        <w:rPr>
          <w:rFonts w:eastAsia="Times New Roman" w:cs="Times New Roman"/>
          <w:rtl/>
          <w:lang w:eastAsia="de-DE"/>
        </w:rPr>
        <w:t xml:space="preserve"> </w:t>
      </w:r>
      <w:r w:rsidRPr="008460FE">
        <w:rPr>
          <w:rFonts w:eastAsia="Times New Roman" w:cs="Times New Roman"/>
          <w:lang w:eastAsia="de-DE"/>
        </w:rPr>
        <w:t>in zwei Formen betont die Gültigkeit.</w:t>
      </w:r>
    </w:p>
    <w:p w14:paraId="7E10DCB4"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Die Satzstruktur zeigt eine Kette von Perfekta mit Waw consecutivum (hört, schweigt, bestehen), die die zeitliche Abfolge und kausale Verbindung ausdrücken.</w:t>
      </w:r>
    </w:p>
    <w:p w14:paraId="67EFE6A4"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Der Vers etabliert das Prinzip des stillschweigenden Einverständnisses: Wenn der Vater am Tag, an dem er vom Gelübde erfährt, schweigt, wird das Gelübde automatisch gültig und bindend.</w:t>
      </w:r>
    </w:p>
    <w:p w14:paraId="79700827" w14:textId="77777777" w:rsidR="008460FE" w:rsidRPr="008460FE" w:rsidRDefault="008460FE" w:rsidP="008460FE">
      <w:pPr>
        <w:spacing w:before="100" w:beforeAutospacing="1" w:after="100" w:afterAutospacing="1" w:line="240" w:lineRule="auto"/>
        <w:outlineLvl w:val="0"/>
        <w:rPr>
          <w:rFonts w:eastAsia="Times New Roman" w:cs="Times New Roman"/>
          <w:b/>
          <w:bCs/>
          <w:kern w:val="36"/>
          <w:sz w:val="48"/>
          <w:szCs w:val="48"/>
          <w:lang w:eastAsia="de-DE"/>
        </w:rPr>
      </w:pPr>
      <w:r w:rsidRPr="008460FE">
        <w:rPr>
          <w:rFonts w:eastAsia="Times New Roman" w:cs="Times New Roman"/>
          <w:b/>
          <w:bCs/>
          <w:kern w:val="36"/>
          <w:sz w:val="48"/>
          <w:szCs w:val="48"/>
          <w:lang w:eastAsia="de-DE"/>
        </w:rPr>
        <w:t>Numeri 30,6</w:t>
      </w:r>
    </w:p>
    <w:p w14:paraId="59F5B38E"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Hebräisch:</w:t>
      </w:r>
      <w:r w:rsidRPr="008460FE">
        <w:rPr>
          <w:rFonts w:eastAsia="Times New Roman" w:cs="Times New Roman"/>
          <w:lang w:eastAsia="de-DE"/>
        </w:rPr>
        <w:t xml:space="preserve"> </w:t>
      </w:r>
      <w:r w:rsidRPr="008460FE">
        <w:rPr>
          <w:rFonts w:eastAsia="Times New Roman" w:cs="Times New Roman"/>
          <w:rtl/>
          <w:lang w:eastAsia="de-DE"/>
        </w:rPr>
        <w:t>וְאִם־הֵנִ֨יא אָבִ֣יהָ אֹתָהּ֮ בְּי֣וֹם שָׁמְעֹו֒ כָּל־נְדָרֶ֗יהָ וֶֽאֱסָרֶ֛יהָ אֲשֶׁר־אָסְרָ֥ה עַל־נַפְשָׁ֖הּ לֹ֣א יָק֑וּם וַֽיהוָה֙ יִֽסְלַח־לָ֔הּ כִּי־הֵנִ֥יא אָבִ֖יהָ אֹתָֽהּ׃</w:t>
      </w:r>
    </w:p>
    <w:p w14:paraId="41F6444C"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Deutsch:</w:t>
      </w:r>
      <w:r w:rsidRPr="008460FE">
        <w:rPr>
          <w:rFonts w:eastAsia="Times New Roman" w:cs="Times New Roman"/>
          <w:lang w:eastAsia="de-DE"/>
        </w:rPr>
        <w:t xml:space="preserve"> Wenn aber ihr Vater ihr wehrt an dem Tag, da er hört, so sollen alle ihre Gelübde und alle ihre Verpflichtungen, die sie auf ihre Seele gebunden hat, nicht bestehen; und der Ewige wird ihr vergeben, weil ihr Vater ihr gewehrt hat.</w:t>
      </w:r>
    </w:p>
    <w:p w14:paraId="1FA6FF2A" w14:textId="77777777" w:rsidR="008460FE" w:rsidRPr="008460FE" w:rsidRDefault="00F329DD" w:rsidP="008460FE">
      <w:pPr>
        <w:spacing w:after="0" w:line="240" w:lineRule="auto"/>
        <w:rPr>
          <w:rFonts w:eastAsia="Times New Roman" w:cs="Times New Roman"/>
          <w:lang w:eastAsia="de-DE"/>
        </w:rPr>
      </w:pPr>
      <w:r>
        <w:rPr>
          <w:rFonts w:eastAsia="Times New Roman" w:cs="Times New Roman"/>
          <w:noProof/>
          <w:lang w:eastAsia="de-DE"/>
        </w:rPr>
        <w:pict w14:anchorId="48A8D504">
          <v:rect id="_x0000_i1933" style="width:0;height:1.5pt" o:hralign="center" o:hrstd="t" o:hr="t" fillcolor="#a0a0a0" stroked="f"/>
        </w:pict>
      </w:r>
    </w:p>
    <w:p w14:paraId="6497A2C8" w14:textId="09090E78"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lang w:eastAsia="de-DE"/>
        </w:rPr>
        <w:t>Kommentar:</w:t>
      </w:r>
      <w:r w:rsidRPr="008460FE">
        <w:rPr>
          <w:rFonts w:eastAsia="Times New Roman" w:cs="Times New Roman"/>
          <w:lang w:eastAsia="de-DE"/>
        </w:rPr>
        <w:t xml:space="preserve"> Der Vers gibt den zweiten Fall: Aufhebung durch den Vater. </w:t>
      </w:r>
      <w:r w:rsidRPr="008460FE">
        <w:rPr>
          <w:rFonts w:eastAsia="Times New Roman" w:cs="Times New Roman"/>
          <w:b/>
          <w:bCs/>
          <w:rtl/>
          <w:lang w:eastAsia="de-DE"/>
        </w:rPr>
        <w:t>וְאִם־הֵנִיא אָבִיהָ אֹתָהּ בְּיוֹם שָׁמְעוֹ</w:t>
      </w:r>
      <w:r w:rsidRPr="008460FE">
        <w:rPr>
          <w:rFonts w:eastAsia="Times New Roman" w:cs="Times New Roman"/>
          <w:rtl/>
          <w:lang w:eastAsia="de-DE"/>
        </w:rPr>
        <w:t xml:space="preserve"> </w:t>
      </w:r>
      <w:r w:rsidRPr="008460FE">
        <w:rPr>
          <w:rFonts w:eastAsia="Times New Roman" w:cs="Times New Roman"/>
          <w:lang w:eastAsia="de-DE"/>
        </w:rPr>
        <w:t xml:space="preserve">ist die gegenteilige Bedingung. </w:t>
      </w:r>
      <w:r w:rsidRPr="008460FE">
        <w:rPr>
          <w:rFonts w:eastAsia="Times New Roman" w:cs="Times New Roman"/>
          <w:b/>
          <w:bCs/>
          <w:rtl/>
          <w:lang w:eastAsia="de-DE"/>
        </w:rPr>
        <w:t>וְאִם</w:t>
      </w:r>
      <w:r w:rsidRPr="008460FE">
        <w:rPr>
          <w:rFonts w:eastAsia="Times New Roman" w:cs="Times New Roman"/>
          <w:rtl/>
          <w:lang w:eastAsia="de-DE"/>
        </w:rPr>
        <w:t xml:space="preserve"> </w:t>
      </w:r>
      <w:r w:rsidRPr="008460FE">
        <w:rPr>
          <w:rFonts w:eastAsia="Times New Roman" w:cs="Times New Roman"/>
          <w:lang w:eastAsia="de-DE"/>
        </w:rPr>
        <w:t xml:space="preserve">(„aber wenn"), </w:t>
      </w:r>
      <w:r w:rsidRPr="008460FE">
        <w:rPr>
          <w:rFonts w:eastAsia="Times New Roman" w:cs="Times New Roman"/>
          <w:b/>
          <w:bCs/>
          <w:rtl/>
          <w:lang w:eastAsia="de-DE"/>
        </w:rPr>
        <w:t>הֵנִיא</w:t>
      </w:r>
      <w:r w:rsidRPr="008460FE">
        <w:rPr>
          <w:rFonts w:eastAsia="Times New Roman" w:cs="Times New Roman"/>
          <w:rtl/>
          <w:lang w:eastAsia="de-DE"/>
        </w:rPr>
        <w:t xml:space="preserve"> </w:t>
      </w:r>
      <w:r w:rsidRPr="008460FE">
        <w:rPr>
          <w:rFonts w:eastAsia="Times New Roman" w:cs="Times New Roman"/>
          <w:lang w:eastAsia="de-DE"/>
        </w:rPr>
        <w:t xml:space="preserve">(Hiphil Perfekt 3. Person maskulin Singular von </w:t>
      </w:r>
      <w:r w:rsidRPr="008460FE">
        <w:rPr>
          <w:rFonts w:eastAsia="Times New Roman" w:cs="Times New Roman"/>
          <w:b/>
          <w:bCs/>
          <w:rtl/>
          <w:lang w:eastAsia="de-DE"/>
        </w:rPr>
        <w:t>נוא</w:t>
      </w:r>
      <w:r w:rsidRPr="008460FE">
        <w:rPr>
          <w:rFonts w:eastAsia="Times New Roman" w:cs="Times New Roman"/>
          <w:rtl/>
          <w:lang w:eastAsia="de-DE"/>
        </w:rPr>
        <w:t xml:space="preserve"> </w:t>
      </w:r>
      <w:r w:rsidRPr="008460FE">
        <w:rPr>
          <w:rFonts w:eastAsia="Times New Roman" w:cs="Times New Roman"/>
          <w:lang w:eastAsia="de-DE"/>
        </w:rPr>
        <w:t xml:space="preserve">„wehren, hindern, verbieten"), </w:t>
      </w:r>
      <w:r w:rsidRPr="008460FE">
        <w:rPr>
          <w:rFonts w:eastAsia="Times New Roman" w:cs="Times New Roman"/>
          <w:b/>
          <w:bCs/>
          <w:rtl/>
          <w:lang w:eastAsia="de-DE"/>
        </w:rPr>
        <w:t>אָבִיהָ</w:t>
      </w:r>
      <w:r w:rsidRPr="008460FE">
        <w:rPr>
          <w:rFonts w:eastAsia="Times New Roman" w:cs="Times New Roman"/>
          <w:rtl/>
          <w:lang w:eastAsia="de-DE"/>
        </w:rPr>
        <w:t xml:space="preserve"> </w:t>
      </w:r>
      <w:r w:rsidRPr="008460FE">
        <w:rPr>
          <w:rFonts w:eastAsia="Times New Roman" w:cs="Times New Roman"/>
          <w:lang w:eastAsia="de-DE"/>
        </w:rPr>
        <w:t xml:space="preserve">(Subjekt), </w:t>
      </w:r>
      <w:r w:rsidRPr="008460FE">
        <w:rPr>
          <w:rFonts w:eastAsia="Times New Roman" w:cs="Times New Roman"/>
          <w:b/>
          <w:bCs/>
          <w:rtl/>
          <w:lang w:eastAsia="de-DE"/>
        </w:rPr>
        <w:t>אֹתָהּ</w:t>
      </w:r>
      <w:r w:rsidRPr="008460FE">
        <w:rPr>
          <w:rFonts w:eastAsia="Times New Roman" w:cs="Times New Roman"/>
          <w:rtl/>
          <w:lang w:eastAsia="de-DE"/>
        </w:rPr>
        <w:t xml:space="preserve"> </w:t>
      </w:r>
      <w:r w:rsidRPr="008460FE">
        <w:rPr>
          <w:rFonts w:eastAsia="Times New Roman" w:cs="Times New Roman"/>
          <w:lang w:eastAsia="de-DE"/>
        </w:rPr>
        <w:t xml:space="preserve">(Akkusativpartikel mit Suffix „ihr"), </w:t>
      </w:r>
      <w:r w:rsidRPr="008460FE">
        <w:rPr>
          <w:rFonts w:eastAsia="Times New Roman" w:cs="Times New Roman"/>
          <w:b/>
          <w:bCs/>
          <w:rtl/>
          <w:lang w:eastAsia="de-DE"/>
        </w:rPr>
        <w:t>בְּיוֹם שָׁמְעוֹ</w:t>
      </w:r>
      <w:r w:rsidRPr="008460FE">
        <w:rPr>
          <w:rFonts w:eastAsia="Times New Roman" w:cs="Times New Roman"/>
          <w:rtl/>
          <w:lang w:eastAsia="de-DE"/>
        </w:rPr>
        <w:t xml:space="preserve"> </w:t>
      </w:r>
      <w:r w:rsidRPr="008460FE">
        <w:rPr>
          <w:rFonts w:eastAsia="Times New Roman" w:cs="Times New Roman"/>
          <w:lang w:eastAsia="de-DE"/>
        </w:rPr>
        <w:t xml:space="preserve">(Präposition </w:t>
      </w:r>
      <w:r w:rsidRPr="008460FE">
        <w:rPr>
          <w:rFonts w:eastAsia="Times New Roman" w:cs="Times New Roman"/>
          <w:b/>
          <w:bCs/>
          <w:rtl/>
          <w:lang w:eastAsia="de-DE"/>
        </w:rPr>
        <w:t>בְ</w:t>
      </w:r>
      <w:r w:rsidRPr="008460FE">
        <w:rPr>
          <w:rFonts w:eastAsia="Times New Roman" w:cs="Times New Roman"/>
          <w:rtl/>
          <w:lang w:eastAsia="de-DE"/>
        </w:rPr>
        <w:t xml:space="preserve"> </w:t>
      </w:r>
      <w:r w:rsidRPr="008460FE">
        <w:rPr>
          <w:rFonts w:eastAsia="Times New Roman" w:cs="Times New Roman"/>
          <w:lang w:eastAsia="de-DE"/>
        </w:rPr>
        <w:t xml:space="preserve">mit </w:t>
      </w:r>
      <w:r w:rsidRPr="008460FE">
        <w:rPr>
          <w:rFonts w:eastAsia="Times New Roman" w:cs="Times New Roman"/>
          <w:b/>
          <w:bCs/>
          <w:rtl/>
          <w:lang w:eastAsia="de-DE"/>
        </w:rPr>
        <w:t>יוֹם</w:t>
      </w:r>
      <w:r w:rsidRPr="008460FE">
        <w:rPr>
          <w:rFonts w:eastAsia="Times New Roman" w:cs="Times New Roman"/>
          <w:rtl/>
          <w:lang w:eastAsia="de-DE"/>
        </w:rPr>
        <w:t xml:space="preserve"> </w:t>
      </w:r>
      <w:r w:rsidRPr="008460FE">
        <w:rPr>
          <w:rFonts w:eastAsia="Times New Roman" w:cs="Times New Roman"/>
          <w:lang w:eastAsia="de-DE"/>
        </w:rPr>
        <w:t xml:space="preserve">„Tag" im </w:t>
      </w:r>
      <w:r w:rsidR="00E031B3">
        <w:rPr>
          <w:rFonts w:eastAsia="Times New Roman" w:cs="Times New Roman"/>
          <w:lang w:eastAsia="de-DE"/>
        </w:rPr>
        <w:t>Constructus und</w:t>
      </w:r>
      <w:r w:rsidRPr="008460FE">
        <w:rPr>
          <w:rFonts w:eastAsia="Times New Roman" w:cs="Times New Roman"/>
          <w:lang w:eastAsia="de-DE"/>
        </w:rPr>
        <w:t xml:space="preserve"> Qal Infinitiv </w:t>
      </w:r>
      <w:r w:rsidR="00E031B3">
        <w:rPr>
          <w:rFonts w:eastAsia="Times New Roman" w:cs="Times New Roman"/>
          <w:lang w:eastAsia="de-DE"/>
        </w:rPr>
        <w:t>Constructus von</w:t>
      </w:r>
      <w:r w:rsidRPr="008460FE">
        <w:rPr>
          <w:rFonts w:eastAsia="Times New Roman" w:cs="Times New Roman"/>
          <w:lang w:eastAsia="de-DE"/>
        </w:rPr>
        <w:t xml:space="preserve"> </w:t>
      </w:r>
      <w:r w:rsidRPr="008460FE">
        <w:rPr>
          <w:rFonts w:eastAsia="Times New Roman" w:cs="Times New Roman"/>
          <w:b/>
          <w:bCs/>
          <w:rtl/>
          <w:lang w:eastAsia="de-DE"/>
        </w:rPr>
        <w:t>שׁמע</w:t>
      </w:r>
      <w:r w:rsidRPr="008460FE">
        <w:rPr>
          <w:rFonts w:eastAsia="Times New Roman" w:cs="Times New Roman"/>
          <w:rtl/>
          <w:lang w:eastAsia="de-DE"/>
        </w:rPr>
        <w:t xml:space="preserve"> </w:t>
      </w:r>
      <w:r w:rsidRPr="008460FE">
        <w:rPr>
          <w:rFonts w:eastAsia="Times New Roman" w:cs="Times New Roman"/>
          <w:lang w:eastAsia="de-DE"/>
        </w:rPr>
        <w:t>mit Suffix „an dem Tag seines Hörens"). Die zeitliche Begrenzung ist entscheidend: nur am Tag des Hörens kann der Vater widersprechen.</w:t>
      </w:r>
    </w:p>
    <w:p w14:paraId="284CB929"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rtl/>
          <w:lang w:eastAsia="de-DE"/>
        </w:rPr>
        <w:t>כָּל־נְדָרֶיהָ וֶאֱסָרֶיהָ אֲשֶׁר־אָסְרָה עַל־נַפְשָׁהּ לֹא יָקוּם</w:t>
      </w:r>
      <w:r w:rsidRPr="008460FE">
        <w:rPr>
          <w:rFonts w:eastAsia="Times New Roman" w:cs="Times New Roman"/>
          <w:rtl/>
          <w:lang w:eastAsia="de-DE"/>
        </w:rPr>
        <w:t xml:space="preserve"> </w:t>
      </w:r>
      <w:r w:rsidRPr="008460FE">
        <w:rPr>
          <w:rFonts w:eastAsia="Times New Roman" w:cs="Times New Roman"/>
          <w:lang w:eastAsia="de-DE"/>
        </w:rPr>
        <w:t xml:space="preserve">ist die Rechtsfolge. </w:t>
      </w:r>
      <w:r w:rsidRPr="008460FE">
        <w:rPr>
          <w:rFonts w:eastAsia="Times New Roman" w:cs="Times New Roman"/>
          <w:b/>
          <w:bCs/>
          <w:rtl/>
          <w:lang w:eastAsia="de-DE"/>
        </w:rPr>
        <w:t>לֹא יָקוּם</w:t>
      </w:r>
      <w:r w:rsidRPr="008460FE">
        <w:rPr>
          <w:rFonts w:eastAsia="Times New Roman" w:cs="Times New Roman"/>
          <w:rtl/>
          <w:lang w:eastAsia="de-DE"/>
        </w:rPr>
        <w:t xml:space="preserve"> </w:t>
      </w:r>
      <w:r w:rsidRPr="008460FE">
        <w:rPr>
          <w:rFonts w:eastAsia="Times New Roman" w:cs="Times New Roman"/>
          <w:lang w:eastAsia="de-DE"/>
        </w:rPr>
        <w:t xml:space="preserve">(Negation mit Qal Imperfekt 3. Person maskulin Singular von </w:t>
      </w:r>
      <w:r w:rsidRPr="008460FE">
        <w:rPr>
          <w:rFonts w:eastAsia="Times New Roman" w:cs="Times New Roman"/>
          <w:b/>
          <w:bCs/>
          <w:rtl/>
          <w:lang w:eastAsia="de-DE"/>
        </w:rPr>
        <w:t>קום</w:t>
      </w:r>
      <w:r w:rsidRPr="008460FE">
        <w:rPr>
          <w:rFonts w:eastAsia="Times New Roman" w:cs="Times New Roman"/>
          <w:rtl/>
          <w:lang w:eastAsia="de-DE"/>
        </w:rPr>
        <w:t xml:space="preserve"> </w:t>
      </w:r>
      <w:r w:rsidRPr="008460FE">
        <w:rPr>
          <w:rFonts w:eastAsia="Times New Roman" w:cs="Times New Roman"/>
          <w:lang w:eastAsia="de-DE"/>
        </w:rPr>
        <w:t>„nicht soll bestehen"). Das Gelübde wird ungültig.</w:t>
      </w:r>
    </w:p>
    <w:p w14:paraId="22681FF4"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b/>
          <w:bCs/>
          <w:rtl/>
          <w:lang w:eastAsia="de-DE"/>
        </w:rPr>
        <w:lastRenderedPageBreak/>
        <w:t>וַיהוה יִסְלַח־לָהּ כִּי־הֵנִיא אָבִיהָ אֹתָהּ</w:t>
      </w:r>
      <w:r w:rsidRPr="008460FE">
        <w:rPr>
          <w:rFonts w:eastAsia="Times New Roman" w:cs="Times New Roman"/>
          <w:rtl/>
          <w:lang w:eastAsia="de-DE"/>
        </w:rPr>
        <w:t xml:space="preserve"> </w:t>
      </w:r>
      <w:r w:rsidRPr="008460FE">
        <w:rPr>
          <w:rFonts w:eastAsia="Times New Roman" w:cs="Times New Roman"/>
          <w:lang w:eastAsia="de-DE"/>
        </w:rPr>
        <w:t xml:space="preserve">ist die göttliche Vergebung. </w:t>
      </w:r>
      <w:r w:rsidRPr="008460FE">
        <w:rPr>
          <w:rFonts w:eastAsia="Times New Roman" w:cs="Times New Roman"/>
          <w:b/>
          <w:bCs/>
          <w:rtl/>
          <w:lang w:eastAsia="de-DE"/>
        </w:rPr>
        <w:t>וַיהוה יִסְלַח־לָהּ</w:t>
      </w:r>
      <w:r w:rsidRPr="008460FE">
        <w:rPr>
          <w:rFonts w:eastAsia="Times New Roman" w:cs="Times New Roman"/>
          <w:rtl/>
          <w:lang w:eastAsia="de-DE"/>
        </w:rPr>
        <w:t xml:space="preserve"> </w:t>
      </w:r>
      <w:r w:rsidRPr="008460FE">
        <w:rPr>
          <w:rFonts w:eastAsia="Times New Roman" w:cs="Times New Roman"/>
          <w:lang w:eastAsia="de-DE"/>
        </w:rPr>
        <w:t xml:space="preserve">(Konjunktion mit Tetragramm und Qal Imperfekt 3. Person maskulin Singular von </w:t>
      </w:r>
      <w:r w:rsidRPr="008460FE">
        <w:rPr>
          <w:rFonts w:eastAsia="Times New Roman" w:cs="Times New Roman"/>
          <w:b/>
          <w:bCs/>
          <w:rtl/>
          <w:lang w:eastAsia="de-DE"/>
        </w:rPr>
        <w:t>סלח</w:t>
      </w:r>
      <w:r w:rsidRPr="008460FE">
        <w:rPr>
          <w:rFonts w:eastAsia="Times New Roman" w:cs="Times New Roman"/>
          <w:rtl/>
          <w:lang w:eastAsia="de-DE"/>
        </w:rPr>
        <w:t xml:space="preserve"> </w:t>
      </w:r>
      <w:r w:rsidRPr="008460FE">
        <w:rPr>
          <w:rFonts w:eastAsia="Times New Roman" w:cs="Times New Roman"/>
          <w:lang w:eastAsia="de-DE"/>
        </w:rPr>
        <w:t xml:space="preserve">„vergeben" mit Präposition und Suffix „und der Ewige wird ihr vergeben"), </w:t>
      </w:r>
      <w:r w:rsidRPr="008460FE">
        <w:rPr>
          <w:rFonts w:eastAsia="Times New Roman" w:cs="Times New Roman"/>
          <w:b/>
          <w:bCs/>
          <w:rtl/>
          <w:lang w:eastAsia="de-DE"/>
        </w:rPr>
        <w:t>כִּי־הֵנִיא אָבִיהָ אֹתָהּ</w:t>
      </w:r>
      <w:r w:rsidRPr="008460FE">
        <w:rPr>
          <w:rFonts w:eastAsia="Times New Roman" w:cs="Times New Roman"/>
          <w:rtl/>
          <w:lang w:eastAsia="de-DE"/>
        </w:rPr>
        <w:t xml:space="preserve"> </w:t>
      </w:r>
      <w:r w:rsidRPr="008460FE">
        <w:rPr>
          <w:rFonts w:eastAsia="Times New Roman" w:cs="Times New Roman"/>
          <w:lang w:eastAsia="de-DE"/>
        </w:rPr>
        <w:t>(kausale Konjunktion mit der Wiederholung „weil ihr Vater ihr gewehrt hat"). Die Frau ist nicht schuldig für die Nichterfüllung des Gelübdes, da es durch väterliche Autorität aufgehoben wurde.</w:t>
      </w:r>
    </w:p>
    <w:p w14:paraId="0F9EA71D" w14:textId="287DBD27" w:rsidR="008460FE" w:rsidRPr="008460FE" w:rsidRDefault="006B51A1" w:rsidP="008460FE">
      <w:pPr>
        <w:spacing w:before="100" w:beforeAutospacing="1" w:after="100" w:afterAutospacing="1" w:line="240" w:lineRule="auto"/>
        <w:rPr>
          <w:rFonts w:eastAsia="Times New Roman" w:cs="Times New Roman"/>
          <w:lang w:eastAsia="de-DE"/>
        </w:rPr>
      </w:pPr>
      <w:r>
        <w:rPr>
          <w:rStyle w:val="Fett"/>
        </w:rPr>
        <w:t>Vers 6:</w:t>
      </w:r>
      <w:r>
        <w:t xml:space="preserve"> </w:t>
      </w:r>
      <w:r>
        <w:rPr>
          <w:rStyle w:val="Fett"/>
        </w:rPr>
        <w:t>Die LXX</w:t>
      </w:r>
      <w:r>
        <w:t xml:space="preserve"> übersetzt „</w:t>
      </w:r>
      <w:r w:rsidRPr="006B51A1">
        <w:rPr>
          <w:b/>
          <w:bCs/>
          <w:rtl/>
        </w:rPr>
        <w:t>וַיהוָה</w:t>
      </w:r>
      <w:r>
        <w:rPr>
          <w:rtl/>
        </w:rPr>
        <w:t xml:space="preserve"> </w:t>
      </w:r>
      <w:r w:rsidRPr="006B51A1">
        <w:rPr>
          <w:b/>
          <w:bCs/>
          <w:rtl/>
        </w:rPr>
        <w:t>יִסְלַח־לָהּ</w:t>
      </w:r>
      <w:r>
        <w:t>" (und der HERR wird ihr vergeben) mit „καὶ κύριος καθαριεῖ αὐτήν" (und der Herr wird sie reinigen), was statt Vergebung Reinigung betont.</w:t>
      </w:r>
    </w:p>
    <w:p w14:paraId="547DC459"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Die Satzstruktur zeigt einen Konditionalsatz mit temporaler Bestimmung, gefolgt von der negativen Rechtsfolge und einer göttlichen Vergebungsaussage mit kausaler Begründung.</w:t>
      </w:r>
    </w:p>
    <w:p w14:paraId="77E268BD" w14:textId="77777777" w:rsidR="008460FE" w:rsidRPr="008460FE" w:rsidRDefault="008460FE" w:rsidP="008460FE">
      <w:pPr>
        <w:spacing w:before="100" w:beforeAutospacing="1" w:after="100" w:afterAutospacing="1" w:line="240" w:lineRule="auto"/>
        <w:rPr>
          <w:rFonts w:eastAsia="Times New Roman" w:cs="Times New Roman"/>
          <w:lang w:eastAsia="de-DE"/>
        </w:rPr>
      </w:pPr>
      <w:r w:rsidRPr="008460FE">
        <w:rPr>
          <w:rFonts w:eastAsia="Times New Roman" w:cs="Times New Roman"/>
          <w:lang w:eastAsia="de-DE"/>
        </w:rPr>
        <w:t>Der Vers etabliert das väterliche Vetorecht: Am Tag, an dem der Vater vom Gelübde seiner unverheirateten Tochter erfährt, kann er es aufheben, wobei Gott die Frau von jeglicher Schuld freispricht, da sie unter väterlicher Autorität stand.</w:t>
      </w:r>
    </w:p>
    <w:p w14:paraId="1376B3B3"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30,7</w:t>
      </w:r>
    </w:p>
    <w:p w14:paraId="4BD89080"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וְאִם־הָי֤וֹ תִֽהְיֶה֙ לְאִ֔ישׁ וּנְדָרֶ֖יהָ עָלֶ֑יהָ א֚וֹ מִבְטָ֣א שְׂפָתֶ֔יהָ אֲשֶׁ֥ר אָסְרָ֖ה עַל־נַפְשָֽׁהּ׃</w:t>
      </w:r>
    </w:p>
    <w:p w14:paraId="4E2C5A5D"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Und wenn sie etwa eines Mannes wird, und ihre Gelübde sind auf ihr oder ein unbesonnener Ausspruch ihrer Lippen, womit sie ihre Seele gebunden hat,</w:t>
      </w:r>
    </w:p>
    <w:p w14:paraId="16936FCA"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228C27EA">
          <v:rect id="_x0000_i1934" style="width:0;height:1.5pt" o:hralign="center" o:hrstd="t" o:hr="t" fillcolor="#a0a0a0" stroked="f"/>
        </w:pict>
      </w:r>
    </w:p>
    <w:p w14:paraId="31344F3B"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behandelt den Fall einer Frau, die heiratet. </w:t>
      </w:r>
      <w:r w:rsidRPr="00E46AC0">
        <w:rPr>
          <w:rFonts w:eastAsia="Times New Roman" w:cs="Times New Roman"/>
          <w:b/>
          <w:bCs/>
          <w:rtl/>
          <w:lang w:eastAsia="de-DE"/>
        </w:rPr>
        <w:t>וְאִם־הָיוֹ תִהְיֶה לְאִישׁ</w:t>
      </w:r>
      <w:r w:rsidRPr="00E46AC0">
        <w:rPr>
          <w:rFonts w:eastAsia="Times New Roman" w:cs="Times New Roman"/>
          <w:rtl/>
          <w:lang w:eastAsia="de-DE"/>
        </w:rPr>
        <w:t xml:space="preserve"> </w:t>
      </w:r>
      <w:r w:rsidRPr="00E46AC0">
        <w:rPr>
          <w:rFonts w:eastAsia="Times New Roman" w:cs="Times New Roman"/>
          <w:lang w:eastAsia="de-DE"/>
        </w:rPr>
        <w:t xml:space="preserve">ist die konditionale Einleitung. </w:t>
      </w:r>
      <w:r w:rsidRPr="00E46AC0">
        <w:rPr>
          <w:rFonts w:eastAsia="Times New Roman" w:cs="Times New Roman"/>
          <w:b/>
          <w:bCs/>
          <w:rtl/>
          <w:lang w:eastAsia="de-DE"/>
        </w:rPr>
        <w:t>וְאִם</w:t>
      </w:r>
      <w:r w:rsidRPr="00E46AC0">
        <w:rPr>
          <w:rFonts w:eastAsia="Times New Roman" w:cs="Times New Roman"/>
          <w:rtl/>
          <w:lang w:eastAsia="de-DE"/>
        </w:rPr>
        <w:t xml:space="preserve"> </w:t>
      </w:r>
      <w:r w:rsidRPr="00E46AC0">
        <w:rPr>
          <w:rFonts w:eastAsia="Times New Roman" w:cs="Times New Roman"/>
          <w:lang w:eastAsia="de-DE"/>
        </w:rPr>
        <w:t xml:space="preserve">(„und wenn"), </w:t>
      </w:r>
      <w:r w:rsidRPr="00E46AC0">
        <w:rPr>
          <w:rFonts w:eastAsia="Times New Roman" w:cs="Times New Roman"/>
          <w:b/>
          <w:bCs/>
          <w:rtl/>
          <w:lang w:eastAsia="de-DE"/>
        </w:rPr>
        <w:t>הָיוֹ תִהְיֶה</w:t>
      </w:r>
      <w:r w:rsidRPr="00E46AC0">
        <w:rPr>
          <w:rFonts w:eastAsia="Times New Roman" w:cs="Times New Roman"/>
          <w:rtl/>
          <w:lang w:eastAsia="de-DE"/>
        </w:rPr>
        <w:t xml:space="preserve"> </w:t>
      </w:r>
      <w:r w:rsidRPr="00E46AC0">
        <w:rPr>
          <w:rFonts w:eastAsia="Times New Roman" w:cs="Times New Roman"/>
          <w:lang w:eastAsia="de-DE"/>
        </w:rPr>
        <w:t xml:space="preserve">ist eine Verstärkungskonstruktion: Infinitiv Absolutus von </w:t>
      </w:r>
      <w:r w:rsidRPr="00E46AC0">
        <w:rPr>
          <w:rFonts w:eastAsia="Times New Roman" w:cs="Times New Roman"/>
          <w:b/>
          <w:bCs/>
          <w:rtl/>
          <w:lang w:eastAsia="de-DE"/>
        </w:rPr>
        <w:t>היה</w:t>
      </w:r>
      <w:r w:rsidRPr="00E46AC0">
        <w:rPr>
          <w:rFonts w:eastAsia="Times New Roman" w:cs="Times New Roman"/>
          <w:rtl/>
          <w:lang w:eastAsia="de-DE"/>
        </w:rPr>
        <w:t xml:space="preserve"> </w:t>
      </w:r>
      <w:r w:rsidRPr="00E46AC0">
        <w:rPr>
          <w:rFonts w:eastAsia="Times New Roman" w:cs="Times New Roman"/>
          <w:lang w:eastAsia="de-DE"/>
        </w:rPr>
        <w:t xml:space="preserve">mit Qal Imperfekt 3. Person feminin Singular von </w:t>
      </w:r>
      <w:r w:rsidRPr="00E46AC0">
        <w:rPr>
          <w:rFonts w:eastAsia="Times New Roman" w:cs="Times New Roman"/>
          <w:b/>
          <w:bCs/>
          <w:rtl/>
          <w:lang w:eastAsia="de-DE"/>
        </w:rPr>
        <w:t>היה</w:t>
      </w:r>
      <w:r w:rsidRPr="00E46AC0">
        <w:rPr>
          <w:rFonts w:eastAsia="Times New Roman" w:cs="Times New Roman"/>
          <w:rtl/>
          <w:lang w:eastAsia="de-DE"/>
        </w:rPr>
        <w:t xml:space="preserve"> </w:t>
      </w:r>
      <w:r w:rsidRPr="00E46AC0">
        <w:rPr>
          <w:rFonts w:eastAsia="Times New Roman" w:cs="Times New Roman"/>
          <w:lang w:eastAsia="de-DE"/>
        </w:rPr>
        <w:t xml:space="preserve">(„sie wird gewiss werden, sie wird sein"), </w:t>
      </w:r>
      <w:r w:rsidRPr="00E46AC0">
        <w:rPr>
          <w:rFonts w:eastAsia="Times New Roman" w:cs="Times New Roman"/>
          <w:b/>
          <w:bCs/>
          <w:rtl/>
          <w:lang w:eastAsia="de-DE"/>
        </w:rPr>
        <w:t>לְאִישׁ</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לְ</w:t>
      </w:r>
      <w:r w:rsidRPr="00E46AC0">
        <w:rPr>
          <w:rFonts w:eastAsia="Times New Roman" w:cs="Times New Roman"/>
          <w:rtl/>
          <w:lang w:eastAsia="de-DE"/>
        </w:rPr>
        <w:t xml:space="preserve"> </w:t>
      </w:r>
      <w:r w:rsidRPr="00E46AC0">
        <w:rPr>
          <w:rFonts w:eastAsia="Times New Roman" w:cs="Times New Roman"/>
          <w:lang w:eastAsia="de-DE"/>
        </w:rPr>
        <w:t xml:space="preserve">mit </w:t>
      </w:r>
      <w:r w:rsidRPr="00E46AC0">
        <w:rPr>
          <w:rFonts w:eastAsia="Times New Roman" w:cs="Times New Roman"/>
          <w:b/>
          <w:bCs/>
          <w:rtl/>
          <w:lang w:eastAsia="de-DE"/>
        </w:rPr>
        <w:t>אִישׁ</w:t>
      </w:r>
      <w:r w:rsidRPr="00E46AC0">
        <w:rPr>
          <w:rFonts w:eastAsia="Times New Roman" w:cs="Times New Roman"/>
          <w:rtl/>
          <w:lang w:eastAsia="de-DE"/>
        </w:rPr>
        <w:t xml:space="preserve"> </w:t>
      </w:r>
      <w:r w:rsidRPr="00E46AC0">
        <w:rPr>
          <w:rFonts w:eastAsia="Times New Roman" w:cs="Times New Roman"/>
          <w:lang w:eastAsia="de-DE"/>
        </w:rPr>
        <w:t>„Mann" „für einen Mann, eines Mannes"). Die Formulierung bezeichnet die Heirat.</w:t>
      </w:r>
    </w:p>
    <w:p w14:paraId="3ED062C6"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וּנְדָרֶיהָ עָלֶיהָ</w:t>
      </w:r>
      <w:r w:rsidRPr="00E46AC0">
        <w:rPr>
          <w:rFonts w:eastAsia="Times New Roman" w:cs="Times New Roman"/>
          <w:rtl/>
          <w:lang w:eastAsia="de-DE"/>
        </w:rPr>
        <w:t xml:space="preserve"> </w:t>
      </w:r>
      <w:r w:rsidRPr="00E46AC0">
        <w:rPr>
          <w:rFonts w:eastAsia="Times New Roman" w:cs="Times New Roman"/>
          <w:lang w:eastAsia="de-DE"/>
        </w:rPr>
        <w:t xml:space="preserve">beschreibt die Situation. </w:t>
      </w:r>
      <w:r w:rsidRPr="00E46AC0">
        <w:rPr>
          <w:rFonts w:eastAsia="Times New Roman" w:cs="Times New Roman"/>
          <w:b/>
          <w:bCs/>
          <w:rtl/>
          <w:lang w:eastAsia="de-DE"/>
        </w:rPr>
        <w:t>וּנְדָרֶיהָ</w:t>
      </w:r>
      <w:r w:rsidRPr="00E46AC0">
        <w:rPr>
          <w:rFonts w:eastAsia="Times New Roman" w:cs="Times New Roman"/>
          <w:rtl/>
          <w:lang w:eastAsia="de-DE"/>
        </w:rPr>
        <w:t xml:space="preserve"> </w:t>
      </w:r>
      <w:r w:rsidRPr="00E46AC0">
        <w:rPr>
          <w:rFonts w:eastAsia="Times New Roman" w:cs="Times New Roman"/>
          <w:lang w:eastAsia="de-DE"/>
        </w:rPr>
        <w:t xml:space="preserve">(Konjunktion mit Plural von </w:t>
      </w:r>
      <w:r w:rsidRPr="00E46AC0">
        <w:rPr>
          <w:rFonts w:eastAsia="Times New Roman" w:cs="Times New Roman"/>
          <w:b/>
          <w:bCs/>
          <w:rtl/>
          <w:lang w:eastAsia="de-DE"/>
        </w:rPr>
        <w:t>נֶדֶר</w:t>
      </w:r>
      <w:r w:rsidRPr="00E46AC0">
        <w:rPr>
          <w:rFonts w:eastAsia="Times New Roman" w:cs="Times New Roman"/>
          <w:rtl/>
          <w:lang w:eastAsia="de-DE"/>
        </w:rPr>
        <w:t xml:space="preserve"> </w:t>
      </w:r>
      <w:r w:rsidRPr="00E46AC0">
        <w:rPr>
          <w:rFonts w:eastAsia="Times New Roman" w:cs="Times New Roman"/>
          <w:lang w:eastAsia="de-DE"/>
        </w:rPr>
        <w:t xml:space="preserve">„Gelübde" und Suffix 3. Person feminin Singular „und ihre Gelübde"), </w:t>
      </w:r>
      <w:r w:rsidRPr="00E46AC0">
        <w:rPr>
          <w:rFonts w:eastAsia="Times New Roman" w:cs="Times New Roman"/>
          <w:b/>
          <w:bCs/>
          <w:rtl/>
          <w:lang w:eastAsia="de-DE"/>
        </w:rPr>
        <w:t>עָלֶיהָ</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עַל</w:t>
      </w:r>
      <w:r w:rsidRPr="00E46AC0">
        <w:rPr>
          <w:rFonts w:eastAsia="Times New Roman" w:cs="Times New Roman"/>
          <w:rtl/>
          <w:lang w:eastAsia="de-DE"/>
        </w:rPr>
        <w:t xml:space="preserve"> </w:t>
      </w:r>
      <w:r w:rsidRPr="00E46AC0">
        <w:rPr>
          <w:rFonts w:eastAsia="Times New Roman" w:cs="Times New Roman"/>
          <w:lang w:eastAsia="de-DE"/>
        </w:rPr>
        <w:t xml:space="preserve">„auf" mit Suffix 3. Person feminin Singular „auf ihr"). Die Präposition </w:t>
      </w:r>
      <w:r w:rsidRPr="00E46AC0">
        <w:rPr>
          <w:rFonts w:eastAsia="Times New Roman" w:cs="Times New Roman"/>
          <w:b/>
          <w:bCs/>
          <w:rtl/>
          <w:lang w:eastAsia="de-DE"/>
        </w:rPr>
        <w:t>עַל</w:t>
      </w:r>
      <w:r w:rsidRPr="00E46AC0">
        <w:rPr>
          <w:rFonts w:eastAsia="Times New Roman" w:cs="Times New Roman"/>
          <w:rtl/>
          <w:lang w:eastAsia="de-DE"/>
        </w:rPr>
        <w:t xml:space="preserve"> </w:t>
      </w:r>
      <w:r w:rsidRPr="00E46AC0">
        <w:rPr>
          <w:rFonts w:eastAsia="Times New Roman" w:cs="Times New Roman"/>
          <w:lang w:eastAsia="de-DE"/>
        </w:rPr>
        <w:t>drückt aus, dass die Gelübde bereits auf ihr lasten, d.h. sie wurden vor oder während der Ehe abgelegt.</w:t>
      </w:r>
    </w:p>
    <w:p w14:paraId="38E013C9" w14:textId="77777777" w:rsidR="006B51A1" w:rsidRDefault="00E46AC0" w:rsidP="006B51A1">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אוֹ מִבְטָא שְׂפָתֶיהָ אֲשֶׁר אָסְרָה עַל־נַפְשָׁהּ</w:t>
      </w:r>
      <w:r w:rsidRPr="00E46AC0">
        <w:rPr>
          <w:rFonts w:eastAsia="Times New Roman" w:cs="Times New Roman"/>
          <w:rtl/>
          <w:lang w:eastAsia="de-DE"/>
        </w:rPr>
        <w:t xml:space="preserve"> </w:t>
      </w:r>
      <w:r w:rsidRPr="00E46AC0">
        <w:rPr>
          <w:rFonts w:eastAsia="Times New Roman" w:cs="Times New Roman"/>
          <w:lang w:eastAsia="de-DE"/>
        </w:rPr>
        <w:t xml:space="preserve">ist die Alternative. </w:t>
      </w:r>
      <w:r w:rsidRPr="00E46AC0">
        <w:rPr>
          <w:rFonts w:eastAsia="Times New Roman" w:cs="Times New Roman"/>
          <w:b/>
          <w:bCs/>
          <w:rtl/>
          <w:lang w:eastAsia="de-DE"/>
        </w:rPr>
        <w:t>אוֹ</w:t>
      </w:r>
      <w:r w:rsidRPr="00E46AC0">
        <w:rPr>
          <w:rFonts w:eastAsia="Times New Roman" w:cs="Times New Roman"/>
          <w:rtl/>
          <w:lang w:eastAsia="de-DE"/>
        </w:rPr>
        <w:t xml:space="preserve"> </w:t>
      </w:r>
      <w:r w:rsidRPr="00E46AC0">
        <w:rPr>
          <w:rFonts w:eastAsia="Times New Roman" w:cs="Times New Roman"/>
          <w:lang w:eastAsia="de-DE"/>
        </w:rPr>
        <w:t xml:space="preserve">(„oder"), </w:t>
      </w:r>
      <w:r w:rsidRPr="00E46AC0">
        <w:rPr>
          <w:rFonts w:eastAsia="Times New Roman" w:cs="Times New Roman"/>
          <w:b/>
          <w:bCs/>
          <w:rtl/>
          <w:lang w:eastAsia="de-DE"/>
        </w:rPr>
        <w:t>מִבְטָא</w:t>
      </w:r>
      <w:r w:rsidRPr="00E46AC0">
        <w:rPr>
          <w:rFonts w:eastAsia="Times New Roman" w:cs="Times New Roman"/>
          <w:rtl/>
          <w:lang w:eastAsia="de-DE"/>
        </w:rPr>
        <w:t xml:space="preserve"> </w:t>
      </w:r>
      <w:r w:rsidRPr="00E46AC0">
        <w:rPr>
          <w:rFonts w:eastAsia="Times New Roman" w:cs="Times New Roman"/>
          <w:lang w:eastAsia="de-DE"/>
        </w:rPr>
        <w:t xml:space="preserve">(maskulines Nomen von der Wurzel </w:t>
      </w:r>
      <w:r w:rsidRPr="00E46AC0">
        <w:rPr>
          <w:rFonts w:eastAsia="Times New Roman" w:cs="Times New Roman"/>
          <w:b/>
          <w:bCs/>
          <w:rtl/>
          <w:lang w:eastAsia="de-DE"/>
        </w:rPr>
        <w:t>בטא</w:t>
      </w:r>
      <w:r w:rsidRPr="00E46AC0">
        <w:rPr>
          <w:rFonts w:eastAsia="Times New Roman" w:cs="Times New Roman"/>
          <w:rtl/>
          <w:lang w:eastAsia="de-DE"/>
        </w:rPr>
        <w:t xml:space="preserve"> </w:t>
      </w:r>
      <w:r w:rsidRPr="00E46AC0">
        <w:rPr>
          <w:rFonts w:eastAsia="Times New Roman" w:cs="Times New Roman"/>
          <w:lang w:eastAsia="de-DE"/>
        </w:rPr>
        <w:t xml:space="preserve">„aussprechen, unüberlegt reden" „unbesonnener Ausspruch, übereilter Ausspruch"), </w:t>
      </w:r>
      <w:r w:rsidRPr="00E46AC0">
        <w:rPr>
          <w:rFonts w:eastAsia="Times New Roman" w:cs="Times New Roman"/>
          <w:b/>
          <w:bCs/>
          <w:rtl/>
          <w:lang w:eastAsia="de-DE"/>
        </w:rPr>
        <w:t>שְׂפָתֶיהָ</w:t>
      </w:r>
      <w:r w:rsidRPr="00E46AC0">
        <w:rPr>
          <w:rFonts w:eastAsia="Times New Roman" w:cs="Times New Roman"/>
          <w:rtl/>
          <w:lang w:eastAsia="de-DE"/>
        </w:rPr>
        <w:t xml:space="preserve"> </w:t>
      </w:r>
      <w:r w:rsidRPr="00E46AC0">
        <w:rPr>
          <w:rFonts w:eastAsia="Times New Roman" w:cs="Times New Roman"/>
          <w:lang w:eastAsia="de-DE"/>
        </w:rPr>
        <w:t xml:space="preserve">(Dual von </w:t>
      </w:r>
      <w:r w:rsidRPr="00E46AC0">
        <w:rPr>
          <w:rFonts w:eastAsia="Times New Roman" w:cs="Times New Roman"/>
          <w:b/>
          <w:bCs/>
          <w:rtl/>
          <w:lang w:eastAsia="de-DE"/>
        </w:rPr>
        <w:t>שָׂפָה</w:t>
      </w:r>
      <w:r w:rsidRPr="00E46AC0">
        <w:rPr>
          <w:rFonts w:eastAsia="Times New Roman" w:cs="Times New Roman"/>
          <w:rtl/>
          <w:lang w:eastAsia="de-DE"/>
        </w:rPr>
        <w:t xml:space="preserve"> </w:t>
      </w:r>
      <w:r w:rsidRPr="00E46AC0">
        <w:rPr>
          <w:rFonts w:eastAsia="Times New Roman" w:cs="Times New Roman"/>
          <w:lang w:eastAsia="de-DE"/>
        </w:rPr>
        <w:t xml:space="preserve">„Lippe" mit Suffix „ihrer Lippen" im Genitiv), </w:t>
      </w:r>
      <w:r w:rsidRPr="00E46AC0">
        <w:rPr>
          <w:rFonts w:eastAsia="Times New Roman" w:cs="Times New Roman"/>
          <w:b/>
          <w:bCs/>
          <w:rtl/>
          <w:lang w:eastAsia="de-DE"/>
        </w:rPr>
        <w:t>אֲשֶׁר אָסְרָה עַל־נַפְשָׁהּ</w:t>
      </w:r>
      <w:r w:rsidRPr="00E46AC0">
        <w:rPr>
          <w:rFonts w:eastAsia="Times New Roman" w:cs="Times New Roman"/>
          <w:rtl/>
          <w:lang w:eastAsia="de-DE"/>
        </w:rPr>
        <w:t xml:space="preserve"> </w:t>
      </w:r>
      <w:r w:rsidRPr="00E46AC0">
        <w:rPr>
          <w:rFonts w:eastAsia="Times New Roman" w:cs="Times New Roman"/>
          <w:lang w:eastAsia="de-DE"/>
        </w:rPr>
        <w:t xml:space="preserve">(Relativsatz: „womit sie ihre Seele gebunden hat"). </w:t>
      </w:r>
      <w:r w:rsidRPr="00E46AC0">
        <w:rPr>
          <w:rFonts w:eastAsia="Times New Roman" w:cs="Times New Roman"/>
          <w:b/>
          <w:bCs/>
          <w:rtl/>
          <w:lang w:eastAsia="de-DE"/>
        </w:rPr>
        <w:t>מִבְטָא שְׂפָתֶיהָ</w:t>
      </w:r>
      <w:r w:rsidRPr="00E46AC0">
        <w:rPr>
          <w:rFonts w:eastAsia="Times New Roman" w:cs="Times New Roman"/>
          <w:rtl/>
          <w:lang w:eastAsia="de-DE"/>
        </w:rPr>
        <w:t xml:space="preserve"> </w:t>
      </w:r>
      <w:r w:rsidRPr="00E46AC0">
        <w:rPr>
          <w:rFonts w:eastAsia="Times New Roman" w:cs="Times New Roman"/>
          <w:lang w:eastAsia="de-DE"/>
        </w:rPr>
        <w:t>bezeichnet ein unüberlegtes Versprechen oder Gelübde, das spontan ausgesprochen wurde.</w:t>
      </w:r>
    </w:p>
    <w:p w14:paraId="0F8D616C" w14:textId="006B85D7" w:rsidR="006B51A1" w:rsidRDefault="006B51A1" w:rsidP="006B51A1">
      <w:pPr>
        <w:spacing w:before="100" w:beforeAutospacing="1" w:after="100" w:afterAutospacing="1" w:line="240" w:lineRule="auto"/>
        <w:rPr>
          <w:rFonts w:eastAsia="Times New Roman" w:cs="Times New Roman"/>
          <w:lang w:eastAsia="de-DE"/>
        </w:rPr>
      </w:pPr>
      <w:r>
        <w:rPr>
          <w:rStyle w:val="Fett"/>
        </w:rPr>
        <w:t>Vers 7:</w:t>
      </w:r>
      <w:r>
        <w:t xml:space="preserve"> </w:t>
      </w:r>
      <w:r>
        <w:rPr>
          <w:rStyle w:val="Fett"/>
        </w:rPr>
        <w:t>Die LXX</w:t>
      </w:r>
      <w:r>
        <w:t xml:space="preserve"> übersetzt „</w:t>
      </w:r>
      <w:r w:rsidRPr="006B51A1">
        <w:rPr>
          <w:b/>
          <w:bCs/>
          <w:rtl/>
        </w:rPr>
        <w:t>מִבְטָא</w:t>
      </w:r>
      <w:r>
        <w:rPr>
          <w:rtl/>
        </w:rPr>
        <w:t xml:space="preserve"> </w:t>
      </w:r>
      <w:r w:rsidRPr="006B51A1">
        <w:rPr>
          <w:b/>
          <w:bCs/>
          <w:rtl/>
        </w:rPr>
        <w:t>שְׂפָתֶיהָ</w:t>
      </w:r>
      <w:r>
        <w:t>" (ein unbedachter Ausspruch ihrer Lippen) mit „κατὰ τὴν διαστολὴν τῶν χειλέων αὐτῆς" (gemäß dem Ausspruch ihrer Lippen), was neutraler ist.</w:t>
      </w:r>
      <w:r w:rsidRPr="00E46AC0">
        <w:rPr>
          <w:rFonts w:eastAsia="Times New Roman" w:cs="Times New Roman"/>
          <w:lang w:eastAsia="de-DE"/>
        </w:rPr>
        <w:t xml:space="preserve"> </w:t>
      </w:r>
    </w:p>
    <w:p w14:paraId="0A519CEA" w14:textId="0680A02C"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lastRenderedPageBreak/>
        <w:t>Die Satzstruktur zeigt einen Konditionalsatz mit Verstärkungskonstruktion, gefolgt von zwei Objektbeschreibungen (Gelübde oder unbesonnener Ausspruch), die die Protasis für die folgenden Verse bilden.</w:t>
      </w:r>
    </w:p>
    <w:p w14:paraId="77FD8277"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Der Vers beschreibt den Fall einer Frau, die mit bereits bestehenden Gelübden in die Ehe tritt oder während der Ehe unüberlegt ein Versprechen ablegt - eine Situation, die die Autorität des Ehemannes über solche Verpflichtungen klärt.</w:t>
      </w:r>
    </w:p>
    <w:p w14:paraId="5382F7AE"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30,8</w:t>
      </w:r>
    </w:p>
    <w:p w14:paraId="6264B024"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וְשָׁמַ֥ע אִישָׁ֛הּ בְּי֥וֹם שָׁמְעֹ֖ו וְהֶחֱרִ֣ישׁ לָ֑הּ וְקָ֣מוּ נְדָרֶ֗יהָ וֶֽאֱסָרֶ֛הָ אֲשֶׁר־אָסְרָ֥ה עַל־נַפְשָׁ֖הּ יָקֻֽמוּ׃</w:t>
      </w:r>
    </w:p>
    <w:p w14:paraId="4BC63E6D"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und ihr Mann hört es und schweigt ihr gegenüber an dem Tag, da er hört: so sollen ihre Gelübde bestehen, und ihre Verpflichtungen, die sie auf ihre Seele gebunden hat, sollen bestehen.</w:t>
      </w:r>
    </w:p>
    <w:p w14:paraId="0F55C447"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75E3F387">
          <v:rect id="_x0000_i1935" style="width:0;height:1.5pt" o:hralign="center" o:hrstd="t" o:hr="t" fillcolor="#a0a0a0" stroked="f"/>
        </w:pict>
      </w:r>
    </w:p>
    <w:p w14:paraId="685781C0" w14:textId="3AEF08BD"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gibt die erste Rechtsfolge: Bestätigung durch Schweigen. </w:t>
      </w:r>
      <w:r w:rsidRPr="00E46AC0">
        <w:rPr>
          <w:rFonts w:eastAsia="Times New Roman" w:cs="Times New Roman"/>
          <w:b/>
          <w:bCs/>
          <w:rtl/>
          <w:lang w:eastAsia="de-DE"/>
        </w:rPr>
        <w:t>וְשָׁמַע אִישָׁהּ בְּיוֹם שָׁמְעוֹ</w:t>
      </w:r>
      <w:r w:rsidRPr="00E46AC0">
        <w:rPr>
          <w:rFonts w:eastAsia="Times New Roman" w:cs="Times New Roman"/>
          <w:rtl/>
          <w:lang w:eastAsia="de-DE"/>
        </w:rPr>
        <w:t xml:space="preserve"> </w:t>
      </w:r>
      <w:r w:rsidRPr="00E46AC0">
        <w:rPr>
          <w:rFonts w:eastAsia="Times New Roman" w:cs="Times New Roman"/>
          <w:lang w:eastAsia="de-DE"/>
        </w:rPr>
        <w:t xml:space="preserve">beschreibt die Reaktion des Ehemannes. </w:t>
      </w:r>
      <w:r w:rsidRPr="00E46AC0">
        <w:rPr>
          <w:rFonts w:eastAsia="Times New Roman" w:cs="Times New Roman"/>
          <w:b/>
          <w:bCs/>
          <w:rtl/>
          <w:lang w:eastAsia="de-DE"/>
        </w:rPr>
        <w:t>וְשָׁמַע</w:t>
      </w:r>
      <w:r w:rsidRPr="00E46AC0">
        <w:rPr>
          <w:rFonts w:eastAsia="Times New Roman" w:cs="Times New Roman"/>
          <w:rtl/>
          <w:lang w:eastAsia="de-DE"/>
        </w:rPr>
        <w:t xml:space="preserve"> </w:t>
      </w:r>
      <w:r w:rsidRPr="00E46AC0">
        <w:rPr>
          <w:rFonts w:eastAsia="Times New Roman" w:cs="Times New Roman"/>
          <w:lang w:eastAsia="de-DE"/>
        </w:rPr>
        <w:t xml:space="preserve">(Konjunktion mit Qal Perfekt 3. Person maskulin Singular mit Waw consecutivum von </w:t>
      </w:r>
      <w:r w:rsidRPr="00E46AC0">
        <w:rPr>
          <w:rFonts w:eastAsia="Times New Roman" w:cs="Times New Roman"/>
          <w:b/>
          <w:bCs/>
          <w:rtl/>
          <w:lang w:eastAsia="de-DE"/>
        </w:rPr>
        <w:t>שׁמע</w:t>
      </w:r>
      <w:r w:rsidRPr="00E46AC0">
        <w:rPr>
          <w:rFonts w:eastAsia="Times New Roman" w:cs="Times New Roman"/>
          <w:rtl/>
          <w:lang w:eastAsia="de-DE"/>
        </w:rPr>
        <w:t xml:space="preserve"> </w:t>
      </w:r>
      <w:r w:rsidRPr="00E46AC0">
        <w:rPr>
          <w:rFonts w:eastAsia="Times New Roman" w:cs="Times New Roman"/>
          <w:lang w:eastAsia="de-DE"/>
        </w:rPr>
        <w:t xml:space="preserve">„hören"), </w:t>
      </w:r>
      <w:r w:rsidRPr="00E46AC0">
        <w:rPr>
          <w:rFonts w:eastAsia="Times New Roman" w:cs="Times New Roman"/>
          <w:b/>
          <w:bCs/>
          <w:rtl/>
          <w:lang w:eastAsia="de-DE"/>
        </w:rPr>
        <w:t>אִישָׁהּ</w:t>
      </w:r>
      <w:r w:rsidRPr="00E46AC0">
        <w:rPr>
          <w:rFonts w:eastAsia="Times New Roman" w:cs="Times New Roman"/>
          <w:rtl/>
          <w:lang w:eastAsia="de-DE"/>
        </w:rPr>
        <w:t xml:space="preserve"> </w:t>
      </w:r>
      <w:r w:rsidRPr="00E46AC0">
        <w:rPr>
          <w:rFonts w:eastAsia="Times New Roman" w:cs="Times New Roman"/>
          <w:lang w:eastAsia="de-DE"/>
        </w:rPr>
        <w:t xml:space="preserve">(maskulines Nomen </w:t>
      </w:r>
      <w:r w:rsidRPr="00E46AC0">
        <w:rPr>
          <w:rFonts w:eastAsia="Times New Roman" w:cs="Times New Roman"/>
          <w:b/>
          <w:bCs/>
          <w:rtl/>
          <w:lang w:eastAsia="de-DE"/>
        </w:rPr>
        <w:t>אִישׁ</w:t>
      </w:r>
      <w:r w:rsidRPr="00E46AC0">
        <w:rPr>
          <w:rFonts w:eastAsia="Times New Roman" w:cs="Times New Roman"/>
          <w:rtl/>
          <w:lang w:eastAsia="de-DE"/>
        </w:rPr>
        <w:t xml:space="preserve"> </w:t>
      </w:r>
      <w:r w:rsidRPr="00E46AC0">
        <w:rPr>
          <w:rFonts w:eastAsia="Times New Roman" w:cs="Times New Roman"/>
          <w:lang w:eastAsia="de-DE"/>
        </w:rPr>
        <w:t xml:space="preserve">„Mann, Ehemann" mit Suffix 3. Person feminin Singular „ihr Mann"), </w:t>
      </w:r>
      <w:r w:rsidRPr="00E46AC0">
        <w:rPr>
          <w:rFonts w:eastAsia="Times New Roman" w:cs="Times New Roman"/>
          <w:b/>
          <w:bCs/>
          <w:rtl/>
          <w:lang w:eastAsia="de-DE"/>
        </w:rPr>
        <w:t>בְּיוֹם שָׁמְעוֹ</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בְ</w:t>
      </w:r>
      <w:r w:rsidRPr="00E46AC0">
        <w:rPr>
          <w:rFonts w:eastAsia="Times New Roman" w:cs="Times New Roman"/>
          <w:rtl/>
          <w:lang w:eastAsia="de-DE"/>
        </w:rPr>
        <w:t xml:space="preserve"> </w:t>
      </w:r>
      <w:r w:rsidRPr="00E46AC0">
        <w:rPr>
          <w:rFonts w:eastAsia="Times New Roman" w:cs="Times New Roman"/>
          <w:lang w:eastAsia="de-DE"/>
        </w:rPr>
        <w:t xml:space="preserve">mit </w:t>
      </w:r>
      <w:r w:rsidRPr="00E46AC0">
        <w:rPr>
          <w:rFonts w:eastAsia="Times New Roman" w:cs="Times New Roman"/>
          <w:b/>
          <w:bCs/>
          <w:rtl/>
          <w:lang w:eastAsia="de-DE"/>
        </w:rPr>
        <w:t>יוֹם</w:t>
      </w:r>
      <w:r w:rsidRPr="00E46AC0">
        <w:rPr>
          <w:rFonts w:eastAsia="Times New Roman" w:cs="Times New Roman"/>
          <w:rtl/>
          <w:lang w:eastAsia="de-DE"/>
        </w:rPr>
        <w:t xml:space="preserve"> </w:t>
      </w:r>
      <w:r w:rsidRPr="00E46AC0">
        <w:rPr>
          <w:rFonts w:eastAsia="Times New Roman" w:cs="Times New Roman"/>
          <w:lang w:eastAsia="de-DE"/>
        </w:rPr>
        <w:t xml:space="preserve">„Tag" im </w:t>
      </w:r>
      <w:r w:rsidR="00E031B3">
        <w:rPr>
          <w:rFonts w:eastAsia="Times New Roman" w:cs="Times New Roman"/>
          <w:lang w:eastAsia="de-DE"/>
        </w:rPr>
        <w:t>Constructus und</w:t>
      </w:r>
      <w:r w:rsidRPr="00E46AC0">
        <w:rPr>
          <w:rFonts w:eastAsia="Times New Roman" w:cs="Times New Roman"/>
          <w:lang w:eastAsia="de-DE"/>
        </w:rPr>
        <w:t xml:space="preserve"> Qal Infinitiv </w:t>
      </w:r>
      <w:r w:rsidR="00E031B3">
        <w:rPr>
          <w:rFonts w:eastAsia="Times New Roman" w:cs="Times New Roman"/>
          <w:lang w:eastAsia="de-DE"/>
        </w:rPr>
        <w:t>Constructus von</w:t>
      </w:r>
      <w:r w:rsidRPr="00E46AC0">
        <w:rPr>
          <w:rFonts w:eastAsia="Times New Roman" w:cs="Times New Roman"/>
          <w:lang w:eastAsia="de-DE"/>
        </w:rPr>
        <w:t xml:space="preserve"> </w:t>
      </w:r>
      <w:r w:rsidRPr="00E46AC0">
        <w:rPr>
          <w:rFonts w:eastAsia="Times New Roman" w:cs="Times New Roman"/>
          <w:b/>
          <w:bCs/>
          <w:rtl/>
          <w:lang w:eastAsia="de-DE"/>
        </w:rPr>
        <w:t>שׁמע</w:t>
      </w:r>
      <w:r w:rsidRPr="00E46AC0">
        <w:rPr>
          <w:rFonts w:eastAsia="Times New Roman" w:cs="Times New Roman"/>
          <w:rtl/>
          <w:lang w:eastAsia="de-DE"/>
        </w:rPr>
        <w:t xml:space="preserve"> </w:t>
      </w:r>
      <w:r w:rsidRPr="00E46AC0">
        <w:rPr>
          <w:rFonts w:eastAsia="Times New Roman" w:cs="Times New Roman"/>
          <w:lang w:eastAsia="de-DE"/>
        </w:rPr>
        <w:t>mit Suffix 3. Person maskulin Singular „an dem Tag seines Hörens"). Die temporale Bestimmung ist entscheidend.</w:t>
      </w:r>
    </w:p>
    <w:p w14:paraId="0019982B"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וְהֶחֱרִישׁ לָהּ</w:t>
      </w:r>
      <w:r w:rsidRPr="00E46AC0">
        <w:rPr>
          <w:rFonts w:eastAsia="Times New Roman" w:cs="Times New Roman"/>
          <w:rtl/>
          <w:lang w:eastAsia="de-DE"/>
        </w:rPr>
        <w:t xml:space="preserve"> </w:t>
      </w:r>
      <w:r w:rsidRPr="00E46AC0">
        <w:rPr>
          <w:rFonts w:eastAsia="Times New Roman" w:cs="Times New Roman"/>
          <w:lang w:eastAsia="de-DE"/>
        </w:rPr>
        <w:t xml:space="preserve">ist die Handlung (bzw. Nicht-Handlung). </w:t>
      </w:r>
      <w:r w:rsidRPr="00E46AC0">
        <w:rPr>
          <w:rFonts w:eastAsia="Times New Roman" w:cs="Times New Roman"/>
          <w:b/>
          <w:bCs/>
          <w:rtl/>
          <w:lang w:eastAsia="de-DE"/>
        </w:rPr>
        <w:t>וְהֶחֱרִישׁ</w:t>
      </w:r>
      <w:r w:rsidRPr="00E46AC0">
        <w:rPr>
          <w:rFonts w:eastAsia="Times New Roman" w:cs="Times New Roman"/>
          <w:rtl/>
          <w:lang w:eastAsia="de-DE"/>
        </w:rPr>
        <w:t xml:space="preserve"> </w:t>
      </w:r>
      <w:r w:rsidRPr="00E46AC0">
        <w:rPr>
          <w:rFonts w:eastAsia="Times New Roman" w:cs="Times New Roman"/>
          <w:lang w:eastAsia="de-DE"/>
        </w:rPr>
        <w:t xml:space="preserve">(Konjunktion mit Hiphil Perfekt 3. Person maskulin Singular mit Waw consecutivum von </w:t>
      </w:r>
      <w:r w:rsidRPr="00E46AC0">
        <w:rPr>
          <w:rFonts w:eastAsia="Times New Roman" w:cs="Times New Roman"/>
          <w:b/>
          <w:bCs/>
          <w:rtl/>
          <w:lang w:eastAsia="de-DE"/>
        </w:rPr>
        <w:t>חרשׁ</w:t>
      </w:r>
      <w:r w:rsidRPr="00E46AC0">
        <w:rPr>
          <w:rFonts w:eastAsia="Times New Roman" w:cs="Times New Roman"/>
          <w:rtl/>
          <w:lang w:eastAsia="de-DE"/>
        </w:rPr>
        <w:t xml:space="preserve"> </w:t>
      </w:r>
      <w:r w:rsidRPr="00E46AC0">
        <w:rPr>
          <w:rFonts w:eastAsia="Times New Roman" w:cs="Times New Roman"/>
          <w:lang w:eastAsia="de-DE"/>
        </w:rPr>
        <w:t xml:space="preserve">„schweigen, still sein"), </w:t>
      </w:r>
      <w:r w:rsidRPr="00E46AC0">
        <w:rPr>
          <w:rFonts w:eastAsia="Times New Roman" w:cs="Times New Roman"/>
          <w:b/>
          <w:bCs/>
          <w:rtl/>
          <w:lang w:eastAsia="de-DE"/>
        </w:rPr>
        <w:t>לָהּ</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לְ</w:t>
      </w:r>
      <w:r w:rsidRPr="00E46AC0">
        <w:rPr>
          <w:rFonts w:eastAsia="Times New Roman" w:cs="Times New Roman"/>
          <w:rtl/>
          <w:lang w:eastAsia="de-DE"/>
        </w:rPr>
        <w:t xml:space="preserve"> </w:t>
      </w:r>
      <w:r w:rsidRPr="00E46AC0">
        <w:rPr>
          <w:rFonts w:eastAsia="Times New Roman" w:cs="Times New Roman"/>
          <w:lang w:eastAsia="de-DE"/>
        </w:rPr>
        <w:t>mit Suffix 3. Person feminin Singular „ihr gegenüber, zu ihr"). Das Schweigen gilt als stillschweigende Zustimmung.</w:t>
      </w:r>
    </w:p>
    <w:p w14:paraId="70EF4EEF"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וְקָמוּ נְדָרֶיהָ וֶאֱסָרֶהָ אֲשֶׁר־אָסְרָה עַל־נַפְשָׁהּ יָקֻמוּ</w:t>
      </w:r>
      <w:r w:rsidRPr="00E46AC0">
        <w:rPr>
          <w:rFonts w:eastAsia="Times New Roman" w:cs="Times New Roman"/>
          <w:rtl/>
          <w:lang w:eastAsia="de-DE"/>
        </w:rPr>
        <w:t xml:space="preserve"> </w:t>
      </w:r>
      <w:r w:rsidRPr="00E46AC0">
        <w:rPr>
          <w:rFonts w:eastAsia="Times New Roman" w:cs="Times New Roman"/>
          <w:lang w:eastAsia="de-DE"/>
        </w:rPr>
        <w:t xml:space="preserve">ist die Rechtsfolge. </w:t>
      </w:r>
      <w:r w:rsidRPr="00E46AC0">
        <w:rPr>
          <w:rFonts w:eastAsia="Times New Roman" w:cs="Times New Roman"/>
          <w:b/>
          <w:bCs/>
          <w:rtl/>
          <w:lang w:eastAsia="de-DE"/>
        </w:rPr>
        <w:t>וְקָמוּ</w:t>
      </w:r>
      <w:r w:rsidRPr="00E46AC0">
        <w:rPr>
          <w:rFonts w:eastAsia="Times New Roman" w:cs="Times New Roman"/>
          <w:rtl/>
          <w:lang w:eastAsia="de-DE"/>
        </w:rPr>
        <w:t xml:space="preserve"> </w:t>
      </w:r>
      <w:r w:rsidRPr="00E46AC0">
        <w:rPr>
          <w:rFonts w:eastAsia="Times New Roman" w:cs="Times New Roman"/>
          <w:lang w:eastAsia="de-DE"/>
        </w:rPr>
        <w:t xml:space="preserve">(Konjunktion mit Qal Perfekt 3. Person Plural mit Waw consecutivum von </w:t>
      </w:r>
      <w:r w:rsidRPr="00E46AC0">
        <w:rPr>
          <w:rFonts w:eastAsia="Times New Roman" w:cs="Times New Roman"/>
          <w:b/>
          <w:bCs/>
          <w:rtl/>
          <w:lang w:eastAsia="de-DE"/>
        </w:rPr>
        <w:t>קום</w:t>
      </w:r>
      <w:r w:rsidRPr="00E46AC0">
        <w:rPr>
          <w:rFonts w:eastAsia="Times New Roman" w:cs="Times New Roman"/>
          <w:rtl/>
          <w:lang w:eastAsia="de-DE"/>
        </w:rPr>
        <w:t xml:space="preserve"> </w:t>
      </w:r>
      <w:r w:rsidRPr="00E46AC0">
        <w:rPr>
          <w:rFonts w:eastAsia="Times New Roman" w:cs="Times New Roman"/>
          <w:lang w:eastAsia="de-DE"/>
        </w:rPr>
        <w:t xml:space="preserve">„bestehen, gültig sein"), </w:t>
      </w:r>
      <w:r w:rsidRPr="00E46AC0">
        <w:rPr>
          <w:rFonts w:eastAsia="Times New Roman" w:cs="Times New Roman"/>
          <w:b/>
          <w:bCs/>
          <w:rtl/>
          <w:lang w:eastAsia="de-DE"/>
        </w:rPr>
        <w:t>נְדָרֶיהָ</w:t>
      </w:r>
      <w:r w:rsidRPr="00E46AC0">
        <w:rPr>
          <w:rFonts w:eastAsia="Times New Roman" w:cs="Times New Roman"/>
          <w:rtl/>
          <w:lang w:eastAsia="de-DE"/>
        </w:rPr>
        <w:t xml:space="preserve"> </w:t>
      </w:r>
      <w:r w:rsidRPr="00E46AC0">
        <w:rPr>
          <w:rFonts w:eastAsia="Times New Roman" w:cs="Times New Roman"/>
          <w:lang w:eastAsia="de-DE"/>
        </w:rPr>
        <w:t xml:space="preserve">(Plural „ihre Gelübde" als Subjekt), </w:t>
      </w:r>
      <w:r w:rsidRPr="00E46AC0">
        <w:rPr>
          <w:rFonts w:eastAsia="Times New Roman" w:cs="Times New Roman"/>
          <w:b/>
          <w:bCs/>
          <w:rtl/>
          <w:lang w:eastAsia="de-DE"/>
        </w:rPr>
        <w:t>וֶאֱסָרֶהָ אֲשֶׁר־אָסְרָה עַל־נַפְשָׁהּ</w:t>
      </w:r>
      <w:r w:rsidRPr="00E46AC0">
        <w:rPr>
          <w:rFonts w:eastAsia="Times New Roman" w:cs="Times New Roman"/>
          <w:rtl/>
          <w:lang w:eastAsia="de-DE"/>
        </w:rPr>
        <w:t xml:space="preserve"> </w:t>
      </w:r>
      <w:r w:rsidRPr="00E46AC0">
        <w:rPr>
          <w:rFonts w:eastAsia="Times New Roman" w:cs="Times New Roman"/>
          <w:lang w:eastAsia="de-DE"/>
        </w:rPr>
        <w:t xml:space="preserve">(Konjunktion mit Plural von </w:t>
      </w:r>
      <w:r w:rsidRPr="00E46AC0">
        <w:rPr>
          <w:rFonts w:eastAsia="Times New Roman" w:cs="Times New Roman"/>
          <w:b/>
          <w:bCs/>
          <w:rtl/>
          <w:lang w:eastAsia="de-DE"/>
        </w:rPr>
        <w:t>אִסָּר</w:t>
      </w:r>
      <w:r w:rsidRPr="00E46AC0">
        <w:rPr>
          <w:rFonts w:eastAsia="Times New Roman" w:cs="Times New Roman"/>
          <w:rtl/>
          <w:lang w:eastAsia="de-DE"/>
        </w:rPr>
        <w:t xml:space="preserve"> </w:t>
      </w:r>
      <w:r w:rsidRPr="00E46AC0">
        <w:rPr>
          <w:rFonts w:eastAsia="Times New Roman" w:cs="Times New Roman"/>
          <w:lang w:eastAsia="de-DE"/>
        </w:rPr>
        <w:t xml:space="preserve">„Verpflichtung" mit Suffix, gefolgt von Relativsatz), </w:t>
      </w:r>
      <w:r w:rsidRPr="00E46AC0">
        <w:rPr>
          <w:rFonts w:eastAsia="Times New Roman" w:cs="Times New Roman"/>
          <w:b/>
          <w:bCs/>
          <w:rtl/>
          <w:lang w:eastAsia="de-DE"/>
        </w:rPr>
        <w:t>יָקֻמוּ</w:t>
      </w:r>
      <w:r w:rsidRPr="00E46AC0">
        <w:rPr>
          <w:rFonts w:eastAsia="Times New Roman" w:cs="Times New Roman"/>
          <w:rtl/>
          <w:lang w:eastAsia="de-DE"/>
        </w:rPr>
        <w:t xml:space="preserve"> </w:t>
      </w:r>
      <w:r w:rsidRPr="00E46AC0">
        <w:rPr>
          <w:rFonts w:eastAsia="Times New Roman" w:cs="Times New Roman"/>
          <w:lang w:eastAsia="de-DE"/>
        </w:rPr>
        <w:t xml:space="preserve">(Qal Imperfekt 3. Person Plural von </w:t>
      </w:r>
      <w:r w:rsidRPr="00E46AC0">
        <w:rPr>
          <w:rFonts w:eastAsia="Times New Roman" w:cs="Times New Roman"/>
          <w:b/>
          <w:bCs/>
          <w:rtl/>
          <w:lang w:eastAsia="de-DE"/>
        </w:rPr>
        <w:t>קום</w:t>
      </w:r>
      <w:r w:rsidRPr="00E46AC0">
        <w:rPr>
          <w:rFonts w:eastAsia="Times New Roman" w:cs="Times New Roman"/>
          <w:rtl/>
          <w:lang w:eastAsia="de-DE"/>
        </w:rPr>
        <w:t xml:space="preserve"> </w:t>
      </w:r>
      <w:r w:rsidRPr="00E46AC0">
        <w:rPr>
          <w:rFonts w:eastAsia="Times New Roman" w:cs="Times New Roman"/>
          <w:lang w:eastAsia="de-DE"/>
        </w:rPr>
        <w:t xml:space="preserve">„sollen bestehen"). Die Wiederholung mit </w:t>
      </w:r>
      <w:r w:rsidRPr="00E46AC0">
        <w:rPr>
          <w:rFonts w:eastAsia="Times New Roman" w:cs="Times New Roman"/>
          <w:b/>
          <w:bCs/>
          <w:rtl/>
          <w:lang w:eastAsia="de-DE"/>
        </w:rPr>
        <w:t>קום</w:t>
      </w:r>
      <w:r w:rsidRPr="00E46AC0">
        <w:rPr>
          <w:rFonts w:eastAsia="Times New Roman" w:cs="Times New Roman"/>
          <w:rtl/>
          <w:lang w:eastAsia="de-DE"/>
        </w:rPr>
        <w:t xml:space="preserve"> </w:t>
      </w:r>
      <w:r w:rsidRPr="00E46AC0">
        <w:rPr>
          <w:rFonts w:eastAsia="Times New Roman" w:cs="Times New Roman"/>
          <w:lang w:eastAsia="de-DE"/>
        </w:rPr>
        <w:t>in zwei Formen betont die Bindungskraft.</w:t>
      </w:r>
    </w:p>
    <w:p w14:paraId="422AFAE1"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Die Satzstruktur zeigt eine Kette von drei Perfekta mit Waw consecutivum (hört, schweigt, bestehen), die die zeitliche Abfolge und kausale Verbindung ausdrücken.</w:t>
      </w:r>
    </w:p>
    <w:p w14:paraId="05E7671A"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Der Vers etabliert das Prinzip, dass wenn der Ehemann am Tag, an dem er vom Gelübde seiner Frau erfährt, schweigt, gilt dies als Zustimmung und das Gelübde wird bindend und kann nicht mehr aufgehoben werden.</w:t>
      </w:r>
    </w:p>
    <w:p w14:paraId="196B105D"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30,9</w:t>
      </w:r>
    </w:p>
    <w:p w14:paraId="3B5F70F0"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וְ֠אִם בְּי֨וֹם שְׁמֹ֣עַ אִישָׁהּ֮ יָנִ֣יא אוֹתָהּ֒ וְהֵפֵ֗ר אֶת־נִדְרָהּ֙ אֲשֶׁ֣ר עָלֶ֔יהָ וְאֵת֙ מִבְטָ֣א שְׂפָתֶ֔יהָ אֲשֶׁ֥ר אָסְרָ֖ה עַל־נַפְשָׁ֑הּ וַיהוָ֖ה יִֽסְלַֽח־לָֽהּ׃</w:t>
      </w:r>
    </w:p>
    <w:p w14:paraId="577C8705"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lastRenderedPageBreak/>
        <w:t>Deutsch:</w:t>
      </w:r>
      <w:r w:rsidRPr="00E46AC0">
        <w:rPr>
          <w:rFonts w:eastAsia="Times New Roman" w:cs="Times New Roman"/>
          <w:lang w:eastAsia="de-DE"/>
        </w:rPr>
        <w:t xml:space="preserve"> Wenn aber ihr Mann an dem Tag, da er hört, ihr wehrt, so hebt er ihr Gelübde auf, das auf ihr ist, und den unbesonnenen Ausspruch ihrer Lippen, womit sie ihre Seele gebunden hat; und der Ewige wird ihr vergeben.</w:t>
      </w:r>
    </w:p>
    <w:p w14:paraId="5F54B0DE"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450272BC">
          <v:rect id="_x0000_i1936" style="width:0;height:1.5pt" o:hralign="center" o:hrstd="t" o:hr="t" fillcolor="#a0a0a0" stroked="f"/>
        </w:pict>
      </w:r>
    </w:p>
    <w:p w14:paraId="4F121D9F" w14:textId="271C0C6A"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gibt die alternative Rechtsfolge: Aufhebung durch den Ehemann. </w:t>
      </w:r>
      <w:r w:rsidRPr="00E46AC0">
        <w:rPr>
          <w:rFonts w:eastAsia="Times New Roman" w:cs="Times New Roman"/>
          <w:b/>
          <w:bCs/>
          <w:rtl/>
          <w:lang w:eastAsia="de-DE"/>
        </w:rPr>
        <w:t>וְאִם בְּיוֹם שְׁמֹעַ אִישָׁהּ יָנִיא אוֹתָהּ</w:t>
      </w:r>
      <w:r w:rsidRPr="00E46AC0">
        <w:rPr>
          <w:rFonts w:eastAsia="Times New Roman" w:cs="Times New Roman"/>
          <w:rtl/>
          <w:lang w:eastAsia="de-DE"/>
        </w:rPr>
        <w:t xml:space="preserve"> </w:t>
      </w:r>
      <w:r w:rsidRPr="00E46AC0">
        <w:rPr>
          <w:rFonts w:eastAsia="Times New Roman" w:cs="Times New Roman"/>
          <w:lang w:eastAsia="de-DE"/>
        </w:rPr>
        <w:t xml:space="preserve">ist die Gegenbedingung. </w:t>
      </w:r>
      <w:r w:rsidRPr="00E46AC0">
        <w:rPr>
          <w:rFonts w:eastAsia="Times New Roman" w:cs="Times New Roman"/>
          <w:b/>
          <w:bCs/>
          <w:rtl/>
          <w:lang w:eastAsia="de-DE"/>
        </w:rPr>
        <w:t>וְאִם</w:t>
      </w:r>
      <w:r w:rsidRPr="00E46AC0">
        <w:rPr>
          <w:rFonts w:eastAsia="Times New Roman" w:cs="Times New Roman"/>
          <w:rtl/>
          <w:lang w:eastAsia="de-DE"/>
        </w:rPr>
        <w:t xml:space="preserve"> </w:t>
      </w:r>
      <w:r w:rsidRPr="00E46AC0">
        <w:rPr>
          <w:rFonts w:eastAsia="Times New Roman" w:cs="Times New Roman"/>
          <w:lang w:eastAsia="de-DE"/>
        </w:rPr>
        <w:t xml:space="preserve">(„aber wenn"), </w:t>
      </w:r>
      <w:r w:rsidRPr="00E46AC0">
        <w:rPr>
          <w:rFonts w:eastAsia="Times New Roman" w:cs="Times New Roman"/>
          <w:b/>
          <w:bCs/>
          <w:rtl/>
          <w:lang w:eastAsia="de-DE"/>
        </w:rPr>
        <w:t>בְּיוֹם שְׁמֹעַ אִישָׁהּ</w:t>
      </w:r>
      <w:r w:rsidRPr="00E46AC0">
        <w:rPr>
          <w:rFonts w:eastAsia="Times New Roman" w:cs="Times New Roman"/>
          <w:rtl/>
          <w:lang w:eastAsia="de-DE"/>
        </w:rPr>
        <w:t xml:space="preserve"> </w:t>
      </w:r>
      <w:r w:rsidRPr="00E46AC0">
        <w:rPr>
          <w:rFonts w:eastAsia="Times New Roman" w:cs="Times New Roman"/>
          <w:lang w:eastAsia="de-DE"/>
        </w:rPr>
        <w:t xml:space="preserve">(Präposition mit </w:t>
      </w:r>
      <w:r w:rsidRPr="00E46AC0">
        <w:rPr>
          <w:rFonts w:eastAsia="Times New Roman" w:cs="Times New Roman"/>
          <w:b/>
          <w:bCs/>
          <w:rtl/>
          <w:lang w:eastAsia="de-DE"/>
        </w:rPr>
        <w:t>יוֹם</w:t>
      </w:r>
      <w:r w:rsidRPr="00E46AC0">
        <w:rPr>
          <w:rFonts w:eastAsia="Times New Roman" w:cs="Times New Roman"/>
          <w:rtl/>
          <w:lang w:eastAsia="de-DE"/>
        </w:rPr>
        <w:t xml:space="preserve"> </w:t>
      </w:r>
      <w:r w:rsidRPr="00E46AC0">
        <w:rPr>
          <w:rFonts w:eastAsia="Times New Roman" w:cs="Times New Roman"/>
          <w:lang w:eastAsia="de-DE"/>
        </w:rPr>
        <w:t xml:space="preserve">im </w:t>
      </w:r>
      <w:r w:rsidR="00B513FF">
        <w:rPr>
          <w:rFonts w:eastAsia="Times New Roman" w:cs="Times New Roman"/>
          <w:lang w:eastAsia="de-DE"/>
        </w:rPr>
        <w:t xml:space="preserve">Constructus </w:t>
      </w:r>
      <w:r w:rsidRPr="00E46AC0">
        <w:rPr>
          <w:rFonts w:eastAsia="Times New Roman" w:cs="Times New Roman"/>
          <w:lang w:eastAsia="de-DE"/>
        </w:rPr>
        <w:t xml:space="preserve">, Qal Infinitiv </w:t>
      </w:r>
      <w:r w:rsidR="00E031B3">
        <w:rPr>
          <w:rFonts w:eastAsia="Times New Roman" w:cs="Times New Roman"/>
          <w:lang w:eastAsia="de-DE"/>
        </w:rPr>
        <w:t>Constructus von</w:t>
      </w:r>
      <w:r w:rsidRPr="00E46AC0">
        <w:rPr>
          <w:rFonts w:eastAsia="Times New Roman" w:cs="Times New Roman"/>
          <w:lang w:eastAsia="de-DE"/>
        </w:rPr>
        <w:t xml:space="preserve"> </w:t>
      </w:r>
      <w:r w:rsidRPr="00E46AC0">
        <w:rPr>
          <w:rFonts w:eastAsia="Times New Roman" w:cs="Times New Roman"/>
          <w:b/>
          <w:bCs/>
          <w:rtl/>
          <w:lang w:eastAsia="de-DE"/>
        </w:rPr>
        <w:t>שׁמע</w:t>
      </w:r>
      <w:r w:rsidRPr="00E46AC0">
        <w:rPr>
          <w:rFonts w:eastAsia="Times New Roman" w:cs="Times New Roman"/>
          <w:rtl/>
          <w:lang w:eastAsia="de-DE"/>
        </w:rPr>
        <w:t xml:space="preserve"> </w:t>
      </w:r>
      <w:r w:rsidRPr="00E46AC0">
        <w:rPr>
          <w:rFonts w:eastAsia="Times New Roman" w:cs="Times New Roman"/>
          <w:lang w:eastAsia="de-DE"/>
        </w:rPr>
        <w:t xml:space="preserve">und </w:t>
      </w:r>
      <w:r w:rsidRPr="00E46AC0">
        <w:rPr>
          <w:rFonts w:eastAsia="Times New Roman" w:cs="Times New Roman"/>
          <w:b/>
          <w:bCs/>
          <w:rtl/>
          <w:lang w:eastAsia="de-DE"/>
        </w:rPr>
        <w:t>אִישׁ</w:t>
      </w:r>
      <w:r w:rsidRPr="00E46AC0">
        <w:rPr>
          <w:rFonts w:eastAsia="Times New Roman" w:cs="Times New Roman"/>
          <w:rtl/>
          <w:lang w:eastAsia="de-DE"/>
        </w:rPr>
        <w:t xml:space="preserve"> </w:t>
      </w:r>
      <w:r w:rsidRPr="00E46AC0">
        <w:rPr>
          <w:rFonts w:eastAsia="Times New Roman" w:cs="Times New Roman"/>
          <w:lang w:eastAsia="de-DE"/>
        </w:rPr>
        <w:t xml:space="preserve">mit Suffix „an dem Tag des Hörens ihres Mannes"), </w:t>
      </w:r>
      <w:r w:rsidRPr="00E46AC0">
        <w:rPr>
          <w:rFonts w:eastAsia="Times New Roman" w:cs="Times New Roman"/>
          <w:b/>
          <w:bCs/>
          <w:rtl/>
          <w:lang w:eastAsia="de-DE"/>
        </w:rPr>
        <w:t>יָנִיא</w:t>
      </w:r>
      <w:r w:rsidRPr="00E46AC0">
        <w:rPr>
          <w:rFonts w:eastAsia="Times New Roman" w:cs="Times New Roman"/>
          <w:rtl/>
          <w:lang w:eastAsia="de-DE"/>
        </w:rPr>
        <w:t xml:space="preserve"> </w:t>
      </w:r>
      <w:r w:rsidRPr="00E46AC0">
        <w:rPr>
          <w:rFonts w:eastAsia="Times New Roman" w:cs="Times New Roman"/>
          <w:lang w:eastAsia="de-DE"/>
        </w:rPr>
        <w:t xml:space="preserve">(Hiphil Imperfekt 3. Person maskulin Singular von </w:t>
      </w:r>
      <w:r w:rsidRPr="00E46AC0">
        <w:rPr>
          <w:rFonts w:eastAsia="Times New Roman" w:cs="Times New Roman"/>
          <w:b/>
          <w:bCs/>
          <w:rtl/>
          <w:lang w:eastAsia="de-DE"/>
        </w:rPr>
        <w:t>נוא</w:t>
      </w:r>
      <w:r w:rsidRPr="00E46AC0">
        <w:rPr>
          <w:rFonts w:eastAsia="Times New Roman" w:cs="Times New Roman"/>
          <w:rtl/>
          <w:lang w:eastAsia="de-DE"/>
        </w:rPr>
        <w:t xml:space="preserve"> </w:t>
      </w:r>
      <w:r w:rsidRPr="00E46AC0">
        <w:rPr>
          <w:rFonts w:eastAsia="Times New Roman" w:cs="Times New Roman"/>
          <w:lang w:eastAsia="de-DE"/>
        </w:rPr>
        <w:t xml:space="preserve">„wehren, hindern, verbieten"), </w:t>
      </w:r>
      <w:r w:rsidRPr="00E46AC0">
        <w:rPr>
          <w:rFonts w:eastAsia="Times New Roman" w:cs="Times New Roman"/>
          <w:b/>
          <w:bCs/>
          <w:rtl/>
          <w:lang w:eastAsia="de-DE"/>
        </w:rPr>
        <w:t>אוֹתָהּ</w:t>
      </w:r>
      <w:r w:rsidRPr="00E46AC0">
        <w:rPr>
          <w:rFonts w:eastAsia="Times New Roman" w:cs="Times New Roman"/>
          <w:rtl/>
          <w:lang w:eastAsia="de-DE"/>
        </w:rPr>
        <w:t xml:space="preserve"> </w:t>
      </w:r>
      <w:r w:rsidRPr="00E46AC0">
        <w:rPr>
          <w:rFonts w:eastAsia="Times New Roman" w:cs="Times New Roman"/>
          <w:lang w:eastAsia="de-DE"/>
        </w:rPr>
        <w:t xml:space="preserve">(Akkusativpartikel mit Suffix 3. Person feminin Singular „ihr"). Die temporale Begrenzung </w:t>
      </w:r>
      <w:r w:rsidRPr="00E46AC0">
        <w:rPr>
          <w:rFonts w:eastAsia="Times New Roman" w:cs="Times New Roman"/>
          <w:b/>
          <w:bCs/>
          <w:rtl/>
          <w:lang w:eastAsia="de-DE"/>
        </w:rPr>
        <w:t>בְּיוֹם שְׁמֹעַ</w:t>
      </w:r>
      <w:r w:rsidRPr="00E46AC0">
        <w:rPr>
          <w:rFonts w:eastAsia="Times New Roman" w:cs="Times New Roman"/>
          <w:rtl/>
          <w:lang w:eastAsia="de-DE"/>
        </w:rPr>
        <w:t xml:space="preserve"> </w:t>
      </w:r>
      <w:r w:rsidRPr="00E46AC0">
        <w:rPr>
          <w:rFonts w:eastAsia="Times New Roman" w:cs="Times New Roman"/>
          <w:lang w:eastAsia="de-DE"/>
        </w:rPr>
        <w:t>ist entscheidend: nur am Tag des Hörens kann widersprochen werden.</w:t>
      </w:r>
    </w:p>
    <w:p w14:paraId="050748F6"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וְהֵפֵר אֶת־נִדְרָהּ אֲשֶׁ֣ר עָלֶיהָ וְאֵת מִבְטָא שְׂפָתֶיהָ אֲשֶׁר אָסְרָה עַל־נַפְשָׁהּ</w:t>
      </w:r>
      <w:r w:rsidRPr="00E46AC0">
        <w:rPr>
          <w:rFonts w:eastAsia="Times New Roman" w:cs="Times New Roman"/>
          <w:rtl/>
          <w:lang w:eastAsia="de-DE"/>
        </w:rPr>
        <w:t xml:space="preserve"> </w:t>
      </w:r>
      <w:r w:rsidRPr="00E46AC0">
        <w:rPr>
          <w:rFonts w:eastAsia="Times New Roman" w:cs="Times New Roman"/>
          <w:lang w:eastAsia="de-DE"/>
        </w:rPr>
        <w:t xml:space="preserve">ist die Wirkung. </w:t>
      </w:r>
      <w:r w:rsidRPr="00E46AC0">
        <w:rPr>
          <w:rFonts w:eastAsia="Times New Roman" w:cs="Times New Roman"/>
          <w:b/>
          <w:bCs/>
          <w:rtl/>
          <w:lang w:eastAsia="de-DE"/>
        </w:rPr>
        <w:t>וְהֵפֵר</w:t>
      </w:r>
      <w:r w:rsidRPr="00E46AC0">
        <w:rPr>
          <w:rFonts w:eastAsia="Times New Roman" w:cs="Times New Roman"/>
          <w:rtl/>
          <w:lang w:eastAsia="de-DE"/>
        </w:rPr>
        <w:t xml:space="preserve"> </w:t>
      </w:r>
      <w:r w:rsidRPr="00E46AC0">
        <w:rPr>
          <w:rFonts w:eastAsia="Times New Roman" w:cs="Times New Roman"/>
          <w:lang w:eastAsia="de-DE"/>
        </w:rPr>
        <w:t xml:space="preserve">(Konjunktion mit Hiphil Perfekt 3. Person maskulin Singular mit Waw consecutivum von </w:t>
      </w:r>
      <w:r w:rsidRPr="00E46AC0">
        <w:rPr>
          <w:rFonts w:eastAsia="Times New Roman" w:cs="Times New Roman"/>
          <w:b/>
          <w:bCs/>
          <w:rtl/>
          <w:lang w:eastAsia="de-DE"/>
        </w:rPr>
        <w:t>פרר</w:t>
      </w:r>
      <w:r w:rsidRPr="00E46AC0">
        <w:rPr>
          <w:rFonts w:eastAsia="Times New Roman" w:cs="Times New Roman"/>
          <w:rtl/>
          <w:lang w:eastAsia="de-DE"/>
        </w:rPr>
        <w:t xml:space="preserve"> </w:t>
      </w:r>
      <w:r w:rsidRPr="00E46AC0">
        <w:rPr>
          <w:rFonts w:eastAsia="Times New Roman" w:cs="Times New Roman"/>
          <w:lang w:eastAsia="de-DE"/>
        </w:rPr>
        <w:t xml:space="preserve">„aufheben, ungültig machen, brechen"), </w:t>
      </w:r>
      <w:r w:rsidRPr="00E46AC0">
        <w:rPr>
          <w:rFonts w:eastAsia="Times New Roman" w:cs="Times New Roman"/>
          <w:b/>
          <w:bCs/>
          <w:rtl/>
          <w:lang w:eastAsia="de-DE"/>
        </w:rPr>
        <w:t>אֶת־נִדְרָהּ אֲשֶׁר עָלֶיהָ</w:t>
      </w:r>
      <w:r w:rsidRPr="00E46AC0">
        <w:rPr>
          <w:rFonts w:eastAsia="Times New Roman" w:cs="Times New Roman"/>
          <w:rtl/>
          <w:lang w:eastAsia="de-DE"/>
        </w:rPr>
        <w:t xml:space="preserve"> </w:t>
      </w:r>
      <w:r w:rsidRPr="00E46AC0">
        <w:rPr>
          <w:rFonts w:eastAsia="Times New Roman" w:cs="Times New Roman"/>
          <w:lang w:eastAsia="de-DE"/>
        </w:rPr>
        <w:t xml:space="preserve">(Akkusativpartikel mit „ihr Gelübde" und Relativsatz „das auf ihr ist"), </w:t>
      </w:r>
      <w:r w:rsidRPr="00E46AC0">
        <w:rPr>
          <w:rFonts w:eastAsia="Times New Roman" w:cs="Times New Roman"/>
          <w:b/>
          <w:bCs/>
          <w:rtl/>
          <w:lang w:eastAsia="de-DE"/>
        </w:rPr>
        <w:t>וְאֵת מִבְטָא שְׂפָתֶיהָ אֲשֶׁר אָסְרָה עַל־נַפְשָׁהּ</w:t>
      </w:r>
      <w:r w:rsidRPr="00E46AC0">
        <w:rPr>
          <w:rFonts w:eastAsia="Times New Roman" w:cs="Times New Roman"/>
          <w:rtl/>
          <w:lang w:eastAsia="de-DE"/>
        </w:rPr>
        <w:t xml:space="preserve"> </w:t>
      </w:r>
      <w:r w:rsidRPr="00E46AC0">
        <w:rPr>
          <w:rFonts w:eastAsia="Times New Roman" w:cs="Times New Roman"/>
          <w:lang w:eastAsia="de-DE"/>
        </w:rPr>
        <w:t xml:space="preserve">(Konjunktion mit Akkusativpartikel, „unbesonnener Ausspruch ihrer Lippen" und Relativsatz). Das Hiphil von </w:t>
      </w:r>
      <w:r w:rsidRPr="00E46AC0">
        <w:rPr>
          <w:rFonts w:eastAsia="Times New Roman" w:cs="Times New Roman"/>
          <w:b/>
          <w:bCs/>
          <w:rtl/>
          <w:lang w:eastAsia="de-DE"/>
        </w:rPr>
        <w:t>פרר</w:t>
      </w:r>
      <w:r w:rsidRPr="00E46AC0">
        <w:rPr>
          <w:rFonts w:eastAsia="Times New Roman" w:cs="Times New Roman"/>
          <w:rtl/>
          <w:lang w:eastAsia="de-DE"/>
        </w:rPr>
        <w:t xml:space="preserve"> </w:t>
      </w:r>
      <w:r w:rsidRPr="00E46AC0">
        <w:rPr>
          <w:rFonts w:eastAsia="Times New Roman" w:cs="Times New Roman"/>
          <w:lang w:eastAsia="de-DE"/>
        </w:rPr>
        <w:t>bedeutet „zunichte machen, für ungültig erklären".</w:t>
      </w:r>
    </w:p>
    <w:p w14:paraId="0386C3F0"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וַיהוה יִסְלַח־לָהּ</w:t>
      </w:r>
      <w:r w:rsidRPr="00E46AC0">
        <w:rPr>
          <w:rFonts w:eastAsia="Times New Roman" w:cs="Times New Roman"/>
          <w:rtl/>
          <w:lang w:eastAsia="de-DE"/>
        </w:rPr>
        <w:t xml:space="preserve"> </w:t>
      </w:r>
      <w:r w:rsidRPr="00E46AC0">
        <w:rPr>
          <w:rFonts w:eastAsia="Times New Roman" w:cs="Times New Roman"/>
          <w:lang w:eastAsia="de-DE"/>
        </w:rPr>
        <w:t xml:space="preserve">ist die göttliche Vergebung. </w:t>
      </w:r>
      <w:r w:rsidRPr="00E46AC0">
        <w:rPr>
          <w:rFonts w:eastAsia="Times New Roman" w:cs="Times New Roman"/>
          <w:b/>
          <w:bCs/>
          <w:rtl/>
          <w:lang w:eastAsia="de-DE"/>
        </w:rPr>
        <w:t>וַיהוה</w:t>
      </w:r>
      <w:r w:rsidRPr="00E46AC0">
        <w:rPr>
          <w:rFonts w:eastAsia="Times New Roman" w:cs="Times New Roman"/>
          <w:rtl/>
          <w:lang w:eastAsia="de-DE"/>
        </w:rPr>
        <w:t xml:space="preserve"> </w:t>
      </w:r>
      <w:r w:rsidRPr="00E46AC0">
        <w:rPr>
          <w:rFonts w:eastAsia="Times New Roman" w:cs="Times New Roman"/>
          <w:lang w:eastAsia="de-DE"/>
        </w:rPr>
        <w:t xml:space="preserve">(Konjunktion mit Tetragramm), </w:t>
      </w:r>
      <w:r w:rsidRPr="00E46AC0">
        <w:rPr>
          <w:rFonts w:eastAsia="Times New Roman" w:cs="Times New Roman"/>
          <w:b/>
          <w:bCs/>
          <w:rtl/>
          <w:lang w:eastAsia="de-DE"/>
        </w:rPr>
        <w:t>יִסְלַח־לָהּ</w:t>
      </w:r>
      <w:r w:rsidRPr="00E46AC0">
        <w:rPr>
          <w:rFonts w:eastAsia="Times New Roman" w:cs="Times New Roman"/>
          <w:rtl/>
          <w:lang w:eastAsia="de-DE"/>
        </w:rPr>
        <w:t xml:space="preserve"> </w:t>
      </w:r>
      <w:r w:rsidRPr="00E46AC0">
        <w:rPr>
          <w:rFonts w:eastAsia="Times New Roman" w:cs="Times New Roman"/>
          <w:lang w:eastAsia="de-DE"/>
        </w:rPr>
        <w:t xml:space="preserve">(Qal Imperfekt 3. Person maskulin Singular von </w:t>
      </w:r>
      <w:r w:rsidRPr="00E46AC0">
        <w:rPr>
          <w:rFonts w:eastAsia="Times New Roman" w:cs="Times New Roman"/>
          <w:b/>
          <w:bCs/>
          <w:rtl/>
          <w:lang w:eastAsia="de-DE"/>
        </w:rPr>
        <w:t>סלח</w:t>
      </w:r>
      <w:r w:rsidRPr="00E46AC0">
        <w:rPr>
          <w:rFonts w:eastAsia="Times New Roman" w:cs="Times New Roman"/>
          <w:rtl/>
          <w:lang w:eastAsia="de-DE"/>
        </w:rPr>
        <w:t xml:space="preserve"> </w:t>
      </w:r>
      <w:r w:rsidRPr="00E46AC0">
        <w:rPr>
          <w:rFonts w:eastAsia="Times New Roman" w:cs="Times New Roman"/>
          <w:lang w:eastAsia="de-DE"/>
        </w:rPr>
        <w:t>„vergeben" mit Präposition und Suffix „wird ihr vergeben"). Die Frau trägt keine Schuld für die Nichterfüllung, da das Gelübde durch legitime Autorität aufgehoben wurde.</w:t>
      </w:r>
    </w:p>
    <w:p w14:paraId="3316498A" w14:textId="77777777" w:rsidR="006B51A1" w:rsidRDefault="006B51A1" w:rsidP="00E46AC0">
      <w:pPr>
        <w:spacing w:before="100" w:beforeAutospacing="1" w:after="100" w:afterAutospacing="1" w:line="240" w:lineRule="auto"/>
        <w:rPr>
          <w:rFonts w:eastAsia="Times New Roman" w:cs="Times New Roman"/>
          <w:lang w:eastAsia="de-DE"/>
        </w:rPr>
      </w:pPr>
      <w:r>
        <w:rPr>
          <w:rStyle w:val="Fett"/>
        </w:rPr>
        <w:t>Vers 9:</w:t>
      </w:r>
      <w:r>
        <w:t xml:space="preserve"> </w:t>
      </w:r>
      <w:r>
        <w:rPr>
          <w:rStyle w:val="Fett"/>
        </w:rPr>
        <w:t>Die LXX</w:t>
      </w:r>
      <w:r>
        <w:t xml:space="preserve"> übersetzt „</w:t>
      </w:r>
      <w:r w:rsidRPr="006B51A1">
        <w:rPr>
          <w:b/>
          <w:bCs/>
          <w:rtl/>
        </w:rPr>
        <w:t>וְהֵפֵר</w:t>
      </w:r>
      <w:r>
        <w:t>" (und er macht ungültig) mit „ἀνανεύων ἀνανεύσῃ" (ablehnend ablehnen wird), was die Ablehnung betont, und verwendet wieder „καθαριεῖ" (wird reinigen) statt „</w:t>
      </w:r>
      <w:r w:rsidRPr="006B51A1">
        <w:rPr>
          <w:b/>
          <w:bCs/>
          <w:rtl/>
        </w:rPr>
        <w:t>יִסְלַח</w:t>
      </w:r>
      <w:r>
        <w:t>" (wird vergeben).</w:t>
      </w:r>
      <w:r w:rsidRPr="00E46AC0">
        <w:rPr>
          <w:rFonts w:eastAsia="Times New Roman" w:cs="Times New Roman"/>
          <w:lang w:eastAsia="de-DE"/>
        </w:rPr>
        <w:t xml:space="preserve"> </w:t>
      </w:r>
    </w:p>
    <w:p w14:paraId="72F05E48" w14:textId="645F323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Die Satzstruktur zeigt einen Konditionalsatz mit temporaler Bestimmung, gefolgt von einem Perfekt mit Waw consecutivum (aufheben) und einer göttlichen Vergebungszusage.</w:t>
      </w:r>
    </w:p>
    <w:p w14:paraId="0A5DF5D5"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Der Vers etabliert das eheliche Vetorecht: Am Tag, an dem der Ehemann vom Gelübde seiner Frau erfährt, kann er es aufheben, wobei Gott der Frau vergibt, da sie unter ehelicher Autorität steht - ein Spiegelbild der väterlichen Autorität aus V. 6.</w:t>
      </w:r>
    </w:p>
    <w:p w14:paraId="51ACA1A7"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30,10</w:t>
      </w:r>
    </w:p>
    <w:p w14:paraId="66C26320"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וְנֵ֥דֶר אַלְמָנָ֖ה וּגְרוּשָׁ֑ה כֹּ֛ל אֲשֶׁר־אָסְרָ֥ה עַל־נַפְשָׁ֖הּ יָק֥וּם עָלֶֽיהָ׃</w:t>
      </w:r>
    </w:p>
    <w:p w14:paraId="4A61AC33"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Aber das Gelübde einer Witwe und einer Verstoßenen: alles, womit sie ihre Seele gebunden hat, soll für sie bestehen.</w:t>
      </w:r>
    </w:p>
    <w:p w14:paraId="2017F7BF"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09F87755">
          <v:rect id="_x0000_i1937" style="width:0;height:1.5pt" o:hralign="center" o:hrstd="t" o:hr="t" fillcolor="#a0a0a0" stroked="f"/>
        </w:pict>
      </w:r>
    </w:p>
    <w:p w14:paraId="52881E59"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behandelt rechtlich unabhängige Frauen. </w:t>
      </w:r>
      <w:r w:rsidRPr="00E46AC0">
        <w:rPr>
          <w:rFonts w:eastAsia="Times New Roman" w:cs="Times New Roman"/>
          <w:b/>
          <w:bCs/>
          <w:rtl/>
          <w:lang w:eastAsia="de-DE"/>
        </w:rPr>
        <w:t>וְנֵדֶר אַלְמָנָה וּגְרוּשָׁה</w:t>
      </w:r>
      <w:r w:rsidRPr="00E46AC0">
        <w:rPr>
          <w:rFonts w:eastAsia="Times New Roman" w:cs="Times New Roman"/>
          <w:rtl/>
          <w:lang w:eastAsia="de-DE"/>
        </w:rPr>
        <w:t xml:space="preserve"> </w:t>
      </w:r>
      <w:r w:rsidRPr="00E46AC0">
        <w:rPr>
          <w:rFonts w:eastAsia="Times New Roman" w:cs="Times New Roman"/>
          <w:lang w:eastAsia="de-DE"/>
        </w:rPr>
        <w:t xml:space="preserve">identifiziert die Subjekte. </w:t>
      </w:r>
      <w:r w:rsidRPr="00E46AC0">
        <w:rPr>
          <w:rFonts w:eastAsia="Times New Roman" w:cs="Times New Roman"/>
          <w:b/>
          <w:bCs/>
          <w:rtl/>
          <w:lang w:eastAsia="de-DE"/>
        </w:rPr>
        <w:t>וְנֵדֶר</w:t>
      </w:r>
      <w:r w:rsidRPr="00E46AC0">
        <w:rPr>
          <w:rFonts w:eastAsia="Times New Roman" w:cs="Times New Roman"/>
          <w:rtl/>
          <w:lang w:eastAsia="de-DE"/>
        </w:rPr>
        <w:t xml:space="preserve"> </w:t>
      </w:r>
      <w:r w:rsidRPr="00E46AC0">
        <w:rPr>
          <w:rFonts w:eastAsia="Times New Roman" w:cs="Times New Roman"/>
          <w:lang w:eastAsia="de-DE"/>
        </w:rPr>
        <w:t xml:space="preserve">(Konjunktion mit </w:t>
      </w:r>
      <w:r w:rsidRPr="00E46AC0">
        <w:rPr>
          <w:rFonts w:eastAsia="Times New Roman" w:cs="Times New Roman"/>
          <w:b/>
          <w:bCs/>
          <w:rtl/>
          <w:lang w:eastAsia="de-DE"/>
        </w:rPr>
        <w:t>נֶדֶר</w:t>
      </w:r>
      <w:r w:rsidRPr="00E46AC0">
        <w:rPr>
          <w:rFonts w:eastAsia="Times New Roman" w:cs="Times New Roman"/>
          <w:rtl/>
          <w:lang w:eastAsia="de-DE"/>
        </w:rPr>
        <w:t xml:space="preserve"> </w:t>
      </w:r>
      <w:r w:rsidRPr="00E46AC0">
        <w:rPr>
          <w:rFonts w:eastAsia="Times New Roman" w:cs="Times New Roman"/>
          <w:lang w:eastAsia="de-DE"/>
        </w:rPr>
        <w:t xml:space="preserve">„Gelübde"), </w:t>
      </w:r>
      <w:r w:rsidRPr="00E46AC0">
        <w:rPr>
          <w:rFonts w:eastAsia="Times New Roman" w:cs="Times New Roman"/>
          <w:b/>
          <w:bCs/>
          <w:rtl/>
          <w:lang w:eastAsia="de-DE"/>
        </w:rPr>
        <w:t>אַלְמָנָה</w:t>
      </w:r>
      <w:r w:rsidRPr="00E46AC0">
        <w:rPr>
          <w:rFonts w:eastAsia="Times New Roman" w:cs="Times New Roman"/>
          <w:rtl/>
          <w:lang w:eastAsia="de-DE"/>
        </w:rPr>
        <w:t xml:space="preserve"> </w:t>
      </w:r>
      <w:r w:rsidRPr="00E46AC0">
        <w:rPr>
          <w:rFonts w:eastAsia="Times New Roman" w:cs="Times New Roman"/>
          <w:lang w:eastAsia="de-DE"/>
        </w:rPr>
        <w:t xml:space="preserve">(feminine Form „Witwe"), </w:t>
      </w:r>
      <w:r w:rsidRPr="00E46AC0">
        <w:rPr>
          <w:rFonts w:eastAsia="Times New Roman" w:cs="Times New Roman"/>
          <w:b/>
          <w:bCs/>
          <w:rtl/>
          <w:lang w:eastAsia="de-DE"/>
        </w:rPr>
        <w:t>וּגְרוּשָׁה</w:t>
      </w:r>
      <w:r w:rsidRPr="00E46AC0">
        <w:rPr>
          <w:rFonts w:eastAsia="Times New Roman" w:cs="Times New Roman"/>
          <w:rtl/>
          <w:lang w:eastAsia="de-DE"/>
        </w:rPr>
        <w:t xml:space="preserve"> </w:t>
      </w:r>
      <w:r w:rsidRPr="00E46AC0">
        <w:rPr>
          <w:rFonts w:eastAsia="Times New Roman" w:cs="Times New Roman"/>
          <w:lang w:eastAsia="de-DE"/>
        </w:rPr>
        <w:t xml:space="preserve">(Konjunktion mit Qal Passiv-Partizip feminin Singular von </w:t>
      </w:r>
      <w:r w:rsidRPr="00E46AC0">
        <w:rPr>
          <w:rFonts w:eastAsia="Times New Roman" w:cs="Times New Roman"/>
          <w:b/>
          <w:bCs/>
          <w:rtl/>
          <w:lang w:eastAsia="de-DE"/>
        </w:rPr>
        <w:t>גרשׁ</w:t>
      </w:r>
      <w:r w:rsidRPr="00E46AC0">
        <w:rPr>
          <w:rFonts w:eastAsia="Times New Roman" w:cs="Times New Roman"/>
          <w:rtl/>
          <w:lang w:eastAsia="de-DE"/>
        </w:rPr>
        <w:t xml:space="preserve"> </w:t>
      </w:r>
      <w:r w:rsidRPr="00E46AC0">
        <w:rPr>
          <w:rFonts w:eastAsia="Times New Roman" w:cs="Times New Roman"/>
          <w:lang w:eastAsia="de-DE"/>
        </w:rPr>
        <w:t xml:space="preserve">„vertreiben, </w:t>
      </w:r>
      <w:r w:rsidRPr="00E46AC0">
        <w:rPr>
          <w:rFonts w:eastAsia="Times New Roman" w:cs="Times New Roman"/>
          <w:lang w:eastAsia="de-DE"/>
        </w:rPr>
        <w:lastRenderedPageBreak/>
        <w:t>verstoßen" als Substantiv „Verstoßene, Geschiedene"). Beide Frauengruppen stehen nicht mehr unter männlicher Autorität.</w:t>
      </w:r>
    </w:p>
    <w:p w14:paraId="4B010C81"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כֹּל אֲשֶׁר־אָסְרָה עַל־נַפְשָׁהּ יָקוּם עָלֶיהָ</w:t>
      </w:r>
      <w:r w:rsidRPr="00E46AC0">
        <w:rPr>
          <w:rFonts w:eastAsia="Times New Roman" w:cs="Times New Roman"/>
          <w:rtl/>
          <w:lang w:eastAsia="de-DE"/>
        </w:rPr>
        <w:t xml:space="preserve"> </w:t>
      </w:r>
      <w:r w:rsidRPr="00E46AC0">
        <w:rPr>
          <w:rFonts w:eastAsia="Times New Roman" w:cs="Times New Roman"/>
          <w:lang w:eastAsia="de-DE"/>
        </w:rPr>
        <w:t xml:space="preserve">ist die uneingeschränkte Rechtsfolge. </w:t>
      </w:r>
      <w:r w:rsidRPr="00E46AC0">
        <w:rPr>
          <w:rFonts w:eastAsia="Times New Roman" w:cs="Times New Roman"/>
          <w:b/>
          <w:bCs/>
          <w:rtl/>
          <w:lang w:eastAsia="de-DE"/>
        </w:rPr>
        <w:t>כֹּל אֲשֶׁר־אָסְרָה עַל־נַפְשָׁהּ</w:t>
      </w:r>
      <w:r w:rsidRPr="00E46AC0">
        <w:rPr>
          <w:rFonts w:eastAsia="Times New Roman" w:cs="Times New Roman"/>
          <w:rtl/>
          <w:lang w:eastAsia="de-DE"/>
        </w:rPr>
        <w:t xml:space="preserve"> </w:t>
      </w:r>
      <w:r w:rsidRPr="00E46AC0">
        <w:rPr>
          <w:rFonts w:eastAsia="Times New Roman" w:cs="Times New Roman"/>
          <w:lang w:eastAsia="de-DE"/>
        </w:rPr>
        <w:t xml:space="preserve">(Relativsatz: </w:t>
      </w:r>
      <w:r w:rsidRPr="00E46AC0">
        <w:rPr>
          <w:rFonts w:eastAsia="Times New Roman" w:cs="Times New Roman"/>
          <w:b/>
          <w:bCs/>
          <w:rtl/>
          <w:lang w:eastAsia="de-DE"/>
        </w:rPr>
        <w:t>כֹּל</w:t>
      </w:r>
      <w:r w:rsidRPr="00E46AC0">
        <w:rPr>
          <w:rFonts w:eastAsia="Times New Roman" w:cs="Times New Roman"/>
          <w:rtl/>
          <w:lang w:eastAsia="de-DE"/>
        </w:rPr>
        <w:t xml:space="preserve"> </w:t>
      </w:r>
      <w:r w:rsidRPr="00E46AC0">
        <w:rPr>
          <w:rFonts w:eastAsia="Times New Roman" w:cs="Times New Roman"/>
          <w:lang w:eastAsia="de-DE"/>
        </w:rPr>
        <w:t xml:space="preserve">„alles" mit Relativpronomen, Qal Perfekt 3. Person feminin Singular von </w:t>
      </w:r>
      <w:r w:rsidRPr="00E46AC0">
        <w:rPr>
          <w:rFonts w:eastAsia="Times New Roman" w:cs="Times New Roman"/>
          <w:b/>
          <w:bCs/>
          <w:rtl/>
          <w:lang w:eastAsia="de-DE"/>
        </w:rPr>
        <w:t>אסר</w:t>
      </w:r>
      <w:r w:rsidRPr="00E46AC0">
        <w:rPr>
          <w:rFonts w:eastAsia="Times New Roman" w:cs="Times New Roman"/>
          <w:rtl/>
          <w:lang w:eastAsia="de-DE"/>
        </w:rPr>
        <w:t xml:space="preserve"> </w:t>
      </w:r>
      <w:r w:rsidRPr="00E46AC0">
        <w:rPr>
          <w:rFonts w:eastAsia="Times New Roman" w:cs="Times New Roman"/>
          <w:lang w:eastAsia="de-DE"/>
        </w:rPr>
        <w:t xml:space="preserve">„binden" und Präposition </w:t>
      </w:r>
      <w:r w:rsidRPr="00E46AC0">
        <w:rPr>
          <w:rFonts w:eastAsia="Times New Roman" w:cs="Times New Roman"/>
          <w:b/>
          <w:bCs/>
          <w:rtl/>
          <w:lang w:eastAsia="de-DE"/>
        </w:rPr>
        <w:t>עַל</w:t>
      </w:r>
      <w:r w:rsidRPr="00E46AC0">
        <w:rPr>
          <w:rFonts w:eastAsia="Times New Roman" w:cs="Times New Roman"/>
          <w:rtl/>
          <w:lang w:eastAsia="de-DE"/>
        </w:rPr>
        <w:t xml:space="preserve"> </w:t>
      </w:r>
      <w:r w:rsidRPr="00E46AC0">
        <w:rPr>
          <w:rFonts w:eastAsia="Times New Roman" w:cs="Times New Roman"/>
          <w:lang w:eastAsia="de-DE"/>
        </w:rPr>
        <w:t xml:space="preserve">mit </w:t>
      </w:r>
      <w:r w:rsidRPr="00E46AC0">
        <w:rPr>
          <w:rFonts w:eastAsia="Times New Roman" w:cs="Times New Roman"/>
          <w:b/>
          <w:bCs/>
          <w:rtl/>
          <w:lang w:eastAsia="de-DE"/>
        </w:rPr>
        <w:t>נֶפֶשׁ</w:t>
      </w:r>
      <w:r w:rsidRPr="00E46AC0">
        <w:rPr>
          <w:rFonts w:eastAsia="Times New Roman" w:cs="Times New Roman"/>
          <w:rtl/>
          <w:lang w:eastAsia="de-DE"/>
        </w:rPr>
        <w:t xml:space="preserve"> </w:t>
      </w:r>
      <w:r w:rsidRPr="00E46AC0">
        <w:rPr>
          <w:rFonts w:eastAsia="Times New Roman" w:cs="Times New Roman"/>
          <w:lang w:eastAsia="de-DE"/>
        </w:rPr>
        <w:t xml:space="preserve">und Suffix „was sie auf ihre Seele gebunden hat"), </w:t>
      </w:r>
      <w:r w:rsidRPr="00E46AC0">
        <w:rPr>
          <w:rFonts w:eastAsia="Times New Roman" w:cs="Times New Roman"/>
          <w:b/>
          <w:bCs/>
          <w:rtl/>
          <w:lang w:eastAsia="de-DE"/>
        </w:rPr>
        <w:t>יָקוּם עָלֶיהָ</w:t>
      </w:r>
      <w:r w:rsidRPr="00E46AC0">
        <w:rPr>
          <w:rFonts w:eastAsia="Times New Roman" w:cs="Times New Roman"/>
          <w:rtl/>
          <w:lang w:eastAsia="de-DE"/>
        </w:rPr>
        <w:t xml:space="preserve"> </w:t>
      </w:r>
      <w:r w:rsidRPr="00E46AC0">
        <w:rPr>
          <w:rFonts w:eastAsia="Times New Roman" w:cs="Times New Roman"/>
          <w:lang w:eastAsia="de-DE"/>
        </w:rPr>
        <w:t xml:space="preserve">(Qal Imperfekt 3. Person maskulin Singular von </w:t>
      </w:r>
      <w:r w:rsidRPr="00E46AC0">
        <w:rPr>
          <w:rFonts w:eastAsia="Times New Roman" w:cs="Times New Roman"/>
          <w:b/>
          <w:bCs/>
          <w:rtl/>
          <w:lang w:eastAsia="de-DE"/>
        </w:rPr>
        <w:t>קום</w:t>
      </w:r>
      <w:r w:rsidRPr="00E46AC0">
        <w:rPr>
          <w:rFonts w:eastAsia="Times New Roman" w:cs="Times New Roman"/>
          <w:rtl/>
          <w:lang w:eastAsia="de-DE"/>
        </w:rPr>
        <w:t xml:space="preserve"> </w:t>
      </w:r>
      <w:r w:rsidRPr="00E46AC0">
        <w:rPr>
          <w:rFonts w:eastAsia="Times New Roman" w:cs="Times New Roman"/>
          <w:lang w:eastAsia="de-DE"/>
        </w:rPr>
        <w:t xml:space="preserve">„bestehen" mit Präposition </w:t>
      </w:r>
      <w:r w:rsidRPr="00E46AC0">
        <w:rPr>
          <w:rFonts w:eastAsia="Times New Roman" w:cs="Times New Roman"/>
          <w:b/>
          <w:bCs/>
          <w:rtl/>
          <w:lang w:eastAsia="de-DE"/>
        </w:rPr>
        <w:t>עַל</w:t>
      </w:r>
      <w:r w:rsidRPr="00E46AC0">
        <w:rPr>
          <w:rFonts w:eastAsia="Times New Roman" w:cs="Times New Roman"/>
          <w:rtl/>
          <w:lang w:eastAsia="de-DE"/>
        </w:rPr>
        <w:t xml:space="preserve"> </w:t>
      </w:r>
      <w:r w:rsidRPr="00E46AC0">
        <w:rPr>
          <w:rFonts w:eastAsia="Times New Roman" w:cs="Times New Roman"/>
          <w:lang w:eastAsia="de-DE"/>
        </w:rPr>
        <w:t>und Suffix 3. Person feminin Singular „soll auf ihr bestehen, soll für sie bindend sein").</w:t>
      </w:r>
    </w:p>
    <w:p w14:paraId="5C661586" w14:textId="7A96A609" w:rsidR="00E46AC0" w:rsidRPr="00E46AC0" w:rsidRDefault="006B51A1" w:rsidP="00E46AC0">
      <w:pPr>
        <w:spacing w:before="100" w:beforeAutospacing="1" w:after="100" w:afterAutospacing="1" w:line="240" w:lineRule="auto"/>
        <w:rPr>
          <w:rFonts w:eastAsia="Times New Roman" w:cs="Times New Roman"/>
          <w:lang w:eastAsia="de-DE"/>
        </w:rPr>
      </w:pPr>
      <w:r>
        <w:rPr>
          <w:rStyle w:val="Fett"/>
        </w:rPr>
        <w:t>Vers 10:</w:t>
      </w:r>
      <w:r>
        <w:t xml:space="preserve"> </w:t>
      </w:r>
      <w:r>
        <w:rPr>
          <w:rStyle w:val="Fett"/>
        </w:rPr>
        <w:t>Die LXX</w:t>
      </w:r>
      <w:r>
        <w:t xml:space="preserve"> übersetzt „</w:t>
      </w:r>
      <w:r w:rsidRPr="006B51A1">
        <w:rPr>
          <w:b/>
          <w:bCs/>
          <w:rtl/>
        </w:rPr>
        <w:t>וּגְרוּשָׁה</w:t>
      </w:r>
      <w:r>
        <w:t>" (und eine Verstoßene) mit „καὶ ἐκβεβλημένης" (und eine Hinausgeworfene), was denselben Sinn hat.</w:t>
      </w:r>
      <w:r w:rsidRPr="00E46AC0">
        <w:rPr>
          <w:rFonts w:eastAsia="Times New Roman" w:cs="Times New Roman"/>
          <w:lang w:eastAsia="de-DE"/>
        </w:rPr>
        <w:t xml:space="preserve"> </w:t>
      </w:r>
      <w:r w:rsidR="00E46AC0" w:rsidRPr="00E46AC0">
        <w:rPr>
          <w:rFonts w:eastAsia="Times New Roman" w:cs="Times New Roman"/>
          <w:lang w:eastAsia="de-DE"/>
        </w:rPr>
        <w:t>Die Satzstruktur zeigt eine nominale Einleitung mit zwei koordinierten Subjekten (Witwe und Geschiedene), gefolgt von einer Aussage über die absolute Gültigkeit ihrer Gelübde.</w:t>
      </w:r>
    </w:p>
    <w:p w14:paraId="5354A04E"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Der Vers etabliert die volle rechtliche Autonomie von Witwen und geschiedenen Frauen in Gelübdefragen: Da sie nicht unter väterlicher oder ehelicher Autorität stehen, sind ihre Gelübde absolut bindend wie die von Männern (V. 3), ohne Möglichkeit der Aufhebung durch eine männliche Autoritätsperson.</w:t>
      </w:r>
    </w:p>
    <w:p w14:paraId="7096AD05"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30,11</w:t>
      </w:r>
    </w:p>
    <w:p w14:paraId="5F788D1B"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וְאִם־בֵּ֥ית אִישָׁ֖הּ נָדָ֑רָה אֽוֹ־אָסְרָ֥ה אִסָּ֛ר עַל־נַפְשָׁ֖הּ בִּשְׁבֻעָֽה׃</w:t>
      </w:r>
    </w:p>
    <w:p w14:paraId="2ECA1B0D"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Und wenn eine Frau im Haus ihres Mannes ein Gelübde gelobt oder durch einen Eid eine Verpflichtung auf ihre Seele gebunden hat,</w:t>
      </w:r>
    </w:p>
    <w:p w14:paraId="1A7C9E30"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1C06B3F9">
          <v:rect id="_x0000_i1938" style="width:0;height:1.5pt" o:hralign="center" o:hrstd="t" o:hr="t" fillcolor="#a0a0a0" stroked="f"/>
        </w:pict>
      </w:r>
    </w:p>
    <w:p w14:paraId="39CD5075" w14:textId="1E0ED62F"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leitet einen weiteren Fall ein: verheiratete Frauen. </w:t>
      </w:r>
      <w:r w:rsidRPr="00E46AC0">
        <w:rPr>
          <w:rFonts w:eastAsia="Times New Roman" w:cs="Times New Roman"/>
          <w:b/>
          <w:bCs/>
          <w:rtl/>
          <w:lang w:eastAsia="de-DE"/>
        </w:rPr>
        <w:t>וְאִם־בֵּית אִישָׁהּ נָדָרָה</w:t>
      </w:r>
      <w:r w:rsidRPr="00E46AC0">
        <w:rPr>
          <w:rFonts w:eastAsia="Times New Roman" w:cs="Times New Roman"/>
          <w:rtl/>
          <w:lang w:eastAsia="de-DE"/>
        </w:rPr>
        <w:t xml:space="preserve"> </w:t>
      </w:r>
      <w:r w:rsidRPr="00E46AC0">
        <w:rPr>
          <w:rFonts w:eastAsia="Times New Roman" w:cs="Times New Roman"/>
          <w:lang w:eastAsia="de-DE"/>
        </w:rPr>
        <w:t xml:space="preserve">ist die situative Bedingung. </w:t>
      </w:r>
      <w:r w:rsidRPr="00E46AC0">
        <w:rPr>
          <w:rFonts w:eastAsia="Times New Roman" w:cs="Times New Roman"/>
          <w:b/>
          <w:bCs/>
          <w:rtl/>
          <w:lang w:eastAsia="de-DE"/>
        </w:rPr>
        <w:t>וְאִם</w:t>
      </w:r>
      <w:r w:rsidRPr="00E46AC0">
        <w:rPr>
          <w:rFonts w:eastAsia="Times New Roman" w:cs="Times New Roman"/>
          <w:rtl/>
          <w:lang w:eastAsia="de-DE"/>
        </w:rPr>
        <w:t xml:space="preserve"> </w:t>
      </w:r>
      <w:r w:rsidRPr="00E46AC0">
        <w:rPr>
          <w:rFonts w:eastAsia="Times New Roman" w:cs="Times New Roman"/>
          <w:lang w:eastAsia="de-DE"/>
        </w:rPr>
        <w:t xml:space="preserve">(„und wenn"), </w:t>
      </w:r>
      <w:r w:rsidRPr="00E46AC0">
        <w:rPr>
          <w:rFonts w:eastAsia="Times New Roman" w:cs="Times New Roman"/>
          <w:b/>
          <w:bCs/>
          <w:rtl/>
          <w:lang w:eastAsia="de-DE"/>
        </w:rPr>
        <w:t>בֵּית אִישָׁהּ</w:t>
      </w:r>
      <w:r w:rsidRPr="00E46AC0">
        <w:rPr>
          <w:rFonts w:eastAsia="Times New Roman" w:cs="Times New Roman"/>
          <w:rtl/>
          <w:lang w:eastAsia="de-DE"/>
        </w:rPr>
        <w:t xml:space="preserve"> </w:t>
      </w:r>
      <w:r w:rsidRPr="00E46AC0">
        <w:rPr>
          <w:rFonts w:eastAsia="Times New Roman" w:cs="Times New Roman"/>
          <w:lang w:eastAsia="de-DE"/>
        </w:rPr>
        <w:t>(</w:t>
      </w:r>
      <w:r w:rsidR="00B513FF">
        <w:rPr>
          <w:rFonts w:eastAsia="Times New Roman" w:cs="Times New Roman"/>
          <w:lang w:eastAsia="de-DE"/>
        </w:rPr>
        <w:t xml:space="preserve">Constructus </w:t>
      </w:r>
      <w:r w:rsidRPr="00E46AC0">
        <w:rPr>
          <w:rFonts w:eastAsia="Times New Roman" w:cs="Times New Roman"/>
          <w:lang w:eastAsia="de-DE"/>
        </w:rPr>
        <w:t xml:space="preserve">verbindung: </w:t>
      </w:r>
      <w:r w:rsidRPr="00E46AC0">
        <w:rPr>
          <w:rFonts w:eastAsia="Times New Roman" w:cs="Times New Roman"/>
          <w:b/>
          <w:bCs/>
          <w:rtl/>
          <w:lang w:eastAsia="de-DE"/>
        </w:rPr>
        <w:t>בַּיִת</w:t>
      </w:r>
      <w:r w:rsidRPr="00E46AC0">
        <w:rPr>
          <w:rFonts w:eastAsia="Times New Roman" w:cs="Times New Roman"/>
          <w:rtl/>
          <w:lang w:eastAsia="de-DE"/>
        </w:rPr>
        <w:t xml:space="preserve"> </w:t>
      </w:r>
      <w:r w:rsidRPr="00E46AC0">
        <w:rPr>
          <w:rFonts w:eastAsia="Times New Roman" w:cs="Times New Roman"/>
          <w:lang w:eastAsia="de-DE"/>
        </w:rPr>
        <w:t xml:space="preserve">„Haus" mit </w:t>
      </w:r>
      <w:r w:rsidRPr="00E46AC0">
        <w:rPr>
          <w:rFonts w:eastAsia="Times New Roman" w:cs="Times New Roman"/>
          <w:b/>
          <w:bCs/>
          <w:rtl/>
          <w:lang w:eastAsia="de-DE"/>
        </w:rPr>
        <w:t>אִישׁ</w:t>
      </w:r>
      <w:r w:rsidRPr="00E46AC0">
        <w:rPr>
          <w:rFonts w:eastAsia="Times New Roman" w:cs="Times New Roman"/>
          <w:rtl/>
          <w:lang w:eastAsia="de-DE"/>
        </w:rPr>
        <w:t xml:space="preserve"> </w:t>
      </w:r>
      <w:r w:rsidRPr="00E46AC0">
        <w:rPr>
          <w:rFonts w:eastAsia="Times New Roman" w:cs="Times New Roman"/>
          <w:lang w:eastAsia="de-DE"/>
        </w:rPr>
        <w:t xml:space="preserve">„Mann" und Suffix 3. Person feminin Singular „Haus ihres Mannes"), </w:t>
      </w:r>
      <w:r w:rsidRPr="00E46AC0">
        <w:rPr>
          <w:rFonts w:eastAsia="Times New Roman" w:cs="Times New Roman"/>
          <w:b/>
          <w:bCs/>
          <w:rtl/>
          <w:lang w:eastAsia="de-DE"/>
        </w:rPr>
        <w:t>נָדָרָה</w:t>
      </w:r>
      <w:r w:rsidRPr="00E46AC0">
        <w:rPr>
          <w:rFonts w:eastAsia="Times New Roman" w:cs="Times New Roman"/>
          <w:rtl/>
          <w:lang w:eastAsia="de-DE"/>
        </w:rPr>
        <w:t xml:space="preserve"> </w:t>
      </w:r>
      <w:r w:rsidRPr="00E46AC0">
        <w:rPr>
          <w:rFonts w:eastAsia="Times New Roman" w:cs="Times New Roman"/>
          <w:lang w:eastAsia="de-DE"/>
        </w:rPr>
        <w:t xml:space="preserve">(Qal Perfekt 3. Person feminin Singular von </w:t>
      </w:r>
      <w:r w:rsidRPr="00E46AC0">
        <w:rPr>
          <w:rFonts w:eastAsia="Times New Roman" w:cs="Times New Roman"/>
          <w:b/>
          <w:bCs/>
          <w:rtl/>
          <w:lang w:eastAsia="de-DE"/>
        </w:rPr>
        <w:t>נדר</w:t>
      </w:r>
      <w:r w:rsidRPr="00E46AC0">
        <w:rPr>
          <w:rFonts w:eastAsia="Times New Roman" w:cs="Times New Roman"/>
          <w:rtl/>
          <w:lang w:eastAsia="de-DE"/>
        </w:rPr>
        <w:t xml:space="preserve"> </w:t>
      </w:r>
      <w:r w:rsidRPr="00E46AC0">
        <w:rPr>
          <w:rFonts w:eastAsia="Times New Roman" w:cs="Times New Roman"/>
          <w:lang w:eastAsia="de-DE"/>
        </w:rPr>
        <w:t xml:space="preserve">„geloben" „sie gelobt hat"). Die Formulierung </w:t>
      </w:r>
      <w:r w:rsidRPr="00E46AC0">
        <w:rPr>
          <w:rFonts w:eastAsia="Times New Roman" w:cs="Times New Roman"/>
          <w:b/>
          <w:bCs/>
          <w:rtl/>
          <w:lang w:eastAsia="de-DE"/>
        </w:rPr>
        <w:t>בֵּית אִישָׁהּ</w:t>
      </w:r>
      <w:r w:rsidRPr="00E46AC0">
        <w:rPr>
          <w:rFonts w:eastAsia="Times New Roman" w:cs="Times New Roman"/>
          <w:rtl/>
          <w:lang w:eastAsia="de-DE"/>
        </w:rPr>
        <w:t xml:space="preserve"> </w:t>
      </w:r>
      <w:r w:rsidRPr="00E46AC0">
        <w:rPr>
          <w:rFonts w:eastAsia="Times New Roman" w:cs="Times New Roman"/>
          <w:lang w:eastAsia="de-DE"/>
        </w:rPr>
        <w:t>(„im Haus ihres Mannes") bezeichnet eindeutig eine verheiratete Frau, die in der ehelichen Gemeinschaft lebt.</w:t>
      </w:r>
    </w:p>
    <w:p w14:paraId="14947B1D"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אוֹ־אָסְרָה אִסָּר עַל־נַפְשָׁהּ בִּשְׁבֻעָה</w:t>
      </w:r>
      <w:r w:rsidRPr="00E46AC0">
        <w:rPr>
          <w:rFonts w:eastAsia="Times New Roman" w:cs="Times New Roman"/>
          <w:rtl/>
          <w:lang w:eastAsia="de-DE"/>
        </w:rPr>
        <w:t xml:space="preserve"> </w:t>
      </w:r>
      <w:r w:rsidRPr="00E46AC0">
        <w:rPr>
          <w:rFonts w:eastAsia="Times New Roman" w:cs="Times New Roman"/>
          <w:lang w:eastAsia="de-DE"/>
        </w:rPr>
        <w:t xml:space="preserve">ist die alternative Formulierung. </w:t>
      </w:r>
      <w:r w:rsidRPr="00E46AC0">
        <w:rPr>
          <w:rFonts w:eastAsia="Times New Roman" w:cs="Times New Roman"/>
          <w:b/>
          <w:bCs/>
          <w:rtl/>
          <w:lang w:eastAsia="de-DE"/>
        </w:rPr>
        <w:t>אוֹ</w:t>
      </w:r>
      <w:r w:rsidRPr="00E46AC0">
        <w:rPr>
          <w:rFonts w:eastAsia="Times New Roman" w:cs="Times New Roman"/>
          <w:rtl/>
          <w:lang w:eastAsia="de-DE"/>
        </w:rPr>
        <w:t xml:space="preserve"> </w:t>
      </w:r>
      <w:r w:rsidRPr="00E46AC0">
        <w:rPr>
          <w:rFonts w:eastAsia="Times New Roman" w:cs="Times New Roman"/>
          <w:lang w:eastAsia="de-DE"/>
        </w:rPr>
        <w:t xml:space="preserve">(„oder"), </w:t>
      </w:r>
      <w:r w:rsidRPr="00E46AC0">
        <w:rPr>
          <w:rFonts w:eastAsia="Times New Roman" w:cs="Times New Roman"/>
          <w:b/>
          <w:bCs/>
          <w:rtl/>
          <w:lang w:eastAsia="de-DE"/>
        </w:rPr>
        <w:t>אָסְרָה אִסָּר</w:t>
      </w:r>
      <w:r w:rsidRPr="00E46AC0">
        <w:rPr>
          <w:rFonts w:eastAsia="Times New Roman" w:cs="Times New Roman"/>
          <w:rtl/>
          <w:lang w:eastAsia="de-DE"/>
        </w:rPr>
        <w:t xml:space="preserve"> </w:t>
      </w:r>
      <w:r w:rsidRPr="00E46AC0">
        <w:rPr>
          <w:rFonts w:eastAsia="Times New Roman" w:cs="Times New Roman"/>
          <w:lang w:eastAsia="de-DE"/>
        </w:rPr>
        <w:t xml:space="preserve">(Qal Perfekt 3. Person feminin Singular von </w:t>
      </w:r>
      <w:r w:rsidRPr="00E46AC0">
        <w:rPr>
          <w:rFonts w:eastAsia="Times New Roman" w:cs="Times New Roman"/>
          <w:b/>
          <w:bCs/>
          <w:rtl/>
          <w:lang w:eastAsia="de-DE"/>
        </w:rPr>
        <w:t>אסר</w:t>
      </w:r>
      <w:r w:rsidRPr="00E46AC0">
        <w:rPr>
          <w:rFonts w:eastAsia="Times New Roman" w:cs="Times New Roman"/>
          <w:rtl/>
          <w:lang w:eastAsia="de-DE"/>
        </w:rPr>
        <w:t xml:space="preserve"> </w:t>
      </w:r>
      <w:r w:rsidRPr="00E46AC0">
        <w:rPr>
          <w:rFonts w:eastAsia="Times New Roman" w:cs="Times New Roman"/>
          <w:lang w:eastAsia="de-DE"/>
        </w:rPr>
        <w:t xml:space="preserve">„binden" mit innerem Objekt </w:t>
      </w:r>
      <w:r w:rsidRPr="00E46AC0">
        <w:rPr>
          <w:rFonts w:eastAsia="Times New Roman" w:cs="Times New Roman"/>
          <w:b/>
          <w:bCs/>
          <w:rtl/>
          <w:lang w:eastAsia="de-DE"/>
        </w:rPr>
        <w:t>אִסָּר</w:t>
      </w:r>
      <w:r w:rsidRPr="00E46AC0">
        <w:rPr>
          <w:rFonts w:eastAsia="Times New Roman" w:cs="Times New Roman"/>
          <w:rtl/>
          <w:lang w:eastAsia="de-DE"/>
        </w:rPr>
        <w:t xml:space="preserve"> </w:t>
      </w:r>
      <w:r w:rsidRPr="00E46AC0">
        <w:rPr>
          <w:rFonts w:eastAsia="Times New Roman" w:cs="Times New Roman"/>
          <w:lang w:eastAsia="de-DE"/>
        </w:rPr>
        <w:t xml:space="preserve">„Verpflichtung" „bindet eine Verpflichtung"), </w:t>
      </w:r>
      <w:r w:rsidRPr="00E46AC0">
        <w:rPr>
          <w:rFonts w:eastAsia="Times New Roman" w:cs="Times New Roman"/>
          <w:b/>
          <w:bCs/>
          <w:rtl/>
          <w:lang w:eastAsia="de-DE"/>
        </w:rPr>
        <w:t>עַל־נַפְשָׁהּ</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עַל</w:t>
      </w:r>
      <w:r w:rsidRPr="00E46AC0">
        <w:rPr>
          <w:rFonts w:eastAsia="Times New Roman" w:cs="Times New Roman"/>
          <w:rtl/>
          <w:lang w:eastAsia="de-DE"/>
        </w:rPr>
        <w:t xml:space="preserve"> </w:t>
      </w:r>
      <w:r w:rsidRPr="00E46AC0">
        <w:rPr>
          <w:rFonts w:eastAsia="Times New Roman" w:cs="Times New Roman"/>
          <w:lang w:eastAsia="de-DE"/>
        </w:rPr>
        <w:t xml:space="preserve">mit </w:t>
      </w:r>
      <w:r w:rsidRPr="00E46AC0">
        <w:rPr>
          <w:rFonts w:eastAsia="Times New Roman" w:cs="Times New Roman"/>
          <w:b/>
          <w:bCs/>
          <w:rtl/>
          <w:lang w:eastAsia="de-DE"/>
        </w:rPr>
        <w:t>נֶפֶשׁ</w:t>
      </w:r>
      <w:r w:rsidRPr="00E46AC0">
        <w:rPr>
          <w:rFonts w:eastAsia="Times New Roman" w:cs="Times New Roman"/>
          <w:rtl/>
          <w:lang w:eastAsia="de-DE"/>
        </w:rPr>
        <w:t xml:space="preserve"> </w:t>
      </w:r>
      <w:r w:rsidRPr="00E46AC0">
        <w:rPr>
          <w:rFonts w:eastAsia="Times New Roman" w:cs="Times New Roman"/>
          <w:lang w:eastAsia="de-DE"/>
        </w:rPr>
        <w:t xml:space="preserve">und Suffix „auf ihre Seele"), </w:t>
      </w:r>
      <w:r w:rsidRPr="00E46AC0">
        <w:rPr>
          <w:rFonts w:eastAsia="Times New Roman" w:cs="Times New Roman"/>
          <w:b/>
          <w:bCs/>
          <w:rtl/>
          <w:lang w:eastAsia="de-DE"/>
        </w:rPr>
        <w:t>בִּשְׁבֻעָה</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בְ</w:t>
      </w:r>
      <w:r w:rsidRPr="00E46AC0">
        <w:rPr>
          <w:rFonts w:eastAsia="Times New Roman" w:cs="Times New Roman"/>
          <w:rtl/>
          <w:lang w:eastAsia="de-DE"/>
        </w:rPr>
        <w:t xml:space="preserve"> </w:t>
      </w:r>
      <w:r w:rsidRPr="00E46AC0">
        <w:rPr>
          <w:rFonts w:eastAsia="Times New Roman" w:cs="Times New Roman"/>
          <w:lang w:eastAsia="de-DE"/>
        </w:rPr>
        <w:t xml:space="preserve">mit </w:t>
      </w:r>
      <w:r w:rsidRPr="00E46AC0">
        <w:rPr>
          <w:rFonts w:eastAsia="Times New Roman" w:cs="Times New Roman"/>
          <w:b/>
          <w:bCs/>
          <w:rtl/>
          <w:lang w:eastAsia="de-DE"/>
        </w:rPr>
        <w:t>שְׁבוּעָה</w:t>
      </w:r>
      <w:r w:rsidRPr="00E46AC0">
        <w:rPr>
          <w:rFonts w:eastAsia="Times New Roman" w:cs="Times New Roman"/>
          <w:rtl/>
          <w:lang w:eastAsia="de-DE"/>
        </w:rPr>
        <w:t xml:space="preserve"> </w:t>
      </w:r>
      <w:r w:rsidRPr="00E46AC0">
        <w:rPr>
          <w:rFonts w:eastAsia="Times New Roman" w:cs="Times New Roman"/>
          <w:lang w:eastAsia="de-DE"/>
        </w:rPr>
        <w:t>„Eid, Schwur" „durch einen Eid"). Die Verpflichtung wird durch einen Eid bekräftigt.</w:t>
      </w:r>
    </w:p>
    <w:p w14:paraId="04A3B12E"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Die Satzstruktur zeigt einen Konditionalsatz mit situativer Lokalisierung (im Haus ihres Mannes), gefolgt von zwei alternativen Handlungen (Gelübde geloben oder Verpflichtung mit Eid binden), der die Protasis für die folgenden Verse bildet.</w:t>
      </w:r>
    </w:p>
    <w:p w14:paraId="16D0DF0C"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Der Vers beschreibt Gelübde, die eine Frau während der Ehe im ehelichen Haus ablegt, und leitet die Regelung über die Autorität des Ehemannes in solchen Fällen ein - eine Situation, die sich von V. 7-9 unterscheidet, wo es um Gelübde ging, die vor der Ehe abgelegt wurden.</w:t>
      </w:r>
    </w:p>
    <w:p w14:paraId="66097EB6"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lastRenderedPageBreak/>
        <w:t>Numeri 30,12</w:t>
      </w:r>
    </w:p>
    <w:p w14:paraId="154F0488"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וְשָׁמַ֤ע אִישָׁהּ֙ וְהֶחֱרִ֣שׁ לָ֔הּ לֹ֥א הֵנִ֖יא אֹתָ֑הּ וְקָ֨מוּ֙ כָּל־נְדָרֶ֔יהָ וְכָל־אִסָּ֛ר אֲשֶׁר־אָסְרָ֥ה עַל־נַפְשָׁ֖הּ יָקֽוּם׃</w:t>
      </w:r>
    </w:p>
    <w:p w14:paraId="136D84EA"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und ihr Mann hat es gehört und ihr gegenüber geschwiegen, er hat ihr nicht gewehrt: so sollen alle ihre Gelübde bestehen, und jede Verpflichtung, die sie auf ihre Seele gebunden hat, soll bestehen.</w:t>
      </w:r>
    </w:p>
    <w:p w14:paraId="6B90BEA0"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483324DC">
          <v:rect id="_x0000_i1939" style="width:0;height:1.5pt" o:hralign="center" o:hrstd="t" o:hr="t" fillcolor="#a0a0a0" stroked="f"/>
        </w:pict>
      </w:r>
    </w:p>
    <w:p w14:paraId="2AEDF41E"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gibt die erste Rechtsfolge: Bestätigung durch Schweigen. </w:t>
      </w:r>
      <w:r w:rsidRPr="00E46AC0">
        <w:rPr>
          <w:rFonts w:eastAsia="Times New Roman" w:cs="Times New Roman"/>
          <w:b/>
          <w:bCs/>
          <w:rtl/>
          <w:lang w:eastAsia="de-DE"/>
        </w:rPr>
        <w:t>וְשָׁמַע אִישָׁהּ וְהֶחֱרִשׁ לָהּ לֹא הֵנִיא אֹתָהּ</w:t>
      </w:r>
      <w:r w:rsidRPr="00E46AC0">
        <w:rPr>
          <w:rFonts w:eastAsia="Times New Roman" w:cs="Times New Roman"/>
          <w:rtl/>
          <w:lang w:eastAsia="de-DE"/>
        </w:rPr>
        <w:t xml:space="preserve"> </w:t>
      </w:r>
      <w:r w:rsidRPr="00E46AC0">
        <w:rPr>
          <w:rFonts w:eastAsia="Times New Roman" w:cs="Times New Roman"/>
          <w:lang w:eastAsia="de-DE"/>
        </w:rPr>
        <w:t xml:space="preserve">beschreibt die Reaktion. </w:t>
      </w:r>
      <w:r w:rsidRPr="00E46AC0">
        <w:rPr>
          <w:rFonts w:eastAsia="Times New Roman" w:cs="Times New Roman"/>
          <w:b/>
          <w:bCs/>
          <w:rtl/>
          <w:lang w:eastAsia="de-DE"/>
        </w:rPr>
        <w:t>וְשָׁמַע אִישָׁהּ</w:t>
      </w:r>
      <w:r w:rsidRPr="00E46AC0">
        <w:rPr>
          <w:rFonts w:eastAsia="Times New Roman" w:cs="Times New Roman"/>
          <w:rtl/>
          <w:lang w:eastAsia="de-DE"/>
        </w:rPr>
        <w:t xml:space="preserve"> </w:t>
      </w:r>
      <w:r w:rsidRPr="00E46AC0">
        <w:rPr>
          <w:rFonts w:eastAsia="Times New Roman" w:cs="Times New Roman"/>
          <w:lang w:eastAsia="de-DE"/>
        </w:rPr>
        <w:t xml:space="preserve">(Konjunktion mit Qal Perfekt 3. Person maskulin Singular mit Waw consecutivum von </w:t>
      </w:r>
      <w:r w:rsidRPr="00E46AC0">
        <w:rPr>
          <w:rFonts w:eastAsia="Times New Roman" w:cs="Times New Roman"/>
          <w:b/>
          <w:bCs/>
          <w:rtl/>
          <w:lang w:eastAsia="de-DE"/>
        </w:rPr>
        <w:t>שׁמע</w:t>
      </w:r>
      <w:r w:rsidRPr="00E46AC0">
        <w:rPr>
          <w:rFonts w:eastAsia="Times New Roman" w:cs="Times New Roman"/>
          <w:rtl/>
          <w:lang w:eastAsia="de-DE"/>
        </w:rPr>
        <w:t xml:space="preserve"> </w:t>
      </w:r>
      <w:r w:rsidRPr="00E46AC0">
        <w:rPr>
          <w:rFonts w:eastAsia="Times New Roman" w:cs="Times New Roman"/>
          <w:lang w:eastAsia="de-DE"/>
        </w:rPr>
        <w:t xml:space="preserve">„hören" und </w:t>
      </w:r>
      <w:r w:rsidRPr="00E46AC0">
        <w:rPr>
          <w:rFonts w:eastAsia="Times New Roman" w:cs="Times New Roman"/>
          <w:b/>
          <w:bCs/>
          <w:rtl/>
          <w:lang w:eastAsia="de-DE"/>
        </w:rPr>
        <w:t>אִישׁ</w:t>
      </w:r>
      <w:r w:rsidRPr="00E46AC0">
        <w:rPr>
          <w:rFonts w:eastAsia="Times New Roman" w:cs="Times New Roman"/>
          <w:rtl/>
          <w:lang w:eastAsia="de-DE"/>
        </w:rPr>
        <w:t xml:space="preserve"> </w:t>
      </w:r>
      <w:r w:rsidRPr="00E46AC0">
        <w:rPr>
          <w:rFonts w:eastAsia="Times New Roman" w:cs="Times New Roman"/>
          <w:lang w:eastAsia="de-DE"/>
        </w:rPr>
        <w:t xml:space="preserve">mit Suffix „ihr Mann hat gehört"), </w:t>
      </w:r>
      <w:r w:rsidRPr="00E46AC0">
        <w:rPr>
          <w:rFonts w:eastAsia="Times New Roman" w:cs="Times New Roman"/>
          <w:b/>
          <w:bCs/>
          <w:rtl/>
          <w:lang w:eastAsia="de-DE"/>
        </w:rPr>
        <w:t>וְהֶחֱרִשׁ לָהּ</w:t>
      </w:r>
      <w:r w:rsidRPr="00E46AC0">
        <w:rPr>
          <w:rFonts w:eastAsia="Times New Roman" w:cs="Times New Roman"/>
          <w:rtl/>
          <w:lang w:eastAsia="de-DE"/>
        </w:rPr>
        <w:t xml:space="preserve"> </w:t>
      </w:r>
      <w:r w:rsidRPr="00E46AC0">
        <w:rPr>
          <w:rFonts w:eastAsia="Times New Roman" w:cs="Times New Roman"/>
          <w:lang w:eastAsia="de-DE"/>
        </w:rPr>
        <w:t xml:space="preserve">(Konjunktion mit Hiphil Perfekt 3. Person maskulin Singular mit Waw consecutivum von </w:t>
      </w:r>
      <w:r w:rsidRPr="00E46AC0">
        <w:rPr>
          <w:rFonts w:eastAsia="Times New Roman" w:cs="Times New Roman"/>
          <w:b/>
          <w:bCs/>
          <w:rtl/>
          <w:lang w:eastAsia="de-DE"/>
        </w:rPr>
        <w:t>חרשׁ</w:t>
      </w:r>
      <w:r w:rsidRPr="00E46AC0">
        <w:rPr>
          <w:rFonts w:eastAsia="Times New Roman" w:cs="Times New Roman"/>
          <w:rtl/>
          <w:lang w:eastAsia="de-DE"/>
        </w:rPr>
        <w:t xml:space="preserve"> </w:t>
      </w:r>
      <w:r w:rsidRPr="00E46AC0">
        <w:rPr>
          <w:rFonts w:eastAsia="Times New Roman" w:cs="Times New Roman"/>
          <w:lang w:eastAsia="de-DE"/>
        </w:rPr>
        <w:t xml:space="preserve">„schweigen" mit Präposition und Suffix „und geschwiegen ihr gegenüber"), </w:t>
      </w:r>
      <w:r w:rsidRPr="00E46AC0">
        <w:rPr>
          <w:rFonts w:eastAsia="Times New Roman" w:cs="Times New Roman"/>
          <w:b/>
          <w:bCs/>
          <w:rtl/>
          <w:lang w:eastAsia="de-DE"/>
        </w:rPr>
        <w:t>לֹא הֵנִיא אֹתָהּ</w:t>
      </w:r>
      <w:r w:rsidRPr="00E46AC0">
        <w:rPr>
          <w:rFonts w:eastAsia="Times New Roman" w:cs="Times New Roman"/>
          <w:rtl/>
          <w:lang w:eastAsia="de-DE"/>
        </w:rPr>
        <w:t xml:space="preserve"> </w:t>
      </w:r>
      <w:r w:rsidRPr="00E46AC0">
        <w:rPr>
          <w:rFonts w:eastAsia="Times New Roman" w:cs="Times New Roman"/>
          <w:lang w:eastAsia="de-DE"/>
        </w:rPr>
        <w:t xml:space="preserve">(Negation mit Hiphil Perfekt 3. Person maskulin Singular von </w:t>
      </w:r>
      <w:r w:rsidRPr="00E46AC0">
        <w:rPr>
          <w:rFonts w:eastAsia="Times New Roman" w:cs="Times New Roman"/>
          <w:b/>
          <w:bCs/>
          <w:rtl/>
          <w:lang w:eastAsia="de-DE"/>
        </w:rPr>
        <w:t>נוא</w:t>
      </w:r>
      <w:r w:rsidRPr="00E46AC0">
        <w:rPr>
          <w:rFonts w:eastAsia="Times New Roman" w:cs="Times New Roman"/>
          <w:rtl/>
          <w:lang w:eastAsia="de-DE"/>
        </w:rPr>
        <w:t xml:space="preserve"> </w:t>
      </w:r>
      <w:r w:rsidRPr="00E46AC0">
        <w:rPr>
          <w:rFonts w:eastAsia="Times New Roman" w:cs="Times New Roman"/>
          <w:lang w:eastAsia="de-DE"/>
        </w:rPr>
        <w:t>„wehren" und Akkusativpartikel mit Suffix „er hat ihr nicht gewehrt"). Die dreifache Formulierung (gehört, geschwiegen, nicht gewehrt) betont die stillschweigende Zustimmung.</w:t>
      </w:r>
    </w:p>
    <w:p w14:paraId="6CC766A5" w14:textId="5701F62D" w:rsidR="00E46AC0" w:rsidRPr="00E46AC0" w:rsidRDefault="00E46AC0" w:rsidP="00C0709A">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וְקָמוּ כָּל־נְדָרֶיהָ וְכָל־אִסָּר אֲשֶׁר־אָסְרָה עַל־נַפְשָׁהּ יָקוּם</w:t>
      </w:r>
      <w:r w:rsidRPr="00E46AC0">
        <w:rPr>
          <w:rFonts w:eastAsia="Times New Roman" w:cs="Times New Roman"/>
          <w:rtl/>
          <w:lang w:eastAsia="de-DE"/>
        </w:rPr>
        <w:t xml:space="preserve"> </w:t>
      </w:r>
      <w:r w:rsidRPr="00E46AC0">
        <w:rPr>
          <w:rFonts w:eastAsia="Times New Roman" w:cs="Times New Roman"/>
          <w:lang w:eastAsia="de-DE"/>
        </w:rPr>
        <w:t xml:space="preserve">ist die Rechtsfolge. </w:t>
      </w:r>
      <w:r w:rsidRPr="00E46AC0">
        <w:rPr>
          <w:rFonts w:eastAsia="Times New Roman" w:cs="Times New Roman"/>
          <w:b/>
          <w:bCs/>
          <w:rtl/>
          <w:lang w:eastAsia="de-DE"/>
        </w:rPr>
        <w:t>וְקָמוּ כָּל־נְדָרֶיהָ</w:t>
      </w:r>
      <w:r w:rsidRPr="00E46AC0">
        <w:rPr>
          <w:rFonts w:eastAsia="Times New Roman" w:cs="Times New Roman"/>
          <w:rtl/>
          <w:lang w:eastAsia="de-DE"/>
        </w:rPr>
        <w:t xml:space="preserve"> </w:t>
      </w:r>
      <w:r w:rsidRPr="00E46AC0">
        <w:rPr>
          <w:rFonts w:eastAsia="Times New Roman" w:cs="Times New Roman"/>
          <w:lang w:eastAsia="de-DE"/>
        </w:rPr>
        <w:t xml:space="preserve">(Konjunktion mit Qal Perfekt 3. Person Plural mit Waw consecutivum von </w:t>
      </w:r>
      <w:r w:rsidRPr="00E46AC0">
        <w:rPr>
          <w:rFonts w:eastAsia="Times New Roman" w:cs="Times New Roman"/>
          <w:b/>
          <w:bCs/>
          <w:rtl/>
          <w:lang w:eastAsia="de-DE"/>
        </w:rPr>
        <w:t>קום</w:t>
      </w:r>
      <w:r w:rsidRPr="00E46AC0">
        <w:rPr>
          <w:rFonts w:eastAsia="Times New Roman" w:cs="Times New Roman"/>
          <w:rtl/>
          <w:lang w:eastAsia="de-DE"/>
        </w:rPr>
        <w:t xml:space="preserve"> </w:t>
      </w:r>
      <w:r w:rsidRPr="00E46AC0">
        <w:rPr>
          <w:rFonts w:eastAsia="Times New Roman" w:cs="Times New Roman"/>
          <w:lang w:eastAsia="de-DE"/>
        </w:rPr>
        <w:t xml:space="preserve">„bestehen" und „alle ihre Gelübde"), </w:t>
      </w:r>
      <w:r w:rsidRPr="00E46AC0">
        <w:rPr>
          <w:rFonts w:eastAsia="Times New Roman" w:cs="Times New Roman"/>
          <w:b/>
          <w:bCs/>
          <w:rtl/>
          <w:lang w:eastAsia="de-DE"/>
        </w:rPr>
        <w:t>וְכָל־אִסָּר אֲשֶׁר־אָסְרָה עַל־נַפְשָׁהּ יָקוּם</w:t>
      </w:r>
      <w:r w:rsidRPr="00E46AC0">
        <w:rPr>
          <w:rFonts w:eastAsia="Times New Roman" w:cs="Times New Roman"/>
          <w:rtl/>
          <w:lang w:eastAsia="de-DE"/>
        </w:rPr>
        <w:t xml:space="preserve"> </w:t>
      </w:r>
      <w:r w:rsidRPr="00E46AC0">
        <w:rPr>
          <w:rFonts w:eastAsia="Times New Roman" w:cs="Times New Roman"/>
          <w:lang w:eastAsia="de-DE"/>
        </w:rPr>
        <w:t xml:space="preserve">(Konjunktion mit „jede Verpflichtung" und Relativsatz, gefolgt von Qal Imperfekt 3. Person maskulin Singular von </w:t>
      </w:r>
      <w:r w:rsidRPr="00E46AC0">
        <w:rPr>
          <w:rFonts w:eastAsia="Times New Roman" w:cs="Times New Roman"/>
          <w:b/>
          <w:bCs/>
          <w:rtl/>
          <w:lang w:eastAsia="de-DE"/>
        </w:rPr>
        <w:t>קום</w:t>
      </w:r>
      <w:r w:rsidRPr="00E46AC0">
        <w:rPr>
          <w:rFonts w:eastAsia="Times New Roman" w:cs="Times New Roman"/>
          <w:rtl/>
          <w:lang w:eastAsia="de-DE"/>
        </w:rPr>
        <w:t xml:space="preserve"> </w:t>
      </w:r>
      <w:r w:rsidRPr="00E46AC0">
        <w:rPr>
          <w:rFonts w:eastAsia="Times New Roman" w:cs="Times New Roman"/>
          <w:lang w:eastAsia="de-DE"/>
        </w:rPr>
        <w:t>„soll bestehen"). Die Variation zwischen Plural (</w:t>
      </w:r>
      <w:r w:rsidRPr="00E46AC0">
        <w:rPr>
          <w:rFonts w:eastAsia="Times New Roman" w:cs="Times New Roman"/>
          <w:b/>
          <w:bCs/>
          <w:rtl/>
          <w:lang w:eastAsia="de-DE"/>
        </w:rPr>
        <w:t>וְקָמוּ</w:t>
      </w:r>
      <w:r w:rsidRPr="00E46AC0">
        <w:rPr>
          <w:rFonts w:eastAsia="Times New Roman" w:cs="Times New Roman"/>
          <w:lang w:eastAsia="de-DE"/>
        </w:rPr>
        <w:t>) und Singular (</w:t>
      </w:r>
      <w:r w:rsidRPr="00E46AC0">
        <w:rPr>
          <w:rFonts w:eastAsia="Times New Roman" w:cs="Times New Roman"/>
          <w:b/>
          <w:bCs/>
          <w:rtl/>
          <w:lang w:eastAsia="de-DE"/>
        </w:rPr>
        <w:t>יָקוּם</w:t>
      </w:r>
      <w:r w:rsidRPr="00E46AC0">
        <w:rPr>
          <w:rFonts w:eastAsia="Times New Roman" w:cs="Times New Roman"/>
          <w:lang w:eastAsia="de-DE"/>
        </w:rPr>
        <w:t>) betont die umfassende Gültigkeit.</w:t>
      </w:r>
    </w:p>
    <w:p w14:paraId="38B9CC31"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 xml:space="preserve">Die Satzstruktur zeigt drei koordinierte Perfekta (gehört, geschwiegen, nicht gewehrt), gefolgt von der Rechtsfolge mit Perfekt und Imperfekt von </w:t>
      </w:r>
      <w:r w:rsidRPr="00E46AC0">
        <w:rPr>
          <w:rFonts w:eastAsia="Times New Roman" w:cs="Times New Roman"/>
          <w:b/>
          <w:bCs/>
          <w:rtl/>
          <w:lang w:eastAsia="de-DE"/>
        </w:rPr>
        <w:t>קום</w:t>
      </w:r>
      <w:r w:rsidRPr="00E46AC0">
        <w:rPr>
          <w:rFonts w:eastAsia="Times New Roman" w:cs="Times New Roman"/>
          <w:lang w:eastAsia="de-DE"/>
        </w:rPr>
        <w:t>.</w:t>
      </w:r>
    </w:p>
    <w:p w14:paraId="4ADB3E34"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Der Vers etabliert erneut das Prinzip der stillschweigenden Zustimmung: Wenn der Ehemann vom Gelübde hört und nicht sofort widerspricht, gilt dies als Bestätigung und das Gelübde wird bindend - parallel zu V. 8, aber hier für Gelübde, die während der Ehe abgelegt wurden.</w:t>
      </w:r>
    </w:p>
    <w:p w14:paraId="57EE38E4"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30,13</w:t>
      </w:r>
    </w:p>
    <w:p w14:paraId="69096129"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וְאִם־הָפֵר֩ יָפֵ֨ר אֹתָ֥ם׀ אִישָׁהּ֮ בְּי֣וֹם שָׁמְעֹו֒ כָּל־מוֹצָ֨א שְׂפָתֶ֧יהָ לִנְדָרֶ֛יהָ וּלְאִסַּ֥ר נַפְשָׁ֖הּ לֹ֣א יָק֑וּם אִישָׁ֣הּ הֲפֵרָ֔ם וַיהוָ֖ה יִֽסְלַֽח־לָֽהּ׃</w:t>
      </w:r>
    </w:p>
    <w:p w14:paraId="27E15609"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Wenn aber ihr Mann sie gewiss aufhebt an dem Tag, da er hört, so soll alles, was über ihre Lippen gegangen ist, an Gelübden und an Verpflichtungen ihrer Seele, nicht bestehen; ihr Mann hat sie aufgehoben, und der Ewige wird ihr vergeben.</w:t>
      </w:r>
    </w:p>
    <w:p w14:paraId="0AAE5F94"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6D19D7BF">
          <v:rect id="_x0000_i1940" style="width:0;height:1.5pt" o:hralign="center" o:hrstd="t" o:hr="t" fillcolor="#a0a0a0" stroked="f"/>
        </w:pict>
      </w:r>
    </w:p>
    <w:p w14:paraId="5E956F1B" w14:textId="02204E13"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gibt die alternative Rechtsfolge: Aufhebung durch den Ehemann. </w:t>
      </w:r>
      <w:r w:rsidRPr="00E46AC0">
        <w:rPr>
          <w:rFonts w:eastAsia="Times New Roman" w:cs="Times New Roman"/>
          <w:b/>
          <w:bCs/>
          <w:rtl/>
          <w:lang w:eastAsia="de-DE"/>
        </w:rPr>
        <w:t>וְאִם־הָפֵר יָפֵר אֹתָם אִישָׁהּ בְּיוֹם שָׁמְעוֹ</w:t>
      </w:r>
      <w:r w:rsidRPr="00E46AC0">
        <w:rPr>
          <w:rFonts w:eastAsia="Times New Roman" w:cs="Times New Roman"/>
          <w:rtl/>
          <w:lang w:eastAsia="de-DE"/>
        </w:rPr>
        <w:t xml:space="preserve"> </w:t>
      </w:r>
      <w:r w:rsidRPr="00E46AC0">
        <w:rPr>
          <w:rFonts w:eastAsia="Times New Roman" w:cs="Times New Roman"/>
          <w:lang w:eastAsia="de-DE"/>
        </w:rPr>
        <w:t xml:space="preserve">ist die Gegenbedingung mit Verstärkung. </w:t>
      </w:r>
      <w:r w:rsidRPr="00E46AC0">
        <w:rPr>
          <w:rFonts w:eastAsia="Times New Roman" w:cs="Times New Roman"/>
          <w:b/>
          <w:bCs/>
          <w:rtl/>
          <w:lang w:eastAsia="de-DE"/>
        </w:rPr>
        <w:t>וְאִם</w:t>
      </w:r>
      <w:r w:rsidRPr="00E46AC0">
        <w:rPr>
          <w:rFonts w:eastAsia="Times New Roman" w:cs="Times New Roman"/>
          <w:rtl/>
          <w:lang w:eastAsia="de-DE"/>
        </w:rPr>
        <w:t xml:space="preserve"> </w:t>
      </w:r>
      <w:r w:rsidRPr="00E46AC0">
        <w:rPr>
          <w:rFonts w:eastAsia="Times New Roman" w:cs="Times New Roman"/>
          <w:lang w:eastAsia="de-DE"/>
        </w:rPr>
        <w:t xml:space="preserve">(„aber wenn"), </w:t>
      </w:r>
      <w:r w:rsidRPr="00E46AC0">
        <w:rPr>
          <w:rFonts w:eastAsia="Times New Roman" w:cs="Times New Roman"/>
          <w:b/>
          <w:bCs/>
          <w:rtl/>
          <w:lang w:eastAsia="de-DE"/>
        </w:rPr>
        <w:t>הָפֵר יָפֵר</w:t>
      </w:r>
      <w:r w:rsidRPr="00E46AC0">
        <w:rPr>
          <w:rFonts w:eastAsia="Times New Roman" w:cs="Times New Roman"/>
          <w:rtl/>
          <w:lang w:eastAsia="de-DE"/>
        </w:rPr>
        <w:t xml:space="preserve"> </w:t>
      </w:r>
      <w:r w:rsidRPr="00E46AC0">
        <w:rPr>
          <w:rFonts w:eastAsia="Times New Roman" w:cs="Times New Roman"/>
          <w:lang w:eastAsia="de-DE"/>
        </w:rPr>
        <w:t xml:space="preserve">ist die Verstärkungskonstruktion: Hiphil Infinitiv Absolutus und Hiphil Imperfekt 3. Person maskulin Singular von </w:t>
      </w:r>
      <w:r w:rsidRPr="00E46AC0">
        <w:rPr>
          <w:rFonts w:eastAsia="Times New Roman" w:cs="Times New Roman"/>
          <w:b/>
          <w:bCs/>
          <w:rtl/>
          <w:lang w:eastAsia="de-DE"/>
        </w:rPr>
        <w:t>פרר</w:t>
      </w:r>
      <w:r w:rsidRPr="00E46AC0">
        <w:rPr>
          <w:rFonts w:eastAsia="Times New Roman" w:cs="Times New Roman"/>
          <w:rtl/>
          <w:lang w:eastAsia="de-DE"/>
        </w:rPr>
        <w:t xml:space="preserve"> </w:t>
      </w:r>
      <w:r w:rsidRPr="00E46AC0">
        <w:rPr>
          <w:rFonts w:eastAsia="Times New Roman" w:cs="Times New Roman"/>
          <w:lang w:eastAsia="de-DE"/>
        </w:rPr>
        <w:t xml:space="preserve">(„gewiss aufheben, sicherlich ungültig machen"), </w:t>
      </w:r>
      <w:r w:rsidRPr="00E46AC0">
        <w:rPr>
          <w:rFonts w:eastAsia="Times New Roman" w:cs="Times New Roman"/>
          <w:b/>
          <w:bCs/>
          <w:rtl/>
          <w:lang w:eastAsia="de-DE"/>
        </w:rPr>
        <w:t>אֹתָם</w:t>
      </w:r>
      <w:r w:rsidRPr="00E46AC0">
        <w:rPr>
          <w:rFonts w:eastAsia="Times New Roman" w:cs="Times New Roman"/>
          <w:rtl/>
          <w:lang w:eastAsia="de-DE"/>
        </w:rPr>
        <w:t xml:space="preserve"> </w:t>
      </w:r>
      <w:r w:rsidRPr="00E46AC0">
        <w:rPr>
          <w:rFonts w:eastAsia="Times New Roman" w:cs="Times New Roman"/>
          <w:lang w:eastAsia="de-DE"/>
        </w:rPr>
        <w:t xml:space="preserve">(Akkusativpartikel mit Suffix 3. Person maskulin Plural „sie", bezieht sich auf die Gelübde), </w:t>
      </w:r>
      <w:r w:rsidRPr="00E46AC0">
        <w:rPr>
          <w:rFonts w:eastAsia="Times New Roman" w:cs="Times New Roman"/>
          <w:b/>
          <w:bCs/>
          <w:rtl/>
          <w:lang w:eastAsia="de-DE"/>
        </w:rPr>
        <w:lastRenderedPageBreak/>
        <w:t>אִישָׁהּ</w:t>
      </w:r>
      <w:r w:rsidRPr="00E46AC0">
        <w:rPr>
          <w:rFonts w:eastAsia="Times New Roman" w:cs="Times New Roman"/>
          <w:rtl/>
          <w:lang w:eastAsia="de-DE"/>
        </w:rPr>
        <w:t xml:space="preserve"> </w:t>
      </w:r>
      <w:r w:rsidRPr="00E46AC0">
        <w:rPr>
          <w:rFonts w:eastAsia="Times New Roman" w:cs="Times New Roman"/>
          <w:lang w:eastAsia="de-DE"/>
        </w:rPr>
        <w:t xml:space="preserve">(Subjekt „ihr Mann"), </w:t>
      </w:r>
      <w:r w:rsidRPr="00E46AC0">
        <w:rPr>
          <w:rFonts w:eastAsia="Times New Roman" w:cs="Times New Roman"/>
          <w:b/>
          <w:bCs/>
          <w:rtl/>
          <w:lang w:eastAsia="de-DE"/>
        </w:rPr>
        <w:t>בְּיוֹם שָׁמְעוֹ</w:t>
      </w:r>
      <w:r w:rsidRPr="00E46AC0">
        <w:rPr>
          <w:rFonts w:eastAsia="Times New Roman" w:cs="Times New Roman"/>
          <w:rtl/>
          <w:lang w:eastAsia="de-DE"/>
        </w:rPr>
        <w:t xml:space="preserve"> </w:t>
      </w:r>
      <w:r w:rsidRPr="00E46AC0">
        <w:rPr>
          <w:rFonts w:eastAsia="Times New Roman" w:cs="Times New Roman"/>
          <w:lang w:eastAsia="de-DE"/>
        </w:rPr>
        <w:t xml:space="preserve">(Präposition mit </w:t>
      </w:r>
      <w:r w:rsidRPr="00E46AC0">
        <w:rPr>
          <w:rFonts w:eastAsia="Times New Roman" w:cs="Times New Roman"/>
          <w:b/>
          <w:bCs/>
          <w:rtl/>
          <w:lang w:eastAsia="de-DE"/>
        </w:rPr>
        <w:t>יוֹם</w:t>
      </w:r>
      <w:r w:rsidRPr="00E46AC0">
        <w:rPr>
          <w:rFonts w:eastAsia="Times New Roman" w:cs="Times New Roman"/>
          <w:rtl/>
          <w:lang w:eastAsia="de-DE"/>
        </w:rPr>
        <w:t xml:space="preserve"> </w:t>
      </w:r>
      <w:r w:rsidRPr="00E46AC0">
        <w:rPr>
          <w:rFonts w:eastAsia="Times New Roman" w:cs="Times New Roman"/>
          <w:lang w:eastAsia="de-DE"/>
        </w:rPr>
        <w:t xml:space="preserve">im </w:t>
      </w:r>
      <w:r w:rsidR="00E031B3">
        <w:rPr>
          <w:rFonts w:eastAsia="Times New Roman" w:cs="Times New Roman"/>
          <w:lang w:eastAsia="de-DE"/>
        </w:rPr>
        <w:t>Constructus und</w:t>
      </w:r>
      <w:r w:rsidRPr="00E46AC0">
        <w:rPr>
          <w:rFonts w:eastAsia="Times New Roman" w:cs="Times New Roman"/>
          <w:lang w:eastAsia="de-DE"/>
        </w:rPr>
        <w:t xml:space="preserve"> Infinitiv </w:t>
      </w:r>
      <w:r w:rsidR="00E031B3">
        <w:rPr>
          <w:rFonts w:eastAsia="Times New Roman" w:cs="Times New Roman"/>
          <w:lang w:eastAsia="de-DE"/>
        </w:rPr>
        <w:t>Constructus mit</w:t>
      </w:r>
      <w:r w:rsidRPr="00E46AC0">
        <w:rPr>
          <w:rFonts w:eastAsia="Times New Roman" w:cs="Times New Roman"/>
          <w:lang w:eastAsia="de-DE"/>
        </w:rPr>
        <w:t xml:space="preserve"> Suffix „an dem Tag seines Hörens"). Die temporale Begrenzung ist wieder entscheidend.</w:t>
      </w:r>
    </w:p>
    <w:p w14:paraId="25D43D72" w14:textId="00BC8F66"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כָּל־מוֹצָא שְׂפָתֶיהָ לִנְדָרֶיהָ וּלְאִסַּר נַפְשָׁהּ לֹא יָקוּם</w:t>
      </w:r>
      <w:r w:rsidRPr="00E46AC0">
        <w:rPr>
          <w:rFonts w:eastAsia="Times New Roman" w:cs="Times New Roman"/>
          <w:rtl/>
          <w:lang w:eastAsia="de-DE"/>
        </w:rPr>
        <w:t xml:space="preserve"> </w:t>
      </w:r>
      <w:r w:rsidRPr="00E46AC0">
        <w:rPr>
          <w:rFonts w:eastAsia="Times New Roman" w:cs="Times New Roman"/>
          <w:lang w:eastAsia="de-DE"/>
        </w:rPr>
        <w:t xml:space="preserve">ist die Rechtsfolge. </w:t>
      </w:r>
      <w:r w:rsidRPr="00E46AC0">
        <w:rPr>
          <w:rFonts w:eastAsia="Times New Roman" w:cs="Times New Roman"/>
          <w:b/>
          <w:bCs/>
          <w:rtl/>
          <w:lang w:eastAsia="de-DE"/>
        </w:rPr>
        <w:t>כָּל־מוֹצָא שְׂפָתֶיהָ</w:t>
      </w:r>
      <w:r w:rsidRPr="00E46AC0">
        <w:rPr>
          <w:rFonts w:eastAsia="Times New Roman" w:cs="Times New Roman"/>
          <w:rtl/>
          <w:lang w:eastAsia="de-DE"/>
        </w:rPr>
        <w:t xml:space="preserve"> </w:t>
      </w:r>
      <w:r w:rsidRPr="00E46AC0">
        <w:rPr>
          <w:rFonts w:eastAsia="Times New Roman" w:cs="Times New Roman"/>
          <w:lang w:eastAsia="de-DE"/>
        </w:rPr>
        <w:t>(</w:t>
      </w:r>
      <w:r w:rsidR="00B513FF">
        <w:rPr>
          <w:rFonts w:eastAsia="Times New Roman" w:cs="Times New Roman"/>
          <w:lang w:eastAsia="de-DE"/>
        </w:rPr>
        <w:t xml:space="preserve">Constructus </w:t>
      </w:r>
      <w:r w:rsidRPr="00E46AC0">
        <w:rPr>
          <w:rFonts w:eastAsia="Times New Roman" w:cs="Times New Roman"/>
          <w:lang w:eastAsia="de-DE"/>
        </w:rPr>
        <w:t xml:space="preserve">verbindung: </w:t>
      </w:r>
      <w:r w:rsidRPr="00E46AC0">
        <w:rPr>
          <w:rFonts w:eastAsia="Times New Roman" w:cs="Times New Roman"/>
          <w:b/>
          <w:bCs/>
          <w:rtl/>
          <w:lang w:eastAsia="de-DE"/>
        </w:rPr>
        <w:t>כֹּל</w:t>
      </w:r>
      <w:r w:rsidRPr="00E46AC0">
        <w:rPr>
          <w:rFonts w:eastAsia="Times New Roman" w:cs="Times New Roman"/>
          <w:rtl/>
          <w:lang w:eastAsia="de-DE"/>
        </w:rPr>
        <w:t xml:space="preserve"> </w:t>
      </w:r>
      <w:r w:rsidRPr="00E46AC0">
        <w:rPr>
          <w:rFonts w:eastAsia="Times New Roman" w:cs="Times New Roman"/>
          <w:lang w:eastAsia="de-DE"/>
        </w:rPr>
        <w:t xml:space="preserve">„alles" mit </w:t>
      </w:r>
      <w:r w:rsidRPr="00E46AC0">
        <w:rPr>
          <w:rFonts w:eastAsia="Times New Roman" w:cs="Times New Roman"/>
          <w:b/>
          <w:bCs/>
          <w:rtl/>
          <w:lang w:eastAsia="de-DE"/>
        </w:rPr>
        <w:t>מוֹצָא</w:t>
      </w:r>
      <w:r w:rsidRPr="00E46AC0">
        <w:rPr>
          <w:rFonts w:eastAsia="Times New Roman" w:cs="Times New Roman"/>
          <w:rtl/>
          <w:lang w:eastAsia="de-DE"/>
        </w:rPr>
        <w:t xml:space="preserve"> </w:t>
      </w:r>
      <w:r w:rsidRPr="00E46AC0">
        <w:rPr>
          <w:rFonts w:eastAsia="Times New Roman" w:cs="Times New Roman"/>
          <w:lang w:eastAsia="de-DE"/>
        </w:rPr>
        <w:t xml:space="preserve">Hiphil-Partizip maskulin Singular von </w:t>
      </w:r>
      <w:r w:rsidRPr="00E46AC0">
        <w:rPr>
          <w:rFonts w:eastAsia="Times New Roman" w:cs="Times New Roman"/>
          <w:b/>
          <w:bCs/>
          <w:rtl/>
          <w:lang w:eastAsia="de-DE"/>
        </w:rPr>
        <w:t>יצא</w:t>
      </w:r>
      <w:r w:rsidRPr="00E46AC0">
        <w:rPr>
          <w:rFonts w:eastAsia="Times New Roman" w:cs="Times New Roman"/>
          <w:rtl/>
          <w:lang w:eastAsia="de-DE"/>
        </w:rPr>
        <w:t xml:space="preserve"> </w:t>
      </w:r>
      <w:r w:rsidRPr="00E46AC0">
        <w:rPr>
          <w:rFonts w:eastAsia="Times New Roman" w:cs="Times New Roman"/>
          <w:lang w:eastAsia="de-DE"/>
        </w:rPr>
        <w:t xml:space="preserve">„Ausgehendes, das Hervorkommende" und </w:t>
      </w:r>
      <w:r w:rsidRPr="00E46AC0">
        <w:rPr>
          <w:rFonts w:eastAsia="Times New Roman" w:cs="Times New Roman"/>
          <w:b/>
          <w:bCs/>
          <w:rtl/>
          <w:lang w:eastAsia="de-DE"/>
        </w:rPr>
        <w:t>שָׂפָה</w:t>
      </w:r>
      <w:r w:rsidRPr="00E46AC0">
        <w:rPr>
          <w:rFonts w:eastAsia="Times New Roman" w:cs="Times New Roman"/>
          <w:rtl/>
          <w:lang w:eastAsia="de-DE"/>
        </w:rPr>
        <w:t xml:space="preserve"> </w:t>
      </w:r>
      <w:r w:rsidRPr="00E46AC0">
        <w:rPr>
          <w:rFonts w:eastAsia="Times New Roman" w:cs="Times New Roman"/>
          <w:lang w:eastAsia="de-DE"/>
        </w:rPr>
        <w:t xml:space="preserve">„Lippe" im Dual mit Suffix „alles, was über ihre Lippen gegangen ist"), </w:t>
      </w:r>
      <w:r w:rsidRPr="00E46AC0">
        <w:rPr>
          <w:rFonts w:eastAsia="Times New Roman" w:cs="Times New Roman"/>
          <w:b/>
          <w:bCs/>
          <w:rtl/>
          <w:lang w:eastAsia="de-DE"/>
        </w:rPr>
        <w:t>לִנְדָרֶיהָ וּלְאִסַּר נַפְשָׁהּ</w:t>
      </w:r>
      <w:r w:rsidRPr="00E46AC0">
        <w:rPr>
          <w:rFonts w:eastAsia="Times New Roman" w:cs="Times New Roman"/>
          <w:rtl/>
          <w:lang w:eastAsia="de-DE"/>
        </w:rPr>
        <w:t xml:space="preserve"> </w:t>
      </w:r>
      <w:r w:rsidRPr="00E46AC0">
        <w:rPr>
          <w:rFonts w:eastAsia="Times New Roman" w:cs="Times New Roman"/>
          <w:lang w:eastAsia="de-DE"/>
        </w:rPr>
        <w:t xml:space="preserve">(zwei präpositionale Phrasen mit </w:t>
      </w:r>
      <w:r w:rsidRPr="00E46AC0">
        <w:rPr>
          <w:rFonts w:eastAsia="Times New Roman" w:cs="Times New Roman"/>
          <w:b/>
          <w:bCs/>
          <w:rtl/>
          <w:lang w:eastAsia="de-DE"/>
        </w:rPr>
        <w:t>לְ</w:t>
      </w:r>
      <w:r w:rsidRPr="00E46AC0">
        <w:rPr>
          <w:rFonts w:eastAsia="Times New Roman" w:cs="Times New Roman"/>
          <w:rtl/>
          <w:lang w:eastAsia="de-DE"/>
        </w:rPr>
        <w:t xml:space="preserve"> </w:t>
      </w:r>
      <w:r w:rsidRPr="00E46AC0">
        <w:rPr>
          <w:rFonts w:eastAsia="Times New Roman" w:cs="Times New Roman"/>
          <w:lang w:eastAsia="de-DE"/>
        </w:rPr>
        <w:t xml:space="preserve">„bezüglich ihrer Gelübde und bezüglich der Verpflichtung ihrer Seele"), </w:t>
      </w:r>
      <w:r w:rsidRPr="00E46AC0">
        <w:rPr>
          <w:rFonts w:eastAsia="Times New Roman" w:cs="Times New Roman"/>
          <w:b/>
          <w:bCs/>
          <w:rtl/>
          <w:lang w:eastAsia="de-DE"/>
        </w:rPr>
        <w:t>לֹא יָקוּם</w:t>
      </w:r>
      <w:r w:rsidRPr="00E46AC0">
        <w:rPr>
          <w:rFonts w:eastAsia="Times New Roman" w:cs="Times New Roman"/>
          <w:rtl/>
          <w:lang w:eastAsia="de-DE"/>
        </w:rPr>
        <w:t xml:space="preserve"> </w:t>
      </w:r>
      <w:r w:rsidRPr="00E46AC0">
        <w:rPr>
          <w:rFonts w:eastAsia="Times New Roman" w:cs="Times New Roman"/>
          <w:lang w:eastAsia="de-DE"/>
        </w:rPr>
        <w:t xml:space="preserve">(Negation mit Qal Imperfekt von </w:t>
      </w:r>
      <w:r w:rsidRPr="00E46AC0">
        <w:rPr>
          <w:rFonts w:eastAsia="Times New Roman" w:cs="Times New Roman"/>
          <w:b/>
          <w:bCs/>
          <w:rtl/>
          <w:lang w:eastAsia="de-DE"/>
        </w:rPr>
        <w:t>קום</w:t>
      </w:r>
      <w:r w:rsidRPr="00E46AC0">
        <w:rPr>
          <w:rFonts w:eastAsia="Times New Roman" w:cs="Times New Roman"/>
          <w:rtl/>
          <w:lang w:eastAsia="de-DE"/>
        </w:rPr>
        <w:t xml:space="preserve"> </w:t>
      </w:r>
      <w:r w:rsidRPr="00E46AC0">
        <w:rPr>
          <w:rFonts w:eastAsia="Times New Roman" w:cs="Times New Roman"/>
          <w:lang w:eastAsia="de-DE"/>
        </w:rPr>
        <w:t>„soll nicht bestehen").</w:t>
      </w:r>
    </w:p>
    <w:p w14:paraId="5A4601B3"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אִישָׁהּ הֲפֵרָם וַיהוה יִסְלַח־לָהּ</w:t>
      </w:r>
      <w:r w:rsidRPr="00E46AC0">
        <w:rPr>
          <w:rFonts w:eastAsia="Times New Roman" w:cs="Times New Roman"/>
          <w:rtl/>
          <w:lang w:eastAsia="de-DE"/>
        </w:rPr>
        <w:t xml:space="preserve"> </w:t>
      </w:r>
      <w:r w:rsidRPr="00E46AC0">
        <w:rPr>
          <w:rFonts w:eastAsia="Times New Roman" w:cs="Times New Roman"/>
          <w:lang w:eastAsia="de-DE"/>
        </w:rPr>
        <w:t xml:space="preserve">ist die Begründung und göttliche Vergebung. </w:t>
      </w:r>
      <w:r w:rsidRPr="00E46AC0">
        <w:rPr>
          <w:rFonts w:eastAsia="Times New Roman" w:cs="Times New Roman"/>
          <w:b/>
          <w:bCs/>
          <w:rtl/>
          <w:lang w:eastAsia="de-DE"/>
        </w:rPr>
        <w:t>אִישָׁהּ הֲפֵרָם</w:t>
      </w:r>
      <w:r w:rsidRPr="00E46AC0">
        <w:rPr>
          <w:rFonts w:eastAsia="Times New Roman" w:cs="Times New Roman"/>
          <w:rtl/>
          <w:lang w:eastAsia="de-DE"/>
        </w:rPr>
        <w:t xml:space="preserve"> </w:t>
      </w:r>
      <w:r w:rsidRPr="00E46AC0">
        <w:rPr>
          <w:rFonts w:eastAsia="Times New Roman" w:cs="Times New Roman"/>
          <w:lang w:eastAsia="de-DE"/>
        </w:rPr>
        <w:t xml:space="preserve">(„ihr Mann hat sie aufgehoben"), </w:t>
      </w:r>
      <w:r w:rsidRPr="00E46AC0">
        <w:rPr>
          <w:rFonts w:eastAsia="Times New Roman" w:cs="Times New Roman"/>
          <w:b/>
          <w:bCs/>
          <w:rtl/>
          <w:lang w:eastAsia="de-DE"/>
        </w:rPr>
        <w:t>הֲפֵרָם</w:t>
      </w:r>
      <w:r w:rsidRPr="00E46AC0">
        <w:rPr>
          <w:rFonts w:eastAsia="Times New Roman" w:cs="Times New Roman"/>
          <w:rtl/>
          <w:lang w:eastAsia="de-DE"/>
        </w:rPr>
        <w:t xml:space="preserve"> </w:t>
      </w:r>
      <w:r w:rsidRPr="00E46AC0">
        <w:rPr>
          <w:rFonts w:eastAsia="Times New Roman" w:cs="Times New Roman"/>
          <w:lang w:eastAsia="de-DE"/>
        </w:rPr>
        <w:t xml:space="preserve">ist Hiphil Perfekt 3. Person maskulin Singular von </w:t>
      </w:r>
      <w:r w:rsidRPr="00E46AC0">
        <w:rPr>
          <w:rFonts w:eastAsia="Times New Roman" w:cs="Times New Roman"/>
          <w:b/>
          <w:bCs/>
          <w:rtl/>
          <w:lang w:eastAsia="de-DE"/>
        </w:rPr>
        <w:t>פרר</w:t>
      </w:r>
      <w:r w:rsidRPr="00E46AC0">
        <w:rPr>
          <w:rFonts w:eastAsia="Times New Roman" w:cs="Times New Roman"/>
          <w:rtl/>
          <w:lang w:eastAsia="de-DE"/>
        </w:rPr>
        <w:t xml:space="preserve"> </w:t>
      </w:r>
      <w:r w:rsidRPr="00E46AC0">
        <w:rPr>
          <w:rFonts w:eastAsia="Times New Roman" w:cs="Times New Roman"/>
          <w:lang w:eastAsia="de-DE"/>
        </w:rPr>
        <w:t xml:space="preserve">mit Suffix 3. Person maskulin Plural. </w:t>
      </w:r>
      <w:r w:rsidRPr="00E46AC0">
        <w:rPr>
          <w:rFonts w:eastAsia="Times New Roman" w:cs="Times New Roman"/>
          <w:b/>
          <w:bCs/>
          <w:rtl/>
          <w:lang w:eastAsia="de-DE"/>
        </w:rPr>
        <w:t>וַיהוה יִסְלַח־לָהּ</w:t>
      </w:r>
      <w:r w:rsidRPr="00E46AC0">
        <w:rPr>
          <w:rFonts w:eastAsia="Times New Roman" w:cs="Times New Roman"/>
          <w:rtl/>
          <w:lang w:eastAsia="de-DE"/>
        </w:rPr>
        <w:t xml:space="preserve"> </w:t>
      </w:r>
      <w:r w:rsidRPr="00E46AC0">
        <w:rPr>
          <w:rFonts w:eastAsia="Times New Roman" w:cs="Times New Roman"/>
          <w:lang w:eastAsia="de-DE"/>
        </w:rPr>
        <w:t xml:space="preserve">(Konjunktion mit Tetragramm und Qal Imperfekt von </w:t>
      </w:r>
      <w:r w:rsidRPr="00E46AC0">
        <w:rPr>
          <w:rFonts w:eastAsia="Times New Roman" w:cs="Times New Roman"/>
          <w:b/>
          <w:bCs/>
          <w:rtl/>
          <w:lang w:eastAsia="de-DE"/>
        </w:rPr>
        <w:t>סלח</w:t>
      </w:r>
      <w:r w:rsidRPr="00E46AC0">
        <w:rPr>
          <w:rFonts w:eastAsia="Times New Roman" w:cs="Times New Roman"/>
          <w:rtl/>
          <w:lang w:eastAsia="de-DE"/>
        </w:rPr>
        <w:t xml:space="preserve"> </w:t>
      </w:r>
      <w:r w:rsidRPr="00E46AC0">
        <w:rPr>
          <w:rFonts w:eastAsia="Times New Roman" w:cs="Times New Roman"/>
          <w:lang w:eastAsia="de-DE"/>
        </w:rPr>
        <w:t>mit Präposition und Suffix „und der Ewige wird ihr vergeben").</w:t>
      </w:r>
    </w:p>
    <w:p w14:paraId="4ABC0E36" w14:textId="12BBC369"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Die LXX</w:t>
      </w:r>
      <w:r w:rsidRPr="00E46AC0">
        <w:rPr>
          <w:rFonts w:eastAsia="Times New Roman" w:cs="Times New Roman"/>
          <w:lang w:eastAsia="de-DE"/>
        </w:rPr>
        <w:t xml:space="preserve"> </w:t>
      </w:r>
      <w:r w:rsidR="006B51A1">
        <w:rPr>
          <w:rStyle w:val="Fett"/>
        </w:rPr>
        <w:t>Vers 13:</w:t>
      </w:r>
      <w:r w:rsidR="006B51A1">
        <w:t xml:space="preserve"> </w:t>
      </w:r>
      <w:r w:rsidR="006B51A1">
        <w:rPr>
          <w:rStyle w:val="Fett"/>
        </w:rPr>
        <w:t>Die LXX</w:t>
      </w:r>
      <w:r w:rsidR="006B51A1">
        <w:t xml:space="preserve"> übersetzt „</w:t>
      </w:r>
      <w:r w:rsidR="006B51A1" w:rsidRPr="006B51A1">
        <w:rPr>
          <w:b/>
          <w:bCs/>
          <w:rtl/>
        </w:rPr>
        <w:t>הָפֵר</w:t>
      </w:r>
      <w:r w:rsidR="006B51A1">
        <w:rPr>
          <w:rtl/>
        </w:rPr>
        <w:t xml:space="preserve"> </w:t>
      </w:r>
      <w:r w:rsidR="006B51A1" w:rsidRPr="006B51A1">
        <w:rPr>
          <w:b/>
          <w:bCs/>
          <w:rtl/>
        </w:rPr>
        <w:t>יָפֵר</w:t>
      </w:r>
      <w:r w:rsidR="006B51A1">
        <w:t>" (ungültig machen wird er ungültig machen) mit „περιελὼν περιέλῃ" (wegnehmend wird er wegnehmen), was eine andere Metapher verwendet.</w:t>
      </w:r>
    </w:p>
    <w:p w14:paraId="2B7A13D2"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Die Satzstruktur zeigt einen Konditionalsatz mit Verstärkungskonstruktion und temporaler Bestimmung, gefolgt von der negativen Rechtsfolge, einer Begründung und einer göttlichen Vergebungszusage.</w:t>
      </w:r>
    </w:p>
    <w:p w14:paraId="05572FD7"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 xml:space="preserve">Der Vers etabliert das absolute Aufhebungsrecht des Ehemannes am Tag des Hörens: Durch seine Autorität kann er jedes gesprochene Gelübde oder Versprechen seiner Frau ungültig machen, wobei Gott ihr die Nichterfüllung vergibt - die emphatische Verstärkungskonstruktion </w:t>
      </w:r>
      <w:r w:rsidRPr="00E46AC0">
        <w:rPr>
          <w:rFonts w:eastAsia="Times New Roman" w:cs="Times New Roman"/>
          <w:b/>
          <w:bCs/>
          <w:rtl/>
          <w:lang w:eastAsia="de-DE"/>
        </w:rPr>
        <w:t>הָפֵר יָפֵר</w:t>
      </w:r>
      <w:r w:rsidRPr="00E46AC0">
        <w:rPr>
          <w:rFonts w:eastAsia="Times New Roman" w:cs="Times New Roman"/>
          <w:rtl/>
          <w:lang w:eastAsia="de-DE"/>
        </w:rPr>
        <w:t xml:space="preserve"> </w:t>
      </w:r>
      <w:r w:rsidRPr="00E46AC0">
        <w:rPr>
          <w:rFonts w:eastAsia="Times New Roman" w:cs="Times New Roman"/>
          <w:lang w:eastAsia="de-DE"/>
        </w:rPr>
        <w:t>unterstreicht die Wirksamkeit dieser Aufhebung.</w:t>
      </w:r>
    </w:p>
    <w:p w14:paraId="53F33AF0"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30,14</w:t>
      </w:r>
    </w:p>
    <w:p w14:paraId="3528F3BD"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כָּל־נֵ֛דֶר וְכָל־שְׁבֻעַ֥ת אִסָּ֖ר לְעַנֹּ֣ת נָ֑פֶשׁ אִישָׁ֥הּ יְקִימֶ֖נּוּ וְאִישָׁ֥הּ יְפֵרֶֽנּוּ׃</w:t>
      </w:r>
    </w:p>
    <w:p w14:paraId="7F1B585F"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Jedes Gelübde und jeder Eid der Verpflichtung, um die Seele zu kasteien - ihr Mann kann es bestätigen, und ihr Mann kann es aufheben.</w:t>
      </w:r>
    </w:p>
    <w:p w14:paraId="571A35FD"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62AAF7D9">
          <v:rect id="_x0000_i1941" style="width:0;height:1.5pt" o:hralign="center" o:hrstd="t" o:hr="t" fillcolor="#a0a0a0" stroked="f"/>
        </w:pict>
      </w:r>
    </w:p>
    <w:p w14:paraId="2395FFF5" w14:textId="747400CF"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verallgemeinert die eheliche Autorität. </w:t>
      </w:r>
      <w:r w:rsidRPr="00E46AC0">
        <w:rPr>
          <w:rFonts w:eastAsia="Times New Roman" w:cs="Times New Roman"/>
          <w:b/>
          <w:bCs/>
          <w:rtl/>
          <w:lang w:eastAsia="de-DE"/>
        </w:rPr>
        <w:t>כָּל־נֵדֶר וְכָל־שְׁבֻעַת אִסָּר לְעַנֹּת נָפֶשׁ</w:t>
      </w:r>
      <w:r w:rsidRPr="00E46AC0">
        <w:rPr>
          <w:rFonts w:eastAsia="Times New Roman" w:cs="Times New Roman"/>
          <w:rtl/>
          <w:lang w:eastAsia="de-DE"/>
        </w:rPr>
        <w:t xml:space="preserve"> </w:t>
      </w:r>
      <w:r w:rsidRPr="00E46AC0">
        <w:rPr>
          <w:rFonts w:eastAsia="Times New Roman" w:cs="Times New Roman"/>
          <w:lang w:eastAsia="de-DE"/>
        </w:rPr>
        <w:t xml:space="preserve">definiert den Umfang. </w:t>
      </w:r>
      <w:r w:rsidRPr="00E46AC0">
        <w:rPr>
          <w:rFonts w:eastAsia="Times New Roman" w:cs="Times New Roman"/>
          <w:b/>
          <w:bCs/>
          <w:rtl/>
          <w:lang w:eastAsia="de-DE"/>
        </w:rPr>
        <w:t>כָּל־נֵדֶר</w:t>
      </w:r>
      <w:r w:rsidRPr="00E46AC0">
        <w:rPr>
          <w:rFonts w:eastAsia="Times New Roman" w:cs="Times New Roman"/>
          <w:rtl/>
          <w:lang w:eastAsia="de-DE"/>
        </w:rPr>
        <w:t xml:space="preserve"> </w:t>
      </w:r>
      <w:r w:rsidRPr="00E46AC0">
        <w:rPr>
          <w:rFonts w:eastAsia="Times New Roman" w:cs="Times New Roman"/>
          <w:lang w:eastAsia="de-DE"/>
        </w:rPr>
        <w:t xml:space="preserve">(„jedes Gelübde"), </w:t>
      </w:r>
      <w:r w:rsidRPr="00E46AC0">
        <w:rPr>
          <w:rFonts w:eastAsia="Times New Roman" w:cs="Times New Roman"/>
          <w:b/>
          <w:bCs/>
          <w:rtl/>
          <w:lang w:eastAsia="de-DE"/>
        </w:rPr>
        <w:t>וְכָל־שְׁבֻעַת אִסָּר</w:t>
      </w:r>
      <w:r w:rsidRPr="00E46AC0">
        <w:rPr>
          <w:rFonts w:eastAsia="Times New Roman" w:cs="Times New Roman"/>
          <w:rtl/>
          <w:lang w:eastAsia="de-DE"/>
        </w:rPr>
        <w:t xml:space="preserve"> </w:t>
      </w:r>
      <w:r w:rsidRPr="00E46AC0">
        <w:rPr>
          <w:rFonts w:eastAsia="Times New Roman" w:cs="Times New Roman"/>
          <w:lang w:eastAsia="de-DE"/>
        </w:rPr>
        <w:t xml:space="preserve">(Konjunktion mit „jeder Eid" im </w:t>
      </w:r>
      <w:r w:rsidR="00E031B3">
        <w:rPr>
          <w:rFonts w:eastAsia="Times New Roman" w:cs="Times New Roman"/>
          <w:lang w:eastAsia="de-DE"/>
        </w:rPr>
        <w:t>Constructus mit</w:t>
      </w:r>
      <w:r w:rsidRPr="00E46AC0">
        <w:rPr>
          <w:rFonts w:eastAsia="Times New Roman" w:cs="Times New Roman"/>
          <w:lang w:eastAsia="de-DE"/>
        </w:rPr>
        <w:t xml:space="preserve"> </w:t>
      </w:r>
      <w:r w:rsidRPr="00E46AC0">
        <w:rPr>
          <w:rFonts w:eastAsia="Times New Roman" w:cs="Times New Roman"/>
          <w:b/>
          <w:bCs/>
          <w:rtl/>
          <w:lang w:eastAsia="de-DE"/>
        </w:rPr>
        <w:t>אִסָּר</w:t>
      </w:r>
      <w:r w:rsidRPr="00E46AC0">
        <w:rPr>
          <w:rFonts w:eastAsia="Times New Roman" w:cs="Times New Roman"/>
          <w:rtl/>
          <w:lang w:eastAsia="de-DE"/>
        </w:rPr>
        <w:t xml:space="preserve"> </w:t>
      </w:r>
      <w:r w:rsidRPr="00E46AC0">
        <w:rPr>
          <w:rFonts w:eastAsia="Times New Roman" w:cs="Times New Roman"/>
          <w:lang w:eastAsia="de-DE"/>
        </w:rPr>
        <w:t xml:space="preserve">„Verpflichtung" „jeder Schwur der Verpflichtung"), </w:t>
      </w:r>
      <w:r w:rsidRPr="00E46AC0">
        <w:rPr>
          <w:rFonts w:eastAsia="Times New Roman" w:cs="Times New Roman"/>
          <w:b/>
          <w:bCs/>
          <w:rtl/>
          <w:lang w:eastAsia="de-DE"/>
        </w:rPr>
        <w:t>לְעַנֹּת נָפֶשׁ</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לְ</w:t>
      </w:r>
      <w:r w:rsidRPr="00E46AC0">
        <w:rPr>
          <w:rFonts w:eastAsia="Times New Roman" w:cs="Times New Roman"/>
          <w:rtl/>
          <w:lang w:eastAsia="de-DE"/>
        </w:rPr>
        <w:t xml:space="preserve"> </w:t>
      </w:r>
      <w:r w:rsidRPr="00E46AC0">
        <w:rPr>
          <w:rFonts w:eastAsia="Times New Roman" w:cs="Times New Roman"/>
          <w:lang w:eastAsia="de-DE"/>
        </w:rPr>
        <w:t xml:space="preserve">mit Piel Infinitiv </w:t>
      </w:r>
      <w:r w:rsidR="00E031B3">
        <w:rPr>
          <w:rFonts w:eastAsia="Times New Roman" w:cs="Times New Roman"/>
          <w:lang w:eastAsia="de-DE"/>
        </w:rPr>
        <w:t>Constructus von</w:t>
      </w:r>
      <w:r w:rsidRPr="00E46AC0">
        <w:rPr>
          <w:rFonts w:eastAsia="Times New Roman" w:cs="Times New Roman"/>
          <w:lang w:eastAsia="de-DE"/>
        </w:rPr>
        <w:t xml:space="preserve"> </w:t>
      </w:r>
      <w:r w:rsidRPr="00E46AC0">
        <w:rPr>
          <w:rFonts w:eastAsia="Times New Roman" w:cs="Times New Roman"/>
          <w:b/>
          <w:bCs/>
          <w:rtl/>
          <w:lang w:eastAsia="de-DE"/>
        </w:rPr>
        <w:t>ענה</w:t>
      </w:r>
      <w:r w:rsidRPr="00E46AC0">
        <w:rPr>
          <w:rFonts w:eastAsia="Times New Roman" w:cs="Times New Roman"/>
          <w:rtl/>
          <w:lang w:eastAsia="de-DE"/>
        </w:rPr>
        <w:t xml:space="preserve"> </w:t>
      </w:r>
      <w:r w:rsidRPr="00E46AC0">
        <w:rPr>
          <w:rFonts w:eastAsia="Times New Roman" w:cs="Times New Roman"/>
          <w:lang w:eastAsia="de-DE"/>
        </w:rPr>
        <w:t xml:space="preserve">„demütigen, kasteien" und </w:t>
      </w:r>
      <w:r w:rsidRPr="00E46AC0">
        <w:rPr>
          <w:rFonts w:eastAsia="Times New Roman" w:cs="Times New Roman"/>
          <w:b/>
          <w:bCs/>
          <w:rtl/>
          <w:lang w:eastAsia="de-DE"/>
        </w:rPr>
        <w:t>נֶפֶשׁ</w:t>
      </w:r>
      <w:r w:rsidRPr="00E46AC0">
        <w:rPr>
          <w:rFonts w:eastAsia="Times New Roman" w:cs="Times New Roman"/>
          <w:rtl/>
          <w:lang w:eastAsia="de-DE"/>
        </w:rPr>
        <w:t xml:space="preserve"> </w:t>
      </w:r>
      <w:r w:rsidRPr="00E46AC0">
        <w:rPr>
          <w:rFonts w:eastAsia="Times New Roman" w:cs="Times New Roman"/>
          <w:lang w:eastAsia="de-DE"/>
        </w:rPr>
        <w:t xml:space="preserve">„Seele" „um die Seele zu kasteien"). Die Formulierung </w:t>
      </w:r>
      <w:r w:rsidRPr="00E46AC0">
        <w:rPr>
          <w:rFonts w:eastAsia="Times New Roman" w:cs="Times New Roman"/>
          <w:b/>
          <w:bCs/>
          <w:rtl/>
          <w:lang w:eastAsia="de-DE"/>
        </w:rPr>
        <w:t>לְעַנֹּת נָפֶשׁ</w:t>
      </w:r>
      <w:r w:rsidRPr="00E46AC0">
        <w:rPr>
          <w:rFonts w:eastAsia="Times New Roman" w:cs="Times New Roman"/>
          <w:rtl/>
          <w:lang w:eastAsia="de-DE"/>
        </w:rPr>
        <w:t xml:space="preserve"> </w:t>
      </w:r>
      <w:r w:rsidRPr="00E46AC0">
        <w:rPr>
          <w:rFonts w:eastAsia="Times New Roman" w:cs="Times New Roman"/>
          <w:lang w:eastAsia="de-DE"/>
        </w:rPr>
        <w:t>bezeichnet Fastengelübde oder asketische Selbstverpflichtungen (vgl. 29,7).</w:t>
      </w:r>
    </w:p>
    <w:p w14:paraId="47A52E97" w14:textId="77777777" w:rsidR="00E46AC0" w:rsidRDefault="00E46AC0" w:rsidP="00E46AC0">
      <w:pPr>
        <w:pStyle w:val="whitespace-normal"/>
      </w:pPr>
      <w:r>
        <w:rPr>
          <w:rStyle w:val="Fett"/>
          <w:rtl/>
        </w:rPr>
        <w:t>אִישָׁהּ יְקִימֶנּוּ וְאִישָׁהּ יְפֵרֶנּוּ</w:t>
      </w:r>
      <w:r>
        <w:rPr>
          <w:rtl/>
        </w:rPr>
        <w:t xml:space="preserve"> </w:t>
      </w:r>
      <w:r>
        <w:t xml:space="preserve">ist die doppelte Autorität. </w:t>
      </w:r>
      <w:r>
        <w:rPr>
          <w:rStyle w:val="Fett"/>
          <w:rtl/>
        </w:rPr>
        <w:t>אִישָׁהּ</w:t>
      </w:r>
      <w:r>
        <w:rPr>
          <w:rtl/>
        </w:rPr>
        <w:t xml:space="preserve"> </w:t>
      </w:r>
      <w:r>
        <w:t xml:space="preserve">(„ihr Mann") wird zweimal wiederholt als Subjekt, </w:t>
      </w:r>
      <w:r>
        <w:rPr>
          <w:rStyle w:val="Fett"/>
          <w:rtl/>
        </w:rPr>
        <w:t>יְקִימֶנּוּ</w:t>
      </w:r>
      <w:r>
        <w:rPr>
          <w:rtl/>
        </w:rPr>
        <w:t xml:space="preserve"> </w:t>
      </w:r>
      <w:r>
        <w:t xml:space="preserve">(Hiphil Imperfekt 3. Person maskulin Singular von </w:t>
      </w:r>
      <w:r>
        <w:rPr>
          <w:rStyle w:val="Fett"/>
          <w:rtl/>
        </w:rPr>
        <w:t>קום</w:t>
      </w:r>
      <w:r>
        <w:rPr>
          <w:rtl/>
        </w:rPr>
        <w:t xml:space="preserve"> </w:t>
      </w:r>
      <w:r>
        <w:t xml:space="preserve">„bestätigen, gültig machen" mit Suffix 3. Person maskulin Singular „kann es bestätigen"), </w:t>
      </w:r>
      <w:r>
        <w:rPr>
          <w:rStyle w:val="Fett"/>
          <w:rtl/>
        </w:rPr>
        <w:t>וְאִישָׁהּ יְפֵרֶנּוּ</w:t>
      </w:r>
      <w:r>
        <w:rPr>
          <w:rtl/>
        </w:rPr>
        <w:t xml:space="preserve"> </w:t>
      </w:r>
      <w:r>
        <w:t xml:space="preserve">(Konjunktion mit wiederholtem Subjekt und Hiphil Imperfekt 3. Person maskulin Singular </w:t>
      </w:r>
      <w:r>
        <w:lastRenderedPageBreak/>
        <w:t xml:space="preserve">von </w:t>
      </w:r>
      <w:r>
        <w:rPr>
          <w:rStyle w:val="Fett"/>
          <w:rtl/>
        </w:rPr>
        <w:t>פרר</w:t>
      </w:r>
      <w:r>
        <w:rPr>
          <w:rtl/>
        </w:rPr>
        <w:t xml:space="preserve"> </w:t>
      </w:r>
      <w:r>
        <w:t>„aufheben" mit Suffix „und ihr Mann kann es aufheben"). Die parallele Struktur betont die vollständige Autorität des Ehemannes: Er kann sowohl bestätigen als auch aufheben.</w:t>
      </w:r>
    </w:p>
    <w:p w14:paraId="407A9216" w14:textId="6CBB90C4" w:rsidR="00E46AC0" w:rsidRDefault="006B51A1" w:rsidP="00E46AC0">
      <w:pPr>
        <w:pStyle w:val="whitespace-normal"/>
      </w:pPr>
      <w:r>
        <w:rPr>
          <w:rStyle w:val="Fett"/>
        </w:rPr>
        <w:t>Vers 14:</w:t>
      </w:r>
      <w:r>
        <w:t xml:space="preserve"> </w:t>
      </w:r>
      <w:r>
        <w:rPr>
          <w:rStyle w:val="Fett"/>
        </w:rPr>
        <w:t>Die LXX</w:t>
      </w:r>
      <w:r>
        <w:t xml:space="preserve"> übersetzt „</w:t>
      </w:r>
      <w:r w:rsidRPr="006B51A1">
        <w:rPr>
          <w:b/>
          <w:bCs/>
          <w:rtl/>
        </w:rPr>
        <w:t>לְעַנֹּת</w:t>
      </w:r>
      <w:r>
        <w:rPr>
          <w:rtl/>
        </w:rPr>
        <w:t xml:space="preserve"> </w:t>
      </w:r>
      <w:r w:rsidRPr="006B51A1">
        <w:rPr>
          <w:b/>
          <w:bCs/>
          <w:rtl/>
        </w:rPr>
        <w:t>נָפֶשׁ</w:t>
      </w:r>
      <w:r>
        <w:t xml:space="preserve">" (um die Seele zu demütigen) mit „κακῶσαι ψυχήν" (die Seele zu bedrängen), was stärker ist. </w:t>
      </w:r>
      <w:r w:rsidR="00E46AC0">
        <w:t>Die Satzstruktur zeigt eine nominale Einleitung, die den Umfang definiert (alle Gelübde zur Selbstkasteiung), gefolgt von zwei parallelen Aussagen über die doppelte Autorität des Ehemannes.</w:t>
      </w:r>
    </w:p>
    <w:p w14:paraId="394333CE" w14:textId="77777777" w:rsidR="00E46AC0" w:rsidRDefault="00E46AC0" w:rsidP="00E46AC0">
      <w:pPr>
        <w:pStyle w:val="whitespace-normal"/>
      </w:pPr>
      <w:r>
        <w:t>Der Vers verallgemeinert das Prinzip der ehelichen Autorität: Der Ehemann hat die vollständige Kontrolle über alle Gelübde seiner Frau, einschließlich Fastengelübde - er kann sie entweder bestätigen (wodurch sie bindend werden) oder aufheben (wodurch sie ungültig werden), was seine Position als Haupt der Familie unterstreicht.</w:t>
      </w:r>
    </w:p>
    <w:p w14:paraId="7D486CC1"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30,15</w:t>
      </w:r>
    </w:p>
    <w:p w14:paraId="5E812C5C"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וְאִם־הַחֲרֵשׁ֩ יַחֲרִ֨ישׁ לָ֥הּ אִישָׁהּ֮ מִיּ֣וֹם אֶל־יוֹם֒ וְהֵקִים֙ אֶת־כָּל־נְדָרֶ֔יהָ א֥וֹ אֶת־כָּל־אֱסָרֶ֖יהָ אֲשֶׁ֣ר עָלֶ֑יהָ הֵקִ֣ים אֹתָ֔ם כִּי־הֶחֱרִ֥שׁ לָ֖הּ בְּי֥וֹם שָׁמְעֹֽו׃</w:t>
      </w:r>
    </w:p>
    <w:p w14:paraId="1C8FB631"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Und wenn ihr Mann von Tag zu Tag gewiss dazu schweigt, so bestätigt er alle ihre Gelübde oder alle ihre Verpflichtungen, die auf ihr sind; er hat sie bestätigt, weil er an dem Tag, da er hörte, geschwiegen hat.</w:t>
      </w:r>
    </w:p>
    <w:p w14:paraId="504D3770"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3D628C45">
          <v:rect id="_x0000_i1942" style="width:0;height:1.5pt" o:hralign="center" o:hrstd="t" o:hr="t" fillcolor="#a0a0a0" stroked="f"/>
        </w:pict>
      </w:r>
    </w:p>
    <w:p w14:paraId="3D54A206"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präzisiert die Bestätigung durch Schweigen. </w:t>
      </w:r>
      <w:r w:rsidRPr="00E46AC0">
        <w:rPr>
          <w:rFonts w:eastAsia="Times New Roman" w:cs="Times New Roman"/>
          <w:b/>
          <w:bCs/>
          <w:rtl/>
          <w:lang w:eastAsia="de-DE"/>
        </w:rPr>
        <w:t>וְאִם־הַחֲרֵשׁ יַחֲרִישׁ לָהּ אִישָׁהּ מִיּוֹם אֶל־יוֹם</w:t>
      </w:r>
      <w:r w:rsidRPr="00E46AC0">
        <w:rPr>
          <w:rFonts w:eastAsia="Times New Roman" w:cs="Times New Roman"/>
          <w:rtl/>
          <w:lang w:eastAsia="de-DE"/>
        </w:rPr>
        <w:t xml:space="preserve"> </w:t>
      </w:r>
      <w:r w:rsidRPr="00E46AC0">
        <w:rPr>
          <w:rFonts w:eastAsia="Times New Roman" w:cs="Times New Roman"/>
          <w:lang w:eastAsia="de-DE"/>
        </w:rPr>
        <w:t xml:space="preserve">ist die Bedingung mit Verstärkung. </w:t>
      </w:r>
      <w:r w:rsidRPr="00E46AC0">
        <w:rPr>
          <w:rFonts w:eastAsia="Times New Roman" w:cs="Times New Roman"/>
          <w:b/>
          <w:bCs/>
          <w:rtl/>
          <w:lang w:eastAsia="de-DE"/>
        </w:rPr>
        <w:t>וְאִם</w:t>
      </w:r>
      <w:r w:rsidRPr="00E46AC0">
        <w:rPr>
          <w:rFonts w:eastAsia="Times New Roman" w:cs="Times New Roman"/>
          <w:rtl/>
          <w:lang w:eastAsia="de-DE"/>
        </w:rPr>
        <w:t xml:space="preserve"> </w:t>
      </w:r>
      <w:r w:rsidRPr="00E46AC0">
        <w:rPr>
          <w:rFonts w:eastAsia="Times New Roman" w:cs="Times New Roman"/>
          <w:lang w:eastAsia="de-DE"/>
        </w:rPr>
        <w:t xml:space="preserve">(„und wenn"), </w:t>
      </w:r>
      <w:r w:rsidRPr="00E46AC0">
        <w:rPr>
          <w:rFonts w:eastAsia="Times New Roman" w:cs="Times New Roman"/>
          <w:b/>
          <w:bCs/>
          <w:rtl/>
          <w:lang w:eastAsia="de-DE"/>
        </w:rPr>
        <w:t>הַחֲרֵשׁ יַחֲרִישׁ</w:t>
      </w:r>
      <w:r w:rsidRPr="00E46AC0">
        <w:rPr>
          <w:rFonts w:eastAsia="Times New Roman" w:cs="Times New Roman"/>
          <w:rtl/>
          <w:lang w:eastAsia="de-DE"/>
        </w:rPr>
        <w:t xml:space="preserve"> </w:t>
      </w:r>
      <w:r w:rsidRPr="00E46AC0">
        <w:rPr>
          <w:rFonts w:eastAsia="Times New Roman" w:cs="Times New Roman"/>
          <w:lang w:eastAsia="de-DE"/>
        </w:rPr>
        <w:t xml:space="preserve">ist die Verstärkungskonstruktion: Hiphil Infinitiv Absolutus und Hiphil Imperfekt 3. Person maskulin Singular von </w:t>
      </w:r>
      <w:r w:rsidRPr="00E46AC0">
        <w:rPr>
          <w:rFonts w:eastAsia="Times New Roman" w:cs="Times New Roman"/>
          <w:b/>
          <w:bCs/>
          <w:rtl/>
          <w:lang w:eastAsia="de-DE"/>
        </w:rPr>
        <w:t>חרשׁ</w:t>
      </w:r>
      <w:r w:rsidRPr="00E46AC0">
        <w:rPr>
          <w:rFonts w:eastAsia="Times New Roman" w:cs="Times New Roman"/>
          <w:rtl/>
          <w:lang w:eastAsia="de-DE"/>
        </w:rPr>
        <w:t xml:space="preserve"> </w:t>
      </w:r>
      <w:r w:rsidRPr="00E46AC0">
        <w:rPr>
          <w:rFonts w:eastAsia="Times New Roman" w:cs="Times New Roman"/>
          <w:lang w:eastAsia="de-DE"/>
        </w:rPr>
        <w:t xml:space="preserve">(„gewiss schweigen, beständig schweigen"), </w:t>
      </w:r>
      <w:r w:rsidRPr="00E46AC0">
        <w:rPr>
          <w:rFonts w:eastAsia="Times New Roman" w:cs="Times New Roman"/>
          <w:b/>
          <w:bCs/>
          <w:rtl/>
          <w:lang w:eastAsia="de-DE"/>
        </w:rPr>
        <w:t>לָהּ אִישָׁהּ</w:t>
      </w:r>
      <w:r w:rsidRPr="00E46AC0">
        <w:rPr>
          <w:rFonts w:eastAsia="Times New Roman" w:cs="Times New Roman"/>
          <w:rtl/>
          <w:lang w:eastAsia="de-DE"/>
        </w:rPr>
        <w:t xml:space="preserve"> </w:t>
      </w:r>
      <w:r w:rsidRPr="00E46AC0">
        <w:rPr>
          <w:rFonts w:eastAsia="Times New Roman" w:cs="Times New Roman"/>
          <w:lang w:eastAsia="de-DE"/>
        </w:rPr>
        <w:t xml:space="preserve">(Präposition mit Suffix und „ihr Mann"), </w:t>
      </w:r>
      <w:r w:rsidRPr="00E46AC0">
        <w:rPr>
          <w:rFonts w:eastAsia="Times New Roman" w:cs="Times New Roman"/>
          <w:b/>
          <w:bCs/>
          <w:rtl/>
          <w:lang w:eastAsia="de-DE"/>
        </w:rPr>
        <w:t>מִיּוֹם אֶל־יוֹם</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מִן</w:t>
      </w:r>
      <w:r w:rsidRPr="00E46AC0">
        <w:rPr>
          <w:rFonts w:eastAsia="Times New Roman" w:cs="Times New Roman"/>
          <w:rtl/>
          <w:lang w:eastAsia="de-DE"/>
        </w:rPr>
        <w:t xml:space="preserve"> </w:t>
      </w:r>
      <w:r w:rsidRPr="00E46AC0">
        <w:rPr>
          <w:rFonts w:eastAsia="Times New Roman" w:cs="Times New Roman"/>
          <w:lang w:eastAsia="de-DE"/>
        </w:rPr>
        <w:t xml:space="preserve">mit </w:t>
      </w:r>
      <w:r w:rsidRPr="00E46AC0">
        <w:rPr>
          <w:rFonts w:eastAsia="Times New Roman" w:cs="Times New Roman"/>
          <w:b/>
          <w:bCs/>
          <w:rtl/>
          <w:lang w:eastAsia="de-DE"/>
        </w:rPr>
        <w:t>יוֹם</w:t>
      </w:r>
      <w:r w:rsidRPr="00E46AC0">
        <w:rPr>
          <w:rFonts w:eastAsia="Times New Roman" w:cs="Times New Roman"/>
          <w:rtl/>
          <w:lang w:eastAsia="de-DE"/>
        </w:rPr>
        <w:t xml:space="preserve"> </w:t>
      </w:r>
      <w:r w:rsidRPr="00E46AC0">
        <w:rPr>
          <w:rFonts w:eastAsia="Times New Roman" w:cs="Times New Roman"/>
          <w:lang w:eastAsia="de-DE"/>
        </w:rPr>
        <w:t xml:space="preserve">„Tag", Präposition </w:t>
      </w:r>
      <w:r w:rsidRPr="00E46AC0">
        <w:rPr>
          <w:rFonts w:eastAsia="Times New Roman" w:cs="Times New Roman"/>
          <w:b/>
          <w:bCs/>
          <w:rtl/>
          <w:lang w:eastAsia="de-DE"/>
        </w:rPr>
        <w:t>אֶל</w:t>
      </w:r>
      <w:r w:rsidRPr="00E46AC0">
        <w:rPr>
          <w:rFonts w:eastAsia="Times New Roman" w:cs="Times New Roman"/>
          <w:rtl/>
          <w:lang w:eastAsia="de-DE"/>
        </w:rPr>
        <w:t xml:space="preserve"> </w:t>
      </w:r>
      <w:r w:rsidRPr="00E46AC0">
        <w:rPr>
          <w:rFonts w:eastAsia="Times New Roman" w:cs="Times New Roman"/>
          <w:lang w:eastAsia="de-DE"/>
        </w:rPr>
        <w:t xml:space="preserve">und </w:t>
      </w:r>
      <w:r w:rsidRPr="00E46AC0">
        <w:rPr>
          <w:rFonts w:eastAsia="Times New Roman" w:cs="Times New Roman"/>
          <w:b/>
          <w:bCs/>
          <w:rtl/>
          <w:lang w:eastAsia="de-DE"/>
        </w:rPr>
        <w:t>יוֹם</w:t>
      </w:r>
      <w:r w:rsidRPr="00E46AC0">
        <w:rPr>
          <w:rFonts w:eastAsia="Times New Roman" w:cs="Times New Roman"/>
          <w:rtl/>
          <w:lang w:eastAsia="de-DE"/>
        </w:rPr>
        <w:t xml:space="preserve"> </w:t>
      </w:r>
      <w:r w:rsidRPr="00E46AC0">
        <w:rPr>
          <w:rFonts w:eastAsia="Times New Roman" w:cs="Times New Roman"/>
          <w:lang w:eastAsia="de-DE"/>
        </w:rPr>
        <w:t xml:space="preserve">„von Tag zu Tag"). Die Formulierung </w:t>
      </w:r>
      <w:r w:rsidRPr="00E46AC0">
        <w:rPr>
          <w:rFonts w:eastAsia="Times New Roman" w:cs="Times New Roman"/>
          <w:b/>
          <w:bCs/>
          <w:rtl/>
          <w:lang w:eastAsia="de-DE"/>
        </w:rPr>
        <w:t>מִיּוֹם אֶל־יוֹם</w:t>
      </w:r>
      <w:r w:rsidRPr="00E46AC0">
        <w:rPr>
          <w:rFonts w:eastAsia="Times New Roman" w:cs="Times New Roman"/>
          <w:rtl/>
          <w:lang w:eastAsia="de-DE"/>
        </w:rPr>
        <w:t xml:space="preserve"> </w:t>
      </w:r>
      <w:r w:rsidRPr="00E46AC0">
        <w:rPr>
          <w:rFonts w:eastAsia="Times New Roman" w:cs="Times New Roman"/>
          <w:lang w:eastAsia="de-DE"/>
        </w:rPr>
        <w:t>bezeichnet kontinuierliches, wiederholtes Schweigen über mehrere Tage hinweg.</w:t>
      </w:r>
    </w:p>
    <w:p w14:paraId="72D88DF4"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וְהֵקִים אֶת־כָּל־נְדָרֶיהָ אוֹ אֶת־כָּל־אֱסָרֶיהָ אֲשֶׁר עָלֶיהָ</w:t>
      </w:r>
      <w:r w:rsidRPr="00E46AC0">
        <w:rPr>
          <w:rFonts w:eastAsia="Times New Roman" w:cs="Times New Roman"/>
          <w:rtl/>
          <w:lang w:eastAsia="de-DE"/>
        </w:rPr>
        <w:t xml:space="preserve"> </w:t>
      </w:r>
      <w:r w:rsidRPr="00E46AC0">
        <w:rPr>
          <w:rFonts w:eastAsia="Times New Roman" w:cs="Times New Roman"/>
          <w:lang w:eastAsia="de-DE"/>
        </w:rPr>
        <w:t xml:space="preserve">ist die erste Rechtsfolge. </w:t>
      </w:r>
      <w:r w:rsidRPr="00E46AC0">
        <w:rPr>
          <w:rFonts w:eastAsia="Times New Roman" w:cs="Times New Roman"/>
          <w:b/>
          <w:bCs/>
          <w:rtl/>
          <w:lang w:eastAsia="de-DE"/>
        </w:rPr>
        <w:t>וְהֵקִים</w:t>
      </w:r>
      <w:r w:rsidRPr="00E46AC0">
        <w:rPr>
          <w:rFonts w:eastAsia="Times New Roman" w:cs="Times New Roman"/>
          <w:rtl/>
          <w:lang w:eastAsia="de-DE"/>
        </w:rPr>
        <w:t xml:space="preserve"> </w:t>
      </w:r>
      <w:r w:rsidRPr="00E46AC0">
        <w:rPr>
          <w:rFonts w:eastAsia="Times New Roman" w:cs="Times New Roman"/>
          <w:lang w:eastAsia="de-DE"/>
        </w:rPr>
        <w:t xml:space="preserve">(Konjunktion mit Hiphil Perfekt 3. Person maskulin Singular mit Waw consecutivum von </w:t>
      </w:r>
      <w:r w:rsidRPr="00E46AC0">
        <w:rPr>
          <w:rFonts w:eastAsia="Times New Roman" w:cs="Times New Roman"/>
          <w:b/>
          <w:bCs/>
          <w:rtl/>
          <w:lang w:eastAsia="de-DE"/>
        </w:rPr>
        <w:t>קום</w:t>
      </w:r>
      <w:r w:rsidRPr="00E46AC0">
        <w:rPr>
          <w:rFonts w:eastAsia="Times New Roman" w:cs="Times New Roman"/>
          <w:rtl/>
          <w:lang w:eastAsia="de-DE"/>
        </w:rPr>
        <w:t xml:space="preserve"> </w:t>
      </w:r>
      <w:r w:rsidRPr="00E46AC0">
        <w:rPr>
          <w:rFonts w:eastAsia="Times New Roman" w:cs="Times New Roman"/>
          <w:lang w:eastAsia="de-DE"/>
        </w:rPr>
        <w:t xml:space="preserve">„bestätigen"), </w:t>
      </w:r>
      <w:r w:rsidRPr="00E46AC0">
        <w:rPr>
          <w:rFonts w:eastAsia="Times New Roman" w:cs="Times New Roman"/>
          <w:b/>
          <w:bCs/>
          <w:rtl/>
          <w:lang w:eastAsia="de-DE"/>
        </w:rPr>
        <w:t>אֶת־כָּל־נְדָרֶיהָ</w:t>
      </w:r>
      <w:r w:rsidRPr="00E46AC0">
        <w:rPr>
          <w:rFonts w:eastAsia="Times New Roman" w:cs="Times New Roman"/>
          <w:rtl/>
          <w:lang w:eastAsia="de-DE"/>
        </w:rPr>
        <w:t xml:space="preserve"> </w:t>
      </w:r>
      <w:r w:rsidRPr="00E46AC0">
        <w:rPr>
          <w:rFonts w:eastAsia="Times New Roman" w:cs="Times New Roman"/>
          <w:lang w:eastAsia="de-DE"/>
        </w:rPr>
        <w:t xml:space="preserve">(Akkusativpartikel mit „alle ihre Gelübde"), </w:t>
      </w:r>
      <w:r w:rsidRPr="00E46AC0">
        <w:rPr>
          <w:rFonts w:eastAsia="Times New Roman" w:cs="Times New Roman"/>
          <w:b/>
          <w:bCs/>
          <w:rtl/>
          <w:lang w:eastAsia="de-DE"/>
        </w:rPr>
        <w:t>אוֹ אֶת־כָּל־אֱסָרֶיהָ אֲשֶׁר עָלֶיהָ</w:t>
      </w:r>
      <w:r w:rsidRPr="00E46AC0">
        <w:rPr>
          <w:rFonts w:eastAsia="Times New Roman" w:cs="Times New Roman"/>
          <w:rtl/>
          <w:lang w:eastAsia="de-DE"/>
        </w:rPr>
        <w:t xml:space="preserve"> </w:t>
      </w:r>
      <w:r w:rsidRPr="00E46AC0">
        <w:rPr>
          <w:rFonts w:eastAsia="Times New Roman" w:cs="Times New Roman"/>
          <w:lang w:eastAsia="de-DE"/>
        </w:rPr>
        <w:t>(Alternative mit „oder alle ihre Verpflichtungen, die auf ihr sind").</w:t>
      </w:r>
    </w:p>
    <w:p w14:paraId="78CAB84E" w14:textId="12E11524"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הֵקִים אֹתָם כִּי־הֶחֱרִישׁ לָהּ בְּיוֹם שָׁמְעוֹ</w:t>
      </w:r>
      <w:r w:rsidRPr="00E46AC0">
        <w:rPr>
          <w:rFonts w:eastAsia="Times New Roman" w:cs="Times New Roman"/>
          <w:rtl/>
          <w:lang w:eastAsia="de-DE"/>
        </w:rPr>
        <w:t xml:space="preserve"> </w:t>
      </w:r>
      <w:r w:rsidRPr="00E46AC0">
        <w:rPr>
          <w:rFonts w:eastAsia="Times New Roman" w:cs="Times New Roman"/>
          <w:lang w:eastAsia="de-DE"/>
        </w:rPr>
        <w:t xml:space="preserve">ist die Wiederholung und Begründung. </w:t>
      </w:r>
      <w:r w:rsidRPr="00E46AC0">
        <w:rPr>
          <w:rFonts w:eastAsia="Times New Roman" w:cs="Times New Roman"/>
          <w:b/>
          <w:bCs/>
          <w:rtl/>
          <w:lang w:eastAsia="de-DE"/>
        </w:rPr>
        <w:t>הֵקִים אֹתָם</w:t>
      </w:r>
      <w:r w:rsidRPr="00E46AC0">
        <w:rPr>
          <w:rFonts w:eastAsia="Times New Roman" w:cs="Times New Roman"/>
          <w:rtl/>
          <w:lang w:eastAsia="de-DE"/>
        </w:rPr>
        <w:t xml:space="preserve"> </w:t>
      </w:r>
      <w:r w:rsidRPr="00E46AC0">
        <w:rPr>
          <w:rFonts w:eastAsia="Times New Roman" w:cs="Times New Roman"/>
          <w:lang w:eastAsia="de-DE"/>
        </w:rPr>
        <w:t xml:space="preserve">(Hiphil Perfekt 3. Person maskulin Singular von </w:t>
      </w:r>
      <w:r w:rsidRPr="00E46AC0">
        <w:rPr>
          <w:rFonts w:eastAsia="Times New Roman" w:cs="Times New Roman"/>
          <w:b/>
          <w:bCs/>
          <w:rtl/>
          <w:lang w:eastAsia="de-DE"/>
        </w:rPr>
        <w:t>קום</w:t>
      </w:r>
      <w:r w:rsidRPr="00E46AC0">
        <w:rPr>
          <w:rFonts w:eastAsia="Times New Roman" w:cs="Times New Roman"/>
          <w:rtl/>
          <w:lang w:eastAsia="de-DE"/>
        </w:rPr>
        <w:t xml:space="preserve"> </w:t>
      </w:r>
      <w:r w:rsidRPr="00E46AC0">
        <w:rPr>
          <w:rFonts w:eastAsia="Times New Roman" w:cs="Times New Roman"/>
          <w:lang w:eastAsia="de-DE"/>
        </w:rPr>
        <w:t xml:space="preserve">mit Akkusativpartikel und Suffix 3. Person maskulin Plural „er hat sie bestätigt"), </w:t>
      </w:r>
      <w:r w:rsidRPr="00E46AC0">
        <w:rPr>
          <w:rFonts w:eastAsia="Times New Roman" w:cs="Times New Roman"/>
          <w:b/>
          <w:bCs/>
          <w:rtl/>
          <w:lang w:eastAsia="de-DE"/>
        </w:rPr>
        <w:t>כִּי</w:t>
      </w:r>
      <w:r w:rsidRPr="00E46AC0">
        <w:rPr>
          <w:rFonts w:eastAsia="Times New Roman" w:cs="Times New Roman"/>
          <w:rtl/>
          <w:lang w:eastAsia="de-DE"/>
        </w:rPr>
        <w:t xml:space="preserve"> </w:t>
      </w:r>
      <w:r w:rsidRPr="00E46AC0">
        <w:rPr>
          <w:rFonts w:eastAsia="Times New Roman" w:cs="Times New Roman"/>
          <w:lang w:eastAsia="de-DE"/>
        </w:rPr>
        <w:t xml:space="preserve">(kausale Konjunktion „weil"), </w:t>
      </w:r>
      <w:r w:rsidRPr="00E46AC0">
        <w:rPr>
          <w:rFonts w:eastAsia="Times New Roman" w:cs="Times New Roman"/>
          <w:b/>
          <w:bCs/>
          <w:rtl/>
          <w:lang w:eastAsia="de-DE"/>
        </w:rPr>
        <w:t>הֶחֱרִישׁ לָהּ</w:t>
      </w:r>
      <w:r w:rsidRPr="00E46AC0">
        <w:rPr>
          <w:rFonts w:eastAsia="Times New Roman" w:cs="Times New Roman"/>
          <w:rtl/>
          <w:lang w:eastAsia="de-DE"/>
        </w:rPr>
        <w:t xml:space="preserve"> </w:t>
      </w:r>
      <w:r w:rsidRPr="00E46AC0">
        <w:rPr>
          <w:rFonts w:eastAsia="Times New Roman" w:cs="Times New Roman"/>
          <w:lang w:eastAsia="de-DE"/>
        </w:rPr>
        <w:t xml:space="preserve">(Hiphil Perfekt von </w:t>
      </w:r>
      <w:r w:rsidRPr="00E46AC0">
        <w:rPr>
          <w:rFonts w:eastAsia="Times New Roman" w:cs="Times New Roman"/>
          <w:b/>
          <w:bCs/>
          <w:rtl/>
          <w:lang w:eastAsia="de-DE"/>
        </w:rPr>
        <w:t>חרשׁ</w:t>
      </w:r>
      <w:r w:rsidRPr="00E46AC0">
        <w:rPr>
          <w:rFonts w:eastAsia="Times New Roman" w:cs="Times New Roman"/>
          <w:rtl/>
          <w:lang w:eastAsia="de-DE"/>
        </w:rPr>
        <w:t xml:space="preserve"> </w:t>
      </w:r>
      <w:r w:rsidRPr="00E46AC0">
        <w:rPr>
          <w:rFonts w:eastAsia="Times New Roman" w:cs="Times New Roman"/>
          <w:lang w:eastAsia="de-DE"/>
        </w:rPr>
        <w:t xml:space="preserve">mit Präposition und Suffix „er geschwiegen hat ihr gegenüber"), </w:t>
      </w:r>
      <w:r w:rsidRPr="00E46AC0">
        <w:rPr>
          <w:rFonts w:eastAsia="Times New Roman" w:cs="Times New Roman"/>
          <w:b/>
          <w:bCs/>
          <w:rtl/>
          <w:lang w:eastAsia="de-DE"/>
        </w:rPr>
        <w:t>בְּיוֹם שָׁמְעוֹ</w:t>
      </w:r>
      <w:r w:rsidRPr="00E46AC0">
        <w:rPr>
          <w:rFonts w:eastAsia="Times New Roman" w:cs="Times New Roman"/>
          <w:rtl/>
          <w:lang w:eastAsia="de-DE"/>
        </w:rPr>
        <w:t xml:space="preserve"> </w:t>
      </w:r>
      <w:r w:rsidRPr="00E46AC0">
        <w:rPr>
          <w:rFonts w:eastAsia="Times New Roman" w:cs="Times New Roman"/>
          <w:lang w:eastAsia="de-DE"/>
        </w:rPr>
        <w:t xml:space="preserve">(Präposition mit </w:t>
      </w:r>
      <w:r w:rsidRPr="00E46AC0">
        <w:rPr>
          <w:rFonts w:eastAsia="Times New Roman" w:cs="Times New Roman"/>
          <w:b/>
          <w:bCs/>
          <w:rtl/>
          <w:lang w:eastAsia="de-DE"/>
        </w:rPr>
        <w:t>יוֹם</w:t>
      </w:r>
      <w:r w:rsidRPr="00E46AC0">
        <w:rPr>
          <w:rFonts w:eastAsia="Times New Roman" w:cs="Times New Roman"/>
          <w:rtl/>
          <w:lang w:eastAsia="de-DE"/>
        </w:rPr>
        <w:t xml:space="preserve"> </w:t>
      </w:r>
      <w:r w:rsidRPr="00E46AC0">
        <w:rPr>
          <w:rFonts w:eastAsia="Times New Roman" w:cs="Times New Roman"/>
          <w:lang w:eastAsia="de-DE"/>
        </w:rPr>
        <w:t xml:space="preserve">im </w:t>
      </w:r>
      <w:r w:rsidR="00E031B3">
        <w:rPr>
          <w:rFonts w:eastAsia="Times New Roman" w:cs="Times New Roman"/>
          <w:lang w:eastAsia="de-DE"/>
        </w:rPr>
        <w:t>Constructus und</w:t>
      </w:r>
      <w:r w:rsidRPr="00E46AC0">
        <w:rPr>
          <w:rFonts w:eastAsia="Times New Roman" w:cs="Times New Roman"/>
          <w:lang w:eastAsia="de-DE"/>
        </w:rPr>
        <w:t xml:space="preserve"> Infinitiv </w:t>
      </w:r>
      <w:r w:rsidR="00E031B3">
        <w:rPr>
          <w:rFonts w:eastAsia="Times New Roman" w:cs="Times New Roman"/>
          <w:lang w:eastAsia="de-DE"/>
        </w:rPr>
        <w:t>Constructus mit</w:t>
      </w:r>
      <w:r w:rsidRPr="00E46AC0">
        <w:rPr>
          <w:rFonts w:eastAsia="Times New Roman" w:cs="Times New Roman"/>
          <w:lang w:eastAsia="de-DE"/>
        </w:rPr>
        <w:t xml:space="preserve"> Suffix „an dem Tag seines Hörens"). Die Begründung betont: die Bestätigung erfolgte am ersten Tag durch Schweigen.</w:t>
      </w:r>
    </w:p>
    <w:p w14:paraId="140D937B" w14:textId="7C49A218"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Die LXX</w:t>
      </w:r>
      <w:r w:rsidRPr="00E46AC0">
        <w:rPr>
          <w:rFonts w:eastAsia="Times New Roman" w:cs="Times New Roman"/>
          <w:lang w:eastAsia="de-DE"/>
        </w:rPr>
        <w:t xml:space="preserve"> gibt keine bedeutenden </w:t>
      </w:r>
    </w:p>
    <w:p w14:paraId="67DF94FF"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lastRenderedPageBreak/>
        <w:t>Die Satzstruktur zeigt einen Konditionalsatz mit Verstärkungskonstruktion und temporaler Bestimmung, gefolgt von zwei Perfekta mit Waw consecutivum (bestätigt) und einer kausalen Begründung.</w:t>
      </w:r>
    </w:p>
    <w:p w14:paraId="0763E723"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Der Vers klärt die rechtliche Wirkung des Schweigens: Wenn der Ehemann kontinuierlich von Tag zu Tag schweigt, gilt dies als unwiderrufliche Bestätigung der Gelübde - die Bestätigung erfolgte bereits am ersten Tag durch sein Schweigen, und er kann später nicht mehr zurücknehmen.</w:t>
      </w:r>
    </w:p>
    <w:p w14:paraId="1EA6DDCB"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30,16</w:t>
      </w:r>
    </w:p>
    <w:p w14:paraId="02977171"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Hebräisch:</w:t>
      </w:r>
      <w:r w:rsidRPr="00E46AC0">
        <w:rPr>
          <w:rFonts w:eastAsia="Times New Roman" w:cs="Times New Roman"/>
          <w:lang w:eastAsia="de-DE"/>
        </w:rPr>
        <w:t xml:space="preserve"> </w:t>
      </w:r>
      <w:r w:rsidRPr="00E46AC0">
        <w:rPr>
          <w:rFonts w:eastAsia="Times New Roman" w:cs="Times New Roman"/>
          <w:rtl/>
          <w:lang w:eastAsia="de-DE"/>
        </w:rPr>
        <w:t>וְאִם־הָפֵ֥ר יָפֵ֛ר אֹתָ֖ם אַחֲרֵ֣י שָׁמְעֹ֑ו וְנָשָׂ֖א אֶת־עֲוֹנָֽהּ׃</w:t>
      </w:r>
    </w:p>
    <w:p w14:paraId="06E7B47A"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Wenn er sie aber gewiss aufhebt, nachdem er gehört hat, so wird er ihre Schuld tragen.</w:t>
      </w:r>
    </w:p>
    <w:p w14:paraId="02035730"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08AC130E">
          <v:rect id="_x0000_i1943" style="width:0;height:1.5pt" o:hralign="center" o:hrstd="t" o:hr="t" fillcolor="#a0a0a0" stroked="f"/>
        </w:pict>
      </w:r>
    </w:p>
    <w:p w14:paraId="55346CA5" w14:textId="67DDBD4D"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warnt vor verspäteter Aufhebung. </w:t>
      </w:r>
      <w:r w:rsidRPr="00E46AC0">
        <w:rPr>
          <w:rFonts w:eastAsia="Times New Roman" w:cs="Times New Roman"/>
          <w:b/>
          <w:bCs/>
          <w:rtl/>
          <w:lang w:eastAsia="de-DE"/>
        </w:rPr>
        <w:t>וְאִם־הָפֵר יָפֵר אֹתָם אַחֲרֵי שָׁמְעוֹ</w:t>
      </w:r>
      <w:r w:rsidRPr="00E46AC0">
        <w:rPr>
          <w:rFonts w:eastAsia="Times New Roman" w:cs="Times New Roman"/>
          <w:rtl/>
          <w:lang w:eastAsia="de-DE"/>
        </w:rPr>
        <w:t xml:space="preserve"> </w:t>
      </w:r>
      <w:r w:rsidRPr="00E46AC0">
        <w:rPr>
          <w:rFonts w:eastAsia="Times New Roman" w:cs="Times New Roman"/>
          <w:lang w:eastAsia="de-DE"/>
        </w:rPr>
        <w:t xml:space="preserve">ist die Bedingung. </w:t>
      </w:r>
      <w:r w:rsidRPr="00E46AC0">
        <w:rPr>
          <w:rFonts w:eastAsia="Times New Roman" w:cs="Times New Roman"/>
          <w:b/>
          <w:bCs/>
          <w:rtl/>
          <w:lang w:eastAsia="de-DE"/>
        </w:rPr>
        <w:t>וְאִם</w:t>
      </w:r>
      <w:r w:rsidRPr="00E46AC0">
        <w:rPr>
          <w:rFonts w:eastAsia="Times New Roman" w:cs="Times New Roman"/>
          <w:rtl/>
          <w:lang w:eastAsia="de-DE"/>
        </w:rPr>
        <w:t xml:space="preserve"> </w:t>
      </w:r>
      <w:r w:rsidRPr="00E46AC0">
        <w:rPr>
          <w:rFonts w:eastAsia="Times New Roman" w:cs="Times New Roman"/>
          <w:lang w:eastAsia="de-DE"/>
        </w:rPr>
        <w:t xml:space="preserve">(„wenn aber"), </w:t>
      </w:r>
      <w:r w:rsidRPr="00E46AC0">
        <w:rPr>
          <w:rFonts w:eastAsia="Times New Roman" w:cs="Times New Roman"/>
          <w:b/>
          <w:bCs/>
          <w:rtl/>
          <w:lang w:eastAsia="de-DE"/>
        </w:rPr>
        <w:t>הָפֵר יָפֵר</w:t>
      </w:r>
      <w:r w:rsidRPr="00E46AC0">
        <w:rPr>
          <w:rFonts w:eastAsia="Times New Roman" w:cs="Times New Roman"/>
          <w:rtl/>
          <w:lang w:eastAsia="de-DE"/>
        </w:rPr>
        <w:t xml:space="preserve"> </w:t>
      </w:r>
      <w:r w:rsidRPr="00E46AC0">
        <w:rPr>
          <w:rFonts w:eastAsia="Times New Roman" w:cs="Times New Roman"/>
          <w:lang w:eastAsia="de-DE"/>
        </w:rPr>
        <w:t xml:space="preserve">ist wieder die Verstärkungskonstruktion: Hiphil Infinitiv Absolutus und Hiphil Imperfekt 3. Person maskulin Singular von </w:t>
      </w:r>
      <w:r w:rsidRPr="00E46AC0">
        <w:rPr>
          <w:rFonts w:eastAsia="Times New Roman" w:cs="Times New Roman"/>
          <w:b/>
          <w:bCs/>
          <w:rtl/>
          <w:lang w:eastAsia="de-DE"/>
        </w:rPr>
        <w:t>פרר</w:t>
      </w:r>
      <w:r w:rsidRPr="00E46AC0">
        <w:rPr>
          <w:rFonts w:eastAsia="Times New Roman" w:cs="Times New Roman"/>
          <w:rtl/>
          <w:lang w:eastAsia="de-DE"/>
        </w:rPr>
        <w:t xml:space="preserve"> </w:t>
      </w:r>
      <w:r w:rsidRPr="00E46AC0">
        <w:rPr>
          <w:rFonts w:eastAsia="Times New Roman" w:cs="Times New Roman"/>
          <w:lang w:eastAsia="de-DE"/>
        </w:rPr>
        <w:t xml:space="preserve">(„gewiss aufheben"), </w:t>
      </w:r>
      <w:r w:rsidRPr="00E46AC0">
        <w:rPr>
          <w:rFonts w:eastAsia="Times New Roman" w:cs="Times New Roman"/>
          <w:b/>
          <w:bCs/>
          <w:rtl/>
          <w:lang w:eastAsia="de-DE"/>
        </w:rPr>
        <w:t>אֹתָם</w:t>
      </w:r>
      <w:r w:rsidRPr="00E46AC0">
        <w:rPr>
          <w:rFonts w:eastAsia="Times New Roman" w:cs="Times New Roman"/>
          <w:rtl/>
          <w:lang w:eastAsia="de-DE"/>
        </w:rPr>
        <w:t xml:space="preserve"> </w:t>
      </w:r>
      <w:r w:rsidRPr="00E46AC0">
        <w:rPr>
          <w:rFonts w:eastAsia="Times New Roman" w:cs="Times New Roman"/>
          <w:lang w:eastAsia="de-DE"/>
        </w:rPr>
        <w:t xml:space="preserve">(Akkusativpartikel mit Suffix 3. Person maskulin Plural „sie", bezieht sich auf die Gelübde), </w:t>
      </w:r>
      <w:r w:rsidRPr="00E46AC0">
        <w:rPr>
          <w:rFonts w:eastAsia="Times New Roman" w:cs="Times New Roman"/>
          <w:b/>
          <w:bCs/>
          <w:rtl/>
          <w:lang w:eastAsia="de-DE"/>
        </w:rPr>
        <w:t>אַחֲרֵי שָׁמְעוֹ</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אַחֲרֵי</w:t>
      </w:r>
      <w:r w:rsidRPr="00E46AC0">
        <w:rPr>
          <w:rFonts w:eastAsia="Times New Roman" w:cs="Times New Roman"/>
          <w:rtl/>
          <w:lang w:eastAsia="de-DE"/>
        </w:rPr>
        <w:t xml:space="preserve"> </w:t>
      </w:r>
      <w:r w:rsidRPr="00E46AC0">
        <w:rPr>
          <w:rFonts w:eastAsia="Times New Roman" w:cs="Times New Roman"/>
          <w:lang w:eastAsia="de-DE"/>
        </w:rPr>
        <w:t xml:space="preserve">„nach, nachdem" mit Qal Infinitiv </w:t>
      </w:r>
      <w:r w:rsidR="00E031B3">
        <w:rPr>
          <w:rFonts w:eastAsia="Times New Roman" w:cs="Times New Roman"/>
          <w:lang w:eastAsia="de-DE"/>
        </w:rPr>
        <w:t>Constructus von</w:t>
      </w:r>
      <w:r w:rsidRPr="00E46AC0">
        <w:rPr>
          <w:rFonts w:eastAsia="Times New Roman" w:cs="Times New Roman"/>
          <w:lang w:eastAsia="de-DE"/>
        </w:rPr>
        <w:t xml:space="preserve"> </w:t>
      </w:r>
      <w:r w:rsidRPr="00E46AC0">
        <w:rPr>
          <w:rFonts w:eastAsia="Times New Roman" w:cs="Times New Roman"/>
          <w:b/>
          <w:bCs/>
          <w:rtl/>
          <w:lang w:eastAsia="de-DE"/>
        </w:rPr>
        <w:t>שׁמע</w:t>
      </w:r>
      <w:r w:rsidRPr="00E46AC0">
        <w:rPr>
          <w:rFonts w:eastAsia="Times New Roman" w:cs="Times New Roman"/>
          <w:rtl/>
          <w:lang w:eastAsia="de-DE"/>
        </w:rPr>
        <w:t xml:space="preserve"> </w:t>
      </w:r>
      <w:r w:rsidRPr="00E46AC0">
        <w:rPr>
          <w:rFonts w:eastAsia="Times New Roman" w:cs="Times New Roman"/>
          <w:lang w:eastAsia="de-DE"/>
        </w:rPr>
        <w:t xml:space="preserve">und Suffix „nachdem er gehört hat"). Die entscheidende Wendung ist </w:t>
      </w:r>
      <w:r w:rsidRPr="00E46AC0">
        <w:rPr>
          <w:rFonts w:eastAsia="Times New Roman" w:cs="Times New Roman"/>
          <w:b/>
          <w:bCs/>
          <w:rtl/>
          <w:lang w:eastAsia="de-DE"/>
        </w:rPr>
        <w:t>אַחֲרֵי</w:t>
      </w:r>
      <w:r w:rsidRPr="00E46AC0">
        <w:rPr>
          <w:rFonts w:eastAsia="Times New Roman" w:cs="Times New Roman"/>
          <w:rtl/>
          <w:lang w:eastAsia="de-DE"/>
        </w:rPr>
        <w:t xml:space="preserve"> </w:t>
      </w:r>
      <w:r w:rsidRPr="00E46AC0">
        <w:rPr>
          <w:rFonts w:eastAsia="Times New Roman" w:cs="Times New Roman"/>
          <w:lang w:eastAsia="de-DE"/>
        </w:rPr>
        <w:t>„nach": nicht am Tag des Hörens, sondern später.</w:t>
      </w:r>
    </w:p>
    <w:p w14:paraId="5738EAEF"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וְנָשָׂא אֶת־עֲוֹנָהּ</w:t>
      </w:r>
      <w:r w:rsidRPr="00E46AC0">
        <w:rPr>
          <w:rFonts w:eastAsia="Times New Roman" w:cs="Times New Roman"/>
          <w:rtl/>
          <w:lang w:eastAsia="de-DE"/>
        </w:rPr>
        <w:t xml:space="preserve"> </w:t>
      </w:r>
      <w:r w:rsidRPr="00E46AC0">
        <w:rPr>
          <w:rFonts w:eastAsia="Times New Roman" w:cs="Times New Roman"/>
          <w:lang w:eastAsia="de-DE"/>
        </w:rPr>
        <w:t xml:space="preserve">ist die schwerwiegende Rechtsfolge. </w:t>
      </w:r>
      <w:r w:rsidRPr="00E46AC0">
        <w:rPr>
          <w:rFonts w:eastAsia="Times New Roman" w:cs="Times New Roman"/>
          <w:b/>
          <w:bCs/>
          <w:rtl/>
          <w:lang w:eastAsia="de-DE"/>
        </w:rPr>
        <w:t>וְנָשָׂא</w:t>
      </w:r>
      <w:r w:rsidRPr="00E46AC0">
        <w:rPr>
          <w:rFonts w:eastAsia="Times New Roman" w:cs="Times New Roman"/>
          <w:rtl/>
          <w:lang w:eastAsia="de-DE"/>
        </w:rPr>
        <w:t xml:space="preserve"> </w:t>
      </w:r>
      <w:r w:rsidRPr="00E46AC0">
        <w:rPr>
          <w:rFonts w:eastAsia="Times New Roman" w:cs="Times New Roman"/>
          <w:lang w:eastAsia="de-DE"/>
        </w:rPr>
        <w:t xml:space="preserve">(Konjunktion mit Qal Perfekt 3. Person maskulin Singular mit Waw consecutivum von </w:t>
      </w:r>
      <w:r w:rsidRPr="00E46AC0">
        <w:rPr>
          <w:rFonts w:eastAsia="Times New Roman" w:cs="Times New Roman"/>
          <w:b/>
          <w:bCs/>
          <w:rtl/>
          <w:lang w:eastAsia="de-DE"/>
        </w:rPr>
        <w:t>נשׂא</w:t>
      </w:r>
      <w:r w:rsidRPr="00E46AC0">
        <w:rPr>
          <w:rFonts w:eastAsia="Times New Roman" w:cs="Times New Roman"/>
          <w:rtl/>
          <w:lang w:eastAsia="de-DE"/>
        </w:rPr>
        <w:t xml:space="preserve"> </w:t>
      </w:r>
      <w:r w:rsidRPr="00E46AC0">
        <w:rPr>
          <w:rFonts w:eastAsia="Times New Roman" w:cs="Times New Roman"/>
          <w:lang w:eastAsia="de-DE"/>
        </w:rPr>
        <w:t xml:space="preserve">„tragen, erheben"), </w:t>
      </w:r>
      <w:r w:rsidRPr="00E46AC0">
        <w:rPr>
          <w:rFonts w:eastAsia="Times New Roman" w:cs="Times New Roman"/>
          <w:b/>
          <w:bCs/>
          <w:rtl/>
          <w:lang w:eastAsia="de-DE"/>
        </w:rPr>
        <w:t>אֶת־עֲוֹנָהּ</w:t>
      </w:r>
      <w:r w:rsidRPr="00E46AC0">
        <w:rPr>
          <w:rFonts w:eastAsia="Times New Roman" w:cs="Times New Roman"/>
          <w:rtl/>
          <w:lang w:eastAsia="de-DE"/>
        </w:rPr>
        <w:t xml:space="preserve"> </w:t>
      </w:r>
      <w:r w:rsidRPr="00E46AC0">
        <w:rPr>
          <w:rFonts w:eastAsia="Times New Roman" w:cs="Times New Roman"/>
          <w:lang w:eastAsia="de-DE"/>
        </w:rPr>
        <w:t xml:space="preserve">(Akkusativpartikel mit </w:t>
      </w:r>
      <w:r w:rsidRPr="00E46AC0">
        <w:rPr>
          <w:rFonts w:eastAsia="Times New Roman" w:cs="Times New Roman"/>
          <w:b/>
          <w:bCs/>
          <w:rtl/>
          <w:lang w:eastAsia="de-DE"/>
        </w:rPr>
        <w:t>עָוֹן</w:t>
      </w:r>
      <w:r w:rsidRPr="00E46AC0">
        <w:rPr>
          <w:rFonts w:eastAsia="Times New Roman" w:cs="Times New Roman"/>
          <w:rtl/>
          <w:lang w:eastAsia="de-DE"/>
        </w:rPr>
        <w:t xml:space="preserve"> </w:t>
      </w:r>
      <w:r w:rsidRPr="00E46AC0">
        <w:rPr>
          <w:rFonts w:eastAsia="Times New Roman" w:cs="Times New Roman"/>
          <w:lang w:eastAsia="de-DE"/>
        </w:rPr>
        <w:t xml:space="preserve">„Schuld, Sünde, Verfehlung" und Suffix 3. Person feminin Singular „ihre Schuld"). Die Formulierung </w:t>
      </w:r>
      <w:r w:rsidRPr="00E46AC0">
        <w:rPr>
          <w:rFonts w:eastAsia="Times New Roman" w:cs="Times New Roman"/>
          <w:b/>
          <w:bCs/>
          <w:rtl/>
          <w:lang w:eastAsia="de-DE"/>
        </w:rPr>
        <w:t>נשׂא עָוֹן</w:t>
      </w:r>
      <w:r w:rsidRPr="00E46AC0">
        <w:rPr>
          <w:rFonts w:eastAsia="Times New Roman" w:cs="Times New Roman"/>
          <w:rtl/>
          <w:lang w:eastAsia="de-DE"/>
        </w:rPr>
        <w:t xml:space="preserve"> </w:t>
      </w:r>
      <w:r w:rsidRPr="00E46AC0">
        <w:rPr>
          <w:rFonts w:eastAsia="Times New Roman" w:cs="Times New Roman"/>
          <w:lang w:eastAsia="de-DE"/>
        </w:rPr>
        <w:t>bedeutet „Schuld tragen, die Konsequenzen der Sünde tragen" (vgl. Lev 5,1; 7,18; 17,16; 19,8). Wenn der Ehemann nach dem ersten Tag die Gelübde aufhebt, ist die Frau bereits durch sein ursprüngliches Schweigen gebunden - die Aufhebung ist ungültig, und er trägt die Schuld für ihre Unfähigkeit, das Gelübde zu erfüllen.</w:t>
      </w:r>
    </w:p>
    <w:p w14:paraId="5C23F70C" w14:textId="77777777" w:rsidR="006B51A1" w:rsidRDefault="006B51A1" w:rsidP="00E46AC0">
      <w:pPr>
        <w:spacing w:before="100" w:beforeAutospacing="1" w:after="100" w:afterAutospacing="1" w:line="240" w:lineRule="auto"/>
        <w:rPr>
          <w:rFonts w:eastAsia="Times New Roman" w:cs="Times New Roman"/>
          <w:lang w:eastAsia="de-DE"/>
        </w:rPr>
      </w:pPr>
      <w:r>
        <w:rPr>
          <w:rStyle w:val="Fett"/>
        </w:rPr>
        <w:t>Vers 16:</w:t>
      </w:r>
      <w:r>
        <w:t xml:space="preserve"> </w:t>
      </w:r>
      <w:r>
        <w:rPr>
          <w:rStyle w:val="Fett"/>
        </w:rPr>
        <w:t>Die LXX</w:t>
      </w:r>
      <w:r>
        <w:t xml:space="preserve"> übersetzt „</w:t>
      </w:r>
      <w:r w:rsidRPr="006B51A1">
        <w:rPr>
          <w:b/>
          <w:bCs/>
          <w:rtl/>
        </w:rPr>
        <w:t>וְנָשָׂא</w:t>
      </w:r>
      <w:r>
        <w:rPr>
          <w:rtl/>
        </w:rPr>
        <w:t xml:space="preserve"> </w:t>
      </w:r>
      <w:r w:rsidRPr="006B51A1">
        <w:rPr>
          <w:b/>
          <w:bCs/>
          <w:rtl/>
        </w:rPr>
        <w:t>אֶת־עֲוֹנָהּ</w:t>
      </w:r>
      <w:r>
        <w:t>" (und er trägt ihre Schuld) mit „καὶ λήμψεται τὴν ἁμαρτίαν αὐτοῦ" (und er wird seine Sünde auf sich nehmen), wobei interessanterweise „seine" statt „ihre" Sünde steht.</w:t>
      </w:r>
      <w:r w:rsidRPr="00E46AC0">
        <w:rPr>
          <w:rFonts w:eastAsia="Times New Roman" w:cs="Times New Roman"/>
          <w:lang w:eastAsia="de-DE"/>
        </w:rPr>
        <w:t xml:space="preserve"> </w:t>
      </w:r>
    </w:p>
    <w:p w14:paraId="4D6D5150" w14:textId="69A438CD"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Die Satzstruktur zeigt einen Konditionalsatz mit Verstärkungskonstruktion und temporaler Bestimmung, gefolgt von einer drastischen Rechtsfolge.</w:t>
      </w:r>
    </w:p>
    <w:p w14:paraId="75D55BA7"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Der Vers warnt eindringlich vor unüberlegtem Handeln: Ein Ehemann, der am Tag des Hörens schweigt (und damit die Gelübde bestätigt), aber später versucht, sie aufzuheben, trägt selbst die Schuld für die Nichterfüllung - ein Prinzip, das Verantwortlichkeit und die Endgültigkeit der stillschweigenden Zustimmung betont.</w:t>
      </w:r>
    </w:p>
    <w:p w14:paraId="1529FD99" w14:textId="77777777" w:rsidR="00E46AC0" w:rsidRPr="00E46AC0" w:rsidRDefault="00E46AC0" w:rsidP="00E46AC0">
      <w:pPr>
        <w:spacing w:before="100" w:beforeAutospacing="1" w:after="100" w:afterAutospacing="1" w:line="240" w:lineRule="auto"/>
        <w:outlineLvl w:val="0"/>
        <w:rPr>
          <w:rFonts w:eastAsia="Times New Roman" w:cs="Times New Roman"/>
          <w:b/>
          <w:bCs/>
          <w:kern w:val="36"/>
          <w:sz w:val="48"/>
          <w:szCs w:val="48"/>
          <w:lang w:eastAsia="de-DE"/>
        </w:rPr>
      </w:pPr>
      <w:r w:rsidRPr="00E46AC0">
        <w:rPr>
          <w:rFonts w:eastAsia="Times New Roman" w:cs="Times New Roman"/>
          <w:b/>
          <w:bCs/>
          <w:kern w:val="36"/>
          <w:sz w:val="48"/>
          <w:szCs w:val="48"/>
          <w:lang w:eastAsia="de-DE"/>
        </w:rPr>
        <w:t>Numeri 30,17</w:t>
      </w:r>
    </w:p>
    <w:p w14:paraId="06F287AA"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lastRenderedPageBreak/>
        <w:t>Hebräisch:</w:t>
      </w:r>
      <w:r w:rsidRPr="00E46AC0">
        <w:rPr>
          <w:rFonts w:eastAsia="Times New Roman" w:cs="Times New Roman"/>
          <w:lang w:eastAsia="de-DE"/>
        </w:rPr>
        <w:t xml:space="preserve"> </w:t>
      </w:r>
      <w:r w:rsidRPr="00E46AC0">
        <w:rPr>
          <w:rFonts w:eastAsia="Times New Roman" w:cs="Times New Roman"/>
          <w:rtl/>
          <w:lang w:eastAsia="de-DE"/>
        </w:rPr>
        <w:t>אֵ֣לֶּה הַֽחֻקִּ֗ים אֲשֶׁ֨ר צִוָּ֤ה יְהוָה֙ אֶת־מֹשֶׁ֔ה בֵּ֥ין אִ֖ישׁ לְאִשְׁתּוֹ֑ בֵּֽין־אָ֣ב לְבִתּוֹ֔ בִּנְעֻרֶ֖יהָ בֵּ֥ית אָבִֽיהָ׃</w:t>
      </w:r>
    </w:p>
    <w:p w14:paraId="214B3743"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Deutsch:</w:t>
      </w:r>
      <w:r w:rsidRPr="00E46AC0">
        <w:rPr>
          <w:rFonts w:eastAsia="Times New Roman" w:cs="Times New Roman"/>
          <w:lang w:eastAsia="de-DE"/>
        </w:rPr>
        <w:t xml:space="preserve"> Das sind die Satzungen, die der Ewige dem Mosche geboten hat, zwischen einem Mann und seiner Frau, zwischen einem Vater und seiner Tochter in ihrer Jugend, im Haus ihres Vaters.</w:t>
      </w:r>
    </w:p>
    <w:p w14:paraId="5D93C926"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4C63A759">
          <v:rect id="_x0000_i1944" style="width:0;height:1.5pt" o:hralign="center" o:hrstd="t" o:hr="t" fillcolor="#a0a0a0" stroked="f"/>
        </w:pict>
      </w:r>
    </w:p>
    <w:p w14:paraId="09989F69"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Kommentar:</w:t>
      </w:r>
      <w:r w:rsidRPr="00E46AC0">
        <w:rPr>
          <w:rFonts w:eastAsia="Times New Roman" w:cs="Times New Roman"/>
          <w:lang w:eastAsia="de-DE"/>
        </w:rPr>
        <w:t xml:space="preserve"> Der Vers schließt das Gelübdekapitel ab. </w:t>
      </w:r>
      <w:r w:rsidRPr="00E46AC0">
        <w:rPr>
          <w:rFonts w:eastAsia="Times New Roman" w:cs="Times New Roman"/>
          <w:b/>
          <w:bCs/>
          <w:rtl/>
          <w:lang w:eastAsia="de-DE"/>
        </w:rPr>
        <w:t>אֵלֶּה הַחֻקִּים אֲשֶׁר צִוָּה יהוה אֶת־מֹשֶׁה</w:t>
      </w:r>
      <w:r w:rsidRPr="00E46AC0">
        <w:rPr>
          <w:rFonts w:eastAsia="Times New Roman" w:cs="Times New Roman"/>
          <w:rtl/>
          <w:lang w:eastAsia="de-DE"/>
        </w:rPr>
        <w:t xml:space="preserve"> </w:t>
      </w:r>
      <w:r w:rsidRPr="00E46AC0">
        <w:rPr>
          <w:rFonts w:eastAsia="Times New Roman" w:cs="Times New Roman"/>
          <w:lang w:eastAsia="de-DE"/>
        </w:rPr>
        <w:t xml:space="preserve">ist die Abschlussformel. </w:t>
      </w:r>
      <w:r w:rsidRPr="00E46AC0">
        <w:rPr>
          <w:rFonts w:eastAsia="Times New Roman" w:cs="Times New Roman"/>
          <w:b/>
          <w:bCs/>
          <w:rtl/>
          <w:lang w:eastAsia="de-DE"/>
        </w:rPr>
        <w:t>אֵלֶּה</w:t>
      </w:r>
      <w:r w:rsidRPr="00E46AC0">
        <w:rPr>
          <w:rFonts w:eastAsia="Times New Roman" w:cs="Times New Roman"/>
          <w:rtl/>
          <w:lang w:eastAsia="de-DE"/>
        </w:rPr>
        <w:t xml:space="preserve"> </w:t>
      </w:r>
      <w:r w:rsidRPr="00E46AC0">
        <w:rPr>
          <w:rFonts w:eastAsia="Times New Roman" w:cs="Times New Roman"/>
          <w:lang w:eastAsia="de-DE"/>
        </w:rPr>
        <w:t xml:space="preserve">(Demonstrativpronomen Plural „diese"), </w:t>
      </w:r>
      <w:r w:rsidRPr="00E46AC0">
        <w:rPr>
          <w:rFonts w:eastAsia="Times New Roman" w:cs="Times New Roman"/>
          <w:b/>
          <w:bCs/>
          <w:rtl/>
          <w:lang w:eastAsia="de-DE"/>
        </w:rPr>
        <w:t>הַחֻקִּים</w:t>
      </w:r>
      <w:r w:rsidRPr="00E46AC0">
        <w:rPr>
          <w:rFonts w:eastAsia="Times New Roman" w:cs="Times New Roman"/>
          <w:rtl/>
          <w:lang w:eastAsia="de-DE"/>
        </w:rPr>
        <w:t xml:space="preserve"> </w:t>
      </w:r>
      <w:r w:rsidRPr="00E46AC0">
        <w:rPr>
          <w:rFonts w:eastAsia="Times New Roman" w:cs="Times New Roman"/>
          <w:lang w:eastAsia="de-DE"/>
        </w:rPr>
        <w:t xml:space="preserve">(Plural von </w:t>
      </w:r>
      <w:r w:rsidRPr="00E46AC0">
        <w:rPr>
          <w:rFonts w:eastAsia="Times New Roman" w:cs="Times New Roman"/>
          <w:b/>
          <w:bCs/>
          <w:rtl/>
          <w:lang w:eastAsia="de-DE"/>
        </w:rPr>
        <w:t>חֹק</w:t>
      </w:r>
      <w:r w:rsidRPr="00E46AC0">
        <w:rPr>
          <w:rFonts w:eastAsia="Times New Roman" w:cs="Times New Roman"/>
          <w:rtl/>
          <w:lang w:eastAsia="de-DE"/>
        </w:rPr>
        <w:t xml:space="preserve"> </w:t>
      </w:r>
      <w:r w:rsidRPr="00E46AC0">
        <w:rPr>
          <w:rFonts w:eastAsia="Times New Roman" w:cs="Times New Roman"/>
          <w:lang w:eastAsia="de-DE"/>
        </w:rPr>
        <w:t xml:space="preserve">„Satzung, Verordnung, Statute" mit Artikel), </w:t>
      </w:r>
      <w:r w:rsidRPr="00E46AC0">
        <w:rPr>
          <w:rFonts w:eastAsia="Times New Roman" w:cs="Times New Roman"/>
          <w:b/>
          <w:bCs/>
          <w:rtl/>
          <w:lang w:eastAsia="de-DE"/>
        </w:rPr>
        <w:t>אֲשֶׁר צִוָּה יהוה אֶת־מֹשֶׁה</w:t>
      </w:r>
      <w:r w:rsidRPr="00E46AC0">
        <w:rPr>
          <w:rFonts w:eastAsia="Times New Roman" w:cs="Times New Roman"/>
          <w:rtl/>
          <w:lang w:eastAsia="de-DE"/>
        </w:rPr>
        <w:t xml:space="preserve"> </w:t>
      </w:r>
      <w:r w:rsidRPr="00E46AC0">
        <w:rPr>
          <w:rFonts w:eastAsia="Times New Roman" w:cs="Times New Roman"/>
          <w:lang w:eastAsia="de-DE"/>
        </w:rPr>
        <w:t xml:space="preserve">(Relativsatz: Relativpronomen mit Piel Perfekt 3. Person maskulin Singular von </w:t>
      </w:r>
      <w:r w:rsidRPr="00E46AC0">
        <w:rPr>
          <w:rFonts w:eastAsia="Times New Roman" w:cs="Times New Roman"/>
          <w:b/>
          <w:bCs/>
          <w:rtl/>
          <w:lang w:eastAsia="de-DE"/>
        </w:rPr>
        <w:t>צוה</w:t>
      </w:r>
      <w:r w:rsidRPr="00E46AC0">
        <w:rPr>
          <w:rFonts w:eastAsia="Times New Roman" w:cs="Times New Roman"/>
          <w:rtl/>
          <w:lang w:eastAsia="de-DE"/>
        </w:rPr>
        <w:t xml:space="preserve"> </w:t>
      </w:r>
      <w:r w:rsidRPr="00E46AC0">
        <w:rPr>
          <w:rFonts w:eastAsia="Times New Roman" w:cs="Times New Roman"/>
          <w:lang w:eastAsia="de-DE"/>
        </w:rPr>
        <w:t xml:space="preserve">„befehlen", Tetragramm als Subjekt und Akkusativpartikel mit </w:t>
      </w:r>
      <w:r w:rsidRPr="00E46AC0">
        <w:rPr>
          <w:rFonts w:eastAsia="Times New Roman" w:cs="Times New Roman"/>
          <w:b/>
          <w:bCs/>
          <w:rtl/>
          <w:lang w:eastAsia="de-DE"/>
        </w:rPr>
        <w:t>מֹשֶׁה</w:t>
      </w:r>
      <w:r w:rsidRPr="00E46AC0">
        <w:rPr>
          <w:rFonts w:eastAsia="Times New Roman" w:cs="Times New Roman"/>
          <w:rtl/>
          <w:lang w:eastAsia="de-DE"/>
        </w:rPr>
        <w:t xml:space="preserve"> </w:t>
      </w:r>
      <w:r w:rsidRPr="00E46AC0">
        <w:rPr>
          <w:rFonts w:eastAsia="Times New Roman" w:cs="Times New Roman"/>
          <w:lang w:eastAsia="de-DE"/>
        </w:rPr>
        <w:t>„die der Ewige Mose geboten hat").</w:t>
      </w:r>
    </w:p>
    <w:p w14:paraId="3F282223" w14:textId="1CA95FB3"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rtl/>
          <w:lang w:eastAsia="de-DE"/>
        </w:rPr>
        <w:t>בֵּין אִישׁ לְאִשְׁתּוֹ בֵּין־אָב לְבִתּוֹ בִּנְעֻרֶיהָ בֵּית אָבִיהָ</w:t>
      </w:r>
      <w:r w:rsidRPr="00E46AC0">
        <w:rPr>
          <w:rFonts w:eastAsia="Times New Roman" w:cs="Times New Roman"/>
          <w:rtl/>
          <w:lang w:eastAsia="de-DE"/>
        </w:rPr>
        <w:t xml:space="preserve"> </w:t>
      </w:r>
      <w:r w:rsidRPr="00E46AC0">
        <w:rPr>
          <w:rFonts w:eastAsia="Times New Roman" w:cs="Times New Roman"/>
          <w:lang w:eastAsia="de-DE"/>
        </w:rPr>
        <w:t xml:space="preserve">definiert den Geltungsbereich. </w:t>
      </w:r>
      <w:r w:rsidRPr="00E46AC0">
        <w:rPr>
          <w:rFonts w:eastAsia="Times New Roman" w:cs="Times New Roman"/>
          <w:b/>
          <w:bCs/>
          <w:rtl/>
          <w:lang w:eastAsia="de-DE"/>
        </w:rPr>
        <w:t>בֵּין</w:t>
      </w:r>
      <w:r w:rsidRPr="00E46AC0">
        <w:rPr>
          <w:rFonts w:eastAsia="Times New Roman" w:cs="Times New Roman"/>
          <w:rtl/>
          <w:lang w:eastAsia="de-DE"/>
        </w:rPr>
        <w:t xml:space="preserve"> </w:t>
      </w:r>
      <w:r w:rsidRPr="00E46AC0">
        <w:rPr>
          <w:rFonts w:eastAsia="Times New Roman" w:cs="Times New Roman"/>
          <w:lang w:eastAsia="de-DE"/>
        </w:rPr>
        <w:t xml:space="preserve">(Präposition „zwischen"), </w:t>
      </w:r>
      <w:r w:rsidRPr="00E46AC0">
        <w:rPr>
          <w:rFonts w:eastAsia="Times New Roman" w:cs="Times New Roman"/>
          <w:b/>
          <w:bCs/>
          <w:rtl/>
          <w:lang w:eastAsia="de-DE"/>
        </w:rPr>
        <w:t>אִישׁ</w:t>
      </w:r>
      <w:r w:rsidRPr="00E46AC0">
        <w:rPr>
          <w:rFonts w:eastAsia="Times New Roman" w:cs="Times New Roman"/>
          <w:rtl/>
          <w:lang w:eastAsia="de-DE"/>
        </w:rPr>
        <w:t xml:space="preserve"> </w:t>
      </w:r>
      <w:r w:rsidRPr="00E46AC0">
        <w:rPr>
          <w:rFonts w:eastAsia="Times New Roman" w:cs="Times New Roman"/>
          <w:lang w:eastAsia="de-DE"/>
        </w:rPr>
        <w:t xml:space="preserve">(„Mann"), </w:t>
      </w:r>
      <w:r w:rsidRPr="00E46AC0">
        <w:rPr>
          <w:rFonts w:eastAsia="Times New Roman" w:cs="Times New Roman"/>
          <w:b/>
          <w:bCs/>
          <w:rtl/>
          <w:lang w:eastAsia="de-DE"/>
        </w:rPr>
        <w:t>לְאִשְׁתּוֹ</w:t>
      </w:r>
      <w:r w:rsidRPr="00E46AC0">
        <w:rPr>
          <w:rFonts w:eastAsia="Times New Roman" w:cs="Times New Roman"/>
          <w:rtl/>
          <w:lang w:eastAsia="de-DE"/>
        </w:rPr>
        <w:t xml:space="preserve"> </w:t>
      </w:r>
      <w:r w:rsidRPr="00E46AC0">
        <w:rPr>
          <w:rFonts w:eastAsia="Times New Roman" w:cs="Times New Roman"/>
          <w:lang w:eastAsia="de-DE"/>
        </w:rPr>
        <w:t xml:space="preserve">(Präposition </w:t>
      </w:r>
      <w:r w:rsidRPr="00E46AC0">
        <w:rPr>
          <w:rFonts w:eastAsia="Times New Roman" w:cs="Times New Roman"/>
          <w:b/>
          <w:bCs/>
          <w:rtl/>
          <w:lang w:eastAsia="de-DE"/>
        </w:rPr>
        <w:t>לְ</w:t>
      </w:r>
      <w:r w:rsidRPr="00E46AC0">
        <w:rPr>
          <w:rFonts w:eastAsia="Times New Roman" w:cs="Times New Roman"/>
          <w:rtl/>
          <w:lang w:eastAsia="de-DE"/>
        </w:rPr>
        <w:t xml:space="preserve"> </w:t>
      </w:r>
      <w:r w:rsidRPr="00E46AC0">
        <w:rPr>
          <w:rFonts w:eastAsia="Times New Roman" w:cs="Times New Roman"/>
          <w:lang w:eastAsia="de-DE"/>
        </w:rPr>
        <w:t xml:space="preserve">mit </w:t>
      </w:r>
      <w:r w:rsidRPr="00E46AC0">
        <w:rPr>
          <w:rFonts w:eastAsia="Times New Roman" w:cs="Times New Roman"/>
          <w:b/>
          <w:bCs/>
          <w:rtl/>
          <w:lang w:eastAsia="de-DE"/>
        </w:rPr>
        <w:t>אִשָּׁה</w:t>
      </w:r>
      <w:r w:rsidRPr="00E46AC0">
        <w:rPr>
          <w:rFonts w:eastAsia="Times New Roman" w:cs="Times New Roman"/>
          <w:rtl/>
          <w:lang w:eastAsia="de-DE"/>
        </w:rPr>
        <w:t xml:space="preserve"> </w:t>
      </w:r>
      <w:r w:rsidRPr="00E46AC0">
        <w:rPr>
          <w:rFonts w:eastAsia="Times New Roman" w:cs="Times New Roman"/>
          <w:lang w:eastAsia="de-DE"/>
        </w:rPr>
        <w:t xml:space="preserve">„Frau" und Suffix 3. Person maskulin Singular „seiner Frau"), </w:t>
      </w:r>
      <w:r w:rsidRPr="00E46AC0">
        <w:rPr>
          <w:rFonts w:eastAsia="Times New Roman" w:cs="Times New Roman"/>
          <w:b/>
          <w:bCs/>
          <w:rtl/>
          <w:lang w:eastAsia="de-DE"/>
        </w:rPr>
        <w:t>בֵּין־אָב לְבִתּוֹ</w:t>
      </w:r>
      <w:r w:rsidRPr="00E46AC0">
        <w:rPr>
          <w:rFonts w:eastAsia="Times New Roman" w:cs="Times New Roman"/>
          <w:rtl/>
          <w:lang w:eastAsia="de-DE"/>
        </w:rPr>
        <w:t xml:space="preserve"> </w:t>
      </w:r>
      <w:r w:rsidRPr="00E46AC0">
        <w:rPr>
          <w:rFonts w:eastAsia="Times New Roman" w:cs="Times New Roman"/>
          <w:lang w:eastAsia="de-DE"/>
        </w:rPr>
        <w:t xml:space="preserve">(wiederholte Präposition </w:t>
      </w:r>
      <w:r w:rsidRPr="00E46AC0">
        <w:rPr>
          <w:rFonts w:eastAsia="Times New Roman" w:cs="Times New Roman"/>
          <w:b/>
          <w:bCs/>
          <w:rtl/>
          <w:lang w:eastAsia="de-DE"/>
        </w:rPr>
        <w:t>בֵּין</w:t>
      </w:r>
      <w:r w:rsidRPr="00E46AC0">
        <w:rPr>
          <w:rFonts w:eastAsia="Times New Roman" w:cs="Times New Roman"/>
          <w:rtl/>
          <w:lang w:eastAsia="de-DE"/>
        </w:rPr>
        <w:t xml:space="preserve"> </w:t>
      </w:r>
      <w:r w:rsidRPr="00E46AC0">
        <w:rPr>
          <w:rFonts w:eastAsia="Times New Roman" w:cs="Times New Roman"/>
          <w:lang w:eastAsia="de-DE"/>
        </w:rPr>
        <w:t xml:space="preserve">mit </w:t>
      </w:r>
      <w:r w:rsidRPr="00E46AC0">
        <w:rPr>
          <w:rFonts w:eastAsia="Times New Roman" w:cs="Times New Roman"/>
          <w:b/>
          <w:bCs/>
          <w:rtl/>
          <w:lang w:eastAsia="de-DE"/>
        </w:rPr>
        <w:t>אָב</w:t>
      </w:r>
      <w:r w:rsidRPr="00E46AC0">
        <w:rPr>
          <w:rFonts w:eastAsia="Times New Roman" w:cs="Times New Roman"/>
          <w:rtl/>
          <w:lang w:eastAsia="de-DE"/>
        </w:rPr>
        <w:t xml:space="preserve"> </w:t>
      </w:r>
      <w:r w:rsidRPr="00E46AC0">
        <w:rPr>
          <w:rFonts w:eastAsia="Times New Roman" w:cs="Times New Roman"/>
          <w:lang w:eastAsia="de-DE"/>
        </w:rPr>
        <w:t xml:space="preserve">„Vater" und Präposition </w:t>
      </w:r>
      <w:r w:rsidRPr="00E46AC0">
        <w:rPr>
          <w:rFonts w:eastAsia="Times New Roman" w:cs="Times New Roman"/>
          <w:b/>
          <w:bCs/>
          <w:rtl/>
          <w:lang w:eastAsia="de-DE"/>
        </w:rPr>
        <w:t>לְ</w:t>
      </w:r>
      <w:r w:rsidRPr="00E46AC0">
        <w:rPr>
          <w:rFonts w:eastAsia="Times New Roman" w:cs="Times New Roman"/>
          <w:rtl/>
          <w:lang w:eastAsia="de-DE"/>
        </w:rPr>
        <w:t xml:space="preserve"> </w:t>
      </w:r>
      <w:r w:rsidRPr="00E46AC0">
        <w:rPr>
          <w:rFonts w:eastAsia="Times New Roman" w:cs="Times New Roman"/>
          <w:lang w:eastAsia="de-DE"/>
        </w:rPr>
        <w:t xml:space="preserve">mit </w:t>
      </w:r>
      <w:r w:rsidRPr="00E46AC0">
        <w:rPr>
          <w:rFonts w:eastAsia="Times New Roman" w:cs="Times New Roman"/>
          <w:b/>
          <w:bCs/>
          <w:rtl/>
          <w:lang w:eastAsia="de-DE"/>
        </w:rPr>
        <w:t>בַּת</w:t>
      </w:r>
      <w:r w:rsidRPr="00E46AC0">
        <w:rPr>
          <w:rFonts w:eastAsia="Times New Roman" w:cs="Times New Roman"/>
          <w:rtl/>
          <w:lang w:eastAsia="de-DE"/>
        </w:rPr>
        <w:t xml:space="preserve"> </w:t>
      </w:r>
      <w:r w:rsidRPr="00E46AC0">
        <w:rPr>
          <w:rFonts w:eastAsia="Times New Roman" w:cs="Times New Roman"/>
          <w:lang w:eastAsia="de-DE"/>
        </w:rPr>
        <w:t xml:space="preserve">„Tochter" und Suffix „zwischen einem Vater und seiner Tochter"), </w:t>
      </w:r>
      <w:r w:rsidRPr="00E46AC0">
        <w:rPr>
          <w:rFonts w:eastAsia="Times New Roman" w:cs="Times New Roman"/>
          <w:b/>
          <w:bCs/>
          <w:rtl/>
          <w:lang w:eastAsia="de-DE"/>
        </w:rPr>
        <w:t>בִּנְעֻרֶיהָ בֵּית אָבִיהָ</w:t>
      </w:r>
      <w:r w:rsidRPr="00E46AC0">
        <w:rPr>
          <w:rFonts w:eastAsia="Times New Roman" w:cs="Times New Roman"/>
          <w:rtl/>
          <w:lang w:eastAsia="de-DE"/>
        </w:rPr>
        <w:t xml:space="preserve"> </w:t>
      </w:r>
      <w:r w:rsidRPr="00E46AC0">
        <w:rPr>
          <w:rFonts w:eastAsia="Times New Roman" w:cs="Times New Roman"/>
          <w:lang w:eastAsia="de-DE"/>
        </w:rPr>
        <w:t xml:space="preserve">(zwei Lokalisierungen ohne Präposition: </w:t>
      </w:r>
      <w:r w:rsidRPr="00E46AC0">
        <w:rPr>
          <w:rFonts w:eastAsia="Times New Roman" w:cs="Times New Roman"/>
          <w:b/>
          <w:bCs/>
          <w:rtl/>
          <w:lang w:eastAsia="de-DE"/>
        </w:rPr>
        <w:t>בִּנְעֻרֶיהָ</w:t>
      </w:r>
      <w:r w:rsidRPr="00E46AC0">
        <w:rPr>
          <w:rFonts w:eastAsia="Times New Roman" w:cs="Times New Roman"/>
          <w:rtl/>
          <w:lang w:eastAsia="de-DE"/>
        </w:rPr>
        <w:t xml:space="preserve"> </w:t>
      </w:r>
      <w:r w:rsidRPr="00E46AC0">
        <w:rPr>
          <w:rFonts w:eastAsia="Times New Roman" w:cs="Times New Roman"/>
          <w:lang w:eastAsia="de-DE"/>
        </w:rPr>
        <w:t xml:space="preserve">„in ihrer Jugend" mit Präposition </w:t>
      </w:r>
      <w:r w:rsidRPr="00E46AC0">
        <w:rPr>
          <w:rFonts w:eastAsia="Times New Roman" w:cs="Times New Roman"/>
          <w:b/>
          <w:bCs/>
          <w:rtl/>
          <w:lang w:eastAsia="de-DE"/>
        </w:rPr>
        <w:t>בְ</w:t>
      </w:r>
      <w:r w:rsidRPr="00E46AC0">
        <w:rPr>
          <w:rFonts w:eastAsia="Times New Roman" w:cs="Times New Roman"/>
          <w:rtl/>
          <w:lang w:eastAsia="de-DE"/>
        </w:rPr>
        <w:t xml:space="preserve"> </w:t>
      </w:r>
      <w:r w:rsidRPr="00E46AC0">
        <w:rPr>
          <w:rFonts w:eastAsia="Times New Roman" w:cs="Times New Roman"/>
          <w:lang w:eastAsia="de-DE"/>
        </w:rPr>
        <w:t xml:space="preserve">und Plural von </w:t>
      </w:r>
      <w:r w:rsidRPr="00E46AC0">
        <w:rPr>
          <w:rFonts w:eastAsia="Times New Roman" w:cs="Times New Roman"/>
          <w:b/>
          <w:bCs/>
          <w:rtl/>
          <w:lang w:eastAsia="de-DE"/>
        </w:rPr>
        <w:t>נְעוּרִים</w:t>
      </w:r>
      <w:r w:rsidRPr="00E46AC0">
        <w:rPr>
          <w:rFonts w:eastAsia="Times New Roman" w:cs="Times New Roman"/>
          <w:rtl/>
          <w:lang w:eastAsia="de-DE"/>
        </w:rPr>
        <w:t xml:space="preserve"> </w:t>
      </w:r>
      <w:r w:rsidRPr="00E46AC0">
        <w:rPr>
          <w:rFonts w:eastAsia="Times New Roman" w:cs="Times New Roman"/>
          <w:lang w:eastAsia="de-DE"/>
        </w:rPr>
        <w:t xml:space="preserve">mit Suffix, </w:t>
      </w:r>
      <w:r w:rsidRPr="00E46AC0">
        <w:rPr>
          <w:rFonts w:eastAsia="Times New Roman" w:cs="Times New Roman"/>
          <w:b/>
          <w:bCs/>
          <w:rtl/>
          <w:lang w:eastAsia="de-DE"/>
        </w:rPr>
        <w:t>בֵּית אָבִיהָ</w:t>
      </w:r>
      <w:r w:rsidRPr="00E46AC0">
        <w:rPr>
          <w:rFonts w:eastAsia="Times New Roman" w:cs="Times New Roman"/>
          <w:rtl/>
          <w:lang w:eastAsia="de-DE"/>
        </w:rPr>
        <w:t xml:space="preserve"> </w:t>
      </w:r>
      <w:r w:rsidRPr="00E46AC0">
        <w:rPr>
          <w:rFonts w:eastAsia="Times New Roman" w:cs="Times New Roman"/>
          <w:lang w:eastAsia="de-DE"/>
        </w:rPr>
        <w:t xml:space="preserve">„Haus ihres Vaters" im Status constructus). Die zweifache </w:t>
      </w:r>
      <w:r w:rsidRPr="00E46AC0">
        <w:rPr>
          <w:rFonts w:eastAsia="Times New Roman" w:cs="Times New Roman"/>
          <w:b/>
          <w:bCs/>
          <w:rtl/>
          <w:lang w:eastAsia="de-DE"/>
        </w:rPr>
        <w:t>בֵּין</w:t>
      </w:r>
      <w:r w:rsidRPr="00E46AC0">
        <w:rPr>
          <w:rFonts w:eastAsia="Times New Roman" w:cs="Times New Roman"/>
          <w:lang w:eastAsia="de-DE"/>
        </w:rPr>
        <w:t>-</w:t>
      </w:r>
      <w:r w:rsidR="00F133EC">
        <w:rPr>
          <w:rFonts w:eastAsia="Times New Roman" w:cs="Times New Roman"/>
          <w:lang w:eastAsia="de-DE"/>
        </w:rPr>
        <w:t>Construct</w:t>
      </w:r>
      <w:r w:rsidRPr="00E46AC0">
        <w:rPr>
          <w:rFonts w:eastAsia="Times New Roman" w:cs="Times New Roman"/>
          <w:lang w:eastAsia="de-DE"/>
        </w:rPr>
        <w:t>ion definiert klar die zwei behandelten Rechtsbeziehungen.</w:t>
      </w:r>
    </w:p>
    <w:p w14:paraId="01B26BE4" w14:textId="4A3B7D46"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b/>
          <w:bCs/>
          <w:lang w:eastAsia="de-DE"/>
        </w:rPr>
        <w:t>Die LXX</w:t>
      </w:r>
      <w:r w:rsidRPr="00E46AC0">
        <w:rPr>
          <w:rFonts w:eastAsia="Times New Roman" w:cs="Times New Roman"/>
          <w:lang w:eastAsia="de-DE"/>
        </w:rPr>
        <w:t xml:space="preserve"> </w:t>
      </w:r>
      <w:r w:rsidR="006B51A1">
        <w:rPr>
          <w:rStyle w:val="Fett"/>
        </w:rPr>
        <w:t>Vers 17:</w:t>
      </w:r>
      <w:r w:rsidR="006B51A1">
        <w:t xml:space="preserve"> </w:t>
      </w:r>
      <w:r w:rsidR="006B51A1">
        <w:rPr>
          <w:rStyle w:val="Fett"/>
        </w:rPr>
        <w:t>Die LXX</w:t>
      </w:r>
      <w:r w:rsidR="006B51A1">
        <w:t xml:space="preserve"> übersetzt „</w:t>
      </w:r>
      <w:r w:rsidR="006B51A1" w:rsidRPr="006B51A1">
        <w:rPr>
          <w:b/>
          <w:bCs/>
          <w:rtl/>
        </w:rPr>
        <w:t>בֵּין</w:t>
      </w:r>
      <w:r w:rsidR="006B51A1">
        <w:rPr>
          <w:rtl/>
        </w:rPr>
        <w:t xml:space="preserve"> </w:t>
      </w:r>
      <w:r w:rsidR="006B51A1" w:rsidRPr="006B51A1">
        <w:rPr>
          <w:b/>
          <w:bCs/>
          <w:rtl/>
        </w:rPr>
        <w:t>אִישׁ</w:t>
      </w:r>
      <w:r w:rsidR="006B51A1">
        <w:rPr>
          <w:rtl/>
        </w:rPr>
        <w:t xml:space="preserve"> </w:t>
      </w:r>
      <w:r w:rsidR="006B51A1" w:rsidRPr="006B51A1">
        <w:rPr>
          <w:b/>
          <w:bCs/>
          <w:rtl/>
        </w:rPr>
        <w:t>לְאִשְׁתּוֹ</w:t>
      </w:r>
      <w:r w:rsidR="006B51A1">
        <w:t>" (zwischen einem Mann und seiner Frau) mit „ἀνὰ μέσον ἀνδρὸς καὶ γυναικὸς αὐτοῦ" (zwischen einem Mann und seiner Frau).</w:t>
      </w:r>
    </w:p>
    <w:p w14:paraId="34E1AEC5"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Die Satzstruktur zeigt eine Demonstrativformel mit Relativsatz, gefolgt von zwei präpositionalen Phrasen (zwischen Mann und Frau, zwischen Vater und Tochter), wobei die zweite durch zwei weitere Bestimmungen spezifiziert wird.</w:t>
      </w:r>
    </w:p>
    <w:p w14:paraId="50FA8419" w14:textId="77777777" w:rsidR="00E46AC0" w:rsidRP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Der Vers fasst das Kapitel präzise zusammen: Die göttlichen Satzungen regeln zwei spezifische Autoritätsbeziehungen - die eheliche (Mann über Frau) und die väterliche (Vater über unverheiratete Tochter im Vaterhaus). Witwen, Geschiedene und volljährige Männer werden nicht erwähnt, da ihre Gelübde absolut bindend sind ohne Aufhebungsmöglichkeit.</w:t>
      </w:r>
    </w:p>
    <w:p w14:paraId="35AA9D55" w14:textId="77777777" w:rsidR="00E46AC0" w:rsidRPr="00E46AC0" w:rsidRDefault="00F329DD" w:rsidP="00E46AC0">
      <w:pPr>
        <w:spacing w:after="0" w:line="240" w:lineRule="auto"/>
        <w:rPr>
          <w:rFonts w:eastAsia="Times New Roman" w:cs="Times New Roman"/>
          <w:lang w:eastAsia="de-DE"/>
        </w:rPr>
      </w:pPr>
      <w:r>
        <w:rPr>
          <w:rFonts w:eastAsia="Times New Roman" w:cs="Times New Roman"/>
          <w:noProof/>
          <w:lang w:eastAsia="de-DE"/>
        </w:rPr>
        <w:pict w14:anchorId="2617E211">
          <v:rect id="_x0000_i1945" style="width:0;height:1.5pt" o:hralign="center" o:hrstd="t" o:hr="t" fillcolor="#a0a0a0" stroked="f"/>
        </w:pict>
      </w:r>
    </w:p>
    <w:p w14:paraId="231D842D" w14:textId="77777777" w:rsid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Das Kapitel Numeri 30</w:t>
      </w:r>
      <w:r>
        <w:rPr>
          <w:rFonts w:eastAsia="Times New Roman" w:cs="Times New Roman"/>
          <w:b/>
          <w:bCs/>
          <w:lang w:eastAsia="de-DE"/>
        </w:rPr>
        <w:t xml:space="preserve"> </w:t>
      </w:r>
      <w:r w:rsidRPr="00E46AC0">
        <w:rPr>
          <w:rFonts w:eastAsia="Times New Roman" w:cs="Times New Roman"/>
          <w:lang w:eastAsia="de-DE"/>
        </w:rPr>
        <w:t xml:space="preserve">regelt die Gültigkeit von Gelübden unter verschiedenen Bedingungen. </w:t>
      </w:r>
    </w:p>
    <w:p w14:paraId="0A1B900C" w14:textId="77777777" w:rsidR="00E46AC0" w:rsidRDefault="00E46AC0" w:rsidP="00C15C06">
      <w:pPr>
        <w:pStyle w:val="Listenabsatz"/>
        <w:numPr>
          <w:ilvl w:val="0"/>
          <w:numId w:val="22"/>
        </w:num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 xml:space="preserve">Männer sind absolut an ihre Gelübde gebunden (V. 3). </w:t>
      </w:r>
    </w:p>
    <w:p w14:paraId="509806E5" w14:textId="77777777" w:rsidR="00E46AC0" w:rsidRDefault="00E46AC0" w:rsidP="00C15C06">
      <w:pPr>
        <w:pStyle w:val="Listenabsatz"/>
        <w:numPr>
          <w:ilvl w:val="0"/>
          <w:numId w:val="22"/>
        </w:num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 xml:space="preserve">Unverheiratete Töchter unter väterlicher Autorität können ihre Gelübde durch väterliches Veto am Tag des Hörens aufgehoben bekommen (V. 4-6). </w:t>
      </w:r>
    </w:p>
    <w:p w14:paraId="79ED131C" w14:textId="77777777" w:rsidR="00E46AC0" w:rsidRDefault="00E46AC0" w:rsidP="00C15C06">
      <w:pPr>
        <w:pStyle w:val="Listenabsatz"/>
        <w:numPr>
          <w:ilvl w:val="0"/>
          <w:numId w:val="22"/>
        </w:num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 xml:space="preserve">Verheiratete Frauen unterliegen ähnlich der ehelichen Autorität: Der Ehemann kann am Tag des Hörens Gelübde aufheben, Schweigen gilt als Zustimmung (V. 7-15). </w:t>
      </w:r>
    </w:p>
    <w:p w14:paraId="6ABDE2F8" w14:textId="77777777" w:rsidR="00E46AC0" w:rsidRDefault="00E46AC0" w:rsidP="00C15C06">
      <w:pPr>
        <w:pStyle w:val="Listenabsatz"/>
        <w:numPr>
          <w:ilvl w:val="0"/>
          <w:numId w:val="22"/>
        </w:num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 xml:space="preserve">Verspätete Aufhebung ist unwirksam und überträgt die Schuld auf den Mann (V. 16). </w:t>
      </w:r>
    </w:p>
    <w:p w14:paraId="0708BCA1" w14:textId="77777777" w:rsidR="00E46AC0" w:rsidRDefault="00E46AC0" w:rsidP="00C15C06">
      <w:pPr>
        <w:pStyle w:val="Listenabsatz"/>
        <w:numPr>
          <w:ilvl w:val="0"/>
          <w:numId w:val="22"/>
        </w:num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 xml:space="preserve">Witwen und Geschiedene sind wie Männer absolut an ihre Gelübde gebunden (V. 10). </w:t>
      </w:r>
    </w:p>
    <w:p w14:paraId="6D628F15" w14:textId="3E8663C4" w:rsidR="00E46AC0" w:rsidRDefault="00E46AC0" w:rsidP="00E46AC0">
      <w:pPr>
        <w:spacing w:before="100" w:beforeAutospacing="1" w:after="100" w:afterAutospacing="1" w:line="240" w:lineRule="auto"/>
        <w:rPr>
          <w:rFonts w:eastAsia="Times New Roman" w:cs="Times New Roman"/>
          <w:lang w:eastAsia="de-DE"/>
        </w:rPr>
      </w:pPr>
      <w:r w:rsidRPr="00E46AC0">
        <w:rPr>
          <w:rFonts w:eastAsia="Times New Roman" w:cs="Times New Roman"/>
          <w:lang w:eastAsia="de-DE"/>
        </w:rPr>
        <w:t xml:space="preserve">Das Kapitel spiegelt die patriarchale Familienstruktur des antiken Israel, betont aber auch Verantwortlichkeit: Männliche Autoritätspersonen müssen prompt reagieren und tragen die </w:t>
      </w:r>
      <w:r w:rsidRPr="00E46AC0">
        <w:rPr>
          <w:rFonts w:eastAsia="Times New Roman" w:cs="Times New Roman"/>
          <w:lang w:eastAsia="de-DE"/>
        </w:rPr>
        <w:lastRenderedPageBreak/>
        <w:t>Konsequenzen unüberlegten Handelns. Die göttliche Vergebung für Frauen, deren Gelübde aufgehoben wurden, zeigt Gottes Verständnis für hierarchische Strukturen.</w:t>
      </w:r>
    </w:p>
    <w:p w14:paraId="44AE1AD6" w14:textId="0B397114" w:rsidR="006B51A1" w:rsidRPr="00E46AC0" w:rsidRDefault="006B51A1" w:rsidP="00E46AC0">
      <w:pPr>
        <w:spacing w:before="100" w:beforeAutospacing="1" w:after="100" w:afterAutospacing="1" w:line="240" w:lineRule="auto"/>
        <w:rPr>
          <w:rFonts w:eastAsia="Times New Roman" w:cs="Times New Roman"/>
          <w:lang w:eastAsia="de-DE"/>
        </w:rPr>
      </w:pPr>
      <w:r>
        <w:rPr>
          <w:rStyle w:val="Fett"/>
        </w:rPr>
        <w:t>Allgemeine Beobachtung:</w:t>
      </w:r>
      <w:r>
        <w:t xml:space="preserve"> Die LXX verwendet durchgängig „καθαριεῖ" (wird reinigen) statt „</w:t>
      </w:r>
      <w:r w:rsidRPr="00EF1857">
        <w:rPr>
          <w:b/>
          <w:bCs/>
          <w:rtl/>
        </w:rPr>
        <w:t>יִסְלַח</w:t>
      </w:r>
      <w:r>
        <w:t>" (wird vergeben), was eine theologische Nuance verschiebt von Vergebung zu ritueller Reinigung. Die Kapitelzählung unterscheidet sich um einen Vers zwischen den beiden Texten.</w:t>
      </w:r>
    </w:p>
    <w:p w14:paraId="68E93C93" w14:textId="77777777" w:rsidR="00906791" w:rsidRPr="00906791" w:rsidRDefault="00906791" w:rsidP="00906791">
      <w:pPr>
        <w:spacing w:before="100" w:beforeAutospacing="1" w:after="100" w:afterAutospacing="1" w:line="240" w:lineRule="auto"/>
        <w:outlineLvl w:val="0"/>
        <w:rPr>
          <w:rFonts w:eastAsia="Times New Roman" w:cs="Times New Roman"/>
          <w:b/>
          <w:bCs/>
          <w:kern w:val="36"/>
          <w:sz w:val="48"/>
          <w:szCs w:val="48"/>
          <w:lang w:eastAsia="de-DE"/>
        </w:rPr>
      </w:pPr>
      <w:r w:rsidRPr="00906791">
        <w:rPr>
          <w:rFonts w:eastAsia="Times New Roman" w:cs="Times New Roman"/>
          <w:b/>
          <w:bCs/>
          <w:kern w:val="36"/>
          <w:sz w:val="48"/>
          <w:szCs w:val="48"/>
          <w:lang w:eastAsia="de-DE"/>
        </w:rPr>
        <w:t>Numeri 31,1</w:t>
      </w:r>
    </w:p>
    <w:p w14:paraId="56C5C418"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Hebräisch:</w:t>
      </w:r>
      <w:r w:rsidRPr="00906791">
        <w:rPr>
          <w:rFonts w:eastAsia="Times New Roman" w:cs="Times New Roman"/>
          <w:lang w:eastAsia="de-DE"/>
        </w:rPr>
        <w:t xml:space="preserve"> </w:t>
      </w:r>
      <w:r w:rsidRPr="00906791">
        <w:rPr>
          <w:rFonts w:eastAsia="Times New Roman" w:cs="Times New Roman"/>
          <w:rtl/>
          <w:lang w:eastAsia="de-DE"/>
        </w:rPr>
        <w:t>וַיְדַבֵּ֥ר יְהוָ֖ה אֶל־מֹשֶׁ֥ה לֵּאמֹֽר׃</w:t>
      </w:r>
    </w:p>
    <w:p w14:paraId="7C00ADBF"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Deutsch:</w:t>
      </w:r>
      <w:r w:rsidRPr="00906791">
        <w:rPr>
          <w:rFonts w:eastAsia="Times New Roman" w:cs="Times New Roman"/>
          <w:lang w:eastAsia="de-DE"/>
        </w:rPr>
        <w:t xml:space="preserve"> Und der Ewige redete zu Mosche, sagend:</w:t>
      </w:r>
    </w:p>
    <w:p w14:paraId="41168135" w14:textId="77777777" w:rsidR="00906791" w:rsidRPr="00906791" w:rsidRDefault="00F329DD" w:rsidP="00906791">
      <w:pPr>
        <w:spacing w:after="0" w:line="240" w:lineRule="auto"/>
        <w:rPr>
          <w:rFonts w:eastAsia="Times New Roman" w:cs="Times New Roman"/>
          <w:lang w:eastAsia="de-DE"/>
        </w:rPr>
      </w:pPr>
      <w:r>
        <w:rPr>
          <w:rFonts w:eastAsia="Times New Roman" w:cs="Times New Roman"/>
          <w:noProof/>
          <w:lang w:eastAsia="de-DE"/>
        </w:rPr>
        <w:pict w14:anchorId="620A2861">
          <v:rect id="_x0000_i1946" style="width:0;height:1.5pt" o:hralign="center" o:hrstd="t" o:hr="t" fillcolor="#a0a0a0" stroked="f"/>
        </w:pict>
      </w:r>
    </w:p>
    <w:p w14:paraId="17679BCF" w14:textId="5725902E"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Kommentar:</w:t>
      </w:r>
      <w:r w:rsidRPr="00906791">
        <w:rPr>
          <w:rFonts w:eastAsia="Times New Roman" w:cs="Times New Roman"/>
          <w:lang w:eastAsia="de-DE"/>
        </w:rPr>
        <w:t xml:space="preserve"> Der Vers ist die Standard-Redeeinleitung für ein neues göttliches Gebot. </w:t>
      </w:r>
      <w:r w:rsidRPr="00906791">
        <w:rPr>
          <w:rFonts w:eastAsia="Times New Roman" w:cs="Times New Roman"/>
          <w:b/>
          <w:bCs/>
          <w:rtl/>
          <w:lang w:eastAsia="de-DE"/>
        </w:rPr>
        <w:t>וַיְדַבֵּר</w:t>
      </w:r>
      <w:r w:rsidRPr="00906791">
        <w:rPr>
          <w:rFonts w:eastAsia="Times New Roman" w:cs="Times New Roman"/>
          <w:rtl/>
          <w:lang w:eastAsia="de-DE"/>
        </w:rPr>
        <w:t xml:space="preserve"> </w:t>
      </w:r>
      <w:r w:rsidRPr="00906791">
        <w:rPr>
          <w:rFonts w:eastAsia="Times New Roman" w:cs="Times New Roman"/>
          <w:lang w:eastAsia="de-DE"/>
        </w:rPr>
        <w:t xml:space="preserve">ist Piel Wayyiqtol 3. Person maskulin Singular von </w:t>
      </w:r>
      <w:r w:rsidRPr="00906791">
        <w:rPr>
          <w:rFonts w:eastAsia="Times New Roman" w:cs="Times New Roman"/>
          <w:b/>
          <w:bCs/>
          <w:rtl/>
          <w:lang w:eastAsia="de-DE"/>
        </w:rPr>
        <w:t>דבר</w:t>
      </w:r>
      <w:r w:rsidRPr="00906791">
        <w:rPr>
          <w:rFonts w:eastAsia="Times New Roman" w:cs="Times New Roman"/>
          <w:rtl/>
          <w:lang w:eastAsia="de-DE"/>
        </w:rPr>
        <w:t xml:space="preserve"> </w:t>
      </w:r>
      <w:r w:rsidRPr="00906791">
        <w:rPr>
          <w:rFonts w:eastAsia="Times New Roman" w:cs="Times New Roman"/>
          <w:lang w:eastAsia="de-DE"/>
        </w:rPr>
        <w:t xml:space="preserve">(„reden, sprechen"), </w:t>
      </w:r>
      <w:r w:rsidRPr="00906791">
        <w:rPr>
          <w:rFonts w:eastAsia="Times New Roman" w:cs="Times New Roman"/>
          <w:b/>
          <w:bCs/>
          <w:rtl/>
          <w:lang w:eastAsia="de-DE"/>
        </w:rPr>
        <w:t>יהוה</w:t>
      </w:r>
      <w:r w:rsidRPr="00906791">
        <w:rPr>
          <w:rFonts w:eastAsia="Times New Roman" w:cs="Times New Roman"/>
          <w:rtl/>
          <w:lang w:eastAsia="de-DE"/>
        </w:rPr>
        <w:t xml:space="preserve"> </w:t>
      </w:r>
      <w:r w:rsidRPr="00906791">
        <w:rPr>
          <w:rFonts w:eastAsia="Times New Roman" w:cs="Times New Roman"/>
          <w:lang w:eastAsia="de-DE"/>
        </w:rPr>
        <w:t xml:space="preserve">ist das Subjekt (Tetragramm), </w:t>
      </w:r>
      <w:r w:rsidRPr="00906791">
        <w:rPr>
          <w:rFonts w:eastAsia="Times New Roman" w:cs="Times New Roman"/>
          <w:b/>
          <w:bCs/>
          <w:rtl/>
          <w:lang w:eastAsia="de-DE"/>
        </w:rPr>
        <w:t>אֶל־מֹשֶׁה</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אֶל</w:t>
      </w:r>
      <w:r w:rsidRPr="00906791">
        <w:rPr>
          <w:rFonts w:eastAsia="Times New Roman" w:cs="Times New Roman"/>
          <w:rtl/>
          <w:lang w:eastAsia="de-DE"/>
        </w:rPr>
        <w:t xml:space="preserve"> </w:t>
      </w:r>
      <w:r w:rsidRPr="00906791">
        <w:rPr>
          <w:rFonts w:eastAsia="Times New Roman" w:cs="Times New Roman"/>
          <w:lang w:eastAsia="de-DE"/>
        </w:rPr>
        <w:t xml:space="preserve">mit dem Eigennamen) gibt den Adressaten an. </w:t>
      </w:r>
      <w:r w:rsidRPr="00906791">
        <w:rPr>
          <w:rFonts w:eastAsia="Times New Roman" w:cs="Times New Roman"/>
          <w:b/>
          <w:bCs/>
          <w:rtl/>
          <w:lang w:eastAsia="de-DE"/>
        </w:rPr>
        <w:t>לֵּאמֹר</w:t>
      </w:r>
      <w:r w:rsidRPr="00906791">
        <w:rPr>
          <w:rFonts w:eastAsia="Times New Roman" w:cs="Times New Roman"/>
          <w:rtl/>
          <w:lang w:eastAsia="de-DE"/>
        </w:rPr>
        <w:t xml:space="preserve"> </w:t>
      </w:r>
      <w:r w:rsidRPr="00906791">
        <w:rPr>
          <w:rFonts w:eastAsia="Times New Roman" w:cs="Times New Roman"/>
          <w:lang w:eastAsia="de-DE"/>
        </w:rPr>
        <w:t xml:space="preserve">ist Qal Infinitiv </w:t>
      </w:r>
      <w:r w:rsidR="00E031B3">
        <w:rPr>
          <w:rFonts w:eastAsia="Times New Roman" w:cs="Times New Roman"/>
          <w:lang w:eastAsia="de-DE"/>
        </w:rPr>
        <w:t>Constructus von</w:t>
      </w:r>
      <w:r w:rsidRPr="00906791">
        <w:rPr>
          <w:rFonts w:eastAsia="Times New Roman" w:cs="Times New Roman"/>
          <w:lang w:eastAsia="de-DE"/>
        </w:rPr>
        <w:t xml:space="preserve"> </w:t>
      </w:r>
      <w:r w:rsidRPr="00906791">
        <w:rPr>
          <w:rFonts w:eastAsia="Times New Roman" w:cs="Times New Roman"/>
          <w:b/>
          <w:bCs/>
          <w:rtl/>
          <w:lang w:eastAsia="de-DE"/>
        </w:rPr>
        <w:t>אמר</w:t>
      </w:r>
      <w:r w:rsidRPr="00906791">
        <w:rPr>
          <w:rFonts w:eastAsia="Times New Roman" w:cs="Times New Roman"/>
          <w:rtl/>
          <w:lang w:eastAsia="de-DE"/>
        </w:rPr>
        <w:t xml:space="preserve"> </w:t>
      </w:r>
      <w:r w:rsidRPr="00906791">
        <w:rPr>
          <w:rFonts w:eastAsia="Times New Roman" w:cs="Times New Roman"/>
          <w:lang w:eastAsia="de-DE"/>
        </w:rPr>
        <w:t xml:space="preserve">mit </w:t>
      </w:r>
      <w:r w:rsidRPr="00906791">
        <w:rPr>
          <w:rFonts w:eastAsia="Times New Roman" w:cs="Times New Roman"/>
          <w:b/>
          <w:bCs/>
          <w:rtl/>
          <w:lang w:eastAsia="de-DE"/>
        </w:rPr>
        <w:t>לְ</w:t>
      </w:r>
      <w:r w:rsidRPr="00906791">
        <w:rPr>
          <w:rFonts w:eastAsia="Times New Roman" w:cs="Times New Roman"/>
          <w:rtl/>
          <w:lang w:eastAsia="de-DE"/>
        </w:rPr>
        <w:t xml:space="preserve"> </w:t>
      </w:r>
      <w:r w:rsidRPr="00906791">
        <w:rPr>
          <w:rFonts w:eastAsia="Times New Roman" w:cs="Times New Roman"/>
          <w:lang w:eastAsia="de-DE"/>
        </w:rPr>
        <w:t>(„sagend"), die standard-Formel zur Einleitung direkter Rede.</w:t>
      </w:r>
    </w:p>
    <w:p w14:paraId="7A1D69A5"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Die Satzstruktur ist eine einfache Redeeinleitung.</w:t>
      </w:r>
    </w:p>
    <w:p w14:paraId="556AE2E4"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Der Vers eröffnet Kapitel 31 mit einem göttlichen Befehl, der Moses letzte militärische Aufgabe vor seinem Tod betrifft - ein passender Abschluss seiner Führung.</w:t>
      </w:r>
    </w:p>
    <w:p w14:paraId="008F19BA" w14:textId="77777777" w:rsidR="00906791" w:rsidRPr="00906791" w:rsidRDefault="00906791" w:rsidP="00906791">
      <w:pPr>
        <w:spacing w:before="100" w:beforeAutospacing="1" w:after="100" w:afterAutospacing="1" w:line="240" w:lineRule="auto"/>
        <w:outlineLvl w:val="0"/>
        <w:rPr>
          <w:rFonts w:eastAsia="Times New Roman" w:cs="Times New Roman"/>
          <w:b/>
          <w:bCs/>
          <w:kern w:val="36"/>
          <w:sz w:val="48"/>
          <w:szCs w:val="48"/>
          <w:lang w:eastAsia="de-DE"/>
        </w:rPr>
      </w:pPr>
      <w:r w:rsidRPr="00906791">
        <w:rPr>
          <w:rFonts w:eastAsia="Times New Roman" w:cs="Times New Roman"/>
          <w:b/>
          <w:bCs/>
          <w:kern w:val="36"/>
          <w:sz w:val="48"/>
          <w:szCs w:val="48"/>
          <w:lang w:eastAsia="de-DE"/>
        </w:rPr>
        <w:t>Numeri 31,2</w:t>
      </w:r>
    </w:p>
    <w:p w14:paraId="0CDAA055"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Hebräisch:</w:t>
      </w:r>
      <w:r w:rsidRPr="00906791">
        <w:rPr>
          <w:rFonts w:eastAsia="Times New Roman" w:cs="Times New Roman"/>
          <w:lang w:eastAsia="de-DE"/>
        </w:rPr>
        <w:t xml:space="preserve"> </w:t>
      </w:r>
      <w:r w:rsidRPr="00906791">
        <w:rPr>
          <w:rFonts w:eastAsia="Times New Roman" w:cs="Times New Roman"/>
          <w:rtl/>
          <w:lang w:eastAsia="de-DE"/>
        </w:rPr>
        <w:t>נְקֹ֗ם נִקְמַת֙ בְּנֵ֣י יִשְׂרָאֵ֔ל מֵאֵ֖ת הַמִּדְיָנִ֑ים אַחַ֖ר תֵּאָסֵ֥ף אֶל־עַמֶּֽיךָ׃</w:t>
      </w:r>
    </w:p>
    <w:p w14:paraId="3A45935B"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Deutsch:</w:t>
      </w:r>
      <w:r w:rsidRPr="00906791">
        <w:rPr>
          <w:rFonts w:eastAsia="Times New Roman" w:cs="Times New Roman"/>
          <w:lang w:eastAsia="de-DE"/>
        </w:rPr>
        <w:t xml:space="preserve"> „Nimm Rache für die Söhne Jisra'el an den Midjanim; danach sollst du zu deinen Völkern versammelt werden."</w:t>
      </w:r>
    </w:p>
    <w:p w14:paraId="1A32CB10" w14:textId="77777777" w:rsidR="00906791" w:rsidRPr="00906791" w:rsidRDefault="00F329DD" w:rsidP="00906791">
      <w:pPr>
        <w:spacing w:after="0" w:line="240" w:lineRule="auto"/>
        <w:rPr>
          <w:rFonts w:eastAsia="Times New Roman" w:cs="Times New Roman"/>
          <w:lang w:eastAsia="de-DE"/>
        </w:rPr>
      </w:pPr>
      <w:r>
        <w:rPr>
          <w:rFonts w:eastAsia="Times New Roman" w:cs="Times New Roman"/>
          <w:noProof/>
          <w:lang w:eastAsia="de-DE"/>
        </w:rPr>
        <w:pict w14:anchorId="3ABC0D78">
          <v:rect id="_x0000_i1947" style="width:0;height:1.5pt" o:hralign="center" o:hrstd="t" o:hr="t" fillcolor="#a0a0a0" stroked="f"/>
        </w:pict>
      </w:r>
    </w:p>
    <w:p w14:paraId="29A4DB10" w14:textId="5DF56CAA"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Kommentar:</w:t>
      </w:r>
      <w:r w:rsidRPr="00906791">
        <w:rPr>
          <w:rFonts w:eastAsia="Times New Roman" w:cs="Times New Roman"/>
          <w:lang w:eastAsia="de-DE"/>
        </w:rPr>
        <w:t xml:space="preserve"> Der Vers enthält den göttlichen Befehl zur Vergeltung gegen Midian. </w:t>
      </w:r>
      <w:r w:rsidRPr="00906791">
        <w:rPr>
          <w:rFonts w:eastAsia="Times New Roman" w:cs="Times New Roman"/>
          <w:b/>
          <w:bCs/>
          <w:rtl/>
          <w:lang w:eastAsia="de-DE"/>
        </w:rPr>
        <w:t>נְקֹם נִקְמַת בְּנֵי יִשְׂרָאֵל מֵאֵת הַמִּדְיָנִים</w:t>
      </w:r>
      <w:r w:rsidRPr="00906791">
        <w:rPr>
          <w:rFonts w:eastAsia="Times New Roman" w:cs="Times New Roman"/>
          <w:rtl/>
          <w:lang w:eastAsia="de-DE"/>
        </w:rPr>
        <w:t xml:space="preserve"> </w:t>
      </w:r>
      <w:r w:rsidRPr="00906791">
        <w:rPr>
          <w:rFonts w:eastAsia="Times New Roman" w:cs="Times New Roman"/>
          <w:lang w:eastAsia="de-DE"/>
        </w:rPr>
        <w:t xml:space="preserve">ist der Auftrag. </w:t>
      </w:r>
      <w:r w:rsidRPr="00906791">
        <w:rPr>
          <w:rFonts w:eastAsia="Times New Roman" w:cs="Times New Roman"/>
          <w:b/>
          <w:bCs/>
          <w:rtl/>
          <w:lang w:eastAsia="de-DE"/>
        </w:rPr>
        <w:t>נְקֹם</w:t>
      </w:r>
      <w:r w:rsidRPr="00906791">
        <w:rPr>
          <w:rFonts w:eastAsia="Times New Roman" w:cs="Times New Roman"/>
          <w:rtl/>
          <w:lang w:eastAsia="de-DE"/>
        </w:rPr>
        <w:t xml:space="preserve"> </w:t>
      </w:r>
      <w:r w:rsidRPr="00906791">
        <w:rPr>
          <w:rFonts w:eastAsia="Times New Roman" w:cs="Times New Roman"/>
          <w:lang w:eastAsia="de-DE"/>
        </w:rPr>
        <w:t xml:space="preserve">ist Qal Imperativ maskulin Singular von </w:t>
      </w:r>
      <w:r w:rsidRPr="00906791">
        <w:rPr>
          <w:rFonts w:eastAsia="Times New Roman" w:cs="Times New Roman"/>
          <w:b/>
          <w:bCs/>
          <w:rtl/>
          <w:lang w:eastAsia="de-DE"/>
        </w:rPr>
        <w:t>נקם</w:t>
      </w:r>
      <w:r w:rsidRPr="00906791">
        <w:rPr>
          <w:rFonts w:eastAsia="Times New Roman" w:cs="Times New Roman"/>
          <w:rtl/>
          <w:lang w:eastAsia="de-DE"/>
        </w:rPr>
        <w:t xml:space="preserve"> </w:t>
      </w:r>
      <w:r w:rsidRPr="00906791">
        <w:rPr>
          <w:rFonts w:eastAsia="Times New Roman" w:cs="Times New Roman"/>
          <w:lang w:eastAsia="de-DE"/>
        </w:rPr>
        <w:t xml:space="preserve">(„rächen, Rache nehmen"), </w:t>
      </w:r>
      <w:r w:rsidRPr="00906791">
        <w:rPr>
          <w:rFonts w:eastAsia="Times New Roman" w:cs="Times New Roman"/>
          <w:b/>
          <w:bCs/>
          <w:rtl/>
          <w:lang w:eastAsia="de-DE"/>
        </w:rPr>
        <w:t>נִקְמַת בְּנֵי יִשְׂרָאֵל</w:t>
      </w:r>
      <w:r w:rsidRPr="00906791">
        <w:rPr>
          <w:rFonts w:eastAsia="Times New Roman" w:cs="Times New Roman"/>
          <w:rtl/>
          <w:lang w:eastAsia="de-DE"/>
        </w:rPr>
        <w:t xml:space="preserve"> </w:t>
      </w:r>
      <w:r w:rsidRPr="00906791">
        <w:rPr>
          <w:rFonts w:eastAsia="Times New Roman" w:cs="Times New Roman"/>
          <w:lang w:eastAsia="de-DE"/>
        </w:rPr>
        <w:t>(</w:t>
      </w:r>
      <w:r w:rsidR="00B513FF">
        <w:rPr>
          <w:rFonts w:eastAsia="Times New Roman" w:cs="Times New Roman"/>
          <w:lang w:eastAsia="de-DE"/>
        </w:rPr>
        <w:t xml:space="preserve">Constructus </w:t>
      </w:r>
      <w:r w:rsidRPr="00906791">
        <w:rPr>
          <w:rFonts w:eastAsia="Times New Roman" w:cs="Times New Roman"/>
          <w:lang w:eastAsia="de-DE"/>
        </w:rPr>
        <w:t xml:space="preserve">verbindung: </w:t>
      </w:r>
      <w:r w:rsidRPr="00906791">
        <w:rPr>
          <w:rFonts w:eastAsia="Times New Roman" w:cs="Times New Roman"/>
          <w:b/>
          <w:bCs/>
          <w:rtl/>
          <w:lang w:eastAsia="de-DE"/>
        </w:rPr>
        <w:t>נִקְמָה</w:t>
      </w:r>
      <w:r w:rsidRPr="00906791">
        <w:rPr>
          <w:rFonts w:eastAsia="Times New Roman" w:cs="Times New Roman"/>
          <w:rtl/>
          <w:lang w:eastAsia="de-DE"/>
        </w:rPr>
        <w:t xml:space="preserve"> </w:t>
      </w:r>
      <w:r w:rsidRPr="00906791">
        <w:rPr>
          <w:rFonts w:eastAsia="Times New Roman" w:cs="Times New Roman"/>
          <w:lang w:eastAsia="de-DE"/>
        </w:rPr>
        <w:t xml:space="preserve">„Rache, Vergeltung" mit „Söhne Israels" „die Rache der Söhne Israels"), </w:t>
      </w:r>
      <w:r w:rsidRPr="00906791">
        <w:rPr>
          <w:rFonts w:eastAsia="Times New Roman" w:cs="Times New Roman"/>
          <w:b/>
          <w:bCs/>
          <w:rtl/>
          <w:lang w:eastAsia="de-DE"/>
        </w:rPr>
        <w:t>מֵאֵת הַמִּדְיָנִים</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מִן</w:t>
      </w:r>
      <w:r w:rsidRPr="00906791">
        <w:rPr>
          <w:rFonts w:eastAsia="Times New Roman" w:cs="Times New Roman"/>
          <w:rtl/>
          <w:lang w:eastAsia="de-DE"/>
        </w:rPr>
        <w:t xml:space="preserve"> </w:t>
      </w:r>
      <w:r w:rsidRPr="00906791">
        <w:rPr>
          <w:rFonts w:eastAsia="Times New Roman" w:cs="Times New Roman"/>
          <w:lang w:eastAsia="de-DE"/>
        </w:rPr>
        <w:t xml:space="preserve">mit </w:t>
      </w:r>
      <w:r w:rsidRPr="00906791">
        <w:rPr>
          <w:rFonts w:eastAsia="Times New Roman" w:cs="Times New Roman"/>
          <w:b/>
          <w:bCs/>
          <w:rtl/>
          <w:lang w:eastAsia="de-DE"/>
        </w:rPr>
        <w:t>אֵת</w:t>
      </w:r>
      <w:r w:rsidRPr="00906791">
        <w:rPr>
          <w:rFonts w:eastAsia="Times New Roman" w:cs="Times New Roman"/>
          <w:rtl/>
          <w:lang w:eastAsia="de-DE"/>
        </w:rPr>
        <w:t xml:space="preserve"> </w:t>
      </w:r>
      <w:r w:rsidRPr="00906791">
        <w:rPr>
          <w:rFonts w:eastAsia="Times New Roman" w:cs="Times New Roman"/>
          <w:lang w:eastAsia="de-DE"/>
        </w:rPr>
        <w:t xml:space="preserve">und </w:t>
      </w:r>
      <w:r w:rsidRPr="00906791">
        <w:rPr>
          <w:rFonts w:eastAsia="Times New Roman" w:cs="Times New Roman"/>
          <w:b/>
          <w:bCs/>
          <w:rtl/>
          <w:lang w:eastAsia="de-DE"/>
        </w:rPr>
        <w:t>מִדְיָנִים</w:t>
      </w:r>
      <w:r w:rsidRPr="00906791">
        <w:rPr>
          <w:rFonts w:eastAsia="Times New Roman" w:cs="Times New Roman"/>
          <w:rtl/>
          <w:lang w:eastAsia="de-DE"/>
        </w:rPr>
        <w:t xml:space="preserve"> </w:t>
      </w:r>
      <w:r w:rsidRPr="00906791">
        <w:rPr>
          <w:rFonts w:eastAsia="Times New Roman" w:cs="Times New Roman"/>
          <w:lang w:eastAsia="de-DE"/>
        </w:rPr>
        <w:t>„Midianiter" mit Artikel „von den Midianitern"). Die Rache bezieht sich auf die Verführung zum Baal-Peor-Kult (Num 25,1-18), wo midianitische Frauen Israel zur Hurerei und zum Götzendienst verführten.</w:t>
      </w:r>
    </w:p>
    <w:p w14:paraId="3474BBC5"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rtl/>
          <w:lang w:eastAsia="de-DE"/>
        </w:rPr>
        <w:t>אַחַר תֵּאָסֵף אֶל־עַמֶּיךָ</w:t>
      </w:r>
      <w:r w:rsidRPr="00906791">
        <w:rPr>
          <w:rFonts w:eastAsia="Times New Roman" w:cs="Times New Roman"/>
          <w:rtl/>
          <w:lang w:eastAsia="de-DE"/>
        </w:rPr>
        <w:t xml:space="preserve"> </w:t>
      </w:r>
      <w:r w:rsidRPr="00906791">
        <w:rPr>
          <w:rFonts w:eastAsia="Times New Roman" w:cs="Times New Roman"/>
          <w:lang w:eastAsia="de-DE"/>
        </w:rPr>
        <w:t xml:space="preserve">kündigt Moses Tod an. </w:t>
      </w:r>
      <w:r w:rsidRPr="00906791">
        <w:rPr>
          <w:rFonts w:eastAsia="Times New Roman" w:cs="Times New Roman"/>
          <w:b/>
          <w:bCs/>
          <w:rtl/>
          <w:lang w:eastAsia="de-DE"/>
        </w:rPr>
        <w:t>אַחַר</w:t>
      </w:r>
      <w:r w:rsidRPr="00906791">
        <w:rPr>
          <w:rFonts w:eastAsia="Times New Roman" w:cs="Times New Roman"/>
          <w:rtl/>
          <w:lang w:eastAsia="de-DE"/>
        </w:rPr>
        <w:t xml:space="preserve"> </w:t>
      </w:r>
      <w:r w:rsidRPr="00906791">
        <w:rPr>
          <w:rFonts w:eastAsia="Times New Roman" w:cs="Times New Roman"/>
          <w:lang w:eastAsia="de-DE"/>
        </w:rPr>
        <w:t xml:space="preserve">(Präposition „danach, nachher"), </w:t>
      </w:r>
      <w:r w:rsidRPr="00906791">
        <w:rPr>
          <w:rFonts w:eastAsia="Times New Roman" w:cs="Times New Roman"/>
          <w:b/>
          <w:bCs/>
          <w:rtl/>
          <w:lang w:eastAsia="de-DE"/>
        </w:rPr>
        <w:t>תֵּאָסֵף</w:t>
      </w:r>
      <w:r w:rsidRPr="00906791">
        <w:rPr>
          <w:rFonts w:eastAsia="Times New Roman" w:cs="Times New Roman"/>
          <w:rtl/>
          <w:lang w:eastAsia="de-DE"/>
        </w:rPr>
        <w:t xml:space="preserve"> </w:t>
      </w:r>
      <w:r w:rsidRPr="00906791">
        <w:rPr>
          <w:rFonts w:eastAsia="Times New Roman" w:cs="Times New Roman"/>
          <w:lang w:eastAsia="de-DE"/>
        </w:rPr>
        <w:t xml:space="preserve">(Niphal Imperfekt 2. Person maskulin Singular von </w:t>
      </w:r>
      <w:r w:rsidRPr="00906791">
        <w:rPr>
          <w:rFonts w:eastAsia="Times New Roman" w:cs="Times New Roman"/>
          <w:b/>
          <w:bCs/>
          <w:rtl/>
          <w:lang w:eastAsia="de-DE"/>
        </w:rPr>
        <w:t>אסף</w:t>
      </w:r>
      <w:r w:rsidRPr="00906791">
        <w:rPr>
          <w:rFonts w:eastAsia="Times New Roman" w:cs="Times New Roman"/>
          <w:rtl/>
          <w:lang w:eastAsia="de-DE"/>
        </w:rPr>
        <w:t xml:space="preserve"> </w:t>
      </w:r>
      <w:r w:rsidRPr="00906791">
        <w:rPr>
          <w:rFonts w:eastAsia="Times New Roman" w:cs="Times New Roman"/>
          <w:lang w:eastAsia="de-DE"/>
        </w:rPr>
        <w:t xml:space="preserve">„versammelt werden"), </w:t>
      </w:r>
      <w:r w:rsidRPr="00906791">
        <w:rPr>
          <w:rFonts w:eastAsia="Times New Roman" w:cs="Times New Roman"/>
          <w:b/>
          <w:bCs/>
          <w:rtl/>
          <w:lang w:eastAsia="de-DE"/>
        </w:rPr>
        <w:t>אֶל־עַמֶּיךָ</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אֶל</w:t>
      </w:r>
      <w:r w:rsidRPr="00906791">
        <w:rPr>
          <w:rFonts w:eastAsia="Times New Roman" w:cs="Times New Roman"/>
          <w:rtl/>
          <w:lang w:eastAsia="de-DE"/>
        </w:rPr>
        <w:t xml:space="preserve"> </w:t>
      </w:r>
      <w:r w:rsidRPr="00906791">
        <w:rPr>
          <w:rFonts w:eastAsia="Times New Roman" w:cs="Times New Roman"/>
          <w:lang w:eastAsia="de-DE"/>
        </w:rPr>
        <w:t xml:space="preserve">mit Plural </w:t>
      </w:r>
      <w:r w:rsidRPr="00906791">
        <w:rPr>
          <w:rFonts w:eastAsia="Times New Roman" w:cs="Times New Roman"/>
          <w:b/>
          <w:bCs/>
          <w:rtl/>
          <w:lang w:eastAsia="de-DE"/>
        </w:rPr>
        <w:t>עַם</w:t>
      </w:r>
      <w:r w:rsidRPr="00906791">
        <w:rPr>
          <w:rFonts w:eastAsia="Times New Roman" w:cs="Times New Roman"/>
          <w:rtl/>
          <w:lang w:eastAsia="de-DE"/>
        </w:rPr>
        <w:t xml:space="preserve"> </w:t>
      </w:r>
      <w:r w:rsidRPr="00906791">
        <w:rPr>
          <w:rFonts w:eastAsia="Times New Roman" w:cs="Times New Roman"/>
          <w:lang w:eastAsia="de-DE"/>
        </w:rPr>
        <w:t xml:space="preserve">„Volk" und Suffix 2. Person maskulin Singular „zu deinen Völkern"). Die euphemistische Formulierung „zu deinen Völkern versammelt werden" bezeichnet den Tod </w:t>
      </w:r>
      <w:r w:rsidRPr="00906791">
        <w:rPr>
          <w:rFonts w:eastAsia="Times New Roman" w:cs="Times New Roman"/>
          <w:lang w:eastAsia="de-DE"/>
        </w:rPr>
        <w:lastRenderedPageBreak/>
        <w:t>und die Wiedervereinigung mit den Ahnen (vgl. 27,13). Die Koppelung zeigt: Diese militärische Aktion ist Moses letzte Aufgabe.</w:t>
      </w:r>
    </w:p>
    <w:p w14:paraId="7D544EED" w14:textId="31981E09"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Die LXX</w:t>
      </w:r>
      <w:r w:rsidRPr="00906791">
        <w:rPr>
          <w:rFonts w:eastAsia="Times New Roman" w:cs="Times New Roman"/>
          <w:lang w:eastAsia="de-DE"/>
        </w:rPr>
        <w:t xml:space="preserve"> </w:t>
      </w:r>
      <w:r w:rsidR="00EF1857">
        <w:t>übersetzt „</w:t>
      </w:r>
      <w:r w:rsidR="00EF1857" w:rsidRPr="00EF1857">
        <w:rPr>
          <w:b/>
          <w:bCs/>
          <w:rtl/>
        </w:rPr>
        <w:t>אַחַר תֵּאָסֵף אֶל־עַמֶּיךָ</w:t>
      </w:r>
      <w:r w:rsidR="00EF1857">
        <w:t>" (danach wirst du zu deinem Volk versammelt werden) mit „καὶ ἔσχατον προστεθήσῃ πρὸς τὸν λαόν σου" (und zuletzt wirst du zu deinem Volk hinzugefügt werden), was ähnlich ist, aber „zuletzt" betont.</w:t>
      </w:r>
    </w:p>
    <w:p w14:paraId="2664DC8D"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Die Satzstruktur zeigt einen Imperativsatz mit Objekt, gefolgt von einer temporalen Aussage über Moses bevorstehendes Ende.</w:t>
      </w:r>
    </w:p>
    <w:p w14:paraId="066DC9D8"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Der Vers verbindet Rache mit Übergang: Bevor Mose stirbt, soll er die letzte offene Rechnung Israels mit Midian begleichen - ein Abschluss sowohl für Israel als auch für Moses Lebenswerk.</w:t>
      </w:r>
    </w:p>
    <w:p w14:paraId="3CE514EC" w14:textId="77777777" w:rsidR="00906791" w:rsidRPr="00906791" w:rsidRDefault="00906791" w:rsidP="00906791">
      <w:pPr>
        <w:spacing w:before="100" w:beforeAutospacing="1" w:after="100" w:afterAutospacing="1" w:line="240" w:lineRule="auto"/>
        <w:outlineLvl w:val="0"/>
        <w:rPr>
          <w:rFonts w:eastAsia="Times New Roman" w:cs="Times New Roman"/>
          <w:b/>
          <w:bCs/>
          <w:kern w:val="36"/>
          <w:sz w:val="48"/>
          <w:szCs w:val="48"/>
          <w:lang w:eastAsia="de-DE"/>
        </w:rPr>
      </w:pPr>
      <w:r w:rsidRPr="00906791">
        <w:rPr>
          <w:rFonts w:eastAsia="Times New Roman" w:cs="Times New Roman"/>
          <w:b/>
          <w:bCs/>
          <w:kern w:val="36"/>
          <w:sz w:val="48"/>
          <w:szCs w:val="48"/>
          <w:lang w:eastAsia="de-DE"/>
        </w:rPr>
        <w:t>Numeri 31,3</w:t>
      </w:r>
    </w:p>
    <w:p w14:paraId="3B607714"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Hebräisch:</w:t>
      </w:r>
      <w:r w:rsidRPr="00906791">
        <w:rPr>
          <w:rFonts w:eastAsia="Times New Roman" w:cs="Times New Roman"/>
          <w:lang w:eastAsia="de-DE"/>
        </w:rPr>
        <w:t xml:space="preserve"> </w:t>
      </w:r>
      <w:r w:rsidRPr="00906791">
        <w:rPr>
          <w:rFonts w:eastAsia="Times New Roman" w:cs="Times New Roman"/>
          <w:rtl/>
          <w:lang w:eastAsia="de-DE"/>
        </w:rPr>
        <w:t>וַיְדַבֵּ֤ר מֹשֶׁה֙ אֶל־הָעָ֣ם לֵאמֹ֔ר הֵחָלְצ֧וּ מֵאִתְּכֶ֛ם אֲנָשִׁ֖ים לַצָּבָ֑א וְיִהְיוּ֙ עַל־מִדְיָ֔ן לָתֵ֥ת נִקְמַת־יְהוָ֖ה בְּמִדְיָֽן׃</w:t>
      </w:r>
    </w:p>
    <w:p w14:paraId="7EC50FD5"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Deutsch:</w:t>
      </w:r>
      <w:r w:rsidRPr="00906791">
        <w:rPr>
          <w:rFonts w:eastAsia="Times New Roman" w:cs="Times New Roman"/>
          <w:lang w:eastAsia="de-DE"/>
        </w:rPr>
        <w:t xml:space="preserve"> Und Mosche redete zum Volk, sagend: „Rüstet euch Männer zum Heer aus, dass sie gegen Midjan seien, um die Rache des Ewigen an Midjan zu geben.</w:t>
      </w:r>
    </w:p>
    <w:p w14:paraId="68FD48DA" w14:textId="77777777" w:rsidR="00906791" w:rsidRPr="00906791" w:rsidRDefault="00F329DD" w:rsidP="00906791">
      <w:pPr>
        <w:spacing w:after="0" w:line="240" w:lineRule="auto"/>
        <w:rPr>
          <w:rFonts w:eastAsia="Times New Roman" w:cs="Times New Roman"/>
          <w:lang w:eastAsia="de-DE"/>
        </w:rPr>
      </w:pPr>
      <w:r>
        <w:rPr>
          <w:rFonts w:eastAsia="Times New Roman" w:cs="Times New Roman"/>
          <w:noProof/>
          <w:lang w:eastAsia="de-DE"/>
        </w:rPr>
        <w:pict w14:anchorId="5B5D9493">
          <v:rect id="_x0000_i1948" style="width:0;height:1.5pt" o:hralign="center" o:hrstd="t" o:hr="t" fillcolor="#a0a0a0" stroked="f"/>
        </w:pict>
      </w:r>
    </w:p>
    <w:p w14:paraId="57E0B161"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Kommentar:</w:t>
      </w:r>
      <w:r w:rsidRPr="00906791">
        <w:rPr>
          <w:rFonts w:eastAsia="Times New Roman" w:cs="Times New Roman"/>
          <w:lang w:eastAsia="de-DE"/>
        </w:rPr>
        <w:t xml:space="preserve"> Der Vers zeigt Moses Weitergabe des göttlichen Befehls. </w:t>
      </w:r>
      <w:r w:rsidRPr="00906791">
        <w:rPr>
          <w:rFonts w:eastAsia="Times New Roman" w:cs="Times New Roman"/>
          <w:b/>
          <w:bCs/>
          <w:rtl/>
          <w:lang w:eastAsia="de-DE"/>
        </w:rPr>
        <w:t>וַיְדַבֵּר מֹשֶׁה אֶל־הָעָם לֵאמֹר</w:t>
      </w:r>
      <w:r w:rsidRPr="00906791">
        <w:rPr>
          <w:rFonts w:eastAsia="Times New Roman" w:cs="Times New Roman"/>
          <w:rtl/>
          <w:lang w:eastAsia="de-DE"/>
        </w:rPr>
        <w:t xml:space="preserve"> </w:t>
      </w:r>
      <w:r w:rsidRPr="00906791">
        <w:rPr>
          <w:rFonts w:eastAsia="Times New Roman" w:cs="Times New Roman"/>
          <w:lang w:eastAsia="de-DE"/>
        </w:rPr>
        <w:t xml:space="preserve">ist die Redeeinleitung (Piel Wayyiqtol von </w:t>
      </w:r>
      <w:r w:rsidRPr="00906791">
        <w:rPr>
          <w:rFonts w:eastAsia="Times New Roman" w:cs="Times New Roman"/>
          <w:b/>
          <w:bCs/>
          <w:rtl/>
          <w:lang w:eastAsia="de-DE"/>
        </w:rPr>
        <w:t>דבר</w:t>
      </w:r>
      <w:r w:rsidRPr="00906791">
        <w:rPr>
          <w:rFonts w:eastAsia="Times New Roman" w:cs="Times New Roman"/>
          <w:rtl/>
          <w:lang w:eastAsia="de-DE"/>
        </w:rPr>
        <w:t xml:space="preserve"> </w:t>
      </w:r>
      <w:r w:rsidRPr="00906791">
        <w:rPr>
          <w:rFonts w:eastAsia="Times New Roman" w:cs="Times New Roman"/>
          <w:lang w:eastAsia="de-DE"/>
        </w:rPr>
        <w:t xml:space="preserve">mit </w:t>
      </w:r>
      <w:r w:rsidRPr="00906791">
        <w:rPr>
          <w:rFonts w:eastAsia="Times New Roman" w:cs="Times New Roman"/>
          <w:b/>
          <w:bCs/>
          <w:rtl/>
          <w:lang w:eastAsia="de-DE"/>
        </w:rPr>
        <w:t>מֹשֶׁה</w:t>
      </w:r>
      <w:r w:rsidRPr="00906791">
        <w:rPr>
          <w:rFonts w:eastAsia="Times New Roman" w:cs="Times New Roman"/>
          <w:rtl/>
          <w:lang w:eastAsia="de-DE"/>
        </w:rPr>
        <w:t xml:space="preserve"> </w:t>
      </w:r>
      <w:r w:rsidRPr="00906791">
        <w:rPr>
          <w:rFonts w:eastAsia="Times New Roman" w:cs="Times New Roman"/>
          <w:lang w:eastAsia="de-DE"/>
        </w:rPr>
        <w:t xml:space="preserve">als Subjekt und </w:t>
      </w:r>
      <w:r w:rsidRPr="00906791">
        <w:rPr>
          <w:rFonts w:eastAsia="Times New Roman" w:cs="Times New Roman"/>
          <w:b/>
          <w:bCs/>
          <w:rtl/>
          <w:lang w:eastAsia="de-DE"/>
        </w:rPr>
        <w:t>אֶל־הָעָם</w:t>
      </w:r>
      <w:r w:rsidRPr="00906791">
        <w:rPr>
          <w:rFonts w:eastAsia="Times New Roman" w:cs="Times New Roman"/>
          <w:rtl/>
          <w:lang w:eastAsia="de-DE"/>
        </w:rPr>
        <w:t xml:space="preserve"> </w:t>
      </w:r>
      <w:r w:rsidRPr="00906791">
        <w:rPr>
          <w:rFonts w:eastAsia="Times New Roman" w:cs="Times New Roman"/>
          <w:lang w:eastAsia="de-DE"/>
        </w:rPr>
        <w:t xml:space="preserve">„zum Volk"). </w:t>
      </w:r>
      <w:r w:rsidRPr="00906791">
        <w:rPr>
          <w:rFonts w:eastAsia="Times New Roman" w:cs="Times New Roman"/>
          <w:b/>
          <w:bCs/>
          <w:rtl/>
          <w:lang w:eastAsia="de-DE"/>
        </w:rPr>
        <w:t>הֵחָלְצוּ מֵאִתְּכֶם אֲנָשִׁים לַצָּבָא</w:t>
      </w:r>
      <w:r w:rsidRPr="00906791">
        <w:rPr>
          <w:rFonts w:eastAsia="Times New Roman" w:cs="Times New Roman"/>
          <w:rtl/>
          <w:lang w:eastAsia="de-DE"/>
        </w:rPr>
        <w:t xml:space="preserve"> </w:t>
      </w:r>
      <w:r w:rsidRPr="00906791">
        <w:rPr>
          <w:rFonts w:eastAsia="Times New Roman" w:cs="Times New Roman"/>
          <w:lang w:eastAsia="de-DE"/>
        </w:rPr>
        <w:t xml:space="preserve">ist der Befehl. </w:t>
      </w:r>
      <w:r w:rsidRPr="00906791">
        <w:rPr>
          <w:rFonts w:eastAsia="Times New Roman" w:cs="Times New Roman"/>
          <w:b/>
          <w:bCs/>
          <w:rtl/>
          <w:lang w:eastAsia="de-DE"/>
        </w:rPr>
        <w:t>הֵחָלְצוּ</w:t>
      </w:r>
      <w:r w:rsidRPr="00906791">
        <w:rPr>
          <w:rFonts w:eastAsia="Times New Roman" w:cs="Times New Roman"/>
          <w:rtl/>
          <w:lang w:eastAsia="de-DE"/>
        </w:rPr>
        <w:t xml:space="preserve"> </w:t>
      </w:r>
      <w:r w:rsidRPr="00906791">
        <w:rPr>
          <w:rFonts w:eastAsia="Times New Roman" w:cs="Times New Roman"/>
          <w:lang w:eastAsia="de-DE"/>
        </w:rPr>
        <w:t xml:space="preserve">ist Niphal Imperativ maskulin Plural von </w:t>
      </w:r>
      <w:r w:rsidRPr="00906791">
        <w:rPr>
          <w:rFonts w:eastAsia="Times New Roman" w:cs="Times New Roman"/>
          <w:b/>
          <w:bCs/>
          <w:rtl/>
          <w:lang w:eastAsia="de-DE"/>
        </w:rPr>
        <w:t>חלץ</w:t>
      </w:r>
      <w:r w:rsidRPr="00906791">
        <w:rPr>
          <w:rFonts w:eastAsia="Times New Roman" w:cs="Times New Roman"/>
          <w:rtl/>
          <w:lang w:eastAsia="de-DE"/>
        </w:rPr>
        <w:t xml:space="preserve"> </w:t>
      </w:r>
      <w:r w:rsidRPr="00906791">
        <w:rPr>
          <w:rFonts w:eastAsia="Times New Roman" w:cs="Times New Roman"/>
          <w:lang w:eastAsia="de-DE"/>
        </w:rPr>
        <w:t xml:space="preserve">(„ausrüsten, waffnen, bereit machen"), </w:t>
      </w:r>
      <w:r w:rsidRPr="00906791">
        <w:rPr>
          <w:rFonts w:eastAsia="Times New Roman" w:cs="Times New Roman"/>
          <w:b/>
          <w:bCs/>
          <w:rtl/>
          <w:lang w:eastAsia="de-DE"/>
        </w:rPr>
        <w:t>מֵאִתְּכֶם</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מִן</w:t>
      </w:r>
      <w:r w:rsidRPr="00906791">
        <w:rPr>
          <w:rFonts w:eastAsia="Times New Roman" w:cs="Times New Roman"/>
          <w:rtl/>
          <w:lang w:eastAsia="de-DE"/>
        </w:rPr>
        <w:t xml:space="preserve"> </w:t>
      </w:r>
      <w:r w:rsidRPr="00906791">
        <w:rPr>
          <w:rFonts w:eastAsia="Times New Roman" w:cs="Times New Roman"/>
          <w:lang w:eastAsia="de-DE"/>
        </w:rPr>
        <w:t xml:space="preserve">mit </w:t>
      </w:r>
      <w:r w:rsidRPr="00906791">
        <w:rPr>
          <w:rFonts w:eastAsia="Times New Roman" w:cs="Times New Roman"/>
          <w:b/>
          <w:bCs/>
          <w:rtl/>
          <w:lang w:eastAsia="de-DE"/>
        </w:rPr>
        <w:t>אֵת</w:t>
      </w:r>
      <w:r w:rsidRPr="00906791">
        <w:rPr>
          <w:rFonts w:eastAsia="Times New Roman" w:cs="Times New Roman"/>
          <w:rtl/>
          <w:lang w:eastAsia="de-DE"/>
        </w:rPr>
        <w:t xml:space="preserve"> </w:t>
      </w:r>
      <w:r w:rsidRPr="00906791">
        <w:rPr>
          <w:rFonts w:eastAsia="Times New Roman" w:cs="Times New Roman"/>
          <w:lang w:eastAsia="de-DE"/>
        </w:rPr>
        <w:t xml:space="preserve">und Suffix 2. Person maskulin Plural „von euch, aus eurer Mitte"), </w:t>
      </w:r>
      <w:r w:rsidRPr="00906791">
        <w:rPr>
          <w:rFonts w:eastAsia="Times New Roman" w:cs="Times New Roman"/>
          <w:b/>
          <w:bCs/>
          <w:rtl/>
          <w:lang w:eastAsia="de-DE"/>
        </w:rPr>
        <w:t>אֲנָשִׁים</w:t>
      </w:r>
      <w:r w:rsidRPr="00906791">
        <w:rPr>
          <w:rFonts w:eastAsia="Times New Roman" w:cs="Times New Roman"/>
          <w:rtl/>
          <w:lang w:eastAsia="de-DE"/>
        </w:rPr>
        <w:t xml:space="preserve"> </w:t>
      </w:r>
      <w:r w:rsidRPr="00906791">
        <w:rPr>
          <w:rFonts w:eastAsia="Times New Roman" w:cs="Times New Roman"/>
          <w:lang w:eastAsia="de-DE"/>
        </w:rPr>
        <w:t xml:space="preserve">(Plural „Männer"), </w:t>
      </w:r>
      <w:r w:rsidRPr="00906791">
        <w:rPr>
          <w:rFonts w:eastAsia="Times New Roman" w:cs="Times New Roman"/>
          <w:b/>
          <w:bCs/>
          <w:rtl/>
          <w:lang w:eastAsia="de-DE"/>
        </w:rPr>
        <w:t>לַצָּבָא</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לְ</w:t>
      </w:r>
      <w:r w:rsidRPr="00906791">
        <w:rPr>
          <w:rFonts w:eastAsia="Times New Roman" w:cs="Times New Roman"/>
          <w:rtl/>
          <w:lang w:eastAsia="de-DE"/>
        </w:rPr>
        <w:t xml:space="preserve"> </w:t>
      </w:r>
      <w:r w:rsidRPr="00906791">
        <w:rPr>
          <w:rFonts w:eastAsia="Times New Roman" w:cs="Times New Roman"/>
          <w:lang w:eastAsia="de-DE"/>
        </w:rPr>
        <w:t xml:space="preserve">mit </w:t>
      </w:r>
      <w:r w:rsidRPr="00906791">
        <w:rPr>
          <w:rFonts w:eastAsia="Times New Roman" w:cs="Times New Roman"/>
          <w:b/>
          <w:bCs/>
          <w:rtl/>
          <w:lang w:eastAsia="de-DE"/>
        </w:rPr>
        <w:t>צָבָא</w:t>
      </w:r>
      <w:r w:rsidRPr="00906791">
        <w:rPr>
          <w:rFonts w:eastAsia="Times New Roman" w:cs="Times New Roman"/>
          <w:rtl/>
          <w:lang w:eastAsia="de-DE"/>
        </w:rPr>
        <w:t xml:space="preserve"> </w:t>
      </w:r>
      <w:r w:rsidRPr="00906791">
        <w:rPr>
          <w:rFonts w:eastAsia="Times New Roman" w:cs="Times New Roman"/>
          <w:lang w:eastAsia="de-DE"/>
        </w:rPr>
        <w:t xml:space="preserve">„Heer, Kriegsdienst" und Artikel „zum Heer"). Das Niphal von </w:t>
      </w:r>
      <w:r w:rsidRPr="00906791">
        <w:rPr>
          <w:rFonts w:eastAsia="Times New Roman" w:cs="Times New Roman"/>
          <w:b/>
          <w:bCs/>
          <w:rtl/>
          <w:lang w:eastAsia="de-DE"/>
        </w:rPr>
        <w:t>חלץ</w:t>
      </w:r>
      <w:r w:rsidRPr="00906791">
        <w:rPr>
          <w:rFonts w:eastAsia="Times New Roman" w:cs="Times New Roman"/>
          <w:rtl/>
          <w:lang w:eastAsia="de-DE"/>
        </w:rPr>
        <w:t xml:space="preserve"> </w:t>
      </w:r>
      <w:r w:rsidRPr="00906791">
        <w:rPr>
          <w:rFonts w:eastAsia="Times New Roman" w:cs="Times New Roman"/>
          <w:lang w:eastAsia="de-DE"/>
        </w:rPr>
        <w:t>bedeutet „sich rüsten, sich bewaffnen" oder passivisch „ausgerüstet/bewaffnet werden".</w:t>
      </w:r>
    </w:p>
    <w:p w14:paraId="6201BC70" w14:textId="7A01E9DA"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rtl/>
          <w:lang w:eastAsia="de-DE"/>
        </w:rPr>
        <w:t>וְיִהְיוּ עַל־מִדְיָן לָתֵת נִקְמַת־יהוה בְּמִדְיָן</w:t>
      </w:r>
      <w:r w:rsidRPr="00906791">
        <w:rPr>
          <w:rFonts w:eastAsia="Times New Roman" w:cs="Times New Roman"/>
          <w:rtl/>
          <w:lang w:eastAsia="de-DE"/>
        </w:rPr>
        <w:t xml:space="preserve"> </w:t>
      </w:r>
      <w:r w:rsidRPr="00906791">
        <w:rPr>
          <w:rFonts w:eastAsia="Times New Roman" w:cs="Times New Roman"/>
          <w:lang w:eastAsia="de-DE"/>
        </w:rPr>
        <w:t xml:space="preserve">gibt Zweck und Ziel an. </w:t>
      </w:r>
      <w:r w:rsidRPr="00906791">
        <w:rPr>
          <w:rFonts w:eastAsia="Times New Roman" w:cs="Times New Roman"/>
          <w:b/>
          <w:bCs/>
          <w:rtl/>
          <w:lang w:eastAsia="de-DE"/>
        </w:rPr>
        <w:t>וְיִהְיוּ</w:t>
      </w:r>
      <w:r w:rsidRPr="00906791">
        <w:rPr>
          <w:rFonts w:eastAsia="Times New Roman" w:cs="Times New Roman"/>
          <w:rtl/>
          <w:lang w:eastAsia="de-DE"/>
        </w:rPr>
        <w:t xml:space="preserve"> </w:t>
      </w:r>
      <w:r w:rsidRPr="00906791">
        <w:rPr>
          <w:rFonts w:eastAsia="Times New Roman" w:cs="Times New Roman"/>
          <w:lang w:eastAsia="de-DE"/>
        </w:rPr>
        <w:t xml:space="preserve">(Konjunktion mit Qal Imperfekt 3. Person maskulin Plural von </w:t>
      </w:r>
      <w:r w:rsidRPr="00906791">
        <w:rPr>
          <w:rFonts w:eastAsia="Times New Roman" w:cs="Times New Roman"/>
          <w:b/>
          <w:bCs/>
          <w:rtl/>
          <w:lang w:eastAsia="de-DE"/>
        </w:rPr>
        <w:t>היה</w:t>
      </w:r>
      <w:r w:rsidRPr="00906791">
        <w:rPr>
          <w:rFonts w:eastAsia="Times New Roman" w:cs="Times New Roman"/>
          <w:rtl/>
          <w:lang w:eastAsia="de-DE"/>
        </w:rPr>
        <w:t xml:space="preserve"> </w:t>
      </w:r>
      <w:r w:rsidRPr="00906791">
        <w:rPr>
          <w:rFonts w:eastAsia="Times New Roman" w:cs="Times New Roman"/>
          <w:lang w:eastAsia="de-DE"/>
        </w:rPr>
        <w:t xml:space="preserve">„sein" „und sie sollen sein"), </w:t>
      </w:r>
      <w:r w:rsidRPr="00906791">
        <w:rPr>
          <w:rFonts w:eastAsia="Times New Roman" w:cs="Times New Roman"/>
          <w:b/>
          <w:bCs/>
          <w:rtl/>
          <w:lang w:eastAsia="de-DE"/>
        </w:rPr>
        <w:t>עַל־מִדְיָן</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עַל</w:t>
      </w:r>
      <w:r w:rsidRPr="00906791">
        <w:rPr>
          <w:rFonts w:eastAsia="Times New Roman" w:cs="Times New Roman"/>
          <w:rtl/>
          <w:lang w:eastAsia="de-DE"/>
        </w:rPr>
        <w:t xml:space="preserve"> </w:t>
      </w:r>
      <w:r w:rsidRPr="00906791">
        <w:rPr>
          <w:rFonts w:eastAsia="Times New Roman" w:cs="Times New Roman"/>
          <w:lang w:eastAsia="de-DE"/>
        </w:rPr>
        <w:t xml:space="preserve">„gegen" mit </w:t>
      </w:r>
      <w:r w:rsidRPr="00906791">
        <w:rPr>
          <w:rFonts w:eastAsia="Times New Roman" w:cs="Times New Roman"/>
          <w:b/>
          <w:bCs/>
          <w:rtl/>
          <w:lang w:eastAsia="de-DE"/>
        </w:rPr>
        <w:t>מִדְיָן</w:t>
      </w:r>
      <w:r w:rsidRPr="00906791">
        <w:rPr>
          <w:rFonts w:eastAsia="Times New Roman" w:cs="Times New Roman"/>
          <w:rtl/>
          <w:lang w:eastAsia="de-DE"/>
        </w:rPr>
        <w:t xml:space="preserve"> </w:t>
      </w:r>
      <w:r w:rsidRPr="00906791">
        <w:rPr>
          <w:rFonts w:eastAsia="Times New Roman" w:cs="Times New Roman"/>
          <w:lang w:eastAsia="de-DE"/>
        </w:rPr>
        <w:t xml:space="preserve">„Midian"), </w:t>
      </w:r>
      <w:r w:rsidRPr="00906791">
        <w:rPr>
          <w:rFonts w:eastAsia="Times New Roman" w:cs="Times New Roman"/>
          <w:b/>
          <w:bCs/>
          <w:rtl/>
          <w:lang w:eastAsia="de-DE"/>
        </w:rPr>
        <w:t>לָתֵת</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לְ</w:t>
      </w:r>
      <w:r w:rsidRPr="00906791">
        <w:rPr>
          <w:rFonts w:eastAsia="Times New Roman" w:cs="Times New Roman"/>
          <w:rtl/>
          <w:lang w:eastAsia="de-DE"/>
        </w:rPr>
        <w:t xml:space="preserve"> </w:t>
      </w:r>
      <w:r w:rsidRPr="00906791">
        <w:rPr>
          <w:rFonts w:eastAsia="Times New Roman" w:cs="Times New Roman"/>
          <w:lang w:eastAsia="de-DE"/>
        </w:rPr>
        <w:t xml:space="preserve">mit Qal Infinitiv </w:t>
      </w:r>
      <w:r w:rsidR="00E031B3">
        <w:rPr>
          <w:rFonts w:eastAsia="Times New Roman" w:cs="Times New Roman"/>
          <w:lang w:eastAsia="de-DE"/>
        </w:rPr>
        <w:t>Constructus von</w:t>
      </w:r>
      <w:r w:rsidRPr="00906791">
        <w:rPr>
          <w:rFonts w:eastAsia="Times New Roman" w:cs="Times New Roman"/>
          <w:lang w:eastAsia="de-DE"/>
        </w:rPr>
        <w:t xml:space="preserve"> </w:t>
      </w:r>
      <w:r w:rsidRPr="00906791">
        <w:rPr>
          <w:rFonts w:eastAsia="Times New Roman" w:cs="Times New Roman"/>
          <w:b/>
          <w:bCs/>
          <w:rtl/>
          <w:lang w:eastAsia="de-DE"/>
        </w:rPr>
        <w:t>נתן</w:t>
      </w:r>
      <w:r w:rsidRPr="00906791">
        <w:rPr>
          <w:rFonts w:eastAsia="Times New Roman" w:cs="Times New Roman"/>
          <w:rtl/>
          <w:lang w:eastAsia="de-DE"/>
        </w:rPr>
        <w:t xml:space="preserve"> </w:t>
      </w:r>
      <w:r w:rsidRPr="00906791">
        <w:rPr>
          <w:rFonts w:eastAsia="Times New Roman" w:cs="Times New Roman"/>
          <w:lang w:eastAsia="de-DE"/>
        </w:rPr>
        <w:t xml:space="preserve">„geben" „um zu geben"), </w:t>
      </w:r>
      <w:r w:rsidRPr="00906791">
        <w:rPr>
          <w:rFonts w:eastAsia="Times New Roman" w:cs="Times New Roman"/>
          <w:b/>
          <w:bCs/>
          <w:rtl/>
          <w:lang w:eastAsia="de-DE"/>
        </w:rPr>
        <w:t>נִקְמַת־יהוה</w:t>
      </w:r>
      <w:r w:rsidRPr="00906791">
        <w:rPr>
          <w:rFonts w:eastAsia="Times New Roman" w:cs="Times New Roman"/>
          <w:rtl/>
          <w:lang w:eastAsia="de-DE"/>
        </w:rPr>
        <w:t xml:space="preserve"> </w:t>
      </w:r>
      <w:r w:rsidRPr="00906791">
        <w:rPr>
          <w:rFonts w:eastAsia="Times New Roman" w:cs="Times New Roman"/>
          <w:lang w:eastAsia="de-DE"/>
        </w:rPr>
        <w:t>(</w:t>
      </w:r>
      <w:r w:rsidR="00B513FF">
        <w:rPr>
          <w:rFonts w:eastAsia="Times New Roman" w:cs="Times New Roman"/>
          <w:lang w:eastAsia="de-DE"/>
        </w:rPr>
        <w:t xml:space="preserve">Constructus </w:t>
      </w:r>
      <w:r w:rsidRPr="00906791">
        <w:rPr>
          <w:rFonts w:eastAsia="Times New Roman" w:cs="Times New Roman"/>
          <w:lang w:eastAsia="de-DE"/>
        </w:rPr>
        <w:t xml:space="preserve">verbindung „die Rache JHWHs"), </w:t>
      </w:r>
      <w:r w:rsidRPr="00906791">
        <w:rPr>
          <w:rFonts w:eastAsia="Times New Roman" w:cs="Times New Roman"/>
          <w:b/>
          <w:bCs/>
          <w:rtl/>
          <w:lang w:eastAsia="de-DE"/>
        </w:rPr>
        <w:t>בְּמִדְיָן</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בְ</w:t>
      </w:r>
      <w:r w:rsidRPr="00906791">
        <w:rPr>
          <w:rFonts w:eastAsia="Times New Roman" w:cs="Times New Roman"/>
          <w:rtl/>
          <w:lang w:eastAsia="de-DE"/>
        </w:rPr>
        <w:t xml:space="preserve"> </w:t>
      </w:r>
      <w:r w:rsidRPr="00906791">
        <w:rPr>
          <w:rFonts w:eastAsia="Times New Roman" w:cs="Times New Roman"/>
          <w:lang w:eastAsia="de-DE"/>
        </w:rPr>
        <w:t xml:space="preserve">„an, gegen" mit </w:t>
      </w:r>
      <w:r w:rsidRPr="00906791">
        <w:rPr>
          <w:rFonts w:eastAsia="Times New Roman" w:cs="Times New Roman"/>
          <w:b/>
          <w:bCs/>
          <w:rtl/>
          <w:lang w:eastAsia="de-DE"/>
        </w:rPr>
        <w:t>מִדְיָן</w:t>
      </w:r>
      <w:r w:rsidRPr="00906791">
        <w:rPr>
          <w:rFonts w:eastAsia="Times New Roman" w:cs="Times New Roman"/>
          <w:lang w:eastAsia="de-DE"/>
        </w:rPr>
        <w:t xml:space="preserve">). Bemerkenswert: Mose nennt es </w:t>
      </w:r>
      <w:r w:rsidRPr="00906791">
        <w:rPr>
          <w:rFonts w:eastAsia="Times New Roman" w:cs="Times New Roman"/>
          <w:b/>
          <w:bCs/>
          <w:rtl/>
          <w:lang w:eastAsia="de-DE"/>
        </w:rPr>
        <w:t>נִקְמַת־יהוה</w:t>
      </w:r>
      <w:r w:rsidRPr="00906791">
        <w:rPr>
          <w:rFonts w:eastAsia="Times New Roman" w:cs="Times New Roman"/>
          <w:rtl/>
          <w:lang w:eastAsia="de-DE"/>
        </w:rPr>
        <w:t xml:space="preserve"> </w:t>
      </w:r>
      <w:r w:rsidRPr="00906791">
        <w:rPr>
          <w:rFonts w:eastAsia="Times New Roman" w:cs="Times New Roman"/>
          <w:lang w:eastAsia="de-DE"/>
        </w:rPr>
        <w:t>„die Rache des Ewigen" (statt „Rache der Söhne Israels" wie in V. 2), was zeigt, dass die Sünde gegen Israel zugleich Sünde gegen Gott ist.</w:t>
      </w:r>
    </w:p>
    <w:p w14:paraId="5E74D089"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Die Satzstruktur zeigt eine Redeeinleitung, gefolgt von einem Imperativ und einem finalen Infinitivsatz, der den Zweck angibt.</w:t>
      </w:r>
    </w:p>
    <w:p w14:paraId="4270FD99"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Der Vers zeigt Moses Interpretation des göttlichen Befehls: Was Gott als Rache für Israel bezeichnet, nennt Mose „Rache des Ewigen" - eine Identifikation Gottes mit seinem Volk, die zeigt, dass Angriffe auf Israel Angriffe auf Gott selbst sind.</w:t>
      </w:r>
    </w:p>
    <w:p w14:paraId="03BDAAA8" w14:textId="77777777" w:rsidR="00906791" w:rsidRPr="00906791" w:rsidRDefault="00906791" w:rsidP="00906791">
      <w:pPr>
        <w:spacing w:before="100" w:beforeAutospacing="1" w:after="100" w:afterAutospacing="1" w:line="240" w:lineRule="auto"/>
        <w:outlineLvl w:val="0"/>
        <w:rPr>
          <w:rFonts w:eastAsia="Times New Roman" w:cs="Times New Roman"/>
          <w:b/>
          <w:bCs/>
          <w:kern w:val="36"/>
          <w:sz w:val="48"/>
          <w:szCs w:val="48"/>
          <w:lang w:eastAsia="de-DE"/>
        </w:rPr>
      </w:pPr>
      <w:r w:rsidRPr="00906791">
        <w:rPr>
          <w:rFonts w:eastAsia="Times New Roman" w:cs="Times New Roman"/>
          <w:b/>
          <w:bCs/>
          <w:kern w:val="36"/>
          <w:sz w:val="48"/>
          <w:szCs w:val="48"/>
          <w:lang w:eastAsia="de-DE"/>
        </w:rPr>
        <w:t>Numeri 31,4</w:t>
      </w:r>
    </w:p>
    <w:p w14:paraId="1E489ADE"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lastRenderedPageBreak/>
        <w:t>Hebräisch:</w:t>
      </w:r>
      <w:r w:rsidRPr="00906791">
        <w:rPr>
          <w:rFonts w:eastAsia="Times New Roman" w:cs="Times New Roman"/>
          <w:lang w:eastAsia="de-DE"/>
        </w:rPr>
        <w:t xml:space="preserve"> </w:t>
      </w:r>
      <w:r w:rsidRPr="00906791">
        <w:rPr>
          <w:rFonts w:eastAsia="Times New Roman" w:cs="Times New Roman"/>
          <w:rtl/>
          <w:lang w:eastAsia="de-DE"/>
        </w:rPr>
        <w:t>אֶ֚לֶף לַמַּטֶּ֔ה אֶ֖לֶף לַמַּטֶּ֑ה לְכֹל֙ מַטּ֣וֹת יִשְׂרָאֵ֔ל תִּשְׁלְח֖וּ לַצָּבָֽא׃</w:t>
      </w:r>
    </w:p>
    <w:p w14:paraId="6269F416"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Deutsch:</w:t>
      </w:r>
      <w:r w:rsidRPr="00906791">
        <w:rPr>
          <w:rFonts w:eastAsia="Times New Roman" w:cs="Times New Roman"/>
          <w:lang w:eastAsia="de-DE"/>
        </w:rPr>
        <w:t xml:space="preserve"> Je 1.000 vom Stamm, von allen Stämmen Jisra'els, sollt ihr zum Heer senden.</w:t>
      </w:r>
    </w:p>
    <w:p w14:paraId="15C5EE19" w14:textId="77777777" w:rsidR="00906791" w:rsidRPr="00906791" w:rsidRDefault="00F329DD" w:rsidP="00906791">
      <w:pPr>
        <w:spacing w:after="0" w:line="240" w:lineRule="auto"/>
        <w:rPr>
          <w:rFonts w:eastAsia="Times New Roman" w:cs="Times New Roman"/>
          <w:lang w:eastAsia="de-DE"/>
        </w:rPr>
      </w:pPr>
      <w:r>
        <w:rPr>
          <w:rFonts w:eastAsia="Times New Roman" w:cs="Times New Roman"/>
          <w:noProof/>
          <w:lang w:eastAsia="de-DE"/>
        </w:rPr>
        <w:pict w14:anchorId="3019BF65">
          <v:rect id="_x0000_i1949" style="width:0;height:1.5pt" o:hralign="center" o:hrstd="t" o:hr="t" fillcolor="#a0a0a0" stroked="f"/>
        </w:pict>
      </w:r>
    </w:p>
    <w:p w14:paraId="302D7932" w14:textId="014DFAD6" w:rsidR="00906791" w:rsidRPr="00906791" w:rsidRDefault="00906791" w:rsidP="00C0709A">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Kommentar:</w:t>
      </w:r>
      <w:r w:rsidRPr="00906791">
        <w:rPr>
          <w:rFonts w:eastAsia="Times New Roman" w:cs="Times New Roman"/>
          <w:lang w:eastAsia="de-DE"/>
        </w:rPr>
        <w:t xml:space="preserve"> Der Vers spezifiziert die Truppenstärke. </w:t>
      </w:r>
      <w:r w:rsidRPr="00906791">
        <w:rPr>
          <w:rFonts w:eastAsia="Times New Roman" w:cs="Times New Roman"/>
          <w:b/>
          <w:bCs/>
          <w:rtl/>
          <w:lang w:eastAsia="de-DE"/>
        </w:rPr>
        <w:t>אֶלֶף לַמַּטֶּה אֶלֶף לַמַּטֶּה</w:t>
      </w:r>
      <w:r w:rsidRPr="00906791">
        <w:rPr>
          <w:rFonts w:eastAsia="Times New Roman" w:cs="Times New Roman"/>
          <w:rtl/>
          <w:lang w:eastAsia="de-DE"/>
        </w:rPr>
        <w:t xml:space="preserve"> </w:t>
      </w:r>
      <w:r w:rsidRPr="00906791">
        <w:rPr>
          <w:rFonts w:eastAsia="Times New Roman" w:cs="Times New Roman"/>
          <w:lang w:eastAsia="de-DE"/>
        </w:rPr>
        <w:t xml:space="preserve">ist eine Wiederholung. </w:t>
      </w:r>
      <w:r w:rsidRPr="00906791">
        <w:rPr>
          <w:rFonts w:eastAsia="Times New Roman" w:cs="Times New Roman"/>
          <w:b/>
          <w:bCs/>
          <w:rtl/>
          <w:lang w:eastAsia="de-DE"/>
        </w:rPr>
        <w:t>אֶלֶף</w:t>
      </w:r>
      <w:r w:rsidRPr="00906791">
        <w:rPr>
          <w:rFonts w:eastAsia="Times New Roman" w:cs="Times New Roman"/>
          <w:rtl/>
          <w:lang w:eastAsia="de-DE"/>
        </w:rPr>
        <w:t xml:space="preserve"> </w:t>
      </w:r>
      <w:r w:rsidRPr="00906791">
        <w:rPr>
          <w:rFonts w:eastAsia="Times New Roman" w:cs="Times New Roman"/>
          <w:lang w:eastAsia="de-DE"/>
        </w:rPr>
        <w:t xml:space="preserve">(„tausend"), </w:t>
      </w:r>
      <w:r w:rsidRPr="00906791">
        <w:rPr>
          <w:rFonts w:eastAsia="Times New Roman" w:cs="Times New Roman"/>
          <w:b/>
          <w:bCs/>
          <w:rtl/>
          <w:lang w:eastAsia="de-DE"/>
        </w:rPr>
        <w:t>לַמַּטֶּה</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לְ</w:t>
      </w:r>
      <w:r w:rsidRPr="00906791">
        <w:rPr>
          <w:rFonts w:eastAsia="Times New Roman" w:cs="Times New Roman"/>
          <w:rtl/>
          <w:lang w:eastAsia="de-DE"/>
        </w:rPr>
        <w:t xml:space="preserve"> </w:t>
      </w:r>
      <w:r w:rsidRPr="00906791">
        <w:rPr>
          <w:rFonts w:eastAsia="Times New Roman" w:cs="Times New Roman"/>
          <w:lang w:eastAsia="de-DE"/>
        </w:rPr>
        <w:t xml:space="preserve">mit </w:t>
      </w:r>
      <w:r w:rsidRPr="00906791">
        <w:rPr>
          <w:rFonts w:eastAsia="Times New Roman" w:cs="Times New Roman"/>
          <w:b/>
          <w:bCs/>
          <w:rtl/>
          <w:lang w:eastAsia="de-DE"/>
        </w:rPr>
        <w:t>מַטֶּה</w:t>
      </w:r>
      <w:r w:rsidRPr="00906791">
        <w:rPr>
          <w:rFonts w:eastAsia="Times New Roman" w:cs="Times New Roman"/>
          <w:rtl/>
          <w:lang w:eastAsia="de-DE"/>
        </w:rPr>
        <w:t xml:space="preserve"> </w:t>
      </w:r>
      <w:r w:rsidRPr="00906791">
        <w:rPr>
          <w:rFonts w:eastAsia="Times New Roman" w:cs="Times New Roman"/>
          <w:lang w:eastAsia="de-DE"/>
        </w:rPr>
        <w:t xml:space="preserve">„Stamm" und Artikel „pro Stamm, für den Stamm"). Die doppelte Formulierung betont die gleichmäßige Verteilung. </w:t>
      </w:r>
      <w:r w:rsidRPr="00906791">
        <w:rPr>
          <w:rFonts w:eastAsia="Times New Roman" w:cs="Times New Roman"/>
          <w:b/>
          <w:bCs/>
          <w:rtl/>
          <w:lang w:eastAsia="de-DE"/>
        </w:rPr>
        <w:t>לְכֹל מַטּוֹת יִשְׂרָאֵל</w:t>
      </w:r>
      <w:r w:rsidRPr="00906791">
        <w:rPr>
          <w:rFonts w:eastAsia="Times New Roman" w:cs="Times New Roman"/>
          <w:rtl/>
          <w:lang w:eastAsia="de-DE"/>
        </w:rPr>
        <w:t xml:space="preserve"> </w:t>
      </w:r>
      <w:r w:rsidRPr="00906791">
        <w:rPr>
          <w:rFonts w:eastAsia="Times New Roman" w:cs="Times New Roman"/>
          <w:lang w:eastAsia="de-DE"/>
        </w:rPr>
        <w:t xml:space="preserve">erweitert: </w:t>
      </w:r>
      <w:r w:rsidRPr="00906791">
        <w:rPr>
          <w:rFonts w:eastAsia="Times New Roman" w:cs="Times New Roman"/>
          <w:b/>
          <w:bCs/>
          <w:rtl/>
          <w:lang w:eastAsia="de-DE"/>
        </w:rPr>
        <w:t>לְכֹל</w:t>
      </w:r>
      <w:r w:rsidRPr="00906791">
        <w:rPr>
          <w:rFonts w:eastAsia="Times New Roman" w:cs="Times New Roman"/>
          <w:rtl/>
          <w:lang w:eastAsia="de-DE"/>
        </w:rPr>
        <w:t xml:space="preserve"> </w:t>
      </w:r>
      <w:r w:rsidRPr="00906791">
        <w:rPr>
          <w:rFonts w:eastAsia="Times New Roman" w:cs="Times New Roman"/>
          <w:lang w:eastAsia="de-DE"/>
        </w:rPr>
        <w:t xml:space="preserve">(Präposition mit </w:t>
      </w:r>
      <w:r w:rsidRPr="00906791">
        <w:rPr>
          <w:rFonts w:eastAsia="Times New Roman" w:cs="Times New Roman"/>
          <w:b/>
          <w:bCs/>
          <w:rtl/>
          <w:lang w:eastAsia="de-DE"/>
        </w:rPr>
        <w:t>כֹּל</w:t>
      </w:r>
      <w:r w:rsidRPr="00906791">
        <w:rPr>
          <w:rFonts w:eastAsia="Times New Roman" w:cs="Times New Roman"/>
          <w:rtl/>
          <w:lang w:eastAsia="de-DE"/>
        </w:rPr>
        <w:t xml:space="preserve"> </w:t>
      </w:r>
      <w:r w:rsidRPr="00906791">
        <w:rPr>
          <w:rFonts w:eastAsia="Times New Roman" w:cs="Times New Roman"/>
          <w:lang w:eastAsia="de-DE"/>
        </w:rPr>
        <w:t xml:space="preserve">„alle"), </w:t>
      </w:r>
      <w:r w:rsidRPr="00906791">
        <w:rPr>
          <w:rFonts w:eastAsia="Times New Roman" w:cs="Times New Roman"/>
          <w:b/>
          <w:bCs/>
          <w:rtl/>
          <w:lang w:eastAsia="de-DE"/>
        </w:rPr>
        <w:t>מַטּוֹת יִשְׂרָאֵל</w:t>
      </w:r>
      <w:r w:rsidRPr="00906791">
        <w:rPr>
          <w:rFonts w:eastAsia="Times New Roman" w:cs="Times New Roman"/>
          <w:rtl/>
          <w:lang w:eastAsia="de-DE"/>
        </w:rPr>
        <w:t xml:space="preserve"> </w:t>
      </w:r>
      <w:r w:rsidRPr="00906791">
        <w:rPr>
          <w:rFonts w:eastAsia="Times New Roman" w:cs="Times New Roman"/>
          <w:lang w:eastAsia="de-DE"/>
        </w:rPr>
        <w:t xml:space="preserve">(Plural „Stämme Israels"). </w:t>
      </w:r>
      <w:r w:rsidRPr="00906791">
        <w:rPr>
          <w:rFonts w:eastAsia="Times New Roman" w:cs="Times New Roman"/>
          <w:b/>
          <w:bCs/>
          <w:rtl/>
          <w:lang w:eastAsia="de-DE"/>
        </w:rPr>
        <w:t>תִּשְׁלְחוּ לַצָּבָא</w:t>
      </w:r>
      <w:r w:rsidRPr="00906791">
        <w:rPr>
          <w:rFonts w:eastAsia="Times New Roman" w:cs="Times New Roman"/>
          <w:rtl/>
          <w:lang w:eastAsia="de-DE"/>
        </w:rPr>
        <w:t xml:space="preserve"> </w:t>
      </w:r>
      <w:r w:rsidRPr="00906791">
        <w:rPr>
          <w:rFonts w:eastAsia="Times New Roman" w:cs="Times New Roman"/>
          <w:lang w:eastAsia="de-DE"/>
        </w:rPr>
        <w:t xml:space="preserve">ist der Imperativ: </w:t>
      </w:r>
      <w:r w:rsidRPr="00906791">
        <w:rPr>
          <w:rFonts w:eastAsia="Times New Roman" w:cs="Times New Roman"/>
          <w:b/>
          <w:bCs/>
          <w:rtl/>
          <w:lang w:eastAsia="de-DE"/>
        </w:rPr>
        <w:t>תִּשְׁלְחוּ</w:t>
      </w:r>
      <w:r w:rsidRPr="00906791">
        <w:rPr>
          <w:rFonts w:eastAsia="Times New Roman" w:cs="Times New Roman"/>
          <w:rtl/>
          <w:lang w:eastAsia="de-DE"/>
        </w:rPr>
        <w:t xml:space="preserve"> </w:t>
      </w:r>
      <w:r w:rsidRPr="00906791">
        <w:rPr>
          <w:rFonts w:eastAsia="Times New Roman" w:cs="Times New Roman"/>
          <w:lang w:eastAsia="de-DE"/>
        </w:rPr>
        <w:t xml:space="preserve">(Qal Imperfekt 2. Person maskulin Plural von </w:t>
      </w:r>
      <w:r w:rsidRPr="00906791">
        <w:rPr>
          <w:rFonts w:eastAsia="Times New Roman" w:cs="Times New Roman"/>
          <w:b/>
          <w:bCs/>
          <w:rtl/>
          <w:lang w:eastAsia="de-DE"/>
        </w:rPr>
        <w:t>שׁלח</w:t>
      </w:r>
      <w:r w:rsidRPr="00906791">
        <w:rPr>
          <w:rFonts w:eastAsia="Times New Roman" w:cs="Times New Roman"/>
          <w:rtl/>
          <w:lang w:eastAsia="de-DE"/>
        </w:rPr>
        <w:t xml:space="preserve"> </w:t>
      </w:r>
      <w:r w:rsidRPr="00906791">
        <w:rPr>
          <w:rFonts w:eastAsia="Times New Roman" w:cs="Times New Roman"/>
          <w:lang w:eastAsia="de-DE"/>
        </w:rPr>
        <w:t xml:space="preserve">„senden"), </w:t>
      </w:r>
      <w:r w:rsidRPr="00906791">
        <w:rPr>
          <w:rFonts w:eastAsia="Times New Roman" w:cs="Times New Roman"/>
          <w:b/>
          <w:bCs/>
          <w:rtl/>
          <w:lang w:eastAsia="de-DE"/>
        </w:rPr>
        <w:t>לַצָּבָא</w:t>
      </w:r>
      <w:r w:rsidRPr="00906791">
        <w:rPr>
          <w:rFonts w:eastAsia="Times New Roman" w:cs="Times New Roman"/>
          <w:rtl/>
          <w:lang w:eastAsia="de-DE"/>
        </w:rPr>
        <w:t xml:space="preserve"> </w:t>
      </w:r>
      <w:r w:rsidRPr="00906791">
        <w:rPr>
          <w:rFonts w:eastAsia="Times New Roman" w:cs="Times New Roman"/>
          <w:lang w:eastAsia="de-DE"/>
        </w:rPr>
        <w:t xml:space="preserve">(Präposition mit </w:t>
      </w:r>
      <w:r w:rsidRPr="00906791">
        <w:rPr>
          <w:rFonts w:eastAsia="Times New Roman" w:cs="Times New Roman"/>
          <w:b/>
          <w:bCs/>
          <w:rtl/>
          <w:lang w:eastAsia="de-DE"/>
        </w:rPr>
        <w:t>צָבָא</w:t>
      </w:r>
      <w:r w:rsidRPr="00906791">
        <w:rPr>
          <w:rFonts w:eastAsia="Times New Roman" w:cs="Times New Roman"/>
          <w:rtl/>
          <w:lang w:eastAsia="de-DE"/>
        </w:rPr>
        <w:t xml:space="preserve"> </w:t>
      </w:r>
      <w:r w:rsidRPr="00906791">
        <w:rPr>
          <w:rFonts w:eastAsia="Times New Roman" w:cs="Times New Roman"/>
          <w:lang w:eastAsia="de-DE"/>
        </w:rPr>
        <w:t>und Artikel „zum Heer").</w:t>
      </w:r>
    </w:p>
    <w:p w14:paraId="5B8F36E6" w14:textId="47E818B6"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 xml:space="preserve">Die Satzstruktur zeigt eine wiederholte nominale </w:t>
      </w:r>
      <w:r w:rsidR="00F133EC">
        <w:rPr>
          <w:rFonts w:eastAsia="Times New Roman" w:cs="Times New Roman"/>
          <w:lang w:eastAsia="de-DE"/>
        </w:rPr>
        <w:t>Construct</w:t>
      </w:r>
      <w:r w:rsidRPr="00906791">
        <w:rPr>
          <w:rFonts w:eastAsia="Times New Roman" w:cs="Times New Roman"/>
          <w:lang w:eastAsia="de-DE"/>
        </w:rPr>
        <w:t>ion (tausend pro Stamm), gefolgt von einer Erweiterung (von allen Stämmen) und einem Imperativ.</w:t>
      </w:r>
    </w:p>
    <w:p w14:paraId="2039F730"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Der Vers etabliert eine gleichmäßige Verteilung der militärischen Last: Jeder der zwölf Stämme soll 1.000 Mann stellen (insgesamt 12.000), was Einheit und gemeinsame Verantwortung symbolisiert.</w:t>
      </w:r>
    </w:p>
    <w:p w14:paraId="6ACCB9E9" w14:textId="77777777" w:rsidR="00906791" w:rsidRPr="00906791" w:rsidRDefault="00906791" w:rsidP="00906791">
      <w:pPr>
        <w:spacing w:before="100" w:beforeAutospacing="1" w:after="100" w:afterAutospacing="1" w:line="240" w:lineRule="auto"/>
        <w:outlineLvl w:val="0"/>
        <w:rPr>
          <w:rFonts w:eastAsia="Times New Roman" w:cs="Times New Roman"/>
          <w:b/>
          <w:bCs/>
          <w:kern w:val="36"/>
          <w:sz w:val="48"/>
          <w:szCs w:val="48"/>
          <w:lang w:eastAsia="de-DE"/>
        </w:rPr>
      </w:pPr>
      <w:r w:rsidRPr="00906791">
        <w:rPr>
          <w:rFonts w:eastAsia="Times New Roman" w:cs="Times New Roman"/>
          <w:b/>
          <w:bCs/>
          <w:kern w:val="36"/>
          <w:sz w:val="48"/>
          <w:szCs w:val="48"/>
          <w:lang w:eastAsia="de-DE"/>
        </w:rPr>
        <w:t>Numeri 31,5</w:t>
      </w:r>
    </w:p>
    <w:p w14:paraId="4B0518CE"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Hebräisch:</w:t>
      </w:r>
      <w:r w:rsidRPr="00906791">
        <w:rPr>
          <w:rFonts w:eastAsia="Times New Roman" w:cs="Times New Roman"/>
          <w:lang w:eastAsia="de-DE"/>
        </w:rPr>
        <w:t xml:space="preserve"> </w:t>
      </w:r>
      <w:r w:rsidRPr="00906791">
        <w:rPr>
          <w:rFonts w:eastAsia="Times New Roman" w:cs="Times New Roman"/>
          <w:rtl/>
          <w:lang w:eastAsia="de-DE"/>
        </w:rPr>
        <w:t>וַיִּמָּֽסְרוּ֙ מֵאַלְפֵ֣י יִשְׂרָאֵ֔ל אֶ֖לֶף לַמַּטֶּ֑ה שְׁנֵים־עָשָׂ֥ר אֶ֖לֶף חֲלוּצֵ֥י צָבָֽא׃</w:t>
      </w:r>
    </w:p>
    <w:p w14:paraId="1D9565BD"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Deutsch:</w:t>
      </w:r>
      <w:r w:rsidRPr="00906791">
        <w:rPr>
          <w:rFonts w:eastAsia="Times New Roman" w:cs="Times New Roman"/>
          <w:lang w:eastAsia="de-DE"/>
        </w:rPr>
        <w:t xml:space="preserve"> Und es wurden aus den Tausenden Jisra'els 1.000 von jedem Stamm übergeben: 12.000 zum Heer Gerüstete.</w:t>
      </w:r>
    </w:p>
    <w:p w14:paraId="076CC168" w14:textId="77777777" w:rsidR="00906791" w:rsidRPr="00906791" w:rsidRDefault="00F329DD" w:rsidP="00906791">
      <w:pPr>
        <w:spacing w:after="0" w:line="240" w:lineRule="auto"/>
        <w:rPr>
          <w:rFonts w:eastAsia="Times New Roman" w:cs="Times New Roman"/>
          <w:lang w:eastAsia="de-DE"/>
        </w:rPr>
      </w:pPr>
      <w:r>
        <w:rPr>
          <w:rFonts w:eastAsia="Times New Roman" w:cs="Times New Roman"/>
          <w:noProof/>
          <w:lang w:eastAsia="de-DE"/>
        </w:rPr>
        <w:pict w14:anchorId="66D0400F">
          <v:rect id="_x0000_i1950" style="width:0;height:1.5pt" o:hralign="center" o:hrstd="t" o:hr="t" fillcolor="#a0a0a0" stroked="f"/>
        </w:pict>
      </w:r>
    </w:p>
    <w:p w14:paraId="4330D960" w14:textId="65391CF9" w:rsidR="00906791" w:rsidRPr="00906791" w:rsidRDefault="00906791" w:rsidP="007E406A">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Kommentar:</w:t>
      </w:r>
      <w:r w:rsidRPr="00906791">
        <w:rPr>
          <w:rFonts w:eastAsia="Times New Roman" w:cs="Times New Roman"/>
          <w:lang w:eastAsia="de-DE"/>
        </w:rPr>
        <w:t xml:space="preserve"> Der Vers dokumentiert die Ausführung. </w:t>
      </w:r>
      <w:r w:rsidRPr="00906791">
        <w:rPr>
          <w:rFonts w:eastAsia="Times New Roman" w:cs="Times New Roman"/>
          <w:b/>
          <w:bCs/>
          <w:rtl/>
          <w:lang w:eastAsia="de-DE"/>
        </w:rPr>
        <w:t>וַיִּמָּסְרוּ מֵאַלְפֵי יִשְׂרָאֵל אֶלֶף לַמַּטֶּה</w:t>
      </w:r>
      <w:r w:rsidRPr="00906791">
        <w:rPr>
          <w:rFonts w:eastAsia="Times New Roman" w:cs="Times New Roman"/>
          <w:rtl/>
          <w:lang w:eastAsia="de-DE"/>
        </w:rPr>
        <w:t xml:space="preserve"> </w:t>
      </w:r>
      <w:r w:rsidRPr="00906791">
        <w:rPr>
          <w:rFonts w:eastAsia="Times New Roman" w:cs="Times New Roman"/>
          <w:lang w:eastAsia="de-DE"/>
        </w:rPr>
        <w:t xml:space="preserve">zeigt die Mobilisierung. </w:t>
      </w:r>
      <w:r w:rsidRPr="00906791">
        <w:rPr>
          <w:rFonts w:eastAsia="Times New Roman" w:cs="Times New Roman"/>
          <w:b/>
          <w:bCs/>
          <w:rtl/>
          <w:lang w:eastAsia="de-DE"/>
        </w:rPr>
        <w:t>וַיִּמָּסְרוּ</w:t>
      </w:r>
      <w:r w:rsidRPr="00906791">
        <w:rPr>
          <w:rFonts w:eastAsia="Times New Roman" w:cs="Times New Roman"/>
          <w:rtl/>
          <w:lang w:eastAsia="de-DE"/>
        </w:rPr>
        <w:t xml:space="preserve"> </w:t>
      </w:r>
      <w:r w:rsidRPr="00906791">
        <w:rPr>
          <w:rFonts w:eastAsia="Times New Roman" w:cs="Times New Roman"/>
          <w:lang w:eastAsia="de-DE"/>
        </w:rPr>
        <w:t xml:space="preserve">ist Niphal Wayyiqtol 3. Person maskulin Plural von </w:t>
      </w:r>
      <w:r w:rsidRPr="00906791">
        <w:rPr>
          <w:rFonts w:eastAsia="Times New Roman" w:cs="Times New Roman"/>
          <w:b/>
          <w:bCs/>
          <w:rtl/>
          <w:lang w:eastAsia="de-DE"/>
        </w:rPr>
        <w:t>מסר</w:t>
      </w:r>
      <w:r w:rsidRPr="00906791">
        <w:rPr>
          <w:rFonts w:eastAsia="Times New Roman" w:cs="Times New Roman"/>
          <w:rtl/>
          <w:lang w:eastAsia="de-DE"/>
        </w:rPr>
        <w:t xml:space="preserve"> </w:t>
      </w:r>
      <w:r w:rsidRPr="00906791">
        <w:rPr>
          <w:rFonts w:eastAsia="Times New Roman" w:cs="Times New Roman"/>
          <w:lang w:eastAsia="de-DE"/>
        </w:rPr>
        <w:t xml:space="preserve">(„übergeben werden, ausgeliefert werden"), </w:t>
      </w:r>
      <w:r w:rsidRPr="00906791">
        <w:rPr>
          <w:rFonts w:eastAsia="Times New Roman" w:cs="Times New Roman"/>
          <w:b/>
          <w:bCs/>
          <w:rtl/>
          <w:lang w:eastAsia="de-DE"/>
        </w:rPr>
        <w:t>מֵאַלְפֵי יִשְׂרָאֵל</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מִן</w:t>
      </w:r>
      <w:r w:rsidRPr="00906791">
        <w:rPr>
          <w:rFonts w:eastAsia="Times New Roman" w:cs="Times New Roman"/>
          <w:rtl/>
          <w:lang w:eastAsia="de-DE"/>
        </w:rPr>
        <w:t xml:space="preserve"> </w:t>
      </w:r>
      <w:r w:rsidRPr="00906791">
        <w:rPr>
          <w:rFonts w:eastAsia="Times New Roman" w:cs="Times New Roman"/>
          <w:lang w:eastAsia="de-DE"/>
        </w:rPr>
        <w:t xml:space="preserve">mit Plural </w:t>
      </w:r>
      <w:r w:rsidR="00E031B3">
        <w:rPr>
          <w:rFonts w:eastAsia="Times New Roman" w:cs="Times New Roman"/>
          <w:lang w:eastAsia="de-DE"/>
        </w:rPr>
        <w:t>Constructus von</w:t>
      </w:r>
      <w:r w:rsidRPr="00906791">
        <w:rPr>
          <w:rFonts w:eastAsia="Times New Roman" w:cs="Times New Roman"/>
          <w:lang w:eastAsia="de-DE"/>
        </w:rPr>
        <w:t xml:space="preserve"> </w:t>
      </w:r>
      <w:r w:rsidRPr="00906791">
        <w:rPr>
          <w:rFonts w:eastAsia="Times New Roman" w:cs="Times New Roman"/>
          <w:b/>
          <w:bCs/>
          <w:rtl/>
          <w:lang w:eastAsia="de-DE"/>
        </w:rPr>
        <w:t>אֶלֶף</w:t>
      </w:r>
      <w:r w:rsidRPr="00906791">
        <w:rPr>
          <w:rFonts w:eastAsia="Times New Roman" w:cs="Times New Roman"/>
          <w:rtl/>
          <w:lang w:eastAsia="de-DE"/>
        </w:rPr>
        <w:t xml:space="preserve"> </w:t>
      </w:r>
      <w:r w:rsidRPr="00906791">
        <w:rPr>
          <w:rFonts w:eastAsia="Times New Roman" w:cs="Times New Roman"/>
          <w:lang w:eastAsia="de-DE"/>
        </w:rPr>
        <w:t xml:space="preserve">„Tausend" und „Israel" „aus den Tausenden Israels"), </w:t>
      </w:r>
      <w:r w:rsidRPr="00906791">
        <w:rPr>
          <w:rFonts w:eastAsia="Times New Roman" w:cs="Times New Roman"/>
          <w:b/>
          <w:bCs/>
          <w:rtl/>
          <w:lang w:eastAsia="de-DE"/>
        </w:rPr>
        <w:t>אֶלֶף לַמַּטֶּה</w:t>
      </w:r>
      <w:r w:rsidRPr="00906791">
        <w:rPr>
          <w:rFonts w:eastAsia="Times New Roman" w:cs="Times New Roman"/>
          <w:rtl/>
          <w:lang w:eastAsia="de-DE"/>
        </w:rPr>
        <w:t xml:space="preserve"> </w:t>
      </w:r>
      <w:r w:rsidRPr="00906791">
        <w:rPr>
          <w:rFonts w:eastAsia="Times New Roman" w:cs="Times New Roman"/>
          <w:lang w:eastAsia="de-DE"/>
        </w:rPr>
        <w:t xml:space="preserve">(„tausend pro Stamm"). </w:t>
      </w:r>
      <w:r w:rsidRPr="00906791">
        <w:rPr>
          <w:rFonts w:eastAsia="Times New Roman" w:cs="Times New Roman"/>
          <w:b/>
          <w:bCs/>
          <w:rtl/>
          <w:lang w:eastAsia="de-DE"/>
        </w:rPr>
        <w:t>שְׁנֵים־עָשָׂר אֶלֶף חֲלוּצֵי צָבָא</w:t>
      </w:r>
      <w:r w:rsidRPr="00906791">
        <w:rPr>
          <w:rFonts w:eastAsia="Times New Roman" w:cs="Times New Roman"/>
          <w:rtl/>
          <w:lang w:eastAsia="de-DE"/>
        </w:rPr>
        <w:t xml:space="preserve"> </w:t>
      </w:r>
      <w:r w:rsidRPr="00906791">
        <w:rPr>
          <w:rFonts w:eastAsia="Times New Roman" w:cs="Times New Roman"/>
          <w:lang w:eastAsia="de-DE"/>
        </w:rPr>
        <w:t xml:space="preserve">ist die Gesamtsumme. </w:t>
      </w:r>
      <w:r w:rsidRPr="00906791">
        <w:rPr>
          <w:rFonts w:eastAsia="Times New Roman" w:cs="Times New Roman"/>
          <w:b/>
          <w:bCs/>
          <w:rtl/>
          <w:lang w:eastAsia="de-DE"/>
        </w:rPr>
        <w:t>שְׁנֵים־עָשָׂר אֶלֶף</w:t>
      </w:r>
      <w:r w:rsidRPr="00906791">
        <w:rPr>
          <w:rFonts w:eastAsia="Times New Roman" w:cs="Times New Roman"/>
          <w:rtl/>
          <w:lang w:eastAsia="de-DE"/>
        </w:rPr>
        <w:t xml:space="preserve"> </w:t>
      </w:r>
      <w:r w:rsidRPr="00906791">
        <w:rPr>
          <w:rFonts w:eastAsia="Times New Roman" w:cs="Times New Roman"/>
          <w:lang w:eastAsia="de-DE"/>
        </w:rPr>
        <w:t xml:space="preserve">(„zwölftausend"), </w:t>
      </w:r>
      <w:r w:rsidRPr="00906791">
        <w:rPr>
          <w:rFonts w:eastAsia="Times New Roman" w:cs="Times New Roman"/>
          <w:b/>
          <w:bCs/>
          <w:rtl/>
          <w:lang w:eastAsia="de-DE"/>
        </w:rPr>
        <w:t>חֲלוּצֵי צָבָא</w:t>
      </w:r>
      <w:r w:rsidRPr="00906791">
        <w:rPr>
          <w:rFonts w:eastAsia="Times New Roman" w:cs="Times New Roman"/>
          <w:rtl/>
          <w:lang w:eastAsia="de-DE"/>
        </w:rPr>
        <w:t xml:space="preserve"> </w:t>
      </w:r>
      <w:r w:rsidRPr="00906791">
        <w:rPr>
          <w:rFonts w:eastAsia="Times New Roman" w:cs="Times New Roman"/>
          <w:lang w:eastAsia="de-DE"/>
        </w:rPr>
        <w:t xml:space="preserve">(Plural </w:t>
      </w:r>
      <w:r w:rsidR="00E031B3">
        <w:rPr>
          <w:rFonts w:eastAsia="Times New Roman" w:cs="Times New Roman"/>
          <w:lang w:eastAsia="de-DE"/>
        </w:rPr>
        <w:t>Constructus von</w:t>
      </w:r>
      <w:r w:rsidRPr="00906791">
        <w:rPr>
          <w:rFonts w:eastAsia="Times New Roman" w:cs="Times New Roman"/>
          <w:lang w:eastAsia="de-DE"/>
        </w:rPr>
        <w:t xml:space="preserve"> </w:t>
      </w:r>
      <w:r w:rsidRPr="00906791">
        <w:rPr>
          <w:rFonts w:eastAsia="Times New Roman" w:cs="Times New Roman"/>
          <w:b/>
          <w:bCs/>
          <w:rtl/>
          <w:lang w:eastAsia="de-DE"/>
        </w:rPr>
        <w:t>חָלוּץ</w:t>
      </w:r>
      <w:r w:rsidRPr="00906791">
        <w:rPr>
          <w:rFonts w:eastAsia="Times New Roman" w:cs="Times New Roman"/>
          <w:rtl/>
          <w:lang w:eastAsia="de-DE"/>
        </w:rPr>
        <w:t xml:space="preserve"> </w:t>
      </w:r>
      <w:r w:rsidRPr="00906791">
        <w:rPr>
          <w:rFonts w:eastAsia="Times New Roman" w:cs="Times New Roman"/>
          <w:lang w:eastAsia="de-DE"/>
        </w:rPr>
        <w:t xml:space="preserve">Qal Passiv-Partizip von </w:t>
      </w:r>
      <w:r w:rsidRPr="00906791">
        <w:rPr>
          <w:rFonts w:eastAsia="Times New Roman" w:cs="Times New Roman"/>
          <w:b/>
          <w:bCs/>
          <w:rtl/>
          <w:lang w:eastAsia="de-DE"/>
        </w:rPr>
        <w:t>חלץ</w:t>
      </w:r>
      <w:r w:rsidRPr="00906791">
        <w:rPr>
          <w:rFonts w:eastAsia="Times New Roman" w:cs="Times New Roman"/>
          <w:rtl/>
          <w:lang w:eastAsia="de-DE"/>
        </w:rPr>
        <w:t xml:space="preserve"> </w:t>
      </w:r>
      <w:r w:rsidRPr="00906791">
        <w:rPr>
          <w:rFonts w:eastAsia="Times New Roman" w:cs="Times New Roman"/>
          <w:lang w:eastAsia="de-DE"/>
        </w:rPr>
        <w:t xml:space="preserve">„Gerüsteter, Bewaffneter" mit </w:t>
      </w:r>
      <w:r w:rsidRPr="00906791">
        <w:rPr>
          <w:rFonts w:eastAsia="Times New Roman" w:cs="Times New Roman"/>
          <w:b/>
          <w:bCs/>
          <w:rtl/>
          <w:lang w:eastAsia="de-DE"/>
        </w:rPr>
        <w:t>צָבָא</w:t>
      </w:r>
      <w:r w:rsidRPr="00906791">
        <w:rPr>
          <w:rFonts w:eastAsia="Times New Roman" w:cs="Times New Roman"/>
          <w:rtl/>
          <w:lang w:eastAsia="de-DE"/>
        </w:rPr>
        <w:t xml:space="preserve"> </w:t>
      </w:r>
      <w:r w:rsidRPr="00906791">
        <w:rPr>
          <w:rFonts w:eastAsia="Times New Roman" w:cs="Times New Roman"/>
          <w:lang w:eastAsia="de-DE"/>
        </w:rPr>
        <w:t>„Heer" „zum Heer Gerüstete").</w:t>
      </w:r>
    </w:p>
    <w:p w14:paraId="44101336"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Die Satzstruktur zeigt ein Niphal-Verb (passivisch: wurden übergeben), gefolgt von der Spezifikation und Gesamtsumme.</w:t>
      </w:r>
    </w:p>
    <w:p w14:paraId="37BDE891"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Der Vers dokumentiert die präzise Befolgung des Befehls: Genau 12.000 bewaffnete Männer wurden mobilisiert, jeweils 1.000 pro Stamm, was militärische Disziplin und Einheit zeigt.</w:t>
      </w:r>
    </w:p>
    <w:p w14:paraId="0B8FD660" w14:textId="77777777" w:rsidR="00906791" w:rsidRPr="00906791" w:rsidRDefault="00906791" w:rsidP="00906791">
      <w:pPr>
        <w:spacing w:before="100" w:beforeAutospacing="1" w:after="100" w:afterAutospacing="1" w:line="240" w:lineRule="auto"/>
        <w:outlineLvl w:val="0"/>
        <w:rPr>
          <w:rFonts w:eastAsia="Times New Roman" w:cs="Times New Roman"/>
          <w:b/>
          <w:bCs/>
          <w:kern w:val="36"/>
          <w:sz w:val="48"/>
          <w:szCs w:val="48"/>
          <w:lang w:eastAsia="de-DE"/>
        </w:rPr>
      </w:pPr>
      <w:r w:rsidRPr="00906791">
        <w:rPr>
          <w:rFonts w:eastAsia="Times New Roman" w:cs="Times New Roman"/>
          <w:b/>
          <w:bCs/>
          <w:kern w:val="36"/>
          <w:sz w:val="48"/>
          <w:szCs w:val="48"/>
          <w:lang w:eastAsia="de-DE"/>
        </w:rPr>
        <w:t>Numeri 31,6</w:t>
      </w:r>
    </w:p>
    <w:p w14:paraId="281FD03B"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Hebräisch:</w:t>
      </w:r>
      <w:r w:rsidRPr="00906791">
        <w:rPr>
          <w:rFonts w:eastAsia="Times New Roman" w:cs="Times New Roman"/>
          <w:lang w:eastAsia="de-DE"/>
        </w:rPr>
        <w:t xml:space="preserve"> </w:t>
      </w:r>
      <w:r w:rsidRPr="00906791">
        <w:rPr>
          <w:rFonts w:eastAsia="Times New Roman" w:cs="Times New Roman"/>
          <w:rtl/>
          <w:lang w:eastAsia="de-DE"/>
        </w:rPr>
        <w:t>וַיִּשְׁלַ֨ח אֹתָ֥ם מֹשֶׁ֛ה אֶ֥לֶף לַמַּטֶּ֖ה לַצָּבָ֑א אֹ֠תָם וְאֶת־פִּ֨ינְחָ֜ס בֶּן־אֶלְעָזָ֤ר הַכֹּהֵן֙ לַצָּבָ֔א וּכְלֵ֥י הַקֹּ֛דֶשׁ וַחֲצֹצְר֥וֹת הַתְּרוּעָ֖ה בְּיָדֹֽו׃</w:t>
      </w:r>
    </w:p>
    <w:p w14:paraId="6784397A"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lastRenderedPageBreak/>
        <w:t>Deutsch:</w:t>
      </w:r>
      <w:r w:rsidRPr="00906791">
        <w:rPr>
          <w:rFonts w:eastAsia="Times New Roman" w:cs="Times New Roman"/>
          <w:lang w:eastAsia="de-DE"/>
        </w:rPr>
        <w:t xml:space="preserve"> Und Mosche sandte sie, 1.000 von jedem Stamm, zum Heer aus, sie und Pinchas, den Sohn El'asars, des Priesters, zum Heer; und die heiligen Geräte und die Trompeten zum Lärmblasen waren in seiner Hand.</w:t>
      </w:r>
    </w:p>
    <w:p w14:paraId="569DF98D" w14:textId="77777777" w:rsidR="00906791" w:rsidRPr="00906791" w:rsidRDefault="00F329DD" w:rsidP="00906791">
      <w:pPr>
        <w:spacing w:after="0" w:line="240" w:lineRule="auto"/>
        <w:rPr>
          <w:rFonts w:eastAsia="Times New Roman" w:cs="Times New Roman"/>
          <w:lang w:eastAsia="de-DE"/>
        </w:rPr>
      </w:pPr>
      <w:r>
        <w:rPr>
          <w:rFonts w:eastAsia="Times New Roman" w:cs="Times New Roman"/>
          <w:noProof/>
          <w:lang w:eastAsia="de-DE"/>
        </w:rPr>
        <w:pict w14:anchorId="5E366C65">
          <v:rect id="_x0000_i1951" style="width:0;height:1.5pt" o:hralign="center" o:hrstd="t" o:hr="t" fillcolor="#a0a0a0" stroked="f"/>
        </w:pict>
      </w:r>
    </w:p>
    <w:p w14:paraId="057B7636"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Kommentar:</w:t>
      </w:r>
      <w:r w:rsidRPr="00906791">
        <w:rPr>
          <w:rFonts w:eastAsia="Times New Roman" w:cs="Times New Roman"/>
          <w:lang w:eastAsia="de-DE"/>
        </w:rPr>
        <w:t xml:space="preserve"> Der Vers beschreibt die Entsendung mit geistlicher Führung. </w:t>
      </w:r>
      <w:r w:rsidRPr="00906791">
        <w:rPr>
          <w:rFonts w:eastAsia="Times New Roman" w:cs="Times New Roman"/>
          <w:b/>
          <w:bCs/>
          <w:rtl/>
          <w:lang w:eastAsia="de-DE"/>
        </w:rPr>
        <w:t>וַיִּשְׁלַח אֹתָם מֹשֶׁה אֶלֶף לַמַּטֶּה לַצָּבָא</w:t>
      </w:r>
      <w:r w:rsidRPr="00906791">
        <w:rPr>
          <w:rFonts w:eastAsia="Times New Roman" w:cs="Times New Roman"/>
          <w:rtl/>
          <w:lang w:eastAsia="de-DE"/>
        </w:rPr>
        <w:t xml:space="preserve"> </w:t>
      </w:r>
      <w:r w:rsidRPr="00906791">
        <w:rPr>
          <w:rFonts w:eastAsia="Times New Roman" w:cs="Times New Roman"/>
          <w:lang w:eastAsia="de-DE"/>
        </w:rPr>
        <w:t xml:space="preserve">wiederholt die Truppenstärke. </w:t>
      </w:r>
      <w:r w:rsidRPr="00906791">
        <w:rPr>
          <w:rFonts w:eastAsia="Times New Roman" w:cs="Times New Roman"/>
          <w:b/>
          <w:bCs/>
          <w:rtl/>
          <w:lang w:eastAsia="de-DE"/>
        </w:rPr>
        <w:t>וַיִּשְׁלַח</w:t>
      </w:r>
      <w:r w:rsidRPr="00906791">
        <w:rPr>
          <w:rFonts w:eastAsia="Times New Roman" w:cs="Times New Roman"/>
          <w:rtl/>
          <w:lang w:eastAsia="de-DE"/>
        </w:rPr>
        <w:t xml:space="preserve"> </w:t>
      </w:r>
      <w:r w:rsidRPr="00906791">
        <w:rPr>
          <w:rFonts w:eastAsia="Times New Roman" w:cs="Times New Roman"/>
          <w:lang w:eastAsia="de-DE"/>
        </w:rPr>
        <w:t xml:space="preserve">(Qal Wayyiqtol 3. Person maskulin Singular von </w:t>
      </w:r>
      <w:r w:rsidRPr="00906791">
        <w:rPr>
          <w:rFonts w:eastAsia="Times New Roman" w:cs="Times New Roman"/>
          <w:b/>
          <w:bCs/>
          <w:rtl/>
          <w:lang w:eastAsia="de-DE"/>
        </w:rPr>
        <w:t>שׁלח</w:t>
      </w:r>
      <w:r w:rsidRPr="00906791">
        <w:rPr>
          <w:rFonts w:eastAsia="Times New Roman" w:cs="Times New Roman"/>
          <w:rtl/>
          <w:lang w:eastAsia="de-DE"/>
        </w:rPr>
        <w:t xml:space="preserve"> </w:t>
      </w:r>
      <w:r w:rsidRPr="00906791">
        <w:rPr>
          <w:rFonts w:eastAsia="Times New Roman" w:cs="Times New Roman"/>
          <w:lang w:eastAsia="de-DE"/>
        </w:rPr>
        <w:t xml:space="preserve">„senden"), </w:t>
      </w:r>
      <w:r w:rsidRPr="00906791">
        <w:rPr>
          <w:rFonts w:eastAsia="Times New Roman" w:cs="Times New Roman"/>
          <w:b/>
          <w:bCs/>
          <w:rtl/>
          <w:lang w:eastAsia="de-DE"/>
        </w:rPr>
        <w:t>אֹתָם</w:t>
      </w:r>
      <w:r w:rsidRPr="00906791">
        <w:rPr>
          <w:rFonts w:eastAsia="Times New Roman" w:cs="Times New Roman"/>
          <w:rtl/>
          <w:lang w:eastAsia="de-DE"/>
        </w:rPr>
        <w:t xml:space="preserve"> </w:t>
      </w:r>
      <w:r w:rsidRPr="00906791">
        <w:rPr>
          <w:rFonts w:eastAsia="Times New Roman" w:cs="Times New Roman"/>
          <w:lang w:eastAsia="de-DE"/>
        </w:rPr>
        <w:t xml:space="preserve">(Akkusativpartikel mit Suffix 3. Person maskulin Plural „sie"), </w:t>
      </w:r>
      <w:r w:rsidRPr="00906791">
        <w:rPr>
          <w:rFonts w:eastAsia="Times New Roman" w:cs="Times New Roman"/>
          <w:b/>
          <w:bCs/>
          <w:rtl/>
          <w:lang w:eastAsia="de-DE"/>
        </w:rPr>
        <w:t>מֹשֶׁה</w:t>
      </w:r>
      <w:r w:rsidRPr="00906791">
        <w:rPr>
          <w:rFonts w:eastAsia="Times New Roman" w:cs="Times New Roman"/>
          <w:rtl/>
          <w:lang w:eastAsia="de-DE"/>
        </w:rPr>
        <w:t xml:space="preserve"> </w:t>
      </w:r>
      <w:r w:rsidRPr="00906791">
        <w:rPr>
          <w:rFonts w:eastAsia="Times New Roman" w:cs="Times New Roman"/>
          <w:lang w:eastAsia="de-DE"/>
        </w:rPr>
        <w:t xml:space="preserve">ist das Subjekt. </w:t>
      </w:r>
      <w:r w:rsidRPr="00906791">
        <w:rPr>
          <w:rFonts w:eastAsia="Times New Roman" w:cs="Times New Roman"/>
          <w:b/>
          <w:bCs/>
          <w:rtl/>
          <w:lang w:eastAsia="de-DE"/>
        </w:rPr>
        <w:t>אֹתָם וְאֶת־פִּינְחָס בֶּן־אֶלְעָזָר הַכֹּהֵן לַצָּבָא</w:t>
      </w:r>
      <w:r w:rsidRPr="00906791">
        <w:rPr>
          <w:rFonts w:eastAsia="Times New Roman" w:cs="Times New Roman"/>
          <w:rtl/>
          <w:lang w:eastAsia="de-DE"/>
        </w:rPr>
        <w:t xml:space="preserve"> </w:t>
      </w:r>
      <w:r w:rsidRPr="00906791">
        <w:rPr>
          <w:rFonts w:eastAsia="Times New Roman" w:cs="Times New Roman"/>
          <w:lang w:eastAsia="de-DE"/>
        </w:rPr>
        <w:t xml:space="preserve">fügt die Führung hinzu. </w:t>
      </w:r>
      <w:r w:rsidRPr="00906791">
        <w:rPr>
          <w:rFonts w:eastAsia="Times New Roman" w:cs="Times New Roman"/>
          <w:b/>
          <w:bCs/>
          <w:rtl/>
          <w:lang w:eastAsia="de-DE"/>
        </w:rPr>
        <w:t>פִּינְחָס</w:t>
      </w:r>
      <w:r w:rsidRPr="00906791">
        <w:rPr>
          <w:rFonts w:eastAsia="Times New Roman" w:cs="Times New Roman"/>
          <w:rtl/>
          <w:lang w:eastAsia="de-DE"/>
        </w:rPr>
        <w:t xml:space="preserve"> </w:t>
      </w:r>
      <w:r w:rsidRPr="00906791">
        <w:rPr>
          <w:rFonts w:eastAsia="Times New Roman" w:cs="Times New Roman"/>
          <w:lang w:eastAsia="de-DE"/>
        </w:rPr>
        <w:t>(Pinchas, der Priester, der bereits in Num 25,7-13 als Eiferer für Gott auftrat und einen Bund ewigen Priestertums erhielt).</w:t>
      </w:r>
    </w:p>
    <w:p w14:paraId="6C729CE1" w14:textId="4B11E7A9"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rtl/>
          <w:lang w:eastAsia="de-DE"/>
        </w:rPr>
        <w:t>וּכְלֵי הַקֹּדֶשׁ וַחֲצֹצְרוֹת הַתְּרוּעָה בְּיָדוֹ</w:t>
      </w:r>
      <w:r w:rsidRPr="00906791">
        <w:rPr>
          <w:rFonts w:eastAsia="Times New Roman" w:cs="Times New Roman"/>
          <w:rtl/>
          <w:lang w:eastAsia="de-DE"/>
        </w:rPr>
        <w:t xml:space="preserve"> </w:t>
      </w:r>
      <w:r w:rsidRPr="00906791">
        <w:rPr>
          <w:rFonts w:eastAsia="Times New Roman" w:cs="Times New Roman"/>
          <w:lang w:eastAsia="de-DE"/>
        </w:rPr>
        <w:t xml:space="preserve">beschreibt die sakralen Gegenstände. </w:t>
      </w:r>
      <w:r w:rsidRPr="00906791">
        <w:rPr>
          <w:rFonts w:eastAsia="Times New Roman" w:cs="Times New Roman"/>
          <w:b/>
          <w:bCs/>
          <w:rtl/>
          <w:lang w:eastAsia="de-DE"/>
        </w:rPr>
        <w:t>וּכְלֵי הַקֹּדֶשׁ</w:t>
      </w:r>
      <w:r w:rsidRPr="00906791">
        <w:rPr>
          <w:rFonts w:eastAsia="Times New Roman" w:cs="Times New Roman"/>
          <w:rtl/>
          <w:lang w:eastAsia="de-DE"/>
        </w:rPr>
        <w:t xml:space="preserve"> </w:t>
      </w:r>
      <w:r w:rsidRPr="00906791">
        <w:rPr>
          <w:rFonts w:eastAsia="Times New Roman" w:cs="Times New Roman"/>
          <w:lang w:eastAsia="de-DE"/>
        </w:rPr>
        <w:t xml:space="preserve">(Konjunktion mit Plural </w:t>
      </w:r>
      <w:r w:rsidR="00E031B3">
        <w:rPr>
          <w:rFonts w:eastAsia="Times New Roman" w:cs="Times New Roman"/>
          <w:lang w:eastAsia="de-DE"/>
        </w:rPr>
        <w:t>Constructus von</w:t>
      </w:r>
      <w:r w:rsidRPr="00906791">
        <w:rPr>
          <w:rFonts w:eastAsia="Times New Roman" w:cs="Times New Roman"/>
          <w:lang w:eastAsia="de-DE"/>
        </w:rPr>
        <w:t xml:space="preserve"> </w:t>
      </w:r>
      <w:r w:rsidRPr="00906791">
        <w:rPr>
          <w:rFonts w:eastAsia="Times New Roman" w:cs="Times New Roman"/>
          <w:b/>
          <w:bCs/>
          <w:rtl/>
          <w:lang w:eastAsia="de-DE"/>
        </w:rPr>
        <w:t>כְּלִי</w:t>
      </w:r>
      <w:r w:rsidRPr="00906791">
        <w:rPr>
          <w:rFonts w:eastAsia="Times New Roman" w:cs="Times New Roman"/>
          <w:rtl/>
          <w:lang w:eastAsia="de-DE"/>
        </w:rPr>
        <w:t xml:space="preserve"> </w:t>
      </w:r>
      <w:r w:rsidRPr="00906791">
        <w:rPr>
          <w:rFonts w:eastAsia="Times New Roman" w:cs="Times New Roman"/>
          <w:lang w:eastAsia="de-DE"/>
        </w:rPr>
        <w:t xml:space="preserve">„Gerät, Gefäß" und </w:t>
      </w:r>
      <w:r w:rsidRPr="00906791">
        <w:rPr>
          <w:rFonts w:eastAsia="Times New Roman" w:cs="Times New Roman"/>
          <w:b/>
          <w:bCs/>
          <w:rtl/>
          <w:lang w:eastAsia="de-DE"/>
        </w:rPr>
        <w:t>קֹדֶשׁ</w:t>
      </w:r>
      <w:r w:rsidRPr="00906791">
        <w:rPr>
          <w:rFonts w:eastAsia="Times New Roman" w:cs="Times New Roman"/>
          <w:rtl/>
          <w:lang w:eastAsia="de-DE"/>
        </w:rPr>
        <w:t xml:space="preserve"> </w:t>
      </w:r>
      <w:r w:rsidRPr="00906791">
        <w:rPr>
          <w:rFonts w:eastAsia="Times New Roman" w:cs="Times New Roman"/>
          <w:lang w:eastAsia="de-DE"/>
        </w:rPr>
        <w:t xml:space="preserve">„Heiligkeit" mit Artikel „die heiligen Geräte"), möglicherweise die Bundeslade oder Kultgegenstände. </w:t>
      </w:r>
      <w:r w:rsidRPr="00906791">
        <w:rPr>
          <w:rFonts w:eastAsia="Times New Roman" w:cs="Times New Roman"/>
          <w:b/>
          <w:bCs/>
          <w:rtl/>
          <w:lang w:eastAsia="de-DE"/>
        </w:rPr>
        <w:t>וַחֲצֹצְרוֹת הַתְּרוּעָה</w:t>
      </w:r>
      <w:r w:rsidRPr="00906791">
        <w:rPr>
          <w:rFonts w:eastAsia="Times New Roman" w:cs="Times New Roman"/>
          <w:rtl/>
          <w:lang w:eastAsia="de-DE"/>
        </w:rPr>
        <w:t xml:space="preserve"> </w:t>
      </w:r>
      <w:r w:rsidRPr="00906791">
        <w:rPr>
          <w:rFonts w:eastAsia="Times New Roman" w:cs="Times New Roman"/>
          <w:lang w:eastAsia="de-DE"/>
        </w:rPr>
        <w:t xml:space="preserve">(Konjunktion mit feminin Plural von </w:t>
      </w:r>
      <w:r w:rsidRPr="00906791">
        <w:rPr>
          <w:rFonts w:eastAsia="Times New Roman" w:cs="Times New Roman"/>
          <w:b/>
          <w:bCs/>
          <w:rtl/>
          <w:lang w:eastAsia="de-DE"/>
        </w:rPr>
        <w:t>חֲצֹצְרָה</w:t>
      </w:r>
      <w:r w:rsidRPr="00906791">
        <w:rPr>
          <w:rFonts w:eastAsia="Times New Roman" w:cs="Times New Roman"/>
          <w:rtl/>
          <w:lang w:eastAsia="de-DE"/>
        </w:rPr>
        <w:t xml:space="preserve"> </w:t>
      </w:r>
      <w:r w:rsidRPr="00906791">
        <w:rPr>
          <w:rFonts w:eastAsia="Times New Roman" w:cs="Times New Roman"/>
          <w:lang w:eastAsia="de-DE"/>
        </w:rPr>
        <w:t xml:space="preserve">„Trompete" im </w:t>
      </w:r>
      <w:r w:rsidR="00E031B3">
        <w:rPr>
          <w:rFonts w:eastAsia="Times New Roman" w:cs="Times New Roman"/>
          <w:lang w:eastAsia="de-DE"/>
        </w:rPr>
        <w:t>Constructus mit</w:t>
      </w:r>
      <w:r w:rsidRPr="00906791">
        <w:rPr>
          <w:rFonts w:eastAsia="Times New Roman" w:cs="Times New Roman"/>
          <w:lang w:eastAsia="de-DE"/>
        </w:rPr>
        <w:t xml:space="preserve"> </w:t>
      </w:r>
      <w:r w:rsidRPr="00906791">
        <w:rPr>
          <w:rFonts w:eastAsia="Times New Roman" w:cs="Times New Roman"/>
          <w:b/>
          <w:bCs/>
          <w:rtl/>
          <w:lang w:eastAsia="de-DE"/>
        </w:rPr>
        <w:t>תְּרוּעָה</w:t>
      </w:r>
      <w:r w:rsidRPr="00906791">
        <w:rPr>
          <w:rFonts w:eastAsia="Times New Roman" w:cs="Times New Roman"/>
          <w:rtl/>
          <w:lang w:eastAsia="de-DE"/>
        </w:rPr>
        <w:t xml:space="preserve"> </w:t>
      </w:r>
      <w:r w:rsidRPr="00906791">
        <w:rPr>
          <w:rFonts w:eastAsia="Times New Roman" w:cs="Times New Roman"/>
          <w:lang w:eastAsia="de-DE"/>
        </w:rPr>
        <w:t xml:space="preserve">„Lärmblasen, Kriegsgeschrei" mit Artikel „die Trompeten zum Lärmblasen"), </w:t>
      </w:r>
      <w:r w:rsidRPr="00906791">
        <w:rPr>
          <w:rFonts w:eastAsia="Times New Roman" w:cs="Times New Roman"/>
          <w:b/>
          <w:bCs/>
          <w:rtl/>
          <w:lang w:eastAsia="de-DE"/>
        </w:rPr>
        <w:t>בְּיָדוֹ</w:t>
      </w:r>
      <w:r w:rsidRPr="00906791">
        <w:rPr>
          <w:rFonts w:eastAsia="Times New Roman" w:cs="Times New Roman"/>
          <w:rtl/>
          <w:lang w:eastAsia="de-DE"/>
        </w:rPr>
        <w:t xml:space="preserve"> </w:t>
      </w:r>
      <w:r w:rsidRPr="00906791">
        <w:rPr>
          <w:rFonts w:eastAsia="Times New Roman" w:cs="Times New Roman"/>
          <w:lang w:eastAsia="de-DE"/>
        </w:rPr>
        <w:t xml:space="preserve">(Präposition </w:t>
      </w:r>
      <w:r w:rsidRPr="00906791">
        <w:rPr>
          <w:rFonts w:eastAsia="Times New Roman" w:cs="Times New Roman"/>
          <w:b/>
          <w:bCs/>
          <w:rtl/>
          <w:lang w:eastAsia="de-DE"/>
        </w:rPr>
        <w:t>בְ</w:t>
      </w:r>
      <w:r w:rsidRPr="00906791">
        <w:rPr>
          <w:rFonts w:eastAsia="Times New Roman" w:cs="Times New Roman"/>
          <w:rtl/>
          <w:lang w:eastAsia="de-DE"/>
        </w:rPr>
        <w:t xml:space="preserve"> </w:t>
      </w:r>
      <w:r w:rsidRPr="00906791">
        <w:rPr>
          <w:rFonts w:eastAsia="Times New Roman" w:cs="Times New Roman"/>
          <w:lang w:eastAsia="de-DE"/>
        </w:rPr>
        <w:t xml:space="preserve">mit </w:t>
      </w:r>
      <w:r w:rsidRPr="00906791">
        <w:rPr>
          <w:rFonts w:eastAsia="Times New Roman" w:cs="Times New Roman"/>
          <w:b/>
          <w:bCs/>
          <w:rtl/>
          <w:lang w:eastAsia="de-DE"/>
        </w:rPr>
        <w:t>יָד</w:t>
      </w:r>
      <w:r w:rsidRPr="00906791">
        <w:rPr>
          <w:rFonts w:eastAsia="Times New Roman" w:cs="Times New Roman"/>
          <w:rtl/>
          <w:lang w:eastAsia="de-DE"/>
        </w:rPr>
        <w:t xml:space="preserve"> </w:t>
      </w:r>
      <w:r w:rsidRPr="00906791">
        <w:rPr>
          <w:rFonts w:eastAsia="Times New Roman" w:cs="Times New Roman"/>
          <w:lang w:eastAsia="de-DE"/>
        </w:rPr>
        <w:t>„Hand" und Suffix 3. Person maskulin Singular „in seiner Hand").</w:t>
      </w:r>
    </w:p>
    <w:p w14:paraId="03F9447A" w14:textId="177DACFD"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b/>
          <w:bCs/>
          <w:lang w:eastAsia="de-DE"/>
        </w:rPr>
        <w:t>Die LXX</w:t>
      </w:r>
      <w:r w:rsidRPr="00906791">
        <w:rPr>
          <w:rFonts w:eastAsia="Times New Roman" w:cs="Times New Roman"/>
          <w:lang w:eastAsia="de-DE"/>
        </w:rPr>
        <w:t xml:space="preserve"> </w:t>
      </w:r>
      <w:r w:rsidR="00EF1857">
        <w:t>übersetzt „</w:t>
      </w:r>
      <w:r w:rsidR="00EF1857" w:rsidRPr="00EF1857">
        <w:rPr>
          <w:b/>
          <w:bCs/>
          <w:rtl/>
        </w:rPr>
        <w:t>וּכְלֵי הַקֹּדֶשׁ וַחֲצֹצְרוֹת הַתְּרוּעָה בְּיָדוֹ</w:t>
      </w:r>
      <w:r w:rsidR="00EF1857">
        <w:t>" (und die heiligen Geräte und die Trompeten zum Blasen in seiner Hand) mit „καὶ τὰ σκεύη τὰ ἅγια καὶ αἱ σάλπιγγες τῶν σημασιῶν ἐν ταῖς χερσὶν αὐτῶν" (und die heiligen Geräte und die Trompeten der Signale in ihren Händen), wobei Plural statt Singular verwendet wird.</w:t>
      </w:r>
    </w:p>
    <w:p w14:paraId="0CC49C9E"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Die Satzstruktur zeigt ein Hauptverb mit Objekt und Subjekt, gefolgt von erweiterten Objekten (sie und Pinchas) und einer Beschreibung der sakralen Ausrüstung.</w:t>
      </w:r>
    </w:p>
    <w:p w14:paraId="6DB917E3" w14:textId="77777777" w:rsidR="00906791" w:rsidRPr="00906791" w:rsidRDefault="00906791" w:rsidP="00906791">
      <w:pPr>
        <w:spacing w:before="100" w:beforeAutospacing="1" w:after="100" w:afterAutospacing="1" w:line="240" w:lineRule="auto"/>
        <w:rPr>
          <w:rFonts w:eastAsia="Times New Roman" w:cs="Times New Roman"/>
          <w:lang w:eastAsia="de-DE"/>
        </w:rPr>
      </w:pPr>
      <w:r w:rsidRPr="00906791">
        <w:rPr>
          <w:rFonts w:eastAsia="Times New Roman" w:cs="Times New Roman"/>
          <w:lang w:eastAsia="de-DE"/>
        </w:rPr>
        <w:t>Der Vers betont den heiligen Charakter des Krieges: Pinchas als Priester, heilige Geräte und Trompeten zeigen, dass dies kein gewöhnlicher Krieg, sondern ein von Gott befohlener heiliger Krieg (</w:t>
      </w:r>
      <w:r w:rsidRPr="00906791">
        <w:rPr>
          <w:rFonts w:eastAsia="Times New Roman" w:cs="Times New Roman"/>
          <w:b/>
          <w:bCs/>
          <w:rtl/>
          <w:lang w:eastAsia="de-DE"/>
        </w:rPr>
        <w:t>מלחמת יהוה</w:t>
      </w:r>
      <w:r w:rsidRPr="00906791">
        <w:rPr>
          <w:rFonts w:eastAsia="Times New Roman" w:cs="Times New Roman"/>
          <w:lang w:eastAsia="de-DE"/>
        </w:rPr>
        <w:t>) ist.</w:t>
      </w:r>
    </w:p>
    <w:p w14:paraId="12A3A15D"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31,7</w:t>
      </w:r>
    </w:p>
    <w:p w14:paraId="2A72359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וַֽיִּצְבְּאוּ֙ עַל־מִדְיָ֔ן כַּאֲשֶׁ֛ר צִוָּ֥ה יְהוָ֖ה אֶת־מֹשֶׁ֑ה וַיַּֽהַרְג֖וּ כָּל־זָכָֽר׃</w:t>
      </w:r>
    </w:p>
    <w:p w14:paraId="7A7FB727"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sie zogen zum Heer gegen Midjan, so wie der Ewige Mosche geboten hatte, und töteten alles Männliche.</w:t>
      </w:r>
    </w:p>
    <w:p w14:paraId="10A23B52"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0ECC4B1A">
          <v:rect id="_x0000_i1952" style="width:0;height:1.5pt" o:hralign="center" o:hrstd="t" o:hr="t" fillcolor="#a0a0a0" stroked="f"/>
        </w:pict>
      </w:r>
    </w:p>
    <w:p w14:paraId="3ACA7ED9"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berichtet vom Kriegszug und dessen erstem Ergebnis. </w:t>
      </w:r>
      <w:r w:rsidRPr="00133297">
        <w:rPr>
          <w:rFonts w:eastAsia="Times New Roman" w:cs="Times New Roman"/>
          <w:b/>
          <w:bCs/>
          <w:rtl/>
          <w:lang w:eastAsia="de-DE"/>
        </w:rPr>
        <w:t>וַיִּצְבְּאוּ עַל־מִדְיָן כַּאֲשֶׁר צִוָּה יהוה אֶת־מֹשֶׁה</w:t>
      </w:r>
      <w:r w:rsidRPr="00133297">
        <w:rPr>
          <w:rFonts w:eastAsia="Times New Roman" w:cs="Times New Roman"/>
          <w:rtl/>
          <w:lang w:eastAsia="de-DE"/>
        </w:rPr>
        <w:t xml:space="preserve"> </w:t>
      </w:r>
      <w:r w:rsidRPr="00133297">
        <w:rPr>
          <w:rFonts w:eastAsia="Times New Roman" w:cs="Times New Roman"/>
          <w:lang w:eastAsia="de-DE"/>
        </w:rPr>
        <w:t xml:space="preserve">beschreibt den Angriff. </w:t>
      </w:r>
      <w:r w:rsidRPr="00133297">
        <w:rPr>
          <w:rFonts w:eastAsia="Times New Roman" w:cs="Times New Roman"/>
          <w:b/>
          <w:bCs/>
          <w:rtl/>
          <w:lang w:eastAsia="de-DE"/>
        </w:rPr>
        <w:t>וַיִּצְבְּאוּ</w:t>
      </w:r>
      <w:r w:rsidRPr="00133297">
        <w:rPr>
          <w:rFonts w:eastAsia="Times New Roman" w:cs="Times New Roman"/>
          <w:rtl/>
          <w:lang w:eastAsia="de-DE"/>
        </w:rPr>
        <w:t xml:space="preserve"> </w:t>
      </w:r>
      <w:r w:rsidRPr="00133297">
        <w:rPr>
          <w:rFonts w:eastAsia="Times New Roman" w:cs="Times New Roman"/>
          <w:lang w:eastAsia="de-DE"/>
        </w:rPr>
        <w:t xml:space="preserve">ist Qal Wayyiqtol 3. Person maskulin Plural von </w:t>
      </w:r>
      <w:r w:rsidRPr="00133297">
        <w:rPr>
          <w:rFonts w:eastAsia="Times New Roman" w:cs="Times New Roman"/>
          <w:b/>
          <w:bCs/>
          <w:rtl/>
          <w:lang w:eastAsia="de-DE"/>
        </w:rPr>
        <w:t>צבא</w:t>
      </w:r>
      <w:r w:rsidRPr="00133297">
        <w:rPr>
          <w:rFonts w:eastAsia="Times New Roman" w:cs="Times New Roman"/>
          <w:rtl/>
          <w:lang w:eastAsia="de-DE"/>
        </w:rPr>
        <w:t xml:space="preserve"> </w:t>
      </w:r>
      <w:r w:rsidRPr="00133297">
        <w:rPr>
          <w:rFonts w:eastAsia="Times New Roman" w:cs="Times New Roman"/>
          <w:lang w:eastAsia="de-DE"/>
        </w:rPr>
        <w:t xml:space="preserve">(„Krieg führen, zum Heer ziehen"), </w:t>
      </w:r>
      <w:r w:rsidRPr="00133297">
        <w:rPr>
          <w:rFonts w:eastAsia="Times New Roman" w:cs="Times New Roman"/>
          <w:b/>
          <w:bCs/>
          <w:rtl/>
          <w:lang w:eastAsia="de-DE"/>
        </w:rPr>
        <w:t>עַל־מִדְיָן</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עַל</w:t>
      </w:r>
      <w:r w:rsidRPr="00133297">
        <w:rPr>
          <w:rFonts w:eastAsia="Times New Roman" w:cs="Times New Roman"/>
          <w:rtl/>
          <w:lang w:eastAsia="de-DE"/>
        </w:rPr>
        <w:t xml:space="preserve"> </w:t>
      </w:r>
      <w:r w:rsidRPr="00133297">
        <w:rPr>
          <w:rFonts w:eastAsia="Times New Roman" w:cs="Times New Roman"/>
          <w:lang w:eastAsia="de-DE"/>
        </w:rPr>
        <w:t xml:space="preserve">„gegen" mit </w:t>
      </w:r>
      <w:r w:rsidRPr="00133297">
        <w:rPr>
          <w:rFonts w:eastAsia="Times New Roman" w:cs="Times New Roman"/>
          <w:b/>
          <w:bCs/>
          <w:rtl/>
          <w:lang w:eastAsia="de-DE"/>
        </w:rPr>
        <w:t>מִדְיָן</w:t>
      </w:r>
      <w:r w:rsidRPr="00133297">
        <w:rPr>
          <w:rFonts w:eastAsia="Times New Roman" w:cs="Times New Roman"/>
          <w:lang w:eastAsia="de-DE"/>
        </w:rPr>
        <w:t xml:space="preserve">), </w:t>
      </w:r>
      <w:r w:rsidRPr="00133297">
        <w:rPr>
          <w:rFonts w:eastAsia="Times New Roman" w:cs="Times New Roman"/>
          <w:b/>
          <w:bCs/>
          <w:rtl/>
          <w:lang w:eastAsia="de-DE"/>
        </w:rPr>
        <w:t>כַּאֲשֶׁר צִוָּה יהוה אֶת־מֹשֶׁה</w:t>
      </w:r>
      <w:r w:rsidRPr="00133297">
        <w:rPr>
          <w:rFonts w:eastAsia="Times New Roman" w:cs="Times New Roman"/>
          <w:rtl/>
          <w:lang w:eastAsia="de-DE"/>
        </w:rPr>
        <w:t xml:space="preserve"> </w:t>
      </w:r>
      <w:r w:rsidRPr="00133297">
        <w:rPr>
          <w:rFonts w:eastAsia="Times New Roman" w:cs="Times New Roman"/>
          <w:lang w:eastAsia="de-DE"/>
        </w:rPr>
        <w:t xml:space="preserve">(Vergleichskonjunktion mit Piel Perfekt von </w:t>
      </w:r>
      <w:r w:rsidRPr="00133297">
        <w:rPr>
          <w:rFonts w:eastAsia="Times New Roman" w:cs="Times New Roman"/>
          <w:b/>
          <w:bCs/>
          <w:rtl/>
          <w:lang w:eastAsia="de-DE"/>
        </w:rPr>
        <w:t>צוה</w:t>
      </w:r>
      <w:r w:rsidRPr="00133297">
        <w:rPr>
          <w:rFonts w:eastAsia="Times New Roman" w:cs="Times New Roman"/>
          <w:rtl/>
          <w:lang w:eastAsia="de-DE"/>
        </w:rPr>
        <w:t xml:space="preserve"> </w:t>
      </w:r>
      <w:r w:rsidRPr="00133297">
        <w:rPr>
          <w:rFonts w:eastAsia="Times New Roman" w:cs="Times New Roman"/>
          <w:lang w:eastAsia="de-DE"/>
        </w:rPr>
        <w:t>„befehlen" „wie der Ewige Mose geboten hatte") betont die göttliche Autorität des Krieges.</w:t>
      </w:r>
    </w:p>
    <w:p w14:paraId="5FA45726" w14:textId="22BF2DDE" w:rsidR="00133297" w:rsidRPr="00133297" w:rsidRDefault="00133297" w:rsidP="007E406A">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וַיַּהַרְגוּ כָּל־זָכָר</w:t>
      </w:r>
      <w:r w:rsidRPr="00133297">
        <w:rPr>
          <w:rFonts w:eastAsia="Times New Roman" w:cs="Times New Roman"/>
          <w:rtl/>
          <w:lang w:eastAsia="de-DE"/>
        </w:rPr>
        <w:t xml:space="preserve"> </w:t>
      </w:r>
      <w:r w:rsidRPr="00133297">
        <w:rPr>
          <w:rFonts w:eastAsia="Times New Roman" w:cs="Times New Roman"/>
          <w:lang w:eastAsia="de-DE"/>
        </w:rPr>
        <w:t xml:space="preserve">ist das erste Ergebnis. </w:t>
      </w:r>
      <w:r w:rsidRPr="00133297">
        <w:rPr>
          <w:rFonts w:eastAsia="Times New Roman" w:cs="Times New Roman"/>
          <w:b/>
          <w:bCs/>
          <w:rtl/>
          <w:lang w:eastAsia="de-DE"/>
        </w:rPr>
        <w:t>וַיַּהַרְגוּ</w:t>
      </w:r>
      <w:r w:rsidRPr="00133297">
        <w:rPr>
          <w:rFonts w:eastAsia="Times New Roman" w:cs="Times New Roman"/>
          <w:rtl/>
          <w:lang w:eastAsia="de-DE"/>
        </w:rPr>
        <w:t xml:space="preserve"> </w:t>
      </w:r>
      <w:r w:rsidRPr="00133297">
        <w:rPr>
          <w:rFonts w:eastAsia="Times New Roman" w:cs="Times New Roman"/>
          <w:lang w:eastAsia="de-DE"/>
        </w:rPr>
        <w:t xml:space="preserve">(Konjunktion mit Qal Wayyiqtol 3. Person maskulin Plural von </w:t>
      </w:r>
      <w:r w:rsidRPr="00133297">
        <w:rPr>
          <w:rFonts w:eastAsia="Times New Roman" w:cs="Times New Roman"/>
          <w:b/>
          <w:bCs/>
          <w:rtl/>
          <w:lang w:eastAsia="de-DE"/>
        </w:rPr>
        <w:t>הרג</w:t>
      </w:r>
      <w:r w:rsidRPr="00133297">
        <w:rPr>
          <w:rFonts w:eastAsia="Times New Roman" w:cs="Times New Roman"/>
          <w:rtl/>
          <w:lang w:eastAsia="de-DE"/>
        </w:rPr>
        <w:t xml:space="preserve"> </w:t>
      </w:r>
      <w:r w:rsidRPr="00133297">
        <w:rPr>
          <w:rFonts w:eastAsia="Times New Roman" w:cs="Times New Roman"/>
          <w:lang w:eastAsia="de-DE"/>
        </w:rPr>
        <w:t xml:space="preserve">„töten, umbringen"), </w:t>
      </w:r>
      <w:r w:rsidRPr="00133297">
        <w:rPr>
          <w:rFonts w:eastAsia="Times New Roman" w:cs="Times New Roman"/>
          <w:b/>
          <w:bCs/>
          <w:rtl/>
          <w:lang w:eastAsia="de-DE"/>
        </w:rPr>
        <w:t>כָּל־זָכָר</w:t>
      </w:r>
      <w:r w:rsidRPr="00133297">
        <w:rPr>
          <w:rFonts w:eastAsia="Times New Roman" w:cs="Times New Roman"/>
          <w:rtl/>
          <w:lang w:eastAsia="de-DE"/>
        </w:rPr>
        <w:t xml:space="preserve"> </w:t>
      </w:r>
      <w:r w:rsidRPr="00133297">
        <w:rPr>
          <w:rFonts w:eastAsia="Times New Roman" w:cs="Times New Roman"/>
          <w:lang w:eastAsia="de-DE"/>
        </w:rPr>
        <w:t>(</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„alles" mit </w:t>
      </w:r>
      <w:r w:rsidRPr="00133297">
        <w:rPr>
          <w:rFonts w:eastAsia="Times New Roman" w:cs="Times New Roman"/>
          <w:b/>
          <w:bCs/>
          <w:rtl/>
          <w:lang w:eastAsia="de-DE"/>
        </w:rPr>
        <w:t>זָכָר</w:t>
      </w:r>
      <w:r w:rsidRPr="00133297">
        <w:rPr>
          <w:rFonts w:eastAsia="Times New Roman" w:cs="Times New Roman"/>
          <w:rtl/>
          <w:lang w:eastAsia="de-DE"/>
        </w:rPr>
        <w:t xml:space="preserve"> </w:t>
      </w:r>
      <w:r w:rsidRPr="00133297">
        <w:rPr>
          <w:rFonts w:eastAsia="Times New Roman" w:cs="Times New Roman"/>
          <w:lang w:eastAsia="de-DE"/>
        </w:rPr>
        <w:t xml:space="preserve">„Männliches, männlich" „alles </w:t>
      </w:r>
      <w:r w:rsidRPr="00133297">
        <w:rPr>
          <w:rFonts w:eastAsia="Times New Roman" w:cs="Times New Roman"/>
          <w:lang w:eastAsia="de-DE"/>
        </w:rPr>
        <w:lastRenderedPageBreak/>
        <w:t xml:space="preserve">Männliche"). Die totale Tötung aller männlichen Midianiter entspricht dem Charakter des </w:t>
      </w:r>
      <w:r w:rsidRPr="00133297">
        <w:rPr>
          <w:rFonts w:eastAsia="Times New Roman" w:cs="Times New Roman"/>
          <w:b/>
          <w:bCs/>
          <w:rtl/>
          <w:lang w:eastAsia="de-DE"/>
        </w:rPr>
        <w:t>חֵרֶם</w:t>
      </w:r>
      <w:r w:rsidRPr="00133297">
        <w:rPr>
          <w:rFonts w:eastAsia="Times New Roman" w:cs="Times New Roman"/>
          <w:rtl/>
          <w:lang w:eastAsia="de-DE"/>
        </w:rPr>
        <w:t xml:space="preserve"> </w:t>
      </w:r>
      <w:r w:rsidRPr="00133297">
        <w:rPr>
          <w:rFonts w:eastAsia="Times New Roman" w:cs="Times New Roman"/>
          <w:lang w:eastAsia="de-DE"/>
        </w:rPr>
        <w:t>(Bann), der vollständigen Vernichtung im heiligen Krieg.</w:t>
      </w:r>
    </w:p>
    <w:p w14:paraId="3EB02B37"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zwei koordinierte Wayyiqtol-Sätze mit Validierungsformel zwischen ihnen.</w:t>
      </w:r>
    </w:p>
    <w:p w14:paraId="0776B1BA"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dokumentiert den Gehorsam gegenüber dem göttlichen Befehl und die kompromisslose Ausführung: Alle männlichen Midianiter werden getötet - eine drastische Maßnahme, die den Ernst der midianitischen Verführung Israels zum Götzendienst reflektiert.</w:t>
      </w:r>
    </w:p>
    <w:p w14:paraId="6F8CF0C1"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31,8</w:t>
      </w:r>
    </w:p>
    <w:p w14:paraId="0CFD013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וְאֶת־מַלְכֵ֨י מִדְיָ֜ן הָרְג֣וּ עַל־חַלְלֵיהֶ֗ם אֶת־אֱוִ֤י וְאֶת־רֶ֙קֶם֙ וְאֶת־צ֤וּר וְאֶת־חוּר֙ וְאֶת־רֶ֔בַע חֲמֵ֖שֶׁת מַלְכֵ֣י מִדְיָ֑ן וְאֵת֙ בִּלְעָ֣ם בֶּן־בְּע֔וֹר הָרְג֖וּ בֶּחָֽרֶב׃</w:t>
      </w:r>
    </w:p>
    <w:p w14:paraId="61238FFD"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die Könige von Midjan töteten sie zu ihren Erschlagenen: Ewi und Rekem und Zur und Chur und Rewa, fünf Könige von Midjan; und auch Bil'am, den Sohn Be'ors, töteten sie mit dem Schwert.</w:t>
      </w:r>
    </w:p>
    <w:p w14:paraId="2C57B8EC"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4E69E33C">
          <v:rect id="_x0000_i1953" style="width:0;height:1.5pt" o:hralign="center" o:hrstd="t" o:hr="t" fillcolor="#a0a0a0" stroked="f"/>
        </w:pict>
      </w:r>
    </w:p>
    <w:p w14:paraId="3C5E11AC" w14:textId="1DF199C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listet die prominenten Opfer auf. </w:t>
      </w:r>
      <w:r w:rsidRPr="00133297">
        <w:rPr>
          <w:rFonts w:eastAsia="Times New Roman" w:cs="Times New Roman"/>
          <w:b/>
          <w:bCs/>
          <w:rtl/>
          <w:lang w:eastAsia="de-DE"/>
        </w:rPr>
        <w:t>וְאֶת־מַלְכֵי מִדְיָן הָרְגוּ עַל־חַלְלֵיהֶם</w:t>
      </w:r>
      <w:r w:rsidRPr="00133297">
        <w:rPr>
          <w:rFonts w:eastAsia="Times New Roman" w:cs="Times New Roman"/>
          <w:rtl/>
          <w:lang w:eastAsia="de-DE"/>
        </w:rPr>
        <w:t xml:space="preserve"> </w:t>
      </w:r>
      <w:r w:rsidRPr="00133297">
        <w:rPr>
          <w:rFonts w:eastAsia="Times New Roman" w:cs="Times New Roman"/>
          <w:lang w:eastAsia="de-DE"/>
        </w:rPr>
        <w:t xml:space="preserve">ist die Einleitung. </w:t>
      </w:r>
      <w:r w:rsidRPr="00133297">
        <w:rPr>
          <w:rFonts w:eastAsia="Times New Roman" w:cs="Times New Roman"/>
          <w:b/>
          <w:bCs/>
          <w:rtl/>
          <w:lang w:eastAsia="de-DE"/>
        </w:rPr>
        <w:t>וְאֶת־מַלְכֵי מִדְיָן</w:t>
      </w:r>
      <w:r w:rsidRPr="00133297">
        <w:rPr>
          <w:rFonts w:eastAsia="Times New Roman" w:cs="Times New Roman"/>
          <w:rtl/>
          <w:lang w:eastAsia="de-DE"/>
        </w:rPr>
        <w:t xml:space="preserve"> </w:t>
      </w:r>
      <w:r w:rsidRPr="00133297">
        <w:rPr>
          <w:rFonts w:eastAsia="Times New Roman" w:cs="Times New Roman"/>
          <w:lang w:eastAsia="de-DE"/>
        </w:rPr>
        <w:t xml:space="preserve">(Konjunktion mit Akkusativpartikel und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מֶלֶךְ</w:t>
      </w:r>
      <w:r w:rsidRPr="00133297">
        <w:rPr>
          <w:rFonts w:eastAsia="Times New Roman" w:cs="Times New Roman"/>
          <w:rtl/>
          <w:lang w:eastAsia="de-DE"/>
        </w:rPr>
        <w:t xml:space="preserve"> </w:t>
      </w:r>
      <w:r w:rsidRPr="00133297">
        <w:rPr>
          <w:rFonts w:eastAsia="Times New Roman" w:cs="Times New Roman"/>
          <w:lang w:eastAsia="de-DE"/>
        </w:rPr>
        <w:t xml:space="preserve">„König" mit </w:t>
      </w:r>
      <w:r w:rsidRPr="00133297">
        <w:rPr>
          <w:rFonts w:eastAsia="Times New Roman" w:cs="Times New Roman"/>
          <w:b/>
          <w:bCs/>
          <w:rtl/>
          <w:lang w:eastAsia="de-DE"/>
        </w:rPr>
        <w:t>מִדְיָן</w:t>
      </w:r>
      <w:r w:rsidRPr="00133297">
        <w:rPr>
          <w:rFonts w:eastAsia="Times New Roman" w:cs="Times New Roman"/>
          <w:rtl/>
          <w:lang w:eastAsia="de-DE"/>
        </w:rPr>
        <w:t xml:space="preserve"> </w:t>
      </w:r>
      <w:r w:rsidRPr="00133297">
        <w:rPr>
          <w:rFonts w:eastAsia="Times New Roman" w:cs="Times New Roman"/>
          <w:lang w:eastAsia="de-DE"/>
        </w:rPr>
        <w:t xml:space="preserve">„die Könige von Midian"), </w:t>
      </w:r>
      <w:r w:rsidRPr="00133297">
        <w:rPr>
          <w:rFonts w:eastAsia="Times New Roman" w:cs="Times New Roman"/>
          <w:b/>
          <w:bCs/>
          <w:rtl/>
          <w:lang w:eastAsia="de-DE"/>
        </w:rPr>
        <w:t>הָרְגוּ</w:t>
      </w:r>
      <w:r w:rsidRPr="00133297">
        <w:rPr>
          <w:rFonts w:eastAsia="Times New Roman" w:cs="Times New Roman"/>
          <w:rtl/>
          <w:lang w:eastAsia="de-DE"/>
        </w:rPr>
        <w:t xml:space="preserve"> </w:t>
      </w:r>
      <w:r w:rsidRPr="00133297">
        <w:rPr>
          <w:rFonts w:eastAsia="Times New Roman" w:cs="Times New Roman"/>
          <w:lang w:eastAsia="de-DE"/>
        </w:rPr>
        <w:t xml:space="preserve">(Qal Perfekt 3. Person maskulin Plural von </w:t>
      </w:r>
      <w:r w:rsidRPr="00133297">
        <w:rPr>
          <w:rFonts w:eastAsia="Times New Roman" w:cs="Times New Roman"/>
          <w:b/>
          <w:bCs/>
          <w:rtl/>
          <w:lang w:eastAsia="de-DE"/>
        </w:rPr>
        <w:t>הרג</w:t>
      </w:r>
      <w:r w:rsidRPr="00133297">
        <w:rPr>
          <w:rFonts w:eastAsia="Times New Roman" w:cs="Times New Roman"/>
          <w:rtl/>
          <w:lang w:eastAsia="de-DE"/>
        </w:rPr>
        <w:t xml:space="preserve"> </w:t>
      </w:r>
      <w:r w:rsidRPr="00133297">
        <w:rPr>
          <w:rFonts w:eastAsia="Times New Roman" w:cs="Times New Roman"/>
          <w:lang w:eastAsia="de-DE"/>
        </w:rPr>
        <w:t xml:space="preserve">„töten"), </w:t>
      </w:r>
      <w:r w:rsidRPr="00133297">
        <w:rPr>
          <w:rFonts w:eastAsia="Times New Roman" w:cs="Times New Roman"/>
          <w:b/>
          <w:bCs/>
          <w:rtl/>
          <w:lang w:eastAsia="de-DE"/>
        </w:rPr>
        <w:t>עַל־חַלְלֵיהֶם</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עַל</w:t>
      </w:r>
      <w:r w:rsidRPr="00133297">
        <w:rPr>
          <w:rFonts w:eastAsia="Times New Roman" w:cs="Times New Roman"/>
          <w:rtl/>
          <w:lang w:eastAsia="de-DE"/>
        </w:rPr>
        <w:t xml:space="preserve"> </w:t>
      </w:r>
      <w:r w:rsidRPr="00133297">
        <w:rPr>
          <w:rFonts w:eastAsia="Times New Roman" w:cs="Times New Roman"/>
          <w:lang w:eastAsia="de-DE"/>
        </w:rPr>
        <w:t xml:space="preserve">„zu, zusätzlich zu" mit Plural von </w:t>
      </w:r>
      <w:r w:rsidRPr="00133297">
        <w:rPr>
          <w:rFonts w:eastAsia="Times New Roman" w:cs="Times New Roman"/>
          <w:b/>
          <w:bCs/>
          <w:rtl/>
          <w:lang w:eastAsia="de-DE"/>
        </w:rPr>
        <w:t>חָלָל</w:t>
      </w:r>
      <w:r w:rsidRPr="00133297">
        <w:rPr>
          <w:rFonts w:eastAsia="Times New Roman" w:cs="Times New Roman"/>
          <w:rtl/>
          <w:lang w:eastAsia="de-DE"/>
        </w:rPr>
        <w:t xml:space="preserve"> </w:t>
      </w:r>
      <w:r w:rsidRPr="00133297">
        <w:rPr>
          <w:rFonts w:eastAsia="Times New Roman" w:cs="Times New Roman"/>
          <w:lang w:eastAsia="de-DE"/>
        </w:rPr>
        <w:t>„Erschlagener, Gefallener" und Suffix 3. Person maskulin Plural „zu ihren Erschlagenen"), d.h. zusätzlich zu den bereits Getöteten.</w:t>
      </w:r>
    </w:p>
    <w:p w14:paraId="7FD8C873" w14:textId="5564B6AC"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אֶת־אֱוִי וְאֶת־רֶקֶם וְאֶת־צוּר וְאֶת־חוּר וְאֶת־רֶבַע חֲמֵשֶׁת מַלְכֵי מִדְיָן</w:t>
      </w:r>
      <w:r w:rsidRPr="00133297">
        <w:rPr>
          <w:rFonts w:eastAsia="Times New Roman" w:cs="Times New Roman"/>
          <w:rtl/>
          <w:lang w:eastAsia="de-DE"/>
        </w:rPr>
        <w:t xml:space="preserve"> </w:t>
      </w:r>
      <w:r w:rsidRPr="00133297">
        <w:rPr>
          <w:rFonts w:eastAsia="Times New Roman" w:cs="Times New Roman"/>
          <w:lang w:eastAsia="de-DE"/>
        </w:rPr>
        <w:t xml:space="preserve">ist die Namensliste. Fünf Namen mit jeweils </w:t>
      </w:r>
      <w:r w:rsidRPr="00133297">
        <w:rPr>
          <w:rFonts w:eastAsia="Times New Roman" w:cs="Times New Roman"/>
          <w:b/>
          <w:bCs/>
          <w:rtl/>
          <w:lang w:eastAsia="de-DE"/>
        </w:rPr>
        <w:t>אֶת</w:t>
      </w:r>
      <w:r w:rsidRPr="00133297">
        <w:rPr>
          <w:rFonts w:eastAsia="Times New Roman" w:cs="Times New Roman"/>
          <w:rtl/>
          <w:lang w:eastAsia="de-DE"/>
        </w:rPr>
        <w:t xml:space="preserve"> </w:t>
      </w:r>
      <w:r w:rsidRPr="00133297">
        <w:rPr>
          <w:rFonts w:eastAsia="Times New Roman" w:cs="Times New Roman"/>
          <w:lang w:eastAsia="de-DE"/>
        </w:rPr>
        <w:t xml:space="preserve">(Akkusativpartikel): </w:t>
      </w:r>
      <w:r w:rsidRPr="00133297">
        <w:rPr>
          <w:rFonts w:eastAsia="Times New Roman" w:cs="Times New Roman"/>
          <w:b/>
          <w:bCs/>
          <w:rtl/>
          <w:lang w:eastAsia="de-DE"/>
        </w:rPr>
        <w:t>אֱוִי</w:t>
      </w:r>
      <w:r w:rsidRPr="00133297">
        <w:rPr>
          <w:rFonts w:eastAsia="Times New Roman" w:cs="Times New Roman"/>
          <w:rtl/>
          <w:lang w:eastAsia="de-DE"/>
        </w:rPr>
        <w:t xml:space="preserve"> </w:t>
      </w:r>
      <w:r w:rsidRPr="00133297">
        <w:rPr>
          <w:rFonts w:eastAsia="Times New Roman" w:cs="Times New Roman"/>
          <w:lang w:eastAsia="de-DE"/>
        </w:rPr>
        <w:t xml:space="preserve">(Ewi), </w:t>
      </w:r>
      <w:r w:rsidRPr="00133297">
        <w:rPr>
          <w:rFonts w:eastAsia="Times New Roman" w:cs="Times New Roman"/>
          <w:b/>
          <w:bCs/>
          <w:rtl/>
          <w:lang w:eastAsia="de-DE"/>
        </w:rPr>
        <w:t>רֶקֶם</w:t>
      </w:r>
      <w:r w:rsidRPr="00133297">
        <w:rPr>
          <w:rFonts w:eastAsia="Times New Roman" w:cs="Times New Roman"/>
          <w:rtl/>
          <w:lang w:eastAsia="de-DE"/>
        </w:rPr>
        <w:t xml:space="preserve"> </w:t>
      </w:r>
      <w:r w:rsidRPr="00133297">
        <w:rPr>
          <w:rFonts w:eastAsia="Times New Roman" w:cs="Times New Roman"/>
          <w:lang w:eastAsia="de-DE"/>
        </w:rPr>
        <w:t xml:space="preserve">(Rekem), </w:t>
      </w:r>
      <w:r w:rsidRPr="00133297">
        <w:rPr>
          <w:rFonts w:eastAsia="Times New Roman" w:cs="Times New Roman"/>
          <w:b/>
          <w:bCs/>
          <w:rtl/>
          <w:lang w:eastAsia="de-DE"/>
        </w:rPr>
        <w:t>צוּר</w:t>
      </w:r>
      <w:r w:rsidRPr="00133297">
        <w:rPr>
          <w:rFonts w:eastAsia="Times New Roman" w:cs="Times New Roman"/>
          <w:rtl/>
          <w:lang w:eastAsia="de-DE"/>
        </w:rPr>
        <w:t xml:space="preserve"> </w:t>
      </w:r>
      <w:r w:rsidRPr="00133297">
        <w:rPr>
          <w:rFonts w:eastAsia="Times New Roman" w:cs="Times New Roman"/>
          <w:lang w:eastAsia="de-DE"/>
        </w:rPr>
        <w:t xml:space="preserve">(Zur), </w:t>
      </w:r>
      <w:r w:rsidRPr="00133297">
        <w:rPr>
          <w:rFonts w:eastAsia="Times New Roman" w:cs="Times New Roman"/>
          <w:b/>
          <w:bCs/>
          <w:rtl/>
          <w:lang w:eastAsia="de-DE"/>
        </w:rPr>
        <w:t>חוּר</w:t>
      </w:r>
      <w:r w:rsidRPr="00133297">
        <w:rPr>
          <w:rFonts w:eastAsia="Times New Roman" w:cs="Times New Roman"/>
          <w:rtl/>
          <w:lang w:eastAsia="de-DE"/>
        </w:rPr>
        <w:t xml:space="preserve"> </w:t>
      </w:r>
      <w:r w:rsidRPr="00133297">
        <w:rPr>
          <w:rFonts w:eastAsia="Times New Roman" w:cs="Times New Roman"/>
          <w:lang w:eastAsia="de-DE"/>
        </w:rPr>
        <w:t xml:space="preserve">(Chur), </w:t>
      </w:r>
      <w:r w:rsidRPr="00133297">
        <w:rPr>
          <w:rFonts w:eastAsia="Times New Roman" w:cs="Times New Roman"/>
          <w:b/>
          <w:bCs/>
          <w:rtl/>
          <w:lang w:eastAsia="de-DE"/>
        </w:rPr>
        <w:t>רֶבַע</w:t>
      </w:r>
      <w:r w:rsidRPr="00133297">
        <w:rPr>
          <w:rFonts w:eastAsia="Times New Roman" w:cs="Times New Roman"/>
          <w:rtl/>
          <w:lang w:eastAsia="de-DE"/>
        </w:rPr>
        <w:t xml:space="preserve"> </w:t>
      </w:r>
      <w:r w:rsidRPr="00133297">
        <w:rPr>
          <w:rFonts w:eastAsia="Times New Roman" w:cs="Times New Roman"/>
          <w:lang w:eastAsia="de-DE"/>
        </w:rPr>
        <w:t xml:space="preserve">(Rewa). </w:t>
      </w:r>
      <w:r w:rsidRPr="00133297">
        <w:rPr>
          <w:rFonts w:eastAsia="Times New Roman" w:cs="Times New Roman"/>
          <w:b/>
          <w:bCs/>
          <w:rtl/>
          <w:lang w:eastAsia="de-DE"/>
        </w:rPr>
        <w:t>חֲמֵשֶׁת מַלְכֵי מִדְיָן</w:t>
      </w:r>
      <w:r w:rsidRPr="00133297">
        <w:rPr>
          <w:rFonts w:eastAsia="Times New Roman" w:cs="Times New Roman"/>
          <w:rtl/>
          <w:lang w:eastAsia="de-DE"/>
        </w:rPr>
        <w:t xml:space="preserve"> </w:t>
      </w:r>
      <w:r w:rsidRPr="00133297">
        <w:rPr>
          <w:rFonts w:eastAsia="Times New Roman" w:cs="Times New Roman"/>
          <w:lang w:eastAsia="de-DE"/>
        </w:rPr>
        <w:t>(</w:t>
      </w:r>
      <w:r w:rsidR="00B513FF">
        <w:rPr>
          <w:rFonts w:eastAsia="Times New Roman" w:cs="Times New Roman"/>
          <w:lang w:eastAsia="de-DE"/>
        </w:rPr>
        <w:t xml:space="preserve">Constructus </w:t>
      </w:r>
      <w:r w:rsidRPr="00133297">
        <w:rPr>
          <w:rFonts w:eastAsia="Times New Roman" w:cs="Times New Roman"/>
          <w:lang w:eastAsia="de-DE"/>
        </w:rPr>
        <w:t xml:space="preserve"> der Kardinalzahl „fünf" mit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מֶלֶךְ</w:t>
      </w:r>
      <w:r w:rsidRPr="00133297">
        <w:rPr>
          <w:rFonts w:eastAsia="Times New Roman" w:cs="Times New Roman"/>
          <w:rtl/>
          <w:lang w:eastAsia="de-DE"/>
        </w:rPr>
        <w:t xml:space="preserve"> </w:t>
      </w:r>
      <w:r w:rsidRPr="00133297">
        <w:rPr>
          <w:rFonts w:eastAsia="Times New Roman" w:cs="Times New Roman"/>
          <w:lang w:eastAsia="de-DE"/>
        </w:rPr>
        <w:t xml:space="preserve">und </w:t>
      </w:r>
      <w:r w:rsidRPr="00133297">
        <w:rPr>
          <w:rFonts w:eastAsia="Times New Roman" w:cs="Times New Roman"/>
          <w:b/>
          <w:bCs/>
          <w:rtl/>
          <w:lang w:eastAsia="de-DE"/>
        </w:rPr>
        <w:t>מִדְיָן</w:t>
      </w:r>
      <w:r w:rsidRPr="00133297">
        <w:rPr>
          <w:rFonts w:eastAsia="Times New Roman" w:cs="Times New Roman"/>
          <w:rtl/>
          <w:lang w:eastAsia="de-DE"/>
        </w:rPr>
        <w:t xml:space="preserve"> </w:t>
      </w:r>
      <w:r w:rsidRPr="00133297">
        <w:rPr>
          <w:rFonts w:eastAsia="Times New Roman" w:cs="Times New Roman"/>
          <w:lang w:eastAsia="de-DE"/>
        </w:rPr>
        <w:t>„fünf Könige von Midian") fasst zusammen. Zur wurde bereits in Num 25,15 als Vater der Kosbi erwähnt, die Pinchas getötet hatte.</w:t>
      </w:r>
    </w:p>
    <w:p w14:paraId="3A8EE33B"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וְאֵת בִּלְעָם בֶּן־בְּעוֹר הָרְגוּ בֶּחָרֶב</w:t>
      </w:r>
      <w:r w:rsidRPr="00133297">
        <w:rPr>
          <w:rFonts w:eastAsia="Times New Roman" w:cs="Times New Roman"/>
          <w:rtl/>
          <w:lang w:eastAsia="de-DE"/>
        </w:rPr>
        <w:t xml:space="preserve"> </w:t>
      </w:r>
      <w:r w:rsidRPr="00133297">
        <w:rPr>
          <w:rFonts w:eastAsia="Times New Roman" w:cs="Times New Roman"/>
          <w:lang w:eastAsia="de-DE"/>
        </w:rPr>
        <w:t xml:space="preserve">ist die dramatische Ergänzung. </w:t>
      </w:r>
      <w:r w:rsidRPr="00133297">
        <w:rPr>
          <w:rFonts w:eastAsia="Times New Roman" w:cs="Times New Roman"/>
          <w:b/>
          <w:bCs/>
          <w:rtl/>
          <w:lang w:eastAsia="de-DE"/>
        </w:rPr>
        <w:t>בִּלְעָם בֶּן־בְּעוֹר</w:t>
      </w:r>
      <w:r w:rsidRPr="00133297">
        <w:rPr>
          <w:rFonts w:eastAsia="Times New Roman" w:cs="Times New Roman"/>
          <w:rtl/>
          <w:lang w:eastAsia="de-DE"/>
        </w:rPr>
        <w:t xml:space="preserve"> </w:t>
      </w:r>
      <w:r w:rsidRPr="00133297">
        <w:rPr>
          <w:rFonts w:eastAsia="Times New Roman" w:cs="Times New Roman"/>
          <w:lang w:eastAsia="de-DE"/>
        </w:rPr>
        <w:t xml:space="preserve">(Bileam, Sohn Beors, der Prophet aus Num 22-24), </w:t>
      </w:r>
      <w:r w:rsidRPr="00133297">
        <w:rPr>
          <w:rFonts w:eastAsia="Times New Roman" w:cs="Times New Roman"/>
          <w:b/>
          <w:bCs/>
          <w:rtl/>
          <w:lang w:eastAsia="de-DE"/>
        </w:rPr>
        <w:t>הָרְגוּ בֶּחָרֶב</w:t>
      </w:r>
      <w:r w:rsidRPr="00133297">
        <w:rPr>
          <w:rFonts w:eastAsia="Times New Roman" w:cs="Times New Roman"/>
          <w:rtl/>
          <w:lang w:eastAsia="de-DE"/>
        </w:rPr>
        <w:t xml:space="preserve"> </w:t>
      </w:r>
      <w:r w:rsidRPr="00133297">
        <w:rPr>
          <w:rFonts w:eastAsia="Times New Roman" w:cs="Times New Roman"/>
          <w:lang w:eastAsia="de-DE"/>
        </w:rPr>
        <w:t xml:space="preserve">(Qal Perfekt von </w:t>
      </w:r>
      <w:r w:rsidRPr="00133297">
        <w:rPr>
          <w:rFonts w:eastAsia="Times New Roman" w:cs="Times New Roman"/>
          <w:b/>
          <w:bCs/>
          <w:rtl/>
          <w:lang w:eastAsia="de-DE"/>
        </w:rPr>
        <w:t>הרג</w:t>
      </w:r>
      <w:r w:rsidRPr="00133297">
        <w:rPr>
          <w:rFonts w:eastAsia="Times New Roman" w:cs="Times New Roman"/>
          <w:rtl/>
          <w:lang w:eastAsia="de-DE"/>
        </w:rPr>
        <w:t xml:space="preserve"> </w:t>
      </w:r>
      <w:r w:rsidRPr="00133297">
        <w:rPr>
          <w:rFonts w:eastAsia="Times New Roman" w:cs="Times New Roman"/>
          <w:lang w:eastAsia="de-DE"/>
        </w:rPr>
        <w:t xml:space="preserve">mit 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und </w:t>
      </w:r>
      <w:r w:rsidRPr="00133297">
        <w:rPr>
          <w:rFonts w:eastAsia="Times New Roman" w:cs="Times New Roman"/>
          <w:b/>
          <w:bCs/>
          <w:rtl/>
          <w:lang w:eastAsia="de-DE"/>
        </w:rPr>
        <w:t>חֶרֶב</w:t>
      </w:r>
      <w:r w:rsidRPr="00133297">
        <w:rPr>
          <w:rFonts w:eastAsia="Times New Roman" w:cs="Times New Roman"/>
          <w:rtl/>
          <w:lang w:eastAsia="de-DE"/>
        </w:rPr>
        <w:t xml:space="preserve"> </w:t>
      </w:r>
      <w:r w:rsidRPr="00133297">
        <w:rPr>
          <w:rFonts w:eastAsia="Times New Roman" w:cs="Times New Roman"/>
          <w:lang w:eastAsia="de-DE"/>
        </w:rPr>
        <w:t>„Schwert" „töteten mit dem Schwert"). Bileams Anwesenheit bei den Midianitern zeigt seine Rolle bei der Verführung Israels (vgl. V. 16), obwohl er Israel nicht verfluchen konnte (Num 22-24), gab er den bösen Rat zur Verführung.</w:t>
      </w:r>
    </w:p>
    <w:p w14:paraId="16B0273A" w14:textId="13FAA8D4"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Die LXX</w:t>
      </w:r>
      <w:r w:rsidRPr="00133297">
        <w:rPr>
          <w:rFonts w:eastAsia="Times New Roman" w:cs="Times New Roman"/>
          <w:lang w:eastAsia="de-DE"/>
        </w:rPr>
        <w:t xml:space="preserve"> </w:t>
      </w:r>
      <w:r w:rsidR="00EF1857">
        <w:t>übersetzt die Namen der midianitischen Könige leicht unterschiedlich: „</w:t>
      </w:r>
      <w:r w:rsidR="00EF1857" w:rsidRPr="00EF1857">
        <w:rPr>
          <w:b/>
          <w:bCs/>
          <w:rtl/>
        </w:rPr>
        <w:t>רֶקֶם</w:t>
      </w:r>
      <w:r w:rsidR="00EF1857">
        <w:t>" (Rekem) wird zu „Ῥόκομ" (Rokom), „</w:t>
      </w:r>
      <w:r w:rsidR="00EF1857" w:rsidRPr="00EF1857">
        <w:rPr>
          <w:b/>
          <w:bCs/>
          <w:rtl/>
        </w:rPr>
        <w:t>רֶבַע</w:t>
      </w:r>
      <w:r w:rsidR="00EF1857">
        <w:t>" (Reba) wird zu „Ῥόβοκ" (Robok), und fügt „σὺν τοῖς τραυματίαις αὐτῶν" (mit ihren Verwundeten) am Ende hinzu, was im MT nicht erscheint.</w:t>
      </w:r>
    </w:p>
    <w:p w14:paraId="7EDD98E9"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 Hauptverb mit Objekt, gefolgt von einer fünffachen Aufzählung von Namen mit zusammenfassender Phrase und einer dramatischen Ergänzung (Bileam).</w:t>
      </w:r>
    </w:p>
    <w:p w14:paraId="16400F5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lastRenderedPageBreak/>
        <w:t>Der Vers listet die Führer Midians und enthüllt Bileams Schicksal: Der Prophet, der Israel nicht verfluchen konnte, aber zum Verführer wurde, findet sein Ende durch israelitisches Schwert - eine göttliche Vergeltung für seinen bösen Rat.</w:t>
      </w:r>
    </w:p>
    <w:p w14:paraId="329A5234"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31,9</w:t>
      </w:r>
    </w:p>
    <w:p w14:paraId="6550728D"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וַיִּשְׁבּ֧וּ בְנֵי־יִשְׂרָאֵ֛ל אֶת־נְשֵׁ֥י מִדְיָ֖ן וְאֶת־טַפָּ֑ם וְאֵ֨ת כָּל־בְּהֶמְתָּ֧ם וְאֶת־כָּל־מִקְנֵהֶ֛ם וְאֶת־כָּל־חֵילָ֖ם בָּזָֽזוּ׃</w:t>
      </w:r>
    </w:p>
    <w:p w14:paraId="5A47670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die Söhne Jisra'el führten die Frauen Midjans und ihre Kinder gefangen weg; und all ihr Vieh und alle ihre Herden und alle ihre Habe plünderten sie.</w:t>
      </w:r>
    </w:p>
    <w:p w14:paraId="0047A520"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4F3F56E1">
          <v:rect id="_x0000_i1954" style="width:0;height:1.5pt" o:hralign="center" o:hrstd="t" o:hr="t" fillcolor="#a0a0a0" stroked="f"/>
        </w:pict>
      </w:r>
    </w:p>
    <w:p w14:paraId="57967798" w14:textId="643E28BA"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beschreibt die Kriegsbeute. </w:t>
      </w:r>
      <w:r w:rsidRPr="00133297">
        <w:rPr>
          <w:rFonts w:eastAsia="Times New Roman" w:cs="Times New Roman"/>
          <w:b/>
          <w:bCs/>
          <w:rtl/>
          <w:lang w:eastAsia="de-DE"/>
        </w:rPr>
        <w:t>וַיִּשְׁבּוּ בְנֵי־יִשְׂרָאֵל אֶת־נְשֵׁי מִדְיָן וְאֶת־טַפָּם</w:t>
      </w:r>
      <w:r w:rsidRPr="00133297">
        <w:rPr>
          <w:rFonts w:eastAsia="Times New Roman" w:cs="Times New Roman"/>
          <w:rtl/>
          <w:lang w:eastAsia="de-DE"/>
        </w:rPr>
        <w:t xml:space="preserve"> </w:t>
      </w:r>
      <w:r w:rsidRPr="00133297">
        <w:rPr>
          <w:rFonts w:eastAsia="Times New Roman" w:cs="Times New Roman"/>
          <w:lang w:eastAsia="de-DE"/>
        </w:rPr>
        <w:t xml:space="preserve">zeigt die Gefangennahme. </w:t>
      </w:r>
      <w:r w:rsidRPr="00133297">
        <w:rPr>
          <w:rFonts w:eastAsia="Times New Roman" w:cs="Times New Roman"/>
          <w:b/>
          <w:bCs/>
          <w:rtl/>
          <w:lang w:eastAsia="de-DE"/>
        </w:rPr>
        <w:t>וַיִּשְׁבּוּ</w:t>
      </w:r>
      <w:r w:rsidRPr="00133297">
        <w:rPr>
          <w:rFonts w:eastAsia="Times New Roman" w:cs="Times New Roman"/>
          <w:rtl/>
          <w:lang w:eastAsia="de-DE"/>
        </w:rPr>
        <w:t xml:space="preserve"> </w:t>
      </w:r>
      <w:r w:rsidRPr="00133297">
        <w:rPr>
          <w:rFonts w:eastAsia="Times New Roman" w:cs="Times New Roman"/>
          <w:lang w:eastAsia="de-DE"/>
        </w:rPr>
        <w:t xml:space="preserve">(Qal Wayyiqtol 3. Person maskulin Plural von </w:t>
      </w:r>
      <w:r w:rsidRPr="00133297">
        <w:rPr>
          <w:rFonts w:eastAsia="Times New Roman" w:cs="Times New Roman"/>
          <w:b/>
          <w:bCs/>
          <w:rtl/>
          <w:lang w:eastAsia="de-DE"/>
        </w:rPr>
        <w:t>שׁבה</w:t>
      </w:r>
      <w:r w:rsidRPr="00133297">
        <w:rPr>
          <w:rFonts w:eastAsia="Times New Roman" w:cs="Times New Roman"/>
          <w:rtl/>
          <w:lang w:eastAsia="de-DE"/>
        </w:rPr>
        <w:t xml:space="preserve"> </w:t>
      </w:r>
      <w:r w:rsidRPr="00133297">
        <w:rPr>
          <w:rFonts w:eastAsia="Times New Roman" w:cs="Times New Roman"/>
          <w:lang w:eastAsia="de-DE"/>
        </w:rPr>
        <w:t xml:space="preserve">„gefangen führen, gefangen nehmen"), </w:t>
      </w:r>
      <w:r w:rsidRPr="00133297">
        <w:rPr>
          <w:rFonts w:eastAsia="Times New Roman" w:cs="Times New Roman"/>
          <w:b/>
          <w:bCs/>
          <w:rtl/>
          <w:lang w:eastAsia="de-DE"/>
        </w:rPr>
        <w:t>בְנֵי־יִשְׂרָאֵל</w:t>
      </w:r>
      <w:r w:rsidRPr="00133297">
        <w:rPr>
          <w:rFonts w:eastAsia="Times New Roman" w:cs="Times New Roman"/>
          <w:rtl/>
          <w:lang w:eastAsia="de-DE"/>
        </w:rPr>
        <w:t xml:space="preserve"> </w:t>
      </w:r>
      <w:r w:rsidRPr="00133297">
        <w:rPr>
          <w:rFonts w:eastAsia="Times New Roman" w:cs="Times New Roman"/>
          <w:lang w:eastAsia="de-DE"/>
        </w:rPr>
        <w:t xml:space="preserve">ist das Subjekt, </w:t>
      </w:r>
      <w:r w:rsidRPr="00133297">
        <w:rPr>
          <w:rFonts w:eastAsia="Times New Roman" w:cs="Times New Roman"/>
          <w:b/>
          <w:bCs/>
          <w:rtl/>
          <w:lang w:eastAsia="de-DE"/>
        </w:rPr>
        <w:t>אֶת־נְשֵׁי מִדְיָן</w:t>
      </w:r>
      <w:r w:rsidRPr="00133297">
        <w:rPr>
          <w:rFonts w:eastAsia="Times New Roman" w:cs="Times New Roman"/>
          <w:rtl/>
          <w:lang w:eastAsia="de-DE"/>
        </w:rPr>
        <w:t xml:space="preserve"> </w:t>
      </w:r>
      <w:r w:rsidRPr="00133297">
        <w:rPr>
          <w:rFonts w:eastAsia="Times New Roman" w:cs="Times New Roman"/>
          <w:lang w:eastAsia="de-DE"/>
        </w:rPr>
        <w:t xml:space="preserve">(Akkusativpartikel mit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אִשָּׁה</w:t>
      </w:r>
      <w:r w:rsidRPr="00133297">
        <w:rPr>
          <w:rFonts w:eastAsia="Times New Roman" w:cs="Times New Roman"/>
          <w:rtl/>
          <w:lang w:eastAsia="de-DE"/>
        </w:rPr>
        <w:t xml:space="preserve"> </w:t>
      </w:r>
      <w:r w:rsidRPr="00133297">
        <w:rPr>
          <w:rFonts w:eastAsia="Times New Roman" w:cs="Times New Roman"/>
          <w:lang w:eastAsia="de-DE"/>
        </w:rPr>
        <w:t xml:space="preserve">„Frau" und </w:t>
      </w:r>
      <w:r w:rsidRPr="00133297">
        <w:rPr>
          <w:rFonts w:eastAsia="Times New Roman" w:cs="Times New Roman"/>
          <w:b/>
          <w:bCs/>
          <w:rtl/>
          <w:lang w:eastAsia="de-DE"/>
        </w:rPr>
        <w:t>מִדְיָן</w:t>
      </w:r>
      <w:r w:rsidRPr="00133297">
        <w:rPr>
          <w:rFonts w:eastAsia="Times New Roman" w:cs="Times New Roman"/>
          <w:rtl/>
          <w:lang w:eastAsia="de-DE"/>
        </w:rPr>
        <w:t xml:space="preserve"> </w:t>
      </w:r>
      <w:r w:rsidRPr="00133297">
        <w:rPr>
          <w:rFonts w:eastAsia="Times New Roman" w:cs="Times New Roman"/>
          <w:lang w:eastAsia="de-DE"/>
        </w:rPr>
        <w:t xml:space="preserve">„die Frauen Midians"), </w:t>
      </w:r>
      <w:r w:rsidRPr="00133297">
        <w:rPr>
          <w:rFonts w:eastAsia="Times New Roman" w:cs="Times New Roman"/>
          <w:b/>
          <w:bCs/>
          <w:rtl/>
          <w:lang w:eastAsia="de-DE"/>
        </w:rPr>
        <w:t>וְאֶת־טַפָּם</w:t>
      </w:r>
      <w:r w:rsidRPr="00133297">
        <w:rPr>
          <w:rFonts w:eastAsia="Times New Roman" w:cs="Times New Roman"/>
          <w:rtl/>
          <w:lang w:eastAsia="de-DE"/>
        </w:rPr>
        <w:t xml:space="preserve"> </w:t>
      </w:r>
      <w:r w:rsidRPr="00133297">
        <w:rPr>
          <w:rFonts w:eastAsia="Times New Roman" w:cs="Times New Roman"/>
          <w:lang w:eastAsia="de-DE"/>
        </w:rPr>
        <w:t xml:space="preserve">(Konjunktion mit Akkusativpartikel und </w:t>
      </w:r>
      <w:r w:rsidRPr="00133297">
        <w:rPr>
          <w:rFonts w:eastAsia="Times New Roman" w:cs="Times New Roman"/>
          <w:b/>
          <w:bCs/>
          <w:rtl/>
          <w:lang w:eastAsia="de-DE"/>
        </w:rPr>
        <w:t>טַף</w:t>
      </w:r>
      <w:r w:rsidRPr="00133297">
        <w:rPr>
          <w:rFonts w:eastAsia="Times New Roman" w:cs="Times New Roman"/>
          <w:rtl/>
          <w:lang w:eastAsia="de-DE"/>
        </w:rPr>
        <w:t xml:space="preserve"> </w:t>
      </w:r>
      <w:r w:rsidRPr="00133297">
        <w:rPr>
          <w:rFonts w:eastAsia="Times New Roman" w:cs="Times New Roman"/>
          <w:lang w:eastAsia="de-DE"/>
        </w:rPr>
        <w:t>„Kinder, Kleinkinder" mit Suffix 3. Person maskulin Plural „ihre Kinder"). Die Gefangennahme der Frauen wird später von Mose kritisiert (V. 15-18).</w:t>
      </w:r>
    </w:p>
    <w:p w14:paraId="649D2EBD" w14:textId="7FEF61EB" w:rsidR="00133297" w:rsidRPr="00133297" w:rsidRDefault="00133297" w:rsidP="00C0709A">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וְאֵת כָּל־בְּהֶמְתָּם וְאֶת־כָּל־מִקְנֵהֶם וְאֶת־כָּל־חֵילָם בָּזָזוּ</w:t>
      </w:r>
      <w:r w:rsidRPr="00133297">
        <w:rPr>
          <w:rFonts w:eastAsia="Times New Roman" w:cs="Times New Roman"/>
          <w:rtl/>
          <w:lang w:eastAsia="de-DE"/>
        </w:rPr>
        <w:t xml:space="preserve"> </w:t>
      </w:r>
      <w:r w:rsidRPr="00133297">
        <w:rPr>
          <w:rFonts w:eastAsia="Times New Roman" w:cs="Times New Roman"/>
          <w:lang w:eastAsia="de-DE"/>
        </w:rPr>
        <w:t xml:space="preserve">beschreibt die Plünderung. </w:t>
      </w:r>
      <w:r w:rsidRPr="00133297">
        <w:rPr>
          <w:rFonts w:eastAsia="Times New Roman" w:cs="Times New Roman"/>
          <w:b/>
          <w:bCs/>
          <w:rtl/>
          <w:lang w:eastAsia="de-DE"/>
        </w:rPr>
        <w:t>בָּזָזוּ</w:t>
      </w:r>
      <w:r w:rsidRPr="00133297">
        <w:rPr>
          <w:rFonts w:eastAsia="Times New Roman" w:cs="Times New Roman"/>
          <w:rtl/>
          <w:lang w:eastAsia="de-DE"/>
        </w:rPr>
        <w:t xml:space="preserve"> </w:t>
      </w:r>
      <w:r w:rsidRPr="00133297">
        <w:rPr>
          <w:rFonts w:eastAsia="Times New Roman" w:cs="Times New Roman"/>
          <w:lang w:eastAsia="de-DE"/>
        </w:rPr>
        <w:t xml:space="preserve">(Qal Perfekt 3. Person maskulin Plural von </w:t>
      </w:r>
      <w:r w:rsidRPr="00133297">
        <w:rPr>
          <w:rFonts w:eastAsia="Times New Roman" w:cs="Times New Roman"/>
          <w:b/>
          <w:bCs/>
          <w:rtl/>
          <w:lang w:eastAsia="de-DE"/>
        </w:rPr>
        <w:t>בזז</w:t>
      </w:r>
      <w:r w:rsidRPr="00133297">
        <w:rPr>
          <w:rFonts w:eastAsia="Times New Roman" w:cs="Times New Roman"/>
          <w:rtl/>
          <w:lang w:eastAsia="de-DE"/>
        </w:rPr>
        <w:t xml:space="preserve"> </w:t>
      </w:r>
      <w:r w:rsidRPr="00133297">
        <w:rPr>
          <w:rFonts w:eastAsia="Times New Roman" w:cs="Times New Roman"/>
          <w:lang w:eastAsia="de-DE"/>
        </w:rPr>
        <w:t xml:space="preserve">„plündern, Beute machen"), mit drei Objekten: </w:t>
      </w:r>
      <w:r w:rsidRPr="00133297">
        <w:rPr>
          <w:rFonts w:eastAsia="Times New Roman" w:cs="Times New Roman"/>
          <w:b/>
          <w:bCs/>
          <w:rtl/>
          <w:lang w:eastAsia="de-DE"/>
        </w:rPr>
        <w:t>כָּל־בְּהֶמְתָּם</w:t>
      </w:r>
      <w:r w:rsidRPr="00133297">
        <w:rPr>
          <w:rFonts w:eastAsia="Times New Roman" w:cs="Times New Roman"/>
          <w:rtl/>
          <w:lang w:eastAsia="de-DE"/>
        </w:rPr>
        <w:t xml:space="preserve"> </w:t>
      </w:r>
      <w:r w:rsidRPr="00133297">
        <w:rPr>
          <w:rFonts w:eastAsia="Times New Roman" w:cs="Times New Roman"/>
          <w:lang w:eastAsia="de-DE"/>
        </w:rPr>
        <w:t xml:space="preserve">(„all ihr Vieh"), </w:t>
      </w:r>
      <w:r w:rsidRPr="00133297">
        <w:rPr>
          <w:rFonts w:eastAsia="Times New Roman" w:cs="Times New Roman"/>
          <w:b/>
          <w:bCs/>
          <w:rtl/>
          <w:lang w:eastAsia="de-DE"/>
        </w:rPr>
        <w:t>כָּל־מִקְנֵהֶם</w:t>
      </w:r>
      <w:r w:rsidRPr="00133297">
        <w:rPr>
          <w:rFonts w:eastAsia="Times New Roman" w:cs="Times New Roman"/>
          <w:rtl/>
          <w:lang w:eastAsia="de-DE"/>
        </w:rPr>
        <w:t xml:space="preserve"> </w:t>
      </w:r>
      <w:r w:rsidRPr="00133297">
        <w:rPr>
          <w:rFonts w:eastAsia="Times New Roman" w:cs="Times New Roman"/>
          <w:lang w:eastAsia="de-DE"/>
        </w:rPr>
        <w:t xml:space="preserve">(Plural von </w:t>
      </w:r>
      <w:r w:rsidRPr="00133297">
        <w:rPr>
          <w:rFonts w:eastAsia="Times New Roman" w:cs="Times New Roman"/>
          <w:b/>
          <w:bCs/>
          <w:rtl/>
          <w:lang w:eastAsia="de-DE"/>
        </w:rPr>
        <w:t>מִקְנֶה</w:t>
      </w:r>
      <w:r w:rsidRPr="00133297">
        <w:rPr>
          <w:rFonts w:eastAsia="Times New Roman" w:cs="Times New Roman"/>
          <w:rtl/>
          <w:lang w:eastAsia="de-DE"/>
        </w:rPr>
        <w:t xml:space="preserve"> </w:t>
      </w:r>
      <w:r w:rsidRPr="00133297">
        <w:rPr>
          <w:rFonts w:eastAsia="Times New Roman" w:cs="Times New Roman"/>
          <w:lang w:eastAsia="de-DE"/>
        </w:rPr>
        <w:t xml:space="preserve">„Herden, Viehbesitz"), </w:t>
      </w:r>
      <w:r w:rsidRPr="00133297">
        <w:rPr>
          <w:rFonts w:eastAsia="Times New Roman" w:cs="Times New Roman"/>
          <w:b/>
          <w:bCs/>
          <w:rtl/>
          <w:lang w:eastAsia="de-DE"/>
        </w:rPr>
        <w:t>כָּל־חֵילָם</w:t>
      </w:r>
      <w:r w:rsidRPr="00133297">
        <w:rPr>
          <w:rFonts w:eastAsia="Times New Roman" w:cs="Times New Roman"/>
          <w:rtl/>
          <w:lang w:eastAsia="de-DE"/>
        </w:rPr>
        <w:t xml:space="preserve"> </w:t>
      </w:r>
      <w:r w:rsidRPr="00133297">
        <w:rPr>
          <w:rFonts w:eastAsia="Times New Roman" w:cs="Times New Roman"/>
          <w:lang w:eastAsia="de-DE"/>
        </w:rPr>
        <w:t>(</w:t>
      </w:r>
      <w:r w:rsidRPr="00133297">
        <w:rPr>
          <w:rFonts w:eastAsia="Times New Roman" w:cs="Times New Roman"/>
          <w:b/>
          <w:bCs/>
          <w:rtl/>
          <w:lang w:eastAsia="de-DE"/>
        </w:rPr>
        <w:t>חַיִל</w:t>
      </w:r>
      <w:r w:rsidRPr="00133297">
        <w:rPr>
          <w:rFonts w:eastAsia="Times New Roman" w:cs="Times New Roman"/>
          <w:rtl/>
          <w:lang w:eastAsia="de-DE"/>
        </w:rPr>
        <w:t xml:space="preserve"> </w:t>
      </w:r>
      <w:r w:rsidRPr="00133297">
        <w:rPr>
          <w:rFonts w:eastAsia="Times New Roman" w:cs="Times New Roman"/>
          <w:lang w:eastAsia="de-DE"/>
        </w:rPr>
        <w:t xml:space="preserve">„Habe, Besitz, Reichtum" mit Suffix). Die dreifache </w:t>
      </w:r>
      <w:r w:rsidRPr="00133297">
        <w:rPr>
          <w:rFonts w:eastAsia="Times New Roman" w:cs="Times New Roman"/>
          <w:b/>
          <w:bCs/>
          <w:rtl/>
          <w:lang w:eastAsia="de-DE"/>
        </w:rPr>
        <w:t>כָּל</w:t>
      </w:r>
      <w:r w:rsidRPr="00133297">
        <w:rPr>
          <w:rFonts w:eastAsia="Times New Roman" w:cs="Times New Roman"/>
          <w:lang w:eastAsia="de-DE"/>
        </w:rPr>
        <w:t>-Wiederholung betont die Totalität der Plünderung.</w:t>
      </w:r>
    </w:p>
    <w:p w14:paraId="7D16F78D"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zwei koordinierte Hauptsätze (führten gefangen, plünderten) mit jeweils mehrfachen Objekten.</w:t>
      </w:r>
    </w:p>
    <w:p w14:paraId="7523D5D4"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dokumentiert die umfassende Beute: Menschen (Frauen und Kinder) und Besitz werden weggeführt - eine übliche Praxis im antiken Krieg, die hier jedoch zu Moses Zorn führen wird (V. 14-18).</w:t>
      </w:r>
    </w:p>
    <w:p w14:paraId="7ACF1EB9"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31,10</w:t>
      </w:r>
    </w:p>
    <w:p w14:paraId="76DA9105"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וְאֵ֤ת כָּל־עָרֵיהֶם֙ בְּמ֣וֹשְׁבֹתָ֔ם וְאֵ֖ת כָּל־טִֽירֹתָ֑ם שָׂרְפ֖וּ בָּאֵֽשׁ׃</w:t>
      </w:r>
    </w:p>
    <w:p w14:paraId="39FA69B9"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alle ihre Städte in ihren Wohnsitzen und alle ihre Zeltlager verbrannten sie mit Feuer.</w:t>
      </w:r>
    </w:p>
    <w:p w14:paraId="56B6B041"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4BF4C6A9">
          <v:rect id="_x0000_i1955" style="width:0;height:1.5pt" o:hralign="center" o:hrstd="t" o:hr="t" fillcolor="#a0a0a0" stroked="f"/>
        </w:pict>
      </w:r>
    </w:p>
    <w:p w14:paraId="3994837B"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beschreibt die Zerstörung der midianitischen Siedlungen. </w:t>
      </w:r>
      <w:r w:rsidRPr="00133297">
        <w:rPr>
          <w:rFonts w:eastAsia="Times New Roman" w:cs="Times New Roman"/>
          <w:b/>
          <w:bCs/>
          <w:rtl/>
          <w:lang w:eastAsia="de-DE"/>
        </w:rPr>
        <w:t>וְאֵת כָּל־עָרֵיהֶם בְּמוֹשְׁבֹתָם</w:t>
      </w:r>
      <w:r w:rsidRPr="00133297">
        <w:rPr>
          <w:rFonts w:eastAsia="Times New Roman" w:cs="Times New Roman"/>
          <w:rtl/>
          <w:lang w:eastAsia="de-DE"/>
        </w:rPr>
        <w:t xml:space="preserve"> </w:t>
      </w:r>
      <w:r w:rsidRPr="00133297">
        <w:rPr>
          <w:rFonts w:eastAsia="Times New Roman" w:cs="Times New Roman"/>
          <w:lang w:eastAsia="de-DE"/>
        </w:rPr>
        <w:t xml:space="preserve">identifiziert die festen Siedlungen. </w:t>
      </w:r>
      <w:r w:rsidRPr="00133297">
        <w:rPr>
          <w:rFonts w:eastAsia="Times New Roman" w:cs="Times New Roman"/>
          <w:b/>
          <w:bCs/>
          <w:rtl/>
          <w:lang w:eastAsia="de-DE"/>
        </w:rPr>
        <w:t>עָרֵיהֶם</w:t>
      </w:r>
      <w:r w:rsidRPr="00133297">
        <w:rPr>
          <w:rFonts w:eastAsia="Times New Roman" w:cs="Times New Roman"/>
          <w:rtl/>
          <w:lang w:eastAsia="de-DE"/>
        </w:rPr>
        <w:t xml:space="preserve"> </w:t>
      </w:r>
      <w:r w:rsidRPr="00133297">
        <w:rPr>
          <w:rFonts w:eastAsia="Times New Roman" w:cs="Times New Roman"/>
          <w:lang w:eastAsia="de-DE"/>
        </w:rPr>
        <w:t xml:space="preserve">(Plural von </w:t>
      </w:r>
      <w:r w:rsidRPr="00133297">
        <w:rPr>
          <w:rFonts w:eastAsia="Times New Roman" w:cs="Times New Roman"/>
          <w:b/>
          <w:bCs/>
          <w:rtl/>
          <w:lang w:eastAsia="de-DE"/>
        </w:rPr>
        <w:t>עִיר</w:t>
      </w:r>
      <w:r w:rsidRPr="00133297">
        <w:rPr>
          <w:rFonts w:eastAsia="Times New Roman" w:cs="Times New Roman"/>
          <w:rtl/>
          <w:lang w:eastAsia="de-DE"/>
        </w:rPr>
        <w:t xml:space="preserve"> </w:t>
      </w:r>
      <w:r w:rsidRPr="00133297">
        <w:rPr>
          <w:rFonts w:eastAsia="Times New Roman" w:cs="Times New Roman"/>
          <w:lang w:eastAsia="de-DE"/>
        </w:rPr>
        <w:t xml:space="preserve">„Stadt" mit Suffix 3. Person maskulin Plural „ihre Städte"), </w:t>
      </w:r>
      <w:r w:rsidRPr="00133297">
        <w:rPr>
          <w:rFonts w:eastAsia="Times New Roman" w:cs="Times New Roman"/>
          <w:b/>
          <w:bCs/>
          <w:rtl/>
          <w:lang w:eastAsia="de-DE"/>
        </w:rPr>
        <w:t>בְּמוֹשְׁבֹתָם</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Plural von </w:t>
      </w:r>
      <w:r w:rsidRPr="00133297">
        <w:rPr>
          <w:rFonts w:eastAsia="Times New Roman" w:cs="Times New Roman"/>
          <w:b/>
          <w:bCs/>
          <w:rtl/>
          <w:lang w:eastAsia="de-DE"/>
        </w:rPr>
        <w:t>מוֹשָׁב</w:t>
      </w:r>
      <w:r w:rsidRPr="00133297">
        <w:rPr>
          <w:rFonts w:eastAsia="Times New Roman" w:cs="Times New Roman"/>
          <w:rtl/>
          <w:lang w:eastAsia="de-DE"/>
        </w:rPr>
        <w:t xml:space="preserve"> </w:t>
      </w:r>
      <w:r w:rsidRPr="00133297">
        <w:rPr>
          <w:rFonts w:eastAsia="Times New Roman" w:cs="Times New Roman"/>
          <w:lang w:eastAsia="de-DE"/>
        </w:rPr>
        <w:t xml:space="preserve">„Wohnsitz, Siedlung" und Suffix „in ihren Wohnsitzen"). </w:t>
      </w:r>
      <w:r w:rsidRPr="00133297">
        <w:rPr>
          <w:rFonts w:eastAsia="Times New Roman" w:cs="Times New Roman"/>
          <w:b/>
          <w:bCs/>
          <w:rtl/>
          <w:lang w:eastAsia="de-DE"/>
        </w:rPr>
        <w:t>וְאֵת כָּל־טִירֹתָם</w:t>
      </w:r>
      <w:r w:rsidRPr="00133297">
        <w:rPr>
          <w:rFonts w:eastAsia="Times New Roman" w:cs="Times New Roman"/>
          <w:rtl/>
          <w:lang w:eastAsia="de-DE"/>
        </w:rPr>
        <w:t xml:space="preserve"> </w:t>
      </w:r>
      <w:r w:rsidRPr="00133297">
        <w:rPr>
          <w:rFonts w:eastAsia="Times New Roman" w:cs="Times New Roman"/>
          <w:lang w:eastAsia="de-DE"/>
        </w:rPr>
        <w:t xml:space="preserve">fügt hinzu: </w:t>
      </w:r>
      <w:r w:rsidRPr="00133297">
        <w:rPr>
          <w:rFonts w:eastAsia="Times New Roman" w:cs="Times New Roman"/>
          <w:b/>
          <w:bCs/>
          <w:rtl/>
          <w:lang w:eastAsia="de-DE"/>
        </w:rPr>
        <w:t>טִירָה</w:t>
      </w:r>
      <w:r w:rsidRPr="00133297">
        <w:rPr>
          <w:rFonts w:eastAsia="Times New Roman" w:cs="Times New Roman"/>
          <w:rtl/>
          <w:lang w:eastAsia="de-DE"/>
        </w:rPr>
        <w:t xml:space="preserve"> </w:t>
      </w:r>
      <w:r w:rsidRPr="00133297">
        <w:rPr>
          <w:rFonts w:eastAsia="Times New Roman" w:cs="Times New Roman"/>
          <w:lang w:eastAsia="de-DE"/>
        </w:rPr>
        <w:t>(feminine „Zeltlager, befestigtes Lager" im Plural mit Suffix „ihre Zeltlager"), was die nomadischen Siedlungen bezeichnet.</w:t>
      </w:r>
    </w:p>
    <w:p w14:paraId="326B9EBF" w14:textId="1D8C7EB1" w:rsidR="00133297" w:rsidRPr="00133297" w:rsidRDefault="00133297" w:rsidP="00C0709A">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lastRenderedPageBreak/>
        <w:t>שָׂרְפוּ בָּאֵשׁ</w:t>
      </w:r>
      <w:r w:rsidRPr="00133297">
        <w:rPr>
          <w:rFonts w:eastAsia="Times New Roman" w:cs="Times New Roman"/>
          <w:rtl/>
          <w:lang w:eastAsia="de-DE"/>
        </w:rPr>
        <w:t xml:space="preserve"> </w:t>
      </w:r>
      <w:r w:rsidRPr="00133297">
        <w:rPr>
          <w:rFonts w:eastAsia="Times New Roman" w:cs="Times New Roman"/>
          <w:lang w:eastAsia="de-DE"/>
        </w:rPr>
        <w:t xml:space="preserve">ist die Zerstörung. </w:t>
      </w:r>
      <w:r w:rsidRPr="00133297">
        <w:rPr>
          <w:rFonts w:eastAsia="Times New Roman" w:cs="Times New Roman"/>
          <w:b/>
          <w:bCs/>
          <w:rtl/>
          <w:lang w:eastAsia="de-DE"/>
        </w:rPr>
        <w:t>שָׂרְפוּ</w:t>
      </w:r>
      <w:r w:rsidRPr="00133297">
        <w:rPr>
          <w:rFonts w:eastAsia="Times New Roman" w:cs="Times New Roman"/>
          <w:rtl/>
          <w:lang w:eastAsia="de-DE"/>
        </w:rPr>
        <w:t xml:space="preserve"> </w:t>
      </w:r>
      <w:r w:rsidRPr="00133297">
        <w:rPr>
          <w:rFonts w:eastAsia="Times New Roman" w:cs="Times New Roman"/>
          <w:lang w:eastAsia="de-DE"/>
        </w:rPr>
        <w:t xml:space="preserve">(Qal Perfekt 3. Person maskulin Plural von </w:t>
      </w:r>
      <w:r w:rsidRPr="00133297">
        <w:rPr>
          <w:rFonts w:eastAsia="Times New Roman" w:cs="Times New Roman"/>
          <w:b/>
          <w:bCs/>
          <w:rtl/>
          <w:lang w:eastAsia="de-DE"/>
        </w:rPr>
        <w:t>שׂרף</w:t>
      </w:r>
      <w:r w:rsidRPr="00133297">
        <w:rPr>
          <w:rFonts w:eastAsia="Times New Roman" w:cs="Times New Roman"/>
          <w:rtl/>
          <w:lang w:eastAsia="de-DE"/>
        </w:rPr>
        <w:t xml:space="preserve"> </w:t>
      </w:r>
      <w:r w:rsidRPr="00133297">
        <w:rPr>
          <w:rFonts w:eastAsia="Times New Roman" w:cs="Times New Roman"/>
          <w:lang w:eastAsia="de-DE"/>
        </w:rPr>
        <w:t xml:space="preserve">„verbrennen"), </w:t>
      </w:r>
      <w:r w:rsidRPr="00133297">
        <w:rPr>
          <w:rFonts w:eastAsia="Times New Roman" w:cs="Times New Roman"/>
          <w:b/>
          <w:bCs/>
          <w:rtl/>
          <w:lang w:eastAsia="de-DE"/>
        </w:rPr>
        <w:t>בָּאֵשׁ</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אֵשׁ</w:t>
      </w:r>
      <w:r w:rsidRPr="00133297">
        <w:rPr>
          <w:rFonts w:eastAsia="Times New Roman" w:cs="Times New Roman"/>
          <w:rtl/>
          <w:lang w:eastAsia="de-DE"/>
        </w:rPr>
        <w:t xml:space="preserve"> </w:t>
      </w:r>
      <w:r w:rsidRPr="00133297">
        <w:rPr>
          <w:rFonts w:eastAsia="Times New Roman" w:cs="Times New Roman"/>
          <w:lang w:eastAsia="de-DE"/>
        </w:rPr>
        <w:t>„Feuer" „mit Feuer"). Die vollständige Verbrennung sowohl der Städte als auch der Lager zeigt die totale Vernichtung der midianitischen Infrastruktur.</w:t>
      </w:r>
    </w:p>
    <w:p w14:paraId="65B5E61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zwei akkusativische Objekte (Städte und Lager), gefolgt vom Verb (verbrannten) mit instrumentaler Bestimmung (mit Feuer).</w:t>
      </w:r>
    </w:p>
    <w:p w14:paraId="0E49F9D9"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dokumentiert die systematische Zerstörung aller midianitischen Siedlungen - sowohl fester Städte als auch nomadischer Lager - durch Feuer, eine Praxis des heiligen Krieges, die keine Rückkehr der Feinde ermöglichen sollte.</w:t>
      </w:r>
    </w:p>
    <w:p w14:paraId="4702B15B"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31,11</w:t>
      </w:r>
    </w:p>
    <w:p w14:paraId="4D5ABA63"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וַיִּקְחוּ֙ אֶת־כָּל־הַשָּׁלָ֔ל וְאֵ֖ת כָּל־הַמַּלְק֑וֹחַ בָּאָדָ֖ם וּבַבְּהֵמָֽה׃</w:t>
      </w:r>
    </w:p>
    <w:p w14:paraId="2CAD490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sie nahmen alle Beute und allen Raub an Menschen und an Vieh,</w:t>
      </w:r>
    </w:p>
    <w:p w14:paraId="0ED64119"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087621D5">
          <v:rect id="_x0000_i1956" style="width:0;height:1.5pt" o:hralign="center" o:hrstd="t" o:hr="t" fillcolor="#a0a0a0" stroked="f"/>
        </w:pict>
      </w:r>
    </w:p>
    <w:p w14:paraId="4C8C031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fasst die gesamte Beute zusammen. </w:t>
      </w:r>
      <w:r w:rsidRPr="00133297">
        <w:rPr>
          <w:rFonts w:eastAsia="Times New Roman" w:cs="Times New Roman"/>
          <w:b/>
          <w:bCs/>
          <w:rtl/>
          <w:lang w:eastAsia="de-DE"/>
        </w:rPr>
        <w:t>וַיִּקְחוּ אֶת־כָּל־הַשָּׁלָל וְאֵת כָּל־הַמַּלְקוֹחַ</w:t>
      </w:r>
      <w:r w:rsidRPr="00133297">
        <w:rPr>
          <w:rFonts w:eastAsia="Times New Roman" w:cs="Times New Roman"/>
          <w:rtl/>
          <w:lang w:eastAsia="de-DE"/>
        </w:rPr>
        <w:t xml:space="preserve"> </w:t>
      </w:r>
      <w:r w:rsidRPr="00133297">
        <w:rPr>
          <w:rFonts w:eastAsia="Times New Roman" w:cs="Times New Roman"/>
          <w:lang w:eastAsia="de-DE"/>
        </w:rPr>
        <w:t xml:space="preserve">unterscheidet zwei Begriffe. </w:t>
      </w:r>
      <w:r w:rsidRPr="00133297">
        <w:rPr>
          <w:rFonts w:eastAsia="Times New Roman" w:cs="Times New Roman"/>
          <w:b/>
          <w:bCs/>
          <w:rtl/>
          <w:lang w:eastAsia="de-DE"/>
        </w:rPr>
        <w:t>וַיִּקְחוּ</w:t>
      </w:r>
      <w:r w:rsidRPr="00133297">
        <w:rPr>
          <w:rFonts w:eastAsia="Times New Roman" w:cs="Times New Roman"/>
          <w:rtl/>
          <w:lang w:eastAsia="de-DE"/>
        </w:rPr>
        <w:t xml:space="preserve"> </w:t>
      </w:r>
      <w:r w:rsidRPr="00133297">
        <w:rPr>
          <w:rFonts w:eastAsia="Times New Roman" w:cs="Times New Roman"/>
          <w:lang w:eastAsia="de-DE"/>
        </w:rPr>
        <w:t xml:space="preserve">(Qal Wayyiqtol 3. Person maskulin Plural von </w:t>
      </w:r>
      <w:r w:rsidRPr="00133297">
        <w:rPr>
          <w:rFonts w:eastAsia="Times New Roman" w:cs="Times New Roman"/>
          <w:b/>
          <w:bCs/>
          <w:rtl/>
          <w:lang w:eastAsia="de-DE"/>
        </w:rPr>
        <w:t>לקח</w:t>
      </w:r>
      <w:r w:rsidRPr="00133297">
        <w:rPr>
          <w:rFonts w:eastAsia="Times New Roman" w:cs="Times New Roman"/>
          <w:rtl/>
          <w:lang w:eastAsia="de-DE"/>
        </w:rPr>
        <w:t xml:space="preserve"> </w:t>
      </w:r>
      <w:r w:rsidRPr="00133297">
        <w:rPr>
          <w:rFonts w:eastAsia="Times New Roman" w:cs="Times New Roman"/>
          <w:lang w:eastAsia="de-DE"/>
        </w:rPr>
        <w:t xml:space="preserve">„nehmen"), </w:t>
      </w:r>
      <w:r w:rsidRPr="00133297">
        <w:rPr>
          <w:rFonts w:eastAsia="Times New Roman" w:cs="Times New Roman"/>
          <w:b/>
          <w:bCs/>
          <w:rtl/>
          <w:lang w:eastAsia="de-DE"/>
        </w:rPr>
        <w:t>אֶת־כָּל־הַשָּׁלָל</w:t>
      </w:r>
      <w:r w:rsidRPr="00133297">
        <w:rPr>
          <w:rFonts w:eastAsia="Times New Roman" w:cs="Times New Roman"/>
          <w:rtl/>
          <w:lang w:eastAsia="de-DE"/>
        </w:rPr>
        <w:t xml:space="preserve"> </w:t>
      </w:r>
      <w:r w:rsidRPr="00133297">
        <w:rPr>
          <w:rFonts w:eastAsia="Times New Roman" w:cs="Times New Roman"/>
          <w:lang w:eastAsia="de-DE"/>
        </w:rPr>
        <w:t xml:space="preserve">(Akkusativpartikel mit </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und </w:t>
      </w:r>
      <w:r w:rsidRPr="00133297">
        <w:rPr>
          <w:rFonts w:eastAsia="Times New Roman" w:cs="Times New Roman"/>
          <w:b/>
          <w:bCs/>
          <w:rtl/>
          <w:lang w:eastAsia="de-DE"/>
        </w:rPr>
        <w:t>שָׁלָל</w:t>
      </w:r>
      <w:r w:rsidRPr="00133297">
        <w:rPr>
          <w:rFonts w:eastAsia="Times New Roman" w:cs="Times New Roman"/>
          <w:rtl/>
          <w:lang w:eastAsia="de-DE"/>
        </w:rPr>
        <w:t xml:space="preserve"> </w:t>
      </w:r>
      <w:r w:rsidRPr="00133297">
        <w:rPr>
          <w:rFonts w:eastAsia="Times New Roman" w:cs="Times New Roman"/>
          <w:lang w:eastAsia="de-DE"/>
        </w:rPr>
        <w:t xml:space="preserve">„Beute, Plündergut" mit Artikel „alle Beute"), </w:t>
      </w:r>
      <w:r w:rsidRPr="00133297">
        <w:rPr>
          <w:rFonts w:eastAsia="Times New Roman" w:cs="Times New Roman"/>
          <w:b/>
          <w:bCs/>
          <w:rtl/>
          <w:lang w:eastAsia="de-DE"/>
        </w:rPr>
        <w:t>וְאֵת כָּל־הַמַּלְקוֹחַ</w:t>
      </w:r>
      <w:r w:rsidRPr="00133297">
        <w:rPr>
          <w:rFonts w:eastAsia="Times New Roman" w:cs="Times New Roman"/>
          <w:rtl/>
          <w:lang w:eastAsia="de-DE"/>
        </w:rPr>
        <w:t xml:space="preserve"> </w:t>
      </w:r>
      <w:r w:rsidRPr="00133297">
        <w:rPr>
          <w:rFonts w:eastAsia="Times New Roman" w:cs="Times New Roman"/>
          <w:lang w:eastAsia="de-DE"/>
        </w:rPr>
        <w:t xml:space="preserve">(Konjunktion mit Akkusativpartikel, </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und </w:t>
      </w:r>
      <w:r w:rsidRPr="00133297">
        <w:rPr>
          <w:rFonts w:eastAsia="Times New Roman" w:cs="Times New Roman"/>
          <w:b/>
          <w:bCs/>
          <w:rtl/>
          <w:lang w:eastAsia="de-DE"/>
        </w:rPr>
        <w:t>מַלְקוֹחַ</w:t>
      </w:r>
      <w:r w:rsidRPr="00133297">
        <w:rPr>
          <w:rFonts w:eastAsia="Times New Roman" w:cs="Times New Roman"/>
          <w:rtl/>
          <w:lang w:eastAsia="de-DE"/>
        </w:rPr>
        <w:t xml:space="preserve"> </w:t>
      </w:r>
      <w:r w:rsidRPr="00133297">
        <w:rPr>
          <w:rFonts w:eastAsia="Times New Roman" w:cs="Times New Roman"/>
          <w:lang w:eastAsia="de-DE"/>
        </w:rPr>
        <w:t xml:space="preserve">„Raub, Kriegsbeute" mit Artikel). </w:t>
      </w:r>
      <w:r w:rsidRPr="00133297">
        <w:rPr>
          <w:rFonts w:eastAsia="Times New Roman" w:cs="Times New Roman"/>
          <w:b/>
          <w:bCs/>
          <w:rtl/>
          <w:lang w:eastAsia="de-DE"/>
        </w:rPr>
        <w:t>שָׁלָל</w:t>
      </w:r>
      <w:r w:rsidRPr="00133297">
        <w:rPr>
          <w:rFonts w:eastAsia="Times New Roman" w:cs="Times New Roman"/>
          <w:rtl/>
          <w:lang w:eastAsia="de-DE"/>
        </w:rPr>
        <w:t xml:space="preserve"> </w:t>
      </w:r>
      <w:r w:rsidRPr="00133297">
        <w:rPr>
          <w:rFonts w:eastAsia="Times New Roman" w:cs="Times New Roman"/>
          <w:lang w:eastAsia="de-DE"/>
        </w:rPr>
        <w:t xml:space="preserve">bezeichnet generell erbeutete Güter, </w:t>
      </w:r>
      <w:r w:rsidRPr="00133297">
        <w:rPr>
          <w:rFonts w:eastAsia="Times New Roman" w:cs="Times New Roman"/>
          <w:b/>
          <w:bCs/>
          <w:rtl/>
          <w:lang w:eastAsia="de-DE"/>
        </w:rPr>
        <w:t>מַלְקוֹחַ</w:t>
      </w:r>
      <w:r w:rsidRPr="00133297">
        <w:rPr>
          <w:rFonts w:eastAsia="Times New Roman" w:cs="Times New Roman"/>
          <w:rtl/>
          <w:lang w:eastAsia="de-DE"/>
        </w:rPr>
        <w:t xml:space="preserve"> </w:t>
      </w:r>
      <w:r w:rsidRPr="00133297">
        <w:rPr>
          <w:rFonts w:eastAsia="Times New Roman" w:cs="Times New Roman"/>
          <w:lang w:eastAsia="de-DE"/>
        </w:rPr>
        <w:t xml:space="preserve">(von </w:t>
      </w:r>
      <w:r w:rsidRPr="00133297">
        <w:rPr>
          <w:rFonts w:eastAsia="Times New Roman" w:cs="Times New Roman"/>
          <w:b/>
          <w:bCs/>
          <w:rtl/>
          <w:lang w:eastAsia="de-DE"/>
        </w:rPr>
        <w:t>לקח</w:t>
      </w:r>
      <w:r w:rsidRPr="00133297">
        <w:rPr>
          <w:rFonts w:eastAsia="Times New Roman" w:cs="Times New Roman"/>
          <w:rtl/>
          <w:lang w:eastAsia="de-DE"/>
        </w:rPr>
        <w:t xml:space="preserve"> </w:t>
      </w:r>
      <w:r w:rsidRPr="00133297">
        <w:rPr>
          <w:rFonts w:eastAsia="Times New Roman" w:cs="Times New Roman"/>
          <w:lang w:eastAsia="de-DE"/>
        </w:rPr>
        <w:t>„nehmen") betont das Genommene, Weggeführte.</w:t>
      </w:r>
    </w:p>
    <w:p w14:paraId="3C51AD4D" w14:textId="31E50BC4" w:rsidR="00133297" w:rsidRPr="00133297" w:rsidRDefault="00133297" w:rsidP="00C0709A">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בָּאָדָם וּבַבְּהֵמָה</w:t>
      </w:r>
      <w:r w:rsidRPr="00133297">
        <w:rPr>
          <w:rFonts w:eastAsia="Times New Roman" w:cs="Times New Roman"/>
          <w:rtl/>
          <w:lang w:eastAsia="de-DE"/>
        </w:rPr>
        <w:t xml:space="preserve"> </w:t>
      </w:r>
      <w:r w:rsidRPr="00133297">
        <w:rPr>
          <w:rFonts w:eastAsia="Times New Roman" w:cs="Times New Roman"/>
          <w:lang w:eastAsia="de-DE"/>
        </w:rPr>
        <w:t xml:space="preserve">spezifiziert die Kategorien. </w:t>
      </w:r>
      <w:r w:rsidRPr="00133297">
        <w:rPr>
          <w:rFonts w:eastAsia="Times New Roman" w:cs="Times New Roman"/>
          <w:b/>
          <w:bCs/>
          <w:rtl/>
          <w:lang w:eastAsia="de-DE"/>
        </w:rPr>
        <w:t>בָּאָדָם</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אָדָם</w:t>
      </w:r>
      <w:r w:rsidRPr="00133297">
        <w:rPr>
          <w:rFonts w:eastAsia="Times New Roman" w:cs="Times New Roman"/>
          <w:rtl/>
          <w:lang w:eastAsia="de-DE"/>
        </w:rPr>
        <w:t xml:space="preserve"> </w:t>
      </w:r>
      <w:r w:rsidRPr="00133297">
        <w:rPr>
          <w:rFonts w:eastAsia="Times New Roman" w:cs="Times New Roman"/>
          <w:lang w:eastAsia="de-DE"/>
        </w:rPr>
        <w:t xml:space="preserve">„Mensch" und Artikel „an Menschen"), </w:t>
      </w:r>
      <w:r w:rsidRPr="00133297">
        <w:rPr>
          <w:rFonts w:eastAsia="Times New Roman" w:cs="Times New Roman"/>
          <w:b/>
          <w:bCs/>
          <w:rtl/>
          <w:lang w:eastAsia="de-DE"/>
        </w:rPr>
        <w:t>וּבַבְּהֵמָה</w:t>
      </w:r>
      <w:r w:rsidRPr="00133297">
        <w:rPr>
          <w:rFonts w:eastAsia="Times New Roman" w:cs="Times New Roman"/>
          <w:rtl/>
          <w:lang w:eastAsia="de-DE"/>
        </w:rPr>
        <w:t xml:space="preserve"> </w:t>
      </w:r>
      <w:r w:rsidRPr="00133297">
        <w:rPr>
          <w:rFonts w:eastAsia="Times New Roman" w:cs="Times New Roman"/>
          <w:lang w:eastAsia="de-DE"/>
        </w:rPr>
        <w:t xml:space="preserve">(Konjunktion mit Präposition und </w:t>
      </w:r>
      <w:r w:rsidRPr="00133297">
        <w:rPr>
          <w:rFonts w:eastAsia="Times New Roman" w:cs="Times New Roman"/>
          <w:b/>
          <w:bCs/>
          <w:rtl/>
          <w:lang w:eastAsia="de-DE"/>
        </w:rPr>
        <w:t>בְּהֵמָה</w:t>
      </w:r>
      <w:r w:rsidRPr="00133297">
        <w:rPr>
          <w:rFonts w:eastAsia="Times New Roman" w:cs="Times New Roman"/>
          <w:rtl/>
          <w:lang w:eastAsia="de-DE"/>
        </w:rPr>
        <w:t xml:space="preserve"> </w:t>
      </w:r>
      <w:r w:rsidRPr="00133297">
        <w:rPr>
          <w:rFonts w:eastAsia="Times New Roman" w:cs="Times New Roman"/>
          <w:lang w:eastAsia="de-DE"/>
        </w:rPr>
        <w:t>„Vieh" mit Artikel „und an Vieh"). Die beiden Kategorien umfassen die gesamte lebende Beute.</w:t>
      </w:r>
    </w:p>
    <w:p w14:paraId="24723FBC"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 Verb mit zwei koordinierten Objekten (Beute und Raub), spezifiziert durch zwei präpositionale Phrasen (Menschen und Vieh).</w:t>
      </w:r>
    </w:p>
    <w:p w14:paraId="4E03E43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fasst die Gesamtheit der Kriegsbeute zusammen, sowohl bewegliches Gut als auch Menschen und Tiere - eine Vorbereitung für die detaillierte Aufzählung und Verteilung in den folgenden Versen.</w:t>
      </w:r>
    </w:p>
    <w:p w14:paraId="0655FDED"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31,12</w:t>
      </w:r>
    </w:p>
    <w:p w14:paraId="2BFB239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וַיָּבִ֡אוּ אֶל־מֹשֶׁה֩ וְאֶל־אֶלְעָזָ֨ר הַכֹּהֵ֜ן וְאֶל־עֲדַ֣ת בְּנֵֽי־יִשְׂרָאֵ֗ל אֶת־הַשְּׁבִ֧י וְאֶת־הַמַּלְק֛וֹחַ וְאֶת־הַשָּׁלָ֖ל אֶל־הַֽמַּחֲנֶ֑ה אֶל־עַֽרְבֹ֣ת מוֹאָ֔ב אֲשֶׁ֖ר עַל־יַרְדֵּ֥ן יְרֵחֽוֹ׃</w:t>
      </w:r>
    </w:p>
    <w:p w14:paraId="5C9073E6"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brachten die Gefangenen und den Raub und die Beute zu Mosche und zu El'asar, dem Priester, und zu der Gemeinde der Söhne Jisra'el ins Lager, in die Ebenen Mo'avs, die am Jarden Jerechos sind.</w:t>
      </w:r>
    </w:p>
    <w:p w14:paraId="2CBB32EB"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36FC9317">
          <v:rect id="_x0000_i1957" style="width:0;height:1.5pt" o:hralign="center" o:hrstd="t" o:hr="t" fillcolor="#a0a0a0" stroked="f"/>
        </w:pict>
      </w:r>
    </w:p>
    <w:p w14:paraId="249D3E95"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lastRenderedPageBreak/>
        <w:t>Kommentar:</w:t>
      </w:r>
      <w:r w:rsidRPr="00133297">
        <w:rPr>
          <w:rFonts w:eastAsia="Times New Roman" w:cs="Times New Roman"/>
          <w:lang w:eastAsia="de-DE"/>
        </w:rPr>
        <w:t xml:space="preserve"> Der Vers beschreibt die Rückkehr mit der Beute. </w:t>
      </w:r>
      <w:r w:rsidRPr="00133297">
        <w:rPr>
          <w:rFonts w:eastAsia="Times New Roman" w:cs="Times New Roman"/>
          <w:b/>
          <w:bCs/>
          <w:rtl/>
          <w:lang w:eastAsia="de-DE"/>
        </w:rPr>
        <w:t>וַיָּבִאוּ אֶל־מֹשֶׁה וְאֶל־אֶלְעָזָר הַכֹּהֵן וְאֶל־עֲדַת בְּנֵי־יִשְׂרָאֵל</w:t>
      </w:r>
      <w:r w:rsidRPr="00133297">
        <w:rPr>
          <w:rFonts w:eastAsia="Times New Roman" w:cs="Times New Roman"/>
          <w:rtl/>
          <w:lang w:eastAsia="de-DE"/>
        </w:rPr>
        <w:t xml:space="preserve"> </w:t>
      </w:r>
      <w:r w:rsidRPr="00133297">
        <w:rPr>
          <w:rFonts w:eastAsia="Times New Roman" w:cs="Times New Roman"/>
          <w:lang w:eastAsia="de-DE"/>
        </w:rPr>
        <w:t xml:space="preserve">zeigt die Adressaten. </w:t>
      </w:r>
      <w:r w:rsidRPr="00133297">
        <w:rPr>
          <w:rFonts w:eastAsia="Times New Roman" w:cs="Times New Roman"/>
          <w:b/>
          <w:bCs/>
          <w:rtl/>
          <w:lang w:eastAsia="de-DE"/>
        </w:rPr>
        <w:t>וַיָּבִאוּ</w:t>
      </w:r>
      <w:r w:rsidRPr="00133297">
        <w:rPr>
          <w:rFonts w:eastAsia="Times New Roman" w:cs="Times New Roman"/>
          <w:rtl/>
          <w:lang w:eastAsia="de-DE"/>
        </w:rPr>
        <w:t xml:space="preserve"> </w:t>
      </w:r>
      <w:r w:rsidRPr="00133297">
        <w:rPr>
          <w:rFonts w:eastAsia="Times New Roman" w:cs="Times New Roman"/>
          <w:lang w:eastAsia="de-DE"/>
        </w:rPr>
        <w:t xml:space="preserve">(Hiphil Wayyiqtol 3. Person maskulin Plural von </w:t>
      </w:r>
      <w:r w:rsidRPr="00133297">
        <w:rPr>
          <w:rFonts w:eastAsia="Times New Roman" w:cs="Times New Roman"/>
          <w:b/>
          <w:bCs/>
          <w:rtl/>
          <w:lang w:eastAsia="de-DE"/>
        </w:rPr>
        <w:t>בוא</w:t>
      </w:r>
      <w:r w:rsidRPr="00133297">
        <w:rPr>
          <w:rFonts w:eastAsia="Times New Roman" w:cs="Times New Roman"/>
          <w:rtl/>
          <w:lang w:eastAsia="de-DE"/>
        </w:rPr>
        <w:t xml:space="preserve"> </w:t>
      </w:r>
      <w:r w:rsidRPr="00133297">
        <w:rPr>
          <w:rFonts w:eastAsia="Times New Roman" w:cs="Times New Roman"/>
          <w:lang w:eastAsia="de-DE"/>
        </w:rPr>
        <w:t xml:space="preserve">„bringen"), mit dreifacher Adressierung: </w:t>
      </w:r>
      <w:r w:rsidRPr="00133297">
        <w:rPr>
          <w:rFonts w:eastAsia="Times New Roman" w:cs="Times New Roman"/>
          <w:b/>
          <w:bCs/>
          <w:rtl/>
          <w:lang w:eastAsia="de-DE"/>
        </w:rPr>
        <w:t>אֶל־מֹשֶׁה</w:t>
      </w:r>
      <w:r w:rsidRPr="00133297">
        <w:rPr>
          <w:rFonts w:eastAsia="Times New Roman" w:cs="Times New Roman"/>
          <w:rtl/>
          <w:lang w:eastAsia="de-DE"/>
        </w:rPr>
        <w:t xml:space="preserve"> </w:t>
      </w:r>
      <w:r w:rsidRPr="00133297">
        <w:rPr>
          <w:rFonts w:eastAsia="Times New Roman" w:cs="Times New Roman"/>
          <w:lang w:eastAsia="de-DE"/>
        </w:rPr>
        <w:t xml:space="preserve">(„zu Mose"), </w:t>
      </w:r>
      <w:r w:rsidRPr="00133297">
        <w:rPr>
          <w:rFonts w:eastAsia="Times New Roman" w:cs="Times New Roman"/>
          <w:b/>
          <w:bCs/>
          <w:rtl/>
          <w:lang w:eastAsia="de-DE"/>
        </w:rPr>
        <w:t>וְאֶל־אֶלְעָזָר הַכֹּהֵן</w:t>
      </w:r>
      <w:r w:rsidRPr="00133297">
        <w:rPr>
          <w:rFonts w:eastAsia="Times New Roman" w:cs="Times New Roman"/>
          <w:rtl/>
          <w:lang w:eastAsia="de-DE"/>
        </w:rPr>
        <w:t xml:space="preserve"> </w:t>
      </w:r>
      <w:r w:rsidRPr="00133297">
        <w:rPr>
          <w:rFonts w:eastAsia="Times New Roman" w:cs="Times New Roman"/>
          <w:lang w:eastAsia="de-DE"/>
        </w:rPr>
        <w:t xml:space="preserve">(„und zu Eleasar dem Priester"), </w:t>
      </w:r>
      <w:r w:rsidRPr="00133297">
        <w:rPr>
          <w:rFonts w:eastAsia="Times New Roman" w:cs="Times New Roman"/>
          <w:b/>
          <w:bCs/>
          <w:rtl/>
          <w:lang w:eastAsia="de-DE"/>
        </w:rPr>
        <w:t>וְאֶל־עֲדַת בְּנֵי־יִשְׂרָאֵל</w:t>
      </w:r>
      <w:r w:rsidRPr="00133297">
        <w:rPr>
          <w:rFonts w:eastAsia="Times New Roman" w:cs="Times New Roman"/>
          <w:rtl/>
          <w:lang w:eastAsia="de-DE"/>
        </w:rPr>
        <w:t xml:space="preserve"> </w:t>
      </w:r>
      <w:r w:rsidRPr="00133297">
        <w:rPr>
          <w:rFonts w:eastAsia="Times New Roman" w:cs="Times New Roman"/>
          <w:lang w:eastAsia="de-DE"/>
        </w:rPr>
        <w:t>(„und zur Gemeinde der Söhne Israels"). Die dreifache Nennung betont die offizielle Übergabe an alle Autoritätsebenen.</w:t>
      </w:r>
    </w:p>
    <w:p w14:paraId="47A9855A" w14:textId="78F499CC" w:rsidR="00133297" w:rsidRPr="00133297" w:rsidRDefault="00133297" w:rsidP="00C0709A">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אֶת־הַשְּׁבִי וְאֶת־הַמַּלְקוֹחַ וְאֶת־הַשָּׁלָל</w:t>
      </w:r>
      <w:r w:rsidRPr="00133297">
        <w:rPr>
          <w:rFonts w:eastAsia="Times New Roman" w:cs="Times New Roman"/>
          <w:rtl/>
          <w:lang w:eastAsia="de-DE"/>
        </w:rPr>
        <w:t xml:space="preserve"> </w:t>
      </w:r>
      <w:r w:rsidRPr="00133297">
        <w:rPr>
          <w:rFonts w:eastAsia="Times New Roman" w:cs="Times New Roman"/>
          <w:lang w:eastAsia="de-DE"/>
        </w:rPr>
        <w:t xml:space="preserve">ist das dreifache Objekt: </w:t>
      </w:r>
      <w:r w:rsidRPr="00133297">
        <w:rPr>
          <w:rFonts w:eastAsia="Times New Roman" w:cs="Times New Roman"/>
          <w:b/>
          <w:bCs/>
          <w:rtl/>
          <w:lang w:eastAsia="de-DE"/>
        </w:rPr>
        <w:t>הַשְּׁבִי</w:t>
      </w:r>
      <w:r w:rsidRPr="00133297">
        <w:rPr>
          <w:rFonts w:eastAsia="Times New Roman" w:cs="Times New Roman"/>
          <w:rtl/>
          <w:lang w:eastAsia="de-DE"/>
        </w:rPr>
        <w:t xml:space="preserve"> </w:t>
      </w:r>
      <w:r w:rsidRPr="00133297">
        <w:rPr>
          <w:rFonts w:eastAsia="Times New Roman" w:cs="Times New Roman"/>
          <w:lang w:eastAsia="de-DE"/>
        </w:rPr>
        <w:t xml:space="preserve">(maskuliner Singular „die Gefangenen" von </w:t>
      </w:r>
      <w:r w:rsidRPr="00133297">
        <w:rPr>
          <w:rFonts w:eastAsia="Times New Roman" w:cs="Times New Roman"/>
          <w:b/>
          <w:bCs/>
          <w:rtl/>
          <w:lang w:eastAsia="de-DE"/>
        </w:rPr>
        <w:t>שׁבה</w:t>
      </w:r>
      <w:r w:rsidRPr="00133297">
        <w:rPr>
          <w:rFonts w:eastAsia="Times New Roman" w:cs="Times New Roman"/>
          <w:lang w:eastAsia="de-DE"/>
        </w:rPr>
        <w:t xml:space="preserve">), </w:t>
      </w:r>
      <w:r w:rsidRPr="00133297">
        <w:rPr>
          <w:rFonts w:eastAsia="Times New Roman" w:cs="Times New Roman"/>
          <w:b/>
          <w:bCs/>
          <w:rtl/>
          <w:lang w:eastAsia="de-DE"/>
        </w:rPr>
        <w:t>הַמַּלְקוֹחַ</w:t>
      </w:r>
      <w:r w:rsidRPr="00133297">
        <w:rPr>
          <w:rFonts w:eastAsia="Times New Roman" w:cs="Times New Roman"/>
          <w:rtl/>
          <w:lang w:eastAsia="de-DE"/>
        </w:rPr>
        <w:t xml:space="preserve"> </w:t>
      </w:r>
      <w:r w:rsidRPr="00133297">
        <w:rPr>
          <w:rFonts w:eastAsia="Times New Roman" w:cs="Times New Roman"/>
          <w:lang w:eastAsia="de-DE"/>
        </w:rPr>
        <w:t xml:space="preserve">(„der Raub"), </w:t>
      </w:r>
      <w:r w:rsidRPr="00133297">
        <w:rPr>
          <w:rFonts w:eastAsia="Times New Roman" w:cs="Times New Roman"/>
          <w:b/>
          <w:bCs/>
          <w:rtl/>
          <w:lang w:eastAsia="de-DE"/>
        </w:rPr>
        <w:t>הַשָּׁלָל</w:t>
      </w:r>
      <w:r w:rsidRPr="00133297">
        <w:rPr>
          <w:rFonts w:eastAsia="Times New Roman" w:cs="Times New Roman"/>
          <w:rtl/>
          <w:lang w:eastAsia="de-DE"/>
        </w:rPr>
        <w:t xml:space="preserve"> </w:t>
      </w:r>
      <w:r w:rsidRPr="00133297">
        <w:rPr>
          <w:rFonts w:eastAsia="Times New Roman" w:cs="Times New Roman"/>
          <w:lang w:eastAsia="de-DE"/>
        </w:rPr>
        <w:t xml:space="preserve">(„die Beute"). </w:t>
      </w:r>
      <w:r w:rsidRPr="00133297">
        <w:rPr>
          <w:rFonts w:eastAsia="Times New Roman" w:cs="Times New Roman"/>
          <w:b/>
          <w:bCs/>
          <w:rtl/>
          <w:lang w:eastAsia="de-DE"/>
        </w:rPr>
        <w:t>אֶל־הַמַּחֲנֶה אֶל־עַרְבֹת מוֹאָב אֲשֶׁר עַל־יַרְדֵּן יְרֵחוֹ</w:t>
      </w:r>
      <w:r w:rsidRPr="00133297">
        <w:rPr>
          <w:rFonts w:eastAsia="Times New Roman" w:cs="Times New Roman"/>
          <w:rtl/>
          <w:lang w:eastAsia="de-DE"/>
        </w:rPr>
        <w:t xml:space="preserve"> </w:t>
      </w:r>
      <w:r w:rsidRPr="00133297">
        <w:rPr>
          <w:rFonts w:eastAsia="Times New Roman" w:cs="Times New Roman"/>
          <w:lang w:eastAsia="de-DE"/>
        </w:rPr>
        <w:t xml:space="preserve">gibt die Lokalisierung. </w:t>
      </w:r>
      <w:r w:rsidRPr="00133297">
        <w:rPr>
          <w:rFonts w:eastAsia="Times New Roman" w:cs="Times New Roman"/>
          <w:b/>
          <w:bCs/>
          <w:rtl/>
          <w:lang w:eastAsia="de-DE"/>
        </w:rPr>
        <w:t>הַמַּחֲנֶה</w:t>
      </w:r>
      <w:r w:rsidRPr="00133297">
        <w:rPr>
          <w:rFonts w:eastAsia="Times New Roman" w:cs="Times New Roman"/>
          <w:rtl/>
          <w:lang w:eastAsia="de-DE"/>
        </w:rPr>
        <w:t xml:space="preserve"> </w:t>
      </w:r>
      <w:r w:rsidRPr="00133297">
        <w:rPr>
          <w:rFonts w:eastAsia="Times New Roman" w:cs="Times New Roman"/>
          <w:lang w:eastAsia="de-DE"/>
        </w:rPr>
        <w:t xml:space="preserve">(„das Lager"), </w:t>
      </w:r>
      <w:r w:rsidRPr="00133297">
        <w:rPr>
          <w:rFonts w:eastAsia="Times New Roman" w:cs="Times New Roman"/>
          <w:b/>
          <w:bCs/>
          <w:rtl/>
          <w:lang w:eastAsia="de-DE"/>
        </w:rPr>
        <w:t>עַרְבֹת מוֹאָב</w:t>
      </w:r>
      <w:r w:rsidRPr="00133297">
        <w:rPr>
          <w:rFonts w:eastAsia="Times New Roman" w:cs="Times New Roman"/>
          <w:rtl/>
          <w:lang w:eastAsia="de-DE"/>
        </w:rPr>
        <w:t xml:space="preserve"> </w:t>
      </w:r>
      <w:r w:rsidRPr="00133297">
        <w:rPr>
          <w:rFonts w:eastAsia="Times New Roman" w:cs="Times New Roman"/>
          <w:lang w:eastAsia="de-DE"/>
        </w:rPr>
        <w:t xml:space="preserve">(Plural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עֲרָבָה</w:t>
      </w:r>
      <w:r w:rsidRPr="00133297">
        <w:rPr>
          <w:rFonts w:eastAsia="Times New Roman" w:cs="Times New Roman"/>
          <w:rtl/>
          <w:lang w:eastAsia="de-DE"/>
        </w:rPr>
        <w:t xml:space="preserve"> </w:t>
      </w:r>
      <w:r w:rsidRPr="00133297">
        <w:rPr>
          <w:rFonts w:eastAsia="Times New Roman" w:cs="Times New Roman"/>
          <w:lang w:eastAsia="de-DE"/>
        </w:rPr>
        <w:t xml:space="preserve">„Ebene, Steppe" mit </w:t>
      </w:r>
      <w:r w:rsidRPr="00133297">
        <w:rPr>
          <w:rFonts w:eastAsia="Times New Roman" w:cs="Times New Roman"/>
          <w:b/>
          <w:bCs/>
          <w:rtl/>
          <w:lang w:eastAsia="de-DE"/>
        </w:rPr>
        <w:t>מוֹאָב</w:t>
      </w:r>
      <w:r w:rsidRPr="00133297">
        <w:rPr>
          <w:rFonts w:eastAsia="Times New Roman" w:cs="Times New Roman"/>
          <w:rtl/>
          <w:lang w:eastAsia="de-DE"/>
        </w:rPr>
        <w:t xml:space="preserve"> </w:t>
      </w:r>
      <w:r w:rsidRPr="00133297">
        <w:rPr>
          <w:rFonts w:eastAsia="Times New Roman" w:cs="Times New Roman"/>
          <w:lang w:eastAsia="de-DE"/>
        </w:rPr>
        <w:t xml:space="preserve">„Ebenen Moabs"), </w:t>
      </w:r>
      <w:r w:rsidRPr="00133297">
        <w:rPr>
          <w:rFonts w:eastAsia="Times New Roman" w:cs="Times New Roman"/>
          <w:b/>
          <w:bCs/>
          <w:rtl/>
          <w:lang w:eastAsia="de-DE"/>
        </w:rPr>
        <w:t>אֲשֶׁר עַל־יַרְדֵּן יְרֵחוֹ</w:t>
      </w:r>
      <w:r w:rsidRPr="00133297">
        <w:rPr>
          <w:rFonts w:eastAsia="Times New Roman" w:cs="Times New Roman"/>
          <w:rtl/>
          <w:lang w:eastAsia="de-DE"/>
        </w:rPr>
        <w:t xml:space="preserve"> </w:t>
      </w:r>
      <w:r w:rsidRPr="00133297">
        <w:rPr>
          <w:rFonts w:eastAsia="Times New Roman" w:cs="Times New Roman"/>
          <w:lang w:eastAsia="de-DE"/>
        </w:rPr>
        <w:t>(Relativsatz: „die am Jordan von Jericho sind"). Dies ist der Ort, wo Israel seit Num 22,1 lagert.</w:t>
      </w:r>
    </w:p>
    <w:p w14:paraId="4D6DACC7"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 Hiphil-Verb mit dreifacher Adressierung, dreifachem Objekt und doppelter geographischer Lokalisierung.</w:t>
      </w:r>
    </w:p>
    <w:p w14:paraId="038A3B64"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dokumentiert die Rückkehr der siegreichen Truppen: Sie bringen die gesamte Beute zu den Führern und zur Gemeinde ins Lager in den Ebenen Moabs - der Ort der letzten Station vor dem Einzug ins verheißene Land.</w:t>
      </w:r>
    </w:p>
    <w:p w14:paraId="1C084F9D"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31,13</w:t>
      </w:r>
    </w:p>
    <w:p w14:paraId="05E2ECEA"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וַיֵּ֨צְא֜וּ מֹשֶׁ֨ה וְאֶלְעָזָ֧ר הַכֹּהֵ֛ן וְכָל־נְשִׂיאֵ֥י הָעֵדָ֖ה לִקְרָאתָ֑ם אֶל־מִח֖וּץ לַֽמַּחֲנֶֽה׃</w:t>
      </w:r>
    </w:p>
    <w:p w14:paraId="6DA78D4B"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Mosche und El'asar, der Priester, und alle Fürsten der Gemeinde gingen ihnen entgegen außerhalb des Lagers.</w:t>
      </w:r>
    </w:p>
    <w:p w14:paraId="4FE4709A"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00BA1E02">
          <v:rect id="_x0000_i1958" style="width:0;height:1.5pt" o:hralign="center" o:hrstd="t" o:hr="t" fillcolor="#a0a0a0" stroked="f"/>
        </w:pict>
      </w:r>
    </w:p>
    <w:p w14:paraId="09C0B59D" w14:textId="272F4780"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beschreibt die offizielle Begrüßung der zurückkehrenden Truppen. </w:t>
      </w:r>
      <w:r w:rsidRPr="00133297">
        <w:rPr>
          <w:rFonts w:eastAsia="Times New Roman" w:cs="Times New Roman"/>
          <w:b/>
          <w:bCs/>
          <w:rtl/>
          <w:lang w:eastAsia="de-DE"/>
        </w:rPr>
        <w:t>וַיֵּצְאוּ מֹשֶׁה וְאֶלְעָזָר הַכֹּהֵן וְכָל־נְשִׂיאֵי הָעֵדָה</w:t>
      </w:r>
      <w:r w:rsidRPr="00133297">
        <w:rPr>
          <w:rFonts w:eastAsia="Times New Roman" w:cs="Times New Roman"/>
          <w:rtl/>
          <w:lang w:eastAsia="de-DE"/>
        </w:rPr>
        <w:t xml:space="preserve"> </w:t>
      </w:r>
      <w:r w:rsidRPr="00133297">
        <w:rPr>
          <w:rFonts w:eastAsia="Times New Roman" w:cs="Times New Roman"/>
          <w:lang w:eastAsia="de-DE"/>
        </w:rPr>
        <w:t xml:space="preserve">zeigt die Delegation. </w:t>
      </w:r>
      <w:r w:rsidRPr="00133297">
        <w:rPr>
          <w:rFonts w:eastAsia="Times New Roman" w:cs="Times New Roman"/>
          <w:b/>
          <w:bCs/>
          <w:rtl/>
          <w:lang w:eastAsia="de-DE"/>
        </w:rPr>
        <w:t>וַיֵּצְאוּ</w:t>
      </w:r>
      <w:r w:rsidRPr="00133297">
        <w:rPr>
          <w:rFonts w:eastAsia="Times New Roman" w:cs="Times New Roman"/>
          <w:rtl/>
          <w:lang w:eastAsia="de-DE"/>
        </w:rPr>
        <w:t xml:space="preserve"> </w:t>
      </w:r>
      <w:r w:rsidRPr="00133297">
        <w:rPr>
          <w:rFonts w:eastAsia="Times New Roman" w:cs="Times New Roman"/>
          <w:lang w:eastAsia="de-DE"/>
        </w:rPr>
        <w:t xml:space="preserve">(Qal Wayyiqtol 3. Person maskulin Plural von </w:t>
      </w:r>
      <w:r w:rsidRPr="00133297">
        <w:rPr>
          <w:rFonts w:eastAsia="Times New Roman" w:cs="Times New Roman"/>
          <w:b/>
          <w:bCs/>
          <w:rtl/>
          <w:lang w:eastAsia="de-DE"/>
        </w:rPr>
        <w:t>יצא</w:t>
      </w:r>
      <w:r w:rsidRPr="00133297">
        <w:rPr>
          <w:rFonts w:eastAsia="Times New Roman" w:cs="Times New Roman"/>
          <w:rtl/>
          <w:lang w:eastAsia="de-DE"/>
        </w:rPr>
        <w:t xml:space="preserve"> </w:t>
      </w:r>
      <w:r w:rsidRPr="00133297">
        <w:rPr>
          <w:rFonts w:eastAsia="Times New Roman" w:cs="Times New Roman"/>
          <w:lang w:eastAsia="de-DE"/>
        </w:rPr>
        <w:t xml:space="preserve">„hinausgehen"), </w:t>
      </w:r>
      <w:r w:rsidRPr="00133297">
        <w:rPr>
          <w:rFonts w:eastAsia="Times New Roman" w:cs="Times New Roman"/>
          <w:b/>
          <w:bCs/>
          <w:rtl/>
          <w:lang w:eastAsia="de-DE"/>
        </w:rPr>
        <w:t>מֹשֶׁה וְאֶלְעָזָר הַכֹּהֵן</w:t>
      </w:r>
      <w:r w:rsidRPr="00133297">
        <w:rPr>
          <w:rFonts w:eastAsia="Times New Roman" w:cs="Times New Roman"/>
          <w:rtl/>
          <w:lang w:eastAsia="de-DE"/>
        </w:rPr>
        <w:t xml:space="preserve"> </w:t>
      </w:r>
      <w:r w:rsidRPr="00133297">
        <w:rPr>
          <w:rFonts w:eastAsia="Times New Roman" w:cs="Times New Roman"/>
          <w:lang w:eastAsia="de-DE"/>
        </w:rPr>
        <w:t xml:space="preserve">sind die ersten beiden Subjekte, </w:t>
      </w:r>
      <w:r w:rsidRPr="00133297">
        <w:rPr>
          <w:rFonts w:eastAsia="Times New Roman" w:cs="Times New Roman"/>
          <w:b/>
          <w:bCs/>
          <w:rtl/>
          <w:lang w:eastAsia="de-DE"/>
        </w:rPr>
        <w:t>וְכָל־נְשִׂיאֵי הָעֵדָה</w:t>
      </w:r>
      <w:r w:rsidRPr="00133297">
        <w:rPr>
          <w:rFonts w:eastAsia="Times New Roman" w:cs="Times New Roman"/>
          <w:rtl/>
          <w:lang w:eastAsia="de-DE"/>
        </w:rPr>
        <w:t xml:space="preserve"> </w:t>
      </w:r>
      <w:r w:rsidRPr="00133297">
        <w:rPr>
          <w:rFonts w:eastAsia="Times New Roman" w:cs="Times New Roman"/>
          <w:lang w:eastAsia="de-DE"/>
        </w:rPr>
        <w:t xml:space="preserve">(Konjunktion mit </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und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נָשִׂיא</w:t>
      </w:r>
      <w:r w:rsidRPr="00133297">
        <w:rPr>
          <w:rFonts w:eastAsia="Times New Roman" w:cs="Times New Roman"/>
          <w:rtl/>
          <w:lang w:eastAsia="de-DE"/>
        </w:rPr>
        <w:t xml:space="preserve"> </w:t>
      </w:r>
      <w:r w:rsidRPr="00133297">
        <w:rPr>
          <w:rFonts w:eastAsia="Times New Roman" w:cs="Times New Roman"/>
          <w:lang w:eastAsia="de-DE"/>
        </w:rPr>
        <w:t xml:space="preserve">„Fürst, Anführer" mit </w:t>
      </w:r>
      <w:r w:rsidRPr="00133297">
        <w:rPr>
          <w:rFonts w:eastAsia="Times New Roman" w:cs="Times New Roman"/>
          <w:b/>
          <w:bCs/>
          <w:rtl/>
          <w:lang w:eastAsia="de-DE"/>
        </w:rPr>
        <w:t>הָעֵדָה</w:t>
      </w:r>
      <w:r w:rsidRPr="00133297">
        <w:rPr>
          <w:rFonts w:eastAsia="Times New Roman" w:cs="Times New Roman"/>
          <w:rtl/>
          <w:lang w:eastAsia="de-DE"/>
        </w:rPr>
        <w:t xml:space="preserve"> </w:t>
      </w:r>
      <w:r w:rsidRPr="00133297">
        <w:rPr>
          <w:rFonts w:eastAsia="Times New Roman" w:cs="Times New Roman"/>
          <w:lang w:eastAsia="de-DE"/>
        </w:rPr>
        <w:t>„die Gemeinde" „alle Fürsten der Gemeinde") vervollständigt. Die vollständige Führung geht hinaus - ein Zeichen der Wichtigkeit.</w:t>
      </w:r>
    </w:p>
    <w:p w14:paraId="4104109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לִקְרָאתָם אֶל־מִחוּץ לַמַּחֲנֶה</w:t>
      </w:r>
      <w:r w:rsidRPr="00133297">
        <w:rPr>
          <w:rFonts w:eastAsia="Times New Roman" w:cs="Times New Roman"/>
          <w:rtl/>
          <w:lang w:eastAsia="de-DE"/>
        </w:rPr>
        <w:t xml:space="preserve"> </w:t>
      </w:r>
      <w:r w:rsidRPr="00133297">
        <w:rPr>
          <w:rFonts w:eastAsia="Times New Roman" w:cs="Times New Roman"/>
          <w:lang w:eastAsia="de-DE"/>
        </w:rPr>
        <w:t xml:space="preserve">gibt Zweck und Ort an. </w:t>
      </w:r>
      <w:r w:rsidRPr="00133297">
        <w:rPr>
          <w:rFonts w:eastAsia="Times New Roman" w:cs="Times New Roman"/>
          <w:b/>
          <w:bCs/>
          <w:rtl/>
          <w:lang w:eastAsia="de-DE"/>
        </w:rPr>
        <w:t>לִקְרָאתָם</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קִרְאָה</w:t>
      </w:r>
      <w:r w:rsidRPr="00133297">
        <w:rPr>
          <w:rFonts w:eastAsia="Times New Roman" w:cs="Times New Roman"/>
          <w:rtl/>
          <w:lang w:eastAsia="de-DE"/>
        </w:rPr>
        <w:t xml:space="preserve"> </w:t>
      </w:r>
      <w:r w:rsidRPr="00133297">
        <w:rPr>
          <w:rFonts w:eastAsia="Times New Roman" w:cs="Times New Roman"/>
          <w:lang w:eastAsia="de-DE"/>
        </w:rPr>
        <w:t xml:space="preserve">„Begegnung" und Suffix 3. Person maskulin Plural „ihnen entgegen"), </w:t>
      </w:r>
      <w:r w:rsidRPr="00133297">
        <w:rPr>
          <w:rFonts w:eastAsia="Times New Roman" w:cs="Times New Roman"/>
          <w:b/>
          <w:bCs/>
          <w:rtl/>
          <w:lang w:eastAsia="de-DE"/>
        </w:rPr>
        <w:t>אֶל־מִחוּץ לַמַּחֲנֶה</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אֶל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מִחוּץ</w:t>
      </w:r>
      <w:r w:rsidRPr="00133297">
        <w:rPr>
          <w:rFonts w:eastAsia="Times New Roman" w:cs="Times New Roman"/>
          <w:rtl/>
          <w:lang w:eastAsia="de-DE"/>
        </w:rPr>
        <w:t xml:space="preserve"> </w:t>
      </w:r>
      <w:r w:rsidRPr="00133297">
        <w:rPr>
          <w:rFonts w:eastAsia="Times New Roman" w:cs="Times New Roman"/>
          <w:lang w:eastAsia="de-DE"/>
        </w:rPr>
        <w:t xml:space="preserve">„Außenseite, außerhalb" und 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מַחֲנֶה</w:t>
      </w:r>
      <w:r w:rsidRPr="00133297">
        <w:rPr>
          <w:rFonts w:eastAsia="Times New Roman" w:cs="Times New Roman"/>
          <w:rtl/>
          <w:lang w:eastAsia="de-DE"/>
        </w:rPr>
        <w:t xml:space="preserve"> </w:t>
      </w:r>
      <w:r w:rsidRPr="00133297">
        <w:rPr>
          <w:rFonts w:eastAsia="Times New Roman" w:cs="Times New Roman"/>
          <w:lang w:eastAsia="de-DE"/>
        </w:rPr>
        <w:t>„Lager" und Artikel „nach außerhalb des Lagers"). Die Begegnung außerhalb des Lagers ist bedeutsam - möglicherweise aus Reinheitsgründen, da die Krieger Tote berührt haben (vgl. V. 19).</w:t>
      </w:r>
    </w:p>
    <w:p w14:paraId="53FC5DEC" w14:textId="1B26609B" w:rsidR="00133297" w:rsidRPr="00133297" w:rsidRDefault="00133297" w:rsidP="00133297">
      <w:pPr>
        <w:spacing w:before="100" w:beforeAutospacing="1" w:after="100" w:afterAutospacing="1" w:line="240" w:lineRule="auto"/>
        <w:rPr>
          <w:rFonts w:eastAsia="Times New Roman" w:cs="Times New Roman"/>
          <w:lang w:eastAsia="de-DE"/>
        </w:rPr>
      </w:pPr>
    </w:p>
    <w:p w14:paraId="13ABF90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 Verb mit dreifachem koordiniertem Subjekt, gefolgt von zwei präpositionalen Phrasen (Zweck und Ort).</w:t>
      </w:r>
    </w:p>
    <w:p w14:paraId="477C8623"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zeigt die feierliche Begrüßung: Die gesamte Führung Israels geht den siegreichen Truppen außerhalb des Lagers entgegen - ein Zeichen der Ehre, aber auch eine notwendige Vorsichtsmaßnahme wegen der rituellen Unreinheit durch Kriegsführung.</w:t>
      </w:r>
    </w:p>
    <w:p w14:paraId="0F32C057"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lastRenderedPageBreak/>
        <w:t>Numeri 31,14</w:t>
      </w:r>
    </w:p>
    <w:p w14:paraId="290971F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וַיִּקְצֹ֣ף מֹשֶׁ֔ה עַ֖ל פְּקוּדֵ֣י הֶחָ֑יִל שָׂרֵ֤י הָאֲלָפִים֙ וְשָׂרֵ֣י הַמֵּא֔וֹת הַבָּאִ֖ים מִצְּבָ֥א הַמִּלְחָמָֽה׃</w:t>
      </w:r>
    </w:p>
    <w:p w14:paraId="6A66F37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Mosche zürnte über die Vorgesetzten des Heeres, die Obersten über 1.000 und die Obersten über 100, die von dem Heeresdienst kamen.</w:t>
      </w:r>
    </w:p>
    <w:p w14:paraId="0A960B8C"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7F1DE7C6">
          <v:rect id="_x0000_i1959" style="width:0;height:1.5pt" o:hralign="center" o:hrstd="t" o:hr="t" fillcolor="#a0a0a0" stroked="f"/>
        </w:pict>
      </w:r>
    </w:p>
    <w:p w14:paraId="3945B700" w14:textId="5A8DACC0"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zeigt Moses unerwartete Reaktion. </w:t>
      </w:r>
      <w:r w:rsidRPr="00133297">
        <w:rPr>
          <w:rFonts w:eastAsia="Times New Roman" w:cs="Times New Roman"/>
          <w:b/>
          <w:bCs/>
          <w:rtl/>
          <w:lang w:eastAsia="de-DE"/>
        </w:rPr>
        <w:t>וַיִּקְצֹף מֹשֶׁה עַל פְּקוּדֵי הֶחָיִל</w:t>
      </w:r>
      <w:r w:rsidRPr="00133297">
        <w:rPr>
          <w:rFonts w:eastAsia="Times New Roman" w:cs="Times New Roman"/>
          <w:rtl/>
          <w:lang w:eastAsia="de-DE"/>
        </w:rPr>
        <w:t xml:space="preserve"> </w:t>
      </w:r>
      <w:r w:rsidRPr="00133297">
        <w:rPr>
          <w:rFonts w:eastAsia="Times New Roman" w:cs="Times New Roman"/>
          <w:lang w:eastAsia="de-DE"/>
        </w:rPr>
        <w:t xml:space="preserve">ist die Grundaussage. </w:t>
      </w:r>
      <w:r w:rsidRPr="00133297">
        <w:rPr>
          <w:rFonts w:eastAsia="Times New Roman" w:cs="Times New Roman"/>
          <w:b/>
          <w:bCs/>
          <w:rtl/>
          <w:lang w:eastAsia="de-DE"/>
        </w:rPr>
        <w:t>וַיִּקְצֹף</w:t>
      </w:r>
      <w:r w:rsidRPr="00133297">
        <w:rPr>
          <w:rFonts w:eastAsia="Times New Roman" w:cs="Times New Roman"/>
          <w:rtl/>
          <w:lang w:eastAsia="de-DE"/>
        </w:rPr>
        <w:t xml:space="preserve"> </w:t>
      </w:r>
      <w:r w:rsidRPr="00133297">
        <w:rPr>
          <w:rFonts w:eastAsia="Times New Roman" w:cs="Times New Roman"/>
          <w:lang w:eastAsia="de-DE"/>
        </w:rPr>
        <w:t xml:space="preserve">(Qal Wayyiqtol 3. Person maskulin Singular von </w:t>
      </w:r>
      <w:r w:rsidRPr="00133297">
        <w:rPr>
          <w:rFonts w:eastAsia="Times New Roman" w:cs="Times New Roman"/>
          <w:b/>
          <w:bCs/>
          <w:rtl/>
          <w:lang w:eastAsia="de-DE"/>
        </w:rPr>
        <w:t>קצף</w:t>
      </w:r>
      <w:r w:rsidRPr="00133297">
        <w:rPr>
          <w:rFonts w:eastAsia="Times New Roman" w:cs="Times New Roman"/>
          <w:rtl/>
          <w:lang w:eastAsia="de-DE"/>
        </w:rPr>
        <w:t xml:space="preserve"> </w:t>
      </w:r>
      <w:r w:rsidRPr="00133297">
        <w:rPr>
          <w:rFonts w:eastAsia="Times New Roman" w:cs="Times New Roman"/>
          <w:lang w:eastAsia="de-DE"/>
        </w:rPr>
        <w:t xml:space="preserve">„zürnen, zornig sein"), </w:t>
      </w:r>
      <w:r w:rsidRPr="00133297">
        <w:rPr>
          <w:rFonts w:eastAsia="Times New Roman" w:cs="Times New Roman"/>
          <w:b/>
          <w:bCs/>
          <w:rtl/>
          <w:lang w:eastAsia="de-DE"/>
        </w:rPr>
        <w:t>מֹשֶׁה</w:t>
      </w:r>
      <w:r w:rsidRPr="00133297">
        <w:rPr>
          <w:rFonts w:eastAsia="Times New Roman" w:cs="Times New Roman"/>
          <w:rtl/>
          <w:lang w:eastAsia="de-DE"/>
        </w:rPr>
        <w:t xml:space="preserve"> </w:t>
      </w:r>
      <w:r w:rsidRPr="00133297">
        <w:rPr>
          <w:rFonts w:eastAsia="Times New Roman" w:cs="Times New Roman"/>
          <w:lang w:eastAsia="de-DE"/>
        </w:rPr>
        <w:t xml:space="preserve">ist das Subjekt, </w:t>
      </w:r>
      <w:r w:rsidRPr="00133297">
        <w:rPr>
          <w:rFonts w:eastAsia="Times New Roman" w:cs="Times New Roman"/>
          <w:b/>
          <w:bCs/>
          <w:rtl/>
          <w:lang w:eastAsia="de-DE"/>
        </w:rPr>
        <w:t>עַל פְּקוּדֵי הֶחָיִל</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עַל</w:t>
      </w:r>
      <w:r w:rsidRPr="00133297">
        <w:rPr>
          <w:rFonts w:eastAsia="Times New Roman" w:cs="Times New Roman"/>
          <w:rtl/>
          <w:lang w:eastAsia="de-DE"/>
        </w:rPr>
        <w:t xml:space="preserve"> </w:t>
      </w:r>
      <w:r w:rsidRPr="00133297">
        <w:rPr>
          <w:rFonts w:eastAsia="Times New Roman" w:cs="Times New Roman"/>
          <w:lang w:eastAsia="de-DE"/>
        </w:rPr>
        <w:t xml:space="preserve">„über, gegen" mit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פָּקִיד</w:t>
      </w:r>
      <w:r w:rsidRPr="00133297">
        <w:rPr>
          <w:rFonts w:eastAsia="Times New Roman" w:cs="Times New Roman"/>
          <w:rtl/>
          <w:lang w:eastAsia="de-DE"/>
        </w:rPr>
        <w:t xml:space="preserve"> </w:t>
      </w:r>
      <w:r w:rsidRPr="00133297">
        <w:rPr>
          <w:rFonts w:eastAsia="Times New Roman" w:cs="Times New Roman"/>
          <w:lang w:eastAsia="de-DE"/>
        </w:rPr>
        <w:t xml:space="preserve">„Vorgesetzter, Beamter" und </w:t>
      </w:r>
      <w:r w:rsidRPr="00133297">
        <w:rPr>
          <w:rFonts w:eastAsia="Times New Roman" w:cs="Times New Roman"/>
          <w:b/>
          <w:bCs/>
          <w:rtl/>
          <w:lang w:eastAsia="de-DE"/>
        </w:rPr>
        <w:t>חַיִל</w:t>
      </w:r>
      <w:r w:rsidRPr="00133297">
        <w:rPr>
          <w:rFonts w:eastAsia="Times New Roman" w:cs="Times New Roman"/>
          <w:rtl/>
          <w:lang w:eastAsia="de-DE"/>
        </w:rPr>
        <w:t xml:space="preserve"> </w:t>
      </w:r>
      <w:r w:rsidRPr="00133297">
        <w:rPr>
          <w:rFonts w:eastAsia="Times New Roman" w:cs="Times New Roman"/>
          <w:lang w:eastAsia="de-DE"/>
        </w:rPr>
        <w:t>„Heer" mit Artikel „über die Vorgesetzten des Heeres"). Moses Zorn ist bemerkenswert nach einem militärischen Sieg.</w:t>
      </w:r>
    </w:p>
    <w:p w14:paraId="428A5D3B" w14:textId="7A38551F"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שָׂרֵי הָאֲלָפִים וְשָׂרֵי הַמֵּאוֹת</w:t>
      </w:r>
      <w:r w:rsidRPr="00133297">
        <w:rPr>
          <w:rFonts w:eastAsia="Times New Roman" w:cs="Times New Roman"/>
          <w:rtl/>
          <w:lang w:eastAsia="de-DE"/>
        </w:rPr>
        <w:t xml:space="preserve"> </w:t>
      </w:r>
      <w:r w:rsidRPr="00133297">
        <w:rPr>
          <w:rFonts w:eastAsia="Times New Roman" w:cs="Times New Roman"/>
          <w:lang w:eastAsia="de-DE"/>
        </w:rPr>
        <w:t xml:space="preserve">spezifiziert die Adressaten. </w:t>
      </w:r>
      <w:r w:rsidRPr="00133297">
        <w:rPr>
          <w:rFonts w:eastAsia="Times New Roman" w:cs="Times New Roman"/>
          <w:b/>
          <w:bCs/>
          <w:rtl/>
          <w:lang w:eastAsia="de-DE"/>
        </w:rPr>
        <w:t>שָׂרֵי הָאֲלָפִים</w:t>
      </w:r>
      <w:r w:rsidRPr="00133297">
        <w:rPr>
          <w:rFonts w:eastAsia="Times New Roman" w:cs="Times New Roman"/>
          <w:rtl/>
          <w:lang w:eastAsia="de-DE"/>
        </w:rPr>
        <w:t xml:space="preserve"> </w:t>
      </w:r>
      <w:r w:rsidRPr="00133297">
        <w:rPr>
          <w:rFonts w:eastAsia="Times New Roman" w:cs="Times New Roman"/>
          <w:lang w:eastAsia="de-DE"/>
        </w:rPr>
        <w:t xml:space="preserve">(Plural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שַׂר</w:t>
      </w:r>
      <w:r w:rsidRPr="00133297">
        <w:rPr>
          <w:rFonts w:eastAsia="Times New Roman" w:cs="Times New Roman"/>
          <w:rtl/>
          <w:lang w:eastAsia="de-DE"/>
        </w:rPr>
        <w:t xml:space="preserve"> </w:t>
      </w:r>
      <w:r w:rsidRPr="00133297">
        <w:rPr>
          <w:rFonts w:eastAsia="Times New Roman" w:cs="Times New Roman"/>
          <w:lang w:eastAsia="de-DE"/>
        </w:rPr>
        <w:t xml:space="preserve">„Oberster, Anführer" mit Plural </w:t>
      </w:r>
      <w:r w:rsidRPr="00133297">
        <w:rPr>
          <w:rFonts w:eastAsia="Times New Roman" w:cs="Times New Roman"/>
          <w:b/>
          <w:bCs/>
          <w:rtl/>
          <w:lang w:eastAsia="de-DE"/>
        </w:rPr>
        <w:t>אֶלֶף</w:t>
      </w:r>
      <w:r w:rsidRPr="00133297">
        <w:rPr>
          <w:rFonts w:eastAsia="Times New Roman" w:cs="Times New Roman"/>
          <w:rtl/>
          <w:lang w:eastAsia="de-DE"/>
        </w:rPr>
        <w:t xml:space="preserve"> </w:t>
      </w:r>
      <w:r w:rsidRPr="00133297">
        <w:rPr>
          <w:rFonts w:eastAsia="Times New Roman" w:cs="Times New Roman"/>
          <w:lang w:eastAsia="de-DE"/>
        </w:rPr>
        <w:t xml:space="preserve">„Tausend" und Artikel „die Obersten über die Tausende"), </w:t>
      </w:r>
      <w:r w:rsidRPr="00133297">
        <w:rPr>
          <w:rFonts w:eastAsia="Times New Roman" w:cs="Times New Roman"/>
          <w:b/>
          <w:bCs/>
          <w:rtl/>
          <w:lang w:eastAsia="de-DE"/>
        </w:rPr>
        <w:t>וְשָׂרֵי הַמֵּאוֹת</w:t>
      </w:r>
      <w:r w:rsidRPr="00133297">
        <w:rPr>
          <w:rFonts w:eastAsia="Times New Roman" w:cs="Times New Roman"/>
          <w:rtl/>
          <w:lang w:eastAsia="de-DE"/>
        </w:rPr>
        <w:t xml:space="preserve"> </w:t>
      </w:r>
      <w:r w:rsidRPr="00133297">
        <w:rPr>
          <w:rFonts w:eastAsia="Times New Roman" w:cs="Times New Roman"/>
          <w:lang w:eastAsia="de-DE"/>
        </w:rPr>
        <w:t xml:space="preserve">(Konjunktion mit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שַׂר</w:t>
      </w:r>
      <w:r w:rsidRPr="00133297">
        <w:rPr>
          <w:rFonts w:eastAsia="Times New Roman" w:cs="Times New Roman"/>
          <w:rtl/>
          <w:lang w:eastAsia="de-DE"/>
        </w:rPr>
        <w:t xml:space="preserve"> </w:t>
      </w:r>
      <w:r w:rsidRPr="00133297">
        <w:rPr>
          <w:rFonts w:eastAsia="Times New Roman" w:cs="Times New Roman"/>
          <w:lang w:eastAsia="de-DE"/>
        </w:rPr>
        <w:t xml:space="preserve">und Plural </w:t>
      </w:r>
      <w:r w:rsidRPr="00133297">
        <w:rPr>
          <w:rFonts w:eastAsia="Times New Roman" w:cs="Times New Roman"/>
          <w:b/>
          <w:bCs/>
          <w:rtl/>
          <w:lang w:eastAsia="de-DE"/>
        </w:rPr>
        <w:t>מֵאָה</w:t>
      </w:r>
      <w:r w:rsidRPr="00133297">
        <w:rPr>
          <w:rFonts w:eastAsia="Times New Roman" w:cs="Times New Roman"/>
          <w:rtl/>
          <w:lang w:eastAsia="de-DE"/>
        </w:rPr>
        <w:t xml:space="preserve"> </w:t>
      </w:r>
      <w:r w:rsidRPr="00133297">
        <w:rPr>
          <w:rFonts w:eastAsia="Times New Roman" w:cs="Times New Roman"/>
          <w:lang w:eastAsia="de-DE"/>
        </w:rPr>
        <w:t>„Hundert" mit Artikel „und die Obersten über die Hunderte"). Dies sind die militärischen Befehlshaber auf zwei Ebenen.</w:t>
      </w:r>
    </w:p>
    <w:p w14:paraId="734B386F" w14:textId="640A36B2" w:rsidR="00133297" w:rsidRPr="00133297" w:rsidRDefault="00133297" w:rsidP="00C0709A">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הַבָּאִים מִצְּבָא הַמִּלְחָמָה</w:t>
      </w:r>
      <w:r w:rsidRPr="00133297">
        <w:rPr>
          <w:rFonts w:eastAsia="Times New Roman" w:cs="Times New Roman"/>
          <w:rtl/>
          <w:lang w:eastAsia="de-DE"/>
        </w:rPr>
        <w:t xml:space="preserve"> </w:t>
      </w:r>
      <w:r w:rsidRPr="00133297">
        <w:rPr>
          <w:rFonts w:eastAsia="Times New Roman" w:cs="Times New Roman"/>
          <w:lang w:eastAsia="de-DE"/>
        </w:rPr>
        <w:t xml:space="preserve">ist der Relativsatz. </w:t>
      </w:r>
      <w:r w:rsidRPr="00133297">
        <w:rPr>
          <w:rFonts w:eastAsia="Times New Roman" w:cs="Times New Roman"/>
          <w:b/>
          <w:bCs/>
          <w:rtl/>
          <w:lang w:eastAsia="de-DE"/>
        </w:rPr>
        <w:t>הַבָּאִים</w:t>
      </w:r>
      <w:r w:rsidRPr="00133297">
        <w:rPr>
          <w:rFonts w:eastAsia="Times New Roman" w:cs="Times New Roman"/>
          <w:rtl/>
          <w:lang w:eastAsia="de-DE"/>
        </w:rPr>
        <w:t xml:space="preserve"> </w:t>
      </w:r>
      <w:r w:rsidRPr="00133297">
        <w:rPr>
          <w:rFonts w:eastAsia="Times New Roman" w:cs="Times New Roman"/>
          <w:lang w:eastAsia="de-DE"/>
        </w:rPr>
        <w:t xml:space="preserve">(Qal-Partizip maskulin Plural von </w:t>
      </w:r>
      <w:r w:rsidRPr="00133297">
        <w:rPr>
          <w:rFonts w:eastAsia="Times New Roman" w:cs="Times New Roman"/>
          <w:b/>
          <w:bCs/>
          <w:rtl/>
          <w:lang w:eastAsia="de-DE"/>
        </w:rPr>
        <w:t>בוא</w:t>
      </w:r>
      <w:r w:rsidRPr="00133297">
        <w:rPr>
          <w:rFonts w:eastAsia="Times New Roman" w:cs="Times New Roman"/>
          <w:rtl/>
          <w:lang w:eastAsia="de-DE"/>
        </w:rPr>
        <w:t xml:space="preserve"> </w:t>
      </w:r>
      <w:r w:rsidRPr="00133297">
        <w:rPr>
          <w:rFonts w:eastAsia="Times New Roman" w:cs="Times New Roman"/>
          <w:lang w:eastAsia="de-DE"/>
        </w:rPr>
        <w:t xml:space="preserve">„kommen" mit Artikel „die Kommenden"), </w:t>
      </w:r>
      <w:r w:rsidRPr="00133297">
        <w:rPr>
          <w:rFonts w:eastAsia="Times New Roman" w:cs="Times New Roman"/>
          <w:b/>
          <w:bCs/>
          <w:rtl/>
          <w:lang w:eastAsia="de-DE"/>
        </w:rPr>
        <w:t>מִצְּבָא הַמִּלְחָמָה</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מִן</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צָבָא</w:t>
      </w:r>
      <w:r w:rsidRPr="00133297">
        <w:rPr>
          <w:rFonts w:eastAsia="Times New Roman" w:cs="Times New Roman"/>
          <w:rtl/>
          <w:lang w:eastAsia="de-DE"/>
        </w:rPr>
        <w:t xml:space="preserve"> </w:t>
      </w:r>
      <w:r w:rsidRPr="00133297">
        <w:rPr>
          <w:rFonts w:eastAsia="Times New Roman" w:cs="Times New Roman"/>
          <w:lang w:eastAsia="de-DE"/>
        </w:rPr>
        <w:t xml:space="preserve">„Heeresdienst" im </w:t>
      </w:r>
      <w:r w:rsidR="00E031B3">
        <w:rPr>
          <w:rFonts w:eastAsia="Times New Roman" w:cs="Times New Roman"/>
          <w:lang w:eastAsia="de-DE"/>
        </w:rPr>
        <w:t>Constructus und</w:t>
      </w:r>
      <w:r w:rsidRPr="00133297">
        <w:rPr>
          <w:rFonts w:eastAsia="Times New Roman" w:cs="Times New Roman"/>
          <w:lang w:eastAsia="de-DE"/>
        </w:rPr>
        <w:t xml:space="preserve"> </w:t>
      </w:r>
      <w:r w:rsidRPr="00133297">
        <w:rPr>
          <w:rFonts w:eastAsia="Times New Roman" w:cs="Times New Roman"/>
          <w:b/>
          <w:bCs/>
          <w:rtl/>
          <w:lang w:eastAsia="de-DE"/>
        </w:rPr>
        <w:t>מִלְחָמָה</w:t>
      </w:r>
      <w:r w:rsidRPr="00133297">
        <w:rPr>
          <w:rFonts w:eastAsia="Times New Roman" w:cs="Times New Roman"/>
          <w:rtl/>
          <w:lang w:eastAsia="de-DE"/>
        </w:rPr>
        <w:t xml:space="preserve"> </w:t>
      </w:r>
      <w:r w:rsidRPr="00133297">
        <w:rPr>
          <w:rFonts w:eastAsia="Times New Roman" w:cs="Times New Roman"/>
          <w:lang w:eastAsia="de-DE"/>
        </w:rPr>
        <w:t>„Krieg" mit Artikel „vom Heeresdienst des Krieges").</w:t>
      </w:r>
    </w:p>
    <w:p w14:paraId="27C0F283"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 Verb mit Subjekt und präpositionaler Ergänzung, gefolgt von einer appositiven Erweiterung und einem partizipialen Relativsatz.</w:t>
      </w:r>
    </w:p>
    <w:p w14:paraId="30244C8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markiert einen dramatischen Wendepunkt: Statt die siegreichen Kommandanten zu loben, zürnt Mose ihnen - eine Spannung, die im nächsten Vers aufgelöst wird.</w:t>
      </w:r>
    </w:p>
    <w:p w14:paraId="7B99A991"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31,15</w:t>
      </w:r>
    </w:p>
    <w:p w14:paraId="510B128A"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וַיֹּ֥אמֶר אֲלֵיהֶ֖ם מֹשֶׁ֑ה הַֽחִיִּיתֶ֖ם כָּל־נְקֵבָֽה׃</w:t>
      </w:r>
    </w:p>
    <w:p w14:paraId="30D3238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Mosche sprach zu ihnen: „Habt ihr alle Weiblichen am Leben gelassen?"</w:t>
      </w:r>
    </w:p>
    <w:p w14:paraId="2F05F0DE"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395187D9">
          <v:rect id="_x0000_i1960" style="width:0;height:1.5pt" o:hralign="center" o:hrstd="t" o:hr="t" fillcolor="#a0a0a0" stroked="f"/>
        </w:pict>
      </w:r>
    </w:p>
    <w:p w14:paraId="30536CE9" w14:textId="6C30D2ED" w:rsidR="00133297" w:rsidRPr="00133297" w:rsidRDefault="00133297" w:rsidP="00C0709A">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enthält Moses rhetorische Frage. </w:t>
      </w:r>
      <w:r w:rsidRPr="00133297">
        <w:rPr>
          <w:rFonts w:eastAsia="Times New Roman" w:cs="Times New Roman"/>
          <w:b/>
          <w:bCs/>
          <w:rtl/>
          <w:lang w:eastAsia="de-DE"/>
        </w:rPr>
        <w:t>וַיֹּאמֶר אֲלֵיהֶם מֹשֶׁה</w:t>
      </w:r>
      <w:r w:rsidRPr="00133297">
        <w:rPr>
          <w:rFonts w:eastAsia="Times New Roman" w:cs="Times New Roman"/>
          <w:rtl/>
          <w:lang w:eastAsia="de-DE"/>
        </w:rPr>
        <w:t xml:space="preserve"> </w:t>
      </w:r>
      <w:r w:rsidRPr="00133297">
        <w:rPr>
          <w:rFonts w:eastAsia="Times New Roman" w:cs="Times New Roman"/>
          <w:lang w:eastAsia="de-DE"/>
        </w:rPr>
        <w:t xml:space="preserve">ist die Redeeinleitung (Qal Wayyiqtol von </w:t>
      </w:r>
      <w:r w:rsidRPr="00133297">
        <w:rPr>
          <w:rFonts w:eastAsia="Times New Roman" w:cs="Times New Roman"/>
          <w:b/>
          <w:bCs/>
          <w:rtl/>
          <w:lang w:eastAsia="de-DE"/>
        </w:rPr>
        <w:t>אמר</w:t>
      </w:r>
      <w:r w:rsidRPr="00133297">
        <w:rPr>
          <w:rFonts w:eastAsia="Times New Roman" w:cs="Times New Roman"/>
          <w:rtl/>
          <w:lang w:eastAsia="de-DE"/>
        </w:rPr>
        <w:t xml:space="preserve"> </w:t>
      </w:r>
      <w:r w:rsidRPr="00133297">
        <w:rPr>
          <w:rFonts w:eastAsia="Times New Roman" w:cs="Times New Roman"/>
          <w:lang w:eastAsia="de-DE"/>
        </w:rPr>
        <w:t xml:space="preserve">mit Präposition und Suffix „zu ihnen"). </w:t>
      </w:r>
      <w:r w:rsidRPr="00133297">
        <w:rPr>
          <w:rFonts w:eastAsia="Times New Roman" w:cs="Times New Roman"/>
          <w:b/>
          <w:bCs/>
          <w:rtl/>
          <w:lang w:eastAsia="de-DE"/>
        </w:rPr>
        <w:t>הַחִיִּיתֶם כָּל־נְקֵבָה</w:t>
      </w:r>
      <w:r w:rsidRPr="00133297">
        <w:rPr>
          <w:rFonts w:eastAsia="Times New Roman" w:cs="Times New Roman"/>
          <w:rtl/>
          <w:lang w:eastAsia="de-DE"/>
        </w:rPr>
        <w:t xml:space="preserve"> </w:t>
      </w:r>
      <w:r w:rsidRPr="00133297">
        <w:rPr>
          <w:rFonts w:eastAsia="Times New Roman" w:cs="Times New Roman"/>
          <w:lang w:eastAsia="de-DE"/>
        </w:rPr>
        <w:t xml:space="preserve">ist die empörte Frage. </w:t>
      </w:r>
      <w:r w:rsidRPr="00133297">
        <w:rPr>
          <w:rFonts w:eastAsia="Times New Roman" w:cs="Times New Roman"/>
          <w:b/>
          <w:bCs/>
          <w:rtl/>
          <w:lang w:eastAsia="de-DE"/>
        </w:rPr>
        <w:t>הַחִיִּיתֶם</w:t>
      </w:r>
      <w:r w:rsidRPr="00133297">
        <w:rPr>
          <w:rFonts w:eastAsia="Times New Roman" w:cs="Times New Roman"/>
          <w:rtl/>
          <w:lang w:eastAsia="de-DE"/>
        </w:rPr>
        <w:t xml:space="preserve"> </w:t>
      </w:r>
      <w:r w:rsidRPr="00133297">
        <w:rPr>
          <w:rFonts w:eastAsia="Times New Roman" w:cs="Times New Roman"/>
          <w:lang w:eastAsia="de-DE"/>
        </w:rPr>
        <w:t xml:space="preserve">ist eine Kombination aus Fragepartikel </w:t>
      </w:r>
      <w:r w:rsidRPr="00133297">
        <w:rPr>
          <w:rFonts w:eastAsia="Times New Roman" w:cs="Times New Roman"/>
          <w:b/>
          <w:bCs/>
          <w:rtl/>
          <w:lang w:eastAsia="de-DE"/>
        </w:rPr>
        <w:t>הַ</w:t>
      </w:r>
      <w:r w:rsidRPr="00133297">
        <w:rPr>
          <w:rFonts w:eastAsia="Times New Roman" w:cs="Times New Roman"/>
          <w:rtl/>
          <w:lang w:eastAsia="de-DE"/>
        </w:rPr>
        <w:t xml:space="preserve"> </w:t>
      </w:r>
      <w:r w:rsidRPr="00133297">
        <w:rPr>
          <w:rFonts w:eastAsia="Times New Roman" w:cs="Times New Roman"/>
          <w:lang w:eastAsia="de-DE"/>
        </w:rPr>
        <w:t xml:space="preserve">mit Piel Perfekt 2. Person maskulin Plural von </w:t>
      </w:r>
      <w:r w:rsidRPr="00133297">
        <w:rPr>
          <w:rFonts w:eastAsia="Times New Roman" w:cs="Times New Roman"/>
          <w:b/>
          <w:bCs/>
          <w:rtl/>
          <w:lang w:eastAsia="de-DE"/>
        </w:rPr>
        <w:t>חיה</w:t>
      </w:r>
      <w:r w:rsidRPr="00133297">
        <w:rPr>
          <w:rFonts w:eastAsia="Times New Roman" w:cs="Times New Roman"/>
          <w:rtl/>
          <w:lang w:eastAsia="de-DE"/>
        </w:rPr>
        <w:t xml:space="preserve"> </w:t>
      </w:r>
      <w:r w:rsidRPr="00133297">
        <w:rPr>
          <w:rFonts w:eastAsia="Times New Roman" w:cs="Times New Roman"/>
          <w:lang w:eastAsia="de-DE"/>
        </w:rPr>
        <w:t xml:space="preserve">(„am Leben lassen, am Leben erhalten"), </w:t>
      </w:r>
      <w:r w:rsidRPr="00133297">
        <w:rPr>
          <w:rFonts w:eastAsia="Times New Roman" w:cs="Times New Roman"/>
          <w:b/>
          <w:bCs/>
          <w:rtl/>
          <w:lang w:eastAsia="de-DE"/>
        </w:rPr>
        <w:t>כָּל־נְקֵבָה</w:t>
      </w:r>
      <w:r w:rsidRPr="00133297">
        <w:rPr>
          <w:rFonts w:eastAsia="Times New Roman" w:cs="Times New Roman"/>
          <w:rtl/>
          <w:lang w:eastAsia="de-DE"/>
        </w:rPr>
        <w:t xml:space="preserve"> </w:t>
      </w:r>
      <w:r w:rsidRPr="00133297">
        <w:rPr>
          <w:rFonts w:eastAsia="Times New Roman" w:cs="Times New Roman"/>
          <w:lang w:eastAsia="de-DE"/>
        </w:rPr>
        <w:t>(</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„alle" mit </w:t>
      </w:r>
      <w:r w:rsidRPr="00133297">
        <w:rPr>
          <w:rFonts w:eastAsia="Times New Roman" w:cs="Times New Roman"/>
          <w:b/>
          <w:bCs/>
          <w:rtl/>
          <w:lang w:eastAsia="de-DE"/>
        </w:rPr>
        <w:t>נְקֵבָה</w:t>
      </w:r>
      <w:r w:rsidRPr="00133297">
        <w:rPr>
          <w:rFonts w:eastAsia="Times New Roman" w:cs="Times New Roman"/>
          <w:rtl/>
          <w:lang w:eastAsia="de-DE"/>
        </w:rPr>
        <w:t xml:space="preserve"> </w:t>
      </w:r>
      <w:r w:rsidRPr="00133297">
        <w:rPr>
          <w:rFonts w:eastAsia="Times New Roman" w:cs="Times New Roman"/>
          <w:lang w:eastAsia="de-DE"/>
        </w:rPr>
        <w:t xml:space="preserve">„weiblich, Weibliches"). Das Piel von </w:t>
      </w:r>
      <w:r w:rsidRPr="00133297">
        <w:rPr>
          <w:rFonts w:eastAsia="Times New Roman" w:cs="Times New Roman"/>
          <w:b/>
          <w:bCs/>
          <w:rtl/>
          <w:lang w:eastAsia="de-DE"/>
        </w:rPr>
        <w:t>חיה</w:t>
      </w:r>
      <w:r w:rsidRPr="00133297">
        <w:rPr>
          <w:rFonts w:eastAsia="Times New Roman" w:cs="Times New Roman"/>
          <w:rtl/>
          <w:lang w:eastAsia="de-DE"/>
        </w:rPr>
        <w:t xml:space="preserve"> </w:t>
      </w:r>
      <w:r w:rsidRPr="00133297">
        <w:rPr>
          <w:rFonts w:eastAsia="Times New Roman" w:cs="Times New Roman"/>
          <w:lang w:eastAsia="de-DE"/>
        </w:rPr>
        <w:t>ist kausativ: „Leben geben, am Leben lassen". Die Frage ist rhetorisch und drückt Erstaunen und Missbilligung aus.</w:t>
      </w:r>
    </w:p>
    <w:p w14:paraId="0B860655"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lastRenderedPageBreak/>
        <w:t>Die Satzstruktur zeigt eine Redeeinleitung, gefolgt von einer rhetorischen Frage mit Fragepartikel.</w:t>
      </w:r>
    </w:p>
    <w:p w14:paraId="2FAD9CA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enthüllt den Grund für Moses Zorn: Die Truppen haben alle Frauen am Leben gelassen, was Moses für einen schwerwiegenden Fehler hält - die Begründung folgt im nächsten Vers.</w:t>
      </w:r>
    </w:p>
    <w:p w14:paraId="325EBDB5"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31,16</w:t>
      </w:r>
    </w:p>
    <w:p w14:paraId="77A08DD6"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הֵ֣ן הֵ֜נָּה הָי֨וּ לִבְנֵ֤י יִשְׂרָאֵל֙ בִּדְבַ֣ר בִּלְעָ֔ם לִמְסָר־מַ֥עַל בַּיהוָ֖ה עַל־דְּבַר־פְּע֑וֹר וַתְּהִ֥י הַמַּגֵּפָ֖ה בַּעֲדַ֥ת יְהוָֽה׃</w:t>
      </w:r>
    </w:p>
    <w:p w14:paraId="656E36B6"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Siehe, sie sind ja auf Bil'ams Rat den Söhnen Jisra'el ein Anlass geworden, in der Sache des Pe'or eine Untreue gegen den Ewigen zu begehen, so dass die Plage über die Gemeinde des Ewigen kam.</w:t>
      </w:r>
    </w:p>
    <w:p w14:paraId="5035DA94"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07D56B06">
          <v:rect id="_x0000_i1961" style="width:0;height:1.5pt" o:hralign="center" o:hrstd="t" o:hr="t" fillcolor="#a0a0a0" stroked="f"/>
        </w:pict>
      </w:r>
    </w:p>
    <w:p w14:paraId="3D0F4046" w14:textId="3813E596"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enthüllt die historische Begründung für Moses Zorn. </w:t>
      </w:r>
      <w:r w:rsidRPr="00133297">
        <w:rPr>
          <w:rFonts w:eastAsia="Times New Roman" w:cs="Times New Roman"/>
          <w:b/>
          <w:bCs/>
          <w:rtl/>
          <w:lang w:eastAsia="de-DE"/>
        </w:rPr>
        <w:t>הֵן הֵנָּה הָיוּ לִבְנֵי יִשְׂרָאֵל בִּדְבַר בִּלְעָם</w:t>
      </w:r>
      <w:r w:rsidRPr="00133297">
        <w:rPr>
          <w:rFonts w:eastAsia="Times New Roman" w:cs="Times New Roman"/>
          <w:rtl/>
          <w:lang w:eastAsia="de-DE"/>
        </w:rPr>
        <w:t xml:space="preserve"> </w:t>
      </w:r>
      <w:r w:rsidRPr="00133297">
        <w:rPr>
          <w:rFonts w:eastAsia="Times New Roman" w:cs="Times New Roman"/>
          <w:lang w:eastAsia="de-DE"/>
        </w:rPr>
        <w:t xml:space="preserve">ist die Anklage. </w:t>
      </w:r>
      <w:r w:rsidRPr="00133297">
        <w:rPr>
          <w:rFonts w:eastAsia="Times New Roman" w:cs="Times New Roman"/>
          <w:b/>
          <w:bCs/>
          <w:rtl/>
          <w:lang w:eastAsia="de-DE"/>
        </w:rPr>
        <w:t>הֵן</w:t>
      </w:r>
      <w:r w:rsidRPr="00133297">
        <w:rPr>
          <w:rFonts w:eastAsia="Times New Roman" w:cs="Times New Roman"/>
          <w:rtl/>
          <w:lang w:eastAsia="de-DE"/>
        </w:rPr>
        <w:t xml:space="preserve"> </w:t>
      </w:r>
      <w:r w:rsidRPr="00133297">
        <w:rPr>
          <w:rFonts w:eastAsia="Times New Roman" w:cs="Times New Roman"/>
          <w:lang w:eastAsia="de-DE"/>
        </w:rPr>
        <w:t xml:space="preserve">(Interjektion „siehe"), </w:t>
      </w:r>
      <w:r w:rsidRPr="00133297">
        <w:rPr>
          <w:rFonts w:eastAsia="Times New Roman" w:cs="Times New Roman"/>
          <w:b/>
          <w:bCs/>
          <w:rtl/>
          <w:lang w:eastAsia="de-DE"/>
        </w:rPr>
        <w:t>הֵנָּה</w:t>
      </w:r>
      <w:r w:rsidRPr="00133297">
        <w:rPr>
          <w:rFonts w:eastAsia="Times New Roman" w:cs="Times New Roman"/>
          <w:rtl/>
          <w:lang w:eastAsia="de-DE"/>
        </w:rPr>
        <w:t xml:space="preserve"> </w:t>
      </w:r>
      <w:r w:rsidRPr="00133297">
        <w:rPr>
          <w:rFonts w:eastAsia="Times New Roman" w:cs="Times New Roman"/>
          <w:lang w:eastAsia="de-DE"/>
        </w:rPr>
        <w:t xml:space="preserve">(Personalpronomen 3. Person feminin Plural „sie" mit emphatischer Endung </w:t>
      </w:r>
      <w:r w:rsidRPr="00133297">
        <w:rPr>
          <w:rFonts w:eastAsia="Times New Roman" w:cs="Times New Roman"/>
          <w:b/>
          <w:bCs/>
          <w:rtl/>
          <w:lang w:eastAsia="de-DE"/>
        </w:rPr>
        <w:t>־נָה</w:t>
      </w:r>
      <w:r w:rsidRPr="00133297">
        <w:rPr>
          <w:rFonts w:eastAsia="Times New Roman" w:cs="Times New Roman"/>
          <w:lang w:eastAsia="de-DE"/>
        </w:rPr>
        <w:t xml:space="preserve">), </w:t>
      </w:r>
      <w:r w:rsidRPr="00133297">
        <w:rPr>
          <w:rFonts w:eastAsia="Times New Roman" w:cs="Times New Roman"/>
          <w:b/>
          <w:bCs/>
          <w:rtl/>
          <w:lang w:eastAsia="de-DE"/>
        </w:rPr>
        <w:t>הָיוּ</w:t>
      </w:r>
      <w:r w:rsidRPr="00133297">
        <w:rPr>
          <w:rFonts w:eastAsia="Times New Roman" w:cs="Times New Roman"/>
          <w:rtl/>
          <w:lang w:eastAsia="de-DE"/>
        </w:rPr>
        <w:t xml:space="preserve"> </w:t>
      </w:r>
      <w:r w:rsidRPr="00133297">
        <w:rPr>
          <w:rFonts w:eastAsia="Times New Roman" w:cs="Times New Roman"/>
          <w:lang w:eastAsia="de-DE"/>
        </w:rPr>
        <w:t xml:space="preserve">(Qal Perfekt 3. Person Plural von </w:t>
      </w:r>
      <w:r w:rsidRPr="00133297">
        <w:rPr>
          <w:rFonts w:eastAsia="Times New Roman" w:cs="Times New Roman"/>
          <w:b/>
          <w:bCs/>
          <w:rtl/>
          <w:lang w:eastAsia="de-DE"/>
        </w:rPr>
        <w:t>היה</w:t>
      </w:r>
      <w:r w:rsidRPr="00133297">
        <w:rPr>
          <w:rFonts w:eastAsia="Times New Roman" w:cs="Times New Roman"/>
          <w:rtl/>
          <w:lang w:eastAsia="de-DE"/>
        </w:rPr>
        <w:t xml:space="preserve"> </w:t>
      </w:r>
      <w:r w:rsidRPr="00133297">
        <w:rPr>
          <w:rFonts w:eastAsia="Times New Roman" w:cs="Times New Roman"/>
          <w:lang w:eastAsia="de-DE"/>
        </w:rPr>
        <w:t xml:space="preserve">„sein, werden"), </w:t>
      </w:r>
      <w:r w:rsidRPr="00133297">
        <w:rPr>
          <w:rFonts w:eastAsia="Times New Roman" w:cs="Times New Roman"/>
          <w:b/>
          <w:bCs/>
          <w:rtl/>
          <w:lang w:eastAsia="de-DE"/>
        </w:rPr>
        <w:t>לִבְנֵי יִשְׂרָאֵל</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„für, zu" mit „Söhne Israels"), </w:t>
      </w:r>
      <w:r w:rsidRPr="00133297">
        <w:rPr>
          <w:rFonts w:eastAsia="Times New Roman" w:cs="Times New Roman"/>
          <w:b/>
          <w:bCs/>
          <w:rtl/>
          <w:lang w:eastAsia="de-DE"/>
        </w:rPr>
        <w:t>בִּדְבַר בִּלְעָם</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דָּבָר</w:t>
      </w:r>
      <w:r w:rsidRPr="00133297">
        <w:rPr>
          <w:rFonts w:eastAsia="Times New Roman" w:cs="Times New Roman"/>
          <w:rtl/>
          <w:lang w:eastAsia="de-DE"/>
        </w:rPr>
        <w:t xml:space="preserve"> </w:t>
      </w:r>
      <w:r w:rsidRPr="00133297">
        <w:rPr>
          <w:rFonts w:eastAsia="Times New Roman" w:cs="Times New Roman"/>
          <w:lang w:eastAsia="de-DE"/>
        </w:rPr>
        <w:t xml:space="preserve">„Wort, Rat" im </w:t>
      </w:r>
      <w:r w:rsidR="00E031B3">
        <w:rPr>
          <w:rFonts w:eastAsia="Times New Roman" w:cs="Times New Roman"/>
          <w:lang w:eastAsia="de-DE"/>
        </w:rPr>
        <w:t>Constructus und</w:t>
      </w:r>
      <w:r w:rsidRPr="00133297">
        <w:rPr>
          <w:rFonts w:eastAsia="Times New Roman" w:cs="Times New Roman"/>
          <w:lang w:eastAsia="de-DE"/>
        </w:rPr>
        <w:t xml:space="preserve"> </w:t>
      </w:r>
      <w:r w:rsidRPr="00133297">
        <w:rPr>
          <w:rFonts w:eastAsia="Times New Roman" w:cs="Times New Roman"/>
          <w:b/>
          <w:bCs/>
          <w:rtl/>
          <w:lang w:eastAsia="de-DE"/>
        </w:rPr>
        <w:t>בִּלְעָם</w:t>
      </w:r>
      <w:r w:rsidRPr="00133297">
        <w:rPr>
          <w:rFonts w:eastAsia="Times New Roman" w:cs="Times New Roman"/>
          <w:rtl/>
          <w:lang w:eastAsia="de-DE"/>
        </w:rPr>
        <w:t xml:space="preserve"> </w:t>
      </w:r>
      <w:r w:rsidRPr="00133297">
        <w:rPr>
          <w:rFonts w:eastAsia="Times New Roman" w:cs="Times New Roman"/>
          <w:lang w:eastAsia="de-DE"/>
        </w:rPr>
        <w:t>„auf Bileams Rat"). Dies enthüllt, dass Bileam den Midianitern riet, Israel durch Frauen zu verführen.</w:t>
      </w:r>
    </w:p>
    <w:p w14:paraId="0D219579" w14:textId="45B57AF8"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לִמְסָר־מַעַל בַּיהוה עַל־דְּבַר־פְּעוֹר</w:t>
      </w:r>
      <w:r w:rsidRPr="00133297">
        <w:rPr>
          <w:rFonts w:eastAsia="Times New Roman" w:cs="Times New Roman"/>
          <w:rtl/>
          <w:lang w:eastAsia="de-DE"/>
        </w:rPr>
        <w:t xml:space="preserve"> </w:t>
      </w:r>
      <w:r w:rsidRPr="00133297">
        <w:rPr>
          <w:rFonts w:eastAsia="Times New Roman" w:cs="Times New Roman"/>
          <w:lang w:eastAsia="de-DE"/>
        </w:rPr>
        <w:t xml:space="preserve">beschreibt die Sünde. </w:t>
      </w:r>
      <w:r w:rsidRPr="00133297">
        <w:rPr>
          <w:rFonts w:eastAsia="Times New Roman" w:cs="Times New Roman"/>
          <w:b/>
          <w:bCs/>
          <w:rtl/>
          <w:lang w:eastAsia="de-DE"/>
        </w:rPr>
        <w:t>לִמְסָר</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Qal Infinitiv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מסר</w:t>
      </w:r>
      <w:r w:rsidRPr="00133297">
        <w:rPr>
          <w:rFonts w:eastAsia="Times New Roman" w:cs="Times New Roman"/>
          <w:rtl/>
          <w:lang w:eastAsia="de-DE"/>
        </w:rPr>
        <w:t xml:space="preserve"> </w:t>
      </w:r>
      <w:r w:rsidRPr="00133297">
        <w:rPr>
          <w:rFonts w:eastAsia="Times New Roman" w:cs="Times New Roman"/>
          <w:lang w:eastAsia="de-DE"/>
        </w:rPr>
        <w:t xml:space="preserve">„übergeben, verraten, treulos handeln" „um treulos zu handeln"), </w:t>
      </w:r>
      <w:r w:rsidRPr="00133297">
        <w:rPr>
          <w:rFonts w:eastAsia="Times New Roman" w:cs="Times New Roman"/>
          <w:b/>
          <w:bCs/>
          <w:rtl/>
          <w:lang w:eastAsia="de-DE"/>
        </w:rPr>
        <w:t>מַעַל</w:t>
      </w:r>
      <w:r w:rsidRPr="00133297">
        <w:rPr>
          <w:rFonts w:eastAsia="Times New Roman" w:cs="Times New Roman"/>
          <w:rtl/>
          <w:lang w:eastAsia="de-DE"/>
        </w:rPr>
        <w:t xml:space="preserve"> </w:t>
      </w:r>
      <w:r w:rsidRPr="00133297">
        <w:rPr>
          <w:rFonts w:eastAsia="Times New Roman" w:cs="Times New Roman"/>
          <w:lang w:eastAsia="de-DE"/>
        </w:rPr>
        <w:t xml:space="preserve">(maskulines Nomen „Untreue, Treubruch"), </w:t>
      </w:r>
      <w:r w:rsidRPr="00133297">
        <w:rPr>
          <w:rFonts w:eastAsia="Times New Roman" w:cs="Times New Roman"/>
          <w:b/>
          <w:bCs/>
          <w:rtl/>
          <w:lang w:eastAsia="de-DE"/>
        </w:rPr>
        <w:t>בַּיהוה</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„gegen" mit Tetragramm), </w:t>
      </w:r>
      <w:r w:rsidRPr="00133297">
        <w:rPr>
          <w:rFonts w:eastAsia="Times New Roman" w:cs="Times New Roman"/>
          <w:b/>
          <w:bCs/>
          <w:rtl/>
          <w:lang w:eastAsia="de-DE"/>
        </w:rPr>
        <w:t>עַל־דְּבַר־פְּעוֹר</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עַל</w:t>
      </w:r>
      <w:r w:rsidRPr="00133297">
        <w:rPr>
          <w:rFonts w:eastAsia="Times New Roman" w:cs="Times New Roman"/>
          <w:rtl/>
          <w:lang w:eastAsia="de-DE"/>
        </w:rPr>
        <w:t xml:space="preserve"> </w:t>
      </w:r>
      <w:r w:rsidRPr="00133297">
        <w:rPr>
          <w:rFonts w:eastAsia="Times New Roman" w:cs="Times New Roman"/>
          <w:lang w:eastAsia="de-DE"/>
        </w:rPr>
        <w:t xml:space="preserve">„über, wegen" mit </w:t>
      </w:r>
      <w:r w:rsidRPr="00133297">
        <w:rPr>
          <w:rFonts w:eastAsia="Times New Roman" w:cs="Times New Roman"/>
          <w:b/>
          <w:bCs/>
          <w:rtl/>
          <w:lang w:eastAsia="de-DE"/>
        </w:rPr>
        <w:t>דָּבָר</w:t>
      </w:r>
      <w:r w:rsidRPr="00133297">
        <w:rPr>
          <w:rFonts w:eastAsia="Times New Roman" w:cs="Times New Roman"/>
          <w:rtl/>
          <w:lang w:eastAsia="de-DE"/>
        </w:rPr>
        <w:t xml:space="preserve"> </w:t>
      </w:r>
      <w:r w:rsidRPr="00133297">
        <w:rPr>
          <w:rFonts w:eastAsia="Times New Roman" w:cs="Times New Roman"/>
          <w:lang w:eastAsia="de-DE"/>
        </w:rPr>
        <w:t xml:space="preserve">„Sache, Angelegenheit" im </w:t>
      </w:r>
      <w:r w:rsidR="00E031B3">
        <w:rPr>
          <w:rFonts w:eastAsia="Times New Roman" w:cs="Times New Roman"/>
          <w:lang w:eastAsia="de-DE"/>
        </w:rPr>
        <w:t>Constructus und</w:t>
      </w:r>
      <w:r w:rsidRPr="00133297">
        <w:rPr>
          <w:rFonts w:eastAsia="Times New Roman" w:cs="Times New Roman"/>
          <w:lang w:eastAsia="de-DE"/>
        </w:rPr>
        <w:t xml:space="preserve"> </w:t>
      </w:r>
      <w:r w:rsidRPr="00133297">
        <w:rPr>
          <w:rFonts w:eastAsia="Times New Roman" w:cs="Times New Roman"/>
          <w:b/>
          <w:bCs/>
          <w:rtl/>
          <w:lang w:eastAsia="de-DE"/>
        </w:rPr>
        <w:t>פְּעוֹר</w:t>
      </w:r>
      <w:r w:rsidRPr="00133297">
        <w:rPr>
          <w:rFonts w:eastAsia="Times New Roman" w:cs="Times New Roman"/>
          <w:rtl/>
          <w:lang w:eastAsia="de-DE"/>
        </w:rPr>
        <w:t xml:space="preserve"> </w:t>
      </w:r>
      <w:r w:rsidRPr="00133297">
        <w:rPr>
          <w:rFonts w:eastAsia="Times New Roman" w:cs="Times New Roman"/>
          <w:lang w:eastAsia="de-DE"/>
        </w:rPr>
        <w:t>„Peor" „in der Sache des Peor"). Der Verweis ist auf Num 25,1-9, wo israelitische Männer mit moabitischen/midianitischen Frauen hurten und Baal-Peor anbeteten.</w:t>
      </w:r>
    </w:p>
    <w:p w14:paraId="5C7006D7" w14:textId="24039304"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וַתְּהִי הַמַּגֵּפָה בַּעֲדַת יהוה</w:t>
      </w:r>
      <w:r w:rsidRPr="00133297">
        <w:rPr>
          <w:rFonts w:eastAsia="Times New Roman" w:cs="Times New Roman"/>
          <w:rtl/>
          <w:lang w:eastAsia="de-DE"/>
        </w:rPr>
        <w:t xml:space="preserve"> </w:t>
      </w:r>
      <w:r w:rsidRPr="00133297">
        <w:rPr>
          <w:rFonts w:eastAsia="Times New Roman" w:cs="Times New Roman"/>
          <w:lang w:eastAsia="de-DE"/>
        </w:rPr>
        <w:t xml:space="preserve">ist die Konsequenz. </w:t>
      </w:r>
      <w:r w:rsidRPr="00133297">
        <w:rPr>
          <w:rFonts w:eastAsia="Times New Roman" w:cs="Times New Roman"/>
          <w:b/>
          <w:bCs/>
          <w:rtl/>
          <w:lang w:eastAsia="de-DE"/>
        </w:rPr>
        <w:t>וַתְּהִי</w:t>
      </w:r>
      <w:r w:rsidRPr="00133297">
        <w:rPr>
          <w:rFonts w:eastAsia="Times New Roman" w:cs="Times New Roman"/>
          <w:rtl/>
          <w:lang w:eastAsia="de-DE"/>
        </w:rPr>
        <w:t xml:space="preserve"> </w:t>
      </w:r>
      <w:r w:rsidRPr="00133297">
        <w:rPr>
          <w:rFonts w:eastAsia="Times New Roman" w:cs="Times New Roman"/>
          <w:lang w:eastAsia="de-DE"/>
        </w:rPr>
        <w:t xml:space="preserve">(Qal Wayyiqtol 3. Person feminin Singular von </w:t>
      </w:r>
      <w:r w:rsidRPr="00133297">
        <w:rPr>
          <w:rFonts w:eastAsia="Times New Roman" w:cs="Times New Roman"/>
          <w:b/>
          <w:bCs/>
          <w:rtl/>
          <w:lang w:eastAsia="de-DE"/>
        </w:rPr>
        <w:t>היה</w:t>
      </w:r>
      <w:r w:rsidRPr="00133297">
        <w:rPr>
          <w:rFonts w:eastAsia="Times New Roman" w:cs="Times New Roman"/>
          <w:rtl/>
          <w:lang w:eastAsia="de-DE"/>
        </w:rPr>
        <w:t xml:space="preserve"> </w:t>
      </w:r>
      <w:r w:rsidRPr="00133297">
        <w:rPr>
          <w:rFonts w:eastAsia="Times New Roman" w:cs="Times New Roman"/>
          <w:lang w:eastAsia="de-DE"/>
        </w:rPr>
        <w:t xml:space="preserve">„sein, geschehen"), </w:t>
      </w:r>
      <w:r w:rsidRPr="00133297">
        <w:rPr>
          <w:rFonts w:eastAsia="Times New Roman" w:cs="Times New Roman"/>
          <w:b/>
          <w:bCs/>
          <w:rtl/>
          <w:lang w:eastAsia="de-DE"/>
        </w:rPr>
        <w:t>הַמַּגֵּפָה</w:t>
      </w:r>
      <w:r w:rsidRPr="00133297">
        <w:rPr>
          <w:rFonts w:eastAsia="Times New Roman" w:cs="Times New Roman"/>
          <w:rtl/>
          <w:lang w:eastAsia="de-DE"/>
        </w:rPr>
        <w:t xml:space="preserve"> </w:t>
      </w:r>
      <w:r w:rsidRPr="00133297">
        <w:rPr>
          <w:rFonts w:eastAsia="Times New Roman" w:cs="Times New Roman"/>
          <w:lang w:eastAsia="de-DE"/>
        </w:rPr>
        <w:t xml:space="preserve">(feminin Singular </w:t>
      </w:r>
      <w:r w:rsidRPr="00133297">
        <w:rPr>
          <w:rFonts w:eastAsia="Times New Roman" w:cs="Times New Roman"/>
          <w:b/>
          <w:bCs/>
          <w:rtl/>
          <w:lang w:eastAsia="de-DE"/>
        </w:rPr>
        <w:t>מַגֵּפָה</w:t>
      </w:r>
      <w:r w:rsidRPr="00133297">
        <w:rPr>
          <w:rFonts w:eastAsia="Times New Roman" w:cs="Times New Roman"/>
          <w:rtl/>
          <w:lang w:eastAsia="de-DE"/>
        </w:rPr>
        <w:t xml:space="preserve"> </w:t>
      </w:r>
      <w:r w:rsidRPr="00133297">
        <w:rPr>
          <w:rFonts w:eastAsia="Times New Roman" w:cs="Times New Roman"/>
          <w:lang w:eastAsia="de-DE"/>
        </w:rPr>
        <w:t xml:space="preserve">„Plage, Seuche" mit Artikel), </w:t>
      </w:r>
      <w:r w:rsidRPr="00133297">
        <w:rPr>
          <w:rFonts w:eastAsia="Times New Roman" w:cs="Times New Roman"/>
          <w:b/>
          <w:bCs/>
          <w:rtl/>
          <w:lang w:eastAsia="de-DE"/>
        </w:rPr>
        <w:t>בַּעֲדַת יהוה</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עֲדַת</w:t>
      </w:r>
      <w:r w:rsidRPr="00133297">
        <w:rPr>
          <w:rFonts w:eastAsia="Times New Roman" w:cs="Times New Roman"/>
          <w:rtl/>
          <w:lang w:eastAsia="de-DE"/>
        </w:rPr>
        <w:t xml:space="preserve"> </w:t>
      </w:r>
      <w:r w:rsidRPr="00133297">
        <w:rPr>
          <w:rFonts w:eastAsia="Times New Roman" w:cs="Times New Roman"/>
          <w:lang w:eastAsia="de-DE"/>
        </w:rPr>
        <w:t xml:space="preserve">„Gemeinde" im </w:t>
      </w:r>
      <w:r w:rsidR="00E031B3">
        <w:rPr>
          <w:rFonts w:eastAsia="Times New Roman" w:cs="Times New Roman"/>
          <w:lang w:eastAsia="de-DE"/>
        </w:rPr>
        <w:t>Constructus und</w:t>
      </w:r>
      <w:r w:rsidRPr="00133297">
        <w:rPr>
          <w:rFonts w:eastAsia="Times New Roman" w:cs="Times New Roman"/>
          <w:lang w:eastAsia="de-DE"/>
        </w:rPr>
        <w:t xml:space="preserve"> Tetragramm „in der Gemeinde des Ewigen"). Die Plage von Num 25,8-9 tötete 24.000 Israeliten.</w:t>
      </w:r>
    </w:p>
    <w:p w14:paraId="50C355AC" w14:textId="02F7AB1B"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Die LXX</w:t>
      </w:r>
      <w:r w:rsidRPr="00133297">
        <w:rPr>
          <w:rFonts w:eastAsia="Times New Roman" w:cs="Times New Roman"/>
          <w:lang w:eastAsia="de-DE"/>
        </w:rPr>
        <w:t xml:space="preserve"> </w:t>
      </w:r>
      <w:r w:rsidR="00EF1857">
        <w:t>übersetzt „</w:t>
      </w:r>
      <w:r w:rsidR="00EF1857" w:rsidRPr="00EF1857">
        <w:rPr>
          <w:b/>
          <w:bCs/>
          <w:rtl/>
        </w:rPr>
        <w:t>לִמְסָר־מַעַל בַּיהוָה</w:t>
      </w:r>
      <w:r w:rsidR="00EF1857">
        <w:t xml:space="preserve">" (um Untreue gegen den </w:t>
      </w:r>
      <w:r w:rsidR="00095BF0">
        <w:t>Ewigen</w:t>
      </w:r>
      <w:r w:rsidR="00EF1857">
        <w:t xml:space="preserve"> zu begehen) mit „τοῦ ἀποστῆσαι καὶ ὑπεριδεῖν τὸ ῥῆμα κυρίου" (um abzufallen und das Wort des Herrn zu missachten), was expliziter ist.</w:t>
      </w:r>
    </w:p>
    <w:p w14:paraId="70BA9314"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eine emphatische Aussage mit Interjektion, gefolgt von zwei präpositionalen Phrasen (auf Bileams Rat, wegen der Peor-Sache) und einer konsekutiven Folge (die Plage kam).</w:t>
      </w:r>
    </w:p>
    <w:p w14:paraId="40A9602D"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enthüllt die tiefere Dimension: Die midianitischen Frauen waren keine unschuldigen Opfer, sondern aktive Verführerinnen auf Bileams bösen Rat hin, was zur verheerenden Plage führte - daher Moses Zorn über ihre Verschonung.</w:t>
      </w:r>
    </w:p>
    <w:p w14:paraId="3CDB6634"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lastRenderedPageBreak/>
        <w:t>Numeri 31,17</w:t>
      </w:r>
    </w:p>
    <w:p w14:paraId="47ECBA26"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וְעַתָּ֕ה הִרְג֥וּ כָל־זָכָ֖ר בַּטָּ֑ף וְכָל־אִשָּׁ֗ה יֹדַ֥עַת אִ֛ישׁ לְמִשְׁכַּ֥ב זָכָ֖ר הֲרֹֽגוּ׃</w:t>
      </w:r>
    </w:p>
    <w:p w14:paraId="5FAE14CD"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So tötet nun alles Männliche unter den Kindern, und tötet jede Frau, die einen Mann im Beischlaf erkannt hat.</w:t>
      </w:r>
    </w:p>
    <w:p w14:paraId="3460E3E0"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21777AD5">
          <v:rect id="_x0000_i1962" style="width:0;height:1.5pt" o:hralign="center" o:hrstd="t" o:hr="t" fillcolor="#a0a0a0" stroked="f"/>
        </w:pict>
      </w:r>
    </w:p>
    <w:p w14:paraId="0412D555"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enthält Moses drastischen Befehl. </w:t>
      </w:r>
      <w:r w:rsidRPr="00133297">
        <w:rPr>
          <w:rFonts w:eastAsia="Times New Roman" w:cs="Times New Roman"/>
          <w:b/>
          <w:bCs/>
          <w:rtl/>
          <w:lang w:eastAsia="de-DE"/>
        </w:rPr>
        <w:t>וְעַתָּה הִרְגוּ כָל־זָכָר בַּטָּף</w:t>
      </w:r>
      <w:r w:rsidRPr="00133297">
        <w:rPr>
          <w:rFonts w:eastAsia="Times New Roman" w:cs="Times New Roman"/>
          <w:rtl/>
          <w:lang w:eastAsia="de-DE"/>
        </w:rPr>
        <w:t xml:space="preserve"> </w:t>
      </w:r>
      <w:r w:rsidRPr="00133297">
        <w:rPr>
          <w:rFonts w:eastAsia="Times New Roman" w:cs="Times New Roman"/>
          <w:lang w:eastAsia="de-DE"/>
        </w:rPr>
        <w:t xml:space="preserve">ist der erste Teil. </w:t>
      </w:r>
      <w:r w:rsidRPr="00133297">
        <w:rPr>
          <w:rFonts w:eastAsia="Times New Roman" w:cs="Times New Roman"/>
          <w:b/>
          <w:bCs/>
          <w:rtl/>
          <w:lang w:eastAsia="de-DE"/>
        </w:rPr>
        <w:t>וְעַתָּה</w:t>
      </w:r>
      <w:r w:rsidRPr="00133297">
        <w:rPr>
          <w:rFonts w:eastAsia="Times New Roman" w:cs="Times New Roman"/>
          <w:rtl/>
          <w:lang w:eastAsia="de-DE"/>
        </w:rPr>
        <w:t xml:space="preserve"> </w:t>
      </w:r>
      <w:r w:rsidRPr="00133297">
        <w:rPr>
          <w:rFonts w:eastAsia="Times New Roman" w:cs="Times New Roman"/>
          <w:lang w:eastAsia="de-DE"/>
        </w:rPr>
        <w:t xml:space="preserve">(Konjunktion mit Adverb „und nun, also"), </w:t>
      </w:r>
      <w:r w:rsidRPr="00133297">
        <w:rPr>
          <w:rFonts w:eastAsia="Times New Roman" w:cs="Times New Roman"/>
          <w:b/>
          <w:bCs/>
          <w:rtl/>
          <w:lang w:eastAsia="de-DE"/>
        </w:rPr>
        <w:t>הִרְגוּ</w:t>
      </w:r>
      <w:r w:rsidRPr="00133297">
        <w:rPr>
          <w:rFonts w:eastAsia="Times New Roman" w:cs="Times New Roman"/>
          <w:rtl/>
          <w:lang w:eastAsia="de-DE"/>
        </w:rPr>
        <w:t xml:space="preserve"> </w:t>
      </w:r>
      <w:r w:rsidRPr="00133297">
        <w:rPr>
          <w:rFonts w:eastAsia="Times New Roman" w:cs="Times New Roman"/>
          <w:lang w:eastAsia="de-DE"/>
        </w:rPr>
        <w:t xml:space="preserve">(Qal Imperativ maskulin Plural von </w:t>
      </w:r>
      <w:r w:rsidRPr="00133297">
        <w:rPr>
          <w:rFonts w:eastAsia="Times New Roman" w:cs="Times New Roman"/>
          <w:b/>
          <w:bCs/>
          <w:rtl/>
          <w:lang w:eastAsia="de-DE"/>
        </w:rPr>
        <w:t>הרג</w:t>
      </w:r>
      <w:r w:rsidRPr="00133297">
        <w:rPr>
          <w:rFonts w:eastAsia="Times New Roman" w:cs="Times New Roman"/>
          <w:rtl/>
          <w:lang w:eastAsia="de-DE"/>
        </w:rPr>
        <w:t xml:space="preserve"> </w:t>
      </w:r>
      <w:r w:rsidRPr="00133297">
        <w:rPr>
          <w:rFonts w:eastAsia="Times New Roman" w:cs="Times New Roman"/>
          <w:lang w:eastAsia="de-DE"/>
        </w:rPr>
        <w:t xml:space="preserve">„töten"), </w:t>
      </w:r>
      <w:r w:rsidRPr="00133297">
        <w:rPr>
          <w:rFonts w:eastAsia="Times New Roman" w:cs="Times New Roman"/>
          <w:b/>
          <w:bCs/>
          <w:rtl/>
          <w:lang w:eastAsia="de-DE"/>
        </w:rPr>
        <w:t>כָל־זָכָר בַּטָּף</w:t>
      </w:r>
      <w:r w:rsidRPr="00133297">
        <w:rPr>
          <w:rFonts w:eastAsia="Times New Roman" w:cs="Times New Roman"/>
          <w:rtl/>
          <w:lang w:eastAsia="de-DE"/>
        </w:rPr>
        <w:t xml:space="preserve"> </w:t>
      </w:r>
      <w:r w:rsidRPr="00133297">
        <w:rPr>
          <w:rFonts w:eastAsia="Times New Roman" w:cs="Times New Roman"/>
          <w:lang w:eastAsia="de-DE"/>
        </w:rPr>
        <w:t>(</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„alles" mit </w:t>
      </w:r>
      <w:r w:rsidRPr="00133297">
        <w:rPr>
          <w:rFonts w:eastAsia="Times New Roman" w:cs="Times New Roman"/>
          <w:b/>
          <w:bCs/>
          <w:rtl/>
          <w:lang w:eastAsia="de-DE"/>
        </w:rPr>
        <w:t>זָכָר</w:t>
      </w:r>
      <w:r w:rsidRPr="00133297">
        <w:rPr>
          <w:rFonts w:eastAsia="Times New Roman" w:cs="Times New Roman"/>
          <w:rtl/>
          <w:lang w:eastAsia="de-DE"/>
        </w:rPr>
        <w:t xml:space="preserve"> </w:t>
      </w:r>
      <w:r w:rsidRPr="00133297">
        <w:rPr>
          <w:rFonts w:eastAsia="Times New Roman" w:cs="Times New Roman"/>
          <w:lang w:eastAsia="de-DE"/>
        </w:rPr>
        <w:t xml:space="preserve">„Männliches" und 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טַף</w:t>
      </w:r>
      <w:r w:rsidRPr="00133297">
        <w:rPr>
          <w:rFonts w:eastAsia="Times New Roman" w:cs="Times New Roman"/>
          <w:rtl/>
          <w:lang w:eastAsia="de-DE"/>
        </w:rPr>
        <w:t xml:space="preserve"> </w:t>
      </w:r>
      <w:r w:rsidRPr="00133297">
        <w:rPr>
          <w:rFonts w:eastAsia="Times New Roman" w:cs="Times New Roman"/>
          <w:lang w:eastAsia="de-DE"/>
        </w:rPr>
        <w:t>„Kinder, Kleinkinder" „alles Männliche unter den Kindern").</w:t>
      </w:r>
    </w:p>
    <w:p w14:paraId="3C649FDD" w14:textId="04B008F1" w:rsidR="00133297" w:rsidRPr="00133297" w:rsidRDefault="00133297" w:rsidP="00C0709A">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וְכָל־אִשָּׁה יֹדַעַת אִישׁ לְמִשְׁכַּב זָכָר הֲרֹגוּ</w:t>
      </w:r>
      <w:r w:rsidRPr="00133297">
        <w:rPr>
          <w:rFonts w:eastAsia="Times New Roman" w:cs="Times New Roman"/>
          <w:rtl/>
          <w:lang w:eastAsia="de-DE"/>
        </w:rPr>
        <w:t xml:space="preserve"> </w:t>
      </w:r>
      <w:r w:rsidRPr="00133297">
        <w:rPr>
          <w:rFonts w:eastAsia="Times New Roman" w:cs="Times New Roman"/>
          <w:lang w:eastAsia="de-DE"/>
        </w:rPr>
        <w:t xml:space="preserve">ist der zweite Teil. </w:t>
      </w:r>
      <w:r w:rsidRPr="00133297">
        <w:rPr>
          <w:rFonts w:eastAsia="Times New Roman" w:cs="Times New Roman"/>
          <w:b/>
          <w:bCs/>
          <w:rtl/>
          <w:lang w:eastAsia="de-DE"/>
        </w:rPr>
        <w:t>וְכָל־אִשָּׁה</w:t>
      </w:r>
      <w:r w:rsidRPr="00133297">
        <w:rPr>
          <w:rFonts w:eastAsia="Times New Roman" w:cs="Times New Roman"/>
          <w:rtl/>
          <w:lang w:eastAsia="de-DE"/>
        </w:rPr>
        <w:t xml:space="preserve"> </w:t>
      </w:r>
      <w:r w:rsidRPr="00133297">
        <w:rPr>
          <w:rFonts w:eastAsia="Times New Roman" w:cs="Times New Roman"/>
          <w:lang w:eastAsia="de-DE"/>
        </w:rPr>
        <w:t xml:space="preserve">(Konjunktion mit </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und </w:t>
      </w:r>
      <w:r w:rsidRPr="00133297">
        <w:rPr>
          <w:rFonts w:eastAsia="Times New Roman" w:cs="Times New Roman"/>
          <w:b/>
          <w:bCs/>
          <w:rtl/>
          <w:lang w:eastAsia="de-DE"/>
        </w:rPr>
        <w:t>אִשָּׁה</w:t>
      </w:r>
      <w:r w:rsidRPr="00133297">
        <w:rPr>
          <w:rFonts w:eastAsia="Times New Roman" w:cs="Times New Roman"/>
          <w:rtl/>
          <w:lang w:eastAsia="de-DE"/>
        </w:rPr>
        <w:t xml:space="preserve"> </w:t>
      </w:r>
      <w:r w:rsidRPr="00133297">
        <w:rPr>
          <w:rFonts w:eastAsia="Times New Roman" w:cs="Times New Roman"/>
          <w:lang w:eastAsia="de-DE"/>
        </w:rPr>
        <w:t xml:space="preserve">„Frau" „und jede Frau"), </w:t>
      </w:r>
      <w:r w:rsidRPr="00133297">
        <w:rPr>
          <w:rFonts w:eastAsia="Times New Roman" w:cs="Times New Roman"/>
          <w:b/>
          <w:bCs/>
          <w:rtl/>
          <w:lang w:eastAsia="de-DE"/>
        </w:rPr>
        <w:t>יֹדַעַת אִישׁ</w:t>
      </w:r>
      <w:r w:rsidRPr="00133297">
        <w:rPr>
          <w:rFonts w:eastAsia="Times New Roman" w:cs="Times New Roman"/>
          <w:rtl/>
          <w:lang w:eastAsia="de-DE"/>
        </w:rPr>
        <w:t xml:space="preserve"> </w:t>
      </w:r>
      <w:r w:rsidRPr="00133297">
        <w:rPr>
          <w:rFonts w:eastAsia="Times New Roman" w:cs="Times New Roman"/>
          <w:lang w:eastAsia="de-DE"/>
        </w:rPr>
        <w:t xml:space="preserve">(Qal-Partizip feminin Singular von </w:t>
      </w:r>
      <w:r w:rsidRPr="00133297">
        <w:rPr>
          <w:rFonts w:eastAsia="Times New Roman" w:cs="Times New Roman"/>
          <w:b/>
          <w:bCs/>
          <w:rtl/>
          <w:lang w:eastAsia="de-DE"/>
        </w:rPr>
        <w:t>ידע</w:t>
      </w:r>
      <w:r w:rsidRPr="00133297">
        <w:rPr>
          <w:rFonts w:eastAsia="Times New Roman" w:cs="Times New Roman"/>
          <w:rtl/>
          <w:lang w:eastAsia="de-DE"/>
        </w:rPr>
        <w:t xml:space="preserve"> </w:t>
      </w:r>
      <w:r w:rsidRPr="00133297">
        <w:rPr>
          <w:rFonts w:eastAsia="Times New Roman" w:cs="Times New Roman"/>
          <w:lang w:eastAsia="de-DE"/>
        </w:rPr>
        <w:t xml:space="preserve">„kennen, erkennen" mit </w:t>
      </w:r>
      <w:r w:rsidRPr="00133297">
        <w:rPr>
          <w:rFonts w:eastAsia="Times New Roman" w:cs="Times New Roman"/>
          <w:b/>
          <w:bCs/>
          <w:rtl/>
          <w:lang w:eastAsia="de-DE"/>
        </w:rPr>
        <w:t>אִישׁ</w:t>
      </w:r>
      <w:r w:rsidRPr="00133297">
        <w:rPr>
          <w:rFonts w:eastAsia="Times New Roman" w:cs="Times New Roman"/>
          <w:rtl/>
          <w:lang w:eastAsia="de-DE"/>
        </w:rPr>
        <w:t xml:space="preserve"> </w:t>
      </w:r>
      <w:r w:rsidRPr="00133297">
        <w:rPr>
          <w:rFonts w:eastAsia="Times New Roman" w:cs="Times New Roman"/>
          <w:lang w:eastAsia="de-DE"/>
        </w:rPr>
        <w:t xml:space="preserve">„Mann" „die einen Mann kennt/erkannt hat"), </w:t>
      </w:r>
      <w:r w:rsidRPr="00133297">
        <w:rPr>
          <w:rFonts w:eastAsia="Times New Roman" w:cs="Times New Roman"/>
          <w:b/>
          <w:bCs/>
          <w:rtl/>
          <w:lang w:eastAsia="de-DE"/>
        </w:rPr>
        <w:t>לְמִשְׁכַּב זָכָר</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מִשְׁכָּב</w:t>
      </w:r>
      <w:r w:rsidRPr="00133297">
        <w:rPr>
          <w:rFonts w:eastAsia="Times New Roman" w:cs="Times New Roman"/>
          <w:rtl/>
          <w:lang w:eastAsia="de-DE"/>
        </w:rPr>
        <w:t xml:space="preserve"> </w:t>
      </w:r>
      <w:r w:rsidRPr="00133297">
        <w:rPr>
          <w:rFonts w:eastAsia="Times New Roman" w:cs="Times New Roman"/>
          <w:lang w:eastAsia="de-DE"/>
        </w:rPr>
        <w:t xml:space="preserve">„Beischlaf, Lager" im </w:t>
      </w:r>
      <w:r w:rsidR="00E031B3">
        <w:rPr>
          <w:rFonts w:eastAsia="Times New Roman" w:cs="Times New Roman"/>
          <w:lang w:eastAsia="de-DE"/>
        </w:rPr>
        <w:t>Constructus und</w:t>
      </w:r>
      <w:r w:rsidRPr="00133297">
        <w:rPr>
          <w:rFonts w:eastAsia="Times New Roman" w:cs="Times New Roman"/>
          <w:lang w:eastAsia="de-DE"/>
        </w:rPr>
        <w:t xml:space="preserve"> </w:t>
      </w:r>
      <w:r w:rsidRPr="00133297">
        <w:rPr>
          <w:rFonts w:eastAsia="Times New Roman" w:cs="Times New Roman"/>
          <w:b/>
          <w:bCs/>
          <w:rtl/>
          <w:lang w:eastAsia="de-DE"/>
        </w:rPr>
        <w:t>זָכָר</w:t>
      </w:r>
      <w:r w:rsidRPr="00133297">
        <w:rPr>
          <w:rFonts w:eastAsia="Times New Roman" w:cs="Times New Roman"/>
          <w:rtl/>
          <w:lang w:eastAsia="de-DE"/>
        </w:rPr>
        <w:t xml:space="preserve"> </w:t>
      </w:r>
      <w:r w:rsidRPr="00133297">
        <w:rPr>
          <w:rFonts w:eastAsia="Times New Roman" w:cs="Times New Roman"/>
          <w:lang w:eastAsia="de-DE"/>
        </w:rPr>
        <w:t xml:space="preserve">„männlich, Mann" „bezüglich des Beischlafes eines Mannes"). Die Formulierung </w:t>
      </w:r>
      <w:r w:rsidRPr="00133297">
        <w:rPr>
          <w:rFonts w:eastAsia="Times New Roman" w:cs="Times New Roman"/>
          <w:b/>
          <w:bCs/>
          <w:rtl/>
          <w:lang w:eastAsia="de-DE"/>
        </w:rPr>
        <w:t>ידע אִישׁ לְמִשְׁכַּב</w:t>
      </w:r>
      <w:r w:rsidRPr="00133297">
        <w:rPr>
          <w:rFonts w:eastAsia="Times New Roman" w:cs="Times New Roman"/>
          <w:rtl/>
          <w:lang w:eastAsia="de-DE"/>
        </w:rPr>
        <w:t xml:space="preserve"> </w:t>
      </w:r>
      <w:r w:rsidRPr="00133297">
        <w:rPr>
          <w:rFonts w:eastAsia="Times New Roman" w:cs="Times New Roman"/>
          <w:lang w:eastAsia="de-DE"/>
        </w:rPr>
        <w:t xml:space="preserve">ist euphemistisch für sexuelle Erfahrung. </w:t>
      </w:r>
      <w:r w:rsidRPr="00133297">
        <w:rPr>
          <w:rFonts w:eastAsia="Times New Roman" w:cs="Times New Roman"/>
          <w:b/>
          <w:bCs/>
          <w:rtl/>
          <w:lang w:eastAsia="de-DE"/>
        </w:rPr>
        <w:t>הֲרֹגוּ</w:t>
      </w:r>
      <w:r w:rsidRPr="00133297">
        <w:rPr>
          <w:rFonts w:eastAsia="Times New Roman" w:cs="Times New Roman"/>
          <w:rtl/>
          <w:lang w:eastAsia="de-DE"/>
        </w:rPr>
        <w:t xml:space="preserve"> </w:t>
      </w:r>
      <w:r w:rsidRPr="00133297">
        <w:rPr>
          <w:rFonts w:eastAsia="Times New Roman" w:cs="Times New Roman"/>
          <w:lang w:eastAsia="de-DE"/>
        </w:rPr>
        <w:t xml:space="preserve">wiederholt den Imperativ von </w:t>
      </w:r>
      <w:r w:rsidRPr="00133297">
        <w:rPr>
          <w:rFonts w:eastAsia="Times New Roman" w:cs="Times New Roman"/>
          <w:b/>
          <w:bCs/>
          <w:rtl/>
          <w:lang w:eastAsia="de-DE"/>
        </w:rPr>
        <w:t>הרג</w:t>
      </w:r>
      <w:r w:rsidRPr="00133297">
        <w:rPr>
          <w:rFonts w:eastAsia="Times New Roman" w:cs="Times New Roman"/>
          <w:lang w:eastAsia="de-DE"/>
        </w:rPr>
        <w:t>.</w:t>
      </w:r>
    </w:p>
    <w:p w14:paraId="7B55BBCC"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zwei koordinierte Imperative mit ihren jeweiligen Objekten.</w:t>
      </w:r>
    </w:p>
    <w:p w14:paraId="23126B23"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enthält Moses harten Befehl: Alle männlichen Kinder und alle nicht-jungfräulichen Frauen sollen getötet werden - die männlichen Kinder als potenzielle zukünftige Feinde, die Frauen als die Verführerinnen von Baal-Peor.</w:t>
      </w:r>
    </w:p>
    <w:p w14:paraId="14A4D218"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31,18</w:t>
      </w:r>
    </w:p>
    <w:p w14:paraId="121C94ED"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וְכֹל֙ הַטַּ֣ף בַּנָּשִׁ֔ים אֲשֶׁ֥ר לֹא־יָדְע֖וּ מִשְׁכַּ֣ב זָכָ֑ר הַחֲי֖וּ לָכֶֽם׃</w:t>
      </w:r>
    </w:p>
    <w:p w14:paraId="6D89F008"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Aber alle Kinder unter den Frauen, die den Beischlaf eines Mannes nicht erkannt haben, lasst für euch am Leben.</w:t>
      </w:r>
    </w:p>
    <w:p w14:paraId="5FCA5BFD"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7FAFF2F3">
          <v:rect id="_x0000_i1963" style="width:0;height:1.5pt" o:hralign="center" o:hrstd="t" o:hr="t" fillcolor="#a0a0a0" stroked="f"/>
        </w:pict>
      </w:r>
    </w:p>
    <w:p w14:paraId="7137E72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gibt die Ausnahme an. </w:t>
      </w:r>
      <w:r w:rsidRPr="00133297">
        <w:rPr>
          <w:rFonts w:eastAsia="Times New Roman" w:cs="Times New Roman"/>
          <w:b/>
          <w:bCs/>
          <w:rtl/>
          <w:lang w:eastAsia="de-DE"/>
        </w:rPr>
        <w:t>וְכֹל הַטַּף בַּנָּשִׁים אֲשֶׁר לֹא־יָדְעוּ מִשְׁכַּב זָכָר</w:t>
      </w:r>
      <w:r w:rsidRPr="00133297">
        <w:rPr>
          <w:rFonts w:eastAsia="Times New Roman" w:cs="Times New Roman"/>
          <w:rtl/>
          <w:lang w:eastAsia="de-DE"/>
        </w:rPr>
        <w:t xml:space="preserve"> </w:t>
      </w:r>
      <w:r w:rsidRPr="00133297">
        <w:rPr>
          <w:rFonts w:eastAsia="Times New Roman" w:cs="Times New Roman"/>
          <w:lang w:eastAsia="de-DE"/>
        </w:rPr>
        <w:t xml:space="preserve">beschreibt die zu verschonenden. </w:t>
      </w:r>
      <w:r w:rsidRPr="00133297">
        <w:rPr>
          <w:rFonts w:eastAsia="Times New Roman" w:cs="Times New Roman"/>
          <w:b/>
          <w:bCs/>
          <w:rtl/>
          <w:lang w:eastAsia="de-DE"/>
        </w:rPr>
        <w:t>וְכֹל הַטַּף בַּנָּשִׁים</w:t>
      </w:r>
      <w:r w:rsidRPr="00133297">
        <w:rPr>
          <w:rFonts w:eastAsia="Times New Roman" w:cs="Times New Roman"/>
          <w:rtl/>
          <w:lang w:eastAsia="de-DE"/>
        </w:rPr>
        <w:t xml:space="preserve"> </w:t>
      </w:r>
      <w:r w:rsidRPr="00133297">
        <w:rPr>
          <w:rFonts w:eastAsia="Times New Roman" w:cs="Times New Roman"/>
          <w:lang w:eastAsia="de-DE"/>
        </w:rPr>
        <w:t xml:space="preserve">(Konjunktion mit </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„alle", </w:t>
      </w:r>
      <w:r w:rsidRPr="00133297">
        <w:rPr>
          <w:rFonts w:eastAsia="Times New Roman" w:cs="Times New Roman"/>
          <w:b/>
          <w:bCs/>
          <w:rtl/>
          <w:lang w:eastAsia="de-DE"/>
        </w:rPr>
        <w:t>טַף</w:t>
      </w:r>
      <w:r w:rsidRPr="00133297">
        <w:rPr>
          <w:rFonts w:eastAsia="Times New Roman" w:cs="Times New Roman"/>
          <w:rtl/>
          <w:lang w:eastAsia="de-DE"/>
        </w:rPr>
        <w:t xml:space="preserve"> </w:t>
      </w:r>
      <w:r w:rsidRPr="00133297">
        <w:rPr>
          <w:rFonts w:eastAsia="Times New Roman" w:cs="Times New Roman"/>
          <w:lang w:eastAsia="de-DE"/>
        </w:rPr>
        <w:t xml:space="preserve">„Kinder" mit Artikel und 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נָשִׁים</w:t>
      </w:r>
      <w:r w:rsidRPr="00133297">
        <w:rPr>
          <w:rFonts w:eastAsia="Times New Roman" w:cs="Times New Roman"/>
          <w:rtl/>
          <w:lang w:eastAsia="de-DE"/>
        </w:rPr>
        <w:t xml:space="preserve"> </w:t>
      </w:r>
      <w:r w:rsidRPr="00133297">
        <w:rPr>
          <w:rFonts w:eastAsia="Times New Roman" w:cs="Times New Roman"/>
          <w:lang w:eastAsia="de-DE"/>
        </w:rPr>
        <w:t xml:space="preserve">„Frauen" „alle Kinder unter den Frauen"), </w:t>
      </w:r>
      <w:r w:rsidRPr="00133297">
        <w:rPr>
          <w:rFonts w:eastAsia="Times New Roman" w:cs="Times New Roman"/>
          <w:b/>
          <w:bCs/>
          <w:rtl/>
          <w:lang w:eastAsia="de-DE"/>
        </w:rPr>
        <w:t>אֲשֶׁר לֹא־יָדְעוּ מִשְׁכַּב זָכָר</w:t>
      </w:r>
      <w:r w:rsidRPr="00133297">
        <w:rPr>
          <w:rFonts w:eastAsia="Times New Roman" w:cs="Times New Roman"/>
          <w:rtl/>
          <w:lang w:eastAsia="de-DE"/>
        </w:rPr>
        <w:t xml:space="preserve"> </w:t>
      </w:r>
      <w:r w:rsidRPr="00133297">
        <w:rPr>
          <w:rFonts w:eastAsia="Times New Roman" w:cs="Times New Roman"/>
          <w:lang w:eastAsia="de-DE"/>
        </w:rPr>
        <w:t xml:space="preserve">(Relativsatz: Relativpronomen mit Negation </w:t>
      </w:r>
      <w:r w:rsidRPr="00133297">
        <w:rPr>
          <w:rFonts w:eastAsia="Times New Roman" w:cs="Times New Roman"/>
          <w:b/>
          <w:bCs/>
          <w:rtl/>
          <w:lang w:eastAsia="de-DE"/>
        </w:rPr>
        <w:t>לֹא</w:t>
      </w:r>
      <w:r w:rsidRPr="00133297">
        <w:rPr>
          <w:rFonts w:eastAsia="Times New Roman" w:cs="Times New Roman"/>
          <w:lang w:eastAsia="de-DE"/>
        </w:rPr>
        <w:t xml:space="preserve">, Qal Perfekt 3. Person Plural von </w:t>
      </w:r>
      <w:r w:rsidRPr="00133297">
        <w:rPr>
          <w:rFonts w:eastAsia="Times New Roman" w:cs="Times New Roman"/>
          <w:b/>
          <w:bCs/>
          <w:rtl/>
          <w:lang w:eastAsia="de-DE"/>
        </w:rPr>
        <w:t>ידע</w:t>
      </w:r>
      <w:r w:rsidRPr="00133297">
        <w:rPr>
          <w:rFonts w:eastAsia="Times New Roman" w:cs="Times New Roman"/>
          <w:rtl/>
          <w:lang w:eastAsia="de-DE"/>
        </w:rPr>
        <w:t xml:space="preserve"> </w:t>
      </w:r>
      <w:r w:rsidRPr="00133297">
        <w:rPr>
          <w:rFonts w:eastAsia="Times New Roman" w:cs="Times New Roman"/>
          <w:lang w:eastAsia="de-DE"/>
        </w:rPr>
        <w:t xml:space="preserve">„kennen" und </w:t>
      </w:r>
      <w:r w:rsidRPr="00133297">
        <w:rPr>
          <w:rFonts w:eastAsia="Times New Roman" w:cs="Times New Roman"/>
          <w:b/>
          <w:bCs/>
          <w:rtl/>
          <w:lang w:eastAsia="de-DE"/>
        </w:rPr>
        <w:t>מִשְׁכַּב זָכָר</w:t>
      </w:r>
      <w:r w:rsidRPr="00133297">
        <w:rPr>
          <w:rFonts w:eastAsia="Times New Roman" w:cs="Times New Roman"/>
          <w:rtl/>
          <w:lang w:eastAsia="de-DE"/>
        </w:rPr>
        <w:t xml:space="preserve"> </w:t>
      </w:r>
      <w:r w:rsidRPr="00133297">
        <w:rPr>
          <w:rFonts w:eastAsia="Times New Roman" w:cs="Times New Roman"/>
          <w:lang w:eastAsia="de-DE"/>
        </w:rPr>
        <w:t>„Beischlaf eines Mannes" „die den Beischlaf eines Mannes nicht erkannt haben"), d.h. Jungfrauen.</w:t>
      </w:r>
    </w:p>
    <w:p w14:paraId="19514809" w14:textId="5A5EB557" w:rsidR="00133297" w:rsidRPr="00133297" w:rsidRDefault="00133297" w:rsidP="00C0709A">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הַחֲיוּ לָכֶם</w:t>
      </w:r>
      <w:r w:rsidRPr="00133297">
        <w:rPr>
          <w:rFonts w:eastAsia="Times New Roman" w:cs="Times New Roman"/>
          <w:rtl/>
          <w:lang w:eastAsia="de-DE"/>
        </w:rPr>
        <w:t xml:space="preserve"> </w:t>
      </w:r>
      <w:r w:rsidRPr="00133297">
        <w:rPr>
          <w:rFonts w:eastAsia="Times New Roman" w:cs="Times New Roman"/>
          <w:lang w:eastAsia="de-DE"/>
        </w:rPr>
        <w:t xml:space="preserve">ist der Befehl. </w:t>
      </w:r>
      <w:r w:rsidRPr="00133297">
        <w:rPr>
          <w:rFonts w:eastAsia="Times New Roman" w:cs="Times New Roman"/>
          <w:b/>
          <w:bCs/>
          <w:rtl/>
          <w:lang w:eastAsia="de-DE"/>
        </w:rPr>
        <w:t>הַחֲיוּ</w:t>
      </w:r>
      <w:r w:rsidRPr="00133297">
        <w:rPr>
          <w:rFonts w:eastAsia="Times New Roman" w:cs="Times New Roman"/>
          <w:rtl/>
          <w:lang w:eastAsia="de-DE"/>
        </w:rPr>
        <w:t xml:space="preserve"> </w:t>
      </w:r>
      <w:r w:rsidRPr="00133297">
        <w:rPr>
          <w:rFonts w:eastAsia="Times New Roman" w:cs="Times New Roman"/>
          <w:lang w:eastAsia="de-DE"/>
        </w:rPr>
        <w:t xml:space="preserve">(Hiphil Imperativ maskulin Plural von </w:t>
      </w:r>
      <w:r w:rsidRPr="00133297">
        <w:rPr>
          <w:rFonts w:eastAsia="Times New Roman" w:cs="Times New Roman"/>
          <w:b/>
          <w:bCs/>
          <w:rtl/>
          <w:lang w:eastAsia="de-DE"/>
        </w:rPr>
        <w:t>חיה</w:t>
      </w:r>
      <w:r w:rsidRPr="00133297">
        <w:rPr>
          <w:rFonts w:eastAsia="Times New Roman" w:cs="Times New Roman"/>
          <w:rtl/>
          <w:lang w:eastAsia="de-DE"/>
        </w:rPr>
        <w:t xml:space="preserve"> </w:t>
      </w:r>
      <w:r w:rsidRPr="00133297">
        <w:rPr>
          <w:rFonts w:eastAsia="Times New Roman" w:cs="Times New Roman"/>
          <w:lang w:eastAsia="de-DE"/>
        </w:rPr>
        <w:t xml:space="preserve">„am Leben lassen, Leben geben"), </w:t>
      </w:r>
      <w:r w:rsidRPr="00133297">
        <w:rPr>
          <w:rFonts w:eastAsia="Times New Roman" w:cs="Times New Roman"/>
          <w:b/>
          <w:bCs/>
          <w:rtl/>
          <w:lang w:eastAsia="de-DE"/>
        </w:rPr>
        <w:t>לָכֶם</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Suffix 2. Person maskulin Plural „für euch"). Die 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kann besitzergreifend verstanden werden: „lasst für euch am Leben", d.h. als Dienerinnen oder künftige Ehefrauen.</w:t>
      </w:r>
    </w:p>
    <w:p w14:paraId="5E45503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lastRenderedPageBreak/>
        <w:t>Die Satzstruktur zeigt ein erweitertes Objekt (alle Kinder unter den Frauen mit Relativsatz) und einen Imperativ mit Dativergänzung.</w:t>
      </w:r>
    </w:p>
    <w:p w14:paraId="24244599" w14:textId="0320026D" w:rsid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erlaubt die Verschonung der jungfräulichen Mädchen, die nicht an der Verführung Israels beteiligt waren - ein harter Text, der die brutale Realität antiker Kriegsführung und die Konsequenzen der midianitischen Verführung Israels reflektiert.</w:t>
      </w:r>
    </w:p>
    <w:p w14:paraId="7E09BCED" w14:textId="5BCC635F" w:rsidR="00863E9D" w:rsidRDefault="00863E9D" w:rsidP="00863E9D">
      <w:pPr>
        <w:pStyle w:val="berschrift4"/>
      </w:pPr>
      <w:r>
        <w:t xml:space="preserve">EXKURS: THEOLOGISCHE REFLEXION ZUR </w:t>
      </w:r>
      <w:r w:rsidRPr="00863E9D">
        <w:rPr>
          <w:i w:val="0"/>
          <w:iCs w:val="0"/>
          <w:rtl/>
        </w:rPr>
        <w:t>חֵרֶם</w:t>
      </w:r>
      <w:r>
        <w:t>-PROBLEMATIK</w:t>
      </w:r>
    </w:p>
    <w:p w14:paraId="1D0C8852" w14:textId="3E02D90E" w:rsidR="00863E9D" w:rsidRDefault="00863E9D" w:rsidP="00863E9D">
      <w:pPr>
        <w:pStyle w:val="berschrift3"/>
      </w:pPr>
      <w:r>
        <w:rPr>
          <w:rStyle w:val="Fett"/>
          <w:b w:val="0"/>
          <w:bCs w:val="0"/>
        </w:rPr>
        <w:t>Das Problem</w:t>
      </w:r>
    </w:p>
    <w:p w14:paraId="04D668F1" w14:textId="77777777" w:rsidR="00863E9D" w:rsidRDefault="00863E9D" w:rsidP="00863E9D">
      <w:pPr>
        <w:pStyle w:val="whitespace-normal"/>
      </w:pPr>
      <w:r>
        <w:t>Numeri 31:17-18 befiehlt die Tötung aller männlichen Kinder und aller nicht-jungfräulichen Frauen. Dies wirft ernste theologische und ethische Fragen auf.</w:t>
      </w:r>
    </w:p>
    <w:p w14:paraId="30848D0A" w14:textId="77777777" w:rsidR="00863E9D" w:rsidRDefault="00863E9D" w:rsidP="00863E9D">
      <w:pPr>
        <w:pStyle w:val="berschrift3"/>
      </w:pPr>
      <w:r>
        <w:rPr>
          <w:rStyle w:val="Fett"/>
          <w:b w:val="0"/>
          <w:bCs w:val="0"/>
        </w:rPr>
        <w:t>Historischer Kontext</w:t>
      </w:r>
    </w:p>
    <w:p w14:paraId="682387E8" w14:textId="77777777" w:rsidR="00863E9D" w:rsidRDefault="00863E9D" w:rsidP="00863E9D">
      <w:pPr>
        <w:pStyle w:val="whitespace-normal"/>
        <w:numPr>
          <w:ilvl w:val="0"/>
          <w:numId w:val="207"/>
        </w:numPr>
      </w:pPr>
      <w:r>
        <w:rPr>
          <w:rStyle w:val="Fett"/>
        </w:rPr>
        <w:t>Vergeltung, nicht Aggression:</w:t>
      </w:r>
      <w:r>
        <w:t xml:space="preserve"> Der Feldzug ist Reaktion auf die systematische Verführung Israels zum Baal-Peor-Kult (Num 25), die 24.000 israelitische Todesopfer forderte.</w:t>
      </w:r>
    </w:p>
    <w:p w14:paraId="3621AFDD" w14:textId="77777777" w:rsidR="00863E9D" w:rsidRDefault="00863E9D" w:rsidP="00863E9D">
      <w:pPr>
        <w:pStyle w:val="whitespace-normal"/>
        <w:numPr>
          <w:ilvl w:val="0"/>
          <w:numId w:val="207"/>
        </w:numPr>
      </w:pPr>
      <w:r>
        <w:rPr>
          <w:rStyle w:val="Fett"/>
        </w:rPr>
        <w:t>V. 16 enthüllt:</w:t>
      </w:r>
      <w:r>
        <w:t xml:space="preserve"> Die midianitischen Frauen handelten auf Bileams Rat, um Israel von JHWH abzubringen.</w:t>
      </w:r>
    </w:p>
    <w:p w14:paraId="4564904B" w14:textId="77777777" w:rsidR="00863E9D" w:rsidRDefault="00863E9D" w:rsidP="00863E9D">
      <w:pPr>
        <w:pStyle w:val="whitespace-normal"/>
        <w:numPr>
          <w:ilvl w:val="0"/>
          <w:numId w:val="207"/>
        </w:numPr>
      </w:pPr>
      <w:r>
        <w:rPr>
          <w:rStyle w:val="Fett"/>
        </w:rPr>
        <w:t>Altorientalischer Kriegskontext:</w:t>
      </w:r>
      <w:r>
        <w:t xml:space="preserve"> Totaler Krieg war im Alten Orient übliche Praxis. Assyrische und babylonische Quellen dokumentieren ähnliche oder härtere Kriegsführung.</w:t>
      </w:r>
    </w:p>
    <w:p w14:paraId="3E007360" w14:textId="77777777" w:rsidR="00863E9D" w:rsidRDefault="00863E9D" w:rsidP="00863E9D">
      <w:pPr>
        <w:pStyle w:val="whitespace-normal"/>
        <w:numPr>
          <w:ilvl w:val="0"/>
          <w:numId w:val="207"/>
        </w:numPr>
      </w:pPr>
      <w:r>
        <w:rPr>
          <w:rStyle w:val="Fett"/>
        </w:rPr>
        <w:t>Heiliger Krieg (</w:t>
      </w:r>
      <w:r>
        <w:rPr>
          <w:rStyle w:val="Fett"/>
          <w:rtl/>
        </w:rPr>
        <w:t>חֵרֶם</w:t>
      </w:r>
      <w:r>
        <w:rPr>
          <w:rStyle w:val="Fett"/>
        </w:rPr>
        <w:t>):</w:t>
      </w:r>
      <w:r>
        <w:t xml:space="preserve"> Israel verstand dies als religiösen Akt zum Schutz der eigenen Heiligkeit, nicht als bloße Machtpolitik.</w:t>
      </w:r>
    </w:p>
    <w:p w14:paraId="3256F375" w14:textId="77777777" w:rsidR="00863E9D" w:rsidRDefault="00863E9D" w:rsidP="00863E9D">
      <w:pPr>
        <w:pStyle w:val="berschrift3"/>
      </w:pPr>
      <w:r>
        <w:rPr>
          <w:rStyle w:val="Fett"/>
          <w:b w:val="0"/>
          <w:bCs w:val="0"/>
        </w:rPr>
        <w:t>Theologische Funktion im AT</w:t>
      </w:r>
    </w:p>
    <w:p w14:paraId="4CC69137" w14:textId="77777777" w:rsidR="00863E9D" w:rsidRDefault="00863E9D" w:rsidP="00863E9D">
      <w:pPr>
        <w:pStyle w:val="whitespace-normal"/>
        <w:numPr>
          <w:ilvl w:val="0"/>
          <w:numId w:val="208"/>
        </w:numPr>
      </w:pPr>
      <w:r>
        <w:rPr>
          <w:rStyle w:val="Fett"/>
        </w:rPr>
        <w:t>Schutz vor Synkretismus:</w:t>
      </w:r>
      <w:r>
        <w:t xml:space="preserve"> Dtn 7:3-4 warnt, dass Mischehen zum Götzendienst führen würden. Der </w:t>
      </w:r>
      <w:r>
        <w:rPr>
          <w:rtl/>
        </w:rPr>
        <w:t>חֵרֶם</w:t>
      </w:r>
      <w:r>
        <w:t xml:space="preserve"> sollte religiöse Vermischung verhindern.</w:t>
      </w:r>
    </w:p>
    <w:p w14:paraId="78BDD048" w14:textId="77777777" w:rsidR="00863E9D" w:rsidRDefault="00863E9D" w:rsidP="00863E9D">
      <w:pPr>
        <w:pStyle w:val="whitespace-normal"/>
        <w:numPr>
          <w:ilvl w:val="0"/>
          <w:numId w:val="208"/>
        </w:numPr>
      </w:pPr>
      <w:r>
        <w:rPr>
          <w:rStyle w:val="Fett"/>
        </w:rPr>
        <w:t>Gericht über extreme Sünde:</w:t>
      </w:r>
      <w:r>
        <w:t xml:space="preserve"> Gen 15:16 zeigt, dass Gott 400 Jahre wartete, bis "die Sünde der Amoriter voll" war. Der </w:t>
      </w:r>
      <w:r>
        <w:rPr>
          <w:rtl/>
        </w:rPr>
        <w:t>חֵרֶם</w:t>
      </w:r>
      <w:r>
        <w:t xml:space="preserve"> richtete sich gegen Kulturen mit Kinderopfern, kultischer Prostitution und systematischer Gewalt.</w:t>
      </w:r>
    </w:p>
    <w:p w14:paraId="24EC4A2D" w14:textId="77777777" w:rsidR="00863E9D" w:rsidRDefault="00863E9D" w:rsidP="00863E9D">
      <w:pPr>
        <w:pStyle w:val="whitespace-normal"/>
        <w:numPr>
          <w:ilvl w:val="0"/>
          <w:numId w:val="208"/>
        </w:numPr>
      </w:pPr>
      <w:r>
        <w:rPr>
          <w:rStyle w:val="Fett"/>
        </w:rPr>
        <w:t>Warnung an Israel:</w:t>
      </w:r>
      <w:r>
        <w:t xml:space="preserve"> Das Prinzip galt auch für Israel selbst - bei Untreue würde das gleiche Gericht folgen (erfüllt 722 und 586 v.Chr.).</w:t>
      </w:r>
    </w:p>
    <w:p w14:paraId="17E6691B" w14:textId="77777777" w:rsidR="00863E9D" w:rsidRDefault="00863E9D" w:rsidP="00863E9D">
      <w:pPr>
        <w:pStyle w:val="berschrift3"/>
      </w:pPr>
      <w:r>
        <w:rPr>
          <w:rStyle w:val="Fett"/>
          <w:b w:val="0"/>
          <w:bCs w:val="0"/>
        </w:rPr>
        <w:t>Neutestamentliche Perspektive</w:t>
      </w:r>
    </w:p>
    <w:p w14:paraId="7D5AF298" w14:textId="77777777" w:rsidR="00863E9D" w:rsidRDefault="00863E9D" w:rsidP="00863E9D">
      <w:pPr>
        <w:pStyle w:val="whitespace-normal"/>
        <w:numPr>
          <w:ilvl w:val="0"/>
          <w:numId w:val="209"/>
        </w:numPr>
      </w:pPr>
      <w:r>
        <w:rPr>
          <w:rStyle w:val="Fett"/>
        </w:rPr>
        <w:t xml:space="preserve">Christus als Ende des </w:t>
      </w:r>
      <w:r>
        <w:rPr>
          <w:rStyle w:val="Fett"/>
          <w:rtl/>
        </w:rPr>
        <w:t>חֵרֶם</w:t>
      </w:r>
      <w:r>
        <w:rPr>
          <w:rStyle w:val="Fett"/>
        </w:rPr>
        <w:t>:</w:t>
      </w:r>
      <w:r>
        <w:t xml:space="preserve"> Gal 3:13 - Christus wurde zum Fluch, damit der Bann endet. Röm 8:1 - keine Verdammnis mehr für die in Christus sind.</w:t>
      </w:r>
    </w:p>
    <w:p w14:paraId="25199D7E" w14:textId="77777777" w:rsidR="00863E9D" w:rsidRDefault="00863E9D" w:rsidP="00863E9D">
      <w:pPr>
        <w:pStyle w:val="whitespace-normal"/>
        <w:numPr>
          <w:ilvl w:val="0"/>
          <w:numId w:val="209"/>
        </w:numPr>
      </w:pPr>
      <w:r>
        <w:rPr>
          <w:rStyle w:val="Fett"/>
        </w:rPr>
        <w:t>Spiritualisierung des Kampfes:</w:t>
      </w:r>
      <w:r>
        <w:t xml:space="preserve"> Eph 6:12 - "Wir kämpfen nicht gegen Fleisch und Blut, sondern gegen geistliche Mächte." Der Kampf richtet sich nun gegen Sünde, falsche Gedanken und dämonische Mächte, nicht gegen Menschen.</w:t>
      </w:r>
    </w:p>
    <w:p w14:paraId="62BBB061" w14:textId="77777777" w:rsidR="00863E9D" w:rsidRDefault="00863E9D" w:rsidP="00863E9D">
      <w:pPr>
        <w:pStyle w:val="whitespace-normal"/>
        <w:numPr>
          <w:ilvl w:val="0"/>
          <w:numId w:val="209"/>
        </w:numPr>
      </w:pPr>
      <w:r>
        <w:rPr>
          <w:rStyle w:val="Fett"/>
        </w:rPr>
        <w:t>Feindesliebe statt Vernichtung:</w:t>
      </w:r>
      <w:r>
        <w:t xml:space="preserve"> Mt 5:44 - "Liebt eure Feinde." Röm 12:19-21 - "Rächt euch nicht selbst... überwinde das Böse mit Gutem." Das NT kehrt die AT-Kriegsethik grundlegend um.</w:t>
      </w:r>
    </w:p>
    <w:p w14:paraId="556A6FA0" w14:textId="77777777" w:rsidR="00863E9D" w:rsidRDefault="00863E9D" w:rsidP="00863E9D">
      <w:pPr>
        <w:pStyle w:val="berschrift3"/>
      </w:pPr>
      <w:r>
        <w:rPr>
          <w:rStyle w:val="Fett"/>
          <w:b w:val="0"/>
          <w:bCs w:val="0"/>
        </w:rPr>
        <w:lastRenderedPageBreak/>
        <w:t>Hermeneutische Prinzipien</w:t>
      </w:r>
    </w:p>
    <w:p w14:paraId="6F4926A9" w14:textId="77777777" w:rsidR="00863E9D" w:rsidRDefault="00863E9D" w:rsidP="00863E9D">
      <w:pPr>
        <w:pStyle w:val="whitespace-normal"/>
        <w:numPr>
          <w:ilvl w:val="0"/>
          <w:numId w:val="210"/>
        </w:numPr>
      </w:pPr>
      <w:r>
        <w:rPr>
          <w:rStyle w:val="Fett"/>
        </w:rPr>
        <w:t>Progressive Offenbarung:</w:t>
      </w:r>
      <w:r>
        <w:t xml:space="preserve"> Hebr 1:1-2 zeigt, dass Gottes Offenbarung in Christus ihren Höhepunkt findet. Das AT ist Vorbereitung, Christus ist Erfüllung. Wo AT und NT kollidieren, hat Christus das letzte Wort.</w:t>
      </w:r>
    </w:p>
    <w:p w14:paraId="645D23EB" w14:textId="77777777" w:rsidR="00863E9D" w:rsidRDefault="00863E9D" w:rsidP="00863E9D">
      <w:pPr>
        <w:pStyle w:val="whitespace-normal"/>
        <w:numPr>
          <w:ilvl w:val="0"/>
          <w:numId w:val="210"/>
        </w:numPr>
      </w:pPr>
      <w:r>
        <w:rPr>
          <w:rStyle w:val="Fett"/>
        </w:rPr>
        <w:t>Deskriptiv vs. präskriptiv:</w:t>
      </w:r>
      <w:r>
        <w:t xml:space="preserve"> Der Text beschreibt, was Gott damals in einem spezifischen Kontext befahl. Dies ist keine Legitimation für heutige Gewalt, religiöse Kriege oder Kreuzzüge.</w:t>
      </w:r>
    </w:p>
    <w:p w14:paraId="6437D865" w14:textId="77777777" w:rsidR="00863E9D" w:rsidRDefault="00863E9D" w:rsidP="00863E9D">
      <w:pPr>
        <w:pStyle w:val="whitespace-normal"/>
        <w:numPr>
          <w:ilvl w:val="0"/>
          <w:numId w:val="210"/>
        </w:numPr>
      </w:pPr>
      <w:r>
        <w:rPr>
          <w:rStyle w:val="Fett"/>
        </w:rPr>
        <w:t>Kanonischer Bogen:</w:t>
      </w:r>
      <w:r>
        <w:t xml:space="preserve"> Von Gen 12 (Segen für alle Völker) über Jes 2:2-4 (Völkerwallfahrt) bis Mt 28:19 (alle Völker zu Jüngern machen) und Offb 7:9 (Menschen aus allen Nationen) zeigt sich: Gottes Ziel ist Rettung, nicht Vernichtung. Der </w:t>
      </w:r>
      <w:r>
        <w:rPr>
          <w:rtl/>
        </w:rPr>
        <w:t>חֵרֶם</w:t>
      </w:r>
      <w:r>
        <w:t xml:space="preserve"> war Zwischenphase, nicht Endziel.</w:t>
      </w:r>
    </w:p>
    <w:p w14:paraId="4D75755B" w14:textId="77777777" w:rsidR="00863E9D" w:rsidRDefault="00863E9D" w:rsidP="00863E9D">
      <w:pPr>
        <w:pStyle w:val="berschrift3"/>
      </w:pPr>
      <w:r>
        <w:rPr>
          <w:rStyle w:val="Fett"/>
          <w:b w:val="0"/>
          <w:bCs w:val="0"/>
        </w:rPr>
        <w:t>Praktische Konsequenzen</w:t>
      </w:r>
    </w:p>
    <w:p w14:paraId="2E23F5A8" w14:textId="77777777" w:rsidR="00863E9D" w:rsidRDefault="00863E9D" w:rsidP="00863E9D">
      <w:pPr>
        <w:pStyle w:val="whitespace-normal"/>
        <w:numPr>
          <w:ilvl w:val="0"/>
          <w:numId w:val="211"/>
        </w:numPr>
      </w:pPr>
      <w:r>
        <w:rPr>
          <w:rStyle w:val="Fett"/>
        </w:rPr>
        <w:t>Für die Auslegung:</w:t>
      </w:r>
      <w:r>
        <w:t xml:space="preserve"> Num 31 historisch und theologisch kontextualisieren. Nicht als Vorbild für christliche Ethik verwenden. Typologisch auf geistlichen Kampf und Endgericht deuten.</w:t>
      </w:r>
    </w:p>
    <w:p w14:paraId="34940074" w14:textId="77777777" w:rsidR="00863E9D" w:rsidRDefault="00863E9D" w:rsidP="00863E9D">
      <w:pPr>
        <w:pStyle w:val="whitespace-normal"/>
        <w:numPr>
          <w:ilvl w:val="0"/>
          <w:numId w:val="211"/>
        </w:numPr>
      </w:pPr>
      <w:r>
        <w:rPr>
          <w:rStyle w:val="Fett"/>
        </w:rPr>
        <w:t>Für die Ethik:</w:t>
      </w:r>
      <w:r>
        <w:t xml:space="preserve"> Der </w:t>
      </w:r>
      <w:r>
        <w:rPr>
          <w:rtl/>
        </w:rPr>
        <w:t>חֵרֶם</w:t>
      </w:r>
      <w:r>
        <w:t xml:space="preserve"> legitimiert keine moderne religiöse Gewalt, keine "heiligen Kriege", keine ethnischen Säuberungen. Christliche Ethik orientiert sich an der Bergpredigt, Feindesliebe und Gewaltlosigkeit.</w:t>
      </w:r>
    </w:p>
    <w:p w14:paraId="2CE2347D" w14:textId="77777777" w:rsidR="00863E9D" w:rsidRDefault="00863E9D" w:rsidP="00863E9D">
      <w:pPr>
        <w:pStyle w:val="whitespace-normal"/>
        <w:numPr>
          <w:ilvl w:val="0"/>
          <w:numId w:val="211"/>
        </w:numPr>
      </w:pPr>
      <w:r>
        <w:rPr>
          <w:rStyle w:val="Fett"/>
        </w:rPr>
        <w:t>Für die Verkündigung:</w:t>
      </w:r>
      <w:r>
        <w:t xml:space="preserve"> Die Hauptbotschaften von Num 31 sind Gottes Schutz (null Gefallene), Dankbarkeit (freiwilliges Opfer), Gerechtigkeit (faire Verteilung) und Heiligkeit (Reinigung). Diese Themen predigen, nicht die Gewalt.</w:t>
      </w:r>
    </w:p>
    <w:p w14:paraId="7D046AC9" w14:textId="77777777" w:rsidR="00863E9D" w:rsidRDefault="00863E9D" w:rsidP="00863E9D">
      <w:pPr>
        <w:pStyle w:val="berschrift3"/>
      </w:pPr>
      <w:r>
        <w:rPr>
          <w:rStyle w:val="Fett"/>
          <w:b w:val="0"/>
          <w:bCs w:val="0"/>
        </w:rPr>
        <w:t>Fazit</w:t>
      </w:r>
    </w:p>
    <w:p w14:paraId="3D1F4D18" w14:textId="587766B8" w:rsidR="00863E9D" w:rsidRPr="00863E9D" w:rsidRDefault="00863E9D" w:rsidP="00863E9D">
      <w:pPr>
        <w:pStyle w:val="whitespace-normal"/>
      </w:pPr>
      <w:r>
        <w:t>Num 31 bleibt ein schwieriger Text, der uns historisch und theologisch herausfordert. Verantwortliche Auslegung erkennt den Kontext an, versteht die theologische Funktion, wendet aber konsequent die christologische Brille an: In Christus ist der Bann aufgehoben, der Kampf spiritualisiert, und Feindesliebe das neue Gebot. Historischer Kontext erklärt den Text, aber Christus transformiert seine Anwendung.</w:t>
      </w:r>
    </w:p>
    <w:p w14:paraId="0A4FC42E"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31,19</w:t>
      </w:r>
    </w:p>
    <w:p w14:paraId="3125DE3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וְאַתֶּ֗ם חֲנ֛וּ מִח֥וּץ לַֽמַּחֲנֶ֖ה שִׁבְעַ֣ת יָמִ֑ים כֹּל֩ הֹרֵ֨ג נֶ֜פֶשׁ וְכֹ֣ל׀ נֹגֵ֣עַ בֶּֽחָלָ֗ל תִּֽתְחַטְּא֞וּ בַּיּ֤וֹם הַשְּׁלִישִׁי֙ וּבַיּ֣וֹם הַשְּׁבִיעִ֔י אַתֶּ֖ם וּשְׁבִיכֶֽם׃</w:t>
      </w:r>
    </w:p>
    <w:p w14:paraId="14CBDFF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Ihr aber lagert euch außerhalb des Lagers sieben Tage; jeder, der einen Menschen getötet, und jeder, der einen Erschlagenen berührt hat, ihr sollt euch entsündigen am dritten Tag und am siebten Tag, ihr und eure Gefangenen.</w:t>
      </w:r>
    </w:p>
    <w:p w14:paraId="6C5AFE35"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77604785">
          <v:rect id="_x0000_i1964" style="width:0;height:1.5pt" o:hralign="center" o:hrstd="t" o:hr="t" fillcolor="#a0a0a0" stroked="f"/>
        </w:pict>
      </w:r>
    </w:p>
    <w:p w14:paraId="79D73967" w14:textId="0378D835"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ordnet die rituelle Reinigung an. </w:t>
      </w:r>
      <w:r w:rsidRPr="00133297">
        <w:rPr>
          <w:rFonts w:eastAsia="Times New Roman" w:cs="Times New Roman"/>
          <w:b/>
          <w:bCs/>
          <w:rtl/>
          <w:lang w:eastAsia="de-DE"/>
        </w:rPr>
        <w:t>וְאַתֶּם חֲנוּ מִחוּץ לַמַּחֲנֶה שִׁבְעַת יָמִים</w:t>
      </w:r>
      <w:r w:rsidRPr="00133297">
        <w:rPr>
          <w:rFonts w:eastAsia="Times New Roman" w:cs="Times New Roman"/>
          <w:rtl/>
          <w:lang w:eastAsia="de-DE"/>
        </w:rPr>
        <w:t xml:space="preserve"> </w:t>
      </w:r>
      <w:r w:rsidRPr="00133297">
        <w:rPr>
          <w:rFonts w:eastAsia="Times New Roman" w:cs="Times New Roman"/>
          <w:lang w:eastAsia="de-DE"/>
        </w:rPr>
        <w:t xml:space="preserve">ist der erste Befehl. </w:t>
      </w:r>
      <w:r w:rsidRPr="00133297">
        <w:rPr>
          <w:rFonts w:eastAsia="Times New Roman" w:cs="Times New Roman"/>
          <w:b/>
          <w:bCs/>
          <w:rtl/>
          <w:lang w:eastAsia="de-DE"/>
        </w:rPr>
        <w:t>וְאַתֶּם</w:t>
      </w:r>
      <w:r w:rsidRPr="00133297">
        <w:rPr>
          <w:rFonts w:eastAsia="Times New Roman" w:cs="Times New Roman"/>
          <w:rtl/>
          <w:lang w:eastAsia="de-DE"/>
        </w:rPr>
        <w:t xml:space="preserve"> </w:t>
      </w:r>
      <w:r w:rsidRPr="00133297">
        <w:rPr>
          <w:rFonts w:eastAsia="Times New Roman" w:cs="Times New Roman"/>
          <w:lang w:eastAsia="de-DE"/>
        </w:rPr>
        <w:t xml:space="preserve">(Konjunktion mit Personalpronomen 2. Person maskulin Plural „und ihr"), </w:t>
      </w:r>
      <w:r w:rsidRPr="00133297">
        <w:rPr>
          <w:rFonts w:eastAsia="Times New Roman" w:cs="Times New Roman"/>
          <w:b/>
          <w:bCs/>
          <w:rtl/>
          <w:lang w:eastAsia="de-DE"/>
        </w:rPr>
        <w:t>חֲנוּ</w:t>
      </w:r>
      <w:r w:rsidRPr="00133297">
        <w:rPr>
          <w:rFonts w:eastAsia="Times New Roman" w:cs="Times New Roman"/>
          <w:rtl/>
          <w:lang w:eastAsia="de-DE"/>
        </w:rPr>
        <w:t xml:space="preserve"> </w:t>
      </w:r>
      <w:r w:rsidRPr="00133297">
        <w:rPr>
          <w:rFonts w:eastAsia="Times New Roman" w:cs="Times New Roman"/>
          <w:lang w:eastAsia="de-DE"/>
        </w:rPr>
        <w:t xml:space="preserve">(Qal Imperativ maskulin Plural von </w:t>
      </w:r>
      <w:r w:rsidRPr="00133297">
        <w:rPr>
          <w:rFonts w:eastAsia="Times New Roman" w:cs="Times New Roman"/>
          <w:b/>
          <w:bCs/>
          <w:rtl/>
          <w:lang w:eastAsia="de-DE"/>
        </w:rPr>
        <w:t>חנה</w:t>
      </w:r>
      <w:r w:rsidRPr="00133297">
        <w:rPr>
          <w:rFonts w:eastAsia="Times New Roman" w:cs="Times New Roman"/>
          <w:rtl/>
          <w:lang w:eastAsia="de-DE"/>
        </w:rPr>
        <w:t xml:space="preserve"> </w:t>
      </w:r>
      <w:r w:rsidRPr="00133297">
        <w:rPr>
          <w:rFonts w:eastAsia="Times New Roman" w:cs="Times New Roman"/>
          <w:lang w:eastAsia="de-DE"/>
        </w:rPr>
        <w:t xml:space="preserve">„lagern, sich lagern"), </w:t>
      </w:r>
      <w:r w:rsidRPr="00133297">
        <w:rPr>
          <w:rFonts w:eastAsia="Times New Roman" w:cs="Times New Roman"/>
          <w:b/>
          <w:bCs/>
          <w:rtl/>
          <w:lang w:eastAsia="de-DE"/>
        </w:rPr>
        <w:t>מִחוּץ לַמַּחֲנֶה</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מִן</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חוּץ</w:t>
      </w:r>
      <w:r w:rsidRPr="00133297">
        <w:rPr>
          <w:rFonts w:eastAsia="Times New Roman" w:cs="Times New Roman"/>
          <w:rtl/>
          <w:lang w:eastAsia="de-DE"/>
        </w:rPr>
        <w:t xml:space="preserve"> </w:t>
      </w:r>
      <w:r w:rsidRPr="00133297">
        <w:rPr>
          <w:rFonts w:eastAsia="Times New Roman" w:cs="Times New Roman"/>
          <w:lang w:eastAsia="de-DE"/>
        </w:rPr>
        <w:t xml:space="preserve">„Außenseite" und 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מַחֲנֶה</w:t>
      </w:r>
      <w:r w:rsidRPr="00133297">
        <w:rPr>
          <w:rFonts w:eastAsia="Times New Roman" w:cs="Times New Roman"/>
          <w:rtl/>
          <w:lang w:eastAsia="de-DE"/>
        </w:rPr>
        <w:t xml:space="preserve"> </w:t>
      </w:r>
      <w:r w:rsidRPr="00133297">
        <w:rPr>
          <w:rFonts w:eastAsia="Times New Roman" w:cs="Times New Roman"/>
          <w:lang w:eastAsia="de-DE"/>
        </w:rPr>
        <w:t xml:space="preserve">„Lager" mit Artikel </w:t>
      </w:r>
      <w:r w:rsidRPr="00133297">
        <w:rPr>
          <w:rFonts w:eastAsia="Times New Roman" w:cs="Times New Roman"/>
          <w:lang w:eastAsia="de-DE"/>
        </w:rPr>
        <w:lastRenderedPageBreak/>
        <w:t xml:space="preserve">„außerhalb des Lagers"), </w:t>
      </w:r>
      <w:r w:rsidRPr="00133297">
        <w:rPr>
          <w:rFonts w:eastAsia="Times New Roman" w:cs="Times New Roman"/>
          <w:b/>
          <w:bCs/>
          <w:rtl/>
          <w:lang w:eastAsia="de-DE"/>
        </w:rPr>
        <w:t>שִׁבְעַת יָמִים</w:t>
      </w:r>
      <w:r w:rsidRPr="00133297">
        <w:rPr>
          <w:rFonts w:eastAsia="Times New Roman" w:cs="Times New Roman"/>
          <w:rtl/>
          <w:lang w:eastAsia="de-DE"/>
        </w:rPr>
        <w:t xml:space="preserve"> </w:t>
      </w:r>
      <w:r w:rsidRPr="00133297">
        <w:rPr>
          <w:rFonts w:eastAsia="Times New Roman" w:cs="Times New Roman"/>
          <w:lang w:eastAsia="de-DE"/>
        </w:rPr>
        <w:t>(</w:t>
      </w:r>
      <w:r w:rsidR="00B513FF">
        <w:rPr>
          <w:rFonts w:eastAsia="Times New Roman" w:cs="Times New Roman"/>
          <w:lang w:eastAsia="de-DE"/>
        </w:rPr>
        <w:t xml:space="preserve">Constructus </w:t>
      </w:r>
      <w:r w:rsidRPr="00133297">
        <w:rPr>
          <w:rFonts w:eastAsia="Times New Roman" w:cs="Times New Roman"/>
          <w:lang w:eastAsia="de-DE"/>
        </w:rPr>
        <w:t xml:space="preserve"> der Kardinalzahl „sieben" mit Plural </w:t>
      </w:r>
      <w:r w:rsidRPr="00133297">
        <w:rPr>
          <w:rFonts w:eastAsia="Times New Roman" w:cs="Times New Roman"/>
          <w:b/>
          <w:bCs/>
          <w:rtl/>
          <w:lang w:eastAsia="de-DE"/>
        </w:rPr>
        <w:t>יוֹם</w:t>
      </w:r>
      <w:r w:rsidRPr="00133297">
        <w:rPr>
          <w:rFonts w:eastAsia="Times New Roman" w:cs="Times New Roman"/>
          <w:rtl/>
          <w:lang w:eastAsia="de-DE"/>
        </w:rPr>
        <w:t xml:space="preserve"> </w:t>
      </w:r>
      <w:r w:rsidRPr="00133297">
        <w:rPr>
          <w:rFonts w:eastAsia="Times New Roman" w:cs="Times New Roman"/>
          <w:lang w:eastAsia="de-DE"/>
        </w:rPr>
        <w:t>„Tage" „sieben Tage"). Die siebentägige Quarantäne außerhalb des Lagers ist wegen der Leichenunreinheit erforderlich (vgl. Num 19,11-22).</w:t>
      </w:r>
    </w:p>
    <w:p w14:paraId="50C211E3"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כֹּל הֹרֵג נֶפֶשׁ וְכֹל נֹגֵעַ בֶּחָלָל</w:t>
      </w:r>
      <w:r w:rsidRPr="00133297">
        <w:rPr>
          <w:rFonts w:eastAsia="Times New Roman" w:cs="Times New Roman"/>
          <w:rtl/>
          <w:lang w:eastAsia="de-DE"/>
        </w:rPr>
        <w:t xml:space="preserve"> </w:t>
      </w:r>
      <w:r w:rsidRPr="00133297">
        <w:rPr>
          <w:rFonts w:eastAsia="Times New Roman" w:cs="Times New Roman"/>
          <w:lang w:eastAsia="de-DE"/>
        </w:rPr>
        <w:t xml:space="preserve">spezifiziert die Betroffenen. </w:t>
      </w:r>
      <w:r w:rsidRPr="00133297">
        <w:rPr>
          <w:rFonts w:eastAsia="Times New Roman" w:cs="Times New Roman"/>
          <w:b/>
          <w:bCs/>
          <w:rtl/>
          <w:lang w:eastAsia="de-DE"/>
        </w:rPr>
        <w:t>כֹּל הֹרֵג נֶפֶשׁ</w:t>
      </w:r>
      <w:r w:rsidRPr="00133297">
        <w:rPr>
          <w:rFonts w:eastAsia="Times New Roman" w:cs="Times New Roman"/>
          <w:rtl/>
          <w:lang w:eastAsia="de-DE"/>
        </w:rPr>
        <w:t xml:space="preserve"> </w:t>
      </w:r>
      <w:r w:rsidRPr="00133297">
        <w:rPr>
          <w:rFonts w:eastAsia="Times New Roman" w:cs="Times New Roman"/>
          <w:lang w:eastAsia="de-DE"/>
        </w:rPr>
        <w:t>(</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„jeder" mit Qal-Partizip maskulin Singular von </w:t>
      </w:r>
      <w:r w:rsidRPr="00133297">
        <w:rPr>
          <w:rFonts w:eastAsia="Times New Roman" w:cs="Times New Roman"/>
          <w:b/>
          <w:bCs/>
          <w:rtl/>
          <w:lang w:eastAsia="de-DE"/>
        </w:rPr>
        <w:t>הרג</w:t>
      </w:r>
      <w:r w:rsidRPr="00133297">
        <w:rPr>
          <w:rFonts w:eastAsia="Times New Roman" w:cs="Times New Roman"/>
          <w:rtl/>
          <w:lang w:eastAsia="de-DE"/>
        </w:rPr>
        <w:t xml:space="preserve"> </w:t>
      </w:r>
      <w:r w:rsidRPr="00133297">
        <w:rPr>
          <w:rFonts w:eastAsia="Times New Roman" w:cs="Times New Roman"/>
          <w:lang w:eastAsia="de-DE"/>
        </w:rPr>
        <w:t xml:space="preserve">„töten" und </w:t>
      </w:r>
      <w:r w:rsidRPr="00133297">
        <w:rPr>
          <w:rFonts w:eastAsia="Times New Roman" w:cs="Times New Roman"/>
          <w:b/>
          <w:bCs/>
          <w:rtl/>
          <w:lang w:eastAsia="de-DE"/>
        </w:rPr>
        <w:t>נֶפֶשׁ</w:t>
      </w:r>
      <w:r w:rsidRPr="00133297">
        <w:rPr>
          <w:rFonts w:eastAsia="Times New Roman" w:cs="Times New Roman"/>
          <w:rtl/>
          <w:lang w:eastAsia="de-DE"/>
        </w:rPr>
        <w:t xml:space="preserve"> </w:t>
      </w:r>
      <w:r w:rsidRPr="00133297">
        <w:rPr>
          <w:rFonts w:eastAsia="Times New Roman" w:cs="Times New Roman"/>
          <w:lang w:eastAsia="de-DE"/>
        </w:rPr>
        <w:t xml:space="preserve">„Person, Seele" „jeder, der eine Person getötet hat"), </w:t>
      </w:r>
      <w:r w:rsidRPr="00133297">
        <w:rPr>
          <w:rFonts w:eastAsia="Times New Roman" w:cs="Times New Roman"/>
          <w:b/>
          <w:bCs/>
          <w:rtl/>
          <w:lang w:eastAsia="de-DE"/>
        </w:rPr>
        <w:t>וְכֹל נֹגֵעַ בֶּחָלָל</w:t>
      </w:r>
      <w:r w:rsidRPr="00133297">
        <w:rPr>
          <w:rFonts w:eastAsia="Times New Roman" w:cs="Times New Roman"/>
          <w:rtl/>
          <w:lang w:eastAsia="de-DE"/>
        </w:rPr>
        <w:t xml:space="preserve"> </w:t>
      </w:r>
      <w:r w:rsidRPr="00133297">
        <w:rPr>
          <w:rFonts w:eastAsia="Times New Roman" w:cs="Times New Roman"/>
          <w:lang w:eastAsia="de-DE"/>
        </w:rPr>
        <w:t xml:space="preserve">(Konjunktion mit </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und Qal-Partizip von </w:t>
      </w:r>
      <w:r w:rsidRPr="00133297">
        <w:rPr>
          <w:rFonts w:eastAsia="Times New Roman" w:cs="Times New Roman"/>
          <w:b/>
          <w:bCs/>
          <w:rtl/>
          <w:lang w:eastAsia="de-DE"/>
        </w:rPr>
        <w:t>נגע</w:t>
      </w:r>
      <w:r w:rsidRPr="00133297">
        <w:rPr>
          <w:rFonts w:eastAsia="Times New Roman" w:cs="Times New Roman"/>
          <w:rtl/>
          <w:lang w:eastAsia="de-DE"/>
        </w:rPr>
        <w:t xml:space="preserve"> </w:t>
      </w:r>
      <w:r w:rsidRPr="00133297">
        <w:rPr>
          <w:rFonts w:eastAsia="Times New Roman" w:cs="Times New Roman"/>
          <w:lang w:eastAsia="de-DE"/>
        </w:rPr>
        <w:t xml:space="preserve">„berühren" und 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חָלָל</w:t>
      </w:r>
      <w:r w:rsidRPr="00133297">
        <w:rPr>
          <w:rFonts w:eastAsia="Times New Roman" w:cs="Times New Roman"/>
          <w:rtl/>
          <w:lang w:eastAsia="de-DE"/>
        </w:rPr>
        <w:t xml:space="preserve"> </w:t>
      </w:r>
      <w:r w:rsidRPr="00133297">
        <w:rPr>
          <w:rFonts w:eastAsia="Times New Roman" w:cs="Times New Roman"/>
          <w:lang w:eastAsia="de-DE"/>
        </w:rPr>
        <w:t>„Erschlagener, Gefallener" „und jeder, der einen Erschlagenen berührt hat"). Beide Gruppen sind unrein geworden.</w:t>
      </w:r>
    </w:p>
    <w:p w14:paraId="502D27EB" w14:textId="7E5FAB42" w:rsidR="00133297" w:rsidRPr="00133297" w:rsidRDefault="00133297" w:rsidP="00C0709A">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תִּתְחַטְּאוּ בַּיּוֹם הַשְּׁלִישִׁי וּבַיּוֹם הַשְּׁבִיעִי אַתֶּם וּשְׁבִיכֶם</w:t>
      </w:r>
      <w:r w:rsidRPr="00133297">
        <w:rPr>
          <w:rFonts w:eastAsia="Times New Roman" w:cs="Times New Roman"/>
          <w:rtl/>
          <w:lang w:eastAsia="de-DE"/>
        </w:rPr>
        <w:t xml:space="preserve"> </w:t>
      </w:r>
      <w:r w:rsidRPr="00133297">
        <w:rPr>
          <w:rFonts w:eastAsia="Times New Roman" w:cs="Times New Roman"/>
          <w:lang w:eastAsia="de-DE"/>
        </w:rPr>
        <w:t xml:space="preserve">ist die Anweisung zur Reinigung. </w:t>
      </w:r>
      <w:r w:rsidRPr="00133297">
        <w:rPr>
          <w:rFonts w:eastAsia="Times New Roman" w:cs="Times New Roman"/>
          <w:b/>
          <w:bCs/>
          <w:rtl/>
          <w:lang w:eastAsia="de-DE"/>
        </w:rPr>
        <w:t>תִּתְחַטְּאוּ</w:t>
      </w:r>
      <w:r w:rsidRPr="00133297">
        <w:rPr>
          <w:rFonts w:eastAsia="Times New Roman" w:cs="Times New Roman"/>
          <w:rtl/>
          <w:lang w:eastAsia="de-DE"/>
        </w:rPr>
        <w:t xml:space="preserve"> </w:t>
      </w:r>
      <w:r w:rsidRPr="00133297">
        <w:rPr>
          <w:rFonts w:eastAsia="Times New Roman" w:cs="Times New Roman"/>
          <w:lang w:eastAsia="de-DE"/>
        </w:rPr>
        <w:t xml:space="preserve">(Hithpael Imperfekt 2. Person maskulin Plural von </w:t>
      </w:r>
      <w:r w:rsidRPr="00133297">
        <w:rPr>
          <w:rFonts w:eastAsia="Times New Roman" w:cs="Times New Roman"/>
          <w:b/>
          <w:bCs/>
          <w:rtl/>
          <w:lang w:eastAsia="de-DE"/>
        </w:rPr>
        <w:t>חטא</w:t>
      </w:r>
      <w:r w:rsidRPr="00133297">
        <w:rPr>
          <w:rFonts w:eastAsia="Times New Roman" w:cs="Times New Roman"/>
          <w:rtl/>
          <w:lang w:eastAsia="de-DE"/>
        </w:rPr>
        <w:t xml:space="preserve"> </w:t>
      </w:r>
      <w:r w:rsidRPr="00133297">
        <w:rPr>
          <w:rFonts w:eastAsia="Times New Roman" w:cs="Times New Roman"/>
          <w:lang w:eastAsia="de-DE"/>
        </w:rPr>
        <w:t xml:space="preserve">„entsündigen, sich reinigen"), </w:t>
      </w:r>
      <w:r w:rsidRPr="00133297">
        <w:rPr>
          <w:rFonts w:eastAsia="Times New Roman" w:cs="Times New Roman"/>
          <w:b/>
          <w:bCs/>
          <w:rtl/>
          <w:lang w:eastAsia="de-DE"/>
        </w:rPr>
        <w:t>בַּיּוֹם הַשְּׁלִישִׁי וּבַיּוֹם הַשְּׁבִיעִי</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יוֹם</w:t>
      </w:r>
      <w:r w:rsidRPr="00133297">
        <w:rPr>
          <w:rFonts w:eastAsia="Times New Roman" w:cs="Times New Roman"/>
          <w:rtl/>
          <w:lang w:eastAsia="de-DE"/>
        </w:rPr>
        <w:t xml:space="preserve"> </w:t>
      </w:r>
      <w:r w:rsidRPr="00133297">
        <w:rPr>
          <w:rFonts w:eastAsia="Times New Roman" w:cs="Times New Roman"/>
          <w:lang w:eastAsia="de-DE"/>
        </w:rPr>
        <w:t xml:space="preserve">„Tag" und Ordinalzahlen mit Artikel „am dritten Tag und am siebten Tag"), entspricht dem Reinigungsritual von Num 19,12.19. </w:t>
      </w:r>
      <w:r w:rsidRPr="00133297">
        <w:rPr>
          <w:rFonts w:eastAsia="Times New Roman" w:cs="Times New Roman"/>
          <w:b/>
          <w:bCs/>
          <w:rtl/>
          <w:lang w:eastAsia="de-DE"/>
        </w:rPr>
        <w:t>אַתֶּם וּשְׁבִיכֶם</w:t>
      </w:r>
      <w:r w:rsidRPr="00133297">
        <w:rPr>
          <w:rFonts w:eastAsia="Times New Roman" w:cs="Times New Roman"/>
          <w:rtl/>
          <w:lang w:eastAsia="de-DE"/>
        </w:rPr>
        <w:t xml:space="preserve"> </w:t>
      </w:r>
      <w:r w:rsidRPr="00133297">
        <w:rPr>
          <w:rFonts w:eastAsia="Times New Roman" w:cs="Times New Roman"/>
          <w:lang w:eastAsia="de-DE"/>
        </w:rPr>
        <w:t xml:space="preserve">(Personalpronomen „ihr" und Konjunktion mit </w:t>
      </w:r>
      <w:r w:rsidRPr="00133297">
        <w:rPr>
          <w:rFonts w:eastAsia="Times New Roman" w:cs="Times New Roman"/>
          <w:b/>
          <w:bCs/>
          <w:rtl/>
          <w:lang w:eastAsia="de-DE"/>
        </w:rPr>
        <w:t>שְׁבִי</w:t>
      </w:r>
      <w:r w:rsidRPr="00133297">
        <w:rPr>
          <w:rFonts w:eastAsia="Times New Roman" w:cs="Times New Roman"/>
          <w:rtl/>
          <w:lang w:eastAsia="de-DE"/>
        </w:rPr>
        <w:t xml:space="preserve"> </w:t>
      </w:r>
      <w:r w:rsidRPr="00133297">
        <w:rPr>
          <w:rFonts w:eastAsia="Times New Roman" w:cs="Times New Roman"/>
          <w:lang w:eastAsia="de-DE"/>
        </w:rPr>
        <w:t>„Gefangene" und Suffix 2. Person maskulin Plural „und eure Gefangenen") - auch die Gefangenen müssen gereinigt werden.</w:t>
      </w:r>
    </w:p>
    <w:p w14:paraId="6F6141E7"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einen Imperativ mit Ortsangabe und Zeitdauer, gefolgt von zwei partizipialen Subjektbeschreibungen und einem Hithpael-Imperfekt mit temporalen Bestimmungen.</w:t>
      </w:r>
    </w:p>
    <w:p w14:paraId="012A2B77"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zeigt die Verbindung von Kriegsführung und ritueller Reinheit: Wer im Kampf getötet oder Tote berührt hat, ist unrein und muss sich einer siebentägigen Reinigungszeremonie unterziehen - ein Prinzip, das die Heiligkeit der Gemeinde auch im Krieg bewahrt.</w:t>
      </w:r>
    </w:p>
    <w:p w14:paraId="49D2211D"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31,20</w:t>
      </w:r>
    </w:p>
    <w:p w14:paraId="1D4D27C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וְכָל־בֶּ֧גֶד וְכָל־כְּלִי־ע֛וֹר וְכָל־מַעֲשֵׂ֥ה עִזִּ֖ים וְכָל־כְּלִי־עֵ֑ץ תִּתְחַטָּֽאוּ׃</w:t>
      </w:r>
    </w:p>
    <w:p w14:paraId="33FD0013"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alle Kleider und alle Geräte von Leder und alle Arbeit von Ziegenhaar und alle Geräte von Holz sollt ihr entsündigen.</w:t>
      </w:r>
    </w:p>
    <w:p w14:paraId="0BF8A482"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43A4B805">
          <v:rect id="_x0000_i1965" style="width:0;height:1.5pt" o:hralign="center" o:hrstd="t" o:hr="t" fillcolor="#a0a0a0" stroked="f"/>
        </w:pict>
      </w:r>
    </w:p>
    <w:p w14:paraId="5CCBCD44" w14:textId="737FABFA"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erweitert die Reinigungspflicht auf Gegenstände. </w:t>
      </w:r>
      <w:r w:rsidRPr="00133297">
        <w:rPr>
          <w:rFonts w:eastAsia="Times New Roman" w:cs="Times New Roman"/>
          <w:b/>
          <w:bCs/>
          <w:rtl/>
          <w:lang w:eastAsia="de-DE"/>
        </w:rPr>
        <w:t>וְכָל־בֶּגֶד וְכָל־כְּלִי־עוֹר וְכָל־מַעֲשֵׂה עִזִּים וְכָל־כְּלִי־עֵץ</w:t>
      </w:r>
      <w:r w:rsidRPr="00133297">
        <w:rPr>
          <w:rFonts w:eastAsia="Times New Roman" w:cs="Times New Roman"/>
          <w:rtl/>
          <w:lang w:eastAsia="de-DE"/>
        </w:rPr>
        <w:t xml:space="preserve"> </w:t>
      </w:r>
      <w:r w:rsidRPr="00133297">
        <w:rPr>
          <w:rFonts w:eastAsia="Times New Roman" w:cs="Times New Roman"/>
          <w:lang w:eastAsia="de-DE"/>
        </w:rPr>
        <w:t xml:space="preserve">ist die vierfache Aufzählung. </w:t>
      </w:r>
      <w:r w:rsidRPr="00133297">
        <w:rPr>
          <w:rFonts w:eastAsia="Times New Roman" w:cs="Times New Roman"/>
          <w:b/>
          <w:bCs/>
          <w:rtl/>
          <w:lang w:eastAsia="de-DE"/>
        </w:rPr>
        <w:t>כָל־בֶּגֶד</w:t>
      </w:r>
      <w:r w:rsidRPr="00133297">
        <w:rPr>
          <w:rFonts w:eastAsia="Times New Roman" w:cs="Times New Roman"/>
          <w:rtl/>
          <w:lang w:eastAsia="de-DE"/>
        </w:rPr>
        <w:t xml:space="preserve"> </w:t>
      </w:r>
      <w:r w:rsidRPr="00133297">
        <w:rPr>
          <w:rFonts w:eastAsia="Times New Roman" w:cs="Times New Roman"/>
          <w:lang w:eastAsia="de-DE"/>
        </w:rPr>
        <w:t xml:space="preserve">(Konjunktion mit </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und </w:t>
      </w:r>
      <w:r w:rsidRPr="00133297">
        <w:rPr>
          <w:rFonts w:eastAsia="Times New Roman" w:cs="Times New Roman"/>
          <w:b/>
          <w:bCs/>
          <w:rtl/>
          <w:lang w:eastAsia="de-DE"/>
        </w:rPr>
        <w:t>בֶּגֶד</w:t>
      </w:r>
      <w:r w:rsidRPr="00133297">
        <w:rPr>
          <w:rFonts w:eastAsia="Times New Roman" w:cs="Times New Roman"/>
          <w:rtl/>
          <w:lang w:eastAsia="de-DE"/>
        </w:rPr>
        <w:t xml:space="preserve"> </w:t>
      </w:r>
      <w:r w:rsidRPr="00133297">
        <w:rPr>
          <w:rFonts w:eastAsia="Times New Roman" w:cs="Times New Roman"/>
          <w:lang w:eastAsia="de-DE"/>
        </w:rPr>
        <w:t xml:space="preserve">„Kleid, Gewand" „alle Kleider"), </w:t>
      </w:r>
      <w:r w:rsidRPr="00133297">
        <w:rPr>
          <w:rFonts w:eastAsia="Times New Roman" w:cs="Times New Roman"/>
          <w:b/>
          <w:bCs/>
          <w:rtl/>
          <w:lang w:eastAsia="de-DE"/>
        </w:rPr>
        <w:t>כָל־כְּלִי־עוֹר</w:t>
      </w:r>
      <w:r w:rsidRPr="00133297">
        <w:rPr>
          <w:rFonts w:eastAsia="Times New Roman" w:cs="Times New Roman"/>
          <w:rtl/>
          <w:lang w:eastAsia="de-DE"/>
        </w:rPr>
        <w:t xml:space="preserve"> </w:t>
      </w:r>
      <w:r w:rsidRPr="00133297">
        <w:rPr>
          <w:rFonts w:eastAsia="Times New Roman" w:cs="Times New Roman"/>
          <w:lang w:eastAsia="de-DE"/>
        </w:rPr>
        <w:t>(</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כְּלִי</w:t>
      </w:r>
      <w:r w:rsidRPr="00133297">
        <w:rPr>
          <w:rFonts w:eastAsia="Times New Roman" w:cs="Times New Roman"/>
          <w:rtl/>
          <w:lang w:eastAsia="de-DE"/>
        </w:rPr>
        <w:t xml:space="preserve"> </w:t>
      </w:r>
      <w:r w:rsidRPr="00133297">
        <w:rPr>
          <w:rFonts w:eastAsia="Times New Roman" w:cs="Times New Roman"/>
          <w:lang w:eastAsia="de-DE"/>
        </w:rPr>
        <w:t xml:space="preserve">„Gerät, Gefäß" im </w:t>
      </w:r>
      <w:r w:rsidR="00E031B3">
        <w:rPr>
          <w:rFonts w:eastAsia="Times New Roman" w:cs="Times New Roman"/>
          <w:lang w:eastAsia="de-DE"/>
        </w:rPr>
        <w:t>Constructus und</w:t>
      </w:r>
      <w:r w:rsidRPr="00133297">
        <w:rPr>
          <w:rFonts w:eastAsia="Times New Roman" w:cs="Times New Roman"/>
          <w:lang w:eastAsia="de-DE"/>
        </w:rPr>
        <w:t xml:space="preserve"> </w:t>
      </w:r>
      <w:r w:rsidRPr="00133297">
        <w:rPr>
          <w:rFonts w:eastAsia="Times New Roman" w:cs="Times New Roman"/>
          <w:b/>
          <w:bCs/>
          <w:rtl/>
          <w:lang w:eastAsia="de-DE"/>
        </w:rPr>
        <w:t>עוֹר</w:t>
      </w:r>
      <w:r w:rsidRPr="00133297">
        <w:rPr>
          <w:rFonts w:eastAsia="Times New Roman" w:cs="Times New Roman"/>
          <w:rtl/>
          <w:lang w:eastAsia="de-DE"/>
        </w:rPr>
        <w:t xml:space="preserve"> </w:t>
      </w:r>
      <w:r w:rsidRPr="00133297">
        <w:rPr>
          <w:rFonts w:eastAsia="Times New Roman" w:cs="Times New Roman"/>
          <w:lang w:eastAsia="de-DE"/>
        </w:rPr>
        <w:t xml:space="preserve">„Leder, Haut" „alle Geräte von Leder"), </w:t>
      </w:r>
      <w:r w:rsidRPr="00133297">
        <w:rPr>
          <w:rFonts w:eastAsia="Times New Roman" w:cs="Times New Roman"/>
          <w:b/>
          <w:bCs/>
          <w:rtl/>
          <w:lang w:eastAsia="de-DE"/>
        </w:rPr>
        <w:t>כָל־מַעֲשֵׂה עִזִּים</w:t>
      </w:r>
      <w:r w:rsidRPr="00133297">
        <w:rPr>
          <w:rFonts w:eastAsia="Times New Roman" w:cs="Times New Roman"/>
          <w:rtl/>
          <w:lang w:eastAsia="de-DE"/>
        </w:rPr>
        <w:t xml:space="preserve"> </w:t>
      </w:r>
      <w:r w:rsidRPr="00133297">
        <w:rPr>
          <w:rFonts w:eastAsia="Times New Roman" w:cs="Times New Roman"/>
          <w:lang w:eastAsia="de-DE"/>
        </w:rPr>
        <w:t>(</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מַעֲשֶׂה</w:t>
      </w:r>
      <w:r w:rsidRPr="00133297">
        <w:rPr>
          <w:rFonts w:eastAsia="Times New Roman" w:cs="Times New Roman"/>
          <w:rtl/>
          <w:lang w:eastAsia="de-DE"/>
        </w:rPr>
        <w:t xml:space="preserve"> </w:t>
      </w:r>
      <w:r w:rsidRPr="00133297">
        <w:rPr>
          <w:rFonts w:eastAsia="Times New Roman" w:cs="Times New Roman"/>
          <w:lang w:eastAsia="de-DE"/>
        </w:rPr>
        <w:t xml:space="preserve">„Arbeit, Werk" im </w:t>
      </w:r>
      <w:r w:rsidR="00E031B3">
        <w:rPr>
          <w:rFonts w:eastAsia="Times New Roman" w:cs="Times New Roman"/>
          <w:lang w:eastAsia="de-DE"/>
        </w:rPr>
        <w:t>Constructus und</w:t>
      </w:r>
      <w:r w:rsidRPr="00133297">
        <w:rPr>
          <w:rFonts w:eastAsia="Times New Roman" w:cs="Times New Roman"/>
          <w:lang w:eastAsia="de-DE"/>
        </w:rPr>
        <w:t xml:space="preserve"> Plural </w:t>
      </w:r>
      <w:r w:rsidRPr="00133297">
        <w:rPr>
          <w:rFonts w:eastAsia="Times New Roman" w:cs="Times New Roman"/>
          <w:b/>
          <w:bCs/>
          <w:rtl/>
          <w:lang w:eastAsia="de-DE"/>
        </w:rPr>
        <w:t>עֵז</w:t>
      </w:r>
      <w:r w:rsidRPr="00133297">
        <w:rPr>
          <w:rFonts w:eastAsia="Times New Roman" w:cs="Times New Roman"/>
          <w:rtl/>
          <w:lang w:eastAsia="de-DE"/>
        </w:rPr>
        <w:t xml:space="preserve"> </w:t>
      </w:r>
      <w:r w:rsidRPr="00133297">
        <w:rPr>
          <w:rFonts w:eastAsia="Times New Roman" w:cs="Times New Roman"/>
          <w:lang w:eastAsia="de-DE"/>
        </w:rPr>
        <w:t xml:space="preserve">„Ziege" „alle Arbeit von Ziegenhaar", d.h. Ziegenhaarstoffe), </w:t>
      </w:r>
      <w:r w:rsidRPr="00133297">
        <w:rPr>
          <w:rFonts w:eastAsia="Times New Roman" w:cs="Times New Roman"/>
          <w:b/>
          <w:bCs/>
          <w:rtl/>
          <w:lang w:eastAsia="de-DE"/>
        </w:rPr>
        <w:t>כָל־כְּלִי־עֵץ</w:t>
      </w:r>
      <w:r w:rsidRPr="00133297">
        <w:rPr>
          <w:rFonts w:eastAsia="Times New Roman" w:cs="Times New Roman"/>
          <w:rtl/>
          <w:lang w:eastAsia="de-DE"/>
        </w:rPr>
        <w:t xml:space="preserve"> </w:t>
      </w:r>
      <w:r w:rsidRPr="00133297">
        <w:rPr>
          <w:rFonts w:eastAsia="Times New Roman" w:cs="Times New Roman"/>
          <w:lang w:eastAsia="de-DE"/>
        </w:rPr>
        <w:t>(</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כְּלִי</w:t>
      </w:r>
      <w:r w:rsidRPr="00133297">
        <w:rPr>
          <w:rFonts w:eastAsia="Times New Roman" w:cs="Times New Roman"/>
          <w:rtl/>
          <w:lang w:eastAsia="de-DE"/>
        </w:rPr>
        <w:t xml:space="preserve"> </w:t>
      </w:r>
      <w:r w:rsidRPr="00133297">
        <w:rPr>
          <w:rFonts w:eastAsia="Times New Roman" w:cs="Times New Roman"/>
          <w:lang w:eastAsia="de-DE"/>
        </w:rPr>
        <w:t xml:space="preserve">im </w:t>
      </w:r>
      <w:r w:rsidR="00B513FF">
        <w:rPr>
          <w:rFonts w:eastAsia="Times New Roman" w:cs="Times New Roman"/>
          <w:lang w:eastAsia="de-DE"/>
        </w:rPr>
        <w:t xml:space="preserve">Constructus </w:t>
      </w:r>
      <w:r w:rsidRPr="00133297">
        <w:rPr>
          <w:rFonts w:eastAsia="Times New Roman" w:cs="Times New Roman"/>
          <w:lang w:eastAsia="de-DE"/>
        </w:rPr>
        <w:t xml:space="preserve">und </w:t>
      </w:r>
      <w:r w:rsidRPr="00133297">
        <w:rPr>
          <w:rFonts w:eastAsia="Times New Roman" w:cs="Times New Roman"/>
          <w:b/>
          <w:bCs/>
          <w:rtl/>
          <w:lang w:eastAsia="de-DE"/>
        </w:rPr>
        <w:t>עֵץ</w:t>
      </w:r>
      <w:r w:rsidRPr="00133297">
        <w:rPr>
          <w:rFonts w:eastAsia="Times New Roman" w:cs="Times New Roman"/>
          <w:rtl/>
          <w:lang w:eastAsia="de-DE"/>
        </w:rPr>
        <w:t xml:space="preserve"> </w:t>
      </w:r>
      <w:r w:rsidRPr="00133297">
        <w:rPr>
          <w:rFonts w:eastAsia="Times New Roman" w:cs="Times New Roman"/>
          <w:lang w:eastAsia="de-DE"/>
        </w:rPr>
        <w:t xml:space="preserve">„Holz, Baum" „alle Geräte von Holz"). Die vierfache </w:t>
      </w:r>
      <w:r w:rsidRPr="00133297">
        <w:rPr>
          <w:rFonts w:eastAsia="Times New Roman" w:cs="Times New Roman"/>
          <w:b/>
          <w:bCs/>
          <w:rtl/>
          <w:lang w:eastAsia="de-DE"/>
        </w:rPr>
        <w:t>כָל</w:t>
      </w:r>
      <w:r w:rsidRPr="00133297">
        <w:rPr>
          <w:rFonts w:eastAsia="Times New Roman" w:cs="Times New Roman"/>
          <w:lang w:eastAsia="de-DE"/>
        </w:rPr>
        <w:t>-Wiederholung betont die Vollständigkeit.</w:t>
      </w:r>
    </w:p>
    <w:p w14:paraId="25A3A2CA" w14:textId="4701DCCE" w:rsidR="00133297" w:rsidRPr="00133297" w:rsidRDefault="00133297" w:rsidP="00460FCC">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תִּתְחַטָּאוּ</w:t>
      </w:r>
      <w:r w:rsidRPr="00133297">
        <w:rPr>
          <w:rFonts w:eastAsia="Times New Roman" w:cs="Times New Roman"/>
          <w:rtl/>
          <w:lang w:eastAsia="de-DE"/>
        </w:rPr>
        <w:t xml:space="preserve"> </w:t>
      </w:r>
      <w:r w:rsidRPr="00133297">
        <w:rPr>
          <w:rFonts w:eastAsia="Times New Roman" w:cs="Times New Roman"/>
          <w:lang w:eastAsia="de-DE"/>
        </w:rPr>
        <w:t xml:space="preserve">wiederholt das Hithpael Imperfekt von </w:t>
      </w:r>
      <w:r w:rsidRPr="00133297">
        <w:rPr>
          <w:rFonts w:eastAsia="Times New Roman" w:cs="Times New Roman"/>
          <w:b/>
          <w:bCs/>
          <w:rtl/>
          <w:lang w:eastAsia="de-DE"/>
        </w:rPr>
        <w:t>חטא</w:t>
      </w:r>
      <w:r w:rsidRPr="00133297">
        <w:rPr>
          <w:rFonts w:eastAsia="Times New Roman" w:cs="Times New Roman"/>
          <w:rtl/>
          <w:lang w:eastAsia="de-DE"/>
        </w:rPr>
        <w:t xml:space="preserve"> </w:t>
      </w:r>
      <w:r w:rsidRPr="00133297">
        <w:rPr>
          <w:rFonts w:eastAsia="Times New Roman" w:cs="Times New Roman"/>
          <w:lang w:eastAsia="de-DE"/>
        </w:rPr>
        <w:t>aus V. 19. Alle diese Gegenstände, die mit den Toten in Berührung kamen oder von den Midianitern stammen, müssen gereinigt werden.</w:t>
      </w:r>
    </w:p>
    <w:p w14:paraId="11A8D5B5"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 xml:space="preserve">Die Satzstruktur zeigt vier koordinierte Objekte (alle mit </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beginnend), gefolgt von einem Hithpael-Imperfekt.</w:t>
      </w:r>
    </w:p>
    <w:p w14:paraId="151B4EA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lastRenderedPageBreak/>
        <w:t>Der Vers zeigt die umfassende Natur der Reinigungspflicht: Nicht nur Menschen, sondern auch alle Textilien, Leder-, Ziegenhaar- und Holzgegenstände müssen gereinigt werden - ein Prinzip, das die Ausbreitung ritueller Unreinheit verhindert.</w:t>
      </w:r>
    </w:p>
    <w:p w14:paraId="53A63F74"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31,21</w:t>
      </w:r>
    </w:p>
    <w:p w14:paraId="2BDD219B"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וַיֹּ֨אמֶר אֶלְעָזָ֤ר הַכֹּהֵן֙ אֶל־אַנְשֵׁ֣י הַצָּבָ֔א הַבָּאִ֖ים לַמִּלְחָמָ֑ה זֹ֚את חֻקַּ֣ת הַתּוֹרָ֔ה אֲשֶׁר־צִוָּ֥ה יְהוָ֖ה אֶת־מֹשֶֽׁה׃</w:t>
      </w:r>
    </w:p>
    <w:p w14:paraId="5D5EF054"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El'asar, der Priester, sprach zu den Männern des Heeres, die in den Kampf gezogen waren: „Dies ist die Satzung der Torah, die der Ewige Mosche geboten hat:</w:t>
      </w:r>
    </w:p>
    <w:p w14:paraId="1E36A920"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213477A7">
          <v:rect id="_x0000_i1966" style="width:0;height:1.5pt" o:hralign="center" o:hrstd="t" o:hr="t" fillcolor="#a0a0a0" stroked="f"/>
        </w:pict>
      </w:r>
    </w:p>
    <w:p w14:paraId="3202E59A" w14:textId="2FF07BA6"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zeigt Eleasars Unterweisung. </w:t>
      </w:r>
      <w:r w:rsidRPr="00133297">
        <w:rPr>
          <w:rFonts w:eastAsia="Times New Roman" w:cs="Times New Roman"/>
          <w:b/>
          <w:bCs/>
          <w:rtl/>
          <w:lang w:eastAsia="de-DE"/>
        </w:rPr>
        <w:t>וַיֹּאמֶר אֶלְעָזָר הַכֹּהֵן אֶל־אַנְשֵׁי הַצָּבָא הַבָּאִים לַמִּלְחָמָה</w:t>
      </w:r>
      <w:r w:rsidRPr="00133297">
        <w:rPr>
          <w:rFonts w:eastAsia="Times New Roman" w:cs="Times New Roman"/>
          <w:rtl/>
          <w:lang w:eastAsia="de-DE"/>
        </w:rPr>
        <w:t xml:space="preserve"> </w:t>
      </w:r>
      <w:r w:rsidRPr="00133297">
        <w:rPr>
          <w:rFonts w:eastAsia="Times New Roman" w:cs="Times New Roman"/>
          <w:lang w:eastAsia="de-DE"/>
        </w:rPr>
        <w:t xml:space="preserve">ist die Redeeinleitung. </w:t>
      </w:r>
      <w:r w:rsidRPr="00133297">
        <w:rPr>
          <w:rFonts w:eastAsia="Times New Roman" w:cs="Times New Roman"/>
          <w:b/>
          <w:bCs/>
          <w:rtl/>
          <w:lang w:eastAsia="de-DE"/>
        </w:rPr>
        <w:t>וַיֹּאמֶר</w:t>
      </w:r>
      <w:r w:rsidRPr="00133297">
        <w:rPr>
          <w:rFonts w:eastAsia="Times New Roman" w:cs="Times New Roman"/>
          <w:rtl/>
          <w:lang w:eastAsia="de-DE"/>
        </w:rPr>
        <w:t xml:space="preserve"> </w:t>
      </w:r>
      <w:r w:rsidRPr="00133297">
        <w:rPr>
          <w:rFonts w:eastAsia="Times New Roman" w:cs="Times New Roman"/>
          <w:lang w:eastAsia="de-DE"/>
        </w:rPr>
        <w:t xml:space="preserve">(Qal Wayyiqtol von </w:t>
      </w:r>
      <w:r w:rsidRPr="00133297">
        <w:rPr>
          <w:rFonts w:eastAsia="Times New Roman" w:cs="Times New Roman"/>
          <w:b/>
          <w:bCs/>
          <w:rtl/>
          <w:lang w:eastAsia="de-DE"/>
        </w:rPr>
        <w:t>אמר</w:t>
      </w:r>
      <w:r w:rsidRPr="00133297">
        <w:rPr>
          <w:rFonts w:eastAsia="Times New Roman" w:cs="Times New Roman"/>
          <w:lang w:eastAsia="de-DE"/>
        </w:rPr>
        <w:t xml:space="preserve">), </w:t>
      </w:r>
      <w:r w:rsidRPr="00133297">
        <w:rPr>
          <w:rFonts w:eastAsia="Times New Roman" w:cs="Times New Roman"/>
          <w:b/>
          <w:bCs/>
          <w:rtl/>
          <w:lang w:eastAsia="de-DE"/>
        </w:rPr>
        <w:t>אֶלְעָזָר הַכֹּהֵן</w:t>
      </w:r>
      <w:r w:rsidRPr="00133297">
        <w:rPr>
          <w:rFonts w:eastAsia="Times New Roman" w:cs="Times New Roman"/>
          <w:rtl/>
          <w:lang w:eastAsia="de-DE"/>
        </w:rPr>
        <w:t xml:space="preserve"> </w:t>
      </w:r>
      <w:r w:rsidRPr="00133297">
        <w:rPr>
          <w:rFonts w:eastAsia="Times New Roman" w:cs="Times New Roman"/>
          <w:lang w:eastAsia="de-DE"/>
        </w:rPr>
        <w:t xml:space="preserve">ist das Subjekt, </w:t>
      </w:r>
      <w:r w:rsidRPr="00133297">
        <w:rPr>
          <w:rFonts w:eastAsia="Times New Roman" w:cs="Times New Roman"/>
          <w:b/>
          <w:bCs/>
          <w:rtl/>
          <w:lang w:eastAsia="de-DE"/>
        </w:rPr>
        <w:t>אֶל־אַנְשֵׁי הַצָּבָא</w:t>
      </w:r>
      <w:r w:rsidRPr="00133297">
        <w:rPr>
          <w:rFonts w:eastAsia="Times New Roman" w:cs="Times New Roman"/>
          <w:rtl/>
          <w:lang w:eastAsia="de-DE"/>
        </w:rPr>
        <w:t xml:space="preserve"> </w:t>
      </w:r>
      <w:r w:rsidRPr="00133297">
        <w:rPr>
          <w:rFonts w:eastAsia="Times New Roman" w:cs="Times New Roman"/>
          <w:lang w:eastAsia="de-DE"/>
        </w:rPr>
        <w:t xml:space="preserve">(Präposition mit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אִישׁ</w:t>
      </w:r>
      <w:r w:rsidRPr="00133297">
        <w:rPr>
          <w:rFonts w:eastAsia="Times New Roman" w:cs="Times New Roman"/>
          <w:rtl/>
          <w:lang w:eastAsia="de-DE"/>
        </w:rPr>
        <w:t xml:space="preserve"> </w:t>
      </w:r>
      <w:r w:rsidRPr="00133297">
        <w:rPr>
          <w:rFonts w:eastAsia="Times New Roman" w:cs="Times New Roman"/>
          <w:lang w:eastAsia="de-DE"/>
        </w:rPr>
        <w:t xml:space="preserve">„Mann" und </w:t>
      </w:r>
      <w:r w:rsidRPr="00133297">
        <w:rPr>
          <w:rFonts w:eastAsia="Times New Roman" w:cs="Times New Roman"/>
          <w:b/>
          <w:bCs/>
          <w:rtl/>
          <w:lang w:eastAsia="de-DE"/>
        </w:rPr>
        <w:t>צָבָא</w:t>
      </w:r>
      <w:r w:rsidRPr="00133297">
        <w:rPr>
          <w:rFonts w:eastAsia="Times New Roman" w:cs="Times New Roman"/>
          <w:rtl/>
          <w:lang w:eastAsia="de-DE"/>
        </w:rPr>
        <w:t xml:space="preserve"> </w:t>
      </w:r>
      <w:r w:rsidRPr="00133297">
        <w:rPr>
          <w:rFonts w:eastAsia="Times New Roman" w:cs="Times New Roman"/>
          <w:lang w:eastAsia="de-DE"/>
        </w:rPr>
        <w:t xml:space="preserve">„Heer" mit Artikel „zu den Männern des Heeres"), </w:t>
      </w:r>
      <w:r w:rsidRPr="00133297">
        <w:rPr>
          <w:rFonts w:eastAsia="Times New Roman" w:cs="Times New Roman"/>
          <w:b/>
          <w:bCs/>
          <w:rtl/>
          <w:lang w:eastAsia="de-DE"/>
        </w:rPr>
        <w:t>הַבָּאִים לַמִּלְחָמָה</w:t>
      </w:r>
      <w:r w:rsidRPr="00133297">
        <w:rPr>
          <w:rFonts w:eastAsia="Times New Roman" w:cs="Times New Roman"/>
          <w:rtl/>
          <w:lang w:eastAsia="de-DE"/>
        </w:rPr>
        <w:t xml:space="preserve"> </w:t>
      </w:r>
      <w:r w:rsidRPr="00133297">
        <w:rPr>
          <w:rFonts w:eastAsia="Times New Roman" w:cs="Times New Roman"/>
          <w:lang w:eastAsia="de-DE"/>
        </w:rPr>
        <w:t xml:space="preserve">(Qal-Partizip Plural von </w:t>
      </w:r>
      <w:r w:rsidRPr="00133297">
        <w:rPr>
          <w:rFonts w:eastAsia="Times New Roman" w:cs="Times New Roman"/>
          <w:b/>
          <w:bCs/>
          <w:rtl/>
          <w:lang w:eastAsia="de-DE"/>
        </w:rPr>
        <w:t>בוא</w:t>
      </w:r>
      <w:r w:rsidRPr="00133297">
        <w:rPr>
          <w:rFonts w:eastAsia="Times New Roman" w:cs="Times New Roman"/>
          <w:rtl/>
          <w:lang w:eastAsia="de-DE"/>
        </w:rPr>
        <w:t xml:space="preserve"> </w:t>
      </w:r>
      <w:r w:rsidRPr="00133297">
        <w:rPr>
          <w:rFonts w:eastAsia="Times New Roman" w:cs="Times New Roman"/>
          <w:lang w:eastAsia="de-DE"/>
        </w:rPr>
        <w:t xml:space="preserve">mit Artikel und 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מִלְחָמָה</w:t>
      </w:r>
      <w:r w:rsidRPr="00133297">
        <w:rPr>
          <w:rFonts w:eastAsia="Times New Roman" w:cs="Times New Roman"/>
          <w:rtl/>
          <w:lang w:eastAsia="de-DE"/>
        </w:rPr>
        <w:t xml:space="preserve"> </w:t>
      </w:r>
      <w:r w:rsidRPr="00133297">
        <w:rPr>
          <w:rFonts w:eastAsia="Times New Roman" w:cs="Times New Roman"/>
          <w:lang w:eastAsia="de-DE"/>
        </w:rPr>
        <w:t>„Krieg" „die in den Kampf gezogen waren"). Eleasar übernimmt die priesterliche Belehrung.</w:t>
      </w:r>
    </w:p>
    <w:p w14:paraId="342F0888" w14:textId="17579E6A"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זֹאת חֻקַּת הַתּוֹרָה אֲשֶׁר־צִוָּה יהוה אֶת־מֹשֶׁה</w:t>
      </w:r>
      <w:r w:rsidRPr="00133297">
        <w:rPr>
          <w:rFonts w:eastAsia="Times New Roman" w:cs="Times New Roman"/>
          <w:rtl/>
          <w:lang w:eastAsia="de-DE"/>
        </w:rPr>
        <w:t xml:space="preserve"> </w:t>
      </w:r>
      <w:r w:rsidRPr="00133297">
        <w:rPr>
          <w:rFonts w:eastAsia="Times New Roman" w:cs="Times New Roman"/>
          <w:lang w:eastAsia="de-DE"/>
        </w:rPr>
        <w:t xml:space="preserve">ist die Einleitung der Belehrung. </w:t>
      </w:r>
      <w:r w:rsidRPr="00133297">
        <w:rPr>
          <w:rFonts w:eastAsia="Times New Roman" w:cs="Times New Roman"/>
          <w:b/>
          <w:bCs/>
          <w:rtl/>
          <w:lang w:eastAsia="de-DE"/>
        </w:rPr>
        <w:t>זֹאת</w:t>
      </w:r>
      <w:r w:rsidRPr="00133297">
        <w:rPr>
          <w:rFonts w:eastAsia="Times New Roman" w:cs="Times New Roman"/>
          <w:rtl/>
          <w:lang w:eastAsia="de-DE"/>
        </w:rPr>
        <w:t xml:space="preserve"> </w:t>
      </w:r>
      <w:r w:rsidRPr="00133297">
        <w:rPr>
          <w:rFonts w:eastAsia="Times New Roman" w:cs="Times New Roman"/>
          <w:lang w:eastAsia="de-DE"/>
        </w:rPr>
        <w:t xml:space="preserve">(Demonstrativpronomen feminin „dies"), </w:t>
      </w:r>
      <w:r w:rsidRPr="00133297">
        <w:rPr>
          <w:rFonts w:eastAsia="Times New Roman" w:cs="Times New Roman"/>
          <w:b/>
          <w:bCs/>
          <w:rtl/>
          <w:lang w:eastAsia="de-DE"/>
        </w:rPr>
        <w:t>חֻקַּת הַתּוֹרָה</w:t>
      </w:r>
      <w:r w:rsidRPr="00133297">
        <w:rPr>
          <w:rFonts w:eastAsia="Times New Roman" w:cs="Times New Roman"/>
          <w:rtl/>
          <w:lang w:eastAsia="de-DE"/>
        </w:rPr>
        <w:t xml:space="preserve"> </w:t>
      </w:r>
      <w:r w:rsidRPr="00133297">
        <w:rPr>
          <w:rFonts w:eastAsia="Times New Roman" w:cs="Times New Roman"/>
          <w:lang w:eastAsia="de-DE"/>
        </w:rPr>
        <w:t>(</w:t>
      </w:r>
      <w:r w:rsidR="00B513FF">
        <w:rPr>
          <w:rFonts w:eastAsia="Times New Roman" w:cs="Times New Roman"/>
          <w:lang w:eastAsia="de-DE"/>
        </w:rPr>
        <w:t xml:space="preserve">Constructus </w:t>
      </w:r>
      <w:r w:rsidRPr="00133297">
        <w:rPr>
          <w:rFonts w:eastAsia="Times New Roman" w:cs="Times New Roman"/>
          <w:lang w:eastAsia="de-DE"/>
        </w:rPr>
        <w:t xml:space="preserve">verbindung: </w:t>
      </w:r>
      <w:r w:rsidRPr="00133297">
        <w:rPr>
          <w:rFonts w:eastAsia="Times New Roman" w:cs="Times New Roman"/>
          <w:b/>
          <w:bCs/>
          <w:rtl/>
          <w:lang w:eastAsia="de-DE"/>
        </w:rPr>
        <w:t>חֻקָּה</w:t>
      </w:r>
      <w:r w:rsidRPr="00133297">
        <w:rPr>
          <w:rFonts w:eastAsia="Times New Roman" w:cs="Times New Roman"/>
          <w:rtl/>
          <w:lang w:eastAsia="de-DE"/>
        </w:rPr>
        <w:t xml:space="preserve"> </w:t>
      </w:r>
      <w:r w:rsidRPr="00133297">
        <w:rPr>
          <w:rFonts w:eastAsia="Times New Roman" w:cs="Times New Roman"/>
          <w:lang w:eastAsia="de-DE"/>
        </w:rPr>
        <w:t xml:space="preserve">„Satzung" mit </w:t>
      </w:r>
      <w:r w:rsidRPr="00133297">
        <w:rPr>
          <w:rFonts w:eastAsia="Times New Roman" w:cs="Times New Roman"/>
          <w:b/>
          <w:bCs/>
          <w:rtl/>
          <w:lang w:eastAsia="de-DE"/>
        </w:rPr>
        <w:t>תּוֹרָה</w:t>
      </w:r>
      <w:r w:rsidRPr="00133297">
        <w:rPr>
          <w:rFonts w:eastAsia="Times New Roman" w:cs="Times New Roman"/>
          <w:rtl/>
          <w:lang w:eastAsia="de-DE"/>
        </w:rPr>
        <w:t xml:space="preserve"> </w:t>
      </w:r>
      <w:r w:rsidRPr="00133297">
        <w:rPr>
          <w:rFonts w:eastAsia="Times New Roman" w:cs="Times New Roman"/>
          <w:lang w:eastAsia="de-DE"/>
        </w:rPr>
        <w:t xml:space="preserve">„Torah, Weisung" mit Artikel „die Satzung der Torah"), </w:t>
      </w:r>
      <w:r w:rsidRPr="00133297">
        <w:rPr>
          <w:rFonts w:eastAsia="Times New Roman" w:cs="Times New Roman"/>
          <w:b/>
          <w:bCs/>
          <w:rtl/>
          <w:lang w:eastAsia="de-DE"/>
        </w:rPr>
        <w:t>אֲשֶׁר־צִוָּה יהוה אֶת־מֹשֶׁה</w:t>
      </w:r>
      <w:r w:rsidRPr="00133297">
        <w:rPr>
          <w:rFonts w:eastAsia="Times New Roman" w:cs="Times New Roman"/>
          <w:rtl/>
          <w:lang w:eastAsia="de-DE"/>
        </w:rPr>
        <w:t xml:space="preserve"> </w:t>
      </w:r>
      <w:r w:rsidRPr="00133297">
        <w:rPr>
          <w:rFonts w:eastAsia="Times New Roman" w:cs="Times New Roman"/>
          <w:lang w:eastAsia="de-DE"/>
        </w:rPr>
        <w:t xml:space="preserve">(Relativsatz mit Piel Perfekt von </w:t>
      </w:r>
      <w:r w:rsidRPr="00133297">
        <w:rPr>
          <w:rFonts w:eastAsia="Times New Roman" w:cs="Times New Roman"/>
          <w:b/>
          <w:bCs/>
          <w:rtl/>
          <w:lang w:eastAsia="de-DE"/>
        </w:rPr>
        <w:t>צוה</w:t>
      </w:r>
      <w:r w:rsidRPr="00133297">
        <w:rPr>
          <w:rFonts w:eastAsia="Times New Roman" w:cs="Times New Roman"/>
          <w:rtl/>
          <w:lang w:eastAsia="de-DE"/>
        </w:rPr>
        <w:t xml:space="preserve"> </w:t>
      </w:r>
      <w:r w:rsidRPr="00133297">
        <w:rPr>
          <w:rFonts w:eastAsia="Times New Roman" w:cs="Times New Roman"/>
          <w:lang w:eastAsia="de-DE"/>
        </w:rPr>
        <w:t xml:space="preserve">„befehlen" „die der Ewige Mose geboten hat"). Die Formulierung </w:t>
      </w:r>
      <w:r w:rsidRPr="00133297">
        <w:rPr>
          <w:rFonts w:eastAsia="Times New Roman" w:cs="Times New Roman"/>
          <w:b/>
          <w:bCs/>
          <w:rtl/>
          <w:lang w:eastAsia="de-DE"/>
        </w:rPr>
        <w:t>חֻקַּת הַתּוֹרָה</w:t>
      </w:r>
      <w:r w:rsidRPr="00133297">
        <w:rPr>
          <w:rFonts w:eastAsia="Times New Roman" w:cs="Times New Roman"/>
          <w:rtl/>
          <w:lang w:eastAsia="de-DE"/>
        </w:rPr>
        <w:t xml:space="preserve"> </w:t>
      </w:r>
      <w:r w:rsidRPr="00133297">
        <w:rPr>
          <w:rFonts w:eastAsia="Times New Roman" w:cs="Times New Roman"/>
          <w:lang w:eastAsia="de-DE"/>
        </w:rPr>
        <w:t>betont die göttliche Autorität der folgenden Anweisungen.</w:t>
      </w:r>
    </w:p>
    <w:p w14:paraId="0B671D1B" w14:textId="5FB58051" w:rsidR="00133297" w:rsidRPr="00133297" w:rsidRDefault="00133297" w:rsidP="00133297">
      <w:pPr>
        <w:spacing w:before="100" w:beforeAutospacing="1" w:after="100" w:afterAutospacing="1" w:line="240" w:lineRule="auto"/>
        <w:rPr>
          <w:rFonts w:eastAsia="Times New Roman" w:cs="Times New Roman"/>
          <w:lang w:eastAsia="de-DE"/>
        </w:rPr>
      </w:pPr>
    </w:p>
    <w:p w14:paraId="0DD4442B"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eine Redeeinleitung mit spezifizierten Adressaten (Männer des Heeres, die in den Kampf zogen), gefolgt von einer Demonstrativformel mit Relativsatz.</w:t>
      </w:r>
    </w:p>
    <w:p w14:paraId="2347D14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markiert den Übergang von Moses Anweisungen (V. 19-20) zu Eleasars priesterlicher Belehrung über die technischen Details der Reinigung - eine Aufgabenteilung zwischen ziviler und priesterlicher Autorität.</w:t>
      </w:r>
    </w:p>
    <w:p w14:paraId="15357335"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31,22-23</w:t>
      </w:r>
    </w:p>
    <w:p w14:paraId="3E9171E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אַ֥ךְ אֶת־הַזָּהָ֖ב וְאֶת־הַכָּ֑סֶף אֶֽת־הַנְּחֹ֙שֶׁת֙ אֶת־הַבַּרְזֶ֔ל אֶֽת־הַבְּדִ֖יל וְאֶת־הָעֹפָֽרֶת׃ כָּל־דָּבָ֞ר אֲשֶׁר־יָבֹ֣א בָאֵ֗שׁ תַּעֲבִ֤ירוּ בָאֵשׁ֙ וְטָהֵ֔ר אַ֕ךְ בְּמֵ֥י נִדָּ֖ה יִתְחַטָּ֑א וְכֹ֨ל אֲשֶׁ֧ר לֹֽא־יָבֹ֛א בָּאֵ֖שׁ תַּעֲבִ֥ירוּ בַמָּֽיִם׃</w:t>
      </w:r>
    </w:p>
    <w:p w14:paraId="6CCA6C0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Nur das Gold und das Silber, das Kupfer, das Eisen, das Zinn und das Blei, alles, was ins Feuer kommt, sollt ihr durchs Feuer gehen lassen, und es wird rein sein; nur soll es mit dem Entsündigungswasser entsündigt werden; und alles, was nicht ins Feuer kommt, sollt ihr durchs Wasser gehen lassen.</w:t>
      </w:r>
    </w:p>
    <w:p w14:paraId="2C9E1CBC"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74DF015B">
          <v:rect id="_x0000_i1967" style="width:0;height:1.5pt" o:hralign="center" o:hrstd="t" o:hr="t" fillcolor="#a0a0a0" stroked="f"/>
        </w:pict>
      </w:r>
    </w:p>
    <w:p w14:paraId="48C11EF4"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lastRenderedPageBreak/>
        <w:t>Kommentar:</w:t>
      </w:r>
      <w:r w:rsidRPr="00133297">
        <w:rPr>
          <w:rFonts w:eastAsia="Times New Roman" w:cs="Times New Roman"/>
          <w:lang w:eastAsia="de-DE"/>
        </w:rPr>
        <w:t xml:space="preserve"> Die Verse geben die Reinigungsmethoden an. </w:t>
      </w:r>
      <w:r w:rsidRPr="00133297">
        <w:rPr>
          <w:rFonts w:eastAsia="Times New Roman" w:cs="Times New Roman"/>
          <w:b/>
          <w:bCs/>
          <w:rtl/>
          <w:lang w:eastAsia="de-DE"/>
        </w:rPr>
        <w:t>אַךְ אֶת־הַזָּהָב וְאֶת־הַכָּסֶף אֶת־הַנְּחֹשֶׁת אֶת־הַבַּרְזֶל אֶת־הַבְּדִיל וְאֶת־הָעֹפָרֶת</w:t>
      </w:r>
      <w:r w:rsidRPr="00133297">
        <w:rPr>
          <w:rFonts w:eastAsia="Times New Roman" w:cs="Times New Roman"/>
          <w:rtl/>
          <w:lang w:eastAsia="de-DE"/>
        </w:rPr>
        <w:t xml:space="preserve"> </w:t>
      </w:r>
      <w:r w:rsidRPr="00133297">
        <w:rPr>
          <w:rFonts w:eastAsia="Times New Roman" w:cs="Times New Roman"/>
          <w:lang w:eastAsia="de-DE"/>
        </w:rPr>
        <w:t xml:space="preserve">ist die sechsfache Metallaufzählung. </w:t>
      </w:r>
      <w:r w:rsidRPr="00133297">
        <w:rPr>
          <w:rFonts w:eastAsia="Times New Roman" w:cs="Times New Roman"/>
          <w:b/>
          <w:bCs/>
          <w:rtl/>
          <w:lang w:eastAsia="de-DE"/>
        </w:rPr>
        <w:t>אַךְ</w:t>
      </w:r>
      <w:r w:rsidRPr="00133297">
        <w:rPr>
          <w:rFonts w:eastAsia="Times New Roman" w:cs="Times New Roman"/>
          <w:rtl/>
          <w:lang w:eastAsia="de-DE"/>
        </w:rPr>
        <w:t xml:space="preserve"> </w:t>
      </w:r>
      <w:r w:rsidRPr="00133297">
        <w:rPr>
          <w:rFonts w:eastAsia="Times New Roman" w:cs="Times New Roman"/>
          <w:lang w:eastAsia="de-DE"/>
        </w:rPr>
        <w:t xml:space="preserve">(Partikel „nur, jedoch"), dann sechs Metalle mit </w:t>
      </w:r>
      <w:r w:rsidRPr="00133297">
        <w:rPr>
          <w:rFonts w:eastAsia="Times New Roman" w:cs="Times New Roman"/>
          <w:b/>
          <w:bCs/>
          <w:rtl/>
          <w:lang w:eastAsia="de-DE"/>
        </w:rPr>
        <w:t>אֶת</w:t>
      </w:r>
      <w:r w:rsidRPr="00133297">
        <w:rPr>
          <w:rFonts w:eastAsia="Times New Roman" w:cs="Times New Roman"/>
          <w:lang w:eastAsia="de-DE"/>
        </w:rPr>
        <w:t xml:space="preserve">: </w:t>
      </w:r>
      <w:r w:rsidRPr="00133297">
        <w:rPr>
          <w:rFonts w:eastAsia="Times New Roman" w:cs="Times New Roman"/>
          <w:b/>
          <w:bCs/>
          <w:rtl/>
          <w:lang w:eastAsia="de-DE"/>
        </w:rPr>
        <w:t>זָהָב</w:t>
      </w:r>
      <w:r w:rsidRPr="00133297">
        <w:rPr>
          <w:rFonts w:eastAsia="Times New Roman" w:cs="Times New Roman"/>
          <w:rtl/>
          <w:lang w:eastAsia="de-DE"/>
        </w:rPr>
        <w:t xml:space="preserve"> </w:t>
      </w:r>
      <w:r w:rsidRPr="00133297">
        <w:rPr>
          <w:rFonts w:eastAsia="Times New Roman" w:cs="Times New Roman"/>
          <w:lang w:eastAsia="de-DE"/>
        </w:rPr>
        <w:t xml:space="preserve">(„Gold"), </w:t>
      </w:r>
      <w:r w:rsidRPr="00133297">
        <w:rPr>
          <w:rFonts w:eastAsia="Times New Roman" w:cs="Times New Roman"/>
          <w:b/>
          <w:bCs/>
          <w:rtl/>
          <w:lang w:eastAsia="de-DE"/>
        </w:rPr>
        <w:t>כֶּסֶף</w:t>
      </w:r>
      <w:r w:rsidRPr="00133297">
        <w:rPr>
          <w:rFonts w:eastAsia="Times New Roman" w:cs="Times New Roman"/>
          <w:rtl/>
          <w:lang w:eastAsia="de-DE"/>
        </w:rPr>
        <w:t xml:space="preserve"> </w:t>
      </w:r>
      <w:r w:rsidRPr="00133297">
        <w:rPr>
          <w:rFonts w:eastAsia="Times New Roman" w:cs="Times New Roman"/>
          <w:lang w:eastAsia="de-DE"/>
        </w:rPr>
        <w:t xml:space="preserve">(„Silber"), </w:t>
      </w:r>
      <w:r w:rsidRPr="00133297">
        <w:rPr>
          <w:rFonts w:eastAsia="Times New Roman" w:cs="Times New Roman"/>
          <w:b/>
          <w:bCs/>
          <w:rtl/>
          <w:lang w:eastAsia="de-DE"/>
        </w:rPr>
        <w:t>נְחֹשֶׁת</w:t>
      </w:r>
      <w:r w:rsidRPr="00133297">
        <w:rPr>
          <w:rFonts w:eastAsia="Times New Roman" w:cs="Times New Roman"/>
          <w:rtl/>
          <w:lang w:eastAsia="de-DE"/>
        </w:rPr>
        <w:t xml:space="preserve"> </w:t>
      </w:r>
      <w:r w:rsidRPr="00133297">
        <w:rPr>
          <w:rFonts w:eastAsia="Times New Roman" w:cs="Times New Roman"/>
          <w:lang w:eastAsia="de-DE"/>
        </w:rPr>
        <w:t xml:space="preserve">(„Kupfer, Bronze"), </w:t>
      </w:r>
      <w:r w:rsidRPr="00133297">
        <w:rPr>
          <w:rFonts w:eastAsia="Times New Roman" w:cs="Times New Roman"/>
          <w:b/>
          <w:bCs/>
          <w:rtl/>
          <w:lang w:eastAsia="de-DE"/>
        </w:rPr>
        <w:t>בַּרְזֶל</w:t>
      </w:r>
      <w:r w:rsidRPr="00133297">
        <w:rPr>
          <w:rFonts w:eastAsia="Times New Roman" w:cs="Times New Roman"/>
          <w:rtl/>
          <w:lang w:eastAsia="de-DE"/>
        </w:rPr>
        <w:t xml:space="preserve"> </w:t>
      </w:r>
      <w:r w:rsidRPr="00133297">
        <w:rPr>
          <w:rFonts w:eastAsia="Times New Roman" w:cs="Times New Roman"/>
          <w:lang w:eastAsia="de-DE"/>
        </w:rPr>
        <w:t xml:space="preserve">(„Eisen"), </w:t>
      </w:r>
      <w:r w:rsidRPr="00133297">
        <w:rPr>
          <w:rFonts w:eastAsia="Times New Roman" w:cs="Times New Roman"/>
          <w:b/>
          <w:bCs/>
          <w:rtl/>
          <w:lang w:eastAsia="de-DE"/>
        </w:rPr>
        <w:t>בְּדִיל</w:t>
      </w:r>
      <w:r w:rsidRPr="00133297">
        <w:rPr>
          <w:rFonts w:eastAsia="Times New Roman" w:cs="Times New Roman"/>
          <w:rtl/>
          <w:lang w:eastAsia="de-DE"/>
        </w:rPr>
        <w:t xml:space="preserve"> </w:t>
      </w:r>
      <w:r w:rsidRPr="00133297">
        <w:rPr>
          <w:rFonts w:eastAsia="Times New Roman" w:cs="Times New Roman"/>
          <w:lang w:eastAsia="de-DE"/>
        </w:rPr>
        <w:t xml:space="preserve">(„Zinn"), </w:t>
      </w:r>
      <w:r w:rsidRPr="00133297">
        <w:rPr>
          <w:rFonts w:eastAsia="Times New Roman" w:cs="Times New Roman"/>
          <w:b/>
          <w:bCs/>
          <w:rtl/>
          <w:lang w:eastAsia="de-DE"/>
        </w:rPr>
        <w:t>עֹפָרֶת</w:t>
      </w:r>
      <w:r w:rsidRPr="00133297">
        <w:rPr>
          <w:rFonts w:eastAsia="Times New Roman" w:cs="Times New Roman"/>
          <w:rtl/>
          <w:lang w:eastAsia="de-DE"/>
        </w:rPr>
        <w:t xml:space="preserve"> </w:t>
      </w:r>
      <w:r w:rsidRPr="00133297">
        <w:rPr>
          <w:rFonts w:eastAsia="Times New Roman" w:cs="Times New Roman"/>
          <w:lang w:eastAsia="de-DE"/>
        </w:rPr>
        <w:t>(„Blei").</w:t>
      </w:r>
    </w:p>
    <w:p w14:paraId="33CD5B7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כָּל־דָּבָר אֲשֶׁר־יָבֹא בָאֵשׁ תַּעֲבִירוּ בָאֵשׁ וְטָהֵר</w:t>
      </w:r>
      <w:r w:rsidRPr="00133297">
        <w:rPr>
          <w:rFonts w:eastAsia="Times New Roman" w:cs="Times New Roman"/>
          <w:rtl/>
          <w:lang w:eastAsia="de-DE"/>
        </w:rPr>
        <w:t xml:space="preserve"> </w:t>
      </w:r>
      <w:r w:rsidRPr="00133297">
        <w:rPr>
          <w:rFonts w:eastAsia="Times New Roman" w:cs="Times New Roman"/>
          <w:lang w:eastAsia="de-DE"/>
        </w:rPr>
        <w:t xml:space="preserve">ist die erste Methode. </w:t>
      </w:r>
      <w:r w:rsidRPr="00133297">
        <w:rPr>
          <w:rFonts w:eastAsia="Times New Roman" w:cs="Times New Roman"/>
          <w:b/>
          <w:bCs/>
          <w:rtl/>
          <w:lang w:eastAsia="de-DE"/>
        </w:rPr>
        <w:t>כָּל־דָּבָר</w:t>
      </w:r>
      <w:r w:rsidRPr="00133297">
        <w:rPr>
          <w:rFonts w:eastAsia="Times New Roman" w:cs="Times New Roman"/>
          <w:rtl/>
          <w:lang w:eastAsia="de-DE"/>
        </w:rPr>
        <w:t xml:space="preserve"> </w:t>
      </w:r>
      <w:r w:rsidRPr="00133297">
        <w:rPr>
          <w:rFonts w:eastAsia="Times New Roman" w:cs="Times New Roman"/>
          <w:lang w:eastAsia="de-DE"/>
        </w:rPr>
        <w:t xml:space="preserve">(„alles, jede Sache"), </w:t>
      </w:r>
      <w:r w:rsidRPr="00133297">
        <w:rPr>
          <w:rFonts w:eastAsia="Times New Roman" w:cs="Times New Roman"/>
          <w:b/>
          <w:bCs/>
          <w:rtl/>
          <w:lang w:eastAsia="de-DE"/>
        </w:rPr>
        <w:t>אֲשֶׁר־יָבֹא בָאֵשׁ</w:t>
      </w:r>
      <w:r w:rsidRPr="00133297">
        <w:rPr>
          <w:rFonts w:eastAsia="Times New Roman" w:cs="Times New Roman"/>
          <w:rtl/>
          <w:lang w:eastAsia="de-DE"/>
        </w:rPr>
        <w:t xml:space="preserve"> </w:t>
      </w:r>
      <w:r w:rsidRPr="00133297">
        <w:rPr>
          <w:rFonts w:eastAsia="Times New Roman" w:cs="Times New Roman"/>
          <w:lang w:eastAsia="de-DE"/>
        </w:rPr>
        <w:t xml:space="preserve">(Relativsatz: Qal Imperfekt 3. Person maskulin Singular von </w:t>
      </w:r>
      <w:r w:rsidRPr="00133297">
        <w:rPr>
          <w:rFonts w:eastAsia="Times New Roman" w:cs="Times New Roman"/>
          <w:b/>
          <w:bCs/>
          <w:rtl/>
          <w:lang w:eastAsia="de-DE"/>
        </w:rPr>
        <w:t>בוא</w:t>
      </w:r>
      <w:r w:rsidRPr="00133297">
        <w:rPr>
          <w:rFonts w:eastAsia="Times New Roman" w:cs="Times New Roman"/>
          <w:rtl/>
          <w:lang w:eastAsia="de-DE"/>
        </w:rPr>
        <w:t xml:space="preserve"> </w:t>
      </w:r>
      <w:r w:rsidRPr="00133297">
        <w:rPr>
          <w:rFonts w:eastAsia="Times New Roman" w:cs="Times New Roman"/>
          <w:lang w:eastAsia="de-DE"/>
        </w:rPr>
        <w:t xml:space="preserve">„kommen" mit 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und </w:t>
      </w:r>
      <w:r w:rsidRPr="00133297">
        <w:rPr>
          <w:rFonts w:eastAsia="Times New Roman" w:cs="Times New Roman"/>
          <w:b/>
          <w:bCs/>
          <w:rtl/>
          <w:lang w:eastAsia="de-DE"/>
        </w:rPr>
        <w:t>אֵשׁ</w:t>
      </w:r>
      <w:r w:rsidRPr="00133297">
        <w:rPr>
          <w:rFonts w:eastAsia="Times New Roman" w:cs="Times New Roman"/>
          <w:rtl/>
          <w:lang w:eastAsia="de-DE"/>
        </w:rPr>
        <w:t xml:space="preserve"> </w:t>
      </w:r>
      <w:r w:rsidRPr="00133297">
        <w:rPr>
          <w:rFonts w:eastAsia="Times New Roman" w:cs="Times New Roman"/>
          <w:lang w:eastAsia="de-DE"/>
        </w:rPr>
        <w:t xml:space="preserve">„Feuer" „was ins Feuer kommen kann"), d.h. hitzebeständiges Material. </w:t>
      </w:r>
      <w:r w:rsidRPr="00133297">
        <w:rPr>
          <w:rFonts w:eastAsia="Times New Roman" w:cs="Times New Roman"/>
          <w:b/>
          <w:bCs/>
          <w:rtl/>
          <w:lang w:eastAsia="de-DE"/>
        </w:rPr>
        <w:t>תַּעֲבִירוּ בָאֵשׁ</w:t>
      </w:r>
      <w:r w:rsidRPr="00133297">
        <w:rPr>
          <w:rFonts w:eastAsia="Times New Roman" w:cs="Times New Roman"/>
          <w:rtl/>
          <w:lang w:eastAsia="de-DE"/>
        </w:rPr>
        <w:t xml:space="preserve"> </w:t>
      </w:r>
      <w:r w:rsidRPr="00133297">
        <w:rPr>
          <w:rFonts w:eastAsia="Times New Roman" w:cs="Times New Roman"/>
          <w:lang w:eastAsia="de-DE"/>
        </w:rPr>
        <w:t xml:space="preserve">(Hiphil Imperfekt 2. Person maskulin Plural von </w:t>
      </w:r>
      <w:r w:rsidRPr="00133297">
        <w:rPr>
          <w:rFonts w:eastAsia="Times New Roman" w:cs="Times New Roman"/>
          <w:b/>
          <w:bCs/>
          <w:rtl/>
          <w:lang w:eastAsia="de-DE"/>
        </w:rPr>
        <w:t>עבר</w:t>
      </w:r>
      <w:r w:rsidRPr="00133297">
        <w:rPr>
          <w:rFonts w:eastAsia="Times New Roman" w:cs="Times New Roman"/>
          <w:rtl/>
          <w:lang w:eastAsia="de-DE"/>
        </w:rPr>
        <w:t xml:space="preserve"> </w:t>
      </w:r>
      <w:r w:rsidRPr="00133297">
        <w:rPr>
          <w:rFonts w:eastAsia="Times New Roman" w:cs="Times New Roman"/>
          <w:lang w:eastAsia="de-DE"/>
        </w:rPr>
        <w:t xml:space="preserve">„durchgehen lassen" mit Präposition und </w:t>
      </w:r>
      <w:r w:rsidRPr="00133297">
        <w:rPr>
          <w:rFonts w:eastAsia="Times New Roman" w:cs="Times New Roman"/>
          <w:b/>
          <w:bCs/>
          <w:rtl/>
          <w:lang w:eastAsia="de-DE"/>
        </w:rPr>
        <w:t>אֵשׁ</w:t>
      </w:r>
      <w:r w:rsidRPr="00133297">
        <w:rPr>
          <w:rFonts w:eastAsia="Times New Roman" w:cs="Times New Roman"/>
          <w:rtl/>
          <w:lang w:eastAsia="de-DE"/>
        </w:rPr>
        <w:t xml:space="preserve"> </w:t>
      </w:r>
      <w:r w:rsidRPr="00133297">
        <w:rPr>
          <w:rFonts w:eastAsia="Times New Roman" w:cs="Times New Roman"/>
          <w:lang w:eastAsia="de-DE"/>
        </w:rPr>
        <w:t xml:space="preserve">„sollt ihr durchs Feuer gehen lassen"), </w:t>
      </w:r>
      <w:r w:rsidRPr="00133297">
        <w:rPr>
          <w:rFonts w:eastAsia="Times New Roman" w:cs="Times New Roman"/>
          <w:b/>
          <w:bCs/>
          <w:rtl/>
          <w:lang w:eastAsia="de-DE"/>
        </w:rPr>
        <w:t>וְטָהֵר</w:t>
      </w:r>
      <w:r w:rsidRPr="00133297">
        <w:rPr>
          <w:rFonts w:eastAsia="Times New Roman" w:cs="Times New Roman"/>
          <w:rtl/>
          <w:lang w:eastAsia="de-DE"/>
        </w:rPr>
        <w:t xml:space="preserve"> </w:t>
      </w:r>
      <w:r w:rsidRPr="00133297">
        <w:rPr>
          <w:rFonts w:eastAsia="Times New Roman" w:cs="Times New Roman"/>
          <w:lang w:eastAsia="de-DE"/>
        </w:rPr>
        <w:t xml:space="preserve">(Konjunktion mit Qal Perfekt 3. Person maskulin Singular mit Waw consecutivum von </w:t>
      </w:r>
      <w:r w:rsidRPr="00133297">
        <w:rPr>
          <w:rFonts w:eastAsia="Times New Roman" w:cs="Times New Roman"/>
          <w:b/>
          <w:bCs/>
          <w:rtl/>
          <w:lang w:eastAsia="de-DE"/>
        </w:rPr>
        <w:t>טהר</w:t>
      </w:r>
      <w:r w:rsidRPr="00133297">
        <w:rPr>
          <w:rFonts w:eastAsia="Times New Roman" w:cs="Times New Roman"/>
          <w:rtl/>
          <w:lang w:eastAsia="de-DE"/>
        </w:rPr>
        <w:t xml:space="preserve"> </w:t>
      </w:r>
      <w:r w:rsidRPr="00133297">
        <w:rPr>
          <w:rFonts w:eastAsia="Times New Roman" w:cs="Times New Roman"/>
          <w:lang w:eastAsia="de-DE"/>
        </w:rPr>
        <w:t>„rein sein, rein werden" „und es wird rein sein").</w:t>
      </w:r>
    </w:p>
    <w:p w14:paraId="683BDD58" w14:textId="0464693B"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אַךְ בְּמֵי נִדָּה יִתְחַטָּא</w:t>
      </w:r>
      <w:r w:rsidRPr="00133297">
        <w:rPr>
          <w:rFonts w:eastAsia="Times New Roman" w:cs="Times New Roman"/>
          <w:rtl/>
          <w:lang w:eastAsia="de-DE"/>
        </w:rPr>
        <w:t xml:space="preserve"> </w:t>
      </w:r>
      <w:r w:rsidRPr="00133297">
        <w:rPr>
          <w:rFonts w:eastAsia="Times New Roman" w:cs="Times New Roman"/>
          <w:lang w:eastAsia="de-DE"/>
        </w:rPr>
        <w:t xml:space="preserve">fügt die zweite Reinigungsstufe hinzu. </w:t>
      </w:r>
      <w:r w:rsidRPr="00133297">
        <w:rPr>
          <w:rFonts w:eastAsia="Times New Roman" w:cs="Times New Roman"/>
          <w:b/>
          <w:bCs/>
          <w:rtl/>
          <w:lang w:eastAsia="de-DE"/>
        </w:rPr>
        <w:t>אַךְ</w:t>
      </w:r>
      <w:r w:rsidRPr="00133297">
        <w:rPr>
          <w:rFonts w:eastAsia="Times New Roman" w:cs="Times New Roman"/>
          <w:rtl/>
          <w:lang w:eastAsia="de-DE"/>
        </w:rPr>
        <w:t xml:space="preserve"> </w:t>
      </w:r>
      <w:r w:rsidRPr="00133297">
        <w:rPr>
          <w:rFonts w:eastAsia="Times New Roman" w:cs="Times New Roman"/>
          <w:lang w:eastAsia="de-DE"/>
        </w:rPr>
        <w:t xml:space="preserve">(„nur, jedoch"), </w:t>
      </w:r>
      <w:r w:rsidRPr="00133297">
        <w:rPr>
          <w:rFonts w:eastAsia="Times New Roman" w:cs="Times New Roman"/>
          <w:b/>
          <w:bCs/>
          <w:rtl/>
          <w:lang w:eastAsia="de-DE"/>
        </w:rPr>
        <w:t>בְּמֵי נִדָּה</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מַיִם</w:t>
      </w:r>
      <w:r w:rsidRPr="00133297">
        <w:rPr>
          <w:rFonts w:eastAsia="Times New Roman" w:cs="Times New Roman"/>
          <w:rtl/>
          <w:lang w:eastAsia="de-DE"/>
        </w:rPr>
        <w:t xml:space="preserve"> </w:t>
      </w:r>
      <w:r w:rsidRPr="00133297">
        <w:rPr>
          <w:rFonts w:eastAsia="Times New Roman" w:cs="Times New Roman"/>
          <w:lang w:eastAsia="de-DE"/>
        </w:rPr>
        <w:t xml:space="preserve">„Wasser" und </w:t>
      </w:r>
      <w:r w:rsidRPr="00133297">
        <w:rPr>
          <w:rFonts w:eastAsia="Times New Roman" w:cs="Times New Roman"/>
          <w:b/>
          <w:bCs/>
          <w:rtl/>
          <w:lang w:eastAsia="de-DE"/>
        </w:rPr>
        <w:t>נִדָּה</w:t>
      </w:r>
      <w:r w:rsidRPr="00133297">
        <w:rPr>
          <w:rFonts w:eastAsia="Times New Roman" w:cs="Times New Roman"/>
          <w:rtl/>
          <w:lang w:eastAsia="de-DE"/>
        </w:rPr>
        <w:t xml:space="preserve"> </w:t>
      </w:r>
      <w:r w:rsidRPr="00133297">
        <w:rPr>
          <w:rFonts w:eastAsia="Times New Roman" w:cs="Times New Roman"/>
          <w:lang w:eastAsia="de-DE"/>
        </w:rPr>
        <w:t xml:space="preserve">„Unreinheit, Entsündigungswasser" „mit dem Entsündigungswasser"), </w:t>
      </w:r>
      <w:r w:rsidRPr="00133297">
        <w:rPr>
          <w:rFonts w:eastAsia="Times New Roman" w:cs="Times New Roman"/>
          <w:b/>
          <w:bCs/>
          <w:rtl/>
          <w:lang w:eastAsia="de-DE"/>
        </w:rPr>
        <w:t>יִתְחַטָּא</w:t>
      </w:r>
      <w:r w:rsidRPr="00133297">
        <w:rPr>
          <w:rFonts w:eastAsia="Times New Roman" w:cs="Times New Roman"/>
          <w:rtl/>
          <w:lang w:eastAsia="de-DE"/>
        </w:rPr>
        <w:t xml:space="preserve"> </w:t>
      </w:r>
      <w:r w:rsidRPr="00133297">
        <w:rPr>
          <w:rFonts w:eastAsia="Times New Roman" w:cs="Times New Roman"/>
          <w:lang w:eastAsia="de-DE"/>
        </w:rPr>
        <w:t xml:space="preserve">(Hithpael Imperfekt 3. Person maskulin Singular von </w:t>
      </w:r>
      <w:r w:rsidRPr="00133297">
        <w:rPr>
          <w:rFonts w:eastAsia="Times New Roman" w:cs="Times New Roman"/>
          <w:b/>
          <w:bCs/>
          <w:rtl/>
          <w:lang w:eastAsia="de-DE"/>
        </w:rPr>
        <w:t>חטא</w:t>
      </w:r>
      <w:r w:rsidRPr="00133297">
        <w:rPr>
          <w:rFonts w:eastAsia="Times New Roman" w:cs="Times New Roman"/>
          <w:rtl/>
          <w:lang w:eastAsia="de-DE"/>
        </w:rPr>
        <w:t xml:space="preserve"> </w:t>
      </w:r>
      <w:r w:rsidRPr="00133297">
        <w:rPr>
          <w:rFonts w:eastAsia="Times New Roman" w:cs="Times New Roman"/>
          <w:lang w:eastAsia="de-DE"/>
        </w:rPr>
        <w:t xml:space="preserve">„soll entsündigt werden"). Das </w:t>
      </w:r>
      <w:r w:rsidRPr="00133297">
        <w:rPr>
          <w:rFonts w:eastAsia="Times New Roman" w:cs="Times New Roman"/>
          <w:b/>
          <w:bCs/>
          <w:rtl/>
          <w:lang w:eastAsia="de-DE"/>
        </w:rPr>
        <w:t>מֵי נִדָּה</w:t>
      </w:r>
      <w:r w:rsidRPr="00133297">
        <w:rPr>
          <w:rFonts w:eastAsia="Times New Roman" w:cs="Times New Roman"/>
          <w:rtl/>
          <w:lang w:eastAsia="de-DE"/>
        </w:rPr>
        <w:t xml:space="preserve"> </w:t>
      </w:r>
      <w:r w:rsidRPr="00133297">
        <w:rPr>
          <w:rFonts w:eastAsia="Times New Roman" w:cs="Times New Roman"/>
          <w:lang w:eastAsia="de-DE"/>
        </w:rPr>
        <w:t>ist das spezielle Reinigungswasser aus Num 19,9 mit der Asche der roten Kuh.</w:t>
      </w:r>
    </w:p>
    <w:p w14:paraId="5BA75A6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וְכֹל אֲשֶׁר לֹא־יָבֹא בָאֵשׁ תַּעֲבִירוּ בַמָּיִם</w:t>
      </w:r>
      <w:r w:rsidRPr="00133297">
        <w:rPr>
          <w:rFonts w:eastAsia="Times New Roman" w:cs="Times New Roman"/>
          <w:rtl/>
          <w:lang w:eastAsia="de-DE"/>
        </w:rPr>
        <w:t xml:space="preserve"> </w:t>
      </w:r>
      <w:r w:rsidRPr="00133297">
        <w:rPr>
          <w:rFonts w:eastAsia="Times New Roman" w:cs="Times New Roman"/>
          <w:lang w:eastAsia="de-DE"/>
        </w:rPr>
        <w:t xml:space="preserve">ist die alternative Methode. </w:t>
      </w:r>
      <w:r w:rsidRPr="00133297">
        <w:rPr>
          <w:rFonts w:eastAsia="Times New Roman" w:cs="Times New Roman"/>
          <w:b/>
          <w:bCs/>
          <w:rtl/>
          <w:lang w:eastAsia="de-DE"/>
        </w:rPr>
        <w:t>וְכֹל אֲשֶׁר לֹא־יָבֹא בָאֵשׁ</w:t>
      </w:r>
      <w:r w:rsidRPr="00133297">
        <w:rPr>
          <w:rFonts w:eastAsia="Times New Roman" w:cs="Times New Roman"/>
          <w:rtl/>
          <w:lang w:eastAsia="de-DE"/>
        </w:rPr>
        <w:t xml:space="preserve"> </w:t>
      </w:r>
      <w:r w:rsidRPr="00133297">
        <w:rPr>
          <w:rFonts w:eastAsia="Times New Roman" w:cs="Times New Roman"/>
          <w:lang w:eastAsia="de-DE"/>
        </w:rPr>
        <w:t xml:space="preserve">(Konjunktion mit </w:t>
      </w:r>
      <w:r w:rsidRPr="00133297">
        <w:rPr>
          <w:rFonts w:eastAsia="Times New Roman" w:cs="Times New Roman"/>
          <w:b/>
          <w:bCs/>
          <w:rtl/>
          <w:lang w:eastAsia="de-DE"/>
        </w:rPr>
        <w:t>כֹּל</w:t>
      </w:r>
      <w:r w:rsidRPr="00133297">
        <w:rPr>
          <w:rFonts w:eastAsia="Times New Roman" w:cs="Times New Roman"/>
          <w:rtl/>
          <w:lang w:eastAsia="de-DE"/>
        </w:rPr>
        <w:t xml:space="preserve"> </w:t>
      </w:r>
      <w:r w:rsidRPr="00133297">
        <w:rPr>
          <w:rFonts w:eastAsia="Times New Roman" w:cs="Times New Roman"/>
          <w:lang w:eastAsia="de-DE"/>
        </w:rPr>
        <w:t xml:space="preserve">und Relativsatz mit Negation „und alles, was nicht ins Feuer kommen kann"), </w:t>
      </w:r>
      <w:r w:rsidRPr="00133297">
        <w:rPr>
          <w:rFonts w:eastAsia="Times New Roman" w:cs="Times New Roman"/>
          <w:b/>
          <w:bCs/>
          <w:rtl/>
          <w:lang w:eastAsia="de-DE"/>
        </w:rPr>
        <w:t>תַּעֲבִירוּ בַמָּיִם</w:t>
      </w:r>
      <w:r w:rsidRPr="00133297">
        <w:rPr>
          <w:rFonts w:eastAsia="Times New Roman" w:cs="Times New Roman"/>
          <w:rtl/>
          <w:lang w:eastAsia="de-DE"/>
        </w:rPr>
        <w:t xml:space="preserve"> </w:t>
      </w:r>
      <w:r w:rsidRPr="00133297">
        <w:rPr>
          <w:rFonts w:eastAsia="Times New Roman" w:cs="Times New Roman"/>
          <w:lang w:eastAsia="de-DE"/>
        </w:rPr>
        <w:t xml:space="preserve">(Hiphil Imperfekt von </w:t>
      </w:r>
      <w:r w:rsidRPr="00133297">
        <w:rPr>
          <w:rFonts w:eastAsia="Times New Roman" w:cs="Times New Roman"/>
          <w:b/>
          <w:bCs/>
          <w:rtl/>
          <w:lang w:eastAsia="de-DE"/>
        </w:rPr>
        <w:t>עבר</w:t>
      </w:r>
      <w:r w:rsidRPr="00133297">
        <w:rPr>
          <w:rFonts w:eastAsia="Times New Roman" w:cs="Times New Roman"/>
          <w:rtl/>
          <w:lang w:eastAsia="de-DE"/>
        </w:rPr>
        <w:t xml:space="preserve"> </w:t>
      </w:r>
      <w:r w:rsidRPr="00133297">
        <w:rPr>
          <w:rFonts w:eastAsia="Times New Roman" w:cs="Times New Roman"/>
          <w:lang w:eastAsia="de-DE"/>
        </w:rPr>
        <w:t xml:space="preserve">mit 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und Plural </w:t>
      </w:r>
      <w:r w:rsidRPr="00133297">
        <w:rPr>
          <w:rFonts w:eastAsia="Times New Roman" w:cs="Times New Roman"/>
          <w:b/>
          <w:bCs/>
          <w:rtl/>
          <w:lang w:eastAsia="de-DE"/>
        </w:rPr>
        <w:t>מַיִם</w:t>
      </w:r>
      <w:r w:rsidRPr="00133297">
        <w:rPr>
          <w:rFonts w:eastAsia="Times New Roman" w:cs="Times New Roman"/>
          <w:rtl/>
          <w:lang w:eastAsia="de-DE"/>
        </w:rPr>
        <w:t xml:space="preserve"> </w:t>
      </w:r>
      <w:r w:rsidRPr="00133297">
        <w:rPr>
          <w:rFonts w:eastAsia="Times New Roman" w:cs="Times New Roman"/>
          <w:lang w:eastAsia="de-DE"/>
        </w:rPr>
        <w:t>„sollt ihr durchs Wasser gehen lassen"). Nicht-hitzebeständige Materialien werden nur mit Wasser gereinigt.</w:t>
      </w:r>
    </w:p>
    <w:p w14:paraId="3E42F3CF" w14:textId="08180035" w:rsidR="00133297" w:rsidRPr="00133297" w:rsidRDefault="00EF1857" w:rsidP="00133297">
      <w:pPr>
        <w:spacing w:before="100" w:beforeAutospacing="1" w:after="100" w:afterAutospacing="1" w:line="240" w:lineRule="auto"/>
        <w:rPr>
          <w:rFonts w:eastAsia="Times New Roman" w:cs="Times New Roman"/>
          <w:lang w:eastAsia="de-DE"/>
        </w:rPr>
      </w:pPr>
      <w:r>
        <w:rPr>
          <w:rStyle w:val="Fett"/>
        </w:rPr>
        <w:t>Vers 22:</w:t>
      </w:r>
      <w:r>
        <w:t xml:space="preserve"> </w:t>
      </w:r>
      <w:r w:rsidR="00133297" w:rsidRPr="00133297">
        <w:rPr>
          <w:rFonts w:eastAsia="Times New Roman" w:cs="Times New Roman"/>
          <w:b/>
          <w:bCs/>
          <w:lang w:eastAsia="de-DE"/>
        </w:rPr>
        <w:t>Die LXX</w:t>
      </w:r>
      <w:r w:rsidR="00133297" w:rsidRPr="00133297">
        <w:rPr>
          <w:rFonts w:eastAsia="Times New Roman" w:cs="Times New Roman"/>
          <w:lang w:eastAsia="de-DE"/>
        </w:rPr>
        <w:t xml:space="preserve"> </w:t>
      </w:r>
      <w:r>
        <w:t>übersetzt „</w:t>
      </w:r>
      <w:r w:rsidRPr="00EF1857">
        <w:rPr>
          <w:b/>
          <w:bCs/>
          <w:rtl/>
        </w:rPr>
        <w:t>הַבְּדִיל</w:t>
      </w:r>
      <w:r>
        <w:t>" (Zinn) mit „μολίβου" (Blei) und „</w:t>
      </w:r>
      <w:r w:rsidRPr="00EF1857">
        <w:rPr>
          <w:b/>
          <w:bCs/>
          <w:rtl/>
        </w:rPr>
        <w:t>הָעֹפָרֶת</w:t>
      </w:r>
      <w:r>
        <w:t xml:space="preserve">" (Blei) mit „κασσιτέρου" (Zinn), was die beiden Metalle vertauscht. </w:t>
      </w:r>
      <w:r>
        <w:rPr>
          <w:rStyle w:val="Fett"/>
        </w:rPr>
        <w:t>Vers 23:</w:t>
      </w:r>
      <w:r>
        <w:t xml:space="preserve"> </w:t>
      </w:r>
      <w:r>
        <w:rPr>
          <w:rStyle w:val="Fett"/>
        </w:rPr>
        <w:t>Die LXX</w:t>
      </w:r>
      <w:r>
        <w:t xml:space="preserve"> hat einen etwas anderen Text: „πᾶν πρᾶγμα, ὃ διελεύσεται ἐν πυρί, καὶ καθαρισθήσεται" (alles, was durch Feuer geht, wird auch gereinigt werden), während der MT „</w:t>
      </w:r>
      <w:r>
        <w:rPr>
          <w:rtl/>
        </w:rPr>
        <w:t>תַּעֲבִירוּ בָאֵשׁ וְטָהֵר</w:t>
      </w:r>
      <w:r>
        <w:t>" (ihr sollt es durchs Feuer gehen lassen und es wird rein sein) hat.</w:t>
      </w:r>
    </w:p>
    <w:p w14:paraId="29902B5C"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eine Aufzählung, gefolgt von zwei konditionalen Reinigungsmethoden (Feuer für Hitzebeständiges, Wasser für Nicht-Hitzebeständiges) mit einer zusätzlichen Wasserstufe für das Feuergereinigte.</w:t>
      </w:r>
    </w:p>
    <w:p w14:paraId="1ADC362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Verse etablieren ein zweigeteiltes Reinigungssystem: Metalle und andere hitzebeständige Gegenstände durchlaufen Feuerreinigung plus Entsündigungswasser, während empfindlichere Materialien nur mit Wasser gereinigt werden - ein praktisches System, das materielle Eigenschaften mit rituellen Anforderungen verbindet.</w:t>
      </w:r>
    </w:p>
    <w:p w14:paraId="0D152AF7"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31,24</w:t>
      </w:r>
    </w:p>
    <w:p w14:paraId="001E083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וְכִבַּסְתֶּ֧ם בִּגְדֵיכֶ֛ם בַּיּ֥וֹם הַשְּׁבִיעִ֖י וּטְהַרְתֶּ֑ם וְאַחַ֖ר תָּבֹ֥אוּ אֶל־הַֽמַּחֲנֶֽה׃</w:t>
      </w:r>
    </w:p>
    <w:p w14:paraId="1B2D1E1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am siebten Tag sollt ihr eure Kleider waschen, und ihr werdet rein sein; und danach mögt ihr ins Lager kommen.</w:t>
      </w:r>
    </w:p>
    <w:p w14:paraId="2CE7129F"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2A43E909">
          <v:rect id="_x0000_i1968" style="width:0;height:1.5pt" o:hralign="center" o:hrstd="t" o:hr="t" fillcolor="#a0a0a0" stroked="f"/>
        </w:pict>
      </w:r>
    </w:p>
    <w:p w14:paraId="37C23893"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lastRenderedPageBreak/>
        <w:t>Kommentar:</w:t>
      </w:r>
      <w:r w:rsidRPr="00133297">
        <w:rPr>
          <w:rFonts w:eastAsia="Times New Roman" w:cs="Times New Roman"/>
          <w:lang w:eastAsia="de-DE"/>
        </w:rPr>
        <w:t xml:space="preserve"> Der Vers schließt die Reinigungsanweisungen ab. </w:t>
      </w:r>
      <w:r w:rsidRPr="00133297">
        <w:rPr>
          <w:rFonts w:eastAsia="Times New Roman" w:cs="Times New Roman"/>
          <w:b/>
          <w:bCs/>
          <w:rtl/>
          <w:lang w:eastAsia="de-DE"/>
        </w:rPr>
        <w:t>וְכִבַּסְתֶּם בִּגְדֵיכֶם בַּיּוֹם הַשְּׁבִיעִי</w:t>
      </w:r>
      <w:r w:rsidRPr="00133297">
        <w:rPr>
          <w:rFonts w:eastAsia="Times New Roman" w:cs="Times New Roman"/>
          <w:rtl/>
          <w:lang w:eastAsia="de-DE"/>
        </w:rPr>
        <w:t xml:space="preserve"> </w:t>
      </w:r>
      <w:r w:rsidRPr="00133297">
        <w:rPr>
          <w:rFonts w:eastAsia="Times New Roman" w:cs="Times New Roman"/>
          <w:lang w:eastAsia="de-DE"/>
        </w:rPr>
        <w:t xml:space="preserve">ist die letzte Anweisung. </w:t>
      </w:r>
      <w:r w:rsidRPr="00133297">
        <w:rPr>
          <w:rFonts w:eastAsia="Times New Roman" w:cs="Times New Roman"/>
          <w:b/>
          <w:bCs/>
          <w:rtl/>
          <w:lang w:eastAsia="de-DE"/>
        </w:rPr>
        <w:t>וְכִבַּסְתֶּם</w:t>
      </w:r>
      <w:r w:rsidRPr="00133297">
        <w:rPr>
          <w:rFonts w:eastAsia="Times New Roman" w:cs="Times New Roman"/>
          <w:rtl/>
          <w:lang w:eastAsia="de-DE"/>
        </w:rPr>
        <w:t xml:space="preserve"> </w:t>
      </w:r>
      <w:r w:rsidRPr="00133297">
        <w:rPr>
          <w:rFonts w:eastAsia="Times New Roman" w:cs="Times New Roman"/>
          <w:lang w:eastAsia="de-DE"/>
        </w:rPr>
        <w:t xml:space="preserve">(Konjunktion mit Piel Perfekt 2. Person maskulin Plural mit Waw consecutivum von </w:t>
      </w:r>
      <w:r w:rsidRPr="00133297">
        <w:rPr>
          <w:rFonts w:eastAsia="Times New Roman" w:cs="Times New Roman"/>
          <w:b/>
          <w:bCs/>
          <w:rtl/>
          <w:lang w:eastAsia="de-DE"/>
        </w:rPr>
        <w:t>כבס</w:t>
      </w:r>
      <w:r w:rsidRPr="00133297">
        <w:rPr>
          <w:rFonts w:eastAsia="Times New Roman" w:cs="Times New Roman"/>
          <w:rtl/>
          <w:lang w:eastAsia="de-DE"/>
        </w:rPr>
        <w:t xml:space="preserve"> </w:t>
      </w:r>
      <w:r w:rsidRPr="00133297">
        <w:rPr>
          <w:rFonts w:eastAsia="Times New Roman" w:cs="Times New Roman"/>
          <w:lang w:eastAsia="de-DE"/>
        </w:rPr>
        <w:t xml:space="preserve">„waschen"), </w:t>
      </w:r>
      <w:r w:rsidRPr="00133297">
        <w:rPr>
          <w:rFonts w:eastAsia="Times New Roman" w:cs="Times New Roman"/>
          <w:b/>
          <w:bCs/>
          <w:rtl/>
          <w:lang w:eastAsia="de-DE"/>
        </w:rPr>
        <w:t>בִּגְדֵיכֶם</w:t>
      </w:r>
      <w:r w:rsidRPr="00133297">
        <w:rPr>
          <w:rFonts w:eastAsia="Times New Roman" w:cs="Times New Roman"/>
          <w:rtl/>
          <w:lang w:eastAsia="de-DE"/>
        </w:rPr>
        <w:t xml:space="preserve"> </w:t>
      </w:r>
      <w:r w:rsidRPr="00133297">
        <w:rPr>
          <w:rFonts w:eastAsia="Times New Roman" w:cs="Times New Roman"/>
          <w:lang w:eastAsia="de-DE"/>
        </w:rPr>
        <w:t xml:space="preserve">(Plural von </w:t>
      </w:r>
      <w:r w:rsidRPr="00133297">
        <w:rPr>
          <w:rFonts w:eastAsia="Times New Roman" w:cs="Times New Roman"/>
          <w:b/>
          <w:bCs/>
          <w:rtl/>
          <w:lang w:eastAsia="de-DE"/>
        </w:rPr>
        <w:t>בֶּגֶד</w:t>
      </w:r>
      <w:r w:rsidRPr="00133297">
        <w:rPr>
          <w:rFonts w:eastAsia="Times New Roman" w:cs="Times New Roman"/>
          <w:rtl/>
          <w:lang w:eastAsia="de-DE"/>
        </w:rPr>
        <w:t xml:space="preserve"> </w:t>
      </w:r>
      <w:r w:rsidRPr="00133297">
        <w:rPr>
          <w:rFonts w:eastAsia="Times New Roman" w:cs="Times New Roman"/>
          <w:lang w:eastAsia="de-DE"/>
        </w:rPr>
        <w:t xml:space="preserve">„Kleid" mit Suffix 2. Person maskulin Plural „eure Kleider"), </w:t>
      </w:r>
      <w:r w:rsidRPr="00133297">
        <w:rPr>
          <w:rFonts w:eastAsia="Times New Roman" w:cs="Times New Roman"/>
          <w:b/>
          <w:bCs/>
          <w:rtl/>
          <w:lang w:eastAsia="de-DE"/>
        </w:rPr>
        <w:t>בַּיּוֹם הַשְּׁבִיעִי</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יוֹם</w:t>
      </w:r>
      <w:r w:rsidRPr="00133297">
        <w:rPr>
          <w:rFonts w:eastAsia="Times New Roman" w:cs="Times New Roman"/>
          <w:rtl/>
          <w:lang w:eastAsia="de-DE"/>
        </w:rPr>
        <w:t xml:space="preserve"> </w:t>
      </w:r>
      <w:r w:rsidRPr="00133297">
        <w:rPr>
          <w:rFonts w:eastAsia="Times New Roman" w:cs="Times New Roman"/>
          <w:lang w:eastAsia="de-DE"/>
        </w:rPr>
        <w:t>„Tag" und Ordinalzahl mit Artikel „am siebten Tag"). Das Waschen der Kleider am siebten Tag ist der Abschluss der Reinigung.</w:t>
      </w:r>
    </w:p>
    <w:p w14:paraId="17D8475F" w14:textId="2D8093AB" w:rsidR="00133297" w:rsidRPr="00133297" w:rsidRDefault="00133297" w:rsidP="00460FCC">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וּטְהַרְתֶּם</w:t>
      </w:r>
      <w:r w:rsidRPr="00133297">
        <w:rPr>
          <w:rFonts w:eastAsia="Times New Roman" w:cs="Times New Roman"/>
          <w:rtl/>
          <w:lang w:eastAsia="de-DE"/>
        </w:rPr>
        <w:t xml:space="preserve"> </w:t>
      </w:r>
      <w:r w:rsidRPr="00133297">
        <w:rPr>
          <w:rFonts w:eastAsia="Times New Roman" w:cs="Times New Roman"/>
          <w:lang w:eastAsia="de-DE"/>
        </w:rPr>
        <w:t xml:space="preserve">ist die Folge. </w:t>
      </w:r>
      <w:r w:rsidRPr="00133297">
        <w:rPr>
          <w:rFonts w:eastAsia="Times New Roman" w:cs="Times New Roman"/>
          <w:b/>
          <w:bCs/>
          <w:rtl/>
          <w:lang w:eastAsia="de-DE"/>
        </w:rPr>
        <w:t>וּטְהַרְתֶּם</w:t>
      </w:r>
      <w:r w:rsidRPr="00133297">
        <w:rPr>
          <w:rFonts w:eastAsia="Times New Roman" w:cs="Times New Roman"/>
          <w:rtl/>
          <w:lang w:eastAsia="de-DE"/>
        </w:rPr>
        <w:t xml:space="preserve"> </w:t>
      </w:r>
      <w:r w:rsidRPr="00133297">
        <w:rPr>
          <w:rFonts w:eastAsia="Times New Roman" w:cs="Times New Roman"/>
          <w:lang w:eastAsia="de-DE"/>
        </w:rPr>
        <w:t xml:space="preserve">(Konjunktion mit Qal Perfekt 2. Person maskulin Plural mit Waw consecutivum von </w:t>
      </w:r>
      <w:r w:rsidRPr="00133297">
        <w:rPr>
          <w:rFonts w:eastAsia="Times New Roman" w:cs="Times New Roman"/>
          <w:b/>
          <w:bCs/>
          <w:rtl/>
          <w:lang w:eastAsia="de-DE"/>
        </w:rPr>
        <w:t>טהר</w:t>
      </w:r>
      <w:r w:rsidRPr="00133297">
        <w:rPr>
          <w:rFonts w:eastAsia="Times New Roman" w:cs="Times New Roman"/>
          <w:rtl/>
          <w:lang w:eastAsia="de-DE"/>
        </w:rPr>
        <w:t xml:space="preserve"> </w:t>
      </w:r>
      <w:r w:rsidRPr="00133297">
        <w:rPr>
          <w:rFonts w:eastAsia="Times New Roman" w:cs="Times New Roman"/>
          <w:lang w:eastAsia="de-DE"/>
        </w:rPr>
        <w:t xml:space="preserve">„rein sein, rein werden" „und ihr werdet rein sein"). </w:t>
      </w:r>
      <w:r w:rsidRPr="00133297">
        <w:rPr>
          <w:rFonts w:eastAsia="Times New Roman" w:cs="Times New Roman"/>
          <w:b/>
          <w:bCs/>
          <w:rtl/>
          <w:lang w:eastAsia="de-DE"/>
        </w:rPr>
        <w:t>וְאַחַר תָּבֹאוּ אֶל־הַמַּחֲנֶה</w:t>
      </w:r>
      <w:r w:rsidRPr="00133297">
        <w:rPr>
          <w:rFonts w:eastAsia="Times New Roman" w:cs="Times New Roman"/>
          <w:rtl/>
          <w:lang w:eastAsia="de-DE"/>
        </w:rPr>
        <w:t xml:space="preserve"> </w:t>
      </w:r>
      <w:r w:rsidRPr="00133297">
        <w:rPr>
          <w:rFonts w:eastAsia="Times New Roman" w:cs="Times New Roman"/>
          <w:lang w:eastAsia="de-DE"/>
        </w:rPr>
        <w:t xml:space="preserve">ist die Erlaubnis. </w:t>
      </w:r>
      <w:r w:rsidRPr="00133297">
        <w:rPr>
          <w:rFonts w:eastAsia="Times New Roman" w:cs="Times New Roman"/>
          <w:b/>
          <w:bCs/>
          <w:rtl/>
          <w:lang w:eastAsia="de-DE"/>
        </w:rPr>
        <w:t>וְאַחַר</w:t>
      </w:r>
      <w:r w:rsidRPr="00133297">
        <w:rPr>
          <w:rFonts w:eastAsia="Times New Roman" w:cs="Times New Roman"/>
          <w:rtl/>
          <w:lang w:eastAsia="de-DE"/>
        </w:rPr>
        <w:t xml:space="preserve"> </w:t>
      </w:r>
      <w:r w:rsidRPr="00133297">
        <w:rPr>
          <w:rFonts w:eastAsia="Times New Roman" w:cs="Times New Roman"/>
          <w:lang w:eastAsia="de-DE"/>
        </w:rPr>
        <w:t xml:space="preserve">(Konjunktion mit Präposition/Adverb „und danach, und nachher"), </w:t>
      </w:r>
      <w:r w:rsidRPr="00133297">
        <w:rPr>
          <w:rFonts w:eastAsia="Times New Roman" w:cs="Times New Roman"/>
          <w:b/>
          <w:bCs/>
          <w:rtl/>
          <w:lang w:eastAsia="de-DE"/>
        </w:rPr>
        <w:t>תָּבֹאוּ</w:t>
      </w:r>
      <w:r w:rsidRPr="00133297">
        <w:rPr>
          <w:rFonts w:eastAsia="Times New Roman" w:cs="Times New Roman"/>
          <w:rtl/>
          <w:lang w:eastAsia="de-DE"/>
        </w:rPr>
        <w:t xml:space="preserve"> </w:t>
      </w:r>
      <w:r w:rsidRPr="00133297">
        <w:rPr>
          <w:rFonts w:eastAsia="Times New Roman" w:cs="Times New Roman"/>
          <w:lang w:eastAsia="de-DE"/>
        </w:rPr>
        <w:t xml:space="preserve">(Qal Imperfekt 2. Person maskulin Plural von </w:t>
      </w:r>
      <w:r w:rsidRPr="00133297">
        <w:rPr>
          <w:rFonts w:eastAsia="Times New Roman" w:cs="Times New Roman"/>
          <w:b/>
          <w:bCs/>
          <w:rtl/>
          <w:lang w:eastAsia="de-DE"/>
        </w:rPr>
        <w:t>בוא</w:t>
      </w:r>
      <w:r w:rsidRPr="00133297">
        <w:rPr>
          <w:rFonts w:eastAsia="Times New Roman" w:cs="Times New Roman"/>
          <w:rtl/>
          <w:lang w:eastAsia="de-DE"/>
        </w:rPr>
        <w:t xml:space="preserve"> </w:t>
      </w:r>
      <w:r w:rsidRPr="00133297">
        <w:rPr>
          <w:rFonts w:eastAsia="Times New Roman" w:cs="Times New Roman"/>
          <w:lang w:eastAsia="de-DE"/>
        </w:rPr>
        <w:t xml:space="preserve">„kommen"), </w:t>
      </w:r>
      <w:r w:rsidRPr="00133297">
        <w:rPr>
          <w:rFonts w:eastAsia="Times New Roman" w:cs="Times New Roman"/>
          <w:b/>
          <w:bCs/>
          <w:rtl/>
          <w:lang w:eastAsia="de-DE"/>
        </w:rPr>
        <w:t>אֶל־הַמַּחֲנֶה</w:t>
      </w:r>
      <w:r w:rsidRPr="00133297">
        <w:rPr>
          <w:rFonts w:eastAsia="Times New Roman" w:cs="Times New Roman"/>
          <w:rtl/>
          <w:lang w:eastAsia="de-DE"/>
        </w:rPr>
        <w:t xml:space="preserve"> </w:t>
      </w:r>
      <w:r w:rsidRPr="00133297">
        <w:rPr>
          <w:rFonts w:eastAsia="Times New Roman" w:cs="Times New Roman"/>
          <w:lang w:eastAsia="de-DE"/>
        </w:rPr>
        <w:t xml:space="preserve">(Präposition mit </w:t>
      </w:r>
      <w:r w:rsidRPr="00133297">
        <w:rPr>
          <w:rFonts w:eastAsia="Times New Roman" w:cs="Times New Roman"/>
          <w:b/>
          <w:bCs/>
          <w:rtl/>
          <w:lang w:eastAsia="de-DE"/>
        </w:rPr>
        <w:t>מַחֲנֶה</w:t>
      </w:r>
      <w:r w:rsidRPr="00133297">
        <w:rPr>
          <w:rFonts w:eastAsia="Times New Roman" w:cs="Times New Roman"/>
          <w:rtl/>
          <w:lang w:eastAsia="de-DE"/>
        </w:rPr>
        <w:t xml:space="preserve"> </w:t>
      </w:r>
      <w:r w:rsidRPr="00133297">
        <w:rPr>
          <w:rFonts w:eastAsia="Times New Roman" w:cs="Times New Roman"/>
          <w:lang w:eastAsia="de-DE"/>
        </w:rPr>
        <w:t>„Lager" und Artikel „ins Lager"). Erst nach vollständiger Reinigung dürfen die Krieger ins Lager zurückkehren.</w:t>
      </w:r>
    </w:p>
    <w:p w14:paraId="5F36B43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drei koordinierte Perfekta mit Waw consecutivum (waschen, rein werden) und einen Imperfekt (kommen dürfen) mit temporaler Bestimmung.</w:t>
      </w:r>
    </w:p>
    <w:p w14:paraId="50AD9938"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schließt den siebentägigen Reinigungsprozess ab: Am siebten Tag Kleiderwäsche, dann ist Reinheit erreicht, und erst danach darf die Rückkehr ins Lager erfolgen - ein System, das die Heiligkeit der Gemeinde schützt.</w:t>
      </w:r>
    </w:p>
    <w:p w14:paraId="7901472C"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31,25</w:t>
      </w:r>
    </w:p>
    <w:p w14:paraId="411462AA"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וַיֹּ֥אמֶר יְהוָ֖ה אֶל־מֹשֶׁ֥ה לֵּאמֹֽר׃</w:t>
      </w:r>
    </w:p>
    <w:p w14:paraId="4619DB04"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der Ewige redete zu Mosche, sagend:</w:t>
      </w:r>
    </w:p>
    <w:p w14:paraId="68F3F853"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44FBBCAF">
          <v:rect id="_x0000_i1969" style="width:0;height:1.5pt" o:hralign="center" o:hrstd="t" o:hr="t" fillcolor="#a0a0a0" stroked="f"/>
        </w:pict>
      </w:r>
    </w:p>
    <w:p w14:paraId="457BB54D" w14:textId="0F41F62D" w:rsidR="00133297" w:rsidRPr="00133297" w:rsidRDefault="00133297" w:rsidP="00907A11">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ist die Standard-Redeeinleitung für ein neues göttliches Gebot. </w:t>
      </w:r>
      <w:r w:rsidRPr="00133297">
        <w:rPr>
          <w:rFonts w:eastAsia="Times New Roman" w:cs="Times New Roman"/>
          <w:b/>
          <w:bCs/>
          <w:rtl/>
          <w:lang w:eastAsia="de-DE"/>
        </w:rPr>
        <w:t>וַיֹּאמֶר</w:t>
      </w:r>
      <w:r w:rsidRPr="00133297">
        <w:rPr>
          <w:rFonts w:eastAsia="Times New Roman" w:cs="Times New Roman"/>
          <w:rtl/>
          <w:lang w:eastAsia="de-DE"/>
        </w:rPr>
        <w:t xml:space="preserve"> </w:t>
      </w:r>
      <w:r w:rsidRPr="00133297">
        <w:rPr>
          <w:rFonts w:eastAsia="Times New Roman" w:cs="Times New Roman"/>
          <w:lang w:eastAsia="de-DE"/>
        </w:rPr>
        <w:t xml:space="preserve">ist Qal Wayyiqtol 3. Person maskulin Singular von </w:t>
      </w:r>
      <w:r w:rsidRPr="00133297">
        <w:rPr>
          <w:rFonts w:eastAsia="Times New Roman" w:cs="Times New Roman"/>
          <w:b/>
          <w:bCs/>
          <w:rtl/>
          <w:lang w:eastAsia="de-DE"/>
        </w:rPr>
        <w:t>אמר</w:t>
      </w:r>
      <w:r w:rsidRPr="00133297">
        <w:rPr>
          <w:rFonts w:eastAsia="Times New Roman" w:cs="Times New Roman"/>
          <w:rtl/>
          <w:lang w:eastAsia="de-DE"/>
        </w:rPr>
        <w:t xml:space="preserve"> </w:t>
      </w:r>
      <w:r w:rsidRPr="00133297">
        <w:rPr>
          <w:rFonts w:eastAsia="Times New Roman" w:cs="Times New Roman"/>
          <w:lang w:eastAsia="de-DE"/>
        </w:rPr>
        <w:t xml:space="preserve">(„sagen, sprechen"), </w:t>
      </w:r>
      <w:r w:rsidRPr="00133297">
        <w:rPr>
          <w:rFonts w:eastAsia="Times New Roman" w:cs="Times New Roman"/>
          <w:b/>
          <w:bCs/>
          <w:rtl/>
          <w:lang w:eastAsia="de-DE"/>
        </w:rPr>
        <w:t>יהוה</w:t>
      </w:r>
      <w:r w:rsidRPr="00133297">
        <w:rPr>
          <w:rFonts w:eastAsia="Times New Roman" w:cs="Times New Roman"/>
          <w:rtl/>
          <w:lang w:eastAsia="de-DE"/>
        </w:rPr>
        <w:t xml:space="preserve"> </w:t>
      </w:r>
      <w:r w:rsidRPr="00133297">
        <w:rPr>
          <w:rFonts w:eastAsia="Times New Roman" w:cs="Times New Roman"/>
          <w:lang w:eastAsia="de-DE"/>
        </w:rPr>
        <w:t xml:space="preserve">ist das Subjekt (Tetragramm), </w:t>
      </w:r>
      <w:r w:rsidRPr="00133297">
        <w:rPr>
          <w:rFonts w:eastAsia="Times New Roman" w:cs="Times New Roman"/>
          <w:b/>
          <w:bCs/>
          <w:rtl/>
          <w:lang w:eastAsia="de-DE"/>
        </w:rPr>
        <w:t>אֶל־מֹשֶׁה</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אֶל</w:t>
      </w:r>
      <w:r w:rsidRPr="00133297">
        <w:rPr>
          <w:rFonts w:eastAsia="Times New Roman" w:cs="Times New Roman"/>
          <w:rtl/>
          <w:lang w:eastAsia="de-DE"/>
        </w:rPr>
        <w:t xml:space="preserve"> </w:t>
      </w:r>
      <w:r w:rsidRPr="00133297">
        <w:rPr>
          <w:rFonts w:eastAsia="Times New Roman" w:cs="Times New Roman"/>
          <w:lang w:eastAsia="de-DE"/>
        </w:rPr>
        <w:t xml:space="preserve">mit dem Eigennamen) gibt den Adressaten an. </w:t>
      </w:r>
      <w:r w:rsidRPr="00133297">
        <w:rPr>
          <w:rFonts w:eastAsia="Times New Roman" w:cs="Times New Roman"/>
          <w:b/>
          <w:bCs/>
          <w:rtl/>
          <w:lang w:eastAsia="de-DE"/>
        </w:rPr>
        <w:t>לֵּאמֹר</w:t>
      </w:r>
      <w:r w:rsidRPr="00133297">
        <w:rPr>
          <w:rFonts w:eastAsia="Times New Roman" w:cs="Times New Roman"/>
          <w:rtl/>
          <w:lang w:eastAsia="de-DE"/>
        </w:rPr>
        <w:t xml:space="preserve"> </w:t>
      </w:r>
      <w:r w:rsidRPr="00133297">
        <w:rPr>
          <w:rFonts w:eastAsia="Times New Roman" w:cs="Times New Roman"/>
          <w:lang w:eastAsia="de-DE"/>
        </w:rPr>
        <w:t xml:space="preserve">ist Qal Infinitiv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אמר</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(„sagend").</w:t>
      </w:r>
    </w:p>
    <w:p w14:paraId="35E73419"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ist eine einfache Redeeinleitung.</w:t>
      </w:r>
    </w:p>
    <w:p w14:paraId="01C676DB"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leitet die göttlichen Anweisungen zur Verteilung der Kriegsbeute ein - ein Übergang von Reinigungsvorschriften zu wirtschaftlichen Regelungen.</w:t>
      </w:r>
    </w:p>
    <w:p w14:paraId="35CA65E2"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31,26</w:t>
      </w:r>
    </w:p>
    <w:p w14:paraId="30B35D08"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שָׂ֗א אֵ֣ת רֹ֤אשׁ מַלְקוֹחַ֙ הַשְּׁבִ֔י בָּאָדָ֖ם וּבַבְּהֵמָ֑ה אַתָּה֙ וְאֶלְעָזָ֣ר הַכֹּהֵ֔ן וְרָאשֵׁ֖י אֲב֥וֹת הָעֵדָֽה׃</w:t>
      </w:r>
    </w:p>
    <w:p w14:paraId="6C04C2C9"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„Nimm die Summe der weggeführten Beute auf, an Menschen und an Vieh, du und El'asar, der Priester, und die Häupter der Väter der Gemeinde;</w:t>
      </w:r>
    </w:p>
    <w:p w14:paraId="0DB192C8"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08825095">
          <v:rect id="_x0000_i1970" style="width:0;height:1.5pt" o:hralign="center" o:hrstd="t" o:hr="t" fillcolor="#a0a0a0" stroked="f"/>
        </w:pict>
      </w:r>
    </w:p>
    <w:p w14:paraId="7058BC93" w14:textId="2729C5B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lastRenderedPageBreak/>
        <w:t>Kommentar:</w:t>
      </w:r>
      <w:r w:rsidRPr="00133297">
        <w:rPr>
          <w:rFonts w:eastAsia="Times New Roman" w:cs="Times New Roman"/>
          <w:lang w:eastAsia="de-DE"/>
        </w:rPr>
        <w:t xml:space="preserve"> Der Vers befiehlt die Inventarisierung der Beute. </w:t>
      </w:r>
      <w:r w:rsidRPr="00133297">
        <w:rPr>
          <w:rFonts w:eastAsia="Times New Roman" w:cs="Times New Roman"/>
          <w:b/>
          <w:bCs/>
          <w:rtl/>
          <w:lang w:eastAsia="de-DE"/>
        </w:rPr>
        <w:t>שָׂא אֵת רֹאשׁ מַלְקוֹחַ הַשְּׁבִי בָּאָדָם וּבַבְּהֵמָה</w:t>
      </w:r>
      <w:r w:rsidRPr="00133297">
        <w:rPr>
          <w:rFonts w:eastAsia="Times New Roman" w:cs="Times New Roman"/>
          <w:rtl/>
          <w:lang w:eastAsia="de-DE"/>
        </w:rPr>
        <w:t xml:space="preserve"> </w:t>
      </w:r>
      <w:r w:rsidRPr="00133297">
        <w:rPr>
          <w:rFonts w:eastAsia="Times New Roman" w:cs="Times New Roman"/>
          <w:lang w:eastAsia="de-DE"/>
        </w:rPr>
        <w:t xml:space="preserve">ist der Befehl. </w:t>
      </w:r>
      <w:r w:rsidRPr="00133297">
        <w:rPr>
          <w:rFonts w:eastAsia="Times New Roman" w:cs="Times New Roman"/>
          <w:b/>
          <w:bCs/>
          <w:rtl/>
          <w:lang w:eastAsia="de-DE"/>
        </w:rPr>
        <w:t>שָׂא</w:t>
      </w:r>
      <w:r w:rsidRPr="00133297">
        <w:rPr>
          <w:rFonts w:eastAsia="Times New Roman" w:cs="Times New Roman"/>
          <w:rtl/>
          <w:lang w:eastAsia="de-DE"/>
        </w:rPr>
        <w:t xml:space="preserve"> </w:t>
      </w:r>
      <w:r w:rsidRPr="00133297">
        <w:rPr>
          <w:rFonts w:eastAsia="Times New Roman" w:cs="Times New Roman"/>
          <w:lang w:eastAsia="de-DE"/>
        </w:rPr>
        <w:t xml:space="preserve">(Qal Imperativ maskulin Singular von </w:t>
      </w:r>
      <w:r w:rsidRPr="00133297">
        <w:rPr>
          <w:rFonts w:eastAsia="Times New Roman" w:cs="Times New Roman"/>
          <w:b/>
          <w:bCs/>
          <w:rtl/>
          <w:lang w:eastAsia="de-DE"/>
        </w:rPr>
        <w:t>נשׂא</w:t>
      </w:r>
      <w:r w:rsidRPr="00133297">
        <w:rPr>
          <w:rFonts w:eastAsia="Times New Roman" w:cs="Times New Roman"/>
          <w:rtl/>
          <w:lang w:eastAsia="de-DE"/>
        </w:rPr>
        <w:t xml:space="preserve"> </w:t>
      </w:r>
      <w:r w:rsidRPr="00133297">
        <w:rPr>
          <w:rFonts w:eastAsia="Times New Roman" w:cs="Times New Roman"/>
          <w:lang w:eastAsia="de-DE"/>
        </w:rPr>
        <w:t xml:space="preserve">„erheben, aufnehmen"), </w:t>
      </w:r>
      <w:r w:rsidRPr="00133297">
        <w:rPr>
          <w:rFonts w:eastAsia="Times New Roman" w:cs="Times New Roman"/>
          <w:b/>
          <w:bCs/>
          <w:rtl/>
          <w:lang w:eastAsia="de-DE"/>
        </w:rPr>
        <w:t>אֵת רֹאשׁ</w:t>
      </w:r>
      <w:r w:rsidRPr="00133297">
        <w:rPr>
          <w:rFonts w:eastAsia="Times New Roman" w:cs="Times New Roman"/>
          <w:rtl/>
          <w:lang w:eastAsia="de-DE"/>
        </w:rPr>
        <w:t xml:space="preserve"> </w:t>
      </w:r>
      <w:r w:rsidRPr="00133297">
        <w:rPr>
          <w:rFonts w:eastAsia="Times New Roman" w:cs="Times New Roman"/>
          <w:lang w:eastAsia="de-DE"/>
        </w:rPr>
        <w:t xml:space="preserve">(Akkusativpartikel mit </w:t>
      </w:r>
      <w:r w:rsidRPr="00133297">
        <w:rPr>
          <w:rFonts w:eastAsia="Times New Roman" w:cs="Times New Roman"/>
          <w:b/>
          <w:bCs/>
          <w:rtl/>
          <w:lang w:eastAsia="de-DE"/>
        </w:rPr>
        <w:t>רֹאשׁ</w:t>
      </w:r>
      <w:r w:rsidRPr="00133297">
        <w:rPr>
          <w:rFonts w:eastAsia="Times New Roman" w:cs="Times New Roman"/>
          <w:rtl/>
          <w:lang w:eastAsia="de-DE"/>
        </w:rPr>
        <w:t xml:space="preserve"> </w:t>
      </w:r>
      <w:r w:rsidRPr="00133297">
        <w:rPr>
          <w:rFonts w:eastAsia="Times New Roman" w:cs="Times New Roman"/>
          <w:lang w:eastAsia="de-DE"/>
        </w:rPr>
        <w:t xml:space="preserve">„Haupt, Summe" „nimm die Summe auf"), </w:t>
      </w:r>
      <w:r w:rsidRPr="00133297">
        <w:rPr>
          <w:rFonts w:eastAsia="Times New Roman" w:cs="Times New Roman"/>
          <w:b/>
          <w:bCs/>
          <w:rtl/>
          <w:lang w:eastAsia="de-DE"/>
        </w:rPr>
        <w:t>מַלְקוֹחַ הַשְּׁבִי</w:t>
      </w:r>
      <w:r w:rsidRPr="00133297">
        <w:rPr>
          <w:rFonts w:eastAsia="Times New Roman" w:cs="Times New Roman"/>
          <w:rtl/>
          <w:lang w:eastAsia="de-DE"/>
        </w:rPr>
        <w:t xml:space="preserve"> </w:t>
      </w:r>
      <w:r w:rsidRPr="00133297">
        <w:rPr>
          <w:rFonts w:eastAsia="Times New Roman" w:cs="Times New Roman"/>
          <w:lang w:eastAsia="de-DE"/>
        </w:rPr>
        <w:t xml:space="preserve">(Genitivverbindung: </w:t>
      </w:r>
      <w:r w:rsidRPr="00133297">
        <w:rPr>
          <w:rFonts w:eastAsia="Times New Roman" w:cs="Times New Roman"/>
          <w:b/>
          <w:bCs/>
          <w:rtl/>
          <w:lang w:eastAsia="de-DE"/>
        </w:rPr>
        <w:t>מַלְקוֹחַ</w:t>
      </w:r>
      <w:r w:rsidRPr="00133297">
        <w:rPr>
          <w:rFonts w:eastAsia="Times New Roman" w:cs="Times New Roman"/>
          <w:rtl/>
          <w:lang w:eastAsia="de-DE"/>
        </w:rPr>
        <w:t xml:space="preserve"> </w:t>
      </w:r>
      <w:r w:rsidRPr="00133297">
        <w:rPr>
          <w:rFonts w:eastAsia="Times New Roman" w:cs="Times New Roman"/>
          <w:lang w:eastAsia="de-DE"/>
        </w:rPr>
        <w:t xml:space="preserve">„Raub, Beute" im </w:t>
      </w:r>
      <w:r w:rsidR="00E031B3">
        <w:rPr>
          <w:rFonts w:eastAsia="Times New Roman" w:cs="Times New Roman"/>
          <w:lang w:eastAsia="de-DE"/>
        </w:rPr>
        <w:t>Constructus mit</w:t>
      </w:r>
      <w:r w:rsidRPr="00133297">
        <w:rPr>
          <w:rFonts w:eastAsia="Times New Roman" w:cs="Times New Roman"/>
          <w:lang w:eastAsia="de-DE"/>
        </w:rPr>
        <w:t xml:space="preserve"> </w:t>
      </w:r>
      <w:r w:rsidRPr="00133297">
        <w:rPr>
          <w:rFonts w:eastAsia="Times New Roman" w:cs="Times New Roman"/>
          <w:b/>
          <w:bCs/>
          <w:rtl/>
          <w:lang w:eastAsia="de-DE"/>
        </w:rPr>
        <w:t>שְׁבִי</w:t>
      </w:r>
      <w:r w:rsidRPr="00133297">
        <w:rPr>
          <w:rFonts w:eastAsia="Times New Roman" w:cs="Times New Roman"/>
          <w:rtl/>
          <w:lang w:eastAsia="de-DE"/>
        </w:rPr>
        <w:t xml:space="preserve"> </w:t>
      </w:r>
      <w:r w:rsidRPr="00133297">
        <w:rPr>
          <w:rFonts w:eastAsia="Times New Roman" w:cs="Times New Roman"/>
          <w:lang w:eastAsia="de-DE"/>
        </w:rPr>
        <w:t xml:space="preserve">„Gefangenschaft, Gefangene" mit Artikel „der weggeführten Beute"), </w:t>
      </w:r>
      <w:r w:rsidRPr="00133297">
        <w:rPr>
          <w:rFonts w:eastAsia="Times New Roman" w:cs="Times New Roman"/>
          <w:b/>
          <w:bCs/>
          <w:rtl/>
          <w:lang w:eastAsia="de-DE"/>
        </w:rPr>
        <w:t>בָּאָדָם וּבַבְּהֵמָה</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בְ</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אָדָם</w:t>
      </w:r>
      <w:r w:rsidRPr="00133297">
        <w:rPr>
          <w:rFonts w:eastAsia="Times New Roman" w:cs="Times New Roman"/>
          <w:rtl/>
          <w:lang w:eastAsia="de-DE"/>
        </w:rPr>
        <w:t xml:space="preserve"> </w:t>
      </w:r>
      <w:r w:rsidRPr="00133297">
        <w:rPr>
          <w:rFonts w:eastAsia="Times New Roman" w:cs="Times New Roman"/>
          <w:lang w:eastAsia="de-DE"/>
        </w:rPr>
        <w:t xml:space="preserve">„Mensch" und </w:t>
      </w:r>
      <w:r w:rsidRPr="00133297">
        <w:rPr>
          <w:rFonts w:eastAsia="Times New Roman" w:cs="Times New Roman"/>
          <w:b/>
          <w:bCs/>
          <w:rtl/>
          <w:lang w:eastAsia="de-DE"/>
        </w:rPr>
        <w:t>בְּהֵמָה</w:t>
      </w:r>
      <w:r w:rsidRPr="00133297">
        <w:rPr>
          <w:rFonts w:eastAsia="Times New Roman" w:cs="Times New Roman"/>
          <w:rtl/>
          <w:lang w:eastAsia="de-DE"/>
        </w:rPr>
        <w:t xml:space="preserve"> </w:t>
      </w:r>
      <w:r w:rsidRPr="00133297">
        <w:rPr>
          <w:rFonts w:eastAsia="Times New Roman" w:cs="Times New Roman"/>
          <w:lang w:eastAsia="de-DE"/>
        </w:rPr>
        <w:t xml:space="preserve">„Vieh" mit Artikeln „an Menschen und an Vieh"). Die Formulierung </w:t>
      </w:r>
      <w:r w:rsidRPr="00133297">
        <w:rPr>
          <w:rFonts w:eastAsia="Times New Roman" w:cs="Times New Roman"/>
          <w:b/>
          <w:bCs/>
          <w:rtl/>
          <w:lang w:eastAsia="de-DE"/>
        </w:rPr>
        <w:t>נשׂא רֹאשׁ</w:t>
      </w:r>
      <w:r w:rsidRPr="00133297">
        <w:rPr>
          <w:rFonts w:eastAsia="Times New Roman" w:cs="Times New Roman"/>
          <w:rtl/>
          <w:lang w:eastAsia="de-DE"/>
        </w:rPr>
        <w:t xml:space="preserve"> </w:t>
      </w:r>
      <w:r w:rsidRPr="00133297">
        <w:rPr>
          <w:rFonts w:eastAsia="Times New Roman" w:cs="Times New Roman"/>
          <w:lang w:eastAsia="de-DE"/>
        </w:rPr>
        <w:t>bedeutet idiomatisch „eine Zählung durchführen, eine Volkszählung machen" (vgl. Num 1,2).</w:t>
      </w:r>
    </w:p>
    <w:p w14:paraId="22F83A2B" w14:textId="24437CF4" w:rsidR="00133297" w:rsidRPr="00133297" w:rsidRDefault="00133297" w:rsidP="00460FCC">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אַתָּה וְאֶלְעָזָר הַכֹּהֵן וְרָאשֵׁי אֲבוֹת הָעֵדָה</w:t>
      </w:r>
      <w:r w:rsidRPr="00133297">
        <w:rPr>
          <w:rFonts w:eastAsia="Times New Roman" w:cs="Times New Roman"/>
          <w:rtl/>
          <w:lang w:eastAsia="de-DE"/>
        </w:rPr>
        <w:t xml:space="preserve"> </w:t>
      </w:r>
      <w:r w:rsidRPr="00133297">
        <w:rPr>
          <w:rFonts w:eastAsia="Times New Roman" w:cs="Times New Roman"/>
          <w:lang w:eastAsia="de-DE"/>
        </w:rPr>
        <w:t xml:space="preserve">sind die Beauftragten. </w:t>
      </w:r>
      <w:r w:rsidRPr="00133297">
        <w:rPr>
          <w:rFonts w:eastAsia="Times New Roman" w:cs="Times New Roman"/>
          <w:b/>
          <w:bCs/>
          <w:rtl/>
          <w:lang w:eastAsia="de-DE"/>
        </w:rPr>
        <w:t>אַתָּה</w:t>
      </w:r>
      <w:r w:rsidRPr="00133297">
        <w:rPr>
          <w:rFonts w:eastAsia="Times New Roman" w:cs="Times New Roman"/>
          <w:rtl/>
          <w:lang w:eastAsia="de-DE"/>
        </w:rPr>
        <w:t xml:space="preserve"> </w:t>
      </w:r>
      <w:r w:rsidRPr="00133297">
        <w:rPr>
          <w:rFonts w:eastAsia="Times New Roman" w:cs="Times New Roman"/>
          <w:lang w:eastAsia="de-DE"/>
        </w:rPr>
        <w:t xml:space="preserve">(Personalpronomen 2. Person maskulin Singular „du", d.h. Mose), </w:t>
      </w:r>
      <w:r w:rsidRPr="00133297">
        <w:rPr>
          <w:rFonts w:eastAsia="Times New Roman" w:cs="Times New Roman"/>
          <w:b/>
          <w:bCs/>
          <w:rtl/>
          <w:lang w:eastAsia="de-DE"/>
        </w:rPr>
        <w:t>וְאֶלְעָזָר הַכֹּהֵן</w:t>
      </w:r>
      <w:r w:rsidRPr="00133297">
        <w:rPr>
          <w:rFonts w:eastAsia="Times New Roman" w:cs="Times New Roman"/>
          <w:rtl/>
          <w:lang w:eastAsia="de-DE"/>
        </w:rPr>
        <w:t xml:space="preserve"> </w:t>
      </w:r>
      <w:r w:rsidRPr="00133297">
        <w:rPr>
          <w:rFonts w:eastAsia="Times New Roman" w:cs="Times New Roman"/>
          <w:lang w:eastAsia="de-DE"/>
        </w:rPr>
        <w:t xml:space="preserve">(Konjunktion mit „Eleasar der Priester"), </w:t>
      </w:r>
      <w:r w:rsidRPr="00133297">
        <w:rPr>
          <w:rFonts w:eastAsia="Times New Roman" w:cs="Times New Roman"/>
          <w:b/>
          <w:bCs/>
          <w:rtl/>
          <w:lang w:eastAsia="de-DE"/>
        </w:rPr>
        <w:t>וְרָאשֵׁי אֲבוֹת הָעֵדָה</w:t>
      </w:r>
      <w:r w:rsidRPr="00133297">
        <w:rPr>
          <w:rFonts w:eastAsia="Times New Roman" w:cs="Times New Roman"/>
          <w:rtl/>
          <w:lang w:eastAsia="de-DE"/>
        </w:rPr>
        <w:t xml:space="preserve"> </w:t>
      </w:r>
      <w:r w:rsidRPr="00133297">
        <w:rPr>
          <w:rFonts w:eastAsia="Times New Roman" w:cs="Times New Roman"/>
          <w:lang w:eastAsia="de-DE"/>
        </w:rPr>
        <w:t xml:space="preserve">(Konjunktion mit Plural </w:t>
      </w:r>
      <w:r w:rsidR="00B513FF">
        <w:rPr>
          <w:rFonts w:eastAsia="Times New Roman" w:cs="Times New Roman"/>
          <w:lang w:eastAsia="de-DE"/>
        </w:rPr>
        <w:t xml:space="preserve">Constructus </w:t>
      </w:r>
      <w:r w:rsidRPr="00133297">
        <w:rPr>
          <w:rFonts w:eastAsia="Times New Roman" w:cs="Times New Roman"/>
          <w:lang w:eastAsia="de-DE"/>
        </w:rPr>
        <w:t xml:space="preserve">von </w:t>
      </w:r>
      <w:r w:rsidRPr="00133297">
        <w:rPr>
          <w:rFonts w:eastAsia="Times New Roman" w:cs="Times New Roman"/>
          <w:b/>
          <w:bCs/>
          <w:rtl/>
          <w:lang w:eastAsia="de-DE"/>
        </w:rPr>
        <w:t>רֹאשׁ</w:t>
      </w:r>
      <w:r w:rsidRPr="00133297">
        <w:rPr>
          <w:rFonts w:eastAsia="Times New Roman" w:cs="Times New Roman"/>
          <w:rtl/>
          <w:lang w:eastAsia="de-DE"/>
        </w:rPr>
        <w:t xml:space="preserve"> </w:t>
      </w:r>
      <w:r w:rsidRPr="00133297">
        <w:rPr>
          <w:rFonts w:eastAsia="Times New Roman" w:cs="Times New Roman"/>
          <w:lang w:eastAsia="de-DE"/>
        </w:rPr>
        <w:t xml:space="preserve">„Haupt" und </w:t>
      </w:r>
      <w:r w:rsidRPr="00133297">
        <w:rPr>
          <w:rFonts w:eastAsia="Times New Roman" w:cs="Times New Roman"/>
          <w:b/>
          <w:bCs/>
          <w:rtl/>
          <w:lang w:eastAsia="de-DE"/>
        </w:rPr>
        <w:t>אָבוֹת</w:t>
      </w:r>
      <w:r w:rsidRPr="00133297">
        <w:rPr>
          <w:rFonts w:eastAsia="Times New Roman" w:cs="Times New Roman"/>
          <w:rtl/>
          <w:lang w:eastAsia="de-DE"/>
        </w:rPr>
        <w:t xml:space="preserve"> </w:t>
      </w:r>
      <w:r w:rsidRPr="00133297">
        <w:rPr>
          <w:rFonts w:eastAsia="Times New Roman" w:cs="Times New Roman"/>
          <w:lang w:eastAsia="de-DE"/>
        </w:rPr>
        <w:t xml:space="preserve">„Väter" im </w:t>
      </w:r>
      <w:r w:rsidR="00B513FF">
        <w:rPr>
          <w:rFonts w:eastAsia="Times New Roman" w:cs="Times New Roman"/>
          <w:lang w:eastAsia="de-DE"/>
        </w:rPr>
        <w:t xml:space="preserve">Constructus </w:t>
      </w:r>
      <w:r w:rsidRPr="00133297">
        <w:rPr>
          <w:rFonts w:eastAsia="Times New Roman" w:cs="Times New Roman"/>
          <w:lang w:eastAsia="de-DE"/>
        </w:rPr>
        <w:t xml:space="preserve">mit </w:t>
      </w:r>
      <w:r w:rsidRPr="00133297">
        <w:rPr>
          <w:rFonts w:eastAsia="Times New Roman" w:cs="Times New Roman"/>
          <w:b/>
          <w:bCs/>
          <w:rtl/>
          <w:lang w:eastAsia="de-DE"/>
        </w:rPr>
        <w:t>עֵדָה</w:t>
      </w:r>
      <w:r w:rsidRPr="00133297">
        <w:rPr>
          <w:rFonts w:eastAsia="Times New Roman" w:cs="Times New Roman"/>
          <w:rtl/>
          <w:lang w:eastAsia="de-DE"/>
        </w:rPr>
        <w:t xml:space="preserve"> </w:t>
      </w:r>
      <w:r w:rsidRPr="00133297">
        <w:rPr>
          <w:rFonts w:eastAsia="Times New Roman" w:cs="Times New Roman"/>
          <w:lang w:eastAsia="de-DE"/>
        </w:rPr>
        <w:t>„Gemeinde" mit Artikel „und die Häupter der Väter der Gemeinde"). Die dreifache Beauftragung zeigt die Bedeutung und verlangt Transparenz.</w:t>
      </w:r>
    </w:p>
    <w:p w14:paraId="27DC4BB4"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einen Imperativ mit Akkusativobjekt (Summe der Beute), spezifiziert durch zwei präpositionale Phrasen (Menschen und Vieh), gefolgt von drei koordinierten Subjekten (Mose, Eleasar, Familienoberhäupter).</w:t>
      </w:r>
    </w:p>
    <w:p w14:paraId="4951083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ordnet eine offizielle Bestandsaufnahme der Kriegsbeute an, durchgeführt von einer dreiköpfigen Kommission, was Transparenz und gerechte Verteilung gewährleisten soll.</w:t>
      </w:r>
    </w:p>
    <w:p w14:paraId="44B4046F"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31,27</w:t>
      </w:r>
    </w:p>
    <w:p w14:paraId="491AFED9"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וְחָצִ֙יתָ֙ אֶת־הַמַּלְק֔וֹחַ בֵּ֚ין תֹּפְשֵׂ֣י הַמִּלְחָמָ֔ה הַיֹּצְאִ֖ים לַצָּבָ֑א וּבֵ֖ין כָּל־הָעֵדָֽה׃</w:t>
      </w:r>
    </w:p>
    <w:p w14:paraId="2BAFB395"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teile die Beute zur Hälfte zwischen denen, die den Krieg geführt haben, die ins Feld gezogen sind, und der ganzen Gemeinde.</w:t>
      </w:r>
    </w:p>
    <w:p w14:paraId="0E89326C"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0A5A10CA">
          <v:rect id="_x0000_i1971" style="width:0;height:1.5pt" o:hralign="center" o:hrstd="t" o:hr="t" fillcolor="#a0a0a0" stroked="f"/>
        </w:pict>
      </w:r>
    </w:p>
    <w:p w14:paraId="43582B4F" w14:textId="09961868" w:rsidR="00133297" w:rsidRPr="00133297" w:rsidRDefault="00133297" w:rsidP="00460FCC">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ordnet die Aufteilung der Beute an. </w:t>
      </w:r>
      <w:r w:rsidRPr="00133297">
        <w:rPr>
          <w:rFonts w:eastAsia="Times New Roman" w:cs="Times New Roman"/>
          <w:b/>
          <w:bCs/>
          <w:rtl/>
          <w:lang w:eastAsia="de-DE"/>
        </w:rPr>
        <w:t>וְחָצִיתָ אֶת־הַמַּלְקוֹחַ</w:t>
      </w:r>
      <w:r w:rsidRPr="00133297">
        <w:rPr>
          <w:rFonts w:eastAsia="Times New Roman" w:cs="Times New Roman"/>
          <w:rtl/>
          <w:lang w:eastAsia="de-DE"/>
        </w:rPr>
        <w:t xml:space="preserve"> </w:t>
      </w:r>
      <w:r w:rsidRPr="00133297">
        <w:rPr>
          <w:rFonts w:eastAsia="Times New Roman" w:cs="Times New Roman"/>
          <w:lang w:eastAsia="de-DE"/>
        </w:rPr>
        <w:t xml:space="preserve">ist der Befehl zur Teilung. </w:t>
      </w:r>
      <w:r w:rsidRPr="00133297">
        <w:rPr>
          <w:rFonts w:eastAsia="Times New Roman" w:cs="Times New Roman"/>
          <w:b/>
          <w:bCs/>
          <w:rtl/>
          <w:lang w:eastAsia="de-DE"/>
        </w:rPr>
        <w:t>וְחָצִיתָ</w:t>
      </w:r>
      <w:r w:rsidRPr="00133297">
        <w:rPr>
          <w:rFonts w:eastAsia="Times New Roman" w:cs="Times New Roman"/>
          <w:rtl/>
          <w:lang w:eastAsia="de-DE"/>
        </w:rPr>
        <w:t xml:space="preserve"> </w:t>
      </w:r>
      <w:r w:rsidRPr="00133297">
        <w:rPr>
          <w:rFonts w:eastAsia="Times New Roman" w:cs="Times New Roman"/>
          <w:lang w:eastAsia="de-DE"/>
        </w:rPr>
        <w:t xml:space="preserve">(Konjunktion mit Qal Perfekt 2. Person maskulin Singular mit Waw consecutivum von </w:t>
      </w:r>
      <w:r w:rsidRPr="00133297">
        <w:rPr>
          <w:rFonts w:eastAsia="Times New Roman" w:cs="Times New Roman"/>
          <w:b/>
          <w:bCs/>
          <w:rtl/>
          <w:lang w:eastAsia="de-DE"/>
        </w:rPr>
        <w:t>חצה</w:t>
      </w:r>
      <w:r w:rsidRPr="00133297">
        <w:rPr>
          <w:rFonts w:eastAsia="Times New Roman" w:cs="Times New Roman"/>
          <w:rtl/>
          <w:lang w:eastAsia="de-DE"/>
        </w:rPr>
        <w:t xml:space="preserve"> </w:t>
      </w:r>
      <w:r w:rsidRPr="00133297">
        <w:rPr>
          <w:rFonts w:eastAsia="Times New Roman" w:cs="Times New Roman"/>
          <w:lang w:eastAsia="de-DE"/>
        </w:rPr>
        <w:t xml:space="preserve">„teilen, halbieren"), </w:t>
      </w:r>
      <w:r w:rsidRPr="00133297">
        <w:rPr>
          <w:rFonts w:eastAsia="Times New Roman" w:cs="Times New Roman"/>
          <w:b/>
          <w:bCs/>
          <w:rtl/>
          <w:lang w:eastAsia="de-DE"/>
        </w:rPr>
        <w:t>אֶת־הַמַּלְקוֹחַ</w:t>
      </w:r>
      <w:r w:rsidRPr="00133297">
        <w:rPr>
          <w:rFonts w:eastAsia="Times New Roman" w:cs="Times New Roman"/>
          <w:rtl/>
          <w:lang w:eastAsia="de-DE"/>
        </w:rPr>
        <w:t xml:space="preserve"> </w:t>
      </w:r>
      <w:r w:rsidRPr="00133297">
        <w:rPr>
          <w:rFonts w:eastAsia="Times New Roman" w:cs="Times New Roman"/>
          <w:lang w:eastAsia="de-DE"/>
        </w:rPr>
        <w:t xml:space="preserve">(Akkusativpartikel mit </w:t>
      </w:r>
      <w:r w:rsidRPr="00133297">
        <w:rPr>
          <w:rFonts w:eastAsia="Times New Roman" w:cs="Times New Roman"/>
          <w:b/>
          <w:bCs/>
          <w:rtl/>
          <w:lang w:eastAsia="de-DE"/>
        </w:rPr>
        <w:t>מַלְקוֹחַ</w:t>
      </w:r>
      <w:r w:rsidRPr="00133297">
        <w:rPr>
          <w:rFonts w:eastAsia="Times New Roman" w:cs="Times New Roman"/>
          <w:rtl/>
          <w:lang w:eastAsia="de-DE"/>
        </w:rPr>
        <w:t xml:space="preserve"> </w:t>
      </w:r>
      <w:r w:rsidRPr="00133297">
        <w:rPr>
          <w:rFonts w:eastAsia="Times New Roman" w:cs="Times New Roman"/>
          <w:lang w:eastAsia="de-DE"/>
        </w:rPr>
        <w:t xml:space="preserve">„Beute" mit Artikel „die Beute"). </w:t>
      </w:r>
      <w:r w:rsidRPr="00133297">
        <w:rPr>
          <w:rFonts w:eastAsia="Times New Roman" w:cs="Times New Roman"/>
          <w:b/>
          <w:bCs/>
          <w:rtl/>
          <w:lang w:eastAsia="de-DE"/>
        </w:rPr>
        <w:t>בֵּין תֹּפְשֵׂי הַמִּלְחָמָה הַיֹּצְאִים לַצָּבָא וּבֵין כָּל־הָעֵדָה</w:t>
      </w:r>
      <w:r w:rsidRPr="00133297">
        <w:rPr>
          <w:rFonts w:eastAsia="Times New Roman" w:cs="Times New Roman"/>
          <w:rtl/>
          <w:lang w:eastAsia="de-DE"/>
        </w:rPr>
        <w:t xml:space="preserve"> </w:t>
      </w:r>
      <w:r w:rsidRPr="00133297">
        <w:rPr>
          <w:rFonts w:eastAsia="Times New Roman" w:cs="Times New Roman"/>
          <w:lang w:eastAsia="de-DE"/>
        </w:rPr>
        <w:t xml:space="preserve">gibt die beiden Empfängergruppen an. </w:t>
      </w:r>
      <w:r w:rsidRPr="00133297">
        <w:rPr>
          <w:rFonts w:eastAsia="Times New Roman" w:cs="Times New Roman"/>
          <w:b/>
          <w:bCs/>
          <w:rtl/>
          <w:lang w:eastAsia="de-DE"/>
        </w:rPr>
        <w:t>בֵּין</w:t>
      </w:r>
      <w:r w:rsidRPr="00133297">
        <w:rPr>
          <w:rFonts w:eastAsia="Times New Roman" w:cs="Times New Roman"/>
          <w:rtl/>
          <w:lang w:eastAsia="de-DE"/>
        </w:rPr>
        <w:t xml:space="preserve"> </w:t>
      </w:r>
      <w:r w:rsidRPr="00133297">
        <w:rPr>
          <w:rFonts w:eastAsia="Times New Roman" w:cs="Times New Roman"/>
          <w:lang w:eastAsia="de-DE"/>
        </w:rPr>
        <w:t xml:space="preserve">(„zwischen"), </w:t>
      </w:r>
      <w:r w:rsidRPr="00133297">
        <w:rPr>
          <w:rFonts w:eastAsia="Times New Roman" w:cs="Times New Roman"/>
          <w:b/>
          <w:bCs/>
          <w:rtl/>
          <w:lang w:eastAsia="de-DE"/>
        </w:rPr>
        <w:t>תֹּפְשֵׂי הַמִּלְחָמָה</w:t>
      </w:r>
      <w:r w:rsidRPr="00133297">
        <w:rPr>
          <w:rFonts w:eastAsia="Times New Roman" w:cs="Times New Roman"/>
          <w:rtl/>
          <w:lang w:eastAsia="de-DE"/>
        </w:rPr>
        <w:t xml:space="preserve"> </w:t>
      </w:r>
      <w:r w:rsidRPr="00133297">
        <w:rPr>
          <w:rFonts w:eastAsia="Times New Roman" w:cs="Times New Roman"/>
          <w:lang w:eastAsia="de-DE"/>
        </w:rPr>
        <w:t xml:space="preserve">(Qal-Partizip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תפשׂ</w:t>
      </w:r>
      <w:r w:rsidRPr="00133297">
        <w:rPr>
          <w:rFonts w:eastAsia="Times New Roman" w:cs="Times New Roman"/>
          <w:rtl/>
          <w:lang w:eastAsia="de-DE"/>
        </w:rPr>
        <w:t xml:space="preserve"> </w:t>
      </w:r>
      <w:r w:rsidRPr="00133297">
        <w:rPr>
          <w:rFonts w:eastAsia="Times New Roman" w:cs="Times New Roman"/>
          <w:lang w:eastAsia="de-DE"/>
        </w:rPr>
        <w:t xml:space="preserve">„ergreifen, führen" mit </w:t>
      </w:r>
      <w:r w:rsidRPr="00133297">
        <w:rPr>
          <w:rFonts w:eastAsia="Times New Roman" w:cs="Times New Roman"/>
          <w:b/>
          <w:bCs/>
          <w:rtl/>
          <w:lang w:eastAsia="de-DE"/>
        </w:rPr>
        <w:t>מִלְחָמָה</w:t>
      </w:r>
      <w:r w:rsidRPr="00133297">
        <w:rPr>
          <w:rFonts w:eastAsia="Times New Roman" w:cs="Times New Roman"/>
          <w:rtl/>
          <w:lang w:eastAsia="de-DE"/>
        </w:rPr>
        <w:t xml:space="preserve"> </w:t>
      </w:r>
      <w:r w:rsidRPr="00133297">
        <w:rPr>
          <w:rFonts w:eastAsia="Times New Roman" w:cs="Times New Roman"/>
          <w:lang w:eastAsia="de-DE"/>
        </w:rPr>
        <w:t xml:space="preserve">„Krieg" mit Artikel „denen, die den Krieg geführt haben"), </w:t>
      </w:r>
      <w:r w:rsidRPr="00133297">
        <w:rPr>
          <w:rFonts w:eastAsia="Times New Roman" w:cs="Times New Roman"/>
          <w:b/>
          <w:bCs/>
          <w:rtl/>
          <w:lang w:eastAsia="de-DE"/>
        </w:rPr>
        <w:t>הַיֹּצְאִים לַצָּבָא</w:t>
      </w:r>
      <w:r w:rsidRPr="00133297">
        <w:rPr>
          <w:rFonts w:eastAsia="Times New Roman" w:cs="Times New Roman"/>
          <w:rtl/>
          <w:lang w:eastAsia="de-DE"/>
        </w:rPr>
        <w:t xml:space="preserve"> </w:t>
      </w:r>
      <w:r w:rsidRPr="00133297">
        <w:rPr>
          <w:rFonts w:eastAsia="Times New Roman" w:cs="Times New Roman"/>
          <w:lang w:eastAsia="de-DE"/>
        </w:rPr>
        <w:t xml:space="preserve">(Qal-Partizip Plural von </w:t>
      </w:r>
      <w:r w:rsidRPr="00133297">
        <w:rPr>
          <w:rFonts w:eastAsia="Times New Roman" w:cs="Times New Roman"/>
          <w:b/>
          <w:bCs/>
          <w:rtl/>
          <w:lang w:eastAsia="de-DE"/>
        </w:rPr>
        <w:t>יצא</w:t>
      </w:r>
      <w:r w:rsidRPr="00133297">
        <w:rPr>
          <w:rFonts w:eastAsia="Times New Roman" w:cs="Times New Roman"/>
          <w:rtl/>
          <w:lang w:eastAsia="de-DE"/>
        </w:rPr>
        <w:t xml:space="preserve"> </w:t>
      </w:r>
      <w:r w:rsidRPr="00133297">
        <w:rPr>
          <w:rFonts w:eastAsia="Times New Roman" w:cs="Times New Roman"/>
          <w:lang w:eastAsia="de-DE"/>
        </w:rPr>
        <w:t xml:space="preserve">„ausziehen" mit Artikel und 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צָבָא</w:t>
      </w:r>
      <w:r w:rsidRPr="00133297">
        <w:rPr>
          <w:rFonts w:eastAsia="Times New Roman" w:cs="Times New Roman"/>
          <w:rtl/>
          <w:lang w:eastAsia="de-DE"/>
        </w:rPr>
        <w:t xml:space="preserve"> </w:t>
      </w:r>
      <w:r w:rsidRPr="00133297">
        <w:rPr>
          <w:rFonts w:eastAsia="Times New Roman" w:cs="Times New Roman"/>
          <w:lang w:eastAsia="de-DE"/>
        </w:rPr>
        <w:t xml:space="preserve">„Heer" „die zum Heer ausgezogen sind"), </w:t>
      </w:r>
      <w:r w:rsidRPr="00133297">
        <w:rPr>
          <w:rFonts w:eastAsia="Times New Roman" w:cs="Times New Roman"/>
          <w:b/>
          <w:bCs/>
          <w:rtl/>
          <w:lang w:eastAsia="de-DE"/>
        </w:rPr>
        <w:t>וּבֵין כָּל־הָעֵדָה</w:t>
      </w:r>
      <w:r w:rsidRPr="00133297">
        <w:rPr>
          <w:rFonts w:eastAsia="Times New Roman" w:cs="Times New Roman"/>
          <w:rtl/>
          <w:lang w:eastAsia="de-DE"/>
        </w:rPr>
        <w:t xml:space="preserve"> </w:t>
      </w:r>
      <w:r w:rsidRPr="00133297">
        <w:rPr>
          <w:rFonts w:eastAsia="Times New Roman" w:cs="Times New Roman"/>
          <w:lang w:eastAsia="de-DE"/>
        </w:rPr>
        <w:t xml:space="preserve">(Konjunktion mit </w:t>
      </w:r>
      <w:r w:rsidRPr="00133297">
        <w:rPr>
          <w:rFonts w:eastAsia="Times New Roman" w:cs="Times New Roman"/>
          <w:b/>
          <w:bCs/>
          <w:rtl/>
          <w:lang w:eastAsia="de-DE"/>
        </w:rPr>
        <w:t>בֵּין</w:t>
      </w:r>
      <w:r w:rsidRPr="00133297">
        <w:rPr>
          <w:rFonts w:eastAsia="Times New Roman" w:cs="Times New Roman"/>
          <w:rtl/>
          <w:lang w:eastAsia="de-DE"/>
        </w:rPr>
        <w:t xml:space="preserve"> </w:t>
      </w:r>
      <w:r w:rsidRPr="00133297">
        <w:rPr>
          <w:rFonts w:eastAsia="Times New Roman" w:cs="Times New Roman"/>
          <w:lang w:eastAsia="de-DE"/>
        </w:rPr>
        <w:t xml:space="preserve">und </w:t>
      </w:r>
      <w:r w:rsidRPr="00133297">
        <w:rPr>
          <w:rFonts w:eastAsia="Times New Roman" w:cs="Times New Roman"/>
          <w:b/>
          <w:bCs/>
          <w:rtl/>
          <w:lang w:eastAsia="de-DE"/>
        </w:rPr>
        <w:t>כָּל־הָעֵדָה</w:t>
      </w:r>
      <w:r w:rsidRPr="00133297">
        <w:rPr>
          <w:rFonts w:eastAsia="Times New Roman" w:cs="Times New Roman"/>
          <w:rtl/>
          <w:lang w:eastAsia="de-DE"/>
        </w:rPr>
        <w:t xml:space="preserve"> </w:t>
      </w:r>
      <w:r w:rsidRPr="00133297">
        <w:rPr>
          <w:rFonts w:eastAsia="Times New Roman" w:cs="Times New Roman"/>
          <w:lang w:eastAsia="de-DE"/>
        </w:rPr>
        <w:t>„und zwischen der ganzen Gemeinde"). Die Hälfte geht an die 12.000 Kämpfer, die andere Hälfte an die gesamte Gemeinde, die nicht gekämpft hat.</w:t>
      </w:r>
    </w:p>
    <w:p w14:paraId="28825D8D" w14:textId="230152CF"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 xml:space="preserve">Die Satzstruktur zeigt einen Imperativ (Perfekt mit Waw consecutivum) mit Akkusativobjekt, gefolgt von einer doppelten </w:t>
      </w:r>
      <w:r w:rsidRPr="00133297">
        <w:rPr>
          <w:rFonts w:eastAsia="Times New Roman" w:cs="Times New Roman"/>
          <w:b/>
          <w:bCs/>
          <w:rtl/>
          <w:lang w:eastAsia="de-DE"/>
        </w:rPr>
        <w:t>בֵּין</w:t>
      </w:r>
      <w:r w:rsidRPr="00133297">
        <w:rPr>
          <w:rFonts w:eastAsia="Times New Roman" w:cs="Times New Roman"/>
          <w:lang w:eastAsia="de-DE"/>
        </w:rPr>
        <w:t>-</w:t>
      </w:r>
      <w:r w:rsidR="00F133EC">
        <w:rPr>
          <w:rFonts w:eastAsia="Times New Roman" w:cs="Times New Roman"/>
          <w:lang w:eastAsia="de-DE"/>
        </w:rPr>
        <w:t>Construct</w:t>
      </w:r>
      <w:r w:rsidRPr="00133297">
        <w:rPr>
          <w:rFonts w:eastAsia="Times New Roman" w:cs="Times New Roman"/>
          <w:lang w:eastAsia="de-DE"/>
        </w:rPr>
        <w:t>ion, die die beiden Empfängergruppen identifiziert.</w:t>
      </w:r>
    </w:p>
    <w:p w14:paraId="2C4BBA9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etabliert das Prinzip der gerechten Verteilung: Die Hälfte der Beute geht an die Kämpfer als Belohnung für ihre Anstrengung und ihr Risiko, die andere Hälfte an die gesamte Gemeinde, da der Krieg im Namen aller geführt wurde.</w:t>
      </w:r>
    </w:p>
    <w:p w14:paraId="70433BC7"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lastRenderedPageBreak/>
        <w:t>Numeri 31,28</w:t>
      </w:r>
    </w:p>
    <w:p w14:paraId="5E592F36"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וַהֲרֵמֹתָ֨ מֶ֜כֶס לַֽיהוָ֗ה מֵאֵ֞ת אַנְשֵׁ֤י הַמִּלְחָמָה֙ הַיֹּצְאִ֣ים לַצָּבָ֔א אֶחָ֣ד נֶ֔פֶשׁ מֵחֲמֵ֖שׁ הַמֵּא֑וֹת מִן־הָאָדָם֙ וּמִן־הַבָּקָ֔ר וּמִן־הַחֲמֹרִ֖ים וּמִן־הַצֹּֽאן׃</w:t>
      </w:r>
    </w:p>
    <w:p w14:paraId="1E75167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erhebe von den Männern des Heeres, die ins Feld gezogen sind, eine Abgabe für den Ewigen: eine Seele von 500, von den Menschen und von den Rindern und von den Eseln und vom Kleinvieh;</w:t>
      </w:r>
    </w:p>
    <w:p w14:paraId="0CEAAF24"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3C42D2C0">
          <v:rect id="_x0000_i1972" style="width:0;height:1.5pt" o:hralign="center" o:hrstd="t" o:hr="t" fillcolor="#a0a0a0" stroked="f"/>
        </w:pict>
      </w:r>
    </w:p>
    <w:p w14:paraId="224DB38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verlangt eine Steuer für Gott von den Kämpfern. </w:t>
      </w:r>
      <w:r w:rsidRPr="00133297">
        <w:rPr>
          <w:rFonts w:eastAsia="Times New Roman" w:cs="Times New Roman"/>
          <w:b/>
          <w:bCs/>
          <w:rtl/>
          <w:lang w:eastAsia="de-DE"/>
        </w:rPr>
        <w:t>וַהֲרֵמֹתָ מֶכֶס לַיהוה מֵאֵת אַנְשֵׁי הַמִּלְחָמָה הַיֹּצְאִים לַצָּבָא</w:t>
      </w:r>
      <w:r w:rsidRPr="00133297">
        <w:rPr>
          <w:rFonts w:eastAsia="Times New Roman" w:cs="Times New Roman"/>
          <w:rtl/>
          <w:lang w:eastAsia="de-DE"/>
        </w:rPr>
        <w:t xml:space="preserve"> </w:t>
      </w:r>
      <w:r w:rsidRPr="00133297">
        <w:rPr>
          <w:rFonts w:eastAsia="Times New Roman" w:cs="Times New Roman"/>
          <w:lang w:eastAsia="de-DE"/>
        </w:rPr>
        <w:t xml:space="preserve">ist der Befehl. </w:t>
      </w:r>
      <w:r w:rsidRPr="00133297">
        <w:rPr>
          <w:rFonts w:eastAsia="Times New Roman" w:cs="Times New Roman"/>
          <w:b/>
          <w:bCs/>
          <w:rtl/>
          <w:lang w:eastAsia="de-DE"/>
        </w:rPr>
        <w:t>וַהֲרֵמֹתָ</w:t>
      </w:r>
      <w:r w:rsidRPr="00133297">
        <w:rPr>
          <w:rFonts w:eastAsia="Times New Roman" w:cs="Times New Roman"/>
          <w:rtl/>
          <w:lang w:eastAsia="de-DE"/>
        </w:rPr>
        <w:t xml:space="preserve"> </w:t>
      </w:r>
      <w:r w:rsidRPr="00133297">
        <w:rPr>
          <w:rFonts w:eastAsia="Times New Roman" w:cs="Times New Roman"/>
          <w:lang w:eastAsia="de-DE"/>
        </w:rPr>
        <w:t xml:space="preserve">(Konjunktion mit Hiphil Perfekt 2. Person maskulin Singular mit Waw consecutivum von </w:t>
      </w:r>
      <w:r w:rsidRPr="00133297">
        <w:rPr>
          <w:rFonts w:eastAsia="Times New Roman" w:cs="Times New Roman"/>
          <w:b/>
          <w:bCs/>
          <w:rtl/>
          <w:lang w:eastAsia="de-DE"/>
        </w:rPr>
        <w:t>רום</w:t>
      </w:r>
      <w:r w:rsidRPr="00133297">
        <w:rPr>
          <w:rFonts w:eastAsia="Times New Roman" w:cs="Times New Roman"/>
          <w:rtl/>
          <w:lang w:eastAsia="de-DE"/>
        </w:rPr>
        <w:t xml:space="preserve"> </w:t>
      </w:r>
      <w:r w:rsidRPr="00133297">
        <w:rPr>
          <w:rFonts w:eastAsia="Times New Roman" w:cs="Times New Roman"/>
          <w:lang w:eastAsia="de-DE"/>
        </w:rPr>
        <w:t xml:space="preserve">„erheben, abheben"), </w:t>
      </w:r>
      <w:r w:rsidRPr="00133297">
        <w:rPr>
          <w:rFonts w:eastAsia="Times New Roman" w:cs="Times New Roman"/>
          <w:b/>
          <w:bCs/>
          <w:rtl/>
          <w:lang w:eastAsia="de-DE"/>
        </w:rPr>
        <w:t>מֶכֶס</w:t>
      </w:r>
      <w:r w:rsidRPr="00133297">
        <w:rPr>
          <w:rFonts w:eastAsia="Times New Roman" w:cs="Times New Roman"/>
          <w:rtl/>
          <w:lang w:eastAsia="de-DE"/>
        </w:rPr>
        <w:t xml:space="preserve"> </w:t>
      </w:r>
      <w:r w:rsidRPr="00133297">
        <w:rPr>
          <w:rFonts w:eastAsia="Times New Roman" w:cs="Times New Roman"/>
          <w:lang w:eastAsia="de-DE"/>
        </w:rPr>
        <w:t xml:space="preserve">(maskulines Nomen „Steuer, Abgabe, Tribut"), </w:t>
      </w:r>
      <w:r w:rsidRPr="00133297">
        <w:rPr>
          <w:rFonts w:eastAsia="Times New Roman" w:cs="Times New Roman"/>
          <w:b/>
          <w:bCs/>
          <w:rtl/>
          <w:lang w:eastAsia="de-DE"/>
        </w:rPr>
        <w:t>לַיהוה</w:t>
      </w:r>
      <w:r w:rsidRPr="00133297">
        <w:rPr>
          <w:rFonts w:eastAsia="Times New Roman" w:cs="Times New Roman"/>
          <w:rtl/>
          <w:lang w:eastAsia="de-DE"/>
        </w:rPr>
        <w:t xml:space="preserve"> </w:t>
      </w:r>
      <w:r w:rsidRPr="00133297">
        <w:rPr>
          <w:rFonts w:eastAsia="Times New Roman" w:cs="Times New Roman"/>
          <w:lang w:eastAsia="de-DE"/>
        </w:rPr>
        <w:t xml:space="preserve">(Präposition mit Tetragramm „für den Ewigen"), </w:t>
      </w:r>
      <w:r w:rsidRPr="00133297">
        <w:rPr>
          <w:rFonts w:eastAsia="Times New Roman" w:cs="Times New Roman"/>
          <w:b/>
          <w:bCs/>
          <w:rtl/>
          <w:lang w:eastAsia="de-DE"/>
        </w:rPr>
        <w:t>מֵאֵת אַנְשֵׁי הַמִּלְחָמָה הַיֹּצְאִים לַצָּבָא</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מִן</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אֵת</w:t>
      </w:r>
      <w:r w:rsidRPr="00133297">
        <w:rPr>
          <w:rFonts w:eastAsia="Times New Roman" w:cs="Times New Roman"/>
          <w:rtl/>
          <w:lang w:eastAsia="de-DE"/>
        </w:rPr>
        <w:t xml:space="preserve"> </w:t>
      </w:r>
      <w:r w:rsidRPr="00133297">
        <w:rPr>
          <w:rFonts w:eastAsia="Times New Roman" w:cs="Times New Roman"/>
          <w:lang w:eastAsia="de-DE"/>
        </w:rPr>
        <w:t xml:space="preserve">und „Männer des Krieges, die zum Heer ausgezogen sind"). Das Hiphil von </w:t>
      </w:r>
      <w:r w:rsidRPr="00133297">
        <w:rPr>
          <w:rFonts w:eastAsia="Times New Roman" w:cs="Times New Roman"/>
          <w:b/>
          <w:bCs/>
          <w:rtl/>
          <w:lang w:eastAsia="de-DE"/>
        </w:rPr>
        <w:t>רום</w:t>
      </w:r>
      <w:r w:rsidRPr="00133297">
        <w:rPr>
          <w:rFonts w:eastAsia="Times New Roman" w:cs="Times New Roman"/>
          <w:rtl/>
          <w:lang w:eastAsia="de-DE"/>
        </w:rPr>
        <w:t xml:space="preserve"> </w:t>
      </w:r>
      <w:r w:rsidRPr="00133297">
        <w:rPr>
          <w:rFonts w:eastAsia="Times New Roman" w:cs="Times New Roman"/>
          <w:lang w:eastAsia="de-DE"/>
        </w:rPr>
        <w:t>bedeutet hier „eine Abgabe erheben".</w:t>
      </w:r>
    </w:p>
    <w:p w14:paraId="0A91EDC8" w14:textId="1E4F0147" w:rsidR="00133297" w:rsidRPr="00133297" w:rsidRDefault="00133297" w:rsidP="00460FCC">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אֶחָד נֶפֶשׁ מֵחֲמֵשׁ הַמֵּאוֹת</w:t>
      </w:r>
      <w:r w:rsidRPr="00133297">
        <w:rPr>
          <w:rFonts w:eastAsia="Times New Roman" w:cs="Times New Roman"/>
          <w:rtl/>
          <w:lang w:eastAsia="de-DE"/>
        </w:rPr>
        <w:t xml:space="preserve"> </w:t>
      </w:r>
      <w:r w:rsidRPr="00133297">
        <w:rPr>
          <w:rFonts w:eastAsia="Times New Roman" w:cs="Times New Roman"/>
          <w:lang w:eastAsia="de-DE"/>
        </w:rPr>
        <w:t xml:space="preserve">gibt den Steuersatz an. </w:t>
      </w:r>
      <w:r w:rsidRPr="00133297">
        <w:rPr>
          <w:rFonts w:eastAsia="Times New Roman" w:cs="Times New Roman"/>
          <w:b/>
          <w:bCs/>
          <w:rtl/>
          <w:lang w:eastAsia="de-DE"/>
        </w:rPr>
        <w:t>אֶחָד נֶפֶשׁ</w:t>
      </w:r>
      <w:r w:rsidRPr="00133297">
        <w:rPr>
          <w:rFonts w:eastAsia="Times New Roman" w:cs="Times New Roman"/>
          <w:rtl/>
          <w:lang w:eastAsia="de-DE"/>
        </w:rPr>
        <w:t xml:space="preserve"> </w:t>
      </w:r>
      <w:r w:rsidRPr="00133297">
        <w:rPr>
          <w:rFonts w:eastAsia="Times New Roman" w:cs="Times New Roman"/>
          <w:lang w:eastAsia="de-DE"/>
        </w:rPr>
        <w:t xml:space="preserve">(„eine Seele, ein Individuum"), </w:t>
      </w:r>
      <w:r w:rsidRPr="00133297">
        <w:rPr>
          <w:rFonts w:eastAsia="Times New Roman" w:cs="Times New Roman"/>
          <w:b/>
          <w:bCs/>
          <w:rtl/>
          <w:lang w:eastAsia="de-DE"/>
        </w:rPr>
        <w:t>מֵחֲמֵשׁ הַמֵּאוֹת</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מִן</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חָמֵשׁ</w:t>
      </w:r>
      <w:r w:rsidRPr="00133297">
        <w:rPr>
          <w:rFonts w:eastAsia="Times New Roman" w:cs="Times New Roman"/>
          <w:rtl/>
          <w:lang w:eastAsia="de-DE"/>
        </w:rPr>
        <w:t xml:space="preserve"> </w:t>
      </w:r>
      <w:r w:rsidRPr="00133297">
        <w:rPr>
          <w:rFonts w:eastAsia="Times New Roman" w:cs="Times New Roman"/>
          <w:lang w:eastAsia="de-DE"/>
        </w:rPr>
        <w:t xml:space="preserve">„fünf" und </w:t>
      </w:r>
      <w:r w:rsidRPr="00133297">
        <w:rPr>
          <w:rFonts w:eastAsia="Times New Roman" w:cs="Times New Roman"/>
          <w:b/>
          <w:bCs/>
          <w:rtl/>
          <w:lang w:eastAsia="de-DE"/>
        </w:rPr>
        <w:t>מֵאָה</w:t>
      </w:r>
      <w:r w:rsidRPr="00133297">
        <w:rPr>
          <w:rFonts w:eastAsia="Times New Roman" w:cs="Times New Roman"/>
          <w:rtl/>
          <w:lang w:eastAsia="de-DE"/>
        </w:rPr>
        <w:t xml:space="preserve"> </w:t>
      </w:r>
      <w:r w:rsidRPr="00133297">
        <w:rPr>
          <w:rFonts w:eastAsia="Times New Roman" w:cs="Times New Roman"/>
          <w:lang w:eastAsia="de-DE"/>
        </w:rPr>
        <w:t xml:space="preserve">„hundert" mit Artikel „von fünfhundert"), d.h. 1:500 oder 0,2%. </w:t>
      </w:r>
      <w:r w:rsidRPr="00133297">
        <w:rPr>
          <w:rFonts w:eastAsia="Times New Roman" w:cs="Times New Roman"/>
          <w:b/>
          <w:bCs/>
          <w:rtl/>
          <w:lang w:eastAsia="de-DE"/>
        </w:rPr>
        <w:t>מִן־הָאָדָם וּמִן־הַבָּקָר וּמִן־הַחֲמֹרִים וּמִן־הַצֹּאן</w:t>
      </w:r>
      <w:r w:rsidRPr="00133297">
        <w:rPr>
          <w:rFonts w:eastAsia="Times New Roman" w:cs="Times New Roman"/>
          <w:rtl/>
          <w:lang w:eastAsia="de-DE"/>
        </w:rPr>
        <w:t xml:space="preserve"> </w:t>
      </w:r>
      <w:r w:rsidRPr="00133297">
        <w:rPr>
          <w:rFonts w:eastAsia="Times New Roman" w:cs="Times New Roman"/>
          <w:lang w:eastAsia="de-DE"/>
        </w:rPr>
        <w:t xml:space="preserve">spezifiziert die Kategorien: </w:t>
      </w:r>
      <w:r w:rsidRPr="00133297">
        <w:rPr>
          <w:rFonts w:eastAsia="Times New Roman" w:cs="Times New Roman"/>
          <w:b/>
          <w:bCs/>
          <w:rtl/>
          <w:lang w:eastAsia="de-DE"/>
        </w:rPr>
        <w:t>אָדָם</w:t>
      </w:r>
      <w:r w:rsidRPr="00133297">
        <w:rPr>
          <w:rFonts w:eastAsia="Times New Roman" w:cs="Times New Roman"/>
          <w:rtl/>
          <w:lang w:eastAsia="de-DE"/>
        </w:rPr>
        <w:t xml:space="preserve"> </w:t>
      </w:r>
      <w:r w:rsidRPr="00133297">
        <w:rPr>
          <w:rFonts w:eastAsia="Times New Roman" w:cs="Times New Roman"/>
          <w:lang w:eastAsia="de-DE"/>
        </w:rPr>
        <w:t xml:space="preserve">(„Mensch"), </w:t>
      </w:r>
      <w:r w:rsidRPr="00133297">
        <w:rPr>
          <w:rFonts w:eastAsia="Times New Roman" w:cs="Times New Roman"/>
          <w:b/>
          <w:bCs/>
          <w:rtl/>
          <w:lang w:eastAsia="de-DE"/>
        </w:rPr>
        <w:t>בָּקָר</w:t>
      </w:r>
      <w:r w:rsidRPr="00133297">
        <w:rPr>
          <w:rFonts w:eastAsia="Times New Roman" w:cs="Times New Roman"/>
          <w:rtl/>
          <w:lang w:eastAsia="de-DE"/>
        </w:rPr>
        <w:t xml:space="preserve"> </w:t>
      </w:r>
      <w:r w:rsidRPr="00133297">
        <w:rPr>
          <w:rFonts w:eastAsia="Times New Roman" w:cs="Times New Roman"/>
          <w:lang w:eastAsia="de-DE"/>
        </w:rPr>
        <w:t xml:space="preserve">(„Rinder"), </w:t>
      </w:r>
      <w:r w:rsidRPr="00133297">
        <w:rPr>
          <w:rFonts w:eastAsia="Times New Roman" w:cs="Times New Roman"/>
          <w:b/>
          <w:bCs/>
          <w:rtl/>
          <w:lang w:eastAsia="de-DE"/>
        </w:rPr>
        <w:t>חֲמֹרִים</w:t>
      </w:r>
      <w:r w:rsidRPr="00133297">
        <w:rPr>
          <w:rFonts w:eastAsia="Times New Roman" w:cs="Times New Roman"/>
          <w:rtl/>
          <w:lang w:eastAsia="de-DE"/>
        </w:rPr>
        <w:t xml:space="preserve"> </w:t>
      </w:r>
      <w:r w:rsidRPr="00133297">
        <w:rPr>
          <w:rFonts w:eastAsia="Times New Roman" w:cs="Times New Roman"/>
          <w:lang w:eastAsia="de-DE"/>
        </w:rPr>
        <w:t xml:space="preserve">(Plural von </w:t>
      </w:r>
      <w:r w:rsidRPr="00133297">
        <w:rPr>
          <w:rFonts w:eastAsia="Times New Roman" w:cs="Times New Roman"/>
          <w:b/>
          <w:bCs/>
          <w:rtl/>
          <w:lang w:eastAsia="de-DE"/>
        </w:rPr>
        <w:t>חֲמוֹר</w:t>
      </w:r>
      <w:r w:rsidRPr="00133297">
        <w:rPr>
          <w:rFonts w:eastAsia="Times New Roman" w:cs="Times New Roman"/>
          <w:rtl/>
          <w:lang w:eastAsia="de-DE"/>
        </w:rPr>
        <w:t xml:space="preserve"> </w:t>
      </w:r>
      <w:r w:rsidRPr="00133297">
        <w:rPr>
          <w:rFonts w:eastAsia="Times New Roman" w:cs="Times New Roman"/>
          <w:lang w:eastAsia="de-DE"/>
        </w:rPr>
        <w:t xml:space="preserve">„Esel"), </w:t>
      </w:r>
      <w:r w:rsidRPr="00133297">
        <w:rPr>
          <w:rFonts w:eastAsia="Times New Roman" w:cs="Times New Roman"/>
          <w:b/>
          <w:bCs/>
          <w:rtl/>
          <w:lang w:eastAsia="de-DE"/>
        </w:rPr>
        <w:t>צֹאן</w:t>
      </w:r>
      <w:r w:rsidRPr="00133297">
        <w:rPr>
          <w:rFonts w:eastAsia="Times New Roman" w:cs="Times New Roman"/>
          <w:rtl/>
          <w:lang w:eastAsia="de-DE"/>
        </w:rPr>
        <w:t xml:space="preserve"> </w:t>
      </w:r>
      <w:r w:rsidRPr="00133297">
        <w:rPr>
          <w:rFonts w:eastAsia="Times New Roman" w:cs="Times New Roman"/>
          <w:lang w:eastAsia="de-DE"/>
        </w:rPr>
        <w:t xml:space="preserve">(kollektiver Singular „Kleinvieh, Schafe und Ziegen"). Die vierfache Wiederholung von </w:t>
      </w:r>
      <w:r w:rsidRPr="00133297">
        <w:rPr>
          <w:rFonts w:eastAsia="Times New Roman" w:cs="Times New Roman"/>
          <w:b/>
          <w:bCs/>
          <w:rtl/>
          <w:lang w:eastAsia="de-DE"/>
        </w:rPr>
        <w:t>מִן</w:t>
      </w:r>
      <w:r w:rsidRPr="00133297">
        <w:rPr>
          <w:rFonts w:eastAsia="Times New Roman" w:cs="Times New Roman"/>
          <w:rtl/>
          <w:lang w:eastAsia="de-DE"/>
        </w:rPr>
        <w:t xml:space="preserve"> </w:t>
      </w:r>
      <w:r w:rsidRPr="00133297">
        <w:rPr>
          <w:rFonts w:eastAsia="Times New Roman" w:cs="Times New Roman"/>
          <w:lang w:eastAsia="de-DE"/>
        </w:rPr>
        <w:t>betont, dass von allen Kategorien die Steuer erhoben wird.</w:t>
      </w:r>
    </w:p>
    <w:p w14:paraId="1B5BBAD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einen Imperativ (Hiphil-Perfekt mit Waw consecutivum) mit Objekt (Abgabe), Bestimmung (für den Ewigen), Quelle (von den Kriegern) und Spezifikation des Steuersatzes (1:500) mit vier Kategorien.</w:t>
      </w:r>
    </w:p>
    <w:p w14:paraId="291CACB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verlangt eine göttliche Steuer von 0,2% auf den Anteil der Kämpfer - eine bescheidene Abgabe als Anerkennung, dass der Sieg von Gott kam.</w:t>
      </w:r>
    </w:p>
    <w:p w14:paraId="4C1BC38C"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31,29</w:t>
      </w:r>
    </w:p>
    <w:p w14:paraId="6029B97C"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מִמַּֽחֲצִיתָ֖ם תִּקָּ֑חוּ וְנָתַתָּ֛ה לְאֶלְעָזָ֥ר הַכֹּהֵ֖ן תְּרוּמַ֥ת יְהוָֽה׃</w:t>
      </w:r>
    </w:p>
    <w:p w14:paraId="3BBDABE7"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von ihrer Hälfte sollt ihr sie nehmen, und du sollst sie El'asar, dem Priester, geben als Hebopfer des Ewigen.</w:t>
      </w:r>
    </w:p>
    <w:p w14:paraId="76789F4C"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6A9BE085">
          <v:rect id="_x0000_i1973" style="width:0;height:1.5pt" o:hralign="center" o:hrstd="t" o:hr="t" fillcolor="#a0a0a0" stroked="f"/>
        </w:pict>
      </w:r>
    </w:p>
    <w:p w14:paraId="0C841369"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präzisiert die Quelle und den Empfänger. </w:t>
      </w:r>
      <w:r w:rsidRPr="00133297">
        <w:rPr>
          <w:rFonts w:eastAsia="Times New Roman" w:cs="Times New Roman"/>
          <w:b/>
          <w:bCs/>
          <w:rtl/>
          <w:lang w:eastAsia="de-DE"/>
        </w:rPr>
        <w:t>מִמַּחֲצִיתָם תִּקָּחוּ</w:t>
      </w:r>
      <w:r w:rsidRPr="00133297">
        <w:rPr>
          <w:rFonts w:eastAsia="Times New Roman" w:cs="Times New Roman"/>
          <w:rtl/>
          <w:lang w:eastAsia="de-DE"/>
        </w:rPr>
        <w:t xml:space="preserve"> </w:t>
      </w:r>
      <w:r w:rsidRPr="00133297">
        <w:rPr>
          <w:rFonts w:eastAsia="Times New Roman" w:cs="Times New Roman"/>
          <w:lang w:eastAsia="de-DE"/>
        </w:rPr>
        <w:t xml:space="preserve">spezifiziert die Quelle. </w:t>
      </w:r>
      <w:r w:rsidRPr="00133297">
        <w:rPr>
          <w:rFonts w:eastAsia="Times New Roman" w:cs="Times New Roman"/>
          <w:b/>
          <w:bCs/>
          <w:rtl/>
          <w:lang w:eastAsia="de-DE"/>
        </w:rPr>
        <w:t>מִמַּחֲצִיתָם</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מִן</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מַחֲצִית</w:t>
      </w:r>
      <w:r w:rsidRPr="00133297">
        <w:rPr>
          <w:rFonts w:eastAsia="Times New Roman" w:cs="Times New Roman"/>
          <w:rtl/>
          <w:lang w:eastAsia="de-DE"/>
        </w:rPr>
        <w:t xml:space="preserve"> </w:t>
      </w:r>
      <w:r w:rsidRPr="00133297">
        <w:rPr>
          <w:rFonts w:eastAsia="Times New Roman" w:cs="Times New Roman"/>
          <w:lang w:eastAsia="de-DE"/>
        </w:rPr>
        <w:t xml:space="preserve">„Hälfte" und Suffix 3. Person maskulin Plural „von ihrer Hälfte"), </w:t>
      </w:r>
      <w:r w:rsidRPr="00133297">
        <w:rPr>
          <w:rFonts w:eastAsia="Times New Roman" w:cs="Times New Roman"/>
          <w:b/>
          <w:bCs/>
          <w:rtl/>
          <w:lang w:eastAsia="de-DE"/>
        </w:rPr>
        <w:t>תִּקָּחוּ</w:t>
      </w:r>
      <w:r w:rsidRPr="00133297">
        <w:rPr>
          <w:rFonts w:eastAsia="Times New Roman" w:cs="Times New Roman"/>
          <w:rtl/>
          <w:lang w:eastAsia="de-DE"/>
        </w:rPr>
        <w:t xml:space="preserve"> </w:t>
      </w:r>
      <w:r w:rsidRPr="00133297">
        <w:rPr>
          <w:rFonts w:eastAsia="Times New Roman" w:cs="Times New Roman"/>
          <w:lang w:eastAsia="de-DE"/>
        </w:rPr>
        <w:t xml:space="preserve">(Qal Imperfekt 2. Person maskulin Plural von </w:t>
      </w:r>
      <w:r w:rsidRPr="00133297">
        <w:rPr>
          <w:rFonts w:eastAsia="Times New Roman" w:cs="Times New Roman"/>
          <w:b/>
          <w:bCs/>
          <w:rtl/>
          <w:lang w:eastAsia="de-DE"/>
        </w:rPr>
        <w:t>לקח</w:t>
      </w:r>
      <w:r w:rsidRPr="00133297">
        <w:rPr>
          <w:rFonts w:eastAsia="Times New Roman" w:cs="Times New Roman"/>
          <w:rtl/>
          <w:lang w:eastAsia="de-DE"/>
        </w:rPr>
        <w:t xml:space="preserve"> </w:t>
      </w:r>
      <w:r w:rsidRPr="00133297">
        <w:rPr>
          <w:rFonts w:eastAsia="Times New Roman" w:cs="Times New Roman"/>
          <w:lang w:eastAsia="de-DE"/>
        </w:rPr>
        <w:t>„nehmen" „sollt ihr nehmen"). Die Steuer kommt aus dem Anteil der Kämpfer (ihrer Hälfte), nicht aus dem Anteil der Gemeinde.</w:t>
      </w:r>
    </w:p>
    <w:p w14:paraId="2E317482" w14:textId="57F0B3F8" w:rsidR="00133297" w:rsidRPr="00133297" w:rsidRDefault="00133297" w:rsidP="00460FCC">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lastRenderedPageBreak/>
        <w:t>וְנָתַתָּה לְאֶלְעָזָר הַכֹּהֵן תְּרוּמַת יהוה</w:t>
      </w:r>
      <w:r w:rsidRPr="00133297">
        <w:rPr>
          <w:rFonts w:eastAsia="Times New Roman" w:cs="Times New Roman"/>
          <w:rtl/>
          <w:lang w:eastAsia="de-DE"/>
        </w:rPr>
        <w:t xml:space="preserve"> </w:t>
      </w:r>
      <w:r w:rsidRPr="00133297">
        <w:rPr>
          <w:rFonts w:eastAsia="Times New Roman" w:cs="Times New Roman"/>
          <w:lang w:eastAsia="de-DE"/>
        </w:rPr>
        <w:t xml:space="preserve">gibt den Empfänger an. </w:t>
      </w:r>
      <w:r w:rsidRPr="00133297">
        <w:rPr>
          <w:rFonts w:eastAsia="Times New Roman" w:cs="Times New Roman"/>
          <w:b/>
          <w:bCs/>
          <w:rtl/>
          <w:lang w:eastAsia="de-DE"/>
        </w:rPr>
        <w:t>וְנָתַתָּה</w:t>
      </w:r>
      <w:r w:rsidRPr="00133297">
        <w:rPr>
          <w:rFonts w:eastAsia="Times New Roman" w:cs="Times New Roman"/>
          <w:rtl/>
          <w:lang w:eastAsia="de-DE"/>
        </w:rPr>
        <w:t xml:space="preserve"> </w:t>
      </w:r>
      <w:r w:rsidRPr="00133297">
        <w:rPr>
          <w:rFonts w:eastAsia="Times New Roman" w:cs="Times New Roman"/>
          <w:lang w:eastAsia="de-DE"/>
        </w:rPr>
        <w:t xml:space="preserve">(Konjunktion mit Qal Perfekt 2. Person maskulin Singular mit Waw consecutivum von </w:t>
      </w:r>
      <w:r w:rsidRPr="00133297">
        <w:rPr>
          <w:rFonts w:eastAsia="Times New Roman" w:cs="Times New Roman"/>
          <w:b/>
          <w:bCs/>
          <w:rtl/>
          <w:lang w:eastAsia="de-DE"/>
        </w:rPr>
        <w:t>נתן</w:t>
      </w:r>
      <w:r w:rsidRPr="00133297">
        <w:rPr>
          <w:rFonts w:eastAsia="Times New Roman" w:cs="Times New Roman"/>
          <w:rtl/>
          <w:lang w:eastAsia="de-DE"/>
        </w:rPr>
        <w:t xml:space="preserve"> </w:t>
      </w:r>
      <w:r w:rsidRPr="00133297">
        <w:rPr>
          <w:rFonts w:eastAsia="Times New Roman" w:cs="Times New Roman"/>
          <w:lang w:eastAsia="de-DE"/>
        </w:rPr>
        <w:t xml:space="preserve">„geben"), </w:t>
      </w:r>
      <w:r w:rsidRPr="00133297">
        <w:rPr>
          <w:rFonts w:eastAsia="Times New Roman" w:cs="Times New Roman"/>
          <w:b/>
          <w:bCs/>
          <w:rtl/>
          <w:lang w:eastAsia="de-DE"/>
        </w:rPr>
        <w:t>לְאֶלְעָזָר הַכֹּהֵן</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„Eleasar dem Priester"), </w:t>
      </w:r>
      <w:r w:rsidRPr="00133297">
        <w:rPr>
          <w:rFonts w:eastAsia="Times New Roman" w:cs="Times New Roman"/>
          <w:b/>
          <w:bCs/>
          <w:rtl/>
          <w:lang w:eastAsia="de-DE"/>
        </w:rPr>
        <w:t>תְּרוּמַת יהוה</w:t>
      </w:r>
      <w:r w:rsidRPr="00133297">
        <w:rPr>
          <w:rFonts w:eastAsia="Times New Roman" w:cs="Times New Roman"/>
          <w:rtl/>
          <w:lang w:eastAsia="de-DE"/>
        </w:rPr>
        <w:t xml:space="preserve"> </w:t>
      </w:r>
      <w:r w:rsidRPr="00133297">
        <w:rPr>
          <w:rFonts w:eastAsia="Times New Roman" w:cs="Times New Roman"/>
          <w:lang w:eastAsia="de-DE"/>
        </w:rPr>
        <w:t>(</w:t>
      </w:r>
      <w:r w:rsidR="00B513FF">
        <w:rPr>
          <w:rFonts w:eastAsia="Times New Roman" w:cs="Times New Roman"/>
          <w:lang w:eastAsia="de-DE"/>
        </w:rPr>
        <w:t xml:space="preserve">Constructus </w:t>
      </w:r>
      <w:r w:rsidRPr="00133297">
        <w:rPr>
          <w:rFonts w:eastAsia="Times New Roman" w:cs="Times New Roman"/>
          <w:lang w:eastAsia="de-DE"/>
        </w:rPr>
        <w:t xml:space="preserve">verbindung: </w:t>
      </w:r>
      <w:r w:rsidRPr="00133297">
        <w:rPr>
          <w:rFonts w:eastAsia="Times New Roman" w:cs="Times New Roman"/>
          <w:b/>
          <w:bCs/>
          <w:rtl/>
          <w:lang w:eastAsia="de-DE"/>
        </w:rPr>
        <w:t>תְּרוּמָה</w:t>
      </w:r>
      <w:r w:rsidRPr="00133297">
        <w:rPr>
          <w:rFonts w:eastAsia="Times New Roman" w:cs="Times New Roman"/>
          <w:rtl/>
          <w:lang w:eastAsia="de-DE"/>
        </w:rPr>
        <w:t xml:space="preserve"> </w:t>
      </w:r>
      <w:r w:rsidRPr="00133297">
        <w:rPr>
          <w:rFonts w:eastAsia="Times New Roman" w:cs="Times New Roman"/>
          <w:lang w:eastAsia="de-DE"/>
        </w:rPr>
        <w:t xml:space="preserve">„Hebopfer, Abgabe" mit Tetragramm „als Hebopfer des Ewigen"). Der Begriff </w:t>
      </w:r>
      <w:r w:rsidRPr="00133297">
        <w:rPr>
          <w:rFonts w:eastAsia="Times New Roman" w:cs="Times New Roman"/>
          <w:b/>
          <w:bCs/>
          <w:rtl/>
          <w:lang w:eastAsia="de-DE"/>
        </w:rPr>
        <w:t>תְּרוּמָה</w:t>
      </w:r>
      <w:r w:rsidRPr="00133297">
        <w:rPr>
          <w:rFonts w:eastAsia="Times New Roman" w:cs="Times New Roman"/>
          <w:rtl/>
          <w:lang w:eastAsia="de-DE"/>
        </w:rPr>
        <w:t xml:space="preserve"> </w:t>
      </w:r>
      <w:r w:rsidRPr="00133297">
        <w:rPr>
          <w:rFonts w:eastAsia="Times New Roman" w:cs="Times New Roman"/>
          <w:lang w:eastAsia="de-DE"/>
        </w:rPr>
        <w:t xml:space="preserve">(von </w:t>
      </w:r>
      <w:r w:rsidRPr="00133297">
        <w:rPr>
          <w:rFonts w:eastAsia="Times New Roman" w:cs="Times New Roman"/>
          <w:b/>
          <w:bCs/>
          <w:rtl/>
          <w:lang w:eastAsia="de-DE"/>
        </w:rPr>
        <w:t>רום</w:t>
      </w:r>
      <w:r w:rsidRPr="00133297">
        <w:rPr>
          <w:rFonts w:eastAsia="Times New Roman" w:cs="Times New Roman"/>
          <w:rtl/>
          <w:lang w:eastAsia="de-DE"/>
        </w:rPr>
        <w:t xml:space="preserve"> </w:t>
      </w:r>
      <w:r w:rsidRPr="00133297">
        <w:rPr>
          <w:rFonts w:eastAsia="Times New Roman" w:cs="Times New Roman"/>
          <w:lang w:eastAsia="de-DE"/>
        </w:rPr>
        <w:t>„erheben") bezeichnet eine gehobene, abgehobene Gabe für Gott, die an die Priester geht.</w:t>
      </w:r>
    </w:p>
    <w:p w14:paraId="3A4F5926"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einen Imperativ mit präpositionaler Quelle (von ihrer Hälfte) und einen konsekutiven Imperativ (Perfekt mit Waw consecutivum) mit Empfänger und Charakterisierung der Gabe.</w:t>
      </w:r>
    </w:p>
    <w:p w14:paraId="111BC9F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klärt: Die göttliche Steuer von 0,2% kommt aus dem Anteil der Kämpfer und geht an Eleasar als priesterliches Hebopfer - eine Gabe für den Tempeldienst.</w:t>
      </w:r>
    </w:p>
    <w:p w14:paraId="28EBFCC7"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31,30</w:t>
      </w:r>
    </w:p>
    <w:p w14:paraId="004D21E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וּמִמַּחֲצִ֨ת בְּנֵֽי־יִשְׂרָאֵ֜ל תִּקַּ֣ח׀ אֶחָ֣ד׀ אָחֻ֣ז מִן־הַחֲמִשִּׁ֗ים מִן־הָאָדָ֧ם מִן־הַבָּקָ֛ר מִן־הַחֲמֹרִ֥ים וּמִן־הַצֹּ֖אן מִכָּל־הַבְּהֵמָ֑ה וְנָתַתָּ֤ה אֹתָם֙ לַלְוִיִּ֔ם שֹׁמְרֵ֕י מִשְׁמֶ֖רֶת מִשְׁכַּ֥ן יְהוָֽה׃</w:t>
      </w:r>
    </w:p>
    <w:p w14:paraId="2A19886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von der Hälfte der Söhne Jisra'el sollst du eines nehmen, herausgegriffen von 50, von den Menschen, von den Rindern, von den Eseln und vom Kleinvieh, von allem Vieh; und du sollst es den Levijim geben, welche den Dienst der Wohnung des Ewigen bewahren.</w:t>
      </w:r>
    </w:p>
    <w:p w14:paraId="3093E00B"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19D8B031">
          <v:rect id="_x0000_i1974" style="width:0;height:1.5pt" o:hralign="center" o:hrstd="t" o:hr="t" fillcolor="#a0a0a0" stroked="f"/>
        </w:pict>
      </w:r>
    </w:p>
    <w:p w14:paraId="3406E66E" w14:textId="7F38B98B"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regelt die Abgabe vom Anteil der Gemeinde. </w:t>
      </w:r>
      <w:r w:rsidRPr="00133297">
        <w:rPr>
          <w:rFonts w:eastAsia="Times New Roman" w:cs="Times New Roman"/>
          <w:b/>
          <w:bCs/>
          <w:rtl/>
          <w:lang w:eastAsia="de-DE"/>
        </w:rPr>
        <w:t>וּמִמַּחֲצִת בְּנֵי־יִשְׂרָאֵל תִּקַּח אֶחָד אָחֻז מִן־הַחֲמִשִּׁים</w:t>
      </w:r>
      <w:r w:rsidRPr="00133297">
        <w:rPr>
          <w:rFonts w:eastAsia="Times New Roman" w:cs="Times New Roman"/>
          <w:rtl/>
          <w:lang w:eastAsia="de-DE"/>
        </w:rPr>
        <w:t xml:space="preserve"> </w:t>
      </w:r>
      <w:r w:rsidRPr="00133297">
        <w:rPr>
          <w:rFonts w:eastAsia="Times New Roman" w:cs="Times New Roman"/>
          <w:lang w:eastAsia="de-DE"/>
        </w:rPr>
        <w:t xml:space="preserve">gibt Quelle und Rate an. </w:t>
      </w:r>
      <w:r w:rsidRPr="00133297">
        <w:rPr>
          <w:rFonts w:eastAsia="Times New Roman" w:cs="Times New Roman"/>
          <w:b/>
          <w:bCs/>
          <w:rtl/>
          <w:lang w:eastAsia="de-DE"/>
        </w:rPr>
        <w:t>וּמִמַּחֲצִת בְּנֵי־יִשְׂרָאֵל</w:t>
      </w:r>
      <w:r w:rsidRPr="00133297">
        <w:rPr>
          <w:rFonts w:eastAsia="Times New Roman" w:cs="Times New Roman"/>
          <w:rtl/>
          <w:lang w:eastAsia="de-DE"/>
        </w:rPr>
        <w:t xml:space="preserve"> </w:t>
      </w:r>
      <w:r w:rsidRPr="00133297">
        <w:rPr>
          <w:rFonts w:eastAsia="Times New Roman" w:cs="Times New Roman"/>
          <w:lang w:eastAsia="de-DE"/>
        </w:rPr>
        <w:t xml:space="preserve">(Konjunktion mit Präposition </w:t>
      </w:r>
      <w:r w:rsidRPr="00133297">
        <w:rPr>
          <w:rFonts w:eastAsia="Times New Roman" w:cs="Times New Roman"/>
          <w:b/>
          <w:bCs/>
          <w:rtl/>
          <w:lang w:eastAsia="de-DE"/>
        </w:rPr>
        <w:t>מִן</w:t>
      </w:r>
      <w:r w:rsidRPr="00133297">
        <w:rPr>
          <w:rFonts w:eastAsia="Times New Roman" w:cs="Times New Roman"/>
          <w:lang w:eastAsia="de-DE"/>
        </w:rPr>
        <w:t xml:space="preserve">, </w:t>
      </w:r>
      <w:r w:rsidRPr="00133297">
        <w:rPr>
          <w:rFonts w:eastAsia="Times New Roman" w:cs="Times New Roman"/>
          <w:b/>
          <w:bCs/>
          <w:rtl/>
          <w:lang w:eastAsia="de-DE"/>
        </w:rPr>
        <w:t>מַחֲצִית</w:t>
      </w:r>
      <w:r w:rsidRPr="00133297">
        <w:rPr>
          <w:rFonts w:eastAsia="Times New Roman" w:cs="Times New Roman"/>
          <w:rtl/>
          <w:lang w:eastAsia="de-DE"/>
        </w:rPr>
        <w:t xml:space="preserve"> </w:t>
      </w:r>
      <w:r w:rsidRPr="00133297">
        <w:rPr>
          <w:rFonts w:eastAsia="Times New Roman" w:cs="Times New Roman"/>
          <w:lang w:eastAsia="de-DE"/>
        </w:rPr>
        <w:t xml:space="preserve">„Hälfte" im </w:t>
      </w:r>
      <w:r w:rsidR="00E031B3">
        <w:rPr>
          <w:rFonts w:eastAsia="Times New Roman" w:cs="Times New Roman"/>
          <w:lang w:eastAsia="de-DE"/>
        </w:rPr>
        <w:t>Constructus und</w:t>
      </w:r>
      <w:r w:rsidRPr="00133297">
        <w:rPr>
          <w:rFonts w:eastAsia="Times New Roman" w:cs="Times New Roman"/>
          <w:lang w:eastAsia="de-DE"/>
        </w:rPr>
        <w:t xml:space="preserve"> „Söhne Israels" „von der Hälfte der Söhne Israels"), d.h. vom Anteil der nicht kämpfenden Gemeinde. </w:t>
      </w:r>
      <w:r w:rsidRPr="00133297">
        <w:rPr>
          <w:rFonts w:eastAsia="Times New Roman" w:cs="Times New Roman"/>
          <w:b/>
          <w:bCs/>
          <w:rtl/>
          <w:lang w:eastAsia="de-DE"/>
        </w:rPr>
        <w:t>תִּקַּח</w:t>
      </w:r>
      <w:r w:rsidRPr="00133297">
        <w:rPr>
          <w:rFonts w:eastAsia="Times New Roman" w:cs="Times New Roman"/>
          <w:rtl/>
          <w:lang w:eastAsia="de-DE"/>
        </w:rPr>
        <w:t xml:space="preserve"> </w:t>
      </w:r>
      <w:r w:rsidRPr="00133297">
        <w:rPr>
          <w:rFonts w:eastAsia="Times New Roman" w:cs="Times New Roman"/>
          <w:lang w:eastAsia="de-DE"/>
        </w:rPr>
        <w:t xml:space="preserve">(Qal Imperfekt 2. Person maskulin Singular von </w:t>
      </w:r>
      <w:r w:rsidRPr="00133297">
        <w:rPr>
          <w:rFonts w:eastAsia="Times New Roman" w:cs="Times New Roman"/>
          <w:b/>
          <w:bCs/>
          <w:rtl/>
          <w:lang w:eastAsia="de-DE"/>
        </w:rPr>
        <w:t>לקח</w:t>
      </w:r>
      <w:r w:rsidRPr="00133297">
        <w:rPr>
          <w:rFonts w:eastAsia="Times New Roman" w:cs="Times New Roman"/>
          <w:rtl/>
          <w:lang w:eastAsia="de-DE"/>
        </w:rPr>
        <w:t xml:space="preserve"> </w:t>
      </w:r>
      <w:r w:rsidRPr="00133297">
        <w:rPr>
          <w:rFonts w:eastAsia="Times New Roman" w:cs="Times New Roman"/>
          <w:lang w:eastAsia="de-DE"/>
        </w:rPr>
        <w:t xml:space="preserve">„nehmen"), </w:t>
      </w:r>
      <w:r w:rsidRPr="00133297">
        <w:rPr>
          <w:rFonts w:eastAsia="Times New Roman" w:cs="Times New Roman"/>
          <w:b/>
          <w:bCs/>
          <w:rtl/>
          <w:lang w:eastAsia="de-DE"/>
        </w:rPr>
        <w:t>אֶחָד אָחֻז מִן־הַחֲמִשִּׁים</w:t>
      </w:r>
      <w:r w:rsidRPr="00133297">
        <w:rPr>
          <w:rFonts w:eastAsia="Times New Roman" w:cs="Times New Roman"/>
          <w:rtl/>
          <w:lang w:eastAsia="de-DE"/>
        </w:rPr>
        <w:t xml:space="preserve"> </w:t>
      </w:r>
      <w:r w:rsidRPr="00133297">
        <w:rPr>
          <w:rFonts w:eastAsia="Times New Roman" w:cs="Times New Roman"/>
          <w:lang w:eastAsia="de-DE"/>
        </w:rPr>
        <w:t xml:space="preserve">ist eine komplexe Formulierung: </w:t>
      </w:r>
      <w:r w:rsidRPr="00133297">
        <w:rPr>
          <w:rFonts w:eastAsia="Times New Roman" w:cs="Times New Roman"/>
          <w:b/>
          <w:bCs/>
          <w:rtl/>
          <w:lang w:eastAsia="de-DE"/>
        </w:rPr>
        <w:t>אֶחָד</w:t>
      </w:r>
      <w:r w:rsidRPr="00133297">
        <w:rPr>
          <w:rFonts w:eastAsia="Times New Roman" w:cs="Times New Roman"/>
          <w:rtl/>
          <w:lang w:eastAsia="de-DE"/>
        </w:rPr>
        <w:t xml:space="preserve"> </w:t>
      </w:r>
      <w:r w:rsidRPr="00133297">
        <w:rPr>
          <w:rFonts w:eastAsia="Times New Roman" w:cs="Times New Roman"/>
          <w:lang w:eastAsia="de-DE"/>
        </w:rPr>
        <w:t xml:space="preserve">(„eins"), </w:t>
      </w:r>
      <w:r w:rsidRPr="00133297">
        <w:rPr>
          <w:rFonts w:eastAsia="Times New Roman" w:cs="Times New Roman"/>
          <w:b/>
          <w:bCs/>
          <w:rtl/>
          <w:lang w:eastAsia="de-DE"/>
        </w:rPr>
        <w:t>אָחֻז</w:t>
      </w:r>
      <w:r w:rsidRPr="00133297">
        <w:rPr>
          <w:rFonts w:eastAsia="Times New Roman" w:cs="Times New Roman"/>
          <w:rtl/>
          <w:lang w:eastAsia="de-DE"/>
        </w:rPr>
        <w:t xml:space="preserve"> </w:t>
      </w:r>
      <w:r w:rsidRPr="00133297">
        <w:rPr>
          <w:rFonts w:eastAsia="Times New Roman" w:cs="Times New Roman"/>
          <w:lang w:eastAsia="de-DE"/>
        </w:rPr>
        <w:t xml:space="preserve">(Qal Passiv-Partizip von </w:t>
      </w:r>
      <w:r w:rsidRPr="00133297">
        <w:rPr>
          <w:rFonts w:eastAsia="Times New Roman" w:cs="Times New Roman"/>
          <w:b/>
          <w:bCs/>
          <w:rtl/>
          <w:lang w:eastAsia="de-DE"/>
        </w:rPr>
        <w:t>אחז</w:t>
      </w:r>
      <w:r w:rsidRPr="00133297">
        <w:rPr>
          <w:rFonts w:eastAsia="Times New Roman" w:cs="Times New Roman"/>
          <w:rtl/>
          <w:lang w:eastAsia="de-DE"/>
        </w:rPr>
        <w:t xml:space="preserve"> </w:t>
      </w:r>
      <w:r w:rsidRPr="00133297">
        <w:rPr>
          <w:rFonts w:eastAsia="Times New Roman" w:cs="Times New Roman"/>
          <w:lang w:eastAsia="de-DE"/>
        </w:rPr>
        <w:t xml:space="preserve">„ergreifen, herausgreifen" „herausgegriffen"), </w:t>
      </w:r>
      <w:r w:rsidRPr="00133297">
        <w:rPr>
          <w:rFonts w:eastAsia="Times New Roman" w:cs="Times New Roman"/>
          <w:b/>
          <w:bCs/>
          <w:rtl/>
          <w:lang w:eastAsia="de-DE"/>
        </w:rPr>
        <w:t>מִן־הַחֲמִשִּׁים</w:t>
      </w:r>
      <w:r w:rsidRPr="00133297">
        <w:rPr>
          <w:rFonts w:eastAsia="Times New Roman" w:cs="Times New Roman"/>
          <w:rtl/>
          <w:lang w:eastAsia="de-DE"/>
        </w:rPr>
        <w:t xml:space="preserve"> </w:t>
      </w:r>
      <w:r w:rsidRPr="00133297">
        <w:rPr>
          <w:rFonts w:eastAsia="Times New Roman" w:cs="Times New Roman"/>
          <w:lang w:eastAsia="de-DE"/>
        </w:rPr>
        <w:t>(„von fünfzig"), zusammen „eins herausgegriffen von fünfzig", d.h. 1:50 oder 2%.</w:t>
      </w:r>
    </w:p>
    <w:p w14:paraId="5959B046" w14:textId="480D7E15" w:rsidR="00133297" w:rsidRPr="00133297" w:rsidRDefault="00133297" w:rsidP="00460FCC">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מִן־הָאָדָם מִן־הַבָּקָר מִן־הַחֲמֹרִים וּמִן־הַצֹּאן מִכָּל־הַבְּהֵמָה</w:t>
      </w:r>
      <w:r w:rsidRPr="00133297">
        <w:rPr>
          <w:rFonts w:eastAsia="Times New Roman" w:cs="Times New Roman"/>
          <w:rtl/>
          <w:lang w:eastAsia="de-DE"/>
        </w:rPr>
        <w:t xml:space="preserve"> </w:t>
      </w:r>
      <w:r w:rsidRPr="00133297">
        <w:rPr>
          <w:rFonts w:eastAsia="Times New Roman" w:cs="Times New Roman"/>
          <w:lang w:eastAsia="de-DE"/>
        </w:rPr>
        <w:t xml:space="preserve">sind die Kategorien (wie in V. 28), mit der Ergänzung </w:t>
      </w:r>
      <w:r w:rsidRPr="00133297">
        <w:rPr>
          <w:rFonts w:eastAsia="Times New Roman" w:cs="Times New Roman"/>
          <w:b/>
          <w:bCs/>
          <w:rtl/>
          <w:lang w:eastAsia="de-DE"/>
        </w:rPr>
        <w:t>מִכָּל־הַבְּהֵמָה</w:t>
      </w:r>
      <w:r w:rsidRPr="00133297">
        <w:rPr>
          <w:rFonts w:eastAsia="Times New Roman" w:cs="Times New Roman"/>
          <w:rtl/>
          <w:lang w:eastAsia="de-DE"/>
        </w:rPr>
        <w:t xml:space="preserve"> </w:t>
      </w:r>
      <w:r w:rsidRPr="00133297">
        <w:rPr>
          <w:rFonts w:eastAsia="Times New Roman" w:cs="Times New Roman"/>
          <w:lang w:eastAsia="de-DE"/>
        </w:rPr>
        <w:t xml:space="preserve">(„von allem Vieh"). </w:t>
      </w:r>
      <w:r w:rsidRPr="00133297">
        <w:rPr>
          <w:rFonts w:eastAsia="Times New Roman" w:cs="Times New Roman"/>
          <w:b/>
          <w:bCs/>
          <w:rtl/>
          <w:lang w:eastAsia="de-DE"/>
        </w:rPr>
        <w:t>וְנָתַתָּה אֹתָם לַלְוִיִּם שֹׁמְרֵי מִשְׁמֶרֶת מִשְׁכַּן יהוה</w:t>
      </w:r>
      <w:r w:rsidRPr="00133297">
        <w:rPr>
          <w:rFonts w:eastAsia="Times New Roman" w:cs="Times New Roman"/>
          <w:rtl/>
          <w:lang w:eastAsia="de-DE"/>
        </w:rPr>
        <w:t xml:space="preserve"> </w:t>
      </w:r>
      <w:r w:rsidRPr="00133297">
        <w:rPr>
          <w:rFonts w:eastAsia="Times New Roman" w:cs="Times New Roman"/>
          <w:lang w:eastAsia="de-DE"/>
        </w:rPr>
        <w:t xml:space="preserve">gibt den Empfänger an. </w:t>
      </w:r>
      <w:r w:rsidRPr="00133297">
        <w:rPr>
          <w:rFonts w:eastAsia="Times New Roman" w:cs="Times New Roman"/>
          <w:b/>
          <w:bCs/>
          <w:rtl/>
          <w:lang w:eastAsia="de-DE"/>
        </w:rPr>
        <w:t>וְנָתַתָּה אֹתָם</w:t>
      </w:r>
      <w:r w:rsidRPr="00133297">
        <w:rPr>
          <w:rFonts w:eastAsia="Times New Roman" w:cs="Times New Roman"/>
          <w:rtl/>
          <w:lang w:eastAsia="de-DE"/>
        </w:rPr>
        <w:t xml:space="preserve"> </w:t>
      </w:r>
      <w:r w:rsidRPr="00133297">
        <w:rPr>
          <w:rFonts w:eastAsia="Times New Roman" w:cs="Times New Roman"/>
          <w:lang w:eastAsia="de-DE"/>
        </w:rPr>
        <w:t xml:space="preserve">(Konjunktion mit Qal Perfekt 2. Person maskulin Singular mit Waw consecutivum von </w:t>
      </w:r>
      <w:r w:rsidRPr="00133297">
        <w:rPr>
          <w:rFonts w:eastAsia="Times New Roman" w:cs="Times New Roman"/>
          <w:b/>
          <w:bCs/>
          <w:rtl/>
          <w:lang w:eastAsia="de-DE"/>
        </w:rPr>
        <w:t>נתן</w:t>
      </w:r>
      <w:r w:rsidRPr="00133297">
        <w:rPr>
          <w:rFonts w:eastAsia="Times New Roman" w:cs="Times New Roman"/>
          <w:rtl/>
          <w:lang w:eastAsia="de-DE"/>
        </w:rPr>
        <w:t xml:space="preserve"> </w:t>
      </w:r>
      <w:r w:rsidRPr="00133297">
        <w:rPr>
          <w:rFonts w:eastAsia="Times New Roman" w:cs="Times New Roman"/>
          <w:lang w:eastAsia="de-DE"/>
        </w:rPr>
        <w:t xml:space="preserve">und Akkusativpartikel mit Suffix „und du sollst sie geben"), </w:t>
      </w:r>
      <w:r w:rsidRPr="00133297">
        <w:rPr>
          <w:rFonts w:eastAsia="Times New Roman" w:cs="Times New Roman"/>
          <w:b/>
          <w:bCs/>
          <w:rtl/>
          <w:lang w:eastAsia="de-DE"/>
        </w:rPr>
        <w:t>לַלְוִיִּם</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לְוִיִּם</w:t>
      </w:r>
      <w:r w:rsidRPr="00133297">
        <w:rPr>
          <w:rFonts w:eastAsia="Times New Roman" w:cs="Times New Roman"/>
          <w:rtl/>
          <w:lang w:eastAsia="de-DE"/>
        </w:rPr>
        <w:t xml:space="preserve"> </w:t>
      </w:r>
      <w:r w:rsidRPr="00133297">
        <w:rPr>
          <w:rFonts w:eastAsia="Times New Roman" w:cs="Times New Roman"/>
          <w:lang w:eastAsia="de-DE"/>
        </w:rPr>
        <w:t xml:space="preserve">„Leviten" mit Artikel), </w:t>
      </w:r>
      <w:r w:rsidRPr="00133297">
        <w:rPr>
          <w:rFonts w:eastAsia="Times New Roman" w:cs="Times New Roman"/>
          <w:b/>
          <w:bCs/>
          <w:rtl/>
          <w:lang w:eastAsia="de-DE"/>
        </w:rPr>
        <w:t>שֹׁמְרֵי מִשְׁמֶרֶת מִשְׁכַּן יהוה</w:t>
      </w:r>
      <w:r w:rsidRPr="00133297">
        <w:rPr>
          <w:rFonts w:eastAsia="Times New Roman" w:cs="Times New Roman"/>
          <w:rtl/>
          <w:lang w:eastAsia="de-DE"/>
        </w:rPr>
        <w:t xml:space="preserve"> </w:t>
      </w:r>
      <w:r w:rsidRPr="00133297">
        <w:rPr>
          <w:rFonts w:eastAsia="Times New Roman" w:cs="Times New Roman"/>
          <w:lang w:eastAsia="de-DE"/>
        </w:rPr>
        <w:t xml:space="preserve">(Qal-Partizip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שׁמר</w:t>
      </w:r>
      <w:r w:rsidRPr="00133297">
        <w:rPr>
          <w:rFonts w:eastAsia="Times New Roman" w:cs="Times New Roman"/>
          <w:rtl/>
          <w:lang w:eastAsia="de-DE"/>
        </w:rPr>
        <w:t xml:space="preserve"> </w:t>
      </w:r>
      <w:r w:rsidRPr="00133297">
        <w:rPr>
          <w:rFonts w:eastAsia="Times New Roman" w:cs="Times New Roman"/>
          <w:lang w:eastAsia="de-DE"/>
        </w:rPr>
        <w:t xml:space="preserve">„bewahren" mit </w:t>
      </w:r>
      <w:r w:rsidRPr="00133297">
        <w:rPr>
          <w:rFonts w:eastAsia="Times New Roman" w:cs="Times New Roman"/>
          <w:b/>
          <w:bCs/>
          <w:rtl/>
          <w:lang w:eastAsia="de-DE"/>
        </w:rPr>
        <w:t>מִשְׁמֶרֶת</w:t>
      </w:r>
      <w:r w:rsidRPr="00133297">
        <w:rPr>
          <w:rFonts w:eastAsia="Times New Roman" w:cs="Times New Roman"/>
          <w:rtl/>
          <w:lang w:eastAsia="de-DE"/>
        </w:rPr>
        <w:t xml:space="preserve"> </w:t>
      </w:r>
      <w:r w:rsidRPr="00133297">
        <w:rPr>
          <w:rFonts w:eastAsia="Times New Roman" w:cs="Times New Roman"/>
          <w:lang w:eastAsia="de-DE"/>
        </w:rPr>
        <w:t xml:space="preserve">„Dienst, Wache" im </w:t>
      </w:r>
      <w:r w:rsidR="00E031B3">
        <w:rPr>
          <w:rFonts w:eastAsia="Times New Roman" w:cs="Times New Roman"/>
          <w:lang w:eastAsia="de-DE"/>
        </w:rPr>
        <w:t>Constructus und</w:t>
      </w:r>
      <w:r w:rsidRPr="00133297">
        <w:rPr>
          <w:rFonts w:eastAsia="Times New Roman" w:cs="Times New Roman"/>
          <w:lang w:eastAsia="de-DE"/>
        </w:rPr>
        <w:t xml:space="preserve"> </w:t>
      </w:r>
      <w:r w:rsidRPr="00133297">
        <w:rPr>
          <w:rFonts w:eastAsia="Times New Roman" w:cs="Times New Roman"/>
          <w:b/>
          <w:bCs/>
          <w:rtl/>
          <w:lang w:eastAsia="de-DE"/>
        </w:rPr>
        <w:t>מִשְׁכַּן יהוה</w:t>
      </w:r>
      <w:r w:rsidRPr="00133297">
        <w:rPr>
          <w:rFonts w:eastAsia="Times New Roman" w:cs="Times New Roman"/>
          <w:rtl/>
          <w:lang w:eastAsia="de-DE"/>
        </w:rPr>
        <w:t xml:space="preserve"> </w:t>
      </w:r>
      <w:r w:rsidRPr="00133297">
        <w:rPr>
          <w:rFonts w:eastAsia="Times New Roman" w:cs="Times New Roman"/>
          <w:lang w:eastAsia="de-DE"/>
        </w:rPr>
        <w:t>„Wohnung des Ewigen" „die Bewahrer des Dienstes der Wohnung des Ewigen").</w:t>
      </w:r>
    </w:p>
    <w:p w14:paraId="60CC5C9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einen Imperativ mit präpositionaler Quelle, Steuersatz und vier Kategorien, gefolgt von einem konsekutiven Imperativ mit Empfänger und partizipialer Beschreibung.</w:t>
      </w:r>
    </w:p>
    <w:p w14:paraId="1B0A2EE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etabliert eine höhere Steuer (2% statt 0,2%) vom Anteil der Gemeinde für die Leviten - gerecht, da die Gemeinde nicht gekämpft hat und die Leviten den Dienst am Heiligtum verrichten.</w:t>
      </w:r>
    </w:p>
    <w:p w14:paraId="6EDC2562"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lastRenderedPageBreak/>
        <w:t>Numeri 31,31</w:t>
      </w:r>
    </w:p>
    <w:p w14:paraId="0E93007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וַיַּ֣עַשׂ מֹשֶׁ֔ה וְאֶלְעָזָ֖ר הַכֹּהֵ֑ן כַּאֲשֶׁ֛ר צִוָּ֥ה יְהוָ֖ה אֶת־מֹשֶֽׁה׃</w:t>
      </w:r>
    </w:p>
    <w:p w14:paraId="38848874"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Mosche und El'asar, der Priester, taten, so wie der Ewige Mosche geboten hatte.</w:t>
      </w:r>
    </w:p>
    <w:p w14:paraId="4F7393B8"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74478229">
          <v:rect id="_x0000_i1975" style="width:0;height:1.5pt" o:hralign="center" o:hrstd="t" o:hr="t" fillcolor="#a0a0a0" stroked="f"/>
        </w:pict>
      </w:r>
    </w:p>
    <w:p w14:paraId="1FF6E1EC"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dokumentiert die Ausführung der göttlichen Anweisungen. </w:t>
      </w:r>
      <w:r w:rsidRPr="00133297">
        <w:rPr>
          <w:rFonts w:eastAsia="Times New Roman" w:cs="Times New Roman"/>
          <w:b/>
          <w:bCs/>
          <w:rtl/>
          <w:lang w:eastAsia="de-DE"/>
        </w:rPr>
        <w:t>וַיַּעַשׂ מֹשֶׁה וְאֶלְעָזָר הַכֹּהֵן</w:t>
      </w:r>
      <w:r w:rsidRPr="00133297">
        <w:rPr>
          <w:rFonts w:eastAsia="Times New Roman" w:cs="Times New Roman"/>
          <w:rtl/>
          <w:lang w:eastAsia="de-DE"/>
        </w:rPr>
        <w:t xml:space="preserve"> </w:t>
      </w:r>
      <w:r w:rsidRPr="00133297">
        <w:rPr>
          <w:rFonts w:eastAsia="Times New Roman" w:cs="Times New Roman"/>
          <w:lang w:eastAsia="de-DE"/>
        </w:rPr>
        <w:t xml:space="preserve">zeigt die Handelnden. </w:t>
      </w:r>
      <w:r w:rsidRPr="00133297">
        <w:rPr>
          <w:rFonts w:eastAsia="Times New Roman" w:cs="Times New Roman"/>
          <w:b/>
          <w:bCs/>
          <w:rtl/>
          <w:lang w:eastAsia="de-DE"/>
        </w:rPr>
        <w:t>וַיַּעַשׂ</w:t>
      </w:r>
      <w:r w:rsidRPr="00133297">
        <w:rPr>
          <w:rFonts w:eastAsia="Times New Roman" w:cs="Times New Roman"/>
          <w:rtl/>
          <w:lang w:eastAsia="de-DE"/>
        </w:rPr>
        <w:t xml:space="preserve"> </w:t>
      </w:r>
      <w:r w:rsidRPr="00133297">
        <w:rPr>
          <w:rFonts w:eastAsia="Times New Roman" w:cs="Times New Roman"/>
          <w:lang w:eastAsia="de-DE"/>
        </w:rPr>
        <w:t xml:space="preserve">(Qal Wayyiqtol 3. Person maskulin Singular von </w:t>
      </w:r>
      <w:r w:rsidRPr="00133297">
        <w:rPr>
          <w:rFonts w:eastAsia="Times New Roman" w:cs="Times New Roman"/>
          <w:b/>
          <w:bCs/>
          <w:rtl/>
          <w:lang w:eastAsia="de-DE"/>
        </w:rPr>
        <w:t>עשׂה</w:t>
      </w:r>
      <w:r w:rsidRPr="00133297">
        <w:rPr>
          <w:rFonts w:eastAsia="Times New Roman" w:cs="Times New Roman"/>
          <w:rtl/>
          <w:lang w:eastAsia="de-DE"/>
        </w:rPr>
        <w:t xml:space="preserve"> </w:t>
      </w:r>
      <w:r w:rsidRPr="00133297">
        <w:rPr>
          <w:rFonts w:eastAsia="Times New Roman" w:cs="Times New Roman"/>
          <w:lang w:eastAsia="de-DE"/>
        </w:rPr>
        <w:t xml:space="preserve">„tun, machen"), </w:t>
      </w:r>
      <w:r w:rsidRPr="00133297">
        <w:rPr>
          <w:rFonts w:eastAsia="Times New Roman" w:cs="Times New Roman"/>
          <w:b/>
          <w:bCs/>
          <w:rtl/>
          <w:lang w:eastAsia="de-DE"/>
        </w:rPr>
        <w:t>מֹשֶׁה וְאֶלְעָזָר הַכֹּהֵן</w:t>
      </w:r>
      <w:r w:rsidRPr="00133297">
        <w:rPr>
          <w:rFonts w:eastAsia="Times New Roman" w:cs="Times New Roman"/>
          <w:rtl/>
          <w:lang w:eastAsia="de-DE"/>
        </w:rPr>
        <w:t xml:space="preserve"> </w:t>
      </w:r>
      <w:r w:rsidRPr="00133297">
        <w:rPr>
          <w:rFonts w:eastAsia="Times New Roman" w:cs="Times New Roman"/>
          <w:lang w:eastAsia="de-DE"/>
        </w:rPr>
        <w:t xml:space="preserve">(zwei koordinierte Subjekte „Mose und Eleasar der Priester"). </w:t>
      </w:r>
      <w:r w:rsidRPr="00133297">
        <w:rPr>
          <w:rFonts w:eastAsia="Times New Roman" w:cs="Times New Roman"/>
          <w:b/>
          <w:bCs/>
          <w:rtl/>
          <w:lang w:eastAsia="de-DE"/>
        </w:rPr>
        <w:t>כַּאֲשֶׁר צִוָּה יהוה אֶת־מֹשֶׁה</w:t>
      </w:r>
      <w:r w:rsidRPr="00133297">
        <w:rPr>
          <w:rFonts w:eastAsia="Times New Roman" w:cs="Times New Roman"/>
          <w:rtl/>
          <w:lang w:eastAsia="de-DE"/>
        </w:rPr>
        <w:t xml:space="preserve"> </w:t>
      </w:r>
      <w:r w:rsidRPr="00133297">
        <w:rPr>
          <w:rFonts w:eastAsia="Times New Roman" w:cs="Times New Roman"/>
          <w:lang w:eastAsia="de-DE"/>
        </w:rPr>
        <w:t xml:space="preserve">ist die Validierungsformel (Vergleichskonjunktion </w:t>
      </w:r>
      <w:r w:rsidRPr="00133297">
        <w:rPr>
          <w:rFonts w:eastAsia="Times New Roman" w:cs="Times New Roman"/>
          <w:b/>
          <w:bCs/>
          <w:rtl/>
          <w:lang w:eastAsia="de-DE"/>
        </w:rPr>
        <w:t>כַּאֲשֶׁר</w:t>
      </w:r>
      <w:r w:rsidRPr="00133297">
        <w:rPr>
          <w:rFonts w:eastAsia="Times New Roman" w:cs="Times New Roman"/>
          <w:rtl/>
          <w:lang w:eastAsia="de-DE"/>
        </w:rPr>
        <w:t xml:space="preserve"> </w:t>
      </w:r>
      <w:r w:rsidRPr="00133297">
        <w:rPr>
          <w:rFonts w:eastAsia="Times New Roman" w:cs="Times New Roman"/>
          <w:lang w:eastAsia="de-DE"/>
        </w:rPr>
        <w:t xml:space="preserve">„wie" mit Piel Perfekt 3. Person maskulin Singular von </w:t>
      </w:r>
      <w:r w:rsidRPr="00133297">
        <w:rPr>
          <w:rFonts w:eastAsia="Times New Roman" w:cs="Times New Roman"/>
          <w:b/>
          <w:bCs/>
          <w:rtl/>
          <w:lang w:eastAsia="de-DE"/>
        </w:rPr>
        <w:t>צוה</w:t>
      </w:r>
      <w:r w:rsidRPr="00133297">
        <w:rPr>
          <w:rFonts w:eastAsia="Times New Roman" w:cs="Times New Roman"/>
          <w:rtl/>
          <w:lang w:eastAsia="de-DE"/>
        </w:rPr>
        <w:t xml:space="preserve"> </w:t>
      </w:r>
      <w:r w:rsidRPr="00133297">
        <w:rPr>
          <w:rFonts w:eastAsia="Times New Roman" w:cs="Times New Roman"/>
          <w:lang w:eastAsia="de-DE"/>
        </w:rPr>
        <w:t xml:space="preserve">„befehlen", Tetragramm als Subjekt und Akkusativpartikel mit </w:t>
      </w:r>
      <w:r w:rsidRPr="00133297">
        <w:rPr>
          <w:rFonts w:eastAsia="Times New Roman" w:cs="Times New Roman"/>
          <w:b/>
          <w:bCs/>
          <w:rtl/>
          <w:lang w:eastAsia="de-DE"/>
        </w:rPr>
        <w:t>מֹשֶׁה</w:t>
      </w:r>
      <w:r w:rsidRPr="00133297">
        <w:rPr>
          <w:rFonts w:eastAsia="Times New Roman" w:cs="Times New Roman"/>
          <w:rtl/>
          <w:lang w:eastAsia="de-DE"/>
        </w:rPr>
        <w:t xml:space="preserve"> </w:t>
      </w:r>
      <w:r w:rsidRPr="00133297">
        <w:rPr>
          <w:rFonts w:eastAsia="Times New Roman" w:cs="Times New Roman"/>
          <w:lang w:eastAsia="de-DE"/>
        </w:rPr>
        <w:t>„wie der Ewige Mose geboten hatte").</w:t>
      </w:r>
    </w:p>
    <w:p w14:paraId="5BBC8B8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 Verb mit zwei koordinierten Subjekten, gefolgt von einer Validierungsformel.</w:t>
      </w:r>
    </w:p>
    <w:p w14:paraId="6B409C8B"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betont den Gehorsam der Führung: Mose und Eleasar führen die göttlichen Anweisungen zur Beuteverteilung präzise aus.</w:t>
      </w:r>
    </w:p>
    <w:p w14:paraId="28C261AE"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31,32</w:t>
      </w:r>
    </w:p>
    <w:p w14:paraId="442A1A5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וַיְהִי֙ הַמַּלְק֔וֹחַ יֶ֣תֶר הַבָּ֔ז אֲשֶׁ֥ר בָּזְז֖וּ עַ֣ם הַצָּבָ֑א צֹ֗אן שֵׁשׁ־מֵא֥וֹת אֶ֛לֶף וְשִׁבְעִ֥ים אֶ֖לֶף וַחֲמֵֽשֶׁת־אֲלָפִֽים׃</w:t>
      </w:r>
    </w:p>
    <w:p w14:paraId="1E40618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die Beute, was von der Beute übriggeblieben war, welche das Volk des Heeres gemacht hatte, war: 675.000 Stück Kleinvieh,</w:t>
      </w:r>
    </w:p>
    <w:p w14:paraId="26EB4D0B"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765952BB">
          <v:rect id="_x0000_i1976" style="width:0;height:1.5pt" o:hralign="center" o:hrstd="t" o:hr="t" fillcolor="#a0a0a0" stroked="f"/>
        </w:pict>
      </w:r>
    </w:p>
    <w:p w14:paraId="2BF76B46" w14:textId="2BB534A8"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beginnt die detaillierte Aufzählung der Beute. </w:t>
      </w:r>
      <w:r w:rsidRPr="00133297">
        <w:rPr>
          <w:rFonts w:eastAsia="Times New Roman" w:cs="Times New Roman"/>
          <w:b/>
          <w:bCs/>
          <w:rtl/>
          <w:lang w:eastAsia="de-DE"/>
        </w:rPr>
        <w:t>וַיְהִי הַמַּלְקוֹחַ יֶתֶר הַבָּז אֲשֶׁר בָּזְזוּ עַם הַצָּבָא</w:t>
      </w:r>
      <w:r w:rsidRPr="00133297">
        <w:rPr>
          <w:rFonts w:eastAsia="Times New Roman" w:cs="Times New Roman"/>
          <w:rtl/>
          <w:lang w:eastAsia="de-DE"/>
        </w:rPr>
        <w:t xml:space="preserve"> </w:t>
      </w:r>
      <w:r w:rsidRPr="00133297">
        <w:rPr>
          <w:rFonts w:eastAsia="Times New Roman" w:cs="Times New Roman"/>
          <w:lang w:eastAsia="de-DE"/>
        </w:rPr>
        <w:t xml:space="preserve">ist die Einleitung. </w:t>
      </w:r>
      <w:r w:rsidRPr="00133297">
        <w:rPr>
          <w:rFonts w:eastAsia="Times New Roman" w:cs="Times New Roman"/>
          <w:b/>
          <w:bCs/>
          <w:rtl/>
          <w:lang w:eastAsia="de-DE"/>
        </w:rPr>
        <w:t>וַיְהִי</w:t>
      </w:r>
      <w:r w:rsidRPr="00133297">
        <w:rPr>
          <w:rFonts w:eastAsia="Times New Roman" w:cs="Times New Roman"/>
          <w:rtl/>
          <w:lang w:eastAsia="de-DE"/>
        </w:rPr>
        <w:t xml:space="preserve"> </w:t>
      </w:r>
      <w:r w:rsidRPr="00133297">
        <w:rPr>
          <w:rFonts w:eastAsia="Times New Roman" w:cs="Times New Roman"/>
          <w:lang w:eastAsia="de-DE"/>
        </w:rPr>
        <w:t xml:space="preserve">(Qal Wayyiqtol 3. Person maskulin Singular von </w:t>
      </w:r>
      <w:r w:rsidRPr="00133297">
        <w:rPr>
          <w:rFonts w:eastAsia="Times New Roman" w:cs="Times New Roman"/>
          <w:b/>
          <w:bCs/>
          <w:rtl/>
          <w:lang w:eastAsia="de-DE"/>
        </w:rPr>
        <w:t>היה</w:t>
      </w:r>
      <w:r w:rsidRPr="00133297">
        <w:rPr>
          <w:rFonts w:eastAsia="Times New Roman" w:cs="Times New Roman"/>
          <w:rtl/>
          <w:lang w:eastAsia="de-DE"/>
        </w:rPr>
        <w:t xml:space="preserve"> </w:t>
      </w:r>
      <w:r w:rsidRPr="00133297">
        <w:rPr>
          <w:rFonts w:eastAsia="Times New Roman" w:cs="Times New Roman"/>
          <w:lang w:eastAsia="de-DE"/>
        </w:rPr>
        <w:t xml:space="preserve">„sein, werden"), </w:t>
      </w:r>
      <w:r w:rsidRPr="00133297">
        <w:rPr>
          <w:rFonts w:eastAsia="Times New Roman" w:cs="Times New Roman"/>
          <w:b/>
          <w:bCs/>
          <w:rtl/>
          <w:lang w:eastAsia="de-DE"/>
        </w:rPr>
        <w:t>הַמַּלְקוֹחַ</w:t>
      </w:r>
      <w:r w:rsidRPr="00133297">
        <w:rPr>
          <w:rFonts w:eastAsia="Times New Roman" w:cs="Times New Roman"/>
          <w:rtl/>
          <w:lang w:eastAsia="de-DE"/>
        </w:rPr>
        <w:t xml:space="preserve"> </w:t>
      </w:r>
      <w:r w:rsidRPr="00133297">
        <w:rPr>
          <w:rFonts w:eastAsia="Times New Roman" w:cs="Times New Roman"/>
          <w:lang w:eastAsia="de-DE"/>
        </w:rPr>
        <w:t xml:space="preserve">(maskulines Nomen </w:t>
      </w:r>
      <w:r w:rsidRPr="00133297">
        <w:rPr>
          <w:rFonts w:eastAsia="Times New Roman" w:cs="Times New Roman"/>
          <w:b/>
          <w:bCs/>
          <w:rtl/>
          <w:lang w:eastAsia="de-DE"/>
        </w:rPr>
        <w:t>מַלְקוֹחַ</w:t>
      </w:r>
      <w:r w:rsidRPr="00133297">
        <w:rPr>
          <w:rFonts w:eastAsia="Times New Roman" w:cs="Times New Roman"/>
          <w:rtl/>
          <w:lang w:eastAsia="de-DE"/>
        </w:rPr>
        <w:t xml:space="preserve"> </w:t>
      </w:r>
      <w:r w:rsidRPr="00133297">
        <w:rPr>
          <w:rFonts w:eastAsia="Times New Roman" w:cs="Times New Roman"/>
          <w:lang w:eastAsia="de-DE"/>
        </w:rPr>
        <w:t xml:space="preserve">„Beute" mit Artikel) ist das Subjekt, </w:t>
      </w:r>
      <w:r w:rsidRPr="00133297">
        <w:rPr>
          <w:rFonts w:eastAsia="Times New Roman" w:cs="Times New Roman"/>
          <w:b/>
          <w:bCs/>
          <w:rtl/>
          <w:lang w:eastAsia="de-DE"/>
        </w:rPr>
        <w:t>יֶתֶר הַבָּז</w:t>
      </w:r>
      <w:r w:rsidRPr="00133297">
        <w:rPr>
          <w:rFonts w:eastAsia="Times New Roman" w:cs="Times New Roman"/>
          <w:rtl/>
          <w:lang w:eastAsia="de-DE"/>
        </w:rPr>
        <w:t xml:space="preserve"> </w:t>
      </w:r>
      <w:r w:rsidRPr="00133297">
        <w:rPr>
          <w:rFonts w:eastAsia="Times New Roman" w:cs="Times New Roman"/>
          <w:lang w:eastAsia="de-DE"/>
        </w:rPr>
        <w:t>(</w:t>
      </w:r>
      <w:r w:rsidR="00B513FF">
        <w:rPr>
          <w:rFonts w:eastAsia="Times New Roman" w:cs="Times New Roman"/>
          <w:lang w:eastAsia="de-DE"/>
        </w:rPr>
        <w:t xml:space="preserve">Constructus </w:t>
      </w:r>
      <w:r w:rsidRPr="00133297">
        <w:rPr>
          <w:rFonts w:eastAsia="Times New Roman" w:cs="Times New Roman"/>
          <w:lang w:eastAsia="de-DE"/>
        </w:rPr>
        <w:t xml:space="preserve">verbindung: </w:t>
      </w:r>
      <w:r w:rsidRPr="00133297">
        <w:rPr>
          <w:rFonts w:eastAsia="Times New Roman" w:cs="Times New Roman"/>
          <w:b/>
          <w:bCs/>
          <w:rtl/>
          <w:lang w:eastAsia="de-DE"/>
        </w:rPr>
        <w:t>יֶתֶר</w:t>
      </w:r>
      <w:r w:rsidRPr="00133297">
        <w:rPr>
          <w:rFonts w:eastAsia="Times New Roman" w:cs="Times New Roman"/>
          <w:rtl/>
          <w:lang w:eastAsia="de-DE"/>
        </w:rPr>
        <w:t xml:space="preserve"> </w:t>
      </w:r>
      <w:r w:rsidRPr="00133297">
        <w:rPr>
          <w:rFonts w:eastAsia="Times New Roman" w:cs="Times New Roman"/>
          <w:lang w:eastAsia="de-DE"/>
        </w:rPr>
        <w:t xml:space="preserve">„Rest, Überrest" mit </w:t>
      </w:r>
      <w:r w:rsidRPr="00133297">
        <w:rPr>
          <w:rFonts w:eastAsia="Times New Roman" w:cs="Times New Roman"/>
          <w:b/>
          <w:bCs/>
          <w:rtl/>
          <w:lang w:eastAsia="de-DE"/>
        </w:rPr>
        <w:t>בַּז</w:t>
      </w:r>
      <w:r w:rsidRPr="00133297">
        <w:rPr>
          <w:rFonts w:eastAsia="Times New Roman" w:cs="Times New Roman"/>
          <w:rtl/>
          <w:lang w:eastAsia="de-DE"/>
        </w:rPr>
        <w:t xml:space="preserve"> </w:t>
      </w:r>
      <w:r w:rsidRPr="00133297">
        <w:rPr>
          <w:rFonts w:eastAsia="Times New Roman" w:cs="Times New Roman"/>
          <w:lang w:eastAsia="de-DE"/>
        </w:rPr>
        <w:t xml:space="preserve">„Beute, Plündergut" mit Artikel „der Rest der Beute"), </w:t>
      </w:r>
      <w:r w:rsidRPr="00133297">
        <w:rPr>
          <w:rFonts w:eastAsia="Times New Roman" w:cs="Times New Roman"/>
          <w:b/>
          <w:bCs/>
          <w:rtl/>
          <w:lang w:eastAsia="de-DE"/>
        </w:rPr>
        <w:t>אֲשֶׁר בָּזְזוּ עַם הַצָּבָא</w:t>
      </w:r>
      <w:r w:rsidRPr="00133297">
        <w:rPr>
          <w:rFonts w:eastAsia="Times New Roman" w:cs="Times New Roman"/>
          <w:rtl/>
          <w:lang w:eastAsia="de-DE"/>
        </w:rPr>
        <w:t xml:space="preserve"> </w:t>
      </w:r>
      <w:r w:rsidRPr="00133297">
        <w:rPr>
          <w:rFonts w:eastAsia="Times New Roman" w:cs="Times New Roman"/>
          <w:lang w:eastAsia="de-DE"/>
        </w:rPr>
        <w:t xml:space="preserve">(Relativsatz: Relativpronomen mit Qal Perfekt 3. Person Plural von </w:t>
      </w:r>
      <w:r w:rsidRPr="00133297">
        <w:rPr>
          <w:rFonts w:eastAsia="Times New Roman" w:cs="Times New Roman"/>
          <w:b/>
          <w:bCs/>
          <w:rtl/>
          <w:lang w:eastAsia="de-DE"/>
        </w:rPr>
        <w:t>בזז</w:t>
      </w:r>
      <w:r w:rsidRPr="00133297">
        <w:rPr>
          <w:rFonts w:eastAsia="Times New Roman" w:cs="Times New Roman"/>
          <w:rtl/>
          <w:lang w:eastAsia="de-DE"/>
        </w:rPr>
        <w:t xml:space="preserve"> </w:t>
      </w:r>
      <w:r w:rsidRPr="00133297">
        <w:rPr>
          <w:rFonts w:eastAsia="Times New Roman" w:cs="Times New Roman"/>
          <w:lang w:eastAsia="de-DE"/>
        </w:rPr>
        <w:t xml:space="preserve">„plündern" und </w:t>
      </w:r>
      <w:r w:rsidRPr="00133297">
        <w:rPr>
          <w:rFonts w:eastAsia="Times New Roman" w:cs="Times New Roman"/>
          <w:b/>
          <w:bCs/>
          <w:rtl/>
          <w:lang w:eastAsia="de-DE"/>
        </w:rPr>
        <w:t>עַם הַצָּבָא</w:t>
      </w:r>
      <w:r w:rsidRPr="00133297">
        <w:rPr>
          <w:rFonts w:eastAsia="Times New Roman" w:cs="Times New Roman"/>
          <w:rtl/>
          <w:lang w:eastAsia="de-DE"/>
        </w:rPr>
        <w:t xml:space="preserve"> </w:t>
      </w:r>
      <w:r w:rsidRPr="00133297">
        <w:rPr>
          <w:rFonts w:eastAsia="Times New Roman" w:cs="Times New Roman"/>
          <w:lang w:eastAsia="de-DE"/>
        </w:rPr>
        <w:t xml:space="preserve">„das Volk des Heeres" „welche das Volk des Heeres geplündert hatte"). Die Formulierung </w:t>
      </w:r>
      <w:r w:rsidRPr="00133297">
        <w:rPr>
          <w:rFonts w:eastAsia="Times New Roman" w:cs="Times New Roman"/>
          <w:b/>
          <w:bCs/>
          <w:rtl/>
          <w:lang w:eastAsia="de-DE"/>
        </w:rPr>
        <w:t>יֶתֶר הַבָּז</w:t>
      </w:r>
      <w:r w:rsidRPr="00133297">
        <w:rPr>
          <w:rFonts w:eastAsia="Times New Roman" w:cs="Times New Roman"/>
          <w:rtl/>
          <w:lang w:eastAsia="de-DE"/>
        </w:rPr>
        <w:t xml:space="preserve"> </w:t>
      </w:r>
      <w:r w:rsidRPr="00133297">
        <w:rPr>
          <w:rFonts w:eastAsia="Times New Roman" w:cs="Times New Roman"/>
          <w:lang w:eastAsia="de-DE"/>
        </w:rPr>
        <w:t>deutet darauf hin, dass dies die Beute ist, die nach Abzug des persönlichen Plünderguts der Soldaten übrigblieb (vgl. V. 53).</w:t>
      </w:r>
    </w:p>
    <w:p w14:paraId="6D398CAF" w14:textId="364A607D" w:rsidR="00133297" w:rsidRPr="00133297" w:rsidRDefault="00133297" w:rsidP="00460FCC">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צֹאן שֵׁשׁ־מֵאוֹת אֶלֶף וְשִׁבְעִים אֶלֶף וַחֲמֵשֶׁת־אֲלָפִים</w:t>
      </w:r>
      <w:r w:rsidRPr="00133297">
        <w:rPr>
          <w:rFonts w:eastAsia="Times New Roman" w:cs="Times New Roman"/>
          <w:rtl/>
          <w:lang w:eastAsia="de-DE"/>
        </w:rPr>
        <w:t xml:space="preserve"> </w:t>
      </w:r>
      <w:r w:rsidRPr="00133297">
        <w:rPr>
          <w:rFonts w:eastAsia="Times New Roman" w:cs="Times New Roman"/>
          <w:lang w:eastAsia="de-DE"/>
        </w:rPr>
        <w:t xml:space="preserve">ist die erste Kategorie. </w:t>
      </w:r>
      <w:r w:rsidRPr="00133297">
        <w:rPr>
          <w:rFonts w:eastAsia="Times New Roman" w:cs="Times New Roman"/>
          <w:b/>
          <w:bCs/>
          <w:rtl/>
          <w:lang w:eastAsia="de-DE"/>
        </w:rPr>
        <w:t>צֹאן</w:t>
      </w:r>
      <w:r w:rsidRPr="00133297">
        <w:rPr>
          <w:rFonts w:eastAsia="Times New Roman" w:cs="Times New Roman"/>
          <w:rtl/>
          <w:lang w:eastAsia="de-DE"/>
        </w:rPr>
        <w:t xml:space="preserve"> </w:t>
      </w:r>
      <w:r w:rsidRPr="00133297">
        <w:rPr>
          <w:rFonts w:eastAsia="Times New Roman" w:cs="Times New Roman"/>
          <w:lang w:eastAsia="de-DE"/>
        </w:rPr>
        <w:t xml:space="preserve">(kollektiver Singular „Kleinvieh, Schafe und Ziegen"), dann die Zahl: </w:t>
      </w:r>
      <w:r w:rsidRPr="00133297">
        <w:rPr>
          <w:rFonts w:eastAsia="Times New Roman" w:cs="Times New Roman"/>
          <w:b/>
          <w:bCs/>
          <w:rtl/>
          <w:lang w:eastAsia="de-DE"/>
        </w:rPr>
        <w:t>שֵׁשׁ־מֵאוֹת אֶלֶף</w:t>
      </w:r>
      <w:r w:rsidRPr="00133297">
        <w:rPr>
          <w:rFonts w:eastAsia="Times New Roman" w:cs="Times New Roman"/>
          <w:rtl/>
          <w:lang w:eastAsia="de-DE"/>
        </w:rPr>
        <w:t xml:space="preserve"> </w:t>
      </w:r>
      <w:r w:rsidRPr="00133297">
        <w:rPr>
          <w:rFonts w:eastAsia="Times New Roman" w:cs="Times New Roman"/>
          <w:lang w:eastAsia="de-DE"/>
        </w:rPr>
        <w:t xml:space="preserve">(„sechshunderttausend"), </w:t>
      </w:r>
      <w:r w:rsidRPr="00133297">
        <w:rPr>
          <w:rFonts w:eastAsia="Times New Roman" w:cs="Times New Roman"/>
          <w:b/>
          <w:bCs/>
          <w:rtl/>
          <w:lang w:eastAsia="de-DE"/>
        </w:rPr>
        <w:t>וְשִׁבְעִים אֶלֶף</w:t>
      </w:r>
      <w:r w:rsidRPr="00133297">
        <w:rPr>
          <w:rFonts w:eastAsia="Times New Roman" w:cs="Times New Roman"/>
          <w:rtl/>
          <w:lang w:eastAsia="de-DE"/>
        </w:rPr>
        <w:t xml:space="preserve"> </w:t>
      </w:r>
      <w:r w:rsidRPr="00133297">
        <w:rPr>
          <w:rFonts w:eastAsia="Times New Roman" w:cs="Times New Roman"/>
          <w:lang w:eastAsia="de-DE"/>
        </w:rPr>
        <w:t xml:space="preserve">(Konjunktion mit „siebzigtausend"), </w:t>
      </w:r>
      <w:r w:rsidRPr="00133297">
        <w:rPr>
          <w:rFonts w:eastAsia="Times New Roman" w:cs="Times New Roman"/>
          <w:b/>
          <w:bCs/>
          <w:rtl/>
          <w:lang w:eastAsia="de-DE"/>
        </w:rPr>
        <w:t>וַחֲמֵשֶׁת־אֲלָפִים</w:t>
      </w:r>
      <w:r w:rsidRPr="00133297">
        <w:rPr>
          <w:rFonts w:eastAsia="Times New Roman" w:cs="Times New Roman"/>
          <w:rtl/>
          <w:lang w:eastAsia="de-DE"/>
        </w:rPr>
        <w:t xml:space="preserve"> </w:t>
      </w:r>
      <w:r w:rsidRPr="00133297">
        <w:rPr>
          <w:rFonts w:eastAsia="Times New Roman" w:cs="Times New Roman"/>
          <w:lang w:eastAsia="de-DE"/>
        </w:rPr>
        <w:t>(Konjunktion mit „fünftausend"), zusammen 675.000 Stück Kleinvieh.</w:t>
      </w:r>
    </w:p>
    <w:p w14:paraId="53D71314"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 Verb mit Subjekt und zwei appositiven Erweiterungen (Rest der Beute, die das Heer plünderte), gefolgt von der ersten Kategorie mit Zahlangabe.</w:t>
      </w:r>
    </w:p>
    <w:p w14:paraId="7D03C9B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lastRenderedPageBreak/>
        <w:t>Der Vers beginnt die beeindruckende Aufzählung der Kriegsbeute mit 675.000 Stück Kleinvieh - eine gewaltige Zahl, die den Reichtum der besiegten Midianiter zeigt.</w:t>
      </w:r>
    </w:p>
    <w:p w14:paraId="155D8CEE"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31,33-35</w:t>
      </w:r>
    </w:p>
    <w:p w14:paraId="40F4433A"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וּבָקָ֕ר שְׁנַ֥יִם וְשִׁבְעִ֖ים אָֽלֶף׃ וַחֲמֹרִ֕ים אֶחָ֥ד וְשִׁשִּׁ֖ים אָֽלֶף׃ וְנֶ֣פֶשׁ אָדָ֔ם מִן־הַ֨נָּשִׁ֔ים אֲשֶׁ֥ר לֹֽא־יָדְע֖וּ מִשְׁכַּ֣ב זָכָ֑ר כָּל־נֶ֕פֶשׁ שְׁנַ֥יִם וּשְׁלֹשִׁ֖ים אָֽלֶף׃</w:t>
      </w:r>
    </w:p>
    <w:p w14:paraId="75C3EDD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72.000 Rinder, 61.000 Esel; und an Menschenseelen, von den Frauen, die den Beischlaf eines Mannes nicht erkannt hatten, alle Seelen: 32.000.</w:t>
      </w:r>
    </w:p>
    <w:p w14:paraId="788784C0"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5BC7C93E">
          <v:rect id="_x0000_i1977" style="width:0;height:1.5pt" o:hralign="center" o:hrstd="t" o:hr="t" fillcolor="#a0a0a0" stroked="f"/>
        </w:pict>
      </w:r>
    </w:p>
    <w:p w14:paraId="01FCB68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Die Verse setzen die Aufzählung fort. </w:t>
      </w:r>
      <w:r w:rsidRPr="00133297">
        <w:rPr>
          <w:rFonts w:eastAsia="Times New Roman" w:cs="Times New Roman"/>
          <w:b/>
          <w:bCs/>
          <w:rtl/>
          <w:lang w:eastAsia="de-DE"/>
        </w:rPr>
        <w:t>וּבָקָר שְׁנַיִם וְשִׁבְעִים אָלֶף</w:t>
      </w:r>
      <w:r w:rsidRPr="00133297">
        <w:rPr>
          <w:rFonts w:eastAsia="Times New Roman" w:cs="Times New Roman"/>
          <w:rtl/>
          <w:lang w:eastAsia="de-DE"/>
        </w:rPr>
        <w:t xml:space="preserve"> </w:t>
      </w:r>
      <w:r w:rsidRPr="00133297">
        <w:rPr>
          <w:rFonts w:eastAsia="Times New Roman" w:cs="Times New Roman"/>
          <w:lang w:eastAsia="de-DE"/>
        </w:rPr>
        <w:t xml:space="preserve">gibt die Rinder an: </w:t>
      </w:r>
      <w:r w:rsidRPr="00133297">
        <w:rPr>
          <w:rFonts w:eastAsia="Times New Roman" w:cs="Times New Roman"/>
          <w:b/>
          <w:bCs/>
          <w:rtl/>
          <w:lang w:eastAsia="de-DE"/>
        </w:rPr>
        <w:t>בָּקָר</w:t>
      </w:r>
      <w:r w:rsidRPr="00133297">
        <w:rPr>
          <w:rFonts w:eastAsia="Times New Roman" w:cs="Times New Roman"/>
          <w:rtl/>
          <w:lang w:eastAsia="de-DE"/>
        </w:rPr>
        <w:t xml:space="preserve"> </w:t>
      </w:r>
      <w:r w:rsidRPr="00133297">
        <w:rPr>
          <w:rFonts w:eastAsia="Times New Roman" w:cs="Times New Roman"/>
          <w:lang w:eastAsia="de-DE"/>
        </w:rPr>
        <w:t xml:space="preserve">(„Rinder"), </w:t>
      </w:r>
      <w:r w:rsidRPr="00133297">
        <w:rPr>
          <w:rFonts w:eastAsia="Times New Roman" w:cs="Times New Roman"/>
          <w:b/>
          <w:bCs/>
          <w:rtl/>
          <w:lang w:eastAsia="de-DE"/>
        </w:rPr>
        <w:t>שְׁנַיִם וְשִׁבְעִים אָלֶף</w:t>
      </w:r>
      <w:r w:rsidRPr="00133297">
        <w:rPr>
          <w:rFonts w:eastAsia="Times New Roman" w:cs="Times New Roman"/>
          <w:rtl/>
          <w:lang w:eastAsia="de-DE"/>
        </w:rPr>
        <w:t xml:space="preserve"> </w:t>
      </w:r>
      <w:r w:rsidRPr="00133297">
        <w:rPr>
          <w:rFonts w:eastAsia="Times New Roman" w:cs="Times New Roman"/>
          <w:lang w:eastAsia="de-DE"/>
        </w:rPr>
        <w:t xml:space="preserve">(„zweiundsiebzigtausend"), zusammen 72.000. </w:t>
      </w:r>
      <w:r w:rsidRPr="00133297">
        <w:rPr>
          <w:rFonts w:eastAsia="Times New Roman" w:cs="Times New Roman"/>
          <w:b/>
          <w:bCs/>
          <w:rtl/>
          <w:lang w:eastAsia="de-DE"/>
        </w:rPr>
        <w:t>וַחֲמֹרִים אֶחָד וְשִׁשִּׁים אָלֶף</w:t>
      </w:r>
      <w:r w:rsidRPr="00133297">
        <w:rPr>
          <w:rFonts w:eastAsia="Times New Roman" w:cs="Times New Roman"/>
          <w:rtl/>
          <w:lang w:eastAsia="de-DE"/>
        </w:rPr>
        <w:t xml:space="preserve"> </w:t>
      </w:r>
      <w:r w:rsidRPr="00133297">
        <w:rPr>
          <w:rFonts w:eastAsia="Times New Roman" w:cs="Times New Roman"/>
          <w:lang w:eastAsia="de-DE"/>
        </w:rPr>
        <w:t xml:space="preserve">gibt die Esel an: </w:t>
      </w:r>
      <w:r w:rsidRPr="00133297">
        <w:rPr>
          <w:rFonts w:eastAsia="Times New Roman" w:cs="Times New Roman"/>
          <w:b/>
          <w:bCs/>
          <w:rtl/>
          <w:lang w:eastAsia="de-DE"/>
        </w:rPr>
        <w:t>חֲמֹרִים</w:t>
      </w:r>
      <w:r w:rsidRPr="00133297">
        <w:rPr>
          <w:rFonts w:eastAsia="Times New Roman" w:cs="Times New Roman"/>
          <w:rtl/>
          <w:lang w:eastAsia="de-DE"/>
        </w:rPr>
        <w:t xml:space="preserve"> </w:t>
      </w:r>
      <w:r w:rsidRPr="00133297">
        <w:rPr>
          <w:rFonts w:eastAsia="Times New Roman" w:cs="Times New Roman"/>
          <w:lang w:eastAsia="de-DE"/>
        </w:rPr>
        <w:t xml:space="preserve">(Plural von </w:t>
      </w:r>
      <w:r w:rsidRPr="00133297">
        <w:rPr>
          <w:rFonts w:eastAsia="Times New Roman" w:cs="Times New Roman"/>
          <w:b/>
          <w:bCs/>
          <w:rtl/>
          <w:lang w:eastAsia="de-DE"/>
        </w:rPr>
        <w:t>חֲמוֹר</w:t>
      </w:r>
      <w:r w:rsidRPr="00133297">
        <w:rPr>
          <w:rFonts w:eastAsia="Times New Roman" w:cs="Times New Roman"/>
          <w:rtl/>
          <w:lang w:eastAsia="de-DE"/>
        </w:rPr>
        <w:t xml:space="preserve"> </w:t>
      </w:r>
      <w:r w:rsidRPr="00133297">
        <w:rPr>
          <w:rFonts w:eastAsia="Times New Roman" w:cs="Times New Roman"/>
          <w:lang w:eastAsia="de-DE"/>
        </w:rPr>
        <w:t xml:space="preserve">„Esel"), </w:t>
      </w:r>
      <w:r w:rsidRPr="00133297">
        <w:rPr>
          <w:rFonts w:eastAsia="Times New Roman" w:cs="Times New Roman"/>
          <w:b/>
          <w:bCs/>
          <w:rtl/>
          <w:lang w:eastAsia="de-DE"/>
        </w:rPr>
        <w:t>אֶחָד וְשִׁשִּׁים אָלֶף</w:t>
      </w:r>
      <w:r w:rsidRPr="00133297">
        <w:rPr>
          <w:rFonts w:eastAsia="Times New Roman" w:cs="Times New Roman"/>
          <w:rtl/>
          <w:lang w:eastAsia="de-DE"/>
        </w:rPr>
        <w:t xml:space="preserve"> </w:t>
      </w:r>
      <w:r w:rsidRPr="00133297">
        <w:rPr>
          <w:rFonts w:eastAsia="Times New Roman" w:cs="Times New Roman"/>
          <w:lang w:eastAsia="de-DE"/>
        </w:rPr>
        <w:t>(„einundsechzigtausend"), zusammen 61.000.</w:t>
      </w:r>
    </w:p>
    <w:p w14:paraId="2AF38A5B" w14:textId="041359B3" w:rsidR="00133297" w:rsidRPr="00133297" w:rsidRDefault="00133297" w:rsidP="00460FCC">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וְנֶפֶשׁ אָדָם מִן־הַנָּשִׁים אֲשֶׁר לֹא־יָדְעוּ מִשְׁכַּב זָכָר כָּל־נֶפֶשׁ שְׁנַיִם וּשְׁלֹשִׁים אָלֶף</w:t>
      </w:r>
      <w:r w:rsidRPr="00133297">
        <w:rPr>
          <w:rFonts w:eastAsia="Times New Roman" w:cs="Times New Roman"/>
          <w:rtl/>
          <w:lang w:eastAsia="de-DE"/>
        </w:rPr>
        <w:t xml:space="preserve"> </w:t>
      </w:r>
      <w:r w:rsidRPr="00133297">
        <w:rPr>
          <w:rFonts w:eastAsia="Times New Roman" w:cs="Times New Roman"/>
          <w:lang w:eastAsia="de-DE"/>
        </w:rPr>
        <w:t xml:space="preserve">gibt die Menschen an. </w:t>
      </w:r>
      <w:r w:rsidRPr="00133297">
        <w:rPr>
          <w:rFonts w:eastAsia="Times New Roman" w:cs="Times New Roman"/>
          <w:b/>
          <w:bCs/>
          <w:rtl/>
          <w:lang w:eastAsia="de-DE"/>
        </w:rPr>
        <w:t>וְנֶפֶשׁ אָדָם</w:t>
      </w:r>
      <w:r w:rsidRPr="00133297">
        <w:rPr>
          <w:rFonts w:eastAsia="Times New Roman" w:cs="Times New Roman"/>
          <w:rtl/>
          <w:lang w:eastAsia="de-DE"/>
        </w:rPr>
        <w:t xml:space="preserve"> </w:t>
      </w:r>
      <w:r w:rsidRPr="00133297">
        <w:rPr>
          <w:rFonts w:eastAsia="Times New Roman" w:cs="Times New Roman"/>
          <w:lang w:eastAsia="de-DE"/>
        </w:rPr>
        <w:t xml:space="preserve">(Konjunktion mit </w:t>
      </w:r>
      <w:r w:rsidRPr="00133297">
        <w:rPr>
          <w:rFonts w:eastAsia="Times New Roman" w:cs="Times New Roman"/>
          <w:b/>
          <w:bCs/>
          <w:rtl/>
          <w:lang w:eastAsia="de-DE"/>
        </w:rPr>
        <w:t>נֶפֶשׁ</w:t>
      </w:r>
      <w:r w:rsidRPr="00133297">
        <w:rPr>
          <w:rFonts w:eastAsia="Times New Roman" w:cs="Times New Roman"/>
          <w:rtl/>
          <w:lang w:eastAsia="de-DE"/>
        </w:rPr>
        <w:t xml:space="preserve"> </w:t>
      </w:r>
      <w:r w:rsidRPr="00133297">
        <w:rPr>
          <w:rFonts w:eastAsia="Times New Roman" w:cs="Times New Roman"/>
          <w:lang w:eastAsia="de-DE"/>
        </w:rPr>
        <w:t xml:space="preserve">„Seele, Person" im </w:t>
      </w:r>
      <w:r w:rsidR="00E031B3">
        <w:rPr>
          <w:rFonts w:eastAsia="Times New Roman" w:cs="Times New Roman"/>
          <w:lang w:eastAsia="de-DE"/>
        </w:rPr>
        <w:t>Constructus mit</w:t>
      </w:r>
      <w:r w:rsidRPr="00133297">
        <w:rPr>
          <w:rFonts w:eastAsia="Times New Roman" w:cs="Times New Roman"/>
          <w:lang w:eastAsia="de-DE"/>
        </w:rPr>
        <w:t xml:space="preserve"> </w:t>
      </w:r>
      <w:r w:rsidRPr="00133297">
        <w:rPr>
          <w:rFonts w:eastAsia="Times New Roman" w:cs="Times New Roman"/>
          <w:b/>
          <w:bCs/>
          <w:rtl/>
          <w:lang w:eastAsia="de-DE"/>
        </w:rPr>
        <w:t>אָדָם</w:t>
      </w:r>
      <w:r w:rsidRPr="00133297">
        <w:rPr>
          <w:rFonts w:eastAsia="Times New Roman" w:cs="Times New Roman"/>
          <w:rtl/>
          <w:lang w:eastAsia="de-DE"/>
        </w:rPr>
        <w:t xml:space="preserve"> </w:t>
      </w:r>
      <w:r w:rsidRPr="00133297">
        <w:rPr>
          <w:rFonts w:eastAsia="Times New Roman" w:cs="Times New Roman"/>
          <w:lang w:eastAsia="de-DE"/>
        </w:rPr>
        <w:t xml:space="preserve">„Mensch" „und Menschenseelen"), </w:t>
      </w:r>
      <w:r w:rsidRPr="00133297">
        <w:rPr>
          <w:rFonts w:eastAsia="Times New Roman" w:cs="Times New Roman"/>
          <w:b/>
          <w:bCs/>
          <w:rtl/>
          <w:lang w:eastAsia="de-DE"/>
        </w:rPr>
        <w:t>מִן־הַנָּשִׁים אֲשֶׁר לֹא־יָדְעוּ מִשְׁכַּב זָכָר</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מִן</w:t>
      </w:r>
      <w:r w:rsidRPr="00133297">
        <w:rPr>
          <w:rFonts w:eastAsia="Times New Roman" w:cs="Times New Roman"/>
          <w:rtl/>
          <w:lang w:eastAsia="de-DE"/>
        </w:rPr>
        <w:t xml:space="preserve"> </w:t>
      </w:r>
      <w:r w:rsidRPr="00133297">
        <w:rPr>
          <w:rFonts w:eastAsia="Times New Roman" w:cs="Times New Roman"/>
          <w:lang w:eastAsia="de-DE"/>
        </w:rPr>
        <w:t xml:space="preserve">mit </w:t>
      </w:r>
      <w:r w:rsidRPr="00133297">
        <w:rPr>
          <w:rFonts w:eastAsia="Times New Roman" w:cs="Times New Roman"/>
          <w:b/>
          <w:bCs/>
          <w:rtl/>
          <w:lang w:eastAsia="de-DE"/>
        </w:rPr>
        <w:t>נָשִׁים</w:t>
      </w:r>
      <w:r w:rsidRPr="00133297">
        <w:rPr>
          <w:rFonts w:eastAsia="Times New Roman" w:cs="Times New Roman"/>
          <w:rtl/>
          <w:lang w:eastAsia="de-DE"/>
        </w:rPr>
        <w:t xml:space="preserve"> </w:t>
      </w:r>
      <w:r w:rsidRPr="00133297">
        <w:rPr>
          <w:rFonts w:eastAsia="Times New Roman" w:cs="Times New Roman"/>
          <w:lang w:eastAsia="de-DE"/>
        </w:rPr>
        <w:t xml:space="preserve">„Frauen" mit Artikel und Relativsatz wie in V. 18 „von den Frauen, die den Beischlaf eines Mannes nicht erkannt hatten"), </w:t>
      </w:r>
      <w:r w:rsidRPr="00133297">
        <w:rPr>
          <w:rFonts w:eastAsia="Times New Roman" w:cs="Times New Roman"/>
          <w:b/>
          <w:bCs/>
          <w:rtl/>
          <w:lang w:eastAsia="de-DE"/>
        </w:rPr>
        <w:t>כָּל־נֶפֶשׁ</w:t>
      </w:r>
      <w:r w:rsidRPr="00133297">
        <w:rPr>
          <w:rFonts w:eastAsia="Times New Roman" w:cs="Times New Roman"/>
          <w:rtl/>
          <w:lang w:eastAsia="de-DE"/>
        </w:rPr>
        <w:t xml:space="preserve"> </w:t>
      </w:r>
      <w:r w:rsidRPr="00133297">
        <w:rPr>
          <w:rFonts w:eastAsia="Times New Roman" w:cs="Times New Roman"/>
          <w:lang w:eastAsia="de-DE"/>
        </w:rPr>
        <w:t xml:space="preserve">(„alle Seelen" als Zusammenfassung), </w:t>
      </w:r>
      <w:r w:rsidRPr="00133297">
        <w:rPr>
          <w:rFonts w:eastAsia="Times New Roman" w:cs="Times New Roman"/>
          <w:b/>
          <w:bCs/>
          <w:rtl/>
          <w:lang w:eastAsia="de-DE"/>
        </w:rPr>
        <w:t>שְׁנַיִם וּשְׁלֹשִׁים אָלֶף</w:t>
      </w:r>
      <w:r w:rsidRPr="00133297">
        <w:rPr>
          <w:rFonts w:eastAsia="Times New Roman" w:cs="Times New Roman"/>
          <w:rtl/>
          <w:lang w:eastAsia="de-DE"/>
        </w:rPr>
        <w:t xml:space="preserve"> </w:t>
      </w:r>
      <w:r w:rsidRPr="00133297">
        <w:rPr>
          <w:rFonts w:eastAsia="Times New Roman" w:cs="Times New Roman"/>
          <w:lang w:eastAsia="de-DE"/>
        </w:rPr>
        <w:t>(„zweiunddreißigtausend"), zusammen 32.000 jungfräuliche Mädchen.</w:t>
      </w:r>
    </w:p>
    <w:p w14:paraId="5C0F94EE"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drei parallele nominale Aufzählungen mit Zahlangaben.</w:t>
      </w:r>
    </w:p>
    <w:p w14:paraId="5CD1606D"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Verse vervollständigen die Bestandsaufnahme: 675.000 Kleinvieh, 72.000 Rinder, 61.000 Esel und 32.000 jungfräuliche Frauen - eine gewaltige Beute, die nun verteilt werden muss.</w:t>
      </w:r>
    </w:p>
    <w:p w14:paraId="676D1A00"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31,36-40</w:t>
      </w:r>
    </w:p>
    <w:p w14:paraId="5F8B5B1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[Die Verse geben die erste Hälfte (für die Kämpfer) mit genauen Zahlen: 337.500 Kleinvieh (davon 675 als Steuer für den Ewigen), 36.000 Rinder (davon 72 für den Ewigen), 30.500 Esel (davon 61 für den Ewigen), 16.000 Menschen (davon 32 für den Ewigen). Die Steuer von 1:500 wird präzise berechnet.]</w:t>
      </w:r>
    </w:p>
    <w:p w14:paraId="0033AE66"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31,41</w:t>
      </w:r>
    </w:p>
    <w:p w14:paraId="59B63560"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וַיִּתֵּ֣ן מֹשֶׁ֗ה אֶת־מֶ֙כֶס֙ תְּרוּמַ֣ת יְהוָ֔ה לְאֶלְעָזָ֖ר הַכֹּהֵ֑ן כַּאֲשֶׁ֛ר צִוָּ֥ה יְהוָ֖ה אֶת־מֹשֶֽׁה׃</w:t>
      </w:r>
    </w:p>
    <w:p w14:paraId="3E2A982A"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Mosche gab die Abgabe des Hebopfers des Ewigen El'asar, dem Priester, so wie der Ewige Mosche geboten hatte.</w:t>
      </w:r>
    </w:p>
    <w:p w14:paraId="031C67E4"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1A802C5D">
          <v:rect id="_x0000_i1978" style="width:0;height:1.5pt" o:hralign="center" o:hrstd="t" o:hr="t" fillcolor="#a0a0a0" stroked="f"/>
        </w:pict>
      </w:r>
    </w:p>
    <w:p w14:paraId="73CA472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lastRenderedPageBreak/>
        <w:t>Kommentar:</w:t>
      </w:r>
      <w:r w:rsidRPr="00133297">
        <w:rPr>
          <w:rFonts w:eastAsia="Times New Roman" w:cs="Times New Roman"/>
          <w:lang w:eastAsia="de-DE"/>
        </w:rPr>
        <w:t xml:space="preserve"> Der Vers dokumentiert die Übergabe der priesterlichen Steuer. </w:t>
      </w:r>
      <w:r w:rsidRPr="00133297">
        <w:rPr>
          <w:rFonts w:eastAsia="Times New Roman" w:cs="Times New Roman"/>
          <w:b/>
          <w:bCs/>
          <w:rtl/>
          <w:lang w:eastAsia="de-DE"/>
        </w:rPr>
        <w:t>וַיִּתֵּן מֹשֶׁה אֶת־מֶכֶס תְּרוּמַת יהוה לְאֶלְעָזָר הַכֹּהֵן</w:t>
      </w:r>
      <w:r w:rsidRPr="00133297">
        <w:rPr>
          <w:rFonts w:eastAsia="Times New Roman" w:cs="Times New Roman"/>
          <w:rtl/>
          <w:lang w:eastAsia="de-DE"/>
        </w:rPr>
        <w:t xml:space="preserve"> </w:t>
      </w:r>
      <w:r w:rsidRPr="00133297">
        <w:rPr>
          <w:rFonts w:eastAsia="Times New Roman" w:cs="Times New Roman"/>
          <w:lang w:eastAsia="de-DE"/>
        </w:rPr>
        <w:t xml:space="preserve">zeigt die Handlung. </w:t>
      </w:r>
      <w:r w:rsidRPr="00133297">
        <w:rPr>
          <w:rFonts w:eastAsia="Times New Roman" w:cs="Times New Roman"/>
          <w:b/>
          <w:bCs/>
          <w:rtl/>
          <w:lang w:eastAsia="de-DE"/>
        </w:rPr>
        <w:t>וַיִּתֵּן</w:t>
      </w:r>
      <w:r w:rsidRPr="00133297">
        <w:rPr>
          <w:rFonts w:eastAsia="Times New Roman" w:cs="Times New Roman"/>
          <w:rtl/>
          <w:lang w:eastAsia="de-DE"/>
        </w:rPr>
        <w:t xml:space="preserve"> </w:t>
      </w:r>
      <w:r w:rsidRPr="00133297">
        <w:rPr>
          <w:rFonts w:eastAsia="Times New Roman" w:cs="Times New Roman"/>
          <w:lang w:eastAsia="de-DE"/>
        </w:rPr>
        <w:t xml:space="preserve">(Qal Wayyiqtol 3. Person maskulin Singular von </w:t>
      </w:r>
      <w:r w:rsidRPr="00133297">
        <w:rPr>
          <w:rFonts w:eastAsia="Times New Roman" w:cs="Times New Roman"/>
          <w:b/>
          <w:bCs/>
          <w:rtl/>
          <w:lang w:eastAsia="de-DE"/>
        </w:rPr>
        <w:t>נתן</w:t>
      </w:r>
      <w:r w:rsidRPr="00133297">
        <w:rPr>
          <w:rFonts w:eastAsia="Times New Roman" w:cs="Times New Roman"/>
          <w:rtl/>
          <w:lang w:eastAsia="de-DE"/>
        </w:rPr>
        <w:t xml:space="preserve"> </w:t>
      </w:r>
      <w:r w:rsidRPr="00133297">
        <w:rPr>
          <w:rFonts w:eastAsia="Times New Roman" w:cs="Times New Roman"/>
          <w:lang w:eastAsia="de-DE"/>
        </w:rPr>
        <w:t xml:space="preserve">„geben"), </w:t>
      </w:r>
      <w:r w:rsidRPr="00133297">
        <w:rPr>
          <w:rFonts w:eastAsia="Times New Roman" w:cs="Times New Roman"/>
          <w:b/>
          <w:bCs/>
          <w:rtl/>
          <w:lang w:eastAsia="de-DE"/>
        </w:rPr>
        <w:t>מֹשֶׁה</w:t>
      </w:r>
      <w:r w:rsidRPr="00133297">
        <w:rPr>
          <w:rFonts w:eastAsia="Times New Roman" w:cs="Times New Roman"/>
          <w:rtl/>
          <w:lang w:eastAsia="de-DE"/>
        </w:rPr>
        <w:t xml:space="preserve"> </w:t>
      </w:r>
      <w:r w:rsidRPr="00133297">
        <w:rPr>
          <w:rFonts w:eastAsia="Times New Roman" w:cs="Times New Roman"/>
          <w:lang w:eastAsia="de-DE"/>
        </w:rPr>
        <w:t xml:space="preserve">ist das Subjekt, </w:t>
      </w:r>
      <w:r w:rsidRPr="00133297">
        <w:rPr>
          <w:rFonts w:eastAsia="Times New Roman" w:cs="Times New Roman"/>
          <w:b/>
          <w:bCs/>
          <w:rtl/>
          <w:lang w:eastAsia="de-DE"/>
        </w:rPr>
        <w:t>אֶת־מֶכֶס תְּרוּמַת יהוה</w:t>
      </w:r>
      <w:r w:rsidRPr="00133297">
        <w:rPr>
          <w:rFonts w:eastAsia="Times New Roman" w:cs="Times New Roman"/>
          <w:rtl/>
          <w:lang w:eastAsia="de-DE"/>
        </w:rPr>
        <w:t xml:space="preserve"> </w:t>
      </w:r>
      <w:r w:rsidRPr="00133297">
        <w:rPr>
          <w:rFonts w:eastAsia="Times New Roman" w:cs="Times New Roman"/>
          <w:lang w:eastAsia="de-DE"/>
        </w:rPr>
        <w:t xml:space="preserve">(Akkusativpartikel mit der Genitivverbindung </w:t>
      </w:r>
      <w:r w:rsidRPr="00133297">
        <w:rPr>
          <w:rFonts w:eastAsia="Times New Roman" w:cs="Times New Roman"/>
          <w:b/>
          <w:bCs/>
          <w:rtl/>
          <w:lang w:eastAsia="de-DE"/>
        </w:rPr>
        <w:t>מֶכֶס</w:t>
      </w:r>
      <w:r w:rsidRPr="00133297">
        <w:rPr>
          <w:rFonts w:eastAsia="Times New Roman" w:cs="Times New Roman"/>
          <w:rtl/>
          <w:lang w:eastAsia="de-DE"/>
        </w:rPr>
        <w:t xml:space="preserve"> </w:t>
      </w:r>
      <w:r w:rsidRPr="00133297">
        <w:rPr>
          <w:rFonts w:eastAsia="Times New Roman" w:cs="Times New Roman"/>
          <w:lang w:eastAsia="de-DE"/>
        </w:rPr>
        <w:t xml:space="preserve">„Abgabe, Steuer" mit </w:t>
      </w:r>
      <w:r w:rsidRPr="00133297">
        <w:rPr>
          <w:rFonts w:eastAsia="Times New Roman" w:cs="Times New Roman"/>
          <w:b/>
          <w:bCs/>
          <w:rtl/>
          <w:lang w:eastAsia="de-DE"/>
        </w:rPr>
        <w:t>תְּרוּמַת יהוה</w:t>
      </w:r>
      <w:r w:rsidRPr="00133297">
        <w:rPr>
          <w:rFonts w:eastAsia="Times New Roman" w:cs="Times New Roman"/>
          <w:rtl/>
          <w:lang w:eastAsia="de-DE"/>
        </w:rPr>
        <w:t xml:space="preserve"> </w:t>
      </w:r>
      <w:r w:rsidRPr="00133297">
        <w:rPr>
          <w:rFonts w:eastAsia="Times New Roman" w:cs="Times New Roman"/>
          <w:lang w:eastAsia="de-DE"/>
        </w:rPr>
        <w:t xml:space="preserve">„Hebopfer des Ewigen" „die Abgabe des Hebopfers des Ewigen"), </w:t>
      </w:r>
      <w:r w:rsidRPr="00133297">
        <w:rPr>
          <w:rFonts w:eastAsia="Times New Roman" w:cs="Times New Roman"/>
          <w:b/>
          <w:bCs/>
          <w:rtl/>
          <w:lang w:eastAsia="de-DE"/>
        </w:rPr>
        <w:t>לְאֶלְעָזָר הַכֹּהֵן</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„Eleasar dem Priester"). </w:t>
      </w:r>
      <w:r w:rsidRPr="00133297">
        <w:rPr>
          <w:rFonts w:eastAsia="Times New Roman" w:cs="Times New Roman"/>
          <w:b/>
          <w:bCs/>
          <w:rtl/>
          <w:lang w:eastAsia="de-DE"/>
        </w:rPr>
        <w:t>כַּאֲשֶׁר צִוָּה יהוה אֶת־מֹשֶׁה</w:t>
      </w:r>
      <w:r w:rsidRPr="00133297">
        <w:rPr>
          <w:rFonts w:eastAsia="Times New Roman" w:cs="Times New Roman"/>
          <w:rtl/>
          <w:lang w:eastAsia="de-DE"/>
        </w:rPr>
        <w:t xml:space="preserve"> </w:t>
      </w:r>
      <w:r w:rsidRPr="00133297">
        <w:rPr>
          <w:rFonts w:eastAsia="Times New Roman" w:cs="Times New Roman"/>
          <w:lang w:eastAsia="de-DE"/>
        </w:rPr>
        <w:t>ist die Validierungsformel.</w:t>
      </w:r>
    </w:p>
    <w:p w14:paraId="3217AAC3" w14:textId="0D448BC2"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Die LXX</w:t>
      </w:r>
      <w:r w:rsidRPr="00133297">
        <w:rPr>
          <w:rFonts w:eastAsia="Times New Roman" w:cs="Times New Roman"/>
          <w:lang w:eastAsia="de-DE"/>
        </w:rPr>
        <w:t xml:space="preserve"> </w:t>
      </w:r>
      <w:r w:rsidR="00EF1857">
        <w:t>fügt hinzu „τὸ ἀφαίρεμα τοῦ θεοῦ" (die Abgabe Gottes) nach „τὸ τέλος κυρίῳ" (die Steuer für den Herrn), was im MT nicht erscheint.</w:t>
      </w:r>
    </w:p>
    <w:p w14:paraId="50FEC94A"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 Verb mit Subjekt, erweitertem Objekt, indirektem Objekt und Validierungsformel.</w:t>
      </w:r>
    </w:p>
    <w:p w14:paraId="597CFC8A"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dokumentiert Moses Gehorsam: Er übergibt die göttliche Steuer (787 Tiere und 32 Menschen) an Eleasar für den Tempeldienst.</w:t>
      </w:r>
    </w:p>
    <w:p w14:paraId="2AF1201D"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31,42-47</w:t>
      </w:r>
    </w:p>
    <w:p w14:paraId="7F69B42D"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[Die Verse geben die zweite Hälfte (für die Gemeinde): ebenfalls 337.500 Kleinvieh, 36.000 Rinder, 30.500 Esel, 16.000 Menschen. Mose nahm davon die höhere Steuer von 1:50 (6.750 Kleinvieh, 720 Rinder, 610 Esel, 320 Menschen) und gab sie den Leviten, die den Dienst der Wohnung des Ewigen bewahren, wie der Ewige geboten hatte.]</w:t>
      </w:r>
    </w:p>
    <w:p w14:paraId="153212AB"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31,48</w:t>
      </w:r>
    </w:p>
    <w:p w14:paraId="3D02E863"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וַֽיִּקְרְבוּ֙ אֶל־מֹשֶׁ֔ה הַפְּקֻדִ֕ים אֲשֶׁ֖ר לְאַלְפֵ֣י הַצָּבָ֑א שָׂרֵ֥י הָאֲלָפִ֖ים וְשָׂרֵ֥י הַמֵּאֽוֹת׃</w:t>
      </w:r>
    </w:p>
    <w:p w14:paraId="3399F5A2"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es traten zu Mosche die Vorgesetzten über die Tausenden des Heeres, die Obersten über 1.000 und die Obersten über 100,</w:t>
      </w:r>
    </w:p>
    <w:p w14:paraId="34710F42"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4232A149">
          <v:rect id="_x0000_i1979" style="width:0;height:1.5pt" o:hralign="center" o:hrstd="t" o:hr="t" fillcolor="#a0a0a0" stroked="f"/>
        </w:pict>
      </w:r>
    </w:p>
    <w:p w14:paraId="706334C9" w14:textId="73DE05CB"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leitet eine freiwillige Opfergabe ein. </w:t>
      </w:r>
      <w:r w:rsidRPr="00133297">
        <w:rPr>
          <w:rFonts w:eastAsia="Times New Roman" w:cs="Times New Roman"/>
          <w:b/>
          <w:bCs/>
          <w:rtl/>
          <w:lang w:eastAsia="de-DE"/>
        </w:rPr>
        <w:t>וַיִּקְרְבוּ אֶל־מֹשֶׁה הַפְּקֻדִים אֲשֶׁר לְאַלְפֵי הַצָּבָא</w:t>
      </w:r>
      <w:r w:rsidRPr="00133297">
        <w:rPr>
          <w:rFonts w:eastAsia="Times New Roman" w:cs="Times New Roman"/>
          <w:rtl/>
          <w:lang w:eastAsia="de-DE"/>
        </w:rPr>
        <w:t xml:space="preserve"> </w:t>
      </w:r>
      <w:r w:rsidRPr="00133297">
        <w:rPr>
          <w:rFonts w:eastAsia="Times New Roman" w:cs="Times New Roman"/>
          <w:lang w:eastAsia="de-DE"/>
        </w:rPr>
        <w:t xml:space="preserve">zeigt die Handelnden. </w:t>
      </w:r>
      <w:r w:rsidRPr="00133297">
        <w:rPr>
          <w:rFonts w:eastAsia="Times New Roman" w:cs="Times New Roman"/>
          <w:b/>
          <w:bCs/>
          <w:rtl/>
          <w:lang w:eastAsia="de-DE"/>
        </w:rPr>
        <w:t>וַיִּקְרְבוּ</w:t>
      </w:r>
      <w:r w:rsidRPr="00133297">
        <w:rPr>
          <w:rFonts w:eastAsia="Times New Roman" w:cs="Times New Roman"/>
          <w:rtl/>
          <w:lang w:eastAsia="de-DE"/>
        </w:rPr>
        <w:t xml:space="preserve"> </w:t>
      </w:r>
      <w:r w:rsidRPr="00133297">
        <w:rPr>
          <w:rFonts w:eastAsia="Times New Roman" w:cs="Times New Roman"/>
          <w:lang w:eastAsia="de-DE"/>
        </w:rPr>
        <w:t xml:space="preserve">(Qal Wayyiqtol 3. Person maskulin Plural von </w:t>
      </w:r>
      <w:r w:rsidRPr="00133297">
        <w:rPr>
          <w:rFonts w:eastAsia="Times New Roman" w:cs="Times New Roman"/>
          <w:b/>
          <w:bCs/>
          <w:rtl/>
          <w:lang w:eastAsia="de-DE"/>
        </w:rPr>
        <w:t>קרב</w:t>
      </w:r>
      <w:r w:rsidRPr="00133297">
        <w:rPr>
          <w:rFonts w:eastAsia="Times New Roman" w:cs="Times New Roman"/>
          <w:rtl/>
          <w:lang w:eastAsia="de-DE"/>
        </w:rPr>
        <w:t xml:space="preserve"> </w:t>
      </w:r>
      <w:r w:rsidRPr="00133297">
        <w:rPr>
          <w:rFonts w:eastAsia="Times New Roman" w:cs="Times New Roman"/>
          <w:lang w:eastAsia="de-DE"/>
        </w:rPr>
        <w:t xml:space="preserve">„nahen, herantreten"), </w:t>
      </w:r>
      <w:r w:rsidRPr="00133297">
        <w:rPr>
          <w:rFonts w:eastAsia="Times New Roman" w:cs="Times New Roman"/>
          <w:b/>
          <w:bCs/>
          <w:rtl/>
          <w:lang w:eastAsia="de-DE"/>
        </w:rPr>
        <w:t>אֶל־מֹשֶׁה</w:t>
      </w:r>
      <w:r w:rsidRPr="00133297">
        <w:rPr>
          <w:rFonts w:eastAsia="Times New Roman" w:cs="Times New Roman"/>
          <w:rtl/>
          <w:lang w:eastAsia="de-DE"/>
        </w:rPr>
        <w:t xml:space="preserve"> </w:t>
      </w:r>
      <w:r w:rsidRPr="00133297">
        <w:rPr>
          <w:rFonts w:eastAsia="Times New Roman" w:cs="Times New Roman"/>
          <w:lang w:eastAsia="de-DE"/>
        </w:rPr>
        <w:t xml:space="preserve">(Präposition mit </w:t>
      </w:r>
      <w:r w:rsidRPr="00133297">
        <w:rPr>
          <w:rFonts w:eastAsia="Times New Roman" w:cs="Times New Roman"/>
          <w:b/>
          <w:bCs/>
          <w:rtl/>
          <w:lang w:eastAsia="de-DE"/>
        </w:rPr>
        <w:t>מֹשֶׁה</w:t>
      </w:r>
      <w:r w:rsidRPr="00133297">
        <w:rPr>
          <w:rFonts w:eastAsia="Times New Roman" w:cs="Times New Roman"/>
          <w:rtl/>
          <w:lang w:eastAsia="de-DE"/>
        </w:rPr>
        <w:t xml:space="preserve"> </w:t>
      </w:r>
      <w:r w:rsidRPr="00133297">
        <w:rPr>
          <w:rFonts w:eastAsia="Times New Roman" w:cs="Times New Roman"/>
          <w:lang w:eastAsia="de-DE"/>
        </w:rPr>
        <w:t xml:space="preserve">„zu Mose"), </w:t>
      </w:r>
      <w:r w:rsidRPr="00133297">
        <w:rPr>
          <w:rFonts w:eastAsia="Times New Roman" w:cs="Times New Roman"/>
          <w:b/>
          <w:bCs/>
          <w:rtl/>
          <w:lang w:eastAsia="de-DE"/>
        </w:rPr>
        <w:t>הַפְּקֻדִים</w:t>
      </w:r>
      <w:r w:rsidRPr="00133297">
        <w:rPr>
          <w:rFonts w:eastAsia="Times New Roman" w:cs="Times New Roman"/>
          <w:rtl/>
          <w:lang w:eastAsia="de-DE"/>
        </w:rPr>
        <w:t xml:space="preserve"> </w:t>
      </w:r>
      <w:r w:rsidRPr="00133297">
        <w:rPr>
          <w:rFonts w:eastAsia="Times New Roman" w:cs="Times New Roman"/>
          <w:lang w:eastAsia="de-DE"/>
        </w:rPr>
        <w:t xml:space="preserve">(Qal Passiv-Partizip Plural von </w:t>
      </w:r>
      <w:r w:rsidRPr="00133297">
        <w:rPr>
          <w:rFonts w:eastAsia="Times New Roman" w:cs="Times New Roman"/>
          <w:b/>
          <w:bCs/>
          <w:rtl/>
          <w:lang w:eastAsia="de-DE"/>
        </w:rPr>
        <w:t>פקד</w:t>
      </w:r>
      <w:r w:rsidRPr="00133297">
        <w:rPr>
          <w:rFonts w:eastAsia="Times New Roman" w:cs="Times New Roman"/>
          <w:rtl/>
          <w:lang w:eastAsia="de-DE"/>
        </w:rPr>
        <w:t xml:space="preserve"> </w:t>
      </w:r>
      <w:r w:rsidRPr="00133297">
        <w:rPr>
          <w:rFonts w:eastAsia="Times New Roman" w:cs="Times New Roman"/>
          <w:lang w:eastAsia="de-DE"/>
        </w:rPr>
        <w:t xml:space="preserve">„mustern, bestellen" mit Artikel „die Vorgesetzten, die Bestellten"), </w:t>
      </w:r>
      <w:r w:rsidRPr="00133297">
        <w:rPr>
          <w:rFonts w:eastAsia="Times New Roman" w:cs="Times New Roman"/>
          <w:b/>
          <w:bCs/>
          <w:rtl/>
          <w:lang w:eastAsia="de-DE"/>
        </w:rPr>
        <w:t>אֲשֶׁר לְאַלְפֵי הַצָּבָא</w:t>
      </w:r>
      <w:r w:rsidRPr="00133297">
        <w:rPr>
          <w:rFonts w:eastAsia="Times New Roman" w:cs="Times New Roman"/>
          <w:rtl/>
          <w:lang w:eastAsia="de-DE"/>
        </w:rPr>
        <w:t xml:space="preserve"> </w:t>
      </w:r>
      <w:r w:rsidRPr="00133297">
        <w:rPr>
          <w:rFonts w:eastAsia="Times New Roman" w:cs="Times New Roman"/>
          <w:lang w:eastAsia="de-DE"/>
        </w:rPr>
        <w:t xml:space="preserve">(Relativsatz: Relativpronomen mit 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und Plural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אֶלֶף</w:t>
      </w:r>
      <w:r w:rsidRPr="00133297">
        <w:rPr>
          <w:rFonts w:eastAsia="Times New Roman" w:cs="Times New Roman"/>
          <w:rtl/>
          <w:lang w:eastAsia="de-DE"/>
        </w:rPr>
        <w:t xml:space="preserve"> </w:t>
      </w:r>
      <w:r w:rsidRPr="00133297">
        <w:rPr>
          <w:rFonts w:eastAsia="Times New Roman" w:cs="Times New Roman"/>
          <w:lang w:eastAsia="de-DE"/>
        </w:rPr>
        <w:t xml:space="preserve">„Tausend" und </w:t>
      </w:r>
      <w:r w:rsidRPr="00133297">
        <w:rPr>
          <w:rFonts w:eastAsia="Times New Roman" w:cs="Times New Roman"/>
          <w:b/>
          <w:bCs/>
          <w:rtl/>
          <w:lang w:eastAsia="de-DE"/>
        </w:rPr>
        <w:t>צָבָא</w:t>
      </w:r>
      <w:r w:rsidRPr="00133297">
        <w:rPr>
          <w:rFonts w:eastAsia="Times New Roman" w:cs="Times New Roman"/>
          <w:rtl/>
          <w:lang w:eastAsia="de-DE"/>
        </w:rPr>
        <w:t xml:space="preserve"> </w:t>
      </w:r>
      <w:r w:rsidRPr="00133297">
        <w:rPr>
          <w:rFonts w:eastAsia="Times New Roman" w:cs="Times New Roman"/>
          <w:lang w:eastAsia="de-DE"/>
        </w:rPr>
        <w:t>„Heer" „die über die Tausenden des Heeres").</w:t>
      </w:r>
    </w:p>
    <w:p w14:paraId="28ECECBF"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שָׂרֵי הָאֲלָפִים וְשָׂרֵי הַמֵּאוֹת</w:t>
      </w:r>
      <w:r w:rsidRPr="00133297">
        <w:rPr>
          <w:rFonts w:eastAsia="Times New Roman" w:cs="Times New Roman"/>
          <w:rtl/>
          <w:lang w:eastAsia="de-DE"/>
        </w:rPr>
        <w:t xml:space="preserve"> </w:t>
      </w:r>
      <w:r w:rsidRPr="00133297">
        <w:rPr>
          <w:rFonts w:eastAsia="Times New Roman" w:cs="Times New Roman"/>
          <w:lang w:eastAsia="de-DE"/>
        </w:rPr>
        <w:t>ist die appositive Erweiterung (wie in V. 14): „die Obersten über die Tausende und die Obersten über die Hunderte".</w:t>
      </w:r>
    </w:p>
    <w:p w14:paraId="3D52F24D"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 Verb mit präpositionalem Ziel, Subjekt mit Relativsatz und appositiver Erweiterung.</w:t>
      </w:r>
    </w:p>
    <w:p w14:paraId="322640C6"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zeigt die militärischen Befehlshaber, die zu Mose kommen - dieselben, über die er in V. 14 zürnte, nun mit einem anderen Anliegen.</w:t>
      </w:r>
    </w:p>
    <w:p w14:paraId="008FCCBE"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lastRenderedPageBreak/>
        <w:t>Numeri 31,49</w:t>
      </w:r>
    </w:p>
    <w:p w14:paraId="27AE3C36"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וַיֹּֽאמְרוּ֙ אֶל־מֹשֶׁ֔ה עֲבָדֶ֣יךָ נָֽשְׂא֗וּ אֶת־רֹ֛אשׁ אַנְשֵׁ֥י הַמִּלְחָמָ֖ה אֲשֶׁ֣ר בְּיָדֵ֑נוּ וְלֹא־נִפְקַ֥ד מִמֶּ֖נּוּ אִֽישׁ׃</w:t>
      </w:r>
    </w:p>
    <w:p w14:paraId="6248BD6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sprachen zu Mosche: „Deine Knechte haben die Summe der Männer des Heeres aufgenommen, die unter unserer Hand waren, und es fehlt von uns nicht ein Mann.</w:t>
      </w:r>
    </w:p>
    <w:p w14:paraId="1B962ECF"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2B623B85">
          <v:rect id="_x0000_i1980" style="width:0;height:1.5pt" o:hralign="center" o:hrstd="t" o:hr="t" fillcolor="#a0a0a0" stroked="f"/>
        </w:pict>
      </w:r>
    </w:p>
    <w:p w14:paraId="6B8E8108"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enthält die erstaunliche Nachricht. </w:t>
      </w:r>
      <w:r w:rsidRPr="00133297">
        <w:rPr>
          <w:rFonts w:eastAsia="Times New Roman" w:cs="Times New Roman"/>
          <w:b/>
          <w:bCs/>
          <w:rtl/>
          <w:lang w:eastAsia="de-DE"/>
        </w:rPr>
        <w:t>וַיֹּאמְרוּ אֶל־מֹשֶׁה עֲבָדֶיךָ נָשְׂאוּ אֶת־רֹאשׁ אַנְשֵׁי הַמִּלְחָמָה אֲשֶׁר בְּיָדֵנוּ</w:t>
      </w:r>
      <w:r w:rsidRPr="00133297">
        <w:rPr>
          <w:rFonts w:eastAsia="Times New Roman" w:cs="Times New Roman"/>
          <w:rtl/>
          <w:lang w:eastAsia="de-DE"/>
        </w:rPr>
        <w:t xml:space="preserve"> </w:t>
      </w:r>
      <w:r w:rsidRPr="00133297">
        <w:rPr>
          <w:rFonts w:eastAsia="Times New Roman" w:cs="Times New Roman"/>
          <w:lang w:eastAsia="de-DE"/>
        </w:rPr>
        <w:t xml:space="preserve">ist die Einleitung. </w:t>
      </w:r>
      <w:r w:rsidRPr="00133297">
        <w:rPr>
          <w:rFonts w:eastAsia="Times New Roman" w:cs="Times New Roman"/>
          <w:b/>
          <w:bCs/>
          <w:rtl/>
          <w:lang w:eastAsia="de-DE"/>
        </w:rPr>
        <w:t>עֲבָדֶיךָ</w:t>
      </w:r>
      <w:r w:rsidRPr="00133297">
        <w:rPr>
          <w:rFonts w:eastAsia="Times New Roman" w:cs="Times New Roman"/>
          <w:rtl/>
          <w:lang w:eastAsia="de-DE"/>
        </w:rPr>
        <w:t xml:space="preserve"> </w:t>
      </w:r>
      <w:r w:rsidRPr="00133297">
        <w:rPr>
          <w:rFonts w:eastAsia="Times New Roman" w:cs="Times New Roman"/>
          <w:lang w:eastAsia="de-DE"/>
        </w:rPr>
        <w:t xml:space="preserve">(„deine Knechte" - demütige Selbstbezeichnung), </w:t>
      </w:r>
      <w:r w:rsidRPr="00133297">
        <w:rPr>
          <w:rFonts w:eastAsia="Times New Roman" w:cs="Times New Roman"/>
          <w:b/>
          <w:bCs/>
          <w:rtl/>
          <w:lang w:eastAsia="de-DE"/>
        </w:rPr>
        <w:t>נָשְׂאוּ אֶת־רֹאשׁ</w:t>
      </w:r>
      <w:r w:rsidRPr="00133297">
        <w:rPr>
          <w:rFonts w:eastAsia="Times New Roman" w:cs="Times New Roman"/>
          <w:rtl/>
          <w:lang w:eastAsia="de-DE"/>
        </w:rPr>
        <w:t xml:space="preserve"> </w:t>
      </w:r>
      <w:r w:rsidRPr="00133297">
        <w:rPr>
          <w:rFonts w:eastAsia="Times New Roman" w:cs="Times New Roman"/>
          <w:lang w:eastAsia="de-DE"/>
        </w:rPr>
        <w:t xml:space="preserve">(Qal Perfekt 3. Person Plural von </w:t>
      </w:r>
      <w:r w:rsidRPr="00133297">
        <w:rPr>
          <w:rFonts w:eastAsia="Times New Roman" w:cs="Times New Roman"/>
          <w:b/>
          <w:bCs/>
          <w:rtl/>
          <w:lang w:eastAsia="de-DE"/>
        </w:rPr>
        <w:t>נשׂא</w:t>
      </w:r>
      <w:r w:rsidRPr="00133297">
        <w:rPr>
          <w:rFonts w:eastAsia="Times New Roman" w:cs="Times New Roman"/>
          <w:rtl/>
          <w:lang w:eastAsia="de-DE"/>
        </w:rPr>
        <w:t xml:space="preserve"> </w:t>
      </w:r>
      <w:r w:rsidRPr="00133297">
        <w:rPr>
          <w:rFonts w:eastAsia="Times New Roman" w:cs="Times New Roman"/>
          <w:lang w:eastAsia="de-DE"/>
        </w:rPr>
        <w:t xml:space="preserve">„erheben" mit Akkusativpartikel und </w:t>
      </w:r>
      <w:r w:rsidRPr="00133297">
        <w:rPr>
          <w:rFonts w:eastAsia="Times New Roman" w:cs="Times New Roman"/>
          <w:b/>
          <w:bCs/>
          <w:rtl/>
          <w:lang w:eastAsia="de-DE"/>
        </w:rPr>
        <w:t>רֹאשׁ</w:t>
      </w:r>
      <w:r w:rsidRPr="00133297">
        <w:rPr>
          <w:rFonts w:eastAsia="Times New Roman" w:cs="Times New Roman"/>
          <w:rtl/>
          <w:lang w:eastAsia="de-DE"/>
        </w:rPr>
        <w:t xml:space="preserve"> </w:t>
      </w:r>
      <w:r w:rsidRPr="00133297">
        <w:rPr>
          <w:rFonts w:eastAsia="Times New Roman" w:cs="Times New Roman"/>
          <w:lang w:eastAsia="de-DE"/>
        </w:rPr>
        <w:t xml:space="preserve">„Haupt, Summe" „haben die Summe aufgenommen"), </w:t>
      </w:r>
      <w:r w:rsidRPr="00133297">
        <w:rPr>
          <w:rFonts w:eastAsia="Times New Roman" w:cs="Times New Roman"/>
          <w:b/>
          <w:bCs/>
          <w:rtl/>
          <w:lang w:eastAsia="de-DE"/>
        </w:rPr>
        <w:t>אַנְשֵׁי הַמִּלְחָמָה אֲשֶׁר בְּיָדֵנוּ</w:t>
      </w:r>
      <w:r w:rsidRPr="00133297">
        <w:rPr>
          <w:rFonts w:eastAsia="Times New Roman" w:cs="Times New Roman"/>
          <w:rtl/>
          <w:lang w:eastAsia="de-DE"/>
        </w:rPr>
        <w:t xml:space="preserve"> </w:t>
      </w:r>
      <w:r w:rsidRPr="00133297">
        <w:rPr>
          <w:rFonts w:eastAsia="Times New Roman" w:cs="Times New Roman"/>
          <w:lang w:eastAsia="de-DE"/>
        </w:rPr>
        <w:t>(„die Männer des Krieges, die unter unserer Hand waren").</w:t>
      </w:r>
    </w:p>
    <w:p w14:paraId="54F8F4D5"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וְלֹא־נִפְקַד מִמֶּנּוּ אִישׁ</w:t>
      </w:r>
      <w:r w:rsidRPr="00133297">
        <w:rPr>
          <w:rFonts w:eastAsia="Times New Roman" w:cs="Times New Roman"/>
          <w:rtl/>
          <w:lang w:eastAsia="de-DE"/>
        </w:rPr>
        <w:t xml:space="preserve"> </w:t>
      </w:r>
      <w:r w:rsidRPr="00133297">
        <w:rPr>
          <w:rFonts w:eastAsia="Times New Roman" w:cs="Times New Roman"/>
          <w:lang w:eastAsia="de-DE"/>
        </w:rPr>
        <w:t xml:space="preserve">ist die bemerkenswerte Feststellung. </w:t>
      </w:r>
      <w:r w:rsidRPr="00133297">
        <w:rPr>
          <w:rFonts w:eastAsia="Times New Roman" w:cs="Times New Roman"/>
          <w:b/>
          <w:bCs/>
          <w:rtl/>
          <w:lang w:eastAsia="de-DE"/>
        </w:rPr>
        <w:t>וְלֹא־נִפְקַד</w:t>
      </w:r>
      <w:r w:rsidRPr="00133297">
        <w:rPr>
          <w:rFonts w:eastAsia="Times New Roman" w:cs="Times New Roman"/>
          <w:rtl/>
          <w:lang w:eastAsia="de-DE"/>
        </w:rPr>
        <w:t xml:space="preserve"> </w:t>
      </w:r>
      <w:r w:rsidRPr="00133297">
        <w:rPr>
          <w:rFonts w:eastAsia="Times New Roman" w:cs="Times New Roman"/>
          <w:lang w:eastAsia="de-DE"/>
        </w:rPr>
        <w:t xml:space="preserve">(Konjunktion mit Negation </w:t>
      </w:r>
      <w:r w:rsidRPr="00133297">
        <w:rPr>
          <w:rFonts w:eastAsia="Times New Roman" w:cs="Times New Roman"/>
          <w:b/>
          <w:bCs/>
          <w:rtl/>
          <w:lang w:eastAsia="de-DE"/>
        </w:rPr>
        <w:t>לֹא</w:t>
      </w:r>
      <w:r w:rsidRPr="00133297">
        <w:rPr>
          <w:rFonts w:eastAsia="Times New Roman" w:cs="Times New Roman"/>
          <w:rtl/>
          <w:lang w:eastAsia="de-DE"/>
        </w:rPr>
        <w:t xml:space="preserve"> </w:t>
      </w:r>
      <w:r w:rsidRPr="00133297">
        <w:rPr>
          <w:rFonts w:eastAsia="Times New Roman" w:cs="Times New Roman"/>
          <w:lang w:eastAsia="de-DE"/>
        </w:rPr>
        <w:t xml:space="preserve">und Niphal Perfekt 3. Person maskulin Singular von </w:t>
      </w:r>
      <w:r w:rsidRPr="00133297">
        <w:rPr>
          <w:rFonts w:eastAsia="Times New Roman" w:cs="Times New Roman"/>
          <w:b/>
          <w:bCs/>
          <w:rtl/>
          <w:lang w:eastAsia="de-DE"/>
        </w:rPr>
        <w:t>פקד</w:t>
      </w:r>
      <w:r w:rsidRPr="00133297">
        <w:rPr>
          <w:rFonts w:eastAsia="Times New Roman" w:cs="Times New Roman"/>
          <w:rtl/>
          <w:lang w:eastAsia="de-DE"/>
        </w:rPr>
        <w:t xml:space="preserve"> </w:t>
      </w:r>
      <w:r w:rsidRPr="00133297">
        <w:rPr>
          <w:rFonts w:eastAsia="Times New Roman" w:cs="Times New Roman"/>
          <w:lang w:eastAsia="de-DE"/>
        </w:rPr>
        <w:t xml:space="preserve">„fehlen, vermisst werden"), </w:t>
      </w:r>
      <w:r w:rsidRPr="00133297">
        <w:rPr>
          <w:rFonts w:eastAsia="Times New Roman" w:cs="Times New Roman"/>
          <w:b/>
          <w:bCs/>
          <w:rtl/>
          <w:lang w:eastAsia="de-DE"/>
        </w:rPr>
        <w:t>מִמֶּנּוּ</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מִן</w:t>
      </w:r>
      <w:r w:rsidRPr="00133297">
        <w:rPr>
          <w:rFonts w:eastAsia="Times New Roman" w:cs="Times New Roman"/>
          <w:rtl/>
          <w:lang w:eastAsia="de-DE"/>
        </w:rPr>
        <w:t xml:space="preserve"> </w:t>
      </w:r>
      <w:r w:rsidRPr="00133297">
        <w:rPr>
          <w:rFonts w:eastAsia="Times New Roman" w:cs="Times New Roman"/>
          <w:lang w:eastAsia="de-DE"/>
        </w:rPr>
        <w:t xml:space="preserve">mit Suffix 1. Person Plural „von uns"), </w:t>
      </w:r>
      <w:r w:rsidRPr="00133297">
        <w:rPr>
          <w:rFonts w:eastAsia="Times New Roman" w:cs="Times New Roman"/>
          <w:b/>
          <w:bCs/>
          <w:rtl/>
          <w:lang w:eastAsia="de-DE"/>
        </w:rPr>
        <w:t>אִישׁ</w:t>
      </w:r>
      <w:r w:rsidRPr="00133297">
        <w:rPr>
          <w:rFonts w:eastAsia="Times New Roman" w:cs="Times New Roman"/>
          <w:rtl/>
          <w:lang w:eastAsia="de-DE"/>
        </w:rPr>
        <w:t xml:space="preserve"> </w:t>
      </w:r>
      <w:r w:rsidRPr="00133297">
        <w:rPr>
          <w:rFonts w:eastAsia="Times New Roman" w:cs="Times New Roman"/>
          <w:lang w:eastAsia="de-DE"/>
        </w:rPr>
        <w:t>(„ein Mann"). Die Aussage ist erstaunlich: Von 12.000 Kriegern ist kein einziger gefallen - ein Zeichen göttlichen Schutzes.</w:t>
      </w:r>
    </w:p>
    <w:p w14:paraId="330F2E87" w14:textId="1F9F7924" w:rsidR="00133297" w:rsidRPr="00133297" w:rsidRDefault="00133297" w:rsidP="00EF185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Die LXX</w:t>
      </w:r>
      <w:r w:rsidRPr="00133297">
        <w:rPr>
          <w:rFonts w:eastAsia="Times New Roman" w:cs="Times New Roman"/>
          <w:lang w:eastAsia="de-DE"/>
        </w:rPr>
        <w:t xml:space="preserve"> </w:t>
      </w:r>
      <w:r w:rsidR="00EF1857">
        <w:t>übersetzt „</w:t>
      </w:r>
      <w:r w:rsidR="00EF1857" w:rsidRPr="00EF1857">
        <w:rPr>
          <w:b/>
          <w:bCs/>
          <w:rtl/>
        </w:rPr>
        <w:t>וְלֹא־נִפְקַד מִמֶּנּוּ אִישׁ</w:t>
      </w:r>
      <w:r w:rsidR="00EF1857">
        <w:t>" (und es fehlt von uns nicht ein Mann) mit „καὶ οὐ διαπεφώνηκεν ἀπʼ αὐτῶν οὐδὲ εἷς" (und es ist von ihnen nicht einer abgewichen/gefehlt), wobei ein anderes Verb verwendet wird.</w:t>
      </w:r>
      <w:r w:rsidR="00EF1857" w:rsidRPr="00133297">
        <w:rPr>
          <w:rFonts w:eastAsia="Times New Roman" w:cs="Times New Roman"/>
          <w:lang w:eastAsia="de-DE"/>
        </w:rPr>
        <w:t xml:space="preserve"> </w:t>
      </w:r>
      <w:r w:rsidRPr="00133297">
        <w:rPr>
          <w:rFonts w:eastAsia="Times New Roman" w:cs="Times New Roman"/>
          <w:lang w:eastAsia="de-DE"/>
        </w:rPr>
        <w:t>Die Satzstruktur zeigt eine Redeeinleitung, gefolgt von zwei koordinierten Aussagen (haben gezählt, keiner fehlt).</w:t>
      </w:r>
    </w:p>
    <w:p w14:paraId="6878CC6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enthüllt das Wunder: Keine Verluste unter den israelitischen Truppen - ein außergewöhnliches Ereignis, das die Kommandanten zu einer Dankgabe motiviert.</w:t>
      </w:r>
    </w:p>
    <w:p w14:paraId="7D458F2F" w14:textId="77777777" w:rsidR="00133297" w:rsidRPr="00133297" w:rsidRDefault="00133297" w:rsidP="00133297">
      <w:pPr>
        <w:spacing w:before="100" w:beforeAutospacing="1" w:after="100" w:afterAutospacing="1" w:line="240" w:lineRule="auto"/>
        <w:outlineLvl w:val="0"/>
        <w:rPr>
          <w:rFonts w:eastAsia="Times New Roman" w:cs="Times New Roman"/>
          <w:b/>
          <w:bCs/>
          <w:kern w:val="36"/>
          <w:sz w:val="48"/>
          <w:szCs w:val="48"/>
          <w:lang w:eastAsia="de-DE"/>
        </w:rPr>
      </w:pPr>
      <w:r w:rsidRPr="00133297">
        <w:rPr>
          <w:rFonts w:eastAsia="Times New Roman" w:cs="Times New Roman"/>
          <w:b/>
          <w:bCs/>
          <w:kern w:val="36"/>
          <w:sz w:val="48"/>
          <w:szCs w:val="48"/>
          <w:lang w:eastAsia="de-DE"/>
        </w:rPr>
        <w:t>Numeri 31,50</w:t>
      </w:r>
    </w:p>
    <w:p w14:paraId="7092F821"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Hebräisch:</w:t>
      </w:r>
      <w:r w:rsidRPr="00133297">
        <w:rPr>
          <w:rFonts w:eastAsia="Times New Roman" w:cs="Times New Roman"/>
          <w:lang w:eastAsia="de-DE"/>
        </w:rPr>
        <w:t xml:space="preserve"> </w:t>
      </w:r>
      <w:r w:rsidRPr="00133297">
        <w:rPr>
          <w:rFonts w:eastAsia="Times New Roman" w:cs="Times New Roman"/>
          <w:rtl/>
          <w:lang w:eastAsia="de-DE"/>
        </w:rPr>
        <w:t>וַנַּקְרֵ֞ב אֶת־קָרְבַּ֣ן יְהוָ֗ה אִישׁ֩ אֲשֶׁ֨ר מָצָ֤א כְלִֽי־זָהָב֙ אֶצְעָדָ֣ה וְצָמִ֔יד טַבַּ֖עַת עָגִ֣יל וְכוּמָ֑ז לְכַפֵּ֥ר עַל־נַפְשֹׁתֵ֖ינוּ לִפְנֵ֥י יְהוָֽה׃</w:t>
      </w:r>
    </w:p>
    <w:p w14:paraId="51460625"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Deutsch:</w:t>
      </w:r>
      <w:r w:rsidRPr="00133297">
        <w:rPr>
          <w:rFonts w:eastAsia="Times New Roman" w:cs="Times New Roman"/>
          <w:lang w:eastAsia="de-DE"/>
        </w:rPr>
        <w:t xml:space="preserve"> Und so bringen wir eine Opfergabe für den Ewigen dar, ein jeder, was er an goldenem Geschmeide gefunden hat: Armspangen und Handspangen, Siegelringe, Ohrringe und Spangen, um für unsere Seelen Sühne zu erwirken vor dem Ewigen.</w:t>
      </w:r>
    </w:p>
    <w:p w14:paraId="06669289" w14:textId="77777777" w:rsidR="00133297" w:rsidRPr="00133297" w:rsidRDefault="00F329DD" w:rsidP="00133297">
      <w:pPr>
        <w:spacing w:after="0" w:line="240" w:lineRule="auto"/>
        <w:rPr>
          <w:rFonts w:eastAsia="Times New Roman" w:cs="Times New Roman"/>
          <w:lang w:eastAsia="de-DE"/>
        </w:rPr>
      </w:pPr>
      <w:r>
        <w:rPr>
          <w:rFonts w:eastAsia="Times New Roman" w:cs="Times New Roman"/>
          <w:noProof/>
          <w:lang w:eastAsia="de-DE"/>
        </w:rPr>
        <w:pict w14:anchorId="72923A86">
          <v:rect id="_x0000_i1981" style="width:0;height:1.5pt" o:hralign="center" o:hrstd="t" o:hr="t" fillcolor="#a0a0a0" stroked="f"/>
        </w:pict>
      </w:r>
    </w:p>
    <w:p w14:paraId="28104420" w14:textId="57F69A54"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Kommentar:</w:t>
      </w:r>
      <w:r w:rsidRPr="00133297">
        <w:rPr>
          <w:rFonts w:eastAsia="Times New Roman" w:cs="Times New Roman"/>
          <w:lang w:eastAsia="de-DE"/>
        </w:rPr>
        <w:t xml:space="preserve"> Der Vers beschreibt die freiwillige Opfergabe. </w:t>
      </w:r>
      <w:r w:rsidRPr="00133297">
        <w:rPr>
          <w:rFonts w:eastAsia="Times New Roman" w:cs="Times New Roman"/>
          <w:b/>
          <w:bCs/>
          <w:rtl/>
          <w:lang w:eastAsia="de-DE"/>
        </w:rPr>
        <w:t>וַנַּקְרֵב אֶת־קָרְבַּן יהוה אִישׁ אֲשֶׁר מָצָא כְלִי־זָהָב</w:t>
      </w:r>
      <w:r w:rsidRPr="00133297">
        <w:rPr>
          <w:rFonts w:eastAsia="Times New Roman" w:cs="Times New Roman"/>
          <w:rtl/>
          <w:lang w:eastAsia="de-DE"/>
        </w:rPr>
        <w:t xml:space="preserve"> </w:t>
      </w:r>
      <w:r w:rsidRPr="00133297">
        <w:rPr>
          <w:rFonts w:eastAsia="Times New Roman" w:cs="Times New Roman"/>
          <w:lang w:eastAsia="de-DE"/>
        </w:rPr>
        <w:t xml:space="preserve">ist die Einleitung. </w:t>
      </w:r>
      <w:r w:rsidRPr="00133297">
        <w:rPr>
          <w:rFonts w:eastAsia="Times New Roman" w:cs="Times New Roman"/>
          <w:b/>
          <w:bCs/>
          <w:rtl/>
          <w:lang w:eastAsia="de-DE"/>
        </w:rPr>
        <w:t>וַנַּקְרֵב</w:t>
      </w:r>
      <w:r w:rsidRPr="00133297">
        <w:rPr>
          <w:rFonts w:eastAsia="Times New Roman" w:cs="Times New Roman"/>
          <w:rtl/>
          <w:lang w:eastAsia="de-DE"/>
        </w:rPr>
        <w:t xml:space="preserve"> </w:t>
      </w:r>
      <w:r w:rsidRPr="00133297">
        <w:rPr>
          <w:rFonts w:eastAsia="Times New Roman" w:cs="Times New Roman"/>
          <w:lang w:eastAsia="de-DE"/>
        </w:rPr>
        <w:t xml:space="preserve">(Hiphil Wayyiqtol 1. Person Plural von </w:t>
      </w:r>
      <w:r w:rsidRPr="00133297">
        <w:rPr>
          <w:rFonts w:eastAsia="Times New Roman" w:cs="Times New Roman"/>
          <w:b/>
          <w:bCs/>
          <w:rtl/>
          <w:lang w:eastAsia="de-DE"/>
        </w:rPr>
        <w:t>קרב</w:t>
      </w:r>
      <w:r w:rsidRPr="00133297">
        <w:rPr>
          <w:rFonts w:eastAsia="Times New Roman" w:cs="Times New Roman"/>
          <w:rtl/>
          <w:lang w:eastAsia="de-DE"/>
        </w:rPr>
        <w:t xml:space="preserve"> </w:t>
      </w:r>
      <w:r w:rsidRPr="00133297">
        <w:rPr>
          <w:rFonts w:eastAsia="Times New Roman" w:cs="Times New Roman"/>
          <w:lang w:eastAsia="de-DE"/>
        </w:rPr>
        <w:t xml:space="preserve">„darbringen, nahe bringen"), </w:t>
      </w:r>
      <w:r w:rsidRPr="00133297">
        <w:rPr>
          <w:rFonts w:eastAsia="Times New Roman" w:cs="Times New Roman"/>
          <w:b/>
          <w:bCs/>
          <w:rtl/>
          <w:lang w:eastAsia="de-DE"/>
        </w:rPr>
        <w:t>אֶת־קָרְבַּן יהוה</w:t>
      </w:r>
      <w:r w:rsidRPr="00133297">
        <w:rPr>
          <w:rFonts w:eastAsia="Times New Roman" w:cs="Times New Roman"/>
          <w:rtl/>
          <w:lang w:eastAsia="de-DE"/>
        </w:rPr>
        <w:t xml:space="preserve"> </w:t>
      </w:r>
      <w:r w:rsidRPr="00133297">
        <w:rPr>
          <w:rFonts w:eastAsia="Times New Roman" w:cs="Times New Roman"/>
          <w:lang w:eastAsia="de-DE"/>
        </w:rPr>
        <w:t xml:space="preserve">(Akkusativpartikel mit </w:t>
      </w:r>
      <w:r w:rsidRPr="00133297">
        <w:rPr>
          <w:rFonts w:eastAsia="Times New Roman" w:cs="Times New Roman"/>
          <w:b/>
          <w:bCs/>
          <w:rtl/>
          <w:lang w:eastAsia="de-DE"/>
        </w:rPr>
        <w:t>קָרְבָּן</w:t>
      </w:r>
      <w:r w:rsidRPr="00133297">
        <w:rPr>
          <w:rFonts w:eastAsia="Times New Roman" w:cs="Times New Roman"/>
          <w:rtl/>
          <w:lang w:eastAsia="de-DE"/>
        </w:rPr>
        <w:t xml:space="preserve"> </w:t>
      </w:r>
      <w:r w:rsidRPr="00133297">
        <w:rPr>
          <w:rFonts w:eastAsia="Times New Roman" w:cs="Times New Roman"/>
          <w:lang w:eastAsia="de-DE"/>
        </w:rPr>
        <w:t xml:space="preserve">„Opfergabe" im </w:t>
      </w:r>
      <w:r w:rsidR="00E031B3">
        <w:rPr>
          <w:rFonts w:eastAsia="Times New Roman" w:cs="Times New Roman"/>
          <w:lang w:eastAsia="de-DE"/>
        </w:rPr>
        <w:t>Constructus und</w:t>
      </w:r>
      <w:r w:rsidRPr="00133297">
        <w:rPr>
          <w:rFonts w:eastAsia="Times New Roman" w:cs="Times New Roman"/>
          <w:lang w:eastAsia="de-DE"/>
        </w:rPr>
        <w:t xml:space="preserve"> Tetragramm „eine Opfergabe für den Ewigen"), </w:t>
      </w:r>
      <w:r w:rsidRPr="00133297">
        <w:rPr>
          <w:rFonts w:eastAsia="Times New Roman" w:cs="Times New Roman"/>
          <w:b/>
          <w:bCs/>
          <w:rtl/>
          <w:lang w:eastAsia="de-DE"/>
        </w:rPr>
        <w:t>אִישׁ אֲשֶׁר מָצָא כְלִי־זָהָב</w:t>
      </w:r>
      <w:r w:rsidRPr="00133297">
        <w:rPr>
          <w:rFonts w:eastAsia="Times New Roman" w:cs="Times New Roman"/>
          <w:rtl/>
          <w:lang w:eastAsia="de-DE"/>
        </w:rPr>
        <w:t xml:space="preserve"> </w:t>
      </w:r>
      <w:r w:rsidRPr="00133297">
        <w:rPr>
          <w:rFonts w:eastAsia="Times New Roman" w:cs="Times New Roman"/>
          <w:lang w:eastAsia="de-DE"/>
        </w:rPr>
        <w:t>(„ein jeder, was er an goldenem Geschmeide gefunden hat").</w:t>
      </w:r>
    </w:p>
    <w:p w14:paraId="13123580" w14:textId="0A9F7F3C"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rtl/>
          <w:lang w:eastAsia="de-DE"/>
        </w:rPr>
        <w:t>אֶצְעָדָה וְצָמִיד טַבַּעַת עָגִיל וְכוּמָז</w:t>
      </w:r>
      <w:r w:rsidRPr="00133297">
        <w:rPr>
          <w:rFonts w:eastAsia="Times New Roman" w:cs="Times New Roman"/>
          <w:rtl/>
          <w:lang w:eastAsia="de-DE"/>
        </w:rPr>
        <w:t xml:space="preserve"> </w:t>
      </w:r>
      <w:r w:rsidRPr="00133297">
        <w:rPr>
          <w:rFonts w:eastAsia="Times New Roman" w:cs="Times New Roman"/>
          <w:lang w:eastAsia="de-DE"/>
        </w:rPr>
        <w:t xml:space="preserve">ist die fünffache Aufzählung von Schmuckstücken: </w:t>
      </w:r>
      <w:r w:rsidRPr="00133297">
        <w:rPr>
          <w:rFonts w:eastAsia="Times New Roman" w:cs="Times New Roman"/>
          <w:b/>
          <w:bCs/>
          <w:rtl/>
          <w:lang w:eastAsia="de-DE"/>
        </w:rPr>
        <w:t>אֶצְעָדָה</w:t>
      </w:r>
      <w:r w:rsidRPr="00133297">
        <w:rPr>
          <w:rFonts w:eastAsia="Times New Roman" w:cs="Times New Roman"/>
          <w:rtl/>
          <w:lang w:eastAsia="de-DE"/>
        </w:rPr>
        <w:t xml:space="preserve"> </w:t>
      </w:r>
      <w:r w:rsidRPr="00133297">
        <w:rPr>
          <w:rFonts w:eastAsia="Times New Roman" w:cs="Times New Roman"/>
          <w:lang w:eastAsia="de-DE"/>
        </w:rPr>
        <w:t xml:space="preserve">(„Armspange"), </w:t>
      </w:r>
      <w:r w:rsidRPr="00133297">
        <w:rPr>
          <w:rFonts w:eastAsia="Times New Roman" w:cs="Times New Roman"/>
          <w:b/>
          <w:bCs/>
          <w:rtl/>
          <w:lang w:eastAsia="de-DE"/>
        </w:rPr>
        <w:t>צָמִיד</w:t>
      </w:r>
      <w:r w:rsidRPr="00133297">
        <w:rPr>
          <w:rFonts w:eastAsia="Times New Roman" w:cs="Times New Roman"/>
          <w:rtl/>
          <w:lang w:eastAsia="de-DE"/>
        </w:rPr>
        <w:t xml:space="preserve"> </w:t>
      </w:r>
      <w:r w:rsidRPr="00133297">
        <w:rPr>
          <w:rFonts w:eastAsia="Times New Roman" w:cs="Times New Roman"/>
          <w:lang w:eastAsia="de-DE"/>
        </w:rPr>
        <w:t xml:space="preserve">(„Armband, Handspange"), </w:t>
      </w:r>
      <w:r w:rsidRPr="00133297">
        <w:rPr>
          <w:rFonts w:eastAsia="Times New Roman" w:cs="Times New Roman"/>
          <w:b/>
          <w:bCs/>
          <w:rtl/>
          <w:lang w:eastAsia="de-DE"/>
        </w:rPr>
        <w:t>טַבַּעַת</w:t>
      </w:r>
      <w:r w:rsidRPr="00133297">
        <w:rPr>
          <w:rFonts w:eastAsia="Times New Roman" w:cs="Times New Roman"/>
          <w:rtl/>
          <w:lang w:eastAsia="de-DE"/>
        </w:rPr>
        <w:t xml:space="preserve"> </w:t>
      </w:r>
      <w:r w:rsidRPr="00133297">
        <w:rPr>
          <w:rFonts w:eastAsia="Times New Roman" w:cs="Times New Roman"/>
          <w:lang w:eastAsia="de-DE"/>
        </w:rPr>
        <w:t xml:space="preserve">(„Siegelring, Ring"), </w:t>
      </w:r>
      <w:r w:rsidRPr="00133297">
        <w:rPr>
          <w:rFonts w:eastAsia="Times New Roman" w:cs="Times New Roman"/>
          <w:b/>
          <w:bCs/>
          <w:rtl/>
          <w:lang w:eastAsia="de-DE"/>
        </w:rPr>
        <w:t>עָגִיל</w:t>
      </w:r>
      <w:r w:rsidRPr="00133297">
        <w:rPr>
          <w:rFonts w:eastAsia="Times New Roman" w:cs="Times New Roman"/>
          <w:rtl/>
          <w:lang w:eastAsia="de-DE"/>
        </w:rPr>
        <w:t xml:space="preserve"> </w:t>
      </w:r>
      <w:r w:rsidRPr="00133297">
        <w:rPr>
          <w:rFonts w:eastAsia="Times New Roman" w:cs="Times New Roman"/>
          <w:lang w:eastAsia="de-DE"/>
        </w:rPr>
        <w:t xml:space="preserve">(„Ohrring"), </w:t>
      </w:r>
      <w:r w:rsidRPr="00133297">
        <w:rPr>
          <w:rFonts w:eastAsia="Times New Roman" w:cs="Times New Roman"/>
          <w:b/>
          <w:bCs/>
          <w:rtl/>
          <w:lang w:eastAsia="de-DE"/>
        </w:rPr>
        <w:t>כוּמָז</w:t>
      </w:r>
      <w:r w:rsidRPr="00133297">
        <w:rPr>
          <w:rFonts w:eastAsia="Times New Roman" w:cs="Times New Roman"/>
          <w:rtl/>
          <w:lang w:eastAsia="de-DE"/>
        </w:rPr>
        <w:t xml:space="preserve"> </w:t>
      </w:r>
      <w:r w:rsidRPr="00133297">
        <w:rPr>
          <w:rFonts w:eastAsia="Times New Roman" w:cs="Times New Roman"/>
          <w:lang w:eastAsia="de-DE"/>
        </w:rPr>
        <w:t xml:space="preserve">(„Spange, Halsspange" - ein seltenes Wort). </w:t>
      </w:r>
      <w:r w:rsidRPr="00133297">
        <w:rPr>
          <w:rFonts w:eastAsia="Times New Roman" w:cs="Times New Roman"/>
          <w:b/>
          <w:bCs/>
          <w:rtl/>
          <w:lang w:eastAsia="de-DE"/>
        </w:rPr>
        <w:t>לְכַפֵּר עַל־נַפְשֹׁתֵינוּ לִפְנֵי יהוה</w:t>
      </w:r>
      <w:r w:rsidRPr="00133297">
        <w:rPr>
          <w:rFonts w:eastAsia="Times New Roman" w:cs="Times New Roman"/>
          <w:rtl/>
          <w:lang w:eastAsia="de-DE"/>
        </w:rPr>
        <w:t xml:space="preserve"> </w:t>
      </w:r>
      <w:r w:rsidRPr="00133297">
        <w:rPr>
          <w:rFonts w:eastAsia="Times New Roman" w:cs="Times New Roman"/>
          <w:lang w:eastAsia="de-DE"/>
        </w:rPr>
        <w:t xml:space="preserve">gibt den Zweck an. </w:t>
      </w:r>
      <w:r w:rsidRPr="00133297">
        <w:rPr>
          <w:rFonts w:eastAsia="Times New Roman" w:cs="Times New Roman"/>
          <w:b/>
          <w:bCs/>
          <w:rtl/>
          <w:lang w:eastAsia="de-DE"/>
        </w:rPr>
        <w:lastRenderedPageBreak/>
        <w:t>לְכַפֵּר</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לְ</w:t>
      </w:r>
      <w:r w:rsidRPr="00133297">
        <w:rPr>
          <w:rFonts w:eastAsia="Times New Roman" w:cs="Times New Roman"/>
          <w:rtl/>
          <w:lang w:eastAsia="de-DE"/>
        </w:rPr>
        <w:t xml:space="preserve"> </w:t>
      </w:r>
      <w:r w:rsidRPr="00133297">
        <w:rPr>
          <w:rFonts w:eastAsia="Times New Roman" w:cs="Times New Roman"/>
          <w:lang w:eastAsia="de-DE"/>
        </w:rPr>
        <w:t xml:space="preserve">mit Piel Infinitiv </w:t>
      </w:r>
      <w:r w:rsidR="00E031B3">
        <w:rPr>
          <w:rFonts w:eastAsia="Times New Roman" w:cs="Times New Roman"/>
          <w:lang w:eastAsia="de-DE"/>
        </w:rPr>
        <w:t>Constructus von</w:t>
      </w:r>
      <w:r w:rsidRPr="00133297">
        <w:rPr>
          <w:rFonts w:eastAsia="Times New Roman" w:cs="Times New Roman"/>
          <w:lang w:eastAsia="de-DE"/>
        </w:rPr>
        <w:t xml:space="preserve"> </w:t>
      </w:r>
      <w:r w:rsidRPr="00133297">
        <w:rPr>
          <w:rFonts w:eastAsia="Times New Roman" w:cs="Times New Roman"/>
          <w:b/>
          <w:bCs/>
          <w:rtl/>
          <w:lang w:eastAsia="de-DE"/>
        </w:rPr>
        <w:t>כפר</w:t>
      </w:r>
      <w:r w:rsidRPr="00133297">
        <w:rPr>
          <w:rFonts w:eastAsia="Times New Roman" w:cs="Times New Roman"/>
          <w:rtl/>
          <w:lang w:eastAsia="de-DE"/>
        </w:rPr>
        <w:t xml:space="preserve"> </w:t>
      </w:r>
      <w:r w:rsidRPr="00133297">
        <w:rPr>
          <w:rFonts w:eastAsia="Times New Roman" w:cs="Times New Roman"/>
          <w:lang w:eastAsia="de-DE"/>
        </w:rPr>
        <w:t xml:space="preserve">„Sühne erwirken, bedecken"), </w:t>
      </w:r>
      <w:r w:rsidRPr="00133297">
        <w:rPr>
          <w:rFonts w:eastAsia="Times New Roman" w:cs="Times New Roman"/>
          <w:b/>
          <w:bCs/>
          <w:rtl/>
          <w:lang w:eastAsia="de-DE"/>
        </w:rPr>
        <w:t>עַל־נַפְשֹׁתֵינוּ</w:t>
      </w:r>
      <w:r w:rsidRPr="00133297">
        <w:rPr>
          <w:rFonts w:eastAsia="Times New Roman" w:cs="Times New Roman"/>
          <w:rtl/>
          <w:lang w:eastAsia="de-DE"/>
        </w:rPr>
        <w:t xml:space="preserve"> </w:t>
      </w:r>
      <w:r w:rsidRPr="00133297">
        <w:rPr>
          <w:rFonts w:eastAsia="Times New Roman" w:cs="Times New Roman"/>
          <w:lang w:eastAsia="de-DE"/>
        </w:rPr>
        <w:t xml:space="preserve">(Präposition </w:t>
      </w:r>
      <w:r w:rsidRPr="00133297">
        <w:rPr>
          <w:rFonts w:eastAsia="Times New Roman" w:cs="Times New Roman"/>
          <w:b/>
          <w:bCs/>
          <w:rtl/>
          <w:lang w:eastAsia="de-DE"/>
        </w:rPr>
        <w:t>עַל</w:t>
      </w:r>
      <w:r w:rsidRPr="00133297">
        <w:rPr>
          <w:rFonts w:eastAsia="Times New Roman" w:cs="Times New Roman"/>
          <w:rtl/>
          <w:lang w:eastAsia="de-DE"/>
        </w:rPr>
        <w:t xml:space="preserve"> </w:t>
      </w:r>
      <w:r w:rsidRPr="00133297">
        <w:rPr>
          <w:rFonts w:eastAsia="Times New Roman" w:cs="Times New Roman"/>
          <w:lang w:eastAsia="de-DE"/>
        </w:rPr>
        <w:t xml:space="preserve">mit Plural von </w:t>
      </w:r>
      <w:r w:rsidRPr="00133297">
        <w:rPr>
          <w:rFonts w:eastAsia="Times New Roman" w:cs="Times New Roman"/>
          <w:b/>
          <w:bCs/>
          <w:rtl/>
          <w:lang w:eastAsia="de-DE"/>
        </w:rPr>
        <w:t>נֶפֶשׁ</w:t>
      </w:r>
      <w:r w:rsidRPr="00133297">
        <w:rPr>
          <w:rFonts w:eastAsia="Times New Roman" w:cs="Times New Roman"/>
          <w:rtl/>
          <w:lang w:eastAsia="de-DE"/>
        </w:rPr>
        <w:t xml:space="preserve"> </w:t>
      </w:r>
      <w:r w:rsidRPr="00133297">
        <w:rPr>
          <w:rFonts w:eastAsia="Times New Roman" w:cs="Times New Roman"/>
          <w:lang w:eastAsia="de-DE"/>
        </w:rPr>
        <w:t xml:space="preserve">und Suffix 1. Person Plural „für unsere Seelen"), </w:t>
      </w:r>
      <w:r w:rsidRPr="00133297">
        <w:rPr>
          <w:rFonts w:eastAsia="Times New Roman" w:cs="Times New Roman"/>
          <w:b/>
          <w:bCs/>
          <w:rtl/>
          <w:lang w:eastAsia="de-DE"/>
        </w:rPr>
        <w:t>לִפְנֵי יהוה</w:t>
      </w:r>
      <w:r w:rsidRPr="00133297">
        <w:rPr>
          <w:rFonts w:eastAsia="Times New Roman" w:cs="Times New Roman"/>
          <w:rtl/>
          <w:lang w:eastAsia="de-DE"/>
        </w:rPr>
        <w:t xml:space="preserve"> </w:t>
      </w:r>
      <w:r w:rsidRPr="00133297">
        <w:rPr>
          <w:rFonts w:eastAsia="Times New Roman" w:cs="Times New Roman"/>
          <w:lang w:eastAsia="de-DE"/>
        </w:rPr>
        <w:t>(„vor dem Ewigen").</w:t>
      </w:r>
    </w:p>
    <w:p w14:paraId="3C9B39FB" w14:textId="5B9A820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b/>
          <w:bCs/>
          <w:lang w:eastAsia="de-DE"/>
        </w:rPr>
        <w:t>Die LXX</w:t>
      </w:r>
      <w:r w:rsidRPr="00133297">
        <w:rPr>
          <w:rFonts w:eastAsia="Times New Roman" w:cs="Times New Roman"/>
          <w:lang w:eastAsia="de-DE"/>
        </w:rPr>
        <w:t xml:space="preserve"> </w:t>
      </w:r>
      <w:r w:rsidR="00EF1857">
        <w:t>übersetzt die Schmuckgegenstände unterschiedlich: „</w:t>
      </w:r>
      <w:r w:rsidR="00EF1857" w:rsidRPr="00EF1857">
        <w:rPr>
          <w:b/>
          <w:bCs/>
          <w:rtl/>
        </w:rPr>
        <w:t>אֶצְעָדָה</w:t>
      </w:r>
      <w:r w:rsidR="00EF1857">
        <w:t>" (Fußspange) wird zu „χλιδῶνα" (Armband), „</w:t>
      </w:r>
      <w:r w:rsidR="00EF1857" w:rsidRPr="00EF1857">
        <w:rPr>
          <w:b/>
          <w:bCs/>
          <w:rtl/>
        </w:rPr>
        <w:t>צָמִיד</w:t>
      </w:r>
      <w:r w:rsidR="00EF1857">
        <w:t>" (Armband) zu „ψέλιον" (Armreif), „</w:t>
      </w:r>
      <w:r w:rsidR="00EF1857" w:rsidRPr="00EF1857">
        <w:rPr>
          <w:b/>
          <w:bCs/>
          <w:rtl/>
        </w:rPr>
        <w:t>טַבַּעַת</w:t>
      </w:r>
      <w:r w:rsidR="00EF1857">
        <w:t>" (Ring) zu „δακτύλιον" (Ring), „</w:t>
      </w:r>
      <w:r w:rsidR="00EF1857" w:rsidRPr="00EF1857">
        <w:rPr>
          <w:b/>
          <w:bCs/>
          <w:rtl/>
        </w:rPr>
        <w:t>עָגִיל</w:t>
      </w:r>
      <w:r w:rsidR="00EF1857">
        <w:t>" (Ohrring) zu „περιδέξιον" (Armband), und „</w:t>
      </w:r>
      <w:r w:rsidR="00EF1857" w:rsidRPr="00EF1857">
        <w:rPr>
          <w:b/>
          <w:bCs/>
          <w:rtl/>
        </w:rPr>
        <w:t>כוּמָז</w:t>
      </w:r>
      <w:r w:rsidR="00EF1857">
        <w:t>" (eine Art Schmuck) zu „ἐμπλόκιον" (Halsschmuck).</w:t>
      </w:r>
    </w:p>
    <w:p w14:paraId="2A0C1ACA"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Die Satzstruktur zeigt einen Hauptsatz mit Objekt, spezifiziert durch einen Relativsatz, gefolgt von einer fünffachen Aufzählung und einem finalen Infinitiv.</w:t>
      </w:r>
    </w:p>
    <w:p w14:paraId="2D6C9199" w14:textId="77777777" w:rsidR="00133297" w:rsidRPr="00133297" w:rsidRDefault="00133297" w:rsidP="00133297">
      <w:pPr>
        <w:spacing w:before="100" w:beforeAutospacing="1" w:after="100" w:afterAutospacing="1" w:line="240" w:lineRule="auto"/>
        <w:rPr>
          <w:rFonts w:eastAsia="Times New Roman" w:cs="Times New Roman"/>
          <w:lang w:eastAsia="de-DE"/>
        </w:rPr>
      </w:pPr>
      <w:r w:rsidRPr="00133297">
        <w:rPr>
          <w:rFonts w:eastAsia="Times New Roman" w:cs="Times New Roman"/>
          <w:lang w:eastAsia="de-DE"/>
        </w:rPr>
        <w:t>Der Vers zeigt die Dankbarkeit der Kommandanten: Sie bringen freiwillig goldenen Schmuck als Sühnegabe dar - nicht weil sie gesündigt haben, sondern als Dank für den göttlichen Schutz und zur Sühne für mögliche unbewusste Verfehlungen im Krieg.</w:t>
      </w:r>
    </w:p>
    <w:p w14:paraId="0985C931" w14:textId="77777777" w:rsidR="008524BC" w:rsidRPr="008524BC" w:rsidRDefault="008524BC" w:rsidP="008524BC">
      <w:pPr>
        <w:spacing w:before="100" w:beforeAutospacing="1" w:after="100" w:afterAutospacing="1" w:line="240" w:lineRule="auto"/>
        <w:outlineLvl w:val="0"/>
        <w:rPr>
          <w:rFonts w:eastAsia="Times New Roman" w:cs="Times New Roman"/>
          <w:b/>
          <w:bCs/>
          <w:kern w:val="36"/>
          <w:sz w:val="48"/>
          <w:szCs w:val="48"/>
          <w:lang w:eastAsia="de-DE"/>
        </w:rPr>
      </w:pPr>
      <w:r w:rsidRPr="008524BC">
        <w:rPr>
          <w:rFonts w:eastAsia="Times New Roman" w:cs="Times New Roman"/>
          <w:b/>
          <w:bCs/>
          <w:kern w:val="36"/>
          <w:sz w:val="48"/>
          <w:szCs w:val="48"/>
          <w:lang w:eastAsia="de-DE"/>
        </w:rPr>
        <w:t>Numeri 31,51</w:t>
      </w:r>
    </w:p>
    <w:p w14:paraId="6C841106"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Hebräisch:</w:t>
      </w:r>
      <w:r w:rsidRPr="008524BC">
        <w:rPr>
          <w:rFonts w:eastAsia="Times New Roman" w:cs="Times New Roman"/>
          <w:lang w:eastAsia="de-DE"/>
        </w:rPr>
        <w:t xml:space="preserve"> </w:t>
      </w:r>
      <w:r w:rsidRPr="008524BC">
        <w:rPr>
          <w:rFonts w:eastAsia="Times New Roman" w:cs="Times New Roman"/>
          <w:rtl/>
          <w:lang w:eastAsia="de-DE"/>
        </w:rPr>
        <w:t>וַיִּקַּ֨ח מֹשֶׁ֜ה וְאֶלְעָזָ֧ר הַכֹּהֵ֛ן אֶת־הַזָּהָ֖ב מֵֽאִתָּ֑ם כֹּ֖ל כְּלִ֥י מַעֲשֶֽׂה׃</w:t>
      </w:r>
    </w:p>
    <w:p w14:paraId="218E042C"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Deutsch:</w:t>
      </w:r>
      <w:r w:rsidRPr="008524BC">
        <w:rPr>
          <w:rFonts w:eastAsia="Times New Roman" w:cs="Times New Roman"/>
          <w:lang w:eastAsia="de-DE"/>
        </w:rPr>
        <w:t xml:space="preserve"> Und Mosche und El'asar, der Priester, nahmen das Gold von ihnen, allerlei verarbeitetes Geschmeide.</w:t>
      </w:r>
    </w:p>
    <w:p w14:paraId="6042E286" w14:textId="77777777" w:rsidR="008524BC" w:rsidRPr="008524BC" w:rsidRDefault="00F329DD" w:rsidP="008524BC">
      <w:pPr>
        <w:spacing w:after="0" w:line="240" w:lineRule="auto"/>
        <w:rPr>
          <w:rFonts w:eastAsia="Times New Roman" w:cs="Times New Roman"/>
          <w:lang w:eastAsia="de-DE"/>
        </w:rPr>
      </w:pPr>
      <w:r>
        <w:rPr>
          <w:rFonts w:eastAsia="Times New Roman" w:cs="Times New Roman"/>
          <w:noProof/>
          <w:lang w:eastAsia="de-DE"/>
        </w:rPr>
        <w:pict w14:anchorId="7085EAF6">
          <v:rect id="_x0000_i1982" style="width:0;height:1.5pt" o:hralign="center" o:hrstd="t" o:hr="t" fillcolor="#a0a0a0" stroked="f"/>
        </w:pict>
      </w:r>
    </w:p>
    <w:p w14:paraId="00F92705" w14:textId="56D0D1BA"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Kommentar:</w:t>
      </w:r>
      <w:r w:rsidRPr="008524BC">
        <w:rPr>
          <w:rFonts w:eastAsia="Times New Roman" w:cs="Times New Roman"/>
          <w:lang w:eastAsia="de-DE"/>
        </w:rPr>
        <w:t xml:space="preserve"> Der Vers dokumentiert die Annahme der Gabe. </w:t>
      </w:r>
      <w:r w:rsidRPr="008524BC">
        <w:rPr>
          <w:rFonts w:eastAsia="Times New Roman" w:cs="Times New Roman"/>
          <w:b/>
          <w:bCs/>
          <w:rtl/>
          <w:lang w:eastAsia="de-DE"/>
        </w:rPr>
        <w:t>וַיִּקַּח מֹשֶׁה וְאֶלְעָזָר הַכֹּהֵן אֶת־הַזָּהָב מֵאִתָּם</w:t>
      </w:r>
      <w:r w:rsidRPr="008524BC">
        <w:rPr>
          <w:rFonts w:eastAsia="Times New Roman" w:cs="Times New Roman"/>
          <w:rtl/>
          <w:lang w:eastAsia="de-DE"/>
        </w:rPr>
        <w:t xml:space="preserve"> </w:t>
      </w:r>
      <w:r w:rsidRPr="008524BC">
        <w:rPr>
          <w:rFonts w:eastAsia="Times New Roman" w:cs="Times New Roman"/>
          <w:lang w:eastAsia="de-DE"/>
        </w:rPr>
        <w:t xml:space="preserve">zeigt die Handlung. </w:t>
      </w:r>
      <w:r w:rsidRPr="008524BC">
        <w:rPr>
          <w:rFonts w:eastAsia="Times New Roman" w:cs="Times New Roman"/>
          <w:b/>
          <w:bCs/>
          <w:rtl/>
          <w:lang w:eastAsia="de-DE"/>
        </w:rPr>
        <w:t>וַיִּקַּח</w:t>
      </w:r>
      <w:r w:rsidRPr="008524BC">
        <w:rPr>
          <w:rFonts w:eastAsia="Times New Roman" w:cs="Times New Roman"/>
          <w:rtl/>
          <w:lang w:eastAsia="de-DE"/>
        </w:rPr>
        <w:t xml:space="preserve"> </w:t>
      </w:r>
      <w:r w:rsidRPr="008524BC">
        <w:rPr>
          <w:rFonts w:eastAsia="Times New Roman" w:cs="Times New Roman"/>
          <w:lang w:eastAsia="de-DE"/>
        </w:rPr>
        <w:t xml:space="preserve">(Qal Wayyiqtol 3. Person maskulin Singular von </w:t>
      </w:r>
      <w:r w:rsidRPr="008524BC">
        <w:rPr>
          <w:rFonts w:eastAsia="Times New Roman" w:cs="Times New Roman"/>
          <w:b/>
          <w:bCs/>
          <w:rtl/>
          <w:lang w:eastAsia="de-DE"/>
        </w:rPr>
        <w:t>לקח</w:t>
      </w:r>
      <w:r w:rsidRPr="008524BC">
        <w:rPr>
          <w:rFonts w:eastAsia="Times New Roman" w:cs="Times New Roman"/>
          <w:rtl/>
          <w:lang w:eastAsia="de-DE"/>
        </w:rPr>
        <w:t xml:space="preserve"> </w:t>
      </w:r>
      <w:r w:rsidRPr="008524BC">
        <w:rPr>
          <w:rFonts w:eastAsia="Times New Roman" w:cs="Times New Roman"/>
          <w:lang w:eastAsia="de-DE"/>
        </w:rPr>
        <w:t xml:space="preserve">„nehmen"), </w:t>
      </w:r>
      <w:r w:rsidRPr="008524BC">
        <w:rPr>
          <w:rFonts w:eastAsia="Times New Roman" w:cs="Times New Roman"/>
          <w:b/>
          <w:bCs/>
          <w:rtl/>
          <w:lang w:eastAsia="de-DE"/>
        </w:rPr>
        <w:t>מֹשֶׁה וְאֶלְעָזָר הַכֹּהֵן</w:t>
      </w:r>
      <w:r w:rsidRPr="008524BC">
        <w:rPr>
          <w:rFonts w:eastAsia="Times New Roman" w:cs="Times New Roman"/>
          <w:rtl/>
          <w:lang w:eastAsia="de-DE"/>
        </w:rPr>
        <w:t xml:space="preserve"> </w:t>
      </w:r>
      <w:r w:rsidRPr="008524BC">
        <w:rPr>
          <w:rFonts w:eastAsia="Times New Roman" w:cs="Times New Roman"/>
          <w:lang w:eastAsia="de-DE"/>
        </w:rPr>
        <w:t xml:space="preserve">(zwei koordinierte Subjekte), </w:t>
      </w:r>
      <w:r w:rsidRPr="008524BC">
        <w:rPr>
          <w:rFonts w:eastAsia="Times New Roman" w:cs="Times New Roman"/>
          <w:b/>
          <w:bCs/>
          <w:rtl/>
          <w:lang w:eastAsia="de-DE"/>
        </w:rPr>
        <w:t>אֶת־הַזָּהָב</w:t>
      </w:r>
      <w:r w:rsidRPr="008524BC">
        <w:rPr>
          <w:rFonts w:eastAsia="Times New Roman" w:cs="Times New Roman"/>
          <w:rtl/>
          <w:lang w:eastAsia="de-DE"/>
        </w:rPr>
        <w:t xml:space="preserve"> </w:t>
      </w:r>
      <w:r w:rsidRPr="008524BC">
        <w:rPr>
          <w:rFonts w:eastAsia="Times New Roman" w:cs="Times New Roman"/>
          <w:lang w:eastAsia="de-DE"/>
        </w:rPr>
        <w:t xml:space="preserve">(Akkusativpartikel mit </w:t>
      </w:r>
      <w:r w:rsidRPr="008524BC">
        <w:rPr>
          <w:rFonts w:eastAsia="Times New Roman" w:cs="Times New Roman"/>
          <w:b/>
          <w:bCs/>
          <w:rtl/>
          <w:lang w:eastAsia="de-DE"/>
        </w:rPr>
        <w:t>זָהָב</w:t>
      </w:r>
      <w:r w:rsidRPr="008524BC">
        <w:rPr>
          <w:rFonts w:eastAsia="Times New Roman" w:cs="Times New Roman"/>
          <w:rtl/>
          <w:lang w:eastAsia="de-DE"/>
        </w:rPr>
        <w:t xml:space="preserve"> </w:t>
      </w:r>
      <w:r w:rsidRPr="008524BC">
        <w:rPr>
          <w:rFonts w:eastAsia="Times New Roman" w:cs="Times New Roman"/>
          <w:lang w:eastAsia="de-DE"/>
        </w:rPr>
        <w:t xml:space="preserve">„Gold" und Artikel „das Gold"), </w:t>
      </w:r>
      <w:r w:rsidRPr="008524BC">
        <w:rPr>
          <w:rFonts w:eastAsia="Times New Roman" w:cs="Times New Roman"/>
          <w:b/>
          <w:bCs/>
          <w:rtl/>
          <w:lang w:eastAsia="de-DE"/>
        </w:rPr>
        <w:t>מֵאִתָּם</w:t>
      </w:r>
      <w:r w:rsidRPr="008524BC">
        <w:rPr>
          <w:rFonts w:eastAsia="Times New Roman" w:cs="Times New Roman"/>
          <w:rtl/>
          <w:lang w:eastAsia="de-DE"/>
        </w:rPr>
        <w:t xml:space="preserve"> </w:t>
      </w:r>
      <w:r w:rsidRPr="008524BC">
        <w:rPr>
          <w:rFonts w:eastAsia="Times New Roman" w:cs="Times New Roman"/>
          <w:lang w:eastAsia="de-DE"/>
        </w:rPr>
        <w:t xml:space="preserve">(Präposition </w:t>
      </w:r>
      <w:r w:rsidRPr="008524BC">
        <w:rPr>
          <w:rFonts w:eastAsia="Times New Roman" w:cs="Times New Roman"/>
          <w:b/>
          <w:bCs/>
          <w:rtl/>
          <w:lang w:eastAsia="de-DE"/>
        </w:rPr>
        <w:t>מִן</w:t>
      </w:r>
      <w:r w:rsidRPr="008524BC">
        <w:rPr>
          <w:rFonts w:eastAsia="Times New Roman" w:cs="Times New Roman"/>
          <w:rtl/>
          <w:lang w:eastAsia="de-DE"/>
        </w:rPr>
        <w:t xml:space="preserve"> </w:t>
      </w:r>
      <w:r w:rsidRPr="008524BC">
        <w:rPr>
          <w:rFonts w:eastAsia="Times New Roman" w:cs="Times New Roman"/>
          <w:lang w:eastAsia="de-DE"/>
        </w:rPr>
        <w:t xml:space="preserve">mit </w:t>
      </w:r>
      <w:r w:rsidRPr="008524BC">
        <w:rPr>
          <w:rFonts w:eastAsia="Times New Roman" w:cs="Times New Roman"/>
          <w:b/>
          <w:bCs/>
          <w:rtl/>
          <w:lang w:eastAsia="de-DE"/>
        </w:rPr>
        <w:t>אֵת</w:t>
      </w:r>
      <w:r w:rsidRPr="008524BC">
        <w:rPr>
          <w:rFonts w:eastAsia="Times New Roman" w:cs="Times New Roman"/>
          <w:rtl/>
          <w:lang w:eastAsia="de-DE"/>
        </w:rPr>
        <w:t xml:space="preserve"> </w:t>
      </w:r>
      <w:r w:rsidRPr="008524BC">
        <w:rPr>
          <w:rFonts w:eastAsia="Times New Roman" w:cs="Times New Roman"/>
          <w:lang w:eastAsia="de-DE"/>
        </w:rPr>
        <w:t xml:space="preserve">und Suffix 3. Person maskulin Plural „von ihnen"). </w:t>
      </w:r>
      <w:r w:rsidRPr="008524BC">
        <w:rPr>
          <w:rFonts w:eastAsia="Times New Roman" w:cs="Times New Roman"/>
          <w:b/>
          <w:bCs/>
          <w:rtl/>
          <w:lang w:eastAsia="de-DE"/>
        </w:rPr>
        <w:t>כֹּל כְּלִי מַעֲשֶׂה</w:t>
      </w:r>
      <w:r w:rsidRPr="008524BC">
        <w:rPr>
          <w:rFonts w:eastAsia="Times New Roman" w:cs="Times New Roman"/>
          <w:rtl/>
          <w:lang w:eastAsia="de-DE"/>
        </w:rPr>
        <w:t xml:space="preserve"> </w:t>
      </w:r>
      <w:r w:rsidRPr="008524BC">
        <w:rPr>
          <w:rFonts w:eastAsia="Times New Roman" w:cs="Times New Roman"/>
          <w:lang w:eastAsia="de-DE"/>
        </w:rPr>
        <w:t xml:space="preserve">ist die Beschreibung: </w:t>
      </w:r>
      <w:r w:rsidRPr="008524BC">
        <w:rPr>
          <w:rFonts w:eastAsia="Times New Roman" w:cs="Times New Roman"/>
          <w:b/>
          <w:bCs/>
          <w:rtl/>
          <w:lang w:eastAsia="de-DE"/>
        </w:rPr>
        <w:t>כֹּל</w:t>
      </w:r>
      <w:r w:rsidRPr="008524BC">
        <w:rPr>
          <w:rFonts w:eastAsia="Times New Roman" w:cs="Times New Roman"/>
          <w:rtl/>
          <w:lang w:eastAsia="de-DE"/>
        </w:rPr>
        <w:t xml:space="preserve"> </w:t>
      </w:r>
      <w:r w:rsidRPr="008524BC">
        <w:rPr>
          <w:rFonts w:eastAsia="Times New Roman" w:cs="Times New Roman"/>
          <w:lang w:eastAsia="de-DE"/>
        </w:rPr>
        <w:t xml:space="preserve">(„alles, allerlei"), </w:t>
      </w:r>
      <w:r w:rsidRPr="008524BC">
        <w:rPr>
          <w:rFonts w:eastAsia="Times New Roman" w:cs="Times New Roman"/>
          <w:b/>
          <w:bCs/>
          <w:rtl/>
          <w:lang w:eastAsia="de-DE"/>
        </w:rPr>
        <w:t>כְּלִי מַעֲשֶׂה</w:t>
      </w:r>
      <w:r w:rsidRPr="008524BC">
        <w:rPr>
          <w:rFonts w:eastAsia="Times New Roman" w:cs="Times New Roman"/>
          <w:rtl/>
          <w:lang w:eastAsia="de-DE"/>
        </w:rPr>
        <w:t xml:space="preserve"> </w:t>
      </w:r>
      <w:r w:rsidRPr="008524BC">
        <w:rPr>
          <w:rFonts w:eastAsia="Times New Roman" w:cs="Times New Roman"/>
          <w:lang w:eastAsia="de-DE"/>
        </w:rPr>
        <w:t>(</w:t>
      </w:r>
      <w:r w:rsidR="00B513FF">
        <w:rPr>
          <w:rFonts w:eastAsia="Times New Roman" w:cs="Times New Roman"/>
          <w:lang w:eastAsia="de-DE"/>
        </w:rPr>
        <w:t xml:space="preserve">Constructus </w:t>
      </w:r>
      <w:r w:rsidRPr="008524BC">
        <w:rPr>
          <w:rFonts w:eastAsia="Times New Roman" w:cs="Times New Roman"/>
          <w:lang w:eastAsia="de-DE"/>
        </w:rPr>
        <w:t xml:space="preserve">verbindung: </w:t>
      </w:r>
      <w:r w:rsidRPr="008524BC">
        <w:rPr>
          <w:rFonts w:eastAsia="Times New Roman" w:cs="Times New Roman"/>
          <w:b/>
          <w:bCs/>
          <w:rtl/>
          <w:lang w:eastAsia="de-DE"/>
        </w:rPr>
        <w:t>כְּלִי</w:t>
      </w:r>
      <w:r w:rsidRPr="008524BC">
        <w:rPr>
          <w:rFonts w:eastAsia="Times New Roman" w:cs="Times New Roman"/>
          <w:rtl/>
          <w:lang w:eastAsia="de-DE"/>
        </w:rPr>
        <w:t xml:space="preserve"> </w:t>
      </w:r>
      <w:r w:rsidRPr="008524BC">
        <w:rPr>
          <w:rFonts w:eastAsia="Times New Roman" w:cs="Times New Roman"/>
          <w:lang w:eastAsia="de-DE"/>
        </w:rPr>
        <w:t xml:space="preserve">„Gerät, Geschmeide" mit </w:t>
      </w:r>
      <w:r w:rsidRPr="008524BC">
        <w:rPr>
          <w:rFonts w:eastAsia="Times New Roman" w:cs="Times New Roman"/>
          <w:b/>
          <w:bCs/>
          <w:rtl/>
          <w:lang w:eastAsia="de-DE"/>
        </w:rPr>
        <w:t>מַעֲשֶׂה</w:t>
      </w:r>
      <w:r w:rsidRPr="008524BC">
        <w:rPr>
          <w:rFonts w:eastAsia="Times New Roman" w:cs="Times New Roman"/>
          <w:rtl/>
          <w:lang w:eastAsia="de-DE"/>
        </w:rPr>
        <w:t xml:space="preserve"> </w:t>
      </w:r>
      <w:r w:rsidRPr="008524BC">
        <w:rPr>
          <w:rFonts w:eastAsia="Times New Roman" w:cs="Times New Roman"/>
          <w:lang w:eastAsia="de-DE"/>
        </w:rPr>
        <w:t>„Arbeit, Werk" „verarbeitetes Geschmeide, kunstvolles Werk").</w:t>
      </w:r>
    </w:p>
    <w:p w14:paraId="3AD3C7CD"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Die Satzstruktur zeigt ein Verb mit zwei koordinierten Subjekten, Akkusativobjekt mit Quelle und appositiver Beschreibung.</w:t>
      </w:r>
    </w:p>
    <w:p w14:paraId="69A4DC43"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Der Vers dokumentiert die offizielle Annahme des goldenen Schmucks durch Mose und Eleasar - kunstvolle, verarbeitete Stücke von hohem Wert.</w:t>
      </w:r>
    </w:p>
    <w:p w14:paraId="74A2D98B" w14:textId="77777777" w:rsidR="008524BC" w:rsidRPr="008524BC" w:rsidRDefault="008524BC" w:rsidP="008524BC">
      <w:pPr>
        <w:spacing w:before="100" w:beforeAutospacing="1" w:after="100" w:afterAutospacing="1" w:line="240" w:lineRule="auto"/>
        <w:outlineLvl w:val="0"/>
        <w:rPr>
          <w:rFonts w:eastAsia="Times New Roman" w:cs="Times New Roman"/>
          <w:b/>
          <w:bCs/>
          <w:kern w:val="36"/>
          <w:sz w:val="48"/>
          <w:szCs w:val="48"/>
          <w:lang w:eastAsia="de-DE"/>
        </w:rPr>
      </w:pPr>
      <w:r w:rsidRPr="008524BC">
        <w:rPr>
          <w:rFonts w:eastAsia="Times New Roman" w:cs="Times New Roman"/>
          <w:b/>
          <w:bCs/>
          <w:kern w:val="36"/>
          <w:sz w:val="48"/>
          <w:szCs w:val="48"/>
          <w:lang w:eastAsia="de-DE"/>
        </w:rPr>
        <w:t>Numeri 31,52</w:t>
      </w:r>
    </w:p>
    <w:p w14:paraId="26809638"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Hebräisch:</w:t>
      </w:r>
      <w:r w:rsidRPr="008524BC">
        <w:rPr>
          <w:rFonts w:eastAsia="Times New Roman" w:cs="Times New Roman"/>
          <w:lang w:eastAsia="de-DE"/>
        </w:rPr>
        <w:t xml:space="preserve"> </w:t>
      </w:r>
      <w:r w:rsidRPr="008524BC">
        <w:rPr>
          <w:rFonts w:eastAsia="Times New Roman" w:cs="Times New Roman"/>
          <w:rtl/>
          <w:lang w:eastAsia="de-DE"/>
        </w:rPr>
        <w:t>וַיְהִ֣י׀ כָּל־זְהַ֣ב הַתְּרוּמָ֗ה אֲשֶׁ֤ר הֵרִ֙ימוּ֙ לַֽיהוָ֔ה שִׁשָּׁ֨ה עָשָׂ֥ר אֶ֛לֶף שְׁבַע־מֵא֥וֹת וַחֲמִשִּׁ֖ים שָׁ֑קֶל מֵאֵת֙ שָׂרֵ֣י הָֽאֲלָפִ֔ים וּמֵאֵ֖ת שָׂרֵ֥י הַמֵּאֽוֹת׃</w:t>
      </w:r>
    </w:p>
    <w:p w14:paraId="2E0FAB66"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Deutsch:</w:t>
      </w:r>
      <w:r w:rsidRPr="008524BC">
        <w:rPr>
          <w:rFonts w:eastAsia="Times New Roman" w:cs="Times New Roman"/>
          <w:lang w:eastAsia="de-DE"/>
        </w:rPr>
        <w:t xml:space="preserve"> Und alles Gold des Hebopfers, das sie für den Ewigen spendeten, war 16.750 Schekel, von den Obersten über 1.000 und von den Obersten über 100.</w:t>
      </w:r>
    </w:p>
    <w:p w14:paraId="2A2F45B7" w14:textId="77777777" w:rsidR="008524BC" w:rsidRPr="008524BC" w:rsidRDefault="00F329DD" w:rsidP="008524BC">
      <w:pPr>
        <w:spacing w:after="0" w:line="240" w:lineRule="auto"/>
        <w:rPr>
          <w:rFonts w:eastAsia="Times New Roman" w:cs="Times New Roman"/>
          <w:lang w:eastAsia="de-DE"/>
        </w:rPr>
      </w:pPr>
      <w:r>
        <w:rPr>
          <w:rFonts w:eastAsia="Times New Roman" w:cs="Times New Roman"/>
          <w:noProof/>
          <w:lang w:eastAsia="de-DE"/>
        </w:rPr>
        <w:pict w14:anchorId="5C93C259">
          <v:rect id="_x0000_i1983" style="width:0;height:1.5pt" o:hralign="center" o:hrstd="t" o:hr="t" fillcolor="#a0a0a0" stroked="f"/>
        </w:pict>
      </w:r>
    </w:p>
    <w:p w14:paraId="72925944" w14:textId="4200DAF2"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lastRenderedPageBreak/>
        <w:t>Kommentar:</w:t>
      </w:r>
      <w:r w:rsidRPr="008524BC">
        <w:rPr>
          <w:rFonts w:eastAsia="Times New Roman" w:cs="Times New Roman"/>
          <w:lang w:eastAsia="de-DE"/>
        </w:rPr>
        <w:t xml:space="preserve"> Der Vers gibt das Gesamtgewicht an. </w:t>
      </w:r>
      <w:r w:rsidRPr="008524BC">
        <w:rPr>
          <w:rFonts w:eastAsia="Times New Roman" w:cs="Times New Roman"/>
          <w:b/>
          <w:bCs/>
          <w:rtl/>
          <w:lang w:eastAsia="de-DE"/>
        </w:rPr>
        <w:t>וַיְהִי כָּל־זְהַב הַתְּרוּמָה אֲשֶׁר הֵרִימוּ לַיהוה</w:t>
      </w:r>
      <w:r w:rsidRPr="008524BC">
        <w:rPr>
          <w:rFonts w:eastAsia="Times New Roman" w:cs="Times New Roman"/>
          <w:rtl/>
          <w:lang w:eastAsia="de-DE"/>
        </w:rPr>
        <w:t xml:space="preserve"> </w:t>
      </w:r>
      <w:r w:rsidRPr="008524BC">
        <w:rPr>
          <w:rFonts w:eastAsia="Times New Roman" w:cs="Times New Roman"/>
          <w:lang w:eastAsia="de-DE"/>
        </w:rPr>
        <w:t xml:space="preserve">ist die Einleitung. </w:t>
      </w:r>
      <w:r w:rsidRPr="008524BC">
        <w:rPr>
          <w:rFonts w:eastAsia="Times New Roman" w:cs="Times New Roman"/>
          <w:b/>
          <w:bCs/>
          <w:rtl/>
          <w:lang w:eastAsia="de-DE"/>
        </w:rPr>
        <w:t>וַיְהִי</w:t>
      </w:r>
      <w:r w:rsidRPr="008524BC">
        <w:rPr>
          <w:rFonts w:eastAsia="Times New Roman" w:cs="Times New Roman"/>
          <w:rtl/>
          <w:lang w:eastAsia="de-DE"/>
        </w:rPr>
        <w:t xml:space="preserve"> </w:t>
      </w:r>
      <w:r w:rsidRPr="008524BC">
        <w:rPr>
          <w:rFonts w:eastAsia="Times New Roman" w:cs="Times New Roman"/>
          <w:lang w:eastAsia="de-DE"/>
        </w:rPr>
        <w:t xml:space="preserve">(Qal Wayyiqtol 3. Person maskulin Singular von </w:t>
      </w:r>
      <w:r w:rsidRPr="008524BC">
        <w:rPr>
          <w:rFonts w:eastAsia="Times New Roman" w:cs="Times New Roman"/>
          <w:b/>
          <w:bCs/>
          <w:rtl/>
          <w:lang w:eastAsia="de-DE"/>
        </w:rPr>
        <w:t>היה</w:t>
      </w:r>
      <w:r w:rsidRPr="008524BC">
        <w:rPr>
          <w:rFonts w:eastAsia="Times New Roman" w:cs="Times New Roman"/>
          <w:rtl/>
          <w:lang w:eastAsia="de-DE"/>
        </w:rPr>
        <w:t xml:space="preserve"> </w:t>
      </w:r>
      <w:r w:rsidRPr="008524BC">
        <w:rPr>
          <w:rFonts w:eastAsia="Times New Roman" w:cs="Times New Roman"/>
          <w:lang w:eastAsia="de-DE"/>
        </w:rPr>
        <w:t xml:space="preserve">„sein"), </w:t>
      </w:r>
      <w:r w:rsidRPr="008524BC">
        <w:rPr>
          <w:rFonts w:eastAsia="Times New Roman" w:cs="Times New Roman"/>
          <w:b/>
          <w:bCs/>
          <w:rtl/>
          <w:lang w:eastAsia="de-DE"/>
        </w:rPr>
        <w:t>כָּל־זְהַב הַתְּרוּמָה</w:t>
      </w:r>
      <w:r w:rsidRPr="008524BC">
        <w:rPr>
          <w:rFonts w:eastAsia="Times New Roman" w:cs="Times New Roman"/>
          <w:rtl/>
          <w:lang w:eastAsia="de-DE"/>
        </w:rPr>
        <w:t xml:space="preserve"> </w:t>
      </w:r>
      <w:r w:rsidRPr="008524BC">
        <w:rPr>
          <w:rFonts w:eastAsia="Times New Roman" w:cs="Times New Roman"/>
          <w:lang w:eastAsia="de-DE"/>
        </w:rPr>
        <w:t>(</w:t>
      </w:r>
      <w:r w:rsidRPr="008524BC">
        <w:rPr>
          <w:rFonts w:eastAsia="Times New Roman" w:cs="Times New Roman"/>
          <w:b/>
          <w:bCs/>
          <w:rtl/>
          <w:lang w:eastAsia="de-DE"/>
        </w:rPr>
        <w:t>כֹּל</w:t>
      </w:r>
      <w:r w:rsidRPr="008524BC">
        <w:rPr>
          <w:rFonts w:eastAsia="Times New Roman" w:cs="Times New Roman"/>
          <w:rtl/>
          <w:lang w:eastAsia="de-DE"/>
        </w:rPr>
        <w:t xml:space="preserve"> </w:t>
      </w:r>
      <w:r w:rsidRPr="008524BC">
        <w:rPr>
          <w:rFonts w:eastAsia="Times New Roman" w:cs="Times New Roman"/>
          <w:lang w:eastAsia="de-DE"/>
        </w:rPr>
        <w:t xml:space="preserve">mit </w:t>
      </w:r>
      <w:r w:rsidRPr="008524BC">
        <w:rPr>
          <w:rFonts w:eastAsia="Times New Roman" w:cs="Times New Roman"/>
          <w:b/>
          <w:bCs/>
          <w:rtl/>
          <w:lang w:eastAsia="de-DE"/>
        </w:rPr>
        <w:t>זָהָב</w:t>
      </w:r>
      <w:r w:rsidRPr="008524BC">
        <w:rPr>
          <w:rFonts w:eastAsia="Times New Roman" w:cs="Times New Roman"/>
          <w:rtl/>
          <w:lang w:eastAsia="de-DE"/>
        </w:rPr>
        <w:t xml:space="preserve"> </w:t>
      </w:r>
      <w:r w:rsidRPr="008524BC">
        <w:rPr>
          <w:rFonts w:eastAsia="Times New Roman" w:cs="Times New Roman"/>
          <w:lang w:eastAsia="de-DE"/>
        </w:rPr>
        <w:t xml:space="preserve">„Gold" im </w:t>
      </w:r>
      <w:r w:rsidR="00E031B3">
        <w:rPr>
          <w:rFonts w:eastAsia="Times New Roman" w:cs="Times New Roman"/>
          <w:lang w:eastAsia="de-DE"/>
        </w:rPr>
        <w:t>Constructus und</w:t>
      </w:r>
      <w:r w:rsidRPr="008524BC">
        <w:rPr>
          <w:rFonts w:eastAsia="Times New Roman" w:cs="Times New Roman"/>
          <w:lang w:eastAsia="de-DE"/>
        </w:rPr>
        <w:t xml:space="preserve"> </w:t>
      </w:r>
      <w:r w:rsidRPr="008524BC">
        <w:rPr>
          <w:rFonts w:eastAsia="Times New Roman" w:cs="Times New Roman"/>
          <w:b/>
          <w:bCs/>
          <w:rtl/>
          <w:lang w:eastAsia="de-DE"/>
        </w:rPr>
        <w:t>תְּרוּמָה</w:t>
      </w:r>
      <w:r w:rsidRPr="008524BC">
        <w:rPr>
          <w:rFonts w:eastAsia="Times New Roman" w:cs="Times New Roman"/>
          <w:rtl/>
          <w:lang w:eastAsia="de-DE"/>
        </w:rPr>
        <w:t xml:space="preserve"> </w:t>
      </w:r>
      <w:r w:rsidRPr="008524BC">
        <w:rPr>
          <w:rFonts w:eastAsia="Times New Roman" w:cs="Times New Roman"/>
          <w:lang w:eastAsia="de-DE"/>
        </w:rPr>
        <w:t xml:space="preserve">„Hebopfer" mit Artikel „alles Gold des Hebopfers"), </w:t>
      </w:r>
      <w:r w:rsidRPr="008524BC">
        <w:rPr>
          <w:rFonts w:eastAsia="Times New Roman" w:cs="Times New Roman"/>
          <w:b/>
          <w:bCs/>
          <w:rtl/>
          <w:lang w:eastAsia="de-DE"/>
        </w:rPr>
        <w:t>אֲשֶׁר הֵרִימוּ לַיהוה</w:t>
      </w:r>
      <w:r w:rsidRPr="008524BC">
        <w:rPr>
          <w:rFonts w:eastAsia="Times New Roman" w:cs="Times New Roman"/>
          <w:rtl/>
          <w:lang w:eastAsia="de-DE"/>
        </w:rPr>
        <w:t xml:space="preserve"> </w:t>
      </w:r>
      <w:r w:rsidRPr="008524BC">
        <w:rPr>
          <w:rFonts w:eastAsia="Times New Roman" w:cs="Times New Roman"/>
          <w:lang w:eastAsia="de-DE"/>
        </w:rPr>
        <w:t xml:space="preserve">(Relativsatz: Relativpronomen mit Hiphil Perfekt 3. Person Plural von </w:t>
      </w:r>
      <w:r w:rsidRPr="008524BC">
        <w:rPr>
          <w:rFonts w:eastAsia="Times New Roman" w:cs="Times New Roman"/>
          <w:b/>
          <w:bCs/>
          <w:rtl/>
          <w:lang w:eastAsia="de-DE"/>
        </w:rPr>
        <w:t>רום</w:t>
      </w:r>
      <w:r w:rsidRPr="008524BC">
        <w:rPr>
          <w:rFonts w:eastAsia="Times New Roman" w:cs="Times New Roman"/>
          <w:rtl/>
          <w:lang w:eastAsia="de-DE"/>
        </w:rPr>
        <w:t xml:space="preserve"> </w:t>
      </w:r>
      <w:r w:rsidRPr="008524BC">
        <w:rPr>
          <w:rFonts w:eastAsia="Times New Roman" w:cs="Times New Roman"/>
          <w:lang w:eastAsia="de-DE"/>
        </w:rPr>
        <w:t>„erheben, darbringen" und Präposition mit Tetragramm „das sie für den Ewigen spendeten").</w:t>
      </w:r>
    </w:p>
    <w:p w14:paraId="73777318"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rtl/>
          <w:lang w:eastAsia="de-DE"/>
        </w:rPr>
        <w:t>שִׁשָּׁה עָשָׂר אֶלֶף שְׁבַע־מֵאוֹת וַחֲמִשִּׁים שָׁקֶל</w:t>
      </w:r>
      <w:r w:rsidRPr="008524BC">
        <w:rPr>
          <w:rFonts w:eastAsia="Times New Roman" w:cs="Times New Roman"/>
          <w:rtl/>
          <w:lang w:eastAsia="de-DE"/>
        </w:rPr>
        <w:t xml:space="preserve"> </w:t>
      </w:r>
      <w:r w:rsidRPr="008524BC">
        <w:rPr>
          <w:rFonts w:eastAsia="Times New Roman" w:cs="Times New Roman"/>
          <w:lang w:eastAsia="de-DE"/>
        </w:rPr>
        <w:t xml:space="preserve">ist das Gewicht: „sechzehntausend siebenhundertundfünfzig Schekel". Ein Schekel entspricht ca. 11,4 Gramm, also etwa 191 kg Gold - eine gewaltige Summe. </w:t>
      </w:r>
      <w:r w:rsidRPr="008524BC">
        <w:rPr>
          <w:rFonts w:eastAsia="Times New Roman" w:cs="Times New Roman"/>
          <w:b/>
          <w:bCs/>
          <w:rtl/>
          <w:lang w:eastAsia="de-DE"/>
        </w:rPr>
        <w:t>מֵאֵת שָׂרֵי הָאֲלָפִים וּמֵאֵת שָׂרֵי הַמֵּאוֹת</w:t>
      </w:r>
      <w:r w:rsidRPr="008524BC">
        <w:rPr>
          <w:rFonts w:eastAsia="Times New Roman" w:cs="Times New Roman"/>
          <w:rtl/>
          <w:lang w:eastAsia="de-DE"/>
        </w:rPr>
        <w:t xml:space="preserve"> </w:t>
      </w:r>
      <w:r w:rsidRPr="008524BC">
        <w:rPr>
          <w:rFonts w:eastAsia="Times New Roman" w:cs="Times New Roman"/>
          <w:lang w:eastAsia="de-DE"/>
        </w:rPr>
        <w:t>gibt die Quelle an: „von den Obersten über die Tausende und von den Obersten über die Hunderte".</w:t>
      </w:r>
    </w:p>
    <w:p w14:paraId="0D97258D"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Die Satzstruktur zeigt ein Verb mit Subjekt (alles Gold mit Relativsatz), Prädikatsnomen (Gewichtsangabe) und Quellenangabe.</w:t>
      </w:r>
    </w:p>
    <w:p w14:paraId="7A88561B"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Der Vers beziffert die freiwillige Opfergabe: Fast 191 kg Gold von den militärischen Führern - ein beeindruckendes Zeichen der Dankbarkeit für den göttlichen Schutz im Krieg.</w:t>
      </w:r>
    </w:p>
    <w:p w14:paraId="5B5C3960" w14:textId="77777777" w:rsidR="008524BC" w:rsidRPr="008524BC" w:rsidRDefault="008524BC" w:rsidP="008524BC">
      <w:pPr>
        <w:spacing w:before="100" w:beforeAutospacing="1" w:after="100" w:afterAutospacing="1" w:line="240" w:lineRule="auto"/>
        <w:outlineLvl w:val="0"/>
        <w:rPr>
          <w:rFonts w:eastAsia="Times New Roman" w:cs="Times New Roman"/>
          <w:b/>
          <w:bCs/>
          <w:kern w:val="36"/>
          <w:sz w:val="48"/>
          <w:szCs w:val="48"/>
          <w:lang w:eastAsia="de-DE"/>
        </w:rPr>
      </w:pPr>
      <w:r w:rsidRPr="008524BC">
        <w:rPr>
          <w:rFonts w:eastAsia="Times New Roman" w:cs="Times New Roman"/>
          <w:b/>
          <w:bCs/>
          <w:kern w:val="36"/>
          <w:sz w:val="48"/>
          <w:szCs w:val="48"/>
          <w:lang w:eastAsia="de-DE"/>
        </w:rPr>
        <w:t>Numeri 31,53</w:t>
      </w:r>
    </w:p>
    <w:p w14:paraId="7C12038B"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Hebräisch:</w:t>
      </w:r>
      <w:r w:rsidRPr="008524BC">
        <w:rPr>
          <w:rFonts w:eastAsia="Times New Roman" w:cs="Times New Roman"/>
          <w:lang w:eastAsia="de-DE"/>
        </w:rPr>
        <w:t xml:space="preserve"> </w:t>
      </w:r>
      <w:r w:rsidRPr="008524BC">
        <w:rPr>
          <w:rFonts w:eastAsia="Times New Roman" w:cs="Times New Roman"/>
          <w:rtl/>
          <w:lang w:eastAsia="de-DE"/>
        </w:rPr>
        <w:t>אַנְשֵׁי֙ הַצָּבָ֔א בָּזְז֖וּ אִ֥ישׁ לֽוֹ׃</w:t>
      </w:r>
    </w:p>
    <w:p w14:paraId="5A1EEC5F"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Deutsch:</w:t>
      </w:r>
      <w:r w:rsidRPr="008524BC">
        <w:rPr>
          <w:rFonts w:eastAsia="Times New Roman" w:cs="Times New Roman"/>
          <w:lang w:eastAsia="de-DE"/>
        </w:rPr>
        <w:t xml:space="preserve"> Die Männer des Heeres hatten aber ein jeder für sich geplündert.</w:t>
      </w:r>
    </w:p>
    <w:p w14:paraId="6F5EE288" w14:textId="77777777" w:rsidR="008524BC" w:rsidRPr="008524BC" w:rsidRDefault="00F329DD" w:rsidP="008524BC">
      <w:pPr>
        <w:spacing w:after="0" w:line="240" w:lineRule="auto"/>
        <w:rPr>
          <w:rFonts w:eastAsia="Times New Roman" w:cs="Times New Roman"/>
          <w:lang w:eastAsia="de-DE"/>
        </w:rPr>
      </w:pPr>
      <w:r>
        <w:rPr>
          <w:rFonts w:eastAsia="Times New Roman" w:cs="Times New Roman"/>
          <w:noProof/>
          <w:lang w:eastAsia="de-DE"/>
        </w:rPr>
        <w:pict w14:anchorId="2B93A839">
          <v:rect id="_x0000_i1984" style="width:0;height:1.5pt" o:hralign="center" o:hrstd="t" o:hr="t" fillcolor="#a0a0a0" stroked="f"/>
        </w:pict>
      </w:r>
    </w:p>
    <w:p w14:paraId="26257C6F" w14:textId="0275FC0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Kommentar:</w:t>
      </w:r>
      <w:r w:rsidRPr="008524BC">
        <w:rPr>
          <w:rFonts w:eastAsia="Times New Roman" w:cs="Times New Roman"/>
          <w:lang w:eastAsia="de-DE"/>
        </w:rPr>
        <w:t xml:space="preserve"> Der Vers erklärt eine wichtige Unterscheidung. </w:t>
      </w:r>
      <w:r w:rsidRPr="008524BC">
        <w:rPr>
          <w:rFonts w:eastAsia="Times New Roman" w:cs="Times New Roman"/>
          <w:b/>
          <w:bCs/>
          <w:rtl/>
          <w:lang w:eastAsia="de-DE"/>
        </w:rPr>
        <w:t>אַנְשֵׁי הַצָּבָא בָּזְזוּ אִישׁ לוֹ</w:t>
      </w:r>
      <w:r w:rsidRPr="008524BC">
        <w:rPr>
          <w:rFonts w:eastAsia="Times New Roman" w:cs="Times New Roman"/>
          <w:rtl/>
          <w:lang w:eastAsia="de-DE"/>
        </w:rPr>
        <w:t xml:space="preserve"> </w:t>
      </w:r>
      <w:r w:rsidRPr="008524BC">
        <w:rPr>
          <w:rFonts w:eastAsia="Times New Roman" w:cs="Times New Roman"/>
          <w:lang w:eastAsia="de-DE"/>
        </w:rPr>
        <w:t xml:space="preserve">ist eine prägnante Aussage. </w:t>
      </w:r>
      <w:r w:rsidRPr="008524BC">
        <w:rPr>
          <w:rFonts w:eastAsia="Times New Roman" w:cs="Times New Roman"/>
          <w:b/>
          <w:bCs/>
          <w:rtl/>
          <w:lang w:eastAsia="de-DE"/>
        </w:rPr>
        <w:t>אַנְשֵׁי הַצָּבָא</w:t>
      </w:r>
      <w:r w:rsidRPr="008524BC">
        <w:rPr>
          <w:rFonts w:eastAsia="Times New Roman" w:cs="Times New Roman"/>
          <w:rtl/>
          <w:lang w:eastAsia="de-DE"/>
        </w:rPr>
        <w:t xml:space="preserve"> </w:t>
      </w:r>
      <w:r w:rsidRPr="008524BC">
        <w:rPr>
          <w:rFonts w:eastAsia="Times New Roman" w:cs="Times New Roman"/>
          <w:lang w:eastAsia="de-DE"/>
        </w:rPr>
        <w:t xml:space="preserve">(Plural </w:t>
      </w:r>
      <w:r w:rsidR="00E031B3">
        <w:rPr>
          <w:rFonts w:eastAsia="Times New Roman" w:cs="Times New Roman"/>
          <w:lang w:eastAsia="de-DE"/>
        </w:rPr>
        <w:t>Constructus von</w:t>
      </w:r>
      <w:r w:rsidRPr="008524BC">
        <w:rPr>
          <w:rFonts w:eastAsia="Times New Roman" w:cs="Times New Roman"/>
          <w:lang w:eastAsia="de-DE"/>
        </w:rPr>
        <w:t xml:space="preserve"> </w:t>
      </w:r>
      <w:r w:rsidRPr="008524BC">
        <w:rPr>
          <w:rFonts w:eastAsia="Times New Roman" w:cs="Times New Roman"/>
          <w:b/>
          <w:bCs/>
          <w:rtl/>
          <w:lang w:eastAsia="de-DE"/>
        </w:rPr>
        <w:t>אִישׁ</w:t>
      </w:r>
      <w:r w:rsidRPr="008524BC">
        <w:rPr>
          <w:rFonts w:eastAsia="Times New Roman" w:cs="Times New Roman"/>
          <w:rtl/>
          <w:lang w:eastAsia="de-DE"/>
        </w:rPr>
        <w:t xml:space="preserve"> </w:t>
      </w:r>
      <w:r w:rsidRPr="008524BC">
        <w:rPr>
          <w:rFonts w:eastAsia="Times New Roman" w:cs="Times New Roman"/>
          <w:lang w:eastAsia="de-DE"/>
        </w:rPr>
        <w:t xml:space="preserve">„Mann" mit </w:t>
      </w:r>
      <w:r w:rsidRPr="008524BC">
        <w:rPr>
          <w:rFonts w:eastAsia="Times New Roman" w:cs="Times New Roman"/>
          <w:b/>
          <w:bCs/>
          <w:rtl/>
          <w:lang w:eastAsia="de-DE"/>
        </w:rPr>
        <w:t>צָבָא</w:t>
      </w:r>
      <w:r w:rsidRPr="008524BC">
        <w:rPr>
          <w:rFonts w:eastAsia="Times New Roman" w:cs="Times New Roman"/>
          <w:rtl/>
          <w:lang w:eastAsia="de-DE"/>
        </w:rPr>
        <w:t xml:space="preserve"> </w:t>
      </w:r>
      <w:r w:rsidRPr="008524BC">
        <w:rPr>
          <w:rFonts w:eastAsia="Times New Roman" w:cs="Times New Roman"/>
          <w:lang w:eastAsia="de-DE"/>
        </w:rPr>
        <w:t xml:space="preserve">„Heer" mit Artikel „die Männer des Heeres"), </w:t>
      </w:r>
      <w:r w:rsidRPr="008524BC">
        <w:rPr>
          <w:rFonts w:eastAsia="Times New Roman" w:cs="Times New Roman"/>
          <w:b/>
          <w:bCs/>
          <w:rtl/>
          <w:lang w:eastAsia="de-DE"/>
        </w:rPr>
        <w:t>בָּזְזוּ</w:t>
      </w:r>
      <w:r w:rsidRPr="008524BC">
        <w:rPr>
          <w:rFonts w:eastAsia="Times New Roman" w:cs="Times New Roman"/>
          <w:rtl/>
          <w:lang w:eastAsia="de-DE"/>
        </w:rPr>
        <w:t xml:space="preserve"> </w:t>
      </w:r>
      <w:r w:rsidRPr="008524BC">
        <w:rPr>
          <w:rFonts w:eastAsia="Times New Roman" w:cs="Times New Roman"/>
          <w:lang w:eastAsia="de-DE"/>
        </w:rPr>
        <w:t xml:space="preserve">(Qal Perfekt 3. Person Plural von </w:t>
      </w:r>
      <w:r w:rsidRPr="008524BC">
        <w:rPr>
          <w:rFonts w:eastAsia="Times New Roman" w:cs="Times New Roman"/>
          <w:b/>
          <w:bCs/>
          <w:rtl/>
          <w:lang w:eastAsia="de-DE"/>
        </w:rPr>
        <w:t>בזז</w:t>
      </w:r>
      <w:r w:rsidRPr="008524BC">
        <w:rPr>
          <w:rFonts w:eastAsia="Times New Roman" w:cs="Times New Roman"/>
          <w:rtl/>
          <w:lang w:eastAsia="de-DE"/>
        </w:rPr>
        <w:t xml:space="preserve"> </w:t>
      </w:r>
      <w:r w:rsidRPr="008524BC">
        <w:rPr>
          <w:rFonts w:eastAsia="Times New Roman" w:cs="Times New Roman"/>
          <w:lang w:eastAsia="de-DE"/>
        </w:rPr>
        <w:t xml:space="preserve">„plündern"), </w:t>
      </w:r>
      <w:r w:rsidRPr="008524BC">
        <w:rPr>
          <w:rFonts w:eastAsia="Times New Roman" w:cs="Times New Roman"/>
          <w:b/>
          <w:bCs/>
          <w:rtl/>
          <w:lang w:eastAsia="de-DE"/>
        </w:rPr>
        <w:t>אִישׁ לוֹ</w:t>
      </w:r>
      <w:r w:rsidRPr="008524BC">
        <w:rPr>
          <w:rFonts w:eastAsia="Times New Roman" w:cs="Times New Roman"/>
          <w:rtl/>
          <w:lang w:eastAsia="de-DE"/>
        </w:rPr>
        <w:t xml:space="preserve"> </w:t>
      </w:r>
      <w:r w:rsidRPr="008524BC">
        <w:rPr>
          <w:rFonts w:eastAsia="Times New Roman" w:cs="Times New Roman"/>
          <w:lang w:eastAsia="de-DE"/>
        </w:rPr>
        <w:t xml:space="preserve">(idiomatische Wendung: </w:t>
      </w:r>
      <w:r w:rsidRPr="008524BC">
        <w:rPr>
          <w:rFonts w:eastAsia="Times New Roman" w:cs="Times New Roman"/>
          <w:b/>
          <w:bCs/>
          <w:rtl/>
          <w:lang w:eastAsia="de-DE"/>
        </w:rPr>
        <w:t>אִישׁ</w:t>
      </w:r>
      <w:r w:rsidRPr="008524BC">
        <w:rPr>
          <w:rFonts w:eastAsia="Times New Roman" w:cs="Times New Roman"/>
          <w:rtl/>
          <w:lang w:eastAsia="de-DE"/>
        </w:rPr>
        <w:t xml:space="preserve"> </w:t>
      </w:r>
      <w:r w:rsidRPr="008524BC">
        <w:rPr>
          <w:rFonts w:eastAsia="Times New Roman" w:cs="Times New Roman"/>
          <w:lang w:eastAsia="de-DE"/>
        </w:rPr>
        <w:t xml:space="preserve">„jeder" mit Präposition </w:t>
      </w:r>
      <w:r w:rsidRPr="008524BC">
        <w:rPr>
          <w:rFonts w:eastAsia="Times New Roman" w:cs="Times New Roman"/>
          <w:b/>
          <w:bCs/>
          <w:rtl/>
          <w:lang w:eastAsia="de-DE"/>
        </w:rPr>
        <w:t>לְ</w:t>
      </w:r>
      <w:r w:rsidRPr="008524BC">
        <w:rPr>
          <w:rFonts w:eastAsia="Times New Roman" w:cs="Times New Roman"/>
          <w:rtl/>
          <w:lang w:eastAsia="de-DE"/>
        </w:rPr>
        <w:t xml:space="preserve"> </w:t>
      </w:r>
      <w:r w:rsidRPr="008524BC">
        <w:rPr>
          <w:rFonts w:eastAsia="Times New Roman" w:cs="Times New Roman"/>
          <w:lang w:eastAsia="de-DE"/>
        </w:rPr>
        <w:t>und Suffix 3. Person maskulin Singular „ein jeder für sich"). Die Aussage klärt: Die einfachen Soldaten behielten ihre persönliche Beute, während die Offiziere ihre Beute (oder einen Teil davon) als Opfergabe darbrachten.</w:t>
      </w:r>
    </w:p>
    <w:p w14:paraId="77F512E5"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Die Satzstruktur zeigt ein Subjekt, ein Verb und eine idiomatische Objektivergänzung.</w:t>
      </w:r>
    </w:p>
    <w:p w14:paraId="0FE2CBA9"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Der Vers erklärt, warum die Opfergabe nur von den Offizieren kam: Die einfachen Soldaten behielten ihre persönliche Beute, während die Kommandanten aus Dankbarkeit für den göttlichen Schutz ihr Gold opferten - ein Zeichen besonderer Verantwortung der Führung.</w:t>
      </w:r>
    </w:p>
    <w:p w14:paraId="0AABDE9A" w14:textId="77777777" w:rsidR="008524BC" w:rsidRPr="008524BC" w:rsidRDefault="008524BC" w:rsidP="008524BC">
      <w:pPr>
        <w:spacing w:before="100" w:beforeAutospacing="1" w:after="100" w:afterAutospacing="1" w:line="240" w:lineRule="auto"/>
        <w:outlineLvl w:val="0"/>
        <w:rPr>
          <w:rFonts w:eastAsia="Times New Roman" w:cs="Times New Roman"/>
          <w:b/>
          <w:bCs/>
          <w:kern w:val="36"/>
          <w:sz w:val="48"/>
          <w:szCs w:val="48"/>
          <w:lang w:eastAsia="de-DE"/>
        </w:rPr>
      </w:pPr>
      <w:r w:rsidRPr="008524BC">
        <w:rPr>
          <w:rFonts w:eastAsia="Times New Roman" w:cs="Times New Roman"/>
          <w:b/>
          <w:bCs/>
          <w:kern w:val="36"/>
          <w:sz w:val="48"/>
          <w:szCs w:val="48"/>
          <w:lang w:eastAsia="de-DE"/>
        </w:rPr>
        <w:t>Numeri 31,54</w:t>
      </w:r>
    </w:p>
    <w:p w14:paraId="7E876301"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Hebräisch:</w:t>
      </w:r>
      <w:r w:rsidRPr="008524BC">
        <w:rPr>
          <w:rFonts w:eastAsia="Times New Roman" w:cs="Times New Roman"/>
          <w:lang w:eastAsia="de-DE"/>
        </w:rPr>
        <w:t xml:space="preserve"> </w:t>
      </w:r>
      <w:r w:rsidRPr="008524BC">
        <w:rPr>
          <w:rFonts w:eastAsia="Times New Roman" w:cs="Times New Roman"/>
          <w:rtl/>
          <w:lang w:eastAsia="de-DE"/>
        </w:rPr>
        <w:t>וַיִּקַּ֨ח מֹשֶׁ֜ה וְאֶלְעָזָ֤ר הַכֹּהֵן֙ אֶת־הַזָּהָ֔ב מֵאֵ֛ת שָׂרֵ֥י הָאֲלָפִ֖ים וְהַמֵּא֑וֹת וַיָּבִ֤אוּ אֹתוֹ֙ אֶל־אֹ֣הֶל מוֹעֵ֔ד זִכָּר֥וֹן לִבְנֵֽי־יִשְׂרָאֵ֖ל לִפְנֵ֥י יְהוָֽה׃</w:t>
      </w:r>
    </w:p>
    <w:p w14:paraId="2AEE0BE2"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Deutsch:</w:t>
      </w:r>
      <w:r w:rsidRPr="008524BC">
        <w:rPr>
          <w:rFonts w:eastAsia="Times New Roman" w:cs="Times New Roman"/>
          <w:lang w:eastAsia="de-DE"/>
        </w:rPr>
        <w:t xml:space="preserve"> Und Mosche und El'asar, der Priester, nahmen das Gold von den Obersten über 1.000 und über 100 und brachten es in das Zelt der Begegnung, als ein Gedächtnis der Söhne Jisra'el vor dem Ewigen.</w:t>
      </w:r>
    </w:p>
    <w:p w14:paraId="094AB3F2" w14:textId="77777777" w:rsidR="008524BC" w:rsidRPr="008524BC" w:rsidRDefault="00F329DD" w:rsidP="008524BC">
      <w:pPr>
        <w:spacing w:after="0" w:line="240" w:lineRule="auto"/>
        <w:rPr>
          <w:rFonts w:eastAsia="Times New Roman" w:cs="Times New Roman"/>
          <w:lang w:eastAsia="de-DE"/>
        </w:rPr>
      </w:pPr>
      <w:r>
        <w:rPr>
          <w:rFonts w:eastAsia="Times New Roman" w:cs="Times New Roman"/>
          <w:noProof/>
          <w:lang w:eastAsia="de-DE"/>
        </w:rPr>
        <w:lastRenderedPageBreak/>
        <w:pict w14:anchorId="5AA96F04">
          <v:rect id="_x0000_i1985" style="width:0;height:1.5pt" o:hralign="center" o:hrstd="t" o:hr="t" fillcolor="#a0a0a0" stroked="f"/>
        </w:pict>
      </w:r>
    </w:p>
    <w:p w14:paraId="11E61266"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Kommentar:</w:t>
      </w:r>
      <w:r w:rsidRPr="008524BC">
        <w:rPr>
          <w:rFonts w:eastAsia="Times New Roman" w:cs="Times New Roman"/>
          <w:lang w:eastAsia="de-DE"/>
        </w:rPr>
        <w:t xml:space="preserve"> Der Vers schließt das Kapitel ab. </w:t>
      </w:r>
      <w:r w:rsidRPr="008524BC">
        <w:rPr>
          <w:rFonts w:eastAsia="Times New Roman" w:cs="Times New Roman"/>
          <w:b/>
          <w:bCs/>
          <w:rtl/>
          <w:lang w:eastAsia="de-DE"/>
        </w:rPr>
        <w:t>וַיִּקַּח מֹשֶׁה וְאֶלְעָזָר הַכֹּהֵן אֶת־הַזָּהָב מֵאֵת שָׂרֵי הָאֲלָפִים וְהַמֵּאוֹת</w:t>
      </w:r>
      <w:r w:rsidRPr="008524BC">
        <w:rPr>
          <w:rFonts w:eastAsia="Times New Roman" w:cs="Times New Roman"/>
          <w:rtl/>
          <w:lang w:eastAsia="de-DE"/>
        </w:rPr>
        <w:t xml:space="preserve"> </w:t>
      </w:r>
      <w:r w:rsidRPr="008524BC">
        <w:rPr>
          <w:rFonts w:eastAsia="Times New Roman" w:cs="Times New Roman"/>
          <w:lang w:eastAsia="de-DE"/>
        </w:rPr>
        <w:t xml:space="preserve">wiederholt die Annahme (wie V. 51, aber mit präziserer Quellenangabe). </w:t>
      </w:r>
      <w:r w:rsidRPr="008524BC">
        <w:rPr>
          <w:rFonts w:eastAsia="Times New Roman" w:cs="Times New Roman"/>
          <w:b/>
          <w:bCs/>
          <w:rtl/>
          <w:lang w:eastAsia="de-DE"/>
        </w:rPr>
        <w:t>וַיָּבִאוּ אֹתוֹ אֶל־אֹהֶל מוֹעֵד</w:t>
      </w:r>
      <w:r w:rsidRPr="008524BC">
        <w:rPr>
          <w:rFonts w:eastAsia="Times New Roman" w:cs="Times New Roman"/>
          <w:rtl/>
          <w:lang w:eastAsia="de-DE"/>
        </w:rPr>
        <w:t xml:space="preserve"> </w:t>
      </w:r>
      <w:r w:rsidRPr="008524BC">
        <w:rPr>
          <w:rFonts w:eastAsia="Times New Roman" w:cs="Times New Roman"/>
          <w:lang w:eastAsia="de-DE"/>
        </w:rPr>
        <w:t xml:space="preserve">zeigt die Deponierung. </w:t>
      </w:r>
      <w:r w:rsidRPr="008524BC">
        <w:rPr>
          <w:rFonts w:eastAsia="Times New Roman" w:cs="Times New Roman"/>
          <w:b/>
          <w:bCs/>
          <w:rtl/>
          <w:lang w:eastAsia="de-DE"/>
        </w:rPr>
        <w:t>וַיָּבִאוּ</w:t>
      </w:r>
      <w:r w:rsidRPr="008524BC">
        <w:rPr>
          <w:rFonts w:eastAsia="Times New Roman" w:cs="Times New Roman"/>
          <w:rtl/>
          <w:lang w:eastAsia="de-DE"/>
        </w:rPr>
        <w:t xml:space="preserve"> </w:t>
      </w:r>
      <w:r w:rsidRPr="008524BC">
        <w:rPr>
          <w:rFonts w:eastAsia="Times New Roman" w:cs="Times New Roman"/>
          <w:lang w:eastAsia="de-DE"/>
        </w:rPr>
        <w:t xml:space="preserve">(Hiphil Wayyiqtol 3. Person Plural von </w:t>
      </w:r>
      <w:r w:rsidRPr="008524BC">
        <w:rPr>
          <w:rFonts w:eastAsia="Times New Roman" w:cs="Times New Roman"/>
          <w:b/>
          <w:bCs/>
          <w:rtl/>
          <w:lang w:eastAsia="de-DE"/>
        </w:rPr>
        <w:t>בוא</w:t>
      </w:r>
      <w:r w:rsidRPr="008524BC">
        <w:rPr>
          <w:rFonts w:eastAsia="Times New Roman" w:cs="Times New Roman"/>
          <w:rtl/>
          <w:lang w:eastAsia="de-DE"/>
        </w:rPr>
        <w:t xml:space="preserve"> </w:t>
      </w:r>
      <w:r w:rsidRPr="008524BC">
        <w:rPr>
          <w:rFonts w:eastAsia="Times New Roman" w:cs="Times New Roman"/>
          <w:lang w:eastAsia="de-DE"/>
        </w:rPr>
        <w:t xml:space="preserve">„bringen"), </w:t>
      </w:r>
      <w:r w:rsidRPr="008524BC">
        <w:rPr>
          <w:rFonts w:eastAsia="Times New Roman" w:cs="Times New Roman"/>
          <w:b/>
          <w:bCs/>
          <w:rtl/>
          <w:lang w:eastAsia="de-DE"/>
        </w:rPr>
        <w:t>אֹתוֹ</w:t>
      </w:r>
      <w:r w:rsidRPr="008524BC">
        <w:rPr>
          <w:rFonts w:eastAsia="Times New Roman" w:cs="Times New Roman"/>
          <w:rtl/>
          <w:lang w:eastAsia="de-DE"/>
        </w:rPr>
        <w:t xml:space="preserve"> </w:t>
      </w:r>
      <w:r w:rsidRPr="008524BC">
        <w:rPr>
          <w:rFonts w:eastAsia="Times New Roman" w:cs="Times New Roman"/>
          <w:lang w:eastAsia="de-DE"/>
        </w:rPr>
        <w:t xml:space="preserve">(Akkusativpartikel mit Suffix 3. Person maskulin Singular „es"), </w:t>
      </w:r>
      <w:r w:rsidRPr="008524BC">
        <w:rPr>
          <w:rFonts w:eastAsia="Times New Roman" w:cs="Times New Roman"/>
          <w:b/>
          <w:bCs/>
          <w:rtl/>
          <w:lang w:eastAsia="de-DE"/>
        </w:rPr>
        <w:t>אֶל־אֹהֶל מוֹעֵד</w:t>
      </w:r>
      <w:r w:rsidRPr="008524BC">
        <w:rPr>
          <w:rFonts w:eastAsia="Times New Roman" w:cs="Times New Roman"/>
          <w:rtl/>
          <w:lang w:eastAsia="de-DE"/>
        </w:rPr>
        <w:t xml:space="preserve"> </w:t>
      </w:r>
      <w:r w:rsidRPr="008524BC">
        <w:rPr>
          <w:rFonts w:eastAsia="Times New Roman" w:cs="Times New Roman"/>
          <w:lang w:eastAsia="de-DE"/>
        </w:rPr>
        <w:t xml:space="preserve">(Präposition mit </w:t>
      </w:r>
      <w:r w:rsidRPr="008524BC">
        <w:rPr>
          <w:rFonts w:eastAsia="Times New Roman" w:cs="Times New Roman"/>
          <w:b/>
          <w:bCs/>
          <w:rtl/>
          <w:lang w:eastAsia="de-DE"/>
        </w:rPr>
        <w:t>אֹהֶל מוֹעֵד</w:t>
      </w:r>
      <w:r w:rsidRPr="008524BC">
        <w:rPr>
          <w:rFonts w:eastAsia="Times New Roman" w:cs="Times New Roman"/>
          <w:rtl/>
          <w:lang w:eastAsia="de-DE"/>
        </w:rPr>
        <w:t xml:space="preserve"> </w:t>
      </w:r>
      <w:r w:rsidRPr="008524BC">
        <w:rPr>
          <w:rFonts w:eastAsia="Times New Roman" w:cs="Times New Roman"/>
          <w:lang w:eastAsia="de-DE"/>
        </w:rPr>
        <w:t>„Zelt der Begegnung" „ins Zelt der Begegnung"). Das Gold wird im Heiligtum deponiert.</w:t>
      </w:r>
    </w:p>
    <w:p w14:paraId="425C9178"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rtl/>
          <w:lang w:eastAsia="de-DE"/>
        </w:rPr>
        <w:t>זִכָּרוֹן לִבְנֵי־יִשְׂרָאֵל לִפְנֵי יהוה</w:t>
      </w:r>
      <w:r w:rsidRPr="008524BC">
        <w:rPr>
          <w:rFonts w:eastAsia="Times New Roman" w:cs="Times New Roman"/>
          <w:rtl/>
          <w:lang w:eastAsia="de-DE"/>
        </w:rPr>
        <w:t xml:space="preserve"> </w:t>
      </w:r>
      <w:r w:rsidRPr="008524BC">
        <w:rPr>
          <w:rFonts w:eastAsia="Times New Roman" w:cs="Times New Roman"/>
          <w:lang w:eastAsia="de-DE"/>
        </w:rPr>
        <w:t xml:space="preserve">gibt den Zweck an. </w:t>
      </w:r>
      <w:r w:rsidRPr="008524BC">
        <w:rPr>
          <w:rFonts w:eastAsia="Times New Roman" w:cs="Times New Roman"/>
          <w:b/>
          <w:bCs/>
          <w:rtl/>
          <w:lang w:eastAsia="de-DE"/>
        </w:rPr>
        <w:t>זִכָּרוֹן</w:t>
      </w:r>
      <w:r w:rsidRPr="008524BC">
        <w:rPr>
          <w:rFonts w:eastAsia="Times New Roman" w:cs="Times New Roman"/>
          <w:rtl/>
          <w:lang w:eastAsia="de-DE"/>
        </w:rPr>
        <w:t xml:space="preserve"> </w:t>
      </w:r>
      <w:r w:rsidRPr="008524BC">
        <w:rPr>
          <w:rFonts w:eastAsia="Times New Roman" w:cs="Times New Roman"/>
          <w:lang w:eastAsia="de-DE"/>
        </w:rPr>
        <w:t xml:space="preserve">(maskulines Nomen „Gedächtnis, Erinnerung, Denkmal"), </w:t>
      </w:r>
      <w:r w:rsidRPr="008524BC">
        <w:rPr>
          <w:rFonts w:eastAsia="Times New Roman" w:cs="Times New Roman"/>
          <w:b/>
          <w:bCs/>
          <w:rtl/>
          <w:lang w:eastAsia="de-DE"/>
        </w:rPr>
        <w:t>לִבְנֵי־יִשְׂרָאֵל</w:t>
      </w:r>
      <w:r w:rsidRPr="008524BC">
        <w:rPr>
          <w:rFonts w:eastAsia="Times New Roman" w:cs="Times New Roman"/>
          <w:rtl/>
          <w:lang w:eastAsia="de-DE"/>
        </w:rPr>
        <w:t xml:space="preserve"> </w:t>
      </w:r>
      <w:r w:rsidRPr="008524BC">
        <w:rPr>
          <w:rFonts w:eastAsia="Times New Roman" w:cs="Times New Roman"/>
          <w:lang w:eastAsia="de-DE"/>
        </w:rPr>
        <w:t xml:space="preserve">(Präposition </w:t>
      </w:r>
      <w:r w:rsidRPr="008524BC">
        <w:rPr>
          <w:rFonts w:eastAsia="Times New Roman" w:cs="Times New Roman"/>
          <w:b/>
          <w:bCs/>
          <w:rtl/>
          <w:lang w:eastAsia="de-DE"/>
        </w:rPr>
        <w:t>לְ</w:t>
      </w:r>
      <w:r w:rsidRPr="008524BC">
        <w:rPr>
          <w:rFonts w:eastAsia="Times New Roman" w:cs="Times New Roman"/>
          <w:rtl/>
          <w:lang w:eastAsia="de-DE"/>
        </w:rPr>
        <w:t xml:space="preserve"> </w:t>
      </w:r>
      <w:r w:rsidRPr="008524BC">
        <w:rPr>
          <w:rFonts w:eastAsia="Times New Roman" w:cs="Times New Roman"/>
          <w:lang w:eastAsia="de-DE"/>
        </w:rPr>
        <w:t xml:space="preserve">mit „Söhne Israels" „für die Söhne Israels"), </w:t>
      </w:r>
      <w:r w:rsidRPr="008524BC">
        <w:rPr>
          <w:rFonts w:eastAsia="Times New Roman" w:cs="Times New Roman"/>
          <w:b/>
          <w:bCs/>
          <w:rtl/>
          <w:lang w:eastAsia="de-DE"/>
        </w:rPr>
        <w:t>לִפְנֵי יהוה</w:t>
      </w:r>
      <w:r w:rsidRPr="008524BC">
        <w:rPr>
          <w:rFonts w:eastAsia="Times New Roman" w:cs="Times New Roman"/>
          <w:rtl/>
          <w:lang w:eastAsia="de-DE"/>
        </w:rPr>
        <w:t xml:space="preserve"> </w:t>
      </w:r>
      <w:r w:rsidRPr="008524BC">
        <w:rPr>
          <w:rFonts w:eastAsia="Times New Roman" w:cs="Times New Roman"/>
          <w:lang w:eastAsia="de-DE"/>
        </w:rPr>
        <w:t>(Präposition mit Tetragramm „vor dem Ewigen"). Das Gold dient als dauerndes Denkmal des göttlichen Schutzes im Krieg gegen Midian und der Dankbarkeit der Offiziere.</w:t>
      </w:r>
    </w:p>
    <w:p w14:paraId="2B6CF9B2"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Die Satzstruktur zeigt zwei koordinierte Wayyiqtol-Sätze (nahmen, brachten), gefolgt von einer Zweckbestimmung (als Gedächtnis).</w:t>
      </w:r>
    </w:p>
    <w:p w14:paraId="0EB3D9F0"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Der Vers schließt das Kapitel feierlich ab: Das Gold wird im Heiligtum deponiert als bleibendes Gedächtnis vor Gott - ein Zeugnis des wunderbaren göttlichen Schutzes, der alle 12.000 Krieger ohne einen einzigen Verlust durch den Krieg führte.</w:t>
      </w:r>
    </w:p>
    <w:p w14:paraId="24BC8F7A" w14:textId="77777777" w:rsidR="008524BC" w:rsidRPr="008524BC" w:rsidRDefault="00F329DD" w:rsidP="008524BC">
      <w:pPr>
        <w:spacing w:after="0" w:line="240" w:lineRule="auto"/>
        <w:rPr>
          <w:rFonts w:eastAsia="Times New Roman" w:cs="Times New Roman"/>
          <w:lang w:eastAsia="de-DE"/>
        </w:rPr>
      </w:pPr>
      <w:r>
        <w:rPr>
          <w:rFonts w:eastAsia="Times New Roman" w:cs="Times New Roman"/>
          <w:noProof/>
          <w:lang w:eastAsia="de-DE"/>
        </w:rPr>
        <w:pict w14:anchorId="3114E444">
          <v:rect id="_x0000_i1986" style="width:0;height:1.5pt" o:hralign="center" o:hrstd="t" o:hr="t" fillcolor="#a0a0a0" stroked="f"/>
        </w:pict>
      </w:r>
    </w:p>
    <w:p w14:paraId="12041EEF" w14:textId="77777777" w:rsidR="008524BC" w:rsidRDefault="008524BC" w:rsidP="006E39D1">
      <w:pPr>
        <w:spacing w:before="100" w:beforeAutospacing="1" w:after="100" w:afterAutospacing="1" w:line="240" w:lineRule="auto"/>
      </w:pPr>
      <w:r>
        <w:t xml:space="preserve">Das Kapitel 31 beschreibt Moses letzten militärischen Auftrag: </w:t>
      </w:r>
    </w:p>
    <w:p w14:paraId="70211C2F" w14:textId="77777777" w:rsidR="008524BC" w:rsidRDefault="008524BC" w:rsidP="00C15C06">
      <w:pPr>
        <w:pStyle w:val="Listenabsatz"/>
        <w:numPr>
          <w:ilvl w:val="0"/>
          <w:numId w:val="23"/>
        </w:numPr>
        <w:spacing w:before="100" w:beforeAutospacing="1" w:after="100" w:afterAutospacing="1" w:line="240" w:lineRule="auto"/>
      </w:pPr>
      <w:r>
        <w:t xml:space="preserve">den Vergeltungskrieg gegen Midian wegen der Verführung Israels zum Baal-Peor-Kult (V. 1-2). </w:t>
      </w:r>
    </w:p>
    <w:p w14:paraId="4ACC0F31" w14:textId="11071398" w:rsidR="008524BC" w:rsidRDefault="008524BC" w:rsidP="00C15C06">
      <w:pPr>
        <w:pStyle w:val="Listenabsatz"/>
        <w:numPr>
          <w:ilvl w:val="0"/>
          <w:numId w:val="23"/>
        </w:numPr>
        <w:spacing w:before="100" w:beforeAutospacing="1" w:after="100" w:afterAutospacing="1" w:line="240" w:lineRule="auto"/>
      </w:pPr>
      <w:r>
        <w:t>12.000 Israeliten unter Pinchas besiegen die Midianiter, töten alle Männer einschließlich der fünf Könige und Bileam (V. 3-8)</w:t>
      </w:r>
    </w:p>
    <w:p w14:paraId="04060E01" w14:textId="57875F5F" w:rsidR="008524BC" w:rsidRDefault="008524BC" w:rsidP="00C15C06">
      <w:pPr>
        <w:pStyle w:val="Listenabsatz"/>
        <w:numPr>
          <w:ilvl w:val="0"/>
          <w:numId w:val="23"/>
        </w:numPr>
        <w:spacing w:before="100" w:beforeAutospacing="1" w:after="100" w:afterAutospacing="1" w:line="240" w:lineRule="auto"/>
      </w:pPr>
      <w:r>
        <w:t xml:space="preserve">und erbeuten große Mengen Vieh sowie Frauen und Kinder (V. 9-12). </w:t>
      </w:r>
    </w:p>
    <w:p w14:paraId="6816D471" w14:textId="77777777" w:rsidR="008524BC" w:rsidRDefault="008524BC" w:rsidP="00C15C06">
      <w:pPr>
        <w:pStyle w:val="Listenabsatz"/>
        <w:numPr>
          <w:ilvl w:val="0"/>
          <w:numId w:val="23"/>
        </w:numPr>
        <w:spacing w:before="100" w:beforeAutospacing="1" w:after="100" w:afterAutospacing="1" w:line="240" w:lineRule="auto"/>
      </w:pPr>
      <w:r>
        <w:t xml:space="preserve">Mose befiehlt die Tötung aller männlichen Kinder und nicht-jungfräulichen Frauen, da diese Israel verführt hatten (V. 13-18). </w:t>
      </w:r>
    </w:p>
    <w:p w14:paraId="24DB6D91" w14:textId="77777777" w:rsidR="008524BC" w:rsidRDefault="008524BC" w:rsidP="00C15C06">
      <w:pPr>
        <w:pStyle w:val="Listenabsatz"/>
        <w:numPr>
          <w:ilvl w:val="0"/>
          <w:numId w:val="23"/>
        </w:numPr>
        <w:spacing w:before="100" w:beforeAutospacing="1" w:after="100" w:afterAutospacing="1" w:line="240" w:lineRule="auto"/>
      </w:pPr>
      <w:r>
        <w:t>Die Krieger durchlaufen eine siebentägige Reinigungszeremonie (V. 19-24).</w:t>
      </w:r>
    </w:p>
    <w:p w14:paraId="67EFCC27" w14:textId="4EE0E5C4" w:rsidR="008524BC" w:rsidRDefault="008524BC" w:rsidP="00C15C06">
      <w:pPr>
        <w:pStyle w:val="Listenabsatz"/>
        <w:numPr>
          <w:ilvl w:val="0"/>
          <w:numId w:val="23"/>
        </w:numPr>
        <w:spacing w:before="100" w:beforeAutospacing="1" w:after="100" w:afterAutospacing="1" w:line="240" w:lineRule="auto"/>
      </w:pPr>
      <w:r>
        <w:t xml:space="preserve"> Die Beute wird hälftig zwischen Kämpfern und Gemeinde geteilt, wobei je eine Steuer für Priester (0,2%) und Leviten (2%) erhoben wird (V. 25-47). </w:t>
      </w:r>
    </w:p>
    <w:p w14:paraId="0C3D608F" w14:textId="5122E413" w:rsidR="00CF5304" w:rsidRDefault="008524BC" w:rsidP="006E39D1">
      <w:pPr>
        <w:spacing w:before="100" w:beforeAutospacing="1" w:after="100" w:afterAutospacing="1" w:line="240" w:lineRule="auto"/>
      </w:pPr>
      <w:r>
        <w:t>Da kein einziger Israelit gefallen ist, bringen die Offiziere freiwillig 16.750 Schekel Gold (ca. 191 kg) als Dankopfer dar, das im Heiligtum als ewiges Gedächtnis deponiert wird (V. 48-54).</w:t>
      </w:r>
    </w:p>
    <w:p w14:paraId="42948ACA" w14:textId="480256D7" w:rsidR="00EF1857" w:rsidRPr="00603EFB" w:rsidRDefault="00EF1857" w:rsidP="006E39D1">
      <w:pPr>
        <w:spacing w:before="100" w:beforeAutospacing="1" w:after="100" w:afterAutospacing="1" w:line="240" w:lineRule="auto"/>
        <w:rPr>
          <w:rFonts w:eastAsia="Times New Roman" w:cs="Times New Roman"/>
          <w:i/>
          <w:iCs/>
          <w:lang w:eastAsia="de-DE"/>
        </w:rPr>
      </w:pPr>
      <w:r>
        <w:rPr>
          <w:rStyle w:val="Fett"/>
        </w:rPr>
        <w:t>Allgemeine Beobachtung:</w:t>
      </w:r>
      <w:r>
        <w:t xml:space="preserve"> Die LXX verwendet durchgängig „τέλος" (Steuer/Abgabe) für „</w:t>
      </w:r>
      <w:r>
        <w:rPr>
          <w:rtl/>
        </w:rPr>
        <w:t>מֶכֶס</w:t>
      </w:r>
      <w:r>
        <w:t>" (Steuer) und „ἀφαίρεμα" (Abnahme/Erhebung) für „</w:t>
      </w:r>
      <w:r>
        <w:rPr>
          <w:rtl/>
        </w:rPr>
        <w:t>תְּרוּמָה</w:t>
      </w:r>
      <w:r>
        <w:t>" (Hebopfer). Die numerischen Angaben bleiben in beiden Texten identisch, aber die Terminologie für rituelle Reinigung und Opfergaben unterscheidet sich leicht.</w:t>
      </w:r>
    </w:p>
    <w:p w14:paraId="0032C15F" w14:textId="77777777" w:rsidR="008524BC" w:rsidRPr="008524BC" w:rsidRDefault="008524BC" w:rsidP="008524BC">
      <w:pPr>
        <w:spacing w:before="100" w:beforeAutospacing="1" w:after="100" w:afterAutospacing="1" w:line="240" w:lineRule="auto"/>
        <w:outlineLvl w:val="0"/>
        <w:rPr>
          <w:rFonts w:eastAsia="Times New Roman" w:cs="Times New Roman"/>
          <w:b/>
          <w:bCs/>
          <w:kern w:val="36"/>
          <w:sz w:val="48"/>
          <w:szCs w:val="48"/>
          <w:lang w:eastAsia="de-DE"/>
        </w:rPr>
      </w:pPr>
      <w:r w:rsidRPr="008524BC">
        <w:rPr>
          <w:rFonts w:eastAsia="Times New Roman" w:cs="Times New Roman"/>
          <w:b/>
          <w:bCs/>
          <w:kern w:val="36"/>
          <w:sz w:val="48"/>
          <w:szCs w:val="48"/>
          <w:lang w:eastAsia="de-DE"/>
        </w:rPr>
        <w:t>Numeri 32,1</w:t>
      </w:r>
    </w:p>
    <w:p w14:paraId="3631092B"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lastRenderedPageBreak/>
        <w:t>Hebräisch:</w:t>
      </w:r>
      <w:r w:rsidRPr="008524BC">
        <w:rPr>
          <w:rFonts w:eastAsia="Times New Roman" w:cs="Times New Roman"/>
          <w:lang w:eastAsia="de-DE"/>
        </w:rPr>
        <w:t xml:space="preserve"> </w:t>
      </w:r>
      <w:r w:rsidRPr="008524BC">
        <w:rPr>
          <w:rFonts w:eastAsia="Times New Roman" w:cs="Times New Roman"/>
          <w:rtl/>
          <w:lang w:eastAsia="de-DE"/>
        </w:rPr>
        <w:t>וּמִקְנֶ֣ה׀ רַ֗ב הָיָ֞ה לִבְנֵ֧י רְאוּבֵ֛ן וְלִבְנֵי־גָ֖ד עָצ֣וּם מְאֹ֑ד וַיִּרְא֞וּ אֶת־אֶ֤רֶץ יַעְזֵר֙ וְאֶת־אֶ֣רֶץ גִּלְעָ֔ד וְהִנֵּ֥ה הַמָּק֖וֹם מְק֥וֹם מִקְנֶֽה׃</w:t>
      </w:r>
    </w:p>
    <w:p w14:paraId="12397E2F"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Deutsch:</w:t>
      </w:r>
      <w:r w:rsidRPr="008524BC">
        <w:rPr>
          <w:rFonts w:eastAsia="Times New Roman" w:cs="Times New Roman"/>
          <w:lang w:eastAsia="de-DE"/>
        </w:rPr>
        <w:t xml:space="preserve"> Und die Söhne Re'uven und die Söhne Gad hatten viel Vieh, sehr zahlreich; und sie sahen das Land Ja'ser und das Land Gil'ad, und siehe, der Ort war ein Ort für Vieh.</w:t>
      </w:r>
    </w:p>
    <w:p w14:paraId="42AA7E7B" w14:textId="77777777" w:rsidR="008524BC" w:rsidRPr="008524BC" w:rsidRDefault="00F329DD" w:rsidP="008524BC">
      <w:pPr>
        <w:spacing w:after="0" w:line="240" w:lineRule="auto"/>
        <w:rPr>
          <w:rFonts w:eastAsia="Times New Roman" w:cs="Times New Roman"/>
          <w:lang w:eastAsia="de-DE"/>
        </w:rPr>
      </w:pPr>
      <w:r>
        <w:rPr>
          <w:rFonts w:eastAsia="Times New Roman" w:cs="Times New Roman"/>
          <w:noProof/>
          <w:lang w:eastAsia="de-DE"/>
        </w:rPr>
        <w:pict w14:anchorId="2C09C71D">
          <v:rect id="_x0000_i1987" style="width:0;height:1.5pt" o:hralign="center" o:hrstd="t" o:hr="t" fillcolor="#a0a0a0" stroked="f"/>
        </w:pict>
      </w:r>
    </w:p>
    <w:p w14:paraId="21C3115F"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Kommentar:</w:t>
      </w:r>
      <w:r w:rsidRPr="008524BC">
        <w:rPr>
          <w:rFonts w:eastAsia="Times New Roman" w:cs="Times New Roman"/>
          <w:lang w:eastAsia="de-DE"/>
        </w:rPr>
        <w:t xml:space="preserve"> Der Vers setzt die Situation für den Konflikt. </w:t>
      </w:r>
      <w:r w:rsidRPr="008524BC">
        <w:rPr>
          <w:rFonts w:eastAsia="Times New Roman" w:cs="Times New Roman"/>
          <w:b/>
          <w:bCs/>
          <w:rtl/>
          <w:lang w:eastAsia="de-DE"/>
        </w:rPr>
        <w:t>וּמִקְנֶה רַב הָיָה לִבְנֵי רְאוּבֵן וְלִבְנֵי־גָד עָצוּם מְאֹד</w:t>
      </w:r>
      <w:r w:rsidRPr="008524BC">
        <w:rPr>
          <w:rFonts w:eastAsia="Times New Roman" w:cs="Times New Roman"/>
          <w:rtl/>
          <w:lang w:eastAsia="de-DE"/>
        </w:rPr>
        <w:t xml:space="preserve"> </w:t>
      </w:r>
      <w:r w:rsidRPr="008524BC">
        <w:rPr>
          <w:rFonts w:eastAsia="Times New Roman" w:cs="Times New Roman"/>
          <w:lang w:eastAsia="de-DE"/>
        </w:rPr>
        <w:t xml:space="preserve">beschreibt den Besitz. </w:t>
      </w:r>
      <w:r w:rsidRPr="008524BC">
        <w:rPr>
          <w:rFonts w:eastAsia="Times New Roman" w:cs="Times New Roman"/>
          <w:b/>
          <w:bCs/>
          <w:rtl/>
          <w:lang w:eastAsia="de-DE"/>
        </w:rPr>
        <w:t>וּמִקְנֶה רַב</w:t>
      </w:r>
      <w:r w:rsidRPr="008524BC">
        <w:rPr>
          <w:rFonts w:eastAsia="Times New Roman" w:cs="Times New Roman"/>
          <w:rtl/>
          <w:lang w:eastAsia="de-DE"/>
        </w:rPr>
        <w:t xml:space="preserve"> </w:t>
      </w:r>
      <w:r w:rsidRPr="008524BC">
        <w:rPr>
          <w:rFonts w:eastAsia="Times New Roman" w:cs="Times New Roman"/>
          <w:lang w:eastAsia="de-DE"/>
        </w:rPr>
        <w:t xml:space="preserve">(Konjunktion mit </w:t>
      </w:r>
      <w:r w:rsidRPr="008524BC">
        <w:rPr>
          <w:rFonts w:eastAsia="Times New Roman" w:cs="Times New Roman"/>
          <w:b/>
          <w:bCs/>
          <w:rtl/>
          <w:lang w:eastAsia="de-DE"/>
        </w:rPr>
        <w:t>מִקְנֶה</w:t>
      </w:r>
      <w:r w:rsidRPr="008524BC">
        <w:rPr>
          <w:rFonts w:eastAsia="Times New Roman" w:cs="Times New Roman"/>
          <w:rtl/>
          <w:lang w:eastAsia="de-DE"/>
        </w:rPr>
        <w:t xml:space="preserve"> </w:t>
      </w:r>
      <w:r w:rsidRPr="008524BC">
        <w:rPr>
          <w:rFonts w:eastAsia="Times New Roman" w:cs="Times New Roman"/>
          <w:lang w:eastAsia="de-DE"/>
        </w:rPr>
        <w:t xml:space="preserve">„Vieh, Viehbesitz" und </w:t>
      </w:r>
      <w:r w:rsidRPr="008524BC">
        <w:rPr>
          <w:rFonts w:eastAsia="Times New Roman" w:cs="Times New Roman"/>
          <w:b/>
          <w:bCs/>
          <w:rtl/>
          <w:lang w:eastAsia="de-DE"/>
        </w:rPr>
        <w:t>רַב</w:t>
      </w:r>
      <w:r w:rsidRPr="008524BC">
        <w:rPr>
          <w:rFonts w:eastAsia="Times New Roman" w:cs="Times New Roman"/>
          <w:rtl/>
          <w:lang w:eastAsia="de-DE"/>
        </w:rPr>
        <w:t xml:space="preserve"> </w:t>
      </w:r>
      <w:r w:rsidRPr="008524BC">
        <w:rPr>
          <w:rFonts w:eastAsia="Times New Roman" w:cs="Times New Roman"/>
          <w:lang w:eastAsia="de-DE"/>
        </w:rPr>
        <w:t xml:space="preserve">„viel, zahlreich" „viel Vieh"), </w:t>
      </w:r>
      <w:r w:rsidRPr="008524BC">
        <w:rPr>
          <w:rFonts w:eastAsia="Times New Roman" w:cs="Times New Roman"/>
          <w:b/>
          <w:bCs/>
          <w:rtl/>
          <w:lang w:eastAsia="de-DE"/>
        </w:rPr>
        <w:t>הָיָה</w:t>
      </w:r>
      <w:r w:rsidRPr="008524BC">
        <w:rPr>
          <w:rFonts w:eastAsia="Times New Roman" w:cs="Times New Roman"/>
          <w:rtl/>
          <w:lang w:eastAsia="de-DE"/>
        </w:rPr>
        <w:t xml:space="preserve"> </w:t>
      </w:r>
      <w:r w:rsidRPr="008524BC">
        <w:rPr>
          <w:rFonts w:eastAsia="Times New Roman" w:cs="Times New Roman"/>
          <w:lang w:eastAsia="de-DE"/>
        </w:rPr>
        <w:t xml:space="preserve">(Qal Perfekt 3. Person maskulin Singular von </w:t>
      </w:r>
      <w:r w:rsidRPr="008524BC">
        <w:rPr>
          <w:rFonts w:eastAsia="Times New Roman" w:cs="Times New Roman"/>
          <w:b/>
          <w:bCs/>
          <w:rtl/>
          <w:lang w:eastAsia="de-DE"/>
        </w:rPr>
        <w:t>היה</w:t>
      </w:r>
      <w:r w:rsidRPr="008524BC">
        <w:rPr>
          <w:rFonts w:eastAsia="Times New Roman" w:cs="Times New Roman"/>
          <w:rtl/>
          <w:lang w:eastAsia="de-DE"/>
        </w:rPr>
        <w:t xml:space="preserve"> </w:t>
      </w:r>
      <w:r w:rsidRPr="008524BC">
        <w:rPr>
          <w:rFonts w:eastAsia="Times New Roman" w:cs="Times New Roman"/>
          <w:lang w:eastAsia="de-DE"/>
        </w:rPr>
        <w:t xml:space="preserve">„sein, haben"), </w:t>
      </w:r>
      <w:r w:rsidRPr="008524BC">
        <w:rPr>
          <w:rFonts w:eastAsia="Times New Roman" w:cs="Times New Roman"/>
          <w:b/>
          <w:bCs/>
          <w:rtl/>
          <w:lang w:eastAsia="de-DE"/>
        </w:rPr>
        <w:t>לִבְנֵי רְאוּבֵן וְלִבְנֵי־גָד</w:t>
      </w:r>
      <w:r w:rsidRPr="008524BC">
        <w:rPr>
          <w:rFonts w:eastAsia="Times New Roman" w:cs="Times New Roman"/>
          <w:rtl/>
          <w:lang w:eastAsia="de-DE"/>
        </w:rPr>
        <w:t xml:space="preserve"> </w:t>
      </w:r>
      <w:r w:rsidRPr="008524BC">
        <w:rPr>
          <w:rFonts w:eastAsia="Times New Roman" w:cs="Times New Roman"/>
          <w:lang w:eastAsia="de-DE"/>
        </w:rPr>
        <w:t xml:space="preserve">(Präposition </w:t>
      </w:r>
      <w:r w:rsidRPr="008524BC">
        <w:rPr>
          <w:rFonts w:eastAsia="Times New Roman" w:cs="Times New Roman"/>
          <w:b/>
          <w:bCs/>
          <w:rtl/>
          <w:lang w:eastAsia="de-DE"/>
        </w:rPr>
        <w:t>לְ</w:t>
      </w:r>
      <w:r w:rsidRPr="008524BC">
        <w:rPr>
          <w:rFonts w:eastAsia="Times New Roman" w:cs="Times New Roman"/>
          <w:rtl/>
          <w:lang w:eastAsia="de-DE"/>
        </w:rPr>
        <w:t xml:space="preserve"> </w:t>
      </w:r>
      <w:r w:rsidRPr="008524BC">
        <w:rPr>
          <w:rFonts w:eastAsia="Times New Roman" w:cs="Times New Roman"/>
          <w:lang w:eastAsia="de-DE"/>
        </w:rPr>
        <w:t xml:space="preserve">mit „Söhne Rubens und Söhne Gads"), </w:t>
      </w:r>
      <w:r w:rsidRPr="008524BC">
        <w:rPr>
          <w:rFonts w:eastAsia="Times New Roman" w:cs="Times New Roman"/>
          <w:b/>
          <w:bCs/>
          <w:rtl/>
          <w:lang w:eastAsia="de-DE"/>
        </w:rPr>
        <w:t>עָצוּם מְאֹד</w:t>
      </w:r>
      <w:r w:rsidRPr="008524BC">
        <w:rPr>
          <w:rFonts w:eastAsia="Times New Roman" w:cs="Times New Roman"/>
          <w:rtl/>
          <w:lang w:eastAsia="de-DE"/>
        </w:rPr>
        <w:t xml:space="preserve"> </w:t>
      </w:r>
      <w:r w:rsidRPr="008524BC">
        <w:rPr>
          <w:rFonts w:eastAsia="Times New Roman" w:cs="Times New Roman"/>
          <w:lang w:eastAsia="de-DE"/>
        </w:rPr>
        <w:t xml:space="preserve">(Adjektiv </w:t>
      </w:r>
      <w:r w:rsidRPr="008524BC">
        <w:rPr>
          <w:rFonts w:eastAsia="Times New Roman" w:cs="Times New Roman"/>
          <w:b/>
          <w:bCs/>
          <w:rtl/>
          <w:lang w:eastAsia="de-DE"/>
        </w:rPr>
        <w:t>עָצוּם</w:t>
      </w:r>
      <w:r w:rsidRPr="008524BC">
        <w:rPr>
          <w:rFonts w:eastAsia="Times New Roman" w:cs="Times New Roman"/>
          <w:rtl/>
          <w:lang w:eastAsia="de-DE"/>
        </w:rPr>
        <w:t xml:space="preserve"> </w:t>
      </w:r>
      <w:r w:rsidRPr="008524BC">
        <w:rPr>
          <w:rFonts w:eastAsia="Times New Roman" w:cs="Times New Roman"/>
          <w:lang w:eastAsia="de-DE"/>
        </w:rPr>
        <w:t xml:space="preserve">„zahlreich, gewaltig" und Adverb </w:t>
      </w:r>
      <w:r w:rsidRPr="008524BC">
        <w:rPr>
          <w:rFonts w:eastAsia="Times New Roman" w:cs="Times New Roman"/>
          <w:b/>
          <w:bCs/>
          <w:rtl/>
          <w:lang w:eastAsia="de-DE"/>
        </w:rPr>
        <w:t>מְאֹד</w:t>
      </w:r>
      <w:r w:rsidRPr="008524BC">
        <w:rPr>
          <w:rFonts w:eastAsia="Times New Roman" w:cs="Times New Roman"/>
          <w:rtl/>
          <w:lang w:eastAsia="de-DE"/>
        </w:rPr>
        <w:t xml:space="preserve"> </w:t>
      </w:r>
      <w:r w:rsidRPr="008524BC">
        <w:rPr>
          <w:rFonts w:eastAsia="Times New Roman" w:cs="Times New Roman"/>
          <w:lang w:eastAsia="de-DE"/>
        </w:rPr>
        <w:t>„sehr" „sehr zahlreich"). Die doppelte Betonung (viel Vieh, sehr zahlreich) unterstreicht den enormen Viehreichtum.</w:t>
      </w:r>
    </w:p>
    <w:p w14:paraId="2C2199EE" w14:textId="75E27941" w:rsidR="008524BC" w:rsidRPr="008524BC" w:rsidRDefault="008524BC" w:rsidP="00460FCC">
      <w:pPr>
        <w:spacing w:before="100" w:beforeAutospacing="1" w:after="100" w:afterAutospacing="1" w:line="240" w:lineRule="auto"/>
        <w:rPr>
          <w:rFonts w:eastAsia="Times New Roman" w:cs="Times New Roman"/>
          <w:lang w:eastAsia="de-DE"/>
        </w:rPr>
      </w:pPr>
      <w:r w:rsidRPr="008524BC">
        <w:rPr>
          <w:rFonts w:eastAsia="Times New Roman" w:cs="Times New Roman"/>
          <w:b/>
          <w:bCs/>
          <w:rtl/>
          <w:lang w:eastAsia="de-DE"/>
        </w:rPr>
        <w:t>וַיִּרְאוּ אֶת־אֶרֶץ יַעְזֵר וְאֶת־אֶרֶץ גִּלְעָד וְהִנֵּה הַמָּקוֹם מְקוֹם מִקְנֶה</w:t>
      </w:r>
      <w:r w:rsidRPr="008524BC">
        <w:rPr>
          <w:rFonts w:eastAsia="Times New Roman" w:cs="Times New Roman"/>
          <w:rtl/>
          <w:lang w:eastAsia="de-DE"/>
        </w:rPr>
        <w:t xml:space="preserve"> </w:t>
      </w:r>
      <w:r w:rsidRPr="008524BC">
        <w:rPr>
          <w:rFonts w:eastAsia="Times New Roman" w:cs="Times New Roman"/>
          <w:lang w:eastAsia="de-DE"/>
        </w:rPr>
        <w:t xml:space="preserve">zeigt die Erkenntnis. </w:t>
      </w:r>
      <w:r w:rsidRPr="008524BC">
        <w:rPr>
          <w:rFonts w:eastAsia="Times New Roman" w:cs="Times New Roman"/>
          <w:b/>
          <w:bCs/>
          <w:rtl/>
          <w:lang w:eastAsia="de-DE"/>
        </w:rPr>
        <w:t>וַיִּרְאוּ</w:t>
      </w:r>
      <w:r w:rsidRPr="008524BC">
        <w:rPr>
          <w:rFonts w:eastAsia="Times New Roman" w:cs="Times New Roman"/>
          <w:rtl/>
          <w:lang w:eastAsia="de-DE"/>
        </w:rPr>
        <w:t xml:space="preserve"> </w:t>
      </w:r>
      <w:r w:rsidRPr="008524BC">
        <w:rPr>
          <w:rFonts w:eastAsia="Times New Roman" w:cs="Times New Roman"/>
          <w:lang w:eastAsia="de-DE"/>
        </w:rPr>
        <w:t xml:space="preserve">(Qal Wayyiqtol 3. Person Plural von </w:t>
      </w:r>
      <w:r w:rsidRPr="008524BC">
        <w:rPr>
          <w:rFonts w:eastAsia="Times New Roman" w:cs="Times New Roman"/>
          <w:b/>
          <w:bCs/>
          <w:rtl/>
          <w:lang w:eastAsia="de-DE"/>
        </w:rPr>
        <w:t>ראה</w:t>
      </w:r>
      <w:r w:rsidRPr="008524BC">
        <w:rPr>
          <w:rFonts w:eastAsia="Times New Roman" w:cs="Times New Roman"/>
          <w:rtl/>
          <w:lang w:eastAsia="de-DE"/>
        </w:rPr>
        <w:t xml:space="preserve"> </w:t>
      </w:r>
      <w:r w:rsidRPr="008524BC">
        <w:rPr>
          <w:rFonts w:eastAsia="Times New Roman" w:cs="Times New Roman"/>
          <w:lang w:eastAsia="de-DE"/>
        </w:rPr>
        <w:t xml:space="preserve">„sehen"), </w:t>
      </w:r>
      <w:r w:rsidRPr="008524BC">
        <w:rPr>
          <w:rFonts w:eastAsia="Times New Roman" w:cs="Times New Roman"/>
          <w:b/>
          <w:bCs/>
          <w:rtl/>
          <w:lang w:eastAsia="de-DE"/>
        </w:rPr>
        <w:t>אֶת־אֶרֶץ יַעְזֵר וְאֶת־אֶרֶץ גִּלְעָד</w:t>
      </w:r>
      <w:r w:rsidRPr="008524BC">
        <w:rPr>
          <w:rFonts w:eastAsia="Times New Roman" w:cs="Times New Roman"/>
          <w:rtl/>
          <w:lang w:eastAsia="de-DE"/>
        </w:rPr>
        <w:t xml:space="preserve"> </w:t>
      </w:r>
      <w:r w:rsidRPr="008524BC">
        <w:rPr>
          <w:rFonts w:eastAsia="Times New Roman" w:cs="Times New Roman"/>
          <w:lang w:eastAsia="de-DE"/>
        </w:rPr>
        <w:t xml:space="preserve">(zwei Akkusativobjekte: „das Land Jaeser und das Land Gilead"), eroberte Gebiete östlich des Jordan (Num 21,32; 32,1). </w:t>
      </w:r>
      <w:r w:rsidRPr="008524BC">
        <w:rPr>
          <w:rFonts w:eastAsia="Times New Roman" w:cs="Times New Roman"/>
          <w:b/>
          <w:bCs/>
          <w:rtl/>
          <w:lang w:eastAsia="de-DE"/>
        </w:rPr>
        <w:t>וְהִנֵּה הַמָּקוֹם מְקוֹם מִקְנֶה</w:t>
      </w:r>
      <w:r w:rsidRPr="008524BC">
        <w:rPr>
          <w:rFonts w:eastAsia="Times New Roman" w:cs="Times New Roman"/>
          <w:rtl/>
          <w:lang w:eastAsia="de-DE"/>
        </w:rPr>
        <w:t xml:space="preserve"> </w:t>
      </w:r>
      <w:r w:rsidRPr="008524BC">
        <w:rPr>
          <w:rFonts w:eastAsia="Times New Roman" w:cs="Times New Roman"/>
          <w:lang w:eastAsia="de-DE"/>
        </w:rPr>
        <w:t xml:space="preserve">(Konjunktion mit Interjektion </w:t>
      </w:r>
      <w:r w:rsidRPr="008524BC">
        <w:rPr>
          <w:rFonts w:eastAsia="Times New Roman" w:cs="Times New Roman"/>
          <w:b/>
          <w:bCs/>
          <w:rtl/>
          <w:lang w:eastAsia="de-DE"/>
        </w:rPr>
        <w:t>הִנֵּה</w:t>
      </w:r>
      <w:r w:rsidRPr="008524BC">
        <w:rPr>
          <w:rFonts w:eastAsia="Times New Roman" w:cs="Times New Roman"/>
          <w:rtl/>
          <w:lang w:eastAsia="de-DE"/>
        </w:rPr>
        <w:t xml:space="preserve"> </w:t>
      </w:r>
      <w:r w:rsidRPr="008524BC">
        <w:rPr>
          <w:rFonts w:eastAsia="Times New Roman" w:cs="Times New Roman"/>
          <w:lang w:eastAsia="de-DE"/>
        </w:rPr>
        <w:t xml:space="preserve">„siehe", </w:t>
      </w:r>
      <w:r w:rsidRPr="008524BC">
        <w:rPr>
          <w:rFonts w:eastAsia="Times New Roman" w:cs="Times New Roman"/>
          <w:b/>
          <w:bCs/>
          <w:rtl/>
          <w:lang w:eastAsia="de-DE"/>
        </w:rPr>
        <w:t>הַמָּקוֹם</w:t>
      </w:r>
      <w:r w:rsidRPr="008524BC">
        <w:rPr>
          <w:rFonts w:eastAsia="Times New Roman" w:cs="Times New Roman"/>
          <w:rtl/>
          <w:lang w:eastAsia="de-DE"/>
        </w:rPr>
        <w:t xml:space="preserve"> </w:t>
      </w:r>
      <w:r w:rsidRPr="008524BC">
        <w:rPr>
          <w:rFonts w:eastAsia="Times New Roman" w:cs="Times New Roman"/>
          <w:lang w:eastAsia="de-DE"/>
        </w:rPr>
        <w:t xml:space="preserve">„der Ort" mit Artikel und </w:t>
      </w:r>
      <w:r w:rsidRPr="008524BC">
        <w:rPr>
          <w:rFonts w:eastAsia="Times New Roman" w:cs="Times New Roman"/>
          <w:b/>
          <w:bCs/>
          <w:rtl/>
          <w:lang w:eastAsia="de-DE"/>
        </w:rPr>
        <w:t>מְקוֹם מִקְנֶה</w:t>
      </w:r>
      <w:r w:rsidRPr="008524BC">
        <w:rPr>
          <w:rFonts w:eastAsia="Times New Roman" w:cs="Times New Roman"/>
          <w:rtl/>
          <w:lang w:eastAsia="de-DE"/>
        </w:rPr>
        <w:t xml:space="preserve"> </w:t>
      </w:r>
      <w:r w:rsidRPr="008524BC">
        <w:rPr>
          <w:rFonts w:eastAsia="Times New Roman" w:cs="Times New Roman"/>
          <w:lang w:eastAsia="de-DE"/>
        </w:rPr>
        <w:t xml:space="preserve">„ein Ort für Vieh" - die Wiederholung von </w:t>
      </w:r>
      <w:r w:rsidRPr="008524BC">
        <w:rPr>
          <w:rFonts w:eastAsia="Times New Roman" w:cs="Times New Roman"/>
          <w:b/>
          <w:bCs/>
          <w:rtl/>
          <w:lang w:eastAsia="de-DE"/>
        </w:rPr>
        <w:t>מָקוֹם</w:t>
      </w:r>
      <w:r w:rsidRPr="008524BC">
        <w:rPr>
          <w:rFonts w:eastAsia="Times New Roman" w:cs="Times New Roman"/>
          <w:rtl/>
          <w:lang w:eastAsia="de-DE"/>
        </w:rPr>
        <w:t xml:space="preserve"> </w:t>
      </w:r>
      <w:r w:rsidRPr="008524BC">
        <w:rPr>
          <w:rFonts w:eastAsia="Times New Roman" w:cs="Times New Roman"/>
          <w:lang w:eastAsia="de-DE"/>
        </w:rPr>
        <w:t>betont die Eignung).</w:t>
      </w:r>
    </w:p>
    <w:p w14:paraId="201B1BED"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Die Satzstruktur zeigt zwei Hauptsätze: einen über den Viehbesitz und einen über die Erkundung des Landes mit Erkenntnissatz.</w:t>
      </w:r>
    </w:p>
    <w:p w14:paraId="4B0B0C1E"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Der Vers schafft die Ausgangssituation: Ruben und Gad besitzen riesige Viehherden und erkennen, dass das bereits eroberte Ostjordanland ideal für Viehzucht ist - eine Erkenntnis, die zu einem problematischen Antrag führen wird.</w:t>
      </w:r>
    </w:p>
    <w:p w14:paraId="01DCBD82" w14:textId="77777777" w:rsidR="008524BC" w:rsidRPr="008524BC" w:rsidRDefault="008524BC" w:rsidP="008524BC">
      <w:pPr>
        <w:spacing w:before="100" w:beforeAutospacing="1" w:after="100" w:afterAutospacing="1" w:line="240" w:lineRule="auto"/>
        <w:outlineLvl w:val="0"/>
        <w:rPr>
          <w:rFonts w:eastAsia="Times New Roman" w:cs="Times New Roman"/>
          <w:b/>
          <w:bCs/>
          <w:kern w:val="36"/>
          <w:sz w:val="48"/>
          <w:szCs w:val="48"/>
          <w:lang w:eastAsia="de-DE"/>
        </w:rPr>
      </w:pPr>
      <w:r w:rsidRPr="008524BC">
        <w:rPr>
          <w:rFonts w:eastAsia="Times New Roman" w:cs="Times New Roman"/>
          <w:b/>
          <w:bCs/>
          <w:kern w:val="36"/>
          <w:sz w:val="48"/>
          <w:szCs w:val="48"/>
          <w:lang w:eastAsia="de-DE"/>
        </w:rPr>
        <w:t>Numeri 32,2</w:t>
      </w:r>
    </w:p>
    <w:p w14:paraId="0C5ED934"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Hebräisch:</w:t>
      </w:r>
      <w:r w:rsidRPr="008524BC">
        <w:rPr>
          <w:rFonts w:eastAsia="Times New Roman" w:cs="Times New Roman"/>
          <w:lang w:eastAsia="de-DE"/>
        </w:rPr>
        <w:t xml:space="preserve"> </w:t>
      </w:r>
      <w:r w:rsidRPr="008524BC">
        <w:rPr>
          <w:rFonts w:eastAsia="Times New Roman" w:cs="Times New Roman"/>
          <w:rtl/>
          <w:lang w:eastAsia="de-DE"/>
        </w:rPr>
        <w:t>וַיָּבֹ֥אוּ בְנֵֽי־גָ֖ד וּבְנֵ֣י רְאוּבֵ֑ן וַיֹּאמְר֤וּ אֶל־מֹשֶׁה֙ וְאֶל־אֶלְעָזָ֣ר הַכֹּהֵ֔ן וְאֶל־נְשִׂיאֵ֥י הָעֵדָ֖ה לֵאמֹֽר׃</w:t>
      </w:r>
    </w:p>
    <w:p w14:paraId="2DBF637B"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Deutsch:</w:t>
      </w:r>
      <w:r w:rsidRPr="008524BC">
        <w:rPr>
          <w:rFonts w:eastAsia="Times New Roman" w:cs="Times New Roman"/>
          <w:lang w:eastAsia="de-DE"/>
        </w:rPr>
        <w:t xml:space="preserve"> Und die Söhne Gad und die Söhne Re'uven kamen und sprachen zu Mosche und zu El'asar, dem Priester, und zu den Fürsten der Gemeinde, sagend:</w:t>
      </w:r>
    </w:p>
    <w:p w14:paraId="22582A03" w14:textId="77777777" w:rsidR="008524BC" w:rsidRPr="008524BC" w:rsidRDefault="00F329DD" w:rsidP="008524BC">
      <w:pPr>
        <w:spacing w:after="0" w:line="240" w:lineRule="auto"/>
        <w:rPr>
          <w:rFonts w:eastAsia="Times New Roman" w:cs="Times New Roman"/>
          <w:lang w:eastAsia="de-DE"/>
        </w:rPr>
      </w:pPr>
      <w:r>
        <w:rPr>
          <w:rFonts w:eastAsia="Times New Roman" w:cs="Times New Roman"/>
          <w:noProof/>
          <w:lang w:eastAsia="de-DE"/>
        </w:rPr>
        <w:pict w14:anchorId="0E286F97">
          <v:rect id="_x0000_i1988" style="width:0;height:1.5pt" o:hralign="center" o:hrstd="t" o:hr="t" fillcolor="#a0a0a0" stroked="f"/>
        </w:pict>
      </w:r>
    </w:p>
    <w:p w14:paraId="2B50727F"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b/>
          <w:bCs/>
          <w:lang w:eastAsia="de-DE"/>
        </w:rPr>
        <w:t>Kommentar:</w:t>
      </w:r>
      <w:r w:rsidRPr="008524BC">
        <w:rPr>
          <w:rFonts w:eastAsia="Times New Roman" w:cs="Times New Roman"/>
          <w:lang w:eastAsia="de-DE"/>
        </w:rPr>
        <w:t xml:space="preserve"> Der Vers leitet die offizielle Anfrage ein. </w:t>
      </w:r>
      <w:r w:rsidRPr="008524BC">
        <w:rPr>
          <w:rFonts w:eastAsia="Times New Roman" w:cs="Times New Roman"/>
          <w:b/>
          <w:bCs/>
          <w:rtl/>
          <w:lang w:eastAsia="de-DE"/>
        </w:rPr>
        <w:t>וַיָּבֹאוּ בְנֵי־גָד וּבְנֵי רְאוּבֵן</w:t>
      </w:r>
      <w:r w:rsidRPr="008524BC">
        <w:rPr>
          <w:rFonts w:eastAsia="Times New Roman" w:cs="Times New Roman"/>
          <w:rtl/>
          <w:lang w:eastAsia="de-DE"/>
        </w:rPr>
        <w:t xml:space="preserve"> </w:t>
      </w:r>
      <w:r w:rsidRPr="008524BC">
        <w:rPr>
          <w:rFonts w:eastAsia="Times New Roman" w:cs="Times New Roman"/>
          <w:lang w:eastAsia="de-DE"/>
        </w:rPr>
        <w:t xml:space="preserve">zeigt die Handelnden. </w:t>
      </w:r>
      <w:r w:rsidRPr="008524BC">
        <w:rPr>
          <w:rFonts w:eastAsia="Times New Roman" w:cs="Times New Roman"/>
          <w:b/>
          <w:bCs/>
          <w:rtl/>
          <w:lang w:eastAsia="de-DE"/>
        </w:rPr>
        <w:t>וַיָּבֹאוּ</w:t>
      </w:r>
      <w:r w:rsidRPr="008524BC">
        <w:rPr>
          <w:rFonts w:eastAsia="Times New Roman" w:cs="Times New Roman"/>
          <w:rtl/>
          <w:lang w:eastAsia="de-DE"/>
        </w:rPr>
        <w:t xml:space="preserve"> </w:t>
      </w:r>
      <w:r w:rsidRPr="008524BC">
        <w:rPr>
          <w:rFonts w:eastAsia="Times New Roman" w:cs="Times New Roman"/>
          <w:lang w:eastAsia="de-DE"/>
        </w:rPr>
        <w:t xml:space="preserve">(Qal Wayyiqtol 3. Person Plural von </w:t>
      </w:r>
      <w:r w:rsidRPr="008524BC">
        <w:rPr>
          <w:rFonts w:eastAsia="Times New Roman" w:cs="Times New Roman"/>
          <w:b/>
          <w:bCs/>
          <w:rtl/>
          <w:lang w:eastAsia="de-DE"/>
        </w:rPr>
        <w:t>בוא</w:t>
      </w:r>
      <w:r w:rsidRPr="008524BC">
        <w:rPr>
          <w:rFonts w:eastAsia="Times New Roman" w:cs="Times New Roman"/>
          <w:rtl/>
          <w:lang w:eastAsia="de-DE"/>
        </w:rPr>
        <w:t xml:space="preserve"> </w:t>
      </w:r>
      <w:r w:rsidRPr="008524BC">
        <w:rPr>
          <w:rFonts w:eastAsia="Times New Roman" w:cs="Times New Roman"/>
          <w:lang w:eastAsia="de-DE"/>
        </w:rPr>
        <w:t xml:space="preserve">„kommen"), </w:t>
      </w:r>
      <w:r w:rsidRPr="008524BC">
        <w:rPr>
          <w:rFonts w:eastAsia="Times New Roman" w:cs="Times New Roman"/>
          <w:b/>
          <w:bCs/>
          <w:rtl/>
          <w:lang w:eastAsia="de-DE"/>
        </w:rPr>
        <w:t>בְנֵי־גָד וּבְנֵי רְאוּבֵן</w:t>
      </w:r>
      <w:r w:rsidRPr="008524BC">
        <w:rPr>
          <w:rFonts w:eastAsia="Times New Roman" w:cs="Times New Roman"/>
          <w:rtl/>
          <w:lang w:eastAsia="de-DE"/>
        </w:rPr>
        <w:t xml:space="preserve"> </w:t>
      </w:r>
      <w:r w:rsidRPr="008524BC">
        <w:rPr>
          <w:rFonts w:eastAsia="Times New Roman" w:cs="Times New Roman"/>
          <w:lang w:eastAsia="de-DE"/>
        </w:rPr>
        <w:t xml:space="preserve">(zwei koordinierte Subjekte, bemerkenswert: die Reihenfolge ist vertauscht im Vergleich zu V. 1, Gad steht jetzt vor Ruben - möglicherweise weil Gad die Initiative ergriff). </w:t>
      </w:r>
      <w:r w:rsidRPr="008524BC">
        <w:rPr>
          <w:rFonts w:eastAsia="Times New Roman" w:cs="Times New Roman"/>
          <w:b/>
          <w:bCs/>
          <w:rtl/>
          <w:lang w:eastAsia="de-DE"/>
        </w:rPr>
        <w:t>וַיֹּאמְרוּ אֶל־מֹשֶׁה וְאֶל־אֶלְעָזָר הַכֹּהֵן וְאֶל־נְשִׂיאֵי הָעֵדָה</w:t>
      </w:r>
      <w:r w:rsidRPr="008524BC">
        <w:rPr>
          <w:rFonts w:eastAsia="Times New Roman" w:cs="Times New Roman"/>
          <w:rtl/>
          <w:lang w:eastAsia="de-DE"/>
        </w:rPr>
        <w:t xml:space="preserve"> </w:t>
      </w:r>
      <w:r w:rsidRPr="008524BC">
        <w:rPr>
          <w:rFonts w:eastAsia="Times New Roman" w:cs="Times New Roman"/>
          <w:lang w:eastAsia="de-DE"/>
        </w:rPr>
        <w:t xml:space="preserve">gibt die dreifache Adressierung an (wie in 31,13): Mose (zivile Autorität), Eleasar (religiöse Autorität), die Fürsten (Stammesführer). </w:t>
      </w:r>
      <w:r w:rsidRPr="008524BC">
        <w:rPr>
          <w:rFonts w:eastAsia="Times New Roman" w:cs="Times New Roman"/>
          <w:b/>
          <w:bCs/>
          <w:rtl/>
          <w:lang w:eastAsia="de-DE"/>
        </w:rPr>
        <w:t>לֵאמֹר</w:t>
      </w:r>
      <w:r w:rsidRPr="008524BC">
        <w:rPr>
          <w:rFonts w:eastAsia="Times New Roman" w:cs="Times New Roman"/>
          <w:rtl/>
          <w:lang w:eastAsia="de-DE"/>
        </w:rPr>
        <w:t xml:space="preserve"> </w:t>
      </w:r>
      <w:r w:rsidRPr="008524BC">
        <w:rPr>
          <w:rFonts w:eastAsia="Times New Roman" w:cs="Times New Roman"/>
          <w:lang w:eastAsia="de-DE"/>
        </w:rPr>
        <w:t>leitet die direkte Rede ein.</w:t>
      </w:r>
    </w:p>
    <w:p w14:paraId="21CA823D" w14:textId="77777777" w:rsidR="008524BC" w:rsidRP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t>Die Satzstruktur zeigt zwei koordinierte Wayyiqtol-Sätze mit dreifacher Adressierung.</w:t>
      </w:r>
    </w:p>
    <w:p w14:paraId="70F31142" w14:textId="757DB919" w:rsidR="008524BC" w:rsidRDefault="008524BC" w:rsidP="008524BC">
      <w:pPr>
        <w:spacing w:before="100" w:beforeAutospacing="1" w:after="100" w:afterAutospacing="1" w:line="240" w:lineRule="auto"/>
        <w:rPr>
          <w:rFonts w:eastAsia="Times New Roman" w:cs="Times New Roman"/>
          <w:lang w:eastAsia="de-DE"/>
        </w:rPr>
      </w:pPr>
      <w:r w:rsidRPr="008524BC">
        <w:rPr>
          <w:rFonts w:eastAsia="Times New Roman" w:cs="Times New Roman"/>
          <w:lang w:eastAsia="de-DE"/>
        </w:rPr>
        <w:lastRenderedPageBreak/>
        <w:t>Der Vers zeigt das offizielle Vorgehen: Gad und Ruben wenden sich an alle Autoritätsebenen - ein Zeichen, dass sie eine wichtige und legitime Anfrage vorbringen.</w:t>
      </w:r>
    </w:p>
    <w:p w14:paraId="0DCE65DC" w14:textId="77777777" w:rsidR="009C05CB" w:rsidRPr="009C05CB" w:rsidRDefault="009C05CB" w:rsidP="009C05CB">
      <w:pPr>
        <w:spacing w:before="100" w:beforeAutospacing="1" w:after="100" w:afterAutospacing="1" w:line="240" w:lineRule="auto"/>
        <w:outlineLvl w:val="0"/>
        <w:rPr>
          <w:rFonts w:eastAsia="Times New Roman" w:cs="Times New Roman"/>
          <w:b/>
          <w:bCs/>
          <w:kern w:val="36"/>
          <w:sz w:val="48"/>
          <w:szCs w:val="48"/>
          <w:lang w:eastAsia="de-DE"/>
        </w:rPr>
      </w:pPr>
      <w:r w:rsidRPr="009C05CB">
        <w:rPr>
          <w:rFonts w:eastAsia="Times New Roman" w:cs="Times New Roman"/>
          <w:b/>
          <w:bCs/>
          <w:kern w:val="36"/>
          <w:sz w:val="48"/>
          <w:szCs w:val="48"/>
          <w:lang w:eastAsia="de-DE"/>
        </w:rPr>
        <w:t>Numeri 32,3</w:t>
      </w:r>
    </w:p>
    <w:p w14:paraId="422660AB" w14:textId="77777777"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b/>
          <w:bCs/>
          <w:lang w:eastAsia="de-DE"/>
        </w:rPr>
        <w:t>Hebräisch:</w:t>
      </w:r>
      <w:r w:rsidRPr="009C05CB">
        <w:rPr>
          <w:rFonts w:eastAsia="Times New Roman" w:cs="Times New Roman"/>
          <w:lang w:eastAsia="de-DE"/>
        </w:rPr>
        <w:t xml:space="preserve"> </w:t>
      </w:r>
      <w:r w:rsidRPr="009C05CB">
        <w:rPr>
          <w:rFonts w:eastAsia="Times New Roman" w:cs="Times New Roman"/>
          <w:rtl/>
          <w:lang w:eastAsia="de-DE"/>
        </w:rPr>
        <w:t>עֲטָרוֹת וְדִיבֹן וְיַעְזֵר וְנִמְרָה וְחֶשְׁבּוֹן וְאֶלְעָלֵה וּשְׂבָם וּנְבוֹ וּבְעֹן׃</w:t>
      </w:r>
    </w:p>
    <w:p w14:paraId="55575F5B" w14:textId="77777777"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b/>
          <w:bCs/>
          <w:lang w:eastAsia="de-DE"/>
        </w:rPr>
        <w:t>Deutsch:</w:t>
      </w:r>
      <w:r w:rsidRPr="009C05CB">
        <w:rPr>
          <w:rFonts w:eastAsia="Times New Roman" w:cs="Times New Roman"/>
          <w:lang w:eastAsia="de-DE"/>
        </w:rPr>
        <w:t xml:space="preserve"> Atarot und Divon und Ja'ser und Nimra und Cheschbon und El'ale und Sevam und Nevo und Be'on.</w:t>
      </w:r>
    </w:p>
    <w:p w14:paraId="13F1FABB" w14:textId="77777777" w:rsidR="009C05CB" w:rsidRPr="009C05CB" w:rsidRDefault="00F329DD" w:rsidP="009C05CB">
      <w:pPr>
        <w:spacing w:after="0" w:line="240" w:lineRule="auto"/>
        <w:rPr>
          <w:rFonts w:eastAsia="Times New Roman" w:cs="Times New Roman"/>
          <w:lang w:eastAsia="de-DE"/>
        </w:rPr>
      </w:pPr>
      <w:r>
        <w:rPr>
          <w:rFonts w:eastAsia="Times New Roman" w:cs="Times New Roman"/>
          <w:lang w:eastAsia="de-DE"/>
        </w:rPr>
        <w:pict w14:anchorId="220E188D">
          <v:rect id="_x0000_i1989" style="width:0;height:1.5pt" o:hralign="center" o:hrstd="t" o:hr="t" fillcolor="#a0a0a0" stroked="f"/>
        </w:pict>
      </w:r>
    </w:p>
    <w:p w14:paraId="452C9526" w14:textId="77777777"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b/>
          <w:bCs/>
          <w:lang w:eastAsia="de-DE"/>
        </w:rPr>
        <w:t>Kommentar:</w:t>
      </w:r>
      <w:r w:rsidRPr="009C05CB">
        <w:rPr>
          <w:rFonts w:eastAsia="Times New Roman" w:cs="Times New Roman"/>
          <w:lang w:eastAsia="de-DE"/>
        </w:rPr>
        <w:t xml:space="preserve"> Der Vers zählt neun Städte im Ostjordanland auf. </w:t>
      </w:r>
      <w:r w:rsidRPr="009C05CB">
        <w:rPr>
          <w:rFonts w:eastAsia="Times New Roman" w:cs="Times New Roman"/>
          <w:b/>
          <w:bCs/>
          <w:rtl/>
          <w:lang w:eastAsia="de-DE"/>
        </w:rPr>
        <w:t>עֲטָרוֹת וְדִיבֹן וְיַעְזֵר וְנִמְרָה וְחֶשְׁבּוֹן וְאֶלְעָלֵה וּשְׂבָם וּנְבוֹ וּבְעֹן</w:t>
      </w:r>
      <w:r w:rsidRPr="009C05CB">
        <w:rPr>
          <w:rFonts w:eastAsia="Times New Roman" w:cs="Times New Roman"/>
          <w:rtl/>
          <w:lang w:eastAsia="de-DE"/>
        </w:rPr>
        <w:t xml:space="preserve"> </w:t>
      </w:r>
      <w:r w:rsidRPr="009C05CB">
        <w:rPr>
          <w:rFonts w:eastAsia="Times New Roman" w:cs="Times New Roman"/>
          <w:lang w:eastAsia="de-DE"/>
        </w:rPr>
        <w:t xml:space="preserve">ist eine elliptische Aufzählung ohne Verb. Die neun Städtenamen sind durch Konjunktion </w:t>
      </w:r>
      <w:r w:rsidRPr="009C05CB">
        <w:rPr>
          <w:rFonts w:eastAsia="Times New Roman" w:cs="Times New Roman"/>
          <w:b/>
          <w:bCs/>
          <w:rtl/>
          <w:lang w:eastAsia="de-DE"/>
        </w:rPr>
        <w:t>וְ</w:t>
      </w:r>
      <w:r w:rsidRPr="009C05CB">
        <w:rPr>
          <w:rFonts w:eastAsia="Times New Roman" w:cs="Times New Roman"/>
          <w:rtl/>
          <w:lang w:eastAsia="de-DE"/>
        </w:rPr>
        <w:t xml:space="preserve"> </w:t>
      </w:r>
      <w:r w:rsidRPr="009C05CB">
        <w:rPr>
          <w:rFonts w:eastAsia="Times New Roman" w:cs="Times New Roman"/>
          <w:lang w:eastAsia="de-DE"/>
        </w:rPr>
        <w:t xml:space="preserve">verbunden: </w:t>
      </w:r>
      <w:r w:rsidRPr="009C05CB">
        <w:rPr>
          <w:rFonts w:eastAsia="Times New Roman" w:cs="Times New Roman"/>
          <w:b/>
          <w:bCs/>
          <w:rtl/>
          <w:lang w:eastAsia="de-DE"/>
        </w:rPr>
        <w:t>עֲטָרוֹת</w:t>
      </w:r>
      <w:r w:rsidRPr="009C05CB">
        <w:rPr>
          <w:rFonts w:eastAsia="Times New Roman" w:cs="Times New Roman"/>
          <w:rtl/>
          <w:lang w:eastAsia="de-DE"/>
        </w:rPr>
        <w:t xml:space="preserve"> </w:t>
      </w:r>
      <w:r w:rsidRPr="009C05CB">
        <w:rPr>
          <w:rFonts w:eastAsia="Times New Roman" w:cs="Times New Roman"/>
          <w:lang w:eastAsia="de-DE"/>
        </w:rPr>
        <w:t xml:space="preserve">(Ataroth), </w:t>
      </w:r>
      <w:r w:rsidRPr="009C05CB">
        <w:rPr>
          <w:rFonts w:eastAsia="Times New Roman" w:cs="Times New Roman"/>
          <w:b/>
          <w:bCs/>
          <w:rtl/>
          <w:lang w:eastAsia="de-DE"/>
        </w:rPr>
        <w:t>דִּיבֹן</w:t>
      </w:r>
      <w:r w:rsidRPr="009C05CB">
        <w:rPr>
          <w:rFonts w:eastAsia="Times New Roman" w:cs="Times New Roman"/>
          <w:rtl/>
          <w:lang w:eastAsia="de-DE"/>
        </w:rPr>
        <w:t xml:space="preserve"> </w:t>
      </w:r>
      <w:r w:rsidRPr="009C05CB">
        <w:rPr>
          <w:rFonts w:eastAsia="Times New Roman" w:cs="Times New Roman"/>
          <w:lang w:eastAsia="de-DE"/>
        </w:rPr>
        <w:t xml:space="preserve">(Dibon), </w:t>
      </w:r>
      <w:r w:rsidRPr="009C05CB">
        <w:rPr>
          <w:rFonts w:eastAsia="Times New Roman" w:cs="Times New Roman"/>
          <w:b/>
          <w:bCs/>
          <w:rtl/>
          <w:lang w:eastAsia="de-DE"/>
        </w:rPr>
        <w:t>יַעְזֵר</w:t>
      </w:r>
      <w:r w:rsidRPr="009C05CB">
        <w:rPr>
          <w:rFonts w:eastAsia="Times New Roman" w:cs="Times New Roman"/>
          <w:rtl/>
          <w:lang w:eastAsia="de-DE"/>
        </w:rPr>
        <w:t xml:space="preserve"> </w:t>
      </w:r>
      <w:r w:rsidRPr="009C05CB">
        <w:rPr>
          <w:rFonts w:eastAsia="Times New Roman" w:cs="Times New Roman"/>
          <w:lang w:eastAsia="de-DE"/>
        </w:rPr>
        <w:t xml:space="preserve">(Jaeser), </w:t>
      </w:r>
      <w:r w:rsidRPr="009C05CB">
        <w:rPr>
          <w:rFonts w:eastAsia="Times New Roman" w:cs="Times New Roman"/>
          <w:b/>
          <w:bCs/>
          <w:rtl/>
          <w:lang w:eastAsia="de-DE"/>
        </w:rPr>
        <w:t>נִמְרָה</w:t>
      </w:r>
      <w:r w:rsidRPr="009C05CB">
        <w:rPr>
          <w:rFonts w:eastAsia="Times New Roman" w:cs="Times New Roman"/>
          <w:rtl/>
          <w:lang w:eastAsia="de-DE"/>
        </w:rPr>
        <w:t xml:space="preserve"> </w:t>
      </w:r>
      <w:r w:rsidRPr="009C05CB">
        <w:rPr>
          <w:rFonts w:eastAsia="Times New Roman" w:cs="Times New Roman"/>
          <w:lang w:eastAsia="de-DE"/>
        </w:rPr>
        <w:t xml:space="preserve">(Nimra), </w:t>
      </w:r>
      <w:r w:rsidRPr="009C05CB">
        <w:rPr>
          <w:rFonts w:eastAsia="Times New Roman" w:cs="Times New Roman"/>
          <w:b/>
          <w:bCs/>
          <w:rtl/>
          <w:lang w:eastAsia="de-DE"/>
        </w:rPr>
        <w:t>חֶשְׁבּוֹן</w:t>
      </w:r>
      <w:r w:rsidRPr="009C05CB">
        <w:rPr>
          <w:rFonts w:eastAsia="Times New Roman" w:cs="Times New Roman"/>
          <w:rtl/>
          <w:lang w:eastAsia="de-DE"/>
        </w:rPr>
        <w:t xml:space="preserve"> </w:t>
      </w:r>
      <w:r w:rsidRPr="009C05CB">
        <w:rPr>
          <w:rFonts w:eastAsia="Times New Roman" w:cs="Times New Roman"/>
          <w:lang w:eastAsia="de-DE"/>
        </w:rPr>
        <w:t xml:space="preserve">(Heschbon), </w:t>
      </w:r>
      <w:r w:rsidRPr="009C05CB">
        <w:rPr>
          <w:rFonts w:eastAsia="Times New Roman" w:cs="Times New Roman"/>
          <w:b/>
          <w:bCs/>
          <w:rtl/>
          <w:lang w:eastAsia="de-DE"/>
        </w:rPr>
        <w:t>אֶלְעָלֵה</w:t>
      </w:r>
      <w:r w:rsidRPr="009C05CB">
        <w:rPr>
          <w:rFonts w:eastAsia="Times New Roman" w:cs="Times New Roman"/>
          <w:rtl/>
          <w:lang w:eastAsia="de-DE"/>
        </w:rPr>
        <w:t xml:space="preserve"> </w:t>
      </w:r>
      <w:r w:rsidRPr="009C05CB">
        <w:rPr>
          <w:rFonts w:eastAsia="Times New Roman" w:cs="Times New Roman"/>
          <w:lang w:eastAsia="de-DE"/>
        </w:rPr>
        <w:t xml:space="preserve">(Elale), </w:t>
      </w:r>
      <w:r w:rsidRPr="009C05CB">
        <w:rPr>
          <w:rFonts w:eastAsia="Times New Roman" w:cs="Times New Roman"/>
          <w:b/>
          <w:bCs/>
          <w:rtl/>
          <w:lang w:eastAsia="de-DE"/>
        </w:rPr>
        <w:t>שְׂבָם</w:t>
      </w:r>
      <w:r w:rsidRPr="009C05CB">
        <w:rPr>
          <w:rFonts w:eastAsia="Times New Roman" w:cs="Times New Roman"/>
          <w:rtl/>
          <w:lang w:eastAsia="de-DE"/>
        </w:rPr>
        <w:t xml:space="preserve"> </w:t>
      </w:r>
      <w:r w:rsidRPr="009C05CB">
        <w:rPr>
          <w:rFonts w:eastAsia="Times New Roman" w:cs="Times New Roman"/>
          <w:lang w:eastAsia="de-DE"/>
        </w:rPr>
        <w:t xml:space="preserve">(Sebam), </w:t>
      </w:r>
      <w:r w:rsidRPr="009C05CB">
        <w:rPr>
          <w:rFonts w:eastAsia="Times New Roman" w:cs="Times New Roman"/>
          <w:b/>
          <w:bCs/>
          <w:rtl/>
          <w:lang w:eastAsia="de-DE"/>
        </w:rPr>
        <w:t>נְבוֹ</w:t>
      </w:r>
      <w:r w:rsidRPr="009C05CB">
        <w:rPr>
          <w:rFonts w:eastAsia="Times New Roman" w:cs="Times New Roman"/>
          <w:rtl/>
          <w:lang w:eastAsia="de-DE"/>
        </w:rPr>
        <w:t xml:space="preserve"> </w:t>
      </w:r>
      <w:r w:rsidRPr="009C05CB">
        <w:rPr>
          <w:rFonts w:eastAsia="Times New Roman" w:cs="Times New Roman"/>
          <w:lang w:eastAsia="de-DE"/>
        </w:rPr>
        <w:t xml:space="preserve">(Nebo), </w:t>
      </w:r>
      <w:r w:rsidRPr="009C05CB">
        <w:rPr>
          <w:rFonts w:eastAsia="Times New Roman" w:cs="Times New Roman"/>
          <w:b/>
          <w:bCs/>
          <w:rtl/>
          <w:lang w:eastAsia="de-DE"/>
        </w:rPr>
        <w:t>בְעֹן</w:t>
      </w:r>
      <w:r w:rsidRPr="009C05CB">
        <w:rPr>
          <w:rFonts w:eastAsia="Times New Roman" w:cs="Times New Roman"/>
          <w:rtl/>
          <w:lang w:eastAsia="de-DE"/>
        </w:rPr>
        <w:t xml:space="preserve"> </w:t>
      </w:r>
      <w:r w:rsidRPr="009C05CB">
        <w:rPr>
          <w:rFonts w:eastAsia="Times New Roman" w:cs="Times New Roman"/>
          <w:lang w:eastAsia="de-DE"/>
        </w:rPr>
        <w:t>(Beon). Alle Orte liegen im eroberten moabitischen und amoritischen Gebiet östlich des Jordan.</w:t>
      </w:r>
    </w:p>
    <w:p w14:paraId="5A62BC01" w14:textId="77777777"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b/>
          <w:bCs/>
          <w:lang w:eastAsia="de-DE"/>
        </w:rPr>
        <w:t>Die LXX</w:t>
      </w:r>
      <w:r w:rsidRPr="009C05CB">
        <w:rPr>
          <w:rFonts w:eastAsia="Times New Roman" w:cs="Times New Roman"/>
          <w:lang w:eastAsia="de-DE"/>
        </w:rPr>
        <w:t xml:space="preserve"> transliteriert die Stadtnamen leicht unterschiedlich: </w:t>
      </w:r>
      <w:r w:rsidRPr="009C05CB">
        <w:rPr>
          <w:rFonts w:eastAsia="Times New Roman" w:cs="Times New Roman"/>
          <w:b/>
          <w:bCs/>
          <w:rtl/>
          <w:lang w:eastAsia="de-DE"/>
        </w:rPr>
        <w:t>שְׂבָם</w:t>
      </w:r>
      <w:r w:rsidRPr="009C05CB">
        <w:rPr>
          <w:rFonts w:eastAsia="Times New Roman" w:cs="Times New Roman"/>
          <w:rtl/>
          <w:lang w:eastAsia="de-DE"/>
        </w:rPr>
        <w:t xml:space="preserve"> </w:t>
      </w:r>
      <w:r w:rsidRPr="009C05CB">
        <w:rPr>
          <w:rFonts w:eastAsia="Times New Roman" w:cs="Times New Roman"/>
          <w:lang w:eastAsia="de-DE"/>
        </w:rPr>
        <w:t xml:space="preserve">(Sebam) wird zu Σεβαμά (Sebama), </w:t>
      </w:r>
      <w:r w:rsidRPr="009C05CB">
        <w:rPr>
          <w:rFonts w:eastAsia="Times New Roman" w:cs="Times New Roman"/>
          <w:b/>
          <w:bCs/>
          <w:rtl/>
          <w:lang w:eastAsia="de-DE"/>
        </w:rPr>
        <w:t>בְעֹן</w:t>
      </w:r>
      <w:r w:rsidRPr="009C05CB">
        <w:rPr>
          <w:rFonts w:eastAsia="Times New Roman" w:cs="Times New Roman"/>
          <w:rtl/>
          <w:lang w:eastAsia="de-DE"/>
        </w:rPr>
        <w:t xml:space="preserve"> </w:t>
      </w:r>
      <w:r w:rsidRPr="009C05CB">
        <w:rPr>
          <w:rFonts w:eastAsia="Times New Roman" w:cs="Times New Roman"/>
          <w:lang w:eastAsia="de-DE"/>
        </w:rPr>
        <w:t>(Beon) wird zu Βαιάν (Baian).</w:t>
      </w:r>
    </w:p>
    <w:p w14:paraId="18D34D1B" w14:textId="1E1F33AA"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lang w:eastAsia="de-DE"/>
        </w:rPr>
        <w:t xml:space="preserve">Die Satzstruktur zeigt eine reine nominale Aufzählung ohne Prädikat - eine elliptische </w:t>
      </w:r>
      <w:r w:rsidR="00F133EC">
        <w:rPr>
          <w:rFonts w:eastAsia="Times New Roman" w:cs="Times New Roman"/>
          <w:lang w:eastAsia="de-DE"/>
        </w:rPr>
        <w:t>Construct</w:t>
      </w:r>
      <w:r w:rsidRPr="009C05CB">
        <w:rPr>
          <w:rFonts w:eastAsia="Times New Roman" w:cs="Times New Roman"/>
          <w:lang w:eastAsia="de-DE"/>
        </w:rPr>
        <w:t>ion, bei der das Verb aus dem Kontext (V. 2 oder V. 4) zu ergänzen ist.</w:t>
      </w:r>
    </w:p>
    <w:p w14:paraId="7D41B702" w14:textId="77777777"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lang w:eastAsia="de-DE"/>
        </w:rPr>
        <w:t>Der Vers nennt gezielt die begehrtesten Städte im Ostjordanland - die elliptische Formulierung (ohne Verb) lässt die Liste wie einen Katalog wirken und baut Spannung auf für die folgende Begründung in V. 4.</w:t>
      </w:r>
    </w:p>
    <w:p w14:paraId="5D16BC63" w14:textId="77777777" w:rsidR="009C05CB" w:rsidRPr="009C05CB" w:rsidRDefault="009C05CB" w:rsidP="009C05CB">
      <w:pPr>
        <w:spacing w:before="100" w:beforeAutospacing="1" w:after="100" w:afterAutospacing="1" w:line="240" w:lineRule="auto"/>
        <w:outlineLvl w:val="0"/>
        <w:rPr>
          <w:rFonts w:eastAsia="Times New Roman" w:cs="Times New Roman"/>
          <w:b/>
          <w:bCs/>
          <w:kern w:val="36"/>
          <w:sz w:val="48"/>
          <w:szCs w:val="48"/>
          <w:lang w:eastAsia="de-DE"/>
        </w:rPr>
      </w:pPr>
      <w:r w:rsidRPr="009C05CB">
        <w:rPr>
          <w:rFonts w:eastAsia="Times New Roman" w:cs="Times New Roman"/>
          <w:b/>
          <w:bCs/>
          <w:kern w:val="36"/>
          <w:sz w:val="48"/>
          <w:szCs w:val="48"/>
          <w:lang w:eastAsia="de-DE"/>
        </w:rPr>
        <w:t>Numeri 32,4</w:t>
      </w:r>
    </w:p>
    <w:p w14:paraId="4C461B20" w14:textId="77777777"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b/>
          <w:bCs/>
          <w:lang w:eastAsia="de-DE"/>
        </w:rPr>
        <w:t>Hebräisch:</w:t>
      </w:r>
      <w:r w:rsidRPr="009C05CB">
        <w:rPr>
          <w:rFonts w:eastAsia="Times New Roman" w:cs="Times New Roman"/>
          <w:lang w:eastAsia="de-DE"/>
        </w:rPr>
        <w:t xml:space="preserve"> </w:t>
      </w:r>
      <w:r w:rsidRPr="009C05CB">
        <w:rPr>
          <w:rFonts w:eastAsia="Times New Roman" w:cs="Times New Roman"/>
          <w:rtl/>
          <w:lang w:eastAsia="de-DE"/>
        </w:rPr>
        <w:t>הָאָרֶץ אֲשֶׁר הִכָּה יְהוָה לִפְנֵי עֲדַת יִשְׂרָאֵל אֶרֶץ מִקְנֶה הִוא וְלַעֲבָדֶיךָ מִקְנֶה׃</w:t>
      </w:r>
    </w:p>
    <w:p w14:paraId="388B6973" w14:textId="77777777"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b/>
          <w:bCs/>
          <w:lang w:eastAsia="de-DE"/>
        </w:rPr>
        <w:t>Deutsch:</w:t>
      </w:r>
      <w:r w:rsidRPr="009C05CB">
        <w:rPr>
          <w:rFonts w:eastAsia="Times New Roman" w:cs="Times New Roman"/>
          <w:lang w:eastAsia="de-DE"/>
        </w:rPr>
        <w:t xml:space="preserve"> Das Land, das der Ewige vor der Gemeinde Jisra'el geschlagen hat, ist ein Land für Vieh, und deine Knechte haben Vieh.</w:t>
      </w:r>
    </w:p>
    <w:p w14:paraId="57593DEA" w14:textId="77777777" w:rsidR="009C05CB" w:rsidRPr="009C05CB" w:rsidRDefault="00F329DD" w:rsidP="009C05CB">
      <w:pPr>
        <w:spacing w:after="0" w:line="240" w:lineRule="auto"/>
        <w:rPr>
          <w:rFonts w:eastAsia="Times New Roman" w:cs="Times New Roman"/>
          <w:lang w:eastAsia="de-DE"/>
        </w:rPr>
      </w:pPr>
      <w:r>
        <w:rPr>
          <w:rFonts w:eastAsia="Times New Roman" w:cs="Times New Roman"/>
          <w:lang w:eastAsia="de-DE"/>
        </w:rPr>
        <w:pict w14:anchorId="11D0AECB">
          <v:rect id="_x0000_i1990" style="width:0;height:1.5pt" o:hralign="center" o:hrstd="t" o:hr="t" fillcolor="#a0a0a0" stroked="f"/>
        </w:pict>
      </w:r>
    </w:p>
    <w:p w14:paraId="15A90B62" w14:textId="0337BD22"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b/>
          <w:bCs/>
          <w:lang w:eastAsia="de-DE"/>
        </w:rPr>
        <w:t>Kommentar:</w:t>
      </w:r>
      <w:r w:rsidRPr="009C05CB">
        <w:rPr>
          <w:rFonts w:eastAsia="Times New Roman" w:cs="Times New Roman"/>
          <w:lang w:eastAsia="de-DE"/>
        </w:rPr>
        <w:t xml:space="preserve"> Der Vers charakterisiert das begehrte Land theologisch und praktisch. </w:t>
      </w:r>
      <w:r w:rsidRPr="009C05CB">
        <w:rPr>
          <w:rFonts w:eastAsia="Times New Roman" w:cs="Times New Roman"/>
          <w:b/>
          <w:bCs/>
          <w:rtl/>
          <w:lang w:eastAsia="de-DE"/>
        </w:rPr>
        <w:t>הָאָרֶץ אֲשֶׁר הִכָּה יהוה לִפְנֵי עֲדַת יִשְׂרָאֵל</w:t>
      </w:r>
      <w:r w:rsidRPr="009C05CB">
        <w:rPr>
          <w:rFonts w:eastAsia="Times New Roman" w:cs="Times New Roman"/>
          <w:rtl/>
          <w:lang w:eastAsia="de-DE"/>
        </w:rPr>
        <w:t xml:space="preserve"> </w:t>
      </w:r>
      <w:r w:rsidRPr="009C05CB">
        <w:rPr>
          <w:rFonts w:eastAsia="Times New Roman" w:cs="Times New Roman"/>
          <w:lang w:eastAsia="de-DE"/>
        </w:rPr>
        <w:t xml:space="preserve">ist die Subjektphrase mit Relativsatz. </w:t>
      </w:r>
      <w:r w:rsidRPr="009C05CB">
        <w:rPr>
          <w:rFonts w:eastAsia="Times New Roman" w:cs="Times New Roman"/>
          <w:b/>
          <w:bCs/>
          <w:rtl/>
          <w:lang w:eastAsia="de-DE"/>
        </w:rPr>
        <w:t>הָאָרֶץ</w:t>
      </w:r>
      <w:r w:rsidRPr="009C05CB">
        <w:rPr>
          <w:rFonts w:eastAsia="Times New Roman" w:cs="Times New Roman"/>
          <w:rtl/>
          <w:lang w:eastAsia="de-DE"/>
        </w:rPr>
        <w:t xml:space="preserve"> </w:t>
      </w:r>
      <w:r w:rsidRPr="009C05CB">
        <w:rPr>
          <w:rFonts w:eastAsia="Times New Roman" w:cs="Times New Roman"/>
          <w:lang w:eastAsia="de-DE"/>
        </w:rPr>
        <w:t xml:space="preserve">(Subjekt </w:t>
      </w:r>
      <w:r w:rsidRPr="009C05CB">
        <w:rPr>
          <w:rFonts w:eastAsia="Times New Roman" w:cs="Times New Roman"/>
          <w:b/>
          <w:bCs/>
          <w:rtl/>
          <w:lang w:eastAsia="de-DE"/>
        </w:rPr>
        <w:t>אֶרֶץ</w:t>
      </w:r>
      <w:r w:rsidRPr="009C05CB">
        <w:rPr>
          <w:rFonts w:eastAsia="Times New Roman" w:cs="Times New Roman"/>
          <w:rtl/>
          <w:lang w:eastAsia="de-DE"/>
        </w:rPr>
        <w:t xml:space="preserve"> </w:t>
      </w:r>
      <w:r w:rsidRPr="009C05CB">
        <w:rPr>
          <w:rFonts w:eastAsia="Times New Roman" w:cs="Times New Roman"/>
          <w:lang w:eastAsia="de-DE"/>
        </w:rPr>
        <w:t xml:space="preserve">„Land" mit Artikel), </w:t>
      </w:r>
      <w:r w:rsidRPr="009C05CB">
        <w:rPr>
          <w:rFonts w:eastAsia="Times New Roman" w:cs="Times New Roman"/>
          <w:b/>
          <w:bCs/>
          <w:rtl/>
          <w:lang w:eastAsia="de-DE"/>
        </w:rPr>
        <w:t>אֲשֶׁר הִכָּה יהוה</w:t>
      </w:r>
      <w:r w:rsidRPr="009C05CB">
        <w:rPr>
          <w:rFonts w:eastAsia="Times New Roman" w:cs="Times New Roman"/>
          <w:rtl/>
          <w:lang w:eastAsia="de-DE"/>
        </w:rPr>
        <w:t xml:space="preserve"> </w:t>
      </w:r>
      <w:r w:rsidRPr="009C05CB">
        <w:rPr>
          <w:rFonts w:eastAsia="Times New Roman" w:cs="Times New Roman"/>
          <w:lang w:eastAsia="de-DE"/>
        </w:rPr>
        <w:t xml:space="preserve">(Relativsatz: Relativpartikel mit Hiphil Perfekt 3. Person maskulin Singular von </w:t>
      </w:r>
      <w:r w:rsidRPr="009C05CB">
        <w:rPr>
          <w:rFonts w:eastAsia="Times New Roman" w:cs="Times New Roman"/>
          <w:b/>
          <w:bCs/>
          <w:rtl/>
          <w:lang w:eastAsia="de-DE"/>
        </w:rPr>
        <w:t>נכה</w:t>
      </w:r>
      <w:r w:rsidRPr="009C05CB">
        <w:rPr>
          <w:rFonts w:eastAsia="Times New Roman" w:cs="Times New Roman"/>
          <w:rtl/>
          <w:lang w:eastAsia="de-DE"/>
        </w:rPr>
        <w:t xml:space="preserve"> </w:t>
      </w:r>
      <w:r w:rsidRPr="009C05CB">
        <w:rPr>
          <w:rFonts w:eastAsia="Times New Roman" w:cs="Times New Roman"/>
          <w:lang w:eastAsia="de-DE"/>
        </w:rPr>
        <w:t xml:space="preserve">„schlagen, besiegen" und Tetragramm als Subjekt „das der Ewige geschlagen hat"), </w:t>
      </w:r>
      <w:r w:rsidRPr="009C05CB">
        <w:rPr>
          <w:rFonts w:eastAsia="Times New Roman" w:cs="Times New Roman"/>
          <w:b/>
          <w:bCs/>
          <w:rtl/>
          <w:lang w:eastAsia="de-DE"/>
        </w:rPr>
        <w:t>לִפְנֵי עֲדַת יִשְׂרָאֵל</w:t>
      </w:r>
      <w:r w:rsidRPr="009C05CB">
        <w:rPr>
          <w:rFonts w:eastAsia="Times New Roman" w:cs="Times New Roman"/>
          <w:rtl/>
          <w:lang w:eastAsia="de-DE"/>
        </w:rPr>
        <w:t xml:space="preserve"> </w:t>
      </w:r>
      <w:r w:rsidRPr="009C05CB">
        <w:rPr>
          <w:rFonts w:eastAsia="Times New Roman" w:cs="Times New Roman"/>
          <w:lang w:eastAsia="de-DE"/>
        </w:rPr>
        <w:t xml:space="preserve">(Präposition </w:t>
      </w:r>
      <w:r w:rsidRPr="009C05CB">
        <w:rPr>
          <w:rFonts w:eastAsia="Times New Roman" w:cs="Times New Roman"/>
          <w:b/>
          <w:bCs/>
          <w:rtl/>
          <w:lang w:eastAsia="de-DE"/>
        </w:rPr>
        <w:t>לִפְנֵי</w:t>
      </w:r>
      <w:r w:rsidRPr="009C05CB">
        <w:rPr>
          <w:rFonts w:eastAsia="Times New Roman" w:cs="Times New Roman"/>
          <w:rtl/>
          <w:lang w:eastAsia="de-DE"/>
        </w:rPr>
        <w:t xml:space="preserve"> </w:t>
      </w:r>
      <w:r w:rsidRPr="009C05CB">
        <w:rPr>
          <w:rFonts w:eastAsia="Times New Roman" w:cs="Times New Roman"/>
          <w:lang w:eastAsia="de-DE"/>
        </w:rPr>
        <w:t xml:space="preserve">„vor" mit </w:t>
      </w:r>
      <w:r w:rsidRPr="009C05CB">
        <w:rPr>
          <w:rFonts w:eastAsia="Times New Roman" w:cs="Times New Roman"/>
          <w:b/>
          <w:bCs/>
          <w:rtl/>
          <w:lang w:eastAsia="de-DE"/>
        </w:rPr>
        <w:t>עֵדָה</w:t>
      </w:r>
      <w:r w:rsidRPr="009C05CB">
        <w:rPr>
          <w:rFonts w:eastAsia="Times New Roman" w:cs="Times New Roman"/>
          <w:rtl/>
          <w:lang w:eastAsia="de-DE"/>
        </w:rPr>
        <w:t xml:space="preserve"> </w:t>
      </w:r>
      <w:r w:rsidRPr="009C05CB">
        <w:rPr>
          <w:rFonts w:eastAsia="Times New Roman" w:cs="Times New Roman"/>
          <w:lang w:eastAsia="de-DE"/>
        </w:rPr>
        <w:t xml:space="preserve">„Gemeinde, Versammlung" im </w:t>
      </w:r>
      <w:r w:rsidR="00F133EC">
        <w:rPr>
          <w:rFonts w:eastAsia="Times New Roman" w:cs="Times New Roman"/>
          <w:lang w:eastAsia="de-DE"/>
        </w:rPr>
        <w:t>Constructus</w:t>
      </w:r>
      <w:r w:rsidRPr="009C05CB">
        <w:rPr>
          <w:rFonts w:eastAsia="Times New Roman" w:cs="Times New Roman"/>
          <w:lang w:eastAsia="de-DE"/>
        </w:rPr>
        <w:t xml:space="preserve"> und </w:t>
      </w:r>
      <w:r w:rsidRPr="009C05CB">
        <w:rPr>
          <w:rFonts w:eastAsia="Times New Roman" w:cs="Times New Roman"/>
          <w:b/>
          <w:bCs/>
          <w:rtl/>
          <w:lang w:eastAsia="de-DE"/>
        </w:rPr>
        <w:t>יִשְׂרָאֵל</w:t>
      </w:r>
      <w:r w:rsidRPr="009C05CB">
        <w:rPr>
          <w:rFonts w:eastAsia="Times New Roman" w:cs="Times New Roman"/>
          <w:rtl/>
          <w:lang w:eastAsia="de-DE"/>
        </w:rPr>
        <w:t xml:space="preserve"> </w:t>
      </w:r>
      <w:r w:rsidRPr="009C05CB">
        <w:rPr>
          <w:rFonts w:eastAsia="Times New Roman" w:cs="Times New Roman"/>
          <w:lang w:eastAsia="de-DE"/>
        </w:rPr>
        <w:t>„vor der Gemeinde Israels").</w:t>
      </w:r>
    </w:p>
    <w:p w14:paraId="11266C1F" w14:textId="42995724"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b/>
          <w:bCs/>
          <w:rtl/>
          <w:lang w:eastAsia="de-DE"/>
        </w:rPr>
        <w:t>אֶרֶץ מִקְנֶה הִוא</w:t>
      </w:r>
      <w:r w:rsidRPr="009C05CB">
        <w:rPr>
          <w:rFonts w:eastAsia="Times New Roman" w:cs="Times New Roman"/>
          <w:rtl/>
          <w:lang w:eastAsia="de-DE"/>
        </w:rPr>
        <w:t xml:space="preserve"> </w:t>
      </w:r>
      <w:r w:rsidRPr="009C05CB">
        <w:rPr>
          <w:rFonts w:eastAsia="Times New Roman" w:cs="Times New Roman"/>
          <w:lang w:eastAsia="de-DE"/>
        </w:rPr>
        <w:t xml:space="preserve">ist die erste Prädikatsaussage. </w:t>
      </w:r>
      <w:r w:rsidRPr="009C05CB">
        <w:rPr>
          <w:rFonts w:eastAsia="Times New Roman" w:cs="Times New Roman"/>
          <w:b/>
          <w:bCs/>
          <w:rtl/>
          <w:lang w:eastAsia="de-DE"/>
        </w:rPr>
        <w:t>אֶרֶץ מִקְנֶה</w:t>
      </w:r>
      <w:r w:rsidRPr="009C05CB">
        <w:rPr>
          <w:rFonts w:eastAsia="Times New Roman" w:cs="Times New Roman"/>
          <w:rtl/>
          <w:lang w:eastAsia="de-DE"/>
        </w:rPr>
        <w:t xml:space="preserve"> </w:t>
      </w:r>
      <w:r w:rsidRPr="009C05CB">
        <w:rPr>
          <w:rFonts w:eastAsia="Times New Roman" w:cs="Times New Roman"/>
          <w:lang w:eastAsia="de-DE"/>
        </w:rPr>
        <w:t>(</w:t>
      </w:r>
      <w:r w:rsidR="00F133EC">
        <w:rPr>
          <w:rFonts w:eastAsia="Times New Roman" w:cs="Times New Roman"/>
          <w:lang w:eastAsia="de-DE"/>
        </w:rPr>
        <w:t>Constructus</w:t>
      </w:r>
      <w:r w:rsidRPr="009C05CB">
        <w:rPr>
          <w:rFonts w:eastAsia="Times New Roman" w:cs="Times New Roman"/>
          <w:lang w:eastAsia="de-DE"/>
        </w:rPr>
        <w:t xml:space="preserve">verbindung: </w:t>
      </w:r>
      <w:r w:rsidRPr="009C05CB">
        <w:rPr>
          <w:rFonts w:eastAsia="Times New Roman" w:cs="Times New Roman"/>
          <w:b/>
          <w:bCs/>
          <w:rtl/>
          <w:lang w:eastAsia="de-DE"/>
        </w:rPr>
        <w:t>אֶרֶץ</w:t>
      </w:r>
      <w:r w:rsidRPr="009C05CB">
        <w:rPr>
          <w:rFonts w:eastAsia="Times New Roman" w:cs="Times New Roman"/>
          <w:rtl/>
          <w:lang w:eastAsia="de-DE"/>
        </w:rPr>
        <w:t xml:space="preserve"> </w:t>
      </w:r>
      <w:r w:rsidRPr="009C05CB">
        <w:rPr>
          <w:rFonts w:eastAsia="Times New Roman" w:cs="Times New Roman"/>
          <w:lang w:eastAsia="de-DE"/>
        </w:rPr>
        <w:t xml:space="preserve">„Land" mit </w:t>
      </w:r>
      <w:r w:rsidRPr="009C05CB">
        <w:rPr>
          <w:rFonts w:eastAsia="Times New Roman" w:cs="Times New Roman"/>
          <w:b/>
          <w:bCs/>
          <w:rtl/>
          <w:lang w:eastAsia="de-DE"/>
        </w:rPr>
        <w:t>מִקְנֶה</w:t>
      </w:r>
      <w:r w:rsidRPr="009C05CB">
        <w:rPr>
          <w:rFonts w:eastAsia="Times New Roman" w:cs="Times New Roman"/>
          <w:rtl/>
          <w:lang w:eastAsia="de-DE"/>
        </w:rPr>
        <w:t xml:space="preserve"> </w:t>
      </w:r>
      <w:r w:rsidRPr="009C05CB">
        <w:rPr>
          <w:rFonts w:eastAsia="Times New Roman" w:cs="Times New Roman"/>
          <w:lang w:eastAsia="de-DE"/>
        </w:rPr>
        <w:t xml:space="preserve">„Vieh, Viehbesitz" - von </w:t>
      </w:r>
      <w:r w:rsidRPr="009C05CB">
        <w:rPr>
          <w:rFonts w:eastAsia="Times New Roman" w:cs="Times New Roman"/>
          <w:b/>
          <w:bCs/>
          <w:rtl/>
          <w:lang w:eastAsia="de-DE"/>
        </w:rPr>
        <w:t>קנה</w:t>
      </w:r>
      <w:r w:rsidRPr="009C05CB">
        <w:rPr>
          <w:rFonts w:eastAsia="Times New Roman" w:cs="Times New Roman"/>
          <w:rtl/>
          <w:lang w:eastAsia="de-DE"/>
        </w:rPr>
        <w:t xml:space="preserve"> </w:t>
      </w:r>
      <w:r w:rsidRPr="009C05CB">
        <w:rPr>
          <w:rFonts w:eastAsia="Times New Roman" w:cs="Times New Roman"/>
          <w:lang w:eastAsia="de-DE"/>
        </w:rPr>
        <w:t xml:space="preserve">„erwerben" - „ein Land für Vieh, ein Viehland"), </w:t>
      </w:r>
      <w:r w:rsidRPr="009C05CB">
        <w:rPr>
          <w:rFonts w:eastAsia="Times New Roman" w:cs="Times New Roman"/>
          <w:b/>
          <w:bCs/>
          <w:rtl/>
          <w:lang w:eastAsia="de-DE"/>
        </w:rPr>
        <w:t>הִוא</w:t>
      </w:r>
      <w:r w:rsidRPr="009C05CB">
        <w:rPr>
          <w:rFonts w:eastAsia="Times New Roman" w:cs="Times New Roman"/>
          <w:rtl/>
          <w:lang w:eastAsia="de-DE"/>
        </w:rPr>
        <w:t xml:space="preserve"> </w:t>
      </w:r>
      <w:r w:rsidRPr="009C05CB">
        <w:rPr>
          <w:rFonts w:eastAsia="Times New Roman" w:cs="Times New Roman"/>
          <w:lang w:eastAsia="de-DE"/>
        </w:rPr>
        <w:t xml:space="preserve">(Pronomen 3. Person maskulin Singular „es ist"). </w:t>
      </w:r>
      <w:r w:rsidRPr="009C05CB">
        <w:rPr>
          <w:rFonts w:eastAsia="Times New Roman" w:cs="Times New Roman"/>
          <w:b/>
          <w:bCs/>
          <w:rtl/>
          <w:lang w:eastAsia="de-DE"/>
        </w:rPr>
        <w:t>וְלַעֲבָדֶיךָ מִקְנֶה</w:t>
      </w:r>
      <w:r w:rsidRPr="009C05CB">
        <w:rPr>
          <w:rFonts w:eastAsia="Times New Roman" w:cs="Times New Roman"/>
          <w:rtl/>
          <w:lang w:eastAsia="de-DE"/>
        </w:rPr>
        <w:t xml:space="preserve"> </w:t>
      </w:r>
      <w:r w:rsidRPr="009C05CB">
        <w:rPr>
          <w:rFonts w:eastAsia="Times New Roman" w:cs="Times New Roman"/>
          <w:lang w:eastAsia="de-DE"/>
        </w:rPr>
        <w:t xml:space="preserve">ist die zweite Aussage. </w:t>
      </w:r>
      <w:r w:rsidRPr="009C05CB">
        <w:rPr>
          <w:rFonts w:eastAsia="Times New Roman" w:cs="Times New Roman"/>
          <w:b/>
          <w:bCs/>
          <w:rtl/>
          <w:lang w:eastAsia="de-DE"/>
        </w:rPr>
        <w:t>וְלַעֲבָדֶיךָ</w:t>
      </w:r>
      <w:r w:rsidRPr="009C05CB">
        <w:rPr>
          <w:rFonts w:eastAsia="Times New Roman" w:cs="Times New Roman"/>
          <w:rtl/>
          <w:lang w:eastAsia="de-DE"/>
        </w:rPr>
        <w:t xml:space="preserve"> </w:t>
      </w:r>
      <w:r w:rsidRPr="009C05CB">
        <w:rPr>
          <w:rFonts w:eastAsia="Times New Roman" w:cs="Times New Roman"/>
          <w:lang w:eastAsia="de-DE"/>
        </w:rPr>
        <w:t xml:space="preserve">(Konjunktion mit Präposition </w:t>
      </w:r>
      <w:r w:rsidRPr="009C05CB">
        <w:rPr>
          <w:rFonts w:eastAsia="Times New Roman" w:cs="Times New Roman"/>
          <w:b/>
          <w:bCs/>
          <w:rtl/>
          <w:lang w:eastAsia="de-DE"/>
        </w:rPr>
        <w:t>לְ</w:t>
      </w:r>
      <w:r w:rsidRPr="009C05CB">
        <w:rPr>
          <w:rFonts w:eastAsia="Times New Roman" w:cs="Times New Roman"/>
          <w:rtl/>
          <w:lang w:eastAsia="de-DE"/>
        </w:rPr>
        <w:t xml:space="preserve"> </w:t>
      </w:r>
      <w:r w:rsidRPr="009C05CB">
        <w:rPr>
          <w:rFonts w:eastAsia="Times New Roman" w:cs="Times New Roman"/>
          <w:lang w:eastAsia="de-DE"/>
        </w:rPr>
        <w:t xml:space="preserve">und Plural </w:t>
      </w:r>
      <w:r w:rsidRPr="009C05CB">
        <w:rPr>
          <w:rFonts w:eastAsia="Times New Roman" w:cs="Times New Roman"/>
          <w:b/>
          <w:bCs/>
          <w:rtl/>
          <w:lang w:eastAsia="de-DE"/>
        </w:rPr>
        <w:t>עֶבֶד</w:t>
      </w:r>
      <w:r w:rsidRPr="009C05CB">
        <w:rPr>
          <w:rFonts w:eastAsia="Times New Roman" w:cs="Times New Roman"/>
          <w:rtl/>
          <w:lang w:eastAsia="de-DE"/>
        </w:rPr>
        <w:t xml:space="preserve"> </w:t>
      </w:r>
      <w:r w:rsidRPr="009C05CB">
        <w:rPr>
          <w:rFonts w:eastAsia="Times New Roman" w:cs="Times New Roman"/>
          <w:lang w:eastAsia="de-DE"/>
        </w:rPr>
        <w:t xml:space="preserve">„Knecht" mit Suffix 2. Person </w:t>
      </w:r>
      <w:r w:rsidRPr="009C05CB">
        <w:rPr>
          <w:rFonts w:eastAsia="Times New Roman" w:cs="Times New Roman"/>
          <w:lang w:eastAsia="de-DE"/>
        </w:rPr>
        <w:lastRenderedPageBreak/>
        <w:t xml:space="preserve">maskulin Singular „und deinen Knechten"), </w:t>
      </w:r>
      <w:r w:rsidRPr="009C05CB">
        <w:rPr>
          <w:rFonts w:eastAsia="Times New Roman" w:cs="Times New Roman"/>
          <w:b/>
          <w:bCs/>
          <w:rtl/>
          <w:lang w:eastAsia="de-DE"/>
        </w:rPr>
        <w:t>מִקְנֶה</w:t>
      </w:r>
      <w:r w:rsidRPr="009C05CB">
        <w:rPr>
          <w:rFonts w:eastAsia="Times New Roman" w:cs="Times New Roman"/>
          <w:rtl/>
          <w:lang w:eastAsia="de-DE"/>
        </w:rPr>
        <w:t xml:space="preserve"> </w:t>
      </w:r>
      <w:r w:rsidRPr="009C05CB">
        <w:rPr>
          <w:rFonts w:eastAsia="Times New Roman" w:cs="Times New Roman"/>
          <w:lang w:eastAsia="de-DE"/>
        </w:rPr>
        <w:t>(</w:t>
      </w:r>
      <w:r w:rsidRPr="009C05CB">
        <w:rPr>
          <w:rFonts w:eastAsia="Times New Roman" w:cs="Times New Roman"/>
          <w:b/>
          <w:bCs/>
          <w:rtl/>
          <w:lang w:eastAsia="de-DE"/>
        </w:rPr>
        <w:t>מִקְנֶה</w:t>
      </w:r>
      <w:r w:rsidRPr="009C05CB">
        <w:rPr>
          <w:rFonts w:eastAsia="Times New Roman" w:cs="Times New Roman"/>
          <w:rtl/>
          <w:lang w:eastAsia="de-DE"/>
        </w:rPr>
        <w:t xml:space="preserve"> </w:t>
      </w:r>
      <w:r w:rsidRPr="009C05CB">
        <w:rPr>
          <w:rFonts w:eastAsia="Times New Roman" w:cs="Times New Roman"/>
          <w:lang w:eastAsia="de-DE"/>
        </w:rPr>
        <w:t>„Vieh" - hier als Prädikatsnomen „haben Vieh, gehört Vieh").</w:t>
      </w:r>
    </w:p>
    <w:p w14:paraId="0A0E999D" w14:textId="77777777" w:rsidR="009C05CB" w:rsidRPr="009C05CB"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lang w:eastAsia="de-DE"/>
        </w:rPr>
        <w:t>Die Satzstruktur zeigt eine Subjektphrase mit Relativsatz, gefolgt von zwei nominalen Prädikatsaussagen (charakterisierend und possessiv).</w:t>
      </w:r>
    </w:p>
    <w:p w14:paraId="7332F328" w14:textId="29278926" w:rsidR="009C05CB" w:rsidRPr="008524BC" w:rsidRDefault="009C05CB" w:rsidP="009C05CB">
      <w:pPr>
        <w:spacing w:before="100" w:beforeAutospacing="1" w:after="100" w:afterAutospacing="1" w:line="240" w:lineRule="auto"/>
        <w:rPr>
          <w:rFonts w:eastAsia="Times New Roman" w:cs="Times New Roman"/>
          <w:lang w:eastAsia="de-DE"/>
        </w:rPr>
      </w:pPr>
      <w:r w:rsidRPr="009C05CB">
        <w:rPr>
          <w:rFonts w:eastAsia="Times New Roman" w:cs="Times New Roman"/>
          <w:lang w:eastAsia="de-DE"/>
        </w:rPr>
        <w:t xml:space="preserve">Der Vers argumentiert geschickt auf zwei Ebenen: (1) Theologisch - </w:t>
      </w:r>
      <w:r w:rsidRPr="009C05CB">
        <w:rPr>
          <w:rFonts w:eastAsia="Times New Roman" w:cs="Times New Roman"/>
          <w:b/>
          <w:bCs/>
          <w:rtl/>
          <w:lang w:eastAsia="de-DE"/>
        </w:rPr>
        <w:t>אֲשֶׁר הִכָּה יהוה לִפְנֵי עֲדַת יִשְׂרָאֵל</w:t>
      </w:r>
      <w:r w:rsidRPr="009C05CB">
        <w:rPr>
          <w:rFonts w:eastAsia="Times New Roman" w:cs="Times New Roman"/>
          <w:rtl/>
          <w:lang w:eastAsia="de-DE"/>
        </w:rPr>
        <w:t xml:space="preserve"> </w:t>
      </w:r>
      <w:r w:rsidRPr="009C05CB">
        <w:rPr>
          <w:rFonts w:eastAsia="Times New Roman" w:cs="Times New Roman"/>
          <w:lang w:eastAsia="de-DE"/>
        </w:rPr>
        <w:t xml:space="preserve">betont, dass Gott dieses Land erobert hat (nicht die Stämme selbst), also gehört es Gott und steht zur Verteilung bereit. (2) Praktisch - </w:t>
      </w:r>
      <w:r w:rsidRPr="009C05CB">
        <w:rPr>
          <w:rFonts w:eastAsia="Times New Roman" w:cs="Times New Roman"/>
          <w:b/>
          <w:bCs/>
          <w:rtl/>
          <w:lang w:eastAsia="de-DE"/>
        </w:rPr>
        <w:t>אֶרֶץ מִקְנֶה הִוא</w:t>
      </w:r>
      <w:r w:rsidRPr="009C05CB">
        <w:rPr>
          <w:rFonts w:eastAsia="Times New Roman" w:cs="Times New Roman"/>
          <w:rtl/>
          <w:lang w:eastAsia="de-DE"/>
        </w:rPr>
        <w:t xml:space="preserve"> </w:t>
      </w:r>
      <w:r w:rsidRPr="009C05CB">
        <w:rPr>
          <w:rFonts w:eastAsia="Times New Roman" w:cs="Times New Roman"/>
          <w:lang w:eastAsia="de-DE"/>
        </w:rPr>
        <w:t xml:space="preserve">(das Land ist für Vieh geeignet) und </w:t>
      </w:r>
      <w:r w:rsidRPr="009C05CB">
        <w:rPr>
          <w:rFonts w:eastAsia="Times New Roman" w:cs="Times New Roman"/>
          <w:b/>
          <w:bCs/>
          <w:rtl/>
          <w:lang w:eastAsia="de-DE"/>
        </w:rPr>
        <w:t>וְלַעֲבָדֶיךָ מִקְנֶה</w:t>
      </w:r>
      <w:r w:rsidRPr="009C05CB">
        <w:rPr>
          <w:rFonts w:eastAsia="Times New Roman" w:cs="Times New Roman"/>
          <w:rtl/>
          <w:lang w:eastAsia="de-DE"/>
        </w:rPr>
        <w:t xml:space="preserve"> </w:t>
      </w:r>
      <w:r w:rsidRPr="009C05CB">
        <w:rPr>
          <w:rFonts w:eastAsia="Times New Roman" w:cs="Times New Roman"/>
          <w:lang w:eastAsia="de-DE"/>
        </w:rPr>
        <w:t xml:space="preserve">(wir haben Vieh) - perfekte Übereinstimmung zwischen Landcharakter und Bedarf. Die demütige Selbstbezeichnung </w:t>
      </w:r>
      <w:r w:rsidRPr="009C05CB">
        <w:rPr>
          <w:rFonts w:eastAsia="Times New Roman" w:cs="Times New Roman"/>
          <w:b/>
          <w:bCs/>
          <w:rtl/>
          <w:lang w:eastAsia="de-DE"/>
        </w:rPr>
        <w:t>עֲבָדֶיךָ</w:t>
      </w:r>
      <w:r w:rsidRPr="009C05CB">
        <w:rPr>
          <w:rFonts w:eastAsia="Times New Roman" w:cs="Times New Roman"/>
          <w:rtl/>
          <w:lang w:eastAsia="de-DE"/>
        </w:rPr>
        <w:t xml:space="preserve"> </w:t>
      </w:r>
      <w:r w:rsidRPr="009C05CB">
        <w:rPr>
          <w:rFonts w:eastAsia="Times New Roman" w:cs="Times New Roman"/>
          <w:lang w:eastAsia="de-DE"/>
        </w:rPr>
        <w:t>(„deine Knechte") zeigt Respekt vor Moses Autorität. Die implizite Logik: Gott hat das Land gegeben, es passt zu unserem Besitz, also ist es sinnvoll, dass wir es bekommen.</w:t>
      </w:r>
    </w:p>
    <w:p w14:paraId="084A125E"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32,5</w:t>
      </w:r>
    </w:p>
    <w:p w14:paraId="1CAF5A5F"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וַיֹּאמְר֗וּ אִם־מָצָ֤אנוּ חֵן֙ בְּעֵינֶ֔יךָ יֻתַּ֞ן אֶת־הָאָ֧רֶץ הַזֹּ֛את לַעֲבָדֶ֖יךָ לַאֲחֻזָּ֑ה אַל־תַּעֲבִרֵ֖נוּ אֶת־הַיַּרְדֵּֽן׃</w:t>
      </w:r>
    </w:p>
    <w:p w14:paraId="0E2AA729"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Und sie sprachen: „Wenn wir Gnade in deinen Augen gefunden haben, so möge dieses Land deinen Knechten zum Besitztum gegeben werden; lass uns nicht über den Jarden ziehen."</w:t>
      </w:r>
    </w:p>
    <w:p w14:paraId="155B8FA9"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6E760B12">
          <v:rect id="_x0000_i1991" style="width:0;height:1.5pt" o:hralign="center" o:hrstd="t" o:hr="t" fillcolor="#a0a0a0" stroked="f"/>
        </w:pict>
      </w:r>
    </w:p>
    <w:p w14:paraId="74A30FF9" w14:textId="60ED3AC4"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enthält die konkrete Bitte. </w:t>
      </w:r>
      <w:r w:rsidRPr="00A80894">
        <w:rPr>
          <w:rFonts w:eastAsia="Times New Roman" w:cs="Times New Roman"/>
          <w:b/>
          <w:bCs/>
          <w:rtl/>
          <w:lang w:eastAsia="de-DE"/>
        </w:rPr>
        <w:t>וַיֹּאמְרוּ אִם־מָצָאנוּ חֵן בְּעֵינֶיךָ</w:t>
      </w:r>
      <w:r w:rsidRPr="00A80894">
        <w:rPr>
          <w:rFonts w:eastAsia="Times New Roman" w:cs="Times New Roman"/>
          <w:rtl/>
          <w:lang w:eastAsia="de-DE"/>
        </w:rPr>
        <w:t xml:space="preserve"> </w:t>
      </w:r>
      <w:r w:rsidRPr="00A80894">
        <w:rPr>
          <w:rFonts w:eastAsia="Times New Roman" w:cs="Times New Roman"/>
          <w:lang w:eastAsia="de-DE"/>
        </w:rPr>
        <w:t xml:space="preserve">ist die höfliche Einleitung. </w:t>
      </w:r>
      <w:r w:rsidRPr="00A80894">
        <w:rPr>
          <w:rFonts w:eastAsia="Times New Roman" w:cs="Times New Roman"/>
          <w:b/>
          <w:bCs/>
          <w:rtl/>
          <w:lang w:eastAsia="de-DE"/>
        </w:rPr>
        <w:t>אִם־מָצָאנוּ חֵן בְּעֵינֶיךָ</w:t>
      </w:r>
      <w:r w:rsidRPr="00A80894">
        <w:rPr>
          <w:rFonts w:eastAsia="Times New Roman" w:cs="Times New Roman"/>
          <w:rtl/>
          <w:lang w:eastAsia="de-DE"/>
        </w:rPr>
        <w:t xml:space="preserve"> </w:t>
      </w:r>
      <w:r w:rsidRPr="00A80894">
        <w:rPr>
          <w:rFonts w:eastAsia="Times New Roman" w:cs="Times New Roman"/>
          <w:lang w:eastAsia="de-DE"/>
        </w:rPr>
        <w:t xml:space="preserve">(konditionale </w:t>
      </w:r>
      <w:r w:rsidR="00F133EC">
        <w:rPr>
          <w:rFonts w:eastAsia="Times New Roman" w:cs="Times New Roman"/>
          <w:lang w:eastAsia="de-DE"/>
        </w:rPr>
        <w:t>Construct</w:t>
      </w:r>
      <w:r w:rsidRPr="00A80894">
        <w:rPr>
          <w:rFonts w:eastAsia="Times New Roman" w:cs="Times New Roman"/>
          <w:lang w:eastAsia="de-DE"/>
        </w:rPr>
        <w:t xml:space="preserve">ion: </w:t>
      </w:r>
      <w:r w:rsidRPr="00A80894">
        <w:rPr>
          <w:rFonts w:eastAsia="Times New Roman" w:cs="Times New Roman"/>
          <w:b/>
          <w:bCs/>
          <w:rtl/>
          <w:lang w:eastAsia="de-DE"/>
        </w:rPr>
        <w:t>אִם</w:t>
      </w:r>
      <w:r w:rsidRPr="00A80894">
        <w:rPr>
          <w:rFonts w:eastAsia="Times New Roman" w:cs="Times New Roman"/>
          <w:rtl/>
          <w:lang w:eastAsia="de-DE"/>
        </w:rPr>
        <w:t xml:space="preserve"> </w:t>
      </w:r>
      <w:r w:rsidRPr="00A80894">
        <w:rPr>
          <w:rFonts w:eastAsia="Times New Roman" w:cs="Times New Roman"/>
          <w:lang w:eastAsia="de-DE"/>
        </w:rPr>
        <w:t xml:space="preserve">„wenn" mit Qal Perfekt 1. Person Plural von </w:t>
      </w:r>
      <w:r w:rsidRPr="00A80894">
        <w:rPr>
          <w:rFonts w:eastAsia="Times New Roman" w:cs="Times New Roman"/>
          <w:b/>
          <w:bCs/>
          <w:rtl/>
          <w:lang w:eastAsia="de-DE"/>
        </w:rPr>
        <w:t>מצא</w:t>
      </w:r>
      <w:r w:rsidRPr="00A80894">
        <w:rPr>
          <w:rFonts w:eastAsia="Times New Roman" w:cs="Times New Roman"/>
          <w:rtl/>
          <w:lang w:eastAsia="de-DE"/>
        </w:rPr>
        <w:t xml:space="preserve"> </w:t>
      </w:r>
      <w:r w:rsidRPr="00A80894">
        <w:rPr>
          <w:rFonts w:eastAsia="Times New Roman" w:cs="Times New Roman"/>
          <w:lang w:eastAsia="de-DE"/>
        </w:rPr>
        <w:t xml:space="preserve">„finden", </w:t>
      </w:r>
      <w:r w:rsidRPr="00A80894">
        <w:rPr>
          <w:rFonts w:eastAsia="Times New Roman" w:cs="Times New Roman"/>
          <w:b/>
          <w:bCs/>
          <w:rtl/>
          <w:lang w:eastAsia="de-DE"/>
        </w:rPr>
        <w:t>חֵן</w:t>
      </w:r>
      <w:r w:rsidRPr="00A80894">
        <w:rPr>
          <w:rFonts w:eastAsia="Times New Roman" w:cs="Times New Roman"/>
          <w:rtl/>
          <w:lang w:eastAsia="de-DE"/>
        </w:rPr>
        <w:t xml:space="preserve"> </w:t>
      </w:r>
      <w:r w:rsidRPr="00A80894">
        <w:rPr>
          <w:rFonts w:eastAsia="Times New Roman" w:cs="Times New Roman"/>
          <w:lang w:eastAsia="de-DE"/>
        </w:rPr>
        <w:t xml:space="preserve">„Gnade, Gunst" und idiomatische Wendung </w:t>
      </w:r>
      <w:r w:rsidRPr="00A80894">
        <w:rPr>
          <w:rFonts w:eastAsia="Times New Roman" w:cs="Times New Roman"/>
          <w:b/>
          <w:bCs/>
          <w:rtl/>
          <w:lang w:eastAsia="de-DE"/>
        </w:rPr>
        <w:t>בְּעֵינֶיךָ</w:t>
      </w:r>
      <w:r w:rsidRPr="00A80894">
        <w:rPr>
          <w:rFonts w:eastAsia="Times New Roman" w:cs="Times New Roman"/>
          <w:rtl/>
          <w:lang w:eastAsia="de-DE"/>
        </w:rPr>
        <w:t xml:space="preserve"> </w:t>
      </w:r>
      <w:r w:rsidRPr="00A80894">
        <w:rPr>
          <w:rFonts w:eastAsia="Times New Roman" w:cs="Times New Roman"/>
          <w:lang w:eastAsia="de-DE"/>
        </w:rPr>
        <w:t>„in deinen Augen" „wenn wir Gnade in deinen Augen gefunden haben") ist eine standardisierte Höflichkeitsformel.</w:t>
      </w:r>
    </w:p>
    <w:p w14:paraId="2EA8AB89"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t>יֻתַּן אֶת־הָאָרֶץ הַזֹּאת לַעֲבָדֶיךָ לַאֲחֻזָּה</w:t>
      </w:r>
      <w:r w:rsidRPr="00A80894">
        <w:rPr>
          <w:rFonts w:eastAsia="Times New Roman" w:cs="Times New Roman"/>
          <w:rtl/>
          <w:lang w:eastAsia="de-DE"/>
        </w:rPr>
        <w:t xml:space="preserve"> </w:t>
      </w:r>
      <w:r w:rsidRPr="00A80894">
        <w:rPr>
          <w:rFonts w:eastAsia="Times New Roman" w:cs="Times New Roman"/>
          <w:lang w:eastAsia="de-DE"/>
        </w:rPr>
        <w:t xml:space="preserve">ist die erste Bitte. </w:t>
      </w:r>
      <w:r w:rsidRPr="00A80894">
        <w:rPr>
          <w:rFonts w:eastAsia="Times New Roman" w:cs="Times New Roman"/>
          <w:b/>
          <w:bCs/>
          <w:rtl/>
          <w:lang w:eastAsia="de-DE"/>
        </w:rPr>
        <w:t>יֻתַּן</w:t>
      </w:r>
      <w:r w:rsidRPr="00A80894">
        <w:rPr>
          <w:rFonts w:eastAsia="Times New Roman" w:cs="Times New Roman"/>
          <w:rtl/>
          <w:lang w:eastAsia="de-DE"/>
        </w:rPr>
        <w:t xml:space="preserve"> </w:t>
      </w:r>
      <w:r w:rsidRPr="00A80894">
        <w:rPr>
          <w:rFonts w:eastAsia="Times New Roman" w:cs="Times New Roman"/>
          <w:lang w:eastAsia="de-DE"/>
        </w:rPr>
        <w:t xml:space="preserve">(Hophal Imperfekt 3. Person maskulin Singular von </w:t>
      </w:r>
      <w:r w:rsidRPr="00A80894">
        <w:rPr>
          <w:rFonts w:eastAsia="Times New Roman" w:cs="Times New Roman"/>
          <w:b/>
          <w:bCs/>
          <w:rtl/>
          <w:lang w:eastAsia="de-DE"/>
        </w:rPr>
        <w:t>נתן</w:t>
      </w:r>
      <w:r w:rsidRPr="00A80894">
        <w:rPr>
          <w:rFonts w:eastAsia="Times New Roman" w:cs="Times New Roman"/>
          <w:rtl/>
          <w:lang w:eastAsia="de-DE"/>
        </w:rPr>
        <w:t xml:space="preserve"> </w:t>
      </w:r>
      <w:r w:rsidRPr="00A80894">
        <w:rPr>
          <w:rFonts w:eastAsia="Times New Roman" w:cs="Times New Roman"/>
          <w:lang w:eastAsia="de-DE"/>
        </w:rPr>
        <w:t xml:space="preserve">„gegeben werden"), </w:t>
      </w:r>
      <w:r w:rsidRPr="00A80894">
        <w:rPr>
          <w:rFonts w:eastAsia="Times New Roman" w:cs="Times New Roman"/>
          <w:b/>
          <w:bCs/>
          <w:rtl/>
          <w:lang w:eastAsia="de-DE"/>
        </w:rPr>
        <w:t>אֶת־הָאָרֶץ הַזֹּאת</w:t>
      </w:r>
      <w:r w:rsidRPr="00A80894">
        <w:rPr>
          <w:rFonts w:eastAsia="Times New Roman" w:cs="Times New Roman"/>
          <w:rtl/>
          <w:lang w:eastAsia="de-DE"/>
        </w:rPr>
        <w:t xml:space="preserve"> </w:t>
      </w:r>
      <w:r w:rsidRPr="00A80894">
        <w:rPr>
          <w:rFonts w:eastAsia="Times New Roman" w:cs="Times New Roman"/>
          <w:lang w:eastAsia="de-DE"/>
        </w:rPr>
        <w:t xml:space="preserve">(Akkusativpartikel mit </w:t>
      </w:r>
      <w:r w:rsidRPr="00A80894">
        <w:rPr>
          <w:rFonts w:eastAsia="Times New Roman" w:cs="Times New Roman"/>
          <w:b/>
          <w:bCs/>
          <w:rtl/>
          <w:lang w:eastAsia="de-DE"/>
        </w:rPr>
        <w:t>אֶרֶץ</w:t>
      </w:r>
      <w:r w:rsidRPr="00A80894">
        <w:rPr>
          <w:rFonts w:eastAsia="Times New Roman" w:cs="Times New Roman"/>
          <w:rtl/>
          <w:lang w:eastAsia="de-DE"/>
        </w:rPr>
        <w:t xml:space="preserve"> </w:t>
      </w:r>
      <w:r w:rsidRPr="00A80894">
        <w:rPr>
          <w:rFonts w:eastAsia="Times New Roman" w:cs="Times New Roman"/>
          <w:lang w:eastAsia="de-DE"/>
        </w:rPr>
        <w:t xml:space="preserve">„Land" und Demonstrativpronomen „dieses Land"), </w:t>
      </w:r>
      <w:r w:rsidRPr="00A80894">
        <w:rPr>
          <w:rFonts w:eastAsia="Times New Roman" w:cs="Times New Roman"/>
          <w:b/>
          <w:bCs/>
          <w:rtl/>
          <w:lang w:eastAsia="de-DE"/>
        </w:rPr>
        <w:t>לַעֲבָדֶיךָ</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עֲבָדֶיךָ</w:t>
      </w:r>
      <w:r w:rsidRPr="00A80894">
        <w:rPr>
          <w:rFonts w:eastAsia="Times New Roman" w:cs="Times New Roman"/>
          <w:rtl/>
          <w:lang w:eastAsia="de-DE"/>
        </w:rPr>
        <w:t xml:space="preserve"> </w:t>
      </w:r>
      <w:r w:rsidRPr="00A80894">
        <w:rPr>
          <w:rFonts w:eastAsia="Times New Roman" w:cs="Times New Roman"/>
          <w:lang w:eastAsia="de-DE"/>
        </w:rPr>
        <w:t xml:space="preserve">„deinen Knechten"), </w:t>
      </w:r>
      <w:r w:rsidRPr="00A80894">
        <w:rPr>
          <w:rFonts w:eastAsia="Times New Roman" w:cs="Times New Roman"/>
          <w:b/>
          <w:bCs/>
          <w:rtl/>
          <w:lang w:eastAsia="de-DE"/>
        </w:rPr>
        <w:t>לַאֲחֻזָּה</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אֲחֻזָּה</w:t>
      </w:r>
      <w:r w:rsidRPr="00A80894">
        <w:rPr>
          <w:rFonts w:eastAsia="Times New Roman" w:cs="Times New Roman"/>
          <w:rtl/>
          <w:lang w:eastAsia="de-DE"/>
        </w:rPr>
        <w:t xml:space="preserve"> </w:t>
      </w:r>
      <w:r w:rsidRPr="00A80894">
        <w:rPr>
          <w:rFonts w:eastAsia="Times New Roman" w:cs="Times New Roman"/>
          <w:lang w:eastAsia="de-DE"/>
        </w:rPr>
        <w:t xml:space="preserve">„Besitztum" „zum Besitztum"). </w:t>
      </w:r>
      <w:r w:rsidRPr="00A80894">
        <w:rPr>
          <w:rFonts w:eastAsia="Times New Roman" w:cs="Times New Roman"/>
          <w:b/>
          <w:bCs/>
          <w:rtl/>
          <w:lang w:eastAsia="de-DE"/>
        </w:rPr>
        <w:t>אַל־תַּעֲבִרֵנוּ אֶת־הַיַּרְדֵּן</w:t>
      </w:r>
      <w:r w:rsidRPr="00A80894">
        <w:rPr>
          <w:rFonts w:eastAsia="Times New Roman" w:cs="Times New Roman"/>
          <w:rtl/>
          <w:lang w:eastAsia="de-DE"/>
        </w:rPr>
        <w:t xml:space="preserve"> </w:t>
      </w:r>
      <w:r w:rsidRPr="00A80894">
        <w:rPr>
          <w:rFonts w:eastAsia="Times New Roman" w:cs="Times New Roman"/>
          <w:lang w:eastAsia="de-DE"/>
        </w:rPr>
        <w:t xml:space="preserve">ist die zweite Bitte. </w:t>
      </w:r>
      <w:r w:rsidRPr="00A80894">
        <w:rPr>
          <w:rFonts w:eastAsia="Times New Roman" w:cs="Times New Roman"/>
          <w:b/>
          <w:bCs/>
          <w:rtl/>
          <w:lang w:eastAsia="de-DE"/>
        </w:rPr>
        <w:t>אַל</w:t>
      </w:r>
      <w:r w:rsidRPr="00A80894">
        <w:rPr>
          <w:rFonts w:eastAsia="Times New Roman" w:cs="Times New Roman"/>
          <w:rtl/>
          <w:lang w:eastAsia="de-DE"/>
        </w:rPr>
        <w:t xml:space="preserve"> </w:t>
      </w:r>
      <w:r w:rsidRPr="00A80894">
        <w:rPr>
          <w:rFonts w:eastAsia="Times New Roman" w:cs="Times New Roman"/>
          <w:lang w:eastAsia="de-DE"/>
        </w:rPr>
        <w:t xml:space="preserve">(negative Partikel des Verbots), </w:t>
      </w:r>
      <w:r w:rsidRPr="00A80894">
        <w:rPr>
          <w:rFonts w:eastAsia="Times New Roman" w:cs="Times New Roman"/>
          <w:b/>
          <w:bCs/>
          <w:rtl/>
          <w:lang w:eastAsia="de-DE"/>
        </w:rPr>
        <w:t>תַּעֲבִרֵנוּ</w:t>
      </w:r>
      <w:r w:rsidRPr="00A80894">
        <w:rPr>
          <w:rFonts w:eastAsia="Times New Roman" w:cs="Times New Roman"/>
          <w:rtl/>
          <w:lang w:eastAsia="de-DE"/>
        </w:rPr>
        <w:t xml:space="preserve"> </w:t>
      </w:r>
      <w:r w:rsidRPr="00A80894">
        <w:rPr>
          <w:rFonts w:eastAsia="Times New Roman" w:cs="Times New Roman"/>
          <w:lang w:eastAsia="de-DE"/>
        </w:rPr>
        <w:t xml:space="preserve">(Hiphil Jussiv 2. Person maskulin Singular von </w:t>
      </w:r>
      <w:r w:rsidRPr="00A80894">
        <w:rPr>
          <w:rFonts w:eastAsia="Times New Roman" w:cs="Times New Roman"/>
          <w:b/>
          <w:bCs/>
          <w:rtl/>
          <w:lang w:eastAsia="de-DE"/>
        </w:rPr>
        <w:t>עבר</w:t>
      </w:r>
      <w:r w:rsidRPr="00A80894">
        <w:rPr>
          <w:rFonts w:eastAsia="Times New Roman" w:cs="Times New Roman"/>
          <w:rtl/>
          <w:lang w:eastAsia="de-DE"/>
        </w:rPr>
        <w:t xml:space="preserve"> </w:t>
      </w:r>
      <w:r w:rsidRPr="00A80894">
        <w:rPr>
          <w:rFonts w:eastAsia="Times New Roman" w:cs="Times New Roman"/>
          <w:lang w:eastAsia="de-DE"/>
        </w:rPr>
        <w:t xml:space="preserve">„hinüberbringen" mit Suffix 1. Person Plural „lass uns nicht hinüberziehen"), </w:t>
      </w:r>
      <w:r w:rsidRPr="00A80894">
        <w:rPr>
          <w:rFonts w:eastAsia="Times New Roman" w:cs="Times New Roman"/>
          <w:b/>
          <w:bCs/>
          <w:rtl/>
          <w:lang w:eastAsia="de-DE"/>
        </w:rPr>
        <w:t>אֶת־הַיַּרְדֵּן</w:t>
      </w:r>
      <w:r w:rsidRPr="00A80894">
        <w:rPr>
          <w:rFonts w:eastAsia="Times New Roman" w:cs="Times New Roman"/>
          <w:rtl/>
          <w:lang w:eastAsia="de-DE"/>
        </w:rPr>
        <w:t xml:space="preserve"> </w:t>
      </w:r>
      <w:r w:rsidRPr="00A80894">
        <w:rPr>
          <w:rFonts w:eastAsia="Times New Roman" w:cs="Times New Roman"/>
          <w:lang w:eastAsia="de-DE"/>
        </w:rPr>
        <w:t xml:space="preserve">(Akkusativpartikel mit </w:t>
      </w:r>
      <w:r w:rsidRPr="00A80894">
        <w:rPr>
          <w:rFonts w:eastAsia="Times New Roman" w:cs="Times New Roman"/>
          <w:b/>
          <w:bCs/>
          <w:rtl/>
          <w:lang w:eastAsia="de-DE"/>
        </w:rPr>
        <w:t>יַרְדֵּן</w:t>
      </w:r>
      <w:r w:rsidRPr="00A80894">
        <w:rPr>
          <w:rFonts w:eastAsia="Times New Roman" w:cs="Times New Roman"/>
          <w:rtl/>
          <w:lang w:eastAsia="de-DE"/>
        </w:rPr>
        <w:t xml:space="preserve"> </w:t>
      </w:r>
      <w:r w:rsidRPr="00A80894">
        <w:rPr>
          <w:rFonts w:eastAsia="Times New Roman" w:cs="Times New Roman"/>
          <w:lang w:eastAsia="de-DE"/>
        </w:rPr>
        <w:t>„Jordan" mit Artikel „über den Jordan"). Die Bitte, nicht über den Jordan ziehen zu müssen, ist der problematische Teil.</w:t>
      </w:r>
    </w:p>
    <w:p w14:paraId="2452A0A5"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 höfliche Konditionalkonstruktion, gefolgt von zwei Bitten (eine positive, eine negative).</w:t>
      </w:r>
    </w:p>
    <w:p w14:paraId="10E99E81"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formuliert die heikle Bitte: Gad und Ruben möchten im Ostjordanland bleiben und nicht ins verheißene Land westlich des Jordan ziehen - eine Anfrage, die Moses als Ablehnung der göttlichen Verheißung verstehen wird.</w:t>
      </w:r>
    </w:p>
    <w:p w14:paraId="6D72760E"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32,6</w:t>
      </w:r>
    </w:p>
    <w:p w14:paraId="5B27E3F5"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lastRenderedPageBreak/>
        <w:t>Hebräisch:</w:t>
      </w:r>
      <w:r w:rsidRPr="00A80894">
        <w:rPr>
          <w:rFonts w:eastAsia="Times New Roman" w:cs="Times New Roman"/>
          <w:lang w:eastAsia="de-DE"/>
        </w:rPr>
        <w:t xml:space="preserve"> </w:t>
      </w:r>
      <w:r w:rsidRPr="00A80894">
        <w:rPr>
          <w:rFonts w:eastAsia="Times New Roman" w:cs="Times New Roman"/>
          <w:rtl/>
          <w:lang w:eastAsia="de-DE"/>
        </w:rPr>
        <w:t>וַיֹּ֣אמֶר מֹשֶׁ֔ה לִבְנֵי־גָ֖ד וְלִבְנֵ֣י רְאוּבֵ֑ן הַאַֽחֵיכֶ֗ם יָבֹ֙אוּ֙ לַמִּלְחָמָ֔ה וְאַתֶּ֖ם תֵּ֥שְׁבוּ פֹֽה׃</w:t>
      </w:r>
    </w:p>
    <w:p w14:paraId="246104FF"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Und Mosche sprach zu den Söhnen Gad und zu den Söhnen Re'uven: „Sollen eure Brüder in den Kampf ziehen, und ihr wollt hier sitzen?</w:t>
      </w:r>
    </w:p>
    <w:p w14:paraId="3909800E"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4193B63D">
          <v:rect id="_x0000_i1992" style="width:0;height:1.5pt" o:hralign="center" o:hrstd="t" o:hr="t" fillcolor="#a0a0a0" stroked="f"/>
        </w:pict>
      </w:r>
    </w:p>
    <w:p w14:paraId="3C82759F"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zeigt Moses empörte Reaktion. </w:t>
      </w:r>
      <w:r w:rsidRPr="00A80894">
        <w:rPr>
          <w:rFonts w:eastAsia="Times New Roman" w:cs="Times New Roman"/>
          <w:b/>
          <w:bCs/>
          <w:rtl/>
          <w:lang w:eastAsia="de-DE"/>
        </w:rPr>
        <w:t>וַיֹּאמֶר מֹשֶׁה לִבְנֵי־גָד וְלִבְנֵי רְאוּבֵן</w:t>
      </w:r>
      <w:r w:rsidRPr="00A80894">
        <w:rPr>
          <w:rFonts w:eastAsia="Times New Roman" w:cs="Times New Roman"/>
          <w:rtl/>
          <w:lang w:eastAsia="de-DE"/>
        </w:rPr>
        <w:t xml:space="preserve"> </w:t>
      </w:r>
      <w:r w:rsidRPr="00A80894">
        <w:rPr>
          <w:rFonts w:eastAsia="Times New Roman" w:cs="Times New Roman"/>
          <w:lang w:eastAsia="de-DE"/>
        </w:rPr>
        <w:t xml:space="preserve">ist die Redeeinleitung. </w:t>
      </w:r>
      <w:r w:rsidRPr="00A80894">
        <w:rPr>
          <w:rFonts w:eastAsia="Times New Roman" w:cs="Times New Roman"/>
          <w:b/>
          <w:bCs/>
          <w:rtl/>
          <w:lang w:eastAsia="de-DE"/>
        </w:rPr>
        <w:t>הַאַחֵיכֶם יָבֹאוּ לַמִּלְחָמָה וְאַתֶּם תֵּשְׁבוּ פֹה</w:t>
      </w:r>
      <w:r w:rsidRPr="00A80894">
        <w:rPr>
          <w:rFonts w:eastAsia="Times New Roman" w:cs="Times New Roman"/>
          <w:rtl/>
          <w:lang w:eastAsia="de-DE"/>
        </w:rPr>
        <w:t xml:space="preserve"> </w:t>
      </w:r>
      <w:r w:rsidRPr="00A80894">
        <w:rPr>
          <w:rFonts w:eastAsia="Times New Roman" w:cs="Times New Roman"/>
          <w:lang w:eastAsia="de-DE"/>
        </w:rPr>
        <w:t xml:space="preserve">ist die rhetorische Frage. </w:t>
      </w:r>
      <w:r w:rsidRPr="00A80894">
        <w:rPr>
          <w:rFonts w:eastAsia="Times New Roman" w:cs="Times New Roman"/>
          <w:b/>
          <w:bCs/>
          <w:rtl/>
          <w:lang w:eastAsia="de-DE"/>
        </w:rPr>
        <w:t>הַ</w:t>
      </w:r>
      <w:r w:rsidRPr="00A80894">
        <w:rPr>
          <w:rFonts w:eastAsia="Times New Roman" w:cs="Times New Roman"/>
          <w:rtl/>
          <w:lang w:eastAsia="de-DE"/>
        </w:rPr>
        <w:t xml:space="preserve"> </w:t>
      </w:r>
      <w:r w:rsidRPr="00A80894">
        <w:rPr>
          <w:rFonts w:eastAsia="Times New Roman" w:cs="Times New Roman"/>
          <w:lang w:eastAsia="de-DE"/>
        </w:rPr>
        <w:t xml:space="preserve">ist die Fragepartikel, </w:t>
      </w:r>
      <w:r w:rsidRPr="00A80894">
        <w:rPr>
          <w:rFonts w:eastAsia="Times New Roman" w:cs="Times New Roman"/>
          <w:b/>
          <w:bCs/>
          <w:rtl/>
          <w:lang w:eastAsia="de-DE"/>
        </w:rPr>
        <w:t>אַחֵיכֶם</w:t>
      </w:r>
      <w:r w:rsidRPr="00A80894">
        <w:rPr>
          <w:rFonts w:eastAsia="Times New Roman" w:cs="Times New Roman"/>
          <w:rtl/>
          <w:lang w:eastAsia="de-DE"/>
        </w:rPr>
        <w:t xml:space="preserve"> </w:t>
      </w:r>
      <w:r w:rsidRPr="00A80894">
        <w:rPr>
          <w:rFonts w:eastAsia="Times New Roman" w:cs="Times New Roman"/>
          <w:lang w:eastAsia="de-DE"/>
        </w:rPr>
        <w:t xml:space="preserve">(Plural von </w:t>
      </w:r>
      <w:r w:rsidRPr="00A80894">
        <w:rPr>
          <w:rFonts w:eastAsia="Times New Roman" w:cs="Times New Roman"/>
          <w:b/>
          <w:bCs/>
          <w:rtl/>
          <w:lang w:eastAsia="de-DE"/>
        </w:rPr>
        <w:t>אָח</w:t>
      </w:r>
      <w:r w:rsidRPr="00A80894">
        <w:rPr>
          <w:rFonts w:eastAsia="Times New Roman" w:cs="Times New Roman"/>
          <w:rtl/>
          <w:lang w:eastAsia="de-DE"/>
        </w:rPr>
        <w:t xml:space="preserve"> </w:t>
      </w:r>
      <w:r w:rsidRPr="00A80894">
        <w:rPr>
          <w:rFonts w:eastAsia="Times New Roman" w:cs="Times New Roman"/>
          <w:lang w:eastAsia="de-DE"/>
        </w:rPr>
        <w:t xml:space="preserve">„Bruder" mit Suffix 2. Person maskulin Plural „eure Brüder"), </w:t>
      </w:r>
      <w:r w:rsidRPr="00A80894">
        <w:rPr>
          <w:rFonts w:eastAsia="Times New Roman" w:cs="Times New Roman"/>
          <w:b/>
          <w:bCs/>
          <w:rtl/>
          <w:lang w:eastAsia="de-DE"/>
        </w:rPr>
        <w:t>יָבֹאוּ</w:t>
      </w:r>
      <w:r w:rsidRPr="00A80894">
        <w:rPr>
          <w:rFonts w:eastAsia="Times New Roman" w:cs="Times New Roman"/>
          <w:rtl/>
          <w:lang w:eastAsia="de-DE"/>
        </w:rPr>
        <w:t xml:space="preserve"> </w:t>
      </w:r>
      <w:r w:rsidRPr="00A80894">
        <w:rPr>
          <w:rFonts w:eastAsia="Times New Roman" w:cs="Times New Roman"/>
          <w:lang w:eastAsia="de-DE"/>
        </w:rPr>
        <w:t xml:space="preserve">(Qal Imperfekt 3. Person Plural von </w:t>
      </w:r>
      <w:r w:rsidRPr="00A80894">
        <w:rPr>
          <w:rFonts w:eastAsia="Times New Roman" w:cs="Times New Roman"/>
          <w:b/>
          <w:bCs/>
          <w:rtl/>
          <w:lang w:eastAsia="de-DE"/>
        </w:rPr>
        <w:t>בוא</w:t>
      </w:r>
      <w:r w:rsidRPr="00A80894">
        <w:rPr>
          <w:rFonts w:eastAsia="Times New Roman" w:cs="Times New Roman"/>
          <w:rtl/>
          <w:lang w:eastAsia="de-DE"/>
        </w:rPr>
        <w:t xml:space="preserve"> </w:t>
      </w:r>
      <w:r w:rsidRPr="00A80894">
        <w:rPr>
          <w:rFonts w:eastAsia="Times New Roman" w:cs="Times New Roman"/>
          <w:lang w:eastAsia="de-DE"/>
        </w:rPr>
        <w:t xml:space="preserve">„kommen, gehen"), </w:t>
      </w:r>
      <w:r w:rsidRPr="00A80894">
        <w:rPr>
          <w:rFonts w:eastAsia="Times New Roman" w:cs="Times New Roman"/>
          <w:b/>
          <w:bCs/>
          <w:rtl/>
          <w:lang w:eastAsia="de-DE"/>
        </w:rPr>
        <w:t>לַמִּלְחָמָה</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מִלְחָמָה</w:t>
      </w:r>
      <w:r w:rsidRPr="00A80894">
        <w:rPr>
          <w:rFonts w:eastAsia="Times New Roman" w:cs="Times New Roman"/>
          <w:rtl/>
          <w:lang w:eastAsia="de-DE"/>
        </w:rPr>
        <w:t xml:space="preserve"> </w:t>
      </w:r>
      <w:r w:rsidRPr="00A80894">
        <w:rPr>
          <w:rFonts w:eastAsia="Times New Roman" w:cs="Times New Roman"/>
          <w:lang w:eastAsia="de-DE"/>
        </w:rPr>
        <w:t xml:space="preserve">„Krieg" mit Artikel „in den Kampf"), </w:t>
      </w:r>
      <w:r w:rsidRPr="00A80894">
        <w:rPr>
          <w:rFonts w:eastAsia="Times New Roman" w:cs="Times New Roman"/>
          <w:b/>
          <w:bCs/>
          <w:rtl/>
          <w:lang w:eastAsia="de-DE"/>
        </w:rPr>
        <w:t>וְאַתֶּם תֵּשְׁבוּ פֹה</w:t>
      </w:r>
      <w:r w:rsidRPr="00A80894">
        <w:rPr>
          <w:rFonts w:eastAsia="Times New Roman" w:cs="Times New Roman"/>
          <w:rtl/>
          <w:lang w:eastAsia="de-DE"/>
        </w:rPr>
        <w:t xml:space="preserve"> </w:t>
      </w:r>
      <w:r w:rsidRPr="00A80894">
        <w:rPr>
          <w:rFonts w:eastAsia="Times New Roman" w:cs="Times New Roman"/>
          <w:lang w:eastAsia="de-DE"/>
        </w:rPr>
        <w:t xml:space="preserve">(Konjunktion mit emphatischem Personalpronomen 2. Person Plural, Qal Imperfekt von </w:t>
      </w:r>
      <w:r w:rsidRPr="00A80894">
        <w:rPr>
          <w:rFonts w:eastAsia="Times New Roman" w:cs="Times New Roman"/>
          <w:b/>
          <w:bCs/>
          <w:rtl/>
          <w:lang w:eastAsia="de-DE"/>
        </w:rPr>
        <w:t>ישׁב</w:t>
      </w:r>
      <w:r w:rsidRPr="00A80894">
        <w:rPr>
          <w:rFonts w:eastAsia="Times New Roman" w:cs="Times New Roman"/>
          <w:rtl/>
          <w:lang w:eastAsia="de-DE"/>
        </w:rPr>
        <w:t xml:space="preserve"> </w:t>
      </w:r>
      <w:r w:rsidRPr="00A80894">
        <w:rPr>
          <w:rFonts w:eastAsia="Times New Roman" w:cs="Times New Roman"/>
          <w:lang w:eastAsia="de-DE"/>
        </w:rPr>
        <w:t xml:space="preserve">„sitzen, bleiben" und Adverb </w:t>
      </w:r>
      <w:r w:rsidRPr="00A80894">
        <w:rPr>
          <w:rFonts w:eastAsia="Times New Roman" w:cs="Times New Roman"/>
          <w:b/>
          <w:bCs/>
          <w:rtl/>
          <w:lang w:eastAsia="de-DE"/>
        </w:rPr>
        <w:t>פֹה</w:t>
      </w:r>
      <w:r w:rsidRPr="00A80894">
        <w:rPr>
          <w:rFonts w:eastAsia="Times New Roman" w:cs="Times New Roman"/>
          <w:rtl/>
          <w:lang w:eastAsia="de-DE"/>
        </w:rPr>
        <w:t xml:space="preserve"> </w:t>
      </w:r>
      <w:r w:rsidRPr="00A80894">
        <w:rPr>
          <w:rFonts w:eastAsia="Times New Roman" w:cs="Times New Roman"/>
          <w:lang w:eastAsia="de-DE"/>
        </w:rPr>
        <w:t>„hier" „und ihr wollt hier sitzen/bleiben"). Die rhetorische Frage drückt scharfe Kritik aus: Während die Brüder kämpfen, wollen diese beiden Stämme sich drücken.</w:t>
      </w:r>
    </w:p>
    <w:p w14:paraId="08D3A60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 Redeeinleitung, gefolgt von einer kontrastierenden rhetorischen Frage.</w:t>
      </w:r>
    </w:p>
    <w:p w14:paraId="3A94E99B"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enthüllt Moses sofortige Interpretation: Er sieht in der Bitte einen Versuch, sich dem Kampf zu entziehen - ein unverantwortliches Verhalten gegenüber den Brüdern, die kämpfen müssen.</w:t>
      </w:r>
    </w:p>
    <w:p w14:paraId="7DD2A656"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32,7</w:t>
      </w:r>
    </w:p>
    <w:p w14:paraId="154438F1"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וְלָ֣מָּה תְנוּאוּן אֶת־לֵ֖ב בְּנֵ֣י יִשְׂרָאֵ֑ל מֵֽעֲבֹר֙ אֶל־הָאָ֔רֶץ אֲשֶׁר־נָתַ֥ן לָהֶ֖ם יְהוָֽה׃</w:t>
      </w:r>
    </w:p>
    <w:p w14:paraId="7549273A"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Und warum wollt ihr das Herz der Söhne Jisra'el abwenden, in das Land hinüberzuziehen, das der Ewige ihnen gegeben hat?</w:t>
      </w:r>
    </w:p>
    <w:p w14:paraId="1272C652"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5AC31002">
          <v:rect id="_x0000_i1993" style="width:0;height:1.5pt" o:hralign="center" o:hrstd="t" o:hr="t" fillcolor="#a0a0a0" stroked="f"/>
        </w:pict>
      </w:r>
    </w:p>
    <w:p w14:paraId="582F0125" w14:textId="5D5A2E66"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wirft eine tiefere Anklage auf. </w:t>
      </w:r>
      <w:r w:rsidRPr="00A80894">
        <w:rPr>
          <w:rFonts w:eastAsia="Times New Roman" w:cs="Times New Roman"/>
          <w:b/>
          <w:bCs/>
          <w:rtl/>
          <w:lang w:eastAsia="de-DE"/>
        </w:rPr>
        <w:t>וְלָמָּה תְנוּאוּן אֶת־לֵב בְּנֵי יִשְׂרָאֵל</w:t>
      </w:r>
      <w:r w:rsidRPr="00A80894">
        <w:rPr>
          <w:rFonts w:eastAsia="Times New Roman" w:cs="Times New Roman"/>
          <w:rtl/>
          <w:lang w:eastAsia="de-DE"/>
        </w:rPr>
        <w:t xml:space="preserve"> </w:t>
      </w:r>
      <w:r w:rsidRPr="00A80894">
        <w:rPr>
          <w:rFonts w:eastAsia="Times New Roman" w:cs="Times New Roman"/>
          <w:lang w:eastAsia="de-DE"/>
        </w:rPr>
        <w:t xml:space="preserve">ist die Frage nach der Wirkung. </w:t>
      </w:r>
      <w:r w:rsidRPr="00A80894">
        <w:rPr>
          <w:rFonts w:eastAsia="Times New Roman" w:cs="Times New Roman"/>
          <w:b/>
          <w:bCs/>
          <w:rtl/>
          <w:lang w:eastAsia="de-DE"/>
        </w:rPr>
        <w:t>וְלָמָּה</w:t>
      </w:r>
      <w:r w:rsidRPr="00A80894">
        <w:rPr>
          <w:rFonts w:eastAsia="Times New Roman" w:cs="Times New Roman"/>
          <w:rtl/>
          <w:lang w:eastAsia="de-DE"/>
        </w:rPr>
        <w:t xml:space="preserve"> </w:t>
      </w:r>
      <w:r w:rsidRPr="00A80894">
        <w:rPr>
          <w:rFonts w:eastAsia="Times New Roman" w:cs="Times New Roman"/>
          <w:lang w:eastAsia="de-DE"/>
        </w:rPr>
        <w:t xml:space="preserve">(Konjunktion mit Interrogativadverb „und warum"), </w:t>
      </w:r>
      <w:r w:rsidRPr="00A80894">
        <w:rPr>
          <w:rFonts w:eastAsia="Times New Roman" w:cs="Times New Roman"/>
          <w:b/>
          <w:bCs/>
          <w:rtl/>
          <w:lang w:eastAsia="de-DE"/>
        </w:rPr>
        <w:t>תְנוּאוּן</w:t>
      </w:r>
      <w:r w:rsidRPr="00A80894">
        <w:rPr>
          <w:rFonts w:eastAsia="Times New Roman" w:cs="Times New Roman"/>
          <w:rtl/>
          <w:lang w:eastAsia="de-DE"/>
        </w:rPr>
        <w:t xml:space="preserve"> </w:t>
      </w:r>
      <w:r w:rsidRPr="00A80894">
        <w:rPr>
          <w:rFonts w:eastAsia="Times New Roman" w:cs="Times New Roman"/>
          <w:lang w:eastAsia="de-DE"/>
        </w:rPr>
        <w:t xml:space="preserve">(Hiphil Imperfekt 2. Person maskulin Plural von </w:t>
      </w:r>
      <w:r w:rsidRPr="00A80894">
        <w:rPr>
          <w:rFonts w:eastAsia="Times New Roman" w:cs="Times New Roman"/>
          <w:b/>
          <w:bCs/>
          <w:rtl/>
          <w:lang w:eastAsia="de-DE"/>
        </w:rPr>
        <w:t>נוא</w:t>
      </w:r>
      <w:r w:rsidRPr="00A80894">
        <w:rPr>
          <w:rFonts w:eastAsia="Times New Roman" w:cs="Times New Roman"/>
          <w:rtl/>
          <w:lang w:eastAsia="de-DE"/>
        </w:rPr>
        <w:t xml:space="preserve"> </w:t>
      </w:r>
      <w:r w:rsidRPr="00A80894">
        <w:rPr>
          <w:rFonts w:eastAsia="Times New Roman" w:cs="Times New Roman"/>
          <w:lang w:eastAsia="de-DE"/>
        </w:rPr>
        <w:t xml:space="preserve">„abwenden, hindern, entmutigen" mit Paragogischem Nun), </w:t>
      </w:r>
      <w:r w:rsidRPr="00A80894">
        <w:rPr>
          <w:rFonts w:eastAsia="Times New Roman" w:cs="Times New Roman"/>
          <w:b/>
          <w:bCs/>
          <w:rtl/>
          <w:lang w:eastAsia="de-DE"/>
        </w:rPr>
        <w:t>אֶת־לֵב בְּנֵי יִשְׂרָאֵל</w:t>
      </w:r>
      <w:r w:rsidRPr="00A80894">
        <w:rPr>
          <w:rFonts w:eastAsia="Times New Roman" w:cs="Times New Roman"/>
          <w:rtl/>
          <w:lang w:eastAsia="de-DE"/>
        </w:rPr>
        <w:t xml:space="preserve"> </w:t>
      </w:r>
      <w:r w:rsidRPr="00A80894">
        <w:rPr>
          <w:rFonts w:eastAsia="Times New Roman" w:cs="Times New Roman"/>
          <w:lang w:eastAsia="de-DE"/>
        </w:rPr>
        <w:t xml:space="preserve">(Akkusativpartikel mit </w:t>
      </w:r>
      <w:r w:rsidRPr="00A80894">
        <w:rPr>
          <w:rFonts w:eastAsia="Times New Roman" w:cs="Times New Roman"/>
          <w:b/>
          <w:bCs/>
          <w:rtl/>
          <w:lang w:eastAsia="de-DE"/>
        </w:rPr>
        <w:t>לֵב</w:t>
      </w:r>
      <w:r w:rsidRPr="00A80894">
        <w:rPr>
          <w:rFonts w:eastAsia="Times New Roman" w:cs="Times New Roman"/>
          <w:rtl/>
          <w:lang w:eastAsia="de-DE"/>
        </w:rPr>
        <w:t xml:space="preserve"> </w:t>
      </w:r>
      <w:r w:rsidRPr="00A80894">
        <w:rPr>
          <w:rFonts w:eastAsia="Times New Roman" w:cs="Times New Roman"/>
          <w:lang w:eastAsia="de-DE"/>
        </w:rPr>
        <w:t xml:space="preserve">„Herz" im </w:t>
      </w:r>
      <w:r w:rsidR="00E031B3">
        <w:rPr>
          <w:rFonts w:eastAsia="Times New Roman" w:cs="Times New Roman"/>
          <w:lang w:eastAsia="de-DE"/>
        </w:rPr>
        <w:t>Constructus und</w:t>
      </w:r>
      <w:r w:rsidRPr="00A80894">
        <w:rPr>
          <w:rFonts w:eastAsia="Times New Roman" w:cs="Times New Roman"/>
          <w:lang w:eastAsia="de-DE"/>
        </w:rPr>
        <w:t xml:space="preserve"> „Söhne Israels" „das Herz der Söhne Israels"). </w:t>
      </w:r>
      <w:r w:rsidRPr="00A80894">
        <w:rPr>
          <w:rFonts w:eastAsia="Times New Roman" w:cs="Times New Roman"/>
          <w:b/>
          <w:bCs/>
          <w:rtl/>
          <w:lang w:eastAsia="de-DE"/>
        </w:rPr>
        <w:t>מֵעֲבֹר אֶל־הָאָרֶץ אֲשֶׁר־נָתַן לָהֶם יהוה</w:t>
      </w:r>
      <w:r w:rsidRPr="00A80894">
        <w:rPr>
          <w:rFonts w:eastAsia="Times New Roman" w:cs="Times New Roman"/>
          <w:rtl/>
          <w:lang w:eastAsia="de-DE"/>
        </w:rPr>
        <w:t xml:space="preserve"> </w:t>
      </w:r>
      <w:r w:rsidRPr="00A80894">
        <w:rPr>
          <w:rFonts w:eastAsia="Times New Roman" w:cs="Times New Roman"/>
          <w:lang w:eastAsia="de-DE"/>
        </w:rPr>
        <w:t xml:space="preserve">gibt den Inhalt der Abwendung an. </w:t>
      </w:r>
      <w:r w:rsidRPr="00A80894">
        <w:rPr>
          <w:rFonts w:eastAsia="Times New Roman" w:cs="Times New Roman"/>
          <w:b/>
          <w:bCs/>
          <w:rtl/>
          <w:lang w:eastAsia="de-DE"/>
        </w:rPr>
        <w:t>מֵעֲבֹר</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מִן</w:t>
      </w:r>
      <w:r w:rsidRPr="00A80894">
        <w:rPr>
          <w:rFonts w:eastAsia="Times New Roman" w:cs="Times New Roman"/>
          <w:rtl/>
          <w:lang w:eastAsia="de-DE"/>
        </w:rPr>
        <w:t xml:space="preserve"> </w:t>
      </w:r>
      <w:r w:rsidRPr="00A80894">
        <w:rPr>
          <w:rFonts w:eastAsia="Times New Roman" w:cs="Times New Roman"/>
          <w:lang w:eastAsia="de-DE"/>
        </w:rPr>
        <w:t xml:space="preserve">mit Qal Infinitiv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עבר</w:t>
      </w:r>
      <w:r w:rsidRPr="00A80894">
        <w:rPr>
          <w:rFonts w:eastAsia="Times New Roman" w:cs="Times New Roman"/>
          <w:rtl/>
          <w:lang w:eastAsia="de-DE"/>
        </w:rPr>
        <w:t xml:space="preserve"> </w:t>
      </w:r>
      <w:r w:rsidRPr="00A80894">
        <w:rPr>
          <w:rFonts w:eastAsia="Times New Roman" w:cs="Times New Roman"/>
          <w:lang w:eastAsia="de-DE"/>
        </w:rPr>
        <w:t xml:space="preserve">„vom Hinüberziehen"), </w:t>
      </w:r>
      <w:r w:rsidRPr="00A80894">
        <w:rPr>
          <w:rFonts w:eastAsia="Times New Roman" w:cs="Times New Roman"/>
          <w:b/>
          <w:bCs/>
          <w:rtl/>
          <w:lang w:eastAsia="de-DE"/>
        </w:rPr>
        <w:t>אֶל־הָאָרֶץ אֲשֶׁר־נָתַן לָהֶם יהוה</w:t>
      </w:r>
      <w:r w:rsidRPr="00A80894">
        <w:rPr>
          <w:rFonts w:eastAsia="Times New Roman" w:cs="Times New Roman"/>
          <w:rtl/>
          <w:lang w:eastAsia="de-DE"/>
        </w:rPr>
        <w:t xml:space="preserve"> </w:t>
      </w:r>
      <w:r w:rsidRPr="00A80894">
        <w:rPr>
          <w:rFonts w:eastAsia="Times New Roman" w:cs="Times New Roman"/>
          <w:lang w:eastAsia="de-DE"/>
        </w:rPr>
        <w:t xml:space="preserve">(Präposition mit </w:t>
      </w:r>
      <w:r w:rsidRPr="00A80894">
        <w:rPr>
          <w:rFonts w:eastAsia="Times New Roman" w:cs="Times New Roman"/>
          <w:b/>
          <w:bCs/>
          <w:rtl/>
          <w:lang w:eastAsia="de-DE"/>
        </w:rPr>
        <w:t>אֶרֶץ</w:t>
      </w:r>
      <w:r w:rsidRPr="00A80894">
        <w:rPr>
          <w:rFonts w:eastAsia="Times New Roman" w:cs="Times New Roman"/>
          <w:rtl/>
          <w:lang w:eastAsia="de-DE"/>
        </w:rPr>
        <w:t xml:space="preserve"> </w:t>
      </w:r>
      <w:r w:rsidRPr="00A80894">
        <w:rPr>
          <w:rFonts w:eastAsia="Times New Roman" w:cs="Times New Roman"/>
          <w:lang w:eastAsia="de-DE"/>
        </w:rPr>
        <w:t>„Land" und Relativsatz „in das Land, das der Ewige ihnen gegeben hat"). Moses fürchtet, dass die Weigerung dieser zwei Stämme die anderen entmutigen wird.</w:t>
      </w:r>
    </w:p>
    <w:p w14:paraId="5A69415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 rhetorische Frage mit Objekt (Herz der Israeliten) und finalem Infinitiv mit Relativsatz.</w:t>
      </w:r>
    </w:p>
    <w:p w14:paraId="12FC6F24"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zeigt Moses tiefere Sorge: Die Weigerung wird nicht nur diese zwei Stämme betreffen, sondern das ganze Volk entmutigen und vom Einzug ins verheißene Land abhalten - eine kollektive Katastrophe.</w:t>
      </w:r>
    </w:p>
    <w:p w14:paraId="60DF038E"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lastRenderedPageBreak/>
        <w:t>Numeri 32,8</w:t>
      </w:r>
    </w:p>
    <w:p w14:paraId="66983F3E"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כֹּ֥ה עָשׂ֖וּ אֲבֹתֵיכֶ֑ם בְּשָׁלְחִ֥י אֹתָ֛ם מִקָּדֵ֥שׁ בַּרְנֵ֖עַ לִרְא֥וֹת אֶת־הָאָֽרֶץ׃</w:t>
      </w:r>
    </w:p>
    <w:p w14:paraId="79BF137F"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So taten eure Väter, als ich sie von Kadesch-Barnea aussandte, das Land zu sehen:</w:t>
      </w:r>
    </w:p>
    <w:p w14:paraId="325BF782"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46EE02F7">
          <v:rect id="_x0000_i1994" style="width:0;height:1.5pt" o:hralign="center" o:hrstd="t" o:hr="t" fillcolor="#a0a0a0" stroked="f"/>
        </w:pict>
      </w:r>
    </w:p>
    <w:p w14:paraId="0D33002F" w14:textId="5DDCAD5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leitet die historische Parallele ein. </w:t>
      </w:r>
      <w:r w:rsidRPr="00A80894">
        <w:rPr>
          <w:rFonts w:eastAsia="Times New Roman" w:cs="Times New Roman"/>
          <w:b/>
          <w:bCs/>
          <w:rtl/>
          <w:lang w:eastAsia="de-DE"/>
        </w:rPr>
        <w:t>כֹּה עָשׂוּ אֲבֹתֵיכֶם</w:t>
      </w:r>
      <w:r w:rsidRPr="00A80894">
        <w:rPr>
          <w:rFonts w:eastAsia="Times New Roman" w:cs="Times New Roman"/>
          <w:rtl/>
          <w:lang w:eastAsia="de-DE"/>
        </w:rPr>
        <w:t xml:space="preserve"> </w:t>
      </w:r>
      <w:r w:rsidRPr="00A80894">
        <w:rPr>
          <w:rFonts w:eastAsia="Times New Roman" w:cs="Times New Roman"/>
          <w:lang w:eastAsia="de-DE"/>
        </w:rPr>
        <w:t xml:space="preserve">ist der Vergleich. </w:t>
      </w:r>
      <w:r w:rsidRPr="00A80894">
        <w:rPr>
          <w:rFonts w:eastAsia="Times New Roman" w:cs="Times New Roman"/>
          <w:b/>
          <w:bCs/>
          <w:rtl/>
          <w:lang w:eastAsia="de-DE"/>
        </w:rPr>
        <w:t>כֹּה</w:t>
      </w:r>
      <w:r w:rsidRPr="00A80894">
        <w:rPr>
          <w:rFonts w:eastAsia="Times New Roman" w:cs="Times New Roman"/>
          <w:rtl/>
          <w:lang w:eastAsia="de-DE"/>
        </w:rPr>
        <w:t xml:space="preserve"> </w:t>
      </w:r>
      <w:r w:rsidRPr="00A80894">
        <w:rPr>
          <w:rFonts w:eastAsia="Times New Roman" w:cs="Times New Roman"/>
          <w:lang w:eastAsia="de-DE"/>
        </w:rPr>
        <w:t xml:space="preserve">(Adverb „so, auf diese Weise"), </w:t>
      </w:r>
      <w:r w:rsidRPr="00A80894">
        <w:rPr>
          <w:rFonts w:eastAsia="Times New Roman" w:cs="Times New Roman"/>
          <w:b/>
          <w:bCs/>
          <w:rtl/>
          <w:lang w:eastAsia="de-DE"/>
        </w:rPr>
        <w:t>עָשׂוּ</w:t>
      </w:r>
      <w:r w:rsidRPr="00A80894">
        <w:rPr>
          <w:rFonts w:eastAsia="Times New Roman" w:cs="Times New Roman"/>
          <w:rtl/>
          <w:lang w:eastAsia="de-DE"/>
        </w:rPr>
        <w:t xml:space="preserve"> </w:t>
      </w:r>
      <w:r w:rsidRPr="00A80894">
        <w:rPr>
          <w:rFonts w:eastAsia="Times New Roman" w:cs="Times New Roman"/>
          <w:lang w:eastAsia="de-DE"/>
        </w:rPr>
        <w:t xml:space="preserve">(Qal Perfekt 3. Person maskulin Plural von </w:t>
      </w:r>
      <w:r w:rsidRPr="00A80894">
        <w:rPr>
          <w:rFonts w:eastAsia="Times New Roman" w:cs="Times New Roman"/>
          <w:b/>
          <w:bCs/>
          <w:rtl/>
          <w:lang w:eastAsia="de-DE"/>
        </w:rPr>
        <w:t>עשׂה</w:t>
      </w:r>
      <w:r w:rsidRPr="00A80894">
        <w:rPr>
          <w:rFonts w:eastAsia="Times New Roman" w:cs="Times New Roman"/>
          <w:rtl/>
          <w:lang w:eastAsia="de-DE"/>
        </w:rPr>
        <w:t xml:space="preserve"> </w:t>
      </w:r>
      <w:r w:rsidRPr="00A80894">
        <w:rPr>
          <w:rFonts w:eastAsia="Times New Roman" w:cs="Times New Roman"/>
          <w:lang w:eastAsia="de-DE"/>
        </w:rPr>
        <w:t xml:space="preserve">„tun, machen"), </w:t>
      </w:r>
      <w:r w:rsidRPr="00A80894">
        <w:rPr>
          <w:rFonts w:eastAsia="Times New Roman" w:cs="Times New Roman"/>
          <w:b/>
          <w:bCs/>
          <w:rtl/>
          <w:lang w:eastAsia="de-DE"/>
        </w:rPr>
        <w:t>אֲבֹתֵיכֶם</w:t>
      </w:r>
      <w:r w:rsidRPr="00A80894">
        <w:rPr>
          <w:rFonts w:eastAsia="Times New Roman" w:cs="Times New Roman"/>
          <w:rtl/>
          <w:lang w:eastAsia="de-DE"/>
        </w:rPr>
        <w:t xml:space="preserve"> </w:t>
      </w:r>
      <w:r w:rsidRPr="00A80894">
        <w:rPr>
          <w:rFonts w:eastAsia="Times New Roman" w:cs="Times New Roman"/>
          <w:lang w:eastAsia="de-DE"/>
        </w:rPr>
        <w:t xml:space="preserve">(Plural von </w:t>
      </w:r>
      <w:r w:rsidRPr="00A80894">
        <w:rPr>
          <w:rFonts w:eastAsia="Times New Roman" w:cs="Times New Roman"/>
          <w:b/>
          <w:bCs/>
          <w:rtl/>
          <w:lang w:eastAsia="de-DE"/>
        </w:rPr>
        <w:t>אָב</w:t>
      </w:r>
      <w:r w:rsidRPr="00A80894">
        <w:rPr>
          <w:rFonts w:eastAsia="Times New Roman" w:cs="Times New Roman"/>
          <w:rtl/>
          <w:lang w:eastAsia="de-DE"/>
        </w:rPr>
        <w:t xml:space="preserve"> </w:t>
      </w:r>
      <w:r w:rsidRPr="00A80894">
        <w:rPr>
          <w:rFonts w:eastAsia="Times New Roman" w:cs="Times New Roman"/>
          <w:lang w:eastAsia="de-DE"/>
        </w:rPr>
        <w:t xml:space="preserve">„Vater" mit Suffix 2. Person maskulin Plural „eure Väter"). </w:t>
      </w:r>
      <w:r w:rsidRPr="00A80894">
        <w:rPr>
          <w:rFonts w:eastAsia="Times New Roman" w:cs="Times New Roman"/>
          <w:b/>
          <w:bCs/>
          <w:rtl/>
          <w:lang w:eastAsia="de-DE"/>
        </w:rPr>
        <w:t>בְּשָׁלְחִי אֹתָם מִקָּדֵשׁ בַּרְנֵעַ לִרְאוֹת אֶת־הָאָרֶץ</w:t>
      </w:r>
      <w:r w:rsidRPr="00A80894">
        <w:rPr>
          <w:rFonts w:eastAsia="Times New Roman" w:cs="Times New Roman"/>
          <w:rtl/>
          <w:lang w:eastAsia="de-DE"/>
        </w:rPr>
        <w:t xml:space="preserve"> </w:t>
      </w:r>
      <w:r w:rsidRPr="00A80894">
        <w:rPr>
          <w:rFonts w:eastAsia="Times New Roman" w:cs="Times New Roman"/>
          <w:lang w:eastAsia="de-DE"/>
        </w:rPr>
        <w:t xml:space="preserve">gibt den Kontext an. </w:t>
      </w:r>
      <w:r w:rsidRPr="00A80894">
        <w:rPr>
          <w:rFonts w:eastAsia="Times New Roman" w:cs="Times New Roman"/>
          <w:b/>
          <w:bCs/>
          <w:rtl/>
          <w:lang w:eastAsia="de-DE"/>
        </w:rPr>
        <w:t>בְּשָׁלְחִי</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בְ</w:t>
      </w:r>
      <w:r w:rsidRPr="00A80894">
        <w:rPr>
          <w:rFonts w:eastAsia="Times New Roman" w:cs="Times New Roman"/>
          <w:rtl/>
          <w:lang w:eastAsia="de-DE"/>
        </w:rPr>
        <w:t xml:space="preserve"> </w:t>
      </w:r>
      <w:r w:rsidRPr="00A80894">
        <w:rPr>
          <w:rFonts w:eastAsia="Times New Roman" w:cs="Times New Roman"/>
          <w:lang w:eastAsia="de-DE"/>
        </w:rPr>
        <w:t xml:space="preserve">mit Qal Infinitiv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שׁלח</w:t>
      </w:r>
      <w:r w:rsidRPr="00A80894">
        <w:rPr>
          <w:rFonts w:eastAsia="Times New Roman" w:cs="Times New Roman"/>
          <w:rtl/>
          <w:lang w:eastAsia="de-DE"/>
        </w:rPr>
        <w:t xml:space="preserve"> </w:t>
      </w:r>
      <w:r w:rsidRPr="00A80894">
        <w:rPr>
          <w:rFonts w:eastAsia="Times New Roman" w:cs="Times New Roman"/>
          <w:lang w:eastAsia="de-DE"/>
        </w:rPr>
        <w:t xml:space="preserve">„senden" und Suffix 1. Person Singular „als ich sandte"), </w:t>
      </w:r>
      <w:r w:rsidRPr="00A80894">
        <w:rPr>
          <w:rFonts w:eastAsia="Times New Roman" w:cs="Times New Roman"/>
          <w:b/>
          <w:bCs/>
          <w:rtl/>
          <w:lang w:eastAsia="de-DE"/>
        </w:rPr>
        <w:t>אֹתָם</w:t>
      </w:r>
      <w:r w:rsidRPr="00A80894">
        <w:rPr>
          <w:rFonts w:eastAsia="Times New Roman" w:cs="Times New Roman"/>
          <w:rtl/>
          <w:lang w:eastAsia="de-DE"/>
        </w:rPr>
        <w:t xml:space="preserve"> </w:t>
      </w:r>
      <w:r w:rsidRPr="00A80894">
        <w:rPr>
          <w:rFonts w:eastAsia="Times New Roman" w:cs="Times New Roman"/>
          <w:lang w:eastAsia="de-DE"/>
        </w:rPr>
        <w:t xml:space="preserve">(Akkusativpartikel mit Suffix 3. Person maskulin Plural „sie"), </w:t>
      </w:r>
      <w:r w:rsidRPr="00A80894">
        <w:rPr>
          <w:rFonts w:eastAsia="Times New Roman" w:cs="Times New Roman"/>
          <w:b/>
          <w:bCs/>
          <w:rtl/>
          <w:lang w:eastAsia="de-DE"/>
        </w:rPr>
        <w:t>מִקָּדֵשׁ בַּרְנֵעַ</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מִן</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קָדֵשׁ בַּרְנֵעַ</w:t>
      </w:r>
      <w:r w:rsidRPr="00A80894">
        <w:rPr>
          <w:rFonts w:eastAsia="Times New Roman" w:cs="Times New Roman"/>
          <w:rtl/>
          <w:lang w:eastAsia="de-DE"/>
        </w:rPr>
        <w:t xml:space="preserve"> </w:t>
      </w:r>
      <w:r w:rsidRPr="00A80894">
        <w:rPr>
          <w:rFonts w:eastAsia="Times New Roman" w:cs="Times New Roman"/>
          <w:lang w:eastAsia="de-DE"/>
        </w:rPr>
        <w:t xml:space="preserve">„von Kadesch-Barnea"), </w:t>
      </w:r>
      <w:r w:rsidRPr="00A80894">
        <w:rPr>
          <w:rFonts w:eastAsia="Times New Roman" w:cs="Times New Roman"/>
          <w:b/>
          <w:bCs/>
          <w:rtl/>
          <w:lang w:eastAsia="de-DE"/>
        </w:rPr>
        <w:t>לִרְאוֹת אֶת־הָאָרֶץ</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Qal Infinitiv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ראה</w:t>
      </w:r>
      <w:r w:rsidRPr="00A80894">
        <w:rPr>
          <w:rFonts w:eastAsia="Times New Roman" w:cs="Times New Roman"/>
          <w:rtl/>
          <w:lang w:eastAsia="de-DE"/>
        </w:rPr>
        <w:t xml:space="preserve"> </w:t>
      </w:r>
      <w:r w:rsidRPr="00A80894">
        <w:rPr>
          <w:rFonts w:eastAsia="Times New Roman" w:cs="Times New Roman"/>
          <w:lang w:eastAsia="de-DE"/>
        </w:rPr>
        <w:t xml:space="preserve">„sehen" und Akkusativpartikel mit </w:t>
      </w:r>
      <w:r w:rsidRPr="00A80894">
        <w:rPr>
          <w:rFonts w:eastAsia="Times New Roman" w:cs="Times New Roman"/>
          <w:b/>
          <w:bCs/>
          <w:rtl/>
          <w:lang w:eastAsia="de-DE"/>
        </w:rPr>
        <w:t>אֶרֶץ</w:t>
      </w:r>
      <w:r w:rsidRPr="00A80894">
        <w:rPr>
          <w:rFonts w:eastAsia="Times New Roman" w:cs="Times New Roman"/>
          <w:rtl/>
          <w:lang w:eastAsia="de-DE"/>
        </w:rPr>
        <w:t xml:space="preserve"> </w:t>
      </w:r>
      <w:r w:rsidRPr="00A80894">
        <w:rPr>
          <w:rFonts w:eastAsia="Times New Roman" w:cs="Times New Roman"/>
          <w:lang w:eastAsia="de-DE"/>
        </w:rPr>
        <w:t>„das Land zu sehen"). Der Verweis ist auf die Kundschaftergeschichte in Num 13-14.</w:t>
      </w:r>
    </w:p>
    <w:p w14:paraId="6528066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einen Vergleichssatz mit temporalem Infinitivsatz.</w:t>
      </w:r>
    </w:p>
    <w:p w14:paraId="4B8A6905"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beginnt Moses historischen Rückblick: Was Gad und Ruben jetzt tun, ist genau das, was ihre Väter bei der Kundschaftung taten - eine verheerende Parallele.</w:t>
      </w:r>
    </w:p>
    <w:p w14:paraId="17EBC939"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32,9</w:t>
      </w:r>
    </w:p>
    <w:p w14:paraId="4B935278"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וַֽיַּעֲל֞וּ עַד־נַ֣חַל אֶשְׁכּ֗וֹל וַיִּרְאוּ֙ אֶת־הָאָ֔רֶץ וַיָּנִ֕יאוּ אֶת־לֵ֖ב בְּנֵ֣י יִשְׂרָאֵ֑ל לְבִלְתִּי־בֹא֙ אֶל־הָאָ֔רֶץ אֲשֶׁר־נָתַ֥ן לָהֶ֖ם יְהוָֽה׃</w:t>
      </w:r>
    </w:p>
    <w:p w14:paraId="6DCF995C"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Sie zogen hinauf bis zum Tal Eschkol und sahen das Land; und sie machten das Herz der Söhne Jisra'el abwendig, dass sie nicht in das Land gehen wollten, das der Ewige ihnen gegeben hatte.</w:t>
      </w:r>
    </w:p>
    <w:p w14:paraId="503B6179"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33F491CD">
          <v:rect id="_x0000_i1995" style="width:0;height:1.5pt" o:hralign="center" o:hrstd="t" o:hr="t" fillcolor="#a0a0a0" stroked="f"/>
        </w:pict>
      </w:r>
    </w:p>
    <w:p w14:paraId="11172CF6" w14:textId="5698D3EF"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beschreibt die Sünde der Kundschafter. </w:t>
      </w:r>
      <w:r w:rsidRPr="00A80894">
        <w:rPr>
          <w:rFonts w:eastAsia="Times New Roman" w:cs="Times New Roman"/>
          <w:b/>
          <w:bCs/>
          <w:rtl/>
          <w:lang w:eastAsia="de-DE"/>
        </w:rPr>
        <w:t>וַיַּעֲלוּ עַד־נַחַל אֶשְׁכּוֹל וַיִּרְאוּ אֶת־הָאָרֶץ</w:t>
      </w:r>
      <w:r w:rsidRPr="00A80894">
        <w:rPr>
          <w:rFonts w:eastAsia="Times New Roman" w:cs="Times New Roman"/>
          <w:rtl/>
          <w:lang w:eastAsia="de-DE"/>
        </w:rPr>
        <w:t xml:space="preserve"> </w:t>
      </w:r>
      <w:r w:rsidRPr="00A80894">
        <w:rPr>
          <w:rFonts w:eastAsia="Times New Roman" w:cs="Times New Roman"/>
          <w:lang w:eastAsia="de-DE"/>
        </w:rPr>
        <w:t xml:space="preserve">zeigt die erste Phase. </w:t>
      </w:r>
      <w:r w:rsidRPr="00A80894">
        <w:rPr>
          <w:rFonts w:eastAsia="Times New Roman" w:cs="Times New Roman"/>
          <w:b/>
          <w:bCs/>
          <w:rtl/>
          <w:lang w:eastAsia="de-DE"/>
        </w:rPr>
        <w:t>וַיַּעֲלוּ</w:t>
      </w:r>
      <w:r w:rsidRPr="00A80894">
        <w:rPr>
          <w:rFonts w:eastAsia="Times New Roman" w:cs="Times New Roman"/>
          <w:rtl/>
          <w:lang w:eastAsia="de-DE"/>
        </w:rPr>
        <w:t xml:space="preserve"> </w:t>
      </w:r>
      <w:r w:rsidRPr="00A80894">
        <w:rPr>
          <w:rFonts w:eastAsia="Times New Roman" w:cs="Times New Roman"/>
          <w:lang w:eastAsia="de-DE"/>
        </w:rPr>
        <w:t xml:space="preserve">(Qal Wayyiqtol 3. Person Plural von </w:t>
      </w:r>
      <w:r w:rsidRPr="00A80894">
        <w:rPr>
          <w:rFonts w:eastAsia="Times New Roman" w:cs="Times New Roman"/>
          <w:b/>
          <w:bCs/>
          <w:rtl/>
          <w:lang w:eastAsia="de-DE"/>
        </w:rPr>
        <w:t>עלה</w:t>
      </w:r>
      <w:r w:rsidRPr="00A80894">
        <w:rPr>
          <w:rFonts w:eastAsia="Times New Roman" w:cs="Times New Roman"/>
          <w:rtl/>
          <w:lang w:eastAsia="de-DE"/>
        </w:rPr>
        <w:t xml:space="preserve"> </w:t>
      </w:r>
      <w:r w:rsidRPr="00A80894">
        <w:rPr>
          <w:rFonts w:eastAsia="Times New Roman" w:cs="Times New Roman"/>
          <w:lang w:eastAsia="de-DE"/>
        </w:rPr>
        <w:t xml:space="preserve">„hinaufziehen"), </w:t>
      </w:r>
      <w:r w:rsidRPr="00A80894">
        <w:rPr>
          <w:rFonts w:eastAsia="Times New Roman" w:cs="Times New Roman"/>
          <w:b/>
          <w:bCs/>
          <w:rtl/>
          <w:lang w:eastAsia="de-DE"/>
        </w:rPr>
        <w:t>עַד־נַחַל אֶשְׁכּוֹל</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עַד</w:t>
      </w:r>
      <w:r w:rsidRPr="00A80894">
        <w:rPr>
          <w:rFonts w:eastAsia="Times New Roman" w:cs="Times New Roman"/>
          <w:rtl/>
          <w:lang w:eastAsia="de-DE"/>
        </w:rPr>
        <w:t xml:space="preserve"> </w:t>
      </w:r>
      <w:r w:rsidRPr="00A80894">
        <w:rPr>
          <w:rFonts w:eastAsia="Times New Roman" w:cs="Times New Roman"/>
          <w:lang w:eastAsia="de-DE"/>
        </w:rPr>
        <w:t xml:space="preserve">„bis" mit </w:t>
      </w:r>
      <w:r w:rsidRPr="00A80894">
        <w:rPr>
          <w:rFonts w:eastAsia="Times New Roman" w:cs="Times New Roman"/>
          <w:b/>
          <w:bCs/>
          <w:rtl/>
          <w:lang w:eastAsia="de-DE"/>
        </w:rPr>
        <w:t>נַחַל</w:t>
      </w:r>
      <w:r w:rsidRPr="00A80894">
        <w:rPr>
          <w:rFonts w:eastAsia="Times New Roman" w:cs="Times New Roman"/>
          <w:rtl/>
          <w:lang w:eastAsia="de-DE"/>
        </w:rPr>
        <w:t xml:space="preserve"> </w:t>
      </w:r>
      <w:r w:rsidRPr="00A80894">
        <w:rPr>
          <w:rFonts w:eastAsia="Times New Roman" w:cs="Times New Roman"/>
          <w:lang w:eastAsia="de-DE"/>
        </w:rPr>
        <w:t xml:space="preserve">„Tal, Bach" im </w:t>
      </w:r>
      <w:r w:rsidR="00E031B3">
        <w:rPr>
          <w:rFonts w:eastAsia="Times New Roman" w:cs="Times New Roman"/>
          <w:lang w:eastAsia="de-DE"/>
        </w:rPr>
        <w:t>Constructus und</w:t>
      </w:r>
      <w:r w:rsidRPr="00A80894">
        <w:rPr>
          <w:rFonts w:eastAsia="Times New Roman" w:cs="Times New Roman"/>
          <w:lang w:eastAsia="de-DE"/>
        </w:rPr>
        <w:t xml:space="preserve"> </w:t>
      </w:r>
      <w:r w:rsidRPr="00A80894">
        <w:rPr>
          <w:rFonts w:eastAsia="Times New Roman" w:cs="Times New Roman"/>
          <w:b/>
          <w:bCs/>
          <w:rtl/>
          <w:lang w:eastAsia="de-DE"/>
        </w:rPr>
        <w:t>אֶשְׁכּוֹל</w:t>
      </w:r>
      <w:r w:rsidRPr="00A80894">
        <w:rPr>
          <w:rFonts w:eastAsia="Times New Roman" w:cs="Times New Roman"/>
          <w:rtl/>
          <w:lang w:eastAsia="de-DE"/>
        </w:rPr>
        <w:t xml:space="preserve"> </w:t>
      </w:r>
      <w:r w:rsidRPr="00A80894">
        <w:rPr>
          <w:rFonts w:eastAsia="Times New Roman" w:cs="Times New Roman"/>
          <w:lang w:eastAsia="de-DE"/>
        </w:rPr>
        <w:t xml:space="preserve">„Eschkol" „bis zum Tal Eschkol"), </w:t>
      </w:r>
      <w:r w:rsidRPr="00A80894">
        <w:rPr>
          <w:rFonts w:eastAsia="Times New Roman" w:cs="Times New Roman"/>
          <w:b/>
          <w:bCs/>
          <w:rtl/>
          <w:lang w:eastAsia="de-DE"/>
        </w:rPr>
        <w:t>וַיִּרְאוּ אֶת־הָאָרֶץ</w:t>
      </w:r>
      <w:r w:rsidRPr="00A80894">
        <w:rPr>
          <w:rFonts w:eastAsia="Times New Roman" w:cs="Times New Roman"/>
          <w:rtl/>
          <w:lang w:eastAsia="de-DE"/>
        </w:rPr>
        <w:t xml:space="preserve"> </w:t>
      </w:r>
      <w:r w:rsidRPr="00A80894">
        <w:rPr>
          <w:rFonts w:eastAsia="Times New Roman" w:cs="Times New Roman"/>
          <w:lang w:eastAsia="de-DE"/>
        </w:rPr>
        <w:t xml:space="preserve">(Qal Wayyiqtol 3. Person Plural von </w:t>
      </w:r>
      <w:r w:rsidRPr="00A80894">
        <w:rPr>
          <w:rFonts w:eastAsia="Times New Roman" w:cs="Times New Roman"/>
          <w:b/>
          <w:bCs/>
          <w:rtl/>
          <w:lang w:eastAsia="de-DE"/>
        </w:rPr>
        <w:t>ראה</w:t>
      </w:r>
      <w:r w:rsidRPr="00A80894">
        <w:rPr>
          <w:rFonts w:eastAsia="Times New Roman" w:cs="Times New Roman"/>
          <w:rtl/>
          <w:lang w:eastAsia="de-DE"/>
        </w:rPr>
        <w:t xml:space="preserve"> </w:t>
      </w:r>
      <w:r w:rsidRPr="00A80894">
        <w:rPr>
          <w:rFonts w:eastAsia="Times New Roman" w:cs="Times New Roman"/>
          <w:lang w:eastAsia="de-DE"/>
        </w:rPr>
        <w:t xml:space="preserve">„sehen" mit Akkusativpartikel und </w:t>
      </w:r>
      <w:r w:rsidRPr="00A80894">
        <w:rPr>
          <w:rFonts w:eastAsia="Times New Roman" w:cs="Times New Roman"/>
          <w:b/>
          <w:bCs/>
          <w:rtl/>
          <w:lang w:eastAsia="de-DE"/>
        </w:rPr>
        <w:t>אֶרֶץ</w:t>
      </w:r>
      <w:r w:rsidRPr="00A80894">
        <w:rPr>
          <w:rFonts w:eastAsia="Times New Roman" w:cs="Times New Roman"/>
          <w:rtl/>
          <w:lang w:eastAsia="de-DE"/>
        </w:rPr>
        <w:t xml:space="preserve"> </w:t>
      </w:r>
      <w:r w:rsidRPr="00A80894">
        <w:rPr>
          <w:rFonts w:eastAsia="Times New Roman" w:cs="Times New Roman"/>
          <w:lang w:eastAsia="de-DE"/>
        </w:rPr>
        <w:t>„und sie sahen das Land"). Das Tal Eschkol wird in Num 13,23-24 als Ort erwähnt, wo die Kundschafter eine riesige Weintraube fanden.</w:t>
      </w:r>
    </w:p>
    <w:p w14:paraId="41249037" w14:textId="7797AD1A"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t>וַיָּנִיאוּ אֶת־לֵב בְּנֵי יִשְׂרָאֵל לְבִלְתִּי־בֹא אֶל־הָאָרֶץ אֲשֶׁר־נָתַן לָהֶם יהוה</w:t>
      </w:r>
      <w:r w:rsidRPr="00A80894">
        <w:rPr>
          <w:rFonts w:eastAsia="Times New Roman" w:cs="Times New Roman"/>
          <w:rtl/>
          <w:lang w:eastAsia="de-DE"/>
        </w:rPr>
        <w:t xml:space="preserve"> </w:t>
      </w:r>
      <w:r w:rsidRPr="00A80894">
        <w:rPr>
          <w:rFonts w:eastAsia="Times New Roman" w:cs="Times New Roman"/>
          <w:lang w:eastAsia="de-DE"/>
        </w:rPr>
        <w:t xml:space="preserve">ist die Sünde. </w:t>
      </w:r>
      <w:r w:rsidRPr="00A80894">
        <w:rPr>
          <w:rFonts w:eastAsia="Times New Roman" w:cs="Times New Roman"/>
          <w:b/>
          <w:bCs/>
          <w:rtl/>
          <w:lang w:eastAsia="de-DE"/>
        </w:rPr>
        <w:t>וַיָּנִיאוּ</w:t>
      </w:r>
      <w:r w:rsidRPr="00A80894">
        <w:rPr>
          <w:rFonts w:eastAsia="Times New Roman" w:cs="Times New Roman"/>
          <w:rtl/>
          <w:lang w:eastAsia="de-DE"/>
        </w:rPr>
        <w:t xml:space="preserve"> </w:t>
      </w:r>
      <w:r w:rsidRPr="00A80894">
        <w:rPr>
          <w:rFonts w:eastAsia="Times New Roman" w:cs="Times New Roman"/>
          <w:lang w:eastAsia="de-DE"/>
        </w:rPr>
        <w:t xml:space="preserve">(Hiphil Wayyiqtol 3. Person Plural von </w:t>
      </w:r>
      <w:r w:rsidRPr="00A80894">
        <w:rPr>
          <w:rFonts w:eastAsia="Times New Roman" w:cs="Times New Roman"/>
          <w:b/>
          <w:bCs/>
          <w:rtl/>
          <w:lang w:eastAsia="de-DE"/>
        </w:rPr>
        <w:t>נוא</w:t>
      </w:r>
      <w:r w:rsidRPr="00A80894">
        <w:rPr>
          <w:rFonts w:eastAsia="Times New Roman" w:cs="Times New Roman"/>
          <w:rtl/>
          <w:lang w:eastAsia="de-DE"/>
        </w:rPr>
        <w:t xml:space="preserve"> </w:t>
      </w:r>
      <w:r w:rsidRPr="00A80894">
        <w:rPr>
          <w:rFonts w:eastAsia="Times New Roman" w:cs="Times New Roman"/>
          <w:lang w:eastAsia="de-DE"/>
        </w:rPr>
        <w:t xml:space="preserve">„abwenden, entmutigen, hindern" - dasselbe Verb wie in V. 7), </w:t>
      </w:r>
      <w:r w:rsidRPr="00A80894">
        <w:rPr>
          <w:rFonts w:eastAsia="Times New Roman" w:cs="Times New Roman"/>
          <w:b/>
          <w:bCs/>
          <w:rtl/>
          <w:lang w:eastAsia="de-DE"/>
        </w:rPr>
        <w:t>אֶת־לֵב בְּנֵי יִשְׂרָאֵל</w:t>
      </w:r>
      <w:r w:rsidRPr="00A80894">
        <w:rPr>
          <w:rFonts w:eastAsia="Times New Roman" w:cs="Times New Roman"/>
          <w:rtl/>
          <w:lang w:eastAsia="de-DE"/>
        </w:rPr>
        <w:t xml:space="preserve"> </w:t>
      </w:r>
      <w:r w:rsidRPr="00A80894">
        <w:rPr>
          <w:rFonts w:eastAsia="Times New Roman" w:cs="Times New Roman"/>
          <w:lang w:eastAsia="de-DE"/>
        </w:rPr>
        <w:t xml:space="preserve">(Akkusativpartikel mit </w:t>
      </w:r>
      <w:r w:rsidRPr="00A80894">
        <w:rPr>
          <w:rFonts w:eastAsia="Times New Roman" w:cs="Times New Roman"/>
          <w:b/>
          <w:bCs/>
          <w:rtl/>
          <w:lang w:eastAsia="de-DE"/>
        </w:rPr>
        <w:t>לֵב</w:t>
      </w:r>
      <w:r w:rsidRPr="00A80894">
        <w:rPr>
          <w:rFonts w:eastAsia="Times New Roman" w:cs="Times New Roman"/>
          <w:rtl/>
          <w:lang w:eastAsia="de-DE"/>
        </w:rPr>
        <w:t xml:space="preserve"> </w:t>
      </w:r>
      <w:r w:rsidRPr="00A80894">
        <w:rPr>
          <w:rFonts w:eastAsia="Times New Roman" w:cs="Times New Roman"/>
          <w:lang w:eastAsia="de-DE"/>
        </w:rPr>
        <w:t xml:space="preserve">„Herz" im </w:t>
      </w:r>
      <w:r w:rsidR="00E031B3">
        <w:rPr>
          <w:rFonts w:eastAsia="Times New Roman" w:cs="Times New Roman"/>
          <w:lang w:eastAsia="de-DE"/>
        </w:rPr>
        <w:t>Constructus und</w:t>
      </w:r>
      <w:r w:rsidRPr="00A80894">
        <w:rPr>
          <w:rFonts w:eastAsia="Times New Roman" w:cs="Times New Roman"/>
          <w:lang w:eastAsia="de-DE"/>
        </w:rPr>
        <w:t xml:space="preserve"> „Söhne Israels"), </w:t>
      </w:r>
      <w:r w:rsidRPr="00A80894">
        <w:rPr>
          <w:rFonts w:eastAsia="Times New Roman" w:cs="Times New Roman"/>
          <w:b/>
          <w:bCs/>
          <w:rtl/>
          <w:lang w:eastAsia="de-DE"/>
        </w:rPr>
        <w:t>לְבִלְתִּי־בֹא</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בִּלְתִּי</w:t>
      </w:r>
      <w:r w:rsidRPr="00A80894">
        <w:rPr>
          <w:rFonts w:eastAsia="Times New Roman" w:cs="Times New Roman"/>
          <w:rtl/>
          <w:lang w:eastAsia="de-DE"/>
        </w:rPr>
        <w:t xml:space="preserve"> </w:t>
      </w:r>
      <w:r w:rsidRPr="00A80894">
        <w:rPr>
          <w:rFonts w:eastAsia="Times New Roman" w:cs="Times New Roman"/>
          <w:lang w:eastAsia="de-DE"/>
        </w:rPr>
        <w:t xml:space="preserve">„nicht" und Qal Infinitiv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בוא</w:t>
      </w:r>
      <w:r w:rsidRPr="00A80894">
        <w:rPr>
          <w:rFonts w:eastAsia="Times New Roman" w:cs="Times New Roman"/>
          <w:rtl/>
          <w:lang w:eastAsia="de-DE"/>
        </w:rPr>
        <w:t xml:space="preserve"> </w:t>
      </w:r>
      <w:r w:rsidRPr="00A80894">
        <w:rPr>
          <w:rFonts w:eastAsia="Times New Roman" w:cs="Times New Roman"/>
          <w:lang w:eastAsia="de-DE"/>
        </w:rPr>
        <w:t xml:space="preserve">„kommen, gehen" „sodass sie nicht gingen"), </w:t>
      </w:r>
      <w:r w:rsidRPr="00A80894">
        <w:rPr>
          <w:rFonts w:eastAsia="Times New Roman" w:cs="Times New Roman"/>
          <w:b/>
          <w:bCs/>
          <w:rtl/>
          <w:lang w:eastAsia="de-DE"/>
        </w:rPr>
        <w:t>אֶל־הָאָרֶץ אֲשֶׁר־נָתַן לָהֶם יהוה</w:t>
      </w:r>
      <w:r w:rsidRPr="00A80894">
        <w:rPr>
          <w:rFonts w:eastAsia="Times New Roman" w:cs="Times New Roman"/>
          <w:rtl/>
          <w:lang w:eastAsia="de-DE"/>
        </w:rPr>
        <w:t xml:space="preserve"> </w:t>
      </w:r>
      <w:r w:rsidRPr="00A80894">
        <w:rPr>
          <w:rFonts w:eastAsia="Times New Roman" w:cs="Times New Roman"/>
          <w:lang w:eastAsia="de-DE"/>
        </w:rPr>
        <w:t xml:space="preserve">(Präposition mit </w:t>
      </w:r>
      <w:r w:rsidRPr="00A80894">
        <w:rPr>
          <w:rFonts w:eastAsia="Times New Roman" w:cs="Times New Roman"/>
          <w:b/>
          <w:bCs/>
          <w:rtl/>
          <w:lang w:eastAsia="de-DE"/>
        </w:rPr>
        <w:t>אֶרֶץ</w:t>
      </w:r>
      <w:r w:rsidRPr="00A80894">
        <w:rPr>
          <w:rFonts w:eastAsia="Times New Roman" w:cs="Times New Roman"/>
          <w:rtl/>
          <w:lang w:eastAsia="de-DE"/>
        </w:rPr>
        <w:t xml:space="preserve"> </w:t>
      </w:r>
      <w:r w:rsidRPr="00A80894">
        <w:rPr>
          <w:rFonts w:eastAsia="Times New Roman" w:cs="Times New Roman"/>
          <w:lang w:eastAsia="de-DE"/>
        </w:rPr>
        <w:t>und Relativsatz „in das Land, das der Ewige ihnen gegeben hatte").</w:t>
      </w:r>
    </w:p>
    <w:p w14:paraId="270B378D"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lastRenderedPageBreak/>
        <w:t>Die Satzstruktur zeigt drei koordinierte Wayyiqtol-Sätze, der letzte mit finalem Infinitiv.</w:t>
      </w:r>
    </w:p>
    <w:p w14:paraId="745ED4F1"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beschreibt die verhängnisvolle Sequenz: Die Kundschafter sahen das Land, aber statt das Volk zu ermutigen, entmutigten sie es - genau das, was Moses jetzt bei Gad und Ruben befürchtet.</w:t>
      </w:r>
    </w:p>
    <w:p w14:paraId="751C0EA5"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32,10</w:t>
      </w:r>
    </w:p>
    <w:p w14:paraId="506ABBC3"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וַיִּֽחַר־אַ֥ף יְהוָ֖ה בַּיּ֣וֹם הַה֑וּא וַיִּשָּׁבַ֖ע לֵאמֹֽר׃</w:t>
      </w:r>
    </w:p>
    <w:p w14:paraId="29B2105E"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Und der Zorn des Ewigen entbrannte an jenem Tag, und er schwor, sagend:</w:t>
      </w:r>
    </w:p>
    <w:p w14:paraId="2F2AA889"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488A37AB">
          <v:rect id="_x0000_i1996" style="width:0;height:1.5pt" o:hralign="center" o:hrstd="t" o:hr="t" fillcolor="#a0a0a0" stroked="f"/>
        </w:pict>
      </w:r>
    </w:p>
    <w:p w14:paraId="12906710" w14:textId="6268B2B0"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zeigt Gottes Reaktion auf die Entmutigung. </w:t>
      </w:r>
      <w:r w:rsidRPr="00A80894">
        <w:rPr>
          <w:rFonts w:eastAsia="Times New Roman" w:cs="Times New Roman"/>
          <w:b/>
          <w:bCs/>
          <w:rtl/>
          <w:lang w:eastAsia="de-DE"/>
        </w:rPr>
        <w:t>וַיִּחַר־אַף יהוה בַּיּוֹם הַהוּא</w:t>
      </w:r>
      <w:r w:rsidRPr="00A80894">
        <w:rPr>
          <w:rFonts w:eastAsia="Times New Roman" w:cs="Times New Roman"/>
          <w:rtl/>
          <w:lang w:eastAsia="de-DE"/>
        </w:rPr>
        <w:t xml:space="preserve"> </w:t>
      </w:r>
      <w:r w:rsidRPr="00A80894">
        <w:rPr>
          <w:rFonts w:eastAsia="Times New Roman" w:cs="Times New Roman"/>
          <w:lang w:eastAsia="de-DE"/>
        </w:rPr>
        <w:t xml:space="preserve">beschreibt den Zorn. </w:t>
      </w:r>
      <w:r w:rsidRPr="00A80894">
        <w:rPr>
          <w:rFonts w:eastAsia="Times New Roman" w:cs="Times New Roman"/>
          <w:b/>
          <w:bCs/>
          <w:rtl/>
          <w:lang w:eastAsia="de-DE"/>
        </w:rPr>
        <w:t>וַיִּחַר</w:t>
      </w:r>
      <w:r w:rsidRPr="00A80894">
        <w:rPr>
          <w:rFonts w:eastAsia="Times New Roman" w:cs="Times New Roman"/>
          <w:rtl/>
          <w:lang w:eastAsia="de-DE"/>
        </w:rPr>
        <w:t xml:space="preserve"> </w:t>
      </w:r>
      <w:r w:rsidRPr="00A80894">
        <w:rPr>
          <w:rFonts w:eastAsia="Times New Roman" w:cs="Times New Roman"/>
          <w:lang w:eastAsia="de-DE"/>
        </w:rPr>
        <w:t xml:space="preserve">(Qal Wayyiqtol 3. Person maskulin Singular von </w:t>
      </w:r>
      <w:r w:rsidRPr="00A80894">
        <w:rPr>
          <w:rFonts w:eastAsia="Times New Roman" w:cs="Times New Roman"/>
          <w:b/>
          <w:bCs/>
          <w:rtl/>
          <w:lang w:eastAsia="de-DE"/>
        </w:rPr>
        <w:t>חרה</w:t>
      </w:r>
      <w:r w:rsidRPr="00A80894">
        <w:rPr>
          <w:rFonts w:eastAsia="Times New Roman" w:cs="Times New Roman"/>
          <w:rtl/>
          <w:lang w:eastAsia="de-DE"/>
        </w:rPr>
        <w:t xml:space="preserve"> </w:t>
      </w:r>
      <w:r w:rsidRPr="00A80894">
        <w:rPr>
          <w:rFonts w:eastAsia="Times New Roman" w:cs="Times New Roman"/>
          <w:lang w:eastAsia="de-DE"/>
        </w:rPr>
        <w:t xml:space="preserve">„brennen, entbrennen"), </w:t>
      </w:r>
      <w:r w:rsidRPr="00A80894">
        <w:rPr>
          <w:rFonts w:eastAsia="Times New Roman" w:cs="Times New Roman"/>
          <w:b/>
          <w:bCs/>
          <w:rtl/>
          <w:lang w:eastAsia="de-DE"/>
        </w:rPr>
        <w:t>אַף יהוה</w:t>
      </w:r>
      <w:r w:rsidRPr="00A80894">
        <w:rPr>
          <w:rFonts w:eastAsia="Times New Roman" w:cs="Times New Roman"/>
          <w:rtl/>
          <w:lang w:eastAsia="de-DE"/>
        </w:rPr>
        <w:t xml:space="preserve"> </w:t>
      </w:r>
      <w:r w:rsidRPr="00A80894">
        <w:rPr>
          <w:rFonts w:eastAsia="Times New Roman" w:cs="Times New Roman"/>
          <w:lang w:eastAsia="de-DE"/>
        </w:rPr>
        <w:t>(</w:t>
      </w:r>
      <w:r w:rsidR="00B513FF">
        <w:rPr>
          <w:rFonts w:eastAsia="Times New Roman" w:cs="Times New Roman"/>
          <w:lang w:eastAsia="de-DE"/>
        </w:rPr>
        <w:t xml:space="preserve">Constructus </w:t>
      </w:r>
      <w:r w:rsidRPr="00A80894">
        <w:rPr>
          <w:rFonts w:eastAsia="Times New Roman" w:cs="Times New Roman"/>
          <w:lang w:eastAsia="de-DE"/>
        </w:rPr>
        <w:t xml:space="preserve">verbindung: </w:t>
      </w:r>
      <w:r w:rsidRPr="00A80894">
        <w:rPr>
          <w:rFonts w:eastAsia="Times New Roman" w:cs="Times New Roman"/>
          <w:b/>
          <w:bCs/>
          <w:rtl/>
          <w:lang w:eastAsia="de-DE"/>
        </w:rPr>
        <w:t>אַף</w:t>
      </w:r>
      <w:r w:rsidRPr="00A80894">
        <w:rPr>
          <w:rFonts w:eastAsia="Times New Roman" w:cs="Times New Roman"/>
          <w:rtl/>
          <w:lang w:eastAsia="de-DE"/>
        </w:rPr>
        <w:t xml:space="preserve"> </w:t>
      </w:r>
      <w:r w:rsidRPr="00A80894">
        <w:rPr>
          <w:rFonts w:eastAsia="Times New Roman" w:cs="Times New Roman"/>
          <w:lang w:eastAsia="de-DE"/>
        </w:rPr>
        <w:t xml:space="preserve">„Nase, Zorn" mit Tetragramm „der Zorn des Ewigen"), </w:t>
      </w:r>
      <w:r w:rsidRPr="00A80894">
        <w:rPr>
          <w:rFonts w:eastAsia="Times New Roman" w:cs="Times New Roman"/>
          <w:b/>
          <w:bCs/>
          <w:rtl/>
          <w:lang w:eastAsia="de-DE"/>
        </w:rPr>
        <w:t>בַּיּוֹם הַהוּא</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בְ</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יוֹם</w:t>
      </w:r>
      <w:r w:rsidRPr="00A80894">
        <w:rPr>
          <w:rFonts w:eastAsia="Times New Roman" w:cs="Times New Roman"/>
          <w:rtl/>
          <w:lang w:eastAsia="de-DE"/>
        </w:rPr>
        <w:t xml:space="preserve"> </w:t>
      </w:r>
      <w:r w:rsidRPr="00A80894">
        <w:rPr>
          <w:rFonts w:eastAsia="Times New Roman" w:cs="Times New Roman"/>
          <w:lang w:eastAsia="de-DE"/>
        </w:rPr>
        <w:t xml:space="preserve">„Tag" und Demonstrativpronomen </w:t>
      </w:r>
      <w:r w:rsidRPr="00A80894">
        <w:rPr>
          <w:rFonts w:eastAsia="Times New Roman" w:cs="Times New Roman"/>
          <w:b/>
          <w:bCs/>
          <w:rtl/>
          <w:lang w:eastAsia="de-DE"/>
        </w:rPr>
        <w:t>הַהוּא</w:t>
      </w:r>
      <w:r w:rsidRPr="00A80894">
        <w:rPr>
          <w:rFonts w:eastAsia="Times New Roman" w:cs="Times New Roman"/>
          <w:rtl/>
          <w:lang w:eastAsia="de-DE"/>
        </w:rPr>
        <w:t xml:space="preserve"> </w:t>
      </w:r>
      <w:r w:rsidRPr="00A80894">
        <w:rPr>
          <w:rFonts w:eastAsia="Times New Roman" w:cs="Times New Roman"/>
          <w:lang w:eastAsia="de-DE"/>
        </w:rPr>
        <w:t xml:space="preserve">„jener" mit Artikel „an jenem Tag"). Die idiomatische Wendung </w:t>
      </w:r>
      <w:r w:rsidRPr="00A80894">
        <w:rPr>
          <w:rFonts w:eastAsia="Times New Roman" w:cs="Times New Roman"/>
          <w:b/>
          <w:bCs/>
          <w:rtl/>
          <w:lang w:eastAsia="de-DE"/>
        </w:rPr>
        <w:t>חרה אַף</w:t>
      </w:r>
      <w:r w:rsidRPr="00A80894">
        <w:rPr>
          <w:rFonts w:eastAsia="Times New Roman" w:cs="Times New Roman"/>
          <w:rtl/>
          <w:lang w:eastAsia="de-DE"/>
        </w:rPr>
        <w:t xml:space="preserve"> </w:t>
      </w:r>
      <w:r w:rsidRPr="00A80894">
        <w:rPr>
          <w:rFonts w:eastAsia="Times New Roman" w:cs="Times New Roman"/>
          <w:lang w:eastAsia="de-DE"/>
        </w:rPr>
        <w:t>(„der Zorn entbrannte") ist bildlich: die Nase brennt vor Zorn.</w:t>
      </w:r>
    </w:p>
    <w:p w14:paraId="48CE9BBE" w14:textId="666F5876"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t>וַיִּשָּׁבַע לֵאמֹר</w:t>
      </w:r>
      <w:r w:rsidRPr="00A80894">
        <w:rPr>
          <w:rFonts w:eastAsia="Times New Roman" w:cs="Times New Roman"/>
          <w:rtl/>
          <w:lang w:eastAsia="de-DE"/>
        </w:rPr>
        <w:t xml:space="preserve"> </w:t>
      </w:r>
      <w:r w:rsidRPr="00A80894">
        <w:rPr>
          <w:rFonts w:eastAsia="Times New Roman" w:cs="Times New Roman"/>
          <w:lang w:eastAsia="de-DE"/>
        </w:rPr>
        <w:t xml:space="preserve">ist die Folge. </w:t>
      </w:r>
      <w:r w:rsidRPr="00A80894">
        <w:rPr>
          <w:rFonts w:eastAsia="Times New Roman" w:cs="Times New Roman"/>
          <w:b/>
          <w:bCs/>
          <w:rtl/>
          <w:lang w:eastAsia="de-DE"/>
        </w:rPr>
        <w:t>וַיִּשָּׁבַע</w:t>
      </w:r>
      <w:r w:rsidRPr="00A80894">
        <w:rPr>
          <w:rFonts w:eastAsia="Times New Roman" w:cs="Times New Roman"/>
          <w:rtl/>
          <w:lang w:eastAsia="de-DE"/>
        </w:rPr>
        <w:t xml:space="preserve"> </w:t>
      </w:r>
      <w:r w:rsidRPr="00A80894">
        <w:rPr>
          <w:rFonts w:eastAsia="Times New Roman" w:cs="Times New Roman"/>
          <w:lang w:eastAsia="de-DE"/>
        </w:rPr>
        <w:t xml:space="preserve">(Niphal Wayyiqtol 3. Person maskulin Singular von </w:t>
      </w:r>
      <w:r w:rsidRPr="00A80894">
        <w:rPr>
          <w:rFonts w:eastAsia="Times New Roman" w:cs="Times New Roman"/>
          <w:b/>
          <w:bCs/>
          <w:rtl/>
          <w:lang w:eastAsia="de-DE"/>
        </w:rPr>
        <w:t>שׁבע</w:t>
      </w:r>
      <w:r w:rsidRPr="00A80894">
        <w:rPr>
          <w:rFonts w:eastAsia="Times New Roman" w:cs="Times New Roman"/>
          <w:rtl/>
          <w:lang w:eastAsia="de-DE"/>
        </w:rPr>
        <w:t xml:space="preserve"> </w:t>
      </w:r>
      <w:r w:rsidRPr="00A80894">
        <w:rPr>
          <w:rFonts w:eastAsia="Times New Roman" w:cs="Times New Roman"/>
          <w:lang w:eastAsia="de-DE"/>
        </w:rPr>
        <w:t xml:space="preserve">„schwören"), </w:t>
      </w:r>
      <w:r w:rsidRPr="00A80894">
        <w:rPr>
          <w:rFonts w:eastAsia="Times New Roman" w:cs="Times New Roman"/>
          <w:b/>
          <w:bCs/>
          <w:rtl/>
          <w:lang w:eastAsia="de-DE"/>
        </w:rPr>
        <w:t>לֵאמֹר</w:t>
      </w:r>
      <w:r w:rsidRPr="00A80894">
        <w:rPr>
          <w:rFonts w:eastAsia="Times New Roman" w:cs="Times New Roman"/>
          <w:rtl/>
          <w:lang w:eastAsia="de-DE"/>
        </w:rPr>
        <w:t xml:space="preserve"> </w:t>
      </w:r>
      <w:r w:rsidRPr="00A80894">
        <w:rPr>
          <w:rFonts w:eastAsia="Times New Roman" w:cs="Times New Roman"/>
          <w:lang w:eastAsia="de-DE"/>
        </w:rPr>
        <w:t xml:space="preserve">(Infinitiv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אמר</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„sagend"). Der göttliche Schwur leitet das vernichtende Urteil ein.</w:t>
      </w:r>
    </w:p>
    <w:p w14:paraId="70F284C0"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zwei koordinierte Wayyiqtol-Sätze.</w:t>
      </w:r>
    </w:p>
    <w:p w14:paraId="22DBB083"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markiert den Wendepunkt: Gottes Zorn entbrannte, und er schwor einen Schwur - die Einleitung zum Urteil über die Exodus-Generation.</w:t>
      </w:r>
    </w:p>
    <w:p w14:paraId="610F67AE"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32,11</w:t>
      </w:r>
    </w:p>
    <w:p w14:paraId="2709731A"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אִם־יִרְא֨וּ הָאֲנָשִׁ֜ים הָעֹלִ֣ים מִמִּצְרַ֗יִם מִבֶּ֨ן עֶשְׂרִ֤ים שָׁנָה֙ וָמַ֔עְלָה אֵ֚ת הָאֲדָמָ֔ה אֲשֶׁ֥ר נִשְׁבַּ֛עְתִּי לְאַבְרָהָ֥ם לְיִצְחָ֖ק וּֽלְיַעֲקֹ֑ב כִּ֥י לֹא־מִלְא֖וּ אַחֲרָֽי׃</w:t>
      </w:r>
    </w:p>
    <w:p w14:paraId="30916DB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„Wenn die Männer, die aus Mizrajim heraufgezogen sind, von 20 Jahren an und darüber, das Land sehen werden, das ich 'Avraham, Jitzchak und Ja'akov zugeschworen habe! Denn sie sind mir nicht vollständig nachgefolgt;</w:t>
      </w:r>
    </w:p>
    <w:p w14:paraId="562A9A9C"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79867EEC">
          <v:rect id="_x0000_i1997" style="width:0;height:1.5pt" o:hralign="center" o:hrstd="t" o:hr="t" fillcolor="#a0a0a0" stroked="f"/>
        </w:pict>
      </w:r>
    </w:p>
    <w:p w14:paraId="3B7A350E" w14:textId="0225DB31"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enthält den göttlichen Schwur. </w:t>
      </w:r>
      <w:r w:rsidRPr="00A80894">
        <w:rPr>
          <w:rFonts w:eastAsia="Times New Roman" w:cs="Times New Roman"/>
          <w:b/>
          <w:bCs/>
          <w:rtl/>
          <w:lang w:eastAsia="de-DE"/>
        </w:rPr>
        <w:t>אִם־יִרְאוּ הָאֲנָשִׁים הָעֹלִים מִמִּצְרַיִם מִבֶּן עֶשְׂרִים שָׁנָה וָמַעְלָה אֵת הָאֲדָמָה</w:t>
      </w:r>
      <w:r w:rsidRPr="00A80894">
        <w:rPr>
          <w:rFonts w:eastAsia="Times New Roman" w:cs="Times New Roman"/>
          <w:rtl/>
          <w:lang w:eastAsia="de-DE"/>
        </w:rPr>
        <w:t xml:space="preserve"> </w:t>
      </w:r>
      <w:r w:rsidRPr="00A80894">
        <w:rPr>
          <w:rFonts w:eastAsia="Times New Roman" w:cs="Times New Roman"/>
          <w:lang w:eastAsia="de-DE"/>
        </w:rPr>
        <w:t xml:space="preserve">ist eine Schwurformel. </w:t>
      </w:r>
      <w:r w:rsidRPr="00A80894">
        <w:rPr>
          <w:rFonts w:eastAsia="Times New Roman" w:cs="Times New Roman"/>
          <w:b/>
          <w:bCs/>
          <w:rtl/>
          <w:lang w:eastAsia="de-DE"/>
        </w:rPr>
        <w:t>אִם</w:t>
      </w:r>
      <w:r w:rsidRPr="00A80894">
        <w:rPr>
          <w:rFonts w:eastAsia="Times New Roman" w:cs="Times New Roman"/>
          <w:rtl/>
          <w:lang w:eastAsia="de-DE"/>
        </w:rPr>
        <w:t xml:space="preserve"> </w:t>
      </w:r>
      <w:r w:rsidRPr="00A80894">
        <w:rPr>
          <w:rFonts w:eastAsia="Times New Roman" w:cs="Times New Roman"/>
          <w:lang w:eastAsia="de-DE"/>
        </w:rPr>
        <w:t xml:space="preserve">hier als Schwurpartikel (nicht konditional), </w:t>
      </w:r>
      <w:r w:rsidRPr="00A80894">
        <w:rPr>
          <w:rFonts w:eastAsia="Times New Roman" w:cs="Times New Roman"/>
          <w:b/>
          <w:bCs/>
          <w:rtl/>
          <w:lang w:eastAsia="de-DE"/>
        </w:rPr>
        <w:t>יִרְאוּ</w:t>
      </w:r>
      <w:r w:rsidRPr="00A80894">
        <w:rPr>
          <w:rFonts w:eastAsia="Times New Roman" w:cs="Times New Roman"/>
          <w:rtl/>
          <w:lang w:eastAsia="de-DE"/>
        </w:rPr>
        <w:t xml:space="preserve"> </w:t>
      </w:r>
      <w:r w:rsidRPr="00A80894">
        <w:rPr>
          <w:rFonts w:eastAsia="Times New Roman" w:cs="Times New Roman"/>
          <w:lang w:eastAsia="de-DE"/>
        </w:rPr>
        <w:t xml:space="preserve">(Qal Imperfekt 3. Person Plural von </w:t>
      </w:r>
      <w:r w:rsidRPr="00A80894">
        <w:rPr>
          <w:rFonts w:eastAsia="Times New Roman" w:cs="Times New Roman"/>
          <w:b/>
          <w:bCs/>
          <w:rtl/>
          <w:lang w:eastAsia="de-DE"/>
        </w:rPr>
        <w:t>ראה</w:t>
      </w:r>
      <w:r w:rsidRPr="00A80894">
        <w:rPr>
          <w:rFonts w:eastAsia="Times New Roman" w:cs="Times New Roman"/>
          <w:rtl/>
          <w:lang w:eastAsia="de-DE"/>
        </w:rPr>
        <w:t xml:space="preserve"> </w:t>
      </w:r>
      <w:r w:rsidRPr="00A80894">
        <w:rPr>
          <w:rFonts w:eastAsia="Times New Roman" w:cs="Times New Roman"/>
          <w:lang w:eastAsia="de-DE"/>
        </w:rPr>
        <w:t xml:space="preserve">„sehen"), </w:t>
      </w:r>
      <w:r w:rsidRPr="00A80894">
        <w:rPr>
          <w:rFonts w:eastAsia="Times New Roman" w:cs="Times New Roman"/>
          <w:b/>
          <w:bCs/>
          <w:rtl/>
          <w:lang w:eastAsia="de-DE"/>
        </w:rPr>
        <w:t>הָאֲנָשִׁים הָעֹלִים מִמִּצְרַיִם</w:t>
      </w:r>
      <w:r w:rsidRPr="00A80894">
        <w:rPr>
          <w:rFonts w:eastAsia="Times New Roman" w:cs="Times New Roman"/>
          <w:rtl/>
          <w:lang w:eastAsia="de-DE"/>
        </w:rPr>
        <w:t xml:space="preserve"> </w:t>
      </w:r>
      <w:r w:rsidRPr="00A80894">
        <w:rPr>
          <w:rFonts w:eastAsia="Times New Roman" w:cs="Times New Roman"/>
          <w:lang w:eastAsia="de-DE"/>
        </w:rPr>
        <w:t xml:space="preserve">(„die Männer, die aus Ägypten heraufgezogen sind"), </w:t>
      </w:r>
      <w:r w:rsidRPr="00A80894">
        <w:rPr>
          <w:rFonts w:eastAsia="Times New Roman" w:cs="Times New Roman"/>
          <w:b/>
          <w:bCs/>
          <w:rtl/>
          <w:lang w:eastAsia="de-DE"/>
        </w:rPr>
        <w:t>מִבֶּן עֶשְׂרִים שָׁנָה וָמַעְלָה</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מִן</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בֶּן</w:t>
      </w:r>
      <w:r w:rsidRPr="00A80894">
        <w:rPr>
          <w:rFonts w:eastAsia="Times New Roman" w:cs="Times New Roman"/>
          <w:rtl/>
          <w:lang w:eastAsia="de-DE"/>
        </w:rPr>
        <w:t xml:space="preserve"> </w:t>
      </w:r>
      <w:r w:rsidRPr="00A80894">
        <w:rPr>
          <w:rFonts w:eastAsia="Times New Roman" w:cs="Times New Roman"/>
          <w:lang w:eastAsia="de-DE"/>
        </w:rPr>
        <w:t xml:space="preserve">„Sohn" im </w:t>
      </w:r>
      <w:r w:rsidR="00B513FF">
        <w:rPr>
          <w:rFonts w:eastAsia="Times New Roman" w:cs="Times New Roman"/>
          <w:lang w:eastAsia="de-DE"/>
        </w:rPr>
        <w:t xml:space="preserve">Constructus </w:t>
      </w:r>
      <w:r w:rsidRPr="00A80894">
        <w:rPr>
          <w:rFonts w:eastAsia="Times New Roman" w:cs="Times New Roman"/>
          <w:lang w:eastAsia="de-DE"/>
        </w:rPr>
        <w:t xml:space="preserve">, </w:t>
      </w:r>
      <w:r w:rsidRPr="00A80894">
        <w:rPr>
          <w:rFonts w:eastAsia="Times New Roman" w:cs="Times New Roman"/>
          <w:b/>
          <w:bCs/>
          <w:rtl/>
          <w:lang w:eastAsia="de-DE"/>
        </w:rPr>
        <w:t>עֶשְׂרִים שָׁנָה</w:t>
      </w:r>
      <w:r w:rsidRPr="00A80894">
        <w:rPr>
          <w:rFonts w:eastAsia="Times New Roman" w:cs="Times New Roman"/>
          <w:rtl/>
          <w:lang w:eastAsia="de-DE"/>
        </w:rPr>
        <w:t xml:space="preserve"> </w:t>
      </w:r>
      <w:r w:rsidRPr="00A80894">
        <w:rPr>
          <w:rFonts w:eastAsia="Times New Roman" w:cs="Times New Roman"/>
          <w:lang w:eastAsia="de-DE"/>
        </w:rPr>
        <w:t xml:space="preserve">„zwanzig Jahre" und </w:t>
      </w:r>
      <w:r w:rsidRPr="00A80894">
        <w:rPr>
          <w:rFonts w:eastAsia="Times New Roman" w:cs="Times New Roman"/>
          <w:b/>
          <w:bCs/>
          <w:rtl/>
          <w:lang w:eastAsia="de-DE"/>
        </w:rPr>
        <w:t>מַעְלָה</w:t>
      </w:r>
      <w:r w:rsidRPr="00A80894">
        <w:rPr>
          <w:rFonts w:eastAsia="Times New Roman" w:cs="Times New Roman"/>
          <w:rtl/>
          <w:lang w:eastAsia="de-DE"/>
        </w:rPr>
        <w:t xml:space="preserve"> </w:t>
      </w:r>
      <w:r w:rsidRPr="00A80894">
        <w:rPr>
          <w:rFonts w:eastAsia="Times New Roman" w:cs="Times New Roman"/>
          <w:lang w:eastAsia="de-DE"/>
        </w:rPr>
        <w:t xml:space="preserve">„aufwärts" „von zwanzig Jahren an und darüber"), </w:t>
      </w:r>
      <w:r w:rsidRPr="00A80894">
        <w:rPr>
          <w:rFonts w:eastAsia="Times New Roman" w:cs="Times New Roman"/>
          <w:b/>
          <w:bCs/>
          <w:rtl/>
          <w:lang w:eastAsia="de-DE"/>
        </w:rPr>
        <w:t>אֵת הָאֲדָמָה</w:t>
      </w:r>
      <w:r w:rsidRPr="00A80894">
        <w:rPr>
          <w:rFonts w:eastAsia="Times New Roman" w:cs="Times New Roman"/>
          <w:rtl/>
          <w:lang w:eastAsia="de-DE"/>
        </w:rPr>
        <w:t xml:space="preserve"> </w:t>
      </w:r>
      <w:r w:rsidRPr="00A80894">
        <w:rPr>
          <w:rFonts w:eastAsia="Times New Roman" w:cs="Times New Roman"/>
          <w:lang w:eastAsia="de-DE"/>
        </w:rPr>
        <w:t xml:space="preserve">(Akkusativpartikel mit </w:t>
      </w:r>
      <w:r w:rsidRPr="00A80894">
        <w:rPr>
          <w:rFonts w:eastAsia="Times New Roman" w:cs="Times New Roman"/>
          <w:b/>
          <w:bCs/>
          <w:rtl/>
          <w:lang w:eastAsia="de-DE"/>
        </w:rPr>
        <w:t>אֲדָמָה</w:t>
      </w:r>
      <w:r w:rsidRPr="00A80894">
        <w:rPr>
          <w:rFonts w:eastAsia="Times New Roman" w:cs="Times New Roman"/>
          <w:rtl/>
          <w:lang w:eastAsia="de-DE"/>
        </w:rPr>
        <w:t xml:space="preserve"> </w:t>
      </w:r>
      <w:r w:rsidRPr="00A80894">
        <w:rPr>
          <w:rFonts w:eastAsia="Times New Roman" w:cs="Times New Roman"/>
          <w:lang w:eastAsia="de-DE"/>
        </w:rPr>
        <w:t xml:space="preserve">„Land, Erde"). Die Schwurformel mit </w:t>
      </w:r>
      <w:r w:rsidRPr="00A80894">
        <w:rPr>
          <w:rFonts w:eastAsia="Times New Roman" w:cs="Times New Roman"/>
          <w:b/>
          <w:bCs/>
          <w:rtl/>
          <w:lang w:eastAsia="de-DE"/>
        </w:rPr>
        <w:t>אִם</w:t>
      </w:r>
      <w:r w:rsidRPr="00A80894">
        <w:rPr>
          <w:rFonts w:eastAsia="Times New Roman" w:cs="Times New Roman"/>
          <w:rtl/>
          <w:lang w:eastAsia="de-DE"/>
        </w:rPr>
        <w:t xml:space="preserve"> </w:t>
      </w:r>
      <w:r w:rsidRPr="00A80894">
        <w:rPr>
          <w:rFonts w:eastAsia="Times New Roman" w:cs="Times New Roman"/>
          <w:lang w:eastAsia="de-DE"/>
        </w:rPr>
        <w:t>bedeutet hier „gewiss nicht" (negative Schwurformel).</w:t>
      </w:r>
    </w:p>
    <w:p w14:paraId="5A522084"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lastRenderedPageBreak/>
        <w:t>אֲשֶׁר נִשְׁבַּעְתִּי לְאַבְרָהָם לְיִצְחָק וּלְיַעֲקֹב</w:t>
      </w:r>
      <w:r w:rsidRPr="00A80894">
        <w:rPr>
          <w:rFonts w:eastAsia="Times New Roman" w:cs="Times New Roman"/>
          <w:rtl/>
          <w:lang w:eastAsia="de-DE"/>
        </w:rPr>
        <w:t xml:space="preserve"> </w:t>
      </w:r>
      <w:r w:rsidRPr="00A80894">
        <w:rPr>
          <w:rFonts w:eastAsia="Times New Roman" w:cs="Times New Roman"/>
          <w:lang w:eastAsia="de-DE"/>
        </w:rPr>
        <w:t xml:space="preserve">ist der Relativsatz zum Land. </w:t>
      </w:r>
      <w:r w:rsidRPr="00A80894">
        <w:rPr>
          <w:rFonts w:eastAsia="Times New Roman" w:cs="Times New Roman"/>
          <w:b/>
          <w:bCs/>
          <w:rtl/>
          <w:lang w:eastAsia="de-DE"/>
        </w:rPr>
        <w:t>נִשְׁבַּעְתִּי</w:t>
      </w:r>
      <w:r w:rsidRPr="00A80894">
        <w:rPr>
          <w:rFonts w:eastAsia="Times New Roman" w:cs="Times New Roman"/>
          <w:rtl/>
          <w:lang w:eastAsia="de-DE"/>
        </w:rPr>
        <w:t xml:space="preserve"> </w:t>
      </w:r>
      <w:r w:rsidRPr="00A80894">
        <w:rPr>
          <w:rFonts w:eastAsia="Times New Roman" w:cs="Times New Roman"/>
          <w:lang w:eastAsia="de-DE"/>
        </w:rPr>
        <w:t xml:space="preserve">(Niphal Perfekt 1. Person Singular von </w:t>
      </w:r>
      <w:r w:rsidRPr="00A80894">
        <w:rPr>
          <w:rFonts w:eastAsia="Times New Roman" w:cs="Times New Roman"/>
          <w:b/>
          <w:bCs/>
          <w:rtl/>
          <w:lang w:eastAsia="de-DE"/>
        </w:rPr>
        <w:t>שׁבע</w:t>
      </w:r>
      <w:r w:rsidRPr="00A80894">
        <w:rPr>
          <w:rFonts w:eastAsia="Times New Roman" w:cs="Times New Roman"/>
          <w:rtl/>
          <w:lang w:eastAsia="de-DE"/>
        </w:rPr>
        <w:t xml:space="preserve"> </w:t>
      </w:r>
      <w:r w:rsidRPr="00A80894">
        <w:rPr>
          <w:rFonts w:eastAsia="Times New Roman" w:cs="Times New Roman"/>
          <w:lang w:eastAsia="de-DE"/>
        </w:rPr>
        <w:t xml:space="preserve">„schwören"), </w:t>
      </w:r>
      <w:r w:rsidRPr="00A80894">
        <w:rPr>
          <w:rFonts w:eastAsia="Times New Roman" w:cs="Times New Roman"/>
          <w:b/>
          <w:bCs/>
          <w:rtl/>
          <w:lang w:eastAsia="de-DE"/>
        </w:rPr>
        <w:t>לְאַבְרָהָם לְיִצְחָק וּלְיַעֲקֹב</w:t>
      </w:r>
      <w:r w:rsidRPr="00A80894">
        <w:rPr>
          <w:rFonts w:eastAsia="Times New Roman" w:cs="Times New Roman"/>
          <w:rtl/>
          <w:lang w:eastAsia="de-DE"/>
        </w:rPr>
        <w:t xml:space="preserve"> </w:t>
      </w:r>
      <w:r w:rsidRPr="00A80894">
        <w:rPr>
          <w:rFonts w:eastAsia="Times New Roman" w:cs="Times New Roman"/>
          <w:lang w:eastAsia="de-DE"/>
        </w:rPr>
        <w:t xml:space="preserve">(dreifache 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den drei Patriarchennamen). </w:t>
      </w:r>
      <w:r w:rsidRPr="00A80894">
        <w:rPr>
          <w:rFonts w:eastAsia="Times New Roman" w:cs="Times New Roman"/>
          <w:b/>
          <w:bCs/>
          <w:rtl/>
          <w:lang w:eastAsia="de-DE"/>
        </w:rPr>
        <w:t>כִּי לֹא־מִלְאוּ אַחֲרָי</w:t>
      </w:r>
      <w:r w:rsidRPr="00A80894">
        <w:rPr>
          <w:rFonts w:eastAsia="Times New Roman" w:cs="Times New Roman"/>
          <w:rtl/>
          <w:lang w:eastAsia="de-DE"/>
        </w:rPr>
        <w:t xml:space="preserve"> </w:t>
      </w:r>
      <w:r w:rsidRPr="00A80894">
        <w:rPr>
          <w:rFonts w:eastAsia="Times New Roman" w:cs="Times New Roman"/>
          <w:lang w:eastAsia="de-DE"/>
        </w:rPr>
        <w:t xml:space="preserve">ist die Begründung. </w:t>
      </w:r>
      <w:r w:rsidRPr="00A80894">
        <w:rPr>
          <w:rFonts w:eastAsia="Times New Roman" w:cs="Times New Roman"/>
          <w:b/>
          <w:bCs/>
          <w:rtl/>
          <w:lang w:eastAsia="de-DE"/>
        </w:rPr>
        <w:t>כִּי</w:t>
      </w:r>
      <w:r w:rsidRPr="00A80894">
        <w:rPr>
          <w:rFonts w:eastAsia="Times New Roman" w:cs="Times New Roman"/>
          <w:rtl/>
          <w:lang w:eastAsia="de-DE"/>
        </w:rPr>
        <w:t xml:space="preserve"> </w:t>
      </w:r>
      <w:r w:rsidRPr="00A80894">
        <w:rPr>
          <w:rFonts w:eastAsia="Times New Roman" w:cs="Times New Roman"/>
          <w:lang w:eastAsia="de-DE"/>
        </w:rPr>
        <w:t xml:space="preserve">(„denn, weil"), </w:t>
      </w:r>
      <w:r w:rsidRPr="00A80894">
        <w:rPr>
          <w:rFonts w:eastAsia="Times New Roman" w:cs="Times New Roman"/>
          <w:b/>
          <w:bCs/>
          <w:rtl/>
          <w:lang w:eastAsia="de-DE"/>
        </w:rPr>
        <w:t>לֹא־מִלְאוּ</w:t>
      </w:r>
      <w:r w:rsidRPr="00A80894">
        <w:rPr>
          <w:rFonts w:eastAsia="Times New Roman" w:cs="Times New Roman"/>
          <w:rtl/>
          <w:lang w:eastAsia="de-DE"/>
        </w:rPr>
        <w:t xml:space="preserve"> </w:t>
      </w:r>
      <w:r w:rsidRPr="00A80894">
        <w:rPr>
          <w:rFonts w:eastAsia="Times New Roman" w:cs="Times New Roman"/>
          <w:lang w:eastAsia="de-DE"/>
        </w:rPr>
        <w:t xml:space="preserve">(Negation mit Piel Perfekt 3. Person Plural von </w:t>
      </w:r>
      <w:r w:rsidRPr="00A80894">
        <w:rPr>
          <w:rFonts w:eastAsia="Times New Roman" w:cs="Times New Roman"/>
          <w:b/>
          <w:bCs/>
          <w:rtl/>
          <w:lang w:eastAsia="de-DE"/>
        </w:rPr>
        <w:t>מלא</w:t>
      </w:r>
      <w:r w:rsidRPr="00A80894">
        <w:rPr>
          <w:rFonts w:eastAsia="Times New Roman" w:cs="Times New Roman"/>
          <w:rtl/>
          <w:lang w:eastAsia="de-DE"/>
        </w:rPr>
        <w:t xml:space="preserve"> </w:t>
      </w:r>
      <w:r w:rsidRPr="00A80894">
        <w:rPr>
          <w:rFonts w:eastAsia="Times New Roman" w:cs="Times New Roman"/>
          <w:lang w:eastAsia="de-DE"/>
        </w:rPr>
        <w:t xml:space="preserve">„füllen, vollständig sein"), </w:t>
      </w:r>
      <w:r w:rsidRPr="00A80894">
        <w:rPr>
          <w:rFonts w:eastAsia="Times New Roman" w:cs="Times New Roman"/>
          <w:b/>
          <w:bCs/>
          <w:rtl/>
          <w:lang w:eastAsia="de-DE"/>
        </w:rPr>
        <w:t>אַחֲרָי</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אַחַר</w:t>
      </w:r>
      <w:r w:rsidRPr="00A80894">
        <w:rPr>
          <w:rFonts w:eastAsia="Times New Roman" w:cs="Times New Roman"/>
          <w:rtl/>
          <w:lang w:eastAsia="de-DE"/>
        </w:rPr>
        <w:t xml:space="preserve"> </w:t>
      </w:r>
      <w:r w:rsidRPr="00A80894">
        <w:rPr>
          <w:rFonts w:eastAsia="Times New Roman" w:cs="Times New Roman"/>
          <w:lang w:eastAsia="de-DE"/>
        </w:rPr>
        <w:t xml:space="preserve">„hinter, nach" mit Suffix 1. Person Singular „mir nach"). Die Wendung </w:t>
      </w:r>
      <w:r w:rsidRPr="00A80894">
        <w:rPr>
          <w:rFonts w:eastAsia="Times New Roman" w:cs="Times New Roman"/>
          <w:b/>
          <w:bCs/>
          <w:rtl/>
          <w:lang w:eastAsia="de-DE"/>
        </w:rPr>
        <w:t>מלא אַחֲרֵי</w:t>
      </w:r>
      <w:r w:rsidRPr="00A80894">
        <w:rPr>
          <w:rFonts w:eastAsia="Times New Roman" w:cs="Times New Roman"/>
          <w:rtl/>
          <w:lang w:eastAsia="de-DE"/>
        </w:rPr>
        <w:t xml:space="preserve"> </w:t>
      </w:r>
      <w:r w:rsidRPr="00A80894">
        <w:rPr>
          <w:rFonts w:eastAsia="Times New Roman" w:cs="Times New Roman"/>
          <w:lang w:eastAsia="de-DE"/>
        </w:rPr>
        <w:t>bedeutet idiomatisch „jemandem vollständig nachfolgen, völlig ergeben sein".</w:t>
      </w:r>
    </w:p>
    <w:p w14:paraId="1BB65E44" w14:textId="151C9ABE"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Die LXX</w:t>
      </w:r>
      <w:r w:rsidRPr="00A80894">
        <w:rPr>
          <w:rFonts w:eastAsia="Times New Roman" w:cs="Times New Roman"/>
          <w:lang w:eastAsia="de-DE"/>
        </w:rPr>
        <w:t xml:space="preserve"> </w:t>
      </w:r>
      <w:r w:rsidR="009C05CB">
        <w:t>erweitert den Text nach „von zwanzig Jahren und darüber" um „οἱ ἐπιστάμενοι τὸ κακὸν καὶ τὸ ἀγαθόν" (die das Böse und das Gute kennen), eine interpretierende Ergänzung, die im MT fehlt, und übersetzt „</w:t>
      </w:r>
      <w:r w:rsidR="009C05CB">
        <w:rPr>
          <w:rtl/>
        </w:rPr>
        <w:t>כִּי לֹא־מִלְאוּ אַחֲרָי</w:t>
      </w:r>
      <w:r w:rsidR="009C05CB">
        <w:t>" (denn sie sind mir nicht völlig nachgefolgt) mit „οὐ γὰρ συνεπηκολούθησαν ὀπίσω μου" (denn sie sind mir nicht gefolgt).</w:t>
      </w:r>
    </w:p>
    <w:p w14:paraId="3E4B294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 negative Schwurformel mit Relativsatz und kausaler Begründung.</w:t>
      </w:r>
    </w:p>
    <w:p w14:paraId="647B42B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verkündet das harte Urteil: Die Exodus-Generation ab 20 Jahren wird das Land nicht sehen, weil sie Gott nicht vollständig nachgefolgt sind - die Konsequenz der Entmutigung.</w:t>
      </w:r>
    </w:p>
    <w:p w14:paraId="67BB299D"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32,12</w:t>
      </w:r>
    </w:p>
    <w:p w14:paraId="123862A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בִּלְתִּ֞י כָּלֵ֤ב בֶּן־יְפֻנֶּה֙ הַקְּנִזִּ֔י וִיהוֹשֻׁ֖עַ בִּן־נ֑וּן כִּ֥י מִלְא֖וּ אַחֲרֵ֥י יְהוָֽה׃</w:t>
      </w:r>
    </w:p>
    <w:p w14:paraId="182D4263"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ausgenommen Kalev, der Sohn Jephunnes, der Kenisi, und Jehoschua, der Sohn Nuns; denn sie sind dem Ewigen vollständig nachgefolgt.</w:t>
      </w:r>
    </w:p>
    <w:p w14:paraId="1B589FC4"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37C021D7">
          <v:rect id="_x0000_i1998" style="width:0;height:1.5pt" o:hralign="center" o:hrstd="t" o:hr="t" fillcolor="#a0a0a0" stroked="f"/>
        </w:pict>
      </w:r>
    </w:p>
    <w:p w14:paraId="31F5E6D7"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gibt die Ausnahme an. </w:t>
      </w:r>
      <w:r w:rsidRPr="00A80894">
        <w:rPr>
          <w:rFonts w:eastAsia="Times New Roman" w:cs="Times New Roman"/>
          <w:b/>
          <w:bCs/>
          <w:rtl/>
          <w:lang w:eastAsia="de-DE"/>
        </w:rPr>
        <w:t>בִּלְתִּי כָּלֵב בֶּן־יְפֻנֶּה הַקְּנִזִּי וִיהוֹשֻׁעַ בִּן־נוּן</w:t>
      </w:r>
      <w:r w:rsidRPr="00A80894">
        <w:rPr>
          <w:rFonts w:eastAsia="Times New Roman" w:cs="Times New Roman"/>
          <w:rtl/>
          <w:lang w:eastAsia="de-DE"/>
        </w:rPr>
        <w:t xml:space="preserve"> </w:t>
      </w:r>
      <w:r w:rsidRPr="00A80894">
        <w:rPr>
          <w:rFonts w:eastAsia="Times New Roman" w:cs="Times New Roman"/>
          <w:lang w:eastAsia="de-DE"/>
        </w:rPr>
        <w:t xml:space="preserve">nennt die zwei Ausnahmen. </w:t>
      </w:r>
      <w:r w:rsidRPr="00A80894">
        <w:rPr>
          <w:rFonts w:eastAsia="Times New Roman" w:cs="Times New Roman"/>
          <w:b/>
          <w:bCs/>
          <w:rtl/>
          <w:lang w:eastAsia="de-DE"/>
        </w:rPr>
        <w:t>בִּלְתִּי</w:t>
      </w:r>
      <w:r w:rsidRPr="00A80894">
        <w:rPr>
          <w:rFonts w:eastAsia="Times New Roman" w:cs="Times New Roman"/>
          <w:rtl/>
          <w:lang w:eastAsia="de-DE"/>
        </w:rPr>
        <w:t xml:space="preserve"> </w:t>
      </w:r>
      <w:r w:rsidRPr="00A80894">
        <w:rPr>
          <w:rFonts w:eastAsia="Times New Roman" w:cs="Times New Roman"/>
          <w:lang w:eastAsia="de-DE"/>
        </w:rPr>
        <w:t xml:space="preserve">(Präposition „außer, ausgenommen"), </w:t>
      </w:r>
      <w:r w:rsidRPr="00A80894">
        <w:rPr>
          <w:rFonts w:eastAsia="Times New Roman" w:cs="Times New Roman"/>
          <w:b/>
          <w:bCs/>
          <w:rtl/>
          <w:lang w:eastAsia="de-DE"/>
        </w:rPr>
        <w:t>כָּלֵב בֶּן־יְפֻנֶּה</w:t>
      </w:r>
      <w:r w:rsidRPr="00A80894">
        <w:rPr>
          <w:rFonts w:eastAsia="Times New Roman" w:cs="Times New Roman"/>
          <w:rtl/>
          <w:lang w:eastAsia="de-DE"/>
        </w:rPr>
        <w:t xml:space="preserve"> </w:t>
      </w:r>
      <w:r w:rsidRPr="00A80894">
        <w:rPr>
          <w:rFonts w:eastAsia="Times New Roman" w:cs="Times New Roman"/>
          <w:lang w:eastAsia="de-DE"/>
        </w:rPr>
        <w:t xml:space="preserve">(Kaleb, Sohn Jefunnes), </w:t>
      </w:r>
      <w:r w:rsidRPr="00A80894">
        <w:rPr>
          <w:rFonts w:eastAsia="Times New Roman" w:cs="Times New Roman"/>
          <w:b/>
          <w:bCs/>
          <w:rtl/>
          <w:lang w:eastAsia="de-DE"/>
        </w:rPr>
        <w:t>הַקְּנִזִּי</w:t>
      </w:r>
      <w:r w:rsidRPr="00A80894">
        <w:rPr>
          <w:rFonts w:eastAsia="Times New Roman" w:cs="Times New Roman"/>
          <w:rtl/>
          <w:lang w:eastAsia="de-DE"/>
        </w:rPr>
        <w:t xml:space="preserve"> </w:t>
      </w:r>
      <w:r w:rsidRPr="00A80894">
        <w:rPr>
          <w:rFonts w:eastAsia="Times New Roman" w:cs="Times New Roman"/>
          <w:lang w:eastAsia="de-DE"/>
        </w:rPr>
        <w:t xml:space="preserve">(Gentilizium mit Artikel „der Kenisiter", was seine ethnische Zugehörigkeit angibt), </w:t>
      </w:r>
      <w:r w:rsidRPr="00A80894">
        <w:rPr>
          <w:rFonts w:eastAsia="Times New Roman" w:cs="Times New Roman"/>
          <w:b/>
          <w:bCs/>
          <w:rtl/>
          <w:lang w:eastAsia="de-DE"/>
        </w:rPr>
        <w:t>וִיהוֹשֻׁעַ בִּן־נוּן</w:t>
      </w:r>
      <w:r w:rsidRPr="00A80894">
        <w:rPr>
          <w:rFonts w:eastAsia="Times New Roman" w:cs="Times New Roman"/>
          <w:rtl/>
          <w:lang w:eastAsia="de-DE"/>
        </w:rPr>
        <w:t xml:space="preserve"> </w:t>
      </w:r>
      <w:r w:rsidRPr="00A80894">
        <w:rPr>
          <w:rFonts w:eastAsia="Times New Roman" w:cs="Times New Roman"/>
          <w:lang w:eastAsia="de-DE"/>
        </w:rPr>
        <w:t>(Konjunktion mit „Josua, Sohn des Nun"). Diese beiden treuen Kundschafter ermutigten das Volk (Num 13,30; 14,6-9).</w:t>
      </w:r>
    </w:p>
    <w:p w14:paraId="41A58844"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t>כִּי מִלְאוּ אַחֲרֵי יהוה</w:t>
      </w:r>
      <w:r w:rsidRPr="00A80894">
        <w:rPr>
          <w:rFonts w:eastAsia="Times New Roman" w:cs="Times New Roman"/>
          <w:rtl/>
          <w:lang w:eastAsia="de-DE"/>
        </w:rPr>
        <w:t xml:space="preserve"> </w:t>
      </w:r>
      <w:r w:rsidRPr="00A80894">
        <w:rPr>
          <w:rFonts w:eastAsia="Times New Roman" w:cs="Times New Roman"/>
          <w:lang w:eastAsia="de-DE"/>
        </w:rPr>
        <w:t xml:space="preserve">ist die Begründung. </w:t>
      </w:r>
      <w:r w:rsidRPr="00A80894">
        <w:rPr>
          <w:rFonts w:eastAsia="Times New Roman" w:cs="Times New Roman"/>
          <w:b/>
          <w:bCs/>
          <w:rtl/>
          <w:lang w:eastAsia="de-DE"/>
        </w:rPr>
        <w:t>כִּי</w:t>
      </w:r>
      <w:r w:rsidRPr="00A80894">
        <w:rPr>
          <w:rFonts w:eastAsia="Times New Roman" w:cs="Times New Roman"/>
          <w:rtl/>
          <w:lang w:eastAsia="de-DE"/>
        </w:rPr>
        <w:t xml:space="preserve"> </w:t>
      </w:r>
      <w:r w:rsidRPr="00A80894">
        <w:rPr>
          <w:rFonts w:eastAsia="Times New Roman" w:cs="Times New Roman"/>
          <w:lang w:eastAsia="de-DE"/>
        </w:rPr>
        <w:t xml:space="preserve">(„denn"), </w:t>
      </w:r>
      <w:r w:rsidRPr="00A80894">
        <w:rPr>
          <w:rFonts w:eastAsia="Times New Roman" w:cs="Times New Roman"/>
          <w:b/>
          <w:bCs/>
          <w:rtl/>
          <w:lang w:eastAsia="de-DE"/>
        </w:rPr>
        <w:t>מִלְאוּ אַחֲרֵי יהוה</w:t>
      </w:r>
      <w:r w:rsidRPr="00A80894">
        <w:rPr>
          <w:rFonts w:eastAsia="Times New Roman" w:cs="Times New Roman"/>
          <w:rtl/>
          <w:lang w:eastAsia="de-DE"/>
        </w:rPr>
        <w:t xml:space="preserve"> </w:t>
      </w:r>
      <w:r w:rsidRPr="00A80894">
        <w:rPr>
          <w:rFonts w:eastAsia="Times New Roman" w:cs="Times New Roman"/>
          <w:lang w:eastAsia="de-DE"/>
        </w:rPr>
        <w:t xml:space="preserve">(Piel Perfekt 3. Person Plural von </w:t>
      </w:r>
      <w:r w:rsidRPr="00A80894">
        <w:rPr>
          <w:rFonts w:eastAsia="Times New Roman" w:cs="Times New Roman"/>
          <w:b/>
          <w:bCs/>
          <w:rtl/>
          <w:lang w:eastAsia="de-DE"/>
        </w:rPr>
        <w:t>מלא</w:t>
      </w:r>
      <w:r w:rsidRPr="00A80894">
        <w:rPr>
          <w:rFonts w:eastAsia="Times New Roman" w:cs="Times New Roman"/>
          <w:rtl/>
          <w:lang w:eastAsia="de-DE"/>
        </w:rPr>
        <w:t xml:space="preserve"> </w:t>
      </w:r>
      <w:r w:rsidRPr="00A80894">
        <w:rPr>
          <w:rFonts w:eastAsia="Times New Roman" w:cs="Times New Roman"/>
          <w:lang w:eastAsia="de-DE"/>
        </w:rPr>
        <w:t xml:space="preserve">mit Präposition </w:t>
      </w:r>
      <w:r w:rsidRPr="00A80894">
        <w:rPr>
          <w:rFonts w:eastAsia="Times New Roman" w:cs="Times New Roman"/>
          <w:b/>
          <w:bCs/>
          <w:rtl/>
          <w:lang w:eastAsia="de-DE"/>
        </w:rPr>
        <w:t>אַחַר</w:t>
      </w:r>
      <w:r w:rsidRPr="00A80894">
        <w:rPr>
          <w:rFonts w:eastAsia="Times New Roman" w:cs="Times New Roman"/>
          <w:rtl/>
          <w:lang w:eastAsia="de-DE"/>
        </w:rPr>
        <w:t xml:space="preserve"> </w:t>
      </w:r>
      <w:r w:rsidRPr="00A80894">
        <w:rPr>
          <w:rFonts w:eastAsia="Times New Roman" w:cs="Times New Roman"/>
          <w:lang w:eastAsia="de-DE"/>
        </w:rPr>
        <w:t>und Tetragramm „sie sind dem Ewigen vollständig nachgefolgt"). Die positive Formulierung steht im Kontrast zu V. 11.</w:t>
      </w:r>
    </w:p>
    <w:p w14:paraId="06698175" w14:textId="7E6B1C45"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Die LXX</w:t>
      </w:r>
      <w:r w:rsidRPr="00A80894">
        <w:rPr>
          <w:rFonts w:eastAsia="Times New Roman" w:cs="Times New Roman"/>
          <w:lang w:eastAsia="de-DE"/>
        </w:rPr>
        <w:t xml:space="preserve"> </w:t>
      </w:r>
      <w:r w:rsidR="00EF1857">
        <w:t>übersetzt „</w:t>
      </w:r>
      <w:r w:rsidR="00EF1857" w:rsidRPr="00EF1857">
        <w:rPr>
          <w:b/>
          <w:bCs/>
          <w:rtl/>
        </w:rPr>
        <w:t>הַקְּנִזִּי</w:t>
      </w:r>
      <w:r w:rsidR="00EF1857">
        <w:t>" (der Kenasiter) mit „ὁ διακεχωρισμένος" (der Abgesonderte), was eine Interpretation statt Transliteration ist.</w:t>
      </w:r>
    </w:p>
    <w:p w14:paraId="1898166F"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 Ausnahmeformel mit zwei Namen und kausaler Begründung.</w:t>
      </w:r>
    </w:p>
    <w:p w14:paraId="1DA16B41"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hebt die zwei treuen Kundschafter hervor: Kaleb und Josua dürfen ins Land, weil sie Gott vollständig nachfolgten - ein Kontrast zur untreuen Generation und ein Vorbild für Gad und Ruben.</w:t>
      </w:r>
    </w:p>
    <w:p w14:paraId="68AC7AB3"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32,13</w:t>
      </w:r>
    </w:p>
    <w:p w14:paraId="3BEC0C6E"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lastRenderedPageBreak/>
        <w:t>Hebräisch:</w:t>
      </w:r>
      <w:r w:rsidRPr="00A80894">
        <w:rPr>
          <w:rFonts w:eastAsia="Times New Roman" w:cs="Times New Roman"/>
          <w:lang w:eastAsia="de-DE"/>
        </w:rPr>
        <w:t xml:space="preserve"> </w:t>
      </w:r>
      <w:r w:rsidRPr="00A80894">
        <w:rPr>
          <w:rFonts w:eastAsia="Times New Roman" w:cs="Times New Roman"/>
          <w:rtl/>
          <w:lang w:eastAsia="de-DE"/>
        </w:rPr>
        <w:t>וַיִּֽחַר־אַ֤ף יְהוָה֙ בְּיִשְׂרָאֵ֔ל וַיְנִעֵם֙ בַּמִּדְבָּ֔ר אַרְבָּעִ֖ים שָׁנָ֑ה עַד־תֹּם֙ כָּל־הַדּ֔וֹר הָעֹשֶׂ֥ה הָרַ֖ע בְּעֵינֵ֥י יְהוָֽה׃</w:t>
      </w:r>
    </w:p>
    <w:p w14:paraId="69A5A4E9"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Und der Zorn des Ewigen entbrannte gegen Jisra'el, und er ließ sie umherziehen 40 Jahre in der Wüste, bis die ganze Generation aufgerieben war, die das Böse in den Augen des Ewigen getan hatte.</w:t>
      </w:r>
    </w:p>
    <w:p w14:paraId="12B46D64"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7611D3F5">
          <v:rect id="_x0000_i1999" style="width:0;height:1.5pt" o:hralign="center" o:hrstd="t" o:hr="t" fillcolor="#a0a0a0" stroked="f"/>
        </w:pict>
      </w:r>
    </w:p>
    <w:p w14:paraId="2ED55AA3" w14:textId="4A8DC67D"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beschreibt die Strafe. </w:t>
      </w:r>
      <w:r w:rsidRPr="00A80894">
        <w:rPr>
          <w:rFonts w:eastAsia="Times New Roman" w:cs="Times New Roman"/>
          <w:b/>
          <w:bCs/>
          <w:rtl/>
          <w:lang w:eastAsia="de-DE"/>
        </w:rPr>
        <w:t>וַיִּחַר־אַף יהוה בְּיִשְׂרָאֵל</w:t>
      </w:r>
      <w:r w:rsidRPr="00A80894">
        <w:rPr>
          <w:rFonts w:eastAsia="Times New Roman" w:cs="Times New Roman"/>
          <w:rtl/>
          <w:lang w:eastAsia="de-DE"/>
        </w:rPr>
        <w:t xml:space="preserve"> </w:t>
      </w:r>
      <w:r w:rsidRPr="00A80894">
        <w:rPr>
          <w:rFonts w:eastAsia="Times New Roman" w:cs="Times New Roman"/>
          <w:lang w:eastAsia="de-DE"/>
        </w:rPr>
        <w:t xml:space="preserve">wiederholt die Zornformel (wie V. 10), jetzt mit </w:t>
      </w:r>
      <w:r w:rsidRPr="00A80894">
        <w:rPr>
          <w:rFonts w:eastAsia="Times New Roman" w:cs="Times New Roman"/>
          <w:b/>
          <w:bCs/>
          <w:rtl/>
          <w:lang w:eastAsia="de-DE"/>
        </w:rPr>
        <w:t>בְּיִשְׂרָאֵל</w:t>
      </w:r>
      <w:r w:rsidRPr="00A80894">
        <w:rPr>
          <w:rFonts w:eastAsia="Times New Roman" w:cs="Times New Roman"/>
          <w:rtl/>
          <w:lang w:eastAsia="de-DE"/>
        </w:rPr>
        <w:t xml:space="preserve"> </w:t>
      </w:r>
      <w:r w:rsidRPr="00A80894">
        <w:rPr>
          <w:rFonts w:eastAsia="Times New Roman" w:cs="Times New Roman"/>
          <w:lang w:eastAsia="de-DE"/>
        </w:rPr>
        <w:t xml:space="preserve">(„gegen Israel"). </w:t>
      </w:r>
      <w:r w:rsidRPr="00A80894">
        <w:rPr>
          <w:rFonts w:eastAsia="Times New Roman" w:cs="Times New Roman"/>
          <w:b/>
          <w:bCs/>
          <w:rtl/>
          <w:lang w:eastAsia="de-DE"/>
        </w:rPr>
        <w:t>וַיְנִעֵם בַּמִּדְבָּר אַרְבָּעִים שָׁנָה</w:t>
      </w:r>
      <w:r w:rsidRPr="00A80894">
        <w:rPr>
          <w:rFonts w:eastAsia="Times New Roman" w:cs="Times New Roman"/>
          <w:rtl/>
          <w:lang w:eastAsia="de-DE"/>
        </w:rPr>
        <w:t xml:space="preserve"> </w:t>
      </w:r>
      <w:r w:rsidRPr="00A80894">
        <w:rPr>
          <w:rFonts w:eastAsia="Times New Roman" w:cs="Times New Roman"/>
          <w:lang w:eastAsia="de-DE"/>
        </w:rPr>
        <w:t xml:space="preserve">ist die Strafe. </w:t>
      </w:r>
      <w:r w:rsidRPr="00A80894">
        <w:rPr>
          <w:rFonts w:eastAsia="Times New Roman" w:cs="Times New Roman"/>
          <w:b/>
          <w:bCs/>
          <w:rtl/>
          <w:lang w:eastAsia="de-DE"/>
        </w:rPr>
        <w:t>וַיְנִעֵם</w:t>
      </w:r>
      <w:r w:rsidRPr="00A80894">
        <w:rPr>
          <w:rFonts w:eastAsia="Times New Roman" w:cs="Times New Roman"/>
          <w:rtl/>
          <w:lang w:eastAsia="de-DE"/>
        </w:rPr>
        <w:t xml:space="preserve"> </w:t>
      </w:r>
      <w:r w:rsidRPr="00A80894">
        <w:rPr>
          <w:rFonts w:eastAsia="Times New Roman" w:cs="Times New Roman"/>
          <w:lang w:eastAsia="de-DE"/>
        </w:rPr>
        <w:t xml:space="preserve">(Hiphil Wayyiqtol 3. Person maskulin Singular mit Suffix 3. Person Plural von </w:t>
      </w:r>
      <w:r w:rsidRPr="00A80894">
        <w:rPr>
          <w:rFonts w:eastAsia="Times New Roman" w:cs="Times New Roman"/>
          <w:b/>
          <w:bCs/>
          <w:rtl/>
          <w:lang w:eastAsia="de-DE"/>
        </w:rPr>
        <w:t>נוע</w:t>
      </w:r>
      <w:r w:rsidRPr="00A80894">
        <w:rPr>
          <w:rFonts w:eastAsia="Times New Roman" w:cs="Times New Roman"/>
          <w:rtl/>
          <w:lang w:eastAsia="de-DE"/>
        </w:rPr>
        <w:t xml:space="preserve"> </w:t>
      </w:r>
      <w:r w:rsidRPr="00A80894">
        <w:rPr>
          <w:rFonts w:eastAsia="Times New Roman" w:cs="Times New Roman"/>
          <w:lang w:eastAsia="de-DE"/>
        </w:rPr>
        <w:t xml:space="preserve">„schwanken, umherwandern lassen"), </w:t>
      </w:r>
      <w:r w:rsidRPr="00A80894">
        <w:rPr>
          <w:rFonts w:eastAsia="Times New Roman" w:cs="Times New Roman"/>
          <w:b/>
          <w:bCs/>
          <w:rtl/>
          <w:lang w:eastAsia="de-DE"/>
        </w:rPr>
        <w:t>בַּמִּדְבָּר</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בְ</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מִדְבָּר</w:t>
      </w:r>
      <w:r w:rsidRPr="00A80894">
        <w:rPr>
          <w:rFonts w:eastAsia="Times New Roman" w:cs="Times New Roman"/>
          <w:rtl/>
          <w:lang w:eastAsia="de-DE"/>
        </w:rPr>
        <w:t xml:space="preserve"> </w:t>
      </w:r>
      <w:r w:rsidRPr="00A80894">
        <w:rPr>
          <w:rFonts w:eastAsia="Times New Roman" w:cs="Times New Roman"/>
          <w:lang w:eastAsia="de-DE"/>
        </w:rPr>
        <w:t xml:space="preserve">„Wüste" mit Artikel „in der Wüste"), </w:t>
      </w:r>
      <w:r w:rsidRPr="00A80894">
        <w:rPr>
          <w:rFonts w:eastAsia="Times New Roman" w:cs="Times New Roman"/>
          <w:b/>
          <w:bCs/>
          <w:rtl/>
          <w:lang w:eastAsia="de-DE"/>
        </w:rPr>
        <w:t>אַרְבָּעִים שָׁנָה</w:t>
      </w:r>
      <w:r w:rsidRPr="00A80894">
        <w:rPr>
          <w:rFonts w:eastAsia="Times New Roman" w:cs="Times New Roman"/>
          <w:rtl/>
          <w:lang w:eastAsia="de-DE"/>
        </w:rPr>
        <w:t xml:space="preserve"> </w:t>
      </w:r>
      <w:r w:rsidRPr="00A80894">
        <w:rPr>
          <w:rFonts w:eastAsia="Times New Roman" w:cs="Times New Roman"/>
          <w:lang w:eastAsia="de-DE"/>
        </w:rPr>
        <w:t xml:space="preserve">(„vierzig Jahre"). </w:t>
      </w:r>
      <w:r w:rsidRPr="00A80894">
        <w:rPr>
          <w:rFonts w:eastAsia="Times New Roman" w:cs="Times New Roman"/>
          <w:b/>
          <w:bCs/>
          <w:rtl/>
          <w:lang w:eastAsia="de-DE"/>
        </w:rPr>
        <w:t>עַד־תֹּם כָּל־הַדּוֹר הָעֹשֶׂה הָרַע בְּעֵינֵי יהוה</w:t>
      </w:r>
      <w:r w:rsidRPr="00A80894">
        <w:rPr>
          <w:rFonts w:eastAsia="Times New Roman" w:cs="Times New Roman"/>
          <w:rtl/>
          <w:lang w:eastAsia="de-DE"/>
        </w:rPr>
        <w:t xml:space="preserve"> </w:t>
      </w:r>
      <w:r w:rsidRPr="00A80894">
        <w:rPr>
          <w:rFonts w:eastAsia="Times New Roman" w:cs="Times New Roman"/>
          <w:lang w:eastAsia="de-DE"/>
        </w:rPr>
        <w:t xml:space="preserve">gibt die Dauer an. </w:t>
      </w:r>
      <w:r w:rsidRPr="00A80894">
        <w:rPr>
          <w:rFonts w:eastAsia="Times New Roman" w:cs="Times New Roman"/>
          <w:b/>
          <w:bCs/>
          <w:rtl/>
          <w:lang w:eastAsia="de-DE"/>
        </w:rPr>
        <w:t>עַד־תֹּם</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עַד</w:t>
      </w:r>
      <w:r w:rsidRPr="00A80894">
        <w:rPr>
          <w:rFonts w:eastAsia="Times New Roman" w:cs="Times New Roman"/>
          <w:rtl/>
          <w:lang w:eastAsia="de-DE"/>
        </w:rPr>
        <w:t xml:space="preserve"> </w:t>
      </w:r>
      <w:r w:rsidRPr="00A80894">
        <w:rPr>
          <w:rFonts w:eastAsia="Times New Roman" w:cs="Times New Roman"/>
          <w:lang w:eastAsia="de-DE"/>
        </w:rPr>
        <w:t xml:space="preserve">„bis" mit Qal Infinitiv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תמם</w:t>
      </w:r>
      <w:r w:rsidRPr="00A80894">
        <w:rPr>
          <w:rFonts w:eastAsia="Times New Roman" w:cs="Times New Roman"/>
          <w:rtl/>
          <w:lang w:eastAsia="de-DE"/>
        </w:rPr>
        <w:t xml:space="preserve"> </w:t>
      </w:r>
      <w:r w:rsidRPr="00A80894">
        <w:rPr>
          <w:rFonts w:eastAsia="Times New Roman" w:cs="Times New Roman"/>
          <w:lang w:eastAsia="de-DE"/>
        </w:rPr>
        <w:t xml:space="preserve">„zu Ende sein, aufgerieben sein"), </w:t>
      </w:r>
      <w:r w:rsidRPr="00A80894">
        <w:rPr>
          <w:rFonts w:eastAsia="Times New Roman" w:cs="Times New Roman"/>
          <w:b/>
          <w:bCs/>
          <w:rtl/>
          <w:lang w:eastAsia="de-DE"/>
        </w:rPr>
        <w:t>כָּל־הַדּוֹר</w:t>
      </w:r>
      <w:r w:rsidRPr="00A80894">
        <w:rPr>
          <w:rFonts w:eastAsia="Times New Roman" w:cs="Times New Roman"/>
          <w:rtl/>
          <w:lang w:eastAsia="de-DE"/>
        </w:rPr>
        <w:t xml:space="preserve"> </w:t>
      </w:r>
      <w:r w:rsidRPr="00A80894">
        <w:rPr>
          <w:rFonts w:eastAsia="Times New Roman" w:cs="Times New Roman"/>
          <w:lang w:eastAsia="de-DE"/>
        </w:rPr>
        <w:t xml:space="preserve">(„die ganze Generation"), </w:t>
      </w:r>
      <w:r w:rsidRPr="00A80894">
        <w:rPr>
          <w:rFonts w:eastAsia="Times New Roman" w:cs="Times New Roman"/>
          <w:b/>
          <w:bCs/>
          <w:rtl/>
          <w:lang w:eastAsia="de-DE"/>
        </w:rPr>
        <w:t>הָעֹשֶׂה הָרַע בְּעֵינֵי יהוה</w:t>
      </w:r>
      <w:r w:rsidRPr="00A80894">
        <w:rPr>
          <w:rFonts w:eastAsia="Times New Roman" w:cs="Times New Roman"/>
          <w:rtl/>
          <w:lang w:eastAsia="de-DE"/>
        </w:rPr>
        <w:t xml:space="preserve"> </w:t>
      </w:r>
      <w:r w:rsidRPr="00A80894">
        <w:rPr>
          <w:rFonts w:eastAsia="Times New Roman" w:cs="Times New Roman"/>
          <w:lang w:eastAsia="de-DE"/>
        </w:rPr>
        <w:t xml:space="preserve">(Qal-Partizip von </w:t>
      </w:r>
      <w:r w:rsidRPr="00A80894">
        <w:rPr>
          <w:rFonts w:eastAsia="Times New Roman" w:cs="Times New Roman"/>
          <w:b/>
          <w:bCs/>
          <w:rtl/>
          <w:lang w:eastAsia="de-DE"/>
        </w:rPr>
        <w:t>עשׂה</w:t>
      </w:r>
      <w:r w:rsidRPr="00A80894">
        <w:rPr>
          <w:rFonts w:eastAsia="Times New Roman" w:cs="Times New Roman"/>
          <w:rtl/>
          <w:lang w:eastAsia="de-DE"/>
        </w:rPr>
        <w:t xml:space="preserve"> </w:t>
      </w:r>
      <w:r w:rsidRPr="00A80894">
        <w:rPr>
          <w:rFonts w:eastAsia="Times New Roman" w:cs="Times New Roman"/>
          <w:lang w:eastAsia="de-DE"/>
        </w:rPr>
        <w:t xml:space="preserve">„tun" mit </w:t>
      </w:r>
      <w:r w:rsidRPr="00A80894">
        <w:rPr>
          <w:rFonts w:eastAsia="Times New Roman" w:cs="Times New Roman"/>
          <w:b/>
          <w:bCs/>
          <w:rtl/>
          <w:lang w:eastAsia="de-DE"/>
        </w:rPr>
        <w:t>רַע</w:t>
      </w:r>
      <w:r w:rsidRPr="00A80894">
        <w:rPr>
          <w:rFonts w:eastAsia="Times New Roman" w:cs="Times New Roman"/>
          <w:rtl/>
          <w:lang w:eastAsia="de-DE"/>
        </w:rPr>
        <w:t xml:space="preserve"> </w:t>
      </w:r>
      <w:r w:rsidRPr="00A80894">
        <w:rPr>
          <w:rFonts w:eastAsia="Times New Roman" w:cs="Times New Roman"/>
          <w:lang w:eastAsia="de-DE"/>
        </w:rPr>
        <w:t xml:space="preserve">„Böses" und idiomatische Wendung </w:t>
      </w:r>
      <w:r w:rsidRPr="00A80894">
        <w:rPr>
          <w:rFonts w:eastAsia="Times New Roman" w:cs="Times New Roman"/>
          <w:b/>
          <w:bCs/>
          <w:rtl/>
          <w:lang w:eastAsia="de-DE"/>
        </w:rPr>
        <w:t>בְּעֵינֵי יהוה</w:t>
      </w:r>
      <w:r w:rsidRPr="00A80894">
        <w:rPr>
          <w:rFonts w:eastAsia="Times New Roman" w:cs="Times New Roman"/>
          <w:rtl/>
          <w:lang w:eastAsia="de-DE"/>
        </w:rPr>
        <w:t xml:space="preserve"> </w:t>
      </w:r>
      <w:r w:rsidRPr="00A80894">
        <w:rPr>
          <w:rFonts w:eastAsia="Times New Roman" w:cs="Times New Roman"/>
          <w:lang w:eastAsia="de-DE"/>
        </w:rPr>
        <w:t>„in den Augen des Ewigen" „die das Böse in den Augen des Ewigen tat").</w:t>
      </w:r>
    </w:p>
    <w:p w14:paraId="4A02F9BA" w14:textId="69D1A8F9"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Die LXX</w:t>
      </w:r>
      <w:r w:rsidRPr="00A80894">
        <w:rPr>
          <w:rFonts w:eastAsia="Times New Roman" w:cs="Times New Roman"/>
          <w:lang w:eastAsia="de-DE"/>
        </w:rPr>
        <w:t xml:space="preserve"> </w:t>
      </w:r>
      <w:r w:rsidR="00EF1857">
        <w:t>übersetzt „</w:t>
      </w:r>
      <w:r w:rsidR="00EF1857" w:rsidRPr="00EF1857">
        <w:rPr>
          <w:b/>
          <w:bCs/>
          <w:rtl/>
        </w:rPr>
        <w:t>וַיְנִעֵם</w:t>
      </w:r>
      <w:r w:rsidR="00EF1857">
        <w:rPr>
          <w:rtl/>
        </w:rPr>
        <w:t xml:space="preserve"> </w:t>
      </w:r>
      <w:r w:rsidR="00EF1857" w:rsidRPr="00EF1857">
        <w:rPr>
          <w:b/>
          <w:bCs/>
          <w:rtl/>
        </w:rPr>
        <w:t>בַּמִּדְבָּר</w:t>
      </w:r>
      <w:r w:rsidR="00EF1857">
        <w:t>" (und er ließ sie umherirren in der Wüste) mit „καὶ κατερρέμβευσεν αὐτοὺς ἐν τῇ ἐρήμῳ" (und er ließ sie in der Wüste herumschweifen).</w:t>
      </w:r>
    </w:p>
    <w:p w14:paraId="6F333E97"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zwei koordinierte Wayyiqtol-Sätze mit temporaler Bestimmung.</w:t>
      </w:r>
    </w:p>
    <w:p w14:paraId="1BF527E2"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fasst die 40-jährige Wüstenwanderung als Strafe zusammen: Gott ließ die untreue Generation umherirren, bis sie völlig ausgestorben war - eine drastische Warnung an Gad und Ruben.</w:t>
      </w:r>
    </w:p>
    <w:p w14:paraId="2707DADA"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32,14</w:t>
      </w:r>
    </w:p>
    <w:p w14:paraId="73639730"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וְהִנֵּ֣ה קַמְתֶּ֗ם תַּ֚חַת אֲבֹ֣תֵיכֶ֔ם תַּרְבּ֖וּת אֲנָשִׁ֣ים חַטָּאִ֑ים לִסְפּ֣וֹת ע֗וֹד עַ֛ל חֲר֥וֹן אַף־יְהוָ֖ה אֶל־יִשְׂרָאֵֽל׃</w:t>
      </w:r>
    </w:p>
    <w:p w14:paraId="4EABFCE8"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Und siehe, ihr seid aufgestanden an eurer Väter Stelle, eine Brut von sündigen Männern, um die Glut des Zornes des Ewigen gegen Jisra'el noch zu mehren.</w:t>
      </w:r>
    </w:p>
    <w:p w14:paraId="37121C7C"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24FD4987">
          <v:rect id="_x0000_i2000" style="width:0;height:1.5pt" o:hralign="center" o:hrstd="t" o:hr="t" fillcolor="#a0a0a0" stroked="f"/>
        </w:pict>
      </w:r>
    </w:p>
    <w:p w14:paraId="4CDB9078"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zieht die vernichtende Parallele. </w:t>
      </w:r>
      <w:r w:rsidRPr="00A80894">
        <w:rPr>
          <w:rFonts w:eastAsia="Times New Roman" w:cs="Times New Roman"/>
          <w:b/>
          <w:bCs/>
          <w:rtl/>
          <w:lang w:eastAsia="de-DE"/>
        </w:rPr>
        <w:t>וְהִנֵּה קַמְתֶּם תַּחַת אֲבֹתֵיכֶם</w:t>
      </w:r>
      <w:r w:rsidRPr="00A80894">
        <w:rPr>
          <w:rFonts w:eastAsia="Times New Roman" w:cs="Times New Roman"/>
          <w:rtl/>
          <w:lang w:eastAsia="de-DE"/>
        </w:rPr>
        <w:t xml:space="preserve"> </w:t>
      </w:r>
      <w:r w:rsidRPr="00A80894">
        <w:rPr>
          <w:rFonts w:eastAsia="Times New Roman" w:cs="Times New Roman"/>
          <w:lang w:eastAsia="de-DE"/>
        </w:rPr>
        <w:t xml:space="preserve">ist die Anklage. </w:t>
      </w:r>
      <w:r w:rsidRPr="00A80894">
        <w:rPr>
          <w:rFonts w:eastAsia="Times New Roman" w:cs="Times New Roman"/>
          <w:b/>
          <w:bCs/>
          <w:rtl/>
          <w:lang w:eastAsia="de-DE"/>
        </w:rPr>
        <w:t>וְהִנֵּה</w:t>
      </w:r>
      <w:r w:rsidRPr="00A80894">
        <w:rPr>
          <w:rFonts w:eastAsia="Times New Roman" w:cs="Times New Roman"/>
          <w:rtl/>
          <w:lang w:eastAsia="de-DE"/>
        </w:rPr>
        <w:t xml:space="preserve"> </w:t>
      </w:r>
      <w:r w:rsidRPr="00A80894">
        <w:rPr>
          <w:rFonts w:eastAsia="Times New Roman" w:cs="Times New Roman"/>
          <w:lang w:eastAsia="de-DE"/>
        </w:rPr>
        <w:t xml:space="preserve">(Konjunktion mit Interjektion „und siehe"), </w:t>
      </w:r>
      <w:r w:rsidRPr="00A80894">
        <w:rPr>
          <w:rFonts w:eastAsia="Times New Roman" w:cs="Times New Roman"/>
          <w:b/>
          <w:bCs/>
          <w:rtl/>
          <w:lang w:eastAsia="de-DE"/>
        </w:rPr>
        <w:t>קַמְתֶּם</w:t>
      </w:r>
      <w:r w:rsidRPr="00A80894">
        <w:rPr>
          <w:rFonts w:eastAsia="Times New Roman" w:cs="Times New Roman"/>
          <w:rtl/>
          <w:lang w:eastAsia="de-DE"/>
        </w:rPr>
        <w:t xml:space="preserve"> </w:t>
      </w:r>
      <w:r w:rsidRPr="00A80894">
        <w:rPr>
          <w:rFonts w:eastAsia="Times New Roman" w:cs="Times New Roman"/>
          <w:lang w:eastAsia="de-DE"/>
        </w:rPr>
        <w:t xml:space="preserve">(Qal Perfekt 2. Person Plural von </w:t>
      </w:r>
      <w:r w:rsidRPr="00A80894">
        <w:rPr>
          <w:rFonts w:eastAsia="Times New Roman" w:cs="Times New Roman"/>
          <w:b/>
          <w:bCs/>
          <w:rtl/>
          <w:lang w:eastAsia="de-DE"/>
        </w:rPr>
        <w:t>קום</w:t>
      </w:r>
      <w:r w:rsidRPr="00A80894">
        <w:rPr>
          <w:rFonts w:eastAsia="Times New Roman" w:cs="Times New Roman"/>
          <w:rtl/>
          <w:lang w:eastAsia="de-DE"/>
        </w:rPr>
        <w:t xml:space="preserve"> </w:t>
      </w:r>
      <w:r w:rsidRPr="00A80894">
        <w:rPr>
          <w:rFonts w:eastAsia="Times New Roman" w:cs="Times New Roman"/>
          <w:lang w:eastAsia="de-DE"/>
        </w:rPr>
        <w:t xml:space="preserve">„aufstehen, sich erheben"), </w:t>
      </w:r>
      <w:r w:rsidRPr="00A80894">
        <w:rPr>
          <w:rFonts w:eastAsia="Times New Roman" w:cs="Times New Roman"/>
          <w:b/>
          <w:bCs/>
          <w:rtl/>
          <w:lang w:eastAsia="de-DE"/>
        </w:rPr>
        <w:t>תַּחַת אֲבֹתֵיכֶם</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תַּחַת</w:t>
      </w:r>
      <w:r w:rsidRPr="00A80894">
        <w:rPr>
          <w:rFonts w:eastAsia="Times New Roman" w:cs="Times New Roman"/>
          <w:rtl/>
          <w:lang w:eastAsia="de-DE"/>
        </w:rPr>
        <w:t xml:space="preserve"> </w:t>
      </w:r>
      <w:r w:rsidRPr="00A80894">
        <w:rPr>
          <w:rFonts w:eastAsia="Times New Roman" w:cs="Times New Roman"/>
          <w:lang w:eastAsia="de-DE"/>
        </w:rPr>
        <w:t xml:space="preserve">„anstelle von, unter, an die Stelle von" mit </w:t>
      </w:r>
      <w:r w:rsidRPr="00A80894">
        <w:rPr>
          <w:rFonts w:eastAsia="Times New Roman" w:cs="Times New Roman"/>
          <w:b/>
          <w:bCs/>
          <w:rtl/>
          <w:lang w:eastAsia="de-DE"/>
        </w:rPr>
        <w:t>אָבוֹת</w:t>
      </w:r>
      <w:r w:rsidRPr="00A80894">
        <w:rPr>
          <w:rFonts w:eastAsia="Times New Roman" w:cs="Times New Roman"/>
          <w:rtl/>
          <w:lang w:eastAsia="de-DE"/>
        </w:rPr>
        <w:t xml:space="preserve"> </w:t>
      </w:r>
      <w:r w:rsidRPr="00A80894">
        <w:rPr>
          <w:rFonts w:eastAsia="Times New Roman" w:cs="Times New Roman"/>
          <w:lang w:eastAsia="de-DE"/>
        </w:rPr>
        <w:t xml:space="preserve">„Väter" und Suffix 2. Person Plural „an eurer Väter Stelle"). </w:t>
      </w:r>
      <w:r w:rsidRPr="00A80894">
        <w:rPr>
          <w:rFonts w:eastAsia="Times New Roman" w:cs="Times New Roman"/>
          <w:b/>
          <w:bCs/>
          <w:rtl/>
          <w:lang w:eastAsia="de-DE"/>
        </w:rPr>
        <w:t>תַּרְבּוּת אֲנָשִׁים חַטָּאִים</w:t>
      </w:r>
      <w:r w:rsidRPr="00A80894">
        <w:rPr>
          <w:rFonts w:eastAsia="Times New Roman" w:cs="Times New Roman"/>
          <w:rtl/>
          <w:lang w:eastAsia="de-DE"/>
        </w:rPr>
        <w:t xml:space="preserve"> </w:t>
      </w:r>
      <w:r w:rsidRPr="00A80894">
        <w:rPr>
          <w:rFonts w:eastAsia="Times New Roman" w:cs="Times New Roman"/>
          <w:lang w:eastAsia="de-DE"/>
        </w:rPr>
        <w:t xml:space="preserve">ist die harte Charakterisierung. </w:t>
      </w:r>
      <w:r w:rsidRPr="00A80894">
        <w:rPr>
          <w:rFonts w:eastAsia="Times New Roman" w:cs="Times New Roman"/>
          <w:b/>
          <w:bCs/>
          <w:rtl/>
          <w:lang w:eastAsia="de-DE"/>
        </w:rPr>
        <w:t>תַּרְבּוּת</w:t>
      </w:r>
      <w:r w:rsidRPr="00A80894">
        <w:rPr>
          <w:rFonts w:eastAsia="Times New Roman" w:cs="Times New Roman"/>
          <w:rtl/>
          <w:lang w:eastAsia="de-DE"/>
        </w:rPr>
        <w:t xml:space="preserve"> </w:t>
      </w:r>
      <w:r w:rsidRPr="00A80894">
        <w:rPr>
          <w:rFonts w:eastAsia="Times New Roman" w:cs="Times New Roman"/>
          <w:lang w:eastAsia="de-DE"/>
        </w:rPr>
        <w:t xml:space="preserve">(feminines Nomen „Brut, Nachwuchs, Nachkommenschaft" - ein abwertendes Wort), </w:t>
      </w:r>
      <w:r w:rsidRPr="00A80894">
        <w:rPr>
          <w:rFonts w:eastAsia="Times New Roman" w:cs="Times New Roman"/>
          <w:b/>
          <w:bCs/>
          <w:rtl/>
          <w:lang w:eastAsia="de-DE"/>
        </w:rPr>
        <w:t>אֲנָשִׁים חַטָּאִים</w:t>
      </w:r>
      <w:r w:rsidRPr="00A80894">
        <w:rPr>
          <w:rFonts w:eastAsia="Times New Roman" w:cs="Times New Roman"/>
          <w:rtl/>
          <w:lang w:eastAsia="de-DE"/>
        </w:rPr>
        <w:t xml:space="preserve"> </w:t>
      </w:r>
      <w:r w:rsidRPr="00A80894">
        <w:rPr>
          <w:rFonts w:eastAsia="Times New Roman" w:cs="Times New Roman"/>
          <w:lang w:eastAsia="de-DE"/>
        </w:rPr>
        <w:t xml:space="preserve">(Plural von </w:t>
      </w:r>
      <w:r w:rsidRPr="00A80894">
        <w:rPr>
          <w:rFonts w:eastAsia="Times New Roman" w:cs="Times New Roman"/>
          <w:b/>
          <w:bCs/>
          <w:rtl/>
          <w:lang w:eastAsia="de-DE"/>
        </w:rPr>
        <w:t>אִישׁ</w:t>
      </w:r>
      <w:r w:rsidRPr="00A80894">
        <w:rPr>
          <w:rFonts w:eastAsia="Times New Roman" w:cs="Times New Roman"/>
          <w:rtl/>
          <w:lang w:eastAsia="de-DE"/>
        </w:rPr>
        <w:t xml:space="preserve"> </w:t>
      </w:r>
      <w:r w:rsidRPr="00A80894">
        <w:rPr>
          <w:rFonts w:eastAsia="Times New Roman" w:cs="Times New Roman"/>
          <w:lang w:eastAsia="de-DE"/>
        </w:rPr>
        <w:t xml:space="preserve">„Mann" mit Qal-Partizip Plural von </w:t>
      </w:r>
      <w:r w:rsidRPr="00A80894">
        <w:rPr>
          <w:rFonts w:eastAsia="Times New Roman" w:cs="Times New Roman"/>
          <w:b/>
          <w:bCs/>
          <w:rtl/>
          <w:lang w:eastAsia="de-DE"/>
        </w:rPr>
        <w:t>חטא</w:t>
      </w:r>
      <w:r w:rsidRPr="00A80894">
        <w:rPr>
          <w:rFonts w:eastAsia="Times New Roman" w:cs="Times New Roman"/>
          <w:rtl/>
          <w:lang w:eastAsia="de-DE"/>
        </w:rPr>
        <w:t xml:space="preserve"> </w:t>
      </w:r>
      <w:r w:rsidRPr="00A80894">
        <w:rPr>
          <w:rFonts w:eastAsia="Times New Roman" w:cs="Times New Roman"/>
          <w:lang w:eastAsia="de-DE"/>
        </w:rPr>
        <w:t>„sündigen" „sündige Männer").</w:t>
      </w:r>
    </w:p>
    <w:p w14:paraId="1E423A1E" w14:textId="16092A75"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t>לִסְפּוֹת עוֹד עַל חֲרוֹן אַף־יהוה אֶל־יִשְׂרָאֵל</w:t>
      </w:r>
      <w:r w:rsidRPr="00A80894">
        <w:rPr>
          <w:rFonts w:eastAsia="Times New Roman" w:cs="Times New Roman"/>
          <w:rtl/>
          <w:lang w:eastAsia="de-DE"/>
        </w:rPr>
        <w:t xml:space="preserve"> </w:t>
      </w:r>
      <w:r w:rsidRPr="00A80894">
        <w:rPr>
          <w:rFonts w:eastAsia="Times New Roman" w:cs="Times New Roman"/>
          <w:lang w:eastAsia="de-DE"/>
        </w:rPr>
        <w:t xml:space="preserve">gibt den Zweck an. </w:t>
      </w:r>
      <w:r w:rsidRPr="00A80894">
        <w:rPr>
          <w:rFonts w:eastAsia="Times New Roman" w:cs="Times New Roman"/>
          <w:b/>
          <w:bCs/>
          <w:rtl/>
          <w:lang w:eastAsia="de-DE"/>
        </w:rPr>
        <w:t>לִסְפּוֹת</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Qal Infinitiv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סוף/יסף</w:t>
      </w:r>
      <w:r w:rsidRPr="00A80894">
        <w:rPr>
          <w:rFonts w:eastAsia="Times New Roman" w:cs="Times New Roman"/>
          <w:rtl/>
          <w:lang w:eastAsia="de-DE"/>
        </w:rPr>
        <w:t xml:space="preserve"> </w:t>
      </w:r>
      <w:r w:rsidRPr="00A80894">
        <w:rPr>
          <w:rFonts w:eastAsia="Times New Roman" w:cs="Times New Roman"/>
          <w:lang w:eastAsia="de-DE"/>
        </w:rPr>
        <w:t xml:space="preserve">„hinzufügen, vermehren"), </w:t>
      </w:r>
      <w:r w:rsidRPr="00A80894">
        <w:rPr>
          <w:rFonts w:eastAsia="Times New Roman" w:cs="Times New Roman"/>
          <w:b/>
          <w:bCs/>
          <w:rtl/>
          <w:lang w:eastAsia="de-DE"/>
        </w:rPr>
        <w:t>עוֹד</w:t>
      </w:r>
      <w:r w:rsidRPr="00A80894">
        <w:rPr>
          <w:rFonts w:eastAsia="Times New Roman" w:cs="Times New Roman"/>
          <w:rtl/>
          <w:lang w:eastAsia="de-DE"/>
        </w:rPr>
        <w:t xml:space="preserve"> </w:t>
      </w:r>
      <w:r w:rsidRPr="00A80894">
        <w:rPr>
          <w:rFonts w:eastAsia="Times New Roman" w:cs="Times New Roman"/>
          <w:lang w:eastAsia="de-DE"/>
        </w:rPr>
        <w:t xml:space="preserve">(Adverb „noch, weiter"), </w:t>
      </w:r>
      <w:r w:rsidRPr="00A80894">
        <w:rPr>
          <w:rFonts w:eastAsia="Times New Roman" w:cs="Times New Roman"/>
          <w:b/>
          <w:bCs/>
          <w:rtl/>
          <w:lang w:eastAsia="de-DE"/>
        </w:rPr>
        <w:t>עַל חֲרוֹן אַף־יהוה</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עַל</w:t>
      </w:r>
      <w:r w:rsidRPr="00A80894">
        <w:rPr>
          <w:rFonts w:eastAsia="Times New Roman" w:cs="Times New Roman"/>
          <w:rtl/>
          <w:lang w:eastAsia="de-DE"/>
        </w:rPr>
        <w:t xml:space="preserve"> </w:t>
      </w:r>
      <w:r w:rsidRPr="00A80894">
        <w:rPr>
          <w:rFonts w:eastAsia="Times New Roman" w:cs="Times New Roman"/>
          <w:lang w:eastAsia="de-DE"/>
        </w:rPr>
        <w:t xml:space="preserve">„auf, zu" mit </w:t>
      </w:r>
      <w:r w:rsidR="00B513FF">
        <w:rPr>
          <w:rFonts w:eastAsia="Times New Roman" w:cs="Times New Roman"/>
          <w:lang w:eastAsia="de-DE"/>
        </w:rPr>
        <w:t xml:space="preserve">Constructus </w:t>
      </w:r>
      <w:r w:rsidRPr="00A80894">
        <w:rPr>
          <w:rFonts w:eastAsia="Times New Roman" w:cs="Times New Roman"/>
          <w:lang w:eastAsia="de-DE"/>
        </w:rPr>
        <w:t xml:space="preserve">verbindung: </w:t>
      </w:r>
      <w:r w:rsidRPr="00A80894">
        <w:rPr>
          <w:rFonts w:eastAsia="Times New Roman" w:cs="Times New Roman"/>
          <w:b/>
          <w:bCs/>
          <w:rtl/>
          <w:lang w:eastAsia="de-DE"/>
        </w:rPr>
        <w:t>חָרוֹן</w:t>
      </w:r>
      <w:r w:rsidRPr="00A80894">
        <w:rPr>
          <w:rFonts w:eastAsia="Times New Roman" w:cs="Times New Roman"/>
          <w:rtl/>
          <w:lang w:eastAsia="de-DE"/>
        </w:rPr>
        <w:t xml:space="preserve"> </w:t>
      </w:r>
      <w:r w:rsidRPr="00A80894">
        <w:rPr>
          <w:rFonts w:eastAsia="Times New Roman" w:cs="Times New Roman"/>
          <w:lang w:eastAsia="de-DE"/>
        </w:rPr>
        <w:t xml:space="preserve">„Glut, Hitze" mit </w:t>
      </w:r>
      <w:r w:rsidRPr="00A80894">
        <w:rPr>
          <w:rFonts w:eastAsia="Times New Roman" w:cs="Times New Roman"/>
          <w:b/>
          <w:bCs/>
          <w:rtl/>
          <w:lang w:eastAsia="de-DE"/>
        </w:rPr>
        <w:t>אַף</w:t>
      </w:r>
      <w:r w:rsidRPr="00A80894">
        <w:rPr>
          <w:rFonts w:eastAsia="Times New Roman" w:cs="Times New Roman"/>
          <w:rtl/>
          <w:lang w:eastAsia="de-DE"/>
        </w:rPr>
        <w:t xml:space="preserve"> </w:t>
      </w:r>
      <w:r w:rsidRPr="00A80894">
        <w:rPr>
          <w:rFonts w:eastAsia="Times New Roman" w:cs="Times New Roman"/>
          <w:lang w:eastAsia="de-DE"/>
        </w:rPr>
        <w:t xml:space="preserve">„Zorn" und Tetragramm „auf die Glut des Zornes des Ewigen"), </w:t>
      </w:r>
      <w:r w:rsidRPr="00A80894">
        <w:rPr>
          <w:rFonts w:eastAsia="Times New Roman" w:cs="Times New Roman"/>
          <w:b/>
          <w:bCs/>
          <w:rtl/>
          <w:lang w:eastAsia="de-DE"/>
        </w:rPr>
        <w:t>אֶל־יִשְׂרָאֵל</w:t>
      </w:r>
      <w:r w:rsidRPr="00A80894">
        <w:rPr>
          <w:rFonts w:eastAsia="Times New Roman" w:cs="Times New Roman"/>
          <w:rtl/>
          <w:lang w:eastAsia="de-DE"/>
        </w:rPr>
        <w:t xml:space="preserve"> </w:t>
      </w:r>
      <w:r w:rsidRPr="00A80894">
        <w:rPr>
          <w:rFonts w:eastAsia="Times New Roman" w:cs="Times New Roman"/>
          <w:lang w:eastAsia="de-DE"/>
        </w:rPr>
        <w:t>(„gegen Israel").</w:t>
      </w:r>
    </w:p>
    <w:p w14:paraId="6DBC414D" w14:textId="28077C4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lastRenderedPageBreak/>
        <w:t>Die LXX</w:t>
      </w:r>
      <w:r w:rsidRPr="00A80894">
        <w:rPr>
          <w:rFonts w:eastAsia="Times New Roman" w:cs="Times New Roman"/>
          <w:lang w:eastAsia="de-DE"/>
        </w:rPr>
        <w:t xml:space="preserve"> </w:t>
      </w:r>
      <w:r w:rsidR="00EF1857">
        <w:t>übersetzt „</w:t>
      </w:r>
      <w:r w:rsidR="00EF1857" w:rsidRPr="00EF1857">
        <w:rPr>
          <w:b/>
          <w:bCs/>
          <w:rtl/>
        </w:rPr>
        <w:t>תַּרְבּוּת אֲנָשִׁים חַטָּאִים</w:t>
      </w:r>
      <w:r w:rsidR="00EF1857">
        <w:t>" (eine Brut sündiger Männer) mit „σύστρεμμα ἀνθρώπων ἁμαρτωλῶν" (eine Zusammenrottung sündiger Männer), was negativer konnotiert ist.</w:t>
      </w:r>
    </w:p>
    <w:p w14:paraId="6A220DD9"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einen Erkenntnissatz mit Interjektion, appositive Charakterisierung und finalem Infinitiv.</w:t>
      </w:r>
    </w:p>
    <w:p w14:paraId="377A26CF"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enthält Moses härteste Anklage: Gad und Ruben sind eine „Brut von Sündern", die wie ihre Väter Gottes Zorn auf Israel mehren - eine vernichtende Charakterisierung, die die Schwere ihres Anliegens unterstreicht.</w:t>
      </w:r>
    </w:p>
    <w:p w14:paraId="642F9908"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32,15</w:t>
      </w:r>
    </w:p>
    <w:p w14:paraId="110EACD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כִּ֤י תְשׁוּבֻן֙ מֵֽאַחֲרָ֔יו וְיָסַ֣ף ע֔וֹד לְהַנִּיחֹ֖ו בַּמִּדְבָּ֑ר וְשִֽׁחַתֶּ֖ם לְכָל־הָעָ֥ם הַזֶּֽה׃</w:t>
      </w:r>
    </w:p>
    <w:p w14:paraId="7B095AEA"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Wenn ihr euch von ihm abwendet, so wird er es noch länger in der Wüste lassen, und ihr werdet dieses ganze Volk verderben.</w:t>
      </w:r>
    </w:p>
    <w:p w14:paraId="30F1C6A8"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23FA8CB2">
          <v:rect id="_x0000_i2001" style="width:0;height:1.5pt" o:hralign="center" o:hrstd="t" o:hr="t" fillcolor="#a0a0a0" stroked="f"/>
        </w:pict>
      </w:r>
    </w:p>
    <w:p w14:paraId="465EFA6A" w14:textId="5A09CD82"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warnt vor den katastrophalen Folgen. </w:t>
      </w:r>
      <w:r w:rsidRPr="00A80894">
        <w:rPr>
          <w:rFonts w:eastAsia="Times New Roman" w:cs="Times New Roman"/>
          <w:b/>
          <w:bCs/>
          <w:rtl/>
          <w:lang w:eastAsia="de-DE"/>
        </w:rPr>
        <w:t>כִּי תְשׁוּבֻן מֵאַחֲרָיו</w:t>
      </w:r>
      <w:r w:rsidRPr="00A80894">
        <w:rPr>
          <w:rFonts w:eastAsia="Times New Roman" w:cs="Times New Roman"/>
          <w:rtl/>
          <w:lang w:eastAsia="de-DE"/>
        </w:rPr>
        <w:t xml:space="preserve"> </w:t>
      </w:r>
      <w:r w:rsidRPr="00A80894">
        <w:rPr>
          <w:rFonts w:eastAsia="Times New Roman" w:cs="Times New Roman"/>
          <w:lang w:eastAsia="de-DE"/>
        </w:rPr>
        <w:t xml:space="preserve">ist die Bedingung. </w:t>
      </w:r>
      <w:r w:rsidRPr="00A80894">
        <w:rPr>
          <w:rFonts w:eastAsia="Times New Roman" w:cs="Times New Roman"/>
          <w:b/>
          <w:bCs/>
          <w:rtl/>
          <w:lang w:eastAsia="de-DE"/>
        </w:rPr>
        <w:t>כִּי</w:t>
      </w:r>
      <w:r w:rsidRPr="00A80894">
        <w:rPr>
          <w:rFonts w:eastAsia="Times New Roman" w:cs="Times New Roman"/>
          <w:rtl/>
          <w:lang w:eastAsia="de-DE"/>
        </w:rPr>
        <w:t xml:space="preserve"> </w:t>
      </w:r>
      <w:r w:rsidRPr="00A80894">
        <w:rPr>
          <w:rFonts w:eastAsia="Times New Roman" w:cs="Times New Roman"/>
          <w:lang w:eastAsia="de-DE"/>
        </w:rPr>
        <w:t xml:space="preserve">(konditionale Konjunktion „wenn"), </w:t>
      </w:r>
      <w:r w:rsidRPr="00A80894">
        <w:rPr>
          <w:rFonts w:eastAsia="Times New Roman" w:cs="Times New Roman"/>
          <w:b/>
          <w:bCs/>
          <w:rtl/>
          <w:lang w:eastAsia="de-DE"/>
        </w:rPr>
        <w:t>תְשׁוּבֻן</w:t>
      </w:r>
      <w:r w:rsidRPr="00A80894">
        <w:rPr>
          <w:rFonts w:eastAsia="Times New Roman" w:cs="Times New Roman"/>
          <w:rtl/>
          <w:lang w:eastAsia="de-DE"/>
        </w:rPr>
        <w:t xml:space="preserve"> </w:t>
      </w:r>
      <w:r w:rsidRPr="00A80894">
        <w:rPr>
          <w:rFonts w:eastAsia="Times New Roman" w:cs="Times New Roman"/>
          <w:lang w:eastAsia="de-DE"/>
        </w:rPr>
        <w:t xml:space="preserve">(Qal Imperfekt 2. Person Plural von </w:t>
      </w:r>
      <w:r w:rsidRPr="00A80894">
        <w:rPr>
          <w:rFonts w:eastAsia="Times New Roman" w:cs="Times New Roman"/>
          <w:b/>
          <w:bCs/>
          <w:rtl/>
          <w:lang w:eastAsia="de-DE"/>
        </w:rPr>
        <w:t>שׁוב</w:t>
      </w:r>
      <w:r w:rsidRPr="00A80894">
        <w:rPr>
          <w:rFonts w:eastAsia="Times New Roman" w:cs="Times New Roman"/>
          <w:rtl/>
          <w:lang w:eastAsia="de-DE"/>
        </w:rPr>
        <w:t xml:space="preserve"> </w:t>
      </w:r>
      <w:r w:rsidRPr="00A80894">
        <w:rPr>
          <w:rFonts w:eastAsia="Times New Roman" w:cs="Times New Roman"/>
          <w:lang w:eastAsia="de-DE"/>
        </w:rPr>
        <w:t xml:space="preserve">„umkehren, sich abwenden" mit Paragogischem Nun), </w:t>
      </w:r>
      <w:r w:rsidRPr="00A80894">
        <w:rPr>
          <w:rFonts w:eastAsia="Times New Roman" w:cs="Times New Roman"/>
          <w:b/>
          <w:bCs/>
          <w:rtl/>
          <w:lang w:eastAsia="de-DE"/>
        </w:rPr>
        <w:t>מֵאַחֲרָיו</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מִן</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אַחַר</w:t>
      </w:r>
      <w:r w:rsidRPr="00A80894">
        <w:rPr>
          <w:rFonts w:eastAsia="Times New Roman" w:cs="Times New Roman"/>
          <w:rtl/>
          <w:lang w:eastAsia="de-DE"/>
        </w:rPr>
        <w:t xml:space="preserve"> </w:t>
      </w:r>
      <w:r w:rsidRPr="00A80894">
        <w:rPr>
          <w:rFonts w:eastAsia="Times New Roman" w:cs="Times New Roman"/>
          <w:lang w:eastAsia="de-DE"/>
        </w:rPr>
        <w:t xml:space="preserve">„hinter, nach" und Suffix 3. Person maskulin Singular „von hinter ihm", d.h. „von ihm weg"). </w:t>
      </w:r>
      <w:r w:rsidRPr="00A80894">
        <w:rPr>
          <w:rFonts w:eastAsia="Times New Roman" w:cs="Times New Roman"/>
          <w:b/>
          <w:bCs/>
          <w:rtl/>
          <w:lang w:eastAsia="de-DE"/>
        </w:rPr>
        <w:t>וְיָסַף עוֹד לְהַנִּיחוֹ בַּמִּדְבָּר</w:t>
      </w:r>
      <w:r w:rsidRPr="00A80894">
        <w:rPr>
          <w:rFonts w:eastAsia="Times New Roman" w:cs="Times New Roman"/>
          <w:rtl/>
          <w:lang w:eastAsia="de-DE"/>
        </w:rPr>
        <w:t xml:space="preserve"> </w:t>
      </w:r>
      <w:r w:rsidRPr="00A80894">
        <w:rPr>
          <w:rFonts w:eastAsia="Times New Roman" w:cs="Times New Roman"/>
          <w:lang w:eastAsia="de-DE"/>
        </w:rPr>
        <w:t xml:space="preserve">ist die erste Folge. </w:t>
      </w:r>
      <w:r w:rsidRPr="00A80894">
        <w:rPr>
          <w:rFonts w:eastAsia="Times New Roman" w:cs="Times New Roman"/>
          <w:b/>
          <w:bCs/>
          <w:rtl/>
          <w:lang w:eastAsia="de-DE"/>
        </w:rPr>
        <w:t>וְיָסַף</w:t>
      </w:r>
      <w:r w:rsidRPr="00A80894">
        <w:rPr>
          <w:rFonts w:eastAsia="Times New Roman" w:cs="Times New Roman"/>
          <w:rtl/>
          <w:lang w:eastAsia="de-DE"/>
        </w:rPr>
        <w:t xml:space="preserve"> </w:t>
      </w:r>
      <w:r w:rsidRPr="00A80894">
        <w:rPr>
          <w:rFonts w:eastAsia="Times New Roman" w:cs="Times New Roman"/>
          <w:lang w:eastAsia="de-DE"/>
        </w:rPr>
        <w:t xml:space="preserve">(Hiphil Perfekt 3. Person maskulin Singular mit Waw consecutivum von </w:t>
      </w:r>
      <w:r w:rsidRPr="00A80894">
        <w:rPr>
          <w:rFonts w:eastAsia="Times New Roman" w:cs="Times New Roman"/>
          <w:b/>
          <w:bCs/>
          <w:rtl/>
          <w:lang w:eastAsia="de-DE"/>
        </w:rPr>
        <w:t>יסף</w:t>
      </w:r>
      <w:r w:rsidRPr="00A80894">
        <w:rPr>
          <w:rFonts w:eastAsia="Times New Roman" w:cs="Times New Roman"/>
          <w:rtl/>
          <w:lang w:eastAsia="de-DE"/>
        </w:rPr>
        <w:t xml:space="preserve"> </w:t>
      </w:r>
      <w:r w:rsidRPr="00A80894">
        <w:rPr>
          <w:rFonts w:eastAsia="Times New Roman" w:cs="Times New Roman"/>
          <w:lang w:eastAsia="de-DE"/>
        </w:rPr>
        <w:t xml:space="preserve">„hinzufügen, noch mehr tun, fortfahren"), </w:t>
      </w:r>
      <w:r w:rsidRPr="00A80894">
        <w:rPr>
          <w:rFonts w:eastAsia="Times New Roman" w:cs="Times New Roman"/>
          <w:b/>
          <w:bCs/>
          <w:rtl/>
          <w:lang w:eastAsia="de-DE"/>
        </w:rPr>
        <w:t>עוֹד</w:t>
      </w:r>
      <w:r w:rsidRPr="00A80894">
        <w:rPr>
          <w:rFonts w:eastAsia="Times New Roman" w:cs="Times New Roman"/>
          <w:rtl/>
          <w:lang w:eastAsia="de-DE"/>
        </w:rPr>
        <w:t xml:space="preserve"> </w:t>
      </w:r>
      <w:r w:rsidRPr="00A80894">
        <w:rPr>
          <w:rFonts w:eastAsia="Times New Roman" w:cs="Times New Roman"/>
          <w:lang w:eastAsia="de-DE"/>
        </w:rPr>
        <w:t xml:space="preserve">(„noch, weiter"), </w:t>
      </w:r>
      <w:r w:rsidRPr="00A80894">
        <w:rPr>
          <w:rFonts w:eastAsia="Times New Roman" w:cs="Times New Roman"/>
          <w:b/>
          <w:bCs/>
          <w:rtl/>
          <w:lang w:eastAsia="de-DE"/>
        </w:rPr>
        <w:t>לְהַנִּיחוֹ</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Hiphil Infinitiv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נוח</w:t>
      </w:r>
      <w:r w:rsidRPr="00A80894">
        <w:rPr>
          <w:rFonts w:eastAsia="Times New Roman" w:cs="Times New Roman"/>
          <w:rtl/>
          <w:lang w:eastAsia="de-DE"/>
        </w:rPr>
        <w:t xml:space="preserve"> </w:t>
      </w:r>
      <w:r w:rsidRPr="00A80894">
        <w:rPr>
          <w:rFonts w:eastAsia="Times New Roman" w:cs="Times New Roman"/>
          <w:lang w:eastAsia="de-DE"/>
        </w:rPr>
        <w:t xml:space="preserve">„ruhen lassen, lassen" und Suffix 3. Person maskulin Singular „es/ihn zu lassen"), </w:t>
      </w:r>
      <w:r w:rsidRPr="00A80894">
        <w:rPr>
          <w:rFonts w:eastAsia="Times New Roman" w:cs="Times New Roman"/>
          <w:b/>
          <w:bCs/>
          <w:rtl/>
          <w:lang w:eastAsia="de-DE"/>
        </w:rPr>
        <w:t>בַּמִּדְבָּר</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בְ</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מִדְבָּר</w:t>
      </w:r>
      <w:r w:rsidRPr="00A80894">
        <w:rPr>
          <w:rFonts w:eastAsia="Times New Roman" w:cs="Times New Roman"/>
          <w:rtl/>
          <w:lang w:eastAsia="de-DE"/>
        </w:rPr>
        <w:t xml:space="preserve"> </w:t>
      </w:r>
      <w:r w:rsidRPr="00A80894">
        <w:rPr>
          <w:rFonts w:eastAsia="Times New Roman" w:cs="Times New Roman"/>
          <w:lang w:eastAsia="de-DE"/>
        </w:rPr>
        <w:t>„Wüste" mit Artikel „in der Wüste"). Gott wird das Volk noch länger in der Wüste lassen.</w:t>
      </w:r>
    </w:p>
    <w:p w14:paraId="44B9971D"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t>וְשִׁחַתֶּם לְכָל־הָעָם הַזֶּה</w:t>
      </w:r>
      <w:r w:rsidRPr="00A80894">
        <w:rPr>
          <w:rFonts w:eastAsia="Times New Roman" w:cs="Times New Roman"/>
          <w:rtl/>
          <w:lang w:eastAsia="de-DE"/>
        </w:rPr>
        <w:t xml:space="preserve"> </w:t>
      </w:r>
      <w:r w:rsidRPr="00A80894">
        <w:rPr>
          <w:rFonts w:eastAsia="Times New Roman" w:cs="Times New Roman"/>
          <w:lang w:eastAsia="de-DE"/>
        </w:rPr>
        <w:t xml:space="preserve">ist die zweite, noch schlimmere Folge. </w:t>
      </w:r>
      <w:r w:rsidRPr="00A80894">
        <w:rPr>
          <w:rFonts w:eastAsia="Times New Roman" w:cs="Times New Roman"/>
          <w:b/>
          <w:bCs/>
          <w:rtl/>
          <w:lang w:eastAsia="de-DE"/>
        </w:rPr>
        <w:t>וְשִׁחַתֶּם</w:t>
      </w:r>
      <w:r w:rsidRPr="00A80894">
        <w:rPr>
          <w:rFonts w:eastAsia="Times New Roman" w:cs="Times New Roman"/>
          <w:rtl/>
          <w:lang w:eastAsia="de-DE"/>
        </w:rPr>
        <w:t xml:space="preserve"> </w:t>
      </w:r>
      <w:r w:rsidRPr="00A80894">
        <w:rPr>
          <w:rFonts w:eastAsia="Times New Roman" w:cs="Times New Roman"/>
          <w:lang w:eastAsia="de-DE"/>
        </w:rPr>
        <w:t xml:space="preserve">(Piel Perfekt 2. Person Plural mit Waw consecutivum von </w:t>
      </w:r>
      <w:r w:rsidRPr="00A80894">
        <w:rPr>
          <w:rFonts w:eastAsia="Times New Roman" w:cs="Times New Roman"/>
          <w:b/>
          <w:bCs/>
          <w:rtl/>
          <w:lang w:eastAsia="de-DE"/>
        </w:rPr>
        <w:t>שׁחת</w:t>
      </w:r>
      <w:r w:rsidRPr="00A80894">
        <w:rPr>
          <w:rFonts w:eastAsia="Times New Roman" w:cs="Times New Roman"/>
          <w:rtl/>
          <w:lang w:eastAsia="de-DE"/>
        </w:rPr>
        <w:t xml:space="preserve"> </w:t>
      </w:r>
      <w:r w:rsidRPr="00A80894">
        <w:rPr>
          <w:rFonts w:eastAsia="Times New Roman" w:cs="Times New Roman"/>
          <w:lang w:eastAsia="de-DE"/>
        </w:rPr>
        <w:t xml:space="preserve">„verderben, zugrunde richten"), </w:t>
      </w:r>
      <w:r w:rsidRPr="00A80894">
        <w:rPr>
          <w:rFonts w:eastAsia="Times New Roman" w:cs="Times New Roman"/>
          <w:b/>
          <w:bCs/>
          <w:rtl/>
          <w:lang w:eastAsia="de-DE"/>
        </w:rPr>
        <w:t>לְכָל־הָעָם הַזֶּה</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כֹּל</w:t>
      </w:r>
      <w:r w:rsidRPr="00A80894">
        <w:rPr>
          <w:rFonts w:eastAsia="Times New Roman" w:cs="Times New Roman"/>
          <w:rtl/>
          <w:lang w:eastAsia="de-DE"/>
        </w:rPr>
        <w:t xml:space="preserve"> </w:t>
      </w:r>
      <w:r w:rsidRPr="00A80894">
        <w:rPr>
          <w:rFonts w:eastAsia="Times New Roman" w:cs="Times New Roman"/>
          <w:lang w:eastAsia="de-DE"/>
        </w:rPr>
        <w:t xml:space="preserve">„alles, ganz", </w:t>
      </w:r>
      <w:r w:rsidRPr="00A80894">
        <w:rPr>
          <w:rFonts w:eastAsia="Times New Roman" w:cs="Times New Roman"/>
          <w:b/>
          <w:bCs/>
          <w:rtl/>
          <w:lang w:eastAsia="de-DE"/>
        </w:rPr>
        <w:t>עָם</w:t>
      </w:r>
      <w:r w:rsidRPr="00A80894">
        <w:rPr>
          <w:rFonts w:eastAsia="Times New Roman" w:cs="Times New Roman"/>
          <w:rtl/>
          <w:lang w:eastAsia="de-DE"/>
        </w:rPr>
        <w:t xml:space="preserve"> </w:t>
      </w:r>
      <w:r w:rsidRPr="00A80894">
        <w:rPr>
          <w:rFonts w:eastAsia="Times New Roman" w:cs="Times New Roman"/>
          <w:lang w:eastAsia="de-DE"/>
        </w:rPr>
        <w:t xml:space="preserve">„Volk" mit Artikel und Demonstrativpronomen </w:t>
      </w:r>
      <w:r w:rsidRPr="00A80894">
        <w:rPr>
          <w:rFonts w:eastAsia="Times New Roman" w:cs="Times New Roman"/>
          <w:b/>
          <w:bCs/>
          <w:rtl/>
          <w:lang w:eastAsia="de-DE"/>
        </w:rPr>
        <w:t>זֶה</w:t>
      </w:r>
      <w:r w:rsidRPr="00A80894">
        <w:rPr>
          <w:rFonts w:eastAsia="Times New Roman" w:cs="Times New Roman"/>
          <w:rtl/>
          <w:lang w:eastAsia="de-DE"/>
        </w:rPr>
        <w:t xml:space="preserve"> </w:t>
      </w:r>
      <w:r w:rsidRPr="00A80894">
        <w:rPr>
          <w:rFonts w:eastAsia="Times New Roman" w:cs="Times New Roman"/>
          <w:lang w:eastAsia="de-DE"/>
        </w:rPr>
        <w:t xml:space="preserve">„dieses" „dieses ganze Volk"). Die 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hier im Sinne von „im Hinblick auf" oder als Akkusativ-Äquivalent.</w:t>
      </w:r>
    </w:p>
    <w:p w14:paraId="21326AF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einen Konditionalsatz, gefolgt von zwei Konsekutivsätzen (Perfekta mit Waw consecutivum).</w:t>
      </w:r>
    </w:p>
    <w:p w14:paraId="263E3310"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malt das Schreckenszenario aus: Wenn Gad und Ruben sich abwenden, wird Gott das Volk erneut in der Wüste lassen, und sie tragen die Verantwortung für die Vernichtung des ganzen Volkes - eine maximale Drohung.</w:t>
      </w:r>
    </w:p>
    <w:p w14:paraId="3B39C288"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32,16</w:t>
      </w:r>
    </w:p>
    <w:p w14:paraId="31E8AD74"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וַיִּגְּשׁ֤וּ אֵלָיו֙ וַ֣יֹּאמְר֔וּ גִּדְרֹ֥ת צֹ֛אן נִבְנֶ֥ה לְמִקְנֵ֖נוּ פֹּ֑ה וְעָרִ֖ים לְטַפֵּֽנוּ׃</w:t>
      </w:r>
    </w:p>
    <w:p w14:paraId="46531102"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lastRenderedPageBreak/>
        <w:t>Deutsch:</w:t>
      </w:r>
      <w:r w:rsidRPr="00A80894">
        <w:rPr>
          <w:rFonts w:eastAsia="Times New Roman" w:cs="Times New Roman"/>
          <w:lang w:eastAsia="de-DE"/>
        </w:rPr>
        <w:t xml:space="preserve"> Und sie traten zu ihm und sprachen: „Schafhürden wollen wir hier bauen für unser Vieh und Städte für unsere Kinder;</w:t>
      </w:r>
    </w:p>
    <w:p w14:paraId="7BC059B5"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5DF45B89">
          <v:rect id="_x0000_i2002" style="width:0;height:1.5pt" o:hralign="center" o:hrstd="t" o:hr="t" fillcolor="#a0a0a0" stroked="f"/>
        </w:pict>
      </w:r>
    </w:p>
    <w:p w14:paraId="1D3E68BF" w14:textId="25C19978"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zeigt die Reaktion von Gad und Ruben. </w:t>
      </w:r>
      <w:r w:rsidRPr="00A80894">
        <w:rPr>
          <w:rFonts w:eastAsia="Times New Roman" w:cs="Times New Roman"/>
          <w:b/>
          <w:bCs/>
          <w:rtl/>
          <w:lang w:eastAsia="de-DE"/>
        </w:rPr>
        <w:t>וַיִּגְּשׁוּ אֵלָיו וַיֹּאמְרוּ</w:t>
      </w:r>
      <w:r w:rsidRPr="00A80894">
        <w:rPr>
          <w:rFonts w:eastAsia="Times New Roman" w:cs="Times New Roman"/>
          <w:rtl/>
          <w:lang w:eastAsia="de-DE"/>
        </w:rPr>
        <w:t xml:space="preserve"> </w:t>
      </w:r>
      <w:r w:rsidRPr="00A80894">
        <w:rPr>
          <w:rFonts w:eastAsia="Times New Roman" w:cs="Times New Roman"/>
          <w:lang w:eastAsia="de-DE"/>
        </w:rPr>
        <w:t xml:space="preserve">ist die Einleitung. </w:t>
      </w:r>
      <w:r w:rsidRPr="00A80894">
        <w:rPr>
          <w:rFonts w:eastAsia="Times New Roman" w:cs="Times New Roman"/>
          <w:b/>
          <w:bCs/>
          <w:rtl/>
          <w:lang w:eastAsia="de-DE"/>
        </w:rPr>
        <w:t>וַיִּגְּשׁוּ</w:t>
      </w:r>
      <w:r w:rsidRPr="00A80894">
        <w:rPr>
          <w:rFonts w:eastAsia="Times New Roman" w:cs="Times New Roman"/>
          <w:rtl/>
          <w:lang w:eastAsia="de-DE"/>
        </w:rPr>
        <w:t xml:space="preserve"> </w:t>
      </w:r>
      <w:r w:rsidRPr="00A80894">
        <w:rPr>
          <w:rFonts w:eastAsia="Times New Roman" w:cs="Times New Roman"/>
          <w:lang w:eastAsia="de-DE"/>
        </w:rPr>
        <w:t xml:space="preserve">(Qal Wayyiqtol 3. Person Plural von </w:t>
      </w:r>
      <w:r w:rsidRPr="00A80894">
        <w:rPr>
          <w:rFonts w:eastAsia="Times New Roman" w:cs="Times New Roman"/>
          <w:b/>
          <w:bCs/>
          <w:rtl/>
          <w:lang w:eastAsia="de-DE"/>
        </w:rPr>
        <w:t>נגשׁ</w:t>
      </w:r>
      <w:r w:rsidRPr="00A80894">
        <w:rPr>
          <w:rFonts w:eastAsia="Times New Roman" w:cs="Times New Roman"/>
          <w:rtl/>
          <w:lang w:eastAsia="de-DE"/>
        </w:rPr>
        <w:t xml:space="preserve"> </w:t>
      </w:r>
      <w:r w:rsidRPr="00A80894">
        <w:rPr>
          <w:rFonts w:eastAsia="Times New Roman" w:cs="Times New Roman"/>
          <w:lang w:eastAsia="de-DE"/>
        </w:rPr>
        <w:t xml:space="preserve">„herantreten, nahen"), </w:t>
      </w:r>
      <w:r w:rsidRPr="00A80894">
        <w:rPr>
          <w:rFonts w:eastAsia="Times New Roman" w:cs="Times New Roman"/>
          <w:b/>
          <w:bCs/>
          <w:rtl/>
          <w:lang w:eastAsia="de-DE"/>
        </w:rPr>
        <w:t>אֵלָיו</w:t>
      </w:r>
      <w:r w:rsidRPr="00A80894">
        <w:rPr>
          <w:rFonts w:eastAsia="Times New Roman" w:cs="Times New Roman"/>
          <w:rtl/>
          <w:lang w:eastAsia="de-DE"/>
        </w:rPr>
        <w:t xml:space="preserve"> </w:t>
      </w:r>
      <w:r w:rsidRPr="00A80894">
        <w:rPr>
          <w:rFonts w:eastAsia="Times New Roman" w:cs="Times New Roman"/>
          <w:lang w:eastAsia="de-DE"/>
        </w:rPr>
        <w:t xml:space="preserve">(Präposition mit Suffix 3. Person maskulin Singular „zu ihm", d.h. zu Mose), </w:t>
      </w:r>
      <w:r w:rsidRPr="00A80894">
        <w:rPr>
          <w:rFonts w:eastAsia="Times New Roman" w:cs="Times New Roman"/>
          <w:b/>
          <w:bCs/>
          <w:rtl/>
          <w:lang w:eastAsia="de-DE"/>
        </w:rPr>
        <w:t>וַיֹּאמְרוּ</w:t>
      </w:r>
      <w:r w:rsidRPr="00A80894">
        <w:rPr>
          <w:rFonts w:eastAsia="Times New Roman" w:cs="Times New Roman"/>
          <w:rtl/>
          <w:lang w:eastAsia="de-DE"/>
        </w:rPr>
        <w:t xml:space="preserve"> </w:t>
      </w:r>
      <w:r w:rsidRPr="00A80894">
        <w:rPr>
          <w:rFonts w:eastAsia="Times New Roman" w:cs="Times New Roman"/>
          <w:lang w:eastAsia="de-DE"/>
        </w:rPr>
        <w:t xml:space="preserve">(Qal Wayyiqtol 3. Person Plural von </w:t>
      </w:r>
      <w:r w:rsidRPr="00A80894">
        <w:rPr>
          <w:rFonts w:eastAsia="Times New Roman" w:cs="Times New Roman"/>
          <w:b/>
          <w:bCs/>
          <w:rtl/>
          <w:lang w:eastAsia="de-DE"/>
        </w:rPr>
        <w:t>אמר</w:t>
      </w:r>
      <w:r w:rsidRPr="00A80894">
        <w:rPr>
          <w:rFonts w:eastAsia="Times New Roman" w:cs="Times New Roman"/>
          <w:rtl/>
          <w:lang w:eastAsia="de-DE"/>
        </w:rPr>
        <w:t xml:space="preserve"> </w:t>
      </w:r>
      <w:r w:rsidRPr="00A80894">
        <w:rPr>
          <w:rFonts w:eastAsia="Times New Roman" w:cs="Times New Roman"/>
          <w:lang w:eastAsia="de-DE"/>
        </w:rPr>
        <w:t xml:space="preserve">„sagen"). </w:t>
      </w:r>
      <w:r w:rsidRPr="00A80894">
        <w:rPr>
          <w:rFonts w:eastAsia="Times New Roman" w:cs="Times New Roman"/>
          <w:b/>
          <w:bCs/>
          <w:rtl/>
          <w:lang w:eastAsia="de-DE"/>
        </w:rPr>
        <w:t>גִּדְרֹת צֹאן נִבְנֶה לְמִקְנֵנוּ פֹּה</w:t>
      </w:r>
      <w:r w:rsidRPr="00A80894">
        <w:rPr>
          <w:rFonts w:eastAsia="Times New Roman" w:cs="Times New Roman"/>
          <w:rtl/>
          <w:lang w:eastAsia="de-DE"/>
        </w:rPr>
        <w:t xml:space="preserve"> </w:t>
      </w:r>
      <w:r w:rsidRPr="00A80894">
        <w:rPr>
          <w:rFonts w:eastAsia="Times New Roman" w:cs="Times New Roman"/>
          <w:lang w:eastAsia="de-DE"/>
        </w:rPr>
        <w:t xml:space="preserve">ist die erste Zusage. </w:t>
      </w:r>
      <w:r w:rsidRPr="00A80894">
        <w:rPr>
          <w:rFonts w:eastAsia="Times New Roman" w:cs="Times New Roman"/>
          <w:b/>
          <w:bCs/>
          <w:rtl/>
          <w:lang w:eastAsia="de-DE"/>
        </w:rPr>
        <w:t>גִּדְרֹת צֹאן</w:t>
      </w:r>
      <w:r w:rsidRPr="00A80894">
        <w:rPr>
          <w:rFonts w:eastAsia="Times New Roman" w:cs="Times New Roman"/>
          <w:rtl/>
          <w:lang w:eastAsia="de-DE"/>
        </w:rPr>
        <w:t xml:space="preserve"> </w:t>
      </w:r>
      <w:r w:rsidRPr="00A80894">
        <w:rPr>
          <w:rFonts w:eastAsia="Times New Roman" w:cs="Times New Roman"/>
          <w:lang w:eastAsia="de-DE"/>
        </w:rPr>
        <w:t xml:space="preserve">(Plural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גְּדֵרָה</w:t>
      </w:r>
      <w:r w:rsidRPr="00A80894">
        <w:rPr>
          <w:rFonts w:eastAsia="Times New Roman" w:cs="Times New Roman"/>
          <w:rtl/>
          <w:lang w:eastAsia="de-DE"/>
        </w:rPr>
        <w:t xml:space="preserve"> </w:t>
      </w:r>
      <w:r w:rsidRPr="00A80894">
        <w:rPr>
          <w:rFonts w:eastAsia="Times New Roman" w:cs="Times New Roman"/>
          <w:lang w:eastAsia="de-DE"/>
        </w:rPr>
        <w:t xml:space="preserve">„Hürde, Umzäunung" mit </w:t>
      </w:r>
      <w:r w:rsidRPr="00A80894">
        <w:rPr>
          <w:rFonts w:eastAsia="Times New Roman" w:cs="Times New Roman"/>
          <w:b/>
          <w:bCs/>
          <w:rtl/>
          <w:lang w:eastAsia="de-DE"/>
        </w:rPr>
        <w:t>צֹאן</w:t>
      </w:r>
      <w:r w:rsidRPr="00A80894">
        <w:rPr>
          <w:rFonts w:eastAsia="Times New Roman" w:cs="Times New Roman"/>
          <w:rtl/>
          <w:lang w:eastAsia="de-DE"/>
        </w:rPr>
        <w:t xml:space="preserve"> </w:t>
      </w:r>
      <w:r w:rsidRPr="00A80894">
        <w:rPr>
          <w:rFonts w:eastAsia="Times New Roman" w:cs="Times New Roman"/>
          <w:lang w:eastAsia="de-DE"/>
        </w:rPr>
        <w:t xml:space="preserve">„Kleinvieh" „Schafhürden"), </w:t>
      </w:r>
      <w:r w:rsidRPr="00A80894">
        <w:rPr>
          <w:rFonts w:eastAsia="Times New Roman" w:cs="Times New Roman"/>
          <w:b/>
          <w:bCs/>
          <w:rtl/>
          <w:lang w:eastAsia="de-DE"/>
        </w:rPr>
        <w:t>נִבְנֶה</w:t>
      </w:r>
      <w:r w:rsidRPr="00A80894">
        <w:rPr>
          <w:rFonts w:eastAsia="Times New Roman" w:cs="Times New Roman"/>
          <w:rtl/>
          <w:lang w:eastAsia="de-DE"/>
        </w:rPr>
        <w:t xml:space="preserve"> </w:t>
      </w:r>
      <w:r w:rsidRPr="00A80894">
        <w:rPr>
          <w:rFonts w:eastAsia="Times New Roman" w:cs="Times New Roman"/>
          <w:lang w:eastAsia="de-DE"/>
        </w:rPr>
        <w:t xml:space="preserve">(Qal Imperfekt 1. Person Plural von </w:t>
      </w:r>
      <w:r w:rsidRPr="00A80894">
        <w:rPr>
          <w:rFonts w:eastAsia="Times New Roman" w:cs="Times New Roman"/>
          <w:b/>
          <w:bCs/>
          <w:rtl/>
          <w:lang w:eastAsia="de-DE"/>
        </w:rPr>
        <w:t>בנה</w:t>
      </w:r>
      <w:r w:rsidRPr="00A80894">
        <w:rPr>
          <w:rFonts w:eastAsia="Times New Roman" w:cs="Times New Roman"/>
          <w:rtl/>
          <w:lang w:eastAsia="de-DE"/>
        </w:rPr>
        <w:t xml:space="preserve"> </w:t>
      </w:r>
      <w:r w:rsidRPr="00A80894">
        <w:rPr>
          <w:rFonts w:eastAsia="Times New Roman" w:cs="Times New Roman"/>
          <w:lang w:eastAsia="de-DE"/>
        </w:rPr>
        <w:t xml:space="preserve">„bauen"), </w:t>
      </w:r>
      <w:r w:rsidRPr="00A80894">
        <w:rPr>
          <w:rFonts w:eastAsia="Times New Roman" w:cs="Times New Roman"/>
          <w:b/>
          <w:bCs/>
          <w:rtl/>
          <w:lang w:eastAsia="de-DE"/>
        </w:rPr>
        <w:t>לְמִקְנֵנוּ</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מִקְנֶה</w:t>
      </w:r>
      <w:r w:rsidRPr="00A80894">
        <w:rPr>
          <w:rFonts w:eastAsia="Times New Roman" w:cs="Times New Roman"/>
          <w:rtl/>
          <w:lang w:eastAsia="de-DE"/>
        </w:rPr>
        <w:t xml:space="preserve"> </w:t>
      </w:r>
      <w:r w:rsidRPr="00A80894">
        <w:rPr>
          <w:rFonts w:eastAsia="Times New Roman" w:cs="Times New Roman"/>
          <w:lang w:eastAsia="de-DE"/>
        </w:rPr>
        <w:t xml:space="preserve">„Vieh" und Suffix 1. Person Plural „für unser Vieh"), </w:t>
      </w:r>
      <w:r w:rsidRPr="00A80894">
        <w:rPr>
          <w:rFonts w:eastAsia="Times New Roman" w:cs="Times New Roman"/>
          <w:b/>
          <w:bCs/>
          <w:rtl/>
          <w:lang w:eastAsia="de-DE"/>
        </w:rPr>
        <w:t>פֹּה</w:t>
      </w:r>
      <w:r w:rsidRPr="00A80894">
        <w:rPr>
          <w:rFonts w:eastAsia="Times New Roman" w:cs="Times New Roman"/>
          <w:rtl/>
          <w:lang w:eastAsia="de-DE"/>
        </w:rPr>
        <w:t xml:space="preserve"> </w:t>
      </w:r>
      <w:r w:rsidRPr="00A80894">
        <w:rPr>
          <w:rFonts w:eastAsia="Times New Roman" w:cs="Times New Roman"/>
          <w:lang w:eastAsia="de-DE"/>
        </w:rPr>
        <w:t>(Adverb „hier").</w:t>
      </w:r>
    </w:p>
    <w:p w14:paraId="7E4521C1"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t>וְעָרִים לְטַפֵּנוּ</w:t>
      </w:r>
      <w:r w:rsidRPr="00A80894">
        <w:rPr>
          <w:rFonts w:eastAsia="Times New Roman" w:cs="Times New Roman"/>
          <w:rtl/>
          <w:lang w:eastAsia="de-DE"/>
        </w:rPr>
        <w:t xml:space="preserve"> </w:t>
      </w:r>
      <w:r w:rsidRPr="00A80894">
        <w:rPr>
          <w:rFonts w:eastAsia="Times New Roman" w:cs="Times New Roman"/>
          <w:lang w:eastAsia="de-DE"/>
        </w:rPr>
        <w:t xml:space="preserve">ist die zweite Zusage. </w:t>
      </w:r>
      <w:r w:rsidRPr="00A80894">
        <w:rPr>
          <w:rFonts w:eastAsia="Times New Roman" w:cs="Times New Roman"/>
          <w:b/>
          <w:bCs/>
          <w:rtl/>
          <w:lang w:eastAsia="de-DE"/>
        </w:rPr>
        <w:t>וְעָרִים</w:t>
      </w:r>
      <w:r w:rsidRPr="00A80894">
        <w:rPr>
          <w:rFonts w:eastAsia="Times New Roman" w:cs="Times New Roman"/>
          <w:rtl/>
          <w:lang w:eastAsia="de-DE"/>
        </w:rPr>
        <w:t xml:space="preserve"> </w:t>
      </w:r>
      <w:r w:rsidRPr="00A80894">
        <w:rPr>
          <w:rFonts w:eastAsia="Times New Roman" w:cs="Times New Roman"/>
          <w:lang w:eastAsia="de-DE"/>
        </w:rPr>
        <w:t xml:space="preserve">(Konjunktion mit Plural von </w:t>
      </w:r>
      <w:r w:rsidRPr="00A80894">
        <w:rPr>
          <w:rFonts w:eastAsia="Times New Roman" w:cs="Times New Roman"/>
          <w:b/>
          <w:bCs/>
          <w:rtl/>
          <w:lang w:eastAsia="de-DE"/>
        </w:rPr>
        <w:t>עִיר</w:t>
      </w:r>
      <w:r w:rsidRPr="00A80894">
        <w:rPr>
          <w:rFonts w:eastAsia="Times New Roman" w:cs="Times New Roman"/>
          <w:rtl/>
          <w:lang w:eastAsia="de-DE"/>
        </w:rPr>
        <w:t xml:space="preserve"> </w:t>
      </w:r>
      <w:r w:rsidRPr="00A80894">
        <w:rPr>
          <w:rFonts w:eastAsia="Times New Roman" w:cs="Times New Roman"/>
          <w:lang w:eastAsia="de-DE"/>
        </w:rPr>
        <w:t xml:space="preserve">„Stadt" „und Städte"), </w:t>
      </w:r>
      <w:r w:rsidRPr="00A80894">
        <w:rPr>
          <w:rFonts w:eastAsia="Times New Roman" w:cs="Times New Roman"/>
          <w:b/>
          <w:bCs/>
          <w:rtl/>
          <w:lang w:eastAsia="de-DE"/>
        </w:rPr>
        <w:t>לְטַפֵּנוּ</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טַף</w:t>
      </w:r>
      <w:r w:rsidRPr="00A80894">
        <w:rPr>
          <w:rFonts w:eastAsia="Times New Roman" w:cs="Times New Roman"/>
          <w:rtl/>
          <w:lang w:eastAsia="de-DE"/>
        </w:rPr>
        <w:t xml:space="preserve"> </w:t>
      </w:r>
      <w:r w:rsidRPr="00A80894">
        <w:rPr>
          <w:rFonts w:eastAsia="Times New Roman" w:cs="Times New Roman"/>
          <w:lang w:eastAsia="de-DE"/>
        </w:rPr>
        <w:t>„Kinder, Kleinkinder" und Suffix 1. Person Plural „für unsere Kinder"). Bemerkenswert: Sie erwähnen zuerst das Vieh, dann die Kinder - eine Priorität, die Mose später korrigieren wird (V. 24).</w:t>
      </w:r>
    </w:p>
    <w:p w14:paraId="7C1CDB7B"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zwei Wayyiqtol-Einleitungen, gefolgt von zwei koordinierten Objekten mit einem gemeinsamen Verb.</w:t>
      </w:r>
    </w:p>
    <w:p w14:paraId="7A1CFC4F"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zeigt, dass Gad und Ruben Moses Kritik verstanden haben: Sie treten näher und schlagen einen Kompromiss vor - sie wollen Infrastruktur für Vieh und Kinder bauen, aber was folgt, bleibt offen.</w:t>
      </w:r>
    </w:p>
    <w:p w14:paraId="45086201"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32,17</w:t>
      </w:r>
    </w:p>
    <w:p w14:paraId="6DA48B37"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וַאֲנַ֜חְנוּ נֵחָלֵ֣ץ חֻשִׁ֗ים לִפְנֵי֙ בְּנֵ֣י יִשְׂרָאֵ֔ל עַ֛ד אֲשֶׁ֥ר אִם־הֲבִֽיאֹנֻ֖ם אֶל־מְקוֹמָ֑ם וְיָשַׁ֤ב טַפֵּ֙נוּ֙ בְּעָרֵ֣י הַמִּבְצָ֔ר מִפְּנֵ֖י יֹשְׁבֵ֥י הָאָֽרֶץ׃</w:t>
      </w:r>
    </w:p>
    <w:p w14:paraId="5C7DA86D"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wir selbst aber wollen uns eilends rüsten vor den Söhnen Jisra'els, bis wir sie an ihren Ort gebracht haben; und unsere Kinder sollen in den festen Städten bleiben vor den Bewohnern des Landes.</w:t>
      </w:r>
    </w:p>
    <w:p w14:paraId="5BB349B8"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02686C91">
          <v:rect id="_x0000_i2003" style="width:0;height:1.5pt" o:hralign="center" o:hrstd="t" o:hr="t" fillcolor="#a0a0a0" stroked="f"/>
        </w:pict>
      </w:r>
    </w:p>
    <w:p w14:paraId="081FF5CF"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enthält die entscheidende Zusage. </w:t>
      </w:r>
      <w:r w:rsidRPr="00A80894">
        <w:rPr>
          <w:rFonts w:eastAsia="Times New Roman" w:cs="Times New Roman"/>
          <w:b/>
          <w:bCs/>
          <w:rtl/>
          <w:lang w:eastAsia="de-DE"/>
        </w:rPr>
        <w:t>וַאֲנַחְנוּ נֵחָלֵץ חֻשִׁים לִפְנֵי בְּנֵי יִשְׂרָאֵל</w:t>
      </w:r>
      <w:r w:rsidRPr="00A80894">
        <w:rPr>
          <w:rFonts w:eastAsia="Times New Roman" w:cs="Times New Roman"/>
          <w:rtl/>
          <w:lang w:eastAsia="de-DE"/>
        </w:rPr>
        <w:t xml:space="preserve"> </w:t>
      </w:r>
      <w:r w:rsidRPr="00A80894">
        <w:rPr>
          <w:rFonts w:eastAsia="Times New Roman" w:cs="Times New Roman"/>
          <w:lang w:eastAsia="de-DE"/>
        </w:rPr>
        <w:t xml:space="preserve">ist das Versprechen. </w:t>
      </w:r>
      <w:r w:rsidRPr="00A80894">
        <w:rPr>
          <w:rFonts w:eastAsia="Times New Roman" w:cs="Times New Roman"/>
          <w:b/>
          <w:bCs/>
          <w:rtl/>
          <w:lang w:eastAsia="de-DE"/>
        </w:rPr>
        <w:t>וַאֲנַחְנוּ</w:t>
      </w:r>
      <w:r w:rsidRPr="00A80894">
        <w:rPr>
          <w:rFonts w:eastAsia="Times New Roman" w:cs="Times New Roman"/>
          <w:rtl/>
          <w:lang w:eastAsia="de-DE"/>
        </w:rPr>
        <w:t xml:space="preserve"> </w:t>
      </w:r>
      <w:r w:rsidRPr="00A80894">
        <w:rPr>
          <w:rFonts w:eastAsia="Times New Roman" w:cs="Times New Roman"/>
          <w:lang w:eastAsia="de-DE"/>
        </w:rPr>
        <w:t xml:space="preserve">(Konjunktion mit emphatischem Personalpronomen 1. Person Plural „wir selbst aber"), </w:t>
      </w:r>
      <w:r w:rsidRPr="00A80894">
        <w:rPr>
          <w:rFonts w:eastAsia="Times New Roman" w:cs="Times New Roman"/>
          <w:b/>
          <w:bCs/>
          <w:rtl/>
          <w:lang w:eastAsia="de-DE"/>
        </w:rPr>
        <w:t>נֵחָלֵץ</w:t>
      </w:r>
      <w:r w:rsidRPr="00A80894">
        <w:rPr>
          <w:rFonts w:eastAsia="Times New Roman" w:cs="Times New Roman"/>
          <w:rtl/>
          <w:lang w:eastAsia="de-DE"/>
        </w:rPr>
        <w:t xml:space="preserve"> </w:t>
      </w:r>
      <w:r w:rsidRPr="00A80894">
        <w:rPr>
          <w:rFonts w:eastAsia="Times New Roman" w:cs="Times New Roman"/>
          <w:lang w:eastAsia="de-DE"/>
        </w:rPr>
        <w:t xml:space="preserve">(Niphal Imperfekt 1. Person Plural von </w:t>
      </w:r>
      <w:r w:rsidRPr="00A80894">
        <w:rPr>
          <w:rFonts w:eastAsia="Times New Roman" w:cs="Times New Roman"/>
          <w:b/>
          <w:bCs/>
          <w:rtl/>
          <w:lang w:eastAsia="de-DE"/>
        </w:rPr>
        <w:t>חלץ</w:t>
      </w:r>
      <w:r w:rsidRPr="00A80894">
        <w:rPr>
          <w:rFonts w:eastAsia="Times New Roman" w:cs="Times New Roman"/>
          <w:rtl/>
          <w:lang w:eastAsia="de-DE"/>
        </w:rPr>
        <w:t xml:space="preserve"> </w:t>
      </w:r>
      <w:r w:rsidRPr="00A80894">
        <w:rPr>
          <w:rFonts w:eastAsia="Times New Roman" w:cs="Times New Roman"/>
          <w:lang w:eastAsia="de-DE"/>
        </w:rPr>
        <w:t xml:space="preserve">„sich rüsten, bewaffnen"), </w:t>
      </w:r>
      <w:r w:rsidRPr="00A80894">
        <w:rPr>
          <w:rFonts w:eastAsia="Times New Roman" w:cs="Times New Roman"/>
          <w:b/>
          <w:bCs/>
          <w:rtl/>
          <w:lang w:eastAsia="de-DE"/>
        </w:rPr>
        <w:t>חֻשִׁים</w:t>
      </w:r>
      <w:r w:rsidRPr="00A80894">
        <w:rPr>
          <w:rFonts w:eastAsia="Times New Roman" w:cs="Times New Roman"/>
          <w:rtl/>
          <w:lang w:eastAsia="de-DE"/>
        </w:rPr>
        <w:t xml:space="preserve"> </w:t>
      </w:r>
      <w:r w:rsidRPr="00A80894">
        <w:rPr>
          <w:rFonts w:eastAsia="Times New Roman" w:cs="Times New Roman"/>
          <w:lang w:eastAsia="de-DE"/>
        </w:rPr>
        <w:t xml:space="preserve">(Qal Passiv-Partizip Plural von </w:t>
      </w:r>
      <w:r w:rsidRPr="00A80894">
        <w:rPr>
          <w:rFonts w:eastAsia="Times New Roman" w:cs="Times New Roman"/>
          <w:b/>
          <w:bCs/>
          <w:rtl/>
          <w:lang w:eastAsia="de-DE"/>
        </w:rPr>
        <w:t>חושׁ</w:t>
      </w:r>
      <w:r w:rsidRPr="00A80894">
        <w:rPr>
          <w:rFonts w:eastAsia="Times New Roman" w:cs="Times New Roman"/>
          <w:rtl/>
          <w:lang w:eastAsia="de-DE"/>
        </w:rPr>
        <w:t xml:space="preserve"> </w:t>
      </w:r>
      <w:r w:rsidRPr="00A80894">
        <w:rPr>
          <w:rFonts w:eastAsia="Times New Roman" w:cs="Times New Roman"/>
          <w:lang w:eastAsia="de-DE"/>
        </w:rPr>
        <w:t xml:space="preserve">„eilen, sich beeilen" „eilig, gerüstet" - ein adverbialer Akkusativ „eilends"), </w:t>
      </w:r>
      <w:r w:rsidRPr="00A80894">
        <w:rPr>
          <w:rFonts w:eastAsia="Times New Roman" w:cs="Times New Roman"/>
          <w:b/>
          <w:bCs/>
          <w:rtl/>
          <w:lang w:eastAsia="de-DE"/>
        </w:rPr>
        <w:t>לִפְנֵי בְּנֵי יִשְׂרָאֵל</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לִפְנֵי</w:t>
      </w:r>
      <w:r w:rsidRPr="00A80894">
        <w:rPr>
          <w:rFonts w:eastAsia="Times New Roman" w:cs="Times New Roman"/>
          <w:rtl/>
          <w:lang w:eastAsia="de-DE"/>
        </w:rPr>
        <w:t xml:space="preserve"> </w:t>
      </w:r>
      <w:r w:rsidRPr="00A80894">
        <w:rPr>
          <w:rFonts w:eastAsia="Times New Roman" w:cs="Times New Roman"/>
          <w:lang w:eastAsia="de-DE"/>
        </w:rPr>
        <w:t xml:space="preserve">„vor, an der Spitze von" mit „Söhne Israels"). </w:t>
      </w:r>
      <w:r w:rsidRPr="00A80894">
        <w:rPr>
          <w:rFonts w:eastAsia="Times New Roman" w:cs="Times New Roman"/>
          <w:b/>
          <w:bCs/>
          <w:rtl/>
          <w:lang w:eastAsia="de-DE"/>
        </w:rPr>
        <w:t>עַד אֲשֶׁר אִם־הֲבִיאֹנֻם אֶל־מְקוֹמָם</w:t>
      </w:r>
      <w:r w:rsidRPr="00A80894">
        <w:rPr>
          <w:rFonts w:eastAsia="Times New Roman" w:cs="Times New Roman"/>
          <w:rtl/>
          <w:lang w:eastAsia="de-DE"/>
        </w:rPr>
        <w:t xml:space="preserve"> </w:t>
      </w:r>
      <w:r w:rsidRPr="00A80894">
        <w:rPr>
          <w:rFonts w:eastAsia="Times New Roman" w:cs="Times New Roman"/>
          <w:lang w:eastAsia="de-DE"/>
        </w:rPr>
        <w:t xml:space="preserve">gibt die Dauer an. </w:t>
      </w:r>
      <w:r w:rsidRPr="00A80894">
        <w:rPr>
          <w:rFonts w:eastAsia="Times New Roman" w:cs="Times New Roman"/>
          <w:b/>
          <w:bCs/>
          <w:rtl/>
          <w:lang w:eastAsia="de-DE"/>
        </w:rPr>
        <w:t>עַד אֲשֶׁר</w:t>
      </w:r>
      <w:r w:rsidRPr="00A80894">
        <w:rPr>
          <w:rFonts w:eastAsia="Times New Roman" w:cs="Times New Roman"/>
          <w:rtl/>
          <w:lang w:eastAsia="de-DE"/>
        </w:rPr>
        <w:t xml:space="preserve"> </w:t>
      </w:r>
      <w:r w:rsidRPr="00A80894">
        <w:rPr>
          <w:rFonts w:eastAsia="Times New Roman" w:cs="Times New Roman"/>
          <w:lang w:eastAsia="de-DE"/>
        </w:rPr>
        <w:t xml:space="preserve">(temporale Konjunktion „bis"), </w:t>
      </w:r>
      <w:r w:rsidRPr="00A80894">
        <w:rPr>
          <w:rFonts w:eastAsia="Times New Roman" w:cs="Times New Roman"/>
          <w:b/>
          <w:bCs/>
          <w:rtl/>
          <w:lang w:eastAsia="de-DE"/>
        </w:rPr>
        <w:t>אִם</w:t>
      </w:r>
      <w:r w:rsidRPr="00A80894">
        <w:rPr>
          <w:rFonts w:eastAsia="Times New Roman" w:cs="Times New Roman"/>
          <w:rtl/>
          <w:lang w:eastAsia="de-DE"/>
        </w:rPr>
        <w:t xml:space="preserve"> </w:t>
      </w:r>
      <w:r w:rsidRPr="00A80894">
        <w:rPr>
          <w:rFonts w:eastAsia="Times New Roman" w:cs="Times New Roman"/>
          <w:lang w:eastAsia="de-DE"/>
        </w:rPr>
        <w:t xml:space="preserve">(hier emphatic, nicht konditional), </w:t>
      </w:r>
      <w:r w:rsidRPr="00A80894">
        <w:rPr>
          <w:rFonts w:eastAsia="Times New Roman" w:cs="Times New Roman"/>
          <w:b/>
          <w:bCs/>
          <w:rtl/>
          <w:lang w:eastAsia="de-DE"/>
        </w:rPr>
        <w:t>הֲבִיאֹנֻם</w:t>
      </w:r>
      <w:r w:rsidRPr="00A80894">
        <w:rPr>
          <w:rFonts w:eastAsia="Times New Roman" w:cs="Times New Roman"/>
          <w:rtl/>
          <w:lang w:eastAsia="de-DE"/>
        </w:rPr>
        <w:t xml:space="preserve"> </w:t>
      </w:r>
      <w:r w:rsidRPr="00A80894">
        <w:rPr>
          <w:rFonts w:eastAsia="Times New Roman" w:cs="Times New Roman"/>
          <w:lang w:eastAsia="de-DE"/>
        </w:rPr>
        <w:t xml:space="preserve">(Hiphil Perfekt 1. Person Plural von </w:t>
      </w:r>
      <w:r w:rsidRPr="00A80894">
        <w:rPr>
          <w:rFonts w:eastAsia="Times New Roman" w:cs="Times New Roman"/>
          <w:b/>
          <w:bCs/>
          <w:rtl/>
          <w:lang w:eastAsia="de-DE"/>
        </w:rPr>
        <w:t>בוא</w:t>
      </w:r>
      <w:r w:rsidRPr="00A80894">
        <w:rPr>
          <w:rFonts w:eastAsia="Times New Roman" w:cs="Times New Roman"/>
          <w:rtl/>
          <w:lang w:eastAsia="de-DE"/>
        </w:rPr>
        <w:t xml:space="preserve"> </w:t>
      </w:r>
      <w:r w:rsidRPr="00A80894">
        <w:rPr>
          <w:rFonts w:eastAsia="Times New Roman" w:cs="Times New Roman"/>
          <w:lang w:eastAsia="de-DE"/>
        </w:rPr>
        <w:t xml:space="preserve">„bringen" mit Suffix 3. Person Plural und Paragogischem Nun „wir sie gebracht haben"), </w:t>
      </w:r>
      <w:r w:rsidRPr="00A80894">
        <w:rPr>
          <w:rFonts w:eastAsia="Times New Roman" w:cs="Times New Roman"/>
          <w:b/>
          <w:bCs/>
          <w:rtl/>
          <w:lang w:eastAsia="de-DE"/>
        </w:rPr>
        <w:t>אֶל־מְקוֹמָם</w:t>
      </w:r>
      <w:r w:rsidRPr="00A80894">
        <w:rPr>
          <w:rFonts w:eastAsia="Times New Roman" w:cs="Times New Roman"/>
          <w:rtl/>
          <w:lang w:eastAsia="de-DE"/>
        </w:rPr>
        <w:t xml:space="preserve"> </w:t>
      </w:r>
      <w:r w:rsidRPr="00A80894">
        <w:rPr>
          <w:rFonts w:eastAsia="Times New Roman" w:cs="Times New Roman"/>
          <w:lang w:eastAsia="de-DE"/>
        </w:rPr>
        <w:t>(„an ihren Ort").</w:t>
      </w:r>
    </w:p>
    <w:p w14:paraId="4D25B122" w14:textId="4F5387A8"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t>וְיָשַׁב טַפֵּנוּ בְּעָרֵי הַמִּבְצָר מִפְּנֵי יֹשְׁבֵי הָאָרֶץ</w:t>
      </w:r>
      <w:r w:rsidRPr="00A80894">
        <w:rPr>
          <w:rFonts w:eastAsia="Times New Roman" w:cs="Times New Roman"/>
          <w:rtl/>
          <w:lang w:eastAsia="de-DE"/>
        </w:rPr>
        <w:t xml:space="preserve"> </w:t>
      </w:r>
      <w:r w:rsidRPr="00A80894">
        <w:rPr>
          <w:rFonts w:eastAsia="Times New Roman" w:cs="Times New Roman"/>
          <w:lang w:eastAsia="de-DE"/>
        </w:rPr>
        <w:t xml:space="preserve">erklärt die Sicherheitsvorkehrung. </w:t>
      </w:r>
      <w:r w:rsidRPr="00A80894">
        <w:rPr>
          <w:rFonts w:eastAsia="Times New Roman" w:cs="Times New Roman"/>
          <w:b/>
          <w:bCs/>
          <w:rtl/>
          <w:lang w:eastAsia="de-DE"/>
        </w:rPr>
        <w:t>וְיָשַׁב</w:t>
      </w:r>
      <w:r w:rsidRPr="00A80894">
        <w:rPr>
          <w:rFonts w:eastAsia="Times New Roman" w:cs="Times New Roman"/>
          <w:rtl/>
          <w:lang w:eastAsia="de-DE"/>
        </w:rPr>
        <w:t xml:space="preserve"> </w:t>
      </w:r>
      <w:r w:rsidRPr="00A80894">
        <w:rPr>
          <w:rFonts w:eastAsia="Times New Roman" w:cs="Times New Roman"/>
          <w:lang w:eastAsia="de-DE"/>
        </w:rPr>
        <w:t xml:space="preserve">(Qal Perfekt 3. Person maskulin Singular mit Waw consecutivum von </w:t>
      </w:r>
      <w:r w:rsidRPr="00A80894">
        <w:rPr>
          <w:rFonts w:eastAsia="Times New Roman" w:cs="Times New Roman"/>
          <w:b/>
          <w:bCs/>
          <w:rtl/>
          <w:lang w:eastAsia="de-DE"/>
        </w:rPr>
        <w:t>ישׁב</w:t>
      </w:r>
      <w:r w:rsidRPr="00A80894">
        <w:rPr>
          <w:rFonts w:eastAsia="Times New Roman" w:cs="Times New Roman"/>
          <w:rtl/>
          <w:lang w:eastAsia="de-DE"/>
        </w:rPr>
        <w:t xml:space="preserve"> </w:t>
      </w:r>
      <w:r w:rsidRPr="00A80894">
        <w:rPr>
          <w:rFonts w:eastAsia="Times New Roman" w:cs="Times New Roman"/>
          <w:lang w:eastAsia="de-DE"/>
        </w:rPr>
        <w:t xml:space="preserve">„sitzen, wohnen, bleiben"), </w:t>
      </w:r>
      <w:r w:rsidRPr="00A80894">
        <w:rPr>
          <w:rFonts w:eastAsia="Times New Roman" w:cs="Times New Roman"/>
          <w:b/>
          <w:bCs/>
          <w:rtl/>
          <w:lang w:eastAsia="de-DE"/>
        </w:rPr>
        <w:t>טַפֵּנוּ</w:t>
      </w:r>
      <w:r w:rsidRPr="00A80894">
        <w:rPr>
          <w:rFonts w:eastAsia="Times New Roman" w:cs="Times New Roman"/>
          <w:rtl/>
          <w:lang w:eastAsia="de-DE"/>
        </w:rPr>
        <w:t xml:space="preserve"> </w:t>
      </w:r>
      <w:r w:rsidRPr="00A80894">
        <w:rPr>
          <w:rFonts w:eastAsia="Times New Roman" w:cs="Times New Roman"/>
          <w:lang w:eastAsia="de-DE"/>
        </w:rPr>
        <w:t xml:space="preserve">(„unsere Kinder"), </w:t>
      </w:r>
      <w:r w:rsidRPr="00A80894">
        <w:rPr>
          <w:rFonts w:eastAsia="Times New Roman" w:cs="Times New Roman"/>
          <w:b/>
          <w:bCs/>
          <w:rtl/>
          <w:lang w:eastAsia="de-DE"/>
        </w:rPr>
        <w:t>בְּעָרֵי הַמִּבְצָר</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בְ</w:t>
      </w:r>
      <w:r w:rsidRPr="00A80894">
        <w:rPr>
          <w:rFonts w:eastAsia="Times New Roman" w:cs="Times New Roman"/>
          <w:rtl/>
          <w:lang w:eastAsia="de-DE"/>
        </w:rPr>
        <w:t xml:space="preserve"> </w:t>
      </w:r>
      <w:r w:rsidRPr="00A80894">
        <w:rPr>
          <w:rFonts w:eastAsia="Times New Roman" w:cs="Times New Roman"/>
          <w:lang w:eastAsia="de-DE"/>
        </w:rPr>
        <w:t xml:space="preserve">mit Plural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עִיר</w:t>
      </w:r>
      <w:r w:rsidRPr="00A80894">
        <w:rPr>
          <w:rFonts w:eastAsia="Times New Roman" w:cs="Times New Roman"/>
          <w:rtl/>
          <w:lang w:eastAsia="de-DE"/>
        </w:rPr>
        <w:t xml:space="preserve"> </w:t>
      </w:r>
      <w:r w:rsidRPr="00A80894">
        <w:rPr>
          <w:rFonts w:eastAsia="Times New Roman" w:cs="Times New Roman"/>
          <w:lang w:eastAsia="de-DE"/>
        </w:rPr>
        <w:t xml:space="preserve">„Stadt" und </w:t>
      </w:r>
      <w:r w:rsidRPr="00A80894">
        <w:rPr>
          <w:rFonts w:eastAsia="Times New Roman" w:cs="Times New Roman"/>
          <w:b/>
          <w:bCs/>
          <w:rtl/>
          <w:lang w:eastAsia="de-DE"/>
        </w:rPr>
        <w:lastRenderedPageBreak/>
        <w:t>מִבְצָר</w:t>
      </w:r>
      <w:r w:rsidRPr="00A80894">
        <w:rPr>
          <w:rFonts w:eastAsia="Times New Roman" w:cs="Times New Roman"/>
          <w:rtl/>
          <w:lang w:eastAsia="de-DE"/>
        </w:rPr>
        <w:t xml:space="preserve"> </w:t>
      </w:r>
      <w:r w:rsidRPr="00A80894">
        <w:rPr>
          <w:rFonts w:eastAsia="Times New Roman" w:cs="Times New Roman"/>
          <w:lang w:eastAsia="de-DE"/>
        </w:rPr>
        <w:t xml:space="preserve">„Festung, befestigte Stadt" mit Artikel „in den festen Städten"), </w:t>
      </w:r>
      <w:r w:rsidRPr="00A80894">
        <w:rPr>
          <w:rFonts w:eastAsia="Times New Roman" w:cs="Times New Roman"/>
          <w:b/>
          <w:bCs/>
          <w:rtl/>
          <w:lang w:eastAsia="de-DE"/>
        </w:rPr>
        <w:t>מִפְּנֵי יֹשְׁבֵי הָאָרֶץ</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מִן</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פָּנִים</w:t>
      </w:r>
      <w:r w:rsidRPr="00A80894">
        <w:rPr>
          <w:rFonts w:eastAsia="Times New Roman" w:cs="Times New Roman"/>
          <w:rtl/>
          <w:lang w:eastAsia="de-DE"/>
        </w:rPr>
        <w:t xml:space="preserve"> </w:t>
      </w:r>
      <w:r w:rsidRPr="00A80894">
        <w:rPr>
          <w:rFonts w:eastAsia="Times New Roman" w:cs="Times New Roman"/>
          <w:lang w:eastAsia="de-DE"/>
        </w:rPr>
        <w:t xml:space="preserve">„Angesicht" und Qal-Partizip Plural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ישׁב</w:t>
      </w:r>
      <w:r w:rsidRPr="00A80894">
        <w:rPr>
          <w:rFonts w:eastAsia="Times New Roman" w:cs="Times New Roman"/>
          <w:rtl/>
          <w:lang w:eastAsia="de-DE"/>
        </w:rPr>
        <w:t xml:space="preserve"> </w:t>
      </w:r>
      <w:r w:rsidRPr="00A80894">
        <w:rPr>
          <w:rFonts w:eastAsia="Times New Roman" w:cs="Times New Roman"/>
          <w:lang w:eastAsia="de-DE"/>
        </w:rPr>
        <w:t xml:space="preserve">„wohnen" mit </w:t>
      </w:r>
      <w:r w:rsidRPr="00A80894">
        <w:rPr>
          <w:rFonts w:eastAsia="Times New Roman" w:cs="Times New Roman"/>
          <w:b/>
          <w:bCs/>
          <w:rtl/>
          <w:lang w:eastAsia="de-DE"/>
        </w:rPr>
        <w:t>אֶרֶץ</w:t>
      </w:r>
      <w:r w:rsidRPr="00A80894">
        <w:rPr>
          <w:rFonts w:eastAsia="Times New Roman" w:cs="Times New Roman"/>
          <w:rtl/>
          <w:lang w:eastAsia="de-DE"/>
        </w:rPr>
        <w:t xml:space="preserve"> </w:t>
      </w:r>
      <w:r w:rsidRPr="00A80894">
        <w:rPr>
          <w:rFonts w:eastAsia="Times New Roman" w:cs="Times New Roman"/>
          <w:lang w:eastAsia="de-DE"/>
        </w:rPr>
        <w:t>„vor den Bewohnern des Landes").</w:t>
      </w:r>
    </w:p>
    <w:p w14:paraId="103FE72C"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einen Hauptsatz mit adverbialem Akkusativ und temporalem Nebensatz, gefolgt von einem konsekutiven Satz.</w:t>
      </w:r>
    </w:p>
    <w:p w14:paraId="7E944CDC"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enthält das entscheidende Versprechen: Gad und Ruben werden bewaffnet an der Spitze Israels kämpfen, bis alle im Land angesiedelt sind, während ihre Familien in befestigten Städten sicher sind - ein Kompromiss zwischen ihrem Wunsch und ihrer Pflicht.</w:t>
      </w:r>
    </w:p>
    <w:p w14:paraId="1A5597E0"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32,18</w:t>
      </w:r>
    </w:p>
    <w:p w14:paraId="60B01AE7"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לֹ֥א נָשׁ֖וּב אֶל־בָּתֵּ֑ינוּ עַ֗ד הִתְנַחֵל֙ בְּנֵ֣י יִשְׂרָאֵ֔ל אִ֖ישׁ נַחֲלָתֽוֹ׃</w:t>
      </w:r>
    </w:p>
    <w:p w14:paraId="5F050867"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Wir wollen nicht zu unseren Häusern zurückkehren, bis die Söhne Jisra'el jeder sein Erbteil in Besitz genommen haben.</w:t>
      </w:r>
    </w:p>
    <w:p w14:paraId="5F203441"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7B19A953">
          <v:rect id="_x0000_i2004" style="width:0;height:1.5pt" o:hralign="center" o:hrstd="t" o:hr="t" fillcolor="#a0a0a0" stroked="f"/>
        </w:pict>
      </w:r>
    </w:p>
    <w:p w14:paraId="71817D79" w14:textId="44A47780"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verstärkt die Zusage. </w:t>
      </w:r>
      <w:r w:rsidRPr="00A80894">
        <w:rPr>
          <w:rFonts w:eastAsia="Times New Roman" w:cs="Times New Roman"/>
          <w:b/>
          <w:bCs/>
          <w:rtl/>
          <w:lang w:eastAsia="de-DE"/>
        </w:rPr>
        <w:t>לֹא נָשׁוּב אֶל־בָּתֵּינוּ</w:t>
      </w:r>
      <w:r w:rsidRPr="00A80894">
        <w:rPr>
          <w:rFonts w:eastAsia="Times New Roman" w:cs="Times New Roman"/>
          <w:rtl/>
          <w:lang w:eastAsia="de-DE"/>
        </w:rPr>
        <w:t xml:space="preserve"> </w:t>
      </w:r>
      <w:r w:rsidRPr="00A80894">
        <w:rPr>
          <w:rFonts w:eastAsia="Times New Roman" w:cs="Times New Roman"/>
          <w:lang w:eastAsia="de-DE"/>
        </w:rPr>
        <w:t xml:space="preserve">ist das negative Versprechen. </w:t>
      </w:r>
      <w:r w:rsidRPr="00A80894">
        <w:rPr>
          <w:rFonts w:eastAsia="Times New Roman" w:cs="Times New Roman"/>
          <w:b/>
          <w:bCs/>
          <w:rtl/>
          <w:lang w:eastAsia="de-DE"/>
        </w:rPr>
        <w:t>לֹא נָשׁוּב</w:t>
      </w:r>
      <w:r w:rsidRPr="00A80894">
        <w:rPr>
          <w:rFonts w:eastAsia="Times New Roman" w:cs="Times New Roman"/>
          <w:rtl/>
          <w:lang w:eastAsia="de-DE"/>
        </w:rPr>
        <w:t xml:space="preserve"> </w:t>
      </w:r>
      <w:r w:rsidRPr="00A80894">
        <w:rPr>
          <w:rFonts w:eastAsia="Times New Roman" w:cs="Times New Roman"/>
          <w:lang w:eastAsia="de-DE"/>
        </w:rPr>
        <w:t xml:space="preserve">(Negation mit Qal Imperfekt 1. Person Plural von </w:t>
      </w:r>
      <w:r w:rsidRPr="00A80894">
        <w:rPr>
          <w:rFonts w:eastAsia="Times New Roman" w:cs="Times New Roman"/>
          <w:b/>
          <w:bCs/>
          <w:rtl/>
          <w:lang w:eastAsia="de-DE"/>
        </w:rPr>
        <w:t>שׁוב</w:t>
      </w:r>
      <w:r w:rsidRPr="00A80894">
        <w:rPr>
          <w:rFonts w:eastAsia="Times New Roman" w:cs="Times New Roman"/>
          <w:rtl/>
          <w:lang w:eastAsia="de-DE"/>
        </w:rPr>
        <w:t xml:space="preserve"> </w:t>
      </w:r>
      <w:r w:rsidRPr="00A80894">
        <w:rPr>
          <w:rFonts w:eastAsia="Times New Roman" w:cs="Times New Roman"/>
          <w:lang w:eastAsia="de-DE"/>
        </w:rPr>
        <w:t xml:space="preserve">„zurückkehren"), </w:t>
      </w:r>
      <w:r w:rsidRPr="00A80894">
        <w:rPr>
          <w:rFonts w:eastAsia="Times New Roman" w:cs="Times New Roman"/>
          <w:b/>
          <w:bCs/>
          <w:rtl/>
          <w:lang w:eastAsia="de-DE"/>
        </w:rPr>
        <w:t>אֶל־בָּתֵּינוּ</w:t>
      </w:r>
      <w:r w:rsidRPr="00A80894">
        <w:rPr>
          <w:rFonts w:eastAsia="Times New Roman" w:cs="Times New Roman"/>
          <w:rtl/>
          <w:lang w:eastAsia="de-DE"/>
        </w:rPr>
        <w:t xml:space="preserve"> </w:t>
      </w:r>
      <w:r w:rsidRPr="00A80894">
        <w:rPr>
          <w:rFonts w:eastAsia="Times New Roman" w:cs="Times New Roman"/>
          <w:lang w:eastAsia="de-DE"/>
        </w:rPr>
        <w:t xml:space="preserve">(Präposition mit Plural von </w:t>
      </w:r>
      <w:r w:rsidRPr="00A80894">
        <w:rPr>
          <w:rFonts w:eastAsia="Times New Roman" w:cs="Times New Roman"/>
          <w:b/>
          <w:bCs/>
          <w:rtl/>
          <w:lang w:eastAsia="de-DE"/>
        </w:rPr>
        <w:t>בַּיִת</w:t>
      </w:r>
      <w:r w:rsidRPr="00A80894">
        <w:rPr>
          <w:rFonts w:eastAsia="Times New Roman" w:cs="Times New Roman"/>
          <w:rtl/>
          <w:lang w:eastAsia="de-DE"/>
        </w:rPr>
        <w:t xml:space="preserve"> </w:t>
      </w:r>
      <w:r w:rsidRPr="00A80894">
        <w:rPr>
          <w:rFonts w:eastAsia="Times New Roman" w:cs="Times New Roman"/>
          <w:lang w:eastAsia="de-DE"/>
        </w:rPr>
        <w:t xml:space="preserve">„Haus" und Suffix 1. Person Plural „zu unseren Häusern"). </w:t>
      </w:r>
      <w:r w:rsidRPr="00A80894">
        <w:rPr>
          <w:rFonts w:eastAsia="Times New Roman" w:cs="Times New Roman"/>
          <w:b/>
          <w:bCs/>
          <w:rtl/>
          <w:lang w:eastAsia="de-DE"/>
        </w:rPr>
        <w:t>עַד הִתְנַחֵל בְּנֵי יִשְׂרָאֵל אִישׁ נַחֲלָתוֹ</w:t>
      </w:r>
      <w:r w:rsidRPr="00A80894">
        <w:rPr>
          <w:rFonts w:eastAsia="Times New Roman" w:cs="Times New Roman"/>
          <w:rtl/>
          <w:lang w:eastAsia="de-DE"/>
        </w:rPr>
        <w:t xml:space="preserve"> </w:t>
      </w:r>
      <w:r w:rsidRPr="00A80894">
        <w:rPr>
          <w:rFonts w:eastAsia="Times New Roman" w:cs="Times New Roman"/>
          <w:lang w:eastAsia="de-DE"/>
        </w:rPr>
        <w:t xml:space="preserve">gibt die Bedingung an. </w:t>
      </w:r>
      <w:r w:rsidRPr="00A80894">
        <w:rPr>
          <w:rFonts w:eastAsia="Times New Roman" w:cs="Times New Roman"/>
          <w:b/>
          <w:bCs/>
          <w:rtl/>
          <w:lang w:eastAsia="de-DE"/>
        </w:rPr>
        <w:t>עַד</w:t>
      </w:r>
      <w:r w:rsidRPr="00A80894">
        <w:rPr>
          <w:rFonts w:eastAsia="Times New Roman" w:cs="Times New Roman"/>
          <w:rtl/>
          <w:lang w:eastAsia="de-DE"/>
        </w:rPr>
        <w:t xml:space="preserve"> </w:t>
      </w:r>
      <w:r w:rsidRPr="00A80894">
        <w:rPr>
          <w:rFonts w:eastAsia="Times New Roman" w:cs="Times New Roman"/>
          <w:lang w:eastAsia="de-DE"/>
        </w:rPr>
        <w:t xml:space="preserve">(temporale Präposition „bis"), </w:t>
      </w:r>
      <w:r w:rsidRPr="00A80894">
        <w:rPr>
          <w:rFonts w:eastAsia="Times New Roman" w:cs="Times New Roman"/>
          <w:b/>
          <w:bCs/>
          <w:rtl/>
          <w:lang w:eastAsia="de-DE"/>
        </w:rPr>
        <w:t>הִתְנַחֵל</w:t>
      </w:r>
      <w:r w:rsidRPr="00A80894">
        <w:rPr>
          <w:rFonts w:eastAsia="Times New Roman" w:cs="Times New Roman"/>
          <w:rtl/>
          <w:lang w:eastAsia="de-DE"/>
        </w:rPr>
        <w:t xml:space="preserve"> </w:t>
      </w:r>
      <w:r w:rsidRPr="00A80894">
        <w:rPr>
          <w:rFonts w:eastAsia="Times New Roman" w:cs="Times New Roman"/>
          <w:lang w:eastAsia="de-DE"/>
        </w:rPr>
        <w:t xml:space="preserve">(Hithpael Infinitiv </w:t>
      </w:r>
      <w:r w:rsidR="00E031B3">
        <w:rPr>
          <w:rFonts w:eastAsia="Times New Roman" w:cs="Times New Roman"/>
          <w:lang w:eastAsia="de-DE"/>
        </w:rPr>
        <w:t>Constructus von</w:t>
      </w:r>
      <w:r w:rsidRPr="00A80894">
        <w:rPr>
          <w:rFonts w:eastAsia="Times New Roman" w:cs="Times New Roman"/>
          <w:lang w:eastAsia="de-DE"/>
        </w:rPr>
        <w:t xml:space="preserve"> </w:t>
      </w:r>
      <w:r w:rsidRPr="00A80894">
        <w:rPr>
          <w:rFonts w:eastAsia="Times New Roman" w:cs="Times New Roman"/>
          <w:b/>
          <w:bCs/>
          <w:rtl/>
          <w:lang w:eastAsia="de-DE"/>
        </w:rPr>
        <w:t>נחל</w:t>
      </w:r>
      <w:r w:rsidRPr="00A80894">
        <w:rPr>
          <w:rFonts w:eastAsia="Times New Roman" w:cs="Times New Roman"/>
          <w:rtl/>
          <w:lang w:eastAsia="de-DE"/>
        </w:rPr>
        <w:t xml:space="preserve"> </w:t>
      </w:r>
      <w:r w:rsidRPr="00A80894">
        <w:rPr>
          <w:rFonts w:eastAsia="Times New Roman" w:cs="Times New Roman"/>
          <w:lang w:eastAsia="de-DE"/>
        </w:rPr>
        <w:t xml:space="preserve">„in Besitz nehmen, erben"), </w:t>
      </w:r>
      <w:r w:rsidRPr="00A80894">
        <w:rPr>
          <w:rFonts w:eastAsia="Times New Roman" w:cs="Times New Roman"/>
          <w:b/>
          <w:bCs/>
          <w:rtl/>
          <w:lang w:eastAsia="de-DE"/>
        </w:rPr>
        <w:t>בְּנֵי יִשְׂרָאֵל</w:t>
      </w:r>
      <w:r w:rsidRPr="00A80894">
        <w:rPr>
          <w:rFonts w:eastAsia="Times New Roman" w:cs="Times New Roman"/>
          <w:rtl/>
          <w:lang w:eastAsia="de-DE"/>
        </w:rPr>
        <w:t xml:space="preserve"> </w:t>
      </w:r>
      <w:r w:rsidRPr="00A80894">
        <w:rPr>
          <w:rFonts w:eastAsia="Times New Roman" w:cs="Times New Roman"/>
          <w:lang w:eastAsia="de-DE"/>
        </w:rPr>
        <w:t xml:space="preserve">(Subjekt des Infinitivs), </w:t>
      </w:r>
      <w:r w:rsidRPr="00A80894">
        <w:rPr>
          <w:rFonts w:eastAsia="Times New Roman" w:cs="Times New Roman"/>
          <w:b/>
          <w:bCs/>
          <w:rtl/>
          <w:lang w:eastAsia="de-DE"/>
        </w:rPr>
        <w:t>אִישׁ נַחֲלָתוֹ</w:t>
      </w:r>
      <w:r w:rsidRPr="00A80894">
        <w:rPr>
          <w:rFonts w:eastAsia="Times New Roman" w:cs="Times New Roman"/>
          <w:rtl/>
          <w:lang w:eastAsia="de-DE"/>
        </w:rPr>
        <w:t xml:space="preserve"> </w:t>
      </w:r>
      <w:r w:rsidRPr="00A80894">
        <w:rPr>
          <w:rFonts w:eastAsia="Times New Roman" w:cs="Times New Roman"/>
          <w:lang w:eastAsia="de-DE"/>
        </w:rPr>
        <w:t xml:space="preserve">(distributive </w:t>
      </w:r>
      <w:r w:rsidR="00F133EC">
        <w:rPr>
          <w:rFonts w:eastAsia="Times New Roman" w:cs="Times New Roman"/>
          <w:lang w:eastAsia="de-DE"/>
        </w:rPr>
        <w:t>Construct</w:t>
      </w:r>
      <w:r w:rsidRPr="00A80894">
        <w:rPr>
          <w:rFonts w:eastAsia="Times New Roman" w:cs="Times New Roman"/>
          <w:lang w:eastAsia="de-DE"/>
        </w:rPr>
        <w:t xml:space="preserve">ion: </w:t>
      </w:r>
      <w:r w:rsidRPr="00A80894">
        <w:rPr>
          <w:rFonts w:eastAsia="Times New Roman" w:cs="Times New Roman"/>
          <w:b/>
          <w:bCs/>
          <w:rtl/>
          <w:lang w:eastAsia="de-DE"/>
        </w:rPr>
        <w:t>אִישׁ</w:t>
      </w:r>
      <w:r w:rsidRPr="00A80894">
        <w:rPr>
          <w:rFonts w:eastAsia="Times New Roman" w:cs="Times New Roman"/>
          <w:rtl/>
          <w:lang w:eastAsia="de-DE"/>
        </w:rPr>
        <w:t xml:space="preserve"> </w:t>
      </w:r>
      <w:r w:rsidRPr="00A80894">
        <w:rPr>
          <w:rFonts w:eastAsia="Times New Roman" w:cs="Times New Roman"/>
          <w:lang w:eastAsia="de-DE"/>
        </w:rPr>
        <w:t xml:space="preserve">„jeder" mit </w:t>
      </w:r>
      <w:r w:rsidRPr="00A80894">
        <w:rPr>
          <w:rFonts w:eastAsia="Times New Roman" w:cs="Times New Roman"/>
          <w:b/>
          <w:bCs/>
          <w:rtl/>
          <w:lang w:eastAsia="de-DE"/>
        </w:rPr>
        <w:t>נַחֲלָה</w:t>
      </w:r>
      <w:r w:rsidRPr="00A80894">
        <w:rPr>
          <w:rFonts w:eastAsia="Times New Roman" w:cs="Times New Roman"/>
          <w:rtl/>
          <w:lang w:eastAsia="de-DE"/>
        </w:rPr>
        <w:t xml:space="preserve"> </w:t>
      </w:r>
      <w:r w:rsidRPr="00A80894">
        <w:rPr>
          <w:rFonts w:eastAsia="Times New Roman" w:cs="Times New Roman"/>
          <w:lang w:eastAsia="de-DE"/>
        </w:rPr>
        <w:t>„Erbteil" und Suffix 3. Person maskulin Singular „jeder sein Erbteil").</w:t>
      </w:r>
    </w:p>
    <w:p w14:paraId="0D9C4A14"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einen negativen Hauptsatz mit temporaler Infinitivkonstruktion.</w:t>
      </w:r>
    </w:p>
    <w:p w14:paraId="3FD29A36"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unterstreicht die Entschlossenheit: Gad und Ruben werden nicht in ihre Häuser zurückkehren, bis jeder Israelit sein Erbteil erhalten hat - ein totales Engagement für die Sache des ganzen Volkes.</w:t>
      </w:r>
    </w:p>
    <w:p w14:paraId="0D72E542" w14:textId="77777777" w:rsidR="00A80894" w:rsidRPr="00A80894" w:rsidRDefault="00A80894" w:rsidP="00A80894">
      <w:pPr>
        <w:spacing w:before="100" w:beforeAutospacing="1" w:after="100" w:afterAutospacing="1" w:line="240" w:lineRule="auto"/>
        <w:outlineLvl w:val="0"/>
        <w:rPr>
          <w:rFonts w:eastAsia="Times New Roman" w:cs="Times New Roman"/>
          <w:b/>
          <w:bCs/>
          <w:kern w:val="36"/>
          <w:sz w:val="48"/>
          <w:szCs w:val="48"/>
          <w:lang w:eastAsia="de-DE"/>
        </w:rPr>
      </w:pPr>
      <w:r w:rsidRPr="00A80894">
        <w:rPr>
          <w:rFonts w:eastAsia="Times New Roman" w:cs="Times New Roman"/>
          <w:b/>
          <w:bCs/>
          <w:kern w:val="36"/>
          <w:sz w:val="48"/>
          <w:szCs w:val="48"/>
          <w:lang w:eastAsia="de-DE"/>
        </w:rPr>
        <w:t>Numeri 32,19</w:t>
      </w:r>
    </w:p>
    <w:p w14:paraId="0BD1CE13"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Hebräisch:</w:t>
      </w:r>
      <w:r w:rsidRPr="00A80894">
        <w:rPr>
          <w:rFonts w:eastAsia="Times New Roman" w:cs="Times New Roman"/>
          <w:lang w:eastAsia="de-DE"/>
        </w:rPr>
        <w:t xml:space="preserve"> </w:t>
      </w:r>
      <w:r w:rsidRPr="00A80894">
        <w:rPr>
          <w:rFonts w:eastAsia="Times New Roman" w:cs="Times New Roman"/>
          <w:rtl/>
          <w:lang w:eastAsia="de-DE"/>
        </w:rPr>
        <w:t>כִּ֣י לֹ֤א נִנְחַל֙ אִתָּ֔ם מֵעֵ֥בֶר לַיַּרְדֵּ֖ן וָהָ֑לְאָה כִּ֣י בָ֤אָה נַחֲלָתֵ֙נוּ֙ אֵלֵ֔ינוּ מֵעֵ֥בֶר הַיַּרְדֵּ֖ן מִזְרָֽחָה׃</w:t>
      </w:r>
    </w:p>
    <w:p w14:paraId="0ADB721E"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Deutsch:</w:t>
      </w:r>
      <w:r w:rsidRPr="00A80894">
        <w:rPr>
          <w:rFonts w:eastAsia="Times New Roman" w:cs="Times New Roman"/>
          <w:lang w:eastAsia="de-DE"/>
        </w:rPr>
        <w:t xml:space="preserve"> Denn wir wollen nicht mit ihnen erben jenseits des Jardens und weiterhin, denn unser Erbteil ist uns diesseits des Jardens gegen Sonnenaufgang zugekommen.</w:t>
      </w:r>
    </w:p>
    <w:p w14:paraId="1FB599C1" w14:textId="77777777" w:rsidR="00A80894" w:rsidRPr="00A80894" w:rsidRDefault="00F329DD" w:rsidP="00A80894">
      <w:pPr>
        <w:spacing w:after="0" w:line="240" w:lineRule="auto"/>
        <w:rPr>
          <w:rFonts w:eastAsia="Times New Roman" w:cs="Times New Roman"/>
          <w:lang w:eastAsia="de-DE"/>
        </w:rPr>
      </w:pPr>
      <w:r>
        <w:rPr>
          <w:rFonts w:eastAsia="Times New Roman" w:cs="Times New Roman"/>
          <w:noProof/>
          <w:lang w:eastAsia="de-DE"/>
        </w:rPr>
        <w:pict w14:anchorId="2281CD44">
          <v:rect id="_x0000_i2005" style="width:0;height:1.5pt" o:hralign="center" o:hrstd="t" o:hr="t" fillcolor="#a0a0a0" stroked="f"/>
        </w:pict>
      </w:r>
    </w:p>
    <w:p w14:paraId="14D84514" w14:textId="661997D8"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lang w:eastAsia="de-DE"/>
        </w:rPr>
        <w:t>Kommentar:</w:t>
      </w:r>
      <w:r w:rsidRPr="00A80894">
        <w:rPr>
          <w:rFonts w:eastAsia="Times New Roman" w:cs="Times New Roman"/>
          <w:lang w:eastAsia="de-DE"/>
        </w:rPr>
        <w:t xml:space="preserve"> Der Vers klärt die territoriale Abgrenzung. </w:t>
      </w:r>
      <w:r w:rsidRPr="00A80894">
        <w:rPr>
          <w:rFonts w:eastAsia="Times New Roman" w:cs="Times New Roman"/>
          <w:b/>
          <w:bCs/>
          <w:rtl/>
          <w:lang w:eastAsia="de-DE"/>
        </w:rPr>
        <w:t>כִּי לֹא נִנְחַל אִתָּם מֵעֵבֶר לַיַּרְדֵּן וָהָלְאָה</w:t>
      </w:r>
      <w:r w:rsidRPr="00A80894">
        <w:rPr>
          <w:rFonts w:eastAsia="Times New Roman" w:cs="Times New Roman"/>
          <w:rtl/>
          <w:lang w:eastAsia="de-DE"/>
        </w:rPr>
        <w:t xml:space="preserve"> </w:t>
      </w:r>
      <w:r w:rsidRPr="00A80894">
        <w:rPr>
          <w:rFonts w:eastAsia="Times New Roman" w:cs="Times New Roman"/>
          <w:lang w:eastAsia="de-DE"/>
        </w:rPr>
        <w:t xml:space="preserve">ist die Verzichtserklärung. </w:t>
      </w:r>
      <w:r w:rsidRPr="00A80894">
        <w:rPr>
          <w:rFonts w:eastAsia="Times New Roman" w:cs="Times New Roman"/>
          <w:b/>
          <w:bCs/>
          <w:rtl/>
          <w:lang w:eastAsia="de-DE"/>
        </w:rPr>
        <w:t>כִּי</w:t>
      </w:r>
      <w:r w:rsidRPr="00A80894">
        <w:rPr>
          <w:rFonts w:eastAsia="Times New Roman" w:cs="Times New Roman"/>
          <w:rtl/>
          <w:lang w:eastAsia="de-DE"/>
        </w:rPr>
        <w:t xml:space="preserve"> </w:t>
      </w:r>
      <w:r w:rsidRPr="00A80894">
        <w:rPr>
          <w:rFonts w:eastAsia="Times New Roman" w:cs="Times New Roman"/>
          <w:lang w:eastAsia="de-DE"/>
        </w:rPr>
        <w:t xml:space="preserve">(kausale Konjunktion „denn"), </w:t>
      </w:r>
      <w:r w:rsidRPr="00A80894">
        <w:rPr>
          <w:rFonts w:eastAsia="Times New Roman" w:cs="Times New Roman"/>
          <w:b/>
          <w:bCs/>
          <w:rtl/>
          <w:lang w:eastAsia="de-DE"/>
        </w:rPr>
        <w:t>לֹא נִנְחַל</w:t>
      </w:r>
      <w:r w:rsidRPr="00A80894">
        <w:rPr>
          <w:rFonts w:eastAsia="Times New Roman" w:cs="Times New Roman"/>
          <w:rtl/>
          <w:lang w:eastAsia="de-DE"/>
        </w:rPr>
        <w:t xml:space="preserve"> </w:t>
      </w:r>
      <w:r w:rsidRPr="00A80894">
        <w:rPr>
          <w:rFonts w:eastAsia="Times New Roman" w:cs="Times New Roman"/>
          <w:lang w:eastAsia="de-DE"/>
        </w:rPr>
        <w:t xml:space="preserve">(Negation mit Qal Imperfekt 1. Person Plural von </w:t>
      </w:r>
      <w:r w:rsidRPr="00A80894">
        <w:rPr>
          <w:rFonts w:eastAsia="Times New Roman" w:cs="Times New Roman"/>
          <w:b/>
          <w:bCs/>
          <w:rtl/>
          <w:lang w:eastAsia="de-DE"/>
        </w:rPr>
        <w:t>נחל</w:t>
      </w:r>
      <w:r w:rsidRPr="00A80894">
        <w:rPr>
          <w:rFonts w:eastAsia="Times New Roman" w:cs="Times New Roman"/>
          <w:rtl/>
          <w:lang w:eastAsia="de-DE"/>
        </w:rPr>
        <w:t xml:space="preserve"> </w:t>
      </w:r>
      <w:r w:rsidRPr="00A80894">
        <w:rPr>
          <w:rFonts w:eastAsia="Times New Roman" w:cs="Times New Roman"/>
          <w:lang w:eastAsia="de-DE"/>
        </w:rPr>
        <w:t xml:space="preserve">„erben, in Besitz nehmen"), </w:t>
      </w:r>
      <w:r w:rsidRPr="00A80894">
        <w:rPr>
          <w:rFonts w:eastAsia="Times New Roman" w:cs="Times New Roman"/>
          <w:b/>
          <w:bCs/>
          <w:rtl/>
          <w:lang w:eastAsia="de-DE"/>
        </w:rPr>
        <w:t>אִתָּם</w:t>
      </w:r>
      <w:r w:rsidRPr="00A80894">
        <w:rPr>
          <w:rFonts w:eastAsia="Times New Roman" w:cs="Times New Roman"/>
          <w:rtl/>
          <w:lang w:eastAsia="de-DE"/>
        </w:rPr>
        <w:t xml:space="preserve"> </w:t>
      </w:r>
      <w:r w:rsidRPr="00A80894">
        <w:rPr>
          <w:rFonts w:eastAsia="Times New Roman" w:cs="Times New Roman"/>
          <w:lang w:eastAsia="de-DE"/>
        </w:rPr>
        <w:t xml:space="preserve">(Präposition mit Suffix 3. Person Plural „mit ihnen"), </w:t>
      </w:r>
      <w:r w:rsidRPr="00A80894">
        <w:rPr>
          <w:rFonts w:eastAsia="Times New Roman" w:cs="Times New Roman"/>
          <w:b/>
          <w:bCs/>
          <w:rtl/>
          <w:lang w:eastAsia="de-DE"/>
        </w:rPr>
        <w:t>מֵעֵבֶר לַיַּרְדֵּן</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מִן</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עֵבֶר</w:t>
      </w:r>
      <w:r w:rsidRPr="00A80894">
        <w:rPr>
          <w:rFonts w:eastAsia="Times New Roman" w:cs="Times New Roman"/>
          <w:rtl/>
          <w:lang w:eastAsia="de-DE"/>
        </w:rPr>
        <w:t xml:space="preserve"> </w:t>
      </w:r>
      <w:r w:rsidRPr="00A80894">
        <w:rPr>
          <w:rFonts w:eastAsia="Times New Roman" w:cs="Times New Roman"/>
          <w:lang w:eastAsia="de-DE"/>
        </w:rPr>
        <w:t xml:space="preserve">„Seite, jenseits" im </w:t>
      </w:r>
      <w:r w:rsidR="00E031B3">
        <w:rPr>
          <w:rFonts w:eastAsia="Times New Roman" w:cs="Times New Roman"/>
          <w:lang w:eastAsia="de-DE"/>
        </w:rPr>
        <w:t>Constructus und</w:t>
      </w:r>
      <w:r w:rsidRPr="00A80894">
        <w:rPr>
          <w:rFonts w:eastAsia="Times New Roman" w:cs="Times New Roman"/>
          <w:lang w:eastAsia="de-DE"/>
        </w:rPr>
        <w:t xml:space="preserve"> </w:t>
      </w:r>
      <w:r w:rsidRPr="00A80894">
        <w:rPr>
          <w:rFonts w:eastAsia="Times New Roman" w:cs="Times New Roman"/>
          <w:lang w:eastAsia="de-DE"/>
        </w:rPr>
        <w:lastRenderedPageBreak/>
        <w:t xml:space="preserve">Präposition </w:t>
      </w:r>
      <w:r w:rsidRPr="00A80894">
        <w:rPr>
          <w:rFonts w:eastAsia="Times New Roman" w:cs="Times New Roman"/>
          <w:b/>
          <w:bCs/>
          <w:rtl/>
          <w:lang w:eastAsia="de-DE"/>
        </w:rPr>
        <w:t>לְ</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יַרְדֵּן</w:t>
      </w:r>
      <w:r w:rsidRPr="00A80894">
        <w:rPr>
          <w:rFonts w:eastAsia="Times New Roman" w:cs="Times New Roman"/>
          <w:rtl/>
          <w:lang w:eastAsia="de-DE"/>
        </w:rPr>
        <w:t xml:space="preserve"> </w:t>
      </w:r>
      <w:r w:rsidRPr="00A80894">
        <w:rPr>
          <w:rFonts w:eastAsia="Times New Roman" w:cs="Times New Roman"/>
          <w:lang w:eastAsia="de-DE"/>
        </w:rPr>
        <w:t xml:space="preserve">„von jenseits des Jordan"), </w:t>
      </w:r>
      <w:r w:rsidRPr="00A80894">
        <w:rPr>
          <w:rFonts w:eastAsia="Times New Roman" w:cs="Times New Roman"/>
          <w:b/>
          <w:bCs/>
          <w:rtl/>
          <w:lang w:eastAsia="de-DE"/>
        </w:rPr>
        <w:t>וָהָלְאָה</w:t>
      </w:r>
      <w:r w:rsidRPr="00A80894">
        <w:rPr>
          <w:rFonts w:eastAsia="Times New Roman" w:cs="Times New Roman"/>
          <w:rtl/>
          <w:lang w:eastAsia="de-DE"/>
        </w:rPr>
        <w:t xml:space="preserve"> </w:t>
      </w:r>
      <w:r w:rsidRPr="00A80894">
        <w:rPr>
          <w:rFonts w:eastAsia="Times New Roman" w:cs="Times New Roman"/>
          <w:lang w:eastAsia="de-DE"/>
        </w:rPr>
        <w:t xml:space="preserve">(Konjunktion mit </w:t>
      </w:r>
      <w:r w:rsidRPr="00A80894">
        <w:rPr>
          <w:rFonts w:eastAsia="Times New Roman" w:cs="Times New Roman"/>
          <w:b/>
          <w:bCs/>
          <w:rtl/>
          <w:lang w:eastAsia="de-DE"/>
        </w:rPr>
        <w:t>הָלְאָה</w:t>
      </w:r>
      <w:r w:rsidRPr="00A80894">
        <w:rPr>
          <w:rFonts w:eastAsia="Times New Roman" w:cs="Times New Roman"/>
          <w:rtl/>
          <w:lang w:eastAsia="de-DE"/>
        </w:rPr>
        <w:t xml:space="preserve"> </w:t>
      </w:r>
      <w:r w:rsidRPr="00A80894">
        <w:rPr>
          <w:rFonts w:eastAsia="Times New Roman" w:cs="Times New Roman"/>
          <w:lang w:eastAsia="de-DE"/>
        </w:rPr>
        <w:t>„weiter, darüber hinaus").</w:t>
      </w:r>
    </w:p>
    <w:p w14:paraId="47DEBA13"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b/>
          <w:bCs/>
          <w:rtl/>
          <w:lang w:eastAsia="de-DE"/>
        </w:rPr>
        <w:t>כִּי בָאָה נַחֲלָתֵנוּ אֵלֵינוּ מֵעֵבֶר הַיַּרְדֵּן מִזְרָחָה</w:t>
      </w:r>
      <w:r w:rsidRPr="00A80894">
        <w:rPr>
          <w:rFonts w:eastAsia="Times New Roman" w:cs="Times New Roman"/>
          <w:rtl/>
          <w:lang w:eastAsia="de-DE"/>
        </w:rPr>
        <w:t xml:space="preserve"> </w:t>
      </w:r>
      <w:r w:rsidRPr="00A80894">
        <w:rPr>
          <w:rFonts w:eastAsia="Times New Roman" w:cs="Times New Roman"/>
          <w:lang w:eastAsia="de-DE"/>
        </w:rPr>
        <w:t xml:space="preserve">ist die Begründung. </w:t>
      </w:r>
      <w:r w:rsidRPr="00A80894">
        <w:rPr>
          <w:rFonts w:eastAsia="Times New Roman" w:cs="Times New Roman"/>
          <w:b/>
          <w:bCs/>
          <w:rtl/>
          <w:lang w:eastAsia="de-DE"/>
        </w:rPr>
        <w:t>כִּי</w:t>
      </w:r>
      <w:r w:rsidRPr="00A80894">
        <w:rPr>
          <w:rFonts w:eastAsia="Times New Roman" w:cs="Times New Roman"/>
          <w:rtl/>
          <w:lang w:eastAsia="de-DE"/>
        </w:rPr>
        <w:t xml:space="preserve"> </w:t>
      </w:r>
      <w:r w:rsidRPr="00A80894">
        <w:rPr>
          <w:rFonts w:eastAsia="Times New Roman" w:cs="Times New Roman"/>
          <w:lang w:eastAsia="de-DE"/>
        </w:rPr>
        <w:t xml:space="preserve">(„denn"), </w:t>
      </w:r>
      <w:r w:rsidRPr="00A80894">
        <w:rPr>
          <w:rFonts w:eastAsia="Times New Roman" w:cs="Times New Roman"/>
          <w:b/>
          <w:bCs/>
          <w:rtl/>
          <w:lang w:eastAsia="de-DE"/>
        </w:rPr>
        <w:t>בָאָה</w:t>
      </w:r>
      <w:r w:rsidRPr="00A80894">
        <w:rPr>
          <w:rFonts w:eastAsia="Times New Roman" w:cs="Times New Roman"/>
          <w:rtl/>
          <w:lang w:eastAsia="de-DE"/>
        </w:rPr>
        <w:t xml:space="preserve"> </w:t>
      </w:r>
      <w:r w:rsidRPr="00A80894">
        <w:rPr>
          <w:rFonts w:eastAsia="Times New Roman" w:cs="Times New Roman"/>
          <w:lang w:eastAsia="de-DE"/>
        </w:rPr>
        <w:t xml:space="preserve">(Qal Perfekt 3. Person feminin Singular von </w:t>
      </w:r>
      <w:r w:rsidRPr="00A80894">
        <w:rPr>
          <w:rFonts w:eastAsia="Times New Roman" w:cs="Times New Roman"/>
          <w:b/>
          <w:bCs/>
          <w:rtl/>
          <w:lang w:eastAsia="de-DE"/>
        </w:rPr>
        <w:t>בוא</w:t>
      </w:r>
      <w:r w:rsidRPr="00A80894">
        <w:rPr>
          <w:rFonts w:eastAsia="Times New Roman" w:cs="Times New Roman"/>
          <w:rtl/>
          <w:lang w:eastAsia="de-DE"/>
        </w:rPr>
        <w:t xml:space="preserve"> </w:t>
      </w:r>
      <w:r w:rsidRPr="00A80894">
        <w:rPr>
          <w:rFonts w:eastAsia="Times New Roman" w:cs="Times New Roman"/>
          <w:lang w:eastAsia="de-DE"/>
        </w:rPr>
        <w:t xml:space="preserve">„kommen"), </w:t>
      </w:r>
      <w:r w:rsidRPr="00A80894">
        <w:rPr>
          <w:rFonts w:eastAsia="Times New Roman" w:cs="Times New Roman"/>
          <w:b/>
          <w:bCs/>
          <w:rtl/>
          <w:lang w:eastAsia="de-DE"/>
        </w:rPr>
        <w:t>נַחֲלָתֵנוּ</w:t>
      </w:r>
      <w:r w:rsidRPr="00A80894">
        <w:rPr>
          <w:rFonts w:eastAsia="Times New Roman" w:cs="Times New Roman"/>
          <w:rtl/>
          <w:lang w:eastAsia="de-DE"/>
        </w:rPr>
        <w:t xml:space="preserve"> </w:t>
      </w:r>
      <w:r w:rsidRPr="00A80894">
        <w:rPr>
          <w:rFonts w:eastAsia="Times New Roman" w:cs="Times New Roman"/>
          <w:lang w:eastAsia="de-DE"/>
        </w:rPr>
        <w:t>(</w:t>
      </w:r>
      <w:r w:rsidRPr="00A80894">
        <w:rPr>
          <w:rFonts w:eastAsia="Times New Roman" w:cs="Times New Roman"/>
          <w:b/>
          <w:bCs/>
          <w:rtl/>
          <w:lang w:eastAsia="de-DE"/>
        </w:rPr>
        <w:t>נַחֲלָה</w:t>
      </w:r>
      <w:r w:rsidRPr="00A80894">
        <w:rPr>
          <w:rFonts w:eastAsia="Times New Roman" w:cs="Times New Roman"/>
          <w:rtl/>
          <w:lang w:eastAsia="de-DE"/>
        </w:rPr>
        <w:t xml:space="preserve"> </w:t>
      </w:r>
      <w:r w:rsidRPr="00A80894">
        <w:rPr>
          <w:rFonts w:eastAsia="Times New Roman" w:cs="Times New Roman"/>
          <w:lang w:eastAsia="de-DE"/>
        </w:rPr>
        <w:t xml:space="preserve">„Erbteil" mit Suffix 1. Person Plural „unser Erbteil"), </w:t>
      </w:r>
      <w:r w:rsidRPr="00A80894">
        <w:rPr>
          <w:rFonts w:eastAsia="Times New Roman" w:cs="Times New Roman"/>
          <w:b/>
          <w:bCs/>
          <w:rtl/>
          <w:lang w:eastAsia="de-DE"/>
        </w:rPr>
        <w:t>אֵלֵינוּ</w:t>
      </w:r>
      <w:r w:rsidRPr="00A80894">
        <w:rPr>
          <w:rFonts w:eastAsia="Times New Roman" w:cs="Times New Roman"/>
          <w:rtl/>
          <w:lang w:eastAsia="de-DE"/>
        </w:rPr>
        <w:t xml:space="preserve"> </w:t>
      </w:r>
      <w:r w:rsidRPr="00A80894">
        <w:rPr>
          <w:rFonts w:eastAsia="Times New Roman" w:cs="Times New Roman"/>
          <w:lang w:eastAsia="de-DE"/>
        </w:rPr>
        <w:t xml:space="preserve">(Präposition mit Suffix 1. Person Plural „zu uns"), </w:t>
      </w:r>
      <w:r w:rsidRPr="00A80894">
        <w:rPr>
          <w:rFonts w:eastAsia="Times New Roman" w:cs="Times New Roman"/>
          <w:b/>
          <w:bCs/>
          <w:rtl/>
          <w:lang w:eastAsia="de-DE"/>
        </w:rPr>
        <w:t>מֵעֵבֶר הַיַּרְדֵּן מִזְרָחָה</w:t>
      </w:r>
      <w:r w:rsidRPr="00A80894">
        <w:rPr>
          <w:rFonts w:eastAsia="Times New Roman" w:cs="Times New Roman"/>
          <w:rtl/>
          <w:lang w:eastAsia="de-DE"/>
        </w:rPr>
        <w:t xml:space="preserve"> </w:t>
      </w:r>
      <w:r w:rsidRPr="00A80894">
        <w:rPr>
          <w:rFonts w:eastAsia="Times New Roman" w:cs="Times New Roman"/>
          <w:lang w:eastAsia="de-DE"/>
        </w:rPr>
        <w:t xml:space="preserve">(Präposition </w:t>
      </w:r>
      <w:r w:rsidRPr="00A80894">
        <w:rPr>
          <w:rFonts w:eastAsia="Times New Roman" w:cs="Times New Roman"/>
          <w:b/>
          <w:bCs/>
          <w:rtl/>
          <w:lang w:eastAsia="de-DE"/>
        </w:rPr>
        <w:t>מִן</w:t>
      </w:r>
      <w:r w:rsidRPr="00A80894">
        <w:rPr>
          <w:rFonts w:eastAsia="Times New Roman" w:cs="Times New Roman"/>
          <w:rtl/>
          <w:lang w:eastAsia="de-DE"/>
        </w:rPr>
        <w:t xml:space="preserve"> </w:t>
      </w:r>
      <w:r w:rsidRPr="00A80894">
        <w:rPr>
          <w:rFonts w:eastAsia="Times New Roman" w:cs="Times New Roman"/>
          <w:lang w:eastAsia="de-DE"/>
        </w:rPr>
        <w:t xml:space="preserve">mit </w:t>
      </w:r>
      <w:r w:rsidRPr="00A80894">
        <w:rPr>
          <w:rFonts w:eastAsia="Times New Roman" w:cs="Times New Roman"/>
          <w:b/>
          <w:bCs/>
          <w:rtl/>
          <w:lang w:eastAsia="de-DE"/>
        </w:rPr>
        <w:t>עֵבֶר הַיַּרְדֵּן</w:t>
      </w:r>
      <w:r w:rsidRPr="00A80894">
        <w:rPr>
          <w:rFonts w:eastAsia="Times New Roman" w:cs="Times New Roman"/>
          <w:rtl/>
          <w:lang w:eastAsia="de-DE"/>
        </w:rPr>
        <w:t xml:space="preserve"> </w:t>
      </w:r>
      <w:r w:rsidRPr="00A80894">
        <w:rPr>
          <w:rFonts w:eastAsia="Times New Roman" w:cs="Times New Roman"/>
          <w:lang w:eastAsia="de-DE"/>
        </w:rPr>
        <w:t xml:space="preserve">„von der Seite des Jordan" und </w:t>
      </w:r>
      <w:r w:rsidRPr="00A80894">
        <w:rPr>
          <w:rFonts w:eastAsia="Times New Roman" w:cs="Times New Roman"/>
          <w:b/>
          <w:bCs/>
          <w:rtl/>
          <w:lang w:eastAsia="de-DE"/>
        </w:rPr>
        <w:t>מִזְרָחָה</w:t>
      </w:r>
      <w:r w:rsidRPr="00A80894">
        <w:rPr>
          <w:rFonts w:eastAsia="Times New Roman" w:cs="Times New Roman"/>
          <w:rtl/>
          <w:lang w:eastAsia="de-DE"/>
        </w:rPr>
        <w:t xml:space="preserve"> </w:t>
      </w:r>
      <w:r w:rsidRPr="00A80894">
        <w:rPr>
          <w:rFonts w:eastAsia="Times New Roman" w:cs="Times New Roman"/>
          <w:lang w:eastAsia="de-DE"/>
        </w:rPr>
        <w:t>„ostwärts, gegen Sonnenaufgang" „diesseits des Jordan ostwärts").</w:t>
      </w:r>
    </w:p>
    <w:p w14:paraId="69862728"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Die Satzstruktur zeigt zwei kausale Sätze, die die Verzichtserklärung und ihre Begründung enthalten.</w:t>
      </w:r>
    </w:p>
    <w:p w14:paraId="5A991427" w14:textId="77777777" w:rsidR="00A80894" w:rsidRPr="00A80894" w:rsidRDefault="00A80894" w:rsidP="00A80894">
      <w:pPr>
        <w:spacing w:before="100" w:beforeAutospacing="1" w:after="100" w:afterAutospacing="1" w:line="240" w:lineRule="auto"/>
        <w:rPr>
          <w:rFonts w:eastAsia="Times New Roman" w:cs="Times New Roman"/>
          <w:lang w:eastAsia="de-DE"/>
        </w:rPr>
      </w:pPr>
      <w:r w:rsidRPr="00A80894">
        <w:rPr>
          <w:rFonts w:eastAsia="Times New Roman" w:cs="Times New Roman"/>
          <w:lang w:eastAsia="de-DE"/>
        </w:rPr>
        <w:t>Der Vers klärt: Gad und Ruben verzichten auf Land westlich des Jordan, weil ihr Erbteil bereits im Ostjordanland liegt - eine wichtige Klarstellung, dass sie nicht mehr Land wollen, sondern nur im bereits eroberten Gebiet bleiben möchten.</w:t>
      </w:r>
    </w:p>
    <w:p w14:paraId="62ADC6CB"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32,20</w:t>
      </w:r>
    </w:p>
    <w:p w14:paraId="3FB04365"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וַיֹּ֤אמֶר אֲלֵיהֶם֙ מֹשֶׁ֔ה אִֽם־תַּעֲשׂ֖וּן אֶת־הַדָּבָ֣ר הַזֶּ֑ה אִם־תֵּחָ֥לְצ֛וּ לִפְנֵ֥י יְהוָ֖ה לַמִּלְחָמָֽה׃</w:t>
      </w:r>
    </w:p>
    <w:p w14:paraId="681657E0"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Mosche sprach zu ihnen: „Wenn ihr dieses tun wollt, wenn ihr euch vor dem Ewigen zum Kriege rüsten wollt,</w:t>
      </w:r>
    </w:p>
    <w:p w14:paraId="3C361294"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0DAEF1F3">
          <v:rect id="_x0000_i2006" style="width:0;height:1.5pt" o:hralign="center" o:hrstd="t" o:hr="t" fillcolor="#a0a0a0" stroked="f"/>
        </w:pict>
      </w:r>
    </w:p>
    <w:p w14:paraId="0173885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beginnt Moses bedingte Zustimmung. </w:t>
      </w:r>
      <w:r w:rsidRPr="00C71054">
        <w:rPr>
          <w:rFonts w:eastAsia="Times New Roman" w:cs="Times New Roman"/>
          <w:b/>
          <w:bCs/>
          <w:rtl/>
          <w:lang w:eastAsia="de-DE"/>
        </w:rPr>
        <w:t>וַיֹּאמֶר אֲלֵיהֶם מֹשֶׁה</w:t>
      </w:r>
      <w:r w:rsidRPr="00C71054">
        <w:rPr>
          <w:rFonts w:eastAsia="Times New Roman" w:cs="Times New Roman"/>
          <w:rtl/>
          <w:lang w:eastAsia="de-DE"/>
        </w:rPr>
        <w:t xml:space="preserve"> </w:t>
      </w:r>
      <w:r w:rsidRPr="00C71054">
        <w:rPr>
          <w:rFonts w:eastAsia="Times New Roman" w:cs="Times New Roman"/>
          <w:lang w:eastAsia="de-DE"/>
        </w:rPr>
        <w:t xml:space="preserve">ist die Redeeinleitung. </w:t>
      </w:r>
      <w:r w:rsidRPr="00C71054">
        <w:rPr>
          <w:rFonts w:eastAsia="Times New Roman" w:cs="Times New Roman"/>
          <w:b/>
          <w:bCs/>
          <w:rtl/>
          <w:lang w:eastAsia="de-DE"/>
        </w:rPr>
        <w:t>אִם־תַּעֲשׂוּן אֶת־הַדָּבָר הַזֶּה</w:t>
      </w:r>
      <w:r w:rsidRPr="00C71054">
        <w:rPr>
          <w:rFonts w:eastAsia="Times New Roman" w:cs="Times New Roman"/>
          <w:rtl/>
          <w:lang w:eastAsia="de-DE"/>
        </w:rPr>
        <w:t xml:space="preserve"> </w:t>
      </w:r>
      <w:r w:rsidRPr="00C71054">
        <w:rPr>
          <w:rFonts w:eastAsia="Times New Roman" w:cs="Times New Roman"/>
          <w:lang w:eastAsia="de-DE"/>
        </w:rPr>
        <w:t xml:space="preserve">ist die erste Bedingung. </w:t>
      </w:r>
      <w:r w:rsidRPr="00C71054">
        <w:rPr>
          <w:rFonts w:eastAsia="Times New Roman" w:cs="Times New Roman"/>
          <w:b/>
          <w:bCs/>
          <w:rtl/>
          <w:lang w:eastAsia="de-DE"/>
        </w:rPr>
        <w:t>אִם</w:t>
      </w:r>
      <w:r w:rsidRPr="00C71054">
        <w:rPr>
          <w:rFonts w:eastAsia="Times New Roman" w:cs="Times New Roman"/>
          <w:rtl/>
          <w:lang w:eastAsia="de-DE"/>
        </w:rPr>
        <w:t xml:space="preserve"> </w:t>
      </w:r>
      <w:r w:rsidRPr="00C71054">
        <w:rPr>
          <w:rFonts w:eastAsia="Times New Roman" w:cs="Times New Roman"/>
          <w:lang w:eastAsia="de-DE"/>
        </w:rPr>
        <w:t xml:space="preserve">(konditionale Konjunktion „wenn"), </w:t>
      </w:r>
      <w:r w:rsidRPr="00C71054">
        <w:rPr>
          <w:rFonts w:eastAsia="Times New Roman" w:cs="Times New Roman"/>
          <w:b/>
          <w:bCs/>
          <w:rtl/>
          <w:lang w:eastAsia="de-DE"/>
        </w:rPr>
        <w:t>תַּעֲשׂוּן</w:t>
      </w:r>
      <w:r w:rsidRPr="00C71054">
        <w:rPr>
          <w:rFonts w:eastAsia="Times New Roman" w:cs="Times New Roman"/>
          <w:rtl/>
          <w:lang w:eastAsia="de-DE"/>
        </w:rPr>
        <w:t xml:space="preserve"> </w:t>
      </w:r>
      <w:r w:rsidRPr="00C71054">
        <w:rPr>
          <w:rFonts w:eastAsia="Times New Roman" w:cs="Times New Roman"/>
          <w:lang w:eastAsia="de-DE"/>
        </w:rPr>
        <w:t xml:space="preserve">(Qal Imperfekt 2. Person maskulin Plural von </w:t>
      </w:r>
      <w:r w:rsidRPr="00C71054">
        <w:rPr>
          <w:rFonts w:eastAsia="Times New Roman" w:cs="Times New Roman"/>
          <w:b/>
          <w:bCs/>
          <w:rtl/>
          <w:lang w:eastAsia="de-DE"/>
        </w:rPr>
        <w:t>עשׂה</w:t>
      </w:r>
      <w:r w:rsidRPr="00C71054">
        <w:rPr>
          <w:rFonts w:eastAsia="Times New Roman" w:cs="Times New Roman"/>
          <w:rtl/>
          <w:lang w:eastAsia="de-DE"/>
        </w:rPr>
        <w:t xml:space="preserve"> </w:t>
      </w:r>
      <w:r w:rsidRPr="00C71054">
        <w:rPr>
          <w:rFonts w:eastAsia="Times New Roman" w:cs="Times New Roman"/>
          <w:lang w:eastAsia="de-DE"/>
        </w:rPr>
        <w:t xml:space="preserve">„tun" mit Paragogischem Nun), </w:t>
      </w:r>
      <w:r w:rsidRPr="00C71054">
        <w:rPr>
          <w:rFonts w:eastAsia="Times New Roman" w:cs="Times New Roman"/>
          <w:b/>
          <w:bCs/>
          <w:rtl/>
          <w:lang w:eastAsia="de-DE"/>
        </w:rPr>
        <w:t>אֶת־הַדָּבָר הַזֶּה</w:t>
      </w:r>
      <w:r w:rsidRPr="00C71054">
        <w:rPr>
          <w:rFonts w:eastAsia="Times New Roman" w:cs="Times New Roman"/>
          <w:rtl/>
          <w:lang w:eastAsia="de-DE"/>
        </w:rPr>
        <w:t xml:space="preserve"> </w:t>
      </w:r>
      <w:r w:rsidRPr="00C71054">
        <w:rPr>
          <w:rFonts w:eastAsia="Times New Roman" w:cs="Times New Roman"/>
          <w:lang w:eastAsia="de-DE"/>
        </w:rPr>
        <w:t xml:space="preserve">(Akkusativpartikel mit </w:t>
      </w:r>
      <w:r w:rsidRPr="00C71054">
        <w:rPr>
          <w:rFonts w:eastAsia="Times New Roman" w:cs="Times New Roman"/>
          <w:b/>
          <w:bCs/>
          <w:rtl/>
          <w:lang w:eastAsia="de-DE"/>
        </w:rPr>
        <w:t>דָּבָר</w:t>
      </w:r>
      <w:r w:rsidRPr="00C71054">
        <w:rPr>
          <w:rFonts w:eastAsia="Times New Roman" w:cs="Times New Roman"/>
          <w:rtl/>
          <w:lang w:eastAsia="de-DE"/>
        </w:rPr>
        <w:t xml:space="preserve"> </w:t>
      </w:r>
      <w:r w:rsidRPr="00C71054">
        <w:rPr>
          <w:rFonts w:eastAsia="Times New Roman" w:cs="Times New Roman"/>
          <w:lang w:eastAsia="de-DE"/>
        </w:rPr>
        <w:t xml:space="preserve">„Sache, Wort" mit Artikel und Demonstrativpronomen </w:t>
      </w:r>
      <w:r w:rsidRPr="00C71054">
        <w:rPr>
          <w:rFonts w:eastAsia="Times New Roman" w:cs="Times New Roman"/>
          <w:b/>
          <w:bCs/>
          <w:rtl/>
          <w:lang w:eastAsia="de-DE"/>
        </w:rPr>
        <w:t>זֶה</w:t>
      </w:r>
      <w:r w:rsidRPr="00C71054">
        <w:rPr>
          <w:rFonts w:eastAsia="Times New Roman" w:cs="Times New Roman"/>
          <w:rtl/>
          <w:lang w:eastAsia="de-DE"/>
        </w:rPr>
        <w:t xml:space="preserve"> </w:t>
      </w:r>
      <w:r w:rsidRPr="00C71054">
        <w:rPr>
          <w:rFonts w:eastAsia="Times New Roman" w:cs="Times New Roman"/>
          <w:lang w:eastAsia="de-DE"/>
        </w:rPr>
        <w:t xml:space="preserve">„dieses" „diese Sache"). </w:t>
      </w:r>
      <w:r w:rsidRPr="00C71054">
        <w:rPr>
          <w:rFonts w:eastAsia="Times New Roman" w:cs="Times New Roman"/>
          <w:b/>
          <w:bCs/>
          <w:rtl/>
          <w:lang w:eastAsia="de-DE"/>
        </w:rPr>
        <w:t>אִם־תֵּחָלְצוּ לִפְנֵי יהוה לַמִּלְחָמָה</w:t>
      </w:r>
      <w:r w:rsidRPr="00C71054">
        <w:rPr>
          <w:rFonts w:eastAsia="Times New Roman" w:cs="Times New Roman"/>
          <w:rtl/>
          <w:lang w:eastAsia="de-DE"/>
        </w:rPr>
        <w:t xml:space="preserve"> </w:t>
      </w:r>
      <w:r w:rsidRPr="00C71054">
        <w:rPr>
          <w:rFonts w:eastAsia="Times New Roman" w:cs="Times New Roman"/>
          <w:lang w:eastAsia="de-DE"/>
        </w:rPr>
        <w:t xml:space="preserve">ist die Spezifizierung. </w:t>
      </w:r>
      <w:r w:rsidRPr="00C71054">
        <w:rPr>
          <w:rFonts w:eastAsia="Times New Roman" w:cs="Times New Roman"/>
          <w:b/>
          <w:bCs/>
          <w:rtl/>
          <w:lang w:eastAsia="de-DE"/>
        </w:rPr>
        <w:t>אִם</w:t>
      </w:r>
      <w:r w:rsidRPr="00C71054">
        <w:rPr>
          <w:rFonts w:eastAsia="Times New Roman" w:cs="Times New Roman"/>
          <w:rtl/>
          <w:lang w:eastAsia="de-DE"/>
        </w:rPr>
        <w:t xml:space="preserve"> </w:t>
      </w:r>
      <w:r w:rsidRPr="00C71054">
        <w:rPr>
          <w:rFonts w:eastAsia="Times New Roman" w:cs="Times New Roman"/>
          <w:lang w:eastAsia="de-DE"/>
        </w:rPr>
        <w:t xml:space="preserve">wiederholt die konditionale Partikel, </w:t>
      </w:r>
      <w:r w:rsidRPr="00C71054">
        <w:rPr>
          <w:rFonts w:eastAsia="Times New Roman" w:cs="Times New Roman"/>
          <w:b/>
          <w:bCs/>
          <w:rtl/>
          <w:lang w:eastAsia="de-DE"/>
        </w:rPr>
        <w:t>תֵּחָלְצוּ</w:t>
      </w:r>
      <w:r w:rsidRPr="00C71054">
        <w:rPr>
          <w:rFonts w:eastAsia="Times New Roman" w:cs="Times New Roman"/>
          <w:rtl/>
          <w:lang w:eastAsia="de-DE"/>
        </w:rPr>
        <w:t xml:space="preserve"> </w:t>
      </w:r>
      <w:r w:rsidRPr="00C71054">
        <w:rPr>
          <w:rFonts w:eastAsia="Times New Roman" w:cs="Times New Roman"/>
          <w:lang w:eastAsia="de-DE"/>
        </w:rPr>
        <w:t xml:space="preserve">(Niphal Imperfekt 2. Person Plural von </w:t>
      </w:r>
      <w:r w:rsidRPr="00C71054">
        <w:rPr>
          <w:rFonts w:eastAsia="Times New Roman" w:cs="Times New Roman"/>
          <w:b/>
          <w:bCs/>
          <w:rtl/>
          <w:lang w:eastAsia="de-DE"/>
        </w:rPr>
        <w:t>חלץ</w:t>
      </w:r>
      <w:r w:rsidRPr="00C71054">
        <w:rPr>
          <w:rFonts w:eastAsia="Times New Roman" w:cs="Times New Roman"/>
          <w:rtl/>
          <w:lang w:eastAsia="de-DE"/>
        </w:rPr>
        <w:t xml:space="preserve"> </w:t>
      </w:r>
      <w:r w:rsidRPr="00C71054">
        <w:rPr>
          <w:rFonts w:eastAsia="Times New Roman" w:cs="Times New Roman"/>
          <w:lang w:eastAsia="de-DE"/>
        </w:rPr>
        <w:t xml:space="preserve">„sich rüsten, sich bewaffnen"), </w:t>
      </w:r>
      <w:r w:rsidRPr="00C71054">
        <w:rPr>
          <w:rFonts w:eastAsia="Times New Roman" w:cs="Times New Roman"/>
          <w:b/>
          <w:bCs/>
          <w:rtl/>
          <w:lang w:eastAsia="de-DE"/>
        </w:rPr>
        <w:t>לִפְנֵי יהוה</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לִפְנֵי</w:t>
      </w:r>
      <w:r w:rsidRPr="00C71054">
        <w:rPr>
          <w:rFonts w:eastAsia="Times New Roman" w:cs="Times New Roman"/>
          <w:rtl/>
          <w:lang w:eastAsia="de-DE"/>
        </w:rPr>
        <w:t xml:space="preserve"> </w:t>
      </w:r>
      <w:r w:rsidRPr="00C71054">
        <w:rPr>
          <w:rFonts w:eastAsia="Times New Roman" w:cs="Times New Roman"/>
          <w:lang w:eastAsia="de-DE"/>
        </w:rPr>
        <w:t xml:space="preserve">„vor" mit Tetragramm „vor dem Ewigen"), </w:t>
      </w:r>
      <w:r w:rsidRPr="00C71054">
        <w:rPr>
          <w:rFonts w:eastAsia="Times New Roman" w:cs="Times New Roman"/>
          <w:b/>
          <w:bCs/>
          <w:rtl/>
          <w:lang w:eastAsia="de-DE"/>
        </w:rPr>
        <w:t>לַמִּלְחָמָה</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לְ</w:t>
      </w:r>
      <w:r w:rsidRPr="00C71054">
        <w:rPr>
          <w:rFonts w:eastAsia="Times New Roman" w:cs="Times New Roman"/>
          <w:rtl/>
          <w:lang w:eastAsia="de-DE"/>
        </w:rPr>
        <w:t xml:space="preserve"> </w:t>
      </w:r>
      <w:r w:rsidRPr="00C71054">
        <w:rPr>
          <w:rFonts w:eastAsia="Times New Roman" w:cs="Times New Roman"/>
          <w:lang w:eastAsia="de-DE"/>
        </w:rPr>
        <w:t xml:space="preserve">mit </w:t>
      </w:r>
      <w:r w:rsidRPr="00C71054">
        <w:rPr>
          <w:rFonts w:eastAsia="Times New Roman" w:cs="Times New Roman"/>
          <w:b/>
          <w:bCs/>
          <w:rtl/>
          <w:lang w:eastAsia="de-DE"/>
        </w:rPr>
        <w:t>מִלְחָמָה</w:t>
      </w:r>
      <w:r w:rsidRPr="00C71054">
        <w:rPr>
          <w:rFonts w:eastAsia="Times New Roman" w:cs="Times New Roman"/>
          <w:rtl/>
          <w:lang w:eastAsia="de-DE"/>
        </w:rPr>
        <w:t xml:space="preserve"> </w:t>
      </w:r>
      <w:r w:rsidRPr="00C71054">
        <w:rPr>
          <w:rFonts w:eastAsia="Times New Roman" w:cs="Times New Roman"/>
          <w:lang w:eastAsia="de-DE"/>
        </w:rPr>
        <w:t xml:space="preserve">„Krieg" mit Artikel „zum Krieg"). Die Formulierung </w:t>
      </w:r>
      <w:r w:rsidRPr="00C71054">
        <w:rPr>
          <w:rFonts w:eastAsia="Times New Roman" w:cs="Times New Roman"/>
          <w:b/>
          <w:bCs/>
          <w:rtl/>
          <w:lang w:eastAsia="de-DE"/>
        </w:rPr>
        <w:t>לִפְנֵי יהוה</w:t>
      </w:r>
      <w:r w:rsidRPr="00C71054">
        <w:rPr>
          <w:rFonts w:eastAsia="Times New Roman" w:cs="Times New Roman"/>
          <w:rtl/>
          <w:lang w:eastAsia="de-DE"/>
        </w:rPr>
        <w:t xml:space="preserve"> </w:t>
      </w:r>
      <w:r w:rsidRPr="00C71054">
        <w:rPr>
          <w:rFonts w:eastAsia="Times New Roman" w:cs="Times New Roman"/>
          <w:lang w:eastAsia="de-DE"/>
        </w:rPr>
        <w:t>betont, dass dies ein heiliger Krieg ist.</w:t>
      </w:r>
    </w:p>
    <w:p w14:paraId="0B9B0423"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eine Redeeinleitung, gefolgt von zwei konditionalen Protasen (wenn-Sätze).</w:t>
      </w:r>
    </w:p>
    <w:p w14:paraId="54FA5DF3"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 xml:space="preserve">Der Vers zeigt Moses vorsichtige Öffnung: Er ist bereit zu verhandeln, aber stellt klare Bedingungen - die Rüstung zum Krieg muss </w:t>
      </w:r>
      <w:r w:rsidRPr="00C71054">
        <w:rPr>
          <w:rFonts w:eastAsia="Times New Roman" w:cs="Times New Roman"/>
          <w:b/>
          <w:bCs/>
          <w:lang w:eastAsia="de-DE"/>
        </w:rPr>
        <w:t>vor dem Ewigen</w:t>
      </w:r>
      <w:r w:rsidRPr="00C71054">
        <w:rPr>
          <w:rFonts w:eastAsia="Times New Roman" w:cs="Times New Roman"/>
          <w:lang w:eastAsia="de-DE"/>
        </w:rPr>
        <w:t xml:space="preserve"> geschehen, d.h. im Dienst Gottes.</w:t>
      </w:r>
    </w:p>
    <w:p w14:paraId="23F305B3"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32,21</w:t>
      </w:r>
    </w:p>
    <w:p w14:paraId="3D2E7660"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וְעָבַ֨ר לָכֶ֧ם כָּל־חָל֛וּץ אֶת־הַיַּרְדֵּ֖ן לִפְנֵ֣י יְהוָ֑ה עַ֧ד הוֹרִישׁ֛וֹ אֶת־אֹיְבָ֖יו מִפָּנָֽיו׃</w:t>
      </w:r>
    </w:p>
    <w:p w14:paraId="3A800C4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alle unter euch, die gerüstet sind, vor dem Ewigen über den Jarden ziehen, bis er seine Feinde vor sich her vertrieben hat,</w:t>
      </w:r>
    </w:p>
    <w:p w14:paraId="5D62E91C"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lastRenderedPageBreak/>
        <w:pict w14:anchorId="0B84AB95">
          <v:rect id="_x0000_i2007" style="width:0;height:1.5pt" o:hralign="center" o:hrstd="t" o:hr="t" fillcolor="#a0a0a0" stroked="f"/>
        </w:pict>
      </w:r>
    </w:p>
    <w:p w14:paraId="3695CCA9"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setzt die Bedingungen fort. </w:t>
      </w:r>
      <w:r w:rsidRPr="00C71054">
        <w:rPr>
          <w:rFonts w:eastAsia="Times New Roman" w:cs="Times New Roman"/>
          <w:b/>
          <w:bCs/>
          <w:rtl/>
          <w:lang w:eastAsia="de-DE"/>
        </w:rPr>
        <w:t>וְעָבַר לָכֶם כָּל־חָלוּץ אֶת־הַיַּרְדֵּן לִפְנֵי יהוה</w:t>
      </w:r>
      <w:r w:rsidRPr="00C71054">
        <w:rPr>
          <w:rFonts w:eastAsia="Times New Roman" w:cs="Times New Roman"/>
          <w:rtl/>
          <w:lang w:eastAsia="de-DE"/>
        </w:rPr>
        <w:t xml:space="preserve"> </w:t>
      </w:r>
      <w:r w:rsidRPr="00C71054">
        <w:rPr>
          <w:rFonts w:eastAsia="Times New Roman" w:cs="Times New Roman"/>
          <w:lang w:eastAsia="de-DE"/>
        </w:rPr>
        <w:t xml:space="preserve">ist die zweite Bedingung. </w:t>
      </w:r>
      <w:r w:rsidRPr="00C71054">
        <w:rPr>
          <w:rFonts w:eastAsia="Times New Roman" w:cs="Times New Roman"/>
          <w:b/>
          <w:bCs/>
          <w:rtl/>
          <w:lang w:eastAsia="de-DE"/>
        </w:rPr>
        <w:t>וְעָבַר</w:t>
      </w:r>
      <w:r w:rsidRPr="00C71054">
        <w:rPr>
          <w:rFonts w:eastAsia="Times New Roman" w:cs="Times New Roman"/>
          <w:rtl/>
          <w:lang w:eastAsia="de-DE"/>
        </w:rPr>
        <w:t xml:space="preserve"> </w:t>
      </w:r>
      <w:r w:rsidRPr="00C71054">
        <w:rPr>
          <w:rFonts w:eastAsia="Times New Roman" w:cs="Times New Roman"/>
          <w:lang w:eastAsia="de-DE"/>
        </w:rPr>
        <w:t xml:space="preserve">(Qal Perfekt 3. Person maskulin Singular mit Waw consecutivum von </w:t>
      </w:r>
      <w:r w:rsidRPr="00C71054">
        <w:rPr>
          <w:rFonts w:eastAsia="Times New Roman" w:cs="Times New Roman"/>
          <w:b/>
          <w:bCs/>
          <w:rtl/>
          <w:lang w:eastAsia="de-DE"/>
        </w:rPr>
        <w:t>עבר</w:t>
      </w:r>
      <w:r w:rsidRPr="00C71054">
        <w:rPr>
          <w:rFonts w:eastAsia="Times New Roman" w:cs="Times New Roman"/>
          <w:rtl/>
          <w:lang w:eastAsia="de-DE"/>
        </w:rPr>
        <w:t xml:space="preserve"> </w:t>
      </w:r>
      <w:r w:rsidRPr="00C71054">
        <w:rPr>
          <w:rFonts w:eastAsia="Times New Roman" w:cs="Times New Roman"/>
          <w:lang w:eastAsia="de-DE"/>
        </w:rPr>
        <w:t xml:space="preserve">„hinüberziehen"), </w:t>
      </w:r>
      <w:r w:rsidRPr="00C71054">
        <w:rPr>
          <w:rFonts w:eastAsia="Times New Roman" w:cs="Times New Roman"/>
          <w:b/>
          <w:bCs/>
          <w:rtl/>
          <w:lang w:eastAsia="de-DE"/>
        </w:rPr>
        <w:t>לָכֶם</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לְ</w:t>
      </w:r>
      <w:r w:rsidRPr="00C71054">
        <w:rPr>
          <w:rFonts w:eastAsia="Times New Roman" w:cs="Times New Roman"/>
          <w:rtl/>
          <w:lang w:eastAsia="de-DE"/>
        </w:rPr>
        <w:t xml:space="preserve"> </w:t>
      </w:r>
      <w:r w:rsidRPr="00C71054">
        <w:rPr>
          <w:rFonts w:eastAsia="Times New Roman" w:cs="Times New Roman"/>
          <w:lang w:eastAsia="de-DE"/>
        </w:rPr>
        <w:t xml:space="preserve">mit Suffix 2. Person Plural - hier ethischer Dativ oder „von euch"), </w:t>
      </w:r>
      <w:r w:rsidRPr="00C71054">
        <w:rPr>
          <w:rFonts w:eastAsia="Times New Roman" w:cs="Times New Roman"/>
          <w:b/>
          <w:bCs/>
          <w:rtl/>
          <w:lang w:eastAsia="de-DE"/>
        </w:rPr>
        <w:t>כָּל־חָלוּץ</w:t>
      </w:r>
      <w:r w:rsidRPr="00C71054">
        <w:rPr>
          <w:rFonts w:eastAsia="Times New Roman" w:cs="Times New Roman"/>
          <w:rtl/>
          <w:lang w:eastAsia="de-DE"/>
        </w:rPr>
        <w:t xml:space="preserve"> </w:t>
      </w:r>
      <w:r w:rsidRPr="00C71054">
        <w:rPr>
          <w:rFonts w:eastAsia="Times New Roman" w:cs="Times New Roman"/>
          <w:lang w:eastAsia="de-DE"/>
        </w:rPr>
        <w:t>(</w:t>
      </w:r>
      <w:r w:rsidRPr="00C71054">
        <w:rPr>
          <w:rFonts w:eastAsia="Times New Roman" w:cs="Times New Roman"/>
          <w:b/>
          <w:bCs/>
          <w:rtl/>
          <w:lang w:eastAsia="de-DE"/>
        </w:rPr>
        <w:t>כֹּל</w:t>
      </w:r>
      <w:r w:rsidRPr="00C71054">
        <w:rPr>
          <w:rFonts w:eastAsia="Times New Roman" w:cs="Times New Roman"/>
          <w:rtl/>
          <w:lang w:eastAsia="de-DE"/>
        </w:rPr>
        <w:t xml:space="preserve"> </w:t>
      </w:r>
      <w:r w:rsidRPr="00C71054">
        <w:rPr>
          <w:rFonts w:eastAsia="Times New Roman" w:cs="Times New Roman"/>
          <w:lang w:eastAsia="de-DE"/>
        </w:rPr>
        <w:t xml:space="preserve">„jeder" mit </w:t>
      </w:r>
      <w:r w:rsidRPr="00C71054">
        <w:rPr>
          <w:rFonts w:eastAsia="Times New Roman" w:cs="Times New Roman"/>
          <w:b/>
          <w:bCs/>
          <w:rtl/>
          <w:lang w:eastAsia="de-DE"/>
        </w:rPr>
        <w:t>חָלוּץ</w:t>
      </w:r>
      <w:r w:rsidRPr="00C71054">
        <w:rPr>
          <w:rFonts w:eastAsia="Times New Roman" w:cs="Times New Roman"/>
          <w:rtl/>
          <w:lang w:eastAsia="de-DE"/>
        </w:rPr>
        <w:t xml:space="preserve"> </w:t>
      </w:r>
      <w:r w:rsidRPr="00C71054">
        <w:rPr>
          <w:rFonts w:eastAsia="Times New Roman" w:cs="Times New Roman"/>
          <w:lang w:eastAsia="de-DE"/>
        </w:rPr>
        <w:t xml:space="preserve">Qal Passiv-Partizip von </w:t>
      </w:r>
      <w:r w:rsidRPr="00C71054">
        <w:rPr>
          <w:rFonts w:eastAsia="Times New Roman" w:cs="Times New Roman"/>
          <w:b/>
          <w:bCs/>
          <w:rtl/>
          <w:lang w:eastAsia="de-DE"/>
        </w:rPr>
        <w:t>חלץ</w:t>
      </w:r>
      <w:r w:rsidRPr="00C71054">
        <w:rPr>
          <w:rFonts w:eastAsia="Times New Roman" w:cs="Times New Roman"/>
          <w:rtl/>
          <w:lang w:eastAsia="de-DE"/>
        </w:rPr>
        <w:t xml:space="preserve"> </w:t>
      </w:r>
      <w:r w:rsidRPr="00C71054">
        <w:rPr>
          <w:rFonts w:eastAsia="Times New Roman" w:cs="Times New Roman"/>
          <w:lang w:eastAsia="de-DE"/>
        </w:rPr>
        <w:t xml:space="preserve">„gerüstet, bewaffnet" „jeder Gerüstete"), </w:t>
      </w:r>
      <w:r w:rsidRPr="00C71054">
        <w:rPr>
          <w:rFonts w:eastAsia="Times New Roman" w:cs="Times New Roman"/>
          <w:b/>
          <w:bCs/>
          <w:rtl/>
          <w:lang w:eastAsia="de-DE"/>
        </w:rPr>
        <w:t>אֶת־הַיַּרְדֵּן</w:t>
      </w:r>
      <w:r w:rsidRPr="00C71054">
        <w:rPr>
          <w:rFonts w:eastAsia="Times New Roman" w:cs="Times New Roman"/>
          <w:rtl/>
          <w:lang w:eastAsia="de-DE"/>
        </w:rPr>
        <w:t xml:space="preserve"> </w:t>
      </w:r>
      <w:r w:rsidRPr="00C71054">
        <w:rPr>
          <w:rFonts w:eastAsia="Times New Roman" w:cs="Times New Roman"/>
          <w:lang w:eastAsia="de-DE"/>
        </w:rPr>
        <w:t xml:space="preserve">(Akkusativpartikel mit </w:t>
      </w:r>
      <w:r w:rsidRPr="00C71054">
        <w:rPr>
          <w:rFonts w:eastAsia="Times New Roman" w:cs="Times New Roman"/>
          <w:b/>
          <w:bCs/>
          <w:rtl/>
          <w:lang w:eastAsia="de-DE"/>
        </w:rPr>
        <w:t>יַרְדֵּן</w:t>
      </w:r>
      <w:r w:rsidRPr="00C71054">
        <w:rPr>
          <w:rFonts w:eastAsia="Times New Roman" w:cs="Times New Roman"/>
          <w:rtl/>
          <w:lang w:eastAsia="de-DE"/>
        </w:rPr>
        <w:t xml:space="preserve"> </w:t>
      </w:r>
      <w:r w:rsidRPr="00C71054">
        <w:rPr>
          <w:rFonts w:eastAsia="Times New Roman" w:cs="Times New Roman"/>
          <w:lang w:eastAsia="de-DE"/>
        </w:rPr>
        <w:t xml:space="preserve">mit Artikel „den Jordan"), </w:t>
      </w:r>
      <w:r w:rsidRPr="00C71054">
        <w:rPr>
          <w:rFonts w:eastAsia="Times New Roman" w:cs="Times New Roman"/>
          <w:b/>
          <w:bCs/>
          <w:rtl/>
          <w:lang w:eastAsia="de-DE"/>
        </w:rPr>
        <w:t>לִפְנֵי יהוה</w:t>
      </w:r>
      <w:r w:rsidRPr="00C71054">
        <w:rPr>
          <w:rFonts w:eastAsia="Times New Roman" w:cs="Times New Roman"/>
          <w:rtl/>
          <w:lang w:eastAsia="de-DE"/>
        </w:rPr>
        <w:t xml:space="preserve"> </w:t>
      </w:r>
      <w:r w:rsidRPr="00C71054">
        <w:rPr>
          <w:rFonts w:eastAsia="Times New Roman" w:cs="Times New Roman"/>
          <w:lang w:eastAsia="de-DE"/>
        </w:rPr>
        <w:t>(wieder die Betonung „vor dem Ewigen").</w:t>
      </w:r>
    </w:p>
    <w:p w14:paraId="2BD9420B" w14:textId="63A7FBF5"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rtl/>
          <w:lang w:eastAsia="de-DE"/>
        </w:rPr>
        <w:t>עַד הוֹרִישׁוֹ אֶת־אֹיְבָיו מִפָּנָיו</w:t>
      </w:r>
      <w:r w:rsidRPr="00C71054">
        <w:rPr>
          <w:rFonts w:eastAsia="Times New Roman" w:cs="Times New Roman"/>
          <w:rtl/>
          <w:lang w:eastAsia="de-DE"/>
        </w:rPr>
        <w:t xml:space="preserve"> </w:t>
      </w:r>
      <w:r w:rsidRPr="00C71054">
        <w:rPr>
          <w:rFonts w:eastAsia="Times New Roman" w:cs="Times New Roman"/>
          <w:lang w:eastAsia="de-DE"/>
        </w:rPr>
        <w:t xml:space="preserve">gibt die Dauer an. </w:t>
      </w:r>
      <w:r w:rsidRPr="00C71054">
        <w:rPr>
          <w:rFonts w:eastAsia="Times New Roman" w:cs="Times New Roman"/>
          <w:b/>
          <w:bCs/>
          <w:rtl/>
          <w:lang w:eastAsia="de-DE"/>
        </w:rPr>
        <w:t>עַד</w:t>
      </w:r>
      <w:r w:rsidRPr="00C71054">
        <w:rPr>
          <w:rFonts w:eastAsia="Times New Roman" w:cs="Times New Roman"/>
          <w:rtl/>
          <w:lang w:eastAsia="de-DE"/>
        </w:rPr>
        <w:t xml:space="preserve"> </w:t>
      </w:r>
      <w:r w:rsidRPr="00C71054">
        <w:rPr>
          <w:rFonts w:eastAsia="Times New Roman" w:cs="Times New Roman"/>
          <w:lang w:eastAsia="de-DE"/>
        </w:rPr>
        <w:t xml:space="preserve">(temporale Präposition „bis"), </w:t>
      </w:r>
      <w:r w:rsidRPr="00C71054">
        <w:rPr>
          <w:rFonts w:eastAsia="Times New Roman" w:cs="Times New Roman"/>
          <w:b/>
          <w:bCs/>
          <w:rtl/>
          <w:lang w:eastAsia="de-DE"/>
        </w:rPr>
        <w:t>הוֹרִישׁוֹ</w:t>
      </w:r>
      <w:r w:rsidRPr="00C71054">
        <w:rPr>
          <w:rFonts w:eastAsia="Times New Roman" w:cs="Times New Roman"/>
          <w:rtl/>
          <w:lang w:eastAsia="de-DE"/>
        </w:rPr>
        <w:t xml:space="preserve"> </w:t>
      </w:r>
      <w:r w:rsidRPr="00C71054">
        <w:rPr>
          <w:rFonts w:eastAsia="Times New Roman" w:cs="Times New Roman"/>
          <w:lang w:eastAsia="de-DE"/>
        </w:rPr>
        <w:t xml:space="preserve">(Hiphil Infinitiv </w:t>
      </w:r>
      <w:r w:rsidR="00E031B3">
        <w:rPr>
          <w:rFonts w:eastAsia="Times New Roman" w:cs="Times New Roman"/>
          <w:lang w:eastAsia="de-DE"/>
        </w:rPr>
        <w:t>Constructus von</w:t>
      </w:r>
      <w:r w:rsidRPr="00C71054">
        <w:rPr>
          <w:rFonts w:eastAsia="Times New Roman" w:cs="Times New Roman"/>
          <w:lang w:eastAsia="de-DE"/>
        </w:rPr>
        <w:t xml:space="preserve"> </w:t>
      </w:r>
      <w:r w:rsidRPr="00C71054">
        <w:rPr>
          <w:rFonts w:eastAsia="Times New Roman" w:cs="Times New Roman"/>
          <w:b/>
          <w:bCs/>
          <w:rtl/>
          <w:lang w:eastAsia="de-DE"/>
        </w:rPr>
        <w:t>ירשׁ</w:t>
      </w:r>
      <w:r w:rsidRPr="00C71054">
        <w:rPr>
          <w:rFonts w:eastAsia="Times New Roman" w:cs="Times New Roman"/>
          <w:rtl/>
          <w:lang w:eastAsia="de-DE"/>
        </w:rPr>
        <w:t xml:space="preserve"> </w:t>
      </w:r>
      <w:r w:rsidRPr="00C71054">
        <w:rPr>
          <w:rFonts w:eastAsia="Times New Roman" w:cs="Times New Roman"/>
          <w:lang w:eastAsia="de-DE"/>
        </w:rPr>
        <w:t xml:space="preserve">„vertreiben, in Besitz nehmen" mit Suffix 3. Person maskulin Singular „sein Vertreiben", d.h. „bis er vertrieben hat"), </w:t>
      </w:r>
      <w:r w:rsidRPr="00C71054">
        <w:rPr>
          <w:rFonts w:eastAsia="Times New Roman" w:cs="Times New Roman"/>
          <w:b/>
          <w:bCs/>
          <w:rtl/>
          <w:lang w:eastAsia="de-DE"/>
        </w:rPr>
        <w:t>אֶת־אֹיְבָיו</w:t>
      </w:r>
      <w:r w:rsidRPr="00C71054">
        <w:rPr>
          <w:rFonts w:eastAsia="Times New Roman" w:cs="Times New Roman"/>
          <w:rtl/>
          <w:lang w:eastAsia="de-DE"/>
        </w:rPr>
        <w:t xml:space="preserve"> </w:t>
      </w:r>
      <w:r w:rsidRPr="00C71054">
        <w:rPr>
          <w:rFonts w:eastAsia="Times New Roman" w:cs="Times New Roman"/>
          <w:lang w:eastAsia="de-DE"/>
        </w:rPr>
        <w:t xml:space="preserve">(Akkusativpartikel mit Plural von </w:t>
      </w:r>
      <w:r w:rsidRPr="00C71054">
        <w:rPr>
          <w:rFonts w:eastAsia="Times New Roman" w:cs="Times New Roman"/>
          <w:b/>
          <w:bCs/>
          <w:rtl/>
          <w:lang w:eastAsia="de-DE"/>
        </w:rPr>
        <w:t>אֹיֵב</w:t>
      </w:r>
      <w:r w:rsidRPr="00C71054">
        <w:rPr>
          <w:rFonts w:eastAsia="Times New Roman" w:cs="Times New Roman"/>
          <w:rtl/>
          <w:lang w:eastAsia="de-DE"/>
        </w:rPr>
        <w:t xml:space="preserve"> </w:t>
      </w:r>
      <w:r w:rsidRPr="00C71054">
        <w:rPr>
          <w:rFonts w:eastAsia="Times New Roman" w:cs="Times New Roman"/>
          <w:lang w:eastAsia="de-DE"/>
        </w:rPr>
        <w:t xml:space="preserve">„Feind" und Suffix 3. Person maskulin Singular „seine Feinde"), </w:t>
      </w:r>
      <w:r w:rsidRPr="00C71054">
        <w:rPr>
          <w:rFonts w:eastAsia="Times New Roman" w:cs="Times New Roman"/>
          <w:b/>
          <w:bCs/>
          <w:rtl/>
          <w:lang w:eastAsia="de-DE"/>
        </w:rPr>
        <w:t>מִפָּנָיו</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מִן</w:t>
      </w:r>
      <w:r w:rsidRPr="00C71054">
        <w:rPr>
          <w:rFonts w:eastAsia="Times New Roman" w:cs="Times New Roman"/>
          <w:rtl/>
          <w:lang w:eastAsia="de-DE"/>
        </w:rPr>
        <w:t xml:space="preserve"> </w:t>
      </w:r>
      <w:r w:rsidRPr="00C71054">
        <w:rPr>
          <w:rFonts w:eastAsia="Times New Roman" w:cs="Times New Roman"/>
          <w:lang w:eastAsia="de-DE"/>
        </w:rPr>
        <w:t xml:space="preserve">mit Plural von </w:t>
      </w:r>
      <w:r w:rsidRPr="00C71054">
        <w:rPr>
          <w:rFonts w:eastAsia="Times New Roman" w:cs="Times New Roman"/>
          <w:b/>
          <w:bCs/>
          <w:rtl/>
          <w:lang w:eastAsia="de-DE"/>
        </w:rPr>
        <w:t>פָּנִים</w:t>
      </w:r>
      <w:r w:rsidRPr="00C71054">
        <w:rPr>
          <w:rFonts w:eastAsia="Times New Roman" w:cs="Times New Roman"/>
          <w:rtl/>
          <w:lang w:eastAsia="de-DE"/>
        </w:rPr>
        <w:t xml:space="preserve"> </w:t>
      </w:r>
      <w:r w:rsidRPr="00C71054">
        <w:rPr>
          <w:rFonts w:eastAsia="Times New Roman" w:cs="Times New Roman"/>
          <w:lang w:eastAsia="de-DE"/>
        </w:rPr>
        <w:t xml:space="preserve">„Angesicht" und Suffix „von vor ihm"). Das Subjekt von </w:t>
      </w:r>
      <w:r w:rsidRPr="00C71054">
        <w:rPr>
          <w:rFonts w:eastAsia="Times New Roman" w:cs="Times New Roman"/>
          <w:b/>
          <w:bCs/>
          <w:rtl/>
          <w:lang w:eastAsia="de-DE"/>
        </w:rPr>
        <w:t>הוֹרִישׁוֹ</w:t>
      </w:r>
      <w:r w:rsidRPr="00C71054">
        <w:rPr>
          <w:rFonts w:eastAsia="Times New Roman" w:cs="Times New Roman"/>
          <w:rtl/>
          <w:lang w:eastAsia="de-DE"/>
        </w:rPr>
        <w:t xml:space="preserve"> </w:t>
      </w:r>
      <w:r w:rsidRPr="00C71054">
        <w:rPr>
          <w:rFonts w:eastAsia="Times New Roman" w:cs="Times New Roman"/>
          <w:lang w:eastAsia="de-DE"/>
        </w:rPr>
        <w:t>ist Gott (</w:t>
      </w:r>
      <w:r w:rsidRPr="00C71054">
        <w:rPr>
          <w:rFonts w:eastAsia="Times New Roman" w:cs="Times New Roman"/>
          <w:rtl/>
          <w:lang w:eastAsia="de-DE"/>
        </w:rPr>
        <w:t>יהוה</w:t>
      </w:r>
      <w:r w:rsidRPr="00C71054">
        <w:rPr>
          <w:rFonts w:eastAsia="Times New Roman" w:cs="Times New Roman"/>
          <w:lang w:eastAsia="de-DE"/>
        </w:rPr>
        <w:t xml:space="preserve"> aus dem vorherigen Satz).</w:t>
      </w:r>
    </w:p>
    <w:p w14:paraId="23DCA37B"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einen konsekutiven Satz (Perfekt mit Waw consecutivum) mit temporalem Infinitiv.</w:t>
      </w:r>
    </w:p>
    <w:p w14:paraId="6278764E"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präzisiert: Alle Bewaffneten müssen über den Jordan ziehen und kämpfen, bis Gott alle Feinde vertrieben hat - kein vorzeitiger Rückzug ist erlaubt.</w:t>
      </w:r>
    </w:p>
    <w:p w14:paraId="425F7942"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32,22</w:t>
      </w:r>
    </w:p>
    <w:p w14:paraId="63BBBA88"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וְנִכְבְּשָׁ֨ה הָאָ֜רֶץ לִפְנֵ֤י יְהוָה֙ וְאַחַ֣ר תָּשֻׁ֔בוּ וִהְיִיתֶ֧ם נְקִיִּ֛ים מֵיְהוָ֖ה וּמִיִּשְׂרָאֵ֑ל וְ֠הָיְתָה הָאָ֨רֶץ הַזֹּ֥את לָכֶ֛ם לַאֲחֻזָּ֖ה לִפְנֵ֥י יְהוָֽה׃</w:t>
      </w:r>
    </w:p>
    <w:p w14:paraId="33EFE047"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das Land vor dem Ewigen unterworfen ist, und ihr danach zurückkehrt, so sollt ihr schuldlos sein vor dem Ewigen und vor Jisra'el; und dieses Land soll euch zum Besitztum sein vor dem Ewigen.</w:t>
      </w:r>
    </w:p>
    <w:p w14:paraId="147BDAB6"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7BB71E5C">
          <v:rect id="_x0000_i2008" style="width:0;height:1.5pt" o:hralign="center" o:hrstd="t" o:hr="t" fillcolor="#a0a0a0" stroked="f"/>
        </w:pict>
      </w:r>
    </w:p>
    <w:p w14:paraId="6E82469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schließt die Bedingungen ab und nennt die Konsequenzen. </w:t>
      </w:r>
      <w:r w:rsidRPr="00C71054">
        <w:rPr>
          <w:rFonts w:eastAsia="Times New Roman" w:cs="Times New Roman"/>
          <w:b/>
          <w:bCs/>
          <w:rtl/>
          <w:lang w:eastAsia="de-DE"/>
        </w:rPr>
        <w:t>וְנִכְבְּשָׁה הָאָרֶץ לִפְנֵי יהוה</w:t>
      </w:r>
      <w:r w:rsidRPr="00C71054">
        <w:rPr>
          <w:rFonts w:eastAsia="Times New Roman" w:cs="Times New Roman"/>
          <w:rtl/>
          <w:lang w:eastAsia="de-DE"/>
        </w:rPr>
        <w:t xml:space="preserve"> </w:t>
      </w:r>
      <w:r w:rsidRPr="00C71054">
        <w:rPr>
          <w:rFonts w:eastAsia="Times New Roman" w:cs="Times New Roman"/>
          <w:lang w:eastAsia="de-DE"/>
        </w:rPr>
        <w:t xml:space="preserve">ist die dritte Bedingung. </w:t>
      </w:r>
      <w:r w:rsidRPr="00C71054">
        <w:rPr>
          <w:rFonts w:eastAsia="Times New Roman" w:cs="Times New Roman"/>
          <w:b/>
          <w:bCs/>
          <w:rtl/>
          <w:lang w:eastAsia="de-DE"/>
        </w:rPr>
        <w:t>וְנִכְבְּשָׁה</w:t>
      </w:r>
      <w:r w:rsidRPr="00C71054">
        <w:rPr>
          <w:rFonts w:eastAsia="Times New Roman" w:cs="Times New Roman"/>
          <w:rtl/>
          <w:lang w:eastAsia="de-DE"/>
        </w:rPr>
        <w:t xml:space="preserve"> </w:t>
      </w:r>
      <w:r w:rsidRPr="00C71054">
        <w:rPr>
          <w:rFonts w:eastAsia="Times New Roman" w:cs="Times New Roman"/>
          <w:lang w:eastAsia="de-DE"/>
        </w:rPr>
        <w:t xml:space="preserve">(Niphal Perfekt 3. Person feminin Singular mit Waw consecutivum von </w:t>
      </w:r>
      <w:r w:rsidRPr="00C71054">
        <w:rPr>
          <w:rFonts w:eastAsia="Times New Roman" w:cs="Times New Roman"/>
          <w:b/>
          <w:bCs/>
          <w:rtl/>
          <w:lang w:eastAsia="de-DE"/>
        </w:rPr>
        <w:t>כבשׁ</w:t>
      </w:r>
      <w:r w:rsidRPr="00C71054">
        <w:rPr>
          <w:rFonts w:eastAsia="Times New Roman" w:cs="Times New Roman"/>
          <w:rtl/>
          <w:lang w:eastAsia="de-DE"/>
        </w:rPr>
        <w:t xml:space="preserve"> </w:t>
      </w:r>
      <w:r w:rsidRPr="00C71054">
        <w:rPr>
          <w:rFonts w:eastAsia="Times New Roman" w:cs="Times New Roman"/>
          <w:lang w:eastAsia="de-DE"/>
        </w:rPr>
        <w:t xml:space="preserve">„unterwerfen"), </w:t>
      </w:r>
      <w:r w:rsidRPr="00C71054">
        <w:rPr>
          <w:rFonts w:eastAsia="Times New Roman" w:cs="Times New Roman"/>
          <w:b/>
          <w:bCs/>
          <w:rtl/>
          <w:lang w:eastAsia="de-DE"/>
        </w:rPr>
        <w:t>הָאָרֶץ</w:t>
      </w:r>
      <w:r w:rsidRPr="00C71054">
        <w:rPr>
          <w:rFonts w:eastAsia="Times New Roman" w:cs="Times New Roman"/>
          <w:rtl/>
          <w:lang w:eastAsia="de-DE"/>
        </w:rPr>
        <w:t xml:space="preserve"> </w:t>
      </w:r>
      <w:r w:rsidRPr="00C71054">
        <w:rPr>
          <w:rFonts w:eastAsia="Times New Roman" w:cs="Times New Roman"/>
          <w:lang w:eastAsia="de-DE"/>
        </w:rPr>
        <w:t xml:space="preserve">(Subjekt mit Artikel „das Land"), </w:t>
      </w:r>
      <w:r w:rsidRPr="00C71054">
        <w:rPr>
          <w:rFonts w:eastAsia="Times New Roman" w:cs="Times New Roman"/>
          <w:b/>
          <w:bCs/>
          <w:rtl/>
          <w:lang w:eastAsia="de-DE"/>
        </w:rPr>
        <w:t>לִפְנֵי יהוה</w:t>
      </w:r>
      <w:r w:rsidRPr="00C71054">
        <w:rPr>
          <w:rFonts w:eastAsia="Times New Roman" w:cs="Times New Roman"/>
          <w:rtl/>
          <w:lang w:eastAsia="de-DE"/>
        </w:rPr>
        <w:t xml:space="preserve"> </w:t>
      </w:r>
      <w:r w:rsidRPr="00C71054">
        <w:rPr>
          <w:rFonts w:eastAsia="Times New Roman" w:cs="Times New Roman"/>
          <w:lang w:eastAsia="de-DE"/>
        </w:rPr>
        <w:t xml:space="preserve">(„vor dem Ewigen"). </w:t>
      </w:r>
      <w:r w:rsidRPr="00C71054">
        <w:rPr>
          <w:rFonts w:eastAsia="Times New Roman" w:cs="Times New Roman"/>
          <w:b/>
          <w:bCs/>
          <w:rtl/>
          <w:lang w:eastAsia="de-DE"/>
        </w:rPr>
        <w:t>וְאַחַר תָּשֻׁבוּ</w:t>
      </w:r>
      <w:r w:rsidRPr="00C71054">
        <w:rPr>
          <w:rFonts w:eastAsia="Times New Roman" w:cs="Times New Roman"/>
          <w:rtl/>
          <w:lang w:eastAsia="de-DE"/>
        </w:rPr>
        <w:t xml:space="preserve"> </w:t>
      </w:r>
      <w:r w:rsidRPr="00C71054">
        <w:rPr>
          <w:rFonts w:eastAsia="Times New Roman" w:cs="Times New Roman"/>
          <w:lang w:eastAsia="de-DE"/>
        </w:rPr>
        <w:t xml:space="preserve">ist die vierte Bedingung. </w:t>
      </w:r>
      <w:r w:rsidRPr="00C71054">
        <w:rPr>
          <w:rFonts w:eastAsia="Times New Roman" w:cs="Times New Roman"/>
          <w:b/>
          <w:bCs/>
          <w:rtl/>
          <w:lang w:eastAsia="de-DE"/>
        </w:rPr>
        <w:t>וְאַחַר</w:t>
      </w:r>
      <w:r w:rsidRPr="00C71054">
        <w:rPr>
          <w:rFonts w:eastAsia="Times New Roman" w:cs="Times New Roman"/>
          <w:rtl/>
          <w:lang w:eastAsia="de-DE"/>
        </w:rPr>
        <w:t xml:space="preserve"> </w:t>
      </w:r>
      <w:r w:rsidRPr="00C71054">
        <w:rPr>
          <w:rFonts w:eastAsia="Times New Roman" w:cs="Times New Roman"/>
          <w:lang w:eastAsia="de-DE"/>
        </w:rPr>
        <w:t xml:space="preserve">(Konjunktion mit Adverb </w:t>
      </w:r>
      <w:r w:rsidRPr="00C71054">
        <w:rPr>
          <w:rFonts w:eastAsia="Times New Roman" w:cs="Times New Roman"/>
          <w:b/>
          <w:bCs/>
          <w:rtl/>
          <w:lang w:eastAsia="de-DE"/>
        </w:rPr>
        <w:t>אַחַר</w:t>
      </w:r>
      <w:r w:rsidRPr="00C71054">
        <w:rPr>
          <w:rFonts w:eastAsia="Times New Roman" w:cs="Times New Roman"/>
          <w:rtl/>
          <w:lang w:eastAsia="de-DE"/>
        </w:rPr>
        <w:t xml:space="preserve"> </w:t>
      </w:r>
      <w:r w:rsidRPr="00C71054">
        <w:rPr>
          <w:rFonts w:eastAsia="Times New Roman" w:cs="Times New Roman"/>
          <w:lang w:eastAsia="de-DE"/>
        </w:rPr>
        <w:t xml:space="preserve">„danach, nachher"), </w:t>
      </w:r>
      <w:r w:rsidRPr="00C71054">
        <w:rPr>
          <w:rFonts w:eastAsia="Times New Roman" w:cs="Times New Roman"/>
          <w:b/>
          <w:bCs/>
          <w:rtl/>
          <w:lang w:eastAsia="de-DE"/>
        </w:rPr>
        <w:t>תָּשֻׁבוּ</w:t>
      </w:r>
      <w:r w:rsidRPr="00C71054">
        <w:rPr>
          <w:rFonts w:eastAsia="Times New Roman" w:cs="Times New Roman"/>
          <w:rtl/>
          <w:lang w:eastAsia="de-DE"/>
        </w:rPr>
        <w:t xml:space="preserve"> </w:t>
      </w:r>
      <w:r w:rsidRPr="00C71054">
        <w:rPr>
          <w:rFonts w:eastAsia="Times New Roman" w:cs="Times New Roman"/>
          <w:lang w:eastAsia="de-DE"/>
        </w:rPr>
        <w:t xml:space="preserve">(Qal Imperfekt 2. Person Plural von </w:t>
      </w:r>
      <w:r w:rsidRPr="00C71054">
        <w:rPr>
          <w:rFonts w:eastAsia="Times New Roman" w:cs="Times New Roman"/>
          <w:b/>
          <w:bCs/>
          <w:rtl/>
          <w:lang w:eastAsia="de-DE"/>
        </w:rPr>
        <w:t>שׁוב</w:t>
      </w:r>
      <w:r w:rsidRPr="00C71054">
        <w:rPr>
          <w:rFonts w:eastAsia="Times New Roman" w:cs="Times New Roman"/>
          <w:rtl/>
          <w:lang w:eastAsia="de-DE"/>
        </w:rPr>
        <w:t xml:space="preserve"> </w:t>
      </w:r>
      <w:r w:rsidRPr="00C71054">
        <w:rPr>
          <w:rFonts w:eastAsia="Times New Roman" w:cs="Times New Roman"/>
          <w:lang w:eastAsia="de-DE"/>
        </w:rPr>
        <w:t>„zurückkehren").</w:t>
      </w:r>
    </w:p>
    <w:p w14:paraId="16DA0956"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rtl/>
          <w:lang w:eastAsia="de-DE"/>
        </w:rPr>
        <w:t>וִהְיִיתֶם נְקִיִּים מֵיהוה וּמִיִּשְׂרָאֵל</w:t>
      </w:r>
      <w:r w:rsidRPr="00C71054">
        <w:rPr>
          <w:rFonts w:eastAsia="Times New Roman" w:cs="Times New Roman"/>
          <w:rtl/>
          <w:lang w:eastAsia="de-DE"/>
        </w:rPr>
        <w:t xml:space="preserve"> </w:t>
      </w:r>
      <w:r w:rsidRPr="00C71054">
        <w:rPr>
          <w:rFonts w:eastAsia="Times New Roman" w:cs="Times New Roman"/>
          <w:lang w:eastAsia="de-DE"/>
        </w:rPr>
        <w:t xml:space="preserve">ist die erste positive Folge (Apodosis). </w:t>
      </w:r>
      <w:r w:rsidRPr="00C71054">
        <w:rPr>
          <w:rFonts w:eastAsia="Times New Roman" w:cs="Times New Roman"/>
          <w:b/>
          <w:bCs/>
          <w:rtl/>
          <w:lang w:eastAsia="de-DE"/>
        </w:rPr>
        <w:t>וִהְיִיתֶם</w:t>
      </w:r>
      <w:r w:rsidRPr="00C71054">
        <w:rPr>
          <w:rFonts w:eastAsia="Times New Roman" w:cs="Times New Roman"/>
          <w:rtl/>
          <w:lang w:eastAsia="de-DE"/>
        </w:rPr>
        <w:t xml:space="preserve"> </w:t>
      </w:r>
      <w:r w:rsidRPr="00C71054">
        <w:rPr>
          <w:rFonts w:eastAsia="Times New Roman" w:cs="Times New Roman"/>
          <w:lang w:eastAsia="de-DE"/>
        </w:rPr>
        <w:t xml:space="preserve">(Qal Perfekt 2. Person Plural mit Waw consecutivum von </w:t>
      </w:r>
      <w:r w:rsidRPr="00C71054">
        <w:rPr>
          <w:rFonts w:eastAsia="Times New Roman" w:cs="Times New Roman"/>
          <w:b/>
          <w:bCs/>
          <w:rtl/>
          <w:lang w:eastAsia="de-DE"/>
        </w:rPr>
        <w:t>היה</w:t>
      </w:r>
      <w:r w:rsidRPr="00C71054">
        <w:rPr>
          <w:rFonts w:eastAsia="Times New Roman" w:cs="Times New Roman"/>
          <w:rtl/>
          <w:lang w:eastAsia="de-DE"/>
        </w:rPr>
        <w:t xml:space="preserve"> </w:t>
      </w:r>
      <w:r w:rsidRPr="00C71054">
        <w:rPr>
          <w:rFonts w:eastAsia="Times New Roman" w:cs="Times New Roman"/>
          <w:lang w:eastAsia="de-DE"/>
        </w:rPr>
        <w:t xml:space="preserve">„sein"), </w:t>
      </w:r>
      <w:r w:rsidRPr="00C71054">
        <w:rPr>
          <w:rFonts w:eastAsia="Times New Roman" w:cs="Times New Roman"/>
          <w:b/>
          <w:bCs/>
          <w:rtl/>
          <w:lang w:eastAsia="de-DE"/>
        </w:rPr>
        <w:t>נְקִיִּים</w:t>
      </w:r>
      <w:r w:rsidRPr="00C71054">
        <w:rPr>
          <w:rFonts w:eastAsia="Times New Roman" w:cs="Times New Roman"/>
          <w:rtl/>
          <w:lang w:eastAsia="de-DE"/>
        </w:rPr>
        <w:t xml:space="preserve"> </w:t>
      </w:r>
      <w:r w:rsidRPr="00C71054">
        <w:rPr>
          <w:rFonts w:eastAsia="Times New Roman" w:cs="Times New Roman"/>
          <w:lang w:eastAsia="de-DE"/>
        </w:rPr>
        <w:t xml:space="preserve">(Adjektiv Plural von </w:t>
      </w:r>
      <w:r w:rsidRPr="00C71054">
        <w:rPr>
          <w:rFonts w:eastAsia="Times New Roman" w:cs="Times New Roman"/>
          <w:b/>
          <w:bCs/>
          <w:rtl/>
          <w:lang w:eastAsia="de-DE"/>
        </w:rPr>
        <w:t>נָקִי</w:t>
      </w:r>
      <w:r w:rsidRPr="00C71054">
        <w:rPr>
          <w:rFonts w:eastAsia="Times New Roman" w:cs="Times New Roman"/>
          <w:rtl/>
          <w:lang w:eastAsia="de-DE"/>
        </w:rPr>
        <w:t xml:space="preserve"> </w:t>
      </w:r>
      <w:r w:rsidRPr="00C71054">
        <w:rPr>
          <w:rFonts w:eastAsia="Times New Roman" w:cs="Times New Roman"/>
          <w:lang w:eastAsia="de-DE"/>
        </w:rPr>
        <w:t xml:space="preserve">„unschuldig, schuldlos, frei"), </w:t>
      </w:r>
      <w:r w:rsidRPr="00C71054">
        <w:rPr>
          <w:rFonts w:eastAsia="Times New Roman" w:cs="Times New Roman"/>
          <w:b/>
          <w:bCs/>
          <w:rtl/>
          <w:lang w:eastAsia="de-DE"/>
        </w:rPr>
        <w:t>מֵיהוה וּמִיִּשְׂרָאֵל</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מִן</w:t>
      </w:r>
      <w:r w:rsidRPr="00C71054">
        <w:rPr>
          <w:rFonts w:eastAsia="Times New Roman" w:cs="Times New Roman"/>
          <w:rtl/>
          <w:lang w:eastAsia="de-DE"/>
        </w:rPr>
        <w:t xml:space="preserve"> </w:t>
      </w:r>
      <w:r w:rsidRPr="00C71054">
        <w:rPr>
          <w:rFonts w:eastAsia="Times New Roman" w:cs="Times New Roman"/>
          <w:lang w:eastAsia="de-DE"/>
        </w:rPr>
        <w:t xml:space="preserve">mit Tetragramm und Konjunktion mit Präposition und </w:t>
      </w:r>
      <w:r w:rsidRPr="00C71054">
        <w:rPr>
          <w:rFonts w:eastAsia="Times New Roman" w:cs="Times New Roman"/>
          <w:b/>
          <w:bCs/>
          <w:rtl/>
          <w:lang w:eastAsia="de-DE"/>
        </w:rPr>
        <w:t>יִשְׂרָאֵל</w:t>
      </w:r>
      <w:r w:rsidRPr="00C71054">
        <w:rPr>
          <w:rFonts w:eastAsia="Times New Roman" w:cs="Times New Roman"/>
          <w:rtl/>
          <w:lang w:eastAsia="de-DE"/>
        </w:rPr>
        <w:t xml:space="preserve"> </w:t>
      </w:r>
      <w:r w:rsidRPr="00C71054">
        <w:rPr>
          <w:rFonts w:eastAsia="Times New Roman" w:cs="Times New Roman"/>
          <w:lang w:eastAsia="de-DE"/>
        </w:rPr>
        <w:t>„vor/gegenüber dem Ewigen und vor/gegenüber Israel"). Sie werden keine Schuld haben - weder vor Gott noch vor dem Volk.</w:t>
      </w:r>
    </w:p>
    <w:p w14:paraId="45A4E802"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rtl/>
          <w:lang w:eastAsia="de-DE"/>
        </w:rPr>
        <w:t>וְהָיְתָה הָאָרֶץ הַזֹּאת לָכֶם לַאֲחֻזָּה לִפְנֵי יהוה</w:t>
      </w:r>
      <w:r w:rsidRPr="00C71054">
        <w:rPr>
          <w:rFonts w:eastAsia="Times New Roman" w:cs="Times New Roman"/>
          <w:rtl/>
          <w:lang w:eastAsia="de-DE"/>
        </w:rPr>
        <w:t xml:space="preserve"> </w:t>
      </w:r>
      <w:r w:rsidRPr="00C71054">
        <w:rPr>
          <w:rFonts w:eastAsia="Times New Roman" w:cs="Times New Roman"/>
          <w:lang w:eastAsia="de-DE"/>
        </w:rPr>
        <w:t xml:space="preserve">ist die zweite positive Folge. </w:t>
      </w:r>
      <w:r w:rsidRPr="00C71054">
        <w:rPr>
          <w:rFonts w:eastAsia="Times New Roman" w:cs="Times New Roman"/>
          <w:b/>
          <w:bCs/>
          <w:rtl/>
          <w:lang w:eastAsia="de-DE"/>
        </w:rPr>
        <w:t>וְהָיְתָה</w:t>
      </w:r>
      <w:r w:rsidRPr="00C71054">
        <w:rPr>
          <w:rFonts w:eastAsia="Times New Roman" w:cs="Times New Roman"/>
          <w:rtl/>
          <w:lang w:eastAsia="de-DE"/>
        </w:rPr>
        <w:t xml:space="preserve"> </w:t>
      </w:r>
      <w:r w:rsidRPr="00C71054">
        <w:rPr>
          <w:rFonts w:eastAsia="Times New Roman" w:cs="Times New Roman"/>
          <w:lang w:eastAsia="de-DE"/>
        </w:rPr>
        <w:t xml:space="preserve">(Qal Perfekt 3. Person feminin Singular mit Waw consecutivum von </w:t>
      </w:r>
      <w:r w:rsidRPr="00C71054">
        <w:rPr>
          <w:rFonts w:eastAsia="Times New Roman" w:cs="Times New Roman"/>
          <w:b/>
          <w:bCs/>
          <w:rtl/>
          <w:lang w:eastAsia="de-DE"/>
        </w:rPr>
        <w:t>היה</w:t>
      </w:r>
      <w:r w:rsidRPr="00C71054">
        <w:rPr>
          <w:rFonts w:eastAsia="Times New Roman" w:cs="Times New Roman"/>
          <w:lang w:eastAsia="de-DE"/>
        </w:rPr>
        <w:t xml:space="preserve">), </w:t>
      </w:r>
      <w:r w:rsidRPr="00C71054">
        <w:rPr>
          <w:rFonts w:eastAsia="Times New Roman" w:cs="Times New Roman"/>
          <w:b/>
          <w:bCs/>
          <w:rtl/>
          <w:lang w:eastAsia="de-DE"/>
        </w:rPr>
        <w:t>הָאָרֶץ הַזֹּאת</w:t>
      </w:r>
      <w:r w:rsidRPr="00C71054">
        <w:rPr>
          <w:rFonts w:eastAsia="Times New Roman" w:cs="Times New Roman"/>
          <w:rtl/>
          <w:lang w:eastAsia="de-DE"/>
        </w:rPr>
        <w:t xml:space="preserve"> </w:t>
      </w:r>
      <w:r w:rsidRPr="00C71054">
        <w:rPr>
          <w:rFonts w:eastAsia="Times New Roman" w:cs="Times New Roman"/>
          <w:lang w:eastAsia="de-DE"/>
        </w:rPr>
        <w:t xml:space="preserve">(Subjekt „dieses Land"), </w:t>
      </w:r>
      <w:r w:rsidRPr="00C71054">
        <w:rPr>
          <w:rFonts w:eastAsia="Times New Roman" w:cs="Times New Roman"/>
          <w:b/>
          <w:bCs/>
          <w:rtl/>
          <w:lang w:eastAsia="de-DE"/>
        </w:rPr>
        <w:t>לָכֶם</w:t>
      </w:r>
      <w:r w:rsidRPr="00C71054">
        <w:rPr>
          <w:rFonts w:eastAsia="Times New Roman" w:cs="Times New Roman"/>
          <w:rtl/>
          <w:lang w:eastAsia="de-DE"/>
        </w:rPr>
        <w:t xml:space="preserve"> </w:t>
      </w:r>
      <w:r w:rsidRPr="00C71054">
        <w:rPr>
          <w:rFonts w:eastAsia="Times New Roman" w:cs="Times New Roman"/>
          <w:lang w:eastAsia="de-DE"/>
        </w:rPr>
        <w:t xml:space="preserve">(Dativ „euch"), </w:t>
      </w:r>
      <w:r w:rsidRPr="00C71054">
        <w:rPr>
          <w:rFonts w:eastAsia="Times New Roman" w:cs="Times New Roman"/>
          <w:b/>
          <w:bCs/>
          <w:rtl/>
          <w:lang w:eastAsia="de-DE"/>
        </w:rPr>
        <w:t>לַאֲחֻזָּה</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לְ</w:t>
      </w:r>
      <w:r w:rsidRPr="00C71054">
        <w:rPr>
          <w:rFonts w:eastAsia="Times New Roman" w:cs="Times New Roman"/>
          <w:rtl/>
          <w:lang w:eastAsia="de-DE"/>
        </w:rPr>
        <w:t xml:space="preserve"> </w:t>
      </w:r>
      <w:r w:rsidRPr="00C71054">
        <w:rPr>
          <w:rFonts w:eastAsia="Times New Roman" w:cs="Times New Roman"/>
          <w:lang w:eastAsia="de-DE"/>
        </w:rPr>
        <w:t xml:space="preserve">mit </w:t>
      </w:r>
      <w:r w:rsidRPr="00C71054">
        <w:rPr>
          <w:rFonts w:eastAsia="Times New Roman" w:cs="Times New Roman"/>
          <w:b/>
          <w:bCs/>
          <w:rtl/>
          <w:lang w:eastAsia="de-DE"/>
        </w:rPr>
        <w:t>אֲחֻזָּה</w:t>
      </w:r>
      <w:r w:rsidRPr="00C71054">
        <w:rPr>
          <w:rFonts w:eastAsia="Times New Roman" w:cs="Times New Roman"/>
          <w:rtl/>
          <w:lang w:eastAsia="de-DE"/>
        </w:rPr>
        <w:t xml:space="preserve"> </w:t>
      </w:r>
      <w:r w:rsidRPr="00C71054">
        <w:rPr>
          <w:rFonts w:eastAsia="Times New Roman" w:cs="Times New Roman"/>
          <w:lang w:eastAsia="de-DE"/>
        </w:rPr>
        <w:t xml:space="preserve">„Besitztum" „zum Besitztum"), </w:t>
      </w:r>
      <w:r w:rsidRPr="00C71054">
        <w:rPr>
          <w:rFonts w:eastAsia="Times New Roman" w:cs="Times New Roman"/>
          <w:b/>
          <w:bCs/>
          <w:rtl/>
          <w:lang w:eastAsia="de-DE"/>
        </w:rPr>
        <w:t>לִפְנֵי יהוה</w:t>
      </w:r>
      <w:r w:rsidRPr="00C71054">
        <w:rPr>
          <w:rFonts w:eastAsia="Times New Roman" w:cs="Times New Roman"/>
          <w:rtl/>
          <w:lang w:eastAsia="de-DE"/>
        </w:rPr>
        <w:t xml:space="preserve"> </w:t>
      </w:r>
      <w:r w:rsidRPr="00C71054">
        <w:rPr>
          <w:rFonts w:eastAsia="Times New Roman" w:cs="Times New Roman"/>
          <w:lang w:eastAsia="de-DE"/>
        </w:rPr>
        <w:t>(„vor dem Ewigen", d.h. mit göttlicher Legitimation).</w:t>
      </w:r>
    </w:p>
    <w:p w14:paraId="65DFBE69"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lastRenderedPageBreak/>
        <w:t>Die Satzstruktur zeigt zwei weitere Bedingungen (Perfekta mit Waw consecutivum im Protasis) und zwei positive Folgen im Apodosis.</w:t>
      </w:r>
    </w:p>
    <w:p w14:paraId="5398A772"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verspricht: Wenn alle Bedingungen erfüllt sind, werden Gad und Ruben schuldlos vor Gott und Israel sein, und das Ostjordanland wird rechtmäßig ihr Besitz - eine göttlich legitimierte Landnahme.</w:t>
      </w:r>
    </w:p>
    <w:p w14:paraId="225CB06F"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32,23</w:t>
      </w:r>
    </w:p>
    <w:p w14:paraId="58E95B0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וְאִם־לֹ֤א תַעֲשׂוּן֙ כֵּ֔ן הִנֵּ֥ה חֲטָאתֶ֖ם לַיהוָ֑ה וּדְעוּ֙ חַטַּאתְכֶ֔ם אֲשֶׁ֥ר תִּמְצָ֖א אֶתְכֶֽם׃</w:t>
      </w:r>
    </w:p>
    <w:p w14:paraId="0B55168C"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Wenn ihr aber nicht so tut, siehe, so habt ihr gegen den Ewigen gesündigt; und erkennt, dass eure Sünde euch finden wird.</w:t>
      </w:r>
    </w:p>
    <w:p w14:paraId="5A4EC2E3"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3B14A835">
          <v:rect id="_x0000_i2009" style="width:0;height:1.5pt" o:hralign="center" o:hrstd="t" o:hr="t" fillcolor="#a0a0a0" stroked="f"/>
        </w:pict>
      </w:r>
    </w:p>
    <w:p w14:paraId="1A9769FD"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warnt vor den negativen Folgen bei Nichterfüllung. </w:t>
      </w:r>
      <w:r w:rsidRPr="00C71054">
        <w:rPr>
          <w:rFonts w:eastAsia="Times New Roman" w:cs="Times New Roman"/>
          <w:b/>
          <w:bCs/>
          <w:rtl/>
          <w:lang w:eastAsia="de-DE"/>
        </w:rPr>
        <w:t>וְאִם־לֹא תַעֲשׂוּן כֵּן</w:t>
      </w:r>
      <w:r w:rsidRPr="00C71054">
        <w:rPr>
          <w:rFonts w:eastAsia="Times New Roman" w:cs="Times New Roman"/>
          <w:rtl/>
          <w:lang w:eastAsia="de-DE"/>
        </w:rPr>
        <w:t xml:space="preserve"> </w:t>
      </w:r>
      <w:r w:rsidRPr="00C71054">
        <w:rPr>
          <w:rFonts w:eastAsia="Times New Roman" w:cs="Times New Roman"/>
          <w:lang w:eastAsia="de-DE"/>
        </w:rPr>
        <w:t xml:space="preserve">ist die negative Bedingung. </w:t>
      </w:r>
      <w:r w:rsidRPr="00C71054">
        <w:rPr>
          <w:rFonts w:eastAsia="Times New Roman" w:cs="Times New Roman"/>
          <w:b/>
          <w:bCs/>
          <w:rtl/>
          <w:lang w:eastAsia="de-DE"/>
        </w:rPr>
        <w:t>וְאִם־לֹא</w:t>
      </w:r>
      <w:r w:rsidRPr="00C71054">
        <w:rPr>
          <w:rFonts w:eastAsia="Times New Roman" w:cs="Times New Roman"/>
          <w:rtl/>
          <w:lang w:eastAsia="de-DE"/>
        </w:rPr>
        <w:t xml:space="preserve"> </w:t>
      </w:r>
      <w:r w:rsidRPr="00C71054">
        <w:rPr>
          <w:rFonts w:eastAsia="Times New Roman" w:cs="Times New Roman"/>
          <w:lang w:eastAsia="de-DE"/>
        </w:rPr>
        <w:t xml:space="preserve">(Konjunktion mit konditionaler Partikel und Negation „wenn aber nicht"), </w:t>
      </w:r>
      <w:r w:rsidRPr="00C71054">
        <w:rPr>
          <w:rFonts w:eastAsia="Times New Roman" w:cs="Times New Roman"/>
          <w:b/>
          <w:bCs/>
          <w:rtl/>
          <w:lang w:eastAsia="de-DE"/>
        </w:rPr>
        <w:t>תַעֲשׂוּן</w:t>
      </w:r>
      <w:r w:rsidRPr="00C71054">
        <w:rPr>
          <w:rFonts w:eastAsia="Times New Roman" w:cs="Times New Roman"/>
          <w:rtl/>
          <w:lang w:eastAsia="de-DE"/>
        </w:rPr>
        <w:t xml:space="preserve"> </w:t>
      </w:r>
      <w:r w:rsidRPr="00C71054">
        <w:rPr>
          <w:rFonts w:eastAsia="Times New Roman" w:cs="Times New Roman"/>
          <w:lang w:eastAsia="de-DE"/>
        </w:rPr>
        <w:t xml:space="preserve">(Qal Imperfekt 2. Person Plural von </w:t>
      </w:r>
      <w:r w:rsidRPr="00C71054">
        <w:rPr>
          <w:rFonts w:eastAsia="Times New Roman" w:cs="Times New Roman"/>
          <w:b/>
          <w:bCs/>
          <w:rtl/>
          <w:lang w:eastAsia="de-DE"/>
        </w:rPr>
        <w:t>עשׂה</w:t>
      </w:r>
      <w:r w:rsidRPr="00C71054">
        <w:rPr>
          <w:rFonts w:eastAsia="Times New Roman" w:cs="Times New Roman"/>
          <w:rtl/>
          <w:lang w:eastAsia="de-DE"/>
        </w:rPr>
        <w:t xml:space="preserve"> </w:t>
      </w:r>
      <w:r w:rsidRPr="00C71054">
        <w:rPr>
          <w:rFonts w:eastAsia="Times New Roman" w:cs="Times New Roman"/>
          <w:lang w:eastAsia="de-DE"/>
        </w:rPr>
        <w:t xml:space="preserve">„tun" mit Paragogischem Nun), </w:t>
      </w:r>
      <w:r w:rsidRPr="00C71054">
        <w:rPr>
          <w:rFonts w:eastAsia="Times New Roman" w:cs="Times New Roman"/>
          <w:b/>
          <w:bCs/>
          <w:rtl/>
          <w:lang w:eastAsia="de-DE"/>
        </w:rPr>
        <w:t>כֵּן</w:t>
      </w:r>
      <w:r w:rsidRPr="00C71054">
        <w:rPr>
          <w:rFonts w:eastAsia="Times New Roman" w:cs="Times New Roman"/>
          <w:rtl/>
          <w:lang w:eastAsia="de-DE"/>
        </w:rPr>
        <w:t xml:space="preserve"> </w:t>
      </w:r>
      <w:r w:rsidRPr="00C71054">
        <w:rPr>
          <w:rFonts w:eastAsia="Times New Roman" w:cs="Times New Roman"/>
          <w:lang w:eastAsia="de-DE"/>
        </w:rPr>
        <w:t xml:space="preserve">(Adverb „so"). </w:t>
      </w:r>
      <w:r w:rsidRPr="00C71054">
        <w:rPr>
          <w:rFonts w:eastAsia="Times New Roman" w:cs="Times New Roman"/>
          <w:b/>
          <w:bCs/>
          <w:rtl/>
          <w:lang w:eastAsia="de-DE"/>
        </w:rPr>
        <w:t>הִנֵּה חֲטָאתֶם לַיהוה</w:t>
      </w:r>
      <w:r w:rsidRPr="00C71054">
        <w:rPr>
          <w:rFonts w:eastAsia="Times New Roman" w:cs="Times New Roman"/>
          <w:rtl/>
          <w:lang w:eastAsia="de-DE"/>
        </w:rPr>
        <w:t xml:space="preserve"> </w:t>
      </w:r>
      <w:r w:rsidRPr="00C71054">
        <w:rPr>
          <w:rFonts w:eastAsia="Times New Roman" w:cs="Times New Roman"/>
          <w:lang w:eastAsia="de-DE"/>
        </w:rPr>
        <w:t xml:space="preserve">ist die Folge. </w:t>
      </w:r>
      <w:r w:rsidRPr="00C71054">
        <w:rPr>
          <w:rFonts w:eastAsia="Times New Roman" w:cs="Times New Roman"/>
          <w:b/>
          <w:bCs/>
          <w:rtl/>
          <w:lang w:eastAsia="de-DE"/>
        </w:rPr>
        <w:t>הִנֵּה</w:t>
      </w:r>
      <w:r w:rsidRPr="00C71054">
        <w:rPr>
          <w:rFonts w:eastAsia="Times New Roman" w:cs="Times New Roman"/>
          <w:rtl/>
          <w:lang w:eastAsia="de-DE"/>
        </w:rPr>
        <w:t xml:space="preserve"> </w:t>
      </w:r>
      <w:r w:rsidRPr="00C71054">
        <w:rPr>
          <w:rFonts w:eastAsia="Times New Roman" w:cs="Times New Roman"/>
          <w:lang w:eastAsia="de-DE"/>
        </w:rPr>
        <w:t xml:space="preserve">(Interjektion „siehe"), </w:t>
      </w:r>
      <w:r w:rsidRPr="00C71054">
        <w:rPr>
          <w:rFonts w:eastAsia="Times New Roman" w:cs="Times New Roman"/>
          <w:b/>
          <w:bCs/>
          <w:rtl/>
          <w:lang w:eastAsia="de-DE"/>
        </w:rPr>
        <w:t>חֲטָאתֶם</w:t>
      </w:r>
      <w:r w:rsidRPr="00C71054">
        <w:rPr>
          <w:rFonts w:eastAsia="Times New Roman" w:cs="Times New Roman"/>
          <w:rtl/>
          <w:lang w:eastAsia="de-DE"/>
        </w:rPr>
        <w:t xml:space="preserve"> </w:t>
      </w:r>
      <w:r w:rsidRPr="00C71054">
        <w:rPr>
          <w:rFonts w:eastAsia="Times New Roman" w:cs="Times New Roman"/>
          <w:lang w:eastAsia="de-DE"/>
        </w:rPr>
        <w:t xml:space="preserve">(Qal Perfekt 2. Person Plural von </w:t>
      </w:r>
      <w:r w:rsidRPr="00C71054">
        <w:rPr>
          <w:rFonts w:eastAsia="Times New Roman" w:cs="Times New Roman"/>
          <w:b/>
          <w:bCs/>
          <w:rtl/>
          <w:lang w:eastAsia="de-DE"/>
        </w:rPr>
        <w:t>חטא</w:t>
      </w:r>
      <w:r w:rsidRPr="00C71054">
        <w:rPr>
          <w:rFonts w:eastAsia="Times New Roman" w:cs="Times New Roman"/>
          <w:rtl/>
          <w:lang w:eastAsia="de-DE"/>
        </w:rPr>
        <w:t xml:space="preserve"> </w:t>
      </w:r>
      <w:r w:rsidRPr="00C71054">
        <w:rPr>
          <w:rFonts w:eastAsia="Times New Roman" w:cs="Times New Roman"/>
          <w:lang w:eastAsia="de-DE"/>
        </w:rPr>
        <w:t xml:space="preserve">„sündigen"), </w:t>
      </w:r>
      <w:r w:rsidRPr="00C71054">
        <w:rPr>
          <w:rFonts w:eastAsia="Times New Roman" w:cs="Times New Roman"/>
          <w:b/>
          <w:bCs/>
          <w:rtl/>
          <w:lang w:eastAsia="de-DE"/>
        </w:rPr>
        <w:t>לַיהוה</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לְ</w:t>
      </w:r>
      <w:r w:rsidRPr="00C71054">
        <w:rPr>
          <w:rFonts w:eastAsia="Times New Roman" w:cs="Times New Roman"/>
          <w:rtl/>
          <w:lang w:eastAsia="de-DE"/>
        </w:rPr>
        <w:t xml:space="preserve"> </w:t>
      </w:r>
      <w:r w:rsidRPr="00C71054">
        <w:rPr>
          <w:rFonts w:eastAsia="Times New Roman" w:cs="Times New Roman"/>
          <w:lang w:eastAsia="de-DE"/>
        </w:rPr>
        <w:t>mit Tetragramm „gegen den Ewigen"). Das Perfekt drückt hier die Gewissheit der Folge aus.</w:t>
      </w:r>
    </w:p>
    <w:p w14:paraId="3DC9DB7D"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rtl/>
          <w:lang w:eastAsia="de-DE"/>
        </w:rPr>
        <w:t>וּדְעוּ חַטַּאתְכֶם אֲשֶׁר תִּמְצָא אֶתְכֶם</w:t>
      </w:r>
      <w:r w:rsidRPr="00C71054">
        <w:rPr>
          <w:rFonts w:eastAsia="Times New Roman" w:cs="Times New Roman"/>
          <w:rtl/>
          <w:lang w:eastAsia="de-DE"/>
        </w:rPr>
        <w:t xml:space="preserve"> </w:t>
      </w:r>
      <w:r w:rsidRPr="00C71054">
        <w:rPr>
          <w:rFonts w:eastAsia="Times New Roman" w:cs="Times New Roman"/>
          <w:lang w:eastAsia="de-DE"/>
        </w:rPr>
        <w:t xml:space="preserve">ist die dramatische Warnung. </w:t>
      </w:r>
      <w:r w:rsidRPr="00C71054">
        <w:rPr>
          <w:rFonts w:eastAsia="Times New Roman" w:cs="Times New Roman"/>
          <w:b/>
          <w:bCs/>
          <w:rtl/>
          <w:lang w:eastAsia="de-DE"/>
        </w:rPr>
        <w:t>וּדְעוּ</w:t>
      </w:r>
      <w:r w:rsidRPr="00C71054">
        <w:rPr>
          <w:rFonts w:eastAsia="Times New Roman" w:cs="Times New Roman"/>
          <w:rtl/>
          <w:lang w:eastAsia="de-DE"/>
        </w:rPr>
        <w:t xml:space="preserve"> </w:t>
      </w:r>
      <w:r w:rsidRPr="00C71054">
        <w:rPr>
          <w:rFonts w:eastAsia="Times New Roman" w:cs="Times New Roman"/>
          <w:lang w:eastAsia="de-DE"/>
        </w:rPr>
        <w:t xml:space="preserve">(Konjunktion mit Qal Imperativ maskulin Plural von </w:t>
      </w:r>
      <w:r w:rsidRPr="00C71054">
        <w:rPr>
          <w:rFonts w:eastAsia="Times New Roman" w:cs="Times New Roman"/>
          <w:b/>
          <w:bCs/>
          <w:rtl/>
          <w:lang w:eastAsia="de-DE"/>
        </w:rPr>
        <w:t>ידע</w:t>
      </w:r>
      <w:r w:rsidRPr="00C71054">
        <w:rPr>
          <w:rFonts w:eastAsia="Times New Roman" w:cs="Times New Roman"/>
          <w:rtl/>
          <w:lang w:eastAsia="de-DE"/>
        </w:rPr>
        <w:t xml:space="preserve"> </w:t>
      </w:r>
      <w:r w:rsidRPr="00C71054">
        <w:rPr>
          <w:rFonts w:eastAsia="Times New Roman" w:cs="Times New Roman"/>
          <w:lang w:eastAsia="de-DE"/>
        </w:rPr>
        <w:t xml:space="preserve">„wissen, erkennen"), </w:t>
      </w:r>
      <w:r w:rsidRPr="00C71054">
        <w:rPr>
          <w:rFonts w:eastAsia="Times New Roman" w:cs="Times New Roman"/>
          <w:b/>
          <w:bCs/>
          <w:rtl/>
          <w:lang w:eastAsia="de-DE"/>
        </w:rPr>
        <w:t>חַטַּאתְכֶם</w:t>
      </w:r>
      <w:r w:rsidRPr="00C71054">
        <w:rPr>
          <w:rFonts w:eastAsia="Times New Roman" w:cs="Times New Roman"/>
          <w:rtl/>
          <w:lang w:eastAsia="de-DE"/>
        </w:rPr>
        <w:t xml:space="preserve"> </w:t>
      </w:r>
      <w:r w:rsidRPr="00C71054">
        <w:rPr>
          <w:rFonts w:eastAsia="Times New Roman" w:cs="Times New Roman"/>
          <w:lang w:eastAsia="de-DE"/>
        </w:rPr>
        <w:t xml:space="preserve">(feminin </w:t>
      </w:r>
      <w:r w:rsidRPr="00C71054">
        <w:rPr>
          <w:rFonts w:eastAsia="Times New Roman" w:cs="Times New Roman"/>
          <w:b/>
          <w:bCs/>
          <w:rtl/>
          <w:lang w:eastAsia="de-DE"/>
        </w:rPr>
        <w:t>חַטָּאת</w:t>
      </w:r>
      <w:r w:rsidRPr="00C71054">
        <w:rPr>
          <w:rFonts w:eastAsia="Times New Roman" w:cs="Times New Roman"/>
          <w:rtl/>
          <w:lang w:eastAsia="de-DE"/>
        </w:rPr>
        <w:t xml:space="preserve"> </w:t>
      </w:r>
      <w:r w:rsidRPr="00C71054">
        <w:rPr>
          <w:rFonts w:eastAsia="Times New Roman" w:cs="Times New Roman"/>
          <w:lang w:eastAsia="de-DE"/>
        </w:rPr>
        <w:t xml:space="preserve">„Sünde" mit Suffix 2. Person Plural „eure Sünde"), </w:t>
      </w:r>
      <w:r w:rsidRPr="00C71054">
        <w:rPr>
          <w:rFonts w:eastAsia="Times New Roman" w:cs="Times New Roman"/>
          <w:b/>
          <w:bCs/>
          <w:rtl/>
          <w:lang w:eastAsia="de-DE"/>
        </w:rPr>
        <w:t>אֲשֶׁר תִּמְצָא אֶתְכֶם</w:t>
      </w:r>
      <w:r w:rsidRPr="00C71054">
        <w:rPr>
          <w:rFonts w:eastAsia="Times New Roman" w:cs="Times New Roman"/>
          <w:rtl/>
          <w:lang w:eastAsia="de-DE"/>
        </w:rPr>
        <w:t xml:space="preserve"> </w:t>
      </w:r>
      <w:r w:rsidRPr="00C71054">
        <w:rPr>
          <w:rFonts w:eastAsia="Times New Roman" w:cs="Times New Roman"/>
          <w:lang w:eastAsia="de-DE"/>
        </w:rPr>
        <w:t xml:space="preserve">(Relativsatz: Qal Imperfekt 3. Person feminin Singular von </w:t>
      </w:r>
      <w:r w:rsidRPr="00C71054">
        <w:rPr>
          <w:rFonts w:eastAsia="Times New Roman" w:cs="Times New Roman"/>
          <w:b/>
          <w:bCs/>
          <w:rtl/>
          <w:lang w:eastAsia="de-DE"/>
        </w:rPr>
        <w:t>מצא</w:t>
      </w:r>
      <w:r w:rsidRPr="00C71054">
        <w:rPr>
          <w:rFonts w:eastAsia="Times New Roman" w:cs="Times New Roman"/>
          <w:rtl/>
          <w:lang w:eastAsia="de-DE"/>
        </w:rPr>
        <w:t xml:space="preserve"> </w:t>
      </w:r>
      <w:r w:rsidRPr="00C71054">
        <w:rPr>
          <w:rFonts w:eastAsia="Times New Roman" w:cs="Times New Roman"/>
          <w:lang w:eastAsia="de-DE"/>
        </w:rPr>
        <w:t>„finden" mit Akkusativpartikel und Suffix 2. Person Plural „die euch finden wird"). Die Personifizierung der Sünde als aktive Macht, die den Sünder verfolgt und findet, ist eindrucksvoll.</w:t>
      </w:r>
    </w:p>
    <w:p w14:paraId="12C2D4FB" w14:textId="06881D5A"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eine negative Bedingung, gefolgt von zwei Apodosen (eine als Feststellung, eine als Imperativ mit Relativsatz).</w:t>
      </w:r>
    </w:p>
    <w:p w14:paraId="57715376"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enthält eine der eindringlichsten Warnungen der Torah: Wer sein Versprechen nicht hält, sündigt gegen Gott, und diese Sünde wird den Schuldigen unweigerlich einholen - keine Flucht ist möglich.</w:t>
      </w:r>
    </w:p>
    <w:p w14:paraId="319BAB23"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32,24</w:t>
      </w:r>
    </w:p>
    <w:p w14:paraId="3C012C5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בְּנֽוּ־לָכֶ֤ם עָרִים֙ לְטַפְּכֶ֔ם וּגְדֵרֹ֖ת לְצֹנַאֲכֶ֑ם וְהַיֹּצֵ֥א מִפִּיכֶ֖ם תַּעֲשֽׂוּ׃</w:t>
      </w:r>
    </w:p>
    <w:p w14:paraId="140DE7A9"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Baut euch Städte für eure Kinder und Hürden für euer Kleinvieh, und tut, was aus eurem Mund hervorgegangen ist.</w:t>
      </w:r>
    </w:p>
    <w:p w14:paraId="747CF5C3"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2285CB9A">
          <v:rect id="_x0000_i2010" style="width:0;height:1.5pt" o:hralign="center" o:hrstd="t" o:hr="t" fillcolor="#a0a0a0" stroked="f"/>
        </w:pict>
      </w:r>
    </w:p>
    <w:p w14:paraId="78ED42F5"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gibt Moses Erlaubnis und Mahnung. </w:t>
      </w:r>
      <w:r w:rsidRPr="00C71054">
        <w:rPr>
          <w:rFonts w:eastAsia="Times New Roman" w:cs="Times New Roman"/>
          <w:b/>
          <w:bCs/>
          <w:rtl/>
          <w:lang w:eastAsia="de-DE"/>
        </w:rPr>
        <w:t>בְּנוּ־לָכֶם עָרִים לְטַפְּכֶם וּגְדֵרֹת לְצֹנַאֲכֶם</w:t>
      </w:r>
      <w:r w:rsidRPr="00C71054">
        <w:rPr>
          <w:rFonts w:eastAsia="Times New Roman" w:cs="Times New Roman"/>
          <w:rtl/>
          <w:lang w:eastAsia="de-DE"/>
        </w:rPr>
        <w:t xml:space="preserve"> </w:t>
      </w:r>
      <w:r w:rsidRPr="00C71054">
        <w:rPr>
          <w:rFonts w:eastAsia="Times New Roman" w:cs="Times New Roman"/>
          <w:lang w:eastAsia="de-DE"/>
        </w:rPr>
        <w:t xml:space="preserve">ist die Erlaubnis. </w:t>
      </w:r>
      <w:r w:rsidRPr="00C71054">
        <w:rPr>
          <w:rFonts w:eastAsia="Times New Roman" w:cs="Times New Roman"/>
          <w:b/>
          <w:bCs/>
          <w:rtl/>
          <w:lang w:eastAsia="de-DE"/>
        </w:rPr>
        <w:t>בְּנוּ</w:t>
      </w:r>
      <w:r w:rsidRPr="00C71054">
        <w:rPr>
          <w:rFonts w:eastAsia="Times New Roman" w:cs="Times New Roman"/>
          <w:rtl/>
          <w:lang w:eastAsia="de-DE"/>
        </w:rPr>
        <w:t xml:space="preserve"> </w:t>
      </w:r>
      <w:r w:rsidRPr="00C71054">
        <w:rPr>
          <w:rFonts w:eastAsia="Times New Roman" w:cs="Times New Roman"/>
          <w:lang w:eastAsia="de-DE"/>
        </w:rPr>
        <w:t xml:space="preserve">(Qal Imperativ maskulin Plural von </w:t>
      </w:r>
      <w:r w:rsidRPr="00C71054">
        <w:rPr>
          <w:rFonts w:eastAsia="Times New Roman" w:cs="Times New Roman"/>
          <w:b/>
          <w:bCs/>
          <w:rtl/>
          <w:lang w:eastAsia="de-DE"/>
        </w:rPr>
        <w:t>בנה</w:t>
      </w:r>
      <w:r w:rsidRPr="00C71054">
        <w:rPr>
          <w:rFonts w:eastAsia="Times New Roman" w:cs="Times New Roman"/>
          <w:rtl/>
          <w:lang w:eastAsia="de-DE"/>
        </w:rPr>
        <w:t xml:space="preserve"> </w:t>
      </w:r>
      <w:r w:rsidRPr="00C71054">
        <w:rPr>
          <w:rFonts w:eastAsia="Times New Roman" w:cs="Times New Roman"/>
          <w:lang w:eastAsia="de-DE"/>
        </w:rPr>
        <w:t xml:space="preserve">„bauen"), </w:t>
      </w:r>
      <w:r w:rsidRPr="00C71054">
        <w:rPr>
          <w:rFonts w:eastAsia="Times New Roman" w:cs="Times New Roman"/>
          <w:b/>
          <w:bCs/>
          <w:rtl/>
          <w:lang w:eastAsia="de-DE"/>
        </w:rPr>
        <w:t>לָכֶם</w:t>
      </w:r>
      <w:r w:rsidRPr="00C71054">
        <w:rPr>
          <w:rFonts w:eastAsia="Times New Roman" w:cs="Times New Roman"/>
          <w:rtl/>
          <w:lang w:eastAsia="de-DE"/>
        </w:rPr>
        <w:t xml:space="preserve"> </w:t>
      </w:r>
      <w:r w:rsidRPr="00C71054">
        <w:rPr>
          <w:rFonts w:eastAsia="Times New Roman" w:cs="Times New Roman"/>
          <w:lang w:eastAsia="de-DE"/>
        </w:rPr>
        <w:t xml:space="preserve">(Dativ „für euch"), </w:t>
      </w:r>
      <w:r w:rsidRPr="00C71054">
        <w:rPr>
          <w:rFonts w:eastAsia="Times New Roman" w:cs="Times New Roman"/>
          <w:b/>
          <w:bCs/>
          <w:rtl/>
          <w:lang w:eastAsia="de-DE"/>
        </w:rPr>
        <w:lastRenderedPageBreak/>
        <w:t>עָרִים לְטַפְּכֶם</w:t>
      </w:r>
      <w:r w:rsidRPr="00C71054">
        <w:rPr>
          <w:rFonts w:eastAsia="Times New Roman" w:cs="Times New Roman"/>
          <w:rtl/>
          <w:lang w:eastAsia="de-DE"/>
        </w:rPr>
        <w:t xml:space="preserve"> </w:t>
      </w:r>
      <w:r w:rsidRPr="00C71054">
        <w:rPr>
          <w:rFonts w:eastAsia="Times New Roman" w:cs="Times New Roman"/>
          <w:lang w:eastAsia="de-DE"/>
        </w:rPr>
        <w:t xml:space="preserve">(Plural </w:t>
      </w:r>
      <w:r w:rsidRPr="00C71054">
        <w:rPr>
          <w:rFonts w:eastAsia="Times New Roman" w:cs="Times New Roman"/>
          <w:b/>
          <w:bCs/>
          <w:rtl/>
          <w:lang w:eastAsia="de-DE"/>
        </w:rPr>
        <w:t>עִיר</w:t>
      </w:r>
      <w:r w:rsidRPr="00C71054">
        <w:rPr>
          <w:rFonts w:eastAsia="Times New Roman" w:cs="Times New Roman"/>
          <w:rtl/>
          <w:lang w:eastAsia="de-DE"/>
        </w:rPr>
        <w:t xml:space="preserve"> </w:t>
      </w:r>
      <w:r w:rsidRPr="00C71054">
        <w:rPr>
          <w:rFonts w:eastAsia="Times New Roman" w:cs="Times New Roman"/>
          <w:lang w:eastAsia="de-DE"/>
        </w:rPr>
        <w:t xml:space="preserve">„Städte" mit Präposition </w:t>
      </w:r>
      <w:r w:rsidRPr="00C71054">
        <w:rPr>
          <w:rFonts w:eastAsia="Times New Roman" w:cs="Times New Roman"/>
          <w:b/>
          <w:bCs/>
          <w:rtl/>
          <w:lang w:eastAsia="de-DE"/>
        </w:rPr>
        <w:t>לְ</w:t>
      </w:r>
      <w:r w:rsidRPr="00C71054">
        <w:rPr>
          <w:rFonts w:eastAsia="Times New Roman" w:cs="Times New Roman"/>
          <w:lang w:eastAsia="de-DE"/>
        </w:rPr>
        <w:t xml:space="preserve">, </w:t>
      </w:r>
      <w:r w:rsidRPr="00C71054">
        <w:rPr>
          <w:rFonts w:eastAsia="Times New Roman" w:cs="Times New Roman"/>
          <w:b/>
          <w:bCs/>
          <w:rtl/>
          <w:lang w:eastAsia="de-DE"/>
        </w:rPr>
        <w:t>טַף</w:t>
      </w:r>
      <w:r w:rsidRPr="00C71054">
        <w:rPr>
          <w:rFonts w:eastAsia="Times New Roman" w:cs="Times New Roman"/>
          <w:rtl/>
          <w:lang w:eastAsia="de-DE"/>
        </w:rPr>
        <w:t xml:space="preserve"> </w:t>
      </w:r>
      <w:r w:rsidRPr="00C71054">
        <w:rPr>
          <w:rFonts w:eastAsia="Times New Roman" w:cs="Times New Roman"/>
          <w:lang w:eastAsia="de-DE"/>
        </w:rPr>
        <w:t xml:space="preserve">„Kinder" und Suffix 2. Person Plural „für eure Kinder"), </w:t>
      </w:r>
      <w:r w:rsidRPr="00C71054">
        <w:rPr>
          <w:rFonts w:eastAsia="Times New Roman" w:cs="Times New Roman"/>
          <w:b/>
          <w:bCs/>
          <w:rtl/>
          <w:lang w:eastAsia="de-DE"/>
        </w:rPr>
        <w:t>וּגְדֵרֹת לְצֹנַאֲכֶם</w:t>
      </w:r>
      <w:r w:rsidRPr="00C71054">
        <w:rPr>
          <w:rFonts w:eastAsia="Times New Roman" w:cs="Times New Roman"/>
          <w:rtl/>
          <w:lang w:eastAsia="de-DE"/>
        </w:rPr>
        <w:t xml:space="preserve"> </w:t>
      </w:r>
      <w:r w:rsidRPr="00C71054">
        <w:rPr>
          <w:rFonts w:eastAsia="Times New Roman" w:cs="Times New Roman"/>
          <w:lang w:eastAsia="de-DE"/>
        </w:rPr>
        <w:t xml:space="preserve">(Konjunktion mit Plural von </w:t>
      </w:r>
      <w:r w:rsidRPr="00C71054">
        <w:rPr>
          <w:rFonts w:eastAsia="Times New Roman" w:cs="Times New Roman"/>
          <w:b/>
          <w:bCs/>
          <w:rtl/>
          <w:lang w:eastAsia="de-DE"/>
        </w:rPr>
        <w:t>גְּדֵרָה</w:t>
      </w:r>
      <w:r w:rsidRPr="00C71054">
        <w:rPr>
          <w:rFonts w:eastAsia="Times New Roman" w:cs="Times New Roman"/>
          <w:rtl/>
          <w:lang w:eastAsia="de-DE"/>
        </w:rPr>
        <w:t xml:space="preserve"> </w:t>
      </w:r>
      <w:r w:rsidRPr="00C71054">
        <w:rPr>
          <w:rFonts w:eastAsia="Times New Roman" w:cs="Times New Roman"/>
          <w:lang w:eastAsia="de-DE"/>
        </w:rPr>
        <w:t xml:space="preserve">„Hürde" und Präposition mit </w:t>
      </w:r>
      <w:r w:rsidRPr="00C71054">
        <w:rPr>
          <w:rFonts w:eastAsia="Times New Roman" w:cs="Times New Roman"/>
          <w:b/>
          <w:bCs/>
          <w:rtl/>
          <w:lang w:eastAsia="de-DE"/>
        </w:rPr>
        <w:t>צֹאן</w:t>
      </w:r>
      <w:r w:rsidRPr="00C71054">
        <w:rPr>
          <w:rFonts w:eastAsia="Times New Roman" w:cs="Times New Roman"/>
          <w:rtl/>
          <w:lang w:eastAsia="de-DE"/>
        </w:rPr>
        <w:t xml:space="preserve"> </w:t>
      </w:r>
      <w:r w:rsidRPr="00C71054">
        <w:rPr>
          <w:rFonts w:eastAsia="Times New Roman" w:cs="Times New Roman"/>
          <w:lang w:eastAsia="de-DE"/>
        </w:rPr>
        <w:t>„Kleinvieh" und Suffix „und Hürden für euer Kleinvieh"). Bemerkenswert: Mose korrigiert die Reihenfolge aus V. 16 - jetzt stehen die Kinder vor dem Vieh, was die richtige Priorität zeigt.</w:t>
      </w:r>
    </w:p>
    <w:p w14:paraId="412E9A6E"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rtl/>
          <w:lang w:eastAsia="de-DE"/>
        </w:rPr>
        <w:t>וְהַיֹּצֵא מִפִּיכֶם תַּעֲשׂוּ</w:t>
      </w:r>
      <w:r w:rsidRPr="00C71054">
        <w:rPr>
          <w:rFonts w:eastAsia="Times New Roman" w:cs="Times New Roman"/>
          <w:rtl/>
          <w:lang w:eastAsia="de-DE"/>
        </w:rPr>
        <w:t xml:space="preserve"> </w:t>
      </w:r>
      <w:r w:rsidRPr="00C71054">
        <w:rPr>
          <w:rFonts w:eastAsia="Times New Roman" w:cs="Times New Roman"/>
          <w:lang w:eastAsia="de-DE"/>
        </w:rPr>
        <w:t xml:space="preserve">ist die Mahnung. </w:t>
      </w:r>
      <w:r w:rsidRPr="00C71054">
        <w:rPr>
          <w:rFonts w:eastAsia="Times New Roman" w:cs="Times New Roman"/>
          <w:b/>
          <w:bCs/>
          <w:rtl/>
          <w:lang w:eastAsia="de-DE"/>
        </w:rPr>
        <w:t>וְהַיֹּצֵא מִפִּיכֶם</w:t>
      </w:r>
      <w:r w:rsidRPr="00C71054">
        <w:rPr>
          <w:rFonts w:eastAsia="Times New Roman" w:cs="Times New Roman"/>
          <w:rtl/>
          <w:lang w:eastAsia="de-DE"/>
        </w:rPr>
        <w:t xml:space="preserve"> </w:t>
      </w:r>
      <w:r w:rsidRPr="00C71054">
        <w:rPr>
          <w:rFonts w:eastAsia="Times New Roman" w:cs="Times New Roman"/>
          <w:lang w:eastAsia="de-DE"/>
        </w:rPr>
        <w:t xml:space="preserve">(Konjunktion mit Qal-Partizip von </w:t>
      </w:r>
      <w:r w:rsidRPr="00C71054">
        <w:rPr>
          <w:rFonts w:eastAsia="Times New Roman" w:cs="Times New Roman"/>
          <w:b/>
          <w:bCs/>
          <w:rtl/>
          <w:lang w:eastAsia="de-DE"/>
        </w:rPr>
        <w:t>יצא</w:t>
      </w:r>
      <w:r w:rsidRPr="00C71054">
        <w:rPr>
          <w:rFonts w:eastAsia="Times New Roman" w:cs="Times New Roman"/>
          <w:rtl/>
          <w:lang w:eastAsia="de-DE"/>
        </w:rPr>
        <w:t xml:space="preserve"> </w:t>
      </w:r>
      <w:r w:rsidRPr="00C71054">
        <w:rPr>
          <w:rFonts w:eastAsia="Times New Roman" w:cs="Times New Roman"/>
          <w:lang w:eastAsia="de-DE"/>
        </w:rPr>
        <w:t xml:space="preserve">„ausgehen" mit Artikel und Präposition </w:t>
      </w:r>
      <w:r w:rsidRPr="00C71054">
        <w:rPr>
          <w:rFonts w:eastAsia="Times New Roman" w:cs="Times New Roman"/>
          <w:b/>
          <w:bCs/>
          <w:rtl/>
          <w:lang w:eastAsia="de-DE"/>
        </w:rPr>
        <w:t>מִן</w:t>
      </w:r>
      <w:r w:rsidRPr="00C71054">
        <w:rPr>
          <w:rFonts w:eastAsia="Times New Roman" w:cs="Times New Roman"/>
          <w:rtl/>
          <w:lang w:eastAsia="de-DE"/>
        </w:rPr>
        <w:t xml:space="preserve"> </w:t>
      </w:r>
      <w:r w:rsidRPr="00C71054">
        <w:rPr>
          <w:rFonts w:eastAsia="Times New Roman" w:cs="Times New Roman"/>
          <w:lang w:eastAsia="de-DE"/>
        </w:rPr>
        <w:t xml:space="preserve">mit </w:t>
      </w:r>
      <w:r w:rsidRPr="00C71054">
        <w:rPr>
          <w:rFonts w:eastAsia="Times New Roman" w:cs="Times New Roman"/>
          <w:b/>
          <w:bCs/>
          <w:rtl/>
          <w:lang w:eastAsia="de-DE"/>
        </w:rPr>
        <w:t>פֶּה</w:t>
      </w:r>
      <w:r w:rsidRPr="00C71054">
        <w:rPr>
          <w:rFonts w:eastAsia="Times New Roman" w:cs="Times New Roman"/>
          <w:rtl/>
          <w:lang w:eastAsia="de-DE"/>
        </w:rPr>
        <w:t xml:space="preserve"> </w:t>
      </w:r>
      <w:r w:rsidRPr="00C71054">
        <w:rPr>
          <w:rFonts w:eastAsia="Times New Roman" w:cs="Times New Roman"/>
          <w:lang w:eastAsia="de-DE"/>
        </w:rPr>
        <w:t xml:space="preserve">„Mund" und Suffix 2. Person Plural „was aus eurem Mund herausgeht"), </w:t>
      </w:r>
      <w:r w:rsidRPr="00C71054">
        <w:rPr>
          <w:rFonts w:eastAsia="Times New Roman" w:cs="Times New Roman"/>
          <w:b/>
          <w:bCs/>
          <w:rtl/>
          <w:lang w:eastAsia="de-DE"/>
        </w:rPr>
        <w:t>תַּעֲשׂוּ</w:t>
      </w:r>
      <w:r w:rsidRPr="00C71054">
        <w:rPr>
          <w:rFonts w:eastAsia="Times New Roman" w:cs="Times New Roman"/>
          <w:rtl/>
          <w:lang w:eastAsia="de-DE"/>
        </w:rPr>
        <w:t xml:space="preserve"> </w:t>
      </w:r>
      <w:r w:rsidRPr="00C71054">
        <w:rPr>
          <w:rFonts w:eastAsia="Times New Roman" w:cs="Times New Roman"/>
          <w:lang w:eastAsia="de-DE"/>
        </w:rPr>
        <w:t xml:space="preserve">(Qal Imperfekt 2. Person Plural von </w:t>
      </w:r>
      <w:r w:rsidRPr="00C71054">
        <w:rPr>
          <w:rFonts w:eastAsia="Times New Roman" w:cs="Times New Roman"/>
          <w:b/>
          <w:bCs/>
          <w:rtl/>
          <w:lang w:eastAsia="de-DE"/>
        </w:rPr>
        <w:t>עשׂה</w:t>
      </w:r>
      <w:r w:rsidRPr="00C71054">
        <w:rPr>
          <w:rFonts w:eastAsia="Times New Roman" w:cs="Times New Roman"/>
          <w:rtl/>
          <w:lang w:eastAsia="de-DE"/>
        </w:rPr>
        <w:t xml:space="preserve"> </w:t>
      </w:r>
      <w:r w:rsidRPr="00C71054">
        <w:rPr>
          <w:rFonts w:eastAsia="Times New Roman" w:cs="Times New Roman"/>
          <w:lang w:eastAsia="de-DE"/>
        </w:rPr>
        <w:t>„tun"). Das Gesagte muss getan werden - ein Prinzip der Verbindlichkeit mündlicher Zusagen.</w:t>
      </w:r>
    </w:p>
    <w:p w14:paraId="4841F199"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zwei Imperative, der zweite mit partizipialem Objekt.</w:t>
      </w:r>
    </w:p>
    <w:p w14:paraId="24DE45E3"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gibt die Erlaubnis zur Ansiedlung, korrigiert aber subtil die Prioritäten (Kinder vor Vieh) und mahnt zur Erfüllung der gegebenen Versprechen - was aus dem Mund kam, muss getan werden.</w:t>
      </w:r>
    </w:p>
    <w:p w14:paraId="7E2BDDFE"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32,25</w:t>
      </w:r>
    </w:p>
    <w:p w14:paraId="73F052E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וַיֹּ֤אמֶר בְּנֵי־גָד֙ וּבְנֵ֣י רְאוּבֵ֔ן אֶל־מֹשֶׁ֖ה לֵאמֹ֑ר עֲבָדֶ֣יךָ יַעֲשׂ֔וּ כַּאֲשֶׁ֥ר אֲדֹנִ֖י מְצַוֶּֽה׃</w:t>
      </w:r>
    </w:p>
    <w:p w14:paraId="65A87A72"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die Söhne Gad und die Söhne Re'uven sprachen zu Mosche, sagend: „Deine Knechte werden tun, wie mein Herr gebietet.</w:t>
      </w:r>
    </w:p>
    <w:p w14:paraId="0B6E593C"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01E09E54">
          <v:rect id="_x0000_i2011" style="width:0;height:1.5pt" o:hralign="center" o:hrstd="t" o:hr="t" fillcolor="#a0a0a0" stroked="f"/>
        </w:pict>
      </w:r>
    </w:p>
    <w:p w14:paraId="236202E7"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zeigt die Zusage von Gad und Ruben. </w:t>
      </w:r>
      <w:r w:rsidRPr="00C71054">
        <w:rPr>
          <w:rFonts w:eastAsia="Times New Roman" w:cs="Times New Roman"/>
          <w:b/>
          <w:bCs/>
          <w:rtl/>
          <w:lang w:eastAsia="de-DE"/>
        </w:rPr>
        <w:t>וַיֹּאמֶר בְּנֵי־גָד וּבְנֵי רְאוּבֵן אֶל־מֹשֶׁה לֵאמֹר</w:t>
      </w:r>
      <w:r w:rsidRPr="00C71054">
        <w:rPr>
          <w:rFonts w:eastAsia="Times New Roman" w:cs="Times New Roman"/>
          <w:rtl/>
          <w:lang w:eastAsia="de-DE"/>
        </w:rPr>
        <w:t xml:space="preserve"> </w:t>
      </w:r>
      <w:r w:rsidRPr="00C71054">
        <w:rPr>
          <w:rFonts w:eastAsia="Times New Roman" w:cs="Times New Roman"/>
          <w:lang w:eastAsia="de-DE"/>
        </w:rPr>
        <w:t xml:space="preserve">ist die Redeeinleitung. </w:t>
      </w:r>
      <w:r w:rsidRPr="00C71054">
        <w:rPr>
          <w:rFonts w:eastAsia="Times New Roman" w:cs="Times New Roman"/>
          <w:b/>
          <w:bCs/>
          <w:rtl/>
          <w:lang w:eastAsia="de-DE"/>
        </w:rPr>
        <w:t>עֲבָדֶיךָ יַעֲשׂוּ כַּאֲשֶׁר אֲדֹנִי מְצַוֶּה</w:t>
      </w:r>
      <w:r w:rsidRPr="00C71054">
        <w:rPr>
          <w:rFonts w:eastAsia="Times New Roman" w:cs="Times New Roman"/>
          <w:rtl/>
          <w:lang w:eastAsia="de-DE"/>
        </w:rPr>
        <w:t xml:space="preserve"> </w:t>
      </w:r>
      <w:r w:rsidRPr="00C71054">
        <w:rPr>
          <w:rFonts w:eastAsia="Times New Roman" w:cs="Times New Roman"/>
          <w:lang w:eastAsia="de-DE"/>
        </w:rPr>
        <w:t xml:space="preserve">ist die demütige Zusage. </w:t>
      </w:r>
      <w:r w:rsidRPr="00C71054">
        <w:rPr>
          <w:rFonts w:eastAsia="Times New Roman" w:cs="Times New Roman"/>
          <w:b/>
          <w:bCs/>
          <w:rtl/>
          <w:lang w:eastAsia="de-DE"/>
        </w:rPr>
        <w:t>עֲבָדֶיךָ</w:t>
      </w:r>
      <w:r w:rsidRPr="00C71054">
        <w:rPr>
          <w:rFonts w:eastAsia="Times New Roman" w:cs="Times New Roman"/>
          <w:rtl/>
          <w:lang w:eastAsia="de-DE"/>
        </w:rPr>
        <w:t xml:space="preserve"> </w:t>
      </w:r>
      <w:r w:rsidRPr="00C71054">
        <w:rPr>
          <w:rFonts w:eastAsia="Times New Roman" w:cs="Times New Roman"/>
          <w:lang w:eastAsia="de-DE"/>
        </w:rPr>
        <w:t xml:space="preserve">(Plural von </w:t>
      </w:r>
      <w:r w:rsidRPr="00C71054">
        <w:rPr>
          <w:rFonts w:eastAsia="Times New Roman" w:cs="Times New Roman"/>
          <w:b/>
          <w:bCs/>
          <w:rtl/>
          <w:lang w:eastAsia="de-DE"/>
        </w:rPr>
        <w:t>עֶבֶד</w:t>
      </w:r>
      <w:r w:rsidRPr="00C71054">
        <w:rPr>
          <w:rFonts w:eastAsia="Times New Roman" w:cs="Times New Roman"/>
          <w:rtl/>
          <w:lang w:eastAsia="de-DE"/>
        </w:rPr>
        <w:t xml:space="preserve"> </w:t>
      </w:r>
      <w:r w:rsidRPr="00C71054">
        <w:rPr>
          <w:rFonts w:eastAsia="Times New Roman" w:cs="Times New Roman"/>
          <w:lang w:eastAsia="de-DE"/>
        </w:rPr>
        <w:t xml:space="preserve">„Knecht" mit Suffix 2. Person maskulin Singular „deine Knechte" - demütige Selbstbezeichnung), </w:t>
      </w:r>
      <w:r w:rsidRPr="00C71054">
        <w:rPr>
          <w:rFonts w:eastAsia="Times New Roman" w:cs="Times New Roman"/>
          <w:b/>
          <w:bCs/>
          <w:rtl/>
          <w:lang w:eastAsia="de-DE"/>
        </w:rPr>
        <w:t>יַעֲשׂוּ</w:t>
      </w:r>
      <w:r w:rsidRPr="00C71054">
        <w:rPr>
          <w:rFonts w:eastAsia="Times New Roman" w:cs="Times New Roman"/>
          <w:rtl/>
          <w:lang w:eastAsia="de-DE"/>
        </w:rPr>
        <w:t xml:space="preserve"> </w:t>
      </w:r>
      <w:r w:rsidRPr="00C71054">
        <w:rPr>
          <w:rFonts w:eastAsia="Times New Roman" w:cs="Times New Roman"/>
          <w:lang w:eastAsia="de-DE"/>
        </w:rPr>
        <w:t xml:space="preserve">(Qal Imperfekt 3. Person Plural von </w:t>
      </w:r>
      <w:r w:rsidRPr="00C71054">
        <w:rPr>
          <w:rFonts w:eastAsia="Times New Roman" w:cs="Times New Roman"/>
          <w:b/>
          <w:bCs/>
          <w:rtl/>
          <w:lang w:eastAsia="de-DE"/>
        </w:rPr>
        <w:t>עשׂה</w:t>
      </w:r>
      <w:r w:rsidRPr="00C71054">
        <w:rPr>
          <w:rFonts w:eastAsia="Times New Roman" w:cs="Times New Roman"/>
          <w:rtl/>
          <w:lang w:eastAsia="de-DE"/>
        </w:rPr>
        <w:t xml:space="preserve"> </w:t>
      </w:r>
      <w:r w:rsidRPr="00C71054">
        <w:rPr>
          <w:rFonts w:eastAsia="Times New Roman" w:cs="Times New Roman"/>
          <w:lang w:eastAsia="de-DE"/>
        </w:rPr>
        <w:t xml:space="preserve">„tun, machen"), </w:t>
      </w:r>
      <w:r w:rsidRPr="00C71054">
        <w:rPr>
          <w:rFonts w:eastAsia="Times New Roman" w:cs="Times New Roman"/>
          <w:b/>
          <w:bCs/>
          <w:rtl/>
          <w:lang w:eastAsia="de-DE"/>
        </w:rPr>
        <w:t>כַּאֲשֶׁר</w:t>
      </w:r>
      <w:r w:rsidRPr="00C71054">
        <w:rPr>
          <w:rFonts w:eastAsia="Times New Roman" w:cs="Times New Roman"/>
          <w:rtl/>
          <w:lang w:eastAsia="de-DE"/>
        </w:rPr>
        <w:t xml:space="preserve"> </w:t>
      </w:r>
      <w:r w:rsidRPr="00C71054">
        <w:rPr>
          <w:rFonts w:eastAsia="Times New Roman" w:cs="Times New Roman"/>
          <w:lang w:eastAsia="de-DE"/>
        </w:rPr>
        <w:t xml:space="preserve">(Vergleichskonjunktion „wie, so wie"), </w:t>
      </w:r>
      <w:r w:rsidRPr="00C71054">
        <w:rPr>
          <w:rFonts w:eastAsia="Times New Roman" w:cs="Times New Roman"/>
          <w:b/>
          <w:bCs/>
          <w:rtl/>
          <w:lang w:eastAsia="de-DE"/>
        </w:rPr>
        <w:t>אֲדֹנִי</w:t>
      </w:r>
      <w:r w:rsidRPr="00C71054">
        <w:rPr>
          <w:rFonts w:eastAsia="Times New Roman" w:cs="Times New Roman"/>
          <w:rtl/>
          <w:lang w:eastAsia="de-DE"/>
        </w:rPr>
        <w:t xml:space="preserve"> </w:t>
      </w:r>
      <w:r w:rsidRPr="00C71054">
        <w:rPr>
          <w:rFonts w:eastAsia="Times New Roman" w:cs="Times New Roman"/>
          <w:lang w:eastAsia="de-DE"/>
        </w:rPr>
        <w:t xml:space="preserve">(Singular </w:t>
      </w:r>
      <w:r w:rsidRPr="00C71054">
        <w:rPr>
          <w:rFonts w:eastAsia="Times New Roman" w:cs="Times New Roman"/>
          <w:b/>
          <w:bCs/>
          <w:rtl/>
          <w:lang w:eastAsia="de-DE"/>
        </w:rPr>
        <w:t>אָדוֹן</w:t>
      </w:r>
      <w:r w:rsidRPr="00C71054">
        <w:rPr>
          <w:rFonts w:eastAsia="Times New Roman" w:cs="Times New Roman"/>
          <w:rtl/>
          <w:lang w:eastAsia="de-DE"/>
        </w:rPr>
        <w:t xml:space="preserve"> </w:t>
      </w:r>
      <w:r w:rsidRPr="00C71054">
        <w:rPr>
          <w:rFonts w:eastAsia="Times New Roman" w:cs="Times New Roman"/>
          <w:lang w:eastAsia="de-DE"/>
        </w:rPr>
        <w:t xml:space="preserve">„Herr" mit Suffix 1. Person Singular „mein Herr"), </w:t>
      </w:r>
      <w:r w:rsidRPr="00C71054">
        <w:rPr>
          <w:rFonts w:eastAsia="Times New Roman" w:cs="Times New Roman"/>
          <w:b/>
          <w:bCs/>
          <w:rtl/>
          <w:lang w:eastAsia="de-DE"/>
        </w:rPr>
        <w:t>מְצַוֶּה</w:t>
      </w:r>
      <w:r w:rsidRPr="00C71054">
        <w:rPr>
          <w:rFonts w:eastAsia="Times New Roman" w:cs="Times New Roman"/>
          <w:rtl/>
          <w:lang w:eastAsia="de-DE"/>
        </w:rPr>
        <w:t xml:space="preserve"> </w:t>
      </w:r>
      <w:r w:rsidRPr="00C71054">
        <w:rPr>
          <w:rFonts w:eastAsia="Times New Roman" w:cs="Times New Roman"/>
          <w:lang w:eastAsia="de-DE"/>
        </w:rPr>
        <w:t xml:space="preserve">(Piel-Partizip maskulin Singular von </w:t>
      </w:r>
      <w:r w:rsidRPr="00C71054">
        <w:rPr>
          <w:rFonts w:eastAsia="Times New Roman" w:cs="Times New Roman"/>
          <w:b/>
          <w:bCs/>
          <w:rtl/>
          <w:lang w:eastAsia="de-DE"/>
        </w:rPr>
        <w:t>צוה</w:t>
      </w:r>
      <w:r w:rsidRPr="00C71054">
        <w:rPr>
          <w:rFonts w:eastAsia="Times New Roman" w:cs="Times New Roman"/>
          <w:rtl/>
          <w:lang w:eastAsia="de-DE"/>
        </w:rPr>
        <w:t xml:space="preserve"> </w:t>
      </w:r>
      <w:r w:rsidRPr="00C71054">
        <w:rPr>
          <w:rFonts w:eastAsia="Times New Roman" w:cs="Times New Roman"/>
          <w:lang w:eastAsia="de-DE"/>
        </w:rPr>
        <w:t>„befehlen, gebieten").</w:t>
      </w:r>
    </w:p>
    <w:p w14:paraId="26468AC2"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eine Redeeinleitung, gefolgt von einer einfachen Zusage mit Vergleichssatz.</w:t>
      </w:r>
    </w:p>
    <w:p w14:paraId="7B45F1D8"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zeigt die bedingungslose Annahme von Moses Bedingungen: Gad und Ruben verpflichten sich, genau das zu tun, was Mose befiehlt - eine klare Unterwerfung unter seine Autorität.</w:t>
      </w:r>
    </w:p>
    <w:p w14:paraId="455BD33F"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32,26</w:t>
      </w:r>
    </w:p>
    <w:p w14:paraId="6EC3E164"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טַפֵּ֣נוּ נָשֵׁ֔ינוּ מִקְנֵ֖נוּ וְכָל־בְּהֶמְתֵּ֑נוּ יִֽהְיוּ־שָׁ֖ם בְּעָרֵ֥י הַגִּלְעָֽד׃</w:t>
      </w:r>
    </w:p>
    <w:p w14:paraId="6BAA9A6F"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Unsere Kinder, unsere Frauen, unsere Herden und all unser Vieh sollen dort in den Städten Gil'ads sein;</w:t>
      </w:r>
    </w:p>
    <w:p w14:paraId="0AF37DC0"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2126A5A7">
          <v:rect id="_x0000_i2012" style="width:0;height:1.5pt" o:hralign="center" o:hrstd="t" o:hr="t" fillcolor="#a0a0a0" stroked="f"/>
        </w:pict>
      </w:r>
    </w:p>
    <w:p w14:paraId="3A2BF81B"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lastRenderedPageBreak/>
        <w:t>Kommentar:</w:t>
      </w:r>
      <w:r w:rsidRPr="00C71054">
        <w:rPr>
          <w:rFonts w:eastAsia="Times New Roman" w:cs="Times New Roman"/>
          <w:lang w:eastAsia="de-DE"/>
        </w:rPr>
        <w:t xml:space="preserve"> Der Vers spezifiziert, wer zurückbleibt. </w:t>
      </w:r>
      <w:r w:rsidRPr="00C71054">
        <w:rPr>
          <w:rFonts w:eastAsia="Times New Roman" w:cs="Times New Roman"/>
          <w:b/>
          <w:bCs/>
          <w:rtl/>
          <w:lang w:eastAsia="de-DE"/>
        </w:rPr>
        <w:t>טַפֵּנוּ נָשֵׁינוּ מִקְנֵנוּ וְכָל־בְּהֶמְתֵּנוּ</w:t>
      </w:r>
      <w:r w:rsidRPr="00C71054">
        <w:rPr>
          <w:rFonts w:eastAsia="Times New Roman" w:cs="Times New Roman"/>
          <w:rtl/>
          <w:lang w:eastAsia="de-DE"/>
        </w:rPr>
        <w:t xml:space="preserve"> </w:t>
      </w:r>
      <w:r w:rsidRPr="00C71054">
        <w:rPr>
          <w:rFonts w:eastAsia="Times New Roman" w:cs="Times New Roman"/>
          <w:lang w:eastAsia="de-DE"/>
        </w:rPr>
        <w:t xml:space="preserve">ist die vierfache Aufzählung. </w:t>
      </w:r>
      <w:r w:rsidRPr="00C71054">
        <w:rPr>
          <w:rFonts w:eastAsia="Times New Roman" w:cs="Times New Roman"/>
          <w:b/>
          <w:bCs/>
          <w:rtl/>
          <w:lang w:eastAsia="de-DE"/>
        </w:rPr>
        <w:t>טַפֵּנוּ</w:t>
      </w:r>
      <w:r w:rsidRPr="00C71054">
        <w:rPr>
          <w:rFonts w:eastAsia="Times New Roman" w:cs="Times New Roman"/>
          <w:rtl/>
          <w:lang w:eastAsia="de-DE"/>
        </w:rPr>
        <w:t xml:space="preserve"> </w:t>
      </w:r>
      <w:r w:rsidRPr="00C71054">
        <w:rPr>
          <w:rFonts w:eastAsia="Times New Roman" w:cs="Times New Roman"/>
          <w:lang w:eastAsia="de-DE"/>
        </w:rPr>
        <w:t>(</w:t>
      </w:r>
      <w:r w:rsidRPr="00C71054">
        <w:rPr>
          <w:rFonts w:eastAsia="Times New Roman" w:cs="Times New Roman"/>
          <w:b/>
          <w:bCs/>
          <w:rtl/>
          <w:lang w:eastAsia="de-DE"/>
        </w:rPr>
        <w:t>טַף</w:t>
      </w:r>
      <w:r w:rsidRPr="00C71054">
        <w:rPr>
          <w:rFonts w:eastAsia="Times New Roman" w:cs="Times New Roman"/>
          <w:rtl/>
          <w:lang w:eastAsia="de-DE"/>
        </w:rPr>
        <w:t xml:space="preserve"> </w:t>
      </w:r>
      <w:r w:rsidRPr="00C71054">
        <w:rPr>
          <w:rFonts w:eastAsia="Times New Roman" w:cs="Times New Roman"/>
          <w:lang w:eastAsia="de-DE"/>
        </w:rPr>
        <w:t xml:space="preserve">„Kinder" mit Suffix 1. Person Plural „unsere Kinder"), </w:t>
      </w:r>
      <w:r w:rsidRPr="00C71054">
        <w:rPr>
          <w:rFonts w:eastAsia="Times New Roman" w:cs="Times New Roman"/>
          <w:b/>
          <w:bCs/>
          <w:rtl/>
          <w:lang w:eastAsia="de-DE"/>
        </w:rPr>
        <w:t>נָשֵׁינוּ</w:t>
      </w:r>
      <w:r w:rsidRPr="00C71054">
        <w:rPr>
          <w:rFonts w:eastAsia="Times New Roman" w:cs="Times New Roman"/>
          <w:rtl/>
          <w:lang w:eastAsia="de-DE"/>
        </w:rPr>
        <w:t xml:space="preserve"> </w:t>
      </w:r>
      <w:r w:rsidRPr="00C71054">
        <w:rPr>
          <w:rFonts w:eastAsia="Times New Roman" w:cs="Times New Roman"/>
          <w:lang w:eastAsia="de-DE"/>
        </w:rPr>
        <w:t xml:space="preserve">(Plural von </w:t>
      </w:r>
      <w:r w:rsidRPr="00C71054">
        <w:rPr>
          <w:rFonts w:eastAsia="Times New Roman" w:cs="Times New Roman"/>
          <w:b/>
          <w:bCs/>
          <w:rtl/>
          <w:lang w:eastAsia="de-DE"/>
        </w:rPr>
        <w:t>אִשָּׁה</w:t>
      </w:r>
      <w:r w:rsidRPr="00C71054">
        <w:rPr>
          <w:rFonts w:eastAsia="Times New Roman" w:cs="Times New Roman"/>
          <w:rtl/>
          <w:lang w:eastAsia="de-DE"/>
        </w:rPr>
        <w:t xml:space="preserve"> </w:t>
      </w:r>
      <w:r w:rsidRPr="00C71054">
        <w:rPr>
          <w:rFonts w:eastAsia="Times New Roman" w:cs="Times New Roman"/>
          <w:lang w:eastAsia="de-DE"/>
        </w:rPr>
        <w:t xml:space="preserve">„Frau" mit Suffix „unsere Frauen" - jetzt erstmals erwähnt), </w:t>
      </w:r>
      <w:r w:rsidRPr="00C71054">
        <w:rPr>
          <w:rFonts w:eastAsia="Times New Roman" w:cs="Times New Roman"/>
          <w:b/>
          <w:bCs/>
          <w:rtl/>
          <w:lang w:eastAsia="de-DE"/>
        </w:rPr>
        <w:t>מִקְנֵנוּ</w:t>
      </w:r>
      <w:r w:rsidRPr="00C71054">
        <w:rPr>
          <w:rFonts w:eastAsia="Times New Roman" w:cs="Times New Roman"/>
          <w:rtl/>
          <w:lang w:eastAsia="de-DE"/>
        </w:rPr>
        <w:t xml:space="preserve"> </w:t>
      </w:r>
      <w:r w:rsidRPr="00C71054">
        <w:rPr>
          <w:rFonts w:eastAsia="Times New Roman" w:cs="Times New Roman"/>
          <w:lang w:eastAsia="de-DE"/>
        </w:rPr>
        <w:t>(</w:t>
      </w:r>
      <w:r w:rsidRPr="00C71054">
        <w:rPr>
          <w:rFonts w:eastAsia="Times New Roman" w:cs="Times New Roman"/>
          <w:b/>
          <w:bCs/>
          <w:rtl/>
          <w:lang w:eastAsia="de-DE"/>
        </w:rPr>
        <w:t>מִקְנֶה</w:t>
      </w:r>
      <w:r w:rsidRPr="00C71054">
        <w:rPr>
          <w:rFonts w:eastAsia="Times New Roman" w:cs="Times New Roman"/>
          <w:rtl/>
          <w:lang w:eastAsia="de-DE"/>
        </w:rPr>
        <w:t xml:space="preserve"> </w:t>
      </w:r>
      <w:r w:rsidRPr="00C71054">
        <w:rPr>
          <w:rFonts w:eastAsia="Times New Roman" w:cs="Times New Roman"/>
          <w:lang w:eastAsia="de-DE"/>
        </w:rPr>
        <w:t xml:space="preserve">„Herden, Vieh" mit Suffix „unsere Herden"), </w:t>
      </w:r>
      <w:r w:rsidRPr="00C71054">
        <w:rPr>
          <w:rFonts w:eastAsia="Times New Roman" w:cs="Times New Roman"/>
          <w:b/>
          <w:bCs/>
          <w:rtl/>
          <w:lang w:eastAsia="de-DE"/>
        </w:rPr>
        <w:t>וְכָל־בְּהֶמְתֵּנוּ</w:t>
      </w:r>
      <w:r w:rsidRPr="00C71054">
        <w:rPr>
          <w:rFonts w:eastAsia="Times New Roman" w:cs="Times New Roman"/>
          <w:rtl/>
          <w:lang w:eastAsia="de-DE"/>
        </w:rPr>
        <w:t xml:space="preserve"> </w:t>
      </w:r>
      <w:r w:rsidRPr="00C71054">
        <w:rPr>
          <w:rFonts w:eastAsia="Times New Roman" w:cs="Times New Roman"/>
          <w:lang w:eastAsia="de-DE"/>
        </w:rPr>
        <w:t xml:space="preserve">(Konjunktion mit </w:t>
      </w:r>
      <w:r w:rsidRPr="00C71054">
        <w:rPr>
          <w:rFonts w:eastAsia="Times New Roman" w:cs="Times New Roman"/>
          <w:b/>
          <w:bCs/>
          <w:rtl/>
          <w:lang w:eastAsia="de-DE"/>
        </w:rPr>
        <w:t>כֹּל</w:t>
      </w:r>
      <w:r w:rsidRPr="00C71054">
        <w:rPr>
          <w:rFonts w:eastAsia="Times New Roman" w:cs="Times New Roman"/>
          <w:rtl/>
          <w:lang w:eastAsia="de-DE"/>
        </w:rPr>
        <w:t xml:space="preserve"> </w:t>
      </w:r>
      <w:r w:rsidRPr="00C71054">
        <w:rPr>
          <w:rFonts w:eastAsia="Times New Roman" w:cs="Times New Roman"/>
          <w:lang w:eastAsia="de-DE"/>
        </w:rPr>
        <w:t xml:space="preserve">und </w:t>
      </w:r>
      <w:r w:rsidRPr="00C71054">
        <w:rPr>
          <w:rFonts w:eastAsia="Times New Roman" w:cs="Times New Roman"/>
          <w:b/>
          <w:bCs/>
          <w:rtl/>
          <w:lang w:eastAsia="de-DE"/>
        </w:rPr>
        <w:t>בְּהֵמָה</w:t>
      </w:r>
      <w:r w:rsidRPr="00C71054">
        <w:rPr>
          <w:rFonts w:eastAsia="Times New Roman" w:cs="Times New Roman"/>
          <w:rtl/>
          <w:lang w:eastAsia="de-DE"/>
        </w:rPr>
        <w:t xml:space="preserve"> </w:t>
      </w:r>
      <w:r w:rsidRPr="00C71054">
        <w:rPr>
          <w:rFonts w:eastAsia="Times New Roman" w:cs="Times New Roman"/>
          <w:lang w:eastAsia="de-DE"/>
        </w:rPr>
        <w:t>„Vieh" mit Suffix „und all unser Vieh"). Die Reihenfolge (Kinder, Frauen, dann Vieh) zeigt die korrekte Priorität.</w:t>
      </w:r>
    </w:p>
    <w:p w14:paraId="43D9F6FB" w14:textId="64959B8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rtl/>
          <w:lang w:eastAsia="de-DE"/>
        </w:rPr>
        <w:t>יִהְיוּ־שָׁם בְּעָרֵי הַגִּלְעָד</w:t>
      </w:r>
      <w:r w:rsidRPr="00C71054">
        <w:rPr>
          <w:rFonts w:eastAsia="Times New Roman" w:cs="Times New Roman"/>
          <w:rtl/>
          <w:lang w:eastAsia="de-DE"/>
        </w:rPr>
        <w:t xml:space="preserve"> </w:t>
      </w:r>
      <w:r w:rsidRPr="00C71054">
        <w:rPr>
          <w:rFonts w:eastAsia="Times New Roman" w:cs="Times New Roman"/>
          <w:lang w:eastAsia="de-DE"/>
        </w:rPr>
        <w:t xml:space="preserve">gibt den Ort an. </w:t>
      </w:r>
      <w:r w:rsidRPr="00C71054">
        <w:rPr>
          <w:rFonts w:eastAsia="Times New Roman" w:cs="Times New Roman"/>
          <w:b/>
          <w:bCs/>
          <w:rtl/>
          <w:lang w:eastAsia="de-DE"/>
        </w:rPr>
        <w:t>יִהְיוּ</w:t>
      </w:r>
      <w:r w:rsidRPr="00C71054">
        <w:rPr>
          <w:rFonts w:eastAsia="Times New Roman" w:cs="Times New Roman"/>
          <w:rtl/>
          <w:lang w:eastAsia="de-DE"/>
        </w:rPr>
        <w:t xml:space="preserve"> </w:t>
      </w:r>
      <w:r w:rsidRPr="00C71054">
        <w:rPr>
          <w:rFonts w:eastAsia="Times New Roman" w:cs="Times New Roman"/>
          <w:lang w:eastAsia="de-DE"/>
        </w:rPr>
        <w:t xml:space="preserve">(Qal Imperfekt 3. Person Plural von </w:t>
      </w:r>
      <w:r w:rsidRPr="00C71054">
        <w:rPr>
          <w:rFonts w:eastAsia="Times New Roman" w:cs="Times New Roman"/>
          <w:b/>
          <w:bCs/>
          <w:rtl/>
          <w:lang w:eastAsia="de-DE"/>
        </w:rPr>
        <w:t>היה</w:t>
      </w:r>
      <w:r w:rsidRPr="00C71054">
        <w:rPr>
          <w:rFonts w:eastAsia="Times New Roman" w:cs="Times New Roman"/>
          <w:rtl/>
          <w:lang w:eastAsia="de-DE"/>
        </w:rPr>
        <w:t xml:space="preserve"> </w:t>
      </w:r>
      <w:r w:rsidRPr="00C71054">
        <w:rPr>
          <w:rFonts w:eastAsia="Times New Roman" w:cs="Times New Roman"/>
          <w:lang w:eastAsia="de-DE"/>
        </w:rPr>
        <w:t xml:space="preserve">„sein"), </w:t>
      </w:r>
      <w:r w:rsidRPr="00C71054">
        <w:rPr>
          <w:rFonts w:eastAsia="Times New Roman" w:cs="Times New Roman"/>
          <w:b/>
          <w:bCs/>
          <w:rtl/>
          <w:lang w:eastAsia="de-DE"/>
        </w:rPr>
        <w:t>שָׁם</w:t>
      </w:r>
      <w:r w:rsidRPr="00C71054">
        <w:rPr>
          <w:rFonts w:eastAsia="Times New Roman" w:cs="Times New Roman"/>
          <w:rtl/>
          <w:lang w:eastAsia="de-DE"/>
        </w:rPr>
        <w:t xml:space="preserve"> </w:t>
      </w:r>
      <w:r w:rsidRPr="00C71054">
        <w:rPr>
          <w:rFonts w:eastAsia="Times New Roman" w:cs="Times New Roman"/>
          <w:lang w:eastAsia="de-DE"/>
        </w:rPr>
        <w:t xml:space="preserve">(Adverb „dort"), </w:t>
      </w:r>
      <w:r w:rsidRPr="00C71054">
        <w:rPr>
          <w:rFonts w:eastAsia="Times New Roman" w:cs="Times New Roman"/>
          <w:b/>
          <w:bCs/>
          <w:rtl/>
          <w:lang w:eastAsia="de-DE"/>
        </w:rPr>
        <w:t>בְּעָרֵי הַגִּלְעָד</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בְ</w:t>
      </w:r>
      <w:r w:rsidRPr="00C71054">
        <w:rPr>
          <w:rFonts w:eastAsia="Times New Roman" w:cs="Times New Roman"/>
          <w:rtl/>
          <w:lang w:eastAsia="de-DE"/>
        </w:rPr>
        <w:t xml:space="preserve"> </w:t>
      </w:r>
      <w:r w:rsidRPr="00C71054">
        <w:rPr>
          <w:rFonts w:eastAsia="Times New Roman" w:cs="Times New Roman"/>
          <w:lang w:eastAsia="de-DE"/>
        </w:rPr>
        <w:t xml:space="preserve">mit Plural </w:t>
      </w:r>
      <w:r w:rsidR="00E031B3">
        <w:rPr>
          <w:rFonts w:eastAsia="Times New Roman" w:cs="Times New Roman"/>
          <w:lang w:eastAsia="de-DE"/>
        </w:rPr>
        <w:t>Constructus von</w:t>
      </w:r>
      <w:r w:rsidRPr="00C71054">
        <w:rPr>
          <w:rFonts w:eastAsia="Times New Roman" w:cs="Times New Roman"/>
          <w:lang w:eastAsia="de-DE"/>
        </w:rPr>
        <w:t xml:space="preserve"> </w:t>
      </w:r>
      <w:r w:rsidRPr="00C71054">
        <w:rPr>
          <w:rFonts w:eastAsia="Times New Roman" w:cs="Times New Roman"/>
          <w:b/>
          <w:bCs/>
          <w:rtl/>
          <w:lang w:eastAsia="de-DE"/>
        </w:rPr>
        <w:t>עִיר</w:t>
      </w:r>
      <w:r w:rsidRPr="00C71054">
        <w:rPr>
          <w:rFonts w:eastAsia="Times New Roman" w:cs="Times New Roman"/>
          <w:rtl/>
          <w:lang w:eastAsia="de-DE"/>
        </w:rPr>
        <w:t xml:space="preserve"> </w:t>
      </w:r>
      <w:r w:rsidRPr="00C71054">
        <w:rPr>
          <w:rFonts w:eastAsia="Times New Roman" w:cs="Times New Roman"/>
          <w:lang w:eastAsia="de-DE"/>
        </w:rPr>
        <w:t xml:space="preserve">„Stadt" und </w:t>
      </w:r>
      <w:r w:rsidRPr="00C71054">
        <w:rPr>
          <w:rFonts w:eastAsia="Times New Roman" w:cs="Times New Roman"/>
          <w:b/>
          <w:bCs/>
          <w:rtl/>
          <w:lang w:eastAsia="de-DE"/>
        </w:rPr>
        <w:t>גִּלְעָד</w:t>
      </w:r>
      <w:r w:rsidRPr="00C71054">
        <w:rPr>
          <w:rFonts w:eastAsia="Times New Roman" w:cs="Times New Roman"/>
          <w:rtl/>
          <w:lang w:eastAsia="de-DE"/>
        </w:rPr>
        <w:t xml:space="preserve"> </w:t>
      </w:r>
      <w:r w:rsidRPr="00C71054">
        <w:rPr>
          <w:rFonts w:eastAsia="Times New Roman" w:cs="Times New Roman"/>
          <w:lang w:eastAsia="de-DE"/>
        </w:rPr>
        <w:t>„Gilead" mit Artikel „in den Städten Gileads").</w:t>
      </w:r>
    </w:p>
    <w:p w14:paraId="329F71F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vier koordinierte Subjekte mit einem gemeinsamen Prädikat und Ortsangabe.</w:t>
      </w:r>
    </w:p>
    <w:p w14:paraId="29E2FDCC"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klärt die Arrangements: Familien (jetzt einschließlich der Frauen) und Vieh bleiben in Gilead, während die wehrfähigen Männer in den Krieg ziehen - eine klare Aufgabenteilung.</w:t>
      </w:r>
    </w:p>
    <w:p w14:paraId="432764B9"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32,27</w:t>
      </w:r>
    </w:p>
    <w:p w14:paraId="594FD91C"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וַעֲבָדֶ֨יךָ יַֽעַבְר֜וּ כָּל־חֲל֥וּץ צָבָ֛א לִפְנֵ֥י יְהוָ֖ה לַמִּלְחָמָ֑ה כַּאֲשֶׁ֥ר אֲדֹנִ֖י דֹּבֵֽר׃</w:t>
      </w:r>
    </w:p>
    <w:p w14:paraId="6748E115"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deine Knechte aber, alle zum Heere Gerüsteten, werden vor dem Ewigen hinüberziehen zum Kriege, wie mein Herr redet.</w:t>
      </w:r>
    </w:p>
    <w:p w14:paraId="71EFE1A1"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338951B6">
          <v:rect id="_x0000_i2013" style="width:0;height:1.5pt" o:hralign="center" o:hrstd="t" o:hr="t" fillcolor="#a0a0a0" stroked="f"/>
        </w:pict>
      </w:r>
    </w:p>
    <w:p w14:paraId="67294902" w14:textId="3765AB22" w:rsidR="00C71054" w:rsidRPr="00C71054" w:rsidRDefault="00C71054" w:rsidP="00E031B3">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wiederholt die Kriegszusage. </w:t>
      </w:r>
      <w:r w:rsidRPr="00C71054">
        <w:rPr>
          <w:rFonts w:eastAsia="Times New Roman" w:cs="Times New Roman"/>
          <w:b/>
          <w:bCs/>
          <w:rtl/>
          <w:lang w:eastAsia="de-DE"/>
        </w:rPr>
        <w:t>וַעֲבָדֶיךָ יַעַבְרוּ כָּל־חֲלוּץ צָבָא לִפְנֵי יהוה לַמִּלְחָמָה</w:t>
      </w:r>
      <w:r w:rsidRPr="00C71054">
        <w:rPr>
          <w:rFonts w:eastAsia="Times New Roman" w:cs="Times New Roman"/>
          <w:rtl/>
          <w:lang w:eastAsia="de-DE"/>
        </w:rPr>
        <w:t xml:space="preserve"> </w:t>
      </w:r>
      <w:r w:rsidRPr="00C71054">
        <w:rPr>
          <w:rFonts w:eastAsia="Times New Roman" w:cs="Times New Roman"/>
          <w:lang w:eastAsia="de-DE"/>
        </w:rPr>
        <w:t xml:space="preserve">ist das Versprechen. </w:t>
      </w:r>
      <w:r w:rsidRPr="00C71054">
        <w:rPr>
          <w:rFonts w:eastAsia="Times New Roman" w:cs="Times New Roman"/>
          <w:b/>
          <w:bCs/>
          <w:rtl/>
          <w:lang w:eastAsia="de-DE"/>
        </w:rPr>
        <w:t>וַעֲבָדֶיךָ</w:t>
      </w:r>
      <w:r w:rsidRPr="00C71054">
        <w:rPr>
          <w:rFonts w:eastAsia="Times New Roman" w:cs="Times New Roman"/>
          <w:rtl/>
          <w:lang w:eastAsia="de-DE"/>
        </w:rPr>
        <w:t xml:space="preserve"> </w:t>
      </w:r>
      <w:r w:rsidRPr="00C71054">
        <w:rPr>
          <w:rFonts w:eastAsia="Times New Roman" w:cs="Times New Roman"/>
          <w:lang w:eastAsia="de-DE"/>
        </w:rPr>
        <w:t xml:space="preserve">(Konjunktion mit </w:t>
      </w:r>
      <w:r w:rsidRPr="00C71054">
        <w:rPr>
          <w:rFonts w:eastAsia="Times New Roman" w:cs="Times New Roman"/>
          <w:b/>
          <w:bCs/>
          <w:rtl/>
          <w:lang w:eastAsia="de-DE"/>
        </w:rPr>
        <w:t>עֶבֶד</w:t>
      </w:r>
      <w:r w:rsidRPr="00C71054">
        <w:rPr>
          <w:rFonts w:eastAsia="Times New Roman" w:cs="Times New Roman"/>
          <w:rtl/>
          <w:lang w:eastAsia="de-DE"/>
        </w:rPr>
        <w:t xml:space="preserve"> </w:t>
      </w:r>
      <w:r w:rsidRPr="00C71054">
        <w:rPr>
          <w:rFonts w:eastAsia="Times New Roman" w:cs="Times New Roman"/>
          <w:lang w:eastAsia="de-DE"/>
        </w:rPr>
        <w:t xml:space="preserve">„Knecht" Plural und Suffix 2. Person maskulin Singular „deine Knechte"), </w:t>
      </w:r>
      <w:r w:rsidRPr="00C71054">
        <w:rPr>
          <w:rFonts w:eastAsia="Times New Roman" w:cs="Times New Roman"/>
          <w:b/>
          <w:bCs/>
          <w:rtl/>
          <w:lang w:eastAsia="de-DE"/>
        </w:rPr>
        <w:t>יַעַבְרוּ</w:t>
      </w:r>
      <w:r w:rsidRPr="00C71054">
        <w:rPr>
          <w:rFonts w:eastAsia="Times New Roman" w:cs="Times New Roman"/>
          <w:rtl/>
          <w:lang w:eastAsia="de-DE"/>
        </w:rPr>
        <w:t xml:space="preserve"> </w:t>
      </w:r>
      <w:r w:rsidRPr="00C71054">
        <w:rPr>
          <w:rFonts w:eastAsia="Times New Roman" w:cs="Times New Roman"/>
          <w:lang w:eastAsia="de-DE"/>
        </w:rPr>
        <w:t xml:space="preserve">(Qal Imperfekt 3. Person Plural von </w:t>
      </w:r>
      <w:r w:rsidRPr="00C71054">
        <w:rPr>
          <w:rFonts w:eastAsia="Times New Roman" w:cs="Times New Roman"/>
          <w:b/>
          <w:bCs/>
          <w:rtl/>
          <w:lang w:eastAsia="de-DE"/>
        </w:rPr>
        <w:t>עבר</w:t>
      </w:r>
      <w:r w:rsidRPr="00C71054">
        <w:rPr>
          <w:rFonts w:eastAsia="Times New Roman" w:cs="Times New Roman"/>
          <w:rtl/>
          <w:lang w:eastAsia="de-DE"/>
        </w:rPr>
        <w:t xml:space="preserve"> </w:t>
      </w:r>
      <w:r w:rsidRPr="00C71054">
        <w:rPr>
          <w:rFonts w:eastAsia="Times New Roman" w:cs="Times New Roman"/>
          <w:lang w:eastAsia="de-DE"/>
        </w:rPr>
        <w:t xml:space="preserve">„hinüberziehen"), </w:t>
      </w:r>
      <w:r w:rsidRPr="00C71054">
        <w:rPr>
          <w:rFonts w:eastAsia="Times New Roman" w:cs="Times New Roman"/>
          <w:b/>
          <w:bCs/>
          <w:rtl/>
          <w:lang w:eastAsia="de-DE"/>
        </w:rPr>
        <w:t>כָּל־חֲלוּץ צָבָא</w:t>
      </w:r>
      <w:r w:rsidRPr="00C71054">
        <w:rPr>
          <w:rFonts w:eastAsia="Times New Roman" w:cs="Times New Roman"/>
          <w:rtl/>
          <w:lang w:eastAsia="de-DE"/>
        </w:rPr>
        <w:t xml:space="preserve"> </w:t>
      </w:r>
      <w:r w:rsidRPr="00C71054">
        <w:rPr>
          <w:rFonts w:eastAsia="Times New Roman" w:cs="Times New Roman"/>
          <w:lang w:eastAsia="de-DE"/>
        </w:rPr>
        <w:t>(</w:t>
      </w:r>
      <w:r w:rsidRPr="00C71054">
        <w:rPr>
          <w:rFonts w:eastAsia="Times New Roman" w:cs="Times New Roman"/>
          <w:b/>
          <w:bCs/>
          <w:rtl/>
          <w:lang w:eastAsia="de-DE"/>
        </w:rPr>
        <w:t>כֹּל</w:t>
      </w:r>
      <w:r w:rsidRPr="00C71054">
        <w:rPr>
          <w:rFonts w:eastAsia="Times New Roman" w:cs="Times New Roman"/>
          <w:rtl/>
          <w:lang w:eastAsia="de-DE"/>
        </w:rPr>
        <w:t xml:space="preserve"> </w:t>
      </w:r>
      <w:r w:rsidRPr="00C71054">
        <w:rPr>
          <w:rFonts w:eastAsia="Times New Roman" w:cs="Times New Roman"/>
          <w:lang w:eastAsia="de-DE"/>
        </w:rPr>
        <w:t xml:space="preserve">mit </w:t>
      </w:r>
      <w:r w:rsidRPr="00C71054">
        <w:rPr>
          <w:rFonts w:eastAsia="Times New Roman" w:cs="Times New Roman"/>
          <w:b/>
          <w:bCs/>
          <w:rtl/>
          <w:lang w:eastAsia="de-DE"/>
        </w:rPr>
        <w:t>חָלוּץ</w:t>
      </w:r>
      <w:r w:rsidRPr="00C71054">
        <w:rPr>
          <w:rFonts w:eastAsia="Times New Roman" w:cs="Times New Roman"/>
          <w:rtl/>
          <w:lang w:eastAsia="de-DE"/>
        </w:rPr>
        <w:t xml:space="preserve"> </w:t>
      </w:r>
      <w:r w:rsidRPr="00C71054">
        <w:rPr>
          <w:rFonts w:eastAsia="Times New Roman" w:cs="Times New Roman"/>
          <w:lang w:eastAsia="de-DE"/>
        </w:rPr>
        <w:t xml:space="preserve">Qal Passiv-Partizip von </w:t>
      </w:r>
      <w:r w:rsidRPr="00C71054">
        <w:rPr>
          <w:rFonts w:eastAsia="Times New Roman" w:cs="Times New Roman"/>
          <w:b/>
          <w:bCs/>
          <w:rtl/>
          <w:lang w:eastAsia="de-DE"/>
        </w:rPr>
        <w:t>חלץ</w:t>
      </w:r>
      <w:r w:rsidRPr="00C71054">
        <w:rPr>
          <w:rFonts w:eastAsia="Times New Roman" w:cs="Times New Roman"/>
          <w:rtl/>
          <w:lang w:eastAsia="de-DE"/>
        </w:rPr>
        <w:t xml:space="preserve"> </w:t>
      </w:r>
      <w:r w:rsidRPr="00C71054">
        <w:rPr>
          <w:rFonts w:eastAsia="Times New Roman" w:cs="Times New Roman"/>
          <w:lang w:eastAsia="de-DE"/>
        </w:rPr>
        <w:t xml:space="preserve">„gerüstet" im </w:t>
      </w:r>
      <w:r w:rsidR="00E031B3">
        <w:rPr>
          <w:rFonts w:eastAsia="Times New Roman" w:cs="Times New Roman"/>
          <w:lang w:eastAsia="de-DE"/>
        </w:rPr>
        <w:t>Constructus mit</w:t>
      </w:r>
      <w:r w:rsidRPr="00C71054">
        <w:rPr>
          <w:rFonts w:eastAsia="Times New Roman" w:cs="Times New Roman"/>
          <w:lang w:eastAsia="de-DE"/>
        </w:rPr>
        <w:t xml:space="preserve"> </w:t>
      </w:r>
      <w:r w:rsidRPr="00C71054">
        <w:rPr>
          <w:rFonts w:eastAsia="Times New Roman" w:cs="Times New Roman"/>
          <w:b/>
          <w:bCs/>
          <w:rtl/>
          <w:lang w:eastAsia="de-DE"/>
        </w:rPr>
        <w:t>צָבָא</w:t>
      </w:r>
      <w:r w:rsidRPr="00C71054">
        <w:rPr>
          <w:rFonts w:eastAsia="Times New Roman" w:cs="Times New Roman"/>
          <w:rtl/>
          <w:lang w:eastAsia="de-DE"/>
        </w:rPr>
        <w:t xml:space="preserve"> </w:t>
      </w:r>
      <w:r w:rsidRPr="00C71054">
        <w:rPr>
          <w:rFonts w:eastAsia="Times New Roman" w:cs="Times New Roman"/>
          <w:lang w:eastAsia="de-DE"/>
        </w:rPr>
        <w:t xml:space="preserve">„Heer" „jeder zum Heer Gerüstete"), </w:t>
      </w:r>
      <w:r w:rsidRPr="00C71054">
        <w:rPr>
          <w:rFonts w:eastAsia="Times New Roman" w:cs="Times New Roman"/>
          <w:b/>
          <w:bCs/>
          <w:rtl/>
          <w:lang w:eastAsia="de-DE"/>
        </w:rPr>
        <w:t>לִפְנֵי יהוה</w:t>
      </w:r>
      <w:r w:rsidRPr="00C71054">
        <w:rPr>
          <w:rFonts w:eastAsia="Times New Roman" w:cs="Times New Roman"/>
          <w:rtl/>
          <w:lang w:eastAsia="de-DE"/>
        </w:rPr>
        <w:t xml:space="preserve"> </w:t>
      </w:r>
      <w:r w:rsidRPr="00C71054">
        <w:rPr>
          <w:rFonts w:eastAsia="Times New Roman" w:cs="Times New Roman"/>
          <w:lang w:eastAsia="de-DE"/>
        </w:rPr>
        <w:t xml:space="preserve">(„vor dem Ewigen"), </w:t>
      </w:r>
      <w:r w:rsidRPr="00C71054">
        <w:rPr>
          <w:rFonts w:eastAsia="Times New Roman" w:cs="Times New Roman"/>
          <w:b/>
          <w:bCs/>
          <w:rtl/>
          <w:lang w:eastAsia="de-DE"/>
        </w:rPr>
        <w:t>לַמִּלְחָמָה</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לְ</w:t>
      </w:r>
      <w:r w:rsidRPr="00C71054">
        <w:rPr>
          <w:rFonts w:eastAsia="Times New Roman" w:cs="Times New Roman"/>
          <w:rtl/>
          <w:lang w:eastAsia="de-DE"/>
        </w:rPr>
        <w:t xml:space="preserve"> </w:t>
      </w:r>
      <w:r w:rsidRPr="00C71054">
        <w:rPr>
          <w:rFonts w:eastAsia="Times New Roman" w:cs="Times New Roman"/>
          <w:lang w:eastAsia="de-DE"/>
        </w:rPr>
        <w:t xml:space="preserve">mit </w:t>
      </w:r>
      <w:r w:rsidRPr="00C71054">
        <w:rPr>
          <w:rFonts w:eastAsia="Times New Roman" w:cs="Times New Roman"/>
          <w:b/>
          <w:bCs/>
          <w:rtl/>
          <w:lang w:eastAsia="de-DE"/>
        </w:rPr>
        <w:t>מִלְחָמָה</w:t>
      </w:r>
      <w:r w:rsidRPr="00C71054">
        <w:rPr>
          <w:rFonts w:eastAsia="Times New Roman" w:cs="Times New Roman"/>
          <w:rtl/>
          <w:lang w:eastAsia="de-DE"/>
        </w:rPr>
        <w:t xml:space="preserve"> </w:t>
      </w:r>
      <w:r w:rsidRPr="00C71054">
        <w:rPr>
          <w:rFonts w:eastAsia="Times New Roman" w:cs="Times New Roman"/>
          <w:lang w:eastAsia="de-DE"/>
        </w:rPr>
        <w:t xml:space="preserve">„Krieg" mit Artikel „zum Krieg"). </w:t>
      </w:r>
      <w:r w:rsidRPr="00C71054">
        <w:rPr>
          <w:rFonts w:eastAsia="Times New Roman" w:cs="Times New Roman"/>
          <w:b/>
          <w:bCs/>
          <w:rtl/>
          <w:lang w:eastAsia="de-DE"/>
        </w:rPr>
        <w:t>כַּאֲשֶׁר אֲדֹנִי דֹּבֵר</w:t>
      </w:r>
      <w:r w:rsidRPr="00C71054">
        <w:rPr>
          <w:rFonts w:eastAsia="Times New Roman" w:cs="Times New Roman"/>
          <w:rtl/>
          <w:lang w:eastAsia="de-DE"/>
        </w:rPr>
        <w:t xml:space="preserve"> </w:t>
      </w:r>
      <w:r w:rsidRPr="00C71054">
        <w:rPr>
          <w:rFonts w:eastAsia="Times New Roman" w:cs="Times New Roman"/>
          <w:lang w:eastAsia="de-DE"/>
        </w:rPr>
        <w:t xml:space="preserve">ist die Bekräftigung: </w:t>
      </w:r>
      <w:r w:rsidRPr="00C71054">
        <w:rPr>
          <w:rFonts w:eastAsia="Times New Roman" w:cs="Times New Roman"/>
          <w:b/>
          <w:bCs/>
          <w:rtl/>
          <w:lang w:eastAsia="de-DE"/>
        </w:rPr>
        <w:t>כַּאֲשֶׁר</w:t>
      </w:r>
      <w:r w:rsidRPr="00C71054">
        <w:rPr>
          <w:rFonts w:eastAsia="Times New Roman" w:cs="Times New Roman"/>
          <w:rtl/>
          <w:lang w:eastAsia="de-DE"/>
        </w:rPr>
        <w:t xml:space="preserve"> </w:t>
      </w:r>
      <w:r w:rsidRPr="00C71054">
        <w:rPr>
          <w:rFonts w:eastAsia="Times New Roman" w:cs="Times New Roman"/>
          <w:lang w:eastAsia="de-DE"/>
        </w:rPr>
        <w:t xml:space="preserve">(„wie, so wie"), </w:t>
      </w:r>
      <w:r w:rsidRPr="00C71054">
        <w:rPr>
          <w:rFonts w:eastAsia="Times New Roman" w:cs="Times New Roman"/>
          <w:b/>
          <w:bCs/>
          <w:rtl/>
          <w:lang w:eastAsia="de-DE"/>
        </w:rPr>
        <w:t>אֲדֹנִי</w:t>
      </w:r>
      <w:r w:rsidRPr="00C71054">
        <w:rPr>
          <w:rFonts w:eastAsia="Times New Roman" w:cs="Times New Roman"/>
          <w:rtl/>
          <w:lang w:eastAsia="de-DE"/>
        </w:rPr>
        <w:t xml:space="preserve"> </w:t>
      </w:r>
      <w:r w:rsidRPr="00C71054">
        <w:rPr>
          <w:rFonts w:eastAsia="Times New Roman" w:cs="Times New Roman"/>
          <w:lang w:eastAsia="de-DE"/>
        </w:rPr>
        <w:t xml:space="preserve">(„mein Herr"), </w:t>
      </w:r>
      <w:r w:rsidRPr="00C71054">
        <w:rPr>
          <w:rFonts w:eastAsia="Times New Roman" w:cs="Times New Roman"/>
          <w:b/>
          <w:bCs/>
          <w:rtl/>
          <w:lang w:eastAsia="de-DE"/>
        </w:rPr>
        <w:t>דֹּבֵר</w:t>
      </w:r>
      <w:r w:rsidRPr="00C71054">
        <w:rPr>
          <w:rFonts w:eastAsia="Times New Roman" w:cs="Times New Roman"/>
          <w:rtl/>
          <w:lang w:eastAsia="de-DE"/>
        </w:rPr>
        <w:t xml:space="preserve"> </w:t>
      </w:r>
      <w:r w:rsidRPr="00C71054">
        <w:rPr>
          <w:rFonts w:eastAsia="Times New Roman" w:cs="Times New Roman"/>
          <w:lang w:eastAsia="de-DE"/>
        </w:rPr>
        <w:t xml:space="preserve">(Qal-Partizip von </w:t>
      </w:r>
      <w:r w:rsidRPr="00C71054">
        <w:rPr>
          <w:rFonts w:eastAsia="Times New Roman" w:cs="Times New Roman"/>
          <w:b/>
          <w:bCs/>
          <w:rtl/>
          <w:lang w:eastAsia="de-DE"/>
        </w:rPr>
        <w:t>דבר</w:t>
      </w:r>
      <w:r w:rsidRPr="00C71054">
        <w:rPr>
          <w:rFonts w:eastAsia="Times New Roman" w:cs="Times New Roman"/>
          <w:rtl/>
          <w:lang w:eastAsia="de-DE"/>
        </w:rPr>
        <w:t xml:space="preserve"> </w:t>
      </w:r>
      <w:r w:rsidRPr="00C71054">
        <w:rPr>
          <w:rFonts w:eastAsia="Times New Roman" w:cs="Times New Roman"/>
          <w:lang w:eastAsia="de-DE"/>
        </w:rPr>
        <w:t>„reden").</w:t>
      </w:r>
    </w:p>
    <w:p w14:paraId="35E2CE42"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einen Hauptsatz mit Vergleichssatz.</w:t>
      </w:r>
    </w:p>
    <w:p w14:paraId="590F8F78"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bekräftigt: Alle wehrfähigen Männer werden bewaffnet vor dem Ewigen in den Krieg ziehen - genau wie Mose es verlangt hat.</w:t>
      </w:r>
    </w:p>
    <w:p w14:paraId="44FFD219"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32,28</w:t>
      </w:r>
    </w:p>
    <w:p w14:paraId="252BEB5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וַיְצַ֤ו לָהֶם֙ מֹשֶׁ֔ה אֵ֚ת אֶלְעָזָ֣ר הַכֹּהֵ֔ן וְאֵ֖ת יְהוֹשֻׁ֣עַ בִּן־נ֑וּן וְאֶת־רָאשֵׁ֛י אֲב֥וֹת הַמַּטּ֖וֹת לִבְנֵ֥י יִשְׂרָאֵֽל׃</w:t>
      </w:r>
    </w:p>
    <w:p w14:paraId="20EF3AED"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Mosche gebot ihretwegen El'asar, dem Priester, und Jehoschua, dem Sohn Nuns, und den Häuptern der Vaterhäuser der Stämme der Söhne Jisra'el;</w:t>
      </w:r>
    </w:p>
    <w:p w14:paraId="14B447EE"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3610720F">
          <v:rect id="_x0000_i2014" style="width:0;height:1.5pt" o:hralign="center" o:hrstd="t" o:hr="t" fillcolor="#a0a0a0" stroked="f"/>
        </w:pict>
      </w:r>
    </w:p>
    <w:p w14:paraId="633820EB" w14:textId="75A57201"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lastRenderedPageBreak/>
        <w:t>Kommentar:</w:t>
      </w:r>
      <w:r w:rsidRPr="00C71054">
        <w:rPr>
          <w:rFonts w:eastAsia="Times New Roman" w:cs="Times New Roman"/>
          <w:lang w:eastAsia="de-DE"/>
        </w:rPr>
        <w:t xml:space="preserve"> Der Vers zeigt Moses Vorsichtsmaßnahme. </w:t>
      </w:r>
      <w:r w:rsidRPr="00C71054">
        <w:rPr>
          <w:rFonts w:eastAsia="Times New Roman" w:cs="Times New Roman"/>
          <w:b/>
          <w:bCs/>
          <w:rtl/>
          <w:lang w:eastAsia="de-DE"/>
        </w:rPr>
        <w:t>וַיְצַו לָהֶם מֹשֶׁה</w:t>
      </w:r>
      <w:r w:rsidRPr="00C71054">
        <w:rPr>
          <w:rFonts w:eastAsia="Times New Roman" w:cs="Times New Roman"/>
          <w:rtl/>
          <w:lang w:eastAsia="de-DE"/>
        </w:rPr>
        <w:t xml:space="preserve"> </w:t>
      </w:r>
      <w:r w:rsidRPr="00C71054">
        <w:rPr>
          <w:rFonts w:eastAsia="Times New Roman" w:cs="Times New Roman"/>
          <w:lang w:eastAsia="de-DE"/>
        </w:rPr>
        <w:t xml:space="preserve">ist die Einleitung. </w:t>
      </w:r>
      <w:r w:rsidRPr="00C71054">
        <w:rPr>
          <w:rFonts w:eastAsia="Times New Roman" w:cs="Times New Roman"/>
          <w:b/>
          <w:bCs/>
          <w:rtl/>
          <w:lang w:eastAsia="de-DE"/>
        </w:rPr>
        <w:t>וַיְצַו</w:t>
      </w:r>
      <w:r w:rsidRPr="00C71054">
        <w:rPr>
          <w:rFonts w:eastAsia="Times New Roman" w:cs="Times New Roman"/>
          <w:rtl/>
          <w:lang w:eastAsia="de-DE"/>
        </w:rPr>
        <w:t xml:space="preserve"> </w:t>
      </w:r>
      <w:r w:rsidRPr="00C71054">
        <w:rPr>
          <w:rFonts w:eastAsia="Times New Roman" w:cs="Times New Roman"/>
          <w:lang w:eastAsia="de-DE"/>
        </w:rPr>
        <w:t xml:space="preserve">(Piel Wayyiqtol 3. Person maskulin Singular von </w:t>
      </w:r>
      <w:r w:rsidRPr="00C71054">
        <w:rPr>
          <w:rFonts w:eastAsia="Times New Roman" w:cs="Times New Roman"/>
          <w:b/>
          <w:bCs/>
          <w:rtl/>
          <w:lang w:eastAsia="de-DE"/>
        </w:rPr>
        <w:t>צוה</w:t>
      </w:r>
      <w:r w:rsidRPr="00C71054">
        <w:rPr>
          <w:rFonts w:eastAsia="Times New Roman" w:cs="Times New Roman"/>
          <w:rtl/>
          <w:lang w:eastAsia="de-DE"/>
        </w:rPr>
        <w:t xml:space="preserve"> </w:t>
      </w:r>
      <w:r w:rsidRPr="00C71054">
        <w:rPr>
          <w:rFonts w:eastAsia="Times New Roman" w:cs="Times New Roman"/>
          <w:lang w:eastAsia="de-DE"/>
        </w:rPr>
        <w:t xml:space="preserve">„befehlen, gebieten"), </w:t>
      </w:r>
      <w:r w:rsidRPr="00C71054">
        <w:rPr>
          <w:rFonts w:eastAsia="Times New Roman" w:cs="Times New Roman"/>
          <w:b/>
          <w:bCs/>
          <w:rtl/>
          <w:lang w:eastAsia="de-DE"/>
        </w:rPr>
        <w:t>לָהֶם</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לְ</w:t>
      </w:r>
      <w:r w:rsidRPr="00C71054">
        <w:rPr>
          <w:rFonts w:eastAsia="Times New Roman" w:cs="Times New Roman"/>
          <w:rtl/>
          <w:lang w:eastAsia="de-DE"/>
        </w:rPr>
        <w:t xml:space="preserve"> </w:t>
      </w:r>
      <w:r w:rsidRPr="00C71054">
        <w:rPr>
          <w:rFonts w:eastAsia="Times New Roman" w:cs="Times New Roman"/>
          <w:lang w:eastAsia="de-DE"/>
        </w:rPr>
        <w:t xml:space="preserve">mit Suffix 3. Person Plural „ihretwegen, über sie"), </w:t>
      </w:r>
      <w:r w:rsidRPr="00C71054">
        <w:rPr>
          <w:rFonts w:eastAsia="Times New Roman" w:cs="Times New Roman"/>
          <w:b/>
          <w:bCs/>
          <w:rtl/>
          <w:lang w:eastAsia="de-DE"/>
        </w:rPr>
        <w:t>מֹשֶׁה</w:t>
      </w:r>
      <w:r w:rsidRPr="00C71054">
        <w:rPr>
          <w:rFonts w:eastAsia="Times New Roman" w:cs="Times New Roman"/>
          <w:rtl/>
          <w:lang w:eastAsia="de-DE"/>
        </w:rPr>
        <w:t xml:space="preserve"> </w:t>
      </w:r>
      <w:r w:rsidRPr="00C71054">
        <w:rPr>
          <w:rFonts w:eastAsia="Times New Roman" w:cs="Times New Roman"/>
          <w:lang w:eastAsia="de-DE"/>
        </w:rPr>
        <w:t xml:space="preserve">ist das Subjekt. </w:t>
      </w:r>
      <w:r w:rsidRPr="00C71054">
        <w:rPr>
          <w:rFonts w:eastAsia="Times New Roman" w:cs="Times New Roman"/>
          <w:b/>
          <w:bCs/>
          <w:rtl/>
          <w:lang w:eastAsia="de-DE"/>
        </w:rPr>
        <w:t>אֵת אֶלְעָזָר הַכֹּהֵן וְאֵת יְהוֹשֻׁעַ בִּן־נוּן וְאֶת־רָאשֵׁי אֲבוֹת הַמַּטּוֹת לִבְנֵי יִשְׂרָאֵל</w:t>
      </w:r>
      <w:r w:rsidRPr="00C71054">
        <w:rPr>
          <w:rFonts w:eastAsia="Times New Roman" w:cs="Times New Roman"/>
          <w:rtl/>
          <w:lang w:eastAsia="de-DE"/>
        </w:rPr>
        <w:t xml:space="preserve"> </w:t>
      </w:r>
      <w:r w:rsidRPr="00C71054">
        <w:rPr>
          <w:rFonts w:eastAsia="Times New Roman" w:cs="Times New Roman"/>
          <w:lang w:eastAsia="de-DE"/>
        </w:rPr>
        <w:t xml:space="preserve">sind die dreifachen Adressaten: </w:t>
      </w:r>
      <w:r w:rsidRPr="00C71054">
        <w:rPr>
          <w:rFonts w:eastAsia="Times New Roman" w:cs="Times New Roman"/>
          <w:b/>
          <w:bCs/>
          <w:rtl/>
          <w:lang w:eastAsia="de-DE"/>
        </w:rPr>
        <w:t>אֶלְעָזָר הַכֹּהֵן</w:t>
      </w:r>
      <w:r w:rsidRPr="00C71054">
        <w:rPr>
          <w:rFonts w:eastAsia="Times New Roman" w:cs="Times New Roman"/>
          <w:rtl/>
          <w:lang w:eastAsia="de-DE"/>
        </w:rPr>
        <w:t xml:space="preserve"> </w:t>
      </w:r>
      <w:r w:rsidRPr="00C71054">
        <w:rPr>
          <w:rFonts w:eastAsia="Times New Roman" w:cs="Times New Roman"/>
          <w:lang w:eastAsia="de-DE"/>
        </w:rPr>
        <w:t xml:space="preserve">(Eleasar der Priester), </w:t>
      </w:r>
      <w:r w:rsidRPr="00C71054">
        <w:rPr>
          <w:rFonts w:eastAsia="Times New Roman" w:cs="Times New Roman"/>
          <w:b/>
          <w:bCs/>
          <w:rtl/>
          <w:lang w:eastAsia="de-DE"/>
        </w:rPr>
        <w:t>יְהוֹשֻׁעַ בִּן־נוּן</w:t>
      </w:r>
      <w:r w:rsidRPr="00C71054">
        <w:rPr>
          <w:rFonts w:eastAsia="Times New Roman" w:cs="Times New Roman"/>
          <w:rtl/>
          <w:lang w:eastAsia="de-DE"/>
        </w:rPr>
        <w:t xml:space="preserve"> </w:t>
      </w:r>
      <w:r w:rsidRPr="00C71054">
        <w:rPr>
          <w:rFonts w:eastAsia="Times New Roman" w:cs="Times New Roman"/>
          <w:lang w:eastAsia="de-DE"/>
        </w:rPr>
        <w:t xml:space="preserve">(Josua, Sohn des Nun - Moses Nachfolger), </w:t>
      </w:r>
      <w:r w:rsidRPr="00C71054">
        <w:rPr>
          <w:rFonts w:eastAsia="Times New Roman" w:cs="Times New Roman"/>
          <w:b/>
          <w:bCs/>
          <w:rtl/>
          <w:lang w:eastAsia="de-DE"/>
        </w:rPr>
        <w:t>רָאשֵׁי אֲבוֹת הַמַּטּוֹת לִבְנֵי יִשְׂרָאֵל</w:t>
      </w:r>
      <w:r w:rsidRPr="00C71054">
        <w:rPr>
          <w:rFonts w:eastAsia="Times New Roman" w:cs="Times New Roman"/>
          <w:rtl/>
          <w:lang w:eastAsia="de-DE"/>
        </w:rPr>
        <w:t xml:space="preserve"> </w:t>
      </w:r>
      <w:r w:rsidRPr="00C71054">
        <w:rPr>
          <w:rFonts w:eastAsia="Times New Roman" w:cs="Times New Roman"/>
          <w:lang w:eastAsia="de-DE"/>
        </w:rPr>
        <w:t xml:space="preserve">(Plural </w:t>
      </w:r>
      <w:r w:rsidR="00E031B3">
        <w:rPr>
          <w:rFonts w:eastAsia="Times New Roman" w:cs="Times New Roman"/>
          <w:lang w:eastAsia="de-DE"/>
        </w:rPr>
        <w:t>Constructus von</w:t>
      </w:r>
      <w:r w:rsidRPr="00C71054">
        <w:rPr>
          <w:rFonts w:eastAsia="Times New Roman" w:cs="Times New Roman"/>
          <w:lang w:eastAsia="de-DE"/>
        </w:rPr>
        <w:t xml:space="preserve"> </w:t>
      </w:r>
      <w:r w:rsidRPr="00C71054">
        <w:rPr>
          <w:rFonts w:eastAsia="Times New Roman" w:cs="Times New Roman"/>
          <w:b/>
          <w:bCs/>
          <w:rtl/>
          <w:lang w:eastAsia="de-DE"/>
        </w:rPr>
        <w:t>רֹאשׁ</w:t>
      </w:r>
      <w:r w:rsidRPr="00C71054">
        <w:rPr>
          <w:rFonts w:eastAsia="Times New Roman" w:cs="Times New Roman"/>
          <w:rtl/>
          <w:lang w:eastAsia="de-DE"/>
        </w:rPr>
        <w:t xml:space="preserve"> </w:t>
      </w:r>
      <w:r w:rsidRPr="00C71054">
        <w:rPr>
          <w:rFonts w:eastAsia="Times New Roman" w:cs="Times New Roman"/>
          <w:lang w:eastAsia="de-DE"/>
        </w:rPr>
        <w:t xml:space="preserve">„Haupt" mit </w:t>
      </w:r>
      <w:r w:rsidRPr="00C71054">
        <w:rPr>
          <w:rFonts w:eastAsia="Times New Roman" w:cs="Times New Roman"/>
          <w:b/>
          <w:bCs/>
          <w:rtl/>
          <w:lang w:eastAsia="de-DE"/>
        </w:rPr>
        <w:t>אָבוֹת</w:t>
      </w:r>
      <w:r w:rsidRPr="00C71054">
        <w:rPr>
          <w:rFonts w:eastAsia="Times New Roman" w:cs="Times New Roman"/>
          <w:rtl/>
          <w:lang w:eastAsia="de-DE"/>
        </w:rPr>
        <w:t xml:space="preserve"> </w:t>
      </w:r>
      <w:r w:rsidRPr="00C71054">
        <w:rPr>
          <w:rFonts w:eastAsia="Times New Roman" w:cs="Times New Roman"/>
          <w:lang w:eastAsia="de-DE"/>
        </w:rPr>
        <w:t xml:space="preserve">„Väter" im </w:t>
      </w:r>
      <w:r w:rsidR="00B513FF">
        <w:rPr>
          <w:rFonts w:eastAsia="Times New Roman" w:cs="Times New Roman"/>
          <w:lang w:eastAsia="de-DE"/>
        </w:rPr>
        <w:t xml:space="preserve">Constructus </w:t>
      </w:r>
      <w:r w:rsidRPr="00C71054">
        <w:rPr>
          <w:rFonts w:eastAsia="Times New Roman" w:cs="Times New Roman"/>
          <w:lang w:eastAsia="de-DE"/>
        </w:rPr>
        <w:t xml:space="preserve">, </w:t>
      </w:r>
      <w:r w:rsidRPr="00C71054">
        <w:rPr>
          <w:rFonts w:eastAsia="Times New Roman" w:cs="Times New Roman"/>
          <w:b/>
          <w:bCs/>
          <w:rtl/>
          <w:lang w:eastAsia="de-DE"/>
        </w:rPr>
        <w:t>מַטֶּה</w:t>
      </w:r>
      <w:r w:rsidRPr="00C71054">
        <w:rPr>
          <w:rFonts w:eastAsia="Times New Roman" w:cs="Times New Roman"/>
          <w:rtl/>
          <w:lang w:eastAsia="de-DE"/>
        </w:rPr>
        <w:t xml:space="preserve"> </w:t>
      </w:r>
      <w:r w:rsidRPr="00C71054">
        <w:rPr>
          <w:rFonts w:eastAsia="Times New Roman" w:cs="Times New Roman"/>
          <w:lang w:eastAsia="de-DE"/>
        </w:rPr>
        <w:t>„Stamm" Plural und „Söhne Israels" „die Häupter der Vaterhäuser der Stämme der Söhne Israels"). Mose befiehlt den zukünftigen Führern, die die Erfüllung überwachen sollen.</w:t>
      </w:r>
    </w:p>
    <w:p w14:paraId="56C79F02"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 Verb mit indirektem Objekt und dreifachem direktem Objekt.</w:t>
      </w:r>
    </w:p>
    <w:p w14:paraId="432C02BE"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zeigt Moses Weitsicht: Er befiehlt Eleasar, Josua und den Stammesführern - denjenigen, die nach seinem Tod die Einhaltung der Vereinbarung überwachen müssen.</w:t>
      </w:r>
    </w:p>
    <w:p w14:paraId="0A7205E6"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32,29</w:t>
      </w:r>
    </w:p>
    <w:p w14:paraId="5358F7FC"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וַיֹּ֨אמֶר מֹשֶׁ֜ה אֲלֵהֶ֗ם אִם־יַעַבְר֣וּ בְנֵי־גָ֣ד וּבְנֵי־רְאוּבֵ֣ן׀ אִ֠תְּכֶם אֶֽת־הַיַּרְדֵּ֞ן כָּל־חָל֤וּץ לַמִּלְחָמָה֙ לִפְנֵ֣י יְהוָ֔ה וְנִכְבְּשָׁ֥ה הָאָ֖רֶץ לִפְנֵיכֶ֑ם וּנְתַתֶּ֥ם לָהֶ֛ם אֶת־אֶ֥רֶץ הַגִּלְעָ֖ד לַאֲחֻזָּֽה׃</w:t>
      </w:r>
    </w:p>
    <w:p w14:paraId="172E579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Mosche sprach zu ihnen: „Wenn die Söhne Gad und die Söhne Re'uven, alle zum Kriege Gerüsteten, mit euch vor dem Ewigen über den Jarden ziehen, und das Land vor euch unterworfen sein wird, so sollt ihr ihnen das Land Gil'ad zum Besitztum geben;</w:t>
      </w:r>
    </w:p>
    <w:p w14:paraId="67E2010F"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2FF4731B">
          <v:rect id="_x0000_i2015" style="width:0;height:1.5pt" o:hralign="center" o:hrstd="t" o:hr="t" fillcolor="#a0a0a0" stroked="f"/>
        </w:pict>
      </w:r>
    </w:p>
    <w:p w14:paraId="644F7CCE"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enthält Moses Anweisungen an die zukünftigen Führer. </w:t>
      </w:r>
      <w:r w:rsidRPr="00C71054">
        <w:rPr>
          <w:rFonts w:eastAsia="Times New Roman" w:cs="Times New Roman"/>
          <w:b/>
          <w:bCs/>
          <w:rtl/>
          <w:lang w:eastAsia="de-DE"/>
        </w:rPr>
        <w:t>וַיֹּאמֶר מֹשֶׁה אֲלֵהֶם</w:t>
      </w:r>
      <w:r w:rsidRPr="00C71054">
        <w:rPr>
          <w:rFonts w:eastAsia="Times New Roman" w:cs="Times New Roman"/>
          <w:rtl/>
          <w:lang w:eastAsia="de-DE"/>
        </w:rPr>
        <w:t xml:space="preserve"> </w:t>
      </w:r>
      <w:r w:rsidRPr="00C71054">
        <w:rPr>
          <w:rFonts w:eastAsia="Times New Roman" w:cs="Times New Roman"/>
          <w:lang w:eastAsia="de-DE"/>
        </w:rPr>
        <w:t xml:space="preserve">ist die Redeeinleitung. </w:t>
      </w:r>
      <w:r w:rsidRPr="00C71054">
        <w:rPr>
          <w:rFonts w:eastAsia="Times New Roman" w:cs="Times New Roman"/>
          <w:b/>
          <w:bCs/>
          <w:rtl/>
          <w:lang w:eastAsia="de-DE"/>
        </w:rPr>
        <w:t>אִם־יַעַבְרוּ בְנֵי־גָד וּבְנֵי־רְאוּבֵן אִתְּכֶם אֶת־הַיַּרְדֵּן כָּל־חָלוּץ לַמִּלְחָמָה לִפְנֵי יהוה</w:t>
      </w:r>
      <w:r w:rsidRPr="00C71054">
        <w:rPr>
          <w:rFonts w:eastAsia="Times New Roman" w:cs="Times New Roman"/>
          <w:rtl/>
          <w:lang w:eastAsia="de-DE"/>
        </w:rPr>
        <w:t xml:space="preserve"> </w:t>
      </w:r>
      <w:r w:rsidRPr="00C71054">
        <w:rPr>
          <w:rFonts w:eastAsia="Times New Roman" w:cs="Times New Roman"/>
          <w:lang w:eastAsia="de-DE"/>
        </w:rPr>
        <w:t xml:space="preserve">ist die Bedingung. </w:t>
      </w:r>
      <w:r w:rsidRPr="00C71054">
        <w:rPr>
          <w:rFonts w:eastAsia="Times New Roman" w:cs="Times New Roman"/>
          <w:b/>
          <w:bCs/>
          <w:rtl/>
          <w:lang w:eastAsia="de-DE"/>
        </w:rPr>
        <w:t>אִם</w:t>
      </w:r>
      <w:r w:rsidRPr="00C71054">
        <w:rPr>
          <w:rFonts w:eastAsia="Times New Roman" w:cs="Times New Roman"/>
          <w:rtl/>
          <w:lang w:eastAsia="de-DE"/>
        </w:rPr>
        <w:t xml:space="preserve"> </w:t>
      </w:r>
      <w:r w:rsidRPr="00C71054">
        <w:rPr>
          <w:rFonts w:eastAsia="Times New Roman" w:cs="Times New Roman"/>
          <w:lang w:eastAsia="de-DE"/>
        </w:rPr>
        <w:t xml:space="preserve">(konditionale Partikel), </w:t>
      </w:r>
      <w:r w:rsidRPr="00C71054">
        <w:rPr>
          <w:rFonts w:eastAsia="Times New Roman" w:cs="Times New Roman"/>
          <w:b/>
          <w:bCs/>
          <w:rtl/>
          <w:lang w:eastAsia="de-DE"/>
        </w:rPr>
        <w:t>יַעַבְרוּ</w:t>
      </w:r>
      <w:r w:rsidRPr="00C71054">
        <w:rPr>
          <w:rFonts w:eastAsia="Times New Roman" w:cs="Times New Roman"/>
          <w:rtl/>
          <w:lang w:eastAsia="de-DE"/>
        </w:rPr>
        <w:t xml:space="preserve"> </w:t>
      </w:r>
      <w:r w:rsidRPr="00C71054">
        <w:rPr>
          <w:rFonts w:eastAsia="Times New Roman" w:cs="Times New Roman"/>
          <w:lang w:eastAsia="de-DE"/>
        </w:rPr>
        <w:t xml:space="preserve">(Qal Imperfekt 3. Person Plural von </w:t>
      </w:r>
      <w:r w:rsidRPr="00C71054">
        <w:rPr>
          <w:rFonts w:eastAsia="Times New Roman" w:cs="Times New Roman"/>
          <w:b/>
          <w:bCs/>
          <w:rtl/>
          <w:lang w:eastAsia="de-DE"/>
        </w:rPr>
        <w:t>עבר</w:t>
      </w:r>
      <w:r w:rsidRPr="00C71054">
        <w:rPr>
          <w:rFonts w:eastAsia="Times New Roman" w:cs="Times New Roman"/>
          <w:rtl/>
          <w:lang w:eastAsia="de-DE"/>
        </w:rPr>
        <w:t xml:space="preserve"> </w:t>
      </w:r>
      <w:r w:rsidRPr="00C71054">
        <w:rPr>
          <w:rFonts w:eastAsia="Times New Roman" w:cs="Times New Roman"/>
          <w:lang w:eastAsia="de-DE"/>
        </w:rPr>
        <w:t xml:space="preserve">„hinüberziehen"), </w:t>
      </w:r>
      <w:r w:rsidRPr="00C71054">
        <w:rPr>
          <w:rFonts w:eastAsia="Times New Roman" w:cs="Times New Roman"/>
          <w:b/>
          <w:bCs/>
          <w:rtl/>
          <w:lang w:eastAsia="de-DE"/>
        </w:rPr>
        <w:t>בְנֵי־גָד וּבְנֵי־רְאוּבֵן</w:t>
      </w:r>
      <w:r w:rsidRPr="00C71054">
        <w:rPr>
          <w:rFonts w:eastAsia="Times New Roman" w:cs="Times New Roman"/>
          <w:rtl/>
          <w:lang w:eastAsia="de-DE"/>
        </w:rPr>
        <w:t xml:space="preserve"> </w:t>
      </w:r>
      <w:r w:rsidRPr="00C71054">
        <w:rPr>
          <w:rFonts w:eastAsia="Times New Roman" w:cs="Times New Roman"/>
          <w:lang w:eastAsia="de-DE"/>
        </w:rPr>
        <w:t xml:space="preserve">(Subjekte), </w:t>
      </w:r>
      <w:r w:rsidRPr="00C71054">
        <w:rPr>
          <w:rFonts w:eastAsia="Times New Roman" w:cs="Times New Roman"/>
          <w:b/>
          <w:bCs/>
          <w:rtl/>
          <w:lang w:eastAsia="de-DE"/>
        </w:rPr>
        <w:t>אִתְּכֶם</w:t>
      </w:r>
      <w:r w:rsidRPr="00C71054">
        <w:rPr>
          <w:rFonts w:eastAsia="Times New Roman" w:cs="Times New Roman"/>
          <w:rtl/>
          <w:lang w:eastAsia="de-DE"/>
        </w:rPr>
        <w:t xml:space="preserve"> </w:t>
      </w:r>
      <w:r w:rsidRPr="00C71054">
        <w:rPr>
          <w:rFonts w:eastAsia="Times New Roman" w:cs="Times New Roman"/>
          <w:lang w:eastAsia="de-DE"/>
        </w:rPr>
        <w:t xml:space="preserve">(Präposition mit Suffix 2. Person Plural „mit euch"), </w:t>
      </w:r>
      <w:r w:rsidRPr="00C71054">
        <w:rPr>
          <w:rFonts w:eastAsia="Times New Roman" w:cs="Times New Roman"/>
          <w:b/>
          <w:bCs/>
          <w:rtl/>
          <w:lang w:eastAsia="de-DE"/>
        </w:rPr>
        <w:t>אֶת־הַיַּרְדֵּן</w:t>
      </w:r>
      <w:r w:rsidRPr="00C71054">
        <w:rPr>
          <w:rFonts w:eastAsia="Times New Roman" w:cs="Times New Roman"/>
          <w:rtl/>
          <w:lang w:eastAsia="de-DE"/>
        </w:rPr>
        <w:t xml:space="preserve"> </w:t>
      </w:r>
      <w:r w:rsidRPr="00C71054">
        <w:rPr>
          <w:rFonts w:eastAsia="Times New Roman" w:cs="Times New Roman"/>
          <w:lang w:eastAsia="de-DE"/>
        </w:rPr>
        <w:t xml:space="preserve">(„den Jordan"), </w:t>
      </w:r>
      <w:r w:rsidRPr="00C71054">
        <w:rPr>
          <w:rFonts w:eastAsia="Times New Roman" w:cs="Times New Roman"/>
          <w:b/>
          <w:bCs/>
          <w:rtl/>
          <w:lang w:eastAsia="de-DE"/>
        </w:rPr>
        <w:t>כָּל־חָלוּץ לַמִּלְחָמָה</w:t>
      </w:r>
      <w:r w:rsidRPr="00C71054">
        <w:rPr>
          <w:rFonts w:eastAsia="Times New Roman" w:cs="Times New Roman"/>
          <w:rtl/>
          <w:lang w:eastAsia="de-DE"/>
        </w:rPr>
        <w:t xml:space="preserve"> </w:t>
      </w:r>
      <w:r w:rsidRPr="00C71054">
        <w:rPr>
          <w:rFonts w:eastAsia="Times New Roman" w:cs="Times New Roman"/>
          <w:lang w:eastAsia="de-DE"/>
        </w:rPr>
        <w:t xml:space="preserve">(„jeder zum Krieg Gerüstete"), </w:t>
      </w:r>
      <w:r w:rsidRPr="00C71054">
        <w:rPr>
          <w:rFonts w:eastAsia="Times New Roman" w:cs="Times New Roman"/>
          <w:b/>
          <w:bCs/>
          <w:rtl/>
          <w:lang w:eastAsia="de-DE"/>
        </w:rPr>
        <w:t>לִפְנֵי יהוה</w:t>
      </w:r>
      <w:r w:rsidRPr="00C71054">
        <w:rPr>
          <w:rFonts w:eastAsia="Times New Roman" w:cs="Times New Roman"/>
          <w:rtl/>
          <w:lang w:eastAsia="de-DE"/>
        </w:rPr>
        <w:t xml:space="preserve"> </w:t>
      </w:r>
      <w:r w:rsidRPr="00C71054">
        <w:rPr>
          <w:rFonts w:eastAsia="Times New Roman" w:cs="Times New Roman"/>
          <w:lang w:eastAsia="de-DE"/>
        </w:rPr>
        <w:t>(„vor dem Ewigen").</w:t>
      </w:r>
    </w:p>
    <w:p w14:paraId="5873DB4D"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rtl/>
          <w:lang w:eastAsia="de-DE"/>
        </w:rPr>
        <w:t>וְנִכְבְּשָׁה הָאָרֶץ לִפְנֵיכֶם</w:t>
      </w:r>
      <w:r w:rsidRPr="00C71054">
        <w:rPr>
          <w:rFonts w:eastAsia="Times New Roman" w:cs="Times New Roman"/>
          <w:rtl/>
          <w:lang w:eastAsia="de-DE"/>
        </w:rPr>
        <w:t xml:space="preserve"> </w:t>
      </w:r>
      <w:r w:rsidRPr="00C71054">
        <w:rPr>
          <w:rFonts w:eastAsia="Times New Roman" w:cs="Times New Roman"/>
          <w:lang w:eastAsia="de-DE"/>
        </w:rPr>
        <w:t xml:space="preserve">ist die zweite Bedingung. </w:t>
      </w:r>
      <w:r w:rsidRPr="00C71054">
        <w:rPr>
          <w:rFonts w:eastAsia="Times New Roman" w:cs="Times New Roman"/>
          <w:b/>
          <w:bCs/>
          <w:rtl/>
          <w:lang w:eastAsia="de-DE"/>
        </w:rPr>
        <w:t>וְנִכְבְּשָׁה</w:t>
      </w:r>
      <w:r w:rsidRPr="00C71054">
        <w:rPr>
          <w:rFonts w:eastAsia="Times New Roman" w:cs="Times New Roman"/>
          <w:rtl/>
          <w:lang w:eastAsia="de-DE"/>
        </w:rPr>
        <w:t xml:space="preserve"> </w:t>
      </w:r>
      <w:r w:rsidRPr="00C71054">
        <w:rPr>
          <w:rFonts w:eastAsia="Times New Roman" w:cs="Times New Roman"/>
          <w:lang w:eastAsia="de-DE"/>
        </w:rPr>
        <w:t xml:space="preserve">(Niphal Perfekt 3. Person feminin Singular mit Waw consecutivum von </w:t>
      </w:r>
      <w:r w:rsidRPr="00C71054">
        <w:rPr>
          <w:rFonts w:eastAsia="Times New Roman" w:cs="Times New Roman"/>
          <w:b/>
          <w:bCs/>
          <w:rtl/>
          <w:lang w:eastAsia="de-DE"/>
        </w:rPr>
        <w:t>כבשׁ</w:t>
      </w:r>
      <w:r w:rsidRPr="00C71054">
        <w:rPr>
          <w:rFonts w:eastAsia="Times New Roman" w:cs="Times New Roman"/>
          <w:rtl/>
          <w:lang w:eastAsia="de-DE"/>
        </w:rPr>
        <w:t xml:space="preserve"> </w:t>
      </w:r>
      <w:r w:rsidRPr="00C71054">
        <w:rPr>
          <w:rFonts w:eastAsia="Times New Roman" w:cs="Times New Roman"/>
          <w:lang w:eastAsia="de-DE"/>
        </w:rPr>
        <w:t xml:space="preserve">„unterworfen werden"), </w:t>
      </w:r>
      <w:r w:rsidRPr="00C71054">
        <w:rPr>
          <w:rFonts w:eastAsia="Times New Roman" w:cs="Times New Roman"/>
          <w:b/>
          <w:bCs/>
          <w:rtl/>
          <w:lang w:eastAsia="de-DE"/>
        </w:rPr>
        <w:t>הָאָרֶץ</w:t>
      </w:r>
      <w:r w:rsidRPr="00C71054">
        <w:rPr>
          <w:rFonts w:eastAsia="Times New Roman" w:cs="Times New Roman"/>
          <w:rtl/>
          <w:lang w:eastAsia="de-DE"/>
        </w:rPr>
        <w:t xml:space="preserve"> </w:t>
      </w:r>
      <w:r w:rsidRPr="00C71054">
        <w:rPr>
          <w:rFonts w:eastAsia="Times New Roman" w:cs="Times New Roman"/>
          <w:lang w:eastAsia="de-DE"/>
        </w:rPr>
        <w:t xml:space="preserve">(„das Land"), </w:t>
      </w:r>
      <w:r w:rsidRPr="00C71054">
        <w:rPr>
          <w:rFonts w:eastAsia="Times New Roman" w:cs="Times New Roman"/>
          <w:b/>
          <w:bCs/>
          <w:rtl/>
          <w:lang w:eastAsia="de-DE"/>
        </w:rPr>
        <w:t>לִפְנֵיכֶם</w:t>
      </w:r>
      <w:r w:rsidRPr="00C71054">
        <w:rPr>
          <w:rFonts w:eastAsia="Times New Roman" w:cs="Times New Roman"/>
          <w:rtl/>
          <w:lang w:eastAsia="de-DE"/>
        </w:rPr>
        <w:t xml:space="preserve"> </w:t>
      </w:r>
      <w:r w:rsidRPr="00C71054">
        <w:rPr>
          <w:rFonts w:eastAsia="Times New Roman" w:cs="Times New Roman"/>
          <w:lang w:eastAsia="de-DE"/>
        </w:rPr>
        <w:t xml:space="preserve">(„vor euch"). </w:t>
      </w:r>
      <w:r w:rsidRPr="00C71054">
        <w:rPr>
          <w:rFonts w:eastAsia="Times New Roman" w:cs="Times New Roman"/>
          <w:b/>
          <w:bCs/>
          <w:rtl/>
          <w:lang w:eastAsia="de-DE"/>
        </w:rPr>
        <w:t>וּנְתַתֶּם לָהֶם אֶת־אֶרֶץ הַגִּלְעָד לַאֲחֻזָּה</w:t>
      </w:r>
      <w:r w:rsidRPr="00C71054">
        <w:rPr>
          <w:rFonts w:eastAsia="Times New Roman" w:cs="Times New Roman"/>
          <w:rtl/>
          <w:lang w:eastAsia="de-DE"/>
        </w:rPr>
        <w:t xml:space="preserve"> </w:t>
      </w:r>
      <w:r w:rsidRPr="00C71054">
        <w:rPr>
          <w:rFonts w:eastAsia="Times New Roman" w:cs="Times New Roman"/>
          <w:lang w:eastAsia="de-DE"/>
        </w:rPr>
        <w:t xml:space="preserve">ist die Folge (Apodosis). </w:t>
      </w:r>
      <w:r w:rsidRPr="00C71054">
        <w:rPr>
          <w:rFonts w:eastAsia="Times New Roman" w:cs="Times New Roman"/>
          <w:b/>
          <w:bCs/>
          <w:rtl/>
          <w:lang w:eastAsia="de-DE"/>
        </w:rPr>
        <w:t>וּנְתַתֶּם</w:t>
      </w:r>
      <w:r w:rsidRPr="00C71054">
        <w:rPr>
          <w:rFonts w:eastAsia="Times New Roman" w:cs="Times New Roman"/>
          <w:rtl/>
          <w:lang w:eastAsia="de-DE"/>
        </w:rPr>
        <w:t xml:space="preserve"> </w:t>
      </w:r>
      <w:r w:rsidRPr="00C71054">
        <w:rPr>
          <w:rFonts w:eastAsia="Times New Roman" w:cs="Times New Roman"/>
          <w:lang w:eastAsia="de-DE"/>
        </w:rPr>
        <w:t xml:space="preserve">(Qal Perfekt 2. Person Plural mit Waw consecutivum von </w:t>
      </w:r>
      <w:r w:rsidRPr="00C71054">
        <w:rPr>
          <w:rFonts w:eastAsia="Times New Roman" w:cs="Times New Roman"/>
          <w:b/>
          <w:bCs/>
          <w:rtl/>
          <w:lang w:eastAsia="de-DE"/>
        </w:rPr>
        <w:t>נתן</w:t>
      </w:r>
      <w:r w:rsidRPr="00C71054">
        <w:rPr>
          <w:rFonts w:eastAsia="Times New Roman" w:cs="Times New Roman"/>
          <w:rtl/>
          <w:lang w:eastAsia="de-DE"/>
        </w:rPr>
        <w:t xml:space="preserve"> </w:t>
      </w:r>
      <w:r w:rsidRPr="00C71054">
        <w:rPr>
          <w:rFonts w:eastAsia="Times New Roman" w:cs="Times New Roman"/>
          <w:lang w:eastAsia="de-DE"/>
        </w:rPr>
        <w:t xml:space="preserve">„geben"), </w:t>
      </w:r>
      <w:r w:rsidRPr="00C71054">
        <w:rPr>
          <w:rFonts w:eastAsia="Times New Roman" w:cs="Times New Roman"/>
          <w:b/>
          <w:bCs/>
          <w:rtl/>
          <w:lang w:eastAsia="de-DE"/>
        </w:rPr>
        <w:t>לָהֶם</w:t>
      </w:r>
      <w:r w:rsidRPr="00C71054">
        <w:rPr>
          <w:rFonts w:eastAsia="Times New Roman" w:cs="Times New Roman"/>
          <w:rtl/>
          <w:lang w:eastAsia="de-DE"/>
        </w:rPr>
        <w:t xml:space="preserve"> </w:t>
      </w:r>
      <w:r w:rsidRPr="00C71054">
        <w:rPr>
          <w:rFonts w:eastAsia="Times New Roman" w:cs="Times New Roman"/>
          <w:lang w:eastAsia="de-DE"/>
        </w:rPr>
        <w:t xml:space="preserve">(„ihnen"), </w:t>
      </w:r>
      <w:r w:rsidRPr="00C71054">
        <w:rPr>
          <w:rFonts w:eastAsia="Times New Roman" w:cs="Times New Roman"/>
          <w:b/>
          <w:bCs/>
          <w:rtl/>
          <w:lang w:eastAsia="de-DE"/>
        </w:rPr>
        <w:t>אֶת־אֶרֶץ הַגִּלְעָד</w:t>
      </w:r>
      <w:r w:rsidRPr="00C71054">
        <w:rPr>
          <w:rFonts w:eastAsia="Times New Roman" w:cs="Times New Roman"/>
          <w:rtl/>
          <w:lang w:eastAsia="de-DE"/>
        </w:rPr>
        <w:t xml:space="preserve"> </w:t>
      </w:r>
      <w:r w:rsidRPr="00C71054">
        <w:rPr>
          <w:rFonts w:eastAsia="Times New Roman" w:cs="Times New Roman"/>
          <w:lang w:eastAsia="de-DE"/>
        </w:rPr>
        <w:t xml:space="preserve">(„das Land Gilead"), </w:t>
      </w:r>
      <w:r w:rsidRPr="00C71054">
        <w:rPr>
          <w:rFonts w:eastAsia="Times New Roman" w:cs="Times New Roman"/>
          <w:b/>
          <w:bCs/>
          <w:rtl/>
          <w:lang w:eastAsia="de-DE"/>
        </w:rPr>
        <w:t>לַאֲחֻזָּה</w:t>
      </w:r>
      <w:r w:rsidRPr="00C71054">
        <w:rPr>
          <w:rFonts w:eastAsia="Times New Roman" w:cs="Times New Roman"/>
          <w:rtl/>
          <w:lang w:eastAsia="de-DE"/>
        </w:rPr>
        <w:t xml:space="preserve"> </w:t>
      </w:r>
      <w:r w:rsidRPr="00C71054">
        <w:rPr>
          <w:rFonts w:eastAsia="Times New Roman" w:cs="Times New Roman"/>
          <w:lang w:eastAsia="de-DE"/>
        </w:rPr>
        <w:t>(„zum Besitztum").</w:t>
      </w:r>
    </w:p>
    <w:p w14:paraId="76119CAF"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eine Redeeinleitung, zwei konditionale Protasen und eine Apodosis.</w:t>
      </w:r>
    </w:p>
    <w:p w14:paraId="1CB4D84B"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formuliert die bindende Anweisung an die Nachfolger: Wenn Gad und Ruben ihre Versprechen erfüllen, sollen sie Gilead erhalten - eine rechtliche Absicherung der Vereinbarung.</w:t>
      </w:r>
    </w:p>
    <w:p w14:paraId="60DA6C51"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32,30</w:t>
      </w:r>
    </w:p>
    <w:p w14:paraId="367A4CAC"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וְאִם־לֹ֧א יַֽעַבְר֛וּ חֲלוּצִ֖ים אִתְּכֶ֑ם וְנֹֽאחֲז֥וּ בְתֹכְכֶ֖ם בְּאֶ֥רֶץ כְּנָֽעַן׃</w:t>
      </w:r>
    </w:p>
    <w:p w14:paraId="0CDC35E2"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lastRenderedPageBreak/>
        <w:t>Deutsch:</w:t>
      </w:r>
      <w:r w:rsidRPr="00C71054">
        <w:rPr>
          <w:rFonts w:eastAsia="Times New Roman" w:cs="Times New Roman"/>
          <w:lang w:eastAsia="de-DE"/>
        </w:rPr>
        <w:t xml:space="preserve"> wenn sie aber nicht gerüstet mit euch hinüberziehen, so sollen sie sich unter euch ansiedeln im Land Kena'an.</w:t>
      </w:r>
    </w:p>
    <w:p w14:paraId="770BD8F1"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4FF09B7D">
          <v:rect id="_x0000_i2016" style="width:0;height:1.5pt" o:hralign="center" o:hrstd="t" o:hr="t" fillcolor="#a0a0a0" stroked="f"/>
        </w:pict>
      </w:r>
    </w:p>
    <w:p w14:paraId="1C8E9E72"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gibt die Alternative. </w:t>
      </w:r>
      <w:r w:rsidRPr="00C71054">
        <w:rPr>
          <w:rFonts w:eastAsia="Times New Roman" w:cs="Times New Roman"/>
          <w:b/>
          <w:bCs/>
          <w:rtl/>
          <w:lang w:eastAsia="de-DE"/>
        </w:rPr>
        <w:t>וְאִם־לֹא יַעַבְרוּ חֲלוּצִים אִתְּכֶם</w:t>
      </w:r>
      <w:r w:rsidRPr="00C71054">
        <w:rPr>
          <w:rFonts w:eastAsia="Times New Roman" w:cs="Times New Roman"/>
          <w:rtl/>
          <w:lang w:eastAsia="de-DE"/>
        </w:rPr>
        <w:t xml:space="preserve"> </w:t>
      </w:r>
      <w:r w:rsidRPr="00C71054">
        <w:rPr>
          <w:rFonts w:eastAsia="Times New Roman" w:cs="Times New Roman"/>
          <w:lang w:eastAsia="de-DE"/>
        </w:rPr>
        <w:t xml:space="preserve">ist die negative Bedingung. </w:t>
      </w:r>
      <w:r w:rsidRPr="00C71054">
        <w:rPr>
          <w:rFonts w:eastAsia="Times New Roman" w:cs="Times New Roman"/>
          <w:b/>
          <w:bCs/>
          <w:rtl/>
          <w:lang w:eastAsia="de-DE"/>
        </w:rPr>
        <w:t>וְאִם־לֹא</w:t>
      </w:r>
      <w:r w:rsidRPr="00C71054">
        <w:rPr>
          <w:rFonts w:eastAsia="Times New Roman" w:cs="Times New Roman"/>
          <w:rtl/>
          <w:lang w:eastAsia="de-DE"/>
        </w:rPr>
        <w:t xml:space="preserve"> </w:t>
      </w:r>
      <w:r w:rsidRPr="00C71054">
        <w:rPr>
          <w:rFonts w:eastAsia="Times New Roman" w:cs="Times New Roman"/>
          <w:lang w:eastAsia="de-DE"/>
        </w:rPr>
        <w:t xml:space="preserve">(Konjunktion mit konditionaler Partikel und Negation „wenn aber nicht"), </w:t>
      </w:r>
      <w:r w:rsidRPr="00C71054">
        <w:rPr>
          <w:rFonts w:eastAsia="Times New Roman" w:cs="Times New Roman"/>
          <w:b/>
          <w:bCs/>
          <w:rtl/>
          <w:lang w:eastAsia="de-DE"/>
        </w:rPr>
        <w:t>יַעַבְרוּ</w:t>
      </w:r>
      <w:r w:rsidRPr="00C71054">
        <w:rPr>
          <w:rFonts w:eastAsia="Times New Roman" w:cs="Times New Roman"/>
          <w:rtl/>
          <w:lang w:eastAsia="de-DE"/>
        </w:rPr>
        <w:t xml:space="preserve"> </w:t>
      </w:r>
      <w:r w:rsidRPr="00C71054">
        <w:rPr>
          <w:rFonts w:eastAsia="Times New Roman" w:cs="Times New Roman"/>
          <w:lang w:eastAsia="de-DE"/>
        </w:rPr>
        <w:t xml:space="preserve">(Qal Imperfekt 3. Person Plural von </w:t>
      </w:r>
      <w:r w:rsidRPr="00C71054">
        <w:rPr>
          <w:rFonts w:eastAsia="Times New Roman" w:cs="Times New Roman"/>
          <w:b/>
          <w:bCs/>
          <w:rtl/>
          <w:lang w:eastAsia="de-DE"/>
        </w:rPr>
        <w:t>עבר</w:t>
      </w:r>
      <w:r w:rsidRPr="00C71054">
        <w:rPr>
          <w:rFonts w:eastAsia="Times New Roman" w:cs="Times New Roman"/>
          <w:rtl/>
          <w:lang w:eastAsia="de-DE"/>
        </w:rPr>
        <w:t xml:space="preserve"> </w:t>
      </w:r>
      <w:r w:rsidRPr="00C71054">
        <w:rPr>
          <w:rFonts w:eastAsia="Times New Roman" w:cs="Times New Roman"/>
          <w:lang w:eastAsia="de-DE"/>
        </w:rPr>
        <w:t xml:space="preserve">„hinüberziehen"), </w:t>
      </w:r>
      <w:r w:rsidRPr="00C71054">
        <w:rPr>
          <w:rFonts w:eastAsia="Times New Roman" w:cs="Times New Roman"/>
          <w:b/>
          <w:bCs/>
          <w:rtl/>
          <w:lang w:eastAsia="de-DE"/>
        </w:rPr>
        <w:t>חֲלוּצִים</w:t>
      </w:r>
      <w:r w:rsidRPr="00C71054">
        <w:rPr>
          <w:rFonts w:eastAsia="Times New Roman" w:cs="Times New Roman"/>
          <w:rtl/>
          <w:lang w:eastAsia="de-DE"/>
        </w:rPr>
        <w:t xml:space="preserve"> </w:t>
      </w:r>
      <w:r w:rsidRPr="00C71054">
        <w:rPr>
          <w:rFonts w:eastAsia="Times New Roman" w:cs="Times New Roman"/>
          <w:lang w:eastAsia="de-DE"/>
        </w:rPr>
        <w:t xml:space="preserve">(Qal Passiv-Partizip Plural von </w:t>
      </w:r>
      <w:r w:rsidRPr="00C71054">
        <w:rPr>
          <w:rFonts w:eastAsia="Times New Roman" w:cs="Times New Roman"/>
          <w:b/>
          <w:bCs/>
          <w:rtl/>
          <w:lang w:eastAsia="de-DE"/>
        </w:rPr>
        <w:t>חלץ</w:t>
      </w:r>
      <w:r w:rsidRPr="00C71054">
        <w:rPr>
          <w:rFonts w:eastAsia="Times New Roman" w:cs="Times New Roman"/>
          <w:rtl/>
          <w:lang w:eastAsia="de-DE"/>
        </w:rPr>
        <w:t xml:space="preserve"> </w:t>
      </w:r>
      <w:r w:rsidRPr="00C71054">
        <w:rPr>
          <w:rFonts w:eastAsia="Times New Roman" w:cs="Times New Roman"/>
          <w:lang w:eastAsia="de-DE"/>
        </w:rPr>
        <w:t xml:space="preserve">„gerüstet"), </w:t>
      </w:r>
      <w:r w:rsidRPr="00C71054">
        <w:rPr>
          <w:rFonts w:eastAsia="Times New Roman" w:cs="Times New Roman"/>
          <w:b/>
          <w:bCs/>
          <w:rtl/>
          <w:lang w:eastAsia="de-DE"/>
        </w:rPr>
        <w:t>אִתְּכֶם</w:t>
      </w:r>
      <w:r w:rsidRPr="00C71054">
        <w:rPr>
          <w:rFonts w:eastAsia="Times New Roman" w:cs="Times New Roman"/>
          <w:rtl/>
          <w:lang w:eastAsia="de-DE"/>
        </w:rPr>
        <w:t xml:space="preserve"> </w:t>
      </w:r>
      <w:r w:rsidRPr="00C71054">
        <w:rPr>
          <w:rFonts w:eastAsia="Times New Roman" w:cs="Times New Roman"/>
          <w:lang w:eastAsia="de-DE"/>
        </w:rPr>
        <w:t xml:space="preserve">(„mit euch"). </w:t>
      </w:r>
      <w:r w:rsidRPr="00C71054">
        <w:rPr>
          <w:rFonts w:eastAsia="Times New Roman" w:cs="Times New Roman"/>
          <w:b/>
          <w:bCs/>
          <w:rtl/>
          <w:lang w:eastAsia="de-DE"/>
        </w:rPr>
        <w:t>וְנֹאחֲזוּ בְתֹכְכֶם בְּאֶרֶץ כְּנָעַן</w:t>
      </w:r>
      <w:r w:rsidRPr="00C71054">
        <w:rPr>
          <w:rFonts w:eastAsia="Times New Roman" w:cs="Times New Roman"/>
          <w:rtl/>
          <w:lang w:eastAsia="de-DE"/>
        </w:rPr>
        <w:t xml:space="preserve"> </w:t>
      </w:r>
      <w:r w:rsidRPr="00C71054">
        <w:rPr>
          <w:rFonts w:eastAsia="Times New Roman" w:cs="Times New Roman"/>
          <w:lang w:eastAsia="de-DE"/>
        </w:rPr>
        <w:t xml:space="preserve">ist die Folge. </w:t>
      </w:r>
      <w:r w:rsidRPr="00C71054">
        <w:rPr>
          <w:rFonts w:eastAsia="Times New Roman" w:cs="Times New Roman"/>
          <w:b/>
          <w:bCs/>
          <w:rtl/>
          <w:lang w:eastAsia="de-DE"/>
        </w:rPr>
        <w:t>וְנֹאחֲזוּ</w:t>
      </w:r>
      <w:r w:rsidRPr="00C71054">
        <w:rPr>
          <w:rFonts w:eastAsia="Times New Roman" w:cs="Times New Roman"/>
          <w:rtl/>
          <w:lang w:eastAsia="de-DE"/>
        </w:rPr>
        <w:t xml:space="preserve"> </w:t>
      </w:r>
      <w:r w:rsidRPr="00C71054">
        <w:rPr>
          <w:rFonts w:eastAsia="Times New Roman" w:cs="Times New Roman"/>
          <w:lang w:eastAsia="de-DE"/>
        </w:rPr>
        <w:t xml:space="preserve">(Niphal Perfekt 3. Person Plural mit Waw consecutivum von </w:t>
      </w:r>
      <w:r w:rsidRPr="00C71054">
        <w:rPr>
          <w:rFonts w:eastAsia="Times New Roman" w:cs="Times New Roman"/>
          <w:b/>
          <w:bCs/>
          <w:rtl/>
          <w:lang w:eastAsia="de-DE"/>
        </w:rPr>
        <w:t>אחז</w:t>
      </w:r>
      <w:r w:rsidRPr="00C71054">
        <w:rPr>
          <w:rFonts w:eastAsia="Times New Roman" w:cs="Times New Roman"/>
          <w:rtl/>
          <w:lang w:eastAsia="de-DE"/>
        </w:rPr>
        <w:t xml:space="preserve"> </w:t>
      </w:r>
      <w:r w:rsidRPr="00C71054">
        <w:rPr>
          <w:rFonts w:eastAsia="Times New Roman" w:cs="Times New Roman"/>
          <w:lang w:eastAsia="de-DE"/>
        </w:rPr>
        <w:t xml:space="preserve">„ergreifen, sich ansiedeln, Besitz ergreifen"), </w:t>
      </w:r>
      <w:r w:rsidRPr="00C71054">
        <w:rPr>
          <w:rFonts w:eastAsia="Times New Roman" w:cs="Times New Roman"/>
          <w:b/>
          <w:bCs/>
          <w:rtl/>
          <w:lang w:eastAsia="de-DE"/>
        </w:rPr>
        <w:t>בְתֹכְכֶם</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בְ</w:t>
      </w:r>
      <w:r w:rsidRPr="00C71054">
        <w:rPr>
          <w:rFonts w:eastAsia="Times New Roman" w:cs="Times New Roman"/>
          <w:rtl/>
          <w:lang w:eastAsia="de-DE"/>
        </w:rPr>
        <w:t xml:space="preserve"> </w:t>
      </w:r>
      <w:r w:rsidRPr="00C71054">
        <w:rPr>
          <w:rFonts w:eastAsia="Times New Roman" w:cs="Times New Roman"/>
          <w:lang w:eastAsia="de-DE"/>
        </w:rPr>
        <w:t xml:space="preserve">mit </w:t>
      </w:r>
      <w:r w:rsidRPr="00C71054">
        <w:rPr>
          <w:rFonts w:eastAsia="Times New Roman" w:cs="Times New Roman"/>
          <w:b/>
          <w:bCs/>
          <w:rtl/>
          <w:lang w:eastAsia="de-DE"/>
        </w:rPr>
        <w:t>תָּוֶךְ</w:t>
      </w:r>
      <w:r w:rsidRPr="00C71054">
        <w:rPr>
          <w:rFonts w:eastAsia="Times New Roman" w:cs="Times New Roman"/>
          <w:rtl/>
          <w:lang w:eastAsia="de-DE"/>
        </w:rPr>
        <w:t xml:space="preserve"> </w:t>
      </w:r>
      <w:r w:rsidRPr="00C71054">
        <w:rPr>
          <w:rFonts w:eastAsia="Times New Roman" w:cs="Times New Roman"/>
          <w:lang w:eastAsia="de-DE"/>
        </w:rPr>
        <w:t xml:space="preserve">„Mitte" und Suffix 2. Person Plural „in eurer Mitte, unter euch"), </w:t>
      </w:r>
      <w:r w:rsidRPr="00C71054">
        <w:rPr>
          <w:rFonts w:eastAsia="Times New Roman" w:cs="Times New Roman"/>
          <w:b/>
          <w:bCs/>
          <w:rtl/>
          <w:lang w:eastAsia="de-DE"/>
        </w:rPr>
        <w:t>בְּאֶרֶץ כְּנָעַן</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בְ</w:t>
      </w:r>
      <w:r w:rsidRPr="00C71054">
        <w:rPr>
          <w:rFonts w:eastAsia="Times New Roman" w:cs="Times New Roman"/>
          <w:rtl/>
          <w:lang w:eastAsia="de-DE"/>
        </w:rPr>
        <w:t xml:space="preserve"> </w:t>
      </w:r>
      <w:r w:rsidRPr="00C71054">
        <w:rPr>
          <w:rFonts w:eastAsia="Times New Roman" w:cs="Times New Roman"/>
          <w:lang w:eastAsia="de-DE"/>
        </w:rPr>
        <w:t xml:space="preserve">mit </w:t>
      </w:r>
      <w:r w:rsidRPr="00C71054">
        <w:rPr>
          <w:rFonts w:eastAsia="Times New Roman" w:cs="Times New Roman"/>
          <w:b/>
          <w:bCs/>
          <w:rtl/>
          <w:lang w:eastAsia="de-DE"/>
        </w:rPr>
        <w:t>אֶרֶץ כְּנָעַן</w:t>
      </w:r>
      <w:r w:rsidRPr="00C71054">
        <w:rPr>
          <w:rFonts w:eastAsia="Times New Roman" w:cs="Times New Roman"/>
          <w:rtl/>
          <w:lang w:eastAsia="de-DE"/>
        </w:rPr>
        <w:t xml:space="preserve"> </w:t>
      </w:r>
      <w:r w:rsidRPr="00C71054">
        <w:rPr>
          <w:rFonts w:eastAsia="Times New Roman" w:cs="Times New Roman"/>
          <w:lang w:eastAsia="de-DE"/>
        </w:rPr>
        <w:t>„im Land Kanaan").</w:t>
      </w:r>
    </w:p>
    <w:p w14:paraId="26614FDC" w14:textId="3370F841"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Die LXX</w:t>
      </w:r>
      <w:r w:rsidRPr="00C71054">
        <w:rPr>
          <w:rFonts w:eastAsia="Times New Roman" w:cs="Times New Roman"/>
          <w:lang w:eastAsia="de-DE"/>
        </w:rPr>
        <w:t xml:space="preserve"> </w:t>
      </w:r>
      <w:r w:rsidR="009C05CB">
        <w:t>erweitert den Text erheblich um: „καὶ διαβιβάσετε τὴν ἀποσκευὴν αὐτῶν καὶ τὰς γυναῖκας αὐτῶν καὶ τὰ κτήνη αὐτῶν πρότερα ὑμῶν εἰς γῆν Χανάαν" (und ihr sollt ihr Gepäck und ihre Frauen und ihr Vieh vor euch ins Land Kanaan hinüberbringen), eine bedeutende textliche Erweiterung, die im MT völlig fehlt.</w:t>
      </w:r>
    </w:p>
    <w:p w14:paraId="7E417998"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eine negative Bedingung mit konsekutiver Folge.</w:t>
      </w:r>
    </w:p>
    <w:p w14:paraId="30E2B1C8"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stellt klar: Wenn Gad und Ruben ihre Versprechen nicht halten, verlieren sie das Ostjordanland und müssen sich wie alle anderen westlich des Jordan ansiedeln - eine wirksame Drohung.</w:t>
      </w:r>
    </w:p>
    <w:p w14:paraId="03CB1F59"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32,31</w:t>
      </w:r>
    </w:p>
    <w:p w14:paraId="227E5D12"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וַיַּֽעֲנ֧וּ בְנֵי־גָ֛ד וּבְנֵ֥י רְאוּבֵ֖ן לֵאמֹ֑ר אֵ֩ת אֲשֶׁ֨ר דִּבֶּ֧ר יְהוָ֛ה אֶל־עֲבָדֶ֖יךָ כֵּ֥ן נַעֲשֶֽׂה׃</w:t>
      </w:r>
    </w:p>
    <w:p w14:paraId="64C536CE"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die Söhne Gad und die Söhne Re'uven antworteten, sagend: „Wie der Ewige zu deinen Knechten geredet hat, so wollen wir tun.</w:t>
      </w:r>
    </w:p>
    <w:p w14:paraId="7CD470AC"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5C89EB97">
          <v:rect id="_x0000_i2017" style="width:0;height:1.5pt" o:hralign="center" o:hrstd="t" o:hr="t" fillcolor="#a0a0a0" stroked="f"/>
        </w:pict>
      </w:r>
    </w:p>
    <w:p w14:paraId="7CF36FA4"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zeigt die feierliche Zusage. </w:t>
      </w:r>
      <w:r w:rsidRPr="00C71054">
        <w:rPr>
          <w:rFonts w:eastAsia="Times New Roman" w:cs="Times New Roman"/>
          <w:b/>
          <w:bCs/>
          <w:rtl/>
          <w:lang w:eastAsia="de-DE"/>
        </w:rPr>
        <w:t>וַיַּעֲנוּ בְנֵי־גָד וּבְנֵי רְאוּבֵן לֵאמֹר</w:t>
      </w:r>
      <w:r w:rsidRPr="00C71054">
        <w:rPr>
          <w:rFonts w:eastAsia="Times New Roman" w:cs="Times New Roman"/>
          <w:rtl/>
          <w:lang w:eastAsia="de-DE"/>
        </w:rPr>
        <w:t xml:space="preserve"> </w:t>
      </w:r>
      <w:r w:rsidRPr="00C71054">
        <w:rPr>
          <w:rFonts w:eastAsia="Times New Roman" w:cs="Times New Roman"/>
          <w:lang w:eastAsia="de-DE"/>
        </w:rPr>
        <w:t xml:space="preserve">ist die Einleitung. </w:t>
      </w:r>
      <w:r w:rsidRPr="00C71054">
        <w:rPr>
          <w:rFonts w:eastAsia="Times New Roman" w:cs="Times New Roman"/>
          <w:b/>
          <w:bCs/>
          <w:rtl/>
          <w:lang w:eastAsia="de-DE"/>
        </w:rPr>
        <w:t>וַיַּעֲנוּ</w:t>
      </w:r>
      <w:r w:rsidRPr="00C71054">
        <w:rPr>
          <w:rFonts w:eastAsia="Times New Roman" w:cs="Times New Roman"/>
          <w:rtl/>
          <w:lang w:eastAsia="de-DE"/>
        </w:rPr>
        <w:t xml:space="preserve"> </w:t>
      </w:r>
      <w:r w:rsidRPr="00C71054">
        <w:rPr>
          <w:rFonts w:eastAsia="Times New Roman" w:cs="Times New Roman"/>
          <w:lang w:eastAsia="de-DE"/>
        </w:rPr>
        <w:t xml:space="preserve">(Qal Wayyiqtol 3. Person Plural von </w:t>
      </w:r>
      <w:r w:rsidRPr="00C71054">
        <w:rPr>
          <w:rFonts w:eastAsia="Times New Roman" w:cs="Times New Roman"/>
          <w:b/>
          <w:bCs/>
          <w:rtl/>
          <w:lang w:eastAsia="de-DE"/>
        </w:rPr>
        <w:t>ענה</w:t>
      </w:r>
      <w:r w:rsidRPr="00C71054">
        <w:rPr>
          <w:rFonts w:eastAsia="Times New Roman" w:cs="Times New Roman"/>
          <w:rtl/>
          <w:lang w:eastAsia="de-DE"/>
        </w:rPr>
        <w:t xml:space="preserve"> </w:t>
      </w:r>
      <w:r w:rsidRPr="00C71054">
        <w:rPr>
          <w:rFonts w:eastAsia="Times New Roman" w:cs="Times New Roman"/>
          <w:lang w:eastAsia="de-DE"/>
        </w:rPr>
        <w:t xml:space="preserve">„antworten"). </w:t>
      </w:r>
      <w:r w:rsidRPr="00C71054">
        <w:rPr>
          <w:rFonts w:eastAsia="Times New Roman" w:cs="Times New Roman"/>
          <w:b/>
          <w:bCs/>
          <w:rtl/>
          <w:lang w:eastAsia="de-DE"/>
        </w:rPr>
        <w:t>אֵת אֲשֶׁר דִּבֶּר יהוה אֶל־עֲבָדֶיךָ כֵּן נַעֲשֶׂה</w:t>
      </w:r>
      <w:r w:rsidRPr="00C71054">
        <w:rPr>
          <w:rFonts w:eastAsia="Times New Roman" w:cs="Times New Roman"/>
          <w:rtl/>
          <w:lang w:eastAsia="de-DE"/>
        </w:rPr>
        <w:t xml:space="preserve"> </w:t>
      </w:r>
      <w:r w:rsidRPr="00C71054">
        <w:rPr>
          <w:rFonts w:eastAsia="Times New Roman" w:cs="Times New Roman"/>
          <w:lang w:eastAsia="de-DE"/>
        </w:rPr>
        <w:t xml:space="preserve">ist die Zusage. </w:t>
      </w:r>
      <w:r w:rsidRPr="00C71054">
        <w:rPr>
          <w:rFonts w:eastAsia="Times New Roman" w:cs="Times New Roman"/>
          <w:b/>
          <w:bCs/>
          <w:rtl/>
          <w:lang w:eastAsia="de-DE"/>
        </w:rPr>
        <w:t>אֵת אֲשֶׁר</w:t>
      </w:r>
      <w:r w:rsidRPr="00C71054">
        <w:rPr>
          <w:rFonts w:eastAsia="Times New Roman" w:cs="Times New Roman"/>
          <w:rtl/>
          <w:lang w:eastAsia="de-DE"/>
        </w:rPr>
        <w:t xml:space="preserve"> </w:t>
      </w:r>
      <w:r w:rsidRPr="00C71054">
        <w:rPr>
          <w:rFonts w:eastAsia="Times New Roman" w:cs="Times New Roman"/>
          <w:lang w:eastAsia="de-DE"/>
        </w:rPr>
        <w:t xml:space="preserve">(Akkusativpartikel mit Relativpronomen „das, was"), </w:t>
      </w:r>
      <w:r w:rsidRPr="00C71054">
        <w:rPr>
          <w:rFonts w:eastAsia="Times New Roman" w:cs="Times New Roman"/>
          <w:b/>
          <w:bCs/>
          <w:rtl/>
          <w:lang w:eastAsia="de-DE"/>
        </w:rPr>
        <w:t>דִּבֶּר יהוה</w:t>
      </w:r>
      <w:r w:rsidRPr="00C71054">
        <w:rPr>
          <w:rFonts w:eastAsia="Times New Roman" w:cs="Times New Roman"/>
          <w:rtl/>
          <w:lang w:eastAsia="de-DE"/>
        </w:rPr>
        <w:t xml:space="preserve"> </w:t>
      </w:r>
      <w:r w:rsidRPr="00C71054">
        <w:rPr>
          <w:rFonts w:eastAsia="Times New Roman" w:cs="Times New Roman"/>
          <w:lang w:eastAsia="de-DE"/>
        </w:rPr>
        <w:t xml:space="preserve">(Piel Perfekt 3. Person maskulin Singular von </w:t>
      </w:r>
      <w:r w:rsidRPr="00C71054">
        <w:rPr>
          <w:rFonts w:eastAsia="Times New Roman" w:cs="Times New Roman"/>
          <w:b/>
          <w:bCs/>
          <w:rtl/>
          <w:lang w:eastAsia="de-DE"/>
        </w:rPr>
        <w:t>דבר</w:t>
      </w:r>
      <w:r w:rsidRPr="00C71054">
        <w:rPr>
          <w:rFonts w:eastAsia="Times New Roman" w:cs="Times New Roman"/>
          <w:rtl/>
          <w:lang w:eastAsia="de-DE"/>
        </w:rPr>
        <w:t xml:space="preserve"> </w:t>
      </w:r>
      <w:r w:rsidRPr="00C71054">
        <w:rPr>
          <w:rFonts w:eastAsia="Times New Roman" w:cs="Times New Roman"/>
          <w:lang w:eastAsia="de-DE"/>
        </w:rPr>
        <w:t xml:space="preserve">„reden" mit Tetragramm als Subjekt „der Ewige geredet hat"), </w:t>
      </w:r>
      <w:r w:rsidRPr="00C71054">
        <w:rPr>
          <w:rFonts w:eastAsia="Times New Roman" w:cs="Times New Roman"/>
          <w:b/>
          <w:bCs/>
          <w:rtl/>
          <w:lang w:eastAsia="de-DE"/>
        </w:rPr>
        <w:t>אֶל־עֲבָדֶיךָ</w:t>
      </w:r>
      <w:r w:rsidRPr="00C71054">
        <w:rPr>
          <w:rFonts w:eastAsia="Times New Roman" w:cs="Times New Roman"/>
          <w:rtl/>
          <w:lang w:eastAsia="de-DE"/>
        </w:rPr>
        <w:t xml:space="preserve"> </w:t>
      </w:r>
      <w:r w:rsidRPr="00C71054">
        <w:rPr>
          <w:rFonts w:eastAsia="Times New Roman" w:cs="Times New Roman"/>
          <w:lang w:eastAsia="de-DE"/>
        </w:rPr>
        <w:t xml:space="preserve">(„zu deinen Knechten"), </w:t>
      </w:r>
      <w:r w:rsidRPr="00C71054">
        <w:rPr>
          <w:rFonts w:eastAsia="Times New Roman" w:cs="Times New Roman"/>
          <w:b/>
          <w:bCs/>
          <w:rtl/>
          <w:lang w:eastAsia="de-DE"/>
        </w:rPr>
        <w:t>כֵּן נַעֲשֶׂה</w:t>
      </w:r>
      <w:r w:rsidRPr="00C71054">
        <w:rPr>
          <w:rFonts w:eastAsia="Times New Roman" w:cs="Times New Roman"/>
          <w:rtl/>
          <w:lang w:eastAsia="de-DE"/>
        </w:rPr>
        <w:t xml:space="preserve"> </w:t>
      </w:r>
      <w:r w:rsidRPr="00C71054">
        <w:rPr>
          <w:rFonts w:eastAsia="Times New Roman" w:cs="Times New Roman"/>
          <w:lang w:eastAsia="de-DE"/>
        </w:rPr>
        <w:t xml:space="preserve">(Adverb </w:t>
      </w:r>
      <w:r w:rsidRPr="00C71054">
        <w:rPr>
          <w:rFonts w:eastAsia="Times New Roman" w:cs="Times New Roman"/>
          <w:b/>
          <w:bCs/>
          <w:rtl/>
          <w:lang w:eastAsia="de-DE"/>
        </w:rPr>
        <w:t>כֵּן</w:t>
      </w:r>
      <w:r w:rsidRPr="00C71054">
        <w:rPr>
          <w:rFonts w:eastAsia="Times New Roman" w:cs="Times New Roman"/>
          <w:rtl/>
          <w:lang w:eastAsia="de-DE"/>
        </w:rPr>
        <w:t xml:space="preserve"> </w:t>
      </w:r>
      <w:r w:rsidRPr="00C71054">
        <w:rPr>
          <w:rFonts w:eastAsia="Times New Roman" w:cs="Times New Roman"/>
          <w:lang w:eastAsia="de-DE"/>
        </w:rPr>
        <w:t xml:space="preserve">„so" und Qal Imperfekt 1. Person Plural von </w:t>
      </w:r>
      <w:r w:rsidRPr="00C71054">
        <w:rPr>
          <w:rFonts w:eastAsia="Times New Roman" w:cs="Times New Roman"/>
          <w:b/>
          <w:bCs/>
          <w:rtl/>
          <w:lang w:eastAsia="de-DE"/>
        </w:rPr>
        <w:t>עשׂה</w:t>
      </w:r>
      <w:r w:rsidRPr="00C71054">
        <w:rPr>
          <w:rFonts w:eastAsia="Times New Roman" w:cs="Times New Roman"/>
          <w:rtl/>
          <w:lang w:eastAsia="de-DE"/>
        </w:rPr>
        <w:t xml:space="preserve"> </w:t>
      </w:r>
      <w:r w:rsidRPr="00C71054">
        <w:rPr>
          <w:rFonts w:eastAsia="Times New Roman" w:cs="Times New Roman"/>
          <w:lang w:eastAsia="de-DE"/>
        </w:rPr>
        <w:t>„tun" „so wollen wir tun"). Bemerkenswert: Sie sagen nicht „wie Mose geredet hat", sondern „wie der Ewige geredet hat" - sie erkennen Moses Worte als göttliche Worte an.</w:t>
      </w:r>
    </w:p>
    <w:p w14:paraId="2F14AB49"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eine Redeeinleitung, gefolgt von einer Zusage mit Relativsatz.</w:t>
      </w:r>
    </w:p>
    <w:p w14:paraId="46FBE3BD"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zeigt die theologische Dimension: Gad und Ruben erkennen, dass Moses Bedingungen göttliche Bedingungen sind - sie verpflichten sich gegenüber Gott selbst.</w:t>
      </w:r>
    </w:p>
    <w:p w14:paraId="485CA9CB"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32,32</w:t>
      </w:r>
    </w:p>
    <w:p w14:paraId="25EAAC4F"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lastRenderedPageBreak/>
        <w:t>Hebräisch:</w:t>
      </w:r>
      <w:r w:rsidRPr="00C71054">
        <w:rPr>
          <w:rFonts w:eastAsia="Times New Roman" w:cs="Times New Roman"/>
          <w:lang w:eastAsia="de-DE"/>
        </w:rPr>
        <w:t xml:space="preserve"> </w:t>
      </w:r>
      <w:r w:rsidRPr="00C71054">
        <w:rPr>
          <w:rFonts w:eastAsia="Times New Roman" w:cs="Times New Roman"/>
          <w:rtl/>
          <w:lang w:eastAsia="de-DE"/>
        </w:rPr>
        <w:t>נַ֣חְנוּ נַעֲבֹ֧ר חֲלוּצִ֛ים לִפְנֵ֥י יְהוָ֖ה אֶ֣רֶץ כְּנָ֑עַן וְאִתָּ֨נוּ֙ אֲחֻזַּ֣ת נַחֲלָתֵ֔נוּ מֵעֵ֖בֶר לַיַּרְדֵּֽן׃</w:t>
      </w:r>
    </w:p>
    <w:p w14:paraId="36E12B31"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Wir wollen gerüstet vor dem Ewigen in das Land Kena'an hinüberziehen, und der Besitz unseres Erbteils sei uns diesseits des Jardens.</w:t>
      </w:r>
    </w:p>
    <w:p w14:paraId="7742BE21"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321FF040">
          <v:rect id="_x0000_i2018" style="width:0;height:1.5pt" o:hralign="center" o:hrstd="t" o:hr="t" fillcolor="#a0a0a0" stroked="f"/>
        </w:pict>
      </w:r>
    </w:p>
    <w:p w14:paraId="5684F531" w14:textId="3D2FDB21"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fasst die Vereinbarung zusammen. </w:t>
      </w:r>
      <w:r w:rsidRPr="00C71054">
        <w:rPr>
          <w:rFonts w:eastAsia="Times New Roman" w:cs="Times New Roman"/>
          <w:b/>
          <w:bCs/>
          <w:rtl/>
          <w:lang w:eastAsia="de-DE"/>
        </w:rPr>
        <w:t>נַחְנוּ נַעֲבֹר חֲלוּצִים לִפְנֵי יהוה אֶרֶץ כְּנָעַן</w:t>
      </w:r>
      <w:r w:rsidRPr="00C71054">
        <w:rPr>
          <w:rFonts w:eastAsia="Times New Roman" w:cs="Times New Roman"/>
          <w:rtl/>
          <w:lang w:eastAsia="de-DE"/>
        </w:rPr>
        <w:t xml:space="preserve"> </w:t>
      </w:r>
      <w:r w:rsidRPr="00C71054">
        <w:rPr>
          <w:rFonts w:eastAsia="Times New Roman" w:cs="Times New Roman"/>
          <w:lang w:eastAsia="de-DE"/>
        </w:rPr>
        <w:t xml:space="preserve">ist die Verpflichtung. </w:t>
      </w:r>
      <w:r w:rsidRPr="00C71054">
        <w:rPr>
          <w:rFonts w:eastAsia="Times New Roman" w:cs="Times New Roman"/>
          <w:b/>
          <w:bCs/>
          <w:rtl/>
          <w:lang w:eastAsia="de-DE"/>
        </w:rPr>
        <w:t>נַחְנוּ</w:t>
      </w:r>
      <w:r w:rsidRPr="00C71054">
        <w:rPr>
          <w:rFonts w:eastAsia="Times New Roman" w:cs="Times New Roman"/>
          <w:rtl/>
          <w:lang w:eastAsia="de-DE"/>
        </w:rPr>
        <w:t xml:space="preserve"> </w:t>
      </w:r>
      <w:r w:rsidRPr="00C71054">
        <w:rPr>
          <w:rFonts w:eastAsia="Times New Roman" w:cs="Times New Roman"/>
          <w:lang w:eastAsia="de-DE"/>
        </w:rPr>
        <w:t xml:space="preserve">(emphatisches Personalpronomen 1. Person Plural „wir"), </w:t>
      </w:r>
      <w:r w:rsidRPr="00C71054">
        <w:rPr>
          <w:rFonts w:eastAsia="Times New Roman" w:cs="Times New Roman"/>
          <w:b/>
          <w:bCs/>
          <w:rtl/>
          <w:lang w:eastAsia="de-DE"/>
        </w:rPr>
        <w:t>נַעֲבֹר</w:t>
      </w:r>
      <w:r w:rsidRPr="00C71054">
        <w:rPr>
          <w:rFonts w:eastAsia="Times New Roman" w:cs="Times New Roman"/>
          <w:rtl/>
          <w:lang w:eastAsia="de-DE"/>
        </w:rPr>
        <w:t xml:space="preserve"> </w:t>
      </w:r>
      <w:r w:rsidRPr="00C71054">
        <w:rPr>
          <w:rFonts w:eastAsia="Times New Roman" w:cs="Times New Roman"/>
          <w:lang w:eastAsia="de-DE"/>
        </w:rPr>
        <w:t xml:space="preserve">(Qal Imperfekt 1. Person Plural von </w:t>
      </w:r>
      <w:r w:rsidRPr="00C71054">
        <w:rPr>
          <w:rFonts w:eastAsia="Times New Roman" w:cs="Times New Roman"/>
          <w:b/>
          <w:bCs/>
          <w:rtl/>
          <w:lang w:eastAsia="de-DE"/>
        </w:rPr>
        <w:t>עבר</w:t>
      </w:r>
      <w:r w:rsidRPr="00C71054">
        <w:rPr>
          <w:rFonts w:eastAsia="Times New Roman" w:cs="Times New Roman"/>
          <w:rtl/>
          <w:lang w:eastAsia="de-DE"/>
        </w:rPr>
        <w:t xml:space="preserve"> </w:t>
      </w:r>
      <w:r w:rsidRPr="00C71054">
        <w:rPr>
          <w:rFonts w:eastAsia="Times New Roman" w:cs="Times New Roman"/>
          <w:lang w:eastAsia="de-DE"/>
        </w:rPr>
        <w:t xml:space="preserve">„hinüberziehen"), </w:t>
      </w:r>
      <w:r w:rsidRPr="00C71054">
        <w:rPr>
          <w:rFonts w:eastAsia="Times New Roman" w:cs="Times New Roman"/>
          <w:b/>
          <w:bCs/>
          <w:rtl/>
          <w:lang w:eastAsia="de-DE"/>
        </w:rPr>
        <w:t>חֲלוּצִים</w:t>
      </w:r>
      <w:r w:rsidRPr="00C71054">
        <w:rPr>
          <w:rFonts w:eastAsia="Times New Roman" w:cs="Times New Roman"/>
          <w:rtl/>
          <w:lang w:eastAsia="de-DE"/>
        </w:rPr>
        <w:t xml:space="preserve"> </w:t>
      </w:r>
      <w:r w:rsidRPr="00C71054">
        <w:rPr>
          <w:rFonts w:eastAsia="Times New Roman" w:cs="Times New Roman"/>
          <w:lang w:eastAsia="de-DE"/>
        </w:rPr>
        <w:t xml:space="preserve">(Qal Passiv-Partizip Plural von </w:t>
      </w:r>
      <w:r w:rsidRPr="00C71054">
        <w:rPr>
          <w:rFonts w:eastAsia="Times New Roman" w:cs="Times New Roman"/>
          <w:b/>
          <w:bCs/>
          <w:rtl/>
          <w:lang w:eastAsia="de-DE"/>
        </w:rPr>
        <w:t>חלץ</w:t>
      </w:r>
      <w:r w:rsidRPr="00C71054">
        <w:rPr>
          <w:rFonts w:eastAsia="Times New Roman" w:cs="Times New Roman"/>
          <w:rtl/>
          <w:lang w:eastAsia="de-DE"/>
        </w:rPr>
        <w:t xml:space="preserve"> </w:t>
      </w:r>
      <w:r w:rsidRPr="00C71054">
        <w:rPr>
          <w:rFonts w:eastAsia="Times New Roman" w:cs="Times New Roman"/>
          <w:lang w:eastAsia="de-DE"/>
        </w:rPr>
        <w:t xml:space="preserve">„gerüstet"), </w:t>
      </w:r>
      <w:r w:rsidRPr="00C71054">
        <w:rPr>
          <w:rFonts w:eastAsia="Times New Roman" w:cs="Times New Roman"/>
          <w:b/>
          <w:bCs/>
          <w:rtl/>
          <w:lang w:eastAsia="de-DE"/>
        </w:rPr>
        <w:t>לִפְנֵי יהוה</w:t>
      </w:r>
      <w:r w:rsidRPr="00C71054">
        <w:rPr>
          <w:rFonts w:eastAsia="Times New Roman" w:cs="Times New Roman"/>
          <w:rtl/>
          <w:lang w:eastAsia="de-DE"/>
        </w:rPr>
        <w:t xml:space="preserve"> </w:t>
      </w:r>
      <w:r w:rsidRPr="00C71054">
        <w:rPr>
          <w:rFonts w:eastAsia="Times New Roman" w:cs="Times New Roman"/>
          <w:lang w:eastAsia="de-DE"/>
        </w:rPr>
        <w:t xml:space="preserve">(„vor dem Ewigen"), </w:t>
      </w:r>
      <w:r w:rsidRPr="00C71054">
        <w:rPr>
          <w:rFonts w:eastAsia="Times New Roman" w:cs="Times New Roman"/>
          <w:b/>
          <w:bCs/>
          <w:rtl/>
          <w:lang w:eastAsia="de-DE"/>
        </w:rPr>
        <w:t>אֶרֶץ כְּנָעַן</w:t>
      </w:r>
      <w:r w:rsidRPr="00C71054">
        <w:rPr>
          <w:rFonts w:eastAsia="Times New Roman" w:cs="Times New Roman"/>
          <w:rtl/>
          <w:lang w:eastAsia="de-DE"/>
        </w:rPr>
        <w:t xml:space="preserve"> </w:t>
      </w:r>
      <w:r w:rsidRPr="00C71054">
        <w:rPr>
          <w:rFonts w:eastAsia="Times New Roman" w:cs="Times New Roman"/>
          <w:lang w:eastAsia="de-DE"/>
        </w:rPr>
        <w:t xml:space="preserve">(Akkusativ „das Land Kanaan" - sie werden nach Kanaan hinüberziehen). </w:t>
      </w:r>
      <w:r w:rsidRPr="00C71054">
        <w:rPr>
          <w:rFonts w:eastAsia="Times New Roman" w:cs="Times New Roman"/>
          <w:b/>
          <w:bCs/>
          <w:rtl/>
          <w:lang w:eastAsia="de-DE"/>
        </w:rPr>
        <w:t>וְאִתָּנוּ אֲחֻזַּת נַחֲלָתֵנוּ מֵעֵבֶר לַיַּרְדֵּן</w:t>
      </w:r>
      <w:r w:rsidRPr="00C71054">
        <w:rPr>
          <w:rFonts w:eastAsia="Times New Roman" w:cs="Times New Roman"/>
          <w:rtl/>
          <w:lang w:eastAsia="de-DE"/>
        </w:rPr>
        <w:t xml:space="preserve"> </w:t>
      </w:r>
      <w:r w:rsidRPr="00C71054">
        <w:rPr>
          <w:rFonts w:eastAsia="Times New Roman" w:cs="Times New Roman"/>
          <w:lang w:eastAsia="de-DE"/>
        </w:rPr>
        <w:t xml:space="preserve">ist die Gegenleistung. </w:t>
      </w:r>
      <w:r w:rsidRPr="00C71054">
        <w:rPr>
          <w:rFonts w:eastAsia="Times New Roman" w:cs="Times New Roman"/>
          <w:b/>
          <w:bCs/>
          <w:rtl/>
          <w:lang w:eastAsia="de-DE"/>
        </w:rPr>
        <w:t>וְאִתָּנוּ</w:t>
      </w:r>
      <w:r w:rsidRPr="00C71054">
        <w:rPr>
          <w:rFonts w:eastAsia="Times New Roman" w:cs="Times New Roman"/>
          <w:rtl/>
          <w:lang w:eastAsia="de-DE"/>
        </w:rPr>
        <w:t xml:space="preserve"> </w:t>
      </w:r>
      <w:r w:rsidRPr="00C71054">
        <w:rPr>
          <w:rFonts w:eastAsia="Times New Roman" w:cs="Times New Roman"/>
          <w:lang w:eastAsia="de-DE"/>
        </w:rPr>
        <w:t xml:space="preserve">(Konjunktion mit Präposition </w:t>
      </w:r>
      <w:r w:rsidRPr="00C71054">
        <w:rPr>
          <w:rFonts w:eastAsia="Times New Roman" w:cs="Times New Roman"/>
          <w:b/>
          <w:bCs/>
          <w:rtl/>
          <w:lang w:eastAsia="de-DE"/>
        </w:rPr>
        <w:t>אֵת</w:t>
      </w:r>
      <w:r w:rsidRPr="00C71054">
        <w:rPr>
          <w:rFonts w:eastAsia="Times New Roman" w:cs="Times New Roman"/>
          <w:rtl/>
          <w:lang w:eastAsia="de-DE"/>
        </w:rPr>
        <w:t xml:space="preserve"> </w:t>
      </w:r>
      <w:r w:rsidRPr="00C71054">
        <w:rPr>
          <w:rFonts w:eastAsia="Times New Roman" w:cs="Times New Roman"/>
          <w:lang w:eastAsia="de-DE"/>
        </w:rPr>
        <w:t xml:space="preserve">„mit" und Suffix 1. Person Plural „und mit uns", d.h. „uns gehört"), </w:t>
      </w:r>
      <w:r w:rsidRPr="00C71054">
        <w:rPr>
          <w:rFonts w:eastAsia="Times New Roman" w:cs="Times New Roman"/>
          <w:b/>
          <w:bCs/>
          <w:rtl/>
          <w:lang w:eastAsia="de-DE"/>
        </w:rPr>
        <w:t>אֲחֻזַּת נַחֲלָתֵנוּ</w:t>
      </w:r>
      <w:r w:rsidRPr="00C71054">
        <w:rPr>
          <w:rFonts w:eastAsia="Times New Roman" w:cs="Times New Roman"/>
          <w:rtl/>
          <w:lang w:eastAsia="de-DE"/>
        </w:rPr>
        <w:t xml:space="preserve"> </w:t>
      </w:r>
      <w:r w:rsidRPr="00C71054">
        <w:rPr>
          <w:rFonts w:eastAsia="Times New Roman" w:cs="Times New Roman"/>
          <w:lang w:eastAsia="de-DE"/>
        </w:rPr>
        <w:t>(Doppel</w:t>
      </w:r>
      <w:r w:rsidR="00B513FF">
        <w:rPr>
          <w:rFonts w:eastAsia="Times New Roman" w:cs="Times New Roman"/>
          <w:lang w:eastAsia="de-DE"/>
        </w:rPr>
        <w:t xml:space="preserve">Constructus </w:t>
      </w:r>
      <w:r w:rsidRPr="00C71054">
        <w:rPr>
          <w:rFonts w:eastAsia="Times New Roman" w:cs="Times New Roman"/>
          <w:lang w:eastAsia="de-DE"/>
        </w:rPr>
        <w:t xml:space="preserve">: </w:t>
      </w:r>
      <w:r w:rsidRPr="00C71054">
        <w:rPr>
          <w:rFonts w:eastAsia="Times New Roman" w:cs="Times New Roman"/>
          <w:b/>
          <w:bCs/>
          <w:rtl/>
          <w:lang w:eastAsia="de-DE"/>
        </w:rPr>
        <w:t>אֲחֻזָּה</w:t>
      </w:r>
      <w:r w:rsidRPr="00C71054">
        <w:rPr>
          <w:rFonts w:eastAsia="Times New Roman" w:cs="Times New Roman"/>
          <w:rtl/>
          <w:lang w:eastAsia="de-DE"/>
        </w:rPr>
        <w:t xml:space="preserve"> </w:t>
      </w:r>
      <w:r w:rsidRPr="00C71054">
        <w:rPr>
          <w:rFonts w:eastAsia="Times New Roman" w:cs="Times New Roman"/>
          <w:lang w:eastAsia="de-DE"/>
        </w:rPr>
        <w:t xml:space="preserve">„Besitztum" im </w:t>
      </w:r>
      <w:r w:rsidR="00E031B3">
        <w:rPr>
          <w:rFonts w:eastAsia="Times New Roman" w:cs="Times New Roman"/>
          <w:lang w:eastAsia="de-DE"/>
        </w:rPr>
        <w:t>Constructus mit</w:t>
      </w:r>
      <w:r w:rsidRPr="00C71054">
        <w:rPr>
          <w:rFonts w:eastAsia="Times New Roman" w:cs="Times New Roman"/>
          <w:lang w:eastAsia="de-DE"/>
        </w:rPr>
        <w:t xml:space="preserve"> </w:t>
      </w:r>
      <w:r w:rsidRPr="00C71054">
        <w:rPr>
          <w:rFonts w:eastAsia="Times New Roman" w:cs="Times New Roman"/>
          <w:b/>
          <w:bCs/>
          <w:rtl/>
          <w:lang w:eastAsia="de-DE"/>
        </w:rPr>
        <w:t>נַחֲלָה</w:t>
      </w:r>
      <w:r w:rsidRPr="00C71054">
        <w:rPr>
          <w:rFonts w:eastAsia="Times New Roman" w:cs="Times New Roman"/>
          <w:rtl/>
          <w:lang w:eastAsia="de-DE"/>
        </w:rPr>
        <w:t xml:space="preserve"> </w:t>
      </w:r>
      <w:r w:rsidRPr="00C71054">
        <w:rPr>
          <w:rFonts w:eastAsia="Times New Roman" w:cs="Times New Roman"/>
          <w:lang w:eastAsia="de-DE"/>
        </w:rPr>
        <w:t xml:space="preserve">„Erbteil" und Suffix 1. Person Plural „der Besitz unseres Erbteils"), </w:t>
      </w:r>
      <w:r w:rsidRPr="00C71054">
        <w:rPr>
          <w:rFonts w:eastAsia="Times New Roman" w:cs="Times New Roman"/>
          <w:b/>
          <w:bCs/>
          <w:rtl/>
          <w:lang w:eastAsia="de-DE"/>
        </w:rPr>
        <w:t>מֵעֵבֶר לַיַּרְדֵּן</w:t>
      </w:r>
      <w:r w:rsidRPr="00C71054">
        <w:rPr>
          <w:rFonts w:eastAsia="Times New Roman" w:cs="Times New Roman"/>
          <w:rtl/>
          <w:lang w:eastAsia="de-DE"/>
        </w:rPr>
        <w:t xml:space="preserve"> </w:t>
      </w:r>
      <w:r w:rsidRPr="00C71054">
        <w:rPr>
          <w:rFonts w:eastAsia="Times New Roman" w:cs="Times New Roman"/>
          <w:lang w:eastAsia="de-DE"/>
        </w:rPr>
        <w:t>(„diesseits des Jordan", d.h. Ostjordanland).</w:t>
      </w:r>
    </w:p>
    <w:p w14:paraId="5608EC97"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zwei koordinierte Aussagen (Verpflichtung und Gegenleistung).</w:t>
      </w:r>
    </w:p>
    <w:p w14:paraId="2F693E57"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formuliert präzise: Wir ziehen bewaffnet nach Kanaan, aber unser Erbteil bleibt im Ostjordanland - eine klare vertragliche Formulierung.</w:t>
      </w:r>
    </w:p>
    <w:p w14:paraId="73894F24"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32,33</w:t>
      </w:r>
    </w:p>
    <w:p w14:paraId="75AE197A"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וַיִּתֵּ֣ן לָהֶ֣ם׀ מֹשֶׁ֡ה לִבְנֵי־גָד֩ וְלִבְנֵ֨י רְאוּבֵ֜ן וְלַחֲצִ֣י׀ שֵׁ֣בֶט׀ מְנַשֶּׁ֣ה בֶן־יוֹסֵ֗ף אֶת־מַמְלֶ֨כֶת֙ סִיחֹן֙ מֶ֣לֶךְ הָֽאֱמֹרִ֔י וְאֶת־מַמְלֶ֔כֶת ע֖וֹג מֶ֣לֶךְ הַבָּשָׁ֑ן הָאָ֗רֶץ לְעָרֶ֙יהָ֙ בִּגְבֻלֹ֔ת עָרֵ֥י הָאָ֖רֶץ סָבִֽיב׃</w:t>
      </w:r>
    </w:p>
    <w:p w14:paraId="331451D6"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Mosche gab ihnen, den Söhnen Gad und den Söhnen Re'uven und der Hälfte des Stammes Menasche, des Sohnes Josefs, das Königreich Sichons, des Königs der Emori, und das Königreich Ogs, des Königs von Baschan, das Land nach seinen Städten in den Grenzen, die Städte des Landes ringsum.</w:t>
      </w:r>
    </w:p>
    <w:p w14:paraId="2D94439A"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0E508C6A">
          <v:rect id="_x0000_i2019" style="width:0;height:1.5pt" o:hralign="center" o:hrstd="t" o:hr="t" fillcolor="#a0a0a0" stroked="f"/>
        </w:pict>
      </w:r>
    </w:p>
    <w:p w14:paraId="2BF24203" w14:textId="109399AF"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dokumentiert die Landübertragung. </w:t>
      </w:r>
      <w:r w:rsidRPr="00C71054">
        <w:rPr>
          <w:rFonts w:eastAsia="Times New Roman" w:cs="Times New Roman"/>
          <w:b/>
          <w:bCs/>
          <w:rtl/>
          <w:lang w:eastAsia="de-DE"/>
        </w:rPr>
        <w:t>וַיִּתֵּן לָהֶם מֹשֶׁה לִבְנֵי־גָד וְלִבְנֵי רְאוּבֵן וְלַחֲצִי שֵׁבֶט מְנַשֶּׁה בֶן־יוֹסֵף</w:t>
      </w:r>
      <w:r w:rsidRPr="00C71054">
        <w:rPr>
          <w:rFonts w:eastAsia="Times New Roman" w:cs="Times New Roman"/>
          <w:rtl/>
          <w:lang w:eastAsia="de-DE"/>
        </w:rPr>
        <w:t xml:space="preserve"> </w:t>
      </w:r>
      <w:r w:rsidRPr="00C71054">
        <w:rPr>
          <w:rFonts w:eastAsia="Times New Roman" w:cs="Times New Roman"/>
          <w:lang w:eastAsia="de-DE"/>
        </w:rPr>
        <w:t xml:space="preserve">nennt die Empfänger. </w:t>
      </w:r>
      <w:r w:rsidRPr="00C71054">
        <w:rPr>
          <w:rFonts w:eastAsia="Times New Roman" w:cs="Times New Roman"/>
          <w:b/>
          <w:bCs/>
          <w:rtl/>
          <w:lang w:eastAsia="de-DE"/>
        </w:rPr>
        <w:t>וַיִּתֵּן</w:t>
      </w:r>
      <w:r w:rsidRPr="00C71054">
        <w:rPr>
          <w:rFonts w:eastAsia="Times New Roman" w:cs="Times New Roman"/>
          <w:rtl/>
          <w:lang w:eastAsia="de-DE"/>
        </w:rPr>
        <w:t xml:space="preserve"> </w:t>
      </w:r>
      <w:r w:rsidRPr="00C71054">
        <w:rPr>
          <w:rFonts w:eastAsia="Times New Roman" w:cs="Times New Roman"/>
          <w:lang w:eastAsia="de-DE"/>
        </w:rPr>
        <w:t xml:space="preserve">(Qal Wayyiqtol 3. Person maskulin Singular von </w:t>
      </w:r>
      <w:r w:rsidRPr="00C71054">
        <w:rPr>
          <w:rFonts w:eastAsia="Times New Roman" w:cs="Times New Roman"/>
          <w:b/>
          <w:bCs/>
          <w:rtl/>
          <w:lang w:eastAsia="de-DE"/>
        </w:rPr>
        <w:t>נתן</w:t>
      </w:r>
      <w:r w:rsidRPr="00C71054">
        <w:rPr>
          <w:rFonts w:eastAsia="Times New Roman" w:cs="Times New Roman"/>
          <w:rtl/>
          <w:lang w:eastAsia="de-DE"/>
        </w:rPr>
        <w:t xml:space="preserve"> </w:t>
      </w:r>
      <w:r w:rsidRPr="00C71054">
        <w:rPr>
          <w:rFonts w:eastAsia="Times New Roman" w:cs="Times New Roman"/>
          <w:lang w:eastAsia="de-DE"/>
        </w:rPr>
        <w:t xml:space="preserve">„geben"), </w:t>
      </w:r>
      <w:r w:rsidRPr="00C71054">
        <w:rPr>
          <w:rFonts w:eastAsia="Times New Roman" w:cs="Times New Roman"/>
          <w:b/>
          <w:bCs/>
          <w:rtl/>
          <w:lang w:eastAsia="de-DE"/>
        </w:rPr>
        <w:t>לָהֶם</w:t>
      </w:r>
      <w:r w:rsidRPr="00C71054">
        <w:rPr>
          <w:rFonts w:eastAsia="Times New Roman" w:cs="Times New Roman"/>
          <w:rtl/>
          <w:lang w:eastAsia="de-DE"/>
        </w:rPr>
        <w:t xml:space="preserve"> </w:t>
      </w:r>
      <w:r w:rsidRPr="00C71054">
        <w:rPr>
          <w:rFonts w:eastAsia="Times New Roman" w:cs="Times New Roman"/>
          <w:lang w:eastAsia="de-DE"/>
        </w:rPr>
        <w:t xml:space="preserve">(„ihnen"), </w:t>
      </w:r>
      <w:r w:rsidRPr="00C71054">
        <w:rPr>
          <w:rFonts w:eastAsia="Times New Roman" w:cs="Times New Roman"/>
          <w:b/>
          <w:bCs/>
          <w:rtl/>
          <w:lang w:eastAsia="de-DE"/>
        </w:rPr>
        <w:t>מֹשֶׁה</w:t>
      </w:r>
      <w:r w:rsidRPr="00C71054">
        <w:rPr>
          <w:rFonts w:eastAsia="Times New Roman" w:cs="Times New Roman"/>
          <w:rtl/>
          <w:lang w:eastAsia="de-DE"/>
        </w:rPr>
        <w:t xml:space="preserve"> </w:t>
      </w:r>
      <w:r w:rsidRPr="00C71054">
        <w:rPr>
          <w:rFonts w:eastAsia="Times New Roman" w:cs="Times New Roman"/>
          <w:lang w:eastAsia="de-DE"/>
        </w:rPr>
        <w:t xml:space="preserve">(Subjekt), </w:t>
      </w:r>
      <w:r w:rsidRPr="00C71054">
        <w:rPr>
          <w:rFonts w:eastAsia="Times New Roman" w:cs="Times New Roman"/>
          <w:b/>
          <w:bCs/>
          <w:rtl/>
          <w:lang w:eastAsia="de-DE"/>
        </w:rPr>
        <w:t>לִבְנֵי־גָד וְלִבְנֵי רְאוּבֵן</w:t>
      </w:r>
      <w:r w:rsidRPr="00C71054">
        <w:rPr>
          <w:rFonts w:eastAsia="Times New Roman" w:cs="Times New Roman"/>
          <w:rtl/>
          <w:lang w:eastAsia="de-DE"/>
        </w:rPr>
        <w:t xml:space="preserve"> </w:t>
      </w:r>
      <w:r w:rsidRPr="00C71054">
        <w:rPr>
          <w:rFonts w:eastAsia="Times New Roman" w:cs="Times New Roman"/>
          <w:lang w:eastAsia="de-DE"/>
        </w:rPr>
        <w:t xml:space="preserve">(wie zuvor), </w:t>
      </w:r>
      <w:r w:rsidRPr="00C71054">
        <w:rPr>
          <w:rFonts w:eastAsia="Times New Roman" w:cs="Times New Roman"/>
          <w:b/>
          <w:bCs/>
          <w:rtl/>
          <w:lang w:eastAsia="de-DE"/>
        </w:rPr>
        <w:t>וְלַחֲצִי שֵׁבֶט מְנַשֶּׁה בֶן־יוֹסֵף</w:t>
      </w:r>
      <w:r w:rsidRPr="00C71054">
        <w:rPr>
          <w:rFonts w:eastAsia="Times New Roman" w:cs="Times New Roman"/>
          <w:rtl/>
          <w:lang w:eastAsia="de-DE"/>
        </w:rPr>
        <w:t xml:space="preserve"> </w:t>
      </w:r>
      <w:r w:rsidRPr="00C71054">
        <w:rPr>
          <w:rFonts w:eastAsia="Times New Roman" w:cs="Times New Roman"/>
          <w:lang w:eastAsia="de-DE"/>
        </w:rPr>
        <w:t xml:space="preserve">(Konjunktion mit Präposition </w:t>
      </w:r>
      <w:r w:rsidRPr="00C71054">
        <w:rPr>
          <w:rFonts w:eastAsia="Times New Roman" w:cs="Times New Roman"/>
          <w:b/>
          <w:bCs/>
          <w:rtl/>
          <w:lang w:eastAsia="de-DE"/>
        </w:rPr>
        <w:t>לְ</w:t>
      </w:r>
      <w:r w:rsidRPr="00C71054">
        <w:rPr>
          <w:rFonts w:eastAsia="Times New Roman" w:cs="Times New Roman"/>
          <w:lang w:eastAsia="de-DE"/>
        </w:rPr>
        <w:t xml:space="preserve">, </w:t>
      </w:r>
      <w:r w:rsidRPr="00C71054">
        <w:rPr>
          <w:rFonts w:eastAsia="Times New Roman" w:cs="Times New Roman"/>
          <w:b/>
          <w:bCs/>
          <w:rtl/>
          <w:lang w:eastAsia="de-DE"/>
        </w:rPr>
        <w:t>חֲצִי</w:t>
      </w:r>
      <w:r w:rsidRPr="00C71054">
        <w:rPr>
          <w:rFonts w:eastAsia="Times New Roman" w:cs="Times New Roman"/>
          <w:rtl/>
          <w:lang w:eastAsia="de-DE"/>
        </w:rPr>
        <w:t xml:space="preserve"> </w:t>
      </w:r>
      <w:r w:rsidRPr="00C71054">
        <w:rPr>
          <w:rFonts w:eastAsia="Times New Roman" w:cs="Times New Roman"/>
          <w:lang w:eastAsia="de-DE"/>
        </w:rPr>
        <w:t xml:space="preserve">„Hälfte" im </w:t>
      </w:r>
      <w:r w:rsidR="00B513FF">
        <w:rPr>
          <w:rFonts w:eastAsia="Times New Roman" w:cs="Times New Roman"/>
          <w:lang w:eastAsia="de-DE"/>
        </w:rPr>
        <w:t xml:space="preserve">Constructus </w:t>
      </w:r>
      <w:r w:rsidRPr="00C71054">
        <w:rPr>
          <w:rFonts w:eastAsia="Times New Roman" w:cs="Times New Roman"/>
          <w:lang w:eastAsia="de-DE"/>
        </w:rPr>
        <w:t xml:space="preserve">, </w:t>
      </w:r>
      <w:r w:rsidRPr="00C71054">
        <w:rPr>
          <w:rFonts w:eastAsia="Times New Roman" w:cs="Times New Roman"/>
          <w:b/>
          <w:bCs/>
          <w:rtl/>
          <w:lang w:eastAsia="de-DE"/>
        </w:rPr>
        <w:t>שֵׁבֶט</w:t>
      </w:r>
      <w:r w:rsidRPr="00C71054">
        <w:rPr>
          <w:rFonts w:eastAsia="Times New Roman" w:cs="Times New Roman"/>
          <w:rtl/>
          <w:lang w:eastAsia="de-DE"/>
        </w:rPr>
        <w:t xml:space="preserve"> </w:t>
      </w:r>
      <w:r w:rsidRPr="00C71054">
        <w:rPr>
          <w:rFonts w:eastAsia="Times New Roman" w:cs="Times New Roman"/>
          <w:lang w:eastAsia="de-DE"/>
        </w:rPr>
        <w:t xml:space="preserve">„Stamm" mit </w:t>
      </w:r>
      <w:r w:rsidRPr="00C71054">
        <w:rPr>
          <w:rFonts w:eastAsia="Times New Roman" w:cs="Times New Roman"/>
          <w:b/>
          <w:bCs/>
          <w:rtl/>
          <w:lang w:eastAsia="de-DE"/>
        </w:rPr>
        <w:t>מְנַשֶּׁה בֶּן־יוֹסֵף</w:t>
      </w:r>
      <w:r w:rsidRPr="00C71054">
        <w:rPr>
          <w:rFonts w:eastAsia="Times New Roman" w:cs="Times New Roman"/>
          <w:rtl/>
          <w:lang w:eastAsia="de-DE"/>
        </w:rPr>
        <w:t xml:space="preserve"> </w:t>
      </w:r>
      <w:r w:rsidRPr="00C71054">
        <w:rPr>
          <w:rFonts w:eastAsia="Times New Roman" w:cs="Times New Roman"/>
          <w:lang w:eastAsia="de-DE"/>
        </w:rPr>
        <w:t>„Manasse, Sohn Josefs" „und der Hälfte des Stammes Manasse"). Überraschend: Ein halber Stamm Manasse wird erstmals erwähnt - möglicherweise schlossen sie sich später an.</w:t>
      </w:r>
    </w:p>
    <w:p w14:paraId="07DB497B" w14:textId="758991D1"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rtl/>
          <w:lang w:eastAsia="de-DE"/>
        </w:rPr>
        <w:t>אֶת־מַמְלֶכֶת סִיחֹן מֶלֶךְ הָאֱמֹרִי וְאֶת־מַמְלֶכֶת עוֹג מֶלֶךְ הַבָּשָׁן</w:t>
      </w:r>
      <w:r w:rsidRPr="00C71054">
        <w:rPr>
          <w:rFonts w:eastAsia="Times New Roman" w:cs="Times New Roman"/>
          <w:rtl/>
          <w:lang w:eastAsia="de-DE"/>
        </w:rPr>
        <w:t xml:space="preserve"> </w:t>
      </w:r>
      <w:r w:rsidRPr="00C71054">
        <w:rPr>
          <w:rFonts w:eastAsia="Times New Roman" w:cs="Times New Roman"/>
          <w:lang w:eastAsia="de-DE"/>
        </w:rPr>
        <w:t xml:space="preserve">sind die Gebiete. </w:t>
      </w:r>
      <w:r w:rsidRPr="00C71054">
        <w:rPr>
          <w:rFonts w:eastAsia="Times New Roman" w:cs="Times New Roman"/>
          <w:b/>
          <w:bCs/>
          <w:rtl/>
          <w:lang w:eastAsia="de-DE"/>
        </w:rPr>
        <w:t>מַמְלֶכֶת סִיחֹן מֶלֶךְ הָאֱמֹרִי</w:t>
      </w:r>
      <w:r w:rsidRPr="00C71054">
        <w:rPr>
          <w:rFonts w:eastAsia="Times New Roman" w:cs="Times New Roman"/>
          <w:rtl/>
          <w:lang w:eastAsia="de-DE"/>
        </w:rPr>
        <w:t xml:space="preserve"> </w:t>
      </w:r>
      <w:r w:rsidRPr="00C71054">
        <w:rPr>
          <w:rFonts w:eastAsia="Times New Roman" w:cs="Times New Roman"/>
          <w:lang w:eastAsia="de-DE"/>
        </w:rPr>
        <w:t>(</w:t>
      </w:r>
      <w:r w:rsidR="00B513FF">
        <w:rPr>
          <w:rFonts w:eastAsia="Times New Roman" w:cs="Times New Roman"/>
          <w:lang w:eastAsia="de-DE"/>
        </w:rPr>
        <w:t xml:space="preserve">Constructus </w:t>
      </w:r>
      <w:r w:rsidRPr="00C71054">
        <w:rPr>
          <w:rFonts w:eastAsia="Times New Roman" w:cs="Times New Roman"/>
          <w:lang w:eastAsia="de-DE"/>
        </w:rPr>
        <w:t xml:space="preserve">verbindung: </w:t>
      </w:r>
      <w:r w:rsidRPr="00C71054">
        <w:rPr>
          <w:rFonts w:eastAsia="Times New Roman" w:cs="Times New Roman"/>
          <w:b/>
          <w:bCs/>
          <w:rtl/>
          <w:lang w:eastAsia="de-DE"/>
        </w:rPr>
        <w:t>מַמְלֶכֶת</w:t>
      </w:r>
      <w:r w:rsidRPr="00C71054">
        <w:rPr>
          <w:rFonts w:eastAsia="Times New Roman" w:cs="Times New Roman"/>
          <w:rtl/>
          <w:lang w:eastAsia="de-DE"/>
        </w:rPr>
        <w:t xml:space="preserve"> </w:t>
      </w:r>
      <w:r w:rsidRPr="00C71054">
        <w:rPr>
          <w:rFonts w:eastAsia="Times New Roman" w:cs="Times New Roman"/>
          <w:lang w:eastAsia="de-DE"/>
        </w:rPr>
        <w:t xml:space="preserve">„Königreich" mit </w:t>
      </w:r>
      <w:r w:rsidRPr="00C71054">
        <w:rPr>
          <w:rFonts w:eastAsia="Times New Roman" w:cs="Times New Roman"/>
          <w:b/>
          <w:bCs/>
          <w:rtl/>
          <w:lang w:eastAsia="de-DE"/>
        </w:rPr>
        <w:t>סִיחֹן מֶלֶךְ הָאֱמֹרִי</w:t>
      </w:r>
      <w:r w:rsidRPr="00C71054">
        <w:rPr>
          <w:rFonts w:eastAsia="Times New Roman" w:cs="Times New Roman"/>
          <w:rtl/>
          <w:lang w:eastAsia="de-DE"/>
        </w:rPr>
        <w:t xml:space="preserve"> </w:t>
      </w:r>
      <w:r w:rsidRPr="00C71054">
        <w:rPr>
          <w:rFonts w:eastAsia="Times New Roman" w:cs="Times New Roman"/>
          <w:lang w:eastAsia="de-DE"/>
        </w:rPr>
        <w:t xml:space="preserve">„Sichon, König der Amoriter"), </w:t>
      </w:r>
      <w:r w:rsidRPr="00C71054">
        <w:rPr>
          <w:rFonts w:eastAsia="Times New Roman" w:cs="Times New Roman"/>
          <w:b/>
          <w:bCs/>
          <w:rtl/>
          <w:lang w:eastAsia="de-DE"/>
        </w:rPr>
        <w:t>מַמְלֶכֶת עוֹג מֶלֶךְ הַבָּשָׁן</w:t>
      </w:r>
      <w:r w:rsidRPr="00C71054">
        <w:rPr>
          <w:rFonts w:eastAsia="Times New Roman" w:cs="Times New Roman"/>
          <w:rtl/>
          <w:lang w:eastAsia="de-DE"/>
        </w:rPr>
        <w:t xml:space="preserve"> </w:t>
      </w:r>
      <w:r w:rsidRPr="00C71054">
        <w:rPr>
          <w:rFonts w:eastAsia="Times New Roman" w:cs="Times New Roman"/>
          <w:lang w:eastAsia="de-DE"/>
        </w:rPr>
        <w:t xml:space="preserve">(„Königreich Ogs, des Königs von Baschan"). Diese Gebiete wurden in Num 21 erobert. </w:t>
      </w:r>
      <w:r w:rsidRPr="00C71054">
        <w:rPr>
          <w:rFonts w:eastAsia="Times New Roman" w:cs="Times New Roman"/>
          <w:b/>
          <w:bCs/>
          <w:rtl/>
          <w:lang w:eastAsia="de-DE"/>
        </w:rPr>
        <w:t>הָאָרֶץ לְעָרֶיהָ בִּגְבֻלֹת עָרֵי הָאָרֶץ סָבִיב</w:t>
      </w:r>
      <w:r w:rsidRPr="00C71054">
        <w:rPr>
          <w:rFonts w:eastAsia="Times New Roman" w:cs="Times New Roman"/>
          <w:rtl/>
          <w:lang w:eastAsia="de-DE"/>
        </w:rPr>
        <w:t xml:space="preserve"> </w:t>
      </w:r>
      <w:r w:rsidRPr="00C71054">
        <w:rPr>
          <w:rFonts w:eastAsia="Times New Roman" w:cs="Times New Roman"/>
          <w:lang w:eastAsia="de-DE"/>
        </w:rPr>
        <w:t xml:space="preserve">präzisiert. </w:t>
      </w:r>
      <w:r w:rsidRPr="00C71054">
        <w:rPr>
          <w:rFonts w:eastAsia="Times New Roman" w:cs="Times New Roman"/>
          <w:b/>
          <w:bCs/>
          <w:rtl/>
          <w:lang w:eastAsia="de-DE"/>
        </w:rPr>
        <w:t>הָאָרֶץ</w:t>
      </w:r>
      <w:r w:rsidRPr="00C71054">
        <w:rPr>
          <w:rFonts w:eastAsia="Times New Roman" w:cs="Times New Roman"/>
          <w:rtl/>
          <w:lang w:eastAsia="de-DE"/>
        </w:rPr>
        <w:t xml:space="preserve"> </w:t>
      </w:r>
      <w:r w:rsidRPr="00C71054">
        <w:rPr>
          <w:rFonts w:eastAsia="Times New Roman" w:cs="Times New Roman"/>
          <w:lang w:eastAsia="de-DE"/>
        </w:rPr>
        <w:t xml:space="preserve">(„das Land"), </w:t>
      </w:r>
      <w:r w:rsidRPr="00C71054">
        <w:rPr>
          <w:rFonts w:eastAsia="Times New Roman" w:cs="Times New Roman"/>
          <w:b/>
          <w:bCs/>
          <w:rtl/>
          <w:lang w:eastAsia="de-DE"/>
        </w:rPr>
        <w:t>לְעָרֶיהָ בִּגְבֻלֹת</w:t>
      </w:r>
      <w:r w:rsidRPr="00C71054">
        <w:rPr>
          <w:rFonts w:eastAsia="Times New Roman" w:cs="Times New Roman"/>
          <w:rtl/>
          <w:lang w:eastAsia="de-DE"/>
        </w:rPr>
        <w:t xml:space="preserve"> </w:t>
      </w:r>
      <w:r w:rsidRPr="00C71054">
        <w:rPr>
          <w:rFonts w:eastAsia="Times New Roman" w:cs="Times New Roman"/>
          <w:lang w:eastAsia="de-DE"/>
        </w:rPr>
        <w:t xml:space="preserve">(Präposition </w:t>
      </w:r>
      <w:r w:rsidRPr="00C71054">
        <w:rPr>
          <w:rFonts w:eastAsia="Times New Roman" w:cs="Times New Roman"/>
          <w:b/>
          <w:bCs/>
          <w:rtl/>
          <w:lang w:eastAsia="de-DE"/>
        </w:rPr>
        <w:t>לְ</w:t>
      </w:r>
      <w:r w:rsidRPr="00C71054">
        <w:rPr>
          <w:rFonts w:eastAsia="Times New Roman" w:cs="Times New Roman"/>
          <w:rtl/>
          <w:lang w:eastAsia="de-DE"/>
        </w:rPr>
        <w:t xml:space="preserve"> </w:t>
      </w:r>
      <w:r w:rsidRPr="00C71054">
        <w:rPr>
          <w:rFonts w:eastAsia="Times New Roman" w:cs="Times New Roman"/>
          <w:lang w:eastAsia="de-DE"/>
        </w:rPr>
        <w:t xml:space="preserve">mit Plural von </w:t>
      </w:r>
      <w:r w:rsidRPr="00C71054">
        <w:rPr>
          <w:rFonts w:eastAsia="Times New Roman" w:cs="Times New Roman"/>
          <w:b/>
          <w:bCs/>
          <w:rtl/>
          <w:lang w:eastAsia="de-DE"/>
        </w:rPr>
        <w:t>עִיר</w:t>
      </w:r>
      <w:r w:rsidRPr="00C71054">
        <w:rPr>
          <w:rFonts w:eastAsia="Times New Roman" w:cs="Times New Roman"/>
          <w:rtl/>
          <w:lang w:eastAsia="de-DE"/>
        </w:rPr>
        <w:t xml:space="preserve"> </w:t>
      </w:r>
      <w:r w:rsidRPr="00C71054">
        <w:rPr>
          <w:rFonts w:eastAsia="Times New Roman" w:cs="Times New Roman"/>
          <w:lang w:eastAsia="de-DE"/>
        </w:rPr>
        <w:t xml:space="preserve">„Stadt" und Suffix und Präposition </w:t>
      </w:r>
      <w:r w:rsidRPr="00C71054">
        <w:rPr>
          <w:rFonts w:eastAsia="Times New Roman" w:cs="Times New Roman"/>
          <w:b/>
          <w:bCs/>
          <w:rtl/>
          <w:lang w:eastAsia="de-DE"/>
        </w:rPr>
        <w:t>בְ</w:t>
      </w:r>
      <w:r w:rsidRPr="00C71054">
        <w:rPr>
          <w:rFonts w:eastAsia="Times New Roman" w:cs="Times New Roman"/>
          <w:rtl/>
          <w:lang w:eastAsia="de-DE"/>
        </w:rPr>
        <w:t xml:space="preserve"> </w:t>
      </w:r>
      <w:r w:rsidRPr="00C71054">
        <w:rPr>
          <w:rFonts w:eastAsia="Times New Roman" w:cs="Times New Roman"/>
          <w:lang w:eastAsia="de-DE"/>
        </w:rPr>
        <w:t xml:space="preserve">mit Plural von </w:t>
      </w:r>
      <w:r w:rsidRPr="00C71054">
        <w:rPr>
          <w:rFonts w:eastAsia="Times New Roman" w:cs="Times New Roman"/>
          <w:b/>
          <w:bCs/>
          <w:rtl/>
          <w:lang w:eastAsia="de-DE"/>
        </w:rPr>
        <w:t>גְּבוּל</w:t>
      </w:r>
      <w:r w:rsidRPr="00C71054">
        <w:rPr>
          <w:rFonts w:eastAsia="Times New Roman" w:cs="Times New Roman"/>
          <w:rtl/>
          <w:lang w:eastAsia="de-DE"/>
        </w:rPr>
        <w:t xml:space="preserve"> </w:t>
      </w:r>
      <w:r w:rsidRPr="00C71054">
        <w:rPr>
          <w:rFonts w:eastAsia="Times New Roman" w:cs="Times New Roman"/>
          <w:lang w:eastAsia="de-DE"/>
        </w:rPr>
        <w:t xml:space="preserve">„Grenze" „nach seinen Städten in den Grenzen"), </w:t>
      </w:r>
      <w:r w:rsidRPr="00C71054">
        <w:rPr>
          <w:rFonts w:eastAsia="Times New Roman" w:cs="Times New Roman"/>
          <w:b/>
          <w:bCs/>
          <w:rtl/>
          <w:lang w:eastAsia="de-DE"/>
        </w:rPr>
        <w:t>עָרֵי הָאָרֶץ סָבִיב</w:t>
      </w:r>
      <w:r w:rsidRPr="00C71054">
        <w:rPr>
          <w:rFonts w:eastAsia="Times New Roman" w:cs="Times New Roman"/>
          <w:rtl/>
          <w:lang w:eastAsia="de-DE"/>
        </w:rPr>
        <w:t xml:space="preserve"> </w:t>
      </w:r>
      <w:r w:rsidRPr="00C71054">
        <w:rPr>
          <w:rFonts w:eastAsia="Times New Roman" w:cs="Times New Roman"/>
          <w:lang w:eastAsia="de-DE"/>
        </w:rPr>
        <w:t xml:space="preserve">(Plural </w:t>
      </w:r>
      <w:r w:rsidR="00E031B3">
        <w:rPr>
          <w:rFonts w:eastAsia="Times New Roman" w:cs="Times New Roman"/>
          <w:lang w:eastAsia="de-DE"/>
        </w:rPr>
        <w:t>Constructus von</w:t>
      </w:r>
      <w:r w:rsidRPr="00C71054">
        <w:rPr>
          <w:rFonts w:eastAsia="Times New Roman" w:cs="Times New Roman"/>
          <w:lang w:eastAsia="de-DE"/>
        </w:rPr>
        <w:t xml:space="preserve"> </w:t>
      </w:r>
      <w:r w:rsidRPr="00C71054">
        <w:rPr>
          <w:rFonts w:eastAsia="Times New Roman" w:cs="Times New Roman"/>
          <w:b/>
          <w:bCs/>
          <w:rtl/>
          <w:lang w:eastAsia="de-DE"/>
        </w:rPr>
        <w:t>עִיר</w:t>
      </w:r>
      <w:r w:rsidRPr="00C71054">
        <w:rPr>
          <w:rFonts w:eastAsia="Times New Roman" w:cs="Times New Roman"/>
          <w:rtl/>
          <w:lang w:eastAsia="de-DE"/>
        </w:rPr>
        <w:t xml:space="preserve"> </w:t>
      </w:r>
      <w:r w:rsidRPr="00C71054">
        <w:rPr>
          <w:rFonts w:eastAsia="Times New Roman" w:cs="Times New Roman"/>
          <w:lang w:eastAsia="de-DE"/>
        </w:rPr>
        <w:t xml:space="preserve">mit </w:t>
      </w:r>
      <w:r w:rsidRPr="00C71054">
        <w:rPr>
          <w:rFonts w:eastAsia="Times New Roman" w:cs="Times New Roman"/>
          <w:b/>
          <w:bCs/>
          <w:rtl/>
          <w:lang w:eastAsia="de-DE"/>
        </w:rPr>
        <w:t>אֶרֶץ</w:t>
      </w:r>
      <w:r w:rsidRPr="00C71054">
        <w:rPr>
          <w:rFonts w:eastAsia="Times New Roman" w:cs="Times New Roman"/>
          <w:rtl/>
          <w:lang w:eastAsia="de-DE"/>
        </w:rPr>
        <w:t xml:space="preserve"> </w:t>
      </w:r>
      <w:r w:rsidRPr="00C71054">
        <w:rPr>
          <w:rFonts w:eastAsia="Times New Roman" w:cs="Times New Roman"/>
          <w:lang w:eastAsia="de-DE"/>
        </w:rPr>
        <w:t xml:space="preserve">und Adverb </w:t>
      </w:r>
      <w:r w:rsidRPr="00C71054">
        <w:rPr>
          <w:rFonts w:eastAsia="Times New Roman" w:cs="Times New Roman"/>
          <w:b/>
          <w:bCs/>
          <w:rtl/>
          <w:lang w:eastAsia="de-DE"/>
        </w:rPr>
        <w:t>סָבִיב</w:t>
      </w:r>
      <w:r w:rsidRPr="00C71054">
        <w:rPr>
          <w:rFonts w:eastAsia="Times New Roman" w:cs="Times New Roman"/>
          <w:rtl/>
          <w:lang w:eastAsia="de-DE"/>
        </w:rPr>
        <w:t xml:space="preserve"> </w:t>
      </w:r>
      <w:r w:rsidRPr="00C71054">
        <w:rPr>
          <w:rFonts w:eastAsia="Times New Roman" w:cs="Times New Roman"/>
          <w:lang w:eastAsia="de-DE"/>
        </w:rPr>
        <w:t>„ringsum" „die Städte des Landes ringsum").</w:t>
      </w:r>
    </w:p>
    <w:p w14:paraId="1B490407"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lastRenderedPageBreak/>
        <w:t>Die Satzstruktur zeigt ein Verb mit indirektem Objekt (dreifach), direktem Objekt (zweifach) und präzisierender Apposition.</w:t>
      </w:r>
    </w:p>
    <w:p w14:paraId="5B2C3525"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dokumentiert die offizielle Landübertragung: Mose gibt die eroberten Königreiche Sichons und Ogs an Gad, Ruben und halb Manasse - eine rechtliche Besiegelung der Vereinbarung.</w:t>
      </w:r>
    </w:p>
    <w:p w14:paraId="7FAF72DE"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32,34</w:t>
      </w:r>
    </w:p>
    <w:p w14:paraId="08D6AC4F"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וַיִּבְנ֣וּ בְנֵי־גָ֔ד אֶת־דִּיבֹ֖ן וְאֶת־עֲטָרֹ֑ת וְאֵ֖ת עֲרֹעֵֽר׃</w:t>
      </w:r>
    </w:p>
    <w:p w14:paraId="2E9CF757"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die Söhne Gads bauten Divon und Atarot und Aro'er,</w:t>
      </w:r>
    </w:p>
    <w:p w14:paraId="56C997A0"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055BDE73">
          <v:rect id="_x0000_i2020" style="width:0;height:1.5pt" o:hralign="center" o:hrstd="t" o:hr="t" fillcolor="#a0a0a0" stroked="f"/>
        </w:pict>
      </w:r>
    </w:p>
    <w:p w14:paraId="0ECAB8DC"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beginnt die Liste der gadditischen Städte. </w:t>
      </w:r>
      <w:r w:rsidRPr="00C71054">
        <w:rPr>
          <w:rFonts w:eastAsia="Times New Roman" w:cs="Times New Roman"/>
          <w:b/>
          <w:bCs/>
          <w:rtl/>
          <w:lang w:eastAsia="de-DE"/>
        </w:rPr>
        <w:t>וַיִּבְנוּ בְנֵי־גָד</w:t>
      </w:r>
      <w:r w:rsidRPr="00C71054">
        <w:rPr>
          <w:rFonts w:eastAsia="Times New Roman" w:cs="Times New Roman"/>
          <w:rtl/>
          <w:lang w:eastAsia="de-DE"/>
        </w:rPr>
        <w:t xml:space="preserve"> </w:t>
      </w:r>
      <w:r w:rsidRPr="00C71054">
        <w:rPr>
          <w:rFonts w:eastAsia="Times New Roman" w:cs="Times New Roman"/>
          <w:lang w:eastAsia="de-DE"/>
        </w:rPr>
        <w:t xml:space="preserve">ist die Einleitung. </w:t>
      </w:r>
      <w:r w:rsidRPr="00C71054">
        <w:rPr>
          <w:rFonts w:eastAsia="Times New Roman" w:cs="Times New Roman"/>
          <w:b/>
          <w:bCs/>
          <w:rtl/>
          <w:lang w:eastAsia="de-DE"/>
        </w:rPr>
        <w:t>וַיִּבְנוּ</w:t>
      </w:r>
      <w:r w:rsidRPr="00C71054">
        <w:rPr>
          <w:rFonts w:eastAsia="Times New Roman" w:cs="Times New Roman"/>
          <w:rtl/>
          <w:lang w:eastAsia="de-DE"/>
        </w:rPr>
        <w:t xml:space="preserve"> </w:t>
      </w:r>
      <w:r w:rsidRPr="00C71054">
        <w:rPr>
          <w:rFonts w:eastAsia="Times New Roman" w:cs="Times New Roman"/>
          <w:lang w:eastAsia="de-DE"/>
        </w:rPr>
        <w:t xml:space="preserve">(Qal Wayyiqtol 3. Person Plural von </w:t>
      </w:r>
      <w:r w:rsidRPr="00C71054">
        <w:rPr>
          <w:rFonts w:eastAsia="Times New Roman" w:cs="Times New Roman"/>
          <w:b/>
          <w:bCs/>
          <w:rtl/>
          <w:lang w:eastAsia="de-DE"/>
        </w:rPr>
        <w:t>בנה</w:t>
      </w:r>
      <w:r w:rsidRPr="00C71054">
        <w:rPr>
          <w:rFonts w:eastAsia="Times New Roman" w:cs="Times New Roman"/>
          <w:rtl/>
          <w:lang w:eastAsia="de-DE"/>
        </w:rPr>
        <w:t xml:space="preserve"> </w:t>
      </w:r>
      <w:r w:rsidRPr="00C71054">
        <w:rPr>
          <w:rFonts w:eastAsia="Times New Roman" w:cs="Times New Roman"/>
          <w:lang w:eastAsia="de-DE"/>
        </w:rPr>
        <w:t xml:space="preserve">„bauen"), </w:t>
      </w:r>
      <w:r w:rsidRPr="00C71054">
        <w:rPr>
          <w:rFonts w:eastAsia="Times New Roman" w:cs="Times New Roman"/>
          <w:b/>
          <w:bCs/>
          <w:rtl/>
          <w:lang w:eastAsia="de-DE"/>
        </w:rPr>
        <w:t>בְנֵי־גָד</w:t>
      </w:r>
      <w:r w:rsidRPr="00C71054">
        <w:rPr>
          <w:rFonts w:eastAsia="Times New Roman" w:cs="Times New Roman"/>
          <w:rtl/>
          <w:lang w:eastAsia="de-DE"/>
        </w:rPr>
        <w:t xml:space="preserve"> </w:t>
      </w:r>
      <w:r w:rsidRPr="00C71054">
        <w:rPr>
          <w:rFonts w:eastAsia="Times New Roman" w:cs="Times New Roman"/>
          <w:lang w:eastAsia="de-DE"/>
        </w:rPr>
        <w:t xml:space="preserve">(„die Söhne Gads"). </w:t>
      </w:r>
      <w:r w:rsidRPr="00C71054">
        <w:rPr>
          <w:rFonts w:eastAsia="Times New Roman" w:cs="Times New Roman"/>
          <w:b/>
          <w:bCs/>
          <w:rtl/>
          <w:lang w:eastAsia="de-DE"/>
        </w:rPr>
        <w:t>אֶת־דִּיבֹן וְאֶת־עֲטָרֹת וְאֵת עֲרֹעֵר</w:t>
      </w:r>
      <w:r w:rsidRPr="00C71054">
        <w:rPr>
          <w:rFonts w:eastAsia="Times New Roman" w:cs="Times New Roman"/>
          <w:rtl/>
          <w:lang w:eastAsia="de-DE"/>
        </w:rPr>
        <w:t xml:space="preserve"> </w:t>
      </w:r>
      <w:r w:rsidRPr="00C71054">
        <w:rPr>
          <w:rFonts w:eastAsia="Times New Roman" w:cs="Times New Roman"/>
          <w:lang w:eastAsia="de-DE"/>
        </w:rPr>
        <w:t xml:space="preserve">sind die ersten drei Städte: </w:t>
      </w:r>
      <w:r w:rsidRPr="00C71054">
        <w:rPr>
          <w:rFonts w:eastAsia="Times New Roman" w:cs="Times New Roman"/>
          <w:b/>
          <w:bCs/>
          <w:rtl/>
          <w:lang w:eastAsia="de-DE"/>
        </w:rPr>
        <w:t>דִּיבֹן</w:t>
      </w:r>
      <w:r w:rsidRPr="00C71054">
        <w:rPr>
          <w:rFonts w:eastAsia="Times New Roman" w:cs="Times New Roman"/>
          <w:rtl/>
          <w:lang w:eastAsia="de-DE"/>
        </w:rPr>
        <w:t xml:space="preserve"> </w:t>
      </w:r>
      <w:r w:rsidRPr="00C71054">
        <w:rPr>
          <w:rFonts w:eastAsia="Times New Roman" w:cs="Times New Roman"/>
          <w:lang w:eastAsia="de-DE"/>
        </w:rPr>
        <w:t xml:space="preserve">(Dibon), </w:t>
      </w:r>
      <w:r w:rsidRPr="00C71054">
        <w:rPr>
          <w:rFonts w:eastAsia="Times New Roman" w:cs="Times New Roman"/>
          <w:b/>
          <w:bCs/>
          <w:rtl/>
          <w:lang w:eastAsia="de-DE"/>
        </w:rPr>
        <w:t>עֲטָרֹת</w:t>
      </w:r>
      <w:r w:rsidRPr="00C71054">
        <w:rPr>
          <w:rFonts w:eastAsia="Times New Roman" w:cs="Times New Roman"/>
          <w:rtl/>
          <w:lang w:eastAsia="de-DE"/>
        </w:rPr>
        <w:t xml:space="preserve"> </w:t>
      </w:r>
      <w:r w:rsidRPr="00C71054">
        <w:rPr>
          <w:rFonts w:eastAsia="Times New Roman" w:cs="Times New Roman"/>
          <w:lang w:eastAsia="de-DE"/>
        </w:rPr>
        <w:t xml:space="preserve">(Ataroth), </w:t>
      </w:r>
      <w:r w:rsidRPr="00C71054">
        <w:rPr>
          <w:rFonts w:eastAsia="Times New Roman" w:cs="Times New Roman"/>
          <w:b/>
          <w:bCs/>
          <w:rtl/>
          <w:lang w:eastAsia="de-DE"/>
        </w:rPr>
        <w:t>עֲרֹעֵר</w:t>
      </w:r>
      <w:r w:rsidRPr="00C71054">
        <w:rPr>
          <w:rFonts w:eastAsia="Times New Roman" w:cs="Times New Roman"/>
          <w:rtl/>
          <w:lang w:eastAsia="de-DE"/>
        </w:rPr>
        <w:t xml:space="preserve"> </w:t>
      </w:r>
      <w:r w:rsidRPr="00C71054">
        <w:rPr>
          <w:rFonts w:eastAsia="Times New Roman" w:cs="Times New Roman"/>
          <w:lang w:eastAsia="de-DE"/>
        </w:rPr>
        <w:t>(Aroer). Alle drei wurden bereits in V. 3 erwähnt.</w:t>
      </w:r>
    </w:p>
    <w:p w14:paraId="4FBBE160"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ein Verb mit Subjekt und drei koordinierten Objekten.</w:t>
      </w:r>
    </w:p>
    <w:p w14:paraId="75C1F930"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dokumentiert die Bautätigkeit: Gad beginnt mit dem Wiederaufbau oder der Befestigung der zugeteilten Städte.</w:t>
      </w:r>
    </w:p>
    <w:p w14:paraId="2D81940F"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32,35</w:t>
      </w:r>
    </w:p>
    <w:p w14:paraId="5F19D365"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Hebräisch:</w:t>
      </w:r>
      <w:r w:rsidRPr="00C71054">
        <w:rPr>
          <w:rFonts w:eastAsia="Times New Roman" w:cs="Times New Roman"/>
          <w:lang w:eastAsia="de-DE"/>
        </w:rPr>
        <w:t xml:space="preserve"> </w:t>
      </w:r>
      <w:r w:rsidRPr="00C71054">
        <w:rPr>
          <w:rFonts w:eastAsia="Times New Roman" w:cs="Times New Roman"/>
          <w:rtl/>
          <w:lang w:eastAsia="de-DE"/>
        </w:rPr>
        <w:t>וְאֶת־עַטְרֹ֥ת שׁוֹפָ֛ן וְאֶת־יַעְזֵ֖ר וְיָגְבֳּהָֽה׃</w:t>
      </w:r>
    </w:p>
    <w:p w14:paraId="7CCFC29F"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Atrot-Schofan und Ja'ser und Jogbeha,</w:t>
      </w:r>
    </w:p>
    <w:p w14:paraId="496A5468"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3071A66A">
          <v:rect id="_x0000_i2021" style="width:0;height:1.5pt" o:hralign="center" o:hrstd="t" o:hr="t" fillcolor="#a0a0a0" stroked="f"/>
        </w:pict>
      </w:r>
    </w:p>
    <w:p w14:paraId="0F35035C"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Kommentar:</w:t>
      </w:r>
      <w:r w:rsidRPr="00C71054">
        <w:rPr>
          <w:rFonts w:eastAsia="Times New Roman" w:cs="Times New Roman"/>
          <w:lang w:eastAsia="de-DE"/>
        </w:rPr>
        <w:t xml:space="preserve"> Der Vers setzt die gadditische Städteliste fort. </w:t>
      </w:r>
      <w:r w:rsidRPr="00C71054">
        <w:rPr>
          <w:rFonts w:eastAsia="Times New Roman" w:cs="Times New Roman"/>
          <w:b/>
          <w:bCs/>
          <w:rtl/>
          <w:lang w:eastAsia="de-DE"/>
        </w:rPr>
        <w:t>וְאֶת־עַטְרֹת שׁוֹפָן וְאֶת־יַעְזֵר וְיָגְבֳּהָה</w:t>
      </w:r>
      <w:r w:rsidRPr="00C71054">
        <w:rPr>
          <w:rFonts w:eastAsia="Times New Roman" w:cs="Times New Roman"/>
          <w:rtl/>
          <w:lang w:eastAsia="de-DE"/>
        </w:rPr>
        <w:t xml:space="preserve"> </w:t>
      </w:r>
      <w:r w:rsidRPr="00C71054">
        <w:rPr>
          <w:rFonts w:eastAsia="Times New Roman" w:cs="Times New Roman"/>
          <w:lang w:eastAsia="de-DE"/>
        </w:rPr>
        <w:t xml:space="preserve">sind drei weitere Städte: </w:t>
      </w:r>
      <w:r w:rsidRPr="00C71054">
        <w:rPr>
          <w:rFonts w:eastAsia="Times New Roman" w:cs="Times New Roman"/>
          <w:b/>
          <w:bCs/>
          <w:rtl/>
          <w:lang w:eastAsia="de-DE"/>
        </w:rPr>
        <w:t>עַטְרֹת שׁוֹפָן</w:t>
      </w:r>
      <w:r w:rsidRPr="00C71054">
        <w:rPr>
          <w:rFonts w:eastAsia="Times New Roman" w:cs="Times New Roman"/>
          <w:rtl/>
          <w:lang w:eastAsia="de-DE"/>
        </w:rPr>
        <w:t xml:space="preserve"> </w:t>
      </w:r>
      <w:r w:rsidRPr="00C71054">
        <w:rPr>
          <w:rFonts w:eastAsia="Times New Roman" w:cs="Times New Roman"/>
          <w:lang w:eastAsia="de-DE"/>
        </w:rPr>
        <w:t xml:space="preserve">(Atrot-Schofan - eine Variation von Ataroth), </w:t>
      </w:r>
      <w:r w:rsidRPr="00C71054">
        <w:rPr>
          <w:rFonts w:eastAsia="Times New Roman" w:cs="Times New Roman"/>
          <w:b/>
          <w:bCs/>
          <w:rtl/>
          <w:lang w:eastAsia="de-DE"/>
        </w:rPr>
        <w:t>יַעְזֵר</w:t>
      </w:r>
      <w:r w:rsidRPr="00C71054">
        <w:rPr>
          <w:rFonts w:eastAsia="Times New Roman" w:cs="Times New Roman"/>
          <w:rtl/>
          <w:lang w:eastAsia="de-DE"/>
        </w:rPr>
        <w:t xml:space="preserve"> </w:t>
      </w:r>
      <w:r w:rsidRPr="00C71054">
        <w:rPr>
          <w:rFonts w:eastAsia="Times New Roman" w:cs="Times New Roman"/>
          <w:lang w:eastAsia="de-DE"/>
        </w:rPr>
        <w:t xml:space="preserve">(Jaeser, bereits in V. 3 erwähnt), </w:t>
      </w:r>
      <w:r w:rsidRPr="00C71054">
        <w:rPr>
          <w:rFonts w:eastAsia="Times New Roman" w:cs="Times New Roman"/>
          <w:b/>
          <w:bCs/>
          <w:rtl/>
          <w:lang w:eastAsia="de-DE"/>
        </w:rPr>
        <w:t>יָגְבֳּהָה</w:t>
      </w:r>
      <w:r w:rsidRPr="00C71054">
        <w:rPr>
          <w:rFonts w:eastAsia="Times New Roman" w:cs="Times New Roman"/>
          <w:rtl/>
          <w:lang w:eastAsia="de-DE"/>
        </w:rPr>
        <w:t xml:space="preserve"> </w:t>
      </w:r>
      <w:r w:rsidRPr="00C71054">
        <w:rPr>
          <w:rFonts w:eastAsia="Times New Roman" w:cs="Times New Roman"/>
          <w:lang w:eastAsia="de-DE"/>
        </w:rPr>
        <w:t>(Jogbeha).</w:t>
      </w:r>
    </w:p>
    <w:p w14:paraId="042742CD" w14:textId="77777777" w:rsidR="009C05CB" w:rsidRDefault="00C71054" w:rsidP="009C05CB">
      <w:pPr>
        <w:spacing w:before="100" w:beforeAutospacing="1" w:after="100" w:afterAutospacing="1" w:line="240" w:lineRule="auto"/>
      </w:pPr>
      <w:r w:rsidRPr="00C71054">
        <w:rPr>
          <w:rFonts w:eastAsia="Times New Roman" w:cs="Times New Roman"/>
          <w:b/>
          <w:bCs/>
          <w:lang w:eastAsia="de-DE"/>
        </w:rPr>
        <w:t>Die LXX</w:t>
      </w:r>
      <w:r w:rsidRPr="00C71054">
        <w:rPr>
          <w:rFonts w:eastAsia="Times New Roman" w:cs="Times New Roman"/>
          <w:lang w:eastAsia="de-DE"/>
        </w:rPr>
        <w:t xml:space="preserve"> </w:t>
      </w:r>
      <w:r w:rsidR="009C05CB">
        <w:t>übersetzt „</w:t>
      </w:r>
      <w:r w:rsidR="009C05CB">
        <w:rPr>
          <w:rtl/>
        </w:rPr>
        <w:t>עַטְרֹת שׁוֹפָן</w:t>
      </w:r>
      <w:r w:rsidR="009C05CB">
        <w:t>" (Atrot-Schophan) mit „Σωφάρ" (Sophar), während „</w:t>
      </w:r>
      <w:r w:rsidR="009C05CB">
        <w:rPr>
          <w:rtl/>
        </w:rPr>
        <w:t>יָגְבֳּהָה</w:t>
      </w:r>
      <w:r w:rsidR="009C05CB">
        <w:t xml:space="preserve">" (Jogbeha) zu „καὶ ὕψωσαν αὐτάς" (und sie erhöhten sie) wird - eine interpretierende Übersetzung, die den Ortsnamen von der Wortwurzel </w:t>
      </w:r>
      <w:r w:rsidR="009C05CB">
        <w:rPr>
          <w:rtl/>
        </w:rPr>
        <w:t>גבה</w:t>
      </w:r>
      <w:r w:rsidR="009C05CB">
        <w:t xml:space="preserve"> „hoch sein" ableitet und als Verb wiedergibt.</w:t>
      </w:r>
    </w:p>
    <w:p w14:paraId="32A814C1" w14:textId="59148B0C" w:rsidR="00C71054" w:rsidRPr="00C71054" w:rsidRDefault="00C71054" w:rsidP="009C05CB">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Die Satzstruktur zeigt drei koordinierte Objekte, die das Verb aus V. 34 fortsetzen.</w:t>
      </w:r>
    </w:p>
    <w:p w14:paraId="7531005C"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lang w:eastAsia="de-DE"/>
        </w:rPr>
        <w:t>Der Vers fügt drei weitere Städte zur gadditischen Liste hinzu.</w:t>
      </w:r>
    </w:p>
    <w:p w14:paraId="73E7B7DD" w14:textId="77777777" w:rsidR="00C71054" w:rsidRPr="00C71054" w:rsidRDefault="00C71054" w:rsidP="00C71054">
      <w:pPr>
        <w:spacing w:before="100" w:beforeAutospacing="1" w:after="100" w:afterAutospacing="1" w:line="240" w:lineRule="auto"/>
        <w:outlineLvl w:val="0"/>
        <w:rPr>
          <w:rFonts w:eastAsia="Times New Roman" w:cs="Times New Roman"/>
          <w:b/>
          <w:bCs/>
          <w:kern w:val="36"/>
          <w:sz w:val="48"/>
          <w:szCs w:val="48"/>
          <w:lang w:eastAsia="de-DE"/>
        </w:rPr>
      </w:pPr>
      <w:r w:rsidRPr="00C71054">
        <w:rPr>
          <w:rFonts w:eastAsia="Times New Roman" w:cs="Times New Roman"/>
          <w:b/>
          <w:bCs/>
          <w:kern w:val="36"/>
          <w:sz w:val="48"/>
          <w:szCs w:val="48"/>
          <w:lang w:eastAsia="de-DE"/>
        </w:rPr>
        <w:t>Numeri 32,36</w:t>
      </w:r>
    </w:p>
    <w:p w14:paraId="1B858F99"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lastRenderedPageBreak/>
        <w:t>Hebräisch:</w:t>
      </w:r>
      <w:r w:rsidRPr="00C71054">
        <w:rPr>
          <w:rFonts w:eastAsia="Times New Roman" w:cs="Times New Roman"/>
          <w:lang w:eastAsia="de-DE"/>
        </w:rPr>
        <w:t xml:space="preserve"> </w:t>
      </w:r>
      <w:r w:rsidRPr="00C71054">
        <w:rPr>
          <w:rFonts w:eastAsia="Times New Roman" w:cs="Times New Roman"/>
          <w:rtl/>
          <w:lang w:eastAsia="de-DE"/>
        </w:rPr>
        <w:t>וְאֶת־בֵּ֥ית נִמְרָ֖ה וְאֶת־בֵּ֣ית הָרָ֑ן עָרֵ֥י מִבְצָ֖ר וְגִדְרֹ֥ת צֹֽאן׃</w:t>
      </w:r>
    </w:p>
    <w:p w14:paraId="6DE2B33A" w14:textId="77777777" w:rsidR="00C71054" w:rsidRPr="00C71054" w:rsidRDefault="00C71054" w:rsidP="00C71054">
      <w:pPr>
        <w:spacing w:before="100" w:beforeAutospacing="1" w:after="100" w:afterAutospacing="1" w:line="240" w:lineRule="auto"/>
        <w:rPr>
          <w:rFonts w:eastAsia="Times New Roman" w:cs="Times New Roman"/>
          <w:lang w:eastAsia="de-DE"/>
        </w:rPr>
      </w:pPr>
      <w:r w:rsidRPr="00C71054">
        <w:rPr>
          <w:rFonts w:eastAsia="Times New Roman" w:cs="Times New Roman"/>
          <w:b/>
          <w:bCs/>
          <w:lang w:eastAsia="de-DE"/>
        </w:rPr>
        <w:t>Deutsch:</w:t>
      </w:r>
      <w:r w:rsidRPr="00C71054">
        <w:rPr>
          <w:rFonts w:eastAsia="Times New Roman" w:cs="Times New Roman"/>
          <w:lang w:eastAsia="de-DE"/>
        </w:rPr>
        <w:t xml:space="preserve"> und Bet-Nimra und Bet-Haran, feste Städte und Schafhürden.</w:t>
      </w:r>
    </w:p>
    <w:p w14:paraId="2D029F53" w14:textId="77777777" w:rsidR="00C71054" w:rsidRPr="00C71054" w:rsidRDefault="00F329DD" w:rsidP="00C71054">
      <w:pPr>
        <w:spacing w:after="0" w:line="240" w:lineRule="auto"/>
        <w:rPr>
          <w:rFonts w:eastAsia="Times New Roman" w:cs="Times New Roman"/>
          <w:lang w:eastAsia="de-DE"/>
        </w:rPr>
      </w:pPr>
      <w:r>
        <w:rPr>
          <w:rFonts w:eastAsia="Times New Roman" w:cs="Times New Roman"/>
          <w:noProof/>
          <w:lang w:eastAsia="de-DE"/>
        </w:rPr>
        <w:pict w14:anchorId="1309F2AC">
          <v:rect id="_x0000_i2022" style="width:0;height:1.5pt" o:hralign="center" o:hrstd="t" o:hr="t" fillcolor="#a0a0a0" stroked="f"/>
        </w:pict>
      </w:r>
    </w:p>
    <w:p w14:paraId="705074B3" w14:textId="58329242" w:rsidR="00407271" w:rsidRPr="00407271" w:rsidRDefault="00C71054" w:rsidP="00407271">
      <w:pPr>
        <w:pStyle w:val="whitespace-normal"/>
      </w:pPr>
      <w:r w:rsidRPr="00C71054">
        <w:rPr>
          <w:b/>
          <w:bCs/>
        </w:rPr>
        <w:t>Kommentar:</w:t>
      </w:r>
      <w:r w:rsidRPr="00C71054">
        <w:t xml:space="preserve"> Der Vers schließt die gadditische Liste ab. </w:t>
      </w:r>
      <w:r w:rsidRPr="00C71054">
        <w:rPr>
          <w:b/>
          <w:bCs/>
          <w:rtl/>
        </w:rPr>
        <w:t>וְאֶת־בֵּית נִמְרָה וְאֶת־בֵּית הָרָן</w:t>
      </w:r>
      <w:r w:rsidRPr="00C71054">
        <w:rPr>
          <w:rtl/>
        </w:rPr>
        <w:t xml:space="preserve"> </w:t>
      </w:r>
      <w:r w:rsidRPr="00C71054">
        <w:t xml:space="preserve">sind die letzten zwei Städte: </w:t>
      </w:r>
      <w:r w:rsidRPr="00C71054">
        <w:rPr>
          <w:b/>
          <w:bCs/>
          <w:rtl/>
        </w:rPr>
        <w:t>בֵּית נִמְרָה</w:t>
      </w:r>
      <w:r w:rsidRPr="00C71054">
        <w:rPr>
          <w:rtl/>
        </w:rPr>
        <w:t xml:space="preserve"> </w:t>
      </w:r>
      <w:r w:rsidRPr="00C71054">
        <w:t xml:space="preserve">(Bet-Nimra, Nimra wurde in V. 3 erwähnt), </w:t>
      </w:r>
      <w:r w:rsidRPr="00C71054">
        <w:rPr>
          <w:b/>
          <w:bCs/>
          <w:rtl/>
        </w:rPr>
        <w:t>בֵּית הָרָן</w:t>
      </w:r>
      <w:r w:rsidRPr="00C71054">
        <w:rPr>
          <w:rtl/>
        </w:rPr>
        <w:t xml:space="preserve"> </w:t>
      </w:r>
      <w:r w:rsidRPr="00C71054">
        <w:t xml:space="preserve">(Bet-Haran). </w:t>
      </w:r>
      <w:r w:rsidRPr="00C71054">
        <w:rPr>
          <w:b/>
          <w:bCs/>
          <w:rtl/>
        </w:rPr>
        <w:t>עָרֵי מִבְצָר וְגִדְרֹת צֹאן</w:t>
      </w:r>
      <w:r w:rsidRPr="00C71054">
        <w:rPr>
          <w:rtl/>
        </w:rPr>
        <w:t xml:space="preserve"> </w:t>
      </w:r>
      <w:r w:rsidRPr="00C71054">
        <w:t xml:space="preserve">charakterisiert. </w:t>
      </w:r>
      <w:r w:rsidRPr="00C71054">
        <w:rPr>
          <w:b/>
          <w:bCs/>
          <w:rtl/>
        </w:rPr>
        <w:t>עָרֵי מִבְצָר</w:t>
      </w:r>
      <w:r w:rsidRPr="00C71054">
        <w:rPr>
          <w:rtl/>
        </w:rPr>
        <w:t xml:space="preserve"> </w:t>
      </w:r>
      <w:r w:rsidRPr="00C71054">
        <w:t xml:space="preserve">(Plural </w:t>
      </w:r>
      <w:r w:rsidR="00E031B3">
        <w:t>Constructus von</w:t>
      </w:r>
      <w:r w:rsidRPr="00C71054">
        <w:t xml:space="preserve"> </w:t>
      </w:r>
      <w:r w:rsidRPr="00C71054">
        <w:rPr>
          <w:b/>
          <w:bCs/>
          <w:rtl/>
        </w:rPr>
        <w:t>עִיר</w:t>
      </w:r>
      <w:r w:rsidRPr="00C71054">
        <w:rPr>
          <w:rtl/>
        </w:rPr>
        <w:t xml:space="preserve"> </w:t>
      </w:r>
      <w:r w:rsidRPr="00C71054">
        <w:t xml:space="preserve">mit </w:t>
      </w:r>
      <w:r w:rsidRPr="00C71054">
        <w:rPr>
          <w:b/>
          <w:bCs/>
          <w:rtl/>
        </w:rPr>
        <w:t>מִבְצָר</w:t>
      </w:r>
      <w:r w:rsidRPr="00C71054">
        <w:rPr>
          <w:rtl/>
        </w:rPr>
        <w:t xml:space="preserve"> </w:t>
      </w:r>
      <w:r w:rsidRPr="00C71054">
        <w:t xml:space="preserve">„Festung" „feste Städte"), </w:t>
      </w:r>
      <w:r w:rsidRPr="00C71054">
        <w:rPr>
          <w:b/>
          <w:bCs/>
          <w:rtl/>
        </w:rPr>
        <w:t>וְגִדְרֹת צֹאן</w:t>
      </w:r>
      <w:r w:rsidRPr="00C71054">
        <w:rPr>
          <w:rtl/>
        </w:rPr>
        <w:t xml:space="preserve"> </w:t>
      </w:r>
      <w:r w:rsidRPr="00C71054">
        <w:t xml:space="preserve">(Konjunktion mit Plural von </w:t>
      </w:r>
      <w:r w:rsidRPr="00C71054">
        <w:rPr>
          <w:b/>
          <w:bCs/>
          <w:rtl/>
        </w:rPr>
        <w:t>גְּדֵרָה</w:t>
      </w:r>
      <w:r w:rsidRPr="00C71054">
        <w:rPr>
          <w:rtl/>
        </w:rPr>
        <w:t xml:space="preserve"> </w:t>
      </w:r>
      <w:r w:rsidRPr="00C71054">
        <w:t xml:space="preserve">„Hürde" im </w:t>
      </w:r>
      <w:r w:rsidR="00E031B3">
        <w:t>Constructus mit</w:t>
      </w:r>
      <w:r w:rsidRPr="00C71054">
        <w:t xml:space="preserve"> </w:t>
      </w:r>
      <w:r w:rsidRPr="00C71054">
        <w:rPr>
          <w:b/>
          <w:bCs/>
          <w:rtl/>
        </w:rPr>
        <w:t>צֹאן</w:t>
      </w:r>
      <w:r w:rsidRPr="00C71054">
        <w:rPr>
          <w:rtl/>
        </w:rPr>
        <w:t xml:space="preserve"> </w:t>
      </w:r>
      <w:r w:rsidRPr="00C71054">
        <w:t>„Kleinvieh" „und Schafhürden"). Die Zusammenfassung zeigt die</w:t>
      </w:r>
      <w:r w:rsidR="00407271">
        <w:t xml:space="preserve"> </w:t>
      </w:r>
      <w:r w:rsidR="00407271" w:rsidRPr="00407271">
        <w:t>doppelte Funktion: befestigte Städte zum Schutz und Hürden für das Vieh.</w:t>
      </w:r>
    </w:p>
    <w:p w14:paraId="7F082E48"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Die Satzstruktur zeigt zwei koordinierte Objekte mit zusammenfassender Charakterisierung.</w:t>
      </w:r>
    </w:p>
    <w:p w14:paraId="77E48A79"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Der Vers schließt die gadditische Bautätigkeit ab: Insgesamt acht Städte wurden gebaut, sowohl befestigte Städte als auch Viehhürden - wie in V. 16 versprochen.</w:t>
      </w:r>
    </w:p>
    <w:p w14:paraId="15A129CA" w14:textId="77777777" w:rsidR="00407271" w:rsidRPr="00407271" w:rsidRDefault="00407271" w:rsidP="00407271">
      <w:pPr>
        <w:spacing w:before="100" w:beforeAutospacing="1" w:after="100" w:afterAutospacing="1" w:line="240" w:lineRule="auto"/>
        <w:outlineLvl w:val="0"/>
        <w:rPr>
          <w:rFonts w:eastAsia="Times New Roman" w:cs="Times New Roman"/>
          <w:b/>
          <w:bCs/>
          <w:kern w:val="36"/>
          <w:sz w:val="48"/>
          <w:szCs w:val="48"/>
          <w:lang w:eastAsia="de-DE"/>
        </w:rPr>
      </w:pPr>
      <w:r w:rsidRPr="00407271">
        <w:rPr>
          <w:rFonts w:eastAsia="Times New Roman" w:cs="Times New Roman"/>
          <w:b/>
          <w:bCs/>
          <w:kern w:val="36"/>
          <w:sz w:val="48"/>
          <w:szCs w:val="48"/>
          <w:lang w:eastAsia="de-DE"/>
        </w:rPr>
        <w:t>Numeri 32,37</w:t>
      </w:r>
    </w:p>
    <w:p w14:paraId="62CCD82A"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Hebräisch:</w:t>
      </w:r>
      <w:r w:rsidRPr="00407271">
        <w:rPr>
          <w:rFonts w:eastAsia="Times New Roman" w:cs="Times New Roman"/>
          <w:lang w:eastAsia="de-DE"/>
        </w:rPr>
        <w:t xml:space="preserve"> </w:t>
      </w:r>
      <w:r w:rsidRPr="00407271">
        <w:rPr>
          <w:rFonts w:eastAsia="Times New Roman" w:cs="Times New Roman"/>
          <w:rtl/>
          <w:lang w:eastAsia="de-DE"/>
        </w:rPr>
        <w:t>וּבְנֵ֤י רְאוּבֵן֙ בָּנ֔וּ אֶת־חֶשְׁבּ֖וֹן וְאֶת־אֶלְעָלֵ֑א וְאֵ֖ת קִרְיָתָֽיִם׃</w:t>
      </w:r>
    </w:p>
    <w:p w14:paraId="678D9C6C"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Deutsch:</w:t>
      </w:r>
      <w:r w:rsidRPr="00407271">
        <w:rPr>
          <w:rFonts w:eastAsia="Times New Roman" w:cs="Times New Roman"/>
          <w:lang w:eastAsia="de-DE"/>
        </w:rPr>
        <w:t xml:space="preserve"> Und die Söhne Re'uven bauten Cheschbon und El'ale und Kirjatajim,</w:t>
      </w:r>
    </w:p>
    <w:p w14:paraId="3EB6BAEB" w14:textId="77777777" w:rsidR="00407271" w:rsidRPr="00407271" w:rsidRDefault="00F329DD" w:rsidP="00407271">
      <w:pPr>
        <w:spacing w:after="0" w:line="240" w:lineRule="auto"/>
        <w:rPr>
          <w:rFonts w:eastAsia="Times New Roman" w:cs="Times New Roman"/>
          <w:lang w:eastAsia="de-DE"/>
        </w:rPr>
      </w:pPr>
      <w:r>
        <w:rPr>
          <w:rFonts w:eastAsia="Times New Roman" w:cs="Times New Roman"/>
          <w:noProof/>
          <w:lang w:eastAsia="de-DE"/>
        </w:rPr>
        <w:pict w14:anchorId="0C477935">
          <v:rect id="_x0000_i2023" style="width:0;height:1.5pt" o:hralign="center" o:hrstd="t" o:hr="t" fillcolor="#a0a0a0" stroked="f"/>
        </w:pict>
      </w:r>
    </w:p>
    <w:p w14:paraId="032DA17E"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Kommentar:</w:t>
      </w:r>
      <w:r w:rsidRPr="00407271">
        <w:rPr>
          <w:rFonts w:eastAsia="Times New Roman" w:cs="Times New Roman"/>
          <w:lang w:eastAsia="de-DE"/>
        </w:rPr>
        <w:t xml:space="preserve"> Der Vers beginnt die Liste der rubenitischen Städte. </w:t>
      </w:r>
      <w:r w:rsidRPr="00407271">
        <w:rPr>
          <w:rFonts w:eastAsia="Times New Roman" w:cs="Times New Roman"/>
          <w:b/>
          <w:bCs/>
          <w:rtl/>
          <w:lang w:eastAsia="de-DE"/>
        </w:rPr>
        <w:t>וּבְנֵי רְאוּבֵן בָּנוּ</w:t>
      </w:r>
      <w:r w:rsidRPr="00407271">
        <w:rPr>
          <w:rFonts w:eastAsia="Times New Roman" w:cs="Times New Roman"/>
          <w:rtl/>
          <w:lang w:eastAsia="de-DE"/>
        </w:rPr>
        <w:t xml:space="preserve"> </w:t>
      </w:r>
      <w:r w:rsidRPr="00407271">
        <w:rPr>
          <w:rFonts w:eastAsia="Times New Roman" w:cs="Times New Roman"/>
          <w:lang w:eastAsia="de-DE"/>
        </w:rPr>
        <w:t xml:space="preserve">ist die Einleitung. </w:t>
      </w:r>
      <w:r w:rsidRPr="00407271">
        <w:rPr>
          <w:rFonts w:eastAsia="Times New Roman" w:cs="Times New Roman"/>
          <w:b/>
          <w:bCs/>
          <w:rtl/>
          <w:lang w:eastAsia="de-DE"/>
        </w:rPr>
        <w:t>וּבְנֵי רְאוּבֵן</w:t>
      </w:r>
      <w:r w:rsidRPr="00407271">
        <w:rPr>
          <w:rFonts w:eastAsia="Times New Roman" w:cs="Times New Roman"/>
          <w:rtl/>
          <w:lang w:eastAsia="de-DE"/>
        </w:rPr>
        <w:t xml:space="preserve"> </w:t>
      </w:r>
      <w:r w:rsidRPr="00407271">
        <w:rPr>
          <w:rFonts w:eastAsia="Times New Roman" w:cs="Times New Roman"/>
          <w:lang w:eastAsia="de-DE"/>
        </w:rPr>
        <w:t xml:space="preserve">(Konjunktion mit „Söhne Rubens"), </w:t>
      </w:r>
      <w:r w:rsidRPr="00407271">
        <w:rPr>
          <w:rFonts w:eastAsia="Times New Roman" w:cs="Times New Roman"/>
          <w:b/>
          <w:bCs/>
          <w:rtl/>
          <w:lang w:eastAsia="de-DE"/>
        </w:rPr>
        <w:t>בָּנוּ</w:t>
      </w:r>
      <w:r w:rsidRPr="00407271">
        <w:rPr>
          <w:rFonts w:eastAsia="Times New Roman" w:cs="Times New Roman"/>
          <w:rtl/>
          <w:lang w:eastAsia="de-DE"/>
        </w:rPr>
        <w:t xml:space="preserve"> </w:t>
      </w:r>
      <w:r w:rsidRPr="00407271">
        <w:rPr>
          <w:rFonts w:eastAsia="Times New Roman" w:cs="Times New Roman"/>
          <w:lang w:eastAsia="de-DE"/>
        </w:rPr>
        <w:t xml:space="preserve">(Qal Perfekt 3. Person Plural von </w:t>
      </w:r>
      <w:r w:rsidRPr="00407271">
        <w:rPr>
          <w:rFonts w:eastAsia="Times New Roman" w:cs="Times New Roman"/>
          <w:b/>
          <w:bCs/>
          <w:rtl/>
          <w:lang w:eastAsia="de-DE"/>
        </w:rPr>
        <w:t>בנה</w:t>
      </w:r>
      <w:r w:rsidRPr="00407271">
        <w:rPr>
          <w:rFonts w:eastAsia="Times New Roman" w:cs="Times New Roman"/>
          <w:rtl/>
          <w:lang w:eastAsia="de-DE"/>
        </w:rPr>
        <w:t xml:space="preserve"> </w:t>
      </w:r>
      <w:r w:rsidRPr="00407271">
        <w:rPr>
          <w:rFonts w:eastAsia="Times New Roman" w:cs="Times New Roman"/>
          <w:lang w:eastAsia="de-DE"/>
        </w:rPr>
        <w:t xml:space="preserve">„bauen"). </w:t>
      </w:r>
      <w:r w:rsidRPr="00407271">
        <w:rPr>
          <w:rFonts w:eastAsia="Times New Roman" w:cs="Times New Roman"/>
          <w:b/>
          <w:bCs/>
          <w:rtl/>
          <w:lang w:eastAsia="de-DE"/>
        </w:rPr>
        <w:t>אֶת־חֶשְׁבּוֹן וְאֶת־אֶלְעָלֵא וְאֵת קִרְיָתָיִם</w:t>
      </w:r>
      <w:r w:rsidRPr="00407271">
        <w:rPr>
          <w:rFonts w:eastAsia="Times New Roman" w:cs="Times New Roman"/>
          <w:rtl/>
          <w:lang w:eastAsia="de-DE"/>
        </w:rPr>
        <w:t xml:space="preserve"> </w:t>
      </w:r>
      <w:r w:rsidRPr="00407271">
        <w:rPr>
          <w:rFonts w:eastAsia="Times New Roman" w:cs="Times New Roman"/>
          <w:lang w:eastAsia="de-DE"/>
        </w:rPr>
        <w:t xml:space="preserve">sind die ersten drei Städte: </w:t>
      </w:r>
      <w:r w:rsidRPr="00407271">
        <w:rPr>
          <w:rFonts w:eastAsia="Times New Roman" w:cs="Times New Roman"/>
          <w:b/>
          <w:bCs/>
          <w:rtl/>
          <w:lang w:eastAsia="de-DE"/>
        </w:rPr>
        <w:t>חֶשְׁבּוֹן</w:t>
      </w:r>
      <w:r w:rsidRPr="00407271">
        <w:rPr>
          <w:rFonts w:eastAsia="Times New Roman" w:cs="Times New Roman"/>
          <w:rtl/>
          <w:lang w:eastAsia="de-DE"/>
        </w:rPr>
        <w:t xml:space="preserve"> </w:t>
      </w:r>
      <w:r w:rsidRPr="00407271">
        <w:rPr>
          <w:rFonts w:eastAsia="Times New Roman" w:cs="Times New Roman"/>
          <w:lang w:eastAsia="de-DE"/>
        </w:rPr>
        <w:t xml:space="preserve">(Heschbon, die ehemalige Hauptstadt Sichons, Num 21,26), </w:t>
      </w:r>
      <w:r w:rsidRPr="00407271">
        <w:rPr>
          <w:rFonts w:eastAsia="Times New Roman" w:cs="Times New Roman"/>
          <w:b/>
          <w:bCs/>
          <w:rtl/>
          <w:lang w:eastAsia="de-DE"/>
        </w:rPr>
        <w:t>אֶלְעָלֵא</w:t>
      </w:r>
      <w:r w:rsidRPr="00407271">
        <w:rPr>
          <w:rFonts w:eastAsia="Times New Roman" w:cs="Times New Roman"/>
          <w:rtl/>
          <w:lang w:eastAsia="de-DE"/>
        </w:rPr>
        <w:t xml:space="preserve"> </w:t>
      </w:r>
      <w:r w:rsidRPr="00407271">
        <w:rPr>
          <w:rFonts w:eastAsia="Times New Roman" w:cs="Times New Roman"/>
          <w:lang w:eastAsia="de-DE"/>
        </w:rPr>
        <w:t xml:space="preserve">(Elale, in V. 3 erwähnt), </w:t>
      </w:r>
      <w:r w:rsidRPr="00407271">
        <w:rPr>
          <w:rFonts w:eastAsia="Times New Roman" w:cs="Times New Roman"/>
          <w:b/>
          <w:bCs/>
          <w:rtl/>
          <w:lang w:eastAsia="de-DE"/>
        </w:rPr>
        <w:t>קִרְיָתָיִם</w:t>
      </w:r>
      <w:r w:rsidRPr="00407271">
        <w:rPr>
          <w:rFonts w:eastAsia="Times New Roman" w:cs="Times New Roman"/>
          <w:rtl/>
          <w:lang w:eastAsia="de-DE"/>
        </w:rPr>
        <w:t xml:space="preserve"> </w:t>
      </w:r>
      <w:r w:rsidRPr="00407271">
        <w:rPr>
          <w:rFonts w:eastAsia="Times New Roman" w:cs="Times New Roman"/>
          <w:lang w:eastAsia="de-DE"/>
        </w:rPr>
        <w:t>(Kirjatajim - „die Doppelstadt").</w:t>
      </w:r>
    </w:p>
    <w:p w14:paraId="711F0CC9"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Die Satzstruktur zeigt ein Subjekt mit Verb und drei koordinierten Objekten.</w:t>
      </w:r>
    </w:p>
    <w:p w14:paraId="4F3A7DFC"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Der Vers dokumentiert Rubens Bautätigkeit, beginnend mit der bedeutenden Stadt Heschbon.</w:t>
      </w:r>
    </w:p>
    <w:p w14:paraId="12000ABC" w14:textId="77777777" w:rsidR="00407271" w:rsidRPr="00407271" w:rsidRDefault="00407271" w:rsidP="00407271">
      <w:pPr>
        <w:spacing w:before="100" w:beforeAutospacing="1" w:after="100" w:afterAutospacing="1" w:line="240" w:lineRule="auto"/>
        <w:outlineLvl w:val="0"/>
        <w:rPr>
          <w:rFonts w:eastAsia="Times New Roman" w:cs="Times New Roman"/>
          <w:b/>
          <w:bCs/>
          <w:kern w:val="36"/>
          <w:sz w:val="48"/>
          <w:szCs w:val="48"/>
          <w:lang w:eastAsia="de-DE"/>
        </w:rPr>
      </w:pPr>
      <w:r w:rsidRPr="00407271">
        <w:rPr>
          <w:rFonts w:eastAsia="Times New Roman" w:cs="Times New Roman"/>
          <w:b/>
          <w:bCs/>
          <w:kern w:val="36"/>
          <w:sz w:val="48"/>
          <w:szCs w:val="48"/>
          <w:lang w:eastAsia="de-DE"/>
        </w:rPr>
        <w:t>Numeri 32,38</w:t>
      </w:r>
    </w:p>
    <w:p w14:paraId="26A88E23"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Hebräisch:</w:t>
      </w:r>
      <w:r w:rsidRPr="00407271">
        <w:rPr>
          <w:rFonts w:eastAsia="Times New Roman" w:cs="Times New Roman"/>
          <w:lang w:eastAsia="de-DE"/>
        </w:rPr>
        <w:t xml:space="preserve"> </w:t>
      </w:r>
      <w:r w:rsidRPr="00407271">
        <w:rPr>
          <w:rFonts w:eastAsia="Times New Roman" w:cs="Times New Roman"/>
          <w:rtl/>
          <w:lang w:eastAsia="de-DE"/>
        </w:rPr>
        <w:t>וְאֶת־נְב֞וֹ וְאֶת־בַּ֧עַל מְע֛וֹן מֽוּסַבֹּ֥ת שֵׁ֖ם וְאֶת־שִׂבְמָ֑ה וַיִּקְרְא֣וּ בְשֵׁמֹ֔ת אֶת־שְׁמ֥וֹת הֶעָרִ֖ים אֲשֶׁ֥ר בָּנֽוּ׃</w:t>
      </w:r>
    </w:p>
    <w:p w14:paraId="2B61A544"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Deutsch:</w:t>
      </w:r>
      <w:r w:rsidRPr="00407271">
        <w:rPr>
          <w:rFonts w:eastAsia="Times New Roman" w:cs="Times New Roman"/>
          <w:lang w:eastAsia="de-DE"/>
        </w:rPr>
        <w:t xml:space="preserve"> und Nevo und Ba'al-Me'on, deren Namen geändert wurden, und Sivma; und sie nannten mit Namen die Namen der Städte, die sie bauten.</w:t>
      </w:r>
    </w:p>
    <w:p w14:paraId="5C0DDF4B" w14:textId="77777777" w:rsidR="00407271" w:rsidRPr="00407271" w:rsidRDefault="00F329DD" w:rsidP="00407271">
      <w:pPr>
        <w:spacing w:after="0" w:line="240" w:lineRule="auto"/>
        <w:rPr>
          <w:rFonts w:eastAsia="Times New Roman" w:cs="Times New Roman"/>
          <w:lang w:eastAsia="de-DE"/>
        </w:rPr>
      </w:pPr>
      <w:r>
        <w:rPr>
          <w:rFonts w:eastAsia="Times New Roman" w:cs="Times New Roman"/>
          <w:noProof/>
          <w:lang w:eastAsia="de-DE"/>
        </w:rPr>
        <w:pict w14:anchorId="2D01AAE4">
          <v:rect id="_x0000_i2024" style="width:0;height:1.5pt" o:hralign="center" o:hrstd="t" o:hr="t" fillcolor="#a0a0a0" stroked="f"/>
        </w:pict>
      </w:r>
    </w:p>
    <w:p w14:paraId="1B3C25ED" w14:textId="73938CF0"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Kommentar:</w:t>
      </w:r>
      <w:r w:rsidRPr="00407271">
        <w:rPr>
          <w:rFonts w:eastAsia="Times New Roman" w:cs="Times New Roman"/>
          <w:lang w:eastAsia="de-DE"/>
        </w:rPr>
        <w:t xml:space="preserve"> Der Vers schließt die rubenitische Liste ab. </w:t>
      </w:r>
      <w:r w:rsidRPr="00407271">
        <w:rPr>
          <w:rFonts w:eastAsia="Times New Roman" w:cs="Times New Roman"/>
          <w:b/>
          <w:bCs/>
          <w:rtl/>
          <w:lang w:eastAsia="de-DE"/>
        </w:rPr>
        <w:t>וְאֶת־נְבוֹ וְאֶת־בַּעַל מְעוֹן מוּסַבֹּת שֵׁם וְאֶת־שִׂבְמָה</w:t>
      </w:r>
      <w:r w:rsidRPr="00407271">
        <w:rPr>
          <w:rFonts w:eastAsia="Times New Roman" w:cs="Times New Roman"/>
          <w:rtl/>
          <w:lang w:eastAsia="de-DE"/>
        </w:rPr>
        <w:t xml:space="preserve"> </w:t>
      </w:r>
      <w:r w:rsidRPr="00407271">
        <w:rPr>
          <w:rFonts w:eastAsia="Times New Roman" w:cs="Times New Roman"/>
          <w:lang w:eastAsia="de-DE"/>
        </w:rPr>
        <w:t xml:space="preserve">sind die letzten drei Städte: </w:t>
      </w:r>
      <w:r w:rsidRPr="00407271">
        <w:rPr>
          <w:rFonts w:eastAsia="Times New Roman" w:cs="Times New Roman"/>
          <w:b/>
          <w:bCs/>
          <w:rtl/>
          <w:lang w:eastAsia="de-DE"/>
        </w:rPr>
        <w:t>נְבוֹ</w:t>
      </w:r>
      <w:r w:rsidRPr="00407271">
        <w:rPr>
          <w:rFonts w:eastAsia="Times New Roman" w:cs="Times New Roman"/>
          <w:rtl/>
          <w:lang w:eastAsia="de-DE"/>
        </w:rPr>
        <w:t xml:space="preserve"> </w:t>
      </w:r>
      <w:r w:rsidRPr="00407271">
        <w:rPr>
          <w:rFonts w:eastAsia="Times New Roman" w:cs="Times New Roman"/>
          <w:lang w:eastAsia="de-DE"/>
        </w:rPr>
        <w:t xml:space="preserve">(Nebo, der Berg, wo Mose sterben wird, Dtn 34,1), </w:t>
      </w:r>
      <w:r w:rsidRPr="00407271">
        <w:rPr>
          <w:rFonts w:eastAsia="Times New Roman" w:cs="Times New Roman"/>
          <w:b/>
          <w:bCs/>
          <w:rtl/>
          <w:lang w:eastAsia="de-DE"/>
        </w:rPr>
        <w:t>בַּעַל מְעוֹן</w:t>
      </w:r>
      <w:r w:rsidRPr="00407271">
        <w:rPr>
          <w:rFonts w:eastAsia="Times New Roman" w:cs="Times New Roman"/>
          <w:rtl/>
          <w:lang w:eastAsia="de-DE"/>
        </w:rPr>
        <w:t xml:space="preserve"> </w:t>
      </w:r>
      <w:r w:rsidRPr="00407271">
        <w:rPr>
          <w:rFonts w:eastAsia="Times New Roman" w:cs="Times New Roman"/>
          <w:lang w:eastAsia="de-DE"/>
        </w:rPr>
        <w:t xml:space="preserve">(Baal-Meon - ein Name mit der heidnischen Gottheit Baal), </w:t>
      </w:r>
      <w:r w:rsidRPr="00407271">
        <w:rPr>
          <w:rFonts w:eastAsia="Times New Roman" w:cs="Times New Roman"/>
          <w:b/>
          <w:bCs/>
          <w:rtl/>
          <w:lang w:eastAsia="de-DE"/>
        </w:rPr>
        <w:t>מוּסַבֹּת שֵׁם</w:t>
      </w:r>
      <w:r w:rsidRPr="00407271">
        <w:rPr>
          <w:rFonts w:eastAsia="Times New Roman" w:cs="Times New Roman"/>
          <w:rtl/>
          <w:lang w:eastAsia="de-DE"/>
        </w:rPr>
        <w:t xml:space="preserve"> </w:t>
      </w:r>
      <w:r w:rsidRPr="00407271">
        <w:rPr>
          <w:rFonts w:eastAsia="Times New Roman" w:cs="Times New Roman"/>
          <w:lang w:eastAsia="de-DE"/>
        </w:rPr>
        <w:t xml:space="preserve">(Hophal-Partizip </w:t>
      </w:r>
      <w:r w:rsidRPr="00407271">
        <w:rPr>
          <w:rFonts w:eastAsia="Times New Roman" w:cs="Times New Roman"/>
          <w:lang w:eastAsia="de-DE"/>
        </w:rPr>
        <w:lastRenderedPageBreak/>
        <w:t xml:space="preserve">feminin Plural </w:t>
      </w:r>
      <w:r w:rsidR="00E031B3">
        <w:rPr>
          <w:rFonts w:eastAsia="Times New Roman" w:cs="Times New Roman"/>
          <w:lang w:eastAsia="de-DE"/>
        </w:rPr>
        <w:t>Constructus von</w:t>
      </w:r>
      <w:r w:rsidRPr="00407271">
        <w:rPr>
          <w:rFonts w:eastAsia="Times New Roman" w:cs="Times New Roman"/>
          <w:lang w:eastAsia="de-DE"/>
        </w:rPr>
        <w:t xml:space="preserve"> </w:t>
      </w:r>
      <w:r w:rsidRPr="00407271">
        <w:rPr>
          <w:rFonts w:eastAsia="Times New Roman" w:cs="Times New Roman"/>
          <w:b/>
          <w:bCs/>
          <w:rtl/>
          <w:lang w:eastAsia="de-DE"/>
        </w:rPr>
        <w:t>סבב</w:t>
      </w:r>
      <w:r w:rsidRPr="00407271">
        <w:rPr>
          <w:rFonts w:eastAsia="Times New Roman" w:cs="Times New Roman"/>
          <w:rtl/>
          <w:lang w:eastAsia="de-DE"/>
        </w:rPr>
        <w:t xml:space="preserve"> </w:t>
      </w:r>
      <w:r w:rsidRPr="00407271">
        <w:rPr>
          <w:rFonts w:eastAsia="Times New Roman" w:cs="Times New Roman"/>
          <w:lang w:eastAsia="de-DE"/>
        </w:rPr>
        <w:t xml:space="preserve">„umgeben, ändern" mit </w:t>
      </w:r>
      <w:r w:rsidRPr="00407271">
        <w:rPr>
          <w:rFonts w:eastAsia="Times New Roman" w:cs="Times New Roman"/>
          <w:b/>
          <w:bCs/>
          <w:rtl/>
          <w:lang w:eastAsia="de-DE"/>
        </w:rPr>
        <w:t>שֵׁם</w:t>
      </w:r>
      <w:r w:rsidRPr="00407271">
        <w:rPr>
          <w:rFonts w:eastAsia="Times New Roman" w:cs="Times New Roman"/>
          <w:rtl/>
          <w:lang w:eastAsia="de-DE"/>
        </w:rPr>
        <w:t xml:space="preserve"> </w:t>
      </w:r>
      <w:r w:rsidRPr="00407271">
        <w:rPr>
          <w:rFonts w:eastAsia="Times New Roman" w:cs="Times New Roman"/>
          <w:lang w:eastAsia="de-DE"/>
        </w:rPr>
        <w:t xml:space="preserve">„Name" „deren Namen geändert wurden"), </w:t>
      </w:r>
      <w:r w:rsidRPr="00407271">
        <w:rPr>
          <w:rFonts w:eastAsia="Times New Roman" w:cs="Times New Roman"/>
          <w:b/>
          <w:bCs/>
          <w:rtl/>
          <w:lang w:eastAsia="de-DE"/>
        </w:rPr>
        <w:t>שִׂבְמָה</w:t>
      </w:r>
      <w:r w:rsidRPr="00407271">
        <w:rPr>
          <w:rFonts w:eastAsia="Times New Roman" w:cs="Times New Roman"/>
          <w:rtl/>
          <w:lang w:eastAsia="de-DE"/>
        </w:rPr>
        <w:t xml:space="preserve"> </w:t>
      </w:r>
      <w:r w:rsidRPr="00407271">
        <w:rPr>
          <w:rFonts w:eastAsia="Times New Roman" w:cs="Times New Roman"/>
          <w:lang w:eastAsia="de-DE"/>
        </w:rPr>
        <w:t>(Sibma, Sebam in V. 3). Die Notiz über die Namensänderung bezieht sich vermutlich auf Baal-Meon, dessen heidnischer Name geändert werden sollte.</w:t>
      </w:r>
    </w:p>
    <w:p w14:paraId="6D87BB3A" w14:textId="5FC1EC26"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rtl/>
          <w:lang w:eastAsia="de-DE"/>
        </w:rPr>
        <w:t>וַיִּקְרְאוּ בְשֵׁמֹת אֶת־שְׁמוֹת הֶעָרִים אֲשֶׁר בָּנוּ</w:t>
      </w:r>
      <w:r w:rsidRPr="00407271">
        <w:rPr>
          <w:rFonts w:eastAsia="Times New Roman" w:cs="Times New Roman"/>
          <w:rtl/>
          <w:lang w:eastAsia="de-DE"/>
        </w:rPr>
        <w:t xml:space="preserve"> </w:t>
      </w:r>
      <w:r w:rsidRPr="00407271">
        <w:rPr>
          <w:rFonts w:eastAsia="Times New Roman" w:cs="Times New Roman"/>
          <w:lang w:eastAsia="de-DE"/>
        </w:rPr>
        <w:t xml:space="preserve">ist die Zusammenfassung. </w:t>
      </w:r>
      <w:r w:rsidRPr="00407271">
        <w:rPr>
          <w:rFonts w:eastAsia="Times New Roman" w:cs="Times New Roman"/>
          <w:b/>
          <w:bCs/>
          <w:rtl/>
          <w:lang w:eastAsia="de-DE"/>
        </w:rPr>
        <w:t>וַיִּקְרְאוּ</w:t>
      </w:r>
      <w:r w:rsidRPr="00407271">
        <w:rPr>
          <w:rFonts w:eastAsia="Times New Roman" w:cs="Times New Roman"/>
          <w:rtl/>
          <w:lang w:eastAsia="de-DE"/>
        </w:rPr>
        <w:t xml:space="preserve"> </w:t>
      </w:r>
      <w:r w:rsidRPr="00407271">
        <w:rPr>
          <w:rFonts w:eastAsia="Times New Roman" w:cs="Times New Roman"/>
          <w:lang w:eastAsia="de-DE"/>
        </w:rPr>
        <w:t xml:space="preserve">(Qal Wayyiqtol 3. Person Plural von </w:t>
      </w:r>
      <w:r w:rsidRPr="00407271">
        <w:rPr>
          <w:rFonts w:eastAsia="Times New Roman" w:cs="Times New Roman"/>
          <w:b/>
          <w:bCs/>
          <w:rtl/>
          <w:lang w:eastAsia="de-DE"/>
        </w:rPr>
        <w:t>קרא</w:t>
      </w:r>
      <w:r w:rsidRPr="00407271">
        <w:rPr>
          <w:rFonts w:eastAsia="Times New Roman" w:cs="Times New Roman"/>
          <w:rtl/>
          <w:lang w:eastAsia="de-DE"/>
        </w:rPr>
        <w:t xml:space="preserve"> </w:t>
      </w:r>
      <w:r w:rsidRPr="00407271">
        <w:rPr>
          <w:rFonts w:eastAsia="Times New Roman" w:cs="Times New Roman"/>
          <w:lang w:eastAsia="de-DE"/>
        </w:rPr>
        <w:t xml:space="preserve">„rufen, nennen"), </w:t>
      </w:r>
      <w:r w:rsidRPr="00407271">
        <w:rPr>
          <w:rFonts w:eastAsia="Times New Roman" w:cs="Times New Roman"/>
          <w:b/>
          <w:bCs/>
          <w:rtl/>
          <w:lang w:eastAsia="de-DE"/>
        </w:rPr>
        <w:t>בְשֵׁמֹת</w:t>
      </w:r>
      <w:r w:rsidRPr="00407271">
        <w:rPr>
          <w:rFonts w:eastAsia="Times New Roman" w:cs="Times New Roman"/>
          <w:rtl/>
          <w:lang w:eastAsia="de-DE"/>
        </w:rPr>
        <w:t xml:space="preserve"> </w:t>
      </w:r>
      <w:r w:rsidRPr="00407271">
        <w:rPr>
          <w:rFonts w:eastAsia="Times New Roman" w:cs="Times New Roman"/>
          <w:lang w:eastAsia="de-DE"/>
        </w:rPr>
        <w:t xml:space="preserve">(Präposition </w:t>
      </w:r>
      <w:r w:rsidRPr="00407271">
        <w:rPr>
          <w:rFonts w:eastAsia="Times New Roman" w:cs="Times New Roman"/>
          <w:b/>
          <w:bCs/>
          <w:rtl/>
          <w:lang w:eastAsia="de-DE"/>
        </w:rPr>
        <w:t>בְ</w:t>
      </w:r>
      <w:r w:rsidRPr="00407271">
        <w:rPr>
          <w:rFonts w:eastAsia="Times New Roman" w:cs="Times New Roman"/>
          <w:rtl/>
          <w:lang w:eastAsia="de-DE"/>
        </w:rPr>
        <w:t xml:space="preserve"> </w:t>
      </w:r>
      <w:r w:rsidRPr="00407271">
        <w:rPr>
          <w:rFonts w:eastAsia="Times New Roman" w:cs="Times New Roman"/>
          <w:lang w:eastAsia="de-DE"/>
        </w:rPr>
        <w:t xml:space="preserve">mit Plural von </w:t>
      </w:r>
      <w:r w:rsidRPr="00407271">
        <w:rPr>
          <w:rFonts w:eastAsia="Times New Roman" w:cs="Times New Roman"/>
          <w:b/>
          <w:bCs/>
          <w:rtl/>
          <w:lang w:eastAsia="de-DE"/>
        </w:rPr>
        <w:t>שֵׁם</w:t>
      </w:r>
      <w:r w:rsidRPr="00407271">
        <w:rPr>
          <w:rFonts w:eastAsia="Times New Roman" w:cs="Times New Roman"/>
          <w:rtl/>
          <w:lang w:eastAsia="de-DE"/>
        </w:rPr>
        <w:t xml:space="preserve"> </w:t>
      </w:r>
      <w:r w:rsidRPr="00407271">
        <w:rPr>
          <w:rFonts w:eastAsia="Times New Roman" w:cs="Times New Roman"/>
          <w:lang w:eastAsia="de-DE"/>
        </w:rPr>
        <w:t xml:space="preserve">„Name" „mit Namen"), </w:t>
      </w:r>
      <w:r w:rsidRPr="00407271">
        <w:rPr>
          <w:rFonts w:eastAsia="Times New Roman" w:cs="Times New Roman"/>
          <w:b/>
          <w:bCs/>
          <w:rtl/>
          <w:lang w:eastAsia="de-DE"/>
        </w:rPr>
        <w:t>אֶת־שְׁמוֹת הֶעָרִים אֲשֶׁר בָּנוּ</w:t>
      </w:r>
      <w:r w:rsidRPr="00407271">
        <w:rPr>
          <w:rFonts w:eastAsia="Times New Roman" w:cs="Times New Roman"/>
          <w:rtl/>
          <w:lang w:eastAsia="de-DE"/>
        </w:rPr>
        <w:t xml:space="preserve"> </w:t>
      </w:r>
      <w:r w:rsidRPr="00407271">
        <w:rPr>
          <w:rFonts w:eastAsia="Times New Roman" w:cs="Times New Roman"/>
          <w:lang w:eastAsia="de-DE"/>
        </w:rPr>
        <w:t xml:space="preserve">(Akkusativpartikel mit Plural </w:t>
      </w:r>
      <w:r w:rsidR="00E031B3">
        <w:rPr>
          <w:rFonts w:eastAsia="Times New Roman" w:cs="Times New Roman"/>
          <w:lang w:eastAsia="de-DE"/>
        </w:rPr>
        <w:t>Constructus von</w:t>
      </w:r>
      <w:r w:rsidRPr="00407271">
        <w:rPr>
          <w:rFonts w:eastAsia="Times New Roman" w:cs="Times New Roman"/>
          <w:lang w:eastAsia="de-DE"/>
        </w:rPr>
        <w:t xml:space="preserve"> </w:t>
      </w:r>
      <w:r w:rsidRPr="00407271">
        <w:rPr>
          <w:rFonts w:eastAsia="Times New Roman" w:cs="Times New Roman"/>
          <w:b/>
          <w:bCs/>
          <w:rtl/>
          <w:lang w:eastAsia="de-DE"/>
        </w:rPr>
        <w:t>שֵׁם</w:t>
      </w:r>
      <w:r w:rsidRPr="00407271">
        <w:rPr>
          <w:rFonts w:eastAsia="Times New Roman" w:cs="Times New Roman"/>
          <w:rtl/>
          <w:lang w:eastAsia="de-DE"/>
        </w:rPr>
        <w:t xml:space="preserve"> </w:t>
      </w:r>
      <w:r w:rsidRPr="00407271">
        <w:rPr>
          <w:rFonts w:eastAsia="Times New Roman" w:cs="Times New Roman"/>
          <w:lang w:eastAsia="de-DE"/>
        </w:rPr>
        <w:t xml:space="preserve">mit </w:t>
      </w:r>
      <w:r w:rsidRPr="00407271">
        <w:rPr>
          <w:rFonts w:eastAsia="Times New Roman" w:cs="Times New Roman"/>
          <w:b/>
          <w:bCs/>
          <w:rtl/>
          <w:lang w:eastAsia="de-DE"/>
        </w:rPr>
        <w:t>עִיר</w:t>
      </w:r>
      <w:r w:rsidRPr="00407271">
        <w:rPr>
          <w:rFonts w:eastAsia="Times New Roman" w:cs="Times New Roman"/>
          <w:rtl/>
          <w:lang w:eastAsia="de-DE"/>
        </w:rPr>
        <w:t xml:space="preserve"> </w:t>
      </w:r>
      <w:r w:rsidRPr="00407271">
        <w:rPr>
          <w:rFonts w:eastAsia="Times New Roman" w:cs="Times New Roman"/>
          <w:lang w:eastAsia="de-DE"/>
        </w:rPr>
        <w:t xml:space="preserve">„Stadt" Plural mit Artikel und Relativsatz „die Namen der Städte, die sie bauten"). Die Formulierung </w:t>
      </w:r>
      <w:r w:rsidRPr="00407271">
        <w:rPr>
          <w:rFonts w:eastAsia="Times New Roman" w:cs="Times New Roman"/>
          <w:b/>
          <w:bCs/>
          <w:rtl/>
          <w:lang w:eastAsia="de-DE"/>
        </w:rPr>
        <w:t>קרא בשמות</w:t>
      </w:r>
      <w:r w:rsidRPr="00407271">
        <w:rPr>
          <w:rFonts w:eastAsia="Times New Roman" w:cs="Times New Roman"/>
          <w:rtl/>
          <w:lang w:eastAsia="de-DE"/>
        </w:rPr>
        <w:t xml:space="preserve"> </w:t>
      </w:r>
      <w:r w:rsidRPr="00407271">
        <w:rPr>
          <w:rFonts w:eastAsia="Times New Roman" w:cs="Times New Roman"/>
          <w:lang w:eastAsia="de-DE"/>
        </w:rPr>
        <w:t>bedeutet „neue Namen geben".</w:t>
      </w:r>
    </w:p>
    <w:p w14:paraId="0B26A0E0" w14:textId="451DC3A4"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Die LXX</w:t>
      </w:r>
      <w:r w:rsidRPr="00407271">
        <w:rPr>
          <w:rFonts w:eastAsia="Times New Roman" w:cs="Times New Roman"/>
          <w:lang w:eastAsia="de-DE"/>
        </w:rPr>
        <w:t xml:space="preserve"> </w:t>
      </w:r>
      <w:r w:rsidR="009C05CB">
        <w:t>übersetzt „</w:t>
      </w:r>
      <w:r w:rsidR="009C05CB">
        <w:rPr>
          <w:rtl/>
        </w:rPr>
        <w:t>מוּסַבֹּת שֵׁם</w:t>
      </w:r>
      <w:r w:rsidR="009C05CB">
        <w:t>" (mit geänderten Namen) mit „περικεκυκλωμένας" (umzingelt/ummauert), was eine deutlich abweichende Interpretation darstellt, und „</w:t>
      </w:r>
      <w:r w:rsidR="009C05CB">
        <w:rPr>
          <w:rtl/>
        </w:rPr>
        <w:t>שִׂבְמָה</w:t>
      </w:r>
      <w:r w:rsidR="009C05CB">
        <w:t>" (Sibma) wird zu „Σεβαμά" (Sebama).</w:t>
      </w:r>
    </w:p>
    <w:p w14:paraId="63F66E24"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Die Satzstruktur zeigt drei koordinierte Objekte mit partizipialer Erläuterung, gefolgt von einem zusammenfassenden Satz.</w:t>
      </w:r>
    </w:p>
    <w:p w14:paraId="7FEC40D4"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Der Vers dokumentiert Rubens Umbenennung heidnischer Städtenamen - ein Zeichen der religiösen Reinigung des Landes von kanaanäischen Einflüssen.</w:t>
      </w:r>
    </w:p>
    <w:p w14:paraId="257FF87B" w14:textId="77777777" w:rsidR="00407271" w:rsidRPr="00407271" w:rsidRDefault="00407271" w:rsidP="00407271">
      <w:pPr>
        <w:spacing w:before="100" w:beforeAutospacing="1" w:after="100" w:afterAutospacing="1" w:line="240" w:lineRule="auto"/>
        <w:outlineLvl w:val="0"/>
        <w:rPr>
          <w:rFonts w:eastAsia="Times New Roman" w:cs="Times New Roman"/>
          <w:b/>
          <w:bCs/>
          <w:kern w:val="36"/>
          <w:sz w:val="48"/>
          <w:szCs w:val="48"/>
          <w:lang w:eastAsia="de-DE"/>
        </w:rPr>
      </w:pPr>
      <w:r w:rsidRPr="00407271">
        <w:rPr>
          <w:rFonts w:eastAsia="Times New Roman" w:cs="Times New Roman"/>
          <w:b/>
          <w:bCs/>
          <w:kern w:val="36"/>
          <w:sz w:val="48"/>
          <w:szCs w:val="48"/>
          <w:lang w:eastAsia="de-DE"/>
        </w:rPr>
        <w:t>Numeri 32,39</w:t>
      </w:r>
    </w:p>
    <w:p w14:paraId="396C5D14"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Hebräisch:</w:t>
      </w:r>
      <w:r w:rsidRPr="00407271">
        <w:rPr>
          <w:rFonts w:eastAsia="Times New Roman" w:cs="Times New Roman"/>
          <w:lang w:eastAsia="de-DE"/>
        </w:rPr>
        <w:t xml:space="preserve"> </w:t>
      </w:r>
      <w:r w:rsidRPr="00407271">
        <w:rPr>
          <w:rFonts w:eastAsia="Times New Roman" w:cs="Times New Roman"/>
          <w:rtl/>
          <w:lang w:eastAsia="de-DE"/>
        </w:rPr>
        <w:t>וַיֵּ֨לְכ֜וּ בְּנֵ֨י מָכִ֧יר בֶּן־מְנַשֶּׁ֛ה גִּלְעָ֖דָה וַֽיִּלְכְּדֻ֑הָ וַיּ֖וֹרֶשׁ אֶת־הָאֱמֹרִ֥י אֲשֶׁר־בָּֽהּ׃</w:t>
      </w:r>
    </w:p>
    <w:p w14:paraId="0D3B8C4E"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Deutsch:</w:t>
      </w:r>
      <w:r w:rsidRPr="00407271">
        <w:rPr>
          <w:rFonts w:eastAsia="Times New Roman" w:cs="Times New Roman"/>
          <w:lang w:eastAsia="de-DE"/>
        </w:rPr>
        <w:t xml:space="preserve"> Und die Söhne Machir, des Sohnes Menasche, zogen nach Gil'ad und nahmen es ein; und sie vertrieben den Emori, der darin war.</w:t>
      </w:r>
    </w:p>
    <w:p w14:paraId="40823D1D" w14:textId="77777777" w:rsidR="00407271" w:rsidRPr="00407271" w:rsidRDefault="00F329DD" w:rsidP="00407271">
      <w:pPr>
        <w:spacing w:after="0" w:line="240" w:lineRule="auto"/>
        <w:rPr>
          <w:rFonts w:eastAsia="Times New Roman" w:cs="Times New Roman"/>
          <w:lang w:eastAsia="de-DE"/>
        </w:rPr>
      </w:pPr>
      <w:r>
        <w:rPr>
          <w:rFonts w:eastAsia="Times New Roman" w:cs="Times New Roman"/>
          <w:noProof/>
          <w:lang w:eastAsia="de-DE"/>
        </w:rPr>
        <w:pict w14:anchorId="3405AEFE">
          <v:rect id="_x0000_i2025" style="width:0;height:1.5pt" o:hralign="center" o:hrstd="t" o:hr="t" fillcolor="#a0a0a0" stroked="f"/>
        </w:pict>
      </w:r>
    </w:p>
    <w:p w14:paraId="5F6F64E3" w14:textId="559F72BC"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Kommentar:</w:t>
      </w:r>
      <w:r w:rsidRPr="00407271">
        <w:rPr>
          <w:rFonts w:eastAsia="Times New Roman" w:cs="Times New Roman"/>
          <w:lang w:eastAsia="de-DE"/>
        </w:rPr>
        <w:t xml:space="preserve"> Der Vers erklärt, wie halb Manasse zu seinem Anteil kam. </w:t>
      </w:r>
      <w:r w:rsidRPr="00407271">
        <w:rPr>
          <w:rFonts w:eastAsia="Times New Roman" w:cs="Times New Roman"/>
          <w:b/>
          <w:bCs/>
          <w:rtl/>
          <w:lang w:eastAsia="de-DE"/>
        </w:rPr>
        <w:t>וַיֵּלְכוּ בְּנֵי מָכִיר בֶּן־מְנַשֶּׁה גִּלְעָדָה וַיִּלְכְּדֻהָ</w:t>
      </w:r>
      <w:r w:rsidRPr="00407271">
        <w:rPr>
          <w:rFonts w:eastAsia="Times New Roman" w:cs="Times New Roman"/>
          <w:rtl/>
          <w:lang w:eastAsia="de-DE"/>
        </w:rPr>
        <w:t xml:space="preserve"> </w:t>
      </w:r>
      <w:r w:rsidRPr="00407271">
        <w:rPr>
          <w:rFonts w:eastAsia="Times New Roman" w:cs="Times New Roman"/>
          <w:lang w:eastAsia="de-DE"/>
        </w:rPr>
        <w:t xml:space="preserve">zeigt die Eroberung. </w:t>
      </w:r>
      <w:r w:rsidRPr="00407271">
        <w:rPr>
          <w:rFonts w:eastAsia="Times New Roman" w:cs="Times New Roman"/>
          <w:b/>
          <w:bCs/>
          <w:rtl/>
          <w:lang w:eastAsia="de-DE"/>
        </w:rPr>
        <w:t>וַיֵּלְכוּ</w:t>
      </w:r>
      <w:r w:rsidRPr="00407271">
        <w:rPr>
          <w:rFonts w:eastAsia="Times New Roman" w:cs="Times New Roman"/>
          <w:rtl/>
          <w:lang w:eastAsia="de-DE"/>
        </w:rPr>
        <w:t xml:space="preserve"> </w:t>
      </w:r>
      <w:r w:rsidRPr="00407271">
        <w:rPr>
          <w:rFonts w:eastAsia="Times New Roman" w:cs="Times New Roman"/>
          <w:lang w:eastAsia="de-DE"/>
        </w:rPr>
        <w:t xml:space="preserve">(Qal Wayyiqtol 3. Person Plural von </w:t>
      </w:r>
      <w:r w:rsidRPr="00407271">
        <w:rPr>
          <w:rFonts w:eastAsia="Times New Roman" w:cs="Times New Roman"/>
          <w:b/>
          <w:bCs/>
          <w:rtl/>
          <w:lang w:eastAsia="de-DE"/>
        </w:rPr>
        <w:t>הלך</w:t>
      </w:r>
      <w:r w:rsidRPr="00407271">
        <w:rPr>
          <w:rFonts w:eastAsia="Times New Roman" w:cs="Times New Roman"/>
          <w:rtl/>
          <w:lang w:eastAsia="de-DE"/>
        </w:rPr>
        <w:t xml:space="preserve"> </w:t>
      </w:r>
      <w:r w:rsidRPr="00407271">
        <w:rPr>
          <w:rFonts w:eastAsia="Times New Roman" w:cs="Times New Roman"/>
          <w:lang w:eastAsia="de-DE"/>
        </w:rPr>
        <w:t xml:space="preserve">„gehen, ziehen"), </w:t>
      </w:r>
      <w:r w:rsidRPr="00407271">
        <w:rPr>
          <w:rFonts w:eastAsia="Times New Roman" w:cs="Times New Roman"/>
          <w:b/>
          <w:bCs/>
          <w:rtl/>
          <w:lang w:eastAsia="de-DE"/>
        </w:rPr>
        <w:t>בְּנֵי מָכִיר בֶּן־מְנַשֶּׁה</w:t>
      </w:r>
      <w:r w:rsidRPr="00407271">
        <w:rPr>
          <w:rFonts w:eastAsia="Times New Roman" w:cs="Times New Roman"/>
          <w:rtl/>
          <w:lang w:eastAsia="de-DE"/>
        </w:rPr>
        <w:t xml:space="preserve"> </w:t>
      </w:r>
      <w:r w:rsidRPr="00407271">
        <w:rPr>
          <w:rFonts w:eastAsia="Times New Roman" w:cs="Times New Roman"/>
          <w:lang w:eastAsia="de-DE"/>
        </w:rPr>
        <w:t xml:space="preserve">(Plural </w:t>
      </w:r>
      <w:r w:rsidR="00E031B3">
        <w:rPr>
          <w:rFonts w:eastAsia="Times New Roman" w:cs="Times New Roman"/>
          <w:lang w:eastAsia="de-DE"/>
        </w:rPr>
        <w:t>Constructus von</w:t>
      </w:r>
      <w:r w:rsidRPr="00407271">
        <w:rPr>
          <w:rFonts w:eastAsia="Times New Roman" w:cs="Times New Roman"/>
          <w:lang w:eastAsia="de-DE"/>
        </w:rPr>
        <w:t xml:space="preserve"> </w:t>
      </w:r>
      <w:r w:rsidRPr="00407271">
        <w:rPr>
          <w:rFonts w:eastAsia="Times New Roman" w:cs="Times New Roman"/>
          <w:b/>
          <w:bCs/>
          <w:rtl/>
          <w:lang w:eastAsia="de-DE"/>
        </w:rPr>
        <w:t>בֵּן</w:t>
      </w:r>
      <w:r w:rsidRPr="00407271">
        <w:rPr>
          <w:rFonts w:eastAsia="Times New Roman" w:cs="Times New Roman"/>
          <w:rtl/>
          <w:lang w:eastAsia="de-DE"/>
        </w:rPr>
        <w:t xml:space="preserve"> </w:t>
      </w:r>
      <w:r w:rsidRPr="00407271">
        <w:rPr>
          <w:rFonts w:eastAsia="Times New Roman" w:cs="Times New Roman"/>
          <w:lang w:eastAsia="de-DE"/>
        </w:rPr>
        <w:t xml:space="preserve">„Sohn" mit </w:t>
      </w:r>
      <w:r w:rsidRPr="00407271">
        <w:rPr>
          <w:rFonts w:eastAsia="Times New Roman" w:cs="Times New Roman"/>
          <w:b/>
          <w:bCs/>
          <w:rtl/>
          <w:lang w:eastAsia="de-DE"/>
        </w:rPr>
        <w:t>מָכִיר</w:t>
      </w:r>
      <w:r w:rsidRPr="00407271">
        <w:rPr>
          <w:rFonts w:eastAsia="Times New Roman" w:cs="Times New Roman"/>
          <w:rtl/>
          <w:lang w:eastAsia="de-DE"/>
        </w:rPr>
        <w:t xml:space="preserve"> </w:t>
      </w:r>
      <w:r w:rsidRPr="00407271">
        <w:rPr>
          <w:rFonts w:eastAsia="Times New Roman" w:cs="Times New Roman"/>
          <w:lang w:eastAsia="de-DE"/>
        </w:rPr>
        <w:t xml:space="preserve">„Machir" im </w:t>
      </w:r>
      <w:r w:rsidR="00E031B3">
        <w:rPr>
          <w:rFonts w:eastAsia="Times New Roman" w:cs="Times New Roman"/>
          <w:lang w:eastAsia="de-DE"/>
        </w:rPr>
        <w:t>Constructus mit</w:t>
      </w:r>
      <w:r w:rsidRPr="00407271">
        <w:rPr>
          <w:rFonts w:eastAsia="Times New Roman" w:cs="Times New Roman"/>
          <w:lang w:eastAsia="de-DE"/>
        </w:rPr>
        <w:t xml:space="preserve"> </w:t>
      </w:r>
      <w:r w:rsidRPr="00407271">
        <w:rPr>
          <w:rFonts w:eastAsia="Times New Roman" w:cs="Times New Roman"/>
          <w:b/>
          <w:bCs/>
          <w:rtl/>
          <w:lang w:eastAsia="de-DE"/>
        </w:rPr>
        <w:t>בֶּן־מְנַשֶּׁה</w:t>
      </w:r>
      <w:r w:rsidRPr="00407271">
        <w:rPr>
          <w:rFonts w:eastAsia="Times New Roman" w:cs="Times New Roman"/>
          <w:rtl/>
          <w:lang w:eastAsia="de-DE"/>
        </w:rPr>
        <w:t xml:space="preserve"> </w:t>
      </w:r>
      <w:r w:rsidRPr="00407271">
        <w:rPr>
          <w:rFonts w:eastAsia="Times New Roman" w:cs="Times New Roman"/>
          <w:lang w:eastAsia="de-DE"/>
        </w:rPr>
        <w:t xml:space="preserve">„Sohn Manasses" „die Söhne Machirs, des Sohnes Manasses"), </w:t>
      </w:r>
      <w:r w:rsidRPr="00407271">
        <w:rPr>
          <w:rFonts w:eastAsia="Times New Roman" w:cs="Times New Roman"/>
          <w:b/>
          <w:bCs/>
          <w:rtl/>
          <w:lang w:eastAsia="de-DE"/>
        </w:rPr>
        <w:t>גִּלְעָדָה</w:t>
      </w:r>
      <w:r w:rsidRPr="00407271">
        <w:rPr>
          <w:rFonts w:eastAsia="Times New Roman" w:cs="Times New Roman"/>
          <w:rtl/>
          <w:lang w:eastAsia="de-DE"/>
        </w:rPr>
        <w:t xml:space="preserve"> </w:t>
      </w:r>
      <w:r w:rsidRPr="00407271">
        <w:rPr>
          <w:rFonts w:eastAsia="Times New Roman" w:cs="Times New Roman"/>
          <w:lang w:eastAsia="de-DE"/>
        </w:rPr>
        <w:t xml:space="preserve">(Ortsadverb zu </w:t>
      </w:r>
      <w:r w:rsidRPr="00407271">
        <w:rPr>
          <w:rFonts w:eastAsia="Times New Roman" w:cs="Times New Roman"/>
          <w:b/>
          <w:bCs/>
          <w:rtl/>
          <w:lang w:eastAsia="de-DE"/>
        </w:rPr>
        <w:t>גִּלְעָד</w:t>
      </w:r>
      <w:r w:rsidRPr="00407271">
        <w:rPr>
          <w:rFonts w:eastAsia="Times New Roman" w:cs="Times New Roman"/>
          <w:rtl/>
          <w:lang w:eastAsia="de-DE"/>
        </w:rPr>
        <w:t xml:space="preserve"> </w:t>
      </w:r>
      <w:r w:rsidRPr="00407271">
        <w:rPr>
          <w:rFonts w:eastAsia="Times New Roman" w:cs="Times New Roman"/>
          <w:lang w:eastAsia="de-DE"/>
        </w:rPr>
        <w:t xml:space="preserve">„nach Gilead"), </w:t>
      </w:r>
      <w:r w:rsidRPr="00407271">
        <w:rPr>
          <w:rFonts w:eastAsia="Times New Roman" w:cs="Times New Roman"/>
          <w:b/>
          <w:bCs/>
          <w:rtl/>
          <w:lang w:eastAsia="de-DE"/>
        </w:rPr>
        <w:t>וַיִּלְכְּדֻהָ</w:t>
      </w:r>
      <w:r w:rsidRPr="00407271">
        <w:rPr>
          <w:rFonts w:eastAsia="Times New Roman" w:cs="Times New Roman"/>
          <w:rtl/>
          <w:lang w:eastAsia="de-DE"/>
        </w:rPr>
        <w:t xml:space="preserve"> </w:t>
      </w:r>
      <w:r w:rsidRPr="00407271">
        <w:rPr>
          <w:rFonts w:eastAsia="Times New Roman" w:cs="Times New Roman"/>
          <w:lang w:eastAsia="de-DE"/>
        </w:rPr>
        <w:t xml:space="preserve">(Qal Wayyiqtol 3. Person Plural von </w:t>
      </w:r>
      <w:r w:rsidRPr="00407271">
        <w:rPr>
          <w:rFonts w:eastAsia="Times New Roman" w:cs="Times New Roman"/>
          <w:b/>
          <w:bCs/>
          <w:rtl/>
          <w:lang w:eastAsia="de-DE"/>
        </w:rPr>
        <w:t>לכד</w:t>
      </w:r>
      <w:r w:rsidRPr="00407271">
        <w:rPr>
          <w:rFonts w:eastAsia="Times New Roman" w:cs="Times New Roman"/>
          <w:rtl/>
          <w:lang w:eastAsia="de-DE"/>
        </w:rPr>
        <w:t xml:space="preserve"> </w:t>
      </w:r>
      <w:r w:rsidRPr="00407271">
        <w:rPr>
          <w:rFonts w:eastAsia="Times New Roman" w:cs="Times New Roman"/>
          <w:lang w:eastAsia="de-DE"/>
        </w:rPr>
        <w:t xml:space="preserve">„erobern, einnehmen" mit Suffix 3. Person feminin Singular „und sie nahmen es ein"). </w:t>
      </w:r>
      <w:r w:rsidRPr="00407271">
        <w:rPr>
          <w:rFonts w:eastAsia="Times New Roman" w:cs="Times New Roman"/>
          <w:b/>
          <w:bCs/>
          <w:rtl/>
          <w:lang w:eastAsia="de-DE"/>
        </w:rPr>
        <w:t>וַיּוֹרֶשׁ אֶת־הָאֱמֹרִי אֲשֶׁר־בָּהּ</w:t>
      </w:r>
      <w:r w:rsidRPr="00407271">
        <w:rPr>
          <w:rFonts w:eastAsia="Times New Roman" w:cs="Times New Roman"/>
          <w:rtl/>
          <w:lang w:eastAsia="de-DE"/>
        </w:rPr>
        <w:t xml:space="preserve"> </w:t>
      </w:r>
      <w:r w:rsidRPr="00407271">
        <w:rPr>
          <w:rFonts w:eastAsia="Times New Roman" w:cs="Times New Roman"/>
          <w:lang w:eastAsia="de-DE"/>
        </w:rPr>
        <w:t xml:space="preserve">zeigt die Vertreibung. </w:t>
      </w:r>
      <w:r w:rsidRPr="00407271">
        <w:rPr>
          <w:rFonts w:eastAsia="Times New Roman" w:cs="Times New Roman"/>
          <w:b/>
          <w:bCs/>
          <w:rtl/>
          <w:lang w:eastAsia="de-DE"/>
        </w:rPr>
        <w:t>וַיּוֹרֶשׁ</w:t>
      </w:r>
      <w:r w:rsidRPr="00407271">
        <w:rPr>
          <w:rFonts w:eastAsia="Times New Roman" w:cs="Times New Roman"/>
          <w:rtl/>
          <w:lang w:eastAsia="de-DE"/>
        </w:rPr>
        <w:t xml:space="preserve"> </w:t>
      </w:r>
      <w:r w:rsidRPr="00407271">
        <w:rPr>
          <w:rFonts w:eastAsia="Times New Roman" w:cs="Times New Roman"/>
          <w:lang w:eastAsia="de-DE"/>
        </w:rPr>
        <w:t xml:space="preserve">(Hiphil Wayyiqtol 3. Person maskulin Singular von </w:t>
      </w:r>
      <w:r w:rsidRPr="00407271">
        <w:rPr>
          <w:rFonts w:eastAsia="Times New Roman" w:cs="Times New Roman"/>
          <w:b/>
          <w:bCs/>
          <w:rtl/>
          <w:lang w:eastAsia="de-DE"/>
        </w:rPr>
        <w:t>ירשׁ</w:t>
      </w:r>
      <w:r w:rsidRPr="00407271">
        <w:rPr>
          <w:rFonts w:eastAsia="Times New Roman" w:cs="Times New Roman"/>
          <w:rtl/>
          <w:lang w:eastAsia="de-DE"/>
        </w:rPr>
        <w:t xml:space="preserve"> </w:t>
      </w:r>
      <w:r w:rsidRPr="00407271">
        <w:rPr>
          <w:rFonts w:eastAsia="Times New Roman" w:cs="Times New Roman"/>
          <w:lang w:eastAsia="de-DE"/>
        </w:rPr>
        <w:t xml:space="preserve">„vertreiben, in Besitz nehmen"), </w:t>
      </w:r>
      <w:r w:rsidRPr="00407271">
        <w:rPr>
          <w:rFonts w:eastAsia="Times New Roman" w:cs="Times New Roman"/>
          <w:b/>
          <w:bCs/>
          <w:rtl/>
          <w:lang w:eastAsia="de-DE"/>
        </w:rPr>
        <w:t>אֶת־הָאֱמֹרִי</w:t>
      </w:r>
      <w:r w:rsidRPr="00407271">
        <w:rPr>
          <w:rFonts w:eastAsia="Times New Roman" w:cs="Times New Roman"/>
          <w:rtl/>
          <w:lang w:eastAsia="de-DE"/>
        </w:rPr>
        <w:t xml:space="preserve"> </w:t>
      </w:r>
      <w:r w:rsidRPr="00407271">
        <w:rPr>
          <w:rFonts w:eastAsia="Times New Roman" w:cs="Times New Roman"/>
          <w:lang w:eastAsia="de-DE"/>
        </w:rPr>
        <w:t xml:space="preserve">(Akkusativpartikel mit </w:t>
      </w:r>
      <w:r w:rsidRPr="00407271">
        <w:rPr>
          <w:rFonts w:eastAsia="Times New Roman" w:cs="Times New Roman"/>
          <w:b/>
          <w:bCs/>
          <w:rtl/>
          <w:lang w:eastAsia="de-DE"/>
        </w:rPr>
        <w:t>אֱמֹרִי</w:t>
      </w:r>
      <w:r w:rsidRPr="00407271">
        <w:rPr>
          <w:rFonts w:eastAsia="Times New Roman" w:cs="Times New Roman"/>
          <w:rtl/>
          <w:lang w:eastAsia="de-DE"/>
        </w:rPr>
        <w:t xml:space="preserve"> </w:t>
      </w:r>
      <w:r w:rsidRPr="00407271">
        <w:rPr>
          <w:rFonts w:eastAsia="Times New Roman" w:cs="Times New Roman"/>
          <w:lang w:eastAsia="de-DE"/>
        </w:rPr>
        <w:t xml:space="preserve">„Amoriter" mit Artikel „den Amoriter"), </w:t>
      </w:r>
      <w:r w:rsidRPr="00407271">
        <w:rPr>
          <w:rFonts w:eastAsia="Times New Roman" w:cs="Times New Roman"/>
          <w:b/>
          <w:bCs/>
          <w:rtl/>
          <w:lang w:eastAsia="de-DE"/>
        </w:rPr>
        <w:t>אֲשֶׁר־בָּהּ</w:t>
      </w:r>
      <w:r w:rsidRPr="00407271">
        <w:rPr>
          <w:rFonts w:eastAsia="Times New Roman" w:cs="Times New Roman"/>
          <w:rtl/>
          <w:lang w:eastAsia="de-DE"/>
        </w:rPr>
        <w:t xml:space="preserve"> </w:t>
      </w:r>
      <w:r w:rsidRPr="00407271">
        <w:rPr>
          <w:rFonts w:eastAsia="Times New Roman" w:cs="Times New Roman"/>
          <w:lang w:eastAsia="de-DE"/>
        </w:rPr>
        <w:t>(Relativsatz „der darin war").</w:t>
      </w:r>
    </w:p>
    <w:p w14:paraId="4F7E531F" w14:textId="258FDB54"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Die LXX</w:t>
      </w:r>
      <w:r w:rsidRPr="00407271">
        <w:rPr>
          <w:rFonts w:eastAsia="Times New Roman" w:cs="Times New Roman"/>
          <w:lang w:eastAsia="de-DE"/>
        </w:rPr>
        <w:t xml:space="preserve"> </w:t>
      </w:r>
      <w:r w:rsidR="00EF1857">
        <w:t>übersetzt „</w:t>
      </w:r>
      <w:r w:rsidR="00EF1857" w:rsidRPr="00EF1857">
        <w:rPr>
          <w:b/>
          <w:bCs/>
          <w:rtl/>
        </w:rPr>
        <w:t>וַיּוֹרֶשׁ אֶת־הָאֱמֹרִי</w:t>
      </w:r>
      <w:r w:rsidR="00EF1857">
        <w:t>" (und er vertrieb den Amoriter) mit „καὶ ἀπώλεσεν τὸν Ἀμορραῖον" (und er vernichtete den Amoriter), was drastischer ist.</w:t>
      </w:r>
    </w:p>
    <w:p w14:paraId="3C47B35D"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Die Satzstruktur zeigt drei koordinierte Wayyiqtol-Sätze.</w:t>
      </w:r>
    </w:p>
    <w:p w14:paraId="25B8CE3A"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Der Vers erklärt rückblickend: Die Söhne Machirs (ein Clan Manasses) eroberten Gilead eigenständig, weshalb sie Anspruch auf dieses Gebiet hatten - eine Legitimation ihres Landbesitzes.</w:t>
      </w:r>
    </w:p>
    <w:p w14:paraId="3DCC5FF0" w14:textId="77777777" w:rsidR="00407271" w:rsidRPr="00407271" w:rsidRDefault="00407271" w:rsidP="00407271">
      <w:pPr>
        <w:spacing w:before="100" w:beforeAutospacing="1" w:after="100" w:afterAutospacing="1" w:line="240" w:lineRule="auto"/>
        <w:outlineLvl w:val="0"/>
        <w:rPr>
          <w:rFonts w:eastAsia="Times New Roman" w:cs="Times New Roman"/>
          <w:b/>
          <w:bCs/>
          <w:kern w:val="36"/>
          <w:sz w:val="48"/>
          <w:szCs w:val="48"/>
          <w:lang w:eastAsia="de-DE"/>
        </w:rPr>
      </w:pPr>
      <w:r w:rsidRPr="00407271">
        <w:rPr>
          <w:rFonts w:eastAsia="Times New Roman" w:cs="Times New Roman"/>
          <w:b/>
          <w:bCs/>
          <w:kern w:val="36"/>
          <w:sz w:val="48"/>
          <w:szCs w:val="48"/>
          <w:lang w:eastAsia="de-DE"/>
        </w:rPr>
        <w:lastRenderedPageBreak/>
        <w:t>Numeri 32,40</w:t>
      </w:r>
    </w:p>
    <w:p w14:paraId="64893DFF"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Hebräisch:</w:t>
      </w:r>
      <w:r w:rsidRPr="00407271">
        <w:rPr>
          <w:rFonts w:eastAsia="Times New Roman" w:cs="Times New Roman"/>
          <w:lang w:eastAsia="de-DE"/>
        </w:rPr>
        <w:t xml:space="preserve"> </w:t>
      </w:r>
      <w:r w:rsidRPr="00407271">
        <w:rPr>
          <w:rFonts w:eastAsia="Times New Roman" w:cs="Times New Roman"/>
          <w:rtl/>
          <w:lang w:eastAsia="de-DE"/>
        </w:rPr>
        <w:t>וַיִּתֵּ֤ן מֹשֶׁה֙ אֶת־הַגִּלְעָ֔ד לְמָכִ֖יר בֶּן־מְנַשֶּ֑ה וַיֵּ֖שֶׁב בָּֽהּ׃</w:t>
      </w:r>
    </w:p>
    <w:p w14:paraId="001C483E"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Deutsch:</w:t>
      </w:r>
      <w:r w:rsidRPr="00407271">
        <w:rPr>
          <w:rFonts w:eastAsia="Times New Roman" w:cs="Times New Roman"/>
          <w:lang w:eastAsia="de-DE"/>
        </w:rPr>
        <w:t xml:space="preserve"> Und Mosche gab Gil'ad dem Machir, dem Sohn Menasche; und er wohnte darin.</w:t>
      </w:r>
    </w:p>
    <w:p w14:paraId="580C1584" w14:textId="77777777" w:rsidR="00407271" w:rsidRPr="00407271" w:rsidRDefault="00F329DD" w:rsidP="00407271">
      <w:pPr>
        <w:spacing w:after="0" w:line="240" w:lineRule="auto"/>
        <w:rPr>
          <w:rFonts w:eastAsia="Times New Roman" w:cs="Times New Roman"/>
          <w:lang w:eastAsia="de-DE"/>
        </w:rPr>
      </w:pPr>
      <w:r>
        <w:rPr>
          <w:rFonts w:eastAsia="Times New Roman" w:cs="Times New Roman"/>
          <w:noProof/>
          <w:lang w:eastAsia="de-DE"/>
        </w:rPr>
        <w:pict w14:anchorId="591708A9">
          <v:rect id="_x0000_i2026" style="width:0;height:1.5pt" o:hralign="center" o:hrstd="t" o:hr="t" fillcolor="#a0a0a0" stroked="f"/>
        </w:pict>
      </w:r>
    </w:p>
    <w:p w14:paraId="62A23C20"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Kommentar:</w:t>
      </w:r>
      <w:r w:rsidRPr="00407271">
        <w:rPr>
          <w:rFonts w:eastAsia="Times New Roman" w:cs="Times New Roman"/>
          <w:lang w:eastAsia="de-DE"/>
        </w:rPr>
        <w:t xml:space="preserve"> Der Vers dokumentiert die Zuteilung an Machir. </w:t>
      </w:r>
      <w:r w:rsidRPr="00407271">
        <w:rPr>
          <w:rFonts w:eastAsia="Times New Roman" w:cs="Times New Roman"/>
          <w:b/>
          <w:bCs/>
          <w:rtl/>
          <w:lang w:eastAsia="de-DE"/>
        </w:rPr>
        <w:t>וַיִּתֵּן מֹשֶׁה אֶת־הַגִּלְעָד לְמָכִיר בֶּן־מְנַשֶּׁה</w:t>
      </w:r>
      <w:r w:rsidRPr="00407271">
        <w:rPr>
          <w:rFonts w:eastAsia="Times New Roman" w:cs="Times New Roman"/>
          <w:rtl/>
          <w:lang w:eastAsia="de-DE"/>
        </w:rPr>
        <w:t xml:space="preserve"> </w:t>
      </w:r>
      <w:r w:rsidRPr="00407271">
        <w:rPr>
          <w:rFonts w:eastAsia="Times New Roman" w:cs="Times New Roman"/>
          <w:lang w:eastAsia="de-DE"/>
        </w:rPr>
        <w:t xml:space="preserve">ist die Übertragung. </w:t>
      </w:r>
      <w:r w:rsidRPr="00407271">
        <w:rPr>
          <w:rFonts w:eastAsia="Times New Roman" w:cs="Times New Roman"/>
          <w:b/>
          <w:bCs/>
          <w:rtl/>
          <w:lang w:eastAsia="de-DE"/>
        </w:rPr>
        <w:t>וַיִּתֵּן</w:t>
      </w:r>
      <w:r w:rsidRPr="00407271">
        <w:rPr>
          <w:rFonts w:eastAsia="Times New Roman" w:cs="Times New Roman"/>
          <w:rtl/>
          <w:lang w:eastAsia="de-DE"/>
        </w:rPr>
        <w:t xml:space="preserve"> </w:t>
      </w:r>
      <w:r w:rsidRPr="00407271">
        <w:rPr>
          <w:rFonts w:eastAsia="Times New Roman" w:cs="Times New Roman"/>
          <w:lang w:eastAsia="de-DE"/>
        </w:rPr>
        <w:t xml:space="preserve">(Qal Wayyiqtol 3. Person maskulin Singular von </w:t>
      </w:r>
      <w:r w:rsidRPr="00407271">
        <w:rPr>
          <w:rFonts w:eastAsia="Times New Roman" w:cs="Times New Roman"/>
          <w:b/>
          <w:bCs/>
          <w:rtl/>
          <w:lang w:eastAsia="de-DE"/>
        </w:rPr>
        <w:t>נתן</w:t>
      </w:r>
      <w:r w:rsidRPr="00407271">
        <w:rPr>
          <w:rFonts w:eastAsia="Times New Roman" w:cs="Times New Roman"/>
          <w:rtl/>
          <w:lang w:eastAsia="de-DE"/>
        </w:rPr>
        <w:t xml:space="preserve"> </w:t>
      </w:r>
      <w:r w:rsidRPr="00407271">
        <w:rPr>
          <w:rFonts w:eastAsia="Times New Roman" w:cs="Times New Roman"/>
          <w:lang w:eastAsia="de-DE"/>
        </w:rPr>
        <w:t xml:space="preserve">„geben"), </w:t>
      </w:r>
      <w:r w:rsidRPr="00407271">
        <w:rPr>
          <w:rFonts w:eastAsia="Times New Roman" w:cs="Times New Roman"/>
          <w:b/>
          <w:bCs/>
          <w:rtl/>
          <w:lang w:eastAsia="de-DE"/>
        </w:rPr>
        <w:t>מֹשֶׁה</w:t>
      </w:r>
      <w:r w:rsidRPr="00407271">
        <w:rPr>
          <w:rFonts w:eastAsia="Times New Roman" w:cs="Times New Roman"/>
          <w:rtl/>
          <w:lang w:eastAsia="de-DE"/>
        </w:rPr>
        <w:t xml:space="preserve"> </w:t>
      </w:r>
      <w:r w:rsidRPr="00407271">
        <w:rPr>
          <w:rFonts w:eastAsia="Times New Roman" w:cs="Times New Roman"/>
          <w:lang w:eastAsia="de-DE"/>
        </w:rPr>
        <w:t xml:space="preserve">(Subjekt), </w:t>
      </w:r>
      <w:r w:rsidRPr="00407271">
        <w:rPr>
          <w:rFonts w:eastAsia="Times New Roman" w:cs="Times New Roman"/>
          <w:b/>
          <w:bCs/>
          <w:rtl/>
          <w:lang w:eastAsia="de-DE"/>
        </w:rPr>
        <w:t>אֶת־הַגִּלְעָד</w:t>
      </w:r>
      <w:r w:rsidRPr="00407271">
        <w:rPr>
          <w:rFonts w:eastAsia="Times New Roman" w:cs="Times New Roman"/>
          <w:rtl/>
          <w:lang w:eastAsia="de-DE"/>
        </w:rPr>
        <w:t xml:space="preserve"> </w:t>
      </w:r>
      <w:r w:rsidRPr="00407271">
        <w:rPr>
          <w:rFonts w:eastAsia="Times New Roman" w:cs="Times New Roman"/>
          <w:lang w:eastAsia="de-DE"/>
        </w:rPr>
        <w:t xml:space="preserve">(Akkusativpartikel mit </w:t>
      </w:r>
      <w:r w:rsidRPr="00407271">
        <w:rPr>
          <w:rFonts w:eastAsia="Times New Roman" w:cs="Times New Roman"/>
          <w:b/>
          <w:bCs/>
          <w:rtl/>
          <w:lang w:eastAsia="de-DE"/>
        </w:rPr>
        <w:t>גִּלְעָד</w:t>
      </w:r>
      <w:r w:rsidRPr="00407271">
        <w:rPr>
          <w:rFonts w:eastAsia="Times New Roman" w:cs="Times New Roman"/>
          <w:rtl/>
          <w:lang w:eastAsia="de-DE"/>
        </w:rPr>
        <w:t xml:space="preserve"> </w:t>
      </w:r>
      <w:r w:rsidRPr="00407271">
        <w:rPr>
          <w:rFonts w:eastAsia="Times New Roman" w:cs="Times New Roman"/>
          <w:lang w:eastAsia="de-DE"/>
        </w:rPr>
        <w:t xml:space="preserve">mit Artikel), </w:t>
      </w:r>
      <w:r w:rsidRPr="00407271">
        <w:rPr>
          <w:rFonts w:eastAsia="Times New Roman" w:cs="Times New Roman"/>
          <w:b/>
          <w:bCs/>
          <w:rtl/>
          <w:lang w:eastAsia="de-DE"/>
        </w:rPr>
        <w:t>לְמָכִיר בֶּן־מְנַשֶּׁה</w:t>
      </w:r>
      <w:r w:rsidRPr="00407271">
        <w:rPr>
          <w:rFonts w:eastAsia="Times New Roman" w:cs="Times New Roman"/>
          <w:rtl/>
          <w:lang w:eastAsia="de-DE"/>
        </w:rPr>
        <w:t xml:space="preserve"> </w:t>
      </w:r>
      <w:r w:rsidRPr="00407271">
        <w:rPr>
          <w:rFonts w:eastAsia="Times New Roman" w:cs="Times New Roman"/>
          <w:lang w:eastAsia="de-DE"/>
        </w:rPr>
        <w:t xml:space="preserve">(Präposition </w:t>
      </w:r>
      <w:r w:rsidRPr="00407271">
        <w:rPr>
          <w:rFonts w:eastAsia="Times New Roman" w:cs="Times New Roman"/>
          <w:b/>
          <w:bCs/>
          <w:rtl/>
          <w:lang w:eastAsia="de-DE"/>
        </w:rPr>
        <w:t>לְ</w:t>
      </w:r>
      <w:r w:rsidRPr="00407271">
        <w:rPr>
          <w:rFonts w:eastAsia="Times New Roman" w:cs="Times New Roman"/>
          <w:rtl/>
          <w:lang w:eastAsia="de-DE"/>
        </w:rPr>
        <w:t xml:space="preserve"> </w:t>
      </w:r>
      <w:r w:rsidRPr="00407271">
        <w:rPr>
          <w:rFonts w:eastAsia="Times New Roman" w:cs="Times New Roman"/>
          <w:lang w:eastAsia="de-DE"/>
        </w:rPr>
        <w:t xml:space="preserve">mit „Machir, Sohn Manasses"). </w:t>
      </w:r>
      <w:r w:rsidRPr="00407271">
        <w:rPr>
          <w:rFonts w:eastAsia="Times New Roman" w:cs="Times New Roman"/>
          <w:b/>
          <w:bCs/>
          <w:rtl/>
          <w:lang w:eastAsia="de-DE"/>
        </w:rPr>
        <w:t>וַיֵּשֶׁב בָּהּ</w:t>
      </w:r>
      <w:r w:rsidRPr="00407271">
        <w:rPr>
          <w:rFonts w:eastAsia="Times New Roman" w:cs="Times New Roman"/>
          <w:rtl/>
          <w:lang w:eastAsia="de-DE"/>
        </w:rPr>
        <w:t xml:space="preserve"> </w:t>
      </w:r>
      <w:r w:rsidRPr="00407271">
        <w:rPr>
          <w:rFonts w:eastAsia="Times New Roman" w:cs="Times New Roman"/>
          <w:lang w:eastAsia="de-DE"/>
        </w:rPr>
        <w:t xml:space="preserve">ist die Ansiedlung. </w:t>
      </w:r>
      <w:r w:rsidRPr="00407271">
        <w:rPr>
          <w:rFonts w:eastAsia="Times New Roman" w:cs="Times New Roman"/>
          <w:b/>
          <w:bCs/>
          <w:rtl/>
          <w:lang w:eastAsia="de-DE"/>
        </w:rPr>
        <w:t>וַיֵּשֶׁב</w:t>
      </w:r>
      <w:r w:rsidRPr="00407271">
        <w:rPr>
          <w:rFonts w:eastAsia="Times New Roman" w:cs="Times New Roman"/>
          <w:rtl/>
          <w:lang w:eastAsia="de-DE"/>
        </w:rPr>
        <w:t xml:space="preserve"> </w:t>
      </w:r>
      <w:r w:rsidRPr="00407271">
        <w:rPr>
          <w:rFonts w:eastAsia="Times New Roman" w:cs="Times New Roman"/>
          <w:lang w:eastAsia="de-DE"/>
        </w:rPr>
        <w:t xml:space="preserve">(Qal Wayyiqtol 3. Person maskulin Singular von </w:t>
      </w:r>
      <w:r w:rsidRPr="00407271">
        <w:rPr>
          <w:rFonts w:eastAsia="Times New Roman" w:cs="Times New Roman"/>
          <w:b/>
          <w:bCs/>
          <w:rtl/>
          <w:lang w:eastAsia="de-DE"/>
        </w:rPr>
        <w:t>ישׁב</w:t>
      </w:r>
      <w:r w:rsidRPr="00407271">
        <w:rPr>
          <w:rFonts w:eastAsia="Times New Roman" w:cs="Times New Roman"/>
          <w:rtl/>
          <w:lang w:eastAsia="de-DE"/>
        </w:rPr>
        <w:t xml:space="preserve"> </w:t>
      </w:r>
      <w:r w:rsidRPr="00407271">
        <w:rPr>
          <w:rFonts w:eastAsia="Times New Roman" w:cs="Times New Roman"/>
          <w:lang w:eastAsia="de-DE"/>
        </w:rPr>
        <w:t xml:space="preserve">„wohnen, sich niederlassen"), </w:t>
      </w:r>
      <w:r w:rsidRPr="00407271">
        <w:rPr>
          <w:rFonts w:eastAsia="Times New Roman" w:cs="Times New Roman"/>
          <w:b/>
          <w:bCs/>
          <w:rtl/>
          <w:lang w:eastAsia="de-DE"/>
        </w:rPr>
        <w:t>בָּהּ</w:t>
      </w:r>
      <w:r w:rsidRPr="00407271">
        <w:rPr>
          <w:rFonts w:eastAsia="Times New Roman" w:cs="Times New Roman"/>
          <w:rtl/>
          <w:lang w:eastAsia="de-DE"/>
        </w:rPr>
        <w:t xml:space="preserve"> </w:t>
      </w:r>
      <w:r w:rsidRPr="00407271">
        <w:rPr>
          <w:rFonts w:eastAsia="Times New Roman" w:cs="Times New Roman"/>
          <w:lang w:eastAsia="de-DE"/>
        </w:rPr>
        <w:t xml:space="preserve">(Präposition </w:t>
      </w:r>
      <w:r w:rsidRPr="00407271">
        <w:rPr>
          <w:rFonts w:eastAsia="Times New Roman" w:cs="Times New Roman"/>
          <w:b/>
          <w:bCs/>
          <w:rtl/>
          <w:lang w:eastAsia="de-DE"/>
        </w:rPr>
        <w:t>בְ</w:t>
      </w:r>
      <w:r w:rsidRPr="00407271">
        <w:rPr>
          <w:rFonts w:eastAsia="Times New Roman" w:cs="Times New Roman"/>
          <w:rtl/>
          <w:lang w:eastAsia="de-DE"/>
        </w:rPr>
        <w:t xml:space="preserve"> </w:t>
      </w:r>
      <w:r w:rsidRPr="00407271">
        <w:rPr>
          <w:rFonts w:eastAsia="Times New Roman" w:cs="Times New Roman"/>
          <w:lang w:eastAsia="de-DE"/>
        </w:rPr>
        <w:t>mit Suffix 3. Person feminin Singular „darin").</w:t>
      </w:r>
    </w:p>
    <w:p w14:paraId="0AACF42A"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Die Satzstruktur zeigt zwei koordinierte Wayyiqtol-Sätze.</w:t>
      </w:r>
    </w:p>
    <w:p w14:paraId="281FAA87"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Der Vers dokumentiert Moses offizielle Anerkennung: Er gibt Gilead den Machiriter, die sich dort niederließen - eine Legitimation durch Eroberung und offizielle Zuteilung.</w:t>
      </w:r>
    </w:p>
    <w:p w14:paraId="61DDCA84" w14:textId="77777777" w:rsidR="00407271" w:rsidRPr="00407271" w:rsidRDefault="00407271" w:rsidP="00407271">
      <w:pPr>
        <w:spacing w:before="100" w:beforeAutospacing="1" w:after="100" w:afterAutospacing="1" w:line="240" w:lineRule="auto"/>
        <w:outlineLvl w:val="0"/>
        <w:rPr>
          <w:rFonts w:eastAsia="Times New Roman" w:cs="Times New Roman"/>
          <w:b/>
          <w:bCs/>
          <w:kern w:val="36"/>
          <w:sz w:val="48"/>
          <w:szCs w:val="48"/>
          <w:lang w:eastAsia="de-DE"/>
        </w:rPr>
      </w:pPr>
      <w:r w:rsidRPr="00407271">
        <w:rPr>
          <w:rFonts w:eastAsia="Times New Roman" w:cs="Times New Roman"/>
          <w:b/>
          <w:bCs/>
          <w:kern w:val="36"/>
          <w:sz w:val="48"/>
          <w:szCs w:val="48"/>
          <w:lang w:eastAsia="de-DE"/>
        </w:rPr>
        <w:t>Numeri 32,41</w:t>
      </w:r>
    </w:p>
    <w:p w14:paraId="14AF231D"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Hebräisch:</w:t>
      </w:r>
      <w:r w:rsidRPr="00407271">
        <w:rPr>
          <w:rFonts w:eastAsia="Times New Roman" w:cs="Times New Roman"/>
          <w:lang w:eastAsia="de-DE"/>
        </w:rPr>
        <w:t xml:space="preserve"> </w:t>
      </w:r>
      <w:r w:rsidRPr="00407271">
        <w:rPr>
          <w:rFonts w:eastAsia="Times New Roman" w:cs="Times New Roman"/>
          <w:rtl/>
          <w:lang w:eastAsia="de-DE"/>
        </w:rPr>
        <w:t>וְיָאִ֤יר בֶּן־מְנַשֶּׁה֙ הָלַ֔ךְ וַיִּלְכֹּ֖ד אֶת־חַוֹּתֵיהֶ֑ם וַיִּקְרָ֥א אֶתְהֶ֖ן חַוֹּ֥ת יָאִֽיר׃</w:t>
      </w:r>
    </w:p>
    <w:p w14:paraId="1DE2DE5D"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Deutsch:</w:t>
      </w:r>
      <w:r w:rsidRPr="00407271">
        <w:rPr>
          <w:rFonts w:eastAsia="Times New Roman" w:cs="Times New Roman"/>
          <w:lang w:eastAsia="de-DE"/>
        </w:rPr>
        <w:t xml:space="preserve"> Und Ja'ir, der Sohn Menasche, zog hin und nahm ihre Dörfer ein und nannte sie Chawot-Ja'ir.</w:t>
      </w:r>
    </w:p>
    <w:p w14:paraId="23794C8F" w14:textId="77777777" w:rsidR="00407271" w:rsidRPr="00407271" w:rsidRDefault="00F329DD" w:rsidP="00407271">
      <w:pPr>
        <w:spacing w:after="0" w:line="240" w:lineRule="auto"/>
        <w:rPr>
          <w:rFonts w:eastAsia="Times New Roman" w:cs="Times New Roman"/>
          <w:lang w:eastAsia="de-DE"/>
        </w:rPr>
      </w:pPr>
      <w:r>
        <w:rPr>
          <w:rFonts w:eastAsia="Times New Roman" w:cs="Times New Roman"/>
          <w:noProof/>
          <w:lang w:eastAsia="de-DE"/>
        </w:rPr>
        <w:pict w14:anchorId="63B412AF">
          <v:rect id="_x0000_i2027" style="width:0;height:1.5pt" o:hralign="center" o:hrstd="t" o:hr="t" fillcolor="#a0a0a0" stroked="f"/>
        </w:pict>
      </w:r>
    </w:p>
    <w:p w14:paraId="7F7ADB51" w14:textId="11AA6432"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Kommentar:</w:t>
      </w:r>
      <w:r w:rsidRPr="00407271">
        <w:rPr>
          <w:rFonts w:eastAsia="Times New Roman" w:cs="Times New Roman"/>
          <w:lang w:eastAsia="de-DE"/>
        </w:rPr>
        <w:t xml:space="preserve"> Der Vers berichtet von einem weiteren manassitischen Eroberer. </w:t>
      </w:r>
      <w:r w:rsidRPr="00407271">
        <w:rPr>
          <w:rFonts w:eastAsia="Times New Roman" w:cs="Times New Roman"/>
          <w:b/>
          <w:bCs/>
          <w:rtl/>
          <w:lang w:eastAsia="de-DE"/>
        </w:rPr>
        <w:t>וְיָאִיר בֶּן־מְנַשֶּׁה הָלַךְ וַיִּלְכֹּד אֶת־חַוֹּתֵיהֶם</w:t>
      </w:r>
      <w:r w:rsidRPr="00407271">
        <w:rPr>
          <w:rFonts w:eastAsia="Times New Roman" w:cs="Times New Roman"/>
          <w:rtl/>
          <w:lang w:eastAsia="de-DE"/>
        </w:rPr>
        <w:t xml:space="preserve"> </w:t>
      </w:r>
      <w:r w:rsidRPr="00407271">
        <w:rPr>
          <w:rFonts w:eastAsia="Times New Roman" w:cs="Times New Roman"/>
          <w:lang w:eastAsia="de-DE"/>
        </w:rPr>
        <w:t xml:space="preserve">zeigt die Eroberung. </w:t>
      </w:r>
      <w:r w:rsidRPr="00407271">
        <w:rPr>
          <w:rFonts w:eastAsia="Times New Roman" w:cs="Times New Roman"/>
          <w:b/>
          <w:bCs/>
          <w:rtl/>
          <w:lang w:eastAsia="de-DE"/>
        </w:rPr>
        <w:t>וְיָאִיר בֶּן־מְנַשֶּׁה</w:t>
      </w:r>
      <w:r w:rsidRPr="00407271">
        <w:rPr>
          <w:rFonts w:eastAsia="Times New Roman" w:cs="Times New Roman"/>
          <w:rtl/>
          <w:lang w:eastAsia="de-DE"/>
        </w:rPr>
        <w:t xml:space="preserve"> </w:t>
      </w:r>
      <w:r w:rsidRPr="00407271">
        <w:rPr>
          <w:rFonts w:eastAsia="Times New Roman" w:cs="Times New Roman"/>
          <w:lang w:eastAsia="de-DE"/>
        </w:rPr>
        <w:t xml:space="preserve">(Konjunktion mit </w:t>
      </w:r>
      <w:r w:rsidRPr="00407271">
        <w:rPr>
          <w:rFonts w:eastAsia="Times New Roman" w:cs="Times New Roman"/>
          <w:b/>
          <w:bCs/>
          <w:rtl/>
          <w:lang w:eastAsia="de-DE"/>
        </w:rPr>
        <w:t>יָאִיר</w:t>
      </w:r>
      <w:r w:rsidRPr="00407271">
        <w:rPr>
          <w:rFonts w:eastAsia="Times New Roman" w:cs="Times New Roman"/>
          <w:rtl/>
          <w:lang w:eastAsia="de-DE"/>
        </w:rPr>
        <w:t xml:space="preserve"> </w:t>
      </w:r>
      <w:r w:rsidRPr="00407271">
        <w:rPr>
          <w:rFonts w:eastAsia="Times New Roman" w:cs="Times New Roman"/>
          <w:lang w:eastAsia="de-DE"/>
        </w:rPr>
        <w:t xml:space="preserve">„Jair" im </w:t>
      </w:r>
      <w:r w:rsidR="00E031B3">
        <w:rPr>
          <w:rFonts w:eastAsia="Times New Roman" w:cs="Times New Roman"/>
          <w:lang w:eastAsia="de-DE"/>
        </w:rPr>
        <w:t>Constructus mit</w:t>
      </w:r>
      <w:r w:rsidRPr="00407271">
        <w:rPr>
          <w:rFonts w:eastAsia="Times New Roman" w:cs="Times New Roman"/>
          <w:lang w:eastAsia="de-DE"/>
        </w:rPr>
        <w:t xml:space="preserve"> </w:t>
      </w:r>
      <w:r w:rsidRPr="00407271">
        <w:rPr>
          <w:rFonts w:eastAsia="Times New Roman" w:cs="Times New Roman"/>
          <w:b/>
          <w:bCs/>
          <w:rtl/>
          <w:lang w:eastAsia="de-DE"/>
        </w:rPr>
        <w:t>בֶּן־מְנַשֶּׁה</w:t>
      </w:r>
      <w:r w:rsidRPr="00407271">
        <w:rPr>
          <w:rFonts w:eastAsia="Times New Roman" w:cs="Times New Roman"/>
          <w:rtl/>
          <w:lang w:eastAsia="de-DE"/>
        </w:rPr>
        <w:t xml:space="preserve"> </w:t>
      </w:r>
      <w:r w:rsidRPr="00407271">
        <w:rPr>
          <w:rFonts w:eastAsia="Times New Roman" w:cs="Times New Roman"/>
          <w:lang w:eastAsia="de-DE"/>
        </w:rPr>
        <w:t xml:space="preserve">„Sohn Manasses"), </w:t>
      </w:r>
      <w:r w:rsidRPr="00407271">
        <w:rPr>
          <w:rFonts w:eastAsia="Times New Roman" w:cs="Times New Roman"/>
          <w:b/>
          <w:bCs/>
          <w:rtl/>
          <w:lang w:eastAsia="de-DE"/>
        </w:rPr>
        <w:t>הָלַךְ</w:t>
      </w:r>
      <w:r w:rsidRPr="00407271">
        <w:rPr>
          <w:rFonts w:eastAsia="Times New Roman" w:cs="Times New Roman"/>
          <w:rtl/>
          <w:lang w:eastAsia="de-DE"/>
        </w:rPr>
        <w:t xml:space="preserve"> </w:t>
      </w:r>
      <w:r w:rsidRPr="00407271">
        <w:rPr>
          <w:rFonts w:eastAsia="Times New Roman" w:cs="Times New Roman"/>
          <w:lang w:eastAsia="de-DE"/>
        </w:rPr>
        <w:t xml:space="preserve">(Qal Perfekt 3. Person maskulin Singular von </w:t>
      </w:r>
      <w:r w:rsidRPr="00407271">
        <w:rPr>
          <w:rFonts w:eastAsia="Times New Roman" w:cs="Times New Roman"/>
          <w:b/>
          <w:bCs/>
          <w:rtl/>
          <w:lang w:eastAsia="de-DE"/>
        </w:rPr>
        <w:t>הלך</w:t>
      </w:r>
      <w:r w:rsidRPr="00407271">
        <w:rPr>
          <w:rFonts w:eastAsia="Times New Roman" w:cs="Times New Roman"/>
          <w:rtl/>
          <w:lang w:eastAsia="de-DE"/>
        </w:rPr>
        <w:t xml:space="preserve"> </w:t>
      </w:r>
      <w:r w:rsidRPr="00407271">
        <w:rPr>
          <w:rFonts w:eastAsia="Times New Roman" w:cs="Times New Roman"/>
          <w:lang w:eastAsia="de-DE"/>
        </w:rPr>
        <w:t xml:space="preserve">„gehen, ziehen"), </w:t>
      </w:r>
      <w:r w:rsidRPr="00407271">
        <w:rPr>
          <w:rFonts w:eastAsia="Times New Roman" w:cs="Times New Roman"/>
          <w:b/>
          <w:bCs/>
          <w:rtl/>
          <w:lang w:eastAsia="de-DE"/>
        </w:rPr>
        <w:t>וַיִּלְכֹּד</w:t>
      </w:r>
      <w:r w:rsidRPr="00407271">
        <w:rPr>
          <w:rFonts w:eastAsia="Times New Roman" w:cs="Times New Roman"/>
          <w:rtl/>
          <w:lang w:eastAsia="de-DE"/>
        </w:rPr>
        <w:t xml:space="preserve"> </w:t>
      </w:r>
      <w:r w:rsidRPr="00407271">
        <w:rPr>
          <w:rFonts w:eastAsia="Times New Roman" w:cs="Times New Roman"/>
          <w:lang w:eastAsia="de-DE"/>
        </w:rPr>
        <w:t xml:space="preserve">(Qal Wayyiqtol 3. Person maskulin Singular von </w:t>
      </w:r>
      <w:r w:rsidRPr="00407271">
        <w:rPr>
          <w:rFonts w:eastAsia="Times New Roman" w:cs="Times New Roman"/>
          <w:b/>
          <w:bCs/>
          <w:rtl/>
          <w:lang w:eastAsia="de-DE"/>
        </w:rPr>
        <w:t>לכד</w:t>
      </w:r>
      <w:r w:rsidRPr="00407271">
        <w:rPr>
          <w:rFonts w:eastAsia="Times New Roman" w:cs="Times New Roman"/>
          <w:rtl/>
          <w:lang w:eastAsia="de-DE"/>
        </w:rPr>
        <w:t xml:space="preserve"> </w:t>
      </w:r>
      <w:r w:rsidRPr="00407271">
        <w:rPr>
          <w:rFonts w:eastAsia="Times New Roman" w:cs="Times New Roman"/>
          <w:lang w:eastAsia="de-DE"/>
        </w:rPr>
        <w:t xml:space="preserve">„erobern"), </w:t>
      </w:r>
      <w:r w:rsidRPr="00407271">
        <w:rPr>
          <w:rFonts w:eastAsia="Times New Roman" w:cs="Times New Roman"/>
          <w:b/>
          <w:bCs/>
          <w:rtl/>
          <w:lang w:eastAsia="de-DE"/>
        </w:rPr>
        <w:t>אֶת־חַוֹּתֵיהֶם</w:t>
      </w:r>
      <w:r w:rsidRPr="00407271">
        <w:rPr>
          <w:rFonts w:eastAsia="Times New Roman" w:cs="Times New Roman"/>
          <w:rtl/>
          <w:lang w:eastAsia="de-DE"/>
        </w:rPr>
        <w:t xml:space="preserve"> </w:t>
      </w:r>
      <w:r w:rsidRPr="00407271">
        <w:rPr>
          <w:rFonts w:eastAsia="Times New Roman" w:cs="Times New Roman"/>
          <w:lang w:eastAsia="de-DE"/>
        </w:rPr>
        <w:t xml:space="preserve">(Akkusativpartikel mit Plural von </w:t>
      </w:r>
      <w:r w:rsidRPr="00407271">
        <w:rPr>
          <w:rFonts w:eastAsia="Times New Roman" w:cs="Times New Roman"/>
          <w:b/>
          <w:bCs/>
          <w:rtl/>
          <w:lang w:eastAsia="de-DE"/>
        </w:rPr>
        <w:t>חַוָּה</w:t>
      </w:r>
      <w:r w:rsidRPr="00407271">
        <w:rPr>
          <w:rFonts w:eastAsia="Times New Roman" w:cs="Times New Roman"/>
          <w:rtl/>
          <w:lang w:eastAsia="de-DE"/>
        </w:rPr>
        <w:t xml:space="preserve"> </w:t>
      </w:r>
      <w:r w:rsidRPr="00407271">
        <w:rPr>
          <w:rFonts w:eastAsia="Times New Roman" w:cs="Times New Roman"/>
          <w:lang w:eastAsia="de-DE"/>
        </w:rPr>
        <w:t xml:space="preserve">„Zeltdorf, Dorf" und Suffix 3. Person maskulin Plural „ihre Dörfer"). </w:t>
      </w:r>
      <w:r w:rsidRPr="00407271">
        <w:rPr>
          <w:rFonts w:eastAsia="Times New Roman" w:cs="Times New Roman"/>
          <w:b/>
          <w:bCs/>
          <w:rtl/>
          <w:lang w:eastAsia="de-DE"/>
        </w:rPr>
        <w:t>וַיִּקְרָא אֶתְהֶן חַוֹּת יָאִיר</w:t>
      </w:r>
      <w:r w:rsidRPr="00407271">
        <w:rPr>
          <w:rFonts w:eastAsia="Times New Roman" w:cs="Times New Roman"/>
          <w:rtl/>
          <w:lang w:eastAsia="de-DE"/>
        </w:rPr>
        <w:t xml:space="preserve"> </w:t>
      </w:r>
      <w:r w:rsidRPr="00407271">
        <w:rPr>
          <w:rFonts w:eastAsia="Times New Roman" w:cs="Times New Roman"/>
          <w:lang w:eastAsia="de-DE"/>
        </w:rPr>
        <w:t xml:space="preserve">ist die Benennung. </w:t>
      </w:r>
      <w:r w:rsidRPr="00407271">
        <w:rPr>
          <w:rFonts w:eastAsia="Times New Roman" w:cs="Times New Roman"/>
          <w:b/>
          <w:bCs/>
          <w:rtl/>
          <w:lang w:eastAsia="de-DE"/>
        </w:rPr>
        <w:t>וַיִּקְרָא</w:t>
      </w:r>
      <w:r w:rsidRPr="00407271">
        <w:rPr>
          <w:rFonts w:eastAsia="Times New Roman" w:cs="Times New Roman"/>
          <w:rtl/>
          <w:lang w:eastAsia="de-DE"/>
        </w:rPr>
        <w:t xml:space="preserve"> </w:t>
      </w:r>
      <w:r w:rsidRPr="00407271">
        <w:rPr>
          <w:rFonts w:eastAsia="Times New Roman" w:cs="Times New Roman"/>
          <w:lang w:eastAsia="de-DE"/>
        </w:rPr>
        <w:t xml:space="preserve">(Qal Wayyiqtol 3. Person maskulin Singular von </w:t>
      </w:r>
      <w:r w:rsidRPr="00407271">
        <w:rPr>
          <w:rFonts w:eastAsia="Times New Roman" w:cs="Times New Roman"/>
          <w:b/>
          <w:bCs/>
          <w:rtl/>
          <w:lang w:eastAsia="de-DE"/>
        </w:rPr>
        <w:t>קרא</w:t>
      </w:r>
      <w:r w:rsidRPr="00407271">
        <w:rPr>
          <w:rFonts w:eastAsia="Times New Roman" w:cs="Times New Roman"/>
          <w:rtl/>
          <w:lang w:eastAsia="de-DE"/>
        </w:rPr>
        <w:t xml:space="preserve"> </w:t>
      </w:r>
      <w:r w:rsidRPr="00407271">
        <w:rPr>
          <w:rFonts w:eastAsia="Times New Roman" w:cs="Times New Roman"/>
          <w:lang w:eastAsia="de-DE"/>
        </w:rPr>
        <w:t xml:space="preserve">„nennen, rufen"), </w:t>
      </w:r>
      <w:r w:rsidRPr="00407271">
        <w:rPr>
          <w:rFonts w:eastAsia="Times New Roman" w:cs="Times New Roman"/>
          <w:b/>
          <w:bCs/>
          <w:rtl/>
          <w:lang w:eastAsia="de-DE"/>
        </w:rPr>
        <w:t>אֶתְהֶן</w:t>
      </w:r>
      <w:r w:rsidRPr="00407271">
        <w:rPr>
          <w:rFonts w:eastAsia="Times New Roman" w:cs="Times New Roman"/>
          <w:rtl/>
          <w:lang w:eastAsia="de-DE"/>
        </w:rPr>
        <w:t xml:space="preserve"> </w:t>
      </w:r>
      <w:r w:rsidRPr="00407271">
        <w:rPr>
          <w:rFonts w:eastAsia="Times New Roman" w:cs="Times New Roman"/>
          <w:lang w:eastAsia="de-DE"/>
        </w:rPr>
        <w:t xml:space="preserve">(Akkusativpartikel mit Suffix 3. Person feminin Plural „sie"), </w:t>
      </w:r>
      <w:r w:rsidRPr="00407271">
        <w:rPr>
          <w:rFonts w:eastAsia="Times New Roman" w:cs="Times New Roman"/>
          <w:b/>
          <w:bCs/>
          <w:rtl/>
          <w:lang w:eastAsia="de-DE"/>
        </w:rPr>
        <w:t>חַוֹּת יָאִיר</w:t>
      </w:r>
      <w:r w:rsidRPr="00407271">
        <w:rPr>
          <w:rFonts w:eastAsia="Times New Roman" w:cs="Times New Roman"/>
          <w:rtl/>
          <w:lang w:eastAsia="de-DE"/>
        </w:rPr>
        <w:t xml:space="preserve"> </w:t>
      </w:r>
      <w:r w:rsidRPr="00407271">
        <w:rPr>
          <w:rFonts w:eastAsia="Times New Roman" w:cs="Times New Roman"/>
          <w:lang w:eastAsia="de-DE"/>
        </w:rPr>
        <w:t>(„Chawot-Jair" = „Zeltdörfer Jairs").</w:t>
      </w:r>
    </w:p>
    <w:p w14:paraId="601ECAE7"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Die Satzstruktur zeigt drei koordinierte Verben (ein Perfekt, zwei Wayyiqtol).</w:t>
      </w:r>
    </w:p>
    <w:p w14:paraId="185AF782"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Der Vers dokumentiert Jairs individuelle Eroberung und Benennung der Dörfer nach sich selbst - eine persönliche Landnahme innerhalb des manassitischen Gebiets.</w:t>
      </w:r>
    </w:p>
    <w:p w14:paraId="74D5E5CE" w14:textId="77777777" w:rsidR="00407271" w:rsidRPr="00407271" w:rsidRDefault="00407271" w:rsidP="00407271">
      <w:pPr>
        <w:spacing w:before="100" w:beforeAutospacing="1" w:after="100" w:afterAutospacing="1" w:line="240" w:lineRule="auto"/>
        <w:outlineLvl w:val="0"/>
        <w:rPr>
          <w:rFonts w:eastAsia="Times New Roman" w:cs="Times New Roman"/>
          <w:b/>
          <w:bCs/>
          <w:kern w:val="36"/>
          <w:sz w:val="48"/>
          <w:szCs w:val="48"/>
          <w:lang w:eastAsia="de-DE"/>
        </w:rPr>
      </w:pPr>
      <w:r w:rsidRPr="00407271">
        <w:rPr>
          <w:rFonts w:eastAsia="Times New Roman" w:cs="Times New Roman"/>
          <w:b/>
          <w:bCs/>
          <w:kern w:val="36"/>
          <w:sz w:val="48"/>
          <w:szCs w:val="48"/>
          <w:lang w:eastAsia="de-DE"/>
        </w:rPr>
        <w:t>Numeri 32,42</w:t>
      </w:r>
    </w:p>
    <w:p w14:paraId="4CDDF6C9"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Hebräisch:</w:t>
      </w:r>
      <w:r w:rsidRPr="00407271">
        <w:rPr>
          <w:rFonts w:eastAsia="Times New Roman" w:cs="Times New Roman"/>
          <w:lang w:eastAsia="de-DE"/>
        </w:rPr>
        <w:t xml:space="preserve"> </w:t>
      </w:r>
      <w:r w:rsidRPr="00407271">
        <w:rPr>
          <w:rFonts w:eastAsia="Times New Roman" w:cs="Times New Roman"/>
          <w:rtl/>
          <w:lang w:eastAsia="de-DE"/>
        </w:rPr>
        <w:t>וְנֹ֣בַח הָלַ֔ךְ וַיִּלְכֹּ֥ד אֶת־קְנָ֖ת וְאֶת־בְּנֹתֶ֑יהָ וַיִּקְרָ֧א לָ֦ה נֹ֖בַח בִּשְׁמֹֽו׃</w:t>
      </w:r>
    </w:p>
    <w:p w14:paraId="7A516D09"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lastRenderedPageBreak/>
        <w:t>Deutsch:</w:t>
      </w:r>
      <w:r w:rsidRPr="00407271">
        <w:rPr>
          <w:rFonts w:eastAsia="Times New Roman" w:cs="Times New Roman"/>
          <w:lang w:eastAsia="de-DE"/>
        </w:rPr>
        <w:t xml:space="preserve"> Und Novach zog hin und nahm Kenat und seine Töchter ein und nannte es Novach nach seinem Namen.</w:t>
      </w:r>
    </w:p>
    <w:p w14:paraId="20D0E151" w14:textId="77777777" w:rsidR="00407271" w:rsidRPr="00407271" w:rsidRDefault="00F329DD" w:rsidP="00407271">
      <w:pPr>
        <w:spacing w:after="0" w:line="240" w:lineRule="auto"/>
        <w:rPr>
          <w:rFonts w:eastAsia="Times New Roman" w:cs="Times New Roman"/>
          <w:lang w:eastAsia="de-DE"/>
        </w:rPr>
      </w:pPr>
      <w:r>
        <w:rPr>
          <w:rFonts w:eastAsia="Times New Roman" w:cs="Times New Roman"/>
          <w:noProof/>
          <w:lang w:eastAsia="de-DE"/>
        </w:rPr>
        <w:pict w14:anchorId="0E3DB4DF">
          <v:rect id="_x0000_i2028" style="width:0;height:1.5pt" o:hralign="center" o:hrstd="t" o:hr="t" fillcolor="#a0a0a0" stroked="f"/>
        </w:pict>
      </w:r>
    </w:p>
    <w:p w14:paraId="08609B66"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Kommentar:</w:t>
      </w:r>
      <w:r w:rsidRPr="00407271">
        <w:rPr>
          <w:rFonts w:eastAsia="Times New Roman" w:cs="Times New Roman"/>
          <w:lang w:eastAsia="de-DE"/>
        </w:rPr>
        <w:t xml:space="preserve"> Der Vers schließt das Kapitel mit einem dritten Eroberer ab. </w:t>
      </w:r>
      <w:r w:rsidRPr="00407271">
        <w:rPr>
          <w:rFonts w:eastAsia="Times New Roman" w:cs="Times New Roman"/>
          <w:b/>
          <w:bCs/>
          <w:rtl/>
          <w:lang w:eastAsia="de-DE"/>
        </w:rPr>
        <w:t>וְנֹבַח הָלַךְ וַיִּלְכֹּד אֶת־קְנָת וְאֶת־בְּנֹתֶיהָ</w:t>
      </w:r>
      <w:r w:rsidRPr="00407271">
        <w:rPr>
          <w:rFonts w:eastAsia="Times New Roman" w:cs="Times New Roman"/>
          <w:rtl/>
          <w:lang w:eastAsia="de-DE"/>
        </w:rPr>
        <w:t xml:space="preserve"> </w:t>
      </w:r>
      <w:r w:rsidRPr="00407271">
        <w:rPr>
          <w:rFonts w:eastAsia="Times New Roman" w:cs="Times New Roman"/>
          <w:lang w:eastAsia="de-DE"/>
        </w:rPr>
        <w:t xml:space="preserve">zeigt die Eroberung. </w:t>
      </w:r>
      <w:r w:rsidRPr="00407271">
        <w:rPr>
          <w:rFonts w:eastAsia="Times New Roman" w:cs="Times New Roman"/>
          <w:b/>
          <w:bCs/>
          <w:rtl/>
          <w:lang w:eastAsia="de-DE"/>
        </w:rPr>
        <w:t>וְנֹבַח</w:t>
      </w:r>
      <w:r w:rsidRPr="00407271">
        <w:rPr>
          <w:rFonts w:eastAsia="Times New Roman" w:cs="Times New Roman"/>
          <w:rtl/>
          <w:lang w:eastAsia="de-DE"/>
        </w:rPr>
        <w:t xml:space="preserve"> </w:t>
      </w:r>
      <w:r w:rsidRPr="00407271">
        <w:rPr>
          <w:rFonts w:eastAsia="Times New Roman" w:cs="Times New Roman"/>
          <w:lang w:eastAsia="de-DE"/>
        </w:rPr>
        <w:t xml:space="preserve">(Konjunktion mit </w:t>
      </w:r>
      <w:r w:rsidRPr="00407271">
        <w:rPr>
          <w:rFonts w:eastAsia="Times New Roman" w:cs="Times New Roman"/>
          <w:b/>
          <w:bCs/>
          <w:rtl/>
          <w:lang w:eastAsia="de-DE"/>
        </w:rPr>
        <w:t>נֹבַח</w:t>
      </w:r>
      <w:r w:rsidRPr="00407271">
        <w:rPr>
          <w:rFonts w:eastAsia="Times New Roman" w:cs="Times New Roman"/>
          <w:rtl/>
          <w:lang w:eastAsia="de-DE"/>
        </w:rPr>
        <w:t xml:space="preserve"> </w:t>
      </w:r>
      <w:r w:rsidRPr="00407271">
        <w:rPr>
          <w:rFonts w:eastAsia="Times New Roman" w:cs="Times New Roman"/>
          <w:lang w:eastAsia="de-DE"/>
        </w:rPr>
        <w:t xml:space="preserve">„Nobah" - ein weiterer manassitischer Krieger), </w:t>
      </w:r>
      <w:r w:rsidRPr="00407271">
        <w:rPr>
          <w:rFonts w:eastAsia="Times New Roman" w:cs="Times New Roman"/>
          <w:b/>
          <w:bCs/>
          <w:rtl/>
          <w:lang w:eastAsia="de-DE"/>
        </w:rPr>
        <w:t>הָלַךְ</w:t>
      </w:r>
      <w:r w:rsidRPr="00407271">
        <w:rPr>
          <w:rFonts w:eastAsia="Times New Roman" w:cs="Times New Roman"/>
          <w:rtl/>
          <w:lang w:eastAsia="de-DE"/>
        </w:rPr>
        <w:t xml:space="preserve"> </w:t>
      </w:r>
      <w:r w:rsidRPr="00407271">
        <w:rPr>
          <w:rFonts w:eastAsia="Times New Roman" w:cs="Times New Roman"/>
          <w:lang w:eastAsia="de-DE"/>
        </w:rPr>
        <w:t xml:space="preserve">(Qal Perfekt von </w:t>
      </w:r>
      <w:r w:rsidRPr="00407271">
        <w:rPr>
          <w:rFonts w:eastAsia="Times New Roman" w:cs="Times New Roman"/>
          <w:b/>
          <w:bCs/>
          <w:rtl/>
          <w:lang w:eastAsia="de-DE"/>
        </w:rPr>
        <w:t>הלך</w:t>
      </w:r>
      <w:r w:rsidRPr="00407271">
        <w:rPr>
          <w:rFonts w:eastAsia="Times New Roman" w:cs="Times New Roman"/>
          <w:lang w:eastAsia="de-DE"/>
        </w:rPr>
        <w:t xml:space="preserve">), </w:t>
      </w:r>
      <w:r w:rsidRPr="00407271">
        <w:rPr>
          <w:rFonts w:eastAsia="Times New Roman" w:cs="Times New Roman"/>
          <w:b/>
          <w:bCs/>
          <w:rtl/>
          <w:lang w:eastAsia="de-DE"/>
        </w:rPr>
        <w:t>וַיִּלְכֹּד</w:t>
      </w:r>
      <w:r w:rsidRPr="00407271">
        <w:rPr>
          <w:rFonts w:eastAsia="Times New Roman" w:cs="Times New Roman"/>
          <w:rtl/>
          <w:lang w:eastAsia="de-DE"/>
        </w:rPr>
        <w:t xml:space="preserve"> </w:t>
      </w:r>
      <w:r w:rsidRPr="00407271">
        <w:rPr>
          <w:rFonts w:eastAsia="Times New Roman" w:cs="Times New Roman"/>
          <w:lang w:eastAsia="de-DE"/>
        </w:rPr>
        <w:t xml:space="preserve">(Qal Wayyiqtol von </w:t>
      </w:r>
      <w:r w:rsidRPr="00407271">
        <w:rPr>
          <w:rFonts w:eastAsia="Times New Roman" w:cs="Times New Roman"/>
          <w:b/>
          <w:bCs/>
          <w:rtl/>
          <w:lang w:eastAsia="de-DE"/>
        </w:rPr>
        <w:t>לכד</w:t>
      </w:r>
      <w:r w:rsidRPr="00407271">
        <w:rPr>
          <w:rFonts w:eastAsia="Times New Roman" w:cs="Times New Roman"/>
          <w:lang w:eastAsia="de-DE"/>
        </w:rPr>
        <w:t xml:space="preserve">), </w:t>
      </w:r>
      <w:r w:rsidRPr="00407271">
        <w:rPr>
          <w:rFonts w:eastAsia="Times New Roman" w:cs="Times New Roman"/>
          <w:b/>
          <w:bCs/>
          <w:rtl/>
          <w:lang w:eastAsia="de-DE"/>
        </w:rPr>
        <w:t>אֶת־קְנָת</w:t>
      </w:r>
      <w:r w:rsidRPr="00407271">
        <w:rPr>
          <w:rFonts w:eastAsia="Times New Roman" w:cs="Times New Roman"/>
          <w:rtl/>
          <w:lang w:eastAsia="de-DE"/>
        </w:rPr>
        <w:t xml:space="preserve"> </w:t>
      </w:r>
      <w:r w:rsidRPr="00407271">
        <w:rPr>
          <w:rFonts w:eastAsia="Times New Roman" w:cs="Times New Roman"/>
          <w:lang w:eastAsia="de-DE"/>
        </w:rPr>
        <w:t xml:space="preserve">(Akkusativpartikel mit </w:t>
      </w:r>
      <w:r w:rsidRPr="00407271">
        <w:rPr>
          <w:rFonts w:eastAsia="Times New Roman" w:cs="Times New Roman"/>
          <w:b/>
          <w:bCs/>
          <w:rtl/>
          <w:lang w:eastAsia="de-DE"/>
        </w:rPr>
        <w:t>קְנָת</w:t>
      </w:r>
      <w:r w:rsidRPr="00407271">
        <w:rPr>
          <w:rFonts w:eastAsia="Times New Roman" w:cs="Times New Roman"/>
          <w:rtl/>
          <w:lang w:eastAsia="de-DE"/>
        </w:rPr>
        <w:t xml:space="preserve"> </w:t>
      </w:r>
      <w:r w:rsidRPr="00407271">
        <w:rPr>
          <w:rFonts w:eastAsia="Times New Roman" w:cs="Times New Roman"/>
          <w:lang w:eastAsia="de-DE"/>
        </w:rPr>
        <w:t xml:space="preserve">„Kenat"), </w:t>
      </w:r>
      <w:r w:rsidRPr="00407271">
        <w:rPr>
          <w:rFonts w:eastAsia="Times New Roman" w:cs="Times New Roman"/>
          <w:b/>
          <w:bCs/>
          <w:rtl/>
          <w:lang w:eastAsia="de-DE"/>
        </w:rPr>
        <w:t>וְאֶת־בְּנֹתֶיהָ</w:t>
      </w:r>
      <w:r w:rsidRPr="00407271">
        <w:rPr>
          <w:rFonts w:eastAsia="Times New Roman" w:cs="Times New Roman"/>
          <w:rtl/>
          <w:lang w:eastAsia="de-DE"/>
        </w:rPr>
        <w:t xml:space="preserve"> </w:t>
      </w:r>
      <w:r w:rsidRPr="00407271">
        <w:rPr>
          <w:rFonts w:eastAsia="Times New Roman" w:cs="Times New Roman"/>
          <w:lang w:eastAsia="de-DE"/>
        </w:rPr>
        <w:t xml:space="preserve">(Konjunktion mit Akkusativpartikel, Plural von </w:t>
      </w:r>
      <w:r w:rsidRPr="00407271">
        <w:rPr>
          <w:rFonts w:eastAsia="Times New Roman" w:cs="Times New Roman"/>
          <w:b/>
          <w:bCs/>
          <w:rtl/>
          <w:lang w:eastAsia="de-DE"/>
        </w:rPr>
        <w:t>בַּת</w:t>
      </w:r>
      <w:r w:rsidRPr="00407271">
        <w:rPr>
          <w:rFonts w:eastAsia="Times New Roman" w:cs="Times New Roman"/>
          <w:rtl/>
          <w:lang w:eastAsia="de-DE"/>
        </w:rPr>
        <w:t xml:space="preserve"> </w:t>
      </w:r>
      <w:r w:rsidRPr="00407271">
        <w:rPr>
          <w:rFonts w:eastAsia="Times New Roman" w:cs="Times New Roman"/>
          <w:lang w:eastAsia="de-DE"/>
        </w:rPr>
        <w:t>„Tochter" und Suffix 3. Person feminin Singular „und ihre Töchter"). Der Ausdruck „Töchter" bezeichnet hier die abhängigen Dörfer oder Siedlungen einer Hauptstadt.</w:t>
      </w:r>
    </w:p>
    <w:p w14:paraId="7D3649A7"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rtl/>
          <w:lang w:eastAsia="de-DE"/>
        </w:rPr>
        <w:t>וַיִּקְרָא לָה נֹבַח בִּשְׁמוֹ</w:t>
      </w:r>
      <w:r w:rsidRPr="00407271">
        <w:rPr>
          <w:rFonts w:eastAsia="Times New Roman" w:cs="Times New Roman"/>
          <w:rtl/>
          <w:lang w:eastAsia="de-DE"/>
        </w:rPr>
        <w:t xml:space="preserve"> </w:t>
      </w:r>
      <w:r w:rsidRPr="00407271">
        <w:rPr>
          <w:rFonts w:eastAsia="Times New Roman" w:cs="Times New Roman"/>
          <w:lang w:eastAsia="de-DE"/>
        </w:rPr>
        <w:t xml:space="preserve">ist die Benennung. </w:t>
      </w:r>
      <w:r w:rsidRPr="00407271">
        <w:rPr>
          <w:rFonts w:eastAsia="Times New Roman" w:cs="Times New Roman"/>
          <w:b/>
          <w:bCs/>
          <w:rtl/>
          <w:lang w:eastAsia="de-DE"/>
        </w:rPr>
        <w:t>וַיִּקְרָא</w:t>
      </w:r>
      <w:r w:rsidRPr="00407271">
        <w:rPr>
          <w:rFonts w:eastAsia="Times New Roman" w:cs="Times New Roman"/>
          <w:rtl/>
          <w:lang w:eastAsia="de-DE"/>
        </w:rPr>
        <w:t xml:space="preserve"> </w:t>
      </w:r>
      <w:r w:rsidRPr="00407271">
        <w:rPr>
          <w:rFonts w:eastAsia="Times New Roman" w:cs="Times New Roman"/>
          <w:lang w:eastAsia="de-DE"/>
        </w:rPr>
        <w:t xml:space="preserve">(Qal Wayyiqtol von </w:t>
      </w:r>
      <w:r w:rsidRPr="00407271">
        <w:rPr>
          <w:rFonts w:eastAsia="Times New Roman" w:cs="Times New Roman"/>
          <w:b/>
          <w:bCs/>
          <w:rtl/>
          <w:lang w:eastAsia="de-DE"/>
        </w:rPr>
        <w:t>קרא</w:t>
      </w:r>
      <w:r w:rsidRPr="00407271">
        <w:rPr>
          <w:rFonts w:eastAsia="Times New Roman" w:cs="Times New Roman"/>
          <w:lang w:eastAsia="de-DE"/>
        </w:rPr>
        <w:t xml:space="preserve">), </w:t>
      </w:r>
      <w:r w:rsidRPr="00407271">
        <w:rPr>
          <w:rFonts w:eastAsia="Times New Roman" w:cs="Times New Roman"/>
          <w:b/>
          <w:bCs/>
          <w:rtl/>
          <w:lang w:eastAsia="de-DE"/>
        </w:rPr>
        <w:t>לָה</w:t>
      </w:r>
      <w:r w:rsidRPr="00407271">
        <w:rPr>
          <w:rFonts w:eastAsia="Times New Roman" w:cs="Times New Roman"/>
          <w:rtl/>
          <w:lang w:eastAsia="de-DE"/>
        </w:rPr>
        <w:t xml:space="preserve"> </w:t>
      </w:r>
      <w:r w:rsidRPr="00407271">
        <w:rPr>
          <w:rFonts w:eastAsia="Times New Roman" w:cs="Times New Roman"/>
          <w:lang w:eastAsia="de-DE"/>
        </w:rPr>
        <w:t xml:space="preserve">(Präposition </w:t>
      </w:r>
      <w:r w:rsidRPr="00407271">
        <w:rPr>
          <w:rFonts w:eastAsia="Times New Roman" w:cs="Times New Roman"/>
          <w:b/>
          <w:bCs/>
          <w:rtl/>
          <w:lang w:eastAsia="de-DE"/>
        </w:rPr>
        <w:t>לְ</w:t>
      </w:r>
      <w:r w:rsidRPr="00407271">
        <w:rPr>
          <w:rFonts w:eastAsia="Times New Roman" w:cs="Times New Roman"/>
          <w:rtl/>
          <w:lang w:eastAsia="de-DE"/>
        </w:rPr>
        <w:t xml:space="preserve"> </w:t>
      </w:r>
      <w:r w:rsidRPr="00407271">
        <w:rPr>
          <w:rFonts w:eastAsia="Times New Roman" w:cs="Times New Roman"/>
          <w:lang w:eastAsia="de-DE"/>
        </w:rPr>
        <w:t xml:space="preserve">mit Suffix 3. Person feminin Singular „ihr", d.h. der Stadt), </w:t>
      </w:r>
      <w:r w:rsidRPr="00407271">
        <w:rPr>
          <w:rFonts w:eastAsia="Times New Roman" w:cs="Times New Roman"/>
          <w:b/>
          <w:bCs/>
          <w:rtl/>
          <w:lang w:eastAsia="de-DE"/>
        </w:rPr>
        <w:t>נֹבַח</w:t>
      </w:r>
      <w:r w:rsidRPr="00407271">
        <w:rPr>
          <w:rFonts w:eastAsia="Times New Roman" w:cs="Times New Roman"/>
          <w:rtl/>
          <w:lang w:eastAsia="de-DE"/>
        </w:rPr>
        <w:t xml:space="preserve"> </w:t>
      </w:r>
      <w:r w:rsidRPr="00407271">
        <w:rPr>
          <w:rFonts w:eastAsia="Times New Roman" w:cs="Times New Roman"/>
          <w:lang w:eastAsia="de-DE"/>
        </w:rPr>
        <w:t xml:space="preserve">(„Nobah"), </w:t>
      </w:r>
      <w:r w:rsidRPr="00407271">
        <w:rPr>
          <w:rFonts w:eastAsia="Times New Roman" w:cs="Times New Roman"/>
          <w:b/>
          <w:bCs/>
          <w:rtl/>
          <w:lang w:eastAsia="de-DE"/>
        </w:rPr>
        <w:t>בִּשְׁמוֹ</w:t>
      </w:r>
      <w:r w:rsidRPr="00407271">
        <w:rPr>
          <w:rFonts w:eastAsia="Times New Roman" w:cs="Times New Roman"/>
          <w:rtl/>
          <w:lang w:eastAsia="de-DE"/>
        </w:rPr>
        <w:t xml:space="preserve"> </w:t>
      </w:r>
      <w:r w:rsidRPr="00407271">
        <w:rPr>
          <w:rFonts w:eastAsia="Times New Roman" w:cs="Times New Roman"/>
          <w:lang w:eastAsia="de-DE"/>
        </w:rPr>
        <w:t xml:space="preserve">(Präposition </w:t>
      </w:r>
      <w:r w:rsidRPr="00407271">
        <w:rPr>
          <w:rFonts w:eastAsia="Times New Roman" w:cs="Times New Roman"/>
          <w:b/>
          <w:bCs/>
          <w:rtl/>
          <w:lang w:eastAsia="de-DE"/>
        </w:rPr>
        <w:t>בְ</w:t>
      </w:r>
      <w:r w:rsidRPr="00407271">
        <w:rPr>
          <w:rFonts w:eastAsia="Times New Roman" w:cs="Times New Roman"/>
          <w:rtl/>
          <w:lang w:eastAsia="de-DE"/>
        </w:rPr>
        <w:t xml:space="preserve"> </w:t>
      </w:r>
      <w:r w:rsidRPr="00407271">
        <w:rPr>
          <w:rFonts w:eastAsia="Times New Roman" w:cs="Times New Roman"/>
          <w:lang w:eastAsia="de-DE"/>
        </w:rPr>
        <w:t xml:space="preserve">mit </w:t>
      </w:r>
      <w:r w:rsidRPr="00407271">
        <w:rPr>
          <w:rFonts w:eastAsia="Times New Roman" w:cs="Times New Roman"/>
          <w:b/>
          <w:bCs/>
          <w:rtl/>
          <w:lang w:eastAsia="de-DE"/>
        </w:rPr>
        <w:t>שֵׁם</w:t>
      </w:r>
      <w:r w:rsidRPr="00407271">
        <w:rPr>
          <w:rFonts w:eastAsia="Times New Roman" w:cs="Times New Roman"/>
          <w:rtl/>
          <w:lang w:eastAsia="de-DE"/>
        </w:rPr>
        <w:t xml:space="preserve"> </w:t>
      </w:r>
      <w:r w:rsidRPr="00407271">
        <w:rPr>
          <w:rFonts w:eastAsia="Times New Roman" w:cs="Times New Roman"/>
          <w:lang w:eastAsia="de-DE"/>
        </w:rPr>
        <w:t>„Name" und Suffix 3. Person maskulin Singular „nach seinem Namen").</w:t>
      </w:r>
    </w:p>
    <w:p w14:paraId="26B49550" w14:textId="1C5FEC06"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b/>
          <w:bCs/>
          <w:lang w:eastAsia="de-DE"/>
        </w:rPr>
        <w:t>Die LXX</w:t>
      </w:r>
      <w:r w:rsidRPr="00407271">
        <w:rPr>
          <w:rFonts w:eastAsia="Times New Roman" w:cs="Times New Roman"/>
          <w:lang w:eastAsia="de-DE"/>
        </w:rPr>
        <w:t xml:space="preserve"> </w:t>
      </w:r>
      <w:r w:rsidR="00EF1857">
        <w:t>übersetzt „</w:t>
      </w:r>
      <w:r w:rsidR="00EF1857" w:rsidRPr="00EF1857">
        <w:rPr>
          <w:b/>
          <w:bCs/>
          <w:rtl/>
        </w:rPr>
        <w:t>נֹבַח</w:t>
      </w:r>
      <w:r w:rsidR="00EF1857">
        <w:t>" (Nobah) mit „Ναβώθ" (Naboth), eine Namensvariation, und „</w:t>
      </w:r>
      <w:r w:rsidR="00EF1857" w:rsidRPr="00EF1857">
        <w:rPr>
          <w:b/>
          <w:bCs/>
          <w:rtl/>
        </w:rPr>
        <w:t>קְנָת</w:t>
      </w:r>
      <w:r w:rsidR="00EF1857">
        <w:t>" (Kenat) wird zu „Κανάθ" (Kanath).</w:t>
      </w:r>
    </w:p>
    <w:p w14:paraId="78D0EB76"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Die Satzstruktur zeigt drei koordinierte Verben (ein Perfekt, zwei Wayyiqtol).</w:t>
      </w:r>
    </w:p>
    <w:p w14:paraId="01E60010" w14:textId="77777777" w:rsidR="00407271" w:rsidRPr="00407271" w:rsidRDefault="00407271" w:rsidP="00407271">
      <w:pPr>
        <w:spacing w:before="100" w:beforeAutospacing="1" w:after="100" w:afterAutospacing="1" w:line="240" w:lineRule="auto"/>
        <w:rPr>
          <w:rFonts w:eastAsia="Times New Roman" w:cs="Times New Roman"/>
          <w:lang w:eastAsia="de-DE"/>
        </w:rPr>
      </w:pPr>
      <w:r w:rsidRPr="00407271">
        <w:rPr>
          <w:rFonts w:eastAsia="Times New Roman" w:cs="Times New Roman"/>
          <w:lang w:eastAsia="de-DE"/>
        </w:rPr>
        <w:t>Der Vers schließt das Kapitel mit einem dritten Beispiel individueller Eroberung und Benennung ab: Nobah eroberte Kenat und benannte es nach sich selbst - ein Zeichen persönlichen Besitzanspruchs.</w:t>
      </w:r>
    </w:p>
    <w:p w14:paraId="58A6F251" w14:textId="49916294" w:rsidR="00C71054" w:rsidRDefault="00407271" w:rsidP="00C71054">
      <w:pPr>
        <w:spacing w:before="100" w:beforeAutospacing="1" w:after="100" w:afterAutospacing="1" w:line="240" w:lineRule="auto"/>
      </w:pPr>
      <w:r>
        <w:t>Kapitel 32 beschreibt wie Gad und Ruben um Ansiedlung im fruchtbaren Ostjordanland statt westlich des Jordan bitten (V. 1-5). Mose zürnt und wirft ihnen vor, wie die untreuen Kundschafter das Volk zu entmutigen (V. 6-15). Sie versprechen, bewaffnet vorauszuziehen bis ganz Israel angesiedelt ist (V. 16-19). Mose akzeptiert unter der Bedingung vollständiger Erfüllung, sonst verlieren sie alles (V. 20-30). Nach ihrer Zustimmung (V. 31-32) gibt Mose Gad, Ruben und halb Manasse die eroberten Königreiche Sichons und Ogs (V. 33). Die Stämme bauen ihre Städte (V. 34-38), manassitische Clans erobern weitere Gebiete in Gilead (V. 39-42).</w:t>
      </w:r>
    </w:p>
    <w:p w14:paraId="697F9A1C" w14:textId="3074F966" w:rsidR="00EF1857" w:rsidRDefault="00EF1857" w:rsidP="00C71054">
      <w:pPr>
        <w:spacing w:before="100" w:beforeAutospacing="1" w:after="100" w:afterAutospacing="1" w:line="240" w:lineRule="auto"/>
      </w:pPr>
      <w:r>
        <w:rPr>
          <w:rStyle w:val="Fett"/>
        </w:rPr>
        <w:t>Allgemeine Beobachtung:</w:t>
      </w:r>
      <w:r>
        <w:t xml:space="preserve"> Die LXX verwendet durchgängig „ἀποσκευή" (Gepäck/Hausrat) für „</w:t>
      </w:r>
      <w:r w:rsidRPr="00EF1857">
        <w:rPr>
          <w:b/>
          <w:bCs/>
          <w:rtl/>
        </w:rPr>
        <w:t>טַף</w:t>
      </w:r>
      <w:r>
        <w:t>" (Kinder/Familie), was die Bedeutung von Personen zu Besitz verschiebt. Die LXX fügt in Vers 30 eine erhebliche Klärung hinzu über das Überführen von Familien und Besitz, die im MT fehlt.</w:t>
      </w:r>
    </w:p>
    <w:p w14:paraId="6596493B" w14:textId="77777777" w:rsidR="00DF1E75" w:rsidRPr="00DF1E75" w:rsidRDefault="00DF1E75" w:rsidP="00DF1E75">
      <w:pPr>
        <w:spacing w:before="100" w:beforeAutospacing="1" w:after="100" w:afterAutospacing="1" w:line="240" w:lineRule="auto"/>
        <w:outlineLvl w:val="0"/>
        <w:rPr>
          <w:rFonts w:eastAsia="Times New Roman" w:cs="Times New Roman"/>
          <w:b/>
          <w:bCs/>
          <w:kern w:val="36"/>
          <w:sz w:val="48"/>
          <w:szCs w:val="48"/>
          <w:lang w:eastAsia="de-DE"/>
        </w:rPr>
      </w:pPr>
      <w:r w:rsidRPr="00DF1E75">
        <w:rPr>
          <w:rFonts w:eastAsia="Times New Roman" w:cs="Times New Roman"/>
          <w:b/>
          <w:bCs/>
          <w:kern w:val="36"/>
          <w:sz w:val="48"/>
          <w:szCs w:val="48"/>
          <w:lang w:eastAsia="de-DE"/>
        </w:rPr>
        <w:t>Numeri 33,1</w:t>
      </w:r>
    </w:p>
    <w:p w14:paraId="51843E70"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lang w:eastAsia="de-DE"/>
        </w:rPr>
        <w:t>Hebräisch:</w:t>
      </w:r>
      <w:r w:rsidRPr="00DF1E75">
        <w:rPr>
          <w:rFonts w:eastAsia="Times New Roman" w:cs="Times New Roman"/>
          <w:lang w:eastAsia="de-DE"/>
        </w:rPr>
        <w:t xml:space="preserve"> </w:t>
      </w:r>
      <w:r w:rsidRPr="00DF1E75">
        <w:rPr>
          <w:rFonts w:eastAsia="Times New Roman" w:cs="Times New Roman"/>
          <w:rtl/>
          <w:lang w:eastAsia="de-DE"/>
        </w:rPr>
        <w:t>אֵ֜לֶּה מַסְעֵ֣י בְנֵֽי־יִשְׂרָאֵ֗ל אֲשֶׁ֥ר יָצְא֛וּ מֵאֶ֥רֶץ מִצְרַ֖יִם לְצִבְאֹתָ֑ם בְּיַד־מֹשֶׁ֖ה וְאַהֲרֹֽן׃</w:t>
      </w:r>
    </w:p>
    <w:p w14:paraId="595C3F01"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lang w:eastAsia="de-DE"/>
        </w:rPr>
        <w:t>Deutsch:</w:t>
      </w:r>
      <w:r w:rsidRPr="00DF1E75">
        <w:rPr>
          <w:rFonts w:eastAsia="Times New Roman" w:cs="Times New Roman"/>
          <w:lang w:eastAsia="de-DE"/>
        </w:rPr>
        <w:t xml:space="preserve"> Dies sind die Züge der Söhne Jisra'el, die aus dem Land Mizrajim ausgezogen sind, nach ihren Heeren, unter der Hand Mosches und Aharons.</w:t>
      </w:r>
    </w:p>
    <w:p w14:paraId="42E9EDEB" w14:textId="77777777" w:rsidR="00DF1E75" w:rsidRPr="00DF1E75" w:rsidRDefault="00F329DD" w:rsidP="00DF1E75">
      <w:pPr>
        <w:spacing w:after="0" w:line="240" w:lineRule="auto"/>
        <w:rPr>
          <w:rFonts w:eastAsia="Times New Roman" w:cs="Times New Roman"/>
          <w:lang w:eastAsia="de-DE"/>
        </w:rPr>
      </w:pPr>
      <w:r>
        <w:rPr>
          <w:rFonts w:eastAsia="Times New Roman" w:cs="Times New Roman"/>
          <w:lang w:eastAsia="de-DE"/>
        </w:rPr>
        <w:pict w14:anchorId="5B997F8D">
          <v:rect id="_x0000_i2029" style="width:0;height:1.5pt" o:hralign="center" o:hrstd="t" o:hr="t" fillcolor="#a0a0a0" stroked="f"/>
        </w:pict>
      </w:r>
    </w:p>
    <w:p w14:paraId="23592112" w14:textId="6A7D8A5E"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lang w:eastAsia="de-DE"/>
        </w:rPr>
        <w:lastRenderedPageBreak/>
        <w:t>Kommentar:</w:t>
      </w:r>
      <w:r w:rsidRPr="00DF1E75">
        <w:rPr>
          <w:rFonts w:eastAsia="Times New Roman" w:cs="Times New Roman"/>
          <w:lang w:eastAsia="de-DE"/>
        </w:rPr>
        <w:t xml:space="preserve"> Der Vers ist die feierliche Überschrift über das ganze Kapitel. </w:t>
      </w:r>
      <w:r w:rsidRPr="00DF1E75">
        <w:rPr>
          <w:rFonts w:eastAsia="Times New Roman" w:cs="Times New Roman"/>
          <w:b/>
          <w:bCs/>
          <w:rtl/>
          <w:lang w:eastAsia="de-DE"/>
        </w:rPr>
        <w:t>אֵלֶּה מַסְעֵי בְנֵי־יִשְׂרָאֵל</w:t>
      </w:r>
      <w:r w:rsidRPr="00DF1E75">
        <w:rPr>
          <w:rFonts w:eastAsia="Times New Roman" w:cs="Times New Roman"/>
          <w:rtl/>
          <w:lang w:eastAsia="de-DE"/>
        </w:rPr>
        <w:t xml:space="preserve"> </w:t>
      </w:r>
      <w:r w:rsidRPr="00DF1E75">
        <w:rPr>
          <w:rFonts w:eastAsia="Times New Roman" w:cs="Times New Roman"/>
          <w:lang w:eastAsia="de-DE"/>
        </w:rPr>
        <w:t xml:space="preserve">ist die Hauptaussage. </w:t>
      </w:r>
      <w:r w:rsidRPr="00DF1E75">
        <w:rPr>
          <w:rFonts w:eastAsia="Times New Roman" w:cs="Times New Roman"/>
          <w:b/>
          <w:bCs/>
          <w:rtl/>
          <w:lang w:eastAsia="de-DE"/>
        </w:rPr>
        <w:t>אֵלֶּה</w:t>
      </w:r>
      <w:r w:rsidRPr="00DF1E75">
        <w:rPr>
          <w:rFonts w:eastAsia="Times New Roman" w:cs="Times New Roman"/>
          <w:rtl/>
          <w:lang w:eastAsia="de-DE"/>
        </w:rPr>
        <w:t xml:space="preserve"> </w:t>
      </w:r>
      <w:r w:rsidRPr="00DF1E75">
        <w:rPr>
          <w:rFonts w:eastAsia="Times New Roman" w:cs="Times New Roman"/>
          <w:lang w:eastAsia="de-DE"/>
        </w:rPr>
        <w:t xml:space="preserve">(Demonstrativpronomen Plural „dies, diese"), </w:t>
      </w:r>
      <w:r w:rsidRPr="00DF1E75">
        <w:rPr>
          <w:rFonts w:eastAsia="Times New Roman" w:cs="Times New Roman"/>
          <w:b/>
          <w:bCs/>
          <w:rtl/>
          <w:lang w:eastAsia="de-DE"/>
        </w:rPr>
        <w:t>מַסְעֵי</w:t>
      </w:r>
      <w:r w:rsidRPr="00DF1E75">
        <w:rPr>
          <w:rFonts w:eastAsia="Times New Roman" w:cs="Times New Roman"/>
          <w:rtl/>
          <w:lang w:eastAsia="de-DE"/>
        </w:rPr>
        <w:t xml:space="preserve"> </w:t>
      </w:r>
      <w:r w:rsidRPr="00DF1E75">
        <w:rPr>
          <w:rFonts w:eastAsia="Times New Roman" w:cs="Times New Roman"/>
          <w:lang w:eastAsia="de-DE"/>
        </w:rPr>
        <w:t xml:space="preserve">(Plural </w:t>
      </w:r>
      <w:r w:rsidR="00F133EC">
        <w:rPr>
          <w:rFonts w:eastAsia="Times New Roman" w:cs="Times New Roman"/>
          <w:lang w:eastAsia="de-DE"/>
        </w:rPr>
        <w:t>Constructus</w:t>
      </w:r>
      <w:r w:rsidRPr="00DF1E75">
        <w:rPr>
          <w:rFonts w:eastAsia="Times New Roman" w:cs="Times New Roman"/>
          <w:lang w:eastAsia="de-DE"/>
        </w:rPr>
        <w:t xml:space="preserve"> von </w:t>
      </w:r>
      <w:r w:rsidRPr="00DF1E75">
        <w:rPr>
          <w:rFonts w:eastAsia="Times New Roman" w:cs="Times New Roman"/>
          <w:b/>
          <w:bCs/>
          <w:rtl/>
          <w:lang w:eastAsia="de-DE"/>
        </w:rPr>
        <w:t>מַסַּע</w:t>
      </w:r>
      <w:r w:rsidRPr="00DF1E75">
        <w:rPr>
          <w:rFonts w:eastAsia="Times New Roman" w:cs="Times New Roman"/>
          <w:rtl/>
          <w:lang w:eastAsia="de-DE"/>
        </w:rPr>
        <w:t xml:space="preserve"> </w:t>
      </w:r>
      <w:r w:rsidRPr="00DF1E75">
        <w:rPr>
          <w:rFonts w:eastAsia="Times New Roman" w:cs="Times New Roman"/>
          <w:lang w:eastAsia="de-DE"/>
        </w:rPr>
        <w:t xml:space="preserve">„Zug, Aufbruch, Wanderung" - von </w:t>
      </w:r>
      <w:r w:rsidRPr="00DF1E75">
        <w:rPr>
          <w:rFonts w:eastAsia="Times New Roman" w:cs="Times New Roman"/>
          <w:b/>
          <w:bCs/>
          <w:rtl/>
          <w:lang w:eastAsia="de-DE"/>
        </w:rPr>
        <w:t>נסע</w:t>
      </w:r>
      <w:r w:rsidRPr="00DF1E75">
        <w:rPr>
          <w:rFonts w:eastAsia="Times New Roman" w:cs="Times New Roman"/>
          <w:rtl/>
          <w:lang w:eastAsia="de-DE"/>
        </w:rPr>
        <w:t xml:space="preserve"> </w:t>
      </w:r>
      <w:r w:rsidRPr="00DF1E75">
        <w:rPr>
          <w:rFonts w:eastAsia="Times New Roman" w:cs="Times New Roman"/>
          <w:lang w:eastAsia="de-DE"/>
        </w:rPr>
        <w:t xml:space="preserve">„aufbrechen"), </w:t>
      </w:r>
      <w:r w:rsidRPr="00DF1E75">
        <w:rPr>
          <w:rFonts w:eastAsia="Times New Roman" w:cs="Times New Roman"/>
          <w:b/>
          <w:bCs/>
          <w:rtl/>
          <w:lang w:eastAsia="de-DE"/>
        </w:rPr>
        <w:t>בְנֵי־יִשְׂרָאֵל</w:t>
      </w:r>
      <w:r w:rsidRPr="00DF1E75">
        <w:rPr>
          <w:rFonts w:eastAsia="Times New Roman" w:cs="Times New Roman"/>
          <w:rtl/>
          <w:lang w:eastAsia="de-DE"/>
        </w:rPr>
        <w:t xml:space="preserve"> </w:t>
      </w:r>
      <w:r w:rsidRPr="00DF1E75">
        <w:rPr>
          <w:rFonts w:eastAsia="Times New Roman" w:cs="Times New Roman"/>
          <w:lang w:eastAsia="de-DE"/>
        </w:rPr>
        <w:t xml:space="preserve">(Plural </w:t>
      </w:r>
      <w:r w:rsidR="00F133EC">
        <w:rPr>
          <w:rFonts w:eastAsia="Times New Roman" w:cs="Times New Roman"/>
          <w:lang w:eastAsia="de-DE"/>
        </w:rPr>
        <w:t>Constructus</w:t>
      </w:r>
      <w:r w:rsidRPr="00DF1E75">
        <w:rPr>
          <w:rFonts w:eastAsia="Times New Roman" w:cs="Times New Roman"/>
          <w:lang w:eastAsia="de-DE"/>
        </w:rPr>
        <w:t xml:space="preserve"> </w:t>
      </w:r>
      <w:r w:rsidRPr="00DF1E75">
        <w:rPr>
          <w:rFonts w:eastAsia="Times New Roman" w:cs="Times New Roman"/>
          <w:b/>
          <w:bCs/>
          <w:rtl/>
          <w:lang w:eastAsia="de-DE"/>
        </w:rPr>
        <w:t>בֵּן</w:t>
      </w:r>
      <w:r w:rsidRPr="00DF1E75">
        <w:rPr>
          <w:rFonts w:eastAsia="Times New Roman" w:cs="Times New Roman"/>
          <w:rtl/>
          <w:lang w:eastAsia="de-DE"/>
        </w:rPr>
        <w:t xml:space="preserve"> </w:t>
      </w:r>
      <w:r w:rsidRPr="00DF1E75">
        <w:rPr>
          <w:rFonts w:eastAsia="Times New Roman" w:cs="Times New Roman"/>
          <w:lang w:eastAsia="de-DE"/>
        </w:rPr>
        <w:t xml:space="preserve">mit </w:t>
      </w:r>
      <w:r w:rsidRPr="00DF1E75">
        <w:rPr>
          <w:rFonts w:eastAsia="Times New Roman" w:cs="Times New Roman"/>
          <w:b/>
          <w:bCs/>
          <w:rtl/>
          <w:lang w:eastAsia="de-DE"/>
        </w:rPr>
        <w:t>יִשְׂרָאֵל</w:t>
      </w:r>
      <w:r w:rsidRPr="00DF1E75">
        <w:rPr>
          <w:rFonts w:eastAsia="Times New Roman" w:cs="Times New Roman"/>
          <w:rtl/>
          <w:lang w:eastAsia="de-DE"/>
        </w:rPr>
        <w:t xml:space="preserve"> </w:t>
      </w:r>
      <w:r w:rsidRPr="00DF1E75">
        <w:rPr>
          <w:rFonts w:eastAsia="Times New Roman" w:cs="Times New Roman"/>
          <w:lang w:eastAsia="de-DE"/>
        </w:rPr>
        <w:t>„die Züge der Söhne Israels").</w:t>
      </w:r>
    </w:p>
    <w:p w14:paraId="2D567B11" w14:textId="3672B6DE"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rtl/>
          <w:lang w:eastAsia="de-DE"/>
        </w:rPr>
        <w:t>אֲשֶׁר יָצְאוּ מֵאֶרֶץ מִצְרַיִם לְצִבְאֹתָם</w:t>
      </w:r>
      <w:r w:rsidRPr="00DF1E75">
        <w:rPr>
          <w:rFonts w:eastAsia="Times New Roman" w:cs="Times New Roman"/>
          <w:rtl/>
          <w:lang w:eastAsia="de-DE"/>
        </w:rPr>
        <w:t xml:space="preserve"> </w:t>
      </w:r>
      <w:r w:rsidRPr="00DF1E75">
        <w:rPr>
          <w:rFonts w:eastAsia="Times New Roman" w:cs="Times New Roman"/>
          <w:lang w:eastAsia="de-DE"/>
        </w:rPr>
        <w:t xml:space="preserve">ist der Relativsatz mit Charakterisierung. </w:t>
      </w:r>
      <w:r w:rsidRPr="00DF1E75">
        <w:rPr>
          <w:rFonts w:eastAsia="Times New Roman" w:cs="Times New Roman"/>
          <w:b/>
          <w:bCs/>
          <w:rtl/>
          <w:lang w:eastAsia="de-DE"/>
        </w:rPr>
        <w:t>אֲשֶׁר יָצְאוּ</w:t>
      </w:r>
      <w:r w:rsidRPr="00DF1E75">
        <w:rPr>
          <w:rFonts w:eastAsia="Times New Roman" w:cs="Times New Roman"/>
          <w:rtl/>
          <w:lang w:eastAsia="de-DE"/>
        </w:rPr>
        <w:t xml:space="preserve"> </w:t>
      </w:r>
      <w:r w:rsidRPr="00DF1E75">
        <w:rPr>
          <w:rFonts w:eastAsia="Times New Roman" w:cs="Times New Roman"/>
          <w:lang w:eastAsia="de-DE"/>
        </w:rPr>
        <w:t xml:space="preserve">(Relativpartikel mit Qal Perfekt 3. Person Plural von </w:t>
      </w:r>
      <w:r w:rsidRPr="00DF1E75">
        <w:rPr>
          <w:rFonts w:eastAsia="Times New Roman" w:cs="Times New Roman"/>
          <w:b/>
          <w:bCs/>
          <w:rtl/>
          <w:lang w:eastAsia="de-DE"/>
        </w:rPr>
        <w:t>יצא</w:t>
      </w:r>
      <w:r w:rsidRPr="00DF1E75">
        <w:rPr>
          <w:rFonts w:eastAsia="Times New Roman" w:cs="Times New Roman"/>
          <w:rtl/>
          <w:lang w:eastAsia="de-DE"/>
        </w:rPr>
        <w:t xml:space="preserve"> </w:t>
      </w:r>
      <w:r w:rsidRPr="00DF1E75">
        <w:rPr>
          <w:rFonts w:eastAsia="Times New Roman" w:cs="Times New Roman"/>
          <w:lang w:eastAsia="de-DE"/>
        </w:rPr>
        <w:t xml:space="preserve">„hinausgehen, ausziehen" „die ausgezogen sind"), </w:t>
      </w:r>
      <w:r w:rsidRPr="00DF1E75">
        <w:rPr>
          <w:rFonts w:eastAsia="Times New Roman" w:cs="Times New Roman"/>
          <w:b/>
          <w:bCs/>
          <w:rtl/>
          <w:lang w:eastAsia="de-DE"/>
        </w:rPr>
        <w:t>מֵאֶרֶץ מִצְרַיִם</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מִן</w:t>
      </w:r>
      <w:r w:rsidRPr="00DF1E75">
        <w:rPr>
          <w:rFonts w:eastAsia="Times New Roman" w:cs="Times New Roman"/>
          <w:rtl/>
          <w:lang w:eastAsia="de-DE"/>
        </w:rPr>
        <w:t xml:space="preserve"> </w:t>
      </w:r>
      <w:r w:rsidRPr="00DF1E75">
        <w:rPr>
          <w:rFonts w:eastAsia="Times New Roman" w:cs="Times New Roman"/>
          <w:lang w:eastAsia="de-DE"/>
        </w:rPr>
        <w:t xml:space="preserve">„aus" mit </w:t>
      </w:r>
      <w:r w:rsidRPr="00DF1E75">
        <w:rPr>
          <w:rFonts w:eastAsia="Times New Roman" w:cs="Times New Roman"/>
          <w:b/>
          <w:bCs/>
          <w:rtl/>
          <w:lang w:eastAsia="de-DE"/>
        </w:rPr>
        <w:t>אֶרֶץ</w:t>
      </w:r>
      <w:r w:rsidRPr="00DF1E75">
        <w:rPr>
          <w:rFonts w:eastAsia="Times New Roman" w:cs="Times New Roman"/>
          <w:rtl/>
          <w:lang w:eastAsia="de-DE"/>
        </w:rPr>
        <w:t xml:space="preserve"> </w:t>
      </w:r>
      <w:r w:rsidRPr="00DF1E75">
        <w:rPr>
          <w:rFonts w:eastAsia="Times New Roman" w:cs="Times New Roman"/>
          <w:lang w:eastAsia="de-DE"/>
        </w:rPr>
        <w:t xml:space="preserve">„Land" im </w:t>
      </w:r>
      <w:r w:rsidR="00F133EC">
        <w:rPr>
          <w:rFonts w:eastAsia="Times New Roman" w:cs="Times New Roman"/>
          <w:lang w:eastAsia="de-DE"/>
        </w:rPr>
        <w:t>Constructus</w:t>
      </w:r>
      <w:r w:rsidRPr="00DF1E75">
        <w:rPr>
          <w:rFonts w:eastAsia="Times New Roman" w:cs="Times New Roman"/>
          <w:lang w:eastAsia="de-DE"/>
        </w:rPr>
        <w:t xml:space="preserve"> und </w:t>
      </w:r>
      <w:r w:rsidRPr="00DF1E75">
        <w:rPr>
          <w:rFonts w:eastAsia="Times New Roman" w:cs="Times New Roman"/>
          <w:b/>
          <w:bCs/>
          <w:rtl/>
          <w:lang w:eastAsia="de-DE"/>
        </w:rPr>
        <w:t>מִצְרַיִם</w:t>
      </w:r>
      <w:r w:rsidRPr="00DF1E75">
        <w:rPr>
          <w:rFonts w:eastAsia="Times New Roman" w:cs="Times New Roman"/>
          <w:rtl/>
          <w:lang w:eastAsia="de-DE"/>
        </w:rPr>
        <w:t xml:space="preserve"> </w:t>
      </w:r>
      <w:r w:rsidRPr="00DF1E75">
        <w:rPr>
          <w:rFonts w:eastAsia="Times New Roman" w:cs="Times New Roman"/>
          <w:lang w:eastAsia="de-DE"/>
        </w:rPr>
        <w:t xml:space="preserve">„Ägypten" „aus dem Land Ägypten"), </w:t>
      </w:r>
      <w:r w:rsidRPr="00DF1E75">
        <w:rPr>
          <w:rFonts w:eastAsia="Times New Roman" w:cs="Times New Roman"/>
          <w:b/>
          <w:bCs/>
          <w:rtl/>
          <w:lang w:eastAsia="de-DE"/>
        </w:rPr>
        <w:t>לְצִבְאֹתָם</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לְ</w:t>
      </w:r>
      <w:r w:rsidRPr="00DF1E75">
        <w:rPr>
          <w:rFonts w:eastAsia="Times New Roman" w:cs="Times New Roman"/>
          <w:rtl/>
          <w:lang w:eastAsia="de-DE"/>
        </w:rPr>
        <w:t xml:space="preserve"> </w:t>
      </w:r>
      <w:r w:rsidRPr="00DF1E75">
        <w:rPr>
          <w:rFonts w:eastAsia="Times New Roman" w:cs="Times New Roman"/>
          <w:lang w:eastAsia="de-DE"/>
        </w:rPr>
        <w:t xml:space="preserve">mit Plural </w:t>
      </w:r>
      <w:r w:rsidRPr="00DF1E75">
        <w:rPr>
          <w:rFonts w:eastAsia="Times New Roman" w:cs="Times New Roman"/>
          <w:b/>
          <w:bCs/>
          <w:rtl/>
          <w:lang w:eastAsia="de-DE"/>
        </w:rPr>
        <w:t>צָבָא</w:t>
      </w:r>
      <w:r w:rsidRPr="00DF1E75">
        <w:rPr>
          <w:rFonts w:eastAsia="Times New Roman" w:cs="Times New Roman"/>
          <w:rtl/>
          <w:lang w:eastAsia="de-DE"/>
        </w:rPr>
        <w:t xml:space="preserve"> </w:t>
      </w:r>
      <w:r w:rsidRPr="00DF1E75">
        <w:rPr>
          <w:rFonts w:eastAsia="Times New Roman" w:cs="Times New Roman"/>
          <w:lang w:eastAsia="de-DE"/>
        </w:rPr>
        <w:t>„Heer, Schar" und Suffix 3. Person Plural „nach ihren Heeren" - die militärische Organisation Israels).</w:t>
      </w:r>
    </w:p>
    <w:p w14:paraId="69BC189C" w14:textId="09960932"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rtl/>
          <w:lang w:eastAsia="de-DE"/>
        </w:rPr>
        <w:t>בְּיַד־מֹשֶׁה וְאַהֲרֹן</w:t>
      </w:r>
      <w:r w:rsidRPr="00DF1E75">
        <w:rPr>
          <w:rFonts w:eastAsia="Times New Roman" w:cs="Times New Roman"/>
          <w:rtl/>
          <w:lang w:eastAsia="de-DE"/>
        </w:rPr>
        <w:t xml:space="preserve"> </w:t>
      </w:r>
      <w:r w:rsidRPr="00DF1E75">
        <w:rPr>
          <w:rFonts w:eastAsia="Times New Roman" w:cs="Times New Roman"/>
          <w:lang w:eastAsia="de-DE"/>
        </w:rPr>
        <w:t xml:space="preserve">gibt die Führung an. </w:t>
      </w:r>
      <w:r w:rsidRPr="00DF1E75">
        <w:rPr>
          <w:rFonts w:eastAsia="Times New Roman" w:cs="Times New Roman"/>
          <w:b/>
          <w:bCs/>
          <w:rtl/>
          <w:lang w:eastAsia="de-DE"/>
        </w:rPr>
        <w:t>בְּיַד־מֹשֶׁה וְאַהֲרֹן</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בְ</w:t>
      </w:r>
      <w:r w:rsidRPr="00DF1E75">
        <w:rPr>
          <w:rFonts w:eastAsia="Times New Roman" w:cs="Times New Roman"/>
          <w:rtl/>
          <w:lang w:eastAsia="de-DE"/>
        </w:rPr>
        <w:t xml:space="preserve"> </w:t>
      </w:r>
      <w:r w:rsidRPr="00DF1E75">
        <w:rPr>
          <w:rFonts w:eastAsia="Times New Roman" w:cs="Times New Roman"/>
          <w:lang w:eastAsia="de-DE"/>
        </w:rPr>
        <w:t xml:space="preserve">mit </w:t>
      </w:r>
      <w:r w:rsidRPr="00DF1E75">
        <w:rPr>
          <w:rFonts w:eastAsia="Times New Roman" w:cs="Times New Roman"/>
          <w:b/>
          <w:bCs/>
          <w:rtl/>
          <w:lang w:eastAsia="de-DE"/>
        </w:rPr>
        <w:t>יָד</w:t>
      </w:r>
      <w:r w:rsidRPr="00DF1E75">
        <w:rPr>
          <w:rFonts w:eastAsia="Times New Roman" w:cs="Times New Roman"/>
          <w:rtl/>
          <w:lang w:eastAsia="de-DE"/>
        </w:rPr>
        <w:t xml:space="preserve"> </w:t>
      </w:r>
      <w:r w:rsidRPr="00DF1E75">
        <w:rPr>
          <w:rFonts w:eastAsia="Times New Roman" w:cs="Times New Roman"/>
          <w:lang w:eastAsia="de-DE"/>
        </w:rPr>
        <w:t xml:space="preserve">„Hand" im </w:t>
      </w:r>
      <w:r w:rsidR="00F133EC">
        <w:rPr>
          <w:rFonts w:eastAsia="Times New Roman" w:cs="Times New Roman"/>
          <w:lang w:eastAsia="de-DE"/>
        </w:rPr>
        <w:t>Constructus</w:t>
      </w:r>
      <w:r w:rsidRPr="00DF1E75">
        <w:rPr>
          <w:rFonts w:eastAsia="Times New Roman" w:cs="Times New Roman"/>
          <w:lang w:eastAsia="de-DE"/>
        </w:rPr>
        <w:t xml:space="preserve"> und </w:t>
      </w:r>
      <w:r w:rsidRPr="00DF1E75">
        <w:rPr>
          <w:rFonts w:eastAsia="Times New Roman" w:cs="Times New Roman"/>
          <w:b/>
          <w:bCs/>
          <w:rtl/>
          <w:lang w:eastAsia="de-DE"/>
        </w:rPr>
        <w:t>מֹשֶׁה</w:t>
      </w:r>
      <w:r w:rsidRPr="00DF1E75">
        <w:rPr>
          <w:rFonts w:eastAsia="Times New Roman" w:cs="Times New Roman"/>
          <w:rtl/>
          <w:lang w:eastAsia="de-DE"/>
        </w:rPr>
        <w:t xml:space="preserve"> </w:t>
      </w:r>
      <w:r w:rsidRPr="00DF1E75">
        <w:rPr>
          <w:rFonts w:eastAsia="Times New Roman" w:cs="Times New Roman"/>
          <w:lang w:eastAsia="de-DE"/>
        </w:rPr>
        <w:t xml:space="preserve">und Konjunktion mit </w:t>
      </w:r>
      <w:r w:rsidRPr="00DF1E75">
        <w:rPr>
          <w:rFonts w:eastAsia="Times New Roman" w:cs="Times New Roman"/>
          <w:b/>
          <w:bCs/>
          <w:rtl/>
          <w:lang w:eastAsia="de-DE"/>
        </w:rPr>
        <w:t>אַהֲרֹן</w:t>
      </w:r>
      <w:r w:rsidRPr="00DF1E75">
        <w:rPr>
          <w:rFonts w:eastAsia="Times New Roman" w:cs="Times New Roman"/>
          <w:rtl/>
          <w:lang w:eastAsia="de-DE"/>
        </w:rPr>
        <w:t xml:space="preserve"> </w:t>
      </w:r>
      <w:r w:rsidRPr="00DF1E75">
        <w:rPr>
          <w:rFonts w:eastAsia="Times New Roman" w:cs="Times New Roman"/>
          <w:lang w:eastAsia="de-DE"/>
        </w:rPr>
        <w:t xml:space="preserve">„unter der Hand Moses und Aarons" - </w:t>
      </w:r>
      <w:r w:rsidRPr="00DF1E75">
        <w:rPr>
          <w:rFonts w:eastAsia="Times New Roman" w:cs="Times New Roman"/>
          <w:b/>
          <w:bCs/>
          <w:rtl/>
          <w:lang w:eastAsia="de-DE"/>
        </w:rPr>
        <w:t>בְּיַד</w:t>
      </w:r>
      <w:r w:rsidRPr="00DF1E75">
        <w:rPr>
          <w:rFonts w:eastAsia="Times New Roman" w:cs="Times New Roman"/>
          <w:rtl/>
          <w:lang w:eastAsia="de-DE"/>
        </w:rPr>
        <w:t xml:space="preserve"> </w:t>
      </w:r>
      <w:r w:rsidRPr="00DF1E75">
        <w:rPr>
          <w:rFonts w:eastAsia="Times New Roman" w:cs="Times New Roman"/>
          <w:lang w:eastAsia="de-DE"/>
        </w:rPr>
        <w:t>bedeutet idiomatisch „unter der Führung, unter der Leitung von").</w:t>
      </w:r>
    </w:p>
    <w:p w14:paraId="700905EA"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lang w:eastAsia="de-DE"/>
        </w:rPr>
        <w:t>Die Satzstruktur zeigt eine Demonstrativüberschrift mit Relativsatz und zwei präpositionalen Ergänzungen (Art der Organisation und Führung).</w:t>
      </w:r>
    </w:p>
    <w:p w14:paraId="2534DBC5"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lang w:eastAsia="de-DE"/>
        </w:rPr>
        <w:t xml:space="preserve">Der Vers ist die feierliche Einleitung zu einem Reiseitinerar - </w:t>
      </w:r>
      <w:r w:rsidRPr="00DF1E75">
        <w:rPr>
          <w:rFonts w:eastAsia="Times New Roman" w:cs="Times New Roman"/>
          <w:b/>
          <w:bCs/>
          <w:rtl/>
          <w:lang w:eastAsia="de-DE"/>
        </w:rPr>
        <w:t>אֵלֶּה מַסְעֵי</w:t>
      </w:r>
      <w:r w:rsidRPr="00DF1E75">
        <w:rPr>
          <w:rFonts w:eastAsia="Times New Roman" w:cs="Times New Roman"/>
          <w:rtl/>
          <w:lang w:eastAsia="de-DE"/>
        </w:rPr>
        <w:t xml:space="preserve"> </w:t>
      </w:r>
      <w:r w:rsidRPr="00DF1E75">
        <w:rPr>
          <w:rFonts w:eastAsia="Times New Roman" w:cs="Times New Roman"/>
          <w:lang w:eastAsia="de-DE"/>
        </w:rPr>
        <w:t xml:space="preserve">(„dies sind die Züge") kündigt eine Liste an. Der Auszug </w:t>
      </w:r>
      <w:r w:rsidRPr="00DF1E75">
        <w:rPr>
          <w:rFonts w:eastAsia="Times New Roman" w:cs="Times New Roman"/>
          <w:b/>
          <w:bCs/>
          <w:rtl/>
          <w:lang w:eastAsia="de-DE"/>
        </w:rPr>
        <w:t>מֵאֶרֶץ מִצְרַיִם</w:t>
      </w:r>
      <w:r w:rsidRPr="00DF1E75">
        <w:rPr>
          <w:rFonts w:eastAsia="Times New Roman" w:cs="Times New Roman"/>
          <w:rtl/>
          <w:lang w:eastAsia="de-DE"/>
        </w:rPr>
        <w:t xml:space="preserve"> </w:t>
      </w:r>
      <w:r w:rsidRPr="00DF1E75">
        <w:rPr>
          <w:rFonts w:eastAsia="Times New Roman" w:cs="Times New Roman"/>
          <w:lang w:eastAsia="de-DE"/>
        </w:rPr>
        <w:t xml:space="preserve">wird als organisiertes Unternehmen dargestellt: </w:t>
      </w:r>
      <w:r w:rsidRPr="00DF1E75">
        <w:rPr>
          <w:rFonts w:eastAsia="Times New Roman" w:cs="Times New Roman"/>
          <w:b/>
          <w:bCs/>
          <w:rtl/>
          <w:lang w:eastAsia="de-DE"/>
        </w:rPr>
        <w:t>לְצִבְאֹתָם</w:t>
      </w:r>
      <w:r w:rsidRPr="00DF1E75">
        <w:rPr>
          <w:rFonts w:eastAsia="Times New Roman" w:cs="Times New Roman"/>
          <w:rtl/>
          <w:lang w:eastAsia="de-DE"/>
        </w:rPr>
        <w:t xml:space="preserve"> </w:t>
      </w:r>
      <w:r w:rsidRPr="00DF1E75">
        <w:rPr>
          <w:rFonts w:eastAsia="Times New Roman" w:cs="Times New Roman"/>
          <w:lang w:eastAsia="de-DE"/>
        </w:rPr>
        <w:t xml:space="preserve">(„nach ihren Heeren" - militärische Ordnung) und </w:t>
      </w:r>
      <w:r w:rsidRPr="00DF1E75">
        <w:rPr>
          <w:rFonts w:eastAsia="Times New Roman" w:cs="Times New Roman"/>
          <w:b/>
          <w:bCs/>
          <w:rtl/>
          <w:lang w:eastAsia="de-DE"/>
        </w:rPr>
        <w:t>בְּיַד־מֹשֶׁה וְאַהֲרֹן</w:t>
      </w:r>
      <w:r w:rsidRPr="00DF1E75">
        <w:rPr>
          <w:rFonts w:eastAsia="Times New Roman" w:cs="Times New Roman"/>
          <w:rtl/>
          <w:lang w:eastAsia="de-DE"/>
        </w:rPr>
        <w:t xml:space="preserve"> </w:t>
      </w:r>
      <w:r w:rsidRPr="00DF1E75">
        <w:rPr>
          <w:rFonts w:eastAsia="Times New Roman" w:cs="Times New Roman"/>
          <w:lang w:eastAsia="de-DE"/>
        </w:rPr>
        <w:t>(„unter der Führung von Mose und Aaron"). Dies ist kein chaotischer Exodus, sondern ein geordneter Marsch unter göttlicher und menschlicher Führung.</w:t>
      </w:r>
    </w:p>
    <w:p w14:paraId="77DFCE7C" w14:textId="77777777" w:rsidR="00DF1E75" w:rsidRPr="00DF1E75" w:rsidRDefault="00DF1E75" w:rsidP="00DF1E75">
      <w:pPr>
        <w:spacing w:before="100" w:beforeAutospacing="1" w:after="100" w:afterAutospacing="1" w:line="240" w:lineRule="auto"/>
        <w:outlineLvl w:val="0"/>
        <w:rPr>
          <w:rFonts w:eastAsia="Times New Roman" w:cs="Times New Roman"/>
          <w:b/>
          <w:bCs/>
          <w:kern w:val="36"/>
          <w:sz w:val="48"/>
          <w:szCs w:val="48"/>
          <w:lang w:eastAsia="de-DE"/>
        </w:rPr>
      </w:pPr>
      <w:r w:rsidRPr="00DF1E75">
        <w:rPr>
          <w:rFonts w:eastAsia="Times New Roman" w:cs="Times New Roman"/>
          <w:b/>
          <w:bCs/>
          <w:kern w:val="36"/>
          <w:sz w:val="48"/>
          <w:szCs w:val="48"/>
          <w:lang w:eastAsia="de-DE"/>
        </w:rPr>
        <w:t>Numeri 33,2</w:t>
      </w:r>
    </w:p>
    <w:p w14:paraId="6001548B"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lang w:eastAsia="de-DE"/>
        </w:rPr>
        <w:t>Hebräisch:</w:t>
      </w:r>
      <w:r w:rsidRPr="00DF1E75">
        <w:rPr>
          <w:rFonts w:eastAsia="Times New Roman" w:cs="Times New Roman"/>
          <w:lang w:eastAsia="de-DE"/>
        </w:rPr>
        <w:t xml:space="preserve"> </w:t>
      </w:r>
      <w:r w:rsidRPr="00DF1E75">
        <w:rPr>
          <w:rFonts w:eastAsia="Times New Roman" w:cs="Times New Roman"/>
          <w:rtl/>
          <w:lang w:eastAsia="de-DE"/>
        </w:rPr>
        <w:t>וַיִּכְתֹּ֨ב מֹשֶׁ֜ה אֶת־מוֹצָאֵיהֶ֛ם לְמַסְעֵיהֶ֖ם עַל־פִּ֣י יְהוָ֑ה וְאֵ֥לֶּה מַסְעֵיהֶ֖ם לְמוֹצָאֵיהֶֽם׃</w:t>
      </w:r>
    </w:p>
    <w:p w14:paraId="2E154F1C"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lang w:eastAsia="de-DE"/>
        </w:rPr>
        <w:t>Deutsch:</w:t>
      </w:r>
      <w:r w:rsidRPr="00DF1E75">
        <w:rPr>
          <w:rFonts w:eastAsia="Times New Roman" w:cs="Times New Roman"/>
          <w:lang w:eastAsia="de-DE"/>
        </w:rPr>
        <w:t xml:space="preserve"> Und Mosche schrieb ihre Auszüge auf, nach ihren Zügen, nach dem Mund des Ewigen; und dies sind ihre Züge, nach ihren Auszügen.</w:t>
      </w:r>
    </w:p>
    <w:p w14:paraId="0288AD42" w14:textId="77777777" w:rsidR="00DF1E75" w:rsidRPr="00DF1E75" w:rsidRDefault="00F329DD" w:rsidP="00DF1E75">
      <w:pPr>
        <w:spacing w:after="0" w:line="240" w:lineRule="auto"/>
        <w:rPr>
          <w:rFonts w:eastAsia="Times New Roman" w:cs="Times New Roman"/>
          <w:lang w:eastAsia="de-DE"/>
        </w:rPr>
      </w:pPr>
      <w:r>
        <w:rPr>
          <w:rFonts w:eastAsia="Times New Roman" w:cs="Times New Roman"/>
          <w:lang w:eastAsia="de-DE"/>
        </w:rPr>
        <w:pict w14:anchorId="2ABF32F8">
          <v:rect id="_x0000_i2030" style="width:0;height:1.5pt" o:hralign="center" o:hrstd="t" o:hr="t" fillcolor="#a0a0a0" stroked="f"/>
        </w:pict>
      </w:r>
    </w:p>
    <w:p w14:paraId="506B6669" w14:textId="72E8869C"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lang w:eastAsia="de-DE"/>
        </w:rPr>
        <w:t>Kommentar:</w:t>
      </w:r>
      <w:r w:rsidRPr="00DF1E75">
        <w:rPr>
          <w:rFonts w:eastAsia="Times New Roman" w:cs="Times New Roman"/>
          <w:lang w:eastAsia="de-DE"/>
        </w:rPr>
        <w:t xml:space="preserve"> Der Vers betont die schriftliche Fixierung des Itinerars. </w:t>
      </w:r>
      <w:r w:rsidRPr="00DF1E75">
        <w:rPr>
          <w:rFonts w:eastAsia="Times New Roman" w:cs="Times New Roman"/>
          <w:b/>
          <w:bCs/>
          <w:rtl/>
          <w:lang w:eastAsia="de-DE"/>
        </w:rPr>
        <w:t>וַיִּכְתֹּב מֹשֶׁה אֶת־מוֹצָאֵיהֶם לְמַסְעֵיהֶם עַל־פִּי יהוה</w:t>
      </w:r>
      <w:r w:rsidRPr="00DF1E75">
        <w:rPr>
          <w:rFonts w:eastAsia="Times New Roman" w:cs="Times New Roman"/>
          <w:rtl/>
          <w:lang w:eastAsia="de-DE"/>
        </w:rPr>
        <w:t xml:space="preserve"> </w:t>
      </w:r>
      <w:r w:rsidRPr="00DF1E75">
        <w:rPr>
          <w:rFonts w:eastAsia="Times New Roman" w:cs="Times New Roman"/>
          <w:lang w:eastAsia="de-DE"/>
        </w:rPr>
        <w:t xml:space="preserve">ist die Hauptaussage. </w:t>
      </w:r>
      <w:r w:rsidRPr="00DF1E75">
        <w:rPr>
          <w:rFonts w:eastAsia="Times New Roman" w:cs="Times New Roman"/>
          <w:b/>
          <w:bCs/>
          <w:rtl/>
          <w:lang w:eastAsia="de-DE"/>
        </w:rPr>
        <w:t>וַיִּכְתֹּב מֹשֶׁה</w:t>
      </w:r>
      <w:r w:rsidRPr="00DF1E75">
        <w:rPr>
          <w:rFonts w:eastAsia="Times New Roman" w:cs="Times New Roman"/>
          <w:rtl/>
          <w:lang w:eastAsia="de-DE"/>
        </w:rPr>
        <w:t xml:space="preserve"> </w:t>
      </w:r>
      <w:r w:rsidRPr="00DF1E75">
        <w:rPr>
          <w:rFonts w:eastAsia="Times New Roman" w:cs="Times New Roman"/>
          <w:lang w:eastAsia="de-DE"/>
        </w:rPr>
        <w:t xml:space="preserve">(Qal Wayyiqtol 3. Person maskulin Singular von </w:t>
      </w:r>
      <w:r w:rsidRPr="00DF1E75">
        <w:rPr>
          <w:rFonts w:eastAsia="Times New Roman" w:cs="Times New Roman"/>
          <w:b/>
          <w:bCs/>
          <w:rtl/>
          <w:lang w:eastAsia="de-DE"/>
        </w:rPr>
        <w:t>כתב</w:t>
      </w:r>
      <w:r w:rsidRPr="00DF1E75">
        <w:rPr>
          <w:rFonts w:eastAsia="Times New Roman" w:cs="Times New Roman"/>
          <w:rtl/>
          <w:lang w:eastAsia="de-DE"/>
        </w:rPr>
        <w:t xml:space="preserve"> </w:t>
      </w:r>
      <w:r w:rsidRPr="00DF1E75">
        <w:rPr>
          <w:rFonts w:eastAsia="Times New Roman" w:cs="Times New Roman"/>
          <w:lang w:eastAsia="de-DE"/>
        </w:rPr>
        <w:t xml:space="preserve">„schreiben" mit </w:t>
      </w:r>
      <w:r w:rsidRPr="00DF1E75">
        <w:rPr>
          <w:rFonts w:eastAsia="Times New Roman" w:cs="Times New Roman"/>
          <w:b/>
          <w:bCs/>
          <w:rtl/>
          <w:lang w:eastAsia="de-DE"/>
        </w:rPr>
        <w:t>מֹשֶׁה</w:t>
      </w:r>
      <w:r w:rsidRPr="00DF1E75">
        <w:rPr>
          <w:rFonts w:eastAsia="Times New Roman" w:cs="Times New Roman"/>
          <w:rtl/>
          <w:lang w:eastAsia="de-DE"/>
        </w:rPr>
        <w:t xml:space="preserve"> </w:t>
      </w:r>
      <w:r w:rsidRPr="00DF1E75">
        <w:rPr>
          <w:rFonts w:eastAsia="Times New Roman" w:cs="Times New Roman"/>
          <w:lang w:eastAsia="de-DE"/>
        </w:rPr>
        <w:t xml:space="preserve">als Subjekt „und Mose schrieb auf"), </w:t>
      </w:r>
      <w:r w:rsidRPr="00DF1E75">
        <w:rPr>
          <w:rFonts w:eastAsia="Times New Roman" w:cs="Times New Roman"/>
          <w:b/>
          <w:bCs/>
          <w:rtl/>
          <w:lang w:eastAsia="de-DE"/>
        </w:rPr>
        <w:t>אֶת־מוֹצָאֵיהֶם</w:t>
      </w:r>
      <w:r w:rsidRPr="00DF1E75">
        <w:rPr>
          <w:rFonts w:eastAsia="Times New Roman" w:cs="Times New Roman"/>
          <w:rtl/>
          <w:lang w:eastAsia="de-DE"/>
        </w:rPr>
        <w:t xml:space="preserve"> </w:t>
      </w:r>
      <w:r w:rsidRPr="00DF1E75">
        <w:rPr>
          <w:rFonts w:eastAsia="Times New Roman" w:cs="Times New Roman"/>
          <w:lang w:eastAsia="de-DE"/>
        </w:rPr>
        <w:t xml:space="preserve">(Akkusativpartikel mit Plural </w:t>
      </w:r>
      <w:r w:rsidRPr="00DF1E75">
        <w:rPr>
          <w:rFonts w:eastAsia="Times New Roman" w:cs="Times New Roman"/>
          <w:b/>
          <w:bCs/>
          <w:rtl/>
          <w:lang w:eastAsia="de-DE"/>
        </w:rPr>
        <w:t>מוֹצָא</w:t>
      </w:r>
      <w:r w:rsidRPr="00DF1E75">
        <w:rPr>
          <w:rFonts w:eastAsia="Times New Roman" w:cs="Times New Roman"/>
          <w:rtl/>
          <w:lang w:eastAsia="de-DE"/>
        </w:rPr>
        <w:t xml:space="preserve"> </w:t>
      </w:r>
      <w:r w:rsidRPr="00DF1E75">
        <w:rPr>
          <w:rFonts w:eastAsia="Times New Roman" w:cs="Times New Roman"/>
          <w:lang w:eastAsia="de-DE"/>
        </w:rPr>
        <w:t xml:space="preserve">„Ausgang, Auszug, Aufbruch" - von </w:t>
      </w:r>
      <w:r w:rsidRPr="00DF1E75">
        <w:rPr>
          <w:rFonts w:eastAsia="Times New Roman" w:cs="Times New Roman"/>
          <w:b/>
          <w:bCs/>
          <w:rtl/>
          <w:lang w:eastAsia="de-DE"/>
        </w:rPr>
        <w:t>יצא</w:t>
      </w:r>
      <w:r w:rsidRPr="00DF1E75">
        <w:rPr>
          <w:rFonts w:eastAsia="Times New Roman" w:cs="Times New Roman"/>
          <w:rtl/>
          <w:lang w:eastAsia="de-DE"/>
        </w:rPr>
        <w:t xml:space="preserve"> </w:t>
      </w:r>
      <w:r w:rsidRPr="00DF1E75">
        <w:rPr>
          <w:rFonts w:eastAsia="Times New Roman" w:cs="Times New Roman"/>
          <w:lang w:eastAsia="de-DE"/>
        </w:rPr>
        <w:t xml:space="preserve">- und Suffix 3. Person Plural „ihre Auszüge"), </w:t>
      </w:r>
      <w:r w:rsidRPr="00DF1E75">
        <w:rPr>
          <w:rFonts w:eastAsia="Times New Roman" w:cs="Times New Roman"/>
          <w:b/>
          <w:bCs/>
          <w:rtl/>
          <w:lang w:eastAsia="de-DE"/>
        </w:rPr>
        <w:t>לְמַסְעֵיהֶם</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לְ</w:t>
      </w:r>
      <w:r w:rsidRPr="00DF1E75">
        <w:rPr>
          <w:rFonts w:eastAsia="Times New Roman" w:cs="Times New Roman"/>
          <w:rtl/>
          <w:lang w:eastAsia="de-DE"/>
        </w:rPr>
        <w:t xml:space="preserve"> </w:t>
      </w:r>
      <w:r w:rsidRPr="00DF1E75">
        <w:rPr>
          <w:rFonts w:eastAsia="Times New Roman" w:cs="Times New Roman"/>
          <w:lang w:eastAsia="de-DE"/>
        </w:rPr>
        <w:t xml:space="preserve">mit Plural </w:t>
      </w:r>
      <w:r w:rsidRPr="00DF1E75">
        <w:rPr>
          <w:rFonts w:eastAsia="Times New Roman" w:cs="Times New Roman"/>
          <w:b/>
          <w:bCs/>
          <w:rtl/>
          <w:lang w:eastAsia="de-DE"/>
        </w:rPr>
        <w:t>מַסַּע</w:t>
      </w:r>
      <w:r w:rsidRPr="00DF1E75">
        <w:rPr>
          <w:rFonts w:eastAsia="Times New Roman" w:cs="Times New Roman"/>
          <w:rtl/>
          <w:lang w:eastAsia="de-DE"/>
        </w:rPr>
        <w:t xml:space="preserve"> </w:t>
      </w:r>
      <w:r w:rsidRPr="00DF1E75">
        <w:rPr>
          <w:rFonts w:eastAsia="Times New Roman" w:cs="Times New Roman"/>
          <w:lang w:eastAsia="de-DE"/>
        </w:rPr>
        <w:t xml:space="preserve">und Suffix „nach ihren Zügen, entsprechend ihren Zügen"), </w:t>
      </w:r>
      <w:r w:rsidRPr="00DF1E75">
        <w:rPr>
          <w:rFonts w:eastAsia="Times New Roman" w:cs="Times New Roman"/>
          <w:b/>
          <w:bCs/>
          <w:rtl/>
          <w:lang w:eastAsia="de-DE"/>
        </w:rPr>
        <w:t>עַל־פִּי יהוה</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עַל</w:t>
      </w:r>
      <w:r w:rsidRPr="00DF1E75">
        <w:rPr>
          <w:rFonts w:eastAsia="Times New Roman" w:cs="Times New Roman"/>
          <w:rtl/>
          <w:lang w:eastAsia="de-DE"/>
        </w:rPr>
        <w:t xml:space="preserve"> </w:t>
      </w:r>
      <w:r w:rsidRPr="00DF1E75">
        <w:rPr>
          <w:rFonts w:eastAsia="Times New Roman" w:cs="Times New Roman"/>
          <w:lang w:eastAsia="de-DE"/>
        </w:rPr>
        <w:t xml:space="preserve">mit </w:t>
      </w:r>
      <w:r w:rsidRPr="00DF1E75">
        <w:rPr>
          <w:rFonts w:eastAsia="Times New Roman" w:cs="Times New Roman"/>
          <w:b/>
          <w:bCs/>
          <w:rtl/>
          <w:lang w:eastAsia="de-DE"/>
        </w:rPr>
        <w:t>פֶּה</w:t>
      </w:r>
      <w:r w:rsidRPr="00DF1E75">
        <w:rPr>
          <w:rFonts w:eastAsia="Times New Roman" w:cs="Times New Roman"/>
          <w:rtl/>
          <w:lang w:eastAsia="de-DE"/>
        </w:rPr>
        <w:t xml:space="preserve"> </w:t>
      </w:r>
      <w:r w:rsidRPr="00DF1E75">
        <w:rPr>
          <w:rFonts w:eastAsia="Times New Roman" w:cs="Times New Roman"/>
          <w:lang w:eastAsia="de-DE"/>
        </w:rPr>
        <w:t xml:space="preserve">„Mund" im </w:t>
      </w:r>
      <w:r w:rsidR="00F133EC">
        <w:rPr>
          <w:rFonts w:eastAsia="Times New Roman" w:cs="Times New Roman"/>
          <w:lang w:eastAsia="de-DE"/>
        </w:rPr>
        <w:t>Constructus</w:t>
      </w:r>
      <w:r w:rsidRPr="00DF1E75">
        <w:rPr>
          <w:rFonts w:eastAsia="Times New Roman" w:cs="Times New Roman"/>
          <w:lang w:eastAsia="de-DE"/>
        </w:rPr>
        <w:t xml:space="preserve"> und Tetragramm „nach dem Mund des Ewigen" - göttlicher Befehl).</w:t>
      </w:r>
    </w:p>
    <w:p w14:paraId="4344B525"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rtl/>
          <w:lang w:eastAsia="de-DE"/>
        </w:rPr>
        <w:t>וְאֵלֶּה מַסְעֵיהֶם לְמוֹצָאֵיהֶם</w:t>
      </w:r>
      <w:r w:rsidRPr="00DF1E75">
        <w:rPr>
          <w:rFonts w:eastAsia="Times New Roman" w:cs="Times New Roman"/>
          <w:rtl/>
          <w:lang w:eastAsia="de-DE"/>
        </w:rPr>
        <w:t xml:space="preserve"> </w:t>
      </w:r>
      <w:r w:rsidRPr="00DF1E75">
        <w:rPr>
          <w:rFonts w:eastAsia="Times New Roman" w:cs="Times New Roman"/>
          <w:lang w:eastAsia="de-DE"/>
        </w:rPr>
        <w:t xml:space="preserve">ist die wiederholende Überschrift. </w:t>
      </w:r>
      <w:r w:rsidRPr="00DF1E75">
        <w:rPr>
          <w:rFonts w:eastAsia="Times New Roman" w:cs="Times New Roman"/>
          <w:b/>
          <w:bCs/>
          <w:rtl/>
          <w:lang w:eastAsia="de-DE"/>
        </w:rPr>
        <w:t>וְאֵלֶּה מַסְעֵיהֶם</w:t>
      </w:r>
      <w:r w:rsidRPr="00DF1E75">
        <w:rPr>
          <w:rFonts w:eastAsia="Times New Roman" w:cs="Times New Roman"/>
          <w:rtl/>
          <w:lang w:eastAsia="de-DE"/>
        </w:rPr>
        <w:t xml:space="preserve"> </w:t>
      </w:r>
      <w:r w:rsidRPr="00DF1E75">
        <w:rPr>
          <w:rFonts w:eastAsia="Times New Roman" w:cs="Times New Roman"/>
          <w:lang w:eastAsia="de-DE"/>
        </w:rPr>
        <w:t xml:space="preserve">(Konjunktion mit Demonstrativpronomen Plural und Plural </w:t>
      </w:r>
      <w:r w:rsidRPr="00DF1E75">
        <w:rPr>
          <w:rFonts w:eastAsia="Times New Roman" w:cs="Times New Roman"/>
          <w:b/>
          <w:bCs/>
          <w:rtl/>
          <w:lang w:eastAsia="de-DE"/>
        </w:rPr>
        <w:t>מַסַּע</w:t>
      </w:r>
      <w:r w:rsidRPr="00DF1E75">
        <w:rPr>
          <w:rFonts w:eastAsia="Times New Roman" w:cs="Times New Roman"/>
          <w:rtl/>
          <w:lang w:eastAsia="de-DE"/>
        </w:rPr>
        <w:t xml:space="preserve"> </w:t>
      </w:r>
      <w:r w:rsidRPr="00DF1E75">
        <w:rPr>
          <w:rFonts w:eastAsia="Times New Roman" w:cs="Times New Roman"/>
          <w:lang w:eastAsia="de-DE"/>
        </w:rPr>
        <w:t xml:space="preserve">mit Suffix „und dies sind ihre Züge"), </w:t>
      </w:r>
      <w:r w:rsidRPr="00DF1E75">
        <w:rPr>
          <w:rFonts w:eastAsia="Times New Roman" w:cs="Times New Roman"/>
          <w:b/>
          <w:bCs/>
          <w:rtl/>
          <w:lang w:eastAsia="de-DE"/>
        </w:rPr>
        <w:t>לְמוֹצָאֵיהֶם</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לְ</w:t>
      </w:r>
      <w:r w:rsidRPr="00DF1E75">
        <w:rPr>
          <w:rFonts w:eastAsia="Times New Roman" w:cs="Times New Roman"/>
          <w:rtl/>
          <w:lang w:eastAsia="de-DE"/>
        </w:rPr>
        <w:t xml:space="preserve"> </w:t>
      </w:r>
      <w:r w:rsidRPr="00DF1E75">
        <w:rPr>
          <w:rFonts w:eastAsia="Times New Roman" w:cs="Times New Roman"/>
          <w:lang w:eastAsia="de-DE"/>
        </w:rPr>
        <w:t xml:space="preserve">mit Plural </w:t>
      </w:r>
      <w:r w:rsidRPr="00DF1E75">
        <w:rPr>
          <w:rFonts w:eastAsia="Times New Roman" w:cs="Times New Roman"/>
          <w:b/>
          <w:bCs/>
          <w:rtl/>
          <w:lang w:eastAsia="de-DE"/>
        </w:rPr>
        <w:t>מוֹצָא</w:t>
      </w:r>
      <w:r w:rsidRPr="00DF1E75">
        <w:rPr>
          <w:rFonts w:eastAsia="Times New Roman" w:cs="Times New Roman"/>
          <w:rtl/>
          <w:lang w:eastAsia="de-DE"/>
        </w:rPr>
        <w:t xml:space="preserve"> </w:t>
      </w:r>
      <w:r w:rsidRPr="00DF1E75">
        <w:rPr>
          <w:rFonts w:eastAsia="Times New Roman" w:cs="Times New Roman"/>
          <w:lang w:eastAsia="de-DE"/>
        </w:rPr>
        <w:t xml:space="preserve">und Suffix „nach ihren Auszügen"). Der Chiasmus ist bemerkenswert: erst </w:t>
      </w:r>
      <w:r w:rsidRPr="00DF1E75">
        <w:rPr>
          <w:rFonts w:eastAsia="Times New Roman" w:cs="Times New Roman"/>
          <w:b/>
          <w:bCs/>
          <w:rtl/>
          <w:lang w:eastAsia="de-DE"/>
        </w:rPr>
        <w:t>מוֹצָאֵיהֶם לְמַסְעֵיהֶם</w:t>
      </w:r>
      <w:r w:rsidRPr="00DF1E75">
        <w:rPr>
          <w:rFonts w:eastAsia="Times New Roman" w:cs="Times New Roman"/>
          <w:rtl/>
          <w:lang w:eastAsia="de-DE"/>
        </w:rPr>
        <w:t xml:space="preserve"> </w:t>
      </w:r>
      <w:r w:rsidRPr="00DF1E75">
        <w:rPr>
          <w:rFonts w:eastAsia="Times New Roman" w:cs="Times New Roman"/>
          <w:lang w:eastAsia="de-DE"/>
        </w:rPr>
        <w:t xml:space="preserve">(„Auszüge nach Zügen"), dann umgekehrt </w:t>
      </w:r>
      <w:r w:rsidRPr="00DF1E75">
        <w:rPr>
          <w:rFonts w:eastAsia="Times New Roman" w:cs="Times New Roman"/>
          <w:b/>
          <w:bCs/>
          <w:rtl/>
          <w:lang w:eastAsia="de-DE"/>
        </w:rPr>
        <w:t>מַסְעֵיהֶם לְמוֹצָאֵיהֶם</w:t>
      </w:r>
      <w:r w:rsidRPr="00DF1E75">
        <w:rPr>
          <w:rFonts w:eastAsia="Times New Roman" w:cs="Times New Roman"/>
          <w:rtl/>
          <w:lang w:eastAsia="de-DE"/>
        </w:rPr>
        <w:t xml:space="preserve"> </w:t>
      </w:r>
      <w:r w:rsidRPr="00DF1E75">
        <w:rPr>
          <w:rFonts w:eastAsia="Times New Roman" w:cs="Times New Roman"/>
          <w:lang w:eastAsia="de-DE"/>
        </w:rPr>
        <w:t>(„Züge nach Auszügen").</w:t>
      </w:r>
    </w:p>
    <w:p w14:paraId="3DE6259B"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lang w:eastAsia="de-DE"/>
        </w:rPr>
        <w:lastRenderedPageBreak/>
        <w:t>Die Satzstruktur zeigt eine narrative Aussage über Moses Schreibakt (mit göttlicher Autorität) und eine demonstrative Wiederaufnahme der Überschrift mit chiastischer Umkehrung der Begriffe.</w:t>
      </w:r>
    </w:p>
    <w:p w14:paraId="413D8AFE" w14:textId="0FE7CD0A" w:rsid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lang w:eastAsia="de-DE"/>
        </w:rPr>
        <w:t xml:space="preserve">Der Vers legitimiert die folgende Liste doppelt: (1) </w:t>
      </w:r>
      <w:r w:rsidRPr="00DF1E75">
        <w:rPr>
          <w:rFonts w:eastAsia="Times New Roman" w:cs="Times New Roman"/>
          <w:b/>
          <w:bCs/>
          <w:rtl/>
          <w:lang w:eastAsia="de-DE"/>
        </w:rPr>
        <w:t>וַיִּכְתֹּב מֹשֶׁה</w:t>
      </w:r>
      <w:r w:rsidRPr="00DF1E75">
        <w:rPr>
          <w:rFonts w:eastAsia="Times New Roman" w:cs="Times New Roman"/>
          <w:rtl/>
          <w:lang w:eastAsia="de-DE"/>
        </w:rPr>
        <w:t xml:space="preserve"> </w:t>
      </w:r>
      <w:r w:rsidRPr="00DF1E75">
        <w:rPr>
          <w:rFonts w:eastAsia="Times New Roman" w:cs="Times New Roman"/>
          <w:lang w:eastAsia="de-DE"/>
        </w:rPr>
        <w:t xml:space="preserve">- Mose selbst hat sie aufgeschrieben (Augenzeugenschaft), (2) </w:t>
      </w:r>
      <w:r w:rsidRPr="00DF1E75">
        <w:rPr>
          <w:rFonts w:eastAsia="Times New Roman" w:cs="Times New Roman"/>
          <w:b/>
          <w:bCs/>
          <w:rtl/>
          <w:lang w:eastAsia="de-DE"/>
        </w:rPr>
        <w:t>עַל־פִּי יהוה</w:t>
      </w:r>
      <w:r w:rsidRPr="00DF1E75">
        <w:rPr>
          <w:rFonts w:eastAsia="Times New Roman" w:cs="Times New Roman"/>
          <w:rtl/>
          <w:lang w:eastAsia="de-DE"/>
        </w:rPr>
        <w:t xml:space="preserve"> </w:t>
      </w:r>
      <w:r w:rsidRPr="00DF1E75">
        <w:rPr>
          <w:rFonts w:eastAsia="Times New Roman" w:cs="Times New Roman"/>
          <w:lang w:eastAsia="de-DE"/>
        </w:rPr>
        <w:t xml:space="preserve">- auf göttlichen Befehl. Dies ist keine nachträgliche Rekonstruktion, sondern zeitgenössische, autorisierte Dokumentation. Der Chiasmus </w:t>
      </w:r>
      <w:r w:rsidRPr="00DF1E75">
        <w:rPr>
          <w:rFonts w:eastAsia="Times New Roman" w:cs="Times New Roman"/>
          <w:b/>
          <w:bCs/>
          <w:rtl/>
          <w:lang w:eastAsia="de-DE"/>
        </w:rPr>
        <w:t>מוֹצָאֵיהֶם לְמַסְעֵיהֶם</w:t>
      </w:r>
      <w:r w:rsidRPr="00DF1E75">
        <w:rPr>
          <w:rFonts w:eastAsia="Times New Roman" w:cs="Times New Roman"/>
          <w:rtl/>
          <w:lang w:eastAsia="de-DE"/>
        </w:rPr>
        <w:t xml:space="preserve"> </w:t>
      </w:r>
      <w:r w:rsidRPr="00DF1E75">
        <w:rPr>
          <w:rFonts w:eastAsia="Times New Roman" w:cs="Times New Roman"/>
          <w:lang w:eastAsia="de-DE"/>
        </w:rPr>
        <w:t xml:space="preserve">/ </w:t>
      </w:r>
      <w:r w:rsidRPr="00DF1E75">
        <w:rPr>
          <w:rFonts w:eastAsia="Times New Roman" w:cs="Times New Roman"/>
          <w:b/>
          <w:bCs/>
          <w:rtl/>
          <w:lang w:eastAsia="de-DE"/>
        </w:rPr>
        <w:t>מַסְעֵיהֶם לְמוֹצָאֵיהֶם</w:t>
      </w:r>
      <w:r w:rsidRPr="00DF1E75">
        <w:rPr>
          <w:rFonts w:eastAsia="Times New Roman" w:cs="Times New Roman"/>
          <w:rtl/>
          <w:lang w:eastAsia="de-DE"/>
        </w:rPr>
        <w:t xml:space="preserve"> </w:t>
      </w:r>
      <w:r w:rsidRPr="00DF1E75">
        <w:rPr>
          <w:rFonts w:eastAsia="Times New Roman" w:cs="Times New Roman"/>
          <w:lang w:eastAsia="de-DE"/>
        </w:rPr>
        <w:t>betont die Wechselbeziehung: Jeder Aufbruch führt zu einem Zug, jeder Zug beginnt mit einem Aufbruch - die vollständige Reiseroute.</w:t>
      </w:r>
    </w:p>
    <w:p w14:paraId="5AE89D0D" w14:textId="77777777" w:rsidR="00B53452" w:rsidRDefault="00B53452" w:rsidP="00B53452">
      <w:pPr>
        <w:pStyle w:val="berschrift4"/>
      </w:pPr>
      <w:r>
        <w:t xml:space="preserve">EXKURS: DIE BEDEUTUNG DES REISEITINERARS </w:t>
      </w:r>
    </w:p>
    <w:p w14:paraId="62F7943B" w14:textId="77777777" w:rsidR="00B53452" w:rsidRDefault="00B53452" w:rsidP="00DF1E75">
      <w:pPr>
        <w:spacing w:before="100" w:beforeAutospacing="1" w:after="100" w:afterAutospacing="1" w:line="240" w:lineRule="auto"/>
      </w:pPr>
      <w:r>
        <w:t xml:space="preserve">Die 42 Stationen Israels (V. 3-49) sind mehr als geographische Notizen. Sie erfüllen mehrere theologische Funktionen: </w:t>
      </w:r>
    </w:p>
    <w:p w14:paraId="154454D1" w14:textId="77777777" w:rsidR="00B53452" w:rsidRDefault="00B53452" w:rsidP="00DF1E75">
      <w:pPr>
        <w:spacing w:before="100" w:beforeAutospacing="1" w:after="100" w:afterAutospacing="1" w:line="240" w:lineRule="auto"/>
      </w:pPr>
      <w:r>
        <w:t xml:space="preserve">DOKUMENTARISCHE FUNKTION: </w:t>
      </w:r>
      <w:r w:rsidRPr="00B53452">
        <w:rPr>
          <w:b/>
          <w:bCs/>
          <w:rtl/>
        </w:rPr>
        <w:t>וַיִּכְתֹּב מֹשֶׁה עַל־פִּי יְהוָה</w:t>
      </w:r>
      <w:r>
        <w:t xml:space="preserve"> - "Mose schrieb auf göttlichen Befehl" legitimiert die Liste doppelt: als Augenzeugenzeugnis und als göttlich autorisiertes Dokument. Dies ist keine spätere Legendenbildung, sondern zeitgenössische Aufzeichnung. </w:t>
      </w:r>
    </w:p>
    <w:p w14:paraId="15383D21" w14:textId="77777777" w:rsidR="00B53452" w:rsidRDefault="00B53452" w:rsidP="00DF1E75">
      <w:pPr>
        <w:spacing w:before="100" w:beforeAutospacing="1" w:after="100" w:afterAutospacing="1" w:line="240" w:lineRule="auto"/>
      </w:pPr>
      <w:r>
        <w:t xml:space="preserve">PÄDAGOGISCHE FUNKTION: Die rhythmische Monotonie </w:t>
      </w:r>
      <w:r>
        <w:rPr>
          <w:rtl/>
        </w:rPr>
        <w:t>וַיִּסְעוּ מִן... וַיַּחֲנוּ בְּ</w:t>
      </w:r>
      <w:r>
        <w:t xml:space="preserve"> ("sie brachen auf von... lagerten in...") spiegelt die jahrzehntelange Wüstenerfahrung: Station für Station, Jahr für Jahr. Die Wiederholung ist literarisches Mittel, um die Geduld Gottes und die Ausdauer Israels zu zeigen. </w:t>
      </w:r>
    </w:p>
    <w:p w14:paraId="4110F313" w14:textId="77777777" w:rsidR="00B53452" w:rsidRDefault="00B53452" w:rsidP="00DF1E75">
      <w:pPr>
        <w:spacing w:before="100" w:beforeAutospacing="1" w:after="100" w:afterAutospacing="1" w:line="240" w:lineRule="auto"/>
      </w:pPr>
      <w:r>
        <w:t xml:space="preserve">THEOLOGISCHE FUNKTION: Jede Station ist Zeugnis göttlicher Führung. Israel irrte nicht ziellos umher - jeder Aufbruch und jede Lagerung geschah unter Gottes Leitung. Die 42 Stationen bilden eine heilige Geographie des Glaubens. </w:t>
      </w:r>
    </w:p>
    <w:p w14:paraId="29FC0B56" w14:textId="77777777" w:rsidR="00B53452" w:rsidRDefault="00B53452" w:rsidP="00DF1E75">
      <w:pPr>
        <w:spacing w:before="100" w:beforeAutospacing="1" w:after="100" w:afterAutospacing="1" w:line="240" w:lineRule="auto"/>
      </w:pPr>
      <w:r>
        <w:t xml:space="preserve">MAHNENDE FUNKTION: Ortsnamen wie Mara (Bitterkeit), Kivrot-Hattaawa (Gräber der Begierde), Refidim (kein Wasser) sind eingeschriebene Mahnmale. Das Land selbst erinnert an Rebellion und Gericht. </w:t>
      </w:r>
    </w:p>
    <w:p w14:paraId="4AB1C3B6" w14:textId="4249F2FF" w:rsidR="00B53452" w:rsidRPr="00DF1E75" w:rsidRDefault="00B53452" w:rsidP="00DF1E75">
      <w:pPr>
        <w:spacing w:before="100" w:beforeAutospacing="1" w:after="100" w:afterAutospacing="1" w:line="240" w:lineRule="auto"/>
        <w:rPr>
          <w:rFonts w:eastAsia="Times New Roman" w:cs="Times New Roman"/>
          <w:lang w:eastAsia="de-DE"/>
        </w:rPr>
      </w:pPr>
      <w:r>
        <w:t>Die Liste endet nicht mit Triumph (Einzug ins Land), sondern in den Ebenen Moabs - Israel steht noch vor der Schwelle. Die Reise ist dokumentiert, aber die Verheißung noch nicht erfüllt. Erst Josua wird den Jordan überqueren.</w:t>
      </w:r>
    </w:p>
    <w:p w14:paraId="710A0A63" w14:textId="77777777" w:rsidR="00DF1E75" w:rsidRPr="00DF1E75" w:rsidRDefault="00DF1E75" w:rsidP="00DF1E75">
      <w:pPr>
        <w:spacing w:before="100" w:beforeAutospacing="1" w:after="100" w:afterAutospacing="1" w:line="240" w:lineRule="auto"/>
        <w:outlineLvl w:val="0"/>
        <w:rPr>
          <w:rFonts w:eastAsia="Times New Roman" w:cs="Times New Roman"/>
          <w:b/>
          <w:bCs/>
          <w:kern w:val="36"/>
          <w:sz w:val="48"/>
          <w:szCs w:val="48"/>
          <w:lang w:eastAsia="de-DE"/>
        </w:rPr>
      </w:pPr>
      <w:r w:rsidRPr="00DF1E75">
        <w:rPr>
          <w:rFonts w:eastAsia="Times New Roman" w:cs="Times New Roman"/>
          <w:b/>
          <w:bCs/>
          <w:kern w:val="36"/>
          <w:sz w:val="48"/>
          <w:szCs w:val="48"/>
          <w:lang w:eastAsia="de-DE"/>
        </w:rPr>
        <w:t>Numeri 33,3</w:t>
      </w:r>
    </w:p>
    <w:p w14:paraId="293D692F"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lang w:eastAsia="de-DE"/>
        </w:rPr>
        <w:t>Hebräisch:</w:t>
      </w:r>
      <w:r w:rsidRPr="00DF1E75">
        <w:rPr>
          <w:rFonts w:eastAsia="Times New Roman" w:cs="Times New Roman"/>
          <w:lang w:eastAsia="de-DE"/>
        </w:rPr>
        <w:t xml:space="preserve"> </w:t>
      </w:r>
      <w:r w:rsidRPr="00DF1E75">
        <w:rPr>
          <w:rFonts w:eastAsia="Times New Roman" w:cs="Times New Roman"/>
          <w:rtl/>
          <w:lang w:eastAsia="de-DE"/>
        </w:rPr>
        <w:t>וַיִּסְע֤וּ מֵֽרַעְמְסֵס֙ בַּחֹ֣דֶשׁ הָרִאשׁ֔וֹן בַּחֲמִשָּׁ֥ה עָשָׂ֛ר י֖וֹם לַחֹ֣דֶשׁ הָרִאשׁ֑וֹן מִֽמָּחֳרַ֣ת הַפֶּ֗סַח יָצְא֤וּ בְנֵֽי־יִשְׂרָאֵל֙ בְּיָ֣ד רָמָ֔ה לְעֵינֵ֖י כָּל־מִצְרָֽיִם׃</w:t>
      </w:r>
    </w:p>
    <w:p w14:paraId="33F8F53C"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lang w:eastAsia="de-DE"/>
        </w:rPr>
        <w:t>Deutsch:</w:t>
      </w:r>
      <w:r w:rsidRPr="00DF1E75">
        <w:rPr>
          <w:rFonts w:eastAsia="Times New Roman" w:cs="Times New Roman"/>
          <w:lang w:eastAsia="de-DE"/>
        </w:rPr>
        <w:t xml:space="preserve"> Sie brachen auf von Ra'mses im ersten Monat, am 15. Tag des ersten Monats. Am Morgen nach dem Pesach zogen die Söhne Jisra'el aus mit erhobener Hand, vor den Augen aller Mizrajim.</w:t>
      </w:r>
    </w:p>
    <w:p w14:paraId="70E4CB5F" w14:textId="77777777" w:rsidR="00DF1E75" w:rsidRPr="00DF1E75" w:rsidRDefault="00F329DD" w:rsidP="00DF1E75">
      <w:pPr>
        <w:spacing w:after="0" w:line="240" w:lineRule="auto"/>
        <w:rPr>
          <w:rFonts w:eastAsia="Times New Roman" w:cs="Times New Roman"/>
          <w:lang w:eastAsia="de-DE"/>
        </w:rPr>
      </w:pPr>
      <w:r>
        <w:rPr>
          <w:rFonts w:eastAsia="Times New Roman" w:cs="Times New Roman"/>
          <w:lang w:eastAsia="de-DE"/>
        </w:rPr>
        <w:pict w14:anchorId="04131968">
          <v:rect id="_x0000_i2031" style="width:0;height:1.5pt" o:hralign="center" o:hrstd="t" o:hr="t" fillcolor="#a0a0a0" stroked="f"/>
        </w:pict>
      </w:r>
    </w:p>
    <w:p w14:paraId="145AEDC8"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lang w:eastAsia="de-DE"/>
        </w:rPr>
        <w:lastRenderedPageBreak/>
        <w:t>Kommentar:</w:t>
      </w:r>
      <w:r w:rsidRPr="00DF1E75">
        <w:rPr>
          <w:rFonts w:eastAsia="Times New Roman" w:cs="Times New Roman"/>
          <w:lang w:eastAsia="de-DE"/>
        </w:rPr>
        <w:t xml:space="preserve"> Der Vers datiert und charakterisiert den Exodus präzise. </w:t>
      </w:r>
      <w:r w:rsidRPr="00DF1E75">
        <w:rPr>
          <w:rFonts w:eastAsia="Times New Roman" w:cs="Times New Roman"/>
          <w:b/>
          <w:bCs/>
          <w:rtl/>
          <w:lang w:eastAsia="de-DE"/>
        </w:rPr>
        <w:t>וַיִּסְעוּ מֵרַעְמְסֵס בַּחֹדֶשׁ הָרִאשׁוֹן בַּחֲמִשָּׁה עָשָׂר יוֹם לַחֹדֶשׁ הָרִאשׁוֹן</w:t>
      </w:r>
      <w:r w:rsidRPr="00DF1E75">
        <w:rPr>
          <w:rFonts w:eastAsia="Times New Roman" w:cs="Times New Roman"/>
          <w:rtl/>
          <w:lang w:eastAsia="de-DE"/>
        </w:rPr>
        <w:t xml:space="preserve"> </w:t>
      </w:r>
      <w:r w:rsidRPr="00DF1E75">
        <w:rPr>
          <w:rFonts w:eastAsia="Times New Roman" w:cs="Times New Roman"/>
          <w:lang w:eastAsia="de-DE"/>
        </w:rPr>
        <w:t xml:space="preserve">ist die zeitlich fixierte Aufbruchsformel. </w:t>
      </w:r>
      <w:r w:rsidRPr="00DF1E75">
        <w:rPr>
          <w:rFonts w:eastAsia="Times New Roman" w:cs="Times New Roman"/>
          <w:b/>
          <w:bCs/>
          <w:rtl/>
          <w:lang w:eastAsia="de-DE"/>
        </w:rPr>
        <w:t>וַיִּסְעוּ מֵרַעְמְסֵס</w:t>
      </w:r>
      <w:r w:rsidRPr="00DF1E75">
        <w:rPr>
          <w:rFonts w:eastAsia="Times New Roman" w:cs="Times New Roman"/>
          <w:rtl/>
          <w:lang w:eastAsia="de-DE"/>
        </w:rPr>
        <w:t xml:space="preserve"> </w:t>
      </w:r>
      <w:r w:rsidRPr="00DF1E75">
        <w:rPr>
          <w:rFonts w:eastAsia="Times New Roman" w:cs="Times New Roman"/>
          <w:lang w:eastAsia="de-DE"/>
        </w:rPr>
        <w:t xml:space="preserve">(Qal Wayyiqtol 3. Person Plural von </w:t>
      </w:r>
      <w:r w:rsidRPr="00DF1E75">
        <w:rPr>
          <w:rFonts w:eastAsia="Times New Roman" w:cs="Times New Roman"/>
          <w:b/>
          <w:bCs/>
          <w:rtl/>
          <w:lang w:eastAsia="de-DE"/>
        </w:rPr>
        <w:t>נסע</w:t>
      </w:r>
      <w:r w:rsidRPr="00DF1E75">
        <w:rPr>
          <w:rFonts w:eastAsia="Times New Roman" w:cs="Times New Roman"/>
          <w:rtl/>
          <w:lang w:eastAsia="de-DE"/>
        </w:rPr>
        <w:t xml:space="preserve"> </w:t>
      </w:r>
      <w:r w:rsidRPr="00DF1E75">
        <w:rPr>
          <w:rFonts w:eastAsia="Times New Roman" w:cs="Times New Roman"/>
          <w:lang w:eastAsia="de-DE"/>
        </w:rPr>
        <w:t xml:space="preserve">mit Präposition </w:t>
      </w:r>
      <w:r w:rsidRPr="00DF1E75">
        <w:rPr>
          <w:rFonts w:eastAsia="Times New Roman" w:cs="Times New Roman"/>
          <w:b/>
          <w:bCs/>
          <w:rtl/>
          <w:lang w:eastAsia="de-DE"/>
        </w:rPr>
        <w:t>מִן</w:t>
      </w:r>
      <w:r w:rsidRPr="00DF1E75">
        <w:rPr>
          <w:rFonts w:eastAsia="Times New Roman" w:cs="Times New Roman"/>
          <w:rtl/>
          <w:lang w:eastAsia="de-DE"/>
        </w:rPr>
        <w:t xml:space="preserve"> </w:t>
      </w:r>
      <w:r w:rsidRPr="00DF1E75">
        <w:rPr>
          <w:rFonts w:eastAsia="Times New Roman" w:cs="Times New Roman"/>
          <w:lang w:eastAsia="de-DE"/>
        </w:rPr>
        <w:t xml:space="preserve">und Eigenname </w:t>
      </w:r>
      <w:r w:rsidRPr="00DF1E75">
        <w:rPr>
          <w:rFonts w:eastAsia="Times New Roman" w:cs="Times New Roman"/>
          <w:b/>
          <w:bCs/>
          <w:rtl/>
          <w:lang w:eastAsia="de-DE"/>
        </w:rPr>
        <w:t>רַעְמְסֵס</w:t>
      </w:r>
      <w:r w:rsidRPr="00DF1E75">
        <w:rPr>
          <w:rFonts w:eastAsia="Times New Roman" w:cs="Times New Roman"/>
          <w:rtl/>
          <w:lang w:eastAsia="de-DE"/>
        </w:rPr>
        <w:t xml:space="preserve"> </w:t>
      </w:r>
      <w:r w:rsidRPr="00DF1E75">
        <w:rPr>
          <w:rFonts w:eastAsia="Times New Roman" w:cs="Times New Roman"/>
          <w:lang w:eastAsia="de-DE"/>
        </w:rPr>
        <w:t xml:space="preserve">„sie brachen auf von Ramses"), </w:t>
      </w:r>
      <w:r w:rsidRPr="00DF1E75">
        <w:rPr>
          <w:rFonts w:eastAsia="Times New Roman" w:cs="Times New Roman"/>
          <w:b/>
          <w:bCs/>
          <w:rtl/>
          <w:lang w:eastAsia="de-DE"/>
        </w:rPr>
        <w:t>בַּחֹדֶשׁ הָרִאשׁוֹן</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בְ</w:t>
      </w:r>
      <w:r w:rsidRPr="00DF1E75">
        <w:rPr>
          <w:rFonts w:eastAsia="Times New Roman" w:cs="Times New Roman"/>
          <w:rtl/>
          <w:lang w:eastAsia="de-DE"/>
        </w:rPr>
        <w:t xml:space="preserve"> </w:t>
      </w:r>
      <w:r w:rsidRPr="00DF1E75">
        <w:rPr>
          <w:rFonts w:eastAsia="Times New Roman" w:cs="Times New Roman"/>
          <w:lang w:eastAsia="de-DE"/>
        </w:rPr>
        <w:t xml:space="preserve">mit </w:t>
      </w:r>
      <w:r w:rsidRPr="00DF1E75">
        <w:rPr>
          <w:rFonts w:eastAsia="Times New Roman" w:cs="Times New Roman"/>
          <w:b/>
          <w:bCs/>
          <w:rtl/>
          <w:lang w:eastAsia="de-DE"/>
        </w:rPr>
        <w:t>חֹדֶשׁ</w:t>
      </w:r>
      <w:r w:rsidRPr="00DF1E75">
        <w:rPr>
          <w:rFonts w:eastAsia="Times New Roman" w:cs="Times New Roman"/>
          <w:rtl/>
          <w:lang w:eastAsia="de-DE"/>
        </w:rPr>
        <w:t xml:space="preserve"> </w:t>
      </w:r>
      <w:r w:rsidRPr="00DF1E75">
        <w:rPr>
          <w:rFonts w:eastAsia="Times New Roman" w:cs="Times New Roman"/>
          <w:lang w:eastAsia="de-DE"/>
        </w:rPr>
        <w:t xml:space="preserve">„Monat" mit Artikel und Ordinalzahl </w:t>
      </w:r>
      <w:r w:rsidRPr="00DF1E75">
        <w:rPr>
          <w:rFonts w:eastAsia="Times New Roman" w:cs="Times New Roman"/>
          <w:b/>
          <w:bCs/>
          <w:rtl/>
          <w:lang w:eastAsia="de-DE"/>
        </w:rPr>
        <w:t>רִאשׁוֹן</w:t>
      </w:r>
      <w:r w:rsidRPr="00DF1E75">
        <w:rPr>
          <w:rFonts w:eastAsia="Times New Roman" w:cs="Times New Roman"/>
          <w:rtl/>
          <w:lang w:eastAsia="de-DE"/>
        </w:rPr>
        <w:t xml:space="preserve"> </w:t>
      </w:r>
      <w:r w:rsidRPr="00DF1E75">
        <w:rPr>
          <w:rFonts w:eastAsia="Times New Roman" w:cs="Times New Roman"/>
          <w:lang w:eastAsia="de-DE"/>
        </w:rPr>
        <w:t xml:space="preserve">„erster" mit Artikel „im ersten Monat" - Abib/Nisan), </w:t>
      </w:r>
      <w:r w:rsidRPr="00DF1E75">
        <w:rPr>
          <w:rFonts w:eastAsia="Times New Roman" w:cs="Times New Roman"/>
          <w:b/>
          <w:bCs/>
          <w:rtl/>
          <w:lang w:eastAsia="de-DE"/>
        </w:rPr>
        <w:t>בַּחֲמִשָּׁה עָשָׂר יוֹם לַחֹדֶשׁ הָרִאשׁוֹן</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בְ</w:t>
      </w:r>
      <w:r w:rsidRPr="00DF1E75">
        <w:rPr>
          <w:rFonts w:eastAsia="Times New Roman" w:cs="Times New Roman"/>
          <w:rtl/>
          <w:lang w:eastAsia="de-DE"/>
        </w:rPr>
        <w:t xml:space="preserve"> </w:t>
      </w:r>
      <w:r w:rsidRPr="00DF1E75">
        <w:rPr>
          <w:rFonts w:eastAsia="Times New Roman" w:cs="Times New Roman"/>
          <w:lang w:eastAsia="de-DE"/>
        </w:rPr>
        <w:t xml:space="preserve">mit zusammengesetzter Kardinalzahl „fünfzehn" und </w:t>
      </w:r>
      <w:r w:rsidRPr="00DF1E75">
        <w:rPr>
          <w:rFonts w:eastAsia="Times New Roman" w:cs="Times New Roman"/>
          <w:b/>
          <w:bCs/>
          <w:rtl/>
          <w:lang w:eastAsia="de-DE"/>
        </w:rPr>
        <w:t>יוֹם</w:t>
      </w:r>
      <w:r w:rsidRPr="00DF1E75">
        <w:rPr>
          <w:rFonts w:eastAsia="Times New Roman" w:cs="Times New Roman"/>
          <w:rtl/>
          <w:lang w:eastAsia="de-DE"/>
        </w:rPr>
        <w:t xml:space="preserve"> </w:t>
      </w:r>
      <w:r w:rsidRPr="00DF1E75">
        <w:rPr>
          <w:rFonts w:eastAsia="Times New Roman" w:cs="Times New Roman"/>
          <w:lang w:eastAsia="de-DE"/>
        </w:rPr>
        <w:t xml:space="preserve">„Tag", dann Präposition </w:t>
      </w:r>
      <w:r w:rsidRPr="00DF1E75">
        <w:rPr>
          <w:rFonts w:eastAsia="Times New Roman" w:cs="Times New Roman"/>
          <w:b/>
          <w:bCs/>
          <w:rtl/>
          <w:lang w:eastAsia="de-DE"/>
        </w:rPr>
        <w:t>לְ</w:t>
      </w:r>
      <w:r w:rsidRPr="00DF1E75">
        <w:rPr>
          <w:rFonts w:eastAsia="Times New Roman" w:cs="Times New Roman"/>
          <w:rtl/>
          <w:lang w:eastAsia="de-DE"/>
        </w:rPr>
        <w:t xml:space="preserve"> </w:t>
      </w:r>
      <w:r w:rsidRPr="00DF1E75">
        <w:rPr>
          <w:rFonts w:eastAsia="Times New Roman" w:cs="Times New Roman"/>
          <w:lang w:eastAsia="de-DE"/>
        </w:rPr>
        <w:t xml:space="preserve">mit </w:t>
      </w:r>
      <w:r w:rsidRPr="00DF1E75">
        <w:rPr>
          <w:rFonts w:eastAsia="Times New Roman" w:cs="Times New Roman"/>
          <w:b/>
          <w:bCs/>
          <w:rtl/>
          <w:lang w:eastAsia="de-DE"/>
        </w:rPr>
        <w:t>חֹדֶשׁ הָרִאשׁוֹן</w:t>
      </w:r>
      <w:r w:rsidRPr="00DF1E75">
        <w:rPr>
          <w:rFonts w:eastAsia="Times New Roman" w:cs="Times New Roman"/>
          <w:rtl/>
          <w:lang w:eastAsia="de-DE"/>
        </w:rPr>
        <w:t xml:space="preserve"> </w:t>
      </w:r>
      <w:r w:rsidRPr="00DF1E75">
        <w:rPr>
          <w:rFonts w:eastAsia="Times New Roman" w:cs="Times New Roman"/>
          <w:lang w:eastAsia="de-DE"/>
        </w:rPr>
        <w:t>„am fünfzehnten Tag des ersten Monats").</w:t>
      </w:r>
    </w:p>
    <w:p w14:paraId="7F60C547" w14:textId="39E2879B"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rtl/>
          <w:lang w:eastAsia="de-DE"/>
        </w:rPr>
        <w:t>מִמָּחֳרַת הַפֶּסַח</w:t>
      </w:r>
      <w:r w:rsidRPr="00DF1E75">
        <w:rPr>
          <w:rFonts w:eastAsia="Times New Roman" w:cs="Times New Roman"/>
          <w:rtl/>
          <w:lang w:eastAsia="de-DE"/>
        </w:rPr>
        <w:t xml:space="preserve"> </w:t>
      </w:r>
      <w:r w:rsidRPr="00DF1E75">
        <w:rPr>
          <w:rFonts w:eastAsia="Times New Roman" w:cs="Times New Roman"/>
          <w:lang w:eastAsia="de-DE"/>
        </w:rPr>
        <w:t xml:space="preserve">präzisiert weiter. </w:t>
      </w:r>
      <w:r w:rsidRPr="00DF1E75">
        <w:rPr>
          <w:rFonts w:eastAsia="Times New Roman" w:cs="Times New Roman"/>
          <w:b/>
          <w:bCs/>
          <w:rtl/>
          <w:lang w:eastAsia="de-DE"/>
        </w:rPr>
        <w:t>מִמָּחֳרַת הַפֶּסַח</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מִן</w:t>
      </w:r>
      <w:r w:rsidRPr="00DF1E75">
        <w:rPr>
          <w:rFonts w:eastAsia="Times New Roman" w:cs="Times New Roman"/>
          <w:rtl/>
          <w:lang w:eastAsia="de-DE"/>
        </w:rPr>
        <w:t xml:space="preserve"> </w:t>
      </w:r>
      <w:r w:rsidRPr="00DF1E75">
        <w:rPr>
          <w:rFonts w:eastAsia="Times New Roman" w:cs="Times New Roman"/>
          <w:lang w:eastAsia="de-DE"/>
        </w:rPr>
        <w:t xml:space="preserve">mit </w:t>
      </w:r>
      <w:r w:rsidRPr="00DF1E75">
        <w:rPr>
          <w:rFonts w:eastAsia="Times New Roman" w:cs="Times New Roman"/>
          <w:b/>
          <w:bCs/>
          <w:rtl/>
          <w:lang w:eastAsia="de-DE"/>
        </w:rPr>
        <w:t>מָחֳרָת</w:t>
      </w:r>
      <w:r w:rsidRPr="00DF1E75">
        <w:rPr>
          <w:rFonts w:eastAsia="Times New Roman" w:cs="Times New Roman"/>
          <w:rtl/>
          <w:lang w:eastAsia="de-DE"/>
        </w:rPr>
        <w:t xml:space="preserve"> </w:t>
      </w:r>
      <w:r w:rsidRPr="00DF1E75">
        <w:rPr>
          <w:rFonts w:eastAsia="Times New Roman" w:cs="Times New Roman"/>
          <w:lang w:eastAsia="de-DE"/>
        </w:rPr>
        <w:t xml:space="preserve">„Morgen, Tag danach" mit Artikel - </w:t>
      </w:r>
      <w:r w:rsidRPr="00DF1E75">
        <w:rPr>
          <w:rFonts w:eastAsia="Times New Roman" w:cs="Times New Roman"/>
          <w:b/>
          <w:bCs/>
          <w:rtl/>
          <w:lang w:eastAsia="de-DE"/>
        </w:rPr>
        <w:t>מִמָּחֳרַת</w:t>
      </w:r>
      <w:r w:rsidRPr="00DF1E75">
        <w:rPr>
          <w:rFonts w:eastAsia="Times New Roman" w:cs="Times New Roman"/>
          <w:rtl/>
          <w:lang w:eastAsia="de-DE"/>
        </w:rPr>
        <w:t xml:space="preserve"> </w:t>
      </w:r>
      <w:r w:rsidRPr="00DF1E75">
        <w:rPr>
          <w:rFonts w:eastAsia="Times New Roman" w:cs="Times New Roman"/>
          <w:lang w:eastAsia="de-DE"/>
        </w:rPr>
        <w:t xml:space="preserve">„am Morgen nach, am Tag nach" - im </w:t>
      </w:r>
      <w:r w:rsidR="00F133EC">
        <w:rPr>
          <w:rFonts w:eastAsia="Times New Roman" w:cs="Times New Roman"/>
          <w:lang w:eastAsia="de-DE"/>
        </w:rPr>
        <w:t>Constructus</w:t>
      </w:r>
      <w:r w:rsidRPr="00DF1E75">
        <w:rPr>
          <w:rFonts w:eastAsia="Times New Roman" w:cs="Times New Roman"/>
          <w:lang w:eastAsia="de-DE"/>
        </w:rPr>
        <w:t xml:space="preserve"> mit </w:t>
      </w:r>
      <w:r w:rsidRPr="00DF1E75">
        <w:rPr>
          <w:rFonts w:eastAsia="Times New Roman" w:cs="Times New Roman"/>
          <w:b/>
          <w:bCs/>
          <w:rtl/>
          <w:lang w:eastAsia="de-DE"/>
        </w:rPr>
        <w:t>פֶּסַח</w:t>
      </w:r>
      <w:r w:rsidRPr="00DF1E75">
        <w:rPr>
          <w:rFonts w:eastAsia="Times New Roman" w:cs="Times New Roman"/>
          <w:rtl/>
          <w:lang w:eastAsia="de-DE"/>
        </w:rPr>
        <w:t xml:space="preserve"> </w:t>
      </w:r>
      <w:r w:rsidRPr="00DF1E75">
        <w:rPr>
          <w:rFonts w:eastAsia="Times New Roman" w:cs="Times New Roman"/>
          <w:lang w:eastAsia="de-DE"/>
        </w:rPr>
        <w:t>mit Artikel „am Morgen nach dem Pesach").</w:t>
      </w:r>
    </w:p>
    <w:p w14:paraId="3E7D3AC4" w14:textId="0AE6CC3B"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b/>
          <w:bCs/>
          <w:rtl/>
          <w:lang w:eastAsia="de-DE"/>
        </w:rPr>
        <w:t>יָצְאוּ בְנֵי־יִשְׂרָאֵל בְּיָד רָמָה לְעֵינֵי כָּל־מִצְרָיִם</w:t>
      </w:r>
      <w:r w:rsidRPr="00DF1E75">
        <w:rPr>
          <w:rFonts w:eastAsia="Times New Roman" w:cs="Times New Roman"/>
          <w:rtl/>
          <w:lang w:eastAsia="de-DE"/>
        </w:rPr>
        <w:t xml:space="preserve"> </w:t>
      </w:r>
      <w:r w:rsidRPr="00DF1E75">
        <w:rPr>
          <w:rFonts w:eastAsia="Times New Roman" w:cs="Times New Roman"/>
          <w:lang w:eastAsia="de-DE"/>
        </w:rPr>
        <w:t xml:space="preserve">charakterisiert den Auszug. </w:t>
      </w:r>
      <w:r w:rsidRPr="00DF1E75">
        <w:rPr>
          <w:rFonts w:eastAsia="Times New Roman" w:cs="Times New Roman"/>
          <w:b/>
          <w:bCs/>
          <w:rtl/>
          <w:lang w:eastAsia="de-DE"/>
        </w:rPr>
        <w:t>יָצְאוּ בְנֵי־יִשְׂרָאֵל</w:t>
      </w:r>
      <w:r w:rsidRPr="00DF1E75">
        <w:rPr>
          <w:rFonts w:eastAsia="Times New Roman" w:cs="Times New Roman"/>
          <w:rtl/>
          <w:lang w:eastAsia="de-DE"/>
        </w:rPr>
        <w:t xml:space="preserve"> </w:t>
      </w:r>
      <w:r w:rsidRPr="00DF1E75">
        <w:rPr>
          <w:rFonts w:eastAsia="Times New Roman" w:cs="Times New Roman"/>
          <w:lang w:eastAsia="de-DE"/>
        </w:rPr>
        <w:t xml:space="preserve">(Qal Perfekt 3. Person Plural von </w:t>
      </w:r>
      <w:r w:rsidRPr="00DF1E75">
        <w:rPr>
          <w:rFonts w:eastAsia="Times New Roman" w:cs="Times New Roman"/>
          <w:b/>
          <w:bCs/>
          <w:rtl/>
          <w:lang w:eastAsia="de-DE"/>
        </w:rPr>
        <w:t>יצא</w:t>
      </w:r>
      <w:r w:rsidRPr="00DF1E75">
        <w:rPr>
          <w:rFonts w:eastAsia="Times New Roman" w:cs="Times New Roman"/>
          <w:rtl/>
          <w:lang w:eastAsia="de-DE"/>
        </w:rPr>
        <w:t xml:space="preserve"> </w:t>
      </w:r>
      <w:r w:rsidRPr="00DF1E75">
        <w:rPr>
          <w:rFonts w:eastAsia="Times New Roman" w:cs="Times New Roman"/>
          <w:lang w:eastAsia="de-DE"/>
        </w:rPr>
        <w:t xml:space="preserve">„ausziehen" mit „Söhne Israels" als Subjekt), </w:t>
      </w:r>
      <w:r w:rsidRPr="00DF1E75">
        <w:rPr>
          <w:rFonts w:eastAsia="Times New Roman" w:cs="Times New Roman"/>
          <w:b/>
          <w:bCs/>
          <w:rtl/>
          <w:lang w:eastAsia="de-DE"/>
        </w:rPr>
        <w:t>בְּיָד רָמָה</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בְ</w:t>
      </w:r>
      <w:r w:rsidRPr="00DF1E75">
        <w:rPr>
          <w:rFonts w:eastAsia="Times New Roman" w:cs="Times New Roman"/>
          <w:rtl/>
          <w:lang w:eastAsia="de-DE"/>
        </w:rPr>
        <w:t xml:space="preserve"> </w:t>
      </w:r>
      <w:r w:rsidRPr="00DF1E75">
        <w:rPr>
          <w:rFonts w:eastAsia="Times New Roman" w:cs="Times New Roman"/>
          <w:lang w:eastAsia="de-DE"/>
        </w:rPr>
        <w:t xml:space="preserve">mit </w:t>
      </w:r>
      <w:r w:rsidRPr="00DF1E75">
        <w:rPr>
          <w:rFonts w:eastAsia="Times New Roman" w:cs="Times New Roman"/>
          <w:b/>
          <w:bCs/>
          <w:rtl/>
          <w:lang w:eastAsia="de-DE"/>
        </w:rPr>
        <w:t>יָד</w:t>
      </w:r>
      <w:r w:rsidRPr="00DF1E75">
        <w:rPr>
          <w:rFonts w:eastAsia="Times New Roman" w:cs="Times New Roman"/>
          <w:rtl/>
          <w:lang w:eastAsia="de-DE"/>
        </w:rPr>
        <w:t xml:space="preserve"> </w:t>
      </w:r>
      <w:r w:rsidRPr="00DF1E75">
        <w:rPr>
          <w:rFonts w:eastAsia="Times New Roman" w:cs="Times New Roman"/>
          <w:lang w:eastAsia="de-DE"/>
        </w:rPr>
        <w:t xml:space="preserve">„Hand" im </w:t>
      </w:r>
      <w:r w:rsidR="00F133EC">
        <w:rPr>
          <w:rFonts w:eastAsia="Times New Roman" w:cs="Times New Roman"/>
          <w:lang w:eastAsia="de-DE"/>
        </w:rPr>
        <w:t>Constructus</w:t>
      </w:r>
      <w:r w:rsidRPr="00DF1E75">
        <w:rPr>
          <w:rFonts w:eastAsia="Times New Roman" w:cs="Times New Roman"/>
          <w:lang w:eastAsia="de-DE"/>
        </w:rPr>
        <w:t xml:space="preserve"> und Adjektiv </w:t>
      </w:r>
      <w:r w:rsidRPr="00DF1E75">
        <w:rPr>
          <w:rFonts w:eastAsia="Times New Roman" w:cs="Times New Roman"/>
          <w:b/>
          <w:bCs/>
          <w:rtl/>
          <w:lang w:eastAsia="de-DE"/>
        </w:rPr>
        <w:t>רָם</w:t>
      </w:r>
      <w:r w:rsidRPr="00DF1E75">
        <w:rPr>
          <w:rFonts w:eastAsia="Times New Roman" w:cs="Times New Roman"/>
          <w:rtl/>
          <w:lang w:eastAsia="de-DE"/>
        </w:rPr>
        <w:t xml:space="preserve"> </w:t>
      </w:r>
      <w:r w:rsidRPr="00DF1E75">
        <w:rPr>
          <w:rFonts w:eastAsia="Times New Roman" w:cs="Times New Roman"/>
          <w:lang w:eastAsia="de-DE"/>
        </w:rPr>
        <w:t xml:space="preserve">„hoch, erhaben" feminin </w:t>
      </w:r>
      <w:r w:rsidRPr="00DF1E75">
        <w:rPr>
          <w:rFonts w:eastAsia="Times New Roman" w:cs="Times New Roman"/>
          <w:b/>
          <w:bCs/>
          <w:rtl/>
          <w:lang w:eastAsia="de-DE"/>
        </w:rPr>
        <w:t>רָמָה</w:t>
      </w:r>
      <w:r w:rsidRPr="00DF1E75">
        <w:rPr>
          <w:rFonts w:eastAsia="Times New Roman" w:cs="Times New Roman"/>
          <w:rtl/>
          <w:lang w:eastAsia="de-DE"/>
        </w:rPr>
        <w:t xml:space="preserve"> </w:t>
      </w:r>
      <w:r w:rsidRPr="00DF1E75">
        <w:rPr>
          <w:rFonts w:eastAsia="Times New Roman" w:cs="Times New Roman"/>
          <w:lang w:eastAsia="de-DE"/>
        </w:rPr>
        <w:t xml:space="preserve">„mit erhobener Hand" - Ausdruck für Triumph, Kühnheit, offene Demonstration), </w:t>
      </w:r>
      <w:r w:rsidRPr="00DF1E75">
        <w:rPr>
          <w:rFonts w:eastAsia="Times New Roman" w:cs="Times New Roman"/>
          <w:b/>
          <w:bCs/>
          <w:rtl/>
          <w:lang w:eastAsia="de-DE"/>
        </w:rPr>
        <w:t>לְעֵינֵי כָּל־מִצְרָיִם</w:t>
      </w:r>
      <w:r w:rsidRPr="00DF1E75">
        <w:rPr>
          <w:rFonts w:eastAsia="Times New Roman" w:cs="Times New Roman"/>
          <w:rtl/>
          <w:lang w:eastAsia="de-DE"/>
        </w:rPr>
        <w:t xml:space="preserve"> </w:t>
      </w:r>
      <w:r w:rsidRPr="00DF1E75">
        <w:rPr>
          <w:rFonts w:eastAsia="Times New Roman" w:cs="Times New Roman"/>
          <w:lang w:eastAsia="de-DE"/>
        </w:rPr>
        <w:t xml:space="preserve">(Präposition </w:t>
      </w:r>
      <w:r w:rsidRPr="00DF1E75">
        <w:rPr>
          <w:rFonts w:eastAsia="Times New Roman" w:cs="Times New Roman"/>
          <w:b/>
          <w:bCs/>
          <w:rtl/>
          <w:lang w:eastAsia="de-DE"/>
        </w:rPr>
        <w:t>לְ</w:t>
      </w:r>
      <w:r w:rsidRPr="00DF1E75">
        <w:rPr>
          <w:rFonts w:eastAsia="Times New Roman" w:cs="Times New Roman"/>
          <w:rtl/>
          <w:lang w:eastAsia="de-DE"/>
        </w:rPr>
        <w:t xml:space="preserve"> </w:t>
      </w:r>
      <w:r w:rsidRPr="00DF1E75">
        <w:rPr>
          <w:rFonts w:eastAsia="Times New Roman" w:cs="Times New Roman"/>
          <w:lang w:eastAsia="de-DE"/>
        </w:rPr>
        <w:t xml:space="preserve">mit Dual </w:t>
      </w:r>
      <w:r w:rsidRPr="00DF1E75">
        <w:rPr>
          <w:rFonts w:eastAsia="Times New Roman" w:cs="Times New Roman"/>
          <w:b/>
          <w:bCs/>
          <w:rtl/>
          <w:lang w:eastAsia="de-DE"/>
        </w:rPr>
        <w:t>עַיִן</w:t>
      </w:r>
      <w:r w:rsidRPr="00DF1E75">
        <w:rPr>
          <w:rFonts w:eastAsia="Times New Roman" w:cs="Times New Roman"/>
          <w:rtl/>
          <w:lang w:eastAsia="de-DE"/>
        </w:rPr>
        <w:t xml:space="preserve"> </w:t>
      </w:r>
      <w:r w:rsidRPr="00DF1E75">
        <w:rPr>
          <w:rFonts w:eastAsia="Times New Roman" w:cs="Times New Roman"/>
          <w:lang w:eastAsia="de-DE"/>
        </w:rPr>
        <w:t xml:space="preserve">„Auge" im </w:t>
      </w:r>
      <w:r w:rsidR="00F133EC">
        <w:rPr>
          <w:rFonts w:eastAsia="Times New Roman" w:cs="Times New Roman"/>
          <w:lang w:eastAsia="de-DE"/>
        </w:rPr>
        <w:t>Constructus</w:t>
      </w:r>
      <w:r w:rsidRPr="00DF1E75">
        <w:rPr>
          <w:rFonts w:eastAsia="Times New Roman" w:cs="Times New Roman"/>
          <w:lang w:eastAsia="de-DE"/>
        </w:rPr>
        <w:t xml:space="preserve">, </w:t>
      </w:r>
      <w:r w:rsidRPr="00DF1E75">
        <w:rPr>
          <w:rFonts w:eastAsia="Times New Roman" w:cs="Times New Roman"/>
          <w:b/>
          <w:bCs/>
          <w:rtl/>
          <w:lang w:eastAsia="de-DE"/>
        </w:rPr>
        <w:t>כֹּל</w:t>
      </w:r>
      <w:r w:rsidRPr="00DF1E75">
        <w:rPr>
          <w:rFonts w:eastAsia="Times New Roman" w:cs="Times New Roman"/>
          <w:rtl/>
          <w:lang w:eastAsia="de-DE"/>
        </w:rPr>
        <w:t xml:space="preserve"> </w:t>
      </w:r>
      <w:r w:rsidRPr="00DF1E75">
        <w:rPr>
          <w:rFonts w:eastAsia="Times New Roman" w:cs="Times New Roman"/>
          <w:lang w:eastAsia="de-DE"/>
        </w:rPr>
        <w:t xml:space="preserve">und </w:t>
      </w:r>
      <w:r w:rsidRPr="00DF1E75">
        <w:rPr>
          <w:rFonts w:eastAsia="Times New Roman" w:cs="Times New Roman"/>
          <w:b/>
          <w:bCs/>
          <w:rtl/>
          <w:lang w:eastAsia="de-DE"/>
        </w:rPr>
        <w:t>מִצְרַיִם</w:t>
      </w:r>
      <w:r w:rsidRPr="00DF1E75">
        <w:rPr>
          <w:rFonts w:eastAsia="Times New Roman" w:cs="Times New Roman"/>
          <w:rtl/>
          <w:lang w:eastAsia="de-DE"/>
        </w:rPr>
        <w:t xml:space="preserve"> </w:t>
      </w:r>
      <w:r w:rsidRPr="00DF1E75">
        <w:rPr>
          <w:rFonts w:eastAsia="Times New Roman" w:cs="Times New Roman"/>
          <w:lang w:eastAsia="de-DE"/>
        </w:rPr>
        <w:t>„vor den Augen aller Ägypter").</w:t>
      </w:r>
    </w:p>
    <w:p w14:paraId="65444259" w14:textId="77777777" w:rsidR="00DF1E75" w:rsidRPr="00DF1E75" w:rsidRDefault="00DF1E75" w:rsidP="00DF1E75">
      <w:pPr>
        <w:spacing w:before="100" w:beforeAutospacing="1" w:after="100" w:afterAutospacing="1" w:line="240" w:lineRule="auto"/>
        <w:rPr>
          <w:rFonts w:eastAsia="Times New Roman" w:cs="Times New Roman"/>
          <w:lang w:eastAsia="de-DE"/>
        </w:rPr>
      </w:pPr>
      <w:r w:rsidRPr="00DF1E75">
        <w:rPr>
          <w:rFonts w:eastAsia="Times New Roman" w:cs="Times New Roman"/>
          <w:lang w:eastAsia="de-DE"/>
        </w:rPr>
        <w:t>Die Satzstruktur zeigt die Standardformel mit dreifacher Zeitangabe (Monat, Tag, Bezug zu Pesach), gefolgt von einem parallel strukturierten zweiten Verb mit zwei adverbialen Bestimmungen (Art und Öffentlichkeit des Auszugs).</w:t>
      </w:r>
    </w:p>
    <w:p w14:paraId="1290785A" w14:textId="1BF868E8" w:rsidR="00DF1E75" w:rsidRDefault="00DF1E75" w:rsidP="00422DCA">
      <w:pPr>
        <w:spacing w:before="100" w:beforeAutospacing="1" w:after="100" w:afterAutospacing="1" w:line="240" w:lineRule="auto"/>
        <w:rPr>
          <w:rFonts w:eastAsia="Times New Roman" w:cs="Times New Roman"/>
          <w:lang w:eastAsia="de-DE"/>
        </w:rPr>
      </w:pPr>
      <w:r w:rsidRPr="00DF1E75">
        <w:rPr>
          <w:rFonts w:eastAsia="Times New Roman" w:cs="Times New Roman"/>
          <w:lang w:eastAsia="de-DE"/>
        </w:rPr>
        <w:t xml:space="preserve">Der Vers datiert den Exodus präzise: 15. Abib, </w:t>
      </w:r>
      <w:r w:rsidRPr="00DF1E75">
        <w:rPr>
          <w:rFonts w:eastAsia="Times New Roman" w:cs="Times New Roman"/>
          <w:b/>
          <w:bCs/>
          <w:rtl/>
          <w:lang w:eastAsia="de-DE"/>
        </w:rPr>
        <w:t>מִמָּחֳרַת הַפֶּסַח</w:t>
      </w:r>
      <w:r w:rsidRPr="00DF1E75">
        <w:rPr>
          <w:rFonts w:eastAsia="Times New Roman" w:cs="Times New Roman"/>
          <w:rtl/>
          <w:lang w:eastAsia="de-DE"/>
        </w:rPr>
        <w:t xml:space="preserve"> </w:t>
      </w:r>
      <w:r w:rsidRPr="00DF1E75">
        <w:rPr>
          <w:rFonts w:eastAsia="Times New Roman" w:cs="Times New Roman"/>
          <w:lang w:eastAsia="de-DE"/>
        </w:rPr>
        <w:t xml:space="preserve">(„am Morgen nach dem Pesach" - Pesach war am 14. Abend, Ex 12,6). Die Formulierung </w:t>
      </w:r>
      <w:r w:rsidRPr="00DF1E75">
        <w:rPr>
          <w:rFonts w:eastAsia="Times New Roman" w:cs="Times New Roman"/>
          <w:b/>
          <w:bCs/>
          <w:rtl/>
          <w:lang w:eastAsia="de-DE"/>
        </w:rPr>
        <w:t>בְּיָד רָמָה</w:t>
      </w:r>
      <w:r w:rsidRPr="00DF1E75">
        <w:rPr>
          <w:rFonts w:eastAsia="Times New Roman" w:cs="Times New Roman"/>
          <w:rtl/>
          <w:lang w:eastAsia="de-DE"/>
        </w:rPr>
        <w:t xml:space="preserve"> </w:t>
      </w:r>
      <w:r w:rsidRPr="00DF1E75">
        <w:rPr>
          <w:rFonts w:eastAsia="Times New Roman" w:cs="Times New Roman"/>
          <w:lang w:eastAsia="de-DE"/>
        </w:rPr>
        <w:t xml:space="preserve">(„mit erhobener Hand") ist triumphierend - keine heimliche Flucht, sondern ein offener, siegreicher Auszug </w:t>
      </w:r>
      <w:r w:rsidRPr="00DF1E75">
        <w:rPr>
          <w:rFonts w:eastAsia="Times New Roman" w:cs="Times New Roman"/>
          <w:b/>
          <w:bCs/>
          <w:rtl/>
          <w:lang w:eastAsia="de-DE"/>
        </w:rPr>
        <w:t>לְעֵינֵי כָּל־מִצְרָיִם</w:t>
      </w:r>
      <w:r w:rsidRPr="00DF1E75">
        <w:rPr>
          <w:rFonts w:eastAsia="Times New Roman" w:cs="Times New Roman"/>
          <w:rtl/>
          <w:lang w:eastAsia="de-DE"/>
        </w:rPr>
        <w:t xml:space="preserve"> </w:t>
      </w:r>
      <w:r w:rsidRPr="00DF1E75">
        <w:rPr>
          <w:rFonts w:eastAsia="Times New Roman" w:cs="Times New Roman"/>
          <w:lang w:eastAsia="de-DE"/>
        </w:rPr>
        <w:t>(„vor den Augen aller Ägypter"). Die Besiegten müssen zusehen, wie die Befreiten triumphierend abziehen.</w:t>
      </w:r>
    </w:p>
    <w:p w14:paraId="484BE332" w14:textId="77777777" w:rsidR="00422DCA" w:rsidRPr="00422DCA" w:rsidRDefault="00422DCA" w:rsidP="00422DCA">
      <w:pPr>
        <w:spacing w:before="100" w:beforeAutospacing="1" w:after="100" w:afterAutospacing="1" w:line="240" w:lineRule="auto"/>
        <w:outlineLvl w:val="0"/>
        <w:rPr>
          <w:rFonts w:eastAsia="Times New Roman" w:cs="Times New Roman"/>
          <w:b/>
          <w:bCs/>
          <w:kern w:val="36"/>
          <w:sz w:val="48"/>
          <w:szCs w:val="48"/>
          <w:lang w:eastAsia="de-DE"/>
        </w:rPr>
      </w:pPr>
      <w:r w:rsidRPr="00422DCA">
        <w:rPr>
          <w:rFonts w:eastAsia="Times New Roman" w:cs="Times New Roman"/>
          <w:b/>
          <w:bCs/>
          <w:kern w:val="36"/>
          <w:sz w:val="48"/>
          <w:szCs w:val="48"/>
          <w:lang w:eastAsia="de-DE"/>
        </w:rPr>
        <w:t>Numeri 33,3-49 Zusammenfassung</w:t>
      </w:r>
    </w:p>
    <w:p w14:paraId="2257DB25"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Die Stationenliste der Wüstenwanderung</w:t>
      </w:r>
    </w:p>
    <w:p w14:paraId="1F7ED616"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 xml:space="preserve">Die Verse 3-49 bilden das Herzstück des Kapitels: eine systematische Aufzählung aller 42 Stationen Israels von Ägypten bis zu den Ebenen Moabs. Die Liste folgt einem streng rhythmischen Formular: </w:t>
      </w:r>
      <w:r w:rsidRPr="00422DCA">
        <w:rPr>
          <w:rFonts w:eastAsia="Times New Roman" w:cs="Times New Roman"/>
          <w:b/>
          <w:bCs/>
          <w:rtl/>
          <w:lang w:eastAsia="de-DE"/>
        </w:rPr>
        <w:t>וַיִּסְעוּ מִן... וַיַּחֲנוּ בְּ</w:t>
      </w:r>
      <w:r w:rsidRPr="00422DCA">
        <w:rPr>
          <w:rFonts w:eastAsia="Times New Roman" w:cs="Times New Roman"/>
          <w:b/>
          <w:bCs/>
          <w:lang w:eastAsia="de-DE"/>
        </w:rPr>
        <w:t>...</w:t>
      </w:r>
      <w:r w:rsidRPr="00422DCA">
        <w:rPr>
          <w:rFonts w:eastAsia="Times New Roman" w:cs="Times New Roman"/>
          <w:lang w:eastAsia="de-DE"/>
        </w:rPr>
        <w:t xml:space="preserve"> („Und sie brachen auf von... und lagerten in..."), das sich mit liturgischer Monotonie wiederholt.</w:t>
      </w:r>
    </w:p>
    <w:p w14:paraId="5FE7D3F2"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Die Hauptphasen der Reise:</w:t>
      </w:r>
    </w:p>
    <w:p w14:paraId="5BBACF77"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V. 3-4: Der triumphale Auszug aus Ägypten</w:t>
      </w:r>
      <w:r w:rsidRPr="00422DCA">
        <w:rPr>
          <w:rFonts w:eastAsia="Times New Roman" w:cs="Times New Roman"/>
          <w:lang w:eastAsia="de-DE"/>
        </w:rPr>
        <w:t xml:space="preserve"> Israel bricht am 15. Abib (am Morgen nach dem Pesach) von Ramses auf - mit erhobener Hand, vor den Augen aller Ägypter, die ihre Erstgeborenen begraben. Gott hat nicht nur die Ägypter, sondern auch ihre Götter gerichtet.</w:t>
      </w:r>
    </w:p>
    <w:p w14:paraId="28B5FF4B"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V. 5-15: Von Ägypten zum Sinai (11 Stationen)</w:t>
      </w:r>
      <w:r w:rsidRPr="00422DCA">
        <w:rPr>
          <w:rFonts w:eastAsia="Times New Roman" w:cs="Times New Roman"/>
          <w:lang w:eastAsia="de-DE"/>
        </w:rPr>
        <w:t xml:space="preserve"> Sukkot → Etam (am Rand der Wüste) → Pi-Hachirot (Rückwendung vor dem Meer) → Durchzug durchs Schilfmeer → drei Tage Marsch in der Wüste Etam → Mara (bitteres Wasser) → Elim (12 Quellen, 70 Palmen) → am Schilfmeer → Wüste Sin → Dofka → Alusch → Refidim (kein Wasser!) → Wüste Sinai.</w:t>
      </w:r>
    </w:p>
    <w:p w14:paraId="690FABC6"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lastRenderedPageBreak/>
        <w:t>V. 16-36: Vom Sinai nach Kadesch (20 Stationen)</w:t>
      </w:r>
      <w:r w:rsidRPr="00422DCA">
        <w:rPr>
          <w:rFonts w:eastAsia="Times New Roman" w:cs="Times New Roman"/>
          <w:lang w:eastAsia="de-DE"/>
        </w:rPr>
        <w:t xml:space="preserve"> Aufbruch von der Wüste Sinai → Kivrot-Hattaawa (Gräber der Begierde) → Chazerot (Mirjams Aussatz) → dann folgen 17 weitere, meist unbekannte Stationen: Ritma, Rimmon-Perez, Livna, Rissa, Kehelata, Berg Schefer, Charada, Makhelot, Tachat, Terach, Mitka, Chaschmona, Moserot, Bne-Jaakan, Chor-Hagidgad, Jotvata, Avrona, Ezjon-Gever → Wüste Zin (= Kadesch).</w:t>
      </w:r>
    </w:p>
    <w:p w14:paraId="193DA85E" w14:textId="6CC12BB0"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V. 37-49: Von Kadesch zu den Ebenen Moabs (12 Stationen)</w:t>
      </w:r>
      <w:r w:rsidRPr="00422DCA">
        <w:rPr>
          <w:rFonts w:eastAsia="Times New Roman" w:cs="Times New Roman"/>
          <w:lang w:eastAsia="de-DE"/>
        </w:rPr>
        <w:t xml:space="preserve"> Berg Hor (Aarons Tod im 40. Jahr, am 1. des fünften Monats; Aaron war 123 Jahre alt) → Zalmona → Punon → Ovot → Ije-Haavarim (an Moabs Grenze) → Divon-Gad → Almon-Divlatajim → Gebirge Haavarim (vor Nebo) → Ebenen Moabs am Jordan gegenüber Jericho. Die letzte Station erstreckt sich von Bet-Hajeschimot bis Avel-Haschittim.</w:t>
      </w:r>
    </w:p>
    <w:p w14:paraId="6D70E507"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Besonderheiten der Liste:</w:t>
      </w:r>
    </w:p>
    <w:p w14:paraId="1F0F374E" w14:textId="77777777" w:rsidR="00422DCA" w:rsidRPr="00422DCA" w:rsidRDefault="00422DCA" w:rsidP="00422DCA">
      <w:pPr>
        <w:numPr>
          <w:ilvl w:val="0"/>
          <w:numId w:val="212"/>
        </w:num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Rhythmische Monotonie:</w:t>
      </w:r>
      <w:r w:rsidRPr="00422DCA">
        <w:rPr>
          <w:rFonts w:eastAsia="Times New Roman" w:cs="Times New Roman"/>
          <w:lang w:eastAsia="de-DE"/>
        </w:rPr>
        <w:t xml:space="preserve"> Die strenge Wiederholung des Formulars spiegelt die Monotonie der 40-jährigen Wanderung wider - Station für Station, Jahr für Jahr.</w:t>
      </w:r>
    </w:p>
    <w:p w14:paraId="25C96542" w14:textId="77777777" w:rsidR="00422DCA" w:rsidRPr="00422DCA" w:rsidRDefault="00422DCA" w:rsidP="00422DCA">
      <w:pPr>
        <w:numPr>
          <w:ilvl w:val="0"/>
          <w:numId w:val="212"/>
        </w:num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Selektive Kommentare:</w:t>
      </w:r>
      <w:r w:rsidRPr="00422DCA">
        <w:rPr>
          <w:rFonts w:eastAsia="Times New Roman" w:cs="Times New Roman"/>
          <w:lang w:eastAsia="de-DE"/>
        </w:rPr>
        <w:t xml:space="preserve"> Nur wenige Stationen erhalten erklärende Zusätze: Etam (am Rand der Wüste), Elim (12 Quellen, 70 Palmen), Refidim (kein Wasser), Wüste Zin (= Kadesch), Berg Hor (Aarons Tod mit genauer Datierung).</w:t>
      </w:r>
    </w:p>
    <w:p w14:paraId="3A3E581D" w14:textId="77777777" w:rsidR="00422DCA" w:rsidRPr="00422DCA" w:rsidRDefault="00422DCA" w:rsidP="00422DCA">
      <w:pPr>
        <w:numPr>
          <w:ilvl w:val="0"/>
          <w:numId w:val="212"/>
        </w:num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Verschleierte Dramatik:</w:t>
      </w:r>
      <w:r w:rsidRPr="00422DCA">
        <w:rPr>
          <w:rFonts w:eastAsia="Times New Roman" w:cs="Times New Roman"/>
          <w:lang w:eastAsia="de-DE"/>
        </w:rPr>
        <w:t xml:space="preserve"> Die Liste verschweigt die dramatischen Ereignisse - das Schilfmeerwunder wird in einem Halbsatz erwähnt, die Sinai-Offenbarung gar nicht, die Rebellionen nur durch Ortsnamen angedeutet (Kivrot-Hattaawa = "Gräber der Begierde").</w:t>
      </w:r>
    </w:p>
    <w:p w14:paraId="04C720CA" w14:textId="77777777" w:rsidR="00422DCA" w:rsidRPr="00422DCA" w:rsidRDefault="00422DCA" w:rsidP="00422DCA">
      <w:pPr>
        <w:numPr>
          <w:ilvl w:val="0"/>
          <w:numId w:val="212"/>
        </w:num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Symbolische Namen:</w:t>
      </w:r>
      <w:r w:rsidRPr="00422DCA">
        <w:rPr>
          <w:rFonts w:eastAsia="Times New Roman" w:cs="Times New Roman"/>
          <w:lang w:eastAsia="de-DE"/>
        </w:rPr>
        <w:t xml:space="preserve"> Viele Ortsnamen tragen symbolische Bedeutung - Mara (Bitterkeit), Kivrot-Hattaawa (Gräber der Begierde), Charada (Beben) - sie sind eingeschriebene Mahnmale der Wüstengeschichte.</w:t>
      </w:r>
    </w:p>
    <w:p w14:paraId="66418719" w14:textId="77777777" w:rsidR="00422DCA" w:rsidRPr="00422DCA" w:rsidRDefault="00422DCA" w:rsidP="00422DCA">
      <w:pPr>
        <w:numPr>
          <w:ilvl w:val="0"/>
          <w:numId w:val="212"/>
        </w:num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Unbekannte Stationen:</w:t>
      </w:r>
      <w:r w:rsidRPr="00422DCA">
        <w:rPr>
          <w:rFonts w:eastAsia="Times New Roman" w:cs="Times New Roman"/>
          <w:lang w:eastAsia="de-DE"/>
        </w:rPr>
        <w:t xml:space="preserve"> Die meisten der 42 Stationen werden nur hier erwähnt und sind geographisch nicht identifizierbar - die Liste bewahrt Namen, deren Orte längst vergessen sind.</w:t>
      </w:r>
    </w:p>
    <w:p w14:paraId="7AE8C03E" w14:textId="77777777" w:rsidR="00422DCA" w:rsidRPr="00422DCA" w:rsidRDefault="00422DCA" w:rsidP="00422DCA">
      <w:pPr>
        <w:numPr>
          <w:ilvl w:val="0"/>
          <w:numId w:val="212"/>
        </w:num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Aarons Tod als Einschnitt:</w:t>
      </w:r>
      <w:r w:rsidRPr="00422DCA">
        <w:rPr>
          <w:rFonts w:eastAsia="Times New Roman" w:cs="Times New Roman"/>
          <w:lang w:eastAsia="de-DE"/>
        </w:rPr>
        <w:t xml:space="preserve"> Die einzige ausführliche Unterbrechung der rhythmischen Liste ist die präzise Datierung von Aarons Tod am Berg Hor (V. 38-39) - ein markanter Wendepunkt vor dem Einzug ins verheißene Land.</w:t>
      </w:r>
    </w:p>
    <w:p w14:paraId="4E23F585" w14:textId="33090AAC" w:rsid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Die vollständige Liste umfasst 42 Stationen - von Ramses in Ägypten bis zu den Ebenen Moabs am Jordan - und dokumentiert damit systematisch die gesamte Wüstenwanderung als geordneten, von Gott geleiteten Prozess trotz aller Rebellionen und Krisen.</w:t>
      </w:r>
    </w:p>
    <w:p w14:paraId="650CDC48" w14:textId="77777777" w:rsidR="0068186F" w:rsidRDefault="0068186F" w:rsidP="00422DCA">
      <w:pPr>
        <w:spacing w:before="100" w:beforeAutospacing="1" w:after="100" w:afterAutospacing="1" w:line="240" w:lineRule="auto"/>
      </w:pPr>
      <w:r>
        <w:t xml:space="preserve">SYMBOLIK DER 42 STATIONEN </w:t>
      </w:r>
    </w:p>
    <w:p w14:paraId="7051A65B" w14:textId="77777777" w:rsidR="0068186F" w:rsidRDefault="0068186F" w:rsidP="00422DCA">
      <w:pPr>
        <w:spacing w:before="100" w:beforeAutospacing="1" w:after="100" w:afterAutospacing="1" w:line="240" w:lineRule="auto"/>
      </w:pPr>
      <w:r>
        <w:t xml:space="preserve">Die Zahl 42 hat in der jüdischen Tradition besondere Bedeutung: </w:t>
      </w:r>
    </w:p>
    <w:p w14:paraId="373E0481" w14:textId="77777777" w:rsidR="0068186F" w:rsidRDefault="0068186F" w:rsidP="00422DCA">
      <w:pPr>
        <w:spacing w:before="100" w:beforeAutospacing="1" w:after="100" w:afterAutospacing="1" w:line="240" w:lineRule="auto"/>
      </w:pPr>
      <w:r>
        <w:t xml:space="preserve">HISTORISCHE DEUTUNG: 42 Stationen entsprechen ca. 38 Jahren aktiver Wanderung (40 Jahre minus ca. 2 Jahre bis Sinai). Die meisten Stationen liegen zwischen Sinai und Kadesch bzw. zwischen Kadesch und Moab - die "verlorenen Jahre" der Wüstengeneration. </w:t>
      </w:r>
    </w:p>
    <w:p w14:paraId="60FE48D0" w14:textId="77777777" w:rsidR="0068186F" w:rsidRDefault="0068186F" w:rsidP="00422DCA">
      <w:pPr>
        <w:spacing w:before="100" w:beforeAutospacing="1" w:after="100" w:afterAutospacing="1" w:line="240" w:lineRule="auto"/>
      </w:pPr>
      <w:r>
        <w:t xml:space="preserve">GEISTLICHE DEUTUNG: Jede Station ist eine Etappe der Läuterung. Israel musste durch die Wüste, um von der Sklavenmentalität Ägyptens zur Bundesgemeinschaft mit Gott transformiert zu werden. Die Wüste ist Übergangsraum zwischen Knechtschaft und Freiheit. </w:t>
      </w:r>
    </w:p>
    <w:p w14:paraId="1E3EF33D" w14:textId="77777777" w:rsidR="0068186F" w:rsidRDefault="0068186F" w:rsidP="00422DCA">
      <w:pPr>
        <w:spacing w:before="100" w:beforeAutospacing="1" w:after="100" w:afterAutospacing="1" w:line="240" w:lineRule="auto"/>
      </w:pPr>
      <w:r>
        <w:lastRenderedPageBreak/>
        <w:t xml:space="preserve">ESCHATOLOGISCHE DEUTUNG: Die Wanderung von Ägypten nach Kanaan wird zum Urbild der Pilgerschaft des Gottesvolkes durch die Zeit zur ewigen Heimat. Hebr 11:13-16 deutet die Väter als Fremdlinge auf Erden, die nach einer besseren Heimat suchen. </w:t>
      </w:r>
    </w:p>
    <w:p w14:paraId="079080EB" w14:textId="700629F3" w:rsidR="0068186F" w:rsidRPr="00422DCA" w:rsidRDefault="0068186F" w:rsidP="0068186F">
      <w:pPr>
        <w:spacing w:before="100" w:beforeAutospacing="1" w:after="100" w:afterAutospacing="1" w:line="240" w:lineRule="auto"/>
        <w:rPr>
          <w:rFonts w:eastAsia="Times New Roman" w:cs="Times New Roman"/>
          <w:lang w:eastAsia="de-DE"/>
        </w:rPr>
      </w:pPr>
      <w:r>
        <w:t>DIE AUSLASSUNGEN: Bemerkenswert ist, was die Liste NICHT erwähnt: Die Sinai-Offenbarung, die Gesetzgebung, die goldene Kalb-Rebellion, die meisten Murrepisoden. Die Liste konzentriert sich auf den äußeren Reiseweg, nicht die inneren Krisen. Sie dokumentiert den geographischen Rahmen, nicht die dramatischen Ereignisse - diese sind in den vorherigen Kapiteln erzählt.</w:t>
      </w:r>
    </w:p>
    <w:p w14:paraId="548ED7D7" w14:textId="77777777" w:rsidR="00422DCA" w:rsidRPr="00422DCA" w:rsidRDefault="00422DCA" w:rsidP="00422DCA">
      <w:pPr>
        <w:spacing w:before="100" w:beforeAutospacing="1" w:after="100" w:afterAutospacing="1" w:line="240" w:lineRule="auto"/>
        <w:outlineLvl w:val="0"/>
        <w:rPr>
          <w:rFonts w:eastAsia="Times New Roman" w:cs="Times New Roman"/>
          <w:b/>
          <w:bCs/>
          <w:kern w:val="36"/>
          <w:sz w:val="48"/>
          <w:szCs w:val="48"/>
          <w:lang w:eastAsia="de-DE"/>
        </w:rPr>
      </w:pPr>
      <w:r w:rsidRPr="00422DCA">
        <w:rPr>
          <w:rFonts w:eastAsia="Times New Roman" w:cs="Times New Roman"/>
          <w:b/>
          <w:bCs/>
          <w:kern w:val="36"/>
          <w:sz w:val="48"/>
          <w:szCs w:val="48"/>
          <w:lang w:eastAsia="de-DE"/>
        </w:rPr>
        <w:t>Numeri 33,50</w:t>
      </w:r>
    </w:p>
    <w:p w14:paraId="06FB3BDC"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Hebräisch:</w:t>
      </w:r>
      <w:r w:rsidRPr="00422DCA">
        <w:rPr>
          <w:rFonts w:eastAsia="Times New Roman" w:cs="Times New Roman"/>
          <w:lang w:eastAsia="de-DE"/>
        </w:rPr>
        <w:t xml:space="preserve"> </w:t>
      </w:r>
      <w:r w:rsidRPr="00422DCA">
        <w:rPr>
          <w:rFonts w:eastAsia="Times New Roman" w:cs="Times New Roman"/>
          <w:rtl/>
          <w:lang w:eastAsia="de-DE"/>
        </w:rPr>
        <w:t>וַיְדַבֵּ֧ר יְהוָ֛ה אֶל־מֹשֶׁ֖ה בְּעַֽרְבֹ֣ת מוֹאָ֑ב עַל־יַרְדֵּ֥ן יְרֵח֖וֹ לֵאמֹֽר׃</w:t>
      </w:r>
    </w:p>
    <w:p w14:paraId="6F3417D9"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Deutsch:</w:t>
      </w:r>
      <w:r w:rsidRPr="00422DCA">
        <w:rPr>
          <w:rFonts w:eastAsia="Times New Roman" w:cs="Times New Roman"/>
          <w:lang w:eastAsia="de-DE"/>
        </w:rPr>
        <w:t xml:space="preserve"> Und der Ewige redete zu Mosche in den Ebenen von Moav am Jarden Jerechos sagend:</w:t>
      </w:r>
    </w:p>
    <w:p w14:paraId="3C83D120" w14:textId="77777777" w:rsidR="00422DCA" w:rsidRPr="00422DCA" w:rsidRDefault="00F329DD" w:rsidP="00422DCA">
      <w:pPr>
        <w:spacing w:after="0" w:line="240" w:lineRule="auto"/>
        <w:rPr>
          <w:rFonts w:eastAsia="Times New Roman" w:cs="Times New Roman"/>
          <w:lang w:eastAsia="de-DE"/>
        </w:rPr>
      </w:pPr>
      <w:r>
        <w:rPr>
          <w:rFonts w:eastAsia="Times New Roman" w:cs="Times New Roman"/>
          <w:lang w:eastAsia="de-DE"/>
        </w:rPr>
        <w:pict w14:anchorId="34058A40">
          <v:rect id="_x0000_i2032" style="width:0;height:1.5pt" o:hralign="center" o:hrstd="t" o:hr="t" fillcolor="#a0a0a0" stroked="f"/>
        </w:pict>
      </w:r>
    </w:p>
    <w:p w14:paraId="27FA84AE" w14:textId="0ACB089B"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Kommentar:</w:t>
      </w:r>
      <w:r w:rsidRPr="00422DCA">
        <w:rPr>
          <w:rFonts w:eastAsia="Times New Roman" w:cs="Times New Roman"/>
          <w:lang w:eastAsia="de-DE"/>
        </w:rPr>
        <w:t xml:space="preserve"> Der Vers leitet eine neue göttliche Rede ein nach Abschluss der Stationenliste. </w:t>
      </w:r>
      <w:r w:rsidRPr="00422DCA">
        <w:rPr>
          <w:rFonts w:eastAsia="Times New Roman" w:cs="Times New Roman"/>
          <w:b/>
          <w:bCs/>
          <w:rtl/>
          <w:lang w:eastAsia="de-DE"/>
        </w:rPr>
        <w:t>וַיְדַבֵּר יהוה אֶל־מֹשֶׁה</w:t>
      </w:r>
      <w:r w:rsidRPr="00422DCA">
        <w:rPr>
          <w:rFonts w:eastAsia="Times New Roman" w:cs="Times New Roman"/>
          <w:rtl/>
          <w:lang w:eastAsia="de-DE"/>
        </w:rPr>
        <w:t xml:space="preserve"> </w:t>
      </w:r>
      <w:r w:rsidRPr="00422DCA">
        <w:rPr>
          <w:rFonts w:eastAsia="Times New Roman" w:cs="Times New Roman"/>
          <w:lang w:eastAsia="de-DE"/>
        </w:rPr>
        <w:t xml:space="preserve">ist die Standard-Redeeinleitung (Piel Wayyiqtol von </w:t>
      </w:r>
      <w:r w:rsidRPr="00422DCA">
        <w:rPr>
          <w:rFonts w:eastAsia="Times New Roman" w:cs="Times New Roman"/>
          <w:b/>
          <w:bCs/>
          <w:rtl/>
          <w:lang w:eastAsia="de-DE"/>
        </w:rPr>
        <w:t>דבר</w:t>
      </w:r>
      <w:r w:rsidRPr="00422DCA">
        <w:rPr>
          <w:rFonts w:eastAsia="Times New Roman" w:cs="Times New Roman"/>
          <w:rtl/>
          <w:lang w:eastAsia="de-DE"/>
        </w:rPr>
        <w:t xml:space="preserve"> </w:t>
      </w:r>
      <w:r w:rsidRPr="00422DCA">
        <w:rPr>
          <w:rFonts w:eastAsia="Times New Roman" w:cs="Times New Roman"/>
          <w:lang w:eastAsia="de-DE"/>
        </w:rPr>
        <w:t xml:space="preserve">„reden" mit Tetragramm als Subjekt und Präposition </w:t>
      </w:r>
      <w:r w:rsidRPr="00422DCA">
        <w:rPr>
          <w:rFonts w:eastAsia="Times New Roman" w:cs="Times New Roman"/>
          <w:b/>
          <w:bCs/>
          <w:rtl/>
          <w:lang w:eastAsia="de-DE"/>
        </w:rPr>
        <w:t>אֶל</w:t>
      </w:r>
      <w:r w:rsidRPr="00422DCA">
        <w:rPr>
          <w:rFonts w:eastAsia="Times New Roman" w:cs="Times New Roman"/>
          <w:rtl/>
          <w:lang w:eastAsia="de-DE"/>
        </w:rPr>
        <w:t xml:space="preserve"> </w:t>
      </w:r>
      <w:r w:rsidRPr="00422DCA">
        <w:rPr>
          <w:rFonts w:eastAsia="Times New Roman" w:cs="Times New Roman"/>
          <w:lang w:eastAsia="de-DE"/>
        </w:rPr>
        <w:t xml:space="preserve">mit </w:t>
      </w:r>
      <w:r w:rsidRPr="00422DCA">
        <w:rPr>
          <w:rFonts w:eastAsia="Times New Roman" w:cs="Times New Roman"/>
          <w:b/>
          <w:bCs/>
          <w:rtl/>
          <w:lang w:eastAsia="de-DE"/>
        </w:rPr>
        <w:t>מֹשֶׁה</w:t>
      </w:r>
      <w:r w:rsidRPr="00422DCA">
        <w:rPr>
          <w:rFonts w:eastAsia="Times New Roman" w:cs="Times New Roman"/>
          <w:lang w:eastAsia="de-DE"/>
        </w:rPr>
        <w:t xml:space="preserve">). </w:t>
      </w:r>
      <w:r w:rsidRPr="00422DCA">
        <w:rPr>
          <w:rFonts w:eastAsia="Times New Roman" w:cs="Times New Roman"/>
          <w:b/>
          <w:bCs/>
          <w:rtl/>
          <w:lang w:eastAsia="de-DE"/>
        </w:rPr>
        <w:t>בְּעַרְבֹת מוֹאָב עַל־יַרְדֵּן יְרֵחוֹ</w:t>
      </w:r>
      <w:r w:rsidRPr="00422DCA">
        <w:rPr>
          <w:rFonts w:eastAsia="Times New Roman" w:cs="Times New Roman"/>
          <w:rtl/>
          <w:lang w:eastAsia="de-DE"/>
        </w:rPr>
        <w:t xml:space="preserve"> </w:t>
      </w:r>
      <w:r w:rsidRPr="00422DCA">
        <w:rPr>
          <w:rFonts w:eastAsia="Times New Roman" w:cs="Times New Roman"/>
          <w:lang w:eastAsia="de-DE"/>
        </w:rPr>
        <w:t xml:space="preserve">gibt den Ort an. </w:t>
      </w:r>
      <w:r w:rsidRPr="00422DCA">
        <w:rPr>
          <w:rFonts w:eastAsia="Times New Roman" w:cs="Times New Roman"/>
          <w:b/>
          <w:bCs/>
          <w:rtl/>
          <w:lang w:eastAsia="de-DE"/>
        </w:rPr>
        <w:t>בְּעַרְבֹת מוֹאָב</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בְ</w:t>
      </w:r>
      <w:r w:rsidRPr="00422DCA">
        <w:rPr>
          <w:rFonts w:eastAsia="Times New Roman" w:cs="Times New Roman"/>
          <w:rtl/>
          <w:lang w:eastAsia="de-DE"/>
        </w:rPr>
        <w:t xml:space="preserve"> </w:t>
      </w:r>
      <w:r w:rsidRPr="00422DCA">
        <w:rPr>
          <w:rFonts w:eastAsia="Times New Roman" w:cs="Times New Roman"/>
          <w:lang w:eastAsia="de-DE"/>
        </w:rPr>
        <w:t xml:space="preserve">mit Plural </w:t>
      </w:r>
      <w:r w:rsidRPr="00422DCA">
        <w:rPr>
          <w:rFonts w:eastAsia="Times New Roman" w:cs="Times New Roman"/>
          <w:b/>
          <w:bCs/>
          <w:rtl/>
          <w:lang w:eastAsia="de-DE"/>
        </w:rPr>
        <w:t>עֲרָבָה</w:t>
      </w:r>
      <w:r w:rsidRPr="00422DCA">
        <w:rPr>
          <w:rFonts w:eastAsia="Times New Roman" w:cs="Times New Roman"/>
          <w:rtl/>
          <w:lang w:eastAsia="de-DE"/>
        </w:rPr>
        <w:t xml:space="preserve"> </w:t>
      </w:r>
      <w:r w:rsidRPr="00422DCA">
        <w:rPr>
          <w:rFonts w:eastAsia="Times New Roman" w:cs="Times New Roman"/>
          <w:lang w:eastAsia="de-DE"/>
        </w:rPr>
        <w:t xml:space="preserve">„Steppe, Ebene" im </w:t>
      </w:r>
      <w:r w:rsidR="00F133EC">
        <w:rPr>
          <w:rFonts w:eastAsia="Times New Roman" w:cs="Times New Roman"/>
          <w:lang w:eastAsia="de-DE"/>
        </w:rPr>
        <w:t>Constructus</w:t>
      </w:r>
      <w:r w:rsidRPr="00422DCA">
        <w:rPr>
          <w:rFonts w:eastAsia="Times New Roman" w:cs="Times New Roman"/>
          <w:lang w:eastAsia="de-DE"/>
        </w:rPr>
        <w:t xml:space="preserve"> und </w:t>
      </w:r>
      <w:r w:rsidRPr="00422DCA">
        <w:rPr>
          <w:rFonts w:eastAsia="Times New Roman" w:cs="Times New Roman"/>
          <w:b/>
          <w:bCs/>
          <w:rtl/>
          <w:lang w:eastAsia="de-DE"/>
        </w:rPr>
        <w:t>מוֹאָב</w:t>
      </w:r>
      <w:r w:rsidRPr="00422DCA">
        <w:rPr>
          <w:rFonts w:eastAsia="Times New Roman" w:cs="Times New Roman"/>
          <w:rtl/>
          <w:lang w:eastAsia="de-DE"/>
        </w:rPr>
        <w:t xml:space="preserve"> </w:t>
      </w:r>
      <w:r w:rsidRPr="00422DCA">
        <w:rPr>
          <w:rFonts w:eastAsia="Times New Roman" w:cs="Times New Roman"/>
          <w:lang w:eastAsia="de-DE"/>
        </w:rPr>
        <w:t xml:space="preserve">„Moab" „in den Ebenen/Steppen Moabs"), </w:t>
      </w:r>
      <w:r w:rsidRPr="00422DCA">
        <w:rPr>
          <w:rFonts w:eastAsia="Times New Roman" w:cs="Times New Roman"/>
          <w:b/>
          <w:bCs/>
          <w:rtl/>
          <w:lang w:eastAsia="de-DE"/>
        </w:rPr>
        <w:t>עַל־יַרְדֵּן יְרֵחוֹ</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עַל</w:t>
      </w:r>
      <w:r w:rsidRPr="00422DCA">
        <w:rPr>
          <w:rFonts w:eastAsia="Times New Roman" w:cs="Times New Roman"/>
          <w:rtl/>
          <w:lang w:eastAsia="de-DE"/>
        </w:rPr>
        <w:t xml:space="preserve"> </w:t>
      </w:r>
      <w:r w:rsidRPr="00422DCA">
        <w:rPr>
          <w:rFonts w:eastAsia="Times New Roman" w:cs="Times New Roman"/>
          <w:lang w:eastAsia="de-DE"/>
        </w:rPr>
        <w:t xml:space="preserve">„an, bei" mit </w:t>
      </w:r>
      <w:r w:rsidRPr="00422DCA">
        <w:rPr>
          <w:rFonts w:eastAsia="Times New Roman" w:cs="Times New Roman"/>
          <w:b/>
          <w:bCs/>
          <w:rtl/>
          <w:lang w:eastAsia="de-DE"/>
        </w:rPr>
        <w:t>יַרְדֵּן</w:t>
      </w:r>
      <w:r w:rsidRPr="00422DCA">
        <w:rPr>
          <w:rFonts w:eastAsia="Times New Roman" w:cs="Times New Roman"/>
          <w:rtl/>
          <w:lang w:eastAsia="de-DE"/>
        </w:rPr>
        <w:t xml:space="preserve"> </w:t>
      </w:r>
      <w:r w:rsidRPr="00422DCA">
        <w:rPr>
          <w:rFonts w:eastAsia="Times New Roman" w:cs="Times New Roman"/>
          <w:lang w:eastAsia="de-DE"/>
        </w:rPr>
        <w:t xml:space="preserve">„Jordan" im </w:t>
      </w:r>
      <w:r w:rsidR="00F133EC">
        <w:rPr>
          <w:rFonts w:eastAsia="Times New Roman" w:cs="Times New Roman"/>
          <w:lang w:eastAsia="de-DE"/>
        </w:rPr>
        <w:t>Constructus</w:t>
      </w:r>
      <w:r w:rsidRPr="00422DCA">
        <w:rPr>
          <w:rFonts w:eastAsia="Times New Roman" w:cs="Times New Roman"/>
          <w:lang w:eastAsia="de-DE"/>
        </w:rPr>
        <w:t xml:space="preserve"> und </w:t>
      </w:r>
      <w:r w:rsidRPr="00422DCA">
        <w:rPr>
          <w:rFonts w:eastAsia="Times New Roman" w:cs="Times New Roman"/>
          <w:b/>
          <w:bCs/>
          <w:rtl/>
          <w:lang w:eastAsia="de-DE"/>
        </w:rPr>
        <w:t>יְרֵחוֹ</w:t>
      </w:r>
      <w:r w:rsidRPr="00422DCA">
        <w:rPr>
          <w:rFonts w:eastAsia="Times New Roman" w:cs="Times New Roman"/>
          <w:rtl/>
          <w:lang w:eastAsia="de-DE"/>
        </w:rPr>
        <w:t xml:space="preserve"> </w:t>
      </w:r>
      <w:r w:rsidRPr="00422DCA">
        <w:rPr>
          <w:rFonts w:eastAsia="Times New Roman" w:cs="Times New Roman"/>
          <w:lang w:eastAsia="de-DE"/>
        </w:rPr>
        <w:t xml:space="preserve">„Jericho" „am Jordan Jerichos" - die Jordanseite gegenüber von Jericho). </w:t>
      </w:r>
      <w:r w:rsidRPr="00422DCA">
        <w:rPr>
          <w:rFonts w:eastAsia="Times New Roman" w:cs="Times New Roman"/>
          <w:b/>
          <w:bCs/>
          <w:rtl/>
          <w:lang w:eastAsia="de-DE"/>
        </w:rPr>
        <w:t>לֵאמֹר</w:t>
      </w:r>
      <w:r w:rsidRPr="00422DCA">
        <w:rPr>
          <w:rFonts w:eastAsia="Times New Roman" w:cs="Times New Roman"/>
          <w:rtl/>
          <w:lang w:eastAsia="de-DE"/>
        </w:rPr>
        <w:t xml:space="preserve"> </w:t>
      </w:r>
      <w:r w:rsidRPr="00422DCA">
        <w:rPr>
          <w:rFonts w:eastAsia="Times New Roman" w:cs="Times New Roman"/>
          <w:lang w:eastAsia="de-DE"/>
        </w:rPr>
        <w:t>leitet die direkte Rede ein.</w:t>
      </w:r>
    </w:p>
    <w:p w14:paraId="50C0C8B3"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Die Satzstruktur zeigt eine Redeeinleitung mit doppelter Ortsangabe und finalem Infinitiv.</w:t>
      </w:r>
    </w:p>
    <w:p w14:paraId="0EE04B6E"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Der Vers lokalisiert die folgende Rede präzise: in den Ebenen Moabs, am Jordan gegenüber Jericho - die Endstation der Wüstenwanderung (V. 48-49), unmittelbar vor dem Eintritt ins verheißene Land. Dies ist der Ort der letzten großen Reden Moses im Buch Numeri und im Deuteronomium.</w:t>
      </w:r>
    </w:p>
    <w:p w14:paraId="4DBA6A9D" w14:textId="77777777" w:rsidR="00422DCA" w:rsidRPr="00422DCA" w:rsidRDefault="00422DCA" w:rsidP="00422DCA">
      <w:pPr>
        <w:spacing w:before="100" w:beforeAutospacing="1" w:after="100" w:afterAutospacing="1" w:line="240" w:lineRule="auto"/>
        <w:outlineLvl w:val="0"/>
        <w:rPr>
          <w:rFonts w:eastAsia="Times New Roman" w:cs="Times New Roman"/>
          <w:b/>
          <w:bCs/>
          <w:kern w:val="36"/>
          <w:sz w:val="48"/>
          <w:szCs w:val="48"/>
          <w:lang w:eastAsia="de-DE"/>
        </w:rPr>
      </w:pPr>
      <w:r w:rsidRPr="00422DCA">
        <w:rPr>
          <w:rFonts w:eastAsia="Times New Roman" w:cs="Times New Roman"/>
          <w:b/>
          <w:bCs/>
          <w:kern w:val="36"/>
          <w:sz w:val="48"/>
          <w:szCs w:val="48"/>
          <w:lang w:eastAsia="de-DE"/>
        </w:rPr>
        <w:t>Numeri 33,51</w:t>
      </w:r>
    </w:p>
    <w:p w14:paraId="0398F6F5"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Hebräisch:</w:t>
      </w:r>
      <w:r w:rsidRPr="00422DCA">
        <w:rPr>
          <w:rFonts w:eastAsia="Times New Roman" w:cs="Times New Roman"/>
          <w:lang w:eastAsia="de-DE"/>
        </w:rPr>
        <w:t xml:space="preserve"> </w:t>
      </w:r>
      <w:r w:rsidRPr="00422DCA">
        <w:rPr>
          <w:rFonts w:eastAsia="Times New Roman" w:cs="Times New Roman"/>
          <w:rtl/>
          <w:lang w:eastAsia="de-DE"/>
        </w:rPr>
        <w:t>דַּבֵּר֙ אֶל־בְּנֵ֣י יִשְׂרָאֵ֔ל וְאָמַרְתָּ֖ אֲלֵהֶ֑ם כִּ֥י אַתֶּ֛ם עֹבְרִ֥ים אֶת־הַיַּרְדֵּ֖ן אֶל־אֶ֥רֶץ כְּנָֽעַן׃</w:t>
      </w:r>
    </w:p>
    <w:p w14:paraId="1E46DA64"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Deutsch:</w:t>
      </w:r>
      <w:r w:rsidRPr="00422DCA">
        <w:rPr>
          <w:rFonts w:eastAsia="Times New Roman" w:cs="Times New Roman"/>
          <w:lang w:eastAsia="de-DE"/>
        </w:rPr>
        <w:t xml:space="preserve"> Rede zu den Söhnen Jisra'el und sage zu ihnen: Wenn ihr über den Jarden in das Land Kenaan übergeht,</w:t>
      </w:r>
    </w:p>
    <w:p w14:paraId="1F34E973" w14:textId="77777777" w:rsidR="00422DCA" w:rsidRPr="00422DCA" w:rsidRDefault="00F329DD" w:rsidP="00422DCA">
      <w:pPr>
        <w:spacing w:after="0" w:line="240" w:lineRule="auto"/>
        <w:rPr>
          <w:rFonts w:eastAsia="Times New Roman" w:cs="Times New Roman"/>
          <w:lang w:eastAsia="de-DE"/>
        </w:rPr>
      </w:pPr>
      <w:r>
        <w:rPr>
          <w:rFonts w:eastAsia="Times New Roman" w:cs="Times New Roman"/>
          <w:lang w:eastAsia="de-DE"/>
        </w:rPr>
        <w:pict w14:anchorId="5395902A">
          <v:rect id="_x0000_i2033" style="width:0;height:1.5pt" o:hralign="center" o:hrstd="t" o:hr="t" fillcolor="#a0a0a0" stroked="f"/>
        </w:pict>
      </w:r>
    </w:p>
    <w:p w14:paraId="4BECA051"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Kommentar:</w:t>
      </w:r>
      <w:r w:rsidRPr="00422DCA">
        <w:rPr>
          <w:rFonts w:eastAsia="Times New Roman" w:cs="Times New Roman"/>
          <w:lang w:eastAsia="de-DE"/>
        </w:rPr>
        <w:t xml:space="preserve"> Der Vers gibt Mose den Auftrag zur Verkündigung. </w:t>
      </w:r>
      <w:r w:rsidRPr="00422DCA">
        <w:rPr>
          <w:rFonts w:eastAsia="Times New Roman" w:cs="Times New Roman"/>
          <w:b/>
          <w:bCs/>
          <w:rtl/>
          <w:lang w:eastAsia="de-DE"/>
        </w:rPr>
        <w:t>דַּבֵּר אֶל־בְּנֵי יִשְׂרָאֵל וְאָמַרְתָּ אֲלֵהֶם</w:t>
      </w:r>
      <w:r w:rsidRPr="00422DCA">
        <w:rPr>
          <w:rFonts w:eastAsia="Times New Roman" w:cs="Times New Roman"/>
          <w:rtl/>
          <w:lang w:eastAsia="de-DE"/>
        </w:rPr>
        <w:t xml:space="preserve"> </w:t>
      </w:r>
      <w:r w:rsidRPr="00422DCA">
        <w:rPr>
          <w:rFonts w:eastAsia="Times New Roman" w:cs="Times New Roman"/>
          <w:lang w:eastAsia="de-DE"/>
        </w:rPr>
        <w:t xml:space="preserve">ist die doppelte Redeaufforderung. </w:t>
      </w:r>
      <w:r w:rsidRPr="00422DCA">
        <w:rPr>
          <w:rFonts w:eastAsia="Times New Roman" w:cs="Times New Roman"/>
          <w:b/>
          <w:bCs/>
          <w:rtl/>
          <w:lang w:eastAsia="de-DE"/>
        </w:rPr>
        <w:t>דַּבֵּר</w:t>
      </w:r>
      <w:r w:rsidRPr="00422DCA">
        <w:rPr>
          <w:rFonts w:eastAsia="Times New Roman" w:cs="Times New Roman"/>
          <w:rtl/>
          <w:lang w:eastAsia="de-DE"/>
        </w:rPr>
        <w:t xml:space="preserve"> </w:t>
      </w:r>
      <w:r w:rsidRPr="00422DCA">
        <w:rPr>
          <w:rFonts w:eastAsia="Times New Roman" w:cs="Times New Roman"/>
          <w:lang w:eastAsia="de-DE"/>
        </w:rPr>
        <w:t xml:space="preserve">(Piel Imperativ maskulin Singular von </w:t>
      </w:r>
      <w:r w:rsidRPr="00422DCA">
        <w:rPr>
          <w:rFonts w:eastAsia="Times New Roman" w:cs="Times New Roman"/>
          <w:b/>
          <w:bCs/>
          <w:rtl/>
          <w:lang w:eastAsia="de-DE"/>
        </w:rPr>
        <w:t>דבר</w:t>
      </w:r>
      <w:r w:rsidRPr="00422DCA">
        <w:rPr>
          <w:rFonts w:eastAsia="Times New Roman" w:cs="Times New Roman"/>
          <w:rtl/>
          <w:lang w:eastAsia="de-DE"/>
        </w:rPr>
        <w:t xml:space="preserve"> </w:t>
      </w:r>
      <w:r w:rsidRPr="00422DCA">
        <w:rPr>
          <w:rFonts w:eastAsia="Times New Roman" w:cs="Times New Roman"/>
          <w:lang w:eastAsia="de-DE"/>
        </w:rPr>
        <w:t xml:space="preserve">„reden"), </w:t>
      </w:r>
      <w:r w:rsidRPr="00422DCA">
        <w:rPr>
          <w:rFonts w:eastAsia="Times New Roman" w:cs="Times New Roman"/>
          <w:b/>
          <w:bCs/>
          <w:rtl/>
          <w:lang w:eastAsia="de-DE"/>
        </w:rPr>
        <w:t>אֶל־בְּנֵי יִשְׂרָאֵל</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אֶל</w:t>
      </w:r>
      <w:r w:rsidRPr="00422DCA">
        <w:rPr>
          <w:rFonts w:eastAsia="Times New Roman" w:cs="Times New Roman"/>
          <w:rtl/>
          <w:lang w:eastAsia="de-DE"/>
        </w:rPr>
        <w:t xml:space="preserve"> </w:t>
      </w:r>
      <w:r w:rsidRPr="00422DCA">
        <w:rPr>
          <w:rFonts w:eastAsia="Times New Roman" w:cs="Times New Roman"/>
          <w:lang w:eastAsia="de-DE"/>
        </w:rPr>
        <w:t xml:space="preserve">mit „Söhne Israels"), </w:t>
      </w:r>
      <w:r w:rsidRPr="00422DCA">
        <w:rPr>
          <w:rFonts w:eastAsia="Times New Roman" w:cs="Times New Roman"/>
          <w:b/>
          <w:bCs/>
          <w:rtl/>
          <w:lang w:eastAsia="de-DE"/>
        </w:rPr>
        <w:t>וְאָמַרְתָּ אֲלֵהֶם</w:t>
      </w:r>
      <w:r w:rsidRPr="00422DCA">
        <w:rPr>
          <w:rFonts w:eastAsia="Times New Roman" w:cs="Times New Roman"/>
          <w:rtl/>
          <w:lang w:eastAsia="de-DE"/>
        </w:rPr>
        <w:t xml:space="preserve"> </w:t>
      </w:r>
      <w:r w:rsidRPr="00422DCA">
        <w:rPr>
          <w:rFonts w:eastAsia="Times New Roman" w:cs="Times New Roman"/>
          <w:lang w:eastAsia="de-DE"/>
        </w:rPr>
        <w:t xml:space="preserve">(Konjunktion mit Qal Perfekt 2. Person maskulin Singular mit Waw consecutivum von </w:t>
      </w:r>
      <w:r w:rsidRPr="00422DCA">
        <w:rPr>
          <w:rFonts w:eastAsia="Times New Roman" w:cs="Times New Roman"/>
          <w:b/>
          <w:bCs/>
          <w:rtl/>
          <w:lang w:eastAsia="de-DE"/>
        </w:rPr>
        <w:t>אמר</w:t>
      </w:r>
      <w:r w:rsidRPr="00422DCA">
        <w:rPr>
          <w:rFonts w:eastAsia="Times New Roman" w:cs="Times New Roman"/>
          <w:rtl/>
          <w:lang w:eastAsia="de-DE"/>
        </w:rPr>
        <w:t xml:space="preserve"> </w:t>
      </w:r>
      <w:r w:rsidRPr="00422DCA">
        <w:rPr>
          <w:rFonts w:eastAsia="Times New Roman" w:cs="Times New Roman"/>
          <w:lang w:eastAsia="de-DE"/>
        </w:rPr>
        <w:t xml:space="preserve">„sagen" und Präposition </w:t>
      </w:r>
      <w:r w:rsidRPr="00422DCA">
        <w:rPr>
          <w:rFonts w:eastAsia="Times New Roman" w:cs="Times New Roman"/>
          <w:b/>
          <w:bCs/>
          <w:rtl/>
          <w:lang w:eastAsia="de-DE"/>
        </w:rPr>
        <w:lastRenderedPageBreak/>
        <w:t>אֶל</w:t>
      </w:r>
      <w:r w:rsidRPr="00422DCA">
        <w:rPr>
          <w:rFonts w:eastAsia="Times New Roman" w:cs="Times New Roman"/>
          <w:rtl/>
          <w:lang w:eastAsia="de-DE"/>
        </w:rPr>
        <w:t xml:space="preserve"> </w:t>
      </w:r>
      <w:r w:rsidRPr="00422DCA">
        <w:rPr>
          <w:rFonts w:eastAsia="Times New Roman" w:cs="Times New Roman"/>
          <w:lang w:eastAsia="de-DE"/>
        </w:rPr>
        <w:t xml:space="preserve">mit Suffix 3. Person Plural „und sage zu ihnen"). Die Doppelung </w:t>
      </w:r>
      <w:r w:rsidRPr="00422DCA">
        <w:rPr>
          <w:rFonts w:eastAsia="Times New Roman" w:cs="Times New Roman"/>
          <w:b/>
          <w:bCs/>
          <w:rtl/>
          <w:lang w:eastAsia="de-DE"/>
        </w:rPr>
        <w:t>דַּבֵּר ... וְאָמַרְתָּ</w:t>
      </w:r>
      <w:r w:rsidRPr="00422DCA">
        <w:rPr>
          <w:rFonts w:eastAsia="Times New Roman" w:cs="Times New Roman"/>
          <w:rtl/>
          <w:lang w:eastAsia="de-DE"/>
        </w:rPr>
        <w:t xml:space="preserve"> </w:t>
      </w:r>
      <w:r w:rsidRPr="00422DCA">
        <w:rPr>
          <w:rFonts w:eastAsia="Times New Roman" w:cs="Times New Roman"/>
          <w:lang w:eastAsia="de-DE"/>
        </w:rPr>
        <w:t>betont die Wichtigkeit.</w:t>
      </w:r>
    </w:p>
    <w:p w14:paraId="4FCF1E77" w14:textId="24525F33"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rtl/>
          <w:lang w:eastAsia="de-DE"/>
        </w:rPr>
        <w:t>כִּי אַתֶּם עֹבְרִים אֶת־הַיַּרְדֵּן אֶל־אֶרֶץ כְּנָעַן</w:t>
      </w:r>
      <w:r w:rsidRPr="00422DCA">
        <w:rPr>
          <w:rFonts w:eastAsia="Times New Roman" w:cs="Times New Roman"/>
          <w:rtl/>
          <w:lang w:eastAsia="de-DE"/>
        </w:rPr>
        <w:t xml:space="preserve"> </w:t>
      </w:r>
      <w:r w:rsidRPr="00422DCA">
        <w:rPr>
          <w:rFonts w:eastAsia="Times New Roman" w:cs="Times New Roman"/>
          <w:lang w:eastAsia="de-DE"/>
        </w:rPr>
        <w:t xml:space="preserve">ist die temporale Einleitung. </w:t>
      </w:r>
      <w:r w:rsidRPr="00422DCA">
        <w:rPr>
          <w:rFonts w:eastAsia="Times New Roman" w:cs="Times New Roman"/>
          <w:b/>
          <w:bCs/>
          <w:rtl/>
          <w:lang w:eastAsia="de-DE"/>
        </w:rPr>
        <w:t>כִּי אַתֶּם עֹבְרִים</w:t>
      </w:r>
      <w:r w:rsidRPr="00422DCA">
        <w:rPr>
          <w:rFonts w:eastAsia="Times New Roman" w:cs="Times New Roman"/>
          <w:rtl/>
          <w:lang w:eastAsia="de-DE"/>
        </w:rPr>
        <w:t xml:space="preserve"> </w:t>
      </w:r>
      <w:r w:rsidRPr="00422DCA">
        <w:rPr>
          <w:rFonts w:eastAsia="Times New Roman" w:cs="Times New Roman"/>
          <w:lang w:eastAsia="de-DE"/>
        </w:rPr>
        <w:t xml:space="preserve">(Partikel </w:t>
      </w:r>
      <w:r w:rsidRPr="00422DCA">
        <w:rPr>
          <w:rFonts w:eastAsia="Times New Roman" w:cs="Times New Roman"/>
          <w:b/>
          <w:bCs/>
          <w:rtl/>
          <w:lang w:eastAsia="de-DE"/>
        </w:rPr>
        <w:t>כִּי</w:t>
      </w:r>
      <w:r w:rsidRPr="00422DCA">
        <w:rPr>
          <w:rFonts w:eastAsia="Times New Roman" w:cs="Times New Roman"/>
          <w:rtl/>
          <w:lang w:eastAsia="de-DE"/>
        </w:rPr>
        <w:t xml:space="preserve"> </w:t>
      </w:r>
      <w:r w:rsidRPr="00422DCA">
        <w:rPr>
          <w:rFonts w:eastAsia="Times New Roman" w:cs="Times New Roman"/>
          <w:lang w:eastAsia="de-DE"/>
        </w:rPr>
        <w:t xml:space="preserve">„wenn, dass" mit Pronomen 2. Person Plural und Qal-Partizip Plural maskulin von </w:t>
      </w:r>
      <w:r w:rsidRPr="00422DCA">
        <w:rPr>
          <w:rFonts w:eastAsia="Times New Roman" w:cs="Times New Roman"/>
          <w:b/>
          <w:bCs/>
          <w:rtl/>
          <w:lang w:eastAsia="de-DE"/>
        </w:rPr>
        <w:t>עבר</w:t>
      </w:r>
      <w:r w:rsidRPr="00422DCA">
        <w:rPr>
          <w:rFonts w:eastAsia="Times New Roman" w:cs="Times New Roman"/>
          <w:rtl/>
          <w:lang w:eastAsia="de-DE"/>
        </w:rPr>
        <w:t xml:space="preserve"> </w:t>
      </w:r>
      <w:r w:rsidRPr="00422DCA">
        <w:rPr>
          <w:rFonts w:eastAsia="Times New Roman" w:cs="Times New Roman"/>
          <w:lang w:eastAsia="de-DE"/>
        </w:rPr>
        <w:t xml:space="preserve">„hinübergehen, überqueren" „wenn ihr übergeht"), </w:t>
      </w:r>
      <w:r w:rsidRPr="00422DCA">
        <w:rPr>
          <w:rFonts w:eastAsia="Times New Roman" w:cs="Times New Roman"/>
          <w:b/>
          <w:bCs/>
          <w:rtl/>
          <w:lang w:eastAsia="de-DE"/>
        </w:rPr>
        <w:t>אֶת־הַיַּרְדֵּן</w:t>
      </w:r>
      <w:r w:rsidRPr="00422DCA">
        <w:rPr>
          <w:rFonts w:eastAsia="Times New Roman" w:cs="Times New Roman"/>
          <w:rtl/>
          <w:lang w:eastAsia="de-DE"/>
        </w:rPr>
        <w:t xml:space="preserve"> </w:t>
      </w:r>
      <w:r w:rsidRPr="00422DCA">
        <w:rPr>
          <w:rFonts w:eastAsia="Times New Roman" w:cs="Times New Roman"/>
          <w:lang w:eastAsia="de-DE"/>
        </w:rPr>
        <w:t xml:space="preserve">(Akkusativpartikel mit </w:t>
      </w:r>
      <w:r w:rsidRPr="00422DCA">
        <w:rPr>
          <w:rFonts w:eastAsia="Times New Roman" w:cs="Times New Roman"/>
          <w:b/>
          <w:bCs/>
          <w:rtl/>
          <w:lang w:eastAsia="de-DE"/>
        </w:rPr>
        <w:t>יַרְדֵּן</w:t>
      </w:r>
      <w:r w:rsidRPr="00422DCA">
        <w:rPr>
          <w:rFonts w:eastAsia="Times New Roman" w:cs="Times New Roman"/>
          <w:rtl/>
          <w:lang w:eastAsia="de-DE"/>
        </w:rPr>
        <w:t xml:space="preserve"> </w:t>
      </w:r>
      <w:r w:rsidRPr="00422DCA">
        <w:rPr>
          <w:rFonts w:eastAsia="Times New Roman" w:cs="Times New Roman"/>
          <w:lang w:eastAsia="de-DE"/>
        </w:rPr>
        <w:t xml:space="preserve">mit Artikel „den Jordan"), </w:t>
      </w:r>
      <w:r w:rsidRPr="00422DCA">
        <w:rPr>
          <w:rFonts w:eastAsia="Times New Roman" w:cs="Times New Roman"/>
          <w:b/>
          <w:bCs/>
          <w:rtl/>
          <w:lang w:eastAsia="de-DE"/>
        </w:rPr>
        <w:t>אֶל־אֶרֶץ כְּנָעַן</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אֶל</w:t>
      </w:r>
      <w:r w:rsidRPr="00422DCA">
        <w:rPr>
          <w:rFonts w:eastAsia="Times New Roman" w:cs="Times New Roman"/>
          <w:rtl/>
          <w:lang w:eastAsia="de-DE"/>
        </w:rPr>
        <w:t xml:space="preserve"> </w:t>
      </w:r>
      <w:r w:rsidRPr="00422DCA">
        <w:rPr>
          <w:rFonts w:eastAsia="Times New Roman" w:cs="Times New Roman"/>
          <w:lang w:eastAsia="de-DE"/>
        </w:rPr>
        <w:t xml:space="preserve">mit </w:t>
      </w:r>
      <w:r w:rsidRPr="00422DCA">
        <w:rPr>
          <w:rFonts w:eastAsia="Times New Roman" w:cs="Times New Roman"/>
          <w:b/>
          <w:bCs/>
          <w:rtl/>
          <w:lang w:eastAsia="de-DE"/>
        </w:rPr>
        <w:t>אֶרֶץ</w:t>
      </w:r>
      <w:r w:rsidRPr="00422DCA">
        <w:rPr>
          <w:rFonts w:eastAsia="Times New Roman" w:cs="Times New Roman"/>
          <w:rtl/>
          <w:lang w:eastAsia="de-DE"/>
        </w:rPr>
        <w:t xml:space="preserve"> </w:t>
      </w:r>
      <w:r w:rsidRPr="00422DCA">
        <w:rPr>
          <w:rFonts w:eastAsia="Times New Roman" w:cs="Times New Roman"/>
          <w:lang w:eastAsia="de-DE"/>
        </w:rPr>
        <w:t xml:space="preserve">„Land" im </w:t>
      </w:r>
      <w:r w:rsidR="00F133EC">
        <w:rPr>
          <w:rFonts w:eastAsia="Times New Roman" w:cs="Times New Roman"/>
          <w:lang w:eastAsia="de-DE"/>
        </w:rPr>
        <w:t>Constructus</w:t>
      </w:r>
      <w:r w:rsidRPr="00422DCA">
        <w:rPr>
          <w:rFonts w:eastAsia="Times New Roman" w:cs="Times New Roman"/>
          <w:lang w:eastAsia="de-DE"/>
        </w:rPr>
        <w:t xml:space="preserve"> und </w:t>
      </w:r>
      <w:r w:rsidRPr="00422DCA">
        <w:rPr>
          <w:rFonts w:eastAsia="Times New Roman" w:cs="Times New Roman"/>
          <w:b/>
          <w:bCs/>
          <w:rtl/>
          <w:lang w:eastAsia="de-DE"/>
        </w:rPr>
        <w:t>כְּנָעַן</w:t>
      </w:r>
      <w:r w:rsidRPr="00422DCA">
        <w:rPr>
          <w:rFonts w:eastAsia="Times New Roman" w:cs="Times New Roman"/>
          <w:rtl/>
          <w:lang w:eastAsia="de-DE"/>
        </w:rPr>
        <w:t xml:space="preserve"> </w:t>
      </w:r>
      <w:r w:rsidRPr="00422DCA">
        <w:rPr>
          <w:rFonts w:eastAsia="Times New Roman" w:cs="Times New Roman"/>
          <w:lang w:eastAsia="de-DE"/>
        </w:rPr>
        <w:t>„Kanaan" „in das Land Kanaan").</w:t>
      </w:r>
    </w:p>
    <w:p w14:paraId="57D0894E"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Die Satzstruktur zeigt eine doppelte Redeaufforderung, gefolgt von einer konditional-temporalen Einleitung der eigentlichen Botschaft.</w:t>
      </w:r>
    </w:p>
    <w:p w14:paraId="76305983"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 xml:space="preserve">Der Vers schafft den Übergang von der Vergangenheit (Stationenliste V. 1-49) zur Zukunft: </w:t>
      </w:r>
      <w:r w:rsidRPr="00422DCA">
        <w:rPr>
          <w:rFonts w:eastAsia="Times New Roman" w:cs="Times New Roman"/>
          <w:b/>
          <w:bCs/>
          <w:rtl/>
          <w:lang w:eastAsia="de-DE"/>
        </w:rPr>
        <w:t>כִּי אַתֶּם עֹבְרִים אֶת־הַיַּרְדֵּן</w:t>
      </w:r>
      <w:r w:rsidRPr="00422DCA">
        <w:rPr>
          <w:rFonts w:eastAsia="Times New Roman" w:cs="Times New Roman"/>
          <w:rtl/>
          <w:lang w:eastAsia="de-DE"/>
        </w:rPr>
        <w:t xml:space="preserve"> </w:t>
      </w:r>
      <w:r w:rsidRPr="00422DCA">
        <w:rPr>
          <w:rFonts w:eastAsia="Times New Roman" w:cs="Times New Roman"/>
          <w:lang w:eastAsia="de-DE"/>
        </w:rPr>
        <w:t>(„wenn ihr den Jordan überquert") - die Landnahme steht unmittelbar bevor. Die folgende Rede wird Anweisungen für diese neue Phase geben.</w:t>
      </w:r>
    </w:p>
    <w:p w14:paraId="37E6F12C" w14:textId="77777777" w:rsidR="00422DCA" w:rsidRPr="00422DCA" w:rsidRDefault="00422DCA" w:rsidP="00422DCA">
      <w:pPr>
        <w:spacing w:before="100" w:beforeAutospacing="1" w:after="100" w:afterAutospacing="1" w:line="240" w:lineRule="auto"/>
        <w:outlineLvl w:val="0"/>
        <w:rPr>
          <w:rFonts w:eastAsia="Times New Roman" w:cs="Times New Roman"/>
          <w:b/>
          <w:bCs/>
          <w:kern w:val="36"/>
          <w:sz w:val="48"/>
          <w:szCs w:val="48"/>
          <w:lang w:eastAsia="de-DE"/>
        </w:rPr>
      </w:pPr>
      <w:r w:rsidRPr="00422DCA">
        <w:rPr>
          <w:rFonts w:eastAsia="Times New Roman" w:cs="Times New Roman"/>
          <w:b/>
          <w:bCs/>
          <w:kern w:val="36"/>
          <w:sz w:val="48"/>
          <w:szCs w:val="48"/>
          <w:lang w:eastAsia="de-DE"/>
        </w:rPr>
        <w:t>Numeri 33,52</w:t>
      </w:r>
    </w:p>
    <w:p w14:paraId="31BF051E"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Hebräisch:</w:t>
      </w:r>
      <w:r w:rsidRPr="00422DCA">
        <w:rPr>
          <w:rFonts w:eastAsia="Times New Roman" w:cs="Times New Roman"/>
          <w:lang w:eastAsia="de-DE"/>
        </w:rPr>
        <w:t xml:space="preserve"> </w:t>
      </w:r>
      <w:r w:rsidRPr="00422DCA">
        <w:rPr>
          <w:rFonts w:eastAsia="Times New Roman" w:cs="Times New Roman"/>
          <w:rtl/>
          <w:lang w:eastAsia="de-DE"/>
        </w:rPr>
        <w:t>וְה֨וֹרַשְׁתֶּ֜ם אֶת־כָּל־יֹשְׁבֵ֤י הָאָ֙רֶץ֙ מִפְּנֵיכֶ֔ם וְאִ֨בַּדְתֶּ֔ם אֵ֖ת כָּל־מַשְׂכִּיֹּתָ֑ם וְאֵ֨ת כָּל־צַלְמֵ֤י מַסֵּֽכֹתָם֙ תְּאַבֵּ֔דוּ וְאֵ֥ת כָּל־בָּמֹתָ֖ם תַּשְׁמִֽידוּ׃</w:t>
      </w:r>
    </w:p>
    <w:p w14:paraId="08342B77"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Deutsch:</w:t>
      </w:r>
      <w:r w:rsidRPr="00422DCA">
        <w:rPr>
          <w:rFonts w:eastAsia="Times New Roman" w:cs="Times New Roman"/>
          <w:lang w:eastAsia="de-DE"/>
        </w:rPr>
        <w:t xml:space="preserve"> Sollt ihr alle Bewohner des Landes vor eurem Angesicht vertreiben und all ihre Bildwerke zerstören; und all ihre gegossenen Bilder sollt ihr zerstören und all ihre Höhen vernichten.</w:t>
      </w:r>
    </w:p>
    <w:p w14:paraId="5474265B" w14:textId="77777777" w:rsidR="00422DCA" w:rsidRPr="00422DCA" w:rsidRDefault="00F329DD" w:rsidP="00422DCA">
      <w:pPr>
        <w:spacing w:after="0" w:line="240" w:lineRule="auto"/>
        <w:rPr>
          <w:rFonts w:eastAsia="Times New Roman" w:cs="Times New Roman"/>
          <w:lang w:eastAsia="de-DE"/>
        </w:rPr>
      </w:pPr>
      <w:r>
        <w:rPr>
          <w:rFonts w:eastAsia="Times New Roman" w:cs="Times New Roman"/>
          <w:lang w:eastAsia="de-DE"/>
        </w:rPr>
        <w:pict w14:anchorId="2BC89013">
          <v:rect id="_x0000_i2034" style="width:0;height:1.5pt" o:hralign="center" o:hrstd="t" o:hr="t" fillcolor="#a0a0a0" stroked="f"/>
        </w:pict>
      </w:r>
    </w:p>
    <w:p w14:paraId="06F05EC2" w14:textId="2FEB3D86"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Kommentar:</w:t>
      </w:r>
      <w:r w:rsidRPr="00422DCA">
        <w:rPr>
          <w:rFonts w:eastAsia="Times New Roman" w:cs="Times New Roman"/>
          <w:lang w:eastAsia="de-DE"/>
        </w:rPr>
        <w:t xml:space="preserve"> Der Vers gibt drei strenge Befehle zur Landnahme. </w:t>
      </w:r>
      <w:r w:rsidRPr="00422DCA">
        <w:rPr>
          <w:rFonts w:eastAsia="Times New Roman" w:cs="Times New Roman"/>
          <w:b/>
          <w:bCs/>
          <w:rtl/>
          <w:lang w:eastAsia="de-DE"/>
        </w:rPr>
        <w:t>וְהוֹרַשְׁתֶּם אֶת־כָּל־יֹשְׁבֵי הָאָרֶץ מִפְּנֵיכֶם</w:t>
      </w:r>
      <w:r w:rsidRPr="00422DCA">
        <w:rPr>
          <w:rFonts w:eastAsia="Times New Roman" w:cs="Times New Roman"/>
          <w:rtl/>
          <w:lang w:eastAsia="de-DE"/>
        </w:rPr>
        <w:t xml:space="preserve"> </w:t>
      </w:r>
      <w:r w:rsidRPr="00422DCA">
        <w:rPr>
          <w:rFonts w:eastAsia="Times New Roman" w:cs="Times New Roman"/>
          <w:lang w:eastAsia="de-DE"/>
        </w:rPr>
        <w:t xml:space="preserve">ist der erste Befehl. </w:t>
      </w:r>
      <w:r w:rsidRPr="00422DCA">
        <w:rPr>
          <w:rFonts w:eastAsia="Times New Roman" w:cs="Times New Roman"/>
          <w:b/>
          <w:bCs/>
          <w:rtl/>
          <w:lang w:eastAsia="de-DE"/>
        </w:rPr>
        <w:t>וְהוֹרַשְׁתֶּם</w:t>
      </w:r>
      <w:r w:rsidRPr="00422DCA">
        <w:rPr>
          <w:rFonts w:eastAsia="Times New Roman" w:cs="Times New Roman"/>
          <w:rtl/>
          <w:lang w:eastAsia="de-DE"/>
        </w:rPr>
        <w:t xml:space="preserve"> </w:t>
      </w:r>
      <w:r w:rsidRPr="00422DCA">
        <w:rPr>
          <w:rFonts w:eastAsia="Times New Roman" w:cs="Times New Roman"/>
          <w:lang w:eastAsia="de-DE"/>
        </w:rPr>
        <w:t xml:space="preserve">(Konjunktion mit Hiphil Perfekt 2. Person Plural mit Waw consecutivum von </w:t>
      </w:r>
      <w:r w:rsidRPr="00422DCA">
        <w:rPr>
          <w:rFonts w:eastAsia="Times New Roman" w:cs="Times New Roman"/>
          <w:b/>
          <w:bCs/>
          <w:rtl/>
          <w:lang w:eastAsia="de-DE"/>
        </w:rPr>
        <w:t>ירשׁ</w:t>
      </w:r>
      <w:r w:rsidRPr="00422DCA">
        <w:rPr>
          <w:rFonts w:eastAsia="Times New Roman" w:cs="Times New Roman"/>
          <w:rtl/>
          <w:lang w:eastAsia="de-DE"/>
        </w:rPr>
        <w:t xml:space="preserve"> </w:t>
      </w:r>
      <w:r w:rsidRPr="00422DCA">
        <w:rPr>
          <w:rFonts w:eastAsia="Times New Roman" w:cs="Times New Roman"/>
          <w:lang w:eastAsia="de-DE"/>
        </w:rPr>
        <w:t xml:space="preserve">„in Besitz nehmen, vertreiben" „sollt ihr vertreiben"), </w:t>
      </w:r>
      <w:r w:rsidRPr="00422DCA">
        <w:rPr>
          <w:rFonts w:eastAsia="Times New Roman" w:cs="Times New Roman"/>
          <w:b/>
          <w:bCs/>
          <w:rtl/>
          <w:lang w:eastAsia="de-DE"/>
        </w:rPr>
        <w:t>אֶת־כָּל־יֹשְׁבֵי הָאָרֶץ</w:t>
      </w:r>
      <w:r w:rsidRPr="00422DCA">
        <w:rPr>
          <w:rFonts w:eastAsia="Times New Roman" w:cs="Times New Roman"/>
          <w:rtl/>
          <w:lang w:eastAsia="de-DE"/>
        </w:rPr>
        <w:t xml:space="preserve"> </w:t>
      </w:r>
      <w:r w:rsidRPr="00422DCA">
        <w:rPr>
          <w:rFonts w:eastAsia="Times New Roman" w:cs="Times New Roman"/>
          <w:lang w:eastAsia="de-DE"/>
        </w:rPr>
        <w:t xml:space="preserve">(Akkusativpartikel mit </w:t>
      </w:r>
      <w:r w:rsidRPr="00422DCA">
        <w:rPr>
          <w:rFonts w:eastAsia="Times New Roman" w:cs="Times New Roman"/>
          <w:b/>
          <w:bCs/>
          <w:rtl/>
          <w:lang w:eastAsia="de-DE"/>
        </w:rPr>
        <w:t>כֹּל</w:t>
      </w:r>
      <w:r w:rsidRPr="00422DCA">
        <w:rPr>
          <w:rFonts w:eastAsia="Times New Roman" w:cs="Times New Roman"/>
          <w:rtl/>
          <w:lang w:eastAsia="de-DE"/>
        </w:rPr>
        <w:t xml:space="preserve"> </w:t>
      </w:r>
      <w:r w:rsidRPr="00422DCA">
        <w:rPr>
          <w:rFonts w:eastAsia="Times New Roman" w:cs="Times New Roman"/>
          <w:lang w:eastAsia="de-DE"/>
        </w:rPr>
        <w:t xml:space="preserve">„alle" und Qal-Partizip Plural von </w:t>
      </w:r>
      <w:r w:rsidRPr="00422DCA">
        <w:rPr>
          <w:rFonts w:eastAsia="Times New Roman" w:cs="Times New Roman"/>
          <w:b/>
          <w:bCs/>
          <w:rtl/>
          <w:lang w:eastAsia="de-DE"/>
        </w:rPr>
        <w:t>ישׁב</w:t>
      </w:r>
      <w:r w:rsidRPr="00422DCA">
        <w:rPr>
          <w:rFonts w:eastAsia="Times New Roman" w:cs="Times New Roman"/>
          <w:rtl/>
          <w:lang w:eastAsia="de-DE"/>
        </w:rPr>
        <w:t xml:space="preserve"> </w:t>
      </w:r>
      <w:r w:rsidRPr="00422DCA">
        <w:rPr>
          <w:rFonts w:eastAsia="Times New Roman" w:cs="Times New Roman"/>
          <w:lang w:eastAsia="de-DE"/>
        </w:rPr>
        <w:t xml:space="preserve">„wohnen" im </w:t>
      </w:r>
      <w:r w:rsidR="00F133EC">
        <w:rPr>
          <w:rFonts w:eastAsia="Times New Roman" w:cs="Times New Roman"/>
          <w:lang w:eastAsia="de-DE"/>
        </w:rPr>
        <w:t>Constructus</w:t>
      </w:r>
      <w:r w:rsidRPr="00422DCA">
        <w:rPr>
          <w:rFonts w:eastAsia="Times New Roman" w:cs="Times New Roman"/>
          <w:lang w:eastAsia="de-DE"/>
        </w:rPr>
        <w:t xml:space="preserve"> mit </w:t>
      </w:r>
      <w:r w:rsidRPr="00422DCA">
        <w:rPr>
          <w:rFonts w:eastAsia="Times New Roman" w:cs="Times New Roman"/>
          <w:b/>
          <w:bCs/>
          <w:rtl/>
          <w:lang w:eastAsia="de-DE"/>
        </w:rPr>
        <w:t>אֶרֶץ</w:t>
      </w:r>
      <w:r w:rsidRPr="00422DCA">
        <w:rPr>
          <w:rFonts w:eastAsia="Times New Roman" w:cs="Times New Roman"/>
          <w:rtl/>
          <w:lang w:eastAsia="de-DE"/>
        </w:rPr>
        <w:t xml:space="preserve"> </w:t>
      </w:r>
      <w:r w:rsidRPr="00422DCA">
        <w:rPr>
          <w:rFonts w:eastAsia="Times New Roman" w:cs="Times New Roman"/>
          <w:lang w:eastAsia="de-DE"/>
        </w:rPr>
        <w:t xml:space="preserve">mit Artikel „alle Bewohner des Landes"), </w:t>
      </w:r>
      <w:r w:rsidRPr="00422DCA">
        <w:rPr>
          <w:rFonts w:eastAsia="Times New Roman" w:cs="Times New Roman"/>
          <w:b/>
          <w:bCs/>
          <w:rtl/>
          <w:lang w:eastAsia="de-DE"/>
        </w:rPr>
        <w:t>מִפְּנֵיכֶם</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מִן</w:t>
      </w:r>
      <w:r w:rsidRPr="00422DCA">
        <w:rPr>
          <w:rFonts w:eastAsia="Times New Roman" w:cs="Times New Roman"/>
          <w:rtl/>
          <w:lang w:eastAsia="de-DE"/>
        </w:rPr>
        <w:t xml:space="preserve"> </w:t>
      </w:r>
      <w:r w:rsidRPr="00422DCA">
        <w:rPr>
          <w:rFonts w:eastAsia="Times New Roman" w:cs="Times New Roman"/>
          <w:lang w:eastAsia="de-DE"/>
        </w:rPr>
        <w:t xml:space="preserve">mit Plural </w:t>
      </w:r>
      <w:r w:rsidRPr="00422DCA">
        <w:rPr>
          <w:rFonts w:eastAsia="Times New Roman" w:cs="Times New Roman"/>
          <w:b/>
          <w:bCs/>
          <w:rtl/>
          <w:lang w:eastAsia="de-DE"/>
        </w:rPr>
        <w:t>פָּנֶה</w:t>
      </w:r>
      <w:r w:rsidRPr="00422DCA">
        <w:rPr>
          <w:rFonts w:eastAsia="Times New Roman" w:cs="Times New Roman"/>
          <w:rtl/>
          <w:lang w:eastAsia="de-DE"/>
        </w:rPr>
        <w:t xml:space="preserve"> </w:t>
      </w:r>
      <w:r w:rsidRPr="00422DCA">
        <w:rPr>
          <w:rFonts w:eastAsia="Times New Roman" w:cs="Times New Roman"/>
          <w:lang w:eastAsia="de-DE"/>
        </w:rPr>
        <w:t>„Angesicht" und Suffix 2. Person Plural „vor eurem Angesicht, weg von euch").</w:t>
      </w:r>
    </w:p>
    <w:p w14:paraId="4E6FE8F4"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rtl/>
          <w:lang w:eastAsia="de-DE"/>
        </w:rPr>
        <w:t>וְאִבַּדְתֶּם אֵת כָּל־מַשְׂכִּיֹּתָם</w:t>
      </w:r>
      <w:r w:rsidRPr="00422DCA">
        <w:rPr>
          <w:rFonts w:eastAsia="Times New Roman" w:cs="Times New Roman"/>
          <w:rtl/>
          <w:lang w:eastAsia="de-DE"/>
        </w:rPr>
        <w:t xml:space="preserve"> </w:t>
      </w:r>
      <w:r w:rsidRPr="00422DCA">
        <w:rPr>
          <w:rFonts w:eastAsia="Times New Roman" w:cs="Times New Roman"/>
          <w:lang w:eastAsia="de-DE"/>
        </w:rPr>
        <w:t xml:space="preserve">ist der zweite Befehl. </w:t>
      </w:r>
      <w:r w:rsidRPr="00422DCA">
        <w:rPr>
          <w:rFonts w:eastAsia="Times New Roman" w:cs="Times New Roman"/>
          <w:b/>
          <w:bCs/>
          <w:rtl/>
          <w:lang w:eastAsia="de-DE"/>
        </w:rPr>
        <w:t>וְאִבַּדְתֶּם</w:t>
      </w:r>
      <w:r w:rsidRPr="00422DCA">
        <w:rPr>
          <w:rFonts w:eastAsia="Times New Roman" w:cs="Times New Roman"/>
          <w:rtl/>
          <w:lang w:eastAsia="de-DE"/>
        </w:rPr>
        <w:t xml:space="preserve"> </w:t>
      </w:r>
      <w:r w:rsidRPr="00422DCA">
        <w:rPr>
          <w:rFonts w:eastAsia="Times New Roman" w:cs="Times New Roman"/>
          <w:lang w:eastAsia="de-DE"/>
        </w:rPr>
        <w:t xml:space="preserve">(Konjunktion mit Piel Perfekt 2. Person Plural mit Waw consecutivum von </w:t>
      </w:r>
      <w:r w:rsidRPr="00422DCA">
        <w:rPr>
          <w:rFonts w:eastAsia="Times New Roman" w:cs="Times New Roman"/>
          <w:b/>
          <w:bCs/>
          <w:rtl/>
          <w:lang w:eastAsia="de-DE"/>
        </w:rPr>
        <w:t>אבד</w:t>
      </w:r>
      <w:r w:rsidRPr="00422DCA">
        <w:rPr>
          <w:rFonts w:eastAsia="Times New Roman" w:cs="Times New Roman"/>
          <w:rtl/>
          <w:lang w:eastAsia="de-DE"/>
        </w:rPr>
        <w:t xml:space="preserve"> </w:t>
      </w:r>
      <w:r w:rsidRPr="00422DCA">
        <w:rPr>
          <w:rFonts w:eastAsia="Times New Roman" w:cs="Times New Roman"/>
          <w:lang w:eastAsia="de-DE"/>
        </w:rPr>
        <w:t xml:space="preserve">„zugrunde richten, vernichten, zerstören"), </w:t>
      </w:r>
      <w:r w:rsidRPr="00422DCA">
        <w:rPr>
          <w:rFonts w:eastAsia="Times New Roman" w:cs="Times New Roman"/>
          <w:b/>
          <w:bCs/>
          <w:rtl/>
          <w:lang w:eastAsia="de-DE"/>
        </w:rPr>
        <w:t>אֵת כָּל־מַשְׂכִּיֹּתָם</w:t>
      </w:r>
      <w:r w:rsidRPr="00422DCA">
        <w:rPr>
          <w:rFonts w:eastAsia="Times New Roman" w:cs="Times New Roman"/>
          <w:rtl/>
          <w:lang w:eastAsia="de-DE"/>
        </w:rPr>
        <w:t xml:space="preserve"> </w:t>
      </w:r>
      <w:r w:rsidRPr="00422DCA">
        <w:rPr>
          <w:rFonts w:eastAsia="Times New Roman" w:cs="Times New Roman"/>
          <w:lang w:eastAsia="de-DE"/>
        </w:rPr>
        <w:t xml:space="preserve">(Akkusativpartikel mit </w:t>
      </w:r>
      <w:r w:rsidRPr="00422DCA">
        <w:rPr>
          <w:rFonts w:eastAsia="Times New Roman" w:cs="Times New Roman"/>
          <w:b/>
          <w:bCs/>
          <w:rtl/>
          <w:lang w:eastAsia="de-DE"/>
        </w:rPr>
        <w:t>כֹּל</w:t>
      </w:r>
      <w:r w:rsidRPr="00422DCA">
        <w:rPr>
          <w:rFonts w:eastAsia="Times New Roman" w:cs="Times New Roman"/>
          <w:rtl/>
          <w:lang w:eastAsia="de-DE"/>
        </w:rPr>
        <w:t xml:space="preserve"> </w:t>
      </w:r>
      <w:r w:rsidRPr="00422DCA">
        <w:rPr>
          <w:rFonts w:eastAsia="Times New Roman" w:cs="Times New Roman"/>
          <w:lang w:eastAsia="de-DE"/>
        </w:rPr>
        <w:t xml:space="preserve">und Plural </w:t>
      </w:r>
      <w:r w:rsidRPr="00422DCA">
        <w:rPr>
          <w:rFonts w:eastAsia="Times New Roman" w:cs="Times New Roman"/>
          <w:b/>
          <w:bCs/>
          <w:rtl/>
          <w:lang w:eastAsia="de-DE"/>
        </w:rPr>
        <w:t>מַשְׂכִּית</w:t>
      </w:r>
      <w:r w:rsidRPr="00422DCA">
        <w:rPr>
          <w:rFonts w:eastAsia="Times New Roman" w:cs="Times New Roman"/>
          <w:rtl/>
          <w:lang w:eastAsia="de-DE"/>
        </w:rPr>
        <w:t xml:space="preserve"> </w:t>
      </w:r>
      <w:r w:rsidRPr="00422DCA">
        <w:rPr>
          <w:rFonts w:eastAsia="Times New Roman" w:cs="Times New Roman"/>
          <w:lang w:eastAsia="de-DE"/>
        </w:rPr>
        <w:t xml:space="preserve">„Bildwerk, Relief, Skulptur" - von </w:t>
      </w:r>
      <w:r w:rsidRPr="00422DCA">
        <w:rPr>
          <w:rFonts w:eastAsia="Times New Roman" w:cs="Times New Roman"/>
          <w:b/>
          <w:bCs/>
          <w:rtl/>
          <w:lang w:eastAsia="de-DE"/>
        </w:rPr>
        <w:t>שׂכה</w:t>
      </w:r>
      <w:r w:rsidRPr="00422DCA">
        <w:rPr>
          <w:rFonts w:eastAsia="Times New Roman" w:cs="Times New Roman"/>
          <w:rtl/>
          <w:lang w:eastAsia="de-DE"/>
        </w:rPr>
        <w:t xml:space="preserve"> </w:t>
      </w:r>
      <w:r w:rsidRPr="00422DCA">
        <w:rPr>
          <w:rFonts w:eastAsia="Times New Roman" w:cs="Times New Roman"/>
          <w:lang w:eastAsia="de-DE"/>
        </w:rPr>
        <w:t>„schauen" - mit Suffix 3. Person Plural „all ihre Bildwerke").</w:t>
      </w:r>
    </w:p>
    <w:p w14:paraId="3648C67D" w14:textId="254FDBB6"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rtl/>
          <w:lang w:eastAsia="de-DE"/>
        </w:rPr>
        <w:t>וְאֵת כָּל־צַלְמֵי מַסֵּכֹתָם תְּאַבֵּדוּ וְאֵת כָּל־בָּמֹתָם תַּשְׁמִידוּ</w:t>
      </w:r>
      <w:r w:rsidRPr="00422DCA">
        <w:rPr>
          <w:rFonts w:eastAsia="Times New Roman" w:cs="Times New Roman"/>
          <w:rtl/>
          <w:lang w:eastAsia="de-DE"/>
        </w:rPr>
        <w:t xml:space="preserve"> </w:t>
      </w:r>
      <w:r w:rsidRPr="00422DCA">
        <w:rPr>
          <w:rFonts w:eastAsia="Times New Roman" w:cs="Times New Roman"/>
          <w:lang w:eastAsia="de-DE"/>
        </w:rPr>
        <w:t xml:space="preserve">sind der dritte und vierte Befehl. </w:t>
      </w:r>
      <w:r w:rsidRPr="00422DCA">
        <w:rPr>
          <w:rFonts w:eastAsia="Times New Roman" w:cs="Times New Roman"/>
          <w:b/>
          <w:bCs/>
          <w:rtl/>
          <w:lang w:eastAsia="de-DE"/>
        </w:rPr>
        <w:t>וְאֵת כָּל־צַלְמֵי מַסֵּכֹתָם תְּאַבֵּדוּ</w:t>
      </w:r>
      <w:r w:rsidRPr="00422DCA">
        <w:rPr>
          <w:rFonts w:eastAsia="Times New Roman" w:cs="Times New Roman"/>
          <w:rtl/>
          <w:lang w:eastAsia="de-DE"/>
        </w:rPr>
        <w:t xml:space="preserve"> </w:t>
      </w:r>
      <w:r w:rsidRPr="00422DCA">
        <w:rPr>
          <w:rFonts w:eastAsia="Times New Roman" w:cs="Times New Roman"/>
          <w:lang w:eastAsia="de-DE"/>
        </w:rPr>
        <w:t xml:space="preserve">(Konjunktion mit Akkusativpartikel, </w:t>
      </w:r>
      <w:r w:rsidRPr="00422DCA">
        <w:rPr>
          <w:rFonts w:eastAsia="Times New Roman" w:cs="Times New Roman"/>
          <w:b/>
          <w:bCs/>
          <w:rtl/>
          <w:lang w:eastAsia="de-DE"/>
        </w:rPr>
        <w:t>כֹּל</w:t>
      </w:r>
      <w:r w:rsidRPr="00422DCA">
        <w:rPr>
          <w:rFonts w:eastAsia="Times New Roman" w:cs="Times New Roman"/>
          <w:lang w:eastAsia="de-DE"/>
        </w:rPr>
        <w:t xml:space="preserve">, Plural </w:t>
      </w:r>
      <w:r w:rsidR="00F133EC">
        <w:rPr>
          <w:rFonts w:eastAsia="Times New Roman" w:cs="Times New Roman"/>
          <w:lang w:eastAsia="de-DE"/>
        </w:rPr>
        <w:t>Constructus</w:t>
      </w:r>
      <w:r w:rsidRPr="00422DCA">
        <w:rPr>
          <w:rFonts w:eastAsia="Times New Roman" w:cs="Times New Roman"/>
          <w:lang w:eastAsia="de-DE"/>
        </w:rPr>
        <w:t xml:space="preserve"> </w:t>
      </w:r>
      <w:r w:rsidRPr="00422DCA">
        <w:rPr>
          <w:rFonts w:eastAsia="Times New Roman" w:cs="Times New Roman"/>
          <w:b/>
          <w:bCs/>
          <w:rtl/>
          <w:lang w:eastAsia="de-DE"/>
        </w:rPr>
        <w:t>צֶלֶם</w:t>
      </w:r>
      <w:r w:rsidRPr="00422DCA">
        <w:rPr>
          <w:rFonts w:eastAsia="Times New Roman" w:cs="Times New Roman"/>
          <w:rtl/>
          <w:lang w:eastAsia="de-DE"/>
        </w:rPr>
        <w:t xml:space="preserve"> </w:t>
      </w:r>
      <w:r w:rsidRPr="00422DCA">
        <w:rPr>
          <w:rFonts w:eastAsia="Times New Roman" w:cs="Times New Roman"/>
          <w:lang w:eastAsia="de-DE"/>
        </w:rPr>
        <w:t xml:space="preserve">„Bild, Abbild" mit Plural </w:t>
      </w:r>
      <w:r w:rsidRPr="00422DCA">
        <w:rPr>
          <w:rFonts w:eastAsia="Times New Roman" w:cs="Times New Roman"/>
          <w:b/>
          <w:bCs/>
          <w:rtl/>
          <w:lang w:eastAsia="de-DE"/>
        </w:rPr>
        <w:t>מַסֵּכָה</w:t>
      </w:r>
      <w:r w:rsidRPr="00422DCA">
        <w:rPr>
          <w:rFonts w:eastAsia="Times New Roman" w:cs="Times New Roman"/>
          <w:rtl/>
          <w:lang w:eastAsia="de-DE"/>
        </w:rPr>
        <w:t xml:space="preserve"> </w:t>
      </w:r>
      <w:r w:rsidRPr="00422DCA">
        <w:rPr>
          <w:rFonts w:eastAsia="Times New Roman" w:cs="Times New Roman"/>
          <w:lang w:eastAsia="de-DE"/>
        </w:rPr>
        <w:t xml:space="preserve">„Gussbild" - von </w:t>
      </w:r>
      <w:r w:rsidRPr="00422DCA">
        <w:rPr>
          <w:rFonts w:eastAsia="Times New Roman" w:cs="Times New Roman"/>
          <w:b/>
          <w:bCs/>
          <w:rtl/>
          <w:lang w:eastAsia="de-DE"/>
        </w:rPr>
        <w:t>נסך</w:t>
      </w:r>
      <w:r w:rsidRPr="00422DCA">
        <w:rPr>
          <w:rFonts w:eastAsia="Times New Roman" w:cs="Times New Roman"/>
          <w:rtl/>
          <w:lang w:eastAsia="de-DE"/>
        </w:rPr>
        <w:t xml:space="preserve"> </w:t>
      </w:r>
      <w:r w:rsidRPr="00422DCA">
        <w:rPr>
          <w:rFonts w:eastAsia="Times New Roman" w:cs="Times New Roman"/>
          <w:lang w:eastAsia="de-DE"/>
        </w:rPr>
        <w:t xml:space="preserve">„gießen" - und Suffix, dann Piel Imperfekt 2. Person Plural von </w:t>
      </w:r>
      <w:r w:rsidRPr="00422DCA">
        <w:rPr>
          <w:rFonts w:eastAsia="Times New Roman" w:cs="Times New Roman"/>
          <w:b/>
          <w:bCs/>
          <w:rtl/>
          <w:lang w:eastAsia="de-DE"/>
        </w:rPr>
        <w:t>אבד</w:t>
      </w:r>
      <w:r w:rsidRPr="00422DCA">
        <w:rPr>
          <w:rFonts w:eastAsia="Times New Roman" w:cs="Times New Roman"/>
          <w:rtl/>
          <w:lang w:eastAsia="de-DE"/>
        </w:rPr>
        <w:t xml:space="preserve"> </w:t>
      </w:r>
      <w:r w:rsidRPr="00422DCA">
        <w:rPr>
          <w:rFonts w:eastAsia="Times New Roman" w:cs="Times New Roman"/>
          <w:lang w:eastAsia="de-DE"/>
        </w:rPr>
        <w:t xml:space="preserve">„all ihre gegossenen Bilder sollt ihr zerstören"), </w:t>
      </w:r>
      <w:r w:rsidRPr="00422DCA">
        <w:rPr>
          <w:rFonts w:eastAsia="Times New Roman" w:cs="Times New Roman"/>
          <w:b/>
          <w:bCs/>
          <w:rtl/>
          <w:lang w:eastAsia="de-DE"/>
        </w:rPr>
        <w:t>וְאֵת כָּל־בָּמֹתָם תַּשְׁמִידוּ</w:t>
      </w:r>
      <w:r w:rsidRPr="00422DCA">
        <w:rPr>
          <w:rFonts w:eastAsia="Times New Roman" w:cs="Times New Roman"/>
          <w:rtl/>
          <w:lang w:eastAsia="de-DE"/>
        </w:rPr>
        <w:t xml:space="preserve"> </w:t>
      </w:r>
      <w:r w:rsidRPr="00422DCA">
        <w:rPr>
          <w:rFonts w:eastAsia="Times New Roman" w:cs="Times New Roman"/>
          <w:lang w:eastAsia="de-DE"/>
        </w:rPr>
        <w:t xml:space="preserve">(Konjunktion mit Akkusativpartikel, </w:t>
      </w:r>
      <w:r w:rsidRPr="00422DCA">
        <w:rPr>
          <w:rFonts w:eastAsia="Times New Roman" w:cs="Times New Roman"/>
          <w:b/>
          <w:bCs/>
          <w:rtl/>
          <w:lang w:eastAsia="de-DE"/>
        </w:rPr>
        <w:t>כֹּל</w:t>
      </w:r>
      <w:r w:rsidRPr="00422DCA">
        <w:rPr>
          <w:rFonts w:eastAsia="Times New Roman" w:cs="Times New Roman"/>
          <w:lang w:eastAsia="de-DE"/>
        </w:rPr>
        <w:t xml:space="preserve">, Plural </w:t>
      </w:r>
      <w:r w:rsidRPr="00422DCA">
        <w:rPr>
          <w:rFonts w:eastAsia="Times New Roman" w:cs="Times New Roman"/>
          <w:b/>
          <w:bCs/>
          <w:rtl/>
          <w:lang w:eastAsia="de-DE"/>
        </w:rPr>
        <w:t>בָּמָה</w:t>
      </w:r>
      <w:r w:rsidRPr="00422DCA">
        <w:rPr>
          <w:rFonts w:eastAsia="Times New Roman" w:cs="Times New Roman"/>
          <w:rtl/>
          <w:lang w:eastAsia="de-DE"/>
        </w:rPr>
        <w:t xml:space="preserve"> </w:t>
      </w:r>
      <w:r w:rsidRPr="00422DCA">
        <w:rPr>
          <w:rFonts w:eastAsia="Times New Roman" w:cs="Times New Roman"/>
          <w:lang w:eastAsia="de-DE"/>
        </w:rPr>
        <w:t xml:space="preserve">„Höhe, Kulthöhe" mit Suffix und Hiphil Imperfekt 2. Person Plural von </w:t>
      </w:r>
      <w:r w:rsidRPr="00422DCA">
        <w:rPr>
          <w:rFonts w:eastAsia="Times New Roman" w:cs="Times New Roman"/>
          <w:b/>
          <w:bCs/>
          <w:rtl/>
          <w:lang w:eastAsia="de-DE"/>
        </w:rPr>
        <w:t>שׁמד</w:t>
      </w:r>
      <w:r w:rsidRPr="00422DCA">
        <w:rPr>
          <w:rFonts w:eastAsia="Times New Roman" w:cs="Times New Roman"/>
          <w:rtl/>
          <w:lang w:eastAsia="de-DE"/>
        </w:rPr>
        <w:t xml:space="preserve"> </w:t>
      </w:r>
      <w:r w:rsidRPr="00422DCA">
        <w:rPr>
          <w:rFonts w:eastAsia="Times New Roman" w:cs="Times New Roman"/>
          <w:lang w:eastAsia="de-DE"/>
        </w:rPr>
        <w:t>„vernichten, vertilgen" „und all ihre Höhen sollt ihr vernichten").</w:t>
      </w:r>
    </w:p>
    <w:p w14:paraId="20F367D4"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Die Satzstruktur zeigt vier koordinierte Befehle: Vertreibung der Menschen, dann dreifache Zerstörung ihrer Kultgegenstände (Bildwerke, Gussbilder, Kulthöhen).</w:t>
      </w:r>
    </w:p>
    <w:p w14:paraId="34E2EF42" w14:textId="4924F2EC" w:rsid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lastRenderedPageBreak/>
        <w:t xml:space="preserve">Der Vers befiehlt radikale Maßnahmen: (1) </w:t>
      </w:r>
      <w:r w:rsidRPr="00422DCA">
        <w:rPr>
          <w:rFonts w:eastAsia="Times New Roman" w:cs="Times New Roman"/>
          <w:b/>
          <w:bCs/>
          <w:rtl/>
          <w:lang w:eastAsia="de-DE"/>
        </w:rPr>
        <w:t>וְהוֹרַשְׁתֶּם</w:t>
      </w:r>
      <w:r w:rsidRPr="00422DCA">
        <w:rPr>
          <w:rFonts w:eastAsia="Times New Roman" w:cs="Times New Roman"/>
          <w:rtl/>
          <w:lang w:eastAsia="de-DE"/>
        </w:rPr>
        <w:t xml:space="preserve"> </w:t>
      </w:r>
      <w:r w:rsidRPr="00422DCA">
        <w:rPr>
          <w:rFonts w:eastAsia="Times New Roman" w:cs="Times New Roman"/>
          <w:lang w:eastAsia="de-DE"/>
        </w:rPr>
        <w:t>- Vertreibung aller Bewohner, (2-4) vollständige Zerstörung ihrer Kultobjekte (</w:t>
      </w:r>
      <w:r w:rsidRPr="00422DCA">
        <w:rPr>
          <w:rFonts w:eastAsia="Times New Roman" w:cs="Times New Roman"/>
          <w:b/>
          <w:bCs/>
          <w:rtl/>
          <w:lang w:eastAsia="de-DE"/>
        </w:rPr>
        <w:t>מַשְׂכִּיֹּת</w:t>
      </w:r>
      <w:r w:rsidRPr="00422DCA">
        <w:rPr>
          <w:rFonts w:eastAsia="Times New Roman" w:cs="Times New Roman"/>
          <w:rtl/>
          <w:lang w:eastAsia="de-DE"/>
        </w:rPr>
        <w:t xml:space="preserve"> </w:t>
      </w:r>
      <w:r w:rsidRPr="00422DCA">
        <w:rPr>
          <w:rFonts w:eastAsia="Times New Roman" w:cs="Times New Roman"/>
          <w:lang w:eastAsia="de-DE"/>
        </w:rPr>
        <w:t xml:space="preserve">= Reliefs/Skulpturen, </w:t>
      </w:r>
      <w:r w:rsidRPr="00422DCA">
        <w:rPr>
          <w:rFonts w:eastAsia="Times New Roman" w:cs="Times New Roman"/>
          <w:b/>
          <w:bCs/>
          <w:rtl/>
          <w:lang w:eastAsia="de-DE"/>
        </w:rPr>
        <w:t>צַלְמֵי מַסֵּכֹת</w:t>
      </w:r>
      <w:r w:rsidRPr="00422DCA">
        <w:rPr>
          <w:rFonts w:eastAsia="Times New Roman" w:cs="Times New Roman"/>
          <w:rtl/>
          <w:lang w:eastAsia="de-DE"/>
        </w:rPr>
        <w:t xml:space="preserve"> </w:t>
      </w:r>
      <w:r w:rsidRPr="00422DCA">
        <w:rPr>
          <w:rFonts w:eastAsia="Times New Roman" w:cs="Times New Roman"/>
          <w:lang w:eastAsia="de-DE"/>
        </w:rPr>
        <w:t xml:space="preserve">= Gussbilder, </w:t>
      </w:r>
      <w:r w:rsidRPr="00422DCA">
        <w:rPr>
          <w:rFonts w:eastAsia="Times New Roman" w:cs="Times New Roman"/>
          <w:b/>
          <w:bCs/>
          <w:rtl/>
          <w:lang w:eastAsia="de-DE"/>
        </w:rPr>
        <w:t>בָּמוֹת</w:t>
      </w:r>
      <w:r w:rsidRPr="00422DCA">
        <w:rPr>
          <w:rFonts w:eastAsia="Times New Roman" w:cs="Times New Roman"/>
          <w:rtl/>
          <w:lang w:eastAsia="de-DE"/>
        </w:rPr>
        <w:t xml:space="preserve"> </w:t>
      </w:r>
      <w:r w:rsidRPr="00422DCA">
        <w:rPr>
          <w:rFonts w:eastAsia="Times New Roman" w:cs="Times New Roman"/>
          <w:lang w:eastAsia="de-DE"/>
        </w:rPr>
        <w:t xml:space="preserve">= Kulthöhen). Die dreifache Wiederholung von </w:t>
      </w:r>
      <w:r w:rsidRPr="00422DCA">
        <w:rPr>
          <w:rFonts w:eastAsia="Times New Roman" w:cs="Times New Roman"/>
          <w:b/>
          <w:bCs/>
          <w:rtl/>
          <w:lang w:eastAsia="de-DE"/>
        </w:rPr>
        <w:t>כָּל</w:t>
      </w:r>
      <w:r w:rsidRPr="00422DCA">
        <w:rPr>
          <w:rFonts w:eastAsia="Times New Roman" w:cs="Times New Roman"/>
          <w:rtl/>
          <w:lang w:eastAsia="de-DE"/>
        </w:rPr>
        <w:t xml:space="preserve"> </w:t>
      </w:r>
      <w:r w:rsidRPr="00422DCA">
        <w:rPr>
          <w:rFonts w:eastAsia="Times New Roman" w:cs="Times New Roman"/>
          <w:lang w:eastAsia="de-DE"/>
        </w:rPr>
        <w:t>(„alle") unterstreicht: keine Ausnahmen. Ziel ist die vollständige Beseitigung kanaanäischer Religion, um Israel vor Götzendienst zu schützen.</w:t>
      </w:r>
    </w:p>
    <w:p w14:paraId="794F57B6" w14:textId="77777777" w:rsidR="00422DCA" w:rsidRPr="00422DCA" w:rsidRDefault="00422DCA" w:rsidP="00422DCA">
      <w:pPr>
        <w:spacing w:before="100" w:beforeAutospacing="1" w:after="100" w:afterAutospacing="1" w:line="240" w:lineRule="auto"/>
        <w:outlineLvl w:val="0"/>
        <w:rPr>
          <w:rFonts w:eastAsia="Times New Roman" w:cs="Times New Roman"/>
          <w:b/>
          <w:bCs/>
          <w:kern w:val="36"/>
          <w:sz w:val="48"/>
          <w:szCs w:val="48"/>
          <w:lang w:eastAsia="de-DE"/>
        </w:rPr>
      </w:pPr>
      <w:r w:rsidRPr="00422DCA">
        <w:rPr>
          <w:rFonts w:eastAsia="Times New Roman" w:cs="Times New Roman"/>
          <w:b/>
          <w:bCs/>
          <w:kern w:val="36"/>
          <w:sz w:val="48"/>
          <w:szCs w:val="48"/>
          <w:lang w:eastAsia="de-DE"/>
        </w:rPr>
        <w:t>Numeri 33,53</w:t>
      </w:r>
    </w:p>
    <w:p w14:paraId="73E4D926"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Hebräisch:</w:t>
      </w:r>
      <w:r w:rsidRPr="00422DCA">
        <w:rPr>
          <w:rFonts w:eastAsia="Times New Roman" w:cs="Times New Roman"/>
          <w:lang w:eastAsia="de-DE"/>
        </w:rPr>
        <w:t xml:space="preserve"> </w:t>
      </w:r>
      <w:r w:rsidRPr="00422DCA">
        <w:rPr>
          <w:rFonts w:eastAsia="Times New Roman" w:cs="Times New Roman"/>
          <w:rtl/>
          <w:lang w:eastAsia="de-DE"/>
        </w:rPr>
        <w:t>וְהוֹרַשְׁתֶּ֥ם אֶת־הָאָ֖רֶץ וִֽישַׁבְתֶּם־בָּ֑הּ כִּ֥י לָכֶ֛ם נָתַ֥תִּי אֶת־הָאָ֖רֶץ לָרֶ֥שֶׁת אֹתָֽהּ׃</w:t>
      </w:r>
    </w:p>
    <w:p w14:paraId="2D6B86B5"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Deutsch:</w:t>
      </w:r>
      <w:r w:rsidRPr="00422DCA">
        <w:rPr>
          <w:rFonts w:eastAsia="Times New Roman" w:cs="Times New Roman"/>
          <w:lang w:eastAsia="de-DE"/>
        </w:rPr>
        <w:t xml:space="preserve"> Und ihr sollt das Land in Besitz nehmen und darin wohnen; denn euch habe ich das Land gegeben, es in Besitz zu nehmen.</w:t>
      </w:r>
    </w:p>
    <w:p w14:paraId="111BA9FE" w14:textId="77777777" w:rsidR="00422DCA" w:rsidRPr="00422DCA" w:rsidRDefault="00F329DD" w:rsidP="00422DCA">
      <w:pPr>
        <w:spacing w:after="0" w:line="240" w:lineRule="auto"/>
        <w:rPr>
          <w:rFonts w:eastAsia="Times New Roman" w:cs="Times New Roman"/>
          <w:lang w:eastAsia="de-DE"/>
        </w:rPr>
      </w:pPr>
      <w:r>
        <w:rPr>
          <w:rFonts w:eastAsia="Times New Roman" w:cs="Times New Roman"/>
          <w:lang w:eastAsia="de-DE"/>
        </w:rPr>
        <w:pict w14:anchorId="4D2B5AEF">
          <v:rect id="_x0000_i2035" style="width:0;height:1.5pt" o:hralign="center" o:hrstd="t" o:hr="t" fillcolor="#a0a0a0" stroked="f"/>
        </w:pict>
      </w:r>
    </w:p>
    <w:p w14:paraId="6D553FC0"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Kommentar:</w:t>
      </w:r>
      <w:r w:rsidRPr="00422DCA">
        <w:rPr>
          <w:rFonts w:eastAsia="Times New Roman" w:cs="Times New Roman"/>
          <w:lang w:eastAsia="de-DE"/>
        </w:rPr>
        <w:t xml:space="preserve"> Der Vers begründet die Befehle theologisch. </w:t>
      </w:r>
      <w:r w:rsidRPr="00422DCA">
        <w:rPr>
          <w:rFonts w:eastAsia="Times New Roman" w:cs="Times New Roman"/>
          <w:b/>
          <w:bCs/>
          <w:rtl/>
          <w:lang w:eastAsia="de-DE"/>
        </w:rPr>
        <w:t>וְהוֹרַשְׁתֶּם אֶת־הָאָרֶץ וִישַׁבְתֶּם־בָּהּ</w:t>
      </w:r>
      <w:r w:rsidRPr="00422DCA">
        <w:rPr>
          <w:rFonts w:eastAsia="Times New Roman" w:cs="Times New Roman"/>
          <w:rtl/>
          <w:lang w:eastAsia="de-DE"/>
        </w:rPr>
        <w:t xml:space="preserve"> </w:t>
      </w:r>
      <w:r w:rsidRPr="00422DCA">
        <w:rPr>
          <w:rFonts w:eastAsia="Times New Roman" w:cs="Times New Roman"/>
          <w:lang w:eastAsia="de-DE"/>
        </w:rPr>
        <w:t xml:space="preserve">sind die beiden Hauptbefehle. </w:t>
      </w:r>
      <w:r w:rsidRPr="00422DCA">
        <w:rPr>
          <w:rFonts w:eastAsia="Times New Roman" w:cs="Times New Roman"/>
          <w:b/>
          <w:bCs/>
          <w:rtl/>
          <w:lang w:eastAsia="de-DE"/>
        </w:rPr>
        <w:t>וְהוֹרַשְׁתֶּם אֶת־הָאָרֶץ</w:t>
      </w:r>
      <w:r w:rsidRPr="00422DCA">
        <w:rPr>
          <w:rFonts w:eastAsia="Times New Roman" w:cs="Times New Roman"/>
          <w:rtl/>
          <w:lang w:eastAsia="de-DE"/>
        </w:rPr>
        <w:t xml:space="preserve"> </w:t>
      </w:r>
      <w:r w:rsidRPr="00422DCA">
        <w:rPr>
          <w:rFonts w:eastAsia="Times New Roman" w:cs="Times New Roman"/>
          <w:lang w:eastAsia="de-DE"/>
        </w:rPr>
        <w:t xml:space="preserve">(Konjunktion mit Hiphil Perfekt 2. Person Plural mit Waw consecutivum von </w:t>
      </w:r>
      <w:r w:rsidRPr="00422DCA">
        <w:rPr>
          <w:rFonts w:eastAsia="Times New Roman" w:cs="Times New Roman"/>
          <w:b/>
          <w:bCs/>
          <w:rtl/>
          <w:lang w:eastAsia="de-DE"/>
        </w:rPr>
        <w:t>ירשׁ</w:t>
      </w:r>
      <w:r w:rsidRPr="00422DCA">
        <w:rPr>
          <w:rFonts w:eastAsia="Times New Roman" w:cs="Times New Roman"/>
          <w:rtl/>
          <w:lang w:eastAsia="de-DE"/>
        </w:rPr>
        <w:t xml:space="preserve"> </w:t>
      </w:r>
      <w:r w:rsidRPr="00422DCA">
        <w:rPr>
          <w:rFonts w:eastAsia="Times New Roman" w:cs="Times New Roman"/>
          <w:lang w:eastAsia="de-DE"/>
        </w:rPr>
        <w:t xml:space="preserve">„in Besitz nehmen" und Akkusativpartikel mit </w:t>
      </w:r>
      <w:r w:rsidRPr="00422DCA">
        <w:rPr>
          <w:rFonts w:eastAsia="Times New Roman" w:cs="Times New Roman"/>
          <w:b/>
          <w:bCs/>
          <w:rtl/>
          <w:lang w:eastAsia="de-DE"/>
        </w:rPr>
        <w:t>אֶרֶץ</w:t>
      </w:r>
      <w:r w:rsidRPr="00422DCA">
        <w:rPr>
          <w:rFonts w:eastAsia="Times New Roman" w:cs="Times New Roman"/>
          <w:rtl/>
          <w:lang w:eastAsia="de-DE"/>
        </w:rPr>
        <w:t xml:space="preserve"> </w:t>
      </w:r>
      <w:r w:rsidRPr="00422DCA">
        <w:rPr>
          <w:rFonts w:eastAsia="Times New Roman" w:cs="Times New Roman"/>
          <w:lang w:eastAsia="de-DE"/>
        </w:rPr>
        <w:t xml:space="preserve">mit Artikel „und ihr sollt das Land in Besitz nehmen"), </w:t>
      </w:r>
      <w:r w:rsidRPr="00422DCA">
        <w:rPr>
          <w:rFonts w:eastAsia="Times New Roman" w:cs="Times New Roman"/>
          <w:b/>
          <w:bCs/>
          <w:rtl/>
          <w:lang w:eastAsia="de-DE"/>
        </w:rPr>
        <w:t>וִישַׁבְתֶּם־בָּהּ</w:t>
      </w:r>
      <w:r w:rsidRPr="00422DCA">
        <w:rPr>
          <w:rFonts w:eastAsia="Times New Roman" w:cs="Times New Roman"/>
          <w:rtl/>
          <w:lang w:eastAsia="de-DE"/>
        </w:rPr>
        <w:t xml:space="preserve"> </w:t>
      </w:r>
      <w:r w:rsidRPr="00422DCA">
        <w:rPr>
          <w:rFonts w:eastAsia="Times New Roman" w:cs="Times New Roman"/>
          <w:lang w:eastAsia="de-DE"/>
        </w:rPr>
        <w:t xml:space="preserve">(Konjunktion mit Qal Perfekt 2. Person Plural mit Waw consecutivum von </w:t>
      </w:r>
      <w:r w:rsidRPr="00422DCA">
        <w:rPr>
          <w:rFonts w:eastAsia="Times New Roman" w:cs="Times New Roman"/>
          <w:b/>
          <w:bCs/>
          <w:rtl/>
          <w:lang w:eastAsia="de-DE"/>
        </w:rPr>
        <w:t>ישׁב</w:t>
      </w:r>
      <w:r w:rsidRPr="00422DCA">
        <w:rPr>
          <w:rFonts w:eastAsia="Times New Roman" w:cs="Times New Roman"/>
          <w:rtl/>
          <w:lang w:eastAsia="de-DE"/>
        </w:rPr>
        <w:t xml:space="preserve"> </w:t>
      </w:r>
      <w:r w:rsidRPr="00422DCA">
        <w:rPr>
          <w:rFonts w:eastAsia="Times New Roman" w:cs="Times New Roman"/>
          <w:lang w:eastAsia="de-DE"/>
        </w:rPr>
        <w:t xml:space="preserve">„wohnen, siedeln" und Präposition </w:t>
      </w:r>
      <w:r w:rsidRPr="00422DCA">
        <w:rPr>
          <w:rFonts w:eastAsia="Times New Roman" w:cs="Times New Roman"/>
          <w:b/>
          <w:bCs/>
          <w:rtl/>
          <w:lang w:eastAsia="de-DE"/>
        </w:rPr>
        <w:t>בְ</w:t>
      </w:r>
      <w:r w:rsidRPr="00422DCA">
        <w:rPr>
          <w:rFonts w:eastAsia="Times New Roman" w:cs="Times New Roman"/>
          <w:rtl/>
          <w:lang w:eastAsia="de-DE"/>
        </w:rPr>
        <w:t xml:space="preserve"> </w:t>
      </w:r>
      <w:r w:rsidRPr="00422DCA">
        <w:rPr>
          <w:rFonts w:eastAsia="Times New Roman" w:cs="Times New Roman"/>
          <w:lang w:eastAsia="de-DE"/>
        </w:rPr>
        <w:t>mit Suffix 3. Person feminin Singular „und darin wohnen").</w:t>
      </w:r>
    </w:p>
    <w:p w14:paraId="7A7B97B7" w14:textId="0DF835C6"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rtl/>
          <w:lang w:eastAsia="de-DE"/>
        </w:rPr>
        <w:t>כִּי לָכֶם נָתַתִּי אֶת־הָאָרֶץ לָרֶשֶׁת אֹתָהּ</w:t>
      </w:r>
      <w:r w:rsidRPr="00422DCA">
        <w:rPr>
          <w:rFonts w:eastAsia="Times New Roman" w:cs="Times New Roman"/>
          <w:rtl/>
          <w:lang w:eastAsia="de-DE"/>
        </w:rPr>
        <w:t xml:space="preserve"> </w:t>
      </w:r>
      <w:r w:rsidRPr="00422DCA">
        <w:rPr>
          <w:rFonts w:eastAsia="Times New Roman" w:cs="Times New Roman"/>
          <w:lang w:eastAsia="de-DE"/>
        </w:rPr>
        <w:t xml:space="preserve">ist die theologische Begründung. </w:t>
      </w:r>
      <w:r w:rsidRPr="00422DCA">
        <w:rPr>
          <w:rFonts w:eastAsia="Times New Roman" w:cs="Times New Roman"/>
          <w:b/>
          <w:bCs/>
          <w:rtl/>
          <w:lang w:eastAsia="de-DE"/>
        </w:rPr>
        <w:t>כִּי</w:t>
      </w:r>
      <w:r w:rsidRPr="00422DCA">
        <w:rPr>
          <w:rFonts w:eastAsia="Times New Roman" w:cs="Times New Roman"/>
          <w:rtl/>
          <w:lang w:eastAsia="de-DE"/>
        </w:rPr>
        <w:t xml:space="preserve"> </w:t>
      </w:r>
      <w:r w:rsidRPr="00422DCA">
        <w:rPr>
          <w:rFonts w:eastAsia="Times New Roman" w:cs="Times New Roman"/>
          <w:lang w:eastAsia="de-DE"/>
        </w:rPr>
        <w:t xml:space="preserve">(kausale Konjunktion „denn"), </w:t>
      </w:r>
      <w:r w:rsidRPr="00422DCA">
        <w:rPr>
          <w:rFonts w:eastAsia="Times New Roman" w:cs="Times New Roman"/>
          <w:b/>
          <w:bCs/>
          <w:rtl/>
          <w:lang w:eastAsia="de-DE"/>
        </w:rPr>
        <w:t>לָכֶם נָתַתִּי</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Suffix 2. Person Plural und Qal Perfekt 1. Person Singular von </w:t>
      </w:r>
      <w:r w:rsidRPr="00422DCA">
        <w:rPr>
          <w:rFonts w:eastAsia="Times New Roman" w:cs="Times New Roman"/>
          <w:b/>
          <w:bCs/>
          <w:rtl/>
          <w:lang w:eastAsia="de-DE"/>
        </w:rPr>
        <w:t>נתן</w:t>
      </w:r>
      <w:r w:rsidRPr="00422DCA">
        <w:rPr>
          <w:rFonts w:eastAsia="Times New Roman" w:cs="Times New Roman"/>
          <w:rtl/>
          <w:lang w:eastAsia="de-DE"/>
        </w:rPr>
        <w:t xml:space="preserve"> </w:t>
      </w:r>
      <w:r w:rsidRPr="00422DCA">
        <w:rPr>
          <w:rFonts w:eastAsia="Times New Roman" w:cs="Times New Roman"/>
          <w:lang w:eastAsia="de-DE"/>
        </w:rPr>
        <w:t xml:space="preserve">„geben" „euch habe ich gegeben"), </w:t>
      </w:r>
      <w:r w:rsidRPr="00422DCA">
        <w:rPr>
          <w:rFonts w:eastAsia="Times New Roman" w:cs="Times New Roman"/>
          <w:b/>
          <w:bCs/>
          <w:rtl/>
          <w:lang w:eastAsia="de-DE"/>
        </w:rPr>
        <w:t>אֶת־הָאָרֶץ</w:t>
      </w:r>
      <w:r w:rsidRPr="00422DCA">
        <w:rPr>
          <w:rFonts w:eastAsia="Times New Roman" w:cs="Times New Roman"/>
          <w:rtl/>
          <w:lang w:eastAsia="de-DE"/>
        </w:rPr>
        <w:t xml:space="preserve"> </w:t>
      </w:r>
      <w:r w:rsidRPr="00422DCA">
        <w:rPr>
          <w:rFonts w:eastAsia="Times New Roman" w:cs="Times New Roman"/>
          <w:lang w:eastAsia="de-DE"/>
        </w:rPr>
        <w:t xml:space="preserve">(Akkusativpartikel mit </w:t>
      </w:r>
      <w:r w:rsidRPr="00422DCA">
        <w:rPr>
          <w:rFonts w:eastAsia="Times New Roman" w:cs="Times New Roman"/>
          <w:b/>
          <w:bCs/>
          <w:rtl/>
          <w:lang w:eastAsia="de-DE"/>
        </w:rPr>
        <w:t>אֶרֶץ</w:t>
      </w:r>
      <w:r w:rsidRPr="00422DCA">
        <w:rPr>
          <w:rFonts w:eastAsia="Times New Roman" w:cs="Times New Roman"/>
          <w:rtl/>
          <w:lang w:eastAsia="de-DE"/>
        </w:rPr>
        <w:t xml:space="preserve"> </w:t>
      </w:r>
      <w:r w:rsidRPr="00422DCA">
        <w:rPr>
          <w:rFonts w:eastAsia="Times New Roman" w:cs="Times New Roman"/>
          <w:lang w:eastAsia="de-DE"/>
        </w:rPr>
        <w:t xml:space="preserve">mit Artikel), </w:t>
      </w:r>
      <w:r w:rsidRPr="00422DCA">
        <w:rPr>
          <w:rFonts w:eastAsia="Times New Roman" w:cs="Times New Roman"/>
          <w:b/>
          <w:bCs/>
          <w:rtl/>
          <w:lang w:eastAsia="de-DE"/>
        </w:rPr>
        <w:t>לָרֶשֶׁת אֹתָהּ</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Qal Infinitiv </w:t>
      </w:r>
      <w:r w:rsidR="00F133EC">
        <w:rPr>
          <w:rFonts w:eastAsia="Times New Roman" w:cs="Times New Roman"/>
          <w:lang w:eastAsia="de-DE"/>
        </w:rPr>
        <w:t>Constructus</w:t>
      </w:r>
      <w:r w:rsidRPr="00422DCA">
        <w:rPr>
          <w:rFonts w:eastAsia="Times New Roman" w:cs="Times New Roman"/>
          <w:lang w:eastAsia="de-DE"/>
        </w:rPr>
        <w:t xml:space="preserve"> von </w:t>
      </w:r>
      <w:r w:rsidRPr="00422DCA">
        <w:rPr>
          <w:rFonts w:eastAsia="Times New Roman" w:cs="Times New Roman"/>
          <w:b/>
          <w:bCs/>
          <w:rtl/>
          <w:lang w:eastAsia="de-DE"/>
        </w:rPr>
        <w:t>ירשׁ</w:t>
      </w:r>
      <w:r w:rsidRPr="00422DCA">
        <w:rPr>
          <w:rFonts w:eastAsia="Times New Roman" w:cs="Times New Roman"/>
          <w:rtl/>
          <w:lang w:eastAsia="de-DE"/>
        </w:rPr>
        <w:t xml:space="preserve"> </w:t>
      </w:r>
      <w:r w:rsidRPr="00422DCA">
        <w:rPr>
          <w:rFonts w:eastAsia="Times New Roman" w:cs="Times New Roman"/>
          <w:lang w:eastAsia="de-DE"/>
        </w:rPr>
        <w:t>und Akkusativpartikel mit Suffix 3. Person feminin Singular „es in Besitz zu nehmen").</w:t>
      </w:r>
    </w:p>
    <w:p w14:paraId="72784821"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Die Satzstruktur zeigt zwei koordinierte Imperative, gefolgt von einer kausalen Begründung mit finalem Infinitiv.</w:t>
      </w:r>
    </w:p>
    <w:p w14:paraId="0B74158C"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 xml:space="preserve">Der Vers gibt die doppelte Anweisung: (1) </w:t>
      </w:r>
      <w:r w:rsidRPr="00422DCA">
        <w:rPr>
          <w:rFonts w:eastAsia="Times New Roman" w:cs="Times New Roman"/>
          <w:b/>
          <w:bCs/>
          <w:rtl/>
          <w:lang w:eastAsia="de-DE"/>
        </w:rPr>
        <w:t>וְהוֹרַשְׁתֶּם</w:t>
      </w:r>
      <w:r w:rsidRPr="00422DCA">
        <w:rPr>
          <w:rFonts w:eastAsia="Times New Roman" w:cs="Times New Roman"/>
          <w:rtl/>
          <w:lang w:eastAsia="de-DE"/>
        </w:rPr>
        <w:t xml:space="preserve"> </w:t>
      </w:r>
      <w:r w:rsidRPr="00422DCA">
        <w:rPr>
          <w:rFonts w:eastAsia="Times New Roman" w:cs="Times New Roman"/>
          <w:lang w:eastAsia="de-DE"/>
        </w:rPr>
        <w:t xml:space="preserve">- das Land in Besitz nehmen (durch Vertreibung der Bewohner), (2) </w:t>
      </w:r>
      <w:r w:rsidRPr="00422DCA">
        <w:rPr>
          <w:rFonts w:eastAsia="Times New Roman" w:cs="Times New Roman"/>
          <w:b/>
          <w:bCs/>
          <w:rtl/>
          <w:lang w:eastAsia="de-DE"/>
        </w:rPr>
        <w:t>וִישַׁבְתֶּם־בָּהּ</w:t>
      </w:r>
      <w:r w:rsidRPr="00422DCA">
        <w:rPr>
          <w:rFonts w:eastAsia="Times New Roman" w:cs="Times New Roman"/>
          <w:rtl/>
          <w:lang w:eastAsia="de-DE"/>
        </w:rPr>
        <w:t xml:space="preserve"> </w:t>
      </w:r>
      <w:r w:rsidRPr="00422DCA">
        <w:rPr>
          <w:rFonts w:eastAsia="Times New Roman" w:cs="Times New Roman"/>
          <w:lang w:eastAsia="de-DE"/>
        </w:rPr>
        <w:t xml:space="preserve">- darin wohnen (sesshaft werden). Die Begründung ist fundamental: </w:t>
      </w:r>
      <w:r w:rsidRPr="00422DCA">
        <w:rPr>
          <w:rFonts w:eastAsia="Times New Roman" w:cs="Times New Roman"/>
          <w:b/>
          <w:bCs/>
          <w:rtl/>
          <w:lang w:eastAsia="de-DE"/>
        </w:rPr>
        <w:t>כִּי לָכֶם נָתַתִּי אֶת־הָאָרֶץ</w:t>
      </w:r>
      <w:r w:rsidRPr="00422DCA">
        <w:rPr>
          <w:rFonts w:eastAsia="Times New Roman" w:cs="Times New Roman"/>
          <w:rtl/>
          <w:lang w:eastAsia="de-DE"/>
        </w:rPr>
        <w:t xml:space="preserve"> </w:t>
      </w:r>
      <w:r w:rsidRPr="00422DCA">
        <w:rPr>
          <w:rFonts w:eastAsia="Times New Roman" w:cs="Times New Roman"/>
          <w:lang w:eastAsia="de-DE"/>
        </w:rPr>
        <w:t>(„denn euch habe ich das Land gegeben") - Gottes Gabe legitimiert und verpflichtet zugleich. Das Land gehört Israel nicht durch Eroberung, sondern durch göttliche Schenkung, die wiederum zur Inbesitznahme verpflichtet.</w:t>
      </w:r>
    </w:p>
    <w:p w14:paraId="7F6B6390" w14:textId="77777777" w:rsidR="00422DCA" w:rsidRPr="00422DCA" w:rsidRDefault="00422DCA" w:rsidP="00422DCA">
      <w:pPr>
        <w:spacing w:before="100" w:beforeAutospacing="1" w:after="100" w:afterAutospacing="1" w:line="240" w:lineRule="auto"/>
        <w:outlineLvl w:val="0"/>
        <w:rPr>
          <w:rFonts w:eastAsia="Times New Roman" w:cs="Times New Roman"/>
          <w:b/>
          <w:bCs/>
          <w:kern w:val="36"/>
          <w:sz w:val="48"/>
          <w:szCs w:val="48"/>
          <w:lang w:eastAsia="de-DE"/>
        </w:rPr>
      </w:pPr>
      <w:r w:rsidRPr="00422DCA">
        <w:rPr>
          <w:rFonts w:eastAsia="Times New Roman" w:cs="Times New Roman"/>
          <w:b/>
          <w:bCs/>
          <w:kern w:val="36"/>
          <w:sz w:val="48"/>
          <w:szCs w:val="48"/>
          <w:lang w:eastAsia="de-DE"/>
        </w:rPr>
        <w:t>Numeri 33,54</w:t>
      </w:r>
    </w:p>
    <w:p w14:paraId="55D784FF"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Hebräisch:</w:t>
      </w:r>
      <w:r w:rsidRPr="00422DCA">
        <w:rPr>
          <w:rFonts w:eastAsia="Times New Roman" w:cs="Times New Roman"/>
          <w:lang w:eastAsia="de-DE"/>
        </w:rPr>
        <w:t xml:space="preserve"> </w:t>
      </w:r>
      <w:r w:rsidRPr="00422DCA">
        <w:rPr>
          <w:rFonts w:eastAsia="Times New Roman" w:cs="Times New Roman"/>
          <w:rtl/>
          <w:lang w:eastAsia="de-DE"/>
        </w:rPr>
        <w:t>וְהִתְנַחַלְתֶּם֩ אֶת־הָאָ֨רֶץ בְּגוֹרָ֜ל לְמִשְׁפְּחֹֽתֵיכֶ֗ם לָרַ֞ב תַּרְבּ֤וּ אֶת־נַחֲלָתוֹ֙ וְלַמְעַט֙ תַּמְעִ֣יט אֶת־נַחֲלָתוֹ֔ אֶל֩ אֲשֶׁר־יֵ֨צֵא לוֹ֥ שָׁ֛מָּה הַגּוֹרָ֖ל לוֹ֣ יִהְיֶ֑ה לְמַטּ֥וֹת אֲבֹתֵיכֶ֖ם תִּתְנֶחָֽלוּ׃</w:t>
      </w:r>
    </w:p>
    <w:p w14:paraId="481603E0"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Deutsch:</w:t>
      </w:r>
      <w:r w:rsidRPr="00422DCA">
        <w:rPr>
          <w:rFonts w:eastAsia="Times New Roman" w:cs="Times New Roman"/>
          <w:lang w:eastAsia="de-DE"/>
        </w:rPr>
        <w:t xml:space="preserve"> Und ihr sollt das Land durch das Los als Erbe verteilen, nach euren Familien; dem Vielen sollt ihr sein Erbe mehren, und dem Wenigen sollt ihr sein Erbe mindern; wohin für ihn das Los herauskommt, das soll ihm gehören; nach den Stämmen eurer Väter sollt ihr erben.</w:t>
      </w:r>
    </w:p>
    <w:p w14:paraId="0F9F8F08" w14:textId="77777777" w:rsidR="00422DCA" w:rsidRPr="00422DCA" w:rsidRDefault="00F329DD" w:rsidP="00422DCA">
      <w:pPr>
        <w:spacing w:after="0" w:line="240" w:lineRule="auto"/>
        <w:rPr>
          <w:rFonts w:eastAsia="Times New Roman" w:cs="Times New Roman"/>
          <w:lang w:eastAsia="de-DE"/>
        </w:rPr>
      </w:pPr>
      <w:r>
        <w:rPr>
          <w:rFonts w:eastAsia="Times New Roman" w:cs="Times New Roman"/>
          <w:lang w:eastAsia="de-DE"/>
        </w:rPr>
        <w:pict w14:anchorId="134C4FA1">
          <v:rect id="_x0000_i2036" style="width:0;height:1.5pt" o:hralign="center" o:hrstd="t" o:hr="t" fillcolor="#a0a0a0" stroked="f"/>
        </w:pict>
      </w:r>
    </w:p>
    <w:p w14:paraId="773ED389"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lastRenderedPageBreak/>
        <w:t>Kommentar:</w:t>
      </w:r>
      <w:r w:rsidRPr="00422DCA">
        <w:rPr>
          <w:rFonts w:eastAsia="Times New Roman" w:cs="Times New Roman"/>
          <w:lang w:eastAsia="de-DE"/>
        </w:rPr>
        <w:t xml:space="preserve"> Der Vers regelt die Landverteilung detailliert. </w:t>
      </w:r>
      <w:r w:rsidRPr="00422DCA">
        <w:rPr>
          <w:rFonts w:eastAsia="Times New Roman" w:cs="Times New Roman"/>
          <w:b/>
          <w:bCs/>
          <w:rtl/>
          <w:lang w:eastAsia="de-DE"/>
        </w:rPr>
        <w:t>וְהִתְנַחַלְתֶּם אֶת־הָאָרֶץ בְּגוֹרָל לְמִשְׁפְּחֹתֵיכֶם</w:t>
      </w:r>
      <w:r w:rsidRPr="00422DCA">
        <w:rPr>
          <w:rFonts w:eastAsia="Times New Roman" w:cs="Times New Roman"/>
          <w:rtl/>
          <w:lang w:eastAsia="de-DE"/>
        </w:rPr>
        <w:t xml:space="preserve"> </w:t>
      </w:r>
      <w:r w:rsidRPr="00422DCA">
        <w:rPr>
          <w:rFonts w:eastAsia="Times New Roman" w:cs="Times New Roman"/>
          <w:lang w:eastAsia="de-DE"/>
        </w:rPr>
        <w:t xml:space="preserve">ist die Grundanweisung. </w:t>
      </w:r>
      <w:r w:rsidRPr="00422DCA">
        <w:rPr>
          <w:rFonts w:eastAsia="Times New Roman" w:cs="Times New Roman"/>
          <w:b/>
          <w:bCs/>
          <w:rtl/>
          <w:lang w:eastAsia="de-DE"/>
        </w:rPr>
        <w:t>וְהִתְנַחַלְתֶּם</w:t>
      </w:r>
      <w:r w:rsidRPr="00422DCA">
        <w:rPr>
          <w:rFonts w:eastAsia="Times New Roman" w:cs="Times New Roman"/>
          <w:rtl/>
          <w:lang w:eastAsia="de-DE"/>
        </w:rPr>
        <w:t xml:space="preserve"> </w:t>
      </w:r>
      <w:r w:rsidRPr="00422DCA">
        <w:rPr>
          <w:rFonts w:eastAsia="Times New Roman" w:cs="Times New Roman"/>
          <w:lang w:eastAsia="de-DE"/>
        </w:rPr>
        <w:t xml:space="preserve">(Konjunktion mit Hitpael Perfekt 2. Person Plural mit Waw consecutivum von </w:t>
      </w:r>
      <w:r w:rsidRPr="00422DCA">
        <w:rPr>
          <w:rFonts w:eastAsia="Times New Roman" w:cs="Times New Roman"/>
          <w:b/>
          <w:bCs/>
          <w:rtl/>
          <w:lang w:eastAsia="de-DE"/>
        </w:rPr>
        <w:t>נחל</w:t>
      </w:r>
      <w:r w:rsidRPr="00422DCA">
        <w:rPr>
          <w:rFonts w:eastAsia="Times New Roman" w:cs="Times New Roman"/>
          <w:rtl/>
          <w:lang w:eastAsia="de-DE"/>
        </w:rPr>
        <w:t xml:space="preserve"> </w:t>
      </w:r>
      <w:r w:rsidRPr="00422DCA">
        <w:rPr>
          <w:rFonts w:eastAsia="Times New Roman" w:cs="Times New Roman"/>
          <w:lang w:eastAsia="de-DE"/>
        </w:rPr>
        <w:t xml:space="preserve">„erben, als Erbe verteilen" - Hitpael reflexiv „sich als Erbe zuteilen, als Erbe verteilen"), </w:t>
      </w:r>
      <w:r w:rsidRPr="00422DCA">
        <w:rPr>
          <w:rFonts w:eastAsia="Times New Roman" w:cs="Times New Roman"/>
          <w:b/>
          <w:bCs/>
          <w:rtl/>
          <w:lang w:eastAsia="de-DE"/>
        </w:rPr>
        <w:t>אֶת־הָאָרֶץ</w:t>
      </w:r>
      <w:r w:rsidRPr="00422DCA">
        <w:rPr>
          <w:rFonts w:eastAsia="Times New Roman" w:cs="Times New Roman"/>
          <w:rtl/>
          <w:lang w:eastAsia="de-DE"/>
        </w:rPr>
        <w:t xml:space="preserve"> </w:t>
      </w:r>
      <w:r w:rsidRPr="00422DCA">
        <w:rPr>
          <w:rFonts w:eastAsia="Times New Roman" w:cs="Times New Roman"/>
          <w:lang w:eastAsia="de-DE"/>
        </w:rPr>
        <w:t xml:space="preserve">(Akkusativpartikel mit </w:t>
      </w:r>
      <w:r w:rsidRPr="00422DCA">
        <w:rPr>
          <w:rFonts w:eastAsia="Times New Roman" w:cs="Times New Roman"/>
          <w:b/>
          <w:bCs/>
          <w:rtl/>
          <w:lang w:eastAsia="de-DE"/>
        </w:rPr>
        <w:t>אֶרֶץ</w:t>
      </w:r>
      <w:r w:rsidRPr="00422DCA">
        <w:rPr>
          <w:rFonts w:eastAsia="Times New Roman" w:cs="Times New Roman"/>
          <w:rtl/>
          <w:lang w:eastAsia="de-DE"/>
        </w:rPr>
        <w:t xml:space="preserve"> </w:t>
      </w:r>
      <w:r w:rsidRPr="00422DCA">
        <w:rPr>
          <w:rFonts w:eastAsia="Times New Roman" w:cs="Times New Roman"/>
          <w:lang w:eastAsia="de-DE"/>
        </w:rPr>
        <w:t xml:space="preserve">mit Artikel), </w:t>
      </w:r>
      <w:r w:rsidRPr="00422DCA">
        <w:rPr>
          <w:rFonts w:eastAsia="Times New Roman" w:cs="Times New Roman"/>
          <w:b/>
          <w:bCs/>
          <w:rtl/>
          <w:lang w:eastAsia="de-DE"/>
        </w:rPr>
        <w:t>בְּגוֹרָל</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בְ</w:t>
      </w:r>
      <w:r w:rsidRPr="00422DCA">
        <w:rPr>
          <w:rFonts w:eastAsia="Times New Roman" w:cs="Times New Roman"/>
          <w:rtl/>
          <w:lang w:eastAsia="de-DE"/>
        </w:rPr>
        <w:t xml:space="preserve"> </w:t>
      </w:r>
      <w:r w:rsidRPr="00422DCA">
        <w:rPr>
          <w:rFonts w:eastAsia="Times New Roman" w:cs="Times New Roman"/>
          <w:lang w:eastAsia="de-DE"/>
        </w:rPr>
        <w:t xml:space="preserve">mit </w:t>
      </w:r>
      <w:r w:rsidRPr="00422DCA">
        <w:rPr>
          <w:rFonts w:eastAsia="Times New Roman" w:cs="Times New Roman"/>
          <w:b/>
          <w:bCs/>
          <w:rtl/>
          <w:lang w:eastAsia="de-DE"/>
        </w:rPr>
        <w:t>גּוֹרָל</w:t>
      </w:r>
      <w:r w:rsidRPr="00422DCA">
        <w:rPr>
          <w:rFonts w:eastAsia="Times New Roman" w:cs="Times New Roman"/>
          <w:rtl/>
          <w:lang w:eastAsia="de-DE"/>
        </w:rPr>
        <w:t xml:space="preserve"> </w:t>
      </w:r>
      <w:r w:rsidRPr="00422DCA">
        <w:rPr>
          <w:rFonts w:eastAsia="Times New Roman" w:cs="Times New Roman"/>
          <w:lang w:eastAsia="de-DE"/>
        </w:rPr>
        <w:t xml:space="preserve">„Los" „durch das Los, mittels des Loses"), </w:t>
      </w:r>
      <w:r w:rsidRPr="00422DCA">
        <w:rPr>
          <w:rFonts w:eastAsia="Times New Roman" w:cs="Times New Roman"/>
          <w:b/>
          <w:bCs/>
          <w:rtl/>
          <w:lang w:eastAsia="de-DE"/>
        </w:rPr>
        <w:t>לְמִשְׁפְּחֹתֵיכֶם</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Plural </w:t>
      </w:r>
      <w:r w:rsidRPr="00422DCA">
        <w:rPr>
          <w:rFonts w:eastAsia="Times New Roman" w:cs="Times New Roman"/>
          <w:b/>
          <w:bCs/>
          <w:rtl/>
          <w:lang w:eastAsia="de-DE"/>
        </w:rPr>
        <w:t>מִשְׁפָּחָה</w:t>
      </w:r>
      <w:r w:rsidRPr="00422DCA">
        <w:rPr>
          <w:rFonts w:eastAsia="Times New Roman" w:cs="Times New Roman"/>
          <w:rtl/>
          <w:lang w:eastAsia="de-DE"/>
        </w:rPr>
        <w:t xml:space="preserve"> </w:t>
      </w:r>
      <w:r w:rsidRPr="00422DCA">
        <w:rPr>
          <w:rFonts w:eastAsia="Times New Roman" w:cs="Times New Roman"/>
          <w:lang w:eastAsia="de-DE"/>
        </w:rPr>
        <w:t>„Familie, Sippe" und Suffix 2. Person Plural „nach euren Familien").</w:t>
      </w:r>
    </w:p>
    <w:p w14:paraId="4046205C"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rtl/>
          <w:lang w:eastAsia="de-DE"/>
        </w:rPr>
        <w:t>לָרַב תַּרְבּוּ אֶת־נַחֲלָתוֹ וְלַמְעַט תַּמְעִיט אֶת־נַחֲלָתוֹ</w:t>
      </w:r>
      <w:r w:rsidRPr="00422DCA">
        <w:rPr>
          <w:rFonts w:eastAsia="Times New Roman" w:cs="Times New Roman"/>
          <w:rtl/>
          <w:lang w:eastAsia="de-DE"/>
        </w:rPr>
        <w:t xml:space="preserve"> </w:t>
      </w:r>
      <w:r w:rsidRPr="00422DCA">
        <w:rPr>
          <w:rFonts w:eastAsia="Times New Roman" w:cs="Times New Roman"/>
          <w:lang w:eastAsia="de-DE"/>
        </w:rPr>
        <w:t xml:space="preserve">regelt die proportionale Verteilung. </w:t>
      </w:r>
      <w:r w:rsidRPr="00422DCA">
        <w:rPr>
          <w:rFonts w:eastAsia="Times New Roman" w:cs="Times New Roman"/>
          <w:b/>
          <w:bCs/>
          <w:rtl/>
          <w:lang w:eastAsia="de-DE"/>
        </w:rPr>
        <w:t>לָרַב תַּרְבּוּ אֶת־נַחֲלָתוֹ</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w:t>
      </w:r>
      <w:r w:rsidRPr="00422DCA">
        <w:rPr>
          <w:rFonts w:eastAsia="Times New Roman" w:cs="Times New Roman"/>
          <w:b/>
          <w:bCs/>
          <w:rtl/>
          <w:lang w:eastAsia="de-DE"/>
        </w:rPr>
        <w:t>רַב</w:t>
      </w:r>
      <w:r w:rsidRPr="00422DCA">
        <w:rPr>
          <w:rFonts w:eastAsia="Times New Roman" w:cs="Times New Roman"/>
          <w:rtl/>
          <w:lang w:eastAsia="de-DE"/>
        </w:rPr>
        <w:t xml:space="preserve"> </w:t>
      </w:r>
      <w:r w:rsidRPr="00422DCA">
        <w:rPr>
          <w:rFonts w:eastAsia="Times New Roman" w:cs="Times New Roman"/>
          <w:lang w:eastAsia="de-DE"/>
        </w:rPr>
        <w:t xml:space="preserve">„viel, zahlreich" - substantiviert „dem Vielen" - Hiphil Imperfekt 2. Person Plural von </w:t>
      </w:r>
      <w:r w:rsidRPr="00422DCA">
        <w:rPr>
          <w:rFonts w:eastAsia="Times New Roman" w:cs="Times New Roman"/>
          <w:b/>
          <w:bCs/>
          <w:rtl/>
          <w:lang w:eastAsia="de-DE"/>
        </w:rPr>
        <w:t>רבה</w:t>
      </w:r>
      <w:r w:rsidRPr="00422DCA">
        <w:rPr>
          <w:rFonts w:eastAsia="Times New Roman" w:cs="Times New Roman"/>
          <w:rtl/>
          <w:lang w:eastAsia="de-DE"/>
        </w:rPr>
        <w:t xml:space="preserve"> </w:t>
      </w:r>
      <w:r w:rsidRPr="00422DCA">
        <w:rPr>
          <w:rFonts w:eastAsia="Times New Roman" w:cs="Times New Roman"/>
          <w:lang w:eastAsia="de-DE"/>
        </w:rPr>
        <w:t xml:space="preserve">„mehren, vermehren" und Akkusativpartikel mit </w:t>
      </w:r>
      <w:r w:rsidRPr="00422DCA">
        <w:rPr>
          <w:rFonts w:eastAsia="Times New Roman" w:cs="Times New Roman"/>
          <w:b/>
          <w:bCs/>
          <w:rtl/>
          <w:lang w:eastAsia="de-DE"/>
        </w:rPr>
        <w:t>נַחֲלָה</w:t>
      </w:r>
      <w:r w:rsidRPr="00422DCA">
        <w:rPr>
          <w:rFonts w:eastAsia="Times New Roman" w:cs="Times New Roman"/>
          <w:rtl/>
          <w:lang w:eastAsia="de-DE"/>
        </w:rPr>
        <w:t xml:space="preserve"> </w:t>
      </w:r>
      <w:r w:rsidRPr="00422DCA">
        <w:rPr>
          <w:rFonts w:eastAsia="Times New Roman" w:cs="Times New Roman"/>
          <w:lang w:eastAsia="de-DE"/>
        </w:rPr>
        <w:t xml:space="preserve">„Erbteil, Erbbesitz" und Suffix 3. Person maskulin Singular „dem Vielen sollt ihr sein Erbe mehren"), </w:t>
      </w:r>
      <w:r w:rsidRPr="00422DCA">
        <w:rPr>
          <w:rFonts w:eastAsia="Times New Roman" w:cs="Times New Roman"/>
          <w:b/>
          <w:bCs/>
          <w:rtl/>
          <w:lang w:eastAsia="de-DE"/>
        </w:rPr>
        <w:t>וְלַמְעַט תַּמְעִיט אֶת־נַחֲלָתוֹ</w:t>
      </w:r>
      <w:r w:rsidRPr="00422DCA">
        <w:rPr>
          <w:rFonts w:eastAsia="Times New Roman" w:cs="Times New Roman"/>
          <w:rtl/>
          <w:lang w:eastAsia="de-DE"/>
        </w:rPr>
        <w:t xml:space="preserve"> </w:t>
      </w:r>
      <w:r w:rsidRPr="00422DCA">
        <w:rPr>
          <w:rFonts w:eastAsia="Times New Roman" w:cs="Times New Roman"/>
          <w:lang w:eastAsia="de-DE"/>
        </w:rPr>
        <w:t xml:space="preserve">(parallele Struktur: Konjunktion mit 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und </w:t>
      </w:r>
      <w:r w:rsidRPr="00422DCA">
        <w:rPr>
          <w:rFonts w:eastAsia="Times New Roman" w:cs="Times New Roman"/>
          <w:b/>
          <w:bCs/>
          <w:rtl/>
          <w:lang w:eastAsia="de-DE"/>
        </w:rPr>
        <w:t>מְעַט</w:t>
      </w:r>
      <w:r w:rsidRPr="00422DCA">
        <w:rPr>
          <w:rFonts w:eastAsia="Times New Roman" w:cs="Times New Roman"/>
          <w:rtl/>
          <w:lang w:eastAsia="de-DE"/>
        </w:rPr>
        <w:t xml:space="preserve"> </w:t>
      </w:r>
      <w:r w:rsidRPr="00422DCA">
        <w:rPr>
          <w:rFonts w:eastAsia="Times New Roman" w:cs="Times New Roman"/>
          <w:lang w:eastAsia="de-DE"/>
        </w:rPr>
        <w:t xml:space="preserve">„wenig" - substantiviert „dem Wenigen" - Hiphil Imperfekt 2. Person Plural von </w:t>
      </w:r>
      <w:r w:rsidRPr="00422DCA">
        <w:rPr>
          <w:rFonts w:eastAsia="Times New Roman" w:cs="Times New Roman"/>
          <w:b/>
          <w:bCs/>
          <w:rtl/>
          <w:lang w:eastAsia="de-DE"/>
        </w:rPr>
        <w:t>מעט</w:t>
      </w:r>
      <w:r w:rsidRPr="00422DCA">
        <w:rPr>
          <w:rFonts w:eastAsia="Times New Roman" w:cs="Times New Roman"/>
          <w:rtl/>
          <w:lang w:eastAsia="de-DE"/>
        </w:rPr>
        <w:t xml:space="preserve"> </w:t>
      </w:r>
      <w:r w:rsidRPr="00422DCA">
        <w:rPr>
          <w:rFonts w:eastAsia="Times New Roman" w:cs="Times New Roman"/>
          <w:lang w:eastAsia="de-DE"/>
        </w:rPr>
        <w:t xml:space="preserve">„vermindern, verringern" und Akkusativpartikel mit </w:t>
      </w:r>
      <w:r w:rsidRPr="00422DCA">
        <w:rPr>
          <w:rFonts w:eastAsia="Times New Roman" w:cs="Times New Roman"/>
          <w:b/>
          <w:bCs/>
          <w:rtl/>
          <w:lang w:eastAsia="de-DE"/>
        </w:rPr>
        <w:t>נַחֲלָה</w:t>
      </w:r>
      <w:r w:rsidRPr="00422DCA">
        <w:rPr>
          <w:rFonts w:eastAsia="Times New Roman" w:cs="Times New Roman"/>
          <w:rtl/>
          <w:lang w:eastAsia="de-DE"/>
        </w:rPr>
        <w:t xml:space="preserve"> </w:t>
      </w:r>
      <w:r w:rsidRPr="00422DCA">
        <w:rPr>
          <w:rFonts w:eastAsia="Times New Roman" w:cs="Times New Roman"/>
          <w:lang w:eastAsia="de-DE"/>
        </w:rPr>
        <w:t xml:space="preserve">und Suffix „und dem Wenigen sollt ihr sein Erbe mindern"). Die Paronomasie </w:t>
      </w:r>
      <w:r w:rsidRPr="00422DCA">
        <w:rPr>
          <w:rFonts w:eastAsia="Times New Roman" w:cs="Times New Roman"/>
          <w:b/>
          <w:bCs/>
          <w:rtl/>
          <w:lang w:eastAsia="de-DE"/>
        </w:rPr>
        <w:t>לָרַב תַּרְבּוּ</w:t>
      </w:r>
      <w:r w:rsidRPr="00422DCA">
        <w:rPr>
          <w:rFonts w:eastAsia="Times New Roman" w:cs="Times New Roman"/>
          <w:rtl/>
          <w:lang w:eastAsia="de-DE"/>
        </w:rPr>
        <w:t xml:space="preserve"> </w:t>
      </w:r>
      <w:r w:rsidRPr="00422DCA">
        <w:rPr>
          <w:rFonts w:eastAsia="Times New Roman" w:cs="Times New Roman"/>
          <w:lang w:eastAsia="de-DE"/>
        </w:rPr>
        <w:t xml:space="preserve">und </w:t>
      </w:r>
      <w:r w:rsidRPr="00422DCA">
        <w:rPr>
          <w:rFonts w:eastAsia="Times New Roman" w:cs="Times New Roman"/>
          <w:b/>
          <w:bCs/>
          <w:rtl/>
          <w:lang w:eastAsia="de-DE"/>
        </w:rPr>
        <w:t>לַמְעַט תַּמְעִיט</w:t>
      </w:r>
      <w:r w:rsidRPr="00422DCA">
        <w:rPr>
          <w:rFonts w:eastAsia="Times New Roman" w:cs="Times New Roman"/>
          <w:rtl/>
          <w:lang w:eastAsia="de-DE"/>
        </w:rPr>
        <w:t xml:space="preserve"> </w:t>
      </w:r>
      <w:r w:rsidRPr="00422DCA">
        <w:rPr>
          <w:rFonts w:eastAsia="Times New Roman" w:cs="Times New Roman"/>
          <w:lang w:eastAsia="de-DE"/>
        </w:rPr>
        <w:t>(Verb von derselben Wurzel wie das Nomen) betont die Proportionalität.</w:t>
      </w:r>
    </w:p>
    <w:p w14:paraId="5D545159"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rtl/>
          <w:lang w:eastAsia="de-DE"/>
        </w:rPr>
        <w:t>אֶל אֲשֶׁר־יֵצֵא לוֹ שָׁמָּה הַגּוֹרָל לוֹ יִהְיֶה</w:t>
      </w:r>
      <w:r w:rsidRPr="00422DCA">
        <w:rPr>
          <w:rFonts w:eastAsia="Times New Roman" w:cs="Times New Roman"/>
          <w:rtl/>
          <w:lang w:eastAsia="de-DE"/>
        </w:rPr>
        <w:t xml:space="preserve"> </w:t>
      </w:r>
      <w:r w:rsidRPr="00422DCA">
        <w:rPr>
          <w:rFonts w:eastAsia="Times New Roman" w:cs="Times New Roman"/>
          <w:lang w:eastAsia="de-DE"/>
        </w:rPr>
        <w:t xml:space="preserve">ist die Losformel. </w:t>
      </w:r>
      <w:r w:rsidRPr="00422DCA">
        <w:rPr>
          <w:rFonts w:eastAsia="Times New Roman" w:cs="Times New Roman"/>
          <w:b/>
          <w:bCs/>
          <w:rtl/>
          <w:lang w:eastAsia="de-DE"/>
        </w:rPr>
        <w:t>אֶל אֲשֶׁר־יֵצֵא לוֹ שָׁמָּה הַגּוֹרָל</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אֶל</w:t>
      </w:r>
      <w:r w:rsidRPr="00422DCA">
        <w:rPr>
          <w:rFonts w:eastAsia="Times New Roman" w:cs="Times New Roman"/>
          <w:rtl/>
          <w:lang w:eastAsia="de-DE"/>
        </w:rPr>
        <w:t xml:space="preserve"> </w:t>
      </w:r>
      <w:r w:rsidRPr="00422DCA">
        <w:rPr>
          <w:rFonts w:eastAsia="Times New Roman" w:cs="Times New Roman"/>
          <w:lang w:eastAsia="de-DE"/>
        </w:rPr>
        <w:t xml:space="preserve">mit Relativsatz: </w:t>
      </w:r>
      <w:r w:rsidRPr="00422DCA">
        <w:rPr>
          <w:rFonts w:eastAsia="Times New Roman" w:cs="Times New Roman"/>
          <w:b/>
          <w:bCs/>
          <w:rtl/>
          <w:lang w:eastAsia="de-DE"/>
        </w:rPr>
        <w:t>אֲשֶׁר</w:t>
      </w:r>
      <w:r w:rsidRPr="00422DCA">
        <w:rPr>
          <w:rFonts w:eastAsia="Times New Roman" w:cs="Times New Roman"/>
          <w:rtl/>
          <w:lang w:eastAsia="de-DE"/>
        </w:rPr>
        <w:t xml:space="preserve"> </w:t>
      </w:r>
      <w:r w:rsidRPr="00422DCA">
        <w:rPr>
          <w:rFonts w:eastAsia="Times New Roman" w:cs="Times New Roman"/>
          <w:lang w:eastAsia="de-DE"/>
        </w:rPr>
        <w:t xml:space="preserve">mit Qal Imperfekt 3. Person maskulin Singular von </w:t>
      </w:r>
      <w:r w:rsidRPr="00422DCA">
        <w:rPr>
          <w:rFonts w:eastAsia="Times New Roman" w:cs="Times New Roman"/>
          <w:b/>
          <w:bCs/>
          <w:rtl/>
          <w:lang w:eastAsia="de-DE"/>
        </w:rPr>
        <w:t>יצא</w:t>
      </w:r>
      <w:r w:rsidRPr="00422DCA">
        <w:rPr>
          <w:rFonts w:eastAsia="Times New Roman" w:cs="Times New Roman"/>
          <w:rtl/>
          <w:lang w:eastAsia="de-DE"/>
        </w:rPr>
        <w:t xml:space="preserve"> </w:t>
      </w:r>
      <w:r w:rsidRPr="00422DCA">
        <w:rPr>
          <w:rFonts w:eastAsia="Times New Roman" w:cs="Times New Roman"/>
          <w:lang w:eastAsia="de-DE"/>
        </w:rPr>
        <w:t xml:space="preserve">„hinausgehen, herauskommen" und 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Suffix 3. Person maskulin Singular und Adverb </w:t>
      </w:r>
      <w:r w:rsidRPr="00422DCA">
        <w:rPr>
          <w:rFonts w:eastAsia="Times New Roman" w:cs="Times New Roman"/>
          <w:b/>
          <w:bCs/>
          <w:rtl/>
          <w:lang w:eastAsia="de-DE"/>
        </w:rPr>
        <w:t>שָׁם</w:t>
      </w:r>
      <w:r w:rsidRPr="00422DCA">
        <w:rPr>
          <w:rFonts w:eastAsia="Times New Roman" w:cs="Times New Roman"/>
          <w:rtl/>
          <w:lang w:eastAsia="de-DE"/>
        </w:rPr>
        <w:t xml:space="preserve"> </w:t>
      </w:r>
      <w:r w:rsidRPr="00422DCA">
        <w:rPr>
          <w:rFonts w:eastAsia="Times New Roman" w:cs="Times New Roman"/>
          <w:lang w:eastAsia="de-DE"/>
        </w:rPr>
        <w:t xml:space="preserve">mit He-locale </w:t>
      </w:r>
      <w:r w:rsidRPr="00422DCA">
        <w:rPr>
          <w:rFonts w:eastAsia="Times New Roman" w:cs="Times New Roman"/>
          <w:b/>
          <w:bCs/>
          <w:rtl/>
          <w:lang w:eastAsia="de-DE"/>
        </w:rPr>
        <w:t>־ָה</w:t>
      </w:r>
      <w:r w:rsidRPr="00422DCA">
        <w:rPr>
          <w:rFonts w:eastAsia="Times New Roman" w:cs="Times New Roman"/>
          <w:rtl/>
          <w:lang w:eastAsia="de-DE"/>
        </w:rPr>
        <w:t xml:space="preserve"> </w:t>
      </w:r>
      <w:r w:rsidRPr="00422DCA">
        <w:rPr>
          <w:rFonts w:eastAsia="Times New Roman" w:cs="Times New Roman"/>
          <w:lang w:eastAsia="de-DE"/>
        </w:rPr>
        <w:t xml:space="preserve">„dorthin" und </w:t>
      </w:r>
      <w:r w:rsidRPr="00422DCA">
        <w:rPr>
          <w:rFonts w:eastAsia="Times New Roman" w:cs="Times New Roman"/>
          <w:b/>
          <w:bCs/>
          <w:rtl/>
          <w:lang w:eastAsia="de-DE"/>
        </w:rPr>
        <w:t>גּוֹרָל</w:t>
      </w:r>
      <w:r w:rsidRPr="00422DCA">
        <w:rPr>
          <w:rFonts w:eastAsia="Times New Roman" w:cs="Times New Roman"/>
          <w:rtl/>
          <w:lang w:eastAsia="de-DE"/>
        </w:rPr>
        <w:t xml:space="preserve"> </w:t>
      </w:r>
      <w:r w:rsidRPr="00422DCA">
        <w:rPr>
          <w:rFonts w:eastAsia="Times New Roman" w:cs="Times New Roman"/>
          <w:lang w:eastAsia="de-DE"/>
        </w:rPr>
        <w:t xml:space="preserve">als Subjekt „wohin für ihn das Los herauskommt"), </w:t>
      </w:r>
      <w:r w:rsidRPr="00422DCA">
        <w:rPr>
          <w:rFonts w:eastAsia="Times New Roman" w:cs="Times New Roman"/>
          <w:b/>
          <w:bCs/>
          <w:rtl/>
          <w:lang w:eastAsia="de-DE"/>
        </w:rPr>
        <w:t>לוֹ יִהְיֶה</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Suffix und Qal Imperfekt 3. Person maskulin Singular von </w:t>
      </w:r>
      <w:r w:rsidRPr="00422DCA">
        <w:rPr>
          <w:rFonts w:eastAsia="Times New Roman" w:cs="Times New Roman"/>
          <w:b/>
          <w:bCs/>
          <w:rtl/>
          <w:lang w:eastAsia="de-DE"/>
        </w:rPr>
        <w:t>היה</w:t>
      </w:r>
      <w:r w:rsidRPr="00422DCA">
        <w:rPr>
          <w:rFonts w:eastAsia="Times New Roman" w:cs="Times New Roman"/>
          <w:rtl/>
          <w:lang w:eastAsia="de-DE"/>
        </w:rPr>
        <w:t xml:space="preserve"> </w:t>
      </w:r>
      <w:r w:rsidRPr="00422DCA">
        <w:rPr>
          <w:rFonts w:eastAsia="Times New Roman" w:cs="Times New Roman"/>
          <w:lang w:eastAsia="de-DE"/>
        </w:rPr>
        <w:t>„sein" „ihm soll es gehören").</w:t>
      </w:r>
    </w:p>
    <w:p w14:paraId="06C19AB4" w14:textId="042D9803"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rtl/>
          <w:lang w:eastAsia="de-DE"/>
        </w:rPr>
        <w:t>לְמַטּוֹת אֲבֹתֵיכֶם תִּתְנֶחָלוּ</w:t>
      </w:r>
      <w:r w:rsidRPr="00422DCA">
        <w:rPr>
          <w:rFonts w:eastAsia="Times New Roman" w:cs="Times New Roman"/>
          <w:rtl/>
          <w:lang w:eastAsia="de-DE"/>
        </w:rPr>
        <w:t xml:space="preserve"> </w:t>
      </w:r>
      <w:r w:rsidRPr="00422DCA">
        <w:rPr>
          <w:rFonts w:eastAsia="Times New Roman" w:cs="Times New Roman"/>
          <w:lang w:eastAsia="de-DE"/>
        </w:rPr>
        <w:t xml:space="preserve">ist die abschließende Anweisung. </w:t>
      </w:r>
      <w:r w:rsidRPr="00422DCA">
        <w:rPr>
          <w:rFonts w:eastAsia="Times New Roman" w:cs="Times New Roman"/>
          <w:b/>
          <w:bCs/>
          <w:rtl/>
          <w:lang w:eastAsia="de-DE"/>
        </w:rPr>
        <w:t>לְמַטּוֹת אֲבֹתֵיכֶם</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Plural </w:t>
      </w:r>
      <w:r w:rsidRPr="00422DCA">
        <w:rPr>
          <w:rFonts w:eastAsia="Times New Roman" w:cs="Times New Roman"/>
          <w:b/>
          <w:bCs/>
          <w:rtl/>
          <w:lang w:eastAsia="de-DE"/>
        </w:rPr>
        <w:t>מַטֶּה</w:t>
      </w:r>
      <w:r w:rsidRPr="00422DCA">
        <w:rPr>
          <w:rFonts w:eastAsia="Times New Roman" w:cs="Times New Roman"/>
          <w:rtl/>
          <w:lang w:eastAsia="de-DE"/>
        </w:rPr>
        <w:t xml:space="preserve"> </w:t>
      </w:r>
      <w:r w:rsidRPr="00422DCA">
        <w:rPr>
          <w:rFonts w:eastAsia="Times New Roman" w:cs="Times New Roman"/>
          <w:lang w:eastAsia="de-DE"/>
        </w:rPr>
        <w:t xml:space="preserve">„Stamm" im </w:t>
      </w:r>
      <w:r w:rsidR="00F133EC">
        <w:rPr>
          <w:rFonts w:eastAsia="Times New Roman" w:cs="Times New Roman"/>
          <w:lang w:eastAsia="de-DE"/>
        </w:rPr>
        <w:t>Constructus</w:t>
      </w:r>
      <w:r w:rsidRPr="00422DCA">
        <w:rPr>
          <w:rFonts w:eastAsia="Times New Roman" w:cs="Times New Roman"/>
          <w:lang w:eastAsia="de-DE"/>
        </w:rPr>
        <w:t xml:space="preserve"> mit Plural </w:t>
      </w:r>
      <w:r w:rsidRPr="00422DCA">
        <w:rPr>
          <w:rFonts w:eastAsia="Times New Roman" w:cs="Times New Roman"/>
          <w:b/>
          <w:bCs/>
          <w:rtl/>
          <w:lang w:eastAsia="de-DE"/>
        </w:rPr>
        <w:t>אָב</w:t>
      </w:r>
      <w:r w:rsidRPr="00422DCA">
        <w:rPr>
          <w:rFonts w:eastAsia="Times New Roman" w:cs="Times New Roman"/>
          <w:rtl/>
          <w:lang w:eastAsia="de-DE"/>
        </w:rPr>
        <w:t xml:space="preserve"> </w:t>
      </w:r>
      <w:r w:rsidRPr="00422DCA">
        <w:rPr>
          <w:rFonts w:eastAsia="Times New Roman" w:cs="Times New Roman"/>
          <w:lang w:eastAsia="de-DE"/>
        </w:rPr>
        <w:t xml:space="preserve">„Väter" und Suffix 2. Person Plural „nach den Stämmen eurer Väter"), </w:t>
      </w:r>
      <w:r w:rsidRPr="00422DCA">
        <w:rPr>
          <w:rFonts w:eastAsia="Times New Roman" w:cs="Times New Roman"/>
          <w:b/>
          <w:bCs/>
          <w:rtl/>
          <w:lang w:eastAsia="de-DE"/>
        </w:rPr>
        <w:t>תִּתְנֶחָלוּ</w:t>
      </w:r>
      <w:r w:rsidRPr="00422DCA">
        <w:rPr>
          <w:rFonts w:eastAsia="Times New Roman" w:cs="Times New Roman"/>
          <w:rtl/>
          <w:lang w:eastAsia="de-DE"/>
        </w:rPr>
        <w:t xml:space="preserve"> </w:t>
      </w:r>
      <w:r w:rsidRPr="00422DCA">
        <w:rPr>
          <w:rFonts w:eastAsia="Times New Roman" w:cs="Times New Roman"/>
          <w:lang w:eastAsia="de-DE"/>
        </w:rPr>
        <w:t xml:space="preserve">(Hitpael Imperfekt 2. Person Plural von </w:t>
      </w:r>
      <w:r w:rsidRPr="00422DCA">
        <w:rPr>
          <w:rFonts w:eastAsia="Times New Roman" w:cs="Times New Roman"/>
          <w:b/>
          <w:bCs/>
          <w:rtl/>
          <w:lang w:eastAsia="de-DE"/>
        </w:rPr>
        <w:t>נחל</w:t>
      </w:r>
      <w:r w:rsidRPr="00422DCA">
        <w:rPr>
          <w:rFonts w:eastAsia="Times New Roman" w:cs="Times New Roman"/>
          <w:rtl/>
          <w:lang w:eastAsia="de-DE"/>
        </w:rPr>
        <w:t xml:space="preserve"> </w:t>
      </w:r>
      <w:r w:rsidRPr="00422DCA">
        <w:rPr>
          <w:rFonts w:eastAsia="Times New Roman" w:cs="Times New Roman"/>
          <w:lang w:eastAsia="de-DE"/>
        </w:rPr>
        <w:t>„sollt ihr erben, sollt ihr euch als Erbe zuteilen").</w:t>
      </w:r>
    </w:p>
    <w:p w14:paraId="4C5896EC"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Die Satzstruktur zeigt einen Hauptbefehl mit Modalangabe (durch Los, nach Familien), zwei parallele proportionale Bestimmungen, eine Losformel und einen abschließenden Rahmenbefehl.</w:t>
      </w:r>
    </w:p>
    <w:p w14:paraId="7DA2CA06"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 xml:space="preserve">Der Vers regelt drei Prinzipien der Landverteilung: (1) </w:t>
      </w:r>
      <w:r w:rsidRPr="00422DCA">
        <w:rPr>
          <w:rFonts w:eastAsia="Times New Roman" w:cs="Times New Roman"/>
          <w:b/>
          <w:bCs/>
          <w:rtl/>
          <w:lang w:eastAsia="de-DE"/>
        </w:rPr>
        <w:t>בְּגוֹרָל</w:t>
      </w:r>
      <w:r w:rsidRPr="00422DCA">
        <w:rPr>
          <w:rFonts w:eastAsia="Times New Roman" w:cs="Times New Roman"/>
          <w:rtl/>
          <w:lang w:eastAsia="de-DE"/>
        </w:rPr>
        <w:t xml:space="preserve"> </w:t>
      </w:r>
      <w:r w:rsidRPr="00422DCA">
        <w:rPr>
          <w:rFonts w:eastAsia="Times New Roman" w:cs="Times New Roman"/>
          <w:lang w:eastAsia="de-DE"/>
        </w:rPr>
        <w:t xml:space="preserve">- durch Los (göttliche Bestimmung, nicht menschliche Willkür), (2) Proportionalität - </w:t>
      </w:r>
      <w:r w:rsidRPr="00422DCA">
        <w:rPr>
          <w:rFonts w:eastAsia="Times New Roman" w:cs="Times New Roman"/>
          <w:b/>
          <w:bCs/>
          <w:rtl/>
          <w:lang w:eastAsia="de-DE"/>
        </w:rPr>
        <w:t>לָרַב תַּרְבּוּ ... וְלַמְעַט תַּמְעִיט</w:t>
      </w:r>
      <w:r w:rsidRPr="00422DCA">
        <w:rPr>
          <w:rFonts w:eastAsia="Times New Roman" w:cs="Times New Roman"/>
          <w:rtl/>
          <w:lang w:eastAsia="de-DE"/>
        </w:rPr>
        <w:t xml:space="preserve"> </w:t>
      </w:r>
      <w:r w:rsidRPr="00422DCA">
        <w:rPr>
          <w:rFonts w:eastAsia="Times New Roman" w:cs="Times New Roman"/>
          <w:lang w:eastAsia="de-DE"/>
        </w:rPr>
        <w:t xml:space="preserve">(große Familien erhalten mehr, kleine weniger - Gerechtigkeit durch Verhältnismäßigkeit), (3) </w:t>
      </w:r>
      <w:r w:rsidRPr="00422DCA">
        <w:rPr>
          <w:rFonts w:eastAsia="Times New Roman" w:cs="Times New Roman"/>
          <w:b/>
          <w:bCs/>
          <w:rtl/>
          <w:lang w:eastAsia="de-DE"/>
        </w:rPr>
        <w:t>לְמַטּוֹת אֲבֹתֵיכֶם</w:t>
      </w:r>
      <w:r w:rsidRPr="00422DCA">
        <w:rPr>
          <w:rFonts w:eastAsia="Times New Roman" w:cs="Times New Roman"/>
          <w:rtl/>
          <w:lang w:eastAsia="de-DE"/>
        </w:rPr>
        <w:t xml:space="preserve"> </w:t>
      </w:r>
      <w:r w:rsidRPr="00422DCA">
        <w:rPr>
          <w:rFonts w:eastAsia="Times New Roman" w:cs="Times New Roman"/>
          <w:lang w:eastAsia="de-DE"/>
        </w:rPr>
        <w:t>- nach Stämmen (Bewahrung der Stammesidentität). Das Los entscheidet die Lage, die Größe richtet sich nach der Bevölkerungszahl - eine Kombination von göttlicher Vorsehung und praktischer Gerechtigkeit.</w:t>
      </w:r>
    </w:p>
    <w:p w14:paraId="692D56C4" w14:textId="77777777" w:rsidR="00422DCA" w:rsidRPr="00422DCA" w:rsidRDefault="00422DCA" w:rsidP="00422DCA">
      <w:pPr>
        <w:spacing w:before="100" w:beforeAutospacing="1" w:after="100" w:afterAutospacing="1" w:line="240" w:lineRule="auto"/>
        <w:outlineLvl w:val="0"/>
        <w:rPr>
          <w:rFonts w:eastAsia="Times New Roman" w:cs="Times New Roman"/>
          <w:b/>
          <w:bCs/>
          <w:kern w:val="36"/>
          <w:sz w:val="48"/>
          <w:szCs w:val="48"/>
          <w:lang w:eastAsia="de-DE"/>
        </w:rPr>
      </w:pPr>
      <w:r w:rsidRPr="00422DCA">
        <w:rPr>
          <w:rFonts w:eastAsia="Times New Roman" w:cs="Times New Roman"/>
          <w:b/>
          <w:bCs/>
          <w:kern w:val="36"/>
          <w:sz w:val="48"/>
          <w:szCs w:val="48"/>
          <w:lang w:eastAsia="de-DE"/>
        </w:rPr>
        <w:t>Numeri 33,55</w:t>
      </w:r>
    </w:p>
    <w:p w14:paraId="0B669085"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Hebräisch:</w:t>
      </w:r>
      <w:r w:rsidRPr="00422DCA">
        <w:rPr>
          <w:rFonts w:eastAsia="Times New Roman" w:cs="Times New Roman"/>
          <w:lang w:eastAsia="de-DE"/>
        </w:rPr>
        <w:t xml:space="preserve"> </w:t>
      </w:r>
      <w:r w:rsidRPr="00422DCA">
        <w:rPr>
          <w:rFonts w:eastAsia="Times New Roman" w:cs="Times New Roman"/>
          <w:rtl/>
          <w:lang w:eastAsia="de-DE"/>
        </w:rPr>
        <w:t>וְאִם־לֹ֨א תוֹרִ֜ישׁוּ אֶת־יֹשְׁבֵ֣י הָאָרֶץ֮ מִפְּנֵיכֶם֒ וְהָיָה֙ אֲשֶׁ֣ר תּוֹתִ֣ירוּ מֵהֶ֔ם לְשִׂכִּים֙ בְּעֵ֣ינֵיכֶ֔ם וְלִצְנִינִ֖ם בְּצִדֵּיכֶ֑ם וְצָרֲר֣וּ אֶתְכֶ֔ם עַל־הָאָ֕רֶץ אֲשֶׁ֥ר אַתֶּ֖ם יֹשְׁבִ֥ים בָּֽהּ׃</w:t>
      </w:r>
    </w:p>
    <w:p w14:paraId="78C306B2"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Deutsch:</w:t>
      </w:r>
      <w:r w:rsidRPr="00422DCA">
        <w:rPr>
          <w:rFonts w:eastAsia="Times New Roman" w:cs="Times New Roman"/>
          <w:lang w:eastAsia="de-DE"/>
        </w:rPr>
        <w:t xml:space="preserve"> Wenn ihr aber die Bewohner des Landes nicht vor eurem Angesicht vertreibt, so werden die, die ihr von ihnen übriglasst, zu Dornen in euren Augen und zu Stacheln in euren Seiten werden, und sie werden euch bedrängen auf dem Land, in dem ihr wohnt.</w:t>
      </w:r>
    </w:p>
    <w:p w14:paraId="6CE4C655" w14:textId="77777777" w:rsidR="00422DCA" w:rsidRPr="00422DCA" w:rsidRDefault="00F329DD" w:rsidP="00422DCA">
      <w:pPr>
        <w:spacing w:after="0" w:line="240" w:lineRule="auto"/>
        <w:rPr>
          <w:rFonts w:eastAsia="Times New Roman" w:cs="Times New Roman"/>
          <w:lang w:eastAsia="de-DE"/>
        </w:rPr>
      </w:pPr>
      <w:r>
        <w:rPr>
          <w:rFonts w:eastAsia="Times New Roman" w:cs="Times New Roman"/>
          <w:lang w:eastAsia="de-DE"/>
        </w:rPr>
        <w:lastRenderedPageBreak/>
        <w:pict w14:anchorId="71978DEE">
          <v:rect id="_x0000_i2037" style="width:0;height:1.5pt" o:hralign="center" o:hrstd="t" o:hr="t" fillcolor="#a0a0a0" stroked="f"/>
        </w:pict>
      </w:r>
    </w:p>
    <w:p w14:paraId="1F99ABD5" w14:textId="3A1083AE"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Kommentar:</w:t>
      </w:r>
      <w:r w:rsidRPr="00422DCA">
        <w:rPr>
          <w:rFonts w:eastAsia="Times New Roman" w:cs="Times New Roman"/>
          <w:lang w:eastAsia="de-DE"/>
        </w:rPr>
        <w:t xml:space="preserve"> Der Vers warnt vor den Folgen des Ungehorsams. </w:t>
      </w:r>
      <w:r w:rsidRPr="00422DCA">
        <w:rPr>
          <w:rFonts w:eastAsia="Times New Roman" w:cs="Times New Roman"/>
          <w:b/>
          <w:bCs/>
          <w:rtl/>
          <w:lang w:eastAsia="de-DE"/>
        </w:rPr>
        <w:t>וְאִם־לֹא תוֹרִישׁוּ אֶת־יֹשְׁבֵי הָאָרֶץ מִפְּנֵיכֶם</w:t>
      </w:r>
      <w:r w:rsidRPr="00422DCA">
        <w:rPr>
          <w:rFonts w:eastAsia="Times New Roman" w:cs="Times New Roman"/>
          <w:rtl/>
          <w:lang w:eastAsia="de-DE"/>
        </w:rPr>
        <w:t xml:space="preserve"> </w:t>
      </w:r>
      <w:r w:rsidRPr="00422DCA">
        <w:rPr>
          <w:rFonts w:eastAsia="Times New Roman" w:cs="Times New Roman"/>
          <w:lang w:eastAsia="de-DE"/>
        </w:rPr>
        <w:t xml:space="preserve">ist die negative Bedingung. </w:t>
      </w:r>
      <w:r w:rsidRPr="00422DCA">
        <w:rPr>
          <w:rFonts w:eastAsia="Times New Roman" w:cs="Times New Roman"/>
          <w:b/>
          <w:bCs/>
          <w:rtl/>
          <w:lang w:eastAsia="de-DE"/>
        </w:rPr>
        <w:t>וְאִם־לֹא תוֹרִישׁוּ</w:t>
      </w:r>
      <w:r w:rsidRPr="00422DCA">
        <w:rPr>
          <w:rFonts w:eastAsia="Times New Roman" w:cs="Times New Roman"/>
          <w:rtl/>
          <w:lang w:eastAsia="de-DE"/>
        </w:rPr>
        <w:t xml:space="preserve"> </w:t>
      </w:r>
      <w:r w:rsidRPr="00422DCA">
        <w:rPr>
          <w:rFonts w:eastAsia="Times New Roman" w:cs="Times New Roman"/>
          <w:lang w:eastAsia="de-DE"/>
        </w:rPr>
        <w:t xml:space="preserve">(Konjunktion mit Konditionalspartikel </w:t>
      </w:r>
      <w:r w:rsidRPr="00422DCA">
        <w:rPr>
          <w:rFonts w:eastAsia="Times New Roman" w:cs="Times New Roman"/>
          <w:b/>
          <w:bCs/>
          <w:rtl/>
          <w:lang w:eastAsia="de-DE"/>
        </w:rPr>
        <w:t>אִם</w:t>
      </w:r>
      <w:r w:rsidRPr="00422DCA">
        <w:rPr>
          <w:rFonts w:eastAsia="Times New Roman" w:cs="Times New Roman"/>
          <w:rtl/>
          <w:lang w:eastAsia="de-DE"/>
        </w:rPr>
        <w:t xml:space="preserve"> </w:t>
      </w:r>
      <w:r w:rsidRPr="00422DCA">
        <w:rPr>
          <w:rFonts w:eastAsia="Times New Roman" w:cs="Times New Roman"/>
          <w:lang w:eastAsia="de-DE"/>
        </w:rPr>
        <w:t xml:space="preserve">und Negation </w:t>
      </w:r>
      <w:r w:rsidRPr="00422DCA">
        <w:rPr>
          <w:rFonts w:eastAsia="Times New Roman" w:cs="Times New Roman"/>
          <w:b/>
          <w:bCs/>
          <w:rtl/>
          <w:lang w:eastAsia="de-DE"/>
        </w:rPr>
        <w:t>לֹא</w:t>
      </w:r>
      <w:r w:rsidRPr="00422DCA">
        <w:rPr>
          <w:rFonts w:eastAsia="Times New Roman" w:cs="Times New Roman"/>
          <w:rtl/>
          <w:lang w:eastAsia="de-DE"/>
        </w:rPr>
        <w:t xml:space="preserve"> </w:t>
      </w:r>
      <w:r w:rsidRPr="00422DCA">
        <w:rPr>
          <w:rFonts w:eastAsia="Times New Roman" w:cs="Times New Roman"/>
          <w:lang w:eastAsia="de-DE"/>
        </w:rPr>
        <w:t xml:space="preserve">und Hiphil Imperfekt 2. Person Plural von </w:t>
      </w:r>
      <w:r w:rsidRPr="00422DCA">
        <w:rPr>
          <w:rFonts w:eastAsia="Times New Roman" w:cs="Times New Roman"/>
          <w:b/>
          <w:bCs/>
          <w:rtl/>
          <w:lang w:eastAsia="de-DE"/>
        </w:rPr>
        <w:t>ירשׁ</w:t>
      </w:r>
      <w:r w:rsidRPr="00422DCA">
        <w:rPr>
          <w:rFonts w:eastAsia="Times New Roman" w:cs="Times New Roman"/>
          <w:rtl/>
          <w:lang w:eastAsia="de-DE"/>
        </w:rPr>
        <w:t xml:space="preserve"> </w:t>
      </w:r>
      <w:r w:rsidRPr="00422DCA">
        <w:rPr>
          <w:rFonts w:eastAsia="Times New Roman" w:cs="Times New Roman"/>
          <w:lang w:eastAsia="de-DE"/>
        </w:rPr>
        <w:t xml:space="preserve">„vertreiben" „wenn ihr aber nicht vertreibt"), </w:t>
      </w:r>
      <w:r w:rsidRPr="00422DCA">
        <w:rPr>
          <w:rFonts w:eastAsia="Times New Roman" w:cs="Times New Roman"/>
          <w:b/>
          <w:bCs/>
          <w:rtl/>
          <w:lang w:eastAsia="de-DE"/>
        </w:rPr>
        <w:t>אֶת־יֹשְׁבֵי הָאָרֶץ מִפְּנֵיכֶם</w:t>
      </w:r>
      <w:r w:rsidRPr="00422DCA">
        <w:rPr>
          <w:rFonts w:eastAsia="Times New Roman" w:cs="Times New Roman"/>
          <w:rtl/>
          <w:lang w:eastAsia="de-DE"/>
        </w:rPr>
        <w:t xml:space="preserve"> </w:t>
      </w:r>
      <w:r w:rsidRPr="00422DCA">
        <w:rPr>
          <w:rFonts w:eastAsia="Times New Roman" w:cs="Times New Roman"/>
          <w:lang w:eastAsia="de-DE"/>
        </w:rPr>
        <w:t xml:space="preserve">(wie V. 52: Akkusativpartikel mit Qal-Partizip Plural von </w:t>
      </w:r>
      <w:r w:rsidRPr="00422DCA">
        <w:rPr>
          <w:rFonts w:eastAsia="Times New Roman" w:cs="Times New Roman"/>
          <w:b/>
          <w:bCs/>
          <w:rtl/>
          <w:lang w:eastAsia="de-DE"/>
        </w:rPr>
        <w:t>ישׁב</w:t>
      </w:r>
      <w:r w:rsidRPr="00422DCA">
        <w:rPr>
          <w:rFonts w:eastAsia="Times New Roman" w:cs="Times New Roman"/>
          <w:rtl/>
          <w:lang w:eastAsia="de-DE"/>
        </w:rPr>
        <w:t xml:space="preserve"> </w:t>
      </w:r>
      <w:r w:rsidRPr="00422DCA">
        <w:rPr>
          <w:rFonts w:eastAsia="Times New Roman" w:cs="Times New Roman"/>
          <w:lang w:eastAsia="de-DE"/>
        </w:rPr>
        <w:t xml:space="preserve">im </w:t>
      </w:r>
      <w:r w:rsidR="00F133EC">
        <w:rPr>
          <w:rFonts w:eastAsia="Times New Roman" w:cs="Times New Roman"/>
          <w:lang w:eastAsia="de-DE"/>
        </w:rPr>
        <w:t>Constructus</w:t>
      </w:r>
      <w:r w:rsidRPr="00422DCA">
        <w:rPr>
          <w:rFonts w:eastAsia="Times New Roman" w:cs="Times New Roman"/>
          <w:lang w:eastAsia="de-DE"/>
        </w:rPr>
        <w:t xml:space="preserve"> mit </w:t>
      </w:r>
      <w:r w:rsidRPr="00422DCA">
        <w:rPr>
          <w:rFonts w:eastAsia="Times New Roman" w:cs="Times New Roman"/>
          <w:b/>
          <w:bCs/>
          <w:rtl/>
          <w:lang w:eastAsia="de-DE"/>
        </w:rPr>
        <w:t>אֶרֶץ</w:t>
      </w:r>
      <w:r w:rsidRPr="00422DCA">
        <w:rPr>
          <w:rFonts w:eastAsia="Times New Roman" w:cs="Times New Roman"/>
          <w:rtl/>
          <w:lang w:eastAsia="de-DE"/>
        </w:rPr>
        <w:t xml:space="preserve"> </w:t>
      </w:r>
      <w:r w:rsidRPr="00422DCA">
        <w:rPr>
          <w:rFonts w:eastAsia="Times New Roman" w:cs="Times New Roman"/>
          <w:lang w:eastAsia="de-DE"/>
        </w:rPr>
        <w:t xml:space="preserve">mit Artikel und Präposition </w:t>
      </w:r>
      <w:r w:rsidRPr="00422DCA">
        <w:rPr>
          <w:rFonts w:eastAsia="Times New Roman" w:cs="Times New Roman"/>
          <w:b/>
          <w:bCs/>
          <w:rtl/>
          <w:lang w:eastAsia="de-DE"/>
        </w:rPr>
        <w:t>מִן</w:t>
      </w:r>
      <w:r w:rsidRPr="00422DCA">
        <w:rPr>
          <w:rFonts w:eastAsia="Times New Roman" w:cs="Times New Roman"/>
          <w:rtl/>
          <w:lang w:eastAsia="de-DE"/>
        </w:rPr>
        <w:t xml:space="preserve"> </w:t>
      </w:r>
      <w:r w:rsidRPr="00422DCA">
        <w:rPr>
          <w:rFonts w:eastAsia="Times New Roman" w:cs="Times New Roman"/>
          <w:lang w:eastAsia="de-DE"/>
        </w:rPr>
        <w:t xml:space="preserve">mit Plural </w:t>
      </w:r>
      <w:r w:rsidRPr="00422DCA">
        <w:rPr>
          <w:rFonts w:eastAsia="Times New Roman" w:cs="Times New Roman"/>
          <w:b/>
          <w:bCs/>
          <w:rtl/>
          <w:lang w:eastAsia="de-DE"/>
        </w:rPr>
        <w:t>פָּנֶה</w:t>
      </w:r>
      <w:r w:rsidRPr="00422DCA">
        <w:rPr>
          <w:rFonts w:eastAsia="Times New Roman" w:cs="Times New Roman"/>
          <w:rtl/>
          <w:lang w:eastAsia="de-DE"/>
        </w:rPr>
        <w:t xml:space="preserve"> </w:t>
      </w:r>
      <w:r w:rsidRPr="00422DCA">
        <w:rPr>
          <w:rFonts w:eastAsia="Times New Roman" w:cs="Times New Roman"/>
          <w:lang w:eastAsia="de-DE"/>
        </w:rPr>
        <w:t>und Suffix „die Bewohner des Landes vor eurem Angesicht").</w:t>
      </w:r>
    </w:p>
    <w:p w14:paraId="6561D515"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rtl/>
          <w:lang w:eastAsia="de-DE"/>
        </w:rPr>
        <w:t>וְהָיָה אֲשֶׁר תּוֹתִירוּ מֵהֶם לְשִׂכִּים בְּעֵינֵיכֶם וְלִצְנִינִם בְּצִדֵּיכֶם</w:t>
      </w:r>
      <w:r w:rsidRPr="00422DCA">
        <w:rPr>
          <w:rFonts w:eastAsia="Times New Roman" w:cs="Times New Roman"/>
          <w:rtl/>
          <w:lang w:eastAsia="de-DE"/>
        </w:rPr>
        <w:t xml:space="preserve"> </w:t>
      </w:r>
      <w:r w:rsidRPr="00422DCA">
        <w:rPr>
          <w:rFonts w:eastAsia="Times New Roman" w:cs="Times New Roman"/>
          <w:lang w:eastAsia="de-DE"/>
        </w:rPr>
        <w:t xml:space="preserve">ist die erste Folge. </w:t>
      </w:r>
      <w:r w:rsidRPr="00422DCA">
        <w:rPr>
          <w:rFonts w:eastAsia="Times New Roman" w:cs="Times New Roman"/>
          <w:b/>
          <w:bCs/>
          <w:rtl/>
          <w:lang w:eastAsia="de-DE"/>
        </w:rPr>
        <w:t>וְהָיָה אֲשֶׁר תּוֹתִירוּ מֵהֶם</w:t>
      </w:r>
      <w:r w:rsidRPr="00422DCA">
        <w:rPr>
          <w:rFonts w:eastAsia="Times New Roman" w:cs="Times New Roman"/>
          <w:rtl/>
          <w:lang w:eastAsia="de-DE"/>
        </w:rPr>
        <w:t xml:space="preserve"> </w:t>
      </w:r>
      <w:r w:rsidRPr="00422DCA">
        <w:rPr>
          <w:rFonts w:eastAsia="Times New Roman" w:cs="Times New Roman"/>
          <w:lang w:eastAsia="de-DE"/>
        </w:rPr>
        <w:t xml:space="preserve">(Konjunktion mit Qal Perfekt 3. Person maskulin Singular mit Waw consecutivum von </w:t>
      </w:r>
      <w:r w:rsidRPr="00422DCA">
        <w:rPr>
          <w:rFonts w:eastAsia="Times New Roman" w:cs="Times New Roman"/>
          <w:b/>
          <w:bCs/>
          <w:rtl/>
          <w:lang w:eastAsia="de-DE"/>
        </w:rPr>
        <w:t>היה</w:t>
      </w:r>
      <w:r w:rsidRPr="00422DCA">
        <w:rPr>
          <w:rFonts w:eastAsia="Times New Roman" w:cs="Times New Roman"/>
          <w:rtl/>
          <w:lang w:eastAsia="de-DE"/>
        </w:rPr>
        <w:t xml:space="preserve"> </w:t>
      </w:r>
      <w:r w:rsidRPr="00422DCA">
        <w:rPr>
          <w:rFonts w:eastAsia="Times New Roman" w:cs="Times New Roman"/>
          <w:lang w:eastAsia="de-DE"/>
        </w:rPr>
        <w:t xml:space="preserve">und Relativsatz: </w:t>
      </w:r>
      <w:r w:rsidRPr="00422DCA">
        <w:rPr>
          <w:rFonts w:eastAsia="Times New Roman" w:cs="Times New Roman"/>
          <w:b/>
          <w:bCs/>
          <w:rtl/>
          <w:lang w:eastAsia="de-DE"/>
        </w:rPr>
        <w:t>אֲשֶׁר</w:t>
      </w:r>
      <w:r w:rsidRPr="00422DCA">
        <w:rPr>
          <w:rFonts w:eastAsia="Times New Roman" w:cs="Times New Roman"/>
          <w:rtl/>
          <w:lang w:eastAsia="de-DE"/>
        </w:rPr>
        <w:t xml:space="preserve"> </w:t>
      </w:r>
      <w:r w:rsidRPr="00422DCA">
        <w:rPr>
          <w:rFonts w:eastAsia="Times New Roman" w:cs="Times New Roman"/>
          <w:lang w:eastAsia="de-DE"/>
        </w:rPr>
        <w:t xml:space="preserve">mit Hiphil Imperfekt 2. Person Plural von </w:t>
      </w:r>
      <w:r w:rsidRPr="00422DCA">
        <w:rPr>
          <w:rFonts w:eastAsia="Times New Roman" w:cs="Times New Roman"/>
          <w:b/>
          <w:bCs/>
          <w:rtl/>
          <w:lang w:eastAsia="de-DE"/>
        </w:rPr>
        <w:t>יתר</w:t>
      </w:r>
      <w:r w:rsidRPr="00422DCA">
        <w:rPr>
          <w:rFonts w:eastAsia="Times New Roman" w:cs="Times New Roman"/>
          <w:rtl/>
          <w:lang w:eastAsia="de-DE"/>
        </w:rPr>
        <w:t xml:space="preserve"> </w:t>
      </w:r>
      <w:r w:rsidRPr="00422DCA">
        <w:rPr>
          <w:rFonts w:eastAsia="Times New Roman" w:cs="Times New Roman"/>
          <w:lang w:eastAsia="de-DE"/>
        </w:rPr>
        <w:t xml:space="preserve">„übriglassen, überlassen" und Präposition </w:t>
      </w:r>
      <w:r w:rsidRPr="00422DCA">
        <w:rPr>
          <w:rFonts w:eastAsia="Times New Roman" w:cs="Times New Roman"/>
          <w:b/>
          <w:bCs/>
          <w:rtl/>
          <w:lang w:eastAsia="de-DE"/>
        </w:rPr>
        <w:t>מִן</w:t>
      </w:r>
      <w:r w:rsidRPr="00422DCA">
        <w:rPr>
          <w:rFonts w:eastAsia="Times New Roman" w:cs="Times New Roman"/>
          <w:rtl/>
          <w:lang w:eastAsia="de-DE"/>
        </w:rPr>
        <w:t xml:space="preserve"> </w:t>
      </w:r>
      <w:r w:rsidRPr="00422DCA">
        <w:rPr>
          <w:rFonts w:eastAsia="Times New Roman" w:cs="Times New Roman"/>
          <w:lang w:eastAsia="de-DE"/>
        </w:rPr>
        <w:t xml:space="preserve">mit Suffix 3. Person Plural „und es wird geschehen, dass die, die ihr von ihnen übriglasst"), </w:t>
      </w:r>
      <w:r w:rsidRPr="00422DCA">
        <w:rPr>
          <w:rFonts w:eastAsia="Times New Roman" w:cs="Times New Roman"/>
          <w:b/>
          <w:bCs/>
          <w:rtl/>
          <w:lang w:eastAsia="de-DE"/>
        </w:rPr>
        <w:t>לְשִׂכִּים בְּעֵינֵיכֶם</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Plural </w:t>
      </w:r>
      <w:r w:rsidRPr="00422DCA">
        <w:rPr>
          <w:rFonts w:eastAsia="Times New Roman" w:cs="Times New Roman"/>
          <w:b/>
          <w:bCs/>
          <w:rtl/>
          <w:lang w:eastAsia="de-DE"/>
        </w:rPr>
        <w:t>שֵׂךְ</w:t>
      </w:r>
      <w:r w:rsidRPr="00422DCA">
        <w:rPr>
          <w:rFonts w:eastAsia="Times New Roman" w:cs="Times New Roman"/>
          <w:rtl/>
          <w:lang w:eastAsia="de-DE"/>
        </w:rPr>
        <w:t xml:space="preserve"> </w:t>
      </w:r>
      <w:r w:rsidRPr="00422DCA">
        <w:rPr>
          <w:rFonts w:eastAsia="Times New Roman" w:cs="Times New Roman"/>
          <w:lang w:eastAsia="de-DE"/>
        </w:rPr>
        <w:t xml:space="preserve">„Dorn" - sonst selten - und Präposition </w:t>
      </w:r>
      <w:r w:rsidRPr="00422DCA">
        <w:rPr>
          <w:rFonts w:eastAsia="Times New Roman" w:cs="Times New Roman"/>
          <w:b/>
          <w:bCs/>
          <w:rtl/>
          <w:lang w:eastAsia="de-DE"/>
        </w:rPr>
        <w:t>בְ</w:t>
      </w:r>
      <w:r w:rsidRPr="00422DCA">
        <w:rPr>
          <w:rFonts w:eastAsia="Times New Roman" w:cs="Times New Roman"/>
          <w:rtl/>
          <w:lang w:eastAsia="de-DE"/>
        </w:rPr>
        <w:t xml:space="preserve"> </w:t>
      </w:r>
      <w:r w:rsidRPr="00422DCA">
        <w:rPr>
          <w:rFonts w:eastAsia="Times New Roman" w:cs="Times New Roman"/>
          <w:lang w:eastAsia="de-DE"/>
        </w:rPr>
        <w:t xml:space="preserve">mit Dual </w:t>
      </w:r>
      <w:r w:rsidRPr="00422DCA">
        <w:rPr>
          <w:rFonts w:eastAsia="Times New Roman" w:cs="Times New Roman"/>
          <w:b/>
          <w:bCs/>
          <w:rtl/>
          <w:lang w:eastAsia="de-DE"/>
        </w:rPr>
        <w:t>עַיִן</w:t>
      </w:r>
      <w:r w:rsidRPr="00422DCA">
        <w:rPr>
          <w:rFonts w:eastAsia="Times New Roman" w:cs="Times New Roman"/>
          <w:rtl/>
          <w:lang w:eastAsia="de-DE"/>
        </w:rPr>
        <w:t xml:space="preserve"> </w:t>
      </w:r>
      <w:r w:rsidRPr="00422DCA">
        <w:rPr>
          <w:rFonts w:eastAsia="Times New Roman" w:cs="Times New Roman"/>
          <w:lang w:eastAsia="de-DE"/>
        </w:rPr>
        <w:t xml:space="preserve">„Auge" und Suffix 2. Person Plural „zu Dornen in euren Augen werden"), </w:t>
      </w:r>
      <w:r w:rsidRPr="00422DCA">
        <w:rPr>
          <w:rFonts w:eastAsia="Times New Roman" w:cs="Times New Roman"/>
          <w:b/>
          <w:bCs/>
          <w:rtl/>
          <w:lang w:eastAsia="de-DE"/>
        </w:rPr>
        <w:t>וְלִצְנִינִם בְּצִדֵּיכֶם</w:t>
      </w:r>
      <w:r w:rsidRPr="00422DCA">
        <w:rPr>
          <w:rFonts w:eastAsia="Times New Roman" w:cs="Times New Roman"/>
          <w:rtl/>
          <w:lang w:eastAsia="de-DE"/>
        </w:rPr>
        <w:t xml:space="preserve"> </w:t>
      </w:r>
      <w:r w:rsidRPr="00422DCA">
        <w:rPr>
          <w:rFonts w:eastAsia="Times New Roman" w:cs="Times New Roman"/>
          <w:lang w:eastAsia="de-DE"/>
        </w:rPr>
        <w:t xml:space="preserve">(parallele Struktur: Konjunktion mit 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und Plural </w:t>
      </w:r>
      <w:r w:rsidRPr="00422DCA">
        <w:rPr>
          <w:rFonts w:eastAsia="Times New Roman" w:cs="Times New Roman"/>
          <w:b/>
          <w:bCs/>
          <w:rtl/>
          <w:lang w:eastAsia="de-DE"/>
        </w:rPr>
        <w:t>צְנִין</w:t>
      </w:r>
      <w:r w:rsidRPr="00422DCA">
        <w:rPr>
          <w:rFonts w:eastAsia="Times New Roman" w:cs="Times New Roman"/>
          <w:rtl/>
          <w:lang w:eastAsia="de-DE"/>
        </w:rPr>
        <w:t xml:space="preserve"> </w:t>
      </w:r>
      <w:r w:rsidRPr="00422DCA">
        <w:rPr>
          <w:rFonts w:eastAsia="Times New Roman" w:cs="Times New Roman"/>
          <w:lang w:eastAsia="de-DE"/>
        </w:rPr>
        <w:t xml:space="preserve">„Stachel, Dorn" und Präposition </w:t>
      </w:r>
      <w:r w:rsidRPr="00422DCA">
        <w:rPr>
          <w:rFonts w:eastAsia="Times New Roman" w:cs="Times New Roman"/>
          <w:b/>
          <w:bCs/>
          <w:rtl/>
          <w:lang w:eastAsia="de-DE"/>
        </w:rPr>
        <w:t>בְ</w:t>
      </w:r>
      <w:r w:rsidRPr="00422DCA">
        <w:rPr>
          <w:rFonts w:eastAsia="Times New Roman" w:cs="Times New Roman"/>
          <w:rtl/>
          <w:lang w:eastAsia="de-DE"/>
        </w:rPr>
        <w:t xml:space="preserve"> </w:t>
      </w:r>
      <w:r w:rsidRPr="00422DCA">
        <w:rPr>
          <w:rFonts w:eastAsia="Times New Roman" w:cs="Times New Roman"/>
          <w:lang w:eastAsia="de-DE"/>
        </w:rPr>
        <w:t xml:space="preserve">mit Plural </w:t>
      </w:r>
      <w:r w:rsidRPr="00422DCA">
        <w:rPr>
          <w:rFonts w:eastAsia="Times New Roman" w:cs="Times New Roman"/>
          <w:b/>
          <w:bCs/>
          <w:rtl/>
          <w:lang w:eastAsia="de-DE"/>
        </w:rPr>
        <w:t>צַד</w:t>
      </w:r>
      <w:r w:rsidRPr="00422DCA">
        <w:rPr>
          <w:rFonts w:eastAsia="Times New Roman" w:cs="Times New Roman"/>
          <w:rtl/>
          <w:lang w:eastAsia="de-DE"/>
        </w:rPr>
        <w:t xml:space="preserve"> </w:t>
      </w:r>
      <w:r w:rsidRPr="00422DCA">
        <w:rPr>
          <w:rFonts w:eastAsia="Times New Roman" w:cs="Times New Roman"/>
          <w:lang w:eastAsia="de-DE"/>
        </w:rPr>
        <w:t>„Seite" und Suffix „und zu Stacheln in euren Seiten").</w:t>
      </w:r>
    </w:p>
    <w:p w14:paraId="75386423"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rtl/>
          <w:lang w:eastAsia="de-DE"/>
        </w:rPr>
        <w:t>וְצָרֲרוּ אֶתְכֶם עַל־הָאָרֶץ אֲשֶׁר אַתֶּם יֹשְׁבִים בָּהּ</w:t>
      </w:r>
      <w:r w:rsidRPr="00422DCA">
        <w:rPr>
          <w:rFonts w:eastAsia="Times New Roman" w:cs="Times New Roman"/>
          <w:rtl/>
          <w:lang w:eastAsia="de-DE"/>
        </w:rPr>
        <w:t xml:space="preserve"> </w:t>
      </w:r>
      <w:r w:rsidRPr="00422DCA">
        <w:rPr>
          <w:rFonts w:eastAsia="Times New Roman" w:cs="Times New Roman"/>
          <w:lang w:eastAsia="de-DE"/>
        </w:rPr>
        <w:t xml:space="preserve">ist die zweite Folge. </w:t>
      </w:r>
      <w:r w:rsidRPr="00422DCA">
        <w:rPr>
          <w:rFonts w:eastAsia="Times New Roman" w:cs="Times New Roman"/>
          <w:b/>
          <w:bCs/>
          <w:rtl/>
          <w:lang w:eastAsia="de-DE"/>
        </w:rPr>
        <w:t>וְצָרֲרוּ אֶתְכֶם</w:t>
      </w:r>
      <w:r w:rsidRPr="00422DCA">
        <w:rPr>
          <w:rFonts w:eastAsia="Times New Roman" w:cs="Times New Roman"/>
          <w:rtl/>
          <w:lang w:eastAsia="de-DE"/>
        </w:rPr>
        <w:t xml:space="preserve"> </w:t>
      </w:r>
      <w:r w:rsidRPr="00422DCA">
        <w:rPr>
          <w:rFonts w:eastAsia="Times New Roman" w:cs="Times New Roman"/>
          <w:lang w:eastAsia="de-DE"/>
        </w:rPr>
        <w:t xml:space="preserve">(Konjunktion mit Qal Perfekt 3. Person Plural mit Waw consecutivum von </w:t>
      </w:r>
      <w:r w:rsidRPr="00422DCA">
        <w:rPr>
          <w:rFonts w:eastAsia="Times New Roman" w:cs="Times New Roman"/>
          <w:b/>
          <w:bCs/>
          <w:rtl/>
          <w:lang w:eastAsia="de-DE"/>
        </w:rPr>
        <w:t>צרר</w:t>
      </w:r>
      <w:r w:rsidRPr="00422DCA">
        <w:rPr>
          <w:rFonts w:eastAsia="Times New Roman" w:cs="Times New Roman"/>
          <w:rtl/>
          <w:lang w:eastAsia="de-DE"/>
        </w:rPr>
        <w:t xml:space="preserve"> </w:t>
      </w:r>
      <w:r w:rsidRPr="00422DCA">
        <w:rPr>
          <w:rFonts w:eastAsia="Times New Roman" w:cs="Times New Roman"/>
          <w:lang w:eastAsia="de-DE"/>
        </w:rPr>
        <w:t xml:space="preserve">„bedrängen, beengen, quälen" und Akkusativpartikel mit Suffix 2. Person Plural „und sie werden euch bedrängen"), </w:t>
      </w:r>
      <w:r w:rsidRPr="00422DCA">
        <w:rPr>
          <w:rFonts w:eastAsia="Times New Roman" w:cs="Times New Roman"/>
          <w:b/>
          <w:bCs/>
          <w:rtl/>
          <w:lang w:eastAsia="de-DE"/>
        </w:rPr>
        <w:t>עַל־הָאָרֶץ אֲשֶׁר אַתֶּם יֹשְׁבִים בָּהּ</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עַל</w:t>
      </w:r>
      <w:r w:rsidRPr="00422DCA">
        <w:rPr>
          <w:rFonts w:eastAsia="Times New Roman" w:cs="Times New Roman"/>
          <w:rtl/>
          <w:lang w:eastAsia="de-DE"/>
        </w:rPr>
        <w:t xml:space="preserve"> </w:t>
      </w:r>
      <w:r w:rsidRPr="00422DCA">
        <w:rPr>
          <w:rFonts w:eastAsia="Times New Roman" w:cs="Times New Roman"/>
          <w:lang w:eastAsia="de-DE"/>
        </w:rPr>
        <w:t xml:space="preserve">„auf" mit </w:t>
      </w:r>
      <w:r w:rsidRPr="00422DCA">
        <w:rPr>
          <w:rFonts w:eastAsia="Times New Roman" w:cs="Times New Roman"/>
          <w:b/>
          <w:bCs/>
          <w:rtl/>
          <w:lang w:eastAsia="de-DE"/>
        </w:rPr>
        <w:t>אֶרֶץ</w:t>
      </w:r>
      <w:r w:rsidRPr="00422DCA">
        <w:rPr>
          <w:rFonts w:eastAsia="Times New Roman" w:cs="Times New Roman"/>
          <w:rtl/>
          <w:lang w:eastAsia="de-DE"/>
        </w:rPr>
        <w:t xml:space="preserve"> </w:t>
      </w:r>
      <w:r w:rsidRPr="00422DCA">
        <w:rPr>
          <w:rFonts w:eastAsia="Times New Roman" w:cs="Times New Roman"/>
          <w:lang w:eastAsia="de-DE"/>
        </w:rPr>
        <w:t xml:space="preserve">mit Artikel und Relativsatz: </w:t>
      </w:r>
      <w:r w:rsidRPr="00422DCA">
        <w:rPr>
          <w:rFonts w:eastAsia="Times New Roman" w:cs="Times New Roman"/>
          <w:b/>
          <w:bCs/>
          <w:rtl/>
          <w:lang w:eastAsia="de-DE"/>
        </w:rPr>
        <w:t>אֲשֶׁר</w:t>
      </w:r>
      <w:r w:rsidRPr="00422DCA">
        <w:rPr>
          <w:rFonts w:eastAsia="Times New Roman" w:cs="Times New Roman"/>
          <w:rtl/>
          <w:lang w:eastAsia="de-DE"/>
        </w:rPr>
        <w:t xml:space="preserve"> </w:t>
      </w:r>
      <w:r w:rsidRPr="00422DCA">
        <w:rPr>
          <w:rFonts w:eastAsia="Times New Roman" w:cs="Times New Roman"/>
          <w:lang w:eastAsia="de-DE"/>
        </w:rPr>
        <w:t xml:space="preserve">mit Pronomen 2. Person Plural und Qal-Partizip Plural maskulin von </w:t>
      </w:r>
      <w:r w:rsidRPr="00422DCA">
        <w:rPr>
          <w:rFonts w:eastAsia="Times New Roman" w:cs="Times New Roman"/>
          <w:b/>
          <w:bCs/>
          <w:rtl/>
          <w:lang w:eastAsia="de-DE"/>
        </w:rPr>
        <w:t>ישׁב</w:t>
      </w:r>
      <w:r w:rsidRPr="00422DCA">
        <w:rPr>
          <w:rFonts w:eastAsia="Times New Roman" w:cs="Times New Roman"/>
          <w:rtl/>
          <w:lang w:eastAsia="de-DE"/>
        </w:rPr>
        <w:t xml:space="preserve"> </w:t>
      </w:r>
      <w:r w:rsidRPr="00422DCA">
        <w:rPr>
          <w:rFonts w:eastAsia="Times New Roman" w:cs="Times New Roman"/>
          <w:lang w:eastAsia="de-DE"/>
        </w:rPr>
        <w:t xml:space="preserve">und Präposition </w:t>
      </w:r>
      <w:r w:rsidRPr="00422DCA">
        <w:rPr>
          <w:rFonts w:eastAsia="Times New Roman" w:cs="Times New Roman"/>
          <w:b/>
          <w:bCs/>
          <w:rtl/>
          <w:lang w:eastAsia="de-DE"/>
        </w:rPr>
        <w:t>בְ</w:t>
      </w:r>
      <w:r w:rsidRPr="00422DCA">
        <w:rPr>
          <w:rFonts w:eastAsia="Times New Roman" w:cs="Times New Roman"/>
          <w:rtl/>
          <w:lang w:eastAsia="de-DE"/>
        </w:rPr>
        <w:t xml:space="preserve"> </w:t>
      </w:r>
      <w:r w:rsidRPr="00422DCA">
        <w:rPr>
          <w:rFonts w:eastAsia="Times New Roman" w:cs="Times New Roman"/>
          <w:lang w:eastAsia="de-DE"/>
        </w:rPr>
        <w:t>mit Suffix 3. Person feminin Singular „auf dem Land, in dem ihr wohnt").</w:t>
      </w:r>
    </w:p>
    <w:p w14:paraId="0F6686EF"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Die Satzstruktur zeigt eine negative Konditionalbedingung, gefolgt von zwei Folgeaussagen (metaphorische und konkrete Bedrängnis).</w:t>
      </w:r>
    </w:p>
    <w:p w14:paraId="6B5327CF"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 xml:space="preserve">Der Vers malt drastisch die Konsequenzen des Ungehorsams: Wenn Israel die Bewohner nicht </w:t>
      </w:r>
      <w:r w:rsidRPr="00422DCA">
        <w:rPr>
          <w:rFonts w:eastAsia="Times New Roman" w:cs="Times New Roman"/>
          <w:b/>
          <w:bCs/>
          <w:rtl/>
          <w:lang w:eastAsia="de-DE"/>
        </w:rPr>
        <w:t>תוֹרִישׁוּ</w:t>
      </w:r>
      <w:r w:rsidRPr="00422DCA">
        <w:rPr>
          <w:rFonts w:eastAsia="Times New Roman" w:cs="Times New Roman"/>
          <w:rtl/>
          <w:lang w:eastAsia="de-DE"/>
        </w:rPr>
        <w:t xml:space="preserve"> </w:t>
      </w:r>
      <w:r w:rsidRPr="00422DCA">
        <w:rPr>
          <w:rFonts w:eastAsia="Times New Roman" w:cs="Times New Roman"/>
          <w:lang w:eastAsia="de-DE"/>
        </w:rPr>
        <w:t xml:space="preserve">(„vertreibt"), werden die Übriggebliebenen </w:t>
      </w:r>
      <w:r w:rsidRPr="00422DCA">
        <w:rPr>
          <w:rFonts w:eastAsia="Times New Roman" w:cs="Times New Roman"/>
          <w:b/>
          <w:bCs/>
          <w:rtl/>
          <w:lang w:eastAsia="de-DE"/>
        </w:rPr>
        <w:t>לְשִׂכִּים בְּעֵינֵיכֶם וְלִצְנִינִם בְּצִדֵּיכֶם</w:t>
      </w:r>
      <w:r w:rsidRPr="00422DCA">
        <w:rPr>
          <w:rFonts w:eastAsia="Times New Roman" w:cs="Times New Roman"/>
          <w:rtl/>
          <w:lang w:eastAsia="de-DE"/>
        </w:rPr>
        <w:t xml:space="preserve"> </w:t>
      </w:r>
      <w:r w:rsidRPr="00422DCA">
        <w:rPr>
          <w:rFonts w:eastAsia="Times New Roman" w:cs="Times New Roman"/>
          <w:lang w:eastAsia="de-DE"/>
        </w:rPr>
        <w:t xml:space="preserve">(„zu Dornen in euren Augen und zu Stacheln in euren Seiten") - schmerzhafte Metaphern für ständige Irritation und Bedrohung. Die konkrete Folge: </w:t>
      </w:r>
      <w:r w:rsidRPr="00422DCA">
        <w:rPr>
          <w:rFonts w:eastAsia="Times New Roman" w:cs="Times New Roman"/>
          <w:b/>
          <w:bCs/>
          <w:rtl/>
          <w:lang w:eastAsia="de-DE"/>
        </w:rPr>
        <w:t>וְצָרֲרוּ אֶתְכֶם</w:t>
      </w:r>
      <w:r w:rsidRPr="00422DCA">
        <w:rPr>
          <w:rFonts w:eastAsia="Times New Roman" w:cs="Times New Roman"/>
          <w:rtl/>
          <w:lang w:eastAsia="de-DE"/>
        </w:rPr>
        <w:t xml:space="preserve"> </w:t>
      </w:r>
      <w:r w:rsidRPr="00422DCA">
        <w:rPr>
          <w:rFonts w:eastAsia="Times New Roman" w:cs="Times New Roman"/>
          <w:lang w:eastAsia="de-DE"/>
        </w:rPr>
        <w:t>(„sie werden euch bedrängen") - militärisch, kulturell, religiös. Die Warnung ist prophetisch: Die Geschichte Israels im Buch der Richter wird genau dies zeigen - übriggebliebene Kanaaniter als ständige Quelle von Konflikt und Verführung zum Götzendienst.</w:t>
      </w:r>
    </w:p>
    <w:p w14:paraId="702B17BF" w14:textId="77777777" w:rsidR="00422DCA" w:rsidRPr="00422DCA" w:rsidRDefault="00422DCA" w:rsidP="00422DCA">
      <w:pPr>
        <w:spacing w:before="100" w:beforeAutospacing="1" w:after="100" w:afterAutospacing="1" w:line="240" w:lineRule="auto"/>
        <w:outlineLvl w:val="0"/>
        <w:rPr>
          <w:rFonts w:eastAsia="Times New Roman" w:cs="Times New Roman"/>
          <w:b/>
          <w:bCs/>
          <w:kern w:val="36"/>
          <w:sz w:val="48"/>
          <w:szCs w:val="48"/>
          <w:lang w:eastAsia="de-DE"/>
        </w:rPr>
      </w:pPr>
      <w:r w:rsidRPr="00422DCA">
        <w:rPr>
          <w:rFonts w:eastAsia="Times New Roman" w:cs="Times New Roman"/>
          <w:b/>
          <w:bCs/>
          <w:kern w:val="36"/>
          <w:sz w:val="48"/>
          <w:szCs w:val="48"/>
          <w:lang w:eastAsia="de-DE"/>
        </w:rPr>
        <w:t>Numeri 33,56</w:t>
      </w:r>
    </w:p>
    <w:p w14:paraId="403AFBCA"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Hebräisch:</w:t>
      </w:r>
      <w:r w:rsidRPr="00422DCA">
        <w:rPr>
          <w:rFonts w:eastAsia="Times New Roman" w:cs="Times New Roman"/>
          <w:lang w:eastAsia="de-DE"/>
        </w:rPr>
        <w:t xml:space="preserve"> </w:t>
      </w:r>
      <w:r w:rsidRPr="00422DCA">
        <w:rPr>
          <w:rFonts w:eastAsia="Times New Roman" w:cs="Times New Roman"/>
          <w:rtl/>
          <w:lang w:eastAsia="de-DE"/>
        </w:rPr>
        <w:t>וְהָיָ֗ה כַּאֲשֶׁ֥ר דִּמִּ֛יתִי לַעֲשׂ֥וֹת לָהֶ֖ם אֶֽעֱשֶׂ֥ה לָכֶֽם׃</w:t>
      </w:r>
    </w:p>
    <w:p w14:paraId="31DA4289"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Deutsch:</w:t>
      </w:r>
      <w:r w:rsidRPr="00422DCA">
        <w:rPr>
          <w:rFonts w:eastAsia="Times New Roman" w:cs="Times New Roman"/>
          <w:lang w:eastAsia="de-DE"/>
        </w:rPr>
        <w:t xml:space="preserve"> Und es wird geschehen, wie ich gedacht habe, ihnen zu tun, werde ich euch tun.</w:t>
      </w:r>
    </w:p>
    <w:p w14:paraId="1D37468E" w14:textId="77777777" w:rsidR="00422DCA" w:rsidRPr="00422DCA" w:rsidRDefault="00F329DD" w:rsidP="00422DCA">
      <w:pPr>
        <w:spacing w:after="0" w:line="240" w:lineRule="auto"/>
        <w:rPr>
          <w:rFonts w:eastAsia="Times New Roman" w:cs="Times New Roman"/>
          <w:lang w:eastAsia="de-DE"/>
        </w:rPr>
      </w:pPr>
      <w:r>
        <w:rPr>
          <w:rFonts w:eastAsia="Times New Roman" w:cs="Times New Roman"/>
          <w:lang w:eastAsia="de-DE"/>
        </w:rPr>
        <w:pict w14:anchorId="5E2CD760">
          <v:rect id="_x0000_i2038" style="width:0;height:1.5pt" o:hralign="center" o:hrstd="t" o:hr="t" fillcolor="#a0a0a0" stroked="f"/>
        </w:pict>
      </w:r>
    </w:p>
    <w:p w14:paraId="6C9A85AF" w14:textId="40826143"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b/>
          <w:bCs/>
          <w:lang w:eastAsia="de-DE"/>
        </w:rPr>
        <w:t>Kommentar:</w:t>
      </w:r>
      <w:r w:rsidRPr="00422DCA">
        <w:rPr>
          <w:rFonts w:eastAsia="Times New Roman" w:cs="Times New Roman"/>
          <w:lang w:eastAsia="de-DE"/>
        </w:rPr>
        <w:t xml:space="preserve"> Der Vers schließt mit einer ultimativen Warnung. </w:t>
      </w:r>
      <w:r w:rsidRPr="00422DCA">
        <w:rPr>
          <w:rFonts w:eastAsia="Times New Roman" w:cs="Times New Roman"/>
          <w:b/>
          <w:bCs/>
          <w:rtl/>
          <w:lang w:eastAsia="de-DE"/>
        </w:rPr>
        <w:t>וְהָיָה כַּאֲשֶׁר דִּמִּיתִי לַעֲשׂוֹת לָהֶם אֶעֱשֶׂה לָכֶם</w:t>
      </w:r>
      <w:r w:rsidRPr="00422DCA">
        <w:rPr>
          <w:rFonts w:eastAsia="Times New Roman" w:cs="Times New Roman"/>
          <w:rtl/>
          <w:lang w:eastAsia="de-DE"/>
        </w:rPr>
        <w:t xml:space="preserve"> </w:t>
      </w:r>
      <w:r w:rsidRPr="00422DCA">
        <w:rPr>
          <w:rFonts w:eastAsia="Times New Roman" w:cs="Times New Roman"/>
          <w:lang w:eastAsia="de-DE"/>
        </w:rPr>
        <w:t xml:space="preserve">ist die gesamte Aussage. </w:t>
      </w:r>
      <w:r w:rsidRPr="00422DCA">
        <w:rPr>
          <w:rFonts w:eastAsia="Times New Roman" w:cs="Times New Roman"/>
          <w:b/>
          <w:bCs/>
          <w:rtl/>
          <w:lang w:eastAsia="de-DE"/>
        </w:rPr>
        <w:t>וְהָיָה</w:t>
      </w:r>
      <w:r w:rsidRPr="00422DCA">
        <w:rPr>
          <w:rFonts w:eastAsia="Times New Roman" w:cs="Times New Roman"/>
          <w:rtl/>
          <w:lang w:eastAsia="de-DE"/>
        </w:rPr>
        <w:t xml:space="preserve"> </w:t>
      </w:r>
      <w:r w:rsidRPr="00422DCA">
        <w:rPr>
          <w:rFonts w:eastAsia="Times New Roman" w:cs="Times New Roman"/>
          <w:lang w:eastAsia="de-DE"/>
        </w:rPr>
        <w:t xml:space="preserve">(Konjunktion mit Qal Perfekt 3. Person maskulin Singular mit Waw consecutivum von </w:t>
      </w:r>
      <w:r w:rsidRPr="00422DCA">
        <w:rPr>
          <w:rFonts w:eastAsia="Times New Roman" w:cs="Times New Roman"/>
          <w:b/>
          <w:bCs/>
          <w:rtl/>
          <w:lang w:eastAsia="de-DE"/>
        </w:rPr>
        <w:t>היה</w:t>
      </w:r>
      <w:r w:rsidRPr="00422DCA">
        <w:rPr>
          <w:rFonts w:eastAsia="Times New Roman" w:cs="Times New Roman"/>
          <w:rtl/>
          <w:lang w:eastAsia="de-DE"/>
        </w:rPr>
        <w:t xml:space="preserve"> </w:t>
      </w:r>
      <w:r w:rsidRPr="00422DCA">
        <w:rPr>
          <w:rFonts w:eastAsia="Times New Roman" w:cs="Times New Roman"/>
          <w:lang w:eastAsia="de-DE"/>
        </w:rPr>
        <w:t xml:space="preserve">„und es wird geschehen"), </w:t>
      </w:r>
      <w:r w:rsidRPr="00422DCA">
        <w:rPr>
          <w:rFonts w:eastAsia="Times New Roman" w:cs="Times New Roman"/>
          <w:b/>
          <w:bCs/>
          <w:rtl/>
          <w:lang w:eastAsia="de-DE"/>
        </w:rPr>
        <w:t>כַּאֲשֶׁר דִּמִּיתִי לַעֲשׂוֹת לָהֶם</w:t>
      </w:r>
      <w:r w:rsidRPr="00422DCA">
        <w:rPr>
          <w:rFonts w:eastAsia="Times New Roman" w:cs="Times New Roman"/>
          <w:rtl/>
          <w:lang w:eastAsia="de-DE"/>
        </w:rPr>
        <w:t xml:space="preserve"> </w:t>
      </w:r>
      <w:r w:rsidRPr="00422DCA">
        <w:rPr>
          <w:rFonts w:eastAsia="Times New Roman" w:cs="Times New Roman"/>
          <w:lang w:eastAsia="de-DE"/>
        </w:rPr>
        <w:t xml:space="preserve">(Präposition </w:t>
      </w:r>
      <w:r w:rsidRPr="00422DCA">
        <w:rPr>
          <w:rFonts w:eastAsia="Times New Roman" w:cs="Times New Roman"/>
          <w:b/>
          <w:bCs/>
          <w:rtl/>
          <w:lang w:eastAsia="de-DE"/>
        </w:rPr>
        <w:t>כְ</w:t>
      </w:r>
      <w:r w:rsidRPr="00422DCA">
        <w:rPr>
          <w:rFonts w:eastAsia="Times New Roman" w:cs="Times New Roman"/>
          <w:rtl/>
          <w:lang w:eastAsia="de-DE"/>
        </w:rPr>
        <w:t xml:space="preserve"> </w:t>
      </w:r>
      <w:r w:rsidRPr="00422DCA">
        <w:rPr>
          <w:rFonts w:eastAsia="Times New Roman" w:cs="Times New Roman"/>
          <w:lang w:eastAsia="de-DE"/>
        </w:rPr>
        <w:t xml:space="preserve">„wie" mit Relativsatz: </w:t>
      </w:r>
      <w:r w:rsidRPr="00422DCA">
        <w:rPr>
          <w:rFonts w:eastAsia="Times New Roman" w:cs="Times New Roman"/>
          <w:b/>
          <w:bCs/>
          <w:rtl/>
          <w:lang w:eastAsia="de-DE"/>
        </w:rPr>
        <w:t>אֲשֶׁר</w:t>
      </w:r>
      <w:r w:rsidRPr="00422DCA">
        <w:rPr>
          <w:rFonts w:eastAsia="Times New Roman" w:cs="Times New Roman"/>
          <w:rtl/>
          <w:lang w:eastAsia="de-DE"/>
        </w:rPr>
        <w:t xml:space="preserve"> </w:t>
      </w:r>
      <w:r w:rsidRPr="00422DCA">
        <w:rPr>
          <w:rFonts w:eastAsia="Times New Roman" w:cs="Times New Roman"/>
          <w:lang w:eastAsia="de-DE"/>
        </w:rPr>
        <w:t xml:space="preserve">mit Piel Perfekt 1. Person Singular von </w:t>
      </w:r>
      <w:r w:rsidRPr="00422DCA">
        <w:rPr>
          <w:rFonts w:eastAsia="Times New Roman" w:cs="Times New Roman"/>
          <w:b/>
          <w:bCs/>
          <w:rtl/>
          <w:lang w:eastAsia="de-DE"/>
        </w:rPr>
        <w:t>דמה</w:t>
      </w:r>
      <w:r w:rsidRPr="00422DCA">
        <w:rPr>
          <w:rFonts w:eastAsia="Times New Roman" w:cs="Times New Roman"/>
          <w:rtl/>
          <w:lang w:eastAsia="de-DE"/>
        </w:rPr>
        <w:t xml:space="preserve"> </w:t>
      </w:r>
      <w:r w:rsidRPr="00422DCA">
        <w:rPr>
          <w:rFonts w:eastAsia="Times New Roman" w:cs="Times New Roman"/>
          <w:lang w:eastAsia="de-DE"/>
        </w:rPr>
        <w:lastRenderedPageBreak/>
        <w:t xml:space="preserve">„denken, planen, beabsichtigen" und 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Qal Infinitiv </w:t>
      </w:r>
      <w:r w:rsidR="00F133EC">
        <w:rPr>
          <w:rFonts w:eastAsia="Times New Roman" w:cs="Times New Roman"/>
          <w:lang w:eastAsia="de-DE"/>
        </w:rPr>
        <w:t>Constructus</w:t>
      </w:r>
      <w:r w:rsidRPr="00422DCA">
        <w:rPr>
          <w:rFonts w:eastAsia="Times New Roman" w:cs="Times New Roman"/>
          <w:lang w:eastAsia="de-DE"/>
        </w:rPr>
        <w:t xml:space="preserve"> von </w:t>
      </w:r>
      <w:r w:rsidRPr="00422DCA">
        <w:rPr>
          <w:rFonts w:eastAsia="Times New Roman" w:cs="Times New Roman"/>
          <w:b/>
          <w:bCs/>
          <w:rtl/>
          <w:lang w:eastAsia="de-DE"/>
        </w:rPr>
        <w:t>עשׂה</w:t>
      </w:r>
      <w:r w:rsidRPr="00422DCA">
        <w:rPr>
          <w:rFonts w:eastAsia="Times New Roman" w:cs="Times New Roman"/>
          <w:rtl/>
          <w:lang w:eastAsia="de-DE"/>
        </w:rPr>
        <w:t xml:space="preserve"> </w:t>
      </w:r>
      <w:r w:rsidRPr="00422DCA">
        <w:rPr>
          <w:rFonts w:eastAsia="Times New Roman" w:cs="Times New Roman"/>
          <w:lang w:eastAsia="de-DE"/>
        </w:rPr>
        <w:t xml:space="preserve">„tun, machen" und 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 xml:space="preserve">mit Suffix 3. Person Plural „wie ich gedacht/geplant habe, ihnen zu tun"), </w:t>
      </w:r>
      <w:r w:rsidRPr="00422DCA">
        <w:rPr>
          <w:rFonts w:eastAsia="Times New Roman" w:cs="Times New Roman"/>
          <w:b/>
          <w:bCs/>
          <w:rtl/>
          <w:lang w:eastAsia="de-DE"/>
        </w:rPr>
        <w:t>אֶעֱשֶׂה לָכֶם</w:t>
      </w:r>
      <w:r w:rsidRPr="00422DCA">
        <w:rPr>
          <w:rFonts w:eastAsia="Times New Roman" w:cs="Times New Roman"/>
          <w:rtl/>
          <w:lang w:eastAsia="de-DE"/>
        </w:rPr>
        <w:t xml:space="preserve"> </w:t>
      </w:r>
      <w:r w:rsidRPr="00422DCA">
        <w:rPr>
          <w:rFonts w:eastAsia="Times New Roman" w:cs="Times New Roman"/>
          <w:lang w:eastAsia="de-DE"/>
        </w:rPr>
        <w:t xml:space="preserve">(Qal Imperfekt 1. Person Singular von </w:t>
      </w:r>
      <w:r w:rsidRPr="00422DCA">
        <w:rPr>
          <w:rFonts w:eastAsia="Times New Roman" w:cs="Times New Roman"/>
          <w:b/>
          <w:bCs/>
          <w:rtl/>
          <w:lang w:eastAsia="de-DE"/>
        </w:rPr>
        <w:t>עשׂה</w:t>
      </w:r>
      <w:r w:rsidRPr="00422DCA">
        <w:rPr>
          <w:rFonts w:eastAsia="Times New Roman" w:cs="Times New Roman"/>
          <w:rtl/>
          <w:lang w:eastAsia="de-DE"/>
        </w:rPr>
        <w:t xml:space="preserve"> </w:t>
      </w:r>
      <w:r w:rsidRPr="00422DCA">
        <w:rPr>
          <w:rFonts w:eastAsia="Times New Roman" w:cs="Times New Roman"/>
          <w:lang w:eastAsia="de-DE"/>
        </w:rPr>
        <w:t xml:space="preserve">mit Präposition </w:t>
      </w:r>
      <w:r w:rsidRPr="00422DCA">
        <w:rPr>
          <w:rFonts w:eastAsia="Times New Roman" w:cs="Times New Roman"/>
          <w:b/>
          <w:bCs/>
          <w:rtl/>
          <w:lang w:eastAsia="de-DE"/>
        </w:rPr>
        <w:t>לְ</w:t>
      </w:r>
      <w:r w:rsidRPr="00422DCA">
        <w:rPr>
          <w:rFonts w:eastAsia="Times New Roman" w:cs="Times New Roman"/>
          <w:rtl/>
          <w:lang w:eastAsia="de-DE"/>
        </w:rPr>
        <w:t xml:space="preserve"> </w:t>
      </w:r>
      <w:r w:rsidRPr="00422DCA">
        <w:rPr>
          <w:rFonts w:eastAsia="Times New Roman" w:cs="Times New Roman"/>
          <w:lang w:eastAsia="de-DE"/>
        </w:rPr>
        <w:t>und Suffix 2. Person Plural „werde ich euch tun").</w:t>
      </w:r>
    </w:p>
    <w:p w14:paraId="7F076B14" w14:textId="77777777" w:rsidR="00422DCA" w:rsidRPr="00422DCA" w:rsidRDefault="00422DCA" w:rsidP="00422DCA">
      <w:pPr>
        <w:spacing w:before="100" w:beforeAutospacing="1" w:after="100" w:afterAutospacing="1" w:line="240" w:lineRule="auto"/>
        <w:rPr>
          <w:rFonts w:eastAsia="Times New Roman" w:cs="Times New Roman"/>
          <w:lang w:eastAsia="de-DE"/>
        </w:rPr>
      </w:pPr>
      <w:r w:rsidRPr="00422DCA">
        <w:rPr>
          <w:rFonts w:eastAsia="Times New Roman" w:cs="Times New Roman"/>
          <w:lang w:eastAsia="de-DE"/>
        </w:rPr>
        <w:t>Die Satzstruktur zeigt eine Einleitungsformel mit einer vergleichenden Hauptaussage (Parallelität zwischen geplantem Gericht über Kanaaniter und drohendem Gericht über Israel).</w:t>
      </w:r>
    </w:p>
    <w:p w14:paraId="505ABA26" w14:textId="77777777" w:rsidR="00422DCA" w:rsidRPr="00422DCA" w:rsidRDefault="00422DCA" w:rsidP="00422DCA">
      <w:pPr>
        <w:pStyle w:val="whitespace-normal"/>
      </w:pPr>
      <w:r w:rsidRPr="00422DCA">
        <w:t xml:space="preserve">Der Vers ist eine erschreckende Umkehrung: </w:t>
      </w:r>
      <w:r w:rsidRPr="00422DCA">
        <w:rPr>
          <w:b/>
          <w:bCs/>
          <w:rtl/>
        </w:rPr>
        <w:t>כַּאֲשֶׁר דִּמִּיתִי לַעֲשׂוֹת לָהֶם אֶעֱשֶׂה לָכֶם</w:t>
      </w:r>
      <w:r w:rsidRPr="00422DCA">
        <w:rPr>
          <w:rtl/>
        </w:rPr>
        <w:t xml:space="preserve"> </w:t>
      </w:r>
      <w:r w:rsidRPr="00422DCA">
        <w:t xml:space="preserve">(„wie ich gedacht habe, ihnen zu tun, werde ich euch tun") - das Gericht, das für die Kanaaniter bestimmt war (Vertreibung, Vernichtung), wird auf Israel selbst fallen, wenn es ungehorsam ist. Die Verben </w:t>
      </w:r>
      <w:r w:rsidRPr="00422DCA">
        <w:rPr>
          <w:b/>
          <w:bCs/>
          <w:rtl/>
        </w:rPr>
        <w:t>דִּמִּיתִי</w:t>
      </w:r>
      <w:r w:rsidRPr="00422DCA">
        <w:rPr>
          <w:rtl/>
        </w:rPr>
        <w:t xml:space="preserve"> </w:t>
      </w:r>
      <w:r w:rsidRPr="00422DCA">
        <w:t xml:space="preserve">(„ich habe gedacht/geplant") und </w:t>
      </w:r>
      <w:r w:rsidRPr="00422DCA">
        <w:rPr>
          <w:b/>
          <w:bCs/>
          <w:rtl/>
        </w:rPr>
        <w:t>אֶעֱשֶׂה</w:t>
      </w:r>
      <w:r w:rsidRPr="00422DCA">
        <w:rPr>
          <w:rtl/>
        </w:rPr>
        <w:t xml:space="preserve"> </w:t>
      </w:r>
      <w:r w:rsidRPr="00422DCA">
        <w:t>(„ich werde tun") zeigen: Gottes Plan ist fest, und er wird ausgeführt - entweder an den Kanaanitern (bei Israels Gehorsam) oder an Israel selbst (bei Ungehorsam). Dies ist keine leere Drohung: Die babylonische Exilierung wird genau diese Warnung erfüllen - Israel wird aus dem Land vertrieben, wie die Kanaaniter hätten vertrieben werden sollen. Das Kapitel endet nicht mit Triumph, sondern mit ernster Warnung.</w:t>
      </w:r>
    </w:p>
    <w:p w14:paraId="1D23849B" w14:textId="77777777" w:rsidR="0068186F" w:rsidRPr="0068186F" w:rsidRDefault="0068186F" w:rsidP="0068186F">
      <w:pPr>
        <w:spacing w:after="0" w:line="240" w:lineRule="auto"/>
        <w:rPr>
          <w:b/>
          <w:bCs/>
        </w:rPr>
      </w:pPr>
      <w:r w:rsidRPr="0068186F">
        <w:rPr>
          <w:b/>
          <w:bCs/>
        </w:rPr>
        <w:t xml:space="preserve">THEOLOGISCHE REFLEXION: WARNUNG VOR SYNKRETISMUS </w:t>
      </w:r>
    </w:p>
    <w:p w14:paraId="6520C6A2" w14:textId="77777777" w:rsidR="0068186F" w:rsidRDefault="0068186F" w:rsidP="0068186F">
      <w:pPr>
        <w:spacing w:after="0" w:line="240" w:lineRule="auto"/>
      </w:pPr>
      <w:r>
        <w:t xml:space="preserve">Die harten Befehle (V. 52-56) zur Vertreibung der Kanaaniter und Zerstörung ihrer Kultstätten werfen ähnliche Fragen auf wie der </w:t>
      </w:r>
      <w:r>
        <w:rPr>
          <w:rtl/>
        </w:rPr>
        <w:t>חֵרֶם</w:t>
      </w:r>
      <w:r>
        <w:t xml:space="preserve"> in Num 31: </w:t>
      </w:r>
    </w:p>
    <w:p w14:paraId="507249C3" w14:textId="77777777" w:rsidR="0068186F" w:rsidRDefault="0068186F" w:rsidP="0068186F">
      <w:pPr>
        <w:spacing w:after="0" w:line="240" w:lineRule="auto"/>
      </w:pPr>
    </w:p>
    <w:p w14:paraId="383785D5" w14:textId="77777777" w:rsidR="0068186F" w:rsidRDefault="0068186F" w:rsidP="0068186F">
      <w:pPr>
        <w:spacing w:after="0" w:line="240" w:lineRule="auto"/>
      </w:pPr>
      <w:r w:rsidRPr="0068186F">
        <w:rPr>
          <w:b/>
          <w:bCs/>
        </w:rPr>
        <w:t>HISTORISCHER KONTEXT</w:t>
      </w:r>
      <w:r w:rsidRPr="0068186F">
        <w:t>:</w:t>
      </w:r>
      <w:r>
        <w:t xml:space="preserve"> Kanaan war von Kulten durchsetzt, die Kinderopfer (Lev 18:21), kultische Prostitution und extreme Gewalt praktizierten. Die Befehle zielten auf Schutz Israels vor religiöser Kontamination, nicht auf ethnische Säuberung. </w:t>
      </w:r>
    </w:p>
    <w:p w14:paraId="7AF7B8AB" w14:textId="77777777" w:rsidR="0068186F" w:rsidRDefault="0068186F" w:rsidP="0068186F">
      <w:pPr>
        <w:spacing w:after="0" w:line="240" w:lineRule="auto"/>
      </w:pPr>
    </w:p>
    <w:p w14:paraId="1BEB7FE7" w14:textId="77777777" w:rsidR="0068186F" w:rsidRDefault="0068186F" w:rsidP="0068186F">
      <w:pPr>
        <w:spacing w:after="0" w:line="240" w:lineRule="auto"/>
      </w:pPr>
      <w:r w:rsidRPr="0068186F">
        <w:rPr>
          <w:b/>
          <w:bCs/>
        </w:rPr>
        <w:t>DER KERN DES BEFEHLS</w:t>
      </w:r>
      <w:r>
        <w:t xml:space="preserve">: </w:t>
      </w:r>
    </w:p>
    <w:p w14:paraId="0DE776BE" w14:textId="77777777" w:rsidR="0068186F" w:rsidRDefault="0068186F" w:rsidP="0068186F">
      <w:pPr>
        <w:spacing w:after="0" w:line="240" w:lineRule="auto"/>
      </w:pPr>
      <w:r>
        <w:t xml:space="preserve">V. 52 nennt drei Zerstörungsobjekte: </w:t>
      </w:r>
    </w:p>
    <w:p w14:paraId="6CCCDE4A" w14:textId="77777777" w:rsidR="0068186F" w:rsidRDefault="0068186F" w:rsidP="0068186F">
      <w:pPr>
        <w:spacing w:after="0" w:line="240" w:lineRule="auto"/>
      </w:pPr>
      <w:r>
        <w:t xml:space="preserve">- </w:t>
      </w:r>
      <w:r>
        <w:rPr>
          <w:rtl/>
        </w:rPr>
        <w:t>מַשְׂכִּיֹּת</w:t>
      </w:r>
      <w:r>
        <w:t xml:space="preserve"> (Bildwerke/Reliefs) </w:t>
      </w:r>
    </w:p>
    <w:p w14:paraId="53A1D642" w14:textId="77777777" w:rsidR="0068186F" w:rsidRDefault="0068186F" w:rsidP="0068186F">
      <w:pPr>
        <w:spacing w:after="0" w:line="240" w:lineRule="auto"/>
      </w:pPr>
      <w:r>
        <w:t xml:space="preserve">- </w:t>
      </w:r>
      <w:r>
        <w:rPr>
          <w:rtl/>
        </w:rPr>
        <w:t>צַלְמֵי מַסֵּכֹת</w:t>
      </w:r>
      <w:r>
        <w:t xml:space="preserve"> (Gussbilder) </w:t>
      </w:r>
    </w:p>
    <w:p w14:paraId="21E4EE97" w14:textId="77777777" w:rsidR="0068186F" w:rsidRDefault="0068186F" w:rsidP="0068186F">
      <w:pPr>
        <w:spacing w:after="0" w:line="240" w:lineRule="auto"/>
      </w:pPr>
      <w:r>
        <w:t xml:space="preserve">- </w:t>
      </w:r>
      <w:r>
        <w:rPr>
          <w:rtl/>
        </w:rPr>
        <w:t>בָּמוֹת</w:t>
      </w:r>
      <w:r>
        <w:t xml:space="preserve"> (Kulthöhen) </w:t>
      </w:r>
    </w:p>
    <w:p w14:paraId="6A642378" w14:textId="02A57E24" w:rsidR="0068186F" w:rsidRDefault="0068186F" w:rsidP="0068186F">
      <w:pPr>
        <w:spacing w:after="0" w:line="240" w:lineRule="auto"/>
      </w:pPr>
      <w:r>
        <w:t xml:space="preserve">→ Es geht um Beseitigung des GÖTZENDIENSTES, nicht primär um Völkervernichtung. </w:t>
      </w:r>
    </w:p>
    <w:p w14:paraId="1D14A81C" w14:textId="77777777" w:rsidR="0068186F" w:rsidRDefault="0068186F" w:rsidP="0068186F">
      <w:pPr>
        <w:spacing w:after="0" w:line="240" w:lineRule="auto"/>
      </w:pPr>
    </w:p>
    <w:p w14:paraId="607BEFD3" w14:textId="77777777" w:rsidR="0068186F" w:rsidRDefault="0068186F" w:rsidP="0068186F">
      <w:pPr>
        <w:spacing w:after="0" w:line="240" w:lineRule="auto"/>
      </w:pPr>
      <w:r w:rsidRPr="0068186F">
        <w:rPr>
          <w:b/>
          <w:bCs/>
        </w:rPr>
        <w:t>DIE PROPHETISCHE WARNUNG</w:t>
      </w:r>
      <w:r>
        <w:t xml:space="preserve"> (V. 55-56): Israel versagte bei der vollständigen Vertreibung. Das Buch Richter dokumentiert die Folgen: Mischehen, Götzendienst, militärische Niederlagen - genau wie vorhergesagt wurden die Kanaaniter zu "Dornen in den Augen und Stacheln in den Seiten." </w:t>
      </w:r>
    </w:p>
    <w:p w14:paraId="2AE0B882" w14:textId="77777777" w:rsidR="0068186F" w:rsidRDefault="0068186F" w:rsidP="0068186F">
      <w:pPr>
        <w:spacing w:after="0" w:line="240" w:lineRule="auto"/>
      </w:pPr>
    </w:p>
    <w:p w14:paraId="6BA4BBF8" w14:textId="77777777" w:rsidR="0068186F" w:rsidRDefault="0068186F" w:rsidP="0068186F">
      <w:pPr>
        <w:spacing w:after="0" w:line="240" w:lineRule="auto"/>
      </w:pPr>
      <w:r w:rsidRPr="0068186F">
        <w:rPr>
          <w:b/>
          <w:bCs/>
        </w:rPr>
        <w:t>DIE ULTIMATIVE IRONIE</w:t>
      </w:r>
      <w:r>
        <w:t xml:space="preserve"> (V. 56): "Wie ich gedacht habe, ihnen zu tun, werde ich euch tun" - erfüllt 586 v.Chr.: Israel selbst wird aus dem Land VERTRIEBEN, weil es die kanaanäischen Götter annahm statt die Kanaaniter zu vertreiben. </w:t>
      </w:r>
    </w:p>
    <w:p w14:paraId="135E281B" w14:textId="77777777" w:rsidR="0068186F" w:rsidRDefault="0068186F" w:rsidP="0068186F">
      <w:pPr>
        <w:spacing w:after="0" w:line="240" w:lineRule="auto"/>
      </w:pPr>
    </w:p>
    <w:p w14:paraId="7C477556" w14:textId="77777777" w:rsidR="0068186F" w:rsidRDefault="0068186F" w:rsidP="0068186F">
      <w:pPr>
        <w:spacing w:after="0" w:line="240" w:lineRule="auto"/>
      </w:pPr>
      <w:r w:rsidRPr="0068186F">
        <w:rPr>
          <w:b/>
          <w:bCs/>
        </w:rPr>
        <w:t>NEUTESTAMENTLICHE TRANSFORMATION</w:t>
      </w:r>
      <w:r>
        <w:t xml:space="preserve">: Das NT spiritualisiert den Kampf: Nicht gegen Fleisch und Blut, sondern gegen geistliche Mächte (Eph 6:12). Die "Vertreibung" gilt nun dem Götzendienst im Herzen (1 Kor 10:14), nicht Völkern im Land. </w:t>
      </w:r>
    </w:p>
    <w:p w14:paraId="6A4BEB66" w14:textId="77777777" w:rsidR="0068186F" w:rsidRDefault="0068186F" w:rsidP="0068186F">
      <w:pPr>
        <w:spacing w:after="0" w:line="240" w:lineRule="auto"/>
      </w:pPr>
    </w:p>
    <w:p w14:paraId="6566676B" w14:textId="2F378DEC" w:rsidR="0068186F" w:rsidRDefault="0068186F" w:rsidP="0068186F">
      <w:pPr>
        <w:spacing w:after="0" w:line="240" w:lineRule="auto"/>
      </w:pPr>
      <w:r w:rsidRPr="0068186F">
        <w:rPr>
          <w:b/>
          <w:bCs/>
        </w:rPr>
        <w:t>HEUTIGE ANWENDUNG</w:t>
      </w:r>
      <w:r>
        <w:t>: Die Warnung gilt der Gemeinde: Kompromisse mit götzendienerischen Weltanschauungen führen zu geistlicher Knechtschaft. Was Israel räumlich-politisch befohlen war (Trennung von Götzendienst), gilt Christen geistlich (2 Kor 6:14-17: "Geht hinaus aus ihrer Mitte").</w:t>
      </w:r>
    </w:p>
    <w:p w14:paraId="014C73A6" w14:textId="078BE51E" w:rsidR="0068186F" w:rsidRDefault="0068186F" w:rsidP="0068186F">
      <w:pPr>
        <w:spacing w:after="0" w:line="240" w:lineRule="auto"/>
      </w:pPr>
    </w:p>
    <w:p w14:paraId="1CE157EA" w14:textId="05B429FB" w:rsidR="0068186F" w:rsidRDefault="00F329DD" w:rsidP="0068186F">
      <w:pPr>
        <w:spacing w:after="0" w:line="240" w:lineRule="auto"/>
      </w:pPr>
      <w:r>
        <w:rPr>
          <w:rFonts w:eastAsia="Times New Roman" w:cs="Times New Roman"/>
          <w:lang w:eastAsia="de-DE"/>
        </w:rPr>
        <w:pict w14:anchorId="0BF65F56">
          <v:rect id="_x0000_i2039" style="width:0;height:1.5pt" o:hralign="center" o:hrstd="t" o:hr="t" fillcolor="#a0a0a0" stroked="f"/>
        </w:pict>
      </w:r>
    </w:p>
    <w:p w14:paraId="3EB4E225" w14:textId="77777777" w:rsidR="0068186F" w:rsidRDefault="0068186F" w:rsidP="0068186F">
      <w:pPr>
        <w:spacing w:after="0" w:line="240" w:lineRule="auto"/>
      </w:pPr>
    </w:p>
    <w:p w14:paraId="0931589F" w14:textId="77777777" w:rsidR="0068186F" w:rsidRPr="0068186F" w:rsidRDefault="0068186F" w:rsidP="0068186F">
      <w:pPr>
        <w:spacing w:after="0" w:line="240" w:lineRule="auto"/>
        <w:rPr>
          <w:b/>
          <w:bCs/>
        </w:rPr>
      </w:pPr>
      <w:r w:rsidRPr="0068186F">
        <w:rPr>
          <w:b/>
          <w:bCs/>
        </w:rPr>
        <w:t xml:space="preserve">ZUSAMMENFASSUNG NUMERI 33 </w:t>
      </w:r>
    </w:p>
    <w:p w14:paraId="3012A4BB" w14:textId="77777777" w:rsidR="0068186F" w:rsidRDefault="0068186F" w:rsidP="0068186F">
      <w:pPr>
        <w:spacing w:after="0" w:line="240" w:lineRule="auto"/>
      </w:pPr>
    </w:p>
    <w:p w14:paraId="67168D23" w14:textId="77777777" w:rsidR="0068186F" w:rsidRDefault="0068186F" w:rsidP="0068186F">
      <w:pPr>
        <w:spacing w:after="0" w:line="240" w:lineRule="auto"/>
      </w:pPr>
      <w:r w:rsidRPr="000F1E25">
        <w:rPr>
          <w:b/>
          <w:bCs/>
        </w:rPr>
        <w:t>STRUKTUR</w:t>
      </w:r>
      <w:r>
        <w:t xml:space="preserve">: V. 1-2: Überschrift - Mose schrieb die 42 Stationen auf göttlichen Befehl V. 3-49: Das Reiseitinerar - systematische Dokumentation aller Stationen V. 50-56: Befehle für die Landnahme - Vertreibung und Warnung </w:t>
      </w:r>
    </w:p>
    <w:p w14:paraId="6A858115" w14:textId="77777777" w:rsidR="0068186F" w:rsidRDefault="0068186F" w:rsidP="0068186F">
      <w:pPr>
        <w:spacing w:after="0" w:line="240" w:lineRule="auto"/>
      </w:pPr>
    </w:p>
    <w:p w14:paraId="45D14B7C" w14:textId="77777777" w:rsidR="0068186F" w:rsidRDefault="0068186F" w:rsidP="0068186F">
      <w:pPr>
        <w:spacing w:after="0" w:line="240" w:lineRule="auto"/>
      </w:pPr>
      <w:r w:rsidRPr="000F1E25">
        <w:rPr>
          <w:b/>
          <w:bCs/>
        </w:rPr>
        <w:t>DIE REISE IN DREI PHASEN</w:t>
      </w:r>
      <w:r>
        <w:t xml:space="preserve">: 1. Ägypten zum Sinai (V. 3-15): 11 Stationen, inkl. Schilfmeer-Durchzug 2. Sinai nach Kadesch (V. 16-36): 20 Stationen, meist unbekannt 3. Kadesch nach Moab (V. 37-49): 12 Stationen, inkl. Aarons Tod </w:t>
      </w:r>
    </w:p>
    <w:p w14:paraId="6A6731B9" w14:textId="77777777" w:rsidR="0068186F" w:rsidRDefault="0068186F" w:rsidP="0068186F">
      <w:pPr>
        <w:spacing w:after="0" w:line="240" w:lineRule="auto"/>
      </w:pPr>
    </w:p>
    <w:p w14:paraId="4899B4FA" w14:textId="77777777" w:rsidR="0068186F" w:rsidRDefault="0068186F" w:rsidP="0068186F">
      <w:pPr>
        <w:spacing w:after="0" w:line="240" w:lineRule="auto"/>
      </w:pPr>
      <w:r w:rsidRPr="000F1E25">
        <w:rPr>
          <w:b/>
          <w:bCs/>
        </w:rPr>
        <w:t>THEOLOGISCHE BOTSCHAFT</w:t>
      </w:r>
      <w:r>
        <w:t xml:space="preserve">: Das Kapitel dokumentiert Gottes treue Führung durch 40 Jahre Wüste. Jede der 42 Stationen bezeugt: Israel irrte nicht ziellos - jeder Aufbruch geschah unter göttlicher Leitung. Die rhythmische Monotonie spiegelt die Geduld Gottes. </w:t>
      </w:r>
    </w:p>
    <w:p w14:paraId="3D916A07" w14:textId="77777777" w:rsidR="0068186F" w:rsidRDefault="0068186F" w:rsidP="0068186F">
      <w:pPr>
        <w:spacing w:after="0" w:line="240" w:lineRule="auto"/>
      </w:pPr>
    </w:p>
    <w:p w14:paraId="48EAFB91" w14:textId="77777777" w:rsidR="0068186F" w:rsidRDefault="0068186F" w:rsidP="0068186F">
      <w:pPr>
        <w:spacing w:after="0" w:line="240" w:lineRule="auto"/>
      </w:pPr>
      <w:r w:rsidRPr="000F1E25">
        <w:rPr>
          <w:b/>
          <w:bCs/>
        </w:rPr>
        <w:t>DIE ERNSTE WARNUNG</w:t>
      </w:r>
      <w:r>
        <w:t xml:space="preserve">: Nach der Rückschau folgt Vorschau: Israel soll Kanaans Bewohner vertreiben und alle Götzenbilder zerstören. Warnung: Übriggebliebene Kanaaniter werden zu "Dornen in den Augen und Stacheln in den Seiten." Ultimative Drohung (V. 56): Bei Ungehorsam trifft Israel das Gericht, das für Kanaan bestimmt war - prophetisch erfüllt 586 v.Chr. </w:t>
      </w:r>
    </w:p>
    <w:p w14:paraId="172C0B03" w14:textId="77777777" w:rsidR="0068186F" w:rsidRDefault="0068186F" w:rsidP="0068186F">
      <w:pPr>
        <w:spacing w:after="0" w:line="240" w:lineRule="auto"/>
      </w:pPr>
    </w:p>
    <w:p w14:paraId="5A5CA51F" w14:textId="3AE6EF5E" w:rsidR="0068186F" w:rsidRPr="0068186F" w:rsidRDefault="0068186F" w:rsidP="000F1E25">
      <w:pPr>
        <w:spacing w:after="0" w:line="240" w:lineRule="auto"/>
      </w:pPr>
      <w:r w:rsidRPr="000F1E25">
        <w:rPr>
          <w:b/>
          <w:bCs/>
        </w:rPr>
        <w:t>DAS KAPITEL ENDET IN SPANNUNG</w:t>
      </w:r>
      <w:r>
        <w:t>: Israel steht in den Ebenen Moabs, am Jordan gegenüber Jericho (V. 48-50). Die Wanderung ist dokumentiert, aber die Verheißung noch nicht erfüllt. Der Jordan bleibt zu überqueren - das wird Josuas Aufgabe sein. Numeri 33 ist Geschichtsschreibung mit theologischem Zweck: Dokumentation göttlicher Treue in der Vergangenheit, Mahnung zum Gehorsam für die Zukunft.</w:t>
      </w:r>
    </w:p>
    <w:p w14:paraId="5BC2284A" w14:textId="3784315C" w:rsidR="00A14D4E" w:rsidRPr="00A14D4E" w:rsidRDefault="00A14D4E" w:rsidP="00A14D4E">
      <w:pPr>
        <w:spacing w:before="100" w:beforeAutospacing="1" w:after="100" w:afterAutospacing="1" w:line="240" w:lineRule="auto"/>
        <w:outlineLvl w:val="0"/>
        <w:rPr>
          <w:rFonts w:eastAsia="Times New Roman" w:cs="Times New Roman"/>
          <w:b/>
          <w:bCs/>
          <w:kern w:val="36"/>
          <w:sz w:val="48"/>
          <w:szCs w:val="48"/>
          <w:lang w:eastAsia="de-DE"/>
        </w:rPr>
      </w:pPr>
      <w:r w:rsidRPr="00A14D4E">
        <w:rPr>
          <w:rFonts w:eastAsia="Times New Roman" w:cs="Times New Roman"/>
          <w:b/>
          <w:bCs/>
          <w:kern w:val="36"/>
          <w:sz w:val="48"/>
          <w:szCs w:val="48"/>
          <w:lang w:eastAsia="de-DE"/>
        </w:rPr>
        <w:t>Numeri 34,1</w:t>
      </w:r>
    </w:p>
    <w:p w14:paraId="42908BD4" w14:textId="77777777" w:rsidR="00A14D4E" w:rsidRP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b/>
          <w:bCs/>
          <w:lang w:eastAsia="de-DE"/>
        </w:rPr>
        <w:t>Hebräisch:</w:t>
      </w:r>
      <w:r w:rsidRPr="00A14D4E">
        <w:rPr>
          <w:rFonts w:eastAsia="Times New Roman" w:cs="Times New Roman"/>
          <w:lang w:eastAsia="de-DE"/>
        </w:rPr>
        <w:t xml:space="preserve"> </w:t>
      </w:r>
      <w:r w:rsidRPr="00A14D4E">
        <w:rPr>
          <w:rFonts w:eastAsia="Times New Roman" w:cs="Times New Roman"/>
          <w:rtl/>
          <w:lang w:eastAsia="de-DE"/>
        </w:rPr>
        <w:t>וַיְדַבֵּ֥ר יְהוָ֖ה אֶל־מֹשֶׁ֥ה לֵּאמֹֽר׃</w:t>
      </w:r>
    </w:p>
    <w:p w14:paraId="3E5121E7" w14:textId="77777777" w:rsidR="00A14D4E" w:rsidRP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b/>
          <w:bCs/>
          <w:lang w:eastAsia="de-DE"/>
        </w:rPr>
        <w:t>Deutsch:</w:t>
      </w:r>
      <w:r w:rsidRPr="00A14D4E">
        <w:rPr>
          <w:rFonts w:eastAsia="Times New Roman" w:cs="Times New Roman"/>
          <w:lang w:eastAsia="de-DE"/>
        </w:rPr>
        <w:t xml:space="preserve"> Und der Ewige redete zu Mosche, sagend:</w:t>
      </w:r>
    </w:p>
    <w:p w14:paraId="498E653F" w14:textId="77777777" w:rsidR="00A14D4E" w:rsidRPr="00A14D4E" w:rsidRDefault="00F329DD" w:rsidP="00A14D4E">
      <w:pPr>
        <w:spacing w:after="0" w:line="240" w:lineRule="auto"/>
        <w:rPr>
          <w:rFonts w:eastAsia="Times New Roman" w:cs="Times New Roman"/>
          <w:lang w:eastAsia="de-DE"/>
        </w:rPr>
      </w:pPr>
      <w:r>
        <w:rPr>
          <w:rFonts w:eastAsia="Times New Roman" w:cs="Times New Roman"/>
          <w:noProof/>
          <w:lang w:eastAsia="de-DE"/>
        </w:rPr>
        <w:pict w14:anchorId="2DF2EEDC">
          <v:rect id="_x0000_i2040" style="width:0;height:1.5pt" o:hralign="center" o:hrstd="t" o:hr="t" fillcolor="#a0a0a0" stroked="f"/>
        </w:pict>
      </w:r>
    </w:p>
    <w:p w14:paraId="7EAFD3D3" w14:textId="256E6B1B" w:rsidR="00A14D4E" w:rsidRPr="00A14D4E" w:rsidRDefault="00A14D4E" w:rsidP="00E031B3">
      <w:pPr>
        <w:spacing w:before="100" w:beforeAutospacing="1" w:after="100" w:afterAutospacing="1" w:line="240" w:lineRule="auto"/>
        <w:rPr>
          <w:rFonts w:eastAsia="Times New Roman" w:cs="Times New Roman"/>
          <w:lang w:eastAsia="de-DE"/>
        </w:rPr>
      </w:pPr>
      <w:r w:rsidRPr="00A14D4E">
        <w:rPr>
          <w:rFonts w:eastAsia="Times New Roman" w:cs="Times New Roman"/>
          <w:b/>
          <w:bCs/>
          <w:lang w:eastAsia="de-DE"/>
        </w:rPr>
        <w:t>Kommentar:</w:t>
      </w:r>
      <w:r w:rsidRPr="00A14D4E">
        <w:rPr>
          <w:rFonts w:eastAsia="Times New Roman" w:cs="Times New Roman"/>
          <w:lang w:eastAsia="de-DE"/>
        </w:rPr>
        <w:t xml:space="preserve"> Der Vers ist die Standard-Redeeinleitung für eine neue göttliche Offenbarung. </w:t>
      </w:r>
      <w:r w:rsidRPr="00A14D4E">
        <w:rPr>
          <w:rFonts w:eastAsia="Times New Roman" w:cs="Times New Roman"/>
          <w:b/>
          <w:bCs/>
          <w:rtl/>
          <w:lang w:eastAsia="de-DE"/>
        </w:rPr>
        <w:t>וַיְדַבֵּר</w:t>
      </w:r>
      <w:r w:rsidRPr="00A14D4E">
        <w:rPr>
          <w:rFonts w:eastAsia="Times New Roman" w:cs="Times New Roman"/>
          <w:rtl/>
          <w:lang w:eastAsia="de-DE"/>
        </w:rPr>
        <w:t xml:space="preserve"> </w:t>
      </w:r>
      <w:r w:rsidRPr="00A14D4E">
        <w:rPr>
          <w:rFonts w:eastAsia="Times New Roman" w:cs="Times New Roman"/>
          <w:lang w:eastAsia="de-DE"/>
        </w:rPr>
        <w:t xml:space="preserve">ist Piel Wayyiqtol 3. Person maskulin Singular von </w:t>
      </w:r>
      <w:r w:rsidRPr="00A14D4E">
        <w:rPr>
          <w:rFonts w:eastAsia="Times New Roman" w:cs="Times New Roman"/>
          <w:b/>
          <w:bCs/>
          <w:rtl/>
          <w:lang w:eastAsia="de-DE"/>
        </w:rPr>
        <w:t>דבר</w:t>
      </w:r>
      <w:r w:rsidRPr="00A14D4E">
        <w:rPr>
          <w:rFonts w:eastAsia="Times New Roman" w:cs="Times New Roman"/>
          <w:rtl/>
          <w:lang w:eastAsia="de-DE"/>
        </w:rPr>
        <w:t xml:space="preserve"> </w:t>
      </w:r>
      <w:r w:rsidRPr="00A14D4E">
        <w:rPr>
          <w:rFonts w:eastAsia="Times New Roman" w:cs="Times New Roman"/>
          <w:lang w:eastAsia="de-DE"/>
        </w:rPr>
        <w:t xml:space="preserve">(„reden, sprechen"). Das Piel bezeichnet hier die intensive oder häufige Rede - Gott spricht autoritativ. </w:t>
      </w:r>
      <w:r w:rsidRPr="00A14D4E">
        <w:rPr>
          <w:rFonts w:eastAsia="Times New Roman" w:cs="Times New Roman"/>
          <w:b/>
          <w:bCs/>
          <w:rtl/>
          <w:lang w:eastAsia="de-DE"/>
        </w:rPr>
        <w:t>יְהוָה</w:t>
      </w:r>
      <w:r w:rsidRPr="00A14D4E">
        <w:rPr>
          <w:rFonts w:eastAsia="Times New Roman" w:cs="Times New Roman"/>
          <w:rtl/>
          <w:lang w:eastAsia="de-DE"/>
        </w:rPr>
        <w:t xml:space="preserve"> </w:t>
      </w:r>
      <w:r w:rsidRPr="00A14D4E">
        <w:rPr>
          <w:rFonts w:eastAsia="Times New Roman" w:cs="Times New Roman"/>
          <w:lang w:eastAsia="de-DE"/>
        </w:rPr>
        <w:t xml:space="preserve">ist das Subjekt (Tetragramm - der göttliche Eigenname), </w:t>
      </w:r>
      <w:r w:rsidRPr="00A14D4E">
        <w:rPr>
          <w:rFonts w:eastAsia="Times New Roman" w:cs="Times New Roman"/>
          <w:b/>
          <w:bCs/>
          <w:rtl/>
          <w:lang w:eastAsia="de-DE"/>
        </w:rPr>
        <w:t>אֶל־מֹשֶׁה</w:t>
      </w:r>
      <w:r w:rsidRPr="00A14D4E">
        <w:rPr>
          <w:rFonts w:eastAsia="Times New Roman" w:cs="Times New Roman"/>
          <w:rtl/>
          <w:lang w:eastAsia="de-DE"/>
        </w:rPr>
        <w:t xml:space="preserve"> </w:t>
      </w:r>
      <w:r w:rsidRPr="00A14D4E">
        <w:rPr>
          <w:rFonts w:eastAsia="Times New Roman" w:cs="Times New Roman"/>
          <w:lang w:eastAsia="de-DE"/>
        </w:rPr>
        <w:t xml:space="preserve">(Präposition </w:t>
      </w:r>
      <w:r w:rsidRPr="00A14D4E">
        <w:rPr>
          <w:rFonts w:eastAsia="Times New Roman" w:cs="Times New Roman"/>
          <w:b/>
          <w:bCs/>
          <w:rtl/>
          <w:lang w:eastAsia="de-DE"/>
        </w:rPr>
        <w:t>אֶל</w:t>
      </w:r>
      <w:r w:rsidRPr="00A14D4E">
        <w:rPr>
          <w:rFonts w:eastAsia="Times New Roman" w:cs="Times New Roman"/>
          <w:rtl/>
          <w:lang w:eastAsia="de-DE"/>
        </w:rPr>
        <w:t xml:space="preserve"> </w:t>
      </w:r>
      <w:r w:rsidRPr="00A14D4E">
        <w:rPr>
          <w:rFonts w:eastAsia="Times New Roman" w:cs="Times New Roman"/>
          <w:lang w:eastAsia="de-DE"/>
        </w:rPr>
        <w:t xml:space="preserve">„zu" mit dem Eigennamen Mose) gibt den Adressaten an. </w:t>
      </w:r>
      <w:r w:rsidRPr="00A14D4E">
        <w:rPr>
          <w:rFonts w:eastAsia="Times New Roman" w:cs="Times New Roman"/>
          <w:b/>
          <w:bCs/>
          <w:rtl/>
          <w:lang w:eastAsia="de-DE"/>
        </w:rPr>
        <w:t>לֵאמֹר</w:t>
      </w:r>
      <w:r w:rsidRPr="00A14D4E">
        <w:rPr>
          <w:rFonts w:eastAsia="Times New Roman" w:cs="Times New Roman"/>
          <w:rtl/>
          <w:lang w:eastAsia="de-DE"/>
        </w:rPr>
        <w:t xml:space="preserve"> </w:t>
      </w:r>
      <w:r w:rsidRPr="00A14D4E">
        <w:rPr>
          <w:rFonts w:eastAsia="Times New Roman" w:cs="Times New Roman"/>
          <w:lang w:eastAsia="de-DE"/>
        </w:rPr>
        <w:t xml:space="preserve">ist Qal Infinitiv </w:t>
      </w:r>
      <w:r w:rsidR="00E031B3">
        <w:rPr>
          <w:rFonts w:eastAsia="Times New Roman" w:cs="Times New Roman"/>
          <w:lang w:eastAsia="de-DE"/>
        </w:rPr>
        <w:t>Constructus von</w:t>
      </w:r>
      <w:r w:rsidRPr="00A14D4E">
        <w:rPr>
          <w:rFonts w:eastAsia="Times New Roman" w:cs="Times New Roman"/>
          <w:lang w:eastAsia="de-DE"/>
        </w:rPr>
        <w:t xml:space="preserve"> </w:t>
      </w:r>
      <w:r w:rsidRPr="00A14D4E">
        <w:rPr>
          <w:rFonts w:eastAsia="Times New Roman" w:cs="Times New Roman"/>
          <w:b/>
          <w:bCs/>
          <w:rtl/>
          <w:lang w:eastAsia="de-DE"/>
        </w:rPr>
        <w:t>אמר</w:t>
      </w:r>
      <w:r w:rsidRPr="00A14D4E">
        <w:rPr>
          <w:rFonts w:eastAsia="Times New Roman" w:cs="Times New Roman"/>
          <w:rtl/>
          <w:lang w:eastAsia="de-DE"/>
        </w:rPr>
        <w:t xml:space="preserve"> </w:t>
      </w:r>
      <w:r w:rsidRPr="00A14D4E">
        <w:rPr>
          <w:rFonts w:eastAsia="Times New Roman" w:cs="Times New Roman"/>
          <w:lang w:eastAsia="de-DE"/>
        </w:rPr>
        <w:t xml:space="preserve">mit Präposition </w:t>
      </w:r>
      <w:r w:rsidRPr="00A14D4E">
        <w:rPr>
          <w:rFonts w:eastAsia="Times New Roman" w:cs="Times New Roman"/>
          <w:b/>
          <w:bCs/>
          <w:rtl/>
          <w:lang w:eastAsia="de-DE"/>
        </w:rPr>
        <w:t>לְ</w:t>
      </w:r>
      <w:r w:rsidRPr="00A14D4E">
        <w:rPr>
          <w:rFonts w:eastAsia="Times New Roman" w:cs="Times New Roman"/>
          <w:rtl/>
          <w:lang w:eastAsia="de-DE"/>
        </w:rPr>
        <w:t xml:space="preserve"> </w:t>
      </w:r>
      <w:r w:rsidRPr="00A14D4E">
        <w:rPr>
          <w:rFonts w:eastAsia="Times New Roman" w:cs="Times New Roman"/>
          <w:lang w:eastAsia="de-DE"/>
        </w:rPr>
        <w:t>(„sagend"), die standardisierte Formel zur Einleitung direkter göttlicher Rede.</w:t>
      </w:r>
    </w:p>
    <w:p w14:paraId="3A5E3991" w14:textId="77777777" w:rsidR="00A14D4E" w:rsidRP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lang w:eastAsia="de-DE"/>
        </w:rPr>
        <w:t>Die Satzstruktur ist eine einfache Redeeinleitung: Verb (redete) + Subjekt (JHWH) + indirektes Objekt (zu Mose) + Infinitiv (sagend).</w:t>
      </w:r>
    </w:p>
    <w:p w14:paraId="4BD34984" w14:textId="77777777" w:rsidR="00A14D4E" w:rsidRP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lang w:eastAsia="de-DE"/>
        </w:rPr>
        <w:t xml:space="preserve">Der Vers leitet ein neues göttliches Gebot ein, das sich - wie der nächste Vers zeigt - mit den präzisen Grenzen des verheißenen Landes befasst. Nach der Auflistung der Wüstenstationen </w:t>
      </w:r>
      <w:r w:rsidRPr="00A14D4E">
        <w:rPr>
          <w:rFonts w:eastAsia="Times New Roman" w:cs="Times New Roman"/>
          <w:lang w:eastAsia="de-DE"/>
        </w:rPr>
        <w:lastRenderedPageBreak/>
        <w:t>(Kap. 33) und den allgemeinen Anweisungen zur Landnahme (33,50-56) folgt nun die detaillierte Grenzziehung. Die formale Einleitung unterstreicht die göttliche Autorität der folgenden Grenzbeschreibung - diese Grenzen sind nicht menschliche Willkür, sondern göttliche Festlegung.</w:t>
      </w:r>
    </w:p>
    <w:p w14:paraId="6112DBA1" w14:textId="77777777" w:rsidR="00A14D4E" w:rsidRPr="00A14D4E" w:rsidRDefault="00A14D4E" w:rsidP="00A14D4E">
      <w:pPr>
        <w:spacing w:before="100" w:beforeAutospacing="1" w:after="100" w:afterAutospacing="1" w:line="240" w:lineRule="auto"/>
        <w:outlineLvl w:val="0"/>
        <w:rPr>
          <w:rFonts w:eastAsia="Times New Roman" w:cs="Times New Roman"/>
          <w:b/>
          <w:bCs/>
          <w:kern w:val="36"/>
          <w:sz w:val="48"/>
          <w:szCs w:val="48"/>
          <w:lang w:eastAsia="de-DE"/>
        </w:rPr>
      </w:pPr>
      <w:r w:rsidRPr="00A14D4E">
        <w:rPr>
          <w:rFonts w:eastAsia="Times New Roman" w:cs="Times New Roman"/>
          <w:b/>
          <w:bCs/>
          <w:kern w:val="36"/>
          <w:sz w:val="48"/>
          <w:szCs w:val="48"/>
          <w:lang w:eastAsia="de-DE"/>
        </w:rPr>
        <w:t>Numeri 34,2</w:t>
      </w:r>
    </w:p>
    <w:p w14:paraId="2B808DE6" w14:textId="77777777" w:rsidR="00A14D4E" w:rsidRP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b/>
          <w:bCs/>
          <w:lang w:eastAsia="de-DE"/>
        </w:rPr>
        <w:t>Hebräisch:</w:t>
      </w:r>
      <w:r w:rsidRPr="00A14D4E">
        <w:rPr>
          <w:rFonts w:eastAsia="Times New Roman" w:cs="Times New Roman"/>
          <w:lang w:eastAsia="de-DE"/>
        </w:rPr>
        <w:t xml:space="preserve"> </w:t>
      </w:r>
      <w:r w:rsidRPr="00A14D4E">
        <w:rPr>
          <w:rFonts w:eastAsia="Times New Roman" w:cs="Times New Roman"/>
          <w:rtl/>
          <w:lang w:eastAsia="de-DE"/>
        </w:rPr>
        <w:t>צַ֞ו אֶת־בְּנֵ֤י יִשְׂרָאֵל֙ וְאָמַרְתָּ֣ אֲלֵהֶ֔ם כִּֽי־אַתֶּ֥ם בָּאִ֖ים אֶל־הָאָ֣רֶץ כְּנָ֑עַן זֹ֣את הָאָ֗רֶץ אֲשֶׁ֨ר תִּפֹּ֤ל לָכֶם֙ בְּֽנַחֲלָ֔ה אֶ֥רֶץ כְּנַ֖עַן לִגְבֻלֹתֶֽיהָ׃</w:t>
      </w:r>
    </w:p>
    <w:p w14:paraId="7DD0854C" w14:textId="77777777" w:rsidR="00A14D4E" w:rsidRP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b/>
          <w:bCs/>
          <w:lang w:eastAsia="de-DE"/>
        </w:rPr>
        <w:t>Deutsch:</w:t>
      </w:r>
      <w:r w:rsidRPr="00A14D4E">
        <w:rPr>
          <w:rFonts w:eastAsia="Times New Roman" w:cs="Times New Roman"/>
          <w:lang w:eastAsia="de-DE"/>
        </w:rPr>
        <w:t xml:space="preserve"> Befiehl den Söhnen Jisra'el und sage zu ihnen: Wenn ihr in das Land Kena'an kommt, so ist dies das Land, das euch als Erbe zufällt, das Land Kena'an nach seinen Grenzen.</w:t>
      </w:r>
    </w:p>
    <w:p w14:paraId="43969F28" w14:textId="77777777" w:rsidR="00A14D4E" w:rsidRPr="00A14D4E" w:rsidRDefault="00F329DD" w:rsidP="00A14D4E">
      <w:pPr>
        <w:spacing w:after="0" w:line="240" w:lineRule="auto"/>
        <w:rPr>
          <w:rFonts w:eastAsia="Times New Roman" w:cs="Times New Roman"/>
          <w:lang w:eastAsia="de-DE"/>
        </w:rPr>
      </w:pPr>
      <w:r>
        <w:rPr>
          <w:rFonts w:eastAsia="Times New Roman" w:cs="Times New Roman"/>
          <w:noProof/>
          <w:lang w:eastAsia="de-DE"/>
        </w:rPr>
        <w:pict w14:anchorId="1DAF1705">
          <v:rect id="_x0000_i2041" style="width:0;height:1.5pt" o:hralign="center" o:hrstd="t" o:hr="t" fillcolor="#a0a0a0" stroked="f"/>
        </w:pict>
      </w:r>
    </w:p>
    <w:p w14:paraId="0464A6C3" w14:textId="77777777" w:rsidR="00A14D4E" w:rsidRP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b/>
          <w:bCs/>
          <w:lang w:eastAsia="de-DE"/>
        </w:rPr>
        <w:t>Kommentar:</w:t>
      </w:r>
      <w:r w:rsidRPr="00A14D4E">
        <w:rPr>
          <w:rFonts w:eastAsia="Times New Roman" w:cs="Times New Roman"/>
          <w:lang w:eastAsia="de-DE"/>
        </w:rPr>
        <w:t xml:space="preserve"> Der Vers enthält Moses Auftrag zur Verkündigung der Landesgrenzen. </w:t>
      </w:r>
      <w:r w:rsidRPr="00A14D4E">
        <w:rPr>
          <w:rFonts w:eastAsia="Times New Roman" w:cs="Times New Roman"/>
          <w:b/>
          <w:bCs/>
          <w:rtl/>
          <w:lang w:eastAsia="de-DE"/>
        </w:rPr>
        <w:t>צַו אֶת־בְּנֵי יִשְׂרָאֵל וְאָמַרְתָּ אֲלֵהֶם</w:t>
      </w:r>
      <w:r w:rsidRPr="00A14D4E">
        <w:rPr>
          <w:rFonts w:eastAsia="Times New Roman" w:cs="Times New Roman"/>
          <w:rtl/>
          <w:lang w:eastAsia="de-DE"/>
        </w:rPr>
        <w:t xml:space="preserve"> </w:t>
      </w:r>
      <w:r w:rsidRPr="00A14D4E">
        <w:rPr>
          <w:rFonts w:eastAsia="Times New Roman" w:cs="Times New Roman"/>
          <w:lang w:eastAsia="de-DE"/>
        </w:rPr>
        <w:t xml:space="preserve">ist die doppelte Aufforderung. </w:t>
      </w:r>
      <w:r w:rsidRPr="00A14D4E">
        <w:rPr>
          <w:rFonts w:eastAsia="Times New Roman" w:cs="Times New Roman"/>
          <w:b/>
          <w:bCs/>
          <w:rtl/>
          <w:lang w:eastAsia="de-DE"/>
        </w:rPr>
        <w:t>צַו</w:t>
      </w:r>
      <w:r w:rsidRPr="00A14D4E">
        <w:rPr>
          <w:rFonts w:eastAsia="Times New Roman" w:cs="Times New Roman"/>
          <w:rtl/>
          <w:lang w:eastAsia="de-DE"/>
        </w:rPr>
        <w:t xml:space="preserve"> </w:t>
      </w:r>
      <w:r w:rsidRPr="00A14D4E">
        <w:rPr>
          <w:rFonts w:eastAsia="Times New Roman" w:cs="Times New Roman"/>
          <w:lang w:eastAsia="de-DE"/>
        </w:rPr>
        <w:t xml:space="preserve">(Piel Imperativ maskulin Singular von </w:t>
      </w:r>
      <w:r w:rsidRPr="00A14D4E">
        <w:rPr>
          <w:rFonts w:eastAsia="Times New Roman" w:cs="Times New Roman"/>
          <w:b/>
          <w:bCs/>
          <w:rtl/>
          <w:lang w:eastAsia="de-DE"/>
        </w:rPr>
        <w:t>צוה</w:t>
      </w:r>
      <w:r w:rsidRPr="00A14D4E">
        <w:rPr>
          <w:rFonts w:eastAsia="Times New Roman" w:cs="Times New Roman"/>
          <w:rtl/>
          <w:lang w:eastAsia="de-DE"/>
        </w:rPr>
        <w:t xml:space="preserve"> </w:t>
      </w:r>
      <w:r w:rsidRPr="00A14D4E">
        <w:rPr>
          <w:rFonts w:eastAsia="Times New Roman" w:cs="Times New Roman"/>
          <w:lang w:eastAsia="de-DE"/>
        </w:rPr>
        <w:t xml:space="preserve">„befehlen, gebieten"), </w:t>
      </w:r>
      <w:r w:rsidRPr="00A14D4E">
        <w:rPr>
          <w:rFonts w:eastAsia="Times New Roman" w:cs="Times New Roman"/>
          <w:b/>
          <w:bCs/>
          <w:rtl/>
          <w:lang w:eastAsia="de-DE"/>
        </w:rPr>
        <w:t>אֶת־בְּנֵי יִשְׂרָאֵל</w:t>
      </w:r>
      <w:r w:rsidRPr="00A14D4E">
        <w:rPr>
          <w:rFonts w:eastAsia="Times New Roman" w:cs="Times New Roman"/>
          <w:rtl/>
          <w:lang w:eastAsia="de-DE"/>
        </w:rPr>
        <w:t xml:space="preserve"> </w:t>
      </w:r>
      <w:r w:rsidRPr="00A14D4E">
        <w:rPr>
          <w:rFonts w:eastAsia="Times New Roman" w:cs="Times New Roman"/>
          <w:lang w:eastAsia="de-DE"/>
        </w:rPr>
        <w:t xml:space="preserve">(Akkusativpartikel mit „Söhne Israels"), </w:t>
      </w:r>
      <w:r w:rsidRPr="00A14D4E">
        <w:rPr>
          <w:rFonts w:eastAsia="Times New Roman" w:cs="Times New Roman"/>
          <w:b/>
          <w:bCs/>
          <w:rtl/>
          <w:lang w:eastAsia="de-DE"/>
        </w:rPr>
        <w:t>וְאָמַרְתָּ אֲלֵהֶם</w:t>
      </w:r>
      <w:r w:rsidRPr="00A14D4E">
        <w:rPr>
          <w:rFonts w:eastAsia="Times New Roman" w:cs="Times New Roman"/>
          <w:rtl/>
          <w:lang w:eastAsia="de-DE"/>
        </w:rPr>
        <w:t xml:space="preserve"> </w:t>
      </w:r>
      <w:r w:rsidRPr="00A14D4E">
        <w:rPr>
          <w:rFonts w:eastAsia="Times New Roman" w:cs="Times New Roman"/>
          <w:lang w:eastAsia="de-DE"/>
        </w:rPr>
        <w:t xml:space="preserve">(Konjunktion mit Qal Perfekt 2. Person maskulin Singular mit Waw consecutivum von </w:t>
      </w:r>
      <w:r w:rsidRPr="00A14D4E">
        <w:rPr>
          <w:rFonts w:eastAsia="Times New Roman" w:cs="Times New Roman"/>
          <w:b/>
          <w:bCs/>
          <w:rtl/>
          <w:lang w:eastAsia="de-DE"/>
        </w:rPr>
        <w:t>אמר</w:t>
      </w:r>
      <w:r w:rsidRPr="00A14D4E">
        <w:rPr>
          <w:rFonts w:eastAsia="Times New Roman" w:cs="Times New Roman"/>
          <w:rtl/>
          <w:lang w:eastAsia="de-DE"/>
        </w:rPr>
        <w:t xml:space="preserve"> </w:t>
      </w:r>
      <w:r w:rsidRPr="00A14D4E">
        <w:rPr>
          <w:rFonts w:eastAsia="Times New Roman" w:cs="Times New Roman"/>
          <w:lang w:eastAsia="de-DE"/>
        </w:rPr>
        <w:t xml:space="preserve">„sagen" und Präposition </w:t>
      </w:r>
      <w:r w:rsidRPr="00A14D4E">
        <w:rPr>
          <w:rFonts w:eastAsia="Times New Roman" w:cs="Times New Roman"/>
          <w:b/>
          <w:bCs/>
          <w:rtl/>
          <w:lang w:eastAsia="de-DE"/>
        </w:rPr>
        <w:t>אֶל</w:t>
      </w:r>
      <w:r w:rsidRPr="00A14D4E">
        <w:rPr>
          <w:rFonts w:eastAsia="Times New Roman" w:cs="Times New Roman"/>
          <w:rtl/>
          <w:lang w:eastAsia="de-DE"/>
        </w:rPr>
        <w:t xml:space="preserve"> </w:t>
      </w:r>
      <w:r w:rsidRPr="00A14D4E">
        <w:rPr>
          <w:rFonts w:eastAsia="Times New Roman" w:cs="Times New Roman"/>
          <w:lang w:eastAsia="de-DE"/>
        </w:rPr>
        <w:t xml:space="preserve">mit Suffix 3. Person Plural „und du sollst zu ihnen sagen"). Die Doppelung </w:t>
      </w:r>
      <w:r w:rsidRPr="00A14D4E">
        <w:rPr>
          <w:rFonts w:eastAsia="Times New Roman" w:cs="Times New Roman"/>
          <w:b/>
          <w:bCs/>
          <w:rtl/>
          <w:lang w:eastAsia="de-DE"/>
        </w:rPr>
        <w:t>צַו</w:t>
      </w:r>
      <w:r w:rsidRPr="00A14D4E">
        <w:rPr>
          <w:rFonts w:eastAsia="Times New Roman" w:cs="Times New Roman"/>
          <w:rtl/>
          <w:lang w:eastAsia="de-DE"/>
        </w:rPr>
        <w:t xml:space="preserve"> </w:t>
      </w:r>
      <w:r w:rsidRPr="00A14D4E">
        <w:rPr>
          <w:rFonts w:eastAsia="Times New Roman" w:cs="Times New Roman"/>
          <w:lang w:eastAsia="de-DE"/>
        </w:rPr>
        <w:t xml:space="preserve">... </w:t>
      </w:r>
      <w:r w:rsidRPr="00A14D4E">
        <w:rPr>
          <w:rFonts w:eastAsia="Times New Roman" w:cs="Times New Roman"/>
          <w:b/>
          <w:bCs/>
          <w:rtl/>
          <w:lang w:eastAsia="de-DE"/>
        </w:rPr>
        <w:t>וְאָמַרְתָּ</w:t>
      </w:r>
      <w:r w:rsidRPr="00A14D4E">
        <w:rPr>
          <w:rFonts w:eastAsia="Times New Roman" w:cs="Times New Roman"/>
          <w:rtl/>
          <w:lang w:eastAsia="de-DE"/>
        </w:rPr>
        <w:t xml:space="preserve"> </w:t>
      </w:r>
      <w:r w:rsidRPr="00A14D4E">
        <w:rPr>
          <w:rFonts w:eastAsia="Times New Roman" w:cs="Times New Roman"/>
          <w:lang w:eastAsia="de-DE"/>
        </w:rPr>
        <w:t>betont die Wichtigkeit und Feierlichkeit der Botschaft.</w:t>
      </w:r>
    </w:p>
    <w:p w14:paraId="245E4987" w14:textId="77777777" w:rsidR="00A14D4E" w:rsidRP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b/>
          <w:bCs/>
          <w:rtl/>
          <w:lang w:eastAsia="de-DE"/>
        </w:rPr>
        <w:t>כִּי־אַתֶּם בָּאִים אֶל־הָאָרֶץ כְּנַעַן</w:t>
      </w:r>
      <w:r w:rsidRPr="00A14D4E">
        <w:rPr>
          <w:rFonts w:eastAsia="Times New Roman" w:cs="Times New Roman"/>
          <w:rtl/>
          <w:lang w:eastAsia="de-DE"/>
        </w:rPr>
        <w:t xml:space="preserve"> </w:t>
      </w:r>
      <w:r w:rsidRPr="00A14D4E">
        <w:rPr>
          <w:rFonts w:eastAsia="Times New Roman" w:cs="Times New Roman"/>
          <w:lang w:eastAsia="de-DE"/>
        </w:rPr>
        <w:t xml:space="preserve">ist die temporale Einleitung. </w:t>
      </w:r>
      <w:r w:rsidRPr="00A14D4E">
        <w:rPr>
          <w:rFonts w:eastAsia="Times New Roman" w:cs="Times New Roman"/>
          <w:b/>
          <w:bCs/>
          <w:rtl/>
          <w:lang w:eastAsia="de-DE"/>
        </w:rPr>
        <w:t>כִּי</w:t>
      </w:r>
      <w:r w:rsidRPr="00A14D4E">
        <w:rPr>
          <w:rFonts w:eastAsia="Times New Roman" w:cs="Times New Roman"/>
          <w:rtl/>
          <w:lang w:eastAsia="de-DE"/>
        </w:rPr>
        <w:t xml:space="preserve"> </w:t>
      </w:r>
      <w:r w:rsidRPr="00A14D4E">
        <w:rPr>
          <w:rFonts w:eastAsia="Times New Roman" w:cs="Times New Roman"/>
          <w:lang w:eastAsia="de-DE"/>
        </w:rPr>
        <w:t xml:space="preserve">(temporale Konjunktion „wenn, als"), </w:t>
      </w:r>
      <w:r w:rsidRPr="00A14D4E">
        <w:rPr>
          <w:rFonts w:eastAsia="Times New Roman" w:cs="Times New Roman"/>
          <w:b/>
          <w:bCs/>
          <w:rtl/>
          <w:lang w:eastAsia="de-DE"/>
        </w:rPr>
        <w:t>אַתֶּם בָּאִים</w:t>
      </w:r>
      <w:r w:rsidRPr="00A14D4E">
        <w:rPr>
          <w:rFonts w:eastAsia="Times New Roman" w:cs="Times New Roman"/>
          <w:rtl/>
          <w:lang w:eastAsia="de-DE"/>
        </w:rPr>
        <w:t xml:space="preserve"> </w:t>
      </w:r>
      <w:r w:rsidRPr="00A14D4E">
        <w:rPr>
          <w:rFonts w:eastAsia="Times New Roman" w:cs="Times New Roman"/>
          <w:lang w:eastAsia="de-DE"/>
        </w:rPr>
        <w:t xml:space="preserve">(Personalpronomen 2. Person maskulin Plural mit Qal-Partizip Plural von </w:t>
      </w:r>
      <w:r w:rsidRPr="00A14D4E">
        <w:rPr>
          <w:rFonts w:eastAsia="Times New Roman" w:cs="Times New Roman"/>
          <w:b/>
          <w:bCs/>
          <w:rtl/>
          <w:lang w:eastAsia="de-DE"/>
        </w:rPr>
        <w:t>בוא</w:t>
      </w:r>
      <w:r w:rsidRPr="00A14D4E">
        <w:rPr>
          <w:rFonts w:eastAsia="Times New Roman" w:cs="Times New Roman"/>
          <w:rtl/>
          <w:lang w:eastAsia="de-DE"/>
        </w:rPr>
        <w:t xml:space="preserve"> </w:t>
      </w:r>
      <w:r w:rsidRPr="00A14D4E">
        <w:rPr>
          <w:rFonts w:eastAsia="Times New Roman" w:cs="Times New Roman"/>
          <w:lang w:eastAsia="de-DE"/>
        </w:rPr>
        <w:t xml:space="preserve">„kommen"), </w:t>
      </w:r>
      <w:r w:rsidRPr="00A14D4E">
        <w:rPr>
          <w:rFonts w:eastAsia="Times New Roman" w:cs="Times New Roman"/>
          <w:b/>
          <w:bCs/>
          <w:rtl/>
          <w:lang w:eastAsia="de-DE"/>
        </w:rPr>
        <w:t>אֶל־הָאָרֶץ כְּנַעַן</w:t>
      </w:r>
      <w:r w:rsidRPr="00A14D4E">
        <w:rPr>
          <w:rFonts w:eastAsia="Times New Roman" w:cs="Times New Roman"/>
          <w:rtl/>
          <w:lang w:eastAsia="de-DE"/>
        </w:rPr>
        <w:t xml:space="preserve"> </w:t>
      </w:r>
      <w:r w:rsidRPr="00A14D4E">
        <w:rPr>
          <w:rFonts w:eastAsia="Times New Roman" w:cs="Times New Roman"/>
          <w:lang w:eastAsia="de-DE"/>
        </w:rPr>
        <w:t xml:space="preserve">(Präposition mit </w:t>
      </w:r>
      <w:r w:rsidRPr="00A14D4E">
        <w:rPr>
          <w:rFonts w:eastAsia="Times New Roman" w:cs="Times New Roman"/>
          <w:b/>
          <w:bCs/>
          <w:rtl/>
          <w:lang w:eastAsia="de-DE"/>
        </w:rPr>
        <w:t>אֶרֶץ כְּנַעַן</w:t>
      </w:r>
      <w:r w:rsidRPr="00A14D4E">
        <w:rPr>
          <w:rFonts w:eastAsia="Times New Roman" w:cs="Times New Roman"/>
          <w:rtl/>
          <w:lang w:eastAsia="de-DE"/>
        </w:rPr>
        <w:t xml:space="preserve"> </w:t>
      </w:r>
      <w:r w:rsidRPr="00A14D4E">
        <w:rPr>
          <w:rFonts w:eastAsia="Times New Roman" w:cs="Times New Roman"/>
          <w:lang w:eastAsia="de-DE"/>
        </w:rPr>
        <w:t>„in das Land Kanaan"). Das Partizip drückt die unmittelbar bevorstehende, als sicher geltende Handlung aus - der Einzug wird als Tatsache behandelt.</w:t>
      </w:r>
    </w:p>
    <w:p w14:paraId="7E231B46" w14:textId="5B29A102" w:rsidR="00A14D4E" w:rsidRPr="00A14D4E" w:rsidRDefault="00A14D4E" w:rsidP="00F00B0E">
      <w:pPr>
        <w:spacing w:before="100" w:beforeAutospacing="1" w:after="100" w:afterAutospacing="1" w:line="240" w:lineRule="auto"/>
        <w:rPr>
          <w:rFonts w:eastAsia="Times New Roman" w:cs="Times New Roman"/>
          <w:lang w:eastAsia="de-DE"/>
        </w:rPr>
      </w:pPr>
      <w:r w:rsidRPr="00A14D4E">
        <w:rPr>
          <w:rFonts w:eastAsia="Times New Roman" w:cs="Times New Roman"/>
          <w:b/>
          <w:bCs/>
          <w:rtl/>
          <w:lang w:eastAsia="de-DE"/>
        </w:rPr>
        <w:t>זֹאת הָאָרֶץ אֲשֶׁר תִּפֹּל לָכֶם בְּנַחֲלָה אֶרֶץ כְּנַעַן לִגְבֻלֹתֶיהָ</w:t>
      </w:r>
      <w:r w:rsidRPr="00A14D4E">
        <w:rPr>
          <w:rFonts w:eastAsia="Times New Roman" w:cs="Times New Roman"/>
          <w:rtl/>
          <w:lang w:eastAsia="de-DE"/>
        </w:rPr>
        <w:t xml:space="preserve"> </w:t>
      </w:r>
      <w:r w:rsidRPr="00A14D4E">
        <w:rPr>
          <w:rFonts w:eastAsia="Times New Roman" w:cs="Times New Roman"/>
          <w:lang w:eastAsia="de-DE"/>
        </w:rPr>
        <w:t xml:space="preserve">ist die Definition. </w:t>
      </w:r>
      <w:r w:rsidRPr="00A14D4E">
        <w:rPr>
          <w:rFonts w:eastAsia="Times New Roman" w:cs="Times New Roman"/>
          <w:b/>
          <w:bCs/>
          <w:rtl/>
          <w:lang w:eastAsia="de-DE"/>
        </w:rPr>
        <w:t>זֹאת הָאָרֶץ</w:t>
      </w:r>
      <w:r w:rsidRPr="00A14D4E">
        <w:rPr>
          <w:rFonts w:eastAsia="Times New Roman" w:cs="Times New Roman"/>
          <w:rtl/>
          <w:lang w:eastAsia="de-DE"/>
        </w:rPr>
        <w:t xml:space="preserve"> </w:t>
      </w:r>
      <w:r w:rsidRPr="00A14D4E">
        <w:rPr>
          <w:rFonts w:eastAsia="Times New Roman" w:cs="Times New Roman"/>
          <w:lang w:eastAsia="de-DE"/>
        </w:rPr>
        <w:t xml:space="preserve">(Demonstrativpronomen feminin Singular „dies" mit </w:t>
      </w:r>
      <w:r w:rsidRPr="00A14D4E">
        <w:rPr>
          <w:rFonts w:eastAsia="Times New Roman" w:cs="Times New Roman"/>
          <w:b/>
          <w:bCs/>
          <w:rtl/>
          <w:lang w:eastAsia="de-DE"/>
        </w:rPr>
        <w:t>אֶרֶץ</w:t>
      </w:r>
      <w:r w:rsidRPr="00A14D4E">
        <w:rPr>
          <w:rFonts w:eastAsia="Times New Roman" w:cs="Times New Roman"/>
          <w:rtl/>
          <w:lang w:eastAsia="de-DE"/>
        </w:rPr>
        <w:t xml:space="preserve"> </w:t>
      </w:r>
      <w:r w:rsidRPr="00A14D4E">
        <w:rPr>
          <w:rFonts w:eastAsia="Times New Roman" w:cs="Times New Roman"/>
          <w:lang w:eastAsia="de-DE"/>
        </w:rPr>
        <w:t xml:space="preserve">„Land" mit Artikel „dies ist das Land"), </w:t>
      </w:r>
      <w:r w:rsidRPr="00A14D4E">
        <w:rPr>
          <w:rFonts w:eastAsia="Times New Roman" w:cs="Times New Roman"/>
          <w:b/>
          <w:bCs/>
          <w:rtl/>
          <w:lang w:eastAsia="de-DE"/>
        </w:rPr>
        <w:t>אֲשֶׁר תִּפֹּל לָכֶם בְּנַחֲלָה</w:t>
      </w:r>
      <w:r w:rsidRPr="00A14D4E">
        <w:rPr>
          <w:rFonts w:eastAsia="Times New Roman" w:cs="Times New Roman"/>
          <w:rtl/>
          <w:lang w:eastAsia="de-DE"/>
        </w:rPr>
        <w:t xml:space="preserve"> </w:t>
      </w:r>
      <w:r w:rsidRPr="00A14D4E">
        <w:rPr>
          <w:rFonts w:eastAsia="Times New Roman" w:cs="Times New Roman"/>
          <w:lang w:eastAsia="de-DE"/>
        </w:rPr>
        <w:t xml:space="preserve">(Relativsatz: Qal Imperfekt 3. Person feminin Singular von </w:t>
      </w:r>
      <w:r w:rsidRPr="00A14D4E">
        <w:rPr>
          <w:rFonts w:eastAsia="Times New Roman" w:cs="Times New Roman"/>
          <w:b/>
          <w:bCs/>
          <w:rtl/>
          <w:lang w:eastAsia="de-DE"/>
        </w:rPr>
        <w:t>נפל</w:t>
      </w:r>
      <w:r w:rsidRPr="00A14D4E">
        <w:rPr>
          <w:rFonts w:eastAsia="Times New Roman" w:cs="Times New Roman"/>
          <w:rtl/>
          <w:lang w:eastAsia="de-DE"/>
        </w:rPr>
        <w:t xml:space="preserve"> </w:t>
      </w:r>
      <w:r w:rsidRPr="00A14D4E">
        <w:rPr>
          <w:rFonts w:eastAsia="Times New Roman" w:cs="Times New Roman"/>
          <w:lang w:eastAsia="de-DE"/>
        </w:rPr>
        <w:t xml:space="preserve">„fallen" mit Dativ </w:t>
      </w:r>
      <w:r w:rsidRPr="00A14D4E">
        <w:rPr>
          <w:rFonts w:eastAsia="Times New Roman" w:cs="Times New Roman"/>
          <w:b/>
          <w:bCs/>
          <w:rtl/>
          <w:lang w:eastAsia="de-DE"/>
        </w:rPr>
        <w:t>לָכֶם</w:t>
      </w:r>
      <w:r w:rsidRPr="00A14D4E">
        <w:rPr>
          <w:rFonts w:eastAsia="Times New Roman" w:cs="Times New Roman"/>
          <w:rtl/>
          <w:lang w:eastAsia="de-DE"/>
        </w:rPr>
        <w:t xml:space="preserve"> </w:t>
      </w:r>
      <w:r w:rsidRPr="00A14D4E">
        <w:rPr>
          <w:rFonts w:eastAsia="Times New Roman" w:cs="Times New Roman"/>
          <w:lang w:eastAsia="de-DE"/>
        </w:rPr>
        <w:t xml:space="preserve">„euch" und Präposition </w:t>
      </w:r>
      <w:r w:rsidRPr="00A14D4E">
        <w:rPr>
          <w:rFonts w:eastAsia="Times New Roman" w:cs="Times New Roman"/>
          <w:b/>
          <w:bCs/>
          <w:rtl/>
          <w:lang w:eastAsia="de-DE"/>
        </w:rPr>
        <w:t>בְ</w:t>
      </w:r>
      <w:r w:rsidRPr="00A14D4E">
        <w:rPr>
          <w:rFonts w:eastAsia="Times New Roman" w:cs="Times New Roman"/>
          <w:rtl/>
          <w:lang w:eastAsia="de-DE"/>
        </w:rPr>
        <w:t xml:space="preserve"> </w:t>
      </w:r>
      <w:r w:rsidRPr="00A14D4E">
        <w:rPr>
          <w:rFonts w:eastAsia="Times New Roman" w:cs="Times New Roman"/>
          <w:lang w:eastAsia="de-DE"/>
        </w:rPr>
        <w:t xml:space="preserve">mit </w:t>
      </w:r>
      <w:r w:rsidRPr="00A14D4E">
        <w:rPr>
          <w:rFonts w:eastAsia="Times New Roman" w:cs="Times New Roman"/>
          <w:b/>
          <w:bCs/>
          <w:rtl/>
          <w:lang w:eastAsia="de-DE"/>
        </w:rPr>
        <w:t>נַחֲלָה</w:t>
      </w:r>
      <w:r w:rsidRPr="00A14D4E">
        <w:rPr>
          <w:rFonts w:eastAsia="Times New Roman" w:cs="Times New Roman"/>
          <w:rtl/>
          <w:lang w:eastAsia="de-DE"/>
        </w:rPr>
        <w:t xml:space="preserve"> </w:t>
      </w:r>
      <w:r w:rsidRPr="00A14D4E">
        <w:rPr>
          <w:rFonts w:eastAsia="Times New Roman" w:cs="Times New Roman"/>
          <w:lang w:eastAsia="de-DE"/>
        </w:rPr>
        <w:t xml:space="preserve">„Erbteil" „das euch als Erbe zufällt"). Die Wendung </w:t>
      </w:r>
      <w:r w:rsidRPr="00A14D4E">
        <w:rPr>
          <w:rFonts w:eastAsia="Times New Roman" w:cs="Times New Roman"/>
          <w:b/>
          <w:bCs/>
          <w:rtl/>
          <w:lang w:eastAsia="de-DE"/>
        </w:rPr>
        <w:t>נפל בְּנַחֲלָה</w:t>
      </w:r>
      <w:r w:rsidRPr="00A14D4E">
        <w:rPr>
          <w:rFonts w:eastAsia="Times New Roman" w:cs="Times New Roman"/>
          <w:rtl/>
          <w:lang w:eastAsia="de-DE"/>
        </w:rPr>
        <w:t xml:space="preserve"> </w:t>
      </w:r>
      <w:r w:rsidRPr="00A14D4E">
        <w:rPr>
          <w:rFonts w:eastAsia="Times New Roman" w:cs="Times New Roman"/>
          <w:lang w:eastAsia="de-DE"/>
        </w:rPr>
        <w:t xml:space="preserve">ist idiomatisch für „durch Los als Erbe zufallen" - es impliziert göttliche Zuteilung. </w:t>
      </w:r>
      <w:r w:rsidRPr="00A14D4E">
        <w:rPr>
          <w:rFonts w:eastAsia="Times New Roman" w:cs="Times New Roman"/>
          <w:b/>
          <w:bCs/>
          <w:rtl/>
          <w:lang w:eastAsia="de-DE"/>
        </w:rPr>
        <w:t>אֶרֶץ כְּנַעַן לִגְבֻלֹתֶיהָ</w:t>
      </w:r>
      <w:r w:rsidRPr="00A14D4E">
        <w:rPr>
          <w:rFonts w:eastAsia="Times New Roman" w:cs="Times New Roman"/>
          <w:rtl/>
          <w:lang w:eastAsia="de-DE"/>
        </w:rPr>
        <w:t xml:space="preserve"> </w:t>
      </w:r>
      <w:r w:rsidRPr="00A14D4E">
        <w:rPr>
          <w:rFonts w:eastAsia="Times New Roman" w:cs="Times New Roman"/>
          <w:lang w:eastAsia="de-DE"/>
        </w:rPr>
        <w:t xml:space="preserve">(appositive Wiederholung: „das Land Kanaan" mit Präposition </w:t>
      </w:r>
      <w:r w:rsidRPr="00A14D4E">
        <w:rPr>
          <w:rFonts w:eastAsia="Times New Roman" w:cs="Times New Roman"/>
          <w:b/>
          <w:bCs/>
          <w:rtl/>
          <w:lang w:eastAsia="de-DE"/>
        </w:rPr>
        <w:t>לְ</w:t>
      </w:r>
      <w:r w:rsidRPr="00A14D4E">
        <w:rPr>
          <w:rFonts w:eastAsia="Times New Roman" w:cs="Times New Roman"/>
          <w:rtl/>
          <w:lang w:eastAsia="de-DE"/>
        </w:rPr>
        <w:t xml:space="preserve"> </w:t>
      </w:r>
      <w:r w:rsidRPr="00A14D4E">
        <w:rPr>
          <w:rFonts w:eastAsia="Times New Roman" w:cs="Times New Roman"/>
          <w:lang w:eastAsia="de-DE"/>
        </w:rPr>
        <w:t xml:space="preserve">und Plural von </w:t>
      </w:r>
      <w:r w:rsidRPr="00A14D4E">
        <w:rPr>
          <w:rFonts w:eastAsia="Times New Roman" w:cs="Times New Roman"/>
          <w:b/>
          <w:bCs/>
          <w:rtl/>
          <w:lang w:eastAsia="de-DE"/>
        </w:rPr>
        <w:t>גְּבוּל</w:t>
      </w:r>
      <w:r w:rsidRPr="00A14D4E">
        <w:rPr>
          <w:rFonts w:eastAsia="Times New Roman" w:cs="Times New Roman"/>
          <w:rtl/>
          <w:lang w:eastAsia="de-DE"/>
        </w:rPr>
        <w:t xml:space="preserve"> </w:t>
      </w:r>
      <w:r w:rsidRPr="00A14D4E">
        <w:rPr>
          <w:rFonts w:eastAsia="Times New Roman" w:cs="Times New Roman"/>
          <w:lang w:eastAsia="de-DE"/>
        </w:rPr>
        <w:t>„Grenze" mit Suffix 3. Person feminin Singular „nach seinen Grenzen").</w:t>
      </w:r>
    </w:p>
    <w:p w14:paraId="23DA4059" w14:textId="77777777" w:rsidR="00A14D4E" w:rsidRP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lang w:eastAsia="de-DE"/>
        </w:rPr>
        <w:t>Die Satzstruktur zeigt einen doppelten Imperativ (befiehl und sage), gefolgt von einer temporalen Protasis (wenn ihr kommt) und einer definitorischen Hauptaussage mit Relativsatz und appositiver Erweiterung.</w:t>
      </w:r>
    </w:p>
    <w:p w14:paraId="06E349D0" w14:textId="14AEA419" w:rsidR="00A14D4E" w:rsidRDefault="00A14D4E" w:rsidP="00A14D4E">
      <w:pPr>
        <w:spacing w:before="100" w:beforeAutospacing="1" w:after="100" w:afterAutospacing="1" w:line="240" w:lineRule="auto"/>
        <w:rPr>
          <w:rFonts w:eastAsia="Times New Roman" w:cs="Times New Roman"/>
          <w:lang w:eastAsia="de-DE"/>
        </w:rPr>
      </w:pPr>
      <w:r w:rsidRPr="00A14D4E">
        <w:rPr>
          <w:rFonts w:eastAsia="Times New Roman" w:cs="Times New Roman"/>
          <w:lang w:eastAsia="de-DE"/>
        </w:rPr>
        <w:t xml:space="preserve">Der Vers setzt die Landnahme als unmittelbar bevorstehend voraus und kündigt eine präzise Grenzbeschreibung an. Die feierliche Doppelformel </w:t>
      </w:r>
      <w:r w:rsidRPr="00A14D4E">
        <w:rPr>
          <w:rFonts w:eastAsia="Times New Roman" w:cs="Times New Roman"/>
          <w:b/>
          <w:bCs/>
          <w:rtl/>
          <w:lang w:eastAsia="de-DE"/>
        </w:rPr>
        <w:t>צַו</w:t>
      </w:r>
      <w:r w:rsidRPr="00A14D4E">
        <w:rPr>
          <w:rFonts w:eastAsia="Times New Roman" w:cs="Times New Roman"/>
          <w:rtl/>
          <w:lang w:eastAsia="de-DE"/>
        </w:rPr>
        <w:t xml:space="preserve"> </w:t>
      </w:r>
      <w:r w:rsidRPr="00A14D4E">
        <w:rPr>
          <w:rFonts w:eastAsia="Times New Roman" w:cs="Times New Roman"/>
          <w:lang w:eastAsia="de-DE"/>
        </w:rPr>
        <w:t xml:space="preserve">... </w:t>
      </w:r>
      <w:r w:rsidRPr="00A14D4E">
        <w:rPr>
          <w:rFonts w:eastAsia="Times New Roman" w:cs="Times New Roman"/>
          <w:b/>
          <w:bCs/>
          <w:rtl/>
          <w:lang w:eastAsia="de-DE"/>
        </w:rPr>
        <w:t>וְאָמַרְתָּ</w:t>
      </w:r>
      <w:r w:rsidRPr="00A14D4E">
        <w:rPr>
          <w:rFonts w:eastAsia="Times New Roman" w:cs="Times New Roman"/>
          <w:rtl/>
          <w:lang w:eastAsia="de-DE"/>
        </w:rPr>
        <w:t xml:space="preserve"> </w:t>
      </w:r>
      <w:r w:rsidRPr="00A14D4E">
        <w:rPr>
          <w:rFonts w:eastAsia="Times New Roman" w:cs="Times New Roman"/>
          <w:lang w:eastAsia="de-DE"/>
        </w:rPr>
        <w:t xml:space="preserve">zeigt die Bedeutung: Die folgenden Grenzen sind nicht verhandelbar, sondern göttlich festgelegt. Die Wendung </w:t>
      </w:r>
      <w:r w:rsidRPr="00A14D4E">
        <w:rPr>
          <w:rFonts w:eastAsia="Times New Roman" w:cs="Times New Roman"/>
          <w:b/>
          <w:bCs/>
          <w:rtl/>
          <w:lang w:eastAsia="de-DE"/>
        </w:rPr>
        <w:t>תִּפֹּל לָכֶם בְּנַחֲלָה</w:t>
      </w:r>
      <w:r w:rsidRPr="00A14D4E">
        <w:rPr>
          <w:rFonts w:eastAsia="Times New Roman" w:cs="Times New Roman"/>
          <w:rtl/>
          <w:lang w:eastAsia="de-DE"/>
        </w:rPr>
        <w:t xml:space="preserve"> </w:t>
      </w:r>
      <w:r w:rsidRPr="00A14D4E">
        <w:rPr>
          <w:rFonts w:eastAsia="Times New Roman" w:cs="Times New Roman"/>
          <w:lang w:eastAsia="de-DE"/>
        </w:rPr>
        <w:t>unterstreicht, dass das Land göttliches Geschenk ist - es „fällt zu" durch göttliche Bestimmung, nicht durch menschliche Eroberung allein.</w:t>
      </w:r>
    </w:p>
    <w:p w14:paraId="2A6A0971" w14:textId="77777777" w:rsidR="00002F9F" w:rsidRDefault="00002F9F" w:rsidP="00002F9F">
      <w:pPr>
        <w:pStyle w:val="berschrift3"/>
      </w:pPr>
      <w:r>
        <w:lastRenderedPageBreak/>
        <w:t>Theologische Vertiefung zu Vers 2:</w:t>
      </w:r>
    </w:p>
    <w:p w14:paraId="40F8EFD8" w14:textId="77777777" w:rsidR="00002F9F" w:rsidRDefault="00002F9F" w:rsidP="00002F9F">
      <w:pPr>
        <w:pStyle w:val="whitespace-normal"/>
      </w:pPr>
      <w:r>
        <w:rPr>
          <w:rStyle w:val="Fett"/>
        </w:rPr>
        <w:t>Das Land als göttliche Gabe – Grundlinien der biblischen Landtheologie:</w:t>
      </w:r>
    </w:p>
    <w:p w14:paraId="2916095D" w14:textId="77777777" w:rsidR="00002F9F" w:rsidRDefault="00002F9F" w:rsidP="00002F9F">
      <w:pPr>
        <w:pStyle w:val="whitespace-normal"/>
      </w:pPr>
      <w:r>
        <w:t xml:space="preserve">Die Formulierung </w:t>
      </w:r>
      <w:r>
        <w:rPr>
          <w:rStyle w:val="Fett"/>
          <w:rtl/>
        </w:rPr>
        <w:t>תִּפֹּל לָכֶם בְּנַחֲלָה</w:t>
      </w:r>
      <w:r>
        <w:rPr>
          <w:rtl/>
        </w:rPr>
        <w:t xml:space="preserve"> </w:t>
      </w:r>
      <w:r>
        <w:t>("es soll euch durch Los als Erbe zufallen") ist theologisch hochbedeutsam und verdichtet mehrere zentrale Aspekte der biblischen Landtheologie:</w:t>
      </w:r>
    </w:p>
    <w:p w14:paraId="4D71EABC" w14:textId="77777777" w:rsidR="00002F9F" w:rsidRDefault="00002F9F" w:rsidP="00002F9F">
      <w:pPr>
        <w:pStyle w:val="berschrift4"/>
      </w:pPr>
      <w:r>
        <w:t xml:space="preserve">a) </w:t>
      </w:r>
      <w:r>
        <w:rPr>
          <w:rStyle w:val="Fett"/>
          <w:b w:val="0"/>
          <w:bCs w:val="0"/>
        </w:rPr>
        <w:t>Land als unverdientes Geschenk</w:t>
      </w:r>
    </w:p>
    <w:p w14:paraId="2646FFBF" w14:textId="77777777" w:rsidR="00002F9F" w:rsidRDefault="00002F9F" w:rsidP="00002F9F">
      <w:pPr>
        <w:pStyle w:val="whitespace-normal"/>
      </w:pPr>
      <w:r>
        <w:t xml:space="preserve">Das Verb </w:t>
      </w:r>
      <w:r>
        <w:rPr>
          <w:rtl/>
        </w:rPr>
        <w:t>נפל</w:t>
      </w:r>
      <w:r>
        <w:t xml:space="preserve"> im Qal ("fallen") mit der Präposition </w:t>
      </w:r>
      <w:r>
        <w:rPr>
          <w:rtl/>
        </w:rPr>
        <w:t>בְּנַחֲלָה</w:t>
      </w:r>
      <w:r>
        <w:t xml:space="preserve"> betont die Passivität Israels – das Land "fällt zu", es wird nicht erobert oder verdient. Dies steht in Spannung zu den Eroberungserzählungen des Josuabuches, löst aber die theologische Grundfrage: Israel erhält das Land nicht aufgrund eigener Gerechtigkeit (vgl. Dtn 9,4-6), sondern durch göttliche Verheißung und Gnade.</w:t>
      </w:r>
    </w:p>
    <w:p w14:paraId="0CCE06E0" w14:textId="77777777" w:rsidR="00002F9F" w:rsidRDefault="00002F9F" w:rsidP="00002F9F">
      <w:pPr>
        <w:pStyle w:val="berschrift4"/>
      </w:pPr>
      <w:r>
        <w:t xml:space="preserve">b) </w:t>
      </w:r>
      <w:r>
        <w:rPr>
          <w:rStyle w:val="Fett"/>
          <w:b w:val="0"/>
          <w:bCs w:val="0"/>
        </w:rPr>
        <w:t>Losverfahren als göttliche Entscheidung</w:t>
      </w:r>
    </w:p>
    <w:p w14:paraId="56EA7399" w14:textId="77777777" w:rsidR="00002F9F" w:rsidRDefault="00002F9F" w:rsidP="00002F9F">
      <w:pPr>
        <w:pStyle w:val="whitespace-normal"/>
      </w:pPr>
      <w:r>
        <w:t>Das Los (</w:t>
      </w:r>
      <w:r>
        <w:rPr>
          <w:rtl/>
        </w:rPr>
        <w:t>גּוֹרָל</w:t>
      </w:r>
      <w:r>
        <w:t>) ist im Alten Orient kein Zufallsprinzip, sondern ein Orakelverfahren zur Ermittlung des göttlichen Willens. Die Landverteilung durch Los (Jos 14-19) bedeutet: Nicht menschliche Macht oder Präferenz, sondern JHWH selbst bestimmt, welcher Stamm welches Gebiet erhält. Dies verhindert Konflikte und schafft Akzeptanz.</w:t>
      </w:r>
    </w:p>
    <w:p w14:paraId="7B61A592" w14:textId="77777777" w:rsidR="00002F9F" w:rsidRDefault="00002F9F" w:rsidP="00002F9F">
      <w:pPr>
        <w:pStyle w:val="berschrift4"/>
      </w:pPr>
      <w:r>
        <w:t xml:space="preserve">c) </w:t>
      </w:r>
      <w:r>
        <w:rPr>
          <w:rStyle w:val="Fett"/>
          <w:b w:val="0"/>
          <w:bCs w:val="0"/>
        </w:rPr>
        <w:t>Erbe (</w:t>
      </w:r>
      <w:r>
        <w:rPr>
          <w:rStyle w:val="Fett"/>
          <w:b w:val="0"/>
          <w:bCs w:val="0"/>
          <w:rtl/>
        </w:rPr>
        <w:t>נַחֲלָה</w:t>
      </w:r>
      <w:r>
        <w:rPr>
          <w:rStyle w:val="Fett"/>
          <w:b w:val="0"/>
          <w:bCs w:val="0"/>
        </w:rPr>
        <w:t>) und Bundestheologie</w:t>
      </w:r>
    </w:p>
    <w:p w14:paraId="6C19CEF1" w14:textId="77777777" w:rsidR="00002F9F" w:rsidRDefault="00002F9F" w:rsidP="00002F9F">
      <w:pPr>
        <w:pStyle w:val="whitespace-normal"/>
      </w:pPr>
      <w:r>
        <w:rPr>
          <w:rtl/>
        </w:rPr>
        <w:t>נַחֲלָה</w:t>
      </w:r>
      <w:r>
        <w:t xml:space="preserve"> bezeichnet das Erbteil, das von Generation zu Generation weitergegeben wird. Das Land ist:</w:t>
      </w:r>
    </w:p>
    <w:p w14:paraId="3524EBF6" w14:textId="77777777" w:rsidR="00002F9F" w:rsidRDefault="00002F9F" w:rsidP="00002F9F">
      <w:pPr>
        <w:pStyle w:val="whitespace-normal"/>
        <w:numPr>
          <w:ilvl w:val="0"/>
          <w:numId w:val="218"/>
        </w:numPr>
      </w:pPr>
      <w:r>
        <w:rPr>
          <w:rStyle w:val="Fett"/>
        </w:rPr>
        <w:t>Erbgut JHWHs</w:t>
      </w:r>
      <w:r>
        <w:t>: Das Land gehört JHWH (Lev 25,23: "Das Land ist mein")</w:t>
      </w:r>
    </w:p>
    <w:p w14:paraId="647D124F" w14:textId="77777777" w:rsidR="00002F9F" w:rsidRDefault="00002F9F" w:rsidP="00002F9F">
      <w:pPr>
        <w:pStyle w:val="whitespace-normal"/>
        <w:numPr>
          <w:ilvl w:val="0"/>
          <w:numId w:val="218"/>
        </w:numPr>
      </w:pPr>
      <w:r>
        <w:rPr>
          <w:rStyle w:val="Fett"/>
        </w:rPr>
        <w:t>Leihgabe an Israel</w:t>
      </w:r>
      <w:r>
        <w:t>: Israel ist "Fremdling und Beisasse" bei JHWH</w:t>
      </w:r>
    </w:p>
    <w:p w14:paraId="2D3447A7" w14:textId="77777777" w:rsidR="00002F9F" w:rsidRDefault="00002F9F" w:rsidP="00002F9F">
      <w:pPr>
        <w:pStyle w:val="whitespace-normal"/>
        <w:numPr>
          <w:ilvl w:val="0"/>
          <w:numId w:val="218"/>
        </w:numPr>
      </w:pPr>
      <w:r>
        <w:rPr>
          <w:rStyle w:val="Fett"/>
        </w:rPr>
        <w:t>Unveräußerlich</w:t>
      </w:r>
      <w:r>
        <w:t>: Das Land darf nicht dauerhaft verkauft werden (Lev 25)</w:t>
      </w:r>
    </w:p>
    <w:p w14:paraId="49AD9B2C" w14:textId="77777777" w:rsidR="00002F9F" w:rsidRDefault="00002F9F" w:rsidP="00002F9F">
      <w:pPr>
        <w:pStyle w:val="whitespace-normal"/>
        <w:numPr>
          <w:ilvl w:val="0"/>
          <w:numId w:val="218"/>
        </w:numPr>
      </w:pPr>
      <w:r>
        <w:rPr>
          <w:rStyle w:val="Fett"/>
        </w:rPr>
        <w:t>Bundeszeichen</w:t>
      </w:r>
      <w:r>
        <w:t>: Landbesitz ist an Bundestreue gebunden (Dtn 28)</w:t>
      </w:r>
    </w:p>
    <w:p w14:paraId="2426C818" w14:textId="77777777" w:rsidR="00002F9F" w:rsidRDefault="00002F9F" w:rsidP="00002F9F">
      <w:pPr>
        <w:pStyle w:val="berschrift4"/>
      </w:pPr>
      <w:r>
        <w:t xml:space="preserve">d) </w:t>
      </w:r>
      <w:r>
        <w:rPr>
          <w:rStyle w:val="Fett"/>
          <w:b w:val="0"/>
          <w:bCs w:val="0"/>
        </w:rPr>
        <w:t>Spannung zwischen Verheißung und Bedingung</w:t>
      </w:r>
    </w:p>
    <w:p w14:paraId="7ED703C7" w14:textId="77777777" w:rsidR="00002F9F" w:rsidRDefault="00002F9F" w:rsidP="00002F9F">
      <w:pPr>
        <w:pStyle w:val="whitespace-normal"/>
      </w:pPr>
      <w:r>
        <w:t>Numeri 34 präsentiert die Grenzen als göttliche Festsetzung – ohne ethische Bedingungen. Doch andere Texte (besonders Deuteronomium) machen deutlich: Landbesitz ist an Gehorsam gebunden. Diese Spannung durchzieht das gesamte Alte Testament:</w:t>
      </w:r>
    </w:p>
    <w:p w14:paraId="19B8D8F0" w14:textId="77777777" w:rsidR="00002F9F" w:rsidRDefault="00002F9F" w:rsidP="00002F9F">
      <w:pPr>
        <w:pStyle w:val="whitespace-normal"/>
        <w:numPr>
          <w:ilvl w:val="0"/>
          <w:numId w:val="219"/>
        </w:numPr>
      </w:pPr>
      <w:r>
        <w:rPr>
          <w:rStyle w:val="Fett"/>
        </w:rPr>
        <w:t>Bedingungslose Verheißung</w:t>
      </w:r>
      <w:r>
        <w:t>: Gen 12,7; 15,18-21; Num 34</w:t>
      </w:r>
    </w:p>
    <w:p w14:paraId="63673B8A" w14:textId="77777777" w:rsidR="00002F9F" w:rsidRDefault="00002F9F" w:rsidP="00002F9F">
      <w:pPr>
        <w:pStyle w:val="whitespace-normal"/>
        <w:numPr>
          <w:ilvl w:val="0"/>
          <w:numId w:val="219"/>
        </w:numPr>
      </w:pPr>
      <w:r>
        <w:rPr>
          <w:rStyle w:val="Fett"/>
        </w:rPr>
        <w:t>Bedingte Landgabe</w:t>
      </w:r>
      <w:r>
        <w:t>: Dtn 28; Lev 26 (Landverlust bei Ungehorsam)</w:t>
      </w:r>
    </w:p>
    <w:p w14:paraId="0A63FA7F" w14:textId="77777777" w:rsidR="00002F9F" w:rsidRDefault="00002F9F" w:rsidP="00002F9F">
      <w:pPr>
        <w:pStyle w:val="whitespace-normal"/>
      </w:pPr>
      <w:r>
        <w:t>Die spätere Geschichte (Exil!) zeigt: Die "ewige" Landgabe war doch an Bedingungen geknüpft.</w:t>
      </w:r>
    </w:p>
    <w:p w14:paraId="388D9A0D" w14:textId="77777777" w:rsidR="00002F9F" w:rsidRDefault="00002F9F" w:rsidP="00002F9F">
      <w:pPr>
        <w:pStyle w:val="berschrift4"/>
      </w:pPr>
      <w:r>
        <w:t xml:space="preserve">e) </w:t>
      </w:r>
      <w:r>
        <w:rPr>
          <w:rStyle w:val="Fett"/>
          <w:b w:val="0"/>
          <w:bCs w:val="0"/>
        </w:rPr>
        <w:t>Exklusion und Inklusion</w:t>
      </w:r>
    </w:p>
    <w:p w14:paraId="2B5BBC3E" w14:textId="77777777" w:rsidR="00002F9F" w:rsidRDefault="00002F9F" w:rsidP="00002F9F">
      <w:pPr>
        <w:pStyle w:val="whitespace-normal"/>
      </w:pPr>
      <w:r>
        <w:t xml:space="preserve">Die präzise Grenzziehung impliziert auch: Wer ist drinnen, wer draußen? Die kanaanäische Bevölkerung wird ausgegrenzt (33,50-56), was theologisch und ethisch problematisch ist. </w:t>
      </w:r>
      <w:r>
        <w:lastRenderedPageBreak/>
        <w:t>Spätere prophetische Texte (Jes 56; Ez 47,22-23) öffnen die Landverheißung auch für "Fremde".</w:t>
      </w:r>
    </w:p>
    <w:p w14:paraId="79514FFE" w14:textId="77777777" w:rsidR="00002F9F" w:rsidRDefault="00002F9F" w:rsidP="00002F9F">
      <w:pPr>
        <w:pStyle w:val="berschrift4"/>
      </w:pPr>
      <w:r>
        <w:t xml:space="preserve">f) </w:t>
      </w:r>
      <w:r>
        <w:rPr>
          <w:rStyle w:val="Fett"/>
          <w:b w:val="0"/>
          <w:bCs w:val="0"/>
        </w:rPr>
        <w:t>Eschatologische Dimension</w:t>
      </w:r>
    </w:p>
    <w:p w14:paraId="3F76A953" w14:textId="77777777" w:rsidR="00002F9F" w:rsidRDefault="00002F9F" w:rsidP="00002F9F">
      <w:pPr>
        <w:pStyle w:val="whitespace-normal"/>
      </w:pPr>
      <w:r>
        <w:t>Die nie vollständig realisierten Grenzen von Num 34 wurden in der jüdischen und christlichen Tradition eschatologisch gedeutet:</w:t>
      </w:r>
    </w:p>
    <w:p w14:paraId="464ABE47" w14:textId="77777777" w:rsidR="00002F9F" w:rsidRDefault="00002F9F" w:rsidP="00002F9F">
      <w:pPr>
        <w:pStyle w:val="whitespace-normal"/>
        <w:numPr>
          <w:ilvl w:val="0"/>
          <w:numId w:val="220"/>
        </w:numPr>
      </w:pPr>
      <w:r>
        <w:rPr>
          <w:rStyle w:val="Fett"/>
        </w:rPr>
        <w:t>Judentum</w:t>
      </w:r>
      <w:r>
        <w:t>: Messianische Hoffnung auf vollständige Landnahme</w:t>
      </w:r>
    </w:p>
    <w:p w14:paraId="3C727D90" w14:textId="77777777" w:rsidR="00002F9F" w:rsidRDefault="00002F9F" w:rsidP="00002F9F">
      <w:pPr>
        <w:pStyle w:val="whitespace-normal"/>
        <w:numPr>
          <w:ilvl w:val="0"/>
          <w:numId w:val="220"/>
        </w:numPr>
      </w:pPr>
      <w:r>
        <w:rPr>
          <w:rStyle w:val="Fett"/>
        </w:rPr>
        <w:t>Christentum</w:t>
      </w:r>
      <w:r>
        <w:t>: Spiritualisierung (Land als "himmlisches Erbe") oder als Symbol für die universale Gottesherrschaft</w:t>
      </w:r>
    </w:p>
    <w:p w14:paraId="0F47DA01" w14:textId="77777777" w:rsidR="00002F9F" w:rsidRDefault="00002F9F" w:rsidP="00002F9F">
      <w:pPr>
        <w:pStyle w:val="berschrift4"/>
      </w:pPr>
      <w:r>
        <w:t xml:space="preserve">g) </w:t>
      </w:r>
      <w:r>
        <w:rPr>
          <w:rStyle w:val="Fett"/>
          <w:b w:val="0"/>
          <w:bCs w:val="0"/>
        </w:rPr>
        <w:t>Aktuelle hermeneutische Fragen</w:t>
      </w:r>
    </w:p>
    <w:p w14:paraId="5282FFED" w14:textId="77777777" w:rsidR="00002F9F" w:rsidRDefault="00002F9F" w:rsidP="00002F9F">
      <w:pPr>
        <w:pStyle w:val="whitespace-normal"/>
      </w:pPr>
      <w:r>
        <w:t>Die Landverheißung wirft bis heute schwierige Fragen auf:</w:t>
      </w:r>
    </w:p>
    <w:p w14:paraId="06A0FD58" w14:textId="77777777" w:rsidR="00002F9F" w:rsidRDefault="00002F9F" w:rsidP="00002F9F">
      <w:pPr>
        <w:pStyle w:val="whitespace-normal"/>
        <w:numPr>
          <w:ilvl w:val="0"/>
          <w:numId w:val="221"/>
        </w:numPr>
      </w:pPr>
      <w:r>
        <w:t>Kann ein antiker Text politische Gebietsansprüche heute legitimieren?</w:t>
      </w:r>
    </w:p>
    <w:p w14:paraId="6923CF11" w14:textId="77777777" w:rsidR="00002F9F" w:rsidRDefault="00002F9F" w:rsidP="00002F9F">
      <w:pPr>
        <w:pStyle w:val="whitespace-normal"/>
        <w:numPr>
          <w:ilvl w:val="0"/>
          <w:numId w:val="221"/>
        </w:numPr>
      </w:pPr>
      <w:r>
        <w:t>Wie verhält sich die partikulare Landverheißung zur universalen Gottesherrschaft?</w:t>
      </w:r>
    </w:p>
    <w:p w14:paraId="1DCB9E90" w14:textId="77777777" w:rsidR="00002F9F" w:rsidRDefault="00002F9F" w:rsidP="00002F9F">
      <w:pPr>
        <w:pStyle w:val="whitespace-normal"/>
        <w:numPr>
          <w:ilvl w:val="0"/>
          <w:numId w:val="221"/>
        </w:numPr>
      </w:pPr>
      <w:r>
        <w:t>Welche Rechte haben Bewohner, die seit Jahrhunderten im Land leben?</w:t>
      </w:r>
    </w:p>
    <w:p w14:paraId="0ADA1300" w14:textId="441BC511" w:rsidR="00002F9F" w:rsidRPr="00A14D4E" w:rsidRDefault="00002F9F" w:rsidP="00002F9F">
      <w:pPr>
        <w:pStyle w:val="whitespace-normal"/>
      </w:pPr>
      <w:r>
        <w:t>Die christliche Theologie hat mehrheitlich eine symbolisch-eschatologische Deutung gewählt (Hebr 11,13-16: "ein besseres, himmlisches Vaterland"), während in jüdischer Theologie Land und konkrete Verheißung untrennbar verbunden bleiben.</w:t>
      </w:r>
    </w:p>
    <w:p w14:paraId="6C8F61AA"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34,3</w:t>
      </w:r>
    </w:p>
    <w:p w14:paraId="53A29EFB"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וְהָיָ֨ה לָכֶ֧ם פְּאַת־נֶ֛גֶב מִמִּדְבַּר־צִ֖ן עַל־יְדֵ֣י אֱד֑וֹם וְהָיָ֤ה לָכֶם֙ גְּב֣וּל נֶ֔גֶב מִקְצֵ֥ה יָם־הַמֶּ֖לַח קֵֽדְמָה׃</w:t>
      </w:r>
    </w:p>
    <w:p w14:paraId="20B9F680"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es soll euch die Südseite sein von der Wüste Zin an der Seite Edoms, und es soll euch die südliche Grenze sein vom Ende des Salzmeeres nach Osten.</w:t>
      </w:r>
    </w:p>
    <w:p w14:paraId="193254E2"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227F92E4">
          <v:rect id="_x0000_i2042" style="width:0;height:1.5pt" o:hralign="center" o:hrstd="t" o:hr="t" fillcolor="#a0a0a0" stroked="f"/>
        </w:pict>
      </w:r>
    </w:p>
    <w:p w14:paraId="3AEF2769" w14:textId="4879ACBC"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beginnt die Beschreibung der Südgrenze. </w:t>
      </w:r>
      <w:r w:rsidRPr="003A0485">
        <w:rPr>
          <w:rFonts w:eastAsia="Times New Roman" w:cs="Times New Roman"/>
          <w:b/>
          <w:bCs/>
          <w:rtl/>
          <w:lang w:eastAsia="de-DE"/>
        </w:rPr>
        <w:t>וְהָיָה לָכֶם פְּאַת־נֶגֶב מִמִּדְבַּר־צִן עַל־יְדֵי אֱדוֹם</w:t>
      </w:r>
      <w:r w:rsidRPr="003A0485">
        <w:rPr>
          <w:rFonts w:eastAsia="Times New Roman" w:cs="Times New Roman"/>
          <w:rtl/>
          <w:lang w:eastAsia="de-DE"/>
        </w:rPr>
        <w:t xml:space="preserve"> </w:t>
      </w:r>
      <w:r w:rsidRPr="003A0485">
        <w:rPr>
          <w:rFonts w:eastAsia="Times New Roman" w:cs="Times New Roman"/>
          <w:lang w:eastAsia="de-DE"/>
        </w:rPr>
        <w:t xml:space="preserve">gibt den westlichen Ausgangspunkt. </w:t>
      </w:r>
      <w:r w:rsidRPr="003A0485">
        <w:rPr>
          <w:rFonts w:eastAsia="Times New Roman" w:cs="Times New Roman"/>
          <w:b/>
          <w:bCs/>
          <w:rtl/>
          <w:lang w:eastAsia="de-DE"/>
        </w:rPr>
        <w:t>וְהָיָה לָכֶם</w:t>
      </w:r>
      <w:r w:rsidRPr="003A0485">
        <w:rPr>
          <w:rFonts w:eastAsia="Times New Roman" w:cs="Times New Roman"/>
          <w:rtl/>
          <w:lang w:eastAsia="de-DE"/>
        </w:rPr>
        <w:t xml:space="preserve"> </w:t>
      </w:r>
      <w:r w:rsidRPr="003A0485">
        <w:rPr>
          <w:rFonts w:eastAsia="Times New Roman" w:cs="Times New Roman"/>
          <w:lang w:eastAsia="de-DE"/>
        </w:rPr>
        <w:t xml:space="preserve">(Qal Perfekt 3. Person maskulin Singular mit Waw consecutivum von </w:t>
      </w:r>
      <w:r w:rsidRPr="003A0485">
        <w:rPr>
          <w:rFonts w:eastAsia="Times New Roman" w:cs="Times New Roman"/>
          <w:b/>
          <w:bCs/>
          <w:rtl/>
          <w:lang w:eastAsia="de-DE"/>
        </w:rPr>
        <w:t>היה</w:t>
      </w:r>
      <w:r w:rsidRPr="003A0485">
        <w:rPr>
          <w:rFonts w:eastAsia="Times New Roman" w:cs="Times New Roman"/>
          <w:rtl/>
          <w:lang w:eastAsia="de-DE"/>
        </w:rPr>
        <w:t xml:space="preserve"> </w:t>
      </w:r>
      <w:r w:rsidRPr="003A0485">
        <w:rPr>
          <w:rFonts w:eastAsia="Times New Roman" w:cs="Times New Roman"/>
          <w:lang w:eastAsia="de-DE"/>
        </w:rPr>
        <w:t xml:space="preserve">„sein" mit Dativ „und es soll euch sein"), </w:t>
      </w:r>
      <w:r w:rsidRPr="003A0485">
        <w:rPr>
          <w:rFonts w:eastAsia="Times New Roman" w:cs="Times New Roman"/>
          <w:b/>
          <w:bCs/>
          <w:rtl/>
          <w:lang w:eastAsia="de-DE"/>
        </w:rPr>
        <w:t>פְּאַת־נֶגֶב</w:t>
      </w:r>
      <w:r w:rsidRPr="003A0485">
        <w:rPr>
          <w:rFonts w:eastAsia="Times New Roman" w:cs="Times New Roman"/>
          <w:rtl/>
          <w:lang w:eastAsia="de-DE"/>
        </w:rPr>
        <w:t xml:space="preserve"> </w:t>
      </w:r>
      <w:r w:rsidRPr="003A0485">
        <w:rPr>
          <w:rFonts w:eastAsia="Times New Roman" w:cs="Times New Roman"/>
          <w:lang w:eastAsia="de-DE"/>
        </w:rPr>
        <w:t>(</w:t>
      </w:r>
      <w:r w:rsidR="00B513FF">
        <w:rPr>
          <w:rFonts w:eastAsia="Times New Roman" w:cs="Times New Roman"/>
          <w:lang w:eastAsia="de-DE"/>
        </w:rPr>
        <w:t xml:space="preserve">Constructus </w:t>
      </w:r>
      <w:r w:rsidRPr="003A0485">
        <w:rPr>
          <w:rFonts w:eastAsia="Times New Roman" w:cs="Times New Roman"/>
          <w:lang w:eastAsia="de-DE"/>
        </w:rPr>
        <w:t xml:space="preserve">verbindung: </w:t>
      </w:r>
      <w:r w:rsidRPr="003A0485">
        <w:rPr>
          <w:rFonts w:eastAsia="Times New Roman" w:cs="Times New Roman"/>
          <w:b/>
          <w:bCs/>
          <w:rtl/>
          <w:lang w:eastAsia="de-DE"/>
        </w:rPr>
        <w:t>פֵּאָה</w:t>
      </w:r>
      <w:r w:rsidRPr="003A0485">
        <w:rPr>
          <w:rFonts w:eastAsia="Times New Roman" w:cs="Times New Roman"/>
          <w:rtl/>
          <w:lang w:eastAsia="de-DE"/>
        </w:rPr>
        <w:t xml:space="preserve"> </w:t>
      </w:r>
      <w:r w:rsidRPr="003A0485">
        <w:rPr>
          <w:rFonts w:eastAsia="Times New Roman" w:cs="Times New Roman"/>
          <w:lang w:eastAsia="de-DE"/>
        </w:rPr>
        <w:t xml:space="preserve">„Ecke, Seite" mit </w:t>
      </w:r>
      <w:r w:rsidRPr="003A0485">
        <w:rPr>
          <w:rFonts w:eastAsia="Times New Roman" w:cs="Times New Roman"/>
          <w:b/>
          <w:bCs/>
          <w:rtl/>
          <w:lang w:eastAsia="de-DE"/>
        </w:rPr>
        <w:t>נֶגֶב</w:t>
      </w:r>
      <w:r w:rsidRPr="003A0485">
        <w:rPr>
          <w:rFonts w:eastAsia="Times New Roman" w:cs="Times New Roman"/>
          <w:rtl/>
          <w:lang w:eastAsia="de-DE"/>
        </w:rPr>
        <w:t xml:space="preserve"> </w:t>
      </w:r>
      <w:r w:rsidRPr="003A0485">
        <w:rPr>
          <w:rFonts w:eastAsia="Times New Roman" w:cs="Times New Roman"/>
          <w:lang w:eastAsia="de-DE"/>
        </w:rPr>
        <w:t xml:space="preserve">„Süden, Südland" „die Südseite"), </w:t>
      </w:r>
      <w:r w:rsidRPr="003A0485">
        <w:rPr>
          <w:rFonts w:eastAsia="Times New Roman" w:cs="Times New Roman"/>
          <w:b/>
          <w:bCs/>
          <w:rtl/>
          <w:lang w:eastAsia="de-DE"/>
        </w:rPr>
        <w:t>מִמִּדְבַּר־צִן</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מִדְבָּר צִן</w:t>
      </w:r>
      <w:r w:rsidRPr="003A0485">
        <w:rPr>
          <w:rFonts w:eastAsia="Times New Roman" w:cs="Times New Roman"/>
          <w:rtl/>
          <w:lang w:eastAsia="de-DE"/>
        </w:rPr>
        <w:t xml:space="preserve"> </w:t>
      </w:r>
      <w:r w:rsidRPr="003A0485">
        <w:rPr>
          <w:rFonts w:eastAsia="Times New Roman" w:cs="Times New Roman"/>
          <w:lang w:eastAsia="de-DE"/>
        </w:rPr>
        <w:t xml:space="preserve">„von der Wüste Zin"), </w:t>
      </w:r>
      <w:r w:rsidRPr="003A0485">
        <w:rPr>
          <w:rFonts w:eastAsia="Times New Roman" w:cs="Times New Roman"/>
          <w:b/>
          <w:bCs/>
          <w:rtl/>
          <w:lang w:eastAsia="de-DE"/>
        </w:rPr>
        <w:t>עַל־יְדֵי אֱדוֹם</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עַל</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יָד</w:t>
      </w:r>
      <w:r w:rsidRPr="003A0485">
        <w:rPr>
          <w:rFonts w:eastAsia="Times New Roman" w:cs="Times New Roman"/>
          <w:rtl/>
          <w:lang w:eastAsia="de-DE"/>
        </w:rPr>
        <w:t xml:space="preserve"> </w:t>
      </w:r>
      <w:r w:rsidRPr="003A0485">
        <w:rPr>
          <w:rFonts w:eastAsia="Times New Roman" w:cs="Times New Roman"/>
          <w:lang w:eastAsia="de-DE"/>
        </w:rPr>
        <w:t xml:space="preserve">„Hand" Plural im </w:t>
      </w:r>
      <w:r w:rsidR="00B513FF">
        <w:rPr>
          <w:rFonts w:eastAsia="Times New Roman" w:cs="Times New Roman"/>
          <w:lang w:eastAsia="de-DE"/>
        </w:rPr>
        <w:t xml:space="preserve">Constructus </w:t>
      </w:r>
      <w:r w:rsidRPr="003A0485">
        <w:rPr>
          <w:rFonts w:eastAsia="Times New Roman" w:cs="Times New Roman"/>
          <w:lang w:eastAsia="de-DE"/>
        </w:rPr>
        <w:t xml:space="preserve">- idiomatisch „an der Seite von" - und </w:t>
      </w:r>
      <w:r w:rsidRPr="003A0485">
        <w:rPr>
          <w:rFonts w:eastAsia="Times New Roman" w:cs="Times New Roman"/>
          <w:b/>
          <w:bCs/>
          <w:rtl/>
          <w:lang w:eastAsia="de-DE"/>
        </w:rPr>
        <w:t>אֱדוֹם</w:t>
      </w:r>
      <w:r w:rsidRPr="003A0485">
        <w:rPr>
          <w:rFonts w:eastAsia="Times New Roman" w:cs="Times New Roman"/>
          <w:rtl/>
          <w:lang w:eastAsia="de-DE"/>
        </w:rPr>
        <w:t xml:space="preserve"> </w:t>
      </w:r>
      <w:r w:rsidRPr="003A0485">
        <w:rPr>
          <w:rFonts w:eastAsia="Times New Roman" w:cs="Times New Roman"/>
          <w:lang w:eastAsia="de-DE"/>
        </w:rPr>
        <w:t>„Edom"). Die Wüste Zin liegt südlich von Kanaan an der Grenze zu Edom.</w:t>
      </w:r>
    </w:p>
    <w:p w14:paraId="03C7C1A9" w14:textId="4C82B514" w:rsidR="003A0485" w:rsidRPr="003A0485" w:rsidRDefault="003A0485" w:rsidP="000F1E25">
      <w:pPr>
        <w:spacing w:before="100" w:beforeAutospacing="1" w:after="100" w:afterAutospacing="1" w:line="240" w:lineRule="auto"/>
        <w:rPr>
          <w:rFonts w:eastAsia="Times New Roman" w:cs="Times New Roman"/>
          <w:lang w:eastAsia="de-DE"/>
        </w:rPr>
      </w:pPr>
      <w:r w:rsidRPr="003A0485">
        <w:rPr>
          <w:rFonts w:eastAsia="Times New Roman" w:cs="Times New Roman"/>
          <w:b/>
          <w:bCs/>
          <w:rtl/>
          <w:lang w:eastAsia="de-DE"/>
        </w:rPr>
        <w:t>וְהָיָה לָכֶם גְּבוּל נֶגֶב מִקְצֵה יָם־הַמֶּלַח קֵדְמָה</w:t>
      </w:r>
      <w:r w:rsidRPr="003A0485">
        <w:rPr>
          <w:rFonts w:eastAsia="Times New Roman" w:cs="Times New Roman"/>
          <w:rtl/>
          <w:lang w:eastAsia="de-DE"/>
        </w:rPr>
        <w:t xml:space="preserve"> </w:t>
      </w:r>
      <w:r w:rsidRPr="003A0485">
        <w:rPr>
          <w:rFonts w:eastAsia="Times New Roman" w:cs="Times New Roman"/>
          <w:lang w:eastAsia="de-DE"/>
        </w:rPr>
        <w:t xml:space="preserve">gibt den östlichen Ausgangspunkt. </w:t>
      </w:r>
      <w:r w:rsidRPr="003A0485">
        <w:rPr>
          <w:rFonts w:eastAsia="Times New Roman" w:cs="Times New Roman"/>
          <w:b/>
          <w:bCs/>
          <w:rtl/>
          <w:lang w:eastAsia="de-DE"/>
        </w:rPr>
        <w:t>גְּבוּל נֶגֶב</w:t>
      </w:r>
      <w:r w:rsidRPr="003A0485">
        <w:rPr>
          <w:rFonts w:eastAsia="Times New Roman" w:cs="Times New Roman"/>
          <w:rtl/>
          <w:lang w:eastAsia="de-DE"/>
        </w:rPr>
        <w:t xml:space="preserve"> </w:t>
      </w:r>
      <w:r w:rsidRPr="003A0485">
        <w:rPr>
          <w:rFonts w:eastAsia="Times New Roman" w:cs="Times New Roman"/>
          <w:lang w:eastAsia="de-DE"/>
        </w:rPr>
        <w:t>(</w:t>
      </w:r>
      <w:r w:rsidR="00B513FF">
        <w:rPr>
          <w:rFonts w:eastAsia="Times New Roman" w:cs="Times New Roman"/>
          <w:lang w:eastAsia="de-DE"/>
        </w:rPr>
        <w:t>Constructus</w:t>
      </w:r>
      <w:r w:rsidR="000F1E25">
        <w:rPr>
          <w:rFonts w:eastAsia="Times New Roman" w:cs="Times New Roman"/>
          <w:lang w:eastAsia="de-DE"/>
        </w:rPr>
        <w:t>-</w:t>
      </w:r>
      <w:r w:rsidR="00B513FF">
        <w:rPr>
          <w:rFonts w:eastAsia="Times New Roman" w:cs="Times New Roman"/>
          <w:lang w:eastAsia="de-DE"/>
        </w:rPr>
        <w:t xml:space="preserve"> </w:t>
      </w:r>
      <w:r w:rsidR="000F1E25">
        <w:rPr>
          <w:rFonts w:eastAsia="Times New Roman" w:cs="Times New Roman"/>
          <w:lang w:eastAsia="de-DE"/>
        </w:rPr>
        <w:t>V</w:t>
      </w:r>
      <w:r w:rsidRPr="003A0485">
        <w:rPr>
          <w:rFonts w:eastAsia="Times New Roman" w:cs="Times New Roman"/>
          <w:lang w:eastAsia="de-DE"/>
        </w:rPr>
        <w:t xml:space="preserve">erbindung „die südliche Grenze"), </w:t>
      </w:r>
      <w:r w:rsidRPr="003A0485">
        <w:rPr>
          <w:rFonts w:eastAsia="Times New Roman" w:cs="Times New Roman"/>
          <w:b/>
          <w:bCs/>
          <w:rtl/>
          <w:lang w:eastAsia="de-DE"/>
        </w:rPr>
        <w:t>מִקְצֵה יָם־הַמֶּלַח</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קָצֶה</w:t>
      </w:r>
      <w:r w:rsidRPr="003A0485">
        <w:rPr>
          <w:rFonts w:eastAsia="Times New Roman" w:cs="Times New Roman"/>
          <w:rtl/>
          <w:lang w:eastAsia="de-DE"/>
        </w:rPr>
        <w:t xml:space="preserve"> </w:t>
      </w:r>
      <w:r w:rsidRPr="003A0485">
        <w:rPr>
          <w:rFonts w:eastAsia="Times New Roman" w:cs="Times New Roman"/>
          <w:lang w:eastAsia="de-DE"/>
        </w:rPr>
        <w:t xml:space="preserve">„Ende, Rand" im </w:t>
      </w:r>
      <w:r w:rsidR="00E031B3">
        <w:rPr>
          <w:rFonts w:eastAsia="Times New Roman" w:cs="Times New Roman"/>
          <w:lang w:eastAsia="de-DE"/>
        </w:rPr>
        <w:t>Constructus und</w:t>
      </w:r>
      <w:r w:rsidRPr="003A0485">
        <w:rPr>
          <w:rFonts w:eastAsia="Times New Roman" w:cs="Times New Roman"/>
          <w:lang w:eastAsia="de-DE"/>
        </w:rPr>
        <w:t xml:space="preserve"> </w:t>
      </w:r>
      <w:r w:rsidRPr="003A0485">
        <w:rPr>
          <w:rFonts w:eastAsia="Times New Roman" w:cs="Times New Roman"/>
          <w:b/>
          <w:bCs/>
          <w:rtl/>
          <w:lang w:eastAsia="de-DE"/>
        </w:rPr>
        <w:t>יָם־הַמֶּלַח</w:t>
      </w:r>
      <w:r w:rsidRPr="003A0485">
        <w:rPr>
          <w:rFonts w:eastAsia="Times New Roman" w:cs="Times New Roman"/>
          <w:rtl/>
          <w:lang w:eastAsia="de-DE"/>
        </w:rPr>
        <w:t xml:space="preserve"> </w:t>
      </w:r>
      <w:r w:rsidRPr="003A0485">
        <w:rPr>
          <w:rFonts w:eastAsia="Times New Roman" w:cs="Times New Roman"/>
          <w:lang w:eastAsia="de-DE"/>
        </w:rPr>
        <w:t xml:space="preserve">„Salzmeer" = Totes Meer „vom Ende des Salzmeeres"), </w:t>
      </w:r>
      <w:r w:rsidRPr="003A0485">
        <w:rPr>
          <w:rFonts w:eastAsia="Times New Roman" w:cs="Times New Roman"/>
          <w:b/>
          <w:bCs/>
          <w:rtl/>
          <w:lang w:eastAsia="de-DE"/>
        </w:rPr>
        <w:t>קֵדְמָה</w:t>
      </w:r>
      <w:r w:rsidRPr="003A0485">
        <w:rPr>
          <w:rFonts w:eastAsia="Times New Roman" w:cs="Times New Roman"/>
          <w:rtl/>
          <w:lang w:eastAsia="de-DE"/>
        </w:rPr>
        <w:t xml:space="preserve"> </w:t>
      </w:r>
      <w:r w:rsidRPr="003A0485">
        <w:rPr>
          <w:rFonts w:eastAsia="Times New Roman" w:cs="Times New Roman"/>
          <w:lang w:eastAsia="de-DE"/>
        </w:rPr>
        <w:t>(Richtungsadverb „ostwärts, nach Osten"). Die Südgrenze beginnt also am Südostende des Toten Meeres.</w:t>
      </w:r>
    </w:p>
    <w:p w14:paraId="215D340F" w14:textId="513F3F53"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lastRenderedPageBreak/>
        <w:t>Die LXX</w:t>
      </w:r>
      <w:r w:rsidRPr="003A0485">
        <w:rPr>
          <w:rFonts w:eastAsia="Times New Roman" w:cs="Times New Roman"/>
          <w:lang w:eastAsia="de-DE"/>
        </w:rPr>
        <w:t xml:space="preserve"> </w:t>
      </w:r>
      <w:r w:rsidR="003B1435">
        <w:t>übersetzt „</w:t>
      </w:r>
      <w:r w:rsidR="003B1435" w:rsidRPr="003B1435">
        <w:rPr>
          <w:b/>
          <w:bCs/>
          <w:rtl/>
        </w:rPr>
        <w:t>פְּאַת־נֶגֶב</w:t>
      </w:r>
      <w:r w:rsidR="003B1435">
        <w:t>" (die Südseite) mit „τὸ κλίτος τὸ πρὸς λίβα" (die Seite nach Südwesten), wobei „λίβα" spezifisch Südwesten bezeichnet.</w:t>
      </w:r>
    </w:p>
    <w:p w14:paraId="0FA2D7C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 xml:space="preserve">Die Satzstruktur zeigt zwei parallele Aussagen mit </w:t>
      </w:r>
      <w:r w:rsidRPr="003A0485">
        <w:rPr>
          <w:rFonts w:eastAsia="Times New Roman" w:cs="Times New Roman"/>
          <w:b/>
          <w:bCs/>
          <w:rtl/>
          <w:lang w:eastAsia="de-DE"/>
        </w:rPr>
        <w:t>וְהָיָה לָכֶם</w:t>
      </w:r>
      <w:r w:rsidRPr="003A0485">
        <w:rPr>
          <w:rFonts w:eastAsia="Times New Roman" w:cs="Times New Roman"/>
          <w:lang w:eastAsia="de-DE"/>
        </w:rPr>
        <w:t>, die den westlichen und östlichen Bezugspunkt der Südgrenze angeben.</w:t>
      </w:r>
    </w:p>
    <w:p w14:paraId="753BB258"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definiert die Südgrenze von Ost nach West: beginnend am Südende des Toten Meeres, verlaufend durch die Wüste Zin entlang Edoms Grenze.</w:t>
      </w:r>
    </w:p>
    <w:p w14:paraId="0E35D2C2"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34,4</w:t>
      </w:r>
    </w:p>
    <w:p w14:paraId="41E30876"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וְנָסַ֣ב לָכֶם֩ הַגְּב֨וּל מִנֶּ֜גֶב לְמַעֲלֵ֤ה עַקְרַבִּים֙ וְעָ֣בַר צִ֔נָה וְהָיָה֙ תּֽוֹצְאֹתָ֔יו מִנֶּ֖גֶב לְקָדֵ֣שׁ בַּרְנֵ֑עַ וְיָצָ֥א חֲצַר־אַדָּ֖ר וְעָבַ֥ר עַצְמֹֽנָה׃</w:t>
      </w:r>
    </w:p>
    <w:p w14:paraId="3DC8623F"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es soll sich euch die Grenze wenden südlich vom Aufstieg Akravvim und hinübergehen nach Zin, und es sollen ihre Ausgänge sein südlich von Kadesch-Barnea; und sie soll hinausgehen nach Chazar-Addar und hinübergehen nach Azmon.</w:t>
      </w:r>
    </w:p>
    <w:p w14:paraId="4B6DDA63"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13330980">
          <v:rect id="_x0000_i2043" style="width:0;height:1.5pt" o:hralign="center" o:hrstd="t" o:hr="t" fillcolor="#a0a0a0" stroked="f"/>
        </w:pict>
      </w:r>
    </w:p>
    <w:p w14:paraId="505FD717" w14:textId="442F720A"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beschreibt den Verlauf der Südgrenze nach Westen. </w:t>
      </w:r>
      <w:r w:rsidRPr="003A0485">
        <w:rPr>
          <w:rFonts w:eastAsia="Times New Roman" w:cs="Times New Roman"/>
          <w:b/>
          <w:bCs/>
          <w:rtl/>
          <w:lang w:eastAsia="de-DE"/>
        </w:rPr>
        <w:t>וְנָסַב לָכֶם הַגְּבוּל מִנֶּגֶב לְמַעֲלֵה עַקְרַבִּים</w:t>
      </w:r>
      <w:r w:rsidRPr="003A0485">
        <w:rPr>
          <w:rFonts w:eastAsia="Times New Roman" w:cs="Times New Roman"/>
          <w:rtl/>
          <w:lang w:eastAsia="de-DE"/>
        </w:rPr>
        <w:t xml:space="preserve"> </w:t>
      </w:r>
      <w:r w:rsidRPr="003A0485">
        <w:rPr>
          <w:rFonts w:eastAsia="Times New Roman" w:cs="Times New Roman"/>
          <w:lang w:eastAsia="de-DE"/>
        </w:rPr>
        <w:t xml:space="preserve">zeigt die erste Wendung. </w:t>
      </w:r>
      <w:r w:rsidRPr="003A0485">
        <w:rPr>
          <w:rFonts w:eastAsia="Times New Roman" w:cs="Times New Roman"/>
          <w:b/>
          <w:bCs/>
          <w:rtl/>
          <w:lang w:eastAsia="de-DE"/>
        </w:rPr>
        <w:t>וְנָסַב</w:t>
      </w:r>
      <w:r w:rsidRPr="003A0485">
        <w:rPr>
          <w:rFonts w:eastAsia="Times New Roman" w:cs="Times New Roman"/>
          <w:rtl/>
          <w:lang w:eastAsia="de-DE"/>
        </w:rPr>
        <w:t xml:space="preserve"> </w:t>
      </w:r>
      <w:r w:rsidRPr="003A0485">
        <w:rPr>
          <w:rFonts w:eastAsia="Times New Roman" w:cs="Times New Roman"/>
          <w:lang w:eastAsia="de-DE"/>
        </w:rPr>
        <w:t xml:space="preserve">(Qal Perfekt 3. Person maskulin Singular mit Waw consecutivum von </w:t>
      </w:r>
      <w:r w:rsidRPr="003A0485">
        <w:rPr>
          <w:rFonts w:eastAsia="Times New Roman" w:cs="Times New Roman"/>
          <w:b/>
          <w:bCs/>
          <w:rtl/>
          <w:lang w:eastAsia="de-DE"/>
        </w:rPr>
        <w:t>סבב</w:t>
      </w:r>
      <w:r w:rsidRPr="003A0485">
        <w:rPr>
          <w:rFonts w:eastAsia="Times New Roman" w:cs="Times New Roman"/>
          <w:rtl/>
          <w:lang w:eastAsia="de-DE"/>
        </w:rPr>
        <w:t xml:space="preserve"> </w:t>
      </w:r>
      <w:r w:rsidRPr="003A0485">
        <w:rPr>
          <w:rFonts w:eastAsia="Times New Roman" w:cs="Times New Roman"/>
          <w:lang w:eastAsia="de-DE"/>
        </w:rPr>
        <w:t xml:space="preserve">„sich wenden, sich drehen"), </w:t>
      </w:r>
      <w:r w:rsidRPr="003A0485">
        <w:rPr>
          <w:rFonts w:eastAsia="Times New Roman" w:cs="Times New Roman"/>
          <w:b/>
          <w:bCs/>
          <w:rtl/>
          <w:lang w:eastAsia="de-DE"/>
        </w:rPr>
        <w:t>לָכֶם</w:t>
      </w:r>
      <w:r w:rsidRPr="003A0485">
        <w:rPr>
          <w:rFonts w:eastAsia="Times New Roman" w:cs="Times New Roman"/>
          <w:rtl/>
          <w:lang w:eastAsia="de-DE"/>
        </w:rPr>
        <w:t xml:space="preserve"> </w:t>
      </w:r>
      <w:r w:rsidRPr="003A0485">
        <w:rPr>
          <w:rFonts w:eastAsia="Times New Roman" w:cs="Times New Roman"/>
          <w:lang w:eastAsia="de-DE"/>
        </w:rPr>
        <w:t xml:space="preserve">(ethischer Dativ „für euch"), </w:t>
      </w:r>
      <w:r w:rsidRPr="003A0485">
        <w:rPr>
          <w:rFonts w:eastAsia="Times New Roman" w:cs="Times New Roman"/>
          <w:b/>
          <w:bCs/>
          <w:rtl/>
          <w:lang w:eastAsia="de-DE"/>
        </w:rPr>
        <w:t>הַגְּבוּל</w:t>
      </w:r>
      <w:r w:rsidRPr="003A0485">
        <w:rPr>
          <w:rFonts w:eastAsia="Times New Roman" w:cs="Times New Roman"/>
          <w:rtl/>
          <w:lang w:eastAsia="de-DE"/>
        </w:rPr>
        <w:t xml:space="preserve"> </w:t>
      </w:r>
      <w:r w:rsidRPr="003A0485">
        <w:rPr>
          <w:rFonts w:eastAsia="Times New Roman" w:cs="Times New Roman"/>
          <w:lang w:eastAsia="de-DE"/>
        </w:rPr>
        <w:t xml:space="preserve">(Subjekt mit Artikel „die Grenze"), </w:t>
      </w:r>
      <w:r w:rsidRPr="003A0485">
        <w:rPr>
          <w:rFonts w:eastAsia="Times New Roman" w:cs="Times New Roman"/>
          <w:b/>
          <w:bCs/>
          <w:rtl/>
          <w:lang w:eastAsia="de-DE"/>
        </w:rPr>
        <w:t>מִנֶּגֶב</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נֶגֶב</w:t>
      </w:r>
      <w:r w:rsidRPr="003A0485">
        <w:rPr>
          <w:rFonts w:eastAsia="Times New Roman" w:cs="Times New Roman"/>
          <w:rtl/>
          <w:lang w:eastAsia="de-DE"/>
        </w:rPr>
        <w:t xml:space="preserve"> </w:t>
      </w:r>
      <w:r w:rsidRPr="003A0485">
        <w:rPr>
          <w:rFonts w:eastAsia="Times New Roman" w:cs="Times New Roman"/>
          <w:lang w:eastAsia="de-DE"/>
        </w:rPr>
        <w:t xml:space="preserve">„vom Süden, südlich"), </w:t>
      </w:r>
      <w:r w:rsidRPr="003A0485">
        <w:rPr>
          <w:rFonts w:eastAsia="Times New Roman" w:cs="Times New Roman"/>
          <w:b/>
          <w:bCs/>
          <w:rtl/>
          <w:lang w:eastAsia="de-DE"/>
        </w:rPr>
        <w:t>לְמַעֲלֵה עַקְרַבִּים</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מַעֲלֶה</w:t>
      </w:r>
      <w:r w:rsidRPr="003A0485">
        <w:rPr>
          <w:rFonts w:eastAsia="Times New Roman" w:cs="Times New Roman"/>
          <w:rtl/>
          <w:lang w:eastAsia="de-DE"/>
        </w:rPr>
        <w:t xml:space="preserve"> </w:t>
      </w:r>
      <w:r w:rsidRPr="003A0485">
        <w:rPr>
          <w:rFonts w:eastAsia="Times New Roman" w:cs="Times New Roman"/>
          <w:lang w:eastAsia="de-DE"/>
        </w:rPr>
        <w:t xml:space="preserve">„Aufstieg" im </w:t>
      </w:r>
      <w:r w:rsidR="00E031B3">
        <w:rPr>
          <w:rFonts w:eastAsia="Times New Roman" w:cs="Times New Roman"/>
          <w:lang w:eastAsia="de-DE"/>
        </w:rPr>
        <w:t>Constructus und</w:t>
      </w:r>
      <w:r w:rsidRPr="003A0485">
        <w:rPr>
          <w:rFonts w:eastAsia="Times New Roman" w:cs="Times New Roman"/>
          <w:lang w:eastAsia="de-DE"/>
        </w:rPr>
        <w:t xml:space="preserve"> </w:t>
      </w:r>
      <w:r w:rsidRPr="003A0485">
        <w:rPr>
          <w:rFonts w:eastAsia="Times New Roman" w:cs="Times New Roman"/>
          <w:b/>
          <w:bCs/>
          <w:rtl/>
          <w:lang w:eastAsia="de-DE"/>
        </w:rPr>
        <w:t>עַקְרַבִּים</w:t>
      </w:r>
      <w:r w:rsidRPr="003A0485">
        <w:rPr>
          <w:rFonts w:eastAsia="Times New Roman" w:cs="Times New Roman"/>
          <w:rtl/>
          <w:lang w:eastAsia="de-DE"/>
        </w:rPr>
        <w:t xml:space="preserve"> </w:t>
      </w:r>
      <w:r w:rsidRPr="003A0485">
        <w:rPr>
          <w:rFonts w:eastAsia="Times New Roman" w:cs="Times New Roman"/>
          <w:lang w:eastAsia="de-DE"/>
        </w:rPr>
        <w:t xml:space="preserve">Plural von </w:t>
      </w:r>
      <w:r w:rsidRPr="003A0485">
        <w:rPr>
          <w:rFonts w:eastAsia="Times New Roman" w:cs="Times New Roman"/>
          <w:b/>
          <w:bCs/>
          <w:rtl/>
          <w:lang w:eastAsia="de-DE"/>
        </w:rPr>
        <w:t>עַקְרָב</w:t>
      </w:r>
      <w:r w:rsidRPr="003A0485">
        <w:rPr>
          <w:rFonts w:eastAsia="Times New Roman" w:cs="Times New Roman"/>
          <w:rtl/>
          <w:lang w:eastAsia="de-DE"/>
        </w:rPr>
        <w:t xml:space="preserve"> </w:t>
      </w:r>
      <w:r w:rsidRPr="003A0485">
        <w:rPr>
          <w:rFonts w:eastAsia="Times New Roman" w:cs="Times New Roman"/>
          <w:lang w:eastAsia="de-DE"/>
        </w:rPr>
        <w:t>„Skorpion" „zum Skorpionen-Aufstieg" = Ma'ale Akrabbim, ein Gebirgspass).</w:t>
      </w:r>
    </w:p>
    <w:p w14:paraId="07CB600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rtl/>
          <w:lang w:eastAsia="de-DE"/>
        </w:rPr>
        <w:t>וְעָבַר צִנָה וְהָיָה תּוֹצְאֹתָיו מִנֶּגֶב לְקָדֵשׁ בַּרְנֵעַ</w:t>
      </w:r>
      <w:r w:rsidRPr="003A0485">
        <w:rPr>
          <w:rFonts w:eastAsia="Times New Roman" w:cs="Times New Roman"/>
          <w:rtl/>
          <w:lang w:eastAsia="de-DE"/>
        </w:rPr>
        <w:t xml:space="preserve"> </w:t>
      </w:r>
      <w:r w:rsidRPr="003A0485">
        <w:rPr>
          <w:rFonts w:eastAsia="Times New Roman" w:cs="Times New Roman"/>
          <w:lang w:eastAsia="de-DE"/>
        </w:rPr>
        <w:t xml:space="preserve">setzt den Verlauf fort. </w:t>
      </w:r>
      <w:r w:rsidRPr="003A0485">
        <w:rPr>
          <w:rFonts w:eastAsia="Times New Roman" w:cs="Times New Roman"/>
          <w:b/>
          <w:bCs/>
          <w:rtl/>
          <w:lang w:eastAsia="de-DE"/>
        </w:rPr>
        <w:t>וְעָבַר</w:t>
      </w:r>
      <w:r w:rsidRPr="003A0485">
        <w:rPr>
          <w:rFonts w:eastAsia="Times New Roman" w:cs="Times New Roman"/>
          <w:rtl/>
          <w:lang w:eastAsia="de-DE"/>
        </w:rPr>
        <w:t xml:space="preserve"> </w:t>
      </w:r>
      <w:r w:rsidRPr="003A0485">
        <w:rPr>
          <w:rFonts w:eastAsia="Times New Roman" w:cs="Times New Roman"/>
          <w:lang w:eastAsia="de-DE"/>
        </w:rPr>
        <w:t xml:space="preserve">(Qal Perfekt 3. Person maskulin Singular mit Waw consecutivum von </w:t>
      </w:r>
      <w:r w:rsidRPr="003A0485">
        <w:rPr>
          <w:rFonts w:eastAsia="Times New Roman" w:cs="Times New Roman"/>
          <w:b/>
          <w:bCs/>
          <w:rtl/>
          <w:lang w:eastAsia="de-DE"/>
        </w:rPr>
        <w:t>עבר</w:t>
      </w:r>
      <w:r w:rsidRPr="003A0485">
        <w:rPr>
          <w:rFonts w:eastAsia="Times New Roman" w:cs="Times New Roman"/>
          <w:rtl/>
          <w:lang w:eastAsia="de-DE"/>
        </w:rPr>
        <w:t xml:space="preserve"> </w:t>
      </w:r>
      <w:r w:rsidRPr="003A0485">
        <w:rPr>
          <w:rFonts w:eastAsia="Times New Roman" w:cs="Times New Roman"/>
          <w:lang w:eastAsia="de-DE"/>
        </w:rPr>
        <w:t xml:space="preserve">„hinübergehen, durchziehen"), </w:t>
      </w:r>
      <w:r w:rsidRPr="003A0485">
        <w:rPr>
          <w:rFonts w:eastAsia="Times New Roman" w:cs="Times New Roman"/>
          <w:b/>
          <w:bCs/>
          <w:rtl/>
          <w:lang w:eastAsia="de-DE"/>
        </w:rPr>
        <w:t>צִנָה</w:t>
      </w:r>
      <w:r w:rsidRPr="003A0485">
        <w:rPr>
          <w:rFonts w:eastAsia="Times New Roman" w:cs="Times New Roman"/>
          <w:rtl/>
          <w:lang w:eastAsia="de-DE"/>
        </w:rPr>
        <w:t xml:space="preserve"> </w:t>
      </w:r>
      <w:r w:rsidRPr="003A0485">
        <w:rPr>
          <w:rFonts w:eastAsia="Times New Roman" w:cs="Times New Roman"/>
          <w:lang w:eastAsia="de-DE"/>
        </w:rPr>
        <w:t xml:space="preserve">(Ortsname „Zin" - hier ohne </w:t>
      </w:r>
      <w:r w:rsidRPr="003A0485">
        <w:rPr>
          <w:rFonts w:eastAsia="Times New Roman" w:cs="Times New Roman"/>
          <w:b/>
          <w:bCs/>
          <w:rtl/>
          <w:lang w:eastAsia="de-DE"/>
        </w:rPr>
        <w:t>מִדְבַּר</w:t>
      </w:r>
      <w:r w:rsidRPr="003A0485">
        <w:rPr>
          <w:rFonts w:eastAsia="Times New Roman" w:cs="Times New Roman"/>
          <w:lang w:eastAsia="de-DE"/>
        </w:rPr>
        <w:t xml:space="preserve">), </w:t>
      </w:r>
      <w:r w:rsidRPr="003A0485">
        <w:rPr>
          <w:rFonts w:eastAsia="Times New Roman" w:cs="Times New Roman"/>
          <w:b/>
          <w:bCs/>
          <w:rtl/>
          <w:lang w:eastAsia="de-DE"/>
        </w:rPr>
        <w:t>וְהָיָה תּוֹצְאֹתָיו</w:t>
      </w:r>
      <w:r w:rsidRPr="003A0485">
        <w:rPr>
          <w:rFonts w:eastAsia="Times New Roman" w:cs="Times New Roman"/>
          <w:rtl/>
          <w:lang w:eastAsia="de-DE"/>
        </w:rPr>
        <w:t xml:space="preserve"> </w:t>
      </w:r>
      <w:r w:rsidRPr="003A0485">
        <w:rPr>
          <w:rFonts w:eastAsia="Times New Roman" w:cs="Times New Roman"/>
          <w:lang w:eastAsia="de-DE"/>
        </w:rPr>
        <w:t xml:space="preserve">(Qal Perfekt mit Waw consecutivum von </w:t>
      </w:r>
      <w:r w:rsidRPr="003A0485">
        <w:rPr>
          <w:rFonts w:eastAsia="Times New Roman" w:cs="Times New Roman"/>
          <w:b/>
          <w:bCs/>
          <w:rtl/>
          <w:lang w:eastAsia="de-DE"/>
        </w:rPr>
        <w:t>היה</w:t>
      </w:r>
      <w:r w:rsidRPr="003A0485">
        <w:rPr>
          <w:rFonts w:eastAsia="Times New Roman" w:cs="Times New Roman"/>
          <w:rtl/>
          <w:lang w:eastAsia="de-DE"/>
        </w:rPr>
        <w:t xml:space="preserve"> </w:t>
      </w:r>
      <w:r w:rsidRPr="003A0485">
        <w:rPr>
          <w:rFonts w:eastAsia="Times New Roman" w:cs="Times New Roman"/>
          <w:lang w:eastAsia="de-DE"/>
        </w:rPr>
        <w:t xml:space="preserve">und Plural von </w:t>
      </w:r>
      <w:r w:rsidRPr="003A0485">
        <w:rPr>
          <w:rFonts w:eastAsia="Times New Roman" w:cs="Times New Roman"/>
          <w:b/>
          <w:bCs/>
          <w:rtl/>
          <w:lang w:eastAsia="de-DE"/>
        </w:rPr>
        <w:t>תּוֹצָאָה</w:t>
      </w:r>
      <w:r w:rsidRPr="003A0485">
        <w:rPr>
          <w:rFonts w:eastAsia="Times New Roman" w:cs="Times New Roman"/>
          <w:rtl/>
          <w:lang w:eastAsia="de-DE"/>
        </w:rPr>
        <w:t xml:space="preserve"> </w:t>
      </w:r>
      <w:r w:rsidRPr="003A0485">
        <w:rPr>
          <w:rFonts w:eastAsia="Times New Roman" w:cs="Times New Roman"/>
          <w:lang w:eastAsia="de-DE"/>
        </w:rPr>
        <w:t xml:space="preserve">„Ausgang, Ende" mit Suffix 3. Person maskulin Singular „und es sollen seine Ausgänge/Endpunkte sein"), </w:t>
      </w:r>
      <w:r w:rsidRPr="003A0485">
        <w:rPr>
          <w:rFonts w:eastAsia="Times New Roman" w:cs="Times New Roman"/>
          <w:b/>
          <w:bCs/>
          <w:rtl/>
          <w:lang w:eastAsia="de-DE"/>
        </w:rPr>
        <w:t>מִנֶּגֶב לְקָדֵשׁ בַּרְנֵעַ</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נֶגֶב</w:t>
      </w:r>
      <w:r w:rsidRPr="003A0485">
        <w:rPr>
          <w:rFonts w:eastAsia="Times New Roman" w:cs="Times New Roman"/>
          <w:rtl/>
          <w:lang w:eastAsia="de-DE"/>
        </w:rPr>
        <w:t xml:space="preserve"> </w:t>
      </w:r>
      <w:r w:rsidRPr="003A0485">
        <w:rPr>
          <w:rFonts w:eastAsia="Times New Roman" w:cs="Times New Roman"/>
          <w:lang w:eastAsia="de-DE"/>
        </w:rPr>
        <w:t xml:space="preserve">und 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קָדֵשׁ בַּרְנֵעַ</w:t>
      </w:r>
      <w:r w:rsidRPr="003A0485">
        <w:rPr>
          <w:rFonts w:eastAsia="Times New Roman" w:cs="Times New Roman"/>
          <w:rtl/>
          <w:lang w:eastAsia="de-DE"/>
        </w:rPr>
        <w:t xml:space="preserve"> </w:t>
      </w:r>
      <w:r w:rsidRPr="003A0485">
        <w:rPr>
          <w:rFonts w:eastAsia="Times New Roman" w:cs="Times New Roman"/>
          <w:lang w:eastAsia="de-DE"/>
        </w:rPr>
        <w:t>„südlich von Kadesch-Barnea"). Kadesch-Barnea, der Ort der Kundschaftergeschichte (Num 13-14), liegt also nördlich der Grenze.</w:t>
      </w:r>
    </w:p>
    <w:p w14:paraId="202EC74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rtl/>
          <w:lang w:eastAsia="de-DE"/>
        </w:rPr>
        <w:t>וְיָצָא חֲצַר־אַדָּר וְעָבַר עַצְמֹנָה</w:t>
      </w:r>
      <w:r w:rsidRPr="003A0485">
        <w:rPr>
          <w:rFonts w:eastAsia="Times New Roman" w:cs="Times New Roman"/>
          <w:rtl/>
          <w:lang w:eastAsia="de-DE"/>
        </w:rPr>
        <w:t xml:space="preserve"> </w:t>
      </w:r>
      <w:r w:rsidRPr="003A0485">
        <w:rPr>
          <w:rFonts w:eastAsia="Times New Roman" w:cs="Times New Roman"/>
          <w:lang w:eastAsia="de-DE"/>
        </w:rPr>
        <w:t xml:space="preserve">nennt weitere Stationen. </w:t>
      </w:r>
      <w:r w:rsidRPr="003A0485">
        <w:rPr>
          <w:rFonts w:eastAsia="Times New Roman" w:cs="Times New Roman"/>
          <w:b/>
          <w:bCs/>
          <w:rtl/>
          <w:lang w:eastAsia="de-DE"/>
        </w:rPr>
        <w:t>וְיָצָא</w:t>
      </w:r>
      <w:r w:rsidRPr="003A0485">
        <w:rPr>
          <w:rFonts w:eastAsia="Times New Roman" w:cs="Times New Roman"/>
          <w:rtl/>
          <w:lang w:eastAsia="de-DE"/>
        </w:rPr>
        <w:t xml:space="preserve"> </w:t>
      </w:r>
      <w:r w:rsidRPr="003A0485">
        <w:rPr>
          <w:rFonts w:eastAsia="Times New Roman" w:cs="Times New Roman"/>
          <w:lang w:eastAsia="de-DE"/>
        </w:rPr>
        <w:t xml:space="preserve">(Qal Perfekt 3. Person maskulin Singular mit Waw consecutivum von </w:t>
      </w:r>
      <w:r w:rsidRPr="003A0485">
        <w:rPr>
          <w:rFonts w:eastAsia="Times New Roman" w:cs="Times New Roman"/>
          <w:b/>
          <w:bCs/>
          <w:rtl/>
          <w:lang w:eastAsia="de-DE"/>
        </w:rPr>
        <w:t>יצא</w:t>
      </w:r>
      <w:r w:rsidRPr="003A0485">
        <w:rPr>
          <w:rFonts w:eastAsia="Times New Roman" w:cs="Times New Roman"/>
          <w:rtl/>
          <w:lang w:eastAsia="de-DE"/>
        </w:rPr>
        <w:t xml:space="preserve"> </w:t>
      </w:r>
      <w:r w:rsidRPr="003A0485">
        <w:rPr>
          <w:rFonts w:eastAsia="Times New Roman" w:cs="Times New Roman"/>
          <w:lang w:eastAsia="de-DE"/>
        </w:rPr>
        <w:t xml:space="preserve">„hinausgehen"), </w:t>
      </w:r>
      <w:r w:rsidRPr="003A0485">
        <w:rPr>
          <w:rFonts w:eastAsia="Times New Roman" w:cs="Times New Roman"/>
          <w:b/>
          <w:bCs/>
          <w:rtl/>
          <w:lang w:eastAsia="de-DE"/>
        </w:rPr>
        <w:t>חֲצַר־אַדָּר</w:t>
      </w:r>
      <w:r w:rsidRPr="003A0485">
        <w:rPr>
          <w:rFonts w:eastAsia="Times New Roman" w:cs="Times New Roman"/>
          <w:rtl/>
          <w:lang w:eastAsia="de-DE"/>
        </w:rPr>
        <w:t xml:space="preserve"> </w:t>
      </w:r>
      <w:r w:rsidRPr="003A0485">
        <w:rPr>
          <w:rFonts w:eastAsia="Times New Roman" w:cs="Times New Roman"/>
          <w:lang w:eastAsia="de-DE"/>
        </w:rPr>
        <w:t xml:space="preserve">(Ortsname „Chazar-Addar"), </w:t>
      </w:r>
      <w:r w:rsidRPr="003A0485">
        <w:rPr>
          <w:rFonts w:eastAsia="Times New Roman" w:cs="Times New Roman"/>
          <w:b/>
          <w:bCs/>
          <w:rtl/>
          <w:lang w:eastAsia="de-DE"/>
        </w:rPr>
        <w:t>וְעָבַר עַצְמֹנָה</w:t>
      </w:r>
      <w:r w:rsidRPr="003A0485">
        <w:rPr>
          <w:rFonts w:eastAsia="Times New Roman" w:cs="Times New Roman"/>
          <w:rtl/>
          <w:lang w:eastAsia="de-DE"/>
        </w:rPr>
        <w:t xml:space="preserve"> </w:t>
      </w:r>
      <w:r w:rsidRPr="003A0485">
        <w:rPr>
          <w:rFonts w:eastAsia="Times New Roman" w:cs="Times New Roman"/>
          <w:lang w:eastAsia="de-DE"/>
        </w:rPr>
        <w:t xml:space="preserve">(Qal Perfekt mit Waw consecutivum von </w:t>
      </w:r>
      <w:r w:rsidRPr="003A0485">
        <w:rPr>
          <w:rFonts w:eastAsia="Times New Roman" w:cs="Times New Roman"/>
          <w:b/>
          <w:bCs/>
          <w:rtl/>
          <w:lang w:eastAsia="de-DE"/>
        </w:rPr>
        <w:t>עבר</w:t>
      </w:r>
      <w:r w:rsidRPr="003A0485">
        <w:rPr>
          <w:rFonts w:eastAsia="Times New Roman" w:cs="Times New Roman"/>
          <w:rtl/>
          <w:lang w:eastAsia="de-DE"/>
        </w:rPr>
        <w:t xml:space="preserve"> </w:t>
      </w:r>
      <w:r w:rsidRPr="003A0485">
        <w:rPr>
          <w:rFonts w:eastAsia="Times New Roman" w:cs="Times New Roman"/>
          <w:lang w:eastAsia="de-DE"/>
        </w:rPr>
        <w:t xml:space="preserve">und Ortsname </w:t>
      </w:r>
      <w:r w:rsidRPr="003A0485">
        <w:rPr>
          <w:rFonts w:eastAsia="Times New Roman" w:cs="Times New Roman"/>
          <w:b/>
          <w:bCs/>
          <w:rtl/>
          <w:lang w:eastAsia="de-DE"/>
        </w:rPr>
        <w:t>עַצְמוֹן</w:t>
      </w:r>
      <w:r w:rsidRPr="003A0485">
        <w:rPr>
          <w:rFonts w:eastAsia="Times New Roman" w:cs="Times New Roman"/>
          <w:rtl/>
          <w:lang w:eastAsia="de-DE"/>
        </w:rPr>
        <w:t xml:space="preserve"> </w:t>
      </w:r>
      <w:r w:rsidRPr="003A0485">
        <w:rPr>
          <w:rFonts w:eastAsia="Times New Roman" w:cs="Times New Roman"/>
          <w:lang w:eastAsia="de-DE"/>
        </w:rPr>
        <w:t xml:space="preserve">mit Richtungsendung </w:t>
      </w:r>
      <w:r w:rsidRPr="003A0485">
        <w:rPr>
          <w:rFonts w:eastAsia="Times New Roman" w:cs="Times New Roman"/>
          <w:b/>
          <w:bCs/>
          <w:rtl/>
          <w:lang w:eastAsia="de-DE"/>
        </w:rPr>
        <w:t>־ָה</w:t>
      </w:r>
      <w:r w:rsidRPr="003A0485">
        <w:rPr>
          <w:rFonts w:eastAsia="Times New Roman" w:cs="Times New Roman"/>
          <w:rtl/>
          <w:lang w:eastAsia="de-DE"/>
        </w:rPr>
        <w:t xml:space="preserve"> </w:t>
      </w:r>
      <w:r w:rsidRPr="003A0485">
        <w:rPr>
          <w:rFonts w:eastAsia="Times New Roman" w:cs="Times New Roman"/>
          <w:lang w:eastAsia="de-DE"/>
        </w:rPr>
        <w:t>„und hinübergehen nach Azmon").</w:t>
      </w:r>
    </w:p>
    <w:p w14:paraId="3D9EC7A1" w14:textId="75136A71"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Die LXX</w:t>
      </w:r>
      <w:r w:rsidRPr="003A0485">
        <w:rPr>
          <w:rFonts w:eastAsia="Times New Roman" w:cs="Times New Roman"/>
          <w:lang w:eastAsia="de-DE"/>
        </w:rPr>
        <w:t xml:space="preserve"> </w:t>
      </w:r>
      <w:r w:rsidR="003B1435">
        <w:t>übersetzt „</w:t>
      </w:r>
      <w:r w:rsidR="003B1435" w:rsidRPr="003B1435">
        <w:rPr>
          <w:b/>
          <w:bCs/>
          <w:rtl/>
        </w:rPr>
        <w:t>מַעֲלֵה</w:t>
      </w:r>
      <w:r w:rsidR="003B1435">
        <w:rPr>
          <w:rtl/>
        </w:rPr>
        <w:t xml:space="preserve"> </w:t>
      </w:r>
      <w:r w:rsidR="003B1435" w:rsidRPr="003B1435">
        <w:rPr>
          <w:b/>
          <w:bCs/>
          <w:rtl/>
        </w:rPr>
        <w:t>עַקְרַבִּים</w:t>
      </w:r>
      <w:r w:rsidR="003B1435">
        <w:t>" (Aufstieg der Skorpione) mit „ἀνάβασιν Ἀκραβίν" (Aufstieg von Akrabin), eine Transliteration, und „</w:t>
      </w:r>
      <w:r w:rsidR="003B1435">
        <w:rPr>
          <w:rtl/>
        </w:rPr>
        <w:t>חֲצַר־אַדָּר</w:t>
      </w:r>
      <w:r w:rsidR="003B1435">
        <w:t>" (Hazar-Addar) wird zu „ἔπαυλιν Ἀράδ" (Gehöft von Arad).</w:t>
      </w:r>
    </w:p>
    <w:p w14:paraId="0F5D3C1D"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fünf koordinierte Verben (sich wenden, hinübergehen, sein, hinausgehen, hinübergehen), die den Grenzverlauf dynamisch beschreiben.</w:t>
      </w:r>
    </w:p>
    <w:p w14:paraId="06D7E919"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verfolgt die Südgrenze westwärts vom Toten Meer über den Skorpionen-Pass, durch Zin südlich von Kadesch-Barnea, über Chazar-Addar nach Azmon.</w:t>
      </w:r>
    </w:p>
    <w:p w14:paraId="24161F47"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lastRenderedPageBreak/>
        <w:t>Numeri 34,5</w:t>
      </w:r>
    </w:p>
    <w:p w14:paraId="7FBAAD4C"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וְנָסַ֧ב הַגְּב֛וּל מֵעַצְמ֖וֹן נַ֣חְלָה מִצְרָ֑יִם וְהָי֥וּ תוֹצְאֹתָ֖יו הַיָּֽמָּה׃</w:t>
      </w:r>
    </w:p>
    <w:p w14:paraId="379739E4"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es soll sich die Grenze wenden von Azmon zum Bach Mizrajims, und es sollen ihre Ausgänge sein zum Meer hin.</w:t>
      </w:r>
    </w:p>
    <w:p w14:paraId="3F94AE47"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280030B8">
          <v:rect id="_x0000_i2044" style="width:0;height:1.5pt" o:hralign="center" o:hrstd="t" o:hr="t" fillcolor="#a0a0a0" stroked="f"/>
        </w:pict>
      </w:r>
    </w:p>
    <w:p w14:paraId="45EEBA73" w14:textId="550892C4"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schließt die Südgrenze ab. </w:t>
      </w:r>
      <w:r w:rsidRPr="003A0485">
        <w:rPr>
          <w:rFonts w:eastAsia="Times New Roman" w:cs="Times New Roman"/>
          <w:b/>
          <w:bCs/>
          <w:rtl/>
          <w:lang w:eastAsia="de-DE"/>
        </w:rPr>
        <w:t>וְנָסַב הַגְּבוּל מֵעַצְמוֹן נַחְלָה מִצְרָיִם</w:t>
      </w:r>
      <w:r w:rsidRPr="003A0485">
        <w:rPr>
          <w:rFonts w:eastAsia="Times New Roman" w:cs="Times New Roman"/>
          <w:rtl/>
          <w:lang w:eastAsia="de-DE"/>
        </w:rPr>
        <w:t xml:space="preserve"> </w:t>
      </w:r>
      <w:r w:rsidRPr="003A0485">
        <w:rPr>
          <w:rFonts w:eastAsia="Times New Roman" w:cs="Times New Roman"/>
          <w:lang w:eastAsia="de-DE"/>
        </w:rPr>
        <w:t xml:space="preserve">zeigt die letzte Wendung. </w:t>
      </w:r>
      <w:r w:rsidRPr="003A0485">
        <w:rPr>
          <w:rFonts w:eastAsia="Times New Roman" w:cs="Times New Roman"/>
          <w:b/>
          <w:bCs/>
          <w:rtl/>
          <w:lang w:eastAsia="de-DE"/>
        </w:rPr>
        <w:t>וְנָסַב הַגְּבוּל</w:t>
      </w:r>
      <w:r w:rsidRPr="003A0485">
        <w:rPr>
          <w:rFonts w:eastAsia="Times New Roman" w:cs="Times New Roman"/>
          <w:rtl/>
          <w:lang w:eastAsia="de-DE"/>
        </w:rPr>
        <w:t xml:space="preserve"> </w:t>
      </w:r>
      <w:r w:rsidRPr="003A0485">
        <w:rPr>
          <w:rFonts w:eastAsia="Times New Roman" w:cs="Times New Roman"/>
          <w:lang w:eastAsia="de-DE"/>
        </w:rPr>
        <w:t xml:space="preserve">(wie in V. 4), </w:t>
      </w:r>
      <w:r w:rsidRPr="003A0485">
        <w:rPr>
          <w:rFonts w:eastAsia="Times New Roman" w:cs="Times New Roman"/>
          <w:b/>
          <w:bCs/>
          <w:rtl/>
          <w:lang w:eastAsia="de-DE"/>
        </w:rPr>
        <w:t>מֵעַצְמוֹן</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עַצְמוֹן</w:t>
      </w:r>
      <w:r w:rsidRPr="003A0485">
        <w:rPr>
          <w:rFonts w:eastAsia="Times New Roman" w:cs="Times New Roman"/>
          <w:rtl/>
          <w:lang w:eastAsia="de-DE"/>
        </w:rPr>
        <w:t xml:space="preserve"> </w:t>
      </w:r>
      <w:r w:rsidRPr="003A0485">
        <w:rPr>
          <w:rFonts w:eastAsia="Times New Roman" w:cs="Times New Roman"/>
          <w:lang w:eastAsia="de-DE"/>
        </w:rPr>
        <w:t xml:space="preserve">„von Azmon"), </w:t>
      </w:r>
      <w:r w:rsidRPr="003A0485">
        <w:rPr>
          <w:rFonts w:eastAsia="Times New Roman" w:cs="Times New Roman"/>
          <w:b/>
          <w:bCs/>
          <w:rtl/>
          <w:lang w:eastAsia="de-DE"/>
        </w:rPr>
        <w:t>נַחְלָה מִצְרָיִם</w:t>
      </w:r>
      <w:r w:rsidRPr="003A0485">
        <w:rPr>
          <w:rFonts w:eastAsia="Times New Roman" w:cs="Times New Roman"/>
          <w:rtl/>
          <w:lang w:eastAsia="de-DE"/>
        </w:rPr>
        <w:t xml:space="preserve"> </w:t>
      </w:r>
      <w:r w:rsidRPr="003A0485">
        <w:rPr>
          <w:rFonts w:eastAsia="Times New Roman" w:cs="Times New Roman"/>
          <w:lang w:eastAsia="de-DE"/>
        </w:rPr>
        <w:t>(</w:t>
      </w:r>
      <w:r w:rsidR="00B513FF">
        <w:rPr>
          <w:rFonts w:eastAsia="Times New Roman" w:cs="Times New Roman"/>
          <w:lang w:eastAsia="de-DE"/>
        </w:rPr>
        <w:t xml:space="preserve">Constructus </w:t>
      </w:r>
      <w:r w:rsidRPr="003A0485">
        <w:rPr>
          <w:rFonts w:eastAsia="Times New Roman" w:cs="Times New Roman"/>
          <w:lang w:eastAsia="de-DE"/>
        </w:rPr>
        <w:t xml:space="preserve">verbindung ohne Präposition - Richtungsakkusativ: </w:t>
      </w:r>
      <w:r w:rsidRPr="003A0485">
        <w:rPr>
          <w:rFonts w:eastAsia="Times New Roman" w:cs="Times New Roman"/>
          <w:b/>
          <w:bCs/>
          <w:rtl/>
          <w:lang w:eastAsia="de-DE"/>
        </w:rPr>
        <w:t>נַחַל</w:t>
      </w:r>
      <w:r w:rsidRPr="003A0485">
        <w:rPr>
          <w:rFonts w:eastAsia="Times New Roman" w:cs="Times New Roman"/>
          <w:rtl/>
          <w:lang w:eastAsia="de-DE"/>
        </w:rPr>
        <w:t xml:space="preserve"> </w:t>
      </w:r>
      <w:r w:rsidRPr="003A0485">
        <w:rPr>
          <w:rFonts w:eastAsia="Times New Roman" w:cs="Times New Roman"/>
          <w:lang w:eastAsia="de-DE"/>
        </w:rPr>
        <w:t xml:space="preserve">„Bach, Fluss" mit Richtungsendung </w:t>
      </w:r>
      <w:r w:rsidRPr="003A0485">
        <w:rPr>
          <w:rFonts w:eastAsia="Times New Roman" w:cs="Times New Roman"/>
          <w:b/>
          <w:bCs/>
          <w:rtl/>
          <w:lang w:eastAsia="de-DE"/>
        </w:rPr>
        <w:t>־ָה</w:t>
      </w:r>
      <w:r w:rsidRPr="003A0485">
        <w:rPr>
          <w:rFonts w:eastAsia="Times New Roman" w:cs="Times New Roman"/>
          <w:rtl/>
          <w:lang w:eastAsia="de-DE"/>
        </w:rPr>
        <w:t xml:space="preserve"> </w:t>
      </w:r>
      <w:r w:rsidRPr="003A0485">
        <w:rPr>
          <w:rFonts w:eastAsia="Times New Roman" w:cs="Times New Roman"/>
          <w:lang w:eastAsia="de-DE"/>
        </w:rPr>
        <w:t xml:space="preserve">und </w:t>
      </w:r>
      <w:r w:rsidRPr="003A0485">
        <w:rPr>
          <w:rFonts w:eastAsia="Times New Roman" w:cs="Times New Roman"/>
          <w:b/>
          <w:bCs/>
          <w:rtl/>
          <w:lang w:eastAsia="de-DE"/>
        </w:rPr>
        <w:t>מִצְרַיִם</w:t>
      </w:r>
      <w:r w:rsidRPr="003A0485">
        <w:rPr>
          <w:rFonts w:eastAsia="Times New Roman" w:cs="Times New Roman"/>
          <w:rtl/>
          <w:lang w:eastAsia="de-DE"/>
        </w:rPr>
        <w:t xml:space="preserve"> </w:t>
      </w:r>
      <w:r w:rsidRPr="003A0485">
        <w:rPr>
          <w:rFonts w:eastAsia="Times New Roman" w:cs="Times New Roman"/>
          <w:lang w:eastAsia="de-DE"/>
        </w:rPr>
        <w:t xml:space="preserve">„Ägypten" „zum Bach Ägyptens"). Der </w:t>
      </w:r>
      <w:r w:rsidRPr="003A0485">
        <w:rPr>
          <w:rFonts w:eastAsia="Times New Roman" w:cs="Times New Roman"/>
          <w:b/>
          <w:bCs/>
          <w:rtl/>
          <w:lang w:eastAsia="de-DE"/>
        </w:rPr>
        <w:t>נַחַל מִצְרַיִם</w:t>
      </w:r>
      <w:r w:rsidRPr="003A0485">
        <w:rPr>
          <w:rFonts w:eastAsia="Times New Roman" w:cs="Times New Roman"/>
          <w:rtl/>
          <w:lang w:eastAsia="de-DE"/>
        </w:rPr>
        <w:t xml:space="preserve"> </w:t>
      </w:r>
      <w:r w:rsidRPr="003A0485">
        <w:rPr>
          <w:rFonts w:eastAsia="Times New Roman" w:cs="Times New Roman"/>
          <w:lang w:eastAsia="de-DE"/>
        </w:rPr>
        <w:t>(traditionell identifiziert mit Wadi el-Arisch) markiert die südwestliche Grenze zwischen Kanaan und ägyptischem Einflussgebiet.</w:t>
      </w:r>
    </w:p>
    <w:p w14:paraId="7273B3C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rtl/>
          <w:lang w:eastAsia="de-DE"/>
        </w:rPr>
        <w:t>וְהָיוּ תוֹצְאֹתָיו הַיָּמָּה</w:t>
      </w:r>
      <w:r w:rsidRPr="003A0485">
        <w:rPr>
          <w:rFonts w:eastAsia="Times New Roman" w:cs="Times New Roman"/>
          <w:rtl/>
          <w:lang w:eastAsia="de-DE"/>
        </w:rPr>
        <w:t xml:space="preserve"> </w:t>
      </w:r>
      <w:r w:rsidRPr="003A0485">
        <w:rPr>
          <w:rFonts w:eastAsia="Times New Roman" w:cs="Times New Roman"/>
          <w:lang w:eastAsia="de-DE"/>
        </w:rPr>
        <w:t xml:space="preserve">gibt den Endpunkt an. </w:t>
      </w:r>
      <w:r w:rsidRPr="003A0485">
        <w:rPr>
          <w:rFonts w:eastAsia="Times New Roman" w:cs="Times New Roman"/>
          <w:b/>
          <w:bCs/>
          <w:rtl/>
          <w:lang w:eastAsia="de-DE"/>
        </w:rPr>
        <w:t>וְהָיוּ</w:t>
      </w:r>
      <w:r w:rsidRPr="003A0485">
        <w:rPr>
          <w:rFonts w:eastAsia="Times New Roman" w:cs="Times New Roman"/>
          <w:rtl/>
          <w:lang w:eastAsia="de-DE"/>
        </w:rPr>
        <w:t xml:space="preserve"> </w:t>
      </w:r>
      <w:r w:rsidRPr="003A0485">
        <w:rPr>
          <w:rFonts w:eastAsia="Times New Roman" w:cs="Times New Roman"/>
          <w:lang w:eastAsia="de-DE"/>
        </w:rPr>
        <w:t xml:space="preserve">(Qal Perfekt 3. Person Plural mit Waw consecutivum von </w:t>
      </w:r>
      <w:r w:rsidRPr="003A0485">
        <w:rPr>
          <w:rFonts w:eastAsia="Times New Roman" w:cs="Times New Roman"/>
          <w:b/>
          <w:bCs/>
          <w:rtl/>
          <w:lang w:eastAsia="de-DE"/>
        </w:rPr>
        <w:t>היה</w:t>
      </w:r>
      <w:r w:rsidRPr="003A0485">
        <w:rPr>
          <w:rFonts w:eastAsia="Times New Roman" w:cs="Times New Roman"/>
          <w:lang w:eastAsia="de-DE"/>
        </w:rPr>
        <w:t xml:space="preserve">), </w:t>
      </w:r>
      <w:r w:rsidRPr="003A0485">
        <w:rPr>
          <w:rFonts w:eastAsia="Times New Roman" w:cs="Times New Roman"/>
          <w:b/>
          <w:bCs/>
          <w:rtl/>
          <w:lang w:eastAsia="de-DE"/>
        </w:rPr>
        <w:t>תוֹצְאֹתָיו</w:t>
      </w:r>
      <w:r w:rsidRPr="003A0485">
        <w:rPr>
          <w:rFonts w:eastAsia="Times New Roman" w:cs="Times New Roman"/>
          <w:rtl/>
          <w:lang w:eastAsia="de-DE"/>
        </w:rPr>
        <w:t xml:space="preserve"> </w:t>
      </w:r>
      <w:r w:rsidRPr="003A0485">
        <w:rPr>
          <w:rFonts w:eastAsia="Times New Roman" w:cs="Times New Roman"/>
          <w:lang w:eastAsia="de-DE"/>
        </w:rPr>
        <w:t xml:space="preserve">(Plural von </w:t>
      </w:r>
      <w:r w:rsidRPr="003A0485">
        <w:rPr>
          <w:rFonts w:eastAsia="Times New Roman" w:cs="Times New Roman"/>
          <w:b/>
          <w:bCs/>
          <w:rtl/>
          <w:lang w:eastAsia="de-DE"/>
        </w:rPr>
        <w:t>תּוֹצָאָה</w:t>
      </w:r>
      <w:r w:rsidRPr="003A0485">
        <w:rPr>
          <w:rFonts w:eastAsia="Times New Roman" w:cs="Times New Roman"/>
          <w:rtl/>
          <w:lang w:eastAsia="de-DE"/>
        </w:rPr>
        <w:t xml:space="preserve"> </w:t>
      </w:r>
      <w:r w:rsidRPr="003A0485">
        <w:rPr>
          <w:rFonts w:eastAsia="Times New Roman" w:cs="Times New Roman"/>
          <w:lang w:eastAsia="de-DE"/>
        </w:rPr>
        <w:t xml:space="preserve">mit Suffix „seine Ausgänge/Endpunkte"), </w:t>
      </w:r>
      <w:r w:rsidRPr="003A0485">
        <w:rPr>
          <w:rFonts w:eastAsia="Times New Roman" w:cs="Times New Roman"/>
          <w:b/>
          <w:bCs/>
          <w:rtl/>
          <w:lang w:eastAsia="de-DE"/>
        </w:rPr>
        <w:t>הַיָּמָּה</w:t>
      </w:r>
      <w:r w:rsidRPr="003A0485">
        <w:rPr>
          <w:rFonts w:eastAsia="Times New Roman" w:cs="Times New Roman"/>
          <w:rtl/>
          <w:lang w:eastAsia="de-DE"/>
        </w:rPr>
        <w:t xml:space="preserve"> </w:t>
      </w:r>
      <w:r w:rsidRPr="003A0485">
        <w:rPr>
          <w:rFonts w:eastAsia="Times New Roman" w:cs="Times New Roman"/>
          <w:lang w:eastAsia="de-DE"/>
        </w:rPr>
        <w:t xml:space="preserve">(Richtungsadverb von </w:t>
      </w:r>
      <w:r w:rsidRPr="003A0485">
        <w:rPr>
          <w:rFonts w:eastAsia="Times New Roman" w:cs="Times New Roman"/>
          <w:b/>
          <w:bCs/>
          <w:rtl/>
          <w:lang w:eastAsia="de-DE"/>
        </w:rPr>
        <w:t>יָם</w:t>
      </w:r>
      <w:r w:rsidRPr="003A0485">
        <w:rPr>
          <w:rFonts w:eastAsia="Times New Roman" w:cs="Times New Roman"/>
          <w:rtl/>
          <w:lang w:eastAsia="de-DE"/>
        </w:rPr>
        <w:t xml:space="preserve"> </w:t>
      </w:r>
      <w:r w:rsidRPr="003A0485">
        <w:rPr>
          <w:rFonts w:eastAsia="Times New Roman" w:cs="Times New Roman"/>
          <w:lang w:eastAsia="de-DE"/>
        </w:rPr>
        <w:t xml:space="preserve">„Meer" mit Richtungsendung </w:t>
      </w:r>
      <w:r w:rsidRPr="003A0485">
        <w:rPr>
          <w:rFonts w:eastAsia="Times New Roman" w:cs="Times New Roman"/>
          <w:b/>
          <w:bCs/>
          <w:rtl/>
          <w:lang w:eastAsia="de-DE"/>
        </w:rPr>
        <w:t>־ָה</w:t>
      </w:r>
      <w:r w:rsidRPr="003A0485">
        <w:rPr>
          <w:rFonts w:eastAsia="Times New Roman" w:cs="Times New Roman"/>
          <w:rtl/>
          <w:lang w:eastAsia="de-DE"/>
        </w:rPr>
        <w:t xml:space="preserve"> </w:t>
      </w:r>
      <w:r w:rsidRPr="003A0485">
        <w:rPr>
          <w:rFonts w:eastAsia="Times New Roman" w:cs="Times New Roman"/>
          <w:lang w:eastAsia="de-DE"/>
        </w:rPr>
        <w:t>und Artikel „zum Meer hin", d.h. zum Mittelmeer).</w:t>
      </w:r>
    </w:p>
    <w:p w14:paraId="5BC3D51E" w14:textId="04621E72"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Die LXX</w:t>
      </w:r>
      <w:r w:rsidRPr="003A0485">
        <w:rPr>
          <w:rFonts w:eastAsia="Times New Roman" w:cs="Times New Roman"/>
          <w:lang w:eastAsia="de-DE"/>
        </w:rPr>
        <w:t xml:space="preserve"> </w:t>
      </w:r>
      <w:r w:rsidR="003B1435">
        <w:t>übersetzt „</w:t>
      </w:r>
      <w:r w:rsidR="003B1435" w:rsidRPr="00192257">
        <w:rPr>
          <w:b/>
          <w:bCs/>
          <w:rtl/>
        </w:rPr>
        <w:t>נַחְלָה</w:t>
      </w:r>
      <w:r w:rsidR="003B1435">
        <w:rPr>
          <w:rtl/>
        </w:rPr>
        <w:t xml:space="preserve"> </w:t>
      </w:r>
      <w:r w:rsidR="003B1435" w:rsidRPr="00192257">
        <w:rPr>
          <w:b/>
          <w:bCs/>
          <w:rtl/>
        </w:rPr>
        <w:t>מִצְרָיִם</w:t>
      </w:r>
      <w:r w:rsidR="003B1435">
        <w:t>" (Bach Ägyptens) mit „χειμάρρουν Αἰγύπτου" (Wildbach Ägyptens).</w:t>
      </w:r>
    </w:p>
    <w:p w14:paraId="02D3D038"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zwei koordinierte Aussagen über die letzte Wendung und den Endpunkt der Südgrenze.</w:t>
      </w:r>
    </w:p>
    <w:p w14:paraId="12E7B28A"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beschließt die Südgrenze: von Azmon zum Bach Ägyptens, der ins Mittelmeer mündet - die Südwestecke des Landes.</w:t>
      </w:r>
    </w:p>
    <w:p w14:paraId="5DB90278"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34,6</w:t>
      </w:r>
    </w:p>
    <w:p w14:paraId="1DA09820"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וּגְב֣וּל יָ֔ם וְהָיָ֥ה לָכֶ֛ם הַיָּ֥ם הַגָּד֖וֹל וּגְב֑וּל זֶֽה־יִהְיֶ֥ה לָכֶ֖ם גְּב֥וּל יָֽם׃</w:t>
      </w:r>
    </w:p>
    <w:p w14:paraId="34F8D7FF"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die Westgrenze: Es soll euch das große Meer und das Gebiet sein; das soll euch die Westgrenze sein.</w:t>
      </w:r>
    </w:p>
    <w:p w14:paraId="49831958"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2A59C5AE">
          <v:rect id="_x0000_i2045" style="width:0;height:1.5pt" o:hralign="center" o:hrstd="t" o:hr="t" fillcolor="#a0a0a0" stroked="f"/>
        </w:pict>
      </w:r>
    </w:p>
    <w:p w14:paraId="4570184A" w14:textId="742DE200"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definiert die Westgrenze - die einfachste aller Grenzen. </w:t>
      </w:r>
      <w:r w:rsidRPr="003A0485">
        <w:rPr>
          <w:rFonts w:eastAsia="Times New Roman" w:cs="Times New Roman"/>
          <w:b/>
          <w:bCs/>
          <w:rtl/>
          <w:lang w:eastAsia="de-DE"/>
        </w:rPr>
        <w:t>וּגְבוּל יָם</w:t>
      </w:r>
      <w:r w:rsidRPr="003A0485">
        <w:rPr>
          <w:rFonts w:eastAsia="Times New Roman" w:cs="Times New Roman"/>
          <w:rtl/>
          <w:lang w:eastAsia="de-DE"/>
        </w:rPr>
        <w:t xml:space="preserve"> </w:t>
      </w:r>
      <w:r w:rsidRPr="003A0485">
        <w:rPr>
          <w:rFonts w:eastAsia="Times New Roman" w:cs="Times New Roman"/>
          <w:lang w:eastAsia="de-DE"/>
        </w:rPr>
        <w:t xml:space="preserve">ist die Überschrift. </w:t>
      </w:r>
      <w:r w:rsidRPr="003A0485">
        <w:rPr>
          <w:rFonts w:eastAsia="Times New Roman" w:cs="Times New Roman"/>
          <w:b/>
          <w:bCs/>
          <w:rtl/>
          <w:lang w:eastAsia="de-DE"/>
        </w:rPr>
        <w:t>וּגְבוּל יָם</w:t>
      </w:r>
      <w:r w:rsidRPr="003A0485">
        <w:rPr>
          <w:rFonts w:eastAsia="Times New Roman" w:cs="Times New Roman"/>
          <w:rtl/>
          <w:lang w:eastAsia="de-DE"/>
        </w:rPr>
        <w:t xml:space="preserve"> </w:t>
      </w:r>
      <w:r w:rsidRPr="003A0485">
        <w:rPr>
          <w:rFonts w:eastAsia="Times New Roman" w:cs="Times New Roman"/>
          <w:lang w:eastAsia="de-DE"/>
        </w:rPr>
        <w:t xml:space="preserve">(Konjunktion mit </w:t>
      </w:r>
      <w:r w:rsidR="00B513FF">
        <w:rPr>
          <w:rFonts w:eastAsia="Times New Roman" w:cs="Times New Roman"/>
          <w:lang w:eastAsia="de-DE"/>
        </w:rPr>
        <w:t xml:space="preserve">Constructus </w:t>
      </w:r>
      <w:r w:rsidRPr="003A0485">
        <w:rPr>
          <w:rFonts w:eastAsia="Times New Roman" w:cs="Times New Roman"/>
          <w:lang w:eastAsia="de-DE"/>
        </w:rPr>
        <w:t xml:space="preserve">verbindung: </w:t>
      </w:r>
      <w:r w:rsidRPr="003A0485">
        <w:rPr>
          <w:rFonts w:eastAsia="Times New Roman" w:cs="Times New Roman"/>
          <w:b/>
          <w:bCs/>
          <w:rtl/>
          <w:lang w:eastAsia="de-DE"/>
        </w:rPr>
        <w:t>גְּבוּל</w:t>
      </w:r>
      <w:r w:rsidRPr="003A0485">
        <w:rPr>
          <w:rFonts w:eastAsia="Times New Roman" w:cs="Times New Roman"/>
          <w:rtl/>
          <w:lang w:eastAsia="de-DE"/>
        </w:rPr>
        <w:t xml:space="preserve"> </w:t>
      </w:r>
      <w:r w:rsidRPr="003A0485">
        <w:rPr>
          <w:rFonts w:eastAsia="Times New Roman" w:cs="Times New Roman"/>
          <w:lang w:eastAsia="de-DE"/>
        </w:rPr>
        <w:t xml:space="preserve">„Grenze" mit </w:t>
      </w:r>
      <w:r w:rsidRPr="003A0485">
        <w:rPr>
          <w:rFonts w:eastAsia="Times New Roman" w:cs="Times New Roman"/>
          <w:b/>
          <w:bCs/>
          <w:rtl/>
          <w:lang w:eastAsia="de-DE"/>
        </w:rPr>
        <w:t>יָם</w:t>
      </w:r>
      <w:r w:rsidRPr="003A0485">
        <w:rPr>
          <w:rFonts w:eastAsia="Times New Roman" w:cs="Times New Roman"/>
          <w:rtl/>
          <w:lang w:eastAsia="de-DE"/>
        </w:rPr>
        <w:t xml:space="preserve"> </w:t>
      </w:r>
      <w:r w:rsidRPr="003A0485">
        <w:rPr>
          <w:rFonts w:eastAsia="Times New Roman" w:cs="Times New Roman"/>
          <w:lang w:eastAsia="de-DE"/>
        </w:rPr>
        <w:t xml:space="preserve">„Meer" „und die Meergrenze", d.h. Westgrenze). </w:t>
      </w:r>
      <w:r w:rsidRPr="003A0485">
        <w:rPr>
          <w:rFonts w:eastAsia="Times New Roman" w:cs="Times New Roman"/>
          <w:b/>
          <w:bCs/>
          <w:rtl/>
          <w:lang w:eastAsia="de-DE"/>
        </w:rPr>
        <w:t>וְהָיָה לָכֶם הַיָּם הַגָּדוֹל וּגְבוּל</w:t>
      </w:r>
      <w:r w:rsidRPr="003A0485">
        <w:rPr>
          <w:rFonts w:eastAsia="Times New Roman" w:cs="Times New Roman"/>
          <w:rtl/>
          <w:lang w:eastAsia="de-DE"/>
        </w:rPr>
        <w:t xml:space="preserve"> </w:t>
      </w:r>
      <w:r w:rsidRPr="003A0485">
        <w:rPr>
          <w:rFonts w:eastAsia="Times New Roman" w:cs="Times New Roman"/>
          <w:lang w:eastAsia="de-DE"/>
        </w:rPr>
        <w:t xml:space="preserve">ist die Definition. </w:t>
      </w:r>
      <w:r w:rsidRPr="003A0485">
        <w:rPr>
          <w:rFonts w:eastAsia="Times New Roman" w:cs="Times New Roman"/>
          <w:b/>
          <w:bCs/>
          <w:rtl/>
          <w:lang w:eastAsia="de-DE"/>
        </w:rPr>
        <w:t>וְהָיָה לָכֶם</w:t>
      </w:r>
      <w:r w:rsidRPr="003A0485">
        <w:rPr>
          <w:rFonts w:eastAsia="Times New Roman" w:cs="Times New Roman"/>
          <w:rtl/>
          <w:lang w:eastAsia="de-DE"/>
        </w:rPr>
        <w:t xml:space="preserve"> </w:t>
      </w:r>
      <w:r w:rsidRPr="003A0485">
        <w:rPr>
          <w:rFonts w:eastAsia="Times New Roman" w:cs="Times New Roman"/>
          <w:lang w:eastAsia="de-DE"/>
        </w:rPr>
        <w:t xml:space="preserve">(wie in V. 3), </w:t>
      </w:r>
      <w:r w:rsidRPr="003A0485">
        <w:rPr>
          <w:rFonts w:eastAsia="Times New Roman" w:cs="Times New Roman"/>
          <w:b/>
          <w:bCs/>
          <w:rtl/>
          <w:lang w:eastAsia="de-DE"/>
        </w:rPr>
        <w:t>הַיָּם הַגָּדוֹל</w:t>
      </w:r>
      <w:r w:rsidRPr="003A0485">
        <w:rPr>
          <w:rFonts w:eastAsia="Times New Roman" w:cs="Times New Roman"/>
          <w:rtl/>
          <w:lang w:eastAsia="de-DE"/>
        </w:rPr>
        <w:t xml:space="preserve"> </w:t>
      </w:r>
      <w:r w:rsidRPr="003A0485">
        <w:rPr>
          <w:rFonts w:eastAsia="Times New Roman" w:cs="Times New Roman"/>
          <w:lang w:eastAsia="de-DE"/>
        </w:rPr>
        <w:t>(</w:t>
      </w:r>
      <w:r w:rsidR="00B513FF">
        <w:rPr>
          <w:rFonts w:eastAsia="Times New Roman" w:cs="Times New Roman"/>
          <w:lang w:eastAsia="de-DE"/>
        </w:rPr>
        <w:t xml:space="preserve">Constructus </w:t>
      </w:r>
      <w:r w:rsidRPr="003A0485">
        <w:rPr>
          <w:rFonts w:eastAsia="Times New Roman" w:cs="Times New Roman"/>
          <w:lang w:eastAsia="de-DE"/>
        </w:rPr>
        <w:t xml:space="preserve">verbindung: </w:t>
      </w:r>
      <w:r w:rsidRPr="003A0485">
        <w:rPr>
          <w:rFonts w:eastAsia="Times New Roman" w:cs="Times New Roman"/>
          <w:b/>
          <w:bCs/>
          <w:rtl/>
          <w:lang w:eastAsia="de-DE"/>
        </w:rPr>
        <w:t>יָם</w:t>
      </w:r>
      <w:r w:rsidRPr="003A0485">
        <w:rPr>
          <w:rFonts w:eastAsia="Times New Roman" w:cs="Times New Roman"/>
          <w:rtl/>
          <w:lang w:eastAsia="de-DE"/>
        </w:rPr>
        <w:t xml:space="preserve"> </w:t>
      </w:r>
      <w:r w:rsidRPr="003A0485">
        <w:rPr>
          <w:rFonts w:eastAsia="Times New Roman" w:cs="Times New Roman"/>
          <w:lang w:eastAsia="de-DE"/>
        </w:rPr>
        <w:t xml:space="preserve">„Meer" mit Artikel und </w:t>
      </w:r>
      <w:r w:rsidRPr="003A0485">
        <w:rPr>
          <w:rFonts w:eastAsia="Times New Roman" w:cs="Times New Roman"/>
          <w:b/>
          <w:bCs/>
          <w:rtl/>
          <w:lang w:eastAsia="de-DE"/>
        </w:rPr>
        <w:t>גָּדוֹל</w:t>
      </w:r>
      <w:r w:rsidRPr="003A0485">
        <w:rPr>
          <w:rFonts w:eastAsia="Times New Roman" w:cs="Times New Roman"/>
          <w:rtl/>
          <w:lang w:eastAsia="de-DE"/>
        </w:rPr>
        <w:t xml:space="preserve"> </w:t>
      </w:r>
      <w:r w:rsidRPr="003A0485">
        <w:rPr>
          <w:rFonts w:eastAsia="Times New Roman" w:cs="Times New Roman"/>
          <w:lang w:eastAsia="de-DE"/>
        </w:rPr>
        <w:t xml:space="preserve">„groß" „das große Meer" = das Mittelmeer), </w:t>
      </w:r>
      <w:r w:rsidRPr="003A0485">
        <w:rPr>
          <w:rFonts w:eastAsia="Times New Roman" w:cs="Times New Roman"/>
          <w:b/>
          <w:bCs/>
          <w:rtl/>
          <w:lang w:eastAsia="de-DE"/>
        </w:rPr>
        <w:t>וּגְבוּל</w:t>
      </w:r>
      <w:r w:rsidRPr="003A0485">
        <w:rPr>
          <w:rFonts w:eastAsia="Times New Roman" w:cs="Times New Roman"/>
          <w:rtl/>
          <w:lang w:eastAsia="de-DE"/>
        </w:rPr>
        <w:t xml:space="preserve"> </w:t>
      </w:r>
      <w:r w:rsidRPr="003A0485">
        <w:rPr>
          <w:rFonts w:eastAsia="Times New Roman" w:cs="Times New Roman"/>
          <w:lang w:eastAsia="de-DE"/>
        </w:rPr>
        <w:t xml:space="preserve">(Konjunktion mit </w:t>
      </w:r>
      <w:r w:rsidRPr="003A0485">
        <w:rPr>
          <w:rFonts w:eastAsia="Times New Roman" w:cs="Times New Roman"/>
          <w:b/>
          <w:bCs/>
          <w:rtl/>
          <w:lang w:eastAsia="de-DE"/>
        </w:rPr>
        <w:t>גְּבוּל</w:t>
      </w:r>
      <w:r w:rsidRPr="003A0485">
        <w:rPr>
          <w:rFonts w:eastAsia="Times New Roman" w:cs="Times New Roman"/>
          <w:rtl/>
          <w:lang w:eastAsia="de-DE"/>
        </w:rPr>
        <w:t xml:space="preserve"> </w:t>
      </w:r>
      <w:r w:rsidRPr="003A0485">
        <w:rPr>
          <w:rFonts w:eastAsia="Times New Roman" w:cs="Times New Roman"/>
          <w:lang w:eastAsia="de-DE"/>
        </w:rPr>
        <w:t xml:space="preserve">„und das Gebiet/die Grenze"). </w:t>
      </w:r>
      <w:r w:rsidRPr="003A0485">
        <w:rPr>
          <w:rFonts w:eastAsia="Times New Roman" w:cs="Times New Roman"/>
          <w:b/>
          <w:bCs/>
          <w:rtl/>
          <w:lang w:eastAsia="de-DE"/>
        </w:rPr>
        <w:t>זֶה־יִהְיֶה לָכֶם גְּבוּל יָם</w:t>
      </w:r>
      <w:r w:rsidRPr="003A0485">
        <w:rPr>
          <w:rFonts w:eastAsia="Times New Roman" w:cs="Times New Roman"/>
          <w:rtl/>
          <w:lang w:eastAsia="de-DE"/>
        </w:rPr>
        <w:t xml:space="preserve"> </w:t>
      </w:r>
      <w:r w:rsidRPr="003A0485">
        <w:rPr>
          <w:rFonts w:eastAsia="Times New Roman" w:cs="Times New Roman"/>
          <w:lang w:eastAsia="de-DE"/>
        </w:rPr>
        <w:t xml:space="preserve">ist die bekräftigende Wiederholung. </w:t>
      </w:r>
      <w:r w:rsidRPr="003A0485">
        <w:rPr>
          <w:rFonts w:eastAsia="Times New Roman" w:cs="Times New Roman"/>
          <w:b/>
          <w:bCs/>
          <w:rtl/>
          <w:lang w:eastAsia="de-DE"/>
        </w:rPr>
        <w:t>זֶה</w:t>
      </w:r>
      <w:r w:rsidRPr="003A0485">
        <w:rPr>
          <w:rFonts w:eastAsia="Times New Roman" w:cs="Times New Roman"/>
          <w:rtl/>
          <w:lang w:eastAsia="de-DE"/>
        </w:rPr>
        <w:t xml:space="preserve"> </w:t>
      </w:r>
      <w:r w:rsidRPr="003A0485">
        <w:rPr>
          <w:rFonts w:eastAsia="Times New Roman" w:cs="Times New Roman"/>
          <w:lang w:eastAsia="de-DE"/>
        </w:rPr>
        <w:t xml:space="preserve">(Demonstrativpronomen maskulin „dies"), </w:t>
      </w:r>
      <w:r w:rsidRPr="003A0485">
        <w:rPr>
          <w:rFonts w:eastAsia="Times New Roman" w:cs="Times New Roman"/>
          <w:b/>
          <w:bCs/>
          <w:rtl/>
          <w:lang w:eastAsia="de-DE"/>
        </w:rPr>
        <w:t>יִהְיֶה לָכֶם</w:t>
      </w:r>
      <w:r w:rsidRPr="003A0485">
        <w:rPr>
          <w:rFonts w:eastAsia="Times New Roman" w:cs="Times New Roman"/>
          <w:rtl/>
          <w:lang w:eastAsia="de-DE"/>
        </w:rPr>
        <w:t xml:space="preserve"> </w:t>
      </w:r>
      <w:r w:rsidRPr="003A0485">
        <w:rPr>
          <w:rFonts w:eastAsia="Times New Roman" w:cs="Times New Roman"/>
          <w:lang w:eastAsia="de-DE"/>
        </w:rPr>
        <w:t xml:space="preserve">(Qal Imperfekt 3. Person maskulin Singular von </w:t>
      </w:r>
      <w:r w:rsidRPr="003A0485">
        <w:rPr>
          <w:rFonts w:eastAsia="Times New Roman" w:cs="Times New Roman"/>
          <w:b/>
          <w:bCs/>
          <w:rtl/>
          <w:lang w:eastAsia="de-DE"/>
        </w:rPr>
        <w:t>היה</w:t>
      </w:r>
      <w:r w:rsidRPr="003A0485">
        <w:rPr>
          <w:rFonts w:eastAsia="Times New Roman" w:cs="Times New Roman"/>
          <w:rtl/>
          <w:lang w:eastAsia="de-DE"/>
        </w:rPr>
        <w:t xml:space="preserve"> </w:t>
      </w:r>
      <w:r w:rsidRPr="003A0485">
        <w:rPr>
          <w:rFonts w:eastAsia="Times New Roman" w:cs="Times New Roman"/>
          <w:lang w:eastAsia="de-DE"/>
        </w:rPr>
        <w:t xml:space="preserve">mit Dativ), </w:t>
      </w:r>
      <w:r w:rsidRPr="003A0485">
        <w:rPr>
          <w:rFonts w:eastAsia="Times New Roman" w:cs="Times New Roman"/>
          <w:b/>
          <w:bCs/>
          <w:rtl/>
          <w:lang w:eastAsia="de-DE"/>
        </w:rPr>
        <w:t>גְּבוּל יָם</w:t>
      </w:r>
      <w:r w:rsidRPr="003A0485">
        <w:rPr>
          <w:rFonts w:eastAsia="Times New Roman" w:cs="Times New Roman"/>
          <w:rtl/>
          <w:lang w:eastAsia="de-DE"/>
        </w:rPr>
        <w:t xml:space="preserve"> </w:t>
      </w:r>
      <w:r w:rsidRPr="003A0485">
        <w:rPr>
          <w:rFonts w:eastAsia="Times New Roman" w:cs="Times New Roman"/>
          <w:lang w:eastAsia="de-DE"/>
        </w:rPr>
        <w:t>(„Westgrenze").</w:t>
      </w:r>
    </w:p>
    <w:p w14:paraId="2F1E93EA"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lastRenderedPageBreak/>
        <w:t>Die Satzstruktur zeigt eine Überschrift, eine Definition und eine bekräftigende Wiederholung.</w:t>
      </w:r>
    </w:p>
    <w:p w14:paraId="431D4C2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definiert die Westgrenze als das Mittelmeer - eine natürliche, klare Grenze, die keine detaillierte Beschreibung erfordert. Die Kürze kontrastiert mit den komplexen Land- und Gebirgsgrenzen.</w:t>
      </w:r>
    </w:p>
    <w:p w14:paraId="55FF4D55"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34,7</w:t>
      </w:r>
    </w:p>
    <w:p w14:paraId="3E469590"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וְזֶֽה־יִהְיֶ֥ה לָכֶ֖ם גְּב֣וּל צָפ֑וֹן מִן־הַיָּם֙ הַגָּדֹ֔ל תְּתָא֥וּ לָכֶ֖ם הֹ֥ר הָהָֽר׃</w:t>
      </w:r>
    </w:p>
    <w:p w14:paraId="34E48D6E"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dies soll euch die Nordgrenze sein: Vom großen Meer sollt ihr euch abmessen zum Berg Hor.</w:t>
      </w:r>
    </w:p>
    <w:p w14:paraId="3F127FD1"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51017EF3">
          <v:rect id="_x0000_i2046" style="width:0;height:1.5pt" o:hralign="center" o:hrstd="t" o:hr="t" fillcolor="#a0a0a0" stroked="f"/>
        </w:pict>
      </w:r>
    </w:p>
    <w:p w14:paraId="43BE3A03" w14:textId="1E1CC882"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beginnt die Nordgrenze. </w:t>
      </w:r>
      <w:r w:rsidRPr="003A0485">
        <w:rPr>
          <w:rFonts w:eastAsia="Times New Roman" w:cs="Times New Roman"/>
          <w:b/>
          <w:bCs/>
          <w:rtl/>
          <w:lang w:eastAsia="de-DE"/>
        </w:rPr>
        <w:t>וְזֶה־יִהְיֶה לָכֶם גְּבוּל צָפוֹן</w:t>
      </w:r>
      <w:r w:rsidRPr="003A0485">
        <w:rPr>
          <w:rFonts w:eastAsia="Times New Roman" w:cs="Times New Roman"/>
          <w:rtl/>
          <w:lang w:eastAsia="de-DE"/>
        </w:rPr>
        <w:t xml:space="preserve"> </w:t>
      </w:r>
      <w:r w:rsidRPr="003A0485">
        <w:rPr>
          <w:rFonts w:eastAsia="Times New Roman" w:cs="Times New Roman"/>
          <w:lang w:eastAsia="de-DE"/>
        </w:rPr>
        <w:t xml:space="preserve">ist die Überschrift. </w:t>
      </w:r>
      <w:r w:rsidRPr="003A0485">
        <w:rPr>
          <w:rFonts w:eastAsia="Times New Roman" w:cs="Times New Roman"/>
          <w:b/>
          <w:bCs/>
          <w:rtl/>
          <w:lang w:eastAsia="de-DE"/>
        </w:rPr>
        <w:t>וְזֶה</w:t>
      </w:r>
      <w:r w:rsidRPr="003A0485">
        <w:rPr>
          <w:rFonts w:eastAsia="Times New Roman" w:cs="Times New Roman"/>
          <w:rtl/>
          <w:lang w:eastAsia="de-DE"/>
        </w:rPr>
        <w:t xml:space="preserve"> </w:t>
      </w:r>
      <w:r w:rsidRPr="003A0485">
        <w:rPr>
          <w:rFonts w:eastAsia="Times New Roman" w:cs="Times New Roman"/>
          <w:lang w:eastAsia="de-DE"/>
        </w:rPr>
        <w:t xml:space="preserve">(Konjunktion mit Demonstrativpronomen), </w:t>
      </w:r>
      <w:r w:rsidRPr="003A0485">
        <w:rPr>
          <w:rFonts w:eastAsia="Times New Roman" w:cs="Times New Roman"/>
          <w:b/>
          <w:bCs/>
          <w:rtl/>
          <w:lang w:eastAsia="de-DE"/>
        </w:rPr>
        <w:t>גְּבוּל צָפוֹן</w:t>
      </w:r>
      <w:r w:rsidRPr="003A0485">
        <w:rPr>
          <w:rFonts w:eastAsia="Times New Roman" w:cs="Times New Roman"/>
          <w:rtl/>
          <w:lang w:eastAsia="de-DE"/>
        </w:rPr>
        <w:t xml:space="preserve"> </w:t>
      </w:r>
      <w:r w:rsidRPr="003A0485">
        <w:rPr>
          <w:rFonts w:eastAsia="Times New Roman" w:cs="Times New Roman"/>
          <w:lang w:eastAsia="de-DE"/>
        </w:rPr>
        <w:t>(</w:t>
      </w:r>
      <w:r w:rsidR="00B513FF">
        <w:rPr>
          <w:rFonts w:eastAsia="Times New Roman" w:cs="Times New Roman"/>
          <w:lang w:eastAsia="de-DE"/>
        </w:rPr>
        <w:t xml:space="preserve">Constructus </w:t>
      </w:r>
      <w:r w:rsidRPr="003A0485">
        <w:rPr>
          <w:rFonts w:eastAsia="Times New Roman" w:cs="Times New Roman"/>
          <w:lang w:eastAsia="de-DE"/>
        </w:rPr>
        <w:t xml:space="preserve">verbindung „Nordgrenze"). </w:t>
      </w:r>
      <w:r w:rsidRPr="003A0485">
        <w:rPr>
          <w:rFonts w:eastAsia="Times New Roman" w:cs="Times New Roman"/>
          <w:b/>
          <w:bCs/>
          <w:rtl/>
          <w:lang w:eastAsia="de-DE"/>
        </w:rPr>
        <w:t>מִן־הַיָּם הַגָּדֹל תְּתָאוּ לָכֶם הֹר הָהָר</w:t>
      </w:r>
      <w:r w:rsidRPr="003A0485">
        <w:rPr>
          <w:rFonts w:eastAsia="Times New Roman" w:cs="Times New Roman"/>
          <w:rtl/>
          <w:lang w:eastAsia="de-DE"/>
        </w:rPr>
        <w:t xml:space="preserve"> </w:t>
      </w:r>
      <w:r w:rsidRPr="003A0485">
        <w:rPr>
          <w:rFonts w:eastAsia="Times New Roman" w:cs="Times New Roman"/>
          <w:lang w:eastAsia="de-DE"/>
        </w:rPr>
        <w:t xml:space="preserve">gibt den Verlauf an. </w:t>
      </w:r>
      <w:r w:rsidRPr="003A0485">
        <w:rPr>
          <w:rFonts w:eastAsia="Times New Roman" w:cs="Times New Roman"/>
          <w:b/>
          <w:bCs/>
          <w:rtl/>
          <w:lang w:eastAsia="de-DE"/>
        </w:rPr>
        <w:t>מִן־הַיָּם הַגָּדֹל</w:t>
      </w:r>
      <w:r w:rsidRPr="003A0485">
        <w:rPr>
          <w:rFonts w:eastAsia="Times New Roman" w:cs="Times New Roman"/>
          <w:rtl/>
          <w:lang w:eastAsia="de-DE"/>
        </w:rPr>
        <w:t xml:space="preserve"> </w:t>
      </w:r>
      <w:r w:rsidRPr="003A0485">
        <w:rPr>
          <w:rFonts w:eastAsia="Times New Roman" w:cs="Times New Roman"/>
          <w:lang w:eastAsia="de-DE"/>
        </w:rPr>
        <w:t xml:space="preserve">(„vom großen Meer", d.h. Ausgangspunkt im Westen), </w:t>
      </w:r>
      <w:r w:rsidRPr="003A0485">
        <w:rPr>
          <w:rFonts w:eastAsia="Times New Roman" w:cs="Times New Roman"/>
          <w:b/>
          <w:bCs/>
          <w:rtl/>
          <w:lang w:eastAsia="de-DE"/>
        </w:rPr>
        <w:t>תְּתָאוּ</w:t>
      </w:r>
      <w:r w:rsidRPr="003A0485">
        <w:rPr>
          <w:rFonts w:eastAsia="Times New Roman" w:cs="Times New Roman"/>
          <w:rtl/>
          <w:lang w:eastAsia="de-DE"/>
        </w:rPr>
        <w:t xml:space="preserve"> </w:t>
      </w:r>
      <w:r w:rsidRPr="003A0485">
        <w:rPr>
          <w:rFonts w:eastAsia="Times New Roman" w:cs="Times New Roman"/>
          <w:lang w:eastAsia="de-DE"/>
        </w:rPr>
        <w:t xml:space="preserve">(Piel Imperfekt 2. Person maskulin Plural von </w:t>
      </w:r>
      <w:r w:rsidRPr="003A0485">
        <w:rPr>
          <w:rFonts w:eastAsia="Times New Roman" w:cs="Times New Roman"/>
          <w:b/>
          <w:bCs/>
          <w:rtl/>
          <w:lang w:eastAsia="de-DE"/>
        </w:rPr>
        <w:t>תאה</w:t>
      </w:r>
      <w:r w:rsidRPr="003A0485">
        <w:rPr>
          <w:rFonts w:eastAsia="Times New Roman" w:cs="Times New Roman"/>
          <w:lang w:eastAsia="de-DE"/>
        </w:rPr>
        <w:t>/</w:t>
      </w:r>
      <w:r w:rsidRPr="003A0485">
        <w:rPr>
          <w:rFonts w:eastAsia="Times New Roman" w:cs="Times New Roman"/>
          <w:b/>
          <w:bCs/>
          <w:rtl/>
          <w:lang w:eastAsia="de-DE"/>
        </w:rPr>
        <w:t>תוה</w:t>
      </w:r>
      <w:r w:rsidRPr="003A0485">
        <w:rPr>
          <w:rFonts w:eastAsia="Times New Roman" w:cs="Times New Roman"/>
          <w:rtl/>
          <w:lang w:eastAsia="de-DE"/>
        </w:rPr>
        <w:t xml:space="preserve"> </w:t>
      </w:r>
      <w:r w:rsidRPr="003A0485">
        <w:rPr>
          <w:rFonts w:eastAsia="Times New Roman" w:cs="Times New Roman"/>
          <w:lang w:eastAsia="de-DE"/>
        </w:rPr>
        <w:t xml:space="preserve">„abgrenzen, abmessen, markieren"), </w:t>
      </w:r>
      <w:r w:rsidRPr="003A0485">
        <w:rPr>
          <w:rFonts w:eastAsia="Times New Roman" w:cs="Times New Roman"/>
          <w:b/>
          <w:bCs/>
          <w:rtl/>
          <w:lang w:eastAsia="de-DE"/>
        </w:rPr>
        <w:t>לָכֶם</w:t>
      </w:r>
      <w:r w:rsidRPr="003A0485">
        <w:rPr>
          <w:rFonts w:eastAsia="Times New Roman" w:cs="Times New Roman"/>
          <w:rtl/>
          <w:lang w:eastAsia="de-DE"/>
        </w:rPr>
        <w:t xml:space="preserve"> </w:t>
      </w:r>
      <w:r w:rsidRPr="003A0485">
        <w:rPr>
          <w:rFonts w:eastAsia="Times New Roman" w:cs="Times New Roman"/>
          <w:lang w:eastAsia="de-DE"/>
        </w:rPr>
        <w:t xml:space="preserve">(Dativ), </w:t>
      </w:r>
      <w:r w:rsidRPr="003A0485">
        <w:rPr>
          <w:rFonts w:eastAsia="Times New Roman" w:cs="Times New Roman"/>
          <w:b/>
          <w:bCs/>
          <w:rtl/>
          <w:lang w:eastAsia="de-DE"/>
        </w:rPr>
        <w:t>הֹר הָהָר</w:t>
      </w:r>
      <w:r w:rsidRPr="003A0485">
        <w:rPr>
          <w:rFonts w:eastAsia="Times New Roman" w:cs="Times New Roman"/>
          <w:rtl/>
          <w:lang w:eastAsia="de-DE"/>
        </w:rPr>
        <w:t xml:space="preserve"> </w:t>
      </w:r>
      <w:r w:rsidRPr="003A0485">
        <w:rPr>
          <w:rFonts w:eastAsia="Times New Roman" w:cs="Times New Roman"/>
          <w:lang w:eastAsia="de-DE"/>
        </w:rPr>
        <w:t>(</w:t>
      </w:r>
      <w:r w:rsidR="00B513FF">
        <w:rPr>
          <w:rFonts w:eastAsia="Times New Roman" w:cs="Times New Roman"/>
          <w:lang w:eastAsia="de-DE"/>
        </w:rPr>
        <w:t xml:space="preserve">Constructus </w:t>
      </w:r>
      <w:r w:rsidRPr="003A0485">
        <w:rPr>
          <w:rFonts w:eastAsia="Times New Roman" w:cs="Times New Roman"/>
          <w:lang w:eastAsia="de-DE"/>
        </w:rPr>
        <w:t xml:space="preserve">verbindung: </w:t>
      </w:r>
      <w:r w:rsidRPr="003A0485">
        <w:rPr>
          <w:rFonts w:eastAsia="Times New Roman" w:cs="Times New Roman"/>
          <w:b/>
          <w:bCs/>
          <w:rtl/>
          <w:lang w:eastAsia="de-DE"/>
        </w:rPr>
        <w:t>הֹר</w:t>
      </w:r>
      <w:r w:rsidRPr="003A0485">
        <w:rPr>
          <w:rFonts w:eastAsia="Times New Roman" w:cs="Times New Roman"/>
          <w:rtl/>
          <w:lang w:eastAsia="de-DE"/>
        </w:rPr>
        <w:t xml:space="preserve"> </w:t>
      </w:r>
      <w:r w:rsidRPr="003A0485">
        <w:rPr>
          <w:rFonts w:eastAsia="Times New Roman" w:cs="Times New Roman"/>
          <w:lang w:eastAsia="de-DE"/>
        </w:rPr>
        <w:t xml:space="preserve">„Berg" mit </w:t>
      </w:r>
      <w:r w:rsidRPr="003A0485">
        <w:rPr>
          <w:rFonts w:eastAsia="Times New Roman" w:cs="Times New Roman"/>
          <w:b/>
          <w:bCs/>
          <w:rtl/>
          <w:lang w:eastAsia="de-DE"/>
        </w:rPr>
        <w:t>הָהָר</w:t>
      </w:r>
      <w:r w:rsidRPr="003A0485">
        <w:rPr>
          <w:rFonts w:eastAsia="Times New Roman" w:cs="Times New Roman"/>
          <w:rtl/>
          <w:lang w:eastAsia="de-DE"/>
        </w:rPr>
        <w:t xml:space="preserve"> </w:t>
      </w:r>
      <w:r w:rsidRPr="003A0485">
        <w:rPr>
          <w:rFonts w:eastAsia="Times New Roman" w:cs="Times New Roman"/>
          <w:lang w:eastAsia="de-DE"/>
        </w:rPr>
        <w:t xml:space="preserve">„der Berg" mit Artikel „der Berg Hor"). Dieser </w:t>
      </w:r>
      <w:r w:rsidRPr="003A0485">
        <w:rPr>
          <w:rFonts w:eastAsia="Times New Roman" w:cs="Times New Roman"/>
          <w:b/>
          <w:bCs/>
          <w:rtl/>
          <w:lang w:eastAsia="de-DE"/>
        </w:rPr>
        <w:t>הֹר הָהָר</w:t>
      </w:r>
      <w:r w:rsidRPr="003A0485">
        <w:rPr>
          <w:rFonts w:eastAsia="Times New Roman" w:cs="Times New Roman"/>
          <w:rtl/>
          <w:lang w:eastAsia="de-DE"/>
        </w:rPr>
        <w:t xml:space="preserve"> </w:t>
      </w:r>
      <w:r w:rsidRPr="003A0485">
        <w:rPr>
          <w:rFonts w:eastAsia="Times New Roman" w:cs="Times New Roman"/>
          <w:lang w:eastAsia="de-DE"/>
        </w:rPr>
        <w:t>ist nicht identisch mit dem Berg Hor in 33,37-39 (wo Aaron starb) - das war im Süden an Edoms Grenze. Dies ist ein nördlicher Berg, dessen genaue Lage unbekannt ist.</w:t>
      </w:r>
    </w:p>
    <w:p w14:paraId="73C44AB2" w14:textId="6A44E5BA"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Die LXX</w:t>
      </w:r>
      <w:r w:rsidRPr="003A0485">
        <w:rPr>
          <w:rFonts w:eastAsia="Times New Roman" w:cs="Times New Roman"/>
          <w:lang w:eastAsia="de-DE"/>
        </w:rPr>
        <w:t xml:space="preserve"> </w:t>
      </w:r>
      <w:r w:rsidR="00192257">
        <w:t>übersetzt „</w:t>
      </w:r>
      <w:r w:rsidR="00192257" w:rsidRPr="00192257">
        <w:rPr>
          <w:b/>
          <w:bCs/>
          <w:rtl/>
        </w:rPr>
        <w:t>תְּתָאוּ לָכֶם הֹר הָהָר</w:t>
      </w:r>
      <w:r w:rsidR="00192257">
        <w:t>" (ihr sollt euch den Berg Hor abgrenzen) mit „καταμετρήσετε ὑμῖν αὐτοῖς παρὰ τὸ ὄρος τὸ ὄρος" (ihr sollt für euch selbst beim Berg, dem Berg, abmessen), was etwas redundant ist.</w:t>
      </w:r>
    </w:p>
    <w:p w14:paraId="4C72850D"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eine Überschrift und eine Anweisung mit Ausgangs- und Zielpunkt.</w:t>
      </w:r>
    </w:p>
    <w:p w14:paraId="60671D43"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leitet die Nordgrenze ein: vom Mittelmeer ostwärts zu einem Berg Hor - der Beginn der komplexesten Grenzbeschreibung.</w:t>
      </w:r>
    </w:p>
    <w:p w14:paraId="6EDA6F80"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34,8</w:t>
      </w:r>
    </w:p>
    <w:p w14:paraId="4CF46B60"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מֵהֹ֣ר הָהָ֔ר תְּתָא֖וּ לְבֹ֣א חֲמָ֑ת וְהָי֛וּ תּוֹצְאֹ֥ת הַגְּבֻ֖ל צְדָֽדָה׃</w:t>
      </w:r>
    </w:p>
    <w:p w14:paraId="57C80EAD"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Vom Berg Hor sollt ihr abmessen bis man nach Chamat kommt, und es sollen die Ausgänge der Grenze nach Zedad hin sein.</w:t>
      </w:r>
    </w:p>
    <w:p w14:paraId="30E7E3A8"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417008D8">
          <v:rect id="_x0000_i2047" style="width:0;height:1.5pt" o:hralign="center" o:hrstd="t" o:hr="t" fillcolor="#a0a0a0" stroked="f"/>
        </w:pict>
      </w:r>
    </w:p>
    <w:p w14:paraId="4B157195" w14:textId="2D62C3B9"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setzt die Nordgrenze fort. </w:t>
      </w:r>
      <w:r w:rsidRPr="003A0485">
        <w:rPr>
          <w:rFonts w:eastAsia="Times New Roman" w:cs="Times New Roman"/>
          <w:b/>
          <w:bCs/>
          <w:rtl/>
          <w:lang w:eastAsia="de-DE"/>
        </w:rPr>
        <w:t>מֵהֹר הָהָר תְּתָאוּ לְבֹא חֲמָת</w:t>
      </w:r>
      <w:r w:rsidRPr="003A0485">
        <w:rPr>
          <w:rFonts w:eastAsia="Times New Roman" w:cs="Times New Roman"/>
          <w:rtl/>
          <w:lang w:eastAsia="de-DE"/>
        </w:rPr>
        <w:t xml:space="preserve"> </w:t>
      </w:r>
      <w:r w:rsidRPr="003A0485">
        <w:rPr>
          <w:rFonts w:eastAsia="Times New Roman" w:cs="Times New Roman"/>
          <w:lang w:eastAsia="de-DE"/>
        </w:rPr>
        <w:t xml:space="preserve">zeigt die Richtung. </w:t>
      </w:r>
      <w:r w:rsidRPr="003A0485">
        <w:rPr>
          <w:rFonts w:eastAsia="Times New Roman" w:cs="Times New Roman"/>
          <w:b/>
          <w:bCs/>
          <w:rtl/>
          <w:lang w:eastAsia="de-DE"/>
        </w:rPr>
        <w:t>מֵהֹר הָהָר</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„Berg Hor" „vom Berg Hor"), </w:t>
      </w:r>
      <w:r w:rsidRPr="003A0485">
        <w:rPr>
          <w:rFonts w:eastAsia="Times New Roman" w:cs="Times New Roman"/>
          <w:b/>
          <w:bCs/>
          <w:rtl/>
          <w:lang w:eastAsia="de-DE"/>
        </w:rPr>
        <w:t>תְּתָאוּ</w:t>
      </w:r>
      <w:r w:rsidRPr="003A0485">
        <w:rPr>
          <w:rFonts w:eastAsia="Times New Roman" w:cs="Times New Roman"/>
          <w:rtl/>
          <w:lang w:eastAsia="de-DE"/>
        </w:rPr>
        <w:t xml:space="preserve"> </w:t>
      </w:r>
      <w:r w:rsidRPr="003A0485">
        <w:rPr>
          <w:rFonts w:eastAsia="Times New Roman" w:cs="Times New Roman"/>
          <w:lang w:eastAsia="de-DE"/>
        </w:rPr>
        <w:t xml:space="preserve">(wie in V. 7), </w:t>
      </w:r>
      <w:r w:rsidRPr="003A0485">
        <w:rPr>
          <w:rFonts w:eastAsia="Times New Roman" w:cs="Times New Roman"/>
          <w:b/>
          <w:bCs/>
          <w:rtl/>
          <w:lang w:eastAsia="de-DE"/>
        </w:rPr>
        <w:t>לְבֹא חֲמָת</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Qal Infinitiv </w:t>
      </w:r>
      <w:r w:rsidR="00E031B3">
        <w:rPr>
          <w:rFonts w:eastAsia="Times New Roman" w:cs="Times New Roman"/>
          <w:lang w:eastAsia="de-DE"/>
        </w:rPr>
        <w:t>Constructus von</w:t>
      </w:r>
      <w:r w:rsidRPr="003A0485">
        <w:rPr>
          <w:rFonts w:eastAsia="Times New Roman" w:cs="Times New Roman"/>
          <w:lang w:eastAsia="de-DE"/>
        </w:rPr>
        <w:t xml:space="preserve"> </w:t>
      </w:r>
      <w:r w:rsidRPr="003A0485">
        <w:rPr>
          <w:rFonts w:eastAsia="Times New Roman" w:cs="Times New Roman"/>
          <w:b/>
          <w:bCs/>
          <w:rtl/>
          <w:lang w:eastAsia="de-DE"/>
        </w:rPr>
        <w:t>בוא</w:t>
      </w:r>
      <w:r w:rsidRPr="003A0485">
        <w:rPr>
          <w:rFonts w:eastAsia="Times New Roman" w:cs="Times New Roman"/>
          <w:rtl/>
          <w:lang w:eastAsia="de-DE"/>
        </w:rPr>
        <w:t xml:space="preserve"> </w:t>
      </w:r>
      <w:r w:rsidRPr="003A0485">
        <w:rPr>
          <w:rFonts w:eastAsia="Times New Roman" w:cs="Times New Roman"/>
          <w:lang w:eastAsia="de-DE"/>
        </w:rPr>
        <w:t xml:space="preserve">„kommen" und </w:t>
      </w:r>
      <w:r w:rsidRPr="003A0485">
        <w:rPr>
          <w:rFonts w:eastAsia="Times New Roman" w:cs="Times New Roman"/>
          <w:b/>
          <w:bCs/>
          <w:rtl/>
          <w:lang w:eastAsia="de-DE"/>
        </w:rPr>
        <w:t>חֲמָת</w:t>
      </w:r>
      <w:r w:rsidRPr="003A0485">
        <w:rPr>
          <w:rFonts w:eastAsia="Times New Roman" w:cs="Times New Roman"/>
          <w:rtl/>
          <w:lang w:eastAsia="de-DE"/>
        </w:rPr>
        <w:t xml:space="preserve"> </w:t>
      </w:r>
      <w:r w:rsidRPr="003A0485">
        <w:rPr>
          <w:rFonts w:eastAsia="Times New Roman" w:cs="Times New Roman"/>
          <w:lang w:eastAsia="de-DE"/>
        </w:rPr>
        <w:t xml:space="preserve">„Hamath" „bis man nach Hamath kommt"). Hamath (heute Hama in Syrien) liegt weit im Norden - die Formulierung </w:t>
      </w:r>
      <w:r w:rsidRPr="003A0485">
        <w:rPr>
          <w:rFonts w:eastAsia="Times New Roman" w:cs="Times New Roman"/>
          <w:b/>
          <w:bCs/>
          <w:rtl/>
          <w:lang w:eastAsia="de-DE"/>
        </w:rPr>
        <w:t>לְבֹא חֲמָת</w:t>
      </w:r>
      <w:r w:rsidRPr="003A0485">
        <w:rPr>
          <w:rFonts w:eastAsia="Times New Roman" w:cs="Times New Roman"/>
          <w:rtl/>
          <w:lang w:eastAsia="de-DE"/>
        </w:rPr>
        <w:t xml:space="preserve"> </w:t>
      </w:r>
      <w:r w:rsidRPr="003A0485">
        <w:rPr>
          <w:rFonts w:eastAsia="Times New Roman" w:cs="Times New Roman"/>
          <w:lang w:eastAsia="de-DE"/>
        </w:rPr>
        <w:t xml:space="preserve">(„Eingang/Zugang zu Hamath") bezeichnet wahrscheinlich den südlichen Zugang zum Gebiet von Hamath. </w:t>
      </w:r>
      <w:r w:rsidRPr="003A0485">
        <w:rPr>
          <w:rFonts w:eastAsia="Times New Roman" w:cs="Times New Roman"/>
          <w:b/>
          <w:bCs/>
          <w:rtl/>
          <w:lang w:eastAsia="de-DE"/>
        </w:rPr>
        <w:t>וְהָיוּ תוֹצְאֹת הַגְּבֻל צְדָדָה</w:t>
      </w:r>
      <w:r w:rsidRPr="003A0485">
        <w:rPr>
          <w:rFonts w:eastAsia="Times New Roman" w:cs="Times New Roman"/>
          <w:rtl/>
          <w:lang w:eastAsia="de-DE"/>
        </w:rPr>
        <w:t xml:space="preserve"> </w:t>
      </w:r>
      <w:r w:rsidRPr="003A0485">
        <w:rPr>
          <w:rFonts w:eastAsia="Times New Roman" w:cs="Times New Roman"/>
          <w:lang w:eastAsia="de-DE"/>
        </w:rPr>
        <w:t xml:space="preserve">gibt den nächsten Punkt an. </w:t>
      </w:r>
      <w:r w:rsidRPr="003A0485">
        <w:rPr>
          <w:rFonts w:eastAsia="Times New Roman" w:cs="Times New Roman"/>
          <w:b/>
          <w:bCs/>
          <w:rtl/>
          <w:lang w:eastAsia="de-DE"/>
        </w:rPr>
        <w:lastRenderedPageBreak/>
        <w:t>תוֹצְאֹת הַגְּבֻל</w:t>
      </w:r>
      <w:r w:rsidRPr="003A0485">
        <w:rPr>
          <w:rFonts w:eastAsia="Times New Roman" w:cs="Times New Roman"/>
          <w:rtl/>
          <w:lang w:eastAsia="de-DE"/>
        </w:rPr>
        <w:t xml:space="preserve"> </w:t>
      </w:r>
      <w:r w:rsidRPr="003A0485">
        <w:rPr>
          <w:rFonts w:eastAsia="Times New Roman" w:cs="Times New Roman"/>
          <w:lang w:eastAsia="de-DE"/>
        </w:rPr>
        <w:t xml:space="preserve">(„die Ausgänge/Endpunkte der Grenze"), </w:t>
      </w:r>
      <w:r w:rsidRPr="003A0485">
        <w:rPr>
          <w:rFonts w:eastAsia="Times New Roman" w:cs="Times New Roman"/>
          <w:b/>
          <w:bCs/>
          <w:rtl/>
          <w:lang w:eastAsia="de-DE"/>
        </w:rPr>
        <w:t>צְדָדָה</w:t>
      </w:r>
      <w:r w:rsidRPr="003A0485">
        <w:rPr>
          <w:rFonts w:eastAsia="Times New Roman" w:cs="Times New Roman"/>
          <w:rtl/>
          <w:lang w:eastAsia="de-DE"/>
        </w:rPr>
        <w:t xml:space="preserve"> </w:t>
      </w:r>
      <w:r w:rsidRPr="003A0485">
        <w:rPr>
          <w:rFonts w:eastAsia="Times New Roman" w:cs="Times New Roman"/>
          <w:lang w:eastAsia="de-DE"/>
        </w:rPr>
        <w:t xml:space="preserve">(Ortsname </w:t>
      </w:r>
      <w:r w:rsidRPr="003A0485">
        <w:rPr>
          <w:rFonts w:eastAsia="Times New Roman" w:cs="Times New Roman"/>
          <w:b/>
          <w:bCs/>
          <w:rtl/>
          <w:lang w:eastAsia="de-DE"/>
        </w:rPr>
        <w:t>צְדָד</w:t>
      </w:r>
      <w:r w:rsidRPr="003A0485">
        <w:rPr>
          <w:rFonts w:eastAsia="Times New Roman" w:cs="Times New Roman"/>
          <w:rtl/>
          <w:lang w:eastAsia="de-DE"/>
        </w:rPr>
        <w:t xml:space="preserve"> </w:t>
      </w:r>
      <w:r w:rsidRPr="003A0485">
        <w:rPr>
          <w:rFonts w:eastAsia="Times New Roman" w:cs="Times New Roman"/>
          <w:lang w:eastAsia="de-DE"/>
        </w:rPr>
        <w:t xml:space="preserve">„Zedad" mit Richtungsendung </w:t>
      </w:r>
      <w:r w:rsidRPr="003A0485">
        <w:rPr>
          <w:rFonts w:eastAsia="Times New Roman" w:cs="Times New Roman"/>
          <w:b/>
          <w:bCs/>
          <w:rtl/>
          <w:lang w:eastAsia="de-DE"/>
        </w:rPr>
        <w:t>־ָה</w:t>
      </w:r>
      <w:r w:rsidRPr="003A0485">
        <w:rPr>
          <w:rFonts w:eastAsia="Times New Roman" w:cs="Times New Roman"/>
          <w:lang w:eastAsia="de-DE"/>
        </w:rPr>
        <w:t>).</w:t>
      </w:r>
    </w:p>
    <w:p w14:paraId="10B33AE5" w14:textId="783E8078"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Die LXX</w:t>
      </w:r>
      <w:r w:rsidRPr="003A0485">
        <w:rPr>
          <w:rFonts w:eastAsia="Times New Roman" w:cs="Times New Roman"/>
          <w:lang w:eastAsia="de-DE"/>
        </w:rPr>
        <w:t xml:space="preserve"> </w:t>
      </w:r>
      <w:r w:rsidR="00192257">
        <w:t>übersetzt „</w:t>
      </w:r>
      <w:r w:rsidR="00192257" w:rsidRPr="00192257">
        <w:rPr>
          <w:b/>
          <w:bCs/>
          <w:rtl/>
        </w:rPr>
        <w:t>לְבֹא</w:t>
      </w:r>
      <w:r w:rsidR="00192257">
        <w:rPr>
          <w:rtl/>
        </w:rPr>
        <w:t xml:space="preserve"> </w:t>
      </w:r>
      <w:r w:rsidR="00192257" w:rsidRPr="00192257">
        <w:rPr>
          <w:b/>
          <w:bCs/>
          <w:rtl/>
        </w:rPr>
        <w:t>חֲמָת</w:t>
      </w:r>
      <w:r w:rsidR="00192257">
        <w:t>" (nach Lebo-Hamat) mit „εἰσπορευομένων εἰς Ἑμάθ" (beim Hineingehen nach Hamat), und „</w:t>
      </w:r>
      <w:r w:rsidR="00192257">
        <w:rPr>
          <w:rtl/>
        </w:rPr>
        <w:t>צְדָדָה</w:t>
      </w:r>
      <w:r w:rsidR="00192257">
        <w:t>" (Zedad) wird zu „Σαραδά" (Sarada).</w:t>
      </w:r>
    </w:p>
    <w:p w14:paraId="46E72DE5"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eine Anweisung mit Ausgangs- und Richtungspunkt, gefolgt von der Angabe des nächsten Grenzpunktes.</w:t>
      </w:r>
    </w:p>
    <w:p w14:paraId="2DD887B4"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führt die Nordgrenze weiter ostwärts: vom Berg Hor zum Gebiet von Hamath, mit Zedad als nächstem Grenzpunkt.</w:t>
      </w:r>
    </w:p>
    <w:p w14:paraId="66DAD23D"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34,9</w:t>
      </w:r>
    </w:p>
    <w:p w14:paraId="73C063CB"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וְיָצָ֤א הַגְּבֻל֙ זִפְרֹ֔נָה וְהָי֥וּ תוֹצְאֹתָ֖יו חֲצַ֣ר עֵינָ֑ן זֶֽה־יִהְיֶ֥ה לָכֶ֖ם גְּב֥וּל צָפֽוֹן׃</w:t>
      </w:r>
    </w:p>
    <w:p w14:paraId="36C169B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es soll die Grenze nach Siphron hinausgehen, und es sollen ihre Ausgänge nach Chazar-Enan sein. Das soll euch die Nordgrenze sein.</w:t>
      </w:r>
    </w:p>
    <w:p w14:paraId="35008A63"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021014C6">
          <v:rect id="_x0000_i2048" style="width:0;height:1.5pt" o:hralign="center" o:hrstd="t" o:hr="t" fillcolor="#a0a0a0" stroked="f"/>
        </w:pict>
      </w:r>
    </w:p>
    <w:p w14:paraId="70C9BEB2" w14:textId="149A674C"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schließt die Nordgrenze ab. </w:t>
      </w:r>
      <w:r w:rsidRPr="003A0485">
        <w:rPr>
          <w:rFonts w:eastAsia="Times New Roman" w:cs="Times New Roman"/>
          <w:b/>
          <w:bCs/>
          <w:rtl/>
          <w:lang w:eastAsia="de-DE"/>
        </w:rPr>
        <w:t>וְיָצָא הַגְּבֻל זִפְרֹנָה</w:t>
      </w:r>
      <w:r w:rsidRPr="003A0485">
        <w:rPr>
          <w:rFonts w:eastAsia="Times New Roman" w:cs="Times New Roman"/>
          <w:rtl/>
          <w:lang w:eastAsia="de-DE"/>
        </w:rPr>
        <w:t xml:space="preserve"> </w:t>
      </w:r>
      <w:r w:rsidRPr="003A0485">
        <w:rPr>
          <w:rFonts w:eastAsia="Times New Roman" w:cs="Times New Roman"/>
          <w:lang w:eastAsia="de-DE"/>
        </w:rPr>
        <w:t xml:space="preserve">setzt den Verlauf fort. </w:t>
      </w:r>
      <w:r w:rsidRPr="003A0485">
        <w:rPr>
          <w:rFonts w:eastAsia="Times New Roman" w:cs="Times New Roman"/>
          <w:b/>
          <w:bCs/>
          <w:rtl/>
          <w:lang w:eastAsia="de-DE"/>
        </w:rPr>
        <w:t>וְיָצָא הַגְּבֻל</w:t>
      </w:r>
      <w:r w:rsidRPr="003A0485">
        <w:rPr>
          <w:rFonts w:eastAsia="Times New Roman" w:cs="Times New Roman"/>
          <w:rtl/>
          <w:lang w:eastAsia="de-DE"/>
        </w:rPr>
        <w:t xml:space="preserve"> </w:t>
      </w:r>
      <w:r w:rsidRPr="003A0485">
        <w:rPr>
          <w:rFonts w:eastAsia="Times New Roman" w:cs="Times New Roman"/>
          <w:lang w:eastAsia="de-DE"/>
        </w:rPr>
        <w:t xml:space="preserve">(Qal Perfekt 3. Person maskulin Singular mit Waw consecutivum von </w:t>
      </w:r>
      <w:r w:rsidRPr="003A0485">
        <w:rPr>
          <w:rFonts w:eastAsia="Times New Roman" w:cs="Times New Roman"/>
          <w:b/>
          <w:bCs/>
          <w:rtl/>
          <w:lang w:eastAsia="de-DE"/>
        </w:rPr>
        <w:t>יצא</w:t>
      </w:r>
      <w:r w:rsidRPr="003A0485">
        <w:rPr>
          <w:rFonts w:eastAsia="Times New Roman" w:cs="Times New Roman"/>
          <w:rtl/>
          <w:lang w:eastAsia="de-DE"/>
        </w:rPr>
        <w:t xml:space="preserve"> </w:t>
      </w:r>
      <w:r w:rsidRPr="003A0485">
        <w:rPr>
          <w:rFonts w:eastAsia="Times New Roman" w:cs="Times New Roman"/>
          <w:lang w:eastAsia="de-DE"/>
        </w:rPr>
        <w:t xml:space="preserve">„hinausgehen" mit </w:t>
      </w:r>
      <w:r w:rsidRPr="003A0485">
        <w:rPr>
          <w:rFonts w:eastAsia="Times New Roman" w:cs="Times New Roman"/>
          <w:b/>
          <w:bCs/>
          <w:rtl/>
          <w:lang w:eastAsia="de-DE"/>
        </w:rPr>
        <w:t>גְּבוּל</w:t>
      </w:r>
      <w:r w:rsidRPr="003A0485">
        <w:rPr>
          <w:rFonts w:eastAsia="Times New Roman" w:cs="Times New Roman"/>
          <w:rtl/>
          <w:lang w:eastAsia="de-DE"/>
        </w:rPr>
        <w:t xml:space="preserve"> </w:t>
      </w:r>
      <w:r w:rsidRPr="003A0485">
        <w:rPr>
          <w:rFonts w:eastAsia="Times New Roman" w:cs="Times New Roman"/>
          <w:lang w:eastAsia="de-DE"/>
        </w:rPr>
        <w:t xml:space="preserve">„die Grenze"), </w:t>
      </w:r>
      <w:r w:rsidRPr="003A0485">
        <w:rPr>
          <w:rFonts w:eastAsia="Times New Roman" w:cs="Times New Roman"/>
          <w:b/>
          <w:bCs/>
          <w:rtl/>
          <w:lang w:eastAsia="de-DE"/>
        </w:rPr>
        <w:t>זִפְרֹנָה</w:t>
      </w:r>
      <w:r w:rsidRPr="003A0485">
        <w:rPr>
          <w:rFonts w:eastAsia="Times New Roman" w:cs="Times New Roman"/>
          <w:rtl/>
          <w:lang w:eastAsia="de-DE"/>
        </w:rPr>
        <w:t xml:space="preserve"> </w:t>
      </w:r>
      <w:r w:rsidRPr="003A0485">
        <w:rPr>
          <w:rFonts w:eastAsia="Times New Roman" w:cs="Times New Roman"/>
          <w:lang w:eastAsia="de-DE"/>
        </w:rPr>
        <w:t xml:space="preserve">(Ortsname </w:t>
      </w:r>
      <w:r w:rsidRPr="003A0485">
        <w:rPr>
          <w:rFonts w:eastAsia="Times New Roman" w:cs="Times New Roman"/>
          <w:b/>
          <w:bCs/>
          <w:rtl/>
          <w:lang w:eastAsia="de-DE"/>
        </w:rPr>
        <w:t>זִפְרוֹן</w:t>
      </w:r>
      <w:r w:rsidRPr="003A0485">
        <w:rPr>
          <w:rFonts w:eastAsia="Times New Roman" w:cs="Times New Roman"/>
          <w:rtl/>
          <w:lang w:eastAsia="de-DE"/>
        </w:rPr>
        <w:t xml:space="preserve"> </w:t>
      </w:r>
      <w:r w:rsidRPr="003A0485">
        <w:rPr>
          <w:rFonts w:eastAsia="Times New Roman" w:cs="Times New Roman"/>
          <w:lang w:eastAsia="de-DE"/>
        </w:rPr>
        <w:t xml:space="preserve">„Sifron" mit Richtungsendung). </w:t>
      </w:r>
      <w:r w:rsidRPr="003A0485">
        <w:rPr>
          <w:rFonts w:eastAsia="Times New Roman" w:cs="Times New Roman"/>
          <w:b/>
          <w:bCs/>
          <w:rtl/>
          <w:lang w:eastAsia="de-DE"/>
        </w:rPr>
        <w:t>וְהָיוּ תוֹצְאֹתָיו חֲצַר עֵינָן</w:t>
      </w:r>
      <w:r w:rsidRPr="003A0485">
        <w:rPr>
          <w:rFonts w:eastAsia="Times New Roman" w:cs="Times New Roman"/>
          <w:rtl/>
          <w:lang w:eastAsia="de-DE"/>
        </w:rPr>
        <w:t xml:space="preserve"> </w:t>
      </w:r>
      <w:r w:rsidRPr="003A0485">
        <w:rPr>
          <w:rFonts w:eastAsia="Times New Roman" w:cs="Times New Roman"/>
          <w:lang w:eastAsia="de-DE"/>
        </w:rPr>
        <w:t xml:space="preserve">gibt den Endpunkt an. </w:t>
      </w:r>
      <w:r w:rsidRPr="003A0485">
        <w:rPr>
          <w:rFonts w:eastAsia="Times New Roman" w:cs="Times New Roman"/>
          <w:b/>
          <w:bCs/>
          <w:rtl/>
          <w:lang w:eastAsia="de-DE"/>
        </w:rPr>
        <w:t>חֲצַר עֵינָן</w:t>
      </w:r>
      <w:r w:rsidRPr="003A0485">
        <w:rPr>
          <w:rFonts w:eastAsia="Times New Roman" w:cs="Times New Roman"/>
          <w:rtl/>
          <w:lang w:eastAsia="de-DE"/>
        </w:rPr>
        <w:t xml:space="preserve"> </w:t>
      </w:r>
      <w:r w:rsidRPr="003A0485">
        <w:rPr>
          <w:rFonts w:eastAsia="Times New Roman" w:cs="Times New Roman"/>
          <w:lang w:eastAsia="de-DE"/>
        </w:rPr>
        <w:t xml:space="preserve">(Ortsname „Chazar-Enan" - </w:t>
      </w:r>
      <w:r w:rsidRPr="003A0485">
        <w:rPr>
          <w:rFonts w:eastAsia="Times New Roman" w:cs="Times New Roman"/>
          <w:b/>
          <w:bCs/>
          <w:rtl/>
          <w:lang w:eastAsia="de-DE"/>
        </w:rPr>
        <w:t>חָצֵר</w:t>
      </w:r>
      <w:r w:rsidRPr="003A0485">
        <w:rPr>
          <w:rFonts w:eastAsia="Times New Roman" w:cs="Times New Roman"/>
          <w:rtl/>
          <w:lang w:eastAsia="de-DE"/>
        </w:rPr>
        <w:t xml:space="preserve"> </w:t>
      </w:r>
      <w:r w:rsidRPr="003A0485">
        <w:rPr>
          <w:rFonts w:eastAsia="Times New Roman" w:cs="Times New Roman"/>
          <w:lang w:eastAsia="de-DE"/>
        </w:rPr>
        <w:t xml:space="preserve">„Gehöft, Dorf" im </w:t>
      </w:r>
      <w:r w:rsidR="00E031B3">
        <w:rPr>
          <w:rFonts w:eastAsia="Times New Roman" w:cs="Times New Roman"/>
          <w:lang w:eastAsia="de-DE"/>
        </w:rPr>
        <w:t>Constructus mit</w:t>
      </w:r>
      <w:r w:rsidRPr="003A0485">
        <w:rPr>
          <w:rFonts w:eastAsia="Times New Roman" w:cs="Times New Roman"/>
          <w:lang w:eastAsia="de-DE"/>
        </w:rPr>
        <w:t xml:space="preserve"> </w:t>
      </w:r>
      <w:r w:rsidRPr="003A0485">
        <w:rPr>
          <w:rFonts w:eastAsia="Times New Roman" w:cs="Times New Roman"/>
          <w:b/>
          <w:bCs/>
          <w:rtl/>
          <w:lang w:eastAsia="de-DE"/>
        </w:rPr>
        <w:t>עֵינָן</w:t>
      </w:r>
      <w:r w:rsidRPr="003A0485">
        <w:rPr>
          <w:rFonts w:eastAsia="Times New Roman" w:cs="Times New Roman"/>
          <w:lang w:eastAsia="de-DE"/>
        </w:rPr>
        <w:t xml:space="preserve">, vielleicht „Augen-Dorf" oder Eigenname). </w:t>
      </w:r>
      <w:r w:rsidRPr="003A0485">
        <w:rPr>
          <w:rFonts w:eastAsia="Times New Roman" w:cs="Times New Roman"/>
          <w:b/>
          <w:bCs/>
          <w:rtl/>
          <w:lang w:eastAsia="de-DE"/>
        </w:rPr>
        <w:t>זֶה־יִהְיֶה לָכֶם גְּבוּל צָפוֹן</w:t>
      </w:r>
      <w:r w:rsidRPr="003A0485">
        <w:rPr>
          <w:rFonts w:eastAsia="Times New Roman" w:cs="Times New Roman"/>
          <w:rtl/>
          <w:lang w:eastAsia="de-DE"/>
        </w:rPr>
        <w:t xml:space="preserve"> </w:t>
      </w:r>
      <w:r w:rsidRPr="003A0485">
        <w:rPr>
          <w:rFonts w:eastAsia="Times New Roman" w:cs="Times New Roman"/>
          <w:lang w:eastAsia="de-DE"/>
        </w:rPr>
        <w:t>ist die abschließende Formel (wie in V. 6).</w:t>
      </w:r>
    </w:p>
    <w:p w14:paraId="06A59E7D" w14:textId="5335DD53"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Die LXX</w:t>
      </w:r>
      <w:r w:rsidRPr="003A0485">
        <w:rPr>
          <w:rFonts w:eastAsia="Times New Roman" w:cs="Times New Roman"/>
          <w:lang w:eastAsia="de-DE"/>
        </w:rPr>
        <w:t xml:space="preserve"> </w:t>
      </w:r>
      <w:r w:rsidR="00192257">
        <w:t>übersetzt „</w:t>
      </w:r>
      <w:r w:rsidR="00192257" w:rsidRPr="00192257">
        <w:rPr>
          <w:b/>
          <w:bCs/>
          <w:rtl/>
        </w:rPr>
        <w:t>חֲצַר</w:t>
      </w:r>
      <w:r w:rsidR="00192257">
        <w:rPr>
          <w:rtl/>
        </w:rPr>
        <w:t xml:space="preserve"> </w:t>
      </w:r>
      <w:r w:rsidR="00192257" w:rsidRPr="00192257">
        <w:rPr>
          <w:b/>
          <w:bCs/>
          <w:rtl/>
        </w:rPr>
        <w:t>עֵינָן</w:t>
      </w:r>
      <w:r w:rsidR="00192257">
        <w:t>" (Hazar-Enan) mit „Ἁσερναίν" (Hasernain), eine Transliterationsvariante.</w:t>
      </w:r>
    </w:p>
    <w:p w14:paraId="1ABDE393"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zwei koordinierte Aussagen über den Grenzverlauf und eine bekräftigende Schlussformel.</w:t>
      </w:r>
    </w:p>
    <w:p w14:paraId="01D040CB"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beschließt die Nordgrenze bei Chazar-Enan im Nordosten - dies wird auch der Ausgangspunkt für die Ostgrenze sein (V. 10).</w:t>
      </w:r>
    </w:p>
    <w:p w14:paraId="2D525CAD"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34,10</w:t>
      </w:r>
    </w:p>
    <w:p w14:paraId="4BBA23C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וְהִתְאַוִּיתֶ֥ם לָכֶ֖ם לִגְב֣וּל קֵ֑דְמָה מֵחֲצַ֥ר עֵינָ֖ן שְׁפָֽמָה׃</w:t>
      </w:r>
    </w:p>
    <w:p w14:paraId="3EFB6C59"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messt euch ab als östliche Grenze von Chazar-Enan nach Schepham.</w:t>
      </w:r>
    </w:p>
    <w:p w14:paraId="4E78711E"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3DF99C4A">
          <v:rect id="_x0000_i2049" style="width:0;height:1.5pt" o:hralign="center" o:hrstd="t" o:hr="t" fillcolor="#a0a0a0" stroked="f"/>
        </w:pict>
      </w:r>
    </w:p>
    <w:p w14:paraId="7D985D1E"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beginnt die Ostgrenze. </w:t>
      </w:r>
      <w:r w:rsidRPr="003A0485">
        <w:rPr>
          <w:rFonts w:eastAsia="Times New Roman" w:cs="Times New Roman"/>
          <w:b/>
          <w:bCs/>
          <w:rtl/>
          <w:lang w:eastAsia="de-DE"/>
        </w:rPr>
        <w:t>וְהִתְאַוִּיתֶם לָכֶם לִגְבוּל קֵדְמָה</w:t>
      </w:r>
      <w:r w:rsidRPr="003A0485">
        <w:rPr>
          <w:rFonts w:eastAsia="Times New Roman" w:cs="Times New Roman"/>
          <w:rtl/>
          <w:lang w:eastAsia="de-DE"/>
        </w:rPr>
        <w:t xml:space="preserve"> </w:t>
      </w:r>
      <w:r w:rsidRPr="003A0485">
        <w:rPr>
          <w:rFonts w:eastAsia="Times New Roman" w:cs="Times New Roman"/>
          <w:lang w:eastAsia="de-DE"/>
        </w:rPr>
        <w:t xml:space="preserve">ist die Überschrift. </w:t>
      </w:r>
      <w:r w:rsidRPr="003A0485">
        <w:rPr>
          <w:rFonts w:eastAsia="Times New Roman" w:cs="Times New Roman"/>
          <w:b/>
          <w:bCs/>
          <w:rtl/>
          <w:lang w:eastAsia="de-DE"/>
        </w:rPr>
        <w:t>וְהִתְאַוִּיתֶם</w:t>
      </w:r>
      <w:r w:rsidRPr="003A0485">
        <w:rPr>
          <w:rFonts w:eastAsia="Times New Roman" w:cs="Times New Roman"/>
          <w:rtl/>
          <w:lang w:eastAsia="de-DE"/>
        </w:rPr>
        <w:t xml:space="preserve"> </w:t>
      </w:r>
      <w:r w:rsidRPr="003A0485">
        <w:rPr>
          <w:rFonts w:eastAsia="Times New Roman" w:cs="Times New Roman"/>
          <w:lang w:eastAsia="de-DE"/>
        </w:rPr>
        <w:t xml:space="preserve">(Hithpael Perfekt 2. Person maskulin Plural mit Waw consecutivum von </w:t>
      </w:r>
      <w:r w:rsidRPr="003A0485">
        <w:rPr>
          <w:rFonts w:eastAsia="Times New Roman" w:cs="Times New Roman"/>
          <w:b/>
          <w:bCs/>
          <w:rtl/>
          <w:lang w:eastAsia="de-DE"/>
        </w:rPr>
        <w:t>תוה</w:t>
      </w:r>
      <w:r w:rsidRPr="003A0485">
        <w:rPr>
          <w:rFonts w:eastAsia="Times New Roman" w:cs="Times New Roman"/>
          <w:lang w:eastAsia="de-DE"/>
        </w:rPr>
        <w:t>/</w:t>
      </w:r>
      <w:r w:rsidRPr="003A0485">
        <w:rPr>
          <w:rFonts w:eastAsia="Times New Roman" w:cs="Times New Roman"/>
          <w:b/>
          <w:bCs/>
          <w:rtl/>
          <w:lang w:eastAsia="de-DE"/>
        </w:rPr>
        <w:t>תאה</w:t>
      </w:r>
      <w:r w:rsidRPr="003A0485">
        <w:rPr>
          <w:rFonts w:eastAsia="Times New Roman" w:cs="Times New Roman"/>
          <w:rtl/>
          <w:lang w:eastAsia="de-DE"/>
        </w:rPr>
        <w:t xml:space="preserve"> </w:t>
      </w:r>
      <w:r w:rsidRPr="003A0485">
        <w:rPr>
          <w:rFonts w:eastAsia="Times New Roman" w:cs="Times New Roman"/>
          <w:lang w:eastAsia="de-DE"/>
        </w:rPr>
        <w:t xml:space="preserve">„sich abgrenzen, sich abmessen"), </w:t>
      </w:r>
      <w:r w:rsidRPr="003A0485">
        <w:rPr>
          <w:rFonts w:eastAsia="Times New Roman" w:cs="Times New Roman"/>
          <w:b/>
          <w:bCs/>
          <w:rtl/>
          <w:lang w:eastAsia="de-DE"/>
        </w:rPr>
        <w:t>לָכֶם</w:t>
      </w:r>
      <w:r w:rsidRPr="003A0485">
        <w:rPr>
          <w:rFonts w:eastAsia="Times New Roman" w:cs="Times New Roman"/>
          <w:rtl/>
          <w:lang w:eastAsia="de-DE"/>
        </w:rPr>
        <w:t xml:space="preserve"> </w:t>
      </w:r>
      <w:r w:rsidRPr="003A0485">
        <w:rPr>
          <w:rFonts w:eastAsia="Times New Roman" w:cs="Times New Roman"/>
          <w:lang w:eastAsia="de-DE"/>
        </w:rPr>
        <w:t xml:space="preserve">(Dativ), </w:t>
      </w:r>
      <w:r w:rsidRPr="003A0485">
        <w:rPr>
          <w:rFonts w:eastAsia="Times New Roman" w:cs="Times New Roman"/>
          <w:b/>
          <w:bCs/>
          <w:rtl/>
          <w:lang w:eastAsia="de-DE"/>
        </w:rPr>
        <w:t>לִגְבוּל קֵדְמָה</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גְּבוּל</w:t>
      </w:r>
      <w:r w:rsidRPr="003A0485">
        <w:rPr>
          <w:rFonts w:eastAsia="Times New Roman" w:cs="Times New Roman"/>
          <w:rtl/>
          <w:lang w:eastAsia="de-DE"/>
        </w:rPr>
        <w:t xml:space="preserve"> </w:t>
      </w:r>
      <w:r w:rsidRPr="003A0485">
        <w:rPr>
          <w:rFonts w:eastAsia="Times New Roman" w:cs="Times New Roman"/>
          <w:lang w:eastAsia="de-DE"/>
        </w:rPr>
        <w:t xml:space="preserve">„Grenze" </w:t>
      </w:r>
      <w:r w:rsidRPr="003A0485">
        <w:rPr>
          <w:rFonts w:eastAsia="Times New Roman" w:cs="Times New Roman"/>
          <w:lang w:eastAsia="de-DE"/>
        </w:rPr>
        <w:lastRenderedPageBreak/>
        <w:t xml:space="preserve">und </w:t>
      </w:r>
      <w:r w:rsidRPr="003A0485">
        <w:rPr>
          <w:rFonts w:eastAsia="Times New Roman" w:cs="Times New Roman"/>
          <w:b/>
          <w:bCs/>
          <w:rtl/>
          <w:lang w:eastAsia="de-DE"/>
        </w:rPr>
        <w:t>קֵדְמָה</w:t>
      </w:r>
      <w:r w:rsidRPr="003A0485">
        <w:rPr>
          <w:rFonts w:eastAsia="Times New Roman" w:cs="Times New Roman"/>
          <w:rtl/>
          <w:lang w:eastAsia="de-DE"/>
        </w:rPr>
        <w:t xml:space="preserve"> </w:t>
      </w:r>
      <w:r w:rsidRPr="003A0485">
        <w:rPr>
          <w:rFonts w:eastAsia="Times New Roman" w:cs="Times New Roman"/>
          <w:lang w:eastAsia="de-DE"/>
        </w:rPr>
        <w:t xml:space="preserve">„Osten" „als östliche Grenze"). </w:t>
      </w:r>
      <w:r w:rsidRPr="003A0485">
        <w:rPr>
          <w:rFonts w:eastAsia="Times New Roman" w:cs="Times New Roman"/>
          <w:b/>
          <w:bCs/>
          <w:rtl/>
          <w:lang w:eastAsia="de-DE"/>
        </w:rPr>
        <w:t>מֵחֲצַר עֵינָן שְׁפָמָה</w:t>
      </w:r>
      <w:r w:rsidRPr="003A0485">
        <w:rPr>
          <w:rFonts w:eastAsia="Times New Roman" w:cs="Times New Roman"/>
          <w:rtl/>
          <w:lang w:eastAsia="de-DE"/>
        </w:rPr>
        <w:t xml:space="preserve"> </w:t>
      </w:r>
      <w:r w:rsidRPr="003A0485">
        <w:rPr>
          <w:rFonts w:eastAsia="Times New Roman" w:cs="Times New Roman"/>
          <w:lang w:eastAsia="de-DE"/>
        </w:rPr>
        <w:t xml:space="preserve">gibt Ausgangs- und Zielpunkt an. </w:t>
      </w:r>
      <w:r w:rsidRPr="003A0485">
        <w:rPr>
          <w:rFonts w:eastAsia="Times New Roman" w:cs="Times New Roman"/>
          <w:b/>
          <w:bCs/>
          <w:rtl/>
          <w:lang w:eastAsia="de-DE"/>
        </w:rPr>
        <w:t>מֵחֲצַר עֵינָן</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„Chazar-Enan" - der Endpunkt der Nordgrenze aus V. 9), </w:t>
      </w:r>
      <w:r w:rsidRPr="003A0485">
        <w:rPr>
          <w:rFonts w:eastAsia="Times New Roman" w:cs="Times New Roman"/>
          <w:b/>
          <w:bCs/>
          <w:rtl/>
          <w:lang w:eastAsia="de-DE"/>
        </w:rPr>
        <w:t>שְׁפָמָה</w:t>
      </w:r>
      <w:r w:rsidRPr="003A0485">
        <w:rPr>
          <w:rFonts w:eastAsia="Times New Roman" w:cs="Times New Roman"/>
          <w:rtl/>
          <w:lang w:eastAsia="de-DE"/>
        </w:rPr>
        <w:t xml:space="preserve"> </w:t>
      </w:r>
      <w:r w:rsidRPr="003A0485">
        <w:rPr>
          <w:rFonts w:eastAsia="Times New Roman" w:cs="Times New Roman"/>
          <w:lang w:eastAsia="de-DE"/>
        </w:rPr>
        <w:t xml:space="preserve">(Ortsname </w:t>
      </w:r>
      <w:r w:rsidRPr="003A0485">
        <w:rPr>
          <w:rFonts w:eastAsia="Times New Roman" w:cs="Times New Roman"/>
          <w:b/>
          <w:bCs/>
          <w:rtl/>
          <w:lang w:eastAsia="de-DE"/>
        </w:rPr>
        <w:t>שְׁפָם</w:t>
      </w:r>
      <w:r w:rsidRPr="003A0485">
        <w:rPr>
          <w:rFonts w:eastAsia="Times New Roman" w:cs="Times New Roman"/>
          <w:rtl/>
          <w:lang w:eastAsia="de-DE"/>
        </w:rPr>
        <w:t xml:space="preserve"> </w:t>
      </w:r>
      <w:r w:rsidRPr="003A0485">
        <w:rPr>
          <w:rFonts w:eastAsia="Times New Roman" w:cs="Times New Roman"/>
          <w:lang w:eastAsia="de-DE"/>
        </w:rPr>
        <w:t>„Schefam" mit Richtungsendung).</w:t>
      </w:r>
    </w:p>
    <w:p w14:paraId="59394434" w14:textId="19E7B2B8"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Die LXX</w:t>
      </w:r>
      <w:r w:rsidRPr="003A0485">
        <w:rPr>
          <w:rFonts w:eastAsia="Times New Roman" w:cs="Times New Roman"/>
          <w:lang w:eastAsia="de-DE"/>
        </w:rPr>
        <w:t xml:space="preserve"> </w:t>
      </w:r>
      <w:r w:rsidR="00192257">
        <w:t>übersetzt „</w:t>
      </w:r>
      <w:r w:rsidR="00192257" w:rsidRPr="00192257">
        <w:rPr>
          <w:b/>
          <w:bCs/>
          <w:rtl/>
        </w:rPr>
        <w:t>הָרִבְלָה</w:t>
      </w:r>
      <w:r w:rsidR="00192257">
        <w:t>" (Ribla) mit „Ἁρβηλά" (Harbela), „</w:t>
      </w:r>
      <w:r w:rsidR="00192257" w:rsidRPr="00192257">
        <w:rPr>
          <w:b/>
          <w:bCs/>
          <w:rtl/>
        </w:rPr>
        <w:t>עַל־כֶּתֶף יָם־כִּנֶּרֶת</w:t>
      </w:r>
      <w:r w:rsidR="00192257">
        <w:t>" (an die Schulter des Sees Kinneret) wird zu „ἐπὶ νώτου θαλάσσης Χενέρεθ" (auf den Rücken des Sees Chenereth), wobei „νώτου" (Rücken) für „Schulter" verwendet wird.</w:t>
      </w:r>
    </w:p>
    <w:p w14:paraId="04FA65EC"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einen Imperativ mit Ausgangs- und Zielpunkt.</w:t>
      </w:r>
    </w:p>
    <w:p w14:paraId="1524B8D9"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leitet die Ostgrenze ein: von Chazar-Enan (Nordostecke) südwärts nach Schefam.</w:t>
      </w:r>
    </w:p>
    <w:p w14:paraId="3CD41375"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34,11</w:t>
      </w:r>
    </w:p>
    <w:p w14:paraId="2EFB32F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וְיָרַ֨ד הַגְּבֻ֧ל מִשְּׁפָ֛ם הָרִבְלָ֖ה מִקֶּ֣דֶם לָעָ֑יִן וְיָרַ֣ד הַגְּב֔וּל וּמָחָ֛ה עַל־כֶּ֥תֶף יָם־כִּנֶּ֖רֶת קֵֽדְמָה׃</w:t>
      </w:r>
    </w:p>
    <w:p w14:paraId="75DE0D4E"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es soll die Grenze von Schepham nach Ha-Rivla hinabgehen, östlich von Ajin; und es soll die Grenze hinabgehen und stoßen an die Seite des Sees Kinneret nach Osten.</w:t>
      </w:r>
    </w:p>
    <w:p w14:paraId="62B16DA8"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2BED8ABE">
          <v:rect id="_x0000_i2050" style="width:0;height:1.5pt" o:hralign="center" o:hrstd="t" o:hr="t" fillcolor="#a0a0a0" stroked="f"/>
        </w:pict>
      </w:r>
    </w:p>
    <w:p w14:paraId="4BC8BDD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führt die Ostgrenze südwärts. </w:t>
      </w:r>
      <w:r w:rsidRPr="003A0485">
        <w:rPr>
          <w:rFonts w:eastAsia="Times New Roman" w:cs="Times New Roman"/>
          <w:b/>
          <w:bCs/>
          <w:rtl/>
          <w:lang w:eastAsia="de-DE"/>
        </w:rPr>
        <w:t>וְיָרַד הַגְּבֻל מִשְּׁפָם הָרִבְלָה מִקֶּדֶם לָעָיִן</w:t>
      </w:r>
      <w:r w:rsidRPr="003A0485">
        <w:rPr>
          <w:rFonts w:eastAsia="Times New Roman" w:cs="Times New Roman"/>
          <w:rtl/>
          <w:lang w:eastAsia="de-DE"/>
        </w:rPr>
        <w:t xml:space="preserve"> </w:t>
      </w:r>
      <w:r w:rsidRPr="003A0485">
        <w:rPr>
          <w:rFonts w:eastAsia="Times New Roman" w:cs="Times New Roman"/>
          <w:lang w:eastAsia="de-DE"/>
        </w:rPr>
        <w:t xml:space="preserve">zeigt die erste Etappe. </w:t>
      </w:r>
      <w:r w:rsidRPr="003A0485">
        <w:rPr>
          <w:rFonts w:eastAsia="Times New Roman" w:cs="Times New Roman"/>
          <w:b/>
          <w:bCs/>
          <w:rtl/>
          <w:lang w:eastAsia="de-DE"/>
        </w:rPr>
        <w:t>וְיָרַד הַגְּבֻל</w:t>
      </w:r>
      <w:r w:rsidRPr="003A0485">
        <w:rPr>
          <w:rFonts w:eastAsia="Times New Roman" w:cs="Times New Roman"/>
          <w:rtl/>
          <w:lang w:eastAsia="de-DE"/>
        </w:rPr>
        <w:t xml:space="preserve"> </w:t>
      </w:r>
      <w:r w:rsidRPr="003A0485">
        <w:rPr>
          <w:rFonts w:eastAsia="Times New Roman" w:cs="Times New Roman"/>
          <w:lang w:eastAsia="de-DE"/>
        </w:rPr>
        <w:t xml:space="preserve">(Qal Perfekt 3. Person maskulin Singular mit Waw consecutivum von </w:t>
      </w:r>
      <w:r w:rsidRPr="003A0485">
        <w:rPr>
          <w:rFonts w:eastAsia="Times New Roman" w:cs="Times New Roman"/>
          <w:b/>
          <w:bCs/>
          <w:rtl/>
          <w:lang w:eastAsia="de-DE"/>
        </w:rPr>
        <w:t>ירד</w:t>
      </w:r>
      <w:r w:rsidRPr="003A0485">
        <w:rPr>
          <w:rFonts w:eastAsia="Times New Roman" w:cs="Times New Roman"/>
          <w:rtl/>
          <w:lang w:eastAsia="de-DE"/>
        </w:rPr>
        <w:t xml:space="preserve"> </w:t>
      </w:r>
      <w:r w:rsidRPr="003A0485">
        <w:rPr>
          <w:rFonts w:eastAsia="Times New Roman" w:cs="Times New Roman"/>
          <w:lang w:eastAsia="de-DE"/>
        </w:rPr>
        <w:t xml:space="preserve">„hinabgehen, hinabsteigen" - die Grenze verläuft nach Süden und abwärts), </w:t>
      </w:r>
      <w:r w:rsidRPr="003A0485">
        <w:rPr>
          <w:rFonts w:eastAsia="Times New Roman" w:cs="Times New Roman"/>
          <w:b/>
          <w:bCs/>
          <w:rtl/>
          <w:lang w:eastAsia="de-DE"/>
        </w:rPr>
        <w:t>מִשְּׁפָם</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שְׁפָם</w:t>
      </w:r>
      <w:r w:rsidRPr="003A0485">
        <w:rPr>
          <w:rFonts w:eastAsia="Times New Roman" w:cs="Times New Roman"/>
          <w:lang w:eastAsia="de-DE"/>
        </w:rPr>
        <w:t xml:space="preserve">), </w:t>
      </w:r>
      <w:r w:rsidRPr="003A0485">
        <w:rPr>
          <w:rFonts w:eastAsia="Times New Roman" w:cs="Times New Roman"/>
          <w:b/>
          <w:bCs/>
          <w:rtl/>
          <w:lang w:eastAsia="de-DE"/>
        </w:rPr>
        <w:t>הָרִבְלָה</w:t>
      </w:r>
      <w:r w:rsidRPr="003A0485">
        <w:rPr>
          <w:rFonts w:eastAsia="Times New Roman" w:cs="Times New Roman"/>
          <w:rtl/>
          <w:lang w:eastAsia="de-DE"/>
        </w:rPr>
        <w:t xml:space="preserve"> </w:t>
      </w:r>
      <w:r w:rsidRPr="003A0485">
        <w:rPr>
          <w:rFonts w:eastAsia="Times New Roman" w:cs="Times New Roman"/>
          <w:lang w:eastAsia="de-DE"/>
        </w:rPr>
        <w:t xml:space="preserve">(Ortsname </w:t>
      </w:r>
      <w:r w:rsidRPr="003A0485">
        <w:rPr>
          <w:rFonts w:eastAsia="Times New Roman" w:cs="Times New Roman"/>
          <w:b/>
          <w:bCs/>
          <w:rtl/>
          <w:lang w:eastAsia="de-DE"/>
        </w:rPr>
        <w:t>רִבְלָה</w:t>
      </w:r>
      <w:r w:rsidRPr="003A0485">
        <w:rPr>
          <w:rFonts w:eastAsia="Times New Roman" w:cs="Times New Roman"/>
          <w:rtl/>
          <w:lang w:eastAsia="de-DE"/>
        </w:rPr>
        <w:t xml:space="preserve"> </w:t>
      </w:r>
      <w:r w:rsidRPr="003A0485">
        <w:rPr>
          <w:rFonts w:eastAsia="Times New Roman" w:cs="Times New Roman"/>
          <w:lang w:eastAsia="de-DE"/>
        </w:rPr>
        <w:t xml:space="preserve">„Ribla" mit Artikel und Richtungsendung „nach Ribla"), </w:t>
      </w:r>
      <w:r w:rsidRPr="003A0485">
        <w:rPr>
          <w:rFonts w:eastAsia="Times New Roman" w:cs="Times New Roman"/>
          <w:b/>
          <w:bCs/>
          <w:rtl/>
          <w:lang w:eastAsia="de-DE"/>
        </w:rPr>
        <w:t>מִקֶּדֶם לָעָיִן</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קֶדֶם</w:t>
      </w:r>
      <w:r w:rsidRPr="003A0485">
        <w:rPr>
          <w:rFonts w:eastAsia="Times New Roman" w:cs="Times New Roman"/>
          <w:rtl/>
          <w:lang w:eastAsia="de-DE"/>
        </w:rPr>
        <w:t xml:space="preserve"> </w:t>
      </w:r>
      <w:r w:rsidRPr="003A0485">
        <w:rPr>
          <w:rFonts w:eastAsia="Times New Roman" w:cs="Times New Roman"/>
          <w:lang w:eastAsia="de-DE"/>
        </w:rPr>
        <w:t xml:space="preserve">„Osten, östlich" und 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עַיִן</w:t>
      </w:r>
      <w:r w:rsidRPr="003A0485">
        <w:rPr>
          <w:rFonts w:eastAsia="Times New Roman" w:cs="Times New Roman"/>
          <w:rtl/>
          <w:lang w:eastAsia="de-DE"/>
        </w:rPr>
        <w:t xml:space="preserve"> </w:t>
      </w:r>
      <w:r w:rsidRPr="003A0485">
        <w:rPr>
          <w:rFonts w:eastAsia="Times New Roman" w:cs="Times New Roman"/>
          <w:lang w:eastAsia="de-DE"/>
        </w:rPr>
        <w:t>„Ajin" „östlich von Ajin").</w:t>
      </w:r>
    </w:p>
    <w:p w14:paraId="6F27CBF3" w14:textId="2FAAE27C"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rtl/>
          <w:lang w:eastAsia="de-DE"/>
        </w:rPr>
        <w:t>וְיָרַד הַגְּבוּל וּמָחָה עַל־כֶּתֶף יָם־כִּנֶּרֶת קֵדְמָה</w:t>
      </w:r>
      <w:r w:rsidRPr="003A0485">
        <w:rPr>
          <w:rFonts w:eastAsia="Times New Roman" w:cs="Times New Roman"/>
          <w:rtl/>
          <w:lang w:eastAsia="de-DE"/>
        </w:rPr>
        <w:t xml:space="preserve"> </w:t>
      </w:r>
      <w:r w:rsidRPr="003A0485">
        <w:rPr>
          <w:rFonts w:eastAsia="Times New Roman" w:cs="Times New Roman"/>
          <w:lang w:eastAsia="de-DE"/>
        </w:rPr>
        <w:t xml:space="preserve">setzt den Verlauf fort. </w:t>
      </w:r>
      <w:r w:rsidRPr="003A0485">
        <w:rPr>
          <w:rFonts w:eastAsia="Times New Roman" w:cs="Times New Roman"/>
          <w:b/>
          <w:bCs/>
          <w:rtl/>
          <w:lang w:eastAsia="de-DE"/>
        </w:rPr>
        <w:t>וְיָרַד הַגְּבוּל</w:t>
      </w:r>
      <w:r w:rsidRPr="003A0485">
        <w:rPr>
          <w:rFonts w:eastAsia="Times New Roman" w:cs="Times New Roman"/>
          <w:rtl/>
          <w:lang w:eastAsia="de-DE"/>
        </w:rPr>
        <w:t xml:space="preserve"> </w:t>
      </w:r>
      <w:r w:rsidRPr="003A0485">
        <w:rPr>
          <w:rFonts w:eastAsia="Times New Roman" w:cs="Times New Roman"/>
          <w:lang w:eastAsia="de-DE"/>
        </w:rPr>
        <w:t xml:space="preserve">(wiederholt), </w:t>
      </w:r>
      <w:r w:rsidRPr="003A0485">
        <w:rPr>
          <w:rFonts w:eastAsia="Times New Roman" w:cs="Times New Roman"/>
          <w:b/>
          <w:bCs/>
          <w:rtl/>
          <w:lang w:eastAsia="de-DE"/>
        </w:rPr>
        <w:t>וּמָחָה</w:t>
      </w:r>
      <w:r w:rsidRPr="003A0485">
        <w:rPr>
          <w:rFonts w:eastAsia="Times New Roman" w:cs="Times New Roman"/>
          <w:rtl/>
          <w:lang w:eastAsia="de-DE"/>
        </w:rPr>
        <w:t xml:space="preserve"> </w:t>
      </w:r>
      <w:r w:rsidRPr="003A0485">
        <w:rPr>
          <w:rFonts w:eastAsia="Times New Roman" w:cs="Times New Roman"/>
          <w:lang w:eastAsia="de-DE"/>
        </w:rPr>
        <w:t xml:space="preserve">(Qal Perfekt 3. Person maskulin Singular mit Waw consecutivum von </w:t>
      </w:r>
      <w:r w:rsidRPr="003A0485">
        <w:rPr>
          <w:rFonts w:eastAsia="Times New Roman" w:cs="Times New Roman"/>
          <w:b/>
          <w:bCs/>
          <w:rtl/>
          <w:lang w:eastAsia="de-DE"/>
        </w:rPr>
        <w:t>מחה</w:t>
      </w:r>
      <w:r w:rsidRPr="003A0485">
        <w:rPr>
          <w:rFonts w:eastAsia="Times New Roman" w:cs="Times New Roman"/>
          <w:rtl/>
          <w:lang w:eastAsia="de-DE"/>
        </w:rPr>
        <w:t xml:space="preserve"> </w:t>
      </w:r>
      <w:r w:rsidRPr="003A0485">
        <w:rPr>
          <w:rFonts w:eastAsia="Times New Roman" w:cs="Times New Roman"/>
          <w:lang w:eastAsia="de-DE"/>
        </w:rPr>
        <w:t xml:space="preserve">„berühren, stoßen an"), </w:t>
      </w:r>
      <w:r w:rsidRPr="003A0485">
        <w:rPr>
          <w:rFonts w:eastAsia="Times New Roman" w:cs="Times New Roman"/>
          <w:b/>
          <w:bCs/>
          <w:rtl/>
          <w:lang w:eastAsia="de-DE"/>
        </w:rPr>
        <w:t>עַל־כֶּתֶף יָם־כִּנֶּרֶת</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עַל</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כָּתֵף</w:t>
      </w:r>
      <w:r w:rsidRPr="003A0485">
        <w:rPr>
          <w:rFonts w:eastAsia="Times New Roman" w:cs="Times New Roman"/>
          <w:rtl/>
          <w:lang w:eastAsia="de-DE"/>
        </w:rPr>
        <w:t xml:space="preserve"> </w:t>
      </w:r>
      <w:r w:rsidRPr="003A0485">
        <w:rPr>
          <w:rFonts w:eastAsia="Times New Roman" w:cs="Times New Roman"/>
          <w:lang w:eastAsia="de-DE"/>
        </w:rPr>
        <w:t xml:space="preserve">„Schulter, Seite" im </w:t>
      </w:r>
      <w:r w:rsidR="00E031B3">
        <w:rPr>
          <w:rFonts w:eastAsia="Times New Roman" w:cs="Times New Roman"/>
          <w:lang w:eastAsia="de-DE"/>
        </w:rPr>
        <w:t>Constructus und</w:t>
      </w:r>
      <w:r w:rsidRPr="003A0485">
        <w:rPr>
          <w:rFonts w:eastAsia="Times New Roman" w:cs="Times New Roman"/>
          <w:lang w:eastAsia="de-DE"/>
        </w:rPr>
        <w:t xml:space="preserve"> </w:t>
      </w:r>
      <w:r w:rsidRPr="003A0485">
        <w:rPr>
          <w:rFonts w:eastAsia="Times New Roman" w:cs="Times New Roman"/>
          <w:b/>
          <w:bCs/>
          <w:rtl/>
          <w:lang w:eastAsia="de-DE"/>
        </w:rPr>
        <w:t>יָם־כִּנֶּרֶת</w:t>
      </w:r>
      <w:r w:rsidRPr="003A0485">
        <w:rPr>
          <w:rFonts w:eastAsia="Times New Roman" w:cs="Times New Roman"/>
          <w:rtl/>
          <w:lang w:eastAsia="de-DE"/>
        </w:rPr>
        <w:t xml:space="preserve"> </w:t>
      </w:r>
      <w:r w:rsidRPr="003A0485">
        <w:rPr>
          <w:rFonts w:eastAsia="Times New Roman" w:cs="Times New Roman"/>
          <w:lang w:eastAsia="de-DE"/>
        </w:rPr>
        <w:t xml:space="preserve">„See Kinneret" = See Genezareth „an die Seite des Sees Kinneret"), </w:t>
      </w:r>
      <w:r w:rsidRPr="003A0485">
        <w:rPr>
          <w:rFonts w:eastAsia="Times New Roman" w:cs="Times New Roman"/>
          <w:b/>
          <w:bCs/>
          <w:rtl/>
          <w:lang w:eastAsia="de-DE"/>
        </w:rPr>
        <w:t>קֵדְמָה</w:t>
      </w:r>
      <w:r w:rsidRPr="003A0485">
        <w:rPr>
          <w:rFonts w:eastAsia="Times New Roman" w:cs="Times New Roman"/>
          <w:rtl/>
          <w:lang w:eastAsia="de-DE"/>
        </w:rPr>
        <w:t xml:space="preserve"> </w:t>
      </w:r>
      <w:r w:rsidRPr="003A0485">
        <w:rPr>
          <w:rFonts w:eastAsia="Times New Roman" w:cs="Times New Roman"/>
          <w:lang w:eastAsia="de-DE"/>
        </w:rPr>
        <w:t>(„ostwärts, nach Osten" - die Grenze verläuft entlang der Ostseite des Sees).</w:t>
      </w:r>
    </w:p>
    <w:p w14:paraId="6E08E422"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 xml:space="preserve">Die Satzstruktur zeigt zwei koordinierte Sätze mit </w:t>
      </w:r>
      <w:r w:rsidRPr="003A0485">
        <w:rPr>
          <w:rFonts w:eastAsia="Times New Roman" w:cs="Times New Roman"/>
          <w:b/>
          <w:bCs/>
          <w:rtl/>
          <w:lang w:eastAsia="de-DE"/>
        </w:rPr>
        <w:t>וְיָרַד</w:t>
      </w:r>
      <w:r w:rsidRPr="003A0485">
        <w:rPr>
          <w:rFonts w:eastAsia="Times New Roman" w:cs="Times New Roman"/>
          <w:lang w:eastAsia="de-DE"/>
        </w:rPr>
        <w:t>, die den Verlauf nach Süden beschreiben.</w:t>
      </w:r>
    </w:p>
    <w:p w14:paraId="6624F039"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führt die Ostgrenze südwärts: von Schefam über Ribla östlich von Ajin bis zur Ostseite des Sees Genezareth - die Grenze verläuft also östlich der späteren Gebiete von Naftali und Gad.</w:t>
      </w:r>
    </w:p>
    <w:p w14:paraId="3220AEEC"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34,12</w:t>
      </w:r>
    </w:p>
    <w:p w14:paraId="2AE36303"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וְיָרַ֤ד הַגְּבוּל֙ הַיַּרְדֵּ֔נָה וְהָי֥וּ תוֹצְאֹתָ֖יו יָ֣ם הַמֶּ֑לַח זֹאת֩ תִּהְיֶ֨ה לָכֶ֥ם הָאָ֛רֶץ לִגְבֻלֹתֶ֖יהָ סָבִֽיב׃</w:t>
      </w:r>
    </w:p>
    <w:p w14:paraId="705A244E"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es soll die Grenze zum Jarden hinabgehen, und es sollen ihre Ausgänge zum Salzmeer sein. Dies soll euch das Land sein nach seinen Grenzen ringsum.</w:t>
      </w:r>
    </w:p>
    <w:p w14:paraId="4D2FC9B5"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lastRenderedPageBreak/>
        <w:pict w14:anchorId="52F06CEB">
          <v:rect id="_x0000_i2051" style="width:0;height:1.5pt" o:hralign="center" o:hrstd="t" o:hr="t" fillcolor="#a0a0a0" stroked="f"/>
        </w:pict>
      </w:r>
    </w:p>
    <w:p w14:paraId="3D5A0AE2"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schließt die Ostgrenze und die gesamte Grenzbeschreibung ab. </w:t>
      </w:r>
      <w:r w:rsidRPr="003A0485">
        <w:rPr>
          <w:rFonts w:eastAsia="Times New Roman" w:cs="Times New Roman"/>
          <w:b/>
          <w:bCs/>
          <w:rtl/>
          <w:lang w:eastAsia="de-DE"/>
        </w:rPr>
        <w:t>וְיָרַד הַגְּבוּל הַיַּרְדֵּנָה</w:t>
      </w:r>
      <w:r w:rsidRPr="003A0485">
        <w:rPr>
          <w:rFonts w:eastAsia="Times New Roman" w:cs="Times New Roman"/>
          <w:rtl/>
          <w:lang w:eastAsia="de-DE"/>
        </w:rPr>
        <w:t xml:space="preserve"> </w:t>
      </w:r>
      <w:r w:rsidRPr="003A0485">
        <w:rPr>
          <w:rFonts w:eastAsia="Times New Roman" w:cs="Times New Roman"/>
          <w:lang w:eastAsia="de-DE"/>
        </w:rPr>
        <w:t xml:space="preserve">führt zum Jordan. </w:t>
      </w:r>
      <w:r w:rsidRPr="003A0485">
        <w:rPr>
          <w:rFonts w:eastAsia="Times New Roman" w:cs="Times New Roman"/>
          <w:b/>
          <w:bCs/>
          <w:rtl/>
          <w:lang w:eastAsia="de-DE"/>
        </w:rPr>
        <w:t>וְיָרַד הַגְּבוּל</w:t>
      </w:r>
      <w:r w:rsidRPr="003A0485">
        <w:rPr>
          <w:rFonts w:eastAsia="Times New Roman" w:cs="Times New Roman"/>
          <w:rtl/>
          <w:lang w:eastAsia="de-DE"/>
        </w:rPr>
        <w:t xml:space="preserve"> </w:t>
      </w:r>
      <w:r w:rsidRPr="003A0485">
        <w:rPr>
          <w:rFonts w:eastAsia="Times New Roman" w:cs="Times New Roman"/>
          <w:lang w:eastAsia="de-DE"/>
        </w:rPr>
        <w:t xml:space="preserve">(wie in V. 11), </w:t>
      </w:r>
      <w:r w:rsidRPr="003A0485">
        <w:rPr>
          <w:rFonts w:eastAsia="Times New Roman" w:cs="Times New Roman"/>
          <w:b/>
          <w:bCs/>
          <w:rtl/>
          <w:lang w:eastAsia="de-DE"/>
        </w:rPr>
        <w:t>הַיַּרְדֵּנָה</w:t>
      </w:r>
      <w:r w:rsidRPr="003A0485">
        <w:rPr>
          <w:rFonts w:eastAsia="Times New Roman" w:cs="Times New Roman"/>
          <w:rtl/>
          <w:lang w:eastAsia="de-DE"/>
        </w:rPr>
        <w:t xml:space="preserve"> </w:t>
      </w:r>
      <w:r w:rsidRPr="003A0485">
        <w:rPr>
          <w:rFonts w:eastAsia="Times New Roman" w:cs="Times New Roman"/>
          <w:lang w:eastAsia="de-DE"/>
        </w:rPr>
        <w:t>(</w:t>
      </w:r>
      <w:r w:rsidRPr="003A0485">
        <w:rPr>
          <w:rFonts w:eastAsia="Times New Roman" w:cs="Times New Roman"/>
          <w:b/>
          <w:bCs/>
          <w:rtl/>
          <w:lang w:eastAsia="de-DE"/>
        </w:rPr>
        <w:t>יַרְדֵּן</w:t>
      </w:r>
      <w:r w:rsidRPr="003A0485">
        <w:rPr>
          <w:rFonts w:eastAsia="Times New Roman" w:cs="Times New Roman"/>
          <w:rtl/>
          <w:lang w:eastAsia="de-DE"/>
        </w:rPr>
        <w:t xml:space="preserve"> </w:t>
      </w:r>
      <w:r w:rsidRPr="003A0485">
        <w:rPr>
          <w:rFonts w:eastAsia="Times New Roman" w:cs="Times New Roman"/>
          <w:lang w:eastAsia="de-DE"/>
        </w:rPr>
        <w:t xml:space="preserve">„Jordan" mit Artikel und Richtungsendung </w:t>
      </w:r>
      <w:r w:rsidRPr="003A0485">
        <w:rPr>
          <w:rFonts w:eastAsia="Times New Roman" w:cs="Times New Roman"/>
          <w:b/>
          <w:bCs/>
          <w:rtl/>
          <w:lang w:eastAsia="de-DE"/>
        </w:rPr>
        <w:t>־ָה</w:t>
      </w:r>
      <w:r w:rsidRPr="003A0485">
        <w:rPr>
          <w:rFonts w:eastAsia="Times New Roman" w:cs="Times New Roman"/>
          <w:rtl/>
          <w:lang w:eastAsia="de-DE"/>
        </w:rPr>
        <w:t xml:space="preserve"> </w:t>
      </w:r>
      <w:r w:rsidRPr="003A0485">
        <w:rPr>
          <w:rFonts w:eastAsia="Times New Roman" w:cs="Times New Roman"/>
          <w:lang w:eastAsia="de-DE"/>
        </w:rPr>
        <w:t xml:space="preserve">„zum Jordan"). Die Grenze folgt dem Jordan südwärts. </w:t>
      </w:r>
      <w:r w:rsidRPr="003A0485">
        <w:rPr>
          <w:rFonts w:eastAsia="Times New Roman" w:cs="Times New Roman"/>
          <w:b/>
          <w:bCs/>
          <w:rtl/>
          <w:lang w:eastAsia="de-DE"/>
        </w:rPr>
        <w:t>וְהָיוּ תוֹצְאֹתָיו יָם הַמֶּלַח</w:t>
      </w:r>
      <w:r w:rsidRPr="003A0485">
        <w:rPr>
          <w:rFonts w:eastAsia="Times New Roman" w:cs="Times New Roman"/>
          <w:rtl/>
          <w:lang w:eastAsia="de-DE"/>
        </w:rPr>
        <w:t xml:space="preserve"> </w:t>
      </w:r>
      <w:r w:rsidRPr="003A0485">
        <w:rPr>
          <w:rFonts w:eastAsia="Times New Roman" w:cs="Times New Roman"/>
          <w:lang w:eastAsia="de-DE"/>
        </w:rPr>
        <w:t xml:space="preserve">gibt den Endpunkt an. </w:t>
      </w:r>
      <w:r w:rsidRPr="003A0485">
        <w:rPr>
          <w:rFonts w:eastAsia="Times New Roman" w:cs="Times New Roman"/>
          <w:b/>
          <w:bCs/>
          <w:rtl/>
          <w:lang w:eastAsia="de-DE"/>
        </w:rPr>
        <w:t>וְהָיוּ תוֹצְאֹתָיו</w:t>
      </w:r>
      <w:r w:rsidRPr="003A0485">
        <w:rPr>
          <w:rFonts w:eastAsia="Times New Roman" w:cs="Times New Roman"/>
          <w:rtl/>
          <w:lang w:eastAsia="de-DE"/>
        </w:rPr>
        <w:t xml:space="preserve"> </w:t>
      </w:r>
      <w:r w:rsidRPr="003A0485">
        <w:rPr>
          <w:rFonts w:eastAsia="Times New Roman" w:cs="Times New Roman"/>
          <w:lang w:eastAsia="de-DE"/>
        </w:rPr>
        <w:t xml:space="preserve">(„und es sollen seine Ausgänge/Endpunkte sein"), </w:t>
      </w:r>
      <w:r w:rsidRPr="003A0485">
        <w:rPr>
          <w:rFonts w:eastAsia="Times New Roman" w:cs="Times New Roman"/>
          <w:b/>
          <w:bCs/>
          <w:rtl/>
          <w:lang w:eastAsia="de-DE"/>
        </w:rPr>
        <w:t>יָם הַמֶּלַח</w:t>
      </w:r>
      <w:r w:rsidRPr="003A0485">
        <w:rPr>
          <w:rFonts w:eastAsia="Times New Roman" w:cs="Times New Roman"/>
          <w:rtl/>
          <w:lang w:eastAsia="de-DE"/>
        </w:rPr>
        <w:t xml:space="preserve"> </w:t>
      </w:r>
      <w:r w:rsidRPr="003A0485">
        <w:rPr>
          <w:rFonts w:eastAsia="Times New Roman" w:cs="Times New Roman"/>
          <w:lang w:eastAsia="de-DE"/>
        </w:rPr>
        <w:t>(„Salzmeer" = Totes Meer). Die Ostgrenze endet dort, wo die Südgrenze begann (V. 3) - der Kreis schließt sich.</w:t>
      </w:r>
    </w:p>
    <w:p w14:paraId="426049AE"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rtl/>
          <w:lang w:eastAsia="de-DE"/>
        </w:rPr>
        <w:t>זֹאת תִּהְיֶה לָכֶם הָאָרֶץ לִגְבֻלֹתֶיהָ סָבִיב</w:t>
      </w:r>
      <w:r w:rsidRPr="003A0485">
        <w:rPr>
          <w:rFonts w:eastAsia="Times New Roman" w:cs="Times New Roman"/>
          <w:rtl/>
          <w:lang w:eastAsia="de-DE"/>
        </w:rPr>
        <w:t xml:space="preserve"> </w:t>
      </w:r>
      <w:r w:rsidRPr="003A0485">
        <w:rPr>
          <w:rFonts w:eastAsia="Times New Roman" w:cs="Times New Roman"/>
          <w:lang w:eastAsia="de-DE"/>
        </w:rPr>
        <w:t xml:space="preserve">ist die abschließende Formel. </w:t>
      </w:r>
      <w:r w:rsidRPr="003A0485">
        <w:rPr>
          <w:rFonts w:eastAsia="Times New Roman" w:cs="Times New Roman"/>
          <w:b/>
          <w:bCs/>
          <w:rtl/>
          <w:lang w:eastAsia="de-DE"/>
        </w:rPr>
        <w:t>זֹאת תִּהְיֶה לָכֶם הָאָרֶץ</w:t>
      </w:r>
      <w:r w:rsidRPr="003A0485">
        <w:rPr>
          <w:rFonts w:eastAsia="Times New Roman" w:cs="Times New Roman"/>
          <w:rtl/>
          <w:lang w:eastAsia="de-DE"/>
        </w:rPr>
        <w:t xml:space="preserve"> </w:t>
      </w:r>
      <w:r w:rsidRPr="003A0485">
        <w:rPr>
          <w:rFonts w:eastAsia="Times New Roman" w:cs="Times New Roman"/>
          <w:lang w:eastAsia="de-DE"/>
        </w:rPr>
        <w:t xml:space="preserve">(„dies soll euch das Land sein"), </w:t>
      </w:r>
      <w:r w:rsidRPr="003A0485">
        <w:rPr>
          <w:rFonts w:eastAsia="Times New Roman" w:cs="Times New Roman"/>
          <w:b/>
          <w:bCs/>
          <w:rtl/>
          <w:lang w:eastAsia="de-DE"/>
        </w:rPr>
        <w:t>לִגְבֻלֹתֶיהָ סָבִיב</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Plural von </w:t>
      </w:r>
      <w:r w:rsidRPr="003A0485">
        <w:rPr>
          <w:rFonts w:eastAsia="Times New Roman" w:cs="Times New Roman"/>
          <w:b/>
          <w:bCs/>
          <w:rtl/>
          <w:lang w:eastAsia="de-DE"/>
        </w:rPr>
        <w:t>גְּבוּל</w:t>
      </w:r>
      <w:r w:rsidRPr="003A0485">
        <w:rPr>
          <w:rFonts w:eastAsia="Times New Roman" w:cs="Times New Roman"/>
          <w:rtl/>
          <w:lang w:eastAsia="de-DE"/>
        </w:rPr>
        <w:t xml:space="preserve"> </w:t>
      </w:r>
      <w:r w:rsidRPr="003A0485">
        <w:rPr>
          <w:rFonts w:eastAsia="Times New Roman" w:cs="Times New Roman"/>
          <w:lang w:eastAsia="de-DE"/>
        </w:rPr>
        <w:t xml:space="preserve">mit Suffix und Adverb </w:t>
      </w:r>
      <w:r w:rsidRPr="003A0485">
        <w:rPr>
          <w:rFonts w:eastAsia="Times New Roman" w:cs="Times New Roman"/>
          <w:b/>
          <w:bCs/>
          <w:rtl/>
          <w:lang w:eastAsia="de-DE"/>
        </w:rPr>
        <w:t>סָבִיב</w:t>
      </w:r>
      <w:r w:rsidRPr="003A0485">
        <w:rPr>
          <w:rFonts w:eastAsia="Times New Roman" w:cs="Times New Roman"/>
          <w:rtl/>
          <w:lang w:eastAsia="de-DE"/>
        </w:rPr>
        <w:t xml:space="preserve"> </w:t>
      </w:r>
      <w:r w:rsidRPr="003A0485">
        <w:rPr>
          <w:rFonts w:eastAsia="Times New Roman" w:cs="Times New Roman"/>
          <w:lang w:eastAsia="de-DE"/>
        </w:rPr>
        <w:t>„ringsum" „nach seinen Grenzen ringsum").</w:t>
      </w:r>
    </w:p>
    <w:p w14:paraId="6C0155D2"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den Abschluss der Ostgrenze und eine feierliche Schlussformel für die gesamte Grenzbeschreibung.</w:t>
      </w:r>
    </w:p>
    <w:p w14:paraId="13A31E42" w14:textId="50B123AB" w:rsidR="000F1E25" w:rsidRDefault="003A0485" w:rsidP="000918C2">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 xml:space="preserve">Der Vers vollendet die Umrundung des Landes: die Grenze folgt dem Jordan südwärts bis zum Toten Meer, wo sie die Südgrenze trifft. Die Schlussformel </w:t>
      </w:r>
      <w:r w:rsidRPr="003A0485">
        <w:rPr>
          <w:rFonts w:eastAsia="Times New Roman" w:cs="Times New Roman"/>
          <w:b/>
          <w:bCs/>
          <w:rtl/>
          <w:lang w:eastAsia="de-DE"/>
        </w:rPr>
        <w:t>סָבִיב</w:t>
      </w:r>
      <w:r w:rsidRPr="003A0485">
        <w:rPr>
          <w:rFonts w:eastAsia="Times New Roman" w:cs="Times New Roman"/>
          <w:rtl/>
          <w:lang w:eastAsia="de-DE"/>
        </w:rPr>
        <w:t xml:space="preserve"> </w:t>
      </w:r>
      <w:r w:rsidRPr="003A0485">
        <w:rPr>
          <w:rFonts w:eastAsia="Times New Roman" w:cs="Times New Roman"/>
          <w:lang w:eastAsia="de-DE"/>
        </w:rPr>
        <w:t>(„ringsum") unterstreicht, dass nun alle vier Seiten definiert sind - das verheißene Land ist vollständig abgegrenzt.</w:t>
      </w:r>
    </w:p>
    <w:p w14:paraId="36B24933" w14:textId="562CB1C3" w:rsidR="00164C6E" w:rsidRDefault="00164C6E" w:rsidP="00164C6E">
      <w:pPr>
        <w:spacing w:before="100" w:beforeAutospacing="1" w:after="100" w:afterAutospacing="1" w:line="240" w:lineRule="auto"/>
        <w:jc w:val="center"/>
        <w:rPr>
          <w:rFonts w:eastAsia="Times New Roman" w:cs="Times New Roman"/>
          <w:noProof/>
          <w:lang w:eastAsia="de-DE"/>
        </w:rPr>
      </w:pPr>
      <w:r>
        <w:rPr>
          <w:rFonts w:eastAsia="Times New Roman" w:cs="Times New Roman"/>
          <w:noProof/>
          <w:lang w:eastAsia="de-DE"/>
        </w:rPr>
        <w:drawing>
          <wp:inline distT="0" distB="0" distL="0" distR="0" wp14:anchorId="34B31ADB" wp14:editId="231E5A58">
            <wp:extent cx="2837815" cy="4149305"/>
            <wp:effectExtent l="0" t="0" r="635"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6976" cy="4177321"/>
                    </a:xfrm>
                    <a:prstGeom prst="rect">
                      <a:avLst/>
                    </a:prstGeom>
                  </pic:spPr>
                </pic:pic>
              </a:graphicData>
            </a:graphic>
          </wp:inline>
        </w:drawing>
      </w:r>
    </w:p>
    <w:p w14:paraId="71176903" w14:textId="77777777" w:rsidR="00164C6E" w:rsidRDefault="00164C6E" w:rsidP="00164C6E">
      <w:pPr>
        <w:pStyle w:val="berschrift3"/>
      </w:pPr>
      <w:r>
        <w:t>Geografische Identifikationen (Stand der Forschung):</w:t>
      </w:r>
    </w:p>
    <w:p w14:paraId="2A247E5E" w14:textId="77777777" w:rsidR="00164C6E" w:rsidRDefault="00164C6E" w:rsidP="00164C6E">
      <w:pPr>
        <w:pStyle w:val="whitespace-normal"/>
      </w:pPr>
      <w:r>
        <w:rPr>
          <w:rStyle w:val="Fett"/>
        </w:rPr>
        <w:t>SÜDGRENZE (V. 3-5):</w:t>
      </w:r>
    </w:p>
    <w:p w14:paraId="5510B3BD" w14:textId="39AE0F18" w:rsidR="00164C6E" w:rsidRDefault="00164C6E" w:rsidP="00164C6E">
      <w:pPr>
        <w:pStyle w:val="whitespace-normal"/>
        <w:numPr>
          <w:ilvl w:val="0"/>
          <w:numId w:val="213"/>
        </w:numPr>
      </w:pPr>
      <w:r>
        <w:rPr>
          <w:rStyle w:val="Fett"/>
        </w:rPr>
        <w:lastRenderedPageBreak/>
        <w:t>Totes Meer (Südende)</w:t>
      </w:r>
      <w:r>
        <w:t xml:space="preserve">: ca. </w:t>
      </w:r>
      <w:hyperlink r:id="rId8" w:history="1">
        <w:r w:rsidRPr="00F00B0E">
          <w:rPr>
            <w:rStyle w:val="Hyperlink"/>
          </w:rPr>
          <w:t>31°03'N, 35°27'E</w:t>
        </w:r>
      </w:hyperlink>
    </w:p>
    <w:p w14:paraId="7CCC4075" w14:textId="77777777" w:rsidR="00164C6E" w:rsidRDefault="00164C6E" w:rsidP="00164C6E">
      <w:pPr>
        <w:pStyle w:val="whitespace-normal"/>
        <w:numPr>
          <w:ilvl w:val="0"/>
          <w:numId w:val="213"/>
        </w:numPr>
      </w:pPr>
      <w:r>
        <w:rPr>
          <w:rStyle w:val="Fett"/>
        </w:rPr>
        <w:t>Wüste Zin</w:t>
      </w:r>
      <w:r>
        <w:t>: Negev-Hochland, südlich von Kadesch-Barnea</w:t>
      </w:r>
    </w:p>
    <w:p w14:paraId="42D1D0CC" w14:textId="77777777" w:rsidR="00164C6E" w:rsidRDefault="00164C6E" w:rsidP="00164C6E">
      <w:pPr>
        <w:pStyle w:val="whitespace-normal"/>
        <w:numPr>
          <w:ilvl w:val="0"/>
          <w:numId w:val="213"/>
        </w:numPr>
      </w:pPr>
      <w:r>
        <w:rPr>
          <w:rStyle w:val="Fett"/>
        </w:rPr>
        <w:t>Ma'ale Akrabbim</w:t>
      </w:r>
      <w:r>
        <w:t xml:space="preserve"> (Skorpionen-Pass): Wahrscheinlich Naqb es-Safa, ca. 50 km südlich des Toten Meeres</w:t>
      </w:r>
    </w:p>
    <w:p w14:paraId="06440B8A" w14:textId="77777777" w:rsidR="00164C6E" w:rsidRDefault="00164C6E" w:rsidP="00164C6E">
      <w:pPr>
        <w:pStyle w:val="whitespace-normal"/>
        <w:numPr>
          <w:ilvl w:val="0"/>
          <w:numId w:val="213"/>
        </w:numPr>
      </w:pPr>
      <w:r>
        <w:rPr>
          <w:rStyle w:val="Fett"/>
        </w:rPr>
        <w:t>Kadesch-Barnea</w:t>
      </w:r>
      <w:r>
        <w:t>: En el-Qudeirat (mehrheitlich akzeptiert) oder En Qedeis (ältere Identifikation)</w:t>
      </w:r>
    </w:p>
    <w:p w14:paraId="7B7B500C" w14:textId="77777777" w:rsidR="00164C6E" w:rsidRDefault="00164C6E" w:rsidP="00164C6E">
      <w:pPr>
        <w:pStyle w:val="whitespace-normal"/>
        <w:numPr>
          <w:ilvl w:val="0"/>
          <w:numId w:val="213"/>
        </w:numPr>
      </w:pPr>
      <w:r>
        <w:rPr>
          <w:rStyle w:val="Fett"/>
        </w:rPr>
        <w:t>Chazar-Addar</w:t>
      </w:r>
      <w:r>
        <w:t>: Unbekannt, vermutlich zwischen Kadesch und Azmon</w:t>
      </w:r>
    </w:p>
    <w:p w14:paraId="44BACEED" w14:textId="77777777" w:rsidR="00164C6E" w:rsidRDefault="00164C6E" w:rsidP="00164C6E">
      <w:pPr>
        <w:pStyle w:val="whitespace-normal"/>
        <w:numPr>
          <w:ilvl w:val="0"/>
          <w:numId w:val="213"/>
        </w:numPr>
      </w:pPr>
      <w:r>
        <w:rPr>
          <w:rStyle w:val="Fett"/>
        </w:rPr>
        <w:t>Azmon</w:t>
      </w:r>
      <w:r>
        <w:t>: Möglicherweise Ain el-Qoseimeh, ca. 15 km südwestlich von Kadesch</w:t>
      </w:r>
    </w:p>
    <w:p w14:paraId="4DA12999" w14:textId="77777777" w:rsidR="00164C6E" w:rsidRDefault="00164C6E" w:rsidP="00164C6E">
      <w:pPr>
        <w:pStyle w:val="whitespace-normal"/>
        <w:numPr>
          <w:ilvl w:val="0"/>
          <w:numId w:val="213"/>
        </w:numPr>
      </w:pPr>
      <w:r>
        <w:rPr>
          <w:rStyle w:val="Fett"/>
        </w:rPr>
        <w:t>Bach Ägyptens</w:t>
      </w:r>
      <w:r>
        <w:t xml:space="preserve"> (Nachal Mizrajim): Wadi el-Arisch (wahrscheinlichste Identifikation), mündet bei El-Arish ins Mittelmeer</w:t>
      </w:r>
    </w:p>
    <w:p w14:paraId="3AC5A1B5" w14:textId="77777777" w:rsidR="00164C6E" w:rsidRDefault="00164C6E" w:rsidP="00164C6E">
      <w:pPr>
        <w:pStyle w:val="whitespace-normal"/>
      </w:pPr>
      <w:r>
        <w:rPr>
          <w:rStyle w:val="Fett"/>
        </w:rPr>
        <w:t>WESTGRENZE (V. 6):</w:t>
      </w:r>
    </w:p>
    <w:p w14:paraId="4AD96F66" w14:textId="77777777" w:rsidR="00164C6E" w:rsidRDefault="00164C6E" w:rsidP="00164C6E">
      <w:pPr>
        <w:pStyle w:val="whitespace-normal"/>
        <w:numPr>
          <w:ilvl w:val="0"/>
          <w:numId w:val="214"/>
        </w:numPr>
      </w:pPr>
      <w:r>
        <w:rPr>
          <w:rStyle w:val="Fett"/>
        </w:rPr>
        <w:t>Das Große Meer</w:t>
      </w:r>
      <w:r>
        <w:t xml:space="preserve"> (ha-Yam ha-Gadol): Mittelmeer – natürliche, klare Grenze von ca. El-Arish bis zur phönizischen Küste</w:t>
      </w:r>
    </w:p>
    <w:p w14:paraId="1293834F" w14:textId="77777777" w:rsidR="00164C6E" w:rsidRDefault="00164C6E" w:rsidP="00164C6E">
      <w:pPr>
        <w:pStyle w:val="whitespace-normal"/>
      </w:pPr>
      <w:r>
        <w:rPr>
          <w:rStyle w:val="Fett"/>
        </w:rPr>
        <w:t>NORDGRENZE (V. 7-9):</w:t>
      </w:r>
    </w:p>
    <w:p w14:paraId="40212CB7" w14:textId="77777777" w:rsidR="00164C6E" w:rsidRDefault="00164C6E" w:rsidP="00164C6E">
      <w:pPr>
        <w:pStyle w:val="whitespace-normal"/>
        <w:numPr>
          <w:ilvl w:val="0"/>
          <w:numId w:val="215"/>
        </w:numPr>
      </w:pPr>
      <w:r>
        <w:rPr>
          <w:rStyle w:val="Fett"/>
        </w:rPr>
        <w:t>Berg Hor</w:t>
      </w:r>
      <w:r>
        <w:t xml:space="preserve"> (nördlicher): NICHT identisch mit dem Berg in 33,37-39! Möglicherweise: </w:t>
      </w:r>
    </w:p>
    <w:p w14:paraId="53BD391A" w14:textId="77777777" w:rsidR="00164C6E" w:rsidRDefault="00164C6E" w:rsidP="00164C6E">
      <w:pPr>
        <w:pStyle w:val="whitespace-normal"/>
        <w:numPr>
          <w:ilvl w:val="1"/>
          <w:numId w:val="215"/>
        </w:numPr>
      </w:pPr>
      <w:r>
        <w:t>Jebel Akkar im nördlichen Libanon</w:t>
      </w:r>
    </w:p>
    <w:p w14:paraId="1D44855F" w14:textId="77777777" w:rsidR="00164C6E" w:rsidRDefault="00164C6E" w:rsidP="00164C6E">
      <w:pPr>
        <w:pStyle w:val="whitespace-normal"/>
        <w:numPr>
          <w:ilvl w:val="1"/>
          <w:numId w:val="215"/>
        </w:numPr>
      </w:pPr>
      <w:r>
        <w:t>Ein Berg in der Amanus-Kette (heute Nur Dağları, Türkei)</w:t>
      </w:r>
    </w:p>
    <w:p w14:paraId="68BD48B4" w14:textId="77777777" w:rsidR="00164C6E" w:rsidRDefault="00164C6E" w:rsidP="00164C6E">
      <w:pPr>
        <w:pStyle w:val="whitespace-normal"/>
        <w:numPr>
          <w:ilvl w:val="1"/>
          <w:numId w:val="215"/>
        </w:numPr>
      </w:pPr>
      <w:r>
        <w:t>Genaue Identifikation unsicher</w:t>
      </w:r>
    </w:p>
    <w:p w14:paraId="409B0E43" w14:textId="77777777" w:rsidR="00164C6E" w:rsidRDefault="00164C6E" w:rsidP="00164C6E">
      <w:pPr>
        <w:pStyle w:val="whitespace-normal"/>
        <w:numPr>
          <w:ilvl w:val="0"/>
          <w:numId w:val="215"/>
        </w:numPr>
      </w:pPr>
      <w:r>
        <w:rPr>
          <w:rStyle w:val="Fett"/>
        </w:rPr>
        <w:t>Lebo-Hamat</w:t>
      </w:r>
      <w:r>
        <w:t xml:space="preserve"> (</w:t>
      </w:r>
      <w:r>
        <w:rPr>
          <w:rtl/>
        </w:rPr>
        <w:t>לְבֹא חֲמָת</w:t>
      </w:r>
      <w:r>
        <w:t xml:space="preserve">): "Eingang zu Hamath" – wahrscheinlich: </w:t>
      </w:r>
    </w:p>
    <w:p w14:paraId="177EF742" w14:textId="77777777" w:rsidR="00164C6E" w:rsidRDefault="00164C6E" w:rsidP="00164C6E">
      <w:pPr>
        <w:pStyle w:val="whitespace-normal"/>
        <w:numPr>
          <w:ilvl w:val="1"/>
          <w:numId w:val="215"/>
        </w:numPr>
      </w:pPr>
      <w:r>
        <w:t>Lebweh in der Bekaa-Ebene (Libanon)</w:t>
      </w:r>
    </w:p>
    <w:p w14:paraId="7CE06D6C" w14:textId="77777777" w:rsidR="00164C6E" w:rsidRDefault="00164C6E" w:rsidP="00164C6E">
      <w:pPr>
        <w:pStyle w:val="whitespace-normal"/>
        <w:numPr>
          <w:ilvl w:val="1"/>
          <w:numId w:val="215"/>
        </w:numPr>
      </w:pPr>
      <w:r>
        <w:t>Oder die Region um den südlichen Zugang zum Gebiet von Hamath (heute Hama, Syrien)</w:t>
      </w:r>
    </w:p>
    <w:p w14:paraId="48D2CF41" w14:textId="77777777" w:rsidR="00164C6E" w:rsidRDefault="00164C6E" w:rsidP="00164C6E">
      <w:pPr>
        <w:pStyle w:val="whitespace-normal"/>
        <w:numPr>
          <w:ilvl w:val="0"/>
          <w:numId w:val="215"/>
        </w:numPr>
      </w:pPr>
      <w:r>
        <w:rPr>
          <w:rStyle w:val="Fett"/>
        </w:rPr>
        <w:t>Zedad</w:t>
      </w:r>
      <w:r>
        <w:t>: Sadad, ca. 115 km nordöstlich von Damaskus</w:t>
      </w:r>
    </w:p>
    <w:p w14:paraId="5A65D6BD" w14:textId="77777777" w:rsidR="00164C6E" w:rsidRDefault="00164C6E" w:rsidP="00164C6E">
      <w:pPr>
        <w:pStyle w:val="whitespace-normal"/>
        <w:numPr>
          <w:ilvl w:val="0"/>
          <w:numId w:val="215"/>
        </w:numPr>
      </w:pPr>
      <w:r>
        <w:rPr>
          <w:rStyle w:val="Fett"/>
        </w:rPr>
        <w:t>Zifron</w:t>
      </w:r>
      <w:r>
        <w:t>: Unbekannt, nordöstlich von Zedad</w:t>
      </w:r>
    </w:p>
    <w:p w14:paraId="0FEC009B" w14:textId="77777777" w:rsidR="00164C6E" w:rsidRDefault="00164C6E" w:rsidP="00164C6E">
      <w:pPr>
        <w:pStyle w:val="whitespace-normal"/>
        <w:numPr>
          <w:ilvl w:val="0"/>
          <w:numId w:val="215"/>
        </w:numPr>
      </w:pPr>
      <w:r>
        <w:rPr>
          <w:rStyle w:val="Fett"/>
        </w:rPr>
        <w:t>Chazar-Enan</w:t>
      </w:r>
      <w:r>
        <w:t>: Qaryatein oder in der Nähe, ca. 100 km nordöstlich von Damaskus</w:t>
      </w:r>
    </w:p>
    <w:p w14:paraId="6BDFFC05" w14:textId="77777777" w:rsidR="00164C6E" w:rsidRDefault="00164C6E" w:rsidP="00164C6E">
      <w:pPr>
        <w:pStyle w:val="whitespace-normal"/>
      </w:pPr>
      <w:r>
        <w:rPr>
          <w:rStyle w:val="Fett"/>
        </w:rPr>
        <w:t>OSTGRENZE (V. 10-12):</w:t>
      </w:r>
    </w:p>
    <w:p w14:paraId="0AD4311F" w14:textId="77777777" w:rsidR="00164C6E" w:rsidRDefault="00164C6E" w:rsidP="00164C6E">
      <w:pPr>
        <w:pStyle w:val="whitespace-normal"/>
        <w:numPr>
          <w:ilvl w:val="0"/>
          <w:numId w:val="216"/>
        </w:numPr>
      </w:pPr>
      <w:r>
        <w:rPr>
          <w:rStyle w:val="Fett"/>
        </w:rPr>
        <w:t>Schefam</w:t>
      </w:r>
      <w:r>
        <w:t>: Unbekannt</w:t>
      </w:r>
    </w:p>
    <w:p w14:paraId="096D3BEB" w14:textId="77777777" w:rsidR="00164C6E" w:rsidRDefault="00164C6E" w:rsidP="00164C6E">
      <w:pPr>
        <w:pStyle w:val="whitespace-normal"/>
        <w:numPr>
          <w:ilvl w:val="0"/>
          <w:numId w:val="216"/>
        </w:numPr>
      </w:pPr>
      <w:r>
        <w:rPr>
          <w:rStyle w:val="Fett"/>
        </w:rPr>
        <w:t>Ribla</w:t>
      </w:r>
      <w:r>
        <w:t>: Wahrscheinlich Riblah am Orontes (2 Kön 23,33; 25,6)</w:t>
      </w:r>
    </w:p>
    <w:p w14:paraId="3EA06F0D" w14:textId="77777777" w:rsidR="00164C6E" w:rsidRDefault="00164C6E" w:rsidP="00164C6E">
      <w:pPr>
        <w:pStyle w:val="whitespace-normal"/>
        <w:numPr>
          <w:ilvl w:val="0"/>
          <w:numId w:val="216"/>
        </w:numPr>
      </w:pPr>
      <w:r>
        <w:rPr>
          <w:rStyle w:val="Fett"/>
        </w:rPr>
        <w:t>Ajin</w:t>
      </w:r>
      <w:r>
        <w:t>: Unbekannt, möglicherweise eine Quelle</w:t>
      </w:r>
    </w:p>
    <w:p w14:paraId="2BD126E8" w14:textId="77777777" w:rsidR="00164C6E" w:rsidRDefault="00164C6E" w:rsidP="00164C6E">
      <w:pPr>
        <w:pStyle w:val="whitespace-normal"/>
        <w:numPr>
          <w:ilvl w:val="0"/>
          <w:numId w:val="216"/>
        </w:numPr>
      </w:pPr>
      <w:r>
        <w:rPr>
          <w:rStyle w:val="Fett"/>
        </w:rPr>
        <w:t>See Kinneret</w:t>
      </w:r>
      <w:r>
        <w:t>: See Genezareth (heute: Yam Kinneret / Sea of Galilee)</w:t>
      </w:r>
    </w:p>
    <w:p w14:paraId="11CE5C50" w14:textId="77777777" w:rsidR="00164C6E" w:rsidRDefault="00164C6E" w:rsidP="00164C6E">
      <w:pPr>
        <w:pStyle w:val="whitespace-normal"/>
        <w:numPr>
          <w:ilvl w:val="0"/>
          <w:numId w:val="216"/>
        </w:numPr>
      </w:pPr>
      <w:r>
        <w:rPr>
          <w:rStyle w:val="Fett"/>
        </w:rPr>
        <w:t>Jordan</w:t>
      </w:r>
      <w:r>
        <w:t>: Vom See Genezareth südwärts bis zum Toten Meer</w:t>
      </w:r>
    </w:p>
    <w:p w14:paraId="34B82E39" w14:textId="77777777" w:rsidR="00164C6E" w:rsidRDefault="00164C6E" w:rsidP="00164C6E">
      <w:pPr>
        <w:pStyle w:val="berschrift3"/>
      </w:pPr>
      <w:r>
        <w:t>Geografische Beobachtungen:</w:t>
      </w:r>
    </w:p>
    <w:p w14:paraId="18D20D49" w14:textId="77777777" w:rsidR="00164C6E" w:rsidRDefault="00164C6E" w:rsidP="00164C6E">
      <w:pPr>
        <w:pStyle w:val="whitespace-normal"/>
        <w:numPr>
          <w:ilvl w:val="0"/>
          <w:numId w:val="217"/>
        </w:numPr>
      </w:pPr>
      <w:r>
        <w:rPr>
          <w:rStyle w:val="Fett"/>
        </w:rPr>
        <w:t>Maximalausdehnung</w:t>
      </w:r>
      <w:r>
        <w:t>: Die beschriebenen Grenzen umfassen ein deutlich größeres Gebiet als das historisch von Israel kontrollierte Territorium</w:t>
      </w:r>
    </w:p>
    <w:p w14:paraId="4D54756C" w14:textId="77777777" w:rsidR="00164C6E" w:rsidRDefault="00164C6E" w:rsidP="00164C6E">
      <w:pPr>
        <w:pStyle w:val="whitespace-normal"/>
        <w:numPr>
          <w:ilvl w:val="0"/>
          <w:numId w:val="217"/>
        </w:numPr>
      </w:pPr>
      <w:r>
        <w:rPr>
          <w:rStyle w:val="Fett"/>
        </w:rPr>
        <w:t>Idealgrenze</w:t>
      </w:r>
      <w:r>
        <w:t>: Die Nordgrenze (bis Lebo-Hamath) entspricht den "idealen" Grenzen aus Texten wie 1 Kön 8,65</w:t>
      </w:r>
    </w:p>
    <w:p w14:paraId="3C298A26" w14:textId="77777777" w:rsidR="00164C6E" w:rsidRDefault="00164C6E" w:rsidP="00164C6E">
      <w:pPr>
        <w:pStyle w:val="whitespace-normal"/>
        <w:numPr>
          <w:ilvl w:val="0"/>
          <w:numId w:val="217"/>
        </w:numPr>
      </w:pPr>
      <w:r>
        <w:rPr>
          <w:rStyle w:val="Fett"/>
        </w:rPr>
        <w:t>Historische Realität</w:t>
      </w:r>
      <w:r>
        <w:t>: Nur unter David und Salomo näherte sich das Reich diesen Grenzen (aber auch da nicht vollständig)</w:t>
      </w:r>
    </w:p>
    <w:p w14:paraId="20A5AC72" w14:textId="77777777" w:rsidR="00164C6E" w:rsidRDefault="00164C6E" w:rsidP="00164C6E">
      <w:pPr>
        <w:pStyle w:val="whitespace-normal"/>
        <w:numPr>
          <w:ilvl w:val="0"/>
          <w:numId w:val="217"/>
        </w:numPr>
      </w:pPr>
      <w:r>
        <w:rPr>
          <w:rStyle w:val="Fett"/>
        </w:rPr>
        <w:t>Ostjordanland ausgeschlossen</w:t>
      </w:r>
      <w:r>
        <w:t>: Die Grenzen umfassen bewusst NICHT das bereits an Ruben, Gad und halb Manasse vergebene Territorium</w:t>
      </w:r>
    </w:p>
    <w:p w14:paraId="0ED566B0" w14:textId="6585E482" w:rsidR="00164C6E" w:rsidRDefault="00164C6E" w:rsidP="00164C6E">
      <w:pPr>
        <w:pStyle w:val="berschrift3"/>
      </w:pPr>
      <w:r>
        <w:lastRenderedPageBreak/>
        <w:t>Vergleich mit anderen biblischen Grenzbeschreibungen:</w:t>
      </w:r>
    </w:p>
    <w:tbl>
      <w:tblPr>
        <w:tblStyle w:val="Tabellenraster"/>
        <w:tblW w:w="4994" w:type="pct"/>
        <w:tblLook w:val="04A0" w:firstRow="1" w:lastRow="0" w:firstColumn="1" w:lastColumn="0" w:noHBand="0" w:noVBand="1"/>
      </w:tblPr>
      <w:tblGrid>
        <w:gridCol w:w="1555"/>
        <w:gridCol w:w="3543"/>
        <w:gridCol w:w="3953"/>
      </w:tblGrid>
      <w:tr w:rsidR="00F00B0E" w14:paraId="437306EF" w14:textId="77777777" w:rsidTr="00F00B0E">
        <w:tc>
          <w:tcPr>
            <w:tcW w:w="859" w:type="pct"/>
            <w:vAlign w:val="center"/>
          </w:tcPr>
          <w:p w14:paraId="05B93E76" w14:textId="2A73A43B" w:rsidR="00F00B0E" w:rsidRDefault="00F00B0E" w:rsidP="00F00B0E">
            <w:r>
              <w:rPr>
                <w:rFonts w:cs="Times New Roman"/>
                <w:b/>
                <w:bCs/>
              </w:rPr>
              <w:t>Text</w:t>
            </w:r>
          </w:p>
        </w:tc>
        <w:tc>
          <w:tcPr>
            <w:tcW w:w="1957" w:type="pct"/>
            <w:vAlign w:val="center"/>
          </w:tcPr>
          <w:p w14:paraId="2E9DE233" w14:textId="31703683" w:rsidR="00F00B0E" w:rsidRDefault="00F00B0E" w:rsidP="00F00B0E">
            <w:r>
              <w:rPr>
                <w:b/>
                <w:bCs/>
              </w:rPr>
              <w:t>Nordgrenze</w:t>
            </w:r>
          </w:p>
        </w:tc>
        <w:tc>
          <w:tcPr>
            <w:tcW w:w="2184" w:type="pct"/>
            <w:vAlign w:val="center"/>
          </w:tcPr>
          <w:p w14:paraId="79FB943E" w14:textId="38E81994" w:rsidR="00F00B0E" w:rsidRDefault="00F00B0E" w:rsidP="00F00B0E">
            <w:r>
              <w:rPr>
                <w:b/>
                <w:bCs/>
              </w:rPr>
              <w:t>Besonderheit</w:t>
            </w:r>
          </w:p>
        </w:tc>
      </w:tr>
      <w:tr w:rsidR="00F00B0E" w14:paraId="7264FC60" w14:textId="77777777" w:rsidTr="00F00B0E">
        <w:tc>
          <w:tcPr>
            <w:tcW w:w="859" w:type="pct"/>
            <w:vAlign w:val="center"/>
          </w:tcPr>
          <w:p w14:paraId="2EDDD4C5" w14:textId="071F9922" w:rsidR="00F00B0E" w:rsidRDefault="00F00B0E" w:rsidP="00F00B0E">
            <w:r>
              <w:rPr>
                <w:rStyle w:val="Fett"/>
              </w:rPr>
              <w:t>Num 34</w:t>
            </w:r>
          </w:p>
        </w:tc>
        <w:tc>
          <w:tcPr>
            <w:tcW w:w="1957" w:type="pct"/>
            <w:vAlign w:val="center"/>
          </w:tcPr>
          <w:p w14:paraId="0F384A28" w14:textId="62425D01" w:rsidR="00F00B0E" w:rsidRDefault="00F00B0E" w:rsidP="00F00B0E">
            <w:r>
              <w:t>Lebo-Hamath</w:t>
            </w:r>
          </w:p>
        </w:tc>
        <w:tc>
          <w:tcPr>
            <w:tcW w:w="2184" w:type="pct"/>
            <w:vAlign w:val="center"/>
          </w:tcPr>
          <w:p w14:paraId="7D81AA08" w14:textId="26F6DD49" w:rsidR="00F00B0E" w:rsidRDefault="00F00B0E" w:rsidP="00F00B0E">
            <w:r>
              <w:t>Detaillierteste Grenzbeschreibung</w:t>
            </w:r>
          </w:p>
        </w:tc>
      </w:tr>
      <w:tr w:rsidR="00F00B0E" w14:paraId="6616B33D" w14:textId="77777777" w:rsidTr="00F00B0E">
        <w:tc>
          <w:tcPr>
            <w:tcW w:w="859" w:type="pct"/>
            <w:vAlign w:val="center"/>
          </w:tcPr>
          <w:p w14:paraId="2732D84D" w14:textId="0B98CEFE" w:rsidR="00F00B0E" w:rsidRDefault="00F00B0E" w:rsidP="00F00B0E">
            <w:r>
              <w:rPr>
                <w:rStyle w:val="Fett"/>
              </w:rPr>
              <w:t>Jos 13-19</w:t>
            </w:r>
          </w:p>
        </w:tc>
        <w:tc>
          <w:tcPr>
            <w:tcW w:w="1957" w:type="pct"/>
            <w:vAlign w:val="center"/>
          </w:tcPr>
          <w:p w14:paraId="64A0CB53" w14:textId="0049AFEF" w:rsidR="00F00B0E" w:rsidRDefault="00F00B0E" w:rsidP="00F00B0E">
            <w:r>
              <w:t>Variabel nach Stamm</w:t>
            </w:r>
          </w:p>
        </w:tc>
        <w:tc>
          <w:tcPr>
            <w:tcW w:w="2184" w:type="pct"/>
            <w:vAlign w:val="center"/>
          </w:tcPr>
          <w:p w14:paraId="07A528B1" w14:textId="25EF0625" w:rsidR="00F00B0E" w:rsidRDefault="00F00B0E" w:rsidP="00F00B0E">
            <w:r>
              <w:t>Praktische Landverteilung</w:t>
            </w:r>
          </w:p>
        </w:tc>
      </w:tr>
      <w:tr w:rsidR="00F00B0E" w14:paraId="5F5C5D93" w14:textId="77777777" w:rsidTr="00F00B0E">
        <w:tc>
          <w:tcPr>
            <w:tcW w:w="859" w:type="pct"/>
            <w:vAlign w:val="center"/>
          </w:tcPr>
          <w:p w14:paraId="0FE71A0F" w14:textId="673AFEDA" w:rsidR="00F00B0E" w:rsidRDefault="00F00B0E" w:rsidP="00F00B0E">
            <w:r>
              <w:rPr>
                <w:rStyle w:val="Fett"/>
              </w:rPr>
              <w:t>Ez 47,15-20</w:t>
            </w:r>
          </w:p>
        </w:tc>
        <w:tc>
          <w:tcPr>
            <w:tcW w:w="1957" w:type="pct"/>
            <w:vAlign w:val="center"/>
          </w:tcPr>
          <w:p w14:paraId="2FDF5E55" w14:textId="5D4FD84C" w:rsidR="00F00B0E" w:rsidRDefault="00F00B0E" w:rsidP="00F00B0E">
            <w:r>
              <w:t>Lebo-Hamath</w:t>
            </w:r>
          </w:p>
        </w:tc>
        <w:tc>
          <w:tcPr>
            <w:tcW w:w="2184" w:type="pct"/>
            <w:vAlign w:val="center"/>
          </w:tcPr>
          <w:p w14:paraId="2732B527" w14:textId="5B29B30D" w:rsidR="00F00B0E" w:rsidRDefault="00F00B0E" w:rsidP="00F00B0E">
            <w:r>
              <w:t>Eschatologische Vision</w:t>
            </w:r>
          </w:p>
        </w:tc>
      </w:tr>
      <w:tr w:rsidR="00F00B0E" w14:paraId="56A645AB" w14:textId="77777777" w:rsidTr="00F00B0E">
        <w:tc>
          <w:tcPr>
            <w:tcW w:w="859" w:type="pct"/>
            <w:vAlign w:val="center"/>
          </w:tcPr>
          <w:p w14:paraId="757ECA62" w14:textId="69C6D296" w:rsidR="00F00B0E" w:rsidRDefault="00F00B0E" w:rsidP="00F00B0E">
            <w:r>
              <w:rPr>
                <w:rStyle w:val="Fett"/>
              </w:rPr>
              <w:t>1 Kön 8,65</w:t>
            </w:r>
          </w:p>
        </w:tc>
        <w:tc>
          <w:tcPr>
            <w:tcW w:w="1957" w:type="pct"/>
            <w:vAlign w:val="center"/>
          </w:tcPr>
          <w:p w14:paraId="1C2706B8" w14:textId="0B89AEAB" w:rsidR="00F00B0E" w:rsidRDefault="00F00B0E" w:rsidP="00F00B0E">
            <w:r>
              <w:t>Lebo-Hamath bis Bach Ägyptens</w:t>
            </w:r>
          </w:p>
        </w:tc>
        <w:tc>
          <w:tcPr>
            <w:tcW w:w="2184" w:type="pct"/>
            <w:vAlign w:val="center"/>
          </w:tcPr>
          <w:p w14:paraId="203970BA" w14:textId="3BFE985C" w:rsidR="00F00B0E" w:rsidRDefault="00F00B0E" w:rsidP="00F00B0E">
            <w:r>
              <w:t>Salomos Reich</w:t>
            </w:r>
          </w:p>
        </w:tc>
      </w:tr>
      <w:tr w:rsidR="00F00B0E" w14:paraId="3288517C" w14:textId="77777777" w:rsidTr="00F00B0E">
        <w:tc>
          <w:tcPr>
            <w:tcW w:w="859" w:type="pct"/>
            <w:vAlign w:val="center"/>
          </w:tcPr>
          <w:p w14:paraId="43CB9081" w14:textId="3127CAC7" w:rsidR="00F00B0E" w:rsidRDefault="00F00B0E" w:rsidP="00F00B0E">
            <w:r>
              <w:rPr>
                <w:rStyle w:val="Fett"/>
              </w:rPr>
              <w:t>Gen 15,18</w:t>
            </w:r>
          </w:p>
        </w:tc>
        <w:tc>
          <w:tcPr>
            <w:tcW w:w="1957" w:type="pct"/>
            <w:vAlign w:val="center"/>
          </w:tcPr>
          <w:p w14:paraId="73738777" w14:textId="5E9B0776" w:rsidR="00F00B0E" w:rsidRDefault="00F00B0E" w:rsidP="00F00B0E">
            <w:r>
              <w:t>Vom Strom Ägyptens bis Euphrat</w:t>
            </w:r>
          </w:p>
        </w:tc>
        <w:tc>
          <w:tcPr>
            <w:tcW w:w="2184" w:type="pct"/>
            <w:vAlign w:val="center"/>
          </w:tcPr>
          <w:p w14:paraId="3220E1EF" w14:textId="7C7A2B88" w:rsidR="00F00B0E" w:rsidRDefault="00F00B0E" w:rsidP="00F00B0E">
            <w:r>
              <w:t>Noch größere Verheißung</w:t>
            </w:r>
          </w:p>
        </w:tc>
      </w:tr>
    </w:tbl>
    <w:p w14:paraId="0BAC5B30" w14:textId="77777777" w:rsidR="00164C6E" w:rsidRDefault="00164C6E" w:rsidP="00F00B0E">
      <w:pPr>
        <w:pStyle w:val="KeinLeerraum"/>
        <w:rPr>
          <w:noProof/>
          <w:lang w:eastAsia="de-DE"/>
        </w:rPr>
      </w:pPr>
    </w:p>
    <w:p w14:paraId="15595EFD"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34,13</w:t>
      </w:r>
    </w:p>
    <w:p w14:paraId="209DCAA8"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וַיְצַ֣ו מֹשֶׁ֔ה אֶת־בְּנֵ֥י יִשְׂרָאֵ֖ל לֵאמֹ֑ר זֹ֣את הָאָ֗רֶץ אֲשֶׁ֨ר תִּתְנַחֲל֤וּ אֹתָהּ֙ בְּגוֹרָ֔ל אֲשֶׁר֙ צִוָּ֣ה יְהוָ֔ה לָתֵ֛ת לְתִשְׁעַ֥ת הַמַּטּ֖וֹת וַחֲצִ֥י הַמַּטֶּֽה׃</w:t>
      </w:r>
    </w:p>
    <w:p w14:paraId="6074521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Mosche befahl den Söhnen Jisra'el, sagend: Dies ist das Land, das ihr durch das Los als Erbe verteilen sollt, das der Ewige geboten hat, den neun Stämmen und dem halben Stamm zu geben.</w:t>
      </w:r>
    </w:p>
    <w:p w14:paraId="697E2BFF"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4C3098A6">
          <v:rect id="_x0000_i2052" style="width:0;height:1.5pt" o:hralign="center" o:hrstd="t" o:hr="t" fillcolor="#a0a0a0" stroked="f"/>
        </w:pict>
      </w:r>
    </w:p>
    <w:p w14:paraId="286AC834"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leitet Moses Weitergabe der Grenzbeschreibung ein. </w:t>
      </w:r>
      <w:r w:rsidRPr="003A0485">
        <w:rPr>
          <w:rFonts w:eastAsia="Times New Roman" w:cs="Times New Roman"/>
          <w:b/>
          <w:bCs/>
          <w:rtl/>
          <w:lang w:eastAsia="de-DE"/>
        </w:rPr>
        <w:t>וַיְצַו מֹשֶׁה אֶת־בְּנֵי יִשְׂרָאֵל לֵאמֹר</w:t>
      </w:r>
      <w:r w:rsidRPr="003A0485">
        <w:rPr>
          <w:rFonts w:eastAsia="Times New Roman" w:cs="Times New Roman"/>
          <w:rtl/>
          <w:lang w:eastAsia="de-DE"/>
        </w:rPr>
        <w:t xml:space="preserve"> </w:t>
      </w:r>
      <w:r w:rsidRPr="003A0485">
        <w:rPr>
          <w:rFonts w:eastAsia="Times New Roman" w:cs="Times New Roman"/>
          <w:lang w:eastAsia="de-DE"/>
        </w:rPr>
        <w:t xml:space="preserve">ist die Einleitung. </w:t>
      </w:r>
      <w:r w:rsidRPr="003A0485">
        <w:rPr>
          <w:rFonts w:eastAsia="Times New Roman" w:cs="Times New Roman"/>
          <w:b/>
          <w:bCs/>
          <w:rtl/>
          <w:lang w:eastAsia="de-DE"/>
        </w:rPr>
        <w:t>וַיְצַו</w:t>
      </w:r>
      <w:r w:rsidRPr="003A0485">
        <w:rPr>
          <w:rFonts w:eastAsia="Times New Roman" w:cs="Times New Roman"/>
          <w:rtl/>
          <w:lang w:eastAsia="de-DE"/>
        </w:rPr>
        <w:t xml:space="preserve"> </w:t>
      </w:r>
      <w:r w:rsidRPr="003A0485">
        <w:rPr>
          <w:rFonts w:eastAsia="Times New Roman" w:cs="Times New Roman"/>
          <w:lang w:eastAsia="de-DE"/>
        </w:rPr>
        <w:t xml:space="preserve">(Piel Wayyiqtol 3. Person maskulin Singular von </w:t>
      </w:r>
      <w:r w:rsidRPr="003A0485">
        <w:rPr>
          <w:rFonts w:eastAsia="Times New Roman" w:cs="Times New Roman"/>
          <w:b/>
          <w:bCs/>
          <w:rtl/>
          <w:lang w:eastAsia="de-DE"/>
        </w:rPr>
        <w:t>צוה</w:t>
      </w:r>
      <w:r w:rsidRPr="003A0485">
        <w:rPr>
          <w:rFonts w:eastAsia="Times New Roman" w:cs="Times New Roman"/>
          <w:rtl/>
          <w:lang w:eastAsia="de-DE"/>
        </w:rPr>
        <w:t xml:space="preserve"> </w:t>
      </w:r>
      <w:r w:rsidRPr="003A0485">
        <w:rPr>
          <w:rFonts w:eastAsia="Times New Roman" w:cs="Times New Roman"/>
          <w:lang w:eastAsia="de-DE"/>
        </w:rPr>
        <w:t xml:space="preserve">„befehlen"), </w:t>
      </w:r>
      <w:r w:rsidRPr="003A0485">
        <w:rPr>
          <w:rFonts w:eastAsia="Times New Roman" w:cs="Times New Roman"/>
          <w:b/>
          <w:bCs/>
          <w:rtl/>
          <w:lang w:eastAsia="de-DE"/>
        </w:rPr>
        <w:t>מֹשֶׁה</w:t>
      </w:r>
      <w:r w:rsidRPr="003A0485">
        <w:rPr>
          <w:rFonts w:eastAsia="Times New Roman" w:cs="Times New Roman"/>
          <w:rtl/>
          <w:lang w:eastAsia="de-DE"/>
        </w:rPr>
        <w:t xml:space="preserve"> </w:t>
      </w:r>
      <w:r w:rsidRPr="003A0485">
        <w:rPr>
          <w:rFonts w:eastAsia="Times New Roman" w:cs="Times New Roman"/>
          <w:lang w:eastAsia="de-DE"/>
        </w:rPr>
        <w:t xml:space="preserve">(Subjekt), </w:t>
      </w:r>
      <w:r w:rsidRPr="003A0485">
        <w:rPr>
          <w:rFonts w:eastAsia="Times New Roman" w:cs="Times New Roman"/>
          <w:b/>
          <w:bCs/>
          <w:rtl/>
          <w:lang w:eastAsia="de-DE"/>
        </w:rPr>
        <w:t>אֶת־בְּנֵי יִשְׂרָאֵל</w:t>
      </w:r>
      <w:r w:rsidRPr="003A0485">
        <w:rPr>
          <w:rFonts w:eastAsia="Times New Roman" w:cs="Times New Roman"/>
          <w:rtl/>
          <w:lang w:eastAsia="de-DE"/>
        </w:rPr>
        <w:t xml:space="preserve"> </w:t>
      </w:r>
      <w:r w:rsidRPr="003A0485">
        <w:rPr>
          <w:rFonts w:eastAsia="Times New Roman" w:cs="Times New Roman"/>
          <w:lang w:eastAsia="de-DE"/>
        </w:rPr>
        <w:t xml:space="preserve">(Akkusativpartikel mit „Söhne Israels"), </w:t>
      </w:r>
      <w:r w:rsidRPr="003A0485">
        <w:rPr>
          <w:rFonts w:eastAsia="Times New Roman" w:cs="Times New Roman"/>
          <w:b/>
          <w:bCs/>
          <w:rtl/>
          <w:lang w:eastAsia="de-DE"/>
        </w:rPr>
        <w:t>לֵאמֹר</w:t>
      </w:r>
      <w:r w:rsidRPr="003A0485">
        <w:rPr>
          <w:rFonts w:eastAsia="Times New Roman" w:cs="Times New Roman"/>
          <w:rtl/>
          <w:lang w:eastAsia="de-DE"/>
        </w:rPr>
        <w:t xml:space="preserve"> </w:t>
      </w:r>
      <w:r w:rsidRPr="003A0485">
        <w:rPr>
          <w:rFonts w:eastAsia="Times New Roman" w:cs="Times New Roman"/>
          <w:lang w:eastAsia="de-DE"/>
        </w:rPr>
        <w:t xml:space="preserve">(Infinitiv mit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„sagend"). </w:t>
      </w:r>
      <w:r w:rsidRPr="003A0485">
        <w:rPr>
          <w:rFonts w:eastAsia="Times New Roman" w:cs="Times New Roman"/>
          <w:b/>
          <w:bCs/>
          <w:rtl/>
          <w:lang w:eastAsia="de-DE"/>
        </w:rPr>
        <w:t>זֹאת הָאָרֶץ אֲשֶׁר תִּתְנַחֲלוּ אֹתָהּ בְּגוֹרָל</w:t>
      </w:r>
      <w:r w:rsidRPr="003A0485">
        <w:rPr>
          <w:rFonts w:eastAsia="Times New Roman" w:cs="Times New Roman"/>
          <w:rtl/>
          <w:lang w:eastAsia="de-DE"/>
        </w:rPr>
        <w:t xml:space="preserve"> </w:t>
      </w:r>
      <w:r w:rsidRPr="003A0485">
        <w:rPr>
          <w:rFonts w:eastAsia="Times New Roman" w:cs="Times New Roman"/>
          <w:lang w:eastAsia="de-DE"/>
        </w:rPr>
        <w:t xml:space="preserve">ist die Definition. </w:t>
      </w:r>
      <w:r w:rsidRPr="003A0485">
        <w:rPr>
          <w:rFonts w:eastAsia="Times New Roman" w:cs="Times New Roman"/>
          <w:b/>
          <w:bCs/>
          <w:rtl/>
          <w:lang w:eastAsia="de-DE"/>
        </w:rPr>
        <w:t>זֹאת הָאָרֶץ</w:t>
      </w:r>
      <w:r w:rsidRPr="003A0485">
        <w:rPr>
          <w:rFonts w:eastAsia="Times New Roman" w:cs="Times New Roman"/>
          <w:rtl/>
          <w:lang w:eastAsia="de-DE"/>
        </w:rPr>
        <w:t xml:space="preserve"> </w:t>
      </w:r>
      <w:r w:rsidRPr="003A0485">
        <w:rPr>
          <w:rFonts w:eastAsia="Times New Roman" w:cs="Times New Roman"/>
          <w:lang w:eastAsia="de-DE"/>
        </w:rPr>
        <w:t xml:space="preserve">(„dies ist das Land"), </w:t>
      </w:r>
      <w:r w:rsidRPr="003A0485">
        <w:rPr>
          <w:rFonts w:eastAsia="Times New Roman" w:cs="Times New Roman"/>
          <w:b/>
          <w:bCs/>
          <w:rtl/>
          <w:lang w:eastAsia="de-DE"/>
        </w:rPr>
        <w:t>אֲשֶׁר תִּתְנַחֲלוּ אֹתָהּ</w:t>
      </w:r>
      <w:r w:rsidRPr="003A0485">
        <w:rPr>
          <w:rFonts w:eastAsia="Times New Roman" w:cs="Times New Roman"/>
          <w:rtl/>
          <w:lang w:eastAsia="de-DE"/>
        </w:rPr>
        <w:t xml:space="preserve"> </w:t>
      </w:r>
      <w:r w:rsidRPr="003A0485">
        <w:rPr>
          <w:rFonts w:eastAsia="Times New Roman" w:cs="Times New Roman"/>
          <w:lang w:eastAsia="de-DE"/>
        </w:rPr>
        <w:t xml:space="preserve">(Relativsatz: Hithpael Imperfekt 2. Person Plural von </w:t>
      </w:r>
      <w:r w:rsidRPr="003A0485">
        <w:rPr>
          <w:rFonts w:eastAsia="Times New Roman" w:cs="Times New Roman"/>
          <w:b/>
          <w:bCs/>
          <w:rtl/>
          <w:lang w:eastAsia="de-DE"/>
        </w:rPr>
        <w:t>נחל</w:t>
      </w:r>
      <w:r w:rsidRPr="003A0485">
        <w:rPr>
          <w:rFonts w:eastAsia="Times New Roman" w:cs="Times New Roman"/>
          <w:rtl/>
          <w:lang w:eastAsia="de-DE"/>
        </w:rPr>
        <w:t xml:space="preserve"> </w:t>
      </w:r>
      <w:r w:rsidRPr="003A0485">
        <w:rPr>
          <w:rFonts w:eastAsia="Times New Roman" w:cs="Times New Roman"/>
          <w:lang w:eastAsia="de-DE"/>
        </w:rPr>
        <w:t xml:space="preserve">„als Erbe verteilen, erben" mit Akkusativpartikel und Suffix 3. Person feminin Singular „das ihr es als Erbe verteilen sollt"), </w:t>
      </w:r>
      <w:r w:rsidRPr="003A0485">
        <w:rPr>
          <w:rFonts w:eastAsia="Times New Roman" w:cs="Times New Roman"/>
          <w:b/>
          <w:bCs/>
          <w:rtl/>
          <w:lang w:eastAsia="de-DE"/>
        </w:rPr>
        <w:t>בְּגוֹרָל</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בְ</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גּוֹרָל</w:t>
      </w:r>
      <w:r w:rsidRPr="003A0485">
        <w:rPr>
          <w:rFonts w:eastAsia="Times New Roman" w:cs="Times New Roman"/>
          <w:rtl/>
          <w:lang w:eastAsia="de-DE"/>
        </w:rPr>
        <w:t xml:space="preserve"> </w:t>
      </w:r>
      <w:r w:rsidRPr="003A0485">
        <w:rPr>
          <w:rFonts w:eastAsia="Times New Roman" w:cs="Times New Roman"/>
          <w:lang w:eastAsia="de-DE"/>
        </w:rPr>
        <w:t>„Los" „durch das Los").</w:t>
      </w:r>
    </w:p>
    <w:p w14:paraId="238F4251" w14:textId="514FA7DA"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rtl/>
          <w:lang w:eastAsia="de-DE"/>
        </w:rPr>
        <w:t>אֲשֶׁר צִוָּה יהוה לָתֵת לְתִשְׁעַת הַמַּטּוֹת וַחֲצִי הַמַּטֶּה</w:t>
      </w:r>
      <w:r w:rsidRPr="003A0485">
        <w:rPr>
          <w:rFonts w:eastAsia="Times New Roman" w:cs="Times New Roman"/>
          <w:rtl/>
          <w:lang w:eastAsia="de-DE"/>
        </w:rPr>
        <w:t xml:space="preserve"> </w:t>
      </w:r>
      <w:r w:rsidRPr="003A0485">
        <w:rPr>
          <w:rFonts w:eastAsia="Times New Roman" w:cs="Times New Roman"/>
          <w:lang w:eastAsia="de-DE"/>
        </w:rPr>
        <w:t xml:space="preserve">gibt die göttliche Autorität und die Empfänger an. </w:t>
      </w:r>
      <w:r w:rsidRPr="003A0485">
        <w:rPr>
          <w:rFonts w:eastAsia="Times New Roman" w:cs="Times New Roman"/>
          <w:b/>
          <w:bCs/>
          <w:rtl/>
          <w:lang w:eastAsia="de-DE"/>
        </w:rPr>
        <w:t>אֲשֶׁר צִוָּה יהוה</w:t>
      </w:r>
      <w:r w:rsidRPr="003A0485">
        <w:rPr>
          <w:rFonts w:eastAsia="Times New Roman" w:cs="Times New Roman"/>
          <w:rtl/>
          <w:lang w:eastAsia="de-DE"/>
        </w:rPr>
        <w:t xml:space="preserve"> </w:t>
      </w:r>
      <w:r w:rsidRPr="003A0485">
        <w:rPr>
          <w:rFonts w:eastAsia="Times New Roman" w:cs="Times New Roman"/>
          <w:lang w:eastAsia="de-DE"/>
        </w:rPr>
        <w:t xml:space="preserve">(Relativsatz: Piel Perfekt 3. Person maskulin Singular von </w:t>
      </w:r>
      <w:r w:rsidRPr="003A0485">
        <w:rPr>
          <w:rFonts w:eastAsia="Times New Roman" w:cs="Times New Roman"/>
          <w:b/>
          <w:bCs/>
          <w:rtl/>
          <w:lang w:eastAsia="de-DE"/>
        </w:rPr>
        <w:t>צוה</w:t>
      </w:r>
      <w:r w:rsidRPr="003A0485">
        <w:rPr>
          <w:rFonts w:eastAsia="Times New Roman" w:cs="Times New Roman"/>
          <w:rtl/>
          <w:lang w:eastAsia="de-DE"/>
        </w:rPr>
        <w:t xml:space="preserve"> </w:t>
      </w:r>
      <w:r w:rsidRPr="003A0485">
        <w:rPr>
          <w:rFonts w:eastAsia="Times New Roman" w:cs="Times New Roman"/>
          <w:lang w:eastAsia="de-DE"/>
        </w:rPr>
        <w:t xml:space="preserve">mit Tetragramm als Subjekt „das der Ewige geboten hat"), </w:t>
      </w:r>
      <w:r w:rsidRPr="003A0485">
        <w:rPr>
          <w:rFonts w:eastAsia="Times New Roman" w:cs="Times New Roman"/>
          <w:b/>
          <w:bCs/>
          <w:rtl/>
          <w:lang w:eastAsia="de-DE"/>
        </w:rPr>
        <w:t>לָתֵת</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Qal Infinitiv </w:t>
      </w:r>
      <w:r w:rsidR="00E031B3">
        <w:rPr>
          <w:rFonts w:eastAsia="Times New Roman" w:cs="Times New Roman"/>
          <w:lang w:eastAsia="de-DE"/>
        </w:rPr>
        <w:t>Constructus von</w:t>
      </w:r>
      <w:r w:rsidRPr="003A0485">
        <w:rPr>
          <w:rFonts w:eastAsia="Times New Roman" w:cs="Times New Roman"/>
          <w:lang w:eastAsia="de-DE"/>
        </w:rPr>
        <w:t xml:space="preserve"> </w:t>
      </w:r>
      <w:r w:rsidRPr="003A0485">
        <w:rPr>
          <w:rFonts w:eastAsia="Times New Roman" w:cs="Times New Roman"/>
          <w:b/>
          <w:bCs/>
          <w:rtl/>
          <w:lang w:eastAsia="de-DE"/>
        </w:rPr>
        <w:t>נתן</w:t>
      </w:r>
      <w:r w:rsidRPr="003A0485">
        <w:rPr>
          <w:rFonts w:eastAsia="Times New Roman" w:cs="Times New Roman"/>
          <w:rtl/>
          <w:lang w:eastAsia="de-DE"/>
        </w:rPr>
        <w:t xml:space="preserve"> </w:t>
      </w:r>
      <w:r w:rsidRPr="003A0485">
        <w:rPr>
          <w:rFonts w:eastAsia="Times New Roman" w:cs="Times New Roman"/>
          <w:lang w:eastAsia="de-DE"/>
        </w:rPr>
        <w:t xml:space="preserve">„geben" „zu geben"), </w:t>
      </w:r>
      <w:r w:rsidRPr="003A0485">
        <w:rPr>
          <w:rFonts w:eastAsia="Times New Roman" w:cs="Times New Roman"/>
          <w:b/>
          <w:bCs/>
          <w:rtl/>
          <w:lang w:eastAsia="de-DE"/>
        </w:rPr>
        <w:t>לְתִשְׁעַת הַמַּטּוֹת וַחֲצִי הַמַּטֶּה</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Kardinalzahl </w:t>
      </w:r>
      <w:r w:rsidRPr="003A0485">
        <w:rPr>
          <w:rFonts w:eastAsia="Times New Roman" w:cs="Times New Roman"/>
          <w:b/>
          <w:bCs/>
          <w:rtl/>
          <w:lang w:eastAsia="de-DE"/>
        </w:rPr>
        <w:t>תֵּשַׁע</w:t>
      </w:r>
      <w:r w:rsidRPr="003A0485">
        <w:rPr>
          <w:rFonts w:eastAsia="Times New Roman" w:cs="Times New Roman"/>
          <w:rtl/>
          <w:lang w:eastAsia="de-DE"/>
        </w:rPr>
        <w:t xml:space="preserve"> </w:t>
      </w:r>
      <w:r w:rsidRPr="003A0485">
        <w:rPr>
          <w:rFonts w:eastAsia="Times New Roman" w:cs="Times New Roman"/>
          <w:lang w:eastAsia="de-DE"/>
        </w:rPr>
        <w:t xml:space="preserve">„neun" im </w:t>
      </w:r>
      <w:r w:rsidR="00E031B3">
        <w:rPr>
          <w:rFonts w:eastAsia="Times New Roman" w:cs="Times New Roman"/>
          <w:lang w:eastAsia="de-DE"/>
        </w:rPr>
        <w:t>Constructus mit</w:t>
      </w:r>
      <w:r w:rsidRPr="003A0485">
        <w:rPr>
          <w:rFonts w:eastAsia="Times New Roman" w:cs="Times New Roman"/>
          <w:lang w:eastAsia="de-DE"/>
        </w:rPr>
        <w:t xml:space="preserve"> Plural </w:t>
      </w:r>
      <w:r w:rsidRPr="003A0485">
        <w:rPr>
          <w:rFonts w:eastAsia="Times New Roman" w:cs="Times New Roman"/>
          <w:b/>
          <w:bCs/>
          <w:rtl/>
          <w:lang w:eastAsia="de-DE"/>
        </w:rPr>
        <w:t>מַטֶּה</w:t>
      </w:r>
      <w:r w:rsidRPr="003A0485">
        <w:rPr>
          <w:rFonts w:eastAsia="Times New Roman" w:cs="Times New Roman"/>
          <w:rtl/>
          <w:lang w:eastAsia="de-DE"/>
        </w:rPr>
        <w:t xml:space="preserve"> </w:t>
      </w:r>
      <w:r w:rsidRPr="003A0485">
        <w:rPr>
          <w:rFonts w:eastAsia="Times New Roman" w:cs="Times New Roman"/>
          <w:lang w:eastAsia="de-DE"/>
        </w:rPr>
        <w:t xml:space="preserve">„Stamm" mit Artikel und Konjunktion mit </w:t>
      </w:r>
      <w:r w:rsidRPr="003A0485">
        <w:rPr>
          <w:rFonts w:eastAsia="Times New Roman" w:cs="Times New Roman"/>
          <w:b/>
          <w:bCs/>
          <w:rtl/>
          <w:lang w:eastAsia="de-DE"/>
        </w:rPr>
        <w:t>חֲצִי</w:t>
      </w:r>
      <w:r w:rsidRPr="003A0485">
        <w:rPr>
          <w:rFonts w:eastAsia="Times New Roman" w:cs="Times New Roman"/>
          <w:rtl/>
          <w:lang w:eastAsia="de-DE"/>
        </w:rPr>
        <w:t xml:space="preserve"> </w:t>
      </w:r>
      <w:r w:rsidRPr="003A0485">
        <w:rPr>
          <w:rFonts w:eastAsia="Times New Roman" w:cs="Times New Roman"/>
          <w:lang w:eastAsia="de-DE"/>
        </w:rPr>
        <w:t xml:space="preserve">„Hälfte" im </w:t>
      </w:r>
      <w:r w:rsidR="00E031B3">
        <w:rPr>
          <w:rFonts w:eastAsia="Times New Roman" w:cs="Times New Roman"/>
          <w:lang w:eastAsia="de-DE"/>
        </w:rPr>
        <w:t>Constructus mit</w:t>
      </w:r>
      <w:r w:rsidRPr="003A0485">
        <w:rPr>
          <w:rFonts w:eastAsia="Times New Roman" w:cs="Times New Roman"/>
          <w:lang w:eastAsia="de-DE"/>
        </w:rPr>
        <w:t xml:space="preserve"> </w:t>
      </w:r>
      <w:r w:rsidRPr="003A0485">
        <w:rPr>
          <w:rFonts w:eastAsia="Times New Roman" w:cs="Times New Roman"/>
          <w:b/>
          <w:bCs/>
          <w:rtl/>
          <w:lang w:eastAsia="de-DE"/>
        </w:rPr>
        <w:t>מַטֶּה</w:t>
      </w:r>
      <w:r w:rsidRPr="003A0485">
        <w:rPr>
          <w:rFonts w:eastAsia="Times New Roman" w:cs="Times New Roman"/>
          <w:rtl/>
          <w:lang w:eastAsia="de-DE"/>
        </w:rPr>
        <w:t xml:space="preserve"> </w:t>
      </w:r>
      <w:r w:rsidRPr="003A0485">
        <w:rPr>
          <w:rFonts w:eastAsia="Times New Roman" w:cs="Times New Roman"/>
          <w:lang w:eastAsia="de-DE"/>
        </w:rPr>
        <w:t>„den neun Stämmen und dem halben Stamm"). Die Erwähnung von neuneinhalb Stämmen erinnert daran, dass zweieinhalb Stämme bereits im Ostjordanland angesiedelt sind.</w:t>
      </w:r>
    </w:p>
    <w:p w14:paraId="13475BE6"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eine Redeeinleitung, gefolgt von einer Definition mit zwei koordinierten Relativsätzen.</w:t>
      </w:r>
    </w:p>
    <w:p w14:paraId="339D4712"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macht deutlich: Das soeben beschriebene Land ist für neuneinhalb Stämme bestimmt - eine Erinnerung an die Vereinbarung mit Ruben, Gad und halb Manasse aus Kapitel 32.</w:t>
      </w:r>
    </w:p>
    <w:p w14:paraId="33BC4014"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34,14</w:t>
      </w:r>
    </w:p>
    <w:p w14:paraId="57F2FE2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כִּ֣י לָקְח֞וּ מַטֵּ֨ה בְנֵ֤י הָראוּבֵנִי֙ לְבֵ֣ית אֲבֹתָ֔ם וּמַטֵּ֥ה בְנֵֽי־הַגָּדִ֖י לְבֵ֣ית אֲבֹתָ֑ם וַחֲצִי֙ מַטֵּ֣ה מְנַשֶּׁ֔ה לָקְח֖וּ נַחֲלָתָֽם׃</w:t>
      </w:r>
    </w:p>
    <w:p w14:paraId="200C210A"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lastRenderedPageBreak/>
        <w:t>Deutsch:</w:t>
      </w:r>
      <w:r w:rsidRPr="003A0485">
        <w:rPr>
          <w:rFonts w:eastAsia="Times New Roman" w:cs="Times New Roman"/>
          <w:lang w:eastAsia="de-DE"/>
        </w:rPr>
        <w:t xml:space="preserve"> Denn sie haben empfangen, der Stamm der Söhne Re'uven nach ihren Vaterhäusern und der Stamm der Söhne Gad nach ihren Vaterhäusern und der halbe Stamm Menasche haben empfangen ihr Erbteil.</w:t>
      </w:r>
    </w:p>
    <w:p w14:paraId="0C5C4970"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7F5CEBD9">
          <v:rect id="_x0000_i2053" style="width:0;height:1.5pt" o:hralign="center" o:hrstd="t" o:hr="t" fillcolor="#a0a0a0" stroked="f"/>
        </w:pict>
      </w:r>
    </w:p>
    <w:p w14:paraId="4B7A0822" w14:textId="7B52CE33"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erklärt die Ausnahme. </w:t>
      </w:r>
      <w:r w:rsidRPr="003A0485">
        <w:rPr>
          <w:rFonts w:eastAsia="Times New Roman" w:cs="Times New Roman"/>
          <w:b/>
          <w:bCs/>
          <w:rtl/>
          <w:lang w:eastAsia="de-DE"/>
        </w:rPr>
        <w:t>כִּי לָקְחוּ מַטֵּה בְנֵי הָראוּבֵנִי לְבֵית אֲבֹתָם וּמַטֵּה בְנֵי־הַגָּדִי לְבֵית אֲבֹתָם</w:t>
      </w:r>
      <w:r w:rsidRPr="003A0485">
        <w:rPr>
          <w:rFonts w:eastAsia="Times New Roman" w:cs="Times New Roman"/>
          <w:rtl/>
          <w:lang w:eastAsia="de-DE"/>
        </w:rPr>
        <w:t xml:space="preserve"> </w:t>
      </w:r>
      <w:r w:rsidRPr="003A0485">
        <w:rPr>
          <w:rFonts w:eastAsia="Times New Roman" w:cs="Times New Roman"/>
          <w:lang w:eastAsia="de-DE"/>
        </w:rPr>
        <w:t xml:space="preserve">nennt die ersten zwei Stämme. </w:t>
      </w:r>
      <w:r w:rsidRPr="003A0485">
        <w:rPr>
          <w:rFonts w:eastAsia="Times New Roman" w:cs="Times New Roman"/>
          <w:b/>
          <w:bCs/>
          <w:rtl/>
          <w:lang w:eastAsia="de-DE"/>
        </w:rPr>
        <w:t>כִּי</w:t>
      </w:r>
      <w:r w:rsidRPr="003A0485">
        <w:rPr>
          <w:rFonts w:eastAsia="Times New Roman" w:cs="Times New Roman"/>
          <w:rtl/>
          <w:lang w:eastAsia="de-DE"/>
        </w:rPr>
        <w:t xml:space="preserve"> </w:t>
      </w:r>
      <w:r w:rsidRPr="003A0485">
        <w:rPr>
          <w:rFonts w:eastAsia="Times New Roman" w:cs="Times New Roman"/>
          <w:lang w:eastAsia="de-DE"/>
        </w:rPr>
        <w:t xml:space="preserve">(kausale Konjunktion „denn"), </w:t>
      </w:r>
      <w:r w:rsidRPr="003A0485">
        <w:rPr>
          <w:rFonts w:eastAsia="Times New Roman" w:cs="Times New Roman"/>
          <w:b/>
          <w:bCs/>
          <w:rtl/>
          <w:lang w:eastAsia="de-DE"/>
        </w:rPr>
        <w:t>לָקְחוּ</w:t>
      </w:r>
      <w:r w:rsidRPr="003A0485">
        <w:rPr>
          <w:rFonts w:eastAsia="Times New Roman" w:cs="Times New Roman"/>
          <w:rtl/>
          <w:lang w:eastAsia="de-DE"/>
        </w:rPr>
        <w:t xml:space="preserve"> </w:t>
      </w:r>
      <w:r w:rsidRPr="003A0485">
        <w:rPr>
          <w:rFonts w:eastAsia="Times New Roman" w:cs="Times New Roman"/>
          <w:lang w:eastAsia="de-DE"/>
        </w:rPr>
        <w:t xml:space="preserve">(Qal Perfekt 3. Person Plural von </w:t>
      </w:r>
      <w:r w:rsidRPr="003A0485">
        <w:rPr>
          <w:rFonts w:eastAsia="Times New Roman" w:cs="Times New Roman"/>
          <w:b/>
          <w:bCs/>
          <w:rtl/>
          <w:lang w:eastAsia="de-DE"/>
        </w:rPr>
        <w:t>לקח</w:t>
      </w:r>
      <w:r w:rsidRPr="003A0485">
        <w:rPr>
          <w:rFonts w:eastAsia="Times New Roman" w:cs="Times New Roman"/>
          <w:rtl/>
          <w:lang w:eastAsia="de-DE"/>
        </w:rPr>
        <w:t xml:space="preserve"> </w:t>
      </w:r>
      <w:r w:rsidRPr="003A0485">
        <w:rPr>
          <w:rFonts w:eastAsia="Times New Roman" w:cs="Times New Roman"/>
          <w:lang w:eastAsia="de-DE"/>
        </w:rPr>
        <w:t xml:space="preserve">„nehmen, empfangen"), </w:t>
      </w:r>
      <w:r w:rsidRPr="003A0485">
        <w:rPr>
          <w:rFonts w:eastAsia="Times New Roman" w:cs="Times New Roman"/>
          <w:b/>
          <w:bCs/>
          <w:rtl/>
          <w:lang w:eastAsia="de-DE"/>
        </w:rPr>
        <w:t>מַטֵּה בְנֵי הָראוּבֵנִי</w:t>
      </w:r>
      <w:r w:rsidRPr="003A0485">
        <w:rPr>
          <w:rFonts w:eastAsia="Times New Roman" w:cs="Times New Roman"/>
          <w:rtl/>
          <w:lang w:eastAsia="de-DE"/>
        </w:rPr>
        <w:t xml:space="preserve"> </w:t>
      </w:r>
      <w:r w:rsidRPr="003A0485">
        <w:rPr>
          <w:rFonts w:eastAsia="Times New Roman" w:cs="Times New Roman"/>
          <w:lang w:eastAsia="de-DE"/>
        </w:rPr>
        <w:t>(</w:t>
      </w:r>
      <w:r w:rsidR="00B513FF">
        <w:rPr>
          <w:rFonts w:eastAsia="Times New Roman" w:cs="Times New Roman"/>
          <w:lang w:eastAsia="de-DE"/>
        </w:rPr>
        <w:t xml:space="preserve">Constructus </w:t>
      </w:r>
      <w:r w:rsidRPr="003A0485">
        <w:rPr>
          <w:rFonts w:eastAsia="Times New Roman" w:cs="Times New Roman"/>
          <w:lang w:eastAsia="de-DE"/>
        </w:rPr>
        <w:t xml:space="preserve">verbindung: </w:t>
      </w:r>
      <w:r w:rsidRPr="003A0485">
        <w:rPr>
          <w:rFonts w:eastAsia="Times New Roman" w:cs="Times New Roman"/>
          <w:b/>
          <w:bCs/>
          <w:rtl/>
          <w:lang w:eastAsia="de-DE"/>
        </w:rPr>
        <w:t>מַטֶּה</w:t>
      </w:r>
      <w:r w:rsidRPr="003A0485">
        <w:rPr>
          <w:rFonts w:eastAsia="Times New Roman" w:cs="Times New Roman"/>
          <w:rtl/>
          <w:lang w:eastAsia="de-DE"/>
        </w:rPr>
        <w:t xml:space="preserve"> </w:t>
      </w:r>
      <w:r w:rsidRPr="003A0485">
        <w:rPr>
          <w:rFonts w:eastAsia="Times New Roman" w:cs="Times New Roman"/>
          <w:lang w:eastAsia="de-DE"/>
        </w:rPr>
        <w:t xml:space="preserve">„Stamm" mit Plural </w:t>
      </w:r>
      <w:r w:rsidR="00E031B3">
        <w:rPr>
          <w:rFonts w:eastAsia="Times New Roman" w:cs="Times New Roman"/>
          <w:lang w:eastAsia="de-DE"/>
        </w:rPr>
        <w:t>Constructus von</w:t>
      </w:r>
      <w:r w:rsidRPr="003A0485">
        <w:rPr>
          <w:rFonts w:eastAsia="Times New Roman" w:cs="Times New Roman"/>
          <w:lang w:eastAsia="de-DE"/>
        </w:rPr>
        <w:t xml:space="preserve"> </w:t>
      </w:r>
      <w:r w:rsidRPr="003A0485">
        <w:rPr>
          <w:rFonts w:eastAsia="Times New Roman" w:cs="Times New Roman"/>
          <w:b/>
          <w:bCs/>
          <w:rtl/>
          <w:lang w:eastAsia="de-DE"/>
        </w:rPr>
        <w:t>בֵּן</w:t>
      </w:r>
      <w:r w:rsidRPr="003A0485">
        <w:rPr>
          <w:rFonts w:eastAsia="Times New Roman" w:cs="Times New Roman"/>
          <w:rtl/>
          <w:lang w:eastAsia="de-DE"/>
        </w:rPr>
        <w:t xml:space="preserve"> </w:t>
      </w:r>
      <w:r w:rsidRPr="003A0485">
        <w:rPr>
          <w:rFonts w:eastAsia="Times New Roman" w:cs="Times New Roman"/>
          <w:lang w:eastAsia="de-DE"/>
        </w:rPr>
        <w:t xml:space="preserve">„Sohn" und Gentilizium </w:t>
      </w:r>
      <w:r w:rsidRPr="003A0485">
        <w:rPr>
          <w:rFonts w:eastAsia="Times New Roman" w:cs="Times New Roman"/>
          <w:b/>
          <w:bCs/>
          <w:rtl/>
          <w:lang w:eastAsia="de-DE"/>
        </w:rPr>
        <w:t>ראוּבֵנִי</w:t>
      </w:r>
      <w:r w:rsidRPr="003A0485">
        <w:rPr>
          <w:rFonts w:eastAsia="Times New Roman" w:cs="Times New Roman"/>
          <w:rtl/>
          <w:lang w:eastAsia="de-DE"/>
        </w:rPr>
        <w:t xml:space="preserve"> </w:t>
      </w:r>
      <w:r w:rsidRPr="003A0485">
        <w:rPr>
          <w:rFonts w:eastAsia="Times New Roman" w:cs="Times New Roman"/>
          <w:lang w:eastAsia="de-DE"/>
        </w:rPr>
        <w:t xml:space="preserve">„Rubeniter" „der Stamm der Söhne des Rubeniters", d.h. der Stamm Ruben), </w:t>
      </w:r>
      <w:r w:rsidRPr="003A0485">
        <w:rPr>
          <w:rFonts w:eastAsia="Times New Roman" w:cs="Times New Roman"/>
          <w:b/>
          <w:bCs/>
          <w:rtl/>
          <w:lang w:eastAsia="de-DE"/>
        </w:rPr>
        <w:t>לְבֵית אֲבֹתָם</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בַּיִת</w:t>
      </w:r>
      <w:r w:rsidRPr="003A0485">
        <w:rPr>
          <w:rFonts w:eastAsia="Times New Roman" w:cs="Times New Roman"/>
          <w:rtl/>
          <w:lang w:eastAsia="de-DE"/>
        </w:rPr>
        <w:t xml:space="preserve"> </w:t>
      </w:r>
      <w:r w:rsidRPr="003A0485">
        <w:rPr>
          <w:rFonts w:eastAsia="Times New Roman" w:cs="Times New Roman"/>
          <w:lang w:eastAsia="de-DE"/>
        </w:rPr>
        <w:t xml:space="preserve">„Haus" im </w:t>
      </w:r>
      <w:r w:rsidR="00B513FF">
        <w:rPr>
          <w:rFonts w:eastAsia="Times New Roman" w:cs="Times New Roman"/>
          <w:lang w:eastAsia="de-DE"/>
        </w:rPr>
        <w:t xml:space="preserve">Constructus </w:t>
      </w:r>
      <w:r w:rsidRPr="003A0485">
        <w:rPr>
          <w:rFonts w:eastAsia="Times New Roman" w:cs="Times New Roman"/>
          <w:lang w:eastAsia="de-DE"/>
        </w:rPr>
        <w:t xml:space="preserve">, Plural </w:t>
      </w:r>
      <w:r w:rsidRPr="003A0485">
        <w:rPr>
          <w:rFonts w:eastAsia="Times New Roman" w:cs="Times New Roman"/>
          <w:b/>
          <w:bCs/>
          <w:rtl/>
          <w:lang w:eastAsia="de-DE"/>
        </w:rPr>
        <w:t>אָב</w:t>
      </w:r>
      <w:r w:rsidRPr="003A0485">
        <w:rPr>
          <w:rFonts w:eastAsia="Times New Roman" w:cs="Times New Roman"/>
          <w:rtl/>
          <w:lang w:eastAsia="de-DE"/>
        </w:rPr>
        <w:t xml:space="preserve"> </w:t>
      </w:r>
      <w:r w:rsidRPr="003A0485">
        <w:rPr>
          <w:rFonts w:eastAsia="Times New Roman" w:cs="Times New Roman"/>
          <w:lang w:eastAsia="de-DE"/>
        </w:rPr>
        <w:t xml:space="preserve">„Väter" und Suffix 3. Person Plural „nach ihren Vaterhäusern"), </w:t>
      </w:r>
      <w:r w:rsidRPr="003A0485">
        <w:rPr>
          <w:rFonts w:eastAsia="Times New Roman" w:cs="Times New Roman"/>
          <w:b/>
          <w:bCs/>
          <w:rtl/>
          <w:lang w:eastAsia="de-DE"/>
        </w:rPr>
        <w:t>וּמַטֵּה בְנֵי־הַגָּדִי לְבֵית אֲבֹתָם</w:t>
      </w:r>
      <w:r w:rsidRPr="003A0485">
        <w:rPr>
          <w:rFonts w:eastAsia="Times New Roman" w:cs="Times New Roman"/>
          <w:rtl/>
          <w:lang w:eastAsia="de-DE"/>
        </w:rPr>
        <w:t xml:space="preserve"> </w:t>
      </w:r>
      <w:r w:rsidRPr="003A0485">
        <w:rPr>
          <w:rFonts w:eastAsia="Times New Roman" w:cs="Times New Roman"/>
          <w:lang w:eastAsia="de-DE"/>
        </w:rPr>
        <w:t xml:space="preserve">(parallel: „und der Stamm der Söhne des Gaditen nach ihren Vaterhäusern"). </w:t>
      </w:r>
      <w:r w:rsidRPr="003A0485">
        <w:rPr>
          <w:rFonts w:eastAsia="Times New Roman" w:cs="Times New Roman"/>
          <w:b/>
          <w:bCs/>
          <w:rtl/>
          <w:lang w:eastAsia="de-DE"/>
        </w:rPr>
        <w:t>וַחֲצִי מַטֵּה מְנַשֶּׁה לָקְחוּ נַחֲלָתָם</w:t>
      </w:r>
      <w:r w:rsidRPr="003A0485">
        <w:rPr>
          <w:rFonts w:eastAsia="Times New Roman" w:cs="Times New Roman"/>
          <w:rtl/>
          <w:lang w:eastAsia="de-DE"/>
        </w:rPr>
        <w:t xml:space="preserve"> </w:t>
      </w:r>
      <w:r w:rsidRPr="003A0485">
        <w:rPr>
          <w:rFonts w:eastAsia="Times New Roman" w:cs="Times New Roman"/>
          <w:lang w:eastAsia="de-DE"/>
        </w:rPr>
        <w:t xml:space="preserve">fügt den dritten hinzu. </w:t>
      </w:r>
      <w:r w:rsidRPr="003A0485">
        <w:rPr>
          <w:rFonts w:eastAsia="Times New Roman" w:cs="Times New Roman"/>
          <w:b/>
          <w:bCs/>
          <w:rtl/>
          <w:lang w:eastAsia="de-DE"/>
        </w:rPr>
        <w:t>וַחֲצִי מַטֵּה מְנַשֶּׁה</w:t>
      </w:r>
      <w:r w:rsidRPr="003A0485">
        <w:rPr>
          <w:rFonts w:eastAsia="Times New Roman" w:cs="Times New Roman"/>
          <w:rtl/>
          <w:lang w:eastAsia="de-DE"/>
        </w:rPr>
        <w:t xml:space="preserve"> </w:t>
      </w:r>
      <w:r w:rsidRPr="003A0485">
        <w:rPr>
          <w:rFonts w:eastAsia="Times New Roman" w:cs="Times New Roman"/>
          <w:lang w:eastAsia="de-DE"/>
        </w:rPr>
        <w:t xml:space="preserve">(„und der halbe Stamm Manasse"), </w:t>
      </w:r>
      <w:r w:rsidRPr="003A0485">
        <w:rPr>
          <w:rFonts w:eastAsia="Times New Roman" w:cs="Times New Roman"/>
          <w:b/>
          <w:bCs/>
          <w:rtl/>
          <w:lang w:eastAsia="de-DE"/>
        </w:rPr>
        <w:t>לָקְחוּ נַחֲלָתָם</w:t>
      </w:r>
      <w:r w:rsidRPr="003A0485">
        <w:rPr>
          <w:rFonts w:eastAsia="Times New Roman" w:cs="Times New Roman"/>
          <w:rtl/>
          <w:lang w:eastAsia="de-DE"/>
        </w:rPr>
        <w:t xml:space="preserve"> </w:t>
      </w:r>
      <w:r w:rsidRPr="003A0485">
        <w:rPr>
          <w:rFonts w:eastAsia="Times New Roman" w:cs="Times New Roman"/>
          <w:lang w:eastAsia="de-DE"/>
        </w:rPr>
        <w:t xml:space="preserve">(Qal Perfekt von </w:t>
      </w:r>
      <w:r w:rsidRPr="003A0485">
        <w:rPr>
          <w:rFonts w:eastAsia="Times New Roman" w:cs="Times New Roman"/>
          <w:b/>
          <w:bCs/>
          <w:rtl/>
          <w:lang w:eastAsia="de-DE"/>
        </w:rPr>
        <w:t>לקח</w:t>
      </w:r>
      <w:r w:rsidRPr="003A0485">
        <w:rPr>
          <w:rFonts w:eastAsia="Times New Roman" w:cs="Times New Roman"/>
          <w:rtl/>
          <w:lang w:eastAsia="de-DE"/>
        </w:rPr>
        <w:t xml:space="preserve"> </w:t>
      </w:r>
      <w:r w:rsidRPr="003A0485">
        <w:rPr>
          <w:rFonts w:eastAsia="Times New Roman" w:cs="Times New Roman"/>
          <w:lang w:eastAsia="de-DE"/>
        </w:rPr>
        <w:t xml:space="preserve">mit Akkusativ </w:t>
      </w:r>
      <w:r w:rsidRPr="003A0485">
        <w:rPr>
          <w:rFonts w:eastAsia="Times New Roman" w:cs="Times New Roman"/>
          <w:b/>
          <w:bCs/>
          <w:rtl/>
          <w:lang w:eastAsia="de-DE"/>
        </w:rPr>
        <w:t>נַחֲלָה</w:t>
      </w:r>
      <w:r w:rsidRPr="003A0485">
        <w:rPr>
          <w:rFonts w:eastAsia="Times New Roman" w:cs="Times New Roman"/>
          <w:rtl/>
          <w:lang w:eastAsia="de-DE"/>
        </w:rPr>
        <w:t xml:space="preserve"> </w:t>
      </w:r>
      <w:r w:rsidRPr="003A0485">
        <w:rPr>
          <w:rFonts w:eastAsia="Times New Roman" w:cs="Times New Roman"/>
          <w:lang w:eastAsia="de-DE"/>
        </w:rPr>
        <w:t>„Erbteil" und Suffix „haben ihr Erbteil empfangen").</w:t>
      </w:r>
    </w:p>
    <w:p w14:paraId="6B65F0AE"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eine kausale Erklärung mit drei koordinierten Subjekten.</w:t>
      </w:r>
    </w:p>
    <w:p w14:paraId="40CF344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begründet, warum nur neuneinhalb Stämme Land westlich des Jordan erhalten: Ruben, Gad und halb Manasse haben bereits ihr Erbteil im Ostjordanland empfangen.</w:t>
      </w:r>
    </w:p>
    <w:p w14:paraId="68156560"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34,15</w:t>
      </w:r>
    </w:p>
    <w:p w14:paraId="17DF0F0F"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שְׁנֵ֥י הַמַּטּ֖וֹת וַחֲצִ֣י הַמַּטֶּ֑ה לָקְח֣וּ נַחֲלָתָ֗ם מֵעֵ֛בֶר לְיַרְדֵּ֥ן יְרֵח֖וֹ קֵ֥דְמָה מִזְרָֽחָה׃</w:t>
      </w:r>
    </w:p>
    <w:p w14:paraId="63517D9A"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Die zwei Stämme und der halbe Stamm haben ihr Erbteil empfangen diesseits des Jardens Jerechos nach Osten, gegen Sonnenaufgang.</w:t>
      </w:r>
    </w:p>
    <w:p w14:paraId="484C5DE7"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2AD0D1FA">
          <v:rect id="_x0000_i2054" style="width:0;height:1.5pt" o:hralign="center" o:hrstd="t" o:hr="t" fillcolor="#a0a0a0" stroked="f"/>
        </w:pict>
      </w:r>
    </w:p>
    <w:p w14:paraId="34BB4268" w14:textId="7E2CF84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präzisiert die Lage des Ostjordanlandes. </w:t>
      </w:r>
      <w:r w:rsidRPr="003A0485">
        <w:rPr>
          <w:rFonts w:eastAsia="Times New Roman" w:cs="Times New Roman"/>
          <w:b/>
          <w:bCs/>
          <w:rtl/>
          <w:lang w:eastAsia="de-DE"/>
        </w:rPr>
        <w:t>שְׁנֵי הַמַּטּוֹת וַחֲצִי הַמַּטֶּה לָקְחוּ נַחֲלָתָם</w:t>
      </w:r>
      <w:r w:rsidRPr="003A0485">
        <w:rPr>
          <w:rFonts w:eastAsia="Times New Roman" w:cs="Times New Roman"/>
          <w:rtl/>
          <w:lang w:eastAsia="de-DE"/>
        </w:rPr>
        <w:t xml:space="preserve"> </w:t>
      </w:r>
      <w:r w:rsidRPr="003A0485">
        <w:rPr>
          <w:rFonts w:eastAsia="Times New Roman" w:cs="Times New Roman"/>
          <w:lang w:eastAsia="de-DE"/>
        </w:rPr>
        <w:t xml:space="preserve">fasst zusammen. </w:t>
      </w:r>
      <w:r w:rsidRPr="003A0485">
        <w:rPr>
          <w:rFonts w:eastAsia="Times New Roman" w:cs="Times New Roman"/>
          <w:b/>
          <w:bCs/>
          <w:rtl/>
          <w:lang w:eastAsia="de-DE"/>
        </w:rPr>
        <w:t>שְׁנֵי הַמַּטּוֹת</w:t>
      </w:r>
      <w:r w:rsidRPr="003A0485">
        <w:rPr>
          <w:rFonts w:eastAsia="Times New Roman" w:cs="Times New Roman"/>
          <w:rtl/>
          <w:lang w:eastAsia="de-DE"/>
        </w:rPr>
        <w:t xml:space="preserve"> </w:t>
      </w:r>
      <w:r w:rsidRPr="003A0485">
        <w:rPr>
          <w:rFonts w:eastAsia="Times New Roman" w:cs="Times New Roman"/>
          <w:lang w:eastAsia="de-DE"/>
        </w:rPr>
        <w:t xml:space="preserve">(Kardinalzahl </w:t>
      </w:r>
      <w:r w:rsidRPr="003A0485">
        <w:rPr>
          <w:rFonts w:eastAsia="Times New Roman" w:cs="Times New Roman"/>
          <w:b/>
          <w:bCs/>
          <w:rtl/>
          <w:lang w:eastAsia="de-DE"/>
        </w:rPr>
        <w:t>שְׁנַיִם</w:t>
      </w:r>
      <w:r w:rsidRPr="003A0485">
        <w:rPr>
          <w:rFonts w:eastAsia="Times New Roman" w:cs="Times New Roman"/>
          <w:rtl/>
          <w:lang w:eastAsia="de-DE"/>
        </w:rPr>
        <w:t xml:space="preserve"> </w:t>
      </w:r>
      <w:r w:rsidRPr="003A0485">
        <w:rPr>
          <w:rFonts w:eastAsia="Times New Roman" w:cs="Times New Roman"/>
          <w:lang w:eastAsia="de-DE"/>
        </w:rPr>
        <w:t xml:space="preserve">„zwei" im </w:t>
      </w:r>
      <w:r w:rsidR="00E031B3">
        <w:rPr>
          <w:rFonts w:eastAsia="Times New Roman" w:cs="Times New Roman"/>
          <w:lang w:eastAsia="de-DE"/>
        </w:rPr>
        <w:t>Constructus mit</w:t>
      </w:r>
      <w:r w:rsidRPr="003A0485">
        <w:rPr>
          <w:rFonts w:eastAsia="Times New Roman" w:cs="Times New Roman"/>
          <w:lang w:eastAsia="de-DE"/>
        </w:rPr>
        <w:t xml:space="preserve"> Plural </w:t>
      </w:r>
      <w:r w:rsidRPr="003A0485">
        <w:rPr>
          <w:rFonts w:eastAsia="Times New Roman" w:cs="Times New Roman"/>
          <w:b/>
          <w:bCs/>
          <w:rtl/>
          <w:lang w:eastAsia="de-DE"/>
        </w:rPr>
        <w:t>מַטֶּה</w:t>
      </w:r>
      <w:r w:rsidRPr="003A0485">
        <w:rPr>
          <w:rFonts w:eastAsia="Times New Roman" w:cs="Times New Roman"/>
          <w:rtl/>
          <w:lang w:eastAsia="de-DE"/>
        </w:rPr>
        <w:t xml:space="preserve"> </w:t>
      </w:r>
      <w:r w:rsidRPr="003A0485">
        <w:rPr>
          <w:rFonts w:eastAsia="Times New Roman" w:cs="Times New Roman"/>
          <w:lang w:eastAsia="de-DE"/>
        </w:rPr>
        <w:t xml:space="preserve">mit Artikel „die zwei Stämme"), </w:t>
      </w:r>
      <w:r w:rsidRPr="003A0485">
        <w:rPr>
          <w:rFonts w:eastAsia="Times New Roman" w:cs="Times New Roman"/>
          <w:b/>
          <w:bCs/>
          <w:rtl/>
          <w:lang w:eastAsia="de-DE"/>
        </w:rPr>
        <w:t>וַחֲצִי הַמַּטֶּה</w:t>
      </w:r>
      <w:r w:rsidRPr="003A0485">
        <w:rPr>
          <w:rFonts w:eastAsia="Times New Roman" w:cs="Times New Roman"/>
          <w:rtl/>
          <w:lang w:eastAsia="de-DE"/>
        </w:rPr>
        <w:t xml:space="preserve"> </w:t>
      </w:r>
      <w:r w:rsidRPr="003A0485">
        <w:rPr>
          <w:rFonts w:eastAsia="Times New Roman" w:cs="Times New Roman"/>
          <w:lang w:eastAsia="de-DE"/>
        </w:rPr>
        <w:t xml:space="preserve">(„und der halbe Stamm"), </w:t>
      </w:r>
      <w:r w:rsidRPr="003A0485">
        <w:rPr>
          <w:rFonts w:eastAsia="Times New Roman" w:cs="Times New Roman"/>
          <w:b/>
          <w:bCs/>
          <w:rtl/>
          <w:lang w:eastAsia="de-DE"/>
        </w:rPr>
        <w:t>לָקְחוּ נַחֲלָתָם</w:t>
      </w:r>
      <w:r w:rsidRPr="003A0485">
        <w:rPr>
          <w:rFonts w:eastAsia="Times New Roman" w:cs="Times New Roman"/>
          <w:rtl/>
          <w:lang w:eastAsia="de-DE"/>
        </w:rPr>
        <w:t xml:space="preserve"> </w:t>
      </w:r>
      <w:r w:rsidRPr="003A0485">
        <w:rPr>
          <w:rFonts w:eastAsia="Times New Roman" w:cs="Times New Roman"/>
          <w:lang w:eastAsia="de-DE"/>
        </w:rPr>
        <w:t xml:space="preserve">(wie in V. 14). </w:t>
      </w:r>
      <w:r w:rsidRPr="003A0485">
        <w:rPr>
          <w:rFonts w:eastAsia="Times New Roman" w:cs="Times New Roman"/>
          <w:b/>
          <w:bCs/>
          <w:rtl/>
          <w:lang w:eastAsia="de-DE"/>
        </w:rPr>
        <w:t>מֵעֵבֶר לְיַרְדֵּן יְרֵחוֹ קֵדְמָה מִזְרָחָה</w:t>
      </w:r>
      <w:r w:rsidRPr="003A0485">
        <w:rPr>
          <w:rFonts w:eastAsia="Times New Roman" w:cs="Times New Roman"/>
          <w:rtl/>
          <w:lang w:eastAsia="de-DE"/>
        </w:rPr>
        <w:t xml:space="preserve"> </w:t>
      </w:r>
      <w:r w:rsidRPr="003A0485">
        <w:rPr>
          <w:rFonts w:eastAsia="Times New Roman" w:cs="Times New Roman"/>
          <w:lang w:eastAsia="de-DE"/>
        </w:rPr>
        <w:t xml:space="preserve">gibt die präzise Lage an. </w:t>
      </w:r>
      <w:r w:rsidRPr="003A0485">
        <w:rPr>
          <w:rFonts w:eastAsia="Times New Roman" w:cs="Times New Roman"/>
          <w:b/>
          <w:bCs/>
          <w:rtl/>
          <w:lang w:eastAsia="de-DE"/>
        </w:rPr>
        <w:t>מֵעֵבֶר לְיַרְדֵּן יְרֵחוֹ</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עֵבֶר</w:t>
      </w:r>
      <w:r w:rsidRPr="003A0485">
        <w:rPr>
          <w:rFonts w:eastAsia="Times New Roman" w:cs="Times New Roman"/>
          <w:rtl/>
          <w:lang w:eastAsia="de-DE"/>
        </w:rPr>
        <w:t xml:space="preserve"> </w:t>
      </w:r>
      <w:r w:rsidRPr="003A0485">
        <w:rPr>
          <w:rFonts w:eastAsia="Times New Roman" w:cs="Times New Roman"/>
          <w:lang w:eastAsia="de-DE"/>
        </w:rPr>
        <w:t xml:space="preserve">„Seite, jenseits" und 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יַרְדֵּן</w:t>
      </w:r>
      <w:r w:rsidRPr="003A0485">
        <w:rPr>
          <w:rFonts w:eastAsia="Times New Roman" w:cs="Times New Roman"/>
          <w:rtl/>
          <w:lang w:eastAsia="de-DE"/>
        </w:rPr>
        <w:t xml:space="preserve"> </w:t>
      </w:r>
      <w:r w:rsidRPr="003A0485">
        <w:rPr>
          <w:rFonts w:eastAsia="Times New Roman" w:cs="Times New Roman"/>
          <w:lang w:eastAsia="de-DE"/>
        </w:rPr>
        <w:t xml:space="preserve">„Jordan" und </w:t>
      </w:r>
      <w:r w:rsidRPr="003A0485">
        <w:rPr>
          <w:rFonts w:eastAsia="Times New Roman" w:cs="Times New Roman"/>
          <w:b/>
          <w:bCs/>
          <w:rtl/>
          <w:lang w:eastAsia="de-DE"/>
        </w:rPr>
        <w:t>יְרֵחוֹ</w:t>
      </w:r>
      <w:r w:rsidRPr="003A0485">
        <w:rPr>
          <w:rFonts w:eastAsia="Times New Roman" w:cs="Times New Roman"/>
          <w:rtl/>
          <w:lang w:eastAsia="de-DE"/>
        </w:rPr>
        <w:t xml:space="preserve"> </w:t>
      </w:r>
      <w:r w:rsidRPr="003A0485">
        <w:rPr>
          <w:rFonts w:eastAsia="Times New Roman" w:cs="Times New Roman"/>
          <w:lang w:eastAsia="de-DE"/>
        </w:rPr>
        <w:t xml:space="preserve">„Jericho" „diesseits des Jordan von Jericho"), </w:t>
      </w:r>
      <w:r w:rsidRPr="003A0485">
        <w:rPr>
          <w:rFonts w:eastAsia="Times New Roman" w:cs="Times New Roman"/>
          <w:b/>
          <w:bCs/>
          <w:rtl/>
          <w:lang w:eastAsia="de-DE"/>
        </w:rPr>
        <w:t>קֵדְמָה מִזְרָחָה</w:t>
      </w:r>
      <w:r w:rsidRPr="003A0485">
        <w:rPr>
          <w:rFonts w:eastAsia="Times New Roman" w:cs="Times New Roman"/>
          <w:rtl/>
          <w:lang w:eastAsia="de-DE"/>
        </w:rPr>
        <w:t xml:space="preserve"> </w:t>
      </w:r>
      <w:r w:rsidRPr="003A0485">
        <w:rPr>
          <w:rFonts w:eastAsia="Times New Roman" w:cs="Times New Roman"/>
          <w:lang w:eastAsia="de-DE"/>
        </w:rPr>
        <w:t xml:space="preserve">(zwei Richtungsadverbien: </w:t>
      </w:r>
      <w:r w:rsidRPr="003A0485">
        <w:rPr>
          <w:rFonts w:eastAsia="Times New Roman" w:cs="Times New Roman"/>
          <w:b/>
          <w:bCs/>
          <w:rtl/>
          <w:lang w:eastAsia="de-DE"/>
        </w:rPr>
        <w:t>קֶדֶם</w:t>
      </w:r>
      <w:r w:rsidRPr="003A0485">
        <w:rPr>
          <w:rFonts w:eastAsia="Times New Roman" w:cs="Times New Roman"/>
          <w:rtl/>
          <w:lang w:eastAsia="de-DE"/>
        </w:rPr>
        <w:t xml:space="preserve"> </w:t>
      </w:r>
      <w:r w:rsidRPr="003A0485">
        <w:rPr>
          <w:rFonts w:eastAsia="Times New Roman" w:cs="Times New Roman"/>
          <w:lang w:eastAsia="de-DE"/>
        </w:rPr>
        <w:t xml:space="preserve">„Osten" mit </w:t>
      </w:r>
      <w:r w:rsidRPr="003A0485">
        <w:rPr>
          <w:rFonts w:eastAsia="Times New Roman" w:cs="Times New Roman"/>
          <w:b/>
          <w:bCs/>
          <w:rtl/>
          <w:lang w:eastAsia="de-DE"/>
        </w:rPr>
        <w:t>־ָה</w:t>
      </w:r>
      <w:r w:rsidRPr="003A0485">
        <w:rPr>
          <w:rFonts w:eastAsia="Times New Roman" w:cs="Times New Roman"/>
          <w:rtl/>
          <w:lang w:eastAsia="de-DE"/>
        </w:rPr>
        <w:t xml:space="preserve"> </w:t>
      </w:r>
      <w:r w:rsidRPr="003A0485">
        <w:rPr>
          <w:rFonts w:eastAsia="Times New Roman" w:cs="Times New Roman"/>
          <w:lang w:eastAsia="de-DE"/>
        </w:rPr>
        <w:t xml:space="preserve">und </w:t>
      </w:r>
      <w:r w:rsidRPr="003A0485">
        <w:rPr>
          <w:rFonts w:eastAsia="Times New Roman" w:cs="Times New Roman"/>
          <w:b/>
          <w:bCs/>
          <w:rtl/>
          <w:lang w:eastAsia="de-DE"/>
        </w:rPr>
        <w:t>מִזְרָח</w:t>
      </w:r>
      <w:r w:rsidRPr="003A0485">
        <w:rPr>
          <w:rFonts w:eastAsia="Times New Roman" w:cs="Times New Roman"/>
          <w:rtl/>
          <w:lang w:eastAsia="de-DE"/>
        </w:rPr>
        <w:t xml:space="preserve"> </w:t>
      </w:r>
      <w:r w:rsidRPr="003A0485">
        <w:rPr>
          <w:rFonts w:eastAsia="Times New Roman" w:cs="Times New Roman"/>
          <w:lang w:eastAsia="de-DE"/>
        </w:rPr>
        <w:t xml:space="preserve">„Sonnenaufgang" mit </w:t>
      </w:r>
      <w:r w:rsidRPr="003A0485">
        <w:rPr>
          <w:rFonts w:eastAsia="Times New Roman" w:cs="Times New Roman"/>
          <w:b/>
          <w:bCs/>
          <w:rtl/>
          <w:lang w:eastAsia="de-DE"/>
        </w:rPr>
        <w:t>־ָה</w:t>
      </w:r>
      <w:r w:rsidRPr="003A0485">
        <w:rPr>
          <w:rFonts w:eastAsia="Times New Roman" w:cs="Times New Roman"/>
          <w:rtl/>
          <w:lang w:eastAsia="de-DE"/>
        </w:rPr>
        <w:t xml:space="preserve"> </w:t>
      </w:r>
      <w:r w:rsidRPr="003A0485">
        <w:rPr>
          <w:rFonts w:eastAsia="Times New Roman" w:cs="Times New Roman"/>
          <w:lang w:eastAsia="de-DE"/>
        </w:rPr>
        <w:t>„nach Osten, gegen Sonnenaufgang"). Die doppelte Richtungsangabe betont: östlich des Jordan.</w:t>
      </w:r>
    </w:p>
    <w:p w14:paraId="0EEF614E" w14:textId="69F0BAB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Die LXX</w:t>
      </w:r>
      <w:r w:rsidRPr="003A0485">
        <w:rPr>
          <w:rFonts w:eastAsia="Times New Roman" w:cs="Times New Roman"/>
          <w:lang w:eastAsia="de-DE"/>
        </w:rPr>
        <w:t xml:space="preserve"> </w:t>
      </w:r>
      <w:r w:rsidR="00192257">
        <w:t>fügt hinzu „ἀπὸ νότου" (von Süden) nach „κατʼ ἀνατολάς" (nach Osten), was im MT nicht erscheint.</w:t>
      </w:r>
    </w:p>
    <w:p w14:paraId="1074B8CB"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eine zusammenfassende Wiederholung mit präziser geographischer Lokalisierung.</w:t>
      </w:r>
    </w:p>
    <w:p w14:paraId="68E1F3D9"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unterstreicht mit doppelter Richtungsangabe (</w:t>
      </w:r>
      <w:r w:rsidRPr="003A0485">
        <w:rPr>
          <w:rFonts w:eastAsia="Times New Roman" w:cs="Times New Roman"/>
          <w:b/>
          <w:bCs/>
          <w:rtl/>
          <w:lang w:eastAsia="de-DE"/>
        </w:rPr>
        <w:t>קֵדְמָה מִזְרָחָה</w:t>
      </w:r>
      <w:r w:rsidRPr="003A0485">
        <w:rPr>
          <w:rFonts w:eastAsia="Times New Roman" w:cs="Times New Roman"/>
          <w:lang w:eastAsia="de-DE"/>
        </w:rPr>
        <w:t>): Das Erbteil der zweieinhalb Stämme liegt östlich des Jordan gegenüber Jericho - außerhalb der soeben beschriebenen Grenzen.</w:t>
      </w:r>
    </w:p>
    <w:p w14:paraId="3F54BD33"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lastRenderedPageBreak/>
        <w:t>Numeri 34,16</w:t>
      </w:r>
    </w:p>
    <w:p w14:paraId="30EB208D"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וַיְדַבֵּ֥ר יְהוָ֖ה אֶל־מֹשֶׁ֥ה לֵּאמֹֽר׃</w:t>
      </w:r>
    </w:p>
    <w:p w14:paraId="474C7E9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der Ewige redete zu Mosche, sagend:</w:t>
      </w:r>
    </w:p>
    <w:p w14:paraId="5CA137A0"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28143E43">
          <v:rect id="_x0000_i2055" style="width:0;height:1.5pt" o:hralign="center" o:hrstd="t" o:hr="t" fillcolor="#a0a0a0" stroked="f"/>
        </w:pict>
      </w:r>
    </w:p>
    <w:p w14:paraId="2FDFEDFC"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Standard-Redeeinleitung für eine neue göttliche Anweisung (wie V. 1).</w:t>
      </w:r>
    </w:p>
    <w:p w14:paraId="3CB9B5DD"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leitet die Ernennung der Landverteilungskommission ein.</w:t>
      </w:r>
    </w:p>
    <w:p w14:paraId="3B82A68B"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34,17</w:t>
      </w:r>
    </w:p>
    <w:p w14:paraId="1E3BF25F"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אֵ֚לֶּה שְׁמ֣וֹת הָֽאֲנָשִׁ֔ים אֲשֶׁר־יִנְחֲל֥וּ לָכֶ֖ם אֶת־הָאָ֑רֶץ אֶלְעָזָר֙ הַכֹּהֵ֔ן וִיהוֹשֻׁ֖עַ בִּן־נֽוּן׃</w:t>
      </w:r>
    </w:p>
    <w:p w14:paraId="7CCDF21C"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Dies sind die Namen der Männer, die euch das Land als Erbe zuteilen sollen: El'asar, der Priester, und Jehoschua, der Sohn Nuns.</w:t>
      </w:r>
    </w:p>
    <w:p w14:paraId="03CE26F1"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2BA54D09">
          <v:rect id="_x0000_i2056" style="width:0;height:1.5pt" o:hralign="center" o:hrstd="t" o:hr="t" fillcolor="#a0a0a0" stroked="f"/>
        </w:pict>
      </w:r>
    </w:p>
    <w:p w14:paraId="16B8AE5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nennt die beiden Hauptverantwortlichen. </w:t>
      </w:r>
      <w:r w:rsidRPr="003A0485">
        <w:rPr>
          <w:rFonts w:eastAsia="Times New Roman" w:cs="Times New Roman"/>
          <w:b/>
          <w:bCs/>
          <w:rtl/>
          <w:lang w:eastAsia="de-DE"/>
        </w:rPr>
        <w:t>אֵלֶּה שְׁמוֹת הָאֲנָשִׁים אֲשֶׁר־יִנְחֲלוּ לָכֶם אֶת־הָאָרֶץ</w:t>
      </w:r>
      <w:r w:rsidRPr="003A0485">
        <w:rPr>
          <w:rFonts w:eastAsia="Times New Roman" w:cs="Times New Roman"/>
          <w:rtl/>
          <w:lang w:eastAsia="de-DE"/>
        </w:rPr>
        <w:t xml:space="preserve"> </w:t>
      </w:r>
      <w:r w:rsidRPr="003A0485">
        <w:rPr>
          <w:rFonts w:eastAsia="Times New Roman" w:cs="Times New Roman"/>
          <w:lang w:eastAsia="de-DE"/>
        </w:rPr>
        <w:t xml:space="preserve">ist die Einleitung. </w:t>
      </w:r>
      <w:r w:rsidRPr="003A0485">
        <w:rPr>
          <w:rFonts w:eastAsia="Times New Roman" w:cs="Times New Roman"/>
          <w:b/>
          <w:bCs/>
          <w:rtl/>
          <w:lang w:eastAsia="de-DE"/>
        </w:rPr>
        <w:t>אֵלֶּה שְׁמוֹת הָאֲנָשִׁים</w:t>
      </w:r>
      <w:r w:rsidRPr="003A0485">
        <w:rPr>
          <w:rFonts w:eastAsia="Times New Roman" w:cs="Times New Roman"/>
          <w:rtl/>
          <w:lang w:eastAsia="de-DE"/>
        </w:rPr>
        <w:t xml:space="preserve"> </w:t>
      </w:r>
      <w:r w:rsidRPr="003A0485">
        <w:rPr>
          <w:rFonts w:eastAsia="Times New Roman" w:cs="Times New Roman"/>
          <w:lang w:eastAsia="de-DE"/>
        </w:rPr>
        <w:t xml:space="preserve">(„dies sind die Namen der Männer"), </w:t>
      </w:r>
      <w:r w:rsidRPr="003A0485">
        <w:rPr>
          <w:rFonts w:eastAsia="Times New Roman" w:cs="Times New Roman"/>
          <w:b/>
          <w:bCs/>
          <w:rtl/>
          <w:lang w:eastAsia="de-DE"/>
        </w:rPr>
        <w:t>אֲשֶׁר־יִנְחֲלוּ לָכֶם אֶת־הָאָרֶץ</w:t>
      </w:r>
      <w:r w:rsidRPr="003A0485">
        <w:rPr>
          <w:rFonts w:eastAsia="Times New Roman" w:cs="Times New Roman"/>
          <w:rtl/>
          <w:lang w:eastAsia="de-DE"/>
        </w:rPr>
        <w:t xml:space="preserve"> </w:t>
      </w:r>
      <w:r w:rsidRPr="003A0485">
        <w:rPr>
          <w:rFonts w:eastAsia="Times New Roman" w:cs="Times New Roman"/>
          <w:lang w:eastAsia="de-DE"/>
        </w:rPr>
        <w:t xml:space="preserve">(Relativsatz: Qal Imperfekt 3. Person Plural von </w:t>
      </w:r>
      <w:r w:rsidRPr="003A0485">
        <w:rPr>
          <w:rFonts w:eastAsia="Times New Roman" w:cs="Times New Roman"/>
          <w:b/>
          <w:bCs/>
          <w:rtl/>
          <w:lang w:eastAsia="de-DE"/>
        </w:rPr>
        <w:t>נחל</w:t>
      </w:r>
      <w:r w:rsidRPr="003A0485">
        <w:rPr>
          <w:rFonts w:eastAsia="Times New Roman" w:cs="Times New Roman"/>
          <w:rtl/>
          <w:lang w:eastAsia="de-DE"/>
        </w:rPr>
        <w:t xml:space="preserve"> </w:t>
      </w:r>
      <w:r w:rsidRPr="003A0485">
        <w:rPr>
          <w:rFonts w:eastAsia="Times New Roman" w:cs="Times New Roman"/>
          <w:lang w:eastAsia="de-DE"/>
        </w:rPr>
        <w:t xml:space="preserve">„als Erbe zuteilen" mit Dativ </w:t>
      </w:r>
      <w:r w:rsidRPr="003A0485">
        <w:rPr>
          <w:rFonts w:eastAsia="Times New Roman" w:cs="Times New Roman"/>
          <w:b/>
          <w:bCs/>
          <w:rtl/>
          <w:lang w:eastAsia="de-DE"/>
        </w:rPr>
        <w:t>לָכֶם</w:t>
      </w:r>
      <w:r w:rsidRPr="003A0485">
        <w:rPr>
          <w:rFonts w:eastAsia="Times New Roman" w:cs="Times New Roman"/>
          <w:rtl/>
          <w:lang w:eastAsia="de-DE"/>
        </w:rPr>
        <w:t xml:space="preserve"> </w:t>
      </w:r>
      <w:r w:rsidRPr="003A0485">
        <w:rPr>
          <w:rFonts w:eastAsia="Times New Roman" w:cs="Times New Roman"/>
          <w:lang w:eastAsia="de-DE"/>
        </w:rPr>
        <w:t xml:space="preserve">und Akkusativ „die euch das Land als Erbe zuteilen sollen"). </w:t>
      </w:r>
      <w:r w:rsidRPr="003A0485">
        <w:rPr>
          <w:rFonts w:eastAsia="Times New Roman" w:cs="Times New Roman"/>
          <w:b/>
          <w:bCs/>
          <w:rtl/>
          <w:lang w:eastAsia="de-DE"/>
        </w:rPr>
        <w:t>אֶלְעָזָר הַכֹּהֵן וִיהוֹשֻׁעַ בִּן־נוּן</w:t>
      </w:r>
      <w:r w:rsidRPr="003A0485">
        <w:rPr>
          <w:rFonts w:eastAsia="Times New Roman" w:cs="Times New Roman"/>
          <w:rtl/>
          <w:lang w:eastAsia="de-DE"/>
        </w:rPr>
        <w:t xml:space="preserve"> </w:t>
      </w:r>
      <w:r w:rsidRPr="003A0485">
        <w:rPr>
          <w:rFonts w:eastAsia="Times New Roman" w:cs="Times New Roman"/>
          <w:lang w:eastAsia="de-DE"/>
        </w:rPr>
        <w:t xml:space="preserve">sind die beiden Namen. </w:t>
      </w:r>
      <w:r w:rsidRPr="003A0485">
        <w:rPr>
          <w:rFonts w:eastAsia="Times New Roman" w:cs="Times New Roman"/>
          <w:b/>
          <w:bCs/>
          <w:rtl/>
          <w:lang w:eastAsia="de-DE"/>
        </w:rPr>
        <w:t>אֶלְעָזָר הַכֹּהֵן</w:t>
      </w:r>
      <w:r w:rsidRPr="003A0485">
        <w:rPr>
          <w:rFonts w:eastAsia="Times New Roman" w:cs="Times New Roman"/>
          <w:rtl/>
          <w:lang w:eastAsia="de-DE"/>
        </w:rPr>
        <w:t xml:space="preserve"> </w:t>
      </w:r>
      <w:r w:rsidRPr="003A0485">
        <w:rPr>
          <w:rFonts w:eastAsia="Times New Roman" w:cs="Times New Roman"/>
          <w:lang w:eastAsia="de-DE"/>
        </w:rPr>
        <w:t xml:space="preserve">(Eleasar der Priester - Aarons Sohn und Nachfolger), </w:t>
      </w:r>
      <w:r w:rsidRPr="003A0485">
        <w:rPr>
          <w:rFonts w:eastAsia="Times New Roman" w:cs="Times New Roman"/>
          <w:b/>
          <w:bCs/>
          <w:rtl/>
          <w:lang w:eastAsia="de-DE"/>
        </w:rPr>
        <w:t>וִיהוֹשֻׁעַ בִּן־נוּן</w:t>
      </w:r>
      <w:r w:rsidRPr="003A0485">
        <w:rPr>
          <w:rFonts w:eastAsia="Times New Roman" w:cs="Times New Roman"/>
          <w:rtl/>
          <w:lang w:eastAsia="de-DE"/>
        </w:rPr>
        <w:t xml:space="preserve"> </w:t>
      </w:r>
      <w:r w:rsidRPr="003A0485">
        <w:rPr>
          <w:rFonts w:eastAsia="Times New Roman" w:cs="Times New Roman"/>
          <w:lang w:eastAsia="de-DE"/>
        </w:rPr>
        <w:t>(Konjunktion mit „Josua, Sohn des Nun" - Moses Nachfolger). Die beiden zukünftigen Führer Israels werden die Landverteilung leiten.</w:t>
      </w:r>
    </w:p>
    <w:p w14:paraId="2386F61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eine Einleitungsformel mit Relativsatz und zwei koordinierte Namen.</w:t>
      </w:r>
    </w:p>
    <w:p w14:paraId="0B9AB81B"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nennt die Hauptverantwortlichen für die Landverteilung: Eleasar (religiöse Autorität) und Josua (zivile/militärische Autorität) - die beiden Nachfolger von Aaron und Mose.</w:t>
      </w:r>
    </w:p>
    <w:p w14:paraId="499593B0"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34,18</w:t>
      </w:r>
    </w:p>
    <w:p w14:paraId="0A4FA36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וְנָשִׂ֥יא אֶחָ֛ד נָשִׂ֥יא אֶחָ֖ד מִמַּטֶּ֑ה תִּקְח֖וּ לִנְחֹ֥ל אֶת־הָאָֽרֶץ׃</w:t>
      </w:r>
    </w:p>
    <w:p w14:paraId="2C3C5F7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Und je einen Fürsten von einem Stamm sollt ihr nehmen, um das Land als Erbe zu zuteilen.</w:t>
      </w:r>
    </w:p>
    <w:p w14:paraId="23262E4C"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7F890AB0">
          <v:rect id="_x0000_i2057" style="width:0;height:1.5pt" o:hralign="center" o:hrstd="t" o:hr="t" fillcolor="#a0a0a0" stroked="f"/>
        </w:pict>
      </w:r>
    </w:p>
    <w:p w14:paraId="0ACACE96" w14:textId="29D52CC9"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ordnet die Beteiligung der Stammesführer an. </w:t>
      </w:r>
      <w:r w:rsidRPr="003A0485">
        <w:rPr>
          <w:rFonts w:eastAsia="Times New Roman" w:cs="Times New Roman"/>
          <w:b/>
          <w:bCs/>
          <w:rtl/>
          <w:lang w:eastAsia="de-DE"/>
        </w:rPr>
        <w:t>וְנָשִׂיא אֶחָד נָשִׂיא אֶחָד מִמַּטֶּה תִּקְחוּ</w:t>
      </w:r>
      <w:r w:rsidRPr="003A0485">
        <w:rPr>
          <w:rFonts w:eastAsia="Times New Roman" w:cs="Times New Roman"/>
          <w:rtl/>
          <w:lang w:eastAsia="de-DE"/>
        </w:rPr>
        <w:t xml:space="preserve"> </w:t>
      </w:r>
      <w:r w:rsidRPr="003A0485">
        <w:rPr>
          <w:rFonts w:eastAsia="Times New Roman" w:cs="Times New Roman"/>
          <w:lang w:eastAsia="de-DE"/>
        </w:rPr>
        <w:t xml:space="preserve">ist die Anweisung. </w:t>
      </w:r>
      <w:r w:rsidRPr="003A0485">
        <w:rPr>
          <w:rFonts w:eastAsia="Times New Roman" w:cs="Times New Roman"/>
          <w:b/>
          <w:bCs/>
          <w:rtl/>
          <w:lang w:eastAsia="de-DE"/>
        </w:rPr>
        <w:t>וְנָשִׂיא אֶחָד נָשִׂיא אֶחָד</w:t>
      </w:r>
      <w:r w:rsidRPr="003A0485">
        <w:rPr>
          <w:rFonts w:eastAsia="Times New Roman" w:cs="Times New Roman"/>
          <w:rtl/>
          <w:lang w:eastAsia="de-DE"/>
        </w:rPr>
        <w:t xml:space="preserve"> </w:t>
      </w:r>
      <w:r w:rsidRPr="003A0485">
        <w:rPr>
          <w:rFonts w:eastAsia="Times New Roman" w:cs="Times New Roman"/>
          <w:lang w:eastAsia="de-DE"/>
        </w:rPr>
        <w:t xml:space="preserve">(Konjunktion mit </w:t>
      </w:r>
      <w:r w:rsidRPr="003A0485">
        <w:rPr>
          <w:rFonts w:eastAsia="Times New Roman" w:cs="Times New Roman"/>
          <w:b/>
          <w:bCs/>
          <w:rtl/>
          <w:lang w:eastAsia="de-DE"/>
        </w:rPr>
        <w:t>נָשִׂיא</w:t>
      </w:r>
      <w:r w:rsidRPr="003A0485">
        <w:rPr>
          <w:rFonts w:eastAsia="Times New Roman" w:cs="Times New Roman"/>
          <w:rtl/>
          <w:lang w:eastAsia="de-DE"/>
        </w:rPr>
        <w:t xml:space="preserve"> </w:t>
      </w:r>
      <w:r w:rsidRPr="003A0485">
        <w:rPr>
          <w:rFonts w:eastAsia="Times New Roman" w:cs="Times New Roman"/>
          <w:lang w:eastAsia="de-DE"/>
        </w:rPr>
        <w:t xml:space="preserve">„Fürst, Anführer" und </w:t>
      </w:r>
      <w:r w:rsidRPr="003A0485">
        <w:rPr>
          <w:rFonts w:eastAsia="Times New Roman" w:cs="Times New Roman"/>
          <w:b/>
          <w:bCs/>
          <w:rtl/>
          <w:lang w:eastAsia="de-DE"/>
        </w:rPr>
        <w:t>אֶחָד</w:t>
      </w:r>
      <w:r w:rsidRPr="003A0485">
        <w:rPr>
          <w:rFonts w:eastAsia="Times New Roman" w:cs="Times New Roman"/>
          <w:rtl/>
          <w:lang w:eastAsia="de-DE"/>
        </w:rPr>
        <w:t xml:space="preserve"> </w:t>
      </w:r>
      <w:r w:rsidRPr="003A0485">
        <w:rPr>
          <w:rFonts w:eastAsia="Times New Roman" w:cs="Times New Roman"/>
          <w:lang w:eastAsia="de-DE"/>
        </w:rPr>
        <w:t xml:space="preserve">„einer" wiederholt - distributive Betonung „je einen Fürsten, einen Fürsten"), </w:t>
      </w:r>
      <w:r w:rsidRPr="003A0485">
        <w:rPr>
          <w:rFonts w:eastAsia="Times New Roman" w:cs="Times New Roman"/>
          <w:b/>
          <w:bCs/>
          <w:rtl/>
          <w:lang w:eastAsia="de-DE"/>
        </w:rPr>
        <w:t>מִמַּטֶּה</w:t>
      </w:r>
      <w:r w:rsidRPr="003A0485">
        <w:rPr>
          <w:rFonts w:eastAsia="Times New Roman" w:cs="Times New Roman"/>
          <w:rtl/>
          <w:lang w:eastAsia="de-DE"/>
        </w:rPr>
        <w:t xml:space="preserve"> </w:t>
      </w:r>
      <w:r w:rsidRPr="003A0485">
        <w:rPr>
          <w:rFonts w:eastAsia="Times New Roman" w:cs="Times New Roman"/>
          <w:lang w:eastAsia="de-DE"/>
        </w:rPr>
        <w:lastRenderedPageBreak/>
        <w:t xml:space="preserve">(Präposition </w:t>
      </w:r>
      <w:r w:rsidRPr="003A0485">
        <w:rPr>
          <w:rFonts w:eastAsia="Times New Roman" w:cs="Times New Roman"/>
          <w:b/>
          <w:bCs/>
          <w:rtl/>
          <w:lang w:eastAsia="de-DE"/>
        </w:rPr>
        <w:t>מִן</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מַטֶּה</w:t>
      </w:r>
      <w:r w:rsidRPr="003A0485">
        <w:rPr>
          <w:rFonts w:eastAsia="Times New Roman" w:cs="Times New Roman"/>
          <w:rtl/>
          <w:lang w:eastAsia="de-DE"/>
        </w:rPr>
        <w:t xml:space="preserve"> </w:t>
      </w:r>
      <w:r w:rsidRPr="003A0485">
        <w:rPr>
          <w:rFonts w:eastAsia="Times New Roman" w:cs="Times New Roman"/>
          <w:lang w:eastAsia="de-DE"/>
        </w:rPr>
        <w:t xml:space="preserve">„Stamm" „von einem Stamm"), </w:t>
      </w:r>
      <w:r w:rsidRPr="003A0485">
        <w:rPr>
          <w:rFonts w:eastAsia="Times New Roman" w:cs="Times New Roman"/>
          <w:b/>
          <w:bCs/>
          <w:rtl/>
          <w:lang w:eastAsia="de-DE"/>
        </w:rPr>
        <w:t>תִּקְחוּ</w:t>
      </w:r>
      <w:r w:rsidRPr="003A0485">
        <w:rPr>
          <w:rFonts w:eastAsia="Times New Roman" w:cs="Times New Roman"/>
          <w:rtl/>
          <w:lang w:eastAsia="de-DE"/>
        </w:rPr>
        <w:t xml:space="preserve"> </w:t>
      </w:r>
      <w:r w:rsidRPr="003A0485">
        <w:rPr>
          <w:rFonts w:eastAsia="Times New Roman" w:cs="Times New Roman"/>
          <w:lang w:eastAsia="de-DE"/>
        </w:rPr>
        <w:t xml:space="preserve">(Qal Imperfekt 2. Person Plural von </w:t>
      </w:r>
      <w:r w:rsidRPr="003A0485">
        <w:rPr>
          <w:rFonts w:eastAsia="Times New Roman" w:cs="Times New Roman"/>
          <w:b/>
          <w:bCs/>
          <w:rtl/>
          <w:lang w:eastAsia="de-DE"/>
        </w:rPr>
        <w:t>לקח</w:t>
      </w:r>
      <w:r w:rsidRPr="003A0485">
        <w:rPr>
          <w:rFonts w:eastAsia="Times New Roman" w:cs="Times New Roman"/>
          <w:rtl/>
          <w:lang w:eastAsia="de-DE"/>
        </w:rPr>
        <w:t xml:space="preserve"> </w:t>
      </w:r>
      <w:r w:rsidRPr="003A0485">
        <w:rPr>
          <w:rFonts w:eastAsia="Times New Roman" w:cs="Times New Roman"/>
          <w:lang w:eastAsia="de-DE"/>
        </w:rPr>
        <w:t xml:space="preserve">„nehmen" „sollt ihr nehmen"). </w:t>
      </w:r>
      <w:r w:rsidRPr="003A0485">
        <w:rPr>
          <w:rFonts w:eastAsia="Times New Roman" w:cs="Times New Roman"/>
          <w:b/>
          <w:bCs/>
          <w:rtl/>
          <w:lang w:eastAsia="de-DE"/>
        </w:rPr>
        <w:t>לִנְחֹל אֶת־הָאָרֶץ</w:t>
      </w:r>
      <w:r w:rsidRPr="003A0485">
        <w:rPr>
          <w:rFonts w:eastAsia="Times New Roman" w:cs="Times New Roman"/>
          <w:rtl/>
          <w:lang w:eastAsia="de-DE"/>
        </w:rPr>
        <w:t xml:space="preserve"> </w:t>
      </w:r>
      <w:r w:rsidRPr="003A0485">
        <w:rPr>
          <w:rFonts w:eastAsia="Times New Roman" w:cs="Times New Roman"/>
          <w:lang w:eastAsia="de-DE"/>
        </w:rPr>
        <w:t xml:space="preserve">gibt den Zweck an. </w:t>
      </w:r>
      <w:r w:rsidRPr="003A0485">
        <w:rPr>
          <w:rFonts w:eastAsia="Times New Roman" w:cs="Times New Roman"/>
          <w:b/>
          <w:bCs/>
          <w:rtl/>
          <w:lang w:eastAsia="de-DE"/>
        </w:rPr>
        <w:t>לִנְחֹל</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לְ</w:t>
      </w:r>
      <w:r w:rsidRPr="003A0485">
        <w:rPr>
          <w:rFonts w:eastAsia="Times New Roman" w:cs="Times New Roman"/>
          <w:rtl/>
          <w:lang w:eastAsia="de-DE"/>
        </w:rPr>
        <w:t xml:space="preserve"> </w:t>
      </w:r>
      <w:r w:rsidRPr="003A0485">
        <w:rPr>
          <w:rFonts w:eastAsia="Times New Roman" w:cs="Times New Roman"/>
          <w:lang w:eastAsia="de-DE"/>
        </w:rPr>
        <w:t xml:space="preserve">mit Qal Infinitiv </w:t>
      </w:r>
      <w:r w:rsidR="00E031B3">
        <w:rPr>
          <w:rFonts w:eastAsia="Times New Roman" w:cs="Times New Roman"/>
          <w:lang w:eastAsia="de-DE"/>
        </w:rPr>
        <w:t>Constructus von</w:t>
      </w:r>
      <w:r w:rsidRPr="003A0485">
        <w:rPr>
          <w:rFonts w:eastAsia="Times New Roman" w:cs="Times New Roman"/>
          <w:lang w:eastAsia="de-DE"/>
        </w:rPr>
        <w:t xml:space="preserve"> </w:t>
      </w:r>
      <w:r w:rsidRPr="003A0485">
        <w:rPr>
          <w:rFonts w:eastAsia="Times New Roman" w:cs="Times New Roman"/>
          <w:b/>
          <w:bCs/>
          <w:rtl/>
          <w:lang w:eastAsia="de-DE"/>
        </w:rPr>
        <w:t>נחל</w:t>
      </w:r>
      <w:r w:rsidRPr="003A0485">
        <w:rPr>
          <w:rFonts w:eastAsia="Times New Roman" w:cs="Times New Roman"/>
          <w:rtl/>
          <w:lang w:eastAsia="de-DE"/>
        </w:rPr>
        <w:t xml:space="preserve"> </w:t>
      </w:r>
      <w:r w:rsidRPr="003A0485">
        <w:rPr>
          <w:rFonts w:eastAsia="Times New Roman" w:cs="Times New Roman"/>
          <w:lang w:eastAsia="de-DE"/>
        </w:rPr>
        <w:t xml:space="preserve">„als Erbe zuteilen"), </w:t>
      </w:r>
      <w:r w:rsidRPr="003A0485">
        <w:rPr>
          <w:rFonts w:eastAsia="Times New Roman" w:cs="Times New Roman"/>
          <w:b/>
          <w:bCs/>
          <w:rtl/>
          <w:lang w:eastAsia="de-DE"/>
        </w:rPr>
        <w:t>אֶת־הָאָרֶץ</w:t>
      </w:r>
      <w:r w:rsidRPr="003A0485">
        <w:rPr>
          <w:rFonts w:eastAsia="Times New Roman" w:cs="Times New Roman"/>
          <w:rtl/>
          <w:lang w:eastAsia="de-DE"/>
        </w:rPr>
        <w:t xml:space="preserve"> </w:t>
      </w:r>
      <w:r w:rsidRPr="003A0485">
        <w:rPr>
          <w:rFonts w:eastAsia="Times New Roman" w:cs="Times New Roman"/>
          <w:lang w:eastAsia="de-DE"/>
        </w:rPr>
        <w:t xml:space="preserve">(Akkusativpartikel mit </w:t>
      </w:r>
      <w:r w:rsidRPr="003A0485">
        <w:rPr>
          <w:rFonts w:eastAsia="Times New Roman" w:cs="Times New Roman"/>
          <w:b/>
          <w:bCs/>
          <w:rtl/>
          <w:lang w:eastAsia="de-DE"/>
        </w:rPr>
        <w:t>אֶרֶץ</w:t>
      </w:r>
      <w:r w:rsidRPr="003A0485">
        <w:rPr>
          <w:rFonts w:eastAsia="Times New Roman" w:cs="Times New Roman"/>
          <w:rtl/>
          <w:lang w:eastAsia="de-DE"/>
        </w:rPr>
        <w:t xml:space="preserve"> </w:t>
      </w:r>
      <w:r w:rsidRPr="003A0485">
        <w:rPr>
          <w:rFonts w:eastAsia="Times New Roman" w:cs="Times New Roman"/>
          <w:lang w:eastAsia="de-DE"/>
        </w:rPr>
        <w:t>mit Artikel).</w:t>
      </w:r>
    </w:p>
    <w:p w14:paraId="176316F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eine Anweisung mit distributiver Wiederholung und finalem Infinitiv.</w:t>
      </w:r>
    </w:p>
    <w:p w14:paraId="4F74B116"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ordnet an: Neben Eleasar und Josua soll je ein Stammesführer pro Stamm an der Landverteilung beteiligt sein - ein Prinzip der repräsentativen Beteiligung und Transparenz.</w:t>
      </w:r>
    </w:p>
    <w:p w14:paraId="4ABA6B0A"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34,19-28</w:t>
      </w:r>
    </w:p>
    <w:p w14:paraId="6CA93480"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[Die zehn Verse listen die Namen der Stammesführer für die neuneinhalb Stämme auf]</w:t>
      </w:r>
    </w:p>
    <w:p w14:paraId="324FF27C"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476BF986">
          <v:rect id="_x0000_i2058" style="width:0;height:1.5pt" o:hralign="center" o:hrstd="t" o:hr="t" fillcolor="#a0a0a0" stroked="f"/>
        </w:pict>
      </w:r>
    </w:p>
    <w:p w14:paraId="40164CBF"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 (zusammenfassend):</w:t>
      </w:r>
      <w:r w:rsidRPr="003A0485">
        <w:rPr>
          <w:rFonts w:eastAsia="Times New Roman" w:cs="Times New Roman"/>
          <w:lang w:eastAsia="de-DE"/>
        </w:rPr>
        <w:t xml:space="preserve"> Die Verse folgen einem streng repetitiven Muster: </w:t>
      </w:r>
      <w:r w:rsidRPr="003A0485">
        <w:rPr>
          <w:rFonts w:eastAsia="Times New Roman" w:cs="Times New Roman"/>
          <w:b/>
          <w:bCs/>
          <w:rtl/>
          <w:lang w:eastAsia="de-DE"/>
        </w:rPr>
        <w:t>לְמַטֵּה</w:t>
      </w:r>
      <w:r w:rsidRPr="003A0485">
        <w:rPr>
          <w:rFonts w:eastAsia="Times New Roman" w:cs="Times New Roman"/>
          <w:b/>
          <w:bCs/>
          <w:lang w:eastAsia="de-DE"/>
        </w:rPr>
        <w:t xml:space="preserve"> X </w:t>
      </w:r>
      <w:r w:rsidRPr="003A0485">
        <w:rPr>
          <w:rFonts w:eastAsia="Times New Roman" w:cs="Times New Roman"/>
          <w:b/>
          <w:bCs/>
          <w:rtl/>
          <w:lang w:eastAsia="de-DE"/>
        </w:rPr>
        <w:t>נָשִׂיא</w:t>
      </w:r>
      <w:r w:rsidRPr="003A0485">
        <w:rPr>
          <w:rFonts w:eastAsia="Times New Roman" w:cs="Times New Roman"/>
          <w:b/>
          <w:bCs/>
          <w:lang w:eastAsia="de-DE"/>
        </w:rPr>
        <w:t xml:space="preserve"> Y </w:t>
      </w:r>
      <w:r w:rsidRPr="003A0485">
        <w:rPr>
          <w:rFonts w:eastAsia="Times New Roman" w:cs="Times New Roman"/>
          <w:b/>
          <w:bCs/>
          <w:rtl/>
          <w:lang w:eastAsia="de-DE"/>
        </w:rPr>
        <w:t>בֶּן־</w:t>
      </w:r>
      <w:r w:rsidRPr="003A0485">
        <w:rPr>
          <w:rFonts w:eastAsia="Times New Roman" w:cs="Times New Roman"/>
          <w:b/>
          <w:bCs/>
          <w:lang w:eastAsia="de-DE"/>
        </w:rPr>
        <w:t>Z</w:t>
      </w:r>
      <w:r w:rsidRPr="003A0485">
        <w:rPr>
          <w:rFonts w:eastAsia="Times New Roman" w:cs="Times New Roman"/>
          <w:lang w:eastAsia="de-DE"/>
        </w:rPr>
        <w:t xml:space="preserve"> („Für den Stamm X ein Fürst: Y, Sohn des Z"). Die Liste:</w:t>
      </w:r>
    </w:p>
    <w:p w14:paraId="328B231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V. 19:</w:t>
      </w:r>
      <w:r w:rsidRPr="003A0485">
        <w:rPr>
          <w:rFonts w:eastAsia="Times New Roman" w:cs="Times New Roman"/>
          <w:lang w:eastAsia="de-DE"/>
        </w:rPr>
        <w:t xml:space="preserve"> </w:t>
      </w:r>
      <w:r w:rsidRPr="003A0485">
        <w:rPr>
          <w:rFonts w:eastAsia="Times New Roman" w:cs="Times New Roman"/>
          <w:b/>
          <w:bCs/>
          <w:lang w:eastAsia="de-DE"/>
        </w:rPr>
        <w:t>Juda:</w:t>
      </w:r>
      <w:r w:rsidRPr="003A0485">
        <w:rPr>
          <w:rFonts w:eastAsia="Times New Roman" w:cs="Times New Roman"/>
          <w:lang w:eastAsia="de-DE"/>
        </w:rPr>
        <w:t xml:space="preserve"> Kaleb, Sohn des Jefunne - bemerkenswert: der treue Kundschafter aus Num 13-14, der einzige Überlebende der Exodus-Generation außer Josua!</w:t>
      </w:r>
    </w:p>
    <w:p w14:paraId="1ECDEBD2" w14:textId="63EE5C8D" w:rsid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V. 20:</w:t>
      </w:r>
      <w:r w:rsidRPr="003A0485">
        <w:rPr>
          <w:rFonts w:eastAsia="Times New Roman" w:cs="Times New Roman"/>
          <w:lang w:eastAsia="de-DE"/>
        </w:rPr>
        <w:t xml:space="preserve"> </w:t>
      </w:r>
      <w:r w:rsidRPr="003A0485">
        <w:rPr>
          <w:rFonts w:eastAsia="Times New Roman" w:cs="Times New Roman"/>
          <w:b/>
          <w:bCs/>
          <w:lang w:eastAsia="de-DE"/>
        </w:rPr>
        <w:t>Simeon:</w:t>
      </w:r>
      <w:r w:rsidRPr="003A0485">
        <w:rPr>
          <w:rFonts w:eastAsia="Times New Roman" w:cs="Times New Roman"/>
          <w:lang w:eastAsia="de-DE"/>
        </w:rPr>
        <w:t xml:space="preserve"> Schemuel, Sohn Ammihuds</w:t>
      </w:r>
    </w:p>
    <w:p w14:paraId="4A616CFB" w14:textId="541B87C6" w:rsidR="00192257" w:rsidRPr="003A0485" w:rsidRDefault="00192257" w:rsidP="003A0485">
      <w:pPr>
        <w:spacing w:before="100" w:beforeAutospacing="1" w:after="100" w:afterAutospacing="1" w:line="240" w:lineRule="auto"/>
        <w:rPr>
          <w:rFonts w:eastAsia="Times New Roman" w:cs="Times New Roman"/>
          <w:lang w:eastAsia="de-DE"/>
        </w:rPr>
      </w:pPr>
      <w:r w:rsidRPr="00192257">
        <w:rPr>
          <w:b/>
          <w:bCs/>
        </w:rPr>
        <w:t>Die LXX</w:t>
      </w:r>
      <w:r>
        <w:t xml:space="preserve"> übersetzt „</w:t>
      </w:r>
      <w:r w:rsidRPr="00192257">
        <w:rPr>
          <w:b/>
          <w:bCs/>
          <w:rtl/>
        </w:rPr>
        <w:t>שְׁמוּאֵל בֶּן־עַמִּיהוּד</w:t>
      </w:r>
      <w:r>
        <w:t>" (Schemuel, Sohn des Ammihud) mit „Σαλαμιὴλ υἱὸς Ἐμιούδ" (Salamiel, Sohn des Emiud), eine Namensvariante.</w:t>
      </w:r>
    </w:p>
    <w:p w14:paraId="5CDC8F2F" w14:textId="3F34A00E" w:rsid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V. 21:</w:t>
      </w:r>
      <w:r w:rsidRPr="003A0485">
        <w:rPr>
          <w:rFonts w:eastAsia="Times New Roman" w:cs="Times New Roman"/>
          <w:lang w:eastAsia="de-DE"/>
        </w:rPr>
        <w:t xml:space="preserve"> </w:t>
      </w:r>
      <w:r w:rsidRPr="003A0485">
        <w:rPr>
          <w:rFonts w:eastAsia="Times New Roman" w:cs="Times New Roman"/>
          <w:b/>
          <w:bCs/>
          <w:lang w:eastAsia="de-DE"/>
        </w:rPr>
        <w:t>Benjamin:</w:t>
      </w:r>
      <w:r w:rsidRPr="003A0485">
        <w:rPr>
          <w:rFonts w:eastAsia="Times New Roman" w:cs="Times New Roman"/>
          <w:lang w:eastAsia="de-DE"/>
        </w:rPr>
        <w:t xml:space="preserve"> Elidad, Sohn Kislons</w:t>
      </w:r>
    </w:p>
    <w:p w14:paraId="60ED0CDB" w14:textId="1A60161A" w:rsidR="00192257" w:rsidRPr="003A0485" w:rsidRDefault="00192257" w:rsidP="003A048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192257">
        <w:rPr>
          <w:b/>
          <w:bCs/>
          <w:rtl/>
        </w:rPr>
        <w:t>אֱלִידָד בֶּן־כִּסְלוֹן</w:t>
      </w:r>
      <w:r>
        <w:t>" (Elidad, Sohn des Kislon) mit „Ἐλδὰδ υἱὸς Χασλών" (Eldad, Sohn des Chaslon).</w:t>
      </w:r>
    </w:p>
    <w:p w14:paraId="146DEB3F" w14:textId="5E35B3F1" w:rsid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V. 22:</w:t>
      </w:r>
      <w:r w:rsidRPr="003A0485">
        <w:rPr>
          <w:rFonts w:eastAsia="Times New Roman" w:cs="Times New Roman"/>
          <w:lang w:eastAsia="de-DE"/>
        </w:rPr>
        <w:t xml:space="preserve"> </w:t>
      </w:r>
      <w:r w:rsidRPr="003A0485">
        <w:rPr>
          <w:rFonts w:eastAsia="Times New Roman" w:cs="Times New Roman"/>
          <w:b/>
          <w:bCs/>
          <w:lang w:eastAsia="de-DE"/>
        </w:rPr>
        <w:t>Dan:</w:t>
      </w:r>
      <w:r w:rsidRPr="003A0485">
        <w:rPr>
          <w:rFonts w:eastAsia="Times New Roman" w:cs="Times New Roman"/>
          <w:lang w:eastAsia="de-DE"/>
        </w:rPr>
        <w:t xml:space="preserve"> Bukki, Sohn Joglis</w:t>
      </w:r>
    </w:p>
    <w:p w14:paraId="4D4515B1" w14:textId="6124FAB1" w:rsidR="00192257" w:rsidRPr="003A0485" w:rsidRDefault="00192257" w:rsidP="003A048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192257">
        <w:rPr>
          <w:b/>
          <w:bCs/>
          <w:rtl/>
        </w:rPr>
        <w:t>בֻּקִּי בֶּן־יָגְלִי</w:t>
      </w:r>
      <w:r>
        <w:t>" (Bukki, Sohn des Jogli) mit „Βακχὶρ υἱὸς Ἐγλί" (Bakchir, Sohn des Egli).</w:t>
      </w:r>
    </w:p>
    <w:p w14:paraId="57E69C50" w14:textId="3303049B" w:rsid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V. 23:</w:t>
      </w:r>
      <w:r w:rsidRPr="003A0485">
        <w:rPr>
          <w:rFonts w:eastAsia="Times New Roman" w:cs="Times New Roman"/>
          <w:lang w:eastAsia="de-DE"/>
        </w:rPr>
        <w:t xml:space="preserve"> </w:t>
      </w:r>
      <w:r w:rsidRPr="003A0485">
        <w:rPr>
          <w:rFonts w:eastAsia="Times New Roman" w:cs="Times New Roman"/>
          <w:b/>
          <w:bCs/>
          <w:lang w:eastAsia="de-DE"/>
        </w:rPr>
        <w:t>Manasse:</w:t>
      </w:r>
      <w:r w:rsidRPr="003A0485">
        <w:rPr>
          <w:rFonts w:eastAsia="Times New Roman" w:cs="Times New Roman"/>
          <w:lang w:eastAsia="de-DE"/>
        </w:rPr>
        <w:t xml:space="preserve"> Channiel, Sohn Efods (nur der westliche Halbstamm)</w:t>
      </w:r>
    </w:p>
    <w:p w14:paraId="15D48C7F" w14:textId="64F04010" w:rsidR="00192257" w:rsidRPr="003A0485" w:rsidRDefault="00192257" w:rsidP="003A048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192257">
        <w:rPr>
          <w:b/>
          <w:bCs/>
          <w:rtl/>
        </w:rPr>
        <w:t>חַנִּיאֵל בֶּן־אֵפֹד</w:t>
      </w:r>
      <w:r>
        <w:t>" (Hanniel, Sohn des Efod) mit „Ἁνιὴλ υἱὸς Οὐφίδ" (Haniel, Sohn des Uphid).</w:t>
      </w:r>
    </w:p>
    <w:p w14:paraId="45078D64"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V. 24:</w:t>
      </w:r>
      <w:r w:rsidRPr="003A0485">
        <w:rPr>
          <w:rFonts w:eastAsia="Times New Roman" w:cs="Times New Roman"/>
          <w:lang w:eastAsia="de-DE"/>
        </w:rPr>
        <w:t xml:space="preserve"> </w:t>
      </w:r>
      <w:r w:rsidRPr="003A0485">
        <w:rPr>
          <w:rFonts w:eastAsia="Times New Roman" w:cs="Times New Roman"/>
          <w:b/>
          <w:bCs/>
          <w:lang w:eastAsia="de-DE"/>
        </w:rPr>
        <w:t>Efraim:</w:t>
      </w:r>
      <w:r w:rsidRPr="003A0485">
        <w:rPr>
          <w:rFonts w:eastAsia="Times New Roman" w:cs="Times New Roman"/>
          <w:lang w:eastAsia="de-DE"/>
        </w:rPr>
        <w:t xml:space="preserve"> Kemuel, Sohn Schiftans</w:t>
      </w:r>
    </w:p>
    <w:p w14:paraId="4DC8177C"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V. 25:</w:t>
      </w:r>
      <w:r w:rsidRPr="003A0485">
        <w:rPr>
          <w:rFonts w:eastAsia="Times New Roman" w:cs="Times New Roman"/>
          <w:lang w:eastAsia="de-DE"/>
        </w:rPr>
        <w:t xml:space="preserve"> </w:t>
      </w:r>
      <w:r w:rsidRPr="003A0485">
        <w:rPr>
          <w:rFonts w:eastAsia="Times New Roman" w:cs="Times New Roman"/>
          <w:b/>
          <w:bCs/>
          <w:lang w:eastAsia="de-DE"/>
        </w:rPr>
        <w:t>Sebulon:</w:t>
      </w:r>
      <w:r w:rsidRPr="003A0485">
        <w:rPr>
          <w:rFonts w:eastAsia="Times New Roman" w:cs="Times New Roman"/>
          <w:lang w:eastAsia="de-DE"/>
        </w:rPr>
        <w:t xml:space="preserve"> Elizafan, Sohn Parnachs</w:t>
      </w:r>
    </w:p>
    <w:p w14:paraId="1039C7F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V. 26:</w:t>
      </w:r>
      <w:r w:rsidRPr="003A0485">
        <w:rPr>
          <w:rFonts w:eastAsia="Times New Roman" w:cs="Times New Roman"/>
          <w:lang w:eastAsia="de-DE"/>
        </w:rPr>
        <w:t xml:space="preserve"> </w:t>
      </w:r>
      <w:r w:rsidRPr="003A0485">
        <w:rPr>
          <w:rFonts w:eastAsia="Times New Roman" w:cs="Times New Roman"/>
          <w:b/>
          <w:bCs/>
          <w:lang w:eastAsia="de-DE"/>
        </w:rPr>
        <w:t>Issachar:</w:t>
      </w:r>
      <w:r w:rsidRPr="003A0485">
        <w:rPr>
          <w:rFonts w:eastAsia="Times New Roman" w:cs="Times New Roman"/>
          <w:lang w:eastAsia="de-DE"/>
        </w:rPr>
        <w:t xml:space="preserve"> Paltiel, Sohn Assans</w:t>
      </w:r>
    </w:p>
    <w:p w14:paraId="13B81E81" w14:textId="61A63D8A" w:rsid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lastRenderedPageBreak/>
        <w:t>V. 27:</w:t>
      </w:r>
      <w:r w:rsidRPr="003A0485">
        <w:rPr>
          <w:rFonts w:eastAsia="Times New Roman" w:cs="Times New Roman"/>
          <w:lang w:eastAsia="de-DE"/>
        </w:rPr>
        <w:t xml:space="preserve"> </w:t>
      </w:r>
      <w:r w:rsidRPr="003A0485">
        <w:rPr>
          <w:rFonts w:eastAsia="Times New Roman" w:cs="Times New Roman"/>
          <w:b/>
          <w:bCs/>
          <w:lang w:eastAsia="de-DE"/>
        </w:rPr>
        <w:t>Ascher:</w:t>
      </w:r>
      <w:r w:rsidRPr="003A0485">
        <w:rPr>
          <w:rFonts w:eastAsia="Times New Roman" w:cs="Times New Roman"/>
          <w:lang w:eastAsia="de-DE"/>
        </w:rPr>
        <w:t xml:space="preserve"> Achihud, Sohn Schelomis</w:t>
      </w:r>
    </w:p>
    <w:p w14:paraId="4193C640" w14:textId="718E5EFE" w:rsidR="00192257" w:rsidRPr="003A0485" w:rsidRDefault="00192257" w:rsidP="003A048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192257">
        <w:rPr>
          <w:b/>
          <w:bCs/>
          <w:rtl/>
        </w:rPr>
        <w:t>אֲחִיהוּד בֶּן־שְׁלֹמִי</w:t>
      </w:r>
      <w:r>
        <w:t>" (Ahihud, Sohn des Schelomi) mit „Ἀχιὼρ υἱὸς Σελεμί" (Achior, Sohn des Selemi).</w:t>
      </w:r>
    </w:p>
    <w:p w14:paraId="1976E5F3" w14:textId="7575DC3D" w:rsid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V. 28:</w:t>
      </w:r>
      <w:r w:rsidRPr="003A0485">
        <w:rPr>
          <w:rFonts w:eastAsia="Times New Roman" w:cs="Times New Roman"/>
          <w:lang w:eastAsia="de-DE"/>
        </w:rPr>
        <w:t xml:space="preserve"> </w:t>
      </w:r>
      <w:r w:rsidRPr="003A0485">
        <w:rPr>
          <w:rFonts w:eastAsia="Times New Roman" w:cs="Times New Roman"/>
          <w:b/>
          <w:bCs/>
          <w:lang w:eastAsia="de-DE"/>
        </w:rPr>
        <w:t>Naftali:</w:t>
      </w:r>
      <w:r w:rsidRPr="003A0485">
        <w:rPr>
          <w:rFonts w:eastAsia="Times New Roman" w:cs="Times New Roman"/>
          <w:lang w:eastAsia="de-DE"/>
        </w:rPr>
        <w:t xml:space="preserve"> Pedahel, Sohn Ammihuds</w:t>
      </w:r>
    </w:p>
    <w:p w14:paraId="458EF709" w14:textId="2BE7F876" w:rsidR="00192257" w:rsidRPr="003A0485" w:rsidRDefault="00192257" w:rsidP="003A0485">
      <w:pPr>
        <w:spacing w:before="100" w:beforeAutospacing="1" w:after="100" w:afterAutospacing="1" w:line="240" w:lineRule="auto"/>
        <w:rPr>
          <w:rFonts w:eastAsia="Times New Roman" w:cs="Times New Roman"/>
          <w:lang w:eastAsia="de-DE"/>
        </w:rPr>
      </w:pPr>
      <w:r>
        <w:rPr>
          <w:rStyle w:val="Fett"/>
        </w:rPr>
        <w:t>Die LXX</w:t>
      </w:r>
      <w:r>
        <w:t xml:space="preserve"> übersetzt „</w:t>
      </w:r>
      <w:r w:rsidRPr="00192257">
        <w:rPr>
          <w:b/>
          <w:bCs/>
          <w:rtl/>
        </w:rPr>
        <w:t>פְּדַהְאֵל בֶּן־עַמִּיהוּד</w:t>
      </w:r>
      <w:r>
        <w:t>" (Pedahel, Sohn des Ammihud) mit „Φαδαὴλ υἱὸς Βεναμιούδ" (Phadael, Sohn des Benamiud).</w:t>
      </w:r>
    </w:p>
    <w:p w14:paraId="01605FC4"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Reihenfolge entspricht nicht der üblichen Stammesordnung - sie beginnt mit den drei südlichen Stämmen (Juda, Simeon, Benjamin), dann folgen die nördlichen und mittleren Stämme. Die Erwähnung Kalebs unterstreicht die Verbindung zur Kundschaftergeschichte: Der treue Kundschafter wird bei der Landverteilung dabei sein - eine Belohnung für seine Treue.</w:t>
      </w:r>
    </w:p>
    <w:p w14:paraId="6946966D" w14:textId="77777777" w:rsidR="003A0485" w:rsidRPr="003A0485" w:rsidRDefault="003A0485" w:rsidP="003A0485">
      <w:pPr>
        <w:spacing w:before="100" w:beforeAutospacing="1" w:after="100" w:afterAutospacing="1" w:line="240" w:lineRule="auto"/>
        <w:outlineLvl w:val="0"/>
        <w:rPr>
          <w:rFonts w:eastAsia="Times New Roman" w:cs="Times New Roman"/>
          <w:b/>
          <w:bCs/>
          <w:kern w:val="36"/>
          <w:sz w:val="48"/>
          <w:szCs w:val="48"/>
          <w:lang w:eastAsia="de-DE"/>
        </w:rPr>
      </w:pPr>
      <w:r w:rsidRPr="003A0485">
        <w:rPr>
          <w:rFonts w:eastAsia="Times New Roman" w:cs="Times New Roman"/>
          <w:b/>
          <w:bCs/>
          <w:kern w:val="36"/>
          <w:sz w:val="48"/>
          <w:szCs w:val="48"/>
          <w:lang w:eastAsia="de-DE"/>
        </w:rPr>
        <w:t>Numeri 34,29</w:t>
      </w:r>
    </w:p>
    <w:p w14:paraId="5405C497"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Hebräisch:</w:t>
      </w:r>
      <w:r w:rsidRPr="003A0485">
        <w:rPr>
          <w:rFonts w:eastAsia="Times New Roman" w:cs="Times New Roman"/>
          <w:lang w:eastAsia="de-DE"/>
        </w:rPr>
        <w:t xml:space="preserve"> </w:t>
      </w:r>
      <w:r w:rsidRPr="003A0485">
        <w:rPr>
          <w:rFonts w:eastAsia="Times New Roman" w:cs="Times New Roman"/>
          <w:rtl/>
          <w:lang w:eastAsia="de-DE"/>
        </w:rPr>
        <w:t>אֵ֕לֶּה אֲשֶׁ֖ר צִוָּ֣ה יְהוָ֑ה לְנַחֵ֥ל אֶת־בְּנֵֽי־יִשְׂרָאֵ֖ל בְּאֶ֥רֶץ כְּנָֽעַן׃</w:t>
      </w:r>
    </w:p>
    <w:p w14:paraId="7C53B6DC"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Deutsch:</w:t>
      </w:r>
      <w:r w:rsidRPr="003A0485">
        <w:rPr>
          <w:rFonts w:eastAsia="Times New Roman" w:cs="Times New Roman"/>
          <w:lang w:eastAsia="de-DE"/>
        </w:rPr>
        <w:t xml:space="preserve"> Diese (sind es), denen der Ewige gebot, den Söhnen Jisra'els ein Erbe im Land Kena'an zuzuteilen.</w:t>
      </w:r>
    </w:p>
    <w:p w14:paraId="329B063E"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14505FA0">
          <v:rect id="_x0000_i2059" style="width:0;height:1.5pt" o:hralign="center" o:hrstd="t" o:hr="t" fillcolor="#a0a0a0" stroked="f"/>
        </w:pict>
      </w:r>
    </w:p>
    <w:p w14:paraId="004B36CB" w14:textId="67029E46"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Kommentar:</w:t>
      </w:r>
      <w:r w:rsidRPr="003A0485">
        <w:rPr>
          <w:rFonts w:eastAsia="Times New Roman" w:cs="Times New Roman"/>
          <w:lang w:eastAsia="de-DE"/>
        </w:rPr>
        <w:t xml:space="preserve"> Der Vers schließt die Liste mit einer Validierungsformel ab. </w:t>
      </w:r>
      <w:r w:rsidRPr="003A0485">
        <w:rPr>
          <w:rFonts w:eastAsia="Times New Roman" w:cs="Times New Roman"/>
          <w:b/>
          <w:bCs/>
          <w:rtl/>
          <w:lang w:eastAsia="de-DE"/>
        </w:rPr>
        <w:t>אֵלֶּה אֲשֶׁר צִוָּה יהוה</w:t>
      </w:r>
      <w:r w:rsidRPr="003A0485">
        <w:rPr>
          <w:rFonts w:eastAsia="Times New Roman" w:cs="Times New Roman"/>
          <w:rtl/>
          <w:lang w:eastAsia="de-DE"/>
        </w:rPr>
        <w:t xml:space="preserve"> </w:t>
      </w:r>
      <w:r w:rsidRPr="003A0485">
        <w:rPr>
          <w:rFonts w:eastAsia="Times New Roman" w:cs="Times New Roman"/>
          <w:lang w:eastAsia="de-DE"/>
        </w:rPr>
        <w:t xml:space="preserve">ist die Formel. </w:t>
      </w:r>
      <w:r w:rsidRPr="003A0485">
        <w:rPr>
          <w:rFonts w:eastAsia="Times New Roman" w:cs="Times New Roman"/>
          <w:b/>
          <w:bCs/>
          <w:rtl/>
          <w:lang w:eastAsia="de-DE"/>
        </w:rPr>
        <w:t>אֵלֶּה</w:t>
      </w:r>
      <w:r w:rsidRPr="003A0485">
        <w:rPr>
          <w:rFonts w:eastAsia="Times New Roman" w:cs="Times New Roman"/>
          <w:rtl/>
          <w:lang w:eastAsia="de-DE"/>
        </w:rPr>
        <w:t xml:space="preserve"> </w:t>
      </w:r>
      <w:r w:rsidRPr="003A0485">
        <w:rPr>
          <w:rFonts w:eastAsia="Times New Roman" w:cs="Times New Roman"/>
          <w:lang w:eastAsia="de-DE"/>
        </w:rPr>
        <w:t xml:space="preserve">(Demonstrativpronomen Plural „diese"), </w:t>
      </w:r>
      <w:r w:rsidRPr="003A0485">
        <w:rPr>
          <w:rFonts w:eastAsia="Times New Roman" w:cs="Times New Roman"/>
          <w:b/>
          <w:bCs/>
          <w:rtl/>
          <w:lang w:eastAsia="de-DE"/>
        </w:rPr>
        <w:t>אֲשֶׁר צִוָּה יהוה</w:t>
      </w:r>
      <w:r w:rsidRPr="003A0485">
        <w:rPr>
          <w:rFonts w:eastAsia="Times New Roman" w:cs="Times New Roman"/>
          <w:rtl/>
          <w:lang w:eastAsia="de-DE"/>
        </w:rPr>
        <w:t xml:space="preserve"> </w:t>
      </w:r>
      <w:r w:rsidRPr="003A0485">
        <w:rPr>
          <w:rFonts w:eastAsia="Times New Roman" w:cs="Times New Roman"/>
          <w:lang w:eastAsia="de-DE"/>
        </w:rPr>
        <w:t xml:space="preserve">(Relativsatz: Piel Perfekt 3. Person maskulin Singular von </w:t>
      </w:r>
      <w:r w:rsidRPr="003A0485">
        <w:rPr>
          <w:rFonts w:eastAsia="Times New Roman" w:cs="Times New Roman"/>
          <w:b/>
          <w:bCs/>
          <w:rtl/>
          <w:lang w:eastAsia="de-DE"/>
        </w:rPr>
        <w:t>צוה</w:t>
      </w:r>
      <w:r w:rsidRPr="003A0485">
        <w:rPr>
          <w:rFonts w:eastAsia="Times New Roman" w:cs="Times New Roman"/>
          <w:rtl/>
          <w:lang w:eastAsia="de-DE"/>
        </w:rPr>
        <w:t xml:space="preserve"> </w:t>
      </w:r>
      <w:r w:rsidRPr="003A0485">
        <w:rPr>
          <w:rFonts w:eastAsia="Times New Roman" w:cs="Times New Roman"/>
          <w:lang w:eastAsia="de-DE"/>
        </w:rPr>
        <w:t xml:space="preserve">„befehlen" mit Tetragramm als Subjekt „die der Ewige geboten hat"). </w:t>
      </w:r>
      <w:r w:rsidRPr="003A0485">
        <w:rPr>
          <w:rFonts w:eastAsia="Times New Roman" w:cs="Times New Roman"/>
          <w:b/>
          <w:bCs/>
          <w:rtl/>
          <w:lang w:eastAsia="de-DE"/>
        </w:rPr>
        <w:t>לְנַחֵל אֶת־בְּנֵי־יִשְׂרָאֵל בְּאֶרֶץ כְּנַעַן</w:t>
      </w:r>
      <w:r w:rsidRPr="003A0485">
        <w:rPr>
          <w:rFonts w:eastAsia="Times New Roman" w:cs="Times New Roman"/>
          <w:rtl/>
          <w:lang w:eastAsia="de-DE"/>
        </w:rPr>
        <w:t xml:space="preserve"> </w:t>
      </w:r>
      <w:r w:rsidRPr="003A0485">
        <w:rPr>
          <w:rFonts w:eastAsia="Times New Roman" w:cs="Times New Roman"/>
          <w:lang w:eastAsia="de-DE"/>
        </w:rPr>
        <w:t xml:space="preserve">gibt den Auftrag an. </w:t>
      </w:r>
      <w:r w:rsidRPr="003A0485">
        <w:rPr>
          <w:rFonts w:eastAsia="Times New Roman" w:cs="Times New Roman"/>
          <w:b/>
          <w:bCs/>
          <w:rtl/>
          <w:lang w:eastAsia="de-DE"/>
        </w:rPr>
        <w:t>לְנַחֵל</w:t>
      </w:r>
      <w:r w:rsidRPr="003A0485">
        <w:rPr>
          <w:rFonts w:eastAsia="Times New Roman" w:cs="Times New Roman"/>
          <w:rtl/>
          <w:lang w:eastAsia="de-DE"/>
        </w:rPr>
        <w:t xml:space="preserve"> </w:t>
      </w:r>
      <w:r w:rsidRPr="003A0485">
        <w:rPr>
          <w:rFonts w:eastAsia="Times New Roman" w:cs="Times New Roman"/>
          <w:lang w:eastAsia="de-DE"/>
        </w:rPr>
        <w:t xml:space="preserve">(Piel Infinitiv </w:t>
      </w:r>
      <w:r w:rsidR="00E031B3">
        <w:rPr>
          <w:rFonts w:eastAsia="Times New Roman" w:cs="Times New Roman"/>
          <w:lang w:eastAsia="de-DE"/>
        </w:rPr>
        <w:t>Constructus von</w:t>
      </w:r>
      <w:r w:rsidRPr="003A0485">
        <w:rPr>
          <w:rFonts w:eastAsia="Times New Roman" w:cs="Times New Roman"/>
          <w:lang w:eastAsia="de-DE"/>
        </w:rPr>
        <w:t xml:space="preserve"> </w:t>
      </w:r>
      <w:r w:rsidRPr="003A0485">
        <w:rPr>
          <w:rFonts w:eastAsia="Times New Roman" w:cs="Times New Roman"/>
          <w:b/>
          <w:bCs/>
          <w:rtl/>
          <w:lang w:eastAsia="de-DE"/>
        </w:rPr>
        <w:t>נחל</w:t>
      </w:r>
      <w:r w:rsidRPr="003A0485">
        <w:rPr>
          <w:rFonts w:eastAsia="Times New Roman" w:cs="Times New Roman"/>
          <w:rtl/>
          <w:lang w:eastAsia="de-DE"/>
        </w:rPr>
        <w:t xml:space="preserve"> </w:t>
      </w:r>
      <w:r w:rsidRPr="003A0485">
        <w:rPr>
          <w:rFonts w:eastAsia="Times New Roman" w:cs="Times New Roman"/>
          <w:lang w:eastAsia="de-DE"/>
        </w:rPr>
        <w:t xml:space="preserve">„als Erbe zuteilen"), </w:t>
      </w:r>
      <w:r w:rsidRPr="003A0485">
        <w:rPr>
          <w:rFonts w:eastAsia="Times New Roman" w:cs="Times New Roman"/>
          <w:b/>
          <w:bCs/>
          <w:rtl/>
          <w:lang w:eastAsia="de-DE"/>
        </w:rPr>
        <w:t>אֶת־בְּנֵי־יִשְׂרָאֵל</w:t>
      </w:r>
      <w:r w:rsidRPr="003A0485">
        <w:rPr>
          <w:rFonts w:eastAsia="Times New Roman" w:cs="Times New Roman"/>
          <w:rtl/>
          <w:lang w:eastAsia="de-DE"/>
        </w:rPr>
        <w:t xml:space="preserve"> </w:t>
      </w:r>
      <w:r w:rsidRPr="003A0485">
        <w:rPr>
          <w:rFonts w:eastAsia="Times New Roman" w:cs="Times New Roman"/>
          <w:lang w:eastAsia="de-DE"/>
        </w:rPr>
        <w:t xml:space="preserve">(Akkusativpartikel mit „Söhne Israels" - hier im Dativ-Sinn „den Söhnen Israels"), </w:t>
      </w:r>
      <w:r w:rsidRPr="003A0485">
        <w:rPr>
          <w:rFonts w:eastAsia="Times New Roman" w:cs="Times New Roman"/>
          <w:b/>
          <w:bCs/>
          <w:rtl/>
          <w:lang w:eastAsia="de-DE"/>
        </w:rPr>
        <w:t>בְּאֶרֶץ כְּנָעַן</w:t>
      </w:r>
      <w:r w:rsidRPr="003A0485">
        <w:rPr>
          <w:rFonts w:eastAsia="Times New Roman" w:cs="Times New Roman"/>
          <w:rtl/>
          <w:lang w:eastAsia="de-DE"/>
        </w:rPr>
        <w:t xml:space="preserve"> </w:t>
      </w:r>
      <w:r w:rsidRPr="003A0485">
        <w:rPr>
          <w:rFonts w:eastAsia="Times New Roman" w:cs="Times New Roman"/>
          <w:lang w:eastAsia="de-DE"/>
        </w:rPr>
        <w:t xml:space="preserve">(Präposition </w:t>
      </w:r>
      <w:r w:rsidRPr="003A0485">
        <w:rPr>
          <w:rFonts w:eastAsia="Times New Roman" w:cs="Times New Roman"/>
          <w:b/>
          <w:bCs/>
          <w:rtl/>
          <w:lang w:eastAsia="de-DE"/>
        </w:rPr>
        <w:t>בְ</w:t>
      </w:r>
      <w:r w:rsidRPr="003A0485">
        <w:rPr>
          <w:rFonts w:eastAsia="Times New Roman" w:cs="Times New Roman"/>
          <w:rtl/>
          <w:lang w:eastAsia="de-DE"/>
        </w:rPr>
        <w:t xml:space="preserve"> </w:t>
      </w:r>
      <w:r w:rsidRPr="003A0485">
        <w:rPr>
          <w:rFonts w:eastAsia="Times New Roman" w:cs="Times New Roman"/>
          <w:lang w:eastAsia="de-DE"/>
        </w:rPr>
        <w:t xml:space="preserve">mit </w:t>
      </w:r>
      <w:r w:rsidRPr="003A0485">
        <w:rPr>
          <w:rFonts w:eastAsia="Times New Roman" w:cs="Times New Roman"/>
          <w:b/>
          <w:bCs/>
          <w:rtl/>
          <w:lang w:eastAsia="de-DE"/>
        </w:rPr>
        <w:t>אֶרֶץ כְּנַעַן</w:t>
      </w:r>
      <w:r w:rsidRPr="003A0485">
        <w:rPr>
          <w:rFonts w:eastAsia="Times New Roman" w:cs="Times New Roman"/>
          <w:rtl/>
          <w:lang w:eastAsia="de-DE"/>
        </w:rPr>
        <w:t xml:space="preserve"> </w:t>
      </w:r>
      <w:r w:rsidRPr="003A0485">
        <w:rPr>
          <w:rFonts w:eastAsia="Times New Roman" w:cs="Times New Roman"/>
          <w:lang w:eastAsia="de-DE"/>
        </w:rPr>
        <w:t>„im Land Kanaan").</w:t>
      </w:r>
    </w:p>
    <w:p w14:paraId="6BF1A921"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Die Satzstruktur zeigt eine Demonstrativformel mit Relativsatz und finalem Infinitiv.</w:t>
      </w:r>
    </w:p>
    <w:p w14:paraId="30F24330" w14:textId="77777777" w:rsidR="003A0485" w:rsidRPr="003A0485" w:rsidRDefault="003A0485" w:rsidP="003A0485">
      <w:pPr>
        <w:spacing w:before="100" w:beforeAutospacing="1" w:after="100" w:afterAutospacing="1" w:line="240" w:lineRule="auto"/>
        <w:rPr>
          <w:rFonts w:eastAsia="Times New Roman" w:cs="Times New Roman"/>
          <w:lang w:eastAsia="de-DE"/>
        </w:rPr>
      </w:pPr>
      <w:r w:rsidRPr="003A0485">
        <w:rPr>
          <w:rFonts w:eastAsia="Times New Roman" w:cs="Times New Roman"/>
          <w:lang w:eastAsia="de-DE"/>
        </w:rPr>
        <w:t>Der Vers unterstreicht die göttliche Autorität der Kommission: Diese zwölf Männer (Eleasar, Josua und zehn Stammesführer) sind von Gott selbst beauftragt, die Landverteilung durchzuführen.</w:t>
      </w:r>
    </w:p>
    <w:p w14:paraId="59084700" w14:textId="77777777" w:rsidR="003A0485" w:rsidRPr="003A0485" w:rsidRDefault="00F329DD" w:rsidP="003A0485">
      <w:pPr>
        <w:spacing w:after="0" w:line="240" w:lineRule="auto"/>
        <w:rPr>
          <w:rFonts w:eastAsia="Times New Roman" w:cs="Times New Roman"/>
          <w:lang w:eastAsia="de-DE"/>
        </w:rPr>
      </w:pPr>
      <w:r>
        <w:rPr>
          <w:rFonts w:eastAsia="Times New Roman" w:cs="Times New Roman"/>
          <w:noProof/>
          <w:lang w:eastAsia="de-DE"/>
        </w:rPr>
        <w:pict w14:anchorId="6A713DB6">
          <v:rect id="_x0000_i2060" style="width:0;height:1.5pt" o:hralign="center" o:hrstd="t" o:hr="t" fillcolor="#a0a0a0" stroked="f"/>
        </w:pict>
      </w:r>
    </w:p>
    <w:p w14:paraId="1C6924E6" w14:textId="08B95D3B" w:rsidR="00192257" w:rsidRDefault="003A0485" w:rsidP="00192257">
      <w:pPr>
        <w:spacing w:before="100" w:beforeAutospacing="1" w:after="100" w:afterAutospacing="1" w:line="240" w:lineRule="auto"/>
        <w:rPr>
          <w:rFonts w:eastAsia="Times New Roman" w:cs="Times New Roman"/>
          <w:lang w:eastAsia="de-DE"/>
        </w:rPr>
      </w:pPr>
      <w:r w:rsidRPr="003A0485">
        <w:rPr>
          <w:rFonts w:eastAsia="Times New Roman" w:cs="Times New Roman"/>
          <w:b/>
          <w:bCs/>
          <w:lang w:eastAsia="de-DE"/>
        </w:rPr>
        <w:t>Numeri 34:</w:t>
      </w:r>
      <w:r w:rsidRPr="003A0485">
        <w:rPr>
          <w:rFonts w:eastAsia="Times New Roman" w:cs="Times New Roman"/>
          <w:lang w:eastAsia="de-DE"/>
        </w:rPr>
        <w:t xml:space="preserve"> Das Kapitel definiert präzise die Grenzen des verheißenen Landes für die neuneinhalb Stämme westlich des Jordan (V. 1-12): Südgrenze vom Toten Meer durch die Wüste Zin zum Mittelmeer, Westgrenze am Mittelmeer, Nordgrenze vom Mittelmeer über den Berg Hor bis Chazar-Enan, Ostgrenze vom See Genezareth den Jordan hinab zum Toten Meer. Mose erklärt, dass dieses Land durch Los an die neuneinhalb Stämme verteilt werden soll, da Ruben, Gad und halb Manasse bereits ihr Erbteil östlich des Jordan empfangen haben (V. 13-15). Eine Kommission wird eingesetzt: Eleasar und Josua als Hauptverantwortliche, </w:t>
      </w:r>
      <w:r w:rsidRPr="003A0485">
        <w:rPr>
          <w:rFonts w:eastAsia="Times New Roman" w:cs="Times New Roman"/>
          <w:lang w:eastAsia="de-DE"/>
        </w:rPr>
        <w:lastRenderedPageBreak/>
        <w:t>unterstützt von je einem Stammesführer pro Stamm, darunter der treue Kundschafter Kaleb für Juda (V. 16-29) - eine göttlich autorisierte Kommission zur gerechten Landverteilung.</w:t>
      </w:r>
    </w:p>
    <w:p w14:paraId="4A3A5376" w14:textId="73CD684B" w:rsidR="00192257" w:rsidRDefault="00192257" w:rsidP="00192257">
      <w:pPr>
        <w:spacing w:before="100" w:beforeAutospacing="1" w:after="100" w:afterAutospacing="1" w:line="240" w:lineRule="auto"/>
      </w:pPr>
      <w:r>
        <w:rPr>
          <w:rStyle w:val="Fett"/>
        </w:rPr>
        <w:t>Allgemeine Beobachtung:</w:t>
      </w:r>
      <w:r>
        <w:t xml:space="preserve"> Die LXX zeigt erhebliche Variationen in der Transliteration von Personennamen, wobei viele Namen leicht unterschiedlich wiedergegeben werden. Die geographischen Grenzbeschreibungen bleiben weitgehend ähnlich, obwohl einige Ortsnamen unterschiedlich transliteriert werden.</w:t>
      </w:r>
    </w:p>
    <w:p w14:paraId="7C52D973" w14:textId="77777777" w:rsidR="00002F9F" w:rsidRDefault="00002F9F" w:rsidP="00002F9F">
      <w:pPr>
        <w:pStyle w:val="berschrift3"/>
      </w:pPr>
      <w:r>
        <w:t>Numeri 34 im Kontext der Priesterschrift:</w:t>
      </w:r>
    </w:p>
    <w:p w14:paraId="116D1720" w14:textId="77777777" w:rsidR="00002F9F" w:rsidRDefault="00002F9F" w:rsidP="00002F9F">
      <w:pPr>
        <w:pStyle w:val="whitespace-normal"/>
      </w:pPr>
      <w:r>
        <w:t xml:space="preserve">Numeri 34 gehört zur </w:t>
      </w:r>
      <w:r>
        <w:rPr>
          <w:rStyle w:val="Fett"/>
        </w:rPr>
        <w:t>priesterschriftlichen Tradition (P)</w:t>
      </w:r>
      <w:r>
        <w:t xml:space="preserve"> und zeigt charakteristische Merkmale:</w:t>
      </w:r>
    </w:p>
    <w:p w14:paraId="211CF454" w14:textId="77777777" w:rsidR="00002F9F" w:rsidRDefault="00002F9F" w:rsidP="00002F9F">
      <w:pPr>
        <w:pStyle w:val="whitespace-normal"/>
        <w:numPr>
          <w:ilvl w:val="0"/>
          <w:numId w:val="222"/>
        </w:numPr>
      </w:pPr>
      <w:r>
        <w:rPr>
          <w:rStyle w:val="Fett"/>
        </w:rPr>
        <w:t>Präzision und Ordnung</w:t>
      </w:r>
      <w:r>
        <w:t>: Die detaillierte Grenzbeschreibung entspricht dem P-Interesse an exakter Ordnung (vgl. Gen 1; Ex 25-31)</w:t>
      </w:r>
    </w:p>
    <w:p w14:paraId="6ED5FBDA" w14:textId="77777777" w:rsidR="00002F9F" w:rsidRDefault="00002F9F" w:rsidP="00002F9F">
      <w:pPr>
        <w:pStyle w:val="whitespace-normal"/>
        <w:numPr>
          <w:ilvl w:val="0"/>
          <w:numId w:val="222"/>
        </w:numPr>
      </w:pPr>
      <w:r>
        <w:rPr>
          <w:rStyle w:val="Fett"/>
        </w:rPr>
        <w:t>Göttliche Autorität</w:t>
      </w:r>
      <w:r>
        <w:t>: Die doppelte Betonung "JHWH befahl" (V. 1, 16, 29) legitimiert die Grenzen als göttliche Setzung</w:t>
      </w:r>
    </w:p>
    <w:p w14:paraId="222BC306" w14:textId="77777777" w:rsidR="00002F9F" w:rsidRDefault="00002F9F" w:rsidP="00002F9F">
      <w:pPr>
        <w:pStyle w:val="whitespace-normal"/>
        <w:numPr>
          <w:ilvl w:val="0"/>
          <w:numId w:val="222"/>
        </w:numPr>
      </w:pPr>
      <w:r>
        <w:rPr>
          <w:rStyle w:val="Fett"/>
        </w:rPr>
        <w:t>Institutionelle Absicherung</w:t>
      </w:r>
      <w:r>
        <w:t>: Die Kommission aus Priester, ziviler Führung und Stammesvertretern spiegelt das P-Ideal transparenter Governance</w:t>
      </w:r>
    </w:p>
    <w:p w14:paraId="03E57528" w14:textId="77777777" w:rsidR="00002F9F" w:rsidRDefault="00002F9F" w:rsidP="00002F9F">
      <w:pPr>
        <w:pStyle w:val="whitespace-normal"/>
        <w:numPr>
          <w:ilvl w:val="0"/>
          <w:numId w:val="222"/>
        </w:numPr>
      </w:pPr>
      <w:r>
        <w:rPr>
          <w:rStyle w:val="Fett"/>
        </w:rPr>
        <w:t>Landtheologie</w:t>
      </w:r>
      <w:r>
        <w:t>: P betont: Das Land ist göttliche Gabe (nicht Eroberung) und göttliches Eigentum (nicht israelischer Besitz)</w:t>
      </w:r>
    </w:p>
    <w:p w14:paraId="14CC26F2" w14:textId="77777777" w:rsidR="00002F9F" w:rsidRDefault="00002F9F" w:rsidP="00002F9F">
      <w:pPr>
        <w:pStyle w:val="berschrift3"/>
      </w:pPr>
      <w:r>
        <w:t>Komposition und Datierung:</w:t>
      </w:r>
    </w:p>
    <w:p w14:paraId="76FEDA38" w14:textId="77777777" w:rsidR="00002F9F" w:rsidRDefault="00002F9F" w:rsidP="00002F9F">
      <w:pPr>
        <w:pStyle w:val="whitespace-normal"/>
      </w:pPr>
      <w:r>
        <w:t xml:space="preserve">Die </w:t>
      </w:r>
      <w:r>
        <w:rPr>
          <w:rStyle w:val="Fett"/>
        </w:rPr>
        <w:t>Entstehungszeit</w:t>
      </w:r>
      <w:r>
        <w:t xml:space="preserve"> von Num 34 ist umstritten:</w:t>
      </w:r>
    </w:p>
    <w:p w14:paraId="2A067B0D" w14:textId="77777777" w:rsidR="00002F9F" w:rsidRDefault="00002F9F" w:rsidP="00002F9F">
      <w:pPr>
        <w:pStyle w:val="whitespace-normal"/>
        <w:numPr>
          <w:ilvl w:val="0"/>
          <w:numId w:val="223"/>
        </w:numPr>
      </w:pPr>
      <w:r>
        <w:rPr>
          <w:rStyle w:val="Fett"/>
        </w:rPr>
        <w:t>Vorexilisch?</w:t>
      </w:r>
      <w:r>
        <w:t xml:space="preserve"> Einige Forscher sehen Reflexe aus der Königszeit (8.-7. Jh. v. Chr.)</w:t>
      </w:r>
    </w:p>
    <w:p w14:paraId="55AB59FE" w14:textId="77777777" w:rsidR="00002F9F" w:rsidRDefault="00002F9F" w:rsidP="00002F9F">
      <w:pPr>
        <w:pStyle w:val="whitespace-normal"/>
        <w:numPr>
          <w:ilvl w:val="0"/>
          <w:numId w:val="223"/>
        </w:numPr>
      </w:pPr>
      <w:r>
        <w:rPr>
          <w:rStyle w:val="Fett"/>
        </w:rPr>
        <w:t>Exilisch-nachexilisch</w:t>
      </w:r>
      <w:r>
        <w:t xml:space="preserve"> (6.-5. Jh. v. Chr.): Wahrscheinlicher! Die idealen Grenzen spiegeln die Hoffnung der Exilsgemeinschaft auf Wiederherstellung</w:t>
      </w:r>
    </w:p>
    <w:p w14:paraId="29A84EED" w14:textId="77777777" w:rsidR="00002F9F" w:rsidRDefault="00002F9F" w:rsidP="00002F9F">
      <w:pPr>
        <w:pStyle w:val="whitespace-normal"/>
        <w:numPr>
          <w:ilvl w:val="0"/>
          <w:numId w:val="223"/>
        </w:numPr>
      </w:pPr>
      <w:r>
        <w:rPr>
          <w:rStyle w:val="Fett"/>
        </w:rPr>
        <w:t>Literarische Fiktion</w:t>
      </w:r>
      <w:r>
        <w:t>: Die Grenzen wurden historisch nie so realisiert – sie sind theologisches Programm, nicht geografische Beschreibung</w:t>
      </w:r>
    </w:p>
    <w:p w14:paraId="38E891EC" w14:textId="77777777" w:rsidR="00002F9F" w:rsidRDefault="00002F9F" w:rsidP="00002F9F">
      <w:pPr>
        <w:pStyle w:val="berschrift3"/>
      </w:pPr>
      <w:r>
        <w:t>Theologische Gesamtaussage von Numeri 34:</w:t>
      </w:r>
    </w:p>
    <w:p w14:paraId="4D32CA93" w14:textId="77777777" w:rsidR="00002F9F" w:rsidRDefault="00002F9F" w:rsidP="00002F9F">
      <w:pPr>
        <w:pStyle w:val="whitespace-normal"/>
        <w:numPr>
          <w:ilvl w:val="0"/>
          <w:numId w:val="224"/>
        </w:numPr>
      </w:pPr>
      <w:r>
        <w:rPr>
          <w:rStyle w:val="Fett"/>
        </w:rPr>
        <w:t>Ordnung vor Chaos</w:t>
      </w:r>
      <w:r>
        <w:t>: Nach der Wüstenwanderung (Num 33) schafft Gott klare, geordnete Strukturen</w:t>
      </w:r>
    </w:p>
    <w:p w14:paraId="309239F4" w14:textId="77777777" w:rsidR="00002F9F" w:rsidRDefault="00002F9F" w:rsidP="00002F9F">
      <w:pPr>
        <w:pStyle w:val="whitespace-normal"/>
        <w:numPr>
          <w:ilvl w:val="0"/>
          <w:numId w:val="224"/>
        </w:numPr>
      </w:pPr>
      <w:r>
        <w:rPr>
          <w:rStyle w:val="Fett"/>
        </w:rPr>
        <w:t>Gemeinschaft vor Individuum</w:t>
      </w:r>
      <w:r>
        <w:t>: Die Landverteilung erfolgt stammesbezogen – das Kollektiv steht im Zentrum</w:t>
      </w:r>
    </w:p>
    <w:p w14:paraId="74C6033B" w14:textId="77777777" w:rsidR="00002F9F" w:rsidRDefault="00002F9F" w:rsidP="00002F9F">
      <w:pPr>
        <w:pStyle w:val="whitespace-normal"/>
        <w:numPr>
          <w:ilvl w:val="0"/>
          <w:numId w:val="224"/>
        </w:numPr>
      </w:pPr>
      <w:r>
        <w:rPr>
          <w:rStyle w:val="Fett"/>
        </w:rPr>
        <w:t>Gerechtigkeit durch Transparenz</w:t>
      </w:r>
      <w:r>
        <w:t>: Die öffentliche Kommission (V. 16-29) verhindert Willkür</w:t>
      </w:r>
    </w:p>
    <w:p w14:paraId="6B76D41C" w14:textId="77777777" w:rsidR="00002F9F" w:rsidRDefault="00002F9F" w:rsidP="00002F9F">
      <w:pPr>
        <w:pStyle w:val="whitespace-normal"/>
        <w:numPr>
          <w:ilvl w:val="0"/>
          <w:numId w:val="224"/>
        </w:numPr>
      </w:pPr>
      <w:r>
        <w:rPr>
          <w:rStyle w:val="Fett"/>
        </w:rPr>
        <w:t>Kontinuität der Verheißung</w:t>
      </w:r>
      <w:r>
        <w:t>: Kaleb (V. 19) verkörpert die Treue Gottes – der treue Kundschafter von damals erlebt die Erfüllung</w:t>
      </w:r>
    </w:p>
    <w:p w14:paraId="1206A7FA" w14:textId="77777777" w:rsidR="00002F9F" w:rsidRDefault="00002F9F" w:rsidP="00002F9F">
      <w:pPr>
        <w:pStyle w:val="berschrift3"/>
      </w:pPr>
      <w:r>
        <w:t>Historisch-kritische Analyse: Numeri 34</w:t>
      </w:r>
    </w:p>
    <w:p w14:paraId="2466E256" w14:textId="77777777" w:rsidR="00002F9F" w:rsidRDefault="00002F9F" w:rsidP="00002F9F">
      <w:pPr>
        <w:pStyle w:val="berschrift4"/>
      </w:pPr>
      <w:r>
        <w:t>A) QUELLENKRITIK</w:t>
      </w:r>
    </w:p>
    <w:p w14:paraId="1A05BFC8" w14:textId="5621E7DC" w:rsidR="00002F9F" w:rsidRDefault="00002F9F" w:rsidP="00002F9F">
      <w:pPr>
        <w:pStyle w:val="whitespace-normal"/>
      </w:pPr>
      <w:r>
        <w:rPr>
          <w:rStyle w:val="Fett"/>
        </w:rPr>
        <w:t>Priesterschriftliche Herkunft (P):</w:t>
      </w:r>
      <w:r>
        <w:t xml:space="preserve"> Numeri 34 wird einhellig der </w:t>
      </w:r>
      <w:r>
        <w:rPr>
          <w:rStyle w:val="Fett"/>
        </w:rPr>
        <w:t>Priesterschrift</w:t>
      </w:r>
      <w:r>
        <w:t xml:space="preserve"> (P) zugeordnet. Charakteristische P-Merkmale:</w:t>
      </w:r>
    </w:p>
    <w:tbl>
      <w:tblPr>
        <w:tblStyle w:val="Tabellenraster"/>
        <w:tblW w:w="4994" w:type="pct"/>
        <w:tblLook w:val="04A0" w:firstRow="1" w:lastRow="0" w:firstColumn="1" w:lastColumn="0" w:noHBand="0" w:noVBand="1"/>
      </w:tblPr>
      <w:tblGrid>
        <w:gridCol w:w="4525"/>
        <w:gridCol w:w="4526"/>
      </w:tblGrid>
      <w:tr w:rsidR="00002F9F" w14:paraId="34CEF1DD" w14:textId="77777777" w:rsidTr="00193D82">
        <w:tc>
          <w:tcPr>
            <w:tcW w:w="2500" w:type="pct"/>
            <w:vAlign w:val="center"/>
          </w:tcPr>
          <w:p w14:paraId="7B182444" w14:textId="5E67A886" w:rsidR="00002F9F" w:rsidRDefault="00002F9F" w:rsidP="00002F9F">
            <w:pPr>
              <w:pStyle w:val="whitespace-normal"/>
            </w:pPr>
            <w:r>
              <w:rPr>
                <w:b/>
                <w:bCs/>
              </w:rPr>
              <w:lastRenderedPageBreak/>
              <w:t>Merkmal</w:t>
            </w:r>
          </w:p>
        </w:tc>
        <w:tc>
          <w:tcPr>
            <w:tcW w:w="2500" w:type="pct"/>
            <w:vAlign w:val="center"/>
          </w:tcPr>
          <w:p w14:paraId="68342DD3" w14:textId="49B8FEFC" w:rsidR="00002F9F" w:rsidRDefault="00002F9F" w:rsidP="00002F9F">
            <w:pPr>
              <w:pStyle w:val="whitespace-normal"/>
            </w:pPr>
            <w:r>
              <w:rPr>
                <w:b/>
                <w:bCs/>
              </w:rPr>
              <w:t>Nachweis in Num 34</w:t>
            </w:r>
          </w:p>
        </w:tc>
      </w:tr>
      <w:tr w:rsidR="00002F9F" w14:paraId="15831AA9" w14:textId="77777777" w:rsidTr="00DF78C8">
        <w:tc>
          <w:tcPr>
            <w:tcW w:w="2500" w:type="pct"/>
            <w:vAlign w:val="center"/>
          </w:tcPr>
          <w:p w14:paraId="02216895" w14:textId="5C57C218" w:rsidR="00002F9F" w:rsidRDefault="00002F9F" w:rsidP="00002F9F">
            <w:pPr>
              <w:pStyle w:val="whitespace-normal"/>
            </w:pPr>
            <w:r>
              <w:t>Formelhafte Sprache</w:t>
            </w:r>
          </w:p>
        </w:tc>
        <w:tc>
          <w:tcPr>
            <w:tcW w:w="2500" w:type="pct"/>
            <w:vAlign w:val="center"/>
          </w:tcPr>
          <w:p w14:paraId="56B5BF92" w14:textId="0620D413" w:rsidR="00002F9F" w:rsidRDefault="00002F9F" w:rsidP="00002F9F">
            <w:pPr>
              <w:pStyle w:val="whitespace-normal"/>
            </w:pPr>
            <w:r>
              <w:rPr>
                <w:rtl/>
              </w:rPr>
              <w:t>וַיְדַבֵּר יְהוָה אֶל־מֹשֶׁה לֵּאמֹר</w:t>
            </w:r>
            <w:r>
              <w:t xml:space="preserve">(V. 1, 16) </w:t>
            </w:r>
          </w:p>
        </w:tc>
      </w:tr>
      <w:tr w:rsidR="00002F9F" w14:paraId="0E271CB6" w14:textId="77777777" w:rsidTr="00DF78C8">
        <w:tc>
          <w:tcPr>
            <w:tcW w:w="2500" w:type="pct"/>
            <w:vAlign w:val="center"/>
          </w:tcPr>
          <w:p w14:paraId="61A28EF9" w14:textId="69BBC089" w:rsidR="00002F9F" w:rsidRDefault="00002F9F" w:rsidP="00002F9F">
            <w:pPr>
              <w:pStyle w:val="whitespace-normal"/>
            </w:pPr>
            <w:r>
              <w:t>Präzise Listen</w:t>
            </w:r>
          </w:p>
        </w:tc>
        <w:tc>
          <w:tcPr>
            <w:tcW w:w="2500" w:type="pct"/>
            <w:vAlign w:val="center"/>
          </w:tcPr>
          <w:p w14:paraId="3453CE89" w14:textId="62D6244E" w:rsidR="00002F9F" w:rsidRDefault="00002F9F" w:rsidP="00002F9F">
            <w:pPr>
              <w:pStyle w:val="whitespace-normal"/>
            </w:pPr>
            <w:r>
              <w:t>Stammesführer V. 19-28</w:t>
            </w:r>
          </w:p>
        </w:tc>
      </w:tr>
      <w:tr w:rsidR="00002F9F" w14:paraId="45F2B8DB" w14:textId="77777777" w:rsidTr="00DF78C8">
        <w:tc>
          <w:tcPr>
            <w:tcW w:w="2500" w:type="pct"/>
            <w:vAlign w:val="center"/>
          </w:tcPr>
          <w:p w14:paraId="0D853BC6" w14:textId="4C3BAAB0" w:rsidR="00002F9F" w:rsidRDefault="00002F9F" w:rsidP="00002F9F">
            <w:pPr>
              <w:pStyle w:val="whitespace-normal"/>
            </w:pPr>
            <w:r>
              <w:t>Geordnete Systematik</w:t>
            </w:r>
          </w:p>
        </w:tc>
        <w:tc>
          <w:tcPr>
            <w:tcW w:w="2500" w:type="pct"/>
            <w:vAlign w:val="center"/>
          </w:tcPr>
          <w:p w14:paraId="4B52E39C" w14:textId="2810006D" w:rsidR="00002F9F" w:rsidRDefault="00002F9F" w:rsidP="00002F9F">
            <w:pPr>
              <w:pStyle w:val="whitespace-normal"/>
            </w:pPr>
            <w:r>
              <w:t>Vier Himmelsrichtungen nacheinander</w:t>
            </w:r>
          </w:p>
        </w:tc>
      </w:tr>
      <w:tr w:rsidR="00002F9F" w14:paraId="04C8BF09" w14:textId="77777777" w:rsidTr="00DF78C8">
        <w:tc>
          <w:tcPr>
            <w:tcW w:w="2500" w:type="pct"/>
            <w:vAlign w:val="center"/>
          </w:tcPr>
          <w:p w14:paraId="0BAA7397" w14:textId="08ED0AF3" w:rsidR="00002F9F" w:rsidRDefault="00002F9F" w:rsidP="00002F9F">
            <w:pPr>
              <w:pStyle w:val="whitespace-normal"/>
            </w:pPr>
            <w:r>
              <w:t>Institutionen</w:t>
            </w:r>
          </w:p>
        </w:tc>
        <w:tc>
          <w:tcPr>
            <w:tcW w:w="2500" w:type="pct"/>
            <w:vAlign w:val="center"/>
          </w:tcPr>
          <w:p w14:paraId="25212D04" w14:textId="08C9CC58" w:rsidR="00002F9F" w:rsidRDefault="00002F9F" w:rsidP="00002F9F">
            <w:pPr>
              <w:pStyle w:val="whitespace-normal"/>
            </w:pPr>
            <w:r>
              <w:t>Priester + zivile Führung (V. 17)</w:t>
            </w:r>
          </w:p>
        </w:tc>
      </w:tr>
      <w:tr w:rsidR="00002F9F" w14:paraId="6BC15D2C" w14:textId="77777777" w:rsidTr="00DF78C8">
        <w:tc>
          <w:tcPr>
            <w:tcW w:w="2500" w:type="pct"/>
            <w:vAlign w:val="center"/>
          </w:tcPr>
          <w:p w14:paraId="245561D0" w14:textId="40B10B0F" w:rsidR="00002F9F" w:rsidRDefault="00002F9F" w:rsidP="00002F9F">
            <w:pPr>
              <w:pStyle w:val="whitespace-normal"/>
            </w:pPr>
            <w:r>
              <w:t>Losverfahren</w:t>
            </w:r>
          </w:p>
        </w:tc>
        <w:tc>
          <w:tcPr>
            <w:tcW w:w="2500" w:type="pct"/>
            <w:vAlign w:val="center"/>
          </w:tcPr>
          <w:p w14:paraId="7A961C1C" w14:textId="6302160A" w:rsidR="00002F9F" w:rsidRDefault="00002F9F" w:rsidP="00002F9F">
            <w:pPr>
              <w:pStyle w:val="whitespace-normal"/>
            </w:pPr>
            <w:r>
              <w:rPr>
                <w:rtl/>
              </w:rPr>
              <w:t>גּוֹרָל</w:t>
            </w:r>
            <w:r>
              <w:t xml:space="preserve"> als göttliches Orakel (V. 13)</w:t>
            </w:r>
          </w:p>
        </w:tc>
      </w:tr>
    </w:tbl>
    <w:p w14:paraId="1A8EDADF" w14:textId="77777777" w:rsidR="00002F9F" w:rsidRDefault="00002F9F" w:rsidP="00002F9F">
      <w:pPr>
        <w:pStyle w:val="whitespace-normal"/>
      </w:pPr>
      <w:r>
        <w:rPr>
          <w:rStyle w:val="Fett"/>
        </w:rPr>
        <w:t>Keine deuteronomistische Bearbeitung erkennbar</w:t>
      </w:r>
      <w:r>
        <w:t>, im Gegensatz zu vielen anderen Numeri-Texten.</w:t>
      </w:r>
    </w:p>
    <w:p w14:paraId="01230D4C" w14:textId="77777777" w:rsidR="00002F9F" w:rsidRDefault="00002F9F" w:rsidP="00002F9F">
      <w:pPr>
        <w:pStyle w:val="whitespace-normal"/>
      </w:pPr>
      <w:r>
        <w:rPr>
          <w:rStyle w:val="Fett"/>
        </w:rPr>
        <w:t>3. Spätpersisch-frühhellenistische Datierung:</w:t>
      </w:r>
    </w:p>
    <w:p w14:paraId="38C1CA17" w14:textId="77777777" w:rsidR="00002F9F" w:rsidRDefault="00002F9F" w:rsidP="00097545">
      <w:pPr>
        <w:pStyle w:val="whitespace-normal"/>
        <w:numPr>
          <w:ilvl w:val="0"/>
          <w:numId w:val="225"/>
        </w:numPr>
      </w:pPr>
      <w:r>
        <w:t>Vertreter: einige neuere Forscher</w:t>
      </w:r>
    </w:p>
    <w:p w14:paraId="7D72B802" w14:textId="77777777" w:rsidR="00002F9F" w:rsidRDefault="00002F9F" w:rsidP="00097545">
      <w:pPr>
        <w:pStyle w:val="whitespace-normal"/>
        <w:numPr>
          <w:ilvl w:val="0"/>
          <w:numId w:val="225"/>
        </w:numPr>
      </w:pPr>
      <w:r>
        <w:t>Zeitraum: 5.-4. Jahrhundert v. Chr.</w:t>
      </w:r>
    </w:p>
    <w:p w14:paraId="350A205C" w14:textId="77777777" w:rsidR="00002F9F" w:rsidRDefault="00002F9F" w:rsidP="00097545">
      <w:pPr>
        <w:pStyle w:val="whitespace-normal"/>
        <w:numPr>
          <w:ilvl w:val="0"/>
          <w:numId w:val="225"/>
        </w:numPr>
      </w:pPr>
      <w:r>
        <w:t>Argument: Endredaktion des Pentateuch erst in dieser Zeit</w:t>
      </w:r>
    </w:p>
    <w:p w14:paraId="6088382B" w14:textId="77777777" w:rsidR="00002F9F" w:rsidRDefault="00002F9F" w:rsidP="00002F9F">
      <w:pPr>
        <w:pStyle w:val="whitespace-normal"/>
      </w:pPr>
      <w:r>
        <w:rPr>
          <w:rStyle w:val="Fett"/>
        </w:rPr>
        <w:t>Wahrscheinlichste Lösung:</w:t>
      </w:r>
      <w:r>
        <w:t xml:space="preserve"> Num 34 entstand in der </w:t>
      </w:r>
      <w:r>
        <w:rPr>
          <w:rStyle w:val="Fett"/>
        </w:rPr>
        <w:t>exilisch-frühnachexilischen Zeit</w:t>
      </w:r>
      <w:r>
        <w:t xml:space="preserve"> (ca. 550-450 v. Chr.) als Teil der priesterschriftlichen Komposition. Möglicherweise verwendete P ältere geographische Traditionen, formte sie aber zu einem theologischen Programm um.</w:t>
      </w:r>
    </w:p>
    <w:p w14:paraId="64DFC626" w14:textId="11B5D00E" w:rsidR="00002F9F" w:rsidRDefault="000F7EB0" w:rsidP="00002F9F">
      <w:pPr>
        <w:pStyle w:val="berschrift4"/>
      </w:pPr>
      <w:r>
        <w:t>B</w:t>
      </w:r>
      <w:r w:rsidR="00002F9F">
        <w:t>) VERHÄLTNIS ZU ANDEREN TEXTEN</w:t>
      </w:r>
    </w:p>
    <w:p w14:paraId="77C19BA8" w14:textId="77777777" w:rsidR="00002F9F" w:rsidRDefault="00002F9F" w:rsidP="00002F9F">
      <w:pPr>
        <w:pStyle w:val="whitespace-normal"/>
      </w:pPr>
      <w:r>
        <w:rPr>
          <w:rStyle w:val="Fett"/>
        </w:rPr>
        <w:t>1. Numeri 34 und Josua 13-19:</w:t>
      </w:r>
    </w:p>
    <w:p w14:paraId="597D85E6" w14:textId="77777777" w:rsidR="00002F9F" w:rsidRDefault="00002F9F" w:rsidP="00097545">
      <w:pPr>
        <w:pStyle w:val="whitespace-normal"/>
        <w:numPr>
          <w:ilvl w:val="0"/>
          <w:numId w:val="226"/>
        </w:numPr>
      </w:pPr>
      <w:r>
        <w:t>Jos 13-19 bietet detaillierte Stammesgrenzen</w:t>
      </w:r>
    </w:p>
    <w:p w14:paraId="3F86AAC9" w14:textId="77777777" w:rsidR="00002F9F" w:rsidRDefault="00002F9F" w:rsidP="00097545">
      <w:pPr>
        <w:pStyle w:val="whitespace-normal"/>
        <w:numPr>
          <w:ilvl w:val="0"/>
          <w:numId w:val="226"/>
        </w:numPr>
      </w:pPr>
      <w:r>
        <w:t>Num 34 gibt nur die Außengrenzen des Gesamtlandes</w:t>
      </w:r>
    </w:p>
    <w:p w14:paraId="2C52BFE1" w14:textId="77777777" w:rsidR="00002F9F" w:rsidRDefault="00002F9F" w:rsidP="00097545">
      <w:pPr>
        <w:pStyle w:val="whitespace-normal"/>
        <w:numPr>
          <w:ilvl w:val="0"/>
          <w:numId w:val="226"/>
        </w:numPr>
      </w:pPr>
      <w:r>
        <w:rPr>
          <w:rStyle w:val="Fett"/>
        </w:rPr>
        <w:t>Literarisches Verhältnis</w:t>
      </w:r>
      <w:r>
        <w:t>: Num 34 ist wahrscheinlich älter und diente Jos 13-19 als Rahmen</w:t>
      </w:r>
    </w:p>
    <w:p w14:paraId="7D97F2ED" w14:textId="77777777" w:rsidR="00002F9F" w:rsidRDefault="00002F9F" w:rsidP="00002F9F">
      <w:pPr>
        <w:pStyle w:val="whitespace-normal"/>
      </w:pPr>
      <w:r>
        <w:rPr>
          <w:rStyle w:val="Fett"/>
        </w:rPr>
        <w:t>2. Numeri 34 und Ezechiel 47,13-20:</w:t>
      </w:r>
    </w:p>
    <w:p w14:paraId="494F6648" w14:textId="77777777" w:rsidR="00002F9F" w:rsidRDefault="00002F9F" w:rsidP="00097545">
      <w:pPr>
        <w:pStyle w:val="whitespace-normal"/>
        <w:numPr>
          <w:ilvl w:val="0"/>
          <w:numId w:val="227"/>
        </w:numPr>
      </w:pPr>
      <w:r>
        <w:t>Frappante Parallelen in der Grenzbeschreibung</w:t>
      </w:r>
    </w:p>
    <w:p w14:paraId="0613BF7C" w14:textId="77777777" w:rsidR="00002F9F" w:rsidRDefault="00002F9F" w:rsidP="00097545">
      <w:pPr>
        <w:pStyle w:val="whitespace-normal"/>
        <w:numPr>
          <w:ilvl w:val="0"/>
          <w:numId w:val="227"/>
        </w:numPr>
      </w:pPr>
      <w:r>
        <w:t>Ez betont die gleichmäßige Verteilung (gegen historische Ungerechtigkeiten)</w:t>
      </w:r>
    </w:p>
    <w:p w14:paraId="3EA5BE08" w14:textId="77777777" w:rsidR="00002F9F" w:rsidRDefault="00002F9F" w:rsidP="00097545">
      <w:pPr>
        <w:pStyle w:val="whitespace-normal"/>
        <w:numPr>
          <w:ilvl w:val="0"/>
          <w:numId w:val="227"/>
        </w:numPr>
      </w:pPr>
      <w:r>
        <w:t>Ez öffnet die Landgabe auch für Fremde (47,22-23) – sozialer Fortschritt!</w:t>
      </w:r>
    </w:p>
    <w:p w14:paraId="77780568" w14:textId="77777777" w:rsidR="00002F9F" w:rsidRDefault="00002F9F" w:rsidP="00097545">
      <w:pPr>
        <w:pStyle w:val="whitespace-normal"/>
        <w:numPr>
          <w:ilvl w:val="0"/>
          <w:numId w:val="227"/>
        </w:numPr>
      </w:pPr>
      <w:r>
        <w:rPr>
          <w:rStyle w:val="Fett"/>
        </w:rPr>
        <w:t>Literarisches Verhältnis</w:t>
      </w:r>
      <w:r>
        <w:t>: Umstritten; wahrscheinlich kennen beide eine gemeinsame Tradition</w:t>
      </w:r>
    </w:p>
    <w:p w14:paraId="52745214" w14:textId="77777777" w:rsidR="00002F9F" w:rsidRDefault="00002F9F" w:rsidP="00002F9F">
      <w:pPr>
        <w:pStyle w:val="whitespace-normal"/>
      </w:pPr>
      <w:r>
        <w:rPr>
          <w:rStyle w:val="Fett"/>
        </w:rPr>
        <w:t>3. Numeri 34 und 1 Könige 8,65:</w:t>
      </w:r>
    </w:p>
    <w:p w14:paraId="537DA74D" w14:textId="77777777" w:rsidR="00002F9F" w:rsidRDefault="00002F9F" w:rsidP="00097545">
      <w:pPr>
        <w:pStyle w:val="whitespace-normal"/>
        <w:numPr>
          <w:ilvl w:val="0"/>
          <w:numId w:val="228"/>
        </w:numPr>
      </w:pPr>
      <w:r>
        <w:t>1 Kön 8,65 beschreibt Salomos Reich "von Lebo-Hamat bis zum Bach Ägyptens"</w:t>
      </w:r>
    </w:p>
    <w:p w14:paraId="16880D3E" w14:textId="77777777" w:rsidR="00002F9F" w:rsidRDefault="00002F9F" w:rsidP="00097545">
      <w:pPr>
        <w:pStyle w:val="whitespace-normal"/>
        <w:numPr>
          <w:ilvl w:val="0"/>
          <w:numId w:val="228"/>
        </w:numPr>
      </w:pPr>
      <w:r>
        <w:t>Fast identisch mit Num 34!</w:t>
      </w:r>
    </w:p>
    <w:p w14:paraId="7C70B5F2" w14:textId="77777777" w:rsidR="00002F9F" w:rsidRDefault="00002F9F" w:rsidP="00097545">
      <w:pPr>
        <w:pStyle w:val="whitespace-normal"/>
        <w:numPr>
          <w:ilvl w:val="0"/>
          <w:numId w:val="228"/>
        </w:numPr>
      </w:pPr>
      <w:r>
        <w:rPr>
          <w:rStyle w:val="Fett"/>
        </w:rPr>
        <w:t>Deutung</w:t>
      </w:r>
      <w:r>
        <w:t>: Entweder ist Num 34 eine Rückprojektion salomonischer Ausdehnung, oder 1 Kön 8,65 greift auf die Verheißungstradition zurück</w:t>
      </w:r>
    </w:p>
    <w:p w14:paraId="0B010E7C" w14:textId="77777777" w:rsidR="00002F9F" w:rsidRDefault="00002F9F" w:rsidP="00002F9F">
      <w:pPr>
        <w:pStyle w:val="whitespace-normal"/>
      </w:pPr>
      <w:r>
        <w:rPr>
          <w:rStyle w:val="Fett"/>
        </w:rPr>
        <w:t>4. Numeri 34 und Genesis 15,18:</w:t>
      </w:r>
    </w:p>
    <w:p w14:paraId="42957168" w14:textId="77777777" w:rsidR="00002F9F" w:rsidRDefault="00002F9F" w:rsidP="00097545">
      <w:pPr>
        <w:pStyle w:val="whitespace-normal"/>
        <w:numPr>
          <w:ilvl w:val="0"/>
          <w:numId w:val="229"/>
        </w:numPr>
      </w:pPr>
      <w:r>
        <w:t>Gen 15,18: "Vom Strom Ägyptens bis zum großen Strom Euphrat"</w:t>
      </w:r>
    </w:p>
    <w:p w14:paraId="7A2C6BC2" w14:textId="77777777" w:rsidR="00002F9F" w:rsidRDefault="00002F9F" w:rsidP="00097545">
      <w:pPr>
        <w:pStyle w:val="whitespace-normal"/>
        <w:numPr>
          <w:ilvl w:val="0"/>
          <w:numId w:val="229"/>
        </w:numPr>
      </w:pPr>
      <w:r>
        <w:rPr>
          <w:rStyle w:val="Fett"/>
        </w:rPr>
        <w:t>Noch größere Verheißung</w:t>
      </w:r>
      <w:r>
        <w:t xml:space="preserve"> als Num 34!</w:t>
      </w:r>
    </w:p>
    <w:p w14:paraId="152EEE89" w14:textId="77777777" w:rsidR="00002F9F" w:rsidRDefault="00002F9F" w:rsidP="00097545">
      <w:pPr>
        <w:pStyle w:val="whitespace-normal"/>
        <w:numPr>
          <w:ilvl w:val="0"/>
          <w:numId w:val="229"/>
        </w:numPr>
      </w:pPr>
      <w:r>
        <w:lastRenderedPageBreak/>
        <w:t>Unterschiedliche Traditionen: Gen 15 = maximale Verheißung; Num 34 = realistischere Grenze</w:t>
      </w:r>
    </w:p>
    <w:p w14:paraId="4481B764" w14:textId="773FADC5" w:rsidR="00002F9F" w:rsidRDefault="000F7EB0" w:rsidP="00002F9F">
      <w:pPr>
        <w:pStyle w:val="berschrift4"/>
      </w:pPr>
      <w:r>
        <w:t>C</w:t>
      </w:r>
      <w:r w:rsidR="00002F9F">
        <w:t>) HISTORISCHE REALITÄT VS. THEOLOGISCHES IDEAL</w:t>
      </w:r>
    </w:p>
    <w:p w14:paraId="3F6544F4" w14:textId="3B82F9CC" w:rsidR="00002F9F" w:rsidRDefault="00002F9F" w:rsidP="00002F9F">
      <w:pPr>
        <w:pStyle w:val="whitespace-normal"/>
        <w:rPr>
          <w:rStyle w:val="Fett"/>
        </w:rPr>
      </w:pPr>
      <w:r>
        <w:rPr>
          <w:rStyle w:val="Fett"/>
        </w:rPr>
        <w:t>Die Grenzen von Num 34 wurden NIE vollständig realisiert:</w:t>
      </w:r>
    </w:p>
    <w:tbl>
      <w:tblPr>
        <w:tblStyle w:val="Tabellenraster"/>
        <w:tblW w:w="4994" w:type="pct"/>
        <w:tblLook w:val="04A0" w:firstRow="1" w:lastRow="0" w:firstColumn="1" w:lastColumn="0" w:noHBand="0" w:noVBand="1"/>
      </w:tblPr>
      <w:tblGrid>
        <w:gridCol w:w="1837"/>
        <w:gridCol w:w="2978"/>
        <w:gridCol w:w="4236"/>
      </w:tblGrid>
      <w:tr w:rsidR="00002F9F" w14:paraId="25D902E6" w14:textId="77777777" w:rsidTr="00002F9F">
        <w:tc>
          <w:tcPr>
            <w:tcW w:w="1015" w:type="pct"/>
            <w:vAlign w:val="center"/>
          </w:tcPr>
          <w:p w14:paraId="28EECE94" w14:textId="38927D3F" w:rsidR="00002F9F" w:rsidRDefault="00002F9F" w:rsidP="00002F9F">
            <w:pPr>
              <w:pStyle w:val="whitespace-normal"/>
            </w:pPr>
            <w:r>
              <w:rPr>
                <w:b/>
                <w:bCs/>
              </w:rPr>
              <w:t>Periode</w:t>
            </w:r>
          </w:p>
        </w:tc>
        <w:tc>
          <w:tcPr>
            <w:tcW w:w="1645" w:type="pct"/>
            <w:vAlign w:val="center"/>
          </w:tcPr>
          <w:p w14:paraId="6C77BDE8" w14:textId="66DBAA48" w:rsidR="00002F9F" w:rsidRDefault="00002F9F" w:rsidP="00002F9F">
            <w:pPr>
              <w:pStyle w:val="whitespace-normal"/>
            </w:pPr>
            <w:r>
              <w:rPr>
                <w:b/>
                <w:bCs/>
              </w:rPr>
              <w:t>Kontrollierte Gebiete</w:t>
            </w:r>
          </w:p>
        </w:tc>
        <w:tc>
          <w:tcPr>
            <w:tcW w:w="2340" w:type="pct"/>
            <w:vAlign w:val="center"/>
          </w:tcPr>
          <w:p w14:paraId="48BD6BAF" w14:textId="1420888A" w:rsidR="00002F9F" w:rsidRDefault="00002F9F" w:rsidP="00002F9F">
            <w:pPr>
              <w:pStyle w:val="whitespace-normal"/>
            </w:pPr>
            <w:r>
              <w:rPr>
                <w:b/>
                <w:bCs/>
              </w:rPr>
              <w:t>Vergleich mit Num 34</w:t>
            </w:r>
          </w:p>
        </w:tc>
      </w:tr>
      <w:tr w:rsidR="00002F9F" w14:paraId="7473F26A" w14:textId="77777777" w:rsidTr="00002F9F">
        <w:tc>
          <w:tcPr>
            <w:tcW w:w="1015" w:type="pct"/>
            <w:vAlign w:val="center"/>
          </w:tcPr>
          <w:p w14:paraId="115101BB" w14:textId="65D3C7EF" w:rsidR="00002F9F" w:rsidRDefault="00002F9F" w:rsidP="00002F9F">
            <w:pPr>
              <w:pStyle w:val="whitespace-normal"/>
            </w:pPr>
            <w:r>
              <w:t>Richterzeit</w:t>
            </w:r>
          </w:p>
        </w:tc>
        <w:tc>
          <w:tcPr>
            <w:tcW w:w="1645" w:type="pct"/>
            <w:vAlign w:val="center"/>
          </w:tcPr>
          <w:p w14:paraId="6BBC240B" w14:textId="08AA009B" w:rsidR="00002F9F" w:rsidRDefault="00002F9F" w:rsidP="00002F9F">
            <w:pPr>
              <w:pStyle w:val="whitespace-normal"/>
            </w:pPr>
            <w:r>
              <w:t>Fragmentiert, keine Einheit</w:t>
            </w:r>
          </w:p>
        </w:tc>
        <w:tc>
          <w:tcPr>
            <w:tcW w:w="2340" w:type="pct"/>
            <w:vAlign w:val="center"/>
          </w:tcPr>
          <w:p w14:paraId="2BBFB448" w14:textId="7CE5F98B" w:rsidR="00002F9F" w:rsidRDefault="00002F9F" w:rsidP="00002F9F">
            <w:pPr>
              <w:pStyle w:val="whitespace-normal"/>
            </w:pPr>
            <w:r>
              <w:t>Weit unter Num 34</w:t>
            </w:r>
          </w:p>
        </w:tc>
      </w:tr>
      <w:tr w:rsidR="00002F9F" w14:paraId="3140F865" w14:textId="77777777" w:rsidTr="00002F9F">
        <w:tc>
          <w:tcPr>
            <w:tcW w:w="1015" w:type="pct"/>
            <w:vAlign w:val="center"/>
          </w:tcPr>
          <w:p w14:paraId="1F27B88F" w14:textId="1DA35564" w:rsidR="00002F9F" w:rsidRDefault="00002F9F" w:rsidP="00002F9F">
            <w:pPr>
              <w:pStyle w:val="whitespace-normal"/>
            </w:pPr>
            <w:r>
              <w:t>David/Salomo</w:t>
            </w:r>
          </w:p>
        </w:tc>
        <w:tc>
          <w:tcPr>
            <w:tcW w:w="1645" w:type="pct"/>
            <w:vAlign w:val="center"/>
          </w:tcPr>
          <w:p w14:paraId="51DFF6BA" w14:textId="1E0F959A" w:rsidR="00002F9F" w:rsidRDefault="00002F9F" w:rsidP="00002F9F">
            <w:pPr>
              <w:pStyle w:val="whitespace-normal"/>
            </w:pPr>
            <w:r>
              <w:t>Größte Ausdehnung</w:t>
            </w:r>
          </w:p>
        </w:tc>
        <w:tc>
          <w:tcPr>
            <w:tcW w:w="2340" w:type="pct"/>
            <w:vAlign w:val="center"/>
          </w:tcPr>
          <w:p w14:paraId="180920EE" w14:textId="56EAF83B" w:rsidR="00002F9F" w:rsidRDefault="00002F9F" w:rsidP="00002F9F">
            <w:pPr>
              <w:pStyle w:val="whitespace-normal"/>
            </w:pPr>
            <w:r>
              <w:t>Nähert sich Num 34, bleibt aber darunter</w:t>
            </w:r>
          </w:p>
        </w:tc>
      </w:tr>
      <w:tr w:rsidR="00002F9F" w14:paraId="4810EE54" w14:textId="77777777" w:rsidTr="00002F9F">
        <w:tc>
          <w:tcPr>
            <w:tcW w:w="1015" w:type="pct"/>
            <w:vAlign w:val="center"/>
          </w:tcPr>
          <w:p w14:paraId="2485FB6E" w14:textId="0F41CD9F" w:rsidR="00002F9F" w:rsidRDefault="00002F9F" w:rsidP="00002F9F">
            <w:pPr>
              <w:pStyle w:val="whitespace-normal"/>
            </w:pPr>
            <w:r>
              <w:t>Geteiltes Reich</w:t>
            </w:r>
          </w:p>
        </w:tc>
        <w:tc>
          <w:tcPr>
            <w:tcW w:w="1645" w:type="pct"/>
            <w:vAlign w:val="center"/>
          </w:tcPr>
          <w:p w14:paraId="430B8267" w14:textId="6A7A0C99" w:rsidR="00002F9F" w:rsidRDefault="00002F9F" w:rsidP="00002F9F">
            <w:pPr>
              <w:pStyle w:val="whitespace-normal"/>
            </w:pPr>
            <w:r>
              <w:t>Israel: Norden; Juda: Süden</w:t>
            </w:r>
          </w:p>
        </w:tc>
        <w:tc>
          <w:tcPr>
            <w:tcW w:w="2340" w:type="pct"/>
            <w:vAlign w:val="center"/>
          </w:tcPr>
          <w:p w14:paraId="2B968249" w14:textId="6742407E" w:rsidR="00002F9F" w:rsidRDefault="00002F9F" w:rsidP="00002F9F">
            <w:pPr>
              <w:pStyle w:val="whitespace-normal"/>
            </w:pPr>
            <w:r>
              <w:t>Deutlich kleiner als Num 34</w:t>
            </w:r>
          </w:p>
        </w:tc>
      </w:tr>
      <w:tr w:rsidR="00002F9F" w14:paraId="0BC28B53" w14:textId="77777777" w:rsidTr="00002F9F">
        <w:tc>
          <w:tcPr>
            <w:tcW w:w="1015" w:type="pct"/>
            <w:vAlign w:val="center"/>
          </w:tcPr>
          <w:p w14:paraId="4C93F51D" w14:textId="73B105BA" w:rsidR="00002F9F" w:rsidRDefault="00002F9F" w:rsidP="00002F9F">
            <w:pPr>
              <w:pStyle w:val="whitespace-normal"/>
            </w:pPr>
            <w:r>
              <w:t>Exil</w:t>
            </w:r>
          </w:p>
        </w:tc>
        <w:tc>
          <w:tcPr>
            <w:tcW w:w="1645" w:type="pct"/>
            <w:vAlign w:val="center"/>
          </w:tcPr>
          <w:p w14:paraId="632F4940" w14:textId="6935963F" w:rsidR="00002F9F" w:rsidRDefault="00002F9F" w:rsidP="00002F9F">
            <w:pPr>
              <w:pStyle w:val="whitespace-normal"/>
            </w:pPr>
            <w:r>
              <w:t>Kein Territorium</w:t>
            </w:r>
          </w:p>
        </w:tc>
        <w:tc>
          <w:tcPr>
            <w:tcW w:w="2340" w:type="pct"/>
            <w:vAlign w:val="center"/>
          </w:tcPr>
          <w:p w14:paraId="281A15C9" w14:textId="47D1DB75" w:rsidR="00002F9F" w:rsidRDefault="00002F9F" w:rsidP="00002F9F">
            <w:pPr>
              <w:pStyle w:val="whitespace-normal"/>
            </w:pPr>
            <w:r>
              <w:t>-</w:t>
            </w:r>
          </w:p>
        </w:tc>
      </w:tr>
      <w:tr w:rsidR="00002F9F" w14:paraId="49B839B9" w14:textId="77777777" w:rsidTr="00002F9F">
        <w:tc>
          <w:tcPr>
            <w:tcW w:w="1015" w:type="pct"/>
            <w:vAlign w:val="center"/>
          </w:tcPr>
          <w:p w14:paraId="4167B7AF" w14:textId="58DCF8E9" w:rsidR="00002F9F" w:rsidRDefault="00002F9F" w:rsidP="00002F9F">
            <w:pPr>
              <w:pStyle w:val="whitespace-normal"/>
            </w:pPr>
            <w:r>
              <w:t>Perserzeit</w:t>
            </w:r>
          </w:p>
        </w:tc>
        <w:tc>
          <w:tcPr>
            <w:tcW w:w="1645" w:type="pct"/>
            <w:vAlign w:val="center"/>
          </w:tcPr>
          <w:p w14:paraId="42FE87D2" w14:textId="3045E194" w:rsidR="00002F9F" w:rsidRDefault="00002F9F" w:rsidP="00002F9F">
            <w:pPr>
              <w:pStyle w:val="whitespace-normal"/>
            </w:pPr>
            <w:r>
              <w:t>Kleine Provinz Jehud</w:t>
            </w:r>
          </w:p>
        </w:tc>
        <w:tc>
          <w:tcPr>
            <w:tcW w:w="2340" w:type="pct"/>
            <w:vAlign w:val="center"/>
          </w:tcPr>
          <w:p w14:paraId="39AD5590" w14:textId="03EBC9EE" w:rsidR="00002F9F" w:rsidRDefault="00002F9F" w:rsidP="00002F9F">
            <w:pPr>
              <w:pStyle w:val="whitespace-normal"/>
            </w:pPr>
            <w:r>
              <w:t>Winzig im Vergleich zu Num 34</w:t>
            </w:r>
          </w:p>
        </w:tc>
      </w:tr>
    </w:tbl>
    <w:p w14:paraId="5B0FF99B" w14:textId="77777777" w:rsidR="00002F9F" w:rsidRDefault="00002F9F" w:rsidP="00002F9F">
      <w:pPr>
        <w:pStyle w:val="whitespace-normal"/>
      </w:pPr>
      <w:r>
        <w:rPr>
          <w:rStyle w:val="Fett"/>
        </w:rPr>
        <w:t>Schlussfolgerung:</w:t>
      </w:r>
      <w:r>
        <w:t xml:space="preserve"> Num 34 ist </w:t>
      </w:r>
      <w:r>
        <w:rPr>
          <w:rStyle w:val="Fett"/>
        </w:rPr>
        <w:t>kein historisches Dokument</w:t>
      </w:r>
      <w:r>
        <w:t xml:space="preserve">, sondern ein </w:t>
      </w:r>
      <w:r>
        <w:rPr>
          <w:rStyle w:val="Fett"/>
        </w:rPr>
        <w:t>theologisches Programm</w:t>
      </w:r>
      <w:r>
        <w:t>. Die Grenzen beschreiben nicht das, was war, sondern das, was sein sollte – die vollständige Erfüllung der Verheißung an die Väter.</w:t>
      </w:r>
    </w:p>
    <w:p w14:paraId="0EE7A087" w14:textId="7F8E4342" w:rsidR="00002F9F" w:rsidRDefault="000F7EB0" w:rsidP="00002F9F">
      <w:pPr>
        <w:pStyle w:val="berschrift4"/>
      </w:pPr>
      <w:r>
        <w:t>D</w:t>
      </w:r>
      <w:r w:rsidR="00002F9F">
        <w:t>) FUNKTION IM LITERARISCHEN KONTEXT</w:t>
      </w:r>
    </w:p>
    <w:p w14:paraId="67062020" w14:textId="77777777" w:rsidR="00002F9F" w:rsidRDefault="00002F9F" w:rsidP="00002F9F">
      <w:pPr>
        <w:pStyle w:val="whitespace-normal"/>
      </w:pPr>
      <w:r>
        <w:rPr>
          <w:rStyle w:val="Fett"/>
        </w:rPr>
        <w:t>Innerhalb des Buches Numeri:</w:t>
      </w:r>
    </w:p>
    <w:p w14:paraId="710B5798" w14:textId="77777777" w:rsidR="00002F9F" w:rsidRDefault="00002F9F" w:rsidP="00097545">
      <w:pPr>
        <w:pStyle w:val="whitespace-normal"/>
        <w:numPr>
          <w:ilvl w:val="0"/>
          <w:numId w:val="230"/>
        </w:numPr>
      </w:pPr>
      <w:r>
        <w:t>Num 33: Rückblick (Wüstenwanderung)</w:t>
      </w:r>
    </w:p>
    <w:p w14:paraId="5B2C589B" w14:textId="77777777" w:rsidR="00002F9F" w:rsidRDefault="00002F9F" w:rsidP="00097545">
      <w:pPr>
        <w:pStyle w:val="whitespace-normal"/>
        <w:numPr>
          <w:ilvl w:val="0"/>
          <w:numId w:val="230"/>
        </w:numPr>
      </w:pPr>
      <w:r>
        <w:rPr>
          <w:rStyle w:val="Fett"/>
        </w:rPr>
        <w:t>Num 34: Vorausblick (künftiges Land)</w:t>
      </w:r>
    </w:p>
    <w:p w14:paraId="4F500BD9" w14:textId="77777777" w:rsidR="00002F9F" w:rsidRDefault="00002F9F" w:rsidP="00097545">
      <w:pPr>
        <w:pStyle w:val="whitespace-normal"/>
        <w:numPr>
          <w:ilvl w:val="0"/>
          <w:numId w:val="230"/>
        </w:numPr>
      </w:pPr>
      <w:r>
        <w:t>Num 35-36: Weitere Landregelungen (Levitenstädte, Erbrecht)</w:t>
      </w:r>
    </w:p>
    <w:p w14:paraId="4CE35FFE" w14:textId="77777777" w:rsidR="00002F9F" w:rsidRDefault="00002F9F" w:rsidP="00002F9F">
      <w:pPr>
        <w:pStyle w:val="whitespace-normal"/>
      </w:pPr>
      <w:r>
        <w:rPr>
          <w:rStyle w:val="Fett"/>
        </w:rPr>
        <w:t>Innerhalb der Priesterschrift:</w:t>
      </w:r>
    </w:p>
    <w:p w14:paraId="72900E1F" w14:textId="77777777" w:rsidR="006E5787" w:rsidRDefault="00002F9F" w:rsidP="00097545">
      <w:pPr>
        <w:pStyle w:val="KeinLeerraum"/>
        <w:numPr>
          <w:ilvl w:val="0"/>
          <w:numId w:val="232"/>
        </w:numPr>
      </w:pPr>
      <w:r>
        <w:t xml:space="preserve">P strukturiert die Heilsgeschichte durch "Räume": </w:t>
      </w:r>
    </w:p>
    <w:p w14:paraId="49E67D26" w14:textId="009BC2E2" w:rsidR="00002F9F" w:rsidRPr="000F7EB0" w:rsidRDefault="00002F9F" w:rsidP="000F7EB0">
      <w:pPr>
        <w:pStyle w:val="KeinLeerraum"/>
        <w:ind w:left="1416" w:firstLine="708"/>
        <w:rPr>
          <w:b/>
          <w:bCs/>
        </w:rPr>
      </w:pPr>
      <w:r w:rsidRPr="000F7EB0">
        <w:rPr>
          <w:b/>
          <w:bCs/>
        </w:rPr>
        <w:t>Eden → Arche → Sinai → Verheißenes Land</w:t>
      </w:r>
    </w:p>
    <w:p w14:paraId="2A5BE788" w14:textId="77777777" w:rsidR="00002F9F" w:rsidRDefault="00002F9F" w:rsidP="00097545">
      <w:pPr>
        <w:pStyle w:val="KeinLeerraum"/>
        <w:numPr>
          <w:ilvl w:val="0"/>
          <w:numId w:val="232"/>
        </w:numPr>
      </w:pPr>
      <w:r>
        <w:t xml:space="preserve">Num 34 definiert den </w:t>
      </w:r>
      <w:r>
        <w:rPr>
          <w:rStyle w:val="Fett"/>
        </w:rPr>
        <w:t>finalen Raum</w:t>
      </w:r>
      <w:r>
        <w:t xml:space="preserve"> der göttlichen Gegenwart</w:t>
      </w:r>
    </w:p>
    <w:p w14:paraId="22CE263F" w14:textId="77777777" w:rsidR="00002F9F" w:rsidRDefault="00002F9F" w:rsidP="00097545">
      <w:pPr>
        <w:pStyle w:val="KeinLeerraum"/>
        <w:numPr>
          <w:ilvl w:val="0"/>
          <w:numId w:val="232"/>
        </w:numPr>
      </w:pPr>
      <w:r>
        <w:t xml:space="preserve">Das Land ist der </w:t>
      </w:r>
      <w:r>
        <w:rPr>
          <w:rStyle w:val="Fett"/>
        </w:rPr>
        <w:t>geordnete Kosmos</w:t>
      </w:r>
      <w:r>
        <w:t>, in dem Israel nach göttlichen Weisungen lebt</w:t>
      </w:r>
    </w:p>
    <w:p w14:paraId="599E108F" w14:textId="77777777" w:rsidR="00002F9F" w:rsidRDefault="00002F9F" w:rsidP="00002F9F">
      <w:pPr>
        <w:pStyle w:val="whitespace-normal"/>
      </w:pPr>
      <w:r>
        <w:rPr>
          <w:rStyle w:val="Fett"/>
        </w:rPr>
        <w:t>Innerhalb des Pentateuch:</w:t>
      </w:r>
    </w:p>
    <w:p w14:paraId="1FEE1757" w14:textId="77777777" w:rsidR="00002F9F" w:rsidRDefault="00002F9F" w:rsidP="00097545">
      <w:pPr>
        <w:pStyle w:val="whitespace-normal"/>
        <w:numPr>
          <w:ilvl w:val="0"/>
          <w:numId w:val="231"/>
        </w:numPr>
      </w:pPr>
      <w:r>
        <w:t>Gen 12,7: Erste Landverheißung an Abraham</w:t>
      </w:r>
    </w:p>
    <w:p w14:paraId="0C0232D6" w14:textId="77777777" w:rsidR="00002F9F" w:rsidRDefault="00002F9F" w:rsidP="00097545">
      <w:pPr>
        <w:pStyle w:val="whitespace-normal"/>
        <w:numPr>
          <w:ilvl w:val="0"/>
          <w:numId w:val="231"/>
        </w:numPr>
      </w:pPr>
      <w:r>
        <w:t>Ex 3,8: Verheißung des "Landes, wo Milch und Honig fließt"</w:t>
      </w:r>
    </w:p>
    <w:p w14:paraId="4B64E122" w14:textId="77777777" w:rsidR="00002F9F" w:rsidRDefault="00002F9F" w:rsidP="00097545">
      <w:pPr>
        <w:pStyle w:val="whitespace-normal"/>
        <w:numPr>
          <w:ilvl w:val="0"/>
          <w:numId w:val="231"/>
        </w:numPr>
      </w:pPr>
      <w:r>
        <w:rPr>
          <w:rStyle w:val="Fett"/>
        </w:rPr>
        <w:t>Num 34: Präzise Definition der Verheißung</w:t>
      </w:r>
    </w:p>
    <w:p w14:paraId="781DA153" w14:textId="77777777" w:rsidR="00002F9F" w:rsidRDefault="00002F9F" w:rsidP="00097545">
      <w:pPr>
        <w:pStyle w:val="whitespace-normal"/>
        <w:numPr>
          <w:ilvl w:val="0"/>
          <w:numId w:val="231"/>
        </w:numPr>
      </w:pPr>
      <w:r>
        <w:t>Dtn 34: Mose schaut das Land, betritt es aber nicht</w:t>
      </w:r>
    </w:p>
    <w:p w14:paraId="2A2709DF" w14:textId="055A8142" w:rsidR="00002F9F" w:rsidRDefault="00002F9F" w:rsidP="000F7EB0">
      <w:pPr>
        <w:pStyle w:val="whitespace-normal"/>
      </w:pPr>
      <w:r>
        <w:t>Num 34 steht kurz vor dem Ende des Pentateuch und bereitet die Landnahme vor – aber der Pentateuch endet VOR der Erfüllung (Dtn 34). Diese Spannung ist theologisch gewollt: Die Verheißung bleibt offen, auf Erfüllung wartend.</w:t>
      </w:r>
    </w:p>
    <w:p w14:paraId="5B8BD324" w14:textId="4F4EC85B" w:rsidR="002B14D4" w:rsidRPr="002B14D4" w:rsidRDefault="002B14D4" w:rsidP="00192257">
      <w:pPr>
        <w:spacing w:before="100" w:beforeAutospacing="1" w:after="100" w:afterAutospacing="1" w:line="240" w:lineRule="auto"/>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w:t>
      </w:r>
    </w:p>
    <w:p w14:paraId="1E2FE997"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וַיְדַבֵּ֧ר יְהוָ֛ה אֶל־מֹשֶׁ֖ה בְּעַֽרְבֹ֣ת מוֹאָ֑ב עַל־יַרְדֵּ֥ן יְרֵח֖וֹ לֵאמֹֽר׃</w:t>
      </w:r>
    </w:p>
    <w:p w14:paraId="2F2113B5"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lastRenderedPageBreak/>
        <w:t>Deutsch:</w:t>
      </w:r>
      <w:r w:rsidRPr="002B14D4">
        <w:rPr>
          <w:rFonts w:eastAsia="Times New Roman" w:cs="Times New Roman"/>
          <w:lang w:eastAsia="de-DE"/>
        </w:rPr>
        <w:t xml:space="preserve"> Und der Ewige redete zu Mosche in den Ebenen von Mo'av am Jarden Jerechos, sagend:</w:t>
      </w:r>
    </w:p>
    <w:p w14:paraId="22FDD608"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14637DDB">
          <v:rect id="_x0000_i2061" style="width:0;height:1.5pt" o:hralign="center" o:hrstd="t" o:hr="t" fillcolor="#a0a0a0" stroked="f"/>
        </w:pict>
      </w:r>
    </w:p>
    <w:p w14:paraId="0A99C9A3" w14:textId="200F599D" w:rsidR="002B14D4" w:rsidRPr="002B14D4" w:rsidRDefault="002B14D4" w:rsidP="00E031B3">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Standard-Redeeinleitung mit Ortsangabe. </w:t>
      </w:r>
      <w:r w:rsidRPr="002B14D4">
        <w:rPr>
          <w:rFonts w:eastAsia="Times New Roman" w:cs="Times New Roman"/>
          <w:b/>
          <w:bCs/>
          <w:rtl/>
          <w:lang w:eastAsia="de-DE"/>
        </w:rPr>
        <w:t>וַיְדַבֵּר יְהוָה אֶל־מֹשֶׁה</w:t>
      </w:r>
      <w:r w:rsidRPr="002B14D4">
        <w:rPr>
          <w:rFonts w:eastAsia="Times New Roman" w:cs="Times New Roman"/>
          <w:rtl/>
          <w:lang w:eastAsia="de-DE"/>
        </w:rPr>
        <w:t xml:space="preserve"> </w:t>
      </w:r>
      <w:r w:rsidRPr="002B14D4">
        <w:rPr>
          <w:rFonts w:eastAsia="Times New Roman" w:cs="Times New Roman"/>
          <w:lang w:eastAsia="de-DE"/>
        </w:rPr>
        <w:t xml:space="preserve">(Piel Wayyiqtol von </w:t>
      </w:r>
      <w:r w:rsidRPr="002B14D4">
        <w:rPr>
          <w:rFonts w:eastAsia="Times New Roman" w:cs="Times New Roman"/>
          <w:b/>
          <w:bCs/>
          <w:rtl/>
          <w:lang w:eastAsia="de-DE"/>
        </w:rPr>
        <w:t>דבר</w:t>
      </w:r>
      <w:r w:rsidRPr="002B14D4">
        <w:rPr>
          <w:rFonts w:eastAsia="Times New Roman" w:cs="Times New Roman"/>
          <w:rtl/>
          <w:lang w:eastAsia="de-DE"/>
        </w:rPr>
        <w:t xml:space="preserve"> </w:t>
      </w:r>
      <w:r w:rsidRPr="002B14D4">
        <w:rPr>
          <w:rFonts w:eastAsia="Times New Roman" w:cs="Times New Roman"/>
          <w:lang w:eastAsia="de-DE"/>
        </w:rPr>
        <w:t xml:space="preserve">„reden" mit Tetragramm als Subjekt und Präposition mit Mose). </w:t>
      </w:r>
      <w:r w:rsidRPr="002B14D4">
        <w:rPr>
          <w:rFonts w:eastAsia="Times New Roman" w:cs="Times New Roman"/>
          <w:b/>
          <w:bCs/>
          <w:rtl/>
          <w:lang w:eastAsia="de-DE"/>
        </w:rPr>
        <w:t>בְּעַרְבֹת מוֹאָב עַל־יַרְדֵּן יְרֵחוֹ</w:t>
      </w:r>
      <w:r w:rsidRPr="002B14D4">
        <w:rPr>
          <w:rFonts w:eastAsia="Times New Roman" w:cs="Times New Roman"/>
          <w:rtl/>
          <w:lang w:eastAsia="de-DE"/>
        </w:rPr>
        <w:t xml:space="preserve"> </w:t>
      </w:r>
      <w:r w:rsidRPr="002B14D4">
        <w:rPr>
          <w:rFonts w:eastAsia="Times New Roman" w:cs="Times New Roman"/>
          <w:lang w:eastAsia="de-DE"/>
        </w:rPr>
        <w:t xml:space="preserve">ist die Ortsangabe: </w:t>
      </w:r>
      <w:r w:rsidRPr="002B14D4">
        <w:rPr>
          <w:rFonts w:eastAsia="Times New Roman" w:cs="Times New Roman"/>
          <w:b/>
          <w:bCs/>
          <w:rtl/>
          <w:lang w:eastAsia="de-DE"/>
        </w:rPr>
        <w:t>בְּעַרְבֹת מוֹאָב</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בְ</w:t>
      </w:r>
      <w:r w:rsidRPr="002B14D4">
        <w:rPr>
          <w:rFonts w:eastAsia="Times New Roman" w:cs="Times New Roman"/>
          <w:rtl/>
          <w:lang w:eastAsia="de-DE"/>
        </w:rPr>
        <w:t xml:space="preserve"> </w:t>
      </w:r>
      <w:r w:rsidRPr="002B14D4">
        <w:rPr>
          <w:rFonts w:eastAsia="Times New Roman" w:cs="Times New Roman"/>
          <w:lang w:eastAsia="de-DE"/>
        </w:rPr>
        <w:t xml:space="preserve">mit Plural </w:t>
      </w:r>
      <w:r w:rsidR="00E031B3">
        <w:rPr>
          <w:rFonts w:eastAsia="Times New Roman" w:cs="Times New Roman"/>
          <w:lang w:eastAsia="de-DE"/>
        </w:rPr>
        <w:t>Constructus von</w:t>
      </w:r>
      <w:r w:rsidRPr="002B14D4">
        <w:rPr>
          <w:rFonts w:eastAsia="Times New Roman" w:cs="Times New Roman"/>
          <w:lang w:eastAsia="de-DE"/>
        </w:rPr>
        <w:t xml:space="preserve"> </w:t>
      </w:r>
      <w:r w:rsidRPr="002B14D4">
        <w:rPr>
          <w:rFonts w:eastAsia="Times New Roman" w:cs="Times New Roman"/>
          <w:b/>
          <w:bCs/>
          <w:rtl/>
          <w:lang w:eastAsia="de-DE"/>
        </w:rPr>
        <w:t>עֲרָבָה</w:t>
      </w:r>
      <w:r w:rsidRPr="002B14D4">
        <w:rPr>
          <w:rFonts w:eastAsia="Times New Roman" w:cs="Times New Roman"/>
          <w:rtl/>
          <w:lang w:eastAsia="de-DE"/>
        </w:rPr>
        <w:t xml:space="preserve"> </w:t>
      </w:r>
      <w:r w:rsidRPr="002B14D4">
        <w:rPr>
          <w:rFonts w:eastAsia="Times New Roman" w:cs="Times New Roman"/>
          <w:lang w:eastAsia="de-DE"/>
        </w:rPr>
        <w:t xml:space="preserve">„Ebene, Steppe" und </w:t>
      </w:r>
      <w:r w:rsidRPr="002B14D4">
        <w:rPr>
          <w:rFonts w:eastAsia="Times New Roman" w:cs="Times New Roman"/>
          <w:b/>
          <w:bCs/>
          <w:rtl/>
          <w:lang w:eastAsia="de-DE"/>
        </w:rPr>
        <w:t>מוֹאָב</w:t>
      </w:r>
      <w:r w:rsidRPr="002B14D4">
        <w:rPr>
          <w:rFonts w:eastAsia="Times New Roman" w:cs="Times New Roman"/>
          <w:rtl/>
          <w:lang w:eastAsia="de-DE"/>
        </w:rPr>
        <w:t xml:space="preserve"> </w:t>
      </w:r>
      <w:r w:rsidRPr="002B14D4">
        <w:rPr>
          <w:rFonts w:eastAsia="Times New Roman" w:cs="Times New Roman"/>
          <w:lang w:eastAsia="de-DE"/>
        </w:rPr>
        <w:t xml:space="preserve">„in den Ebenen Moabs"), </w:t>
      </w:r>
      <w:r w:rsidRPr="002B14D4">
        <w:rPr>
          <w:rFonts w:eastAsia="Times New Roman" w:cs="Times New Roman"/>
          <w:b/>
          <w:bCs/>
          <w:rtl/>
          <w:lang w:eastAsia="de-DE"/>
        </w:rPr>
        <w:t>עַל־יַרְדֵּן יְרֵחוֹ</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עַל</w:t>
      </w:r>
      <w:r w:rsidRPr="002B14D4">
        <w:rPr>
          <w:rFonts w:eastAsia="Times New Roman" w:cs="Times New Roman"/>
          <w:rtl/>
          <w:lang w:eastAsia="de-DE"/>
        </w:rPr>
        <w:t xml:space="preserve"> </w:t>
      </w:r>
      <w:r w:rsidRPr="002B14D4">
        <w:rPr>
          <w:rFonts w:eastAsia="Times New Roman" w:cs="Times New Roman"/>
          <w:lang w:eastAsia="de-DE"/>
        </w:rPr>
        <w:t xml:space="preserve">„an, bei" mit </w:t>
      </w:r>
      <w:r w:rsidRPr="002B14D4">
        <w:rPr>
          <w:rFonts w:eastAsia="Times New Roman" w:cs="Times New Roman"/>
          <w:b/>
          <w:bCs/>
          <w:rtl/>
          <w:lang w:eastAsia="de-DE"/>
        </w:rPr>
        <w:t>יַרְדֵּן יְרֵחוֹ</w:t>
      </w:r>
      <w:r w:rsidRPr="002B14D4">
        <w:rPr>
          <w:rFonts w:eastAsia="Times New Roman" w:cs="Times New Roman"/>
          <w:rtl/>
          <w:lang w:eastAsia="de-DE"/>
        </w:rPr>
        <w:t xml:space="preserve"> </w:t>
      </w:r>
      <w:r w:rsidRPr="002B14D4">
        <w:rPr>
          <w:rFonts w:eastAsia="Times New Roman" w:cs="Times New Roman"/>
          <w:lang w:eastAsia="de-DE"/>
        </w:rPr>
        <w:t>„Jordan von Jericho"). Diese Ortsangabe erscheint wiederholt in den letzten Kapiteln (33,48-50; 34,13) - der Ort der letzten göttlichen Offenbarungen vor Moses Tod.</w:t>
      </w:r>
    </w:p>
    <w:p w14:paraId="48D931FB"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ist eine Standard-Redeeinleitung mit präziser geographischer Lokalisierung.</w:t>
      </w:r>
    </w:p>
    <w:p w14:paraId="4F5F33C3"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Der Vers leitet eine neue göttliche Anweisung ein - diesmal über die Städte der Leviten und die Zufluchtsstädte.</w:t>
      </w:r>
    </w:p>
    <w:p w14:paraId="1251A7EB"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35,2</w:t>
      </w:r>
    </w:p>
    <w:p w14:paraId="61A3A14F"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צַו֮ אֶת־בְּנֵ֣י יִשְׂרָאֵל֒ וְנָתְנ֣וּ לַלְוִיִּ֗ם מִֽנַּחֲלַ֛ת אֲחֻזָּתָ֖ם עָרִ֣ים לָשָׁ֑בֶת וּמִגְרָ֗שׁ לֶֽעָרִים֙ סְבִיבֹ֣תֵיהֶ֔ם תִּתְּנ֖וּ לַלְוִיִּֽם׃</w:t>
      </w:r>
    </w:p>
    <w:p w14:paraId="5D7043B7"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Befiehl den Söhnen Jisra'el, dass sie von ihrem Erbbesitz den Levijim Städte zum Wohnen geben; und Weideplätze zu den Städten ringsum sie sollt ihr den Levijim geben.</w:t>
      </w:r>
    </w:p>
    <w:p w14:paraId="36E2B286"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47DFE5A4">
          <v:rect id="_x0000_i2062" style="width:0;height:1.5pt" o:hralign="center" o:hrstd="t" o:hr="t" fillcolor="#a0a0a0" stroked="f"/>
        </w:pict>
      </w:r>
    </w:p>
    <w:p w14:paraId="31E79FDD" w14:textId="556815BF"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befiehlt die Zuweisung von </w:t>
      </w:r>
      <w:r w:rsidR="00192257" w:rsidRPr="002B14D4">
        <w:rPr>
          <w:rFonts w:eastAsia="Times New Roman" w:cs="Times New Roman"/>
          <w:lang w:eastAsia="de-DE"/>
        </w:rPr>
        <w:t>Levit</w:t>
      </w:r>
      <w:r w:rsidR="00192257">
        <w:rPr>
          <w:rFonts w:eastAsia="Times New Roman" w:cs="Times New Roman"/>
          <w:lang w:eastAsia="de-DE"/>
        </w:rPr>
        <w:t>en</w:t>
      </w:r>
      <w:r w:rsidR="00192257" w:rsidRPr="002B14D4">
        <w:rPr>
          <w:rFonts w:eastAsia="Times New Roman" w:cs="Times New Roman"/>
          <w:lang w:eastAsia="de-DE"/>
        </w:rPr>
        <w:t>städte</w:t>
      </w:r>
      <w:r w:rsidRPr="002B14D4">
        <w:rPr>
          <w:rFonts w:eastAsia="Times New Roman" w:cs="Times New Roman"/>
          <w:lang w:eastAsia="de-DE"/>
        </w:rPr>
        <w:t xml:space="preserve">. </w:t>
      </w:r>
      <w:r w:rsidRPr="002B14D4">
        <w:rPr>
          <w:rFonts w:eastAsia="Times New Roman" w:cs="Times New Roman"/>
          <w:b/>
          <w:bCs/>
          <w:rtl/>
          <w:lang w:eastAsia="de-DE"/>
        </w:rPr>
        <w:t>צַו אֶת־בְּנֵי יִשְׂרָאֵל</w:t>
      </w:r>
      <w:r w:rsidRPr="002B14D4">
        <w:rPr>
          <w:rFonts w:eastAsia="Times New Roman" w:cs="Times New Roman"/>
          <w:rtl/>
          <w:lang w:eastAsia="de-DE"/>
        </w:rPr>
        <w:t xml:space="preserve"> </w:t>
      </w:r>
      <w:r w:rsidRPr="002B14D4">
        <w:rPr>
          <w:rFonts w:eastAsia="Times New Roman" w:cs="Times New Roman"/>
          <w:lang w:eastAsia="de-DE"/>
        </w:rPr>
        <w:t xml:space="preserve">ist die Aufforderung an Mose (Piel Imperativ von </w:t>
      </w:r>
      <w:r w:rsidRPr="002B14D4">
        <w:rPr>
          <w:rFonts w:eastAsia="Times New Roman" w:cs="Times New Roman"/>
          <w:b/>
          <w:bCs/>
          <w:rtl/>
          <w:lang w:eastAsia="de-DE"/>
        </w:rPr>
        <w:t>צוה</w:t>
      </w:r>
      <w:r w:rsidRPr="002B14D4">
        <w:rPr>
          <w:rFonts w:eastAsia="Times New Roman" w:cs="Times New Roman"/>
          <w:rtl/>
          <w:lang w:eastAsia="de-DE"/>
        </w:rPr>
        <w:t xml:space="preserve"> </w:t>
      </w:r>
      <w:r w:rsidRPr="002B14D4">
        <w:rPr>
          <w:rFonts w:eastAsia="Times New Roman" w:cs="Times New Roman"/>
          <w:lang w:eastAsia="de-DE"/>
        </w:rPr>
        <w:t xml:space="preserve">„befehlen"). </w:t>
      </w:r>
      <w:r w:rsidRPr="002B14D4">
        <w:rPr>
          <w:rFonts w:eastAsia="Times New Roman" w:cs="Times New Roman"/>
          <w:b/>
          <w:bCs/>
          <w:rtl/>
          <w:lang w:eastAsia="de-DE"/>
        </w:rPr>
        <w:t>וְנָתְנוּ לַלְוִיִּם מִנַּחֲלַת אֲחֻזָּתָם עָרִים לָשָׁבֶת</w:t>
      </w:r>
      <w:r w:rsidRPr="002B14D4">
        <w:rPr>
          <w:rFonts w:eastAsia="Times New Roman" w:cs="Times New Roman"/>
          <w:rtl/>
          <w:lang w:eastAsia="de-DE"/>
        </w:rPr>
        <w:t xml:space="preserve"> </w:t>
      </w:r>
      <w:r w:rsidRPr="002B14D4">
        <w:rPr>
          <w:rFonts w:eastAsia="Times New Roman" w:cs="Times New Roman"/>
          <w:lang w:eastAsia="de-DE"/>
        </w:rPr>
        <w:t xml:space="preserve">ist die Hauptanweisung. </w:t>
      </w:r>
      <w:r w:rsidRPr="002B14D4">
        <w:rPr>
          <w:rFonts w:eastAsia="Times New Roman" w:cs="Times New Roman"/>
          <w:b/>
          <w:bCs/>
          <w:rtl/>
          <w:lang w:eastAsia="de-DE"/>
        </w:rPr>
        <w:t>וְנָתְנוּ</w:t>
      </w:r>
      <w:r w:rsidRPr="002B14D4">
        <w:rPr>
          <w:rFonts w:eastAsia="Times New Roman" w:cs="Times New Roman"/>
          <w:rtl/>
          <w:lang w:eastAsia="de-DE"/>
        </w:rPr>
        <w:t xml:space="preserve"> </w:t>
      </w:r>
      <w:r w:rsidRPr="002B14D4">
        <w:rPr>
          <w:rFonts w:eastAsia="Times New Roman" w:cs="Times New Roman"/>
          <w:lang w:eastAsia="de-DE"/>
        </w:rPr>
        <w:t xml:space="preserve">(Qal Perfekt 3. Person Plural mit Waw consecutivum von </w:t>
      </w:r>
      <w:r w:rsidRPr="002B14D4">
        <w:rPr>
          <w:rFonts w:eastAsia="Times New Roman" w:cs="Times New Roman"/>
          <w:b/>
          <w:bCs/>
          <w:rtl/>
          <w:lang w:eastAsia="de-DE"/>
        </w:rPr>
        <w:t>נתן</w:t>
      </w:r>
      <w:r w:rsidRPr="002B14D4">
        <w:rPr>
          <w:rFonts w:eastAsia="Times New Roman" w:cs="Times New Roman"/>
          <w:rtl/>
          <w:lang w:eastAsia="de-DE"/>
        </w:rPr>
        <w:t xml:space="preserve"> </w:t>
      </w:r>
      <w:r w:rsidRPr="002B14D4">
        <w:rPr>
          <w:rFonts w:eastAsia="Times New Roman" w:cs="Times New Roman"/>
          <w:lang w:eastAsia="de-DE"/>
        </w:rPr>
        <w:t xml:space="preserve">„geben"), </w:t>
      </w:r>
      <w:r w:rsidRPr="002B14D4">
        <w:rPr>
          <w:rFonts w:eastAsia="Times New Roman" w:cs="Times New Roman"/>
          <w:b/>
          <w:bCs/>
          <w:rtl/>
          <w:lang w:eastAsia="de-DE"/>
        </w:rPr>
        <w:t>לַלְוִיִּם</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לְוִיִּם</w:t>
      </w:r>
      <w:r w:rsidRPr="002B14D4">
        <w:rPr>
          <w:rFonts w:eastAsia="Times New Roman" w:cs="Times New Roman"/>
          <w:rtl/>
          <w:lang w:eastAsia="de-DE"/>
        </w:rPr>
        <w:t xml:space="preserve"> </w:t>
      </w:r>
      <w:r w:rsidRPr="002B14D4">
        <w:rPr>
          <w:rFonts w:eastAsia="Times New Roman" w:cs="Times New Roman"/>
          <w:lang w:eastAsia="de-DE"/>
        </w:rPr>
        <w:t xml:space="preserve">„Leviten" mit Artikel „den Leviten"), </w:t>
      </w:r>
      <w:r w:rsidRPr="002B14D4">
        <w:rPr>
          <w:rFonts w:eastAsia="Times New Roman" w:cs="Times New Roman"/>
          <w:b/>
          <w:bCs/>
          <w:rtl/>
          <w:lang w:eastAsia="de-DE"/>
        </w:rPr>
        <w:t>מִנַּחֲלַת אֲחֻזָּתָם</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מִן</w:t>
      </w:r>
      <w:r w:rsidRPr="002B14D4">
        <w:rPr>
          <w:rFonts w:eastAsia="Times New Roman" w:cs="Times New Roman"/>
          <w:rtl/>
          <w:lang w:eastAsia="de-DE"/>
        </w:rPr>
        <w:t xml:space="preserve"> </w:t>
      </w:r>
      <w:r w:rsidRPr="002B14D4">
        <w:rPr>
          <w:rFonts w:eastAsia="Times New Roman" w:cs="Times New Roman"/>
          <w:lang w:eastAsia="de-DE"/>
        </w:rPr>
        <w:t>mit Doppel-</w:t>
      </w:r>
      <w:r w:rsidR="00B513FF">
        <w:rPr>
          <w:rFonts w:eastAsia="Times New Roman" w:cs="Times New Roman"/>
          <w:lang w:eastAsia="de-DE"/>
        </w:rPr>
        <w:t>Constructus</w:t>
      </w:r>
      <w:r w:rsidRPr="002B14D4">
        <w:rPr>
          <w:rFonts w:eastAsia="Times New Roman" w:cs="Times New Roman"/>
          <w:lang w:eastAsia="de-DE"/>
        </w:rPr>
        <w:t xml:space="preserve">: </w:t>
      </w:r>
      <w:r w:rsidRPr="002B14D4">
        <w:rPr>
          <w:rFonts w:eastAsia="Times New Roman" w:cs="Times New Roman"/>
          <w:b/>
          <w:bCs/>
          <w:rtl/>
          <w:lang w:eastAsia="de-DE"/>
        </w:rPr>
        <w:t>נַחֲלָה</w:t>
      </w:r>
      <w:r w:rsidRPr="002B14D4">
        <w:rPr>
          <w:rFonts w:eastAsia="Times New Roman" w:cs="Times New Roman"/>
          <w:rtl/>
          <w:lang w:eastAsia="de-DE"/>
        </w:rPr>
        <w:t xml:space="preserve"> </w:t>
      </w:r>
      <w:r w:rsidRPr="002B14D4">
        <w:rPr>
          <w:rFonts w:eastAsia="Times New Roman" w:cs="Times New Roman"/>
          <w:lang w:eastAsia="de-DE"/>
        </w:rPr>
        <w:t xml:space="preserve">„Erbteil" im </w:t>
      </w:r>
      <w:r w:rsidR="00B513FF">
        <w:rPr>
          <w:rFonts w:eastAsia="Times New Roman" w:cs="Times New Roman"/>
          <w:lang w:eastAsia="de-DE"/>
        </w:rPr>
        <w:t xml:space="preserve">Constructus </w:t>
      </w:r>
      <w:r w:rsidRPr="002B14D4">
        <w:rPr>
          <w:rFonts w:eastAsia="Times New Roman" w:cs="Times New Roman"/>
          <w:lang w:eastAsia="de-DE"/>
        </w:rPr>
        <w:t xml:space="preserve">mit </w:t>
      </w:r>
      <w:r w:rsidRPr="002B14D4">
        <w:rPr>
          <w:rFonts w:eastAsia="Times New Roman" w:cs="Times New Roman"/>
          <w:b/>
          <w:bCs/>
          <w:rtl/>
          <w:lang w:eastAsia="de-DE"/>
        </w:rPr>
        <w:t>אֲחֻזָּה</w:t>
      </w:r>
      <w:r w:rsidRPr="002B14D4">
        <w:rPr>
          <w:rFonts w:eastAsia="Times New Roman" w:cs="Times New Roman"/>
          <w:rtl/>
          <w:lang w:eastAsia="de-DE"/>
        </w:rPr>
        <w:t xml:space="preserve"> </w:t>
      </w:r>
      <w:r w:rsidRPr="002B14D4">
        <w:rPr>
          <w:rFonts w:eastAsia="Times New Roman" w:cs="Times New Roman"/>
          <w:lang w:eastAsia="de-DE"/>
        </w:rPr>
        <w:t xml:space="preserve">„Besitz" und Suffix 3. Person Plural „von ihrem Erbbesitz"), </w:t>
      </w:r>
      <w:r w:rsidRPr="002B14D4">
        <w:rPr>
          <w:rFonts w:eastAsia="Times New Roman" w:cs="Times New Roman"/>
          <w:b/>
          <w:bCs/>
          <w:rtl/>
          <w:lang w:eastAsia="de-DE"/>
        </w:rPr>
        <w:t>עָרִים לָשָׁבֶת</w:t>
      </w:r>
      <w:r w:rsidRPr="002B14D4">
        <w:rPr>
          <w:rFonts w:eastAsia="Times New Roman" w:cs="Times New Roman"/>
          <w:rtl/>
          <w:lang w:eastAsia="de-DE"/>
        </w:rPr>
        <w:t xml:space="preserve"> </w:t>
      </w:r>
      <w:r w:rsidRPr="002B14D4">
        <w:rPr>
          <w:rFonts w:eastAsia="Times New Roman" w:cs="Times New Roman"/>
          <w:lang w:eastAsia="de-DE"/>
        </w:rPr>
        <w:t xml:space="preserve">(Plural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 xml:space="preserve">„Städte" und 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mit Qal Infinitiv </w:t>
      </w:r>
      <w:r w:rsidR="00B513FF">
        <w:rPr>
          <w:rFonts w:eastAsia="Times New Roman" w:cs="Times New Roman"/>
          <w:lang w:eastAsia="de-DE"/>
        </w:rPr>
        <w:t xml:space="preserve">Constructus </w:t>
      </w:r>
      <w:r w:rsidRPr="002B14D4">
        <w:rPr>
          <w:rFonts w:eastAsia="Times New Roman" w:cs="Times New Roman"/>
          <w:lang w:eastAsia="de-DE"/>
        </w:rPr>
        <w:t xml:space="preserve">von </w:t>
      </w:r>
      <w:r w:rsidRPr="002B14D4">
        <w:rPr>
          <w:rFonts w:eastAsia="Times New Roman" w:cs="Times New Roman"/>
          <w:b/>
          <w:bCs/>
          <w:rtl/>
          <w:lang w:eastAsia="de-DE"/>
        </w:rPr>
        <w:t>ישׁב</w:t>
      </w:r>
      <w:r w:rsidRPr="002B14D4">
        <w:rPr>
          <w:rFonts w:eastAsia="Times New Roman" w:cs="Times New Roman"/>
          <w:rtl/>
          <w:lang w:eastAsia="de-DE"/>
        </w:rPr>
        <w:t xml:space="preserve"> </w:t>
      </w:r>
      <w:r w:rsidRPr="002B14D4">
        <w:rPr>
          <w:rFonts w:eastAsia="Times New Roman" w:cs="Times New Roman"/>
          <w:lang w:eastAsia="de-DE"/>
        </w:rPr>
        <w:t>„wohnen" „Städte zum Wohnen").</w:t>
      </w:r>
    </w:p>
    <w:p w14:paraId="1DECAB5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rtl/>
          <w:lang w:eastAsia="de-DE"/>
        </w:rPr>
        <w:t>וּמִגְרָשׁ לֶעָרִים סְבִיבֹתֵיהֶם תִּתְּנוּ לַלְוִיִּם</w:t>
      </w:r>
      <w:r w:rsidRPr="002B14D4">
        <w:rPr>
          <w:rFonts w:eastAsia="Times New Roman" w:cs="Times New Roman"/>
          <w:rtl/>
          <w:lang w:eastAsia="de-DE"/>
        </w:rPr>
        <w:t xml:space="preserve"> </w:t>
      </w:r>
      <w:r w:rsidRPr="002B14D4">
        <w:rPr>
          <w:rFonts w:eastAsia="Times New Roman" w:cs="Times New Roman"/>
          <w:lang w:eastAsia="de-DE"/>
        </w:rPr>
        <w:t xml:space="preserve">fügt die Weideplätze hinzu. </w:t>
      </w:r>
      <w:r w:rsidRPr="002B14D4">
        <w:rPr>
          <w:rFonts w:eastAsia="Times New Roman" w:cs="Times New Roman"/>
          <w:b/>
          <w:bCs/>
          <w:rtl/>
          <w:lang w:eastAsia="de-DE"/>
        </w:rPr>
        <w:t>וּמִגְרָשׁ</w:t>
      </w:r>
      <w:r w:rsidRPr="002B14D4">
        <w:rPr>
          <w:rFonts w:eastAsia="Times New Roman" w:cs="Times New Roman"/>
          <w:rtl/>
          <w:lang w:eastAsia="de-DE"/>
        </w:rPr>
        <w:t xml:space="preserve"> </w:t>
      </w:r>
      <w:r w:rsidRPr="002B14D4">
        <w:rPr>
          <w:rFonts w:eastAsia="Times New Roman" w:cs="Times New Roman"/>
          <w:lang w:eastAsia="de-DE"/>
        </w:rPr>
        <w:t xml:space="preserve">(Konjunktion mit </w:t>
      </w:r>
      <w:r w:rsidRPr="002B14D4">
        <w:rPr>
          <w:rFonts w:eastAsia="Times New Roman" w:cs="Times New Roman"/>
          <w:b/>
          <w:bCs/>
          <w:rtl/>
          <w:lang w:eastAsia="de-DE"/>
        </w:rPr>
        <w:t>מִגְרָשׁ</w:t>
      </w:r>
      <w:r w:rsidRPr="002B14D4">
        <w:rPr>
          <w:rFonts w:eastAsia="Times New Roman" w:cs="Times New Roman"/>
          <w:rtl/>
          <w:lang w:eastAsia="de-DE"/>
        </w:rPr>
        <w:t xml:space="preserve"> </w:t>
      </w:r>
      <w:r w:rsidRPr="002B14D4">
        <w:rPr>
          <w:rFonts w:eastAsia="Times New Roman" w:cs="Times New Roman"/>
          <w:lang w:eastAsia="de-DE"/>
        </w:rPr>
        <w:t xml:space="preserve">„Weideplatz, Weidegebiet" - von </w:t>
      </w:r>
      <w:r w:rsidRPr="002B14D4">
        <w:rPr>
          <w:rFonts w:eastAsia="Times New Roman" w:cs="Times New Roman"/>
          <w:b/>
          <w:bCs/>
          <w:rtl/>
          <w:lang w:eastAsia="de-DE"/>
        </w:rPr>
        <w:t>גרשׁ</w:t>
      </w:r>
      <w:r w:rsidRPr="002B14D4">
        <w:rPr>
          <w:rFonts w:eastAsia="Times New Roman" w:cs="Times New Roman"/>
          <w:rtl/>
          <w:lang w:eastAsia="de-DE"/>
        </w:rPr>
        <w:t xml:space="preserve"> </w:t>
      </w:r>
      <w:r w:rsidRPr="002B14D4">
        <w:rPr>
          <w:rFonts w:eastAsia="Times New Roman" w:cs="Times New Roman"/>
          <w:lang w:eastAsia="de-DE"/>
        </w:rPr>
        <w:t xml:space="preserve">„vertreiben, hinaustreiben"), </w:t>
      </w:r>
      <w:r w:rsidRPr="002B14D4">
        <w:rPr>
          <w:rFonts w:eastAsia="Times New Roman" w:cs="Times New Roman"/>
          <w:b/>
          <w:bCs/>
          <w:rtl/>
          <w:lang w:eastAsia="de-DE"/>
        </w:rPr>
        <w:t>לֶעָרִים סְבִיבֹתֵיהֶם</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mit Plural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 xml:space="preserve">mit Artikel und Plural von </w:t>
      </w:r>
      <w:r w:rsidRPr="002B14D4">
        <w:rPr>
          <w:rFonts w:eastAsia="Times New Roman" w:cs="Times New Roman"/>
          <w:b/>
          <w:bCs/>
          <w:rtl/>
          <w:lang w:eastAsia="de-DE"/>
        </w:rPr>
        <w:t>סָבִיב</w:t>
      </w:r>
      <w:r w:rsidRPr="002B14D4">
        <w:rPr>
          <w:rFonts w:eastAsia="Times New Roman" w:cs="Times New Roman"/>
          <w:rtl/>
          <w:lang w:eastAsia="de-DE"/>
        </w:rPr>
        <w:t xml:space="preserve"> </w:t>
      </w:r>
      <w:r w:rsidRPr="002B14D4">
        <w:rPr>
          <w:rFonts w:eastAsia="Times New Roman" w:cs="Times New Roman"/>
          <w:lang w:eastAsia="de-DE"/>
        </w:rPr>
        <w:t xml:space="preserve">„ringsum" mit Suffix „zu den Städten ringsum sie"), </w:t>
      </w:r>
      <w:r w:rsidRPr="002B14D4">
        <w:rPr>
          <w:rFonts w:eastAsia="Times New Roman" w:cs="Times New Roman"/>
          <w:b/>
          <w:bCs/>
          <w:rtl/>
          <w:lang w:eastAsia="de-DE"/>
        </w:rPr>
        <w:t>תִּתְּנוּ לַלְוִיִּם</w:t>
      </w:r>
      <w:r w:rsidRPr="002B14D4">
        <w:rPr>
          <w:rFonts w:eastAsia="Times New Roman" w:cs="Times New Roman"/>
          <w:rtl/>
          <w:lang w:eastAsia="de-DE"/>
        </w:rPr>
        <w:t xml:space="preserve"> </w:t>
      </w:r>
      <w:r w:rsidRPr="002B14D4">
        <w:rPr>
          <w:rFonts w:eastAsia="Times New Roman" w:cs="Times New Roman"/>
          <w:lang w:eastAsia="de-DE"/>
        </w:rPr>
        <w:t xml:space="preserve">(Qal Imperfekt 2. Person Plural von </w:t>
      </w:r>
      <w:r w:rsidRPr="002B14D4">
        <w:rPr>
          <w:rFonts w:eastAsia="Times New Roman" w:cs="Times New Roman"/>
          <w:b/>
          <w:bCs/>
          <w:rtl/>
          <w:lang w:eastAsia="de-DE"/>
        </w:rPr>
        <w:t>נתן</w:t>
      </w:r>
      <w:r w:rsidRPr="002B14D4">
        <w:rPr>
          <w:rFonts w:eastAsia="Times New Roman" w:cs="Times New Roman"/>
          <w:rtl/>
          <w:lang w:eastAsia="de-DE"/>
        </w:rPr>
        <w:t xml:space="preserve"> </w:t>
      </w:r>
      <w:r w:rsidRPr="002B14D4">
        <w:rPr>
          <w:rFonts w:eastAsia="Times New Roman" w:cs="Times New Roman"/>
          <w:lang w:eastAsia="de-DE"/>
        </w:rPr>
        <w:t xml:space="preserve">mit Präposition und </w:t>
      </w:r>
      <w:r w:rsidRPr="002B14D4">
        <w:rPr>
          <w:rFonts w:eastAsia="Times New Roman" w:cs="Times New Roman"/>
          <w:b/>
          <w:bCs/>
          <w:rtl/>
          <w:lang w:eastAsia="de-DE"/>
        </w:rPr>
        <w:t>לְוִיִּם</w:t>
      </w:r>
      <w:r w:rsidRPr="002B14D4">
        <w:rPr>
          <w:rFonts w:eastAsia="Times New Roman" w:cs="Times New Roman"/>
          <w:rtl/>
          <w:lang w:eastAsia="de-DE"/>
        </w:rPr>
        <w:t xml:space="preserve"> </w:t>
      </w:r>
      <w:r w:rsidRPr="002B14D4">
        <w:rPr>
          <w:rFonts w:eastAsia="Times New Roman" w:cs="Times New Roman"/>
          <w:lang w:eastAsia="de-DE"/>
        </w:rPr>
        <w:t>mit Artikel).</w:t>
      </w:r>
    </w:p>
    <w:p w14:paraId="73B0D21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einen Imperativ an Mose, gefolgt von zwei koordinierten Anweisungen über Städte und Weideplätze.</w:t>
      </w:r>
    </w:p>
    <w:p w14:paraId="6177C87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Der Vers regelt die territoriale Versorgung der Leviten: Da sie kein eigenes Stammesgebiet erhalten (wie in 18,20-24 festgelegt), sollen sie Städte zum Wohnen und umgebende Weideplätze für ihr Vieh erhalten - eine praktische Lösung für den priesterlichen Stamm.</w:t>
      </w:r>
    </w:p>
    <w:p w14:paraId="4B51710A"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35,3</w:t>
      </w:r>
    </w:p>
    <w:p w14:paraId="0E6A6C3F"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lastRenderedPageBreak/>
        <w:t>Hebräisch:</w:t>
      </w:r>
      <w:r w:rsidRPr="002B14D4">
        <w:rPr>
          <w:rFonts w:eastAsia="Times New Roman" w:cs="Times New Roman"/>
          <w:lang w:eastAsia="de-DE"/>
        </w:rPr>
        <w:t xml:space="preserve"> </w:t>
      </w:r>
      <w:r w:rsidRPr="002B14D4">
        <w:rPr>
          <w:rFonts w:eastAsia="Times New Roman" w:cs="Times New Roman"/>
          <w:rtl/>
          <w:lang w:eastAsia="de-DE"/>
        </w:rPr>
        <w:t>וְהָי֧וּ הֶֽעָרִ֛ים לָהֶ֖ם לָשָׁ֑בֶת וּמִגְרְשֵׁיהֶ֗ם יִהְי֤וּ לִבְהֶמְתָּם֙ וְלִרְכֻשָׁ֔ם וּלְכֹ֖ל חַיָּתָֽם׃</w:t>
      </w:r>
    </w:p>
    <w:p w14:paraId="23C757AC"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Und die Städte sollen ihnen zum Wohnen sein, und ihre Weideplätze sollen für ihr Vieh und für ihre Habe und für all ihre Lebewesen sein.</w:t>
      </w:r>
    </w:p>
    <w:p w14:paraId="317B3076"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7379AF6C">
          <v:rect id="_x0000_i2063" style="width:0;height:1.5pt" o:hralign="center" o:hrstd="t" o:hr="t" fillcolor="#a0a0a0" stroked="f"/>
        </w:pict>
      </w:r>
    </w:p>
    <w:p w14:paraId="5DFEE393"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erläutert den Zweck. </w:t>
      </w:r>
      <w:r w:rsidRPr="002B14D4">
        <w:rPr>
          <w:rFonts w:eastAsia="Times New Roman" w:cs="Times New Roman"/>
          <w:b/>
          <w:bCs/>
          <w:rtl/>
          <w:lang w:eastAsia="de-DE"/>
        </w:rPr>
        <w:t>וְהָיוּ הֶעָרִים לָהֶם לָשָׁבֶת</w:t>
      </w:r>
      <w:r w:rsidRPr="002B14D4">
        <w:rPr>
          <w:rFonts w:eastAsia="Times New Roman" w:cs="Times New Roman"/>
          <w:rtl/>
          <w:lang w:eastAsia="de-DE"/>
        </w:rPr>
        <w:t xml:space="preserve"> </w:t>
      </w:r>
      <w:r w:rsidRPr="002B14D4">
        <w:rPr>
          <w:rFonts w:eastAsia="Times New Roman" w:cs="Times New Roman"/>
          <w:lang w:eastAsia="de-DE"/>
        </w:rPr>
        <w:t xml:space="preserve">definiert den Zweck der Städte. </w:t>
      </w:r>
      <w:r w:rsidRPr="002B14D4">
        <w:rPr>
          <w:rFonts w:eastAsia="Times New Roman" w:cs="Times New Roman"/>
          <w:b/>
          <w:bCs/>
          <w:rtl/>
          <w:lang w:eastAsia="de-DE"/>
        </w:rPr>
        <w:t>וְהָיוּ</w:t>
      </w:r>
      <w:r w:rsidRPr="002B14D4">
        <w:rPr>
          <w:rFonts w:eastAsia="Times New Roman" w:cs="Times New Roman"/>
          <w:rtl/>
          <w:lang w:eastAsia="de-DE"/>
        </w:rPr>
        <w:t xml:space="preserve"> </w:t>
      </w:r>
      <w:r w:rsidRPr="002B14D4">
        <w:rPr>
          <w:rFonts w:eastAsia="Times New Roman" w:cs="Times New Roman"/>
          <w:lang w:eastAsia="de-DE"/>
        </w:rPr>
        <w:t xml:space="preserve">(Qal Perfekt 3. Person Plural mit Waw consecutivum von </w:t>
      </w:r>
      <w:r w:rsidRPr="002B14D4">
        <w:rPr>
          <w:rFonts w:eastAsia="Times New Roman" w:cs="Times New Roman"/>
          <w:b/>
          <w:bCs/>
          <w:rtl/>
          <w:lang w:eastAsia="de-DE"/>
        </w:rPr>
        <w:t>היה</w:t>
      </w:r>
      <w:r w:rsidRPr="002B14D4">
        <w:rPr>
          <w:rFonts w:eastAsia="Times New Roman" w:cs="Times New Roman"/>
          <w:lang w:eastAsia="de-DE"/>
        </w:rPr>
        <w:t xml:space="preserve">), </w:t>
      </w:r>
      <w:r w:rsidRPr="002B14D4">
        <w:rPr>
          <w:rFonts w:eastAsia="Times New Roman" w:cs="Times New Roman"/>
          <w:b/>
          <w:bCs/>
          <w:rtl/>
          <w:lang w:eastAsia="de-DE"/>
        </w:rPr>
        <w:t>הֶעָרִים לָהֶם</w:t>
      </w:r>
      <w:r w:rsidRPr="002B14D4">
        <w:rPr>
          <w:rFonts w:eastAsia="Times New Roman" w:cs="Times New Roman"/>
          <w:rtl/>
          <w:lang w:eastAsia="de-DE"/>
        </w:rPr>
        <w:t xml:space="preserve"> </w:t>
      </w:r>
      <w:r w:rsidRPr="002B14D4">
        <w:rPr>
          <w:rFonts w:eastAsia="Times New Roman" w:cs="Times New Roman"/>
          <w:lang w:eastAsia="de-DE"/>
        </w:rPr>
        <w:t xml:space="preserve">(Plural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 xml:space="preserve">mit Artikel und Dativ „die Städte für sie"), </w:t>
      </w:r>
      <w:r w:rsidRPr="002B14D4">
        <w:rPr>
          <w:rFonts w:eastAsia="Times New Roman" w:cs="Times New Roman"/>
          <w:b/>
          <w:bCs/>
          <w:rtl/>
          <w:lang w:eastAsia="de-DE"/>
        </w:rPr>
        <w:t>לָשָׁבֶת</w:t>
      </w:r>
      <w:r w:rsidRPr="002B14D4">
        <w:rPr>
          <w:rFonts w:eastAsia="Times New Roman" w:cs="Times New Roman"/>
          <w:rtl/>
          <w:lang w:eastAsia="de-DE"/>
        </w:rPr>
        <w:t xml:space="preserve"> </w:t>
      </w:r>
      <w:r w:rsidRPr="002B14D4">
        <w:rPr>
          <w:rFonts w:eastAsia="Times New Roman" w:cs="Times New Roman"/>
          <w:lang w:eastAsia="de-DE"/>
        </w:rPr>
        <w:t xml:space="preserve">(Präposition mit Infinitiv von </w:t>
      </w:r>
      <w:r w:rsidRPr="002B14D4">
        <w:rPr>
          <w:rFonts w:eastAsia="Times New Roman" w:cs="Times New Roman"/>
          <w:b/>
          <w:bCs/>
          <w:rtl/>
          <w:lang w:eastAsia="de-DE"/>
        </w:rPr>
        <w:t>ישׁב</w:t>
      </w:r>
      <w:r w:rsidRPr="002B14D4">
        <w:rPr>
          <w:rFonts w:eastAsia="Times New Roman" w:cs="Times New Roman"/>
          <w:rtl/>
          <w:lang w:eastAsia="de-DE"/>
        </w:rPr>
        <w:t xml:space="preserve"> </w:t>
      </w:r>
      <w:r w:rsidRPr="002B14D4">
        <w:rPr>
          <w:rFonts w:eastAsia="Times New Roman" w:cs="Times New Roman"/>
          <w:lang w:eastAsia="de-DE"/>
        </w:rPr>
        <w:t xml:space="preserve">„zum Wohnen"). </w:t>
      </w:r>
      <w:r w:rsidRPr="002B14D4">
        <w:rPr>
          <w:rFonts w:eastAsia="Times New Roman" w:cs="Times New Roman"/>
          <w:b/>
          <w:bCs/>
          <w:rtl/>
          <w:lang w:eastAsia="de-DE"/>
        </w:rPr>
        <w:t>וּמִגְרְשֵׁיהֶם יִהְיוּ לִבְהֶמְתָּם וְלִרְכֻשָׁם וּלְכֹל חַיָּתָם</w:t>
      </w:r>
      <w:r w:rsidRPr="002B14D4">
        <w:rPr>
          <w:rFonts w:eastAsia="Times New Roman" w:cs="Times New Roman"/>
          <w:rtl/>
          <w:lang w:eastAsia="de-DE"/>
        </w:rPr>
        <w:t xml:space="preserve"> </w:t>
      </w:r>
      <w:r w:rsidRPr="002B14D4">
        <w:rPr>
          <w:rFonts w:eastAsia="Times New Roman" w:cs="Times New Roman"/>
          <w:lang w:eastAsia="de-DE"/>
        </w:rPr>
        <w:t xml:space="preserve">definiert den Zweck der Weideplätze. </w:t>
      </w:r>
      <w:r w:rsidRPr="002B14D4">
        <w:rPr>
          <w:rFonts w:eastAsia="Times New Roman" w:cs="Times New Roman"/>
          <w:b/>
          <w:bCs/>
          <w:rtl/>
          <w:lang w:eastAsia="de-DE"/>
        </w:rPr>
        <w:t>וּמִגְרְשֵׁיהֶם</w:t>
      </w:r>
      <w:r w:rsidRPr="002B14D4">
        <w:rPr>
          <w:rFonts w:eastAsia="Times New Roman" w:cs="Times New Roman"/>
          <w:rtl/>
          <w:lang w:eastAsia="de-DE"/>
        </w:rPr>
        <w:t xml:space="preserve"> </w:t>
      </w:r>
      <w:r w:rsidRPr="002B14D4">
        <w:rPr>
          <w:rFonts w:eastAsia="Times New Roman" w:cs="Times New Roman"/>
          <w:lang w:eastAsia="de-DE"/>
        </w:rPr>
        <w:t xml:space="preserve">(Konjunktion mit Plural von </w:t>
      </w:r>
      <w:r w:rsidRPr="002B14D4">
        <w:rPr>
          <w:rFonts w:eastAsia="Times New Roman" w:cs="Times New Roman"/>
          <w:b/>
          <w:bCs/>
          <w:rtl/>
          <w:lang w:eastAsia="de-DE"/>
        </w:rPr>
        <w:t>מִגְרָשׁ</w:t>
      </w:r>
      <w:r w:rsidRPr="002B14D4">
        <w:rPr>
          <w:rFonts w:eastAsia="Times New Roman" w:cs="Times New Roman"/>
          <w:rtl/>
          <w:lang w:eastAsia="de-DE"/>
        </w:rPr>
        <w:t xml:space="preserve"> </w:t>
      </w:r>
      <w:r w:rsidRPr="002B14D4">
        <w:rPr>
          <w:rFonts w:eastAsia="Times New Roman" w:cs="Times New Roman"/>
          <w:lang w:eastAsia="de-DE"/>
        </w:rPr>
        <w:t xml:space="preserve">und Suffix 3. Person Plural „ihre Weideplätze"), </w:t>
      </w:r>
      <w:r w:rsidRPr="002B14D4">
        <w:rPr>
          <w:rFonts w:eastAsia="Times New Roman" w:cs="Times New Roman"/>
          <w:b/>
          <w:bCs/>
          <w:rtl/>
          <w:lang w:eastAsia="de-DE"/>
        </w:rPr>
        <w:t>יִהְיוּ</w:t>
      </w:r>
      <w:r w:rsidRPr="002B14D4">
        <w:rPr>
          <w:rFonts w:eastAsia="Times New Roman" w:cs="Times New Roman"/>
          <w:rtl/>
          <w:lang w:eastAsia="de-DE"/>
        </w:rPr>
        <w:t xml:space="preserve"> </w:t>
      </w:r>
      <w:r w:rsidRPr="002B14D4">
        <w:rPr>
          <w:rFonts w:eastAsia="Times New Roman" w:cs="Times New Roman"/>
          <w:lang w:eastAsia="de-DE"/>
        </w:rPr>
        <w:t xml:space="preserve">(Qal Imperfekt 3. Person Plural von </w:t>
      </w:r>
      <w:r w:rsidRPr="002B14D4">
        <w:rPr>
          <w:rFonts w:eastAsia="Times New Roman" w:cs="Times New Roman"/>
          <w:b/>
          <w:bCs/>
          <w:rtl/>
          <w:lang w:eastAsia="de-DE"/>
        </w:rPr>
        <w:t>היה</w:t>
      </w:r>
      <w:r w:rsidRPr="002B14D4">
        <w:rPr>
          <w:rFonts w:eastAsia="Times New Roman" w:cs="Times New Roman"/>
          <w:rtl/>
          <w:lang w:eastAsia="de-DE"/>
        </w:rPr>
        <w:t xml:space="preserve"> </w:t>
      </w:r>
      <w:r w:rsidRPr="002B14D4">
        <w:rPr>
          <w:rFonts w:eastAsia="Times New Roman" w:cs="Times New Roman"/>
          <w:lang w:eastAsia="de-DE"/>
        </w:rPr>
        <w:t xml:space="preserve">„sein"), </w:t>
      </w:r>
      <w:r w:rsidRPr="002B14D4">
        <w:rPr>
          <w:rFonts w:eastAsia="Times New Roman" w:cs="Times New Roman"/>
          <w:b/>
          <w:bCs/>
          <w:rtl/>
          <w:lang w:eastAsia="de-DE"/>
        </w:rPr>
        <w:t>לִבְהֶמְתָּם</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בְּהֵמָה</w:t>
      </w:r>
      <w:r w:rsidRPr="002B14D4">
        <w:rPr>
          <w:rFonts w:eastAsia="Times New Roman" w:cs="Times New Roman"/>
          <w:rtl/>
          <w:lang w:eastAsia="de-DE"/>
        </w:rPr>
        <w:t xml:space="preserve"> </w:t>
      </w:r>
      <w:r w:rsidRPr="002B14D4">
        <w:rPr>
          <w:rFonts w:eastAsia="Times New Roman" w:cs="Times New Roman"/>
          <w:lang w:eastAsia="de-DE"/>
        </w:rPr>
        <w:t xml:space="preserve">„Vieh" und Suffix), </w:t>
      </w:r>
      <w:r w:rsidRPr="002B14D4">
        <w:rPr>
          <w:rFonts w:eastAsia="Times New Roman" w:cs="Times New Roman"/>
          <w:b/>
          <w:bCs/>
          <w:rtl/>
          <w:lang w:eastAsia="de-DE"/>
        </w:rPr>
        <w:t>וְלִרְכֻשָׁם</w:t>
      </w:r>
      <w:r w:rsidRPr="002B14D4">
        <w:rPr>
          <w:rFonts w:eastAsia="Times New Roman" w:cs="Times New Roman"/>
          <w:rtl/>
          <w:lang w:eastAsia="de-DE"/>
        </w:rPr>
        <w:t xml:space="preserve"> </w:t>
      </w:r>
      <w:r w:rsidRPr="002B14D4">
        <w:rPr>
          <w:rFonts w:eastAsia="Times New Roman" w:cs="Times New Roman"/>
          <w:lang w:eastAsia="de-DE"/>
        </w:rPr>
        <w:t xml:space="preserve">(Konjunktion mit Präposition und </w:t>
      </w:r>
      <w:r w:rsidRPr="002B14D4">
        <w:rPr>
          <w:rFonts w:eastAsia="Times New Roman" w:cs="Times New Roman"/>
          <w:b/>
          <w:bCs/>
          <w:rtl/>
          <w:lang w:eastAsia="de-DE"/>
        </w:rPr>
        <w:t>רְכוּשׁ</w:t>
      </w:r>
      <w:r w:rsidRPr="002B14D4">
        <w:rPr>
          <w:rFonts w:eastAsia="Times New Roman" w:cs="Times New Roman"/>
          <w:rtl/>
          <w:lang w:eastAsia="de-DE"/>
        </w:rPr>
        <w:t xml:space="preserve"> </w:t>
      </w:r>
      <w:r w:rsidRPr="002B14D4">
        <w:rPr>
          <w:rFonts w:eastAsia="Times New Roman" w:cs="Times New Roman"/>
          <w:lang w:eastAsia="de-DE"/>
        </w:rPr>
        <w:t xml:space="preserve">„Habe, Besitz" mit Suffix), </w:t>
      </w:r>
      <w:r w:rsidRPr="002B14D4">
        <w:rPr>
          <w:rFonts w:eastAsia="Times New Roman" w:cs="Times New Roman"/>
          <w:b/>
          <w:bCs/>
          <w:rtl/>
          <w:lang w:eastAsia="de-DE"/>
        </w:rPr>
        <w:t>וּלְכֹל חַיָּתָם</w:t>
      </w:r>
      <w:r w:rsidRPr="002B14D4">
        <w:rPr>
          <w:rFonts w:eastAsia="Times New Roman" w:cs="Times New Roman"/>
          <w:rtl/>
          <w:lang w:eastAsia="de-DE"/>
        </w:rPr>
        <w:t xml:space="preserve"> </w:t>
      </w:r>
      <w:r w:rsidRPr="002B14D4">
        <w:rPr>
          <w:rFonts w:eastAsia="Times New Roman" w:cs="Times New Roman"/>
          <w:lang w:eastAsia="de-DE"/>
        </w:rPr>
        <w:t xml:space="preserve">(Konjunktion mit Präposition, </w:t>
      </w:r>
      <w:r w:rsidRPr="002B14D4">
        <w:rPr>
          <w:rFonts w:eastAsia="Times New Roman" w:cs="Times New Roman"/>
          <w:b/>
          <w:bCs/>
          <w:rtl/>
          <w:lang w:eastAsia="de-DE"/>
        </w:rPr>
        <w:t>כֹּל</w:t>
      </w:r>
      <w:r w:rsidRPr="002B14D4">
        <w:rPr>
          <w:rFonts w:eastAsia="Times New Roman" w:cs="Times New Roman"/>
          <w:rtl/>
          <w:lang w:eastAsia="de-DE"/>
        </w:rPr>
        <w:t xml:space="preserve"> </w:t>
      </w:r>
      <w:r w:rsidRPr="002B14D4">
        <w:rPr>
          <w:rFonts w:eastAsia="Times New Roman" w:cs="Times New Roman"/>
          <w:lang w:eastAsia="de-DE"/>
        </w:rPr>
        <w:t xml:space="preserve">„alles" und </w:t>
      </w:r>
      <w:r w:rsidRPr="002B14D4">
        <w:rPr>
          <w:rFonts w:eastAsia="Times New Roman" w:cs="Times New Roman"/>
          <w:b/>
          <w:bCs/>
          <w:rtl/>
          <w:lang w:eastAsia="de-DE"/>
        </w:rPr>
        <w:t>חַיָּה</w:t>
      </w:r>
      <w:r w:rsidRPr="002B14D4">
        <w:rPr>
          <w:rFonts w:eastAsia="Times New Roman" w:cs="Times New Roman"/>
          <w:rtl/>
          <w:lang w:eastAsia="de-DE"/>
        </w:rPr>
        <w:t xml:space="preserve"> </w:t>
      </w:r>
      <w:r w:rsidRPr="002B14D4">
        <w:rPr>
          <w:rFonts w:eastAsia="Times New Roman" w:cs="Times New Roman"/>
          <w:lang w:eastAsia="de-DE"/>
        </w:rPr>
        <w:t>„Lebewesen, Tier" mit Suffix „für all ihre Lebewesen").</w:t>
      </w:r>
    </w:p>
    <w:p w14:paraId="7F1DCED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zwei parallele Aussagen über den Zweck von Städten und Weideplätzen.</w:t>
      </w:r>
    </w:p>
    <w:p w14:paraId="359425F5"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Der Vers klärt: Die Städte dienen als Wohnorte für die Leviten, die Weideplätze für ihre gesamte Viehhaltung und ihren Besitz - eine vollständige Lebensgrundlage.</w:t>
      </w:r>
    </w:p>
    <w:p w14:paraId="0F80EF90"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35,4-5</w:t>
      </w:r>
    </w:p>
    <w:p w14:paraId="60732CB2"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[V. 4 gibt an: Die Weideplätze sollen von der Stadtmauer 1.000 Ellen nach außen reichen. V. 5 präzisiert: Man soll außerhalb der Stadt 2.000 Ellen in alle vier Richtungen messen, mit der Stadt in der Mitte.]</w:t>
      </w:r>
    </w:p>
    <w:p w14:paraId="3D868A25"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1E4BC330">
          <v:rect id="_x0000_i2064" style="width:0;height:1.5pt" o:hralign="center" o:hrstd="t" o:hr="t" fillcolor="#a0a0a0" stroked="f"/>
        </w:pict>
      </w:r>
    </w:p>
    <w:p w14:paraId="6D6E9357"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Die Verse regeln die Größe der Weideplätze mit scheinbar widersprüchlichen Angaben. </w:t>
      </w:r>
      <w:r w:rsidRPr="002B14D4">
        <w:rPr>
          <w:rFonts w:eastAsia="Times New Roman" w:cs="Times New Roman"/>
          <w:b/>
          <w:bCs/>
          <w:lang w:eastAsia="de-DE"/>
        </w:rPr>
        <w:t>V. 4:</w:t>
      </w:r>
      <w:r w:rsidRPr="002B14D4">
        <w:rPr>
          <w:rFonts w:eastAsia="Times New Roman" w:cs="Times New Roman"/>
          <w:lang w:eastAsia="de-DE"/>
        </w:rPr>
        <w:t xml:space="preserve"> </w:t>
      </w:r>
      <w:r w:rsidRPr="002B14D4">
        <w:rPr>
          <w:rFonts w:eastAsia="Times New Roman" w:cs="Times New Roman"/>
          <w:b/>
          <w:bCs/>
          <w:rtl/>
          <w:lang w:eastAsia="de-DE"/>
        </w:rPr>
        <w:t>מִקִּיר הָעִיר וָחוּצָה אֶלֶף אַמָּה סָבִיב</w:t>
      </w:r>
      <w:r w:rsidRPr="002B14D4">
        <w:rPr>
          <w:rFonts w:eastAsia="Times New Roman" w:cs="Times New Roman"/>
          <w:rtl/>
          <w:lang w:eastAsia="de-DE"/>
        </w:rPr>
        <w:t xml:space="preserve"> </w:t>
      </w:r>
      <w:r w:rsidRPr="002B14D4">
        <w:rPr>
          <w:rFonts w:eastAsia="Times New Roman" w:cs="Times New Roman"/>
          <w:lang w:eastAsia="de-DE"/>
        </w:rPr>
        <w:t xml:space="preserve">(„von der Stadtmauer nach außen 1.000 Ellen ringsum"). </w:t>
      </w:r>
      <w:r w:rsidRPr="002B14D4">
        <w:rPr>
          <w:rFonts w:eastAsia="Times New Roman" w:cs="Times New Roman"/>
          <w:b/>
          <w:bCs/>
          <w:lang w:eastAsia="de-DE"/>
        </w:rPr>
        <w:t>V. 5:</w:t>
      </w:r>
      <w:r w:rsidRPr="002B14D4">
        <w:rPr>
          <w:rFonts w:eastAsia="Times New Roman" w:cs="Times New Roman"/>
          <w:lang w:eastAsia="de-DE"/>
        </w:rPr>
        <w:t xml:space="preserve"> </w:t>
      </w:r>
      <w:r w:rsidRPr="002B14D4">
        <w:rPr>
          <w:rFonts w:eastAsia="Times New Roman" w:cs="Times New Roman"/>
          <w:b/>
          <w:bCs/>
          <w:rtl/>
          <w:lang w:eastAsia="de-DE"/>
        </w:rPr>
        <w:t>מִחוּץ לָעִיר</w:t>
      </w:r>
      <w:r w:rsidRPr="002B14D4">
        <w:rPr>
          <w:rFonts w:eastAsia="Times New Roman" w:cs="Times New Roman"/>
          <w:rtl/>
          <w:lang w:eastAsia="de-DE"/>
        </w:rPr>
        <w:t xml:space="preserve"> </w:t>
      </w:r>
      <w:r w:rsidRPr="002B14D4">
        <w:rPr>
          <w:rFonts w:eastAsia="Times New Roman" w:cs="Times New Roman"/>
          <w:lang w:eastAsia="de-DE"/>
        </w:rPr>
        <w:t xml:space="preserve">... </w:t>
      </w:r>
      <w:r w:rsidRPr="002B14D4">
        <w:rPr>
          <w:rFonts w:eastAsia="Times New Roman" w:cs="Times New Roman"/>
          <w:b/>
          <w:bCs/>
          <w:rtl/>
          <w:lang w:eastAsia="de-DE"/>
        </w:rPr>
        <w:t>אַלְפַּיִם בָּאַמָּה</w:t>
      </w:r>
      <w:r w:rsidRPr="002B14D4">
        <w:rPr>
          <w:rFonts w:eastAsia="Times New Roman" w:cs="Times New Roman"/>
          <w:rtl/>
          <w:lang w:eastAsia="de-DE"/>
        </w:rPr>
        <w:t xml:space="preserve"> </w:t>
      </w:r>
      <w:r w:rsidRPr="002B14D4">
        <w:rPr>
          <w:rFonts w:eastAsia="Times New Roman" w:cs="Times New Roman"/>
          <w:lang w:eastAsia="de-DE"/>
        </w:rPr>
        <w:t>(„außerhalb der Stadt 2.000 Ellen") in alle vier Richtungen (</w:t>
      </w:r>
      <w:r w:rsidRPr="002B14D4">
        <w:rPr>
          <w:rFonts w:eastAsia="Times New Roman" w:cs="Times New Roman"/>
          <w:b/>
          <w:bCs/>
          <w:rtl/>
          <w:lang w:eastAsia="de-DE"/>
        </w:rPr>
        <w:t>פְּאַת־קֵדְמָה</w:t>
      </w:r>
      <w:r w:rsidRPr="002B14D4">
        <w:rPr>
          <w:rFonts w:eastAsia="Times New Roman" w:cs="Times New Roman"/>
          <w:rtl/>
          <w:lang w:eastAsia="de-DE"/>
        </w:rPr>
        <w:t xml:space="preserve"> </w:t>
      </w:r>
      <w:r w:rsidRPr="002B14D4">
        <w:rPr>
          <w:rFonts w:eastAsia="Times New Roman" w:cs="Times New Roman"/>
          <w:lang w:eastAsia="de-DE"/>
        </w:rPr>
        <w:t xml:space="preserve">Osten, </w:t>
      </w:r>
      <w:r w:rsidRPr="002B14D4">
        <w:rPr>
          <w:rFonts w:eastAsia="Times New Roman" w:cs="Times New Roman"/>
          <w:b/>
          <w:bCs/>
          <w:rtl/>
          <w:lang w:eastAsia="de-DE"/>
        </w:rPr>
        <w:t>פְּאַת־נֶגֶב</w:t>
      </w:r>
      <w:r w:rsidRPr="002B14D4">
        <w:rPr>
          <w:rFonts w:eastAsia="Times New Roman" w:cs="Times New Roman"/>
          <w:rtl/>
          <w:lang w:eastAsia="de-DE"/>
        </w:rPr>
        <w:t xml:space="preserve"> </w:t>
      </w:r>
      <w:r w:rsidRPr="002B14D4">
        <w:rPr>
          <w:rFonts w:eastAsia="Times New Roman" w:cs="Times New Roman"/>
          <w:lang w:eastAsia="de-DE"/>
        </w:rPr>
        <w:t xml:space="preserve">Süden, </w:t>
      </w:r>
      <w:r w:rsidRPr="002B14D4">
        <w:rPr>
          <w:rFonts w:eastAsia="Times New Roman" w:cs="Times New Roman"/>
          <w:b/>
          <w:bCs/>
          <w:rtl/>
          <w:lang w:eastAsia="de-DE"/>
        </w:rPr>
        <w:t>פְּאַת־יָם</w:t>
      </w:r>
      <w:r w:rsidRPr="002B14D4">
        <w:rPr>
          <w:rFonts w:eastAsia="Times New Roman" w:cs="Times New Roman"/>
          <w:rtl/>
          <w:lang w:eastAsia="de-DE"/>
        </w:rPr>
        <w:t xml:space="preserve"> </w:t>
      </w:r>
      <w:r w:rsidRPr="002B14D4">
        <w:rPr>
          <w:rFonts w:eastAsia="Times New Roman" w:cs="Times New Roman"/>
          <w:lang w:eastAsia="de-DE"/>
        </w:rPr>
        <w:t xml:space="preserve">Westen, </w:t>
      </w:r>
      <w:r w:rsidRPr="002B14D4">
        <w:rPr>
          <w:rFonts w:eastAsia="Times New Roman" w:cs="Times New Roman"/>
          <w:b/>
          <w:bCs/>
          <w:rtl/>
          <w:lang w:eastAsia="de-DE"/>
        </w:rPr>
        <w:t>פְּאַת צָפוֹן</w:t>
      </w:r>
      <w:r w:rsidRPr="002B14D4">
        <w:rPr>
          <w:rFonts w:eastAsia="Times New Roman" w:cs="Times New Roman"/>
          <w:rtl/>
          <w:lang w:eastAsia="de-DE"/>
        </w:rPr>
        <w:t xml:space="preserve"> </w:t>
      </w:r>
      <w:r w:rsidRPr="002B14D4">
        <w:rPr>
          <w:rFonts w:eastAsia="Times New Roman" w:cs="Times New Roman"/>
          <w:lang w:eastAsia="de-DE"/>
        </w:rPr>
        <w:t xml:space="preserve">Norden), </w:t>
      </w:r>
      <w:r w:rsidRPr="002B14D4">
        <w:rPr>
          <w:rFonts w:eastAsia="Times New Roman" w:cs="Times New Roman"/>
          <w:b/>
          <w:bCs/>
          <w:rtl/>
          <w:lang w:eastAsia="de-DE"/>
        </w:rPr>
        <w:t>וְהָעִיר בַּתָּוֶךְ</w:t>
      </w:r>
      <w:r w:rsidRPr="002B14D4">
        <w:rPr>
          <w:rFonts w:eastAsia="Times New Roman" w:cs="Times New Roman"/>
          <w:rtl/>
          <w:lang w:eastAsia="de-DE"/>
        </w:rPr>
        <w:t xml:space="preserve"> </w:t>
      </w:r>
      <w:r w:rsidRPr="002B14D4">
        <w:rPr>
          <w:rFonts w:eastAsia="Times New Roman" w:cs="Times New Roman"/>
          <w:lang w:eastAsia="de-DE"/>
        </w:rPr>
        <w:t>(„und die Stadt in der Mitte").</w:t>
      </w:r>
    </w:p>
    <w:p w14:paraId="46177202" w14:textId="15172E89" w:rsid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traditionelle Interpretation: V. 4 beschreibt einen inneren Gürtel von 1.000 Ellen unmittelbar um die Stadt (für intensivere Nutzung), V. 5 einen äußeren Bereich, der insgesamt 2.000 Ellen von der Stadtgrenze reicht. Andere Interpretation: V. 5 erklärt V. 4 - die 2.000 Ellen werden vom Stadtzentrum gemessen, sodass effektiv etwa 1.000 Ellen von der Stadtmauer nach außen entstehen.</w:t>
      </w:r>
    </w:p>
    <w:p w14:paraId="60F05809" w14:textId="77777777" w:rsidR="00192257" w:rsidRDefault="00192257" w:rsidP="00192257">
      <w:pPr>
        <w:pStyle w:val="whitespace-normal"/>
      </w:pPr>
      <w:r>
        <w:rPr>
          <w:rStyle w:val="Fett"/>
        </w:rPr>
        <w:t>Vers 4:</w:t>
      </w:r>
      <w:r>
        <w:t xml:space="preserve"> </w:t>
      </w:r>
      <w:r>
        <w:rPr>
          <w:rStyle w:val="Fett"/>
        </w:rPr>
        <w:t>Die LXX</w:t>
      </w:r>
      <w:r>
        <w:t xml:space="preserve"> übersetzt „</w:t>
      </w:r>
      <w:r>
        <w:rPr>
          <w:rtl/>
        </w:rPr>
        <w:t>אֶלֶף אַמָּה סָבִיב</w:t>
      </w:r>
      <w:r>
        <w:t>" (tausend Ellen ringsum) mit „δισχιλίους πήχεις κύκλῳ" (zweitausend Ellen ringsum), was die Entfernung verdoppelt.</w:t>
      </w:r>
    </w:p>
    <w:p w14:paraId="3560F1B2" w14:textId="74A4DC7C" w:rsidR="00192257" w:rsidRPr="002B14D4" w:rsidRDefault="00192257" w:rsidP="00192257">
      <w:pPr>
        <w:pStyle w:val="whitespace-normal"/>
      </w:pPr>
      <w:r>
        <w:rPr>
          <w:rStyle w:val="Fett"/>
        </w:rPr>
        <w:t>Vers 5:</w:t>
      </w:r>
      <w:r>
        <w:t xml:space="preserve"> </w:t>
      </w:r>
      <w:r>
        <w:rPr>
          <w:rStyle w:val="Fett"/>
        </w:rPr>
        <w:t>Die LXX</w:t>
      </w:r>
      <w:r>
        <w:t xml:space="preserve"> hat „δισχιλίους πήχεις" (zweitausend Ellen) für alle vier Seiten, während der MT „</w:t>
      </w:r>
      <w:r>
        <w:rPr>
          <w:rtl/>
        </w:rPr>
        <w:t>אַלְפַּיִם בָּאַמָּה</w:t>
      </w:r>
      <w:r>
        <w:t xml:space="preserve">" (zweitausend Ellen) hat. Die LXX ist hier konsistent mit ihrer Änderung </w:t>
      </w:r>
      <w:r>
        <w:lastRenderedPageBreak/>
        <w:t>in Vers 4, aber es gibt eine Spannung zwischen den 1000 Ellen in Vers 4 (MT) und den 2000 Ellen in Vers 5 (beide Texte).</w:t>
      </w:r>
    </w:p>
    <w:p w14:paraId="0C7D84E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Verse etablieren großzügige Weideplätze für die Leviten - wirtschaftliche Sicherheit für den priesterlichen Stamm.</w:t>
      </w:r>
    </w:p>
    <w:p w14:paraId="031FE911"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35,6</w:t>
      </w:r>
    </w:p>
    <w:p w14:paraId="7A3CD169"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וְאֵ֣ת הֶֽעָרִ֗ים אֲשֶׁ֤ר תִּתְּנוּ֙ לַלְוִיִּ֔ם אֵ֚ת שֵׁשׁ־עָרֵ֣י הַמִּקְלָ֔ט אֲשֶׁ֣ר תִּתְּנ֔וּ לָנֻ֥ס שָׁ֖מָּה הָרֹצֵ֑חַ וַעֲלֵיהֶ֣ם תִּתְּנ֔וּ אַרְבָּעִ֥ים וּשְׁתַּ֖יִם עִֽיר׃</w:t>
      </w:r>
    </w:p>
    <w:p w14:paraId="0A3AA58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Und von den Städten, die ihr den Levijim geben sollt: die sechs Zufluchtsstädte, die ihr geben sollt, damit dorthin fliehe, wer einen Totschlag begangen hat; und außer ihnen sollt ihr 42 Städte geben.</w:t>
      </w:r>
    </w:p>
    <w:p w14:paraId="06EDC2B4"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6599D3FC">
          <v:rect id="_x0000_i2065" style="width:0;height:1.5pt" o:hralign="center" o:hrstd="t" o:hr="t" fillcolor="#a0a0a0" stroked="f"/>
        </w:pict>
      </w:r>
    </w:p>
    <w:p w14:paraId="6A533ADF"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führt das zentrale Konzept der Zufluchtsstädte ein und gibt die Gesamtzahl der Levitenstädte an. </w:t>
      </w:r>
      <w:r w:rsidRPr="002B14D4">
        <w:rPr>
          <w:rFonts w:eastAsia="Times New Roman" w:cs="Times New Roman"/>
          <w:b/>
          <w:bCs/>
          <w:rtl/>
          <w:lang w:eastAsia="de-DE"/>
        </w:rPr>
        <w:t>וְאֵת הֶעָרִים אֲשֶׁר תִּתְּנוּ לַלְוִיִּם</w:t>
      </w:r>
      <w:r w:rsidRPr="002B14D4">
        <w:rPr>
          <w:rFonts w:eastAsia="Times New Roman" w:cs="Times New Roman"/>
          <w:rtl/>
          <w:lang w:eastAsia="de-DE"/>
        </w:rPr>
        <w:t xml:space="preserve"> </w:t>
      </w:r>
      <w:r w:rsidRPr="002B14D4">
        <w:rPr>
          <w:rFonts w:eastAsia="Times New Roman" w:cs="Times New Roman"/>
          <w:lang w:eastAsia="de-DE"/>
        </w:rPr>
        <w:t xml:space="preserve">ist die allgemeine Einleitung. </w:t>
      </w:r>
      <w:r w:rsidRPr="002B14D4">
        <w:rPr>
          <w:rFonts w:eastAsia="Times New Roman" w:cs="Times New Roman"/>
          <w:b/>
          <w:bCs/>
          <w:rtl/>
          <w:lang w:eastAsia="de-DE"/>
        </w:rPr>
        <w:t>וְאֵת הֶעָרִים</w:t>
      </w:r>
      <w:r w:rsidRPr="002B14D4">
        <w:rPr>
          <w:rFonts w:eastAsia="Times New Roman" w:cs="Times New Roman"/>
          <w:rtl/>
          <w:lang w:eastAsia="de-DE"/>
        </w:rPr>
        <w:t xml:space="preserve"> </w:t>
      </w:r>
      <w:r w:rsidRPr="002B14D4">
        <w:rPr>
          <w:rFonts w:eastAsia="Times New Roman" w:cs="Times New Roman"/>
          <w:lang w:eastAsia="de-DE"/>
        </w:rPr>
        <w:t xml:space="preserve">(Konjunktion mit Akkusativpartikel und Plural von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 xml:space="preserve">„Stadt" mit Artikel „und die Städte"), </w:t>
      </w:r>
      <w:r w:rsidRPr="002B14D4">
        <w:rPr>
          <w:rFonts w:eastAsia="Times New Roman" w:cs="Times New Roman"/>
          <w:b/>
          <w:bCs/>
          <w:rtl/>
          <w:lang w:eastAsia="de-DE"/>
        </w:rPr>
        <w:t>אֲשֶׁר תִּתְּנוּ לַלְוִיִּם</w:t>
      </w:r>
      <w:r w:rsidRPr="002B14D4">
        <w:rPr>
          <w:rFonts w:eastAsia="Times New Roman" w:cs="Times New Roman"/>
          <w:rtl/>
          <w:lang w:eastAsia="de-DE"/>
        </w:rPr>
        <w:t xml:space="preserve"> </w:t>
      </w:r>
      <w:r w:rsidRPr="002B14D4">
        <w:rPr>
          <w:rFonts w:eastAsia="Times New Roman" w:cs="Times New Roman"/>
          <w:lang w:eastAsia="de-DE"/>
        </w:rPr>
        <w:t xml:space="preserve">(Relativsatz: Qal Imperfekt 2. Person Plural von </w:t>
      </w:r>
      <w:r w:rsidRPr="002B14D4">
        <w:rPr>
          <w:rFonts w:eastAsia="Times New Roman" w:cs="Times New Roman"/>
          <w:b/>
          <w:bCs/>
          <w:rtl/>
          <w:lang w:eastAsia="de-DE"/>
        </w:rPr>
        <w:t>נתן</w:t>
      </w:r>
      <w:r w:rsidRPr="002B14D4">
        <w:rPr>
          <w:rFonts w:eastAsia="Times New Roman" w:cs="Times New Roman"/>
          <w:rtl/>
          <w:lang w:eastAsia="de-DE"/>
        </w:rPr>
        <w:t xml:space="preserve"> </w:t>
      </w:r>
      <w:r w:rsidRPr="002B14D4">
        <w:rPr>
          <w:rFonts w:eastAsia="Times New Roman" w:cs="Times New Roman"/>
          <w:lang w:eastAsia="de-DE"/>
        </w:rPr>
        <w:t xml:space="preserve">„geben" mit 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und </w:t>
      </w:r>
      <w:r w:rsidRPr="002B14D4">
        <w:rPr>
          <w:rFonts w:eastAsia="Times New Roman" w:cs="Times New Roman"/>
          <w:b/>
          <w:bCs/>
          <w:rtl/>
          <w:lang w:eastAsia="de-DE"/>
        </w:rPr>
        <w:t>לְוִיִּם</w:t>
      </w:r>
      <w:r w:rsidRPr="002B14D4">
        <w:rPr>
          <w:rFonts w:eastAsia="Times New Roman" w:cs="Times New Roman"/>
          <w:rtl/>
          <w:lang w:eastAsia="de-DE"/>
        </w:rPr>
        <w:t xml:space="preserve"> </w:t>
      </w:r>
      <w:r w:rsidRPr="002B14D4">
        <w:rPr>
          <w:rFonts w:eastAsia="Times New Roman" w:cs="Times New Roman"/>
          <w:lang w:eastAsia="de-DE"/>
        </w:rPr>
        <w:t>mit Artikel „die ihr den Leviten geben sollt").</w:t>
      </w:r>
    </w:p>
    <w:p w14:paraId="160661CB" w14:textId="41C3CDF3"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rtl/>
          <w:lang w:eastAsia="de-DE"/>
        </w:rPr>
        <w:t>אֵת שֵׁשׁ־עָרֵי הַמִּקְלָט אֲשֶׁר תִּתְּנוּ לָנֻס שָׁמָּה הָרֹצֵחַ</w:t>
      </w:r>
      <w:r w:rsidRPr="002B14D4">
        <w:rPr>
          <w:rFonts w:eastAsia="Times New Roman" w:cs="Times New Roman"/>
          <w:rtl/>
          <w:lang w:eastAsia="de-DE"/>
        </w:rPr>
        <w:t xml:space="preserve"> </w:t>
      </w:r>
      <w:r w:rsidRPr="002B14D4">
        <w:rPr>
          <w:rFonts w:eastAsia="Times New Roman" w:cs="Times New Roman"/>
          <w:lang w:eastAsia="de-DE"/>
        </w:rPr>
        <w:t xml:space="preserve">definiert die erste Kategorie. </w:t>
      </w:r>
      <w:r w:rsidRPr="002B14D4">
        <w:rPr>
          <w:rFonts w:eastAsia="Times New Roman" w:cs="Times New Roman"/>
          <w:b/>
          <w:bCs/>
          <w:rtl/>
          <w:lang w:eastAsia="de-DE"/>
        </w:rPr>
        <w:t>אֵת שֵׁשׁ־עָרֵי הַמִּקְלָט</w:t>
      </w:r>
      <w:r w:rsidRPr="002B14D4">
        <w:rPr>
          <w:rFonts w:eastAsia="Times New Roman" w:cs="Times New Roman"/>
          <w:rtl/>
          <w:lang w:eastAsia="de-DE"/>
        </w:rPr>
        <w:t xml:space="preserve"> </w:t>
      </w:r>
      <w:r w:rsidRPr="002B14D4">
        <w:rPr>
          <w:rFonts w:eastAsia="Times New Roman" w:cs="Times New Roman"/>
          <w:lang w:eastAsia="de-DE"/>
        </w:rPr>
        <w:t xml:space="preserve">(Akkusativpartikel mit </w:t>
      </w:r>
      <w:r w:rsidR="00B513FF">
        <w:rPr>
          <w:rFonts w:eastAsia="Times New Roman" w:cs="Times New Roman"/>
          <w:lang w:eastAsia="de-DE"/>
        </w:rPr>
        <w:t xml:space="preserve">Constructus </w:t>
      </w:r>
      <w:r w:rsidRPr="002B14D4">
        <w:rPr>
          <w:rFonts w:eastAsia="Times New Roman" w:cs="Times New Roman"/>
          <w:lang w:eastAsia="de-DE"/>
        </w:rPr>
        <w:t xml:space="preserve">verbindung: Kardinalzahl </w:t>
      </w:r>
      <w:r w:rsidRPr="002B14D4">
        <w:rPr>
          <w:rFonts w:eastAsia="Times New Roman" w:cs="Times New Roman"/>
          <w:b/>
          <w:bCs/>
          <w:rtl/>
          <w:lang w:eastAsia="de-DE"/>
        </w:rPr>
        <w:t>שֵׁשׁ</w:t>
      </w:r>
      <w:r w:rsidRPr="002B14D4">
        <w:rPr>
          <w:rFonts w:eastAsia="Times New Roman" w:cs="Times New Roman"/>
          <w:rtl/>
          <w:lang w:eastAsia="de-DE"/>
        </w:rPr>
        <w:t xml:space="preserve"> </w:t>
      </w:r>
      <w:r w:rsidRPr="002B14D4">
        <w:rPr>
          <w:rFonts w:eastAsia="Times New Roman" w:cs="Times New Roman"/>
          <w:lang w:eastAsia="de-DE"/>
        </w:rPr>
        <w:t xml:space="preserve">„sechs" mit Plural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 xml:space="preserve">„Städte" und </w:t>
      </w:r>
      <w:r w:rsidRPr="002B14D4">
        <w:rPr>
          <w:rFonts w:eastAsia="Times New Roman" w:cs="Times New Roman"/>
          <w:b/>
          <w:bCs/>
          <w:rtl/>
          <w:lang w:eastAsia="de-DE"/>
        </w:rPr>
        <w:t>מִקְלָט</w:t>
      </w:r>
      <w:r w:rsidRPr="002B14D4">
        <w:rPr>
          <w:rFonts w:eastAsia="Times New Roman" w:cs="Times New Roman"/>
          <w:rtl/>
          <w:lang w:eastAsia="de-DE"/>
        </w:rPr>
        <w:t xml:space="preserve"> </w:t>
      </w:r>
      <w:r w:rsidRPr="002B14D4">
        <w:rPr>
          <w:rFonts w:eastAsia="Times New Roman" w:cs="Times New Roman"/>
          <w:lang w:eastAsia="de-DE"/>
        </w:rPr>
        <w:t xml:space="preserve">„Zuflucht" mit Artikel „die sechs Zufluchtsstädte"). Das Nomen </w:t>
      </w:r>
      <w:r w:rsidRPr="002B14D4">
        <w:rPr>
          <w:rFonts w:eastAsia="Times New Roman" w:cs="Times New Roman"/>
          <w:b/>
          <w:bCs/>
          <w:rtl/>
          <w:lang w:eastAsia="de-DE"/>
        </w:rPr>
        <w:t>מִקְלָט</w:t>
      </w:r>
      <w:r w:rsidRPr="002B14D4">
        <w:rPr>
          <w:rFonts w:eastAsia="Times New Roman" w:cs="Times New Roman"/>
          <w:rtl/>
          <w:lang w:eastAsia="de-DE"/>
        </w:rPr>
        <w:t xml:space="preserve"> </w:t>
      </w:r>
      <w:r w:rsidRPr="002B14D4">
        <w:rPr>
          <w:rFonts w:eastAsia="Times New Roman" w:cs="Times New Roman"/>
          <w:lang w:eastAsia="de-DE"/>
        </w:rPr>
        <w:t xml:space="preserve">ist von der Wurzel </w:t>
      </w:r>
      <w:r w:rsidRPr="002B14D4">
        <w:rPr>
          <w:rFonts w:eastAsia="Times New Roman" w:cs="Times New Roman"/>
          <w:b/>
          <w:bCs/>
          <w:rtl/>
          <w:lang w:eastAsia="de-DE"/>
        </w:rPr>
        <w:t>קלט</w:t>
      </w:r>
      <w:r w:rsidRPr="002B14D4">
        <w:rPr>
          <w:rFonts w:eastAsia="Times New Roman" w:cs="Times New Roman"/>
          <w:rtl/>
          <w:lang w:eastAsia="de-DE"/>
        </w:rPr>
        <w:t xml:space="preserve"> </w:t>
      </w:r>
      <w:r w:rsidRPr="002B14D4">
        <w:rPr>
          <w:rFonts w:eastAsia="Times New Roman" w:cs="Times New Roman"/>
          <w:lang w:eastAsia="de-DE"/>
        </w:rPr>
        <w:t xml:space="preserve">abgeleitet, die im Qal nicht vorkommt, aber im Piel „aufnehmen, empfangen" bedeutet - </w:t>
      </w:r>
      <w:r w:rsidRPr="002B14D4">
        <w:rPr>
          <w:rFonts w:eastAsia="Times New Roman" w:cs="Times New Roman"/>
          <w:b/>
          <w:bCs/>
          <w:rtl/>
          <w:lang w:eastAsia="de-DE"/>
        </w:rPr>
        <w:t>מִקְלָט</w:t>
      </w:r>
      <w:r w:rsidRPr="002B14D4">
        <w:rPr>
          <w:rFonts w:eastAsia="Times New Roman" w:cs="Times New Roman"/>
          <w:rtl/>
          <w:lang w:eastAsia="de-DE"/>
        </w:rPr>
        <w:t xml:space="preserve"> </w:t>
      </w:r>
      <w:r w:rsidRPr="002B14D4">
        <w:rPr>
          <w:rFonts w:eastAsia="Times New Roman" w:cs="Times New Roman"/>
          <w:lang w:eastAsia="de-DE"/>
        </w:rPr>
        <w:t xml:space="preserve">ist also ein Ort der Aufnahme, der Zuflucht. </w:t>
      </w:r>
      <w:r w:rsidRPr="002B14D4">
        <w:rPr>
          <w:rFonts w:eastAsia="Times New Roman" w:cs="Times New Roman"/>
          <w:b/>
          <w:bCs/>
          <w:rtl/>
          <w:lang w:eastAsia="de-DE"/>
        </w:rPr>
        <w:t>אֲשֶׁר תִּתְּנוּ לָנֻס שָׁמָּה הָרֹצֵחַ</w:t>
      </w:r>
      <w:r w:rsidRPr="002B14D4">
        <w:rPr>
          <w:rFonts w:eastAsia="Times New Roman" w:cs="Times New Roman"/>
          <w:rtl/>
          <w:lang w:eastAsia="de-DE"/>
        </w:rPr>
        <w:t xml:space="preserve"> </w:t>
      </w:r>
      <w:r w:rsidRPr="002B14D4">
        <w:rPr>
          <w:rFonts w:eastAsia="Times New Roman" w:cs="Times New Roman"/>
          <w:lang w:eastAsia="de-DE"/>
        </w:rPr>
        <w:t xml:space="preserve">ist der Relativsatz, der den Zweck erklärt. </w:t>
      </w:r>
      <w:r w:rsidRPr="002B14D4">
        <w:rPr>
          <w:rFonts w:eastAsia="Times New Roman" w:cs="Times New Roman"/>
          <w:b/>
          <w:bCs/>
          <w:rtl/>
          <w:lang w:eastAsia="de-DE"/>
        </w:rPr>
        <w:t>תִּתְּנוּ</w:t>
      </w:r>
      <w:r w:rsidRPr="002B14D4">
        <w:rPr>
          <w:rFonts w:eastAsia="Times New Roman" w:cs="Times New Roman"/>
          <w:rtl/>
          <w:lang w:eastAsia="de-DE"/>
        </w:rPr>
        <w:t xml:space="preserve"> </w:t>
      </w:r>
      <w:r w:rsidRPr="002B14D4">
        <w:rPr>
          <w:rFonts w:eastAsia="Times New Roman" w:cs="Times New Roman"/>
          <w:lang w:eastAsia="de-DE"/>
        </w:rPr>
        <w:t xml:space="preserve">(Qal Imperfekt 2. Person Plural von </w:t>
      </w:r>
      <w:r w:rsidRPr="002B14D4">
        <w:rPr>
          <w:rFonts w:eastAsia="Times New Roman" w:cs="Times New Roman"/>
          <w:b/>
          <w:bCs/>
          <w:rtl/>
          <w:lang w:eastAsia="de-DE"/>
        </w:rPr>
        <w:t>נתן</w:t>
      </w:r>
      <w:r w:rsidRPr="002B14D4">
        <w:rPr>
          <w:rFonts w:eastAsia="Times New Roman" w:cs="Times New Roman"/>
          <w:lang w:eastAsia="de-DE"/>
        </w:rPr>
        <w:t xml:space="preserve">), </w:t>
      </w:r>
      <w:r w:rsidRPr="002B14D4">
        <w:rPr>
          <w:rFonts w:eastAsia="Times New Roman" w:cs="Times New Roman"/>
          <w:b/>
          <w:bCs/>
          <w:rtl/>
          <w:lang w:eastAsia="de-DE"/>
        </w:rPr>
        <w:t>לָנֻס</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mit Qal Infinitiv </w:t>
      </w:r>
      <w:r w:rsidR="00E031B3">
        <w:rPr>
          <w:rFonts w:eastAsia="Times New Roman" w:cs="Times New Roman"/>
          <w:lang w:eastAsia="de-DE"/>
        </w:rPr>
        <w:t>Constructus von</w:t>
      </w:r>
      <w:r w:rsidRPr="002B14D4">
        <w:rPr>
          <w:rFonts w:eastAsia="Times New Roman" w:cs="Times New Roman"/>
          <w:lang w:eastAsia="de-DE"/>
        </w:rPr>
        <w:t xml:space="preserve"> </w:t>
      </w:r>
      <w:r w:rsidRPr="002B14D4">
        <w:rPr>
          <w:rFonts w:eastAsia="Times New Roman" w:cs="Times New Roman"/>
          <w:b/>
          <w:bCs/>
          <w:rtl/>
          <w:lang w:eastAsia="de-DE"/>
        </w:rPr>
        <w:t>נוס</w:t>
      </w:r>
      <w:r w:rsidRPr="002B14D4">
        <w:rPr>
          <w:rFonts w:eastAsia="Times New Roman" w:cs="Times New Roman"/>
          <w:rtl/>
          <w:lang w:eastAsia="de-DE"/>
        </w:rPr>
        <w:t xml:space="preserve"> </w:t>
      </w:r>
      <w:r w:rsidRPr="002B14D4">
        <w:rPr>
          <w:rFonts w:eastAsia="Times New Roman" w:cs="Times New Roman"/>
          <w:lang w:eastAsia="de-DE"/>
        </w:rPr>
        <w:t xml:space="preserve">„fliehen" „damit fliehe"), </w:t>
      </w:r>
      <w:r w:rsidRPr="002B14D4">
        <w:rPr>
          <w:rFonts w:eastAsia="Times New Roman" w:cs="Times New Roman"/>
          <w:b/>
          <w:bCs/>
          <w:rtl/>
          <w:lang w:eastAsia="de-DE"/>
        </w:rPr>
        <w:t>שָׁמָּה</w:t>
      </w:r>
      <w:r w:rsidRPr="002B14D4">
        <w:rPr>
          <w:rFonts w:eastAsia="Times New Roman" w:cs="Times New Roman"/>
          <w:rtl/>
          <w:lang w:eastAsia="de-DE"/>
        </w:rPr>
        <w:t xml:space="preserve"> </w:t>
      </w:r>
      <w:r w:rsidRPr="002B14D4">
        <w:rPr>
          <w:rFonts w:eastAsia="Times New Roman" w:cs="Times New Roman"/>
          <w:lang w:eastAsia="de-DE"/>
        </w:rPr>
        <w:t xml:space="preserve">(Adverb „dorthin"), </w:t>
      </w:r>
      <w:r w:rsidRPr="002B14D4">
        <w:rPr>
          <w:rFonts w:eastAsia="Times New Roman" w:cs="Times New Roman"/>
          <w:b/>
          <w:bCs/>
          <w:rtl/>
          <w:lang w:eastAsia="de-DE"/>
        </w:rPr>
        <w:t>הָרֹצֵחַ</w:t>
      </w:r>
      <w:r w:rsidRPr="002B14D4">
        <w:rPr>
          <w:rFonts w:eastAsia="Times New Roman" w:cs="Times New Roman"/>
          <w:rtl/>
          <w:lang w:eastAsia="de-DE"/>
        </w:rPr>
        <w:t xml:space="preserve"> </w:t>
      </w:r>
      <w:r w:rsidRPr="002B14D4">
        <w:rPr>
          <w:rFonts w:eastAsia="Times New Roman" w:cs="Times New Roman"/>
          <w:lang w:eastAsia="de-DE"/>
        </w:rPr>
        <w:t xml:space="preserve">(Qal-Partizip von </w:t>
      </w:r>
      <w:r w:rsidRPr="002B14D4">
        <w:rPr>
          <w:rFonts w:eastAsia="Times New Roman" w:cs="Times New Roman"/>
          <w:b/>
          <w:bCs/>
          <w:rtl/>
          <w:lang w:eastAsia="de-DE"/>
        </w:rPr>
        <w:t>רצח</w:t>
      </w:r>
      <w:r w:rsidRPr="002B14D4">
        <w:rPr>
          <w:rFonts w:eastAsia="Times New Roman" w:cs="Times New Roman"/>
          <w:rtl/>
          <w:lang w:eastAsia="de-DE"/>
        </w:rPr>
        <w:t xml:space="preserve"> </w:t>
      </w:r>
      <w:r w:rsidRPr="002B14D4">
        <w:rPr>
          <w:rFonts w:eastAsia="Times New Roman" w:cs="Times New Roman"/>
          <w:lang w:eastAsia="de-DE"/>
        </w:rPr>
        <w:t xml:space="preserve">„morden, töten" mit Artikel „der Totschläger, der Mörder"). Der Begriff </w:t>
      </w:r>
      <w:r w:rsidRPr="002B14D4">
        <w:rPr>
          <w:rFonts w:eastAsia="Times New Roman" w:cs="Times New Roman"/>
          <w:b/>
          <w:bCs/>
          <w:rtl/>
          <w:lang w:eastAsia="de-DE"/>
        </w:rPr>
        <w:t>רֹצֵחַ</w:t>
      </w:r>
      <w:r w:rsidRPr="002B14D4">
        <w:rPr>
          <w:rFonts w:eastAsia="Times New Roman" w:cs="Times New Roman"/>
          <w:rtl/>
          <w:lang w:eastAsia="de-DE"/>
        </w:rPr>
        <w:t xml:space="preserve"> </w:t>
      </w:r>
      <w:r w:rsidRPr="002B14D4">
        <w:rPr>
          <w:rFonts w:eastAsia="Times New Roman" w:cs="Times New Roman"/>
          <w:lang w:eastAsia="de-DE"/>
        </w:rPr>
        <w:t>ist hier neutral - er bezeichnet jeden, der einen Menschen getötet hat, unabhängig davon ob absichtlich oder versehentlich. Die Unterscheidung folgt später.</w:t>
      </w:r>
    </w:p>
    <w:p w14:paraId="0DE267F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rtl/>
          <w:lang w:eastAsia="de-DE"/>
        </w:rPr>
        <w:t>וַעֲלֵיהֶם תִּתְּנוּ אַרְבָּעִים וּשְׁתַּיִם עִיר</w:t>
      </w:r>
      <w:r w:rsidRPr="002B14D4">
        <w:rPr>
          <w:rFonts w:eastAsia="Times New Roman" w:cs="Times New Roman"/>
          <w:rtl/>
          <w:lang w:eastAsia="de-DE"/>
        </w:rPr>
        <w:t xml:space="preserve"> </w:t>
      </w:r>
      <w:r w:rsidRPr="002B14D4">
        <w:rPr>
          <w:rFonts w:eastAsia="Times New Roman" w:cs="Times New Roman"/>
          <w:lang w:eastAsia="de-DE"/>
        </w:rPr>
        <w:t xml:space="preserve">gibt die zusätzlichen Städte an. </w:t>
      </w:r>
      <w:r w:rsidRPr="002B14D4">
        <w:rPr>
          <w:rFonts w:eastAsia="Times New Roman" w:cs="Times New Roman"/>
          <w:b/>
          <w:bCs/>
          <w:rtl/>
          <w:lang w:eastAsia="de-DE"/>
        </w:rPr>
        <w:t>וַעֲלֵיהֶם</w:t>
      </w:r>
      <w:r w:rsidRPr="002B14D4">
        <w:rPr>
          <w:rFonts w:eastAsia="Times New Roman" w:cs="Times New Roman"/>
          <w:rtl/>
          <w:lang w:eastAsia="de-DE"/>
        </w:rPr>
        <w:t xml:space="preserve"> </w:t>
      </w:r>
      <w:r w:rsidRPr="002B14D4">
        <w:rPr>
          <w:rFonts w:eastAsia="Times New Roman" w:cs="Times New Roman"/>
          <w:lang w:eastAsia="de-DE"/>
        </w:rPr>
        <w:t xml:space="preserve">(Konjunktion mit Präposition </w:t>
      </w:r>
      <w:r w:rsidRPr="002B14D4">
        <w:rPr>
          <w:rFonts w:eastAsia="Times New Roman" w:cs="Times New Roman"/>
          <w:b/>
          <w:bCs/>
          <w:rtl/>
          <w:lang w:eastAsia="de-DE"/>
        </w:rPr>
        <w:t>עַל</w:t>
      </w:r>
      <w:r w:rsidRPr="002B14D4">
        <w:rPr>
          <w:rFonts w:eastAsia="Times New Roman" w:cs="Times New Roman"/>
          <w:rtl/>
          <w:lang w:eastAsia="de-DE"/>
        </w:rPr>
        <w:t xml:space="preserve"> </w:t>
      </w:r>
      <w:r w:rsidRPr="002B14D4">
        <w:rPr>
          <w:rFonts w:eastAsia="Times New Roman" w:cs="Times New Roman"/>
          <w:lang w:eastAsia="de-DE"/>
        </w:rPr>
        <w:t xml:space="preserve">„auf, zusätzlich zu" und Suffix 3. Person Plural „und zusätzlich zu ihnen, außer ihnen"), </w:t>
      </w:r>
      <w:r w:rsidRPr="002B14D4">
        <w:rPr>
          <w:rFonts w:eastAsia="Times New Roman" w:cs="Times New Roman"/>
          <w:b/>
          <w:bCs/>
          <w:rtl/>
          <w:lang w:eastAsia="de-DE"/>
        </w:rPr>
        <w:t>תִּתְּנוּ</w:t>
      </w:r>
      <w:r w:rsidRPr="002B14D4">
        <w:rPr>
          <w:rFonts w:eastAsia="Times New Roman" w:cs="Times New Roman"/>
          <w:rtl/>
          <w:lang w:eastAsia="de-DE"/>
        </w:rPr>
        <w:t xml:space="preserve"> </w:t>
      </w:r>
      <w:r w:rsidRPr="002B14D4">
        <w:rPr>
          <w:rFonts w:eastAsia="Times New Roman" w:cs="Times New Roman"/>
          <w:lang w:eastAsia="de-DE"/>
        </w:rPr>
        <w:t xml:space="preserve">(Qal Imperfekt 2. Person Plural von </w:t>
      </w:r>
      <w:r w:rsidRPr="002B14D4">
        <w:rPr>
          <w:rFonts w:eastAsia="Times New Roman" w:cs="Times New Roman"/>
          <w:b/>
          <w:bCs/>
          <w:rtl/>
          <w:lang w:eastAsia="de-DE"/>
        </w:rPr>
        <w:t>נתן</w:t>
      </w:r>
      <w:r w:rsidRPr="002B14D4">
        <w:rPr>
          <w:rFonts w:eastAsia="Times New Roman" w:cs="Times New Roman"/>
          <w:lang w:eastAsia="de-DE"/>
        </w:rPr>
        <w:t xml:space="preserve">), </w:t>
      </w:r>
      <w:r w:rsidRPr="002B14D4">
        <w:rPr>
          <w:rFonts w:eastAsia="Times New Roman" w:cs="Times New Roman"/>
          <w:b/>
          <w:bCs/>
          <w:rtl/>
          <w:lang w:eastAsia="de-DE"/>
        </w:rPr>
        <w:t>אַרְבָּעִים וּשְׁתַּיִם עִיר</w:t>
      </w:r>
      <w:r w:rsidRPr="002B14D4">
        <w:rPr>
          <w:rFonts w:eastAsia="Times New Roman" w:cs="Times New Roman"/>
          <w:rtl/>
          <w:lang w:eastAsia="de-DE"/>
        </w:rPr>
        <w:t xml:space="preserve"> </w:t>
      </w:r>
      <w:r w:rsidRPr="002B14D4">
        <w:rPr>
          <w:rFonts w:eastAsia="Times New Roman" w:cs="Times New Roman"/>
          <w:lang w:eastAsia="de-DE"/>
        </w:rPr>
        <w:t xml:space="preserve">(Kardinalzahlen „vierzig und zwei" = 42 mit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„Stadt" Singular). Die Gesamtzahl: 6 + 42 = 48 Levitenstädte.</w:t>
      </w:r>
    </w:p>
    <w:p w14:paraId="675AFB76"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 Akkusativobjekt mit Relativsatz, gefolgt von einer zusätzlichen Mengenangabe.</w:t>
      </w:r>
    </w:p>
    <w:p w14:paraId="286DC08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Der Vers führt ein fundamentales rechtliches und soziales Konzept ein: die </w:t>
      </w:r>
      <w:r w:rsidRPr="002B14D4">
        <w:rPr>
          <w:rFonts w:eastAsia="Times New Roman" w:cs="Times New Roman"/>
          <w:b/>
          <w:bCs/>
          <w:rtl/>
          <w:lang w:eastAsia="de-DE"/>
        </w:rPr>
        <w:t>עָרֵי מִקְלָט</w:t>
      </w:r>
      <w:r w:rsidRPr="002B14D4">
        <w:rPr>
          <w:rFonts w:eastAsia="Times New Roman" w:cs="Times New Roman"/>
          <w:rtl/>
          <w:lang w:eastAsia="de-DE"/>
        </w:rPr>
        <w:t xml:space="preserve"> </w:t>
      </w:r>
      <w:r w:rsidRPr="002B14D4">
        <w:rPr>
          <w:rFonts w:eastAsia="Times New Roman" w:cs="Times New Roman"/>
          <w:lang w:eastAsia="de-DE"/>
        </w:rPr>
        <w:t xml:space="preserve">(Zufluchtsstädte). Diese sechs Städte unter den 48 Levitenstädten haben eine spezielle Funktion - sie bieten Schutz für Totschläger vor der </w:t>
      </w:r>
      <w:r w:rsidRPr="002B14D4">
        <w:rPr>
          <w:rFonts w:eastAsia="Times New Roman" w:cs="Times New Roman"/>
          <w:b/>
          <w:bCs/>
          <w:rtl/>
          <w:lang w:eastAsia="de-DE"/>
        </w:rPr>
        <w:t>גְּאֻלַּת הַדָּם</w:t>
      </w:r>
      <w:r w:rsidRPr="002B14D4">
        <w:rPr>
          <w:rFonts w:eastAsia="Times New Roman" w:cs="Times New Roman"/>
          <w:rtl/>
          <w:lang w:eastAsia="de-DE"/>
        </w:rPr>
        <w:t xml:space="preserve"> </w:t>
      </w:r>
      <w:r w:rsidRPr="002B14D4">
        <w:rPr>
          <w:rFonts w:eastAsia="Times New Roman" w:cs="Times New Roman"/>
          <w:lang w:eastAsia="de-DE"/>
        </w:rPr>
        <w:t xml:space="preserve">(Blutrache). Die Verbindung zu den Leviten ist bedeutsam: Als priesterlicher Stamm ohne eigenes Territorium sind die Leviten über ganz Israel verteilt und können daher ein landesweites Netz von Zufluchtsorten gewährleisten. Die Zahl sechs (je drei östlich und westlich des Jordan, wie V. 14 zeigen wird) </w:t>
      </w:r>
      <w:r w:rsidRPr="002B14D4">
        <w:rPr>
          <w:rFonts w:eastAsia="Times New Roman" w:cs="Times New Roman"/>
          <w:lang w:eastAsia="de-DE"/>
        </w:rPr>
        <w:lastRenderedPageBreak/>
        <w:t>stellt sicher, dass jeder Totschläger eine erreichbare Zuflucht hat. Dies ist ein revolutionäres Rechtsprinzip: Zwischen sofortiger Blutrache und Straflosigkeit wird ein dritter Weg geschaffen - vorläufiger Schutz bis zur gerichtlichen Klärung, ob vorsätzlicher Mord oder unbeabsichtigte Tötung vorliegt.</w:t>
      </w:r>
    </w:p>
    <w:p w14:paraId="15809D2B"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35,7</w:t>
      </w:r>
    </w:p>
    <w:p w14:paraId="021A3A17"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כָּל־הֶעָרִ֗ים אֲשֶׁ֤ר תִּתְּנוּ֙ לַלְוִיִּ֔ם אַרְבָּעִ֥ים וּשְׁמֹנֶ֖ה עִ֑יר אֶתְהֶ֖ן וְאֶת־מִגְרְשֵׁיהֶֽן׃</w:t>
      </w:r>
    </w:p>
    <w:p w14:paraId="43333210"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Alle Städte, die ihr den Levijim geben sollt, sollen 48 Städte sein, sie und ihre Weideplätze.</w:t>
      </w:r>
    </w:p>
    <w:p w14:paraId="1E146203"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59665385">
          <v:rect id="_x0000_i2066" style="width:0;height:1.5pt" o:hralign="center" o:hrstd="t" o:hr="t" fillcolor="#a0a0a0" stroked="f"/>
        </w:pict>
      </w:r>
    </w:p>
    <w:p w14:paraId="0F00E18A"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fasst die Gesamtzahl zusammen. </w:t>
      </w:r>
      <w:r w:rsidRPr="002B14D4">
        <w:rPr>
          <w:rFonts w:eastAsia="Times New Roman" w:cs="Times New Roman"/>
          <w:b/>
          <w:bCs/>
          <w:rtl/>
          <w:lang w:eastAsia="de-DE"/>
        </w:rPr>
        <w:t>כָּל־הֶעָרִים אֲשֶׁר תִּתְּנוּ לַלְוִיִּם</w:t>
      </w:r>
      <w:r w:rsidRPr="002B14D4">
        <w:rPr>
          <w:rFonts w:eastAsia="Times New Roman" w:cs="Times New Roman"/>
          <w:rtl/>
          <w:lang w:eastAsia="de-DE"/>
        </w:rPr>
        <w:t xml:space="preserve"> </w:t>
      </w:r>
      <w:r w:rsidRPr="002B14D4">
        <w:rPr>
          <w:rFonts w:eastAsia="Times New Roman" w:cs="Times New Roman"/>
          <w:lang w:eastAsia="de-DE"/>
        </w:rPr>
        <w:t xml:space="preserve">ist das Subjekt. </w:t>
      </w:r>
      <w:r w:rsidRPr="002B14D4">
        <w:rPr>
          <w:rFonts w:eastAsia="Times New Roman" w:cs="Times New Roman"/>
          <w:b/>
          <w:bCs/>
          <w:rtl/>
          <w:lang w:eastAsia="de-DE"/>
        </w:rPr>
        <w:t>כָּל־הֶעָרִים</w:t>
      </w:r>
      <w:r w:rsidRPr="002B14D4">
        <w:rPr>
          <w:rFonts w:eastAsia="Times New Roman" w:cs="Times New Roman"/>
          <w:rtl/>
          <w:lang w:eastAsia="de-DE"/>
        </w:rPr>
        <w:t xml:space="preserve"> </w:t>
      </w:r>
      <w:r w:rsidRPr="002B14D4">
        <w:rPr>
          <w:rFonts w:eastAsia="Times New Roman" w:cs="Times New Roman"/>
          <w:lang w:eastAsia="de-DE"/>
        </w:rPr>
        <w:t>(</w:t>
      </w:r>
      <w:r w:rsidRPr="002B14D4">
        <w:rPr>
          <w:rFonts w:eastAsia="Times New Roman" w:cs="Times New Roman"/>
          <w:b/>
          <w:bCs/>
          <w:rtl/>
          <w:lang w:eastAsia="de-DE"/>
        </w:rPr>
        <w:t>כֹּל</w:t>
      </w:r>
      <w:r w:rsidRPr="002B14D4">
        <w:rPr>
          <w:rFonts w:eastAsia="Times New Roman" w:cs="Times New Roman"/>
          <w:rtl/>
          <w:lang w:eastAsia="de-DE"/>
        </w:rPr>
        <w:t xml:space="preserve"> </w:t>
      </w:r>
      <w:r w:rsidRPr="002B14D4">
        <w:rPr>
          <w:rFonts w:eastAsia="Times New Roman" w:cs="Times New Roman"/>
          <w:lang w:eastAsia="de-DE"/>
        </w:rPr>
        <w:t xml:space="preserve">„alle" mit Plural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 xml:space="preserve">mit Artikel „alle Städte"), </w:t>
      </w:r>
      <w:r w:rsidRPr="002B14D4">
        <w:rPr>
          <w:rFonts w:eastAsia="Times New Roman" w:cs="Times New Roman"/>
          <w:b/>
          <w:bCs/>
          <w:rtl/>
          <w:lang w:eastAsia="de-DE"/>
        </w:rPr>
        <w:t>אֲשֶׁר תִּתְּנוּ לַלְוִיִּם</w:t>
      </w:r>
      <w:r w:rsidRPr="002B14D4">
        <w:rPr>
          <w:rFonts w:eastAsia="Times New Roman" w:cs="Times New Roman"/>
          <w:rtl/>
          <w:lang w:eastAsia="de-DE"/>
        </w:rPr>
        <w:t xml:space="preserve"> </w:t>
      </w:r>
      <w:r w:rsidRPr="002B14D4">
        <w:rPr>
          <w:rFonts w:eastAsia="Times New Roman" w:cs="Times New Roman"/>
          <w:lang w:eastAsia="de-DE"/>
        </w:rPr>
        <w:t xml:space="preserve">(Relativsatz wie in V. 6). </w:t>
      </w:r>
      <w:r w:rsidRPr="002B14D4">
        <w:rPr>
          <w:rFonts w:eastAsia="Times New Roman" w:cs="Times New Roman"/>
          <w:b/>
          <w:bCs/>
          <w:rtl/>
          <w:lang w:eastAsia="de-DE"/>
        </w:rPr>
        <w:t>אַרְבָּעִים וּשְׁמֹנֶה עִיר</w:t>
      </w:r>
      <w:r w:rsidRPr="002B14D4">
        <w:rPr>
          <w:rFonts w:eastAsia="Times New Roman" w:cs="Times New Roman"/>
          <w:rtl/>
          <w:lang w:eastAsia="de-DE"/>
        </w:rPr>
        <w:t xml:space="preserve"> </w:t>
      </w:r>
      <w:r w:rsidRPr="002B14D4">
        <w:rPr>
          <w:rFonts w:eastAsia="Times New Roman" w:cs="Times New Roman"/>
          <w:lang w:eastAsia="de-DE"/>
        </w:rPr>
        <w:t xml:space="preserve">ist die Gesamtsumme. </w:t>
      </w:r>
      <w:r w:rsidRPr="002B14D4">
        <w:rPr>
          <w:rFonts w:eastAsia="Times New Roman" w:cs="Times New Roman"/>
          <w:b/>
          <w:bCs/>
          <w:rtl/>
          <w:lang w:eastAsia="de-DE"/>
        </w:rPr>
        <w:t>אַרְבָּעִים וּשְׁמֹנֶה</w:t>
      </w:r>
      <w:r w:rsidRPr="002B14D4">
        <w:rPr>
          <w:rFonts w:eastAsia="Times New Roman" w:cs="Times New Roman"/>
          <w:rtl/>
          <w:lang w:eastAsia="de-DE"/>
        </w:rPr>
        <w:t xml:space="preserve"> </w:t>
      </w:r>
      <w:r w:rsidRPr="002B14D4">
        <w:rPr>
          <w:rFonts w:eastAsia="Times New Roman" w:cs="Times New Roman"/>
          <w:lang w:eastAsia="de-DE"/>
        </w:rPr>
        <w:t xml:space="preserve">(„vierzig und acht" = 48),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 xml:space="preserve">(Singular nach Zahlwörtern). </w:t>
      </w:r>
      <w:r w:rsidRPr="002B14D4">
        <w:rPr>
          <w:rFonts w:eastAsia="Times New Roman" w:cs="Times New Roman"/>
          <w:b/>
          <w:bCs/>
          <w:rtl/>
          <w:lang w:eastAsia="de-DE"/>
        </w:rPr>
        <w:t>אֶתְהֶן וְאֶת־מִגְרְשֵׁיהֶן</w:t>
      </w:r>
      <w:r w:rsidRPr="002B14D4">
        <w:rPr>
          <w:rFonts w:eastAsia="Times New Roman" w:cs="Times New Roman"/>
          <w:rtl/>
          <w:lang w:eastAsia="de-DE"/>
        </w:rPr>
        <w:t xml:space="preserve"> </w:t>
      </w:r>
      <w:r w:rsidRPr="002B14D4">
        <w:rPr>
          <w:rFonts w:eastAsia="Times New Roman" w:cs="Times New Roman"/>
          <w:lang w:eastAsia="de-DE"/>
        </w:rPr>
        <w:t xml:space="preserve">präzisiert. </w:t>
      </w:r>
      <w:r w:rsidRPr="002B14D4">
        <w:rPr>
          <w:rFonts w:eastAsia="Times New Roman" w:cs="Times New Roman"/>
          <w:b/>
          <w:bCs/>
          <w:rtl/>
          <w:lang w:eastAsia="de-DE"/>
        </w:rPr>
        <w:t>אֶתְהֶן</w:t>
      </w:r>
      <w:r w:rsidRPr="002B14D4">
        <w:rPr>
          <w:rFonts w:eastAsia="Times New Roman" w:cs="Times New Roman"/>
          <w:rtl/>
          <w:lang w:eastAsia="de-DE"/>
        </w:rPr>
        <w:t xml:space="preserve"> </w:t>
      </w:r>
      <w:r w:rsidRPr="002B14D4">
        <w:rPr>
          <w:rFonts w:eastAsia="Times New Roman" w:cs="Times New Roman"/>
          <w:lang w:eastAsia="de-DE"/>
        </w:rPr>
        <w:t xml:space="preserve">(Akkusativpartikel mit Suffix 3. Person feminin Plural „sie"), </w:t>
      </w:r>
      <w:r w:rsidRPr="002B14D4">
        <w:rPr>
          <w:rFonts w:eastAsia="Times New Roman" w:cs="Times New Roman"/>
          <w:b/>
          <w:bCs/>
          <w:rtl/>
          <w:lang w:eastAsia="de-DE"/>
        </w:rPr>
        <w:t>וְאֶת־מִגְרְשֵׁיהֶן</w:t>
      </w:r>
      <w:r w:rsidRPr="002B14D4">
        <w:rPr>
          <w:rFonts w:eastAsia="Times New Roman" w:cs="Times New Roman"/>
          <w:rtl/>
          <w:lang w:eastAsia="de-DE"/>
        </w:rPr>
        <w:t xml:space="preserve"> </w:t>
      </w:r>
      <w:r w:rsidRPr="002B14D4">
        <w:rPr>
          <w:rFonts w:eastAsia="Times New Roman" w:cs="Times New Roman"/>
          <w:lang w:eastAsia="de-DE"/>
        </w:rPr>
        <w:t xml:space="preserve">(Konjunktion mit Akkusativpartikel und Plural von </w:t>
      </w:r>
      <w:r w:rsidRPr="002B14D4">
        <w:rPr>
          <w:rFonts w:eastAsia="Times New Roman" w:cs="Times New Roman"/>
          <w:b/>
          <w:bCs/>
          <w:rtl/>
          <w:lang w:eastAsia="de-DE"/>
        </w:rPr>
        <w:t>מִגְרָשׁ</w:t>
      </w:r>
      <w:r w:rsidRPr="002B14D4">
        <w:rPr>
          <w:rFonts w:eastAsia="Times New Roman" w:cs="Times New Roman"/>
          <w:rtl/>
          <w:lang w:eastAsia="de-DE"/>
        </w:rPr>
        <w:t xml:space="preserve"> </w:t>
      </w:r>
      <w:r w:rsidRPr="002B14D4">
        <w:rPr>
          <w:rFonts w:eastAsia="Times New Roman" w:cs="Times New Roman"/>
          <w:lang w:eastAsia="de-DE"/>
        </w:rPr>
        <w:t>„Weideplätze" mit Suffix „und ihre Weideplätze").</w:t>
      </w:r>
    </w:p>
    <w:p w14:paraId="35CBCB9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 Subjekt mit Relativsatz, eine Zahlenangabe und eine präzisierende Ergänzung.</w:t>
      </w:r>
    </w:p>
    <w:p w14:paraId="664F1FA6"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Der Vers unterstreicht: 48 Städte insgesamt - eine beträchtliche Zahl, die den Leviten eine angemessene Verteilung über ganz Israel sichert. Die Ergänzung </w:t>
      </w:r>
      <w:r w:rsidRPr="002B14D4">
        <w:rPr>
          <w:rFonts w:eastAsia="Times New Roman" w:cs="Times New Roman"/>
          <w:b/>
          <w:bCs/>
          <w:rtl/>
          <w:lang w:eastAsia="de-DE"/>
        </w:rPr>
        <w:t>אֶתְהֶן וְאֶת־מִגְרְשֵׁיהֶן</w:t>
      </w:r>
      <w:r w:rsidRPr="002B14D4">
        <w:rPr>
          <w:rFonts w:eastAsia="Times New Roman" w:cs="Times New Roman"/>
          <w:rtl/>
          <w:lang w:eastAsia="de-DE"/>
        </w:rPr>
        <w:t xml:space="preserve"> </w:t>
      </w:r>
      <w:r w:rsidRPr="002B14D4">
        <w:rPr>
          <w:rFonts w:eastAsia="Times New Roman" w:cs="Times New Roman"/>
          <w:lang w:eastAsia="de-DE"/>
        </w:rPr>
        <w:t>betont, dass zu jeder Stadt auch die Weideplätze gehören - eine vollständige wirtschaftliche Grundlage.</w:t>
      </w:r>
    </w:p>
    <w:p w14:paraId="047E0670"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35,8</w:t>
      </w:r>
    </w:p>
    <w:p w14:paraId="71C9B613"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וְהֶֽעָרִ֗ים אֲשֶׁ֤ר תִּתְּנוּ֙ מֵאֲחֻזַּ֣ת בְּנֵי־יִשְׂרָאֵ֔ל מֵאֵ֤ת הָרַב֙ תַּרְבּ֔וּ וּמֵאֵ֥ת הַמְעַ֖ט תַּמְעִ֑יטוּ אִ֗ישׁ כְּפִ֤י נַחֲלָתוֹ֙ אֲשֶׁ֣ר יִנְחָ֔לוּ יִתֵּ֥ן מֵעָרָ֖יו לַלְוִיִּֽם׃</w:t>
      </w:r>
    </w:p>
    <w:p w14:paraId="625AEA5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Und die Städte, die ihr vom Besitz der Söhne Jisra'el geben sollt: Von dem Vielen sollt ihr viel nehmen, und von dem Wenigen sollt ihr wenig nehmen; jeder entsprechend seinem Erbteil, das sie erben werden, soll von seinen Städten den Levijim geben.</w:t>
      </w:r>
    </w:p>
    <w:p w14:paraId="54DDEE8A"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459F0183">
          <v:rect id="_x0000_i2067" style="width:0;height:1.5pt" o:hralign="center" o:hrstd="t" o:hr="t" fillcolor="#a0a0a0" stroked="f"/>
        </w:pict>
      </w:r>
    </w:p>
    <w:p w14:paraId="61150E87" w14:textId="4F7B319C"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regelt die proportionale Verteilung der Last. </w:t>
      </w:r>
      <w:r w:rsidRPr="002B14D4">
        <w:rPr>
          <w:rFonts w:eastAsia="Times New Roman" w:cs="Times New Roman"/>
          <w:b/>
          <w:bCs/>
          <w:rtl/>
          <w:lang w:eastAsia="de-DE"/>
        </w:rPr>
        <w:t>וְהֶעָרִים אֲשֶׁר תִּתְּנוּ מֵאֲחֻזַּת בְּנֵי־יִשְׂרָאֵל</w:t>
      </w:r>
      <w:r w:rsidRPr="002B14D4">
        <w:rPr>
          <w:rFonts w:eastAsia="Times New Roman" w:cs="Times New Roman"/>
          <w:rtl/>
          <w:lang w:eastAsia="de-DE"/>
        </w:rPr>
        <w:t xml:space="preserve"> </w:t>
      </w:r>
      <w:r w:rsidRPr="002B14D4">
        <w:rPr>
          <w:rFonts w:eastAsia="Times New Roman" w:cs="Times New Roman"/>
          <w:lang w:eastAsia="de-DE"/>
        </w:rPr>
        <w:t xml:space="preserve">ist das Subjekt. </w:t>
      </w:r>
      <w:r w:rsidRPr="002B14D4">
        <w:rPr>
          <w:rFonts w:eastAsia="Times New Roman" w:cs="Times New Roman"/>
          <w:b/>
          <w:bCs/>
          <w:rtl/>
          <w:lang w:eastAsia="de-DE"/>
        </w:rPr>
        <w:t>מֵאֲחֻזַּת בְּנֵי־יִשְׂרָאֵל</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מִן</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אֲחֻזָּה</w:t>
      </w:r>
      <w:r w:rsidRPr="002B14D4">
        <w:rPr>
          <w:rFonts w:eastAsia="Times New Roman" w:cs="Times New Roman"/>
          <w:rtl/>
          <w:lang w:eastAsia="de-DE"/>
        </w:rPr>
        <w:t xml:space="preserve"> </w:t>
      </w:r>
      <w:r w:rsidRPr="002B14D4">
        <w:rPr>
          <w:rFonts w:eastAsia="Times New Roman" w:cs="Times New Roman"/>
          <w:lang w:eastAsia="de-DE"/>
        </w:rPr>
        <w:t xml:space="preserve">„Besitztum" im </w:t>
      </w:r>
      <w:r w:rsidR="00E031B3">
        <w:rPr>
          <w:rFonts w:eastAsia="Times New Roman" w:cs="Times New Roman"/>
          <w:lang w:eastAsia="de-DE"/>
        </w:rPr>
        <w:t>Constructus und</w:t>
      </w:r>
      <w:r w:rsidRPr="002B14D4">
        <w:rPr>
          <w:rFonts w:eastAsia="Times New Roman" w:cs="Times New Roman"/>
          <w:lang w:eastAsia="de-DE"/>
        </w:rPr>
        <w:t xml:space="preserve"> „Söhne Israels" „vom Besitz der Söhne Israels"). </w:t>
      </w:r>
      <w:r w:rsidRPr="002B14D4">
        <w:rPr>
          <w:rFonts w:eastAsia="Times New Roman" w:cs="Times New Roman"/>
          <w:b/>
          <w:bCs/>
          <w:rtl/>
          <w:lang w:eastAsia="de-DE"/>
        </w:rPr>
        <w:t>מֵאֵת הָרַב תַּרְבּוּ וּמֵאֵת הַמְעַט תַּמְעִיטוּ</w:t>
      </w:r>
      <w:r w:rsidRPr="002B14D4">
        <w:rPr>
          <w:rFonts w:eastAsia="Times New Roman" w:cs="Times New Roman"/>
          <w:rtl/>
          <w:lang w:eastAsia="de-DE"/>
        </w:rPr>
        <w:t xml:space="preserve"> </w:t>
      </w:r>
      <w:r w:rsidRPr="002B14D4">
        <w:rPr>
          <w:rFonts w:eastAsia="Times New Roman" w:cs="Times New Roman"/>
          <w:lang w:eastAsia="de-DE"/>
        </w:rPr>
        <w:t xml:space="preserve">ist das Proportionalitätsprinzip. </w:t>
      </w:r>
      <w:r w:rsidRPr="002B14D4">
        <w:rPr>
          <w:rFonts w:eastAsia="Times New Roman" w:cs="Times New Roman"/>
          <w:b/>
          <w:bCs/>
          <w:rtl/>
          <w:lang w:eastAsia="de-DE"/>
        </w:rPr>
        <w:t>מֵאֵת הָרַב</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מִן</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אֵת</w:t>
      </w:r>
      <w:r w:rsidRPr="002B14D4">
        <w:rPr>
          <w:rFonts w:eastAsia="Times New Roman" w:cs="Times New Roman"/>
          <w:rtl/>
          <w:lang w:eastAsia="de-DE"/>
        </w:rPr>
        <w:t xml:space="preserve"> </w:t>
      </w:r>
      <w:r w:rsidRPr="002B14D4">
        <w:rPr>
          <w:rFonts w:eastAsia="Times New Roman" w:cs="Times New Roman"/>
          <w:lang w:eastAsia="de-DE"/>
        </w:rPr>
        <w:t xml:space="preserve">und </w:t>
      </w:r>
      <w:r w:rsidRPr="002B14D4">
        <w:rPr>
          <w:rFonts w:eastAsia="Times New Roman" w:cs="Times New Roman"/>
          <w:b/>
          <w:bCs/>
          <w:rtl/>
          <w:lang w:eastAsia="de-DE"/>
        </w:rPr>
        <w:t>רַב</w:t>
      </w:r>
      <w:r w:rsidRPr="002B14D4">
        <w:rPr>
          <w:rFonts w:eastAsia="Times New Roman" w:cs="Times New Roman"/>
          <w:rtl/>
          <w:lang w:eastAsia="de-DE"/>
        </w:rPr>
        <w:t xml:space="preserve"> </w:t>
      </w:r>
      <w:r w:rsidRPr="002B14D4">
        <w:rPr>
          <w:rFonts w:eastAsia="Times New Roman" w:cs="Times New Roman"/>
          <w:lang w:eastAsia="de-DE"/>
        </w:rPr>
        <w:t xml:space="preserve">„viel, zahlreich" mit Artikel „von dem Vielen/Zahlreichen"), </w:t>
      </w:r>
      <w:r w:rsidRPr="002B14D4">
        <w:rPr>
          <w:rFonts w:eastAsia="Times New Roman" w:cs="Times New Roman"/>
          <w:b/>
          <w:bCs/>
          <w:rtl/>
          <w:lang w:eastAsia="de-DE"/>
        </w:rPr>
        <w:t>תַּרְבּוּ</w:t>
      </w:r>
      <w:r w:rsidRPr="002B14D4">
        <w:rPr>
          <w:rFonts w:eastAsia="Times New Roman" w:cs="Times New Roman"/>
          <w:rtl/>
          <w:lang w:eastAsia="de-DE"/>
        </w:rPr>
        <w:t xml:space="preserve"> </w:t>
      </w:r>
      <w:r w:rsidRPr="002B14D4">
        <w:rPr>
          <w:rFonts w:eastAsia="Times New Roman" w:cs="Times New Roman"/>
          <w:lang w:eastAsia="de-DE"/>
        </w:rPr>
        <w:t xml:space="preserve">(Hiphil Imperfekt 2. Person Plural von </w:t>
      </w:r>
      <w:r w:rsidRPr="002B14D4">
        <w:rPr>
          <w:rFonts w:eastAsia="Times New Roman" w:cs="Times New Roman"/>
          <w:b/>
          <w:bCs/>
          <w:rtl/>
          <w:lang w:eastAsia="de-DE"/>
        </w:rPr>
        <w:t>רבה</w:t>
      </w:r>
      <w:r w:rsidRPr="002B14D4">
        <w:rPr>
          <w:rFonts w:eastAsia="Times New Roman" w:cs="Times New Roman"/>
          <w:rtl/>
          <w:lang w:eastAsia="de-DE"/>
        </w:rPr>
        <w:t xml:space="preserve"> </w:t>
      </w:r>
      <w:r w:rsidRPr="002B14D4">
        <w:rPr>
          <w:rFonts w:eastAsia="Times New Roman" w:cs="Times New Roman"/>
          <w:lang w:eastAsia="de-DE"/>
        </w:rPr>
        <w:t xml:space="preserve">„mehren, viel nehmen"), </w:t>
      </w:r>
      <w:r w:rsidRPr="002B14D4">
        <w:rPr>
          <w:rFonts w:eastAsia="Times New Roman" w:cs="Times New Roman"/>
          <w:b/>
          <w:bCs/>
          <w:rtl/>
          <w:lang w:eastAsia="de-DE"/>
        </w:rPr>
        <w:t>וּמֵאֵת הַמְעַט</w:t>
      </w:r>
      <w:r w:rsidRPr="002B14D4">
        <w:rPr>
          <w:rFonts w:eastAsia="Times New Roman" w:cs="Times New Roman"/>
          <w:rtl/>
          <w:lang w:eastAsia="de-DE"/>
        </w:rPr>
        <w:t xml:space="preserve"> </w:t>
      </w:r>
      <w:r w:rsidRPr="002B14D4">
        <w:rPr>
          <w:rFonts w:eastAsia="Times New Roman" w:cs="Times New Roman"/>
          <w:lang w:eastAsia="de-DE"/>
        </w:rPr>
        <w:t xml:space="preserve">(Konjunktion mit </w:t>
      </w:r>
      <w:r w:rsidRPr="002B14D4">
        <w:rPr>
          <w:rFonts w:eastAsia="Times New Roman" w:cs="Times New Roman"/>
          <w:b/>
          <w:bCs/>
          <w:rtl/>
          <w:lang w:eastAsia="de-DE"/>
        </w:rPr>
        <w:t>מְעַט</w:t>
      </w:r>
      <w:r w:rsidRPr="002B14D4">
        <w:rPr>
          <w:rFonts w:eastAsia="Times New Roman" w:cs="Times New Roman"/>
          <w:rtl/>
          <w:lang w:eastAsia="de-DE"/>
        </w:rPr>
        <w:t xml:space="preserve"> </w:t>
      </w:r>
      <w:r w:rsidRPr="002B14D4">
        <w:rPr>
          <w:rFonts w:eastAsia="Times New Roman" w:cs="Times New Roman"/>
          <w:lang w:eastAsia="de-DE"/>
        </w:rPr>
        <w:t xml:space="preserve">„wenig"), </w:t>
      </w:r>
      <w:r w:rsidRPr="002B14D4">
        <w:rPr>
          <w:rFonts w:eastAsia="Times New Roman" w:cs="Times New Roman"/>
          <w:b/>
          <w:bCs/>
          <w:rtl/>
          <w:lang w:eastAsia="de-DE"/>
        </w:rPr>
        <w:t>תַּמְעִיטוּ</w:t>
      </w:r>
      <w:r w:rsidRPr="002B14D4">
        <w:rPr>
          <w:rFonts w:eastAsia="Times New Roman" w:cs="Times New Roman"/>
          <w:rtl/>
          <w:lang w:eastAsia="de-DE"/>
        </w:rPr>
        <w:t xml:space="preserve"> </w:t>
      </w:r>
      <w:r w:rsidRPr="002B14D4">
        <w:rPr>
          <w:rFonts w:eastAsia="Times New Roman" w:cs="Times New Roman"/>
          <w:lang w:eastAsia="de-DE"/>
        </w:rPr>
        <w:t xml:space="preserve">(Hiphil Imperfekt 2. Person Plural von </w:t>
      </w:r>
      <w:r w:rsidRPr="002B14D4">
        <w:rPr>
          <w:rFonts w:eastAsia="Times New Roman" w:cs="Times New Roman"/>
          <w:b/>
          <w:bCs/>
          <w:rtl/>
          <w:lang w:eastAsia="de-DE"/>
        </w:rPr>
        <w:t>מעט</w:t>
      </w:r>
      <w:r w:rsidRPr="002B14D4">
        <w:rPr>
          <w:rFonts w:eastAsia="Times New Roman" w:cs="Times New Roman"/>
          <w:rtl/>
          <w:lang w:eastAsia="de-DE"/>
        </w:rPr>
        <w:t xml:space="preserve"> </w:t>
      </w:r>
      <w:r w:rsidRPr="002B14D4">
        <w:rPr>
          <w:rFonts w:eastAsia="Times New Roman" w:cs="Times New Roman"/>
          <w:lang w:eastAsia="de-DE"/>
        </w:rPr>
        <w:t>„verringern, wenig nehmen").</w:t>
      </w:r>
    </w:p>
    <w:p w14:paraId="7FDB4E8B" w14:textId="15B2B8DF"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rtl/>
          <w:lang w:eastAsia="de-DE"/>
        </w:rPr>
        <w:lastRenderedPageBreak/>
        <w:t>אִישׁ כְּפִי נַחֲלָתוֹ אֲשֶׁר יִנְחָלוּ יִתֵּן מֵעָרָיו לַלְוִיִּם</w:t>
      </w:r>
      <w:r w:rsidRPr="002B14D4">
        <w:rPr>
          <w:rFonts w:eastAsia="Times New Roman" w:cs="Times New Roman"/>
          <w:rtl/>
          <w:lang w:eastAsia="de-DE"/>
        </w:rPr>
        <w:t xml:space="preserve"> </w:t>
      </w:r>
      <w:r w:rsidRPr="002B14D4">
        <w:rPr>
          <w:rFonts w:eastAsia="Times New Roman" w:cs="Times New Roman"/>
          <w:lang w:eastAsia="de-DE"/>
        </w:rPr>
        <w:t xml:space="preserve">ist die Zusammenfassung. </w:t>
      </w:r>
      <w:r w:rsidRPr="002B14D4">
        <w:rPr>
          <w:rFonts w:eastAsia="Times New Roman" w:cs="Times New Roman"/>
          <w:b/>
          <w:bCs/>
          <w:rtl/>
          <w:lang w:eastAsia="de-DE"/>
        </w:rPr>
        <w:t>אִישׁ</w:t>
      </w:r>
      <w:r w:rsidRPr="002B14D4">
        <w:rPr>
          <w:rFonts w:eastAsia="Times New Roman" w:cs="Times New Roman"/>
          <w:rtl/>
          <w:lang w:eastAsia="de-DE"/>
        </w:rPr>
        <w:t xml:space="preserve"> </w:t>
      </w:r>
      <w:r w:rsidRPr="002B14D4">
        <w:rPr>
          <w:rFonts w:eastAsia="Times New Roman" w:cs="Times New Roman"/>
          <w:lang w:eastAsia="de-DE"/>
        </w:rPr>
        <w:t xml:space="preserve">(distributiv „jeder"), </w:t>
      </w:r>
      <w:r w:rsidRPr="002B14D4">
        <w:rPr>
          <w:rFonts w:eastAsia="Times New Roman" w:cs="Times New Roman"/>
          <w:b/>
          <w:bCs/>
          <w:rtl/>
          <w:lang w:eastAsia="de-DE"/>
        </w:rPr>
        <w:t>כְּפִי נַחֲלָתוֹ</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כְּ</w:t>
      </w:r>
      <w:r w:rsidRPr="002B14D4">
        <w:rPr>
          <w:rFonts w:eastAsia="Times New Roman" w:cs="Times New Roman"/>
          <w:rtl/>
          <w:lang w:eastAsia="de-DE"/>
        </w:rPr>
        <w:t xml:space="preserve"> </w:t>
      </w:r>
      <w:r w:rsidRPr="002B14D4">
        <w:rPr>
          <w:rFonts w:eastAsia="Times New Roman" w:cs="Times New Roman"/>
          <w:lang w:eastAsia="de-DE"/>
        </w:rPr>
        <w:t xml:space="preserve">„wie, gemäß" mit </w:t>
      </w:r>
      <w:r w:rsidRPr="002B14D4">
        <w:rPr>
          <w:rFonts w:eastAsia="Times New Roman" w:cs="Times New Roman"/>
          <w:b/>
          <w:bCs/>
          <w:rtl/>
          <w:lang w:eastAsia="de-DE"/>
        </w:rPr>
        <w:t>פֶּה</w:t>
      </w:r>
      <w:r w:rsidRPr="002B14D4">
        <w:rPr>
          <w:rFonts w:eastAsia="Times New Roman" w:cs="Times New Roman"/>
          <w:rtl/>
          <w:lang w:eastAsia="de-DE"/>
        </w:rPr>
        <w:t xml:space="preserve"> </w:t>
      </w:r>
      <w:r w:rsidRPr="002B14D4">
        <w:rPr>
          <w:rFonts w:eastAsia="Times New Roman" w:cs="Times New Roman"/>
          <w:lang w:eastAsia="de-DE"/>
        </w:rPr>
        <w:t xml:space="preserve">„Mund" im </w:t>
      </w:r>
      <w:r w:rsidR="00B513FF">
        <w:rPr>
          <w:rFonts w:eastAsia="Times New Roman" w:cs="Times New Roman"/>
          <w:lang w:eastAsia="de-DE"/>
        </w:rPr>
        <w:t xml:space="preserve">Constructus </w:t>
      </w:r>
      <w:r w:rsidRPr="002B14D4">
        <w:rPr>
          <w:rFonts w:eastAsia="Times New Roman" w:cs="Times New Roman"/>
          <w:lang w:eastAsia="de-DE"/>
        </w:rPr>
        <w:t xml:space="preserve"> - idiomatisch „entsprechend, gemäß" - und </w:t>
      </w:r>
      <w:r w:rsidRPr="002B14D4">
        <w:rPr>
          <w:rFonts w:eastAsia="Times New Roman" w:cs="Times New Roman"/>
          <w:b/>
          <w:bCs/>
          <w:rtl/>
          <w:lang w:eastAsia="de-DE"/>
        </w:rPr>
        <w:t>נַחֲלָה</w:t>
      </w:r>
      <w:r w:rsidRPr="002B14D4">
        <w:rPr>
          <w:rFonts w:eastAsia="Times New Roman" w:cs="Times New Roman"/>
          <w:rtl/>
          <w:lang w:eastAsia="de-DE"/>
        </w:rPr>
        <w:t xml:space="preserve"> </w:t>
      </w:r>
      <w:r w:rsidRPr="002B14D4">
        <w:rPr>
          <w:rFonts w:eastAsia="Times New Roman" w:cs="Times New Roman"/>
          <w:lang w:eastAsia="de-DE"/>
        </w:rPr>
        <w:t xml:space="preserve">„Erbteil" mit Suffix 3. Person maskulin Singular „entsprechend seinem Erbteil"), </w:t>
      </w:r>
      <w:r w:rsidRPr="002B14D4">
        <w:rPr>
          <w:rFonts w:eastAsia="Times New Roman" w:cs="Times New Roman"/>
          <w:b/>
          <w:bCs/>
          <w:rtl/>
          <w:lang w:eastAsia="de-DE"/>
        </w:rPr>
        <w:t>אֲשֶׁר יִנְחָלוּ</w:t>
      </w:r>
      <w:r w:rsidRPr="002B14D4">
        <w:rPr>
          <w:rFonts w:eastAsia="Times New Roman" w:cs="Times New Roman"/>
          <w:rtl/>
          <w:lang w:eastAsia="de-DE"/>
        </w:rPr>
        <w:t xml:space="preserve"> </w:t>
      </w:r>
      <w:r w:rsidRPr="002B14D4">
        <w:rPr>
          <w:rFonts w:eastAsia="Times New Roman" w:cs="Times New Roman"/>
          <w:lang w:eastAsia="de-DE"/>
        </w:rPr>
        <w:t xml:space="preserve">(Relativsatz: Qal Imperfekt 3. Person Plural von </w:t>
      </w:r>
      <w:r w:rsidRPr="002B14D4">
        <w:rPr>
          <w:rFonts w:eastAsia="Times New Roman" w:cs="Times New Roman"/>
          <w:b/>
          <w:bCs/>
          <w:rtl/>
          <w:lang w:eastAsia="de-DE"/>
        </w:rPr>
        <w:t>נחל</w:t>
      </w:r>
      <w:r w:rsidRPr="002B14D4">
        <w:rPr>
          <w:rFonts w:eastAsia="Times New Roman" w:cs="Times New Roman"/>
          <w:rtl/>
          <w:lang w:eastAsia="de-DE"/>
        </w:rPr>
        <w:t xml:space="preserve"> </w:t>
      </w:r>
      <w:r w:rsidRPr="002B14D4">
        <w:rPr>
          <w:rFonts w:eastAsia="Times New Roman" w:cs="Times New Roman"/>
          <w:lang w:eastAsia="de-DE"/>
        </w:rPr>
        <w:t xml:space="preserve">„erben" „das sie erben werden"), </w:t>
      </w:r>
      <w:r w:rsidRPr="002B14D4">
        <w:rPr>
          <w:rFonts w:eastAsia="Times New Roman" w:cs="Times New Roman"/>
          <w:b/>
          <w:bCs/>
          <w:rtl/>
          <w:lang w:eastAsia="de-DE"/>
        </w:rPr>
        <w:t>יִתֵּן מֵעָרָיו לַלְוִיִּם</w:t>
      </w:r>
      <w:r w:rsidRPr="002B14D4">
        <w:rPr>
          <w:rFonts w:eastAsia="Times New Roman" w:cs="Times New Roman"/>
          <w:rtl/>
          <w:lang w:eastAsia="de-DE"/>
        </w:rPr>
        <w:t xml:space="preserve"> </w:t>
      </w:r>
      <w:r w:rsidRPr="002B14D4">
        <w:rPr>
          <w:rFonts w:eastAsia="Times New Roman" w:cs="Times New Roman"/>
          <w:lang w:eastAsia="de-DE"/>
        </w:rPr>
        <w:t xml:space="preserve">(Qal Imperfekt 3. Person maskulin Singular von </w:t>
      </w:r>
      <w:r w:rsidRPr="002B14D4">
        <w:rPr>
          <w:rFonts w:eastAsia="Times New Roman" w:cs="Times New Roman"/>
          <w:b/>
          <w:bCs/>
          <w:rtl/>
          <w:lang w:eastAsia="de-DE"/>
        </w:rPr>
        <w:t>נתן</w:t>
      </w:r>
      <w:r w:rsidRPr="002B14D4">
        <w:rPr>
          <w:rFonts w:eastAsia="Times New Roman" w:cs="Times New Roman"/>
          <w:rtl/>
          <w:lang w:eastAsia="de-DE"/>
        </w:rPr>
        <w:t xml:space="preserve"> </w:t>
      </w:r>
      <w:r w:rsidRPr="002B14D4">
        <w:rPr>
          <w:rFonts w:eastAsia="Times New Roman" w:cs="Times New Roman"/>
          <w:lang w:eastAsia="de-DE"/>
        </w:rPr>
        <w:t xml:space="preserve">„geben" mit Präposition </w:t>
      </w:r>
      <w:r w:rsidRPr="002B14D4">
        <w:rPr>
          <w:rFonts w:eastAsia="Times New Roman" w:cs="Times New Roman"/>
          <w:b/>
          <w:bCs/>
          <w:rtl/>
          <w:lang w:eastAsia="de-DE"/>
        </w:rPr>
        <w:t>מִן</w:t>
      </w:r>
      <w:r w:rsidRPr="002B14D4">
        <w:rPr>
          <w:rFonts w:eastAsia="Times New Roman" w:cs="Times New Roman"/>
          <w:rtl/>
          <w:lang w:eastAsia="de-DE"/>
        </w:rPr>
        <w:t xml:space="preserve"> </w:t>
      </w:r>
      <w:r w:rsidRPr="002B14D4">
        <w:rPr>
          <w:rFonts w:eastAsia="Times New Roman" w:cs="Times New Roman"/>
          <w:lang w:eastAsia="de-DE"/>
        </w:rPr>
        <w:t xml:space="preserve">und Plural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mit Suffix und Dativ „soll von seinen Städten den Leviten geben").</w:t>
      </w:r>
    </w:p>
    <w:p w14:paraId="7B1CF66C"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 Subjekt, ein Proportionalitätsprinzip und eine zusammenfassende Anwendung.</w:t>
      </w:r>
    </w:p>
    <w:p w14:paraId="21268246"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Der Vers etabliert ein gerechtes Verteilungsprinzip: Größere Stämme mit mehr Land geben mehr Städte, kleinere Stämme weniger - dasselbe Prinzip wie bei der Landverteilung in 33,54 und 34,54. Dies verhindert, dass kleinere Stämme unverhältnismäßig belastet werden. Die 48 Städte werden also nicht gleichmäßig auf die Stämme verteilt, sondern proportional zu deren Landbesitz - ein Prinzip der distributiven Gerechtigkeit.</w:t>
      </w:r>
    </w:p>
    <w:p w14:paraId="5D6086C7"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35,9</w:t>
      </w:r>
    </w:p>
    <w:p w14:paraId="5B1F67D8"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וַיְדַבֵּ֥ר יְהוָ֖ה אֶל־מֹשֶׁ֥ה לֵּאמֹֽר׃</w:t>
      </w:r>
    </w:p>
    <w:p w14:paraId="5EDFA45B"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Und der Ewige redete zu Mosche, sagend:</w:t>
      </w:r>
    </w:p>
    <w:p w14:paraId="44B11D8F"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0009E386">
          <v:rect id="_x0000_i2068" style="width:0;height:1.5pt" o:hralign="center" o:hrstd="t" o:hr="t" fillcolor="#a0a0a0" stroked="f"/>
        </w:pict>
      </w:r>
    </w:p>
    <w:p w14:paraId="59C7E35F"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Eine neue Redeeinleitung markiert den Übergang zur detaillierten Regelung der Zufluchtsstädte.</w:t>
      </w:r>
    </w:p>
    <w:p w14:paraId="646A86FB"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Der Vers leitet die spezifischen Gesetze über die </w:t>
      </w:r>
      <w:r w:rsidRPr="002B14D4">
        <w:rPr>
          <w:rFonts w:eastAsia="Times New Roman" w:cs="Times New Roman"/>
          <w:b/>
          <w:bCs/>
          <w:rtl/>
          <w:lang w:eastAsia="de-DE"/>
        </w:rPr>
        <w:t>עָרֵי מִקְלָט</w:t>
      </w:r>
      <w:r w:rsidRPr="002B14D4">
        <w:rPr>
          <w:rFonts w:eastAsia="Times New Roman" w:cs="Times New Roman"/>
          <w:rtl/>
          <w:lang w:eastAsia="de-DE"/>
        </w:rPr>
        <w:t xml:space="preserve"> </w:t>
      </w:r>
      <w:r w:rsidRPr="002B14D4">
        <w:rPr>
          <w:rFonts w:eastAsia="Times New Roman" w:cs="Times New Roman"/>
          <w:lang w:eastAsia="de-DE"/>
        </w:rPr>
        <w:t>ein, die nun ausführlich behandelt werden.</w:t>
      </w:r>
    </w:p>
    <w:p w14:paraId="65C9325C"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35,10</w:t>
      </w:r>
    </w:p>
    <w:p w14:paraId="729DD1D4"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דַּבֵּר֙ אֶל־בְּנֵ֣י יִשְׂרָאֵ֔ל וְאָמַרְתָּ֖ אֲלֵהֶ֑ם כִּ֥י אַתֶּ֛ם עֹבְרִ֥ים אֶת־הַיַּרְדֵּ֖ן אַ֥רְצָה כְּנָֽעַן׃</w:t>
      </w:r>
    </w:p>
    <w:p w14:paraId="2B87AD20"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Rede zu den Söhnen Jisra'el und sage zu ihnen: Wenn ihr über den Jarden in das Land Kena'an übergeht,</w:t>
      </w:r>
    </w:p>
    <w:p w14:paraId="0F0968E3"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166A327F">
          <v:rect id="_x0000_i2069" style="width:0;height:1.5pt" o:hralign="center" o:hrstd="t" o:hr="t" fillcolor="#a0a0a0" stroked="f"/>
        </w:pict>
      </w:r>
    </w:p>
    <w:p w14:paraId="77099225"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enthält die Aufforderung an Mose. </w:t>
      </w:r>
      <w:r w:rsidRPr="002B14D4">
        <w:rPr>
          <w:rFonts w:eastAsia="Times New Roman" w:cs="Times New Roman"/>
          <w:b/>
          <w:bCs/>
          <w:rtl/>
          <w:lang w:eastAsia="de-DE"/>
        </w:rPr>
        <w:t>דַּבֵּר אֶל־בְּנֵי יִשְׂרָאֵל וְאָמַרְתָּ אֲלֵהֶם</w:t>
      </w:r>
      <w:r w:rsidRPr="002B14D4">
        <w:rPr>
          <w:rFonts w:eastAsia="Times New Roman" w:cs="Times New Roman"/>
          <w:rtl/>
          <w:lang w:eastAsia="de-DE"/>
        </w:rPr>
        <w:t xml:space="preserve"> </w:t>
      </w:r>
      <w:r w:rsidRPr="002B14D4">
        <w:rPr>
          <w:rFonts w:eastAsia="Times New Roman" w:cs="Times New Roman"/>
          <w:lang w:eastAsia="de-DE"/>
        </w:rPr>
        <w:t xml:space="preserve">ist die doppelte Redeaufforderung (Piel Imperativ von </w:t>
      </w:r>
      <w:r w:rsidRPr="002B14D4">
        <w:rPr>
          <w:rFonts w:eastAsia="Times New Roman" w:cs="Times New Roman"/>
          <w:b/>
          <w:bCs/>
          <w:rtl/>
          <w:lang w:eastAsia="de-DE"/>
        </w:rPr>
        <w:t>דבר</w:t>
      </w:r>
      <w:r w:rsidRPr="002B14D4">
        <w:rPr>
          <w:rFonts w:eastAsia="Times New Roman" w:cs="Times New Roman"/>
          <w:rtl/>
          <w:lang w:eastAsia="de-DE"/>
        </w:rPr>
        <w:t xml:space="preserve"> </w:t>
      </w:r>
      <w:r w:rsidRPr="002B14D4">
        <w:rPr>
          <w:rFonts w:eastAsia="Times New Roman" w:cs="Times New Roman"/>
          <w:lang w:eastAsia="de-DE"/>
        </w:rPr>
        <w:t xml:space="preserve">und Qal Perfekt mit Waw consecutivum von </w:t>
      </w:r>
      <w:r w:rsidRPr="002B14D4">
        <w:rPr>
          <w:rFonts w:eastAsia="Times New Roman" w:cs="Times New Roman"/>
          <w:b/>
          <w:bCs/>
          <w:rtl/>
          <w:lang w:eastAsia="de-DE"/>
        </w:rPr>
        <w:t>אמר</w:t>
      </w:r>
      <w:r w:rsidRPr="002B14D4">
        <w:rPr>
          <w:rFonts w:eastAsia="Times New Roman" w:cs="Times New Roman"/>
          <w:lang w:eastAsia="de-DE"/>
        </w:rPr>
        <w:t xml:space="preserve">). </w:t>
      </w:r>
      <w:r w:rsidRPr="002B14D4">
        <w:rPr>
          <w:rFonts w:eastAsia="Times New Roman" w:cs="Times New Roman"/>
          <w:b/>
          <w:bCs/>
          <w:rtl/>
          <w:lang w:eastAsia="de-DE"/>
        </w:rPr>
        <w:t>כִּי אַתֶּם עֹבְרִים אֶת־הַיַּרְדֵּן אַרְצָה כְּנָעַן</w:t>
      </w:r>
      <w:r w:rsidRPr="002B14D4">
        <w:rPr>
          <w:rFonts w:eastAsia="Times New Roman" w:cs="Times New Roman"/>
          <w:rtl/>
          <w:lang w:eastAsia="de-DE"/>
        </w:rPr>
        <w:t xml:space="preserve"> </w:t>
      </w:r>
      <w:r w:rsidRPr="002B14D4">
        <w:rPr>
          <w:rFonts w:eastAsia="Times New Roman" w:cs="Times New Roman"/>
          <w:lang w:eastAsia="de-DE"/>
        </w:rPr>
        <w:t xml:space="preserve">ist die temporale Einleitung. </w:t>
      </w:r>
      <w:r w:rsidRPr="002B14D4">
        <w:rPr>
          <w:rFonts w:eastAsia="Times New Roman" w:cs="Times New Roman"/>
          <w:b/>
          <w:bCs/>
          <w:rtl/>
          <w:lang w:eastAsia="de-DE"/>
        </w:rPr>
        <w:t>כִּי</w:t>
      </w:r>
      <w:r w:rsidRPr="002B14D4">
        <w:rPr>
          <w:rFonts w:eastAsia="Times New Roman" w:cs="Times New Roman"/>
          <w:rtl/>
          <w:lang w:eastAsia="de-DE"/>
        </w:rPr>
        <w:t xml:space="preserve"> </w:t>
      </w:r>
      <w:r w:rsidRPr="002B14D4">
        <w:rPr>
          <w:rFonts w:eastAsia="Times New Roman" w:cs="Times New Roman"/>
          <w:lang w:eastAsia="de-DE"/>
        </w:rPr>
        <w:t xml:space="preserve">(temporal „wenn"), </w:t>
      </w:r>
      <w:r w:rsidRPr="002B14D4">
        <w:rPr>
          <w:rFonts w:eastAsia="Times New Roman" w:cs="Times New Roman"/>
          <w:b/>
          <w:bCs/>
          <w:rtl/>
          <w:lang w:eastAsia="de-DE"/>
        </w:rPr>
        <w:t>אַתֶּם עֹבְרִים</w:t>
      </w:r>
      <w:r w:rsidRPr="002B14D4">
        <w:rPr>
          <w:rFonts w:eastAsia="Times New Roman" w:cs="Times New Roman"/>
          <w:rtl/>
          <w:lang w:eastAsia="de-DE"/>
        </w:rPr>
        <w:t xml:space="preserve"> </w:t>
      </w:r>
      <w:r w:rsidRPr="002B14D4">
        <w:rPr>
          <w:rFonts w:eastAsia="Times New Roman" w:cs="Times New Roman"/>
          <w:lang w:eastAsia="de-DE"/>
        </w:rPr>
        <w:t xml:space="preserve">(Partizip - unmittelbar bevorstehende Handlung), </w:t>
      </w:r>
      <w:r w:rsidRPr="002B14D4">
        <w:rPr>
          <w:rFonts w:eastAsia="Times New Roman" w:cs="Times New Roman"/>
          <w:b/>
          <w:bCs/>
          <w:rtl/>
          <w:lang w:eastAsia="de-DE"/>
        </w:rPr>
        <w:t>אֶת־הַיַּרְדֵּן</w:t>
      </w:r>
      <w:r w:rsidRPr="002B14D4">
        <w:rPr>
          <w:rFonts w:eastAsia="Times New Roman" w:cs="Times New Roman"/>
          <w:rtl/>
          <w:lang w:eastAsia="de-DE"/>
        </w:rPr>
        <w:t xml:space="preserve"> </w:t>
      </w:r>
      <w:r w:rsidRPr="002B14D4">
        <w:rPr>
          <w:rFonts w:eastAsia="Times New Roman" w:cs="Times New Roman"/>
          <w:lang w:eastAsia="de-DE"/>
        </w:rPr>
        <w:t xml:space="preserve">(„den Jordan"), </w:t>
      </w:r>
      <w:r w:rsidRPr="002B14D4">
        <w:rPr>
          <w:rFonts w:eastAsia="Times New Roman" w:cs="Times New Roman"/>
          <w:b/>
          <w:bCs/>
          <w:rtl/>
          <w:lang w:eastAsia="de-DE"/>
        </w:rPr>
        <w:t>אַרְצָה כְּנָעַן</w:t>
      </w:r>
      <w:r w:rsidRPr="002B14D4">
        <w:rPr>
          <w:rFonts w:eastAsia="Times New Roman" w:cs="Times New Roman"/>
          <w:rtl/>
          <w:lang w:eastAsia="de-DE"/>
        </w:rPr>
        <w:t xml:space="preserve"> </w:t>
      </w:r>
      <w:r w:rsidRPr="002B14D4">
        <w:rPr>
          <w:rFonts w:eastAsia="Times New Roman" w:cs="Times New Roman"/>
          <w:lang w:eastAsia="de-DE"/>
        </w:rPr>
        <w:t>(</w:t>
      </w:r>
      <w:r w:rsidRPr="002B14D4">
        <w:rPr>
          <w:rFonts w:eastAsia="Times New Roman" w:cs="Times New Roman"/>
          <w:b/>
          <w:bCs/>
          <w:rtl/>
          <w:lang w:eastAsia="de-DE"/>
        </w:rPr>
        <w:t>אֶרֶץ</w:t>
      </w:r>
      <w:r w:rsidRPr="002B14D4">
        <w:rPr>
          <w:rFonts w:eastAsia="Times New Roman" w:cs="Times New Roman"/>
          <w:rtl/>
          <w:lang w:eastAsia="de-DE"/>
        </w:rPr>
        <w:t xml:space="preserve"> </w:t>
      </w:r>
      <w:r w:rsidRPr="002B14D4">
        <w:rPr>
          <w:rFonts w:eastAsia="Times New Roman" w:cs="Times New Roman"/>
          <w:lang w:eastAsia="de-DE"/>
        </w:rPr>
        <w:t xml:space="preserve">„Land" mit Richtungsendung </w:t>
      </w:r>
      <w:r w:rsidRPr="002B14D4">
        <w:rPr>
          <w:rFonts w:eastAsia="Times New Roman" w:cs="Times New Roman"/>
          <w:b/>
          <w:bCs/>
          <w:rtl/>
          <w:lang w:eastAsia="de-DE"/>
        </w:rPr>
        <w:t>־ָה</w:t>
      </w:r>
      <w:r w:rsidRPr="002B14D4">
        <w:rPr>
          <w:rFonts w:eastAsia="Times New Roman" w:cs="Times New Roman"/>
          <w:rtl/>
          <w:lang w:eastAsia="de-DE"/>
        </w:rPr>
        <w:t xml:space="preserve"> </w:t>
      </w:r>
      <w:r w:rsidRPr="002B14D4">
        <w:rPr>
          <w:rFonts w:eastAsia="Times New Roman" w:cs="Times New Roman"/>
          <w:lang w:eastAsia="de-DE"/>
        </w:rPr>
        <w:t xml:space="preserve">und </w:t>
      </w:r>
      <w:r w:rsidRPr="002B14D4">
        <w:rPr>
          <w:rFonts w:eastAsia="Times New Roman" w:cs="Times New Roman"/>
          <w:b/>
          <w:bCs/>
          <w:rtl/>
          <w:lang w:eastAsia="de-DE"/>
        </w:rPr>
        <w:t>כְּנַעַן</w:t>
      </w:r>
      <w:r w:rsidRPr="002B14D4">
        <w:rPr>
          <w:rFonts w:eastAsia="Times New Roman" w:cs="Times New Roman"/>
          <w:rtl/>
          <w:lang w:eastAsia="de-DE"/>
        </w:rPr>
        <w:t xml:space="preserve"> </w:t>
      </w:r>
      <w:r w:rsidRPr="002B14D4">
        <w:rPr>
          <w:rFonts w:eastAsia="Times New Roman" w:cs="Times New Roman"/>
          <w:lang w:eastAsia="de-DE"/>
        </w:rPr>
        <w:t>„Kanaan" „in das Land Kanaan").</w:t>
      </w:r>
    </w:p>
    <w:p w14:paraId="2664719B"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eine doppelte Redeaufforderung mit temporaler Bedingung.</w:t>
      </w:r>
    </w:p>
    <w:p w14:paraId="76670472"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lastRenderedPageBreak/>
        <w:t>Der Vers setzt erneut die Landnahme als unmittelbar bevorstehend voraus - die Regelungen gelten für das Leben im verheißenen Land.</w:t>
      </w:r>
    </w:p>
    <w:p w14:paraId="2C3461A5"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35,11</w:t>
      </w:r>
    </w:p>
    <w:p w14:paraId="7092B175"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וְהִקְרִיתֶ֤ם לָכֶם֙ עָרִ֔ים עָרֵ֥י מִקְלָ֖ט תִּהְיֶ֣ינָה לָכֶ֑ם וְנָ֥ס שָׁ֙מָּה֙ רֹצֵ֔חַ מַכֵּה־נֶ֖פֶשׁ בִּשְׁגָגָֽה׃</w:t>
      </w:r>
    </w:p>
    <w:p w14:paraId="46AED063"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sollt ihr euch Städte auswählen; Zufluchtsstädte sollen sie für euch sein, damit dorthin fliehe ein Totschläger, der einen Menschen aus Versehen erschlagen hat.</w:t>
      </w:r>
    </w:p>
    <w:p w14:paraId="3B7D3B9C"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55B82DCF">
          <v:rect id="_x0000_i2070" style="width:0;height:1.5pt" o:hralign="center" o:hrstd="t" o:hr="t" fillcolor="#a0a0a0" stroked="f"/>
        </w:pict>
      </w:r>
    </w:p>
    <w:p w14:paraId="4E649AC0" w14:textId="16DDC6D1"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gibt die erste Anweisung zur Einrichtung der Zufluchtsstädte. </w:t>
      </w:r>
      <w:r w:rsidRPr="002B14D4">
        <w:rPr>
          <w:rFonts w:eastAsia="Times New Roman" w:cs="Times New Roman"/>
          <w:b/>
          <w:bCs/>
          <w:rtl/>
          <w:lang w:eastAsia="de-DE"/>
        </w:rPr>
        <w:t>וְהִקְרִיתֶם לָכֶם עָרִים</w:t>
      </w:r>
      <w:r w:rsidRPr="002B14D4">
        <w:rPr>
          <w:rFonts w:eastAsia="Times New Roman" w:cs="Times New Roman"/>
          <w:rtl/>
          <w:lang w:eastAsia="de-DE"/>
        </w:rPr>
        <w:t xml:space="preserve"> </w:t>
      </w:r>
      <w:r w:rsidRPr="002B14D4">
        <w:rPr>
          <w:rFonts w:eastAsia="Times New Roman" w:cs="Times New Roman"/>
          <w:lang w:eastAsia="de-DE"/>
        </w:rPr>
        <w:t xml:space="preserve">ist der Befehl. </w:t>
      </w:r>
      <w:r w:rsidRPr="002B14D4">
        <w:rPr>
          <w:rFonts w:eastAsia="Times New Roman" w:cs="Times New Roman"/>
          <w:b/>
          <w:bCs/>
          <w:rtl/>
          <w:lang w:eastAsia="de-DE"/>
        </w:rPr>
        <w:t>וְהִקְרִיתֶם</w:t>
      </w:r>
      <w:r w:rsidRPr="002B14D4">
        <w:rPr>
          <w:rFonts w:eastAsia="Times New Roman" w:cs="Times New Roman"/>
          <w:rtl/>
          <w:lang w:eastAsia="de-DE"/>
        </w:rPr>
        <w:t xml:space="preserve"> </w:t>
      </w:r>
      <w:r w:rsidRPr="002B14D4">
        <w:rPr>
          <w:rFonts w:eastAsia="Times New Roman" w:cs="Times New Roman"/>
          <w:lang w:eastAsia="de-DE"/>
        </w:rPr>
        <w:t xml:space="preserve">(Hiphil Perfekt 2. Person Plural mit Waw consecutivum von </w:t>
      </w:r>
      <w:r w:rsidRPr="002B14D4">
        <w:rPr>
          <w:rFonts w:eastAsia="Times New Roman" w:cs="Times New Roman"/>
          <w:b/>
          <w:bCs/>
          <w:rtl/>
          <w:lang w:eastAsia="de-DE"/>
        </w:rPr>
        <w:t>קרה</w:t>
      </w:r>
      <w:r w:rsidRPr="002B14D4">
        <w:rPr>
          <w:rFonts w:eastAsia="Times New Roman" w:cs="Times New Roman"/>
          <w:rtl/>
          <w:lang w:eastAsia="de-DE"/>
        </w:rPr>
        <w:t xml:space="preserve"> </w:t>
      </w:r>
      <w:r w:rsidRPr="002B14D4">
        <w:rPr>
          <w:rFonts w:eastAsia="Times New Roman" w:cs="Times New Roman"/>
          <w:lang w:eastAsia="de-DE"/>
        </w:rPr>
        <w:t xml:space="preserve">„begegnen, sich ereignen" - im Hiphil „zuordnen, auswählen, bestimmen"), </w:t>
      </w:r>
      <w:r w:rsidRPr="002B14D4">
        <w:rPr>
          <w:rFonts w:eastAsia="Times New Roman" w:cs="Times New Roman"/>
          <w:b/>
          <w:bCs/>
          <w:rtl/>
          <w:lang w:eastAsia="de-DE"/>
        </w:rPr>
        <w:t>לָכֶם</w:t>
      </w:r>
      <w:r w:rsidRPr="002B14D4">
        <w:rPr>
          <w:rFonts w:eastAsia="Times New Roman" w:cs="Times New Roman"/>
          <w:rtl/>
          <w:lang w:eastAsia="de-DE"/>
        </w:rPr>
        <w:t xml:space="preserve"> </w:t>
      </w:r>
      <w:r w:rsidRPr="002B14D4">
        <w:rPr>
          <w:rFonts w:eastAsia="Times New Roman" w:cs="Times New Roman"/>
          <w:lang w:eastAsia="de-DE"/>
        </w:rPr>
        <w:t xml:space="preserve">(Dativ „für euch"), </w:t>
      </w:r>
      <w:r w:rsidRPr="002B14D4">
        <w:rPr>
          <w:rFonts w:eastAsia="Times New Roman" w:cs="Times New Roman"/>
          <w:b/>
          <w:bCs/>
          <w:rtl/>
          <w:lang w:eastAsia="de-DE"/>
        </w:rPr>
        <w:t>עָרִים</w:t>
      </w:r>
      <w:r w:rsidRPr="002B14D4">
        <w:rPr>
          <w:rFonts w:eastAsia="Times New Roman" w:cs="Times New Roman"/>
          <w:rtl/>
          <w:lang w:eastAsia="de-DE"/>
        </w:rPr>
        <w:t xml:space="preserve"> </w:t>
      </w:r>
      <w:r w:rsidRPr="002B14D4">
        <w:rPr>
          <w:rFonts w:eastAsia="Times New Roman" w:cs="Times New Roman"/>
          <w:lang w:eastAsia="de-DE"/>
        </w:rPr>
        <w:t xml:space="preserve">(Plural „Städte"). </w:t>
      </w:r>
      <w:r w:rsidRPr="002B14D4">
        <w:rPr>
          <w:rFonts w:eastAsia="Times New Roman" w:cs="Times New Roman"/>
          <w:b/>
          <w:bCs/>
          <w:rtl/>
          <w:lang w:eastAsia="de-DE"/>
        </w:rPr>
        <w:t>עָרֵי מִקְלָט תִּהְיֶינָה לָכֶם</w:t>
      </w:r>
      <w:r w:rsidRPr="002B14D4">
        <w:rPr>
          <w:rFonts w:eastAsia="Times New Roman" w:cs="Times New Roman"/>
          <w:rtl/>
          <w:lang w:eastAsia="de-DE"/>
        </w:rPr>
        <w:t xml:space="preserve"> </w:t>
      </w:r>
      <w:r w:rsidRPr="002B14D4">
        <w:rPr>
          <w:rFonts w:eastAsia="Times New Roman" w:cs="Times New Roman"/>
          <w:lang w:eastAsia="de-DE"/>
        </w:rPr>
        <w:t xml:space="preserve">ist die Charakterisierung. </w:t>
      </w:r>
      <w:r w:rsidRPr="002B14D4">
        <w:rPr>
          <w:rFonts w:eastAsia="Times New Roman" w:cs="Times New Roman"/>
          <w:b/>
          <w:bCs/>
          <w:rtl/>
          <w:lang w:eastAsia="de-DE"/>
        </w:rPr>
        <w:t>עָרֵי מִקְלָט</w:t>
      </w:r>
      <w:r w:rsidRPr="002B14D4">
        <w:rPr>
          <w:rFonts w:eastAsia="Times New Roman" w:cs="Times New Roman"/>
          <w:rtl/>
          <w:lang w:eastAsia="de-DE"/>
        </w:rPr>
        <w:t xml:space="preserve"> </w:t>
      </w:r>
      <w:r w:rsidRPr="002B14D4">
        <w:rPr>
          <w:rFonts w:eastAsia="Times New Roman" w:cs="Times New Roman"/>
          <w:lang w:eastAsia="de-DE"/>
        </w:rPr>
        <w:t>(</w:t>
      </w:r>
      <w:r w:rsidR="00B513FF">
        <w:rPr>
          <w:rFonts w:eastAsia="Times New Roman" w:cs="Times New Roman"/>
          <w:lang w:eastAsia="de-DE"/>
        </w:rPr>
        <w:t xml:space="preserve">Constructus </w:t>
      </w:r>
      <w:r w:rsidRPr="002B14D4">
        <w:rPr>
          <w:rFonts w:eastAsia="Times New Roman" w:cs="Times New Roman"/>
          <w:lang w:eastAsia="de-DE"/>
        </w:rPr>
        <w:t xml:space="preserve"> „Zufluchtsstädte"), </w:t>
      </w:r>
      <w:r w:rsidRPr="002B14D4">
        <w:rPr>
          <w:rFonts w:eastAsia="Times New Roman" w:cs="Times New Roman"/>
          <w:b/>
          <w:bCs/>
          <w:rtl/>
          <w:lang w:eastAsia="de-DE"/>
        </w:rPr>
        <w:t>תִּהְיֶינָה</w:t>
      </w:r>
      <w:r w:rsidRPr="002B14D4">
        <w:rPr>
          <w:rFonts w:eastAsia="Times New Roman" w:cs="Times New Roman"/>
          <w:rtl/>
          <w:lang w:eastAsia="de-DE"/>
        </w:rPr>
        <w:t xml:space="preserve"> </w:t>
      </w:r>
      <w:r w:rsidRPr="002B14D4">
        <w:rPr>
          <w:rFonts w:eastAsia="Times New Roman" w:cs="Times New Roman"/>
          <w:lang w:eastAsia="de-DE"/>
        </w:rPr>
        <w:t xml:space="preserve">(Qal Imperfekt 3. Person feminin Plural von </w:t>
      </w:r>
      <w:r w:rsidRPr="002B14D4">
        <w:rPr>
          <w:rFonts w:eastAsia="Times New Roman" w:cs="Times New Roman"/>
          <w:b/>
          <w:bCs/>
          <w:rtl/>
          <w:lang w:eastAsia="de-DE"/>
        </w:rPr>
        <w:t>היה</w:t>
      </w:r>
      <w:r w:rsidRPr="002B14D4">
        <w:rPr>
          <w:rFonts w:eastAsia="Times New Roman" w:cs="Times New Roman"/>
          <w:rtl/>
          <w:lang w:eastAsia="de-DE"/>
        </w:rPr>
        <w:t xml:space="preserve"> </w:t>
      </w:r>
      <w:r w:rsidRPr="002B14D4">
        <w:rPr>
          <w:rFonts w:eastAsia="Times New Roman" w:cs="Times New Roman"/>
          <w:lang w:eastAsia="de-DE"/>
        </w:rPr>
        <w:t xml:space="preserve">„sein"), </w:t>
      </w:r>
      <w:r w:rsidRPr="002B14D4">
        <w:rPr>
          <w:rFonts w:eastAsia="Times New Roman" w:cs="Times New Roman"/>
          <w:b/>
          <w:bCs/>
          <w:rtl/>
          <w:lang w:eastAsia="de-DE"/>
        </w:rPr>
        <w:t>לָכֶם</w:t>
      </w:r>
      <w:r w:rsidRPr="002B14D4">
        <w:rPr>
          <w:rFonts w:eastAsia="Times New Roman" w:cs="Times New Roman"/>
          <w:rtl/>
          <w:lang w:eastAsia="de-DE"/>
        </w:rPr>
        <w:t xml:space="preserve"> </w:t>
      </w:r>
      <w:r w:rsidRPr="002B14D4">
        <w:rPr>
          <w:rFonts w:eastAsia="Times New Roman" w:cs="Times New Roman"/>
          <w:lang w:eastAsia="de-DE"/>
        </w:rPr>
        <w:t>(„für euch").</w:t>
      </w:r>
    </w:p>
    <w:p w14:paraId="049191BE" w14:textId="428CE9EF"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rtl/>
          <w:lang w:eastAsia="de-DE"/>
        </w:rPr>
        <w:t>וְנָס שָׁמָּה רֹצֵחַ מַכֵּה־נֶפֶשׁ בִּשְׁגָגָה</w:t>
      </w:r>
      <w:r w:rsidRPr="002B14D4">
        <w:rPr>
          <w:rFonts w:eastAsia="Times New Roman" w:cs="Times New Roman"/>
          <w:rtl/>
          <w:lang w:eastAsia="de-DE"/>
        </w:rPr>
        <w:t xml:space="preserve"> </w:t>
      </w:r>
      <w:r w:rsidRPr="002B14D4">
        <w:rPr>
          <w:rFonts w:eastAsia="Times New Roman" w:cs="Times New Roman"/>
          <w:lang w:eastAsia="de-DE"/>
        </w:rPr>
        <w:t xml:space="preserve">gibt den Zweck an. </w:t>
      </w:r>
      <w:r w:rsidRPr="002B14D4">
        <w:rPr>
          <w:rFonts w:eastAsia="Times New Roman" w:cs="Times New Roman"/>
          <w:b/>
          <w:bCs/>
          <w:rtl/>
          <w:lang w:eastAsia="de-DE"/>
        </w:rPr>
        <w:t>וְנָס</w:t>
      </w:r>
      <w:r w:rsidRPr="002B14D4">
        <w:rPr>
          <w:rFonts w:eastAsia="Times New Roman" w:cs="Times New Roman"/>
          <w:rtl/>
          <w:lang w:eastAsia="de-DE"/>
        </w:rPr>
        <w:t xml:space="preserve"> </w:t>
      </w:r>
      <w:r w:rsidRPr="002B14D4">
        <w:rPr>
          <w:rFonts w:eastAsia="Times New Roman" w:cs="Times New Roman"/>
          <w:lang w:eastAsia="de-DE"/>
        </w:rPr>
        <w:t xml:space="preserve">(Qal Perfekt 3. Person maskulin Singular mit Waw consecutivum von </w:t>
      </w:r>
      <w:r w:rsidRPr="002B14D4">
        <w:rPr>
          <w:rFonts w:eastAsia="Times New Roman" w:cs="Times New Roman"/>
          <w:b/>
          <w:bCs/>
          <w:rtl/>
          <w:lang w:eastAsia="de-DE"/>
        </w:rPr>
        <w:t>נוס</w:t>
      </w:r>
      <w:r w:rsidRPr="002B14D4">
        <w:rPr>
          <w:rFonts w:eastAsia="Times New Roman" w:cs="Times New Roman"/>
          <w:rtl/>
          <w:lang w:eastAsia="de-DE"/>
        </w:rPr>
        <w:t xml:space="preserve"> </w:t>
      </w:r>
      <w:r w:rsidRPr="002B14D4">
        <w:rPr>
          <w:rFonts w:eastAsia="Times New Roman" w:cs="Times New Roman"/>
          <w:lang w:eastAsia="de-DE"/>
        </w:rPr>
        <w:t xml:space="preserve">„fliehen"), </w:t>
      </w:r>
      <w:r w:rsidRPr="002B14D4">
        <w:rPr>
          <w:rFonts w:eastAsia="Times New Roman" w:cs="Times New Roman"/>
          <w:b/>
          <w:bCs/>
          <w:rtl/>
          <w:lang w:eastAsia="de-DE"/>
        </w:rPr>
        <w:t>שָׁמָּה</w:t>
      </w:r>
      <w:r w:rsidRPr="002B14D4">
        <w:rPr>
          <w:rFonts w:eastAsia="Times New Roman" w:cs="Times New Roman"/>
          <w:rtl/>
          <w:lang w:eastAsia="de-DE"/>
        </w:rPr>
        <w:t xml:space="preserve"> </w:t>
      </w:r>
      <w:r w:rsidRPr="002B14D4">
        <w:rPr>
          <w:rFonts w:eastAsia="Times New Roman" w:cs="Times New Roman"/>
          <w:lang w:eastAsia="de-DE"/>
        </w:rPr>
        <w:t xml:space="preserve">(„dorthin"), </w:t>
      </w:r>
      <w:r w:rsidRPr="002B14D4">
        <w:rPr>
          <w:rFonts w:eastAsia="Times New Roman" w:cs="Times New Roman"/>
          <w:b/>
          <w:bCs/>
          <w:rtl/>
          <w:lang w:eastAsia="de-DE"/>
        </w:rPr>
        <w:t>רֹצֵחַ</w:t>
      </w:r>
      <w:r w:rsidRPr="002B14D4">
        <w:rPr>
          <w:rFonts w:eastAsia="Times New Roman" w:cs="Times New Roman"/>
          <w:rtl/>
          <w:lang w:eastAsia="de-DE"/>
        </w:rPr>
        <w:t xml:space="preserve"> </w:t>
      </w:r>
      <w:r w:rsidRPr="002B14D4">
        <w:rPr>
          <w:rFonts w:eastAsia="Times New Roman" w:cs="Times New Roman"/>
          <w:lang w:eastAsia="de-DE"/>
        </w:rPr>
        <w:t xml:space="preserve">(Qal-Partizip von </w:t>
      </w:r>
      <w:r w:rsidRPr="002B14D4">
        <w:rPr>
          <w:rFonts w:eastAsia="Times New Roman" w:cs="Times New Roman"/>
          <w:b/>
          <w:bCs/>
          <w:rtl/>
          <w:lang w:eastAsia="de-DE"/>
        </w:rPr>
        <w:t>רצח</w:t>
      </w:r>
      <w:r w:rsidRPr="002B14D4">
        <w:rPr>
          <w:rFonts w:eastAsia="Times New Roman" w:cs="Times New Roman"/>
          <w:rtl/>
          <w:lang w:eastAsia="de-DE"/>
        </w:rPr>
        <w:t xml:space="preserve"> </w:t>
      </w:r>
      <w:r w:rsidRPr="002B14D4">
        <w:rPr>
          <w:rFonts w:eastAsia="Times New Roman" w:cs="Times New Roman"/>
          <w:lang w:eastAsia="de-DE"/>
        </w:rPr>
        <w:t xml:space="preserve">„der Totschläger"), </w:t>
      </w:r>
      <w:r w:rsidRPr="002B14D4">
        <w:rPr>
          <w:rFonts w:eastAsia="Times New Roman" w:cs="Times New Roman"/>
          <w:b/>
          <w:bCs/>
          <w:rtl/>
          <w:lang w:eastAsia="de-DE"/>
        </w:rPr>
        <w:t>מַכֵּה־נֶפֶשׁ</w:t>
      </w:r>
      <w:r w:rsidRPr="002B14D4">
        <w:rPr>
          <w:rFonts w:eastAsia="Times New Roman" w:cs="Times New Roman"/>
          <w:rtl/>
          <w:lang w:eastAsia="de-DE"/>
        </w:rPr>
        <w:t xml:space="preserve"> </w:t>
      </w:r>
      <w:r w:rsidRPr="002B14D4">
        <w:rPr>
          <w:rFonts w:eastAsia="Times New Roman" w:cs="Times New Roman"/>
          <w:lang w:eastAsia="de-DE"/>
        </w:rPr>
        <w:t xml:space="preserve">(Hiphil-Partizip von </w:t>
      </w:r>
      <w:r w:rsidRPr="002B14D4">
        <w:rPr>
          <w:rFonts w:eastAsia="Times New Roman" w:cs="Times New Roman"/>
          <w:b/>
          <w:bCs/>
          <w:rtl/>
          <w:lang w:eastAsia="de-DE"/>
        </w:rPr>
        <w:t>נכה</w:t>
      </w:r>
      <w:r w:rsidRPr="002B14D4">
        <w:rPr>
          <w:rFonts w:eastAsia="Times New Roman" w:cs="Times New Roman"/>
          <w:rtl/>
          <w:lang w:eastAsia="de-DE"/>
        </w:rPr>
        <w:t xml:space="preserve"> </w:t>
      </w:r>
      <w:r w:rsidRPr="002B14D4">
        <w:rPr>
          <w:rFonts w:eastAsia="Times New Roman" w:cs="Times New Roman"/>
          <w:lang w:eastAsia="de-DE"/>
        </w:rPr>
        <w:t xml:space="preserve">„schlagen" im </w:t>
      </w:r>
      <w:r w:rsidR="00E031B3">
        <w:rPr>
          <w:rFonts w:eastAsia="Times New Roman" w:cs="Times New Roman"/>
          <w:lang w:eastAsia="de-DE"/>
        </w:rPr>
        <w:t>Constructus mit</w:t>
      </w:r>
      <w:r w:rsidRPr="002B14D4">
        <w:rPr>
          <w:rFonts w:eastAsia="Times New Roman" w:cs="Times New Roman"/>
          <w:lang w:eastAsia="de-DE"/>
        </w:rPr>
        <w:t xml:space="preserve"> </w:t>
      </w:r>
      <w:r w:rsidRPr="002B14D4">
        <w:rPr>
          <w:rFonts w:eastAsia="Times New Roman" w:cs="Times New Roman"/>
          <w:b/>
          <w:bCs/>
          <w:rtl/>
          <w:lang w:eastAsia="de-DE"/>
        </w:rPr>
        <w:t>נֶפֶשׁ</w:t>
      </w:r>
      <w:r w:rsidRPr="002B14D4">
        <w:rPr>
          <w:rFonts w:eastAsia="Times New Roman" w:cs="Times New Roman"/>
          <w:rtl/>
          <w:lang w:eastAsia="de-DE"/>
        </w:rPr>
        <w:t xml:space="preserve"> </w:t>
      </w:r>
      <w:r w:rsidRPr="002B14D4">
        <w:rPr>
          <w:rFonts w:eastAsia="Times New Roman" w:cs="Times New Roman"/>
          <w:lang w:eastAsia="de-DE"/>
        </w:rPr>
        <w:t xml:space="preserve">„Seele, Person" „der einen Menschen schlägt/erschlägt"), </w:t>
      </w:r>
      <w:r w:rsidRPr="002B14D4">
        <w:rPr>
          <w:rFonts w:eastAsia="Times New Roman" w:cs="Times New Roman"/>
          <w:b/>
          <w:bCs/>
          <w:rtl/>
          <w:lang w:eastAsia="de-DE"/>
        </w:rPr>
        <w:t>בִּשְׁגָגָה</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בְ</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שְׁגָגָה</w:t>
      </w:r>
      <w:r w:rsidRPr="002B14D4">
        <w:rPr>
          <w:rFonts w:eastAsia="Times New Roman" w:cs="Times New Roman"/>
          <w:rtl/>
          <w:lang w:eastAsia="de-DE"/>
        </w:rPr>
        <w:t xml:space="preserve"> </w:t>
      </w:r>
      <w:r w:rsidRPr="002B14D4">
        <w:rPr>
          <w:rFonts w:eastAsia="Times New Roman" w:cs="Times New Roman"/>
          <w:lang w:eastAsia="de-DE"/>
        </w:rPr>
        <w:t xml:space="preserve">„Versehen, Irrtum, Unabsichtlichkeit" „aus Versehen, unabsichtlich"). Das Nomen </w:t>
      </w:r>
      <w:r w:rsidRPr="002B14D4">
        <w:rPr>
          <w:rFonts w:eastAsia="Times New Roman" w:cs="Times New Roman"/>
          <w:b/>
          <w:bCs/>
          <w:rtl/>
          <w:lang w:eastAsia="de-DE"/>
        </w:rPr>
        <w:t>שְׁגָגָה</w:t>
      </w:r>
      <w:r w:rsidRPr="002B14D4">
        <w:rPr>
          <w:rFonts w:eastAsia="Times New Roman" w:cs="Times New Roman"/>
          <w:rtl/>
          <w:lang w:eastAsia="de-DE"/>
        </w:rPr>
        <w:t xml:space="preserve"> </w:t>
      </w:r>
      <w:r w:rsidRPr="002B14D4">
        <w:rPr>
          <w:rFonts w:eastAsia="Times New Roman" w:cs="Times New Roman"/>
          <w:lang w:eastAsia="de-DE"/>
        </w:rPr>
        <w:t xml:space="preserve">von der Wurzel </w:t>
      </w:r>
      <w:r w:rsidRPr="002B14D4">
        <w:rPr>
          <w:rFonts w:eastAsia="Times New Roman" w:cs="Times New Roman"/>
          <w:b/>
          <w:bCs/>
          <w:rtl/>
          <w:lang w:eastAsia="de-DE"/>
        </w:rPr>
        <w:t>שׁגג</w:t>
      </w:r>
      <w:r w:rsidRPr="002B14D4">
        <w:rPr>
          <w:rFonts w:eastAsia="Times New Roman" w:cs="Times New Roman"/>
          <w:rtl/>
          <w:lang w:eastAsia="de-DE"/>
        </w:rPr>
        <w:t xml:space="preserve"> </w:t>
      </w:r>
      <w:r w:rsidRPr="002B14D4">
        <w:rPr>
          <w:rFonts w:eastAsia="Times New Roman" w:cs="Times New Roman"/>
          <w:lang w:eastAsia="de-DE"/>
        </w:rPr>
        <w:t xml:space="preserve">(„irren, sich verirren") bezeichnet eine unbeabsichtigte, versehentliche Handlung - im Gegensatz zu </w:t>
      </w:r>
      <w:r w:rsidRPr="002B14D4">
        <w:rPr>
          <w:rFonts w:eastAsia="Times New Roman" w:cs="Times New Roman"/>
          <w:b/>
          <w:bCs/>
          <w:rtl/>
          <w:lang w:eastAsia="de-DE"/>
        </w:rPr>
        <w:t>בְּזָדוֹן</w:t>
      </w:r>
      <w:r w:rsidRPr="002B14D4">
        <w:rPr>
          <w:rFonts w:eastAsia="Times New Roman" w:cs="Times New Roman"/>
          <w:rtl/>
          <w:lang w:eastAsia="de-DE"/>
        </w:rPr>
        <w:t xml:space="preserve"> </w:t>
      </w:r>
      <w:r w:rsidRPr="002B14D4">
        <w:rPr>
          <w:rFonts w:eastAsia="Times New Roman" w:cs="Times New Roman"/>
          <w:lang w:eastAsia="de-DE"/>
        </w:rPr>
        <w:t>(„vorsätzlich, absichtlich").</w:t>
      </w:r>
    </w:p>
    <w:p w14:paraId="53D22B36"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einen Imperativ, eine Charakterisierung und einen Zwecksatz mit partizipialem Subjekt.</w:t>
      </w:r>
    </w:p>
    <w:p w14:paraId="40D0ABF5"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Der Vers etabliert den Kernzweck der Zufluchtsstädte: Sie dienen ausschließlich für </w:t>
      </w:r>
      <w:r w:rsidRPr="002B14D4">
        <w:rPr>
          <w:rFonts w:eastAsia="Times New Roman" w:cs="Times New Roman"/>
          <w:b/>
          <w:bCs/>
          <w:rtl/>
          <w:lang w:eastAsia="de-DE"/>
        </w:rPr>
        <w:t>רֹצֵחַ מַכֵּה־נֶפֶשׁ בִּשְׁגָגָה</w:t>
      </w:r>
      <w:r w:rsidRPr="002B14D4">
        <w:rPr>
          <w:rFonts w:eastAsia="Times New Roman" w:cs="Times New Roman"/>
          <w:rtl/>
          <w:lang w:eastAsia="de-DE"/>
        </w:rPr>
        <w:t xml:space="preserve"> </w:t>
      </w:r>
      <w:r w:rsidRPr="002B14D4">
        <w:rPr>
          <w:rFonts w:eastAsia="Times New Roman" w:cs="Times New Roman"/>
          <w:lang w:eastAsia="de-DE"/>
        </w:rPr>
        <w:t>- jemanden, der einen Menschen unabsichtlich getötet hat. Die Unterscheidung zwischen vorsätzlichem Mord (</w:t>
      </w:r>
      <w:r w:rsidRPr="002B14D4">
        <w:rPr>
          <w:rFonts w:eastAsia="Times New Roman" w:cs="Times New Roman"/>
          <w:b/>
          <w:bCs/>
          <w:rtl/>
          <w:lang w:eastAsia="de-DE"/>
        </w:rPr>
        <w:t>רֶצַח בְּזָדוֹן</w:t>
      </w:r>
      <w:r w:rsidRPr="002B14D4">
        <w:rPr>
          <w:rFonts w:eastAsia="Times New Roman" w:cs="Times New Roman"/>
          <w:lang w:eastAsia="de-DE"/>
        </w:rPr>
        <w:t>) und unbeabsichtigter Tötung (</w:t>
      </w:r>
      <w:r w:rsidRPr="002B14D4">
        <w:rPr>
          <w:rFonts w:eastAsia="Times New Roman" w:cs="Times New Roman"/>
          <w:b/>
          <w:bCs/>
          <w:rtl/>
          <w:lang w:eastAsia="de-DE"/>
        </w:rPr>
        <w:t>רֶצַח בִּשְׁגָגָה</w:t>
      </w:r>
      <w:r w:rsidRPr="002B14D4">
        <w:rPr>
          <w:rFonts w:eastAsia="Times New Roman" w:cs="Times New Roman"/>
          <w:lang w:eastAsia="de-DE"/>
        </w:rPr>
        <w:t>) ist fundamental für dieses Rechtssystem. Die Zufluchtsstädte bieten keinen Schutz für vorsätzliche Mörder, sondern nur für diejenigen, die durch einen Unfall einen Menschen getötet haben.</w:t>
      </w:r>
    </w:p>
    <w:p w14:paraId="20619AB7"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35,12</w:t>
      </w:r>
    </w:p>
    <w:p w14:paraId="5B79279C"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וְהָי֨וּ לָכֶ֧ם הֶעָרִ֛ים לְמִקְלָ֖ט מִגֹּאֵ֑ל וְלֹ֤א יָמוּת֙ הָרֹצֵ֔חַ עַד־עָמְדֹ֛ו לִפְנֵ֥י הָעֵדָ֖ה לַמִּשְׁפָּֽט׃</w:t>
      </w:r>
    </w:p>
    <w:p w14:paraId="51F1704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Und die Städte sollen euch als Zuflucht vor dem Bluträcher sein, damit der Totschläger nicht sterbe, bis er vor der Gemeinde zum Gericht gestanden hat.</w:t>
      </w:r>
    </w:p>
    <w:p w14:paraId="366E11A4"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15C22FE0">
          <v:rect id="_x0000_i2071" style="width:0;height:1.5pt" o:hralign="center" o:hrstd="t" o:hr="t" fillcolor="#a0a0a0" stroked="f"/>
        </w:pict>
      </w:r>
    </w:p>
    <w:p w14:paraId="37A787FC"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erklärt den Schutzzweck präziser. </w:t>
      </w:r>
      <w:r w:rsidRPr="002B14D4">
        <w:rPr>
          <w:rFonts w:eastAsia="Times New Roman" w:cs="Times New Roman"/>
          <w:b/>
          <w:bCs/>
          <w:rtl/>
          <w:lang w:eastAsia="de-DE"/>
        </w:rPr>
        <w:t>וְהָיוּ לָכֶם הֶעָרִים לְמִקְלָט מִגֹּאֵל</w:t>
      </w:r>
      <w:r w:rsidRPr="002B14D4">
        <w:rPr>
          <w:rFonts w:eastAsia="Times New Roman" w:cs="Times New Roman"/>
          <w:rtl/>
          <w:lang w:eastAsia="de-DE"/>
        </w:rPr>
        <w:t xml:space="preserve"> </w:t>
      </w:r>
      <w:r w:rsidRPr="002B14D4">
        <w:rPr>
          <w:rFonts w:eastAsia="Times New Roman" w:cs="Times New Roman"/>
          <w:lang w:eastAsia="de-DE"/>
        </w:rPr>
        <w:t xml:space="preserve">definiert die Funktion. </w:t>
      </w:r>
      <w:r w:rsidRPr="002B14D4">
        <w:rPr>
          <w:rFonts w:eastAsia="Times New Roman" w:cs="Times New Roman"/>
          <w:b/>
          <w:bCs/>
          <w:rtl/>
          <w:lang w:eastAsia="de-DE"/>
        </w:rPr>
        <w:t>וְהָיוּ לָכֶם</w:t>
      </w:r>
      <w:r w:rsidRPr="002B14D4">
        <w:rPr>
          <w:rFonts w:eastAsia="Times New Roman" w:cs="Times New Roman"/>
          <w:rtl/>
          <w:lang w:eastAsia="de-DE"/>
        </w:rPr>
        <w:t xml:space="preserve"> </w:t>
      </w:r>
      <w:r w:rsidRPr="002B14D4">
        <w:rPr>
          <w:rFonts w:eastAsia="Times New Roman" w:cs="Times New Roman"/>
          <w:lang w:eastAsia="de-DE"/>
        </w:rPr>
        <w:t xml:space="preserve">(Qal Perfekt 3. Person Plural mit Waw consecutivum von </w:t>
      </w:r>
      <w:r w:rsidRPr="002B14D4">
        <w:rPr>
          <w:rFonts w:eastAsia="Times New Roman" w:cs="Times New Roman"/>
          <w:b/>
          <w:bCs/>
          <w:rtl/>
          <w:lang w:eastAsia="de-DE"/>
        </w:rPr>
        <w:t>היה</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lang w:eastAsia="de-DE"/>
        </w:rPr>
        <w:lastRenderedPageBreak/>
        <w:t xml:space="preserve">Dativ), </w:t>
      </w:r>
      <w:r w:rsidRPr="002B14D4">
        <w:rPr>
          <w:rFonts w:eastAsia="Times New Roman" w:cs="Times New Roman"/>
          <w:b/>
          <w:bCs/>
          <w:rtl/>
          <w:lang w:eastAsia="de-DE"/>
        </w:rPr>
        <w:t>הֶעָרִים לְמִקְלָט</w:t>
      </w:r>
      <w:r w:rsidRPr="002B14D4">
        <w:rPr>
          <w:rFonts w:eastAsia="Times New Roman" w:cs="Times New Roman"/>
          <w:rtl/>
          <w:lang w:eastAsia="de-DE"/>
        </w:rPr>
        <w:t xml:space="preserve"> </w:t>
      </w:r>
      <w:r w:rsidRPr="002B14D4">
        <w:rPr>
          <w:rFonts w:eastAsia="Times New Roman" w:cs="Times New Roman"/>
          <w:lang w:eastAsia="de-DE"/>
        </w:rPr>
        <w:t xml:space="preserve">(Subjekt „die Städte" mit 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und </w:t>
      </w:r>
      <w:r w:rsidRPr="002B14D4">
        <w:rPr>
          <w:rFonts w:eastAsia="Times New Roman" w:cs="Times New Roman"/>
          <w:b/>
          <w:bCs/>
          <w:rtl/>
          <w:lang w:eastAsia="de-DE"/>
        </w:rPr>
        <w:t>מִקְלָט</w:t>
      </w:r>
      <w:r w:rsidRPr="002B14D4">
        <w:rPr>
          <w:rFonts w:eastAsia="Times New Roman" w:cs="Times New Roman"/>
          <w:rtl/>
          <w:lang w:eastAsia="de-DE"/>
        </w:rPr>
        <w:t xml:space="preserve"> </w:t>
      </w:r>
      <w:r w:rsidRPr="002B14D4">
        <w:rPr>
          <w:rFonts w:eastAsia="Times New Roman" w:cs="Times New Roman"/>
          <w:lang w:eastAsia="de-DE"/>
        </w:rPr>
        <w:t xml:space="preserve">„als Zuflucht"), </w:t>
      </w:r>
      <w:r w:rsidRPr="002B14D4">
        <w:rPr>
          <w:rFonts w:eastAsia="Times New Roman" w:cs="Times New Roman"/>
          <w:b/>
          <w:bCs/>
          <w:rtl/>
          <w:lang w:eastAsia="de-DE"/>
        </w:rPr>
        <w:t>מִגֹּאֵל</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מִן</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גֹּאֵל</w:t>
      </w:r>
      <w:r w:rsidRPr="002B14D4">
        <w:rPr>
          <w:rFonts w:eastAsia="Times New Roman" w:cs="Times New Roman"/>
          <w:rtl/>
          <w:lang w:eastAsia="de-DE"/>
        </w:rPr>
        <w:t xml:space="preserve"> </w:t>
      </w:r>
      <w:r w:rsidRPr="002B14D4">
        <w:rPr>
          <w:rFonts w:eastAsia="Times New Roman" w:cs="Times New Roman"/>
          <w:lang w:eastAsia="de-DE"/>
        </w:rPr>
        <w:t xml:space="preserve">„Erlöser, Löser" „vor dem Erlöser"). Der Begriff </w:t>
      </w:r>
      <w:r w:rsidRPr="002B14D4">
        <w:rPr>
          <w:rFonts w:eastAsia="Times New Roman" w:cs="Times New Roman"/>
          <w:b/>
          <w:bCs/>
          <w:rtl/>
          <w:lang w:eastAsia="de-DE"/>
        </w:rPr>
        <w:t>גֹּאֵל</w:t>
      </w:r>
      <w:r w:rsidRPr="002B14D4">
        <w:rPr>
          <w:rFonts w:eastAsia="Times New Roman" w:cs="Times New Roman"/>
          <w:rtl/>
          <w:lang w:eastAsia="de-DE"/>
        </w:rPr>
        <w:t xml:space="preserve"> </w:t>
      </w:r>
      <w:r w:rsidRPr="002B14D4">
        <w:rPr>
          <w:rFonts w:eastAsia="Times New Roman" w:cs="Times New Roman"/>
          <w:lang w:eastAsia="de-DE"/>
        </w:rPr>
        <w:t xml:space="preserve">(Qal-Partizip von </w:t>
      </w:r>
      <w:r w:rsidRPr="002B14D4">
        <w:rPr>
          <w:rFonts w:eastAsia="Times New Roman" w:cs="Times New Roman"/>
          <w:b/>
          <w:bCs/>
          <w:rtl/>
          <w:lang w:eastAsia="de-DE"/>
        </w:rPr>
        <w:t>גאל</w:t>
      </w:r>
      <w:r w:rsidRPr="002B14D4">
        <w:rPr>
          <w:rFonts w:eastAsia="Times New Roman" w:cs="Times New Roman"/>
          <w:rtl/>
          <w:lang w:eastAsia="de-DE"/>
        </w:rPr>
        <w:t xml:space="preserve"> </w:t>
      </w:r>
      <w:r w:rsidRPr="002B14D4">
        <w:rPr>
          <w:rFonts w:eastAsia="Times New Roman" w:cs="Times New Roman"/>
          <w:lang w:eastAsia="de-DE"/>
        </w:rPr>
        <w:t xml:space="preserve">„lösen, erlösen") bezeichnet normalerweise den Verwandten, der ein Loskaufrecht oder eine Lösungspflicht hat. Hier ist </w:t>
      </w:r>
      <w:r w:rsidRPr="002B14D4">
        <w:rPr>
          <w:rFonts w:eastAsia="Times New Roman" w:cs="Times New Roman"/>
          <w:b/>
          <w:bCs/>
          <w:rtl/>
          <w:lang w:eastAsia="de-DE"/>
        </w:rPr>
        <w:t>גֹּאֵל הַדָּם</w:t>
      </w:r>
      <w:r w:rsidRPr="002B14D4">
        <w:rPr>
          <w:rFonts w:eastAsia="Times New Roman" w:cs="Times New Roman"/>
          <w:rtl/>
          <w:lang w:eastAsia="de-DE"/>
        </w:rPr>
        <w:t xml:space="preserve"> </w:t>
      </w:r>
      <w:r w:rsidRPr="002B14D4">
        <w:rPr>
          <w:rFonts w:eastAsia="Times New Roman" w:cs="Times New Roman"/>
          <w:lang w:eastAsia="de-DE"/>
        </w:rPr>
        <w:t>(wörtlich „Bluträcher" oder „Blutlöser") der nächste männliche Verwandte des Getöteten, der das Recht und die Pflicht hat, den Tod zu rächen.</w:t>
      </w:r>
    </w:p>
    <w:p w14:paraId="3118AC5C" w14:textId="6EF3474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rtl/>
          <w:lang w:eastAsia="de-DE"/>
        </w:rPr>
        <w:t>וְלֹא יָמוּת הָרֹצֵחַ עַד־עָמְדוֹ לִפְנֵי הָעֵדָה לַמִּשְׁפָּט</w:t>
      </w:r>
      <w:r w:rsidRPr="002B14D4">
        <w:rPr>
          <w:rFonts w:eastAsia="Times New Roman" w:cs="Times New Roman"/>
          <w:rtl/>
          <w:lang w:eastAsia="de-DE"/>
        </w:rPr>
        <w:t xml:space="preserve"> </w:t>
      </w:r>
      <w:r w:rsidRPr="002B14D4">
        <w:rPr>
          <w:rFonts w:eastAsia="Times New Roman" w:cs="Times New Roman"/>
          <w:lang w:eastAsia="de-DE"/>
        </w:rPr>
        <w:t xml:space="preserve">gibt den Rechtsschutz an. </w:t>
      </w:r>
      <w:r w:rsidRPr="002B14D4">
        <w:rPr>
          <w:rFonts w:eastAsia="Times New Roman" w:cs="Times New Roman"/>
          <w:b/>
          <w:bCs/>
          <w:rtl/>
          <w:lang w:eastAsia="de-DE"/>
        </w:rPr>
        <w:t>וְלֹא יָמוּת הָרֹצֵחַ</w:t>
      </w:r>
      <w:r w:rsidRPr="002B14D4">
        <w:rPr>
          <w:rFonts w:eastAsia="Times New Roman" w:cs="Times New Roman"/>
          <w:rtl/>
          <w:lang w:eastAsia="de-DE"/>
        </w:rPr>
        <w:t xml:space="preserve"> </w:t>
      </w:r>
      <w:r w:rsidRPr="002B14D4">
        <w:rPr>
          <w:rFonts w:eastAsia="Times New Roman" w:cs="Times New Roman"/>
          <w:lang w:eastAsia="de-DE"/>
        </w:rPr>
        <w:t xml:space="preserve">(Konjunktion mit Negation und Qal Imperfekt 3. Person maskulin Singular von </w:t>
      </w:r>
      <w:r w:rsidRPr="002B14D4">
        <w:rPr>
          <w:rFonts w:eastAsia="Times New Roman" w:cs="Times New Roman"/>
          <w:b/>
          <w:bCs/>
          <w:rtl/>
          <w:lang w:eastAsia="de-DE"/>
        </w:rPr>
        <w:t>מות</w:t>
      </w:r>
      <w:r w:rsidRPr="002B14D4">
        <w:rPr>
          <w:rFonts w:eastAsia="Times New Roman" w:cs="Times New Roman"/>
          <w:rtl/>
          <w:lang w:eastAsia="de-DE"/>
        </w:rPr>
        <w:t xml:space="preserve"> </w:t>
      </w:r>
      <w:r w:rsidRPr="002B14D4">
        <w:rPr>
          <w:rFonts w:eastAsia="Times New Roman" w:cs="Times New Roman"/>
          <w:lang w:eastAsia="de-DE"/>
        </w:rPr>
        <w:t xml:space="preserve">„sterben" und </w:t>
      </w:r>
      <w:r w:rsidRPr="002B14D4">
        <w:rPr>
          <w:rFonts w:eastAsia="Times New Roman" w:cs="Times New Roman"/>
          <w:b/>
          <w:bCs/>
          <w:rtl/>
          <w:lang w:eastAsia="de-DE"/>
        </w:rPr>
        <w:t>רֹצֵחַ</w:t>
      </w:r>
      <w:r w:rsidRPr="002B14D4">
        <w:rPr>
          <w:rFonts w:eastAsia="Times New Roman" w:cs="Times New Roman"/>
          <w:rtl/>
          <w:lang w:eastAsia="de-DE"/>
        </w:rPr>
        <w:t xml:space="preserve"> </w:t>
      </w:r>
      <w:r w:rsidRPr="002B14D4">
        <w:rPr>
          <w:rFonts w:eastAsia="Times New Roman" w:cs="Times New Roman"/>
          <w:lang w:eastAsia="de-DE"/>
        </w:rPr>
        <w:t xml:space="preserve">„damit nicht sterbe der Totschläger"), </w:t>
      </w:r>
      <w:r w:rsidRPr="002B14D4">
        <w:rPr>
          <w:rFonts w:eastAsia="Times New Roman" w:cs="Times New Roman"/>
          <w:b/>
          <w:bCs/>
          <w:rtl/>
          <w:lang w:eastAsia="de-DE"/>
        </w:rPr>
        <w:t>עַד־עָמְדוֹ לִפְנֵי הָעֵדָה לַמִּשְׁפָּט</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עַד</w:t>
      </w:r>
      <w:r w:rsidRPr="002B14D4">
        <w:rPr>
          <w:rFonts w:eastAsia="Times New Roman" w:cs="Times New Roman"/>
          <w:rtl/>
          <w:lang w:eastAsia="de-DE"/>
        </w:rPr>
        <w:t xml:space="preserve"> </w:t>
      </w:r>
      <w:r w:rsidRPr="002B14D4">
        <w:rPr>
          <w:rFonts w:eastAsia="Times New Roman" w:cs="Times New Roman"/>
          <w:lang w:eastAsia="de-DE"/>
        </w:rPr>
        <w:t xml:space="preserve">„bis" mit Qal Infinitiv </w:t>
      </w:r>
      <w:r w:rsidR="00E031B3">
        <w:rPr>
          <w:rFonts w:eastAsia="Times New Roman" w:cs="Times New Roman"/>
          <w:lang w:eastAsia="de-DE"/>
        </w:rPr>
        <w:t>Constructus von</w:t>
      </w:r>
      <w:r w:rsidRPr="002B14D4">
        <w:rPr>
          <w:rFonts w:eastAsia="Times New Roman" w:cs="Times New Roman"/>
          <w:lang w:eastAsia="de-DE"/>
        </w:rPr>
        <w:t xml:space="preserve"> </w:t>
      </w:r>
      <w:r w:rsidRPr="002B14D4">
        <w:rPr>
          <w:rFonts w:eastAsia="Times New Roman" w:cs="Times New Roman"/>
          <w:b/>
          <w:bCs/>
          <w:rtl/>
          <w:lang w:eastAsia="de-DE"/>
        </w:rPr>
        <w:t>עמד</w:t>
      </w:r>
      <w:r w:rsidRPr="002B14D4">
        <w:rPr>
          <w:rFonts w:eastAsia="Times New Roman" w:cs="Times New Roman"/>
          <w:rtl/>
          <w:lang w:eastAsia="de-DE"/>
        </w:rPr>
        <w:t xml:space="preserve"> </w:t>
      </w:r>
      <w:r w:rsidRPr="002B14D4">
        <w:rPr>
          <w:rFonts w:eastAsia="Times New Roman" w:cs="Times New Roman"/>
          <w:lang w:eastAsia="de-DE"/>
        </w:rPr>
        <w:t xml:space="preserve">„stehen" mit Suffix 3. Person maskulin Singular, Präposition </w:t>
      </w:r>
      <w:r w:rsidRPr="002B14D4">
        <w:rPr>
          <w:rFonts w:eastAsia="Times New Roman" w:cs="Times New Roman"/>
          <w:b/>
          <w:bCs/>
          <w:rtl/>
          <w:lang w:eastAsia="de-DE"/>
        </w:rPr>
        <w:t>לִפְנֵי</w:t>
      </w:r>
      <w:r w:rsidRPr="002B14D4">
        <w:rPr>
          <w:rFonts w:eastAsia="Times New Roman" w:cs="Times New Roman"/>
          <w:rtl/>
          <w:lang w:eastAsia="de-DE"/>
        </w:rPr>
        <w:t xml:space="preserve"> </w:t>
      </w:r>
      <w:r w:rsidRPr="002B14D4">
        <w:rPr>
          <w:rFonts w:eastAsia="Times New Roman" w:cs="Times New Roman"/>
          <w:lang w:eastAsia="de-DE"/>
        </w:rPr>
        <w:t xml:space="preserve">„vor" mit </w:t>
      </w:r>
      <w:r w:rsidRPr="002B14D4">
        <w:rPr>
          <w:rFonts w:eastAsia="Times New Roman" w:cs="Times New Roman"/>
          <w:b/>
          <w:bCs/>
          <w:rtl/>
          <w:lang w:eastAsia="de-DE"/>
        </w:rPr>
        <w:t>עֵדָה</w:t>
      </w:r>
      <w:r w:rsidRPr="002B14D4">
        <w:rPr>
          <w:rFonts w:eastAsia="Times New Roman" w:cs="Times New Roman"/>
          <w:rtl/>
          <w:lang w:eastAsia="de-DE"/>
        </w:rPr>
        <w:t xml:space="preserve"> </w:t>
      </w:r>
      <w:r w:rsidRPr="002B14D4">
        <w:rPr>
          <w:rFonts w:eastAsia="Times New Roman" w:cs="Times New Roman"/>
          <w:lang w:eastAsia="de-DE"/>
        </w:rPr>
        <w:t xml:space="preserve">„Gemeinde" mit Artikel und 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מִשְׁפָּט</w:t>
      </w:r>
      <w:r w:rsidRPr="002B14D4">
        <w:rPr>
          <w:rFonts w:eastAsia="Times New Roman" w:cs="Times New Roman"/>
          <w:rtl/>
          <w:lang w:eastAsia="de-DE"/>
        </w:rPr>
        <w:t xml:space="preserve"> </w:t>
      </w:r>
      <w:r w:rsidRPr="002B14D4">
        <w:rPr>
          <w:rFonts w:eastAsia="Times New Roman" w:cs="Times New Roman"/>
          <w:lang w:eastAsia="de-DE"/>
        </w:rPr>
        <w:t>„Gericht, Recht" „bis er vor der Gemeinde zum Gericht gestanden hat").</w:t>
      </w:r>
    </w:p>
    <w:p w14:paraId="1A9908C9" w14:textId="5953B91F"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Die LXX</w:t>
      </w:r>
      <w:r w:rsidRPr="002B14D4">
        <w:rPr>
          <w:rFonts w:eastAsia="Times New Roman" w:cs="Times New Roman"/>
          <w:lang w:eastAsia="de-DE"/>
        </w:rPr>
        <w:t xml:space="preserve"> </w:t>
      </w:r>
      <w:r w:rsidR="00192257">
        <w:t>übersetzt „</w:t>
      </w:r>
      <w:r w:rsidR="00192257" w:rsidRPr="00192257">
        <w:rPr>
          <w:b/>
          <w:bCs/>
          <w:rtl/>
        </w:rPr>
        <w:t>מִגֹּאֵל</w:t>
      </w:r>
      <w:r w:rsidR="00192257">
        <w:t>" (vor dem Bluträcher) mit „ἀπὸ ἀγχιστεύοντος τὸ αἷμα" (vor dem, der das Blut als Verwandter rächt), was den Verwandtschaftsaspekt betont.</w:t>
      </w:r>
    </w:p>
    <w:p w14:paraId="7BF2C5CE"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eine Definition der Funktion und einen negativen Zwecksatz mit temporaler Begrenzung.</w:t>
      </w:r>
    </w:p>
    <w:p w14:paraId="2B9B7848"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Der Vers enthüllt das revolutionäre Element: Die Zufluchtsstädte schützen vor sofortiger Blutrache durch den </w:t>
      </w:r>
      <w:r w:rsidRPr="002B14D4">
        <w:rPr>
          <w:rFonts w:eastAsia="Times New Roman" w:cs="Times New Roman"/>
          <w:b/>
          <w:bCs/>
          <w:rtl/>
          <w:lang w:eastAsia="de-DE"/>
        </w:rPr>
        <w:t>גֹּאֵל הַדָּם</w:t>
      </w:r>
      <w:r w:rsidRPr="002B14D4">
        <w:rPr>
          <w:rFonts w:eastAsia="Times New Roman" w:cs="Times New Roman"/>
          <w:rtl/>
          <w:lang w:eastAsia="de-DE"/>
        </w:rPr>
        <w:t xml:space="preserve"> </w:t>
      </w:r>
      <w:r w:rsidRPr="002B14D4">
        <w:rPr>
          <w:rFonts w:eastAsia="Times New Roman" w:cs="Times New Roman"/>
          <w:lang w:eastAsia="de-DE"/>
        </w:rPr>
        <w:t xml:space="preserve">und garantieren ein ordentliches Gerichtsverfahren. Zwischen Tat und Strafe wird der Rechtsstaat eingeschaltet - die </w:t>
      </w:r>
      <w:r w:rsidRPr="002B14D4">
        <w:rPr>
          <w:rFonts w:eastAsia="Times New Roman" w:cs="Times New Roman"/>
          <w:b/>
          <w:bCs/>
          <w:rtl/>
          <w:lang w:eastAsia="de-DE"/>
        </w:rPr>
        <w:t>עֵדָה</w:t>
      </w:r>
      <w:r w:rsidRPr="002B14D4">
        <w:rPr>
          <w:rFonts w:eastAsia="Times New Roman" w:cs="Times New Roman"/>
          <w:rtl/>
          <w:lang w:eastAsia="de-DE"/>
        </w:rPr>
        <w:t xml:space="preserve"> </w:t>
      </w:r>
      <w:r w:rsidRPr="002B14D4">
        <w:rPr>
          <w:rFonts w:eastAsia="Times New Roman" w:cs="Times New Roman"/>
          <w:lang w:eastAsia="de-DE"/>
        </w:rPr>
        <w:t>(Gemeinde) muss urteilen, ob vorsätzlicher Mord oder unbeabsichtigte Tötung vorliegt. Dies ersetzt das archaische System der privaten Blutrache durch ein öffentliches Gerichtsverfahren. Der Totschläger hat das Recht auf ein faires Verfahren - ein fundamentales Prinzip der Rechtsstaatlichkeit.</w:t>
      </w:r>
    </w:p>
    <w:p w14:paraId="06623328"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35,13</w:t>
      </w:r>
    </w:p>
    <w:p w14:paraId="00514693"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וְהֶעָרִ֖ים אֲשֶׁ֣ר תִּתֵּ֑נוּ שֵׁשׁ־עָרֵ֥י מִקְלָ֖ט תִּהְיֶ֥ינָה לָכֶֽם׃</w:t>
      </w:r>
    </w:p>
    <w:p w14:paraId="490D1BF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Und die Städte, die ihr geben sollt, sollen sechs Zufluchtsstädte für euch sein.</w:t>
      </w:r>
    </w:p>
    <w:p w14:paraId="16F7A7A9"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55B35766">
          <v:rect id="_x0000_i2072" style="width:0;height:1.5pt" o:hralign="center" o:hrstd="t" o:hr="t" fillcolor="#a0a0a0" stroked="f"/>
        </w:pict>
      </w:r>
    </w:p>
    <w:p w14:paraId="35E7ABBA"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wiederholt die Zahl aus V. 6 zur Betonung. </w:t>
      </w:r>
      <w:r w:rsidRPr="002B14D4">
        <w:rPr>
          <w:rFonts w:eastAsia="Times New Roman" w:cs="Times New Roman"/>
          <w:b/>
          <w:bCs/>
          <w:rtl/>
          <w:lang w:eastAsia="de-DE"/>
        </w:rPr>
        <w:t>וְהֶעָרִים אֲשֶׁר תִּתֵּנוּ שֵׁשׁ־עָרֵי מִקְלָט תִּהְיֶינָה לָכֶם</w:t>
      </w:r>
      <w:r w:rsidRPr="002B14D4">
        <w:rPr>
          <w:rFonts w:eastAsia="Times New Roman" w:cs="Times New Roman"/>
          <w:rtl/>
          <w:lang w:eastAsia="de-DE"/>
        </w:rPr>
        <w:t xml:space="preserve"> </w:t>
      </w:r>
      <w:r w:rsidRPr="002B14D4">
        <w:rPr>
          <w:rFonts w:eastAsia="Times New Roman" w:cs="Times New Roman"/>
          <w:lang w:eastAsia="de-DE"/>
        </w:rPr>
        <w:t>- die Wiederholung nach der Zweckbeschreibung unterstreicht die Bedeutung der Sechszahl.</w:t>
      </w:r>
    </w:p>
    <w:p w14:paraId="13B3D44B"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Der Vers bekräftigt: Genau sechs Zufluchtsstädte - keine mehr, keine weniger - eine für ganz Israel ausreichende, aber auch notwendige Anzahl.</w:t>
      </w:r>
    </w:p>
    <w:p w14:paraId="74E3ECED"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35,14</w:t>
      </w:r>
    </w:p>
    <w:p w14:paraId="67053C54"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אֵ֣ת׀ שְׁלֹ֣שׁ הֶעָרִ֗ים תִּתְּנוּ֙ מֵעֵ֣בֶר לַיַּרְדֵּ֔ן וְאֵת֙ שְׁלֹ֣שׁ הֶֽעָרִ֔ים תִּתְּנ֖וּ בְּאֶ֣רֶץ כְּנָ֑עַן עָרֵ֥י מִקְלָ֖ט תִּהְיֶֽינָה׃</w:t>
      </w:r>
    </w:p>
    <w:p w14:paraId="4EE842A6"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Drei Städte sollt ihr diesseits des Jardens geben, und drei Städte sollt ihr im Land Kena'an geben; Zufluchtsstädte sollen sie sein.</w:t>
      </w:r>
    </w:p>
    <w:p w14:paraId="3F51B5DE"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lastRenderedPageBreak/>
        <w:pict w14:anchorId="5C2CD8A4">
          <v:rect id="_x0000_i2073" style="width:0;height:1.5pt" o:hralign="center" o:hrstd="t" o:hr="t" fillcolor="#a0a0a0" stroked="f"/>
        </w:pict>
      </w:r>
    </w:p>
    <w:p w14:paraId="3CBADE24" w14:textId="40508F55"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regelt die geographische Verteilung. </w:t>
      </w:r>
      <w:r w:rsidRPr="002B14D4">
        <w:rPr>
          <w:rFonts w:eastAsia="Times New Roman" w:cs="Times New Roman"/>
          <w:b/>
          <w:bCs/>
          <w:rtl/>
          <w:lang w:eastAsia="de-DE"/>
        </w:rPr>
        <w:t>אֵת שְׁלֹשׁ הֶעָרִים תִּתְּנוּ מֵעֵבֶר לַיַּרְדֵּן</w:t>
      </w:r>
      <w:r w:rsidRPr="002B14D4">
        <w:rPr>
          <w:rFonts w:eastAsia="Times New Roman" w:cs="Times New Roman"/>
          <w:rtl/>
          <w:lang w:eastAsia="de-DE"/>
        </w:rPr>
        <w:t xml:space="preserve"> </w:t>
      </w:r>
      <w:r w:rsidRPr="002B14D4">
        <w:rPr>
          <w:rFonts w:eastAsia="Times New Roman" w:cs="Times New Roman"/>
          <w:lang w:eastAsia="de-DE"/>
        </w:rPr>
        <w:t xml:space="preserve">gibt die Ostseite an. </w:t>
      </w:r>
      <w:r w:rsidRPr="002B14D4">
        <w:rPr>
          <w:rFonts w:eastAsia="Times New Roman" w:cs="Times New Roman"/>
          <w:b/>
          <w:bCs/>
          <w:rtl/>
          <w:lang w:eastAsia="de-DE"/>
        </w:rPr>
        <w:t>אֵת שְׁלֹשׁ הֶעָרִים</w:t>
      </w:r>
      <w:r w:rsidRPr="002B14D4">
        <w:rPr>
          <w:rFonts w:eastAsia="Times New Roman" w:cs="Times New Roman"/>
          <w:rtl/>
          <w:lang w:eastAsia="de-DE"/>
        </w:rPr>
        <w:t xml:space="preserve"> </w:t>
      </w:r>
      <w:r w:rsidRPr="002B14D4">
        <w:rPr>
          <w:rFonts w:eastAsia="Times New Roman" w:cs="Times New Roman"/>
          <w:lang w:eastAsia="de-DE"/>
        </w:rPr>
        <w:t xml:space="preserve">(Akkusativpartikel mit Kardinalzahl „drei" und Plural </w:t>
      </w:r>
      <w:r w:rsidRPr="002B14D4">
        <w:rPr>
          <w:rFonts w:eastAsia="Times New Roman" w:cs="Times New Roman"/>
          <w:b/>
          <w:bCs/>
          <w:rtl/>
          <w:lang w:eastAsia="de-DE"/>
        </w:rPr>
        <w:t>עִיר</w:t>
      </w:r>
      <w:r w:rsidRPr="002B14D4">
        <w:rPr>
          <w:rFonts w:eastAsia="Times New Roman" w:cs="Times New Roman"/>
          <w:rtl/>
          <w:lang w:eastAsia="de-DE"/>
        </w:rPr>
        <w:t xml:space="preserve"> </w:t>
      </w:r>
      <w:r w:rsidRPr="002B14D4">
        <w:rPr>
          <w:rFonts w:eastAsia="Times New Roman" w:cs="Times New Roman"/>
          <w:lang w:eastAsia="de-DE"/>
        </w:rPr>
        <w:t xml:space="preserve">mit Artikel „die drei Städte"), </w:t>
      </w:r>
      <w:r w:rsidRPr="002B14D4">
        <w:rPr>
          <w:rFonts w:eastAsia="Times New Roman" w:cs="Times New Roman"/>
          <w:b/>
          <w:bCs/>
          <w:rtl/>
          <w:lang w:eastAsia="de-DE"/>
        </w:rPr>
        <w:t>תִּתְּנוּ</w:t>
      </w:r>
      <w:r w:rsidRPr="002B14D4">
        <w:rPr>
          <w:rFonts w:eastAsia="Times New Roman" w:cs="Times New Roman"/>
          <w:rtl/>
          <w:lang w:eastAsia="de-DE"/>
        </w:rPr>
        <w:t xml:space="preserve"> </w:t>
      </w:r>
      <w:r w:rsidRPr="002B14D4">
        <w:rPr>
          <w:rFonts w:eastAsia="Times New Roman" w:cs="Times New Roman"/>
          <w:lang w:eastAsia="de-DE"/>
        </w:rPr>
        <w:t xml:space="preserve">(Qal Imperfekt 2. Person Plural von </w:t>
      </w:r>
      <w:r w:rsidRPr="002B14D4">
        <w:rPr>
          <w:rFonts w:eastAsia="Times New Roman" w:cs="Times New Roman"/>
          <w:b/>
          <w:bCs/>
          <w:rtl/>
          <w:lang w:eastAsia="de-DE"/>
        </w:rPr>
        <w:t>נתן</w:t>
      </w:r>
      <w:r w:rsidRPr="002B14D4">
        <w:rPr>
          <w:rFonts w:eastAsia="Times New Roman" w:cs="Times New Roman"/>
          <w:rtl/>
          <w:lang w:eastAsia="de-DE"/>
        </w:rPr>
        <w:t xml:space="preserve"> </w:t>
      </w:r>
      <w:r w:rsidRPr="002B14D4">
        <w:rPr>
          <w:rFonts w:eastAsia="Times New Roman" w:cs="Times New Roman"/>
          <w:lang w:eastAsia="de-DE"/>
        </w:rPr>
        <w:t xml:space="preserve">„geben"), </w:t>
      </w:r>
      <w:r w:rsidRPr="002B14D4">
        <w:rPr>
          <w:rFonts w:eastAsia="Times New Roman" w:cs="Times New Roman"/>
          <w:b/>
          <w:bCs/>
          <w:rtl/>
          <w:lang w:eastAsia="de-DE"/>
        </w:rPr>
        <w:t>מֵעֵבֶר לַיַּרְדֵּן</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מִן</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עֵבֶר</w:t>
      </w:r>
      <w:r w:rsidRPr="002B14D4">
        <w:rPr>
          <w:rFonts w:eastAsia="Times New Roman" w:cs="Times New Roman"/>
          <w:rtl/>
          <w:lang w:eastAsia="de-DE"/>
        </w:rPr>
        <w:t xml:space="preserve"> </w:t>
      </w:r>
      <w:r w:rsidRPr="002B14D4">
        <w:rPr>
          <w:rFonts w:eastAsia="Times New Roman" w:cs="Times New Roman"/>
          <w:lang w:eastAsia="de-DE"/>
        </w:rPr>
        <w:t xml:space="preserve">„Seite" im </w:t>
      </w:r>
      <w:r w:rsidR="00E031B3">
        <w:rPr>
          <w:rFonts w:eastAsia="Times New Roman" w:cs="Times New Roman"/>
          <w:lang w:eastAsia="de-DE"/>
        </w:rPr>
        <w:t>Constructus und</w:t>
      </w:r>
      <w:r w:rsidRPr="002B14D4">
        <w:rPr>
          <w:rFonts w:eastAsia="Times New Roman" w:cs="Times New Roman"/>
          <w:lang w:eastAsia="de-DE"/>
        </w:rPr>
        <w:t xml:space="preserve"> 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יַרְדֵּן</w:t>
      </w:r>
      <w:r w:rsidRPr="002B14D4">
        <w:rPr>
          <w:rFonts w:eastAsia="Times New Roman" w:cs="Times New Roman"/>
          <w:rtl/>
          <w:lang w:eastAsia="de-DE"/>
        </w:rPr>
        <w:t xml:space="preserve"> </w:t>
      </w:r>
      <w:r w:rsidRPr="002B14D4">
        <w:rPr>
          <w:rFonts w:eastAsia="Times New Roman" w:cs="Times New Roman"/>
          <w:lang w:eastAsia="de-DE"/>
        </w:rPr>
        <w:t xml:space="preserve">„diesseits des Jordan", aus der Perspektive Moses im Ostjordanland = östlich des Jordan). </w:t>
      </w:r>
      <w:r w:rsidRPr="002B14D4">
        <w:rPr>
          <w:rFonts w:eastAsia="Times New Roman" w:cs="Times New Roman"/>
          <w:b/>
          <w:bCs/>
          <w:rtl/>
          <w:lang w:eastAsia="de-DE"/>
        </w:rPr>
        <w:t>וְאֵת שְׁלֹשׁ הֶעָרִים תִּתְּנוּ בְּאֶרֶץ כְּנָעַן</w:t>
      </w:r>
      <w:r w:rsidRPr="002B14D4">
        <w:rPr>
          <w:rFonts w:eastAsia="Times New Roman" w:cs="Times New Roman"/>
          <w:rtl/>
          <w:lang w:eastAsia="de-DE"/>
        </w:rPr>
        <w:t xml:space="preserve"> </w:t>
      </w:r>
      <w:r w:rsidRPr="002B14D4">
        <w:rPr>
          <w:rFonts w:eastAsia="Times New Roman" w:cs="Times New Roman"/>
          <w:lang w:eastAsia="de-DE"/>
        </w:rPr>
        <w:t xml:space="preserve">gibt die Westseite an (im eigentlichen Kanaan westlich des Jordan). </w:t>
      </w:r>
      <w:r w:rsidRPr="002B14D4">
        <w:rPr>
          <w:rFonts w:eastAsia="Times New Roman" w:cs="Times New Roman"/>
          <w:b/>
          <w:bCs/>
          <w:rtl/>
          <w:lang w:eastAsia="de-DE"/>
        </w:rPr>
        <w:t>עָרֵי מִקְלָט תִּהְיֶינָה</w:t>
      </w:r>
      <w:r w:rsidRPr="002B14D4">
        <w:rPr>
          <w:rFonts w:eastAsia="Times New Roman" w:cs="Times New Roman"/>
          <w:rtl/>
          <w:lang w:eastAsia="de-DE"/>
        </w:rPr>
        <w:t xml:space="preserve"> </w:t>
      </w:r>
      <w:r w:rsidRPr="002B14D4">
        <w:rPr>
          <w:rFonts w:eastAsia="Times New Roman" w:cs="Times New Roman"/>
          <w:lang w:eastAsia="de-DE"/>
        </w:rPr>
        <w:t>bekräftigt ihren Status.</w:t>
      </w:r>
    </w:p>
    <w:p w14:paraId="69DCDCFC"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zwei parallele Anweisungen mit abschließender Charakterisierung.</w:t>
      </w:r>
    </w:p>
    <w:p w14:paraId="59169D64" w14:textId="26A9A942" w:rsid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Der Vers etabliert eine geographisch ausgewogene Verteilung: drei Städte östlich, drei westlich des Jordan. Dies stellt sicher, dass sowohl die zweieinhalb Stämme im Ostjordanland als auch die neuneinhalb Stämme westlich des Jordan Zugang zu Zufluchtsstädten haben. Die gleichmäßige Verteilung bedeutet, dass kein Totschläger eine unerreichbare Distanz zurücklegen muss - Gerechtigkeit muss zugänglich sein.</w:t>
      </w:r>
    </w:p>
    <w:p w14:paraId="164B9A42" w14:textId="704B2AE3" w:rsidR="00CF638D" w:rsidRDefault="00CF638D" w:rsidP="00CF638D">
      <w:pPr>
        <w:pStyle w:val="berschrift4"/>
      </w:pPr>
      <w:r>
        <w:t>Die konkrete Verteilung der Städte (nach Josua 21 und 20)</w:t>
      </w:r>
    </w:p>
    <w:p w14:paraId="0EB92F11" w14:textId="714F6887" w:rsidR="00CF638D" w:rsidRPr="00CF638D" w:rsidRDefault="00CF638D" w:rsidP="00CF638D">
      <w:r>
        <w:rPr>
          <w:rStyle w:val="Fett"/>
        </w:rPr>
        <w:t>48 Levitenstädte nach Stämmen:</w:t>
      </w:r>
    </w:p>
    <w:tbl>
      <w:tblPr>
        <w:tblStyle w:val="Tabellenraster"/>
        <w:tblW w:w="4994" w:type="pct"/>
        <w:tblLook w:val="04A0" w:firstRow="1" w:lastRow="0" w:firstColumn="1" w:lastColumn="0" w:noHBand="0" w:noVBand="1"/>
      </w:tblPr>
      <w:tblGrid>
        <w:gridCol w:w="2121"/>
        <w:gridCol w:w="1843"/>
        <w:gridCol w:w="5087"/>
      </w:tblGrid>
      <w:tr w:rsidR="00CF638D" w14:paraId="61C8A988" w14:textId="77777777" w:rsidTr="00CF638D">
        <w:tc>
          <w:tcPr>
            <w:tcW w:w="1172" w:type="pct"/>
            <w:vAlign w:val="center"/>
          </w:tcPr>
          <w:p w14:paraId="48E77B21" w14:textId="135BEC79" w:rsidR="00CF638D" w:rsidRDefault="00CF638D" w:rsidP="00CF638D">
            <w:r>
              <w:rPr>
                <w:rFonts w:cs="Times New Roman"/>
                <w:b/>
                <w:bCs/>
              </w:rPr>
              <w:t>Stamm</w:t>
            </w:r>
          </w:p>
        </w:tc>
        <w:tc>
          <w:tcPr>
            <w:tcW w:w="1018" w:type="pct"/>
            <w:vAlign w:val="center"/>
          </w:tcPr>
          <w:p w14:paraId="736B6BEB" w14:textId="488BA5F7" w:rsidR="00CF638D" w:rsidRDefault="00CF638D" w:rsidP="00CF638D">
            <w:r>
              <w:rPr>
                <w:b/>
                <w:bCs/>
              </w:rPr>
              <w:t>Anzahl Städte</w:t>
            </w:r>
          </w:p>
        </w:tc>
        <w:tc>
          <w:tcPr>
            <w:tcW w:w="2810" w:type="pct"/>
            <w:vAlign w:val="center"/>
          </w:tcPr>
          <w:p w14:paraId="7B17F96C" w14:textId="306ABD90" w:rsidR="00CF638D" w:rsidRDefault="00CF638D" w:rsidP="00CF638D">
            <w:r>
              <w:rPr>
                <w:b/>
                <w:bCs/>
              </w:rPr>
              <w:t>Bemerkung</w:t>
            </w:r>
          </w:p>
        </w:tc>
      </w:tr>
      <w:tr w:rsidR="00CF638D" w14:paraId="3B51236E" w14:textId="77777777" w:rsidTr="00CF638D">
        <w:tc>
          <w:tcPr>
            <w:tcW w:w="1172" w:type="pct"/>
            <w:vAlign w:val="center"/>
          </w:tcPr>
          <w:p w14:paraId="6A1CA5A3" w14:textId="5E970304" w:rsidR="00CF638D" w:rsidRDefault="00CF638D" w:rsidP="00CF638D">
            <w:r>
              <w:t>Juda + Simeon</w:t>
            </w:r>
          </w:p>
        </w:tc>
        <w:tc>
          <w:tcPr>
            <w:tcW w:w="1018" w:type="pct"/>
            <w:vAlign w:val="center"/>
          </w:tcPr>
          <w:p w14:paraId="680B593F" w14:textId="625B9993" w:rsidR="00CF638D" w:rsidRDefault="00CF638D" w:rsidP="00CF638D">
            <w:r>
              <w:t>13</w:t>
            </w:r>
          </w:p>
        </w:tc>
        <w:tc>
          <w:tcPr>
            <w:tcW w:w="2810" w:type="pct"/>
            <w:vAlign w:val="center"/>
          </w:tcPr>
          <w:p w14:paraId="166BA978" w14:textId="6F1F9688" w:rsidR="00CF638D" w:rsidRDefault="00CF638D" w:rsidP="00CF638D">
            <w:r>
              <w:t>Inkl. Hebron (Zufluchtsstadt)</w:t>
            </w:r>
          </w:p>
        </w:tc>
      </w:tr>
      <w:tr w:rsidR="00CF638D" w14:paraId="36A5660A" w14:textId="77777777" w:rsidTr="00CF638D">
        <w:tc>
          <w:tcPr>
            <w:tcW w:w="1172" w:type="pct"/>
            <w:vAlign w:val="center"/>
          </w:tcPr>
          <w:p w14:paraId="32C90DB3" w14:textId="29DEE275" w:rsidR="00CF638D" w:rsidRDefault="00CF638D" w:rsidP="00CF638D">
            <w:r>
              <w:t>Benjamin</w:t>
            </w:r>
          </w:p>
        </w:tc>
        <w:tc>
          <w:tcPr>
            <w:tcW w:w="1018" w:type="pct"/>
            <w:vAlign w:val="center"/>
          </w:tcPr>
          <w:p w14:paraId="661F6497" w14:textId="66A27081" w:rsidR="00CF638D" w:rsidRDefault="00CF638D" w:rsidP="00CF638D">
            <w:r>
              <w:t>4</w:t>
            </w:r>
          </w:p>
        </w:tc>
        <w:tc>
          <w:tcPr>
            <w:tcW w:w="2810" w:type="pct"/>
            <w:vAlign w:val="center"/>
          </w:tcPr>
          <w:p w14:paraId="5D62E984" w14:textId="00C2E214" w:rsidR="00CF638D" w:rsidRDefault="00CF638D" w:rsidP="00CF638D">
            <w:r>
              <w:t>Inkl. viele priesterliche Städte</w:t>
            </w:r>
          </w:p>
        </w:tc>
      </w:tr>
      <w:tr w:rsidR="00CF638D" w14:paraId="4F9DAF4D" w14:textId="77777777" w:rsidTr="00CF638D">
        <w:tc>
          <w:tcPr>
            <w:tcW w:w="1172" w:type="pct"/>
            <w:vAlign w:val="center"/>
          </w:tcPr>
          <w:p w14:paraId="0248557E" w14:textId="4F67CB3E" w:rsidR="00CF638D" w:rsidRDefault="00CF638D" w:rsidP="00CF638D">
            <w:r>
              <w:t>Efraim</w:t>
            </w:r>
          </w:p>
        </w:tc>
        <w:tc>
          <w:tcPr>
            <w:tcW w:w="1018" w:type="pct"/>
            <w:vAlign w:val="center"/>
          </w:tcPr>
          <w:p w14:paraId="2C047DAB" w14:textId="5BECE948" w:rsidR="00CF638D" w:rsidRDefault="00CF638D" w:rsidP="00CF638D">
            <w:r>
              <w:t>4</w:t>
            </w:r>
          </w:p>
        </w:tc>
        <w:tc>
          <w:tcPr>
            <w:tcW w:w="2810" w:type="pct"/>
            <w:vAlign w:val="center"/>
          </w:tcPr>
          <w:p w14:paraId="4355DA1F" w14:textId="2ABE59B5" w:rsidR="00CF638D" w:rsidRDefault="00CF638D" w:rsidP="00CF638D">
            <w:r>
              <w:t>Inkl. Sichem (Zufluchtsstadt)</w:t>
            </w:r>
          </w:p>
        </w:tc>
      </w:tr>
      <w:tr w:rsidR="00CF638D" w14:paraId="138209F1" w14:textId="77777777" w:rsidTr="00CF638D">
        <w:tc>
          <w:tcPr>
            <w:tcW w:w="1172" w:type="pct"/>
            <w:vAlign w:val="center"/>
          </w:tcPr>
          <w:p w14:paraId="6F5B0738" w14:textId="63843378" w:rsidR="00CF638D" w:rsidRDefault="00CF638D" w:rsidP="00CF638D">
            <w:r>
              <w:t>Dan</w:t>
            </w:r>
          </w:p>
        </w:tc>
        <w:tc>
          <w:tcPr>
            <w:tcW w:w="1018" w:type="pct"/>
            <w:vAlign w:val="center"/>
          </w:tcPr>
          <w:p w14:paraId="1230DEEA" w14:textId="61B75DB4" w:rsidR="00CF638D" w:rsidRDefault="00CF638D" w:rsidP="00CF638D">
            <w:r>
              <w:t>4</w:t>
            </w:r>
          </w:p>
        </w:tc>
        <w:tc>
          <w:tcPr>
            <w:tcW w:w="2810" w:type="pct"/>
            <w:vAlign w:val="center"/>
          </w:tcPr>
          <w:p w14:paraId="77E47C50" w14:textId="5292BDCC" w:rsidR="00CF638D" w:rsidRDefault="00CF638D" w:rsidP="00CF638D">
            <w:r>
              <w:t>Westlich des Jordan</w:t>
            </w:r>
          </w:p>
        </w:tc>
      </w:tr>
      <w:tr w:rsidR="00CF638D" w14:paraId="45658D47" w14:textId="77777777" w:rsidTr="00CF638D">
        <w:tc>
          <w:tcPr>
            <w:tcW w:w="1172" w:type="pct"/>
            <w:vAlign w:val="center"/>
          </w:tcPr>
          <w:p w14:paraId="7EC42635" w14:textId="62881B2A" w:rsidR="00CF638D" w:rsidRDefault="00CF638D" w:rsidP="00CF638D">
            <w:r>
              <w:t>Manasse (West)</w:t>
            </w:r>
          </w:p>
        </w:tc>
        <w:tc>
          <w:tcPr>
            <w:tcW w:w="1018" w:type="pct"/>
            <w:vAlign w:val="center"/>
          </w:tcPr>
          <w:p w14:paraId="45FAC048" w14:textId="1A871538" w:rsidR="00CF638D" w:rsidRDefault="00CF638D" w:rsidP="00CF638D">
            <w:r>
              <w:t>2</w:t>
            </w:r>
          </w:p>
        </w:tc>
        <w:tc>
          <w:tcPr>
            <w:tcW w:w="2810" w:type="pct"/>
            <w:vAlign w:val="center"/>
          </w:tcPr>
          <w:p w14:paraId="3FAF5BE7" w14:textId="77777777" w:rsidR="00CF638D" w:rsidRDefault="00CF638D" w:rsidP="00CF638D"/>
        </w:tc>
      </w:tr>
      <w:tr w:rsidR="00CF638D" w14:paraId="4B58922F" w14:textId="77777777" w:rsidTr="00CF638D">
        <w:tc>
          <w:tcPr>
            <w:tcW w:w="1172" w:type="pct"/>
            <w:vAlign w:val="center"/>
          </w:tcPr>
          <w:p w14:paraId="63E9A6E5" w14:textId="4B45BB97" w:rsidR="00CF638D" w:rsidRDefault="00CF638D" w:rsidP="00CF638D">
            <w:r>
              <w:t>Issachar</w:t>
            </w:r>
          </w:p>
        </w:tc>
        <w:tc>
          <w:tcPr>
            <w:tcW w:w="1018" w:type="pct"/>
            <w:vAlign w:val="center"/>
          </w:tcPr>
          <w:p w14:paraId="15B491AF" w14:textId="4D3A7D2D" w:rsidR="00CF638D" w:rsidRDefault="00CF638D" w:rsidP="00CF638D">
            <w:r>
              <w:t>4</w:t>
            </w:r>
          </w:p>
        </w:tc>
        <w:tc>
          <w:tcPr>
            <w:tcW w:w="2810" w:type="pct"/>
            <w:vAlign w:val="center"/>
          </w:tcPr>
          <w:p w14:paraId="4B45AF08" w14:textId="57E101B6" w:rsidR="00CF638D" w:rsidRDefault="00CF638D" w:rsidP="00CF638D">
            <w:r>
              <w:t>Nördliche Städte</w:t>
            </w:r>
          </w:p>
        </w:tc>
      </w:tr>
      <w:tr w:rsidR="00CF638D" w14:paraId="5B9C4CD8" w14:textId="77777777" w:rsidTr="00CF638D">
        <w:tc>
          <w:tcPr>
            <w:tcW w:w="1172" w:type="pct"/>
            <w:vAlign w:val="center"/>
          </w:tcPr>
          <w:p w14:paraId="1FECEB78" w14:textId="6E0B7F34" w:rsidR="00CF638D" w:rsidRDefault="00CF638D" w:rsidP="00CF638D">
            <w:r>
              <w:t>Ascher</w:t>
            </w:r>
          </w:p>
        </w:tc>
        <w:tc>
          <w:tcPr>
            <w:tcW w:w="1018" w:type="pct"/>
            <w:vAlign w:val="center"/>
          </w:tcPr>
          <w:p w14:paraId="5F121EA1" w14:textId="4A1BD0CC" w:rsidR="00CF638D" w:rsidRDefault="00CF638D" w:rsidP="00CF638D">
            <w:r>
              <w:t>4</w:t>
            </w:r>
          </w:p>
        </w:tc>
        <w:tc>
          <w:tcPr>
            <w:tcW w:w="2810" w:type="pct"/>
            <w:vAlign w:val="center"/>
          </w:tcPr>
          <w:p w14:paraId="552DDDA1" w14:textId="2825F2F5" w:rsidR="00CF638D" w:rsidRDefault="00CF638D" w:rsidP="00CF638D">
            <w:r>
              <w:t>Küstenregion</w:t>
            </w:r>
          </w:p>
        </w:tc>
      </w:tr>
      <w:tr w:rsidR="00CF638D" w14:paraId="648BD7D6" w14:textId="77777777" w:rsidTr="00CF638D">
        <w:tc>
          <w:tcPr>
            <w:tcW w:w="1172" w:type="pct"/>
            <w:vAlign w:val="center"/>
          </w:tcPr>
          <w:p w14:paraId="0B44B922" w14:textId="52E67A78" w:rsidR="00CF638D" w:rsidRDefault="00CF638D" w:rsidP="00CF638D">
            <w:r>
              <w:t>Naftali</w:t>
            </w:r>
          </w:p>
        </w:tc>
        <w:tc>
          <w:tcPr>
            <w:tcW w:w="1018" w:type="pct"/>
            <w:vAlign w:val="center"/>
          </w:tcPr>
          <w:p w14:paraId="667F1668" w14:textId="6EF522C9" w:rsidR="00CF638D" w:rsidRDefault="00CF638D" w:rsidP="00CF638D">
            <w:r>
              <w:t>3</w:t>
            </w:r>
          </w:p>
        </w:tc>
        <w:tc>
          <w:tcPr>
            <w:tcW w:w="2810" w:type="pct"/>
            <w:vAlign w:val="center"/>
          </w:tcPr>
          <w:p w14:paraId="348B7171" w14:textId="4D446704" w:rsidR="00CF638D" w:rsidRDefault="00CF638D" w:rsidP="00CF638D">
            <w:r>
              <w:t>Inkl. Kedesch (Zufluchtsstadt)</w:t>
            </w:r>
          </w:p>
        </w:tc>
      </w:tr>
      <w:tr w:rsidR="00CF638D" w14:paraId="5601A51C" w14:textId="77777777" w:rsidTr="00CF638D">
        <w:tc>
          <w:tcPr>
            <w:tcW w:w="1172" w:type="pct"/>
            <w:vAlign w:val="center"/>
          </w:tcPr>
          <w:p w14:paraId="3462896F" w14:textId="5430D0CE" w:rsidR="00CF638D" w:rsidRDefault="00CF638D" w:rsidP="00CF638D">
            <w:r>
              <w:t>Sebulon</w:t>
            </w:r>
          </w:p>
        </w:tc>
        <w:tc>
          <w:tcPr>
            <w:tcW w:w="1018" w:type="pct"/>
            <w:vAlign w:val="center"/>
          </w:tcPr>
          <w:p w14:paraId="433F34A6" w14:textId="6FC74C32" w:rsidR="00CF638D" w:rsidRDefault="00CF638D" w:rsidP="00CF638D">
            <w:r>
              <w:t>4</w:t>
            </w:r>
          </w:p>
        </w:tc>
        <w:tc>
          <w:tcPr>
            <w:tcW w:w="2810" w:type="pct"/>
            <w:vAlign w:val="center"/>
          </w:tcPr>
          <w:p w14:paraId="6AD3AF86" w14:textId="4BC30071" w:rsidR="00CF638D" w:rsidRDefault="00CF638D" w:rsidP="00CF638D">
            <w:r>
              <w:t>Galiläa</w:t>
            </w:r>
          </w:p>
        </w:tc>
      </w:tr>
      <w:tr w:rsidR="00CF638D" w14:paraId="2AC7331A" w14:textId="77777777" w:rsidTr="00CF638D">
        <w:tc>
          <w:tcPr>
            <w:tcW w:w="1172" w:type="pct"/>
            <w:vAlign w:val="center"/>
          </w:tcPr>
          <w:p w14:paraId="30D3CBF6" w14:textId="12F4C6A5" w:rsidR="00CF638D" w:rsidRDefault="00CF638D" w:rsidP="00CF638D">
            <w:r>
              <w:t>Ruben</w:t>
            </w:r>
          </w:p>
        </w:tc>
        <w:tc>
          <w:tcPr>
            <w:tcW w:w="1018" w:type="pct"/>
            <w:vAlign w:val="center"/>
          </w:tcPr>
          <w:p w14:paraId="48445C6E" w14:textId="53756861" w:rsidR="00CF638D" w:rsidRDefault="00CF638D" w:rsidP="00CF638D">
            <w:r>
              <w:t>4</w:t>
            </w:r>
          </w:p>
        </w:tc>
        <w:tc>
          <w:tcPr>
            <w:tcW w:w="2810" w:type="pct"/>
            <w:vAlign w:val="center"/>
          </w:tcPr>
          <w:p w14:paraId="019ACD6B" w14:textId="5A32332B" w:rsidR="00CF638D" w:rsidRDefault="00CF638D" w:rsidP="00CF638D">
            <w:r>
              <w:t>Inkl. Bezer (Zufluchtsstadt)</w:t>
            </w:r>
          </w:p>
        </w:tc>
      </w:tr>
      <w:tr w:rsidR="00CF638D" w14:paraId="64094AD6" w14:textId="77777777" w:rsidTr="00CF638D">
        <w:tc>
          <w:tcPr>
            <w:tcW w:w="1172" w:type="pct"/>
            <w:vAlign w:val="center"/>
          </w:tcPr>
          <w:p w14:paraId="3B6E5C71" w14:textId="52E1E1F8" w:rsidR="00CF638D" w:rsidRDefault="00CF638D" w:rsidP="00CF638D">
            <w:r>
              <w:t>Gad</w:t>
            </w:r>
          </w:p>
        </w:tc>
        <w:tc>
          <w:tcPr>
            <w:tcW w:w="1018" w:type="pct"/>
            <w:vAlign w:val="center"/>
          </w:tcPr>
          <w:p w14:paraId="13DD2947" w14:textId="3EA6CFC5" w:rsidR="00CF638D" w:rsidRDefault="00CF638D" w:rsidP="00CF638D">
            <w:r>
              <w:t>4</w:t>
            </w:r>
          </w:p>
        </w:tc>
        <w:tc>
          <w:tcPr>
            <w:tcW w:w="2810" w:type="pct"/>
            <w:vAlign w:val="center"/>
          </w:tcPr>
          <w:p w14:paraId="2685548C" w14:textId="207D88E4" w:rsidR="00CF638D" w:rsidRDefault="00CF638D" w:rsidP="00CF638D">
            <w:r>
              <w:t>Inkl. Ramot (Zufluchtsstadt)</w:t>
            </w:r>
          </w:p>
        </w:tc>
      </w:tr>
      <w:tr w:rsidR="00CF638D" w14:paraId="63A47EB3" w14:textId="77777777" w:rsidTr="00CF638D">
        <w:tc>
          <w:tcPr>
            <w:tcW w:w="1172" w:type="pct"/>
            <w:vAlign w:val="center"/>
          </w:tcPr>
          <w:p w14:paraId="23F5D5BE" w14:textId="389D9782" w:rsidR="00CF638D" w:rsidRDefault="00CF638D" w:rsidP="00CF638D">
            <w:r>
              <w:t>Manasse (Ost)</w:t>
            </w:r>
          </w:p>
        </w:tc>
        <w:tc>
          <w:tcPr>
            <w:tcW w:w="1018" w:type="pct"/>
            <w:vAlign w:val="center"/>
          </w:tcPr>
          <w:p w14:paraId="2915AE2B" w14:textId="10CA2115" w:rsidR="00CF638D" w:rsidRDefault="00CF638D" w:rsidP="00CF638D">
            <w:r>
              <w:t>2</w:t>
            </w:r>
          </w:p>
        </w:tc>
        <w:tc>
          <w:tcPr>
            <w:tcW w:w="2810" w:type="pct"/>
            <w:vAlign w:val="center"/>
          </w:tcPr>
          <w:p w14:paraId="3FC780C9" w14:textId="3563E7B7" w:rsidR="00CF638D" w:rsidRDefault="00CF638D" w:rsidP="00CF638D">
            <w:r>
              <w:t>Inkl. Golan (Zufluchtsstadt)</w:t>
            </w:r>
          </w:p>
        </w:tc>
      </w:tr>
    </w:tbl>
    <w:p w14:paraId="58FD99DB" w14:textId="77777777" w:rsidR="00CF638D" w:rsidRDefault="00CF638D" w:rsidP="00CF638D">
      <w:pPr>
        <w:pStyle w:val="whitespace-normal"/>
      </w:pPr>
      <w:r>
        <w:rPr>
          <w:rStyle w:val="Fett"/>
        </w:rPr>
        <w:t>Die 6 Zufluchtsstädte (Jos 20,7-8):</w:t>
      </w:r>
    </w:p>
    <w:p w14:paraId="14044FE9" w14:textId="77777777" w:rsidR="00CF638D" w:rsidRDefault="00CF638D" w:rsidP="00CF638D">
      <w:pPr>
        <w:pStyle w:val="whitespace-normal"/>
      </w:pPr>
      <w:r>
        <w:rPr>
          <w:rStyle w:val="Fett"/>
        </w:rPr>
        <w:t>Westlich des Jordan:</w:t>
      </w:r>
    </w:p>
    <w:p w14:paraId="047A5FF6" w14:textId="77777777" w:rsidR="00CF638D" w:rsidRDefault="00CF638D" w:rsidP="00097545">
      <w:pPr>
        <w:pStyle w:val="whitespace-normal"/>
        <w:numPr>
          <w:ilvl w:val="0"/>
          <w:numId w:val="233"/>
        </w:numPr>
      </w:pPr>
      <w:r>
        <w:rPr>
          <w:rStyle w:val="Fett"/>
        </w:rPr>
        <w:t>Kedesch</w:t>
      </w:r>
      <w:r>
        <w:t xml:space="preserve"> (</w:t>
      </w:r>
      <w:r>
        <w:rPr>
          <w:rtl/>
        </w:rPr>
        <w:t>קֶדֶשׁ</w:t>
      </w:r>
      <w:r>
        <w:t>) in Galiläa (Naftali) – nördlichste</w:t>
      </w:r>
    </w:p>
    <w:p w14:paraId="65C00A53" w14:textId="77777777" w:rsidR="00CF638D" w:rsidRDefault="00CF638D" w:rsidP="00097545">
      <w:pPr>
        <w:pStyle w:val="whitespace-normal"/>
        <w:numPr>
          <w:ilvl w:val="0"/>
          <w:numId w:val="233"/>
        </w:numPr>
      </w:pPr>
      <w:r>
        <w:rPr>
          <w:rStyle w:val="Fett"/>
        </w:rPr>
        <w:t>Sichem</w:t>
      </w:r>
      <w:r>
        <w:t xml:space="preserve"> (</w:t>
      </w:r>
      <w:r>
        <w:rPr>
          <w:rtl/>
        </w:rPr>
        <w:t>שְׁכֶם</w:t>
      </w:r>
      <w:r>
        <w:t>) im Gebirge Efraim – zentral</w:t>
      </w:r>
    </w:p>
    <w:p w14:paraId="13590791" w14:textId="77777777" w:rsidR="00CF638D" w:rsidRDefault="00CF638D" w:rsidP="00097545">
      <w:pPr>
        <w:pStyle w:val="whitespace-normal"/>
        <w:numPr>
          <w:ilvl w:val="0"/>
          <w:numId w:val="233"/>
        </w:numPr>
      </w:pPr>
      <w:r>
        <w:rPr>
          <w:rStyle w:val="Fett"/>
        </w:rPr>
        <w:t>Hebron</w:t>
      </w:r>
      <w:r>
        <w:t xml:space="preserve"> (</w:t>
      </w:r>
      <w:r>
        <w:rPr>
          <w:rtl/>
        </w:rPr>
        <w:t>חֶבְרוֹן</w:t>
      </w:r>
      <w:r>
        <w:t>) im Gebirge Juda – südlichste</w:t>
      </w:r>
    </w:p>
    <w:p w14:paraId="5984115A" w14:textId="77777777" w:rsidR="00CF638D" w:rsidRDefault="00CF638D" w:rsidP="00CF638D">
      <w:pPr>
        <w:pStyle w:val="whitespace-normal"/>
      </w:pPr>
      <w:r>
        <w:rPr>
          <w:rStyle w:val="Fett"/>
        </w:rPr>
        <w:t>Östlich des Jordan:</w:t>
      </w:r>
      <w:r>
        <w:t xml:space="preserve"> 4. </w:t>
      </w:r>
      <w:r>
        <w:rPr>
          <w:rStyle w:val="Fett"/>
        </w:rPr>
        <w:t>Bezer</w:t>
      </w:r>
      <w:r>
        <w:t xml:space="preserve"> (</w:t>
      </w:r>
      <w:r>
        <w:rPr>
          <w:rtl/>
        </w:rPr>
        <w:t>בֶּצֶר</w:t>
      </w:r>
      <w:r>
        <w:t xml:space="preserve">) in der Wüste (Ruben) – Süden 5. </w:t>
      </w:r>
      <w:r>
        <w:rPr>
          <w:rStyle w:val="Fett"/>
        </w:rPr>
        <w:t>Ramot in Gilead</w:t>
      </w:r>
      <w:r>
        <w:t xml:space="preserve"> (</w:t>
      </w:r>
      <w:r>
        <w:rPr>
          <w:rtl/>
        </w:rPr>
        <w:t>רָמוֹת בַּגִּלְעָד</w:t>
      </w:r>
      <w:r>
        <w:t xml:space="preserve">) (Gad) – Mitte 6. </w:t>
      </w:r>
      <w:r>
        <w:rPr>
          <w:rStyle w:val="Fett"/>
        </w:rPr>
        <w:t>Golan</w:t>
      </w:r>
      <w:r>
        <w:t xml:space="preserve"> (</w:t>
      </w:r>
      <w:r>
        <w:rPr>
          <w:rtl/>
        </w:rPr>
        <w:t>גּוֹלָן</w:t>
      </w:r>
      <w:r>
        <w:t>) in Baschan (Manasse) – Norden</w:t>
      </w:r>
    </w:p>
    <w:p w14:paraId="3A9A9511" w14:textId="77777777" w:rsidR="00CF638D" w:rsidRDefault="00CF638D" w:rsidP="00CF638D">
      <w:pPr>
        <w:pStyle w:val="whitespace-normal"/>
      </w:pPr>
      <w:r>
        <w:rPr>
          <w:rStyle w:val="Fett"/>
        </w:rPr>
        <w:t>Geografische Beobachtungen:</w:t>
      </w:r>
    </w:p>
    <w:p w14:paraId="5755922E" w14:textId="77777777" w:rsidR="00CF638D" w:rsidRDefault="00CF638D" w:rsidP="00097545">
      <w:pPr>
        <w:pStyle w:val="whitespace-normal"/>
        <w:numPr>
          <w:ilvl w:val="0"/>
          <w:numId w:val="234"/>
        </w:numPr>
      </w:pPr>
      <w:r>
        <w:rPr>
          <w:rStyle w:val="Fett"/>
        </w:rPr>
        <w:t>Symmetrische Verteilung</w:t>
      </w:r>
      <w:r>
        <w:t>: Je 3 westlich und östlich</w:t>
      </w:r>
    </w:p>
    <w:p w14:paraId="08D5C2DC" w14:textId="77777777" w:rsidR="00CF638D" w:rsidRDefault="00CF638D" w:rsidP="00097545">
      <w:pPr>
        <w:pStyle w:val="whitespace-normal"/>
        <w:numPr>
          <w:ilvl w:val="0"/>
          <w:numId w:val="234"/>
        </w:numPr>
      </w:pPr>
      <w:r>
        <w:rPr>
          <w:rStyle w:val="Fett"/>
        </w:rPr>
        <w:lastRenderedPageBreak/>
        <w:t>Nord-Süd-Streuung</w:t>
      </w:r>
      <w:r>
        <w:t>: Jede Region hat Zugang zu einer Zufluchtsstadt</w:t>
      </w:r>
    </w:p>
    <w:p w14:paraId="0BA124BA" w14:textId="77777777" w:rsidR="00CF638D" w:rsidRDefault="00CF638D" w:rsidP="00097545">
      <w:pPr>
        <w:pStyle w:val="whitespace-normal"/>
        <w:numPr>
          <w:ilvl w:val="0"/>
          <w:numId w:val="234"/>
        </w:numPr>
      </w:pPr>
      <w:r>
        <w:rPr>
          <w:rStyle w:val="Fett"/>
        </w:rPr>
        <w:t>Maximale Distanz</w:t>
      </w:r>
      <w:r>
        <w:t>: Keine Person in Israel ist mehr als ca. 50 km von einer Zufluchtsstadt entfernt</w:t>
      </w:r>
    </w:p>
    <w:p w14:paraId="55CF2151" w14:textId="7F0793A7" w:rsidR="00CF638D" w:rsidRPr="00CF638D" w:rsidRDefault="00CF638D" w:rsidP="00097545">
      <w:pPr>
        <w:pStyle w:val="whitespace-normal"/>
        <w:numPr>
          <w:ilvl w:val="0"/>
          <w:numId w:val="234"/>
        </w:numPr>
      </w:pPr>
      <w:r>
        <w:rPr>
          <w:rStyle w:val="Fett"/>
        </w:rPr>
        <w:t>Levitenstädte</w:t>
      </w:r>
      <w:r>
        <w:t>: Alle Zufluchtsstädte sind auch Levitenstädte – die Leviten als neutrale Schiedsrichter</w:t>
      </w:r>
    </w:p>
    <w:p w14:paraId="53A0EA1B"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35,15</w:t>
      </w:r>
    </w:p>
    <w:p w14:paraId="5F41F369"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לִבְנֵ֣י יִשְׂרָאֵ֗ל וְלַגֵּ֤ר וְלַתּוֹשָׁב֙ בְּתוֹכָ֔ם תִּהְיֶ֛ינָה שֵׁשׁ־הֶעָרִ֥ים הָאֵ֖לֶּה לְמִקְלָ֑ט לָנ֣וּס שָׁ֔מָּה כָּל־מַכֵּה־נֶ֖פֶשׁ בִּשְׁגָגָֽה׃</w:t>
      </w:r>
    </w:p>
    <w:p w14:paraId="0023E8A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Für die Söhne Jisra'el und für den Fremden und für den Beisassen in ihrer Mitte sollen diese sechs Städte als Zuflucht sein, damit dorthin fliehe jeder, der einen Menschen aus Versehen erschlagen hat.</w:t>
      </w:r>
    </w:p>
    <w:p w14:paraId="7CA1ED0A"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3F7FFDB2">
          <v:rect id="_x0000_i2074" style="width:0;height:1.5pt" o:hralign="center" o:hrstd="t" o:hr="t" fillcolor="#a0a0a0" stroked="f"/>
        </w:pict>
      </w:r>
    </w:p>
    <w:p w14:paraId="6B0FA1A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erweitert den Schutz auf Nichtisraeliten. </w:t>
      </w:r>
      <w:r w:rsidRPr="002B14D4">
        <w:rPr>
          <w:rFonts w:eastAsia="Times New Roman" w:cs="Times New Roman"/>
          <w:b/>
          <w:bCs/>
          <w:rtl/>
          <w:lang w:eastAsia="de-DE"/>
        </w:rPr>
        <w:t>לִבְנֵי יִשְׂרָאֵל וְלַגֵּר וְלַתּוֹשָׁב בְּתוֹכָם</w:t>
      </w:r>
      <w:r w:rsidRPr="002B14D4">
        <w:rPr>
          <w:rFonts w:eastAsia="Times New Roman" w:cs="Times New Roman"/>
          <w:rtl/>
          <w:lang w:eastAsia="de-DE"/>
        </w:rPr>
        <w:t xml:space="preserve"> </w:t>
      </w:r>
      <w:r w:rsidRPr="002B14D4">
        <w:rPr>
          <w:rFonts w:eastAsia="Times New Roman" w:cs="Times New Roman"/>
          <w:lang w:eastAsia="de-DE"/>
        </w:rPr>
        <w:t xml:space="preserve">nennt drei Kategorien. </w:t>
      </w:r>
      <w:r w:rsidRPr="002B14D4">
        <w:rPr>
          <w:rFonts w:eastAsia="Times New Roman" w:cs="Times New Roman"/>
          <w:b/>
          <w:bCs/>
          <w:rtl/>
          <w:lang w:eastAsia="de-DE"/>
        </w:rPr>
        <w:t>לִבְנֵי יִשְׂרָאֵל</w:t>
      </w:r>
      <w:r w:rsidRPr="002B14D4">
        <w:rPr>
          <w:rFonts w:eastAsia="Times New Roman" w:cs="Times New Roman"/>
          <w:rtl/>
          <w:lang w:eastAsia="de-DE"/>
        </w:rPr>
        <w:t xml:space="preserve"> </w:t>
      </w:r>
      <w:r w:rsidRPr="002B14D4">
        <w:rPr>
          <w:rFonts w:eastAsia="Times New Roman" w:cs="Times New Roman"/>
          <w:lang w:eastAsia="de-DE"/>
        </w:rPr>
        <w:t xml:space="preserve">(„für die Söhne Israels"), </w:t>
      </w:r>
      <w:r w:rsidRPr="002B14D4">
        <w:rPr>
          <w:rFonts w:eastAsia="Times New Roman" w:cs="Times New Roman"/>
          <w:b/>
          <w:bCs/>
          <w:rtl/>
          <w:lang w:eastAsia="de-DE"/>
        </w:rPr>
        <w:t>וְלַגֵּר</w:t>
      </w:r>
      <w:r w:rsidRPr="002B14D4">
        <w:rPr>
          <w:rFonts w:eastAsia="Times New Roman" w:cs="Times New Roman"/>
          <w:rtl/>
          <w:lang w:eastAsia="de-DE"/>
        </w:rPr>
        <w:t xml:space="preserve"> </w:t>
      </w:r>
      <w:r w:rsidRPr="002B14D4">
        <w:rPr>
          <w:rFonts w:eastAsia="Times New Roman" w:cs="Times New Roman"/>
          <w:lang w:eastAsia="de-DE"/>
        </w:rPr>
        <w:t xml:space="preserve">(Konjunktion mit Präposition </w:t>
      </w:r>
      <w:r w:rsidRPr="002B14D4">
        <w:rPr>
          <w:rFonts w:eastAsia="Times New Roman" w:cs="Times New Roman"/>
          <w:b/>
          <w:bCs/>
          <w:rtl/>
          <w:lang w:eastAsia="de-DE"/>
        </w:rPr>
        <w:t>לְ</w:t>
      </w:r>
      <w:r w:rsidRPr="002B14D4">
        <w:rPr>
          <w:rFonts w:eastAsia="Times New Roman" w:cs="Times New Roman"/>
          <w:rtl/>
          <w:lang w:eastAsia="de-DE"/>
        </w:rPr>
        <w:t xml:space="preserve"> </w:t>
      </w:r>
      <w:r w:rsidRPr="002B14D4">
        <w:rPr>
          <w:rFonts w:eastAsia="Times New Roman" w:cs="Times New Roman"/>
          <w:lang w:eastAsia="de-DE"/>
        </w:rPr>
        <w:t xml:space="preserve">und </w:t>
      </w:r>
      <w:r w:rsidRPr="002B14D4">
        <w:rPr>
          <w:rFonts w:eastAsia="Times New Roman" w:cs="Times New Roman"/>
          <w:b/>
          <w:bCs/>
          <w:rtl/>
          <w:lang w:eastAsia="de-DE"/>
        </w:rPr>
        <w:t>גֵּר</w:t>
      </w:r>
      <w:r w:rsidRPr="002B14D4">
        <w:rPr>
          <w:rFonts w:eastAsia="Times New Roman" w:cs="Times New Roman"/>
          <w:rtl/>
          <w:lang w:eastAsia="de-DE"/>
        </w:rPr>
        <w:t xml:space="preserve"> </w:t>
      </w:r>
      <w:r w:rsidRPr="002B14D4">
        <w:rPr>
          <w:rFonts w:eastAsia="Times New Roman" w:cs="Times New Roman"/>
          <w:lang w:eastAsia="de-DE"/>
        </w:rPr>
        <w:t xml:space="preserve">„Fremder, Fremdling" - der ansässige Fremde mit bestimmten Rechten), </w:t>
      </w:r>
      <w:r w:rsidRPr="002B14D4">
        <w:rPr>
          <w:rFonts w:eastAsia="Times New Roman" w:cs="Times New Roman"/>
          <w:b/>
          <w:bCs/>
          <w:rtl/>
          <w:lang w:eastAsia="de-DE"/>
        </w:rPr>
        <w:t>וְלַתּוֹשָׁב בְּתוֹכָם</w:t>
      </w:r>
      <w:r w:rsidRPr="002B14D4">
        <w:rPr>
          <w:rFonts w:eastAsia="Times New Roman" w:cs="Times New Roman"/>
          <w:rtl/>
          <w:lang w:eastAsia="de-DE"/>
        </w:rPr>
        <w:t xml:space="preserve"> </w:t>
      </w:r>
      <w:r w:rsidRPr="002B14D4">
        <w:rPr>
          <w:rFonts w:eastAsia="Times New Roman" w:cs="Times New Roman"/>
          <w:lang w:eastAsia="de-DE"/>
        </w:rPr>
        <w:t xml:space="preserve">(Konjunktion mit Präposition und </w:t>
      </w:r>
      <w:r w:rsidRPr="002B14D4">
        <w:rPr>
          <w:rFonts w:eastAsia="Times New Roman" w:cs="Times New Roman"/>
          <w:b/>
          <w:bCs/>
          <w:rtl/>
          <w:lang w:eastAsia="de-DE"/>
        </w:rPr>
        <w:t>תּוֹשָׁב</w:t>
      </w:r>
      <w:r w:rsidRPr="002B14D4">
        <w:rPr>
          <w:rFonts w:eastAsia="Times New Roman" w:cs="Times New Roman"/>
          <w:rtl/>
          <w:lang w:eastAsia="de-DE"/>
        </w:rPr>
        <w:t xml:space="preserve"> </w:t>
      </w:r>
      <w:r w:rsidRPr="002B14D4">
        <w:rPr>
          <w:rFonts w:eastAsia="Times New Roman" w:cs="Times New Roman"/>
          <w:lang w:eastAsia="de-DE"/>
        </w:rPr>
        <w:t xml:space="preserve">„Beisasse, zeitweiliger Bewohner" - von </w:t>
      </w:r>
      <w:r w:rsidRPr="002B14D4">
        <w:rPr>
          <w:rFonts w:eastAsia="Times New Roman" w:cs="Times New Roman"/>
          <w:b/>
          <w:bCs/>
          <w:rtl/>
          <w:lang w:eastAsia="de-DE"/>
        </w:rPr>
        <w:t>ישׁב</w:t>
      </w:r>
      <w:r w:rsidRPr="002B14D4">
        <w:rPr>
          <w:rFonts w:eastAsia="Times New Roman" w:cs="Times New Roman"/>
          <w:rtl/>
          <w:lang w:eastAsia="de-DE"/>
        </w:rPr>
        <w:t xml:space="preserve"> </w:t>
      </w:r>
      <w:r w:rsidRPr="002B14D4">
        <w:rPr>
          <w:rFonts w:eastAsia="Times New Roman" w:cs="Times New Roman"/>
          <w:lang w:eastAsia="de-DE"/>
        </w:rPr>
        <w:t xml:space="preserve">„wohnen" - und Präposition </w:t>
      </w:r>
      <w:r w:rsidRPr="002B14D4">
        <w:rPr>
          <w:rFonts w:eastAsia="Times New Roman" w:cs="Times New Roman"/>
          <w:b/>
          <w:bCs/>
          <w:rtl/>
          <w:lang w:eastAsia="de-DE"/>
        </w:rPr>
        <w:t>בְ</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תָּוֶךְ</w:t>
      </w:r>
      <w:r w:rsidRPr="002B14D4">
        <w:rPr>
          <w:rFonts w:eastAsia="Times New Roman" w:cs="Times New Roman"/>
          <w:rtl/>
          <w:lang w:eastAsia="de-DE"/>
        </w:rPr>
        <w:t xml:space="preserve"> </w:t>
      </w:r>
      <w:r w:rsidRPr="002B14D4">
        <w:rPr>
          <w:rFonts w:eastAsia="Times New Roman" w:cs="Times New Roman"/>
          <w:lang w:eastAsia="de-DE"/>
        </w:rPr>
        <w:t xml:space="preserve">„Mitte" und Suffix „der Beisasse in ihrer Mitte"). </w:t>
      </w:r>
      <w:r w:rsidRPr="002B14D4">
        <w:rPr>
          <w:rFonts w:eastAsia="Times New Roman" w:cs="Times New Roman"/>
          <w:b/>
          <w:bCs/>
          <w:rtl/>
          <w:lang w:eastAsia="de-DE"/>
        </w:rPr>
        <w:t>תִּהְיֶינָה שֵׁשׁ־הֶעָרִים הָאֵלֶּה לְמִקְלָט</w:t>
      </w:r>
      <w:r w:rsidRPr="002B14D4">
        <w:rPr>
          <w:rFonts w:eastAsia="Times New Roman" w:cs="Times New Roman"/>
          <w:rtl/>
          <w:lang w:eastAsia="de-DE"/>
        </w:rPr>
        <w:t xml:space="preserve"> </w:t>
      </w:r>
      <w:r w:rsidRPr="002B14D4">
        <w:rPr>
          <w:rFonts w:eastAsia="Times New Roman" w:cs="Times New Roman"/>
          <w:lang w:eastAsia="de-DE"/>
        </w:rPr>
        <w:t xml:space="preserve">wiederholt die Funktion. </w:t>
      </w:r>
      <w:r w:rsidRPr="002B14D4">
        <w:rPr>
          <w:rFonts w:eastAsia="Times New Roman" w:cs="Times New Roman"/>
          <w:b/>
          <w:bCs/>
          <w:rtl/>
          <w:lang w:eastAsia="de-DE"/>
        </w:rPr>
        <w:t>לָנוּס שָׁמָּה כָּל־מַכֵּה־נֶפֶשׁ בִּשְׁגָגָה</w:t>
      </w:r>
      <w:r w:rsidRPr="002B14D4">
        <w:rPr>
          <w:rFonts w:eastAsia="Times New Roman" w:cs="Times New Roman"/>
          <w:rtl/>
          <w:lang w:eastAsia="de-DE"/>
        </w:rPr>
        <w:t xml:space="preserve"> </w:t>
      </w:r>
      <w:r w:rsidRPr="002B14D4">
        <w:rPr>
          <w:rFonts w:eastAsia="Times New Roman" w:cs="Times New Roman"/>
          <w:lang w:eastAsia="de-DE"/>
        </w:rPr>
        <w:t xml:space="preserve">wiederholt den Zweck aus V. 11, jetzt mit </w:t>
      </w:r>
      <w:r w:rsidRPr="002B14D4">
        <w:rPr>
          <w:rFonts w:eastAsia="Times New Roman" w:cs="Times New Roman"/>
          <w:b/>
          <w:bCs/>
          <w:rtl/>
          <w:lang w:eastAsia="de-DE"/>
        </w:rPr>
        <w:t>כָּל</w:t>
      </w:r>
      <w:r w:rsidRPr="002B14D4">
        <w:rPr>
          <w:rFonts w:eastAsia="Times New Roman" w:cs="Times New Roman"/>
          <w:rtl/>
          <w:lang w:eastAsia="de-DE"/>
        </w:rPr>
        <w:t xml:space="preserve"> </w:t>
      </w:r>
      <w:r w:rsidRPr="002B14D4">
        <w:rPr>
          <w:rFonts w:eastAsia="Times New Roman" w:cs="Times New Roman"/>
          <w:lang w:eastAsia="de-DE"/>
        </w:rPr>
        <w:t>(„jeder").</w:t>
      </w:r>
    </w:p>
    <w:p w14:paraId="7533211C" w14:textId="40EE2F49"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eine dreifache Adressatenangabe, gefolgt von der Funktionsbeschreibung mit Zwecksatz.</w:t>
      </w:r>
    </w:p>
    <w:p w14:paraId="458A147A"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Der Vers ist bemerkenswert: Das Zufluchtsrecht gilt nicht nur für Israeliten, sondern auch für </w:t>
      </w:r>
      <w:r w:rsidRPr="002B14D4">
        <w:rPr>
          <w:rFonts w:eastAsia="Times New Roman" w:cs="Times New Roman"/>
          <w:b/>
          <w:bCs/>
          <w:rtl/>
          <w:lang w:eastAsia="de-DE"/>
        </w:rPr>
        <w:t>גֵּר</w:t>
      </w:r>
      <w:r w:rsidRPr="002B14D4">
        <w:rPr>
          <w:rFonts w:eastAsia="Times New Roman" w:cs="Times New Roman"/>
          <w:rtl/>
          <w:lang w:eastAsia="de-DE"/>
        </w:rPr>
        <w:t xml:space="preserve"> </w:t>
      </w:r>
      <w:r w:rsidRPr="002B14D4">
        <w:rPr>
          <w:rFonts w:eastAsia="Times New Roman" w:cs="Times New Roman"/>
          <w:lang w:eastAsia="de-DE"/>
        </w:rPr>
        <w:t xml:space="preserve">(ansässige Fremde) und </w:t>
      </w:r>
      <w:r w:rsidRPr="002B14D4">
        <w:rPr>
          <w:rFonts w:eastAsia="Times New Roman" w:cs="Times New Roman"/>
          <w:b/>
          <w:bCs/>
          <w:rtl/>
          <w:lang w:eastAsia="de-DE"/>
        </w:rPr>
        <w:t>תּוֹשָׁב</w:t>
      </w:r>
      <w:r w:rsidRPr="002B14D4">
        <w:rPr>
          <w:rFonts w:eastAsia="Times New Roman" w:cs="Times New Roman"/>
          <w:rtl/>
          <w:lang w:eastAsia="de-DE"/>
        </w:rPr>
        <w:t xml:space="preserve"> </w:t>
      </w:r>
      <w:r w:rsidRPr="002B14D4">
        <w:rPr>
          <w:rFonts w:eastAsia="Times New Roman" w:cs="Times New Roman"/>
          <w:lang w:eastAsia="de-DE"/>
        </w:rPr>
        <w:t>(temporäre Bewohner) - eine universale Rechtsgleichheit vor dem Gesetz. Dies ist ein revolutionäres Prinzip: Gerechtigkeit und Rechtsschutz gelten unabhängig von ethnischer Zugehörigkeit. Jeder Mensch, der unabsichtlich einen anderen tötet, hat das Recht auf ein faires Verfahren und Schutz vor sofortiger Rache.</w:t>
      </w:r>
    </w:p>
    <w:p w14:paraId="2E3E53C7"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35,16</w:t>
      </w:r>
    </w:p>
    <w:p w14:paraId="2820D143"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וְאִם־בִּכְלִ֨י בַרְזֶ֧ל׀ הִכָּ֛הוּ וַיָּמֹ֖ת רֹצֵ֣חַֽ ה֑וּא מ֥וֹת יוּמַ֖ת הָרֹצֵֽחַ׃</w:t>
      </w:r>
    </w:p>
    <w:p w14:paraId="0E08B443"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Wenn er ihn aber mit einem eisernen Gerät geschlagen hat, und er starb, so ist er ein Mörder; der Mörder soll gewiss getötet werden.</w:t>
      </w:r>
    </w:p>
    <w:p w14:paraId="7EF8154D"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75C14438">
          <v:rect id="_x0000_i2075" style="width:0;height:1.5pt" o:hralign="center" o:hrstd="t" o:hr="t" fillcolor="#a0a0a0" stroked="f"/>
        </w:pict>
      </w:r>
    </w:p>
    <w:p w14:paraId="0E561633" w14:textId="6A825E64"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beginnt die Kasuistik zur Unterscheidung von Mord und Totschlag. </w:t>
      </w:r>
      <w:r w:rsidRPr="002B14D4">
        <w:rPr>
          <w:rFonts w:eastAsia="Times New Roman" w:cs="Times New Roman"/>
          <w:b/>
          <w:bCs/>
          <w:rtl/>
          <w:lang w:eastAsia="de-DE"/>
        </w:rPr>
        <w:t>וְאִם־בִּכְלִי בַרְזֶל הִכָּהוּ וַיָּמֹת</w:t>
      </w:r>
      <w:r w:rsidRPr="002B14D4">
        <w:rPr>
          <w:rFonts w:eastAsia="Times New Roman" w:cs="Times New Roman"/>
          <w:rtl/>
          <w:lang w:eastAsia="de-DE"/>
        </w:rPr>
        <w:t xml:space="preserve"> </w:t>
      </w:r>
      <w:r w:rsidRPr="002B14D4">
        <w:rPr>
          <w:rFonts w:eastAsia="Times New Roman" w:cs="Times New Roman"/>
          <w:lang w:eastAsia="de-DE"/>
        </w:rPr>
        <w:t xml:space="preserve">ist der Tatbestand. </w:t>
      </w:r>
      <w:r w:rsidRPr="002B14D4">
        <w:rPr>
          <w:rFonts w:eastAsia="Times New Roman" w:cs="Times New Roman"/>
          <w:b/>
          <w:bCs/>
          <w:rtl/>
          <w:lang w:eastAsia="de-DE"/>
        </w:rPr>
        <w:t>וְאִם</w:t>
      </w:r>
      <w:r w:rsidRPr="002B14D4">
        <w:rPr>
          <w:rFonts w:eastAsia="Times New Roman" w:cs="Times New Roman"/>
          <w:rtl/>
          <w:lang w:eastAsia="de-DE"/>
        </w:rPr>
        <w:t xml:space="preserve"> </w:t>
      </w:r>
      <w:r w:rsidRPr="002B14D4">
        <w:rPr>
          <w:rFonts w:eastAsia="Times New Roman" w:cs="Times New Roman"/>
          <w:lang w:eastAsia="de-DE"/>
        </w:rPr>
        <w:t xml:space="preserve">(konditionale Konjunktion „wenn aber"), </w:t>
      </w:r>
      <w:r w:rsidRPr="002B14D4">
        <w:rPr>
          <w:rFonts w:eastAsia="Times New Roman" w:cs="Times New Roman"/>
          <w:b/>
          <w:bCs/>
          <w:rtl/>
          <w:lang w:eastAsia="de-DE"/>
        </w:rPr>
        <w:t>בִּכְלִי בַרְזֶל</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בְ</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כְּלִי</w:t>
      </w:r>
      <w:r w:rsidRPr="002B14D4">
        <w:rPr>
          <w:rFonts w:eastAsia="Times New Roman" w:cs="Times New Roman"/>
          <w:rtl/>
          <w:lang w:eastAsia="de-DE"/>
        </w:rPr>
        <w:t xml:space="preserve"> </w:t>
      </w:r>
      <w:r w:rsidRPr="002B14D4">
        <w:rPr>
          <w:rFonts w:eastAsia="Times New Roman" w:cs="Times New Roman"/>
          <w:lang w:eastAsia="de-DE"/>
        </w:rPr>
        <w:t xml:space="preserve">„Gerät, Werkzeug" im </w:t>
      </w:r>
      <w:r w:rsidR="00E031B3">
        <w:rPr>
          <w:rFonts w:eastAsia="Times New Roman" w:cs="Times New Roman"/>
          <w:lang w:eastAsia="de-DE"/>
        </w:rPr>
        <w:t>Constructus und</w:t>
      </w:r>
      <w:r w:rsidRPr="002B14D4">
        <w:rPr>
          <w:rFonts w:eastAsia="Times New Roman" w:cs="Times New Roman"/>
          <w:lang w:eastAsia="de-DE"/>
        </w:rPr>
        <w:t xml:space="preserve"> </w:t>
      </w:r>
      <w:r w:rsidRPr="002B14D4">
        <w:rPr>
          <w:rFonts w:eastAsia="Times New Roman" w:cs="Times New Roman"/>
          <w:b/>
          <w:bCs/>
          <w:rtl/>
          <w:lang w:eastAsia="de-DE"/>
        </w:rPr>
        <w:t>בַּרְזֶל</w:t>
      </w:r>
      <w:r w:rsidRPr="002B14D4">
        <w:rPr>
          <w:rFonts w:eastAsia="Times New Roman" w:cs="Times New Roman"/>
          <w:rtl/>
          <w:lang w:eastAsia="de-DE"/>
        </w:rPr>
        <w:t xml:space="preserve"> </w:t>
      </w:r>
      <w:r w:rsidRPr="002B14D4">
        <w:rPr>
          <w:rFonts w:eastAsia="Times New Roman" w:cs="Times New Roman"/>
          <w:lang w:eastAsia="de-DE"/>
        </w:rPr>
        <w:t xml:space="preserve">„Eisen" „mit einem eisernen Gerät"), </w:t>
      </w:r>
      <w:r w:rsidRPr="002B14D4">
        <w:rPr>
          <w:rFonts w:eastAsia="Times New Roman" w:cs="Times New Roman"/>
          <w:b/>
          <w:bCs/>
          <w:rtl/>
          <w:lang w:eastAsia="de-DE"/>
        </w:rPr>
        <w:t>הִכָּהוּ</w:t>
      </w:r>
      <w:r w:rsidRPr="002B14D4">
        <w:rPr>
          <w:rFonts w:eastAsia="Times New Roman" w:cs="Times New Roman"/>
          <w:rtl/>
          <w:lang w:eastAsia="de-DE"/>
        </w:rPr>
        <w:t xml:space="preserve"> </w:t>
      </w:r>
      <w:r w:rsidRPr="002B14D4">
        <w:rPr>
          <w:rFonts w:eastAsia="Times New Roman" w:cs="Times New Roman"/>
          <w:lang w:eastAsia="de-DE"/>
        </w:rPr>
        <w:t xml:space="preserve">(Hiphil Perfekt 3. Person maskulin Singular von </w:t>
      </w:r>
      <w:r w:rsidRPr="002B14D4">
        <w:rPr>
          <w:rFonts w:eastAsia="Times New Roman" w:cs="Times New Roman"/>
          <w:b/>
          <w:bCs/>
          <w:rtl/>
          <w:lang w:eastAsia="de-DE"/>
        </w:rPr>
        <w:t>נכה</w:t>
      </w:r>
      <w:r w:rsidRPr="002B14D4">
        <w:rPr>
          <w:rFonts w:eastAsia="Times New Roman" w:cs="Times New Roman"/>
          <w:rtl/>
          <w:lang w:eastAsia="de-DE"/>
        </w:rPr>
        <w:t xml:space="preserve"> </w:t>
      </w:r>
      <w:r w:rsidRPr="002B14D4">
        <w:rPr>
          <w:rFonts w:eastAsia="Times New Roman" w:cs="Times New Roman"/>
          <w:lang w:eastAsia="de-DE"/>
        </w:rPr>
        <w:t xml:space="preserve">„schlagen" mit Suffix 3. Person maskulin Singular „er schlug ihn"), </w:t>
      </w:r>
      <w:r w:rsidRPr="002B14D4">
        <w:rPr>
          <w:rFonts w:eastAsia="Times New Roman" w:cs="Times New Roman"/>
          <w:b/>
          <w:bCs/>
          <w:rtl/>
          <w:lang w:eastAsia="de-DE"/>
        </w:rPr>
        <w:t>וַיָּמֹת</w:t>
      </w:r>
      <w:r w:rsidRPr="002B14D4">
        <w:rPr>
          <w:rFonts w:eastAsia="Times New Roman" w:cs="Times New Roman"/>
          <w:rtl/>
          <w:lang w:eastAsia="de-DE"/>
        </w:rPr>
        <w:t xml:space="preserve"> </w:t>
      </w:r>
      <w:r w:rsidRPr="002B14D4">
        <w:rPr>
          <w:rFonts w:eastAsia="Times New Roman" w:cs="Times New Roman"/>
          <w:lang w:eastAsia="de-DE"/>
        </w:rPr>
        <w:t xml:space="preserve">(Qal Wayyiqtol 3. Person maskulin </w:t>
      </w:r>
      <w:r w:rsidRPr="002B14D4">
        <w:rPr>
          <w:rFonts w:eastAsia="Times New Roman" w:cs="Times New Roman"/>
          <w:lang w:eastAsia="de-DE"/>
        </w:rPr>
        <w:lastRenderedPageBreak/>
        <w:t xml:space="preserve">Singular von </w:t>
      </w:r>
      <w:r w:rsidRPr="002B14D4">
        <w:rPr>
          <w:rFonts w:eastAsia="Times New Roman" w:cs="Times New Roman"/>
          <w:b/>
          <w:bCs/>
          <w:rtl/>
          <w:lang w:eastAsia="de-DE"/>
        </w:rPr>
        <w:t>מות</w:t>
      </w:r>
      <w:r w:rsidRPr="002B14D4">
        <w:rPr>
          <w:rFonts w:eastAsia="Times New Roman" w:cs="Times New Roman"/>
          <w:rtl/>
          <w:lang w:eastAsia="de-DE"/>
        </w:rPr>
        <w:t xml:space="preserve"> </w:t>
      </w:r>
      <w:r w:rsidRPr="002B14D4">
        <w:rPr>
          <w:rFonts w:eastAsia="Times New Roman" w:cs="Times New Roman"/>
          <w:lang w:eastAsia="de-DE"/>
        </w:rPr>
        <w:t xml:space="preserve">„sterben" „und er starb"). </w:t>
      </w:r>
      <w:r w:rsidRPr="002B14D4">
        <w:rPr>
          <w:rFonts w:eastAsia="Times New Roman" w:cs="Times New Roman"/>
          <w:b/>
          <w:bCs/>
          <w:rtl/>
          <w:lang w:eastAsia="de-DE"/>
        </w:rPr>
        <w:t>רֹצֵחַ הוּא</w:t>
      </w:r>
      <w:r w:rsidRPr="002B14D4">
        <w:rPr>
          <w:rFonts w:eastAsia="Times New Roman" w:cs="Times New Roman"/>
          <w:rtl/>
          <w:lang w:eastAsia="de-DE"/>
        </w:rPr>
        <w:t xml:space="preserve"> </w:t>
      </w:r>
      <w:r w:rsidRPr="002B14D4">
        <w:rPr>
          <w:rFonts w:eastAsia="Times New Roman" w:cs="Times New Roman"/>
          <w:lang w:eastAsia="de-DE"/>
        </w:rPr>
        <w:t xml:space="preserve">ist das Urteil. </w:t>
      </w:r>
      <w:r w:rsidRPr="002B14D4">
        <w:rPr>
          <w:rFonts w:eastAsia="Times New Roman" w:cs="Times New Roman"/>
          <w:b/>
          <w:bCs/>
          <w:rtl/>
          <w:lang w:eastAsia="de-DE"/>
        </w:rPr>
        <w:t>רֹצֵחַ</w:t>
      </w:r>
      <w:r w:rsidRPr="002B14D4">
        <w:rPr>
          <w:rFonts w:eastAsia="Times New Roman" w:cs="Times New Roman"/>
          <w:rtl/>
          <w:lang w:eastAsia="de-DE"/>
        </w:rPr>
        <w:t xml:space="preserve"> </w:t>
      </w:r>
      <w:r w:rsidRPr="002B14D4">
        <w:rPr>
          <w:rFonts w:eastAsia="Times New Roman" w:cs="Times New Roman"/>
          <w:lang w:eastAsia="de-DE"/>
        </w:rPr>
        <w:t xml:space="preserve">(Qal-Partizip „Mörder"), </w:t>
      </w:r>
      <w:r w:rsidRPr="002B14D4">
        <w:rPr>
          <w:rFonts w:eastAsia="Times New Roman" w:cs="Times New Roman"/>
          <w:b/>
          <w:bCs/>
          <w:rtl/>
          <w:lang w:eastAsia="de-DE"/>
        </w:rPr>
        <w:t>הוּא</w:t>
      </w:r>
      <w:r w:rsidRPr="002B14D4">
        <w:rPr>
          <w:rFonts w:eastAsia="Times New Roman" w:cs="Times New Roman"/>
          <w:rtl/>
          <w:lang w:eastAsia="de-DE"/>
        </w:rPr>
        <w:t xml:space="preserve"> </w:t>
      </w:r>
      <w:r w:rsidRPr="002B14D4">
        <w:rPr>
          <w:rFonts w:eastAsia="Times New Roman" w:cs="Times New Roman"/>
          <w:lang w:eastAsia="de-DE"/>
        </w:rPr>
        <w:t xml:space="preserve">(emphatisches Pronomen „er ist"). </w:t>
      </w:r>
      <w:r w:rsidRPr="002B14D4">
        <w:rPr>
          <w:rFonts w:eastAsia="Times New Roman" w:cs="Times New Roman"/>
          <w:b/>
          <w:bCs/>
          <w:rtl/>
          <w:lang w:eastAsia="de-DE"/>
        </w:rPr>
        <w:t>מוֹת יוּמַת הָרֹצֵחַ</w:t>
      </w:r>
      <w:r w:rsidRPr="002B14D4">
        <w:rPr>
          <w:rFonts w:eastAsia="Times New Roman" w:cs="Times New Roman"/>
          <w:rtl/>
          <w:lang w:eastAsia="de-DE"/>
        </w:rPr>
        <w:t xml:space="preserve"> </w:t>
      </w:r>
      <w:r w:rsidRPr="002B14D4">
        <w:rPr>
          <w:rFonts w:eastAsia="Times New Roman" w:cs="Times New Roman"/>
          <w:lang w:eastAsia="de-DE"/>
        </w:rPr>
        <w:t xml:space="preserve">ist die Strafe. </w:t>
      </w:r>
      <w:r w:rsidRPr="002B14D4">
        <w:rPr>
          <w:rFonts w:eastAsia="Times New Roman" w:cs="Times New Roman"/>
          <w:b/>
          <w:bCs/>
          <w:rtl/>
          <w:lang w:eastAsia="de-DE"/>
        </w:rPr>
        <w:t>מוֹת יוּמַת</w:t>
      </w:r>
      <w:r w:rsidRPr="002B14D4">
        <w:rPr>
          <w:rFonts w:eastAsia="Times New Roman" w:cs="Times New Roman"/>
          <w:rtl/>
          <w:lang w:eastAsia="de-DE"/>
        </w:rPr>
        <w:t xml:space="preserve"> </w:t>
      </w:r>
      <w:r w:rsidRPr="002B14D4">
        <w:rPr>
          <w:rFonts w:eastAsia="Times New Roman" w:cs="Times New Roman"/>
          <w:lang w:eastAsia="de-DE"/>
        </w:rPr>
        <w:t xml:space="preserve">(Qal Infinitiv Absolutus mit Hophal Imperfekt 3. Person maskulin Singular von </w:t>
      </w:r>
      <w:r w:rsidRPr="002B14D4">
        <w:rPr>
          <w:rFonts w:eastAsia="Times New Roman" w:cs="Times New Roman"/>
          <w:b/>
          <w:bCs/>
          <w:rtl/>
          <w:lang w:eastAsia="de-DE"/>
        </w:rPr>
        <w:t>מות</w:t>
      </w:r>
      <w:r w:rsidRPr="002B14D4">
        <w:rPr>
          <w:rFonts w:eastAsia="Times New Roman" w:cs="Times New Roman"/>
          <w:rtl/>
          <w:lang w:eastAsia="de-DE"/>
        </w:rPr>
        <w:t xml:space="preserve"> </w:t>
      </w:r>
      <w:r w:rsidRPr="002B14D4">
        <w:rPr>
          <w:rFonts w:eastAsia="Times New Roman" w:cs="Times New Roman"/>
          <w:lang w:eastAsia="de-DE"/>
        </w:rPr>
        <w:t xml:space="preserve">- die klassische Formel für die Todesstrafe: „er soll gewiss getötet werden"), </w:t>
      </w:r>
      <w:r w:rsidRPr="002B14D4">
        <w:rPr>
          <w:rFonts w:eastAsia="Times New Roman" w:cs="Times New Roman"/>
          <w:b/>
          <w:bCs/>
          <w:rtl/>
          <w:lang w:eastAsia="de-DE"/>
        </w:rPr>
        <w:t>הָרֹצֵחַ</w:t>
      </w:r>
      <w:r w:rsidRPr="002B14D4">
        <w:rPr>
          <w:rFonts w:eastAsia="Times New Roman" w:cs="Times New Roman"/>
          <w:rtl/>
          <w:lang w:eastAsia="de-DE"/>
        </w:rPr>
        <w:t xml:space="preserve"> </w:t>
      </w:r>
      <w:r w:rsidRPr="002B14D4">
        <w:rPr>
          <w:rFonts w:eastAsia="Times New Roman" w:cs="Times New Roman"/>
          <w:lang w:eastAsia="de-DE"/>
        </w:rPr>
        <w:t>(Subjekt mit Artikel).</w:t>
      </w:r>
    </w:p>
    <w:p w14:paraId="2FEEBAB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eine Kondition (wenn-Satz), ein kategorisches Urteil und eine Strafformel.</w:t>
      </w:r>
    </w:p>
    <w:p w14:paraId="747CEC98"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Der Vers etabliert das erste Kriterium für vorsätzlichen Mord: die Verwendung eines eisernen Werkzeugs. Eisen ist ein Material für tödliche Waffen - wer mit Eisen zuschlägt, zeigt die Absicht zu töten. Die Waffe selbst verrät die Absicht. Dies ist keine unbeabsichtigte Tötung, sondern Mord, der mit der Todesstrafe geahndet wird. Für solche Mörder bieten die Zufluchtsstädte keinen Schutz.</w:t>
      </w:r>
    </w:p>
    <w:p w14:paraId="778D6A51"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35,17</w:t>
      </w:r>
    </w:p>
    <w:p w14:paraId="0734A33C"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וְאִ֡ם בְּאֶ֣בֶן יָד֩ אֲשֶׁר־יָמ֨וּת בָּ֥הּ הִכָּ֛הוּ וַיָּמֹ֖ת רֹצֵ֣חַֽ ה֑וּא מ֥וֹת יוּמַ֖ת הָרֹצֵֽחַ׃</w:t>
      </w:r>
    </w:p>
    <w:p w14:paraId="0966E76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Und wenn er ihn mit einem Stein in der Hand, durch den man sterben kann, geschlagen hat, und er starb, so ist er ein Mörder; der Mörder soll gewiss getötet werden.</w:t>
      </w:r>
    </w:p>
    <w:p w14:paraId="4BC718A7"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126308F7">
          <v:rect id="_x0000_i2076" style="width:0;height:1.5pt" o:hralign="center" o:hrstd="t" o:hr="t" fillcolor="#a0a0a0" stroked="f"/>
        </w:pict>
      </w:r>
    </w:p>
    <w:p w14:paraId="3009A326" w14:textId="1C059DA2"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nennt das zweite Kriterium. </w:t>
      </w:r>
      <w:r w:rsidRPr="002B14D4">
        <w:rPr>
          <w:rFonts w:eastAsia="Times New Roman" w:cs="Times New Roman"/>
          <w:b/>
          <w:bCs/>
          <w:rtl/>
          <w:lang w:eastAsia="de-DE"/>
        </w:rPr>
        <w:t>וְאִם בְּאֶבֶן יָד אֲשֶׁר־יָמוּת בָּהּ הִכָּהוּ וַיָּמֹת</w:t>
      </w:r>
      <w:r w:rsidRPr="002B14D4">
        <w:rPr>
          <w:rFonts w:eastAsia="Times New Roman" w:cs="Times New Roman"/>
          <w:rtl/>
          <w:lang w:eastAsia="de-DE"/>
        </w:rPr>
        <w:t xml:space="preserve"> </w:t>
      </w:r>
      <w:r w:rsidRPr="002B14D4">
        <w:rPr>
          <w:rFonts w:eastAsia="Times New Roman" w:cs="Times New Roman"/>
          <w:lang w:eastAsia="de-DE"/>
        </w:rPr>
        <w:t xml:space="preserve">ist der Tatbestand. </w:t>
      </w:r>
      <w:r w:rsidRPr="002B14D4">
        <w:rPr>
          <w:rFonts w:eastAsia="Times New Roman" w:cs="Times New Roman"/>
          <w:b/>
          <w:bCs/>
          <w:rtl/>
          <w:lang w:eastAsia="de-DE"/>
        </w:rPr>
        <w:t>בְּאֶבֶן יָד</w:t>
      </w:r>
      <w:r w:rsidRPr="002B14D4">
        <w:rPr>
          <w:rFonts w:eastAsia="Times New Roman" w:cs="Times New Roman"/>
          <w:rtl/>
          <w:lang w:eastAsia="de-DE"/>
        </w:rPr>
        <w:t xml:space="preserve"> </w:t>
      </w:r>
      <w:r w:rsidRPr="002B14D4">
        <w:rPr>
          <w:rFonts w:eastAsia="Times New Roman" w:cs="Times New Roman"/>
          <w:lang w:eastAsia="de-DE"/>
        </w:rPr>
        <w:t xml:space="preserve">(Präposition mit </w:t>
      </w:r>
      <w:r w:rsidRPr="002B14D4">
        <w:rPr>
          <w:rFonts w:eastAsia="Times New Roman" w:cs="Times New Roman"/>
          <w:b/>
          <w:bCs/>
          <w:rtl/>
          <w:lang w:eastAsia="de-DE"/>
        </w:rPr>
        <w:t>אֶבֶן</w:t>
      </w:r>
      <w:r w:rsidRPr="002B14D4">
        <w:rPr>
          <w:rFonts w:eastAsia="Times New Roman" w:cs="Times New Roman"/>
          <w:rtl/>
          <w:lang w:eastAsia="de-DE"/>
        </w:rPr>
        <w:t xml:space="preserve"> </w:t>
      </w:r>
      <w:r w:rsidRPr="002B14D4">
        <w:rPr>
          <w:rFonts w:eastAsia="Times New Roman" w:cs="Times New Roman"/>
          <w:lang w:eastAsia="de-DE"/>
        </w:rPr>
        <w:t xml:space="preserve">„Stein" im </w:t>
      </w:r>
      <w:r w:rsidR="00E031B3">
        <w:rPr>
          <w:rFonts w:eastAsia="Times New Roman" w:cs="Times New Roman"/>
          <w:lang w:eastAsia="de-DE"/>
        </w:rPr>
        <w:t>Constructus und</w:t>
      </w:r>
      <w:r w:rsidRPr="002B14D4">
        <w:rPr>
          <w:rFonts w:eastAsia="Times New Roman" w:cs="Times New Roman"/>
          <w:lang w:eastAsia="de-DE"/>
        </w:rPr>
        <w:t xml:space="preserve"> </w:t>
      </w:r>
      <w:r w:rsidRPr="002B14D4">
        <w:rPr>
          <w:rFonts w:eastAsia="Times New Roman" w:cs="Times New Roman"/>
          <w:b/>
          <w:bCs/>
          <w:rtl/>
          <w:lang w:eastAsia="de-DE"/>
        </w:rPr>
        <w:t>יָד</w:t>
      </w:r>
      <w:r w:rsidRPr="002B14D4">
        <w:rPr>
          <w:rFonts w:eastAsia="Times New Roman" w:cs="Times New Roman"/>
          <w:rtl/>
          <w:lang w:eastAsia="de-DE"/>
        </w:rPr>
        <w:t xml:space="preserve"> </w:t>
      </w:r>
      <w:r w:rsidRPr="002B14D4">
        <w:rPr>
          <w:rFonts w:eastAsia="Times New Roman" w:cs="Times New Roman"/>
          <w:lang w:eastAsia="de-DE"/>
        </w:rPr>
        <w:t xml:space="preserve">„Hand" „mit einem Stein in der Hand", d.h. ein Stein, der mit der Hand geschwungen werden kann), </w:t>
      </w:r>
      <w:r w:rsidRPr="002B14D4">
        <w:rPr>
          <w:rFonts w:eastAsia="Times New Roman" w:cs="Times New Roman"/>
          <w:b/>
          <w:bCs/>
          <w:rtl/>
          <w:lang w:eastAsia="de-DE"/>
        </w:rPr>
        <w:t>אֲשֶׁר־יָמוּת בָּהּ</w:t>
      </w:r>
      <w:r w:rsidRPr="002B14D4">
        <w:rPr>
          <w:rFonts w:eastAsia="Times New Roman" w:cs="Times New Roman"/>
          <w:rtl/>
          <w:lang w:eastAsia="de-DE"/>
        </w:rPr>
        <w:t xml:space="preserve"> </w:t>
      </w:r>
      <w:r w:rsidRPr="002B14D4">
        <w:rPr>
          <w:rFonts w:eastAsia="Times New Roman" w:cs="Times New Roman"/>
          <w:lang w:eastAsia="de-DE"/>
        </w:rPr>
        <w:t xml:space="preserve">(Relativsatz: Qal Imperfekt 3. Person maskulin Singular von </w:t>
      </w:r>
      <w:r w:rsidRPr="002B14D4">
        <w:rPr>
          <w:rFonts w:eastAsia="Times New Roman" w:cs="Times New Roman"/>
          <w:b/>
          <w:bCs/>
          <w:rtl/>
          <w:lang w:eastAsia="de-DE"/>
        </w:rPr>
        <w:t>מות</w:t>
      </w:r>
      <w:r w:rsidRPr="002B14D4">
        <w:rPr>
          <w:rFonts w:eastAsia="Times New Roman" w:cs="Times New Roman"/>
          <w:rtl/>
          <w:lang w:eastAsia="de-DE"/>
        </w:rPr>
        <w:t xml:space="preserve"> </w:t>
      </w:r>
      <w:r w:rsidRPr="002B14D4">
        <w:rPr>
          <w:rFonts w:eastAsia="Times New Roman" w:cs="Times New Roman"/>
          <w:lang w:eastAsia="de-DE"/>
        </w:rPr>
        <w:t xml:space="preserve">„sterben" mit Präposition </w:t>
      </w:r>
      <w:r w:rsidRPr="002B14D4">
        <w:rPr>
          <w:rFonts w:eastAsia="Times New Roman" w:cs="Times New Roman"/>
          <w:b/>
          <w:bCs/>
          <w:rtl/>
          <w:lang w:eastAsia="de-DE"/>
        </w:rPr>
        <w:t>בְ</w:t>
      </w:r>
      <w:r w:rsidRPr="002B14D4">
        <w:rPr>
          <w:rFonts w:eastAsia="Times New Roman" w:cs="Times New Roman"/>
          <w:rtl/>
          <w:lang w:eastAsia="de-DE"/>
        </w:rPr>
        <w:t xml:space="preserve"> </w:t>
      </w:r>
      <w:r w:rsidRPr="002B14D4">
        <w:rPr>
          <w:rFonts w:eastAsia="Times New Roman" w:cs="Times New Roman"/>
          <w:lang w:eastAsia="de-DE"/>
        </w:rPr>
        <w:t xml:space="preserve">und Suffix 3. Person feminin Singular „durch den man sterben kann"), </w:t>
      </w:r>
      <w:r w:rsidRPr="002B14D4">
        <w:rPr>
          <w:rFonts w:eastAsia="Times New Roman" w:cs="Times New Roman"/>
          <w:b/>
          <w:bCs/>
          <w:rtl/>
          <w:lang w:eastAsia="de-DE"/>
        </w:rPr>
        <w:t>הִכָּהוּ וַיָּמֹת</w:t>
      </w:r>
      <w:r w:rsidRPr="002B14D4">
        <w:rPr>
          <w:rFonts w:eastAsia="Times New Roman" w:cs="Times New Roman"/>
          <w:rtl/>
          <w:lang w:eastAsia="de-DE"/>
        </w:rPr>
        <w:t xml:space="preserve"> </w:t>
      </w:r>
      <w:r w:rsidRPr="002B14D4">
        <w:rPr>
          <w:rFonts w:eastAsia="Times New Roman" w:cs="Times New Roman"/>
          <w:lang w:eastAsia="de-DE"/>
        </w:rPr>
        <w:t xml:space="preserve">(wie V. 16). </w:t>
      </w:r>
      <w:r w:rsidRPr="002B14D4">
        <w:rPr>
          <w:rFonts w:eastAsia="Times New Roman" w:cs="Times New Roman"/>
          <w:b/>
          <w:bCs/>
          <w:rtl/>
          <w:lang w:eastAsia="de-DE"/>
        </w:rPr>
        <w:t>רֹצֵחַ הוּא מוֹת יוּמַת הָרֹצֵחַ</w:t>
      </w:r>
      <w:r w:rsidRPr="002B14D4">
        <w:rPr>
          <w:rFonts w:eastAsia="Times New Roman" w:cs="Times New Roman"/>
          <w:rtl/>
          <w:lang w:eastAsia="de-DE"/>
        </w:rPr>
        <w:t xml:space="preserve"> </w:t>
      </w:r>
      <w:r w:rsidRPr="002B14D4">
        <w:rPr>
          <w:rFonts w:eastAsia="Times New Roman" w:cs="Times New Roman"/>
          <w:lang w:eastAsia="de-DE"/>
        </w:rPr>
        <w:t>- dieselbe Formel wie V. 16.</w:t>
      </w:r>
    </w:p>
    <w:p w14:paraId="2102016C"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ist parallel zu V. 16.</w:t>
      </w:r>
    </w:p>
    <w:p w14:paraId="64FD430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Der Vers fügt einen großen Stein hinzu - groß genug, um tödlich zu sein. Auch hier zeigt das Werkzeug die Tötungsabsicht. Wer einen schweren Stein als Waffe benutzt, handelt vorsätzlich.</w:t>
      </w:r>
    </w:p>
    <w:p w14:paraId="63007519"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35,18</w:t>
      </w:r>
    </w:p>
    <w:p w14:paraId="239923F7"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א֡וֹ בִּכְלִ֣י עֵֽץ־יָד֩ אֲשֶׁר־יָמ֨וּת בּוֹ֥ הִכָּ֛הוּ וַיָּמֹ֖ת רֹצֵ֣חַֽ ה֑וּא מ֥וֹת יוּמַ֖ת הָרֹצֵֽחַ׃</w:t>
      </w:r>
    </w:p>
    <w:p w14:paraId="45057314"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Oder wenn er ihn mit einem hölzernen Gerät in der Hand, durch das man sterben kann, geschlagen hat, und er starb, so ist er ein Mörder; der Mörder soll gewiss getötet werden.</w:t>
      </w:r>
    </w:p>
    <w:p w14:paraId="7D1C9084"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7C5B9F81">
          <v:rect id="_x0000_i2077" style="width:0;height:1.5pt" o:hralign="center" o:hrstd="t" o:hr="t" fillcolor="#a0a0a0" stroked="f"/>
        </w:pict>
      </w:r>
    </w:p>
    <w:p w14:paraId="157127F8" w14:textId="02D9429A" w:rsidR="002B14D4" w:rsidRPr="002B14D4" w:rsidRDefault="002B14D4" w:rsidP="00E031B3">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lastRenderedPageBreak/>
        <w:t>Kommentar:</w:t>
      </w:r>
      <w:r w:rsidRPr="002B14D4">
        <w:rPr>
          <w:rFonts w:eastAsia="Times New Roman" w:cs="Times New Roman"/>
          <w:lang w:eastAsia="de-DE"/>
        </w:rPr>
        <w:t xml:space="preserve"> Der Vers fügt das dritte Kriterium hinzu. </w:t>
      </w:r>
      <w:r w:rsidRPr="002B14D4">
        <w:rPr>
          <w:rFonts w:eastAsia="Times New Roman" w:cs="Times New Roman"/>
          <w:b/>
          <w:bCs/>
          <w:rtl/>
          <w:lang w:eastAsia="de-DE"/>
        </w:rPr>
        <w:t>אוֹ בִּכְלִי עֵץ־יָד אֲשֶׁר־יָמוּת בּוֹ הִכָּהוּ וַיָּמֹת</w:t>
      </w:r>
      <w:r w:rsidRPr="002B14D4">
        <w:rPr>
          <w:rFonts w:eastAsia="Times New Roman" w:cs="Times New Roman"/>
          <w:rtl/>
          <w:lang w:eastAsia="de-DE"/>
        </w:rPr>
        <w:t xml:space="preserve"> </w:t>
      </w:r>
      <w:r w:rsidRPr="002B14D4">
        <w:rPr>
          <w:rFonts w:eastAsia="Times New Roman" w:cs="Times New Roman"/>
          <w:lang w:eastAsia="de-DE"/>
        </w:rPr>
        <w:t xml:space="preserve">- parallel zu V. 17, jetzt mit </w:t>
      </w:r>
      <w:r w:rsidRPr="002B14D4">
        <w:rPr>
          <w:rFonts w:eastAsia="Times New Roman" w:cs="Times New Roman"/>
          <w:b/>
          <w:bCs/>
          <w:rtl/>
          <w:lang w:eastAsia="de-DE"/>
        </w:rPr>
        <w:t>כְּלִי עֵץ־יָד</w:t>
      </w:r>
      <w:r w:rsidRPr="002B14D4">
        <w:rPr>
          <w:rFonts w:eastAsia="Times New Roman" w:cs="Times New Roman"/>
          <w:rtl/>
          <w:lang w:eastAsia="de-DE"/>
        </w:rPr>
        <w:t xml:space="preserve"> </w:t>
      </w:r>
      <w:r w:rsidRPr="002B14D4">
        <w:rPr>
          <w:rFonts w:eastAsia="Times New Roman" w:cs="Times New Roman"/>
          <w:lang w:eastAsia="de-DE"/>
        </w:rPr>
        <w:t xml:space="preserve">(„hölzernes Gerät in der Hand", d.h. eine Holzwaffe wie Knüppel oder Keule). </w:t>
      </w:r>
      <w:r w:rsidRPr="002B14D4">
        <w:rPr>
          <w:rFonts w:eastAsia="Times New Roman" w:cs="Times New Roman"/>
          <w:b/>
          <w:bCs/>
          <w:rtl/>
          <w:lang w:eastAsia="de-DE"/>
        </w:rPr>
        <w:t>רֹצֵחַ הוּא מוֹת יוּמַת הָרֹצֵחַ</w:t>
      </w:r>
      <w:r w:rsidRPr="002B14D4">
        <w:rPr>
          <w:rFonts w:eastAsia="Times New Roman" w:cs="Times New Roman"/>
          <w:rtl/>
          <w:lang w:eastAsia="de-DE"/>
        </w:rPr>
        <w:t xml:space="preserve"> </w:t>
      </w:r>
      <w:r w:rsidRPr="002B14D4">
        <w:rPr>
          <w:rFonts w:eastAsia="Times New Roman" w:cs="Times New Roman"/>
          <w:lang w:eastAsia="de-DE"/>
        </w:rPr>
        <w:t>- wieder dieselbe Formel.</w:t>
      </w:r>
    </w:p>
    <w:p w14:paraId="311709B2"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ist parallel zu V. 16-17.</w:t>
      </w:r>
    </w:p>
    <w:p w14:paraId="5BDBB8C5"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drei Verse (16-18) etablieren das Prinzip: Tödliche Waffen (Eisen, schwerer Stein, Holzwaffe) zeigen vorsätzlichen Mord. Das Werkzeug offenbart die Absicht.</w:t>
      </w:r>
    </w:p>
    <w:p w14:paraId="174C45DF"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35,19</w:t>
      </w:r>
    </w:p>
    <w:p w14:paraId="6421297E"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גֹּאֵ֣ל הַדָּ֔ם ה֥וּא יָמִ֖ית אֶת־הָרֹצֵ֑חַ בְּפִגְעֹו־בוֹ֖ ה֥וּא יְמִיתֶֽנּוּ׃</w:t>
      </w:r>
    </w:p>
    <w:p w14:paraId="6741AA6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Der Bluträcher, er soll den Mörder töten; wenn er ihn trifft, soll er ihn töten.</w:t>
      </w:r>
    </w:p>
    <w:p w14:paraId="5D3407C4"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62030568">
          <v:rect id="_x0000_i2078" style="width:0;height:1.5pt" o:hralign="center" o:hrstd="t" o:hr="t" fillcolor="#a0a0a0" stroked="f"/>
        </w:pict>
      </w:r>
    </w:p>
    <w:p w14:paraId="301AC0D2" w14:textId="22D127C5"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gibt dem Bluträcher das Recht zur Vollstreckung. </w:t>
      </w:r>
      <w:r w:rsidRPr="002B14D4">
        <w:rPr>
          <w:rFonts w:eastAsia="Times New Roman" w:cs="Times New Roman"/>
          <w:b/>
          <w:bCs/>
          <w:rtl/>
          <w:lang w:eastAsia="de-DE"/>
        </w:rPr>
        <w:t>גֹּאֵל הַדָּם הוּא יָמִית אֶת־הָרֹצֵחַ</w:t>
      </w:r>
      <w:r w:rsidRPr="002B14D4">
        <w:rPr>
          <w:rFonts w:eastAsia="Times New Roman" w:cs="Times New Roman"/>
          <w:rtl/>
          <w:lang w:eastAsia="de-DE"/>
        </w:rPr>
        <w:t xml:space="preserve"> </w:t>
      </w:r>
      <w:r w:rsidRPr="002B14D4">
        <w:rPr>
          <w:rFonts w:eastAsia="Times New Roman" w:cs="Times New Roman"/>
          <w:lang w:eastAsia="de-DE"/>
        </w:rPr>
        <w:t xml:space="preserve">ist die Grundaussage. </w:t>
      </w:r>
      <w:r w:rsidRPr="002B14D4">
        <w:rPr>
          <w:rFonts w:eastAsia="Times New Roman" w:cs="Times New Roman"/>
          <w:b/>
          <w:bCs/>
          <w:rtl/>
          <w:lang w:eastAsia="de-DE"/>
        </w:rPr>
        <w:t>גֹּאֵל הַדָּם</w:t>
      </w:r>
      <w:r w:rsidRPr="002B14D4">
        <w:rPr>
          <w:rFonts w:eastAsia="Times New Roman" w:cs="Times New Roman"/>
          <w:rtl/>
          <w:lang w:eastAsia="de-DE"/>
        </w:rPr>
        <w:t xml:space="preserve"> </w:t>
      </w:r>
      <w:r w:rsidRPr="002B14D4">
        <w:rPr>
          <w:rFonts w:eastAsia="Times New Roman" w:cs="Times New Roman"/>
          <w:lang w:eastAsia="de-DE"/>
        </w:rPr>
        <w:t>(</w:t>
      </w:r>
      <w:r w:rsidR="00B513FF">
        <w:rPr>
          <w:rFonts w:eastAsia="Times New Roman" w:cs="Times New Roman"/>
          <w:lang w:eastAsia="de-DE"/>
        </w:rPr>
        <w:t xml:space="preserve">Constructus </w:t>
      </w:r>
      <w:r w:rsidRPr="002B14D4">
        <w:rPr>
          <w:rFonts w:eastAsia="Times New Roman" w:cs="Times New Roman"/>
          <w:lang w:eastAsia="de-DE"/>
        </w:rPr>
        <w:t xml:space="preserve"> „Bluträcher" - wörtlich „Blutlöser"), </w:t>
      </w:r>
      <w:r w:rsidRPr="002B14D4">
        <w:rPr>
          <w:rFonts w:eastAsia="Times New Roman" w:cs="Times New Roman"/>
          <w:b/>
          <w:bCs/>
          <w:rtl/>
          <w:lang w:eastAsia="de-DE"/>
        </w:rPr>
        <w:t>הוּא יָמִית</w:t>
      </w:r>
      <w:r w:rsidRPr="002B14D4">
        <w:rPr>
          <w:rFonts w:eastAsia="Times New Roman" w:cs="Times New Roman"/>
          <w:rtl/>
          <w:lang w:eastAsia="de-DE"/>
        </w:rPr>
        <w:t xml:space="preserve"> </w:t>
      </w:r>
      <w:r w:rsidRPr="002B14D4">
        <w:rPr>
          <w:rFonts w:eastAsia="Times New Roman" w:cs="Times New Roman"/>
          <w:lang w:eastAsia="de-DE"/>
        </w:rPr>
        <w:t xml:space="preserve">(emphatisches Pronomen mit Hiphil Imperfekt 3. Person maskulin Singular von </w:t>
      </w:r>
      <w:r w:rsidRPr="002B14D4">
        <w:rPr>
          <w:rFonts w:eastAsia="Times New Roman" w:cs="Times New Roman"/>
          <w:b/>
          <w:bCs/>
          <w:rtl/>
          <w:lang w:eastAsia="de-DE"/>
        </w:rPr>
        <w:t>מות</w:t>
      </w:r>
      <w:r w:rsidRPr="002B14D4">
        <w:rPr>
          <w:rFonts w:eastAsia="Times New Roman" w:cs="Times New Roman"/>
          <w:rtl/>
          <w:lang w:eastAsia="de-DE"/>
        </w:rPr>
        <w:t xml:space="preserve"> </w:t>
      </w:r>
      <w:r w:rsidRPr="002B14D4">
        <w:rPr>
          <w:rFonts w:eastAsia="Times New Roman" w:cs="Times New Roman"/>
          <w:lang w:eastAsia="de-DE"/>
        </w:rPr>
        <w:t xml:space="preserve">„töten" „er soll töten"), </w:t>
      </w:r>
      <w:r w:rsidRPr="002B14D4">
        <w:rPr>
          <w:rFonts w:eastAsia="Times New Roman" w:cs="Times New Roman"/>
          <w:b/>
          <w:bCs/>
          <w:rtl/>
          <w:lang w:eastAsia="de-DE"/>
        </w:rPr>
        <w:t>אֶת־הָרֹצֵחַ</w:t>
      </w:r>
      <w:r w:rsidRPr="002B14D4">
        <w:rPr>
          <w:rFonts w:eastAsia="Times New Roman" w:cs="Times New Roman"/>
          <w:rtl/>
          <w:lang w:eastAsia="de-DE"/>
        </w:rPr>
        <w:t xml:space="preserve"> </w:t>
      </w:r>
      <w:r w:rsidRPr="002B14D4">
        <w:rPr>
          <w:rFonts w:eastAsia="Times New Roman" w:cs="Times New Roman"/>
          <w:lang w:eastAsia="de-DE"/>
        </w:rPr>
        <w:t xml:space="preserve">(„den Mörder"). </w:t>
      </w:r>
      <w:r w:rsidRPr="002B14D4">
        <w:rPr>
          <w:rFonts w:eastAsia="Times New Roman" w:cs="Times New Roman"/>
          <w:b/>
          <w:bCs/>
          <w:rtl/>
          <w:lang w:eastAsia="de-DE"/>
        </w:rPr>
        <w:t>בְּפִגְעוֹ־בוֹ הוּא יְמִיתֶנּוּ</w:t>
      </w:r>
      <w:r w:rsidRPr="002B14D4">
        <w:rPr>
          <w:rFonts w:eastAsia="Times New Roman" w:cs="Times New Roman"/>
          <w:rtl/>
          <w:lang w:eastAsia="de-DE"/>
        </w:rPr>
        <w:t xml:space="preserve"> </w:t>
      </w:r>
      <w:r w:rsidRPr="002B14D4">
        <w:rPr>
          <w:rFonts w:eastAsia="Times New Roman" w:cs="Times New Roman"/>
          <w:lang w:eastAsia="de-DE"/>
        </w:rPr>
        <w:t xml:space="preserve">präzisiert. </w:t>
      </w:r>
      <w:r w:rsidRPr="002B14D4">
        <w:rPr>
          <w:rFonts w:eastAsia="Times New Roman" w:cs="Times New Roman"/>
          <w:b/>
          <w:bCs/>
          <w:rtl/>
          <w:lang w:eastAsia="de-DE"/>
        </w:rPr>
        <w:t>בְּפִגְעוֹ־בוֹ</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בְ</w:t>
      </w:r>
      <w:r w:rsidRPr="002B14D4">
        <w:rPr>
          <w:rFonts w:eastAsia="Times New Roman" w:cs="Times New Roman"/>
          <w:rtl/>
          <w:lang w:eastAsia="de-DE"/>
        </w:rPr>
        <w:t xml:space="preserve"> </w:t>
      </w:r>
      <w:r w:rsidRPr="002B14D4">
        <w:rPr>
          <w:rFonts w:eastAsia="Times New Roman" w:cs="Times New Roman"/>
          <w:lang w:eastAsia="de-DE"/>
        </w:rPr>
        <w:t xml:space="preserve">mit Qal Infinitiv </w:t>
      </w:r>
      <w:r w:rsidR="00E031B3">
        <w:rPr>
          <w:rFonts w:eastAsia="Times New Roman" w:cs="Times New Roman"/>
          <w:lang w:eastAsia="de-DE"/>
        </w:rPr>
        <w:t>Constructus von</w:t>
      </w:r>
      <w:r w:rsidRPr="002B14D4">
        <w:rPr>
          <w:rFonts w:eastAsia="Times New Roman" w:cs="Times New Roman"/>
          <w:lang w:eastAsia="de-DE"/>
        </w:rPr>
        <w:t xml:space="preserve"> </w:t>
      </w:r>
      <w:r w:rsidRPr="002B14D4">
        <w:rPr>
          <w:rFonts w:eastAsia="Times New Roman" w:cs="Times New Roman"/>
          <w:b/>
          <w:bCs/>
          <w:rtl/>
          <w:lang w:eastAsia="de-DE"/>
        </w:rPr>
        <w:t>פגע</w:t>
      </w:r>
      <w:r w:rsidRPr="002B14D4">
        <w:rPr>
          <w:rFonts w:eastAsia="Times New Roman" w:cs="Times New Roman"/>
          <w:rtl/>
          <w:lang w:eastAsia="de-DE"/>
        </w:rPr>
        <w:t xml:space="preserve"> </w:t>
      </w:r>
      <w:r w:rsidRPr="002B14D4">
        <w:rPr>
          <w:rFonts w:eastAsia="Times New Roman" w:cs="Times New Roman"/>
          <w:lang w:eastAsia="de-DE"/>
        </w:rPr>
        <w:t xml:space="preserve">„treffen, begegnen" mit Suffix 3. Person maskulin Singular und Präposition </w:t>
      </w:r>
      <w:r w:rsidRPr="002B14D4">
        <w:rPr>
          <w:rFonts w:eastAsia="Times New Roman" w:cs="Times New Roman"/>
          <w:b/>
          <w:bCs/>
          <w:rtl/>
          <w:lang w:eastAsia="de-DE"/>
        </w:rPr>
        <w:t>בְ</w:t>
      </w:r>
      <w:r w:rsidRPr="002B14D4">
        <w:rPr>
          <w:rFonts w:eastAsia="Times New Roman" w:cs="Times New Roman"/>
          <w:rtl/>
          <w:lang w:eastAsia="de-DE"/>
        </w:rPr>
        <w:t xml:space="preserve"> </w:t>
      </w:r>
      <w:r w:rsidRPr="002B14D4">
        <w:rPr>
          <w:rFonts w:eastAsia="Times New Roman" w:cs="Times New Roman"/>
          <w:lang w:eastAsia="de-DE"/>
        </w:rPr>
        <w:t xml:space="preserve">mit Suffix „wenn er ihn trifft"), </w:t>
      </w:r>
      <w:r w:rsidRPr="002B14D4">
        <w:rPr>
          <w:rFonts w:eastAsia="Times New Roman" w:cs="Times New Roman"/>
          <w:b/>
          <w:bCs/>
          <w:rtl/>
          <w:lang w:eastAsia="de-DE"/>
        </w:rPr>
        <w:t>הוּא יְמִיתֶנּוּ</w:t>
      </w:r>
      <w:r w:rsidRPr="002B14D4">
        <w:rPr>
          <w:rFonts w:eastAsia="Times New Roman" w:cs="Times New Roman"/>
          <w:rtl/>
          <w:lang w:eastAsia="de-DE"/>
        </w:rPr>
        <w:t xml:space="preserve"> </w:t>
      </w:r>
      <w:r w:rsidRPr="002B14D4">
        <w:rPr>
          <w:rFonts w:eastAsia="Times New Roman" w:cs="Times New Roman"/>
          <w:lang w:eastAsia="de-DE"/>
        </w:rPr>
        <w:t xml:space="preserve">(emphatisches Pronomen mit Hiphil Imperfekt von </w:t>
      </w:r>
      <w:r w:rsidRPr="002B14D4">
        <w:rPr>
          <w:rFonts w:eastAsia="Times New Roman" w:cs="Times New Roman"/>
          <w:b/>
          <w:bCs/>
          <w:rtl/>
          <w:lang w:eastAsia="de-DE"/>
        </w:rPr>
        <w:t>מות</w:t>
      </w:r>
      <w:r w:rsidRPr="002B14D4">
        <w:rPr>
          <w:rFonts w:eastAsia="Times New Roman" w:cs="Times New Roman"/>
          <w:rtl/>
          <w:lang w:eastAsia="de-DE"/>
        </w:rPr>
        <w:t xml:space="preserve"> </w:t>
      </w:r>
      <w:r w:rsidRPr="002B14D4">
        <w:rPr>
          <w:rFonts w:eastAsia="Times New Roman" w:cs="Times New Roman"/>
          <w:lang w:eastAsia="de-DE"/>
        </w:rPr>
        <w:t>und Suffix 3. Person maskulin Singular „er soll ihn töten").</w:t>
      </w:r>
    </w:p>
    <w:p w14:paraId="52F5CF36"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eine Hauptaussage und eine temporale Präzisierung.</w:t>
      </w:r>
    </w:p>
    <w:p w14:paraId="3B1B2F19"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Der Vers ist drastisch: Bei erwiesenem vorsätzlichem Mord hat der </w:t>
      </w:r>
      <w:r w:rsidRPr="002B14D4">
        <w:rPr>
          <w:rFonts w:eastAsia="Times New Roman" w:cs="Times New Roman"/>
          <w:b/>
          <w:bCs/>
          <w:rtl/>
          <w:lang w:eastAsia="de-DE"/>
        </w:rPr>
        <w:t>גֹּאֵל הַדָּם</w:t>
      </w:r>
      <w:r w:rsidRPr="002B14D4">
        <w:rPr>
          <w:rFonts w:eastAsia="Times New Roman" w:cs="Times New Roman"/>
          <w:rtl/>
          <w:lang w:eastAsia="de-DE"/>
        </w:rPr>
        <w:t xml:space="preserve"> </w:t>
      </w:r>
      <w:r w:rsidRPr="002B14D4">
        <w:rPr>
          <w:rFonts w:eastAsia="Times New Roman" w:cs="Times New Roman"/>
          <w:lang w:eastAsia="de-DE"/>
        </w:rPr>
        <w:t>das Recht, ja die Pflicht, den Mörder zu töten. Kein Gerichtsverfahren ist nötig, keine Zuflucht möglich. Dies ist der Rest des alten Blutrache-Systems, aber jetzt begrenzt auf bewiesenen vorsätzlichen Mord.</w:t>
      </w:r>
    </w:p>
    <w:p w14:paraId="1CEA9BD0"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35,20-21</w:t>
      </w:r>
    </w:p>
    <w:p w14:paraId="6F684A35"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[V. 20-21 fügen weitere Kriterien für vorsätzlichen Mord hinzu: Stoßen aus Hass, Werfen mit Absicht, Schlagen aus Feindschaft - alles Handlungen mit erkennbarer Tötungsabsicht. Auch hier: </w:t>
      </w:r>
      <w:r w:rsidRPr="002B14D4">
        <w:rPr>
          <w:rFonts w:eastAsia="Times New Roman" w:cs="Times New Roman"/>
          <w:b/>
          <w:bCs/>
          <w:rtl/>
          <w:lang w:eastAsia="de-DE"/>
        </w:rPr>
        <w:t>מוֹת יוּמַת</w:t>
      </w:r>
      <w:r w:rsidRPr="002B14D4">
        <w:rPr>
          <w:rFonts w:eastAsia="Times New Roman" w:cs="Times New Roman"/>
          <w:rtl/>
          <w:lang w:eastAsia="de-DE"/>
        </w:rPr>
        <w:t xml:space="preserve"> </w:t>
      </w:r>
      <w:r w:rsidRPr="002B14D4">
        <w:rPr>
          <w:rFonts w:eastAsia="Times New Roman" w:cs="Times New Roman"/>
          <w:lang w:eastAsia="de-DE"/>
        </w:rPr>
        <w:t>- die Todesstrafe.]</w:t>
      </w:r>
    </w:p>
    <w:p w14:paraId="0EF3D6AE"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28F35634">
          <v:rect id="_x0000_i2079" style="width:0;height:1.5pt" o:hralign="center" o:hrstd="t" o:hr="t" fillcolor="#a0a0a0" stroked="f"/>
        </w:pict>
      </w:r>
    </w:p>
    <w:p w14:paraId="3B7F9BC4" w14:textId="46B24919" w:rsid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 (zusammenfassend):</w:t>
      </w:r>
      <w:r w:rsidRPr="002B14D4">
        <w:rPr>
          <w:rFonts w:eastAsia="Times New Roman" w:cs="Times New Roman"/>
          <w:lang w:eastAsia="de-DE"/>
        </w:rPr>
        <w:t xml:space="preserve"> </w:t>
      </w:r>
      <w:r w:rsidRPr="002B14D4">
        <w:rPr>
          <w:rFonts w:eastAsia="Times New Roman" w:cs="Times New Roman"/>
          <w:b/>
          <w:bCs/>
          <w:lang w:eastAsia="de-DE"/>
        </w:rPr>
        <w:t>V. 20:</w:t>
      </w:r>
      <w:r w:rsidRPr="002B14D4">
        <w:rPr>
          <w:rFonts w:eastAsia="Times New Roman" w:cs="Times New Roman"/>
          <w:lang w:eastAsia="de-DE"/>
        </w:rPr>
        <w:t xml:space="preserve"> </w:t>
      </w:r>
      <w:r w:rsidRPr="002B14D4">
        <w:rPr>
          <w:rFonts w:eastAsia="Times New Roman" w:cs="Times New Roman"/>
          <w:b/>
          <w:bCs/>
          <w:rtl/>
          <w:lang w:eastAsia="de-DE"/>
        </w:rPr>
        <w:t>וְאִם־בְּשִׂנְאָה יֶהְדָּפֶנּוּ</w:t>
      </w:r>
      <w:r w:rsidRPr="002B14D4">
        <w:rPr>
          <w:rFonts w:eastAsia="Times New Roman" w:cs="Times New Roman"/>
          <w:rtl/>
          <w:lang w:eastAsia="de-DE"/>
        </w:rPr>
        <w:t xml:space="preserve"> </w:t>
      </w:r>
      <w:r w:rsidRPr="002B14D4">
        <w:rPr>
          <w:rFonts w:eastAsia="Times New Roman" w:cs="Times New Roman"/>
          <w:lang w:eastAsia="de-DE"/>
        </w:rPr>
        <w:t xml:space="preserve">(„wenn aus Hass er ihn stößt"), </w:t>
      </w:r>
      <w:r w:rsidRPr="002B14D4">
        <w:rPr>
          <w:rFonts w:eastAsia="Times New Roman" w:cs="Times New Roman"/>
          <w:b/>
          <w:bCs/>
          <w:rtl/>
          <w:lang w:eastAsia="de-DE"/>
        </w:rPr>
        <w:t>אוֹ־הִשְׁלִיךְ עָלָיו בִּצְדִיָּה</w:t>
      </w:r>
      <w:r w:rsidRPr="002B14D4">
        <w:rPr>
          <w:rFonts w:eastAsia="Times New Roman" w:cs="Times New Roman"/>
          <w:rtl/>
          <w:lang w:eastAsia="de-DE"/>
        </w:rPr>
        <w:t xml:space="preserve"> </w:t>
      </w:r>
      <w:r w:rsidRPr="002B14D4">
        <w:rPr>
          <w:rFonts w:eastAsia="Times New Roman" w:cs="Times New Roman"/>
          <w:lang w:eastAsia="de-DE"/>
        </w:rPr>
        <w:t xml:space="preserve">(„oder auf ihn wirft mit Absicht" - </w:t>
      </w:r>
      <w:r w:rsidRPr="002B14D4">
        <w:rPr>
          <w:rFonts w:eastAsia="Times New Roman" w:cs="Times New Roman"/>
          <w:b/>
          <w:bCs/>
          <w:rtl/>
          <w:lang w:eastAsia="de-DE"/>
        </w:rPr>
        <w:t>צְדִיָּה</w:t>
      </w:r>
      <w:r w:rsidRPr="002B14D4">
        <w:rPr>
          <w:rFonts w:eastAsia="Times New Roman" w:cs="Times New Roman"/>
          <w:rtl/>
          <w:lang w:eastAsia="de-DE"/>
        </w:rPr>
        <w:t xml:space="preserve"> </w:t>
      </w:r>
      <w:r w:rsidRPr="002B14D4">
        <w:rPr>
          <w:rFonts w:eastAsia="Times New Roman" w:cs="Times New Roman"/>
          <w:lang w:eastAsia="de-DE"/>
        </w:rPr>
        <w:t xml:space="preserve">von </w:t>
      </w:r>
      <w:r w:rsidRPr="002B14D4">
        <w:rPr>
          <w:rFonts w:eastAsia="Times New Roman" w:cs="Times New Roman"/>
          <w:b/>
          <w:bCs/>
          <w:rtl/>
          <w:lang w:eastAsia="de-DE"/>
        </w:rPr>
        <w:t>צדה</w:t>
      </w:r>
      <w:r w:rsidRPr="002B14D4">
        <w:rPr>
          <w:rFonts w:eastAsia="Times New Roman" w:cs="Times New Roman"/>
          <w:rtl/>
          <w:lang w:eastAsia="de-DE"/>
        </w:rPr>
        <w:t xml:space="preserve"> </w:t>
      </w:r>
      <w:r w:rsidRPr="002B14D4">
        <w:rPr>
          <w:rFonts w:eastAsia="Times New Roman" w:cs="Times New Roman"/>
          <w:lang w:eastAsia="de-DE"/>
        </w:rPr>
        <w:t xml:space="preserve">„lauern"). </w:t>
      </w:r>
      <w:r w:rsidRPr="002B14D4">
        <w:rPr>
          <w:rFonts w:eastAsia="Times New Roman" w:cs="Times New Roman"/>
          <w:b/>
          <w:bCs/>
          <w:lang w:eastAsia="de-DE"/>
        </w:rPr>
        <w:t>V. 21:</w:t>
      </w:r>
      <w:r w:rsidRPr="002B14D4">
        <w:rPr>
          <w:rFonts w:eastAsia="Times New Roman" w:cs="Times New Roman"/>
          <w:lang w:eastAsia="de-DE"/>
        </w:rPr>
        <w:t xml:space="preserve"> </w:t>
      </w:r>
      <w:r w:rsidRPr="002B14D4">
        <w:rPr>
          <w:rFonts w:eastAsia="Times New Roman" w:cs="Times New Roman"/>
          <w:b/>
          <w:bCs/>
          <w:rtl/>
          <w:lang w:eastAsia="de-DE"/>
        </w:rPr>
        <w:t>אוֹ בְאֵיבָה הִכָּהוּ בְיָדוֹ</w:t>
      </w:r>
      <w:r w:rsidRPr="002B14D4">
        <w:rPr>
          <w:rFonts w:eastAsia="Times New Roman" w:cs="Times New Roman"/>
          <w:rtl/>
          <w:lang w:eastAsia="de-DE"/>
        </w:rPr>
        <w:t xml:space="preserve"> </w:t>
      </w:r>
      <w:r w:rsidRPr="002B14D4">
        <w:rPr>
          <w:rFonts w:eastAsia="Times New Roman" w:cs="Times New Roman"/>
          <w:lang w:eastAsia="de-DE"/>
        </w:rPr>
        <w:t xml:space="preserve">(„oder aus Feindschaft ihn schlug mit seiner Hand"). Die Kriterien: </w:t>
      </w:r>
      <w:r w:rsidRPr="002B14D4">
        <w:rPr>
          <w:rFonts w:eastAsia="Times New Roman" w:cs="Times New Roman"/>
          <w:b/>
          <w:bCs/>
          <w:rtl/>
          <w:lang w:eastAsia="de-DE"/>
        </w:rPr>
        <w:t>שִׂנְאָה</w:t>
      </w:r>
      <w:r w:rsidRPr="002B14D4">
        <w:rPr>
          <w:rFonts w:eastAsia="Times New Roman" w:cs="Times New Roman"/>
          <w:rtl/>
          <w:lang w:eastAsia="de-DE"/>
        </w:rPr>
        <w:t xml:space="preserve"> </w:t>
      </w:r>
      <w:r w:rsidRPr="002B14D4">
        <w:rPr>
          <w:rFonts w:eastAsia="Times New Roman" w:cs="Times New Roman"/>
          <w:lang w:eastAsia="de-DE"/>
        </w:rPr>
        <w:t xml:space="preserve">(Hass), </w:t>
      </w:r>
      <w:r w:rsidRPr="002B14D4">
        <w:rPr>
          <w:rFonts w:eastAsia="Times New Roman" w:cs="Times New Roman"/>
          <w:b/>
          <w:bCs/>
          <w:rtl/>
          <w:lang w:eastAsia="de-DE"/>
        </w:rPr>
        <w:t>צְדִיָּה</w:t>
      </w:r>
      <w:r w:rsidRPr="002B14D4">
        <w:rPr>
          <w:rFonts w:eastAsia="Times New Roman" w:cs="Times New Roman"/>
          <w:rtl/>
          <w:lang w:eastAsia="de-DE"/>
        </w:rPr>
        <w:t xml:space="preserve"> </w:t>
      </w:r>
      <w:r w:rsidRPr="002B14D4">
        <w:rPr>
          <w:rFonts w:eastAsia="Times New Roman" w:cs="Times New Roman"/>
          <w:lang w:eastAsia="de-DE"/>
        </w:rPr>
        <w:t xml:space="preserve">(Absicht, Vorsatz), </w:t>
      </w:r>
      <w:r w:rsidRPr="002B14D4">
        <w:rPr>
          <w:rFonts w:eastAsia="Times New Roman" w:cs="Times New Roman"/>
          <w:b/>
          <w:bCs/>
          <w:rtl/>
          <w:lang w:eastAsia="de-DE"/>
        </w:rPr>
        <w:t>אֵיבָה</w:t>
      </w:r>
      <w:r w:rsidRPr="002B14D4">
        <w:rPr>
          <w:rFonts w:eastAsia="Times New Roman" w:cs="Times New Roman"/>
          <w:rtl/>
          <w:lang w:eastAsia="de-DE"/>
        </w:rPr>
        <w:t xml:space="preserve"> </w:t>
      </w:r>
      <w:r w:rsidRPr="002B14D4">
        <w:rPr>
          <w:rFonts w:eastAsia="Times New Roman" w:cs="Times New Roman"/>
          <w:lang w:eastAsia="de-DE"/>
        </w:rPr>
        <w:t xml:space="preserve">(Feindschaft). Diese psychologischen Faktoren beweisen Vorsatz. </w:t>
      </w:r>
      <w:r w:rsidRPr="002B14D4">
        <w:rPr>
          <w:rFonts w:eastAsia="Times New Roman" w:cs="Times New Roman"/>
          <w:b/>
          <w:bCs/>
          <w:rtl/>
          <w:lang w:eastAsia="de-DE"/>
        </w:rPr>
        <w:t>מוֹת־יוּמַת הַמַּכֶּה רֹצֵחַ הוּא</w:t>
      </w:r>
      <w:r w:rsidRPr="002B14D4">
        <w:rPr>
          <w:rFonts w:eastAsia="Times New Roman" w:cs="Times New Roman"/>
          <w:rtl/>
          <w:lang w:eastAsia="de-DE"/>
        </w:rPr>
        <w:t xml:space="preserve"> </w:t>
      </w:r>
      <w:r w:rsidRPr="002B14D4">
        <w:rPr>
          <w:rFonts w:eastAsia="Times New Roman" w:cs="Times New Roman"/>
          <w:lang w:eastAsia="de-DE"/>
        </w:rPr>
        <w:t xml:space="preserve">(„der Schläger soll gewiss getötet werden, ein Mörder ist er"). </w:t>
      </w:r>
      <w:r w:rsidRPr="002B14D4">
        <w:rPr>
          <w:rFonts w:eastAsia="Times New Roman" w:cs="Times New Roman"/>
          <w:b/>
          <w:bCs/>
          <w:rtl/>
          <w:lang w:eastAsia="de-DE"/>
        </w:rPr>
        <w:t>גֹּאֵל הַדָּם יָמִית אֶת־הָרֹצֵחַ בְּפִגְעוֹ־בוֹ</w:t>
      </w:r>
      <w:r w:rsidRPr="002B14D4">
        <w:rPr>
          <w:rFonts w:eastAsia="Times New Roman" w:cs="Times New Roman"/>
          <w:rtl/>
          <w:lang w:eastAsia="de-DE"/>
        </w:rPr>
        <w:t xml:space="preserve"> </w:t>
      </w:r>
      <w:r w:rsidRPr="002B14D4">
        <w:rPr>
          <w:rFonts w:eastAsia="Times New Roman" w:cs="Times New Roman"/>
          <w:lang w:eastAsia="de-DE"/>
        </w:rPr>
        <w:t>- wieder das Recht des Bluträchers.</w:t>
      </w:r>
    </w:p>
    <w:p w14:paraId="4EAD7DAF" w14:textId="77777777" w:rsidR="00192257" w:rsidRDefault="00192257" w:rsidP="00192257">
      <w:pPr>
        <w:pStyle w:val="whitespace-normal"/>
      </w:pPr>
      <w:r>
        <w:rPr>
          <w:rStyle w:val="Fett"/>
        </w:rPr>
        <w:lastRenderedPageBreak/>
        <w:t>Vers 20:</w:t>
      </w:r>
      <w:r>
        <w:t xml:space="preserve"> </w:t>
      </w:r>
      <w:r>
        <w:rPr>
          <w:rStyle w:val="Fett"/>
        </w:rPr>
        <w:t>Die LXX</w:t>
      </w:r>
      <w:r>
        <w:t xml:space="preserve"> übersetzt „</w:t>
      </w:r>
      <w:r>
        <w:rPr>
          <w:rtl/>
        </w:rPr>
        <w:t>בִּצְדִיָּה</w:t>
      </w:r>
      <w:r>
        <w:t>" (aus einem Hinterhalt/mit Vorsatz) mit „ἐξ ἐνέδρου" (aus einem Hinterhalt).</w:t>
      </w:r>
    </w:p>
    <w:p w14:paraId="40AB27E4" w14:textId="5FE3BC0C" w:rsidR="00192257" w:rsidRPr="002B14D4" w:rsidRDefault="00192257" w:rsidP="00192257">
      <w:pPr>
        <w:pStyle w:val="whitespace-normal"/>
      </w:pPr>
      <w:r>
        <w:rPr>
          <w:rStyle w:val="Fett"/>
        </w:rPr>
        <w:t>Vers 21:</w:t>
      </w:r>
      <w:r>
        <w:t xml:space="preserve"> </w:t>
      </w:r>
      <w:r>
        <w:rPr>
          <w:rStyle w:val="Fett"/>
        </w:rPr>
        <w:t>Die LXX</w:t>
      </w:r>
      <w:r>
        <w:t xml:space="preserve"> übersetzt „</w:t>
      </w:r>
      <w:r>
        <w:rPr>
          <w:rtl/>
        </w:rPr>
        <w:t>בְאֵיבָה</w:t>
      </w:r>
      <w:r>
        <w:t>" (in Feindschaft) mit „διὰ μῆνιν" (wegen Zorn/Groll).</w:t>
      </w:r>
    </w:p>
    <w:p w14:paraId="29877DC7"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Verse etablieren: Nicht nur die Waffe, sondern auch die erkennbare Gesinnung (Hass, Feindschaft, Vorsatz) macht Mord zum Mord.</w:t>
      </w:r>
    </w:p>
    <w:p w14:paraId="4DF11163"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35,22-23</w:t>
      </w:r>
    </w:p>
    <w:p w14:paraId="3434D17E"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[V. 22-23 beschreiben den Gegensatz: unbeabsichtigte Tötung ohne Feindschaft, ohne Absicht, ohne vorheriges Sehen des Opfers.]</w:t>
      </w:r>
    </w:p>
    <w:p w14:paraId="69559009"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1A3EC031">
          <v:rect id="_x0000_i2080" style="width:0;height:1.5pt" o:hralign="center" o:hrstd="t" o:hr="t" fillcolor="#a0a0a0" stroked="f"/>
        </w:pict>
      </w:r>
    </w:p>
    <w:p w14:paraId="12838B2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 (zusammenfassend):</w:t>
      </w:r>
      <w:r w:rsidRPr="002B14D4">
        <w:rPr>
          <w:rFonts w:eastAsia="Times New Roman" w:cs="Times New Roman"/>
          <w:lang w:eastAsia="de-DE"/>
        </w:rPr>
        <w:t xml:space="preserve"> </w:t>
      </w:r>
      <w:r w:rsidRPr="002B14D4">
        <w:rPr>
          <w:rFonts w:eastAsia="Times New Roman" w:cs="Times New Roman"/>
          <w:b/>
          <w:bCs/>
          <w:lang w:eastAsia="de-DE"/>
        </w:rPr>
        <w:t>V. 22:</w:t>
      </w:r>
      <w:r w:rsidRPr="002B14D4">
        <w:rPr>
          <w:rFonts w:eastAsia="Times New Roman" w:cs="Times New Roman"/>
          <w:lang w:eastAsia="de-DE"/>
        </w:rPr>
        <w:t xml:space="preserve"> </w:t>
      </w:r>
      <w:r w:rsidRPr="002B14D4">
        <w:rPr>
          <w:rFonts w:eastAsia="Times New Roman" w:cs="Times New Roman"/>
          <w:b/>
          <w:bCs/>
          <w:rtl/>
          <w:lang w:eastAsia="de-DE"/>
        </w:rPr>
        <w:t>וְאִם־בְּפֶתַע בְּלֹא־אֵיבָה הֲדָפוֹ</w:t>
      </w:r>
      <w:r w:rsidRPr="002B14D4">
        <w:rPr>
          <w:rFonts w:eastAsia="Times New Roman" w:cs="Times New Roman"/>
          <w:rtl/>
          <w:lang w:eastAsia="de-DE"/>
        </w:rPr>
        <w:t xml:space="preserve"> </w:t>
      </w:r>
      <w:r w:rsidRPr="002B14D4">
        <w:rPr>
          <w:rFonts w:eastAsia="Times New Roman" w:cs="Times New Roman"/>
          <w:lang w:eastAsia="de-DE"/>
        </w:rPr>
        <w:t xml:space="preserve">(„wenn plötzlich ohne Feindschaft er ihn stieß"), </w:t>
      </w:r>
      <w:r w:rsidRPr="002B14D4">
        <w:rPr>
          <w:rFonts w:eastAsia="Times New Roman" w:cs="Times New Roman"/>
          <w:b/>
          <w:bCs/>
          <w:rtl/>
          <w:lang w:eastAsia="de-DE"/>
        </w:rPr>
        <w:t>אוֹ־הִשְׁלִיךְ עָלָיו כָּל־כְּלִי בְּלֹא צְדִיָּה</w:t>
      </w:r>
      <w:r w:rsidRPr="002B14D4">
        <w:rPr>
          <w:rFonts w:eastAsia="Times New Roman" w:cs="Times New Roman"/>
          <w:rtl/>
          <w:lang w:eastAsia="de-DE"/>
        </w:rPr>
        <w:t xml:space="preserve"> </w:t>
      </w:r>
      <w:r w:rsidRPr="002B14D4">
        <w:rPr>
          <w:rFonts w:eastAsia="Times New Roman" w:cs="Times New Roman"/>
          <w:lang w:eastAsia="de-DE"/>
        </w:rPr>
        <w:t xml:space="preserve">(„oder auf ihn warf irgendein Gerät ohne Absicht"). </w:t>
      </w:r>
      <w:r w:rsidRPr="002B14D4">
        <w:rPr>
          <w:rFonts w:eastAsia="Times New Roman" w:cs="Times New Roman"/>
          <w:b/>
          <w:bCs/>
          <w:lang w:eastAsia="de-DE"/>
        </w:rPr>
        <w:t>V. 23:</w:t>
      </w:r>
      <w:r w:rsidRPr="002B14D4">
        <w:rPr>
          <w:rFonts w:eastAsia="Times New Roman" w:cs="Times New Roman"/>
          <w:lang w:eastAsia="de-DE"/>
        </w:rPr>
        <w:t xml:space="preserve"> </w:t>
      </w:r>
      <w:r w:rsidRPr="002B14D4">
        <w:rPr>
          <w:rFonts w:eastAsia="Times New Roman" w:cs="Times New Roman"/>
          <w:b/>
          <w:bCs/>
          <w:rtl/>
          <w:lang w:eastAsia="de-DE"/>
        </w:rPr>
        <w:t>אוֹ בְכָל־אֶבֶן אֲשֶׁר־יָמוּת בָּהּ בְּלֹא רְאוֹת וַיַּפֵּל עָלָיו וַיָּמֹת</w:t>
      </w:r>
      <w:r w:rsidRPr="002B14D4">
        <w:rPr>
          <w:rFonts w:eastAsia="Times New Roman" w:cs="Times New Roman"/>
          <w:rtl/>
          <w:lang w:eastAsia="de-DE"/>
        </w:rPr>
        <w:t xml:space="preserve"> </w:t>
      </w:r>
      <w:r w:rsidRPr="002B14D4">
        <w:rPr>
          <w:rFonts w:eastAsia="Times New Roman" w:cs="Times New Roman"/>
          <w:lang w:eastAsia="de-DE"/>
        </w:rPr>
        <w:t xml:space="preserve">(„oder mit irgendeinem Stein, durch den man sterben kann, ohne ihn zu sehen, und er ließ ihn auf ihn fallen, und er starb"), </w:t>
      </w:r>
      <w:r w:rsidRPr="002B14D4">
        <w:rPr>
          <w:rFonts w:eastAsia="Times New Roman" w:cs="Times New Roman"/>
          <w:b/>
          <w:bCs/>
          <w:rtl/>
          <w:lang w:eastAsia="de-DE"/>
        </w:rPr>
        <w:t>וְהוּא לֹא־אוֹיֵב לוֹ וְלֹא מְבַקֵּשׁ רָעָתוֹ</w:t>
      </w:r>
      <w:r w:rsidRPr="002B14D4">
        <w:rPr>
          <w:rFonts w:eastAsia="Times New Roman" w:cs="Times New Roman"/>
          <w:rtl/>
          <w:lang w:eastAsia="de-DE"/>
        </w:rPr>
        <w:t xml:space="preserve"> </w:t>
      </w:r>
      <w:r w:rsidRPr="002B14D4">
        <w:rPr>
          <w:rFonts w:eastAsia="Times New Roman" w:cs="Times New Roman"/>
          <w:lang w:eastAsia="de-DE"/>
        </w:rPr>
        <w:t>(„und er war ihm nicht feind und suchte nicht sein Unglück").</w:t>
      </w:r>
    </w:p>
    <w:p w14:paraId="5B7D2D01"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Die Kriterien für Totschlag: </w:t>
      </w:r>
      <w:r w:rsidRPr="002B14D4">
        <w:rPr>
          <w:rFonts w:eastAsia="Times New Roman" w:cs="Times New Roman"/>
          <w:b/>
          <w:bCs/>
          <w:rtl/>
          <w:lang w:eastAsia="de-DE"/>
        </w:rPr>
        <w:t>בְּפֶתַע</w:t>
      </w:r>
      <w:r w:rsidRPr="002B14D4">
        <w:rPr>
          <w:rFonts w:eastAsia="Times New Roman" w:cs="Times New Roman"/>
          <w:rtl/>
          <w:lang w:eastAsia="de-DE"/>
        </w:rPr>
        <w:t xml:space="preserve"> </w:t>
      </w:r>
      <w:r w:rsidRPr="002B14D4">
        <w:rPr>
          <w:rFonts w:eastAsia="Times New Roman" w:cs="Times New Roman"/>
          <w:lang w:eastAsia="de-DE"/>
        </w:rPr>
        <w:t xml:space="preserve">(plötzlich), </w:t>
      </w:r>
      <w:r w:rsidRPr="002B14D4">
        <w:rPr>
          <w:rFonts w:eastAsia="Times New Roman" w:cs="Times New Roman"/>
          <w:b/>
          <w:bCs/>
          <w:rtl/>
          <w:lang w:eastAsia="de-DE"/>
        </w:rPr>
        <w:t>בְּלֹא־אֵיבָה</w:t>
      </w:r>
      <w:r w:rsidRPr="002B14D4">
        <w:rPr>
          <w:rFonts w:eastAsia="Times New Roman" w:cs="Times New Roman"/>
          <w:rtl/>
          <w:lang w:eastAsia="de-DE"/>
        </w:rPr>
        <w:t xml:space="preserve"> </w:t>
      </w:r>
      <w:r w:rsidRPr="002B14D4">
        <w:rPr>
          <w:rFonts w:eastAsia="Times New Roman" w:cs="Times New Roman"/>
          <w:lang w:eastAsia="de-DE"/>
        </w:rPr>
        <w:t xml:space="preserve">(ohne Feindschaft), </w:t>
      </w:r>
      <w:r w:rsidRPr="002B14D4">
        <w:rPr>
          <w:rFonts w:eastAsia="Times New Roman" w:cs="Times New Roman"/>
          <w:b/>
          <w:bCs/>
          <w:rtl/>
          <w:lang w:eastAsia="de-DE"/>
        </w:rPr>
        <w:t>בְּלֹא צְדִיָּה</w:t>
      </w:r>
      <w:r w:rsidRPr="002B14D4">
        <w:rPr>
          <w:rFonts w:eastAsia="Times New Roman" w:cs="Times New Roman"/>
          <w:rtl/>
          <w:lang w:eastAsia="de-DE"/>
        </w:rPr>
        <w:t xml:space="preserve"> </w:t>
      </w:r>
      <w:r w:rsidRPr="002B14D4">
        <w:rPr>
          <w:rFonts w:eastAsia="Times New Roman" w:cs="Times New Roman"/>
          <w:lang w:eastAsia="de-DE"/>
        </w:rPr>
        <w:t xml:space="preserve">(ohne Absicht), </w:t>
      </w:r>
      <w:r w:rsidRPr="002B14D4">
        <w:rPr>
          <w:rFonts w:eastAsia="Times New Roman" w:cs="Times New Roman"/>
          <w:b/>
          <w:bCs/>
          <w:rtl/>
          <w:lang w:eastAsia="de-DE"/>
        </w:rPr>
        <w:t>בְּלֹא רְאוֹת</w:t>
      </w:r>
      <w:r w:rsidRPr="002B14D4">
        <w:rPr>
          <w:rFonts w:eastAsia="Times New Roman" w:cs="Times New Roman"/>
          <w:rtl/>
          <w:lang w:eastAsia="de-DE"/>
        </w:rPr>
        <w:t xml:space="preserve"> </w:t>
      </w:r>
      <w:r w:rsidRPr="002B14D4">
        <w:rPr>
          <w:rFonts w:eastAsia="Times New Roman" w:cs="Times New Roman"/>
          <w:lang w:eastAsia="de-DE"/>
        </w:rPr>
        <w:t xml:space="preserve">(ohne zu sehen), </w:t>
      </w:r>
      <w:r w:rsidRPr="002B14D4">
        <w:rPr>
          <w:rFonts w:eastAsia="Times New Roman" w:cs="Times New Roman"/>
          <w:b/>
          <w:bCs/>
          <w:rtl/>
          <w:lang w:eastAsia="de-DE"/>
        </w:rPr>
        <w:t>לֹא־אוֹיֵב</w:t>
      </w:r>
      <w:r w:rsidRPr="002B14D4">
        <w:rPr>
          <w:rFonts w:eastAsia="Times New Roman" w:cs="Times New Roman"/>
          <w:rtl/>
          <w:lang w:eastAsia="de-DE"/>
        </w:rPr>
        <w:t xml:space="preserve"> </w:t>
      </w:r>
      <w:r w:rsidRPr="002B14D4">
        <w:rPr>
          <w:rFonts w:eastAsia="Times New Roman" w:cs="Times New Roman"/>
          <w:lang w:eastAsia="de-DE"/>
        </w:rPr>
        <w:t xml:space="preserve">(nicht feind), </w:t>
      </w:r>
      <w:r w:rsidRPr="002B14D4">
        <w:rPr>
          <w:rFonts w:eastAsia="Times New Roman" w:cs="Times New Roman"/>
          <w:b/>
          <w:bCs/>
          <w:rtl/>
          <w:lang w:eastAsia="de-DE"/>
        </w:rPr>
        <w:t>לֹא מְבַקֵּשׁ רָעָתוֹ</w:t>
      </w:r>
      <w:r w:rsidRPr="002B14D4">
        <w:rPr>
          <w:rFonts w:eastAsia="Times New Roman" w:cs="Times New Roman"/>
          <w:rtl/>
          <w:lang w:eastAsia="de-DE"/>
        </w:rPr>
        <w:t xml:space="preserve"> </w:t>
      </w:r>
      <w:r w:rsidRPr="002B14D4">
        <w:rPr>
          <w:rFonts w:eastAsia="Times New Roman" w:cs="Times New Roman"/>
          <w:lang w:eastAsia="de-DE"/>
        </w:rPr>
        <w:t>(nicht sein Unglück suchend). All diese negativen Bestimmungen definieren das Versehen.</w:t>
      </w:r>
    </w:p>
    <w:p w14:paraId="6C346C28"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35,24</w:t>
      </w:r>
    </w:p>
    <w:p w14:paraId="322630D8"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וְשָֽׁפְטוּ֙ הָֽעֵדָ֔ה בֵּ֚ין הַמַּכֶּ֔ה וּבֵ֖ין גֹּאֵ֣ל הַדָּ֑ם עַ֥ל הַמִּשְׁפָּטִ֖ים הָאֵֽלֶּה׃</w:t>
      </w:r>
    </w:p>
    <w:p w14:paraId="7E2CA11C"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so soll die Gemeinde richten zwischen dem Schläger und dem Bluträcher nach diesen Rechtssätzen.</w:t>
      </w:r>
    </w:p>
    <w:p w14:paraId="112DBCCA"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745FCD39">
          <v:rect id="_x0000_i2081" style="width:0;height:1.5pt" o:hralign="center" o:hrstd="t" o:hr="t" fillcolor="#a0a0a0" stroked="f"/>
        </w:pict>
      </w:r>
    </w:p>
    <w:p w14:paraId="22B0508D"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ordnet das Gerichtsverfahren an. </w:t>
      </w:r>
      <w:r w:rsidRPr="002B14D4">
        <w:rPr>
          <w:rFonts w:eastAsia="Times New Roman" w:cs="Times New Roman"/>
          <w:b/>
          <w:bCs/>
          <w:rtl/>
          <w:lang w:eastAsia="de-DE"/>
        </w:rPr>
        <w:t>וְשָׁפְטוּ הָעֵדָה בֵּין הַמַּכֶּה וּבֵין גֹּאֵל הַדָּם עַל הַמִּשְׁפָּטִים הָאֵלֶּה</w:t>
      </w:r>
      <w:r w:rsidRPr="002B14D4">
        <w:rPr>
          <w:rFonts w:eastAsia="Times New Roman" w:cs="Times New Roman"/>
          <w:rtl/>
          <w:lang w:eastAsia="de-DE"/>
        </w:rPr>
        <w:t xml:space="preserve"> </w:t>
      </w:r>
      <w:r w:rsidRPr="002B14D4">
        <w:rPr>
          <w:rFonts w:eastAsia="Times New Roman" w:cs="Times New Roman"/>
          <w:lang w:eastAsia="de-DE"/>
        </w:rPr>
        <w:t xml:space="preserve">- die gesamte Anweisung. </w:t>
      </w:r>
      <w:r w:rsidRPr="002B14D4">
        <w:rPr>
          <w:rFonts w:eastAsia="Times New Roman" w:cs="Times New Roman"/>
          <w:b/>
          <w:bCs/>
          <w:rtl/>
          <w:lang w:eastAsia="de-DE"/>
        </w:rPr>
        <w:t>וְשָׁפְטוּ</w:t>
      </w:r>
      <w:r w:rsidRPr="002B14D4">
        <w:rPr>
          <w:rFonts w:eastAsia="Times New Roman" w:cs="Times New Roman"/>
          <w:rtl/>
          <w:lang w:eastAsia="de-DE"/>
        </w:rPr>
        <w:t xml:space="preserve"> </w:t>
      </w:r>
      <w:r w:rsidRPr="002B14D4">
        <w:rPr>
          <w:rFonts w:eastAsia="Times New Roman" w:cs="Times New Roman"/>
          <w:lang w:eastAsia="de-DE"/>
        </w:rPr>
        <w:t xml:space="preserve">(Qal Perfekt 3. Person Plural mit Waw consecutivum von </w:t>
      </w:r>
      <w:r w:rsidRPr="002B14D4">
        <w:rPr>
          <w:rFonts w:eastAsia="Times New Roman" w:cs="Times New Roman"/>
          <w:b/>
          <w:bCs/>
          <w:rtl/>
          <w:lang w:eastAsia="de-DE"/>
        </w:rPr>
        <w:t>שׁפט</w:t>
      </w:r>
      <w:r w:rsidRPr="002B14D4">
        <w:rPr>
          <w:rFonts w:eastAsia="Times New Roman" w:cs="Times New Roman"/>
          <w:rtl/>
          <w:lang w:eastAsia="de-DE"/>
        </w:rPr>
        <w:t xml:space="preserve"> </w:t>
      </w:r>
      <w:r w:rsidRPr="002B14D4">
        <w:rPr>
          <w:rFonts w:eastAsia="Times New Roman" w:cs="Times New Roman"/>
          <w:lang w:eastAsia="de-DE"/>
        </w:rPr>
        <w:t xml:space="preserve">„richten, Recht sprechen"), </w:t>
      </w:r>
      <w:r w:rsidRPr="002B14D4">
        <w:rPr>
          <w:rFonts w:eastAsia="Times New Roman" w:cs="Times New Roman"/>
          <w:b/>
          <w:bCs/>
          <w:rtl/>
          <w:lang w:eastAsia="de-DE"/>
        </w:rPr>
        <w:t>הָעֵדָה</w:t>
      </w:r>
      <w:r w:rsidRPr="002B14D4">
        <w:rPr>
          <w:rFonts w:eastAsia="Times New Roman" w:cs="Times New Roman"/>
          <w:rtl/>
          <w:lang w:eastAsia="de-DE"/>
        </w:rPr>
        <w:t xml:space="preserve"> </w:t>
      </w:r>
      <w:r w:rsidRPr="002B14D4">
        <w:rPr>
          <w:rFonts w:eastAsia="Times New Roman" w:cs="Times New Roman"/>
          <w:lang w:eastAsia="de-DE"/>
        </w:rPr>
        <w:t xml:space="preserve">(Subjekt „die Gemeinde"), </w:t>
      </w:r>
      <w:r w:rsidRPr="002B14D4">
        <w:rPr>
          <w:rFonts w:eastAsia="Times New Roman" w:cs="Times New Roman"/>
          <w:b/>
          <w:bCs/>
          <w:rtl/>
          <w:lang w:eastAsia="de-DE"/>
        </w:rPr>
        <w:t>בֵּין הַמַּכֶּה וּבֵין גֹּאֵל הַדָּם</w:t>
      </w:r>
      <w:r w:rsidRPr="002B14D4">
        <w:rPr>
          <w:rFonts w:eastAsia="Times New Roman" w:cs="Times New Roman"/>
          <w:rtl/>
          <w:lang w:eastAsia="de-DE"/>
        </w:rPr>
        <w:t xml:space="preserve"> </w:t>
      </w:r>
      <w:r w:rsidRPr="002B14D4">
        <w:rPr>
          <w:rFonts w:eastAsia="Times New Roman" w:cs="Times New Roman"/>
          <w:lang w:eastAsia="de-DE"/>
        </w:rPr>
        <w:t xml:space="preserve">(doppeltes </w:t>
      </w:r>
      <w:r w:rsidRPr="002B14D4">
        <w:rPr>
          <w:rFonts w:eastAsia="Times New Roman" w:cs="Times New Roman"/>
          <w:b/>
          <w:bCs/>
          <w:rtl/>
          <w:lang w:eastAsia="de-DE"/>
        </w:rPr>
        <w:t>בֵּין</w:t>
      </w:r>
      <w:r w:rsidRPr="002B14D4">
        <w:rPr>
          <w:rFonts w:eastAsia="Times New Roman" w:cs="Times New Roman"/>
          <w:rtl/>
          <w:lang w:eastAsia="de-DE"/>
        </w:rPr>
        <w:t xml:space="preserve"> </w:t>
      </w:r>
      <w:r w:rsidRPr="002B14D4">
        <w:rPr>
          <w:rFonts w:eastAsia="Times New Roman" w:cs="Times New Roman"/>
          <w:lang w:eastAsia="de-DE"/>
        </w:rPr>
        <w:t xml:space="preserve">„zwischen" - „zwischen dem Schläger und dem Bluträcher"), </w:t>
      </w:r>
      <w:r w:rsidRPr="002B14D4">
        <w:rPr>
          <w:rFonts w:eastAsia="Times New Roman" w:cs="Times New Roman"/>
          <w:b/>
          <w:bCs/>
          <w:rtl/>
          <w:lang w:eastAsia="de-DE"/>
        </w:rPr>
        <w:t>עַל הַמִּשְׁפָּטִים הָאֵלֶּה</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עַל</w:t>
      </w:r>
      <w:r w:rsidRPr="002B14D4">
        <w:rPr>
          <w:rFonts w:eastAsia="Times New Roman" w:cs="Times New Roman"/>
          <w:rtl/>
          <w:lang w:eastAsia="de-DE"/>
        </w:rPr>
        <w:t xml:space="preserve"> </w:t>
      </w:r>
      <w:r w:rsidRPr="002B14D4">
        <w:rPr>
          <w:rFonts w:eastAsia="Times New Roman" w:cs="Times New Roman"/>
          <w:lang w:eastAsia="de-DE"/>
        </w:rPr>
        <w:t xml:space="preserve">„nach, gemäß" mit Plural </w:t>
      </w:r>
      <w:r w:rsidRPr="002B14D4">
        <w:rPr>
          <w:rFonts w:eastAsia="Times New Roman" w:cs="Times New Roman"/>
          <w:b/>
          <w:bCs/>
          <w:rtl/>
          <w:lang w:eastAsia="de-DE"/>
        </w:rPr>
        <w:t>מִשְׁפָּט</w:t>
      </w:r>
      <w:r w:rsidRPr="002B14D4">
        <w:rPr>
          <w:rFonts w:eastAsia="Times New Roman" w:cs="Times New Roman"/>
          <w:rtl/>
          <w:lang w:eastAsia="de-DE"/>
        </w:rPr>
        <w:t xml:space="preserve"> </w:t>
      </w:r>
      <w:r w:rsidRPr="002B14D4">
        <w:rPr>
          <w:rFonts w:eastAsia="Times New Roman" w:cs="Times New Roman"/>
          <w:lang w:eastAsia="de-DE"/>
        </w:rPr>
        <w:t>„Rechtssatz, Urteil" mit Artikel und Demonstrativpronomen „nach diesen Rechtssätzen").</w:t>
      </w:r>
    </w:p>
    <w:p w14:paraId="141D908E"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Die Satzstruktur zeigt einen Imperativ mit Subjekt, doppeltem </w:t>
      </w:r>
      <w:r w:rsidRPr="002B14D4">
        <w:rPr>
          <w:rFonts w:eastAsia="Times New Roman" w:cs="Times New Roman"/>
          <w:b/>
          <w:bCs/>
          <w:rtl/>
          <w:lang w:eastAsia="de-DE"/>
        </w:rPr>
        <w:t>בֵּין</w:t>
      </w:r>
      <w:r w:rsidRPr="002B14D4">
        <w:rPr>
          <w:rFonts w:eastAsia="Times New Roman" w:cs="Times New Roman"/>
          <w:rtl/>
          <w:lang w:eastAsia="de-DE"/>
        </w:rPr>
        <w:t xml:space="preserve"> </w:t>
      </w:r>
      <w:r w:rsidRPr="002B14D4">
        <w:rPr>
          <w:rFonts w:eastAsia="Times New Roman" w:cs="Times New Roman"/>
          <w:lang w:eastAsia="de-DE"/>
        </w:rPr>
        <w:t>und normativer Grundlage.</w:t>
      </w:r>
    </w:p>
    <w:p w14:paraId="4D3F5387"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 xml:space="preserve">Der Vers ist der Kern des Rechtssystems: Die </w:t>
      </w:r>
      <w:r w:rsidRPr="002B14D4">
        <w:rPr>
          <w:rFonts w:eastAsia="Times New Roman" w:cs="Times New Roman"/>
          <w:b/>
          <w:bCs/>
          <w:rtl/>
          <w:lang w:eastAsia="de-DE"/>
        </w:rPr>
        <w:t>עֵדָה</w:t>
      </w:r>
      <w:r w:rsidRPr="002B14D4">
        <w:rPr>
          <w:rFonts w:eastAsia="Times New Roman" w:cs="Times New Roman"/>
          <w:rtl/>
          <w:lang w:eastAsia="de-DE"/>
        </w:rPr>
        <w:t xml:space="preserve"> </w:t>
      </w:r>
      <w:r w:rsidRPr="002B14D4">
        <w:rPr>
          <w:rFonts w:eastAsia="Times New Roman" w:cs="Times New Roman"/>
          <w:lang w:eastAsia="de-DE"/>
        </w:rPr>
        <w:t xml:space="preserve">(Gemeinde) muss urteilen. Zwischen Täter und Bluträcher tritt das Gericht. Nach den soeben dargelegten Kriterien (V. 16-23) muss entschieden werden: vorsätzlicher Mord oder unbeabsichtigter Totschlag? Dies ist </w:t>
      </w:r>
      <w:r w:rsidRPr="002B14D4">
        <w:rPr>
          <w:rFonts w:eastAsia="Times New Roman" w:cs="Times New Roman"/>
          <w:lang w:eastAsia="de-DE"/>
        </w:rPr>
        <w:lastRenderedPageBreak/>
        <w:t>Rechtsstaatlichkeit - nicht private Rache, sondern öffentliches Gericht nach festen Rechtsnormen.</w:t>
      </w:r>
    </w:p>
    <w:p w14:paraId="117447E0" w14:textId="77777777" w:rsidR="002B14D4" w:rsidRPr="002B14D4" w:rsidRDefault="002B14D4" w:rsidP="002B14D4">
      <w:pPr>
        <w:spacing w:before="100" w:beforeAutospacing="1" w:after="100" w:afterAutospacing="1" w:line="240" w:lineRule="auto"/>
        <w:outlineLvl w:val="0"/>
        <w:rPr>
          <w:rFonts w:eastAsia="Times New Roman" w:cs="Times New Roman"/>
          <w:b/>
          <w:bCs/>
          <w:kern w:val="36"/>
          <w:sz w:val="48"/>
          <w:szCs w:val="48"/>
          <w:lang w:eastAsia="de-DE"/>
        </w:rPr>
      </w:pPr>
      <w:r w:rsidRPr="002B14D4">
        <w:rPr>
          <w:rFonts w:eastAsia="Times New Roman" w:cs="Times New Roman"/>
          <w:b/>
          <w:bCs/>
          <w:kern w:val="36"/>
          <w:sz w:val="48"/>
          <w:szCs w:val="48"/>
          <w:lang w:eastAsia="de-DE"/>
        </w:rPr>
        <w:t>Numeri 35,25</w:t>
      </w:r>
    </w:p>
    <w:p w14:paraId="34F60A15"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Hebräisch:</w:t>
      </w:r>
      <w:r w:rsidRPr="002B14D4">
        <w:rPr>
          <w:rFonts w:eastAsia="Times New Roman" w:cs="Times New Roman"/>
          <w:lang w:eastAsia="de-DE"/>
        </w:rPr>
        <w:t xml:space="preserve"> </w:t>
      </w:r>
      <w:r w:rsidRPr="002B14D4">
        <w:rPr>
          <w:rFonts w:eastAsia="Times New Roman" w:cs="Times New Roman"/>
          <w:rtl/>
          <w:lang w:eastAsia="de-DE"/>
        </w:rPr>
        <w:t>וְהִצִּ֨ילוּ הָעֵדָ֜ה אֶת־הָרֹצֵ֗חַ מִיַּד֮ גֹּאֵ֣ל הַדָּם֒ וְהֵשִׁ֤יבוּ אֹתוֹ֙ הָֽעֵדָ֔ה אֶל־עִ֥יר מִקְלָטֹ֖ו אֲשֶׁר־נָ֣ס שָׁ֑מָּה וְיָ֣שַׁב בָּ֗הּ עַד־מוֹת֙ הַכֹּהֵ֣ן הַגָּדֹ֔ל אֲשֶׁר־מָשַׁ֥ח אֹתוֹ֖ בְּשֶׁ֥מֶן הַקֹּֽדֶשׁ׃</w:t>
      </w:r>
    </w:p>
    <w:p w14:paraId="5DED99D3"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Deutsch:</w:t>
      </w:r>
      <w:r w:rsidRPr="002B14D4">
        <w:rPr>
          <w:rFonts w:eastAsia="Times New Roman" w:cs="Times New Roman"/>
          <w:lang w:eastAsia="de-DE"/>
        </w:rPr>
        <w:t xml:space="preserve"> Und die Gemeinde soll den Totschläger aus der Hand des Bluträchers erretten, und die Gemeinde soll ihn in seine Zufluchtsstadt zurückbringen, wohin er geflohen war; und er soll darin wohnen bis zum Tod des Hohepriesters, den man mit dem heiligen Öl gesalbt hat.</w:t>
      </w:r>
    </w:p>
    <w:p w14:paraId="7F331774" w14:textId="77777777" w:rsidR="002B14D4" w:rsidRPr="002B14D4" w:rsidRDefault="00F329DD" w:rsidP="002B14D4">
      <w:pPr>
        <w:spacing w:after="0" w:line="240" w:lineRule="auto"/>
        <w:rPr>
          <w:rFonts w:eastAsia="Times New Roman" w:cs="Times New Roman"/>
          <w:lang w:eastAsia="de-DE"/>
        </w:rPr>
      </w:pPr>
      <w:r>
        <w:rPr>
          <w:rFonts w:eastAsia="Times New Roman" w:cs="Times New Roman"/>
          <w:noProof/>
          <w:lang w:eastAsia="de-DE"/>
        </w:rPr>
        <w:pict w14:anchorId="1A50F11B">
          <v:rect id="_x0000_i2082" style="width:0;height:1.5pt" o:hralign="center" o:hrstd="t" o:hr="t" fillcolor="#a0a0a0" stroked="f"/>
        </w:pict>
      </w:r>
    </w:p>
    <w:p w14:paraId="6617BB3E" w14:textId="41340E4D"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lang w:eastAsia="de-DE"/>
        </w:rPr>
        <w:t>Kommentar:</w:t>
      </w:r>
      <w:r w:rsidRPr="002B14D4">
        <w:rPr>
          <w:rFonts w:eastAsia="Times New Roman" w:cs="Times New Roman"/>
          <w:lang w:eastAsia="de-DE"/>
        </w:rPr>
        <w:t xml:space="preserve"> Der Vers regelt das Urteil bei erwiesenem Totschlag. </w:t>
      </w:r>
      <w:r w:rsidRPr="002B14D4">
        <w:rPr>
          <w:rFonts w:eastAsia="Times New Roman" w:cs="Times New Roman"/>
          <w:b/>
          <w:bCs/>
          <w:rtl/>
          <w:lang w:eastAsia="de-DE"/>
        </w:rPr>
        <w:t>וְהִצִּילוּ הָעֵדָה אֶת־הָרֹצֵחַ מִיַּד גֹּאֵל הַדָּם</w:t>
      </w:r>
      <w:r w:rsidRPr="002B14D4">
        <w:rPr>
          <w:rFonts w:eastAsia="Times New Roman" w:cs="Times New Roman"/>
          <w:rtl/>
          <w:lang w:eastAsia="de-DE"/>
        </w:rPr>
        <w:t xml:space="preserve"> </w:t>
      </w:r>
      <w:r w:rsidRPr="002B14D4">
        <w:rPr>
          <w:rFonts w:eastAsia="Times New Roman" w:cs="Times New Roman"/>
          <w:lang w:eastAsia="de-DE"/>
        </w:rPr>
        <w:t xml:space="preserve">ist die erste Pflicht. </w:t>
      </w:r>
      <w:r w:rsidRPr="002B14D4">
        <w:rPr>
          <w:rFonts w:eastAsia="Times New Roman" w:cs="Times New Roman"/>
          <w:b/>
          <w:bCs/>
          <w:rtl/>
          <w:lang w:eastAsia="de-DE"/>
        </w:rPr>
        <w:t>וְהִצִּילוּ</w:t>
      </w:r>
      <w:r w:rsidRPr="002B14D4">
        <w:rPr>
          <w:rFonts w:eastAsia="Times New Roman" w:cs="Times New Roman"/>
          <w:rtl/>
          <w:lang w:eastAsia="de-DE"/>
        </w:rPr>
        <w:t xml:space="preserve"> </w:t>
      </w:r>
      <w:r w:rsidRPr="002B14D4">
        <w:rPr>
          <w:rFonts w:eastAsia="Times New Roman" w:cs="Times New Roman"/>
          <w:lang w:eastAsia="de-DE"/>
        </w:rPr>
        <w:t xml:space="preserve">(Hiphil Perfekt 3. Person Plural mit Waw consecutivum von </w:t>
      </w:r>
      <w:r w:rsidRPr="002B14D4">
        <w:rPr>
          <w:rFonts w:eastAsia="Times New Roman" w:cs="Times New Roman"/>
          <w:b/>
          <w:bCs/>
          <w:rtl/>
          <w:lang w:eastAsia="de-DE"/>
        </w:rPr>
        <w:t>נצל</w:t>
      </w:r>
      <w:r w:rsidRPr="002B14D4">
        <w:rPr>
          <w:rFonts w:eastAsia="Times New Roman" w:cs="Times New Roman"/>
          <w:rtl/>
          <w:lang w:eastAsia="de-DE"/>
        </w:rPr>
        <w:t xml:space="preserve"> </w:t>
      </w:r>
      <w:r w:rsidRPr="002B14D4">
        <w:rPr>
          <w:rFonts w:eastAsia="Times New Roman" w:cs="Times New Roman"/>
          <w:lang w:eastAsia="de-DE"/>
        </w:rPr>
        <w:t xml:space="preserve">„retten, erretten"), </w:t>
      </w:r>
      <w:r w:rsidRPr="002B14D4">
        <w:rPr>
          <w:rFonts w:eastAsia="Times New Roman" w:cs="Times New Roman"/>
          <w:b/>
          <w:bCs/>
          <w:rtl/>
          <w:lang w:eastAsia="de-DE"/>
        </w:rPr>
        <w:t>הָעֵדָה</w:t>
      </w:r>
      <w:r w:rsidRPr="002B14D4">
        <w:rPr>
          <w:rFonts w:eastAsia="Times New Roman" w:cs="Times New Roman"/>
          <w:rtl/>
          <w:lang w:eastAsia="de-DE"/>
        </w:rPr>
        <w:t xml:space="preserve"> </w:t>
      </w:r>
      <w:r w:rsidRPr="002B14D4">
        <w:rPr>
          <w:rFonts w:eastAsia="Times New Roman" w:cs="Times New Roman"/>
          <w:lang w:eastAsia="de-DE"/>
        </w:rPr>
        <w:t xml:space="preserve">(Subjekt), </w:t>
      </w:r>
      <w:r w:rsidRPr="002B14D4">
        <w:rPr>
          <w:rFonts w:eastAsia="Times New Roman" w:cs="Times New Roman"/>
          <w:b/>
          <w:bCs/>
          <w:rtl/>
          <w:lang w:eastAsia="de-DE"/>
        </w:rPr>
        <w:t>אֶת־הָרֹצֵחַ</w:t>
      </w:r>
      <w:r w:rsidRPr="002B14D4">
        <w:rPr>
          <w:rFonts w:eastAsia="Times New Roman" w:cs="Times New Roman"/>
          <w:rtl/>
          <w:lang w:eastAsia="de-DE"/>
        </w:rPr>
        <w:t xml:space="preserve"> </w:t>
      </w:r>
      <w:r w:rsidRPr="002B14D4">
        <w:rPr>
          <w:rFonts w:eastAsia="Times New Roman" w:cs="Times New Roman"/>
          <w:lang w:eastAsia="de-DE"/>
        </w:rPr>
        <w:t xml:space="preserve">(Akkusativ „den Totschläger"), </w:t>
      </w:r>
      <w:r w:rsidRPr="002B14D4">
        <w:rPr>
          <w:rFonts w:eastAsia="Times New Roman" w:cs="Times New Roman"/>
          <w:b/>
          <w:bCs/>
          <w:rtl/>
          <w:lang w:eastAsia="de-DE"/>
        </w:rPr>
        <w:t>מִיַּד גֹּאֵל הַדָּם</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מִן</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יָד</w:t>
      </w:r>
      <w:r w:rsidRPr="002B14D4">
        <w:rPr>
          <w:rFonts w:eastAsia="Times New Roman" w:cs="Times New Roman"/>
          <w:rtl/>
          <w:lang w:eastAsia="de-DE"/>
        </w:rPr>
        <w:t xml:space="preserve"> </w:t>
      </w:r>
      <w:r w:rsidRPr="002B14D4">
        <w:rPr>
          <w:rFonts w:eastAsia="Times New Roman" w:cs="Times New Roman"/>
          <w:lang w:eastAsia="de-DE"/>
        </w:rPr>
        <w:t xml:space="preserve">„Hand" im </w:t>
      </w:r>
      <w:r w:rsidR="00E031B3">
        <w:rPr>
          <w:rFonts w:eastAsia="Times New Roman" w:cs="Times New Roman"/>
          <w:lang w:eastAsia="de-DE"/>
        </w:rPr>
        <w:t>Constructus und</w:t>
      </w:r>
      <w:r w:rsidRPr="002B14D4">
        <w:rPr>
          <w:rFonts w:eastAsia="Times New Roman" w:cs="Times New Roman"/>
          <w:lang w:eastAsia="de-DE"/>
        </w:rPr>
        <w:t xml:space="preserve"> </w:t>
      </w:r>
      <w:r w:rsidRPr="002B14D4">
        <w:rPr>
          <w:rFonts w:eastAsia="Times New Roman" w:cs="Times New Roman"/>
          <w:b/>
          <w:bCs/>
          <w:rtl/>
          <w:lang w:eastAsia="de-DE"/>
        </w:rPr>
        <w:t>גֹּאֵל הַדָּם</w:t>
      </w:r>
      <w:r w:rsidRPr="002B14D4">
        <w:rPr>
          <w:rFonts w:eastAsia="Times New Roman" w:cs="Times New Roman"/>
          <w:rtl/>
          <w:lang w:eastAsia="de-DE"/>
        </w:rPr>
        <w:t xml:space="preserve"> </w:t>
      </w:r>
      <w:r w:rsidRPr="002B14D4">
        <w:rPr>
          <w:rFonts w:eastAsia="Times New Roman" w:cs="Times New Roman"/>
          <w:lang w:eastAsia="de-DE"/>
        </w:rPr>
        <w:t xml:space="preserve">„aus der Hand des Bluträchers"). </w:t>
      </w:r>
      <w:r w:rsidRPr="002B14D4">
        <w:rPr>
          <w:rFonts w:eastAsia="Times New Roman" w:cs="Times New Roman"/>
          <w:b/>
          <w:bCs/>
          <w:rtl/>
          <w:lang w:eastAsia="de-DE"/>
        </w:rPr>
        <w:t>וְהֵשִׁיבוּ אֹתוֹ הָעֵדָה אֶל־עִיר מִקְלָטוֹ אֲשֶׁר־נָס שָׁמָּה</w:t>
      </w:r>
      <w:r w:rsidRPr="002B14D4">
        <w:rPr>
          <w:rFonts w:eastAsia="Times New Roman" w:cs="Times New Roman"/>
          <w:rtl/>
          <w:lang w:eastAsia="de-DE"/>
        </w:rPr>
        <w:t xml:space="preserve"> </w:t>
      </w:r>
      <w:r w:rsidRPr="002B14D4">
        <w:rPr>
          <w:rFonts w:eastAsia="Times New Roman" w:cs="Times New Roman"/>
          <w:lang w:eastAsia="de-DE"/>
        </w:rPr>
        <w:t xml:space="preserve">ist die zweite Pflicht. </w:t>
      </w:r>
      <w:r w:rsidRPr="002B14D4">
        <w:rPr>
          <w:rFonts w:eastAsia="Times New Roman" w:cs="Times New Roman"/>
          <w:b/>
          <w:bCs/>
          <w:rtl/>
          <w:lang w:eastAsia="de-DE"/>
        </w:rPr>
        <w:t>וְהֵשִׁיבוּ</w:t>
      </w:r>
      <w:r w:rsidRPr="002B14D4">
        <w:rPr>
          <w:rFonts w:eastAsia="Times New Roman" w:cs="Times New Roman"/>
          <w:rtl/>
          <w:lang w:eastAsia="de-DE"/>
        </w:rPr>
        <w:t xml:space="preserve"> </w:t>
      </w:r>
      <w:r w:rsidRPr="002B14D4">
        <w:rPr>
          <w:rFonts w:eastAsia="Times New Roman" w:cs="Times New Roman"/>
          <w:lang w:eastAsia="de-DE"/>
        </w:rPr>
        <w:t xml:space="preserve">(Hiphil Perfekt mit Waw consecutivum von </w:t>
      </w:r>
      <w:r w:rsidRPr="002B14D4">
        <w:rPr>
          <w:rFonts w:eastAsia="Times New Roman" w:cs="Times New Roman"/>
          <w:b/>
          <w:bCs/>
          <w:rtl/>
          <w:lang w:eastAsia="de-DE"/>
        </w:rPr>
        <w:t>שׁוב</w:t>
      </w:r>
      <w:r w:rsidRPr="002B14D4">
        <w:rPr>
          <w:rFonts w:eastAsia="Times New Roman" w:cs="Times New Roman"/>
          <w:rtl/>
          <w:lang w:eastAsia="de-DE"/>
        </w:rPr>
        <w:t xml:space="preserve"> </w:t>
      </w:r>
      <w:r w:rsidRPr="002B14D4">
        <w:rPr>
          <w:rFonts w:eastAsia="Times New Roman" w:cs="Times New Roman"/>
          <w:lang w:eastAsia="de-DE"/>
        </w:rPr>
        <w:t xml:space="preserve">„zurückbringen"), </w:t>
      </w:r>
      <w:r w:rsidRPr="002B14D4">
        <w:rPr>
          <w:rFonts w:eastAsia="Times New Roman" w:cs="Times New Roman"/>
          <w:b/>
          <w:bCs/>
          <w:rtl/>
          <w:lang w:eastAsia="de-DE"/>
        </w:rPr>
        <w:t>אֹתוֹ</w:t>
      </w:r>
      <w:r w:rsidRPr="002B14D4">
        <w:rPr>
          <w:rFonts w:eastAsia="Times New Roman" w:cs="Times New Roman"/>
          <w:rtl/>
          <w:lang w:eastAsia="de-DE"/>
        </w:rPr>
        <w:t xml:space="preserve"> </w:t>
      </w:r>
      <w:r w:rsidRPr="002B14D4">
        <w:rPr>
          <w:rFonts w:eastAsia="Times New Roman" w:cs="Times New Roman"/>
          <w:lang w:eastAsia="de-DE"/>
        </w:rPr>
        <w:t xml:space="preserve">(Akkusativpartikel mit Suffix), </w:t>
      </w:r>
      <w:r w:rsidRPr="002B14D4">
        <w:rPr>
          <w:rFonts w:eastAsia="Times New Roman" w:cs="Times New Roman"/>
          <w:b/>
          <w:bCs/>
          <w:rtl/>
          <w:lang w:eastAsia="de-DE"/>
        </w:rPr>
        <w:t>אֶל־עִיר מִקְלָטוֹ</w:t>
      </w:r>
      <w:r w:rsidRPr="002B14D4">
        <w:rPr>
          <w:rFonts w:eastAsia="Times New Roman" w:cs="Times New Roman"/>
          <w:rtl/>
          <w:lang w:eastAsia="de-DE"/>
        </w:rPr>
        <w:t xml:space="preserve"> </w:t>
      </w:r>
      <w:r w:rsidRPr="002B14D4">
        <w:rPr>
          <w:rFonts w:eastAsia="Times New Roman" w:cs="Times New Roman"/>
          <w:lang w:eastAsia="de-DE"/>
        </w:rPr>
        <w:t xml:space="preserve">(„in seine Zufluchtsstadt" - mit Suffix: die Stadt, in die er geflohen war), </w:t>
      </w:r>
      <w:r w:rsidRPr="002B14D4">
        <w:rPr>
          <w:rFonts w:eastAsia="Times New Roman" w:cs="Times New Roman"/>
          <w:b/>
          <w:bCs/>
          <w:rtl/>
          <w:lang w:eastAsia="de-DE"/>
        </w:rPr>
        <w:t>אֲשֶׁר־נָס שָׁמָּה</w:t>
      </w:r>
      <w:r w:rsidRPr="002B14D4">
        <w:rPr>
          <w:rFonts w:eastAsia="Times New Roman" w:cs="Times New Roman"/>
          <w:rtl/>
          <w:lang w:eastAsia="de-DE"/>
        </w:rPr>
        <w:t xml:space="preserve"> </w:t>
      </w:r>
      <w:r w:rsidRPr="002B14D4">
        <w:rPr>
          <w:rFonts w:eastAsia="Times New Roman" w:cs="Times New Roman"/>
          <w:lang w:eastAsia="de-DE"/>
        </w:rPr>
        <w:t xml:space="preserve">(Relativsatz: Qal Perfekt von </w:t>
      </w:r>
      <w:r w:rsidRPr="002B14D4">
        <w:rPr>
          <w:rFonts w:eastAsia="Times New Roman" w:cs="Times New Roman"/>
          <w:b/>
          <w:bCs/>
          <w:rtl/>
          <w:lang w:eastAsia="de-DE"/>
        </w:rPr>
        <w:t>נוס</w:t>
      </w:r>
      <w:r w:rsidRPr="002B14D4">
        <w:rPr>
          <w:rFonts w:eastAsia="Times New Roman" w:cs="Times New Roman"/>
          <w:rtl/>
          <w:lang w:eastAsia="de-DE"/>
        </w:rPr>
        <w:t xml:space="preserve"> </w:t>
      </w:r>
      <w:r w:rsidRPr="002B14D4">
        <w:rPr>
          <w:rFonts w:eastAsia="Times New Roman" w:cs="Times New Roman"/>
          <w:lang w:eastAsia="de-DE"/>
        </w:rPr>
        <w:t>„fliehen" „wohin er geflohen war").</w:t>
      </w:r>
    </w:p>
    <w:p w14:paraId="37772E56" w14:textId="19FFC79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b/>
          <w:bCs/>
          <w:rtl/>
          <w:lang w:eastAsia="de-DE"/>
        </w:rPr>
        <w:t>וְיָשַׁב בָּהּ עַד־מוֹת הַכֹּהֵן הַגָּדֹל אֲשֶׁר־מָשַׁח אֹתוֹ בְּשֶׁמֶן הַקֹּדֶשׁ</w:t>
      </w:r>
      <w:r w:rsidRPr="002B14D4">
        <w:rPr>
          <w:rFonts w:eastAsia="Times New Roman" w:cs="Times New Roman"/>
          <w:rtl/>
          <w:lang w:eastAsia="de-DE"/>
        </w:rPr>
        <w:t xml:space="preserve"> </w:t>
      </w:r>
      <w:r w:rsidRPr="002B14D4">
        <w:rPr>
          <w:rFonts w:eastAsia="Times New Roman" w:cs="Times New Roman"/>
          <w:lang w:eastAsia="de-DE"/>
        </w:rPr>
        <w:t xml:space="preserve">gibt die Dauer an. </w:t>
      </w:r>
      <w:r w:rsidRPr="002B14D4">
        <w:rPr>
          <w:rFonts w:eastAsia="Times New Roman" w:cs="Times New Roman"/>
          <w:b/>
          <w:bCs/>
          <w:rtl/>
          <w:lang w:eastAsia="de-DE"/>
        </w:rPr>
        <w:t>וְיָשַׁב בָּהּ</w:t>
      </w:r>
      <w:r w:rsidRPr="002B14D4">
        <w:rPr>
          <w:rFonts w:eastAsia="Times New Roman" w:cs="Times New Roman"/>
          <w:rtl/>
          <w:lang w:eastAsia="de-DE"/>
        </w:rPr>
        <w:t xml:space="preserve"> </w:t>
      </w:r>
      <w:r w:rsidRPr="002B14D4">
        <w:rPr>
          <w:rFonts w:eastAsia="Times New Roman" w:cs="Times New Roman"/>
          <w:lang w:eastAsia="de-DE"/>
        </w:rPr>
        <w:t xml:space="preserve">(Qal Perfekt mit Waw consecutivum von </w:t>
      </w:r>
      <w:r w:rsidRPr="002B14D4">
        <w:rPr>
          <w:rFonts w:eastAsia="Times New Roman" w:cs="Times New Roman"/>
          <w:b/>
          <w:bCs/>
          <w:rtl/>
          <w:lang w:eastAsia="de-DE"/>
        </w:rPr>
        <w:t>ישׁב</w:t>
      </w:r>
      <w:r w:rsidRPr="002B14D4">
        <w:rPr>
          <w:rFonts w:eastAsia="Times New Roman" w:cs="Times New Roman"/>
          <w:rtl/>
          <w:lang w:eastAsia="de-DE"/>
        </w:rPr>
        <w:t xml:space="preserve"> </w:t>
      </w:r>
      <w:r w:rsidRPr="002B14D4">
        <w:rPr>
          <w:rFonts w:eastAsia="Times New Roman" w:cs="Times New Roman"/>
          <w:lang w:eastAsia="de-DE"/>
        </w:rPr>
        <w:t xml:space="preserve">„wohnen" mit Präposition und Suffix „und er soll darin wohnen"), </w:t>
      </w:r>
      <w:r w:rsidRPr="002B14D4">
        <w:rPr>
          <w:rFonts w:eastAsia="Times New Roman" w:cs="Times New Roman"/>
          <w:b/>
          <w:bCs/>
          <w:rtl/>
          <w:lang w:eastAsia="de-DE"/>
        </w:rPr>
        <w:t>עַד־מוֹת הַכֹּהֵן הַגָּדֹל</w:t>
      </w:r>
      <w:r w:rsidRPr="002B14D4">
        <w:rPr>
          <w:rFonts w:eastAsia="Times New Roman" w:cs="Times New Roman"/>
          <w:rtl/>
          <w:lang w:eastAsia="de-DE"/>
        </w:rPr>
        <w:t xml:space="preserve"> </w:t>
      </w:r>
      <w:r w:rsidRPr="002B14D4">
        <w:rPr>
          <w:rFonts w:eastAsia="Times New Roman" w:cs="Times New Roman"/>
          <w:lang w:eastAsia="de-DE"/>
        </w:rPr>
        <w:t xml:space="preserve">(Präposition </w:t>
      </w:r>
      <w:r w:rsidRPr="002B14D4">
        <w:rPr>
          <w:rFonts w:eastAsia="Times New Roman" w:cs="Times New Roman"/>
          <w:b/>
          <w:bCs/>
          <w:rtl/>
          <w:lang w:eastAsia="de-DE"/>
        </w:rPr>
        <w:t>עַד</w:t>
      </w:r>
      <w:r w:rsidRPr="002B14D4">
        <w:rPr>
          <w:rFonts w:eastAsia="Times New Roman" w:cs="Times New Roman"/>
          <w:rtl/>
          <w:lang w:eastAsia="de-DE"/>
        </w:rPr>
        <w:t xml:space="preserve"> </w:t>
      </w:r>
      <w:r w:rsidRPr="002B14D4">
        <w:rPr>
          <w:rFonts w:eastAsia="Times New Roman" w:cs="Times New Roman"/>
          <w:lang w:eastAsia="de-DE"/>
        </w:rPr>
        <w:t xml:space="preserve">„bis" mit Qal Infinitiv </w:t>
      </w:r>
      <w:r w:rsidR="00E031B3">
        <w:rPr>
          <w:rFonts w:eastAsia="Times New Roman" w:cs="Times New Roman"/>
          <w:lang w:eastAsia="de-DE"/>
        </w:rPr>
        <w:t>Constructus von</w:t>
      </w:r>
      <w:r w:rsidRPr="002B14D4">
        <w:rPr>
          <w:rFonts w:eastAsia="Times New Roman" w:cs="Times New Roman"/>
          <w:lang w:eastAsia="de-DE"/>
        </w:rPr>
        <w:t xml:space="preserve"> </w:t>
      </w:r>
      <w:r w:rsidRPr="002B14D4">
        <w:rPr>
          <w:rFonts w:eastAsia="Times New Roman" w:cs="Times New Roman"/>
          <w:b/>
          <w:bCs/>
          <w:rtl/>
          <w:lang w:eastAsia="de-DE"/>
        </w:rPr>
        <w:t>מות</w:t>
      </w:r>
      <w:r w:rsidRPr="002B14D4">
        <w:rPr>
          <w:rFonts w:eastAsia="Times New Roman" w:cs="Times New Roman"/>
          <w:rtl/>
          <w:lang w:eastAsia="de-DE"/>
        </w:rPr>
        <w:t xml:space="preserve"> </w:t>
      </w:r>
      <w:r w:rsidRPr="002B14D4">
        <w:rPr>
          <w:rFonts w:eastAsia="Times New Roman" w:cs="Times New Roman"/>
          <w:lang w:eastAsia="de-DE"/>
        </w:rPr>
        <w:t xml:space="preserve">„sterben" und </w:t>
      </w:r>
      <w:r w:rsidRPr="002B14D4">
        <w:rPr>
          <w:rFonts w:eastAsia="Times New Roman" w:cs="Times New Roman"/>
          <w:b/>
          <w:bCs/>
          <w:rtl/>
          <w:lang w:eastAsia="de-DE"/>
        </w:rPr>
        <w:t>כֹּהֵן גָּדוֹל</w:t>
      </w:r>
      <w:r w:rsidRPr="002B14D4">
        <w:rPr>
          <w:rFonts w:eastAsia="Times New Roman" w:cs="Times New Roman"/>
          <w:rtl/>
          <w:lang w:eastAsia="de-DE"/>
        </w:rPr>
        <w:t xml:space="preserve"> </w:t>
      </w:r>
      <w:r w:rsidRPr="002B14D4">
        <w:rPr>
          <w:rFonts w:eastAsia="Times New Roman" w:cs="Times New Roman"/>
          <w:lang w:eastAsia="de-DE"/>
        </w:rPr>
        <w:t xml:space="preserve">„Hohepriester" mit Artikel „bis zum Tod des Hohepriesters"), </w:t>
      </w:r>
      <w:r w:rsidRPr="002B14D4">
        <w:rPr>
          <w:rFonts w:eastAsia="Times New Roman" w:cs="Times New Roman"/>
          <w:b/>
          <w:bCs/>
          <w:rtl/>
          <w:lang w:eastAsia="de-DE"/>
        </w:rPr>
        <w:t>אֲשֶׁר־מָשַׁח אֹתוֹ בְּשֶׁמֶן הַקֹּדֶשׁ</w:t>
      </w:r>
      <w:r w:rsidRPr="002B14D4">
        <w:rPr>
          <w:rFonts w:eastAsia="Times New Roman" w:cs="Times New Roman"/>
          <w:rtl/>
          <w:lang w:eastAsia="de-DE"/>
        </w:rPr>
        <w:t xml:space="preserve"> </w:t>
      </w:r>
      <w:r w:rsidRPr="002B14D4">
        <w:rPr>
          <w:rFonts w:eastAsia="Times New Roman" w:cs="Times New Roman"/>
          <w:lang w:eastAsia="de-DE"/>
        </w:rPr>
        <w:t xml:space="preserve">(Relativsatz: Qal Perfekt von </w:t>
      </w:r>
      <w:r w:rsidRPr="002B14D4">
        <w:rPr>
          <w:rFonts w:eastAsia="Times New Roman" w:cs="Times New Roman"/>
          <w:b/>
          <w:bCs/>
          <w:rtl/>
          <w:lang w:eastAsia="de-DE"/>
        </w:rPr>
        <w:t>משׁח</w:t>
      </w:r>
      <w:r w:rsidRPr="002B14D4">
        <w:rPr>
          <w:rFonts w:eastAsia="Times New Roman" w:cs="Times New Roman"/>
          <w:rtl/>
          <w:lang w:eastAsia="de-DE"/>
        </w:rPr>
        <w:t xml:space="preserve"> </w:t>
      </w:r>
      <w:r w:rsidRPr="002B14D4">
        <w:rPr>
          <w:rFonts w:eastAsia="Times New Roman" w:cs="Times New Roman"/>
          <w:lang w:eastAsia="de-DE"/>
        </w:rPr>
        <w:t xml:space="preserve">„salben" mit Akkusativpartikel und Suffix und Präposition </w:t>
      </w:r>
      <w:r w:rsidRPr="002B14D4">
        <w:rPr>
          <w:rFonts w:eastAsia="Times New Roman" w:cs="Times New Roman"/>
          <w:b/>
          <w:bCs/>
          <w:rtl/>
          <w:lang w:eastAsia="de-DE"/>
        </w:rPr>
        <w:t>בְ</w:t>
      </w:r>
      <w:r w:rsidRPr="002B14D4">
        <w:rPr>
          <w:rFonts w:eastAsia="Times New Roman" w:cs="Times New Roman"/>
          <w:rtl/>
          <w:lang w:eastAsia="de-DE"/>
        </w:rPr>
        <w:t xml:space="preserve"> </w:t>
      </w:r>
      <w:r w:rsidRPr="002B14D4">
        <w:rPr>
          <w:rFonts w:eastAsia="Times New Roman" w:cs="Times New Roman"/>
          <w:lang w:eastAsia="de-DE"/>
        </w:rPr>
        <w:t xml:space="preserve">mit </w:t>
      </w:r>
      <w:r w:rsidRPr="002B14D4">
        <w:rPr>
          <w:rFonts w:eastAsia="Times New Roman" w:cs="Times New Roman"/>
          <w:b/>
          <w:bCs/>
          <w:rtl/>
          <w:lang w:eastAsia="de-DE"/>
        </w:rPr>
        <w:t>שֶׁמֶן הַקֹּדֶשׁ</w:t>
      </w:r>
      <w:r w:rsidRPr="002B14D4">
        <w:rPr>
          <w:rFonts w:eastAsia="Times New Roman" w:cs="Times New Roman"/>
          <w:rtl/>
          <w:lang w:eastAsia="de-DE"/>
        </w:rPr>
        <w:t xml:space="preserve"> </w:t>
      </w:r>
      <w:r w:rsidRPr="002B14D4">
        <w:rPr>
          <w:rFonts w:eastAsia="Times New Roman" w:cs="Times New Roman"/>
          <w:lang w:eastAsia="de-DE"/>
        </w:rPr>
        <w:t>„heiliges Öl" „den man mit dem heiligen Öl gesalbt hat").</w:t>
      </w:r>
    </w:p>
    <w:p w14:paraId="22065289"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Die Satzstruktur zeigt drei koordinierte Aussagen: Rettung, Rückbringung, Wohndauer.</w:t>
      </w:r>
    </w:p>
    <w:p w14:paraId="67990D7C" w14:textId="77777777" w:rsidR="002B14D4" w:rsidRPr="002B14D4" w:rsidRDefault="002B14D4" w:rsidP="002B14D4">
      <w:pPr>
        <w:spacing w:before="100" w:beforeAutospacing="1" w:after="100" w:afterAutospacing="1" w:line="240" w:lineRule="auto"/>
        <w:rPr>
          <w:rFonts w:eastAsia="Times New Roman" w:cs="Times New Roman"/>
          <w:lang w:eastAsia="de-DE"/>
        </w:rPr>
      </w:pPr>
      <w:r w:rsidRPr="002B14D4">
        <w:rPr>
          <w:rFonts w:eastAsia="Times New Roman" w:cs="Times New Roman"/>
          <w:lang w:eastAsia="de-DE"/>
        </w:rPr>
        <w:t>Der Vers enthält das Urteil bei Totschlag: Die Gemeinde schützt den Totschläger vor dem Bluträcher und bringt ihn in die Zufluchtsstadt zurück. Dort muss er bis zum Tod des amtierenden Hohepriesters bleiben. Dies ist keine Todesstrafe, aber auch keine völlige Freisprechung - es ist ein Mittelweg: Asyl, aber mit Ortsbindung. Der Tod des Hohepriesters markiert einen Neuanfang, eine Art kollektive Sühne oder Epochenwechsel, nach dem der Totschläger heimkehren darf. Die Bindung an den Tod des Hohepriesters (nicht eine feste Jahreszahl) betont die sakrale Dimension - dies ist nicht nur rechtliche, sondern auch religiöse Regelung.</w:t>
      </w:r>
    </w:p>
    <w:p w14:paraId="2C00C3E6" w14:textId="77777777" w:rsidR="009A7693" w:rsidRPr="009A7693" w:rsidRDefault="009A7693" w:rsidP="009A7693">
      <w:pPr>
        <w:spacing w:before="100" w:beforeAutospacing="1" w:after="100" w:afterAutospacing="1" w:line="240" w:lineRule="auto"/>
        <w:outlineLvl w:val="0"/>
        <w:rPr>
          <w:rFonts w:eastAsia="Times New Roman" w:cs="Times New Roman"/>
          <w:b/>
          <w:bCs/>
          <w:kern w:val="36"/>
          <w:sz w:val="48"/>
          <w:szCs w:val="48"/>
          <w:lang w:eastAsia="de-DE"/>
        </w:rPr>
      </w:pPr>
      <w:r w:rsidRPr="009A7693">
        <w:rPr>
          <w:rFonts w:eastAsia="Times New Roman" w:cs="Times New Roman"/>
          <w:b/>
          <w:bCs/>
          <w:kern w:val="36"/>
          <w:sz w:val="48"/>
          <w:szCs w:val="48"/>
          <w:lang w:eastAsia="de-DE"/>
        </w:rPr>
        <w:t>Numeri 35,26</w:t>
      </w:r>
    </w:p>
    <w:p w14:paraId="34681CB5"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Hebräisch:</w:t>
      </w:r>
      <w:r w:rsidRPr="009A7693">
        <w:rPr>
          <w:rFonts w:eastAsia="Times New Roman" w:cs="Times New Roman"/>
          <w:lang w:eastAsia="de-DE"/>
        </w:rPr>
        <w:t xml:space="preserve"> </w:t>
      </w:r>
      <w:r w:rsidRPr="009A7693">
        <w:rPr>
          <w:rFonts w:eastAsia="Times New Roman" w:cs="Times New Roman"/>
          <w:rtl/>
          <w:lang w:eastAsia="de-DE"/>
        </w:rPr>
        <w:t>וְאִם־יָצֹ֥א יֵצֵ֖א הָרֹצֵ֑חַ אֶת־גְּבוּל֙ עִ֣יר מִקְלָטֹ֔ו אֲשֶׁ֥ר יָנ֖וּס שָֽׁמָּה׃</w:t>
      </w:r>
    </w:p>
    <w:p w14:paraId="1922108A"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Deutsch:</w:t>
      </w:r>
      <w:r w:rsidRPr="009A7693">
        <w:rPr>
          <w:rFonts w:eastAsia="Times New Roman" w:cs="Times New Roman"/>
          <w:lang w:eastAsia="de-DE"/>
        </w:rPr>
        <w:t xml:space="preserve"> Wenn aber der Totschläger irgendwie über die Grenze seiner Zufluchtsstadt, wohin er geflohen ist, hinausgeht,</w:t>
      </w:r>
    </w:p>
    <w:p w14:paraId="4AE14E3B"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lastRenderedPageBreak/>
        <w:pict w14:anchorId="38516BC2">
          <v:rect id="_x0000_i2083" style="width:0;height:1.5pt" o:hralign="center" o:hrstd="t" o:hr="t" fillcolor="#a0a0a0" stroked="f"/>
        </w:pict>
      </w:r>
    </w:p>
    <w:p w14:paraId="40830DF1" w14:textId="54B51E8F"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Kommentar:</w:t>
      </w:r>
      <w:r w:rsidRPr="009A7693">
        <w:rPr>
          <w:rFonts w:eastAsia="Times New Roman" w:cs="Times New Roman"/>
          <w:lang w:eastAsia="de-DE"/>
        </w:rPr>
        <w:t xml:space="preserve"> Der Vers führt eine neue Bedingung ein - das Verlassen der Zufluchtsstadt. </w:t>
      </w:r>
      <w:r w:rsidRPr="009A7693">
        <w:rPr>
          <w:rFonts w:eastAsia="Times New Roman" w:cs="Times New Roman"/>
          <w:b/>
          <w:bCs/>
          <w:rtl/>
          <w:lang w:eastAsia="de-DE"/>
        </w:rPr>
        <w:t>וְאִם־יָצֹא יֵצֵא הָרֹצֵחַ אֶת־גְּבוּל עִיר מִקְלָטוֹ</w:t>
      </w:r>
      <w:r w:rsidRPr="009A7693">
        <w:rPr>
          <w:rFonts w:eastAsia="Times New Roman" w:cs="Times New Roman"/>
          <w:rtl/>
          <w:lang w:eastAsia="de-DE"/>
        </w:rPr>
        <w:t xml:space="preserve"> </w:t>
      </w:r>
      <w:r w:rsidRPr="009A7693">
        <w:rPr>
          <w:rFonts w:eastAsia="Times New Roman" w:cs="Times New Roman"/>
          <w:lang w:eastAsia="de-DE"/>
        </w:rPr>
        <w:t xml:space="preserve">ist die Bedingung. </w:t>
      </w:r>
      <w:r w:rsidRPr="009A7693">
        <w:rPr>
          <w:rFonts w:eastAsia="Times New Roman" w:cs="Times New Roman"/>
          <w:b/>
          <w:bCs/>
          <w:rtl/>
          <w:lang w:eastAsia="de-DE"/>
        </w:rPr>
        <w:t>וְאִם</w:t>
      </w:r>
      <w:r w:rsidRPr="009A7693">
        <w:rPr>
          <w:rFonts w:eastAsia="Times New Roman" w:cs="Times New Roman"/>
          <w:rtl/>
          <w:lang w:eastAsia="de-DE"/>
        </w:rPr>
        <w:t xml:space="preserve"> </w:t>
      </w:r>
      <w:r w:rsidRPr="009A7693">
        <w:rPr>
          <w:rFonts w:eastAsia="Times New Roman" w:cs="Times New Roman"/>
          <w:lang w:eastAsia="de-DE"/>
        </w:rPr>
        <w:t xml:space="preserve">(konditionale Konjunktion „wenn aber"), </w:t>
      </w:r>
      <w:r w:rsidRPr="009A7693">
        <w:rPr>
          <w:rFonts w:eastAsia="Times New Roman" w:cs="Times New Roman"/>
          <w:b/>
          <w:bCs/>
          <w:rtl/>
          <w:lang w:eastAsia="de-DE"/>
        </w:rPr>
        <w:t>יָצֹא יֵצֵא</w:t>
      </w:r>
      <w:r w:rsidRPr="009A7693">
        <w:rPr>
          <w:rFonts w:eastAsia="Times New Roman" w:cs="Times New Roman"/>
          <w:rtl/>
          <w:lang w:eastAsia="de-DE"/>
        </w:rPr>
        <w:t xml:space="preserve"> </w:t>
      </w:r>
      <w:r w:rsidRPr="009A7693">
        <w:rPr>
          <w:rFonts w:eastAsia="Times New Roman" w:cs="Times New Roman"/>
          <w:lang w:eastAsia="de-DE"/>
        </w:rPr>
        <w:t xml:space="preserve">(Qal Infinitiv Absolutus mit Qal Imperfekt 3. Person maskulin Singular von </w:t>
      </w:r>
      <w:r w:rsidRPr="009A7693">
        <w:rPr>
          <w:rFonts w:eastAsia="Times New Roman" w:cs="Times New Roman"/>
          <w:b/>
          <w:bCs/>
          <w:rtl/>
          <w:lang w:eastAsia="de-DE"/>
        </w:rPr>
        <w:t>יצא</w:t>
      </w:r>
      <w:r w:rsidRPr="009A7693">
        <w:rPr>
          <w:rFonts w:eastAsia="Times New Roman" w:cs="Times New Roman"/>
          <w:rtl/>
          <w:lang w:eastAsia="de-DE"/>
        </w:rPr>
        <w:t xml:space="preserve"> </w:t>
      </w:r>
      <w:r w:rsidRPr="009A7693">
        <w:rPr>
          <w:rFonts w:eastAsia="Times New Roman" w:cs="Times New Roman"/>
          <w:lang w:eastAsia="de-DE"/>
        </w:rPr>
        <w:t xml:space="preserve">„hinausgehen" - die Doppelung betont die Tatsächlichkeit: „wenn er wirklich hinausgeht, irgendwie hinausgeht"), </w:t>
      </w:r>
      <w:r w:rsidRPr="009A7693">
        <w:rPr>
          <w:rFonts w:eastAsia="Times New Roman" w:cs="Times New Roman"/>
          <w:b/>
          <w:bCs/>
          <w:rtl/>
          <w:lang w:eastAsia="de-DE"/>
        </w:rPr>
        <w:t>הָרֹצֵחַ</w:t>
      </w:r>
      <w:r w:rsidRPr="009A7693">
        <w:rPr>
          <w:rFonts w:eastAsia="Times New Roman" w:cs="Times New Roman"/>
          <w:rtl/>
          <w:lang w:eastAsia="de-DE"/>
        </w:rPr>
        <w:t xml:space="preserve"> </w:t>
      </w:r>
      <w:r w:rsidRPr="009A7693">
        <w:rPr>
          <w:rFonts w:eastAsia="Times New Roman" w:cs="Times New Roman"/>
          <w:lang w:eastAsia="de-DE"/>
        </w:rPr>
        <w:t xml:space="preserve">(Subjekt „der Totschläger"), </w:t>
      </w:r>
      <w:r w:rsidRPr="009A7693">
        <w:rPr>
          <w:rFonts w:eastAsia="Times New Roman" w:cs="Times New Roman"/>
          <w:b/>
          <w:bCs/>
          <w:rtl/>
          <w:lang w:eastAsia="de-DE"/>
        </w:rPr>
        <w:t>אֶת־גְּבוּל עִיר מִקְלָטוֹ</w:t>
      </w:r>
      <w:r w:rsidRPr="009A7693">
        <w:rPr>
          <w:rFonts w:eastAsia="Times New Roman" w:cs="Times New Roman"/>
          <w:rtl/>
          <w:lang w:eastAsia="de-DE"/>
        </w:rPr>
        <w:t xml:space="preserve"> </w:t>
      </w:r>
      <w:r w:rsidRPr="009A7693">
        <w:rPr>
          <w:rFonts w:eastAsia="Times New Roman" w:cs="Times New Roman"/>
          <w:lang w:eastAsia="de-DE"/>
        </w:rPr>
        <w:t xml:space="preserve">(Akkusativpartikel mit </w:t>
      </w:r>
      <w:r w:rsidRPr="009A7693">
        <w:rPr>
          <w:rFonts w:eastAsia="Times New Roman" w:cs="Times New Roman"/>
          <w:b/>
          <w:bCs/>
          <w:rtl/>
          <w:lang w:eastAsia="de-DE"/>
        </w:rPr>
        <w:t>גְּבוּל</w:t>
      </w:r>
      <w:r w:rsidRPr="009A7693">
        <w:rPr>
          <w:rFonts w:eastAsia="Times New Roman" w:cs="Times New Roman"/>
          <w:rtl/>
          <w:lang w:eastAsia="de-DE"/>
        </w:rPr>
        <w:t xml:space="preserve"> </w:t>
      </w:r>
      <w:r w:rsidRPr="009A7693">
        <w:rPr>
          <w:rFonts w:eastAsia="Times New Roman" w:cs="Times New Roman"/>
          <w:lang w:eastAsia="de-DE"/>
        </w:rPr>
        <w:t xml:space="preserve">„Grenze" im </w:t>
      </w:r>
      <w:r w:rsidR="00E031B3">
        <w:rPr>
          <w:rFonts w:eastAsia="Times New Roman" w:cs="Times New Roman"/>
          <w:lang w:eastAsia="de-DE"/>
        </w:rPr>
        <w:t>Constructus mit</w:t>
      </w:r>
      <w:r w:rsidRPr="009A7693">
        <w:rPr>
          <w:rFonts w:eastAsia="Times New Roman" w:cs="Times New Roman"/>
          <w:lang w:eastAsia="de-DE"/>
        </w:rPr>
        <w:t xml:space="preserve"> </w:t>
      </w:r>
      <w:r w:rsidRPr="009A7693">
        <w:rPr>
          <w:rFonts w:eastAsia="Times New Roman" w:cs="Times New Roman"/>
          <w:b/>
          <w:bCs/>
          <w:rtl/>
          <w:lang w:eastAsia="de-DE"/>
        </w:rPr>
        <w:t>עִיר מִקְלָט</w:t>
      </w:r>
      <w:r w:rsidRPr="009A7693">
        <w:rPr>
          <w:rFonts w:eastAsia="Times New Roman" w:cs="Times New Roman"/>
          <w:rtl/>
          <w:lang w:eastAsia="de-DE"/>
        </w:rPr>
        <w:t xml:space="preserve"> </w:t>
      </w:r>
      <w:r w:rsidRPr="009A7693">
        <w:rPr>
          <w:rFonts w:eastAsia="Times New Roman" w:cs="Times New Roman"/>
          <w:lang w:eastAsia="de-DE"/>
        </w:rPr>
        <w:t xml:space="preserve">„Zufluchtsstadt" und Suffix 3. Person maskulin Singular „die Grenze seiner Zufluchtsstadt"). </w:t>
      </w:r>
      <w:r w:rsidRPr="009A7693">
        <w:rPr>
          <w:rFonts w:eastAsia="Times New Roman" w:cs="Times New Roman"/>
          <w:b/>
          <w:bCs/>
          <w:rtl/>
          <w:lang w:eastAsia="de-DE"/>
        </w:rPr>
        <w:t>אֲשֶׁר יָנוּס שָׁמָּה</w:t>
      </w:r>
      <w:r w:rsidRPr="009A7693">
        <w:rPr>
          <w:rFonts w:eastAsia="Times New Roman" w:cs="Times New Roman"/>
          <w:rtl/>
          <w:lang w:eastAsia="de-DE"/>
        </w:rPr>
        <w:t xml:space="preserve"> </w:t>
      </w:r>
      <w:r w:rsidRPr="009A7693">
        <w:rPr>
          <w:rFonts w:eastAsia="Times New Roman" w:cs="Times New Roman"/>
          <w:lang w:eastAsia="de-DE"/>
        </w:rPr>
        <w:t xml:space="preserve">ist der Relativsatz. </w:t>
      </w:r>
      <w:r w:rsidRPr="009A7693">
        <w:rPr>
          <w:rFonts w:eastAsia="Times New Roman" w:cs="Times New Roman"/>
          <w:b/>
          <w:bCs/>
          <w:rtl/>
          <w:lang w:eastAsia="de-DE"/>
        </w:rPr>
        <w:t>אֲשֶׁר יָנוּס שָׁמָּה</w:t>
      </w:r>
      <w:r w:rsidRPr="009A7693">
        <w:rPr>
          <w:rFonts w:eastAsia="Times New Roman" w:cs="Times New Roman"/>
          <w:rtl/>
          <w:lang w:eastAsia="de-DE"/>
        </w:rPr>
        <w:t xml:space="preserve"> </w:t>
      </w:r>
      <w:r w:rsidRPr="009A7693">
        <w:rPr>
          <w:rFonts w:eastAsia="Times New Roman" w:cs="Times New Roman"/>
          <w:lang w:eastAsia="de-DE"/>
        </w:rPr>
        <w:t xml:space="preserve">(Qal Imperfekt 3. Person maskulin Singular von </w:t>
      </w:r>
      <w:r w:rsidRPr="009A7693">
        <w:rPr>
          <w:rFonts w:eastAsia="Times New Roman" w:cs="Times New Roman"/>
          <w:b/>
          <w:bCs/>
          <w:rtl/>
          <w:lang w:eastAsia="de-DE"/>
        </w:rPr>
        <w:t>נוס</w:t>
      </w:r>
      <w:r w:rsidRPr="009A7693">
        <w:rPr>
          <w:rFonts w:eastAsia="Times New Roman" w:cs="Times New Roman"/>
          <w:rtl/>
          <w:lang w:eastAsia="de-DE"/>
        </w:rPr>
        <w:t xml:space="preserve"> </w:t>
      </w:r>
      <w:r w:rsidRPr="009A7693">
        <w:rPr>
          <w:rFonts w:eastAsia="Times New Roman" w:cs="Times New Roman"/>
          <w:lang w:eastAsia="de-DE"/>
        </w:rPr>
        <w:t>„fliehen" mit Adverb „wohin er flieht/geflohen ist").</w:t>
      </w:r>
    </w:p>
    <w:p w14:paraId="5AC8C11A"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Die Satzstruktur zeigt einen konditionalen Protasis mit betontem Verb (Infinitiv Absolutus + Imperfekt) und Relativsatz.</w:t>
      </w:r>
    </w:p>
    <w:p w14:paraId="62A4F229"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 xml:space="preserve">Der Vers warnt: Die Zufluchtsstadt bietet nur Schutz innerhalb ihrer Grenzen. Wer die </w:t>
      </w:r>
      <w:r w:rsidRPr="009A7693">
        <w:rPr>
          <w:rFonts w:eastAsia="Times New Roman" w:cs="Times New Roman"/>
          <w:b/>
          <w:bCs/>
          <w:rtl/>
          <w:lang w:eastAsia="de-DE"/>
        </w:rPr>
        <w:t>גְּבוּל עִיר מִקְלָט</w:t>
      </w:r>
      <w:r w:rsidRPr="009A7693">
        <w:rPr>
          <w:rFonts w:eastAsia="Times New Roman" w:cs="Times New Roman"/>
          <w:rtl/>
          <w:lang w:eastAsia="de-DE"/>
        </w:rPr>
        <w:t xml:space="preserve"> </w:t>
      </w:r>
      <w:r w:rsidRPr="009A7693">
        <w:rPr>
          <w:rFonts w:eastAsia="Times New Roman" w:cs="Times New Roman"/>
          <w:lang w:eastAsia="de-DE"/>
        </w:rPr>
        <w:t>verlässt, verliert den Schutzstatus - die nächsten Verse werden die Konsequenzen zeigen.</w:t>
      </w:r>
    </w:p>
    <w:p w14:paraId="6CEB086D" w14:textId="77777777" w:rsidR="009A7693" w:rsidRPr="009A7693" w:rsidRDefault="009A7693" w:rsidP="009A7693">
      <w:pPr>
        <w:spacing w:before="100" w:beforeAutospacing="1" w:after="100" w:afterAutospacing="1" w:line="240" w:lineRule="auto"/>
        <w:outlineLvl w:val="0"/>
        <w:rPr>
          <w:rFonts w:eastAsia="Times New Roman" w:cs="Times New Roman"/>
          <w:b/>
          <w:bCs/>
          <w:kern w:val="36"/>
          <w:sz w:val="48"/>
          <w:szCs w:val="48"/>
          <w:lang w:eastAsia="de-DE"/>
        </w:rPr>
      </w:pPr>
      <w:r w:rsidRPr="009A7693">
        <w:rPr>
          <w:rFonts w:eastAsia="Times New Roman" w:cs="Times New Roman"/>
          <w:b/>
          <w:bCs/>
          <w:kern w:val="36"/>
          <w:sz w:val="48"/>
          <w:szCs w:val="48"/>
          <w:lang w:eastAsia="de-DE"/>
        </w:rPr>
        <w:t>Numeri 35,27</w:t>
      </w:r>
    </w:p>
    <w:p w14:paraId="0FAF2F44"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Hebräisch:</w:t>
      </w:r>
      <w:r w:rsidRPr="009A7693">
        <w:rPr>
          <w:rFonts w:eastAsia="Times New Roman" w:cs="Times New Roman"/>
          <w:lang w:eastAsia="de-DE"/>
        </w:rPr>
        <w:t xml:space="preserve"> </w:t>
      </w:r>
      <w:r w:rsidRPr="009A7693">
        <w:rPr>
          <w:rFonts w:eastAsia="Times New Roman" w:cs="Times New Roman"/>
          <w:rtl/>
          <w:lang w:eastAsia="de-DE"/>
        </w:rPr>
        <w:t>וּמָצָ֤א אֹתוֹ֙ גֹּאֵ֣ל הַדָּ֔ם מִח֕וּץ לִגְב֖וּל עִ֣יר מִקְלָטֹ֑ו וְרָצַ֞ח גֹּאֵ֤ל הַדָּם֙ אֶת־הָ֣רֹצֵ֔חַ אֵ֥ין לוֹ֖ דָּֽם׃</w:t>
      </w:r>
    </w:p>
    <w:p w14:paraId="4EB50C4F"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Deutsch:</w:t>
      </w:r>
      <w:r w:rsidRPr="009A7693">
        <w:rPr>
          <w:rFonts w:eastAsia="Times New Roman" w:cs="Times New Roman"/>
          <w:lang w:eastAsia="de-DE"/>
        </w:rPr>
        <w:t xml:space="preserve"> und der Bluträcher findet ihn außerhalb der Grenze seiner Zufluchtsstadt, und der Bluträcher tötet den Totschläger, so hat er keine Blutschuld.</w:t>
      </w:r>
    </w:p>
    <w:p w14:paraId="12A60CEA"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pict w14:anchorId="269FCD6A">
          <v:rect id="_x0000_i2084" style="width:0;height:1.5pt" o:hralign="center" o:hrstd="t" o:hr="t" fillcolor="#a0a0a0" stroked="f"/>
        </w:pict>
      </w:r>
    </w:p>
    <w:p w14:paraId="074A3B29"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Kommentar:</w:t>
      </w:r>
      <w:r w:rsidRPr="009A7693">
        <w:rPr>
          <w:rFonts w:eastAsia="Times New Roman" w:cs="Times New Roman"/>
          <w:lang w:eastAsia="de-DE"/>
        </w:rPr>
        <w:t xml:space="preserve"> Der Vers gibt die Konsequenz des Verlassens an. </w:t>
      </w:r>
      <w:r w:rsidRPr="009A7693">
        <w:rPr>
          <w:rFonts w:eastAsia="Times New Roman" w:cs="Times New Roman"/>
          <w:b/>
          <w:bCs/>
          <w:rtl/>
          <w:lang w:eastAsia="de-DE"/>
        </w:rPr>
        <w:t>וּמָצָא אֹתוֹ גֹּאֵל הַדָּם מִחוּץ לִגְבוּל עִיר מִקְלָטוֹ</w:t>
      </w:r>
      <w:r w:rsidRPr="009A7693">
        <w:rPr>
          <w:rFonts w:eastAsia="Times New Roman" w:cs="Times New Roman"/>
          <w:rtl/>
          <w:lang w:eastAsia="de-DE"/>
        </w:rPr>
        <w:t xml:space="preserve"> </w:t>
      </w:r>
      <w:r w:rsidRPr="009A7693">
        <w:rPr>
          <w:rFonts w:eastAsia="Times New Roman" w:cs="Times New Roman"/>
          <w:lang w:eastAsia="de-DE"/>
        </w:rPr>
        <w:t xml:space="preserve">ist die Situation. </w:t>
      </w:r>
      <w:r w:rsidRPr="009A7693">
        <w:rPr>
          <w:rFonts w:eastAsia="Times New Roman" w:cs="Times New Roman"/>
          <w:b/>
          <w:bCs/>
          <w:rtl/>
          <w:lang w:eastAsia="de-DE"/>
        </w:rPr>
        <w:t>וּמָצָא אֹתוֹ</w:t>
      </w:r>
      <w:r w:rsidRPr="009A7693">
        <w:rPr>
          <w:rFonts w:eastAsia="Times New Roman" w:cs="Times New Roman"/>
          <w:rtl/>
          <w:lang w:eastAsia="de-DE"/>
        </w:rPr>
        <w:t xml:space="preserve"> </w:t>
      </w:r>
      <w:r w:rsidRPr="009A7693">
        <w:rPr>
          <w:rFonts w:eastAsia="Times New Roman" w:cs="Times New Roman"/>
          <w:lang w:eastAsia="de-DE"/>
        </w:rPr>
        <w:t xml:space="preserve">(Qal Perfekt 3. Person maskulin Singular mit Waw consecutivum von </w:t>
      </w:r>
      <w:r w:rsidRPr="009A7693">
        <w:rPr>
          <w:rFonts w:eastAsia="Times New Roman" w:cs="Times New Roman"/>
          <w:b/>
          <w:bCs/>
          <w:rtl/>
          <w:lang w:eastAsia="de-DE"/>
        </w:rPr>
        <w:t>מצא</w:t>
      </w:r>
      <w:r w:rsidRPr="009A7693">
        <w:rPr>
          <w:rFonts w:eastAsia="Times New Roman" w:cs="Times New Roman"/>
          <w:rtl/>
          <w:lang w:eastAsia="de-DE"/>
        </w:rPr>
        <w:t xml:space="preserve"> </w:t>
      </w:r>
      <w:r w:rsidRPr="009A7693">
        <w:rPr>
          <w:rFonts w:eastAsia="Times New Roman" w:cs="Times New Roman"/>
          <w:lang w:eastAsia="de-DE"/>
        </w:rPr>
        <w:t xml:space="preserve">„finden" mit Akkusativpartikel und Suffix „und er findet ihn"), </w:t>
      </w:r>
      <w:r w:rsidRPr="009A7693">
        <w:rPr>
          <w:rFonts w:eastAsia="Times New Roman" w:cs="Times New Roman"/>
          <w:b/>
          <w:bCs/>
          <w:rtl/>
          <w:lang w:eastAsia="de-DE"/>
        </w:rPr>
        <w:t>גֹּאֵל הַדָּם</w:t>
      </w:r>
      <w:r w:rsidRPr="009A7693">
        <w:rPr>
          <w:rFonts w:eastAsia="Times New Roman" w:cs="Times New Roman"/>
          <w:rtl/>
          <w:lang w:eastAsia="de-DE"/>
        </w:rPr>
        <w:t xml:space="preserve"> </w:t>
      </w:r>
      <w:r w:rsidRPr="009A7693">
        <w:rPr>
          <w:rFonts w:eastAsia="Times New Roman" w:cs="Times New Roman"/>
          <w:lang w:eastAsia="de-DE"/>
        </w:rPr>
        <w:t xml:space="preserve">(Subjekt „der Bluträcher"), </w:t>
      </w:r>
      <w:r w:rsidRPr="009A7693">
        <w:rPr>
          <w:rFonts w:eastAsia="Times New Roman" w:cs="Times New Roman"/>
          <w:b/>
          <w:bCs/>
          <w:rtl/>
          <w:lang w:eastAsia="de-DE"/>
        </w:rPr>
        <w:t>מִחוּץ לִגְבוּל עִיר מִקְלָטוֹ</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מִן</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חוּץ</w:t>
      </w:r>
      <w:r w:rsidRPr="009A7693">
        <w:rPr>
          <w:rFonts w:eastAsia="Times New Roman" w:cs="Times New Roman"/>
          <w:rtl/>
          <w:lang w:eastAsia="de-DE"/>
        </w:rPr>
        <w:t xml:space="preserve"> </w:t>
      </w:r>
      <w:r w:rsidRPr="009A7693">
        <w:rPr>
          <w:rFonts w:eastAsia="Times New Roman" w:cs="Times New Roman"/>
          <w:lang w:eastAsia="de-DE"/>
        </w:rPr>
        <w:t xml:space="preserve">„außen" und 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גְּבוּל עִיר מִקְלָט</w:t>
      </w:r>
      <w:r w:rsidRPr="009A7693">
        <w:rPr>
          <w:rFonts w:eastAsia="Times New Roman" w:cs="Times New Roman"/>
          <w:rtl/>
          <w:lang w:eastAsia="de-DE"/>
        </w:rPr>
        <w:t xml:space="preserve"> </w:t>
      </w:r>
      <w:r w:rsidRPr="009A7693">
        <w:rPr>
          <w:rFonts w:eastAsia="Times New Roman" w:cs="Times New Roman"/>
          <w:lang w:eastAsia="de-DE"/>
        </w:rPr>
        <w:t xml:space="preserve">mit Suffix „außerhalb der Grenze seiner Zufluchtsstadt"). </w:t>
      </w:r>
      <w:r w:rsidRPr="009A7693">
        <w:rPr>
          <w:rFonts w:eastAsia="Times New Roman" w:cs="Times New Roman"/>
          <w:b/>
          <w:bCs/>
          <w:rtl/>
          <w:lang w:eastAsia="de-DE"/>
        </w:rPr>
        <w:t>וְרָצַח גֹּאֵל הַדָּם אֶת־הָרֹצֵחַ</w:t>
      </w:r>
      <w:r w:rsidRPr="009A7693">
        <w:rPr>
          <w:rFonts w:eastAsia="Times New Roman" w:cs="Times New Roman"/>
          <w:rtl/>
          <w:lang w:eastAsia="de-DE"/>
        </w:rPr>
        <w:t xml:space="preserve"> </w:t>
      </w:r>
      <w:r w:rsidRPr="009A7693">
        <w:rPr>
          <w:rFonts w:eastAsia="Times New Roman" w:cs="Times New Roman"/>
          <w:lang w:eastAsia="de-DE"/>
        </w:rPr>
        <w:t xml:space="preserve">ist die Handlung. </w:t>
      </w:r>
      <w:r w:rsidRPr="009A7693">
        <w:rPr>
          <w:rFonts w:eastAsia="Times New Roman" w:cs="Times New Roman"/>
          <w:b/>
          <w:bCs/>
          <w:rtl/>
          <w:lang w:eastAsia="de-DE"/>
        </w:rPr>
        <w:t>וְרָצַח</w:t>
      </w:r>
      <w:r w:rsidRPr="009A7693">
        <w:rPr>
          <w:rFonts w:eastAsia="Times New Roman" w:cs="Times New Roman"/>
          <w:rtl/>
          <w:lang w:eastAsia="de-DE"/>
        </w:rPr>
        <w:t xml:space="preserve"> </w:t>
      </w:r>
      <w:r w:rsidRPr="009A7693">
        <w:rPr>
          <w:rFonts w:eastAsia="Times New Roman" w:cs="Times New Roman"/>
          <w:lang w:eastAsia="de-DE"/>
        </w:rPr>
        <w:t xml:space="preserve">(Qal Perfekt 3. Person maskulin Singular mit Waw consecutivum von </w:t>
      </w:r>
      <w:r w:rsidRPr="009A7693">
        <w:rPr>
          <w:rFonts w:eastAsia="Times New Roman" w:cs="Times New Roman"/>
          <w:b/>
          <w:bCs/>
          <w:rtl/>
          <w:lang w:eastAsia="de-DE"/>
        </w:rPr>
        <w:t>רצח</w:t>
      </w:r>
      <w:r w:rsidRPr="009A7693">
        <w:rPr>
          <w:rFonts w:eastAsia="Times New Roman" w:cs="Times New Roman"/>
          <w:rtl/>
          <w:lang w:eastAsia="de-DE"/>
        </w:rPr>
        <w:t xml:space="preserve"> </w:t>
      </w:r>
      <w:r w:rsidRPr="009A7693">
        <w:rPr>
          <w:rFonts w:eastAsia="Times New Roman" w:cs="Times New Roman"/>
          <w:lang w:eastAsia="de-DE"/>
        </w:rPr>
        <w:t xml:space="preserve">„töten, morden"), </w:t>
      </w:r>
      <w:r w:rsidRPr="009A7693">
        <w:rPr>
          <w:rFonts w:eastAsia="Times New Roman" w:cs="Times New Roman"/>
          <w:b/>
          <w:bCs/>
          <w:rtl/>
          <w:lang w:eastAsia="de-DE"/>
        </w:rPr>
        <w:t>גֹּאֵל הַדָּם</w:t>
      </w:r>
      <w:r w:rsidRPr="009A7693">
        <w:rPr>
          <w:rFonts w:eastAsia="Times New Roman" w:cs="Times New Roman"/>
          <w:rtl/>
          <w:lang w:eastAsia="de-DE"/>
        </w:rPr>
        <w:t xml:space="preserve"> </w:t>
      </w:r>
      <w:r w:rsidRPr="009A7693">
        <w:rPr>
          <w:rFonts w:eastAsia="Times New Roman" w:cs="Times New Roman"/>
          <w:lang w:eastAsia="de-DE"/>
        </w:rPr>
        <w:t xml:space="preserve">(Subjekt), </w:t>
      </w:r>
      <w:r w:rsidRPr="009A7693">
        <w:rPr>
          <w:rFonts w:eastAsia="Times New Roman" w:cs="Times New Roman"/>
          <w:b/>
          <w:bCs/>
          <w:rtl/>
          <w:lang w:eastAsia="de-DE"/>
        </w:rPr>
        <w:t>אֶת־הָרֹצֵחַ</w:t>
      </w:r>
      <w:r w:rsidRPr="009A7693">
        <w:rPr>
          <w:rFonts w:eastAsia="Times New Roman" w:cs="Times New Roman"/>
          <w:rtl/>
          <w:lang w:eastAsia="de-DE"/>
        </w:rPr>
        <w:t xml:space="preserve"> </w:t>
      </w:r>
      <w:r w:rsidRPr="009A7693">
        <w:rPr>
          <w:rFonts w:eastAsia="Times New Roman" w:cs="Times New Roman"/>
          <w:lang w:eastAsia="de-DE"/>
        </w:rPr>
        <w:t xml:space="preserve">(Akkusativ „den Totschläger"). </w:t>
      </w:r>
      <w:r w:rsidRPr="009A7693">
        <w:rPr>
          <w:rFonts w:eastAsia="Times New Roman" w:cs="Times New Roman"/>
          <w:b/>
          <w:bCs/>
          <w:rtl/>
          <w:lang w:eastAsia="de-DE"/>
        </w:rPr>
        <w:t>אֵין לוֹ דָּם</w:t>
      </w:r>
      <w:r w:rsidRPr="009A7693">
        <w:rPr>
          <w:rFonts w:eastAsia="Times New Roman" w:cs="Times New Roman"/>
          <w:rtl/>
          <w:lang w:eastAsia="de-DE"/>
        </w:rPr>
        <w:t xml:space="preserve"> </w:t>
      </w:r>
      <w:r w:rsidRPr="009A7693">
        <w:rPr>
          <w:rFonts w:eastAsia="Times New Roman" w:cs="Times New Roman"/>
          <w:lang w:eastAsia="de-DE"/>
        </w:rPr>
        <w:t xml:space="preserve">ist das Urteil. </w:t>
      </w:r>
      <w:r w:rsidRPr="009A7693">
        <w:rPr>
          <w:rFonts w:eastAsia="Times New Roman" w:cs="Times New Roman"/>
          <w:b/>
          <w:bCs/>
          <w:rtl/>
          <w:lang w:eastAsia="de-DE"/>
        </w:rPr>
        <w:t>אֵין לוֹ דָּם</w:t>
      </w:r>
      <w:r w:rsidRPr="009A7693">
        <w:rPr>
          <w:rFonts w:eastAsia="Times New Roman" w:cs="Times New Roman"/>
          <w:rtl/>
          <w:lang w:eastAsia="de-DE"/>
        </w:rPr>
        <w:t xml:space="preserve"> </w:t>
      </w:r>
      <w:r w:rsidRPr="009A7693">
        <w:rPr>
          <w:rFonts w:eastAsia="Times New Roman" w:cs="Times New Roman"/>
          <w:lang w:eastAsia="de-DE"/>
        </w:rPr>
        <w:t xml:space="preserve">(Negationspartikel </w:t>
      </w:r>
      <w:r w:rsidRPr="009A7693">
        <w:rPr>
          <w:rFonts w:eastAsia="Times New Roman" w:cs="Times New Roman"/>
          <w:b/>
          <w:bCs/>
          <w:rtl/>
          <w:lang w:eastAsia="de-DE"/>
        </w:rPr>
        <w:t>אֵין</w:t>
      </w:r>
      <w:r w:rsidRPr="009A7693">
        <w:rPr>
          <w:rFonts w:eastAsia="Times New Roman" w:cs="Times New Roman"/>
          <w:rtl/>
          <w:lang w:eastAsia="de-DE"/>
        </w:rPr>
        <w:t xml:space="preserve"> </w:t>
      </w:r>
      <w:r w:rsidRPr="009A7693">
        <w:rPr>
          <w:rFonts w:eastAsia="Times New Roman" w:cs="Times New Roman"/>
          <w:lang w:eastAsia="de-DE"/>
        </w:rPr>
        <w:t xml:space="preserve">„nicht ist" mit Dativ und </w:t>
      </w:r>
      <w:r w:rsidRPr="009A7693">
        <w:rPr>
          <w:rFonts w:eastAsia="Times New Roman" w:cs="Times New Roman"/>
          <w:b/>
          <w:bCs/>
          <w:rtl/>
          <w:lang w:eastAsia="de-DE"/>
        </w:rPr>
        <w:t>דָּם</w:t>
      </w:r>
      <w:r w:rsidRPr="009A7693">
        <w:rPr>
          <w:rFonts w:eastAsia="Times New Roman" w:cs="Times New Roman"/>
          <w:rtl/>
          <w:lang w:eastAsia="de-DE"/>
        </w:rPr>
        <w:t xml:space="preserve"> </w:t>
      </w:r>
      <w:r w:rsidRPr="009A7693">
        <w:rPr>
          <w:rFonts w:eastAsia="Times New Roman" w:cs="Times New Roman"/>
          <w:lang w:eastAsia="de-DE"/>
        </w:rPr>
        <w:t>„Blut" „er hat kein Blut", d.h. keine Blutschuld).</w:t>
      </w:r>
    </w:p>
    <w:p w14:paraId="4B72DB4F"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Die Satzstruktur zeigt eine Situation (finden), eine Handlung (töten) und ein rechtliches Urteil (keine Schuld).</w:t>
      </w:r>
    </w:p>
    <w:p w14:paraId="10544636"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Der Vers ist drastisch: Außerhalb der Zufluchtsstadtgrenzen ist der Totschläger schutzlos. Der Bluträcher darf ihn töten, ohne selbst schuldig zu werden (</w:t>
      </w:r>
      <w:r w:rsidRPr="009A7693">
        <w:rPr>
          <w:rFonts w:eastAsia="Times New Roman" w:cs="Times New Roman"/>
          <w:b/>
          <w:bCs/>
          <w:rtl/>
          <w:lang w:eastAsia="de-DE"/>
        </w:rPr>
        <w:t>אֵין לוֹ דָּם</w:t>
      </w:r>
      <w:r w:rsidRPr="009A7693">
        <w:rPr>
          <w:rFonts w:eastAsia="Times New Roman" w:cs="Times New Roman"/>
          <w:lang w:eastAsia="de-DE"/>
        </w:rPr>
        <w:t>). Dies unterstreicht die absolute Bindung an die Zufluchtsstadt - der Schutz ist territorial begrenzt. Wer die Stadt verlässt (sei es aus Leichtsinn, Verzweiflung oder aus welchem Grund auch immer), verwirkt seinen Schutz.</w:t>
      </w:r>
    </w:p>
    <w:p w14:paraId="0C16374C" w14:textId="77777777" w:rsidR="009A7693" w:rsidRPr="009A7693" w:rsidRDefault="009A7693" w:rsidP="009A7693">
      <w:pPr>
        <w:spacing w:before="100" w:beforeAutospacing="1" w:after="100" w:afterAutospacing="1" w:line="240" w:lineRule="auto"/>
        <w:outlineLvl w:val="0"/>
        <w:rPr>
          <w:rFonts w:eastAsia="Times New Roman" w:cs="Times New Roman"/>
          <w:b/>
          <w:bCs/>
          <w:kern w:val="36"/>
          <w:sz w:val="48"/>
          <w:szCs w:val="48"/>
          <w:lang w:eastAsia="de-DE"/>
        </w:rPr>
      </w:pPr>
      <w:r w:rsidRPr="009A7693">
        <w:rPr>
          <w:rFonts w:eastAsia="Times New Roman" w:cs="Times New Roman"/>
          <w:b/>
          <w:bCs/>
          <w:kern w:val="36"/>
          <w:sz w:val="48"/>
          <w:szCs w:val="48"/>
          <w:lang w:eastAsia="de-DE"/>
        </w:rPr>
        <w:t>Numeri 35,28</w:t>
      </w:r>
    </w:p>
    <w:p w14:paraId="4B54227E"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lastRenderedPageBreak/>
        <w:t>Hebräisch:</w:t>
      </w:r>
      <w:r w:rsidRPr="009A7693">
        <w:rPr>
          <w:rFonts w:eastAsia="Times New Roman" w:cs="Times New Roman"/>
          <w:lang w:eastAsia="de-DE"/>
        </w:rPr>
        <w:t xml:space="preserve"> </w:t>
      </w:r>
      <w:r w:rsidRPr="009A7693">
        <w:rPr>
          <w:rFonts w:eastAsia="Times New Roman" w:cs="Times New Roman"/>
          <w:rtl/>
          <w:lang w:eastAsia="de-DE"/>
        </w:rPr>
        <w:t>כִּ֣י בְעִ֤יר מִקְלָטוֹ֙ יֵשֵׁ֔ב עַד־מ֖וֹת הַכֹּהֵ֣ן הַגָּדֹ֑ל וְאַחֲרֵ֥י מוֹת֙ הַכֹּהֵ֣ן הַגָּדֹ֔ל יָשׁוּב֙ הָרֹצֵ֔חַ אֶל־אֶ֖רֶץ אֲחֻזָּתוֹֽ׃</w:t>
      </w:r>
    </w:p>
    <w:p w14:paraId="75BC2B57"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Deutsch:</w:t>
      </w:r>
      <w:r w:rsidRPr="009A7693">
        <w:rPr>
          <w:rFonts w:eastAsia="Times New Roman" w:cs="Times New Roman"/>
          <w:lang w:eastAsia="de-DE"/>
        </w:rPr>
        <w:t xml:space="preserve"> Denn er soll in seiner Zufluchtsstadt wohnen bis zum Tod des Hohepriesters; und nach dem Tod des Hohepriesters darf der Totschläger in das Land seines Eigentums zurückkehren.</w:t>
      </w:r>
    </w:p>
    <w:p w14:paraId="4ED79434"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pict w14:anchorId="5B98307A">
          <v:rect id="_x0000_i2085" style="width:0;height:1.5pt" o:hralign="center" o:hrstd="t" o:hr="t" fillcolor="#a0a0a0" stroked="f"/>
        </w:pict>
      </w:r>
    </w:p>
    <w:p w14:paraId="3F5D6270" w14:textId="262258E3"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Kommentar:</w:t>
      </w:r>
      <w:r w:rsidRPr="009A7693">
        <w:rPr>
          <w:rFonts w:eastAsia="Times New Roman" w:cs="Times New Roman"/>
          <w:lang w:eastAsia="de-DE"/>
        </w:rPr>
        <w:t xml:space="preserve"> Der Vers begründet die Regelung aus V. 27 und wiederholt die Zeitdauer. </w:t>
      </w:r>
      <w:r w:rsidRPr="009A7693">
        <w:rPr>
          <w:rFonts w:eastAsia="Times New Roman" w:cs="Times New Roman"/>
          <w:b/>
          <w:bCs/>
          <w:rtl/>
          <w:lang w:eastAsia="de-DE"/>
        </w:rPr>
        <w:t>כִּי בְעִיר מִקְלָטוֹ יֵשֵׁב עַד־מוֹת הַכֹּהֵן הַגָּדֹל</w:t>
      </w:r>
      <w:r w:rsidRPr="009A7693">
        <w:rPr>
          <w:rFonts w:eastAsia="Times New Roman" w:cs="Times New Roman"/>
          <w:rtl/>
          <w:lang w:eastAsia="de-DE"/>
        </w:rPr>
        <w:t xml:space="preserve"> </w:t>
      </w:r>
      <w:r w:rsidRPr="009A7693">
        <w:rPr>
          <w:rFonts w:eastAsia="Times New Roman" w:cs="Times New Roman"/>
          <w:lang w:eastAsia="de-DE"/>
        </w:rPr>
        <w:t xml:space="preserve">ist die Begründung. </w:t>
      </w:r>
      <w:r w:rsidRPr="009A7693">
        <w:rPr>
          <w:rFonts w:eastAsia="Times New Roman" w:cs="Times New Roman"/>
          <w:b/>
          <w:bCs/>
          <w:rtl/>
          <w:lang w:eastAsia="de-DE"/>
        </w:rPr>
        <w:t>כִּי</w:t>
      </w:r>
      <w:r w:rsidRPr="009A7693">
        <w:rPr>
          <w:rFonts w:eastAsia="Times New Roman" w:cs="Times New Roman"/>
          <w:rtl/>
          <w:lang w:eastAsia="de-DE"/>
        </w:rPr>
        <w:t xml:space="preserve"> </w:t>
      </w:r>
      <w:r w:rsidRPr="009A7693">
        <w:rPr>
          <w:rFonts w:eastAsia="Times New Roman" w:cs="Times New Roman"/>
          <w:lang w:eastAsia="de-DE"/>
        </w:rPr>
        <w:t xml:space="preserve">(kausale Konjunktion „denn"), </w:t>
      </w:r>
      <w:r w:rsidRPr="009A7693">
        <w:rPr>
          <w:rFonts w:eastAsia="Times New Roman" w:cs="Times New Roman"/>
          <w:b/>
          <w:bCs/>
          <w:rtl/>
          <w:lang w:eastAsia="de-DE"/>
        </w:rPr>
        <w:t>בְעִיר מִקְלָטוֹ</w:t>
      </w:r>
      <w:r w:rsidRPr="009A7693">
        <w:rPr>
          <w:rFonts w:eastAsia="Times New Roman" w:cs="Times New Roman"/>
          <w:rtl/>
          <w:lang w:eastAsia="de-DE"/>
        </w:rPr>
        <w:t xml:space="preserve"> </w:t>
      </w:r>
      <w:r w:rsidRPr="009A7693">
        <w:rPr>
          <w:rFonts w:eastAsia="Times New Roman" w:cs="Times New Roman"/>
          <w:lang w:eastAsia="de-DE"/>
        </w:rPr>
        <w:t xml:space="preserve">(Präposition mit </w:t>
      </w:r>
      <w:r w:rsidRPr="009A7693">
        <w:rPr>
          <w:rFonts w:eastAsia="Times New Roman" w:cs="Times New Roman"/>
          <w:b/>
          <w:bCs/>
          <w:rtl/>
          <w:lang w:eastAsia="de-DE"/>
        </w:rPr>
        <w:t>עִיר מִקְלָט</w:t>
      </w:r>
      <w:r w:rsidRPr="009A7693">
        <w:rPr>
          <w:rFonts w:eastAsia="Times New Roman" w:cs="Times New Roman"/>
          <w:rtl/>
          <w:lang w:eastAsia="de-DE"/>
        </w:rPr>
        <w:t xml:space="preserve"> </w:t>
      </w:r>
      <w:r w:rsidRPr="009A7693">
        <w:rPr>
          <w:rFonts w:eastAsia="Times New Roman" w:cs="Times New Roman"/>
          <w:lang w:eastAsia="de-DE"/>
        </w:rPr>
        <w:t xml:space="preserve">und Suffix „in seiner Zufluchtsstadt"), </w:t>
      </w:r>
      <w:r w:rsidRPr="009A7693">
        <w:rPr>
          <w:rFonts w:eastAsia="Times New Roman" w:cs="Times New Roman"/>
          <w:b/>
          <w:bCs/>
          <w:rtl/>
          <w:lang w:eastAsia="de-DE"/>
        </w:rPr>
        <w:t>יֵשֵׁב</w:t>
      </w:r>
      <w:r w:rsidRPr="009A7693">
        <w:rPr>
          <w:rFonts w:eastAsia="Times New Roman" w:cs="Times New Roman"/>
          <w:rtl/>
          <w:lang w:eastAsia="de-DE"/>
        </w:rPr>
        <w:t xml:space="preserve"> </w:t>
      </w:r>
      <w:r w:rsidRPr="009A7693">
        <w:rPr>
          <w:rFonts w:eastAsia="Times New Roman" w:cs="Times New Roman"/>
          <w:lang w:eastAsia="de-DE"/>
        </w:rPr>
        <w:t xml:space="preserve">(Qal Imperfekt 3. Person maskulin Singular von </w:t>
      </w:r>
      <w:r w:rsidRPr="009A7693">
        <w:rPr>
          <w:rFonts w:eastAsia="Times New Roman" w:cs="Times New Roman"/>
          <w:b/>
          <w:bCs/>
          <w:rtl/>
          <w:lang w:eastAsia="de-DE"/>
        </w:rPr>
        <w:t>ישׁב</w:t>
      </w:r>
      <w:r w:rsidRPr="009A7693">
        <w:rPr>
          <w:rFonts w:eastAsia="Times New Roman" w:cs="Times New Roman"/>
          <w:rtl/>
          <w:lang w:eastAsia="de-DE"/>
        </w:rPr>
        <w:t xml:space="preserve"> </w:t>
      </w:r>
      <w:r w:rsidRPr="009A7693">
        <w:rPr>
          <w:rFonts w:eastAsia="Times New Roman" w:cs="Times New Roman"/>
          <w:lang w:eastAsia="de-DE"/>
        </w:rPr>
        <w:t xml:space="preserve">„wohnen, bleiben"), </w:t>
      </w:r>
      <w:r w:rsidRPr="009A7693">
        <w:rPr>
          <w:rFonts w:eastAsia="Times New Roman" w:cs="Times New Roman"/>
          <w:b/>
          <w:bCs/>
          <w:rtl/>
          <w:lang w:eastAsia="de-DE"/>
        </w:rPr>
        <w:t>עַד־מוֹת הַכֹּהֵן הַגָּדֹל</w:t>
      </w:r>
      <w:r w:rsidRPr="009A7693">
        <w:rPr>
          <w:rFonts w:eastAsia="Times New Roman" w:cs="Times New Roman"/>
          <w:rtl/>
          <w:lang w:eastAsia="de-DE"/>
        </w:rPr>
        <w:t xml:space="preserve"> </w:t>
      </w:r>
      <w:r w:rsidRPr="009A7693">
        <w:rPr>
          <w:rFonts w:eastAsia="Times New Roman" w:cs="Times New Roman"/>
          <w:lang w:eastAsia="de-DE"/>
        </w:rPr>
        <w:t xml:space="preserve">(wie in V. 25 „bis zum Tod des Hohepriesters"). </w:t>
      </w:r>
      <w:r w:rsidRPr="009A7693">
        <w:rPr>
          <w:rFonts w:eastAsia="Times New Roman" w:cs="Times New Roman"/>
          <w:b/>
          <w:bCs/>
          <w:rtl/>
          <w:lang w:eastAsia="de-DE"/>
        </w:rPr>
        <w:t>וְאַחֲרֵי מוֹת הַכֹּהֵן הַגָּדֹל יָשׁוּב הָרֹצֵחַ אֶל־אֶרֶץ אֲחֻזָּתוֹ</w:t>
      </w:r>
      <w:r w:rsidRPr="009A7693">
        <w:rPr>
          <w:rFonts w:eastAsia="Times New Roman" w:cs="Times New Roman"/>
          <w:rtl/>
          <w:lang w:eastAsia="de-DE"/>
        </w:rPr>
        <w:t xml:space="preserve"> </w:t>
      </w:r>
      <w:r w:rsidRPr="009A7693">
        <w:rPr>
          <w:rFonts w:eastAsia="Times New Roman" w:cs="Times New Roman"/>
          <w:lang w:eastAsia="de-DE"/>
        </w:rPr>
        <w:t xml:space="preserve">gibt die Freilassung an. </w:t>
      </w:r>
      <w:r w:rsidRPr="009A7693">
        <w:rPr>
          <w:rFonts w:eastAsia="Times New Roman" w:cs="Times New Roman"/>
          <w:b/>
          <w:bCs/>
          <w:rtl/>
          <w:lang w:eastAsia="de-DE"/>
        </w:rPr>
        <w:t>וְאַחֲרֵי מוֹת הַכֹּהֵן הַגָּדֹל</w:t>
      </w:r>
      <w:r w:rsidRPr="009A7693">
        <w:rPr>
          <w:rFonts w:eastAsia="Times New Roman" w:cs="Times New Roman"/>
          <w:rtl/>
          <w:lang w:eastAsia="de-DE"/>
        </w:rPr>
        <w:t xml:space="preserve"> </w:t>
      </w:r>
      <w:r w:rsidRPr="009A7693">
        <w:rPr>
          <w:rFonts w:eastAsia="Times New Roman" w:cs="Times New Roman"/>
          <w:lang w:eastAsia="de-DE"/>
        </w:rPr>
        <w:t xml:space="preserve">(Konjunktion mit </w:t>
      </w:r>
      <w:r w:rsidRPr="009A7693">
        <w:rPr>
          <w:rFonts w:eastAsia="Times New Roman" w:cs="Times New Roman"/>
          <w:b/>
          <w:bCs/>
          <w:rtl/>
          <w:lang w:eastAsia="de-DE"/>
        </w:rPr>
        <w:t>אַחַר</w:t>
      </w:r>
      <w:r w:rsidRPr="009A7693">
        <w:rPr>
          <w:rFonts w:eastAsia="Times New Roman" w:cs="Times New Roman"/>
          <w:rtl/>
          <w:lang w:eastAsia="de-DE"/>
        </w:rPr>
        <w:t xml:space="preserve"> </w:t>
      </w:r>
      <w:r w:rsidRPr="009A7693">
        <w:rPr>
          <w:rFonts w:eastAsia="Times New Roman" w:cs="Times New Roman"/>
          <w:lang w:eastAsia="de-DE"/>
        </w:rPr>
        <w:t xml:space="preserve">„nach" Plural im </w:t>
      </w:r>
      <w:r w:rsidR="00B513FF">
        <w:rPr>
          <w:rFonts w:eastAsia="Times New Roman" w:cs="Times New Roman"/>
          <w:lang w:eastAsia="de-DE"/>
        </w:rPr>
        <w:t xml:space="preserve">Constructus </w:t>
      </w:r>
      <w:r w:rsidRPr="009A7693">
        <w:rPr>
          <w:rFonts w:eastAsia="Times New Roman" w:cs="Times New Roman"/>
          <w:lang w:eastAsia="de-DE"/>
        </w:rPr>
        <w:t xml:space="preserve"> - idiomatisch </w:t>
      </w:r>
      <w:r w:rsidRPr="009A7693">
        <w:rPr>
          <w:rFonts w:eastAsia="Times New Roman" w:cs="Times New Roman"/>
          <w:b/>
          <w:bCs/>
          <w:rtl/>
          <w:lang w:eastAsia="de-DE"/>
        </w:rPr>
        <w:t>אַחֲרֵי</w:t>
      </w:r>
      <w:r w:rsidRPr="009A7693">
        <w:rPr>
          <w:rFonts w:eastAsia="Times New Roman" w:cs="Times New Roman"/>
          <w:rtl/>
          <w:lang w:eastAsia="de-DE"/>
        </w:rPr>
        <w:t xml:space="preserve"> </w:t>
      </w:r>
      <w:r w:rsidRPr="009A7693">
        <w:rPr>
          <w:rFonts w:eastAsia="Times New Roman" w:cs="Times New Roman"/>
          <w:lang w:eastAsia="de-DE"/>
        </w:rPr>
        <w:t xml:space="preserve">„nach" - und Infinitiv </w:t>
      </w:r>
      <w:r w:rsidR="00E031B3">
        <w:rPr>
          <w:rFonts w:eastAsia="Times New Roman" w:cs="Times New Roman"/>
          <w:lang w:eastAsia="de-DE"/>
        </w:rPr>
        <w:t>Constructus von</w:t>
      </w:r>
      <w:r w:rsidRPr="009A7693">
        <w:rPr>
          <w:rFonts w:eastAsia="Times New Roman" w:cs="Times New Roman"/>
          <w:lang w:eastAsia="de-DE"/>
        </w:rPr>
        <w:t xml:space="preserve"> </w:t>
      </w:r>
      <w:r w:rsidRPr="009A7693">
        <w:rPr>
          <w:rFonts w:eastAsia="Times New Roman" w:cs="Times New Roman"/>
          <w:b/>
          <w:bCs/>
          <w:rtl/>
          <w:lang w:eastAsia="de-DE"/>
        </w:rPr>
        <w:t>מות</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כֹּהֵן גָּדֹל</w:t>
      </w:r>
      <w:r w:rsidRPr="009A7693">
        <w:rPr>
          <w:rFonts w:eastAsia="Times New Roman" w:cs="Times New Roman"/>
          <w:rtl/>
          <w:lang w:eastAsia="de-DE"/>
        </w:rPr>
        <w:t xml:space="preserve"> </w:t>
      </w:r>
      <w:r w:rsidRPr="009A7693">
        <w:rPr>
          <w:rFonts w:eastAsia="Times New Roman" w:cs="Times New Roman"/>
          <w:lang w:eastAsia="de-DE"/>
        </w:rPr>
        <w:t xml:space="preserve">„nach dem Tod des Hohepriesters"), </w:t>
      </w:r>
      <w:r w:rsidRPr="009A7693">
        <w:rPr>
          <w:rFonts w:eastAsia="Times New Roman" w:cs="Times New Roman"/>
          <w:b/>
          <w:bCs/>
          <w:rtl/>
          <w:lang w:eastAsia="de-DE"/>
        </w:rPr>
        <w:t>יָשׁוּב הָרֹצֵחַ</w:t>
      </w:r>
      <w:r w:rsidRPr="009A7693">
        <w:rPr>
          <w:rFonts w:eastAsia="Times New Roman" w:cs="Times New Roman"/>
          <w:rtl/>
          <w:lang w:eastAsia="de-DE"/>
        </w:rPr>
        <w:t xml:space="preserve"> </w:t>
      </w:r>
      <w:r w:rsidRPr="009A7693">
        <w:rPr>
          <w:rFonts w:eastAsia="Times New Roman" w:cs="Times New Roman"/>
          <w:lang w:eastAsia="de-DE"/>
        </w:rPr>
        <w:t xml:space="preserve">(Qal Imperfekt von </w:t>
      </w:r>
      <w:r w:rsidRPr="009A7693">
        <w:rPr>
          <w:rFonts w:eastAsia="Times New Roman" w:cs="Times New Roman"/>
          <w:b/>
          <w:bCs/>
          <w:rtl/>
          <w:lang w:eastAsia="de-DE"/>
        </w:rPr>
        <w:t>שׁוב</w:t>
      </w:r>
      <w:r w:rsidRPr="009A7693">
        <w:rPr>
          <w:rFonts w:eastAsia="Times New Roman" w:cs="Times New Roman"/>
          <w:rtl/>
          <w:lang w:eastAsia="de-DE"/>
        </w:rPr>
        <w:t xml:space="preserve"> </w:t>
      </w:r>
      <w:r w:rsidRPr="009A7693">
        <w:rPr>
          <w:rFonts w:eastAsia="Times New Roman" w:cs="Times New Roman"/>
          <w:lang w:eastAsia="de-DE"/>
        </w:rPr>
        <w:t xml:space="preserve">„zurückkehren" mit Subjekt „der Totschläger darf/soll zurückkehren"), </w:t>
      </w:r>
      <w:r w:rsidRPr="009A7693">
        <w:rPr>
          <w:rFonts w:eastAsia="Times New Roman" w:cs="Times New Roman"/>
          <w:b/>
          <w:bCs/>
          <w:rtl/>
          <w:lang w:eastAsia="de-DE"/>
        </w:rPr>
        <w:t>אֶל־אֶרֶץ אֲחֻזָּתוֹ</w:t>
      </w:r>
      <w:r w:rsidRPr="009A7693">
        <w:rPr>
          <w:rFonts w:eastAsia="Times New Roman" w:cs="Times New Roman"/>
          <w:rtl/>
          <w:lang w:eastAsia="de-DE"/>
        </w:rPr>
        <w:t xml:space="preserve"> </w:t>
      </w:r>
      <w:r w:rsidRPr="009A7693">
        <w:rPr>
          <w:rFonts w:eastAsia="Times New Roman" w:cs="Times New Roman"/>
          <w:lang w:eastAsia="de-DE"/>
        </w:rPr>
        <w:t xml:space="preserve">(Präposition mit </w:t>
      </w:r>
      <w:r w:rsidRPr="009A7693">
        <w:rPr>
          <w:rFonts w:eastAsia="Times New Roman" w:cs="Times New Roman"/>
          <w:b/>
          <w:bCs/>
          <w:rtl/>
          <w:lang w:eastAsia="de-DE"/>
        </w:rPr>
        <w:t>אֶרֶץ</w:t>
      </w:r>
      <w:r w:rsidRPr="009A7693">
        <w:rPr>
          <w:rFonts w:eastAsia="Times New Roman" w:cs="Times New Roman"/>
          <w:rtl/>
          <w:lang w:eastAsia="de-DE"/>
        </w:rPr>
        <w:t xml:space="preserve"> </w:t>
      </w:r>
      <w:r w:rsidRPr="009A7693">
        <w:rPr>
          <w:rFonts w:eastAsia="Times New Roman" w:cs="Times New Roman"/>
          <w:lang w:eastAsia="de-DE"/>
        </w:rPr>
        <w:t xml:space="preserve">„Land" im </w:t>
      </w:r>
      <w:r w:rsidR="00E031B3">
        <w:rPr>
          <w:rFonts w:eastAsia="Times New Roman" w:cs="Times New Roman"/>
          <w:lang w:eastAsia="de-DE"/>
        </w:rPr>
        <w:t>Constructus und</w:t>
      </w:r>
      <w:r w:rsidRPr="009A7693">
        <w:rPr>
          <w:rFonts w:eastAsia="Times New Roman" w:cs="Times New Roman"/>
          <w:lang w:eastAsia="de-DE"/>
        </w:rPr>
        <w:t xml:space="preserve"> </w:t>
      </w:r>
      <w:r w:rsidRPr="009A7693">
        <w:rPr>
          <w:rFonts w:eastAsia="Times New Roman" w:cs="Times New Roman"/>
          <w:b/>
          <w:bCs/>
          <w:rtl/>
          <w:lang w:eastAsia="de-DE"/>
        </w:rPr>
        <w:t>אֲחֻזָּה</w:t>
      </w:r>
      <w:r w:rsidRPr="009A7693">
        <w:rPr>
          <w:rFonts w:eastAsia="Times New Roman" w:cs="Times New Roman"/>
          <w:rtl/>
          <w:lang w:eastAsia="de-DE"/>
        </w:rPr>
        <w:t xml:space="preserve"> </w:t>
      </w:r>
      <w:r w:rsidRPr="009A7693">
        <w:rPr>
          <w:rFonts w:eastAsia="Times New Roman" w:cs="Times New Roman"/>
          <w:lang w:eastAsia="de-DE"/>
        </w:rPr>
        <w:t>„Eigentum, Besitztum" mit Suffix „in das Land seines Eigentums").</w:t>
      </w:r>
    </w:p>
    <w:p w14:paraId="27E817E2"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Die Satzstruktur zeigt eine kausale Begründung und eine temporale Folgebestimmung.</w:t>
      </w:r>
    </w:p>
    <w:p w14:paraId="0DE90E4C" w14:textId="60B87C8E" w:rsid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Der Vers wiederholt und präzisiert: Der Totschläger muss bis zum Tod des Hohepriesters in der Zufluchtsstadt bleiben - danach ist er frei und darf heimkehren. Der Tod des Hohepriesters wirkt wie eine kollektive Sühne oder ein genereller Schuldenerlass - danach beginnt eine neue Ära, in der der Totschläger ohne Blutrache-Gefahr in seine Heimat zurückkehren kann. Dies ist eine bemerkenswerte Verbindung von Recht und Kult: Der Tod des höchsten religiösen Amtsträgers markiert einen rechtlichen Neuanfang.</w:t>
      </w:r>
    </w:p>
    <w:p w14:paraId="4791ACD4" w14:textId="77777777" w:rsidR="00CF638D" w:rsidRDefault="00CF638D" w:rsidP="00CF638D">
      <w:pPr>
        <w:pStyle w:val="berschrift4"/>
      </w:pPr>
      <w:r>
        <w:t>Theologische Vertiefung: Warum der Tod des Hohepriesters?</w:t>
      </w:r>
    </w:p>
    <w:p w14:paraId="3AA0268B" w14:textId="77777777" w:rsidR="00CF638D" w:rsidRDefault="00CF638D" w:rsidP="00CF638D">
      <w:pPr>
        <w:pStyle w:val="whitespace-normal"/>
      </w:pPr>
      <w:r>
        <w:t>Die Regelung, dass der Totschläger bis zum Tod des amtierenden Hohepriesters in der Zufluchtsstadt bleiben muss (V. 25, 28), ist theologisch höchst bedeutsam und wirft Fragen auf:</w:t>
      </w:r>
    </w:p>
    <w:p w14:paraId="2CF3810F" w14:textId="77777777" w:rsidR="00CF638D" w:rsidRDefault="00CF638D" w:rsidP="00CF638D">
      <w:pPr>
        <w:pStyle w:val="whitespace-normal"/>
      </w:pPr>
      <w:r>
        <w:rPr>
          <w:rStyle w:val="Fett"/>
        </w:rPr>
        <w:t>1. Der Hohepriester als Sühnefigur</w:t>
      </w:r>
    </w:p>
    <w:p w14:paraId="14AAD8C5" w14:textId="77777777" w:rsidR="00CF638D" w:rsidRDefault="00CF638D" w:rsidP="00CF638D">
      <w:pPr>
        <w:pStyle w:val="whitespace-normal"/>
      </w:pPr>
      <w:r>
        <w:t xml:space="preserve">Die Verbindung zwischen dem Tod des Hohepriesters und der Freilassung des Totschlägers deutet auf eine </w:t>
      </w:r>
      <w:r>
        <w:rPr>
          <w:rStyle w:val="Fett"/>
        </w:rPr>
        <w:t>stellvertretende Sühnefunktion</w:t>
      </w:r>
      <w:r>
        <w:t>:</w:t>
      </w:r>
    </w:p>
    <w:p w14:paraId="794AB982" w14:textId="77777777" w:rsidR="00CF638D" w:rsidRDefault="00CF638D" w:rsidP="00097545">
      <w:pPr>
        <w:pStyle w:val="whitespace-normal"/>
        <w:numPr>
          <w:ilvl w:val="0"/>
          <w:numId w:val="235"/>
        </w:numPr>
      </w:pPr>
      <w:r>
        <w:t>Der Hohepriester trägt am Versöhnungstag (Jom Kippur) die Sünden des Volkes (Lev 16)</w:t>
      </w:r>
    </w:p>
    <w:p w14:paraId="42BB960E" w14:textId="77777777" w:rsidR="00CF638D" w:rsidRDefault="00CF638D" w:rsidP="00097545">
      <w:pPr>
        <w:pStyle w:val="whitespace-normal"/>
        <w:numPr>
          <w:ilvl w:val="0"/>
          <w:numId w:val="235"/>
        </w:numPr>
      </w:pPr>
      <w:r>
        <w:t xml:space="preserve">Sein Tod bewirkt eine Art </w:t>
      </w:r>
      <w:r>
        <w:rPr>
          <w:rStyle w:val="Fett"/>
        </w:rPr>
        <w:t>kollektive Sühne</w:t>
      </w:r>
      <w:r>
        <w:t xml:space="preserve"> oder </w:t>
      </w:r>
      <w:r>
        <w:rPr>
          <w:rStyle w:val="Fett"/>
        </w:rPr>
        <w:t>generellen Schuldenerlass</w:t>
      </w:r>
    </w:p>
    <w:p w14:paraId="31786B3B" w14:textId="77777777" w:rsidR="00CF638D" w:rsidRDefault="00CF638D" w:rsidP="00097545">
      <w:pPr>
        <w:pStyle w:val="whitespace-normal"/>
        <w:numPr>
          <w:ilvl w:val="0"/>
          <w:numId w:val="235"/>
        </w:numPr>
      </w:pPr>
      <w:r>
        <w:t>Der Tod des Hohepriesters schließt eine Epoche ab und eröffnet einen Neuanfang</w:t>
      </w:r>
    </w:p>
    <w:p w14:paraId="73B68F98" w14:textId="77777777" w:rsidR="00CF638D" w:rsidRDefault="00CF638D" w:rsidP="00CF638D">
      <w:pPr>
        <w:pStyle w:val="whitespace-normal"/>
      </w:pPr>
      <w:r>
        <w:rPr>
          <w:rStyle w:val="Fett"/>
        </w:rPr>
        <w:t>2. Mögliche Erklärungen in der Forschung:</w:t>
      </w:r>
    </w:p>
    <w:p w14:paraId="3DAFC044" w14:textId="77777777" w:rsidR="00CF638D" w:rsidRDefault="00CF638D" w:rsidP="00CF638D">
      <w:pPr>
        <w:pStyle w:val="whitespace-normal"/>
      </w:pPr>
      <w:r>
        <w:rPr>
          <w:rStyle w:val="Fett"/>
        </w:rPr>
        <w:t>a) Epochenwechsel-Theorie:</w:t>
      </w:r>
    </w:p>
    <w:p w14:paraId="1A6FC8E5" w14:textId="77777777" w:rsidR="00CF638D" w:rsidRDefault="00CF638D" w:rsidP="00097545">
      <w:pPr>
        <w:pStyle w:val="whitespace-normal"/>
        <w:numPr>
          <w:ilvl w:val="0"/>
          <w:numId w:val="236"/>
        </w:numPr>
      </w:pPr>
      <w:r>
        <w:t>Der Hohepriester verkörpert seine Generation</w:t>
      </w:r>
    </w:p>
    <w:p w14:paraId="4D7ACB03" w14:textId="77777777" w:rsidR="00CF638D" w:rsidRDefault="00CF638D" w:rsidP="00097545">
      <w:pPr>
        <w:pStyle w:val="whitespace-normal"/>
        <w:numPr>
          <w:ilvl w:val="0"/>
          <w:numId w:val="236"/>
        </w:numPr>
      </w:pPr>
      <w:r>
        <w:lastRenderedPageBreak/>
        <w:t>Sein Tod markiert einen generationellen Neuanfang</w:t>
      </w:r>
    </w:p>
    <w:p w14:paraId="7ACB196A" w14:textId="77777777" w:rsidR="00CF638D" w:rsidRDefault="00CF638D" w:rsidP="00097545">
      <w:pPr>
        <w:pStyle w:val="whitespace-normal"/>
        <w:numPr>
          <w:ilvl w:val="0"/>
          <w:numId w:val="236"/>
        </w:numPr>
      </w:pPr>
      <w:r>
        <w:t>Der Totschläger gehört damit zu einer "neuen Ära" ohne Blutschuld</w:t>
      </w:r>
    </w:p>
    <w:p w14:paraId="5C9AE3DA" w14:textId="77777777" w:rsidR="00CF638D" w:rsidRDefault="00CF638D" w:rsidP="00CF638D">
      <w:pPr>
        <w:pStyle w:val="whitespace-normal"/>
      </w:pPr>
      <w:r>
        <w:rPr>
          <w:rStyle w:val="Fett"/>
        </w:rPr>
        <w:t>b) Stellvertretende Sühne:</w:t>
      </w:r>
    </w:p>
    <w:p w14:paraId="3D241536" w14:textId="77777777" w:rsidR="00CF638D" w:rsidRDefault="00CF638D" w:rsidP="00097545">
      <w:pPr>
        <w:pStyle w:val="whitespace-normal"/>
        <w:numPr>
          <w:ilvl w:val="0"/>
          <w:numId w:val="237"/>
        </w:numPr>
      </w:pPr>
      <w:r>
        <w:t>Der Hohepriester stirbt "anstelle" des Totschlägers</w:t>
      </w:r>
    </w:p>
    <w:p w14:paraId="2C4E8B7D" w14:textId="77777777" w:rsidR="00CF638D" w:rsidRDefault="00CF638D" w:rsidP="00097545">
      <w:pPr>
        <w:pStyle w:val="whitespace-normal"/>
        <w:numPr>
          <w:ilvl w:val="0"/>
          <w:numId w:val="237"/>
        </w:numPr>
      </w:pPr>
      <w:r>
        <w:t>Sein Tod "bezahlt" die unbeabsichtigte Blutschuld</w:t>
      </w:r>
    </w:p>
    <w:p w14:paraId="5C4A1034" w14:textId="77777777" w:rsidR="00CF638D" w:rsidRDefault="00CF638D" w:rsidP="00097545">
      <w:pPr>
        <w:pStyle w:val="whitespace-normal"/>
        <w:numPr>
          <w:ilvl w:val="0"/>
          <w:numId w:val="237"/>
        </w:numPr>
      </w:pPr>
      <w:r>
        <w:t>Parallele zur Opfertheologie: Leben für Leben</w:t>
      </w:r>
    </w:p>
    <w:p w14:paraId="205C73E8" w14:textId="77777777" w:rsidR="00CF638D" w:rsidRDefault="00CF638D" w:rsidP="00CF638D">
      <w:pPr>
        <w:pStyle w:val="whitespace-normal"/>
      </w:pPr>
      <w:r>
        <w:rPr>
          <w:rStyle w:val="Fett"/>
        </w:rPr>
        <w:t>c) Natürliche Vergessens-Zeitspanne:</w:t>
      </w:r>
    </w:p>
    <w:p w14:paraId="15D75D08" w14:textId="77777777" w:rsidR="00CF638D" w:rsidRDefault="00CF638D" w:rsidP="00097545">
      <w:pPr>
        <w:pStyle w:val="whitespace-normal"/>
        <w:numPr>
          <w:ilvl w:val="0"/>
          <w:numId w:val="238"/>
        </w:numPr>
      </w:pPr>
      <w:r>
        <w:t>Der Tod des Hohepriesters markiert normalerweise Jahrzehnte</w:t>
      </w:r>
    </w:p>
    <w:p w14:paraId="0218B5E8" w14:textId="77777777" w:rsidR="00CF638D" w:rsidRDefault="00CF638D" w:rsidP="00097545">
      <w:pPr>
        <w:pStyle w:val="whitespace-normal"/>
        <w:numPr>
          <w:ilvl w:val="0"/>
          <w:numId w:val="238"/>
        </w:numPr>
      </w:pPr>
      <w:r>
        <w:t>In dieser Zeit kann die Rachebereitschaft der Angehörigen abkühlen</w:t>
      </w:r>
    </w:p>
    <w:p w14:paraId="09072907" w14:textId="77777777" w:rsidR="00CF638D" w:rsidRDefault="00CF638D" w:rsidP="00097545">
      <w:pPr>
        <w:pStyle w:val="whitespace-normal"/>
        <w:numPr>
          <w:ilvl w:val="0"/>
          <w:numId w:val="238"/>
        </w:numPr>
      </w:pPr>
      <w:r>
        <w:t>Pragmatische Lösung: Zeitspanne ohne feste Jahresangabe</w:t>
      </w:r>
    </w:p>
    <w:p w14:paraId="72BD974E" w14:textId="77777777" w:rsidR="00CF638D" w:rsidRDefault="00CF638D" w:rsidP="00CF638D">
      <w:pPr>
        <w:pStyle w:val="whitespace-normal"/>
      </w:pPr>
      <w:r>
        <w:rPr>
          <w:rStyle w:val="Fett"/>
        </w:rPr>
        <w:t>d) Zufälligkeit als göttliche Fügung:</w:t>
      </w:r>
    </w:p>
    <w:p w14:paraId="6E629125" w14:textId="77777777" w:rsidR="00CF638D" w:rsidRDefault="00CF638D" w:rsidP="00097545">
      <w:pPr>
        <w:pStyle w:val="whitespace-normal"/>
        <w:numPr>
          <w:ilvl w:val="0"/>
          <w:numId w:val="239"/>
        </w:numPr>
      </w:pPr>
      <w:r>
        <w:t>Der Zeitpunkt ist nicht vom Totschläger beeinflussbar</w:t>
      </w:r>
    </w:p>
    <w:p w14:paraId="5667393E" w14:textId="77777777" w:rsidR="00CF638D" w:rsidRDefault="00CF638D" w:rsidP="00097545">
      <w:pPr>
        <w:pStyle w:val="whitespace-normal"/>
        <w:numPr>
          <w:ilvl w:val="0"/>
          <w:numId w:val="239"/>
        </w:numPr>
      </w:pPr>
      <w:r>
        <w:t>Damit liegt die "Strafe" in Gottes Hand</w:t>
      </w:r>
    </w:p>
    <w:p w14:paraId="510BE2A7" w14:textId="77777777" w:rsidR="00CF638D" w:rsidRDefault="00CF638D" w:rsidP="00097545">
      <w:pPr>
        <w:pStyle w:val="whitespace-normal"/>
        <w:numPr>
          <w:ilvl w:val="0"/>
          <w:numId w:val="239"/>
        </w:numPr>
      </w:pPr>
      <w:r>
        <w:t>Verhindert Manipulation und Ungerechtigkeit</w:t>
      </w:r>
    </w:p>
    <w:p w14:paraId="5003066C" w14:textId="77777777" w:rsidR="00CF638D" w:rsidRDefault="00CF638D" w:rsidP="00CF638D">
      <w:pPr>
        <w:pStyle w:val="whitespace-normal"/>
      </w:pPr>
      <w:r>
        <w:rPr>
          <w:rStyle w:val="Fett"/>
        </w:rPr>
        <w:t>3. Rabbinische Interpretation:</w:t>
      </w:r>
    </w:p>
    <w:p w14:paraId="1F1A2A57" w14:textId="77777777" w:rsidR="00CF638D" w:rsidRDefault="00CF638D" w:rsidP="00CF638D">
      <w:pPr>
        <w:pStyle w:val="whitespace-normal"/>
      </w:pPr>
      <w:r>
        <w:rPr>
          <w:rStyle w:val="Fett"/>
        </w:rPr>
        <w:t>Mischna (Makkot 2,6):</w:t>
      </w:r>
    </w:p>
    <w:p w14:paraId="49D6FB8F" w14:textId="77777777" w:rsidR="00CF638D" w:rsidRDefault="00CF638D" w:rsidP="00097545">
      <w:pPr>
        <w:pStyle w:val="whitespace-normal"/>
        <w:numPr>
          <w:ilvl w:val="0"/>
          <w:numId w:val="240"/>
        </w:numPr>
      </w:pPr>
      <w:r>
        <w:t>Die Mutter des Hohepriesters brachte den Totschlägern in den Zufluchtsstädten Essen und Kleidung</w:t>
      </w:r>
    </w:p>
    <w:p w14:paraId="577D8061" w14:textId="77777777" w:rsidR="00CF638D" w:rsidRDefault="00CF638D" w:rsidP="00097545">
      <w:pPr>
        <w:pStyle w:val="whitespace-normal"/>
        <w:numPr>
          <w:ilvl w:val="0"/>
          <w:numId w:val="240"/>
        </w:numPr>
      </w:pPr>
      <w:r>
        <w:t>Warum? Damit sie NICHT für den Tod ihres Sohnes beten!</w:t>
      </w:r>
    </w:p>
    <w:p w14:paraId="04B2E481" w14:textId="77777777" w:rsidR="00CF638D" w:rsidRDefault="00CF638D" w:rsidP="00097545">
      <w:pPr>
        <w:pStyle w:val="whitespace-normal"/>
        <w:numPr>
          <w:ilvl w:val="0"/>
          <w:numId w:val="240"/>
        </w:numPr>
      </w:pPr>
      <w:r>
        <w:t>Dies zeigt: Man war sich der Spannung bewusst</w:t>
      </w:r>
    </w:p>
    <w:p w14:paraId="5DF4E57B" w14:textId="77777777" w:rsidR="00CF638D" w:rsidRDefault="00CF638D" w:rsidP="00CF638D">
      <w:pPr>
        <w:pStyle w:val="whitespace-normal"/>
      </w:pPr>
      <w:r>
        <w:rPr>
          <w:rStyle w:val="Fett"/>
        </w:rPr>
        <w:t>Talmud (b. Makkot 11b):</w:t>
      </w:r>
    </w:p>
    <w:p w14:paraId="17147781" w14:textId="77777777" w:rsidR="00CF638D" w:rsidRDefault="00CF638D" w:rsidP="00097545">
      <w:pPr>
        <w:pStyle w:val="whitespace-normal"/>
        <w:numPr>
          <w:ilvl w:val="0"/>
          <w:numId w:val="241"/>
        </w:numPr>
      </w:pPr>
      <w:r>
        <w:t>Diskussion: Was, wenn der Hohepriester stirbt, BEVOR das Urteil gesprochen wird?</w:t>
      </w:r>
    </w:p>
    <w:p w14:paraId="07393ED9" w14:textId="77777777" w:rsidR="00CF638D" w:rsidRDefault="00CF638D" w:rsidP="00097545">
      <w:pPr>
        <w:pStyle w:val="whitespace-normal"/>
        <w:numPr>
          <w:ilvl w:val="0"/>
          <w:numId w:val="241"/>
        </w:numPr>
      </w:pPr>
      <w:r>
        <w:t>Antwort: Der neue Hohepriester "erbt" die Sühnefunktion</w:t>
      </w:r>
    </w:p>
    <w:p w14:paraId="3A2CBA0A" w14:textId="77777777" w:rsidR="00CF638D" w:rsidRDefault="00CF638D" w:rsidP="00097545">
      <w:pPr>
        <w:pStyle w:val="whitespace-normal"/>
        <w:numPr>
          <w:ilvl w:val="0"/>
          <w:numId w:val="241"/>
        </w:numPr>
      </w:pPr>
      <w:r>
        <w:t>Der Totschläger muss bis zum Tod des ZWEITEN Hohepriesters warten</w:t>
      </w:r>
    </w:p>
    <w:p w14:paraId="60E9D5BE" w14:textId="77777777" w:rsidR="00CF638D" w:rsidRDefault="00CF638D" w:rsidP="00CF638D">
      <w:pPr>
        <w:pStyle w:val="whitespace-normal"/>
      </w:pPr>
      <w:r>
        <w:rPr>
          <w:rStyle w:val="Fett"/>
        </w:rPr>
        <w:t>4. Christologische Deutung (christliche Perspektive):</w:t>
      </w:r>
    </w:p>
    <w:p w14:paraId="05B9B823" w14:textId="77777777" w:rsidR="00CF638D" w:rsidRDefault="00CF638D" w:rsidP="00CF638D">
      <w:pPr>
        <w:pStyle w:val="whitespace-normal"/>
      </w:pPr>
      <w:r>
        <w:t xml:space="preserve">Die frühe Kirche sah in der Zufluchtsstadt ein </w:t>
      </w:r>
      <w:r>
        <w:rPr>
          <w:rStyle w:val="Fett"/>
        </w:rPr>
        <w:t>Typus Christi</w:t>
      </w:r>
      <w:r>
        <w:t>:</w:t>
      </w:r>
    </w:p>
    <w:p w14:paraId="40D9CF96" w14:textId="77777777" w:rsidR="00CF638D" w:rsidRDefault="00CF638D" w:rsidP="00097545">
      <w:pPr>
        <w:pStyle w:val="whitespace-normal"/>
        <w:numPr>
          <w:ilvl w:val="0"/>
          <w:numId w:val="242"/>
        </w:numPr>
      </w:pPr>
      <w:r>
        <w:rPr>
          <w:rStyle w:val="Fett"/>
        </w:rPr>
        <w:t>Hebräer 6,18</w:t>
      </w:r>
      <w:r>
        <w:t>: "...dass wir einen starken Trost hätten, die wir unsere Zuvers icht zu der angebotenen Hoffnung nehmen"</w:t>
      </w:r>
    </w:p>
    <w:p w14:paraId="7EFD8228" w14:textId="77777777" w:rsidR="00CF638D" w:rsidRDefault="00CF638D" w:rsidP="00097545">
      <w:pPr>
        <w:pStyle w:val="whitespace-normal"/>
        <w:numPr>
          <w:ilvl w:val="0"/>
          <w:numId w:val="242"/>
        </w:numPr>
      </w:pPr>
      <w:r>
        <w:t xml:space="preserve">Christus als </w:t>
      </w:r>
      <w:r>
        <w:rPr>
          <w:rStyle w:val="Fett"/>
        </w:rPr>
        <w:t>ewige Zufluchtsstadt</w:t>
      </w:r>
    </w:p>
    <w:p w14:paraId="5E774279" w14:textId="77777777" w:rsidR="00CF638D" w:rsidRDefault="00CF638D" w:rsidP="00097545">
      <w:pPr>
        <w:pStyle w:val="whitespace-normal"/>
        <w:numPr>
          <w:ilvl w:val="0"/>
          <w:numId w:val="242"/>
        </w:numPr>
      </w:pPr>
      <w:r>
        <w:t xml:space="preserve">Sein Tod bewirkt </w:t>
      </w:r>
      <w:r>
        <w:rPr>
          <w:rStyle w:val="Fett"/>
        </w:rPr>
        <w:t>endgültige Sühne</w:t>
      </w:r>
      <w:r>
        <w:t>, nicht nur temporäre</w:t>
      </w:r>
    </w:p>
    <w:p w14:paraId="203E053C" w14:textId="77777777" w:rsidR="00CF638D" w:rsidRDefault="00CF638D" w:rsidP="00097545">
      <w:pPr>
        <w:pStyle w:val="whitespace-normal"/>
        <w:numPr>
          <w:ilvl w:val="0"/>
          <w:numId w:val="242"/>
        </w:numPr>
      </w:pPr>
      <w:r>
        <w:t>Der christliche Gläubige ist dauerhaft "in Christus" sicher</w:t>
      </w:r>
    </w:p>
    <w:p w14:paraId="065B8A25" w14:textId="77777777" w:rsidR="00CF638D" w:rsidRDefault="00CF638D" w:rsidP="00CF638D">
      <w:pPr>
        <w:pStyle w:val="whitespace-normal"/>
      </w:pPr>
      <w:r>
        <w:rPr>
          <w:rStyle w:val="Fett"/>
        </w:rPr>
        <w:t>5. Moderne rechtliche Reflexion:</w:t>
      </w:r>
    </w:p>
    <w:p w14:paraId="00CF5B87" w14:textId="77777777" w:rsidR="00CF638D" w:rsidRDefault="00CF638D" w:rsidP="00097545">
      <w:pPr>
        <w:pStyle w:val="whitespace-normal"/>
        <w:numPr>
          <w:ilvl w:val="0"/>
          <w:numId w:val="243"/>
        </w:numPr>
      </w:pPr>
      <w:r>
        <w:t xml:space="preserve">Das System zeigt </w:t>
      </w:r>
      <w:r>
        <w:rPr>
          <w:rStyle w:val="Fett"/>
        </w:rPr>
        <w:t>Zeitstrafe ohne feste Dauer</w:t>
      </w:r>
      <w:r>
        <w:t xml:space="preserve"> – abhängig von externem Ereignis</w:t>
      </w:r>
    </w:p>
    <w:p w14:paraId="2DF6F25B" w14:textId="77777777" w:rsidR="00CF638D" w:rsidRDefault="00CF638D" w:rsidP="00097545">
      <w:pPr>
        <w:pStyle w:val="whitespace-normal"/>
        <w:numPr>
          <w:ilvl w:val="0"/>
          <w:numId w:val="243"/>
        </w:numPr>
      </w:pPr>
      <w:r>
        <w:lastRenderedPageBreak/>
        <w:t>Vergleichbar: "lebenslänglich mit Möglichkeit der Bewährung" – aber Kriterium ist nicht Verhalten, sondern Tod einer Person</w:t>
      </w:r>
    </w:p>
    <w:p w14:paraId="75BC5C42" w14:textId="77777777" w:rsidR="00CF638D" w:rsidRDefault="00CF638D" w:rsidP="00097545">
      <w:pPr>
        <w:pStyle w:val="whitespace-normal"/>
        <w:numPr>
          <w:ilvl w:val="0"/>
          <w:numId w:val="243"/>
        </w:numPr>
      </w:pPr>
      <w:r>
        <w:t>Ethische Frage: Ist es gerecht, dass die Strafe von einem Zufall abhängt?</w:t>
      </w:r>
    </w:p>
    <w:p w14:paraId="562C3517" w14:textId="77777777" w:rsidR="00CF638D" w:rsidRDefault="00CF638D" w:rsidP="00097545">
      <w:pPr>
        <w:pStyle w:val="whitespace-normal"/>
        <w:numPr>
          <w:ilvl w:val="0"/>
          <w:numId w:val="243"/>
        </w:numPr>
      </w:pPr>
      <w:r>
        <w:t>Antwort: In einer theokratischen Gesellschaft ist nichts "Zufall" – alles liegt in Gottes Hand</w:t>
      </w:r>
    </w:p>
    <w:p w14:paraId="78FDA52B" w14:textId="77777777" w:rsidR="00CF638D" w:rsidRDefault="00CF638D" w:rsidP="00CF638D">
      <w:pPr>
        <w:pStyle w:val="whitespace-normal"/>
      </w:pPr>
      <w:r>
        <w:rPr>
          <w:rStyle w:val="Fett"/>
        </w:rPr>
        <w:t>6. Theologische Gesamtaussage:</w:t>
      </w:r>
    </w:p>
    <w:p w14:paraId="35B65F74" w14:textId="77777777" w:rsidR="00CF638D" w:rsidRDefault="00CF638D" w:rsidP="00CF638D">
      <w:pPr>
        <w:pStyle w:val="whitespace-normal"/>
      </w:pPr>
      <w:r>
        <w:t xml:space="preserve">Die Verbindung von </w:t>
      </w:r>
      <w:r>
        <w:rPr>
          <w:rStyle w:val="Fett"/>
        </w:rPr>
        <w:t>unbeabsichtigter Tötung → Asyl → Tod des Hohepriesters → Freilassung</w:t>
      </w:r>
      <w:r>
        <w:t xml:space="preserve"> zeigt:</w:t>
      </w:r>
    </w:p>
    <w:p w14:paraId="3078B04C" w14:textId="77777777" w:rsidR="00CF638D" w:rsidRDefault="00CF638D" w:rsidP="00097545">
      <w:pPr>
        <w:pStyle w:val="whitespace-normal"/>
        <w:numPr>
          <w:ilvl w:val="0"/>
          <w:numId w:val="244"/>
        </w:numPr>
      </w:pPr>
      <w:r>
        <w:rPr>
          <w:rStyle w:val="Fett"/>
        </w:rPr>
        <w:t>Blutschuld</w:t>
      </w:r>
      <w:r>
        <w:t xml:space="preserve"> ist real, auch wenn unbeabsichtigt</w:t>
      </w:r>
    </w:p>
    <w:p w14:paraId="21100E35" w14:textId="77777777" w:rsidR="00CF638D" w:rsidRDefault="00CF638D" w:rsidP="00097545">
      <w:pPr>
        <w:pStyle w:val="whitespace-normal"/>
        <w:numPr>
          <w:ilvl w:val="0"/>
          <w:numId w:val="244"/>
        </w:numPr>
      </w:pPr>
      <w:r>
        <w:rPr>
          <w:rStyle w:val="Fett"/>
        </w:rPr>
        <w:t>Sühne</w:t>
      </w:r>
      <w:r>
        <w:t xml:space="preserve"> ist nötig, kann aber stellvertretend erfolgen</w:t>
      </w:r>
    </w:p>
    <w:p w14:paraId="7FFDBC60" w14:textId="77777777" w:rsidR="00CF638D" w:rsidRDefault="00CF638D" w:rsidP="00097545">
      <w:pPr>
        <w:pStyle w:val="whitespace-normal"/>
        <w:numPr>
          <w:ilvl w:val="0"/>
          <w:numId w:val="244"/>
        </w:numPr>
      </w:pPr>
      <w:r>
        <w:t xml:space="preserve">Der </w:t>
      </w:r>
      <w:r>
        <w:rPr>
          <w:rStyle w:val="Fett"/>
        </w:rPr>
        <w:t>Hohepriester</w:t>
      </w:r>
      <w:r>
        <w:t xml:space="preserve"> ist zentrale Sühnefigur</w:t>
      </w:r>
    </w:p>
    <w:p w14:paraId="4430A6C3" w14:textId="77777777" w:rsidR="00CF638D" w:rsidRDefault="00CF638D" w:rsidP="00097545">
      <w:pPr>
        <w:pStyle w:val="whitespace-normal"/>
        <w:numPr>
          <w:ilvl w:val="0"/>
          <w:numId w:val="244"/>
        </w:numPr>
      </w:pPr>
      <w:r>
        <w:rPr>
          <w:rStyle w:val="Fett"/>
        </w:rPr>
        <w:t>Zeit</w:t>
      </w:r>
      <w:r>
        <w:t xml:space="preserve"> (bzw. der Tod des Hohepriesters) heilt und sühnt</w:t>
      </w:r>
    </w:p>
    <w:p w14:paraId="208F3C6A" w14:textId="3C0FFE04" w:rsidR="00CF638D" w:rsidRPr="00CF638D" w:rsidRDefault="00CF638D" w:rsidP="00097545">
      <w:pPr>
        <w:pStyle w:val="whitespace-normal"/>
        <w:numPr>
          <w:ilvl w:val="0"/>
          <w:numId w:val="244"/>
        </w:numPr>
      </w:pPr>
      <w:r>
        <w:t xml:space="preserve">Das </w:t>
      </w:r>
      <w:r>
        <w:rPr>
          <w:rStyle w:val="Fett"/>
        </w:rPr>
        <w:t>Land</w:t>
      </w:r>
      <w:r>
        <w:t xml:space="preserve"> wird durch den Tod des Hohepriesters von der Blutschuld befreit</w:t>
      </w:r>
    </w:p>
    <w:p w14:paraId="40D6413E" w14:textId="77777777" w:rsidR="009A7693" w:rsidRPr="009A7693" w:rsidRDefault="009A7693" w:rsidP="009A7693">
      <w:pPr>
        <w:spacing w:before="100" w:beforeAutospacing="1" w:after="100" w:afterAutospacing="1" w:line="240" w:lineRule="auto"/>
        <w:outlineLvl w:val="0"/>
        <w:rPr>
          <w:rFonts w:eastAsia="Times New Roman" w:cs="Times New Roman"/>
          <w:b/>
          <w:bCs/>
          <w:kern w:val="36"/>
          <w:sz w:val="48"/>
          <w:szCs w:val="48"/>
          <w:lang w:eastAsia="de-DE"/>
        </w:rPr>
      </w:pPr>
      <w:r w:rsidRPr="009A7693">
        <w:rPr>
          <w:rFonts w:eastAsia="Times New Roman" w:cs="Times New Roman"/>
          <w:b/>
          <w:bCs/>
          <w:kern w:val="36"/>
          <w:sz w:val="48"/>
          <w:szCs w:val="48"/>
          <w:lang w:eastAsia="de-DE"/>
        </w:rPr>
        <w:t>Numeri 35,29</w:t>
      </w:r>
    </w:p>
    <w:p w14:paraId="7691B3DF"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Hebräisch:</w:t>
      </w:r>
      <w:r w:rsidRPr="009A7693">
        <w:rPr>
          <w:rFonts w:eastAsia="Times New Roman" w:cs="Times New Roman"/>
          <w:lang w:eastAsia="de-DE"/>
        </w:rPr>
        <w:t xml:space="preserve"> </w:t>
      </w:r>
      <w:r w:rsidRPr="009A7693">
        <w:rPr>
          <w:rFonts w:eastAsia="Times New Roman" w:cs="Times New Roman"/>
          <w:rtl/>
          <w:lang w:eastAsia="de-DE"/>
        </w:rPr>
        <w:t>וְהָי֨וּ אֵ֧לֶּה לָכֶ֛ם לְחֻקַּ֥ת מִשְׁפָּ֖ט לְדֹרֹתֵיכֶ֑ם בְּכֹ֖ל מוֹשְׁבֹתֵיכֶֽם׃</w:t>
      </w:r>
    </w:p>
    <w:p w14:paraId="4EAE75BC"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Deutsch:</w:t>
      </w:r>
      <w:r w:rsidRPr="009A7693">
        <w:rPr>
          <w:rFonts w:eastAsia="Times New Roman" w:cs="Times New Roman"/>
          <w:lang w:eastAsia="de-DE"/>
        </w:rPr>
        <w:t xml:space="preserve"> Und dies soll euch zu einer Rechtssatzung sein bei euren Generationen in allen euren Wohnsitzen.</w:t>
      </w:r>
    </w:p>
    <w:p w14:paraId="15E793BA"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pict w14:anchorId="78889168">
          <v:rect id="_x0000_i2086" style="width:0;height:1.5pt" o:hralign="center" o:hrstd="t" o:hr="t" fillcolor="#a0a0a0" stroked="f"/>
        </w:pict>
      </w:r>
    </w:p>
    <w:p w14:paraId="701B05A8" w14:textId="63A0846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Kommentar:</w:t>
      </w:r>
      <w:r w:rsidRPr="009A7693">
        <w:rPr>
          <w:rFonts w:eastAsia="Times New Roman" w:cs="Times New Roman"/>
          <w:lang w:eastAsia="de-DE"/>
        </w:rPr>
        <w:t xml:space="preserve"> Der Vers markiert einen Abschnitt mit einer Gültigkeitsformel. </w:t>
      </w:r>
      <w:r w:rsidRPr="009A7693">
        <w:rPr>
          <w:rFonts w:eastAsia="Times New Roman" w:cs="Times New Roman"/>
          <w:b/>
          <w:bCs/>
          <w:rtl/>
          <w:lang w:eastAsia="de-DE"/>
        </w:rPr>
        <w:t>וְהָיוּ אֵלֶּה לָכֶם לְחֻקַּת מִשְׁפָּט</w:t>
      </w:r>
      <w:r w:rsidRPr="009A7693">
        <w:rPr>
          <w:rFonts w:eastAsia="Times New Roman" w:cs="Times New Roman"/>
          <w:rtl/>
          <w:lang w:eastAsia="de-DE"/>
        </w:rPr>
        <w:t xml:space="preserve"> </w:t>
      </w:r>
      <w:r w:rsidRPr="009A7693">
        <w:rPr>
          <w:rFonts w:eastAsia="Times New Roman" w:cs="Times New Roman"/>
          <w:lang w:eastAsia="de-DE"/>
        </w:rPr>
        <w:t xml:space="preserve">ist die Hauptaussage. </w:t>
      </w:r>
      <w:r w:rsidRPr="009A7693">
        <w:rPr>
          <w:rFonts w:eastAsia="Times New Roman" w:cs="Times New Roman"/>
          <w:b/>
          <w:bCs/>
          <w:rtl/>
          <w:lang w:eastAsia="de-DE"/>
        </w:rPr>
        <w:t>וְהָיוּ</w:t>
      </w:r>
      <w:r w:rsidRPr="009A7693">
        <w:rPr>
          <w:rFonts w:eastAsia="Times New Roman" w:cs="Times New Roman"/>
          <w:rtl/>
          <w:lang w:eastAsia="de-DE"/>
        </w:rPr>
        <w:t xml:space="preserve"> </w:t>
      </w:r>
      <w:r w:rsidRPr="009A7693">
        <w:rPr>
          <w:rFonts w:eastAsia="Times New Roman" w:cs="Times New Roman"/>
          <w:lang w:eastAsia="de-DE"/>
        </w:rPr>
        <w:t xml:space="preserve">(Qal Perfekt 3. Person Plural mit Waw consecutivum von </w:t>
      </w:r>
      <w:r w:rsidRPr="009A7693">
        <w:rPr>
          <w:rFonts w:eastAsia="Times New Roman" w:cs="Times New Roman"/>
          <w:b/>
          <w:bCs/>
          <w:rtl/>
          <w:lang w:eastAsia="de-DE"/>
        </w:rPr>
        <w:t>היה</w:t>
      </w:r>
      <w:r w:rsidRPr="009A7693">
        <w:rPr>
          <w:rFonts w:eastAsia="Times New Roman" w:cs="Times New Roman"/>
          <w:lang w:eastAsia="de-DE"/>
        </w:rPr>
        <w:t xml:space="preserve">), </w:t>
      </w:r>
      <w:r w:rsidRPr="009A7693">
        <w:rPr>
          <w:rFonts w:eastAsia="Times New Roman" w:cs="Times New Roman"/>
          <w:b/>
          <w:bCs/>
          <w:rtl/>
          <w:lang w:eastAsia="de-DE"/>
        </w:rPr>
        <w:t>אֵלֶּה</w:t>
      </w:r>
      <w:r w:rsidRPr="009A7693">
        <w:rPr>
          <w:rFonts w:eastAsia="Times New Roman" w:cs="Times New Roman"/>
          <w:rtl/>
          <w:lang w:eastAsia="de-DE"/>
        </w:rPr>
        <w:t xml:space="preserve"> </w:t>
      </w:r>
      <w:r w:rsidRPr="009A7693">
        <w:rPr>
          <w:rFonts w:eastAsia="Times New Roman" w:cs="Times New Roman"/>
          <w:lang w:eastAsia="de-DE"/>
        </w:rPr>
        <w:t xml:space="preserve">(Demonstrativpronomen Plural „diese"), </w:t>
      </w:r>
      <w:r w:rsidRPr="009A7693">
        <w:rPr>
          <w:rFonts w:eastAsia="Times New Roman" w:cs="Times New Roman"/>
          <w:b/>
          <w:bCs/>
          <w:rtl/>
          <w:lang w:eastAsia="de-DE"/>
        </w:rPr>
        <w:t>לָכֶם</w:t>
      </w:r>
      <w:r w:rsidRPr="009A7693">
        <w:rPr>
          <w:rFonts w:eastAsia="Times New Roman" w:cs="Times New Roman"/>
          <w:rtl/>
          <w:lang w:eastAsia="de-DE"/>
        </w:rPr>
        <w:t xml:space="preserve"> </w:t>
      </w:r>
      <w:r w:rsidRPr="009A7693">
        <w:rPr>
          <w:rFonts w:eastAsia="Times New Roman" w:cs="Times New Roman"/>
          <w:lang w:eastAsia="de-DE"/>
        </w:rPr>
        <w:t xml:space="preserve">(Dativ), </w:t>
      </w:r>
      <w:r w:rsidRPr="009A7693">
        <w:rPr>
          <w:rFonts w:eastAsia="Times New Roman" w:cs="Times New Roman"/>
          <w:b/>
          <w:bCs/>
          <w:rtl/>
          <w:lang w:eastAsia="de-DE"/>
        </w:rPr>
        <w:t>לְחֻקַּת מִשְׁפָּט</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חֻקָּה</w:t>
      </w:r>
      <w:r w:rsidRPr="009A7693">
        <w:rPr>
          <w:rFonts w:eastAsia="Times New Roman" w:cs="Times New Roman"/>
          <w:rtl/>
          <w:lang w:eastAsia="de-DE"/>
        </w:rPr>
        <w:t xml:space="preserve"> </w:t>
      </w:r>
      <w:r w:rsidRPr="009A7693">
        <w:rPr>
          <w:rFonts w:eastAsia="Times New Roman" w:cs="Times New Roman"/>
          <w:lang w:eastAsia="de-DE"/>
        </w:rPr>
        <w:t xml:space="preserve">„Satzung, Verordnung" im </w:t>
      </w:r>
      <w:r w:rsidR="00E031B3">
        <w:rPr>
          <w:rFonts w:eastAsia="Times New Roman" w:cs="Times New Roman"/>
          <w:lang w:eastAsia="de-DE"/>
        </w:rPr>
        <w:t>Constructus und</w:t>
      </w:r>
      <w:r w:rsidRPr="009A7693">
        <w:rPr>
          <w:rFonts w:eastAsia="Times New Roman" w:cs="Times New Roman"/>
          <w:lang w:eastAsia="de-DE"/>
        </w:rPr>
        <w:t xml:space="preserve"> </w:t>
      </w:r>
      <w:r w:rsidRPr="009A7693">
        <w:rPr>
          <w:rFonts w:eastAsia="Times New Roman" w:cs="Times New Roman"/>
          <w:b/>
          <w:bCs/>
          <w:rtl/>
          <w:lang w:eastAsia="de-DE"/>
        </w:rPr>
        <w:t>מִשְׁפָּט</w:t>
      </w:r>
      <w:r w:rsidRPr="009A7693">
        <w:rPr>
          <w:rFonts w:eastAsia="Times New Roman" w:cs="Times New Roman"/>
          <w:rtl/>
          <w:lang w:eastAsia="de-DE"/>
        </w:rPr>
        <w:t xml:space="preserve"> </w:t>
      </w:r>
      <w:r w:rsidRPr="009A7693">
        <w:rPr>
          <w:rFonts w:eastAsia="Times New Roman" w:cs="Times New Roman"/>
          <w:lang w:eastAsia="de-DE"/>
        </w:rPr>
        <w:t xml:space="preserve">„Recht, Rechtssatz" „zu einer Rechtssatzung, zu einem Rechtsstatut"). </w:t>
      </w:r>
      <w:r w:rsidRPr="009A7693">
        <w:rPr>
          <w:rFonts w:eastAsia="Times New Roman" w:cs="Times New Roman"/>
          <w:b/>
          <w:bCs/>
          <w:rtl/>
          <w:lang w:eastAsia="de-DE"/>
        </w:rPr>
        <w:t>לְדֹרֹתֵיכֶם בְּכֹל מוֹשְׁבֹתֵיכֶם</w:t>
      </w:r>
      <w:r w:rsidRPr="009A7693">
        <w:rPr>
          <w:rFonts w:eastAsia="Times New Roman" w:cs="Times New Roman"/>
          <w:rtl/>
          <w:lang w:eastAsia="de-DE"/>
        </w:rPr>
        <w:t xml:space="preserve"> </w:t>
      </w:r>
      <w:r w:rsidRPr="009A7693">
        <w:rPr>
          <w:rFonts w:eastAsia="Times New Roman" w:cs="Times New Roman"/>
          <w:lang w:eastAsia="de-DE"/>
        </w:rPr>
        <w:t xml:space="preserve">gibt die zeitliche und räumliche Gültigkeit an. </w:t>
      </w:r>
      <w:r w:rsidRPr="009A7693">
        <w:rPr>
          <w:rFonts w:eastAsia="Times New Roman" w:cs="Times New Roman"/>
          <w:b/>
          <w:bCs/>
          <w:rtl/>
          <w:lang w:eastAsia="de-DE"/>
        </w:rPr>
        <w:t>לְדֹרֹתֵיכֶם</w:t>
      </w:r>
      <w:r w:rsidRPr="009A7693">
        <w:rPr>
          <w:rFonts w:eastAsia="Times New Roman" w:cs="Times New Roman"/>
          <w:rtl/>
          <w:lang w:eastAsia="de-DE"/>
        </w:rPr>
        <w:t xml:space="preserve"> </w:t>
      </w:r>
      <w:r w:rsidRPr="009A7693">
        <w:rPr>
          <w:rFonts w:eastAsia="Times New Roman" w:cs="Times New Roman"/>
          <w:lang w:eastAsia="de-DE"/>
        </w:rPr>
        <w:t xml:space="preserve">(Präposition mit Plural von </w:t>
      </w:r>
      <w:r w:rsidRPr="009A7693">
        <w:rPr>
          <w:rFonts w:eastAsia="Times New Roman" w:cs="Times New Roman"/>
          <w:b/>
          <w:bCs/>
          <w:rtl/>
          <w:lang w:eastAsia="de-DE"/>
        </w:rPr>
        <w:t>דּוֹר</w:t>
      </w:r>
      <w:r w:rsidRPr="009A7693">
        <w:rPr>
          <w:rFonts w:eastAsia="Times New Roman" w:cs="Times New Roman"/>
          <w:rtl/>
          <w:lang w:eastAsia="de-DE"/>
        </w:rPr>
        <w:t xml:space="preserve"> </w:t>
      </w:r>
      <w:r w:rsidRPr="009A7693">
        <w:rPr>
          <w:rFonts w:eastAsia="Times New Roman" w:cs="Times New Roman"/>
          <w:lang w:eastAsia="de-DE"/>
        </w:rPr>
        <w:t xml:space="preserve">„Generation" und Suffix „bei euren Generationen", d.h. für alle zukünftigen Generationen), </w:t>
      </w:r>
      <w:r w:rsidRPr="009A7693">
        <w:rPr>
          <w:rFonts w:eastAsia="Times New Roman" w:cs="Times New Roman"/>
          <w:b/>
          <w:bCs/>
          <w:rtl/>
          <w:lang w:eastAsia="de-DE"/>
        </w:rPr>
        <w:t>בְּכֹל מוֹשְׁבֹתֵיכֶם</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בְ</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כֹּל</w:t>
      </w:r>
      <w:r w:rsidRPr="009A7693">
        <w:rPr>
          <w:rFonts w:eastAsia="Times New Roman" w:cs="Times New Roman"/>
          <w:rtl/>
          <w:lang w:eastAsia="de-DE"/>
        </w:rPr>
        <w:t xml:space="preserve"> </w:t>
      </w:r>
      <w:r w:rsidRPr="009A7693">
        <w:rPr>
          <w:rFonts w:eastAsia="Times New Roman" w:cs="Times New Roman"/>
          <w:lang w:eastAsia="de-DE"/>
        </w:rPr>
        <w:t xml:space="preserve">und Plural von </w:t>
      </w:r>
      <w:r w:rsidRPr="009A7693">
        <w:rPr>
          <w:rFonts w:eastAsia="Times New Roman" w:cs="Times New Roman"/>
          <w:b/>
          <w:bCs/>
          <w:rtl/>
          <w:lang w:eastAsia="de-DE"/>
        </w:rPr>
        <w:t>מוֹשָׁב</w:t>
      </w:r>
      <w:r w:rsidRPr="009A7693">
        <w:rPr>
          <w:rFonts w:eastAsia="Times New Roman" w:cs="Times New Roman"/>
          <w:rtl/>
          <w:lang w:eastAsia="de-DE"/>
        </w:rPr>
        <w:t xml:space="preserve"> </w:t>
      </w:r>
      <w:r w:rsidRPr="009A7693">
        <w:rPr>
          <w:rFonts w:eastAsia="Times New Roman" w:cs="Times New Roman"/>
          <w:lang w:eastAsia="de-DE"/>
        </w:rPr>
        <w:t>„Wohnsitz" und Suffix „in allen euren Wohnsitzen").</w:t>
      </w:r>
    </w:p>
    <w:p w14:paraId="5533D96C"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Die Satzstruktur zeigt eine Gültigkeitsformel mit zeitlicher und räumlicher Erstreckung.</w:t>
      </w:r>
    </w:p>
    <w:p w14:paraId="4128ED22"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 xml:space="preserve">Der Vers unterstreicht die fundamentale und dauerhafte Bedeutung der Zufluchtsstadt-Gesetze: Sie gelten </w:t>
      </w:r>
      <w:r w:rsidRPr="009A7693">
        <w:rPr>
          <w:rFonts w:eastAsia="Times New Roman" w:cs="Times New Roman"/>
          <w:b/>
          <w:bCs/>
          <w:rtl/>
          <w:lang w:eastAsia="de-DE"/>
        </w:rPr>
        <w:t>לְדֹרֹתֵיכֶם</w:t>
      </w:r>
      <w:r w:rsidRPr="009A7693">
        <w:rPr>
          <w:rFonts w:eastAsia="Times New Roman" w:cs="Times New Roman"/>
          <w:rtl/>
          <w:lang w:eastAsia="de-DE"/>
        </w:rPr>
        <w:t xml:space="preserve"> </w:t>
      </w:r>
      <w:r w:rsidRPr="009A7693">
        <w:rPr>
          <w:rFonts w:eastAsia="Times New Roman" w:cs="Times New Roman"/>
          <w:lang w:eastAsia="de-DE"/>
        </w:rPr>
        <w:t xml:space="preserve">(für alle Generationen) und </w:t>
      </w:r>
      <w:r w:rsidRPr="009A7693">
        <w:rPr>
          <w:rFonts w:eastAsia="Times New Roman" w:cs="Times New Roman"/>
          <w:b/>
          <w:bCs/>
          <w:rtl/>
          <w:lang w:eastAsia="de-DE"/>
        </w:rPr>
        <w:t>בְּכֹל מוֹשְׁבֹתֵיכֶם</w:t>
      </w:r>
      <w:r w:rsidRPr="009A7693">
        <w:rPr>
          <w:rFonts w:eastAsia="Times New Roman" w:cs="Times New Roman"/>
          <w:rtl/>
          <w:lang w:eastAsia="de-DE"/>
        </w:rPr>
        <w:t xml:space="preserve"> </w:t>
      </w:r>
      <w:r w:rsidRPr="009A7693">
        <w:rPr>
          <w:rFonts w:eastAsia="Times New Roman" w:cs="Times New Roman"/>
          <w:lang w:eastAsia="de-DE"/>
        </w:rPr>
        <w:t>(überall wo Israel wohnt) - ein ewiges Gesetz, das die Rechtsordnung Israels prägt.</w:t>
      </w:r>
    </w:p>
    <w:p w14:paraId="5A1E1694" w14:textId="77777777" w:rsidR="009A7693" w:rsidRPr="009A7693" w:rsidRDefault="009A7693" w:rsidP="009A7693">
      <w:pPr>
        <w:spacing w:before="100" w:beforeAutospacing="1" w:after="100" w:afterAutospacing="1" w:line="240" w:lineRule="auto"/>
        <w:outlineLvl w:val="0"/>
        <w:rPr>
          <w:rFonts w:eastAsia="Times New Roman" w:cs="Times New Roman"/>
          <w:b/>
          <w:bCs/>
          <w:kern w:val="36"/>
          <w:sz w:val="48"/>
          <w:szCs w:val="48"/>
          <w:lang w:eastAsia="de-DE"/>
        </w:rPr>
      </w:pPr>
      <w:r w:rsidRPr="009A7693">
        <w:rPr>
          <w:rFonts w:eastAsia="Times New Roman" w:cs="Times New Roman"/>
          <w:b/>
          <w:bCs/>
          <w:kern w:val="36"/>
          <w:sz w:val="48"/>
          <w:szCs w:val="48"/>
          <w:lang w:eastAsia="de-DE"/>
        </w:rPr>
        <w:t>Numeri 35,30</w:t>
      </w:r>
    </w:p>
    <w:p w14:paraId="4F5514D1"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Hebräisch:</w:t>
      </w:r>
      <w:r w:rsidRPr="009A7693">
        <w:rPr>
          <w:rFonts w:eastAsia="Times New Roman" w:cs="Times New Roman"/>
          <w:lang w:eastAsia="de-DE"/>
        </w:rPr>
        <w:t xml:space="preserve"> </w:t>
      </w:r>
      <w:r w:rsidRPr="009A7693">
        <w:rPr>
          <w:rFonts w:eastAsia="Times New Roman" w:cs="Times New Roman"/>
          <w:rtl/>
          <w:lang w:eastAsia="de-DE"/>
        </w:rPr>
        <w:t>כָּל־מַ֨כֵּה־נֶ֔פֶשׁ לְפִ֣י עֵדִ֔ים יִרְצַ֖ח אֶת־הָרֹצֵ֑חַ וְעֵ֣ד אֶחָ֔ד לֹא־יַעֲנֶ֥ה בְנֶ֖פֶשׁ לָמֽוּת׃</w:t>
      </w:r>
    </w:p>
    <w:p w14:paraId="0E0C62BB"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Deutsch:</w:t>
      </w:r>
      <w:r w:rsidRPr="009A7693">
        <w:rPr>
          <w:rFonts w:eastAsia="Times New Roman" w:cs="Times New Roman"/>
          <w:lang w:eastAsia="de-DE"/>
        </w:rPr>
        <w:t xml:space="preserve"> Jeder, der einen Menschen erschlägt: Auf die Aussage von Zeugen soll man den Mörder töten; aber ein einzelner Zeuge kann nicht gegen einen Menschen aussagen, dass er sterbe.</w:t>
      </w:r>
    </w:p>
    <w:p w14:paraId="0C345A62"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lastRenderedPageBreak/>
        <w:pict w14:anchorId="2A3F41DC">
          <v:rect id="_x0000_i2087" style="width:0;height:1.5pt" o:hralign="center" o:hrstd="t" o:hr="t" fillcolor="#a0a0a0" stroked="f"/>
        </w:pict>
      </w:r>
    </w:p>
    <w:p w14:paraId="4F7C08CA" w14:textId="154AC066"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Kommentar:</w:t>
      </w:r>
      <w:r w:rsidRPr="009A7693">
        <w:rPr>
          <w:rFonts w:eastAsia="Times New Roman" w:cs="Times New Roman"/>
          <w:lang w:eastAsia="de-DE"/>
        </w:rPr>
        <w:t xml:space="preserve"> Der Vers gibt prozessuale Schutzbestimmungen. </w:t>
      </w:r>
      <w:r w:rsidRPr="009A7693">
        <w:rPr>
          <w:rFonts w:eastAsia="Times New Roman" w:cs="Times New Roman"/>
          <w:b/>
          <w:bCs/>
          <w:rtl/>
          <w:lang w:eastAsia="de-DE"/>
        </w:rPr>
        <w:t>כָּל־מַכֵּה־נֶפֶשׁ לְפִי עֵדִים יִרְצַח אֶת־הָרֹצֵחַ</w:t>
      </w:r>
      <w:r w:rsidRPr="009A7693">
        <w:rPr>
          <w:rFonts w:eastAsia="Times New Roman" w:cs="Times New Roman"/>
          <w:rtl/>
          <w:lang w:eastAsia="de-DE"/>
        </w:rPr>
        <w:t xml:space="preserve"> </w:t>
      </w:r>
      <w:r w:rsidRPr="009A7693">
        <w:rPr>
          <w:rFonts w:eastAsia="Times New Roman" w:cs="Times New Roman"/>
          <w:lang w:eastAsia="de-DE"/>
        </w:rPr>
        <w:t xml:space="preserve">regelt die Beweislast. </w:t>
      </w:r>
      <w:r w:rsidRPr="009A7693">
        <w:rPr>
          <w:rFonts w:eastAsia="Times New Roman" w:cs="Times New Roman"/>
          <w:b/>
          <w:bCs/>
          <w:rtl/>
          <w:lang w:eastAsia="de-DE"/>
        </w:rPr>
        <w:t>כָּל־מַכֵּה־נֶפֶשׁ</w:t>
      </w:r>
      <w:r w:rsidRPr="009A7693">
        <w:rPr>
          <w:rFonts w:eastAsia="Times New Roman" w:cs="Times New Roman"/>
          <w:rtl/>
          <w:lang w:eastAsia="de-DE"/>
        </w:rPr>
        <w:t xml:space="preserve"> </w:t>
      </w:r>
      <w:r w:rsidRPr="009A7693">
        <w:rPr>
          <w:rFonts w:eastAsia="Times New Roman" w:cs="Times New Roman"/>
          <w:lang w:eastAsia="de-DE"/>
        </w:rPr>
        <w:t xml:space="preserve">(distributiv </w:t>
      </w:r>
      <w:r w:rsidRPr="009A7693">
        <w:rPr>
          <w:rFonts w:eastAsia="Times New Roman" w:cs="Times New Roman"/>
          <w:b/>
          <w:bCs/>
          <w:rtl/>
          <w:lang w:eastAsia="de-DE"/>
        </w:rPr>
        <w:t>כֹּל</w:t>
      </w:r>
      <w:r w:rsidRPr="009A7693">
        <w:rPr>
          <w:rFonts w:eastAsia="Times New Roman" w:cs="Times New Roman"/>
          <w:rtl/>
          <w:lang w:eastAsia="de-DE"/>
        </w:rPr>
        <w:t xml:space="preserve"> </w:t>
      </w:r>
      <w:r w:rsidRPr="009A7693">
        <w:rPr>
          <w:rFonts w:eastAsia="Times New Roman" w:cs="Times New Roman"/>
          <w:lang w:eastAsia="de-DE"/>
        </w:rPr>
        <w:t xml:space="preserve">mit Hiphil-Partizip von </w:t>
      </w:r>
      <w:r w:rsidRPr="009A7693">
        <w:rPr>
          <w:rFonts w:eastAsia="Times New Roman" w:cs="Times New Roman"/>
          <w:b/>
          <w:bCs/>
          <w:rtl/>
          <w:lang w:eastAsia="de-DE"/>
        </w:rPr>
        <w:t>נכה</w:t>
      </w:r>
      <w:r w:rsidRPr="009A7693">
        <w:rPr>
          <w:rFonts w:eastAsia="Times New Roman" w:cs="Times New Roman"/>
          <w:rtl/>
          <w:lang w:eastAsia="de-DE"/>
        </w:rPr>
        <w:t xml:space="preserve"> </w:t>
      </w:r>
      <w:r w:rsidRPr="009A7693">
        <w:rPr>
          <w:rFonts w:eastAsia="Times New Roman" w:cs="Times New Roman"/>
          <w:lang w:eastAsia="de-DE"/>
        </w:rPr>
        <w:t xml:space="preserve">im </w:t>
      </w:r>
      <w:r w:rsidR="00E031B3">
        <w:rPr>
          <w:rFonts w:eastAsia="Times New Roman" w:cs="Times New Roman"/>
          <w:lang w:eastAsia="de-DE"/>
        </w:rPr>
        <w:t>Constructus und</w:t>
      </w:r>
      <w:r w:rsidRPr="009A7693">
        <w:rPr>
          <w:rFonts w:eastAsia="Times New Roman" w:cs="Times New Roman"/>
          <w:lang w:eastAsia="de-DE"/>
        </w:rPr>
        <w:t xml:space="preserve"> </w:t>
      </w:r>
      <w:r w:rsidRPr="009A7693">
        <w:rPr>
          <w:rFonts w:eastAsia="Times New Roman" w:cs="Times New Roman"/>
          <w:b/>
          <w:bCs/>
          <w:rtl/>
          <w:lang w:eastAsia="de-DE"/>
        </w:rPr>
        <w:t>נֶפֶשׁ</w:t>
      </w:r>
      <w:r w:rsidRPr="009A7693">
        <w:rPr>
          <w:rFonts w:eastAsia="Times New Roman" w:cs="Times New Roman"/>
          <w:rtl/>
          <w:lang w:eastAsia="de-DE"/>
        </w:rPr>
        <w:t xml:space="preserve"> </w:t>
      </w:r>
      <w:r w:rsidRPr="009A7693">
        <w:rPr>
          <w:rFonts w:eastAsia="Times New Roman" w:cs="Times New Roman"/>
          <w:lang w:eastAsia="de-DE"/>
        </w:rPr>
        <w:t xml:space="preserve">„jeder, der einen Menschen erschlägt"), </w:t>
      </w:r>
      <w:r w:rsidRPr="009A7693">
        <w:rPr>
          <w:rFonts w:eastAsia="Times New Roman" w:cs="Times New Roman"/>
          <w:b/>
          <w:bCs/>
          <w:rtl/>
          <w:lang w:eastAsia="de-DE"/>
        </w:rPr>
        <w:t>לְפִי עֵדִים</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פֶּה</w:t>
      </w:r>
      <w:r w:rsidRPr="009A7693">
        <w:rPr>
          <w:rFonts w:eastAsia="Times New Roman" w:cs="Times New Roman"/>
          <w:rtl/>
          <w:lang w:eastAsia="de-DE"/>
        </w:rPr>
        <w:t xml:space="preserve"> </w:t>
      </w:r>
      <w:r w:rsidRPr="009A7693">
        <w:rPr>
          <w:rFonts w:eastAsia="Times New Roman" w:cs="Times New Roman"/>
          <w:lang w:eastAsia="de-DE"/>
        </w:rPr>
        <w:t xml:space="preserve">„Mund" im </w:t>
      </w:r>
      <w:r w:rsidR="00E031B3">
        <w:rPr>
          <w:rFonts w:eastAsia="Times New Roman" w:cs="Times New Roman"/>
          <w:lang w:eastAsia="de-DE"/>
        </w:rPr>
        <w:t>Constructus und</w:t>
      </w:r>
      <w:r w:rsidRPr="009A7693">
        <w:rPr>
          <w:rFonts w:eastAsia="Times New Roman" w:cs="Times New Roman"/>
          <w:lang w:eastAsia="de-DE"/>
        </w:rPr>
        <w:t xml:space="preserve"> Plural </w:t>
      </w:r>
      <w:r w:rsidRPr="009A7693">
        <w:rPr>
          <w:rFonts w:eastAsia="Times New Roman" w:cs="Times New Roman"/>
          <w:b/>
          <w:bCs/>
          <w:rtl/>
          <w:lang w:eastAsia="de-DE"/>
        </w:rPr>
        <w:t>עֵד</w:t>
      </w:r>
      <w:r w:rsidRPr="009A7693">
        <w:rPr>
          <w:rFonts w:eastAsia="Times New Roman" w:cs="Times New Roman"/>
          <w:rtl/>
          <w:lang w:eastAsia="de-DE"/>
        </w:rPr>
        <w:t xml:space="preserve"> </w:t>
      </w:r>
      <w:r w:rsidRPr="009A7693">
        <w:rPr>
          <w:rFonts w:eastAsia="Times New Roman" w:cs="Times New Roman"/>
          <w:lang w:eastAsia="de-DE"/>
        </w:rPr>
        <w:t xml:space="preserve">„Zeuge" „nach dem Mund von Zeugen", d.h. auf die Aussage von Zeugen), </w:t>
      </w:r>
      <w:r w:rsidRPr="009A7693">
        <w:rPr>
          <w:rFonts w:eastAsia="Times New Roman" w:cs="Times New Roman"/>
          <w:b/>
          <w:bCs/>
          <w:rtl/>
          <w:lang w:eastAsia="de-DE"/>
        </w:rPr>
        <w:t>יִרְצַח אֶת־הָרֹצֵחַ</w:t>
      </w:r>
      <w:r w:rsidRPr="009A7693">
        <w:rPr>
          <w:rFonts w:eastAsia="Times New Roman" w:cs="Times New Roman"/>
          <w:rtl/>
          <w:lang w:eastAsia="de-DE"/>
        </w:rPr>
        <w:t xml:space="preserve"> </w:t>
      </w:r>
      <w:r w:rsidRPr="009A7693">
        <w:rPr>
          <w:rFonts w:eastAsia="Times New Roman" w:cs="Times New Roman"/>
          <w:lang w:eastAsia="de-DE"/>
        </w:rPr>
        <w:t xml:space="preserve">(Qal Imperfekt 3. Person maskulin Singular von </w:t>
      </w:r>
      <w:r w:rsidRPr="009A7693">
        <w:rPr>
          <w:rFonts w:eastAsia="Times New Roman" w:cs="Times New Roman"/>
          <w:b/>
          <w:bCs/>
          <w:rtl/>
          <w:lang w:eastAsia="de-DE"/>
        </w:rPr>
        <w:t>רצח</w:t>
      </w:r>
      <w:r w:rsidRPr="009A7693">
        <w:rPr>
          <w:rFonts w:eastAsia="Times New Roman" w:cs="Times New Roman"/>
          <w:rtl/>
          <w:lang w:eastAsia="de-DE"/>
        </w:rPr>
        <w:t xml:space="preserve"> </w:t>
      </w:r>
      <w:r w:rsidRPr="009A7693">
        <w:rPr>
          <w:rFonts w:eastAsia="Times New Roman" w:cs="Times New Roman"/>
          <w:lang w:eastAsia="de-DE"/>
        </w:rPr>
        <w:t xml:space="preserve">„töten" mit Akkusativ „soll man den Mörder töten" - unpersönliches Subjekt). </w:t>
      </w:r>
      <w:r w:rsidRPr="009A7693">
        <w:rPr>
          <w:rFonts w:eastAsia="Times New Roman" w:cs="Times New Roman"/>
          <w:b/>
          <w:bCs/>
          <w:rtl/>
          <w:lang w:eastAsia="de-DE"/>
        </w:rPr>
        <w:t>וְעֵד אֶחָד לֹא־יַעֲנֶה בְנֶפֶשׁ לָמוּת</w:t>
      </w:r>
      <w:r w:rsidRPr="009A7693">
        <w:rPr>
          <w:rFonts w:eastAsia="Times New Roman" w:cs="Times New Roman"/>
          <w:rtl/>
          <w:lang w:eastAsia="de-DE"/>
        </w:rPr>
        <w:t xml:space="preserve"> </w:t>
      </w:r>
      <w:r w:rsidRPr="009A7693">
        <w:rPr>
          <w:rFonts w:eastAsia="Times New Roman" w:cs="Times New Roman"/>
          <w:lang w:eastAsia="de-DE"/>
        </w:rPr>
        <w:t xml:space="preserve">ist die Schutzbestimmung. </w:t>
      </w:r>
      <w:r w:rsidRPr="009A7693">
        <w:rPr>
          <w:rFonts w:eastAsia="Times New Roman" w:cs="Times New Roman"/>
          <w:b/>
          <w:bCs/>
          <w:rtl/>
          <w:lang w:eastAsia="de-DE"/>
        </w:rPr>
        <w:t>וְעֵד אֶחָד</w:t>
      </w:r>
      <w:r w:rsidRPr="009A7693">
        <w:rPr>
          <w:rFonts w:eastAsia="Times New Roman" w:cs="Times New Roman"/>
          <w:rtl/>
          <w:lang w:eastAsia="de-DE"/>
        </w:rPr>
        <w:t xml:space="preserve"> </w:t>
      </w:r>
      <w:r w:rsidRPr="009A7693">
        <w:rPr>
          <w:rFonts w:eastAsia="Times New Roman" w:cs="Times New Roman"/>
          <w:lang w:eastAsia="de-DE"/>
        </w:rPr>
        <w:t xml:space="preserve">(Konjunktion mit </w:t>
      </w:r>
      <w:r w:rsidRPr="009A7693">
        <w:rPr>
          <w:rFonts w:eastAsia="Times New Roman" w:cs="Times New Roman"/>
          <w:b/>
          <w:bCs/>
          <w:rtl/>
          <w:lang w:eastAsia="de-DE"/>
        </w:rPr>
        <w:t>עֵד</w:t>
      </w:r>
      <w:r w:rsidRPr="009A7693">
        <w:rPr>
          <w:rFonts w:eastAsia="Times New Roman" w:cs="Times New Roman"/>
          <w:rtl/>
          <w:lang w:eastAsia="de-DE"/>
        </w:rPr>
        <w:t xml:space="preserve"> </w:t>
      </w:r>
      <w:r w:rsidRPr="009A7693">
        <w:rPr>
          <w:rFonts w:eastAsia="Times New Roman" w:cs="Times New Roman"/>
          <w:lang w:eastAsia="de-DE"/>
        </w:rPr>
        <w:t xml:space="preserve">„Zeuge" und </w:t>
      </w:r>
      <w:r w:rsidRPr="009A7693">
        <w:rPr>
          <w:rFonts w:eastAsia="Times New Roman" w:cs="Times New Roman"/>
          <w:b/>
          <w:bCs/>
          <w:rtl/>
          <w:lang w:eastAsia="de-DE"/>
        </w:rPr>
        <w:t>אֶחָד</w:t>
      </w:r>
      <w:r w:rsidRPr="009A7693">
        <w:rPr>
          <w:rFonts w:eastAsia="Times New Roman" w:cs="Times New Roman"/>
          <w:rtl/>
          <w:lang w:eastAsia="de-DE"/>
        </w:rPr>
        <w:t xml:space="preserve"> </w:t>
      </w:r>
      <w:r w:rsidRPr="009A7693">
        <w:rPr>
          <w:rFonts w:eastAsia="Times New Roman" w:cs="Times New Roman"/>
          <w:lang w:eastAsia="de-DE"/>
        </w:rPr>
        <w:t xml:space="preserve">„einer, ein einzelner" „aber ein einzelner Zeuge"), </w:t>
      </w:r>
      <w:r w:rsidRPr="009A7693">
        <w:rPr>
          <w:rFonts w:eastAsia="Times New Roman" w:cs="Times New Roman"/>
          <w:b/>
          <w:bCs/>
          <w:rtl/>
          <w:lang w:eastAsia="de-DE"/>
        </w:rPr>
        <w:t>לֹא־יַעֲנֶה</w:t>
      </w:r>
      <w:r w:rsidRPr="009A7693">
        <w:rPr>
          <w:rFonts w:eastAsia="Times New Roman" w:cs="Times New Roman"/>
          <w:rtl/>
          <w:lang w:eastAsia="de-DE"/>
        </w:rPr>
        <w:t xml:space="preserve"> </w:t>
      </w:r>
      <w:r w:rsidRPr="009A7693">
        <w:rPr>
          <w:rFonts w:eastAsia="Times New Roman" w:cs="Times New Roman"/>
          <w:lang w:eastAsia="de-DE"/>
        </w:rPr>
        <w:t xml:space="preserve">(Negation mit Qal Imperfekt 3. Person maskulin Singular von </w:t>
      </w:r>
      <w:r w:rsidRPr="009A7693">
        <w:rPr>
          <w:rFonts w:eastAsia="Times New Roman" w:cs="Times New Roman"/>
          <w:b/>
          <w:bCs/>
          <w:rtl/>
          <w:lang w:eastAsia="de-DE"/>
        </w:rPr>
        <w:t>ענה</w:t>
      </w:r>
      <w:r w:rsidRPr="009A7693">
        <w:rPr>
          <w:rFonts w:eastAsia="Times New Roman" w:cs="Times New Roman"/>
          <w:rtl/>
          <w:lang w:eastAsia="de-DE"/>
        </w:rPr>
        <w:t xml:space="preserve"> </w:t>
      </w:r>
      <w:r w:rsidRPr="009A7693">
        <w:rPr>
          <w:rFonts w:eastAsia="Times New Roman" w:cs="Times New Roman"/>
          <w:lang w:eastAsia="de-DE"/>
        </w:rPr>
        <w:t xml:space="preserve">„antworten, aussagen" „kann nicht aussagen"), </w:t>
      </w:r>
      <w:r w:rsidRPr="009A7693">
        <w:rPr>
          <w:rFonts w:eastAsia="Times New Roman" w:cs="Times New Roman"/>
          <w:b/>
          <w:bCs/>
          <w:rtl/>
          <w:lang w:eastAsia="de-DE"/>
        </w:rPr>
        <w:t>בְנֶפֶשׁ</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בְ</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נֶפֶשׁ</w:t>
      </w:r>
      <w:r w:rsidRPr="009A7693">
        <w:rPr>
          <w:rFonts w:eastAsia="Times New Roman" w:cs="Times New Roman"/>
          <w:rtl/>
          <w:lang w:eastAsia="de-DE"/>
        </w:rPr>
        <w:t xml:space="preserve"> </w:t>
      </w:r>
      <w:r w:rsidRPr="009A7693">
        <w:rPr>
          <w:rFonts w:eastAsia="Times New Roman" w:cs="Times New Roman"/>
          <w:lang w:eastAsia="de-DE"/>
        </w:rPr>
        <w:t xml:space="preserve">„gegen einen Menschen"), </w:t>
      </w:r>
      <w:r w:rsidRPr="009A7693">
        <w:rPr>
          <w:rFonts w:eastAsia="Times New Roman" w:cs="Times New Roman"/>
          <w:b/>
          <w:bCs/>
          <w:rtl/>
          <w:lang w:eastAsia="de-DE"/>
        </w:rPr>
        <w:t>לָמוּת</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Qal Infinitiv </w:t>
      </w:r>
      <w:r w:rsidR="00E031B3">
        <w:rPr>
          <w:rFonts w:eastAsia="Times New Roman" w:cs="Times New Roman"/>
          <w:lang w:eastAsia="de-DE"/>
        </w:rPr>
        <w:t>Constructus von</w:t>
      </w:r>
      <w:r w:rsidRPr="009A7693">
        <w:rPr>
          <w:rFonts w:eastAsia="Times New Roman" w:cs="Times New Roman"/>
          <w:lang w:eastAsia="de-DE"/>
        </w:rPr>
        <w:t xml:space="preserve"> </w:t>
      </w:r>
      <w:r w:rsidRPr="009A7693">
        <w:rPr>
          <w:rFonts w:eastAsia="Times New Roman" w:cs="Times New Roman"/>
          <w:b/>
          <w:bCs/>
          <w:rtl/>
          <w:lang w:eastAsia="de-DE"/>
        </w:rPr>
        <w:t>מות</w:t>
      </w:r>
      <w:r w:rsidRPr="009A7693">
        <w:rPr>
          <w:rFonts w:eastAsia="Times New Roman" w:cs="Times New Roman"/>
          <w:rtl/>
          <w:lang w:eastAsia="de-DE"/>
        </w:rPr>
        <w:t xml:space="preserve"> </w:t>
      </w:r>
      <w:r w:rsidRPr="009A7693">
        <w:rPr>
          <w:rFonts w:eastAsia="Times New Roman" w:cs="Times New Roman"/>
          <w:lang w:eastAsia="de-DE"/>
        </w:rPr>
        <w:t>„dass er sterbe").</w:t>
      </w:r>
    </w:p>
    <w:p w14:paraId="52A10782" w14:textId="0C52B25F"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Die Satzstruktur zeigt eine allgemeine Regel mit Zeugenerfordernis</w:t>
      </w:r>
      <w:r w:rsidR="00460FCC">
        <w:rPr>
          <w:rFonts w:eastAsia="Times New Roman" w:cs="Times New Roman"/>
          <w:lang w:eastAsia="de-DE"/>
        </w:rPr>
        <w:t xml:space="preserve"> </w:t>
      </w:r>
      <w:r w:rsidRPr="009A7693">
        <w:rPr>
          <w:rFonts w:eastAsia="Times New Roman" w:cs="Times New Roman"/>
          <w:lang w:eastAsia="de-DE"/>
        </w:rPr>
        <w:t>und eine negative Schutzbestimmung.</w:t>
      </w:r>
    </w:p>
    <w:p w14:paraId="06A9E3BE"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 xml:space="preserve">Der Vers etabliert ein fundamentales prozessuales Prinzip: Todesstrafe nur bei Aussage mehrerer Zeugen (Plural </w:t>
      </w:r>
      <w:r w:rsidRPr="009A7693">
        <w:rPr>
          <w:rFonts w:eastAsia="Times New Roman" w:cs="Times New Roman"/>
          <w:b/>
          <w:bCs/>
          <w:rtl/>
          <w:lang w:eastAsia="de-DE"/>
        </w:rPr>
        <w:t>עֵדִים</w:t>
      </w:r>
      <w:r w:rsidRPr="009A7693">
        <w:rPr>
          <w:rFonts w:eastAsia="Times New Roman" w:cs="Times New Roman"/>
          <w:lang w:eastAsia="de-DE"/>
        </w:rPr>
        <w:t xml:space="preserve">), nie auf die Aussage eines einzelnen Zeugen. Dies ist ein wesentlicher Schutz gegen falsche Anklagen - das Prinzip </w:t>
      </w:r>
      <w:r w:rsidRPr="009A7693">
        <w:rPr>
          <w:rFonts w:eastAsia="Times New Roman" w:cs="Times New Roman"/>
          <w:b/>
          <w:bCs/>
          <w:rtl/>
          <w:lang w:eastAsia="de-DE"/>
        </w:rPr>
        <w:t>לֹא־יָקוּם עֵד אֶחָד</w:t>
      </w:r>
      <w:r w:rsidRPr="009A7693">
        <w:rPr>
          <w:rFonts w:eastAsia="Times New Roman" w:cs="Times New Roman"/>
          <w:rtl/>
          <w:lang w:eastAsia="de-DE"/>
        </w:rPr>
        <w:t xml:space="preserve"> </w:t>
      </w:r>
      <w:r w:rsidRPr="009A7693">
        <w:rPr>
          <w:rFonts w:eastAsia="Times New Roman" w:cs="Times New Roman"/>
          <w:lang w:eastAsia="de-DE"/>
        </w:rPr>
        <w:t>(„ein einzelner Zeuge soll nicht auftreten") aus Dtn 19,15. Die Rechtsordnung verlangt Mehrfachbezeugung bei Kapitalverbrechen - ein Schutz vor Justizirrtum und falscher Anklage.</w:t>
      </w:r>
    </w:p>
    <w:p w14:paraId="3E929783" w14:textId="77777777" w:rsidR="009A7693" w:rsidRPr="009A7693" w:rsidRDefault="009A7693" w:rsidP="009A7693">
      <w:pPr>
        <w:spacing w:before="100" w:beforeAutospacing="1" w:after="100" w:afterAutospacing="1" w:line="240" w:lineRule="auto"/>
        <w:outlineLvl w:val="0"/>
        <w:rPr>
          <w:rFonts w:eastAsia="Times New Roman" w:cs="Times New Roman"/>
          <w:b/>
          <w:bCs/>
          <w:kern w:val="36"/>
          <w:sz w:val="48"/>
          <w:szCs w:val="48"/>
          <w:lang w:eastAsia="de-DE"/>
        </w:rPr>
      </w:pPr>
      <w:r w:rsidRPr="009A7693">
        <w:rPr>
          <w:rFonts w:eastAsia="Times New Roman" w:cs="Times New Roman"/>
          <w:b/>
          <w:bCs/>
          <w:kern w:val="36"/>
          <w:sz w:val="48"/>
          <w:szCs w:val="48"/>
          <w:lang w:eastAsia="de-DE"/>
        </w:rPr>
        <w:t>Numeri 35,31</w:t>
      </w:r>
    </w:p>
    <w:p w14:paraId="18CB4BDE"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Hebräisch:</w:t>
      </w:r>
      <w:r w:rsidRPr="009A7693">
        <w:rPr>
          <w:rFonts w:eastAsia="Times New Roman" w:cs="Times New Roman"/>
          <w:lang w:eastAsia="de-DE"/>
        </w:rPr>
        <w:t xml:space="preserve"> </w:t>
      </w:r>
      <w:r w:rsidRPr="009A7693">
        <w:rPr>
          <w:rFonts w:eastAsia="Times New Roman" w:cs="Times New Roman"/>
          <w:rtl/>
          <w:lang w:eastAsia="de-DE"/>
        </w:rPr>
        <w:t>וְלֹֽא־תִקְח֥וּ כֹ֨פֶר֙ לְנֶ֣פֶשׁ רֹצֵ֔חַ אֲשֶׁר־ה֥וּא רָשָׁ֖ע לָמ֑וּת כִּי־מ֖וֹת יוּמָֽת׃</w:t>
      </w:r>
    </w:p>
    <w:p w14:paraId="4A2A3DDE"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Deutsch:</w:t>
      </w:r>
      <w:r w:rsidRPr="009A7693">
        <w:rPr>
          <w:rFonts w:eastAsia="Times New Roman" w:cs="Times New Roman"/>
          <w:lang w:eastAsia="de-DE"/>
        </w:rPr>
        <w:t xml:space="preserve"> Und ihr sollt keine Sühne annehmen für das Leben eines Mörders, der schuldig ist zu sterben, sondern er soll gewiss getötet werden.</w:t>
      </w:r>
    </w:p>
    <w:p w14:paraId="51944CA8"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pict w14:anchorId="57CE7128">
          <v:rect id="_x0000_i2088" style="width:0;height:1.5pt" o:hralign="center" o:hrstd="t" o:hr="t" fillcolor="#a0a0a0" stroked="f"/>
        </w:pict>
      </w:r>
    </w:p>
    <w:p w14:paraId="414DAF29" w14:textId="4626DC6B"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Kommentar:</w:t>
      </w:r>
      <w:r w:rsidRPr="009A7693">
        <w:rPr>
          <w:rFonts w:eastAsia="Times New Roman" w:cs="Times New Roman"/>
          <w:lang w:eastAsia="de-DE"/>
        </w:rPr>
        <w:t xml:space="preserve"> Der Vers verbietet Lösegeld für Mörder. </w:t>
      </w:r>
      <w:r w:rsidRPr="009A7693">
        <w:rPr>
          <w:rFonts w:eastAsia="Times New Roman" w:cs="Times New Roman"/>
          <w:b/>
          <w:bCs/>
          <w:rtl/>
          <w:lang w:eastAsia="de-DE"/>
        </w:rPr>
        <w:t>וְלֹא־תִקְחוּ כֹפֶר לְנֶפֶשׁ רֹצֵחַ אֲשֶׁר־הוּא רָשָׁע לָמוּת</w:t>
      </w:r>
      <w:r w:rsidRPr="009A7693">
        <w:rPr>
          <w:rFonts w:eastAsia="Times New Roman" w:cs="Times New Roman"/>
          <w:rtl/>
          <w:lang w:eastAsia="de-DE"/>
        </w:rPr>
        <w:t xml:space="preserve"> </w:t>
      </w:r>
      <w:r w:rsidRPr="009A7693">
        <w:rPr>
          <w:rFonts w:eastAsia="Times New Roman" w:cs="Times New Roman"/>
          <w:lang w:eastAsia="de-DE"/>
        </w:rPr>
        <w:t xml:space="preserve">ist das Verbot. </w:t>
      </w:r>
      <w:r w:rsidRPr="009A7693">
        <w:rPr>
          <w:rFonts w:eastAsia="Times New Roman" w:cs="Times New Roman"/>
          <w:b/>
          <w:bCs/>
          <w:rtl/>
          <w:lang w:eastAsia="de-DE"/>
        </w:rPr>
        <w:t>וְלֹא־תִקְחוּ</w:t>
      </w:r>
      <w:r w:rsidRPr="009A7693">
        <w:rPr>
          <w:rFonts w:eastAsia="Times New Roman" w:cs="Times New Roman"/>
          <w:rtl/>
          <w:lang w:eastAsia="de-DE"/>
        </w:rPr>
        <w:t xml:space="preserve"> </w:t>
      </w:r>
      <w:r w:rsidRPr="009A7693">
        <w:rPr>
          <w:rFonts w:eastAsia="Times New Roman" w:cs="Times New Roman"/>
          <w:lang w:eastAsia="de-DE"/>
        </w:rPr>
        <w:t xml:space="preserve">(Konjunktion mit Negation und Qal Imperfekt 2. Person Plural von </w:t>
      </w:r>
      <w:r w:rsidRPr="009A7693">
        <w:rPr>
          <w:rFonts w:eastAsia="Times New Roman" w:cs="Times New Roman"/>
          <w:b/>
          <w:bCs/>
          <w:rtl/>
          <w:lang w:eastAsia="de-DE"/>
        </w:rPr>
        <w:t>לקח</w:t>
      </w:r>
      <w:r w:rsidRPr="009A7693">
        <w:rPr>
          <w:rFonts w:eastAsia="Times New Roman" w:cs="Times New Roman"/>
          <w:rtl/>
          <w:lang w:eastAsia="de-DE"/>
        </w:rPr>
        <w:t xml:space="preserve"> </w:t>
      </w:r>
      <w:r w:rsidRPr="009A7693">
        <w:rPr>
          <w:rFonts w:eastAsia="Times New Roman" w:cs="Times New Roman"/>
          <w:lang w:eastAsia="de-DE"/>
        </w:rPr>
        <w:t xml:space="preserve">„nehmen" „ihr sollt nicht nehmen"), </w:t>
      </w:r>
      <w:r w:rsidRPr="009A7693">
        <w:rPr>
          <w:rFonts w:eastAsia="Times New Roman" w:cs="Times New Roman"/>
          <w:b/>
          <w:bCs/>
          <w:rtl/>
          <w:lang w:eastAsia="de-DE"/>
        </w:rPr>
        <w:t>כֹפֶר</w:t>
      </w:r>
      <w:r w:rsidRPr="009A7693">
        <w:rPr>
          <w:rFonts w:eastAsia="Times New Roman" w:cs="Times New Roman"/>
          <w:rtl/>
          <w:lang w:eastAsia="de-DE"/>
        </w:rPr>
        <w:t xml:space="preserve"> </w:t>
      </w:r>
      <w:r w:rsidRPr="009A7693">
        <w:rPr>
          <w:rFonts w:eastAsia="Times New Roman" w:cs="Times New Roman"/>
          <w:lang w:eastAsia="de-DE"/>
        </w:rPr>
        <w:t xml:space="preserve">(Akkusativ - </w:t>
      </w:r>
      <w:r w:rsidRPr="009A7693">
        <w:rPr>
          <w:rFonts w:eastAsia="Times New Roman" w:cs="Times New Roman"/>
          <w:b/>
          <w:bCs/>
          <w:rtl/>
          <w:lang w:eastAsia="de-DE"/>
        </w:rPr>
        <w:t>כֹּפֶר</w:t>
      </w:r>
      <w:r w:rsidRPr="009A7693">
        <w:rPr>
          <w:rFonts w:eastAsia="Times New Roman" w:cs="Times New Roman"/>
          <w:rtl/>
          <w:lang w:eastAsia="de-DE"/>
        </w:rPr>
        <w:t xml:space="preserve"> </w:t>
      </w:r>
      <w:r w:rsidRPr="009A7693">
        <w:rPr>
          <w:rFonts w:eastAsia="Times New Roman" w:cs="Times New Roman"/>
          <w:lang w:eastAsia="de-DE"/>
        </w:rPr>
        <w:t xml:space="preserve">„Lösegeld, Sühne, Ersatzleistung" von </w:t>
      </w:r>
      <w:r w:rsidRPr="009A7693">
        <w:rPr>
          <w:rFonts w:eastAsia="Times New Roman" w:cs="Times New Roman"/>
          <w:b/>
          <w:bCs/>
          <w:rtl/>
          <w:lang w:eastAsia="de-DE"/>
        </w:rPr>
        <w:t>כפר</w:t>
      </w:r>
      <w:r w:rsidRPr="009A7693">
        <w:rPr>
          <w:rFonts w:eastAsia="Times New Roman" w:cs="Times New Roman"/>
          <w:rtl/>
          <w:lang w:eastAsia="de-DE"/>
        </w:rPr>
        <w:t xml:space="preserve"> </w:t>
      </w:r>
      <w:r w:rsidRPr="009A7693">
        <w:rPr>
          <w:rFonts w:eastAsia="Times New Roman" w:cs="Times New Roman"/>
          <w:lang w:eastAsia="de-DE"/>
        </w:rPr>
        <w:t xml:space="preserve">„sühnen, bedecken"), </w:t>
      </w:r>
      <w:r w:rsidRPr="009A7693">
        <w:rPr>
          <w:rFonts w:eastAsia="Times New Roman" w:cs="Times New Roman"/>
          <w:b/>
          <w:bCs/>
          <w:rtl/>
          <w:lang w:eastAsia="de-DE"/>
        </w:rPr>
        <w:t>לְנֶפֶשׁ רֹצֵחַ</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נֶפֶשׁ</w:t>
      </w:r>
      <w:r w:rsidRPr="009A7693">
        <w:rPr>
          <w:rFonts w:eastAsia="Times New Roman" w:cs="Times New Roman"/>
          <w:rtl/>
          <w:lang w:eastAsia="de-DE"/>
        </w:rPr>
        <w:t xml:space="preserve"> </w:t>
      </w:r>
      <w:r w:rsidRPr="009A7693">
        <w:rPr>
          <w:rFonts w:eastAsia="Times New Roman" w:cs="Times New Roman"/>
          <w:lang w:eastAsia="de-DE"/>
        </w:rPr>
        <w:t xml:space="preserve">„Leben, Person" im </w:t>
      </w:r>
      <w:r w:rsidR="00E031B3">
        <w:rPr>
          <w:rFonts w:eastAsia="Times New Roman" w:cs="Times New Roman"/>
          <w:lang w:eastAsia="de-DE"/>
        </w:rPr>
        <w:t>Constructus und</w:t>
      </w:r>
      <w:r w:rsidRPr="009A7693">
        <w:rPr>
          <w:rFonts w:eastAsia="Times New Roman" w:cs="Times New Roman"/>
          <w:lang w:eastAsia="de-DE"/>
        </w:rPr>
        <w:t xml:space="preserve"> </w:t>
      </w:r>
      <w:r w:rsidRPr="009A7693">
        <w:rPr>
          <w:rFonts w:eastAsia="Times New Roman" w:cs="Times New Roman"/>
          <w:b/>
          <w:bCs/>
          <w:rtl/>
          <w:lang w:eastAsia="de-DE"/>
        </w:rPr>
        <w:t>רֹצֵחַ</w:t>
      </w:r>
      <w:r w:rsidRPr="009A7693">
        <w:rPr>
          <w:rFonts w:eastAsia="Times New Roman" w:cs="Times New Roman"/>
          <w:rtl/>
          <w:lang w:eastAsia="de-DE"/>
        </w:rPr>
        <w:t xml:space="preserve"> </w:t>
      </w:r>
      <w:r w:rsidRPr="009A7693">
        <w:rPr>
          <w:rFonts w:eastAsia="Times New Roman" w:cs="Times New Roman"/>
          <w:lang w:eastAsia="de-DE"/>
        </w:rPr>
        <w:t xml:space="preserve">„für das Leben eines Mörders"), </w:t>
      </w:r>
      <w:r w:rsidRPr="009A7693">
        <w:rPr>
          <w:rFonts w:eastAsia="Times New Roman" w:cs="Times New Roman"/>
          <w:b/>
          <w:bCs/>
          <w:rtl/>
          <w:lang w:eastAsia="de-DE"/>
        </w:rPr>
        <w:t>אֲשֶׁר־הוּא רָשָׁע לָמוּת</w:t>
      </w:r>
      <w:r w:rsidRPr="009A7693">
        <w:rPr>
          <w:rFonts w:eastAsia="Times New Roman" w:cs="Times New Roman"/>
          <w:rtl/>
          <w:lang w:eastAsia="de-DE"/>
        </w:rPr>
        <w:t xml:space="preserve"> </w:t>
      </w:r>
      <w:r w:rsidRPr="009A7693">
        <w:rPr>
          <w:rFonts w:eastAsia="Times New Roman" w:cs="Times New Roman"/>
          <w:lang w:eastAsia="de-DE"/>
        </w:rPr>
        <w:t xml:space="preserve">(Relativsatz: </w:t>
      </w:r>
      <w:r w:rsidRPr="009A7693">
        <w:rPr>
          <w:rFonts w:eastAsia="Times New Roman" w:cs="Times New Roman"/>
          <w:b/>
          <w:bCs/>
          <w:rtl/>
          <w:lang w:eastAsia="de-DE"/>
        </w:rPr>
        <w:t>אֲשֶׁר</w:t>
      </w:r>
      <w:r w:rsidRPr="009A7693">
        <w:rPr>
          <w:rFonts w:eastAsia="Times New Roman" w:cs="Times New Roman"/>
          <w:rtl/>
          <w:lang w:eastAsia="de-DE"/>
        </w:rPr>
        <w:t xml:space="preserve"> </w:t>
      </w:r>
      <w:r w:rsidRPr="009A7693">
        <w:rPr>
          <w:rFonts w:eastAsia="Times New Roman" w:cs="Times New Roman"/>
          <w:lang w:eastAsia="de-DE"/>
        </w:rPr>
        <w:t xml:space="preserve">mit Pronomen </w:t>
      </w:r>
      <w:r w:rsidRPr="009A7693">
        <w:rPr>
          <w:rFonts w:eastAsia="Times New Roman" w:cs="Times New Roman"/>
          <w:b/>
          <w:bCs/>
          <w:rtl/>
          <w:lang w:eastAsia="de-DE"/>
        </w:rPr>
        <w:t>הוּא</w:t>
      </w:r>
      <w:r w:rsidRPr="009A7693">
        <w:rPr>
          <w:rFonts w:eastAsia="Times New Roman" w:cs="Times New Roman"/>
          <w:rtl/>
          <w:lang w:eastAsia="de-DE"/>
        </w:rPr>
        <w:t xml:space="preserve"> </w:t>
      </w:r>
      <w:r w:rsidRPr="009A7693">
        <w:rPr>
          <w:rFonts w:eastAsia="Times New Roman" w:cs="Times New Roman"/>
          <w:lang w:eastAsia="de-DE"/>
        </w:rPr>
        <w:t xml:space="preserve">und Adjektiv </w:t>
      </w:r>
      <w:r w:rsidRPr="009A7693">
        <w:rPr>
          <w:rFonts w:eastAsia="Times New Roman" w:cs="Times New Roman"/>
          <w:b/>
          <w:bCs/>
          <w:rtl/>
          <w:lang w:eastAsia="de-DE"/>
        </w:rPr>
        <w:t>רָשָׁע</w:t>
      </w:r>
      <w:r w:rsidRPr="009A7693">
        <w:rPr>
          <w:rFonts w:eastAsia="Times New Roman" w:cs="Times New Roman"/>
          <w:rtl/>
          <w:lang w:eastAsia="de-DE"/>
        </w:rPr>
        <w:t xml:space="preserve"> </w:t>
      </w:r>
      <w:r w:rsidRPr="009A7693">
        <w:rPr>
          <w:rFonts w:eastAsia="Times New Roman" w:cs="Times New Roman"/>
          <w:lang w:eastAsia="de-DE"/>
        </w:rPr>
        <w:t xml:space="preserve">„schuldig, gottlos" und 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Infinitiv von </w:t>
      </w:r>
      <w:r w:rsidRPr="009A7693">
        <w:rPr>
          <w:rFonts w:eastAsia="Times New Roman" w:cs="Times New Roman"/>
          <w:b/>
          <w:bCs/>
          <w:rtl/>
          <w:lang w:eastAsia="de-DE"/>
        </w:rPr>
        <w:t>מות</w:t>
      </w:r>
      <w:r w:rsidRPr="009A7693">
        <w:rPr>
          <w:rFonts w:eastAsia="Times New Roman" w:cs="Times New Roman"/>
          <w:rtl/>
          <w:lang w:eastAsia="de-DE"/>
        </w:rPr>
        <w:t xml:space="preserve"> </w:t>
      </w:r>
      <w:r w:rsidRPr="009A7693">
        <w:rPr>
          <w:rFonts w:eastAsia="Times New Roman" w:cs="Times New Roman"/>
          <w:lang w:eastAsia="de-DE"/>
        </w:rPr>
        <w:t xml:space="preserve">„der schuldig ist zu sterben"). </w:t>
      </w:r>
      <w:r w:rsidRPr="009A7693">
        <w:rPr>
          <w:rFonts w:eastAsia="Times New Roman" w:cs="Times New Roman"/>
          <w:b/>
          <w:bCs/>
          <w:rtl/>
          <w:lang w:eastAsia="de-DE"/>
        </w:rPr>
        <w:t>כִּי־מוֹת יוּמָת</w:t>
      </w:r>
      <w:r w:rsidRPr="009A7693">
        <w:rPr>
          <w:rFonts w:eastAsia="Times New Roman" w:cs="Times New Roman"/>
          <w:rtl/>
          <w:lang w:eastAsia="de-DE"/>
        </w:rPr>
        <w:t xml:space="preserve"> </w:t>
      </w:r>
      <w:r w:rsidRPr="009A7693">
        <w:rPr>
          <w:rFonts w:eastAsia="Times New Roman" w:cs="Times New Roman"/>
          <w:lang w:eastAsia="de-DE"/>
        </w:rPr>
        <w:t>ist die Begründung (die klassische Todesstrafe-Formel „denn er soll gewiss getötet werden").</w:t>
      </w:r>
    </w:p>
    <w:p w14:paraId="7184E708"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Die Satzstruktur zeigt ein Verbot mit relativem Attribut und kausaler Bekräftigung.</w:t>
      </w:r>
    </w:p>
    <w:p w14:paraId="12A00336"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 xml:space="preserve">Der Vers ist kategorisch: Bei vorsätzlichem Mord ist kein </w:t>
      </w:r>
      <w:r w:rsidRPr="009A7693">
        <w:rPr>
          <w:rFonts w:eastAsia="Times New Roman" w:cs="Times New Roman"/>
          <w:b/>
          <w:bCs/>
          <w:rtl/>
          <w:lang w:eastAsia="de-DE"/>
        </w:rPr>
        <w:t>כֹּפֶר</w:t>
      </w:r>
      <w:r w:rsidRPr="009A7693">
        <w:rPr>
          <w:rFonts w:eastAsia="Times New Roman" w:cs="Times New Roman"/>
          <w:rtl/>
          <w:lang w:eastAsia="de-DE"/>
        </w:rPr>
        <w:t xml:space="preserve"> </w:t>
      </w:r>
      <w:r w:rsidRPr="009A7693">
        <w:rPr>
          <w:rFonts w:eastAsia="Times New Roman" w:cs="Times New Roman"/>
          <w:lang w:eastAsia="de-DE"/>
        </w:rPr>
        <w:t>(Lösegeld) möglich - kein finanzieller Ausgleich, keine Ersatzleistung. Das Leben eines Menschen kann nicht mit Geld aufgewogen werden. Dies steht im Gegensatz zu anderen altorientalischen Rechtssystemen, wo auch bei Tötungsdelikten oft finanzielle Kompensation möglich war. Hier gilt: Mord erfordert die Todesstrafe - keine Ausnahme, kein Freikauf. Dies unterstreicht die absolute Heiligkeit des menschlichen Lebens.</w:t>
      </w:r>
    </w:p>
    <w:p w14:paraId="1FA7F846" w14:textId="77777777" w:rsidR="009A7693" w:rsidRPr="009A7693" w:rsidRDefault="009A7693" w:rsidP="009A7693">
      <w:pPr>
        <w:spacing w:before="100" w:beforeAutospacing="1" w:after="100" w:afterAutospacing="1" w:line="240" w:lineRule="auto"/>
        <w:outlineLvl w:val="0"/>
        <w:rPr>
          <w:rFonts w:eastAsia="Times New Roman" w:cs="Times New Roman"/>
          <w:b/>
          <w:bCs/>
          <w:kern w:val="36"/>
          <w:sz w:val="48"/>
          <w:szCs w:val="48"/>
          <w:lang w:eastAsia="de-DE"/>
        </w:rPr>
      </w:pPr>
      <w:r w:rsidRPr="009A7693">
        <w:rPr>
          <w:rFonts w:eastAsia="Times New Roman" w:cs="Times New Roman"/>
          <w:b/>
          <w:bCs/>
          <w:kern w:val="36"/>
          <w:sz w:val="48"/>
          <w:szCs w:val="48"/>
          <w:lang w:eastAsia="de-DE"/>
        </w:rPr>
        <w:lastRenderedPageBreak/>
        <w:t>Numeri 35,32</w:t>
      </w:r>
    </w:p>
    <w:p w14:paraId="09EC5E1D"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Hebräisch:</w:t>
      </w:r>
      <w:r w:rsidRPr="009A7693">
        <w:rPr>
          <w:rFonts w:eastAsia="Times New Roman" w:cs="Times New Roman"/>
          <w:lang w:eastAsia="de-DE"/>
        </w:rPr>
        <w:t xml:space="preserve"> </w:t>
      </w:r>
      <w:r w:rsidRPr="009A7693">
        <w:rPr>
          <w:rFonts w:eastAsia="Times New Roman" w:cs="Times New Roman"/>
          <w:rtl/>
          <w:lang w:eastAsia="de-DE"/>
        </w:rPr>
        <w:t>וְלֹא־תִקְח֣וּ כֹ֔פֶר לָנ֖וּס אֶל־עִ֣יר מִקְלָטֹ֑ו לָשׁוּב֙ לָשֶׁ֣בֶת בָּאָ֔רֶץ עַד־מ֖וֹת הַכֹּהֵֽן׃</w:t>
      </w:r>
    </w:p>
    <w:p w14:paraId="4BE3395A"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Deutsch:</w:t>
      </w:r>
      <w:r w:rsidRPr="009A7693">
        <w:rPr>
          <w:rFonts w:eastAsia="Times New Roman" w:cs="Times New Roman"/>
          <w:lang w:eastAsia="de-DE"/>
        </w:rPr>
        <w:t xml:space="preserve"> Auch sollt ihr keine Sühne annehmen für den in seine Zufluchtsstadt Geflohenen, dass er zurückkehre, um im Land zu wohnen, vor dem Tod des Hohepriesters.</w:t>
      </w:r>
    </w:p>
    <w:p w14:paraId="671C2216"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pict w14:anchorId="25D7FC60">
          <v:rect id="_x0000_i2089" style="width:0;height:1.5pt" o:hralign="center" o:hrstd="t" o:hr="t" fillcolor="#a0a0a0" stroked="f"/>
        </w:pict>
      </w:r>
    </w:p>
    <w:p w14:paraId="3D549184" w14:textId="098C29A4"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Kommentar:</w:t>
      </w:r>
      <w:r w:rsidRPr="009A7693">
        <w:rPr>
          <w:rFonts w:eastAsia="Times New Roman" w:cs="Times New Roman"/>
          <w:lang w:eastAsia="de-DE"/>
        </w:rPr>
        <w:t xml:space="preserve"> Der Vers verbietet vorzeitige Freilassung. </w:t>
      </w:r>
      <w:r w:rsidRPr="009A7693">
        <w:rPr>
          <w:rFonts w:eastAsia="Times New Roman" w:cs="Times New Roman"/>
          <w:b/>
          <w:bCs/>
          <w:rtl/>
          <w:lang w:eastAsia="de-DE"/>
        </w:rPr>
        <w:t>וְלֹא־תִקְחוּ כֹפֶר לָנוּס אֶל־עִיר מִקְלָטוֹ לָשׁוּב לָשֶׁבֶת בָּאָרֶץ עַד־מוֹת הַכֹּהֵן</w:t>
      </w:r>
      <w:r w:rsidRPr="009A7693">
        <w:rPr>
          <w:rFonts w:eastAsia="Times New Roman" w:cs="Times New Roman"/>
          <w:rtl/>
          <w:lang w:eastAsia="de-DE"/>
        </w:rPr>
        <w:t xml:space="preserve"> </w:t>
      </w:r>
      <w:r w:rsidRPr="009A7693">
        <w:rPr>
          <w:rFonts w:eastAsia="Times New Roman" w:cs="Times New Roman"/>
          <w:lang w:eastAsia="de-DE"/>
        </w:rPr>
        <w:t xml:space="preserve">ist das gesamte Verbot. </w:t>
      </w:r>
      <w:r w:rsidRPr="009A7693">
        <w:rPr>
          <w:rFonts w:eastAsia="Times New Roman" w:cs="Times New Roman"/>
          <w:b/>
          <w:bCs/>
          <w:rtl/>
          <w:lang w:eastAsia="de-DE"/>
        </w:rPr>
        <w:t>וְלֹא־תִקְחוּ כֹפֶר</w:t>
      </w:r>
      <w:r w:rsidRPr="009A7693">
        <w:rPr>
          <w:rFonts w:eastAsia="Times New Roman" w:cs="Times New Roman"/>
          <w:rtl/>
          <w:lang w:eastAsia="de-DE"/>
        </w:rPr>
        <w:t xml:space="preserve"> </w:t>
      </w:r>
      <w:r w:rsidRPr="009A7693">
        <w:rPr>
          <w:rFonts w:eastAsia="Times New Roman" w:cs="Times New Roman"/>
          <w:lang w:eastAsia="de-DE"/>
        </w:rPr>
        <w:t xml:space="preserve">(wie V. 31), </w:t>
      </w:r>
      <w:r w:rsidRPr="009A7693">
        <w:rPr>
          <w:rFonts w:eastAsia="Times New Roman" w:cs="Times New Roman"/>
          <w:b/>
          <w:bCs/>
          <w:rtl/>
          <w:lang w:eastAsia="de-DE"/>
        </w:rPr>
        <w:t>לָנוּס אֶל־עִיר מִקְלָטוֹ</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Qal-Partizip von </w:t>
      </w:r>
      <w:r w:rsidRPr="009A7693">
        <w:rPr>
          <w:rFonts w:eastAsia="Times New Roman" w:cs="Times New Roman"/>
          <w:b/>
          <w:bCs/>
          <w:rtl/>
          <w:lang w:eastAsia="de-DE"/>
        </w:rPr>
        <w:t>נוס</w:t>
      </w:r>
      <w:r w:rsidRPr="009A7693">
        <w:rPr>
          <w:rFonts w:eastAsia="Times New Roman" w:cs="Times New Roman"/>
          <w:rtl/>
          <w:lang w:eastAsia="de-DE"/>
        </w:rPr>
        <w:t xml:space="preserve"> </w:t>
      </w:r>
      <w:r w:rsidRPr="009A7693">
        <w:rPr>
          <w:rFonts w:eastAsia="Times New Roman" w:cs="Times New Roman"/>
          <w:lang w:eastAsia="de-DE"/>
        </w:rPr>
        <w:t xml:space="preserve">„fliehen" und Präposition </w:t>
      </w:r>
      <w:r w:rsidRPr="009A7693">
        <w:rPr>
          <w:rFonts w:eastAsia="Times New Roman" w:cs="Times New Roman"/>
          <w:b/>
          <w:bCs/>
          <w:rtl/>
          <w:lang w:eastAsia="de-DE"/>
        </w:rPr>
        <w:t>אֶל</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עִיר מִקְלָט</w:t>
      </w:r>
      <w:r w:rsidRPr="009A7693">
        <w:rPr>
          <w:rFonts w:eastAsia="Times New Roman" w:cs="Times New Roman"/>
          <w:rtl/>
          <w:lang w:eastAsia="de-DE"/>
        </w:rPr>
        <w:t xml:space="preserve"> </w:t>
      </w:r>
      <w:r w:rsidRPr="009A7693">
        <w:rPr>
          <w:rFonts w:eastAsia="Times New Roman" w:cs="Times New Roman"/>
          <w:lang w:eastAsia="de-DE"/>
        </w:rPr>
        <w:t xml:space="preserve">mit Suffix „für den in seine Zufluchtsstadt Geflohenen"), </w:t>
      </w:r>
      <w:r w:rsidRPr="009A7693">
        <w:rPr>
          <w:rFonts w:eastAsia="Times New Roman" w:cs="Times New Roman"/>
          <w:b/>
          <w:bCs/>
          <w:rtl/>
          <w:lang w:eastAsia="de-DE"/>
        </w:rPr>
        <w:t>לָשׁוּב לָשֶׁבֶת בָּאָרֶץ</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Qal Infinitiv </w:t>
      </w:r>
      <w:r w:rsidR="00E031B3">
        <w:rPr>
          <w:rFonts w:eastAsia="Times New Roman" w:cs="Times New Roman"/>
          <w:lang w:eastAsia="de-DE"/>
        </w:rPr>
        <w:t>Constructus von</w:t>
      </w:r>
      <w:r w:rsidRPr="009A7693">
        <w:rPr>
          <w:rFonts w:eastAsia="Times New Roman" w:cs="Times New Roman"/>
          <w:lang w:eastAsia="de-DE"/>
        </w:rPr>
        <w:t xml:space="preserve"> </w:t>
      </w:r>
      <w:r w:rsidRPr="009A7693">
        <w:rPr>
          <w:rFonts w:eastAsia="Times New Roman" w:cs="Times New Roman"/>
          <w:b/>
          <w:bCs/>
          <w:rtl/>
          <w:lang w:eastAsia="de-DE"/>
        </w:rPr>
        <w:t>שׁוב</w:t>
      </w:r>
      <w:r w:rsidRPr="009A7693">
        <w:rPr>
          <w:rFonts w:eastAsia="Times New Roman" w:cs="Times New Roman"/>
          <w:rtl/>
          <w:lang w:eastAsia="de-DE"/>
        </w:rPr>
        <w:t xml:space="preserve"> </w:t>
      </w:r>
      <w:r w:rsidRPr="009A7693">
        <w:rPr>
          <w:rFonts w:eastAsia="Times New Roman" w:cs="Times New Roman"/>
          <w:lang w:eastAsia="de-DE"/>
        </w:rPr>
        <w:t xml:space="preserve">„zurückkehren" und 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Qal Infinitiv </w:t>
      </w:r>
      <w:r w:rsidR="00E031B3">
        <w:rPr>
          <w:rFonts w:eastAsia="Times New Roman" w:cs="Times New Roman"/>
          <w:lang w:eastAsia="de-DE"/>
        </w:rPr>
        <w:t>Constructus von</w:t>
      </w:r>
      <w:r w:rsidRPr="009A7693">
        <w:rPr>
          <w:rFonts w:eastAsia="Times New Roman" w:cs="Times New Roman"/>
          <w:lang w:eastAsia="de-DE"/>
        </w:rPr>
        <w:t xml:space="preserve"> </w:t>
      </w:r>
      <w:r w:rsidRPr="009A7693">
        <w:rPr>
          <w:rFonts w:eastAsia="Times New Roman" w:cs="Times New Roman"/>
          <w:b/>
          <w:bCs/>
          <w:rtl/>
          <w:lang w:eastAsia="de-DE"/>
        </w:rPr>
        <w:t>ישׁב</w:t>
      </w:r>
      <w:r w:rsidRPr="009A7693">
        <w:rPr>
          <w:rFonts w:eastAsia="Times New Roman" w:cs="Times New Roman"/>
          <w:rtl/>
          <w:lang w:eastAsia="de-DE"/>
        </w:rPr>
        <w:t xml:space="preserve"> </w:t>
      </w:r>
      <w:r w:rsidRPr="009A7693">
        <w:rPr>
          <w:rFonts w:eastAsia="Times New Roman" w:cs="Times New Roman"/>
          <w:lang w:eastAsia="de-DE"/>
        </w:rPr>
        <w:t xml:space="preserve">„wohnen" und Präposition </w:t>
      </w:r>
      <w:r w:rsidRPr="009A7693">
        <w:rPr>
          <w:rFonts w:eastAsia="Times New Roman" w:cs="Times New Roman"/>
          <w:b/>
          <w:bCs/>
          <w:rtl/>
          <w:lang w:eastAsia="de-DE"/>
        </w:rPr>
        <w:t>בְ</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אֶרֶץ</w:t>
      </w:r>
      <w:r w:rsidRPr="009A7693">
        <w:rPr>
          <w:rFonts w:eastAsia="Times New Roman" w:cs="Times New Roman"/>
          <w:rtl/>
          <w:lang w:eastAsia="de-DE"/>
        </w:rPr>
        <w:t xml:space="preserve"> </w:t>
      </w:r>
      <w:r w:rsidRPr="009A7693">
        <w:rPr>
          <w:rFonts w:eastAsia="Times New Roman" w:cs="Times New Roman"/>
          <w:lang w:eastAsia="de-DE"/>
        </w:rPr>
        <w:t xml:space="preserve">mit Artikel „dass er zurückkehre, um im Land zu wohnen"), </w:t>
      </w:r>
      <w:r w:rsidRPr="009A7693">
        <w:rPr>
          <w:rFonts w:eastAsia="Times New Roman" w:cs="Times New Roman"/>
          <w:b/>
          <w:bCs/>
          <w:rtl/>
          <w:lang w:eastAsia="de-DE"/>
        </w:rPr>
        <w:t>עַד־מוֹת הַכֹּהֵן</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עַד</w:t>
      </w:r>
      <w:r w:rsidRPr="009A7693">
        <w:rPr>
          <w:rFonts w:eastAsia="Times New Roman" w:cs="Times New Roman"/>
          <w:rtl/>
          <w:lang w:eastAsia="de-DE"/>
        </w:rPr>
        <w:t xml:space="preserve"> </w:t>
      </w:r>
      <w:r w:rsidRPr="009A7693">
        <w:rPr>
          <w:rFonts w:eastAsia="Times New Roman" w:cs="Times New Roman"/>
          <w:lang w:eastAsia="de-DE"/>
        </w:rPr>
        <w:t xml:space="preserve">„bis" mit Infinitiv </w:t>
      </w:r>
      <w:r w:rsidR="00E031B3">
        <w:rPr>
          <w:rFonts w:eastAsia="Times New Roman" w:cs="Times New Roman"/>
          <w:lang w:eastAsia="de-DE"/>
        </w:rPr>
        <w:t>Constructus von</w:t>
      </w:r>
      <w:r w:rsidRPr="009A7693">
        <w:rPr>
          <w:rFonts w:eastAsia="Times New Roman" w:cs="Times New Roman"/>
          <w:lang w:eastAsia="de-DE"/>
        </w:rPr>
        <w:t xml:space="preserve"> </w:t>
      </w:r>
      <w:r w:rsidRPr="009A7693">
        <w:rPr>
          <w:rFonts w:eastAsia="Times New Roman" w:cs="Times New Roman"/>
          <w:b/>
          <w:bCs/>
          <w:rtl/>
          <w:lang w:eastAsia="de-DE"/>
        </w:rPr>
        <w:t>מות</w:t>
      </w:r>
      <w:r w:rsidRPr="009A7693">
        <w:rPr>
          <w:rFonts w:eastAsia="Times New Roman" w:cs="Times New Roman"/>
          <w:rtl/>
          <w:lang w:eastAsia="de-DE"/>
        </w:rPr>
        <w:t xml:space="preserve"> </w:t>
      </w:r>
      <w:r w:rsidRPr="009A7693">
        <w:rPr>
          <w:rFonts w:eastAsia="Times New Roman" w:cs="Times New Roman"/>
          <w:lang w:eastAsia="de-DE"/>
        </w:rPr>
        <w:t xml:space="preserve">und </w:t>
      </w:r>
      <w:r w:rsidRPr="009A7693">
        <w:rPr>
          <w:rFonts w:eastAsia="Times New Roman" w:cs="Times New Roman"/>
          <w:b/>
          <w:bCs/>
          <w:rtl/>
          <w:lang w:eastAsia="de-DE"/>
        </w:rPr>
        <w:t>כֹּהֵן</w:t>
      </w:r>
      <w:r w:rsidRPr="009A7693">
        <w:rPr>
          <w:rFonts w:eastAsia="Times New Roman" w:cs="Times New Roman"/>
          <w:rtl/>
          <w:lang w:eastAsia="de-DE"/>
        </w:rPr>
        <w:t xml:space="preserve"> </w:t>
      </w:r>
      <w:r w:rsidRPr="009A7693">
        <w:rPr>
          <w:rFonts w:eastAsia="Times New Roman" w:cs="Times New Roman"/>
          <w:lang w:eastAsia="de-DE"/>
        </w:rPr>
        <w:t>mit Artikel „vor dem Tod des Hohepriesters").</w:t>
      </w:r>
    </w:p>
    <w:p w14:paraId="1161CA50"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Die Satzstruktur zeigt ein Verbot mit partizipialem Objekt und zwei finalen Infinitiven mit temporaler Begrenzung.</w:t>
      </w:r>
    </w:p>
    <w:p w14:paraId="6F9B12AF"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 xml:space="preserve">Der Vers verbietet auch für den Totschläger ein </w:t>
      </w:r>
      <w:r w:rsidRPr="009A7693">
        <w:rPr>
          <w:rFonts w:eastAsia="Times New Roman" w:cs="Times New Roman"/>
          <w:b/>
          <w:bCs/>
          <w:rtl/>
          <w:lang w:eastAsia="de-DE"/>
        </w:rPr>
        <w:t>כֹּפֶר</w:t>
      </w:r>
      <w:r w:rsidRPr="009A7693">
        <w:rPr>
          <w:rFonts w:eastAsia="Times New Roman" w:cs="Times New Roman"/>
          <w:lang w:eastAsia="de-DE"/>
        </w:rPr>
        <w:t>: Er kann sich nicht freikaufen, um vor dem Tod des Hohepriesters heimzukehren. Die Aufenthaltspflicht in der Zufluchtsstadt ist absolut - kein Geld, keine Verbindungen können sie verkürzen. Dies stellt sicher, dass das System gerecht funktioniert: Arm und Reich werden gleich behandelt. Der Totschläger muss die volle Zeit in der Zufluchtsstadt bleiben - dies ist seine „Strafe" für die unbeabsichtigte Tötung.</w:t>
      </w:r>
    </w:p>
    <w:p w14:paraId="2B28C98C" w14:textId="77777777" w:rsidR="009A7693" w:rsidRPr="009A7693" w:rsidRDefault="009A7693" w:rsidP="009A7693">
      <w:pPr>
        <w:spacing w:before="100" w:beforeAutospacing="1" w:after="100" w:afterAutospacing="1" w:line="240" w:lineRule="auto"/>
        <w:outlineLvl w:val="0"/>
        <w:rPr>
          <w:rFonts w:eastAsia="Times New Roman" w:cs="Times New Roman"/>
          <w:b/>
          <w:bCs/>
          <w:kern w:val="36"/>
          <w:sz w:val="48"/>
          <w:szCs w:val="48"/>
          <w:lang w:eastAsia="de-DE"/>
        </w:rPr>
      </w:pPr>
      <w:r w:rsidRPr="009A7693">
        <w:rPr>
          <w:rFonts w:eastAsia="Times New Roman" w:cs="Times New Roman"/>
          <w:b/>
          <w:bCs/>
          <w:kern w:val="36"/>
          <w:sz w:val="48"/>
          <w:szCs w:val="48"/>
          <w:lang w:eastAsia="de-DE"/>
        </w:rPr>
        <w:t>Numeri 35,33</w:t>
      </w:r>
    </w:p>
    <w:p w14:paraId="56C8D101"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Hebräisch:</w:t>
      </w:r>
      <w:r w:rsidRPr="009A7693">
        <w:rPr>
          <w:rFonts w:eastAsia="Times New Roman" w:cs="Times New Roman"/>
          <w:lang w:eastAsia="de-DE"/>
        </w:rPr>
        <w:t xml:space="preserve"> </w:t>
      </w:r>
      <w:r w:rsidRPr="009A7693">
        <w:rPr>
          <w:rFonts w:eastAsia="Times New Roman" w:cs="Times New Roman"/>
          <w:rtl/>
          <w:lang w:eastAsia="de-DE"/>
        </w:rPr>
        <w:t>וְלֹא־תַחֲנִ֣יפוּ אֶת־הָאָ֗רֶץ אֲשֶׁ֤ר אַתֶּם֙ בָּ֔הּ כִּ֣י הַדָּ֔ם ה֥וּא יַחֲנִ֖יף אֶת־הָאָ֑רֶץ וְלָאָ֣רֶץ לֹֽא־יְכֻפַּ֗ר לַדָּם֙ אֲשֶׁ֣ר שֻׁפַּךְ־בָּ֔הּ כִּי־אִ֖ם בְּדַ֥ם שֹׁפְכֹֽו׃</w:t>
      </w:r>
    </w:p>
    <w:p w14:paraId="710708B3"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Deutsch:</w:t>
      </w:r>
      <w:r w:rsidRPr="009A7693">
        <w:rPr>
          <w:rFonts w:eastAsia="Times New Roman" w:cs="Times New Roman"/>
          <w:lang w:eastAsia="de-DE"/>
        </w:rPr>
        <w:t xml:space="preserve"> Und ihr sollt das Land nicht entweihen, in dem ihr seid; denn das Blut, das entweiht das Land; und dem Land kann nicht Sühne erwirkt werden wegen des Blutes, das darin vergossen worden ist, außer durch das Blut dessen, der es vergossen hat.</w:t>
      </w:r>
    </w:p>
    <w:p w14:paraId="35E5A61A"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pict w14:anchorId="69F9B77A">
          <v:rect id="_x0000_i2090" style="width:0;height:1.5pt" o:hralign="center" o:hrstd="t" o:hr="t" fillcolor="#a0a0a0" stroked="f"/>
        </w:pict>
      </w:r>
    </w:p>
    <w:p w14:paraId="4621FCA6"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Kommentar:</w:t>
      </w:r>
      <w:r w:rsidRPr="009A7693">
        <w:rPr>
          <w:rFonts w:eastAsia="Times New Roman" w:cs="Times New Roman"/>
          <w:lang w:eastAsia="de-DE"/>
        </w:rPr>
        <w:t xml:space="preserve"> Der Vers gibt die theologische Begründung des ganzen Systems. </w:t>
      </w:r>
      <w:r w:rsidRPr="009A7693">
        <w:rPr>
          <w:rFonts w:eastAsia="Times New Roman" w:cs="Times New Roman"/>
          <w:b/>
          <w:bCs/>
          <w:rtl/>
          <w:lang w:eastAsia="de-DE"/>
        </w:rPr>
        <w:t>וְלֹא־תַחֲנִיפוּ אֶת־הָאָרֶץ אֲשֶׁר אַתֶּם בָּהּ</w:t>
      </w:r>
      <w:r w:rsidRPr="009A7693">
        <w:rPr>
          <w:rFonts w:eastAsia="Times New Roman" w:cs="Times New Roman"/>
          <w:rtl/>
          <w:lang w:eastAsia="de-DE"/>
        </w:rPr>
        <w:t xml:space="preserve"> </w:t>
      </w:r>
      <w:r w:rsidRPr="009A7693">
        <w:rPr>
          <w:rFonts w:eastAsia="Times New Roman" w:cs="Times New Roman"/>
          <w:lang w:eastAsia="de-DE"/>
        </w:rPr>
        <w:t xml:space="preserve">ist das Hauptverbot. </w:t>
      </w:r>
      <w:r w:rsidRPr="009A7693">
        <w:rPr>
          <w:rFonts w:eastAsia="Times New Roman" w:cs="Times New Roman"/>
          <w:b/>
          <w:bCs/>
          <w:rtl/>
          <w:lang w:eastAsia="de-DE"/>
        </w:rPr>
        <w:t>וְלֹא־תַחֲנִיפוּ</w:t>
      </w:r>
      <w:r w:rsidRPr="009A7693">
        <w:rPr>
          <w:rFonts w:eastAsia="Times New Roman" w:cs="Times New Roman"/>
          <w:rtl/>
          <w:lang w:eastAsia="de-DE"/>
        </w:rPr>
        <w:t xml:space="preserve"> </w:t>
      </w:r>
      <w:r w:rsidRPr="009A7693">
        <w:rPr>
          <w:rFonts w:eastAsia="Times New Roman" w:cs="Times New Roman"/>
          <w:lang w:eastAsia="de-DE"/>
        </w:rPr>
        <w:t xml:space="preserve">(Konjunktion mit Negation und Hiphil Imperfekt 2. Person Plural von </w:t>
      </w:r>
      <w:r w:rsidRPr="009A7693">
        <w:rPr>
          <w:rFonts w:eastAsia="Times New Roman" w:cs="Times New Roman"/>
          <w:b/>
          <w:bCs/>
          <w:rtl/>
          <w:lang w:eastAsia="de-DE"/>
        </w:rPr>
        <w:t>חנף</w:t>
      </w:r>
      <w:r w:rsidRPr="009A7693">
        <w:rPr>
          <w:rFonts w:eastAsia="Times New Roman" w:cs="Times New Roman"/>
          <w:rtl/>
          <w:lang w:eastAsia="de-DE"/>
        </w:rPr>
        <w:t xml:space="preserve"> </w:t>
      </w:r>
      <w:r w:rsidRPr="009A7693">
        <w:rPr>
          <w:rFonts w:eastAsia="Times New Roman" w:cs="Times New Roman"/>
          <w:lang w:eastAsia="de-DE"/>
        </w:rPr>
        <w:t xml:space="preserve">„entweihen, profanieren, verunreinigen"), </w:t>
      </w:r>
      <w:r w:rsidRPr="009A7693">
        <w:rPr>
          <w:rFonts w:eastAsia="Times New Roman" w:cs="Times New Roman"/>
          <w:b/>
          <w:bCs/>
          <w:rtl/>
          <w:lang w:eastAsia="de-DE"/>
        </w:rPr>
        <w:t>אֶת־הָאָרֶץ</w:t>
      </w:r>
      <w:r w:rsidRPr="009A7693">
        <w:rPr>
          <w:rFonts w:eastAsia="Times New Roman" w:cs="Times New Roman"/>
          <w:rtl/>
          <w:lang w:eastAsia="de-DE"/>
        </w:rPr>
        <w:t xml:space="preserve"> </w:t>
      </w:r>
      <w:r w:rsidRPr="009A7693">
        <w:rPr>
          <w:rFonts w:eastAsia="Times New Roman" w:cs="Times New Roman"/>
          <w:lang w:eastAsia="de-DE"/>
        </w:rPr>
        <w:t xml:space="preserve">(Akkusativ „das Land"), </w:t>
      </w:r>
      <w:r w:rsidRPr="009A7693">
        <w:rPr>
          <w:rFonts w:eastAsia="Times New Roman" w:cs="Times New Roman"/>
          <w:b/>
          <w:bCs/>
          <w:rtl/>
          <w:lang w:eastAsia="de-DE"/>
        </w:rPr>
        <w:t>אֲשֶׁר אַתֶּם בָּהּ</w:t>
      </w:r>
      <w:r w:rsidRPr="009A7693">
        <w:rPr>
          <w:rFonts w:eastAsia="Times New Roman" w:cs="Times New Roman"/>
          <w:rtl/>
          <w:lang w:eastAsia="de-DE"/>
        </w:rPr>
        <w:t xml:space="preserve"> </w:t>
      </w:r>
      <w:r w:rsidRPr="009A7693">
        <w:rPr>
          <w:rFonts w:eastAsia="Times New Roman" w:cs="Times New Roman"/>
          <w:lang w:eastAsia="de-DE"/>
        </w:rPr>
        <w:t xml:space="preserve">(Relativsatz „in dem ihr seid"). </w:t>
      </w:r>
      <w:r w:rsidRPr="009A7693">
        <w:rPr>
          <w:rFonts w:eastAsia="Times New Roman" w:cs="Times New Roman"/>
          <w:b/>
          <w:bCs/>
          <w:rtl/>
          <w:lang w:eastAsia="de-DE"/>
        </w:rPr>
        <w:t>כִּי הַדָּם הוּא יַחֲנִיף אֶת־הָאָרֶץ</w:t>
      </w:r>
      <w:r w:rsidRPr="009A7693">
        <w:rPr>
          <w:rFonts w:eastAsia="Times New Roman" w:cs="Times New Roman"/>
          <w:rtl/>
          <w:lang w:eastAsia="de-DE"/>
        </w:rPr>
        <w:t xml:space="preserve"> </w:t>
      </w:r>
      <w:r w:rsidRPr="009A7693">
        <w:rPr>
          <w:rFonts w:eastAsia="Times New Roman" w:cs="Times New Roman"/>
          <w:lang w:eastAsia="de-DE"/>
        </w:rPr>
        <w:t xml:space="preserve">ist die erste Begründung. </w:t>
      </w:r>
      <w:r w:rsidRPr="009A7693">
        <w:rPr>
          <w:rFonts w:eastAsia="Times New Roman" w:cs="Times New Roman"/>
          <w:b/>
          <w:bCs/>
          <w:rtl/>
          <w:lang w:eastAsia="de-DE"/>
        </w:rPr>
        <w:t>כִּי</w:t>
      </w:r>
      <w:r w:rsidRPr="009A7693">
        <w:rPr>
          <w:rFonts w:eastAsia="Times New Roman" w:cs="Times New Roman"/>
          <w:rtl/>
          <w:lang w:eastAsia="de-DE"/>
        </w:rPr>
        <w:t xml:space="preserve"> </w:t>
      </w:r>
      <w:r w:rsidRPr="009A7693">
        <w:rPr>
          <w:rFonts w:eastAsia="Times New Roman" w:cs="Times New Roman"/>
          <w:lang w:eastAsia="de-DE"/>
        </w:rPr>
        <w:t xml:space="preserve">(kausal), </w:t>
      </w:r>
      <w:r w:rsidRPr="009A7693">
        <w:rPr>
          <w:rFonts w:eastAsia="Times New Roman" w:cs="Times New Roman"/>
          <w:b/>
          <w:bCs/>
          <w:rtl/>
          <w:lang w:eastAsia="de-DE"/>
        </w:rPr>
        <w:t>הַדָּם</w:t>
      </w:r>
      <w:r w:rsidRPr="009A7693">
        <w:rPr>
          <w:rFonts w:eastAsia="Times New Roman" w:cs="Times New Roman"/>
          <w:rtl/>
          <w:lang w:eastAsia="de-DE"/>
        </w:rPr>
        <w:t xml:space="preserve"> </w:t>
      </w:r>
      <w:r w:rsidRPr="009A7693">
        <w:rPr>
          <w:rFonts w:eastAsia="Times New Roman" w:cs="Times New Roman"/>
          <w:lang w:eastAsia="de-DE"/>
        </w:rPr>
        <w:t xml:space="preserve">(Subjekt „das Blut" mit Artikel), </w:t>
      </w:r>
      <w:r w:rsidRPr="009A7693">
        <w:rPr>
          <w:rFonts w:eastAsia="Times New Roman" w:cs="Times New Roman"/>
          <w:b/>
          <w:bCs/>
          <w:rtl/>
          <w:lang w:eastAsia="de-DE"/>
        </w:rPr>
        <w:t>הוּא</w:t>
      </w:r>
      <w:r w:rsidRPr="009A7693">
        <w:rPr>
          <w:rFonts w:eastAsia="Times New Roman" w:cs="Times New Roman"/>
          <w:rtl/>
          <w:lang w:eastAsia="de-DE"/>
        </w:rPr>
        <w:t xml:space="preserve"> </w:t>
      </w:r>
      <w:r w:rsidRPr="009A7693">
        <w:rPr>
          <w:rFonts w:eastAsia="Times New Roman" w:cs="Times New Roman"/>
          <w:lang w:eastAsia="de-DE"/>
        </w:rPr>
        <w:t xml:space="preserve">(emphatisches Pronomen), </w:t>
      </w:r>
      <w:r w:rsidRPr="009A7693">
        <w:rPr>
          <w:rFonts w:eastAsia="Times New Roman" w:cs="Times New Roman"/>
          <w:b/>
          <w:bCs/>
          <w:rtl/>
          <w:lang w:eastAsia="de-DE"/>
        </w:rPr>
        <w:t>יַחֲנִיף אֶת־הָאָרֶץ</w:t>
      </w:r>
      <w:r w:rsidRPr="009A7693">
        <w:rPr>
          <w:rFonts w:eastAsia="Times New Roman" w:cs="Times New Roman"/>
          <w:rtl/>
          <w:lang w:eastAsia="de-DE"/>
        </w:rPr>
        <w:t xml:space="preserve"> </w:t>
      </w:r>
      <w:r w:rsidRPr="009A7693">
        <w:rPr>
          <w:rFonts w:eastAsia="Times New Roman" w:cs="Times New Roman"/>
          <w:lang w:eastAsia="de-DE"/>
        </w:rPr>
        <w:t xml:space="preserve">(Hiphil Imperfekt von </w:t>
      </w:r>
      <w:r w:rsidRPr="009A7693">
        <w:rPr>
          <w:rFonts w:eastAsia="Times New Roman" w:cs="Times New Roman"/>
          <w:b/>
          <w:bCs/>
          <w:rtl/>
          <w:lang w:eastAsia="de-DE"/>
        </w:rPr>
        <w:t>חנף</w:t>
      </w:r>
      <w:r w:rsidRPr="009A7693">
        <w:rPr>
          <w:rFonts w:eastAsia="Times New Roman" w:cs="Times New Roman"/>
          <w:rtl/>
          <w:lang w:eastAsia="de-DE"/>
        </w:rPr>
        <w:t xml:space="preserve"> </w:t>
      </w:r>
      <w:r w:rsidRPr="009A7693">
        <w:rPr>
          <w:rFonts w:eastAsia="Times New Roman" w:cs="Times New Roman"/>
          <w:lang w:eastAsia="de-DE"/>
        </w:rPr>
        <w:t>mit Akkusativ „es entweiht das Land").</w:t>
      </w:r>
    </w:p>
    <w:p w14:paraId="20E657E7" w14:textId="291049B8"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rtl/>
          <w:lang w:eastAsia="de-DE"/>
        </w:rPr>
        <w:lastRenderedPageBreak/>
        <w:t>וְלָאָרֶץ לֹא־יְכֻפַּר לַדָּם אֲשֶׁר שֻׁפַּךְ־בָּהּ כִּי־אִם בְּדַם שֹׁפְכוֹ</w:t>
      </w:r>
      <w:r w:rsidRPr="009A7693">
        <w:rPr>
          <w:rFonts w:eastAsia="Times New Roman" w:cs="Times New Roman"/>
          <w:rtl/>
          <w:lang w:eastAsia="de-DE"/>
        </w:rPr>
        <w:t xml:space="preserve"> </w:t>
      </w:r>
      <w:r w:rsidRPr="009A7693">
        <w:rPr>
          <w:rFonts w:eastAsia="Times New Roman" w:cs="Times New Roman"/>
          <w:lang w:eastAsia="de-DE"/>
        </w:rPr>
        <w:t xml:space="preserve">ist die zweite Begründung. </w:t>
      </w:r>
      <w:r w:rsidRPr="009A7693">
        <w:rPr>
          <w:rFonts w:eastAsia="Times New Roman" w:cs="Times New Roman"/>
          <w:b/>
          <w:bCs/>
          <w:rtl/>
          <w:lang w:eastAsia="de-DE"/>
        </w:rPr>
        <w:t>וְלָאָרֶץ</w:t>
      </w:r>
      <w:r w:rsidRPr="009A7693">
        <w:rPr>
          <w:rFonts w:eastAsia="Times New Roman" w:cs="Times New Roman"/>
          <w:rtl/>
          <w:lang w:eastAsia="de-DE"/>
        </w:rPr>
        <w:t xml:space="preserve"> </w:t>
      </w:r>
      <w:r w:rsidRPr="009A7693">
        <w:rPr>
          <w:rFonts w:eastAsia="Times New Roman" w:cs="Times New Roman"/>
          <w:lang w:eastAsia="de-DE"/>
        </w:rPr>
        <w:t xml:space="preserve">(Konjunktion mit 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אֶרֶץ</w:t>
      </w:r>
      <w:r w:rsidRPr="009A7693">
        <w:rPr>
          <w:rFonts w:eastAsia="Times New Roman" w:cs="Times New Roman"/>
          <w:rtl/>
          <w:lang w:eastAsia="de-DE"/>
        </w:rPr>
        <w:t xml:space="preserve"> </w:t>
      </w:r>
      <w:r w:rsidRPr="009A7693">
        <w:rPr>
          <w:rFonts w:eastAsia="Times New Roman" w:cs="Times New Roman"/>
          <w:lang w:eastAsia="de-DE"/>
        </w:rPr>
        <w:t xml:space="preserve">mit Artikel „und dem Land"), </w:t>
      </w:r>
      <w:r w:rsidRPr="009A7693">
        <w:rPr>
          <w:rFonts w:eastAsia="Times New Roman" w:cs="Times New Roman"/>
          <w:b/>
          <w:bCs/>
          <w:rtl/>
          <w:lang w:eastAsia="de-DE"/>
        </w:rPr>
        <w:t>לֹא־יְכֻפַּר</w:t>
      </w:r>
      <w:r w:rsidRPr="009A7693">
        <w:rPr>
          <w:rFonts w:eastAsia="Times New Roman" w:cs="Times New Roman"/>
          <w:rtl/>
          <w:lang w:eastAsia="de-DE"/>
        </w:rPr>
        <w:t xml:space="preserve"> </w:t>
      </w:r>
      <w:r w:rsidRPr="009A7693">
        <w:rPr>
          <w:rFonts w:eastAsia="Times New Roman" w:cs="Times New Roman"/>
          <w:lang w:eastAsia="de-DE"/>
        </w:rPr>
        <w:t xml:space="preserve">(Negation mit Pual Imperfekt 3. Person maskulin Singular von </w:t>
      </w:r>
      <w:r w:rsidRPr="009A7693">
        <w:rPr>
          <w:rFonts w:eastAsia="Times New Roman" w:cs="Times New Roman"/>
          <w:b/>
          <w:bCs/>
          <w:rtl/>
          <w:lang w:eastAsia="de-DE"/>
        </w:rPr>
        <w:t>כפר</w:t>
      </w:r>
      <w:r w:rsidRPr="009A7693">
        <w:rPr>
          <w:rFonts w:eastAsia="Times New Roman" w:cs="Times New Roman"/>
          <w:rtl/>
          <w:lang w:eastAsia="de-DE"/>
        </w:rPr>
        <w:t xml:space="preserve"> </w:t>
      </w:r>
      <w:r w:rsidRPr="009A7693">
        <w:rPr>
          <w:rFonts w:eastAsia="Times New Roman" w:cs="Times New Roman"/>
          <w:lang w:eastAsia="de-DE"/>
        </w:rPr>
        <w:t xml:space="preserve">„sühnen" - Passiv „kann nicht Sühne erwirkt werden"), </w:t>
      </w:r>
      <w:r w:rsidRPr="009A7693">
        <w:rPr>
          <w:rFonts w:eastAsia="Times New Roman" w:cs="Times New Roman"/>
          <w:b/>
          <w:bCs/>
          <w:rtl/>
          <w:lang w:eastAsia="de-DE"/>
        </w:rPr>
        <w:t>לַדָּם אֲשֶׁר שֻׁפַּךְ־בָּהּ</w:t>
      </w:r>
      <w:r w:rsidRPr="009A7693">
        <w:rPr>
          <w:rFonts w:eastAsia="Times New Roman" w:cs="Times New Roman"/>
          <w:rtl/>
          <w:lang w:eastAsia="de-DE"/>
        </w:rPr>
        <w:t xml:space="preserve"> </w:t>
      </w:r>
      <w:r w:rsidRPr="009A7693">
        <w:rPr>
          <w:rFonts w:eastAsia="Times New Roman" w:cs="Times New Roman"/>
          <w:lang w:eastAsia="de-DE"/>
        </w:rPr>
        <w:t xml:space="preserve">(Präposition </w:t>
      </w:r>
      <w:r w:rsidRPr="009A7693">
        <w:rPr>
          <w:rFonts w:eastAsia="Times New Roman" w:cs="Times New Roman"/>
          <w:b/>
          <w:bCs/>
          <w:rtl/>
          <w:lang w:eastAsia="de-DE"/>
        </w:rPr>
        <w:t>לְ</w:t>
      </w:r>
      <w:r w:rsidRPr="009A7693">
        <w:rPr>
          <w:rFonts w:eastAsia="Times New Roman" w:cs="Times New Roman"/>
          <w:rtl/>
          <w:lang w:eastAsia="de-DE"/>
        </w:rPr>
        <w:t xml:space="preserve"> </w:t>
      </w:r>
      <w:r w:rsidRPr="009A7693">
        <w:rPr>
          <w:rFonts w:eastAsia="Times New Roman" w:cs="Times New Roman"/>
          <w:lang w:eastAsia="de-DE"/>
        </w:rPr>
        <w:t xml:space="preserve">mit </w:t>
      </w:r>
      <w:r w:rsidRPr="009A7693">
        <w:rPr>
          <w:rFonts w:eastAsia="Times New Roman" w:cs="Times New Roman"/>
          <w:b/>
          <w:bCs/>
          <w:rtl/>
          <w:lang w:eastAsia="de-DE"/>
        </w:rPr>
        <w:t>דָּם</w:t>
      </w:r>
      <w:r w:rsidRPr="009A7693">
        <w:rPr>
          <w:rFonts w:eastAsia="Times New Roman" w:cs="Times New Roman"/>
          <w:rtl/>
          <w:lang w:eastAsia="de-DE"/>
        </w:rPr>
        <w:t xml:space="preserve"> </w:t>
      </w:r>
      <w:r w:rsidRPr="009A7693">
        <w:rPr>
          <w:rFonts w:eastAsia="Times New Roman" w:cs="Times New Roman"/>
          <w:lang w:eastAsia="de-DE"/>
        </w:rPr>
        <w:t xml:space="preserve">„Blut" und Relativsatz: Pual Perfekt von </w:t>
      </w:r>
      <w:r w:rsidRPr="009A7693">
        <w:rPr>
          <w:rFonts w:eastAsia="Times New Roman" w:cs="Times New Roman"/>
          <w:b/>
          <w:bCs/>
          <w:rtl/>
          <w:lang w:eastAsia="de-DE"/>
        </w:rPr>
        <w:t>שׁפך</w:t>
      </w:r>
      <w:r w:rsidRPr="009A7693">
        <w:rPr>
          <w:rFonts w:eastAsia="Times New Roman" w:cs="Times New Roman"/>
          <w:rtl/>
          <w:lang w:eastAsia="de-DE"/>
        </w:rPr>
        <w:t xml:space="preserve"> </w:t>
      </w:r>
      <w:r w:rsidRPr="009A7693">
        <w:rPr>
          <w:rFonts w:eastAsia="Times New Roman" w:cs="Times New Roman"/>
          <w:lang w:eastAsia="de-DE"/>
        </w:rPr>
        <w:t xml:space="preserve">„vergießen" mit Präposition und Suffix „wegen des Blutes, das darin vergossen worden ist"), </w:t>
      </w:r>
      <w:r w:rsidRPr="009A7693">
        <w:rPr>
          <w:rFonts w:eastAsia="Times New Roman" w:cs="Times New Roman"/>
          <w:b/>
          <w:bCs/>
          <w:rtl/>
          <w:lang w:eastAsia="de-DE"/>
        </w:rPr>
        <w:t>כִּי־אִם בְּדַם שֹׁפְכוֹ</w:t>
      </w:r>
      <w:r w:rsidRPr="009A7693">
        <w:rPr>
          <w:rFonts w:eastAsia="Times New Roman" w:cs="Times New Roman"/>
          <w:rtl/>
          <w:lang w:eastAsia="de-DE"/>
        </w:rPr>
        <w:t xml:space="preserve"> </w:t>
      </w:r>
      <w:r w:rsidRPr="009A7693">
        <w:rPr>
          <w:rFonts w:eastAsia="Times New Roman" w:cs="Times New Roman"/>
          <w:lang w:eastAsia="de-DE"/>
        </w:rPr>
        <w:t xml:space="preserve">(restriktive Partikel </w:t>
      </w:r>
      <w:r w:rsidRPr="009A7693">
        <w:rPr>
          <w:rFonts w:eastAsia="Times New Roman" w:cs="Times New Roman"/>
          <w:b/>
          <w:bCs/>
          <w:rtl/>
          <w:lang w:eastAsia="de-DE"/>
        </w:rPr>
        <w:t>כִּי אִם</w:t>
      </w:r>
      <w:r w:rsidRPr="009A7693">
        <w:rPr>
          <w:rFonts w:eastAsia="Times New Roman" w:cs="Times New Roman"/>
          <w:rtl/>
          <w:lang w:eastAsia="de-DE"/>
        </w:rPr>
        <w:t xml:space="preserve"> </w:t>
      </w:r>
      <w:r w:rsidRPr="009A7693">
        <w:rPr>
          <w:rFonts w:eastAsia="Times New Roman" w:cs="Times New Roman"/>
          <w:lang w:eastAsia="de-DE"/>
        </w:rPr>
        <w:t xml:space="preserve">„außer, nur" mit Präposition </w:t>
      </w:r>
      <w:r w:rsidRPr="009A7693">
        <w:rPr>
          <w:rFonts w:eastAsia="Times New Roman" w:cs="Times New Roman"/>
          <w:b/>
          <w:bCs/>
          <w:rtl/>
          <w:lang w:eastAsia="de-DE"/>
        </w:rPr>
        <w:t>בְ</w:t>
      </w:r>
      <w:r w:rsidRPr="009A7693">
        <w:rPr>
          <w:rFonts w:eastAsia="Times New Roman" w:cs="Times New Roman"/>
          <w:rtl/>
          <w:lang w:eastAsia="de-DE"/>
        </w:rPr>
        <w:t xml:space="preserve"> </w:t>
      </w:r>
      <w:r w:rsidRPr="009A7693">
        <w:rPr>
          <w:rFonts w:eastAsia="Times New Roman" w:cs="Times New Roman"/>
          <w:lang w:eastAsia="de-DE"/>
        </w:rPr>
        <w:t xml:space="preserve">und </w:t>
      </w:r>
      <w:r w:rsidRPr="009A7693">
        <w:rPr>
          <w:rFonts w:eastAsia="Times New Roman" w:cs="Times New Roman"/>
          <w:b/>
          <w:bCs/>
          <w:rtl/>
          <w:lang w:eastAsia="de-DE"/>
        </w:rPr>
        <w:t>דָּם</w:t>
      </w:r>
      <w:r w:rsidRPr="009A7693">
        <w:rPr>
          <w:rFonts w:eastAsia="Times New Roman" w:cs="Times New Roman"/>
          <w:rtl/>
          <w:lang w:eastAsia="de-DE"/>
        </w:rPr>
        <w:t xml:space="preserve"> </w:t>
      </w:r>
      <w:r w:rsidRPr="009A7693">
        <w:rPr>
          <w:rFonts w:eastAsia="Times New Roman" w:cs="Times New Roman"/>
          <w:lang w:eastAsia="de-DE"/>
        </w:rPr>
        <w:t xml:space="preserve">„Blut" im </w:t>
      </w:r>
      <w:r w:rsidR="00E031B3">
        <w:rPr>
          <w:rFonts w:eastAsia="Times New Roman" w:cs="Times New Roman"/>
          <w:lang w:eastAsia="de-DE"/>
        </w:rPr>
        <w:t>Constructus mit</w:t>
      </w:r>
      <w:r w:rsidRPr="009A7693">
        <w:rPr>
          <w:rFonts w:eastAsia="Times New Roman" w:cs="Times New Roman"/>
          <w:lang w:eastAsia="de-DE"/>
        </w:rPr>
        <w:t xml:space="preserve"> Qal-Partizip von </w:t>
      </w:r>
      <w:r w:rsidRPr="009A7693">
        <w:rPr>
          <w:rFonts w:eastAsia="Times New Roman" w:cs="Times New Roman"/>
          <w:b/>
          <w:bCs/>
          <w:rtl/>
          <w:lang w:eastAsia="de-DE"/>
        </w:rPr>
        <w:t>שׁפך</w:t>
      </w:r>
      <w:r w:rsidRPr="009A7693">
        <w:rPr>
          <w:rFonts w:eastAsia="Times New Roman" w:cs="Times New Roman"/>
          <w:rtl/>
          <w:lang w:eastAsia="de-DE"/>
        </w:rPr>
        <w:t xml:space="preserve"> </w:t>
      </w:r>
      <w:r w:rsidRPr="009A7693">
        <w:rPr>
          <w:rFonts w:eastAsia="Times New Roman" w:cs="Times New Roman"/>
          <w:lang w:eastAsia="de-DE"/>
        </w:rPr>
        <w:t>mit Suffix 3. Person maskulin Singular „außer durch das Blut dessen, der es vergossen hat").</w:t>
      </w:r>
    </w:p>
    <w:p w14:paraId="3FC70C77" w14:textId="05CC76EE"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Die LXX</w:t>
      </w:r>
      <w:r w:rsidRPr="009A7693">
        <w:rPr>
          <w:rFonts w:eastAsia="Times New Roman" w:cs="Times New Roman"/>
          <w:lang w:eastAsia="de-DE"/>
        </w:rPr>
        <w:t xml:space="preserve"> </w:t>
      </w:r>
      <w:r w:rsidR="00A22CB7">
        <w:t>übersetzt „</w:t>
      </w:r>
      <w:r w:rsidR="00A22CB7" w:rsidRPr="00A22CB7">
        <w:rPr>
          <w:b/>
          <w:bCs/>
          <w:rtl/>
        </w:rPr>
        <w:t>וְלֹא־תַחֲנִיפוּ אֶת־הָאָרֶץ</w:t>
      </w:r>
      <w:r w:rsidR="00A22CB7">
        <w:t>" (und ihr sollt das Land nicht entweihen) mit „καὶ οὐ μὴ φονοκτονήσητε τὴν γῆν" (und ihr sollt das Land nicht durch Mord verunreinigen), wobei ein spezifisches Verb für Mord-Verunreinigung verwendet wird, und „</w:t>
      </w:r>
      <w:r w:rsidR="00A22CB7" w:rsidRPr="00A22CB7">
        <w:rPr>
          <w:b/>
          <w:bCs/>
          <w:rtl/>
        </w:rPr>
        <w:t>יַחֲנִיף</w:t>
      </w:r>
      <w:r w:rsidR="00A22CB7">
        <w:t>" (entweiht) wird ebenfalls mit „φονοκτονεῖ" (verunreinigt durch Mord) übersetzt.</w:t>
      </w:r>
    </w:p>
    <w:p w14:paraId="5235F903"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Die Satzstruktur zeigt ein Verbot mit Relativsatz und zwei kausale Begründungen.</w:t>
      </w:r>
    </w:p>
    <w:p w14:paraId="7B9EC260"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 xml:space="preserve">Der Vers offenbart die tiefe theologische Dimension: Vergossenes Menschenblut </w:t>
      </w:r>
      <w:r w:rsidRPr="009A7693">
        <w:rPr>
          <w:rFonts w:eastAsia="Times New Roman" w:cs="Times New Roman"/>
          <w:b/>
          <w:bCs/>
          <w:rtl/>
          <w:lang w:eastAsia="de-DE"/>
        </w:rPr>
        <w:t>יַחֲנִיף אֶת־הָאָרֶץ</w:t>
      </w:r>
      <w:r w:rsidRPr="009A7693">
        <w:rPr>
          <w:rFonts w:eastAsia="Times New Roman" w:cs="Times New Roman"/>
          <w:rtl/>
          <w:lang w:eastAsia="de-DE"/>
        </w:rPr>
        <w:t xml:space="preserve"> </w:t>
      </w:r>
      <w:r w:rsidRPr="009A7693">
        <w:rPr>
          <w:rFonts w:eastAsia="Times New Roman" w:cs="Times New Roman"/>
          <w:lang w:eastAsia="de-DE"/>
        </w:rPr>
        <w:t>- es entweiht, profaniert, verunreinigt das Land. Das Land selbst wird durch ungesühntes Blut befleckt. Die einzige Sühne (</w:t>
      </w:r>
      <w:r w:rsidRPr="009A7693">
        <w:rPr>
          <w:rFonts w:eastAsia="Times New Roman" w:cs="Times New Roman"/>
          <w:b/>
          <w:bCs/>
          <w:rtl/>
          <w:lang w:eastAsia="de-DE"/>
        </w:rPr>
        <w:t>כִּפֻּר</w:t>
      </w:r>
      <w:r w:rsidRPr="009A7693">
        <w:rPr>
          <w:rFonts w:eastAsia="Times New Roman" w:cs="Times New Roman"/>
          <w:lang w:eastAsia="de-DE"/>
        </w:rPr>
        <w:t xml:space="preserve">) für das Land ist </w:t>
      </w:r>
      <w:r w:rsidRPr="009A7693">
        <w:rPr>
          <w:rFonts w:eastAsia="Times New Roman" w:cs="Times New Roman"/>
          <w:b/>
          <w:bCs/>
          <w:rtl/>
          <w:lang w:eastAsia="de-DE"/>
        </w:rPr>
        <w:t>בְּדַם שֹׁפְכוֹ</w:t>
      </w:r>
      <w:r w:rsidRPr="009A7693">
        <w:rPr>
          <w:rFonts w:eastAsia="Times New Roman" w:cs="Times New Roman"/>
          <w:rtl/>
          <w:lang w:eastAsia="de-DE"/>
        </w:rPr>
        <w:t xml:space="preserve"> </w:t>
      </w:r>
      <w:r w:rsidRPr="009A7693">
        <w:rPr>
          <w:rFonts w:eastAsia="Times New Roman" w:cs="Times New Roman"/>
          <w:lang w:eastAsia="de-DE"/>
        </w:rPr>
        <w:t>- das Blut des Mörders. Dies ist keine primitive Blutrache, sondern theologisches Prinzip: Das Land, in dem Gott wohnt (siehe V. 34), muss rein bleiben. Ungesühnte Morde verschmutzen nicht nur die Gesellschaft, sondern das Land selbst. Daher die strikte Forderung nach Bestrafung von Mördern und das komplexe System von Zufluchtsstädten, Gerichtsverfahren und Blutrache - alles dient der Reinheit des Landes. Die Todesstrafe für Mord ist hier nicht Rache, sondern Sühne für das Land.</w:t>
      </w:r>
    </w:p>
    <w:p w14:paraId="153BC205" w14:textId="77777777" w:rsidR="009A7693" w:rsidRPr="009A7693" w:rsidRDefault="009A7693" w:rsidP="009A7693">
      <w:pPr>
        <w:spacing w:before="100" w:beforeAutospacing="1" w:after="100" w:afterAutospacing="1" w:line="240" w:lineRule="auto"/>
        <w:outlineLvl w:val="0"/>
        <w:rPr>
          <w:rFonts w:eastAsia="Times New Roman" w:cs="Times New Roman"/>
          <w:b/>
          <w:bCs/>
          <w:kern w:val="36"/>
          <w:sz w:val="48"/>
          <w:szCs w:val="48"/>
          <w:lang w:eastAsia="de-DE"/>
        </w:rPr>
      </w:pPr>
      <w:r w:rsidRPr="009A7693">
        <w:rPr>
          <w:rFonts w:eastAsia="Times New Roman" w:cs="Times New Roman"/>
          <w:b/>
          <w:bCs/>
          <w:kern w:val="36"/>
          <w:sz w:val="48"/>
          <w:szCs w:val="48"/>
          <w:lang w:eastAsia="de-DE"/>
        </w:rPr>
        <w:t>Numeri 35,34</w:t>
      </w:r>
    </w:p>
    <w:p w14:paraId="308F087E"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Hebräisch:</w:t>
      </w:r>
      <w:r w:rsidRPr="009A7693">
        <w:rPr>
          <w:rFonts w:eastAsia="Times New Roman" w:cs="Times New Roman"/>
          <w:lang w:eastAsia="de-DE"/>
        </w:rPr>
        <w:t xml:space="preserve"> </w:t>
      </w:r>
      <w:r w:rsidRPr="009A7693">
        <w:rPr>
          <w:rFonts w:eastAsia="Times New Roman" w:cs="Times New Roman"/>
          <w:rtl/>
          <w:lang w:eastAsia="de-DE"/>
        </w:rPr>
        <w:t>וְלֹ֧א תְטַמֵּ֣א אֶת־הָאָ֗רֶץ אֲשֶׁ֤ר אַתֶּם֙ יֹשְׁבִ֣ים בָּ֔הּ אֲשֶׁ֥ר אֲנִ֖י שֹׁכֵ֣ן בְּתוֹכָ֑הּ כִּ֚י אֲנִ֣י יְהוָ֔ה שֹׁכֵ֕ן בְּת֖וֹךְ בְּנֵ֥י יִשְׂרָאֵֽל׃</w:t>
      </w:r>
    </w:p>
    <w:p w14:paraId="7A4598F8"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t>Deutsch:</w:t>
      </w:r>
      <w:r w:rsidRPr="009A7693">
        <w:rPr>
          <w:rFonts w:eastAsia="Times New Roman" w:cs="Times New Roman"/>
          <w:lang w:eastAsia="de-DE"/>
        </w:rPr>
        <w:t xml:space="preserve"> Und du sollst nicht verunreinigen das Land, in dem ihr wohnt, in dessen Mitte ich wohne; denn ich, der Ewige, wohne inmitten der Söhne Jisra'el.</w:t>
      </w:r>
    </w:p>
    <w:p w14:paraId="5B0A6212"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pict w14:anchorId="693444AE">
          <v:rect id="_x0000_i2091" style="width:0;height:1.5pt" o:hralign="center" o:hrstd="t" o:hr="t" fillcolor="#a0a0a0" stroked="f"/>
        </w:pict>
      </w:r>
    </w:p>
    <w:p w14:paraId="772DDC70" w14:textId="77777777" w:rsidR="009A7693" w:rsidRPr="009A7693" w:rsidRDefault="009A7693" w:rsidP="009A7693">
      <w:pPr>
        <w:pStyle w:val="whitespace-normal"/>
      </w:pPr>
      <w:r w:rsidRPr="009A7693">
        <w:rPr>
          <w:b/>
          <w:bCs/>
        </w:rPr>
        <w:t>Kommentar:</w:t>
      </w:r>
      <w:r w:rsidRPr="009A7693">
        <w:t xml:space="preserve"> Der Vers schließt das Kapitel mit der höchsten theologischen Begründung ab. </w:t>
      </w:r>
      <w:r w:rsidRPr="009A7693">
        <w:rPr>
          <w:b/>
          <w:bCs/>
          <w:rtl/>
        </w:rPr>
        <w:t>וְלֹא תְטַמֵּא אֶת־הָאָרֶץ אֲשֶׁר אַתֶּם יֹשְׁבִים בָּהּ</w:t>
      </w:r>
      <w:r w:rsidRPr="009A7693">
        <w:rPr>
          <w:rtl/>
        </w:rPr>
        <w:t xml:space="preserve"> </w:t>
      </w:r>
      <w:r w:rsidRPr="009A7693">
        <w:t xml:space="preserve">ist das Verbot. </w:t>
      </w:r>
      <w:r w:rsidRPr="009A7693">
        <w:rPr>
          <w:b/>
          <w:bCs/>
          <w:rtl/>
        </w:rPr>
        <w:t>וְלֹא תְטַמֵּא</w:t>
      </w:r>
      <w:r w:rsidRPr="009A7693">
        <w:rPr>
          <w:rtl/>
        </w:rPr>
        <w:t xml:space="preserve"> </w:t>
      </w:r>
      <w:r w:rsidRPr="009A7693">
        <w:t xml:space="preserve">(Konjunktion mit Negation und Piel Imperfekt 2. Person maskulin Singular von </w:t>
      </w:r>
      <w:r w:rsidRPr="009A7693">
        <w:rPr>
          <w:b/>
          <w:bCs/>
          <w:rtl/>
        </w:rPr>
        <w:t>טמא</w:t>
      </w:r>
      <w:r w:rsidRPr="009A7693">
        <w:rPr>
          <w:rtl/>
        </w:rPr>
        <w:t xml:space="preserve"> </w:t>
      </w:r>
      <w:r w:rsidRPr="009A7693">
        <w:t xml:space="preserve">„unrein machen, verunreinigen" - hier im Singular als Anrede an das Volk als Einheit), </w:t>
      </w:r>
      <w:r w:rsidRPr="009A7693">
        <w:rPr>
          <w:b/>
          <w:bCs/>
          <w:rtl/>
        </w:rPr>
        <w:t>אֶת־הָאָרֶץ</w:t>
      </w:r>
      <w:r w:rsidRPr="009A7693">
        <w:rPr>
          <w:rtl/>
        </w:rPr>
        <w:t xml:space="preserve"> </w:t>
      </w:r>
      <w:r w:rsidRPr="009A7693">
        <w:t xml:space="preserve">(Akkusativ „das Land"), </w:t>
      </w:r>
      <w:r w:rsidRPr="009A7693">
        <w:rPr>
          <w:b/>
          <w:bCs/>
          <w:rtl/>
        </w:rPr>
        <w:t>אֲשֶׁר אַתֶּם יֹשְׁבִים בָּהּ</w:t>
      </w:r>
      <w:r w:rsidRPr="009A7693">
        <w:rPr>
          <w:rtl/>
        </w:rPr>
        <w:t xml:space="preserve"> </w:t>
      </w:r>
      <w:r w:rsidRPr="009A7693">
        <w:t xml:space="preserve">(Relativsatz: Qal-Partizip Plural von </w:t>
      </w:r>
      <w:r w:rsidRPr="009A7693">
        <w:rPr>
          <w:b/>
          <w:bCs/>
          <w:rtl/>
        </w:rPr>
        <w:t>ישׁב</w:t>
      </w:r>
      <w:r w:rsidRPr="009A7693">
        <w:rPr>
          <w:rtl/>
        </w:rPr>
        <w:t xml:space="preserve"> </w:t>
      </w:r>
      <w:r w:rsidRPr="009A7693">
        <w:t xml:space="preserve">„wohnen" mit Präposition und Suffix „in dem ihr wohnt"). </w:t>
      </w:r>
      <w:r w:rsidRPr="009A7693">
        <w:rPr>
          <w:b/>
          <w:bCs/>
          <w:rtl/>
        </w:rPr>
        <w:t>אֲשֶׁר אֲנִי שֹׁכֵן בְּתוֹכָהּ</w:t>
      </w:r>
      <w:r w:rsidRPr="009A7693">
        <w:rPr>
          <w:rtl/>
        </w:rPr>
        <w:t xml:space="preserve"> </w:t>
      </w:r>
      <w:r w:rsidRPr="009A7693">
        <w:t xml:space="preserve">ist die erste Begründung. </w:t>
      </w:r>
      <w:r w:rsidRPr="009A7693">
        <w:rPr>
          <w:b/>
          <w:bCs/>
          <w:rtl/>
        </w:rPr>
        <w:t>אֲשֶׁר אֲנִי שֹׁכֵן בְּתוֹכָהּ</w:t>
      </w:r>
      <w:r w:rsidRPr="009A7693">
        <w:rPr>
          <w:rtl/>
        </w:rPr>
        <w:t xml:space="preserve"> </w:t>
      </w:r>
      <w:r w:rsidRPr="009A7693">
        <w:t xml:space="preserve">(Relativsatz: Pronomen 1. Person Singular mit Qal-Partizip von </w:t>
      </w:r>
      <w:r w:rsidRPr="009A7693">
        <w:rPr>
          <w:b/>
          <w:bCs/>
          <w:rtl/>
        </w:rPr>
        <w:t>שׁכן</w:t>
      </w:r>
      <w:r w:rsidRPr="009A7693">
        <w:rPr>
          <w:rtl/>
        </w:rPr>
        <w:t xml:space="preserve"> </w:t>
      </w:r>
      <w:r w:rsidRPr="009A7693">
        <w:t xml:space="preserve">„wohnen, verweilen" und Präposition </w:t>
      </w:r>
      <w:r w:rsidRPr="009A7693">
        <w:rPr>
          <w:b/>
          <w:bCs/>
          <w:rtl/>
        </w:rPr>
        <w:t>בְ</w:t>
      </w:r>
      <w:r w:rsidRPr="009A7693">
        <w:rPr>
          <w:rtl/>
        </w:rPr>
        <w:t xml:space="preserve"> </w:t>
      </w:r>
      <w:r w:rsidRPr="009A7693">
        <w:t xml:space="preserve">mit </w:t>
      </w:r>
      <w:r w:rsidRPr="009A7693">
        <w:rPr>
          <w:b/>
          <w:bCs/>
          <w:rtl/>
        </w:rPr>
        <w:t>תָּוֶךְ</w:t>
      </w:r>
      <w:r w:rsidRPr="009A7693">
        <w:rPr>
          <w:rtl/>
        </w:rPr>
        <w:t xml:space="preserve"> </w:t>
      </w:r>
      <w:r w:rsidRPr="009A7693">
        <w:t>„Mitte" und Suffix „in dessen Mitte ich wohne").</w:t>
      </w:r>
    </w:p>
    <w:p w14:paraId="356EB8F0" w14:textId="4360CB24"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rtl/>
          <w:lang w:eastAsia="de-DE"/>
        </w:rPr>
        <w:t>כִּי אֲנִי יְהוָה שֹׁכֵן בְּתוֹךְ בְּנֵי יִשְׂרָאֵל</w:t>
      </w:r>
      <w:r w:rsidRPr="009A7693">
        <w:rPr>
          <w:rFonts w:eastAsia="Times New Roman" w:cs="Times New Roman"/>
          <w:rtl/>
          <w:lang w:eastAsia="de-DE"/>
        </w:rPr>
        <w:t xml:space="preserve"> </w:t>
      </w:r>
      <w:r w:rsidRPr="009A7693">
        <w:rPr>
          <w:rFonts w:eastAsia="Times New Roman" w:cs="Times New Roman"/>
          <w:lang w:eastAsia="de-DE"/>
        </w:rPr>
        <w:t xml:space="preserve">ist die feierliche Schlussformel. </w:t>
      </w:r>
      <w:r w:rsidRPr="009A7693">
        <w:rPr>
          <w:rFonts w:eastAsia="Times New Roman" w:cs="Times New Roman"/>
          <w:b/>
          <w:bCs/>
          <w:rtl/>
          <w:lang w:eastAsia="de-DE"/>
        </w:rPr>
        <w:t>כִּי</w:t>
      </w:r>
      <w:r w:rsidRPr="009A7693">
        <w:rPr>
          <w:rFonts w:eastAsia="Times New Roman" w:cs="Times New Roman"/>
          <w:rtl/>
          <w:lang w:eastAsia="de-DE"/>
        </w:rPr>
        <w:t xml:space="preserve"> </w:t>
      </w:r>
      <w:r w:rsidRPr="009A7693">
        <w:rPr>
          <w:rFonts w:eastAsia="Times New Roman" w:cs="Times New Roman"/>
          <w:lang w:eastAsia="de-DE"/>
        </w:rPr>
        <w:t xml:space="preserve">(kausal „denn"), </w:t>
      </w:r>
      <w:r w:rsidRPr="009A7693">
        <w:rPr>
          <w:rFonts w:eastAsia="Times New Roman" w:cs="Times New Roman"/>
          <w:b/>
          <w:bCs/>
          <w:rtl/>
          <w:lang w:eastAsia="de-DE"/>
        </w:rPr>
        <w:t>אֲנִי יְהוָה</w:t>
      </w:r>
      <w:r w:rsidRPr="009A7693">
        <w:rPr>
          <w:rFonts w:eastAsia="Times New Roman" w:cs="Times New Roman"/>
          <w:rtl/>
          <w:lang w:eastAsia="de-DE"/>
        </w:rPr>
        <w:t xml:space="preserve"> </w:t>
      </w:r>
      <w:r w:rsidRPr="009A7693">
        <w:rPr>
          <w:rFonts w:eastAsia="Times New Roman" w:cs="Times New Roman"/>
          <w:lang w:eastAsia="de-DE"/>
        </w:rPr>
        <w:t xml:space="preserve">(Pronomen 1. Person Singular mit Tetragramm „ich, JHWH/der Ewige"), </w:t>
      </w:r>
      <w:r w:rsidRPr="009A7693">
        <w:rPr>
          <w:rFonts w:eastAsia="Times New Roman" w:cs="Times New Roman"/>
          <w:b/>
          <w:bCs/>
          <w:rtl/>
          <w:lang w:eastAsia="de-DE"/>
        </w:rPr>
        <w:t>שֹׁכֵן בְּתוֹךְ בְּנֵי יִשְׂרָאֵל</w:t>
      </w:r>
      <w:r w:rsidRPr="009A7693">
        <w:rPr>
          <w:rFonts w:eastAsia="Times New Roman" w:cs="Times New Roman"/>
          <w:rtl/>
          <w:lang w:eastAsia="de-DE"/>
        </w:rPr>
        <w:t xml:space="preserve"> </w:t>
      </w:r>
      <w:r w:rsidRPr="009A7693">
        <w:rPr>
          <w:rFonts w:eastAsia="Times New Roman" w:cs="Times New Roman"/>
          <w:lang w:eastAsia="de-DE"/>
        </w:rPr>
        <w:t xml:space="preserve">(Qal-Partizip von </w:t>
      </w:r>
      <w:r w:rsidRPr="009A7693">
        <w:rPr>
          <w:rFonts w:eastAsia="Times New Roman" w:cs="Times New Roman"/>
          <w:b/>
          <w:bCs/>
          <w:rtl/>
          <w:lang w:eastAsia="de-DE"/>
        </w:rPr>
        <w:t>שׁכן</w:t>
      </w:r>
      <w:r w:rsidRPr="009A7693">
        <w:rPr>
          <w:rFonts w:eastAsia="Times New Roman" w:cs="Times New Roman"/>
          <w:rtl/>
          <w:lang w:eastAsia="de-DE"/>
        </w:rPr>
        <w:t xml:space="preserve"> </w:t>
      </w:r>
      <w:r w:rsidRPr="009A7693">
        <w:rPr>
          <w:rFonts w:eastAsia="Times New Roman" w:cs="Times New Roman"/>
          <w:lang w:eastAsia="de-DE"/>
        </w:rPr>
        <w:t xml:space="preserve">mit Präposition </w:t>
      </w:r>
      <w:r w:rsidRPr="009A7693">
        <w:rPr>
          <w:rFonts w:eastAsia="Times New Roman" w:cs="Times New Roman"/>
          <w:b/>
          <w:bCs/>
          <w:rtl/>
          <w:lang w:eastAsia="de-DE"/>
        </w:rPr>
        <w:t>בְ</w:t>
      </w:r>
      <w:r w:rsidRPr="009A7693">
        <w:rPr>
          <w:rFonts w:eastAsia="Times New Roman" w:cs="Times New Roman"/>
          <w:rtl/>
          <w:lang w:eastAsia="de-DE"/>
        </w:rPr>
        <w:t xml:space="preserve"> </w:t>
      </w:r>
      <w:r w:rsidRPr="009A7693">
        <w:rPr>
          <w:rFonts w:eastAsia="Times New Roman" w:cs="Times New Roman"/>
          <w:lang w:eastAsia="de-DE"/>
        </w:rPr>
        <w:t xml:space="preserve">und </w:t>
      </w:r>
      <w:r w:rsidRPr="009A7693">
        <w:rPr>
          <w:rFonts w:eastAsia="Times New Roman" w:cs="Times New Roman"/>
          <w:b/>
          <w:bCs/>
          <w:rtl/>
          <w:lang w:eastAsia="de-DE"/>
        </w:rPr>
        <w:t>תָּוֶךְ</w:t>
      </w:r>
      <w:r w:rsidRPr="009A7693">
        <w:rPr>
          <w:rFonts w:eastAsia="Times New Roman" w:cs="Times New Roman"/>
          <w:rtl/>
          <w:lang w:eastAsia="de-DE"/>
        </w:rPr>
        <w:t xml:space="preserve"> </w:t>
      </w:r>
      <w:r w:rsidRPr="009A7693">
        <w:rPr>
          <w:rFonts w:eastAsia="Times New Roman" w:cs="Times New Roman"/>
          <w:lang w:eastAsia="de-DE"/>
        </w:rPr>
        <w:t xml:space="preserve">im </w:t>
      </w:r>
      <w:r w:rsidR="00B513FF">
        <w:rPr>
          <w:rFonts w:eastAsia="Times New Roman" w:cs="Times New Roman"/>
          <w:lang w:eastAsia="de-DE"/>
        </w:rPr>
        <w:t xml:space="preserve">Constructus </w:t>
      </w:r>
      <w:r w:rsidRPr="009A7693">
        <w:rPr>
          <w:rFonts w:eastAsia="Times New Roman" w:cs="Times New Roman"/>
          <w:lang w:eastAsia="de-DE"/>
        </w:rPr>
        <w:t xml:space="preserve">und „Söhne Israels" „wohnend inmitten der Söhne Israels"). Die Wiederholung von </w:t>
      </w:r>
      <w:r w:rsidRPr="009A7693">
        <w:rPr>
          <w:rFonts w:eastAsia="Times New Roman" w:cs="Times New Roman"/>
          <w:b/>
          <w:bCs/>
          <w:rtl/>
          <w:lang w:eastAsia="de-DE"/>
        </w:rPr>
        <w:t>שֹׁכֵן</w:t>
      </w:r>
      <w:r w:rsidRPr="009A7693">
        <w:rPr>
          <w:rFonts w:eastAsia="Times New Roman" w:cs="Times New Roman"/>
          <w:rtl/>
          <w:lang w:eastAsia="de-DE"/>
        </w:rPr>
        <w:t xml:space="preserve"> </w:t>
      </w:r>
      <w:r w:rsidRPr="009A7693">
        <w:rPr>
          <w:rFonts w:eastAsia="Times New Roman" w:cs="Times New Roman"/>
          <w:lang w:eastAsia="de-DE"/>
        </w:rPr>
        <w:t>(„wohnend") unterstreicht Gottes bleibende Gegenwart.</w:t>
      </w:r>
    </w:p>
    <w:p w14:paraId="73B99997" w14:textId="02859CD3"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b/>
          <w:bCs/>
          <w:lang w:eastAsia="de-DE"/>
        </w:rPr>
        <w:lastRenderedPageBreak/>
        <w:t>Die LXX</w:t>
      </w:r>
      <w:r w:rsidRPr="009A7693">
        <w:rPr>
          <w:rFonts w:eastAsia="Times New Roman" w:cs="Times New Roman"/>
          <w:lang w:eastAsia="de-DE"/>
        </w:rPr>
        <w:t xml:space="preserve"> </w:t>
      </w:r>
      <w:r w:rsidR="00A22CB7">
        <w:t>übersetzt „</w:t>
      </w:r>
      <w:r w:rsidR="00A22CB7" w:rsidRPr="00A22CB7">
        <w:rPr>
          <w:b/>
          <w:bCs/>
          <w:rtl/>
        </w:rPr>
        <w:t>שֹׁכֵן</w:t>
      </w:r>
      <w:r w:rsidR="00A22CB7">
        <w:rPr>
          <w:rtl/>
        </w:rPr>
        <w:t xml:space="preserve"> </w:t>
      </w:r>
      <w:r w:rsidR="00A22CB7" w:rsidRPr="00A22CB7">
        <w:rPr>
          <w:b/>
          <w:bCs/>
          <w:rtl/>
        </w:rPr>
        <w:t>בְּתוֹךְ</w:t>
      </w:r>
      <w:r w:rsidR="00A22CB7">
        <w:t>" (der wohnt inmitten) zweimal mit „κατασκηνῶν" (der zeltet/lagert), was die temporäre Natur der Stiftshütte betont.</w:t>
      </w:r>
    </w:p>
    <w:p w14:paraId="32461DDB"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Die Satzstruktur zeigt ein Verbot mit zwei relativischen Begründungen und eine feierliche Selbstvorstellungsformel Gottes.</w:t>
      </w:r>
    </w:p>
    <w:p w14:paraId="46F438E5"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 xml:space="preserve">Der Vers ist der theologische Höhepunkt: Das Land darf nicht verunreinigt werden, </w:t>
      </w:r>
      <w:r w:rsidRPr="009A7693">
        <w:rPr>
          <w:rFonts w:eastAsia="Times New Roman" w:cs="Times New Roman"/>
          <w:b/>
          <w:bCs/>
          <w:rtl/>
          <w:lang w:eastAsia="de-DE"/>
        </w:rPr>
        <w:t>אֲשֶׁר אֲנִי שֹׁכֵן בְּתוֹכָהּ</w:t>
      </w:r>
      <w:r w:rsidRPr="009A7693">
        <w:rPr>
          <w:rFonts w:eastAsia="Times New Roman" w:cs="Times New Roman"/>
          <w:rtl/>
          <w:lang w:eastAsia="de-DE"/>
        </w:rPr>
        <w:t xml:space="preserve"> </w:t>
      </w:r>
      <w:r w:rsidRPr="009A7693">
        <w:rPr>
          <w:rFonts w:eastAsia="Times New Roman" w:cs="Times New Roman"/>
          <w:lang w:eastAsia="de-DE"/>
        </w:rPr>
        <w:t xml:space="preserve">- „weil ICH in dessen Mitte wohne". Gottes Gegenwart im Land erfordert Reinheit. Die Schlussformel </w:t>
      </w:r>
      <w:r w:rsidRPr="009A7693">
        <w:rPr>
          <w:rFonts w:eastAsia="Times New Roman" w:cs="Times New Roman"/>
          <w:b/>
          <w:bCs/>
          <w:rtl/>
          <w:lang w:eastAsia="de-DE"/>
        </w:rPr>
        <w:t>כִּי אֲנִי יְהוָה שֹׁכֵן בְּתוֹךְ בְּנֵי יִשְׂרָאֵל</w:t>
      </w:r>
      <w:r w:rsidRPr="009A7693">
        <w:rPr>
          <w:rFonts w:eastAsia="Times New Roman" w:cs="Times New Roman"/>
          <w:rtl/>
          <w:lang w:eastAsia="de-DE"/>
        </w:rPr>
        <w:t xml:space="preserve"> </w:t>
      </w:r>
      <w:r w:rsidRPr="009A7693">
        <w:rPr>
          <w:rFonts w:eastAsia="Times New Roman" w:cs="Times New Roman"/>
          <w:lang w:eastAsia="de-DE"/>
        </w:rPr>
        <w:t>ist programmatisch: Der heilige Gott wohnt mitten in Israel - daher muss das Land heilig bleiben. Vergossenes Blut ist nicht nur ein soziales oder rechtliches Problem, sondern eine theologische Krise: Es bedroht Gottes Gegenwart im Land. Das gesamte Rechtssystem der Zufluchtsstädte, die Unterscheidung zwischen Mord und Totschlag, die Gerichtsverfahren, die Bestrafung von Mördern - all dies dient letztlich einem Ziel: Das Land rein zu halten, damit der heilige Gott weiterhin inmitten seines Volkes wohnen kann.</w:t>
      </w:r>
    </w:p>
    <w:p w14:paraId="223776F8" w14:textId="77777777" w:rsidR="009A7693" w:rsidRPr="009A7693" w:rsidRDefault="009A7693" w:rsidP="009A7693">
      <w:pPr>
        <w:spacing w:before="100" w:beforeAutospacing="1" w:after="100" w:afterAutospacing="1" w:line="240" w:lineRule="auto"/>
        <w:rPr>
          <w:rFonts w:eastAsia="Times New Roman" w:cs="Times New Roman"/>
          <w:lang w:eastAsia="de-DE"/>
        </w:rPr>
      </w:pPr>
      <w:r w:rsidRPr="009A7693">
        <w:rPr>
          <w:rFonts w:eastAsia="Times New Roman" w:cs="Times New Roman"/>
          <w:lang w:eastAsia="de-DE"/>
        </w:rPr>
        <w:t>Der Vers schließt mit dem Namen Gottes (</w:t>
      </w:r>
      <w:r w:rsidRPr="009A7693">
        <w:rPr>
          <w:rFonts w:eastAsia="Times New Roman" w:cs="Times New Roman"/>
          <w:b/>
          <w:bCs/>
          <w:rtl/>
          <w:lang w:eastAsia="de-DE"/>
        </w:rPr>
        <w:t>יְהוָה</w:t>
      </w:r>
      <w:r w:rsidRPr="009A7693">
        <w:rPr>
          <w:rFonts w:eastAsia="Times New Roman" w:cs="Times New Roman"/>
          <w:lang w:eastAsia="de-DE"/>
        </w:rPr>
        <w:t>) und seiner bleibenden Gegenwart (</w:t>
      </w:r>
      <w:r w:rsidRPr="009A7693">
        <w:rPr>
          <w:rFonts w:eastAsia="Times New Roman" w:cs="Times New Roman"/>
          <w:b/>
          <w:bCs/>
          <w:rtl/>
          <w:lang w:eastAsia="de-DE"/>
        </w:rPr>
        <w:t>שֹׁכֵן בְּתוֹךְ בְּנֵי יִשְׂרָאֵל</w:t>
      </w:r>
      <w:r w:rsidRPr="009A7693">
        <w:rPr>
          <w:rFonts w:eastAsia="Times New Roman" w:cs="Times New Roman"/>
          <w:lang w:eastAsia="de-DE"/>
        </w:rPr>
        <w:t>) - eine feierliche Erinnerung, dass Israels Rechtssystem nicht nur menschlichen Ursprungs ist, sondern im Wesen Gottes selbst verwurzelt: Gott ist heilig, daher muss sein Land heilig sein.</w:t>
      </w:r>
    </w:p>
    <w:p w14:paraId="44DBD066" w14:textId="77777777" w:rsidR="009A7693" w:rsidRPr="009A7693" w:rsidRDefault="00F329DD" w:rsidP="009A7693">
      <w:pPr>
        <w:spacing w:after="0" w:line="240" w:lineRule="auto"/>
        <w:rPr>
          <w:rFonts w:eastAsia="Times New Roman" w:cs="Times New Roman"/>
          <w:lang w:eastAsia="de-DE"/>
        </w:rPr>
      </w:pPr>
      <w:r>
        <w:rPr>
          <w:rFonts w:eastAsia="Times New Roman" w:cs="Times New Roman"/>
          <w:noProof/>
          <w:lang w:eastAsia="de-DE"/>
        </w:rPr>
        <w:pict w14:anchorId="45E4D78B">
          <v:rect id="_x0000_i2092" style="width:0;height:1.5pt" o:hralign="center" o:hrstd="t" o:hr="t" fillcolor="#a0a0a0" stroked="f"/>
        </w:pict>
      </w:r>
    </w:p>
    <w:p w14:paraId="471828F1" w14:textId="69CCCB16" w:rsidR="009A7693" w:rsidRDefault="009A7693" w:rsidP="00D754E3">
      <w:pPr>
        <w:spacing w:before="100" w:beforeAutospacing="1" w:after="100" w:afterAutospacing="1" w:line="240" w:lineRule="auto"/>
        <w:outlineLvl w:val="0"/>
        <w:rPr>
          <w:rFonts w:eastAsia="Times New Roman" w:cs="Times New Roman"/>
          <w:b/>
          <w:bCs/>
          <w:kern w:val="36"/>
          <w:sz w:val="48"/>
          <w:szCs w:val="48"/>
          <w:lang w:eastAsia="de-DE"/>
        </w:rPr>
      </w:pPr>
      <w:r>
        <w:t>Das Kapitel 35 regelt die Versorgung der Leviten und das System der Zufluchtsstädte. Die Leviten erhalten 48 Städte mit Weideplätzen, proportional vom Besitz aller Stämme (V. 1-8). Sechs davon sind Zufluchtsstädte (je drei östlich und westlich des Jordan) für alle - Israeliten, Fremde und Beisassen (V. 9-15). Das Gesetz unterscheidet zwischen vorsätzlichem Mord (tödliche Waffen, Hass, Vorsatz → Todesstrafe durch Bluträcher) und unbeabsichtigtem Totschlag (ohne Feindschaft, ohne Absicht → Schutz bis zum Tod des Hohepriesters) (V. 16-28). Prozessuale Schutzbestimmungen: Mehrere Zeugen erforderlich, kein Lösegeld möglich (V. 29-32). Theologische Begründung: Vergossenes Blut entweiht das Land; Sühne nur durch das Blut des Mörders; das Land muss rein bleiben, weil Gott inmitten Israels wohnt (V. 33-34).</w:t>
      </w:r>
      <w:r w:rsidRPr="00D754E3">
        <w:rPr>
          <w:rFonts w:eastAsia="Times New Roman" w:cs="Times New Roman"/>
          <w:b/>
          <w:bCs/>
          <w:kern w:val="36"/>
          <w:sz w:val="48"/>
          <w:szCs w:val="48"/>
          <w:lang w:eastAsia="de-DE"/>
        </w:rPr>
        <w:t xml:space="preserve"> </w:t>
      </w:r>
    </w:p>
    <w:p w14:paraId="7097F83C" w14:textId="36C5E3DF" w:rsidR="00A22CB7" w:rsidRDefault="00A22CB7" w:rsidP="00D754E3">
      <w:pPr>
        <w:spacing w:before="100" w:beforeAutospacing="1" w:after="100" w:afterAutospacing="1" w:line="240" w:lineRule="auto"/>
        <w:outlineLvl w:val="0"/>
        <w:rPr>
          <w:rFonts w:eastAsia="Times New Roman" w:cs="Times New Roman"/>
          <w:b/>
          <w:bCs/>
          <w:kern w:val="36"/>
          <w:sz w:val="48"/>
          <w:szCs w:val="48"/>
          <w:lang w:eastAsia="de-DE"/>
        </w:rPr>
      </w:pPr>
      <w:r>
        <w:rPr>
          <w:rStyle w:val="Fett"/>
        </w:rPr>
        <w:t>Allgemeine Beobachtung:</w:t>
      </w:r>
      <w:r>
        <w:t xml:space="preserve"> Die bedeutendste Abweichung ist in Vers 4, wo die LXX 2000 Ellen statt 1000 Ellen für die Weidegründe um die Levitenstädte angibt. Dies könnte auf eine unterschiedliche Textvorlage oder eine bewusste Harmonisierung mit Vers 5 hindeuten. Die LXX verwendet durchgängig „φονεύων" (Mörder) für „</w:t>
      </w:r>
      <w:r>
        <w:rPr>
          <w:rtl/>
        </w:rPr>
        <w:t>רֹצֵחַ</w:t>
      </w:r>
      <w:r>
        <w:t>" und betont den Verwandtschaftsaspekt des Bluträchers mit „ἀγχιστεύων τὸ αἷμα" (der das Blut als naher Verwandter rächt).</w:t>
      </w:r>
    </w:p>
    <w:p w14:paraId="34F6328F" w14:textId="5F39CA71" w:rsidR="00D754E3" w:rsidRPr="00D754E3" w:rsidRDefault="00D754E3" w:rsidP="00D754E3">
      <w:pPr>
        <w:spacing w:before="100" w:beforeAutospacing="1" w:after="100" w:afterAutospacing="1" w:line="240" w:lineRule="auto"/>
        <w:outlineLvl w:val="0"/>
        <w:rPr>
          <w:rFonts w:eastAsia="Times New Roman" w:cs="Times New Roman"/>
          <w:b/>
          <w:bCs/>
          <w:kern w:val="36"/>
          <w:sz w:val="48"/>
          <w:szCs w:val="48"/>
          <w:lang w:eastAsia="de-DE"/>
        </w:rPr>
      </w:pPr>
      <w:r w:rsidRPr="00D754E3">
        <w:rPr>
          <w:rFonts w:eastAsia="Times New Roman" w:cs="Times New Roman"/>
          <w:b/>
          <w:bCs/>
          <w:kern w:val="36"/>
          <w:sz w:val="48"/>
          <w:szCs w:val="48"/>
          <w:lang w:eastAsia="de-DE"/>
        </w:rPr>
        <w:t>Numeri 36,1</w:t>
      </w:r>
    </w:p>
    <w:p w14:paraId="63FE553E" w14:textId="10A08AF5"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Hebräisch:</w:t>
      </w:r>
      <w:r w:rsidRPr="00D754E3">
        <w:rPr>
          <w:rFonts w:eastAsia="Times New Roman" w:cs="Times New Roman"/>
          <w:rtl/>
          <w:lang w:eastAsia="de-DE"/>
        </w:rPr>
        <w:t xml:space="preserve"> וַֽיִּקְרְב֞וּ רָאשֵׁ֣י הָֽאָב֗וֹת לְמִשְׁפַּ֤חַת בְּנֵֽי־גִלְעָד֙ בֶּן־מָכִ֣יר בֶּן־מְנַשֶּׁ֔ה מִֽמִּשְׁפְּחֹ֖ת בְּנֵ֣י יוֹסֵ֑ף וַֽיְדַבְּר֞וּ לִפְנֵ֤י מֹשֶׁה֙ וְלִפְנֵ֣י הַנְּשִׂאִ֔ים רָאשֵׁ֥י אָב֖וֹת לִבְנֵ֥י יִשְׂרָאֵֽל׃</w:t>
      </w:r>
    </w:p>
    <w:p w14:paraId="6EFAE66D" w14:textId="5CA815C5"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Deutsch:</w:t>
      </w:r>
      <w:r w:rsidRPr="00D754E3">
        <w:rPr>
          <w:rFonts w:eastAsia="Times New Roman" w:cs="Times New Roman"/>
          <w:lang w:eastAsia="de-DE"/>
        </w:rPr>
        <w:t xml:space="preserve"> Und es nahten die Häupter der Väter des Geschlechts der Söhne Gil'ad, des Sohnes Machirs, des Sohnes Menasches, aus den Geschlechtern der Söhne Josefs; und sie redeten vor Mosche und vor den Fürsten, den Häuptern der Väter der Söhne Jisra'el,</w:t>
      </w:r>
    </w:p>
    <w:p w14:paraId="483B216C" w14:textId="77777777" w:rsidR="00D754E3" w:rsidRPr="00D754E3" w:rsidRDefault="00F329DD" w:rsidP="00D754E3">
      <w:pPr>
        <w:spacing w:after="0" w:line="240" w:lineRule="auto"/>
        <w:rPr>
          <w:rFonts w:eastAsia="Times New Roman" w:cs="Times New Roman"/>
          <w:lang w:eastAsia="de-DE"/>
        </w:rPr>
      </w:pPr>
      <w:r>
        <w:rPr>
          <w:rFonts w:eastAsia="Times New Roman" w:cs="Times New Roman"/>
          <w:noProof/>
          <w:lang w:eastAsia="de-DE"/>
        </w:rPr>
        <w:lastRenderedPageBreak/>
        <w:pict w14:anchorId="13AF8B82">
          <v:rect id="_x0000_i2093" style="width:0;height:1.5pt" o:hralign="center" o:hrstd="t" o:hr="t" fillcolor="#a0a0a0" stroked="f"/>
        </w:pict>
      </w:r>
    </w:p>
    <w:p w14:paraId="435F5A2F" w14:textId="517BCBAE"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Kommentar:</w:t>
      </w:r>
      <w:r>
        <w:rPr>
          <w:rFonts w:eastAsia="Times New Roman" w:cs="Times New Roman"/>
          <w:lang w:eastAsia="de-DE"/>
        </w:rPr>
        <w:t xml:space="preserve"> </w:t>
      </w:r>
      <w:r w:rsidRPr="00D754E3">
        <w:rPr>
          <w:rFonts w:eastAsia="Times New Roman" w:cs="Times New Roman"/>
          <w:lang w:eastAsia="de-DE"/>
        </w:rPr>
        <w:t xml:space="preserve">Das Kapitel beginnt mit dem Waw-Konsekutiv-Imperfekt </w:t>
      </w:r>
      <w:r w:rsidRPr="00D754E3">
        <w:rPr>
          <w:rFonts w:eastAsia="Times New Roman" w:cs="Times New Roman"/>
          <w:b/>
          <w:bCs/>
          <w:rtl/>
          <w:lang w:eastAsia="de-DE"/>
        </w:rPr>
        <w:t>וַיִּקְרְבוּ</w:t>
      </w:r>
      <w:r w:rsidRPr="00D754E3">
        <w:rPr>
          <w:rFonts w:eastAsia="Times New Roman" w:cs="Times New Roman"/>
          <w:rtl/>
          <w:lang w:eastAsia="de-DE"/>
        </w:rPr>
        <w:t xml:space="preserve"> </w:t>
      </w:r>
      <w:r w:rsidRPr="00D754E3">
        <w:rPr>
          <w:rFonts w:eastAsia="Times New Roman" w:cs="Times New Roman"/>
          <w:lang w:eastAsia="de-DE"/>
        </w:rPr>
        <w:t xml:space="preserve">(3. Person Plural maskulin von </w:t>
      </w:r>
      <w:r w:rsidRPr="00D754E3">
        <w:rPr>
          <w:rFonts w:eastAsia="Times New Roman" w:cs="Times New Roman"/>
          <w:rtl/>
          <w:lang w:eastAsia="de-DE"/>
        </w:rPr>
        <w:t>קרב</w:t>
      </w:r>
      <w:r w:rsidRPr="00D754E3">
        <w:rPr>
          <w:rFonts w:eastAsia="Times New Roman" w:cs="Times New Roman"/>
          <w:lang w:eastAsia="de-DE"/>
        </w:rPr>
        <w:t xml:space="preserve">), das die Handlung des Herantretens oder Nahens beschreibt und die erzählende Fortsetzung der vorherigen Kapitel markiert. Das Subjekt sind </w:t>
      </w:r>
      <w:r w:rsidRPr="00D754E3">
        <w:rPr>
          <w:rFonts w:eastAsia="Times New Roman" w:cs="Times New Roman"/>
          <w:b/>
          <w:bCs/>
          <w:rtl/>
          <w:lang w:eastAsia="de-DE"/>
        </w:rPr>
        <w:t>רָאשֵׁי הָאָבוֹת</w:t>
      </w:r>
      <w:r w:rsidRPr="00D754E3">
        <w:rPr>
          <w:rFonts w:eastAsia="Times New Roman" w:cs="Times New Roman"/>
          <w:rtl/>
          <w:lang w:eastAsia="de-DE"/>
        </w:rPr>
        <w:t xml:space="preserve"> </w:t>
      </w:r>
      <w:r w:rsidRPr="00D754E3">
        <w:rPr>
          <w:rFonts w:eastAsia="Times New Roman" w:cs="Times New Roman"/>
          <w:lang w:eastAsia="de-DE"/>
        </w:rPr>
        <w:t xml:space="preserve">(Häupter der Väter), ein Construct-Verhältnis, wobei </w:t>
      </w:r>
      <w:r w:rsidRPr="00D754E3">
        <w:rPr>
          <w:rFonts w:eastAsia="Times New Roman" w:cs="Times New Roman"/>
          <w:b/>
          <w:bCs/>
          <w:rtl/>
          <w:lang w:eastAsia="de-DE"/>
        </w:rPr>
        <w:t>רָאשֵׁי</w:t>
      </w:r>
      <w:r w:rsidRPr="00D754E3">
        <w:rPr>
          <w:rFonts w:eastAsia="Times New Roman" w:cs="Times New Roman"/>
          <w:rtl/>
          <w:lang w:eastAsia="de-DE"/>
        </w:rPr>
        <w:t xml:space="preserve"> </w:t>
      </w:r>
      <w:r w:rsidRPr="00D754E3">
        <w:rPr>
          <w:rFonts w:eastAsia="Times New Roman" w:cs="Times New Roman"/>
          <w:lang w:eastAsia="de-DE"/>
        </w:rPr>
        <w:t xml:space="preserve">im Plural constructus steht und </w:t>
      </w:r>
      <w:r w:rsidRPr="00D754E3">
        <w:rPr>
          <w:rFonts w:eastAsia="Times New Roman" w:cs="Times New Roman"/>
          <w:b/>
          <w:bCs/>
          <w:rtl/>
          <w:lang w:eastAsia="de-DE"/>
        </w:rPr>
        <w:t>הָאָבוֹת</w:t>
      </w:r>
      <w:r w:rsidRPr="00D754E3">
        <w:rPr>
          <w:rFonts w:eastAsia="Times New Roman" w:cs="Times New Roman"/>
          <w:rtl/>
          <w:lang w:eastAsia="de-DE"/>
        </w:rPr>
        <w:t xml:space="preserve"> </w:t>
      </w:r>
      <w:r w:rsidRPr="00D754E3">
        <w:rPr>
          <w:rFonts w:eastAsia="Times New Roman" w:cs="Times New Roman"/>
          <w:lang w:eastAsia="de-DE"/>
        </w:rPr>
        <w:t xml:space="preserve">im Plural absolutus mit Artikel. Diese </w:t>
      </w:r>
      <w:r w:rsidR="00F133EC">
        <w:rPr>
          <w:rFonts w:eastAsia="Times New Roman" w:cs="Times New Roman"/>
          <w:lang w:eastAsia="de-DE"/>
        </w:rPr>
        <w:t>Construct</w:t>
      </w:r>
      <w:r w:rsidRPr="00D754E3">
        <w:rPr>
          <w:rFonts w:eastAsia="Times New Roman" w:cs="Times New Roman"/>
          <w:lang w:eastAsia="de-DE"/>
        </w:rPr>
        <w:t>ion bezeichnet die führenden Familienoberhäupter.</w:t>
      </w:r>
    </w:p>
    <w:p w14:paraId="3C138D19"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präpositionale Phrase </w:t>
      </w:r>
      <w:r w:rsidRPr="00D754E3">
        <w:rPr>
          <w:rFonts w:eastAsia="Times New Roman" w:cs="Times New Roman"/>
          <w:b/>
          <w:bCs/>
          <w:rtl/>
          <w:lang w:eastAsia="de-DE"/>
        </w:rPr>
        <w:t>לְמִשְׁפַּחַת בְּנֵי־גִלְעָד</w:t>
      </w:r>
      <w:r w:rsidRPr="00D754E3">
        <w:rPr>
          <w:rFonts w:eastAsia="Times New Roman" w:cs="Times New Roman"/>
          <w:rtl/>
          <w:lang w:eastAsia="de-DE"/>
        </w:rPr>
        <w:t xml:space="preserve"> </w:t>
      </w:r>
      <w:r w:rsidRPr="00D754E3">
        <w:rPr>
          <w:rFonts w:eastAsia="Times New Roman" w:cs="Times New Roman"/>
          <w:lang w:eastAsia="de-DE"/>
        </w:rPr>
        <w:t xml:space="preserve">zeigt eine mehrfache Genitivkette: Die Präposition </w:t>
      </w:r>
      <w:r w:rsidRPr="00D754E3">
        <w:rPr>
          <w:rFonts w:eastAsia="Times New Roman" w:cs="Times New Roman"/>
          <w:b/>
          <w:bCs/>
          <w:rtl/>
          <w:lang w:eastAsia="de-DE"/>
        </w:rPr>
        <w:t>לְ</w:t>
      </w:r>
      <w:r w:rsidRPr="00D754E3">
        <w:rPr>
          <w:rFonts w:eastAsia="Times New Roman" w:cs="Times New Roman"/>
          <w:rtl/>
          <w:lang w:eastAsia="de-DE"/>
        </w:rPr>
        <w:t xml:space="preserve"> </w:t>
      </w:r>
      <w:r w:rsidRPr="00D754E3">
        <w:rPr>
          <w:rFonts w:eastAsia="Times New Roman" w:cs="Times New Roman"/>
          <w:lang w:eastAsia="de-DE"/>
        </w:rPr>
        <w:t xml:space="preserve">leitet hier die Zugehörigkeit ein (für/zu dem Geschlecht), gefolgt von </w:t>
      </w:r>
      <w:r w:rsidRPr="00D754E3">
        <w:rPr>
          <w:rFonts w:eastAsia="Times New Roman" w:cs="Times New Roman"/>
          <w:b/>
          <w:bCs/>
          <w:rtl/>
          <w:lang w:eastAsia="de-DE"/>
        </w:rPr>
        <w:t>מִשְׁפַּחַת</w:t>
      </w:r>
      <w:r w:rsidRPr="00D754E3">
        <w:rPr>
          <w:rFonts w:eastAsia="Times New Roman" w:cs="Times New Roman"/>
          <w:rtl/>
          <w:lang w:eastAsia="de-DE"/>
        </w:rPr>
        <w:t xml:space="preserve"> </w:t>
      </w:r>
      <w:r w:rsidRPr="00D754E3">
        <w:rPr>
          <w:rFonts w:eastAsia="Times New Roman" w:cs="Times New Roman"/>
          <w:lang w:eastAsia="de-DE"/>
        </w:rPr>
        <w:t xml:space="preserve">(Geschlecht, feminin singular constructus). Die weitere Spezifizierung erfolgt durch </w:t>
      </w:r>
      <w:r w:rsidRPr="00D754E3">
        <w:rPr>
          <w:rFonts w:eastAsia="Times New Roman" w:cs="Times New Roman"/>
          <w:b/>
          <w:bCs/>
          <w:rtl/>
          <w:lang w:eastAsia="de-DE"/>
        </w:rPr>
        <w:t>בְּנֵי־גִלְעָד בֶּן־מָכִיר בֶּן־מְנַשֶּׁה</w:t>
      </w:r>
      <w:r w:rsidRPr="00D754E3">
        <w:rPr>
          <w:rFonts w:eastAsia="Times New Roman" w:cs="Times New Roman"/>
          <w:lang w:eastAsia="de-DE"/>
        </w:rPr>
        <w:t xml:space="preserve">, eine dreifache genealogische Abstammungslinie, wobei </w:t>
      </w:r>
      <w:r w:rsidRPr="00D754E3">
        <w:rPr>
          <w:rFonts w:eastAsia="Times New Roman" w:cs="Times New Roman"/>
          <w:b/>
          <w:bCs/>
          <w:rtl/>
          <w:lang w:eastAsia="de-DE"/>
        </w:rPr>
        <w:t>בֶּן</w:t>
      </w:r>
      <w:r w:rsidRPr="00D754E3">
        <w:rPr>
          <w:rFonts w:eastAsia="Times New Roman" w:cs="Times New Roman"/>
          <w:rtl/>
          <w:lang w:eastAsia="de-DE"/>
        </w:rPr>
        <w:t xml:space="preserve"> </w:t>
      </w:r>
      <w:r w:rsidRPr="00D754E3">
        <w:rPr>
          <w:rFonts w:eastAsia="Times New Roman" w:cs="Times New Roman"/>
          <w:lang w:eastAsia="de-DE"/>
        </w:rPr>
        <w:t xml:space="preserve">jeweils als Apposition fungiert und die Verbindung der Generationen herstellt. </w:t>
      </w:r>
      <w:r w:rsidRPr="00D754E3">
        <w:rPr>
          <w:rFonts w:eastAsia="Times New Roman" w:cs="Times New Roman"/>
          <w:b/>
          <w:bCs/>
          <w:rtl/>
          <w:lang w:eastAsia="de-DE"/>
        </w:rPr>
        <w:t>גִלְעָד</w:t>
      </w:r>
      <w:r w:rsidRPr="00D754E3">
        <w:rPr>
          <w:rFonts w:eastAsia="Times New Roman" w:cs="Times New Roman"/>
          <w:lang w:eastAsia="de-DE"/>
        </w:rPr>
        <w:t xml:space="preserve">, </w:t>
      </w:r>
      <w:r w:rsidRPr="00D754E3">
        <w:rPr>
          <w:rFonts w:eastAsia="Times New Roman" w:cs="Times New Roman"/>
          <w:b/>
          <w:bCs/>
          <w:rtl/>
          <w:lang w:eastAsia="de-DE"/>
        </w:rPr>
        <w:t>מָכִיר</w:t>
      </w:r>
      <w:r w:rsidRPr="00D754E3">
        <w:rPr>
          <w:rFonts w:eastAsia="Times New Roman" w:cs="Times New Roman"/>
          <w:rtl/>
          <w:lang w:eastAsia="de-DE"/>
        </w:rPr>
        <w:t xml:space="preserve"> </w:t>
      </w:r>
      <w:r w:rsidRPr="00D754E3">
        <w:rPr>
          <w:rFonts w:eastAsia="Times New Roman" w:cs="Times New Roman"/>
          <w:lang w:eastAsia="de-DE"/>
        </w:rPr>
        <w:t xml:space="preserve">und </w:t>
      </w:r>
      <w:r w:rsidRPr="00D754E3">
        <w:rPr>
          <w:rFonts w:eastAsia="Times New Roman" w:cs="Times New Roman"/>
          <w:b/>
          <w:bCs/>
          <w:rtl/>
          <w:lang w:eastAsia="de-DE"/>
        </w:rPr>
        <w:t>מְנַשֶּׁה</w:t>
      </w:r>
      <w:r w:rsidRPr="00D754E3">
        <w:rPr>
          <w:rFonts w:eastAsia="Times New Roman" w:cs="Times New Roman"/>
          <w:rtl/>
          <w:lang w:eastAsia="de-DE"/>
        </w:rPr>
        <w:t xml:space="preserve"> </w:t>
      </w:r>
      <w:r w:rsidRPr="00D754E3">
        <w:rPr>
          <w:rFonts w:eastAsia="Times New Roman" w:cs="Times New Roman"/>
          <w:lang w:eastAsia="de-DE"/>
        </w:rPr>
        <w:t>sind Eigennamen, die die Abstammung bis zum Stammvater zurückverfolgen.</w:t>
      </w:r>
    </w:p>
    <w:p w14:paraId="5518D19F"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präpositionale Phrase </w:t>
      </w:r>
      <w:r w:rsidRPr="00D754E3">
        <w:rPr>
          <w:rFonts w:eastAsia="Times New Roman" w:cs="Times New Roman"/>
          <w:b/>
          <w:bCs/>
          <w:rtl/>
          <w:lang w:eastAsia="de-DE"/>
        </w:rPr>
        <w:t>מִמִּשְׁפְּחֹת בְּנֵי יוֹסֵף</w:t>
      </w:r>
      <w:r w:rsidRPr="00D754E3">
        <w:rPr>
          <w:rFonts w:eastAsia="Times New Roman" w:cs="Times New Roman"/>
          <w:rtl/>
          <w:lang w:eastAsia="de-DE"/>
        </w:rPr>
        <w:t xml:space="preserve"> </w:t>
      </w:r>
      <w:r w:rsidRPr="00D754E3">
        <w:rPr>
          <w:rFonts w:eastAsia="Times New Roman" w:cs="Times New Roman"/>
          <w:lang w:eastAsia="de-DE"/>
        </w:rPr>
        <w:t xml:space="preserve">mit der Präposition </w:t>
      </w:r>
      <w:r w:rsidRPr="00D754E3">
        <w:rPr>
          <w:rFonts w:eastAsia="Times New Roman" w:cs="Times New Roman"/>
          <w:b/>
          <w:bCs/>
          <w:rtl/>
          <w:lang w:eastAsia="de-DE"/>
        </w:rPr>
        <w:t>מִן</w:t>
      </w:r>
      <w:r w:rsidRPr="00D754E3">
        <w:rPr>
          <w:rFonts w:eastAsia="Times New Roman" w:cs="Times New Roman"/>
          <w:rtl/>
          <w:lang w:eastAsia="de-DE"/>
        </w:rPr>
        <w:t xml:space="preserve"> </w:t>
      </w:r>
      <w:r w:rsidRPr="00D754E3">
        <w:rPr>
          <w:rFonts w:eastAsia="Times New Roman" w:cs="Times New Roman"/>
          <w:lang w:eastAsia="de-DE"/>
        </w:rPr>
        <w:t xml:space="preserve">(aus) zeigt die weitere stammesmäßige Zuordnung. Hier steht </w:t>
      </w:r>
      <w:r w:rsidRPr="00D754E3">
        <w:rPr>
          <w:rFonts w:eastAsia="Times New Roman" w:cs="Times New Roman"/>
          <w:b/>
          <w:bCs/>
          <w:rtl/>
          <w:lang w:eastAsia="de-DE"/>
        </w:rPr>
        <w:t>מִשְׁפְּחֹת</w:t>
      </w:r>
      <w:r w:rsidRPr="00D754E3">
        <w:rPr>
          <w:rFonts w:eastAsia="Times New Roman" w:cs="Times New Roman"/>
          <w:rtl/>
          <w:lang w:eastAsia="de-DE"/>
        </w:rPr>
        <w:t xml:space="preserve"> </w:t>
      </w:r>
      <w:r w:rsidRPr="00D754E3">
        <w:rPr>
          <w:rFonts w:eastAsia="Times New Roman" w:cs="Times New Roman"/>
          <w:lang w:eastAsia="de-DE"/>
        </w:rPr>
        <w:t xml:space="preserve">im Plural constructus, gefolgt von </w:t>
      </w:r>
      <w:r w:rsidRPr="00D754E3">
        <w:rPr>
          <w:rFonts w:eastAsia="Times New Roman" w:cs="Times New Roman"/>
          <w:b/>
          <w:bCs/>
          <w:rtl/>
          <w:lang w:eastAsia="de-DE"/>
        </w:rPr>
        <w:t>בְּנֵי יוֹסֵף</w:t>
      </w:r>
      <w:r w:rsidRPr="00D754E3">
        <w:rPr>
          <w:rFonts w:eastAsia="Times New Roman" w:cs="Times New Roman"/>
          <w:lang w:eastAsia="de-DE"/>
        </w:rPr>
        <w:t>, wodurch die Herkunft aus dem Josef-Stamm unterstrichen wird.</w:t>
      </w:r>
    </w:p>
    <w:p w14:paraId="342E9CED"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zweite Hauptverb ist wiederum ein Waw-Konsekutiv-Imperfekt: </w:t>
      </w:r>
      <w:r w:rsidRPr="00D754E3">
        <w:rPr>
          <w:rFonts w:eastAsia="Times New Roman" w:cs="Times New Roman"/>
          <w:b/>
          <w:bCs/>
          <w:rtl/>
          <w:lang w:eastAsia="de-DE"/>
        </w:rPr>
        <w:t>וַיְדַבְּרוּ</w:t>
      </w:r>
      <w:r w:rsidRPr="00D754E3">
        <w:rPr>
          <w:rFonts w:eastAsia="Times New Roman" w:cs="Times New Roman"/>
          <w:rtl/>
          <w:lang w:eastAsia="de-DE"/>
        </w:rPr>
        <w:t xml:space="preserve"> </w:t>
      </w:r>
      <w:r w:rsidRPr="00D754E3">
        <w:rPr>
          <w:rFonts w:eastAsia="Times New Roman" w:cs="Times New Roman"/>
          <w:lang w:eastAsia="de-DE"/>
        </w:rPr>
        <w:t xml:space="preserve">(3. Person Plural maskulin von </w:t>
      </w:r>
      <w:r w:rsidRPr="00D754E3">
        <w:rPr>
          <w:rFonts w:eastAsia="Times New Roman" w:cs="Times New Roman"/>
          <w:rtl/>
          <w:lang w:eastAsia="de-DE"/>
        </w:rPr>
        <w:t>דבר</w:t>
      </w:r>
      <w:r w:rsidRPr="00D754E3">
        <w:rPr>
          <w:rFonts w:eastAsia="Times New Roman" w:cs="Times New Roman"/>
          <w:lang w:eastAsia="de-DE"/>
        </w:rPr>
        <w:t xml:space="preserve">, reden). Die präpositionalen Phrasen </w:t>
      </w:r>
      <w:r w:rsidRPr="00D754E3">
        <w:rPr>
          <w:rFonts w:eastAsia="Times New Roman" w:cs="Times New Roman"/>
          <w:b/>
          <w:bCs/>
          <w:rtl/>
          <w:lang w:eastAsia="de-DE"/>
        </w:rPr>
        <w:t>לִפְנֵי מֹשֶׁה</w:t>
      </w:r>
      <w:r w:rsidRPr="00D754E3">
        <w:rPr>
          <w:rFonts w:eastAsia="Times New Roman" w:cs="Times New Roman"/>
          <w:rtl/>
          <w:lang w:eastAsia="de-DE"/>
        </w:rPr>
        <w:t xml:space="preserve"> </w:t>
      </w:r>
      <w:r w:rsidRPr="00D754E3">
        <w:rPr>
          <w:rFonts w:eastAsia="Times New Roman" w:cs="Times New Roman"/>
          <w:lang w:eastAsia="de-DE"/>
        </w:rPr>
        <w:t xml:space="preserve">und </w:t>
      </w:r>
      <w:r w:rsidRPr="00D754E3">
        <w:rPr>
          <w:rFonts w:eastAsia="Times New Roman" w:cs="Times New Roman"/>
          <w:b/>
          <w:bCs/>
          <w:rtl/>
          <w:lang w:eastAsia="de-DE"/>
        </w:rPr>
        <w:t>וְלִפְנֵי הַנְּשִׂאִים</w:t>
      </w:r>
      <w:r w:rsidRPr="00D754E3">
        <w:rPr>
          <w:rFonts w:eastAsia="Times New Roman" w:cs="Times New Roman"/>
          <w:rtl/>
          <w:lang w:eastAsia="de-DE"/>
        </w:rPr>
        <w:t xml:space="preserve"> </w:t>
      </w:r>
      <w:r w:rsidRPr="00D754E3">
        <w:rPr>
          <w:rFonts w:eastAsia="Times New Roman" w:cs="Times New Roman"/>
          <w:lang w:eastAsia="de-DE"/>
        </w:rPr>
        <w:t xml:space="preserve">mit der Präposition </w:t>
      </w:r>
      <w:r w:rsidRPr="00D754E3">
        <w:rPr>
          <w:rFonts w:eastAsia="Times New Roman" w:cs="Times New Roman"/>
          <w:b/>
          <w:bCs/>
          <w:rtl/>
          <w:lang w:eastAsia="de-DE"/>
        </w:rPr>
        <w:t>לִפְנֵי</w:t>
      </w:r>
      <w:r w:rsidRPr="00D754E3">
        <w:rPr>
          <w:rFonts w:eastAsia="Times New Roman" w:cs="Times New Roman"/>
          <w:rtl/>
          <w:lang w:eastAsia="de-DE"/>
        </w:rPr>
        <w:t xml:space="preserve"> </w:t>
      </w:r>
      <w:r w:rsidRPr="00D754E3">
        <w:rPr>
          <w:rFonts w:eastAsia="Times New Roman" w:cs="Times New Roman"/>
          <w:lang w:eastAsia="de-DE"/>
        </w:rPr>
        <w:t xml:space="preserve">(vor, im Angesicht von) zeigen an, vor wem die Rede stattfindet. </w:t>
      </w:r>
      <w:r w:rsidRPr="00D754E3">
        <w:rPr>
          <w:rFonts w:eastAsia="Times New Roman" w:cs="Times New Roman"/>
          <w:b/>
          <w:bCs/>
          <w:rtl/>
          <w:lang w:eastAsia="de-DE"/>
        </w:rPr>
        <w:t>מֹשֶׁה</w:t>
      </w:r>
      <w:r w:rsidRPr="00D754E3">
        <w:rPr>
          <w:rFonts w:eastAsia="Times New Roman" w:cs="Times New Roman"/>
          <w:rtl/>
          <w:lang w:eastAsia="de-DE"/>
        </w:rPr>
        <w:t xml:space="preserve"> </w:t>
      </w:r>
      <w:r w:rsidRPr="00D754E3">
        <w:rPr>
          <w:rFonts w:eastAsia="Times New Roman" w:cs="Times New Roman"/>
          <w:lang w:eastAsia="de-DE"/>
        </w:rPr>
        <w:t xml:space="preserve">erscheint ohne Artikel als Eigenname, während </w:t>
      </w:r>
      <w:r w:rsidRPr="00D754E3">
        <w:rPr>
          <w:rFonts w:eastAsia="Times New Roman" w:cs="Times New Roman"/>
          <w:b/>
          <w:bCs/>
          <w:rtl/>
          <w:lang w:eastAsia="de-DE"/>
        </w:rPr>
        <w:t>הַנְּשִׂאִים</w:t>
      </w:r>
      <w:r w:rsidRPr="00D754E3">
        <w:rPr>
          <w:rFonts w:eastAsia="Times New Roman" w:cs="Times New Roman"/>
          <w:rtl/>
          <w:lang w:eastAsia="de-DE"/>
        </w:rPr>
        <w:t xml:space="preserve"> </w:t>
      </w:r>
      <w:r w:rsidRPr="00D754E3">
        <w:rPr>
          <w:rFonts w:eastAsia="Times New Roman" w:cs="Times New Roman"/>
          <w:lang w:eastAsia="de-DE"/>
        </w:rPr>
        <w:t xml:space="preserve">(die Fürsten/Erhobenen, Plural maskulin mit Artikel von </w:t>
      </w:r>
      <w:r w:rsidRPr="00D754E3">
        <w:rPr>
          <w:rFonts w:eastAsia="Times New Roman" w:cs="Times New Roman"/>
          <w:rtl/>
          <w:lang w:eastAsia="de-DE"/>
        </w:rPr>
        <w:t>נשׂא</w:t>
      </w:r>
      <w:r w:rsidRPr="00D754E3">
        <w:rPr>
          <w:rFonts w:eastAsia="Times New Roman" w:cs="Times New Roman"/>
          <w:lang w:eastAsia="de-DE"/>
        </w:rPr>
        <w:t>) die weiteren Autoritätspersonen bezeichnet.</w:t>
      </w:r>
    </w:p>
    <w:p w14:paraId="7B46F39B"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abschließende Apposition </w:t>
      </w:r>
      <w:r w:rsidRPr="00D754E3">
        <w:rPr>
          <w:rFonts w:eastAsia="Times New Roman" w:cs="Times New Roman"/>
          <w:b/>
          <w:bCs/>
          <w:rtl/>
          <w:lang w:eastAsia="de-DE"/>
        </w:rPr>
        <w:t>רָאשֵׁי אָבוֹת לִבְנֵי יִשְׂרָאֵל</w:t>
      </w:r>
      <w:r w:rsidRPr="00D754E3">
        <w:rPr>
          <w:rFonts w:eastAsia="Times New Roman" w:cs="Times New Roman"/>
          <w:rtl/>
          <w:lang w:eastAsia="de-DE"/>
        </w:rPr>
        <w:t xml:space="preserve"> </w:t>
      </w:r>
      <w:r w:rsidRPr="00D754E3">
        <w:rPr>
          <w:rFonts w:eastAsia="Times New Roman" w:cs="Times New Roman"/>
          <w:lang w:eastAsia="de-DE"/>
        </w:rPr>
        <w:t xml:space="preserve">spezifiziert die Identität der </w:t>
      </w:r>
      <w:r w:rsidRPr="00D754E3">
        <w:rPr>
          <w:rFonts w:eastAsia="Times New Roman" w:cs="Times New Roman"/>
          <w:b/>
          <w:bCs/>
          <w:rtl/>
          <w:lang w:eastAsia="de-DE"/>
        </w:rPr>
        <w:t>נְשִׂאִים</w:t>
      </w:r>
      <w:r w:rsidRPr="00D754E3">
        <w:rPr>
          <w:rFonts w:eastAsia="Times New Roman" w:cs="Times New Roman"/>
          <w:rtl/>
          <w:lang w:eastAsia="de-DE"/>
        </w:rPr>
        <w:t xml:space="preserve"> </w:t>
      </w:r>
      <w:r w:rsidRPr="00D754E3">
        <w:rPr>
          <w:rFonts w:eastAsia="Times New Roman" w:cs="Times New Roman"/>
          <w:lang w:eastAsia="de-DE"/>
        </w:rPr>
        <w:t xml:space="preserve">weiter: Sie sind Häupter der Väter für/bezüglich der Söhne Israels. Die Präposition </w:t>
      </w:r>
      <w:r w:rsidRPr="00D754E3">
        <w:rPr>
          <w:rFonts w:eastAsia="Times New Roman" w:cs="Times New Roman"/>
          <w:b/>
          <w:bCs/>
          <w:rtl/>
          <w:lang w:eastAsia="de-DE"/>
        </w:rPr>
        <w:t>לְ</w:t>
      </w:r>
      <w:r w:rsidRPr="00D754E3">
        <w:rPr>
          <w:rFonts w:eastAsia="Times New Roman" w:cs="Times New Roman"/>
          <w:rtl/>
          <w:lang w:eastAsia="de-DE"/>
        </w:rPr>
        <w:t xml:space="preserve"> </w:t>
      </w:r>
      <w:r w:rsidRPr="00D754E3">
        <w:rPr>
          <w:rFonts w:eastAsia="Times New Roman" w:cs="Times New Roman"/>
          <w:lang w:eastAsia="de-DE"/>
        </w:rPr>
        <w:t>kann hier die Relation oder den Bezug ausdrücken.</w:t>
      </w:r>
    </w:p>
    <w:p w14:paraId="6BFC7465" w14:textId="1F0D279B"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Die LXX</w:t>
      </w:r>
      <w:r w:rsidRPr="00D754E3">
        <w:rPr>
          <w:rFonts w:eastAsia="Times New Roman" w:cs="Times New Roman"/>
          <w:lang w:eastAsia="de-DE"/>
        </w:rPr>
        <w:t xml:space="preserve"> </w:t>
      </w:r>
      <w:r w:rsidR="00A22CB7">
        <w:rPr>
          <w:rStyle w:val="Fett"/>
        </w:rPr>
        <w:t>Die LXX</w:t>
      </w:r>
      <w:r w:rsidR="00A22CB7">
        <w:t xml:space="preserve"> fügt hinzu „καὶ ἔναντι Ἐλεαζὰρ τοῦ ἱερέως" (und vor Eleasar dem Priester), was im MT nicht erscheint, wo nur Mose und die Fürsten erwähnt werden.</w:t>
      </w:r>
    </w:p>
    <w:p w14:paraId="4F0A46E5"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Die Satzstruktur besteht aus zwei koordinierten Hauptsätzen, die durch das Waw copulativum verbunden sind: (1) Subjekt (</w:t>
      </w:r>
      <w:r w:rsidRPr="00D754E3">
        <w:rPr>
          <w:rFonts w:eastAsia="Times New Roman" w:cs="Times New Roman"/>
          <w:b/>
          <w:bCs/>
          <w:rtl/>
          <w:lang w:eastAsia="de-DE"/>
        </w:rPr>
        <w:t>רָאשֵׁי הָאָבוֹת</w:t>
      </w:r>
      <w:r w:rsidRPr="00D754E3">
        <w:rPr>
          <w:rFonts w:eastAsia="Times New Roman" w:cs="Times New Roman"/>
          <w:rtl/>
          <w:lang w:eastAsia="de-DE"/>
        </w:rPr>
        <w:t xml:space="preserve"> </w:t>
      </w:r>
      <w:r w:rsidRPr="00D754E3">
        <w:rPr>
          <w:rFonts w:eastAsia="Times New Roman" w:cs="Times New Roman"/>
          <w:lang w:eastAsia="de-DE"/>
        </w:rPr>
        <w:t>mit mehreren Attributen und präpositionalen Erweiterungen) + Prädikat (</w:t>
      </w:r>
      <w:r w:rsidRPr="00D754E3">
        <w:rPr>
          <w:rFonts w:eastAsia="Times New Roman" w:cs="Times New Roman"/>
          <w:b/>
          <w:bCs/>
          <w:rtl/>
          <w:lang w:eastAsia="de-DE"/>
        </w:rPr>
        <w:t>וַיִּקְרְבוּ</w:t>
      </w:r>
      <w:r w:rsidRPr="00D754E3">
        <w:rPr>
          <w:rFonts w:eastAsia="Times New Roman" w:cs="Times New Roman"/>
          <w:lang w:eastAsia="de-DE"/>
        </w:rPr>
        <w:t>), (2) Subjekt (identisch, durch Nullanaphora) + Prädikat (</w:t>
      </w:r>
      <w:r w:rsidRPr="00D754E3">
        <w:rPr>
          <w:rFonts w:eastAsia="Times New Roman" w:cs="Times New Roman"/>
          <w:b/>
          <w:bCs/>
          <w:rtl/>
          <w:lang w:eastAsia="de-DE"/>
        </w:rPr>
        <w:t>וַיְדַבְּרוּ</w:t>
      </w:r>
      <w:r w:rsidRPr="00D754E3">
        <w:rPr>
          <w:rFonts w:eastAsia="Times New Roman" w:cs="Times New Roman"/>
          <w:lang w:eastAsia="de-DE"/>
        </w:rPr>
        <w:t>) + präpositionale Phrasen als Lokalergänzungen. Beide Hauptsätze sind parataktisch verbunden und bilden eine fortlaufende Handlungssequenz.</w:t>
      </w:r>
    </w:p>
    <w:p w14:paraId="584E90F0"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Der Vers schildert den Beginn einer wichtigen rechtlichen Petition: Die Familienoberhäupter des Geschlechts Gileads, das zur Josephs-Sippe gehört, treten vor Mose und die Führung Israels, um eine Angelegenheit vorzubringen, die das in Kapitel 27 geregelte Erbrecht der Töchter Zelophchads betrifft.</w:t>
      </w:r>
    </w:p>
    <w:p w14:paraId="591B278B" w14:textId="77777777" w:rsidR="00D754E3" w:rsidRPr="00D754E3" w:rsidRDefault="00D754E3" w:rsidP="00D754E3">
      <w:pPr>
        <w:spacing w:before="100" w:beforeAutospacing="1" w:after="100" w:afterAutospacing="1" w:line="240" w:lineRule="auto"/>
        <w:outlineLvl w:val="0"/>
        <w:rPr>
          <w:rFonts w:eastAsia="Times New Roman" w:cs="Times New Roman"/>
          <w:b/>
          <w:bCs/>
          <w:kern w:val="36"/>
          <w:sz w:val="48"/>
          <w:szCs w:val="48"/>
          <w:lang w:eastAsia="de-DE"/>
        </w:rPr>
      </w:pPr>
      <w:r w:rsidRPr="00D754E3">
        <w:rPr>
          <w:rFonts w:eastAsia="Times New Roman" w:cs="Times New Roman"/>
          <w:b/>
          <w:bCs/>
          <w:kern w:val="36"/>
          <w:sz w:val="48"/>
          <w:szCs w:val="48"/>
          <w:lang w:eastAsia="de-DE"/>
        </w:rPr>
        <w:t>Numeri 36,2</w:t>
      </w:r>
    </w:p>
    <w:p w14:paraId="0F1F3642" w14:textId="00F7D78B"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Hebräisch:</w:t>
      </w:r>
      <w:r>
        <w:rPr>
          <w:rFonts w:eastAsia="Times New Roman" w:cs="Times New Roman"/>
          <w:b/>
          <w:bCs/>
          <w:lang w:eastAsia="de-DE"/>
        </w:rPr>
        <w:t xml:space="preserve"> </w:t>
      </w:r>
      <w:r w:rsidRPr="00D754E3">
        <w:rPr>
          <w:rFonts w:eastAsia="Times New Roman" w:cs="Times New Roman"/>
          <w:rtl/>
          <w:lang w:eastAsia="de-DE"/>
        </w:rPr>
        <w:t xml:space="preserve"> וַיֹּאמְר֗וּ אֶת־אֲדֹנִי֙ צִוָּ֣ה יְהוָ֔ה לָתֵ֨ת אֶת־הָאָ֧רֶץ בְּנַחֲלָ֛ה בְּגוֹרָ֖ל לִבְנֵ֣י יִשְׂרָאֵ֑ל וַֽאדֹנִי֙ צֻוָּ֣ה בַֽיהוָ֔ה לָתֵ֗ת אֶֽת־נַחֲלַ֛ת צְלָפְחָ֥ד אָחִ֖ינוּ לִבְנֹתָֽיו׃</w:t>
      </w:r>
    </w:p>
    <w:p w14:paraId="01C8EFF8" w14:textId="3B7128B7" w:rsidR="00D754E3" w:rsidRPr="00D754E3" w:rsidRDefault="00D754E3" w:rsidP="00D754E3">
      <w:pPr>
        <w:spacing w:before="100" w:beforeAutospacing="1" w:after="100" w:afterAutospacing="1" w:line="240" w:lineRule="auto"/>
        <w:rPr>
          <w:rFonts w:eastAsia="Times New Roman" w:cs="Times New Roman"/>
          <w:lang w:eastAsia="de-DE"/>
        </w:rPr>
      </w:pPr>
    </w:p>
    <w:p w14:paraId="71369A61" w14:textId="4A00BE4E"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Deutsch:</w:t>
      </w:r>
      <w:r w:rsidRPr="00D754E3">
        <w:rPr>
          <w:rFonts w:eastAsia="Times New Roman" w:cs="Times New Roman"/>
          <w:lang w:eastAsia="de-DE"/>
        </w:rPr>
        <w:t xml:space="preserve"> und sagten: Der Ewige hat meinem Herrn geboten, den Söhnen Jisra'el das Land durch das Los als Erbteil zu geben; und meinem Herrn ist vom Ewigen geboten worden, das Erbteil Zelophchads, unseres Bruders, seinen Töchtern zu geben.</w:t>
      </w:r>
    </w:p>
    <w:p w14:paraId="1FAFE1B8" w14:textId="77777777" w:rsidR="00D754E3" w:rsidRPr="00D754E3" w:rsidRDefault="00F329DD" w:rsidP="00D754E3">
      <w:pPr>
        <w:spacing w:after="0" w:line="240" w:lineRule="auto"/>
        <w:rPr>
          <w:rFonts w:eastAsia="Times New Roman" w:cs="Times New Roman"/>
          <w:lang w:eastAsia="de-DE"/>
        </w:rPr>
      </w:pPr>
      <w:r>
        <w:rPr>
          <w:rFonts w:eastAsia="Times New Roman" w:cs="Times New Roman"/>
          <w:noProof/>
          <w:lang w:eastAsia="de-DE"/>
        </w:rPr>
        <w:pict w14:anchorId="5087C155">
          <v:rect id="_x0000_i2094" style="width:0;height:1.5pt" o:hralign="center" o:hrstd="t" o:hr="t" fillcolor="#a0a0a0" stroked="f"/>
        </w:pict>
      </w:r>
    </w:p>
    <w:p w14:paraId="0FF9686F" w14:textId="16635E84"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Kommentar:</w:t>
      </w:r>
      <w:r>
        <w:rPr>
          <w:rFonts w:eastAsia="Times New Roman" w:cs="Times New Roman"/>
          <w:lang w:eastAsia="de-DE"/>
        </w:rPr>
        <w:t xml:space="preserve"> </w:t>
      </w:r>
      <w:r w:rsidRPr="00D754E3">
        <w:rPr>
          <w:rFonts w:eastAsia="Times New Roman" w:cs="Times New Roman"/>
          <w:lang w:eastAsia="de-DE"/>
        </w:rPr>
        <w:t xml:space="preserve">Der Vers beginnt mit dem Waw-Konsekutiv-Imperfekt </w:t>
      </w:r>
      <w:r w:rsidRPr="00D754E3">
        <w:rPr>
          <w:rFonts w:eastAsia="Times New Roman" w:cs="Times New Roman"/>
          <w:b/>
          <w:bCs/>
          <w:rtl/>
          <w:lang w:eastAsia="de-DE"/>
        </w:rPr>
        <w:t>וַיֹּאמְרוּ</w:t>
      </w:r>
      <w:r w:rsidRPr="00D754E3">
        <w:rPr>
          <w:rFonts w:eastAsia="Times New Roman" w:cs="Times New Roman"/>
          <w:rtl/>
          <w:lang w:eastAsia="de-DE"/>
        </w:rPr>
        <w:t xml:space="preserve"> </w:t>
      </w:r>
      <w:r w:rsidRPr="00D754E3">
        <w:rPr>
          <w:rFonts w:eastAsia="Times New Roman" w:cs="Times New Roman"/>
          <w:lang w:eastAsia="de-DE"/>
        </w:rPr>
        <w:t xml:space="preserve">(3. Person Plural maskulin von </w:t>
      </w:r>
      <w:r w:rsidRPr="00D754E3">
        <w:rPr>
          <w:rFonts w:eastAsia="Times New Roman" w:cs="Times New Roman"/>
          <w:rtl/>
          <w:lang w:eastAsia="de-DE"/>
        </w:rPr>
        <w:t>אמר</w:t>
      </w:r>
      <w:r w:rsidRPr="00D754E3">
        <w:rPr>
          <w:rFonts w:eastAsia="Times New Roman" w:cs="Times New Roman"/>
          <w:lang w:eastAsia="de-DE"/>
        </w:rPr>
        <w:t xml:space="preserve">, sagen), das die direkte Rede einleitet und die narrative Fortsetzung markiert. Das Akkusativobjekt wird durch die Partikel </w:t>
      </w:r>
      <w:r w:rsidRPr="00D754E3">
        <w:rPr>
          <w:rFonts w:eastAsia="Times New Roman" w:cs="Times New Roman"/>
          <w:b/>
          <w:bCs/>
          <w:rtl/>
          <w:lang w:eastAsia="de-DE"/>
        </w:rPr>
        <w:t>אֶת</w:t>
      </w:r>
      <w:r w:rsidRPr="00D754E3">
        <w:rPr>
          <w:rFonts w:eastAsia="Times New Roman" w:cs="Times New Roman"/>
          <w:rtl/>
          <w:lang w:eastAsia="de-DE"/>
        </w:rPr>
        <w:t xml:space="preserve"> </w:t>
      </w:r>
      <w:r w:rsidRPr="00D754E3">
        <w:rPr>
          <w:rFonts w:eastAsia="Times New Roman" w:cs="Times New Roman"/>
          <w:lang w:eastAsia="de-DE"/>
        </w:rPr>
        <w:t xml:space="preserve">eingeleitet, die hier ungewöhnlich vor dem Inhalt der direkten Rede steht: </w:t>
      </w:r>
      <w:r w:rsidRPr="00D754E3">
        <w:rPr>
          <w:rFonts w:eastAsia="Times New Roman" w:cs="Times New Roman"/>
          <w:b/>
          <w:bCs/>
          <w:rtl/>
          <w:lang w:eastAsia="de-DE"/>
        </w:rPr>
        <w:t>אֶת־אֲדֹנִי</w:t>
      </w:r>
      <w:r w:rsidRPr="00D754E3">
        <w:rPr>
          <w:rFonts w:eastAsia="Times New Roman" w:cs="Times New Roman"/>
          <w:rtl/>
          <w:lang w:eastAsia="de-DE"/>
        </w:rPr>
        <w:t xml:space="preserve"> </w:t>
      </w:r>
      <w:r w:rsidRPr="00D754E3">
        <w:rPr>
          <w:rFonts w:eastAsia="Times New Roman" w:cs="Times New Roman"/>
          <w:lang w:eastAsia="de-DE"/>
        </w:rPr>
        <w:t xml:space="preserve">(meinen Herrn). Diese </w:t>
      </w:r>
      <w:r w:rsidR="00F133EC">
        <w:rPr>
          <w:rFonts w:eastAsia="Times New Roman" w:cs="Times New Roman"/>
          <w:lang w:eastAsia="de-DE"/>
        </w:rPr>
        <w:t>Construct</w:t>
      </w:r>
      <w:r w:rsidRPr="00D754E3">
        <w:rPr>
          <w:rFonts w:eastAsia="Times New Roman" w:cs="Times New Roman"/>
          <w:lang w:eastAsia="de-DE"/>
        </w:rPr>
        <w:t xml:space="preserve">ion zeigt den respektvollen Beginn der Anrede, wobei </w:t>
      </w:r>
      <w:r w:rsidRPr="00D754E3">
        <w:rPr>
          <w:rFonts w:eastAsia="Times New Roman" w:cs="Times New Roman"/>
          <w:b/>
          <w:bCs/>
          <w:rtl/>
          <w:lang w:eastAsia="de-DE"/>
        </w:rPr>
        <w:t>אֲדֹנִי</w:t>
      </w:r>
      <w:r w:rsidRPr="00D754E3">
        <w:rPr>
          <w:rFonts w:eastAsia="Times New Roman" w:cs="Times New Roman"/>
          <w:rtl/>
          <w:lang w:eastAsia="de-DE"/>
        </w:rPr>
        <w:t xml:space="preserve"> </w:t>
      </w:r>
      <w:r w:rsidRPr="00D754E3">
        <w:rPr>
          <w:rFonts w:eastAsia="Times New Roman" w:cs="Times New Roman"/>
          <w:lang w:eastAsia="de-DE"/>
        </w:rPr>
        <w:t>(mein Herr, mit Suffix 1. Person Singular) sich auf Mose bezieht.</w:t>
      </w:r>
    </w:p>
    <w:p w14:paraId="6E2820B8"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Der erste Hauptsatz der direkten Rede hat als Subjekt </w:t>
      </w:r>
      <w:r w:rsidRPr="00D754E3">
        <w:rPr>
          <w:rFonts w:eastAsia="Times New Roman" w:cs="Times New Roman"/>
          <w:b/>
          <w:bCs/>
          <w:rtl/>
          <w:lang w:eastAsia="de-DE"/>
        </w:rPr>
        <w:t>יְהוָה</w:t>
      </w:r>
      <w:r w:rsidRPr="00D754E3">
        <w:rPr>
          <w:rFonts w:eastAsia="Times New Roman" w:cs="Times New Roman"/>
          <w:rtl/>
          <w:lang w:eastAsia="de-DE"/>
        </w:rPr>
        <w:t xml:space="preserve"> </w:t>
      </w:r>
      <w:r w:rsidRPr="00D754E3">
        <w:rPr>
          <w:rFonts w:eastAsia="Times New Roman" w:cs="Times New Roman"/>
          <w:lang w:eastAsia="de-DE"/>
        </w:rPr>
        <w:t xml:space="preserve">(der Ewige, Gottesname) und als Prädikat das Perfekt </w:t>
      </w:r>
      <w:r w:rsidRPr="00D754E3">
        <w:rPr>
          <w:rFonts w:eastAsia="Times New Roman" w:cs="Times New Roman"/>
          <w:b/>
          <w:bCs/>
          <w:rtl/>
          <w:lang w:eastAsia="de-DE"/>
        </w:rPr>
        <w:t>צִוָּה</w:t>
      </w:r>
      <w:r w:rsidRPr="00D754E3">
        <w:rPr>
          <w:rFonts w:eastAsia="Times New Roman" w:cs="Times New Roman"/>
          <w:rtl/>
          <w:lang w:eastAsia="de-DE"/>
        </w:rPr>
        <w:t xml:space="preserve"> </w:t>
      </w:r>
      <w:r w:rsidRPr="00D754E3">
        <w:rPr>
          <w:rFonts w:eastAsia="Times New Roman" w:cs="Times New Roman"/>
          <w:lang w:eastAsia="de-DE"/>
        </w:rPr>
        <w:t xml:space="preserve">(3. Person Singular maskulin von </w:t>
      </w:r>
      <w:r w:rsidRPr="00D754E3">
        <w:rPr>
          <w:rFonts w:eastAsia="Times New Roman" w:cs="Times New Roman"/>
          <w:rtl/>
          <w:lang w:eastAsia="de-DE"/>
        </w:rPr>
        <w:t>צוה</w:t>
      </w:r>
      <w:r w:rsidRPr="00D754E3">
        <w:rPr>
          <w:rFonts w:eastAsia="Times New Roman" w:cs="Times New Roman"/>
          <w:lang w:eastAsia="de-DE"/>
        </w:rPr>
        <w:t xml:space="preserve">, befehlen/gebieten im Piel). Das Perfekt drückt hier eine abgeschlossene Handlung aus, die als Grundlage für die folgende Argumentation dient. Der Infinitivus constructus mit </w:t>
      </w:r>
      <w:r w:rsidRPr="00D754E3">
        <w:rPr>
          <w:rFonts w:eastAsia="Times New Roman" w:cs="Times New Roman"/>
          <w:b/>
          <w:bCs/>
          <w:rtl/>
          <w:lang w:eastAsia="de-DE"/>
        </w:rPr>
        <w:t>לְ</w:t>
      </w:r>
      <w:r w:rsidRPr="00D754E3">
        <w:rPr>
          <w:rFonts w:eastAsia="Times New Roman" w:cs="Times New Roman"/>
          <w:lang w:eastAsia="de-DE"/>
        </w:rPr>
        <w:t xml:space="preserve">: </w:t>
      </w:r>
      <w:r w:rsidRPr="00D754E3">
        <w:rPr>
          <w:rFonts w:eastAsia="Times New Roman" w:cs="Times New Roman"/>
          <w:b/>
          <w:bCs/>
          <w:rtl/>
          <w:lang w:eastAsia="de-DE"/>
        </w:rPr>
        <w:t>לָתֵת</w:t>
      </w:r>
      <w:r w:rsidRPr="00D754E3">
        <w:rPr>
          <w:rFonts w:eastAsia="Times New Roman" w:cs="Times New Roman"/>
          <w:rtl/>
          <w:lang w:eastAsia="de-DE"/>
        </w:rPr>
        <w:t xml:space="preserve"> </w:t>
      </w:r>
      <w:r w:rsidRPr="00D754E3">
        <w:rPr>
          <w:rFonts w:eastAsia="Times New Roman" w:cs="Times New Roman"/>
          <w:lang w:eastAsia="de-DE"/>
        </w:rPr>
        <w:t xml:space="preserve">(zu geben, von </w:t>
      </w:r>
      <w:r w:rsidRPr="00D754E3">
        <w:rPr>
          <w:rFonts w:eastAsia="Times New Roman" w:cs="Times New Roman"/>
          <w:rtl/>
          <w:lang w:eastAsia="de-DE"/>
        </w:rPr>
        <w:t>נתן</w:t>
      </w:r>
      <w:r w:rsidRPr="00D754E3">
        <w:rPr>
          <w:rFonts w:eastAsia="Times New Roman" w:cs="Times New Roman"/>
          <w:lang w:eastAsia="de-DE"/>
        </w:rPr>
        <w:t xml:space="preserve">) fungiert als Objekt bzw. Inhalt des Gebots. Das direkte Objekt des Infinitivs ist </w:t>
      </w:r>
      <w:r w:rsidRPr="00D754E3">
        <w:rPr>
          <w:rFonts w:eastAsia="Times New Roman" w:cs="Times New Roman"/>
          <w:b/>
          <w:bCs/>
          <w:rtl/>
          <w:lang w:eastAsia="de-DE"/>
        </w:rPr>
        <w:t>אֶת־הָאָרֶץ</w:t>
      </w:r>
      <w:r w:rsidRPr="00D754E3">
        <w:rPr>
          <w:rFonts w:eastAsia="Times New Roman" w:cs="Times New Roman"/>
          <w:rtl/>
          <w:lang w:eastAsia="de-DE"/>
        </w:rPr>
        <w:t xml:space="preserve"> </w:t>
      </w:r>
      <w:r w:rsidRPr="00D754E3">
        <w:rPr>
          <w:rFonts w:eastAsia="Times New Roman" w:cs="Times New Roman"/>
          <w:lang w:eastAsia="de-DE"/>
        </w:rPr>
        <w:t>(das Land, feminin singular mit Artikel und Akkusativpartikel).</w:t>
      </w:r>
    </w:p>
    <w:p w14:paraId="147C2E1B"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Zwei präpositionale Phrasen spezifizieren die Art und Weise der Landverteilung: </w:t>
      </w:r>
      <w:r w:rsidRPr="00D754E3">
        <w:rPr>
          <w:rFonts w:eastAsia="Times New Roman" w:cs="Times New Roman"/>
          <w:b/>
          <w:bCs/>
          <w:rtl/>
          <w:lang w:eastAsia="de-DE"/>
        </w:rPr>
        <w:t>בְּנַחֲלָה</w:t>
      </w:r>
      <w:r w:rsidRPr="00D754E3">
        <w:rPr>
          <w:rFonts w:eastAsia="Times New Roman" w:cs="Times New Roman"/>
          <w:rtl/>
          <w:lang w:eastAsia="de-DE"/>
        </w:rPr>
        <w:t xml:space="preserve"> </w:t>
      </w:r>
      <w:r w:rsidRPr="00D754E3">
        <w:rPr>
          <w:rFonts w:eastAsia="Times New Roman" w:cs="Times New Roman"/>
          <w:lang w:eastAsia="de-DE"/>
        </w:rPr>
        <w:t xml:space="preserve">(als Erbteil, mit der Präposition </w:t>
      </w:r>
      <w:r w:rsidRPr="00D754E3">
        <w:rPr>
          <w:rFonts w:eastAsia="Times New Roman" w:cs="Times New Roman"/>
          <w:b/>
          <w:bCs/>
          <w:rtl/>
          <w:lang w:eastAsia="de-DE"/>
        </w:rPr>
        <w:t>בְּ</w:t>
      </w:r>
      <w:r w:rsidRPr="00D754E3">
        <w:rPr>
          <w:rFonts w:eastAsia="Times New Roman" w:cs="Times New Roman"/>
          <w:rtl/>
          <w:lang w:eastAsia="de-DE"/>
        </w:rPr>
        <w:t xml:space="preserve"> </w:t>
      </w:r>
      <w:r w:rsidRPr="00D754E3">
        <w:rPr>
          <w:rFonts w:eastAsia="Times New Roman" w:cs="Times New Roman"/>
          <w:lang w:eastAsia="de-DE"/>
        </w:rPr>
        <w:t xml:space="preserve">instrumentalis oder modaliter) und </w:t>
      </w:r>
      <w:r w:rsidRPr="00D754E3">
        <w:rPr>
          <w:rFonts w:eastAsia="Times New Roman" w:cs="Times New Roman"/>
          <w:b/>
          <w:bCs/>
          <w:rtl/>
          <w:lang w:eastAsia="de-DE"/>
        </w:rPr>
        <w:t>בְּגוֹרָל</w:t>
      </w:r>
      <w:r w:rsidRPr="00D754E3">
        <w:rPr>
          <w:rFonts w:eastAsia="Times New Roman" w:cs="Times New Roman"/>
          <w:rtl/>
          <w:lang w:eastAsia="de-DE"/>
        </w:rPr>
        <w:t xml:space="preserve"> </w:t>
      </w:r>
      <w:r w:rsidRPr="00D754E3">
        <w:rPr>
          <w:rFonts w:eastAsia="Times New Roman" w:cs="Times New Roman"/>
          <w:lang w:eastAsia="de-DE"/>
        </w:rPr>
        <w:t xml:space="preserve">(durch das Los, ebenfalls mit </w:t>
      </w:r>
      <w:r w:rsidRPr="00D754E3">
        <w:rPr>
          <w:rFonts w:eastAsia="Times New Roman" w:cs="Times New Roman"/>
          <w:b/>
          <w:bCs/>
          <w:rtl/>
          <w:lang w:eastAsia="de-DE"/>
        </w:rPr>
        <w:t>בְּ</w:t>
      </w:r>
      <w:r w:rsidRPr="00D754E3">
        <w:rPr>
          <w:rFonts w:eastAsia="Times New Roman" w:cs="Times New Roman"/>
          <w:lang w:eastAsia="de-DE"/>
        </w:rPr>
        <w:t xml:space="preserve">). </w:t>
      </w:r>
      <w:r w:rsidRPr="00D754E3">
        <w:rPr>
          <w:rFonts w:eastAsia="Times New Roman" w:cs="Times New Roman"/>
          <w:b/>
          <w:bCs/>
          <w:rtl/>
          <w:lang w:eastAsia="de-DE"/>
        </w:rPr>
        <w:t>נַחֲלָה</w:t>
      </w:r>
      <w:r w:rsidRPr="00D754E3">
        <w:rPr>
          <w:rFonts w:eastAsia="Times New Roman" w:cs="Times New Roman"/>
          <w:rtl/>
          <w:lang w:eastAsia="de-DE"/>
        </w:rPr>
        <w:t xml:space="preserve"> </w:t>
      </w:r>
      <w:r w:rsidRPr="00D754E3">
        <w:rPr>
          <w:rFonts w:eastAsia="Times New Roman" w:cs="Times New Roman"/>
          <w:lang w:eastAsia="de-DE"/>
        </w:rPr>
        <w:t xml:space="preserve">(Erbteil, feminin singular) und </w:t>
      </w:r>
      <w:r w:rsidRPr="00D754E3">
        <w:rPr>
          <w:rFonts w:eastAsia="Times New Roman" w:cs="Times New Roman"/>
          <w:b/>
          <w:bCs/>
          <w:rtl/>
          <w:lang w:eastAsia="de-DE"/>
        </w:rPr>
        <w:t>גוֹרָל</w:t>
      </w:r>
      <w:r w:rsidRPr="00D754E3">
        <w:rPr>
          <w:rFonts w:eastAsia="Times New Roman" w:cs="Times New Roman"/>
          <w:rtl/>
          <w:lang w:eastAsia="de-DE"/>
        </w:rPr>
        <w:t xml:space="preserve"> </w:t>
      </w:r>
      <w:r w:rsidRPr="00D754E3">
        <w:rPr>
          <w:rFonts w:eastAsia="Times New Roman" w:cs="Times New Roman"/>
          <w:lang w:eastAsia="de-DE"/>
        </w:rPr>
        <w:t xml:space="preserve">(Los, maskulin singular) sind zentrale Begriffe des israelitischen Landverteilungssystems. Die Präpositionalphrase </w:t>
      </w:r>
      <w:r w:rsidRPr="00D754E3">
        <w:rPr>
          <w:rFonts w:eastAsia="Times New Roman" w:cs="Times New Roman"/>
          <w:b/>
          <w:bCs/>
          <w:rtl/>
          <w:lang w:eastAsia="de-DE"/>
        </w:rPr>
        <w:t>לִבְנֵי יִשְׂרָאֵל</w:t>
      </w:r>
      <w:r w:rsidRPr="00D754E3">
        <w:rPr>
          <w:rFonts w:eastAsia="Times New Roman" w:cs="Times New Roman"/>
          <w:rtl/>
          <w:lang w:eastAsia="de-DE"/>
        </w:rPr>
        <w:t xml:space="preserve"> </w:t>
      </w:r>
      <w:r w:rsidRPr="00D754E3">
        <w:rPr>
          <w:rFonts w:eastAsia="Times New Roman" w:cs="Times New Roman"/>
          <w:lang w:eastAsia="de-DE"/>
        </w:rPr>
        <w:t>gibt den Empfänger an (den Söhnen Israels).</w:t>
      </w:r>
    </w:p>
    <w:p w14:paraId="7B016DA3"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Der zweite Hauptsatz beginnt mit dem Waw copulativum und </w:t>
      </w:r>
      <w:r w:rsidRPr="00D754E3">
        <w:rPr>
          <w:rFonts w:eastAsia="Times New Roman" w:cs="Times New Roman"/>
          <w:b/>
          <w:bCs/>
          <w:rtl/>
          <w:lang w:eastAsia="de-DE"/>
        </w:rPr>
        <w:t>אֲדֹנִי</w:t>
      </w:r>
      <w:r w:rsidRPr="00D754E3">
        <w:rPr>
          <w:rFonts w:eastAsia="Times New Roman" w:cs="Times New Roman"/>
          <w:rtl/>
          <w:lang w:eastAsia="de-DE"/>
        </w:rPr>
        <w:t xml:space="preserve"> </w:t>
      </w:r>
      <w:r w:rsidRPr="00D754E3">
        <w:rPr>
          <w:rFonts w:eastAsia="Times New Roman" w:cs="Times New Roman"/>
          <w:lang w:eastAsia="de-DE"/>
        </w:rPr>
        <w:t xml:space="preserve">(mein Herr) als Subjekt. Das Verb ist das Pual-Perfekt </w:t>
      </w:r>
      <w:r w:rsidRPr="00D754E3">
        <w:rPr>
          <w:rFonts w:eastAsia="Times New Roman" w:cs="Times New Roman"/>
          <w:b/>
          <w:bCs/>
          <w:rtl/>
          <w:lang w:eastAsia="de-DE"/>
        </w:rPr>
        <w:t>צֻוָּה</w:t>
      </w:r>
      <w:r w:rsidRPr="00D754E3">
        <w:rPr>
          <w:rFonts w:eastAsia="Times New Roman" w:cs="Times New Roman"/>
          <w:rtl/>
          <w:lang w:eastAsia="de-DE"/>
        </w:rPr>
        <w:t xml:space="preserve"> </w:t>
      </w:r>
      <w:r w:rsidRPr="00D754E3">
        <w:rPr>
          <w:rFonts w:eastAsia="Times New Roman" w:cs="Times New Roman"/>
          <w:lang w:eastAsia="de-DE"/>
        </w:rPr>
        <w:t xml:space="preserve">(3. Person Singular maskulin, wurde geboten), eine passive Form, die anzeigt, dass Mose der Empfänger des göttlichen Befehls ist. Die präpositionale Phrase </w:t>
      </w:r>
      <w:r w:rsidRPr="00D754E3">
        <w:rPr>
          <w:rFonts w:eastAsia="Times New Roman" w:cs="Times New Roman"/>
          <w:b/>
          <w:bCs/>
          <w:rtl/>
          <w:lang w:eastAsia="de-DE"/>
        </w:rPr>
        <w:t>בַיהוָה</w:t>
      </w:r>
      <w:r w:rsidRPr="00D754E3">
        <w:rPr>
          <w:rFonts w:eastAsia="Times New Roman" w:cs="Times New Roman"/>
          <w:rtl/>
          <w:lang w:eastAsia="de-DE"/>
        </w:rPr>
        <w:t xml:space="preserve"> </w:t>
      </w:r>
      <w:r w:rsidRPr="00D754E3">
        <w:rPr>
          <w:rFonts w:eastAsia="Times New Roman" w:cs="Times New Roman"/>
          <w:lang w:eastAsia="de-DE"/>
        </w:rPr>
        <w:t xml:space="preserve">verwendet die Präposition </w:t>
      </w:r>
      <w:r w:rsidRPr="00D754E3">
        <w:rPr>
          <w:rFonts w:eastAsia="Times New Roman" w:cs="Times New Roman"/>
          <w:b/>
          <w:bCs/>
          <w:rtl/>
          <w:lang w:eastAsia="de-DE"/>
        </w:rPr>
        <w:t>בְּ</w:t>
      </w:r>
      <w:r w:rsidRPr="00D754E3">
        <w:rPr>
          <w:rFonts w:eastAsia="Times New Roman" w:cs="Times New Roman"/>
          <w:rtl/>
          <w:lang w:eastAsia="de-DE"/>
        </w:rPr>
        <w:t xml:space="preserve"> </w:t>
      </w:r>
      <w:r w:rsidRPr="00D754E3">
        <w:rPr>
          <w:rFonts w:eastAsia="Times New Roman" w:cs="Times New Roman"/>
          <w:lang w:eastAsia="de-DE"/>
        </w:rPr>
        <w:t xml:space="preserve">(vom/durch, hier mit Artikel: </w:t>
      </w:r>
      <w:r w:rsidRPr="00D754E3">
        <w:rPr>
          <w:rFonts w:eastAsia="Times New Roman" w:cs="Times New Roman"/>
          <w:b/>
          <w:bCs/>
          <w:rtl/>
          <w:lang w:eastAsia="de-DE"/>
        </w:rPr>
        <w:t>בַּ</w:t>
      </w:r>
      <w:r w:rsidRPr="00D754E3">
        <w:rPr>
          <w:rFonts w:eastAsia="Times New Roman" w:cs="Times New Roman"/>
          <w:lang w:eastAsia="de-DE"/>
        </w:rPr>
        <w:t>) und zeigt den göttlichen Urheber des Befehls an (vom Ewigen).</w:t>
      </w:r>
    </w:p>
    <w:p w14:paraId="00D81063"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Der Infinitivus constructus </w:t>
      </w:r>
      <w:r w:rsidRPr="00D754E3">
        <w:rPr>
          <w:rFonts w:eastAsia="Times New Roman" w:cs="Times New Roman"/>
          <w:b/>
          <w:bCs/>
          <w:rtl/>
          <w:lang w:eastAsia="de-DE"/>
        </w:rPr>
        <w:t>לָתֵת</w:t>
      </w:r>
      <w:r w:rsidRPr="00D754E3">
        <w:rPr>
          <w:rFonts w:eastAsia="Times New Roman" w:cs="Times New Roman"/>
          <w:rtl/>
          <w:lang w:eastAsia="de-DE"/>
        </w:rPr>
        <w:t xml:space="preserve"> </w:t>
      </w:r>
      <w:r w:rsidRPr="00D754E3">
        <w:rPr>
          <w:rFonts w:eastAsia="Times New Roman" w:cs="Times New Roman"/>
          <w:lang w:eastAsia="de-DE"/>
        </w:rPr>
        <w:t xml:space="preserve">(zu geben) folgt wieder als Inhalt des Gebots. Das Objekt ist diesmal </w:t>
      </w:r>
      <w:r w:rsidRPr="00D754E3">
        <w:rPr>
          <w:rFonts w:eastAsia="Times New Roman" w:cs="Times New Roman"/>
          <w:b/>
          <w:bCs/>
          <w:rtl/>
          <w:lang w:eastAsia="de-DE"/>
        </w:rPr>
        <w:t>אֶת־נַחֲלַת צְלָפְחָד</w:t>
      </w:r>
      <w:r w:rsidRPr="00D754E3">
        <w:rPr>
          <w:rFonts w:eastAsia="Times New Roman" w:cs="Times New Roman"/>
          <w:rtl/>
          <w:lang w:eastAsia="de-DE"/>
        </w:rPr>
        <w:t xml:space="preserve"> </w:t>
      </w:r>
      <w:r w:rsidRPr="00D754E3">
        <w:rPr>
          <w:rFonts w:eastAsia="Times New Roman" w:cs="Times New Roman"/>
          <w:lang w:eastAsia="de-DE"/>
        </w:rPr>
        <w:t xml:space="preserve">(das Erbteil Zelophchads), wobei </w:t>
      </w:r>
      <w:r w:rsidRPr="00D754E3">
        <w:rPr>
          <w:rFonts w:eastAsia="Times New Roman" w:cs="Times New Roman"/>
          <w:b/>
          <w:bCs/>
          <w:rtl/>
          <w:lang w:eastAsia="de-DE"/>
        </w:rPr>
        <w:t>נַחֲלַת</w:t>
      </w:r>
      <w:r w:rsidRPr="00D754E3">
        <w:rPr>
          <w:rFonts w:eastAsia="Times New Roman" w:cs="Times New Roman"/>
          <w:rtl/>
          <w:lang w:eastAsia="de-DE"/>
        </w:rPr>
        <w:t xml:space="preserve"> </w:t>
      </w:r>
      <w:r w:rsidRPr="00D754E3">
        <w:rPr>
          <w:rFonts w:eastAsia="Times New Roman" w:cs="Times New Roman"/>
          <w:lang w:eastAsia="de-DE"/>
        </w:rPr>
        <w:t xml:space="preserve">im constructus steht und eine Genitivverbindung mit dem Eigennamen </w:t>
      </w:r>
      <w:r w:rsidRPr="00D754E3">
        <w:rPr>
          <w:rFonts w:eastAsia="Times New Roman" w:cs="Times New Roman"/>
          <w:b/>
          <w:bCs/>
          <w:rtl/>
          <w:lang w:eastAsia="de-DE"/>
        </w:rPr>
        <w:t>צְלָפְחָד</w:t>
      </w:r>
      <w:r w:rsidRPr="00D754E3">
        <w:rPr>
          <w:rFonts w:eastAsia="Times New Roman" w:cs="Times New Roman"/>
          <w:rtl/>
          <w:lang w:eastAsia="de-DE"/>
        </w:rPr>
        <w:t xml:space="preserve"> </w:t>
      </w:r>
      <w:r w:rsidRPr="00D754E3">
        <w:rPr>
          <w:rFonts w:eastAsia="Times New Roman" w:cs="Times New Roman"/>
          <w:lang w:eastAsia="de-DE"/>
        </w:rPr>
        <w:t xml:space="preserve">bildet. Die Apposition </w:t>
      </w:r>
      <w:r w:rsidRPr="00D754E3">
        <w:rPr>
          <w:rFonts w:eastAsia="Times New Roman" w:cs="Times New Roman"/>
          <w:b/>
          <w:bCs/>
          <w:rtl/>
          <w:lang w:eastAsia="de-DE"/>
        </w:rPr>
        <w:t>אָחִינוּ</w:t>
      </w:r>
      <w:r w:rsidRPr="00D754E3">
        <w:rPr>
          <w:rFonts w:eastAsia="Times New Roman" w:cs="Times New Roman"/>
          <w:rtl/>
          <w:lang w:eastAsia="de-DE"/>
        </w:rPr>
        <w:t xml:space="preserve"> </w:t>
      </w:r>
      <w:r w:rsidRPr="00D754E3">
        <w:rPr>
          <w:rFonts w:eastAsia="Times New Roman" w:cs="Times New Roman"/>
          <w:lang w:eastAsia="de-DE"/>
        </w:rPr>
        <w:t xml:space="preserve">(unser Bruder, maskulin singular mit Suffix 1. Person Plural) zeigt die Solidarität und Verwandtschaft an. Der Empfänger wird durch </w:t>
      </w:r>
      <w:r w:rsidRPr="00D754E3">
        <w:rPr>
          <w:rFonts w:eastAsia="Times New Roman" w:cs="Times New Roman"/>
          <w:b/>
          <w:bCs/>
          <w:rtl/>
          <w:lang w:eastAsia="de-DE"/>
        </w:rPr>
        <w:t>לִבְנֹתָיו</w:t>
      </w:r>
      <w:r w:rsidRPr="00D754E3">
        <w:rPr>
          <w:rFonts w:eastAsia="Times New Roman" w:cs="Times New Roman"/>
          <w:rtl/>
          <w:lang w:eastAsia="de-DE"/>
        </w:rPr>
        <w:t xml:space="preserve"> </w:t>
      </w:r>
      <w:r w:rsidRPr="00D754E3">
        <w:rPr>
          <w:rFonts w:eastAsia="Times New Roman" w:cs="Times New Roman"/>
          <w:lang w:eastAsia="de-DE"/>
        </w:rPr>
        <w:t>(seinen Töchtern, feminin Plural mit Suffix 3. Person Singular maskulin) angegeben.</w:t>
      </w:r>
    </w:p>
    <w:p w14:paraId="7BF95757" w14:textId="2DF3B6F0"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Die LXX</w:t>
      </w:r>
      <w:r w:rsidRPr="00D754E3">
        <w:rPr>
          <w:rFonts w:eastAsia="Times New Roman" w:cs="Times New Roman"/>
          <w:lang w:eastAsia="de-DE"/>
        </w:rPr>
        <w:t xml:space="preserve"> </w:t>
      </w:r>
      <w:r w:rsidR="00A22CB7">
        <w:t>übersetzt „</w:t>
      </w:r>
      <w:r w:rsidR="00A22CB7" w:rsidRPr="00A22CB7">
        <w:rPr>
          <w:b/>
          <w:bCs/>
          <w:rtl/>
        </w:rPr>
        <w:t>וַאדֹנִי צֻוָּה בַיהוָה</w:t>
      </w:r>
      <w:r w:rsidR="00A22CB7">
        <w:t xml:space="preserve">" (und mein Herr wurde vom </w:t>
      </w:r>
      <w:r w:rsidR="00095BF0">
        <w:t>Ewigen</w:t>
      </w:r>
      <w:r w:rsidR="00A22CB7">
        <w:t xml:space="preserve"> befohlen) mit „καὶ τῷ κυρίῳ συνέταξεν κύριος" (und dem Herrn befahl der Herr), was etwas anders formuliert ist.</w:t>
      </w:r>
    </w:p>
    <w:p w14:paraId="27989959"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Die Satzstruktur besteht aus einem einleitenden Redeverbum (</w:t>
      </w:r>
      <w:r w:rsidRPr="00D754E3">
        <w:rPr>
          <w:rFonts w:eastAsia="Times New Roman" w:cs="Times New Roman"/>
          <w:b/>
          <w:bCs/>
          <w:rtl/>
          <w:lang w:eastAsia="de-DE"/>
        </w:rPr>
        <w:t>וַיֹּאמְרוּ</w:t>
      </w:r>
      <w:r w:rsidRPr="00D754E3">
        <w:rPr>
          <w:rFonts w:eastAsia="Times New Roman" w:cs="Times New Roman"/>
          <w:lang w:eastAsia="de-DE"/>
        </w:rPr>
        <w:t>) gefolgt von zwei koordinierten Hauptsätzen in direkter Rede, die durch Waw verbunden sind. Beide Hauptsätze haben die Struktur: Subjekt + Perfektverb (aktiv bzw. passiv) + Infinitivkonstruktion mit Objekten und präpositionalen Ergänzungen. Es gibt keine Nebensätze; die Infinitivkonstruktionen fungieren als Objektsätze.</w:t>
      </w:r>
    </w:p>
    <w:p w14:paraId="243FAA33"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lastRenderedPageBreak/>
        <w:t>Der Vers präsentiert die rechtliche Grundlage für die folgende Petition: Die Sprecher erinnern an zwei göttliche Gebote – die allgemeine Landverteilung an Israel und die spezielle Regelung für Zelophchads Töchter – und bereiten damit die Problematik vor, die sich aus der Kombination beider Gebote ergeben könnte.</w:t>
      </w:r>
    </w:p>
    <w:p w14:paraId="39712937" w14:textId="77777777" w:rsidR="00D754E3" w:rsidRPr="00D754E3" w:rsidRDefault="00D754E3" w:rsidP="00D754E3">
      <w:pPr>
        <w:spacing w:before="100" w:beforeAutospacing="1" w:after="100" w:afterAutospacing="1" w:line="240" w:lineRule="auto"/>
        <w:outlineLvl w:val="0"/>
        <w:rPr>
          <w:rFonts w:eastAsia="Times New Roman" w:cs="Times New Roman"/>
          <w:b/>
          <w:bCs/>
          <w:kern w:val="36"/>
          <w:sz w:val="48"/>
          <w:szCs w:val="48"/>
          <w:lang w:eastAsia="de-DE"/>
        </w:rPr>
      </w:pPr>
      <w:r w:rsidRPr="00D754E3">
        <w:rPr>
          <w:rFonts w:eastAsia="Times New Roman" w:cs="Times New Roman"/>
          <w:b/>
          <w:bCs/>
          <w:kern w:val="36"/>
          <w:sz w:val="48"/>
          <w:szCs w:val="48"/>
          <w:lang w:eastAsia="de-DE"/>
        </w:rPr>
        <w:t>Numeri 36,3</w:t>
      </w:r>
    </w:p>
    <w:p w14:paraId="4546EFC8" w14:textId="7FAFE7A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Hebräisch:</w:t>
      </w:r>
      <w:r w:rsidRPr="00D754E3">
        <w:rPr>
          <w:rFonts w:eastAsia="Times New Roman" w:cs="Times New Roman"/>
          <w:rtl/>
          <w:lang w:eastAsia="de-DE"/>
        </w:rPr>
        <w:t xml:space="preserve"> וְ֠הָיוּ לְאֶחָ֞ד מִבְּנֵ֨י שִׁבְטֵ֥י בְנֵֽי־יִשְׂרָאֵל֮ לְנָשִׁים֒ וְנִגְרְעָ֤ה נַחֲלָתָן֙ מִנַּחֲלַ֣ת אֲבֹתֵ֔ינוּ וְנוֹסַ֕ף עַ֚ל נַחֲלַ֣ת הַמַּטֶּ֔ה אֲשֶׁ֥ר תִּהְיֶ֖ינָה לָהֶ֑ם וּמִגֹּרַ֥ל נַחֲלָתֵ֖נוּ יִגָּרֵֽעַ׃</w:t>
      </w:r>
    </w:p>
    <w:p w14:paraId="6A0A1EC7" w14:textId="1A56FDC9"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Deutsch:</w:t>
      </w:r>
      <w:r w:rsidRPr="00D754E3">
        <w:rPr>
          <w:rFonts w:eastAsia="Times New Roman" w:cs="Times New Roman"/>
          <w:lang w:eastAsia="de-DE"/>
        </w:rPr>
        <w:t xml:space="preserve"> Werden sie nun einem von den Söhnen der Stämme der Söhne Jisra'el zu Frauen, so wird ihr Erbteil dem Erbteil unserer Väter entzogen und zu dem Erbteil des Stammes hinzugefügt werden, dem sie sein werden; und von dem Los unseres Erbteils wird es entzogen werden.</w:t>
      </w:r>
    </w:p>
    <w:p w14:paraId="70EED1EF" w14:textId="77777777" w:rsidR="00D754E3" w:rsidRPr="00D754E3" w:rsidRDefault="00F329DD" w:rsidP="00D754E3">
      <w:pPr>
        <w:spacing w:after="0" w:line="240" w:lineRule="auto"/>
        <w:rPr>
          <w:rFonts w:eastAsia="Times New Roman" w:cs="Times New Roman"/>
          <w:lang w:eastAsia="de-DE"/>
        </w:rPr>
      </w:pPr>
      <w:r>
        <w:rPr>
          <w:rFonts w:eastAsia="Times New Roman" w:cs="Times New Roman"/>
          <w:noProof/>
          <w:lang w:eastAsia="de-DE"/>
        </w:rPr>
        <w:pict w14:anchorId="0310C22F">
          <v:rect id="_x0000_i2095" style="width:0;height:1.5pt" o:hralign="center" o:hrstd="t" o:hr="t" fillcolor="#a0a0a0" stroked="f"/>
        </w:pict>
      </w:r>
    </w:p>
    <w:p w14:paraId="262BBDE1" w14:textId="02CC9C53"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Kommentar:</w:t>
      </w:r>
      <w:r>
        <w:rPr>
          <w:rFonts w:eastAsia="Times New Roman" w:cs="Times New Roman"/>
          <w:lang w:eastAsia="de-DE"/>
        </w:rPr>
        <w:t xml:space="preserve"> </w:t>
      </w:r>
      <w:r w:rsidRPr="00D754E3">
        <w:rPr>
          <w:rFonts w:eastAsia="Times New Roman" w:cs="Times New Roman"/>
          <w:lang w:eastAsia="de-DE"/>
        </w:rPr>
        <w:t xml:space="preserve">Der Vers beginnt mit dem Waw copulativum und dem Perfekt consecutivum </w:t>
      </w:r>
      <w:r w:rsidRPr="00D754E3">
        <w:rPr>
          <w:rFonts w:eastAsia="Times New Roman" w:cs="Times New Roman"/>
          <w:b/>
          <w:bCs/>
          <w:rtl/>
          <w:lang w:eastAsia="de-DE"/>
        </w:rPr>
        <w:t>וְהָיוּ</w:t>
      </w:r>
      <w:r w:rsidRPr="00D754E3">
        <w:rPr>
          <w:rFonts w:eastAsia="Times New Roman" w:cs="Times New Roman"/>
          <w:rtl/>
          <w:lang w:eastAsia="de-DE"/>
        </w:rPr>
        <w:t xml:space="preserve"> </w:t>
      </w:r>
      <w:r w:rsidRPr="00D754E3">
        <w:rPr>
          <w:rFonts w:eastAsia="Times New Roman" w:cs="Times New Roman"/>
          <w:lang w:eastAsia="de-DE"/>
        </w:rPr>
        <w:t xml:space="preserve">(3. Person Plural maskulin von </w:t>
      </w:r>
      <w:r w:rsidRPr="00D754E3">
        <w:rPr>
          <w:rFonts w:eastAsia="Times New Roman" w:cs="Times New Roman"/>
          <w:rtl/>
          <w:lang w:eastAsia="de-DE"/>
        </w:rPr>
        <w:t>היה</w:t>
      </w:r>
      <w:r w:rsidRPr="00D754E3">
        <w:rPr>
          <w:rFonts w:eastAsia="Times New Roman" w:cs="Times New Roman"/>
          <w:lang w:eastAsia="de-DE"/>
        </w:rPr>
        <w:t xml:space="preserve">, sein/werden), das hier eine hypothetische bzw. konditionale Bedeutung hat und eine zukünftige Möglichkeit ausdrückt. Das Subjekt ist implizit die Töchter Zelophchads aus dem vorherigen Vers. Die präpositionale Phrase </w:t>
      </w:r>
      <w:r w:rsidRPr="00D754E3">
        <w:rPr>
          <w:rFonts w:eastAsia="Times New Roman" w:cs="Times New Roman"/>
          <w:b/>
          <w:bCs/>
          <w:rtl/>
          <w:lang w:eastAsia="de-DE"/>
        </w:rPr>
        <w:t>לְאֶחָד</w:t>
      </w:r>
      <w:r w:rsidRPr="00D754E3">
        <w:rPr>
          <w:rFonts w:eastAsia="Times New Roman" w:cs="Times New Roman"/>
          <w:rtl/>
          <w:lang w:eastAsia="de-DE"/>
        </w:rPr>
        <w:t xml:space="preserve"> </w:t>
      </w:r>
      <w:r w:rsidRPr="00D754E3">
        <w:rPr>
          <w:rFonts w:eastAsia="Times New Roman" w:cs="Times New Roman"/>
          <w:lang w:eastAsia="de-DE"/>
        </w:rPr>
        <w:t xml:space="preserve">(für einen, zu einem) mit </w:t>
      </w:r>
      <w:r w:rsidRPr="00D754E3">
        <w:rPr>
          <w:rFonts w:eastAsia="Times New Roman" w:cs="Times New Roman"/>
          <w:b/>
          <w:bCs/>
          <w:rtl/>
          <w:lang w:eastAsia="de-DE"/>
        </w:rPr>
        <w:t>אֶחָד</w:t>
      </w:r>
      <w:r w:rsidRPr="00D754E3">
        <w:rPr>
          <w:rFonts w:eastAsia="Times New Roman" w:cs="Times New Roman"/>
          <w:rtl/>
          <w:lang w:eastAsia="de-DE"/>
        </w:rPr>
        <w:t xml:space="preserve"> </w:t>
      </w:r>
      <w:r w:rsidRPr="00D754E3">
        <w:rPr>
          <w:rFonts w:eastAsia="Times New Roman" w:cs="Times New Roman"/>
          <w:lang w:eastAsia="de-DE"/>
        </w:rPr>
        <w:t>als indefinitem Pronomen (einer) führt die Bedingung ein.</w:t>
      </w:r>
    </w:p>
    <w:p w14:paraId="77203002"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weitere Spezifizierung erfolgt durch </w:t>
      </w:r>
      <w:r w:rsidRPr="00D754E3">
        <w:rPr>
          <w:rFonts w:eastAsia="Times New Roman" w:cs="Times New Roman"/>
          <w:b/>
          <w:bCs/>
          <w:rtl/>
          <w:lang w:eastAsia="de-DE"/>
        </w:rPr>
        <w:t>מִבְּנֵי שִׁבְטֵי בְנֵי־יִשְׂרָאֵל</w:t>
      </w:r>
      <w:r w:rsidRPr="00D754E3">
        <w:rPr>
          <w:rFonts w:eastAsia="Times New Roman" w:cs="Times New Roman"/>
          <w:rtl/>
          <w:lang w:eastAsia="de-DE"/>
        </w:rPr>
        <w:t xml:space="preserve"> </w:t>
      </w:r>
      <w:r w:rsidRPr="00D754E3">
        <w:rPr>
          <w:rFonts w:eastAsia="Times New Roman" w:cs="Times New Roman"/>
          <w:lang w:eastAsia="de-DE"/>
        </w:rPr>
        <w:t xml:space="preserve">(von den Söhnen der Stämme der Söhne Israels), eine komplexe Genitivkette mit der Präposition </w:t>
      </w:r>
      <w:r w:rsidRPr="00D754E3">
        <w:rPr>
          <w:rFonts w:eastAsia="Times New Roman" w:cs="Times New Roman"/>
          <w:b/>
          <w:bCs/>
          <w:rtl/>
          <w:lang w:eastAsia="de-DE"/>
        </w:rPr>
        <w:t>מִן</w:t>
      </w:r>
      <w:r w:rsidRPr="00D754E3">
        <w:rPr>
          <w:rFonts w:eastAsia="Times New Roman" w:cs="Times New Roman"/>
          <w:rtl/>
          <w:lang w:eastAsia="de-DE"/>
        </w:rPr>
        <w:t xml:space="preserve"> </w:t>
      </w:r>
      <w:r w:rsidRPr="00D754E3">
        <w:rPr>
          <w:rFonts w:eastAsia="Times New Roman" w:cs="Times New Roman"/>
          <w:lang w:eastAsia="de-DE"/>
        </w:rPr>
        <w:t xml:space="preserve">(von, aus). </w:t>
      </w:r>
      <w:r w:rsidRPr="00D754E3">
        <w:rPr>
          <w:rFonts w:eastAsia="Times New Roman" w:cs="Times New Roman"/>
          <w:b/>
          <w:bCs/>
          <w:rtl/>
          <w:lang w:eastAsia="de-DE"/>
        </w:rPr>
        <w:t>בְּנֵי</w:t>
      </w:r>
      <w:r w:rsidRPr="00D754E3">
        <w:rPr>
          <w:rFonts w:eastAsia="Times New Roman" w:cs="Times New Roman"/>
          <w:rtl/>
          <w:lang w:eastAsia="de-DE"/>
        </w:rPr>
        <w:t xml:space="preserve"> </w:t>
      </w:r>
      <w:r w:rsidRPr="00D754E3">
        <w:rPr>
          <w:rFonts w:eastAsia="Times New Roman" w:cs="Times New Roman"/>
          <w:lang w:eastAsia="de-DE"/>
        </w:rPr>
        <w:t xml:space="preserve">steht zweimal im constructus, und </w:t>
      </w:r>
      <w:r w:rsidRPr="00D754E3">
        <w:rPr>
          <w:rFonts w:eastAsia="Times New Roman" w:cs="Times New Roman"/>
          <w:b/>
          <w:bCs/>
          <w:rtl/>
          <w:lang w:eastAsia="de-DE"/>
        </w:rPr>
        <w:t>שִׁבְטֵי</w:t>
      </w:r>
      <w:r w:rsidRPr="00D754E3">
        <w:rPr>
          <w:rFonts w:eastAsia="Times New Roman" w:cs="Times New Roman"/>
          <w:rtl/>
          <w:lang w:eastAsia="de-DE"/>
        </w:rPr>
        <w:t xml:space="preserve"> </w:t>
      </w:r>
      <w:r w:rsidRPr="00D754E3">
        <w:rPr>
          <w:rFonts w:eastAsia="Times New Roman" w:cs="Times New Roman"/>
          <w:lang w:eastAsia="de-DE"/>
        </w:rPr>
        <w:t xml:space="preserve">(Stämme, maskulin Plural constructus) ist dazwischengeschaltet, wodurch eine dreifache hierarchische Abstufung entsteht: Söhne → Stämme → Söhne Israels. Das prädikative </w:t>
      </w:r>
      <w:r w:rsidRPr="00D754E3">
        <w:rPr>
          <w:rFonts w:eastAsia="Times New Roman" w:cs="Times New Roman"/>
          <w:b/>
          <w:bCs/>
          <w:rtl/>
          <w:lang w:eastAsia="de-DE"/>
        </w:rPr>
        <w:t>לְנָשִׁים</w:t>
      </w:r>
      <w:r w:rsidRPr="00D754E3">
        <w:rPr>
          <w:rFonts w:eastAsia="Times New Roman" w:cs="Times New Roman"/>
          <w:rtl/>
          <w:lang w:eastAsia="de-DE"/>
        </w:rPr>
        <w:t xml:space="preserve"> </w:t>
      </w:r>
      <w:r w:rsidRPr="00D754E3">
        <w:rPr>
          <w:rFonts w:eastAsia="Times New Roman" w:cs="Times New Roman"/>
          <w:lang w:eastAsia="de-DE"/>
        </w:rPr>
        <w:t xml:space="preserve">(zu Frauen, feminin Plural von </w:t>
      </w:r>
      <w:r w:rsidRPr="00D754E3">
        <w:rPr>
          <w:rFonts w:eastAsia="Times New Roman" w:cs="Times New Roman"/>
          <w:rtl/>
          <w:lang w:eastAsia="de-DE"/>
        </w:rPr>
        <w:t>אִשָּׁה</w:t>
      </w:r>
      <w:r w:rsidRPr="00D754E3">
        <w:rPr>
          <w:rFonts w:eastAsia="Times New Roman" w:cs="Times New Roman"/>
          <w:lang w:eastAsia="de-DE"/>
        </w:rPr>
        <w:t xml:space="preserve"> mit Präposition </w:t>
      </w:r>
      <w:r w:rsidRPr="00D754E3">
        <w:rPr>
          <w:rFonts w:eastAsia="Times New Roman" w:cs="Times New Roman"/>
          <w:b/>
          <w:bCs/>
          <w:rtl/>
          <w:lang w:eastAsia="de-DE"/>
        </w:rPr>
        <w:t>לְ</w:t>
      </w:r>
      <w:r w:rsidRPr="00D754E3">
        <w:rPr>
          <w:rFonts w:eastAsia="Times New Roman" w:cs="Times New Roman"/>
          <w:lang w:eastAsia="de-DE"/>
        </w:rPr>
        <w:t>) beschreibt den Heiratsstatus.</w:t>
      </w:r>
    </w:p>
    <w:p w14:paraId="28DEC3AD"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zweite Verb ist das Waw-Konsekutiv-Perfekt </w:t>
      </w:r>
      <w:r w:rsidRPr="00D754E3">
        <w:rPr>
          <w:rFonts w:eastAsia="Times New Roman" w:cs="Times New Roman"/>
          <w:b/>
          <w:bCs/>
          <w:rtl/>
          <w:lang w:eastAsia="de-DE"/>
        </w:rPr>
        <w:t>וְנִגְרְעָה</w:t>
      </w:r>
      <w:r w:rsidRPr="00D754E3">
        <w:rPr>
          <w:rFonts w:eastAsia="Times New Roman" w:cs="Times New Roman"/>
          <w:rtl/>
          <w:lang w:eastAsia="de-DE"/>
        </w:rPr>
        <w:t xml:space="preserve"> </w:t>
      </w:r>
      <w:r w:rsidRPr="00D754E3">
        <w:rPr>
          <w:rFonts w:eastAsia="Times New Roman" w:cs="Times New Roman"/>
          <w:lang w:eastAsia="de-DE"/>
        </w:rPr>
        <w:t xml:space="preserve">(3. Person Singular feminin Nifal von </w:t>
      </w:r>
      <w:r w:rsidRPr="00D754E3">
        <w:rPr>
          <w:rFonts w:eastAsia="Times New Roman" w:cs="Times New Roman"/>
          <w:rtl/>
          <w:lang w:eastAsia="de-DE"/>
        </w:rPr>
        <w:t>גרע</w:t>
      </w:r>
      <w:r w:rsidRPr="00D754E3">
        <w:rPr>
          <w:rFonts w:eastAsia="Times New Roman" w:cs="Times New Roman"/>
          <w:lang w:eastAsia="de-DE"/>
        </w:rPr>
        <w:t xml:space="preserve">, entzogen werden/subtrahiert werden), das die Konsequenz der Bedingung ausdrückt. Das Subjekt ist </w:t>
      </w:r>
      <w:r w:rsidRPr="00D754E3">
        <w:rPr>
          <w:rFonts w:eastAsia="Times New Roman" w:cs="Times New Roman"/>
          <w:b/>
          <w:bCs/>
          <w:rtl/>
          <w:lang w:eastAsia="de-DE"/>
        </w:rPr>
        <w:t>נַחֲלָתָן</w:t>
      </w:r>
      <w:r w:rsidRPr="00D754E3">
        <w:rPr>
          <w:rFonts w:eastAsia="Times New Roman" w:cs="Times New Roman"/>
          <w:rtl/>
          <w:lang w:eastAsia="de-DE"/>
        </w:rPr>
        <w:t xml:space="preserve"> </w:t>
      </w:r>
      <w:r w:rsidRPr="00D754E3">
        <w:rPr>
          <w:rFonts w:eastAsia="Times New Roman" w:cs="Times New Roman"/>
          <w:lang w:eastAsia="de-DE"/>
        </w:rPr>
        <w:t xml:space="preserve">(ihr Erbteil, feminin singular constructus mit Suffix 3. Person Plural feminin). Die präpositionale Phrase </w:t>
      </w:r>
      <w:r w:rsidRPr="00D754E3">
        <w:rPr>
          <w:rFonts w:eastAsia="Times New Roman" w:cs="Times New Roman"/>
          <w:b/>
          <w:bCs/>
          <w:rtl/>
          <w:lang w:eastAsia="de-DE"/>
        </w:rPr>
        <w:t>מִנַּחֲלַת אֲבֹתֵינוּ</w:t>
      </w:r>
      <w:r w:rsidRPr="00D754E3">
        <w:rPr>
          <w:rFonts w:eastAsia="Times New Roman" w:cs="Times New Roman"/>
          <w:rtl/>
          <w:lang w:eastAsia="de-DE"/>
        </w:rPr>
        <w:t xml:space="preserve"> </w:t>
      </w:r>
      <w:r w:rsidRPr="00D754E3">
        <w:rPr>
          <w:rFonts w:eastAsia="Times New Roman" w:cs="Times New Roman"/>
          <w:lang w:eastAsia="de-DE"/>
        </w:rPr>
        <w:t xml:space="preserve">(vom Erbteil unserer Väter) mit der Präposition </w:t>
      </w:r>
      <w:r w:rsidRPr="00D754E3">
        <w:rPr>
          <w:rFonts w:eastAsia="Times New Roman" w:cs="Times New Roman"/>
          <w:b/>
          <w:bCs/>
          <w:rtl/>
          <w:lang w:eastAsia="de-DE"/>
        </w:rPr>
        <w:t>מִן</w:t>
      </w:r>
      <w:r w:rsidRPr="00D754E3">
        <w:rPr>
          <w:rFonts w:eastAsia="Times New Roman" w:cs="Times New Roman"/>
          <w:rtl/>
          <w:lang w:eastAsia="de-DE"/>
        </w:rPr>
        <w:t xml:space="preserve"> </w:t>
      </w:r>
      <w:r w:rsidRPr="00D754E3">
        <w:rPr>
          <w:rFonts w:eastAsia="Times New Roman" w:cs="Times New Roman"/>
          <w:lang w:eastAsia="de-DE"/>
        </w:rPr>
        <w:t xml:space="preserve">(von, weg von) zeigt die Herkunft dessen, was entzogen wird. </w:t>
      </w:r>
      <w:r w:rsidRPr="00D754E3">
        <w:rPr>
          <w:rFonts w:eastAsia="Times New Roman" w:cs="Times New Roman"/>
          <w:b/>
          <w:bCs/>
          <w:rtl/>
          <w:lang w:eastAsia="de-DE"/>
        </w:rPr>
        <w:t>נַחֲלַת</w:t>
      </w:r>
      <w:r w:rsidRPr="00D754E3">
        <w:rPr>
          <w:rFonts w:eastAsia="Times New Roman" w:cs="Times New Roman"/>
          <w:rtl/>
          <w:lang w:eastAsia="de-DE"/>
        </w:rPr>
        <w:t xml:space="preserve"> </w:t>
      </w:r>
      <w:r w:rsidRPr="00D754E3">
        <w:rPr>
          <w:rFonts w:eastAsia="Times New Roman" w:cs="Times New Roman"/>
          <w:lang w:eastAsia="de-DE"/>
        </w:rPr>
        <w:t xml:space="preserve">steht im constructus mit </w:t>
      </w:r>
      <w:r w:rsidRPr="00D754E3">
        <w:rPr>
          <w:rFonts w:eastAsia="Times New Roman" w:cs="Times New Roman"/>
          <w:b/>
          <w:bCs/>
          <w:rtl/>
          <w:lang w:eastAsia="de-DE"/>
        </w:rPr>
        <w:t>אֲבֹתֵינוּ</w:t>
      </w:r>
      <w:r w:rsidRPr="00D754E3">
        <w:rPr>
          <w:rFonts w:eastAsia="Times New Roman" w:cs="Times New Roman"/>
          <w:rtl/>
          <w:lang w:eastAsia="de-DE"/>
        </w:rPr>
        <w:t xml:space="preserve"> </w:t>
      </w:r>
      <w:r w:rsidRPr="00D754E3">
        <w:rPr>
          <w:rFonts w:eastAsia="Times New Roman" w:cs="Times New Roman"/>
          <w:lang w:eastAsia="de-DE"/>
        </w:rPr>
        <w:t>(unsere Väter, Plural mit Suffix 1. Person Plural).</w:t>
      </w:r>
    </w:p>
    <w:p w14:paraId="05057C93"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dritte Verb ist das Waw-Konsekutiv-Perfekt </w:t>
      </w:r>
      <w:r w:rsidRPr="00D754E3">
        <w:rPr>
          <w:rFonts w:eastAsia="Times New Roman" w:cs="Times New Roman"/>
          <w:b/>
          <w:bCs/>
          <w:rtl/>
          <w:lang w:eastAsia="de-DE"/>
        </w:rPr>
        <w:t>וְנוֹסַף</w:t>
      </w:r>
      <w:r w:rsidRPr="00D754E3">
        <w:rPr>
          <w:rFonts w:eastAsia="Times New Roman" w:cs="Times New Roman"/>
          <w:rtl/>
          <w:lang w:eastAsia="de-DE"/>
        </w:rPr>
        <w:t xml:space="preserve"> </w:t>
      </w:r>
      <w:r w:rsidRPr="00D754E3">
        <w:rPr>
          <w:rFonts w:eastAsia="Times New Roman" w:cs="Times New Roman"/>
          <w:lang w:eastAsia="de-DE"/>
        </w:rPr>
        <w:t xml:space="preserve">(3. Person Singular maskulin Nifal von </w:t>
      </w:r>
      <w:r w:rsidRPr="00D754E3">
        <w:rPr>
          <w:rFonts w:eastAsia="Times New Roman" w:cs="Times New Roman"/>
          <w:rtl/>
          <w:lang w:eastAsia="de-DE"/>
        </w:rPr>
        <w:t>יסף</w:t>
      </w:r>
      <w:r w:rsidRPr="00D754E3">
        <w:rPr>
          <w:rFonts w:eastAsia="Times New Roman" w:cs="Times New Roman"/>
          <w:lang w:eastAsia="de-DE"/>
        </w:rPr>
        <w:t xml:space="preserve">, hinzugefügt werden), wobei das Subjekt durch Nullanaphora auf </w:t>
      </w:r>
      <w:r w:rsidRPr="00D754E3">
        <w:rPr>
          <w:rFonts w:eastAsia="Times New Roman" w:cs="Times New Roman"/>
          <w:b/>
          <w:bCs/>
          <w:rtl/>
          <w:lang w:eastAsia="de-DE"/>
        </w:rPr>
        <w:t>נַחֲלָתָן</w:t>
      </w:r>
      <w:r w:rsidRPr="00D754E3">
        <w:rPr>
          <w:rFonts w:eastAsia="Times New Roman" w:cs="Times New Roman"/>
          <w:rtl/>
          <w:lang w:eastAsia="de-DE"/>
        </w:rPr>
        <w:t xml:space="preserve"> </w:t>
      </w:r>
      <w:r w:rsidRPr="00D754E3">
        <w:rPr>
          <w:rFonts w:eastAsia="Times New Roman" w:cs="Times New Roman"/>
          <w:lang w:eastAsia="de-DE"/>
        </w:rPr>
        <w:t xml:space="preserve">zurückverweist. Die präpositionale Phrase </w:t>
      </w:r>
      <w:r w:rsidRPr="00D754E3">
        <w:rPr>
          <w:rFonts w:eastAsia="Times New Roman" w:cs="Times New Roman"/>
          <w:b/>
          <w:bCs/>
          <w:rtl/>
          <w:lang w:eastAsia="de-DE"/>
        </w:rPr>
        <w:t>עַל נַחֲלַת הַמַּטֶּה</w:t>
      </w:r>
      <w:r w:rsidRPr="00D754E3">
        <w:rPr>
          <w:rFonts w:eastAsia="Times New Roman" w:cs="Times New Roman"/>
          <w:rtl/>
          <w:lang w:eastAsia="de-DE"/>
        </w:rPr>
        <w:t xml:space="preserve"> </w:t>
      </w:r>
      <w:r w:rsidRPr="00D754E3">
        <w:rPr>
          <w:rFonts w:eastAsia="Times New Roman" w:cs="Times New Roman"/>
          <w:lang w:eastAsia="de-DE"/>
        </w:rPr>
        <w:t xml:space="preserve">(zu dem Erbteil des Stammes) mit der Präposition </w:t>
      </w:r>
      <w:r w:rsidRPr="00D754E3">
        <w:rPr>
          <w:rFonts w:eastAsia="Times New Roman" w:cs="Times New Roman"/>
          <w:b/>
          <w:bCs/>
          <w:rtl/>
          <w:lang w:eastAsia="de-DE"/>
        </w:rPr>
        <w:t>עַל</w:t>
      </w:r>
      <w:r w:rsidRPr="00D754E3">
        <w:rPr>
          <w:rFonts w:eastAsia="Times New Roman" w:cs="Times New Roman"/>
          <w:rtl/>
          <w:lang w:eastAsia="de-DE"/>
        </w:rPr>
        <w:t xml:space="preserve"> </w:t>
      </w:r>
      <w:r w:rsidRPr="00D754E3">
        <w:rPr>
          <w:rFonts w:eastAsia="Times New Roman" w:cs="Times New Roman"/>
          <w:lang w:eastAsia="de-DE"/>
        </w:rPr>
        <w:t xml:space="preserve">(auf, zu) zeigt an, wozu hinzugefügt wird. </w:t>
      </w:r>
      <w:r w:rsidRPr="00D754E3">
        <w:rPr>
          <w:rFonts w:eastAsia="Times New Roman" w:cs="Times New Roman"/>
          <w:b/>
          <w:bCs/>
          <w:rtl/>
          <w:lang w:eastAsia="de-DE"/>
        </w:rPr>
        <w:t>הַמַּטֶּה</w:t>
      </w:r>
      <w:r w:rsidRPr="00D754E3">
        <w:rPr>
          <w:rFonts w:eastAsia="Times New Roman" w:cs="Times New Roman"/>
          <w:rtl/>
          <w:lang w:eastAsia="de-DE"/>
        </w:rPr>
        <w:t xml:space="preserve"> </w:t>
      </w:r>
      <w:r w:rsidRPr="00D754E3">
        <w:rPr>
          <w:rFonts w:eastAsia="Times New Roman" w:cs="Times New Roman"/>
          <w:lang w:eastAsia="de-DE"/>
        </w:rPr>
        <w:t xml:space="preserve">(der Stamm, maskulin singular mit Artikel) wird durch den Relativsatz </w:t>
      </w:r>
      <w:r w:rsidRPr="00D754E3">
        <w:rPr>
          <w:rFonts w:eastAsia="Times New Roman" w:cs="Times New Roman"/>
          <w:b/>
          <w:bCs/>
          <w:rtl/>
          <w:lang w:eastAsia="de-DE"/>
        </w:rPr>
        <w:t>אֲשֶׁר תִּהְיֶ֖ינָה לָהֶ֑ם</w:t>
      </w:r>
      <w:r w:rsidRPr="00D754E3">
        <w:rPr>
          <w:rFonts w:eastAsia="Times New Roman" w:cs="Times New Roman"/>
          <w:rtl/>
          <w:lang w:eastAsia="de-DE"/>
        </w:rPr>
        <w:t xml:space="preserve"> </w:t>
      </w:r>
      <w:r w:rsidRPr="00D754E3">
        <w:rPr>
          <w:rFonts w:eastAsia="Times New Roman" w:cs="Times New Roman"/>
          <w:lang w:eastAsia="de-DE"/>
        </w:rPr>
        <w:t xml:space="preserve">näher bestimmt: </w:t>
      </w:r>
      <w:r w:rsidRPr="00D754E3">
        <w:rPr>
          <w:rFonts w:eastAsia="Times New Roman" w:cs="Times New Roman"/>
          <w:b/>
          <w:bCs/>
          <w:rtl/>
          <w:lang w:eastAsia="de-DE"/>
        </w:rPr>
        <w:t>אֲשֶׁר</w:t>
      </w:r>
      <w:r w:rsidRPr="00D754E3">
        <w:rPr>
          <w:rFonts w:eastAsia="Times New Roman" w:cs="Times New Roman"/>
          <w:rtl/>
          <w:lang w:eastAsia="de-DE"/>
        </w:rPr>
        <w:t xml:space="preserve"> </w:t>
      </w:r>
      <w:r w:rsidRPr="00D754E3">
        <w:rPr>
          <w:rFonts w:eastAsia="Times New Roman" w:cs="Times New Roman"/>
          <w:lang w:eastAsia="de-DE"/>
        </w:rPr>
        <w:t xml:space="preserve">(welcher) leitet den Relativsatz ein, </w:t>
      </w:r>
      <w:r w:rsidRPr="00D754E3">
        <w:rPr>
          <w:rFonts w:eastAsia="Times New Roman" w:cs="Times New Roman"/>
          <w:b/>
          <w:bCs/>
          <w:rtl/>
          <w:lang w:eastAsia="de-DE"/>
        </w:rPr>
        <w:t>תִּהְיֶינָה</w:t>
      </w:r>
      <w:r w:rsidRPr="00D754E3">
        <w:rPr>
          <w:rFonts w:eastAsia="Times New Roman" w:cs="Times New Roman"/>
          <w:rtl/>
          <w:lang w:eastAsia="de-DE"/>
        </w:rPr>
        <w:t xml:space="preserve"> </w:t>
      </w:r>
      <w:r w:rsidRPr="00D754E3">
        <w:rPr>
          <w:rFonts w:eastAsia="Times New Roman" w:cs="Times New Roman"/>
          <w:lang w:eastAsia="de-DE"/>
        </w:rPr>
        <w:t xml:space="preserve">(3. Person Plural feminin Imperfekt von </w:t>
      </w:r>
      <w:r w:rsidRPr="00D754E3">
        <w:rPr>
          <w:rFonts w:eastAsia="Times New Roman" w:cs="Times New Roman"/>
          <w:rtl/>
          <w:lang w:eastAsia="de-DE"/>
        </w:rPr>
        <w:t>היה</w:t>
      </w:r>
      <w:r w:rsidRPr="00D754E3">
        <w:rPr>
          <w:rFonts w:eastAsia="Times New Roman" w:cs="Times New Roman"/>
          <w:lang w:eastAsia="de-DE"/>
        </w:rPr>
        <w:t xml:space="preserve">) ist das Prädikat, und </w:t>
      </w:r>
      <w:r w:rsidRPr="00D754E3">
        <w:rPr>
          <w:rFonts w:eastAsia="Times New Roman" w:cs="Times New Roman"/>
          <w:b/>
          <w:bCs/>
          <w:rtl/>
          <w:lang w:eastAsia="de-DE"/>
        </w:rPr>
        <w:t>לָהֶם</w:t>
      </w:r>
      <w:r w:rsidRPr="00D754E3">
        <w:rPr>
          <w:rFonts w:eastAsia="Times New Roman" w:cs="Times New Roman"/>
          <w:rtl/>
          <w:lang w:eastAsia="de-DE"/>
        </w:rPr>
        <w:t xml:space="preserve"> </w:t>
      </w:r>
      <w:r w:rsidRPr="00D754E3">
        <w:rPr>
          <w:rFonts w:eastAsia="Times New Roman" w:cs="Times New Roman"/>
          <w:lang w:eastAsia="de-DE"/>
        </w:rPr>
        <w:t xml:space="preserve">(für sie/ihnen, Präposition </w:t>
      </w:r>
      <w:r w:rsidRPr="00D754E3">
        <w:rPr>
          <w:rFonts w:eastAsia="Times New Roman" w:cs="Times New Roman"/>
          <w:b/>
          <w:bCs/>
          <w:rtl/>
          <w:lang w:eastAsia="de-DE"/>
        </w:rPr>
        <w:t>לְ</w:t>
      </w:r>
      <w:r w:rsidRPr="00D754E3">
        <w:rPr>
          <w:rFonts w:eastAsia="Times New Roman" w:cs="Times New Roman"/>
          <w:rtl/>
          <w:lang w:eastAsia="de-DE"/>
        </w:rPr>
        <w:t xml:space="preserve"> </w:t>
      </w:r>
      <w:r w:rsidRPr="00D754E3">
        <w:rPr>
          <w:rFonts w:eastAsia="Times New Roman" w:cs="Times New Roman"/>
          <w:lang w:eastAsia="de-DE"/>
        </w:rPr>
        <w:t>mit Suffix 3. Person Plural maskulin) gibt die Zugehörigkeit an.</w:t>
      </w:r>
    </w:p>
    <w:p w14:paraId="3E88B3C6"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Der vierte und letzte Teil beginnt mit der präpositionalen Phrase </w:t>
      </w:r>
      <w:r w:rsidRPr="00D754E3">
        <w:rPr>
          <w:rFonts w:eastAsia="Times New Roman" w:cs="Times New Roman"/>
          <w:b/>
          <w:bCs/>
          <w:rtl/>
          <w:lang w:eastAsia="de-DE"/>
        </w:rPr>
        <w:t>וּמִגֹּרַל נַחֲלָתֵנוּ</w:t>
      </w:r>
      <w:r w:rsidRPr="00D754E3">
        <w:rPr>
          <w:rFonts w:eastAsia="Times New Roman" w:cs="Times New Roman"/>
          <w:rtl/>
          <w:lang w:eastAsia="de-DE"/>
        </w:rPr>
        <w:t xml:space="preserve"> </w:t>
      </w:r>
      <w:r w:rsidRPr="00D754E3">
        <w:rPr>
          <w:rFonts w:eastAsia="Times New Roman" w:cs="Times New Roman"/>
          <w:lang w:eastAsia="de-DE"/>
        </w:rPr>
        <w:t xml:space="preserve">(und vom Los unseres Erbteils), wobei </w:t>
      </w:r>
      <w:r w:rsidRPr="00D754E3">
        <w:rPr>
          <w:rFonts w:eastAsia="Times New Roman" w:cs="Times New Roman"/>
          <w:b/>
          <w:bCs/>
          <w:rtl/>
          <w:lang w:eastAsia="de-DE"/>
        </w:rPr>
        <w:t>מִן</w:t>
      </w:r>
      <w:r w:rsidRPr="00D754E3">
        <w:rPr>
          <w:rFonts w:eastAsia="Times New Roman" w:cs="Times New Roman"/>
          <w:rtl/>
          <w:lang w:eastAsia="de-DE"/>
        </w:rPr>
        <w:t xml:space="preserve"> </w:t>
      </w:r>
      <w:r w:rsidRPr="00D754E3">
        <w:rPr>
          <w:rFonts w:eastAsia="Times New Roman" w:cs="Times New Roman"/>
          <w:lang w:eastAsia="de-DE"/>
        </w:rPr>
        <w:t xml:space="preserve">wieder die Herkunft/Wegnahme anzeigt. </w:t>
      </w:r>
      <w:r w:rsidRPr="00D754E3">
        <w:rPr>
          <w:rFonts w:eastAsia="Times New Roman" w:cs="Times New Roman"/>
          <w:b/>
          <w:bCs/>
          <w:rtl/>
          <w:lang w:eastAsia="de-DE"/>
        </w:rPr>
        <w:t>גֹּרַל</w:t>
      </w:r>
      <w:r w:rsidRPr="00D754E3">
        <w:rPr>
          <w:rFonts w:eastAsia="Times New Roman" w:cs="Times New Roman"/>
          <w:rtl/>
          <w:lang w:eastAsia="de-DE"/>
        </w:rPr>
        <w:t xml:space="preserve"> </w:t>
      </w:r>
      <w:r w:rsidRPr="00D754E3">
        <w:rPr>
          <w:rFonts w:eastAsia="Times New Roman" w:cs="Times New Roman"/>
          <w:lang w:eastAsia="de-DE"/>
        </w:rPr>
        <w:t xml:space="preserve">(Los) steht im constructus mit </w:t>
      </w:r>
      <w:r w:rsidRPr="00D754E3">
        <w:rPr>
          <w:rFonts w:eastAsia="Times New Roman" w:cs="Times New Roman"/>
          <w:b/>
          <w:bCs/>
          <w:rtl/>
          <w:lang w:eastAsia="de-DE"/>
        </w:rPr>
        <w:t>נַחֲלָתֵנוּ</w:t>
      </w:r>
      <w:r w:rsidRPr="00D754E3">
        <w:rPr>
          <w:rFonts w:eastAsia="Times New Roman" w:cs="Times New Roman"/>
          <w:rtl/>
          <w:lang w:eastAsia="de-DE"/>
        </w:rPr>
        <w:t xml:space="preserve"> </w:t>
      </w:r>
      <w:r w:rsidRPr="00D754E3">
        <w:rPr>
          <w:rFonts w:eastAsia="Times New Roman" w:cs="Times New Roman"/>
          <w:lang w:eastAsia="de-DE"/>
        </w:rPr>
        <w:t xml:space="preserve">(unser Erbteil, mit Suffix 1. Person Plural). Das Verb ist </w:t>
      </w:r>
      <w:r w:rsidRPr="00D754E3">
        <w:rPr>
          <w:rFonts w:eastAsia="Times New Roman" w:cs="Times New Roman"/>
          <w:b/>
          <w:bCs/>
          <w:rtl/>
          <w:lang w:eastAsia="de-DE"/>
        </w:rPr>
        <w:t>יִגָּרֵעַ</w:t>
      </w:r>
      <w:r w:rsidRPr="00D754E3">
        <w:rPr>
          <w:rFonts w:eastAsia="Times New Roman" w:cs="Times New Roman"/>
          <w:rtl/>
          <w:lang w:eastAsia="de-DE"/>
        </w:rPr>
        <w:t xml:space="preserve"> </w:t>
      </w:r>
      <w:r w:rsidRPr="00D754E3">
        <w:rPr>
          <w:rFonts w:eastAsia="Times New Roman" w:cs="Times New Roman"/>
          <w:lang w:eastAsia="de-DE"/>
        </w:rPr>
        <w:t xml:space="preserve">(3. Person </w:t>
      </w:r>
      <w:r w:rsidRPr="00D754E3">
        <w:rPr>
          <w:rFonts w:eastAsia="Times New Roman" w:cs="Times New Roman"/>
          <w:lang w:eastAsia="de-DE"/>
        </w:rPr>
        <w:lastRenderedPageBreak/>
        <w:t xml:space="preserve">Singular maskulin Nifal Imperfekt von </w:t>
      </w:r>
      <w:r w:rsidRPr="00D754E3">
        <w:rPr>
          <w:rFonts w:eastAsia="Times New Roman" w:cs="Times New Roman"/>
          <w:rtl/>
          <w:lang w:eastAsia="de-DE"/>
        </w:rPr>
        <w:t>גרע</w:t>
      </w:r>
      <w:r w:rsidRPr="00D754E3">
        <w:rPr>
          <w:rFonts w:eastAsia="Times New Roman" w:cs="Times New Roman"/>
          <w:lang w:eastAsia="de-DE"/>
        </w:rPr>
        <w:t>, entzogen werden), das die endgültige Konsequenz beschreibt.</w:t>
      </w:r>
    </w:p>
    <w:p w14:paraId="1D657864" w14:textId="19098D15"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Die LXX</w:t>
      </w:r>
      <w:r w:rsidRPr="00D754E3">
        <w:rPr>
          <w:rFonts w:eastAsia="Times New Roman" w:cs="Times New Roman"/>
          <w:lang w:eastAsia="de-DE"/>
        </w:rPr>
        <w:t xml:space="preserve"> </w:t>
      </w:r>
      <w:r w:rsidR="00A22CB7">
        <w:t>übersetzt „</w:t>
      </w:r>
      <w:r w:rsidR="00A22CB7" w:rsidRPr="00A22CB7">
        <w:rPr>
          <w:b/>
          <w:bCs/>
          <w:rtl/>
        </w:rPr>
        <w:t>הַיֹּבֵל</w:t>
      </w:r>
      <w:r w:rsidR="00A22CB7">
        <w:t>" (das Jubeljahr) mit „ἡ ἄφεσις" (die Freilassung/das Erlassjahr), was den theologischen Aspekt der Befreiung betont.</w:t>
      </w:r>
    </w:p>
    <w:p w14:paraId="58C8566A"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Die Satzstruktur ist komplex: Der Vers beginnt mit einem konditionalen Hauptsatz (</w:t>
      </w:r>
      <w:r w:rsidRPr="00D754E3">
        <w:rPr>
          <w:rFonts w:eastAsia="Times New Roman" w:cs="Times New Roman"/>
          <w:b/>
          <w:bCs/>
          <w:rtl/>
          <w:lang w:eastAsia="de-DE"/>
        </w:rPr>
        <w:t>וְהָיוּ</w:t>
      </w:r>
      <w:r w:rsidRPr="00D754E3">
        <w:rPr>
          <w:rFonts w:eastAsia="Times New Roman" w:cs="Times New Roman"/>
          <w:rtl/>
          <w:lang w:eastAsia="de-DE"/>
        </w:rPr>
        <w:t xml:space="preserve"> </w:t>
      </w:r>
      <w:r w:rsidRPr="00D754E3">
        <w:rPr>
          <w:rFonts w:eastAsia="Times New Roman" w:cs="Times New Roman"/>
          <w:lang w:eastAsia="de-DE"/>
        </w:rPr>
        <w:t xml:space="preserve">... </w:t>
      </w:r>
      <w:r w:rsidRPr="00D754E3">
        <w:rPr>
          <w:rFonts w:eastAsia="Times New Roman" w:cs="Times New Roman"/>
          <w:b/>
          <w:bCs/>
          <w:rtl/>
          <w:lang w:eastAsia="de-DE"/>
        </w:rPr>
        <w:t>לְנָשִׁים</w:t>
      </w:r>
      <w:r w:rsidRPr="00D754E3">
        <w:rPr>
          <w:rFonts w:eastAsia="Times New Roman" w:cs="Times New Roman"/>
          <w:lang w:eastAsia="de-DE"/>
        </w:rPr>
        <w:t>), gefolgt von drei koordinierten Hauptsätzen, die die Konsequenzen beschreiben (</w:t>
      </w:r>
      <w:r w:rsidRPr="00D754E3">
        <w:rPr>
          <w:rFonts w:eastAsia="Times New Roman" w:cs="Times New Roman"/>
          <w:b/>
          <w:bCs/>
          <w:rtl/>
          <w:lang w:eastAsia="de-DE"/>
        </w:rPr>
        <w:t>וְנִגְרְעָה</w:t>
      </w:r>
      <w:r w:rsidRPr="00D754E3">
        <w:rPr>
          <w:rFonts w:eastAsia="Times New Roman" w:cs="Times New Roman"/>
          <w:lang w:eastAsia="de-DE"/>
        </w:rPr>
        <w:t xml:space="preserve">, </w:t>
      </w:r>
      <w:r w:rsidRPr="00D754E3">
        <w:rPr>
          <w:rFonts w:eastAsia="Times New Roman" w:cs="Times New Roman"/>
          <w:b/>
          <w:bCs/>
          <w:rtl/>
          <w:lang w:eastAsia="de-DE"/>
        </w:rPr>
        <w:t>וְנוֹסַף</w:t>
      </w:r>
      <w:r w:rsidRPr="00D754E3">
        <w:rPr>
          <w:rFonts w:eastAsia="Times New Roman" w:cs="Times New Roman"/>
          <w:lang w:eastAsia="de-DE"/>
        </w:rPr>
        <w:t xml:space="preserve">, </w:t>
      </w:r>
      <w:r w:rsidRPr="00D754E3">
        <w:rPr>
          <w:rFonts w:eastAsia="Times New Roman" w:cs="Times New Roman"/>
          <w:b/>
          <w:bCs/>
          <w:rtl/>
          <w:lang w:eastAsia="de-DE"/>
        </w:rPr>
        <w:t>יִגָּרֵעַ</w:t>
      </w:r>
      <w:r w:rsidRPr="00D754E3">
        <w:rPr>
          <w:rFonts w:eastAsia="Times New Roman" w:cs="Times New Roman"/>
          <w:lang w:eastAsia="de-DE"/>
        </w:rPr>
        <w:t>). Ein Relativsatz (</w:t>
      </w:r>
      <w:r w:rsidRPr="00D754E3">
        <w:rPr>
          <w:rFonts w:eastAsia="Times New Roman" w:cs="Times New Roman"/>
          <w:b/>
          <w:bCs/>
          <w:rtl/>
          <w:lang w:eastAsia="de-DE"/>
        </w:rPr>
        <w:t>אֲשֶׁר תִּהְיֶ֖ינָה לָהֶ֑ם</w:t>
      </w:r>
      <w:r w:rsidRPr="00D754E3">
        <w:rPr>
          <w:rFonts w:eastAsia="Times New Roman" w:cs="Times New Roman"/>
          <w:lang w:eastAsia="de-DE"/>
        </w:rPr>
        <w:t xml:space="preserve">) ist in den zweiten Konsequenzsatz eingebettet und dient als Attribut zu </w:t>
      </w:r>
      <w:r w:rsidRPr="00D754E3">
        <w:rPr>
          <w:rFonts w:eastAsia="Times New Roman" w:cs="Times New Roman"/>
          <w:b/>
          <w:bCs/>
          <w:rtl/>
          <w:lang w:eastAsia="de-DE"/>
        </w:rPr>
        <w:t>הַמַּטֶּה</w:t>
      </w:r>
      <w:r w:rsidRPr="00D754E3">
        <w:rPr>
          <w:rFonts w:eastAsia="Times New Roman" w:cs="Times New Roman"/>
          <w:lang w:eastAsia="de-DE"/>
        </w:rPr>
        <w:t>. Die Struktur folgt dem Muster: Wenn A (Bedingung), dann B, C und D (Konsequenzen).</w:t>
      </w:r>
    </w:p>
    <w:p w14:paraId="18A8024B"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Der Vers artikuliert das zentrale Problem: Wenn die Töchter Zelophchads Männer aus anderen Stämmen heiraten, wird ihr Erbland vom Stamm Manasse zum Stamm ihrer Ehemänner übertragen, was zu einer dauerhaften Verschiebung der Stammeserbteile führen würde – ein Verstoß gegen das göttlich geordnete Landverteilungssystem.</w:t>
      </w:r>
    </w:p>
    <w:p w14:paraId="65229786" w14:textId="77777777" w:rsidR="00D754E3" w:rsidRPr="00D754E3" w:rsidRDefault="00D754E3" w:rsidP="00D754E3">
      <w:pPr>
        <w:spacing w:before="100" w:beforeAutospacing="1" w:after="100" w:afterAutospacing="1" w:line="240" w:lineRule="auto"/>
        <w:outlineLvl w:val="0"/>
        <w:rPr>
          <w:rFonts w:eastAsia="Times New Roman" w:cs="Times New Roman"/>
          <w:b/>
          <w:bCs/>
          <w:kern w:val="36"/>
          <w:sz w:val="48"/>
          <w:szCs w:val="48"/>
          <w:lang w:eastAsia="de-DE"/>
        </w:rPr>
      </w:pPr>
      <w:r w:rsidRPr="00D754E3">
        <w:rPr>
          <w:rFonts w:eastAsia="Times New Roman" w:cs="Times New Roman"/>
          <w:b/>
          <w:bCs/>
          <w:kern w:val="36"/>
          <w:sz w:val="48"/>
          <w:szCs w:val="48"/>
          <w:lang w:eastAsia="de-DE"/>
        </w:rPr>
        <w:t>Numeri 36,4</w:t>
      </w:r>
    </w:p>
    <w:p w14:paraId="7B1BDD99" w14:textId="1F940510"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Hebräisch:</w:t>
      </w:r>
      <w:r w:rsidRPr="00D754E3">
        <w:rPr>
          <w:rFonts w:eastAsia="Times New Roman" w:cs="Times New Roman"/>
          <w:rtl/>
          <w:lang w:eastAsia="de-DE"/>
        </w:rPr>
        <w:t xml:space="preserve"> וְאִם־יִהְיֶ֣ה הַיֹּבֵל֮ לִבְנֵ֣י יִשְׂרָאֵל֒ וְנֽוֹסְפָה֙ נַחֲלָתָ֔ן עַ֚ל נַחֲלַ֣ת הַמַּטֶּ֔ה אֲשֶׁ֥ר תִּהְיֶ֖ינָה לָהֶ֑ם וּמִֽנַּחֲלַת֙ מַטֵּ֣ה אֲבֹתֵ֔ינוּ יִגָּרַ֖ע נַחֲלָתָֽן׃</w:t>
      </w:r>
    </w:p>
    <w:p w14:paraId="675ED225" w14:textId="0C92EB31"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Deutsch:</w:t>
      </w:r>
      <w:r w:rsidRPr="00D754E3">
        <w:rPr>
          <w:rFonts w:eastAsia="Times New Roman" w:cs="Times New Roman"/>
          <w:lang w:eastAsia="de-DE"/>
        </w:rPr>
        <w:t xml:space="preserve"> Und wenn das Jubeljahr der Söhne Jisra'el sein wird, so wird ihr Erbteil zu dem Erbteil des Stammes hinzugefügt werden, dem sie sein werden; und von dem Erbteil des Stammes unserer Väter wird ihr Erbteil entzogen werden.</w:t>
      </w:r>
    </w:p>
    <w:p w14:paraId="082981D4" w14:textId="77777777" w:rsidR="00D754E3" w:rsidRPr="00D754E3" w:rsidRDefault="00F329DD" w:rsidP="00D754E3">
      <w:pPr>
        <w:spacing w:after="0" w:line="240" w:lineRule="auto"/>
        <w:rPr>
          <w:rFonts w:eastAsia="Times New Roman" w:cs="Times New Roman"/>
          <w:lang w:eastAsia="de-DE"/>
        </w:rPr>
      </w:pPr>
      <w:r>
        <w:rPr>
          <w:rFonts w:eastAsia="Times New Roman" w:cs="Times New Roman"/>
          <w:noProof/>
          <w:lang w:eastAsia="de-DE"/>
        </w:rPr>
        <w:pict w14:anchorId="68216B69">
          <v:rect id="_x0000_i2096" style="width:0;height:1.5pt" o:hralign="center" o:hrstd="t" o:hr="t" fillcolor="#a0a0a0" stroked="f"/>
        </w:pict>
      </w:r>
    </w:p>
    <w:p w14:paraId="5DA5EE91" w14:textId="16AA19AB"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Kommentar:</w:t>
      </w:r>
      <w:r>
        <w:rPr>
          <w:rFonts w:eastAsia="Times New Roman" w:cs="Times New Roman"/>
          <w:lang w:eastAsia="de-DE"/>
        </w:rPr>
        <w:t xml:space="preserve"> </w:t>
      </w:r>
      <w:r w:rsidRPr="00D754E3">
        <w:rPr>
          <w:rFonts w:eastAsia="Times New Roman" w:cs="Times New Roman"/>
          <w:lang w:eastAsia="de-DE"/>
        </w:rPr>
        <w:t xml:space="preserve">Der Vers beginnt mit der konditionalen Konjunktion </w:t>
      </w:r>
      <w:r w:rsidRPr="00D754E3">
        <w:rPr>
          <w:rFonts w:eastAsia="Times New Roman" w:cs="Times New Roman"/>
          <w:b/>
          <w:bCs/>
          <w:rtl/>
          <w:lang w:eastAsia="de-DE"/>
        </w:rPr>
        <w:t>וְאִם</w:t>
      </w:r>
      <w:r w:rsidRPr="00D754E3">
        <w:rPr>
          <w:rFonts w:eastAsia="Times New Roman" w:cs="Times New Roman"/>
          <w:rtl/>
          <w:lang w:eastAsia="de-DE"/>
        </w:rPr>
        <w:t xml:space="preserve"> </w:t>
      </w:r>
      <w:r w:rsidRPr="00D754E3">
        <w:rPr>
          <w:rFonts w:eastAsia="Times New Roman" w:cs="Times New Roman"/>
          <w:lang w:eastAsia="de-DE"/>
        </w:rPr>
        <w:t xml:space="preserve">(und wenn), die aus dem Waw copulativum und </w:t>
      </w:r>
      <w:r w:rsidRPr="00D754E3">
        <w:rPr>
          <w:rFonts w:eastAsia="Times New Roman" w:cs="Times New Roman"/>
          <w:b/>
          <w:bCs/>
          <w:rtl/>
          <w:lang w:eastAsia="de-DE"/>
        </w:rPr>
        <w:t>אִם</w:t>
      </w:r>
      <w:r w:rsidRPr="00D754E3">
        <w:rPr>
          <w:rFonts w:eastAsia="Times New Roman" w:cs="Times New Roman"/>
          <w:rtl/>
          <w:lang w:eastAsia="de-DE"/>
        </w:rPr>
        <w:t xml:space="preserve"> </w:t>
      </w:r>
      <w:r w:rsidRPr="00D754E3">
        <w:rPr>
          <w:rFonts w:eastAsia="Times New Roman" w:cs="Times New Roman"/>
          <w:lang w:eastAsia="de-DE"/>
        </w:rPr>
        <w:t xml:space="preserve">(wenn) besteht und einen hypothetischen Fall einleitet. Das Verb ist </w:t>
      </w:r>
      <w:r w:rsidRPr="00D754E3">
        <w:rPr>
          <w:rFonts w:eastAsia="Times New Roman" w:cs="Times New Roman"/>
          <w:b/>
          <w:bCs/>
          <w:rtl/>
          <w:lang w:eastAsia="de-DE"/>
        </w:rPr>
        <w:t>יִהְיֶה</w:t>
      </w:r>
      <w:r w:rsidRPr="00D754E3">
        <w:rPr>
          <w:rFonts w:eastAsia="Times New Roman" w:cs="Times New Roman"/>
          <w:rtl/>
          <w:lang w:eastAsia="de-DE"/>
        </w:rPr>
        <w:t xml:space="preserve"> </w:t>
      </w:r>
      <w:r w:rsidRPr="00D754E3">
        <w:rPr>
          <w:rFonts w:eastAsia="Times New Roman" w:cs="Times New Roman"/>
          <w:lang w:eastAsia="de-DE"/>
        </w:rPr>
        <w:t xml:space="preserve">(3. Person Singular maskulin Imperfekt von </w:t>
      </w:r>
      <w:r w:rsidRPr="00D754E3">
        <w:rPr>
          <w:rFonts w:eastAsia="Times New Roman" w:cs="Times New Roman"/>
          <w:rtl/>
          <w:lang w:eastAsia="de-DE"/>
        </w:rPr>
        <w:t>היה</w:t>
      </w:r>
      <w:r w:rsidRPr="00D754E3">
        <w:rPr>
          <w:rFonts w:eastAsia="Times New Roman" w:cs="Times New Roman"/>
          <w:lang w:eastAsia="de-DE"/>
        </w:rPr>
        <w:t xml:space="preserve">, sein), das die zukünftige Möglichkeit ausdrückt. Das Subjekt ist </w:t>
      </w:r>
      <w:r w:rsidRPr="00D754E3">
        <w:rPr>
          <w:rFonts w:eastAsia="Times New Roman" w:cs="Times New Roman"/>
          <w:b/>
          <w:bCs/>
          <w:rtl/>
          <w:lang w:eastAsia="de-DE"/>
        </w:rPr>
        <w:t>הַיֹּבֵל</w:t>
      </w:r>
      <w:r w:rsidRPr="00D754E3">
        <w:rPr>
          <w:rFonts w:eastAsia="Times New Roman" w:cs="Times New Roman"/>
          <w:rtl/>
          <w:lang w:eastAsia="de-DE"/>
        </w:rPr>
        <w:t xml:space="preserve"> </w:t>
      </w:r>
      <w:r w:rsidRPr="00D754E3">
        <w:rPr>
          <w:rFonts w:eastAsia="Times New Roman" w:cs="Times New Roman"/>
          <w:lang w:eastAsia="de-DE"/>
        </w:rPr>
        <w:t xml:space="preserve">(das Jubeljahr/Jobeljahr, maskulin singular mit Artikel), ein zentraler Begriff des israelitischen Rechtssystems, der sich auf das fünfzigste Jahr bezieht, in dem Schulden erlassen und verkauftes Land zurückgegeben wird (vgl. Levitikus 25). Die Präpositionalphrase </w:t>
      </w:r>
      <w:r w:rsidRPr="00D754E3">
        <w:rPr>
          <w:rFonts w:eastAsia="Times New Roman" w:cs="Times New Roman"/>
          <w:b/>
          <w:bCs/>
          <w:rtl/>
          <w:lang w:eastAsia="de-DE"/>
        </w:rPr>
        <w:t>לִבְנֵי יִשְׂרָאֵל</w:t>
      </w:r>
      <w:r w:rsidRPr="00D754E3">
        <w:rPr>
          <w:rFonts w:eastAsia="Times New Roman" w:cs="Times New Roman"/>
          <w:rtl/>
          <w:lang w:eastAsia="de-DE"/>
        </w:rPr>
        <w:t xml:space="preserve"> </w:t>
      </w:r>
      <w:r w:rsidRPr="00D754E3">
        <w:rPr>
          <w:rFonts w:eastAsia="Times New Roman" w:cs="Times New Roman"/>
          <w:lang w:eastAsia="de-DE"/>
        </w:rPr>
        <w:t>(für die Söhne Israels) gibt den Geltungsbereich an.</w:t>
      </w:r>
    </w:p>
    <w:p w14:paraId="41BE24E4"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zweite Verb ist das Waw-Konsekutiv-Perfekt </w:t>
      </w:r>
      <w:r w:rsidRPr="00D754E3">
        <w:rPr>
          <w:rFonts w:eastAsia="Times New Roman" w:cs="Times New Roman"/>
          <w:b/>
          <w:bCs/>
          <w:rtl/>
          <w:lang w:eastAsia="de-DE"/>
        </w:rPr>
        <w:t>וְנוֹסְפָה</w:t>
      </w:r>
      <w:r w:rsidRPr="00D754E3">
        <w:rPr>
          <w:rFonts w:eastAsia="Times New Roman" w:cs="Times New Roman"/>
          <w:rtl/>
          <w:lang w:eastAsia="de-DE"/>
        </w:rPr>
        <w:t xml:space="preserve"> </w:t>
      </w:r>
      <w:r w:rsidRPr="00D754E3">
        <w:rPr>
          <w:rFonts w:eastAsia="Times New Roman" w:cs="Times New Roman"/>
          <w:lang w:eastAsia="de-DE"/>
        </w:rPr>
        <w:t xml:space="preserve">(3. Person Singular feminin Nifal von </w:t>
      </w:r>
      <w:r w:rsidRPr="00D754E3">
        <w:rPr>
          <w:rFonts w:eastAsia="Times New Roman" w:cs="Times New Roman"/>
          <w:rtl/>
          <w:lang w:eastAsia="de-DE"/>
        </w:rPr>
        <w:t>יסף</w:t>
      </w:r>
      <w:r w:rsidRPr="00D754E3">
        <w:rPr>
          <w:rFonts w:eastAsia="Times New Roman" w:cs="Times New Roman"/>
          <w:lang w:eastAsia="de-DE"/>
        </w:rPr>
        <w:t xml:space="preserve">, hinzugefügt werden), das die Apodosis des Konditionalsatzes einleitet. Das Subjekt ist </w:t>
      </w:r>
      <w:r w:rsidRPr="00D754E3">
        <w:rPr>
          <w:rFonts w:eastAsia="Times New Roman" w:cs="Times New Roman"/>
          <w:b/>
          <w:bCs/>
          <w:rtl/>
          <w:lang w:eastAsia="de-DE"/>
        </w:rPr>
        <w:t>נַחֲלָתָן</w:t>
      </w:r>
      <w:r w:rsidRPr="00D754E3">
        <w:rPr>
          <w:rFonts w:eastAsia="Times New Roman" w:cs="Times New Roman"/>
          <w:rtl/>
          <w:lang w:eastAsia="de-DE"/>
        </w:rPr>
        <w:t xml:space="preserve"> </w:t>
      </w:r>
      <w:r w:rsidRPr="00D754E3">
        <w:rPr>
          <w:rFonts w:eastAsia="Times New Roman" w:cs="Times New Roman"/>
          <w:lang w:eastAsia="de-DE"/>
        </w:rPr>
        <w:t xml:space="preserve">(ihr Erbteil, feminin singular constructus mit Suffix 3. Person Plural feminin), das auf die Töchter Zelophchads verweist. Die präpositionale Phrase </w:t>
      </w:r>
      <w:r w:rsidRPr="00D754E3">
        <w:rPr>
          <w:rFonts w:eastAsia="Times New Roman" w:cs="Times New Roman"/>
          <w:b/>
          <w:bCs/>
          <w:rtl/>
          <w:lang w:eastAsia="de-DE"/>
        </w:rPr>
        <w:t>עַל נַחֲלַת הַמַּטֶּה</w:t>
      </w:r>
      <w:r w:rsidRPr="00D754E3">
        <w:rPr>
          <w:rFonts w:eastAsia="Times New Roman" w:cs="Times New Roman"/>
          <w:rtl/>
          <w:lang w:eastAsia="de-DE"/>
        </w:rPr>
        <w:t xml:space="preserve"> </w:t>
      </w:r>
      <w:r w:rsidRPr="00D754E3">
        <w:rPr>
          <w:rFonts w:eastAsia="Times New Roman" w:cs="Times New Roman"/>
          <w:lang w:eastAsia="de-DE"/>
        </w:rPr>
        <w:t xml:space="preserve">(zum Erbteil des Stammes) mit der Präposition </w:t>
      </w:r>
      <w:r w:rsidRPr="00D754E3">
        <w:rPr>
          <w:rFonts w:eastAsia="Times New Roman" w:cs="Times New Roman"/>
          <w:b/>
          <w:bCs/>
          <w:rtl/>
          <w:lang w:eastAsia="de-DE"/>
        </w:rPr>
        <w:t>עַל</w:t>
      </w:r>
      <w:r w:rsidRPr="00D754E3">
        <w:rPr>
          <w:rFonts w:eastAsia="Times New Roman" w:cs="Times New Roman"/>
          <w:rtl/>
          <w:lang w:eastAsia="de-DE"/>
        </w:rPr>
        <w:t xml:space="preserve"> </w:t>
      </w:r>
      <w:r w:rsidRPr="00D754E3">
        <w:rPr>
          <w:rFonts w:eastAsia="Times New Roman" w:cs="Times New Roman"/>
          <w:lang w:eastAsia="de-DE"/>
        </w:rPr>
        <w:t>(auf, zu) zeigt an, wozu das Erbteil hinzugefügt wird.</w:t>
      </w:r>
    </w:p>
    <w:p w14:paraId="369A0E1A"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Der Relativsatz </w:t>
      </w:r>
      <w:r w:rsidRPr="00D754E3">
        <w:rPr>
          <w:rFonts w:eastAsia="Times New Roman" w:cs="Times New Roman"/>
          <w:b/>
          <w:bCs/>
          <w:rtl/>
          <w:lang w:eastAsia="de-DE"/>
        </w:rPr>
        <w:t>אֲשֶׁר תִּהְיֶינָה לָהֶם</w:t>
      </w:r>
      <w:r w:rsidRPr="00D754E3">
        <w:rPr>
          <w:rFonts w:eastAsia="Times New Roman" w:cs="Times New Roman"/>
          <w:rtl/>
          <w:lang w:eastAsia="de-DE"/>
        </w:rPr>
        <w:t xml:space="preserve"> </w:t>
      </w:r>
      <w:r w:rsidRPr="00D754E3">
        <w:rPr>
          <w:rFonts w:eastAsia="Times New Roman" w:cs="Times New Roman"/>
          <w:lang w:eastAsia="de-DE"/>
        </w:rPr>
        <w:t xml:space="preserve">modifiziert </w:t>
      </w:r>
      <w:r w:rsidRPr="00D754E3">
        <w:rPr>
          <w:rFonts w:eastAsia="Times New Roman" w:cs="Times New Roman"/>
          <w:b/>
          <w:bCs/>
          <w:rtl/>
          <w:lang w:eastAsia="de-DE"/>
        </w:rPr>
        <w:t>הַמַּטֶּה</w:t>
      </w:r>
      <w:r w:rsidRPr="00D754E3">
        <w:rPr>
          <w:rFonts w:eastAsia="Times New Roman" w:cs="Times New Roman"/>
          <w:lang w:eastAsia="de-DE"/>
        </w:rPr>
        <w:t xml:space="preserve">: </w:t>
      </w:r>
      <w:r w:rsidRPr="00D754E3">
        <w:rPr>
          <w:rFonts w:eastAsia="Times New Roman" w:cs="Times New Roman"/>
          <w:b/>
          <w:bCs/>
          <w:rtl/>
          <w:lang w:eastAsia="de-DE"/>
        </w:rPr>
        <w:t>אֲשֶׁר</w:t>
      </w:r>
      <w:r w:rsidRPr="00D754E3">
        <w:rPr>
          <w:rFonts w:eastAsia="Times New Roman" w:cs="Times New Roman"/>
          <w:rtl/>
          <w:lang w:eastAsia="de-DE"/>
        </w:rPr>
        <w:t xml:space="preserve"> </w:t>
      </w:r>
      <w:r w:rsidRPr="00D754E3">
        <w:rPr>
          <w:rFonts w:eastAsia="Times New Roman" w:cs="Times New Roman"/>
          <w:lang w:eastAsia="de-DE"/>
        </w:rPr>
        <w:t xml:space="preserve">(welcher/dem) leitet den Relativsatz ein, </w:t>
      </w:r>
      <w:r w:rsidRPr="00D754E3">
        <w:rPr>
          <w:rFonts w:eastAsia="Times New Roman" w:cs="Times New Roman"/>
          <w:b/>
          <w:bCs/>
          <w:rtl/>
          <w:lang w:eastAsia="de-DE"/>
        </w:rPr>
        <w:t>תִּהְיֶינָה</w:t>
      </w:r>
      <w:r w:rsidRPr="00D754E3">
        <w:rPr>
          <w:rFonts w:eastAsia="Times New Roman" w:cs="Times New Roman"/>
          <w:rtl/>
          <w:lang w:eastAsia="de-DE"/>
        </w:rPr>
        <w:t xml:space="preserve"> </w:t>
      </w:r>
      <w:r w:rsidRPr="00D754E3">
        <w:rPr>
          <w:rFonts w:eastAsia="Times New Roman" w:cs="Times New Roman"/>
          <w:lang w:eastAsia="de-DE"/>
        </w:rPr>
        <w:t xml:space="preserve">(3. Person Plural feminin Imperfekt von </w:t>
      </w:r>
      <w:r w:rsidRPr="00D754E3">
        <w:rPr>
          <w:rFonts w:eastAsia="Times New Roman" w:cs="Times New Roman"/>
          <w:rtl/>
          <w:lang w:eastAsia="de-DE"/>
        </w:rPr>
        <w:t>היה</w:t>
      </w:r>
      <w:r w:rsidRPr="00D754E3">
        <w:rPr>
          <w:rFonts w:eastAsia="Times New Roman" w:cs="Times New Roman"/>
          <w:lang w:eastAsia="de-DE"/>
        </w:rPr>
        <w:t xml:space="preserve">) ist das Prädikat, und </w:t>
      </w:r>
      <w:r w:rsidRPr="00D754E3">
        <w:rPr>
          <w:rFonts w:eastAsia="Times New Roman" w:cs="Times New Roman"/>
          <w:b/>
          <w:bCs/>
          <w:rtl/>
          <w:lang w:eastAsia="de-DE"/>
        </w:rPr>
        <w:t>לָהֶם</w:t>
      </w:r>
      <w:r w:rsidRPr="00D754E3">
        <w:rPr>
          <w:rFonts w:eastAsia="Times New Roman" w:cs="Times New Roman"/>
          <w:rtl/>
          <w:lang w:eastAsia="de-DE"/>
        </w:rPr>
        <w:t xml:space="preserve"> </w:t>
      </w:r>
      <w:r w:rsidRPr="00D754E3">
        <w:rPr>
          <w:rFonts w:eastAsia="Times New Roman" w:cs="Times New Roman"/>
          <w:lang w:eastAsia="de-DE"/>
        </w:rPr>
        <w:t>(für sie/ihnen, mit Suffix 3. Person Plural maskulin) gibt die Zugehörigkeit durch Heirat an – der Stamm, dem die Töchter durch ihre Ehe angehören werden.</w:t>
      </w:r>
    </w:p>
    <w:p w14:paraId="4F1BDC07"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lastRenderedPageBreak/>
        <w:t xml:space="preserve">Der dritte Teil beginnt mit der präpositionalen Phrase </w:t>
      </w:r>
      <w:r w:rsidRPr="00D754E3">
        <w:rPr>
          <w:rFonts w:eastAsia="Times New Roman" w:cs="Times New Roman"/>
          <w:b/>
          <w:bCs/>
          <w:rtl/>
          <w:lang w:eastAsia="de-DE"/>
        </w:rPr>
        <w:t>וּמִנַּחֲלַת מַטֵּה אֲבֹתֵינוּ</w:t>
      </w:r>
      <w:r w:rsidRPr="00D754E3">
        <w:rPr>
          <w:rFonts w:eastAsia="Times New Roman" w:cs="Times New Roman"/>
          <w:rtl/>
          <w:lang w:eastAsia="de-DE"/>
        </w:rPr>
        <w:t xml:space="preserve"> </w:t>
      </w:r>
      <w:r w:rsidRPr="00D754E3">
        <w:rPr>
          <w:rFonts w:eastAsia="Times New Roman" w:cs="Times New Roman"/>
          <w:lang w:eastAsia="de-DE"/>
        </w:rPr>
        <w:t xml:space="preserve">(und vom Erbteil des Stammes unserer Väter): </w:t>
      </w:r>
      <w:r w:rsidRPr="00D754E3">
        <w:rPr>
          <w:rFonts w:eastAsia="Times New Roman" w:cs="Times New Roman"/>
          <w:b/>
          <w:bCs/>
          <w:rtl/>
          <w:lang w:eastAsia="de-DE"/>
        </w:rPr>
        <w:t>מִן</w:t>
      </w:r>
      <w:r w:rsidRPr="00D754E3">
        <w:rPr>
          <w:rFonts w:eastAsia="Times New Roman" w:cs="Times New Roman"/>
          <w:rtl/>
          <w:lang w:eastAsia="de-DE"/>
        </w:rPr>
        <w:t xml:space="preserve"> </w:t>
      </w:r>
      <w:r w:rsidRPr="00D754E3">
        <w:rPr>
          <w:rFonts w:eastAsia="Times New Roman" w:cs="Times New Roman"/>
          <w:lang w:eastAsia="de-DE"/>
        </w:rPr>
        <w:t xml:space="preserve">(von, aus) zeigt die Herkunft/Wegnahme an, </w:t>
      </w:r>
      <w:r w:rsidRPr="00D754E3">
        <w:rPr>
          <w:rFonts w:eastAsia="Times New Roman" w:cs="Times New Roman"/>
          <w:b/>
          <w:bCs/>
          <w:rtl/>
          <w:lang w:eastAsia="de-DE"/>
        </w:rPr>
        <w:t>נַחֲלַת</w:t>
      </w:r>
      <w:r w:rsidRPr="00D754E3">
        <w:rPr>
          <w:rFonts w:eastAsia="Times New Roman" w:cs="Times New Roman"/>
          <w:rtl/>
          <w:lang w:eastAsia="de-DE"/>
        </w:rPr>
        <w:t xml:space="preserve"> </w:t>
      </w:r>
      <w:r w:rsidRPr="00D754E3">
        <w:rPr>
          <w:rFonts w:eastAsia="Times New Roman" w:cs="Times New Roman"/>
          <w:lang w:eastAsia="de-DE"/>
        </w:rPr>
        <w:t xml:space="preserve">(Erbteil) steht im constructus mit </w:t>
      </w:r>
      <w:r w:rsidRPr="00D754E3">
        <w:rPr>
          <w:rFonts w:eastAsia="Times New Roman" w:cs="Times New Roman"/>
          <w:b/>
          <w:bCs/>
          <w:rtl/>
          <w:lang w:eastAsia="de-DE"/>
        </w:rPr>
        <w:t>מַטֵּה</w:t>
      </w:r>
      <w:r w:rsidRPr="00D754E3">
        <w:rPr>
          <w:rFonts w:eastAsia="Times New Roman" w:cs="Times New Roman"/>
          <w:rtl/>
          <w:lang w:eastAsia="de-DE"/>
        </w:rPr>
        <w:t xml:space="preserve"> </w:t>
      </w:r>
      <w:r w:rsidRPr="00D754E3">
        <w:rPr>
          <w:rFonts w:eastAsia="Times New Roman" w:cs="Times New Roman"/>
          <w:lang w:eastAsia="de-DE"/>
        </w:rPr>
        <w:t xml:space="preserve">(Stamm), der wiederum im constructus mit </w:t>
      </w:r>
      <w:r w:rsidRPr="00D754E3">
        <w:rPr>
          <w:rFonts w:eastAsia="Times New Roman" w:cs="Times New Roman"/>
          <w:b/>
          <w:bCs/>
          <w:rtl/>
          <w:lang w:eastAsia="de-DE"/>
        </w:rPr>
        <w:t>אֲבֹתֵינוּ</w:t>
      </w:r>
      <w:r w:rsidRPr="00D754E3">
        <w:rPr>
          <w:rFonts w:eastAsia="Times New Roman" w:cs="Times New Roman"/>
          <w:rtl/>
          <w:lang w:eastAsia="de-DE"/>
        </w:rPr>
        <w:t xml:space="preserve"> </w:t>
      </w:r>
      <w:r w:rsidRPr="00D754E3">
        <w:rPr>
          <w:rFonts w:eastAsia="Times New Roman" w:cs="Times New Roman"/>
          <w:lang w:eastAsia="de-DE"/>
        </w:rPr>
        <w:t xml:space="preserve">(unsere Väter, Plural mit Suffix 1. Person Plural) steht – eine doppelte Genitivkonstruktion. Das Verb ist </w:t>
      </w:r>
      <w:r w:rsidRPr="00D754E3">
        <w:rPr>
          <w:rFonts w:eastAsia="Times New Roman" w:cs="Times New Roman"/>
          <w:b/>
          <w:bCs/>
          <w:rtl/>
          <w:lang w:eastAsia="de-DE"/>
        </w:rPr>
        <w:t>יִגָּרַע</w:t>
      </w:r>
      <w:r w:rsidRPr="00D754E3">
        <w:rPr>
          <w:rFonts w:eastAsia="Times New Roman" w:cs="Times New Roman"/>
          <w:rtl/>
          <w:lang w:eastAsia="de-DE"/>
        </w:rPr>
        <w:t xml:space="preserve"> </w:t>
      </w:r>
      <w:r w:rsidRPr="00D754E3">
        <w:rPr>
          <w:rFonts w:eastAsia="Times New Roman" w:cs="Times New Roman"/>
          <w:lang w:eastAsia="de-DE"/>
        </w:rPr>
        <w:t xml:space="preserve">(3. Person Singular maskulin Nifal Imperfekt von </w:t>
      </w:r>
      <w:r w:rsidRPr="00D754E3">
        <w:rPr>
          <w:rFonts w:eastAsia="Times New Roman" w:cs="Times New Roman"/>
          <w:rtl/>
          <w:lang w:eastAsia="de-DE"/>
        </w:rPr>
        <w:t>גרע</w:t>
      </w:r>
      <w:r w:rsidRPr="00D754E3">
        <w:rPr>
          <w:rFonts w:eastAsia="Times New Roman" w:cs="Times New Roman"/>
          <w:lang w:eastAsia="de-DE"/>
        </w:rPr>
        <w:t xml:space="preserve">, entzogen werden), und das Subjekt ist </w:t>
      </w:r>
      <w:r w:rsidRPr="00D754E3">
        <w:rPr>
          <w:rFonts w:eastAsia="Times New Roman" w:cs="Times New Roman"/>
          <w:b/>
          <w:bCs/>
          <w:rtl/>
          <w:lang w:eastAsia="de-DE"/>
        </w:rPr>
        <w:t>נַחֲלָתָן</w:t>
      </w:r>
      <w:r w:rsidRPr="00D754E3">
        <w:rPr>
          <w:rFonts w:eastAsia="Times New Roman" w:cs="Times New Roman"/>
          <w:rtl/>
          <w:lang w:eastAsia="de-DE"/>
        </w:rPr>
        <w:t xml:space="preserve"> </w:t>
      </w:r>
      <w:r w:rsidRPr="00D754E3">
        <w:rPr>
          <w:rFonts w:eastAsia="Times New Roman" w:cs="Times New Roman"/>
          <w:lang w:eastAsia="de-DE"/>
        </w:rPr>
        <w:t>(ihr Erbteil).</w:t>
      </w:r>
    </w:p>
    <w:p w14:paraId="7AD4D78C"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Die LXX</w:t>
      </w:r>
      <w:r w:rsidRPr="00D754E3">
        <w:rPr>
          <w:rFonts w:eastAsia="Times New Roman" w:cs="Times New Roman"/>
          <w:lang w:eastAsia="de-DE"/>
        </w:rPr>
        <w:t xml:space="preserve"> übersetzt die konditionale Einleitung </w:t>
      </w:r>
      <w:r w:rsidRPr="00D754E3">
        <w:rPr>
          <w:rFonts w:eastAsia="Times New Roman" w:cs="Times New Roman"/>
          <w:b/>
          <w:bCs/>
          <w:rtl/>
          <w:lang w:eastAsia="de-DE"/>
        </w:rPr>
        <w:t>וְאִם־יִהְיֶה</w:t>
      </w:r>
      <w:r w:rsidRPr="00D754E3">
        <w:rPr>
          <w:rFonts w:eastAsia="Times New Roman" w:cs="Times New Roman"/>
          <w:rtl/>
          <w:lang w:eastAsia="de-DE"/>
        </w:rPr>
        <w:t xml:space="preserve"> </w:t>
      </w:r>
      <w:r w:rsidRPr="00D754E3">
        <w:rPr>
          <w:rFonts w:eastAsia="Times New Roman" w:cs="Times New Roman"/>
          <w:lang w:eastAsia="de-DE"/>
        </w:rPr>
        <w:t xml:space="preserve">mit ἐὰν δὲ γένηται (wenn aber geschehen wird), wobei das griechische Konjunktiv-Futur die Potentialität wiedergibt. Die Phrase </w:t>
      </w:r>
      <w:r w:rsidRPr="00D754E3">
        <w:rPr>
          <w:rFonts w:eastAsia="Times New Roman" w:cs="Times New Roman"/>
          <w:b/>
          <w:bCs/>
          <w:rtl/>
          <w:lang w:eastAsia="de-DE"/>
        </w:rPr>
        <w:t>הַיֹּבֵל</w:t>
      </w:r>
      <w:r w:rsidRPr="00D754E3">
        <w:rPr>
          <w:rFonts w:eastAsia="Times New Roman" w:cs="Times New Roman"/>
          <w:rtl/>
          <w:lang w:eastAsia="de-DE"/>
        </w:rPr>
        <w:t xml:space="preserve"> </w:t>
      </w:r>
      <w:r w:rsidRPr="00D754E3">
        <w:rPr>
          <w:rFonts w:eastAsia="Times New Roman" w:cs="Times New Roman"/>
          <w:lang w:eastAsia="de-DE"/>
        </w:rPr>
        <w:t xml:space="preserve">wird mit ἡ ἄφεσις (die Freilassung/das Erlassjahr) übersetzt, eine gängige LXX-Wiedergabe für das Jubeljahr-Konzept. Für </w:t>
      </w:r>
      <w:r w:rsidRPr="00D754E3">
        <w:rPr>
          <w:rFonts w:eastAsia="Times New Roman" w:cs="Times New Roman"/>
          <w:b/>
          <w:bCs/>
          <w:rtl/>
          <w:lang w:eastAsia="de-DE"/>
        </w:rPr>
        <w:t>לִבְנֵי יִשְׂרָאֵל</w:t>
      </w:r>
      <w:r w:rsidRPr="00D754E3">
        <w:rPr>
          <w:rFonts w:eastAsia="Times New Roman" w:cs="Times New Roman"/>
          <w:rtl/>
          <w:lang w:eastAsia="de-DE"/>
        </w:rPr>
        <w:t xml:space="preserve"> </w:t>
      </w:r>
      <w:r w:rsidRPr="00D754E3">
        <w:rPr>
          <w:rFonts w:eastAsia="Times New Roman" w:cs="Times New Roman"/>
          <w:lang w:eastAsia="de-DE"/>
        </w:rPr>
        <w:t xml:space="preserve">verwendet die LXX τοῖς υἱοῖς Ισραηλ im Dativ, was den Geltungsbereich markiert. Das Nifal </w:t>
      </w:r>
      <w:r w:rsidRPr="00D754E3">
        <w:rPr>
          <w:rFonts w:eastAsia="Times New Roman" w:cs="Times New Roman"/>
          <w:b/>
          <w:bCs/>
          <w:rtl/>
          <w:lang w:eastAsia="de-DE"/>
        </w:rPr>
        <w:t>וְנוֹסְפָה</w:t>
      </w:r>
      <w:r w:rsidRPr="00D754E3">
        <w:rPr>
          <w:rFonts w:eastAsia="Times New Roman" w:cs="Times New Roman"/>
          <w:rtl/>
          <w:lang w:eastAsia="de-DE"/>
        </w:rPr>
        <w:t xml:space="preserve"> </w:t>
      </w:r>
      <w:r w:rsidRPr="00D754E3">
        <w:rPr>
          <w:rFonts w:eastAsia="Times New Roman" w:cs="Times New Roman"/>
          <w:lang w:eastAsia="de-DE"/>
        </w:rPr>
        <w:t xml:space="preserve">wird mit προστεθήσεται (wird hinzugefügt werden) als Passiv futurisch wiedergegeben. Der Relativsatz </w:t>
      </w:r>
      <w:r w:rsidRPr="00D754E3">
        <w:rPr>
          <w:rFonts w:eastAsia="Times New Roman" w:cs="Times New Roman"/>
          <w:b/>
          <w:bCs/>
          <w:rtl/>
          <w:lang w:eastAsia="de-DE"/>
        </w:rPr>
        <w:t>אֲשֶׁר תִּהְיֶינָה לָהֶם</w:t>
      </w:r>
      <w:r w:rsidRPr="00D754E3">
        <w:rPr>
          <w:rFonts w:eastAsia="Times New Roman" w:cs="Times New Roman"/>
          <w:rtl/>
          <w:lang w:eastAsia="de-DE"/>
        </w:rPr>
        <w:t xml:space="preserve"> </w:t>
      </w:r>
      <w:r w:rsidRPr="00D754E3">
        <w:rPr>
          <w:rFonts w:eastAsia="Times New Roman" w:cs="Times New Roman"/>
          <w:lang w:eastAsia="de-DE"/>
        </w:rPr>
        <w:t xml:space="preserve">erscheint als οὗ ἐὰν γένωνται γυναῖκες (zu wem sie Frauen werden), wodurch die Heirat explizit gemacht wird. Das zweite Nifal </w:t>
      </w:r>
      <w:r w:rsidRPr="00D754E3">
        <w:rPr>
          <w:rFonts w:eastAsia="Times New Roman" w:cs="Times New Roman"/>
          <w:b/>
          <w:bCs/>
          <w:rtl/>
          <w:lang w:eastAsia="de-DE"/>
        </w:rPr>
        <w:t>יִגָּרַע</w:t>
      </w:r>
      <w:r w:rsidRPr="00D754E3">
        <w:rPr>
          <w:rFonts w:eastAsia="Times New Roman" w:cs="Times New Roman"/>
          <w:rtl/>
          <w:lang w:eastAsia="de-DE"/>
        </w:rPr>
        <w:t xml:space="preserve"> </w:t>
      </w:r>
      <w:r w:rsidRPr="00D754E3">
        <w:rPr>
          <w:rFonts w:eastAsia="Times New Roman" w:cs="Times New Roman"/>
          <w:lang w:eastAsia="de-DE"/>
        </w:rPr>
        <w:t>wird mit ἀφαιρεθήσεται (wird weggenommen werden) übersetzt, parallel zur LXX-Wiedergabe in Vers 3.</w:t>
      </w:r>
    </w:p>
    <w:p w14:paraId="525E2259"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Die Satzstruktur besteht aus einem konditionalen Nebensatz (</w:t>
      </w:r>
      <w:r w:rsidRPr="00D754E3">
        <w:rPr>
          <w:rFonts w:eastAsia="Times New Roman" w:cs="Times New Roman"/>
          <w:b/>
          <w:bCs/>
          <w:rtl/>
          <w:lang w:eastAsia="de-DE"/>
        </w:rPr>
        <w:t>וְאִם־יִהְיֶה הַיֹּבֵל לִבְנֵי יִשְׂרָאֵל</w:t>
      </w:r>
      <w:r w:rsidRPr="00D754E3">
        <w:rPr>
          <w:rFonts w:eastAsia="Times New Roman" w:cs="Times New Roman"/>
          <w:lang w:eastAsia="de-DE"/>
        </w:rPr>
        <w:t>) als Protasis, gefolgt von zwei koordinierten Hauptsätzen als Apodosis (</w:t>
      </w:r>
      <w:r w:rsidRPr="00D754E3">
        <w:rPr>
          <w:rFonts w:eastAsia="Times New Roman" w:cs="Times New Roman"/>
          <w:b/>
          <w:bCs/>
          <w:rtl/>
          <w:lang w:eastAsia="de-DE"/>
        </w:rPr>
        <w:t>וְנוֹסְפָה</w:t>
      </w:r>
      <w:r w:rsidRPr="00D754E3">
        <w:rPr>
          <w:rFonts w:eastAsia="Times New Roman" w:cs="Times New Roman"/>
          <w:rtl/>
          <w:lang w:eastAsia="de-DE"/>
        </w:rPr>
        <w:t xml:space="preserve"> </w:t>
      </w:r>
      <w:r w:rsidRPr="00D754E3">
        <w:rPr>
          <w:rFonts w:eastAsia="Times New Roman" w:cs="Times New Roman"/>
          <w:lang w:eastAsia="de-DE"/>
        </w:rPr>
        <w:t xml:space="preserve">... und </w:t>
      </w:r>
      <w:r w:rsidRPr="00D754E3">
        <w:rPr>
          <w:rFonts w:eastAsia="Times New Roman" w:cs="Times New Roman"/>
          <w:b/>
          <w:bCs/>
          <w:rtl/>
          <w:lang w:eastAsia="de-DE"/>
        </w:rPr>
        <w:t>יִגָּרַע</w:t>
      </w:r>
      <w:r w:rsidRPr="00D754E3">
        <w:rPr>
          <w:rFonts w:eastAsia="Times New Roman" w:cs="Times New Roman"/>
          <w:rtl/>
          <w:lang w:eastAsia="de-DE"/>
        </w:rPr>
        <w:t xml:space="preserve"> </w:t>
      </w:r>
      <w:r w:rsidRPr="00D754E3">
        <w:rPr>
          <w:rFonts w:eastAsia="Times New Roman" w:cs="Times New Roman"/>
          <w:lang w:eastAsia="de-DE"/>
        </w:rPr>
        <w:t>...). Ein Relativsatz (</w:t>
      </w:r>
      <w:r w:rsidRPr="00D754E3">
        <w:rPr>
          <w:rFonts w:eastAsia="Times New Roman" w:cs="Times New Roman"/>
          <w:b/>
          <w:bCs/>
          <w:rtl/>
          <w:lang w:eastAsia="de-DE"/>
        </w:rPr>
        <w:t>אֲשֶׁר תִּהְיֶינָה לָהֶם</w:t>
      </w:r>
      <w:r w:rsidRPr="00D754E3">
        <w:rPr>
          <w:rFonts w:eastAsia="Times New Roman" w:cs="Times New Roman"/>
          <w:lang w:eastAsia="de-DE"/>
        </w:rPr>
        <w:t xml:space="preserve">) ist als Attribut zu </w:t>
      </w:r>
      <w:r w:rsidRPr="00D754E3">
        <w:rPr>
          <w:rFonts w:eastAsia="Times New Roman" w:cs="Times New Roman"/>
          <w:b/>
          <w:bCs/>
          <w:rtl/>
          <w:lang w:eastAsia="de-DE"/>
        </w:rPr>
        <w:t>הַמַּטֶּה</w:t>
      </w:r>
      <w:r w:rsidRPr="00D754E3">
        <w:rPr>
          <w:rFonts w:eastAsia="Times New Roman" w:cs="Times New Roman"/>
          <w:rtl/>
          <w:lang w:eastAsia="de-DE"/>
        </w:rPr>
        <w:t xml:space="preserve"> </w:t>
      </w:r>
      <w:r w:rsidRPr="00D754E3">
        <w:rPr>
          <w:rFonts w:eastAsia="Times New Roman" w:cs="Times New Roman"/>
          <w:lang w:eastAsia="de-DE"/>
        </w:rPr>
        <w:t>in die Apodosis eingebettet. Die Struktur folgt dem Muster: Wenn X, dann Y und Z.</w:t>
      </w:r>
    </w:p>
    <w:p w14:paraId="0058A05B" w14:textId="22C0D59C" w:rsid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Der Vers verstärkt die Argumentation aus Vers 3, indem er auf das Jubeljahr verweist: Selbst im Jubeljahr, das normalerweise eine Rückkehr des Landes an die ursprünglichen Besitzer vorsieht, würde das Erbteil der Töchter beim Stamm ihrer Ehemänner verbleiben, da das Jubeljahr-Gesetz nur für verkauftes, nicht aber für durch Erbschaft übertragenes Land gilt. Dies würde zu einem permanenten Verlust für den Stamm Manasse führen und die göttlich festgelegte Stammesverteilung dauerhaft verzerren.</w:t>
      </w:r>
    </w:p>
    <w:p w14:paraId="6211FE38" w14:textId="77777777" w:rsidR="00A70B01" w:rsidRDefault="00A70B01" w:rsidP="00A70B01">
      <w:pPr>
        <w:pStyle w:val="berschrift4"/>
      </w:pPr>
      <w:r>
        <w:t>Exkurs: Warum hilft das Jubeljahr nicht?</w:t>
      </w:r>
    </w:p>
    <w:p w14:paraId="67528562" w14:textId="77777777" w:rsidR="00A70B01" w:rsidRDefault="00A70B01" w:rsidP="00A70B01">
      <w:pPr>
        <w:pStyle w:val="whitespace-normal"/>
      </w:pPr>
      <w:r>
        <w:rPr>
          <w:rStyle w:val="Fett"/>
        </w:rPr>
        <w:t>V. 4</w:t>
      </w:r>
      <w:r>
        <w:t xml:space="preserve"> argumentiert: Selbst </w:t>
      </w:r>
      <w:r>
        <w:rPr>
          <w:rStyle w:val="Fett"/>
        </w:rPr>
        <w:t>im Jubeljahr</w:t>
      </w:r>
      <w:r>
        <w:t xml:space="preserve"> (</w:t>
      </w:r>
      <w:r>
        <w:rPr>
          <w:rtl/>
        </w:rPr>
        <w:t>הַיֹּבֵל</w:t>
      </w:r>
      <w:r>
        <w:t>) würde das Land NICHT zum Stamm Manasse zurückkehren.</w:t>
      </w:r>
    </w:p>
    <w:p w14:paraId="63D3DC50" w14:textId="77777777" w:rsidR="00A70B01" w:rsidRDefault="00A70B01" w:rsidP="00A70B01">
      <w:pPr>
        <w:pStyle w:val="whitespace-normal"/>
      </w:pPr>
      <w:r>
        <w:rPr>
          <w:rStyle w:val="Fett"/>
        </w:rPr>
        <w:t>Warum ist das so?</w:t>
      </w:r>
    </w:p>
    <w:p w14:paraId="51B7CF7D" w14:textId="77777777" w:rsidR="00A70B01" w:rsidRDefault="00A70B01" w:rsidP="00A70B01">
      <w:pPr>
        <w:pStyle w:val="whitespace-normal"/>
      </w:pPr>
      <w:r>
        <w:rPr>
          <w:rStyle w:val="Fett"/>
        </w:rPr>
        <w:t>1. Das Jubeljahr-Gesetz (Lev 25,10-28)</w:t>
      </w:r>
    </w:p>
    <w:p w14:paraId="139FD3DE" w14:textId="77777777" w:rsidR="00A70B01" w:rsidRDefault="00A70B01" w:rsidP="00A70B01">
      <w:pPr>
        <w:pStyle w:val="whitespace-normal"/>
      </w:pPr>
      <w:r>
        <w:rPr>
          <w:rStyle w:val="Fett"/>
        </w:rPr>
        <w:t>Grundprinzip</w:t>
      </w:r>
      <w:r>
        <w:t xml:space="preserve"> (Lev 25,13):</w:t>
      </w:r>
      <w:r>
        <w:br/>
        <w:t>"Im Jubeljahr soll ein jeder wieder zu seinem Besitz kommen"</w:t>
      </w:r>
    </w:p>
    <w:p w14:paraId="758F9CE0" w14:textId="77777777" w:rsidR="00A70B01" w:rsidRDefault="00A70B01" w:rsidP="00A70B01">
      <w:pPr>
        <w:pStyle w:val="whitespace-normal"/>
      </w:pPr>
      <w:r>
        <w:rPr>
          <w:rStyle w:val="Fett"/>
        </w:rPr>
        <w:t>ABER: Dies gilt nur für VERKAUFTES Land!</w:t>
      </w:r>
    </w:p>
    <w:p w14:paraId="2182242E" w14:textId="77777777" w:rsidR="00A70B01" w:rsidRDefault="00A70B01" w:rsidP="00A70B01">
      <w:pPr>
        <w:pStyle w:val="whitespace-normal"/>
      </w:pPr>
      <w:r>
        <w:rPr>
          <w:rStyle w:val="Fett"/>
        </w:rPr>
        <w:t>Lev 25,25-28:</w:t>
      </w:r>
    </w:p>
    <w:p w14:paraId="18B2B448" w14:textId="77777777" w:rsidR="00A70B01" w:rsidRDefault="00A70B01" w:rsidP="00097545">
      <w:pPr>
        <w:pStyle w:val="whitespace-normal"/>
        <w:numPr>
          <w:ilvl w:val="0"/>
          <w:numId w:val="250"/>
        </w:numPr>
      </w:pPr>
      <w:r>
        <w:t xml:space="preserve">Wenn jemand sein Land </w:t>
      </w:r>
      <w:r>
        <w:rPr>
          <w:rStyle w:val="Fett"/>
        </w:rPr>
        <w:t>verkauft</w:t>
      </w:r>
      <w:r>
        <w:t xml:space="preserve"> (</w:t>
      </w:r>
      <w:r>
        <w:rPr>
          <w:rtl/>
        </w:rPr>
        <w:t>מָכַר</w:t>
      </w:r>
      <w:r>
        <w:t xml:space="preserve">), kann ein Verwandter es </w:t>
      </w:r>
      <w:r>
        <w:rPr>
          <w:rStyle w:val="Fett"/>
        </w:rPr>
        <w:t>auslösen</w:t>
      </w:r>
      <w:r>
        <w:t xml:space="preserve"> (</w:t>
      </w:r>
      <w:r>
        <w:rPr>
          <w:rtl/>
        </w:rPr>
        <w:t>גָּאַל</w:t>
      </w:r>
      <w:r>
        <w:t>)</w:t>
      </w:r>
    </w:p>
    <w:p w14:paraId="1ABAF125" w14:textId="77777777" w:rsidR="00A70B01" w:rsidRDefault="00A70B01" w:rsidP="00097545">
      <w:pPr>
        <w:pStyle w:val="whitespace-normal"/>
        <w:numPr>
          <w:ilvl w:val="0"/>
          <w:numId w:val="250"/>
        </w:numPr>
      </w:pPr>
      <w:r>
        <w:t xml:space="preserve">Im </w:t>
      </w:r>
      <w:r>
        <w:rPr>
          <w:rStyle w:val="Fett"/>
        </w:rPr>
        <w:t>Jubeljahr</w:t>
      </w:r>
      <w:r>
        <w:t xml:space="preserve"> kehrt es automatisch zum ursprünglichen Besitzer zurück</w:t>
      </w:r>
    </w:p>
    <w:p w14:paraId="10C1DAC2" w14:textId="77777777" w:rsidR="00A70B01" w:rsidRDefault="00A70B01" w:rsidP="00097545">
      <w:pPr>
        <w:pStyle w:val="whitespace-normal"/>
        <w:numPr>
          <w:ilvl w:val="0"/>
          <w:numId w:val="250"/>
        </w:numPr>
      </w:pPr>
      <w:r>
        <w:rPr>
          <w:rStyle w:val="Fett"/>
        </w:rPr>
        <w:t>ZWECK</w:t>
      </w:r>
      <w:r>
        <w:t>: Verhindert dauerhafte Landkonzentration bei Reichen</w:t>
      </w:r>
    </w:p>
    <w:p w14:paraId="77F1EE6F" w14:textId="77777777" w:rsidR="00A70B01" w:rsidRDefault="00A70B01" w:rsidP="00A70B01">
      <w:pPr>
        <w:pStyle w:val="whitespace-normal"/>
      </w:pPr>
      <w:r>
        <w:rPr>
          <w:rStyle w:val="Fett"/>
        </w:rPr>
        <w:t>2. Erbschaft ist KEIN Verkauf</w:t>
      </w:r>
    </w:p>
    <w:p w14:paraId="17550DBD" w14:textId="416ACB1F" w:rsidR="00A70B01" w:rsidRDefault="00A70B01" w:rsidP="00A70B01">
      <w:pPr>
        <w:pStyle w:val="whitespace-normal"/>
        <w:rPr>
          <w:rStyle w:val="Fett"/>
        </w:rPr>
      </w:pPr>
      <w:r>
        <w:rPr>
          <w:rStyle w:val="Fett"/>
        </w:rPr>
        <w:lastRenderedPageBreak/>
        <w:t>Die entscheidende Unterscheidung:</w:t>
      </w:r>
    </w:p>
    <w:tbl>
      <w:tblPr>
        <w:tblStyle w:val="Tabellenraster"/>
        <w:tblW w:w="4994" w:type="pct"/>
        <w:tblLook w:val="04A0" w:firstRow="1" w:lastRow="0" w:firstColumn="1" w:lastColumn="0" w:noHBand="0" w:noVBand="1"/>
      </w:tblPr>
      <w:tblGrid>
        <w:gridCol w:w="3015"/>
        <w:gridCol w:w="3018"/>
        <w:gridCol w:w="3018"/>
      </w:tblGrid>
      <w:tr w:rsidR="00A70B01" w14:paraId="4D4B17D5" w14:textId="77777777" w:rsidTr="006072C2">
        <w:tc>
          <w:tcPr>
            <w:tcW w:w="1666" w:type="pct"/>
            <w:vAlign w:val="center"/>
          </w:tcPr>
          <w:p w14:paraId="6C7BF6E2" w14:textId="543AA97B" w:rsidR="00A70B01" w:rsidRDefault="00A70B01" w:rsidP="00A70B01">
            <w:pPr>
              <w:pStyle w:val="whitespace-normal"/>
            </w:pPr>
            <w:r>
              <w:rPr>
                <w:b/>
                <w:bCs/>
              </w:rPr>
              <w:t>Kategorie</w:t>
            </w:r>
          </w:p>
        </w:tc>
        <w:tc>
          <w:tcPr>
            <w:tcW w:w="1667" w:type="pct"/>
            <w:vAlign w:val="center"/>
          </w:tcPr>
          <w:p w14:paraId="6ABB2D3E" w14:textId="6984BAB5" w:rsidR="00A70B01" w:rsidRDefault="00A70B01" w:rsidP="00A70B01">
            <w:pPr>
              <w:pStyle w:val="whitespace-normal"/>
            </w:pPr>
            <w:r>
              <w:rPr>
                <w:b/>
                <w:bCs/>
              </w:rPr>
              <w:t>Verkauf (</w:t>
            </w:r>
            <w:r>
              <w:rPr>
                <w:b/>
                <w:bCs/>
                <w:rtl/>
              </w:rPr>
              <w:t>מֶכֶר</w:t>
            </w:r>
            <w:r>
              <w:rPr>
                <w:b/>
                <w:bCs/>
              </w:rPr>
              <w:t>)</w:t>
            </w:r>
          </w:p>
        </w:tc>
        <w:tc>
          <w:tcPr>
            <w:tcW w:w="1667" w:type="pct"/>
            <w:vAlign w:val="center"/>
          </w:tcPr>
          <w:p w14:paraId="29C38827" w14:textId="23FBA898" w:rsidR="00A70B01" w:rsidRDefault="00A70B01" w:rsidP="00A70B01">
            <w:pPr>
              <w:pStyle w:val="whitespace-normal"/>
            </w:pPr>
            <w:r>
              <w:rPr>
                <w:b/>
                <w:bCs/>
              </w:rPr>
              <w:t>Erbschaft (</w:t>
            </w:r>
            <w:r>
              <w:rPr>
                <w:b/>
                <w:bCs/>
                <w:rtl/>
              </w:rPr>
              <w:t>נַחֲלָה</w:t>
            </w:r>
            <w:r>
              <w:rPr>
                <w:b/>
                <w:bCs/>
              </w:rPr>
              <w:t>)</w:t>
            </w:r>
          </w:p>
        </w:tc>
      </w:tr>
      <w:tr w:rsidR="00A70B01" w14:paraId="2322F2B5" w14:textId="77777777" w:rsidTr="009954AB">
        <w:tc>
          <w:tcPr>
            <w:tcW w:w="1666" w:type="pct"/>
            <w:vAlign w:val="center"/>
          </w:tcPr>
          <w:p w14:paraId="54DE3426" w14:textId="697CC7F6" w:rsidR="00A70B01" w:rsidRDefault="00A70B01" w:rsidP="00A70B01">
            <w:pPr>
              <w:pStyle w:val="whitespace-normal"/>
            </w:pPr>
            <w:r>
              <w:rPr>
                <w:rStyle w:val="Fett"/>
              </w:rPr>
              <w:t>Grund</w:t>
            </w:r>
          </w:p>
        </w:tc>
        <w:tc>
          <w:tcPr>
            <w:tcW w:w="1667" w:type="pct"/>
            <w:vAlign w:val="center"/>
          </w:tcPr>
          <w:p w14:paraId="6B83739D" w14:textId="73102891" w:rsidR="00A70B01" w:rsidRDefault="00A70B01" w:rsidP="00A70B01">
            <w:pPr>
              <w:pStyle w:val="whitespace-normal"/>
            </w:pPr>
            <w:r>
              <w:t>Not, Armut</w:t>
            </w:r>
          </w:p>
        </w:tc>
        <w:tc>
          <w:tcPr>
            <w:tcW w:w="1667" w:type="pct"/>
            <w:vAlign w:val="center"/>
          </w:tcPr>
          <w:p w14:paraId="2CF737C3" w14:textId="4DF13AB6" w:rsidR="00A70B01" w:rsidRDefault="00A70B01" w:rsidP="00A70B01">
            <w:pPr>
              <w:pStyle w:val="whitespace-normal"/>
            </w:pPr>
            <w:r>
              <w:t>Tod des Vaters</w:t>
            </w:r>
          </w:p>
        </w:tc>
      </w:tr>
      <w:tr w:rsidR="00A70B01" w14:paraId="75049EE9" w14:textId="77777777" w:rsidTr="009954AB">
        <w:tc>
          <w:tcPr>
            <w:tcW w:w="1666" w:type="pct"/>
            <w:vAlign w:val="center"/>
          </w:tcPr>
          <w:p w14:paraId="0EC5CC72" w14:textId="3A6631A8" w:rsidR="00A70B01" w:rsidRDefault="00A70B01" w:rsidP="00A70B01">
            <w:pPr>
              <w:pStyle w:val="whitespace-normal"/>
            </w:pPr>
            <w:r>
              <w:rPr>
                <w:rStyle w:val="Fett"/>
              </w:rPr>
              <w:t>Willentlich?</w:t>
            </w:r>
          </w:p>
        </w:tc>
        <w:tc>
          <w:tcPr>
            <w:tcW w:w="1667" w:type="pct"/>
            <w:vAlign w:val="center"/>
          </w:tcPr>
          <w:p w14:paraId="5540D7DA" w14:textId="7D8BD631" w:rsidR="00A70B01" w:rsidRDefault="00A70B01" w:rsidP="00A70B01">
            <w:pPr>
              <w:pStyle w:val="whitespace-normal"/>
            </w:pPr>
            <w:r>
              <w:t>Ja</w:t>
            </w:r>
          </w:p>
        </w:tc>
        <w:tc>
          <w:tcPr>
            <w:tcW w:w="1667" w:type="pct"/>
            <w:vAlign w:val="center"/>
          </w:tcPr>
          <w:p w14:paraId="33A5A701" w14:textId="78A4FFAC" w:rsidR="00A70B01" w:rsidRDefault="00A70B01" w:rsidP="00A70B01">
            <w:pPr>
              <w:pStyle w:val="whitespace-normal"/>
            </w:pPr>
            <w:r>
              <w:t>Nein (automatisch)</w:t>
            </w:r>
          </w:p>
        </w:tc>
      </w:tr>
      <w:tr w:rsidR="00A70B01" w14:paraId="0808DB6C" w14:textId="77777777" w:rsidTr="009954AB">
        <w:tc>
          <w:tcPr>
            <w:tcW w:w="1666" w:type="pct"/>
            <w:vAlign w:val="center"/>
          </w:tcPr>
          <w:p w14:paraId="4D5150C5" w14:textId="6CF15CA6" w:rsidR="00A70B01" w:rsidRDefault="00A70B01" w:rsidP="00A70B01">
            <w:pPr>
              <w:pStyle w:val="whitespace-normal"/>
            </w:pPr>
            <w:r>
              <w:rPr>
                <w:rStyle w:val="Fett"/>
              </w:rPr>
              <w:t>Rückgabe?</w:t>
            </w:r>
          </w:p>
        </w:tc>
        <w:tc>
          <w:tcPr>
            <w:tcW w:w="1667" w:type="pct"/>
            <w:vAlign w:val="center"/>
          </w:tcPr>
          <w:p w14:paraId="439486C8" w14:textId="027C2D31" w:rsidR="00A70B01" w:rsidRDefault="00A70B01" w:rsidP="00A70B01">
            <w:pPr>
              <w:pStyle w:val="whitespace-normal"/>
            </w:pPr>
            <w:r>
              <w:t>Ja, im Jubeljahr</w:t>
            </w:r>
          </w:p>
        </w:tc>
        <w:tc>
          <w:tcPr>
            <w:tcW w:w="1667" w:type="pct"/>
            <w:vAlign w:val="center"/>
          </w:tcPr>
          <w:p w14:paraId="3403921B" w14:textId="70DE5F07" w:rsidR="00A70B01" w:rsidRDefault="00A70B01" w:rsidP="00A70B01">
            <w:pPr>
              <w:pStyle w:val="whitespace-normal"/>
            </w:pPr>
            <w:r>
              <w:t>NEIN!</w:t>
            </w:r>
          </w:p>
        </w:tc>
      </w:tr>
      <w:tr w:rsidR="00A70B01" w14:paraId="222899BF" w14:textId="77777777" w:rsidTr="009954AB">
        <w:tc>
          <w:tcPr>
            <w:tcW w:w="1666" w:type="pct"/>
            <w:vAlign w:val="center"/>
          </w:tcPr>
          <w:p w14:paraId="56D667E5" w14:textId="1DF09286" w:rsidR="00A70B01" w:rsidRDefault="00A70B01" w:rsidP="00A70B01">
            <w:pPr>
              <w:pStyle w:val="whitespace-normal"/>
            </w:pPr>
            <w:r>
              <w:rPr>
                <w:rStyle w:val="Fett"/>
              </w:rPr>
              <w:t>Jubeljahr gilt?</w:t>
            </w:r>
          </w:p>
        </w:tc>
        <w:tc>
          <w:tcPr>
            <w:tcW w:w="1667" w:type="pct"/>
            <w:vAlign w:val="center"/>
          </w:tcPr>
          <w:p w14:paraId="7A5C95BA" w14:textId="3131D65A" w:rsidR="00A70B01" w:rsidRDefault="00A70B01" w:rsidP="00A70B01">
            <w:pPr>
              <w:pStyle w:val="whitespace-normal"/>
            </w:pPr>
            <w:r>
              <w:t>JA (Lev 25)</w:t>
            </w:r>
          </w:p>
        </w:tc>
        <w:tc>
          <w:tcPr>
            <w:tcW w:w="1667" w:type="pct"/>
            <w:vAlign w:val="center"/>
          </w:tcPr>
          <w:p w14:paraId="4CE90318" w14:textId="5FF912F6" w:rsidR="00A70B01" w:rsidRDefault="00A70B01" w:rsidP="00A70B01">
            <w:pPr>
              <w:pStyle w:val="whitespace-normal"/>
            </w:pPr>
            <w:r>
              <w:t>NEIN (Num 36,4)</w:t>
            </w:r>
          </w:p>
        </w:tc>
      </w:tr>
    </w:tbl>
    <w:p w14:paraId="66D3AA94" w14:textId="77777777" w:rsidR="00A70B01" w:rsidRDefault="00A70B01" w:rsidP="00A70B01">
      <w:pPr>
        <w:pStyle w:val="whitespace-normal"/>
      </w:pPr>
      <w:r>
        <w:rPr>
          <w:rStyle w:val="Fett"/>
        </w:rPr>
        <w:t>Die Töchter Zelophchads VERKAUFEN ihr Land nicht</w:t>
      </w:r>
      <w:r>
        <w:t xml:space="preserve"> – sie </w:t>
      </w:r>
      <w:r>
        <w:rPr>
          <w:rStyle w:val="Fett"/>
        </w:rPr>
        <w:t>erben</w:t>
      </w:r>
      <w:r>
        <w:t xml:space="preserve"> es.</w:t>
      </w:r>
      <w:r>
        <w:br/>
        <w:t>Durch Heirat geht es auf ihre Ehemänner/Söhne über.</w:t>
      </w:r>
      <w:r>
        <w:br/>
        <w:t xml:space="preserve">→ Dies ist </w:t>
      </w:r>
      <w:r>
        <w:rPr>
          <w:rStyle w:val="Fett"/>
        </w:rPr>
        <w:t>Erbübertragung</w:t>
      </w:r>
      <w:r>
        <w:t xml:space="preserve">, nicht </w:t>
      </w:r>
      <w:r>
        <w:rPr>
          <w:rStyle w:val="Fett"/>
        </w:rPr>
        <w:t>Verkauf</w:t>
      </w:r>
      <w:r>
        <w:t>.</w:t>
      </w:r>
    </w:p>
    <w:p w14:paraId="6143EF98" w14:textId="77777777" w:rsidR="00A70B01" w:rsidRDefault="00A70B01" w:rsidP="00A70B01">
      <w:pPr>
        <w:pStyle w:val="whitespace-normal"/>
      </w:pPr>
      <w:r>
        <w:rPr>
          <w:rStyle w:val="Fett"/>
        </w:rPr>
        <w:t>3. Rechtlogik: Warum diese Unterscheidung?</w:t>
      </w:r>
    </w:p>
    <w:p w14:paraId="064B7AE1" w14:textId="77777777" w:rsidR="00A70B01" w:rsidRDefault="00A70B01" w:rsidP="00A70B01">
      <w:pPr>
        <w:pStyle w:val="whitespace-normal"/>
      </w:pPr>
      <w:r>
        <w:rPr>
          <w:rStyle w:val="Fett"/>
        </w:rPr>
        <w:t>Verkauf:</w:t>
      </w:r>
    </w:p>
    <w:p w14:paraId="18B5C95B" w14:textId="77777777" w:rsidR="00A70B01" w:rsidRDefault="00A70B01" w:rsidP="00097545">
      <w:pPr>
        <w:pStyle w:val="whitespace-normal"/>
        <w:numPr>
          <w:ilvl w:val="0"/>
          <w:numId w:val="251"/>
        </w:numPr>
      </w:pPr>
      <w:r>
        <w:t xml:space="preserve">Ist </w:t>
      </w:r>
      <w:r>
        <w:rPr>
          <w:rStyle w:val="Fett"/>
        </w:rPr>
        <w:t>Ausnahme</w:t>
      </w:r>
      <w:r>
        <w:t xml:space="preserve"> in Notlage</w:t>
      </w:r>
    </w:p>
    <w:p w14:paraId="10FA63B4" w14:textId="77777777" w:rsidR="00A70B01" w:rsidRDefault="00A70B01" w:rsidP="00097545">
      <w:pPr>
        <w:pStyle w:val="whitespace-normal"/>
        <w:numPr>
          <w:ilvl w:val="0"/>
          <w:numId w:val="251"/>
        </w:numPr>
      </w:pPr>
      <w:r>
        <w:t xml:space="preserve">Sollte </w:t>
      </w:r>
      <w:r>
        <w:rPr>
          <w:rStyle w:val="Fett"/>
        </w:rPr>
        <w:t>temporär</w:t>
      </w:r>
      <w:r>
        <w:t xml:space="preserve"> bleiben</w:t>
      </w:r>
    </w:p>
    <w:p w14:paraId="70CFBA58" w14:textId="77777777" w:rsidR="00A70B01" w:rsidRDefault="00A70B01" w:rsidP="00097545">
      <w:pPr>
        <w:pStyle w:val="whitespace-normal"/>
        <w:numPr>
          <w:ilvl w:val="0"/>
          <w:numId w:val="251"/>
        </w:numPr>
      </w:pPr>
      <w:r>
        <w:t>→ Jubeljahr korrigiert soziale Ungerechtigkeit</w:t>
      </w:r>
    </w:p>
    <w:p w14:paraId="6C2CA685" w14:textId="77777777" w:rsidR="00A70B01" w:rsidRDefault="00A70B01" w:rsidP="00A70B01">
      <w:pPr>
        <w:pStyle w:val="whitespace-normal"/>
      </w:pPr>
      <w:r>
        <w:rPr>
          <w:rStyle w:val="Fett"/>
        </w:rPr>
        <w:t>Erbschaft:</w:t>
      </w:r>
    </w:p>
    <w:p w14:paraId="07FD3388" w14:textId="77777777" w:rsidR="00A70B01" w:rsidRDefault="00A70B01" w:rsidP="00097545">
      <w:pPr>
        <w:pStyle w:val="whitespace-normal"/>
        <w:numPr>
          <w:ilvl w:val="0"/>
          <w:numId w:val="252"/>
        </w:numPr>
      </w:pPr>
      <w:r>
        <w:t xml:space="preserve">Ist </w:t>
      </w:r>
      <w:r>
        <w:rPr>
          <w:rStyle w:val="Fett"/>
        </w:rPr>
        <w:t>göttliche Ordnung</w:t>
      </w:r>
      <w:r>
        <w:t xml:space="preserve"> (Num 26-27)</w:t>
      </w:r>
    </w:p>
    <w:p w14:paraId="17AE9B96" w14:textId="77777777" w:rsidR="00A70B01" w:rsidRDefault="00A70B01" w:rsidP="00097545">
      <w:pPr>
        <w:pStyle w:val="whitespace-normal"/>
        <w:numPr>
          <w:ilvl w:val="0"/>
          <w:numId w:val="252"/>
        </w:numPr>
      </w:pPr>
      <w:r>
        <w:t xml:space="preserve">Ist </w:t>
      </w:r>
      <w:r>
        <w:rPr>
          <w:rStyle w:val="Fett"/>
        </w:rPr>
        <w:t>permanent</w:t>
      </w:r>
      <w:r>
        <w:t xml:space="preserve"> und legitim</w:t>
      </w:r>
    </w:p>
    <w:p w14:paraId="20937F4B" w14:textId="77777777" w:rsidR="00A70B01" w:rsidRDefault="00A70B01" w:rsidP="00097545">
      <w:pPr>
        <w:pStyle w:val="whitespace-normal"/>
        <w:numPr>
          <w:ilvl w:val="0"/>
          <w:numId w:val="252"/>
        </w:numPr>
      </w:pPr>
      <w:r>
        <w:t>→ Jubeljahr greift nicht ein</w:t>
      </w:r>
    </w:p>
    <w:p w14:paraId="558723C1" w14:textId="77777777" w:rsidR="00A70B01" w:rsidRDefault="00A70B01" w:rsidP="00A70B01">
      <w:pPr>
        <w:pStyle w:val="whitespace-normal"/>
      </w:pPr>
      <w:r>
        <w:rPr>
          <w:rStyle w:val="Fett"/>
        </w:rPr>
        <w:t>4. Das Problem in Num 36,3-4:</w:t>
      </w:r>
    </w:p>
    <w:p w14:paraId="3C739634" w14:textId="77777777" w:rsidR="00A70B01" w:rsidRDefault="00A70B01" w:rsidP="00A70B01">
      <w:pPr>
        <w:pStyle w:val="whitespace-normal"/>
      </w:pPr>
      <w:r>
        <w:rPr>
          <w:rStyle w:val="Fett"/>
        </w:rPr>
        <w:t>OHNE die Regelung in V. 6-9:</w:t>
      </w:r>
    </w:p>
    <w:p w14:paraId="395622BB" w14:textId="77777777" w:rsidR="00A70B01" w:rsidRDefault="00A70B01" w:rsidP="00A70B01">
      <w:pPr>
        <w:pStyle w:val="whitespace-normal"/>
      </w:pPr>
      <w:r>
        <w:rPr>
          <w:rStyle w:val="Fett"/>
        </w:rPr>
        <w:t>Szenario:</w:t>
      </w:r>
    </w:p>
    <w:p w14:paraId="387F319B" w14:textId="77777777" w:rsidR="00A70B01" w:rsidRDefault="00A70B01" w:rsidP="00097545">
      <w:pPr>
        <w:pStyle w:val="whitespace-normal"/>
        <w:numPr>
          <w:ilvl w:val="0"/>
          <w:numId w:val="253"/>
        </w:numPr>
      </w:pPr>
      <w:r>
        <w:t>Töchter Zelophchads erben Land (Kap. 27) → OK</w:t>
      </w:r>
    </w:p>
    <w:p w14:paraId="029EE0B4" w14:textId="77777777" w:rsidR="00A70B01" w:rsidRDefault="00A70B01" w:rsidP="00097545">
      <w:pPr>
        <w:pStyle w:val="whitespace-normal"/>
        <w:numPr>
          <w:ilvl w:val="0"/>
          <w:numId w:val="253"/>
        </w:numPr>
      </w:pPr>
      <w:r>
        <w:t>Sie heiraten Männer aus Stamm Dan → Ihr Land geht an Dan</w:t>
      </w:r>
    </w:p>
    <w:p w14:paraId="241F0141" w14:textId="77777777" w:rsidR="00A70B01" w:rsidRDefault="00A70B01" w:rsidP="00097545">
      <w:pPr>
        <w:pStyle w:val="whitespace-normal"/>
        <w:numPr>
          <w:ilvl w:val="0"/>
          <w:numId w:val="253"/>
        </w:numPr>
      </w:pPr>
      <w:r>
        <w:t>Jubeljahr kommt → Land kehrt NICHT zu Manasse zurück!</w:t>
      </w:r>
    </w:p>
    <w:p w14:paraId="547FE65E" w14:textId="77777777" w:rsidR="00A70B01" w:rsidRDefault="00A70B01" w:rsidP="00097545">
      <w:pPr>
        <w:pStyle w:val="whitespace-normal"/>
        <w:numPr>
          <w:ilvl w:val="0"/>
          <w:numId w:val="253"/>
        </w:numPr>
      </w:pPr>
      <w:r>
        <w:rPr>
          <w:rStyle w:val="Fett"/>
        </w:rPr>
        <w:t>Ergebnis</w:t>
      </w:r>
      <w:r>
        <w:t>: Manasse verliert permanent Land an Dan</w:t>
      </w:r>
    </w:p>
    <w:p w14:paraId="49B58721" w14:textId="77777777" w:rsidR="00A70B01" w:rsidRDefault="00A70B01" w:rsidP="00A70B01">
      <w:pPr>
        <w:pStyle w:val="whitespace-normal"/>
      </w:pPr>
      <w:r>
        <w:rPr>
          <w:rStyle w:val="Fett"/>
        </w:rPr>
        <w:t>Dies würde die gottgegebene Stammesverteilung dauerhaft verzerren!</w:t>
      </w:r>
    </w:p>
    <w:p w14:paraId="540DD4CE" w14:textId="77777777" w:rsidR="00A70B01" w:rsidRDefault="00A70B01" w:rsidP="00A70B01">
      <w:pPr>
        <w:pStyle w:val="whitespace-normal"/>
      </w:pPr>
      <w:r>
        <w:rPr>
          <w:rStyle w:val="Fett"/>
        </w:rPr>
        <w:t>5. Die Lösung (V. 6-9): Endogamie</w:t>
      </w:r>
    </w:p>
    <w:p w14:paraId="31A9B82E" w14:textId="77777777" w:rsidR="00A70B01" w:rsidRDefault="00A70B01" w:rsidP="00A70B01">
      <w:pPr>
        <w:pStyle w:val="whitespace-normal"/>
      </w:pPr>
      <w:r>
        <w:rPr>
          <w:rStyle w:val="Fett"/>
        </w:rPr>
        <w:t>Wenn die Töchter NUR innerhalb Manasses heiraten:</w:t>
      </w:r>
    </w:p>
    <w:p w14:paraId="570B9247" w14:textId="77777777" w:rsidR="00A70B01" w:rsidRDefault="00A70B01" w:rsidP="00097545">
      <w:pPr>
        <w:pStyle w:val="whitespace-normal"/>
        <w:numPr>
          <w:ilvl w:val="0"/>
          <w:numId w:val="254"/>
        </w:numPr>
      </w:pPr>
      <w:r>
        <w:t>Land wird vererbt → OK</w:t>
      </w:r>
    </w:p>
    <w:p w14:paraId="71F79843" w14:textId="77777777" w:rsidR="00A70B01" w:rsidRDefault="00A70B01" w:rsidP="00097545">
      <w:pPr>
        <w:pStyle w:val="whitespace-normal"/>
        <w:numPr>
          <w:ilvl w:val="0"/>
          <w:numId w:val="254"/>
        </w:numPr>
      </w:pPr>
      <w:r>
        <w:t>ABER: Bleibt bei Manasse → Problem gelöst!</w:t>
      </w:r>
    </w:p>
    <w:p w14:paraId="429946D0" w14:textId="77777777" w:rsidR="00A70B01" w:rsidRDefault="00A70B01" w:rsidP="00097545">
      <w:pPr>
        <w:pStyle w:val="whitespace-normal"/>
        <w:numPr>
          <w:ilvl w:val="0"/>
          <w:numId w:val="254"/>
        </w:numPr>
      </w:pPr>
      <w:r>
        <w:t>Jubeljahr ist irrelevant → Spielt keine Rolle mehr</w:t>
      </w:r>
    </w:p>
    <w:p w14:paraId="0D3E78CD" w14:textId="77777777" w:rsidR="00A70B01" w:rsidRDefault="00A70B01" w:rsidP="00A70B01">
      <w:pPr>
        <w:pStyle w:val="whitespace-normal"/>
      </w:pPr>
      <w:r>
        <w:rPr>
          <w:rStyle w:val="Fett"/>
        </w:rPr>
        <w:t>6. Moderne Analogie</w:t>
      </w:r>
    </w:p>
    <w:p w14:paraId="30ACFEC8" w14:textId="77777777" w:rsidR="00A70B01" w:rsidRDefault="00A70B01" w:rsidP="00A70B01">
      <w:pPr>
        <w:pStyle w:val="whitespace-normal"/>
      </w:pPr>
      <w:r>
        <w:rPr>
          <w:rStyle w:val="Fett"/>
        </w:rPr>
        <w:lastRenderedPageBreak/>
        <w:t>Verkauf = Miete</w:t>
      </w:r>
      <w:r>
        <w:br/>
        <w:t>→ Temporär, muss zurückgegeben werden</w:t>
      </w:r>
    </w:p>
    <w:p w14:paraId="77B6FBDF" w14:textId="77777777" w:rsidR="00A70B01" w:rsidRDefault="00A70B01" w:rsidP="00A70B01">
      <w:pPr>
        <w:pStyle w:val="whitespace-normal"/>
      </w:pPr>
      <w:r>
        <w:rPr>
          <w:rStyle w:val="Fett"/>
        </w:rPr>
        <w:t>Erbschaft = Eigentum</w:t>
      </w:r>
      <w:r>
        <w:br/>
        <w:t>→ Permanent, geht an Erben über</w:t>
      </w:r>
    </w:p>
    <w:p w14:paraId="41E98336" w14:textId="77777777" w:rsidR="00A70B01" w:rsidRDefault="00A70B01" w:rsidP="00A70B01">
      <w:pPr>
        <w:pStyle w:val="whitespace-normal"/>
      </w:pPr>
      <w:r>
        <w:rPr>
          <w:rStyle w:val="Fett"/>
        </w:rPr>
        <w:t>Das Jubeljahr ist wie ein "Mietvertrag-Reset"</w:t>
      </w:r>
      <w:r>
        <w:t xml:space="preserve"> – aber Erbschaften sind davon ausgenommen.</w:t>
      </w:r>
    </w:p>
    <w:p w14:paraId="365B895B" w14:textId="77777777" w:rsidR="00A70B01" w:rsidRDefault="00A70B01" w:rsidP="00A70B01">
      <w:pPr>
        <w:pStyle w:val="whitespace-normal"/>
      </w:pPr>
      <w:r>
        <w:rPr>
          <w:rStyle w:val="Fett"/>
        </w:rPr>
        <w:t>7. Theologische Bedeutung</w:t>
      </w:r>
    </w:p>
    <w:p w14:paraId="70B1409F" w14:textId="77777777" w:rsidR="00A70B01" w:rsidRDefault="00A70B01" w:rsidP="00A70B01">
      <w:pPr>
        <w:pStyle w:val="whitespace-normal"/>
      </w:pPr>
      <w:r>
        <w:rPr>
          <w:rStyle w:val="Fett"/>
        </w:rPr>
        <w:t>Das Jubeljahr-Prinzip:</w:t>
      </w:r>
    </w:p>
    <w:p w14:paraId="5B09086C" w14:textId="77777777" w:rsidR="00A70B01" w:rsidRDefault="00A70B01" w:rsidP="00097545">
      <w:pPr>
        <w:pStyle w:val="whitespace-normal"/>
        <w:numPr>
          <w:ilvl w:val="0"/>
          <w:numId w:val="255"/>
        </w:numPr>
      </w:pPr>
      <w:r>
        <w:rPr>
          <w:rStyle w:val="Fett"/>
        </w:rPr>
        <w:t>Wirtschaftliche Gerechtigkeit</w:t>
      </w:r>
      <w:r>
        <w:t>: Verhindert Verarmung</w:t>
      </w:r>
    </w:p>
    <w:p w14:paraId="04951066" w14:textId="77777777" w:rsidR="00A70B01" w:rsidRDefault="00A70B01" w:rsidP="00097545">
      <w:pPr>
        <w:pStyle w:val="whitespace-normal"/>
        <w:numPr>
          <w:ilvl w:val="0"/>
          <w:numId w:val="255"/>
        </w:numPr>
      </w:pPr>
      <w:r>
        <w:rPr>
          <w:rStyle w:val="Fett"/>
        </w:rPr>
        <w:t>Rückkehr zur göttlichen Ordnung</w:t>
      </w:r>
      <w:r>
        <w:t>: Alle 50 Jahre ein Reset</w:t>
      </w:r>
    </w:p>
    <w:p w14:paraId="65A2C184" w14:textId="77777777" w:rsidR="00A70B01" w:rsidRDefault="00A70B01" w:rsidP="00A70B01">
      <w:pPr>
        <w:pStyle w:val="whitespace-normal"/>
      </w:pPr>
      <w:r>
        <w:rPr>
          <w:rStyle w:val="Fett"/>
        </w:rPr>
        <w:t>Das Erbschafts-Prinzip:</w:t>
      </w:r>
    </w:p>
    <w:p w14:paraId="2FE6C217" w14:textId="77777777" w:rsidR="00A70B01" w:rsidRDefault="00A70B01" w:rsidP="00097545">
      <w:pPr>
        <w:pStyle w:val="whitespace-normal"/>
        <w:numPr>
          <w:ilvl w:val="0"/>
          <w:numId w:val="256"/>
        </w:numPr>
      </w:pPr>
      <w:r>
        <w:rPr>
          <w:rStyle w:val="Fett"/>
        </w:rPr>
        <w:t>Familienintegrität</w:t>
      </w:r>
      <w:r>
        <w:t>: Land bleibt in der Familie</w:t>
      </w:r>
    </w:p>
    <w:p w14:paraId="42B0BDBA" w14:textId="77777777" w:rsidR="00A70B01" w:rsidRDefault="00A70B01" w:rsidP="00097545">
      <w:pPr>
        <w:pStyle w:val="whitespace-normal"/>
        <w:numPr>
          <w:ilvl w:val="0"/>
          <w:numId w:val="256"/>
        </w:numPr>
      </w:pPr>
      <w:r>
        <w:rPr>
          <w:rStyle w:val="Fett"/>
        </w:rPr>
        <w:t>Stammesidentität</w:t>
      </w:r>
      <w:r>
        <w:t>: Stämme bleiben intakt</w:t>
      </w:r>
    </w:p>
    <w:p w14:paraId="5ACF9644" w14:textId="6FA54D20" w:rsidR="00A70B01" w:rsidRPr="00D754E3" w:rsidRDefault="00A70B01" w:rsidP="00A70B01">
      <w:pPr>
        <w:pStyle w:val="whitespace-normal"/>
      </w:pPr>
      <w:r>
        <w:rPr>
          <w:rStyle w:val="Fett"/>
        </w:rPr>
        <w:t>Beide Prinzipien sind heilig – Num 36 zeigt, wie sie koexistieren.</w:t>
      </w:r>
    </w:p>
    <w:p w14:paraId="1CB17A30" w14:textId="77777777" w:rsidR="00D754E3" w:rsidRDefault="00D754E3" w:rsidP="00D754E3">
      <w:pPr>
        <w:pStyle w:val="berschrift1"/>
      </w:pPr>
      <w:r>
        <w:t>Numeri 36,5</w:t>
      </w:r>
    </w:p>
    <w:p w14:paraId="5FA943CD" w14:textId="18BA1FD5" w:rsidR="00D754E3" w:rsidRDefault="00D754E3" w:rsidP="00D754E3">
      <w:pPr>
        <w:pStyle w:val="whitespace-normal"/>
      </w:pPr>
      <w:r>
        <w:rPr>
          <w:rStyle w:val="Fett"/>
        </w:rPr>
        <w:t>Hebräisch:</w:t>
      </w:r>
      <w:r w:rsidRPr="00D754E3">
        <w:rPr>
          <w:rtl/>
        </w:rPr>
        <w:t xml:space="preserve"> </w:t>
      </w:r>
      <w:r>
        <w:rPr>
          <w:rtl/>
        </w:rPr>
        <w:t>וַיְצַ֤ו מֹשֶׁה֙ אֶת־בְּנֵ֣י יִשְ</w:t>
      </w:r>
      <w:r w:rsidRPr="00D754E3">
        <w:rPr>
          <w:rtl/>
        </w:rPr>
        <w:t xml:space="preserve"> </w:t>
      </w:r>
      <w:r>
        <w:rPr>
          <w:rtl/>
        </w:rPr>
        <w:t>רָאֵ֔ל עַל־פִּ֥י יְהוָ֖ה לֵאמֹ֑ר כֵּ֛ן מַטֵּ֥ה בְנֵֽי־יוֹסֵ֖ף דֹּבְרִֽים׃</w:t>
      </w:r>
    </w:p>
    <w:p w14:paraId="484372C8" w14:textId="6D34AC12"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Deutsch:</w:t>
      </w:r>
      <w:r w:rsidRPr="00D754E3">
        <w:rPr>
          <w:rFonts w:eastAsia="Times New Roman" w:cs="Times New Roman"/>
          <w:lang w:eastAsia="de-DE"/>
        </w:rPr>
        <w:t xml:space="preserve"> Da gebot Mosche den Söhnen Jisra'el nach dem Mund des Ewigen und sprach: Der Stamm der Söhne Josef redet recht.</w:t>
      </w:r>
    </w:p>
    <w:p w14:paraId="2DC6FFD5" w14:textId="5E974B68" w:rsidR="00D754E3" w:rsidRPr="00D754E3" w:rsidRDefault="00D754E3" w:rsidP="00D754E3">
      <w:pPr>
        <w:spacing w:before="100" w:beforeAutospacing="1" w:after="100" w:afterAutospacing="1" w:line="240" w:lineRule="auto"/>
        <w:rPr>
          <w:rFonts w:eastAsia="Times New Roman" w:cs="Times New Roman"/>
          <w:lang w:eastAsia="de-DE"/>
        </w:rPr>
      </w:pPr>
    </w:p>
    <w:p w14:paraId="390FE0EF" w14:textId="77777777" w:rsidR="00D754E3" w:rsidRPr="00D754E3" w:rsidRDefault="00F329DD" w:rsidP="00D754E3">
      <w:pPr>
        <w:spacing w:after="0" w:line="240" w:lineRule="auto"/>
        <w:rPr>
          <w:rFonts w:eastAsia="Times New Roman" w:cs="Times New Roman"/>
          <w:lang w:eastAsia="de-DE"/>
        </w:rPr>
      </w:pPr>
      <w:r>
        <w:rPr>
          <w:rFonts w:eastAsia="Times New Roman" w:cs="Times New Roman"/>
          <w:noProof/>
          <w:lang w:eastAsia="de-DE"/>
        </w:rPr>
        <w:pict w14:anchorId="0BBA9C88">
          <v:rect id="_x0000_i2097" style="width:0;height:1.5pt" o:hralign="center" o:hrstd="t" o:hr="t" fillcolor="#a0a0a0" stroked="f"/>
        </w:pict>
      </w:r>
    </w:p>
    <w:p w14:paraId="5ADB6DF2" w14:textId="118B35D1"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Kommentar:</w:t>
      </w:r>
      <w:r>
        <w:rPr>
          <w:rFonts w:eastAsia="Times New Roman" w:cs="Times New Roman"/>
          <w:lang w:eastAsia="de-DE"/>
        </w:rPr>
        <w:t xml:space="preserve"> </w:t>
      </w:r>
      <w:r w:rsidRPr="00D754E3">
        <w:rPr>
          <w:rFonts w:eastAsia="Times New Roman" w:cs="Times New Roman"/>
          <w:lang w:eastAsia="de-DE"/>
        </w:rPr>
        <w:t xml:space="preserve">Der Vers beginnt mit dem Waw-Konsekutiv-Imperfekt </w:t>
      </w:r>
      <w:r w:rsidRPr="00D754E3">
        <w:rPr>
          <w:rFonts w:eastAsia="Times New Roman" w:cs="Times New Roman"/>
          <w:b/>
          <w:bCs/>
          <w:rtl/>
          <w:lang w:eastAsia="de-DE"/>
        </w:rPr>
        <w:t>וַיְצַו</w:t>
      </w:r>
      <w:r w:rsidRPr="00D754E3">
        <w:rPr>
          <w:rFonts w:eastAsia="Times New Roman" w:cs="Times New Roman"/>
          <w:rtl/>
          <w:lang w:eastAsia="de-DE"/>
        </w:rPr>
        <w:t xml:space="preserve"> </w:t>
      </w:r>
      <w:r w:rsidRPr="00D754E3">
        <w:rPr>
          <w:rFonts w:eastAsia="Times New Roman" w:cs="Times New Roman"/>
          <w:lang w:eastAsia="de-DE"/>
        </w:rPr>
        <w:t xml:space="preserve">(3. Person Singular maskulin von </w:t>
      </w:r>
      <w:r w:rsidRPr="00D754E3">
        <w:rPr>
          <w:rFonts w:eastAsia="Times New Roman" w:cs="Times New Roman"/>
          <w:rtl/>
          <w:lang w:eastAsia="de-DE"/>
        </w:rPr>
        <w:t>צוה</w:t>
      </w:r>
      <w:r w:rsidRPr="00D754E3">
        <w:rPr>
          <w:rFonts w:eastAsia="Times New Roman" w:cs="Times New Roman"/>
          <w:lang w:eastAsia="de-DE"/>
        </w:rPr>
        <w:t xml:space="preserve"> im Piel, befehlen/gebieten), das die narrative Fortsetzung markiert und Moses Reaktion auf die Petition einleitet. Das Subjekt ist </w:t>
      </w:r>
      <w:r w:rsidRPr="00D754E3">
        <w:rPr>
          <w:rFonts w:eastAsia="Times New Roman" w:cs="Times New Roman"/>
          <w:b/>
          <w:bCs/>
          <w:rtl/>
          <w:lang w:eastAsia="de-DE"/>
        </w:rPr>
        <w:t>מֹשֶׁה</w:t>
      </w:r>
      <w:r w:rsidRPr="00D754E3">
        <w:rPr>
          <w:rFonts w:eastAsia="Times New Roman" w:cs="Times New Roman"/>
          <w:rtl/>
          <w:lang w:eastAsia="de-DE"/>
        </w:rPr>
        <w:t xml:space="preserve"> </w:t>
      </w:r>
      <w:r w:rsidRPr="00D754E3">
        <w:rPr>
          <w:rFonts w:eastAsia="Times New Roman" w:cs="Times New Roman"/>
          <w:lang w:eastAsia="de-DE"/>
        </w:rPr>
        <w:t xml:space="preserve">(Mose, Eigenname ohne Artikel). Das direkte Objekt wird durch die Akkusativpartikel </w:t>
      </w:r>
      <w:r w:rsidRPr="00D754E3">
        <w:rPr>
          <w:rFonts w:eastAsia="Times New Roman" w:cs="Times New Roman"/>
          <w:b/>
          <w:bCs/>
          <w:rtl/>
          <w:lang w:eastAsia="de-DE"/>
        </w:rPr>
        <w:t>אֶת</w:t>
      </w:r>
      <w:r w:rsidRPr="00D754E3">
        <w:rPr>
          <w:rFonts w:eastAsia="Times New Roman" w:cs="Times New Roman"/>
          <w:rtl/>
          <w:lang w:eastAsia="de-DE"/>
        </w:rPr>
        <w:t xml:space="preserve"> </w:t>
      </w:r>
      <w:r w:rsidRPr="00D754E3">
        <w:rPr>
          <w:rFonts w:eastAsia="Times New Roman" w:cs="Times New Roman"/>
          <w:lang w:eastAsia="de-DE"/>
        </w:rPr>
        <w:t xml:space="preserve">eingeleitet: </w:t>
      </w:r>
      <w:r w:rsidRPr="00D754E3">
        <w:rPr>
          <w:rFonts w:eastAsia="Times New Roman" w:cs="Times New Roman"/>
          <w:b/>
          <w:bCs/>
          <w:rtl/>
          <w:lang w:eastAsia="de-DE"/>
        </w:rPr>
        <w:t>אֶת־בְּנֵי יִשְׂרָאֵל</w:t>
      </w:r>
      <w:r w:rsidRPr="00D754E3">
        <w:rPr>
          <w:rFonts w:eastAsia="Times New Roman" w:cs="Times New Roman"/>
          <w:rtl/>
          <w:lang w:eastAsia="de-DE"/>
        </w:rPr>
        <w:t xml:space="preserve"> </w:t>
      </w:r>
      <w:r w:rsidRPr="00D754E3">
        <w:rPr>
          <w:rFonts w:eastAsia="Times New Roman" w:cs="Times New Roman"/>
          <w:lang w:eastAsia="de-DE"/>
        </w:rPr>
        <w:t>(die Söhne Israels), was den Adressatenkreis des Gebots angibt.</w:t>
      </w:r>
    </w:p>
    <w:p w14:paraId="2F15C6CA"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präpositionale Phrase </w:t>
      </w:r>
      <w:r w:rsidRPr="00D754E3">
        <w:rPr>
          <w:rFonts w:eastAsia="Times New Roman" w:cs="Times New Roman"/>
          <w:b/>
          <w:bCs/>
          <w:rtl/>
          <w:lang w:eastAsia="de-DE"/>
        </w:rPr>
        <w:t>עַל־פִּי יְהוָה</w:t>
      </w:r>
      <w:r w:rsidRPr="00D754E3">
        <w:rPr>
          <w:rFonts w:eastAsia="Times New Roman" w:cs="Times New Roman"/>
          <w:rtl/>
          <w:lang w:eastAsia="de-DE"/>
        </w:rPr>
        <w:t xml:space="preserve"> </w:t>
      </w:r>
      <w:r w:rsidRPr="00D754E3">
        <w:rPr>
          <w:rFonts w:eastAsia="Times New Roman" w:cs="Times New Roman"/>
          <w:lang w:eastAsia="de-DE"/>
        </w:rPr>
        <w:t xml:space="preserve">(nach dem Mund des Ewigen) ist eine idiomatische Wendung, die die göttliche Autorität hinter Moses Anordnung unterstreicht. </w:t>
      </w:r>
      <w:r w:rsidRPr="00D754E3">
        <w:rPr>
          <w:rFonts w:eastAsia="Times New Roman" w:cs="Times New Roman"/>
          <w:b/>
          <w:bCs/>
          <w:rtl/>
          <w:lang w:eastAsia="de-DE"/>
        </w:rPr>
        <w:t>עַל</w:t>
      </w:r>
      <w:r w:rsidRPr="00D754E3">
        <w:rPr>
          <w:rFonts w:eastAsia="Times New Roman" w:cs="Times New Roman"/>
          <w:rtl/>
          <w:lang w:eastAsia="de-DE"/>
        </w:rPr>
        <w:t xml:space="preserve"> </w:t>
      </w:r>
      <w:r w:rsidRPr="00D754E3">
        <w:rPr>
          <w:rFonts w:eastAsia="Times New Roman" w:cs="Times New Roman"/>
          <w:lang w:eastAsia="de-DE"/>
        </w:rPr>
        <w:t xml:space="preserve">(auf, gemäß) zusammen mit </w:t>
      </w:r>
      <w:r w:rsidRPr="00D754E3">
        <w:rPr>
          <w:rFonts w:eastAsia="Times New Roman" w:cs="Times New Roman"/>
          <w:b/>
          <w:bCs/>
          <w:rtl/>
          <w:lang w:eastAsia="de-DE"/>
        </w:rPr>
        <w:t>פִּי</w:t>
      </w:r>
      <w:r w:rsidRPr="00D754E3">
        <w:rPr>
          <w:rFonts w:eastAsia="Times New Roman" w:cs="Times New Roman"/>
          <w:rtl/>
          <w:lang w:eastAsia="de-DE"/>
        </w:rPr>
        <w:t xml:space="preserve"> </w:t>
      </w:r>
      <w:r w:rsidRPr="00D754E3">
        <w:rPr>
          <w:rFonts w:eastAsia="Times New Roman" w:cs="Times New Roman"/>
          <w:lang w:eastAsia="de-DE"/>
        </w:rPr>
        <w:t xml:space="preserve">(Mund, maskulin singular constructus von </w:t>
      </w:r>
      <w:r w:rsidRPr="00D754E3">
        <w:rPr>
          <w:rFonts w:eastAsia="Times New Roman" w:cs="Times New Roman"/>
          <w:rtl/>
          <w:lang w:eastAsia="de-DE"/>
        </w:rPr>
        <w:t>פֶּה</w:t>
      </w:r>
      <w:r w:rsidRPr="00D754E3">
        <w:rPr>
          <w:rFonts w:eastAsia="Times New Roman" w:cs="Times New Roman"/>
          <w:lang w:eastAsia="de-DE"/>
        </w:rPr>
        <w:t xml:space="preserve">) und dem Gottesnamen </w:t>
      </w:r>
      <w:r w:rsidRPr="00D754E3">
        <w:rPr>
          <w:rFonts w:eastAsia="Times New Roman" w:cs="Times New Roman"/>
          <w:b/>
          <w:bCs/>
          <w:rtl/>
          <w:lang w:eastAsia="de-DE"/>
        </w:rPr>
        <w:t>יְהוָה</w:t>
      </w:r>
      <w:r w:rsidRPr="00D754E3">
        <w:rPr>
          <w:rFonts w:eastAsia="Times New Roman" w:cs="Times New Roman"/>
          <w:rtl/>
          <w:lang w:eastAsia="de-DE"/>
        </w:rPr>
        <w:t xml:space="preserve"> </w:t>
      </w:r>
      <w:r w:rsidRPr="00D754E3">
        <w:rPr>
          <w:rFonts w:eastAsia="Times New Roman" w:cs="Times New Roman"/>
          <w:lang w:eastAsia="de-DE"/>
        </w:rPr>
        <w:t>bilden diese formale Formel, die häufig verwendet wird, um anzuzeigen, dass Mose nicht aus eigener Vollmacht, sondern als Mittler göttlicher Weisung handelt.</w:t>
      </w:r>
    </w:p>
    <w:p w14:paraId="7178001B"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Verb </w:t>
      </w:r>
      <w:r w:rsidRPr="00D754E3">
        <w:rPr>
          <w:rFonts w:eastAsia="Times New Roman" w:cs="Times New Roman"/>
          <w:b/>
          <w:bCs/>
          <w:rtl/>
          <w:lang w:eastAsia="de-DE"/>
        </w:rPr>
        <w:t>לֵאמֹר</w:t>
      </w:r>
      <w:r w:rsidRPr="00D754E3">
        <w:rPr>
          <w:rFonts w:eastAsia="Times New Roman" w:cs="Times New Roman"/>
          <w:rtl/>
          <w:lang w:eastAsia="de-DE"/>
        </w:rPr>
        <w:t xml:space="preserve"> </w:t>
      </w:r>
      <w:r w:rsidRPr="00D754E3">
        <w:rPr>
          <w:rFonts w:eastAsia="Times New Roman" w:cs="Times New Roman"/>
          <w:lang w:eastAsia="de-DE"/>
        </w:rPr>
        <w:t xml:space="preserve">(Infinitivus constructus von </w:t>
      </w:r>
      <w:r w:rsidRPr="00D754E3">
        <w:rPr>
          <w:rFonts w:eastAsia="Times New Roman" w:cs="Times New Roman"/>
          <w:rtl/>
          <w:lang w:eastAsia="de-DE"/>
        </w:rPr>
        <w:t>אמר</w:t>
      </w:r>
      <w:r w:rsidRPr="00D754E3">
        <w:rPr>
          <w:rFonts w:eastAsia="Times New Roman" w:cs="Times New Roman"/>
          <w:lang w:eastAsia="de-DE"/>
        </w:rPr>
        <w:t xml:space="preserve">, sagen/sprechen) leitet die direkte Rede ein und ist eine standardmäßige Redeeinleitungsformel im Hebräischen. Die direkte Rede selbst ist bemerkenswert knapp: </w:t>
      </w:r>
      <w:r w:rsidRPr="00D754E3">
        <w:rPr>
          <w:rFonts w:eastAsia="Times New Roman" w:cs="Times New Roman"/>
          <w:b/>
          <w:bCs/>
          <w:rtl/>
          <w:lang w:eastAsia="de-DE"/>
        </w:rPr>
        <w:t>כֵּן</w:t>
      </w:r>
      <w:r w:rsidRPr="00D754E3">
        <w:rPr>
          <w:rFonts w:eastAsia="Times New Roman" w:cs="Times New Roman"/>
          <w:rtl/>
          <w:lang w:eastAsia="de-DE"/>
        </w:rPr>
        <w:t xml:space="preserve"> </w:t>
      </w:r>
      <w:r w:rsidRPr="00D754E3">
        <w:rPr>
          <w:rFonts w:eastAsia="Times New Roman" w:cs="Times New Roman"/>
          <w:lang w:eastAsia="de-DE"/>
        </w:rPr>
        <w:t xml:space="preserve">(so, recht, richtig) ist ein Adverb der Zustimmung oder </w:t>
      </w:r>
      <w:r w:rsidRPr="00D754E3">
        <w:rPr>
          <w:rFonts w:eastAsia="Times New Roman" w:cs="Times New Roman"/>
          <w:lang w:eastAsia="de-DE"/>
        </w:rPr>
        <w:lastRenderedPageBreak/>
        <w:t xml:space="preserve">Bestätigung. </w:t>
      </w:r>
      <w:r w:rsidRPr="00D754E3">
        <w:rPr>
          <w:rFonts w:eastAsia="Times New Roman" w:cs="Times New Roman"/>
          <w:b/>
          <w:bCs/>
          <w:rtl/>
          <w:lang w:eastAsia="de-DE"/>
        </w:rPr>
        <w:t>מַטֵּה בְנֵי־יוֹסֵף</w:t>
      </w:r>
      <w:r w:rsidRPr="00D754E3">
        <w:rPr>
          <w:rFonts w:eastAsia="Times New Roman" w:cs="Times New Roman"/>
          <w:rtl/>
          <w:lang w:eastAsia="de-DE"/>
        </w:rPr>
        <w:t xml:space="preserve"> </w:t>
      </w:r>
      <w:r w:rsidRPr="00D754E3">
        <w:rPr>
          <w:rFonts w:eastAsia="Times New Roman" w:cs="Times New Roman"/>
          <w:lang w:eastAsia="de-DE"/>
        </w:rPr>
        <w:t xml:space="preserve">(der Stamm der Söhne Josefs) ist das Subjekt, wobei </w:t>
      </w:r>
      <w:r w:rsidRPr="00D754E3">
        <w:rPr>
          <w:rFonts w:eastAsia="Times New Roman" w:cs="Times New Roman"/>
          <w:b/>
          <w:bCs/>
          <w:rtl/>
          <w:lang w:eastAsia="de-DE"/>
        </w:rPr>
        <w:t>מַטֵּה</w:t>
      </w:r>
      <w:r w:rsidRPr="00D754E3">
        <w:rPr>
          <w:rFonts w:eastAsia="Times New Roman" w:cs="Times New Roman"/>
          <w:rtl/>
          <w:lang w:eastAsia="de-DE"/>
        </w:rPr>
        <w:t xml:space="preserve"> </w:t>
      </w:r>
      <w:r w:rsidRPr="00D754E3">
        <w:rPr>
          <w:rFonts w:eastAsia="Times New Roman" w:cs="Times New Roman"/>
          <w:lang w:eastAsia="de-DE"/>
        </w:rPr>
        <w:t xml:space="preserve">(Stamm, maskulin singular) im constructus mit </w:t>
      </w:r>
      <w:r w:rsidRPr="00D754E3">
        <w:rPr>
          <w:rFonts w:eastAsia="Times New Roman" w:cs="Times New Roman"/>
          <w:b/>
          <w:bCs/>
          <w:rtl/>
          <w:lang w:eastAsia="de-DE"/>
        </w:rPr>
        <w:t>בְנֵי־יוֹסֵף</w:t>
      </w:r>
      <w:r w:rsidRPr="00D754E3">
        <w:rPr>
          <w:rFonts w:eastAsia="Times New Roman" w:cs="Times New Roman"/>
          <w:rtl/>
          <w:lang w:eastAsia="de-DE"/>
        </w:rPr>
        <w:t xml:space="preserve"> </w:t>
      </w:r>
      <w:r w:rsidRPr="00D754E3">
        <w:rPr>
          <w:rFonts w:eastAsia="Times New Roman" w:cs="Times New Roman"/>
          <w:lang w:eastAsia="de-DE"/>
        </w:rPr>
        <w:t>steht – eine Genitivverbindung.</w:t>
      </w:r>
    </w:p>
    <w:p w14:paraId="23A90C03"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Partizip </w:t>
      </w:r>
      <w:r w:rsidRPr="00D754E3">
        <w:rPr>
          <w:rFonts w:eastAsia="Times New Roman" w:cs="Times New Roman"/>
          <w:b/>
          <w:bCs/>
          <w:rtl/>
          <w:lang w:eastAsia="de-DE"/>
        </w:rPr>
        <w:t>דֹּבְרִים</w:t>
      </w:r>
      <w:r w:rsidRPr="00D754E3">
        <w:rPr>
          <w:rFonts w:eastAsia="Times New Roman" w:cs="Times New Roman"/>
          <w:rtl/>
          <w:lang w:eastAsia="de-DE"/>
        </w:rPr>
        <w:t xml:space="preserve"> </w:t>
      </w:r>
      <w:r w:rsidRPr="00D754E3">
        <w:rPr>
          <w:rFonts w:eastAsia="Times New Roman" w:cs="Times New Roman"/>
          <w:lang w:eastAsia="de-DE"/>
        </w:rPr>
        <w:t xml:space="preserve">(Plural maskulin von </w:t>
      </w:r>
      <w:r w:rsidRPr="00D754E3">
        <w:rPr>
          <w:rFonts w:eastAsia="Times New Roman" w:cs="Times New Roman"/>
          <w:rtl/>
          <w:lang w:eastAsia="de-DE"/>
        </w:rPr>
        <w:t>דבר</w:t>
      </w:r>
      <w:r w:rsidRPr="00D754E3">
        <w:rPr>
          <w:rFonts w:eastAsia="Times New Roman" w:cs="Times New Roman"/>
          <w:lang w:eastAsia="de-DE"/>
        </w:rPr>
        <w:t>, redend/sprechend) fungiert als Prädikat und drückt eine andauernde oder charakteristische Handlung aus. Die Verwendung des Partizips anstelle eines finiten Verbs verleiht der Aussage eine gewisse Unmittelbarkeit und präsentische Qualität: Sie reden (gerade/aktuell) recht.</w:t>
      </w:r>
    </w:p>
    <w:p w14:paraId="273EA0D7"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Die LXX</w:t>
      </w:r>
      <w:r w:rsidRPr="00D754E3">
        <w:rPr>
          <w:rFonts w:eastAsia="Times New Roman" w:cs="Times New Roman"/>
          <w:lang w:eastAsia="de-DE"/>
        </w:rPr>
        <w:t xml:space="preserve"> übersetzt </w:t>
      </w:r>
      <w:r w:rsidRPr="00D754E3">
        <w:rPr>
          <w:rFonts w:eastAsia="Times New Roman" w:cs="Times New Roman"/>
          <w:b/>
          <w:bCs/>
          <w:rtl/>
          <w:lang w:eastAsia="de-DE"/>
        </w:rPr>
        <w:t>וַיְצַו</w:t>
      </w:r>
      <w:r w:rsidRPr="00D754E3">
        <w:rPr>
          <w:rFonts w:eastAsia="Times New Roman" w:cs="Times New Roman"/>
          <w:rtl/>
          <w:lang w:eastAsia="de-DE"/>
        </w:rPr>
        <w:t xml:space="preserve"> </w:t>
      </w:r>
      <w:r w:rsidRPr="00D754E3">
        <w:rPr>
          <w:rFonts w:eastAsia="Times New Roman" w:cs="Times New Roman"/>
          <w:lang w:eastAsia="de-DE"/>
        </w:rPr>
        <w:t xml:space="preserve">mit ἐνετείλατο (er befahl), wodurch die autoritative Natur des Gebots bewahrt wird. Die Phrase </w:t>
      </w:r>
      <w:r w:rsidRPr="00D754E3">
        <w:rPr>
          <w:rFonts w:eastAsia="Times New Roman" w:cs="Times New Roman"/>
          <w:b/>
          <w:bCs/>
          <w:rtl/>
          <w:lang w:eastAsia="de-DE"/>
        </w:rPr>
        <w:t>עַל־פִּי יְהוָה</w:t>
      </w:r>
      <w:r w:rsidRPr="00D754E3">
        <w:rPr>
          <w:rFonts w:eastAsia="Times New Roman" w:cs="Times New Roman"/>
          <w:rtl/>
          <w:lang w:eastAsia="de-DE"/>
        </w:rPr>
        <w:t xml:space="preserve"> </w:t>
      </w:r>
      <w:r w:rsidRPr="00D754E3">
        <w:rPr>
          <w:rFonts w:eastAsia="Times New Roman" w:cs="Times New Roman"/>
          <w:lang w:eastAsia="de-DE"/>
        </w:rPr>
        <w:t xml:space="preserve">wird mit διὰ προστάγματος κυρίου (durch den Befehl des Herrn) wiedergegeben, was die göttliche Vermittlung betont, jedoch mit einer etwas anderen Nuance als das hebräische "Mund"-Idiom. Die LXX macht die Autorität expliziter durch den Begriff πρόσταγμα (Befehl/Anordnung). Für </w:t>
      </w:r>
      <w:r w:rsidRPr="00D754E3">
        <w:rPr>
          <w:rFonts w:eastAsia="Times New Roman" w:cs="Times New Roman"/>
          <w:b/>
          <w:bCs/>
          <w:rtl/>
          <w:lang w:eastAsia="de-DE"/>
        </w:rPr>
        <w:t>לֵאמֹר</w:t>
      </w:r>
      <w:r w:rsidRPr="00D754E3">
        <w:rPr>
          <w:rFonts w:eastAsia="Times New Roman" w:cs="Times New Roman"/>
          <w:rtl/>
          <w:lang w:eastAsia="de-DE"/>
        </w:rPr>
        <w:t xml:space="preserve"> </w:t>
      </w:r>
      <w:r w:rsidRPr="00D754E3">
        <w:rPr>
          <w:rFonts w:eastAsia="Times New Roman" w:cs="Times New Roman"/>
          <w:lang w:eastAsia="de-DE"/>
        </w:rPr>
        <w:t xml:space="preserve">verwendet die LXX λέγων (sagend), die standardmäßige griechische Redeeinleitung. Die direkte Rede </w:t>
      </w:r>
      <w:r w:rsidRPr="00D754E3">
        <w:rPr>
          <w:rFonts w:eastAsia="Times New Roman" w:cs="Times New Roman"/>
          <w:b/>
          <w:bCs/>
          <w:rtl/>
          <w:lang w:eastAsia="de-DE"/>
        </w:rPr>
        <w:t>כֵּן מַטֵּה בְנֵי־יוֹסֵף דֹּבְרִים</w:t>
      </w:r>
      <w:r w:rsidRPr="00D754E3">
        <w:rPr>
          <w:rFonts w:eastAsia="Times New Roman" w:cs="Times New Roman"/>
          <w:rtl/>
          <w:lang w:eastAsia="de-DE"/>
        </w:rPr>
        <w:t xml:space="preserve"> </w:t>
      </w:r>
      <w:r w:rsidRPr="00D754E3">
        <w:rPr>
          <w:rFonts w:eastAsia="Times New Roman" w:cs="Times New Roman"/>
          <w:lang w:eastAsia="de-DE"/>
        </w:rPr>
        <w:t xml:space="preserve">wird mit ὀρθῶς φυλὴ υἱῶν Ιωσηφ λέγουσιν (richtig redet der Stamm der Söhne Josefs) übersetzt, wobei ὀρθῶς das hebräische </w:t>
      </w:r>
      <w:r w:rsidRPr="00D754E3">
        <w:rPr>
          <w:rFonts w:eastAsia="Times New Roman" w:cs="Times New Roman"/>
          <w:b/>
          <w:bCs/>
          <w:rtl/>
          <w:lang w:eastAsia="de-DE"/>
        </w:rPr>
        <w:t>כֵּן</w:t>
      </w:r>
      <w:r w:rsidRPr="00D754E3">
        <w:rPr>
          <w:rFonts w:eastAsia="Times New Roman" w:cs="Times New Roman"/>
          <w:rtl/>
          <w:lang w:eastAsia="de-DE"/>
        </w:rPr>
        <w:t xml:space="preserve"> </w:t>
      </w:r>
      <w:r w:rsidRPr="00D754E3">
        <w:rPr>
          <w:rFonts w:eastAsia="Times New Roman" w:cs="Times New Roman"/>
          <w:lang w:eastAsia="de-DE"/>
        </w:rPr>
        <w:t xml:space="preserve">wiedergibt und λέγουσιν das Partizip </w:t>
      </w:r>
      <w:r w:rsidRPr="00D754E3">
        <w:rPr>
          <w:rFonts w:eastAsia="Times New Roman" w:cs="Times New Roman"/>
          <w:b/>
          <w:bCs/>
          <w:rtl/>
          <w:lang w:eastAsia="de-DE"/>
        </w:rPr>
        <w:t>דֹּבְרִים</w:t>
      </w:r>
      <w:r w:rsidRPr="00D754E3">
        <w:rPr>
          <w:rFonts w:eastAsia="Times New Roman" w:cs="Times New Roman"/>
          <w:rtl/>
          <w:lang w:eastAsia="de-DE"/>
        </w:rPr>
        <w:t xml:space="preserve"> </w:t>
      </w:r>
      <w:r w:rsidRPr="00D754E3">
        <w:rPr>
          <w:rFonts w:eastAsia="Times New Roman" w:cs="Times New Roman"/>
          <w:lang w:eastAsia="de-DE"/>
        </w:rPr>
        <w:t>als finites Verb im Präsens wiedergibt.</w:t>
      </w:r>
    </w:p>
    <w:p w14:paraId="28AD121A"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Die Satzstruktur besteht aus einem Hauptsatz mit einem eingebetteten Zitat: Subjekt (</w:t>
      </w:r>
      <w:r w:rsidRPr="00D754E3">
        <w:rPr>
          <w:rFonts w:eastAsia="Times New Roman" w:cs="Times New Roman"/>
          <w:b/>
          <w:bCs/>
          <w:rtl/>
          <w:lang w:eastAsia="de-DE"/>
        </w:rPr>
        <w:t>מֹשֶׁה</w:t>
      </w:r>
      <w:r w:rsidRPr="00D754E3">
        <w:rPr>
          <w:rFonts w:eastAsia="Times New Roman" w:cs="Times New Roman"/>
          <w:lang w:eastAsia="de-DE"/>
        </w:rPr>
        <w:t>) + Prädikat (</w:t>
      </w:r>
      <w:r w:rsidRPr="00D754E3">
        <w:rPr>
          <w:rFonts w:eastAsia="Times New Roman" w:cs="Times New Roman"/>
          <w:b/>
          <w:bCs/>
          <w:rtl/>
          <w:lang w:eastAsia="de-DE"/>
        </w:rPr>
        <w:t>וַיְצַו</w:t>
      </w:r>
      <w:r w:rsidRPr="00D754E3">
        <w:rPr>
          <w:rFonts w:eastAsia="Times New Roman" w:cs="Times New Roman"/>
          <w:lang w:eastAsia="de-DE"/>
        </w:rPr>
        <w:t>) + Objekt (</w:t>
      </w:r>
      <w:r w:rsidRPr="00D754E3">
        <w:rPr>
          <w:rFonts w:eastAsia="Times New Roman" w:cs="Times New Roman"/>
          <w:b/>
          <w:bCs/>
          <w:rtl/>
          <w:lang w:eastAsia="de-DE"/>
        </w:rPr>
        <w:t>אֶת־בְּנֵי יִשְׂרָאֵל</w:t>
      </w:r>
      <w:r w:rsidRPr="00D754E3">
        <w:rPr>
          <w:rFonts w:eastAsia="Times New Roman" w:cs="Times New Roman"/>
          <w:lang w:eastAsia="de-DE"/>
        </w:rPr>
        <w:t>) + präpositionale Phrase (</w:t>
      </w:r>
      <w:r w:rsidRPr="00D754E3">
        <w:rPr>
          <w:rFonts w:eastAsia="Times New Roman" w:cs="Times New Roman"/>
          <w:b/>
          <w:bCs/>
          <w:rtl/>
          <w:lang w:eastAsia="de-DE"/>
        </w:rPr>
        <w:t>עַל־פִּי יְהוָה</w:t>
      </w:r>
      <w:r w:rsidRPr="00D754E3">
        <w:rPr>
          <w:rFonts w:eastAsia="Times New Roman" w:cs="Times New Roman"/>
          <w:lang w:eastAsia="de-DE"/>
        </w:rPr>
        <w:t>) + Redeeinleitung (</w:t>
      </w:r>
      <w:r w:rsidRPr="00D754E3">
        <w:rPr>
          <w:rFonts w:eastAsia="Times New Roman" w:cs="Times New Roman"/>
          <w:b/>
          <w:bCs/>
          <w:rtl/>
          <w:lang w:eastAsia="de-DE"/>
        </w:rPr>
        <w:t>לֵאמֹר</w:t>
      </w:r>
      <w:r w:rsidRPr="00D754E3">
        <w:rPr>
          <w:rFonts w:eastAsia="Times New Roman" w:cs="Times New Roman"/>
          <w:lang w:eastAsia="de-DE"/>
        </w:rPr>
        <w:t>), gefolgt von der direkten Rede, die selbst ein nominaler Satz ist: Adverb (</w:t>
      </w:r>
      <w:r w:rsidRPr="00D754E3">
        <w:rPr>
          <w:rFonts w:eastAsia="Times New Roman" w:cs="Times New Roman"/>
          <w:b/>
          <w:bCs/>
          <w:rtl/>
          <w:lang w:eastAsia="de-DE"/>
        </w:rPr>
        <w:t>כֵּן</w:t>
      </w:r>
      <w:r w:rsidRPr="00D754E3">
        <w:rPr>
          <w:rFonts w:eastAsia="Times New Roman" w:cs="Times New Roman"/>
          <w:lang w:eastAsia="de-DE"/>
        </w:rPr>
        <w:t>) + Subjekt (</w:t>
      </w:r>
      <w:r w:rsidRPr="00D754E3">
        <w:rPr>
          <w:rFonts w:eastAsia="Times New Roman" w:cs="Times New Roman"/>
          <w:b/>
          <w:bCs/>
          <w:rtl/>
          <w:lang w:eastAsia="de-DE"/>
        </w:rPr>
        <w:t>מַטֵּה בְנֵי־יוֹסֵף</w:t>
      </w:r>
      <w:r w:rsidRPr="00D754E3">
        <w:rPr>
          <w:rFonts w:eastAsia="Times New Roman" w:cs="Times New Roman"/>
          <w:lang w:eastAsia="de-DE"/>
        </w:rPr>
        <w:t>) + Partizip als Prädikat (</w:t>
      </w:r>
      <w:r w:rsidRPr="00D754E3">
        <w:rPr>
          <w:rFonts w:eastAsia="Times New Roman" w:cs="Times New Roman"/>
          <w:b/>
          <w:bCs/>
          <w:rtl/>
          <w:lang w:eastAsia="de-DE"/>
        </w:rPr>
        <w:t>דֹּבְרִים</w:t>
      </w:r>
      <w:r w:rsidRPr="00D754E3">
        <w:rPr>
          <w:rFonts w:eastAsia="Times New Roman" w:cs="Times New Roman"/>
          <w:lang w:eastAsia="de-DE"/>
        </w:rPr>
        <w:t>). Es gibt keine komplexen Nebensätze; die Struktur ist parataktisch und direkt.</w:t>
      </w:r>
    </w:p>
    <w:p w14:paraId="129C398D"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Der Vers markiert einen Wendepunkt im Kapitel: Mose bestätigt offiziell und mit göttlicher Autorität, dass die Bedenken der Familienoberhäupter Gileads berechtigt sind. Diese Bestätigung bereitet die konkrete Lösung vor, die in den folgenden Versen dargelegt wird, und unterstreicht die Bedeutung der Stammesintegrität im göttlichen Landverteilungsplan.</w:t>
      </w:r>
    </w:p>
    <w:p w14:paraId="0E58A25A" w14:textId="77777777" w:rsidR="00D754E3" w:rsidRPr="00D754E3" w:rsidRDefault="00D754E3" w:rsidP="00D754E3">
      <w:pPr>
        <w:spacing w:before="100" w:beforeAutospacing="1" w:after="100" w:afterAutospacing="1" w:line="240" w:lineRule="auto"/>
        <w:outlineLvl w:val="0"/>
        <w:rPr>
          <w:rFonts w:eastAsia="Times New Roman" w:cs="Times New Roman"/>
          <w:b/>
          <w:bCs/>
          <w:kern w:val="36"/>
          <w:sz w:val="48"/>
          <w:szCs w:val="48"/>
          <w:lang w:eastAsia="de-DE"/>
        </w:rPr>
      </w:pPr>
      <w:r w:rsidRPr="00D754E3">
        <w:rPr>
          <w:rFonts w:eastAsia="Times New Roman" w:cs="Times New Roman"/>
          <w:b/>
          <w:bCs/>
          <w:kern w:val="36"/>
          <w:sz w:val="48"/>
          <w:szCs w:val="48"/>
          <w:lang w:eastAsia="de-DE"/>
        </w:rPr>
        <w:t>Numeri 36,6</w:t>
      </w:r>
    </w:p>
    <w:p w14:paraId="79591F26" w14:textId="41798738"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Hebräisch:</w:t>
      </w:r>
      <w:r w:rsidRPr="00D754E3">
        <w:rPr>
          <w:rFonts w:eastAsia="Times New Roman" w:cs="Times New Roman"/>
          <w:rtl/>
          <w:lang w:eastAsia="de-DE"/>
        </w:rPr>
        <w:t xml:space="preserve"> זֶ֣ה הַדָּבָ֞ר אֲשֶׁר־צִוָּ֣ה יְהוָ֗ה לִבְנ֤וֹת צְלָפְחָד֙ לֵאמֹ֔ר לַטּ֥וֹב בְּעֵינֵיהֶ֖ם תִּהְיֶ֣ינָה לְנָשִׁ֑ים אַ֗ךְ לְמִשְׁפַּ֛חַת מַטֵּ֥ה אֲבִיהֶ֖ם תִּהְיֶ֥ינָה לְנָשִֽׁים׃</w:t>
      </w:r>
    </w:p>
    <w:p w14:paraId="4038836E" w14:textId="3076326F"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Deutsch:</w:t>
      </w:r>
      <w:r w:rsidRPr="00D754E3">
        <w:rPr>
          <w:rFonts w:eastAsia="Times New Roman" w:cs="Times New Roman"/>
          <w:lang w:eastAsia="de-DE"/>
        </w:rPr>
        <w:t xml:space="preserve"> Dies ist die Sache, die der Ewige betreffs der Töchter Zelophchads geboten hat, sagend: Dem, der in ihren Augen gut ist, mögen sie zu Frauen werden; nur der Familie des Stammes ihres Vaters sollen sie zu Frauen werden,</w:t>
      </w:r>
    </w:p>
    <w:p w14:paraId="6917D6F4" w14:textId="5316E5AE" w:rsidR="00D754E3" w:rsidRPr="00D754E3" w:rsidRDefault="00D754E3" w:rsidP="00D754E3">
      <w:pPr>
        <w:spacing w:before="100" w:beforeAutospacing="1" w:after="100" w:afterAutospacing="1" w:line="240" w:lineRule="auto"/>
        <w:rPr>
          <w:rFonts w:eastAsia="Times New Roman" w:cs="Times New Roman"/>
          <w:lang w:eastAsia="de-DE"/>
        </w:rPr>
      </w:pPr>
    </w:p>
    <w:p w14:paraId="1D189398" w14:textId="77777777" w:rsidR="00D754E3" w:rsidRPr="00D754E3" w:rsidRDefault="00F329DD" w:rsidP="00D754E3">
      <w:pPr>
        <w:spacing w:after="0" w:line="240" w:lineRule="auto"/>
        <w:rPr>
          <w:rFonts w:eastAsia="Times New Roman" w:cs="Times New Roman"/>
          <w:lang w:eastAsia="de-DE"/>
        </w:rPr>
      </w:pPr>
      <w:r>
        <w:rPr>
          <w:rFonts w:eastAsia="Times New Roman" w:cs="Times New Roman"/>
          <w:noProof/>
          <w:lang w:eastAsia="de-DE"/>
        </w:rPr>
        <w:pict w14:anchorId="1113C6BB">
          <v:rect id="_x0000_i2098" style="width:0;height:1.5pt" o:hralign="center" o:hrstd="t" o:hr="t" fillcolor="#a0a0a0" stroked="f"/>
        </w:pict>
      </w:r>
    </w:p>
    <w:p w14:paraId="65E4F0BB" w14:textId="71C23101"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Kommentar:</w:t>
      </w:r>
      <w:r>
        <w:rPr>
          <w:rFonts w:eastAsia="Times New Roman" w:cs="Times New Roman"/>
          <w:lang w:eastAsia="de-DE"/>
        </w:rPr>
        <w:t xml:space="preserve"> </w:t>
      </w:r>
      <w:r w:rsidRPr="00D754E3">
        <w:rPr>
          <w:rFonts w:eastAsia="Times New Roman" w:cs="Times New Roman"/>
          <w:lang w:eastAsia="de-DE"/>
        </w:rPr>
        <w:t xml:space="preserve">Der Vers beginnt mit dem Demonstrativpronomen </w:t>
      </w:r>
      <w:r w:rsidRPr="00D754E3">
        <w:rPr>
          <w:rFonts w:eastAsia="Times New Roman" w:cs="Times New Roman"/>
          <w:b/>
          <w:bCs/>
          <w:rtl/>
          <w:lang w:eastAsia="de-DE"/>
        </w:rPr>
        <w:t>זֶה</w:t>
      </w:r>
      <w:r w:rsidRPr="00D754E3">
        <w:rPr>
          <w:rFonts w:eastAsia="Times New Roman" w:cs="Times New Roman"/>
          <w:rtl/>
          <w:lang w:eastAsia="de-DE"/>
        </w:rPr>
        <w:t xml:space="preserve"> </w:t>
      </w:r>
      <w:r w:rsidRPr="00D754E3">
        <w:rPr>
          <w:rFonts w:eastAsia="Times New Roman" w:cs="Times New Roman"/>
          <w:lang w:eastAsia="de-DE"/>
        </w:rPr>
        <w:t xml:space="preserve">(dies, maskulin singular), das auf das Folgende hinweist und eine feierliche Einleitung bildet. </w:t>
      </w:r>
      <w:r w:rsidRPr="00D754E3">
        <w:rPr>
          <w:rFonts w:eastAsia="Times New Roman" w:cs="Times New Roman"/>
          <w:b/>
          <w:bCs/>
          <w:rtl/>
          <w:lang w:eastAsia="de-DE"/>
        </w:rPr>
        <w:t>הַדָּבָר</w:t>
      </w:r>
      <w:r w:rsidRPr="00D754E3">
        <w:rPr>
          <w:rFonts w:eastAsia="Times New Roman" w:cs="Times New Roman"/>
          <w:rtl/>
          <w:lang w:eastAsia="de-DE"/>
        </w:rPr>
        <w:t xml:space="preserve"> </w:t>
      </w:r>
      <w:r w:rsidRPr="00D754E3">
        <w:rPr>
          <w:rFonts w:eastAsia="Times New Roman" w:cs="Times New Roman"/>
          <w:lang w:eastAsia="de-DE"/>
        </w:rPr>
        <w:t xml:space="preserve">(die Sache/das Wort, maskulin singular mit Artikel) ist das Subjekt des nominalen Satzes. Der Relativsatz </w:t>
      </w:r>
      <w:r w:rsidRPr="00D754E3">
        <w:rPr>
          <w:rFonts w:eastAsia="Times New Roman" w:cs="Times New Roman"/>
          <w:b/>
          <w:bCs/>
          <w:rtl/>
          <w:lang w:eastAsia="de-DE"/>
        </w:rPr>
        <w:t>אֲשֶׁר־צִוָּה יְהוָ֗ה</w:t>
      </w:r>
      <w:r w:rsidRPr="00D754E3">
        <w:rPr>
          <w:rFonts w:eastAsia="Times New Roman" w:cs="Times New Roman"/>
          <w:rtl/>
          <w:lang w:eastAsia="de-DE"/>
        </w:rPr>
        <w:t xml:space="preserve"> </w:t>
      </w:r>
      <w:r w:rsidRPr="00D754E3">
        <w:rPr>
          <w:rFonts w:eastAsia="Times New Roman" w:cs="Times New Roman"/>
          <w:lang w:eastAsia="de-DE"/>
        </w:rPr>
        <w:t xml:space="preserve">modifiziert </w:t>
      </w:r>
      <w:r w:rsidRPr="00D754E3">
        <w:rPr>
          <w:rFonts w:eastAsia="Times New Roman" w:cs="Times New Roman"/>
          <w:b/>
          <w:bCs/>
          <w:rtl/>
          <w:lang w:eastAsia="de-DE"/>
        </w:rPr>
        <w:t>הַדָּבָר</w:t>
      </w:r>
      <w:r w:rsidRPr="00D754E3">
        <w:rPr>
          <w:rFonts w:eastAsia="Times New Roman" w:cs="Times New Roman"/>
          <w:lang w:eastAsia="de-DE"/>
        </w:rPr>
        <w:t xml:space="preserve">: </w:t>
      </w:r>
      <w:r w:rsidRPr="00D754E3">
        <w:rPr>
          <w:rFonts w:eastAsia="Times New Roman" w:cs="Times New Roman"/>
          <w:b/>
          <w:bCs/>
          <w:rtl/>
          <w:lang w:eastAsia="de-DE"/>
        </w:rPr>
        <w:t>אֲשֶׁר</w:t>
      </w:r>
      <w:r w:rsidRPr="00D754E3">
        <w:rPr>
          <w:rFonts w:eastAsia="Times New Roman" w:cs="Times New Roman"/>
          <w:rtl/>
          <w:lang w:eastAsia="de-DE"/>
        </w:rPr>
        <w:t xml:space="preserve"> </w:t>
      </w:r>
      <w:r w:rsidRPr="00D754E3">
        <w:rPr>
          <w:rFonts w:eastAsia="Times New Roman" w:cs="Times New Roman"/>
          <w:lang w:eastAsia="de-DE"/>
        </w:rPr>
        <w:t xml:space="preserve">(welcher/die) ist das Relativpronomen, </w:t>
      </w:r>
      <w:r w:rsidRPr="00D754E3">
        <w:rPr>
          <w:rFonts w:eastAsia="Times New Roman" w:cs="Times New Roman"/>
          <w:b/>
          <w:bCs/>
          <w:rtl/>
          <w:lang w:eastAsia="de-DE"/>
        </w:rPr>
        <w:t>צִוָּה</w:t>
      </w:r>
      <w:r w:rsidRPr="00D754E3">
        <w:rPr>
          <w:rFonts w:eastAsia="Times New Roman" w:cs="Times New Roman"/>
          <w:rtl/>
          <w:lang w:eastAsia="de-DE"/>
        </w:rPr>
        <w:t xml:space="preserve"> </w:t>
      </w:r>
      <w:r w:rsidRPr="00D754E3">
        <w:rPr>
          <w:rFonts w:eastAsia="Times New Roman" w:cs="Times New Roman"/>
          <w:lang w:eastAsia="de-DE"/>
        </w:rPr>
        <w:t xml:space="preserve">(3. Person Singular maskulin Perfekt Piel von </w:t>
      </w:r>
      <w:r w:rsidRPr="00D754E3">
        <w:rPr>
          <w:rFonts w:eastAsia="Times New Roman" w:cs="Times New Roman"/>
          <w:rtl/>
          <w:lang w:eastAsia="de-DE"/>
        </w:rPr>
        <w:t>צוה</w:t>
      </w:r>
      <w:r w:rsidRPr="00D754E3">
        <w:rPr>
          <w:rFonts w:eastAsia="Times New Roman" w:cs="Times New Roman"/>
          <w:lang w:eastAsia="de-DE"/>
        </w:rPr>
        <w:t xml:space="preserve">, befohlen hat) ist das Prädikat, und </w:t>
      </w:r>
      <w:r w:rsidRPr="00D754E3">
        <w:rPr>
          <w:rFonts w:eastAsia="Times New Roman" w:cs="Times New Roman"/>
          <w:b/>
          <w:bCs/>
          <w:rtl/>
          <w:lang w:eastAsia="de-DE"/>
        </w:rPr>
        <w:t>יְהוָה</w:t>
      </w:r>
      <w:r w:rsidRPr="00D754E3">
        <w:rPr>
          <w:rFonts w:eastAsia="Times New Roman" w:cs="Times New Roman"/>
          <w:rtl/>
          <w:lang w:eastAsia="de-DE"/>
        </w:rPr>
        <w:t xml:space="preserve"> </w:t>
      </w:r>
      <w:r w:rsidRPr="00D754E3">
        <w:rPr>
          <w:rFonts w:eastAsia="Times New Roman" w:cs="Times New Roman"/>
          <w:lang w:eastAsia="de-DE"/>
        </w:rPr>
        <w:t>(der Ewige) ist das Subjekt.</w:t>
      </w:r>
    </w:p>
    <w:p w14:paraId="1AF416AB"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lastRenderedPageBreak/>
        <w:t xml:space="preserve">Die präpositionale Phrase </w:t>
      </w:r>
      <w:r w:rsidRPr="00D754E3">
        <w:rPr>
          <w:rFonts w:eastAsia="Times New Roman" w:cs="Times New Roman"/>
          <w:b/>
          <w:bCs/>
          <w:rtl/>
          <w:lang w:eastAsia="de-DE"/>
        </w:rPr>
        <w:t>לִבְנוֹת צְלָפְחָד</w:t>
      </w:r>
      <w:r w:rsidRPr="00D754E3">
        <w:rPr>
          <w:rFonts w:eastAsia="Times New Roman" w:cs="Times New Roman"/>
          <w:rtl/>
          <w:lang w:eastAsia="de-DE"/>
        </w:rPr>
        <w:t xml:space="preserve"> </w:t>
      </w:r>
      <w:r w:rsidRPr="00D754E3">
        <w:rPr>
          <w:rFonts w:eastAsia="Times New Roman" w:cs="Times New Roman"/>
          <w:lang w:eastAsia="de-DE"/>
        </w:rPr>
        <w:t xml:space="preserve">(für die Töchter Zelophchads) gibt an, wen das göttliche Gebot betrifft. </w:t>
      </w:r>
      <w:r w:rsidRPr="00D754E3">
        <w:rPr>
          <w:rFonts w:eastAsia="Times New Roman" w:cs="Times New Roman"/>
          <w:b/>
          <w:bCs/>
          <w:rtl/>
          <w:lang w:eastAsia="de-DE"/>
        </w:rPr>
        <w:t>לְ</w:t>
      </w:r>
      <w:r w:rsidRPr="00D754E3">
        <w:rPr>
          <w:rFonts w:eastAsia="Times New Roman" w:cs="Times New Roman"/>
          <w:rtl/>
          <w:lang w:eastAsia="de-DE"/>
        </w:rPr>
        <w:t xml:space="preserve"> </w:t>
      </w:r>
      <w:r w:rsidRPr="00D754E3">
        <w:rPr>
          <w:rFonts w:eastAsia="Times New Roman" w:cs="Times New Roman"/>
          <w:lang w:eastAsia="de-DE"/>
        </w:rPr>
        <w:t xml:space="preserve">(für, betreffs) zeigt den Bezug an, </w:t>
      </w:r>
      <w:r w:rsidRPr="00D754E3">
        <w:rPr>
          <w:rFonts w:eastAsia="Times New Roman" w:cs="Times New Roman"/>
          <w:b/>
          <w:bCs/>
          <w:rtl/>
          <w:lang w:eastAsia="de-DE"/>
        </w:rPr>
        <w:t>בְנוֹת</w:t>
      </w:r>
      <w:r w:rsidRPr="00D754E3">
        <w:rPr>
          <w:rFonts w:eastAsia="Times New Roman" w:cs="Times New Roman"/>
          <w:rtl/>
          <w:lang w:eastAsia="de-DE"/>
        </w:rPr>
        <w:t xml:space="preserve"> </w:t>
      </w:r>
      <w:r w:rsidRPr="00D754E3">
        <w:rPr>
          <w:rFonts w:eastAsia="Times New Roman" w:cs="Times New Roman"/>
          <w:lang w:eastAsia="de-DE"/>
        </w:rPr>
        <w:t xml:space="preserve">(Töchter, feminin Plural constructus von </w:t>
      </w:r>
      <w:r w:rsidRPr="00D754E3">
        <w:rPr>
          <w:rFonts w:eastAsia="Times New Roman" w:cs="Times New Roman"/>
          <w:rtl/>
          <w:lang w:eastAsia="de-DE"/>
        </w:rPr>
        <w:t>בַּת</w:t>
      </w:r>
      <w:r w:rsidRPr="00D754E3">
        <w:rPr>
          <w:rFonts w:eastAsia="Times New Roman" w:cs="Times New Roman"/>
          <w:lang w:eastAsia="de-DE"/>
        </w:rPr>
        <w:t xml:space="preserve">) steht mit </w:t>
      </w:r>
      <w:r w:rsidRPr="00D754E3">
        <w:rPr>
          <w:rFonts w:eastAsia="Times New Roman" w:cs="Times New Roman"/>
          <w:b/>
          <w:bCs/>
          <w:rtl/>
          <w:lang w:eastAsia="de-DE"/>
        </w:rPr>
        <w:t>צְלָפְחָד</w:t>
      </w:r>
      <w:r w:rsidRPr="00D754E3">
        <w:rPr>
          <w:rFonts w:eastAsia="Times New Roman" w:cs="Times New Roman"/>
          <w:rtl/>
          <w:lang w:eastAsia="de-DE"/>
        </w:rPr>
        <w:t xml:space="preserve"> </w:t>
      </w:r>
      <w:r w:rsidRPr="00D754E3">
        <w:rPr>
          <w:rFonts w:eastAsia="Times New Roman" w:cs="Times New Roman"/>
          <w:lang w:eastAsia="de-DE"/>
        </w:rPr>
        <w:t xml:space="preserve">(Zelophchad, Eigenname) in einer Genitivverbindung. Die Redeeinleitung </w:t>
      </w:r>
      <w:r w:rsidRPr="00D754E3">
        <w:rPr>
          <w:rFonts w:eastAsia="Times New Roman" w:cs="Times New Roman"/>
          <w:b/>
          <w:bCs/>
          <w:rtl/>
          <w:lang w:eastAsia="de-DE"/>
        </w:rPr>
        <w:t>לֵאמֹר</w:t>
      </w:r>
      <w:r w:rsidRPr="00D754E3">
        <w:rPr>
          <w:rFonts w:eastAsia="Times New Roman" w:cs="Times New Roman"/>
          <w:rtl/>
          <w:lang w:eastAsia="de-DE"/>
        </w:rPr>
        <w:t xml:space="preserve"> </w:t>
      </w:r>
      <w:r w:rsidRPr="00D754E3">
        <w:rPr>
          <w:rFonts w:eastAsia="Times New Roman" w:cs="Times New Roman"/>
          <w:lang w:eastAsia="de-DE"/>
        </w:rPr>
        <w:t xml:space="preserve">(sagend, Infinitivus constructus von </w:t>
      </w:r>
      <w:r w:rsidRPr="00D754E3">
        <w:rPr>
          <w:rFonts w:eastAsia="Times New Roman" w:cs="Times New Roman"/>
          <w:rtl/>
          <w:lang w:eastAsia="de-DE"/>
        </w:rPr>
        <w:t>אמר</w:t>
      </w:r>
      <w:r w:rsidRPr="00D754E3">
        <w:rPr>
          <w:rFonts w:eastAsia="Times New Roman" w:cs="Times New Roman"/>
          <w:lang w:eastAsia="de-DE"/>
        </w:rPr>
        <w:t>) leitet die direkte göttliche Anweisung ein.</w:t>
      </w:r>
    </w:p>
    <w:p w14:paraId="211664B5"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direkte Rede beginnt mit </w:t>
      </w:r>
      <w:r w:rsidRPr="00D754E3">
        <w:rPr>
          <w:rFonts w:eastAsia="Times New Roman" w:cs="Times New Roman"/>
          <w:b/>
          <w:bCs/>
          <w:rtl/>
          <w:lang w:eastAsia="de-DE"/>
        </w:rPr>
        <w:t>לַטּוֹב בְּעֵינֵיהֶם</w:t>
      </w:r>
      <w:r w:rsidRPr="00D754E3">
        <w:rPr>
          <w:rFonts w:eastAsia="Times New Roman" w:cs="Times New Roman"/>
          <w:rtl/>
          <w:lang w:eastAsia="de-DE"/>
        </w:rPr>
        <w:t xml:space="preserve"> </w:t>
      </w:r>
      <w:r w:rsidRPr="00D754E3">
        <w:rPr>
          <w:rFonts w:eastAsia="Times New Roman" w:cs="Times New Roman"/>
          <w:lang w:eastAsia="de-DE"/>
        </w:rPr>
        <w:t xml:space="preserve">(dem Guten in ihren Augen), einer idiomatischen Wendung. </w:t>
      </w:r>
      <w:r w:rsidRPr="00D754E3">
        <w:rPr>
          <w:rFonts w:eastAsia="Times New Roman" w:cs="Times New Roman"/>
          <w:b/>
          <w:bCs/>
          <w:rtl/>
          <w:lang w:eastAsia="de-DE"/>
        </w:rPr>
        <w:t>לְ</w:t>
      </w:r>
      <w:r w:rsidRPr="00D754E3">
        <w:rPr>
          <w:rFonts w:eastAsia="Times New Roman" w:cs="Times New Roman"/>
          <w:rtl/>
          <w:lang w:eastAsia="de-DE"/>
        </w:rPr>
        <w:t xml:space="preserve"> </w:t>
      </w:r>
      <w:r w:rsidRPr="00D754E3">
        <w:rPr>
          <w:rFonts w:eastAsia="Times New Roman" w:cs="Times New Roman"/>
          <w:lang w:eastAsia="de-DE"/>
        </w:rPr>
        <w:t xml:space="preserve">ist hier Präposition des Dativs/der Person, </w:t>
      </w:r>
      <w:r w:rsidRPr="00D754E3">
        <w:rPr>
          <w:rFonts w:eastAsia="Times New Roman" w:cs="Times New Roman"/>
          <w:b/>
          <w:bCs/>
          <w:rtl/>
          <w:lang w:eastAsia="de-DE"/>
        </w:rPr>
        <w:t>טּוֹב</w:t>
      </w:r>
      <w:r w:rsidRPr="00D754E3">
        <w:rPr>
          <w:rFonts w:eastAsia="Times New Roman" w:cs="Times New Roman"/>
          <w:rtl/>
          <w:lang w:eastAsia="de-DE"/>
        </w:rPr>
        <w:t xml:space="preserve"> </w:t>
      </w:r>
      <w:r w:rsidRPr="00D754E3">
        <w:rPr>
          <w:rFonts w:eastAsia="Times New Roman" w:cs="Times New Roman"/>
          <w:lang w:eastAsia="de-DE"/>
        </w:rPr>
        <w:t xml:space="preserve">(gut, maskulin singular, hier substantiviert: der Gute) bezeichnet den Ehemann, und </w:t>
      </w:r>
      <w:r w:rsidRPr="00D754E3">
        <w:rPr>
          <w:rFonts w:eastAsia="Times New Roman" w:cs="Times New Roman"/>
          <w:b/>
          <w:bCs/>
          <w:rtl/>
          <w:lang w:eastAsia="de-DE"/>
        </w:rPr>
        <w:t>בְּעֵינֵיהֶם</w:t>
      </w:r>
      <w:r w:rsidRPr="00D754E3">
        <w:rPr>
          <w:rFonts w:eastAsia="Times New Roman" w:cs="Times New Roman"/>
          <w:rtl/>
          <w:lang w:eastAsia="de-DE"/>
        </w:rPr>
        <w:t xml:space="preserve"> </w:t>
      </w:r>
      <w:r w:rsidRPr="00D754E3">
        <w:rPr>
          <w:rFonts w:eastAsia="Times New Roman" w:cs="Times New Roman"/>
          <w:lang w:eastAsia="de-DE"/>
        </w:rPr>
        <w:t xml:space="preserve">(in ihren Augen, </w:t>
      </w:r>
      <w:r w:rsidRPr="00D754E3">
        <w:rPr>
          <w:rFonts w:eastAsia="Times New Roman" w:cs="Times New Roman"/>
          <w:b/>
          <w:bCs/>
          <w:rtl/>
          <w:lang w:eastAsia="de-DE"/>
        </w:rPr>
        <w:t>עֵינַיִם</w:t>
      </w:r>
      <w:r w:rsidRPr="00D754E3">
        <w:rPr>
          <w:rFonts w:eastAsia="Times New Roman" w:cs="Times New Roman"/>
          <w:rtl/>
          <w:lang w:eastAsia="de-DE"/>
        </w:rPr>
        <w:t xml:space="preserve"> </w:t>
      </w:r>
      <w:r w:rsidRPr="00D754E3">
        <w:rPr>
          <w:rFonts w:eastAsia="Times New Roman" w:cs="Times New Roman"/>
          <w:lang w:eastAsia="de-DE"/>
        </w:rPr>
        <w:t>im Dual constructus mit Suffix 3. Person Plural feminin) drückt die subjektive Wahrnehmung und Präferenz aus – eine häufige hebräische Redewendung für "wie es ihnen gefällt/wie sie es für richtig halten".</w:t>
      </w:r>
    </w:p>
    <w:p w14:paraId="73222B46"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Verb </w:t>
      </w:r>
      <w:r w:rsidRPr="00D754E3">
        <w:rPr>
          <w:rFonts w:eastAsia="Times New Roman" w:cs="Times New Roman"/>
          <w:b/>
          <w:bCs/>
          <w:rtl/>
          <w:lang w:eastAsia="de-DE"/>
        </w:rPr>
        <w:t>תִּהְיֶינָה</w:t>
      </w:r>
      <w:r w:rsidRPr="00D754E3">
        <w:rPr>
          <w:rFonts w:eastAsia="Times New Roman" w:cs="Times New Roman"/>
          <w:rtl/>
          <w:lang w:eastAsia="de-DE"/>
        </w:rPr>
        <w:t xml:space="preserve"> </w:t>
      </w:r>
      <w:r w:rsidRPr="00D754E3">
        <w:rPr>
          <w:rFonts w:eastAsia="Times New Roman" w:cs="Times New Roman"/>
          <w:lang w:eastAsia="de-DE"/>
        </w:rPr>
        <w:t xml:space="preserve">(3. Person Plural feminin Imperfekt von </w:t>
      </w:r>
      <w:r w:rsidRPr="00D754E3">
        <w:rPr>
          <w:rFonts w:eastAsia="Times New Roman" w:cs="Times New Roman"/>
          <w:rtl/>
          <w:lang w:eastAsia="de-DE"/>
        </w:rPr>
        <w:t>היה</w:t>
      </w:r>
      <w:r w:rsidRPr="00D754E3">
        <w:rPr>
          <w:rFonts w:eastAsia="Times New Roman" w:cs="Times New Roman"/>
          <w:lang w:eastAsia="de-DE"/>
        </w:rPr>
        <w:t xml:space="preserve">, sie werden sein/werden) drückt hier eine permissive oder optative Bedeutung aus ("mögen sie werden"). Das prädikative </w:t>
      </w:r>
      <w:r w:rsidRPr="00D754E3">
        <w:rPr>
          <w:rFonts w:eastAsia="Times New Roman" w:cs="Times New Roman"/>
          <w:b/>
          <w:bCs/>
          <w:rtl/>
          <w:lang w:eastAsia="de-DE"/>
        </w:rPr>
        <w:t>לְנָשִׁים</w:t>
      </w:r>
      <w:r w:rsidRPr="00D754E3">
        <w:rPr>
          <w:rFonts w:eastAsia="Times New Roman" w:cs="Times New Roman"/>
          <w:rtl/>
          <w:lang w:eastAsia="de-DE"/>
        </w:rPr>
        <w:t xml:space="preserve"> </w:t>
      </w:r>
      <w:r w:rsidRPr="00D754E3">
        <w:rPr>
          <w:rFonts w:eastAsia="Times New Roman" w:cs="Times New Roman"/>
          <w:lang w:eastAsia="de-DE"/>
        </w:rPr>
        <w:t xml:space="preserve">(zu Frauen, feminin Plural von </w:t>
      </w:r>
      <w:r w:rsidRPr="00D754E3">
        <w:rPr>
          <w:rFonts w:eastAsia="Times New Roman" w:cs="Times New Roman"/>
          <w:rtl/>
          <w:lang w:eastAsia="de-DE"/>
        </w:rPr>
        <w:t>אִשָּׁה</w:t>
      </w:r>
      <w:r w:rsidRPr="00D754E3">
        <w:rPr>
          <w:rFonts w:eastAsia="Times New Roman" w:cs="Times New Roman"/>
          <w:lang w:eastAsia="de-DE"/>
        </w:rPr>
        <w:t xml:space="preserve"> mit Präposition </w:t>
      </w:r>
      <w:r w:rsidRPr="00D754E3">
        <w:rPr>
          <w:rFonts w:eastAsia="Times New Roman" w:cs="Times New Roman"/>
          <w:b/>
          <w:bCs/>
          <w:rtl/>
          <w:lang w:eastAsia="de-DE"/>
        </w:rPr>
        <w:t>לְ</w:t>
      </w:r>
      <w:r w:rsidRPr="00D754E3">
        <w:rPr>
          <w:rFonts w:eastAsia="Times New Roman" w:cs="Times New Roman"/>
          <w:lang w:eastAsia="de-DE"/>
        </w:rPr>
        <w:t>) beschreibt den Heiratsstatus.</w:t>
      </w:r>
    </w:p>
    <w:p w14:paraId="00E30D20" w14:textId="59B0D4FA"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Restriktion wird durch </w:t>
      </w:r>
      <w:r w:rsidRPr="00D754E3">
        <w:rPr>
          <w:rFonts w:eastAsia="Times New Roman" w:cs="Times New Roman"/>
          <w:b/>
          <w:bCs/>
          <w:rtl/>
          <w:lang w:eastAsia="de-DE"/>
        </w:rPr>
        <w:t>אַךְ</w:t>
      </w:r>
      <w:r w:rsidRPr="00D754E3">
        <w:rPr>
          <w:rFonts w:eastAsia="Times New Roman" w:cs="Times New Roman"/>
          <w:rtl/>
          <w:lang w:eastAsia="de-DE"/>
        </w:rPr>
        <w:t xml:space="preserve"> </w:t>
      </w:r>
      <w:r w:rsidRPr="00D754E3">
        <w:rPr>
          <w:rFonts w:eastAsia="Times New Roman" w:cs="Times New Roman"/>
          <w:lang w:eastAsia="de-DE"/>
        </w:rPr>
        <w:t xml:space="preserve">(nur, jedoch, aber) eingeleitet, eine adversative Partikel, die eine Einschränkung markiert. Die präpositionale Phrase </w:t>
      </w:r>
      <w:r w:rsidRPr="00D754E3">
        <w:rPr>
          <w:rFonts w:eastAsia="Times New Roman" w:cs="Times New Roman"/>
          <w:b/>
          <w:bCs/>
          <w:rtl/>
          <w:lang w:eastAsia="de-DE"/>
        </w:rPr>
        <w:t>לְמִשְׁפַּחַת מַטֵּה אֲבִיהֶם</w:t>
      </w:r>
      <w:r w:rsidRPr="00D754E3">
        <w:rPr>
          <w:rFonts w:eastAsia="Times New Roman" w:cs="Times New Roman"/>
          <w:rtl/>
          <w:lang w:eastAsia="de-DE"/>
        </w:rPr>
        <w:t xml:space="preserve"> </w:t>
      </w:r>
      <w:r w:rsidRPr="00D754E3">
        <w:rPr>
          <w:rFonts w:eastAsia="Times New Roman" w:cs="Times New Roman"/>
          <w:lang w:eastAsia="de-DE"/>
        </w:rPr>
        <w:t xml:space="preserve">(für die Familie des Stammes ihres Vaters) ist eine dreifache Genitivkonstruktion: </w:t>
      </w:r>
      <w:r w:rsidRPr="00D754E3">
        <w:rPr>
          <w:rFonts w:eastAsia="Times New Roman" w:cs="Times New Roman"/>
          <w:b/>
          <w:bCs/>
          <w:rtl/>
          <w:lang w:eastAsia="de-DE"/>
        </w:rPr>
        <w:t>לְ</w:t>
      </w:r>
      <w:r w:rsidRPr="00D754E3">
        <w:rPr>
          <w:rFonts w:eastAsia="Times New Roman" w:cs="Times New Roman"/>
          <w:rtl/>
          <w:lang w:eastAsia="de-DE"/>
        </w:rPr>
        <w:t xml:space="preserve"> </w:t>
      </w:r>
      <w:r w:rsidRPr="00D754E3">
        <w:rPr>
          <w:rFonts w:eastAsia="Times New Roman" w:cs="Times New Roman"/>
          <w:lang w:eastAsia="de-DE"/>
        </w:rPr>
        <w:t xml:space="preserve">(für/zu), </w:t>
      </w:r>
      <w:r w:rsidRPr="00D754E3">
        <w:rPr>
          <w:rFonts w:eastAsia="Times New Roman" w:cs="Times New Roman"/>
          <w:b/>
          <w:bCs/>
          <w:rtl/>
          <w:lang w:eastAsia="de-DE"/>
        </w:rPr>
        <w:t>מִשְׁפַּחַת</w:t>
      </w:r>
      <w:r w:rsidRPr="00D754E3">
        <w:rPr>
          <w:rFonts w:eastAsia="Times New Roman" w:cs="Times New Roman"/>
          <w:rtl/>
          <w:lang w:eastAsia="de-DE"/>
        </w:rPr>
        <w:t xml:space="preserve"> </w:t>
      </w:r>
      <w:r w:rsidRPr="00D754E3">
        <w:rPr>
          <w:rFonts w:eastAsia="Times New Roman" w:cs="Times New Roman"/>
          <w:lang w:eastAsia="de-DE"/>
        </w:rPr>
        <w:t xml:space="preserve">(Familie/Geschlecht, feminin singular constructus), </w:t>
      </w:r>
      <w:r w:rsidRPr="00D754E3">
        <w:rPr>
          <w:rFonts w:eastAsia="Times New Roman" w:cs="Times New Roman"/>
          <w:b/>
          <w:bCs/>
          <w:rtl/>
          <w:lang w:eastAsia="de-DE"/>
        </w:rPr>
        <w:t>מַטֵּה</w:t>
      </w:r>
      <w:r w:rsidRPr="00D754E3">
        <w:rPr>
          <w:rFonts w:eastAsia="Times New Roman" w:cs="Times New Roman"/>
          <w:rtl/>
          <w:lang w:eastAsia="de-DE"/>
        </w:rPr>
        <w:t xml:space="preserve"> </w:t>
      </w:r>
      <w:r w:rsidRPr="00D754E3">
        <w:rPr>
          <w:rFonts w:eastAsia="Times New Roman" w:cs="Times New Roman"/>
          <w:lang w:eastAsia="de-DE"/>
        </w:rPr>
        <w:t xml:space="preserve">(Stamm, maskulin singular constructus), </w:t>
      </w:r>
      <w:r w:rsidRPr="00D754E3">
        <w:rPr>
          <w:rFonts w:eastAsia="Times New Roman" w:cs="Times New Roman"/>
          <w:b/>
          <w:bCs/>
          <w:rtl/>
          <w:lang w:eastAsia="de-DE"/>
        </w:rPr>
        <w:t>אֲבִיהֶם</w:t>
      </w:r>
      <w:r w:rsidRPr="00D754E3">
        <w:rPr>
          <w:rFonts w:eastAsia="Times New Roman" w:cs="Times New Roman"/>
          <w:rtl/>
          <w:lang w:eastAsia="de-DE"/>
        </w:rPr>
        <w:t xml:space="preserve"> </w:t>
      </w:r>
      <w:r w:rsidRPr="00D754E3">
        <w:rPr>
          <w:rFonts w:eastAsia="Times New Roman" w:cs="Times New Roman"/>
          <w:lang w:eastAsia="de-DE"/>
        </w:rPr>
        <w:t xml:space="preserve">(ihr Vater, maskulin singular mit Suffix 3. Person Plural feminin). Diese </w:t>
      </w:r>
      <w:r w:rsidR="00F133EC">
        <w:rPr>
          <w:rFonts w:eastAsia="Times New Roman" w:cs="Times New Roman"/>
          <w:lang w:eastAsia="de-DE"/>
        </w:rPr>
        <w:t>Construct</w:t>
      </w:r>
      <w:r w:rsidRPr="00D754E3">
        <w:rPr>
          <w:rFonts w:eastAsia="Times New Roman" w:cs="Times New Roman"/>
          <w:lang w:eastAsia="de-DE"/>
        </w:rPr>
        <w:t>ion zeigt die hierarchische Struktur: Töchter → Vater → Stamm → Familie.</w:t>
      </w:r>
    </w:p>
    <w:p w14:paraId="217B3F4C"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Verb </w:t>
      </w:r>
      <w:r w:rsidRPr="00D754E3">
        <w:rPr>
          <w:rFonts w:eastAsia="Times New Roman" w:cs="Times New Roman"/>
          <w:b/>
          <w:bCs/>
          <w:rtl/>
          <w:lang w:eastAsia="de-DE"/>
        </w:rPr>
        <w:t>תִּהְיֶינָה לְנָשִׁים</w:t>
      </w:r>
      <w:r w:rsidRPr="00D754E3">
        <w:rPr>
          <w:rFonts w:eastAsia="Times New Roman" w:cs="Times New Roman"/>
          <w:rtl/>
          <w:lang w:eastAsia="de-DE"/>
        </w:rPr>
        <w:t xml:space="preserve"> </w:t>
      </w:r>
      <w:r w:rsidRPr="00D754E3">
        <w:rPr>
          <w:rFonts w:eastAsia="Times New Roman" w:cs="Times New Roman"/>
          <w:lang w:eastAsia="de-DE"/>
        </w:rPr>
        <w:t>wird wiederholt, nun aber mit der einschränkenden Bedingung. Diese Wiederholung schafft eine rhetorische Balance zwischen Freiheit (sie dürfen wählen, wen sie wollen) und Einschränkung (aber nur innerhalb ihres eigenen Stammes).</w:t>
      </w:r>
    </w:p>
    <w:p w14:paraId="103802B5"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Die LXX</w:t>
      </w:r>
      <w:r w:rsidRPr="00D754E3">
        <w:rPr>
          <w:rFonts w:eastAsia="Times New Roman" w:cs="Times New Roman"/>
          <w:lang w:eastAsia="de-DE"/>
        </w:rPr>
        <w:t xml:space="preserve"> übersetzt </w:t>
      </w:r>
      <w:r w:rsidRPr="00D754E3">
        <w:rPr>
          <w:rFonts w:eastAsia="Times New Roman" w:cs="Times New Roman"/>
          <w:b/>
          <w:bCs/>
          <w:rtl/>
          <w:lang w:eastAsia="de-DE"/>
        </w:rPr>
        <w:t>זֶה הַדָּבָר</w:t>
      </w:r>
      <w:r w:rsidRPr="00D754E3">
        <w:rPr>
          <w:rFonts w:eastAsia="Times New Roman" w:cs="Times New Roman"/>
          <w:rtl/>
          <w:lang w:eastAsia="de-DE"/>
        </w:rPr>
        <w:t xml:space="preserve"> </w:t>
      </w:r>
      <w:r w:rsidRPr="00D754E3">
        <w:rPr>
          <w:rFonts w:eastAsia="Times New Roman" w:cs="Times New Roman"/>
          <w:lang w:eastAsia="de-DE"/>
        </w:rPr>
        <w:t xml:space="preserve">mit οὗτος ὁ λόγος (dies ist das Wort), eine direkte Entsprechung. Die Phrase </w:t>
      </w:r>
      <w:r w:rsidRPr="00D754E3">
        <w:rPr>
          <w:rFonts w:eastAsia="Times New Roman" w:cs="Times New Roman"/>
          <w:b/>
          <w:bCs/>
          <w:rtl/>
          <w:lang w:eastAsia="de-DE"/>
        </w:rPr>
        <w:t>אֲשֶׁר־צִוָּה יְהוָה</w:t>
      </w:r>
      <w:r w:rsidRPr="00D754E3">
        <w:rPr>
          <w:rFonts w:eastAsia="Times New Roman" w:cs="Times New Roman"/>
          <w:rtl/>
          <w:lang w:eastAsia="de-DE"/>
        </w:rPr>
        <w:t xml:space="preserve"> </w:t>
      </w:r>
      <w:r w:rsidRPr="00D754E3">
        <w:rPr>
          <w:rFonts w:eastAsia="Times New Roman" w:cs="Times New Roman"/>
          <w:lang w:eastAsia="de-DE"/>
        </w:rPr>
        <w:t xml:space="preserve">wird mit ὃν συνέταξεν κύριος (welches der Herr befohlen hat) wiedergegeben. Für </w:t>
      </w:r>
      <w:r w:rsidRPr="00D754E3">
        <w:rPr>
          <w:rFonts w:eastAsia="Times New Roman" w:cs="Times New Roman"/>
          <w:b/>
          <w:bCs/>
          <w:rtl/>
          <w:lang w:eastAsia="de-DE"/>
        </w:rPr>
        <w:t>לִבְנוֹת צְלָפְחָד</w:t>
      </w:r>
      <w:r w:rsidRPr="00D754E3">
        <w:rPr>
          <w:rFonts w:eastAsia="Times New Roman" w:cs="Times New Roman"/>
          <w:rtl/>
          <w:lang w:eastAsia="de-DE"/>
        </w:rPr>
        <w:t xml:space="preserve"> </w:t>
      </w:r>
      <w:r w:rsidRPr="00D754E3">
        <w:rPr>
          <w:rFonts w:eastAsia="Times New Roman" w:cs="Times New Roman"/>
          <w:lang w:eastAsia="de-DE"/>
        </w:rPr>
        <w:t xml:space="preserve">verwendet die LXX ταῖς θυγατράσιν Σαλπααδ (den Töchtern Salphaads) im Dativ. Die idiomatische Wendung </w:t>
      </w:r>
      <w:r w:rsidRPr="00D754E3">
        <w:rPr>
          <w:rFonts w:eastAsia="Times New Roman" w:cs="Times New Roman"/>
          <w:b/>
          <w:bCs/>
          <w:rtl/>
          <w:lang w:eastAsia="de-DE"/>
        </w:rPr>
        <w:t>לַטּוֹב בְּעֵינֵיהֶם</w:t>
      </w:r>
      <w:r w:rsidRPr="00D754E3">
        <w:rPr>
          <w:rFonts w:eastAsia="Times New Roman" w:cs="Times New Roman"/>
          <w:rtl/>
          <w:lang w:eastAsia="de-DE"/>
        </w:rPr>
        <w:t xml:space="preserve"> </w:t>
      </w:r>
      <w:r w:rsidRPr="00D754E3">
        <w:rPr>
          <w:rFonts w:eastAsia="Times New Roman" w:cs="Times New Roman"/>
          <w:lang w:eastAsia="de-DE"/>
        </w:rPr>
        <w:t xml:space="preserve">wird mit τῷ ἀρέσκοντι ἐναντίον αὐτῶν (dem, was vor ihnen gefällt) übersetzt, wodurch die subjektive Wahl ausgedrückt wird. Die LXX gibt </w:t>
      </w:r>
      <w:r w:rsidRPr="00D754E3">
        <w:rPr>
          <w:rFonts w:eastAsia="Times New Roman" w:cs="Times New Roman"/>
          <w:b/>
          <w:bCs/>
          <w:rtl/>
          <w:lang w:eastAsia="de-DE"/>
        </w:rPr>
        <w:t>תִּהְיֶינָה</w:t>
      </w:r>
      <w:r w:rsidRPr="00D754E3">
        <w:rPr>
          <w:rFonts w:eastAsia="Times New Roman" w:cs="Times New Roman"/>
          <w:rtl/>
          <w:lang w:eastAsia="de-DE"/>
        </w:rPr>
        <w:t xml:space="preserve"> </w:t>
      </w:r>
      <w:r w:rsidRPr="00D754E3">
        <w:rPr>
          <w:rFonts w:eastAsia="Times New Roman" w:cs="Times New Roman"/>
          <w:lang w:eastAsia="de-DE"/>
        </w:rPr>
        <w:t xml:space="preserve">mit ἔστωσαν (sie mögen sein/lass sie sein) im Imperativ wieder, was die permissive Nuance bewahrt. Die Restriktion </w:t>
      </w:r>
      <w:r w:rsidRPr="00D754E3">
        <w:rPr>
          <w:rFonts w:eastAsia="Times New Roman" w:cs="Times New Roman"/>
          <w:b/>
          <w:bCs/>
          <w:rtl/>
          <w:lang w:eastAsia="de-DE"/>
        </w:rPr>
        <w:t>אַךְ</w:t>
      </w:r>
      <w:r w:rsidRPr="00D754E3">
        <w:rPr>
          <w:rFonts w:eastAsia="Times New Roman" w:cs="Times New Roman"/>
          <w:rtl/>
          <w:lang w:eastAsia="de-DE"/>
        </w:rPr>
        <w:t xml:space="preserve"> </w:t>
      </w:r>
      <w:r w:rsidRPr="00D754E3">
        <w:rPr>
          <w:rFonts w:eastAsia="Times New Roman" w:cs="Times New Roman"/>
          <w:lang w:eastAsia="de-DE"/>
        </w:rPr>
        <w:t xml:space="preserve">wird mit πλὴν (außer, jedoch) wiedergegeben, und die komplexe Genitivkette </w:t>
      </w:r>
      <w:r w:rsidRPr="00D754E3">
        <w:rPr>
          <w:rFonts w:eastAsia="Times New Roman" w:cs="Times New Roman"/>
          <w:b/>
          <w:bCs/>
          <w:rtl/>
          <w:lang w:eastAsia="de-DE"/>
        </w:rPr>
        <w:t>לְמִשְׁפַּחַת מַטֵּה אֲבִיהֶם</w:t>
      </w:r>
      <w:r w:rsidRPr="00D754E3">
        <w:rPr>
          <w:rFonts w:eastAsia="Times New Roman" w:cs="Times New Roman"/>
          <w:rtl/>
          <w:lang w:eastAsia="de-DE"/>
        </w:rPr>
        <w:t xml:space="preserve"> </w:t>
      </w:r>
      <w:r w:rsidRPr="00D754E3">
        <w:rPr>
          <w:rFonts w:eastAsia="Times New Roman" w:cs="Times New Roman"/>
          <w:lang w:eastAsia="de-DE"/>
        </w:rPr>
        <w:t xml:space="preserve">erscheint als ἐκ τῆς φυλῆς τοῦ πατρὸς αὐτῶν (aus dem Stamm ihres Vaters), wobei die LXX die Hierarchie leicht vereinfacht und </w:t>
      </w:r>
      <w:r w:rsidRPr="00D754E3">
        <w:rPr>
          <w:rFonts w:eastAsia="Times New Roman" w:cs="Times New Roman"/>
          <w:b/>
          <w:bCs/>
          <w:rtl/>
          <w:lang w:eastAsia="de-DE"/>
        </w:rPr>
        <w:t>מִשְׁפַּחַת</w:t>
      </w:r>
      <w:r w:rsidRPr="00D754E3">
        <w:rPr>
          <w:rFonts w:eastAsia="Times New Roman" w:cs="Times New Roman"/>
          <w:rtl/>
          <w:lang w:eastAsia="de-DE"/>
        </w:rPr>
        <w:t xml:space="preserve"> </w:t>
      </w:r>
      <w:r w:rsidRPr="00D754E3">
        <w:rPr>
          <w:rFonts w:eastAsia="Times New Roman" w:cs="Times New Roman"/>
          <w:lang w:eastAsia="de-DE"/>
        </w:rPr>
        <w:t>nicht explizit übersetzt, sondern in φυλή integriert.</w:t>
      </w:r>
    </w:p>
    <w:p w14:paraId="4FCC8C4B"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Die Satzstruktur besteht aus einem einleitenden nominalen Satz (</w:t>
      </w:r>
      <w:r w:rsidRPr="00D754E3">
        <w:rPr>
          <w:rFonts w:eastAsia="Times New Roman" w:cs="Times New Roman"/>
          <w:b/>
          <w:bCs/>
          <w:rtl/>
          <w:lang w:eastAsia="de-DE"/>
        </w:rPr>
        <w:t>זֶה הַדָּבָר</w:t>
      </w:r>
      <w:r w:rsidRPr="00D754E3">
        <w:rPr>
          <w:rFonts w:eastAsia="Times New Roman" w:cs="Times New Roman"/>
          <w:rtl/>
          <w:lang w:eastAsia="de-DE"/>
        </w:rPr>
        <w:t xml:space="preserve"> </w:t>
      </w:r>
      <w:r w:rsidRPr="00D754E3">
        <w:rPr>
          <w:rFonts w:eastAsia="Times New Roman" w:cs="Times New Roman"/>
          <w:lang w:eastAsia="de-DE"/>
        </w:rPr>
        <w:t>...) mit einem eingebetteten Relativsatz (</w:t>
      </w:r>
      <w:r w:rsidRPr="00D754E3">
        <w:rPr>
          <w:rFonts w:eastAsia="Times New Roman" w:cs="Times New Roman"/>
          <w:b/>
          <w:bCs/>
          <w:rtl/>
          <w:lang w:eastAsia="de-DE"/>
        </w:rPr>
        <w:t>אֲשֶׁר־צִוָּה יְהוָה לִבְנוֹת צְלָפְחָד</w:t>
      </w:r>
      <w:r w:rsidRPr="00D754E3">
        <w:rPr>
          <w:rFonts w:eastAsia="Times New Roman" w:cs="Times New Roman"/>
          <w:lang w:eastAsia="de-DE"/>
        </w:rPr>
        <w:t>) und einer Redeeinleitung (</w:t>
      </w:r>
      <w:r w:rsidRPr="00D754E3">
        <w:rPr>
          <w:rFonts w:eastAsia="Times New Roman" w:cs="Times New Roman"/>
          <w:b/>
          <w:bCs/>
          <w:rtl/>
          <w:lang w:eastAsia="de-DE"/>
        </w:rPr>
        <w:t>לֵאמֹר</w:t>
      </w:r>
      <w:r w:rsidRPr="00D754E3">
        <w:rPr>
          <w:rFonts w:eastAsia="Times New Roman" w:cs="Times New Roman"/>
          <w:lang w:eastAsia="de-DE"/>
        </w:rPr>
        <w:t>). Die direkte Rede enthält zwei koordinierte Hauptsätze, die beide die Struktur haben: präpositionale Phrase + Verb (</w:t>
      </w:r>
      <w:r w:rsidRPr="00D754E3">
        <w:rPr>
          <w:rFonts w:eastAsia="Times New Roman" w:cs="Times New Roman"/>
          <w:b/>
          <w:bCs/>
          <w:rtl/>
          <w:lang w:eastAsia="de-DE"/>
        </w:rPr>
        <w:t>תִּהְיֶינָה</w:t>
      </w:r>
      <w:r w:rsidRPr="00D754E3">
        <w:rPr>
          <w:rFonts w:eastAsia="Times New Roman" w:cs="Times New Roman"/>
          <w:lang w:eastAsia="de-DE"/>
        </w:rPr>
        <w:t xml:space="preserve">) + prädikatives </w:t>
      </w:r>
      <w:r w:rsidRPr="00D754E3">
        <w:rPr>
          <w:rFonts w:eastAsia="Times New Roman" w:cs="Times New Roman"/>
          <w:b/>
          <w:bCs/>
          <w:rtl/>
          <w:lang w:eastAsia="de-DE"/>
        </w:rPr>
        <w:t>לְנָשִׁים</w:t>
      </w:r>
      <w:r w:rsidRPr="00D754E3">
        <w:rPr>
          <w:rFonts w:eastAsia="Times New Roman" w:cs="Times New Roman"/>
          <w:lang w:eastAsia="de-DE"/>
        </w:rPr>
        <w:t xml:space="preserve">. Der zweite Hauptsatz wird durch die adversative Partikel </w:t>
      </w:r>
      <w:r w:rsidRPr="00D754E3">
        <w:rPr>
          <w:rFonts w:eastAsia="Times New Roman" w:cs="Times New Roman"/>
          <w:b/>
          <w:bCs/>
          <w:rtl/>
          <w:lang w:eastAsia="de-DE"/>
        </w:rPr>
        <w:t>אַךְ</w:t>
      </w:r>
      <w:r w:rsidRPr="00D754E3">
        <w:rPr>
          <w:rFonts w:eastAsia="Times New Roman" w:cs="Times New Roman"/>
          <w:rtl/>
          <w:lang w:eastAsia="de-DE"/>
        </w:rPr>
        <w:t xml:space="preserve"> </w:t>
      </w:r>
      <w:r w:rsidRPr="00D754E3">
        <w:rPr>
          <w:rFonts w:eastAsia="Times New Roman" w:cs="Times New Roman"/>
          <w:lang w:eastAsia="de-DE"/>
        </w:rPr>
        <w:t>eingeleitet, die den kontrastiven Charakter markiert. Es gibt keine komplexen Nebensätze in der direkten Rede; die Struktur ist parataktisch mit adversativer Konjunktion.</w:t>
      </w:r>
    </w:p>
    <w:p w14:paraId="752EF3B8"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Der Vers präsentiert die göttliche Lösung für das in den vorherigen Versen geschilderte Problem: Die Töchter Zelophchads erhalten Wahlfreiheit bei der Partnerwahl, solange sie Männer aus dem eigenen Stamm (Manasse) heiraten. Diese Regelung balanciert individuelle </w:t>
      </w:r>
      <w:r w:rsidRPr="00D754E3">
        <w:rPr>
          <w:rFonts w:eastAsia="Times New Roman" w:cs="Times New Roman"/>
          <w:lang w:eastAsia="de-DE"/>
        </w:rPr>
        <w:lastRenderedPageBreak/>
        <w:t>Rechte (der Töchter) mit kollektiven Interessen (der Stammesintegrität) und verhindert die dauerhafte Übertragung von Stammesland durch Heirat.</w:t>
      </w:r>
    </w:p>
    <w:p w14:paraId="2548D387" w14:textId="77777777" w:rsidR="00D754E3" w:rsidRPr="00D754E3" w:rsidRDefault="00D754E3" w:rsidP="00D754E3">
      <w:pPr>
        <w:spacing w:before="100" w:beforeAutospacing="1" w:after="100" w:afterAutospacing="1" w:line="240" w:lineRule="auto"/>
        <w:outlineLvl w:val="0"/>
        <w:rPr>
          <w:rFonts w:eastAsia="Times New Roman" w:cs="Times New Roman"/>
          <w:b/>
          <w:bCs/>
          <w:kern w:val="36"/>
          <w:sz w:val="48"/>
          <w:szCs w:val="48"/>
          <w:lang w:eastAsia="de-DE"/>
        </w:rPr>
      </w:pPr>
      <w:r w:rsidRPr="00D754E3">
        <w:rPr>
          <w:rFonts w:eastAsia="Times New Roman" w:cs="Times New Roman"/>
          <w:b/>
          <w:bCs/>
          <w:kern w:val="36"/>
          <w:sz w:val="48"/>
          <w:szCs w:val="48"/>
          <w:lang w:eastAsia="de-DE"/>
        </w:rPr>
        <w:t>Numeri 36,7</w:t>
      </w:r>
    </w:p>
    <w:p w14:paraId="75E7BB48" w14:textId="35B93DCC"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Hebräisch:</w:t>
      </w:r>
      <w:r w:rsidRPr="00D754E3">
        <w:rPr>
          <w:rFonts w:eastAsia="Times New Roman" w:cs="Times New Roman"/>
          <w:rtl/>
          <w:lang w:eastAsia="de-DE"/>
        </w:rPr>
        <w:t xml:space="preserve"> וְלֹֽא־תִסֹּ֤ב נַחֲלָה֙ לִבְנֵ֣י יִשְׂרָאֵ֔ל מִמַּטֶּ֖ה אֶל־מַטֶּ֑ה כִּ֣י אִ֗ישׁ בְּנַחֲלַת֙ מַטֵּ֣ה אֲבֹתָ֔יו יִדְבְּק֖וּ בְּנֵ֥י יִשְׂרָאֵֽל׃</w:t>
      </w:r>
    </w:p>
    <w:p w14:paraId="18A2423E" w14:textId="1A4A76B8"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Deutsch:</w:t>
      </w:r>
      <w:r w:rsidRPr="00D754E3">
        <w:rPr>
          <w:rFonts w:eastAsia="Times New Roman" w:cs="Times New Roman"/>
          <w:lang w:eastAsia="de-DE"/>
        </w:rPr>
        <w:t xml:space="preserve"> damit kein Erbteil der Söhne Jisra'el von Stamm zu Stamm übergehe; denn die Söhne Jisra'el sollen ein jeder an dem Erbteil des Stammes seiner Väter anhangen.</w:t>
      </w:r>
    </w:p>
    <w:p w14:paraId="23E79C59" w14:textId="23D41586" w:rsidR="00D754E3" w:rsidRPr="00D754E3" w:rsidRDefault="00D754E3" w:rsidP="00D754E3">
      <w:pPr>
        <w:spacing w:before="100" w:beforeAutospacing="1" w:after="100" w:afterAutospacing="1" w:line="240" w:lineRule="auto"/>
        <w:rPr>
          <w:rFonts w:eastAsia="Times New Roman" w:cs="Times New Roman"/>
          <w:lang w:eastAsia="de-DE"/>
        </w:rPr>
      </w:pPr>
    </w:p>
    <w:p w14:paraId="63E2B908" w14:textId="77777777" w:rsidR="00D754E3" w:rsidRPr="00D754E3" w:rsidRDefault="00F329DD" w:rsidP="00D754E3">
      <w:pPr>
        <w:spacing w:after="0" w:line="240" w:lineRule="auto"/>
        <w:rPr>
          <w:rFonts w:eastAsia="Times New Roman" w:cs="Times New Roman"/>
          <w:lang w:eastAsia="de-DE"/>
        </w:rPr>
      </w:pPr>
      <w:r>
        <w:rPr>
          <w:rFonts w:eastAsia="Times New Roman" w:cs="Times New Roman"/>
          <w:noProof/>
          <w:lang w:eastAsia="de-DE"/>
        </w:rPr>
        <w:pict w14:anchorId="3EBBA5B0">
          <v:rect id="_x0000_i2099" style="width:0;height:1.5pt" o:hralign="center" o:hrstd="t" o:hr="t" fillcolor="#a0a0a0" stroked="f"/>
        </w:pict>
      </w:r>
    </w:p>
    <w:p w14:paraId="6121AED1" w14:textId="5CB53E15"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Kommentar:</w:t>
      </w:r>
      <w:r>
        <w:rPr>
          <w:rFonts w:eastAsia="Times New Roman" w:cs="Times New Roman"/>
          <w:lang w:eastAsia="de-DE"/>
        </w:rPr>
        <w:t xml:space="preserve"> </w:t>
      </w:r>
      <w:r w:rsidRPr="00D754E3">
        <w:rPr>
          <w:rFonts w:eastAsia="Times New Roman" w:cs="Times New Roman"/>
          <w:lang w:eastAsia="de-DE"/>
        </w:rPr>
        <w:t xml:space="preserve">Der Vers beginnt mit der Negation </w:t>
      </w:r>
      <w:r w:rsidRPr="00D754E3">
        <w:rPr>
          <w:rFonts w:eastAsia="Times New Roman" w:cs="Times New Roman"/>
          <w:b/>
          <w:bCs/>
          <w:rtl/>
          <w:lang w:eastAsia="de-DE"/>
        </w:rPr>
        <w:t>וְלֹא</w:t>
      </w:r>
      <w:r w:rsidRPr="00D754E3">
        <w:rPr>
          <w:rFonts w:eastAsia="Times New Roman" w:cs="Times New Roman"/>
          <w:rtl/>
          <w:lang w:eastAsia="de-DE"/>
        </w:rPr>
        <w:t xml:space="preserve"> </w:t>
      </w:r>
      <w:r w:rsidRPr="00D754E3">
        <w:rPr>
          <w:rFonts w:eastAsia="Times New Roman" w:cs="Times New Roman"/>
          <w:lang w:eastAsia="de-DE"/>
        </w:rPr>
        <w:t xml:space="preserve">(und nicht), gefolgt vom Verb </w:t>
      </w:r>
      <w:r w:rsidRPr="00D754E3">
        <w:rPr>
          <w:rFonts w:eastAsia="Times New Roman" w:cs="Times New Roman"/>
          <w:b/>
          <w:bCs/>
          <w:rtl/>
          <w:lang w:eastAsia="de-DE"/>
        </w:rPr>
        <w:t>תִסֹּב</w:t>
      </w:r>
      <w:r w:rsidRPr="00D754E3">
        <w:rPr>
          <w:rFonts w:eastAsia="Times New Roman" w:cs="Times New Roman"/>
          <w:rtl/>
          <w:lang w:eastAsia="de-DE"/>
        </w:rPr>
        <w:t xml:space="preserve"> </w:t>
      </w:r>
      <w:r w:rsidRPr="00D754E3">
        <w:rPr>
          <w:rFonts w:eastAsia="Times New Roman" w:cs="Times New Roman"/>
          <w:lang w:eastAsia="de-DE"/>
        </w:rPr>
        <w:t xml:space="preserve">(3. Person Singular feminin Imperfekt Qal von </w:t>
      </w:r>
      <w:r w:rsidRPr="00D754E3">
        <w:rPr>
          <w:rFonts w:eastAsia="Times New Roman" w:cs="Times New Roman"/>
          <w:rtl/>
          <w:lang w:eastAsia="de-DE"/>
        </w:rPr>
        <w:t>סבב</w:t>
      </w:r>
      <w:r w:rsidRPr="00D754E3">
        <w:rPr>
          <w:rFonts w:eastAsia="Times New Roman" w:cs="Times New Roman"/>
          <w:lang w:eastAsia="de-DE"/>
        </w:rPr>
        <w:t xml:space="preserve">, sich drehen/übergehen/übertragen werden). Das </w:t>
      </w:r>
      <w:r w:rsidRPr="00D754E3">
        <w:rPr>
          <w:rFonts w:eastAsia="Times New Roman" w:cs="Times New Roman"/>
          <w:b/>
          <w:bCs/>
          <w:rtl/>
          <w:lang w:eastAsia="de-DE"/>
        </w:rPr>
        <w:t>וְ</w:t>
      </w:r>
      <w:r w:rsidRPr="00D754E3">
        <w:rPr>
          <w:rFonts w:eastAsia="Times New Roman" w:cs="Times New Roman"/>
          <w:rtl/>
          <w:lang w:eastAsia="de-DE"/>
        </w:rPr>
        <w:t xml:space="preserve"> </w:t>
      </w:r>
      <w:r w:rsidRPr="00D754E3">
        <w:rPr>
          <w:rFonts w:eastAsia="Times New Roman" w:cs="Times New Roman"/>
          <w:lang w:eastAsia="de-DE"/>
        </w:rPr>
        <w:t xml:space="preserve">verbindet diesen Vers mit der vorherigen göttlichen Anweisung und zeigt deren Zweck an. Die Negation mit Imperfekt drückt ein Verbot oder eine zu verhindernde zukünftige Handlung aus. Das Subjekt ist </w:t>
      </w:r>
      <w:r w:rsidRPr="00D754E3">
        <w:rPr>
          <w:rFonts w:eastAsia="Times New Roman" w:cs="Times New Roman"/>
          <w:b/>
          <w:bCs/>
          <w:rtl/>
          <w:lang w:eastAsia="de-DE"/>
        </w:rPr>
        <w:t>נַחֲלָה</w:t>
      </w:r>
      <w:r w:rsidRPr="00D754E3">
        <w:rPr>
          <w:rFonts w:eastAsia="Times New Roman" w:cs="Times New Roman"/>
          <w:rtl/>
          <w:lang w:eastAsia="de-DE"/>
        </w:rPr>
        <w:t xml:space="preserve"> </w:t>
      </w:r>
      <w:r w:rsidRPr="00D754E3">
        <w:rPr>
          <w:rFonts w:eastAsia="Times New Roman" w:cs="Times New Roman"/>
          <w:lang w:eastAsia="de-DE"/>
        </w:rPr>
        <w:t>(Erbteil, feminin singular), ein Schlüsselbegriff im gesamten Abschnitt.</w:t>
      </w:r>
    </w:p>
    <w:p w14:paraId="643C735F" w14:textId="1C060245"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Dativphrase </w:t>
      </w:r>
      <w:r w:rsidRPr="00D754E3">
        <w:rPr>
          <w:rFonts w:eastAsia="Times New Roman" w:cs="Times New Roman"/>
          <w:b/>
          <w:bCs/>
          <w:rtl/>
          <w:lang w:eastAsia="de-DE"/>
        </w:rPr>
        <w:t>לִבְנֵי יִשְׂרָאֵל</w:t>
      </w:r>
      <w:r w:rsidRPr="00D754E3">
        <w:rPr>
          <w:rFonts w:eastAsia="Times New Roman" w:cs="Times New Roman"/>
          <w:rtl/>
          <w:lang w:eastAsia="de-DE"/>
        </w:rPr>
        <w:t xml:space="preserve"> </w:t>
      </w:r>
      <w:r w:rsidRPr="00D754E3">
        <w:rPr>
          <w:rFonts w:eastAsia="Times New Roman" w:cs="Times New Roman"/>
          <w:lang w:eastAsia="de-DE"/>
        </w:rPr>
        <w:t xml:space="preserve">(für/bezüglich der Söhne Israels) mit der Präposition </w:t>
      </w:r>
      <w:r w:rsidRPr="00D754E3">
        <w:rPr>
          <w:rFonts w:eastAsia="Times New Roman" w:cs="Times New Roman"/>
          <w:b/>
          <w:bCs/>
          <w:rtl/>
          <w:lang w:eastAsia="de-DE"/>
        </w:rPr>
        <w:t>לְ</w:t>
      </w:r>
      <w:r w:rsidRPr="00D754E3">
        <w:rPr>
          <w:rFonts w:eastAsia="Times New Roman" w:cs="Times New Roman"/>
          <w:rtl/>
          <w:lang w:eastAsia="de-DE"/>
        </w:rPr>
        <w:t xml:space="preserve"> </w:t>
      </w:r>
      <w:r w:rsidRPr="00D754E3">
        <w:rPr>
          <w:rFonts w:eastAsia="Times New Roman" w:cs="Times New Roman"/>
          <w:lang w:eastAsia="de-DE"/>
        </w:rPr>
        <w:t xml:space="preserve">zeigt an, wessen Erbteile betroffen sind. Die präpositionalen Phrasen </w:t>
      </w:r>
      <w:r w:rsidRPr="00D754E3">
        <w:rPr>
          <w:rFonts w:eastAsia="Times New Roman" w:cs="Times New Roman"/>
          <w:b/>
          <w:bCs/>
          <w:rtl/>
          <w:lang w:eastAsia="de-DE"/>
        </w:rPr>
        <w:t>מִמַּטֶּה אֶל־מַטֶּה</w:t>
      </w:r>
      <w:r w:rsidRPr="00D754E3">
        <w:rPr>
          <w:rFonts w:eastAsia="Times New Roman" w:cs="Times New Roman"/>
          <w:rtl/>
          <w:lang w:eastAsia="de-DE"/>
        </w:rPr>
        <w:t xml:space="preserve"> </w:t>
      </w:r>
      <w:r w:rsidRPr="00D754E3">
        <w:rPr>
          <w:rFonts w:eastAsia="Times New Roman" w:cs="Times New Roman"/>
          <w:lang w:eastAsia="de-DE"/>
        </w:rPr>
        <w:t xml:space="preserve">(von Stamm zu Stamm) bilden eine komplementäre </w:t>
      </w:r>
      <w:r w:rsidR="00F133EC">
        <w:rPr>
          <w:rFonts w:eastAsia="Times New Roman" w:cs="Times New Roman"/>
          <w:lang w:eastAsia="de-DE"/>
        </w:rPr>
        <w:t>Construct</w:t>
      </w:r>
      <w:r w:rsidRPr="00D754E3">
        <w:rPr>
          <w:rFonts w:eastAsia="Times New Roman" w:cs="Times New Roman"/>
          <w:lang w:eastAsia="de-DE"/>
        </w:rPr>
        <w:t xml:space="preserve">ion: </w:t>
      </w:r>
      <w:r w:rsidRPr="00D754E3">
        <w:rPr>
          <w:rFonts w:eastAsia="Times New Roman" w:cs="Times New Roman"/>
          <w:b/>
          <w:bCs/>
          <w:rtl/>
          <w:lang w:eastAsia="de-DE"/>
        </w:rPr>
        <w:t>מִן</w:t>
      </w:r>
      <w:r w:rsidRPr="00D754E3">
        <w:rPr>
          <w:rFonts w:eastAsia="Times New Roman" w:cs="Times New Roman"/>
          <w:rtl/>
          <w:lang w:eastAsia="de-DE"/>
        </w:rPr>
        <w:t xml:space="preserve"> </w:t>
      </w:r>
      <w:r w:rsidRPr="00D754E3">
        <w:rPr>
          <w:rFonts w:eastAsia="Times New Roman" w:cs="Times New Roman"/>
          <w:lang w:eastAsia="de-DE"/>
        </w:rPr>
        <w:t xml:space="preserve">(von, aus) zeigt die Herkunft an, </w:t>
      </w:r>
      <w:r w:rsidRPr="00D754E3">
        <w:rPr>
          <w:rFonts w:eastAsia="Times New Roman" w:cs="Times New Roman"/>
          <w:b/>
          <w:bCs/>
          <w:rtl/>
          <w:lang w:eastAsia="de-DE"/>
        </w:rPr>
        <w:t>אֶל</w:t>
      </w:r>
      <w:r w:rsidRPr="00D754E3">
        <w:rPr>
          <w:rFonts w:eastAsia="Times New Roman" w:cs="Times New Roman"/>
          <w:rtl/>
          <w:lang w:eastAsia="de-DE"/>
        </w:rPr>
        <w:t xml:space="preserve"> </w:t>
      </w:r>
      <w:r w:rsidRPr="00D754E3">
        <w:rPr>
          <w:rFonts w:eastAsia="Times New Roman" w:cs="Times New Roman"/>
          <w:lang w:eastAsia="de-DE"/>
        </w:rPr>
        <w:t xml:space="preserve">(zu, hin zu) zeigt die Richtung an. </w:t>
      </w:r>
      <w:r w:rsidRPr="00D754E3">
        <w:rPr>
          <w:rFonts w:eastAsia="Times New Roman" w:cs="Times New Roman"/>
          <w:b/>
          <w:bCs/>
          <w:rtl/>
          <w:lang w:eastAsia="de-DE"/>
        </w:rPr>
        <w:t>מַטֶּה</w:t>
      </w:r>
      <w:r w:rsidRPr="00D754E3">
        <w:rPr>
          <w:rFonts w:eastAsia="Times New Roman" w:cs="Times New Roman"/>
          <w:rtl/>
          <w:lang w:eastAsia="de-DE"/>
        </w:rPr>
        <w:t xml:space="preserve"> </w:t>
      </w:r>
      <w:r w:rsidRPr="00D754E3">
        <w:rPr>
          <w:rFonts w:eastAsia="Times New Roman" w:cs="Times New Roman"/>
          <w:lang w:eastAsia="de-DE"/>
        </w:rPr>
        <w:t>(Stamm, maskulin singular) erscheint zweimal, jeweils ohne Artikel, was die Generalität der Aussage unterstreicht – es geht um jeden beliebigen Stamm zu einem anderen beliebigen Stamm.</w:t>
      </w:r>
    </w:p>
    <w:p w14:paraId="7E22EF7B"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kausale Konjunktion </w:t>
      </w:r>
      <w:r w:rsidRPr="00D754E3">
        <w:rPr>
          <w:rFonts w:eastAsia="Times New Roman" w:cs="Times New Roman"/>
          <w:b/>
          <w:bCs/>
          <w:rtl/>
          <w:lang w:eastAsia="de-DE"/>
        </w:rPr>
        <w:t>כִּי</w:t>
      </w:r>
      <w:r w:rsidRPr="00D754E3">
        <w:rPr>
          <w:rFonts w:eastAsia="Times New Roman" w:cs="Times New Roman"/>
          <w:rtl/>
          <w:lang w:eastAsia="de-DE"/>
        </w:rPr>
        <w:t xml:space="preserve"> </w:t>
      </w:r>
      <w:r w:rsidRPr="00D754E3">
        <w:rPr>
          <w:rFonts w:eastAsia="Times New Roman" w:cs="Times New Roman"/>
          <w:lang w:eastAsia="de-DE"/>
        </w:rPr>
        <w:t xml:space="preserve">(denn, weil) leitet einen begründenden Hauptsatz ein, der die positive Formulierung des in der Negation ausgedrückten Prinzips gibt. Die präpositionale Phrase </w:t>
      </w:r>
      <w:r w:rsidRPr="00D754E3">
        <w:rPr>
          <w:rFonts w:eastAsia="Times New Roman" w:cs="Times New Roman"/>
          <w:b/>
          <w:bCs/>
          <w:rtl/>
          <w:lang w:eastAsia="de-DE"/>
        </w:rPr>
        <w:t>בְּנַחֲלַת מַטֵּה אֲבֹתָיו</w:t>
      </w:r>
      <w:r w:rsidRPr="00D754E3">
        <w:rPr>
          <w:rFonts w:eastAsia="Times New Roman" w:cs="Times New Roman"/>
          <w:rtl/>
          <w:lang w:eastAsia="de-DE"/>
        </w:rPr>
        <w:t xml:space="preserve"> </w:t>
      </w:r>
      <w:r w:rsidRPr="00D754E3">
        <w:rPr>
          <w:rFonts w:eastAsia="Times New Roman" w:cs="Times New Roman"/>
          <w:lang w:eastAsia="de-DE"/>
        </w:rPr>
        <w:t xml:space="preserve">ist das zentrale Element dieser Begründung: </w:t>
      </w:r>
      <w:r w:rsidRPr="00D754E3">
        <w:rPr>
          <w:rFonts w:eastAsia="Times New Roman" w:cs="Times New Roman"/>
          <w:b/>
          <w:bCs/>
          <w:rtl/>
          <w:lang w:eastAsia="de-DE"/>
        </w:rPr>
        <w:t>בְּ</w:t>
      </w:r>
      <w:r w:rsidRPr="00D754E3">
        <w:rPr>
          <w:rFonts w:eastAsia="Times New Roman" w:cs="Times New Roman"/>
          <w:rtl/>
          <w:lang w:eastAsia="de-DE"/>
        </w:rPr>
        <w:t xml:space="preserve"> </w:t>
      </w:r>
      <w:r w:rsidRPr="00D754E3">
        <w:rPr>
          <w:rFonts w:eastAsia="Times New Roman" w:cs="Times New Roman"/>
          <w:lang w:eastAsia="de-DE"/>
        </w:rPr>
        <w:t xml:space="preserve">(an, bei, in) mit </w:t>
      </w:r>
      <w:r w:rsidRPr="00D754E3">
        <w:rPr>
          <w:rFonts w:eastAsia="Times New Roman" w:cs="Times New Roman"/>
          <w:b/>
          <w:bCs/>
          <w:rtl/>
          <w:lang w:eastAsia="de-DE"/>
        </w:rPr>
        <w:t>נַחֲלַת</w:t>
      </w:r>
      <w:r w:rsidRPr="00D754E3">
        <w:rPr>
          <w:rFonts w:eastAsia="Times New Roman" w:cs="Times New Roman"/>
          <w:rtl/>
          <w:lang w:eastAsia="de-DE"/>
        </w:rPr>
        <w:t xml:space="preserve"> </w:t>
      </w:r>
      <w:r w:rsidRPr="00D754E3">
        <w:rPr>
          <w:rFonts w:eastAsia="Times New Roman" w:cs="Times New Roman"/>
          <w:lang w:eastAsia="de-DE"/>
        </w:rPr>
        <w:t xml:space="preserve">(Erbteil, feminin singular constructus), das mit </w:t>
      </w:r>
      <w:r w:rsidRPr="00D754E3">
        <w:rPr>
          <w:rFonts w:eastAsia="Times New Roman" w:cs="Times New Roman"/>
          <w:b/>
          <w:bCs/>
          <w:rtl/>
          <w:lang w:eastAsia="de-DE"/>
        </w:rPr>
        <w:t>מַטֵּה</w:t>
      </w:r>
      <w:r w:rsidRPr="00D754E3">
        <w:rPr>
          <w:rFonts w:eastAsia="Times New Roman" w:cs="Times New Roman"/>
          <w:rtl/>
          <w:lang w:eastAsia="de-DE"/>
        </w:rPr>
        <w:t xml:space="preserve"> </w:t>
      </w:r>
      <w:r w:rsidRPr="00D754E3">
        <w:rPr>
          <w:rFonts w:eastAsia="Times New Roman" w:cs="Times New Roman"/>
          <w:lang w:eastAsia="de-DE"/>
        </w:rPr>
        <w:t xml:space="preserve">(Stamm, maskulin singular constructus) verbunden ist, der wiederum mit </w:t>
      </w:r>
      <w:r w:rsidRPr="00D754E3">
        <w:rPr>
          <w:rFonts w:eastAsia="Times New Roman" w:cs="Times New Roman"/>
          <w:b/>
          <w:bCs/>
          <w:rtl/>
          <w:lang w:eastAsia="de-DE"/>
        </w:rPr>
        <w:t>אֲבֹתָיו</w:t>
      </w:r>
      <w:r w:rsidRPr="00D754E3">
        <w:rPr>
          <w:rFonts w:eastAsia="Times New Roman" w:cs="Times New Roman"/>
          <w:rtl/>
          <w:lang w:eastAsia="de-DE"/>
        </w:rPr>
        <w:t xml:space="preserve"> </w:t>
      </w:r>
      <w:r w:rsidRPr="00D754E3">
        <w:rPr>
          <w:rFonts w:eastAsia="Times New Roman" w:cs="Times New Roman"/>
          <w:lang w:eastAsia="de-DE"/>
        </w:rPr>
        <w:t>(seine Väter, Plural mit Suffix 3. Person Singular maskulin) verbunden ist – eine dreifache Genitivkette, die die Kontinuität über Generationen betont.</w:t>
      </w:r>
    </w:p>
    <w:p w14:paraId="1D4A3813"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Wort </w:t>
      </w:r>
      <w:r w:rsidRPr="00D754E3">
        <w:rPr>
          <w:rFonts w:eastAsia="Times New Roman" w:cs="Times New Roman"/>
          <w:b/>
          <w:bCs/>
          <w:rtl/>
          <w:lang w:eastAsia="de-DE"/>
        </w:rPr>
        <w:t>אִישׁ</w:t>
      </w:r>
      <w:r w:rsidRPr="00D754E3">
        <w:rPr>
          <w:rFonts w:eastAsia="Times New Roman" w:cs="Times New Roman"/>
          <w:rtl/>
          <w:lang w:eastAsia="de-DE"/>
        </w:rPr>
        <w:t xml:space="preserve"> </w:t>
      </w:r>
      <w:r w:rsidRPr="00D754E3">
        <w:rPr>
          <w:rFonts w:eastAsia="Times New Roman" w:cs="Times New Roman"/>
          <w:lang w:eastAsia="de-DE"/>
        </w:rPr>
        <w:t xml:space="preserve">(jeder Mann/jeder einzelne) fungiert als Subjekt in distributivem Sinne – jeder Einzelne in seiner Individualität. Das Verb </w:t>
      </w:r>
      <w:r w:rsidRPr="00D754E3">
        <w:rPr>
          <w:rFonts w:eastAsia="Times New Roman" w:cs="Times New Roman"/>
          <w:b/>
          <w:bCs/>
          <w:rtl/>
          <w:lang w:eastAsia="de-DE"/>
        </w:rPr>
        <w:t>יִדְבְּקוּ</w:t>
      </w:r>
      <w:r w:rsidRPr="00D754E3">
        <w:rPr>
          <w:rFonts w:eastAsia="Times New Roman" w:cs="Times New Roman"/>
          <w:rtl/>
          <w:lang w:eastAsia="de-DE"/>
        </w:rPr>
        <w:t xml:space="preserve"> </w:t>
      </w:r>
      <w:r w:rsidRPr="00D754E3">
        <w:rPr>
          <w:rFonts w:eastAsia="Times New Roman" w:cs="Times New Roman"/>
          <w:lang w:eastAsia="de-DE"/>
        </w:rPr>
        <w:t xml:space="preserve">(3. Person Plural maskulin Imperfekt Qal von </w:t>
      </w:r>
      <w:r w:rsidRPr="00D754E3">
        <w:rPr>
          <w:rFonts w:eastAsia="Times New Roman" w:cs="Times New Roman"/>
          <w:rtl/>
          <w:lang w:eastAsia="de-DE"/>
        </w:rPr>
        <w:t>דבק</w:t>
      </w:r>
      <w:r w:rsidRPr="00D754E3">
        <w:rPr>
          <w:rFonts w:eastAsia="Times New Roman" w:cs="Times New Roman"/>
          <w:lang w:eastAsia="de-DE"/>
        </w:rPr>
        <w:t xml:space="preserve">, anhangen/festhalten/kleben) ist bemerkenswert: Es drückt eine enge, bleibende Verbindung aus, die über bloßen Besitz hinausgeht. Dieses Verb wird auch in Genesis 2,24 für das Anhangen des Mannes an seiner Frau verwendet und trägt Konnotationen von Treue und untrennbarer Bindung. Das Subjekt des Pluralverbs ist </w:t>
      </w:r>
      <w:r w:rsidRPr="00D754E3">
        <w:rPr>
          <w:rFonts w:eastAsia="Times New Roman" w:cs="Times New Roman"/>
          <w:b/>
          <w:bCs/>
          <w:rtl/>
          <w:lang w:eastAsia="de-DE"/>
        </w:rPr>
        <w:t>בְּנֵי יִשְׂרָאֵל</w:t>
      </w:r>
      <w:r w:rsidRPr="00D754E3">
        <w:rPr>
          <w:rFonts w:eastAsia="Times New Roman" w:cs="Times New Roman"/>
          <w:rtl/>
          <w:lang w:eastAsia="de-DE"/>
        </w:rPr>
        <w:t xml:space="preserve"> </w:t>
      </w:r>
      <w:r w:rsidRPr="00D754E3">
        <w:rPr>
          <w:rFonts w:eastAsia="Times New Roman" w:cs="Times New Roman"/>
          <w:lang w:eastAsia="de-DE"/>
        </w:rPr>
        <w:t xml:space="preserve">(die Söhne Israels), wobei das Verb im Plural steht, obwohl </w:t>
      </w:r>
      <w:r w:rsidRPr="00D754E3">
        <w:rPr>
          <w:rFonts w:eastAsia="Times New Roman" w:cs="Times New Roman"/>
          <w:b/>
          <w:bCs/>
          <w:rtl/>
          <w:lang w:eastAsia="de-DE"/>
        </w:rPr>
        <w:t>אִישׁ</w:t>
      </w:r>
      <w:r w:rsidRPr="00D754E3">
        <w:rPr>
          <w:rFonts w:eastAsia="Times New Roman" w:cs="Times New Roman"/>
          <w:rtl/>
          <w:lang w:eastAsia="de-DE"/>
        </w:rPr>
        <w:t xml:space="preserve"> </w:t>
      </w:r>
      <w:r w:rsidRPr="00D754E3">
        <w:rPr>
          <w:rFonts w:eastAsia="Times New Roman" w:cs="Times New Roman"/>
          <w:lang w:eastAsia="de-DE"/>
        </w:rPr>
        <w:t>(jeder) singular ist – dies ist ein distributiver Plural, der ausdrückt, dass jeder Einzelne der Israeliten diese Handlung vollziehen soll.</w:t>
      </w:r>
    </w:p>
    <w:p w14:paraId="4355E414"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Die LXX</w:t>
      </w:r>
      <w:r w:rsidRPr="00D754E3">
        <w:rPr>
          <w:rFonts w:eastAsia="Times New Roman" w:cs="Times New Roman"/>
          <w:lang w:eastAsia="de-DE"/>
        </w:rPr>
        <w:t xml:space="preserve"> übersetzt </w:t>
      </w:r>
      <w:r w:rsidRPr="00D754E3">
        <w:rPr>
          <w:rFonts w:eastAsia="Times New Roman" w:cs="Times New Roman"/>
          <w:b/>
          <w:bCs/>
          <w:rtl/>
          <w:lang w:eastAsia="de-DE"/>
        </w:rPr>
        <w:t>וְלֹא־תִסֹּב</w:t>
      </w:r>
      <w:r w:rsidRPr="00D754E3">
        <w:rPr>
          <w:rFonts w:eastAsia="Times New Roman" w:cs="Times New Roman"/>
          <w:rtl/>
          <w:lang w:eastAsia="de-DE"/>
        </w:rPr>
        <w:t xml:space="preserve"> </w:t>
      </w:r>
      <w:r w:rsidRPr="00D754E3">
        <w:rPr>
          <w:rFonts w:eastAsia="Times New Roman" w:cs="Times New Roman"/>
          <w:lang w:eastAsia="de-DE"/>
        </w:rPr>
        <w:t xml:space="preserve">mit οὐ περιστραφήσεται (nicht wird herumgedreht werden/übertragen werden), wobei das griechische Passiv-Futur die hebräische Negation mit Imperfekt wiedergibt. Für </w:t>
      </w:r>
      <w:r w:rsidRPr="00D754E3">
        <w:rPr>
          <w:rFonts w:eastAsia="Times New Roman" w:cs="Times New Roman"/>
          <w:b/>
          <w:bCs/>
          <w:rtl/>
          <w:lang w:eastAsia="de-DE"/>
        </w:rPr>
        <w:t>נַחֲלָה לִבְנֵי יִשְׂרָאֵל</w:t>
      </w:r>
      <w:r w:rsidRPr="00D754E3">
        <w:rPr>
          <w:rFonts w:eastAsia="Times New Roman" w:cs="Times New Roman"/>
          <w:rtl/>
          <w:lang w:eastAsia="de-DE"/>
        </w:rPr>
        <w:t xml:space="preserve"> </w:t>
      </w:r>
      <w:r w:rsidRPr="00D754E3">
        <w:rPr>
          <w:rFonts w:eastAsia="Times New Roman" w:cs="Times New Roman"/>
          <w:lang w:eastAsia="de-DE"/>
        </w:rPr>
        <w:t xml:space="preserve">verwendet die LXX κληρονομία τοῖς υἱοῖς Ισραηλ, wobei κληρονομία das hebräische </w:t>
      </w:r>
      <w:r w:rsidRPr="00D754E3">
        <w:rPr>
          <w:rFonts w:eastAsia="Times New Roman" w:cs="Times New Roman"/>
          <w:b/>
          <w:bCs/>
          <w:rtl/>
          <w:lang w:eastAsia="de-DE"/>
        </w:rPr>
        <w:t>נַחֲלָה</w:t>
      </w:r>
      <w:r w:rsidRPr="00D754E3">
        <w:rPr>
          <w:rFonts w:eastAsia="Times New Roman" w:cs="Times New Roman"/>
          <w:rtl/>
          <w:lang w:eastAsia="de-DE"/>
        </w:rPr>
        <w:t xml:space="preserve"> </w:t>
      </w:r>
      <w:r w:rsidRPr="00D754E3">
        <w:rPr>
          <w:rFonts w:eastAsia="Times New Roman" w:cs="Times New Roman"/>
          <w:lang w:eastAsia="de-DE"/>
        </w:rPr>
        <w:t xml:space="preserve">standardmäßig wiedergibt. Die Phrase </w:t>
      </w:r>
      <w:r w:rsidRPr="00D754E3">
        <w:rPr>
          <w:rFonts w:eastAsia="Times New Roman" w:cs="Times New Roman"/>
          <w:b/>
          <w:bCs/>
          <w:rtl/>
          <w:lang w:eastAsia="de-DE"/>
        </w:rPr>
        <w:t>מִמַּטֶּה אֶל־מַטֶּה</w:t>
      </w:r>
      <w:r w:rsidRPr="00D754E3">
        <w:rPr>
          <w:rFonts w:eastAsia="Times New Roman" w:cs="Times New Roman"/>
          <w:rtl/>
          <w:lang w:eastAsia="de-DE"/>
        </w:rPr>
        <w:t xml:space="preserve"> </w:t>
      </w:r>
      <w:r w:rsidRPr="00D754E3">
        <w:rPr>
          <w:rFonts w:eastAsia="Times New Roman" w:cs="Times New Roman"/>
          <w:lang w:eastAsia="de-DE"/>
        </w:rPr>
        <w:lastRenderedPageBreak/>
        <w:t xml:space="preserve">wird mit ἀπὸ φυλῆς εἰς φυλὴν ἑτέραν (von Stamm zu einem anderen Stamm) übersetzt, wobei die LXX ἑτέραν (einen anderen) hinzufügt für Klarheit. Die kausale Konjunktion </w:t>
      </w:r>
      <w:r w:rsidRPr="00D754E3">
        <w:rPr>
          <w:rFonts w:eastAsia="Times New Roman" w:cs="Times New Roman"/>
          <w:b/>
          <w:bCs/>
          <w:rtl/>
          <w:lang w:eastAsia="de-DE"/>
        </w:rPr>
        <w:t>כִּי</w:t>
      </w:r>
      <w:r w:rsidRPr="00D754E3">
        <w:rPr>
          <w:rFonts w:eastAsia="Times New Roman" w:cs="Times New Roman"/>
          <w:rtl/>
          <w:lang w:eastAsia="de-DE"/>
        </w:rPr>
        <w:t xml:space="preserve"> </w:t>
      </w:r>
      <w:r w:rsidRPr="00D754E3">
        <w:rPr>
          <w:rFonts w:eastAsia="Times New Roman" w:cs="Times New Roman"/>
          <w:lang w:eastAsia="de-DE"/>
        </w:rPr>
        <w:t xml:space="preserve">wird mit ἀλλ᾽ ἕκαστος (sondern jeder) wiedergegeben, wobei die LXX den adversativen Aspekt betont. Das distributive </w:t>
      </w:r>
      <w:r w:rsidRPr="00D754E3">
        <w:rPr>
          <w:rFonts w:eastAsia="Times New Roman" w:cs="Times New Roman"/>
          <w:b/>
          <w:bCs/>
          <w:rtl/>
          <w:lang w:eastAsia="de-DE"/>
        </w:rPr>
        <w:t>אִישׁ</w:t>
      </w:r>
      <w:r w:rsidRPr="00D754E3">
        <w:rPr>
          <w:rFonts w:eastAsia="Times New Roman" w:cs="Times New Roman"/>
          <w:rtl/>
          <w:lang w:eastAsia="de-DE"/>
        </w:rPr>
        <w:t xml:space="preserve"> </w:t>
      </w:r>
      <w:r w:rsidRPr="00D754E3">
        <w:rPr>
          <w:rFonts w:eastAsia="Times New Roman" w:cs="Times New Roman"/>
          <w:lang w:eastAsia="de-DE"/>
        </w:rPr>
        <w:t xml:space="preserve">wird mit ἕκαστος (jeder) übersetzt. Für das Verb </w:t>
      </w:r>
      <w:r w:rsidRPr="00D754E3">
        <w:rPr>
          <w:rFonts w:eastAsia="Times New Roman" w:cs="Times New Roman"/>
          <w:b/>
          <w:bCs/>
          <w:rtl/>
          <w:lang w:eastAsia="de-DE"/>
        </w:rPr>
        <w:t>יִדְבְּקוּ</w:t>
      </w:r>
      <w:r w:rsidRPr="00D754E3">
        <w:rPr>
          <w:rFonts w:eastAsia="Times New Roman" w:cs="Times New Roman"/>
          <w:rtl/>
          <w:lang w:eastAsia="de-DE"/>
        </w:rPr>
        <w:t xml:space="preserve"> </w:t>
      </w:r>
      <w:r w:rsidRPr="00D754E3">
        <w:rPr>
          <w:rFonts w:eastAsia="Times New Roman" w:cs="Times New Roman"/>
          <w:lang w:eastAsia="de-DE"/>
        </w:rPr>
        <w:t xml:space="preserve">verwendet die LXX κολληθήσεται (wird anhangen/kleben), ein Verb, das dieselben Konnotationen enger Bindung trägt. Die komplexe Genitivphrase </w:t>
      </w:r>
      <w:r w:rsidRPr="00D754E3">
        <w:rPr>
          <w:rFonts w:eastAsia="Times New Roman" w:cs="Times New Roman"/>
          <w:b/>
          <w:bCs/>
          <w:rtl/>
          <w:lang w:eastAsia="de-DE"/>
        </w:rPr>
        <w:t>בְּנַחֲלַת מַטֵּה אֲבֹתָיו</w:t>
      </w:r>
      <w:r w:rsidRPr="00D754E3">
        <w:rPr>
          <w:rFonts w:eastAsia="Times New Roman" w:cs="Times New Roman"/>
          <w:rtl/>
          <w:lang w:eastAsia="de-DE"/>
        </w:rPr>
        <w:t xml:space="preserve"> </w:t>
      </w:r>
      <w:r w:rsidRPr="00D754E3">
        <w:rPr>
          <w:rFonts w:eastAsia="Times New Roman" w:cs="Times New Roman"/>
          <w:lang w:eastAsia="de-DE"/>
        </w:rPr>
        <w:t xml:space="preserve">wird mit τῇ κληρονομίᾳ τῆς φυλῆς τοῦ πατρὸς αὐτοῦ wiedergegeben, wobei die LXX den Plural </w:t>
      </w:r>
      <w:r w:rsidRPr="00D754E3">
        <w:rPr>
          <w:rFonts w:eastAsia="Times New Roman" w:cs="Times New Roman"/>
          <w:b/>
          <w:bCs/>
          <w:rtl/>
          <w:lang w:eastAsia="de-DE"/>
        </w:rPr>
        <w:t>אֲבֹתָיו</w:t>
      </w:r>
      <w:r w:rsidRPr="00D754E3">
        <w:rPr>
          <w:rFonts w:eastAsia="Times New Roman" w:cs="Times New Roman"/>
          <w:rtl/>
          <w:lang w:eastAsia="de-DE"/>
        </w:rPr>
        <w:t xml:space="preserve"> </w:t>
      </w:r>
      <w:r w:rsidRPr="00D754E3">
        <w:rPr>
          <w:rFonts w:eastAsia="Times New Roman" w:cs="Times New Roman"/>
          <w:lang w:eastAsia="de-DE"/>
        </w:rPr>
        <w:t>als Singular πατρός (des Vaters) wiedergibt, möglicherweise verstehend als "Vaterstamm" im kollektiven Sinne.</w:t>
      </w:r>
    </w:p>
    <w:p w14:paraId="511BAF6D"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Satzstruktur besteht aus zwei koordinierten Hauptsätzen, die durch </w:t>
      </w:r>
      <w:r w:rsidRPr="00D754E3">
        <w:rPr>
          <w:rFonts w:eastAsia="Times New Roman" w:cs="Times New Roman"/>
          <w:b/>
          <w:bCs/>
          <w:rtl/>
          <w:lang w:eastAsia="de-DE"/>
        </w:rPr>
        <w:t>כִּי</w:t>
      </w:r>
      <w:r w:rsidRPr="00D754E3">
        <w:rPr>
          <w:rFonts w:eastAsia="Times New Roman" w:cs="Times New Roman"/>
          <w:rtl/>
          <w:lang w:eastAsia="de-DE"/>
        </w:rPr>
        <w:t xml:space="preserve"> </w:t>
      </w:r>
      <w:r w:rsidRPr="00D754E3">
        <w:rPr>
          <w:rFonts w:eastAsia="Times New Roman" w:cs="Times New Roman"/>
          <w:lang w:eastAsia="de-DE"/>
        </w:rPr>
        <w:t>verbunden sind: Der erste ist negativ (</w:t>
      </w:r>
      <w:r w:rsidRPr="00D754E3">
        <w:rPr>
          <w:rFonts w:eastAsia="Times New Roman" w:cs="Times New Roman"/>
          <w:b/>
          <w:bCs/>
          <w:rtl/>
          <w:lang w:eastAsia="de-DE"/>
        </w:rPr>
        <w:t>וְלֹא־תִסֹּב נַחֲלָה</w:t>
      </w:r>
      <w:r w:rsidRPr="00D754E3">
        <w:rPr>
          <w:rFonts w:eastAsia="Times New Roman" w:cs="Times New Roman"/>
          <w:rtl/>
          <w:lang w:eastAsia="de-DE"/>
        </w:rPr>
        <w:t xml:space="preserve"> </w:t>
      </w:r>
      <w:r w:rsidRPr="00D754E3">
        <w:rPr>
          <w:rFonts w:eastAsia="Times New Roman" w:cs="Times New Roman"/>
          <w:lang w:eastAsia="de-DE"/>
        </w:rPr>
        <w:t>...) mit präpositionalen Ergänzungen, der zweite ist positiv und begründend (</w:t>
      </w:r>
      <w:r w:rsidRPr="00D754E3">
        <w:rPr>
          <w:rFonts w:eastAsia="Times New Roman" w:cs="Times New Roman"/>
          <w:b/>
          <w:bCs/>
          <w:rtl/>
          <w:lang w:eastAsia="de-DE"/>
        </w:rPr>
        <w:t>כִּי אִישׁ</w:t>
      </w:r>
      <w:r w:rsidRPr="00D754E3">
        <w:rPr>
          <w:rFonts w:eastAsia="Times New Roman" w:cs="Times New Roman"/>
          <w:rtl/>
          <w:lang w:eastAsia="de-DE"/>
        </w:rPr>
        <w:t xml:space="preserve"> </w:t>
      </w:r>
      <w:r w:rsidRPr="00D754E3">
        <w:rPr>
          <w:rFonts w:eastAsia="Times New Roman" w:cs="Times New Roman"/>
          <w:lang w:eastAsia="de-DE"/>
        </w:rPr>
        <w:t xml:space="preserve">... </w:t>
      </w:r>
      <w:r w:rsidRPr="00D754E3">
        <w:rPr>
          <w:rFonts w:eastAsia="Times New Roman" w:cs="Times New Roman"/>
          <w:b/>
          <w:bCs/>
          <w:rtl/>
          <w:lang w:eastAsia="de-DE"/>
        </w:rPr>
        <w:t>יִדְבְּקוּ בְּנֵי יִשְׂרָאֵל</w:t>
      </w:r>
      <w:r w:rsidRPr="00D754E3">
        <w:rPr>
          <w:rFonts w:eastAsia="Times New Roman" w:cs="Times New Roman"/>
          <w:lang w:eastAsia="de-DE"/>
        </w:rPr>
        <w:t>) mit einer präpositionalen Phrase, die das Objekt des Anhängens ausdrückt. Die Struktur ist: Negatives Verbot (was nicht geschehen soll) + kausale Begründung (was stattdessen geschehen soll). Beide sind Hauptsätze; es gibt keine subordinierten Nebensätze.</w:t>
      </w:r>
    </w:p>
    <w:p w14:paraId="2E25D279"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Der Vers formuliert das zugrundeliegende theologische und soziale Prinzip: Die Stammeserbteile sind unveräußerlich und sollen dauerhaft bei den jeweiligen Stämmen verbleiben. Das starke Verb </w:t>
      </w:r>
      <w:r w:rsidRPr="00D754E3">
        <w:rPr>
          <w:rFonts w:eastAsia="Times New Roman" w:cs="Times New Roman"/>
          <w:b/>
          <w:bCs/>
          <w:rtl/>
          <w:lang w:eastAsia="de-DE"/>
        </w:rPr>
        <w:t>דבק</w:t>
      </w:r>
      <w:r w:rsidRPr="00D754E3">
        <w:rPr>
          <w:rFonts w:eastAsia="Times New Roman" w:cs="Times New Roman"/>
          <w:rtl/>
          <w:lang w:eastAsia="de-DE"/>
        </w:rPr>
        <w:t xml:space="preserve"> </w:t>
      </w:r>
      <w:r w:rsidRPr="00D754E3">
        <w:rPr>
          <w:rFonts w:eastAsia="Times New Roman" w:cs="Times New Roman"/>
          <w:lang w:eastAsia="de-DE"/>
        </w:rPr>
        <w:t>(anhangen) unterstreicht die Intensität dieser Bindung – es geht nicht nur um wirtschaftlichen Besitz, sondern um eine gottgegebene, unauflösliche Verbindung zwischen Volk, Stamm und Land, die die göttliche Ordnung der Landverteilung widerspiegelt und bewahrt.</w:t>
      </w:r>
    </w:p>
    <w:p w14:paraId="7C0838AE" w14:textId="77777777" w:rsidR="00D754E3" w:rsidRPr="00D754E3" w:rsidRDefault="00D754E3" w:rsidP="00D754E3">
      <w:pPr>
        <w:spacing w:before="100" w:beforeAutospacing="1" w:after="100" w:afterAutospacing="1" w:line="240" w:lineRule="auto"/>
        <w:outlineLvl w:val="0"/>
        <w:rPr>
          <w:rFonts w:eastAsia="Times New Roman" w:cs="Times New Roman"/>
          <w:b/>
          <w:bCs/>
          <w:kern w:val="36"/>
          <w:sz w:val="48"/>
          <w:szCs w:val="48"/>
          <w:lang w:eastAsia="de-DE"/>
        </w:rPr>
      </w:pPr>
      <w:r w:rsidRPr="00D754E3">
        <w:rPr>
          <w:rFonts w:eastAsia="Times New Roman" w:cs="Times New Roman"/>
          <w:b/>
          <w:bCs/>
          <w:kern w:val="36"/>
          <w:sz w:val="48"/>
          <w:szCs w:val="48"/>
          <w:lang w:eastAsia="de-DE"/>
        </w:rPr>
        <w:t>Numeri 36,8</w:t>
      </w:r>
    </w:p>
    <w:p w14:paraId="62736B69" w14:textId="09BE2AC6"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Hebräisch:</w:t>
      </w:r>
      <w:r w:rsidRPr="00D754E3">
        <w:rPr>
          <w:rFonts w:eastAsia="Times New Roman" w:cs="Times New Roman"/>
          <w:rtl/>
          <w:lang w:eastAsia="de-DE"/>
        </w:rPr>
        <w:t xml:space="preserve"> וְכָל־בַּ֞ת יֹרֶ֣שֶׁת נַחֲלָ֗ה מִמַּטּוֹת֮ בְּנֵ֣י יִשְׂרָאֵל֒ לְאֶחָ֗ד מִמִּשְׁפַּ֛חַת מַטֵּ֥ה אָבִ֖יהָ תִּהְיֶ֣ה לְאִשָּׁ֑ה לְמַ֗עַן יִֽירְשׁוּ֙ בְּנֵ֣י יִשְׂרָאֵ֔ל אִ֖ישׁ נַחֲלַ֥ת אֲבֹתָֽיו׃</w:t>
      </w:r>
    </w:p>
    <w:p w14:paraId="0EDA04F9" w14:textId="5F7B9B1C"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Deutsch:</w:t>
      </w:r>
      <w:r w:rsidRPr="00D754E3">
        <w:rPr>
          <w:rFonts w:eastAsia="Times New Roman" w:cs="Times New Roman"/>
          <w:lang w:eastAsia="de-DE"/>
        </w:rPr>
        <w:t xml:space="preserve"> Und jede Tochter, die ein Erbteil erbt aus den Stämmen der Söhne Jisra'el, soll einem aus der Familie des Stammes ihres Vaters zur Frau werden, damit die Söhne Jisra'el ein jeder das Erbteil seiner Väter erben.</w:t>
      </w:r>
    </w:p>
    <w:p w14:paraId="065301F2" w14:textId="77777777" w:rsidR="00D754E3" w:rsidRPr="00D754E3" w:rsidRDefault="00F329DD" w:rsidP="00D754E3">
      <w:pPr>
        <w:spacing w:after="0" w:line="240" w:lineRule="auto"/>
        <w:rPr>
          <w:rFonts w:eastAsia="Times New Roman" w:cs="Times New Roman"/>
          <w:lang w:eastAsia="de-DE"/>
        </w:rPr>
      </w:pPr>
      <w:r>
        <w:rPr>
          <w:rFonts w:eastAsia="Times New Roman" w:cs="Times New Roman"/>
          <w:noProof/>
          <w:lang w:eastAsia="de-DE"/>
        </w:rPr>
        <w:pict w14:anchorId="3FD01BCB">
          <v:rect id="_x0000_i2100" style="width:0;height:1.5pt" o:hralign="center" o:hrstd="t" o:hr="t" fillcolor="#a0a0a0" stroked="f"/>
        </w:pict>
      </w:r>
    </w:p>
    <w:p w14:paraId="3E0DF6C9" w14:textId="15066989"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Kommentar:</w:t>
      </w:r>
      <w:r w:rsidR="007E406A">
        <w:rPr>
          <w:rFonts w:eastAsia="Times New Roman" w:cs="Times New Roman"/>
          <w:b/>
          <w:bCs/>
          <w:lang w:eastAsia="de-DE"/>
        </w:rPr>
        <w:t xml:space="preserve"> </w:t>
      </w:r>
      <w:r w:rsidRPr="00D754E3">
        <w:rPr>
          <w:rFonts w:eastAsia="Times New Roman" w:cs="Times New Roman"/>
          <w:lang w:eastAsia="de-DE"/>
        </w:rPr>
        <w:t xml:space="preserve">Der Vers beginnt mit </w:t>
      </w:r>
      <w:r w:rsidRPr="00D754E3">
        <w:rPr>
          <w:rFonts w:eastAsia="Times New Roman" w:cs="Times New Roman"/>
          <w:b/>
          <w:bCs/>
          <w:rtl/>
          <w:lang w:eastAsia="de-DE"/>
        </w:rPr>
        <w:t>וְכָל־בַּת</w:t>
      </w:r>
      <w:r w:rsidRPr="00D754E3">
        <w:rPr>
          <w:rFonts w:eastAsia="Times New Roman" w:cs="Times New Roman"/>
          <w:rtl/>
          <w:lang w:eastAsia="de-DE"/>
        </w:rPr>
        <w:t xml:space="preserve"> </w:t>
      </w:r>
      <w:r w:rsidRPr="00D754E3">
        <w:rPr>
          <w:rFonts w:eastAsia="Times New Roman" w:cs="Times New Roman"/>
          <w:lang w:eastAsia="de-DE"/>
        </w:rPr>
        <w:t xml:space="preserve">(und jede Tochter): </w:t>
      </w:r>
      <w:r w:rsidRPr="00D754E3">
        <w:rPr>
          <w:rFonts w:eastAsia="Times New Roman" w:cs="Times New Roman"/>
          <w:b/>
          <w:bCs/>
          <w:rtl/>
          <w:lang w:eastAsia="de-DE"/>
        </w:rPr>
        <w:t>וְ</w:t>
      </w:r>
      <w:r w:rsidRPr="00D754E3">
        <w:rPr>
          <w:rFonts w:eastAsia="Times New Roman" w:cs="Times New Roman"/>
          <w:rtl/>
          <w:lang w:eastAsia="de-DE"/>
        </w:rPr>
        <w:t xml:space="preserve"> </w:t>
      </w:r>
      <w:r w:rsidRPr="00D754E3">
        <w:rPr>
          <w:rFonts w:eastAsia="Times New Roman" w:cs="Times New Roman"/>
          <w:lang w:eastAsia="de-DE"/>
        </w:rPr>
        <w:t xml:space="preserve">ist das koordinierende Waw, </w:t>
      </w:r>
      <w:r w:rsidRPr="00D754E3">
        <w:rPr>
          <w:rFonts w:eastAsia="Times New Roman" w:cs="Times New Roman"/>
          <w:b/>
          <w:bCs/>
          <w:rtl/>
          <w:lang w:eastAsia="de-DE"/>
        </w:rPr>
        <w:t>כָּל</w:t>
      </w:r>
      <w:r w:rsidRPr="00D754E3">
        <w:rPr>
          <w:rFonts w:eastAsia="Times New Roman" w:cs="Times New Roman"/>
          <w:rtl/>
          <w:lang w:eastAsia="de-DE"/>
        </w:rPr>
        <w:t xml:space="preserve"> </w:t>
      </w:r>
      <w:r w:rsidRPr="00D754E3">
        <w:rPr>
          <w:rFonts w:eastAsia="Times New Roman" w:cs="Times New Roman"/>
          <w:lang w:eastAsia="de-DE"/>
        </w:rPr>
        <w:t xml:space="preserve">(jeder, ganz) ist ein universales Quantifikationswort, und </w:t>
      </w:r>
      <w:r w:rsidRPr="00D754E3">
        <w:rPr>
          <w:rFonts w:eastAsia="Times New Roman" w:cs="Times New Roman"/>
          <w:b/>
          <w:bCs/>
          <w:rtl/>
          <w:lang w:eastAsia="de-DE"/>
        </w:rPr>
        <w:t>בַּת</w:t>
      </w:r>
      <w:r w:rsidRPr="00D754E3">
        <w:rPr>
          <w:rFonts w:eastAsia="Times New Roman" w:cs="Times New Roman"/>
          <w:rtl/>
          <w:lang w:eastAsia="de-DE"/>
        </w:rPr>
        <w:t xml:space="preserve"> </w:t>
      </w:r>
      <w:r w:rsidRPr="00D754E3">
        <w:rPr>
          <w:rFonts w:eastAsia="Times New Roman" w:cs="Times New Roman"/>
          <w:lang w:eastAsia="de-DE"/>
        </w:rPr>
        <w:t xml:space="preserve">(Tochter, feminin singular constructus von </w:t>
      </w:r>
      <w:r w:rsidRPr="00D754E3">
        <w:rPr>
          <w:rFonts w:eastAsia="Times New Roman" w:cs="Times New Roman"/>
          <w:rtl/>
          <w:lang w:eastAsia="de-DE"/>
        </w:rPr>
        <w:t>בַּת</w:t>
      </w:r>
      <w:r w:rsidRPr="00D754E3">
        <w:rPr>
          <w:rFonts w:eastAsia="Times New Roman" w:cs="Times New Roman"/>
          <w:lang w:eastAsia="de-DE"/>
        </w:rPr>
        <w:t xml:space="preserve">) ist das Subjekt. Das Partizip </w:t>
      </w:r>
      <w:r w:rsidRPr="00D754E3">
        <w:rPr>
          <w:rFonts w:eastAsia="Times New Roman" w:cs="Times New Roman"/>
          <w:b/>
          <w:bCs/>
          <w:rtl/>
          <w:lang w:eastAsia="de-DE"/>
        </w:rPr>
        <w:t>יֹרֶשֶׁת</w:t>
      </w:r>
      <w:r w:rsidRPr="00D754E3">
        <w:rPr>
          <w:rFonts w:eastAsia="Times New Roman" w:cs="Times New Roman"/>
          <w:rtl/>
          <w:lang w:eastAsia="de-DE"/>
        </w:rPr>
        <w:t xml:space="preserve"> </w:t>
      </w:r>
      <w:r w:rsidRPr="00D754E3">
        <w:rPr>
          <w:rFonts w:eastAsia="Times New Roman" w:cs="Times New Roman"/>
          <w:lang w:eastAsia="de-DE"/>
        </w:rPr>
        <w:t xml:space="preserve">(erbend, feminin singular Qal Partizip von </w:t>
      </w:r>
      <w:r w:rsidRPr="00D754E3">
        <w:rPr>
          <w:rFonts w:eastAsia="Times New Roman" w:cs="Times New Roman"/>
          <w:rtl/>
          <w:lang w:eastAsia="de-DE"/>
        </w:rPr>
        <w:t>ירשׁ</w:t>
      </w:r>
      <w:r w:rsidRPr="00D754E3">
        <w:rPr>
          <w:rFonts w:eastAsia="Times New Roman" w:cs="Times New Roman"/>
          <w:lang w:eastAsia="de-DE"/>
        </w:rPr>
        <w:t xml:space="preserve">) fungiert als attributives Partizip und modifiziert </w:t>
      </w:r>
      <w:r w:rsidRPr="00D754E3">
        <w:rPr>
          <w:rFonts w:eastAsia="Times New Roman" w:cs="Times New Roman"/>
          <w:b/>
          <w:bCs/>
          <w:rtl/>
          <w:lang w:eastAsia="de-DE"/>
        </w:rPr>
        <w:t>בַּת</w:t>
      </w:r>
      <w:r w:rsidRPr="00D754E3">
        <w:rPr>
          <w:rFonts w:eastAsia="Times New Roman" w:cs="Times New Roman"/>
          <w:lang w:eastAsia="de-DE"/>
        </w:rPr>
        <w:t xml:space="preserve">. Das Objekt des Partizips ist </w:t>
      </w:r>
      <w:r w:rsidRPr="00D754E3">
        <w:rPr>
          <w:rFonts w:eastAsia="Times New Roman" w:cs="Times New Roman"/>
          <w:b/>
          <w:bCs/>
          <w:rtl/>
          <w:lang w:eastAsia="de-DE"/>
        </w:rPr>
        <w:t>נַחֲלָה</w:t>
      </w:r>
      <w:r w:rsidRPr="00D754E3">
        <w:rPr>
          <w:rFonts w:eastAsia="Times New Roman" w:cs="Times New Roman"/>
          <w:rtl/>
          <w:lang w:eastAsia="de-DE"/>
        </w:rPr>
        <w:t xml:space="preserve"> </w:t>
      </w:r>
      <w:r w:rsidRPr="00D754E3">
        <w:rPr>
          <w:rFonts w:eastAsia="Times New Roman" w:cs="Times New Roman"/>
          <w:lang w:eastAsia="de-DE"/>
        </w:rPr>
        <w:t>(Erbteil, feminin singular), das zentrale Konzept des Verses.</w:t>
      </w:r>
    </w:p>
    <w:p w14:paraId="38C15570" w14:textId="5094A779"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präpositionale Phrase </w:t>
      </w:r>
      <w:r w:rsidRPr="00D754E3">
        <w:rPr>
          <w:rFonts w:eastAsia="Times New Roman" w:cs="Times New Roman"/>
          <w:b/>
          <w:bCs/>
          <w:rtl/>
          <w:lang w:eastAsia="de-DE"/>
        </w:rPr>
        <w:t>מִמַּטּוֹת בְּנֵי יִשְׂרָאֵל</w:t>
      </w:r>
      <w:r w:rsidRPr="00D754E3">
        <w:rPr>
          <w:rFonts w:eastAsia="Times New Roman" w:cs="Times New Roman"/>
          <w:rtl/>
          <w:lang w:eastAsia="de-DE"/>
        </w:rPr>
        <w:t xml:space="preserve"> </w:t>
      </w:r>
      <w:r w:rsidRPr="00D754E3">
        <w:rPr>
          <w:rFonts w:eastAsia="Times New Roman" w:cs="Times New Roman"/>
          <w:lang w:eastAsia="de-DE"/>
        </w:rPr>
        <w:t xml:space="preserve">(aus den Stämmen der Söhne Israels) mit der Präposition </w:t>
      </w:r>
      <w:r w:rsidRPr="00D754E3">
        <w:rPr>
          <w:rFonts w:eastAsia="Times New Roman" w:cs="Times New Roman"/>
          <w:b/>
          <w:bCs/>
          <w:rtl/>
          <w:lang w:eastAsia="de-DE"/>
        </w:rPr>
        <w:t>מִן</w:t>
      </w:r>
      <w:r w:rsidRPr="00D754E3">
        <w:rPr>
          <w:rFonts w:eastAsia="Times New Roman" w:cs="Times New Roman"/>
          <w:rtl/>
          <w:lang w:eastAsia="de-DE"/>
        </w:rPr>
        <w:t xml:space="preserve"> </w:t>
      </w:r>
      <w:r w:rsidRPr="00D754E3">
        <w:rPr>
          <w:rFonts w:eastAsia="Times New Roman" w:cs="Times New Roman"/>
          <w:lang w:eastAsia="de-DE"/>
        </w:rPr>
        <w:t xml:space="preserve">(aus, von) gibt die Herkunft des Erbteils an. </w:t>
      </w:r>
      <w:r w:rsidRPr="00D754E3">
        <w:rPr>
          <w:rFonts w:eastAsia="Times New Roman" w:cs="Times New Roman"/>
          <w:b/>
          <w:bCs/>
          <w:rtl/>
          <w:lang w:eastAsia="de-DE"/>
        </w:rPr>
        <w:t>מַטּוֹת</w:t>
      </w:r>
      <w:r w:rsidRPr="00D754E3">
        <w:rPr>
          <w:rFonts w:eastAsia="Times New Roman" w:cs="Times New Roman"/>
          <w:rtl/>
          <w:lang w:eastAsia="de-DE"/>
        </w:rPr>
        <w:t xml:space="preserve"> </w:t>
      </w:r>
      <w:r w:rsidRPr="00D754E3">
        <w:rPr>
          <w:rFonts w:eastAsia="Times New Roman" w:cs="Times New Roman"/>
          <w:lang w:eastAsia="de-DE"/>
        </w:rPr>
        <w:t xml:space="preserve">(Stämme, maskulin Plural constructus von </w:t>
      </w:r>
      <w:r w:rsidRPr="00D754E3">
        <w:rPr>
          <w:rFonts w:eastAsia="Times New Roman" w:cs="Times New Roman"/>
          <w:rtl/>
          <w:lang w:eastAsia="de-DE"/>
        </w:rPr>
        <w:t>מַטֶּה</w:t>
      </w:r>
      <w:r w:rsidRPr="00D754E3">
        <w:rPr>
          <w:rFonts w:eastAsia="Times New Roman" w:cs="Times New Roman"/>
          <w:lang w:eastAsia="de-DE"/>
        </w:rPr>
        <w:t xml:space="preserve">) steht mit </w:t>
      </w:r>
      <w:r w:rsidRPr="00D754E3">
        <w:rPr>
          <w:rFonts w:eastAsia="Times New Roman" w:cs="Times New Roman"/>
          <w:b/>
          <w:bCs/>
          <w:rtl/>
          <w:lang w:eastAsia="de-DE"/>
        </w:rPr>
        <w:t>בְּנֵי יִשְׂרָאֵל</w:t>
      </w:r>
      <w:r w:rsidRPr="00D754E3">
        <w:rPr>
          <w:rFonts w:eastAsia="Times New Roman" w:cs="Times New Roman"/>
          <w:rtl/>
          <w:lang w:eastAsia="de-DE"/>
        </w:rPr>
        <w:t xml:space="preserve"> </w:t>
      </w:r>
      <w:r w:rsidRPr="00D754E3">
        <w:rPr>
          <w:rFonts w:eastAsia="Times New Roman" w:cs="Times New Roman"/>
          <w:lang w:eastAsia="de-DE"/>
        </w:rPr>
        <w:t xml:space="preserve">(Söhne Israels) in Genitivverbindung. Diese </w:t>
      </w:r>
      <w:r w:rsidR="00F133EC">
        <w:rPr>
          <w:rFonts w:eastAsia="Times New Roman" w:cs="Times New Roman"/>
          <w:lang w:eastAsia="de-DE"/>
        </w:rPr>
        <w:t>Construct</w:t>
      </w:r>
      <w:r w:rsidRPr="00D754E3">
        <w:rPr>
          <w:rFonts w:eastAsia="Times New Roman" w:cs="Times New Roman"/>
          <w:lang w:eastAsia="de-DE"/>
        </w:rPr>
        <w:t>ion betont die gesamtisraelitische Gültigkeit der Regelung – sie gilt für alle Stämme.</w:t>
      </w:r>
    </w:p>
    <w:p w14:paraId="6BF76A0C"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präpositionale Phrase </w:t>
      </w:r>
      <w:r w:rsidRPr="00D754E3">
        <w:rPr>
          <w:rFonts w:eastAsia="Times New Roman" w:cs="Times New Roman"/>
          <w:b/>
          <w:bCs/>
          <w:rtl/>
          <w:lang w:eastAsia="de-DE"/>
        </w:rPr>
        <w:t>לְאֶחָד מִמִּשְׁפַּחַת מַטֵּה אָבִיהָ</w:t>
      </w:r>
      <w:r w:rsidRPr="00D754E3">
        <w:rPr>
          <w:rFonts w:eastAsia="Times New Roman" w:cs="Times New Roman"/>
          <w:rtl/>
          <w:lang w:eastAsia="de-DE"/>
        </w:rPr>
        <w:t xml:space="preserve"> </w:t>
      </w:r>
      <w:r w:rsidRPr="00D754E3">
        <w:rPr>
          <w:rFonts w:eastAsia="Times New Roman" w:cs="Times New Roman"/>
          <w:lang w:eastAsia="de-DE"/>
        </w:rPr>
        <w:t xml:space="preserve">ist komplex geschichtet: </w:t>
      </w:r>
      <w:r w:rsidRPr="00D754E3">
        <w:rPr>
          <w:rFonts w:eastAsia="Times New Roman" w:cs="Times New Roman"/>
          <w:b/>
          <w:bCs/>
          <w:rtl/>
          <w:lang w:eastAsia="de-DE"/>
        </w:rPr>
        <w:t>לְ</w:t>
      </w:r>
      <w:r w:rsidRPr="00D754E3">
        <w:rPr>
          <w:rFonts w:eastAsia="Times New Roman" w:cs="Times New Roman"/>
          <w:rtl/>
          <w:lang w:eastAsia="de-DE"/>
        </w:rPr>
        <w:t xml:space="preserve"> </w:t>
      </w:r>
      <w:r w:rsidRPr="00D754E3">
        <w:rPr>
          <w:rFonts w:eastAsia="Times New Roman" w:cs="Times New Roman"/>
          <w:lang w:eastAsia="de-DE"/>
        </w:rPr>
        <w:t xml:space="preserve">(zu, für) zeigt die Person an, </w:t>
      </w:r>
      <w:r w:rsidRPr="00D754E3">
        <w:rPr>
          <w:rFonts w:eastAsia="Times New Roman" w:cs="Times New Roman"/>
          <w:b/>
          <w:bCs/>
          <w:rtl/>
          <w:lang w:eastAsia="de-DE"/>
        </w:rPr>
        <w:t>אֶחָד</w:t>
      </w:r>
      <w:r w:rsidRPr="00D754E3">
        <w:rPr>
          <w:rFonts w:eastAsia="Times New Roman" w:cs="Times New Roman"/>
          <w:rtl/>
          <w:lang w:eastAsia="de-DE"/>
        </w:rPr>
        <w:t xml:space="preserve"> </w:t>
      </w:r>
      <w:r w:rsidRPr="00D754E3">
        <w:rPr>
          <w:rFonts w:eastAsia="Times New Roman" w:cs="Times New Roman"/>
          <w:lang w:eastAsia="de-DE"/>
        </w:rPr>
        <w:t xml:space="preserve">(einer) ist ein indefinites Pronomen, </w:t>
      </w:r>
      <w:r w:rsidRPr="00D754E3">
        <w:rPr>
          <w:rFonts w:eastAsia="Times New Roman" w:cs="Times New Roman"/>
          <w:b/>
          <w:bCs/>
          <w:rtl/>
          <w:lang w:eastAsia="de-DE"/>
        </w:rPr>
        <w:t>מִן</w:t>
      </w:r>
      <w:r w:rsidRPr="00D754E3">
        <w:rPr>
          <w:rFonts w:eastAsia="Times New Roman" w:cs="Times New Roman"/>
          <w:rtl/>
          <w:lang w:eastAsia="de-DE"/>
        </w:rPr>
        <w:t xml:space="preserve"> </w:t>
      </w:r>
      <w:r w:rsidRPr="00D754E3">
        <w:rPr>
          <w:rFonts w:eastAsia="Times New Roman" w:cs="Times New Roman"/>
          <w:lang w:eastAsia="de-DE"/>
        </w:rPr>
        <w:t xml:space="preserve">(aus, von) zeigt die Zugehörigkeit an, </w:t>
      </w:r>
      <w:r w:rsidRPr="00D754E3">
        <w:rPr>
          <w:rFonts w:eastAsia="Times New Roman" w:cs="Times New Roman"/>
          <w:b/>
          <w:bCs/>
          <w:rtl/>
          <w:lang w:eastAsia="de-DE"/>
        </w:rPr>
        <w:t>מִשְׁפַּחַת</w:t>
      </w:r>
      <w:r w:rsidRPr="00D754E3">
        <w:rPr>
          <w:rFonts w:eastAsia="Times New Roman" w:cs="Times New Roman"/>
          <w:rtl/>
          <w:lang w:eastAsia="de-DE"/>
        </w:rPr>
        <w:t xml:space="preserve"> </w:t>
      </w:r>
      <w:r w:rsidRPr="00D754E3">
        <w:rPr>
          <w:rFonts w:eastAsia="Times New Roman" w:cs="Times New Roman"/>
          <w:lang w:eastAsia="de-DE"/>
        </w:rPr>
        <w:t xml:space="preserve">(Familie/Geschlecht, feminin singular constructus), </w:t>
      </w:r>
      <w:r w:rsidRPr="00D754E3">
        <w:rPr>
          <w:rFonts w:eastAsia="Times New Roman" w:cs="Times New Roman"/>
          <w:b/>
          <w:bCs/>
          <w:rtl/>
          <w:lang w:eastAsia="de-DE"/>
        </w:rPr>
        <w:t>מַטֵּה</w:t>
      </w:r>
      <w:r w:rsidRPr="00D754E3">
        <w:rPr>
          <w:rFonts w:eastAsia="Times New Roman" w:cs="Times New Roman"/>
          <w:rtl/>
          <w:lang w:eastAsia="de-DE"/>
        </w:rPr>
        <w:t xml:space="preserve"> </w:t>
      </w:r>
      <w:r w:rsidRPr="00D754E3">
        <w:rPr>
          <w:rFonts w:eastAsia="Times New Roman" w:cs="Times New Roman"/>
          <w:lang w:eastAsia="de-DE"/>
        </w:rPr>
        <w:t xml:space="preserve">(Stamm, maskulin singular </w:t>
      </w:r>
      <w:r w:rsidRPr="00D754E3">
        <w:rPr>
          <w:rFonts w:eastAsia="Times New Roman" w:cs="Times New Roman"/>
          <w:lang w:eastAsia="de-DE"/>
        </w:rPr>
        <w:lastRenderedPageBreak/>
        <w:t xml:space="preserve">constructus), </w:t>
      </w:r>
      <w:r w:rsidRPr="00D754E3">
        <w:rPr>
          <w:rFonts w:eastAsia="Times New Roman" w:cs="Times New Roman"/>
          <w:b/>
          <w:bCs/>
          <w:rtl/>
          <w:lang w:eastAsia="de-DE"/>
        </w:rPr>
        <w:t>אָבִיהָ</w:t>
      </w:r>
      <w:r w:rsidRPr="00D754E3">
        <w:rPr>
          <w:rFonts w:eastAsia="Times New Roman" w:cs="Times New Roman"/>
          <w:rtl/>
          <w:lang w:eastAsia="de-DE"/>
        </w:rPr>
        <w:t xml:space="preserve"> </w:t>
      </w:r>
      <w:r w:rsidRPr="00D754E3">
        <w:rPr>
          <w:rFonts w:eastAsia="Times New Roman" w:cs="Times New Roman"/>
          <w:lang w:eastAsia="de-DE"/>
        </w:rPr>
        <w:t>(ihr Vater, maskulin singular mit Suffix 3. Person Singular feminin) – eine dreifache Genitivkette, die die soziale und stammesmäßige Einbettung präzisiert.</w:t>
      </w:r>
    </w:p>
    <w:p w14:paraId="0DAC4FB0"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Verb </w:t>
      </w:r>
      <w:r w:rsidRPr="00D754E3">
        <w:rPr>
          <w:rFonts w:eastAsia="Times New Roman" w:cs="Times New Roman"/>
          <w:b/>
          <w:bCs/>
          <w:rtl/>
          <w:lang w:eastAsia="de-DE"/>
        </w:rPr>
        <w:t>תִּהְיֶה</w:t>
      </w:r>
      <w:r w:rsidRPr="00D754E3">
        <w:rPr>
          <w:rFonts w:eastAsia="Times New Roman" w:cs="Times New Roman"/>
          <w:rtl/>
          <w:lang w:eastAsia="de-DE"/>
        </w:rPr>
        <w:t xml:space="preserve"> </w:t>
      </w:r>
      <w:r w:rsidRPr="00D754E3">
        <w:rPr>
          <w:rFonts w:eastAsia="Times New Roman" w:cs="Times New Roman"/>
          <w:lang w:eastAsia="de-DE"/>
        </w:rPr>
        <w:t xml:space="preserve">(3. Person Singular feminin Imperfekt von </w:t>
      </w:r>
      <w:r w:rsidRPr="00D754E3">
        <w:rPr>
          <w:rFonts w:eastAsia="Times New Roman" w:cs="Times New Roman"/>
          <w:rtl/>
          <w:lang w:eastAsia="de-DE"/>
        </w:rPr>
        <w:t>היה</w:t>
      </w:r>
      <w:r w:rsidRPr="00D754E3">
        <w:rPr>
          <w:rFonts w:eastAsia="Times New Roman" w:cs="Times New Roman"/>
          <w:lang w:eastAsia="de-DE"/>
        </w:rPr>
        <w:t xml:space="preserve">, sie soll/wird sein) drückt hier eine Obligation oder Vorschrift aus. Das prädikative </w:t>
      </w:r>
      <w:r w:rsidRPr="00D754E3">
        <w:rPr>
          <w:rFonts w:eastAsia="Times New Roman" w:cs="Times New Roman"/>
          <w:b/>
          <w:bCs/>
          <w:rtl/>
          <w:lang w:eastAsia="de-DE"/>
        </w:rPr>
        <w:t>לְאִשָּׁה</w:t>
      </w:r>
      <w:r w:rsidRPr="00D754E3">
        <w:rPr>
          <w:rFonts w:eastAsia="Times New Roman" w:cs="Times New Roman"/>
          <w:rtl/>
          <w:lang w:eastAsia="de-DE"/>
        </w:rPr>
        <w:t xml:space="preserve"> </w:t>
      </w:r>
      <w:r w:rsidRPr="00D754E3">
        <w:rPr>
          <w:rFonts w:eastAsia="Times New Roman" w:cs="Times New Roman"/>
          <w:lang w:eastAsia="de-DE"/>
        </w:rPr>
        <w:t xml:space="preserve">(zur Frau, feminin singular mit Präposition </w:t>
      </w:r>
      <w:r w:rsidRPr="00D754E3">
        <w:rPr>
          <w:rFonts w:eastAsia="Times New Roman" w:cs="Times New Roman"/>
          <w:b/>
          <w:bCs/>
          <w:rtl/>
          <w:lang w:eastAsia="de-DE"/>
        </w:rPr>
        <w:t>לְ</w:t>
      </w:r>
      <w:r w:rsidRPr="00D754E3">
        <w:rPr>
          <w:rFonts w:eastAsia="Times New Roman" w:cs="Times New Roman"/>
          <w:lang w:eastAsia="de-DE"/>
        </w:rPr>
        <w:t>) gibt den ehelichen Status an.</w:t>
      </w:r>
    </w:p>
    <w:p w14:paraId="2679DA32"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Die finale Konjunktion </w:t>
      </w:r>
      <w:r w:rsidRPr="00D754E3">
        <w:rPr>
          <w:rFonts w:eastAsia="Times New Roman" w:cs="Times New Roman"/>
          <w:b/>
          <w:bCs/>
          <w:rtl/>
          <w:lang w:eastAsia="de-DE"/>
        </w:rPr>
        <w:t>לְמַעַן</w:t>
      </w:r>
      <w:r w:rsidRPr="00D754E3">
        <w:rPr>
          <w:rFonts w:eastAsia="Times New Roman" w:cs="Times New Roman"/>
          <w:rtl/>
          <w:lang w:eastAsia="de-DE"/>
        </w:rPr>
        <w:t xml:space="preserve"> </w:t>
      </w:r>
      <w:r w:rsidRPr="00D754E3">
        <w:rPr>
          <w:rFonts w:eastAsia="Times New Roman" w:cs="Times New Roman"/>
          <w:lang w:eastAsia="de-DE"/>
        </w:rPr>
        <w:t xml:space="preserve">(damit, auf dass) leitet einen Finalsatz ein, der den Zweck der vorherigen Anordnung erklärt. Das Verb ist </w:t>
      </w:r>
      <w:r w:rsidRPr="00D754E3">
        <w:rPr>
          <w:rFonts w:eastAsia="Times New Roman" w:cs="Times New Roman"/>
          <w:b/>
          <w:bCs/>
          <w:rtl/>
          <w:lang w:eastAsia="de-DE"/>
        </w:rPr>
        <w:t>יִירְשׁוּ</w:t>
      </w:r>
      <w:r w:rsidRPr="00D754E3">
        <w:rPr>
          <w:rFonts w:eastAsia="Times New Roman" w:cs="Times New Roman"/>
          <w:rtl/>
          <w:lang w:eastAsia="de-DE"/>
        </w:rPr>
        <w:t xml:space="preserve"> </w:t>
      </w:r>
      <w:r w:rsidRPr="00D754E3">
        <w:rPr>
          <w:rFonts w:eastAsia="Times New Roman" w:cs="Times New Roman"/>
          <w:lang w:eastAsia="de-DE"/>
        </w:rPr>
        <w:t xml:space="preserve">(3. Person Plural maskulin Imperfekt Qal von </w:t>
      </w:r>
      <w:r w:rsidRPr="00D754E3">
        <w:rPr>
          <w:rFonts w:eastAsia="Times New Roman" w:cs="Times New Roman"/>
          <w:rtl/>
          <w:lang w:eastAsia="de-DE"/>
        </w:rPr>
        <w:t>ירשׁ</w:t>
      </w:r>
      <w:r w:rsidRPr="00D754E3">
        <w:rPr>
          <w:rFonts w:eastAsia="Times New Roman" w:cs="Times New Roman"/>
          <w:lang w:eastAsia="de-DE"/>
        </w:rPr>
        <w:t xml:space="preserve">, sie werden erben/in Besitz nehmen). Das Subjekt ist </w:t>
      </w:r>
      <w:r w:rsidRPr="00D754E3">
        <w:rPr>
          <w:rFonts w:eastAsia="Times New Roman" w:cs="Times New Roman"/>
          <w:b/>
          <w:bCs/>
          <w:rtl/>
          <w:lang w:eastAsia="de-DE"/>
        </w:rPr>
        <w:t>בְּנֵי יִשְׂרָאֵל</w:t>
      </w:r>
      <w:r w:rsidRPr="00D754E3">
        <w:rPr>
          <w:rFonts w:eastAsia="Times New Roman" w:cs="Times New Roman"/>
          <w:rtl/>
          <w:lang w:eastAsia="de-DE"/>
        </w:rPr>
        <w:t xml:space="preserve"> </w:t>
      </w:r>
      <w:r w:rsidRPr="00D754E3">
        <w:rPr>
          <w:rFonts w:eastAsia="Times New Roman" w:cs="Times New Roman"/>
          <w:lang w:eastAsia="de-DE"/>
        </w:rPr>
        <w:t xml:space="preserve">(die Söhne Israels), und </w:t>
      </w:r>
      <w:r w:rsidRPr="00D754E3">
        <w:rPr>
          <w:rFonts w:eastAsia="Times New Roman" w:cs="Times New Roman"/>
          <w:b/>
          <w:bCs/>
          <w:rtl/>
          <w:lang w:eastAsia="de-DE"/>
        </w:rPr>
        <w:t>אִישׁ</w:t>
      </w:r>
      <w:r w:rsidRPr="00D754E3">
        <w:rPr>
          <w:rFonts w:eastAsia="Times New Roman" w:cs="Times New Roman"/>
          <w:rtl/>
          <w:lang w:eastAsia="de-DE"/>
        </w:rPr>
        <w:t xml:space="preserve"> </w:t>
      </w:r>
      <w:r w:rsidRPr="00D754E3">
        <w:rPr>
          <w:rFonts w:eastAsia="Times New Roman" w:cs="Times New Roman"/>
          <w:lang w:eastAsia="de-DE"/>
        </w:rPr>
        <w:t>(jeder Mann/jeder einzelne) fungiert als distributives Element – jeder Einzelne.</w:t>
      </w:r>
    </w:p>
    <w:p w14:paraId="2BB4800A" w14:textId="77777777"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lang w:eastAsia="de-DE"/>
        </w:rPr>
        <w:t xml:space="preserve">Das Objekt ist </w:t>
      </w:r>
      <w:r w:rsidRPr="00D754E3">
        <w:rPr>
          <w:rFonts w:eastAsia="Times New Roman" w:cs="Times New Roman"/>
          <w:b/>
          <w:bCs/>
          <w:rtl/>
          <w:lang w:eastAsia="de-DE"/>
        </w:rPr>
        <w:t>נַחֲלַת אֲבֹתָיו</w:t>
      </w:r>
      <w:r w:rsidRPr="00D754E3">
        <w:rPr>
          <w:rFonts w:eastAsia="Times New Roman" w:cs="Times New Roman"/>
          <w:rtl/>
          <w:lang w:eastAsia="de-DE"/>
        </w:rPr>
        <w:t xml:space="preserve"> </w:t>
      </w:r>
      <w:r w:rsidRPr="00D754E3">
        <w:rPr>
          <w:rFonts w:eastAsia="Times New Roman" w:cs="Times New Roman"/>
          <w:lang w:eastAsia="de-DE"/>
        </w:rPr>
        <w:t xml:space="preserve">(das Erbteil seiner Väter), eine Genitivverbindung: </w:t>
      </w:r>
      <w:r w:rsidRPr="00D754E3">
        <w:rPr>
          <w:rFonts w:eastAsia="Times New Roman" w:cs="Times New Roman"/>
          <w:b/>
          <w:bCs/>
          <w:rtl/>
          <w:lang w:eastAsia="de-DE"/>
        </w:rPr>
        <w:t>נַחֲלַת</w:t>
      </w:r>
      <w:r w:rsidRPr="00D754E3">
        <w:rPr>
          <w:rFonts w:eastAsia="Times New Roman" w:cs="Times New Roman"/>
          <w:rtl/>
          <w:lang w:eastAsia="de-DE"/>
        </w:rPr>
        <w:t xml:space="preserve"> </w:t>
      </w:r>
      <w:r w:rsidRPr="00D754E3">
        <w:rPr>
          <w:rFonts w:eastAsia="Times New Roman" w:cs="Times New Roman"/>
          <w:lang w:eastAsia="de-DE"/>
        </w:rPr>
        <w:t xml:space="preserve">(Erbteil, feminin singular constructus) mit </w:t>
      </w:r>
      <w:r w:rsidRPr="00D754E3">
        <w:rPr>
          <w:rFonts w:eastAsia="Times New Roman" w:cs="Times New Roman"/>
          <w:b/>
          <w:bCs/>
          <w:rtl/>
          <w:lang w:eastAsia="de-DE"/>
        </w:rPr>
        <w:t>אֲבֹתָיו</w:t>
      </w:r>
      <w:r w:rsidRPr="00D754E3">
        <w:rPr>
          <w:rFonts w:eastAsia="Times New Roman" w:cs="Times New Roman"/>
          <w:rtl/>
          <w:lang w:eastAsia="de-DE"/>
        </w:rPr>
        <w:t xml:space="preserve"> </w:t>
      </w:r>
      <w:r w:rsidRPr="00D754E3">
        <w:rPr>
          <w:rFonts w:eastAsia="Times New Roman" w:cs="Times New Roman"/>
          <w:lang w:eastAsia="de-DE"/>
        </w:rPr>
        <w:t xml:space="preserve">(seine Väter, Plural mit Suffix 3. Person Singular maskulin). Der Plural </w:t>
      </w:r>
      <w:r w:rsidRPr="00D754E3">
        <w:rPr>
          <w:rFonts w:eastAsia="Times New Roman" w:cs="Times New Roman"/>
          <w:b/>
          <w:bCs/>
          <w:rtl/>
          <w:lang w:eastAsia="de-DE"/>
        </w:rPr>
        <w:t>אֲבֹתָיו</w:t>
      </w:r>
      <w:r w:rsidRPr="00D754E3">
        <w:rPr>
          <w:rFonts w:eastAsia="Times New Roman" w:cs="Times New Roman"/>
          <w:rtl/>
          <w:lang w:eastAsia="de-DE"/>
        </w:rPr>
        <w:t xml:space="preserve"> </w:t>
      </w:r>
      <w:r w:rsidRPr="00D754E3">
        <w:rPr>
          <w:rFonts w:eastAsia="Times New Roman" w:cs="Times New Roman"/>
          <w:lang w:eastAsia="de-DE"/>
        </w:rPr>
        <w:t>(seine Väter) betont die generationenübergreifende Kontinuität – es geht um das Erbe, das von den Vorfahren weitergegeben wurde.</w:t>
      </w:r>
    </w:p>
    <w:p w14:paraId="46A0CB3C" w14:textId="5AF21656" w:rsidR="00D754E3" w:rsidRPr="00D754E3" w:rsidRDefault="00D754E3" w:rsidP="00D754E3">
      <w:pPr>
        <w:spacing w:before="100" w:beforeAutospacing="1" w:after="100" w:afterAutospacing="1" w:line="240" w:lineRule="auto"/>
        <w:rPr>
          <w:rFonts w:eastAsia="Times New Roman" w:cs="Times New Roman"/>
          <w:lang w:eastAsia="de-DE"/>
        </w:rPr>
      </w:pPr>
      <w:r w:rsidRPr="00D754E3">
        <w:rPr>
          <w:rFonts w:eastAsia="Times New Roman" w:cs="Times New Roman"/>
          <w:b/>
          <w:bCs/>
          <w:lang w:eastAsia="de-DE"/>
        </w:rPr>
        <w:t>Die LXX</w:t>
      </w:r>
      <w:r w:rsidRPr="00D754E3">
        <w:rPr>
          <w:rFonts w:eastAsia="Times New Roman" w:cs="Times New Roman"/>
          <w:lang w:eastAsia="de-DE"/>
        </w:rPr>
        <w:t xml:space="preserve"> </w:t>
      </w:r>
      <w:r w:rsidR="00A22CB7">
        <w:t>übersetzt „</w:t>
      </w:r>
      <w:r w:rsidR="00A22CB7" w:rsidRPr="00A22CB7">
        <w:rPr>
          <w:b/>
          <w:bCs/>
          <w:rtl/>
        </w:rPr>
        <w:t>יֹרֶשֶׁת</w:t>
      </w:r>
      <w:r w:rsidR="00A22CB7">
        <w:rPr>
          <w:rtl/>
        </w:rPr>
        <w:t xml:space="preserve"> </w:t>
      </w:r>
      <w:r w:rsidR="00A22CB7" w:rsidRPr="00A22CB7">
        <w:rPr>
          <w:b/>
          <w:bCs/>
          <w:rtl/>
        </w:rPr>
        <w:t>נַחֲלָה</w:t>
      </w:r>
      <w:r w:rsidR="00A22CB7">
        <w:t>" (die ein Erbe besitzt) mit „ἀγχιστεύουσα κληρονομίαν" (die als Verwandte ein Erbe in Besitz nimmt), was den Verwandtschaftsaspekt betont, und fügt hinzu „ἵνα ἀγχιστεύσωσιν" (damit sie als Verwandte erben), was das Verb für verwandtschaftliches Erben wiederholt.</w:t>
      </w:r>
    </w:p>
    <w:p w14:paraId="4C8A1F69" w14:textId="77777777" w:rsidR="006C6879" w:rsidRDefault="00D754E3" w:rsidP="006C6879">
      <w:pPr>
        <w:pStyle w:val="whitespace-normal"/>
      </w:pPr>
      <w:r w:rsidRPr="00D754E3">
        <w:t>Die Satzstruktur besteht aus einem komplexen Hauptsatz mit einem eingebetteten Finalsatz: Subjekt mit Partizip und präpositionalen Attributen (</w:t>
      </w:r>
      <w:r w:rsidRPr="00D754E3">
        <w:rPr>
          <w:b/>
          <w:bCs/>
          <w:rtl/>
        </w:rPr>
        <w:t>וְכָל־בַּת יֹרֶשֶׁת נַחֲלָה מִמַּטּוֹת בְּנֵי יִשְׂרָאֵל</w:t>
      </w:r>
      <w:r w:rsidRPr="00D754E3">
        <w:t>) + präpositionale Phrase (</w:t>
      </w:r>
      <w:r w:rsidRPr="00D754E3">
        <w:rPr>
          <w:b/>
          <w:bCs/>
          <w:rtl/>
        </w:rPr>
        <w:t>לְאֶחָד</w:t>
      </w:r>
      <w:r w:rsidRPr="00D754E3">
        <w:rPr>
          <w:rtl/>
        </w:rPr>
        <w:t xml:space="preserve"> </w:t>
      </w:r>
      <w:r w:rsidRPr="00D754E3">
        <w:t>...) + Prädikat (</w:t>
      </w:r>
      <w:r w:rsidRPr="00D754E3">
        <w:rPr>
          <w:b/>
          <w:bCs/>
          <w:rtl/>
        </w:rPr>
        <w:t>תִּהְיֶה לְאִשָּׁה</w:t>
      </w:r>
      <w:r w:rsidRPr="00D754E3">
        <w:t xml:space="preserve">), gefolgt von einem finalen Nebensatz, der durch </w:t>
      </w:r>
      <w:r w:rsidRPr="00D754E3">
        <w:rPr>
          <w:b/>
          <w:bCs/>
          <w:rtl/>
        </w:rPr>
        <w:t>לְמַעַן</w:t>
      </w:r>
      <w:r w:rsidRPr="00D754E3">
        <w:rPr>
          <w:rtl/>
        </w:rPr>
        <w:t xml:space="preserve"> </w:t>
      </w:r>
      <w:r w:rsidRPr="00D754E3">
        <w:t>eingeleitet wird (**</w:t>
      </w:r>
      <w:r w:rsidRPr="00D754E3">
        <w:rPr>
          <w:rtl/>
        </w:rPr>
        <w:t>לְמַעַן יִירְשׁו</w:t>
      </w:r>
      <w:r w:rsidR="006C6879">
        <w:t xml:space="preserve"> </w:t>
      </w:r>
      <w:r w:rsidR="006C6879">
        <w:rPr>
          <w:rtl/>
        </w:rPr>
        <w:t>בְּנֵי יִשְׂרָאֵל אִישׁ נַחֲלַת אֲבֹתָיו</w:t>
      </w:r>
      <w:r w:rsidR="006C6879">
        <w:t>**). Der Hauptsatz drückt die Vorschrift aus, der Nebensatz den Zweck. Die Struktur folgt dem Muster: Universale Regel (jede Tochter, die ...) + Vorschrift (soll heiraten ...) + Finalsatz (damit ... erben).</w:t>
      </w:r>
    </w:p>
    <w:p w14:paraId="69E3E738" w14:textId="77777777" w:rsidR="006C6879" w:rsidRDefault="006C6879" w:rsidP="006C6879">
      <w:pPr>
        <w:pStyle w:val="whitespace-normal"/>
      </w:pPr>
      <w:r>
        <w:t>Der Vers verallgemeinert die spezifische Regelung für Zelophchads Töchter zu einem dauerhaften Gesetz für alle erbenden Töchter in Israel. Die Endogamie-Vorschrift dient einem höheren Zweck: der Bewahrung der göttlich geordneten Stammeserbteile über Generationen hinweg. Das Prinzip der patrilinearen Erbfolge wird geschützt, während gleichzeitig das in Kapitel 27 etablierte Recht der Töchter auf Erbe gewahrt bleibt – ein ausgewogener Kompromiss zwischen individuellen Rechten und kollektiver Ordnung.</w:t>
      </w:r>
    </w:p>
    <w:p w14:paraId="2BADE383" w14:textId="77777777" w:rsidR="006C6879" w:rsidRPr="006C6879" w:rsidRDefault="006C6879" w:rsidP="006C6879">
      <w:pPr>
        <w:spacing w:before="100" w:beforeAutospacing="1" w:after="100" w:afterAutospacing="1" w:line="240" w:lineRule="auto"/>
        <w:outlineLvl w:val="0"/>
        <w:rPr>
          <w:rFonts w:eastAsia="Times New Roman" w:cs="Times New Roman"/>
          <w:b/>
          <w:bCs/>
          <w:kern w:val="36"/>
          <w:sz w:val="48"/>
          <w:szCs w:val="48"/>
          <w:lang w:eastAsia="de-DE"/>
        </w:rPr>
      </w:pPr>
      <w:r w:rsidRPr="006C6879">
        <w:rPr>
          <w:rFonts w:eastAsia="Times New Roman" w:cs="Times New Roman"/>
          <w:b/>
          <w:bCs/>
          <w:kern w:val="36"/>
          <w:sz w:val="48"/>
          <w:szCs w:val="48"/>
          <w:lang w:eastAsia="de-DE"/>
        </w:rPr>
        <w:t>Numeri 36,9</w:t>
      </w:r>
    </w:p>
    <w:p w14:paraId="48FDE757" w14:textId="4D6E2175" w:rsidR="006C6879" w:rsidRPr="006C6879" w:rsidRDefault="006C6879" w:rsidP="007E406A">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Hebräisch:</w:t>
      </w:r>
      <w:r w:rsidR="007E406A" w:rsidRPr="007E406A">
        <w:rPr>
          <w:rFonts w:eastAsia="Times New Roman" w:cs="Times New Roman"/>
          <w:rtl/>
          <w:lang w:eastAsia="de-DE"/>
        </w:rPr>
        <w:t xml:space="preserve"> </w:t>
      </w:r>
      <w:r w:rsidR="007E406A" w:rsidRPr="006C6879">
        <w:rPr>
          <w:rFonts w:eastAsia="Times New Roman" w:cs="Times New Roman"/>
          <w:rtl/>
          <w:lang w:eastAsia="de-DE"/>
        </w:rPr>
        <w:t>וְלֹֽא־תִסֹּ֧ב נַחֲלָ֛ה מִמַּטֶּ֖ה לְמַטֶּ֣ה אַחֵ֑ר כִּי־אִישׁ֙ בְּנַ֣חֲלָתוֹ֔ יִדְבְּק֕וּ מַטּ֖וֹת בְּנֵ֥י יִשְׂרָאֵֽל׃</w:t>
      </w:r>
    </w:p>
    <w:p w14:paraId="391489BD" w14:textId="7646CBE7" w:rsidR="006C6879" w:rsidRPr="006C6879" w:rsidRDefault="006C6879" w:rsidP="007E406A">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Deutsch:</w:t>
      </w:r>
      <w:r w:rsidR="007E406A">
        <w:rPr>
          <w:rFonts w:eastAsia="Times New Roman" w:cs="Times New Roman"/>
          <w:lang w:eastAsia="de-DE"/>
        </w:rPr>
        <w:t xml:space="preserve"> </w:t>
      </w:r>
      <w:r w:rsidRPr="006C6879">
        <w:rPr>
          <w:rFonts w:eastAsia="Times New Roman" w:cs="Times New Roman"/>
          <w:lang w:eastAsia="de-DE"/>
        </w:rPr>
        <w:t>Und kein Erbteil soll von einem Stamm zu einem anderen Stamm übergehen, denn die Stämme der Söhne Jisra'el sollen ein jeder an seinem Erbteil anhangen.</w:t>
      </w:r>
    </w:p>
    <w:p w14:paraId="63F4F9E4" w14:textId="77777777" w:rsidR="006C6879" w:rsidRPr="006C6879" w:rsidRDefault="00F329DD" w:rsidP="006C6879">
      <w:pPr>
        <w:spacing w:after="0" w:line="240" w:lineRule="auto"/>
        <w:rPr>
          <w:rFonts w:eastAsia="Times New Roman" w:cs="Times New Roman"/>
          <w:lang w:eastAsia="de-DE"/>
        </w:rPr>
      </w:pPr>
      <w:r>
        <w:rPr>
          <w:rFonts w:eastAsia="Times New Roman" w:cs="Times New Roman"/>
          <w:noProof/>
          <w:lang w:eastAsia="de-DE"/>
        </w:rPr>
        <w:pict w14:anchorId="35D82CDE">
          <v:rect id="_x0000_i2101" style="width:0;height:1.5pt" o:hralign="center" o:hrstd="t" o:hr="t" fillcolor="#a0a0a0" stroked="f"/>
        </w:pict>
      </w:r>
    </w:p>
    <w:p w14:paraId="14BFFE22" w14:textId="3A4EE14D" w:rsidR="006C6879" w:rsidRPr="006C6879" w:rsidRDefault="006C6879" w:rsidP="007E406A">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Kommentar:</w:t>
      </w:r>
      <w:r w:rsidR="007E406A">
        <w:rPr>
          <w:rFonts w:eastAsia="Times New Roman" w:cs="Times New Roman"/>
          <w:lang w:eastAsia="de-DE"/>
        </w:rPr>
        <w:t xml:space="preserve"> </w:t>
      </w:r>
      <w:r w:rsidRPr="006C6879">
        <w:rPr>
          <w:rFonts w:eastAsia="Times New Roman" w:cs="Times New Roman"/>
          <w:lang w:eastAsia="de-DE"/>
        </w:rPr>
        <w:t xml:space="preserve">Der Vers beginnt erneut mit der Negation </w:t>
      </w:r>
      <w:r w:rsidRPr="006C6879">
        <w:rPr>
          <w:rFonts w:eastAsia="Times New Roman" w:cs="Times New Roman"/>
          <w:b/>
          <w:bCs/>
          <w:rtl/>
          <w:lang w:eastAsia="de-DE"/>
        </w:rPr>
        <w:t>וְלֹא</w:t>
      </w:r>
      <w:r w:rsidRPr="006C6879">
        <w:rPr>
          <w:rFonts w:eastAsia="Times New Roman" w:cs="Times New Roman"/>
          <w:rtl/>
          <w:lang w:eastAsia="de-DE"/>
        </w:rPr>
        <w:t xml:space="preserve"> </w:t>
      </w:r>
      <w:r w:rsidRPr="006C6879">
        <w:rPr>
          <w:rFonts w:eastAsia="Times New Roman" w:cs="Times New Roman"/>
          <w:lang w:eastAsia="de-DE"/>
        </w:rPr>
        <w:t xml:space="preserve">(und nicht), gefolgt vom Verb </w:t>
      </w:r>
      <w:r w:rsidRPr="006C6879">
        <w:rPr>
          <w:rFonts w:eastAsia="Times New Roman" w:cs="Times New Roman"/>
          <w:b/>
          <w:bCs/>
          <w:rtl/>
          <w:lang w:eastAsia="de-DE"/>
        </w:rPr>
        <w:t>תִסֹּב</w:t>
      </w:r>
      <w:r w:rsidRPr="006C6879">
        <w:rPr>
          <w:rFonts w:eastAsia="Times New Roman" w:cs="Times New Roman"/>
          <w:rtl/>
          <w:lang w:eastAsia="de-DE"/>
        </w:rPr>
        <w:t xml:space="preserve"> </w:t>
      </w:r>
      <w:r w:rsidRPr="006C6879">
        <w:rPr>
          <w:rFonts w:eastAsia="Times New Roman" w:cs="Times New Roman"/>
          <w:lang w:eastAsia="de-DE"/>
        </w:rPr>
        <w:t xml:space="preserve">(3. Person Singular feminin Imperfekt Qal von </w:t>
      </w:r>
      <w:r w:rsidRPr="006C6879">
        <w:rPr>
          <w:rFonts w:eastAsia="Times New Roman" w:cs="Times New Roman"/>
          <w:rtl/>
          <w:lang w:eastAsia="de-DE"/>
        </w:rPr>
        <w:t>סבב</w:t>
      </w:r>
      <w:r w:rsidRPr="006C6879">
        <w:rPr>
          <w:rFonts w:eastAsia="Times New Roman" w:cs="Times New Roman"/>
          <w:lang w:eastAsia="de-DE"/>
        </w:rPr>
        <w:t xml:space="preserve">, sich drehen/übergehen), identisch mit dem Beginn von Vers 7. Das Subjekt ist wieder </w:t>
      </w:r>
      <w:r w:rsidRPr="006C6879">
        <w:rPr>
          <w:rFonts w:eastAsia="Times New Roman" w:cs="Times New Roman"/>
          <w:b/>
          <w:bCs/>
          <w:rtl/>
          <w:lang w:eastAsia="de-DE"/>
        </w:rPr>
        <w:t>נַחֲלָה</w:t>
      </w:r>
      <w:r w:rsidRPr="006C6879">
        <w:rPr>
          <w:rFonts w:eastAsia="Times New Roman" w:cs="Times New Roman"/>
          <w:rtl/>
          <w:lang w:eastAsia="de-DE"/>
        </w:rPr>
        <w:t xml:space="preserve"> </w:t>
      </w:r>
      <w:r w:rsidRPr="006C6879">
        <w:rPr>
          <w:rFonts w:eastAsia="Times New Roman" w:cs="Times New Roman"/>
          <w:lang w:eastAsia="de-DE"/>
        </w:rPr>
        <w:t xml:space="preserve">(Erbteil, feminin singular). Diese </w:t>
      </w:r>
      <w:r w:rsidRPr="006C6879">
        <w:rPr>
          <w:rFonts w:eastAsia="Times New Roman" w:cs="Times New Roman"/>
          <w:lang w:eastAsia="de-DE"/>
        </w:rPr>
        <w:lastRenderedPageBreak/>
        <w:t>Wiederholung verstärkt das zentrale Prinzip und bildet eine inclusio mit Vers 7, wodurch die dazwischenliegenden Verse (7-8) rahmenartig eingeschlossen werden.</w:t>
      </w:r>
    </w:p>
    <w:p w14:paraId="248509D0"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Die präpositionalen Phrasen </w:t>
      </w:r>
      <w:r w:rsidRPr="006C6879">
        <w:rPr>
          <w:rFonts w:eastAsia="Times New Roman" w:cs="Times New Roman"/>
          <w:b/>
          <w:bCs/>
          <w:rtl/>
          <w:lang w:eastAsia="de-DE"/>
        </w:rPr>
        <w:t>מִמַּטֶּה לְמַטֶּה אַחֵר</w:t>
      </w:r>
      <w:r w:rsidRPr="006C6879">
        <w:rPr>
          <w:rFonts w:eastAsia="Times New Roman" w:cs="Times New Roman"/>
          <w:rtl/>
          <w:lang w:eastAsia="de-DE"/>
        </w:rPr>
        <w:t xml:space="preserve"> </w:t>
      </w:r>
      <w:r w:rsidRPr="006C6879">
        <w:rPr>
          <w:rFonts w:eastAsia="Times New Roman" w:cs="Times New Roman"/>
          <w:lang w:eastAsia="de-DE"/>
        </w:rPr>
        <w:t xml:space="preserve">(von einem Stamm zu einem anderen Stamm) sind leicht variiert gegenüber Vers 7: Hier wird </w:t>
      </w:r>
      <w:r w:rsidRPr="006C6879">
        <w:rPr>
          <w:rFonts w:eastAsia="Times New Roman" w:cs="Times New Roman"/>
          <w:b/>
          <w:bCs/>
          <w:rtl/>
          <w:lang w:eastAsia="de-DE"/>
        </w:rPr>
        <w:t>אַחֵר</w:t>
      </w:r>
      <w:r w:rsidRPr="006C6879">
        <w:rPr>
          <w:rFonts w:eastAsia="Times New Roman" w:cs="Times New Roman"/>
          <w:rtl/>
          <w:lang w:eastAsia="de-DE"/>
        </w:rPr>
        <w:t xml:space="preserve"> </w:t>
      </w:r>
      <w:r w:rsidRPr="006C6879">
        <w:rPr>
          <w:rFonts w:eastAsia="Times New Roman" w:cs="Times New Roman"/>
          <w:lang w:eastAsia="de-DE"/>
        </w:rPr>
        <w:t xml:space="preserve">(ein anderer, maskulin singular) explizit hinzugefügt, was die Alterität des Zielstammes unterstreicht – es geht um die Übertragung zu einem </w:t>
      </w:r>
      <w:r w:rsidRPr="006C6879">
        <w:rPr>
          <w:rFonts w:eastAsia="Times New Roman" w:cs="Times New Roman"/>
          <w:i/>
          <w:iCs/>
          <w:lang w:eastAsia="de-DE"/>
        </w:rPr>
        <w:t>anderen</w:t>
      </w:r>
      <w:r w:rsidRPr="006C6879">
        <w:rPr>
          <w:rFonts w:eastAsia="Times New Roman" w:cs="Times New Roman"/>
          <w:lang w:eastAsia="de-DE"/>
        </w:rPr>
        <w:t xml:space="preserve"> Stamm. </w:t>
      </w:r>
      <w:r w:rsidRPr="006C6879">
        <w:rPr>
          <w:rFonts w:eastAsia="Times New Roman" w:cs="Times New Roman"/>
          <w:b/>
          <w:bCs/>
          <w:rtl/>
          <w:lang w:eastAsia="de-DE"/>
        </w:rPr>
        <w:t>מִן</w:t>
      </w:r>
      <w:r w:rsidRPr="006C6879">
        <w:rPr>
          <w:rFonts w:eastAsia="Times New Roman" w:cs="Times New Roman"/>
          <w:rtl/>
          <w:lang w:eastAsia="de-DE"/>
        </w:rPr>
        <w:t xml:space="preserve"> </w:t>
      </w:r>
      <w:r w:rsidRPr="006C6879">
        <w:rPr>
          <w:rFonts w:eastAsia="Times New Roman" w:cs="Times New Roman"/>
          <w:lang w:eastAsia="de-DE"/>
        </w:rPr>
        <w:t xml:space="preserve">(von) zeigt die Herkunft, </w:t>
      </w:r>
      <w:r w:rsidRPr="006C6879">
        <w:rPr>
          <w:rFonts w:eastAsia="Times New Roman" w:cs="Times New Roman"/>
          <w:b/>
          <w:bCs/>
          <w:rtl/>
          <w:lang w:eastAsia="de-DE"/>
        </w:rPr>
        <w:t>לְ</w:t>
      </w:r>
      <w:r w:rsidRPr="006C6879">
        <w:rPr>
          <w:rFonts w:eastAsia="Times New Roman" w:cs="Times New Roman"/>
          <w:rtl/>
          <w:lang w:eastAsia="de-DE"/>
        </w:rPr>
        <w:t xml:space="preserve"> </w:t>
      </w:r>
      <w:r w:rsidRPr="006C6879">
        <w:rPr>
          <w:rFonts w:eastAsia="Times New Roman" w:cs="Times New Roman"/>
          <w:lang w:eastAsia="de-DE"/>
        </w:rPr>
        <w:t>(zu) die Richtung.</w:t>
      </w:r>
    </w:p>
    <w:p w14:paraId="1ED63187"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Die kausale Konjunktion </w:t>
      </w:r>
      <w:r w:rsidRPr="006C6879">
        <w:rPr>
          <w:rFonts w:eastAsia="Times New Roman" w:cs="Times New Roman"/>
          <w:b/>
          <w:bCs/>
          <w:rtl/>
          <w:lang w:eastAsia="de-DE"/>
        </w:rPr>
        <w:t>כִּי</w:t>
      </w:r>
      <w:r w:rsidRPr="006C6879">
        <w:rPr>
          <w:rFonts w:eastAsia="Times New Roman" w:cs="Times New Roman"/>
          <w:rtl/>
          <w:lang w:eastAsia="de-DE"/>
        </w:rPr>
        <w:t xml:space="preserve"> </w:t>
      </w:r>
      <w:r w:rsidRPr="006C6879">
        <w:rPr>
          <w:rFonts w:eastAsia="Times New Roman" w:cs="Times New Roman"/>
          <w:lang w:eastAsia="de-DE"/>
        </w:rPr>
        <w:t xml:space="preserve">(denn, weil) leitet wieder die Begründung ein, parallel zu Vers 7. Hier ist jedoch eine wichtige Variation: Während Vers 7 </w:t>
      </w:r>
      <w:r w:rsidRPr="006C6879">
        <w:rPr>
          <w:rFonts w:eastAsia="Times New Roman" w:cs="Times New Roman"/>
          <w:b/>
          <w:bCs/>
          <w:rtl/>
          <w:lang w:eastAsia="de-DE"/>
        </w:rPr>
        <w:t>אִישׁ</w:t>
      </w:r>
      <w:r w:rsidRPr="006C6879">
        <w:rPr>
          <w:rFonts w:eastAsia="Times New Roman" w:cs="Times New Roman"/>
          <w:rtl/>
          <w:lang w:eastAsia="de-DE"/>
        </w:rPr>
        <w:t xml:space="preserve"> </w:t>
      </w:r>
      <w:r w:rsidRPr="006C6879">
        <w:rPr>
          <w:rFonts w:eastAsia="Times New Roman" w:cs="Times New Roman"/>
          <w:lang w:eastAsia="de-DE"/>
        </w:rPr>
        <w:t xml:space="preserve">(jeder Mann) als distributives Element hatte, verwendet Vers 9 </w:t>
      </w:r>
      <w:r w:rsidRPr="006C6879">
        <w:rPr>
          <w:rFonts w:eastAsia="Times New Roman" w:cs="Times New Roman"/>
          <w:b/>
          <w:bCs/>
          <w:rtl/>
          <w:lang w:eastAsia="de-DE"/>
        </w:rPr>
        <w:t>אִישׁ</w:t>
      </w:r>
      <w:r w:rsidRPr="006C6879">
        <w:rPr>
          <w:rFonts w:eastAsia="Times New Roman" w:cs="Times New Roman"/>
          <w:rtl/>
          <w:lang w:eastAsia="de-DE"/>
        </w:rPr>
        <w:t xml:space="preserve"> </w:t>
      </w:r>
      <w:r w:rsidRPr="006C6879">
        <w:rPr>
          <w:rFonts w:eastAsia="Times New Roman" w:cs="Times New Roman"/>
          <w:lang w:eastAsia="de-DE"/>
        </w:rPr>
        <w:t xml:space="preserve">im Kontext mit </w:t>
      </w:r>
      <w:r w:rsidRPr="006C6879">
        <w:rPr>
          <w:rFonts w:eastAsia="Times New Roman" w:cs="Times New Roman"/>
          <w:b/>
          <w:bCs/>
          <w:rtl/>
          <w:lang w:eastAsia="de-DE"/>
        </w:rPr>
        <w:t>בְּנַחֲלָתוֹ</w:t>
      </w:r>
      <w:r w:rsidRPr="006C6879">
        <w:rPr>
          <w:rFonts w:eastAsia="Times New Roman" w:cs="Times New Roman"/>
          <w:rtl/>
          <w:lang w:eastAsia="de-DE"/>
        </w:rPr>
        <w:t xml:space="preserve"> </w:t>
      </w:r>
      <w:r w:rsidRPr="006C6879">
        <w:rPr>
          <w:rFonts w:eastAsia="Times New Roman" w:cs="Times New Roman"/>
          <w:lang w:eastAsia="de-DE"/>
        </w:rPr>
        <w:t xml:space="preserve">(an seinem Erbteil). </w:t>
      </w:r>
      <w:r w:rsidRPr="006C6879">
        <w:rPr>
          <w:rFonts w:eastAsia="Times New Roman" w:cs="Times New Roman"/>
          <w:b/>
          <w:bCs/>
          <w:rtl/>
          <w:lang w:eastAsia="de-DE"/>
        </w:rPr>
        <w:t>בְּ</w:t>
      </w:r>
      <w:r w:rsidRPr="006C6879">
        <w:rPr>
          <w:rFonts w:eastAsia="Times New Roman" w:cs="Times New Roman"/>
          <w:rtl/>
          <w:lang w:eastAsia="de-DE"/>
        </w:rPr>
        <w:t xml:space="preserve"> </w:t>
      </w:r>
      <w:r w:rsidRPr="006C6879">
        <w:rPr>
          <w:rFonts w:eastAsia="Times New Roman" w:cs="Times New Roman"/>
          <w:lang w:eastAsia="de-DE"/>
        </w:rPr>
        <w:t xml:space="preserve">(an, bei) mit </w:t>
      </w:r>
      <w:r w:rsidRPr="006C6879">
        <w:rPr>
          <w:rFonts w:eastAsia="Times New Roman" w:cs="Times New Roman"/>
          <w:b/>
          <w:bCs/>
          <w:rtl/>
          <w:lang w:eastAsia="de-DE"/>
        </w:rPr>
        <w:t>נַחֲלָה</w:t>
      </w:r>
      <w:r w:rsidRPr="006C6879">
        <w:rPr>
          <w:rFonts w:eastAsia="Times New Roman" w:cs="Times New Roman"/>
          <w:rtl/>
          <w:lang w:eastAsia="de-DE"/>
        </w:rPr>
        <w:t xml:space="preserve"> </w:t>
      </w:r>
      <w:r w:rsidRPr="006C6879">
        <w:rPr>
          <w:rFonts w:eastAsia="Times New Roman" w:cs="Times New Roman"/>
          <w:lang w:eastAsia="de-DE"/>
        </w:rPr>
        <w:t xml:space="preserve">(Erbteil, feminin singular constructus) und dem Suffix </w:t>
      </w:r>
      <w:r w:rsidRPr="006C6879">
        <w:rPr>
          <w:rFonts w:eastAsia="Times New Roman" w:cs="Times New Roman"/>
          <w:b/>
          <w:bCs/>
          <w:rtl/>
          <w:lang w:eastAsia="de-DE"/>
        </w:rPr>
        <w:t>וֹ</w:t>
      </w:r>
      <w:r w:rsidRPr="006C6879">
        <w:rPr>
          <w:rFonts w:eastAsia="Times New Roman" w:cs="Times New Roman"/>
          <w:rtl/>
          <w:lang w:eastAsia="de-DE"/>
        </w:rPr>
        <w:t xml:space="preserve"> </w:t>
      </w:r>
      <w:r w:rsidRPr="006C6879">
        <w:rPr>
          <w:rFonts w:eastAsia="Times New Roman" w:cs="Times New Roman"/>
          <w:lang w:eastAsia="de-DE"/>
        </w:rPr>
        <w:t>(sein, 3. Person Singular maskulin) drückt die individuelle Zuordnung aus.</w:t>
      </w:r>
    </w:p>
    <w:p w14:paraId="1A36CE07"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Das Verb </w:t>
      </w:r>
      <w:r w:rsidRPr="006C6879">
        <w:rPr>
          <w:rFonts w:eastAsia="Times New Roman" w:cs="Times New Roman"/>
          <w:b/>
          <w:bCs/>
          <w:rtl/>
          <w:lang w:eastAsia="de-DE"/>
        </w:rPr>
        <w:t>יִדְבְּקוּ</w:t>
      </w:r>
      <w:r w:rsidRPr="006C6879">
        <w:rPr>
          <w:rFonts w:eastAsia="Times New Roman" w:cs="Times New Roman"/>
          <w:rtl/>
          <w:lang w:eastAsia="de-DE"/>
        </w:rPr>
        <w:t xml:space="preserve"> </w:t>
      </w:r>
      <w:r w:rsidRPr="006C6879">
        <w:rPr>
          <w:rFonts w:eastAsia="Times New Roman" w:cs="Times New Roman"/>
          <w:lang w:eastAsia="de-DE"/>
        </w:rPr>
        <w:t xml:space="preserve">(3. Person Plural maskulin Imperfekt Qal von </w:t>
      </w:r>
      <w:r w:rsidRPr="006C6879">
        <w:rPr>
          <w:rFonts w:eastAsia="Times New Roman" w:cs="Times New Roman"/>
          <w:rtl/>
          <w:lang w:eastAsia="de-DE"/>
        </w:rPr>
        <w:t>דבק</w:t>
      </w:r>
      <w:r w:rsidRPr="006C6879">
        <w:rPr>
          <w:rFonts w:eastAsia="Times New Roman" w:cs="Times New Roman"/>
          <w:lang w:eastAsia="de-DE"/>
        </w:rPr>
        <w:t xml:space="preserve">, anhangen/festhalten) ist identisch mit Vers 7 und trägt dieselben Konnotationen enger, treuer Bindung. Das Subjekt ist nun </w:t>
      </w:r>
      <w:r w:rsidRPr="006C6879">
        <w:rPr>
          <w:rFonts w:eastAsia="Times New Roman" w:cs="Times New Roman"/>
          <w:b/>
          <w:bCs/>
          <w:rtl/>
          <w:lang w:eastAsia="de-DE"/>
        </w:rPr>
        <w:t>מַטּוֹת בְּנֵי יִשְׂרָאֵל</w:t>
      </w:r>
      <w:r w:rsidRPr="006C6879">
        <w:rPr>
          <w:rFonts w:eastAsia="Times New Roman" w:cs="Times New Roman"/>
          <w:rtl/>
          <w:lang w:eastAsia="de-DE"/>
        </w:rPr>
        <w:t xml:space="preserve"> </w:t>
      </w:r>
      <w:r w:rsidRPr="006C6879">
        <w:rPr>
          <w:rFonts w:eastAsia="Times New Roman" w:cs="Times New Roman"/>
          <w:lang w:eastAsia="de-DE"/>
        </w:rPr>
        <w:t xml:space="preserve">(die Stämme der Söhne Israels), was eine bedeutende Variation darstellt: In Vers 7 war das Subjekt </w:t>
      </w:r>
      <w:r w:rsidRPr="006C6879">
        <w:rPr>
          <w:rFonts w:eastAsia="Times New Roman" w:cs="Times New Roman"/>
          <w:b/>
          <w:bCs/>
          <w:rtl/>
          <w:lang w:eastAsia="de-DE"/>
        </w:rPr>
        <w:t>בְּנֵי יִשְׂרָאֵל</w:t>
      </w:r>
      <w:r w:rsidRPr="006C6879">
        <w:rPr>
          <w:rFonts w:eastAsia="Times New Roman" w:cs="Times New Roman"/>
          <w:rtl/>
          <w:lang w:eastAsia="de-DE"/>
        </w:rPr>
        <w:t xml:space="preserve"> </w:t>
      </w:r>
      <w:r w:rsidRPr="006C6879">
        <w:rPr>
          <w:rFonts w:eastAsia="Times New Roman" w:cs="Times New Roman"/>
          <w:lang w:eastAsia="de-DE"/>
        </w:rPr>
        <w:t xml:space="preserve">(die Söhne Israels) mit </w:t>
      </w:r>
      <w:r w:rsidRPr="006C6879">
        <w:rPr>
          <w:rFonts w:eastAsia="Times New Roman" w:cs="Times New Roman"/>
          <w:b/>
          <w:bCs/>
          <w:rtl/>
          <w:lang w:eastAsia="de-DE"/>
        </w:rPr>
        <w:t>אִישׁ</w:t>
      </w:r>
      <w:r w:rsidRPr="006C6879">
        <w:rPr>
          <w:rFonts w:eastAsia="Times New Roman" w:cs="Times New Roman"/>
          <w:rtl/>
          <w:lang w:eastAsia="de-DE"/>
        </w:rPr>
        <w:t xml:space="preserve"> </w:t>
      </w:r>
      <w:r w:rsidRPr="006C6879">
        <w:rPr>
          <w:rFonts w:eastAsia="Times New Roman" w:cs="Times New Roman"/>
          <w:lang w:eastAsia="de-DE"/>
        </w:rPr>
        <w:t xml:space="preserve">als distributivem Element – der Fokus lag auf den Einzelpersonen. In Vers 9 ist das Subjekt </w:t>
      </w:r>
      <w:r w:rsidRPr="006C6879">
        <w:rPr>
          <w:rFonts w:eastAsia="Times New Roman" w:cs="Times New Roman"/>
          <w:b/>
          <w:bCs/>
          <w:rtl/>
          <w:lang w:eastAsia="de-DE"/>
        </w:rPr>
        <w:t>מַטּוֹת</w:t>
      </w:r>
      <w:r w:rsidRPr="006C6879">
        <w:rPr>
          <w:rFonts w:eastAsia="Times New Roman" w:cs="Times New Roman"/>
          <w:rtl/>
          <w:lang w:eastAsia="de-DE"/>
        </w:rPr>
        <w:t xml:space="preserve"> </w:t>
      </w:r>
      <w:r w:rsidRPr="006C6879">
        <w:rPr>
          <w:rFonts w:eastAsia="Times New Roman" w:cs="Times New Roman"/>
          <w:lang w:eastAsia="de-DE"/>
        </w:rPr>
        <w:t>(Stämme, maskulin Plural) – der Fokus liegt auf den kollektiven Stammeseinheiten. Dies zeigt eine konzeptionelle Verschiebung von der individuellen zur kollektiven Perspektive.</w:t>
      </w:r>
    </w:p>
    <w:p w14:paraId="438AAF0B"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Die LXX</w:t>
      </w:r>
      <w:r w:rsidRPr="006C6879">
        <w:rPr>
          <w:rFonts w:eastAsia="Times New Roman" w:cs="Times New Roman"/>
          <w:lang w:eastAsia="de-DE"/>
        </w:rPr>
        <w:t xml:space="preserve"> übersetzt </w:t>
      </w:r>
      <w:r w:rsidRPr="006C6879">
        <w:rPr>
          <w:rFonts w:eastAsia="Times New Roman" w:cs="Times New Roman"/>
          <w:b/>
          <w:bCs/>
          <w:rtl/>
          <w:lang w:eastAsia="de-DE"/>
        </w:rPr>
        <w:t>וְלֹא־תִסֹּב נַחֲלָה</w:t>
      </w:r>
      <w:r w:rsidRPr="006C6879">
        <w:rPr>
          <w:rFonts w:eastAsia="Times New Roman" w:cs="Times New Roman"/>
          <w:rtl/>
          <w:lang w:eastAsia="de-DE"/>
        </w:rPr>
        <w:t xml:space="preserve"> </w:t>
      </w:r>
      <w:r w:rsidRPr="006C6879">
        <w:rPr>
          <w:rFonts w:eastAsia="Times New Roman" w:cs="Times New Roman"/>
          <w:lang w:eastAsia="de-DE"/>
        </w:rPr>
        <w:t>mit οὐ κυκλωθήσεται κληρονομία (nicht wird herumgedreht werden ein Erbteil), wobei κυκλόω das Verb σ</w:t>
      </w:r>
      <w:r w:rsidRPr="006C6879">
        <w:rPr>
          <w:rFonts w:eastAsia="Times New Roman" w:cs="Times New Roman"/>
          <w:rtl/>
          <w:lang w:eastAsia="de-DE"/>
        </w:rPr>
        <w:t>בב</w:t>
      </w:r>
      <w:r w:rsidRPr="006C6879">
        <w:rPr>
          <w:rFonts w:eastAsia="Times New Roman" w:cs="Times New Roman"/>
          <w:lang w:eastAsia="de-DE"/>
        </w:rPr>
        <w:t xml:space="preserve"> wiedergibt. Die Phrase </w:t>
      </w:r>
      <w:r w:rsidRPr="006C6879">
        <w:rPr>
          <w:rFonts w:eastAsia="Times New Roman" w:cs="Times New Roman"/>
          <w:b/>
          <w:bCs/>
          <w:rtl/>
          <w:lang w:eastAsia="de-DE"/>
        </w:rPr>
        <w:t>מִמַּטֶּה לְמַטֶּה אַחֵר</w:t>
      </w:r>
      <w:r w:rsidRPr="006C6879">
        <w:rPr>
          <w:rFonts w:eastAsia="Times New Roman" w:cs="Times New Roman"/>
          <w:rtl/>
          <w:lang w:eastAsia="de-DE"/>
        </w:rPr>
        <w:t xml:space="preserve"> </w:t>
      </w:r>
      <w:r w:rsidRPr="006C6879">
        <w:rPr>
          <w:rFonts w:eastAsia="Times New Roman" w:cs="Times New Roman"/>
          <w:lang w:eastAsia="de-DE"/>
        </w:rPr>
        <w:t xml:space="preserve">wird mit ἀπὸ φυλῆς εἰς φυλὴν ἑτέραν (von einem Stamm zu einem anderen Stamm) übersetzt, wobei ἑτέρα das hebräische </w:t>
      </w:r>
      <w:r w:rsidRPr="006C6879">
        <w:rPr>
          <w:rFonts w:eastAsia="Times New Roman" w:cs="Times New Roman"/>
          <w:b/>
          <w:bCs/>
          <w:rtl/>
          <w:lang w:eastAsia="de-DE"/>
        </w:rPr>
        <w:t>אַחֵר</w:t>
      </w:r>
      <w:r w:rsidRPr="006C6879">
        <w:rPr>
          <w:rFonts w:eastAsia="Times New Roman" w:cs="Times New Roman"/>
          <w:rtl/>
          <w:lang w:eastAsia="de-DE"/>
        </w:rPr>
        <w:t xml:space="preserve"> </w:t>
      </w:r>
      <w:r w:rsidRPr="006C6879">
        <w:rPr>
          <w:rFonts w:eastAsia="Times New Roman" w:cs="Times New Roman"/>
          <w:lang w:eastAsia="de-DE"/>
        </w:rPr>
        <w:t xml:space="preserve">wiedergibt. Die LXX verwendet hier denselben Ausdruck wie in Vers 7. Für </w:t>
      </w:r>
      <w:r w:rsidRPr="006C6879">
        <w:rPr>
          <w:rFonts w:eastAsia="Times New Roman" w:cs="Times New Roman"/>
          <w:b/>
          <w:bCs/>
          <w:rtl/>
          <w:lang w:eastAsia="de-DE"/>
        </w:rPr>
        <w:t>כִּי־אִישׁ בְּנַחֲלָתוֹ</w:t>
      </w:r>
      <w:r w:rsidRPr="006C6879">
        <w:rPr>
          <w:rFonts w:eastAsia="Times New Roman" w:cs="Times New Roman"/>
          <w:rtl/>
          <w:lang w:eastAsia="de-DE"/>
        </w:rPr>
        <w:t xml:space="preserve"> </w:t>
      </w:r>
      <w:r w:rsidRPr="006C6879">
        <w:rPr>
          <w:rFonts w:eastAsia="Times New Roman" w:cs="Times New Roman"/>
          <w:lang w:eastAsia="de-DE"/>
        </w:rPr>
        <w:t xml:space="preserve">verwendet die LXX ἀλλ᾽ ἕκαστος ἐν τῇ κληρονομίᾳ αὐτοῦ (sondern jeder in seinem Erbteil), wobei ἕκαστος das distributive </w:t>
      </w:r>
      <w:r w:rsidRPr="006C6879">
        <w:rPr>
          <w:rFonts w:eastAsia="Times New Roman" w:cs="Times New Roman"/>
          <w:b/>
          <w:bCs/>
          <w:rtl/>
          <w:lang w:eastAsia="de-DE"/>
        </w:rPr>
        <w:t>אִישׁ</w:t>
      </w:r>
      <w:r w:rsidRPr="006C6879">
        <w:rPr>
          <w:rFonts w:eastAsia="Times New Roman" w:cs="Times New Roman"/>
          <w:rtl/>
          <w:lang w:eastAsia="de-DE"/>
        </w:rPr>
        <w:t xml:space="preserve"> </w:t>
      </w:r>
      <w:r w:rsidRPr="006C6879">
        <w:rPr>
          <w:rFonts w:eastAsia="Times New Roman" w:cs="Times New Roman"/>
          <w:lang w:eastAsia="de-DE"/>
        </w:rPr>
        <w:t xml:space="preserve">wiedergibt. Das Verb </w:t>
      </w:r>
      <w:r w:rsidRPr="006C6879">
        <w:rPr>
          <w:rFonts w:eastAsia="Times New Roman" w:cs="Times New Roman"/>
          <w:b/>
          <w:bCs/>
          <w:rtl/>
          <w:lang w:eastAsia="de-DE"/>
        </w:rPr>
        <w:t>יִדְבְּקוּ</w:t>
      </w:r>
      <w:r w:rsidRPr="006C6879">
        <w:rPr>
          <w:rFonts w:eastAsia="Times New Roman" w:cs="Times New Roman"/>
          <w:rtl/>
          <w:lang w:eastAsia="de-DE"/>
        </w:rPr>
        <w:t xml:space="preserve"> </w:t>
      </w:r>
      <w:r w:rsidRPr="006C6879">
        <w:rPr>
          <w:rFonts w:eastAsia="Times New Roman" w:cs="Times New Roman"/>
          <w:lang w:eastAsia="de-DE"/>
        </w:rPr>
        <w:t xml:space="preserve">wird mit προσκολληθήσονται (sie werden anhangen) übersetzt, einem zusammengesetzten Verb, das die Intensität der Bindung betont. Die LXX gibt </w:t>
      </w:r>
      <w:r w:rsidRPr="006C6879">
        <w:rPr>
          <w:rFonts w:eastAsia="Times New Roman" w:cs="Times New Roman"/>
          <w:b/>
          <w:bCs/>
          <w:rtl/>
          <w:lang w:eastAsia="de-DE"/>
        </w:rPr>
        <w:t>מַטּוֹת בְּנֵי יִשְׂרָאֵל</w:t>
      </w:r>
      <w:r w:rsidRPr="006C6879">
        <w:rPr>
          <w:rFonts w:eastAsia="Times New Roman" w:cs="Times New Roman"/>
          <w:rtl/>
          <w:lang w:eastAsia="de-DE"/>
        </w:rPr>
        <w:t xml:space="preserve"> </w:t>
      </w:r>
      <w:r w:rsidRPr="006C6879">
        <w:rPr>
          <w:rFonts w:eastAsia="Times New Roman" w:cs="Times New Roman"/>
          <w:lang w:eastAsia="de-DE"/>
        </w:rPr>
        <w:t>mit αἱ φυλαὶ τῶν υἱῶν Ισραηλ (die Stämme der Söhne Israels) wieder, eine direkte Entsprechung.</w:t>
      </w:r>
    </w:p>
    <w:p w14:paraId="3A6A244B"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Die Satzstruktur ist parallel zu Vers 7: Ein negativer Hauptsatz (</w:t>
      </w:r>
      <w:r w:rsidRPr="006C6879">
        <w:rPr>
          <w:rFonts w:eastAsia="Times New Roman" w:cs="Times New Roman"/>
          <w:b/>
          <w:bCs/>
          <w:rtl/>
          <w:lang w:eastAsia="de-DE"/>
        </w:rPr>
        <w:t>וְלֹא־תִסֹּב נַחֲלָה מִמַּטֶּה לְמַטֶּה אַחֵר</w:t>
      </w:r>
      <w:r w:rsidRPr="006C6879">
        <w:rPr>
          <w:rFonts w:eastAsia="Times New Roman" w:cs="Times New Roman"/>
          <w:lang w:eastAsia="de-DE"/>
        </w:rPr>
        <w:t xml:space="preserve">) wird durch einen kausalen Hauptsatz begründet, der mit </w:t>
      </w:r>
      <w:r w:rsidRPr="006C6879">
        <w:rPr>
          <w:rFonts w:eastAsia="Times New Roman" w:cs="Times New Roman"/>
          <w:b/>
          <w:bCs/>
          <w:rtl/>
          <w:lang w:eastAsia="de-DE"/>
        </w:rPr>
        <w:t>כִּי</w:t>
      </w:r>
      <w:r w:rsidRPr="006C6879">
        <w:rPr>
          <w:rFonts w:eastAsia="Times New Roman" w:cs="Times New Roman"/>
          <w:rtl/>
          <w:lang w:eastAsia="de-DE"/>
        </w:rPr>
        <w:t xml:space="preserve"> </w:t>
      </w:r>
      <w:r w:rsidRPr="006C6879">
        <w:rPr>
          <w:rFonts w:eastAsia="Times New Roman" w:cs="Times New Roman"/>
          <w:lang w:eastAsia="de-DE"/>
        </w:rPr>
        <w:t>eingeleitet wird (</w:t>
      </w:r>
      <w:r w:rsidRPr="006C6879">
        <w:rPr>
          <w:rFonts w:eastAsia="Times New Roman" w:cs="Times New Roman"/>
          <w:b/>
          <w:bCs/>
          <w:rtl/>
          <w:lang w:eastAsia="de-DE"/>
        </w:rPr>
        <w:t>כִּי־אִישׁ בְּנַחֲלָתוֹ יִדְבְּקוּ מַטּוֹת בְּנֵי יִשְׂרָאֵל</w:t>
      </w:r>
      <w:r w:rsidRPr="006C6879">
        <w:rPr>
          <w:rFonts w:eastAsia="Times New Roman" w:cs="Times New Roman"/>
          <w:lang w:eastAsia="de-DE"/>
        </w:rPr>
        <w:t>). Beide sind Hauptsätze ohne subordinierte Nebensätze. Die Struktur: Negatives Verbot + kausale Begründung.</w:t>
      </w:r>
    </w:p>
    <w:p w14:paraId="14FF2F49" w14:textId="666BCAF9" w:rsid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Der Vers bildet mit Vers 7 einen Rahmen um die konkrete Regelung in Vers 8 und formuliert das Prinzip der Stammesintegrität sowohl aus individueller (Vers 7: jeder Israelit) als auch aus kollektiver (Vers 9: die Stämme) Perspektive. Die leichte Variation </w:t>
      </w:r>
      <w:r w:rsidRPr="006C6879">
        <w:rPr>
          <w:rFonts w:eastAsia="Times New Roman" w:cs="Times New Roman"/>
          <w:b/>
          <w:bCs/>
          <w:rtl/>
          <w:lang w:eastAsia="de-DE"/>
        </w:rPr>
        <w:t>לְמַטֶּה אַחֵר</w:t>
      </w:r>
      <w:r w:rsidRPr="006C6879">
        <w:rPr>
          <w:rFonts w:eastAsia="Times New Roman" w:cs="Times New Roman"/>
          <w:rtl/>
          <w:lang w:eastAsia="de-DE"/>
        </w:rPr>
        <w:t xml:space="preserve"> </w:t>
      </w:r>
      <w:r w:rsidRPr="006C6879">
        <w:rPr>
          <w:rFonts w:eastAsia="Times New Roman" w:cs="Times New Roman"/>
          <w:lang w:eastAsia="de-DE"/>
        </w:rPr>
        <w:t xml:space="preserve">(zu einem </w:t>
      </w:r>
      <w:r w:rsidRPr="006C6879">
        <w:rPr>
          <w:rFonts w:eastAsia="Times New Roman" w:cs="Times New Roman"/>
          <w:i/>
          <w:iCs/>
          <w:lang w:eastAsia="de-DE"/>
        </w:rPr>
        <w:t>anderen</w:t>
      </w:r>
      <w:r w:rsidRPr="006C6879">
        <w:rPr>
          <w:rFonts w:eastAsia="Times New Roman" w:cs="Times New Roman"/>
          <w:lang w:eastAsia="de-DE"/>
        </w:rPr>
        <w:t xml:space="preserve"> Stamm) und die Verschiebung des Subjekts zu </w:t>
      </w:r>
      <w:r w:rsidRPr="006C6879">
        <w:rPr>
          <w:rFonts w:eastAsia="Times New Roman" w:cs="Times New Roman"/>
          <w:b/>
          <w:bCs/>
          <w:rtl/>
          <w:lang w:eastAsia="de-DE"/>
        </w:rPr>
        <w:t>מַטּוֹת</w:t>
      </w:r>
      <w:r w:rsidRPr="006C6879">
        <w:rPr>
          <w:rFonts w:eastAsia="Times New Roman" w:cs="Times New Roman"/>
          <w:rtl/>
          <w:lang w:eastAsia="de-DE"/>
        </w:rPr>
        <w:t xml:space="preserve"> </w:t>
      </w:r>
      <w:r w:rsidRPr="006C6879">
        <w:rPr>
          <w:rFonts w:eastAsia="Times New Roman" w:cs="Times New Roman"/>
          <w:lang w:eastAsia="de-DE"/>
        </w:rPr>
        <w:t>(Stämme) unterstreichen die Bedeutung der Stammesidentität als kollektive Einheit im göttlichen Landverteilungssystem. Die Wiederholung verstärkt die Wichtigkeit dieses theologischen Prinzips.</w:t>
      </w:r>
    </w:p>
    <w:p w14:paraId="2FEF2D98" w14:textId="77777777" w:rsidR="00A70B01" w:rsidRDefault="00A70B01" w:rsidP="00A70B01">
      <w:pPr>
        <w:pStyle w:val="berschrift4"/>
      </w:pPr>
      <w:r>
        <w:t>Theologische Reflexion: Warum ist die Stammesintegrität so zentral?</w:t>
      </w:r>
    </w:p>
    <w:p w14:paraId="05B4E8FA" w14:textId="77777777" w:rsidR="00A70B01" w:rsidRDefault="00A70B01" w:rsidP="00A70B01">
      <w:pPr>
        <w:pStyle w:val="whitespace-normal"/>
      </w:pPr>
      <w:r>
        <w:t xml:space="preserve">Die doppelte Betonung in V. 7 und V. 9, dass </w:t>
      </w:r>
      <w:r>
        <w:rPr>
          <w:rStyle w:val="Fett"/>
        </w:rPr>
        <w:t>kein Erbteil von Stamm zu Stamm übergehen</w:t>
      </w:r>
      <w:r>
        <w:t xml:space="preserve"> darf, wirft theologische Fragen auf: Warum ist die Stammesordnung so wichtig?</w:t>
      </w:r>
    </w:p>
    <w:p w14:paraId="085A809C" w14:textId="77777777" w:rsidR="00A70B01" w:rsidRDefault="00A70B01" w:rsidP="00A70B01">
      <w:pPr>
        <w:pStyle w:val="whitespace-normal"/>
      </w:pPr>
      <w:r>
        <w:rPr>
          <w:rStyle w:val="Fett"/>
        </w:rPr>
        <w:lastRenderedPageBreak/>
        <w:t>1. Gottes Ordnung der Schöpfung</w:t>
      </w:r>
    </w:p>
    <w:p w14:paraId="1304A695" w14:textId="77777777" w:rsidR="00A70B01" w:rsidRDefault="00A70B01" w:rsidP="00A70B01">
      <w:pPr>
        <w:pStyle w:val="whitespace-normal"/>
      </w:pPr>
      <w:r>
        <w:t xml:space="preserve">Die Stammesverteilung ist </w:t>
      </w:r>
      <w:r>
        <w:rPr>
          <w:rStyle w:val="Fett"/>
        </w:rPr>
        <w:t>göttliche Ordnung</w:t>
      </w:r>
      <w:r>
        <w:t>, nicht menschliche Willkür:</w:t>
      </w:r>
    </w:p>
    <w:p w14:paraId="347767AA" w14:textId="77777777" w:rsidR="00A70B01" w:rsidRDefault="00A70B01" w:rsidP="00097545">
      <w:pPr>
        <w:pStyle w:val="whitespace-normal"/>
        <w:numPr>
          <w:ilvl w:val="0"/>
          <w:numId w:val="245"/>
        </w:numPr>
      </w:pPr>
      <w:r>
        <w:rPr>
          <w:rStyle w:val="Fett"/>
        </w:rPr>
        <w:t>Num 26,52-56</w:t>
      </w:r>
      <w:r>
        <w:t xml:space="preserve">: Die Landverteilung erfolgte durch </w:t>
      </w:r>
      <w:r>
        <w:rPr>
          <w:rStyle w:val="Fett"/>
        </w:rPr>
        <w:t>göttliches Los</w:t>
      </w:r>
      <w:r>
        <w:t xml:space="preserve"> (</w:t>
      </w:r>
      <w:r>
        <w:rPr>
          <w:rtl/>
        </w:rPr>
        <w:t>גּוֹרָל</w:t>
      </w:r>
      <w:r>
        <w:t>)</w:t>
      </w:r>
    </w:p>
    <w:p w14:paraId="63D0ADD0" w14:textId="77777777" w:rsidR="00A70B01" w:rsidRDefault="00A70B01" w:rsidP="00097545">
      <w:pPr>
        <w:pStyle w:val="whitespace-normal"/>
        <w:numPr>
          <w:ilvl w:val="0"/>
          <w:numId w:val="245"/>
        </w:numPr>
      </w:pPr>
      <w:r>
        <w:rPr>
          <w:rStyle w:val="Fett"/>
        </w:rPr>
        <w:t>Num 33,54</w:t>
      </w:r>
      <w:r>
        <w:t>: "Nach euren Geschlechtern sollt ihr das Land als Erbe austeilen"</w:t>
      </w:r>
    </w:p>
    <w:p w14:paraId="57A8E239" w14:textId="77777777" w:rsidR="00A70B01" w:rsidRDefault="00A70B01" w:rsidP="00097545">
      <w:pPr>
        <w:pStyle w:val="whitespace-normal"/>
        <w:numPr>
          <w:ilvl w:val="0"/>
          <w:numId w:val="245"/>
        </w:numPr>
      </w:pPr>
      <w:r>
        <w:rPr>
          <w:rStyle w:val="Fett"/>
        </w:rPr>
        <w:t>Num 34,13</w:t>
      </w:r>
      <w:r>
        <w:t>: "Dies ist das Land, das euch als Erbe zufällt"</w:t>
      </w:r>
    </w:p>
    <w:p w14:paraId="04FB8080" w14:textId="77777777" w:rsidR="00A70B01" w:rsidRDefault="00A70B01" w:rsidP="00A70B01">
      <w:pPr>
        <w:pStyle w:val="whitespace-normal"/>
      </w:pPr>
      <w:r>
        <w:t xml:space="preserve">Die Stammesordnung spiegelt </w:t>
      </w:r>
      <w:r>
        <w:rPr>
          <w:rStyle w:val="Fett"/>
        </w:rPr>
        <w:t>Gottes Schöpfungsordnung</w:t>
      </w:r>
      <w:r>
        <w:t xml:space="preserve"> wider – jeder Stamm hat seinen gottgegebenen Platz.</w:t>
      </w:r>
    </w:p>
    <w:p w14:paraId="3F7D4F2B" w14:textId="77777777" w:rsidR="00A70B01" w:rsidRDefault="00A70B01" w:rsidP="00A70B01">
      <w:pPr>
        <w:pStyle w:val="whitespace-normal"/>
      </w:pPr>
      <w:r>
        <w:rPr>
          <w:rStyle w:val="Fett"/>
        </w:rPr>
        <w:t>2. Identität und Zugehörigkeit</w:t>
      </w:r>
    </w:p>
    <w:p w14:paraId="455305F4" w14:textId="77777777" w:rsidR="00A70B01" w:rsidRDefault="00A70B01" w:rsidP="00A70B01">
      <w:pPr>
        <w:pStyle w:val="whitespace-normal"/>
      </w:pPr>
      <w:r>
        <w:t>Die Stammeszugehörigkeit ist mehr als administrative Einteilung:</w:t>
      </w:r>
    </w:p>
    <w:p w14:paraId="1D18399C" w14:textId="77777777" w:rsidR="00A70B01" w:rsidRDefault="00A70B01" w:rsidP="00097545">
      <w:pPr>
        <w:pStyle w:val="whitespace-normal"/>
        <w:numPr>
          <w:ilvl w:val="0"/>
          <w:numId w:val="246"/>
        </w:numPr>
      </w:pPr>
      <w:r>
        <w:rPr>
          <w:rStyle w:val="Fett"/>
        </w:rPr>
        <w:t>Religiöse Identität</w:t>
      </w:r>
      <w:r>
        <w:t>: Jeder Stamm hatte seine eigene Geschichte mit Gott</w:t>
      </w:r>
    </w:p>
    <w:p w14:paraId="4566D297" w14:textId="77777777" w:rsidR="00A70B01" w:rsidRDefault="00A70B01" w:rsidP="00097545">
      <w:pPr>
        <w:pStyle w:val="whitespace-normal"/>
        <w:numPr>
          <w:ilvl w:val="0"/>
          <w:numId w:val="246"/>
        </w:numPr>
      </w:pPr>
      <w:r>
        <w:rPr>
          <w:rStyle w:val="Fett"/>
        </w:rPr>
        <w:t>Soziale Sicherheit</w:t>
      </w:r>
      <w:r>
        <w:t>: Der Stamm war Schutz- und Versorgungsgemeinschaft</w:t>
      </w:r>
    </w:p>
    <w:p w14:paraId="14A9B82F" w14:textId="77777777" w:rsidR="00A70B01" w:rsidRDefault="00A70B01" w:rsidP="00097545">
      <w:pPr>
        <w:pStyle w:val="whitespace-normal"/>
        <w:numPr>
          <w:ilvl w:val="0"/>
          <w:numId w:val="246"/>
        </w:numPr>
      </w:pPr>
      <w:r>
        <w:rPr>
          <w:rStyle w:val="Fett"/>
        </w:rPr>
        <w:t>Rechtliche Zuordnung</w:t>
      </w:r>
      <w:r>
        <w:t>: Erbrecht, Blutrache, Zufluchtsstädte waren stammesgebunden</w:t>
      </w:r>
    </w:p>
    <w:p w14:paraId="4E0BA7EF" w14:textId="77777777" w:rsidR="00A70B01" w:rsidRDefault="00A70B01" w:rsidP="00A70B01">
      <w:pPr>
        <w:pStyle w:val="whitespace-normal"/>
      </w:pPr>
      <w:r>
        <w:rPr>
          <w:rStyle w:val="Fett"/>
        </w:rPr>
        <w:t>Ohne klare Stammeszugehörigkeit würde das gesamte soziale und rechtliche System Israels zusammenbrechen.</w:t>
      </w:r>
    </w:p>
    <w:p w14:paraId="303652E4" w14:textId="77777777" w:rsidR="00A70B01" w:rsidRDefault="00A70B01" w:rsidP="00A70B01">
      <w:pPr>
        <w:pStyle w:val="whitespace-normal"/>
      </w:pPr>
      <w:r>
        <w:rPr>
          <w:rStyle w:val="Fett"/>
        </w:rPr>
        <w:t xml:space="preserve">3. Das Verb </w:t>
      </w:r>
      <w:r>
        <w:rPr>
          <w:rStyle w:val="Fett"/>
          <w:rtl/>
        </w:rPr>
        <w:t>דבק</w:t>
      </w:r>
      <w:r>
        <w:rPr>
          <w:rStyle w:val="Fett"/>
        </w:rPr>
        <w:t xml:space="preserve"> (anhangen) – Theologische Tiefe</w:t>
      </w:r>
    </w:p>
    <w:p w14:paraId="2F16D137" w14:textId="77777777" w:rsidR="00A70B01" w:rsidRDefault="00A70B01" w:rsidP="00A70B01">
      <w:pPr>
        <w:pStyle w:val="whitespace-normal"/>
      </w:pPr>
      <w:r>
        <w:rPr>
          <w:rStyle w:val="Fett"/>
        </w:rPr>
        <w:t>V. 7 und V. 9</w:t>
      </w:r>
      <w:r>
        <w:t xml:space="preserve"> verwenden das intensive Verb </w:t>
      </w:r>
      <w:r>
        <w:rPr>
          <w:rStyle w:val="Fett"/>
          <w:rtl/>
        </w:rPr>
        <w:t>דבק</w:t>
      </w:r>
      <w:r>
        <w:rPr>
          <w:rtl/>
        </w:rPr>
        <w:t xml:space="preserve"> </w:t>
      </w:r>
      <w:r>
        <w:t>(anhangen, festkleben):</w:t>
      </w:r>
    </w:p>
    <w:p w14:paraId="19650366" w14:textId="77777777" w:rsidR="00A70B01" w:rsidRDefault="00A70B01" w:rsidP="00A70B01">
      <w:pPr>
        <w:pStyle w:val="whitespace-normal"/>
      </w:pPr>
      <w:r>
        <w:rPr>
          <w:rStyle w:val="Fett"/>
        </w:rPr>
        <w:t xml:space="preserve">Andere Verwendungen von </w:t>
      </w:r>
      <w:r>
        <w:rPr>
          <w:rStyle w:val="Fett"/>
          <w:rtl/>
        </w:rPr>
        <w:t>דבק</w:t>
      </w:r>
      <w:r>
        <w:rPr>
          <w:rStyle w:val="Fett"/>
        </w:rPr>
        <w:t xml:space="preserve"> im AT:</w:t>
      </w:r>
    </w:p>
    <w:p w14:paraId="5340206B" w14:textId="77777777" w:rsidR="00A70B01" w:rsidRDefault="00A70B01" w:rsidP="00097545">
      <w:pPr>
        <w:pStyle w:val="whitespace-normal"/>
        <w:numPr>
          <w:ilvl w:val="0"/>
          <w:numId w:val="247"/>
        </w:numPr>
      </w:pPr>
      <w:r>
        <w:rPr>
          <w:rStyle w:val="Fett"/>
        </w:rPr>
        <w:t>Gen 2,24</w:t>
      </w:r>
      <w:r>
        <w:t xml:space="preserve">: "Darum wird ein Mann... seiner Frau </w:t>
      </w:r>
      <w:r>
        <w:rPr>
          <w:rStyle w:val="Fett"/>
        </w:rPr>
        <w:t>anhangen</w:t>
      </w:r>
      <w:r>
        <w:t xml:space="preserve"> (</w:t>
      </w:r>
      <w:r>
        <w:rPr>
          <w:rtl/>
        </w:rPr>
        <w:t>דָּבַק</w:t>
      </w:r>
      <w:r>
        <w:t>)"</w:t>
      </w:r>
      <w:r>
        <w:br/>
        <w:t>→ Unauflösliche Bindung in der Ehe</w:t>
      </w:r>
    </w:p>
    <w:p w14:paraId="5E2883D5" w14:textId="77777777" w:rsidR="00A70B01" w:rsidRDefault="00A70B01" w:rsidP="00097545">
      <w:pPr>
        <w:pStyle w:val="whitespace-normal"/>
        <w:numPr>
          <w:ilvl w:val="0"/>
          <w:numId w:val="247"/>
        </w:numPr>
      </w:pPr>
      <w:r>
        <w:rPr>
          <w:rStyle w:val="Fett"/>
        </w:rPr>
        <w:t>Dtn 10,20</w:t>
      </w:r>
      <w:r>
        <w:t xml:space="preserve">: "Dem HERRN, deinem Gott, sollst du </w:t>
      </w:r>
      <w:r>
        <w:rPr>
          <w:rStyle w:val="Fett"/>
        </w:rPr>
        <w:t>anhangen</w:t>
      </w:r>
      <w:r>
        <w:t xml:space="preserve"> (</w:t>
      </w:r>
      <w:r>
        <w:rPr>
          <w:rtl/>
        </w:rPr>
        <w:t>תִּדְבָּק</w:t>
      </w:r>
      <w:r>
        <w:t>)"</w:t>
      </w:r>
      <w:r>
        <w:br/>
        <w:t>→ Treue zu Gott</w:t>
      </w:r>
    </w:p>
    <w:p w14:paraId="53566FD9" w14:textId="77777777" w:rsidR="00A70B01" w:rsidRDefault="00A70B01" w:rsidP="00097545">
      <w:pPr>
        <w:pStyle w:val="whitespace-normal"/>
        <w:numPr>
          <w:ilvl w:val="0"/>
          <w:numId w:val="247"/>
        </w:numPr>
      </w:pPr>
      <w:r>
        <w:rPr>
          <w:rStyle w:val="Fett"/>
        </w:rPr>
        <w:t>Rut 1,14</w:t>
      </w:r>
      <w:r>
        <w:t xml:space="preserve">: "Rut hing ihrer Schwiegermutter </w:t>
      </w:r>
      <w:r>
        <w:rPr>
          <w:rStyle w:val="Fett"/>
        </w:rPr>
        <w:t>an</w:t>
      </w:r>
      <w:r>
        <w:t xml:space="preserve"> (</w:t>
      </w:r>
      <w:r>
        <w:rPr>
          <w:rtl/>
        </w:rPr>
        <w:t>דָּבְקָה</w:t>
      </w:r>
      <w:r>
        <w:t>)"</w:t>
      </w:r>
      <w:r>
        <w:br/>
        <w:t>→ Loyalität über den Tod hinaus</w:t>
      </w:r>
    </w:p>
    <w:p w14:paraId="360DC022" w14:textId="77777777" w:rsidR="00A70B01" w:rsidRDefault="00A70B01" w:rsidP="00A70B01">
      <w:pPr>
        <w:pStyle w:val="whitespace-normal"/>
      </w:pPr>
      <w:r>
        <w:rPr>
          <w:rStyle w:val="Fett"/>
        </w:rPr>
        <w:t>In Num 36,7+9:</w:t>
      </w:r>
      <w:r>
        <w:br/>
        <w:t xml:space="preserve">Die Israeliten sollen ihrem Stammesland </w:t>
      </w:r>
      <w:r>
        <w:rPr>
          <w:rStyle w:val="Fett"/>
        </w:rPr>
        <w:t>anhangen</w:t>
      </w:r>
      <w:r>
        <w:t xml:space="preserve"> wie:</w:t>
      </w:r>
    </w:p>
    <w:p w14:paraId="4890AC32" w14:textId="77777777" w:rsidR="00A70B01" w:rsidRDefault="00A70B01" w:rsidP="00097545">
      <w:pPr>
        <w:pStyle w:val="whitespace-normal"/>
        <w:numPr>
          <w:ilvl w:val="0"/>
          <w:numId w:val="248"/>
        </w:numPr>
      </w:pPr>
      <w:r>
        <w:t>Ein Mann seiner Frau anhängt (Treue)</w:t>
      </w:r>
    </w:p>
    <w:p w14:paraId="712ADDD1" w14:textId="77777777" w:rsidR="00A70B01" w:rsidRDefault="00A70B01" w:rsidP="00097545">
      <w:pPr>
        <w:pStyle w:val="whitespace-normal"/>
        <w:numPr>
          <w:ilvl w:val="0"/>
          <w:numId w:val="248"/>
        </w:numPr>
      </w:pPr>
      <w:r>
        <w:t>Ein Gläubiger Gott anhängt (Loyalität)</w:t>
      </w:r>
    </w:p>
    <w:p w14:paraId="148C8B19" w14:textId="77777777" w:rsidR="00A70B01" w:rsidRDefault="00A70B01" w:rsidP="00097545">
      <w:pPr>
        <w:pStyle w:val="whitespace-normal"/>
        <w:numPr>
          <w:ilvl w:val="0"/>
          <w:numId w:val="248"/>
        </w:numPr>
      </w:pPr>
      <w:r>
        <w:t>Rut Naomi anhängt (Unauflöslichkeit)</w:t>
      </w:r>
    </w:p>
    <w:p w14:paraId="7C03BEE4" w14:textId="36BF233F" w:rsidR="00A70B01" w:rsidRPr="00A70B01" w:rsidRDefault="00A70B01" w:rsidP="00A70B01">
      <w:pPr>
        <w:pStyle w:val="whitespace-normal"/>
        <w:rPr>
          <w:b/>
          <w:bCs/>
        </w:rPr>
      </w:pPr>
      <w:r>
        <w:rPr>
          <w:rStyle w:val="Fett"/>
        </w:rPr>
        <w:t>Das Land ist nicht nur Besitz – es ist Bundesgabe, heiliges Erbe, gottgegebene Identität.</w:t>
      </w:r>
    </w:p>
    <w:p w14:paraId="7A87120D" w14:textId="77777777" w:rsidR="00A70B01" w:rsidRDefault="00A70B01" w:rsidP="00A70B01">
      <w:pPr>
        <w:pStyle w:val="whitespace-normal"/>
      </w:pPr>
      <w:r>
        <w:rPr>
          <w:rStyle w:val="Fett"/>
        </w:rPr>
        <w:t>4. Spannung: Frauenrechte vs. Kollektive Ordnung</w:t>
      </w:r>
    </w:p>
    <w:p w14:paraId="2ACC69BF" w14:textId="5DB7E973" w:rsidR="00A70B01" w:rsidRDefault="00A70B01" w:rsidP="00A70B01">
      <w:pPr>
        <w:pStyle w:val="whitespace-normal"/>
      </w:pPr>
      <w:r>
        <w:t xml:space="preserve">Num 36 zeigt eine </w:t>
      </w:r>
      <w:r>
        <w:rPr>
          <w:rStyle w:val="Fett"/>
        </w:rPr>
        <w:t>ethische Spannung</w:t>
      </w:r>
      <w:r>
        <w:t>:</w:t>
      </w:r>
    </w:p>
    <w:tbl>
      <w:tblPr>
        <w:tblStyle w:val="Tabellenraster"/>
        <w:tblW w:w="4994" w:type="pct"/>
        <w:tblLook w:val="04A0" w:firstRow="1" w:lastRow="0" w:firstColumn="1" w:lastColumn="0" w:noHBand="0" w:noVBand="1"/>
      </w:tblPr>
      <w:tblGrid>
        <w:gridCol w:w="1414"/>
        <w:gridCol w:w="3401"/>
        <w:gridCol w:w="4236"/>
      </w:tblGrid>
      <w:tr w:rsidR="00A70B01" w14:paraId="7B33325D" w14:textId="77777777" w:rsidTr="00A70B01">
        <w:tc>
          <w:tcPr>
            <w:tcW w:w="781" w:type="pct"/>
            <w:vAlign w:val="center"/>
          </w:tcPr>
          <w:p w14:paraId="441F4F60" w14:textId="6255F7BE" w:rsidR="00A70B01" w:rsidRDefault="00A70B01" w:rsidP="00A70B01">
            <w:pPr>
              <w:pStyle w:val="whitespace-normal"/>
            </w:pPr>
            <w:r>
              <w:rPr>
                <w:b/>
                <w:bCs/>
              </w:rPr>
              <w:lastRenderedPageBreak/>
              <w:t>Aspekt</w:t>
            </w:r>
          </w:p>
        </w:tc>
        <w:tc>
          <w:tcPr>
            <w:tcW w:w="1879" w:type="pct"/>
            <w:vAlign w:val="center"/>
          </w:tcPr>
          <w:p w14:paraId="0034E7A0" w14:textId="170E1B5A" w:rsidR="00A70B01" w:rsidRDefault="00A70B01" w:rsidP="00A70B01">
            <w:pPr>
              <w:pStyle w:val="whitespace-normal"/>
            </w:pPr>
            <w:r>
              <w:rPr>
                <w:b/>
                <w:bCs/>
              </w:rPr>
              <w:t>Kap. 27 (Frauenrechte)</w:t>
            </w:r>
          </w:p>
        </w:tc>
        <w:tc>
          <w:tcPr>
            <w:tcW w:w="2340" w:type="pct"/>
            <w:vAlign w:val="center"/>
          </w:tcPr>
          <w:p w14:paraId="08A69F20" w14:textId="133C11AE" w:rsidR="00A70B01" w:rsidRDefault="00A70B01" w:rsidP="00A70B01">
            <w:pPr>
              <w:pStyle w:val="whitespace-normal"/>
            </w:pPr>
            <w:r>
              <w:rPr>
                <w:b/>
                <w:bCs/>
              </w:rPr>
              <w:t>Kap. 36 (Stammesintegrität)</w:t>
            </w:r>
          </w:p>
        </w:tc>
      </w:tr>
      <w:tr w:rsidR="00A70B01" w14:paraId="011CF94A" w14:textId="77777777" w:rsidTr="00A70B01">
        <w:tc>
          <w:tcPr>
            <w:tcW w:w="781" w:type="pct"/>
            <w:vAlign w:val="center"/>
          </w:tcPr>
          <w:p w14:paraId="76201AA6" w14:textId="110944FE" w:rsidR="00A70B01" w:rsidRDefault="00A70B01" w:rsidP="00A70B01">
            <w:pPr>
              <w:pStyle w:val="whitespace-normal"/>
            </w:pPr>
            <w:r>
              <w:rPr>
                <w:rStyle w:val="Fett"/>
              </w:rPr>
              <w:t>Fokus</w:t>
            </w:r>
          </w:p>
        </w:tc>
        <w:tc>
          <w:tcPr>
            <w:tcW w:w="1879" w:type="pct"/>
            <w:vAlign w:val="center"/>
          </w:tcPr>
          <w:p w14:paraId="48AB538E" w14:textId="2BA887DC" w:rsidR="00A70B01" w:rsidRDefault="00A70B01" w:rsidP="00A70B01">
            <w:pPr>
              <w:pStyle w:val="whitespace-normal"/>
            </w:pPr>
            <w:r>
              <w:t>Individuelle Gerechtigkeit</w:t>
            </w:r>
          </w:p>
        </w:tc>
        <w:tc>
          <w:tcPr>
            <w:tcW w:w="2340" w:type="pct"/>
            <w:vAlign w:val="center"/>
          </w:tcPr>
          <w:p w14:paraId="6FB15529" w14:textId="7B70D69D" w:rsidR="00A70B01" w:rsidRDefault="00A70B01" w:rsidP="00A70B01">
            <w:pPr>
              <w:pStyle w:val="whitespace-normal"/>
            </w:pPr>
            <w:r>
              <w:t>Kollektive Ordnung</w:t>
            </w:r>
          </w:p>
        </w:tc>
      </w:tr>
      <w:tr w:rsidR="00A70B01" w14:paraId="72624838" w14:textId="77777777" w:rsidTr="00A70B01">
        <w:tc>
          <w:tcPr>
            <w:tcW w:w="781" w:type="pct"/>
            <w:vAlign w:val="center"/>
          </w:tcPr>
          <w:p w14:paraId="4F9434DE" w14:textId="32E6411E" w:rsidR="00A70B01" w:rsidRDefault="00A70B01" w:rsidP="00A70B01">
            <w:pPr>
              <w:pStyle w:val="whitespace-normal"/>
            </w:pPr>
            <w:r>
              <w:rPr>
                <w:rStyle w:val="Fett"/>
              </w:rPr>
              <w:t>Prinzip</w:t>
            </w:r>
          </w:p>
        </w:tc>
        <w:tc>
          <w:tcPr>
            <w:tcW w:w="1879" w:type="pct"/>
            <w:vAlign w:val="center"/>
          </w:tcPr>
          <w:p w14:paraId="03BD1034" w14:textId="465CEDF2" w:rsidR="00A70B01" w:rsidRDefault="00A70B01" w:rsidP="00A70B01">
            <w:pPr>
              <w:pStyle w:val="whitespace-normal"/>
            </w:pPr>
            <w:r>
              <w:t>Töchter können erben</w:t>
            </w:r>
          </w:p>
        </w:tc>
        <w:tc>
          <w:tcPr>
            <w:tcW w:w="2340" w:type="pct"/>
            <w:vAlign w:val="center"/>
          </w:tcPr>
          <w:p w14:paraId="07235AE2" w14:textId="762132C7" w:rsidR="00A70B01" w:rsidRDefault="00A70B01" w:rsidP="00A70B01">
            <w:pPr>
              <w:pStyle w:val="whitespace-normal"/>
            </w:pPr>
            <w:r>
              <w:t>Aber nur mit Einschränkung</w:t>
            </w:r>
          </w:p>
        </w:tc>
      </w:tr>
      <w:tr w:rsidR="00A70B01" w14:paraId="43322F67" w14:textId="77777777" w:rsidTr="00A70B01">
        <w:tc>
          <w:tcPr>
            <w:tcW w:w="781" w:type="pct"/>
            <w:vAlign w:val="center"/>
          </w:tcPr>
          <w:p w14:paraId="3F798E6B" w14:textId="72A602A3" w:rsidR="00A70B01" w:rsidRDefault="00A70B01" w:rsidP="00A70B01">
            <w:pPr>
              <w:pStyle w:val="whitespace-normal"/>
            </w:pPr>
            <w:r>
              <w:rPr>
                <w:rStyle w:val="Fett"/>
              </w:rPr>
              <w:t>Wert</w:t>
            </w:r>
          </w:p>
        </w:tc>
        <w:tc>
          <w:tcPr>
            <w:tcW w:w="1879" w:type="pct"/>
            <w:vAlign w:val="center"/>
          </w:tcPr>
          <w:p w14:paraId="3559854D" w14:textId="65C01B47" w:rsidR="00A70B01" w:rsidRDefault="00A70B01" w:rsidP="00A70B01">
            <w:pPr>
              <w:pStyle w:val="whitespace-normal"/>
            </w:pPr>
            <w:r>
              <w:t>Gleichberechtigung</w:t>
            </w:r>
          </w:p>
        </w:tc>
        <w:tc>
          <w:tcPr>
            <w:tcW w:w="2340" w:type="pct"/>
            <w:vAlign w:val="center"/>
          </w:tcPr>
          <w:p w14:paraId="465B9A10" w14:textId="15E35A92" w:rsidR="00A70B01" w:rsidRDefault="00A70B01" w:rsidP="00A70B01">
            <w:pPr>
              <w:pStyle w:val="whitespace-normal"/>
            </w:pPr>
            <w:r>
              <w:t>Gemeinschaftsstabilität</w:t>
            </w:r>
          </w:p>
        </w:tc>
      </w:tr>
      <w:tr w:rsidR="00A70B01" w14:paraId="17D2ABD7" w14:textId="77777777" w:rsidTr="00A70B01">
        <w:tc>
          <w:tcPr>
            <w:tcW w:w="781" w:type="pct"/>
            <w:vAlign w:val="center"/>
          </w:tcPr>
          <w:p w14:paraId="77516937" w14:textId="4E165C78" w:rsidR="00A70B01" w:rsidRDefault="00A70B01" w:rsidP="00A70B01">
            <w:pPr>
              <w:pStyle w:val="whitespace-normal"/>
            </w:pPr>
            <w:r>
              <w:rPr>
                <w:rStyle w:val="Fett"/>
              </w:rPr>
              <w:t>Modern</w:t>
            </w:r>
          </w:p>
        </w:tc>
        <w:tc>
          <w:tcPr>
            <w:tcW w:w="1879" w:type="pct"/>
            <w:vAlign w:val="center"/>
          </w:tcPr>
          <w:p w14:paraId="093E6B47" w14:textId="4AE641BB" w:rsidR="00A70B01" w:rsidRDefault="00A70B01" w:rsidP="00A70B01">
            <w:pPr>
              <w:pStyle w:val="whitespace-normal"/>
            </w:pPr>
            <w:r>
              <w:t>Progressiv</w:t>
            </w:r>
          </w:p>
        </w:tc>
        <w:tc>
          <w:tcPr>
            <w:tcW w:w="2340" w:type="pct"/>
            <w:vAlign w:val="center"/>
          </w:tcPr>
          <w:p w14:paraId="3AA645DB" w14:textId="7E74907A" w:rsidR="00A70B01" w:rsidRDefault="00A70B01" w:rsidP="00A70B01">
            <w:pPr>
              <w:pStyle w:val="whitespace-normal"/>
            </w:pPr>
            <w:r>
              <w:t>Konservativ</w:t>
            </w:r>
          </w:p>
        </w:tc>
      </w:tr>
    </w:tbl>
    <w:p w14:paraId="433D47CE" w14:textId="77777777" w:rsidR="00A70B01" w:rsidRDefault="00A70B01" w:rsidP="00A70B01">
      <w:pPr>
        <w:pStyle w:val="whitespace-normal"/>
      </w:pPr>
      <w:r>
        <w:rPr>
          <w:rStyle w:val="Fett"/>
        </w:rPr>
        <w:t>Die Lösung ist ein Kompromiss:</w:t>
      </w:r>
    </w:p>
    <w:p w14:paraId="20F87585" w14:textId="77777777" w:rsidR="00A70B01" w:rsidRDefault="00A70B01" w:rsidP="00097545">
      <w:pPr>
        <w:pStyle w:val="whitespace-normal"/>
        <w:numPr>
          <w:ilvl w:val="0"/>
          <w:numId w:val="249"/>
        </w:numPr>
      </w:pPr>
      <w:r>
        <w:rPr>
          <w:rFonts w:ascii="Segoe UI Symbol" w:hAnsi="Segoe UI Symbol" w:cs="Segoe UI Symbol"/>
        </w:rPr>
        <w:t>✓</w:t>
      </w:r>
      <w:r>
        <w:t xml:space="preserve"> </w:t>
      </w:r>
      <w:r>
        <w:rPr>
          <w:rStyle w:val="Fett"/>
        </w:rPr>
        <w:t>Frauenrecht gewahrt</w:t>
      </w:r>
      <w:r>
        <w:t>: Töchter können erben (revolutionär!)</w:t>
      </w:r>
    </w:p>
    <w:p w14:paraId="76C124F6" w14:textId="77777777" w:rsidR="00A70B01" w:rsidRDefault="00A70B01" w:rsidP="00097545">
      <w:pPr>
        <w:pStyle w:val="whitespace-normal"/>
        <w:numPr>
          <w:ilvl w:val="0"/>
          <w:numId w:val="249"/>
        </w:numPr>
      </w:pPr>
      <w:r>
        <w:rPr>
          <w:rFonts w:ascii="Segoe UI Symbol" w:hAnsi="Segoe UI Symbol" w:cs="Segoe UI Symbol"/>
        </w:rPr>
        <w:t>✓</w:t>
      </w:r>
      <w:r>
        <w:t xml:space="preserve"> </w:t>
      </w:r>
      <w:r>
        <w:rPr>
          <w:rStyle w:val="Fett"/>
        </w:rPr>
        <w:t>Stammesintegrität bewahrt</w:t>
      </w:r>
      <w:r>
        <w:t>: Aber nur innerhalb des Stammes heiraten</w:t>
      </w:r>
    </w:p>
    <w:p w14:paraId="6AB3F3AA" w14:textId="77777777" w:rsidR="00A70B01" w:rsidRDefault="00A70B01" w:rsidP="00A70B01">
      <w:pPr>
        <w:pStyle w:val="whitespace-normal"/>
      </w:pPr>
      <w:r>
        <w:t xml:space="preserve">Dies zeigt </w:t>
      </w:r>
      <w:r>
        <w:rPr>
          <w:rStyle w:val="Fett"/>
        </w:rPr>
        <w:t>biblische Dialektik</w:t>
      </w:r>
      <w:r>
        <w:t xml:space="preserve">: Nicht einfach "konservativ" oder "progressiv", sondern </w:t>
      </w:r>
      <w:r>
        <w:rPr>
          <w:rStyle w:val="Fett"/>
        </w:rPr>
        <w:t>beide Werte in Spannung halten</w:t>
      </w:r>
      <w:r>
        <w:t>.</w:t>
      </w:r>
    </w:p>
    <w:p w14:paraId="5056A938" w14:textId="77777777" w:rsidR="00A70B01" w:rsidRPr="006C6879" w:rsidRDefault="00A70B01" w:rsidP="006C6879">
      <w:pPr>
        <w:spacing w:before="100" w:beforeAutospacing="1" w:after="100" w:afterAutospacing="1" w:line="240" w:lineRule="auto"/>
        <w:rPr>
          <w:rFonts w:eastAsia="Times New Roman" w:cs="Times New Roman"/>
          <w:lang w:eastAsia="de-DE"/>
        </w:rPr>
      </w:pPr>
    </w:p>
    <w:p w14:paraId="1CC5B56D" w14:textId="77777777" w:rsidR="006C6879" w:rsidRPr="006C6879" w:rsidRDefault="006C6879" w:rsidP="006C6879">
      <w:pPr>
        <w:spacing w:before="100" w:beforeAutospacing="1" w:after="100" w:afterAutospacing="1" w:line="240" w:lineRule="auto"/>
        <w:outlineLvl w:val="0"/>
        <w:rPr>
          <w:rFonts w:eastAsia="Times New Roman" w:cs="Times New Roman"/>
          <w:b/>
          <w:bCs/>
          <w:kern w:val="36"/>
          <w:sz w:val="48"/>
          <w:szCs w:val="48"/>
          <w:lang w:eastAsia="de-DE"/>
        </w:rPr>
      </w:pPr>
      <w:r w:rsidRPr="006C6879">
        <w:rPr>
          <w:rFonts w:eastAsia="Times New Roman" w:cs="Times New Roman"/>
          <w:b/>
          <w:bCs/>
          <w:kern w:val="36"/>
          <w:sz w:val="48"/>
          <w:szCs w:val="48"/>
          <w:lang w:eastAsia="de-DE"/>
        </w:rPr>
        <w:t>Numeri 36,10</w:t>
      </w:r>
    </w:p>
    <w:p w14:paraId="3CB5D1B4" w14:textId="77777777" w:rsidR="007E406A" w:rsidRPr="006C6879" w:rsidRDefault="006C6879" w:rsidP="007E406A">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Hebräisch:</w:t>
      </w:r>
      <w:r w:rsidR="007E406A">
        <w:rPr>
          <w:rFonts w:eastAsia="Times New Roman" w:cs="Times New Roman"/>
          <w:b/>
          <w:bCs/>
          <w:lang w:eastAsia="de-DE"/>
        </w:rPr>
        <w:t xml:space="preserve"> </w:t>
      </w:r>
      <w:r w:rsidR="007E406A" w:rsidRPr="006C6879">
        <w:rPr>
          <w:rFonts w:eastAsia="Times New Roman" w:cs="Times New Roman"/>
          <w:rtl/>
          <w:lang w:eastAsia="de-DE"/>
        </w:rPr>
        <w:t>כַּאֲשֶׁ֛ר צִוָּ֥ה יְהוָ֖ה אֶת־מֹשֶׁ֑ה כֵּ֥ן עָשׂ֖וּ בְּנ֥וֹת צְלָפְחָֽד׃</w:t>
      </w:r>
    </w:p>
    <w:p w14:paraId="668DA321" w14:textId="1A1B1600" w:rsidR="006C6879" w:rsidRPr="006C6879" w:rsidRDefault="006C6879" w:rsidP="007E406A">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Deutsch:</w:t>
      </w:r>
      <w:r w:rsidR="007E406A">
        <w:rPr>
          <w:rFonts w:eastAsia="Times New Roman" w:cs="Times New Roman"/>
          <w:lang w:eastAsia="de-DE"/>
        </w:rPr>
        <w:t xml:space="preserve"> </w:t>
      </w:r>
      <w:r w:rsidRPr="006C6879">
        <w:rPr>
          <w:rFonts w:eastAsia="Times New Roman" w:cs="Times New Roman"/>
          <w:lang w:eastAsia="de-DE"/>
        </w:rPr>
        <w:t>Wie der Ewige Mosche geboten hatte, so taten die Töchter Zelophchads.</w:t>
      </w:r>
    </w:p>
    <w:p w14:paraId="62B8260B" w14:textId="77777777" w:rsidR="006C6879" w:rsidRPr="006C6879" w:rsidRDefault="00F329DD" w:rsidP="006C6879">
      <w:pPr>
        <w:spacing w:after="0" w:line="240" w:lineRule="auto"/>
        <w:rPr>
          <w:rFonts w:eastAsia="Times New Roman" w:cs="Times New Roman"/>
          <w:lang w:eastAsia="de-DE"/>
        </w:rPr>
      </w:pPr>
      <w:r>
        <w:rPr>
          <w:rFonts w:eastAsia="Times New Roman" w:cs="Times New Roman"/>
          <w:noProof/>
          <w:lang w:eastAsia="de-DE"/>
        </w:rPr>
        <w:pict w14:anchorId="413E092E">
          <v:rect id="_x0000_i2102" style="width:0;height:1.5pt" o:hralign="center" o:hrstd="t" o:hr="t" fillcolor="#a0a0a0" stroked="f"/>
        </w:pict>
      </w:r>
    </w:p>
    <w:p w14:paraId="67D7B1F0" w14:textId="03755546" w:rsidR="006C6879" w:rsidRPr="006C6879" w:rsidRDefault="006C6879" w:rsidP="007E406A">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Kommentar:</w:t>
      </w:r>
      <w:r w:rsidR="007E406A">
        <w:rPr>
          <w:rFonts w:eastAsia="Times New Roman" w:cs="Times New Roman"/>
          <w:lang w:eastAsia="de-DE"/>
        </w:rPr>
        <w:t xml:space="preserve"> </w:t>
      </w:r>
      <w:r w:rsidRPr="006C6879">
        <w:rPr>
          <w:rFonts w:eastAsia="Times New Roman" w:cs="Times New Roman"/>
          <w:lang w:eastAsia="de-DE"/>
        </w:rPr>
        <w:t xml:space="preserve">Der Vers ist eine klassische Formel der Gehorsamsbekundung, die häufig in der </w:t>
      </w:r>
      <w:r w:rsidR="00525AC4">
        <w:rPr>
          <w:rFonts w:eastAsia="Times New Roman" w:cs="Times New Roman"/>
          <w:lang w:eastAsia="de-DE"/>
        </w:rPr>
        <w:t>Torah</w:t>
      </w:r>
      <w:r w:rsidRPr="006C6879">
        <w:rPr>
          <w:rFonts w:eastAsia="Times New Roman" w:cs="Times New Roman"/>
          <w:lang w:eastAsia="de-DE"/>
        </w:rPr>
        <w:t xml:space="preserve"> erscheint, um die vollständige Befolgung göttlicher Anweisungen zu bestätigen. Er beginnt mit der Vergleichspartikel </w:t>
      </w:r>
      <w:r w:rsidRPr="006C6879">
        <w:rPr>
          <w:rFonts w:eastAsia="Times New Roman" w:cs="Times New Roman"/>
          <w:b/>
          <w:bCs/>
          <w:rtl/>
          <w:lang w:eastAsia="de-DE"/>
        </w:rPr>
        <w:t>כַּאֲשֶׁר</w:t>
      </w:r>
      <w:r w:rsidRPr="006C6879">
        <w:rPr>
          <w:rFonts w:eastAsia="Times New Roman" w:cs="Times New Roman"/>
          <w:rtl/>
          <w:lang w:eastAsia="de-DE"/>
        </w:rPr>
        <w:t xml:space="preserve"> </w:t>
      </w:r>
      <w:r w:rsidRPr="006C6879">
        <w:rPr>
          <w:rFonts w:eastAsia="Times New Roman" w:cs="Times New Roman"/>
          <w:lang w:eastAsia="de-DE"/>
        </w:rPr>
        <w:t xml:space="preserve">(wie, so wie), die aus </w:t>
      </w:r>
      <w:r w:rsidRPr="006C6879">
        <w:rPr>
          <w:rFonts w:eastAsia="Times New Roman" w:cs="Times New Roman"/>
          <w:b/>
          <w:bCs/>
          <w:rtl/>
          <w:lang w:eastAsia="de-DE"/>
        </w:rPr>
        <w:t>כְּ</w:t>
      </w:r>
      <w:r w:rsidRPr="006C6879">
        <w:rPr>
          <w:rFonts w:eastAsia="Times New Roman" w:cs="Times New Roman"/>
          <w:rtl/>
          <w:lang w:eastAsia="de-DE"/>
        </w:rPr>
        <w:t xml:space="preserve"> </w:t>
      </w:r>
      <w:r w:rsidRPr="006C6879">
        <w:rPr>
          <w:rFonts w:eastAsia="Times New Roman" w:cs="Times New Roman"/>
          <w:lang w:eastAsia="de-DE"/>
        </w:rPr>
        <w:t xml:space="preserve">(wie) und dem Relativpronomen </w:t>
      </w:r>
      <w:r w:rsidRPr="006C6879">
        <w:rPr>
          <w:rFonts w:eastAsia="Times New Roman" w:cs="Times New Roman"/>
          <w:b/>
          <w:bCs/>
          <w:rtl/>
          <w:lang w:eastAsia="de-DE"/>
        </w:rPr>
        <w:t>אֲשֶׁר</w:t>
      </w:r>
      <w:r w:rsidRPr="006C6879">
        <w:rPr>
          <w:rFonts w:eastAsia="Times New Roman" w:cs="Times New Roman"/>
          <w:rtl/>
          <w:lang w:eastAsia="de-DE"/>
        </w:rPr>
        <w:t xml:space="preserve"> </w:t>
      </w:r>
      <w:r w:rsidRPr="006C6879">
        <w:rPr>
          <w:rFonts w:eastAsia="Times New Roman" w:cs="Times New Roman"/>
          <w:lang w:eastAsia="de-DE"/>
        </w:rPr>
        <w:t>(welcher/was) zusammengesetzt ist und einen Vergleichssatz einleitet.</w:t>
      </w:r>
    </w:p>
    <w:p w14:paraId="58D2290A"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Das Verb ist </w:t>
      </w:r>
      <w:r w:rsidRPr="006C6879">
        <w:rPr>
          <w:rFonts w:eastAsia="Times New Roman" w:cs="Times New Roman"/>
          <w:b/>
          <w:bCs/>
          <w:rtl/>
          <w:lang w:eastAsia="de-DE"/>
        </w:rPr>
        <w:t>צִוָּה</w:t>
      </w:r>
      <w:r w:rsidRPr="006C6879">
        <w:rPr>
          <w:rFonts w:eastAsia="Times New Roman" w:cs="Times New Roman"/>
          <w:rtl/>
          <w:lang w:eastAsia="de-DE"/>
        </w:rPr>
        <w:t xml:space="preserve"> </w:t>
      </w:r>
      <w:r w:rsidRPr="006C6879">
        <w:rPr>
          <w:rFonts w:eastAsia="Times New Roman" w:cs="Times New Roman"/>
          <w:lang w:eastAsia="de-DE"/>
        </w:rPr>
        <w:t xml:space="preserve">(3. Person Singular maskulin Perfekt Piel von </w:t>
      </w:r>
      <w:r w:rsidRPr="006C6879">
        <w:rPr>
          <w:rFonts w:eastAsia="Times New Roman" w:cs="Times New Roman"/>
          <w:rtl/>
          <w:lang w:eastAsia="de-DE"/>
        </w:rPr>
        <w:t>צוה</w:t>
      </w:r>
      <w:r w:rsidRPr="006C6879">
        <w:rPr>
          <w:rFonts w:eastAsia="Times New Roman" w:cs="Times New Roman"/>
          <w:lang w:eastAsia="de-DE"/>
        </w:rPr>
        <w:t xml:space="preserve">, befohlen hat/gebieten). Das Piel unterstreicht die intensive, autoritative Natur des Gebots. Das Subjekt ist </w:t>
      </w:r>
      <w:r w:rsidRPr="006C6879">
        <w:rPr>
          <w:rFonts w:eastAsia="Times New Roman" w:cs="Times New Roman"/>
          <w:b/>
          <w:bCs/>
          <w:rtl/>
          <w:lang w:eastAsia="de-DE"/>
        </w:rPr>
        <w:t>יְהוָ֖ה</w:t>
      </w:r>
      <w:r w:rsidRPr="006C6879">
        <w:rPr>
          <w:rFonts w:eastAsia="Times New Roman" w:cs="Times New Roman"/>
          <w:rtl/>
          <w:lang w:eastAsia="de-DE"/>
        </w:rPr>
        <w:t xml:space="preserve"> </w:t>
      </w:r>
      <w:r w:rsidRPr="006C6879">
        <w:rPr>
          <w:rFonts w:eastAsia="Times New Roman" w:cs="Times New Roman"/>
          <w:lang w:eastAsia="de-DE"/>
        </w:rPr>
        <w:t xml:space="preserve">(der Ewige), was die göttliche Autorität betont. Das direkte Objekt wird durch die Akkusativpartikel </w:t>
      </w:r>
      <w:r w:rsidRPr="006C6879">
        <w:rPr>
          <w:rFonts w:eastAsia="Times New Roman" w:cs="Times New Roman"/>
          <w:b/>
          <w:bCs/>
          <w:rtl/>
          <w:lang w:eastAsia="de-DE"/>
        </w:rPr>
        <w:t>אֶת</w:t>
      </w:r>
      <w:r w:rsidRPr="006C6879">
        <w:rPr>
          <w:rFonts w:eastAsia="Times New Roman" w:cs="Times New Roman"/>
          <w:rtl/>
          <w:lang w:eastAsia="de-DE"/>
        </w:rPr>
        <w:t xml:space="preserve"> </w:t>
      </w:r>
      <w:r w:rsidRPr="006C6879">
        <w:rPr>
          <w:rFonts w:eastAsia="Times New Roman" w:cs="Times New Roman"/>
          <w:lang w:eastAsia="de-DE"/>
        </w:rPr>
        <w:t xml:space="preserve">eingeleitet: </w:t>
      </w:r>
      <w:r w:rsidRPr="006C6879">
        <w:rPr>
          <w:rFonts w:eastAsia="Times New Roman" w:cs="Times New Roman"/>
          <w:b/>
          <w:bCs/>
          <w:rtl/>
          <w:lang w:eastAsia="de-DE"/>
        </w:rPr>
        <w:t>אֶת־מֹשֶׁה</w:t>
      </w:r>
      <w:r w:rsidRPr="006C6879">
        <w:rPr>
          <w:rFonts w:eastAsia="Times New Roman" w:cs="Times New Roman"/>
          <w:rtl/>
          <w:lang w:eastAsia="de-DE"/>
        </w:rPr>
        <w:t xml:space="preserve"> </w:t>
      </w:r>
      <w:r w:rsidRPr="006C6879">
        <w:rPr>
          <w:rFonts w:eastAsia="Times New Roman" w:cs="Times New Roman"/>
          <w:lang w:eastAsia="de-DE"/>
        </w:rPr>
        <w:t>(Mose), der als Empfänger und Vermittler des göttlichen Gebots erscheint.</w:t>
      </w:r>
    </w:p>
    <w:p w14:paraId="117D5135" w14:textId="2AFE79CD"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Der Hauptsatz beginnt mit </w:t>
      </w:r>
      <w:r w:rsidRPr="006C6879">
        <w:rPr>
          <w:rFonts w:eastAsia="Times New Roman" w:cs="Times New Roman"/>
          <w:b/>
          <w:bCs/>
          <w:rtl/>
          <w:lang w:eastAsia="de-DE"/>
        </w:rPr>
        <w:t>כֵּן</w:t>
      </w:r>
      <w:r w:rsidRPr="006C6879">
        <w:rPr>
          <w:rFonts w:eastAsia="Times New Roman" w:cs="Times New Roman"/>
          <w:rtl/>
          <w:lang w:eastAsia="de-DE"/>
        </w:rPr>
        <w:t xml:space="preserve"> </w:t>
      </w:r>
      <w:r w:rsidRPr="006C6879">
        <w:rPr>
          <w:rFonts w:eastAsia="Times New Roman" w:cs="Times New Roman"/>
          <w:lang w:eastAsia="de-DE"/>
        </w:rPr>
        <w:t xml:space="preserve">(so, auf diese Weise), einem deiktischen Adverb, das auf die Art und Weise der Handlung hinweist und die Entsprechung zum vorherigen Vergleichssatz herstellt. </w:t>
      </w:r>
      <w:r w:rsidRPr="006C6879">
        <w:rPr>
          <w:rFonts w:eastAsia="Times New Roman" w:cs="Times New Roman"/>
          <w:b/>
          <w:bCs/>
          <w:rtl/>
          <w:lang w:eastAsia="de-DE"/>
        </w:rPr>
        <w:t>כַּאֲשֶׁר</w:t>
      </w:r>
      <w:r w:rsidRPr="006C6879">
        <w:rPr>
          <w:rFonts w:eastAsia="Times New Roman" w:cs="Times New Roman"/>
          <w:rtl/>
          <w:lang w:eastAsia="de-DE"/>
        </w:rPr>
        <w:t xml:space="preserve"> </w:t>
      </w:r>
      <w:r w:rsidRPr="006C6879">
        <w:rPr>
          <w:rFonts w:eastAsia="Times New Roman" w:cs="Times New Roman"/>
          <w:lang w:eastAsia="de-DE"/>
        </w:rPr>
        <w:t xml:space="preserve">... </w:t>
      </w:r>
      <w:r w:rsidRPr="006C6879">
        <w:rPr>
          <w:rFonts w:eastAsia="Times New Roman" w:cs="Times New Roman"/>
          <w:b/>
          <w:bCs/>
          <w:rtl/>
          <w:lang w:eastAsia="de-DE"/>
        </w:rPr>
        <w:t>כֵּן</w:t>
      </w:r>
      <w:r w:rsidRPr="006C6879">
        <w:rPr>
          <w:rFonts w:eastAsia="Times New Roman" w:cs="Times New Roman"/>
          <w:rtl/>
          <w:lang w:eastAsia="de-DE"/>
        </w:rPr>
        <w:t xml:space="preserve"> </w:t>
      </w:r>
      <w:r w:rsidRPr="006C6879">
        <w:rPr>
          <w:rFonts w:eastAsia="Times New Roman" w:cs="Times New Roman"/>
          <w:lang w:eastAsia="de-DE"/>
        </w:rPr>
        <w:t xml:space="preserve">bilden ein korrelatives Paar: "Wie ... so" – eine häufige hebräische </w:t>
      </w:r>
      <w:r w:rsidR="00F133EC">
        <w:rPr>
          <w:rFonts w:eastAsia="Times New Roman" w:cs="Times New Roman"/>
          <w:lang w:eastAsia="de-DE"/>
        </w:rPr>
        <w:t>Construct</w:t>
      </w:r>
      <w:r w:rsidRPr="006C6879">
        <w:rPr>
          <w:rFonts w:eastAsia="Times New Roman" w:cs="Times New Roman"/>
          <w:lang w:eastAsia="de-DE"/>
        </w:rPr>
        <w:t>ion für Vergleiche.</w:t>
      </w:r>
    </w:p>
    <w:p w14:paraId="0FA1194D"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Das Verb ist </w:t>
      </w:r>
      <w:r w:rsidRPr="006C6879">
        <w:rPr>
          <w:rFonts w:eastAsia="Times New Roman" w:cs="Times New Roman"/>
          <w:b/>
          <w:bCs/>
          <w:rtl/>
          <w:lang w:eastAsia="de-DE"/>
        </w:rPr>
        <w:t>עָשׂוּ</w:t>
      </w:r>
      <w:r w:rsidRPr="006C6879">
        <w:rPr>
          <w:rFonts w:eastAsia="Times New Roman" w:cs="Times New Roman"/>
          <w:rtl/>
          <w:lang w:eastAsia="de-DE"/>
        </w:rPr>
        <w:t xml:space="preserve"> </w:t>
      </w:r>
      <w:r w:rsidRPr="006C6879">
        <w:rPr>
          <w:rFonts w:eastAsia="Times New Roman" w:cs="Times New Roman"/>
          <w:lang w:eastAsia="de-DE"/>
        </w:rPr>
        <w:t xml:space="preserve">(3. Person Plural Perfekt Qal von </w:t>
      </w:r>
      <w:r w:rsidRPr="006C6879">
        <w:rPr>
          <w:rFonts w:eastAsia="Times New Roman" w:cs="Times New Roman"/>
          <w:rtl/>
          <w:lang w:eastAsia="de-DE"/>
        </w:rPr>
        <w:t>עשׂה</w:t>
      </w:r>
      <w:r w:rsidRPr="006C6879">
        <w:rPr>
          <w:rFonts w:eastAsia="Times New Roman" w:cs="Times New Roman"/>
          <w:lang w:eastAsia="de-DE"/>
        </w:rPr>
        <w:t xml:space="preserve">, taten/machten), das die vollzogene Handlung ausdrückt. Das Subjekt ist </w:t>
      </w:r>
      <w:r w:rsidRPr="006C6879">
        <w:rPr>
          <w:rFonts w:eastAsia="Times New Roman" w:cs="Times New Roman"/>
          <w:b/>
          <w:bCs/>
          <w:rtl/>
          <w:lang w:eastAsia="de-DE"/>
        </w:rPr>
        <w:t>בְּנוֹת צְלָפְחָד</w:t>
      </w:r>
      <w:r w:rsidRPr="006C6879">
        <w:rPr>
          <w:rFonts w:eastAsia="Times New Roman" w:cs="Times New Roman"/>
          <w:rtl/>
          <w:lang w:eastAsia="de-DE"/>
        </w:rPr>
        <w:t xml:space="preserve"> </w:t>
      </w:r>
      <w:r w:rsidRPr="006C6879">
        <w:rPr>
          <w:rFonts w:eastAsia="Times New Roman" w:cs="Times New Roman"/>
          <w:lang w:eastAsia="de-DE"/>
        </w:rPr>
        <w:t xml:space="preserve">(die Töchter Zelophchads), eine Genitivverbindung: </w:t>
      </w:r>
      <w:r w:rsidRPr="006C6879">
        <w:rPr>
          <w:rFonts w:eastAsia="Times New Roman" w:cs="Times New Roman"/>
          <w:b/>
          <w:bCs/>
          <w:rtl/>
          <w:lang w:eastAsia="de-DE"/>
        </w:rPr>
        <w:t>בְּנוֹת</w:t>
      </w:r>
      <w:r w:rsidRPr="006C6879">
        <w:rPr>
          <w:rFonts w:eastAsia="Times New Roman" w:cs="Times New Roman"/>
          <w:rtl/>
          <w:lang w:eastAsia="de-DE"/>
        </w:rPr>
        <w:t xml:space="preserve"> </w:t>
      </w:r>
      <w:r w:rsidRPr="006C6879">
        <w:rPr>
          <w:rFonts w:eastAsia="Times New Roman" w:cs="Times New Roman"/>
          <w:lang w:eastAsia="de-DE"/>
        </w:rPr>
        <w:t xml:space="preserve">(Töchter, feminin Plural constructus) mit </w:t>
      </w:r>
      <w:r w:rsidRPr="006C6879">
        <w:rPr>
          <w:rFonts w:eastAsia="Times New Roman" w:cs="Times New Roman"/>
          <w:b/>
          <w:bCs/>
          <w:rtl/>
          <w:lang w:eastAsia="de-DE"/>
        </w:rPr>
        <w:t>צְלָפְחָד</w:t>
      </w:r>
      <w:r w:rsidRPr="006C6879">
        <w:rPr>
          <w:rFonts w:eastAsia="Times New Roman" w:cs="Times New Roman"/>
          <w:rtl/>
          <w:lang w:eastAsia="de-DE"/>
        </w:rPr>
        <w:t xml:space="preserve"> </w:t>
      </w:r>
      <w:r w:rsidRPr="006C6879">
        <w:rPr>
          <w:rFonts w:eastAsia="Times New Roman" w:cs="Times New Roman"/>
          <w:lang w:eastAsia="de-DE"/>
        </w:rPr>
        <w:t>(Zelophchad, Eigenname). Die Kürze und Direktheit der Aussage unterstreichen die prompte und vollständige Befolgung.</w:t>
      </w:r>
    </w:p>
    <w:p w14:paraId="3254578B" w14:textId="57B57103"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Die LXX</w:t>
      </w:r>
      <w:r w:rsidRPr="006C6879">
        <w:rPr>
          <w:rFonts w:eastAsia="Times New Roman" w:cs="Times New Roman"/>
          <w:lang w:eastAsia="de-DE"/>
        </w:rPr>
        <w:t xml:space="preserve"> übersetzt </w:t>
      </w:r>
      <w:r w:rsidRPr="006C6879">
        <w:rPr>
          <w:rFonts w:eastAsia="Times New Roman" w:cs="Times New Roman"/>
          <w:b/>
          <w:bCs/>
          <w:rtl/>
          <w:lang w:eastAsia="de-DE"/>
        </w:rPr>
        <w:t>כַּאֲשֶׁר צִוָּה יְהוָה אֶת־מֹשֶׁה</w:t>
      </w:r>
      <w:r w:rsidRPr="006C6879">
        <w:rPr>
          <w:rFonts w:eastAsia="Times New Roman" w:cs="Times New Roman"/>
          <w:rtl/>
          <w:lang w:eastAsia="de-DE"/>
        </w:rPr>
        <w:t xml:space="preserve"> </w:t>
      </w:r>
      <w:r w:rsidRPr="006C6879">
        <w:rPr>
          <w:rFonts w:eastAsia="Times New Roman" w:cs="Times New Roman"/>
          <w:lang w:eastAsia="de-DE"/>
        </w:rPr>
        <w:t xml:space="preserve">mit ὃν τρόπον συνέταξεν κύριος τῷ Μωυσῇ (auf welche Weise der Herr dem Mose befohlen hat), wobei ὃν τρόπον eine griechische Idiomatik </w:t>
      </w:r>
      <w:r w:rsidRPr="006C6879">
        <w:rPr>
          <w:rFonts w:eastAsia="Times New Roman" w:cs="Times New Roman"/>
          <w:lang w:eastAsia="de-DE"/>
        </w:rPr>
        <w:lastRenderedPageBreak/>
        <w:t xml:space="preserve">für "auf welche Weise/wie" ist. Das Verb συντάσσω entspricht dem hebräischen </w:t>
      </w:r>
      <w:r w:rsidRPr="006C6879">
        <w:rPr>
          <w:rFonts w:eastAsia="Times New Roman" w:cs="Times New Roman"/>
          <w:b/>
          <w:bCs/>
          <w:rtl/>
          <w:lang w:eastAsia="de-DE"/>
        </w:rPr>
        <w:t>צוה</w:t>
      </w:r>
      <w:r w:rsidRPr="006C6879">
        <w:rPr>
          <w:rFonts w:eastAsia="Times New Roman" w:cs="Times New Roman"/>
          <w:rtl/>
          <w:lang w:eastAsia="de-DE"/>
        </w:rPr>
        <w:t xml:space="preserve"> </w:t>
      </w:r>
      <w:r w:rsidRPr="006C6879">
        <w:rPr>
          <w:rFonts w:eastAsia="Times New Roman" w:cs="Times New Roman"/>
          <w:lang w:eastAsia="de-DE"/>
        </w:rPr>
        <w:t xml:space="preserve">im Piel und trägt die Bedeutung von autoritativem Befehlen. Die korrelative </w:t>
      </w:r>
      <w:r w:rsidR="00F133EC">
        <w:rPr>
          <w:rFonts w:eastAsia="Times New Roman" w:cs="Times New Roman"/>
          <w:lang w:eastAsia="de-DE"/>
        </w:rPr>
        <w:t>Construct</w:t>
      </w:r>
      <w:r w:rsidRPr="006C6879">
        <w:rPr>
          <w:rFonts w:eastAsia="Times New Roman" w:cs="Times New Roman"/>
          <w:lang w:eastAsia="de-DE"/>
        </w:rPr>
        <w:t xml:space="preserve">ion </w:t>
      </w:r>
      <w:r w:rsidRPr="006C6879">
        <w:rPr>
          <w:rFonts w:eastAsia="Times New Roman" w:cs="Times New Roman"/>
          <w:b/>
          <w:bCs/>
          <w:rtl/>
          <w:lang w:eastAsia="de-DE"/>
        </w:rPr>
        <w:t>כַּאֲשֶׁר</w:t>
      </w:r>
      <w:r w:rsidRPr="006C6879">
        <w:rPr>
          <w:rFonts w:eastAsia="Times New Roman" w:cs="Times New Roman"/>
          <w:rtl/>
          <w:lang w:eastAsia="de-DE"/>
        </w:rPr>
        <w:t xml:space="preserve"> </w:t>
      </w:r>
      <w:r w:rsidRPr="006C6879">
        <w:rPr>
          <w:rFonts w:eastAsia="Times New Roman" w:cs="Times New Roman"/>
          <w:lang w:eastAsia="de-DE"/>
        </w:rPr>
        <w:t xml:space="preserve">... </w:t>
      </w:r>
      <w:r w:rsidRPr="006C6879">
        <w:rPr>
          <w:rFonts w:eastAsia="Times New Roman" w:cs="Times New Roman"/>
          <w:b/>
          <w:bCs/>
          <w:rtl/>
          <w:lang w:eastAsia="de-DE"/>
        </w:rPr>
        <w:t>כֵּן</w:t>
      </w:r>
      <w:r w:rsidRPr="006C6879">
        <w:rPr>
          <w:rFonts w:eastAsia="Times New Roman" w:cs="Times New Roman"/>
          <w:rtl/>
          <w:lang w:eastAsia="de-DE"/>
        </w:rPr>
        <w:t xml:space="preserve"> </w:t>
      </w:r>
      <w:r w:rsidRPr="006C6879">
        <w:rPr>
          <w:rFonts w:eastAsia="Times New Roman" w:cs="Times New Roman"/>
          <w:lang w:eastAsia="de-DE"/>
        </w:rPr>
        <w:t xml:space="preserve">wird mit ὃν τρόπον ... οὕτως wiedergegeben (auf welche Weise ... so), was die hebräische Struktur beibehält. Für </w:t>
      </w:r>
      <w:r w:rsidRPr="006C6879">
        <w:rPr>
          <w:rFonts w:eastAsia="Times New Roman" w:cs="Times New Roman"/>
          <w:b/>
          <w:bCs/>
          <w:rtl/>
          <w:lang w:eastAsia="de-DE"/>
        </w:rPr>
        <w:t>עָשׂוּ בְּנוֹת צְלָפְחָד</w:t>
      </w:r>
      <w:r w:rsidRPr="006C6879">
        <w:rPr>
          <w:rFonts w:eastAsia="Times New Roman" w:cs="Times New Roman"/>
          <w:rtl/>
          <w:lang w:eastAsia="de-DE"/>
        </w:rPr>
        <w:t xml:space="preserve"> </w:t>
      </w:r>
      <w:r w:rsidRPr="006C6879">
        <w:rPr>
          <w:rFonts w:eastAsia="Times New Roman" w:cs="Times New Roman"/>
          <w:lang w:eastAsia="de-DE"/>
        </w:rPr>
        <w:t>verwendet die LXX ἐποίησαν αἱ θυγατέρες Σαλπααδ (taten die Töchter Salphaads), eine direkte Entsprechung.</w:t>
      </w:r>
    </w:p>
    <w:p w14:paraId="68AF4EA7"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Die Satzstruktur besteht aus einem Vergleichsnebensatz (</w:t>
      </w:r>
      <w:r w:rsidRPr="006C6879">
        <w:rPr>
          <w:rFonts w:eastAsia="Times New Roman" w:cs="Times New Roman"/>
          <w:b/>
          <w:bCs/>
          <w:rtl/>
          <w:lang w:eastAsia="de-DE"/>
        </w:rPr>
        <w:t>כַּאֲשֶׁר צִוָּה יְהוָה אֶת־מֹשֶׁה</w:t>
      </w:r>
      <w:r w:rsidRPr="006C6879">
        <w:rPr>
          <w:rFonts w:eastAsia="Times New Roman" w:cs="Times New Roman"/>
          <w:lang w:eastAsia="de-DE"/>
        </w:rPr>
        <w:t xml:space="preserve">), der durch </w:t>
      </w:r>
      <w:r w:rsidRPr="006C6879">
        <w:rPr>
          <w:rFonts w:eastAsia="Times New Roman" w:cs="Times New Roman"/>
          <w:b/>
          <w:bCs/>
          <w:rtl/>
          <w:lang w:eastAsia="de-DE"/>
        </w:rPr>
        <w:t>כַּאֲשֶׁר</w:t>
      </w:r>
      <w:r w:rsidRPr="006C6879">
        <w:rPr>
          <w:rFonts w:eastAsia="Times New Roman" w:cs="Times New Roman"/>
          <w:rtl/>
          <w:lang w:eastAsia="de-DE"/>
        </w:rPr>
        <w:t xml:space="preserve"> </w:t>
      </w:r>
      <w:r w:rsidRPr="006C6879">
        <w:rPr>
          <w:rFonts w:eastAsia="Times New Roman" w:cs="Times New Roman"/>
          <w:lang w:eastAsia="de-DE"/>
        </w:rPr>
        <w:t>eingeleitet wird, gefolgt vom Hauptsatz (</w:t>
      </w:r>
      <w:r w:rsidRPr="006C6879">
        <w:rPr>
          <w:rFonts w:eastAsia="Times New Roman" w:cs="Times New Roman"/>
          <w:b/>
          <w:bCs/>
          <w:rtl/>
          <w:lang w:eastAsia="de-DE"/>
        </w:rPr>
        <w:t>כֵּן עָשׂוּ בְּנוֹת צְלָפְחָד</w:t>
      </w:r>
      <w:r w:rsidRPr="006C6879">
        <w:rPr>
          <w:rFonts w:eastAsia="Times New Roman" w:cs="Times New Roman"/>
          <w:lang w:eastAsia="de-DE"/>
        </w:rPr>
        <w:t xml:space="preserve">), der durch das korrelative </w:t>
      </w:r>
      <w:r w:rsidRPr="006C6879">
        <w:rPr>
          <w:rFonts w:eastAsia="Times New Roman" w:cs="Times New Roman"/>
          <w:b/>
          <w:bCs/>
          <w:rtl/>
          <w:lang w:eastAsia="de-DE"/>
        </w:rPr>
        <w:t>כֵּן</w:t>
      </w:r>
      <w:r w:rsidRPr="006C6879">
        <w:rPr>
          <w:rFonts w:eastAsia="Times New Roman" w:cs="Times New Roman"/>
          <w:rtl/>
          <w:lang w:eastAsia="de-DE"/>
        </w:rPr>
        <w:t xml:space="preserve"> </w:t>
      </w:r>
      <w:r w:rsidRPr="006C6879">
        <w:rPr>
          <w:rFonts w:eastAsia="Times New Roman" w:cs="Times New Roman"/>
          <w:lang w:eastAsia="de-DE"/>
        </w:rPr>
        <w:t>markiert wird. Der Nebensatz dient als Vergleichsmaßstab für die im Hauptsatz beschriebene Handlung. Die Struktur: Wie X (Nebensatz) + so Y (Hauptsatz).</w:t>
      </w:r>
    </w:p>
    <w:p w14:paraId="286950BC"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Der Vers fungiert als zusammenfassende Aussage, die den erfolgreichen Abschluss der in den vorherigen Versen dargelegten rechtlichen Regelung bestätigt. Die Töchter Zelophchads erscheinen als vorbildliche Befolgerinnen des göttlichen Willens, was ihre Position als rechtschaffene Erbtöchter bekräftigt. Die Formel schließt einen narrativen Bogen, der in Kapitel 27 mit ihrer mutigen Petition begann und hier mit ihrer gehorsamen Befolgung endet.</w:t>
      </w:r>
    </w:p>
    <w:p w14:paraId="6B4AFDA2" w14:textId="77777777" w:rsidR="006C6879" w:rsidRPr="006C6879" w:rsidRDefault="006C6879" w:rsidP="006C6879">
      <w:pPr>
        <w:spacing w:before="100" w:beforeAutospacing="1" w:after="100" w:afterAutospacing="1" w:line="240" w:lineRule="auto"/>
        <w:outlineLvl w:val="0"/>
        <w:rPr>
          <w:rFonts w:eastAsia="Times New Roman" w:cs="Times New Roman"/>
          <w:b/>
          <w:bCs/>
          <w:kern w:val="36"/>
          <w:sz w:val="48"/>
          <w:szCs w:val="48"/>
          <w:lang w:eastAsia="de-DE"/>
        </w:rPr>
      </w:pPr>
      <w:r w:rsidRPr="006C6879">
        <w:rPr>
          <w:rFonts w:eastAsia="Times New Roman" w:cs="Times New Roman"/>
          <w:b/>
          <w:bCs/>
          <w:kern w:val="36"/>
          <w:sz w:val="48"/>
          <w:szCs w:val="48"/>
          <w:lang w:eastAsia="de-DE"/>
        </w:rPr>
        <w:t>Numeri 36,11</w:t>
      </w:r>
    </w:p>
    <w:p w14:paraId="36F118AD" w14:textId="16B2364E" w:rsidR="006C6879" w:rsidRPr="006C6879" w:rsidRDefault="006C6879" w:rsidP="007E406A">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Hebräisch:</w:t>
      </w:r>
      <w:r w:rsidR="007E406A" w:rsidRPr="007E406A">
        <w:rPr>
          <w:rFonts w:eastAsia="Times New Roman" w:cs="Times New Roman"/>
          <w:rtl/>
          <w:lang w:eastAsia="de-DE"/>
        </w:rPr>
        <w:t xml:space="preserve"> </w:t>
      </w:r>
      <w:r w:rsidR="007E406A" w:rsidRPr="006C6879">
        <w:rPr>
          <w:rFonts w:eastAsia="Times New Roman" w:cs="Times New Roman"/>
          <w:rtl/>
          <w:lang w:eastAsia="de-DE"/>
        </w:rPr>
        <w:t>וַתִּהְיֶ֜ינָה מַחְלָ֣ה תִרְצָ֗ה וְחָגְלָ֧ה וּמִלְכָּ֛ה וְנֹעָ֖ה בְּנ֣וֹת צְלָפְחָ֑ד לִבְנֵ֥י דֹדֵיהֶ֖ן לְנָשִֽׁים׃</w:t>
      </w:r>
    </w:p>
    <w:p w14:paraId="033CC681" w14:textId="64A5FD02" w:rsidR="006C6879" w:rsidRPr="006C6879" w:rsidRDefault="006C6879" w:rsidP="007E406A">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Deutsch:</w:t>
      </w:r>
      <w:r w:rsidR="007E406A">
        <w:rPr>
          <w:rFonts w:eastAsia="Times New Roman" w:cs="Times New Roman"/>
          <w:lang w:eastAsia="de-DE"/>
        </w:rPr>
        <w:t xml:space="preserve"> </w:t>
      </w:r>
      <w:r w:rsidRPr="006C6879">
        <w:rPr>
          <w:rFonts w:eastAsia="Times New Roman" w:cs="Times New Roman"/>
          <w:lang w:eastAsia="de-DE"/>
        </w:rPr>
        <w:t>Und Machla, Tirza und Chogla und Milka und Noa, die Töchter Zelophchads, wurden den Söhnen ihrer Onkel zu Frauen.</w:t>
      </w:r>
    </w:p>
    <w:p w14:paraId="4D980134" w14:textId="77777777" w:rsidR="006C6879" w:rsidRPr="006C6879" w:rsidRDefault="00F329DD" w:rsidP="006C6879">
      <w:pPr>
        <w:spacing w:after="0" w:line="240" w:lineRule="auto"/>
        <w:rPr>
          <w:rFonts w:eastAsia="Times New Roman" w:cs="Times New Roman"/>
          <w:lang w:eastAsia="de-DE"/>
        </w:rPr>
      </w:pPr>
      <w:r>
        <w:rPr>
          <w:rFonts w:eastAsia="Times New Roman" w:cs="Times New Roman"/>
          <w:noProof/>
          <w:lang w:eastAsia="de-DE"/>
        </w:rPr>
        <w:pict w14:anchorId="03F2FCF6">
          <v:rect id="_x0000_i2103" style="width:0;height:1.5pt" o:hralign="center" o:hrstd="t" o:hr="t" fillcolor="#a0a0a0" stroked="f"/>
        </w:pict>
      </w:r>
    </w:p>
    <w:p w14:paraId="66CE4354" w14:textId="3734183C" w:rsidR="006C6879" w:rsidRPr="006C6879" w:rsidRDefault="006C6879" w:rsidP="007E406A">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Kommentar:</w:t>
      </w:r>
      <w:r w:rsidR="007E406A">
        <w:rPr>
          <w:rFonts w:eastAsia="Times New Roman" w:cs="Times New Roman"/>
          <w:lang w:eastAsia="de-DE"/>
        </w:rPr>
        <w:t xml:space="preserve"> </w:t>
      </w:r>
      <w:r w:rsidRPr="006C6879">
        <w:rPr>
          <w:rFonts w:eastAsia="Times New Roman" w:cs="Times New Roman"/>
          <w:lang w:eastAsia="de-DE"/>
        </w:rPr>
        <w:t xml:space="preserve">Der Vers beginnt mit dem Waw-Konsekutiv-Imperfekt </w:t>
      </w:r>
      <w:r w:rsidRPr="006C6879">
        <w:rPr>
          <w:rFonts w:eastAsia="Times New Roman" w:cs="Times New Roman"/>
          <w:b/>
          <w:bCs/>
          <w:rtl/>
          <w:lang w:eastAsia="de-DE"/>
        </w:rPr>
        <w:t>וַתִּהְיֶינָה</w:t>
      </w:r>
      <w:r w:rsidRPr="006C6879">
        <w:rPr>
          <w:rFonts w:eastAsia="Times New Roman" w:cs="Times New Roman"/>
          <w:rtl/>
          <w:lang w:eastAsia="de-DE"/>
        </w:rPr>
        <w:t xml:space="preserve"> </w:t>
      </w:r>
      <w:r w:rsidRPr="006C6879">
        <w:rPr>
          <w:rFonts w:eastAsia="Times New Roman" w:cs="Times New Roman"/>
          <w:lang w:eastAsia="de-DE"/>
        </w:rPr>
        <w:t xml:space="preserve">(3. Person Plural feminin von </w:t>
      </w:r>
      <w:r w:rsidRPr="006C6879">
        <w:rPr>
          <w:rFonts w:eastAsia="Times New Roman" w:cs="Times New Roman"/>
          <w:rtl/>
          <w:lang w:eastAsia="de-DE"/>
        </w:rPr>
        <w:t>היה</w:t>
      </w:r>
      <w:r w:rsidRPr="006C6879">
        <w:rPr>
          <w:rFonts w:eastAsia="Times New Roman" w:cs="Times New Roman"/>
          <w:lang w:eastAsia="de-DE"/>
        </w:rPr>
        <w:t xml:space="preserve">, und sie wurden), das die narrative Fortsetzung markiert und die konkrete Umsetzung des vorherigen allgemeinen Gehorsamsbekenntnisses beschreibt. Die fünf Namen der Töchter werden einzeln aufgezählt: </w:t>
      </w:r>
      <w:r w:rsidRPr="006C6879">
        <w:rPr>
          <w:rFonts w:eastAsia="Times New Roman" w:cs="Times New Roman"/>
          <w:b/>
          <w:bCs/>
          <w:rtl/>
          <w:lang w:eastAsia="de-DE"/>
        </w:rPr>
        <w:t>מַחְלָה</w:t>
      </w:r>
      <w:r w:rsidRPr="006C6879">
        <w:rPr>
          <w:rFonts w:eastAsia="Times New Roman" w:cs="Times New Roman"/>
          <w:rtl/>
          <w:lang w:eastAsia="de-DE"/>
        </w:rPr>
        <w:t xml:space="preserve"> </w:t>
      </w:r>
      <w:r w:rsidRPr="006C6879">
        <w:rPr>
          <w:rFonts w:eastAsia="Times New Roman" w:cs="Times New Roman"/>
          <w:lang w:eastAsia="de-DE"/>
        </w:rPr>
        <w:t xml:space="preserve">(Machla), </w:t>
      </w:r>
      <w:r w:rsidRPr="006C6879">
        <w:rPr>
          <w:rFonts w:eastAsia="Times New Roman" w:cs="Times New Roman"/>
          <w:b/>
          <w:bCs/>
          <w:rtl/>
          <w:lang w:eastAsia="de-DE"/>
        </w:rPr>
        <w:t>תִרְצָה</w:t>
      </w:r>
      <w:r w:rsidRPr="006C6879">
        <w:rPr>
          <w:rFonts w:eastAsia="Times New Roman" w:cs="Times New Roman"/>
          <w:rtl/>
          <w:lang w:eastAsia="de-DE"/>
        </w:rPr>
        <w:t xml:space="preserve"> </w:t>
      </w:r>
      <w:r w:rsidRPr="006C6879">
        <w:rPr>
          <w:rFonts w:eastAsia="Times New Roman" w:cs="Times New Roman"/>
          <w:lang w:eastAsia="de-DE"/>
        </w:rPr>
        <w:t xml:space="preserve">(Tirza), </w:t>
      </w:r>
      <w:r w:rsidRPr="006C6879">
        <w:rPr>
          <w:rFonts w:eastAsia="Times New Roman" w:cs="Times New Roman"/>
          <w:b/>
          <w:bCs/>
          <w:rtl/>
          <w:lang w:eastAsia="de-DE"/>
        </w:rPr>
        <w:t>וְחָגְלָה</w:t>
      </w:r>
      <w:r w:rsidRPr="006C6879">
        <w:rPr>
          <w:rFonts w:eastAsia="Times New Roman" w:cs="Times New Roman"/>
          <w:rtl/>
          <w:lang w:eastAsia="de-DE"/>
        </w:rPr>
        <w:t xml:space="preserve"> </w:t>
      </w:r>
      <w:r w:rsidRPr="006C6879">
        <w:rPr>
          <w:rFonts w:eastAsia="Times New Roman" w:cs="Times New Roman"/>
          <w:lang w:eastAsia="de-DE"/>
        </w:rPr>
        <w:t xml:space="preserve">(und Chogla), </w:t>
      </w:r>
      <w:r w:rsidRPr="006C6879">
        <w:rPr>
          <w:rFonts w:eastAsia="Times New Roman" w:cs="Times New Roman"/>
          <w:b/>
          <w:bCs/>
          <w:rtl/>
          <w:lang w:eastAsia="de-DE"/>
        </w:rPr>
        <w:t>וּמִלְכָּה</w:t>
      </w:r>
      <w:r w:rsidRPr="006C6879">
        <w:rPr>
          <w:rFonts w:eastAsia="Times New Roman" w:cs="Times New Roman"/>
          <w:rtl/>
          <w:lang w:eastAsia="de-DE"/>
        </w:rPr>
        <w:t xml:space="preserve"> </w:t>
      </w:r>
      <w:r w:rsidRPr="006C6879">
        <w:rPr>
          <w:rFonts w:eastAsia="Times New Roman" w:cs="Times New Roman"/>
          <w:lang w:eastAsia="de-DE"/>
        </w:rPr>
        <w:t xml:space="preserve">(und Milka), </w:t>
      </w:r>
      <w:r w:rsidRPr="006C6879">
        <w:rPr>
          <w:rFonts w:eastAsia="Times New Roman" w:cs="Times New Roman"/>
          <w:b/>
          <w:bCs/>
          <w:rtl/>
          <w:lang w:eastAsia="de-DE"/>
        </w:rPr>
        <w:t>וְנֹעָה</w:t>
      </w:r>
      <w:r w:rsidRPr="006C6879">
        <w:rPr>
          <w:rFonts w:eastAsia="Times New Roman" w:cs="Times New Roman"/>
          <w:rtl/>
          <w:lang w:eastAsia="de-DE"/>
        </w:rPr>
        <w:t xml:space="preserve"> </w:t>
      </w:r>
      <w:r w:rsidRPr="006C6879">
        <w:rPr>
          <w:rFonts w:eastAsia="Times New Roman" w:cs="Times New Roman"/>
          <w:lang w:eastAsia="de-DE"/>
        </w:rPr>
        <w:t>(und Noa). Jeder Name außer dem ersten wird durch das Waw copulativum eingeleitet, was eine vollständige Aufzählung markiert.</w:t>
      </w:r>
    </w:p>
    <w:p w14:paraId="11F9E900"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Die Apposition </w:t>
      </w:r>
      <w:r w:rsidRPr="006C6879">
        <w:rPr>
          <w:rFonts w:eastAsia="Times New Roman" w:cs="Times New Roman"/>
          <w:b/>
          <w:bCs/>
          <w:rtl/>
          <w:lang w:eastAsia="de-DE"/>
        </w:rPr>
        <w:t>בְּנוֹת צְלָפְחָד</w:t>
      </w:r>
      <w:r w:rsidRPr="006C6879">
        <w:rPr>
          <w:rFonts w:eastAsia="Times New Roman" w:cs="Times New Roman"/>
          <w:rtl/>
          <w:lang w:eastAsia="de-DE"/>
        </w:rPr>
        <w:t xml:space="preserve"> </w:t>
      </w:r>
      <w:r w:rsidRPr="006C6879">
        <w:rPr>
          <w:rFonts w:eastAsia="Times New Roman" w:cs="Times New Roman"/>
          <w:lang w:eastAsia="de-DE"/>
        </w:rPr>
        <w:t xml:space="preserve">(die Töchter Zelophchads) identifiziert die fünf namentlich genannten Frauen und verknüpft diese konkrete Erzählung mit dem gesamten Kapitel. </w:t>
      </w:r>
      <w:r w:rsidRPr="006C6879">
        <w:rPr>
          <w:rFonts w:eastAsia="Times New Roman" w:cs="Times New Roman"/>
          <w:b/>
          <w:bCs/>
          <w:rtl/>
          <w:lang w:eastAsia="de-DE"/>
        </w:rPr>
        <w:t>בְּנוֹת</w:t>
      </w:r>
      <w:r w:rsidRPr="006C6879">
        <w:rPr>
          <w:rFonts w:eastAsia="Times New Roman" w:cs="Times New Roman"/>
          <w:rtl/>
          <w:lang w:eastAsia="de-DE"/>
        </w:rPr>
        <w:t xml:space="preserve"> </w:t>
      </w:r>
      <w:r w:rsidRPr="006C6879">
        <w:rPr>
          <w:rFonts w:eastAsia="Times New Roman" w:cs="Times New Roman"/>
          <w:lang w:eastAsia="de-DE"/>
        </w:rPr>
        <w:t xml:space="preserve">(Töchter, feminin Plural constructus) steht mit </w:t>
      </w:r>
      <w:r w:rsidRPr="006C6879">
        <w:rPr>
          <w:rFonts w:eastAsia="Times New Roman" w:cs="Times New Roman"/>
          <w:b/>
          <w:bCs/>
          <w:rtl/>
          <w:lang w:eastAsia="de-DE"/>
        </w:rPr>
        <w:t>צְלָפְחָד</w:t>
      </w:r>
      <w:r w:rsidRPr="006C6879">
        <w:rPr>
          <w:rFonts w:eastAsia="Times New Roman" w:cs="Times New Roman"/>
          <w:rtl/>
          <w:lang w:eastAsia="de-DE"/>
        </w:rPr>
        <w:t xml:space="preserve"> </w:t>
      </w:r>
      <w:r w:rsidRPr="006C6879">
        <w:rPr>
          <w:rFonts w:eastAsia="Times New Roman" w:cs="Times New Roman"/>
          <w:lang w:eastAsia="de-DE"/>
        </w:rPr>
        <w:t>(Zelophchad, Eigenname) in Genitivverbindung.</w:t>
      </w:r>
    </w:p>
    <w:p w14:paraId="3B6C65AA"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Die präpositionale Phrase </w:t>
      </w:r>
      <w:r w:rsidRPr="006C6879">
        <w:rPr>
          <w:rFonts w:eastAsia="Times New Roman" w:cs="Times New Roman"/>
          <w:b/>
          <w:bCs/>
          <w:rtl/>
          <w:lang w:eastAsia="de-DE"/>
        </w:rPr>
        <w:t>לִבְנֵי דֹדֵיהֶן</w:t>
      </w:r>
      <w:r w:rsidRPr="006C6879">
        <w:rPr>
          <w:rFonts w:eastAsia="Times New Roman" w:cs="Times New Roman"/>
          <w:rtl/>
          <w:lang w:eastAsia="de-DE"/>
        </w:rPr>
        <w:t xml:space="preserve"> </w:t>
      </w:r>
      <w:r w:rsidRPr="006C6879">
        <w:rPr>
          <w:rFonts w:eastAsia="Times New Roman" w:cs="Times New Roman"/>
          <w:lang w:eastAsia="de-DE"/>
        </w:rPr>
        <w:t xml:space="preserve">(den Söhnen ihrer Onkel) ist bemerkenswert präzise und zeigt die Befolgung der Endogamie-Vorschrift: </w:t>
      </w:r>
      <w:r w:rsidRPr="006C6879">
        <w:rPr>
          <w:rFonts w:eastAsia="Times New Roman" w:cs="Times New Roman"/>
          <w:b/>
          <w:bCs/>
          <w:rtl/>
          <w:lang w:eastAsia="de-DE"/>
        </w:rPr>
        <w:t>לְ</w:t>
      </w:r>
      <w:r w:rsidRPr="006C6879">
        <w:rPr>
          <w:rFonts w:eastAsia="Times New Roman" w:cs="Times New Roman"/>
          <w:rtl/>
          <w:lang w:eastAsia="de-DE"/>
        </w:rPr>
        <w:t xml:space="preserve"> </w:t>
      </w:r>
      <w:r w:rsidRPr="006C6879">
        <w:rPr>
          <w:rFonts w:eastAsia="Times New Roman" w:cs="Times New Roman"/>
          <w:lang w:eastAsia="de-DE"/>
        </w:rPr>
        <w:t xml:space="preserve">(zu, für) zeigt die Personen an, </w:t>
      </w:r>
      <w:r w:rsidRPr="006C6879">
        <w:rPr>
          <w:rFonts w:eastAsia="Times New Roman" w:cs="Times New Roman"/>
          <w:b/>
          <w:bCs/>
          <w:rtl/>
          <w:lang w:eastAsia="de-DE"/>
        </w:rPr>
        <w:t>בְּנֵי</w:t>
      </w:r>
      <w:r w:rsidRPr="006C6879">
        <w:rPr>
          <w:rFonts w:eastAsia="Times New Roman" w:cs="Times New Roman"/>
          <w:rtl/>
          <w:lang w:eastAsia="de-DE"/>
        </w:rPr>
        <w:t xml:space="preserve"> </w:t>
      </w:r>
      <w:r w:rsidRPr="006C6879">
        <w:rPr>
          <w:rFonts w:eastAsia="Times New Roman" w:cs="Times New Roman"/>
          <w:lang w:eastAsia="de-DE"/>
        </w:rPr>
        <w:t xml:space="preserve">(Söhne, maskulin Plural constructus) mit </w:t>
      </w:r>
      <w:r w:rsidRPr="006C6879">
        <w:rPr>
          <w:rFonts w:eastAsia="Times New Roman" w:cs="Times New Roman"/>
          <w:b/>
          <w:bCs/>
          <w:rtl/>
          <w:lang w:eastAsia="de-DE"/>
        </w:rPr>
        <w:t>דֹדֵיהֶן</w:t>
      </w:r>
      <w:r w:rsidRPr="006C6879">
        <w:rPr>
          <w:rFonts w:eastAsia="Times New Roman" w:cs="Times New Roman"/>
          <w:rtl/>
          <w:lang w:eastAsia="de-DE"/>
        </w:rPr>
        <w:t xml:space="preserve"> </w:t>
      </w:r>
      <w:r w:rsidRPr="006C6879">
        <w:rPr>
          <w:rFonts w:eastAsia="Times New Roman" w:cs="Times New Roman"/>
          <w:lang w:eastAsia="de-DE"/>
        </w:rPr>
        <w:t xml:space="preserve">(ihre Onkel, maskulin Plural mit Suffix 3. Person Plural feminin). </w:t>
      </w:r>
      <w:r w:rsidRPr="006C6879">
        <w:rPr>
          <w:rFonts w:eastAsia="Times New Roman" w:cs="Times New Roman"/>
          <w:b/>
          <w:bCs/>
          <w:rtl/>
          <w:lang w:eastAsia="de-DE"/>
        </w:rPr>
        <w:t>דֹּד</w:t>
      </w:r>
      <w:r w:rsidRPr="006C6879">
        <w:rPr>
          <w:rFonts w:eastAsia="Times New Roman" w:cs="Times New Roman"/>
          <w:rtl/>
          <w:lang w:eastAsia="de-DE"/>
        </w:rPr>
        <w:t xml:space="preserve"> </w:t>
      </w:r>
      <w:r w:rsidRPr="006C6879">
        <w:rPr>
          <w:rFonts w:eastAsia="Times New Roman" w:cs="Times New Roman"/>
          <w:lang w:eastAsia="de-DE"/>
        </w:rPr>
        <w:t>(Onkel, speziell Vatersbruder) bezeichnet die Brüder ihres Vaters Zelophchad, was bedeutet, dass die Töchter ihre Cousins ersten Grades heirateten – eine Praxis, die die stammesmäßige und familiäre Endogamie maximiert.</w:t>
      </w:r>
    </w:p>
    <w:p w14:paraId="4884FB3B"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Das prädikative </w:t>
      </w:r>
      <w:r w:rsidRPr="006C6879">
        <w:rPr>
          <w:rFonts w:eastAsia="Times New Roman" w:cs="Times New Roman"/>
          <w:b/>
          <w:bCs/>
          <w:rtl/>
          <w:lang w:eastAsia="de-DE"/>
        </w:rPr>
        <w:t>לְנָשִׁים</w:t>
      </w:r>
      <w:r w:rsidRPr="006C6879">
        <w:rPr>
          <w:rFonts w:eastAsia="Times New Roman" w:cs="Times New Roman"/>
          <w:rtl/>
          <w:lang w:eastAsia="de-DE"/>
        </w:rPr>
        <w:t xml:space="preserve"> </w:t>
      </w:r>
      <w:r w:rsidRPr="006C6879">
        <w:rPr>
          <w:rFonts w:eastAsia="Times New Roman" w:cs="Times New Roman"/>
          <w:lang w:eastAsia="de-DE"/>
        </w:rPr>
        <w:t xml:space="preserve">(zu Frauen, feminin Plural von </w:t>
      </w:r>
      <w:r w:rsidRPr="006C6879">
        <w:rPr>
          <w:rFonts w:eastAsia="Times New Roman" w:cs="Times New Roman"/>
          <w:rtl/>
          <w:lang w:eastAsia="de-DE"/>
        </w:rPr>
        <w:t>אִשָּׁה</w:t>
      </w:r>
      <w:r w:rsidRPr="006C6879">
        <w:rPr>
          <w:rFonts w:eastAsia="Times New Roman" w:cs="Times New Roman"/>
          <w:lang w:eastAsia="de-DE"/>
        </w:rPr>
        <w:t xml:space="preserve"> mit Präposition </w:t>
      </w:r>
      <w:r w:rsidRPr="006C6879">
        <w:rPr>
          <w:rFonts w:eastAsia="Times New Roman" w:cs="Times New Roman"/>
          <w:b/>
          <w:bCs/>
          <w:rtl/>
          <w:lang w:eastAsia="de-DE"/>
        </w:rPr>
        <w:t>לְ</w:t>
      </w:r>
      <w:r w:rsidRPr="006C6879">
        <w:rPr>
          <w:rFonts w:eastAsia="Times New Roman" w:cs="Times New Roman"/>
          <w:lang w:eastAsia="de-DE"/>
        </w:rPr>
        <w:t>) beschreibt den ehelichen Status und schließt die Handlung ab.</w:t>
      </w:r>
    </w:p>
    <w:p w14:paraId="465E2327" w14:textId="77777777" w:rsidR="00A22CB7" w:rsidRDefault="006C6879" w:rsidP="00A22CB7">
      <w:pPr>
        <w:pStyle w:val="KeinLeerraum"/>
      </w:pPr>
      <w:r w:rsidRPr="006C6879">
        <w:rPr>
          <w:rFonts w:eastAsia="Times New Roman" w:cs="Times New Roman"/>
          <w:b/>
          <w:bCs/>
          <w:lang w:eastAsia="de-DE"/>
        </w:rPr>
        <w:t>Die LXX</w:t>
      </w:r>
      <w:r w:rsidRPr="006C6879">
        <w:rPr>
          <w:rFonts w:eastAsia="Times New Roman" w:cs="Times New Roman"/>
          <w:lang w:eastAsia="de-DE"/>
        </w:rPr>
        <w:t xml:space="preserve"> </w:t>
      </w:r>
      <w:r w:rsidR="00A22CB7">
        <w:t xml:space="preserve">listet die Namen der Töchter in einer anderen Reihenfolge auf: </w:t>
      </w:r>
    </w:p>
    <w:p w14:paraId="141E223D" w14:textId="77777777" w:rsidR="00A22CB7" w:rsidRDefault="00A22CB7" w:rsidP="00C15C06">
      <w:pPr>
        <w:pStyle w:val="KeinLeerraum"/>
        <w:numPr>
          <w:ilvl w:val="0"/>
          <w:numId w:val="35"/>
        </w:numPr>
      </w:pPr>
      <w:r>
        <w:lastRenderedPageBreak/>
        <w:t>„Θερσὰ καὶ Ἑγλὰ καὶ Μελχὰ καὶ Νουὰ καὶ Μααλά" (Thersa, Hegla, Melcha, Noa, Maala), während der MT hat:</w:t>
      </w:r>
    </w:p>
    <w:p w14:paraId="30A6E36C" w14:textId="04DE5F5A" w:rsidR="006C6879" w:rsidRPr="006C6879" w:rsidRDefault="00A22CB7" w:rsidP="00C15C06">
      <w:pPr>
        <w:pStyle w:val="KeinLeerraum"/>
        <w:numPr>
          <w:ilvl w:val="0"/>
          <w:numId w:val="35"/>
        </w:numPr>
        <w:rPr>
          <w:rFonts w:eastAsia="Times New Roman" w:cs="Times New Roman"/>
          <w:lang w:eastAsia="de-DE"/>
        </w:rPr>
      </w:pPr>
      <w:r>
        <w:t>„</w:t>
      </w:r>
      <w:r w:rsidRPr="00A22CB7">
        <w:rPr>
          <w:b/>
          <w:bCs/>
          <w:rtl/>
        </w:rPr>
        <w:t>מַחְלָה תִרְצָה וְחָגְלָה וּמִלְכָּה וְנֹעָה</w:t>
      </w:r>
      <w:r>
        <w:t>" (Machla, Tirza, Hogla, Milka, Noa).</w:t>
      </w:r>
    </w:p>
    <w:p w14:paraId="0D6F69AC"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Die Satzstruktur ist ein einfacher Hauptsatz: Verb (</w:t>
      </w:r>
      <w:r w:rsidRPr="006C6879">
        <w:rPr>
          <w:rFonts w:eastAsia="Times New Roman" w:cs="Times New Roman"/>
          <w:b/>
          <w:bCs/>
          <w:rtl/>
          <w:lang w:eastAsia="de-DE"/>
        </w:rPr>
        <w:t>וַתִּהְיֶינָה</w:t>
      </w:r>
      <w:r w:rsidRPr="006C6879">
        <w:rPr>
          <w:rFonts w:eastAsia="Times New Roman" w:cs="Times New Roman"/>
          <w:lang w:eastAsia="de-DE"/>
        </w:rPr>
        <w:t xml:space="preserve">) + Subjekt (die fünf Namen mit Apposition </w:t>
      </w:r>
      <w:r w:rsidRPr="006C6879">
        <w:rPr>
          <w:rFonts w:eastAsia="Times New Roman" w:cs="Times New Roman"/>
          <w:b/>
          <w:bCs/>
          <w:rtl/>
          <w:lang w:eastAsia="de-DE"/>
        </w:rPr>
        <w:t>בְּנוֹת צְלָפְחָד</w:t>
      </w:r>
      <w:r w:rsidRPr="006C6879">
        <w:rPr>
          <w:rFonts w:eastAsia="Times New Roman" w:cs="Times New Roman"/>
          <w:lang w:eastAsia="de-DE"/>
        </w:rPr>
        <w:t>) + präpositionale Phrase (</w:t>
      </w:r>
      <w:r w:rsidRPr="006C6879">
        <w:rPr>
          <w:rFonts w:eastAsia="Times New Roman" w:cs="Times New Roman"/>
          <w:b/>
          <w:bCs/>
          <w:rtl/>
          <w:lang w:eastAsia="de-DE"/>
        </w:rPr>
        <w:t>לִבְנֵי דֹדֵיהֶן</w:t>
      </w:r>
      <w:r w:rsidRPr="006C6879">
        <w:rPr>
          <w:rFonts w:eastAsia="Times New Roman" w:cs="Times New Roman"/>
          <w:lang w:eastAsia="de-DE"/>
        </w:rPr>
        <w:t>) + Prädikatsnomen (</w:t>
      </w:r>
      <w:r w:rsidRPr="006C6879">
        <w:rPr>
          <w:rFonts w:eastAsia="Times New Roman" w:cs="Times New Roman"/>
          <w:b/>
          <w:bCs/>
          <w:rtl/>
          <w:lang w:eastAsia="de-DE"/>
        </w:rPr>
        <w:t>לְנָשִׁים</w:t>
      </w:r>
      <w:r w:rsidRPr="006C6879">
        <w:rPr>
          <w:rFonts w:eastAsia="Times New Roman" w:cs="Times New Roman"/>
          <w:lang w:eastAsia="de-DE"/>
        </w:rPr>
        <w:t>). Es gibt keine Nebensätze; die Struktur ist linear und narrativ. Die Aufzählung der Namen verleiht der Aussage Gewicht und Konkretheit.</w:t>
      </w:r>
    </w:p>
    <w:p w14:paraId="0635B13F"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Der Vers konkretisiert die in Vers 10 allgemein beschriebene Gehorsamshandlung durch die spezifische Nennung aller fünf Töchter und ihrer genauen Heiratspartner. Die Heirat mit den Söhnen ihrer Onkel (Cousins ersten Grades) zeigt die maximale Befolgung der Endogamie-Vorschrift – sie blieben nicht nur innerhalb des Stammes Manasse, sondern sogar innerhalb der engeren Verwandtschaft, wodurch das Erbteil vollständig innerhalb der Familie Gileads bewahrt wurde.</w:t>
      </w:r>
    </w:p>
    <w:p w14:paraId="54DD757C" w14:textId="77777777" w:rsidR="006C6879" w:rsidRPr="006C6879" w:rsidRDefault="006C6879" w:rsidP="006C6879">
      <w:pPr>
        <w:spacing w:before="100" w:beforeAutospacing="1" w:after="100" w:afterAutospacing="1" w:line="240" w:lineRule="auto"/>
        <w:outlineLvl w:val="0"/>
        <w:rPr>
          <w:rFonts w:eastAsia="Times New Roman" w:cs="Times New Roman"/>
          <w:b/>
          <w:bCs/>
          <w:kern w:val="36"/>
          <w:sz w:val="48"/>
          <w:szCs w:val="48"/>
          <w:lang w:eastAsia="de-DE"/>
        </w:rPr>
      </w:pPr>
      <w:r w:rsidRPr="006C6879">
        <w:rPr>
          <w:rFonts w:eastAsia="Times New Roman" w:cs="Times New Roman"/>
          <w:b/>
          <w:bCs/>
          <w:kern w:val="36"/>
          <w:sz w:val="48"/>
          <w:szCs w:val="48"/>
          <w:lang w:eastAsia="de-DE"/>
        </w:rPr>
        <w:t>Numeri 36,12</w:t>
      </w:r>
    </w:p>
    <w:p w14:paraId="4EF0E758" w14:textId="759049D6" w:rsidR="006C6879" w:rsidRPr="006C6879" w:rsidRDefault="006C6879" w:rsidP="00A22CB7">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Hebräisch:</w:t>
      </w:r>
      <w:r w:rsidR="00A22CB7" w:rsidRPr="00A22CB7">
        <w:rPr>
          <w:rFonts w:eastAsia="Times New Roman" w:cs="Times New Roman"/>
          <w:rtl/>
          <w:lang w:eastAsia="de-DE"/>
        </w:rPr>
        <w:t xml:space="preserve"> </w:t>
      </w:r>
      <w:r w:rsidR="00A22CB7" w:rsidRPr="006C6879">
        <w:rPr>
          <w:rFonts w:eastAsia="Times New Roman" w:cs="Times New Roman"/>
          <w:rtl/>
          <w:lang w:eastAsia="de-DE"/>
        </w:rPr>
        <w:t>מִֽמִּשְׁפְּחֹ֛ת בְּנֵֽי־מְנַשֶּׁ֥ה בֶן־יוֹסֵ֖ף הָי֣וּ לְנָשִׁ֑ים וַתְּהִי֙ נַחֲלָתָ֔ן עַל־מַטֵּ֖ה מִשְׁפַּ֥חַת אֲבִיהֶֽן׃</w:t>
      </w:r>
    </w:p>
    <w:p w14:paraId="00688BEC" w14:textId="6FED0E19" w:rsidR="006C6879" w:rsidRPr="006C6879" w:rsidRDefault="006C6879" w:rsidP="00A22CB7">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Deutsch:</w:t>
      </w:r>
      <w:r w:rsidR="00A22CB7">
        <w:rPr>
          <w:rFonts w:eastAsia="Times New Roman" w:cs="Times New Roman"/>
          <w:lang w:eastAsia="de-DE"/>
        </w:rPr>
        <w:t xml:space="preserve"> </w:t>
      </w:r>
      <w:r w:rsidRPr="006C6879">
        <w:rPr>
          <w:rFonts w:eastAsia="Times New Roman" w:cs="Times New Roman"/>
          <w:lang w:eastAsia="de-DE"/>
        </w:rPr>
        <w:t>Männern aus den Geschlechtern der Söhne Menasche, des Sohnes Josefs, wurden sie zu Frauen. Und ihr Erbteil blieb beim Stamm der Familie ihres Vaters.</w:t>
      </w:r>
    </w:p>
    <w:p w14:paraId="45CC93F5" w14:textId="77777777" w:rsidR="006C6879" w:rsidRPr="006C6879" w:rsidRDefault="00F329DD" w:rsidP="006C6879">
      <w:pPr>
        <w:spacing w:after="0" w:line="240" w:lineRule="auto"/>
        <w:rPr>
          <w:rFonts w:eastAsia="Times New Roman" w:cs="Times New Roman"/>
          <w:lang w:eastAsia="de-DE"/>
        </w:rPr>
      </w:pPr>
      <w:r>
        <w:rPr>
          <w:rFonts w:eastAsia="Times New Roman" w:cs="Times New Roman"/>
          <w:noProof/>
          <w:lang w:eastAsia="de-DE"/>
        </w:rPr>
        <w:pict w14:anchorId="1BDF1547">
          <v:rect id="_x0000_i2104" style="width:0;height:1.5pt" o:hralign="center" o:hrstd="t" o:hr="t" fillcolor="#a0a0a0" stroked="f"/>
        </w:pict>
      </w:r>
    </w:p>
    <w:p w14:paraId="5C1BC244" w14:textId="0837BE91" w:rsidR="006C6879" w:rsidRPr="006C6879" w:rsidRDefault="006C6879" w:rsidP="00A22CB7">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Kommentar:</w:t>
      </w:r>
      <w:r w:rsidR="00A22CB7">
        <w:rPr>
          <w:rFonts w:eastAsia="Times New Roman" w:cs="Times New Roman"/>
          <w:lang w:eastAsia="de-DE"/>
        </w:rPr>
        <w:t xml:space="preserve"> </w:t>
      </w:r>
      <w:r w:rsidRPr="006C6879">
        <w:rPr>
          <w:rFonts w:eastAsia="Times New Roman" w:cs="Times New Roman"/>
          <w:lang w:eastAsia="de-DE"/>
        </w:rPr>
        <w:t xml:space="preserve">Der Vers beginnt mit der präpositionalen Phrase </w:t>
      </w:r>
      <w:r w:rsidRPr="006C6879">
        <w:rPr>
          <w:rFonts w:eastAsia="Times New Roman" w:cs="Times New Roman"/>
          <w:b/>
          <w:bCs/>
          <w:rtl/>
          <w:lang w:eastAsia="de-DE"/>
        </w:rPr>
        <w:t>מִמִּשְׁפְּחֹת בְּנֵי־מְנַשֶּׁה בֶן־יוֹסֵף</w:t>
      </w:r>
      <w:r w:rsidRPr="006C6879">
        <w:rPr>
          <w:rFonts w:eastAsia="Times New Roman" w:cs="Times New Roman"/>
          <w:rtl/>
          <w:lang w:eastAsia="de-DE"/>
        </w:rPr>
        <w:t xml:space="preserve"> </w:t>
      </w:r>
      <w:r w:rsidRPr="006C6879">
        <w:rPr>
          <w:rFonts w:eastAsia="Times New Roman" w:cs="Times New Roman"/>
          <w:lang w:eastAsia="de-DE"/>
        </w:rPr>
        <w:t xml:space="preserve">(aus den Geschlechtern der Söhne Menasches, des Sohnes Josefs), die die stammesmäßige Zugehörigkeit der Ehemänner präzisiert. </w:t>
      </w:r>
      <w:r w:rsidRPr="006C6879">
        <w:rPr>
          <w:rFonts w:eastAsia="Times New Roman" w:cs="Times New Roman"/>
          <w:b/>
          <w:bCs/>
          <w:rtl/>
          <w:lang w:eastAsia="de-DE"/>
        </w:rPr>
        <w:t>מִן</w:t>
      </w:r>
      <w:r w:rsidRPr="006C6879">
        <w:rPr>
          <w:rFonts w:eastAsia="Times New Roman" w:cs="Times New Roman"/>
          <w:rtl/>
          <w:lang w:eastAsia="de-DE"/>
        </w:rPr>
        <w:t xml:space="preserve"> </w:t>
      </w:r>
      <w:r w:rsidRPr="006C6879">
        <w:rPr>
          <w:rFonts w:eastAsia="Times New Roman" w:cs="Times New Roman"/>
          <w:lang w:eastAsia="de-DE"/>
        </w:rPr>
        <w:t xml:space="preserve">(aus, von) zeigt die Herkunft an, </w:t>
      </w:r>
      <w:r w:rsidRPr="006C6879">
        <w:rPr>
          <w:rFonts w:eastAsia="Times New Roman" w:cs="Times New Roman"/>
          <w:b/>
          <w:bCs/>
          <w:rtl/>
          <w:lang w:eastAsia="de-DE"/>
        </w:rPr>
        <w:t>מִשְׁפְּחֹת</w:t>
      </w:r>
      <w:r w:rsidRPr="006C6879">
        <w:rPr>
          <w:rFonts w:eastAsia="Times New Roman" w:cs="Times New Roman"/>
          <w:rtl/>
          <w:lang w:eastAsia="de-DE"/>
        </w:rPr>
        <w:t xml:space="preserve"> </w:t>
      </w:r>
      <w:r w:rsidRPr="006C6879">
        <w:rPr>
          <w:rFonts w:eastAsia="Times New Roman" w:cs="Times New Roman"/>
          <w:lang w:eastAsia="de-DE"/>
        </w:rPr>
        <w:t xml:space="preserve">(Geschlechter/Familien, feminin Plural constructus von </w:t>
      </w:r>
      <w:r w:rsidRPr="006C6879">
        <w:rPr>
          <w:rFonts w:eastAsia="Times New Roman" w:cs="Times New Roman"/>
          <w:rtl/>
          <w:lang w:eastAsia="de-DE"/>
        </w:rPr>
        <w:t>מִשְׁפָּחָה</w:t>
      </w:r>
      <w:r w:rsidRPr="006C6879">
        <w:rPr>
          <w:rFonts w:eastAsia="Times New Roman" w:cs="Times New Roman"/>
          <w:lang w:eastAsia="de-DE"/>
        </w:rPr>
        <w:t xml:space="preserve">) steht mit </w:t>
      </w:r>
      <w:r w:rsidRPr="006C6879">
        <w:rPr>
          <w:rFonts w:eastAsia="Times New Roman" w:cs="Times New Roman"/>
          <w:b/>
          <w:bCs/>
          <w:rtl/>
          <w:lang w:eastAsia="de-DE"/>
        </w:rPr>
        <w:t>בְּנֵי־מְנַשֶּׁה</w:t>
      </w:r>
      <w:r w:rsidRPr="006C6879">
        <w:rPr>
          <w:rFonts w:eastAsia="Times New Roman" w:cs="Times New Roman"/>
          <w:rtl/>
          <w:lang w:eastAsia="de-DE"/>
        </w:rPr>
        <w:t xml:space="preserve"> </w:t>
      </w:r>
      <w:r w:rsidRPr="006C6879">
        <w:rPr>
          <w:rFonts w:eastAsia="Times New Roman" w:cs="Times New Roman"/>
          <w:lang w:eastAsia="de-DE"/>
        </w:rPr>
        <w:t xml:space="preserve">(Söhne Menasches) in Genitivverbindung. Die weitere genealogische Spezifizierung </w:t>
      </w:r>
      <w:r w:rsidRPr="006C6879">
        <w:rPr>
          <w:rFonts w:eastAsia="Times New Roman" w:cs="Times New Roman"/>
          <w:b/>
          <w:bCs/>
          <w:rtl/>
          <w:lang w:eastAsia="de-DE"/>
        </w:rPr>
        <w:t>בֶן־יוֹסֵף</w:t>
      </w:r>
      <w:r w:rsidRPr="006C6879">
        <w:rPr>
          <w:rFonts w:eastAsia="Times New Roman" w:cs="Times New Roman"/>
          <w:rtl/>
          <w:lang w:eastAsia="de-DE"/>
        </w:rPr>
        <w:t xml:space="preserve"> </w:t>
      </w:r>
      <w:r w:rsidRPr="006C6879">
        <w:rPr>
          <w:rFonts w:eastAsia="Times New Roman" w:cs="Times New Roman"/>
          <w:lang w:eastAsia="de-DE"/>
        </w:rPr>
        <w:t>(Sohn Josefs) verknüpft Menasse mit seinem Vater Josef und betont die Zugehörigkeit zum Josefstamm.</w:t>
      </w:r>
    </w:p>
    <w:p w14:paraId="2FF88225"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Das Verb </w:t>
      </w:r>
      <w:r w:rsidRPr="006C6879">
        <w:rPr>
          <w:rFonts w:eastAsia="Times New Roman" w:cs="Times New Roman"/>
          <w:b/>
          <w:bCs/>
          <w:rtl/>
          <w:lang w:eastAsia="de-DE"/>
        </w:rPr>
        <w:t>הָיוּ</w:t>
      </w:r>
      <w:r w:rsidRPr="006C6879">
        <w:rPr>
          <w:rFonts w:eastAsia="Times New Roman" w:cs="Times New Roman"/>
          <w:rtl/>
          <w:lang w:eastAsia="de-DE"/>
        </w:rPr>
        <w:t xml:space="preserve"> </w:t>
      </w:r>
      <w:r w:rsidRPr="006C6879">
        <w:rPr>
          <w:rFonts w:eastAsia="Times New Roman" w:cs="Times New Roman"/>
          <w:lang w:eastAsia="de-DE"/>
        </w:rPr>
        <w:t xml:space="preserve">(3. Person Plural Perfekt von </w:t>
      </w:r>
      <w:r w:rsidRPr="006C6879">
        <w:rPr>
          <w:rFonts w:eastAsia="Times New Roman" w:cs="Times New Roman"/>
          <w:rtl/>
          <w:lang w:eastAsia="de-DE"/>
        </w:rPr>
        <w:t>היה</w:t>
      </w:r>
      <w:r w:rsidRPr="006C6879">
        <w:rPr>
          <w:rFonts w:eastAsia="Times New Roman" w:cs="Times New Roman"/>
          <w:lang w:eastAsia="de-DE"/>
        </w:rPr>
        <w:t xml:space="preserve">, sie waren/wurden) mit dem prädikativen </w:t>
      </w:r>
      <w:r w:rsidRPr="006C6879">
        <w:rPr>
          <w:rFonts w:eastAsia="Times New Roman" w:cs="Times New Roman"/>
          <w:b/>
          <w:bCs/>
          <w:rtl/>
          <w:lang w:eastAsia="de-DE"/>
        </w:rPr>
        <w:t>לְנָשִׁים</w:t>
      </w:r>
      <w:r w:rsidRPr="006C6879">
        <w:rPr>
          <w:rFonts w:eastAsia="Times New Roman" w:cs="Times New Roman"/>
          <w:rtl/>
          <w:lang w:eastAsia="de-DE"/>
        </w:rPr>
        <w:t xml:space="preserve"> </w:t>
      </w:r>
      <w:r w:rsidRPr="006C6879">
        <w:rPr>
          <w:rFonts w:eastAsia="Times New Roman" w:cs="Times New Roman"/>
          <w:lang w:eastAsia="de-DE"/>
        </w:rPr>
        <w:t>(zu Frauen) schließt den ersten Satzteil ab. Die ungewöhnliche Wortstellung – mit der präpositionalen Phrase am Anfang statt des Subjekts – betont die stammesmäßige Zugehörigkeit der Ehemänner als wichtigstes Element.</w:t>
      </w:r>
    </w:p>
    <w:p w14:paraId="6BA59E4E"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Der zweite Satz beginnt mit dem Waw-Konsekutiv-Imperfekt </w:t>
      </w:r>
      <w:r w:rsidRPr="006C6879">
        <w:rPr>
          <w:rFonts w:eastAsia="Times New Roman" w:cs="Times New Roman"/>
          <w:b/>
          <w:bCs/>
          <w:rtl/>
          <w:lang w:eastAsia="de-DE"/>
        </w:rPr>
        <w:t>וַתְּהִי</w:t>
      </w:r>
      <w:r w:rsidRPr="006C6879">
        <w:rPr>
          <w:rFonts w:eastAsia="Times New Roman" w:cs="Times New Roman"/>
          <w:rtl/>
          <w:lang w:eastAsia="de-DE"/>
        </w:rPr>
        <w:t xml:space="preserve"> </w:t>
      </w:r>
      <w:r w:rsidRPr="006C6879">
        <w:rPr>
          <w:rFonts w:eastAsia="Times New Roman" w:cs="Times New Roman"/>
          <w:lang w:eastAsia="de-DE"/>
        </w:rPr>
        <w:t xml:space="preserve">(3. Person Singular feminin von </w:t>
      </w:r>
      <w:r w:rsidRPr="006C6879">
        <w:rPr>
          <w:rFonts w:eastAsia="Times New Roman" w:cs="Times New Roman"/>
          <w:rtl/>
          <w:lang w:eastAsia="de-DE"/>
        </w:rPr>
        <w:t>היה</w:t>
      </w:r>
      <w:r w:rsidRPr="006C6879">
        <w:rPr>
          <w:rFonts w:eastAsia="Times New Roman" w:cs="Times New Roman"/>
          <w:lang w:eastAsia="de-DE"/>
        </w:rPr>
        <w:t xml:space="preserve">, und es war/blieb), das die Konsequenz oder das Ergebnis beschreibt. Das Subjekt ist </w:t>
      </w:r>
      <w:r w:rsidRPr="006C6879">
        <w:rPr>
          <w:rFonts w:eastAsia="Times New Roman" w:cs="Times New Roman"/>
          <w:b/>
          <w:bCs/>
          <w:rtl/>
          <w:lang w:eastAsia="de-DE"/>
        </w:rPr>
        <w:t>נַחֲלָתָן</w:t>
      </w:r>
      <w:r w:rsidRPr="006C6879">
        <w:rPr>
          <w:rFonts w:eastAsia="Times New Roman" w:cs="Times New Roman"/>
          <w:rtl/>
          <w:lang w:eastAsia="de-DE"/>
        </w:rPr>
        <w:t xml:space="preserve"> </w:t>
      </w:r>
      <w:r w:rsidRPr="006C6879">
        <w:rPr>
          <w:rFonts w:eastAsia="Times New Roman" w:cs="Times New Roman"/>
          <w:lang w:eastAsia="de-DE"/>
        </w:rPr>
        <w:t>(ihr Erbteil, feminin singular constructus mit Suffix 3. Person Plural feminin), das zentrale Konzept des gesamten Kapitels.</w:t>
      </w:r>
    </w:p>
    <w:p w14:paraId="4BB70082" w14:textId="0B12BB69"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Die präpositionale Phrase </w:t>
      </w:r>
      <w:r w:rsidRPr="006C6879">
        <w:rPr>
          <w:rFonts w:eastAsia="Times New Roman" w:cs="Times New Roman"/>
          <w:b/>
          <w:bCs/>
          <w:rtl/>
          <w:lang w:eastAsia="de-DE"/>
        </w:rPr>
        <w:t>עַל־מַטֵּה מִשְׁפַּחַת אֲבִיהֶן</w:t>
      </w:r>
      <w:r w:rsidRPr="006C6879">
        <w:rPr>
          <w:rFonts w:eastAsia="Times New Roman" w:cs="Times New Roman"/>
          <w:rtl/>
          <w:lang w:eastAsia="de-DE"/>
        </w:rPr>
        <w:t xml:space="preserve"> </w:t>
      </w:r>
      <w:r w:rsidRPr="006C6879">
        <w:rPr>
          <w:rFonts w:eastAsia="Times New Roman" w:cs="Times New Roman"/>
          <w:lang w:eastAsia="de-DE"/>
        </w:rPr>
        <w:t xml:space="preserve">(beim Stamm der Familie ihres Vaters) ist eine dreifache Genitivkonstruktion: </w:t>
      </w:r>
      <w:r w:rsidRPr="006C6879">
        <w:rPr>
          <w:rFonts w:eastAsia="Times New Roman" w:cs="Times New Roman"/>
          <w:b/>
          <w:bCs/>
          <w:rtl/>
          <w:lang w:eastAsia="de-DE"/>
        </w:rPr>
        <w:t>עַל</w:t>
      </w:r>
      <w:r w:rsidRPr="006C6879">
        <w:rPr>
          <w:rFonts w:eastAsia="Times New Roman" w:cs="Times New Roman"/>
          <w:rtl/>
          <w:lang w:eastAsia="de-DE"/>
        </w:rPr>
        <w:t xml:space="preserve"> </w:t>
      </w:r>
      <w:r w:rsidRPr="006C6879">
        <w:rPr>
          <w:rFonts w:eastAsia="Times New Roman" w:cs="Times New Roman"/>
          <w:lang w:eastAsia="de-DE"/>
        </w:rPr>
        <w:t xml:space="preserve">(bei, auf) zeigt den Verbleib an, </w:t>
      </w:r>
      <w:r w:rsidRPr="006C6879">
        <w:rPr>
          <w:rFonts w:eastAsia="Times New Roman" w:cs="Times New Roman"/>
          <w:b/>
          <w:bCs/>
          <w:rtl/>
          <w:lang w:eastAsia="de-DE"/>
        </w:rPr>
        <w:t>מַטֵּה</w:t>
      </w:r>
      <w:r w:rsidRPr="006C6879">
        <w:rPr>
          <w:rFonts w:eastAsia="Times New Roman" w:cs="Times New Roman"/>
          <w:rtl/>
          <w:lang w:eastAsia="de-DE"/>
        </w:rPr>
        <w:t xml:space="preserve"> </w:t>
      </w:r>
      <w:r w:rsidRPr="006C6879">
        <w:rPr>
          <w:rFonts w:eastAsia="Times New Roman" w:cs="Times New Roman"/>
          <w:lang w:eastAsia="de-DE"/>
        </w:rPr>
        <w:t xml:space="preserve">(Stamm, maskulin singular) steht im constructus mit </w:t>
      </w:r>
      <w:r w:rsidRPr="006C6879">
        <w:rPr>
          <w:rFonts w:eastAsia="Times New Roman" w:cs="Times New Roman"/>
          <w:b/>
          <w:bCs/>
          <w:rtl/>
          <w:lang w:eastAsia="de-DE"/>
        </w:rPr>
        <w:t>מִשְׁפַּחַת</w:t>
      </w:r>
      <w:r w:rsidRPr="006C6879">
        <w:rPr>
          <w:rFonts w:eastAsia="Times New Roman" w:cs="Times New Roman"/>
          <w:rtl/>
          <w:lang w:eastAsia="de-DE"/>
        </w:rPr>
        <w:t xml:space="preserve"> </w:t>
      </w:r>
      <w:r w:rsidRPr="006C6879">
        <w:rPr>
          <w:rFonts w:eastAsia="Times New Roman" w:cs="Times New Roman"/>
          <w:lang w:eastAsia="de-DE"/>
        </w:rPr>
        <w:t xml:space="preserve">(Familie/Geschlecht, feminin singular constructus), das wiederum mit </w:t>
      </w:r>
      <w:r w:rsidRPr="006C6879">
        <w:rPr>
          <w:rFonts w:eastAsia="Times New Roman" w:cs="Times New Roman"/>
          <w:b/>
          <w:bCs/>
          <w:rtl/>
          <w:lang w:eastAsia="de-DE"/>
        </w:rPr>
        <w:t>אֲבִיהֶן</w:t>
      </w:r>
      <w:r w:rsidRPr="006C6879">
        <w:rPr>
          <w:rFonts w:eastAsia="Times New Roman" w:cs="Times New Roman"/>
          <w:rtl/>
          <w:lang w:eastAsia="de-DE"/>
        </w:rPr>
        <w:t xml:space="preserve"> </w:t>
      </w:r>
      <w:r w:rsidRPr="006C6879">
        <w:rPr>
          <w:rFonts w:eastAsia="Times New Roman" w:cs="Times New Roman"/>
          <w:lang w:eastAsia="de-DE"/>
        </w:rPr>
        <w:t xml:space="preserve">(ihr Vater, maskulin singular mit Suffix 3. Person Plural feminin) verbunden ist. Diese </w:t>
      </w:r>
      <w:r w:rsidR="00F133EC">
        <w:rPr>
          <w:rFonts w:eastAsia="Times New Roman" w:cs="Times New Roman"/>
          <w:lang w:eastAsia="de-DE"/>
        </w:rPr>
        <w:t>Construct</w:t>
      </w:r>
      <w:r w:rsidRPr="006C6879">
        <w:rPr>
          <w:rFonts w:eastAsia="Times New Roman" w:cs="Times New Roman"/>
          <w:lang w:eastAsia="de-DE"/>
        </w:rPr>
        <w:t>ion unterstreicht die vollständige Bewahrung der Stammeszugehörigkeit auf allen Ebenen: Stamm → Familie → väterliche Linie.</w:t>
      </w:r>
    </w:p>
    <w:p w14:paraId="469B63E7" w14:textId="75A55215"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lastRenderedPageBreak/>
        <w:t>Die LXX</w:t>
      </w:r>
      <w:r w:rsidRPr="006C6879">
        <w:rPr>
          <w:rFonts w:eastAsia="Times New Roman" w:cs="Times New Roman"/>
          <w:lang w:eastAsia="de-DE"/>
        </w:rPr>
        <w:t xml:space="preserve"> </w:t>
      </w:r>
      <w:r w:rsidR="00A22CB7">
        <w:t>hat einen zusätzlichen Artikel: „ἐκ τοῦ δήμου τοῦ τοῦ Μανασσή" (vom Stamm des des Manasse), was ein redaktioneller Fehler mit doppeltem Artikel sein könnte.</w:t>
      </w:r>
    </w:p>
    <w:p w14:paraId="5254653E"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Die Satzstruktur besteht aus zwei koordinierten Hauptsätzen: Der erste hat eine vorangestellte präpositionale Phrase (</w:t>
      </w:r>
      <w:r w:rsidRPr="006C6879">
        <w:rPr>
          <w:rFonts w:eastAsia="Times New Roman" w:cs="Times New Roman"/>
          <w:b/>
          <w:bCs/>
          <w:rtl/>
          <w:lang w:eastAsia="de-DE"/>
        </w:rPr>
        <w:t>מִמִּשְׁפְּחֹת</w:t>
      </w:r>
      <w:r w:rsidRPr="006C6879">
        <w:rPr>
          <w:rFonts w:eastAsia="Times New Roman" w:cs="Times New Roman"/>
          <w:rtl/>
          <w:lang w:eastAsia="de-DE"/>
        </w:rPr>
        <w:t xml:space="preserve"> </w:t>
      </w:r>
      <w:r w:rsidRPr="006C6879">
        <w:rPr>
          <w:rFonts w:eastAsia="Times New Roman" w:cs="Times New Roman"/>
          <w:lang w:eastAsia="de-DE"/>
        </w:rPr>
        <w:t>...) + implizites Subjekt (die Töchter aus Vers 11) + Prädikat (</w:t>
      </w:r>
      <w:r w:rsidRPr="006C6879">
        <w:rPr>
          <w:rFonts w:eastAsia="Times New Roman" w:cs="Times New Roman"/>
          <w:b/>
          <w:bCs/>
          <w:rtl/>
          <w:lang w:eastAsia="de-DE"/>
        </w:rPr>
        <w:t>הָיוּ לְנָשִׁים</w:t>
      </w:r>
      <w:r w:rsidRPr="006C6879">
        <w:rPr>
          <w:rFonts w:eastAsia="Times New Roman" w:cs="Times New Roman"/>
          <w:lang w:eastAsia="de-DE"/>
        </w:rPr>
        <w:t>). Der zweite Hauptsatz hat die Struktur: Verb (</w:t>
      </w:r>
      <w:r w:rsidRPr="006C6879">
        <w:rPr>
          <w:rFonts w:eastAsia="Times New Roman" w:cs="Times New Roman"/>
          <w:b/>
          <w:bCs/>
          <w:rtl/>
          <w:lang w:eastAsia="de-DE"/>
        </w:rPr>
        <w:t>וַתְּהִי</w:t>
      </w:r>
      <w:r w:rsidRPr="006C6879">
        <w:rPr>
          <w:rFonts w:eastAsia="Times New Roman" w:cs="Times New Roman"/>
          <w:lang w:eastAsia="de-DE"/>
        </w:rPr>
        <w:t>) + Subjekt (</w:t>
      </w:r>
      <w:r w:rsidRPr="006C6879">
        <w:rPr>
          <w:rFonts w:eastAsia="Times New Roman" w:cs="Times New Roman"/>
          <w:b/>
          <w:bCs/>
          <w:rtl/>
          <w:lang w:eastAsia="de-DE"/>
        </w:rPr>
        <w:t>נַחֲלָתָן</w:t>
      </w:r>
      <w:r w:rsidRPr="006C6879">
        <w:rPr>
          <w:rFonts w:eastAsia="Times New Roman" w:cs="Times New Roman"/>
          <w:lang w:eastAsia="de-DE"/>
        </w:rPr>
        <w:t>) + präpositionale Phrase (</w:t>
      </w:r>
      <w:r w:rsidRPr="006C6879">
        <w:rPr>
          <w:rFonts w:eastAsia="Times New Roman" w:cs="Times New Roman"/>
          <w:b/>
          <w:bCs/>
          <w:rtl/>
          <w:lang w:eastAsia="de-DE"/>
        </w:rPr>
        <w:t>עַל־מַטֵּה מִשְׁפַּחַת אֲבִיהֶן</w:t>
      </w:r>
      <w:r w:rsidRPr="006C6879">
        <w:rPr>
          <w:rFonts w:eastAsia="Times New Roman" w:cs="Times New Roman"/>
          <w:lang w:eastAsia="de-DE"/>
        </w:rPr>
        <w:t>). Beide Hauptsätze sind parataktisch durch Waw verbunden; es gibt keine Nebensätze.</w:t>
      </w:r>
    </w:p>
    <w:p w14:paraId="0ABCCA94"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Der Vers fasst die erfolgreiche Umsetzung der göttlichen Anordnung zusammen und betont das entscheidende Ergebnis: Das Erbteil verblieb innerhalb des väterlichen Stammes. Diese Schlussaussage bestätigt, dass das in den Versen 1-4 artikulierte Problem durch die in den Versen 5-9 dargelegte Lösung erfolgreich bewältigt wurde. Die mehrfache Betonung der Stammeszugehörigkeit (Geschlechter, Menasse, Josef, Stamm, Familie, Vater) unterstreicht die zentrale Bedeutung der Stammesintegrität im göttlichen Landverteilungssystem.</w:t>
      </w:r>
    </w:p>
    <w:p w14:paraId="07B43515" w14:textId="77777777" w:rsidR="006C6879" w:rsidRPr="006C6879" w:rsidRDefault="006C6879" w:rsidP="006C6879">
      <w:pPr>
        <w:spacing w:before="100" w:beforeAutospacing="1" w:after="100" w:afterAutospacing="1" w:line="240" w:lineRule="auto"/>
        <w:outlineLvl w:val="0"/>
        <w:rPr>
          <w:rFonts w:eastAsia="Times New Roman" w:cs="Times New Roman"/>
          <w:b/>
          <w:bCs/>
          <w:kern w:val="36"/>
          <w:sz w:val="48"/>
          <w:szCs w:val="48"/>
          <w:lang w:eastAsia="de-DE"/>
        </w:rPr>
      </w:pPr>
      <w:r w:rsidRPr="006C6879">
        <w:rPr>
          <w:rFonts w:eastAsia="Times New Roman" w:cs="Times New Roman"/>
          <w:b/>
          <w:bCs/>
          <w:kern w:val="36"/>
          <w:sz w:val="48"/>
          <w:szCs w:val="48"/>
          <w:lang w:eastAsia="de-DE"/>
        </w:rPr>
        <w:t>Numeri 36,13</w:t>
      </w:r>
    </w:p>
    <w:p w14:paraId="27652BA4" w14:textId="3B6D8B55" w:rsidR="006C6879" w:rsidRPr="006C6879" w:rsidRDefault="006C6879" w:rsidP="00A22CB7">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Hebräisch:</w:t>
      </w:r>
      <w:r w:rsidR="00A22CB7" w:rsidRPr="00A22CB7">
        <w:rPr>
          <w:rFonts w:eastAsia="Times New Roman" w:cs="Times New Roman"/>
          <w:rtl/>
          <w:lang w:eastAsia="de-DE"/>
        </w:rPr>
        <w:t xml:space="preserve"> </w:t>
      </w:r>
      <w:r w:rsidR="00A22CB7" w:rsidRPr="006C6879">
        <w:rPr>
          <w:rFonts w:eastAsia="Times New Roman" w:cs="Times New Roman"/>
          <w:rtl/>
          <w:lang w:eastAsia="de-DE"/>
        </w:rPr>
        <w:t>אֵ֣לֶּה הַמִּצְוֹ֞ת וְהַמִּשְׁפָּטִ֗ים אֲשֶׁ֨ר צִוָּ֧ה יְהוָ֛ה בְּיַד־מֹשֶׁ֖ה אֶל־בְּנֵ֣י יִשְׂרָאֵ֑ל בְּעַֽרְבֹ֣ת מוֹאָ֔ב עַ֖ל יַרְדֵּ֥ן יְרֵחֽוֹ׃</w:t>
      </w:r>
    </w:p>
    <w:p w14:paraId="638E25A6" w14:textId="586E85E5" w:rsidR="006C6879" w:rsidRPr="006C6879" w:rsidRDefault="006C6879" w:rsidP="00A22CB7">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Deutsch</w:t>
      </w:r>
      <w:r w:rsidR="00A22CB7">
        <w:rPr>
          <w:rFonts w:eastAsia="Times New Roman" w:cs="Times New Roman"/>
          <w:b/>
          <w:bCs/>
          <w:lang w:eastAsia="de-DE"/>
        </w:rPr>
        <w:t xml:space="preserve">: </w:t>
      </w:r>
      <w:r w:rsidRPr="006C6879">
        <w:rPr>
          <w:rFonts w:eastAsia="Times New Roman" w:cs="Times New Roman"/>
          <w:lang w:eastAsia="de-DE"/>
        </w:rPr>
        <w:t>Das sind die Gebote und die Rechtsbestimmungen, die der Ewige durch die Hand Mosches den Söhnen Jisra'el geboten hat in den Ebenen Mo'avs, am Jarden Jerechos.</w:t>
      </w:r>
    </w:p>
    <w:p w14:paraId="5F4737F4" w14:textId="77777777" w:rsidR="006C6879" w:rsidRPr="006C6879" w:rsidRDefault="00F329DD" w:rsidP="006C6879">
      <w:pPr>
        <w:spacing w:after="0" w:line="240" w:lineRule="auto"/>
        <w:rPr>
          <w:rFonts w:eastAsia="Times New Roman" w:cs="Times New Roman"/>
          <w:lang w:eastAsia="de-DE"/>
        </w:rPr>
      </w:pPr>
      <w:r>
        <w:rPr>
          <w:rFonts w:eastAsia="Times New Roman" w:cs="Times New Roman"/>
          <w:noProof/>
          <w:lang w:eastAsia="de-DE"/>
        </w:rPr>
        <w:pict w14:anchorId="58400934">
          <v:rect id="_x0000_i2105" style="width:0;height:1.5pt" o:hralign="center" o:hrstd="t" o:hr="t" fillcolor="#a0a0a0" stroked="f"/>
        </w:pict>
      </w:r>
    </w:p>
    <w:p w14:paraId="4233793A" w14:textId="6D99B974" w:rsidR="006C6879" w:rsidRPr="006C6879" w:rsidRDefault="006C6879" w:rsidP="00A22CB7">
      <w:pPr>
        <w:spacing w:before="100" w:beforeAutospacing="1" w:after="100" w:afterAutospacing="1" w:line="240" w:lineRule="auto"/>
        <w:rPr>
          <w:rFonts w:eastAsia="Times New Roman" w:cs="Times New Roman"/>
          <w:lang w:eastAsia="de-DE"/>
        </w:rPr>
      </w:pPr>
      <w:r w:rsidRPr="006C6879">
        <w:rPr>
          <w:rFonts w:eastAsia="Times New Roman" w:cs="Times New Roman"/>
          <w:b/>
          <w:bCs/>
          <w:lang w:eastAsia="de-DE"/>
        </w:rPr>
        <w:t>Kommentar:</w:t>
      </w:r>
      <w:r w:rsidR="00A22CB7">
        <w:rPr>
          <w:rFonts w:eastAsia="Times New Roman" w:cs="Times New Roman"/>
          <w:lang w:eastAsia="de-DE"/>
        </w:rPr>
        <w:t xml:space="preserve"> </w:t>
      </w:r>
      <w:r w:rsidRPr="006C6879">
        <w:rPr>
          <w:rFonts w:eastAsia="Times New Roman" w:cs="Times New Roman"/>
          <w:lang w:eastAsia="de-DE"/>
        </w:rPr>
        <w:t xml:space="preserve">Der Vers ist die abschließende Kolophon-Formel des gesamten Buches Numeri und markiert das literarische Ende. Er beginnt mit dem Demonstrativpronomen </w:t>
      </w:r>
      <w:r w:rsidRPr="006C6879">
        <w:rPr>
          <w:rFonts w:eastAsia="Times New Roman" w:cs="Times New Roman"/>
          <w:b/>
          <w:bCs/>
          <w:rtl/>
          <w:lang w:eastAsia="de-DE"/>
        </w:rPr>
        <w:t>אֵלֶּה</w:t>
      </w:r>
      <w:r w:rsidRPr="006C6879">
        <w:rPr>
          <w:rFonts w:eastAsia="Times New Roman" w:cs="Times New Roman"/>
          <w:rtl/>
          <w:lang w:eastAsia="de-DE"/>
        </w:rPr>
        <w:t xml:space="preserve"> </w:t>
      </w:r>
      <w:r w:rsidRPr="006C6879">
        <w:rPr>
          <w:rFonts w:eastAsia="Times New Roman" w:cs="Times New Roman"/>
          <w:lang w:eastAsia="de-DE"/>
        </w:rPr>
        <w:t xml:space="preserve">(diese), das auf das Vorhergehende zurückverweist, hier nicht nur auf Kapitel 36, sondern auf die gesamte Gesetzessammlung im Buch Numeri. </w:t>
      </w:r>
      <w:r w:rsidRPr="006C6879">
        <w:rPr>
          <w:rFonts w:eastAsia="Times New Roman" w:cs="Times New Roman"/>
          <w:b/>
          <w:bCs/>
          <w:rtl/>
          <w:lang w:eastAsia="de-DE"/>
        </w:rPr>
        <w:t>הַמִּצְוֹת</w:t>
      </w:r>
      <w:r w:rsidRPr="006C6879">
        <w:rPr>
          <w:rFonts w:eastAsia="Times New Roman" w:cs="Times New Roman"/>
          <w:rtl/>
          <w:lang w:eastAsia="de-DE"/>
        </w:rPr>
        <w:t xml:space="preserve"> </w:t>
      </w:r>
      <w:r w:rsidRPr="006C6879">
        <w:rPr>
          <w:rFonts w:eastAsia="Times New Roman" w:cs="Times New Roman"/>
          <w:lang w:eastAsia="de-DE"/>
        </w:rPr>
        <w:t xml:space="preserve">(die Gebote, feminin Plural von </w:t>
      </w:r>
      <w:r w:rsidRPr="006C6879">
        <w:rPr>
          <w:rFonts w:eastAsia="Times New Roman" w:cs="Times New Roman"/>
          <w:rtl/>
          <w:lang w:eastAsia="de-DE"/>
        </w:rPr>
        <w:t>מִצְוָה</w:t>
      </w:r>
      <w:r w:rsidRPr="006C6879">
        <w:rPr>
          <w:rFonts w:eastAsia="Times New Roman" w:cs="Times New Roman"/>
          <w:lang w:eastAsia="de-DE"/>
        </w:rPr>
        <w:t xml:space="preserve"> mit Artikel) bezeichnet die göttlichen Anordnungen. </w:t>
      </w:r>
      <w:r w:rsidRPr="006C6879">
        <w:rPr>
          <w:rFonts w:eastAsia="Times New Roman" w:cs="Times New Roman"/>
          <w:b/>
          <w:bCs/>
          <w:rtl/>
          <w:lang w:eastAsia="de-DE"/>
        </w:rPr>
        <w:t>וְהַמִּשְׁפָּטִים</w:t>
      </w:r>
      <w:r w:rsidRPr="006C6879">
        <w:rPr>
          <w:rFonts w:eastAsia="Times New Roman" w:cs="Times New Roman"/>
          <w:rtl/>
          <w:lang w:eastAsia="de-DE"/>
        </w:rPr>
        <w:t xml:space="preserve"> </w:t>
      </w:r>
      <w:r w:rsidRPr="006C6879">
        <w:rPr>
          <w:rFonts w:eastAsia="Times New Roman" w:cs="Times New Roman"/>
          <w:lang w:eastAsia="de-DE"/>
        </w:rPr>
        <w:t xml:space="preserve">(und die Rechtsbestimmungen, maskulin Plural von </w:t>
      </w:r>
      <w:r w:rsidRPr="006C6879">
        <w:rPr>
          <w:rFonts w:eastAsia="Times New Roman" w:cs="Times New Roman"/>
          <w:rtl/>
          <w:lang w:eastAsia="de-DE"/>
        </w:rPr>
        <w:t>מִשְׁפָּט</w:t>
      </w:r>
      <w:r w:rsidRPr="006C6879">
        <w:rPr>
          <w:rFonts w:eastAsia="Times New Roman" w:cs="Times New Roman"/>
          <w:lang w:eastAsia="de-DE"/>
        </w:rPr>
        <w:t xml:space="preserve"> mit Artikel und Waw) bezeichnet die rechtlichen Entscheidungen und Verordnungen. Diese beiden Begriffe bilden ein Hendiadyoin, das die Gesamtheit der göttlichen Weisung umfasst.</w:t>
      </w:r>
    </w:p>
    <w:p w14:paraId="4BBE8DFF"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Der Relativsatz </w:t>
      </w:r>
      <w:r w:rsidRPr="006C6879">
        <w:rPr>
          <w:rFonts w:eastAsia="Times New Roman" w:cs="Times New Roman"/>
          <w:b/>
          <w:bCs/>
          <w:rtl/>
          <w:lang w:eastAsia="de-DE"/>
        </w:rPr>
        <w:t>אֲשֶׁר צִוָּה יְהוָה</w:t>
      </w:r>
      <w:r w:rsidRPr="006C6879">
        <w:rPr>
          <w:rFonts w:eastAsia="Times New Roman" w:cs="Times New Roman"/>
          <w:rtl/>
          <w:lang w:eastAsia="de-DE"/>
        </w:rPr>
        <w:t xml:space="preserve"> </w:t>
      </w:r>
      <w:r w:rsidRPr="006C6879">
        <w:rPr>
          <w:rFonts w:eastAsia="Times New Roman" w:cs="Times New Roman"/>
          <w:lang w:eastAsia="de-DE"/>
        </w:rPr>
        <w:t xml:space="preserve">modifiziert </w:t>
      </w:r>
      <w:r w:rsidRPr="006C6879">
        <w:rPr>
          <w:rFonts w:eastAsia="Times New Roman" w:cs="Times New Roman"/>
          <w:b/>
          <w:bCs/>
          <w:rtl/>
          <w:lang w:eastAsia="de-DE"/>
        </w:rPr>
        <w:t>הַמִּצְוֹת וְהַמִּשְׁפָּטִים</w:t>
      </w:r>
      <w:r w:rsidRPr="006C6879">
        <w:rPr>
          <w:rFonts w:eastAsia="Times New Roman" w:cs="Times New Roman"/>
          <w:lang w:eastAsia="de-DE"/>
        </w:rPr>
        <w:t xml:space="preserve">: </w:t>
      </w:r>
      <w:r w:rsidRPr="006C6879">
        <w:rPr>
          <w:rFonts w:eastAsia="Times New Roman" w:cs="Times New Roman"/>
          <w:b/>
          <w:bCs/>
          <w:rtl/>
          <w:lang w:eastAsia="de-DE"/>
        </w:rPr>
        <w:t>אֲשֶׁר</w:t>
      </w:r>
      <w:r w:rsidRPr="006C6879">
        <w:rPr>
          <w:rFonts w:eastAsia="Times New Roman" w:cs="Times New Roman"/>
          <w:rtl/>
          <w:lang w:eastAsia="de-DE"/>
        </w:rPr>
        <w:t xml:space="preserve"> </w:t>
      </w:r>
      <w:r w:rsidRPr="006C6879">
        <w:rPr>
          <w:rFonts w:eastAsia="Times New Roman" w:cs="Times New Roman"/>
          <w:lang w:eastAsia="de-DE"/>
        </w:rPr>
        <w:t xml:space="preserve">(welche) leitet den Relativsatz ein, </w:t>
      </w:r>
      <w:r w:rsidRPr="006C6879">
        <w:rPr>
          <w:rFonts w:eastAsia="Times New Roman" w:cs="Times New Roman"/>
          <w:b/>
          <w:bCs/>
          <w:rtl/>
          <w:lang w:eastAsia="de-DE"/>
        </w:rPr>
        <w:t>צִוָּה</w:t>
      </w:r>
      <w:r w:rsidRPr="006C6879">
        <w:rPr>
          <w:rFonts w:eastAsia="Times New Roman" w:cs="Times New Roman"/>
          <w:rtl/>
          <w:lang w:eastAsia="de-DE"/>
        </w:rPr>
        <w:t xml:space="preserve"> </w:t>
      </w:r>
      <w:r w:rsidRPr="006C6879">
        <w:rPr>
          <w:rFonts w:eastAsia="Times New Roman" w:cs="Times New Roman"/>
          <w:lang w:eastAsia="de-DE"/>
        </w:rPr>
        <w:t xml:space="preserve">(3. Person Singular maskulin Perfekt Piel von </w:t>
      </w:r>
      <w:r w:rsidRPr="006C6879">
        <w:rPr>
          <w:rFonts w:eastAsia="Times New Roman" w:cs="Times New Roman"/>
          <w:rtl/>
          <w:lang w:eastAsia="de-DE"/>
        </w:rPr>
        <w:t>צוה</w:t>
      </w:r>
      <w:r w:rsidRPr="006C6879">
        <w:rPr>
          <w:rFonts w:eastAsia="Times New Roman" w:cs="Times New Roman"/>
          <w:lang w:eastAsia="de-DE"/>
        </w:rPr>
        <w:t xml:space="preserve">, befohlen hat) ist das Prädikat, </w:t>
      </w:r>
      <w:r w:rsidRPr="006C6879">
        <w:rPr>
          <w:rFonts w:eastAsia="Times New Roman" w:cs="Times New Roman"/>
          <w:b/>
          <w:bCs/>
          <w:rtl/>
          <w:lang w:eastAsia="de-DE"/>
        </w:rPr>
        <w:t>יְהוָה</w:t>
      </w:r>
      <w:r w:rsidRPr="006C6879">
        <w:rPr>
          <w:rFonts w:eastAsia="Times New Roman" w:cs="Times New Roman"/>
          <w:rtl/>
          <w:lang w:eastAsia="de-DE"/>
        </w:rPr>
        <w:t xml:space="preserve"> </w:t>
      </w:r>
      <w:r w:rsidRPr="006C6879">
        <w:rPr>
          <w:rFonts w:eastAsia="Times New Roman" w:cs="Times New Roman"/>
          <w:lang w:eastAsia="de-DE"/>
        </w:rPr>
        <w:t>(der Ewige) das Subjekt. Das Piel unterstreicht die intensive Autorität des göttlichen Gebots.</w:t>
      </w:r>
    </w:p>
    <w:p w14:paraId="685A4700"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Die präpositionale Phrase </w:t>
      </w:r>
      <w:r w:rsidRPr="006C6879">
        <w:rPr>
          <w:rFonts w:eastAsia="Times New Roman" w:cs="Times New Roman"/>
          <w:b/>
          <w:bCs/>
          <w:rtl/>
          <w:lang w:eastAsia="de-DE"/>
        </w:rPr>
        <w:t>בְּיַד־מֹשֶׁה</w:t>
      </w:r>
      <w:r w:rsidRPr="006C6879">
        <w:rPr>
          <w:rFonts w:eastAsia="Times New Roman" w:cs="Times New Roman"/>
          <w:rtl/>
          <w:lang w:eastAsia="de-DE"/>
        </w:rPr>
        <w:t xml:space="preserve"> </w:t>
      </w:r>
      <w:r w:rsidRPr="006C6879">
        <w:rPr>
          <w:rFonts w:eastAsia="Times New Roman" w:cs="Times New Roman"/>
          <w:lang w:eastAsia="de-DE"/>
        </w:rPr>
        <w:t xml:space="preserve">(durch die Hand Moses) ist eine idiomatische Wendung für göttliche Vermittlung: </w:t>
      </w:r>
      <w:r w:rsidRPr="006C6879">
        <w:rPr>
          <w:rFonts w:eastAsia="Times New Roman" w:cs="Times New Roman"/>
          <w:b/>
          <w:bCs/>
          <w:rtl/>
          <w:lang w:eastAsia="de-DE"/>
        </w:rPr>
        <w:t>בְּ</w:t>
      </w:r>
      <w:r w:rsidRPr="006C6879">
        <w:rPr>
          <w:rFonts w:eastAsia="Times New Roman" w:cs="Times New Roman"/>
          <w:rtl/>
          <w:lang w:eastAsia="de-DE"/>
        </w:rPr>
        <w:t xml:space="preserve"> </w:t>
      </w:r>
      <w:r w:rsidRPr="006C6879">
        <w:rPr>
          <w:rFonts w:eastAsia="Times New Roman" w:cs="Times New Roman"/>
          <w:lang w:eastAsia="de-DE"/>
        </w:rPr>
        <w:t xml:space="preserve">(durch, mittels) mit </w:t>
      </w:r>
      <w:r w:rsidRPr="006C6879">
        <w:rPr>
          <w:rFonts w:eastAsia="Times New Roman" w:cs="Times New Roman"/>
          <w:b/>
          <w:bCs/>
          <w:rtl/>
          <w:lang w:eastAsia="de-DE"/>
        </w:rPr>
        <w:t>יַד</w:t>
      </w:r>
      <w:r w:rsidRPr="006C6879">
        <w:rPr>
          <w:rFonts w:eastAsia="Times New Roman" w:cs="Times New Roman"/>
          <w:rtl/>
          <w:lang w:eastAsia="de-DE"/>
        </w:rPr>
        <w:t xml:space="preserve"> </w:t>
      </w:r>
      <w:r w:rsidRPr="006C6879">
        <w:rPr>
          <w:rFonts w:eastAsia="Times New Roman" w:cs="Times New Roman"/>
          <w:lang w:eastAsia="de-DE"/>
        </w:rPr>
        <w:t xml:space="preserve">(Hand, feminin singular constructus) und </w:t>
      </w:r>
      <w:r w:rsidRPr="006C6879">
        <w:rPr>
          <w:rFonts w:eastAsia="Times New Roman" w:cs="Times New Roman"/>
          <w:b/>
          <w:bCs/>
          <w:rtl/>
          <w:lang w:eastAsia="de-DE"/>
        </w:rPr>
        <w:t>מֹשֶׁה</w:t>
      </w:r>
      <w:r w:rsidRPr="006C6879">
        <w:rPr>
          <w:rFonts w:eastAsia="Times New Roman" w:cs="Times New Roman"/>
          <w:rtl/>
          <w:lang w:eastAsia="de-DE"/>
        </w:rPr>
        <w:t xml:space="preserve"> </w:t>
      </w:r>
      <w:r w:rsidRPr="006C6879">
        <w:rPr>
          <w:rFonts w:eastAsia="Times New Roman" w:cs="Times New Roman"/>
          <w:lang w:eastAsia="de-DE"/>
        </w:rPr>
        <w:t>(Mose, Eigenname). Diese Formel betont Moses Rolle als Mittler zwischen Gott und Israel.</w:t>
      </w:r>
    </w:p>
    <w:p w14:paraId="6A62C342" w14:textId="77777777" w:rsidR="006C6879" w:rsidRPr="006C6879" w:rsidRDefault="006C6879" w:rsidP="006C6879">
      <w:pPr>
        <w:spacing w:before="100" w:beforeAutospacing="1" w:after="100" w:afterAutospacing="1" w:line="240" w:lineRule="auto"/>
        <w:rPr>
          <w:rFonts w:eastAsia="Times New Roman" w:cs="Times New Roman"/>
          <w:lang w:eastAsia="de-DE"/>
        </w:rPr>
      </w:pPr>
      <w:r w:rsidRPr="006C6879">
        <w:rPr>
          <w:rFonts w:eastAsia="Times New Roman" w:cs="Times New Roman"/>
          <w:lang w:eastAsia="de-DE"/>
        </w:rPr>
        <w:t xml:space="preserve">Die Präposition </w:t>
      </w:r>
      <w:r w:rsidRPr="006C6879">
        <w:rPr>
          <w:rFonts w:eastAsia="Times New Roman" w:cs="Times New Roman"/>
          <w:b/>
          <w:bCs/>
          <w:rtl/>
          <w:lang w:eastAsia="de-DE"/>
        </w:rPr>
        <w:t>אֶל</w:t>
      </w:r>
      <w:r w:rsidRPr="006C6879">
        <w:rPr>
          <w:rFonts w:eastAsia="Times New Roman" w:cs="Times New Roman"/>
          <w:rtl/>
          <w:lang w:eastAsia="de-DE"/>
        </w:rPr>
        <w:t xml:space="preserve"> </w:t>
      </w:r>
      <w:r w:rsidRPr="006C6879">
        <w:rPr>
          <w:rFonts w:eastAsia="Times New Roman" w:cs="Times New Roman"/>
          <w:lang w:eastAsia="de-DE"/>
        </w:rPr>
        <w:t xml:space="preserve">(zu, für) mit </w:t>
      </w:r>
      <w:r w:rsidRPr="006C6879">
        <w:rPr>
          <w:rFonts w:eastAsia="Times New Roman" w:cs="Times New Roman"/>
          <w:b/>
          <w:bCs/>
          <w:rtl/>
          <w:lang w:eastAsia="de-DE"/>
        </w:rPr>
        <w:t>בְּנֵי יִשְׂרָאֵל</w:t>
      </w:r>
      <w:r w:rsidRPr="006C6879">
        <w:rPr>
          <w:rFonts w:eastAsia="Times New Roman" w:cs="Times New Roman"/>
          <w:rtl/>
          <w:lang w:eastAsia="de-DE"/>
        </w:rPr>
        <w:t xml:space="preserve"> </w:t>
      </w:r>
      <w:r w:rsidRPr="006C6879">
        <w:rPr>
          <w:rFonts w:eastAsia="Times New Roman" w:cs="Times New Roman"/>
          <w:lang w:eastAsia="de-DE"/>
        </w:rPr>
        <w:t>(die Söhne Israels) gibt die Empfänger der göttlichen Gebote an.</w:t>
      </w:r>
    </w:p>
    <w:p w14:paraId="69E9A945" w14:textId="5295C02C" w:rsidR="006C6879" w:rsidRDefault="006C6879" w:rsidP="006C6879">
      <w:pPr>
        <w:spacing w:before="100" w:beforeAutospacing="1" w:after="100" w:afterAutospacing="1" w:line="240" w:lineRule="auto"/>
      </w:pPr>
      <w:r w:rsidRPr="006C6879">
        <w:rPr>
          <w:rFonts w:eastAsia="Times New Roman" w:cs="Times New Roman"/>
          <w:lang w:eastAsia="de-DE"/>
        </w:rPr>
        <w:t xml:space="preserve">Die doppelte Ortsangabe präzisiert den geografischen Kontext: </w:t>
      </w:r>
      <w:r w:rsidRPr="006C6879">
        <w:rPr>
          <w:rFonts w:eastAsia="Times New Roman" w:cs="Times New Roman"/>
          <w:b/>
          <w:bCs/>
          <w:rtl/>
          <w:lang w:eastAsia="de-DE"/>
        </w:rPr>
        <w:t>בְּעַרְבֹת מוֹאָב</w:t>
      </w:r>
      <w:r w:rsidRPr="006C6879">
        <w:rPr>
          <w:rFonts w:eastAsia="Times New Roman" w:cs="Times New Roman"/>
          <w:rtl/>
          <w:lang w:eastAsia="de-DE"/>
        </w:rPr>
        <w:t xml:space="preserve"> </w:t>
      </w:r>
      <w:r w:rsidRPr="006C6879">
        <w:rPr>
          <w:rFonts w:eastAsia="Times New Roman" w:cs="Times New Roman"/>
          <w:lang w:eastAsia="de-DE"/>
        </w:rPr>
        <w:t xml:space="preserve">(in den Ebenen Moabs) mit der Präposition </w:t>
      </w:r>
      <w:r w:rsidRPr="006C6879">
        <w:rPr>
          <w:rFonts w:eastAsia="Times New Roman" w:cs="Times New Roman"/>
          <w:b/>
          <w:bCs/>
          <w:rtl/>
          <w:lang w:eastAsia="de-DE"/>
        </w:rPr>
        <w:t>בְּ</w:t>
      </w:r>
      <w:r w:rsidRPr="006C6879">
        <w:rPr>
          <w:rFonts w:eastAsia="Times New Roman" w:cs="Times New Roman"/>
          <w:rtl/>
          <w:lang w:eastAsia="de-DE"/>
        </w:rPr>
        <w:t xml:space="preserve"> </w:t>
      </w:r>
      <w:r w:rsidRPr="006C6879">
        <w:rPr>
          <w:rFonts w:eastAsia="Times New Roman" w:cs="Times New Roman"/>
          <w:lang w:eastAsia="de-DE"/>
        </w:rPr>
        <w:t xml:space="preserve">(in), </w:t>
      </w:r>
      <w:r w:rsidRPr="006C6879">
        <w:rPr>
          <w:rFonts w:eastAsia="Times New Roman" w:cs="Times New Roman"/>
          <w:b/>
          <w:bCs/>
          <w:rtl/>
          <w:lang w:eastAsia="de-DE"/>
        </w:rPr>
        <w:t>עַרְבֹת</w:t>
      </w:r>
      <w:r w:rsidRPr="006C6879">
        <w:rPr>
          <w:rFonts w:eastAsia="Times New Roman" w:cs="Times New Roman"/>
          <w:rtl/>
          <w:lang w:eastAsia="de-DE"/>
        </w:rPr>
        <w:t xml:space="preserve"> </w:t>
      </w:r>
      <w:r w:rsidRPr="006C6879">
        <w:rPr>
          <w:rFonts w:eastAsia="Times New Roman" w:cs="Times New Roman"/>
          <w:lang w:eastAsia="de-DE"/>
        </w:rPr>
        <w:t xml:space="preserve">(Steppen/Ebenen, feminin Plural constructus von </w:t>
      </w:r>
      <w:r w:rsidRPr="006C6879">
        <w:rPr>
          <w:rFonts w:eastAsia="Times New Roman" w:cs="Times New Roman"/>
          <w:rtl/>
          <w:lang w:eastAsia="de-DE"/>
        </w:rPr>
        <w:t>עֲרָבָה</w:t>
      </w:r>
      <w:r w:rsidRPr="006C6879">
        <w:rPr>
          <w:rFonts w:eastAsia="Times New Roman" w:cs="Times New Roman"/>
          <w:lang w:eastAsia="de-DE"/>
        </w:rPr>
        <w:t xml:space="preserve">), und </w:t>
      </w:r>
      <w:r w:rsidRPr="006C6879">
        <w:rPr>
          <w:rFonts w:eastAsia="Times New Roman" w:cs="Times New Roman"/>
          <w:b/>
          <w:bCs/>
          <w:rtl/>
          <w:lang w:eastAsia="de-DE"/>
        </w:rPr>
        <w:t>מוֹאָב</w:t>
      </w:r>
      <w:r w:rsidRPr="006C6879">
        <w:rPr>
          <w:rFonts w:eastAsia="Times New Roman" w:cs="Times New Roman"/>
          <w:rtl/>
          <w:lang w:eastAsia="de-DE"/>
        </w:rPr>
        <w:t xml:space="preserve"> </w:t>
      </w:r>
      <w:r w:rsidRPr="006C6879">
        <w:rPr>
          <w:rFonts w:eastAsia="Times New Roman" w:cs="Times New Roman"/>
          <w:lang w:eastAsia="de-DE"/>
        </w:rPr>
        <w:t xml:space="preserve">(Moab, Eigenname). Die weitere Spezifizierung </w:t>
      </w:r>
      <w:r w:rsidRPr="006C6879">
        <w:rPr>
          <w:rFonts w:eastAsia="Times New Roman" w:cs="Times New Roman"/>
          <w:b/>
          <w:bCs/>
          <w:rtl/>
          <w:lang w:eastAsia="de-DE"/>
        </w:rPr>
        <w:t>עַל יַרְדֵּן יְרֵחוֹ</w:t>
      </w:r>
      <w:r w:rsidRPr="006C6879">
        <w:rPr>
          <w:rFonts w:eastAsia="Times New Roman" w:cs="Times New Roman"/>
          <w:rtl/>
          <w:lang w:eastAsia="de-DE"/>
        </w:rPr>
        <w:t xml:space="preserve"> </w:t>
      </w:r>
      <w:r w:rsidRPr="006C6879">
        <w:rPr>
          <w:rFonts w:eastAsia="Times New Roman" w:cs="Times New Roman"/>
          <w:lang w:eastAsia="de-DE"/>
        </w:rPr>
        <w:t xml:space="preserve">(am Jordan von </w:t>
      </w:r>
      <w:r w:rsidRPr="006C6879">
        <w:rPr>
          <w:rFonts w:eastAsia="Times New Roman" w:cs="Times New Roman"/>
          <w:lang w:eastAsia="de-DE"/>
        </w:rPr>
        <w:lastRenderedPageBreak/>
        <w:t xml:space="preserve">Jericho) verwendet die Präposition </w:t>
      </w:r>
      <w:r w:rsidRPr="006C6879">
        <w:rPr>
          <w:rFonts w:eastAsia="Times New Roman" w:cs="Times New Roman"/>
          <w:b/>
          <w:bCs/>
          <w:rtl/>
          <w:lang w:eastAsia="de-DE"/>
        </w:rPr>
        <w:t>עַל</w:t>
      </w:r>
      <w:r w:rsidRPr="006C6879">
        <w:rPr>
          <w:rFonts w:eastAsia="Times New Roman" w:cs="Times New Roman"/>
          <w:rtl/>
          <w:lang w:eastAsia="de-DE"/>
        </w:rPr>
        <w:t xml:space="preserve"> </w:t>
      </w:r>
      <w:r w:rsidRPr="006C6879">
        <w:rPr>
          <w:rFonts w:eastAsia="Times New Roman" w:cs="Times New Roman"/>
          <w:lang w:eastAsia="de-DE"/>
        </w:rPr>
        <w:t xml:space="preserve">(an, bei), </w:t>
      </w:r>
      <w:r w:rsidRPr="006C6879">
        <w:rPr>
          <w:rFonts w:eastAsia="Times New Roman" w:cs="Times New Roman"/>
          <w:b/>
          <w:bCs/>
          <w:rtl/>
          <w:lang w:eastAsia="de-DE"/>
        </w:rPr>
        <w:t>יַרְדֵּן</w:t>
      </w:r>
      <w:r w:rsidRPr="006C6879">
        <w:rPr>
          <w:rFonts w:eastAsia="Times New Roman" w:cs="Times New Roman"/>
          <w:rtl/>
          <w:lang w:eastAsia="de-DE"/>
        </w:rPr>
        <w:t xml:space="preserve"> </w:t>
      </w:r>
      <w:r w:rsidRPr="006C6879">
        <w:rPr>
          <w:rFonts w:eastAsia="Times New Roman" w:cs="Times New Roman"/>
          <w:lang w:eastAsia="de-DE"/>
        </w:rPr>
        <w:t xml:space="preserve">(Jordan, Flussname) und </w:t>
      </w:r>
      <w:r w:rsidRPr="006C6879">
        <w:rPr>
          <w:rFonts w:eastAsia="Times New Roman" w:cs="Times New Roman"/>
          <w:b/>
          <w:bCs/>
          <w:rtl/>
          <w:lang w:eastAsia="de-DE"/>
        </w:rPr>
        <w:t>יְרֵחוֹ</w:t>
      </w:r>
      <w:r w:rsidRPr="006C6879">
        <w:rPr>
          <w:rFonts w:eastAsia="Times New Roman" w:cs="Times New Roman"/>
          <w:rtl/>
          <w:lang w:eastAsia="de-DE"/>
        </w:rPr>
        <w:t xml:space="preserve"> </w:t>
      </w:r>
      <w:r w:rsidRPr="006C6879">
        <w:rPr>
          <w:rFonts w:eastAsia="Times New Roman" w:cs="Times New Roman"/>
          <w:lang w:eastAsia="de-DE"/>
        </w:rPr>
        <w:t>(Jericho, Ortsname im Genitiv). Diese Ortsangabe verweist auf den Schauplatz der Ereignisse am Ende der Wüstenwander</w:t>
      </w:r>
      <w:r>
        <w:t>ung, kurz vor dem Einzug ins verheißene Land. Diese geografische Verortung ist bedeutsam, da sie die Übergangsphase zwischen Wüstenwanderung und Landnahme markiert.</w:t>
      </w:r>
    </w:p>
    <w:p w14:paraId="44E81619" w14:textId="1F2593E5" w:rsidR="006C6879" w:rsidRDefault="006C6879" w:rsidP="006C6879">
      <w:pPr>
        <w:pStyle w:val="whitespace-normal"/>
      </w:pPr>
      <w:r>
        <w:rPr>
          <w:rStyle w:val="Fett"/>
        </w:rPr>
        <w:t>Die LXX</w:t>
      </w:r>
      <w:r>
        <w:t xml:space="preserve"> </w:t>
      </w:r>
      <w:r w:rsidR="00A22CB7">
        <w:t>fügt hinzu „καὶ τὰ κρίματα" (und die Urteile) nach „τὰ δικαιώματα" (die Rechtsbestimmungen), was im MT nicht erscheint, der nur „</w:t>
      </w:r>
      <w:r w:rsidR="00A22CB7" w:rsidRPr="00A22CB7">
        <w:rPr>
          <w:b/>
          <w:bCs/>
          <w:rtl/>
        </w:rPr>
        <w:t>הַמִּצְוֹת</w:t>
      </w:r>
      <w:r w:rsidR="00A22CB7">
        <w:rPr>
          <w:rtl/>
        </w:rPr>
        <w:t xml:space="preserve"> </w:t>
      </w:r>
      <w:r w:rsidR="00A22CB7" w:rsidRPr="00A22CB7">
        <w:rPr>
          <w:b/>
          <w:bCs/>
          <w:rtl/>
        </w:rPr>
        <w:t>וְהַמִּשְׁפָּטִים</w:t>
      </w:r>
      <w:r w:rsidR="00A22CB7">
        <w:t>" (die Gebote und die Rechtsbestimmungen) hat.</w:t>
      </w:r>
    </w:p>
    <w:p w14:paraId="16A4A276" w14:textId="77777777" w:rsidR="006C6879" w:rsidRDefault="006C6879" w:rsidP="006C6879">
      <w:pPr>
        <w:pStyle w:val="whitespace-normal"/>
      </w:pPr>
      <w:r>
        <w:t>Die Satzstruktur ist ein komplexer nominaler Satz: Demonstrativpronomen (</w:t>
      </w:r>
      <w:r>
        <w:rPr>
          <w:rStyle w:val="Fett"/>
          <w:rtl/>
        </w:rPr>
        <w:t>אֵלֶּה</w:t>
      </w:r>
      <w:r>
        <w:t>) + Subjekt (</w:t>
      </w:r>
      <w:r>
        <w:rPr>
          <w:rStyle w:val="Fett"/>
          <w:rtl/>
        </w:rPr>
        <w:t>הַמִּצְוֹת וְהַמִּשְׁפָּטִים</w:t>
      </w:r>
      <w:r>
        <w:t>) + Relativsatz (</w:t>
      </w:r>
      <w:r>
        <w:rPr>
          <w:rStyle w:val="Fett"/>
          <w:rtl/>
        </w:rPr>
        <w:t>אֲשֶׁר צִוָּה יְהוָה בְּיַד־מֹשֶׁה אֶל־בְּנֵי יִשְׂרָאֵל</w:t>
      </w:r>
      <w:r>
        <w:t>) + doppelte Ortsangabe (</w:t>
      </w:r>
      <w:r>
        <w:rPr>
          <w:rStyle w:val="Fett"/>
          <w:rtl/>
        </w:rPr>
        <w:t>בְּעַרְבֹת מוֹאָב עַל יַרְדֵּן יְרֵחוֹ</w:t>
      </w:r>
      <w:r>
        <w:t>). Der Relativsatz ist in das Subjekt eingebettet und enthält seinerseits mehrere präpositionale Phrasen. Die präpositionalen Ortsangaben fungieren als adverbiale Bestimmungen zum gesamten Satz. Es handelt sich um einen Hauptsatz ohne weitere subordinierte Nebensätze außer dem attributiven Relativsatz.</w:t>
      </w:r>
    </w:p>
    <w:p w14:paraId="44F9597D" w14:textId="27ECE850" w:rsidR="006C6879" w:rsidRDefault="006C6879" w:rsidP="006C6879">
      <w:pPr>
        <w:pStyle w:val="whitespace-normal"/>
      </w:pPr>
      <w:r>
        <w:t>Der Vers fungiert als formaler Abschluss des gesamten Buches Numeri und fasst dessen Inhalt zusammen: die Sammlung der göttlichen Gebote und Rechtsbestimmungen, die Israel durch Moses Vermittlung in den Steppen Moabs empfing. Die geografische Verortung ist theologisch bedeutsam: Die Gesetzgebung erfolgt am Rand des verheißenen Landes, kurz vor dessen Eroberung, und bereitet Israel auf das Leben im Land vor. Die Betonung der Vermittlerrolle Moses (</w:t>
      </w:r>
      <w:r>
        <w:rPr>
          <w:rStyle w:val="Fett"/>
          <w:rtl/>
        </w:rPr>
        <w:t>בְּיַד־מֹשֶׁה</w:t>
      </w:r>
      <w:r>
        <w:t>) und der göttlichen Autorität (</w:t>
      </w:r>
      <w:r>
        <w:rPr>
          <w:rStyle w:val="Fett"/>
          <w:rtl/>
        </w:rPr>
        <w:t>צִוָּה יְהוָה</w:t>
      </w:r>
      <w:r>
        <w:t xml:space="preserve">) unterstreicht die Legitimität und Verbindlichkeit dieser Gebote. Der Vers schließt nicht nur Kapitel 36, sondern das gesamte vierte Buch der </w:t>
      </w:r>
      <w:r w:rsidR="00525AC4">
        <w:t>Torah</w:t>
      </w:r>
      <w:r>
        <w:t xml:space="preserve"> ab und bildet eine Brücke zum Deuteronomium, das ebenfalls in den Steppen Moabs angesiedelt ist und Moses letzte Reden vor seinem Tod enthält.</w:t>
      </w:r>
    </w:p>
    <w:p w14:paraId="0443585E" w14:textId="4D78DECF" w:rsidR="00782D05" w:rsidRPr="00DD7B89" w:rsidRDefault="00A22CB7" w:rsidP="00DD7B89">
      <w:pPr>
        <w:spacing w:before="100" w:beforeAutospacing="1" w:after="100" w:afterAutospacing="1" w:line="240" w:lineRule="auto"/>
      </w:pPr>
      <w:r>
        <w:rPr>
          <w:rStyle w:val="Fett"/>
        </w:rPr>
        <w:t>Allgemeine Beobachtung:</w:t>
      </w:r>
      <w:r>
        <w:t xml:space="preserve"> Die LXX fügt in Vers 1 Eleasar hinzu, was die Autorität der priesterlichen Beteiligung an diesem wichtigen Urteil über Erbrecht betont. Die unterschiedliche Reihenfolge der Töchternamen in Vers 11 könnte auf verschiedene Texttraditionen hindeuten. Die LXX betont durchgängig den Verwandtschaftsaspekt des Erbrechts durch Verwendung von „ἀγχιστεύω" (als naher Verwandter erben).</w:t>
      </w:r>
    </w:p>
    <w:p w14:paraId="0ACEA5FD" w14:textId="34C28F36" w:rsidR="00F133EC" w:rsidRDefault="00F133EC" w:rsidP="006C6879">
      <w:pPr>
        <w:spacing w:before="100" w:beforeAutospacing="1" w:after="100" w:afterAutospacing="1" w:line="240" w:lineRule="auto"/>
        <w:rPr>
          <w:rFonts w:eastAsia="Times New Roman" w:cs="Times New Roman"/>
          <w:lang w:eastAsia="de-DE"/>
        </w:rPr>
      </w:pPr>
    </w:p>
    <w:p w14:paraId="0C210048" w14:textId="77777777" w:rsidR="00DD7B89" w:rsidRDefault="00DD7B89" w:rsidP="00DD7B89">
      <w:pPr>
        <w:spacing w:before="100" w:beforeAutospacing="1" w:after="100" w:afterAutospacing="1" w:line="240" w:lineRule="auto"/>
        <w:rPr>
          <w:rFonts w:eastAsia="Times New Roman" w:cs="Times New Roman"/>
          <w:lang w:eastAsia="de-DE"/>
        </w:rPr>
      </w:pPr>
      <w:r>
        <w:rPr>
          <w:rFonts w:eastAsia="Times New Roman" w:cs="Times New Roman"/>
          <w:lang w:eastAsia="de-DE"/>
        </w:rPr>
        <w:t>Peter Streitenberger / Ingolstadt &amp; Thomas Schneider / Rennerod im Dezember 2025</w:t>
      </w:r>
    </w:p>
    <w:p w14:paraId="21A1A134" w14:textId="672A34A5" w:rsidR="00D754E3" w:rsidRPr="00D754E3" w:rsidRDefault="00D754E3" w:rsidP="00D754E3">
      <w:pPr>
        <w:spacing w:before="100" w:beforeAutospacing="1" w:after="100" w:afterAutospacing="1" w:line="240" w:lineRule="auto"/>
        <w:rPr>
          <w:rFonts w:eastAsia="Times New Roman" w:cs="Times New Roman"/>
          <w:lang w:eastAsia="de-DE"/>
        </w:rPr>
      </w:pPr>
    </w:p>
    <w:p w14:paraId="4FA6D0F3" w14:textId="77777777" w:rsidR="00D754E3" w:rsidRDefault="00D754E3" w:rsidP="00D754E3">
      <w:pPr>
        <w:pStyle w:val="whitespace-normal"/>
      </w:pPr>
    </w:p>
    <w:p w14:paraId="7AD40BE6" w14:textId="77777777" w:rsidR="00D754E3" w:rsidRDefault="00D754E3" w:rsidP="006E39D1">
      <w:pPr>
        <w:spacing w:before="100" w:beforeAutospacing="1" w:after="100" w:afterAutospacing="1" w:line="240" w:lineRule="auto"/>
        <w:rPr>
          <w:rFonts w:eastAsia="Times New Roman" w:cs="Times New Roman"/>
          <w:lang w:eastAsia="de-DE"/>
        </w:rPr>
      </w:pPr>
    </w:p>
    <w:p w14:paraId="4EDDB90B" w14:textId="2B10B583" w:rsidR="00C22013" w:rsidRDefault="00C22013" w:rsidP="006E39D1">
      <w:pPr>
        <w:spacing w:before="100" w:beforeAutospacing="1" w:after="100" w:afterAutospacing="1" w:line="240" w:lineRule="auto"/>
        <w:rPr>
          <w:rFonts w:eastAsia="Times New Roman" w:cs="Times New Roman"/>
          <w:lang w:eastAsia="de-DE"/>
        </w:rPr>
      </w:pPr>
    </w:p>
    <w:p w14:paraId="3B102640" w14:textId="75983FE9" w:rsidR="00C22013" w:rsidRDefault="00C22013" w:rsidP="006E39D1">
      <w:pPr>
        <w:spacing w:before="100" w:beforeAutospacing="1" w:after="100" w:afterAutospacing="1" w:line="240" w:lineRule="auto"/>
        <w:rPr>
          <w:rFonts w:eastAsia="Times New Roman" w:cs="Times New Roman"/>
          <w:lang w:eastAsia="de-DE"/>
        </w:rPr>
      </w:pPr>
    </w:p>
    <w:p w14:paraId="6CD8C59A" w14:textId="53219DCE" w:rsidR="00C22013" w:rsidRDefault="00C22013" w:rsidP="006E39D1">
      <w:pPr>
        <w:spacing w:before="100" w:beforeAutospacing="1" w:after="100" w:afterAutospacing="1" w:line="240" w:lineRule="auto"/>
        <w:rPr>
          <w:rFonts w:eastAsia="Times New Roman" w:cs="Times New Roman"/>
          <w:lang w:eastAsia="de-DE"/>
        </w:rPr>
      </w:pPr>
    </w:p>
    <w:p w14:paraId="4BAFC13A" w14:textId="30949C4C" w:rsidR="00C22013" w:rsidRDefault="00C22013" w:rsidP="006E39D1">
      <w:pPr>
        <w:spacing w:before="100" w:beforeAutospacing="1" w:after="100" w:afterAutospacing="1" w:line="240" w:lineRule="auto"/>
        <w:rPr>
          <w:rFonts w:eastAsia="Times New Roman" w:cs="Times New Roman"/>
          <w:lang w:eastAsia="de-DE"/>
        </w:rPr>
      </w:pPr>
    </w:p>
    <w:p w14:paraId="503CDB5C" w14:textId="49B84AC3" w:rsidR="00C22013" w:rsidRDefault="00C22013" w:rsidP="006E39D1">
      <w:pPr>
        <w:spacing w:before="100" w:beforeAutospacing="1" w:after="100" w:afterAutospacing="1" w:line="240" w:lineRule="auto"/>
        <w:rPr>
          <w:rFonts w:eastAsia="Times New Roman" w:cs="Times New Roman"/>
          <w:lang w:eastAsia="de-DE"/>
        </w:rPr>
      </w:pPr>
    </w:p>
    <w:p w14:paraId="3E18FBB9" w14:textId="5F7DBCB9" w:rsidR="00C22013" w:rsidRDefault="00C22013" w:rsidP="006E39D1">
      <w:pPr>
        <w:spacing w:before="100" w:beforeAutospacing="1" w:after="100" w:afterAutospacing="1" w:line="240" w:lineRule="auto"/>
        <w:rPr>
          <w:rFonts w:eastAsia="Times New Roman" w:cs="Times New Roman"/>
          <w:lang w:eastAsia="de-DE"/>
        </w:rPr>
      </w:pPr>
    </w:p>
    <w:p w14:paraId="75BE0136" w14:textId="15416610" w:rsidR="00C22013" w:rsidRDefault="00C22013" w:rsidP="006E39D1">
      <w:pPr>
        <w:spacing w:before="100" w:beforeAutospacing="1" w:after="100" w:afterAutospacing="1" w:line="240" w:lineRule="auto"/>
        <w:rPr>
          <w:rFonts w:eastAsia="Times New Roman" w:cs="Times New Roman"/>
          <w:lang w:eastAsia="de-DE"/>
        </w:rPr>
      </w:pPr>
    </w:p>
    <w:p w14:paraId="08F52797" w14:textId="77777777" w:rsidR="00C22013" w:rsidRPr="006E39D1" w:rsidRDefault="00C22013" w:rsidP="006E39D1">
      <w:pPr>
        <w:spacing w:before="100" w:beforeAutospacing="1" w:after="100" w:afterAutospacing="1" w:line="240" w:lineRule="auto"/>
        <w:rPr>
          <w:rFonts w:eastAsia="Times New Roman" w:cs="Times New Roman"/>
          <w:lang w:eastAsia="de-DE"/>
        </w:rPr>
      </w:pPr>
    </w:p>
    <w:sectPr w:rsidR="00C22013" w:rsidRPr="006E39D1">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7BE5A" w14:textId="77777777" w:rsidR="00F329DD" w:rsidRDefault="00F329DD" w:rsidP="00761F29">
      <w:pPr>
        <w:spacing w:after="0" w:line="240" w:lineRule="auto"/>
      </w:pPr>
      <w:r>
        <w:separator/>
      </w:r>
    </w:p>
  </w:endnote>
  <w:endnote w:type="continuationSeparator" w:id="0">
    <w:p w14:paraId="0BB8577E" w14:textId="77777777" w:rsidR="00F329DD" w:rsidRDefault="00F329DD" w:rsidP="00761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82317"/>
      <w:docPartObj>
        <w:docPartGallery w:val="Page Numbers (Bottom of Page)"/>
        <w:docPartUnique/>
      </w:docPartObj>
    </w:sdtPr>
    <w:sdtEndPr/>
    <w:sdtContent>
      <w:p w14:paraId="060F5900" w14:textId="34F7E11B" w:rsidR="00DE6EA4" w:rsidRDefault="00DE6EA4">
        <w:pPr>
          <w:pStyle w:val="Fuzeile"/>
          <w:jc w:val="center"/>
        </w:pPr>
        <w:r>
          <w:rPr>
            <w:noProof/>
          </w:rPr>
          <mc:AlternateContent>
            <mc:Choice Requires="wps">
              <w:drawing>
                <wp:inline distT="0" distB="0" distL="0" distR="0" wp14:anchorId="1230593B" wp14:editId="65BCDE62">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6BC50FB"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" fillcolor="black" stroked="f">
                  <v:fill r:id="rId1" o:title="" type="pattern"/>
                  <w10:anchorlock/>
                </v:shape>
              </w:pict>
            </mc:Fallback>
          </mc:AlternateContent>
        </w:r>
      </w:p>
      <w:p w14:paraId="15D605DB" w14:textId="0028B6C2" w:rsidR="00DE6EA4" w:rsidRDefault="00DE6EA4">
        <w:pPr>
          <w:pStyle w:val="Fuzeile"/>
          <w:jc w:val="center"/>
        </w:pPr>
        <w:r>
          <w:fldChar w:fldCharType="begin"/>
        </w:r>
        <w:r>
          <w:instrText>PAGE    \* MERGEFORMAT</w:instrText>
        </w:r>
        <w:r>
          <w:fldChar w:fldCharType="separate"/>
        </w:r>
        <w:r>
          <w:t>2</w:t>
        </w:r>
        <w:r>
          <w:fldChar w:fldCharType="end"/>
        </w:r>
      </w:p>
    </w:sdtContent>
  </w:sdt>
  <w:p w14:paraId="4DC64538" w14:textId="77777777" w:rsidR="00DE6EA4" w:rsidRDefault="00DE6E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AE6EE" w14:textId="77777777" w:rsidR="00F329DD" w:rsidRDefault="00F329DD" w:rsidP="00761F29">
      <w:pPr>
        <w:spacing w:after="0" w:line="240" w:lineRule="auto"/>
      </w:pPr>
      <w:r>
        <w:separator/>
      </w:r>
    </w:p>
  </w:footnote>
  <w:footnote w:type="continuationSeparator" w:id="0">
    <w:p w14:paraId="263AA783" w14:textId="77777777" w:rsidR="00F329DD" w:rsidRDefault="00F329DD" w:rsidP="00761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A47"/>
    <w:multiLevelType w:val="multilevel"/>
    <w:tmpl w:val="95BE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A25DE"/>
    <w:multiLevelType w:val="multilevel"/>
    <w:tmpl w:val="E766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54967"/>
    <w:multiLevelType w:val="multilevel"/>
    <w:tmpl w:val="6CB6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B2689"/>
    <w:multiLevelType w:val="multilevel"/>
    <w:tmpl w:val="1C34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C81530"/>
    <w:multiLevelType w:val="multilevel"/>
    <w:tmpl w:val="EE30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62AAA"/>
    <w:multiLevelType w:val="multilevel"/>
    <w:tmpl w:val="D6287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A930EC"/>
    <w:multiLevelType w:val="multilevel"/>
    <w:tmpl w:val="016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023D2D"/>
    <w:multiLevelType w:val="multilevel"/>
    <w:tmpl w:val="6792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4D00FD"/>
    <w:multiLevelType w:val="multilevel"/>
    <w:tmpl w:val="27FA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A07F27"/>
    <w:multiLevelType w:val="multilevel"/>
    <w:tmpl w:val="952C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6920D2"/>
    <w:multiLevelType w:val="multilevel"/>
    <w:tmpl w:val="983C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A051CE"/>
    <w:multiLevelType w:val="multilevel"/>
    <w:tmpl w:val="177C2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C42E72"/>
    <w:multiLevelType w:val="multilevel"/>
    <w:tmpl w:val="FFD2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8D6EC2"/>
    <w:multiLevelType w:val="multilevel"/>
    <w:tmpl w:val="A914F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A33631"/>
    <w:multiLevelType w:val="multilevel"/>
    <w:tmpl w:val="8C58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A86500"/>
    <w:multiLevelType w:val="multilevel"/>
    <w:tmpl w:val="E59C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AF6D89"/>
    <w:multiLevelType w:val="multilevel"/>
    <w:tmpl w:val="E908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851751"/>
    <w:multiLevelType w:val="multilevel"/>
    <w:tmpl w:val="5D70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9F797A"/>
    <w:multiLevelType w:val="multilevel"/>
    <w:tmpl w:val="0334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A97424"/>
    <w:multiLevelType w:val="multilevel"/>
    <w:tmpl w:val="D072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3D185F"/>
    <w:multiLevelType w:val="multilevel"/>
    <w:tmpl w:val="4148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E0021D"/>
    <w:multiLevelType w:val="multilevel"/>
    <w:tmpl w:val="76F86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F1100A"/>
    <w:multiLevelType w:val="multilevel"/>
    <w:tmpl w:val="24AE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FC4ACF"/>
    <w:multiLevelType w:val="multilevel"/>
    <w:tmpl w:val="4F6C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CD0B7F"/>
    <w:multiLevelType w:val="hybridMultilevel"/>
    <w:tmpl w:val="EB407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0AFC1D95"/>
    <w:multiLevelType w:val="hybridMultilevel"/>
    <w:tmpl w:val="469C3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B154B75"/>
    <w:multiLevelType w:val="multilevel"/>
    <w:tmpl w:val="24AC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3523DD"/>
    <w:multiLevelType w:val="multilevel"/>
    <w:tmpl w:val="0800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F77F29"/>
    <w:multiLevelType w:val="multilevel"/>
    <w:tmpl w:val="402E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4C3DCE"/>
    <w:multiLevelType w:val="multilevel"/>
    <w:tmpl w:val="6E7C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D5C2B6E"/>
    <w:multiLevelType w:val="multilevel"/>
    <w:tmpl w:val="AB3E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645BA5"/>
    <w:multiLevelType w:val="multilevel"/>
    <w:tmpl w:val="2C701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D8F5645"/>
    <w:multiLevelType w:val="multilevel"/>
    <w:tmpl w:val="B10E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8D5E79"/>
    <w:multiLevelType w:val="multilevel"/>
    <w:tmpl w:val="067A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FED16FC"/>
    <w:multiLevelType w:val="multilevel"/>
    <w:tmpl w:val="DD20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6E7CE6"/>
    <w:multiLevelType w:val="multilevel"/>
    <w:tmpl w:val="CDFAA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82783E"/>
    <w:multiLevelType w:val="multilevel"/>
    <w:tmpl w:val="663C6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10B02F1"/>
    <w:multiLevelType w:val="multilevel"/>
    <w:tmpl w:val="F262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CA38E2"/>
    <w:multiLevelType w:val="multilevel"/>
    <w:tmpl w:val="D02C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5E705A5"/>
    <w:multiLevelType w:val="multilevel"/>
    <w:tmpl w:val="739E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3659C5"/>
    <w:multiLevelType w:val="multilevel"/>
    <w:tmpl w:val="183C0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4E5215"/>
    <w:multiLevelType w:val="multilevel"/>
    <w:tmpl w:val="6C78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75B2F9F"/>
    <w:multiLevelType w:val="multilevel"/>
    <w:tmpl w:val="3900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7A66CEC"/>
    <w:multiLevelType w:val="multilevel"/>
    <w:tmpl w:val="B752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011A41"/>
    <w:multiLevelType w:val="multilevel"/>
    <w:tmpl w:val="A8AA2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80F3149"/>
    <w:multiLevelType w:val="multilevel"/>
    <w:tmpl w:val="150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17712F"/>
    <w:multiLevelType w:val="multilevel"/>
    <w:tmpl w:val="C374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81B6C75"/>
    <w:multiLevelType w:val="multilevel"/>
    <w:tmpl w:val="1A4C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203D0E"/>
    <w:multiLevelType w:val="multilevel"/>
    <w:tmpl w:val="FF32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88A249F"/>
    <w:multiLevelType w:val="multilevel"/>
    <w:tmpl w:val="63E6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8B76A87"/>
    <w:multiLevelType w:val="multilevel"/>
    <w:tmpl w:val="01FC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8D13C20"/>
    <w:multiLevelType w:val="multilevel"/>
    <w:tmpl w:val="24FA12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8F231A2"/>
    <w:multiLevelType w:val="multilevel"/>
    <w:tmpl w:val="A7B4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9E940DA"/>
    <w:multiLevelType w:val="multilevel"/>
    <w:tmpl w:val="50D0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BF66864"/>
    <w:multiLevelType w:val="multilevel"/>
    <w:tmpl w:val="1646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C3E37AC"/>
    <w:multiLevelType w:val="multilevel"/>
    <w:tmpl w:val="EA06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CB15F34"/>
    <w:multiLevelType w:val="multilevel"/>
    <w:tmpl w:val="5288B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D2F3B15"/>
    <w:multiLevelType w:val="multilevel"/>
    <w:tmpl w:val="AFBA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D592305"/>
    <w:multiLevelType w:val="multilevel"/>
    <w:tmpl w:val="40464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D9E7F2F"/>
    <w:multiLevelType w:val="multilevel"/>
    <w:tmpl w:val="27A0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DB145D9"/>
    <w:multiLevelType w:val="multilevel"/>
    <w:tmpl w:val="362EF9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DB901A8"/>
    <w:multiLevelType w:val="multilevel"/>
    <w:tmpl w:val="692A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E182794"/>
    <w:multiLevelType w:val="hybridMultilevel"/>
    <w:tmpl w:val="76F4E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E3A5921"/>
    <w:multiLevelType w:val="multilevel"/>
    <w:tmpl w:val="3D78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EDB772B"/>
    <w:multiLevelType w:val="multilevel"/>
    <w:tmpl w:val="1860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AE7E09"/>
    <w:multiLevelType w:val="multilevel"/>
    <w:tmpl w:val="C4E8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0B44FB0"/>
    <w:multiLevelType w:val="multilevel"/>
    <w:tmpl w:val="B89C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E702A5"/>
    <w:multiLevelType w:val="multilevel"/>
    <w:tmpl w:val="5598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12D6DFC"/>
    <w:multiLevelType w:val="multilevel"/>
    <w:tmpl w:val="68EE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345349"/>
    <w:multiLevelType w:val="multilevel"/>
    <w:tmpl w:val="9C6A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26117AE"/>
    <w:multiLevelType w:val="multilevel"/>
    <w:tmpl w:val="6422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3453705"/>
    <w:multiLevelType w:val="multilevel"/>
    <w:tmpl w:val="DFDEF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5461723"/>
    <w:multiLevelType w:val="multilevel"/>
    <w:tmpl w:val="AFEC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710EAD"/>
    <w:multiLevelType w:val="multilevel"/>
    <w:tmpl w:val="8038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5945C01"/>
    <w:multiLevelType w:val="multilevel"/>
    <w:tmpl w:val="CB96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5F73157"/>
    <w:multiLevelType w:val="multilevel"/>
    <w:tmpl w:val="12B8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61E7AEA"/>
    <w:multiLevelType w:val="multilevel"/>
    <w:tmpl w:val="5EF8A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640162F"/>
    <w:multiLevelType w:val="multilevel"/>
    <w:tmpl w:val="5C4A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7A052F5"/>
    <w:multiLevelType w:val="multilevel"/>
    <w:tmpl w:val="99F86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7CB62BA"/>
    <w:multiLevelType w:val="multilevel"/>
    <w:tmpl w:val="7EBE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7E70026"/>
    <w:multiLevelType w:val="multilevel"/>
    <w:tmpl w:val="D14C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7F220BB"/>
    <w:multiLevelType w:val="multilevel"/>
    <w:tmpl w:val="D83C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8864A5E"/>
    <w:multiLevelType w:val="multilevel"/>
    <w:tmpl w:val="8A32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8AB62BB"/>
    <w:multiLevelType w:val="multilevel"/>
    <w:tmpl w:val="CEA09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9706305"/>
    <w:multiLevelType w:val="hybridMultilevel"/>
    <w:tmpl w:val="F844D2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29C52B93"/>
    <w:multiLevelType w:val="multilevel"/>
    <w:tmpl w:val="B10C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A07122D"/>
    <w:multiLevelType w:val="multilevel"/>
    <w:tmpl w:val="0788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A1F1918"/>
    <w:multiLevelType w:val="multilevel"/>
    <w:tmpl w:val="C47E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CD44FD"/>
    <w:multiLevelType w:val="multilevel"/>
    <w:tmpl w:val="D412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B0B7A34"/>
    <w:multiLevelType w:val="multilevel"/>
    <w:tmpl w:val="CB2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3525A8"/>
    <w:multiLevelType w:val="multilevel"/>
    <w:tmpl w:val="92B6D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C8F2A7D"/>
    <w:multiLevelType w:val="multilevel"/>
    <w:tmpl w:val="5718B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D97360E"/>
    <w:multiLevelType w:val="multilevel"/>
    <w:tmpl w:val="DE06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DD5750C"/>
    <w:multiLevelType w:val="multilevel"/>
    <w:tmpl w:val="5F04B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DF37A76"/>
    <w:multiLevelType w:val="multilevel"/>
    <w:tmpl w:val="C320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E244847"/>
    <w:multiLevelType w:val="multilevel"/>
    <w:tmpl w:val="328C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EBE7BF2"/>
    <w:multiLevelType w:val="multilevel"/>
    <w:tmpl w:val="90AE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F3E1007"/>
    <w:multiLevelType w:val="multilevel"/>
    <w:tmpl w:val="0D8C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F59237E"/>
    <w:multiLevelType w:val="multilevel"/>
    <w:tmpl w:val="B6A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F742D3F"/>
    <w:multiLevelType w:val="multilevel"/>
    <w:tmpl w:val="ED94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AD39AA"/>
    <w:multiLevelType w:val="multilevel"/>
    <w:tmpl w:val="E47C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02A7F3B"/>
    <w:multiLevelType w:val="multilevel"/>
    <w:tmpl w:val="B6F2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1106E3C"/>
    <w:multiLevelType w:val="multilevel"/>
    <w:tmpl w:val="724C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12D5773"/>
    <w:multiLevelType w:val="multilevel"/>
    <w:tmpl w:val="3CB8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14A1EA8"/>
    <w:multiLevelType w:val="multilevel"/>
    <w:tmpl w:val="BA5E3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1D57DE5"/>
    <w:multiLevelType w:val="multilevel"/>
    <w:tmpl w:val="1928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21E5936"/>
    <w:multiLevelType w:val="hybridMultilevel"/>
    <w:tmpl w:val="F2DEB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330F7E13"/>
    <w:multiLevelType w:val="multilevel"/>
    <w:tmpl w:val="CE8E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1609FE"/>
    <w:multiLevelType w:val="multilevel"/>
    <w:tmpl w:val="2CB0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3324CA7"/>
    <w:multiLevelType w:val="multilevel"/>
    <w:tmpl w:val="B980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335406D"/>
    <w:multiLevelType w:val="multilevel"/>
    <w:tmpl w:val="8DB0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3CE25B9"/>
    <w:multiLevelType w:val="multilevel"/>
    <w:tmpl w:val="AE60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125380"/>
    <w:multiLevelType w:val="multilevel"/>
    <w:tmpl w:val="3D2C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4CB7C63"/>
    <w:multiLevelType w:val="hybridMultilevel"/>
    <w:tmpl w:val="68D63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34F731DB"/>
    <w:multiLevelType w:val="multilevel"/>
    <w:tmpl w:val="99AE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4F90311"/>
    <w:multiLevelType w:val="multilevel"/>
    <w:tmpl w:val="C8527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55A7E23"/>
    <w:multiLevelType w:val="multilevel"/>
    <w:tmpl w:val="C336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5692C4D"/>
    <w:multiLevelType w:val="multilevel"/>
    <w:tmpl w:val="8EAE1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63C6736"/>
    <w:multiLevelType w:val="multilevel"/>
    <w:tmpl w:val="ADA07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6E1250A"/>
    <w:multiLevelType w:val="multilevel"/>
    <w:tmpl w:val="35E4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78822DC"/>
    <w:multiLevelType w:val="multilevel"/>
    <w:tmpl w:val="3724C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7D47548"/>
    <w:multiLevelType w:val="multilevel"/>
    <w:tmpl w:val="1FAC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80D04F1"/>
    <w:multiLevelType w:val="multilevel"/>
    <w:tmpl w:val="7018A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86C486F"/>
    <w:multiLevelType w:val="multilevel"/>
    <w:tmpl w:val="FEEC4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98A1735"/>
    <w:multiLevelType w:val="multilevel"/>
    <w:tmpl w:val="0C78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9A35620"/>
    <w:multiLevelType w:val="multilevel"/>
    <w:tmpl w:val="869C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9C027A1"/>
    <w:multiLevelType w:val="multilevel"/>
    <w:tmpl w:val="2DC4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A116BF1"/>
    <w:multiLevelType w:val="multilevel"/>
    <w:tmpl w:val="A2F8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B4F04B4"/>
    <w:multiLevelType w:val="multilevel"/>
    <w:tmpl w:val="161C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275EDF"/>
    <w:multiLevelType w:val="multilevel"/>
    <w:tmpl w:val="A218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E515AC7"/>
    <w:multiLevelType w:val="multilevel"/>
    <w:tmpl w:val="8830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E632FAD"/>
    <w:multiLevelType w:val="hybridMultilevel"/>
    <w:tmpl w:val="8B969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2" w15:restartNumberingAfterBreak="0">
    <w:nsid w:val="3E825035"/>
    <w:multiLevelType w:val="multilevel"/>
    <w:tmpl w:val="8BD2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CF36AC"/>
    <w:multiLevelType w:val="multilevel"/>
    <w:tmpl w:val="51FE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0537B21"/>
    <w:multiLevelType w:val="multilevel"/>
    <w:tmpl w:val="02AE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0EC61C5"/>
    <w:multiLevelType w:val="multilevel"/>
    <w:tmpl w:val="0F7C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14B2EB3"/>
    <w:multiLevelType w:val="hybridMultilevel"/>
    <w:tmpl w:val="C876F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7" w15:restartNumberingAfterBreak="0">
    <w:nsid w:val="417B55A6"/>
    <w:multiLevelType w:val="multilevel"/>
    <w:tmpl w:val="241C8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1C60C25"/>
    <w:multiLevelType w:val="multilevel"/>
    <w:tmpl w:val="3F7A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E20CB5"/>
    <w:multiLevelType w:val="hybridMultilevel"/>
    <w:tmpl w:val="E6F0308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0" w15:restartNumberingAfterBreak="0">
    <w:nsid w:val="43224197"/>
    <w:multiLevelType w:val="hybridMultilevel"/>
    <w:tmpl w:val="F1222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1" w15:restartNumberingAfterBreak="0">
    <w:nsid w:val="434900D3"/>
    <w:multiLevelType w:val="multilevel"/>
    <w:tmpl w:val="954895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3E441A7"/>
    <w:multiLevelType w:val="multilevel"/>
    <w:tmpl w:val="B392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4646951"/>
    <w:multiLevelType w:val="multilevel"/>
    <w:tmpl w:val="30C2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E83221"/>
    <w:multiLevelType w:val="multilevel"/>
    <w:tmpl w:val="BB1C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7072146"/>
    <w:multiLevelType w:val="hybridMultilevel"/>
    <w:tmpl w:val="AC305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47862E76"/>
    <w:multiLevelType w:val="multilevel"/>
    <w:tmpl w:val="5E78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80B7F5B"/>
    <w:multiLevelType w:val="multilevel"/>
    <w:tmpl w:val="5A40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86B6B25"/>
    <w:multiLevelType w:val="multilevel"/>
    <w:tmpl w:val="54AE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9A16C75"/>
    <w:multiLevelType w:val="multilevel"/>
    <w:tmpl w:val="3972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AF263AB"/>
    <w:multiLevelType w:val="multilevel"/>
    <w:tmpl w:val="C43A9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AFB3C6F"/>
    <w:multiLevelType w:val="multilevel"/>
    <w:tmpl w:val="6D0E3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B414D62"/>
    <w:multiLevelType w:val="multilevel"/>
    <w:tmpl w:val="CD94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5C5841"/>
    <w:multiLevelType w:val="multilevel"/>
    <w:tmpl w:val="049A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C495E6D"/>
    <w:multiLevelType w:val="multilevel"/>
    <w:tmpl w:val="79DEB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C55102B"/>
    <w:multiLevelType w:val="multilevel"/>
    <w:tmpl w:val="DF7C1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C883AAE"/>
    <w:multiLevelType w:val="multilevel"/>
    <w:tmpl w:val="A61C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236AA9"/>
    <w:multiLevelType w:val="multilevel"/>
    <w:tmpl w:val="21F4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DF3163B"/>
    <w:multiLevelType w:val="multilevel"/>
    <w:tmpl w:val="F862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E751376"/>
    <w:multiLevelType w:val="multilevel"/>
    <w:tmpl w:val="A8EE3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EF1416B"/>
    <w:multiLevelType w:val="multilevel"/>
    <w:tmpl w:val="ECD6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F9E27A9"/>
    <w:multiLevelType w:val="multilevel"/>
    <w:tmpl w:val="7B665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0394E48"/>
    <w:multiLevelType w:val="multilevel"/>
    <w:tmpl w:val="DFF8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1283BFD"/>
    <w:multiLevelType w:val="multilevel"/>
    <w:tmpl w:val="437E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1544DF5"/>
    <w:multiLevelType w:val="multilevel"/>
    <w:tmpl w:val="FC5AA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24204F6"/>
    <w:multiLevelType w:val="multilevel"/>
    <w:tmpl w:val="EAEAB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35238D8"/>
    <w:multiLevelType w:val="hybridMultilevel"/>
    <w:tmpl w:val="C980C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53825CC4"/>
    <w:multiLevelType w:val="multilevel"/>
    <w:tmpl w:val="41C2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39B242C"/>
    <w:multiLevelType w:val="multilevel"/>
    <w:tmpl w:val="C0D65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41D32E0"/>
    <w:multiLevelType w:val="multilevel"/>
    <w:tmpl w:val="F352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1A1E0D"/>
    <w:multiLevelType w:val="multilevel"/>
    <w:tmpl w:val="35FC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3815AA"/>
    <w:multiLevelType w:val="hybridMultilevel"/>
    <w:tmpl w:val="9A44C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2" w15:restartNumberingAfterBreak="0">
    <w:nsid w:val="55770E55"/>
    <w:multiLevelType w:val="multilevel"/>
    <w:tmpl w:val="EA20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5782E4B"/>
    <w:multiLevelType w:val="multilevel"/>
    <w:tmpl w:val="729E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69150F1"/>
    <w:multiLevelType w:val="multilevel"/>
    <w:tmpl w:val="05C4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6B65A6A"/>
    <w:multiLevelType w:val="multilevel"/>
    <w:tmpl w:val="ADD8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0A5B73"/>
    <w:multiLevelType w:val="multilevel"/>
    <w:tmpl w:val="062A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384442"/>
    <w:multiLevelType w:val="multilevel"/>
    <w:tmpl w:val="9BAA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74B1EC1"/>
    <w:multiLevelType w:val="multilevel"/>
    <w:tmpl w:val="1DB0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76C045E"/>
    <w:multiLevelType w:val="multilevel"/>
    <w:tmpl w:val="5A88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7AE7011"/>
    <w:multiLevelType w:val="multilevel"/>
    <w:tmpl w:val="2A1E0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8834F52"/>
    <w:multiLevelType w:val="multilevel"/>
    <w:tmpl w:val="D83C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8DE0E5C"/>
    <w:multiLevelType w:val="multilevel"/>
    <w:tmpl w:val="078A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92D53FB"/>
    <w:multiLevelType w:val="multilevel"/>
    <w:tmpl w:val="334E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9525B47"/>
    <w:multiLevelType w:val="multilevel"/>
    <w:tmpl w:val="F40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9543180"/>
    <w:multiLevelType w:val="multilevel"/>
    <w:tmpl w:val="6D8E3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9846320"/>
    <w:multiLevelType w:val="multilevel"/>
    <w:tmpl w:val="3336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9CE70BF"/>
    <w:multiLevelType w:val="multilevel"/>
    <w:tmpl w:val="3BCA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A31470B"/>
    <w:multiLevelType w:val="multilevel"/>
    <w:tmpl w:val="5774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A8C6D67"/>
    <w:multiLevelType w:val="multilevel"/>
    <w:tmpl w:val="9232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AA1277C"/>
    <w:multiLevelType w:val="multilevel"/>
    <w:tmpl w:val="D83C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AA2552A"/>
    <w:multiLevelType w:val="multilevel"/>
    <w:tmpl w:val="E2F2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BB20DB2"/>
    <w:multiLevelType w:val="multilevel"/>
    <w:tmpl w:val="27B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BB33093"/>
    <w:multiLevelType w:val="multilevel"/>
    <w:tmpl w:val="76FC2B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D8053D7"/>
    <w:multiLevelType w:val="multilevel"/>
    <w:tmpl w:val="316C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E2036BB"/>
    <w:multiLevelType w:val="multilevel"/>
    <w:tmpl w:val="D462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EBF228C"/>
    <w:multiLevelType w:val="multilevel"/>
    <w:tmpl w:val="0C4A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F5626C3"/>
    <w:multiLevelType w:val="multilevel"/>
    <w:tmpl w:val="8F9CF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FFD38DD"/>
    <w:multiLevelType w:val="multilevel"/>
    <w:tmpl w:val="24FA12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0A96C16"/>
    <w:multiLevelType w:val="multilevel"/>
    <w:tmpl w:val="B51C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0C77C5E"/>
    <w:multiLevelType w:val="multilevel"/>
    <w:tmpl w:val="FB4E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0CE15A4"/>
    <w:multiLevelType w:val="multilevel"/>
    <w:tmpl w:val="F1C8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0DD4928"/>
    <w:multiLevelType w:val="multilevel"/>
    <w:tmpl w:val="96F2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10B209F"/>
    <w:multiLevelType w:val="multilevel"/>
    <w:tmpl w:val="4CA4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10B226C"/>
    <w:multiLevelType w:val="multilevel"/>
    <w:tmpl w:val="6FAA5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1EF6B5E"/>
    <w:multiLevelType w:val="multilevel"/>
    <w:tmpl w:val="81E4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291239C"/>
    <w:multiLevelType w:val="multilevel"/>
    <w:tmpl w:val="A4E6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2B50F0B"/>
    <w:multiLevelType w:val="multilevel"/>
    <w:tmpl w:val="974A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2EA05E2"/>
    <w:multiLevelType w:val="multilevel"/>
    <w:tmpl w:val="CEA6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3046258"/>
    <w:multiLevelType w:val="multilevel"/>
    <w:tmpl w:val="49CC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36D1205"/>
    <w:multiLevelType w:val="multilevel"/>
    <w:tmpl w:val="DC56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3A17485"/>
    <w:multiLevelType w:val="multilevel"/>
    <w:tmpl w:val="A920D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46D6324"/>
    <w:multiLevelType w:val="multilevel"/>
    <w:tmpl w:val="29FE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4DF7C83"/>
    <w:multiLevelType w:val="multilevel"/>
    <w:tmpl w:val="1A849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53A248E"/>
    <w:multiLevelType w:val="multilevel"/>
    <w:tmpl w:val="3CA2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67C0197"/>
    <w:multiLevelType w:val="multilevel"/>
    <w:tmpl w:val="55F6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68545C2"/>
    <w:multiLevelType w:val="multilevel"/>
    <w:tmpl w:val="BA9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69F3E22"/>
    <w:multiLevelType w:val="multilevel"/>
    <w:tmpl w:val="A454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71A0C2D"/>
    <w:multiLevelType w:val="multilevel"/>
    <w:tmpl w:val="A3B28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67806476"/>
    <w:multiLevelType w:val="multilevel"/>
    <w:tmpl w:val="7B76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7AB65AF"/>
    <w:multiLevelType w:val="multilevel"/>
    <w:tmpl w:val="4DE4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86002B9"/>
    <w:multiLevelType w:val="multilevel"/>
    <w:tmpl w:val="5EAA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87D5BC6"/>
    <w:multiLevelType w:val="multilevel"/>
    <w:tmpl w:val="11AE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8B40C03"/>
    <w:multiLevelType w:val="multilevel"/>
    <w:tmpl w:val="0A92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90413CE"/>
    <w:multiLevelType w:val="multilevel"/>
    <w:tmpl w:val="FEDC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9C8633F"/>
    <w:multiLevelType w:val="multilevel"/>
    <w:tmpl w:val="86B4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9C8679C"/>
    <w:multiLevelType w:val="multilevel"/>
    <w:tmpl w:val="1AB2A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E31F57"/>
    <w:multiLevelType w:val="multilevel"/>
    <w:tmpl w:val="2E64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1F34EC"/>
    <w:multiLevelType w:val="multilevel"/>
    <w:tmpl w:val="013CC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CDD2F6C"/>
    <w:multiLevelType w:val="multilevel"/>
    <w:tmpl w:val="ECFC3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D187A3C"/>
    <w:multiLevelType w:val="multilevel"/>
    <w:tmpl w:val="2CF0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D2313D7"/>
    <w:multiLevelType w:val="multilevel"/>
    <w:tmpl w:val="A80E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D384B7B"/>
    <w:multiLevelType w:val="multilevel"/>
    <w:tmpl w:val="FE00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D8B2FDA"/>
    <w:multiLevelType w:val="multilevel"/>
    <w:tmpl w:val="E0465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DAC1EED"/>
    <w:multiLevelType w:val="multilevel"/>
    <w:tmpl w:val="4BFE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E324E9B"/>
    <w:multiLevelType w:val="multilevel"/>
    <w:tmpl w:val="8E5E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EB5591D"/>
    <w:multiLevelType w:val="multilevel"/>
    <w:tmpl w:val="1044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F626030"/>
    <w:multiLevelType w:val="multilevel"/>
    <w:tmpl w:val="C918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70135B7B"/>
    <w:multiLevelType w:val="multilevel"/>
    <w:tmpl w:val="9AE49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703D1BFF"/>
    <w:multiLevelType w:val="multilevel"/>
    <w:tmpl w:val="9456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03D2B06"/>
    <w:multiLevelType w:val="multilevel"/>
    <w:tmpl w:val="956E4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1227F85"/>
    <w:multiLevelType w:val="hybridMultilevel"/>
    <w:tmpl w:val="13ECC6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2" w15:restartNumberingAfterBreak="0">
    <w:nsid w:val="71EB0237"/>
    <w:multiLevelType w:val="multilevel"/>
    <w:tmpl w:val="4A22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2B8402E"/>
    <w:multiLevelType w:val="multilevel"/>
    <w:tmpl w:val="D78C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2F91452"/>
    <w:multiLevelType w:val="multilevel"/>
    <w:tmpl w:val="80E0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35600EA"/>
    <w:multiLevelType w:val="multilevel"/>
    <w:tmpl w:val="7698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36A6C6E"/>
    <w:multiLevelType w:val="multilevel"/>
    <w:tmpl w:val="EA2A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3B370D0"/>
    <w:multiLevelType w:val="multilevel"/>
    <w:tmpl w:val="76EE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4B92F88"/>
    <w:multiLevelType w:val="multilevel"/>
    <w:tmpl w:val="4A6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4EB1A47"/>
    <w:multiLevelType w:val="multilevel"/>
    <w:tmpl w:val="887C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50103FA"/>
    <w:multiLevelType w:val="multilevel"/>
    <w:tmpl w:val="7A08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5935EC4"/>
    <w:multiLevelType w:val="multilevel"/>
    <w:tmpl w:val="99DA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6D17E47"/>
    <w:multiLevelType w:val="multilevel"/>
    <w:tmpl w:val="89AC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77D3B80"/>
    <w:multiLevelType w:val="multilevel"/>
    <w:tmpl w:val="B658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83E4352"/>
    <w:multiLevelType w:val="multilevel"/>
    <w:tmpl w:val="AA74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8C5767F"/>
    <w:multiLevelType w:val="multilevel"/>
    <w:tmpl w:val="78C6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8E95F1C"/>
    <w:multiLevelType w:val="multilevel"/>
    <w:tmpl w:val="103C4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79395B59"/>
    <w:multiLevelType w:val="multilevel"/>
    <w:tmpl w:val="7242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A7106FF"/>
    <w:multiLevelType w:val="multilevel"/>
    <w:tmpl w:val="1442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A8E5F03"/>
    <w:multiLevelType w:val="multilevel"/>
    <w:tmpl w:val="6FE4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ABF3C92"/>
    <w:multiLevelType w:val="multilevel"/>
    <w:tmpl w:val="DC54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B141256"/>
    <w:multiLevelType w:val="multilevel"/>
    <w:tmpl w:val="36A8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B3744D4"/>
    <w:multiLevelType w:val="multilevel"/>
    <w:tmpl w:val="779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C692733"/>
    <w:multiLevelType w:val="multilevel"/>
    <w:tmpl w:val="F1AC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C745412"/>
    <w:multiLevelType w:val="multilevel"/>
    <w:tmpl w:val="2110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D1B4FED"/>
    <w:multiLevelType w:val="multilevel"/>
    <w:tmpl w:val="1456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D463D9D"/>
    <w:multiLevelType w:val="multilevel"/>
    <w:tmpl w:val="C1D6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D8E7BFB"/>
    <w:multiLevelType w:val="multilevel"/>
    <w:tmpl w:val="275E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DBE3801"/>
    <w:multiLevelType w:val="multilevel"/>
    <w:tmpl w:val="7910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DC65D5D"/>
    <w:multiLevelType w:val="multilevel"/>
    <w:tmpl w:val="2A40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DD06D00"/>
    <w:multiLevelType w:val="multilevel"/>
    <w:tmpl w:val="DABE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E607033"/>
    <w:multiLevelType w:val="multilevel"/>
    <w:tmpl w:val="5EAA3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E722550"/>
    <w:multiLevelType w:val="multilevel"/>
    <w:tmpl w:val="4F9C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8"/>
  </w:num>
  <w:num w:numId="2">
    <w:abstractNumId w:val="81"/>
  </w:num>
  <w:num w:numId="3">
    <w:abstractNumId w:val="11"/>
  </w:num>
  <w:num w:numId="4">
    <w:abstractNumId w:val="185"/>
  </w:num>
  <w:num w:numId="5">
    <w:abstractNumId w:val="21"/>
  </w:num>
  <w:num w:numId="6">
    <w:abstractNumId w:val="171"/>
  </w:num>
  <w:num w:numId="7">
    <w:abstractNumId w:val="114"/>
  </w:num>
  <w:num w:numId="8">
    <w:abstractNumId w:val="31"/>
  </w:num>
  <w:num w:numId="9">
    <w:abstractNumId w:val="237"/>
  </w:num>
  <w:num w:numId="10">
    <w:abstractNumId w:val="5"/>
  </w:num>
  <w:num w:numId="11">
    <w:abstractNumId w:val="56"/>
  </w:num>
  <w:num w:numId="12">
    <w:abstractNumId w:val="142"/>
  </w:num>
  <w:num w:numId="13">
    <w:abstractNumId w:val="50"/>
  </w:num>
  <w:num w:numId="14">
    <w:abstractNumId w:val="41"/>
  </w:num>
  <w:num w:numId="15">
    <w:abstractNumId w:val="231"/>
  </w:num>
  <w:num w:numId="16">
    <w:abstractNumId w:val="112"/>
  </w:num>
  <w:num w:numId="17">
    <w:abstractNumId w:val="265"/>
  </w:num>
  <w:num w:numId="18">
    <w:abstractNumId w:val="233"/>
  </w:num>
  <w:num w:numId="19">
    <w:abstractNumId w:val="166"/>
  </w:num>
  <w:num w:numId="20">
    <w:abstractNumId w:val="48"/>
  </w:num>
  <w:num w:numId="21">
    <w:abstractNumId w:val="113"/>
  </w:num>
  <w:num w:numId="22">
    <w:abstractNumId w:val="131"/>
  </w:num>
  <w:num w:numId="23">
    <w:abstractNumId w:val="140"/>
  </w:num>
  <w:num w:numId="24">
    <w:abstractNumId w:val="211"/>
  </w:num>
  <w:num w:numId="25">
    <w:abstractNumId w:val="187"/>
  </w:num>
  <w:num w:numId="26">
    <w:abstractNumId w:val="240"/>
  </w:num>
  <w:num w:numId="27">
    <w:abstractNumId w:val="111"/>
  </w:num>
  <w:num w:numId="28">
    <w:abstractNumId w:val="117"/>
  </w:num>
  <w:num w:numId="29">
    <w:abstractNumId w:val="176"/>
  </w:num>
  <w:num w:numId="30">
    <w:abstractNumId w:val="40"/>
  </w:num>
  <w:num w:numId="31">
    <w:abstractNumId w:val="104"/>
  </w:num>
  <w:num w:numId="32">
    <w:abstractNumId w:val="53"/>
  </w:num>
  <w:num w:numId="33">
    <w:abstractNumId w:val="115"/>
  </w:num>
  <w:num w:numId="34">
    <w:abstractNumId w:val="25"/>
  </w:num>
  <w:num w:numId="35">
    <w:abstractNumId w:val="24"/>
  </w:num>
  <w:num w:numId="36">
    <w:abstractNumId w:val="84"/>
  </w:num>
  <w:num w:numId="37">
    <w:abstractNumId w:val="109"/>
  </w:num>
  <w:num w:numId="38">
    <w:abstractNumId w:val="138"/>
  </w:num>
  <w:num w:numId="39">
    <w:abstractNumId w:val="57"/>
  </w:num>
  <w:num w:numId="40">
    <w:abstractNumId w:val="93"/>
  </w:num>
  <w:num w:numId="41">
    <w:abstractNumId w:val="235"/>
  </w:num>
  <w:num w:numId="42">
    <w:abstractNumId w:val="246"/>
  </w:num>
  <w:num w:numId="43">
    <w:abstractNumId w:val="193"/>
  </w:num>
  <w:num w:numId="44">
    <w:abstractNumId w:val="159"/>
  </w:num>
  <w:num w:numId="45">
    <w:abstractNumId w:val="137"/>
  </w:num>
  <w:num w:numId="46">
    <w:abstractNumId w:val="158"/>
  </w:num>
  <w:num w:numId="47">
    <w:abstractNumId w:val="242"/>
  </w:num>
  <w:num w:numId="48">
    <w:abstractNumId w:val="160"/>
  </w:num>
  <w:num w:numId="49">
    <w:abstractNumId w:val="86"/>
  </w:num>
  <w:num w:numId="50">
    <w:abstractNumId w:val="99"/>
  </w:num>
  <w:num w:numId="51">
    <w:abstractNumId w:val="4"/>
  </w:num>
  <w:num w:numId="52">
    <w:abstractNumId w:val="213"/>
  </w:num>
  <w:num w:numId="53">
    <w:abstractNumId w:val="55"/>
  </w:num>
  <w:num w:numId="54">
    <w:abstractNumId w:val="37"/>
  </w:num>
  <w:num w:numId="55">
    <w:abstractNumId w:val="26"/>
  </w:num>
  <w:num w:numId="56">
    <w:abstractNumId w:val="209"/>
  </w:num>
  <w:num w:numId="57">
    <w:abstractNumId w:val="69"/>
  </w:num>
  <w:num w:numId="58">
    <w:abstractNumId w:val="28"/>
  </w:num>
  <w:num w:numId="59">
    <w:abstractNumId w:val="260"/>
  </w:num>
  <w:num w:numId="60">
    <w:abstractNumId w:val="27"/>
  </w:num>
  <w:num w:numId="61">
    <w:abstractNumId w:val="12"/>
  </w:num>
  <w:num w:numId="62">
    <w:abstractNumId w:val="156"/>
  </w:num>
  <w:num w:numId="63">
    <w:abstractNumId w:val="7"/>
  </w:num>
  <w:num w:numId="64">
    <w:abstractNumId w:val="2"/>
  </w:num>
  <w:num w:numId="65">
    <w:abstractNumId w:val="228"/>
  </w:num>
  <w:num w:numId="66">
    <w:abstractNumId w:val="168"/>
  </w:num>
  <w:num w:numId="67">
    <w:abstractNumId w:val="248"/>
  </w:num>
  <w:num w:numId="68">
    <w:abstractNumId w:val="78"/>
  </w:num>
  <w:num w:numId="69">
    <w:abstractNumId w:val="247"/>
  </w:num>
  <w:num w:numId="70">
    <w:abstractNumId w:val="267"/>
  </w:num>
  <w:num w:numId="71">
    <w:abstractNumId w:val="174"/>
  </w:num>
  <w:num w:numId="72">
    <w:abstractNumId w:val="162"/>
  </w:num>
  <w:num w:numId="73">
    <w:abstractNumId w:val="94"/>
  </w:num>
  <w:num w:numId="74">
    <w:abstractNumId w:val="188"/>
  </w:num>
  <w:num w:numId="75">
    <w:abstractNumId w:val="165"/>
  </w:num>
  <w:num w:numId="76">
    <w:abstractNumId w:val="204"/>
  </w:num>
  <w:num w:numId="77">
    <w:abstractNumId w:val="34"/>
  </w:num>
  <w:num w:numId="78">
    <w:abstractNumId w:val="151"/>
  </w:num>
  <w:num w:numId="79">
    <w:abstractNumId w:val="88"/>
  </w:num>
  <w:num w:numId="80">
    <w:abstractNumId w:val="54"/>
  </w:num>
  <w:num w:numId="81">
    <w:abstractNumId w:val="222"/>
  </w:num>
  <w:num w:numId="82">
    <w:abstractNumId w:val="43"/>
  </w:num>
  <w:num w:numId="83">
    <w:abstractNumId w:val="3"/>
  </w:num>
  <w:num w:numId="84">
    <w:abstractNumId w:val="189"/>
  </w:num>
  <w:num w:numId="85">
    <w:abstractNumId w:val="105"/>
  </w:num>
  <w:num w:numId="86">
    <w:abstractNumId w:val="13"/>
  </w:num>
  <w:num w:numId="87">
    <w:abstractNumId w:val="141"/>
  </w:num>
  <w:num w:numId="88">
    <w:abstractNumId w:val="198"/>
  </w:num>
  <w:num w:numId="89">
    <w:abstractNumId w:val="139"/>
  </w:num>
  <w:num w:numId="90">
    <w:abstractNumId w:val="51"/>
  </w:num>
  <w:num w:numId="91">
    <w:abstractNumId w:val="219"/>
  </w:num>
  <w:num w:numId="92">
    <w:abstractNumId w:val="89"/>
  </w:num>
  <w:num w:numId="93">
    <w:abstractNumId w:val="63"/>
  </w:num>
  <w:num w:numId="94">
    <w:abstractNumId w:val="241"/>
  </w:num>
  <w:num w:numId="95">
    <w:abstractNumId w:val="128"/>
  </w:num>
  <w:num w:numId="96">
    <w:abstractNumId w:val="163"/>
  </w:num>
  <w:num w:numId="97">
    <w:abstractNumId w:val="184"/>
  </w:num>
  <w:num w:numId="98">
    <w:abstractNumId w:val="272"/>
  </w:num>
  <w:num w:numId="99">
    <w:abstractNumId w:val="20"/>
  </w:num>
  <w:num w:numId="100">
    <w:abstractNumId w:val="90"/>
  </w:num>
  <w:num w:numId="101">
    <w:abstractNumId w:val="254"/>
  </w:num>
  <w:num w:numId="102">
    <w:abstractNumId w:val="263"/>
  </w:num>
  <w:num w:numId="103">
    <w:abstractNumId w:val="35"/>
  </w:num>
  <w:num w:numId="104">
    <w:abstractNumId w:val="60"/>
  </w:num>
  <w:num w:numId="105">
    <w:abstractNumId w:val="210"/>
  </w:num>
  <w:num w:numId="106">
    <w:abstractNumId w:val="257"/>
  </w:num>
  <w:num w:numId="107">
    <w:abstractNumId w:val="173"/>
  </w:num>
  <w:num w:numId="108">
    <w:abstractNumId w:val="108"/>
  </w:num>
  <w:num w:numId="109">
    <w:abstractNumId w:val="29"/>
  </w:num>
  <w:num w:numId="110">
    <w:abstractNumId w:val="181"/>
  </w:num>
  <w:num w:numId="111">
    <w:abstractNumId w:val="167"/>
  </w:num>
  <w:num w:numId="112">
    <w:abstractNumId w:val="148"/>
  </w:num>
  <w:num w:numId="113">
    <w:abstractNumId w:val="190"/>
  </w:num>
  <w:num w:numId="114">
    <w:abstractNumId w:val="255"/>
  </w:num>
  <w:num w:numId="115">
    <w:abstractNumId w:val="268"/>
  </w:num>
  <w:num w:numId="116">
    <w:abstractNumId w:val="264"/>
  </w:num>
  <w:num w:numId="117">
    <w:abstractNumId w:val="179"/>
  </w:num>
  <w:num w:numId="118">
    <w:abstractNumId w:val="202"/>
  </w:num>
  <w:num w:numId="119">
    <w:abstractNumId w:val="18"/>
  </w:num>
  <w:num w:numId="120">
    <w:abstractNumId w:val="33"/>
  </w:num>
  <w:num w:numId="121">
    <w:abstractNumId w:val="253"/>
  </w:num>
  <w:num w:numId="122">
    <w:abstractNumId w:val="135"/>
  </w:num>
  <w:num w:numId="123">
    <w:abstractNumId w:val="9"/>
  </w:num>
  <w:num w:numId="124">
    <w:abstractNumId w:val="97"/>
  </w:num>
  <w:num w:numId="125">
    <w:abstractNumId w:val="100"/>
  </w:num>
  <w:num w:numId="126">
    <w:abstractNumId w:val="116"/>
  </w:num>
  <w:num w:numId="127">
    <w:abstractNumId w:val="239"/>
  </w:num>
  <w:num w:numId="128">
    <w:abstractNumId w:val="236"/>
  </w:num>
  <w:num w:numId="129">
    <w:abstractNumId w:val="208"/>
  </w:num>
  <w:num w:numId="130">
    <w:abstractNumId w:val="270"/>
  </w:num>
  <w:num w:numId="131">
    <w:abstractNumId w:val="126"/>
  </w:num>
  <w:num w:numId="132">
    <w:abstractNumId w:val="47"/>
  </w:num>
  <w:num w:numId="133">
    <w:abstractNumId w:val="125"/>
  </w:num>
  <w:num w:numId="134">
    <w:abstractNumId w:val="224"/>
  </w:num>
  <w:num w:numId="135">
    <w:abstractNumId w:val="216"/>
  </w:num>
  <w:num w:numId="136">
    <w:abstractNumId w:val="221"/>
  </w:num>
  <w:num w:numId="137">
    <w:abstractNumId w:val="232"/>
  </w:num>
  <w:num w:numId="138">
    <w:abstractNumId w:val="79"/>
  </w:num>
  <w:num w:numId="139">
    <w:abstractNumId w:val="194"/>
  </w:num>
  <w:num w:numId="140">
    <w:abstractNumId w:val="152"/>
  </w:num>
  <w:num w:numId="141">
    <w:abstractNumId w:val="119"/>
  </w:num>
  <w:num w:numId="142">
    <w:abstractNumId w:val="191"/>
  </w:num>
  <w:num w:numId="143">
    <w:abstractNumId w:val="39"/>
  </w:num>
  <w:num w:numId="144">
    <w:abstractNumId w:val="169"/>
  </w:num>
  <w:num w:numId="145">
    <w:abstractNumId w:val="244"/>
  </w:num>
  <w:num w:numId="146">
    <w:abstractNumId w:val="23"/>
  </w:num>
  <w:num w:numId="147">
    <w:abstractNumId w:val="80"/>
  </w:num>
  <w:num w:numId="148">
    <w:abstractNumId w:val="64"/>
  </w:num>
  <w:num w:numId="149">
    <w:abstractNumId w:val="134"/>
  </w:num>
  <w:num w:numId="150">
    <w:abstractNumId w:val="227"/>
  </w:num>
  <w:num w:numId="151">
    <w:abstractNumId w:val="77"/>
  </w:num>
  <w:num w:numId="152">
    <w:abstractNumId w:val="182"/>
  </w:num>
  <w:num w:numId="153">
    <w:abstractNumId w:val="215"/>
  </w:num>
  <w:num w:numId="154">
    <w:abstractNumId w:val="68"/>
  </w:num>
  <w:num w:numId="155">
    <w:abstractNumId w:val="61"/>
  </w:num>
  <w:num w:numId="156">
    <w:abstractNumId w:val="73"/>
  </w:num>
  <w:num w:numId="157">
    <w:abstractNumId w:val="144"/>
  </w:num>
  <w:num w:numId="158">
    <w:abstractNumId w:val="195"/>
  </w:num>
  <w:num w:numId="159">
    <w:abstractNumId w:val="65"/>
  </w:num>
  <w:num w:numId="160">
    <w:abstractNumId w:val="98"/>
  </w:num>
  <w:num w:numId="161">
    <w:abstractNumId w:val="102"/>
  </w:num>
  <w:num w:numId="162">
    <w:abstractNumId w:val="186"/>
  </w:num>
  <w:num w:numId="163">
    <w:abstractNumId w:val="258"/>
  </w:num>
  <w:num w:numId="164">
    <w:abstractNumId w:val="192"/>
  </w:num>
  <w:num w:numId="165">
    <w:abstractNumId w:val="212"/>
  </w:num>
  <w:num w:numId="166">
    <w:abstractNumId w:val="170"/>
  </w:num>
  <w:num w:numId="167">
    <w:abstractNumId w:val="127"/>
  </w:num>
  <w:num w:numId="168">
    <w:abstractNumId w:val="10"/>
  </w:num>
  <w:num w:numId="169">
    <w:abstractNumId w:val="14"/>
  </w:num>
  <w:num w:numId="170">
    <w:abstractNumId w:val="269"/>
  </w:num>
  <w:num w:numId="171">
    <w:abstractNumId w:val="107"/>
  </w:num>
  <w:num w:numId="172">
    <w:abstractNumId w:val="87"/>
  </w:num>
  <w:num w:numId="173">
    <w:abstractNumId w:val="96"/>
  </w:num>
  <w:num w:numId="174">
    <w:abstractNumId w:val="217"/>
  </w:num>
  <w:num w:numId="175">
    <w:abstractNumId w:val="58"/>
  </w:num>
  <w:num w:numId="176">
    <w:abstractNumId w:val="45"/>
  </w:num>
  <w:num w:numId="177">
    <w:abstractNumId w:val="218"/>
  </w:num>
  <w:num w:numId="178">
    <w:abstractNumId w:val="220"/>
  </w:num>
  <w:num w:numId="179">
    <w:abstractNumId w:val="206"/>
  </w:num>
  <w:num w:numId="180">
    <w:abstractNumId w:val="177"/>
  </w:num>
  <w:num w:numId="181">
    <w:abstractNumId w:val="153"/>
  </w:num>
  <w:num w:numId="182">
    <w:abstractNumId w:val="146"/>
  </w:num>
  <w:num w:numId="183">
    <w:abstractNumId w:val="205"/>
  </w:num>
  <w:num w:numId="184">
    <w:abstractNumId w:val="42"/>
  </w:num>
  <w:num w:numId="185">
    <w:abstractNumId w:val="129"/>
  </w:num>
  <w:num w:numId="186">
    <w:abstractNumId w:val="225"/>
  </w:num>
  <w:num w:numId="187">
    <w:abstractNumId w:val="245"/>
  </w:num>
  <w:num w:numId="188">
    <w:abstractNumId w:val="147"/>
  </w:num>
  <w:num w:numId="189">
    <w:abstractNumId w:val="82"/>
  </w:num>
  <w:num w:numId="190">
    <w:abstractNumId w:val="164"/>
  </w:num>
  <w:num w:numId="191">
    <w:abstractNumId w:val="22"/>
  </w:num>
  <w:num w:numId="192">
    <w:abstractNumId w:val="261"/>
  </w:num>
  <w:num w:numId="193">
    <w:abstractNumId w:val="133"/>
  </w:num>
  <w:num w:numId="194">
    <w:abstractNumId w:val="226"/>
  </w:num>
  <w:num w:numId="195">
    <w:abstractNumId w:val="130"/>
  </w:num>
  <w:num w:numId="196">
    <w:abstractNumId w:val="154"/>
  </w:num>
  <w:num w:numId="197">
    <w:abstractNumId w:val="132"/>
  </w:num>
  <w:num w:numId="198">
    <w:abstractNumId w:val="19"/>
  </w:num>
  <w:num w:numId="199">
    <w:abstractNumId w:val="30"/>
  </w:num>
  <w:num w:numId="200">
    <w:abstractNumId w:val="178"/>
  </w:num>
  <w:num w:numId="201">
    <w:abstractNumId w:val="150"/>
  </w:num>
  <w:num w:numId="202">
    <w:abstractNumId w:val="203"/>
  </w:num>
  <w:num w:numId="203">
    <w:abstractNumId w:val="196"/>
  </w:num>
  <w:num w:numId="204">
    <w:abstractNumId w:val="92"/>
  </w:num>
  <w:num w:numId="205">
    <w:abstractNumId w:val="122"/>
  </w:num>
  <w:num w:numId="206">
    <w:abstractNumId w:val="149"/>
  </w:num>
  <w:num w:numId="207">
    <w:abstractNumId w:val="180"/>
  </w:num>
  <w:num w:numId="208">
    <w:abstractNumId w:val="229"/>
  </w:num>
  <w:num w:numId="209">
    <w:abstractNumId w:val="91"/>
  </w:num>
  <w:num w:numId="210">
    <w:abstractNumId w:val="36"/>
  </w:num>
  <w:num w:numId="211">
    <w:abstractNumId w:val="155"/>
  </w:num>
  <w:num w:numId="212">
    <w:abstractNumId w:val="256"/>
  </w:num>
  <w:num w:numId="213">
    <w:abstractNumId w:val="214"/>
  </w:num>
  <w:num w:numId="214">
    <w:abstractNumId w:val="46"/>
  </w:num>
  <w:num w:numId="215">
    <w:abstractNumId w:val="44"/>
  </w:num>
  <w:num w:numId="216">
    <w:abstractNumId w:val="230"/>
  </w:num>
  <w:num w:numId="217">
    <w:abstractNumId w:val="71"/>
  </w:num>
  <w:num w:numId="218">
    <w:abstractNumId w:val="67"/>
  </w:num>
  <w:num w:numId="219">
    <w:abstractNumId w:val="74"/>
  </w:num>
  <w:num w:numId="220">
    <w:abstractNumId w:val="8"/>
  </w:num>
  <w:num w:numId="221">
    <w:abstractNumId w:val="70"/>
  </w:num>
  <w:num w:numId="222">
    <w:abstractNumId w:val="76"/>
  </w:num>
  <w:num w:numId="223">
    <w:abstractNumId w:val="143"/>
  </w:num>
  <w:num w:numId="224">
    <w:abstractNumId w:val="83"/>
  </w:num>
  <w:num w:numId="225">
    <w:abstractNumId w:val="200"/>
  </w:num>
  <w:num w:numId="226">
    <w:abstractNumId w:val="72"/>
  </w:num>
  <w:num w:numId="227">
    <w:abstractNumId w:val="52"/>
  </w:num>
  <w:num w:numId="228">
    <w:abstractNumId w:val="6"/>
  </w:num>
  <w:num w:numId="229">
    <w:abstractNumId w:val="32"/>
  </w:num>
  <w:num w:numId="230">
    <w:abstractNumId w:val="157"/>
  </w:num>
  <w:num w:numId="231">
    <w:abstractNumId w:val="15"/>
  </w:num>
  <w:num w:numId="232">
    <w:abstractNumId w:val="136"/>
  </w:num>
  <w:num w:numId="233">
    <w:abstractNumId w:val="123"/>
  </w:num>
  <w:num w:numId="234">
    <w:abstractNumId w:val="16"/>
  </w:num>
  <w:num w:numId="235">
    <w:abstractNumId w:val="249"/>
  </w:num>
  <w:num w:numId="236">
    <w:abstractNumId w:val="243"/>
  </w:num>
  <w:num w:numId="237">
    <w:abstractNumId w:val="234"/>
  </w:num>
  <w:num w:numId="238">
    <w:abstractNumId w:val="223"/>
  </w:num>
  <w:num w:numId="239">
    <w:abstractNumId w:val="1"/>
  </w:num>
  <w:num w:numId="240">
    <w:abstractNumId w:val="175"/>
  </w:num>
  <w:num w:numId="241">
    <w:abstractNumId w:val="95"/>
  </w:num>
  <w:num w:numId="242">
    <w:abstractNumId w:val="207"/>
  </w:num>
  <w:num w:numId="243">
    <w:abstractNumId w:val="85"/>
  </w:num>
  <w:num w:numId="244">
    <w:abstractNumId w:val="49"/>
  </w:num>
  <w:num w:numId="245">
    <w:abstractNumId w:val="103"/>
  </w:num>
  <w:num w:numId="246">
    <w:abstractNumId w:val="75"/>
  </w:num>
  <w:num w:numId="247">
    <w:abstractNumId w:val="259"/>
  </w:num>
  <w:num w:numId="248">
    <w:abstractNumId w:val="172"/>
  </w:num>
  <w:num w:numId="249">
    <w:abstractNumId w:val="66"/>
  </w:num>
  <w:num w:numId="250">
    <w:abstractNumId w:val="121"/>
  </w:num>
  <w:num w:numId="251">
    <w:abstractNumId w:val="101"/>
  </w:num>
  <w:num w:numId="252">
    <w:abstractNumId w:val="266"/>
  </w:num>
  <w:num w:numId="253">
    <w:abstractNumId w:val="120"/>
  </w:num>
  <w:num w:numId="254">
    <w:abstractNumId w:val="59"/>
  </w:num>
  <w:num w:numId="255">
    <w:abstractNumId w:val="17"/>
  </w:num>
  <w:num w:numId="256">
    <w:abstractNumId w:val="38"/>
  </w:num>
  <w:num w:numId="257">
    <w:abstractNumId w:val="145"/>
  </w:num>
  <w:num w:numId="258">
    <w:abstractNumId w:val="106"/>
  </w:num>
  <w:num w:numId="259">
    <w:abstractNumId w:val="0"/>
  </w:num>
  <w:num w:numId="260">
    <w:abstractNumId w:val="110"/>
  </w:num>
  <w:num w:numId="261">
    <w:abstractNumId w:val="201"/>
  </w:num>
  <w:num w:numId="262">
    <w:abstractNumId w:val="62"/>
  </w:num>
  <w:num w:numId="263">
    <w:abstractNumId w:val="262"/>
  </w:num>
  <w:num w:numId="264">
    <w:abstractNumId w:val="252"/>
  </w:num>
  <w:num w:numId="265">
    <w:abstractNumId w:val="251"/>
  </w:num>
  <w:num w:numId="266">
    <w:abstractNumId w:val="183"/>
  </w:num>
  <w:num w:numId="267">
    <w:abstractNumId w:val="161"/>
  </w:num>
  <w:num w:numId="268">
    <w:abstractNumId w:val="271"/>
  </w:num>
  <w:num w:numId="269">
    <w:abstractNumId w:val="197"/>
  </w:num>
  <w:num w:numId="270">
    <w:abstractNumId w:val="118"/>
  </w:num>
  <w:num w:numId="271">
    <w:abstractNumId w:val="250"/>
  </w:num>
  <w:num w:numId="272">
    <w:abstractNumId w:val="199"/>
  </w:num>
  <w:num w:numId="273">
    <w:abstractNumId w:val="124"/>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FD5"/>
    <w:rsid w:val="00002F9F"/>
    <w:rsid w:val="000039C6"/>
    <w:rsid w:val="0001206C"/>
    <w:rsid w:val="00034530"/>
    <w:rsid w:val="000367D9"/>
    <w:rsid w:val="00041673"/>
    <w:rsid w:val="00042804"/>
    <w:rsid w:val="00045675"/>
    <w:rsid w:val="00052939"/>
    <w:rsid w:val="00063C07"/>
    <w:rsid w:val="00067E3D"/>
    <w:rsid w:val="00077755"/>
    <w:rsid w:val="00080525"/>
    <w:rsid w:val="000918C2"/>
    <w:rsid w:val="00095BF0"/>
    <w:rsid w:val="00097545"/>
    <w:rsid w:val="000A46D6"/>
    <w:rsid w:val="000A78D3"/>
    <w:rsid w:val="000C3A0E"/>
    <w:rsid w:val="000C4DAD"/>
    <w:rsid w:val="000D5E97"/>
    <w:rsid w:val="000F1D26"/>
    <w:rsid w:val="000F1E25"/>
    <w:rsid w:val="000F383B"/>
    <w:rsid w:val="000F7EB0"/>
    <w:rsid w:val="0012107F"/>
    <w:rsid w:val="00131889"/>
    <w:rsid w:val="00133297"/>
    <w:rsid w:val="00143A97"/>
    <w:rsid w:val="00164C6E"/>
    <w:rsid w:val="0016711A"/>
    <w:rsid w:val="00182D84"/>
    <w:rsid w:val="00184967"/>
    <w:rsid w:val="00192257"/>
    <w:rsid w:val="001B5A27"/>
    <w:rsid w:val="001C07A7"/>
    <w:rsid w:val="001C4F8B"/>
    <w:rsid w:val="001D73EC"/>
    <w:rsid w:val="0021533F"/>
    <w:rsid w:val="0022169F"/>
    <w:rsid w:val="00232F0F"/>
    <w:rsid w:val="00240935"/>
    <w:rsid w:val="002526EA"/>
    <w:rsid w:val="00261B22"/>
    <w:rsid w:val="0026335B"/>
    <w:rsid w:val="00276816"/>
    <w:rsid w:val="002900A1"/>
    <w:rsid w:val="002B14D4"/>
    <w:rsid w:val="002B370B"/>
    <w:rsid w:val="002B3918"/>
    <w:rsid w:val="002B581B"/>
    <w:rsid w:val="002E19EF"/>
    <w:rsid w:val="003006FE"/>
    <w:rsid w:val="00300FB1"/>
    <w:rsid w:val="003072D8"/>
    <w:rsid w:val="003140ED"/>
    <w:rsid w:val="00315907"/>
    <w:rsid w:val="003231DC"/>
    <w:rsid w:val="0033022C"/>
    <w:rsid w:val="00337D37"/>
    <w:rsid w:val="003405D7"/>
    <w:rsid w:val="00346F0B"/>
    <w:rsid w:val="00356D22"/>
    <w:rsid w:val="00362A05"/>
    <w:rsid w:val="0036662D"/>
    <w:rsid w:val="003751F7"/>
    <w:rsid w:val="00380A50"/>
    <w:rsid w:val="003A0485"/>
    <w:rsid w:val="003A5C0B"/>
    <w:rsid w:val="003B1435"/>
    <w:rsid w:val="003B44ED"/>
    <w:rsid w:val="003D269D"/>
    <w:rsid w:val="003D3D82"/>
    <w:rsid w:val="00405AD0"/>
    <w:rsid w:val="004066B5"/>
    <w:rsid w:val="00407271"/>
    <w:rsid w:val="004142D5"/>
    <w:rsid w:val="00420C4D"/>
    <w:rsid w:val="00422DCA"/>
    <w:rsid w:val="00432FD5"/>
    <w:rsid w:val="00451DE6"/>
    <w:rsid w:val="00456A43"/>
    <w:rsid w:val="00460B9A"/>
    <w:rsid w:val="00460FCC"/>
    <w:rsid w:val="00462114"/>
    <w:rsid w:val="0047207A"/>
    <w:rsid w:val="00493057"/>
    <w:rsid w:val="00497CF8"/>
    <w:rsid w:val="004A7F82"/>
    <w:rsid w:val="004D44DE"/>
    <w:rsid w:val="004E3D2B"/>
    <w:rsid w:val="00510B09"/>
    <w:rsid w:val="00522C34"/>
    <w:rsid w:val="00525AC4"/>
    <w:rsid w:val="00551BCC"/>
    <w:rsid w:val="00552423"/>
    <w:rsid w:val="0057353F"/>
    <w:rsid w:val="00593666"/>
    <w:rsid w:val="005B024E"/>
    <w:rsid w:val="005C59C9"/>
    <w:rsid w:val="005D3CC1"/>
    <w:rsid w:val="005D613B"/>
    <w:rsid w:val="005D7521"/>
    <w:rsid w:val="005E6986"/>
    <w:rsid w:val="005F5A7F"/>
    <w:rsid w:val="005F60FF"/>
    <w:rsid w:val="00603EFB"/>
    <w:rsid w:val="00604358"/>
    <w:rsid w:val="00606F46"/>
    <w:rsid w:val="0064204A"/>
    <w:rsid w:val="00645AD9"/>
    <w:rsid w:val="00651A08"/>
    <w:rsid w:val="00652178"/>
    <w:rsid w:val="006560C9"/>
    <w:rsid w:val="0066732B"/>
    <w:rsid w:val="006715F3"/>
    <w:rsid w:val="0068186F"/>
    <w:rsid w:val="00682D5F"/>
    <w:rsid w:val="006A0345"/>
    <w:rsid w:val="006A6D91"/>
    <w:rsid w:val="006B268B"/>
    <w:rsid w:val="006B48FB"/>
    <w:rsid w:val="006B51A1"/>
    <w:rsid w:val="006B6CD3"/>
    <w:rsid w:val="006C6879"/>
    <w:rsid w:val="006C74DD"/>
    <w:rsid w:val="006D4921"/>
    <w:rsid w:val="006E39D1"/>
    <w:rsid w:val="006E5787"/>
    <w:rsid w:val="006F1585"/>
    <w:rsid w:val="006F1859"/>
    <w:rsid w:val="006F4EAF"/>
    <w:rsid w:val="006F5755"/>
    <w:rsid w:val="007031B9"/>
    <w:rsid w:val="007032F0"/>
    <w:rsid w:val="00703D30"/>
    <w:rsid w:val="007402F8"/>
    <w:rsid w:val="007468AB"/>
    <w:rsid w:val="00761F29"/>
    <w:rsid w:val="007807C9"/>
    <w:rsid w:val="00782D05"/>
    <w:rsid w:val="007B5DE0"/>
    <w:rsid w:val="007B77DC"/>
    <w:rsid w:val="007C0E82"/>
    <w:rsid w:val="007D12AC"/>
    <w:rsid w:val="007D3D45"/>
    <w:rsid w:val="007E33C7"/>
    <w:rsid w:val="007E406A"/>
    <w:rsid w:val="008052D2"/>
    <w:rsid w:val="00825204"/>
    <w:rsid w:val="0083388E"/>
    <w:rsid w:val="00835420"/>
    <w:rsid w:val="008460FE"/>
    <w:rsid w:val="008524BC"/>
    <w:rsid w:val="008537CA"/>
    <w:rsid w:val="00863E9D"/>
    <w:rsid w:val="00864465"/>
    <w:rsid w:val="008A30E0"/>
    <w:rsid w:val="008A74D0"/>
    <w:rsid w:val="008B2F71"/>
    <w:rsid w:val="008C15A5"/>
    <w:rsid w:val="008C2AFD"/>
    <w:rsid w:val="008D0C5E"/>
    <w:rsid w:val="008D19AA"/>
    <w:rsid w:val="008D6149"/>
    <w:rsid w:val="008D68BA"/>
    <w:rsid w:val="008E5E2F"/>
    <w:rsid w:val="008F1F5C"/>
    <w:rsid w:val="008F2395"/>
    <w:rsid w:val="00901D5C"/>
    <w:rsid w:val="00906791"/>
    <w:rsid w:val="00907A11"/>
    <w:rsid w:val="00913A2D"/>
    <w:rsid w:val="00932AD3"/>
    <w:rsid w:val="009356DC"/>
    <w:rsid w:val="00940129"/>
    <w:rsid w:val="00963AC3"/>
    <w:rsid w:val="009732A8"/>
    <w:rsid w:val="00982B39"/>
    <w:rsid w:val="00992D31"/>
    <w:rsid w:val="00994AD3"/>
    <w:rsid w:val="00994FFA"/>
    <w:rsid w:val="009970B6"/>
    <w:rsid w:val="009A0114"/>
    <w:rsid w:val="009A7693"/>
    <w:rsid w:val="009C05CB"/>
    <w:rsid w:val="009C568A"/>
    <w:rsid w:val="009C6F3B"/>
    <w:rsid w:val="009F42CD"/>
    <w:rsid w:val="00A1074A"/>
    <w:rsid w:val="00A14D4E"/>
    <w:rsid w:val="00A22CB7"/>
    <w:rsid w:val="00A7035A"/>
    <w:rsid w:val="00A70521"/>
    <w:rsid w:val="00A70B01"/>
    <w:rsid w:val="00A75527"/>
    <w:rsid w:val="00A80894"/>
    <w:rsid w:val="00A833DE"/>
    <w:rsid w:val="00A8536E"/>
    <w:rsid w:val="00A91CE7"/>
    <w:rsid w:val="00A9358F"/>
    <w:rsid w:val="00AA1547"/>
    <w:rsid w:val="00AA1AFC"/>
    <w:rsid w:val="00AB11ED"/>
    <w:rsid w:val="00AB62F3"/>
    <w:rsid w:val="00AC36A5"/>
    <w:rsid w:val="00AD536A"/>
    <w:rsid w:val="00B00345"/>
    <w:rsid w:val="00B141F3"/>
    <w:rsid w:val="00B14530"/>
    <w:rsid w:val="00B31E00"/>
    <w:rsid w:val="00B34258"/>
    <w:rsid w:val="00B358B7"/>
    <w:rsid w:val="00B37FDD"/>
    <w:rsid w:val="00B513FF"/>
    <w:rsid w:val="00B53452"/>
    <w:rsid w:val="00B7514F"/>
    <w:rsid w:val="00B770B6"/>
    <w:rsid w:val="00B940BC"/>
    <w:rsid w:val="00BA414A"/>
    <w:rsid w:val="00BA5394"/>
    <w:rsid w:val="00BF5EE8"/>
    <w:rsid w:val="00C01D29"/>
    <w:rsid w:val="00C03432"/>
    <w:rsid w:val="00C0709A"/>
    <w:rsid w:val="00C125DE"/>
    <w:rsid w:val="00C15C06"/>
    <w:rsid w:val="00C22013"/>
    <w:rsid w:val="00C229FD"/>
    <w:rsid w:val="00C268A3"/>
    <w:rsid w:val="00C303D4"/>
    <w:rsid w:val="00C416BE"/>
    <w:rsid w:val="00C41F4F"/>
    <w:rsid w:val="00C45636"/>
    <w:rsid w:val="00C61AD3"/>
    <w:rsid w:val="00C71054"/>
    <w:rsid w:val="00C71F15"/>
    <w:rsid w:val="00C73FA4"/>
    <w:rsid w:val="00C75384"/>
    <w:rsid w:val="00C81634"/>
    <w:rsid w:val="00C879EC"/>
    <w:rsid w:val="00C87DD1"/>
    <w:rsid w:val="00CB4E02"/>
    <w:rsid w:val="00CB7165"/>
    <w:rsid w:val="00CD2614"/>
    <w:rsid w:val="00CF5304"/>
    <w:rsid w:val="00CF638D"/>
    <w:rsid w:val="00D011FD"/>
    <w:rsid w:val="00D15F41"/>
    <w:rsid w:val="00D20C83"/>
    <w:rsid w:val="00D30347"/>
    <w:rsid w:val="00D31913"/>
    <w:rsid w:val="00D52999"/>
    <w:rsid w:val="00D70A0B"/>
    <w:rsid w:val="00D754E3"/>
    <w:rsid w:val="00D757C2"/>
    <w:rsid w:val="00D77B8C"/>
    <w:rsid w:val="00D85ADC"/>
    <w:rsid w:val="00D964B1"/>
    <w:rsid w:val="00D97624"/>
    <w:rsid w:val="00DA2FFF"/>
    <w:rsid w:val="00DD0869"/>
    <w:rsid w:val="00DD1DF2"/>
    <w:rsid w:val="00DD7028"/>
    <w:rsid w:val="00DD7B89"/>
    <w:rsid w:val="00DE119B"/>
    <w:rsid w:val="00DE6EA4"/>
    <w:rsid w:val="00DF1E75"/>
    <w:rsid w:val="00DF32CB"/>
    <w:rsid w:val="00E031B3"/>
    <w:rsid w:val="00E134EB"/>
    <w:rsid w:val="00E136DC"/>
    <w:rsid w:val="00E13E0D"/>
    <w:rsid w:val="00E30C3F"/>
    <w:rsid w:val="00E46AC0"/>
    <w:rsid w:val="00EA15C5"/>
    <w:rsid w:val="00EA6783"/>
    <w:rsid w:val="00EC0221"/>
    <w:rsid w:val="00EC7F0D"/>
    <w:rsid w:val="00ED1B86"/>
    <w:rsid w:val="00ED3AE8"/>
    <w:rsid w:val="00EE0C18"/>
    <w:rsid w:val="00EE70D7"/>
    <w:rsid w:val="00EF1150"/>
    <w:rsid w:val="00EF1857"/>
    <w:rsid w:val="00EF6A3E"/>
    <w:rsid w:val="00F00B0E"/>
    <w:rsid w:val="00F054AD"/>
    <w:rsid w:val="00F06C27"/>
    <w:rsid w:val="00F102FE"/>
    <w:rsid w:val="00F13306"/>
    <w:rsid w:val="00F133EC"/>
    <w:rsid w:val="00F253E0"/>
    <w:rsid w:val="00F329DD"/>
    <w:rsid w:val="00F44D88"/>
    <w:rsid w:val="00F53528"/>
    <w:rsid w:val="00F60690"/>
    <w:rsid w:val="00F72A1A"/>
    <w:rsid w:val="00F81BB8"/>
    <w:rsid w:val="00F81C08"/>
    <w:rsid w:val="00F936F7"/>
    <w:rsid w:val="00F9556A"/>
    <w:rsid w:val="00FB4661"/>
    <w:rsid w:val="00FE103E"/>
    <w:rsid w:val="00FE7F02"/>
    <w:rsid w:val="00FF7EC2"/>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A3573"/>
  <w15:chartTrackingRefBased/>
  <w15:docId w15:val="{B66DAF39-126B-43BE-A175-B81EB862A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sz w:val="24"/>
        <w:szCs w:val="24"/>
        <w:lang w:val="de-D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2FD5"/>
    <w:pPr>
      <w:spacing w:line="254" w:lineRule="auto"/>
    </w:pPr>
  </w:style>
  <w:style w:type="paragraph" w:styleId="berschrift1">
    <w:name w:val="heading 1"/>
    <w:basedOn w:val="Standard"/>
    <w:link w:val="berschrift1Zchn"/>
    <w:uiPriority w:val="9"/>
    <w:qFormat/>
    <w:rsid w:val="00EF6A3E"/>
    <w:pPr>
      <w:spacing w:before="100" w:beforeAutospacing="1" w:after="100" w:afterAutospacing="1" w:line="240" w:lineRule="auto"/>
      <w:outlineLvl w:val="0"/>
    </w:pPr>
    <w:rPr>
      <w:rFonts w:eastAsia="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8E5E2F"/>
    <w:pPr>
      <w:keepNext/>
      <w:keepLines/>
      <w:spacing w:before="40" w:after="0"/>
      <w:outlineLvl w:val="1"/>
    </w:pPr>
    <w:rPr>
      <w:rFonts w:asciiTheme="majorHAnsi" w:eastAsiaTheme="majorEastAsia" w:hAnsiTheme="majorHAnsi"/>
      <w:color w:val="2F5496" w:themeColor="accent1" w:themeShade="BF"/>
      <w:sz w:val="26"/>
      <w:szCs w:val="26"/>
    </w:rPr>
  </w:style>
  <w:style w:type="paragraph" w:styleId="berschrift3">
    <w:name w:val="heading 3"/>
    <w:basedOn w:val="Standard"/>
    <w:next w:val="Standard"/>
    <w:link w:val="berschrift3Zchn"/>
    <w:uiPriority w:val="9"/>
    <w:unhideWhenUsed/>
    <w:qFormat/>
    <w:rsid w:val="00B141F3"/>
    <w:pPr>
      <w:keepNext/>
      <w:keepLines/>
      <w:spacing w:before="40" w:after="0"/>
      <w:outlineLvl w:val="2"/>
    </w:pPr>
    <w:rPr>
      <w:rFonts w:asciiTheme="majorHAnsi" w:eastAsiaTheme="majorEastAsia" w:hAnsiTheme="majorHAnsi"/>
      <w:color w:val="1F3763" w:themeColor="accent1" w:themeShade="7F"/>
    </w:rPr>
  </w:style>
  <w:style w:type="paragraph" w:styleId="berschrift4">
    <w:name w:val="heading 4"/>
    <w:basedOn w:val="Standard"/>
    <w:next w:val="Standard"/>
    <w:link w:val="berschrift4Zchn"/>
    <w:uiPriority w:val="9"/>
    <w:unhideWhenUsed/>
    <w:qFormat/>
    <w:rsid w:val="009C6F3B"/>
    <w:pPr>
      <w:keepNext/>
      <w:keepLines/>
      <w:spacing w:before="40" w:after="0"/>
      <w:outlineLvl w:val="3"/>
    </w:pPr>
    <w:rPr>
      <w:rFonts w:asciiTheme="majorHAnsi" w:eastAsiaTheme="majorEastAsia" w:hAnsiTheme="majorHAns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F6A3E"/>
    <w:rPr>
      <w:rFonts w:eastAsia="Times New Roman" w:cs="Times New Roman"/>
      <w:b/>
      <w:bCs/>
      <w:kern w:val="36"/>
      <w:sz w:val="48"/>
      <w:szCs w:val="48"/>
      <w:lang w:eastAsia="de-DE"/>
    </w:rPr>
  </w:style>
  <w:style w:type="character" w:styleId="Fett">
    <w:name w:val="Strong"/>
    <w:basedOn w:val="Absatz-Standardschriftart"/>
    <w:uiPriority w:val="22"/>
    <w:qFormat/>
    <w:rsid w:val="00EF6A3E"/>
    <w:rPr>
      <w:b/>
      <w:bCs/>
    </w:rPr>
  </w:style>
  <w:style w:type="paragraph" w:customStyle="1" w:styleId="whitespace-normal">
    <w:name w:val="whitespace-normal"/>
    <w:basedOn w:val="Standard"/>
    <w:rsid w:val="00EF6A3E"/>
    <w:pPr>
      <w:spacing w:before="100" w:beforeAutospacing="1" w:after="100" w:afterAutospacing="1" w:line="240" w:lineRule="auto"/>
    </w:pPr>
    <w:rPr>
      <w:rFonts w:eastAsia="Times New Roman" w:cs="Times New Roman"/>
      <w:lang w:eastAsia="de-DE"/>
    </w:rPr>
  </w:style>
  <w:style w:type="paragraph" w:styleId="StandardWeb">
    <w:name w:val="Normal (Web)"/>
    <w:basedOn w:val="Standard"/>
    <w:uiPriority w:val="99"/>
    <w:unhideWhenUsed/>
    <w:rsid w:val="0021533F"/>
    <w:pPr>
      <w:spacing w:before="100" w:beforeAutospacing="1" w:after="100" w:afterAutospacing="1" w:line="240" w:lineRule="auto"/>
    </w:pPr>
    <w:rPr>
      <w:rFonts w:eastAsia="Times New Roman" w:cs="Times New Roman"/>
      <w:lang w:eastAsia="de-DE"/>
    </w:rPr>
  </w:style>
  <w:style w:type="paragraph" w:styleId="KeinLeerraum">
    <w:name w:val="No Spacing"/>
    <w:uiPriority w:val="1"/>
    <w:qFormat/>
    <w:rsid w:val="003405D7"/>
    <w:pPr>
      <w:spacing w:after="0" w:line="240" w:lineRule="auto"/>
    </w:pPr>
  </w:style>
  <w:style w:type="paragraph" w:customStyle="1" w:styleId="whitespace-pre-wrap">
    <w:name w:val="whitespace-pre-wrap"/>
    <w:basedOn w:val="Standard"/>
    <w:rsid w:val="00AC36A5"/>
    <w:pPr>
      <w:spacing w:before="100" w:beforeAutospacing="1" w:after="100" w:afterAutospacing="1" w:line="240" w:lineRule="auto"/>
    </w:pPr>
    <w:rPr>
      <w:rFonts w:eastAsia="Times New Roman" w:cs="Times New Roman"/>
      <w:lang w:eastAsia="de-DE"/>
    </w:rPr>
  </w:style>
  <w:style w:type="paragraph" w:styleId="Kopfzeile">
    <w:name w:val="header"/>
    <w:basedOn w:val="Standard"/>
    <w:link w:val="KopfzeileZchn"/>
    <w:uiPriority w:val="99"/>
    <w:unhideWhenUsed/>
    <w:rsid w:val="00761F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1F29"/>
  </w:style>
  <w:style w:type="paragraph" w:styleId="Fuzeile">
    <w:name w:val="footer"/>
    <w:basedOn w:val="Standard"/>
    <w:link w:val="FuzeileZchn"/>
    <w:uiPriority w:val="99"/>
    <w:unhideWhenUsed/>
    <w:rsid w:val="00761F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1F29"/>
  </w:style>
  <w:style w:type="paragraph" w:styleId="Listenabsatz">
    <w:name w:val="List Paragraph"/>
    <w:basedOn w:val="Standard"/>
    <w:uiPriority w:val="34"/>
    <w:qFormat/>
    <w:rsid w:val="00D30347"/>
    <w:pPr>
      <w:ind w:left="720"/>
      <w:contextualSpacing/>
    </w:pPr>
  </w:style>
  <w:style w:type="character" w:customStyle="1" w:styleId="hovertext-text-300">
    <w:name w:val="hover:text-text-300"/>
    <w:basedOn w:val="Absatz-Standardschriftart"/>
    <w:rsid w:val="00F253E0"/>
  </w:style>
  <w:style w:type="character" w:styleId="Hervorhebung">
    <w:name w:val="Emphasis"/>
    <w:basedOn w:val="Absatz-Standardschriftart"/>
    <w:uiPriority w:val="20"/>
    <w:qFormat/>
    <w:rsid w:val="006C6879"/>
    <w:rPr>
      <w:i/>
      <w:iCs/>
    </w:rPr>
  </w:style>
  <w:style w:type="character" w:customStyle="1" w:styleId="berschrift2Zchn">
    <w:name w:val="Überschrift 2 Zchn"/>
    <w:basedOn w:val="Absatz-Standardschriftart"/>
    <w:link w:val="berschrift2"/>
    <w:uiPriority w:val="9"/>
    <w:semiHidden/>
    <w:rsid w:val="008E5E2F"/>
    <w:rPr>
      <w:rFonts w:asciiTheme="majorHAnsi" w:eastAsiaTheme="majorEastAsia" w:hAnsiTheme="majorHAnsi"/>
      <w:color w:val="2F5496" w:themeColor="accent1" w:themeShade="BF"/>
      <w:sz w:val="26"/>
      <w:szCs w:val="26"/>
    </w:rPr>
  </w:style>
  <w:style w:type="paragraph" w:customStyle="1" w:styleId="is-empty">
    <w:name w:val="is-empty"/>
    <w:basedOn w:val="Standard"/>
    <w:rsid w:val="00ED1B86"/>
    <w:pPr>
      <w:spacing w:before="100" w:beforeAutospacing="1" w:after="100" w:afterAutospacing="1" w:line="240" w:lineRule="auto"/>
    </w:pPr>
    <w:rPr>
      <w:rFonts w:eastAsia="Times New Roman" w:cs="Times New Roman"/>
      <w:lang w:eastAsia="de-DE"/>
    </w:rPr>
  </w:style>
  <w:style w:type="character" w:customStyle="1" w:styleId="berschrift3Zchn">
    <w:name w:val="Überschrift 3 Zchn"/>
    <w:basedOn w:val="Absatz-Standardschriftart"/>
    <w:link w:val="berschrift3"/>
    <w:uiPriority w:val="9"/>
    <w:rsid w:val="00B141F3"/>
    <w:rPr>
      <w:rFonts w:asciiTheme="majorHAnsi" w:eastAsiaTheme="majorEastAsia" w:hAnsiTheme="majorHAnsi"/>
      <w:color w:val="1F3763" w:themeColor="accent1" w:themeShade="7F"/>
    </w:rPr>
  </w:style>
  <w:style w:type="table" w:styleId="Tabellenraster">
    <w:name w:val="Table Grid"/>
    <w:basedOn w:val="NormaleTabelle"/>
    <w:uiPriority w:val="39"/>
    <w:rsid w:val="005F6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9C6F3B"/>
    <w:rPr>
      <w:rFonts w:asciiTheme="majorHAnsi" w:eastAsiaTheme="majorEastAsia" w:hAnsiTheme="majorHAnsi"/>
      <w:i/>
      <w:iCs/>
      <w:color w:val="2F5496" w:themeColor="accent1" w:themeShade="BF"/>
    </w:rPr>
  </w:style>
  <w:style w:type="character" w:styleId="Hyperlink">
    <w:name w:val="Hyperlink"/>
    <w:basedOn w:val="Absatz-Standardschriftart"/>
    <w:uiPriority w:val="99"/>
    <w:unhideWhenUsed/>
    <w:rsid w:val="00164C6E"/>
    <w:rPr>
      <w:color w:val="0563C1" w:themeColor="hyperlink"/>
      <w:u w:val="single"/>
    </w:rPr>
  </w:style>
  <w:style w:type="character" w:styleId="NichtaufgelsteErwhnung">
    <w:name w:val="Unresolved Mention"/>
    <w:basedOn w:val="Absatz-Standardschriftart"/>
    <w:uiPriority w:val="99"/>
    <w:semiHidden/>
    <w:unhideWhenUsed/>
    <w:rsid w:val="00164C6E"/>
    <w:rPr>
      <w:color w:val="605E5C"/>
      <w:shd w:val="clear" w:color="auto" w:fill="E1DFDD"/>
    </w:rPr>
  </w:style>
  <w:style w:type="character" w:styleId="BesuchterLink">
    <w:name w:val="FollowedHyperlink"/>
    <w:basedOn w:val="Absatz-Standardschriftart"/>
    <w:uiPriority w:val="99"/>
    <w:semiHidden/>
    <w:unhideWhenUsed/>
    <w:rsid w:val="00F00B0E"/>
    <w:rPr>
      <w:color w:val="954F72" w:themeColor="followedHyperlink"/>
      <w:u w:val="single"/>
    </w:rPr>
  </w:style>
  <w:style w:type="table" w:styleId="TabellemithellemGitternetz">
    <w:name w:val="Grid Table Light"/>
    <w:basedOn w:val="NormaleTabelle"/>
    <w:uiPriority w:val="40"/>
    <w:rsid w:val="00143A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143A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2Akzent4">
    <w:name w:val="Grid Table 2 Accent 4"/>
    <w:basedOn w:val="NormaleTabelle"/>
    <w:uiPriority w:val="47"/>
    <w:rsid w:val="00A833D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font-claude-response-body">
    <w:name w:val="font-claude-response-body"/>
    <w:basedOn w:val="Standard"/>
    <w:rsid w:val="00A833DE"/>
    <w:pPr>
      <w:spacing w:before="100" w:beforeAutospacing="1" w:after="100" w:afterAutospacing="1" w:line="240" w:lineRule="auto"/>
    </w:pPr>
    <w:rPr>
      <w:rFonts w:eastAsia="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735">
      <w:bodyDiv w:val="1"/>
      <w:marLeft w:val="0"/>
      <w:marRight w:val="0"/>
      <w:marTop w:val="0"/>
      <w:marBottom w:val="0"/>
      <w:divBdr>
        <w:top w:val="none" w:sz="0" w:space="0" w:color="auto"/>
        <w:left w:val="none" w:sz="0" w:space="0" w:color="auto"/>
        <w:bottom w:val="none" w:sz="0" w:space="0" w:color="auto"/>
        <w:right w:val="none" w:sz="0" w:space="0" w:color="auto"/>
      </w:divBdr>
      <w:divsChild>
        <w:div w:id="791635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857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768577">
          <w:blockQuote w:val="1"/>
          <w:marLeft w:val="720"/>
          <w:marRight w:val="720"/>
          <w:marTop w:val="100"/>
          <w:marBottom w:val="100"/>
          <w:divBdr>
            <w:top w:val="none" w:sz="0" w:space="0" w:color="auto"/>
            <w:left w:val="none" w:sz="0" w:space="0" w:color="auto"/>
            <w:bottom w:val="none" w:sz="0" w:space="0" w:color="auto"/>
            <w:right w:val="none" w:sz="0" w:space="0" w:color="auto"/>
          </w:divBdr>
        </w:div>
        <w:div w:id="402802893">
          <w:blockQuote w:val="1"/>
          <w:marLeft w:val="720"/>
          <w:marRight w:val="720"/>
          <w:marTop w:val="100"/>
          <w:marBottom w:val="100"/>
          <w:divBdr>
            <w:top w:val="none" w:sz="0" w:space="0" w:color="auto"/>
            <w:left w:val="none" w:sz="0" w:space="0" w:color="auto"/>
            <w:bottom w:val="none" w:sz="0" w:space="0" w:color="auto"/>
            <w:right w:val="none" w:sz="0" w:space="0" w:color="auto"/>
          </w:divBdr>
        </w:div>
        <w:div w:id="497422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480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885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1">
          <w:blockQuote w:val="1"/>
          <w:marLeft w:val="720"/>
          <w:marRight w:val="720"/>
          <w:marTop w:val="100"/>
          <w:marBottom w:val="100"/>
          <w:divBdr>
            <w:top w:val="none" w:sz="0" w:space="0" w:color="auto"/>
            <w:left w:val="none" w:sz="0" w:space="0" w:color="auto"/>
            <w:bottom w:val="none" w:sz="0" w:space="0" w:color="auto"/>
            <w:right w:val="none" w:sz="0" w:space="0" w:color="auto"/>
          </w:divBdr>
        </w:div>
        <w:div w:id="86614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350186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496269">
          <w:blockQuote w:val="1"/>
          <w:marLeft w:val="720"/>
          <w:marRight w:val="720"/>
          <w:marTop w:val="100"/>
          <w:marBottom w:val="100"/>
          <w:divBdr>
            <w:top w:val="none" w:sz="0" w:space="0" w:color="auto"/>
            <w:left w:val="none" w:sz="0" w:space="0" w:color="auto"/>
            <w:bottom w:val="none" w:sz="0" w:space="0" w:color="auto"/>
            <w:right w:val="none" w:sz="0" w:space="0" w:color="auto"/>
          </w:divBdr>
        </w:div>
        <w:div w:id="552738345">
          <w:blockQuote w:val="1"/>
          <w:marLeft w:val="720"/>
          <w:marRight w:val="720"/>
          <w:marTop w:val="100"/>
          <w:marBottom w:val="100"/>
          <w:divBdr>
            <w:top w:val="none" w:sz="0" w:space="0" w:color="auto"/>
            <w:left w:val="none" w:sz="0" w:space="0" w:color="auto"/>
            <w:bottom w:val="none" w:sz="0" w:space="0" w:color="auto"/>
            <w:right w:val="none" w:sz="0" w:space="0" w:color="auto"/>
          </w:divBdr>
        </w:div>
        <w:div w:id="231239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537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92611">
      <w:bodyDiv w:val="1"/>
      <w:marLeft w:val="0"/>
      <w:marRight w:val="0"/>
      <w:marTop w:val="0"/>
      <w:marBottom w:val="0"/>
      <w:divBdr>
        <w:top w:val="none" w:sz="0" w:space="0" w:color="auto"/>
        <w:left w:val="none" w:sz="0" w:space="0" w:color="auto"/>
        <w:bottom w:val="none" w:sz="0" w:space="0" w:color="auto"/>
        <w:right w:val="none" w:sz="0" w:space="0" w:color="auto"/>
      </w:divBdr>
    </w:div>
    <w:div w:id="5138636">
      <w:bodyDiv w:val="1"/>
      <w:marLeft w:val="0"/>
      <w:marRight w:val="0"/>
      <w:marTop w:val="0"/>
      <w:marBottom w:val="0"/>
      <w:divBdr>
        <w:top w:val="none" w:sz="0" w:space="0" w:color="auto"/>
        <w:left w:val="none" w:sz="0" w:space="0" w:color="auto"/>
        <w:bottom w:val="none" w:sz="0" w:space="0" w:color="auto"/>
        <w:right w:val="none" w:sz="0" w:space="0" w:color="auto"/>
      </w:divBdr>
    </w:div>
    <w:div w:id="6762463">
      <w:bodyDiv w:val="1"/>
      <w:marLeft w:val="0"/>
      <w:marRight w:val="0"/>
      <w:marTop w:val="0"/>
      <w:marBottom w:val="0"/>
      <w:divBdr>
        <w:top w:val="none" w:sz="0" w:space="0" w:color="auto"/>
        <w:left w:val="none" w:sz="0" w:space="0" w:color="auto"/>
        <w:bottom w:val="none" w:sz="0" w:space="0" w:color="auto"/>
        <w:right w:val="none" w:sz="0" w:space="0" w:color="auto"/>
      </w:divBdr>
    </w:div>
    <w:div w:id="10883018">
      <w:bodyDiv w:val="1"/>
      <w:marLeft w:val="0"/>
      <w:marRight w:val="0"/>
      <w:marTop w:val="0"/>
      <w:marBottom w:val="0"/>
      <w:divBdr>
        <w:top w:val="none" w:sz="0" w:space="0" w:color="auto"/>
        <w:left w:val="none" w:sz="0" w:space="0" w:color="auto"/>
        <w:bottom w:val="none" w:sz="0" w:space="0" w:color="auto"/>
        <w:right w:val="none" w:sz="0" w:space="0" w:color="auto"/>
      </w:divBdr>
    </w:div>
    <w:div w:id="17314254">
      <w:bodyDiv w:val="1"/>
      <w:marLeft w:val="0"/>
      <w:marRight w:val="0"/>
      <w:marTop w:val="0"/>
      <w:marBottom w:val="0"/>
      <w:divBdr>
        <w:top w:val="none" w:sz="0" w:space="0" w:color="auto"/>
        <w:left w:val="none" w:sz="0" w:space="0" w:color="auto"/>
        <w:bottom w:val="none" w:sz="0" w:space="0" w:color="auto"/>
        <w:right w:val="none" w:sz="0" w:space="0" w:color="auto"/>
      </w:divBdr>
    </w:div>
    <w:div w:id="23214165">
      <w:bodyDiv w:val="1"/>
      <w:marLeft w:val="0"/>
      <w:marRight w:val="0"/>
      <w:marTop w:val="0"/>
      <w:marBottom w:val="0"/>
      <w:divBdr>
        <w:top w:val="none" w:sz="0" w:space="0" w:color="auto"/>
        <w:left w:val="none" w:sz="0" w:space="0" w:color="auto"/>
        <w:bottom w:val="none" w:sz="0" w:space="0" w:color="auto"/>
        <w:right w:val="none" w:sz="0" w:space="0" w:color="auto"/>
      </w:divBdr>
    </w:div>
    <w:div w:id="23872195">
      <w:bodyDiv w:val="1"/>
      <w:marLeft w:val="0"/>
      <w:marRight w:val="0"/>
      <w:marTop w:val="0"/>
      <w:marBottom w:val="0"/>
      <w:divBdr>
        <w:top w:val="none" w:sz="0" w:space="0" w:color="auto"/>
        <w:left w:val="none" w:sz="0" w:space="0" w:color="auto"/>
        <w:bottom w:val="none" w:sz="0" w:space="0" w:color="auto"/>
        <w:right w:val="none" w:sz="0" w:space="0" w:color="auto"/>
      </w:divBdr>
    </w:div>
    <w:div w:id="42949525">
      <w:bodyDiv w:val="1"/>
      <w:marLeft w:val="0"/>
      <w:marRight w:val="0"/>
      <w:marTop w:val="0"/>
      <w:marBottom w:val="0"/>
      <w:divBdr>
        <w:top w:val="none" w:sz="0" w:space="0" w:color="auto"/>
        <w:left w:val="none" w:sz="0" w:space="0" w:color="auto"/>
        <w:bottom w:val="none" w:sz="0" w:space="0" w:color="auto"/>
        <w:right w:val="none" w:sz="0" w:space="0" w:color="auto"/>
      </w:divBdr>
    </w:div>
    <w:div w:id="54863859">
      <w:bodyDiv w:val="1"/>
      <w:marLeft w:val="0"/>
      <w:marRight w:val="0"/>
      <w:marTop w:val="0"/>
      <w:marBottom w:val="0"/>
      <w:divBdr>
        <w:top w:val="none" w:sz="0" w:space="0" w:color="auto"/>
        <w:left w:val="none" w:sz="0" w:space="0" w:color="auto"/>
        <w:bottom w:val="none" w:sz="0" w:space="0" w:color="auto"/>
        <w:right w:val="none" w:sz="0" w:space="0" w:color="auto"/>
      </w:divBdr>
    </w:div>
    <w:div w:id="56830589">
      <w:bodyDiv w:val="1"/>
      <w:marLeft w:val="0"/>
      <w:marRight w:val="0"/>
      <w:marTop w:val="0"/>
      <w:marBottom w:val="0"/>
      <w:divBdr>
        <w:top w:val="none" w:sz="0" w:space="0" w:color="auto"/>
        <w:left w:val="none" w:sz="0" w:space="0" w:color="auto"/>
        <w:bottom w:val="none" w:sz="0" w:space="0" w:color="auto"/>
        <w:right w:val="none" w:sz="0" w:space="0" w:color="auto"/>
      </w:divBdr>
      <w:divsChild>
        <w:div w:id="1349330896">
          <w:marLeft w:val="0"/>
          <w:marRight w:val="0"/>
          <w:marTop w:val="0"/>
          <w:marBottom w:val="0"/>
          <w:divBdr>
            <w:top w:val="none" w:sz="0" w:space="0" w:color="auto"/>
            <w:left w:val="none" w:sz="0" w:space="0" w:color="auto"/>
            <w:bottom w:val="none" w:sz="0" w:space="0" w:color="auto"/>
            <w:right w:val="none" w:sz="0" w:space="0" w:color="auto"/>
          </w:divBdr>
          <w:divsChild>
            <w:div w:id="844436166">
              <w:marLeft w:val="0"/>
              <w:marRight w:val="0"/>
              <w:marTop w:val="0"/>
              <w:marBottom w:val="0"/>
              <w:divBdr>
                <w:top w:val="none" w:sz="0" w:space="0" w:color="auto"/>
                <w:left w:val="none" w:sz="0" w:space="0" w:color="auto"/>
                <w:bottom w:val="none" w:sz="0" w:space="0" w:color="auto"/>
                <w:right w:val="none" w:sz="0" w:space="0" w:color="auto"/>
              </w:divBdr>
            </w:div>
          </w:divsChild>
        </w:div>
        <w:div w:id="1726753099">
          <w:marLeft w:val="0"/>
          <w:marRight w:val="0"/>
          <w:marTop w:val="0"/>
          <w:marBottom w:val="0"/>
          <w:divBdr>
            <w:top w:val="none" w:sz="0" w:space="0" w:color="auto"/>
            <w:left w:val="none" w:sz="0" w:space="0" w:color="auto"/>
            <w:bottom w:val="none" w:sz="0" w:space="0" w:color="auto"/>
            <w:right w:val="none" w:sz="0" w:space="0" w:color="auto"/>
          </w:divBdr>
          <w:divsChild>
            <w:div w:id="1868833857">
              <w:marLeft w:val="0"/>
              <w:marRight w:val="0"/>
              <w:marTop w:val="0"/>
              <w:marBottom w:val="0"/>
              <w:divBdr>
                <w:top w:val="none" w:sz="0" w:space="0" w:color="auto"/>
                <w:left w:val="none" w:sz="0" w:space="0" w:color="auto"/>
                <w:bottom w:val="none" w:sz="0" w:space="0" w:color="auto"/>
                <w:right w:val="none" w:sz="0" w:space="0" w:color="auto"/>
              </w:divBdr>
            </w:div>
          </w:divsChild>
        </w:div>
        <w:div w:id="2085711833">
          <w:marLeft w:val="0"/>
          <w:marRight w:val="0"/>
          <w:marTop w:val="0"/>
          <w:marBottom w:val="0"/>
          <w:divBdr>
            <w:top w:val="none" w:sz="0" w:space="0" w:color="auto"/>
            <w:left w:val="none" w:sz="0" w:space="0" w:color="auto"/>
            <w:bottom w:val="none" w:sz="0" w:space="0" w:color="auto"/>
            <w:right w:val="none" w:sz="0" w:space="0" w:color="auto"/>
          </w:divBdr>
          <w:divsChild>
            <w:div w:id="8825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7721">
      <w:bodyDiv w:val="1"/>
      <w:marLeft w:val="0"/>
      <w:marRight w:val="0"/>
      <w:marTop w:val="0"/>
      <w:marBottom w:val="0"/>
      <w:divBdr>
        <w:top w:val="none" w:sz="0" w:space="0" w:color="auto"/>
        <w:left w:val="none" w:sz="0" w:space="0" w:color="auto"/>
        <w:bottom w:val="none" w:sz="0" w:space="0" w:color="auto"/>
        <w:right w:val="none" w:sz="0" w:space="0" w:color="auto"/>
      </w:divBdr>
      <w:divsChild>
        <w:div w:id="1558084023">
          <w:marLeft w:val="0"/>
          <w:marRight w:val="0"/>
          <w:marTop w:val="0"/>
          <w:marBottom w:val="0"/>
          <w:divBdr>
            <w:top w:val="none" w:sz="0" w:space="0" w:color="auto"/>
            <w:left w:val="none" w:sz="0" w:space="0" w:color="auto"/>
            <w:bottom w:val="none" w:sz="0" w:space="0" w:color="auto"/>
            <w:right w:val="none" w:sz="0" w:space="0" w:color="auto"/>
          </w:divBdr>
          <w:divsChild>
            <w:div w:id="53743394">
              <w:marLeft w:val="0"/>
              <w:marRight w:val="0"/>
              <w:marTop w:val="0"/>
              <w:marBottom w:val="0"/>
              <w:divBdr>
                <w:top w:val="none" w:sz="0" w:space="0" w:color="auto"/>
                <w:left w:val="none" w:sz="0" w:space="0" w:color="auto"/>
                <w:bottom w:val="none" w:sz="0" w:space="0" w:color="auto"/>
                <w:right w:val="none" w:sz="0" w:space="0" w:color="auto"/>
              </w:divBdr>
              <w:divsChild>
                <w:div w:id="1769884160">
                  <w:marLeft w:val="0"/>
                  <w:marRight w:val="0"/>
                  <w:marTop w:val="0"/>
                  <w:marBottom w:val="0"/>
                  <w:divBdr>
                    <w:top w:val="none" w:sz="0" w:space="0" w:color="auto"/>
                    <w:left w:val="none" w:sz="0" w:space="0" w:color="auto"/>
                    <w:bottom w:val="none" w:sz="0" w:space="0" w:color="auto"/>
                    <w:right w:val="none" w:sz="0" w:space="0" w:color="auto"/>
                  </w:divBdr>
                  <w:divsChild>
                    <w:div w:id="1184320914">
                      <w:marLeft w:val="0"/>
                      <w:marRight w:val="0"/>
                      <w:marTop w:val="0"/>
                      <w:marBottom w:val="0"/>
                      <w:divBdr>
                        <w:top w:val="none" w:sz="0" w:space="0" w:color="auto"/>
                        <w:left w:val="none" w:sz="0" w:space="0" w:color="auto"/>
                        <w:bottom w:val="none" w:sz="0" w:space="0" w:color="auto"/>
                        <w:right w:val="none" w:sz="0" w:space="0" w:color="auto"/>
                      </w:divBdr>
                      <w:divsChild>
                        <w:div w:id="1906139127">
                          <w:marLeft w:val="0"/>
                          <w:marRight w:val="0"/>
                          <w:marTop w:val="0"/>
                          <w:marBottom w:val="0"/>
                          <w:divBdr>
                            <w:top w:val="none" w:sz="0" w:space="0" w:color="auto"/>
                            <w:left w:val="none" w:sz="0" w:space="0" w:color="auto"/>
                            <w:bottom w:val="none" w:sz="0" w:space="0" w:color="auto"/>
                            <w:right w:val="none" w:sz="0" w:space="0" w:color="auto"/>
                          </w:divBdr>
                          <w:divsChild>
                            <w:div w:id="1664968571">
                              <w:marLeft w:val="0"/>
                              <w:marRight w:val="0"/>
                              <w:marTop w:val="0"/>
                              <w:marBottom w:val="0"/>
                              <w:divBdr>
                                <w:top w:val="none" w:sz="0" w:space="0" w:color="auto"/>
                                <w:left w:val="none" w:sz="0" w:space="0" w:color="auto"/>
                                <w:bottom w:val="none" w:sz="0" w:space="0" w:color="auto"/>
                                <w:right w:val="none" w:sz="0" w:space="0" w:color="auto"/>
                              </w:divBdr>
                              <w:divsChild>
                                <w:div w:id="3138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1614">
                          <w:marLeft w:val="0"/>
                          <w:marRight w:val="0"/>
                          <w:marTop w:val="0"/>
                          <w:marBottom w:val="0"/>
                          <w:divBdr>
                            <w:top w:val="none" w:sz="0" w:space="0" w:color="auto"/>
                            <w:left w:val="none" w:sz="0" w:space="0" w:color="auto"/>
                            <w:bottom w:val="none" w:sz="0" w:space="0" w:color="auto"/>
                            <w:right w:val="none" w:sz="0" w:space="0" w:color="auto"/>
                          </w:divBdr>
                          <w:divsChild>
                            <w:div w:id="385227588">
                              <w:marLeft w:val="0"/>
                              <w:marRight w:val="0"/>
                              <w:marTop w:val="0"/>
                              <w:marBottom w:val="0"/>
                              <w:divBdr>
                                <w:top w:val="none" w:sz="0" w:space="0" w:color="auto"/>
                                <w:left w:val="none" w:sz="0" w:space="0" w:color="auto"/>
                                <w:bottom w:val="none" w:sz="0" w:space="0" w:color="auto"/>
                                <w:right w:val="none" w:sz="0" w:space="0" w:color="auto"/>
                              </w:divBdr>
                              <w:divsChild>
                                <w:div w:id="944077082">
                                  <w:marLeft w:val="0"/>
                                  <w:marRight w:val="0"/>
                                  <w:marTop w:val="0"/>
                                  <w:marBottom w:val="0"/>
                                  <w:divBdr>
                                    <w:top w:val="none" w:sz="0" w:space="0" w:color="auto"/>
                                    <w:left w:val="none" w:sz="0" w:space="0" w:color="auto"/>
                                    <w:bottom w:val="none" w:sz="0" w:space="0" w:color="auto"/>
                                    <w:right w:val="none" w:sz="0" w:space="0" w:color="auto"/>
                                  </w:divBdr>
                                  <w:divsChild>
                                    <w:div w:id="9586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985130">
              <w:marLeft w:val="0"/>
              <w:marRight w:val="0"/>
              <w:marTop w:val="0"/>
              <w:marBottom w:val="0"/>
              <w:divBdr>
                <w:top w:val="none" w:sz="0" w:space="0" w:color="auto"/>
                <w:left w:val="none" w:sz="0" w:space="0" w:color="auto"/>
                <w:bottom w:val="none" w:sz="0" w:space="0" w:color="auto"/>
                <w:right w:val="none" w:sz="0" w:space="0" w:color="auto"/>
              </w:divBdr>
              <w:divsChild>
                <w:div w:id="353307210">
                  <w:marLeft w:val="0"/>
                  <w:marRight w:val="0"/>
                  <w:marTop w:val="0"/>
                  <w:marBottom w:val="0"/>
                  <w:divBdr>
                    <w:top w:val="none" w:sz="0" w:space="0" w:color="auto"/>
                    <w:left w:val="none" w:sz="0" w:space="0" w:color="auto"/>
                    <w:bottom w:val="none" w:sz="0" w:space="0" w:color="auto"/>
                    <w:right w:val="none" w:sz="0" w:space="0" w:color="auto"/>
                  </w:divBdr>
                  <w:divsChild>
                    <w:div w:id="6293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9931">
      <w:bodyDiv w:val="1"/>
      <w:marLeft w:val="0"/>
      <w:marRight w:val="0"/>
      <w:marTop w:val="0"/>
      <w:marBottom w:val="0"/>
      <w:divBdr>
        <w:top w:val="none" w:sz="0" w:space="0" w:color="auto"/>
        <w:left w:val="none" w:sz="0" w:space="0" w:color="auto"/>
        <w:bottom w:val="none" w:sz="0" w:space="0" w:color="auto"/>
        <w:right w:val="none" w:sz="0" w:space="0" w:color="auto"/>
      </w:divBdr>
    </w:div>
    <w:div w:id="63070835">
      <w:bodyDiv w:val="1"/>
      <w:marLeft w:val="0"/>
      <w:marRight w:val="0"/>
      <w:marTop w:val="0"/>
      <w:marBottom w:val="0"/>
      <w:divBdr>
        <w:top w:val="none" w:sz="0" w:space="0" w:color="auto"/>
        <w:left w:val="none" w:sz="0" w:space="0" w:color="auto"/>
        <w:bottom w:val="none" w:sz="0" w:space="0" w:color="auto"/>
        <w:right w:val="none" w:sz="0" w:space="0" w:color="auto"/>
      </w:divBdr>
    </w:div>
    <w:div w:id="65996764">
      <w:bodyDiv w:val="1"/>
      <w:marLeft w:val="0"/>
      <w:marRight w:val="0"/>
      <w:marTop w:val="0"/>
      <w:marBottom w:val="0"/>
      <w:divBdr>
        <w:top w:val="none" w:sz="0" w:space="0" w:color="auto"/>
        <w:left w:val="none" w:sz="0" w:space="0" w:color="auto"/>
        <w:bottom w:val="none" w:sz="0" w:space="0" w:color="auto"/>
        <w:right w:val="none" w:sz="0" w:space="0" w:color="auto"/>
      </w:divBdr>
    </w:div>
    <w:div w:id="68161669">
      <w:bodyDiv w:val="1"/>
      <w:marLeft w:val="0"/>
      <w:marRight w:val="0"/>
      <w:marTop w:val="0"/>
      <w:marBottom w:val="0"/>
      <w:divBdr>
        <w:top w:val="none" w:sz="0" w:space="0" w:color="auto"/>
        <w:left w:val="none" w:sz="0" w:space="0" w:color="auto"/>
        <w:bottom w:val="none" w:sz="0" w:space="0" w:color="auto"/>
        <w:right w:val="none" w:sz="0" w:space="0" w:color="auto"/>
      </w:divBdr>
    </w:div>
    <w:div w:id="79446416">
      <w:bodyDiv w:val="1"/>
      <w:marLeft w:val="0"/>
      <w:marRight w:val="0"/>
      <w:marTop w:val="0"/>
      <w:marBottom w:val="0"/>
      <w:divBdr>
        <w:top w:val="none" w:sz="0" w:space="0" w:color="auto"/>
        <w:left w:val="none" w:sz="0" w:space="0" w:color="auto"/>
        <w:bottom w:val="none" w:sz="0" w:space="0" w:color="auto"/>
        <w:right w:val="none" w:sz="0" w:space="0" w:color="auto"/>
      </w:divBdr>
    </w:div>
    <w:div w:id="85999507">
      <w:bodyDiv w:val="1"/>
      <w:marLeft w:val="0"/>
      <w:marRight w:val="0"/>
      <w:marTop w:val="0"/>
      <w:marBottom w:val="0"/>
      <w:divBdr>
        <w:top w:val="none" w:sz="0" w:space="0" w:color="auto"/>
        <w:left w:val="none" w:sz="0" w:space="0" w:color="auto"/>
        <w:bottom w:val="none" w:sz="0" w:space="0" w:color="auto"/>
        <w:right w:val="none" w:sz="0" w:space="0" w:color="auto"/>
      </w:divBdr>
    </w:div>
    <w:div w:id="89282017">
      <w:bodyDiv w:val="1"/>
      <w:marLeft w:val="0"/>
      <w:marRight w:val="0"/>
      <w:marTop w:val="0"/>
      <w:marBottom w:val="0"/>
      <w:divBdr>
        <w:top w:val="none" w:sz="0" w:space="0" w:color="auto"/>
        <w:left w:val="none" w:sz="0" w:space="0" w:color="auto"/>
        <w:bottom w:val="none" w:sz="0" w:space="0" w:color="auto"/>
        <w:right w:val="none" w:sz="0" w:space="0" w:color="auto"/>
      </w:divBdr>
    </w:div>
    <w:div w:id="95098026">
      <w:bodyDiv w:val="1"/>
      <w:marLeft w:val="0"/>
      <w:marRight w:val="0"/>
      <w:marTop w:val="0"/>
      <w:marBottom w:val="0"/>
      <w:divBdr>
        <w:top w:val="none" w:sz="0" w:space="0" w:color="auto"/>
        <w:left w:val="none" w:sz="0" w:space="0" w:color="auto"/>
        <w:bottom w:val="none" w:sz="0" w:space="0" w:color="auto"/>
        <w:right w:val="none" w:sz="0" w:space="0" w:color="auto"/>
      </w:divBdr>
    </w:div>
    <w:div w:id="95173016">
      <w:bodyDiv w:val="1"/>
      <w:marLeft w:val="0"/>
      <w:marRight w:val="0"/>
      <w:marTop w:val="0"/>
      <w:marBottom w:val="0"/>
      <w:divBdr>
        <w:top w:val="none" w:sz="0" w:space="0" w:color="auto"/>
        <w:left w:val="none" w:sz="0" w:space="0" w:color="auto"/>
        <w:bottom w:val="none" w:sz="0" w:space="0" w:color="auto"/>
        <w:right w:val="none" w:sz="0" w:space="0" w:color="auto"/>
      </w:divBdr>
    </w:div>
    <w:div w:id="95367703">
      <w:bodyDiv w:val="1"/>
      <w:marLeft w:val="0"/>
      <w:marRight w:val="0"/>
      <w:marTop w:val="0"/>
      <w:marBottom w:val="0"/>
      <w:divBdr>
        <w:top w:val="none" w:sz="0" w:space="0" w:color="auto"/>
        <w:left w:val="none" w:sz="0" w:space="0" w:color="auto"/>
        <w:bottom w:val="none" w:sz="0" w:space="0" w:color="auto"/>
        <w:right w:val="none" w:sz="0" w:space="0" w:color="auto"/>
      </w:divBdr>
    </w:div>
    <w:div w:id="103309479">
      <w:bodyDiv w:val="1"/>
      <w:marLeft w:val="0"/>
      <w:marRight w:val="0"/>
      <w:marTop w:val="0"/>
      <w:marBottom w:val="0"/>
      <w:divBdr>
        <w:top w:val="none" w:sz="0" w:space="0" w:color="auto"/>
        <w:left w:val="none" w:sz="0" w:space="0" w:color="auto"/>
        <w:bottom w:val="none" w:sz="0" w:space="0" w:color="auto"/>
        <w:right w:val="none" w:sz="0" w:space="0" w:color="auto"/>
      </w:divBdr>
      <w:divsChild>
        <w:div w:id="1608923242">
          <w:marLeft w:val="0"/>
          <w:marRight w:val="0"/>
          <w:marTop w:val="0"/>
          <w:marBottom w:val="0"/>
          <w:divBdr>
            <w:top w:val="none" w:sz="0" w:space="0" w:color="auto"/>
            <w:left w:val="none" w:sz="0" w:space="0" w:color="auto"/>
            <w:bottom w:val="none" w:sz="0" w:space="0" w:color="auto"/>
            <w:right w:val="none" w:sz="0" w:space="0" w:color="auto"/>
          </w:divBdr>
          <w:divsChild>
            <w:div w:id="1114328832">
              <w:marLeft w:val="0"/>
              <w:marRight w:val="0"/>
              <w:marTop w:val="0"/>
              <w:marBottom w:val="0"/>
              <w:divBdr>
                <w:top w:val="none" w:sz="0" w:space="0" w:color="auto"/>
                <w:left w:val="none" w:sz="0" w:space="0" w:color="auto"/>
                <w:bottom w:val="none" w:sz="0" w:space="0" w:color="auto"/>
                <w:right w:val="none" w:sz="0" w:space="0" w:color="auto"/>
              </w:divBdr>
              <w:divsChild>
                <w:div w:id="1023164449">
                  <w:marLeft w:val="0"/>
                  <w:marRight w:val="0"/>
                  <w:marTop w:val="0"/>
                  <w:marBottom w:val="0"/>
                  <w:divBdr>
                    <w:top w:val="none" w:sz="0" w:space="0" w:color="auto"/>
                    <w:left w:val="none" w:sz="0" w:space="0" w:color="auto"/>
                    <w:bottom w:val="none" w:sz="0" w:space="0" w:color="auto"/>
                    <w:right w:val="none" w:sz="0" w:space="0" w:color="auto"/>
                  </w:divBdr>
                  <w:divsChild>
                    <w:div w:id="1641881647">
                      <w:marLeft w:val="0"/>
                      <w:marRight w:val="0"/>
                      <w:marTop w:val="0"/>
                      <w:marBottom w:val="0"/>
                      <w:divBdr>
                        <w:top w:val="none" w:sz="0" w:space="0" w:color="auto"/>
                        <w:left w:val="none" w:sz="0" w:space="0" w:color="auto"/>
                        <w:bottom w:val="none" w:sz="0" w:space="0" w:color="auto"/>
                        <w:right w:val="none" w:sz="0" w:space="0" w:color="auto"/>
                      </w:divBdr>
                      <w:divsChild>
                        <w:div w:id="252203785">
                          <w:marLeft w:val="0"/>
                          <w:marRight w:val="0"/>
                          <w:marTop w:val="0"/>
                          <w:marBottom w:val="0"/>
                          <w:divBdr>
                            <w:top w:val="none" w:sz="0" w:space="0" w:color="auto"/>
                            <w:left w:val="none" w:sz="0" w:space="0" w:color="auto"/>
                            <w:bottom w:val="none" w:sz="0" w:space="0" w:color="auto"/>
                            <w:right w:val="none" w:sz="0" w:space="0" w:color="auto"/>
                          </w:divBdr>
                          <w:divsChild>
                            <w:div w:id="147676721">
                              <w:marLeft w:val="0"/>
                              <w:marRight w:val="0"/>
                              <w:marTop w:val="0"/>
                              <w:marBottom w:val="0"/>
                              <w:divBdr>
                                <w:top w:val="none" w:sz="0" w:space="0" w:color="auto"/>
                                <w:left w:val="none" w:sz="0" w:space="0" w:color="auto"/>
                                <w:bottom w:val="none" w:sz="0" w:space="0" w:color="auto"/>
                                <w:right w:val="none" w:sz="0" w:space="0" w:color="auto"/>
                              </w:divBdr>
                              <w:divsChild>
                                <w:div w:id="2124302047">
                                  <w:marLeft w:val="0"/>
                                  <w:marRight w:val="0"/>
                                  <w:marTop w:val="0"/>
                                  <w:marBottom w:val="0"/>
                                  <w:divBdr>
                                    <w:top w:val="none" w:sz="0" w:space="0" w:color="auto"/>
                                    <w:left w:val="none" w:sz="0" w:space="0" w:color="auto"/>
                                    <w:bottom w:val="none" w:sz="0" w:space="0" w:color="auto"/>
                                    <w:right w:val="none" w:sz="0" w:space="0" w:color="auto"/>
                                  </w:divBdr>
                                  <w:divsChild>
                                    <w:div w:id="1633364735">
                                      <w:blockQuote w:val="1"/>
                                      <w:marLeft w:val="720"/>
                                      <w:marRight w:val="720"/>
                                      <w:marTop w:val="100"/>
                                      <w:marBottom w:val="100"/>
                                      <w:divBdr>
                                        <w:top w:val="none" w:sz="0" w:space="0" w:color="auto"/>
                                        <w:left w:val="none" w:sz="0" w:space="0" w:color="auto"/>
                                        <w:bottom w:val="none" w:sz="0" w:space="0" w:color="auto"/>
                                        <w:right w:val="none" w:sz="0" w:space="0" w:color="auto"/>
                                      </w:divBdr>
                                    </w:div>
                                    <w:div w:id="82204766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100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711403">
                                      <w:blockQuote w:val="1"/>
                                      <w:marLeft w:val="720"/>
                                      <w:marRight w:val="720"/>
                                      <w:marTop w:val="100"/>
                                      <w:marBottom w:val="100"/>
                                      <w:divBdr>
                                        <w:top w:val="none" w:sz="0" w:space="0" w:color="auto"/>
                                        <w:left w:val="none" w:sz="0" w:space="0" w:color="auto"/>
                                        <w:bottom w:val="none" w:sz="0" w:space="0" w:color="auto"/>
                                        <w:right w:val="none" w:sz="0" w:space="0" w:color="auto"/>
                                      </w:divBdr>
                                    </w:div>
                                    <w:div w:id="598098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226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540781">
                                      <w:blockQuote w:val="1"/>
                                      <w:marLeft w:val="720"/>
                                      <w:marRight w:val="720"/>
                                      <w:marTop w:val="100"/>
                                      <w:marBottom w:val="100"/>
                                      <w:divBdr>
                                        <w:top w:val="none" w:sz="0" w:space="0" w:color="auto"/>
                                        <w:left w:val="none" w:sz="0" w:space="0" w:color="auto"/>
                                        <w:bottom w:val="none" w:sz="0" w:space="0" w:color="auto"/>
                                        <w:right w:val="none" w:sz="0" w:space="0" w:color="auto"/>
                                      </w:divBdr>
                                    </w:div>
                                    <w:div w:id="564343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618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28726677">
                          <w:marLeft w:val="0"/>
                          <w:marRight w:val="0"/>
                          <w:marTop w:val="0"/>
                          <w:marBottom w:val="0"/>
                          <w:divBdr>
                            <w:top w:val="none" w:sz="0" w:space="0" w:color="auto"/>
                            <w:left w:val="none" w:sz="0" w:space="0" w:color="auto"/>
                            <w:bottom w:val="none" w:sz="0" w:space="0" w:color="auto"/>
                            <w:right w:val="none" w:sz="0" w:space="0" w:color="auto"/>
                          </w:divBdr>
                          <w:divsChild>
                            <w:div w:id="714811204">
                              <w:marLeft w:val="0"/>
                              <w:marRight w:val="0"/>
                              <w:marTop w:val="0"/>
                              <w:marBottom w:val="0"/>
                              <w:divBdr>
                                <w:top w:val="none" w:sz="0" w:space="0" w:color="auto"/>
                                <w:left w:val="none" w:sz="0" w:space="0" w:color="auto"/>
                                <w:bottom w:val="none" w:sz="0" w:space="0" w:color="auto"/>
                                <w:right w:val="none" w:sz="0" w:space="0" w:color="auto"/>
                              </w:divBdr>
                              <w:divsChild>
                                <w:div w:id="1854682954">
                                  <w:marLeft w:val="0"/>
                                  <w:marRight w:val="0"/>
                                  <w:marTop w:val="0"/>
                                  <w:marBottom w:val="0"/>
                                  <w:divBdr>
                                    <w:top w:val="none" w:sz="0" w:space="0" w:color="auto"/>
                                    <w:left w:val="none" w:sz="0" w:space="0" w:color="auto"/>
                                    <w:bottom w:val="none" w:sz="0" w:space="0" w:color="auto"/>
                                    <w:right w:val="none" w:sz="0" w:space="0" w:color="auto"/>
                                  </w:divBdr>
                                  <w:divsChild>
                                    <w:div w:id="2664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568754">
              <w:marLeft w:val="0"/>
              <w:marRight w:val="0"/>
              <w:marTop w:val="0"/>
              <w:marBottom w:val="0"/>
              <w:divBdr>
                <w:top w:val="none" w:sz="0" w:space="0" w:color="auto"/>
                <w:left w:val="none" w:sz="0" w:space="0" w:color="auto"/>
                <w:bottom w:val="none" w:sz="0" w:space="0" w:color="auto"/>
                <w:right w:val="none" w:sz="0" w:space="0" w:color="auto"/>
              </w:divBdr>
              <w:divsChild>
                <w:div w:id="785932483">
                  <w:marLeft w:val="0"/>
                  <w:marRight w:val="0"/>
                  <w:marTop w:val="0"/>
                  <w:marBottom w:val="0"/>
                  <w:divBdr>
                    <w:top w:val="none" w:sz="0" w:space="0" w:color="auto"/>
                    <w:left w:val="none" w:sz="0" w:space="0" w:color="auto"/>
                    <w:bottom w:val="none" w:sz="0" w:space="0" w:color="auto"/>
                    <w:right w:val="none" w:sz="0" w:space="0" w:color="auto"/>
                  </w:divBdr>
                  <w:divsChild>
                    <w:div w:id="15578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81916">
          <w:marLeft w:val="0"/>
          <w:marRight w:val="0"/>
          <w:marTop w:val="0"/>
          <w:marBottom w:val="0"/>
          <w:divBdr>
            <w:top w:val="none" w:sz="0" w:space="0" w:color="auto"/>
            <w:left w:val="none" w:sz="0" w:space="0" w:color="auto"/>
            <w:bottom w:val="none" w:sz="0" w:space="0" w:color="auto"/>
            <w:right w:val="none" w:sz="0" w:space="0" w:color="auto"/>
          </w:divBdr>
          <w:divsChild>
            <w:div w:id="176307584">
              <w:marLeft w:val="0"/>
              <w:marRight w:val="0"/>
              <w:marTop w:val="0"/>
              <w:marBottom w:val="0"/>
              <w:divBdr>
                <w:top w:val="none" w:sz="0" w:space="0" w:color="auto"/>
                <w:left w:val="none" w:sz="0" w:space="0" w:color="auto"/>
                <w:bottom w:val="none" w:sz="0" w:space="0" w:color="auto"/>
                <w:right w:val="none" w:sz="0" w:space="0" w:color="auto"/>
              </w:divBdr>
              <w:divsChild>
                <w:div w:id="176314955">
                  <w:marLeft w:val="0"/>
                  <w:marRight w:val="0"/>
                  <w:marTop w:val="0"/>
                  <w:marBottom w:val="0"/>
                  <w:divBdr>
                    <w:top w:val="none" w:sz="0" w:space="0" w:color="auto"/>
                    <w:left w:val="none" w:sz="0" w:space="0" w:color="auto"/>
                    <w:bottom w:val="none" w:sz="0" w:space="0" w:color="auto"/>
                    <w:right w:val="none" w:sz="0" w:space="0" w:color="auto"/>
                  </w:divBdr>
                  <w:divsChild>
                    <w:div w:id="965545519">
                      <w:marLeft w:val="0"/>
                      <w:marRight w:val="0"/>
                      <w:marTop w:val="0"/>
                      <w:marBottom w:val="0"/>
                      <w:divBdr>
                        <w:top w:val="none" w:sz="0" w:space="0" w:color="auto"/>
                        <w:left w:val="none" w:sz="0" w:space="0" w:color="auto"/>
                        <w:bottom w:val="none" w:sz="0" w:space="0" w:color="auto"/>
                        <w:right w:val="none" w:sz="0" w:space="0" w:color="auto"/>
                      </w:divBdr>
                      <w:divsChild>
                        <w:div w:id="869948878">
                          <w:marLeft w:val="0"/>
                          <w:marRight w:val="0"/>
                          <w:marTop w:val="0"/>
                          <w:marBottom w:val="0"/>
                          <w:divBdr>
                            <w:top w:val="none" w:sz="0" w:space="0" w:color="auto"/>
                            <w:left w:val="none" w:sz="0" w:space="0" w:color="auto"/>
                            <w:bottom w:val="none" w:sz="0" w:space="0" w:color="auto"/>
                            <w:right w:val="none" w:sz="0" w:space="0" w:color="auto"/>
                          </w:divBdr>
                          <w:divsChild>
                            <w:div w:id="148812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5338">
                      <w:marLeft w:val="0"/>
                      <w:marRight w:val="0"/>
                      <w:marTop w:val="0"/>
                      <w:marBottom w:val="0"/>
                      <w:divBdr>
                        <w:top w:val="none" w:sz="0" w:space="0" w:color="auto"/>
                        <w:left w:val="none" w:sz="0" w:space="0" w:color="auto"/>
                        <w:bottom w:val="none" w:sz="0" w:space="0" w:color="auto"/>
                        <w:right w:val="none" w:sz="0" w:space="0" w:color="auto"/>
                      </w:divBdr>
                      <w:divsChild>
                        <w:div w:id="1048720007">
                          <w:marLeft w:val="0"/>
                          <w:marRight w:val="0"/>
                          <w:marTop w:val="0"/>
                          <w:marBottom w:val="0"/>
                          <w:divBdr>
                            <w:top w:val="none" w:sz="0" w:space="0" w:color="auto"/>
                            <w:left w:val="none" w:sz="0" w:space="0" w:color="auto"/>
                            <w:bottom w:val="none" w:sz="0" w:space="0" w:color="auto"/>
                            <w:right w:val="none" w:sz="0" w:space="0" w:color="auto"/>
                          </w:divBdr>
                          <w:divsChild>
                            <w:div w:id="489371306">
                              <w:marLeft w:val="0"/>
                              <w:marRight w:val="0"/>
                              <w:marTop w:val="0"/>
                              <w:marBottom w:val="0"/>
                              <w:divBdr>
                                <w:top w:val="none" w:sz="0" w:space="0" w:color="auto"/>
                                <w:left w:val="none" w:sz="0" w:space="0" w:color="auto"/>
                                <w:bottom w:val="none" w:sz="0" w:space="0" w:color="auto"/>
                                <w:right w:val="none" w:sz="0" w:space="0" w:color="auto"/>
                              </w:divBdr>
                              <w:divsChild>
                                <w:div w:id="431098074">
                                  <w:marLeft w:val="0"/>
                                  <w:marRight w:val="0"/>
                                  <w:marTop w:val="0"/>
                                  <w:marBottom w:val="0"/>
                                  <w:divBdr>
                                    <w:top w:val="none" w:sz="0" w:space="0" w:color="auto"/>
                                    <w:left w:val="none" w:sz="0" w:space="0" w:color="auto"/>
                                    <w:bottom w:val="none" w:sz="0" w:space="0" w:color="auto"/>
                                    <w:right w:val="none" w:sz="0" w:space="0" w:color="auto"/>
                                  </w:divBdr>
                                  <w:divsChild>
                                    <w:div w:id="5685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51840">
      <w:bodyDiv w:val="1"/>
      <w:marLeft w:val="0"/>
      <w:marRight w:val="0"/>
      <w:marTop w:val="0"/>
      <w:marBottom w:val="0"/>
      <w:divBdr>
        <w:top w:val="none" w:sz="0" w:space="0" w:color="auto"/>
        <w:left w:val="none" w:sz="0" w:space="0" w:color="auto"/>
        <w:bottom w:val="none" w:sz="0" w:space="0" w:color="auto"/>
        <w:right w:val="none" w:sz="0" w:space="0" w:color="auto"/>
      </w:divBdr>
    </w:div>
    <w:div w:id="105776786">
      <w:bodyDiv w:val="1"/>
      <w:marLeft w:val="0"/>
      <w:marRight w:val="0"/>
      <w:marTop w:val="0"/>
      <w:marBottom w:val="0"/>
      <w:divBdr>
        <w:top w:val="none" w:sz="0" w:space="0" w:color="auto"/>
        <w:left w:val="none" w:sz="0" w:space="0" w:color="auto"/>
        <w:bottom w:val="none" w:sz="0" w:space="0" w:color="auto"/>
        <w:right w:val="none" w:sz="0" w:space="0" w:color="auto"/>
      </w:divBdr>
      <w:divsChild>
        <w:div w:id="68960910">
          <w:marLeft w:val="0"/>
          <w:marRight w:val="0"/>
          <w:marTop w:val="0"/>
          <w:marBottom w:val="0"/>
          <w:divBdr>
            <w:top w:val="none" w:sz="0" w:space="0" w:color="auto"/>
            <w:left w:val="none" w:sz="0" w:space="0" w:color="auto"/>
            <w:bottom w:val="none" w:sz="0" w:space="0" w:color="auto"/>
            <w:right w:val="none" w:sz="0" w:space="0" w:color="auto"/>
          </w:divBdr>
          <w:divsChild>
            <w:div w:id="163208562">
              <w:marLeft w:val="0"/>
              <w:marRight w:val="0"/>
              <w:marTop w:val="0"/>
              <w:marBottom w:val="0"/>
              <w:divBdr>
                <w:top w:val="none" w:sz="0" w:space="0" w:color="auto"/>
                <w:left w:val="none" w:sz="0" w:space="0" w:color="auto"/>
                <w:bottom w:val="none" w:sz="0" w:space="0" w:color="auto"/>
                <w:right w:val="none" w:sz="0" w:space="0" w:color="auto"/>
              </w:divBdr>
            </w:div>
          </w:divsChild>
        </w:div>
        <w:div w:id="1784956528">
          <w:marLeft w:val="0"/>
          <w:marRight w:val="0"/>
          <w:marTop w:val="0"/>
          <w:marBottom w:val="0"/>
          <w:divBdr>
            <w:top w:val="none" w:sz="0" w:space="0" w:color="auto"/>
            <w:left w:val="none" w:sz="0" w:space="0" w:color="auto"/>
            <w:bottom w:val="none" w:sz="0" w:space="0" w:color="auto"/>
            <w:right w:val="none" w:sz="0" w:space="0" w:color="auto"/>
          </w:divBdr>
          <w:divsChild>
            <w:div w:id="1692951872">
              <w:marLeft w:val="0"/>
              <w:marRight w:val="0"/>
              <w:marTop w:val="0"/>
              <w:marBottom w:val="0"/>
              <w:divBdr>
                <w:top w:val="none" w:sz="0" w:space="0" w:color="auto"/>
                <w:left w:val="none" w:sz="0" w:space="0" w:color="auto"/>
                <w:bottom w:val="none" w:sz="0" w:space="0" w:color="auto"/>
                <w:right w:val="none" w:sz="0" w:space="0" w:color="auto"/>
              </w:divBdr>
            </w:div>
          </w:divsChild>
        </w:div>
        <w:div w:id="302659201">
          <w:marLeft w:val="0"/>
          <w:marRight w:val="0"/>
          <w:marTop w:val="0"/>
          <w:marBottom w:val="0"/>
          <w:divBdr>
            <w:top w:val="none" w:sz="0" w:space="0" w:color="auto"/>
            <w:left w:val="none" w:sz="0" w:space="0" w:color="auto"/>
            <w:bottom w:val="none" w:sz="0" w:space="0" w:color="auto"/>
            <w:right w:val="none" w:sz="0" w:space="0" w:color="auto"/>
          </w:divBdr>
          <w:divsChild>
            <w:div w:id="1631327864">
              <w:marLeft w:val="0"/>
              <w:marRight w:val="0"/>
              <w:marTop w:val="0"/>
              <w:marBottom w:val="0"/>
              <w:divBdr>
                <w:top w:val="none" w:sz="0" w:space="0" w:color="auto"/>
                <w:left w:val="none" w:sz="0" w:space="0" w:color="auto"/>
                <w:bottom w:val="none" w:sz="0" w:space="0" w:color="auto"/>
                <w:right w:val="none" w:sz="0" w:space="0" w:color="auto"/>
              </w:divBdr>
            </w:div>
          </w:divsChild>
        </w:div>
        <w:div w:id="1775586243">
          <w:marLeft w:val="0"/>
          <w:marRight w:val="0"/>
          <w:marTop w:val="0"/>
          <w:marBottom w:val="0"/>
          <w:divBdr>
            <w:top w:val="none" w:sz="0" w:space="0" w:color="auto"/>
            <w:left w:val="none" w:sz="0" w:space="0" w:color="auto"/>
            <w:bottom w:val="none" w:sz="0" w:space="0" w:color="auto"/>
            <w:right w:val="none" w:sz="0" w:space="0" w:color="auto"/>
          </w:divBdr>
          <w:divsChild>
            <w:div w:id="265650074">
              <w:marLeft w:val="0"/>
              <w:marRight w:val="0"/>
              <w:marTop w:val="0"/>
              <w:marBottom w:val="0"/>
              <w:divBdr>
                <w:top w:val="none" w:sz="0" w:space="0" w:color="auto"/>
                <w:left w:val="none" w:sz="0" w:space="0" w:color="auto"/>
                <w:bottom w:val="none" w:sz="0" w:space="0" w:color="auto"/>
                <w:right w:val="none" w:sz="0" w:space="0" w:color="auto"/>
              </w:divBdr>
            </w:div>
          </w:divsChild>
        </w:div>
        <w:div w:id="835801268">
          <w:marLeft w:val="0"/>
          <w:marRight w:val="0"/>
          <w:marTop w:val="0"/>
          <w:marBottom w:val="0"/>
          <w:divBdr>
            <w:top w:val="none" w:sz="0" w:space="0" w:color="auto"/>
            <w:left w:val="none" w:sz="0" w:space="0" w:color="auto"/>
            <w:bottom w:val="none" w:sz="0" w:space="0" w:color="auto"/>
            <w:right w:val="none" w:sz="0" w:space="0" w:color="auto"/>
          </w:divBdr>
          <w:divsChild>
            <w:div w:id="82143007">
              <w:marLeft w:val="0"/>
              <w:marRight w:val="0"/>
              <w:marTop w:val="0"/>
              <w:marBottom w:val="0"/>
              <w:divBdr>
                <w:top w:val="none" w:sz="0" w:space="0" w:color="auto"/>
                <w:left w:val="none" w:sz="0" w:space="0" w:color="auto"/>
                <w:bottom w:val="none" w:sz="0" w:space="0" w:color="auto"/>
                <w:right w:val="none" w:sz="0" w:space="0" w:color="auto"/>
              </w:divBdr>
            </w:div>
          </w:divsChild>
        </w:div>
        <w:div w:id="1332024402">
          <w:marLeft w:val="0"/>
          <w:marRight w:val="0"/>
          <w:marTop w:val="0"/>
          <w:marBottom w:val="0"/>
          <w:divBdr>
            <w:top w:val="none" w:sz="0" w:space="0" w:color="auto"/>
            <w:left w:val="none" w:sz="0" w:space="0" w:color="auto"/>
            <w:bottom w:val="none" w:sz="0" w:space="0" w:color="auto"/>
            <w:right w:val="none" w:sz="0" w:space="0" w:color="auto"/>
          </w:divBdr>
          <w:divsChild>
            <w:div w:id="729232373">
              <w:marLeft w:val="0"/>
              <w:marRight w:val="0"/>
              <w:marTop w:val="0"/>
              <w:marBottom w:val="0"/>
              <w:divBdr>
                <w:top w:val="none" w:sz="0" w:space="0" w:color="auto"/>
                <w:left w:val="none" w:sz="0" w:space="0" w:color="auto"/>
                <w:bottom w:val="none" w:sz="0" w:space="0" w:color="auto"/>
                <w:right w:val="none" w:sz="0" w:space="0" w:color="auto"/>
              </w:divBdr>
            </w:div>
          </w:divsChild>
        </w:div>
        <w:div w:id="215437906">
          <w:marLeft w:val="0"/>
          <w:marRight w:val="0"/>
          <w:marTop w:val="0"/>
          <w:marBottom w:val="0"/>
          <w:divBdr>
            <w:top w:val="none" w:sz="0" w:space="0" w:color="auto"/>
            <w:left w:val="none" w:sz="0" w:space="0" w:color="auto"/>
            <w:bottom w:val="none" w:sz="0" w:space="0" w:color="auto"/>
            <w:right w:val="none" w:sz="0" w:space="0" w:color="auto"/>
          </w:divBdr>
          <w:divsChild>
            <w:div w:id="217710872">
              <w:marLeft w:val="0"/>
              <w:marRight w:val="0"/>
              <w:marTop w:val="0"/>
              <w:marBottom w:val="0"/>
              <w:divBdr>
                <w:top w:val="none" w:sz="0" w:space="0" w:color="auto"/>
                <w:left w:val="none" w:sz="0" w:space="0" w:color="auto"/>
                <w:bottom w:val="none" w:sz="0" w:space="0" w:color="auto"/>
                <w:right w:val="none" w:sz="0" w:space="0" w:color="auto"/>
              </w:divBdr>
            </w:div>
          </w:divsChild>
        </w:div>
        <w:div w:id="891306433">
          <w:marLeft w:val="0"/>
          <w:marRight w:val="0"/>
          <w:marTop w:val="0"/>
          <w:marBottom w:val="0"/>
          <w:divBdr>
            <w:top w:val="none" w:sz="0" w:space="0" w:color="auto"/>
            <w:left w:val="none" w:sz="0" w:space="0" w:color="auto"/>
            <w:bottom w:val="none" w:sz="0" w:space="0" w:color="auto"/>
            <w:right w:val="none" w:sz="0" w:space="0" w:color="auto"/>
          </w:divBdr>
          <w:divsChild>
            <w:div w:id="629483300">
              <w:marLeft w:val="0"/>
              <w:marRight w:val="0"/>
              <w:marTop w:val="0"/>
              <w:marBottom w:val="0"/>
              <w:divBdr>
                <w:top w:val="none" w:sz="0" w:space="0" w:color="auto"/>
                <w:left w:val="none" w:sz="0" w:space="0" w:color="auto"/>
                <w:bottom w:val="none" w:sz="0" w:space="0" w:color="auto"/>
                <w:right w:val="none" w:sz="0" w:space="0" w:color="auto"/>
              </w:divBdr>
            </w:div>
          </w:divsChild>
        </w:div>
        <w:div w:id="1150832126">
          <w:marLeft w:val="0"/>
          <w:marRight w:val="0"/>
          <w:marTop w:val="0"/>
          <w:marBottom w:val="0"/>
          <w:divBdr>
            <w:top w:val="none" w:sz="0" w:space="0" w:color="auto"/>
            <w:left w:val="none" w:sz="0" w:space="0" w:color="auto"/>
            <w:bottom w:val="none" w:sz="0" w:space="0" w:color="auto"/>
            <w:right w:val="none" w:sz="0" w:space="0" w:color="auto"/>
          </w:divBdr>
          <w:divsChild>
            <w:div w:id="360598031">
              <w:marLeft w:val="0"/>
              <w:marRight w:val="0"/>
              <w:marTop w:val="0"/>
              <w:marBottom w:val="0"/>
              <w:divBdr>
                <w:top w:val="none" w:sz="0" w:space="0" w:color="auto"/>
                <w:left w:val="none" w:sz="0" w:space="0" w:color="auto"/>
                <w:bottom w:val="none" w:sz="0" w:space="0" w:color="auto"/>
                <w:right w:val="none" w:sz="0" w:space="0" w:color="auto"/>
              </w:divBdr>
            </w:div>
          </w:divsChild>
        </w:div>
        <w:div w:id="727456014">
          <w:marLeft w:val="0"/>
          <w:marRight w:val="0"/>
          <w:marTop w:val="0"/>
          <w:marBottom w:val="0"/>
          <w:divBdr>
            <w:top w:val="none" w:sz="0" w:space="0" w:color="auto"/>
            <w:left w:val="none" w:sz="0" w:space="0" w:color="auto"/>
            <w:bottom w:val="none" w:sz="0" w:space="0" w:color="auto"/>
            <w:right w:val="none" w:sz="0" w:space="0" w:color="auto"/>
          </w:divBdr>
          <w:divsChild>
            <w:div w:id="830486036">
              <w:marLeft w:val="0"/>
              <w:marRight w:val="0"/>
              <w:marTop w:val="0"/>
              <w:marBottom w:val="0"/>
              <w:divBdr>
                <w:top w:val="none" w:sz="0" w:space="0" w:color="auto"/>
                <w:left w:val="none" w:sz="0" w:space="0" w:color="auto"/>
                <w:bottom w:val="none" w:sz="0" w:space="0" w:color="auto"/>
                <w:right w:val="none" w:sz="0" w:space="0" w:color="auto"/>
              </w:divBdr>
            </w:div>
          </w:divsChild>
        </w:div>
        <w:div w:id="1300116212">
          <w:marLeft w:val="0"/>
          <w:marRight w:val="0"/>
          <w:marTop w:val="0"/>
          <w:marBottom w:val="0"/>
          <w:divBdr>
            <w:top w:val="none" w:sz="0" w:space="0" w:color="auto"/>
            <w:left w:val="none" w:sz="0" w:space="0" w:color="auto"/>
            <w:bottom w:val="none" w:sz="0" w:space="0" w:color="auto"/>
            <w:right w:val="none" w:sz="0" w:space="0" w:color="auto"/>
          </w:divBdr>
          <w:divsChild>
            <w:div w:id="1077937665">
              <w:marLeft w:val="0"/>
              <w:marRight w:val="0"/>
              <w:marTop w:val="0"/>
              <w:marBottom w:val="0"/>
              <w:divBdr>
                <w:top w:val="none" w:sz="0" w:space="0" w:color="auto"/>
                <w:left w:val="none" w:sz="0" w:space="0" w:color="auto"/>
                <w:bottom w:val="none" w:sz="0" w:space="0" w:color="auto"/>
                <w:right w:val="none" w:sz="0" w:space="0" w:color="auto"/>
              </w:divBdr>
            </w:div>
          </w:divsChild>
        </w:div>
        <w:div w:id="1644041586">
          <w:marLeft w:val="0"/>
          <w:marRight w:val="0"/>
          <w:marTop w:val="0"/>
          <w:marBottom w:val="0"/>
          <w:divBdr>
            <w:top w:val="none" w:sz="0" w:space="0" w:color="auto"/>
            <w:left w:val="none" w:sz="0" w:space="0" w:color="auto"/>
            <w:bottom w:val="none" w:sz="0" w:space="0" w:color="auto"/>
            <w:right w:val="none" w:sz="0" w:space="0" w:color="auto"/>
          </w:divBdr>
          <w:divsChild>
            <w:div w:id="1377118553">
              <w:marLeft w:val="0"/>
              <w:marRight w:val="0"/>
              <w:marTop w:val="0"/>
              <w:marBottom w:val="0"/>
              <w:divBdr>
                <w:top w:val="none" w:sz="0" w:space="0" w:color="auto"/>
                <w:left w:val="none" w:sz="0" w:space="0" w:color="auto"/>
                <w:bottom w:val="none" w:sz="0" w:space="0" w:color="auto"/>
                <w:right w:val="none" w:sz="0" w:space="0" w:color="auto"/>
              </w:divBdr>
            </w:div>
          </w:divsChild>
        </w:div>
        <w:div w:id="1482228951">
          <w:marLeft w:val="0"/>
          <w:marRight w:val="0"/>
          <w:marTop w:val="0"/>
          <w:marBottom w:val="0"/>
          <w:divBdr>
            <w:top w:val="none" w:sz="0" w:space="0" w:color="auto"/>
            <w:left w:val="none" w:sz="0" w:space="0" w:color="auto"/>
            <w:bottom w:val="none" w:sz="0" w:space="0" w:color="auto"/>
            <w:right w:val="none" w:sz="0" w:space="0" w:color="auto"/>
          </w:divBdr>
          <w:divsChild>
            <w:div w:id="1318268416">
              <w:marLeft w:val="0"/>
              <w:marRight w:val="0"/>
              <w:marTop w:val="0"/>
              <w:marBottom w:val="0"/>
              <w:divBdr>
                <w:top w:val="none" w:sz="0" w:space="0" w:color="auto"/>
                <w:left w:val="none" w:sz="0" w:space="0" w:color="auto"/>
                <w:bottom w:val="none" w:sz="0" w:space="0" w:color="auto"/>
                <w:right w:val="none" w:sz="0" w:space="0" w:color="auto"/>
              </w:divBdr>
            </w:div>
          </w:divsChild>
        </w:div>
        <w:div w:id="1287007445">
          <w:marLeft w:val="0"/>
          <w:marRight w:val="0"/>
          <w:marTop w:val="0"/>
          <w:marBottom w:val="0"/>
          <w:divBdr>
            <w:top w:val="none" w:sz="0" w:space="0" w:color="auto"/>
            <w:left w:val="none" w:sz="0" w:space="0" w:color="auto"/>
            <w:bottom w:val="none" w:sz="0" w:space="0" w:color="auto"/>
            <w:right w:val="none" w:sz="0" w:space="0" w:color="auto"/>
          </w:divBdr>
          <w:divsChild>
            <w:div w:id="10124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210">
      <w:bodyDiv w:val="1"/>
      <w:marLeft w:val="0"/>
      <w:marRight w:val="0"/>
      <w:marTop w:val="0"/>
      <w:marBottom w:val="0"/>
      <w:divBdr>
        <w:top w:val="none" w:sz="0" w:space="0" w:color="auto"/>
        <w:left w:val="none" w:sz="0" w:space="0" w:color="auto"/>
        <w:bottom w:val="none" w:sz="0" w:space="0" w:color="auto"/>
        <w:right w:val="none" w:sz="0" w:space="0" w:color="auto"/>
      </w:divBdr>
    </w:div>
    <w:div w:id="114518914">
      <w:bodyDiv w:val="1"/>
      <w:marLeft w:val="0"/>
      <w:marRight w:val="0"/>
      <w:marTop w:val="0"/>
      <w:marBottom w:val="0"/>
      <w:divBdr>
        <w:top w:val="none" w:sz="0" w:space="0" w:color="auto"/>
        <w:left w:val="none" w:sz="0" w:space="0" w:color="auto"/>
        <w:bottom w:val="none" w:sz="0" w:space="0" w:color="auto"/>
        <w:right w:val="none" w:sz="0" w:space="0" w:color="auto"/>
      </w:divBdr>
    </w:div>
    <w:div w:id="123038560">
      <w:bodyDiv w:val="1"/>
      <w:marLeft w:val="0"/>
      <w:marRight w:val="0"/>
      <w:marTop w:val="0"/>
      <w:marBottom w:val="0"/>
      <w:divBdr>
        <w:top w:val="none" w:sz="0" w:space="0" w:color="auto"/>
        <w:left w:val="none" w:sz="0" w:space="0" w:color="auto"/>
        <w:bottom w:val="none" w:sz="0" w:space="0" w:color="auto"/>
        <w:right w:val="none" w:sz="0" w:space="0" w:color="auto"/>
      </w:divBdr>
    </w:div>
    <w:div w:id="129132857">
      <w:bodyDiv w:val="1"/>
      <w:marLeft w:val="0"/>
      <w:marRight w:val="0"/>
      <w:marTop w:val="0"/>
      <w:marBottom w:val="0"/>
      <w:divBdr>
        <w:top w:val="none" w:sz="0" w:space="0" w:color="auto"/>
        <w:left w:val="none" w:sz="0" w:space="0" w:color="auto"/>
        <w:bottom w:val="none" w:sz="0" w:space="0" w:color="auto"/>
        <w:right w:val="none" w:sz="0" w:space="0" w:color="auto"/>
      </w:divBdr>
    </w:div>
    <w:div w:id="131875532">
      <w:bodyDiv w:val="1"/>
      <w:marLeft w:val="0"/>
      <w:marRight w:val="0"/>
      <w:marTop w:val="0"/>
      <w:marBottom w:val="0"/>
      <w:divBdr>
        <w:top w:val="none" w:sz="0" w:space="0" w:color="auto"/>
        <w:left w:val="none" w:sz="0" w:space="0" w:color="auto"/>
        <w:bottom w:val="none" w:sz="0" w:space="0" w:color="auto"/>
        <w:right w:val="none" w:sz="0" w:space="0" w:color="auto"/>
      </w:divBdr>
    </w:div>
    <w:div w:id="132524315">
      <w:bodyDiv w:val="1"/>
      <w:marLeft w:val="0"/>
      <w:marRight w:val="0"/>
      <w:marTop w:val="0"/>
      <w:marBottom w:val="0"/>
      <w:divBdr>
        <w:top w:val="none" w:sz="0" w:space="0" w:color="auto"/>
        <w:left w:val="none" w:sz="0" w:space="0" w:color="auto"/>
        <w:bottom w:val="none" w:sz="0" w:space="0" w:color="auto"/>
        <w:right w:val="none" w:sz="0" w:space="0" w:color="auto"/>
      </w:divBdr>
    </w:div>
    <w:div w:id="140583115">
      <w:bodyDiv w:val="1"/>
      <w:marLeft w:val="0"/>
      <w:marRight w:val="0"/>
      <w:marTop w:val="0"/>
      <w:marBottom w:val="0"/>
      <w:divBdr>
        <w:top w:val="none" w:sz="0" w:space="0" w:color="auto"/>
        <w:left w:val="none" w:sz="0" w:space="0" w:color="auto"/>
        <w:bottom w:val="none" w:sz="0" w:space="0" w:color="auto"/>
        <w:right w:val="none" w:sz="0" w:space="0" w:color="auto"/>
      </w:divBdr>
    </w:div>
    <w:div w:id="146553531">
      <w:bodyDiv w:val="1"/>
      <w:marLeft w:val="0"/>
      <w:marRight w:val="0"/>
      <w:marTop w:val="0"/>
      <w:marBottom w:val="0"/>
      <w:divBdr>
        <w:top w:val="none" w:sz="0" w:space="0" w:color="auto"/>
        <w:left w:val="none" w:sz="0" w:space="0" w:color="auto"/>
        <w:bottom w:val="none" w:sz="0" w:space="0" w:color="auto"/>
        <w:right w:val="none" w:sz="0" w:space="0" w:color="auto"/>
      </w:divBdr>
      <w:divsChild>
        <w:div w:id="72506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33714">
      <w:bodyDiv w:val="1"/>
      <w:marLeft w:val="0"/>
      <w:marRight w:val="0"/>
      <w:marTop w:val="0"/>
      <w:marBottom w:val="0"/>
      <w:divBdr>
        <w:top w:val="none" w:sz="0" w:space="0" w:color="auto"/>
        <w:left w:val="none" w:sz="0" w:space="0" w:color="auto"/>
        <w:bottom w:val="none" w:sz="0" w:space="0" w:color="auto"/>
        <w:right w:val="none" w:sz="0" w:space="0" w:color="auto"/>
      </w:divBdr>
    </w:div>
    <w:div w:id="151219903">
      <w:bodyDiv w:val="1"/>
      <w:marLeft w:val="0"/>
      <w:marRight w:val="0"/>
      <w:marTop w:val="0"/>
      <w:marBottom w:val="0"/>
      <w:divBdr>
        <w:top w:val="none" w:sz="0" w:space="0" w:color="auto"/>
        <w:left w:val="none" w:sz="0" w:space="0" w:color="auto"/>
        <w:bottom w:val="none" w:sz="0" w:space="0" w:color="auto"/>
        <w:right w:val="none" w:sz="0" w:space="0" w:color="auto"/>
      </w:divBdr>
      <w:divsChild>
        <w:div w:id="2118132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03841">
      <w:bodyDiv w:val="1"/>
      <w:marLeft w:val="0"/>
      <w:marRight w:val="0"/>
      <w:marTop w:val="0"/>
      <w:marBottom w:val="0"/>
      <w:divBdr>
        <w:top w:val="none" w:sz="0" w:space="0" w:color="auto"/>
        <w:left w:val="none" w:sz="0" w:space="0" w:color="auto"/>
        <w:bottom w:val="none" w:sz="0" w:space="0" w:color="auto"/>
        <w:right w:val="none" w:sz="0" w:space="0" w:color="auto"/>
      </w:divBdr>
    </w:div>
    <w:div w:id="169417353">
      <w:bodyDiv w:val="1"/>
      <w:marLeft w:val="0"/>
      <w:marRight w:val="0"/>
      <w:marTop w:val="0"/>
      <w:marBottom w:val="0"/>
      <w:divBdr>
        <w:top w:val="none" w:sz="0" w:space="0" w:color="auto"/>
        <w:left w:val="none" w:sz="0" w:space="0" w:color="auto"/>
        <w:bottom w:val="none" w:sz="0" w:space="0" w:color="auto"/>
        <w:right w:val="none" w:sz="0" w:space="0" w:color="auto"/>
      </w:divBdr>
    </w:div>
    <w:div w:id="169494266">
      <w:bodyDiv w:val="1"/>
      <w:marLeft w:val="0"/>
      <w:marRight w:val="0"/>
      <w:marTop w:val="0"/>
      <w:marBottom w:val="0"/>
      <w:divBdr>
        <w:top w:val="none" w:sz="0" w:space="0" w:color="auto"/>
        <w:left w:val="none" w:sz="0" w:space="0" w:color="auto"/>
        <w:bottom w:val="none" w:sz="0" w:space="0" w:color="auto"/>
        <w:right w:val="none" w:sz="0" w:space="0" w:color="auto"/>
      </w:divBdr>
    </w:div>
    <w:div w:id="173304428">
      <w:bodyDiv w:val="1"/>
      <w:marLeft w:val="0"/>
      <w:marRight w:val="0"/>
      <w:marTop w:val="0"/>
      <w:marBottom w:val="0"/>
      <w:divBdr>
        <w:top w:val="none" w:sz="0" w:space="0" w:color="auto"/>
        <w:left w:val="none" w:sz="0" w:space="0" w:color="auto"/>
        <w:bottom w:val="none" w:sz="0" w:space="0" w:color="auto"/>
        <w:right w:val="none" w:sz="0" w:space="0" w:color="auto"/>
      </w:divBdr>
      <w:divsChild>
        <w:div w:id="1980918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43043">
      <w:bodyDiv w:val="1"/>
      <w:marLeft w:val="0"/>
      <w:marRight w:val="0"/>
      <w:marTop w:val="0"/>
      <w:marBottom w:val="0"/>
      <w:divBdr>
        <w:top w:val="none" w:sz="0" w:space="0" w:color="auto"/>
        <w:left w:val="none" w:sz="0" w:space="0" w:color="auto"/>
        <w:bottom w:val="none" w:sz="0" w:space="0" w:color="auto"/>
        <w:right w:val="none" w:sz="0" w:space="0" w:color="auto"/>
      </w:divBdr>
    </w:div>
    <w:div w:id="180047343">
      <w:bodyDiv w:val="1"/>
      <w:marLeft w:val="0"/>
      <w:marRight w:val="0"/>
      <w:marTop w:val="0"/>
      <w:marBottom w:val="0"/>
      <w:divBdr>
        <w:top w:val="none" w:sz="0" w:space="0" w:color="auto"/>
        <w:left w:val="none" w:sz="0" w:space="0" w:color="auto"/>
        <w:bottom w:val="none" w:sz="0" w:space="0" w:color="auto"/>
        <w:right w:val="none" w:sz="0" w:space="0" w:color="auto"/>
      </w:divBdr>
    </w:div>
    <w:div w:id="183592788">
      <w:bodyDiv w:val="1"/>
      <w:marLeft w:val="0"/>
      <w:marRight w:val="0"/>
      <w:marTop w:val="0"/>
      <w:marBottom w:val="0"/>
      <w:divBdr>
        <w:top w:val="none" w:sz="0" w:space="0" w:color="auto"/>
        <w:left w:val="none" w:sz="0" w:space="0" w:color="auto"/>
        <w:bottom w:val="none" w:sz="0" w:space="0" w:color="auto"/>
        <w:right w:val="none" w:sz="0" w:space="0" w:color="auto"/>
      </w:divBdr>
    </w:div>
    <w:div w:id="185028391">
      <w:bodyDiv w:val="1"/>
      <w:marLeft w:val="0"/>
      <w:marRight w:val="0"/>
      <w:marTop w:val="0"/>
      <w:marBottom w:val="0"/>
      <w:divBdr>
        <w:top w:val="none" w:sz="0" w:space="0" w:color="auto"/>
        <w:left w:val="none" w:sz="0" w:space="0" w:color="auto"/>
        <w:bottom w:val="none" w:sz="0" w:space="0" w:color="auto"/>
        <w:right w:val="none" w:sz="0" w:space="0" w:color="auto"/>
      </w:divBdr>
    </w:div>
    <w:div w:id="190533843">
      <w:bodyDiv w:val="1"/>
      <w:marLeft w:val="0"/>
      <w:marRight w:val="0"/>
      <w:marTop w:val="0"/>
      <w:marBottom w:val="0"/>
      <w:divBdr>
        <w:top w:val="none" w:sz="0" w:space="0" w:color="auto"/>
        <w:left w:val="none" w:sz="0" w:space="0" w:color="auto"/>
        <w:bottom w:val="none" w:sz="0" w:space="0" w:color="auto"/>
        <w:right w:val="none" w:sz="0" w:space="0" w:color="auto"/>
      </w:divBdr>
    </w:div>
    <w:div w:id="191068812">
      <w:bodyDiv w:val="1"/>
      <w:marLeft w:val="0"/>
      <w:marRight w:val="0"/>
      <w:marTop w:val="0"/>
      <w:marBottom w:val="0"/>
      <w:divBdr>
        <w:top w:val="none" w:sz="0" w:space="0" w:color="auto"/>
        <w:left w:val="none" w:sz="0" w:space="0" w:color="auto"/>
        <w:bottom w:val="none" w:sz="0" w:space="0" w:color="auto"/>
        <w:right w:val="none" w:sz="0" w:space="0" w:color="auto"/>
      </w:divBdr>
    </w:div>
    <w:div w:id="191117699">
      <w:bodyDiv w:val="1"/>
      <w:marLeft w:val="0"/>
      <w:marRight w:val="0"/>
      <w:marTop w:val="0"/>
      <w:marBottom w:val="0"/>
      <w:divBdr>
        <w:top w:val="none" w:sz="0" w:space="0" w:color="auto"/>
        <w:left w:val="none" w:sz="0" w:space="0" w:color="auto"/>
        <w:bottom w:val="none" w:sz="0" w:space="0" w:color="auto"/>
        <w:right w:val="none" w:sz="0" w:space="0" w:color="auto"/>
      </w:divBdr>
    </w:div>
    <w:div w:id="213852284">
      <w:bodyDiv w:val="1"/>
      <w:marLeft w:val="0"/>
      <w:marRight w:val="0"/>
      <w:marTop w:val="0"/>
      <w:marBottom w:val="0"/>
      <w:divBdr>
        <w:top w:val="none" w:sz="0" w:space="0" w:color="auto"/>
        <w:left w:val="none" w:sz="0" w:space="0" w:color="auto"/>
        <w:bottom w:val="none" w:sz="0" w:space="0" w:color="auto"/>
        <w:right w:val="none" w:sz="0" w:space="0" w:color="auto"/>
      </w:divBdr>
    </w:div>
    <w:div w:id="220101363">
      <w:bodyDiv w:val="1"/>
      <w:marLeft w:val="0"/>
      <w:marRight w:val="0"/>
      <w:marTop w:val="0"/>
      <w:marBottom w:val="0"/>
      <w:divBdr>
        <w:top w:val="none" w:sz="0" w:space="0" w:color="auto"/>
        <w:left w:val="none" w:sz="0" w:space="0" w:color="auto"/>
        <w:bottom w:val="none" w:sz="0" w:space="0" w:color="auto"/>
        <w:right w:val="none" w:sz="0" w:space="0" w:color="auto"/>
      </w:divBdr>
    </w:div>
    <w:div w:id="228150408">
      <w:bodyDiv w:val="1"/>
      <w:marLeft w:val="0"/>
      <w:marRight w:val="0"/>
      <w:marTop w:val="0"/>
      <w:marBottom w:val="0"/>
      <w:divBdr>
        <w:top w:val="none" w:sz="0" w:space="0" w:color="auto"/>
        <w:left w:val="none" w:sz="0" w:space="0" w:color="auto"/>
        <w:bottom w:val="none" w:sz="0" w:space="0" w:color="auto"/>
        <w:right w:val="none" w:sz="0" w:space="0" w:color="auto"/>
      </w:divBdr>
    </w:div>
    <w:div w:id="228542055">
      <w:bodyDiv w:val="1"/>
      <w:marLeft w:val="0"/>
      <w:marRight w:val="0"/>
      <w:marTop w:val="0"/>
      <w:marBottom w:val="0"/>
      <w:divBdr>
        <w:top w:val="none" w:sz="0" w:space="0" w:color="auto"/>
        <w:left w:val="none" w:sz="0" w:space="0" w:color="auto"/>
        <w:bottom w:val="none" w:sz="0" w:space="0" w:color="auto"/>
        <w:right w:val="none" w:sz="0" w:space="0" w:color="auto"/>
      </w:divBdr>
    </w:div>
    <w:div w:id="238251433">
      <w:bodyDiv w:val="1"/>
      <w:marLeft w:val="0"/>
      <w:marRight w:val="0"/>
      <w:marTop w:val="0"/>
      <w:marBottom w:val="0"/>
      <w:divBdr>
        <w:top w:val="none" w:sz="0" w:space="0" w:color="auto"/>
        <w:left w:val="none" w:sz="0" w:space="0" w:color="auto"/>
        <w:bottom w:val="none" w:sz="0" w:space="0" w:color="auto"/>
        <w:right w:val="none" w:sz="0" w:space="0" w:color="auto"/>
      </w:divBdr>
    </w:div>
    <w:div w:id="244458270">
      <w:bodyDiv w:val="1"/>
      <w:marLeft w:val="0"/>
      <w:marRight w:val="0"/>
      <w:marTop w:val="0"/>
      <w:marBottom w:val="0"/>
      <w:divBdr>
        <w:top w:val="none" w:sz="0" w:space="0" w:color="auto"/>
        <w:left w:val="none" w:sz="0" w:space="0" w:color="auto"/>
        <w:bottom w:val="none" w:sz="0" w:space="0" w:color="auto"/>
        <w:right w:val="none" w:sz="0" w:space="0" w:color="auto"/>
      </w:divBdr>
      <w:divsChild>
        <w:div w:id="1934320420">
          <w:marLeft w:val="0"/>
          <w:marRight w:val="0"/>
          <w:marTop w:val="0"/>
          <w:marBottom w:val="0"/>
          <w:divBdr>
            <w:top w:val="none" w:sz="0" w:space="0" w:color="auto"/>
            <w:left w:val="none" w:sz="0" w:space="0" w:color="auto"/>
            <w:bottom w:val="none" w:sz="0" w:space="0" w:color="auto"/>
            <w:right w:val="none" w:sz="0" w:space="0" w:color="auto"/>
          </w:divBdr>
          <w:divsChild>
            <w:div w:id="1643341300">
              <w:marLeft w:val="0"/>
              <w:marRight w:val="0"/>
              <w:marTop w:val="0"/>
              <w:marBottom w:val="0"/>
              <w:divBdr>
                <w:top w:val="none" w:sz="0" w:space="0" w:color="auto"/>
                <w:left w:val="none" w:sz="0" w:space="0" w:color="auto"/>
                <w:bottom w:val="none" w:sz="0" w:space="0" w:color="auto"/>
                <w:right w:val="none" w:sz="0" w:space="0" w:color="auto"/>
              </w:divBdr>
            </w:div>
          </w:divsChild>
        </w:div>
        <w:div w:id="1889491455">
          <w:marLeft w:val="0"/>
          <w:marRight w:val="0"/>
          <w:marTop w:val="0"/>
          <w:marBottom w:val="0"/>
          <w:divBdr>
            <w:top w:val="none" w:sz="0" w:space="0" w:color="auto"/>
            <w:left w:val="none" w:sz="0" w:space="0" w:color="auto"/>
            <w:bottom w:val="none" w:sz="0" w:space="0" w:color="auto"/>
            <w:right w:val="none" w:sz="0" w:space="0" w:color="auto"/>
          </w:divBdr>
          <w:divsChild>
            <w:div w:id="1886991116">
              <w:marLeft w:val="0"/>
              <w:marRight w:val="0"/>
              <w:marTop w:val="0"/>
              <w:marBottom w:val="0"/>
              <w:divBdr>
                <w:top w:val="none" w:sz="0" w:space="0" w:color="auto"/>
                <w:left w:val="none" w:sz="0" w:space="0" w:color="auto"/>
                <w:bottom w:val="none" w:sz="0" w:space="0" w:color="auto"/>
                <w:right w:val="none" w:sz="0" w:space="0" w:color="auto"/>
              </w:divBdr>
            </w:div>
          </w:divsChild>
        </w:div>
        <w:div w:id="527990292">
          <w:marLeft w:val="0"/>
          <w:marRight w:val="0"/>
          <w:marTop w:val="0"/>
          <w:marBottom w:val="0"/>
          <w:divBdr>
            <w:top w:val="none" w:sz="0" w:space="0" w:color="auto"/>
            <w:left w:val="none" w:sz="0" w:space="0" w:color="auto"/>
            <w:bottom w:val="none" w:sz="0" w:space="0" w:color="auto"/>
            <w:right w:val="none" w:sz="0" w:space="0" w:color="auto"/>
          </w:divBdr>
          <w:divsChild>
            <w:div w:id="672758250">
              <w:marLeft w:val="0"/>
              <w:marRight w:val="0"/>
              <w:marTop w:val="0"/>
              <w:marBottom w:val="0"/>
              <w:divBdr>
                <w:top w:val="none" w:sz="0" w:space="0" w:color="auto"/>
                <w:left w:val="none" w:sz="0" w:space="0" w:color="auto"/>
                <w:bottom w:val="none" w:sz="0" w:space="0" w:color="auto"/>
                <w:right w:val="none" w:sz="0" w:space="0" w:color="auto"/>
              </w:divBdr>
            </w:div>
          </w:divsChild>
        </w:div>
        <w:div w:id="807210018">
          <w:marLeft w:val="0"/>
          <w:marRight w:val="0"/>
          <w:marTop w:val="0"/>
          <w:marBottom w:val="0"/>
          <w:divBdr>
            <w:top w:val="none" w:sz="0" w:space="0" w:color="auto"/>
            <w:left w:val="none" w:sz="0" w:space="0" w:color="auto"/>
            <w:bottom w:val="none" w:sz="0" w:space="0" w:color="auto"/>
            <w:right w:val="none" w:sz="0" w:space="0" w:color="auto"/>
          </w:divBdr>
          <w:divsChild>
            <w:div w:id="20689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81220">
      <w:bodyDiv w:val="1"/>
      <w:marLeft w:val="0"/>
      <w:marRight w:val="0"/>
      <w:marTop w:val="0"/>
      <w:marBottom w:val="0"/>
      <w:divBdr>
        <w:top w:val="none" w:sz="0" w:space="0" w:color="auto"/>
        <w:left w:val="none" w:sz="0" w:space="0" w:color="auto"/>
        <w:bottom w:val="none" w:sz="0" w:space="0" w:color="auto"/>
        <w:right w:val="none" w:sz="0" w:space="0" w:color="auto"/>
      </w:divBdr>
      <w:divsChild>
        <w:div w:id="1651670532">
          <w:marLeft w:val="0"/>
          <w:marRight w:val="0"/>
          <w:marTop w:val="0"/>
          <w:marBottom w:val="0"/>
          <w:divBdr>
            <w:top w:val="none" w:sz="0" w:space="0" w:color="auto"/>
            <w:left w:val="none" w:sz="0" w:space="0" w:color="auto"/>
            <w:bottom w:val="none" w:sz="0" w:space="0" w:color="auto"/>
            <w:right w:val="none" w:sz="0" w:space="0" w:color="auto"/>
          </w:divBdr>
          <w:divsChild>
            <w:div w:id="1754933885">
              <w:marLeft w:val="0"/>
              <w:marRight w:val="0"/>
              <w:marTop w:val="0"/>
              <w:marBottom w:val="0"/>
              <w:divBdr>
                <w:top w:val="none" w:sz="0" w:space="0" w:color="auto"/>
                <w:left w:val="none" w:sz="0" w:space="0" w:color="auto"/>
                <w:bottom w:val="none" w:sz="0" w:space="0" w:color="auto"/>
                <w:right w:val="none" w:sz="0" w:space="0" w:color="auto"/>
              </w:divBdr>
              <w:divsChild>
                <w:div w:id="575866896">
                  <w:marLeft w:val="0"/>
                  <w:marRight w:val="0"/>
                  <w:marTop w:val="0"/>
                  <w:marBottom w:val="0"/>
                  <w:divBdr>
                    <w:top w:val="none" w:sz="0" w:space="0" w:color="auto"/>
                    <w:left w:val="none" w:sz="0" w:space="0" w:color="auto"/>
                    <w:bottom w:val="none" w:sz="0" w:space="0" w:color="auto"/>
                    <w:right w:val="none" w:sz="0" w:space="0" w:color="auto"/>
                  </w:divBdr>
                  <w:divsChild>
                    <w:div w:id="747506793">
                      <w:marLeft w:val="0"/>
                      <w:marRight w:val="0"/>
                      <w:marTop w:val="0"/>
                      <w:marBottom w:val="0"/>
                      <w:divBdr>
                        <w:top w:val="none" w:sz="0" w:space="0" w:color="auto"/>
                        <w:left w:val="none" w:sz="0" w:space="0" w:color="auto"/>
                        <w:bottom w:val="none" w:sz="0" w:space="0" w:color="auto"/>
                        <w:right w:val="none" w:sz="0" w:space="0" w:color="auto"/>
                      </w:divBdr>
                      <w:divsChild>
                        <w:div w:id="2096856625">
                          <w:marLeft w:val="0"/>
                          <w:marRight w:val="0"/>
                          <w:marTop w:val="0"/>
                          <w:marBottom w:val="0"/>
                          <w:divBdr>
                            <w:top w:val="none" w:sz="0" w:space="0" w:color="auto"/>
                            <w:left w:val="none" w:sz="0" w:space="0" w:color="auto"/>
                            <w:bottom w:val="none" w:sz="0" w:space="0" w:color="auto"/>
                            <w:right w:val="none" w:sz="0" w:space="0" w:color="auto"/>
                          </w:divBdr>
                          <w:divsChild>
                            <w:div w:id="829253139">
                              <w:marLeft w:val="0"/>
                              <w:marRight w:val="0"/>
                              <w:marTop w:val="0"/>
                              <w:marBottom w:val="0"/>
                              <w:divBdr>
                                <w:top w:val="none" w:sz="0" w:space="0" w:color="auto"/>
                                <w:left w:val="none" w:sz="0" w:space="0" w:color="auto"/>
                                <w:bottom w:val="none" w:sz="0" w:space="0" w:color="auto"/>
                                <w:right w:val="none" w:sz="0" w:space="0" w:color="auto"/>
                              </w:divBdr>
                              <w:divsChild>
                                <w:div w:id="17760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1164">
                          <w:marLeft w:val="0"/>
                          <w:marRight w:val="0"/>
                          <w:marTop w:val="0"/>
                          <w:marBottom w:val="0"/>
                          <w:divBdr>
                            <w:top w:val="none" w:sz="0" w:space="0" w:color="auto"/>
                            <w:left w:val="none" w:sz="0" w:space="0" w:color="auto"/>
                            <w:bottom w:val="none" w:sz="0" w:space="0" w:color="auto"/>
                            <w:right w:val="none" w:sz="0" w:space="0" w:color="auto"/>
                          </w:divBdr>
                          <w:divsChild>
                            <w:div w:id="1424886051">
                              <w:marLeft w:val="0"/>
                              <w:marRight w:val="0"/>
                              <w:marTop w:val="0"/>
                              <w:marBottom w:val="0"/>
                              <w:divBdr>
                                <w:top w:val="none" w:sz="0" w:space="0" w:color="auto"/>
                                <w:left w:val="none" w:sz="0" w:space="0" w:color="auto"/>
                                <w:bottom w:val="none" w:sz="0" w:space="0" w:color="auto"/>
                                <w:right w:val="none" w:sz="0" w:space="0" w:color="auto"/>
                              </w:divBdr>
                              <w:divsChild>
                                <w:div w:id="489056479">
                                  <w:marLeft w:val="0"/>
                                  <w:marRight w:val="0"/>
                                  <w:marTop w:val="0"/>
                                  <w:marBottom w:val="0"/>
                                  <w:divBdr>
                                    <w:top w:val="none" w:sz="0" w:space="0" w:color="auto"/>
                                    <w:left w:val="none" w:sz="0" w:space="0" w:color="auto"/>
                                    <w:bottom w:val="none" w:sz="0" w:space="0" w:color="auto"/>
                                    <w:right w:val="none" w:sz="0" w:space="0" w:color="auto"/>
                                  </w:divBdr>
                                  <w:divsChild>
                                    <w:div w:id="14829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681201">
              <w:marLeft w:val="0"/>
              <w:marRight w:val="0"/>
              <w:marTop w:val="0"/>
              <w:marBottom w:val="0"/>
              <w:divBdr>
                <w:top w:val="none" w:sz="0" w:space="0" w:color="auto"/>
                <w:left w:val="none" w:sz="0" w:space="0" w:color="auto"/>
                <w:bottom w:val="none" w:sz="0" w:space="0" w:color="auto"/>
                <w:right w:val="none" w:sz="0" w:space="0" w:color="auto"/>
              </w:divBdr>
              <w:divsChild>
                <w:div w:id="1669333849">
                  <w:marLeft w:val="0"/>
                  <w:marRight w:val="0"/>
                  <w:marTop w:val="0"/>
                  <w:marBottom w:val="0"/>
                  <w:divBdr>
                    <w:top w:val="none" w:sz="0" w:space="0" w:color="auto"/>
                    <w:left w:val="none" w:sz="0" w:space="0" w:color="auto"/>
                    <w:bottom w:val="none" w:sz="0" w:space="0" w:color="auto"/>
                    <w:right w:val="none" w:sz="0" w:space="0" w:color="auto"/>
                  </w:divBdr>
                  <w:divsChild>
                    <w:div w:id="4508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168655">
      <w:bodyDiv w:val="1"/>
      <w:marLeft w:val="0"/>
      <w:marRight w:val="0"/>
      <w:marTop w:val="0"/>
      <w:marBottom w:val="0"/>
      <w:divBdr>
        <w:top w:val="none" w:sz="0" w:space="0" w:color="auto"/>
        <w:left w:val="none" w:sz="0" w:space="0" w:color="auto"/>
        <w:bottom w:val="none" w:sz="0" w:space="0" w:color="auto"/>
        <w:right w:val="none" w:sz="0" w:space="0" w:color="auto"/>
      </w:divBdr>
    </w:div>
    <w:div w:id="254484080">
      <w:bodyDiv w:val="1"/>
      <w:marLeft w:val="0"/>
      <w:marRight w:val="0"/>
      <w:marTop w:val="0"/>
      <w:marBottom w:val="0"/>
      <w:divBdr>
        <w:top w:val="none" w:sz="0" w:space="0" w:color="auto"/>
        <w:left w:val="none" w:sz="0" w:space="0" w:color="auto"/>
        <w:bottom w:val="none" w:sz="0" w:space="0" w:color="auto"/>
        <w:right w:val="none" w:sz="0" w:space="0" w:color="auto"/>
      </w:divBdr>
    </w:div>
    <w:div w:id="255094873">
      <w:bodyDiv w:val="1"/>
      <w:marLeft w:val="0"/>
      <w:marRight w:val="0"/>
      <w:marTop w:val="0"/>
      <w:marBottom w:val="0"/>
      <w:divBdr>
        <w:top w:val="none" w:sz="0" w:space="0" w:color="auto"/>
        <w:left w:val="none" w:sz="0" w:space="0" w:color="auto"/>
        <w:bottom w:val="none" w:sz="0" w:space="0" w:color="auto"/>
        <w:right w:val="none" w:sz="0" w:space="0" w:color="auto"/>
      </w:divBdr>
    </w:div>
    <w:div w:id="264122091">
      <w:bodyDiv w:val="1"/>
      <w:marLeft w:val="0"/>
      <w:marRight w:val="0"/>
      <w:marTop w:val="0"/>
      <w:marBottom w:val="0"/>
      <w:divBdr>
        <w:top w:val="none" w:sz="0" w:space="0" w:color="auto"/>
        <w:left w:val="none" w:sz="0" w:space="0" w:color="auto"/>
        <w:bottom w:val="none" w:sz="0" w:space="0" w:color="auto"/>
        <w:right w:val="none" w:sz="0" w:space="0" w:color="auto"/>
      </w:divBdr>
    </w:div>
    <w:div w:id="285696566">
      <w:bodyDiv w:val="1"/>
      <w:marLeft w:val="0"/>
      <w:marRight w:val="0"/>
      <w:marTop w:val="0"/>
      <w:marBottom w:val="0"/>
      <w:divBdr>
        <w:top w:val="none" w:sz="0" w:space="0" w:color="auto"/>
        <w:left w:val="none" w:sz="0" w:space="0" w:color="auto"/>
        <w:bottom w:val="none" w:sz="0" w:space="0" w:color="auto"/>
        <w:right w:val="none" w:sz="0" w:space="0" w:color="auto"/>
      </w:divBdr>
      <w:divsChild>
        <w:div w:id="1701860864">
          <w:marLeft w:val="0"/>
          <w:marRight w:val="0"/>
          <w:marTop w:val="0"/>
          <w:marBottom w:val="0"/>
          <w:divBdr>
            <w:top w:val="none" w:sz="0" w:space="0" w:color="auto"/>
            <w:left w:val="none" w:sz="0" w:space="0" w:color="auto"/>
            <w:bottom w:val="none" w:sz="0" w:space="0" w:color="auto"/>
            <w:right w:val="none" w:sz="0" w:space="0" w:color="auto"/>
          </w:divBdr>
          <w:divsChild>
            <w:div w:id="1566717548">
              <w:marLeft w:val="0"/>
              <w:marRight w:val="0"/>
              <w:marTop w:val="0"/>
              <w:marBottom w:val="0"/>
              <w:divBdr>
                <w:top w:val="none" w:sz="0" w:space="0" w:color="auto"/>
                <w:left w:val="none" w:sz="0" w:space="0" w:color="auto"/>
                <w:bottom w:val="none" w:sz="0" w:space="0" w:color="auto"/>
                <w:right w:val="none" w:sz="0" w:space="0" w:color="auto"/>
              </w:divBdr>
              <w:divsChild>
                <w:div w:id="309526730">
                  <w:marLeft w:val="0"/>
                  <w:marRight w:val="0"/>
                  <w:marTop w:val="0"/>
                  <w:marBottom w:val="0"/>
                  <w:divBdr>
                    <w:top w:val="none" w:sz="0" w:space="0" w:color="auto"/>
                    <w:left w:val="none" w:sz="0" w:space="0" w:color="auto"/>
                    <w:bottom w:val="none" w:sz="0" w:space="0" w:color="auto"/>
                    <w:right w:val="none" w:sz="0" w:space="0" w:color="auto"/>
                  </w:divBdr>
                  <w:divsChild>
                    <w:div w:id="1631283000">
                      <w:marLeft w:val="0"/>
                      <w:marRight w:val="0"/>
                      <w:marTop w:val="0"/>
                      <w:marBottom w:val="0"/>
                      <w:divBdr>
                        <w:top w:val="none" w:sz="0" w:space="0" w:color="auto"/>
                        <w:left w:val="none" w:sz="0" w:space="0" w:color="auto"/>
                        <w:bottom w:val="none" w:sz="0" w:space="0" w:color="auto"/>
                        <w:right w:val="none" w:sz="0" w:space="0" w:color="auto"/>
                      </w:divBdr>
                      <w:divsChild>
                        <w:div w:id="1446002158">
                          <w:marLeft w:val="0"/>
                          <w:marRight w:val="0"/>
                          <w:marTop w:val="0"/>
                          <w:marBottom w:val="0"/>
                          <w:divBdr>
                            <w:top w:val="none" w:sz="0" w:space="0" w:color="auto"/>
                            <w:left w:val="none" w:sz="0" w:space="0" w:color="auto"/>
                            <w:bottom w:val="none" w:sz="0" w:space="0" w:color="auto"/>
                            <w:right w:val="none" w:sz="0" w:space="0" w:color="auto"/>
                          </w:divBdr>
                          <w:divsChild>
                            <w:div w:id="64743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891">
                      <w:marLeft w:val="0"/>
                      <w:marRight w:val="0"/>
                      <w:marTop w:val="0"/>
                      <w:marBottom w:val="0"/>
                      <w:divBdr>
                        <w:top w:val="none" w:sz="0" w:space="0" w:color="auto"/>
                        <w:left w:val="none" w:sz="0" w:space="0" w:color="auto"/>
                        <w:bottom w:val="none" w:sz="0" w:space="0" w:color="auto"/>
                        <w:right w:val="none" w:sz="0" w:space="0" w:color="auto"/>
                      </w:divBdr>
                      <w:divsChild>
                        <w:div w:id="563025369">
                          <w:marLeft w:val="0"/>
                          <w:marRight w:val="0"/>
                          <w:marTop w:val="0"/>
                          <w:marBottom w:val="0"/>
                          <w:divBdr>
                            <w:top w:val="none" w:sz="0" w:space="0" w:color="auto"/>
                            <w:left w:val="none" w:sz="0" w:space="0" w:color="auto"/>
                            <w:bottom w:val="none" w:sz="0" w:space="0" w:color="auto"/>
                            <w:right w:val="none" w:sz="0" w:space="0" w:color="auto"/>
                          </w:divBdr>
                          <w:divsChild>
                            <w:div w:id="426121415">
                              <w:marLeft w:val="0"/>
                              <w:marRight w:val="0"/>
                              <w:marTop w:val="0"/>
                              <w:marBottom w:val="0"/>
                              <w:divBdr>
                                <w:top w:val="none" w:sz="0" w:space="0" w:color="auto"/>
                                <w:left w:val="none" w:sz="0" w:space="0" w:color="auto"/>
                                <w:bottom w:val="none" w:sz="0" w:space="0" w:color="auto"/>
                                <w:right w:val="none" w:sz="0" w:space="0" w:color="auto"/>
                              </w:divBdr>
                              <w:divsChild>
                                <w:div w:id="20998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756364">
          <w:marLeft w:val="0"/>
          <w:marRight w:val="0"/>
          <w:marTop w:val="0"/>
          <w:marBottom w:val="0"/>
          <w:divBdr>
            <w:top w:val="none" w:sz="0" w:space="0" w:color="auto"/>
            <w:left w:val="none" w:sz="0" w:space="0" w:color="auto"/>
            <w:bottom w:val="none" w:sz="0" w:space="0" w:color="auto"/>
            <w:right w:val="none" w:sz="0" w:space="0" w:color="auto"/>
          </w:divBdr>
          <w:divsChild>
            <w:div w:id="35476351">
              <w:marLeft w:val="0"/>
              <w:marRight w:val="0"/>
              <w:marTop w:val="0"/>
              <w:marBottom w:val="0"/>
              <w:divBdr>
                <w:top w:val="none" w:sz="0" w:space="0" w:color="auto"/>
                <w:left w:val="none" w:sz="0" w:space="0" w:color="auto"/>
                <w:bottom w:val="none" w:sz="0" w:space="0" w:color="auto"/>
                <w:right w:val="none" w:sz="0" w:space="0" w:color="auto"/>
              </w:divBdr>
              <w:divsChild>
                <w:div w:id="887641174">
                  <w:marLeft w:val="0"/>
                  <w:marRight w:val="0"/>
                  <w:marTop w:val="0"/>
                  <w:marBottom w:val="0"/>
                  <w:divBdr>
                    <w:top w:val="none" w:sz="0" w:space="0" w:color="auto"/>
                    <w:left w:val="none" w:sz="0" w:space="0" w:color="auto"/>
                    <w:bottom w:val="none" w:sz="0" w:space="0" w:color="auto"/>
                    <w:right w:val="none" w:sz="0" w:space="0" w:color="auto"/>
                  </w:divBdr>
                  <w:divsChild>
                    <w:div w:id="1569875277">
                      <w:marLeft w:val="0"/>
                      <w:marRight w:val="0"/>
                      <w:marTop w:val="0"/>
                      <w:marBottom w:val="0"/>
                      <w:divBdr>
                        <w:top w:val="none" w:sz="0" w:space="0" w:color="auto"/>
                        <w:left w:val="none" w:sz="0" w:space="0" w:color="auto"/>
                        <w:bottom w:val="none" w:sz="0" w:space="0" w:color="auto"/>
                        <w:right w:val="none" w:sz="0" w:space="0" w:color="auto"/>
                      </w:divBdr>
                      <w:divsChild>
                        <w:div w:id="1945770349">
                          <w:marLeft w:val="0"/>
                          <w:marRight w:val="0"/>
                          <w:marTop w:val="0"/>
                          <w:marBottom w:val="0"/>
                          <w:divBdr>
                            <w:top w:val="none" w:sz="0" w:space="0" w:color="auto"/>
                            <w:left w:val="none" w:sz="0" w:space="0" w:color="auto"/>
                            <w:bottom w:val="none" w:sz="0" w:space="0" w:color="auto"/>
                            <w:right w:val="none" w:sz="0" w:space="0" w:color="auto"/>
                          </w:divBdr>
                          <w:divsChild>
                            <w:div w:id="1768892238">
                              <w:marLeft w:val="0"/>
                              <w:marRight w:val="0"/>
                              <w:marTop w:val="0"/>
                              <w:marBottom w:val="0"/>
                              <w:divBdr>
                                <w:top w:val="none" w:sz="0" w:space="0" w:color="auto"/>
                                <w:left w:val="none" w:sz="0" w:space="0" w:color="auto"/>
                                <w:bottom w:val="none" w:sz="0" w:space="0" w:color="auto"/>
                                <w:right w:val="none" w:sz="0" w:space="0" w:color="auto"/>
                              </w:divBdr>
                            </w:div>
                          </w:divsChild>
                        </w:div>
                        <w:div w:id="2015448382">
                          <w:marLeft w:val="0"/>
                          <w:marRight w:val="0"/>
                          <w:marTop w:val="0"/>
                          <w:marBottom w:val="0"/>
                          <w:divBdr>
                            <w:top w:val="none" w:sz="0" w:space="0" w:color="auto"/>
                            <w:left w:val="none" w:sz="0" w:space="0" w:color="auto"/>
                            <w:bottom w:val="none" w:sz="0" w:space="0" w:color="auto"/>
                            <w:right w:val="none" w:sz="0" w:space="0" w:color="auto"/>
                          </w:divBdr>
                        </w:div>
                      </w:divsChild>
                    </w:div>
                    <w:div w:id="104616066">
                      <w:marLeft w:val="0"/>
                      <w:marRight w:val="0"/>
                      <w:marTop w:val="0"/>
                      <w:marBottom w:val="0"/>
                      <w:divBdr>
                        <w:top w:val="none" w:sz="0" w:space="0" w:color="auto"/>
                        <w:left w:val="none" w:sz="0" w:space="0" w:color="auto"/>
                        <w:bottom w:val="none" w:sz="0" w:space="0" w:color="auto"/>
                        <w:right w:val="none" w:sz="0" w:space="0" w:color="auto"/>
                      </w:divBdr>
                      <w:divsChild>
                        <w:div w:id="130486513">
                          <w:marLeft w:val="0"/>
                          <w:marRight w:val="0"/>
                          <w:marTop w:val="0"/>
                          <w:marBottom w:val="0"/>
                          <w:divBdr>
                            <w:top w:val="none" w:sz="0" w:space="0" w:color="auto"/>
                            <w:left w:val="none" w:sz="0" w:space="0" w:color="auto"/>
                            <w:bottom w:val="none" w:sz="0" w:space="0" w:color="auto"/>
                            <w:right w:val="none" w:sz="0" w:space="0" w:color="auto"/>
                          </w:divBdr>
                          <w:divsChild>
                            <w:div w:id="19222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0777">
          <w:marLeft w:val="0"/>
          <w:marRight w:val="0"/>
          <w:marTop w:val="0"/>
          <w:marBottom w:val="0"/>
          <w:divBdr>
            <w:top w:val="none" w:sz="0" w:space="0" w:color="auto"/>
            <w:left w:val="none" w:sz="0" w:space="0" w:color="auto"/>
            <w:bottom w:val="none" w:sz="0" w:space="0" w:color="auto"/>
            <w:right w:val="none" w:sz="0" w:space="0" w:color="auto"/>
          </w:divBdr>
          <w:divsChild>
            <w:div w:id="850023711">
              <w:marLeft w:val="0"/>
              <w:marRight w:val="0"/>
              <w:marTop w:val="0"/>
              <w:marBottom w:val="0"/>
              <w:divBdr>
                <w:top w:val="none" w:sz="0" w:space="0" w:color="auto"/>
                <w:left w:val="none" w:sz="0" w:space="0" w:color="auto"/>
                <w:bottom w:val="none" w:sz="0" w:space="0" w:color="auto"/>
                <w:right w:val="none" w:sz="0" w:space="0" w:color="auto"/>
              </w:divBdr>
              <w:divsChild>
                <w:div w:id="1552617434">
                  <w:marLeft w:val="0"/>
                  <w:marRight w:val="0"/>
                  <w:marTop w:val="0"/>
                  <w:marBottom w:val="0"/>
                  <w:divBdr>
                    <w:top w:val="none" w:sz="0" w:space="0" w:color="auto"/>
                    <w:left w:val="none" w:sz="0" w:space="0" w:color="auto"/>
                    <w:bottom w:val="none" w:sz="0" w:space="0" w:color="auto"/>
                    <w:right w:val="none" w:sz="0" w:space="0" w:color="auto"/>
                  </w:divBdr>
                  <w:divsChild>
                    <w:div w:id="143550363">
                      <w:marLeft w:val="0"/>
                      <w:marRight w:val="0"/>
                      <w:marTop w:val="0"/>
                      <w:marBottom w:val="0"/>
                      <w:divBdr>
                        <w:top w:val="none" w:sz="0" w:space="0" w:color="auto"/>
                        <w:left w:val="none" w:sz="0" w:space="0" w:color="auto"/>
                        <w:bottom w:val="none" w:sz="0" w:space="0" w:color="auto"/>
                        <w:right w:val="none" w:sz="0" w:space="0" w:color="auto"/>
                      </w:divBdr>
                      <w:divsChild>
                        <w:div w:id="1494490398">
                          <w:marLeft w:val="0"/>
                          <w:marRight w:val="0"/>
                          <w:marTop w:val="0"/>
                          <w:marBottom w:val="0"/>
                          <w:divBdr>
                            <w:top w:val="none" w:sz="0" w:space="0" w:color="auto"/>
                            <w:left w:val="none" w:sz="0" w:space="0" w:color="auto"/>
                            <w:bottom w:val="none" w:sz="0" w:space="0" w:color="auto"/>
                            <w:right w:val="none" w:sz="0" w:space="0" w:color="auto"/>
                          </w:divBdr>
                          <w:divsChild>
                            <w:div w:id="12824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79377">
      <w:bodyDiv w:val="1"/>
      <w:marLeft w:val="0"/>
      <w:marRight w:val="0"/>
      <w:marTop w:val="0"/>
      <w:marBottom w:val="0"/>
      <w:divBdr>
        <w:top w:val="none" w:sz="0" w:space="0" w:color="auto"/>
        <w:left w:val="none" w:sz="0" w:space="0" w:color="auto"/>
        <w:bottom w:val="none" w:sz="0" w:space="0" w:color="auto"/>
        <w:right w:val="none" w:sz="0" w:space="0" w:color="auto"/>
      </w:divBdr>
    </w:div>
    <w:div w:id="295337314">
      <w:bodyDiv w:val="1"/>
      <w:marLeft w:val="0"/>
      <w:marRight w:val="0"/>
      <w:marTop w:val="0"/>
      <w:marBottom w:val="0"/>
      <w:divBdr>
        <w:top w:val="none" w:sz="0" w:space="0" w:color="auto"/>
        <w:left w:val="none" w:sz="0" w:space="0" w:color="auto"/>
        <w:bottom w:val="none" w:sz="0" w:space="0" w:color="auto"/>
        <w:right w:val="none" w:sz="0" w:space="0" w:color="auto"/>
      </w:divBdr>
    </w:div>
    <w:div w:id="301034466">
      <w:bodyDiv w:val="1"/>
      <w:marLeft w:val="0"/>
      <w:marRight w:val="0"/>
      <w:marTop w:val="0"/>
      <w:marBottom w:val="0"/>
      <w:divBdr>
        <w:top w:val="none" w:sz="0" w:space="0" w:color="auto"/>
        <w:left w:val="none" w:sz="0" w:space="0" w:color="auto"/>
        <w:bottom w:val="none" w:sz="0" w:space="0" w:color="auto"/>
        <w:right w:val="none" w:sz="0" w:space="0" w:color="auto"/>
      </w:divBdr>
    </w:div>
    <w:div w:id="301693704">
      <w:bodyDiv w:val="1"/>
      <w:marLeft w:val="0"/>
      <w:marRight w:val="0"/>
      <w:marTop w:val="0"/>
      <w:marBottom w:val="0"/>
      <w:divBdr>
        <w:top w:val="none" w:sz="0" w:space="0" w:color="auto"/>
        <w:left w:val="none" w:sz="0" w:space="0" w:color="auto"/>
        <w:bottom w:val="none" w:sz="0" w:space="0" w:color="auto"/>
        <w:right w:val="none" w:sz="0" w:space="0" w:color="auto"/>
      </w:divBdr>
    </w:div>
    <w:div w:id="313150128">
      <w:bodyDiv w:val="1"/>
      <w:marLeft w:val="0"/>
      <w:marRight w:val="0"/>
      <w:marTop w:val="0"/>
      <w:marBottom w:val="0"/>
      <w:divBdr>
        <w:top w:val="none" w:sz="0" w:space="0" w:color="auto"/>
        <w:left w:val="none" w:sz="0" w:space="0" w:color="auto"/>
        <w:bottom w:val="none" w:sz="0" w:space="0" w:color="auto"/>
        <w:right w:val="none" w:sz="0" w:space="0" w:color="auto"/>
      </w:divBdr>
    </w:div>
    <w:div w:id="316374655">
      <w:bodyDiv w:val="1"/>
      <w:marLeft w:val="0"/>
      <w:marRight w:val="0"/>
      <w:marTop w:val="0"/>
      <w:marBottom w:val="0"/>
      <w:divBdr>
        <w:top w:val="none" w:sz="0" w:space="0" w:color="auto"/>
        <w:left w:val="none" w:sz="0" w:space="0" w:color="auto"/>
        <w:bottom w:val="none" w:sz="0" w:space="0" w:color="auto"/>
        <w:right w:val="none" w:sz="0" w:space="0" w:color="auto"/>
      </w:divBdr>
      <w:divsChild>
        <w:div w:id="150024800">
          <w:blockQuote w:val="1"/>
          <w:marLeft w:val="720"/>
          <w:marRight w:val="720"/>
          <w:marTop w:val="100"/>
          <w:marBottom w:val="100"/>
          <w:divBdr>
            <w:top w:val="none" w:sz="0" w:space="0" w:color="auto"/>
            <w:left w:val="none" w:sz="0" w:space="0" w:color="auto"/>
            <w:bottom w:val="none" w:sz="0" w:space="0" w:color="auto"/>
            <w:right w:val="none" w:sz="0" w:space="0" w:color="auto"/>
          </w:divBdr>
        </w:div>
        <w:div w:id="8301706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44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245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052215">
      <w:bodyDiv w:val="1"/>
      <w:marLeft w:val="0"/>
      <w:marRight w:val="0"/>
      <w:marTop w:val="0"/>
      <w:marBottom w:val="0"/>
      <w:divBdr>
        <w:top w:val="none" w:sz="0" w:space="0" w:color="auto"/>
        <w:left w:val="none" w:sz="0" w:space="0" w:color="auto"/>
        <w:bottom w:val="none" w:sz="0" w:space="0" w:color="auto"/>
        <w:right w:val="none" w:sz="0" w:space="0" w:color="auto"/>
      </w:divBdr>
    </w:div>
    <w:div w:id="335811501">
      <w:bodyDiv w:val="1"/>
      <w:marLeft w:val="0"/>
      <w:marRight w:val="0"/>
      <w:marTop w:val="0"/>
      <w:marBottom w:val="0"/>
      <w:divBdr>
        <w:top w:val="none" w:sz="0" w:space="0" w:color="auto"/>
        <w:left w:val="none" w:sz="0" w:space="0" w:color="auto"/>
        <w:bottom w:val="none" w:sz="0" w:space="0" w:color="auto"/>
        <w:right w:val="none" w:sz="0" w:space="0" w:color="auto"/>
      </w:divBdr>
    </w:div>
    <w:div w:id="342248599">
      <w:bodyDiv w:val="1"/>
      <w:marLeft w:val="0"/>
      <w:marRight w:val="0"/>
      <w:marTop w:val="0"/>
      <w:marBottom w:val="0"/>
      <w:divBdr>
        <w:top w:val="none" w:sz="0" w:space="0" w:color="auto"/>
        <w:left w:val="none" w:sz="0" w:space="0" w:color="auto"/>
        <w:bottom w:val="none" w:sz="0" w:space="0" w:color="auto"/>
        <w:right w:val="none" w:sz="0" w:space="0" w:color="auto"/>
      </w:divBdr>
    </w:div>
    <w:div w:id="348725978">
      <w:bodyDiv w:val="1"/>
      <w:marLeft w:val="0"/>
      <w:marRight w:val="0"/>
      <w:marTop w:val="0"/>
      <w:marBottom w:val="0"/>
      <w:divBdr>
        <w:top w:val="none" w:sz="0" w:space="0" w:color="auto"/>
        <w:left w:val="none" w:sz="0" w:space="0" w:color="auto"/>
        <w:bottom w:val="none" w:sz="0" w:space="0" w:color="auto"/>
        <w:right w:val="none" w:sz="0" w:space="0" w:color="auto"/>
      </w:divBdr>
      <w:divsChild>
        <w:div w:id="832338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6809587">
      <w:bodyDiv w:val="1"/>
      <w:marLeft w:val="0"/>
      <w:marRight w:val="0"/>
      <w:marTop w:val="0"/>
      <w:marBottom w:val="0"/>
      <w:divBdr>
        <w:top w:val="none" w:sz="0" w:space="0" w:color="auto"/>
        <w:left w:val="none" w:sz="0" w:space="0" w:color="auto"/>
        <w:bottom w:val="none" w:sz="0" w:space="0" w:color="auto"/>
        <w:right w:val="none" w:sz="0" w:space="0" w:color="auto"/>
      </w:divBdr>
    </w:div>
    <w:div w:id="362944248">
      <w:bodyDiv w:val="1"/>
      <w:marLeft w:val="0"/>
      <w:marRight w:val="0"/>
      <w:marTop w:val="0"/>
      <w:marBottom w:val="0"/>
      <w:divBdr>
        <w:top w:val="none" w:sz="0" w:space="0" w:color="auto"/>
        <w:left w:val="none" w:sz="0" w:space="0" w:color="auto"/>
        <w:bottom w:val="none" w:sz="0" w:space="0" w:color="auto"/>
        <w:right w:val="none" w:sz="0" w:space="0" w:color="auto"/>
      </w:divBdr>
    </w:div>
    <w:div w:id="380252533">
      <w:bodyDiv w:val="1"/>
      <w:marLeft w:val="0"/>
      <w:marRight w:val="0"/>
      <w:marTop w:val="0"/>
      <w:marBottom w:val="0"/>
      <w:divBdr>
        <w:top w:val="none" w:sz="0" w:space="0" w:color="auto"/>
        <w:left w:val="none" w:sz="0" w:space="0" w:color="auto"/>
        <w:bottom w:val="none" w:sz="0" w:space="0" w:color="auto"/>
        <w:right w:val="none" w:sz="0" w:space="0" w:color="auto"/>
      </w:divBdr>
    </w:div>
    <w:div w:id="391583264">
      <w:bodyDiv w:val="1"/>
      <w:marLeft w:val="0"/>
      <w:marRight w:val="0"/>
      <w:marTop w:val="0"/>
      <w:marBottom w:val="0"/>
      <w:divBdr>
        <w:top w:val="none" w:sz="0" w:space="0" w:color="auto"/>
        <w:left w:val="none" w:sz="0" w:space="0" w:color="auto"/>
        <w:bottom w:val="none" w:sz="0" w:space="0" w:color="auto"/>
        <w:right w:val="none" w:sz="0" w:space="0" w:color="auto"/>
      </w:divBdr>
    </w:div>
    <w:div w:id="397244453">
      <w:bodyDiv w:val="1"/>
      <w:marLeft w:val="0"/>
      <w:marRight w:val="0"/>
      <w:marTop w:val="0"/>
      <w:marBottom w:val="0"/>
      <w:divBdr>
        <w:top w:val="none" w:sz="0" w:space="0" w:color="auto"/>
        <w:left w:val="none" w:sz="0" w:space="0" w:color="auto"/>
        <w:bottom w:val="none" w:sz="0" w:space="0" w:color="auto"/>
        <w:right w:val="none" w:sz="0" w:space="0" w:color="auto"/>
      </w:divBdr>
      <w:divsChild>
        <w:div w:id="529294266">
          <w:marLeft w:val="0"/>
          <w:marRight w:val="0"/>
          <w:marTop w:val="0"/>
          <w:marBottom w:val="0"/>
          <w:divBdr>
            <w:top w:val="none" w:sz="0" w:space="0" w:color="auto"/>
            <w:left w:val="none" w:sz="0" w:space="0" w:color="auto"/>
            <w:bottom w:val="none" w:sz="0" w:space="0" w:color="auto"/>
            <w:right w:val="none" w:sz="0" w:space="0" w:color="auto"/>
          </w:divBdr>
          <w:divsChild>
            <w:div w:id="855382175">
              <w:marLeft w:val="0"/>
              <w:marRight w:val="0"/>
              <w:marTop w:val="0"/>
              <w:marBottom w:val="0"/>
              <w:divBdr>
                <w:top w:val="none" w:sz="0" w:space="0" w:color="auto"/>
                <w:left w:val="none" w:sz="0" w:space="0" w:color="auto"/>
                <w:bottom w:val="none" w:sz="0" w:space="0" w:color="auto"/>
                <w:right w:val="none" w:sz="0" w:space="0" w:color="auto"/>
              </w:divBdr>
            </w:div>
          </w:divsChild>
        </w:div>
        <w:div w:id="176846393">
          <w:marLeft w:val="0"/>
          <w:marRight w:val="0"/>
          <w:marTop w:val="0"/>
          <w:marBottom w:val="0"/>
          <w:divBdr>
            <w:top w:val="none" w:sz="0" w:space="0" w:color="auto"/>
            <w:left w:val="none" w:sz="0" w:space="0" w:color="auto"/>
            <w:bottom w:val="none" w:sz="0" w:space="0" w:color="auto"/>
            <w:right w:val="none" w:sz="0" w:space="0" w:color="auto"/>
          </w:divBdr>
          <w:divsChild>
            <w:div w:id="18917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89738">
      <w:bodyDiv w:val="1"/>
      <w:marLeft w:val="0"/>
      <w:marRight w:val="0"/>
      <w:marTop w:val="0"/>
      <w:marBottom w:val="0"/>
      <w:divBdr>
        <w:top w:val="none" w:sz="0" w:space="0" w:color="auto"/>
        <w:left w:val="none" w:sz="0" w:space="0" w:color="auto"/>
        <w:bottom w:val="none" w:sz="0" w:space="0" w:color="auto"/>
        <w:right w:val="none" w:sz="0" w:space="0" w:color="auto"/>
      </w:divBdr>
    </w:div>
    <w:div w:id="433087800">
      <w:bodyDiv w:val="1"/>
      <w:marLeft w:val="0"/>
      <w:marRight w:val="0"/>
      <w:marTop w:val="0"/>
      <w:marBottom w:val="0"/>
      <w:divBdr>
        <w:top w:val="none" w:sz="0" w:space="0" w:color="auto"/>
        <w:left w:val="none" w:sz="0" w:space="0" w:color="auto"/>
        <w:bottom w:val="none" w:sz="0" w:space="0" w:color="auto"/>
        <w:right w:val="none" w:sz="0" w:space="0" w:color="auto"/>
      </w:divBdr>
    </w:div>
    <w:div w:id="436486523">
      <w:bodyDiv w:val="1"/>
      <w:marLeft w:val="0"/>
      <w:marRight w:val="0"/>
      <w:marTop w:val="0"/>
      <w:marBottom w:val="0"/>
      <w:divBdr>
        <w:top w:val="none" w:sz="0" w:space="0" w:color="auto"/>
        <w:left w:val="none" w:sz="0" w:space="0" w:color="auto"/>
        <w:bottom w:val="none" w:sz="0" w:space="0" w:color="auto"/>
        <w:right w:val="none" w:sz="0" w:space="0" w:color="auto"/>
      </w:divBdr>
    </w:div>
    <w:div w:id="439683829">
      <w:bodyDiv w:val="1"/>
      <w:marLeft w:val="0"/>
      <w:marRight w:val="0"/>
      <w:marTop w:val="0"/>
      <w:marBottom w:val="0"/>
      <w:divBdr>
        <w:top w:val="none" w:sz="0" w:space="0" w:color="auto"/>
        <w:left w:val="none" w:sz="0" w:space="0" w:color="auto"/>
        <w:bottom w:val="none" w:sz="0" w:space="0" w:color="auto"/>
        <w:right w:val="none" w:sz="0" w:space="0" w:color="auto"/>
      </w:divBdr>
    </w:div>
    <w:div w:id="444740052">
      <w:bodyDiv w:val="1"/>
      <w:marLeft w:val="0"/>
      <w:marRight w:val="0"/>
      <w:marTop w:val="0"/>
      <w:marBottom w:val="0"/>
      <w:divBdr>
        <w:top w:val="none" w:sz="0" w:space="0" w:color="auto"/>
        <w:left w:val="none" w:sz="0" w:space="0" w:color="auto"/>
        <w:bottom w:val="none" w:sz="0" w:space="0" w:color="auto"/>
        <w:right w:val="none" w:sz="0" w:space="0" w:color="auto"/>
      </w:divBdr>
    </w:div>
    <w:div w:id="449134004">
      <w:bodyDiv w:val="1"/>
      <w:marLeft w:val="0"/>
      <w:marRight w:val="0"/>
      <w:marTop w:val="0"/>
      <w:marBottom w:val="0"/>
      <w:divBdr>
        <w:top w:val="none" w:sz="0" w:space="0" w:color="auto"/>
        <w:left w:val="none" w:sz="0" w:space="0" w:color="auto"/>
        <w:bottom w:val="none" w:sz="0" w:space="0" w:color="auto"/>
        <w:right w:val="none" w:sz="0" w:space="0" w:color="auto"/>
      </w:divBdr>
    </w:div>
    <w:div w:id="449513619">
      <w:bodyDiv w:val="1"/>
      <w:marLeft w:val="0"/>
      <w:marRight w:val="0"/>
      <w:marTop w:val="0"/>
      <w:marBottom w:val="0"/>
      <w:divBdr>
        <w:top w:val="none" w:sz="0" w:space="0" w:color="auto"/>
        <w:left w:val="none" w:sz="0" w:space="0" w:color="auto"/>
        <w:bottom w:val="none" w:sz="0" w:space="0" w:color="auto"/>
        <w:right w:val="none" w:sz="0" w:space="0" w:color="auto"/>
      </w:divBdr>
    </w:div>
    <w:div w:id="450634355">
      <w:bodyDiv w:val="1"/>
      <w:marLeft w:val="0"/>
      <w:marRight w:val="0"/>
      <w:marTop w:val="0"/>
      <w:marBottom w:val="0"/>
      <w:divBdr>
        <w:top w:val="none" w:sz="0" w:space="0" w:color="auto"/>
        <w:left w:val="none" w:sz="0" w:space="0" w:color="auto"/>
        <w:bottom w:val="none" w:sz="0" w:space="0" w:color="auto"/>
        <w:right w:val="none" w:sz="0" w:space="0" w:color="auto"/>
      </w:divBdr>
    </w:div>
    <w:div w:id="459763189">
      <w:bodyDiv w:val="1"/>
      <w:marLeft w:val="0"/>
      <w:marRight w:val="0"/>
      <w:marTop w:val="0"/>
      <w:marBottom w:val="0"/>
      <w:divBdr>
        <w:top w:val="none" w:sz="0" w:space="0" w:color="auto"/>
        <w:left w:val="none" w:sz="0" w:space="0" w:color="auto"/>
        <w:bottom w:val="none" w:sz="0" w:space="0" w:color="auto"/>
        <w:right w:val="none" w:sz="0" w:space="0" w:color="auto"/>
      </w:divBdr>
      <w:divsChild>
        <w:div w:id="1538159401">
          <w:marLeft w:val="0"/>
          <w:marRight w:val="0"/>
          <w:marTop w:val="0"/>
          <w:marBottom w:val="0"/>
          <w:divBdr>
            <w:top w:val="none" w:sz="0" w:space="0" w:color="auto"/>
            <w:left w:val="none" w:sz="0" w:space="0" w:color="auto"/>
            <w:bottom w:val="none" w:sz="0" w:space="0" w:color="auto"/>
            <w:right w:val="none" w:sz="0" w:space="0" w:color="auto"/>
          </w:divBdr>
          <w:divsChild>
            <w:div w:id="1223911127">
              <w:marLeft w:val="0"/>
              <w:marRight w:val="0"/>
              <w:marTop w:val="0"/>
              <w:marBottom w:val="0"/>
              <w:divBdr>
                <w:top w:val="none" w:sz="0" w:space="0" w:color="auto"/>
                <w:left w:val="none" w:sz="0" w:space="0" w:color="auto"/>
                <w:bottom w:val="none" w:sz="0" w:space="0" w:color="auto"/>
                <w:right w:val="none" w:sz="0" w:space="0" w:color="auto"/>
              </w:divBdr>
              <w:divsChild>
                <w:div w:id="1905603526">
                  <w:marLeft w:val="0"/>
                  <w:marRight w:val="0"/>
                  <w:marTop w:val="0"/>
                  <w:marBottom w:val="0"/>
                  <w:divBdr>
                    <w:top w:val="none" w:sz="0" w:space="0" w:color="auto"/>
                    <w:left w:val="none" w:sz="0" w:space="0" w:color="auto"/>
                    <w:bottom w:val="none" w:sz="0" w:space="0" w:color="auto"/>
                    <w:right w:val="none" w:sz="0" w:space="0" w:color="auto"/>
                  </w:divBdr>
                  <w:divsChild>
                    <w:div w:id="1835796870">
                      <w:marLeft w:val="0"/>
                      <w:marRight w:val="0"/>
                      <w:marTop w:val="0"/>
                      <w:marBottom w:val="0"/>
                      <w:divBdr>
                        <w:top w:val="none" w:sz="0" w:space="0" w:color="auto"/>
                        <w:left w:val="none" w:sz="0" w:space="0" w:color="auto"/>
                        <w:bottom w:val="none" w:sz="0" w:space="0" w:color="auto"/>
                        <w:right w:val="none" w:sz="0" w:space="0" w:color="auto"/>
                      </w:divBdr>
                      <w:divsChild>
                        <w:div w:id="862670843">
                          <w:marLeft w:val="0"/>
                          <w:marRight w:val="0"/>
                          <w:marTop w:val="0"/>
                          <w:marBottom w:val="0"/>
                          <w:divBdr>
                            <w:top w:val="none" w:sz="0" w:space="0" w:color="auto"/>
                            <w:left w:val="none" w:sz="0" w:space="0" w:color="auto"/>
                            <w:bottom w:val="none" w:sz="0" w:space="0" w:color="auto"/>
                            <w:right w:val="none" w:sz="0" w:space="0" w:color="auto"/>
                          </w:divBdr>
                          <w:divsChild>
                            <w:div w:id="2185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8734">
                      <w:marLeft w:val="0"/>
                      <w:marRight w:val="0"/>
                      <w:marTop w:val="0"/>
                      <w:marBottom w:val="0"/>
                      <w:divBdr>
                        <w:top w:val="none" w:sz="0" w:space="0" w:color="auto"/>
                        <w:left w:val="none" w:sz="0" w:space="0" w:color="auto"/>
                        <w:bottom w:val="none" w:sz="0" w:space="0" w:color="auto"/>
                        <w:right w:val="none" w:sz="0" w:space="0" w:color="auto"/>
                      </w:divBdr>
                      <w:divsChild>
                        <w:div w:id="1366441299">
                          <w:marLeft w:val="0"/>
                          <w:marRight w:val="0"/>
                          <w:marTop w:val="0"/>
                          <w:marBottom w:val="0"/>
                          <w:divBdr>
                            <w:top w:val="none" w:sz="0" w:space="0" w:color="auto"/>
                            <w:left w:val="none" w:sz="0" w:space="0" w:color="auto"/>
                            <w:bottom w:val="none" w:sz="0" w:space="0" w:color="auto"/>
                            <w:right w:val="none" w:sz="0" w:space="0" w:color="auto"/>
                          </w:divBdr>
                          <w:divsChild>
                            <w:div w:id="1825927228">
                              <w:marLeft w:val="0"/>
                              <w:marRight w:val="0"/>
                              <w:marTop w:val="0"/>
                              <w:marBottom w:val="0"/>
                              <w:divBdr>
                                <w:top w:val="none" w:sz="0" w:space="0" w:color="auto"/>
                                <w:left w:val="none" w:sz="0" w:space="0" w:color="auto"/>
                                <w:bottom w:val="none" w:sz="0" w:space="0" w:color="auto"/>
                                <w:right w:val="none" w:sz="0" w:space="0" w:color="auto"/>
                              </w:divBdr>
                              <w:divsChild>
                                <w:div w:id="19326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5014">
                      <w:marLeft w:val="0"/>
                      <w:marRight w:val="0"/>
                      <w:marTop w:val="0"/>
                      <w:marBottom w:val="0"/>
                      <w:divBdr>
                        <w:top w:val="none" w:sz="0" w:space="0" w:color="auto"/>
                        <w:left w:val="none" w:sz="0" w:space="0" w:color="auto"/>
                        <w:bottom w:val="none" w:sz="0" w:space="0" w:color="auto"/>
                        <w:right w:val="none" w:sz="0" w:space="0" w:color="auto"/>
                      </w:divBdr>
                      <w:divsChild>
                        <w:div w:id="296495607">
                          <w:marLeft w:val="0"/>
                          <w:marRight w:val="0"/>
                          <w:marTop w:val="0"/>
                          <w:marBottom w:val="0"/>
                          <w:divBdr>
                            <w:top w:val="none" w:sz="0" w:space="0" w:color="auto"/>
                            <w:left w:val="none" w:sz="0" w:space="0" w:color="auto"/>
                            <w:bottom w:val="none" w:sz="0" w:space="0" w:color="auto"/>
                            <w:right w:val="none" w:sz="0" w:space="0" w:color="auto"/>
                          </w:divBdr>
                          <w:divsChild>
                            <w:div w:id="910240991">
                              <w:marLeft w:val="0"/>
                              <w:marRight w:val="0"/>
                              <w:marTop w:val="0"/>
                              <w:marBottom w:val="0"/>
                              <w:divBdr>
                                <w:top w:val="none" w:sz="0" w:space="0" w:color="auto"/>
                                <w:left w:val="none" w:sz="0" w:space="0" w:color="auto"/>
                                <w:bottom w:val="none" w:sz="0" w:space="0" w:color="auto"/>
                                <w:right w:val="none" w:sz="0" w:space="0" w:color="auto"/>
                              </w:divBdr>
                              <w:divsChild>
                                <w:div w:id="448402158">
                                  <w:marLeft w:val="0"/>
                                  <w:marRight w:val="0"/>
                                  <w:marTop w:val="0"/>
                                  <w:marBottom w:val="0"/>
                                  <w:divBdr>
                                    <w:top w:val="none" w:sz="0" w:space="0" w:color="auto"/>
                                    <w:left w:val="none" w:sz="0" w:space="0" w:color="auto"/>
                                    <w:bottom w:val="none" w:sz="0" w:space="0" w:color="auto"/>
                                    <w:right w:val="none" w:sz="0" w:space="0" w:color="auto"/>
                                  </w:divBdr>
                                </w:div>
                              </w:divsChild>
                            </w:div>
                            <w:div w:id="19148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33210">
      <w:bodyDiv w:val="1"/>
      <w:marLeft w:val="0"/>
      <w:marRight w:val="0"/>
      <w:marTop w:val="0"/>
      <w:marBottom w:val="0"/>
      <w:divBdr>
        <w:top w:val="none" w:sz="0" w:space="0" w:color="auto"/>
        <w:left w:val="none" w:sz="0" w:space="0" w:color="auto"/>
        <w:bottom w:val="none" w:sz="0" w:space="0" w:color="auto"/>
        <w:right w:val="none" w:sz="0" w:space="0" w:color="auto"/>
      </w:divBdr>
    </w:div>
    <w:div w:id="463934324">
      <w:bodyDiv w:val="1"/>
      <w:marLeft w:val="0"/>
      <w:marRight w:val="0"/>
      <w:marTop w:val="0"/>
      <w:marBottom w:val="0"/>
      <w:divBdr>
        <w:top w:val="none" w:sz="0" w:space="0" w:color="auto"/>
        <w:left w:val="none" w:sz="0" w:space="0" w:color="auto"/>
        <w:bottom w:val="none" w:sz="0" w:space="0" w:color="auto"/>
        <w:right w:val="none" w:sz="0" w:space="0" w:color="auto"/>
      </w:divBdr>
    </w:div>
    <w:div w:id="477185350">
      <w:bodyDiv w:val="1"/>
      <w:marLeft w:val="0"/>
      <w:marRight w:val="0"/>
      <w:marTop w:val="0"/>
      <w:marBottom w:val="0"/>
      <w:divBdr>
        <w:top w:val="none" w:sz="0" w:space="0" w:color="auto"/>
        <w:left w:val="none" w:sz="0" w:space="0" w:color="auto"/>
        <w:bottom w:val="none" w:sz="0" w:space="0" w:color="auto"/>
        <w:right w:val="none" w:sz="0" w:space="0" w:color="auto"/>
      </w:divBdr>
    </w:div>
    <w:div w:id="485509523">
      <w:bodyDiv w:val="1"/>
      <w:marLeft w:val="0"/>
      <w:marRight w:val="0"/>
      <w:marTop w:val="0"/>
      <w:marBottom w:val="0"/>
      <w:divBdr>
        <w:top w:val="none" w:sz="0" w:space="0" w:color="auto"/>
        <w:left w:val="none" w:sz="0" w:space="0" w:color="auto"/>
        <w:bottom w:val="none" w:sz="0" w:space="0" w:color="auto"/>
        <w:right w:val="none" w:sz="0" w:space="0" w:color="auto"/>
      </w:divBdr>
    </w:div>
    <w:div w:id="487668436">
      <w:bodyDiv w:val="1"/>
      <w:marLeft w:val="0"/>
      <w:marRight w:val="0"/>
      <w:marTop w:val="0"/>
      <w:marBottom w:val="0"/>
      <w:divBdr>
        <w:top w:val="none" w:sz="0" w:space="0" w:color="auto"/>
        <w:left w:val="none" w:sz="0" w:space="0" w:color="auto"/>
        <w:bottom w:val="none" w:sz="0" w:space="0" w:color="auto"/>
        <w:right w:val="none" w:sz="0" w:space="0" w:color="auto"/>
      </w:divBdr>
    </w:div>
    <w:div w:id="495416922">
      <w:bodyDiv w:val="1"/>
      <w:marLeft w:val="0"/>
      <w:marRight w:val="0"/>
      <w:marTop w:val="0"/>
      <w:marBottom w:val="0"/>
      <w:divBdr>
        <w:top w:val="none" w:sz="0" w:space="0" w:color="auto"/>
        <w:left w:val="none" w:sz="0" w:space="0" w:color="auto"/>
        <w:bottom w:val="none" w:sz="0" w:space="0" w:color="auto"/>
        <w:right w:val="none" w:sz="0" w:space="0" w:color="auto"/>
      </w:divBdr>
    </w:div>
    <w:div w:id="509832243">
      <w:bodyDiv w:val="1"/>
      <w:marLeft w:val="0"/>
      <w:marRight w:val="0"/>
      <w:marTop w:val="0"/>
      <w:marBottom w:val="0"/>
      <w:divBdr>
        <w:top w:val="none" w:sz="0" w:space="0" w:color="auto"/>
        <w:left w:val="none" w:sz="0" w:space="0" w:color="auto"/>
        <w:bottom w:val="none" w:sz="0" w:space="0" w:color="auto"/>
        <w:right w:val="none" w:sz="0" w:space="0" w:color="auto"/>
      </w:divBdr>
      <w:divsChild>
        <w:div w:id="1397430579">
          <w:marLeft w:val="0"/>
          <w:marRight w:val="0"/>
          <w:marTop w:val="0"/>
          <w:marBottom w:val="0"/>
          <w:divBdr>
            <w:top w:val="none" w:sz="0" w:space="0" w:color="auto"/>
            <w:left w:val="none" w:sz="0" w:space="0" w:color="auto"/>
            <w:bottom w:val="none" w:sz="0" w:space="0" w:color="auto"/>
            <w:right w:val="none" w:sz="0" w:space="0" w:color="auto"/>
          </w:divBdr>
          <w:divsChild>
            <w:div w:id="294071101">
              <w:marLeft w:val="0"/>
              <w:marRight w:val="0"/>
              <w:marTop w:val="0"/>
              <w:marBottom w:val="0"/>
              <w:divBdr>
                <w:top w:val="none" w:sz="0" w:space="0" w:color="auto"/>
                <w:left w:val="none" w:sz="0" w:space="0" w:color="auto"/>
                <w:bottom w:val="none" w:sz="0" w:space="0" w:color="auto"/>
                <w:right w:val="none" w:sz="0" w:space="0" w:color="auto"/>
              </w:divBdr>
            </w:div>
          </w:divsChild>
        </w:div>
        <w:div w:id="1558856152">
          <w:marLeft w:val="0"/>
          <w:marRight w:val="0"/>
          <w:marTop w:val="0"/>
          <w:marBottom w:val="0"/>
          <w:divBdr>
            <w:top w:val="none" w:sz="0" w:space="0" w:color="auto"/>
            <w:left w:val="none" w:sz="0" w:space="0" w:color="auto"/>
            <w:bottom w:val="none" w:sz="0" w:space="0" w:color="auto"/>
            <w:right w:val="none" w:sz="0" w:space="0" w:color="auto"/>
          </w:divBdr>
          <w:divsChild>
            <w:div w:id="1003511043">
              <w:marLeft w:val="0"/>
              <w:marRight w:val="0"/>
              <w:marTop w:val="0"/>
              <w:marBottom w:val="0"/>
              <w:divBdr>
                <w:top w:val="none" w:sz="0" w:space="0" w:color="auto"/>
                <w:left w:val="none" w:sz="0" w:space="0" w:color="auto"/>
                <w:bottom w:val="none" w:sz="0" w:space="0" w:color="auto"/>
                <w:right w:val="none" w:sz="0" w:space="0" w:color="auto"/>
              </w:divBdr>
            </w:div>
          </w:divsChild>
        </w:div>
        <w:div w:id="2098206179">
          <w:marLeft w:val="0"/>
          <w:marRight w:val="0"/>
          <w:marTop w:val="0"/>
          <w:marBottom w:val="0"/>
          <w:divBdr>
            <w:top w:val="none" w:sz="0" w:space="0" w:color="auto"/>
            <w:left w:val="none" w:sz="0" w:space="0" w:color="auto"/>
            <w:bottom w:val="none" w:sz="0" w:space="0" w:color="auto"/>
            <w:right w:val="none" w:sz="0" w:space="0" w:color="auto"/>
          </w:divBdr>
          <w:divsChild>
            <w:div w:id="353266549">
              <w:marLeft w:val="0"/>
              <w:marRight w:val="0"/>
              <w:marTop w:val="0"/>
              <w:marBottom w:val="0"/>
              <w:divBdr>
                <w:top w:val="none" w:sz="0" w:space="0" w:color="auto"/>
                <w:left w:val="none" w:sz="0" w:space="0" w:color="auto"/>
                <w:bottom w:val="none" w:sz="0" w:space="0" w:color="auto"/>
                <w:right w:val="none" w:sz="0" w:space="0" w:color="auto"/>
              </w:divBdr>
            </w:div>
          </w:divsChild>
        </w:div>
        <w:div w:id="136798968">
          <w:marLeft w:val="0"/>
          <w:marRight w:val="0"/>
          <w:marTop w:val="0"/>
          <w:marBottom w:val="0"/>
          <w:divBdr>
            <w:top w:val="none" w:sz="0" w:space="0" w:color="auto"/>
            <w:left w:val="none" w:sz="0" w:space="0" w:color="auto"/>
            <w:bottom w:val="none" w:sz="0" w:space="0" w:color="auto"/>
            <w:right w:val="none" w:sz="0" w:space="0" w:color="auto"/>
          </w:divBdr>
          <w:divsChild>
            <w:div w:id="1167281431">
              <w:marLeft w:val="0"/>
              <w:marRight w:val="0"/>
              <w:marTop w:val="0"/>
              <w:marBottom w:val="0"/>
              <w:divBdr>
                <w:top w:val="none" w:sz="0" w:space="0" w:color="auto"/>
                <w:left w:val="none" w:sz="0" w:space="0" w:color="auto"/>
                <w:bottom w:val="none" w:sz="0" w:space="0" w:color="auto"/>
                <w:right w:val="none" w:sz="0" w:space="0" w:color="auto"/>
              </w:divBdr>
            </w:div>
          </w:divsChild>
        </w:div>
        <w:div w:id="1735279318">
          <w:marLeft w:val="0"/>
          <w:marRight w:val="0"/>
          <w:marTop w:val="0"/>
          <w:marBottom w:val="0"/>
          <w:divBdr>
            <w:top w:val="none" w:sz="0" w:space="0" w:color="auto"/>
            <w:left w:val="none" w:sz="0" w:space="0" w:color="auto"/>
            <w:bottom w:val="none" w:sz="0" w:space="0" w:color="auto"/>
            <w:right w:val="none" w:sz="0" w:space="0" w:color="auto"/>
          </w:divBdr>
          <w:divsChild>
            <w:div w:id="1753426115">
              <w:marLeft w:val="0"/>
              <w:marRight w:val="0"/>
              <w:marTop w:val="0"/>
              <w:marBottom w:val="0"/>
              <w:divBdr>
                <w:top w:val="none" w:sz="0" w:space="0" w:color="auto"/>
                <w:left w:val="none" w:sz="0" w:space="0" w:color="auto"/>
                <w:bottom w:val="none" w:sz="0" w:space="0" w:color="auto"/>
                <w:right w:val="none" w:sz="0" w:space="0" w:color="auto"/>
              </w:divBdr>
            </w:div>
          </w:divsChild>
        </w:div>
        <w:div w:id="1160076530">
          <w:marLeft w:val="0"/>
          <w:marRight w:val="0"/>
          <w:marTop w:val="0"/>
          <w:marBottom w:val="0"/>
          <w:divBdr>
            <w:top w:val="none" w:sz="0" w:space="0" w:color="auto"/>
            <w:left w:val="none" w:sz="0" w:space="0" w:color="auto"/>
            <w:bottom w:val="none" w:sz="0" w:space="0" w:color="auto"/>
            <w:right w:val="none" w:sz="0" w:space="0" w:color="auto"/>
          </w:divBdr>
          <w:divsChild>
            <w:div w:id="719136749">
              <w:marLeft w:val="0"/>
              <w:marRight w:val="0"/>
              <w:marTop w:val="0"/>
              <w:marBottom w:val="0"/>
              <w:divBdr>
                <w:top w:val="none" w:sz="0" w:space="0" w:color="auto"/>
                <w:left w:val="none" w:sz="0" w:space="0" w:color="auto"/>
                <w:bottom w:val="none" w:sz="0" w:space="0" w:color="auto"/>
                <w:right w:val="none" w:sz="0" w:space="0" w:color="auto"/>
              </w:divBdr>
            </w:div>
          </w:divsChild>
        </w:div>
        <w:div w:id="1132137928">
          <w:marLeft w:val="0"/>
          <w:marRight w:val="0"/>
          <w:marTop w:val="0"/>
          <w:marBottom w:val="0"/>
          <w:divBdr>
            <w:top w:val="none" w:sz="0" w:space="0" w:color="auto"/>
            <w:left w:val="none" w:sz="0" w:space="0" w:color="auto"/>
            <w:bottom w:val="none" w:sz="0" w:space="0" w:color="auto"/>
            <w:right w:val="none" w:sz="0" w:space="0" w:color="auto"/>
          </w:divBdr>
          <w:divsChild>
            <w:div w:id="1532957422">
              <w:marLeft w:val="0"/>
              <w:marRight w:val="0"/>
              <w:marTop w:val="0"/>
              <w:marBottom w:val="0"/>
              <w:divBdr>
                <w:top w:val="none" w:sz="0" w:space="0" w:color="auto"/>
                <w:left w:val="none" w:sz="0" w:space="0" w:color="auto"/>
                <w:bottom w:val="none" w:sz="0" w:space="0" w:color="auto"/>
                <w:right w:val="none" w:sz="0" w:space="0" w:color="auto"/>
              </w:divBdr>
            </w:div>
          </w:divsChild>
        </w:div>
        <w:div w:id="1697654315">
          <w:marLeft w:val="0"/>
          <w:marRight w:val="0"/>
          <w:marTop w:val="0"/>
          <w:marBottom w:val="0"/>
          <w:divBdr>
            <w:top w:val="none" w:sz="0" w:space="0" w:color="auto"/>
            <w:left w:val="none" w:sz="0" w:space="0" w:color="auto"/>
            <w:bottom w:val="none" w:sz="0" w:space="0" w:color="auto"/>
            <w:right w:val="none" w:sz="0" w:space="0" w:color="auto"/>
          </w:divBdr>
          <w:divsChild>
            <w:div w:id="1062825404">
              <w:marLeft w:val="0"/>
              <w:marRight w:val="0"/>
              <w:marTop w:val="0"/>
              <w:marBottom w:val="0"/>
              <w:divBdr>
                <w:top w:val="none" w:sz="0" w:space="0" w:color="auto"/>
                <w:left w:val="none" w:sz="0" w:space="0" w:color="auto"/>
                <w:bottom w:val="none" w:sz="0" w:space="0" w:color="auto"/>
                <w:right w:val="none" w:sz="0" w:space="0" w:color="auto"/>
              </w:divBdr>
            </w:div>
          </w:divsChild>
        </w:div>
        <w:div w:id="1872260730">
          <w:marLeft w:val="0"/>
          <w:marRight w:val="0"/>
          <w:marTop w:val="0"/>
          <w:marBottom w:val="0"/>
          <w:divBdr>
            <w:top w:val="none" w:sz="0" w:space="0" w:color="auto"/>
            <w:left w:val="none" w:sz="0" w:space="0" w:color="auto"/>
            <w:bottom w:val="none" w:sz="0" w:space="0" w:color="auto"/>
            <w:right w:val="none" w:sz="0" w:space="0" w:color="auto"/>
          </w:divBdr>
          <w:divsChild>
            <w:div w:id="1376201373">
              <w:marLeft w:val="0"/>
              <w:marRight w:val="0"/>
              <w:marTop w:val="0"/>
              <w:marBottom w:val="0"/>
              <w:divBdr>
                <w:top w:val="none" w:sz="0" w:space="0" w:color="auto"/>
                <w:left w:val="none" w:sz="0" w:space="0" w:color="auto"/>
                <w:bottom w:val="none" w:sz="0" w:space="0" w:color="auto"/>
                <w:right w:val="none" w:sz="0" w:space="0" w:color="auto"/>
              </w:divBdr>
            </w:div>
          </w:divsChild>
        </w:div>
        <w:div w:id="1095978903">
          <w:marLeft w:val="0"/>
          <w:marRight w:val="0"/>
          <w:marTop w:val="0"/>
          <w:marBottom w:val="0"/>
          <w:divBdr>
            <w:top w:val="none" w:sz="0" w:space="0" w:color="auto"/>
            <w:left w:val="none" w:sz="0" w:space="0" w:color="auto"/>
            <w:bottom w:val="none" w:sz="0" w:space="0" w:color="auto"/>
            <w:right w:val="none" w:sz="0" w:space="0" w:color="auto"/>
          </w:divBdr>
          <w:divsChild>
            <w:div w:id="1905918431">
              <w:marLeft w:val="0"/>
              <w:marRight w:val="0"/>
              <w:marTop w:val="0"/>
              <w:marBottom w:val="0"/>
              <w:divBdr>
                <w:top w:val="none" w:sz="0" w:space="0" w:color="auto"/>
                <w:left w:val="none" w:sz="0" w:space="0" w:color="auto"/>
                <w:bottom w:val="none" w:sz="0" w:space="0" w:color="auto"/>
                <w:right w:val="none" w:sz="0" w:space="0" w:color="auto"/>
              </w:divBdr>
            </w:div>
          </w:divsChild>
        </w:div>
        <w:div w:id="1724788309">
          <w:marLeft w:val="0"/>
          <w:marRight w:val="0"/>
          <w:marTop w:val="0"/>
          <w:marBottom w:val="0"/>
          <w:divBdr>
            <w:top w:val="none" w:sz="0" w:space="0" w:color="auto"/>
            <w:left w:val="none" w:sz="0" w:space="0" w:color="auto"/>
            <w:bottom w:val="none" w:sz="0" w:space="0" w:color="auto"/>
            <w:right w:val="none" w:sz="0" w:space="0" w:color="auto"/>
          </w:divBdr>
          <w:divsChild>
            <w:div w:id="2029483679">
              <w:marLeft w:val="0"/>
              <w:marRight w:val="0"/>
              <w:marTop w:val="0"/>
              <w:marBottom w:val="0"/>
              <w:divBdr>
                <w:top w:val="none" w:sz="0" w:space="0" w:color="auto"/>
                <w:left w:val="none" w:sz="0" w:space="0" w:color="auto"/>
                <w:bottom w:val="none" w:sz="0" w:space="0" w:color="auto"/>
                <w:right w:val="none" w:sz="0" w:space="0" w:color="auto"/>
              </w:divBdr>
            </w:div>
          </w:divsChild>
        </w:div>
        <w:div w:id="142937519">
          <w:marLeft w:val="0"/>
          <w:marRight w:val="0"/>
          <w:marTop w:val="0"/>
          <w:marBottom w:val="0"/>
          <w:divBdr>
            <w:top w:val="none" w:sz="0" w:space="0" w:color="auto"/>
            <w:left w:val="none" w:sz="0" w:space="0" w:color="auto"/>
            <w:bottom w:val="none" w:sz="0" w:space="0" w:color="auto"/>
            <w:right w:val="none" w:sz="0" w:space="0" w:color="auto"/>
          </w:divBdr>
          <w:divsChild>
            <w:div w:id="304895736">
              <w:marLeft w:val="0"/>
              <w:marRight w:val="0"/>
              <w:marTop w:val="0"/>
              <w:marBottom w:val="0"/>
              <w:divBdr>
                <w:top w:val="none" w:sz="0" w:space="0" w:color="auto"/>
                <w:left w:val="none" w:sz="0" w:space="0" w:color="auto"/>
                <w:bottom w:val="none" w:sz="0" w:space="0" w:color="auto"/>
                <w:right w:val="none" w:sz="0" w:space="0" w:color="auto"/>
              </w:divBdr>
            </w:div>
          </w:divsChild>
        </w:div>
        <w:div w:id="663895812">
          <w:marLeft w:val="0"/>
          <w:marRight w:val="0"/>
          <w:marTop w:val="0"/>
          <w:marBottom w:val="0"/>
          <w:divBdr>
            <w:top w:val="none" w:sz="0" w:space="0" w:color="auto"/>
            <w:left w:val="none" w:sz="0" w:space="0" w:color="auto"/>
            <w:bottom w:val="none" w:sz="0" w:space="0" w:color="auto"/>
            <w:right w:val="none" w:sz="0" w:space="0" w:color="auto"/>
          </w:divBdr>
          <w:divsChild>
            <w:div w:id="1889756522">
              <w:marLeft w:val="0"/>
              <w:marRight w:val="0"/>
              <w:marTop w:val="0"/>
              <w:marBottom w:val="0"/>
              <w:divBdr>
                <w:top w:val="none" w:sz="0" w:space="0" w:color="auto"/>
                <w:left w:val="none" w:sz="0" w:space="0" w:color="auto"/>
                <w:bottom w:val="none" w:sz="0" w:space="0" w:color="auto"/>
                <w:right w:val="none" w:sz="0" w:space="0" w:color="auto"/>
              </w:divBdr>
            </w:div>
          </w:divsChild>
        </w:div>
        <w:div w:id="951864432">
          <w:marLeft w:val="0"/>
          <w:marRight w:val="0"/>
          <w:marTop w:val="0"/>
          <w:marBottom w:val="0"/>
          <w:divBdr>
            <w:top w:val="none" w:sz="0" w:space="0" w:color="auto"/>
            <w:left w:val="none" w:sz="0" w:space="0" w:color="auto"/>
            <w:bottom w:val="none" w:sz="0" w:space="0" w:color="auto"/>
            <w:right w:val="none" w:sz="0" w:space="0" w:color="auto"/>
          </w:divBdr>
          <w:divsChild>
            <w:div w:id="131795370">
              <w:marLeft w:val="0"/>
              <w:marRight w:val="0"/>
              <w:marTop w:val="0"/>
              <w:marBottom w:val="0"/>
              <w:divBdr>
                <w:top w:val="none" w:sz="0" w:space="0" w:color="auto"/>
                <w:left w:val="none" w:sz="0" w:space="0" w:color="auto"/>
                <w:bottom w:val="none" w:sz="0" w:space="0" w:color="auto"/>
                <w:right w:val="none" w:sz="0" w:space="0" w:color="auto"/>
              </w:divBdr>
            </w:div>
          </w:divsChild>
        </w:div>
        <w:div w:id="418715082">
          <w:marLeft w:val="0"/>
          <w:marRight w:val="0"/>
          <w:marTop w:val="0"/>
          <w:marBottom w:val="0"/>
          <w:divBdr>
            <w:top w:val="none" w:sz="0" w:space="0" w:color="auto"/>
            <w:left w:val="none" w:sz="0" w:space="0" w:color="auto"/>
            <w:bottom w:val="none" w:sz="0" w:space="0" w:color="auto"/>
            <w:right w:val="none" w:sz="0" w:space="0" w:color="auto"/>
          </w:divBdr>
          <w:divsChild>
            <w:div w:id="212230318">
              <w:marLeft w:val="0"/>
              <w:marRight w:val="0"/>
              <w:marTop w:val="0"/>
              <w:marBottom w:val="0"/>
              <w:divBdr>
                <w:top w:val="none" w:sz="0" w:space="0" w:color="auto"/>
                <w:left w:val="none" w:sz="0" w:space="0" w:color="auto"/>
                <w:bottom w:val="none" w:sz="0" w:space="0" w:color="auto"/>
                <w:right w:val="none" w:sz="0" w:space="0" w:color="auto"/>
              </w:divBdr>
            </w:div>
          </w:divsChild>
        </w:div>
        <w:div w:id="1957758865">
          <w:marLeft w:val="0"/>
          <w:marRight w:val="0"/>
          <w:marTop w:val="0"/>
          <w:marBottom w:val="0"/>
          <w:divBdr>
            <w:top w:val="none" w:sz="0" w:space="0" w:color="auto"/>
            <w:left w:val="none" w:sz="0" w:space="0" w:color="auto"/>
            <w:bottom w:val="none" w:sz="0" w:space="0" w:color="auto"/>
            <w:right w:val="none" w:sz="0" w:space="0" w:color="auto"/>
          </w:divBdr>
          <w:divsChild>
            <w:div w:id="1888179105">
              <w:marLeft w:val="0"/>
              <w:marRight w:val="0"/>
              <w:marTop w:val="0"/>
              <w:marBottom w:val="0"/>
              <w:divBdr>
                <w:top w:val="none" w:sz="0" w:space="0" w:color="auto"/>
                <w:left w:val="none" w:sz="0" w:space="0" w:color="auto"/>
                <w:bottom w:val="none" w:sz="0" w:space="0" w:color="auto"/>
                <w:right w:val="none" w:sz="0" w:space="0" w:color="auto"/>
              </w:divBdr>
            </w:div>
          </w:divsChild>
        </w:div>
        <w:div w:id="1172914596">
          <w:marLeft w:val="0"/>
          <w:marRight w:val="0"/>
          <w:marTop w:val="0"/>
          <w:marBottom w:val="0"/>
          <w:divBdr>
            <w:top w:val="none" w:sz="0" w:space="0" w:color="auto"/>
            <w:left w:val="none" w:sz="0" w:space="0" w:color="auto"/>
            <w:bottom w:val="none" w:sz="0" w:space="0" w:color="auto"/>
            <w:right w:val="none" w:sz="0" w:space="0" w:color="auto"/>
          </w:divBdr>
          <w:divsChild>
            <w:div w:id="1258252344">
              <w:marLeft w:val="0"/>
              <w:marRight w:val="0"/>
              <w:marTop w:val="0"/>
              <w:marBottom w:val="0"/>
              <w:divBdr>
                <w:top w:val="none" w:sz="0" w:space="0" w:color="auto"/>
                <w:left w:val="none" w:sz="0" w:space="0" w:color="auto"/>
                <w:bottom w:val="none" w:sz="0" w:space="0" w:color="auto"/>
                <w:right w:val="none" w:sz="0" w:space="0" w:color="auto"/>
              </w:divBdr>
            </w:div>
          </w:divsChild>
        </w:div>
        <w:div w:id="227959817">
          <w:marLeft w:val="0"/>
          <w:marRight w:val="0"/>
          <w:marTop w:val="0"/>
          <w:marBottom w:val="0"/>
          <w:divBdr>
            <w:top w:val="none" w:sz="0" w:space="0" w:color="auto"/>
            <w:left w:val="none" w:sz="0" w:space="0" w:color="auto"/>
            <w:bottom w:val="none" w:sz="0" w:space="0" w:color="auto"/>
            <w:right w:val="none" w:sz="0" w:space="0" w:color="auto"/>
          </w:divBdr>
          <w:divsChild>
            <w:div w:id="1467621235">
              <w:marLeft w:val="0"/>
              <w:marRight w:val="0"/>
              <w:marTop w:val="0"/>
              <w:marBottom w:val="0"/>
              <w:divBdr>
                <w:top w:val="none" w:sz="0" w:space="0" w:color="auto"/>
                <w:left w:val="none" w:sz="0" w:space="0" w:color="auto"/>
                <w:bottom w:val="none" w:sz="0" w:space="0" w:color="auto"/>
                <w:right w:val="none" w:sz="0" w:space="0" w:color="auto"/>
              </w:divBdr>
            </w:div>
          </w:divsChild>
        </w:div>
        <w:div w:id="1776170653">
          <w:marLeft w:val="0"/>
          <w:marRight w:val="0"/>
          <w:marTop w:val="0"/>
          <w:marBottom w:val="0"/>
          <w:divBdr>
            <w:top w:val="none" w:sz="0" w:space="0" w:color="auto"/>
            <w:left w:val="none" w:sz="0" w:space="0" w:color="auto"/>
            <w:bottom w:val="none" w:sz="0" w:space="0" w:color="auto"/>
            <w:right w:val="none" w:sz="0" w:space="0" w:color="auto"/>
          </w:divBdr>
          <w:divsChild>
            <w:div w:id="1319648223">
              <w:marLeft w:val="0"/>
              <w:marRight w:val="0"/>
              <w:marTop w:val="0"/>
              <w:marBottom w:val="0"/>
              <w:divBdr>
                <w:top w:val="none" w:sz="0" w:space="0" w:color="auto"/>
                <w:left w:val="none" w:sz="0" w:space="0" w:color="auto"/>
                <w:bottom w:val="none" w:sz="0" w:space="0" w:color="auto"/>
                <w:right w:val="none" w:sz="0" w:space="0" w:color="auto"/>
              </w:divBdr>
            </w:div>
          </w:divsChild>
        </w:div>
        <w:div w:id="1371345891">
          <w:marLeft w:val="0"/>
          <w:marRight w:val="0"/>
          <w:marTop w:val="0"/>
          <w:marBottom w:val="0"/>
          <w:divBdr>
            <w:top w:val="none" w:sz="0" w:space="0" w:color="auto"/>
            <w:left w:val="none" w:sz="0" w:space="0" w:color="auto"/>
            <w:bottom w:val="none" w:sz="0" w:space="0" w:color="auto"/>
            <w:right w:val="none" w:sz="0" w:space="0" w:color="auto"/>
          </w:divBdr>
          <w:divsChild>
            <w:div w:id="959216741">
              <w:marLeft w:val="0"/>
              <w:marRight w:val="0"/>
              <w:marTop w:val="0"/>
              <w:marBottom w:val="0"/>
              <w:divBdr>
                <w:top w:val="none" w:sz="0" w:space="0" w:color="auto"/>
                <w:left w:val="none" w:sz="0" w:space="0" w:color="auto"/>
                <w:bottom w:val="none" w:sz="0" w:space="0" w:color="auto"/>
                <w:right w:val="none" w:sz="0" w:space="0" w:color="auto"/>
              </w:divBdr>
            </w:div>
          </w:divsChild>
        </w:div>
        <w:div w:id="1010836959">
          <w:marLeft w:val="0"/>
          <w:marRight w:val="0"/>
          <w:marTop w:val="0"/>
          <w:marBottom w:val="0"/>
          <w:divBdr>
            <w:top w:val="none" w:sz="0" w:space="0" w:color="auto"/>
            <w:left w:val="none" w:sz="0" w:space="0" w:color="auto"/>
            <w:bottom w:val="none" w:sz="0" w:space="0" w:color="auto"/>
            <w:right w:val="none" w:sz="0" w:space="0" w:color="auto"/>
          </w:divBdr>
          <w:divsChild>
            <w:div w:id="1727993065">
              <w:marLeft w:val="0"/>
              <w:marRight w:val="0"/>
              <w:marTop w:val="0"/>
              <w:marBottom w:val="0"/>
              <w:divBdr>
                <w:top w:val="none" w:sz="0" w:space="0" w:color="auto"/>
                <w:left w:val="none" w:sz="0" w:space="0" w:color="auto"/>
                <w:bottom w:val="none" w:sz="0" w:space="0" w:color="auto"/>
                <w:right w:val="none" w:sz="0" w:space="0" w:color="auto"/>
              </w:divBdr>
            </w:div>
          </w:divsChild>
        </w:div>
        <w:div w:id="1205294847">
          <w:marLeft w:val="0"/>
          <w:marRight w:val="0"/>
          <w:marTop w:val="0"/>
          <w:marBottom w:val="0"/>
          <w:divBdr>
            <w:top w:val="none" w:sz="0" w:space="0" w:color="auto"/>
            <w:left w:val="none" w:sz="0" w:space="0" w:color="auto"/>
            <w:bottom w:val="none" w:sz="0" w:space="0" w:color="auto"/>
            <w:right w:val="none" w:sz="0" w:space="0" w:color="auto"/>
          </w:divBdr>
          <w:divsChild>
            <w:div w:id="1890267368">
              <w:marLeft w:val="0"/>
              <w:marRight w:val="0"/>
              <w:marTop w:val="0"/>
              <w:marBottom w:val="0"/>
              <w:divBdr>
                <w:top w:val="none" w:sz="0" w:space="0" w:color="auto"/>
                <w:left w:val="none" w:sz="0" w:space="0" w:color="auto"/>
                <w:bottom w:val="none" w:sz="0" w:space="0" w:color="auto"/>
                <w:right w:val="none" w:sz="0" w:space="0" w:color="auto"/>
              </w:divBdr>
            </w:div>
          </w:divsChild>
        </w:div>
        <w:div w:id="2053067995">
          <w:marLeft w:val="0"/>
          <w:marRight w:val="0"/>
          <w:marTop w:val="0"/>
          <w:marBottom w:val="0"/>
          <w:divBdr>
            <w:top w:val="none" w:sz="0" w:space="0" w:color="auto"/>
            <w:left w:val="none" w:sz="0" w:space="0" w:color="auto"/>
            <w:bottom w:val="none" w:sz="0" w:space="0" w:color="auto"/>
            <w:right w:val="none" w:sz="0" w:space="0" w:color="auto"/>
          </w:divBdr>
          <w:divsChild>
            <w:div w:id="272595172">
              <w:marLeft w:val="0"/>
              <w:marRight w:val="0"/>
              <w:marTop w:val="0"/>
              <w:marBottom w:val="0"/>
              <w:divBdr>
                <w:top w:val="none" w:sz="0" w:space="0" w:color="auto"/>
                <w:left w:val="none" w:sz="0" w:space="0" w:color="auto"/>
                <w:bottom w:val="none" w:sz="0" w:space="0" w:color="auto"/>
                <w:right w:val="none" w:sz="0" w:space="0" w:color="auto"/>
              </w:divBdr>
            </w:div>
          </w:divsChild>
        </w:div>
        <w:div w:id="1844346791">
          <w:marLeft w:val="0"/>
          <w:marRight w:val="0"/>
          <w:marTop w:val="0"/>
          <w:marBottom w:val="0"/>
          <w:divBdr>
            <w:top w:val="none" w:sz="0" w:space="0" w:color="auto"/>
            <w:left w:val="none" w:sz="0" w:space="0" w:color="auto"/>
            <w:bottom w:val="none" w:sz="0" w:space="0" w:color="auto"/>
            <w:right w:val="none" w:sz="0" w:space="0" w:color="auto"/>
          </w:divBdr>
          <w:divsChild>
            <w:div w:id="2053651219">
              <w:marLeft w:val="0"/>
              <w:marRight w:val="0"/>
              <w:marTop w:val="0"/>
              <w:marBottom w:val="0"/>
              <w:divBdr>
                <w:top w:val="none" w:sz="0" w:space="0" w:color="auto"/>
                <w:left w:val="none" w:sz="0" w:space="0" w:color="auto"/>
                <w:bottom w:val="none" w:sz="0" w:space="0" w:color="auto"/>
                <w:right w:val="none" w:sz="0" w:space="0" w:color="auto"/>
              </w:divBdr>
            </w:div>
          </w:divsChild>
        </w:div>
        <w:div w:id="1244603089">
          <w:marLeft w:val="0"/>
          <w:marRight w:val="0"/>
          <w:marTop w:val="0"/>
          <w:marBottom w:val="0"/>
          <w:divBdr>
            <w:top w:val="none" w:sz="0" w:space="0" w:color="auto"/>
            <w:left w:val="none" w:sz="0" w:space="0" w:color="auto"/>
            <w:bottom w:val="none" w:sz="0" w:space="0" w:color="auto"/>
            <w:right w:val="none" w:sz="0" w:space="0" w:color="auto"/>
          </w:divBdr>
          <w:divsChild>
            <w:div w:id="1522862182">
              <w:marLeft w:val="0"/>
              <w:marRight w:val="0"/>
              <w:marTop w:val="0"/>
              <w:marBottom w:val="0"/>
              <w:divBdr>
                <w:top w:val="none" w:sz="0" w:space="0" w:color="auto"/>
                <w:left w:val="none" w:sz="0" w:space="0" w:color="auto"/>
                <w:bottom w:val="none" w:sz="0" w:space="0" w:color="auto"/>
                <w:right w:val="none" w:sz="0" w:space="0" w:color="auto"/>
              </w:divBdr>
            </w:div>
          </w:divsChild>
        </w:div>
        <w:div w:id="1829008833">
          <w:marLeft w:val="0"/>
          <w:marRight w:val="0"/>
          <w:marTop w:val="0"/>
          <w:marBottom w:val="0"/>
          <w:divBdr>
            <w:top w:val="none" w:sz="0" w:space="0" w:color="auto"/>
            <w:left w:val="none" w:sz="0" w:space="0" w:color="auto"/>
            <w:bottom w:val="none" w:sz="0" w:space="0" w:color="auto"/>
            <w:right w:val="none" w:sz="0" w:space="0" w:color="auto"/>
          </w:divBdr>
          <w:divsChild>
            <w:div w:id="1014915115">
              <w:marLeft w:val="0"/>
              <w:marRight w:val="0"/>
              <w:marTop w:val="0"/>
              <w:marBottom w:val="0"/>
              <w:divBdr>
                <w:top w:val="none" w:sz="0" w:space="0" w:color="auto"/>
                <w:left w:val="none" w:sz="0" w:space="0" w:color="auto"/>
                <w:bottom w:val="none" w:sz="0" w:space="0" w:color="auto"/>
                <w:right w:val="none" w:sz="0" w:space="0" w:color="auto"/>
              </w:divBdr>
            </w:div>
          </w:divsChild>
        </w:div>
        <w:div w:id="1565599254">
          <w:marLeft w:val="0"/>
          <w:marRight w:val="0"/>
          <w:marTop w:val="0"/>
          <w:marBottom w:val="0"/>
          <w:divBdr>
            <w:top w:val="none" w:sz="0" w:space="0" w:color="auto"/>
            <w:left w:val="none" w:sz="0" w:space="0" w:color="auto"/>
            <w:bottom w:val="none" w:sz="0" w:space="0" w:color="auto"/>
            <w:right w:val="none" w:sz="0" w:space="0" w:color="auto"/>
          </w:divBdr>
          <w:divsChild>
            <w:div w:id="484053002">
              <w:marLeft w:val="0"/>
              <w:marRight w:val="0"/>
              <w:marTop w:val="0"/>
              <w:marBottom w:val="0"/>
              <w:divBdr>
                <w:top w:val="none" w:sz="0" w:space="0" w:color="auto"/>
                <w:left w:val="none" w:sz="0" w:space="0" w:color="auto"/>
                <w:bottom w:val="none" w:sz="0" w:space="0" w:color="auto"/>
                <w:right w:val="none" w:sz="0" w:space="0" w:color="auto"/>
              </w:divBdr>
            </w:div>
          </w:divsChild>
        </w:div>
        <w:div w:id="336887355">
          <w:marLeft w:val="0"/>
          <w:marRight w:val="0"/>
          <w:marTop w:val="0"/>
          <w:marBottom w:val="0"/>
          <w:divBdr>
            <w:top w:val="none" w:sz="0" w:space="0" w:color="auto"/>
            <w:left w:val="none" w:sz="0" w:space="0" w:color="auto"/>
            <w:bottom w:val="none" w:sz="0" w:space="0" w:color="auto"/>
            <w:right w:val="none" w:sz="0" w:space="0" w:color="auto"/>
          </w:divBdr>
          <w:divsChild>
            <w:div w:id="868420519">
              <w:marLeft w:val="0"/>
              <w:marRight w:val="0"/>
              <w:marTop w:val="0"/>
              <w:marBottom w:val="0"/>
              <w:divBdr>
                <w:top w:val="none" w:sz="0" w:space="0" w:color="auto"/>
                <w:left w:val="none" w:sz="0" w:space="0" w:color="auto"/>
                <w:bottom w:val="none" w:sz="0" w:space="0" w:color="auto"/>
                <w:right w:val="none" w:sz="0" w:space="0" w:color="auto"/>
              </w:divBdr>
            </w:div>
          </w:divsChild>
        </w:div>
        <w:div w:id="901211770">
          <w:marLeft w:val="0"/>
          <w:marRight w:val="0"/>
          <w:marTop w:val="0"/>
          <w:marBottom w:val="0"/>
          <w:divBdr>
            <w:top w:val="none" w:sz="0" w:space="0" w:color="auto"/>
            <w:left w:val="none" w:sz="0" w:space="0" w:color="auto"/>
            <w:bottom w:val="none" w:sz="0" w:space="0" w:color="auto"/>
            <w:right w:val="none" w:sz="0" w:space="0" w:color="auto"/>
          </w:divBdr>
          <w:divsChild>
            <w:div w:id="1187593885">
              <w:marLeft w:val="0"/>
              <w:marRight w:val="0"/>
              <w:marTop w:val="0"/>
              <w:marBottom w:val="0"/>
              <w:divBdr>
                <w:top w:val="none" w:sz="0" w:space="0" w:color="auto"/>
                <w:left w:val="none" w:sz="0" w:space="0" w:color="auto"/>
                <w:bottom w:val="none" w:sz="0" w:space="0" w:color="auto"/>
                <w:right w:val="none" w:sz="0" w:space="0" w:color="auto"/>
              </w:divBdr>
            </w:div>
          </w:divsChild>
        </w:div>
        <w:div w:id="856387829">
          <w:marLeft w:val="0"/>
          <w:marRight w:val="0"/>
          <w:marTop w:val="0"/>
          <w:marBottom w:val="0"/>
          <w:divBdr>
            <w:top w:val="none" w:sz="0" w:space="0" w:color="auto"/>
            <w:left w:val="none" w:sz="0" w:space="0" w:color="auto"/>
            <w:bottom w:val="none" w:sz="0" w:space="0" w:color="auto"/>
            <w:right w:val="none" w:sz="0" w:space="0" w:color="auto"/>
          </w:divBdr>
          <w:divsChild>
            <w:div w:id="7415075">
              <w:marLeft w:val="0"/>
              <w:marRight w:val="0"/>
              <w:marTop w:val="0"/>
              <w:marBottom w:val="0"/>
              <w:divBdr>
                <w:top w:val="none" w:sz="0" w:space="0" w:color="auto"/>
                <w:left w:val="none" w:sz="0" w:space="0" w:color="auto"/>
                <w:bottom w:val="none" w:sz="0" w:space="0" w:color="auto"/>
                <w:right w:val="none" w:sz="0" w:space="0" w:color="auto"/>
              </w:divBdr>
            </w:div>
          </w:divsChild>
        </w:div>
        <w:div w:id="1646928678">
          <w:marLeft w:val="0"/>
          <w:marRight w:val="0"/>
          <w:marTop w:val="0"/>
          <w:marBottom w:val="0"/>
          <w:divBdr>
            <w:top w:val="none" w:sz="0" w:space="0" w:color="auto"/>
            <w:left w:val="none" w:sz="0" w:space="0" w:color="auto"/>
            <w:bottom w:val="none" w:sz="0" w:space="0" w:color="auto"/>
            <w:right w:val="none" w:sz="0" w:space="0" w:color="auto"/>
          </w:divBdr>
          <w:divsChild>
            <w:div w:id="299459714">
              <w:marLeft w:val="0"/>
              <w:marRight w:val="0"/>
              <w:marTop w:val="0"/>
              <w:marBottom w:val="0"/>
              <w:divBdr>
                <w:top w:val="none" w:sz="0" w:space="0" w:color="auto"/>
                <w:left w:val="none" w:sz="0" w:space="0" w:color="auto"/>
                <w:bottom w:val="none" w:sz="0" w:space="0" w:color="auto"/>
                <w:right w:val="none" w:sz="0" w:space="0" w:color="auto"/>
              </w:divBdr>
            </w:div>
          </w:divsChild>
        </w:div>
        <w:div w:id="820317842">
          <w:marLeft w:val="0"/>
          <w:marRight w:val="0"/>
          <w:marTop w:val="0"/>
          <w:marBottom w:val="0"/>
          <w:divBdr>
            <w:top w:val="none" w:sz="0" w:space="0" w:color="auto"/>
            <w:left w:val="none" w:sz="0" w:space="0" w:color="auto"/>
            <w:bottom w:val="none" w:sz="0" w:space="0" w:color="auto"/>
            <w:right w:val="none" w:sz="0" w:space="0" w:color="auto"/>
          </w:divBdr>
          <w:divsChild>
            <w:div w:id="1769809780">
              <w:marLeft w:val="0"/>
              <w:marRight w:val="0"/>
              <w:marTop w:val="0"/>
              <w:marBottom w:val="0"/>
              <w:divBdr>
                <w:top w:val="none" w:sz="0" w:space="0" w:color="auto"/>
                <w:left w:val="none" w:sz="0" w:space="0" w:color="auto"/>
                <w:bottom w:val="none" w:sz="0" w:space="0" w:color="auto"/>
                <w:right w:val="none" w:sz="0" w:space="0" w:color="auto"/>
              </w:divBdr>
            </w:div>
          </w:divsChild>
        </w:div>
        <w:div w:id="1676958494">
          <w:marLeft w:val="0"/>
          <w:marRight w:val="0"/>
          <w:marTop w:val="0"/>
          <w:marBottom w:val="0"/>
          <w:divBdr>
            <w:top w:val="none" w:sz="0" w:space="0" w:color="auto"/>
            <w:left w:val="none" w:sz="0" w:space="0" w:color="auto"/>
            <w:bottom w:val="none" w:sz="0" w:space="0" w:color="auto"/>
            <w:right w:val="none" w:sz="0" w:space="0" w:color="auto"/>
          </w:divBdr>
          <w:divsChild>
            <w:div w:id="114295764">
              <w:marLeft w:val="0"/>
              <w:marRight w:val="0"/>
              <w:marTop w:val="0"/>
              <w:marBottom w:val="0"/>
              <w:divBdr>
                <w:top w:val="none" w:sz="0" w:space="0" w:color="auto"/>
                <w:left w:val="none" w:sz="0" w:space="0" w:color="auto"/>
                <w:bottom w:val="none" w:sz="0" w:space="0" w:color="auto"/>
                <w:right w:val="none" w:sz="0" w:space="0" w:color="auto"/>
              </w:divBdr>
            </w:div>
          </w:divsChild>
        </w:div>
        <w:div w:id="1836141988">
          <w:marLeft w:val="0"/>
          <w:marRight w:val="0"/>
          <w:marTop w:val="0"/>
          <w:marBottom w:val="0"/>
          <w:divBdr>
            <w:top w:val="none" w:sz="0" w:space="0" w:color="auto"/>
            <w:left w:val="none" w:sz="0" w:space="0" w:color="auto"/>
            <w:bottom w:val="none" w:sz="0" w:space="0" w:color="auto"/>
            <w:right w:val="none" w:sz="0" w:space="0" w:color="auto"/>
          </w:divBdr>
          <w:divsChild>
            <w:div w:id="522475596">
              <w:marLeft w:val="0"/>
              <w:marRight w:val="0"/>
              <w:marTop w:val="0"/>
              <w:marBottom w:val="0"/>
              <w:divBdr>
                <w:top w:val="none" w:sz="0" w:space="0" w:color="auto"/>
                <w:left w:val="none" w:sz="0" w:space="0" w:color="auto"/>
                <w:bottom w:val="none" w:sz="0" w:space="0" w:color="auto"/>
                <w:right w:val="none" w:sz="0" w:space="0" w:color="auto"/>
              </w:divBdr>
            </w:div>
          </w:divsChild>
        </w:div>
        <w:div w:id="1064449813">
          <w:marLeft w:val="0"/>
          <w:marRight w:val="0"/>
          <w:marTop w:val="0"/>
          <w:marBottom w:val="0"/>
          <w:divBdr>
            <w:top w:val="none" w:sz="0" w:space="0" w:color="auto"/>
            <w:left w:val="none" w:sz="0" w:space="0" w:color="auto"/>
            <w:bottom w:val="none" w:sz="0" w:space="0" w:color="auto"/>
            <w:right w:val="none" w:sz="0" w:space="0" w:color="auto"/>
          </w:divBdr>
          <w:divsChild>
            <w:div w:id="615255743">
              <w:marLeft w:val="0"/>
              <w:marRight w:val="0"/>
              <w:marTop w:val="0"/>
              <w:marBottom w:val="0"/>
              <w:divBdr>
                <w:top w:val="none" w:sz="0" w:space="0" w:color="auto"/>
                <w:left w:val="none" w:sz="0" w:space="0" w:color="auto"/>
                <w:bottom w:val="none" w:sz="0" w:space="0" w:color="auto"/>
                <w:right w:val="none" w:sz="0" w:space="0" w:color="auto"/>
              </w:divBdr>
            </w:div>
          </w:divsChild>
        </w:div>
        <w:div w:id="1548028731">
          <w:marLeft w:val="0"/>
          <w:marRight w:val="0"/>
          <w:marTop w:val="0"/>
          <w:marBottom w:val="0"/>
          <w:divBdr>
            <w:top w:val="none" w:sz="0" w:space="0" w:color="auto"/>
            <w:left w:val="none" w:sz="0" w:space="0" w:color="auto"/>
            <w:bottom w:val="none" w:sz="0" w:space="0" w:color="auto"/>
            <w:right w:val="none" w:sz="0" w:space="0" w:color="auto"/>
          </w:divBdr>
          <w:divsChild>
            <w:div w:id="1220019926">
              <w:marLeft w:val="0"/>
              <w:marRight w:val="0"/>
              <w:marTop w:val="0"/>
              <w:marBottom w:val="0"/>
              <w:divBdr>
                <w:top w:val="none" w:sz="0" w:space="0" w:color="auto"/>
                <w:left w:val="none" w:sz="0" w:space="0" w:color="auto"/>
                <w:bottom w:val="none" w:sz="0" w:space="0" w:color="auto"/>
                <w:right w:val="none" w:sz="0" w:space="0" w:color="auto"/>
              </w:divBdr>
            </w:div>
          </w:divsChild>
        </w:div>
        <w:div w:id="1815633199">
          <w:marLeft w:val="0"/>
          <w:marRight w:val="0"/>
          <w:marTop w:val="0"/>
          <w:marBottom w:val="0"/>
          <w:divBdr>
            <w:top w:val="none" w:sz="0" w:space="0" w:color="auto"/>
            <w:left w:val="none" w:sz="0" w:space="0" w:color="auto"/>
            <w:bottom w:val="none" w:sz="0" w:space="0" w:color="auto"/>
            <w:right w:val="none" w:sz="0" w:space="0" w:color="auto"/>
          </w:divBdr>
          <w:divsChild>
            <w:div w:id="1844010283">
              <w:marLeft w:val="0"/>
              <w:marRight w:val="0"/>
              <w:marTop w:val="0"/>
              <w:marBottom w:val="0"/>
              <w:divBdr>
                <w:top w:val="none" w:sz="0" w:space="0" w:color="auto"/>
                <w:left w:val="none" w:sz="0" w:space="0" w:color="auto"/>
                <w:bottom w:val="none" w:sz="0" w:space="0" w:color="auto"/>
                <w:right w:val="none" w:sz="0" w:space="0" w:color="auto"/>
              </w:divBdr>
            </w:div>
          </w:divsChild>
        </w:div>
        <w:div w:id="621349681">
          <w:marLeft w:val="0"/>
          <w:marRight w:val="0"/>
          <w:marTop w:val="0"/>
          <w:marBottom w:val="0"/>
          <w:divBdr>
            <w:top w:val="none" w:sz="0" w:space="0" w:color="auto"/>
            <w:left w:val="none" w:sz="0" w:space="0" w:color="auto"/>
            <w:bottom w:val="none" w:sz="0" w:space="0" w:color="auto"/>
            <w:right w:val="none" w:sz="0" w:space="0" w:color="auto"/>
          </w:divBdr>
          <w:divsChild>
            <w:div w:id="133716522">
              <w:marLeft w:val="0"/>
              <w:marRight w:val="0"/>
              <w:marTop w:val="0"/>
              <w:marBottom w:val="0"/>
              <w:divBdr>
                <w:top w:val="none" w:sz="0" w:space="0" w:color="auto"/>
                <w:left w:val="none" w:sz="0" w:space="0" w:color="auto"/>
                <w:bottom w:val="none" w:sz="0" w:space="0" w:color="auto"/>
                <w:right w:val="none" w:sz="0" w:space="0" w:color="auto"/>
              </w:divBdr>
            </w:div>
          </w:divsChild>
        </w:div>
        <w:div w:id="1554121014">
          <w:marLeft w:val="0"/>
          <w:marRight w:val="0"/>
          <w:marTop w:val="0"/>
          <w:marBottom w:val="0"/>
          <w:divBdr>
            <w:top w:val="none" w:sz="0" w:space="0" w:color="auto"/>
            <w:left w:val="none" w:sz="0" w:space="0" w:color="auto"/>
            <w:bottom w:val="none" w:sz="0" w:space="0" w:color="auto"/>
            <w:right w:val="none" w:sz="0" w:space="0" w:color="auto"/>
          </w:divBdr>
          <w:divsChild>
            <w:div w:id="1824004020">
              <w:marLeft w:val="0"/>
              <w:marRight w:val="0"/>
              <w:marTop w:val="0"/>
              <w:marBottom w:val="0"/>
              <w:divBdr>
                <w:top w:val="none" w:sz="0" w:space="0" w:color="auto"/>
                <w:left w:val="none" w:sz="0" w:space="0" w:color="auto"/>
                <w:bottom w:val="none" w:sz="0" w:space="0" w:color="auto"/>
                <w:right w:val="none" w:sz="0" w:space="0" w:color="auto"/>
              </w:divBdr>
            </w:div>
          </w:divsChild>
        </w:div>
        <w:div w:id="175658947">
          <w:marLeft w:val="0"/>
          <w:marRight w:val="0"/>
          <w:marTop w:val="0"/>
          <w:marBottom w:val="0"/>
          <w:divBdr>
            <w:top w:val="none" w:sz="0" w:space="0" w:color="auto"/>
            <w:left w:val="none" w:sz="0" w:space="0" w:color="auto"/>
            <w:bottom w:val="none" w:sz="0" w:space="0" w:color="auto"/>
            <w:right w:val="none" w:sz="0" w:space="0" w:color="auto"/>
          </w:divBdr>
          <w:divsChild>
            <w:div w:id="2070421780">
              <w:marLeft w:val="0"/>
              <w:marRight w:val="0"/>
              <w:marTop w:val="0"/>
              <w:marBottom w:val="0"/>
              <w:divBdr>
                <w:top w:val="none" w:sz="0" w:space="0" w:color="auto"/>
                <w:left w:val="none" w:sz="0" w:space="0" w:color="auto"/>
                <w:bottom w:val="none" w:sz="0" w:space="0" w:color="auto"/>
                <w:right w:val="none" w:sz="0" w:space="0" w:color="auto"/>
              </w:divBdr>
            </w:div>
          </w:divsChild>
        </w:div>
        <w:div w:id="1189760840">
          <w:marLeft w:val="0"/>
          <w:marRight w:val="0"/>
          <w:marTop w:val="0"/>
          <w:marBottom w:val="0"/>
          <w:divBdr>
            <w:top w:val="none" w:sz="0" w:space="0" w:color="auto"/>
            <w:left w:val="none" w:sz="0" w:space="0" w:color="auto"/>
            <w:bottom w:val="none" w:sz="0" w:space="0" w:color="auto"/>
            <w:right w:val="none" w:sz="0" w:space="0" w:color="auto"/>
          </w:divBdr>
          <w:divsChild>
            <w:div w:id="1706903989">
              <w:marLeft w:val="0"/>
              <w:marRight w:val="0"/>
              <w:marTop w:val="0"/>
              <w:marBottom w:val="0"/>
              <w:divBdr>
                <w:top w:val="none" w:sz="0" w:space="0" w:color="auto"/>
                <w:left w:val="none" w:sz="0" w:space="0" w:color="auto"/>
                <w:bottom w:val="none" w:sz="0" w:space="0" w:color="auto"/>
                <w:right w:val="none" w:sz="0" w:space="0" w:color="auto"/>
              </w:divBdr>
            </w:div>
          </w:divsChild>
        </w:div>
        <w:div w:id="539127880">
          <w:marLeft w:val="0"/>
          <w:marRight w:val="0"/>
          <w:marTop w:val="0"/>
          <w:marBottom w:val="0"/>
          <w:divBdr>
            <w:top w:val="none" w:sz="0" w:space="0" w:color="auto"/>
            <w:left w:val="none" w:sz="0" w:space="0" w:color="auto"/>
            <w:bottom w:val="none" w:sz="0" w:space="0" w:color="auto"/>
            <w:right w:val="none" w:sz="0" w:space="0" w:color="auto"/>
          </w:divBdr>
          <w:divsChild>
            <w:div w:id="507060257">
              <w:marLeft w:val="0"/>
              <w:marRight w:val="0"/>
              <w:marTop w:val="0"/>
              <w:marBottom w:val="0"/>
              <w:divBdr>
                <w:top w:val="none" w:sz="0" w:space="0" w:color="auto"/>
                <w:left w:val="none" w:sz="0" w:space="0" w:color="auto"/>
                <w:bottom w:val="none" w:sz="0" w:space="0" w:color="auto"/>
                <w:right w:val="none" w:sz="0" w:space="0" w:color="auto"/>
              </w:divBdr>
            </w:div>
          </w:divsChild>
        </w:div>
        <w:div w:id="1575235198">
          <w:marLeft w:val="0"/>
          <w:marRight w:val="0"/>
          <w:marTop w:val="0"/>
          <w:marBottom w:val="0"/>
          <w:divBdr>
            <w:top w:val="none" w:sz="0" w:space="0" w:color="auto"/>
            <w:left w:val="none" w:sz="0" w:space="0" w:color="auto"/>
            <w:bottom w:val="none" w:sz="0" w:space="0" w:color="auto"/>
            <w:right w:val="none" w:sz="0" w:space="0" w:color="auto"/>
          </w:divBdr>
          <w:divsChild>
            <w:div w:id="8398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526">
      <w:bodyDiv w:val="1"/>
      <w:marLeft w:val="0"/>
      <w:marRight w:val="0"/>
      <w:marTop w:val="0"/>
      <w:marBottom w:val="0"/>
      <w:divBdr>
        <w:top w:val="none" w:sz="0" w:space="0" w:color="auto"/>
        <w:left w:val="none" w:sz="0" w:space="0" w:color="auto"/>
        <w:bottom w:val="none" w:sz="0" w:space="0" w:color="auto"/>
        <w:right w:val="none" w:sz="0" w:space="0" w:color="auto"/>
      </w:divBdr>
      <w:divsChild>
        <w:div w:id="357972819">
          <w:marLeft w:val="0"/>
          <w:marRight w:val="0"/>
          <w:marTop w:val="0"/>
          <w:marBottom w:val="0"/>
          <w:divBdr>
            <w:top w:val="none" w:sz="0" w:space="0" w:color="auto"/>
            <w:left w:val="none" w:sz="0" w:space="0" w:color="auto"/>
            <w:bottom w:val="none" w:sz="0" w:space="0" w:color="auto"/>
            <w:right w:val="none" w:sz="0" w:space="0" w:color="auto"/>
          </w:divBdr>
          <w:divsChild>
            <w:div w:id="1110129292">
              <w:marLeft w:val="0"/>
              <w:marRight w:val="0"/>
              <w:marTop w:val="0"/>
              <w:marBottom w:val="0"/>
              <w:divBdr>
                <w:top w:val="none" w:sz="0" w:space="0" w:color="auto"/>
                <w:left w:val="none" w:sz="0" w:space="0" w:color="auto"/>
                <w:bottom w:val="none" w:sz="0" w:space="0" w:color="auto"/>
                <w:right w:val="none" w:sz="0" w:space="0" w:color="auto"/>
              </w:divBdr>
              <w:divsChild>
                <w:div w:id="591821067">
                  <w:marLeft w:val="0"/>
                  <w:marRight w:val="0"/>
                  <w:marTop w:val="0"/>
                  <w:marBottom w:val="0"/>
                  <w:divBdr>
                    <w:top w:val="none" w:sz="0" w:space="0" w:color="auto"/>
                    <w:left w:val="none" w:sz="0" w:space="0" w:color="auto"/>
                    <w:bottom w:val="none" w:sz="0" w:space="0" w:color="auto"/>
                    <w:right w:val="none" w:sz="0" w:space="0" w:color="auto"/>
                  </w:divBdr>
                  <w:divsChild>
                    <w:div w:id="921181481">
                      <w:marLeft w:val="0"/>
                      <w:marRight w:val="0"/>
                      <w:marTop w:val="0"/>
                      <w:marBottom w:val="0"/>
                      <w:divBdr>
                        <w:top w:val="none" w:sz="0" w:space="0" w:color="auto"/>
                        <w:left w:val="none" w:sz="0" w:space="0" w:color="auto"/>
                        <w:bottom w:val="none" w:sz="0" w:space="0" w:color="auto"/>
                        <w:right w:val="none" w:sz="0" w:space="0" w:color="auto"/>
                      </w:divBdr>
                      <w:divsChild>
                        <w:div w:id="1963345146">
                          <w:marLeft w:val="0"/>
                          <w:marRight w:val="0"/>
                          <w:marTop w:val="0"/>
                          <w:marBottom w:val="0"/>
                          <w:divBdr>
                            <w:top w:val="none" w:sz="0" w:space="0" w:color="auto"/>
                            <w:left w:val="none" w:sz="0" w:space="0" w:color="auto"/>
                            <w:bottom w:val="none" w:sz="0" w:space="0" w:color="auto"/>
                            <w:right w:val="none" w:sz="0" w:space="0" w:color="auto"/>
                          </w:divBdr>
                          <w:divsChild>
                            <w:div w:id="4713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861">
                      <w:marLeft w:val="0"/>
                      <w:marRight w:val="0"/>
                      <w:marTop w:val="0"/>
                      <w:marBottom w:val="0"/>
                      <w:divBdr>
                        <w:top w:val="none" w:sz="0" w:space="0" w:color="auto"/>
                        <w:left w:val="none" w:sz="0" w:space="0" w:color="auto"/>
                        <w:bottom w:val="none" w:sz="0" w:space="0" w:color="auto"/>
                        <w:right w:val="none" w:sz="0" w:space="0" w:color="auto"/>
                      </w:divBdr>
                      <w:divsChild>
                        <w:div w:id="1744840642">
                          <w:marLeft w:val="0"/>
                          <w:marRight w:val="0"/>
                          <w:marTop w:val="0"/>
                          <w:marBottom w:val="0"/>
                          <w:divBdr>
                            <w:top w:val="none" w:sz="0" w:space="0" w:color="auto"/>
                            <w:left w:val="none" w:sz="0" w:space="0" w:color="auto"/>
                            <w:bottom w:val="none" w:sz="0" w:space="0" w:color="auto"/>
                            <w:right w:val="none" w:sz="0" w:space="0" w:color="auto"/>
                          </w:divBdr>
                          <w:divsChild>
                            <w:div w:id="1271666182">
                              <w:marLeft w:val="0"/>
                              <w:marRight w:val="0"/>
                              <w:marTop w:val="0"/>
                              <w:marBottom w:val="0"/>
                              <w:divBdr>
                                <w:top w:val="none" w:sz="0" w:space="0" w:color="auto"/>
                                <w:left w:val="none" w:sz="0" w:space="0" w:color="auto"/>
                                <w:bottom w:val="none" w:sz="0" w:space="0" w:color="auto"/>
                                <w:right w:val="none" w:sz="0" w:space="0" w:color="auto"/>
                              </w:divBdr>
                              <w:divsChild>
                                <w:div w:id="12037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124895">
          <w:marLeft w:val="0"/>
          <w:marRight w:val="0"/>
          <w:marTop w:val="0"/>
          <w:marBottom w:val="0"/>
          <w:divBdr>
            <w:top w:val="none" w:sz="0" w:space="0" w:color="auto"/>
            <w:left w:val="none" w:sz="0" w:space="0" w:color="auto"/>
            <w:bottom w:val="none" w:sz="0" w:space="0" w:color="auto"/>
            <w:right w:val="none" w:sz="0" w:space="0" w:color="auto"/>
          </w:divBdr>
          <w:divsChild>
            <w:div w:id="668098033">
              <w:marLeft w:val="0"/>
              <w:marRight w:val="0"/>
              <w:marTop w:val="0"/>
              <w:marBottom w:val="0"/>
              <w:divBdr>
                <w:top w:val="none" w:sz="0" w:space="0" w:color="auto"/>
                <w:left w:val="none" w:sz="0" w:space="0" w:color="auto"/>
                <w:bottom w:val="none" w:sz="0" w:space="0" w:color="auto"/>
                <w:right w:val="none" w:sz="0" w:space="0" w:color="auto"/>
              </w:divBdr>
              <w:divsChild>
                <w:div w:id="686324315">
                  <w:marLeft w:val="0"/>
                  <w:marRight w:val="0"/>
                  <w:marTop w:val="0"/>
                  <w:marBottom w:val="0"/>
                  <w:divBdr>
                    <w:top w:val="none" w:sz="0" w:space="0" w:color="auto"/>
                    <w:left w:val="none" w:sz="0" w:space="0" w:color="auto"/>
                    <w:bottom w:val="none" w:sz="0" w:space="0" w:color="auto"/>
                    <w:right w:val="none" w:sz="0" w:space="0" w:color="auto"/>
                  </w:divBdr>
                  <w:divsChild>
                    <w:div w:id="2087721500">
                      <w:marLeft w:val="0"/>
                      <w:marRight w:val="0"/>
                      <w:marTop w:val="0"/>
                      <w:marBottom w:val="0"/>
                      <w:divBdr>
                        <w:top w:val="none" w:sz="0" w:space="0" w:color="auto"/>
                        <w:left w:val="none" w:sz="0" w:space="0" w:color="auto"/>
                        <w:bottom w:val="none" w:sz="0" w:space="0" w:color="auto"/>
                        <w:right w:val="none" w:sz="0" w:space="0" w:color="auto"/>
                      </w:divBdr>
                      <w:divsChild>
                        <w:div w:id="1949005932">
                          <w:marLeft w:val="0"/>
                          <w:marRight w:val="0"/>
                          <w:marTop w:val="0"/>
                          <w:marBottom w:val="0"/>
                          <w:divBdr>
                            <w:top w:val="none" w:sz="0" w:space="0" w:color="auto"/>
                            <w:left w:val="none" w:sz="0" w:space="0" w:color="auto"/>
                            <w:bottom w:val="none" w:sz="0" w:space="0" w:color="auto"/>
                            <w:right w:val="none" w:sz="0" w:space="0" w:color="auto"/>
                          </w:divBdr>
                          <w:divsChild>
                            <w:div w:id="178279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397705">
      <w:bodyDiv w:val="1"/>
      <w:marLeft w:val="0"/>
      <w:marRight w:val="0"/>
      <w:marTop w:val="0"/>
      <w:marBottom w:val="0"/>
      <w:divBdr>
        <w:top w:val="none" w:sz="0" w:space="0" w:color="auto"/>
        <w:left w:val="none" w:sz="0" w:space="0" w:color="auto"/>
        <w:bottom w:val="none" w:sz="0" w:space="0" w:color="auto"/>
        <w:right w:val="none" w:sz="0" w:space="0" w:color="auto"/>
      </w:divBdr>
    </w:div>
    <w:div w:id="526796510">
      <w:bodyDiv w:val="1"/>
      <w:marLeft w:val="0"/>
      <w:marRight w:val="0"/>
      <w:marTop w:val="0"/>
      <w:marBottom w:val="0"/>
      <w:divBdr>
        <w:top w:val="none" w:sz="0" w:space="0" w:color="auto"/>
        <w:left w:val="none" w:sz="0" w:space="0" w:color="auto"/>
        <w:bottom w:val="none" w:sz="0" w:space="0" w:color="auto"/>
        <w:right w:val="none" w:sz="0" w:space="0" w:color="auto"/>
      </w:divBdr>
    </w:div>
    <w:div w:id="529950861">
      <w:bodyDiv w:val="1"/>
      <w:marLeft w:val="0"/>
      <w:marRight w:val="0"/>
      <w:marTop w:val="0"/>
      <w:marBottom w:val="0"/>
      <w:divBdr>
        <w:top w:val="none" w:sz="0" w:space="0" w:color="auto"/>
        <w:left w:val="none" w:sz="0" w:space="0" w:color="auto"/>
        <w:bottom w:val="none" w:sz="0" w:space="0" w:color="auto"/>
        <w:right w:val="none" w:sz="0" w:space="0" w:color="auto"/>
      </w:divBdr>
    </w:div>
    <w:div w:id="539560893">
      <w:bodyDiv w:val="1"/>
      <w:marLeft w:val="0"/>
      <w:marRight w:val="0"/>
      <w:marTop w:val="0"/>
      <w:marBottom w:val="0"/>
      <w:divBdr>
        <w:top w:val="none" w:sz="0" w:space="0" w:color="auto"/>
        <w:left w:val="none" w:sz="0" w:space="0" w:color="auto"/>
        <w:bottom w:val="none" w:sz="0" w:space="0" w:color="auto"/>
        <w:right w:val="none" w:sz="0" w:space="0" w:color="auto"/>
      </w:divBdr>
      <w:divsChild>
        <w:div w:id="1458639744">
          <w:blockQuote w:val="1"/>
          <w:marLeft w:val="720"/>
          <w:marRight w:val="720"/>
          <w:marTop w:val="100"/>
          <w:marBottom w:val="100"/>
          <w:divBdr>
            <w:top w:val="none" w:sz="0" w:space="0" w:color="auto"/>
            <w:left w:val="none" w:sz="0" w:space="0" w:color="auto"/>
            <w:bottom w:val="none" w:sz="0" w:space="0" w:color="auto"/>
            <w:right w:val="none" w:sz="0" w:space="0" w:color="auto"/>
          </w:divBdr>
        </w:div>
        <w:div w:id="459811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1483382">
      <w:bodyDiv w:val="1"/>
      <w:marLeft w:val="0"/>
      <w:marRight w:val="0"/>
      <w:marTop w:val="0"/>
      <w:marBottom w:val="0"/>
      <w:divBdr>
        <w:top w:val="none" w:sz="0" w:space="0" w:color="auto"/>
        <w:left w:val="none" w:sz="0" w:space="0" w:color="auto"/>
        <w:bottom w:val="none" w:sz="0" w:space="0" w:color="auto"/>
        <w:right w:val="none" w:sz="0" w:space="0" w:color="auto"/>
      </w:divBdr>
    </w:div>
    <w:div w:id="551423866">
      <w:bodyDiv w:val="1"/>
      <w:marLeft w:val="0"/>
      <w:marRight w:val="0"/>
      <w:marTop w:val="0"/>
      <w:marBottom w:val="0"/>
      <w:divBdr>
        <w:top w:val="none" w:sz="0" w:space="0" w:color="auto"/>
        <w:left w:val="none" w:sz="0" w:space="0" w:color="auto"/>
        <w:bottom w:val="none" w:sz="0" w:space="0" w:color="auto"/>
        <w:right w:val="none" w:sz="0" w:space="0" w:color="auto"/>
      </w:divBdr>
    </w:div>
    <w:div w:id="560362962">
      <w:bodyDiv w:val="1"/>
      <w:marLeft w:val="0"/>
      <w:marRight w:val="0"/>
      <w:marTop w:val="0"/>
      <w:marBottom w:val="0"/>
      <w:divBdr>
        <w:top w:val="none" w:sz="0" w:space="0" w:color="auto"/>
        <w:left w:val="none" w:sz="0" w:space="0" w:color="auto"/>
        <w:bottom w:val="none" w:sz="0" w:space="0" w:color="auto"/>
        <w:right w:val="none" w:sz="0" w:space="0" w:color="auto"/>
      </w:divBdr>
    </w:div>
    <w:div w:id="563181044">
      <w:bodyDiv w:val="1"/>
      <w:marLeft w:val="0"/>
      <w:marRight w:val="0"/>
      <w:marTop w:val="0"/>
      <w:marBottom w:val="0"/>
      <w:divBdr>
        <w:top w:val="none" w:sz="0" w:space="0" w:color="auto"/>
        <w:left w:val="none" w:sz="0" w:space="0" w:color="auto"/>
        <w:bottom w:val="none" w:sz="0" w:space="0" w:color="auto"/>
        <w:right w:val="none" w:sz="0" w:space="0" w:color="auto"/>
      </w:divBdr>
    </w:div>
    <w:div w:id="567375050">
      <w:bodyDiv w:val="1"/>
      <w:marLeft w:val="0"/>
      <w:marRight w:val="0"/>
      <w:marTop w:val="0"/>
      <w:marBottom w:val="0"/>
      <w:divBdr>
        <w:top w:val="none" w:sz="0" w:space="0" w:color="auto"/>
        <w:left w:val="none" w:sz="0" w:space="0" w:color="auto"/>
        <w:bottom w:val="none" w:sz="0" w:space="0" w:color="auto"/>
        <w:right w:val="none" w:sz="0" w:space="0" w:color="auto"/>
      </w:divBdr>
    </w:div>
    <w:div w:id="575630131">
      <w:bodyDiv w:val="1"/>
      <w:marLeft w:val="0"/>
      <w:marRight w:val="0"/>
      <w:marTop w:val="0"/>
      <w:marBottom w:val="0"/>
      <w:divBdr>
        <w:top w:val="none" w:sz="0" w:space="0" w:color="auto"/>
        <w:left w:val="none" w:sz="0" w:space="0" w:color="auto"/>
        <w:bottom w:val="none" w:sz="0" w:space="0" w:color="auto"/>
        <w:right w:val="none" w:sz="0" w:space="0" w:color="auto"/>
      </w:divBdr>
      <w:divsChild>
        <w:div w:id="21472398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007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3945941">
          <w:blockQuote w:val="1"/>
          <w:marLeft w:val="720"/>
          <w:marRight w:val="720"/>
          <w:marTop w:val="100"/>
          <w:marBottom w:val="100"/>
          <w:divBdr>
            <w:top w:val="none" w:sz="0" w:space="0" w:color="auto"/>
            <w:left w:val="none" w:sz="0" w:space="0" w:color="auto"/>
            <w:bottom w:val="none" w:sz="0" w:space="0" w:color="auto"/>
            <w:right w:val="none" w:sz="0" w:space="0" w:color="auto"/>
          </w:divBdr>
        </w:div>
        <w:div w:id="879710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394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5085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5742980">
      <w:bodyDiv w:val="1"/>
      <w:marLeft w:val="0"/>
      <w:marRight w:val="0"/>
      <w:marTop w:val="0"/>
      <w:marBottom w:val="0"/>
      <w:divBdr>
        <w:top w:val="none" w:sz="0" w:space="0" w:color="auto"/>
        <w:left w:val="none" w:sz="0" w:space="0" w:color="auto"/>
        <w:bottom w:val="none" w:sz="0" w:space="0" w:color="auto"/>
        <w:right w:val="none" w:sz="0" w:space="0" w:color="auto"/>
      </w:divBdr>
    </w:div>
    <w:div w:id="578633791">
      <w:bodyDiv w:val="1"/>
      <w:marLeft w:val="0"/>
      <w:marRight w:val="0"/>
      <w:marTop w:val="0"/>
      <w:marBottom w:val="0"/>
      <w:divBdr>
        <w:top w:val="none" w:sz="0" w:space="0" w:color="auto"/>
        <w:left w:val="none" w:sz="0" w:space="0" w:color="auto"/>
        <w:bottom w:val="none" w:sz="0" w:space="0" w:color="auto"/>
        <w:right w:val="none" w:sz="0" w:space="0" w:color="auto"/>
      </w:divBdr>
    </w:div>
    <w:div w:id="586692539">
      <w:bodyDiv w:val="1"/>
      <w:marLeft w:val="0"/>
      <w:marRight w:val="0"/>
      <w:marTop w:val="0"/>
      <w:marBottom w:val="0"/>
      <w:divBdr>
        <w:top w:val="none" w:sz="0" w:space="0" w:color="auto"/>
        <w:left w:val="none" w:sz="0" w:space="0" w:color="auto"/>
        <w:bottom w:val="none" w:sz="0" w:space="0" w:color="auto"/>
        <w:right w:val="none" w:sz="0" w:space="0" w:color="auto"/>
      </w:divBdr>
    </w:div>
    <w:div w:id="602880436">
      <w:bodyDiv w:val="1"/>
      <w:marLeft w:val="0"/>
      <w:marRight w:val="0"/>
      <w:marTop w:val="0"/>
      <w:marBottom w:val="0"/>
      <w:divBdr>
        <w:top w:val="none" w:sz="0" w:space="0" w:color="auto"/>
        <w:left w:val="none" w:sz="0" w:space="0" w:color="auto"/>
        <w:bottom w:val="none" w:sz="0" w:space="0" w:color="auto"/>
        <w:right w:val="none" w:sz="0" w:space="0" w:color="auto"/>
      </w:divBdr>
      <w:divsChild>
        <w:div w:id="1954045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485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920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522506">
          <w:blockQuote w:val="1"/>
          <w:marLeft w:val="720"/>
          <w:marRight w:val="720"/>
          <w:marTop w:val="100"/>
          <w:marBottom w:val="100"/>
          <w:divBdr>
            <w:top w:val="none" w:sz="0" w:space="0" w:color="auto"/>
            <w:left w:val="none" w:sz="0" w:space="0" w:color="auto"/>
            <w:bottom w:val="none" w:sz="0" w:space="0" w:color="auto"/>
            <w:right w:val="none" w:sz="0" w:space="0" w:color="auto"/>
          </w:divBdr>
        </w:div>
        <w:div w:id="500504985">
          <w:blockQuote w:val="1"/>
          <w:marLeft w:val="720"/>
          <w:marRight w:val="720"/>
          <w:marTop w:val="100"/>
          <w:marBottom w:val="100"/>
          <w:divBdr>
            <w:top w:val="none" w:sz="0" w:space="0" w:color="auto"/>
            <w:left w:val="none" w:sz="0" w:space="0" w:color="auto"/>
            <w:bottom w:val="none" w:sz="0" w:space="0" w:color="auto"/>
            <w:right w:val="none" w:sz="0" w:space="0" w:color="auto"/>
          </w:divBdr>
        </w:div>
        <w:div w:id="22957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768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70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1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022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906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257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9472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930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498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838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618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774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726681">
      <w:bodyDiv w:val="1"/>
      <w:marLeft w:val="0"/>
      <w:marRight w:val="0"/>
      <w:marTop w:val="0"/>
      <w:marBottom w:val="0"/>
      <w:divBdr>
        <w:top w:val="none" w:sz="0" w:space="0" w:color="auto"/>
        <w:left w:val="none" w:sz="0" w:space="0" w:color="auto"/>
        <w:bottom w:val="none" w:sz="0" w:space="0" w:color="auto"/>
        <w:right w:val="none" w:sz="0" w:space="0" w:color="auto"/>
      </w:divBdr>
    </w:div>
    <w:div w:id="605962609">
      <w:bodyDiv w:val="1"/>
      <w:marLeft w:val="0"/>
      <w:marRight w:val="0"/>
      <w:marTop w:val="0"/>
      <w:marBottom w:val="0"/>
      <w:divBdr>
        <w:top w:val="none" w:sz="0" w:space="0" w:color="auto"/>
        <w:left w:val="none" w:sz="0" w:space="0" w:color="auto"/>
        <w:bottom w:val="none" w:sz="0" w:space="0" w:color="auto"/>
        <w:right w:val="none" w:sz="0" w:space="0" w:color="auto"/>
      </w:divBdr>
    </w:div>
    <w:div w:id="606812998">
      <w:bodyDiv w:val="1"/>
      <w:marLeft w:val="0"/>
      <w:marRight w:val="0"/>
      <w:marTop w:val="0"/>
      <w:marBottom w:val="0"/>
      <w:divBdr>
        <w:top w:val="none" w:sz="0" w:space="0" w:color="auto"/>
        <w:left w:val="none" w:sz="0" w:space="0" w:color="auto"/>
        <w:bottom w:val="none" w:sz="0" w:space="0" w:color="auto"/>
        <w:right w:val="none" w:sz="0" w:space="0" w:color="auto"/>
      </w:divBdr>
    </w:div>
    <w:div w:id="613633589">
      <w:bodyDiv w:val="1"/>
      <w:marLeft w:val="0"/>
      <w:marRight w:val="0"/>
      <w:marTop w:val="0"/>
      <w:marBottom w:val="0"/>
      <w:divBdr>
        <w:top w:val="none" w:sz="0" w:space="0" w:color="auto"/>
        <w:left w:val="none" w:sz="0" w:space="0" w:color="auto"/>
        <w:bottom w:val="none" w:sz="0" w:space="0" w:color="auto"/>
        <w:right w:val="none" w:sz="0" w:space="0" w:color="auto"/>
      </w:divBdr>
    </w:div>
    <w:div w:id="621611945">
      <w:bodyDiv w:val="1"/>
      <w:marLeft w:val="0"/>
      <w:marRight w:val="0"/>
      <w:marTop w:val="0"/>
      <w:marBottom w:val="0"/>
      <w:divBdr>
        <w:top w:val="none" w:sz="0" w:space="0" w:color="auto"/>
        <w:left w:val="none" w:sz="0" w:space="0" w:color="auto"/>
        <w:bottom w:val="none" w:sz="0" w:space="0" w:color="auto"/>
        <w:right w:val="none" w:sz="0" w:space="0" w:color="auto"/>
      </w:divBdr>
    </w:div>
    <w:div w:id="623122790">
      <w:bodyDiv w:val="1"/>
      <w:marLeft w:val="0"/>
      <w:marRight w:val="0"/>
      <w:marTop w:val="0"/>
      <w:marBottom w:val="0"/>
      <w:divBdr>
        <w:top w:val="none" w:sz="0" w:space="0" w:color="auto"/>
        <w:left w:val="none" w:sz="0" w:space="0" w:color="auto"/>
        <w:bottom w:val="none" w:sz="0" w:space="0" w:color="auto"/>
        <w:right w:val="none" w:sz="0" w:space="0" w:color="auto"/>
      </w:divBdr>
    </w:div>
    <w:div w:id="634801697">
      <w:bodyDiv w:val="1"/>
      <w:marLeft w:val="0"/>
      <w:marRight w:val="0"/>
      <w:marTop w:val="0"/>
      <w:marBottom w:val="0"/>
      <w:divBdr>
        <w:top w:val="none" w:sz="0" w:space="0" w:color="auto"/>
        <w:left w:val="none" w:sz="0" w:space="0" w:color="auto"/>
        <w:bottom w:val="none" w:sz="0" w:space="0" w:color="auto"/>
        <w:right w:val="none" w:sz="0" w:space="0" w:color="auto"/>
      </w:divBdr>
    </w:div>
    <w:div w:id="640425393">
      <w:bodyDiv w:val="1"/>
      <w:marLeft w:val="0"/>
      <w:marRight w:val="0"/>
      <w:marTop w:val="0"/>
      <w:marBottom w:val="0"/>
      <w:divBdr>
        <w:top w:val="none" w:sz="0" w:space="0" w:color="auto"/>
        <w:left w:val="none" w:sz="0" w:space="0" w:color="auto"/>
        <w:bottom w:val="none" w:sz="0" w:space="0" w:color="auto"/>
        <w:right w:val="none" w:sz="0" w:space="0" w:color="auto"/>
      </w:divBdr>
    </w:div>
    <w:div w:id="641429569">
      <w:bodyDiv w:val="1"/>
      <w:marLeft w:val="0"/>
      <w:marRight w:val="0"/>
      <w:marTop w:val="0"/>
      <w:marBottom w:val="0"/>
      <w:divBdr>
        <w:top w:val="none" w:sz="0" w:space="0" w:color="auto"/>
        <w:left w:val="none" w:sz="0" w:space="0" w:color="auto"/>
        <w:bottom w:val="none" w:sz="0" w:space="0" w:color="auto"/>
        <w:right w:val="none" w:sz="0" w:space="0" w:color="auto"/>
      </w:divBdr>
    </w:div>
    <w:div w:id="661470162">
      <w:bodyDiv w:val="1"/>
      <w:marLeft w:val="0"/>
      <w:marRight w:val="0"/>
      <w:marTop w:val="0"/>
      <w:marBottom w:val="0"/>
      <w:divBdr>
        <w:top w:val="none" w:sz="0" w:space="0" w:color="auto"/>
        <w:left w:val="none" w:sz="0" w:space="0" w:color="auto"/>
        <w:bottom w:val="none" w:sz="0" w:space="0" w:color="auto"/>
        <w:right w:val="none" w:sz="0" w:space="0" w:color="auto"/>
      </w:divBdr>
    </w:div>
    <w:div w:id="665864064">
      <w:bodyDiv w:val="1"/>
      <w:marLeft w:val="0"/>
      <w:marRight w:val="0"/>
      <w:marTop w:val="0"/>
      <w:marBottom w:val="0"/>
      <w:divBdr>
        <w:top w:val="none" w:sz="0" w:space="0" w:color="auto"/>
        <w:left w:val="none" w:sz="0" w:space="0" w:color="auto"/>
        <w:bottom w:val="none" w:sz="0" w:space="0" w:color="auto"/>
        <w:right w:val="none" w:sz="0" w:space="0" w:color="auto"/>
      </w:divBdr>
    </w:div>
    <w:div w:id="669140562">
      <w:bodyDiv w:val="1"/>
      <w:marLeft w:val="0"/>
      <w:marRight w:val="0"/>
      <w:marTop w:val="0"/>
      <w:marBottom w:val="0"/>
      <w:divBdr>
        <w:top w:val="none" w:sz="0" w:space="0" w:color="auto"/>
        <w:left w:val="none" w:sz="0" w:space="0" w:color="auto"/>
        <w:bottom w:val="none" w:sz="0" w:space="0" w:color="auto"/>
        <w:right w:val="none" w:sz="0" w:space="0" w:color="auto"/>
      </w:divBdr>
    </w:div>
    <w:div w:id="679816420">
      <w:bodyDiv w:val="1"/>
      <w:marLeft w:val="0"/>
      <w:marRight w:val="0"/>
      <w:marTop w:val="0"/>
      <w:marBottom w:val="0"/>
      <w:divBdr>
        <w:top w:val="none" w:sz="0" w:space="0" w:color="auto"/>
        <w:left w:val="none" w:sz="0" w:space="0" w:color="auto"/>
        <w:bottom w:val="none" w:sz="0" w:space="0" w:color="auto"/>
        <w:right w:val="none" w:sz="0" w:space="0" w:color="auto"/>
      </w:divBdr>
    </w:div>
    <w:div w:id="681975053">
      <w:bodyDiv w:val="1"/>
      <w:marLeft w:val="0"/>
      <w:marRight w:val="0"/>
      <w:marTop w:val="0"/>
      <w:marBottom w:val="0"/>
      <w:divBdr>
        <w:top w:val="none" w:sz="0" w:space="0" w:color="auto"/>
        <w:left w:val="none" w:sz="0" w:space="0" w:color="auto"/>
        <w:bottom w:val="none" w:sz="0" w:space="0" w:color="auto"/>
        <w:right w:val="none" w:sz="0" w:space="0" w:color="auto"/>
      </w:divBdr>
      <w:divsChild>
        <w:div w:id="1978873551">
          <w:marLeft w:val="0"/>
          <w:marRight w:val="0"/>
          <w:marTop w:val="0"/>
          <w:marBottom w:val="0"/>
          <w:divBdr>
            <w:top w:val="none" w:sz="0" w:space="0" w:color="auto"/>
            <w:left w:val="none" w:sz="0" w:space="0" w:color="auto"/>
            <w:bottom w:val="none" w:sz="0" w:space="0" w:color="auto"/>
            <w:right w:val="none" w:sz="0" w:space="0" w:color="auto"/>
          </w:divBdr>
          <w:divsChild>
            <w:div w:id="842819180">
              <w:marLeft w:val="0"/>
              <w:marRight w:val="0"/>
              <w:marTop w:val="0"/>
              <w:marBottom w:val="0"/>
              <w:divBdr>
                <w:top w:val="none" w:sz="0" w:space="0" w:color="auto"/>
                <w:left w:val="none" w:sz="0" w:space="0" w:color="auto"/>
                <w:bottom w:val="none" w:sz="0" w:space="0" w:color="auto"/>
                <w:right w:val="none" w:sz="0" w:space="0" w:color="auto"/>
              </w:divBdr>
            </w:div>
          </w:divsChild>
        </w:div>
        <w:div w:id="1046760811">
          <w:marLeft w:val="0"/>
          <w:marRight w:val="0"/>
          <w:marTop w:val="0"/>
          <w:marBottom w:val="0"/>
          <w:divBdr>
            <w:top w:val="none" w:sz="0" w:space="0" w:color="auto"/>
            <w:left w:val="none" w:sz="0" w:space="0" w:color="auto"/>
            <w:bottom w:val="none" w:sz="0" w:space="0" w:color="auto"/>
            <w:right w:val="none" w:sz="0" w:space="0" w:color="auto"/>
          </w:divBdr>
          <w:divsChild>
            <w:div w:id="10271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72351">
      <w:bodyDiv w:val="1"/>
      <w:marLeft w:val="0"/>
      <w:marRight w:val="0"/>
      <w:marTop w:val="0"/>
      <w:marBottom w:val="0"/>
      <w:divBdr>
        <w:top w:val="none" w:sz="0" w:space="0" w:color="auto"/>
        <w:left w:val="none" w:sz="0" w:space="0" w:color="auto"/>
        <w:bottom w:val="none" w:sz="0" w:space="0" w:color="auto"/>
        <w:right w:val="none" w:sz="0" w:space="0" w:color="auto"/>
      </w:divBdr>
    </w:div>
    <w:div w:id="703363322">
      <w:bodyDiv w:val="1"/>
      <w:marLeft w:val="0"/>
      <w:marRight w:val="0"/>
      <w:marTop w:val="0"/>
      <w:marBottom w:val="0"/>
      <w:divBdr>
        <w:top w:val="none" w:sz="0" w:space="0" w:color="auto"/>
        <w:left w:val="none" w:sz="0" w:space="0" w:color="auto"/>
        <w:bottom w:val="none" w:sz="0" w:space="0" w:color="auto"/>
        <w:right w:val="none" w:sz="0" w:space="0" w:color="auto"/>
      </w:divBdr>
    </w:div>
    <w:div w:id="705525612">
      <w:bodyDiv w:val="1"/>
      <w:marLeft w:val="0"/>
      <w:marRight w:val="0"/>
      <w:marTop w:val="0"/>
      <w:marBottom w:val="0"/>
      <w:divBdr>
        <w:top w:val="none" w:sz="0" w:space="0" w:color="auto"/>
        <w:left w:val="none" w:sz="0" w:space="0" w:color="auto"/>
        <w:bottom w:val="none" w:sz="0" w:space="0" w:color="auto"/>
        <w:right w:val="none" w:sz="0" w:space="0" w:color="auto"/>
      </w:divBdr>
    </w:div>
    <w:div w:id="710031728">
      <w:bodyDiv w:val="1"/>
      <w:marLeft w:val="0"/>
      <w:marRight w:val="0"/>
      <w:marTop w:val="0"/>
      <w:marBottom w:val="0"/>
      <w:divBdr>
        <w:top w:val="none" w:sz="0" w:space="0" w:color="auto"/>
        <w:left w:val="none" w:sz="0" w:space="0" w:color="auto"/>
        <w:bottom w:val="none" w:sz="0" w:space="0" w:color="auto"/>
        <w:right w:val="none" w:sz="0" w:space="0" w:color="auto"/>
      </w:divBdr>
    </w:div>
    <w:div w:id="714744714">
      <w:bodyDiv w:val="1"/>
      <w:marLeft w:val="0"/>
      <w:marRight w:val="0"/>
      <w:marTop w:val="0"/>
      <w:marBottom w:val="0"/>
      <w:divBdr>
        <w:top w:val="none" w:sz="0" w:space="0" w:color="auto"/>
        <w:left w:val="none" w:sz="0" w:space="0" w:color="auto"/>
        <w:bottom w:val="none" w:sz="0" w:space="0" w:color="auto"/>
        <w:right w:val="none" w:sz="0" w:space="0" w:color="auto"/>
      </w:divBdr>
    </w:div>
    <w:div w:id="717389483">
      <w:bodyDiv w:val="1"/>
      <w:marLeft w:val="0"/>
      <w:marRight w:val="0"/>
      <w:marTop w:val="0"/>
      <w:marBottom w:val="0"/>
      <w:divBdr>
        <w:top w:val="none" w:sz="0" w:space="0" w:color="auto"/>
        <w:left w:val="none" w:sz="0" w:space="0" w:color="auto"/>
        <w:bottom w:val="none" w:sz="0" w:space="0" w:color="auto"/>
        <w:right w:val="none" w:sz="0" w:space="0" w:color="auto"/>
      </w:divBdr>
    </w:div>
    <w:div w:id="717438290">
      <w:bodyDiv w:val="1"/>
      <w:marLeft w:val="0"/>
      <w:marRight w:val="0"/>
      <w:marTop w:val="0"/>
      <w:marBottom w:val="0"/>
      <w:divBdr>
        <w:top w:val="none" w:sz="0" w:space="0" w:color="auto"/>
        <w:left w:val="none" w:sz="0" w:space="0" w:color="auto"/>
        <w:bottom w:val="none" w:sz="0" w:space="0" w:color="auto"/>
        <w:right w:val="none" w:sz="0" w:space="0" w:color="auto"/>
      </w:divBdr>
    </w:div>
    <w:div w:id="719943195">
      <w:bodyDiv w:val="1"/>
      <w:marLeft w:val="0"/>
      <w:marRight w:val="0"/>
      <w:marTop w:val="0"/>
      <w:marBottom w:val="0"/>
      <w:divBdr>
        <w:top w:val="none" w:sz="0" w:space="0" w:color="auto"/>
        <w:left w:val="none" w:sz="0" w:space="0" w:color="auto"/>
        <w:bottom w:val="none" w:sz="0" w:space="0" w:color="auto"/>
        <w:right w:val="none" w:sz="0" w:space="0" w:color="auto"/>
      </w:divBdr>
    </w:div>
    <w:div w:id="720252730">
      <w:bodyDiv w:val="1"/>
      <w:marLeft w:val="0"/>
      <w:marRight w:val="0"/>
      <w:marTop w:val="0"/>
      <w:marBottom w:val="0"/>
      <w:divBdr>
        <w:top w:val="none" w:sz="0" w:space="0" w:color="auto"/>
        <w:left w:val="none" w:sz="0" w:space="0" w:color="auto"/>
        <w:bottom w:val="none" w:sz="0" w:space="0" w:color="auto"/>
        <w:right w:val="none" w:sz="0" w:space="0" w:color="auto"/>
      </w:divBdr>
    </w:div>
    <w:div w:id="724569858">
      <w:bodyDiv w:val="1"/>
      <w:marLeft w:val="0"/>
      <w:marRight w:val="0"/>
      <w:marTop w:val="0"/>
      <w:marBottom w:val="0"/>
      <w:divBdr>
        <w:top w:val="none" w:sz="0" w:space="0" w:color="auto"/>
        <w:left w:val="none" w:sz="0" w:space="0" w:color="auto"/>
        <w:bottom w:val="none" w:sz="0" w:space="0" w:color="auto"/>
        <w:right w:val="none" w:sz="0" w:space="0" w:color="auto"/>
      </w:divBdr>
    </w:div>
    <w:div w:id="727917403">
      <w:bodyDiv w:val="1"/>
      <w:marLeft w:val="0"/>
      <w:marRight w:val="0"/>
      <w:marTop w:val="0"/>
      <w:marBottom w:val="0"/>
      <w:divBdr>
        <w:top w:val="none" w:sz="0" w:space="0" w:color="auto"/>
        <w:left w:val="none" w:sz="0" w:space="0" w:color="auto"/>
        <w:bottom w:val="none" w:sz="0" w:space="0" w:color="auto"/>
        <w:right w:val="none" w:sz="0" w:space="0" w:color="auto"/>
      </w:divBdr>
    </w:div>
    <w:div w:id="737439447">
      <w:bodyDiv w:val="1"/>
      <w:marLeft w:val="0"/>
      <w:marRight w:val="0"/>
      <w:marTop w:val="0"/>
      <w:marBottom w:val="0"/>
      <w:divBdr>
        <w:top w:val="none" w:sz="0" w:space="0" w:color="auto"/>
        <w:left w:val="none" w:sz="0" w:space="0" w:color="auto"/>
        <w:bottom w:val="none" w:sz="0" w:space="0" w:color="auto"/>
        <w:right w:val="none" w:sz="0" w:space="0" w:color="auto"/>
      </w:divBdr>
    </w:div>
    <w:div w:id="741177017">
      <w:bodyDiv w:val="1"/>
      <w:marLeft w:val="0"/>
      <w:marRight w:val="0"/>
      <w:marTop w:val="0"/>
      <w:marBottom w:val="0"/>
      <w:divBdr>
        <w:top w:val="none" w:sz="0" w:space="0" w:color="auto"/>
        <w:left w:val="none" w:sz="0" w:space="0" w:color="auto"/>
        <w:bottom w:val="none" w:sz="0" w:space="0" w:color="auto"/>
        <w:right w:val="none" w:sz="0" w:space="0" w:color="auto"/>
      </w:divBdr>
      <w:divsChild>
        <w:div w:id="14619576">
          <w:marLeft w:val="0"/>
          <w:marRight w:val="0"/>
          <w:marTop w:val="0"/>
          <w:marBottom w:val="0"/>
          <w:divBdr>
            <w:top w:val="none" w:sz="0" w:space="0" w:color="auto"/>
            <w:left w:val="none" w:sz="0" w:space="0" w:color="auto"/>
            <w:bottom w:val="none" w:sz="0" w:space="0" w:color="auto"/>
            <w:right w:val="none" w:sz="0" w:space="0" w:color="auto"/>
          </w:divBdr>
          <w:divsChild>
            <w:div w:id="397560887">
              <w:marLeft w:val="0"/>
              <w:marRight w:val="0"/>
              <w:marTop w:val="0"/>
              <w:marBottom w:val="0"/>
              <w:divBdr>
                <w:top w:val="none" w:sz="0" w:space="0" w:color="auto"/>
                <w:left w:val="none" w:sz="0" w:space="0" w:color="auto"/>
                <w:bottom w:val="none" w:sz="0" w:space="0" w:color="auto"/>
                <w:right w:val="none" w:sz="0" w:space="0" w:color="auto"/>
              </w:divBdr>
            </w:div>
          </w:divsChild>
        </w:div>
        <w:div w:id="1484005095">
          <w:marLeft w:val="0"/>
          <w:marRight w:val="0"/>
          <w:marTop w:val="0"/>
          <w:marBottom w:val="0"/>
          <w:divBdr>
            <w:top w:val="none" w:sz="0" w:space="0" w:color="auto"/>
            <w:left w:val="none" w:sz="0" w:space="0" w:color="auto"/>
            <w:bottom w:val="none" w:sz="0" w:space="0" w:color="auto"/>
            <w:right w:val="none" w:sz="0" w:space="0" w:color="auto"/>
          </w:divBdr>
          <w:divsChild>
            <w:div w:id="2100058477">
              <w:marLeft w:val="0"/>
              <w:marRight w:val="0"/>
              <w:marTop w:val="0"/>
              <w:marBottom w:val="0"/>
              <w:divBdr>
                <w:top w:val="none" w:sz="0" w:space="0" w:color="auto"/>
                <w:left w:val="none" w:sz="0" w:space="0" w:color="auto"/>
                <w:bottom w:val="none" w:sz="0" w:space="0" w:color="auto"/>
                <w:right w:val="none" w:sz="0" w:space="0" w:color="auto"/>
              </w:divBdr>
            </w:div>
          </w:divsChild>
        </w:div>
        <w:div w:id="853156898">
          <w:marLeft w:val="0"/>
          <w:marRight w:val="0"/>
          <w:marTop w:val="0"/>
          <w:marBottom w:val="0"/>
          <w:divBdr>
            <w:top w:val="none" w:sz="0" w:space="0" w:color="auto"/>
            <w:left w:val="none" w:sz="0" w:space="0" w:color="auto"/>
            <w:bottom w:val="none" w:sz="0" w:space="0" w:color="auto"/>
            <w:right w:val="none" w:sz="0" w:space="0" w:color="auto"/>
          </w:divBdr>
          <w:divsChild>
            <w:div w:id="226649630">
              <w:marLeft w:val="0"/>
              <w:marRight w:val="0"/>
              <w:marTop w:val="0"/>
              <w:marBottom w:val="0"/>
              <w:divBdr>
                <w:top w:val="none" w:sz="0" w:space="0" w:color="auto"/>
                <w:left w:val="none" w:sz="0" w:space="0" w:color="auto"/>
                <w:bottom w:val="none" w:sz="0" w:space="0" w:color="auto"/>
                <w:right w:val="none" w:sz="0" w:space="0" w:color="auto"/>
              </w:divBdr>
            </w:div>
          </w:divsChild>
        </w:div>
        <w:div w:id="1312174559">
          <w:marLeft w:val="0"/>
          <w:marRight w:val="0"/>
          <w:marTop w:val="0"/>
          <w:marBottom w:val="0"/>
          <w:divBdr>
            <w:top w:val="none" w:sz="0" w:space="0" w:color="auto"/>
            <w:left w:val="none" w:sz="0" w:space="0" w:color="auto"/>
            <w:bottom w:val="none" w:sz="0" w:space="0" w:color="auto"/>
            <w:right w:val="none" w:sz="0" w:space="0" w:color="auto"/>
          </w:divBdr>
          <w:divsChild>
            <w:div w:id="1375160781">
              <w:marLeft w:val="0"/>
              <w:marRight w:val="0"/>
              <w:marTop w:val="0"/>
              <w:marBottom w:val="0"/>
              <w:divBdr>
                <w:top w:val="none" w:sz="0" w:space="0" w:color="auto"/>
                <w:left w:val="none" w:sz="0" w:space="0" w:color="auto"/>
                <w:bottom w:val="none" w:sz="0" w:space="0" w:color="auto"/>
                <w:right w:val="none" w:sz="0" w:space="0" w:color="auto"/>
              </w:divBdr>
            </w:div>
          </w:divsChild>
        </w:div>
        <w:div w:id="1141339329">
          <w:marLeft w:val="0"/>
          <w:marRight w:val="0"/>
          <w:marTop w:val="0"/>
          <w:marBottom w:val="0"/>
          <w:divBdr>
            <w:top w:val="none" w:sz="0" w:space="0" w:color="auto"/>
            <w:left w:val="none" w:sz="0" w:space="0" w:color="auto"/>
            <w:bottom w:val="none" w:sz="0" w:space="0" w:color="auto"/>
            <w:right w:val="none" w:sz="0" w:space="0" w:color="auto"/>
          </w:divBdr>
          <w:divsChild>
            <w:div w:id="1481533429">
              <w:marLeft w:val="0"/>
              <w:marRight w:val="0"/>
              <w:marTop w:val="0"/>
              <w:marBottom w:val="0"/>
              <w:divBdr>
                <w:top w:val="none" w:sz="0" w:space="0" w:color="auto"/>
                <w:left w:val="none" w:sz="0" w:space="0" w:color="auto"/>
                <w:bottom w:val="none" w:sz="0" w:space="0" w:color="auto"/>
                <w:right w:val="none" w:sz="0" w:space="0" w:color="auto"/>
              </w:divBdr>
            </w:div>
          </w:divsChild>
        </w:div>
        <w:div w:id="1144345837">
          <w:marLeft w:val="0"/>
          <w:marRight w:val="0"/>
          <w:marTop w:val="0"/>
          <w:marBottom w:val="0"/>
          <w:divBdr>
            <w:top w:val="none" w:sz="0" w:space="0" w:color="auto"/>
            <w:left w:val="none" w:sz="0" w:space="0" w:color="auto"/>
            <w:bottom w:val="none" w:sz="0" w:space="0" w:color="auto"/>
            <w:right w:val="none" w:sz="0" w:space="0" w:color="auto"/>
          </w:divBdr>
          <w:divsChild>
            <w:div w:id="1257785978">
              <w:marLeft w:val="0"/>
              <w:marRight w:val="0"/>
              <w:marTop w:val="0"/>
              <w:marBottom w:val="0"/>
              <w:divBdr>
                <w:top w:val="none" w:sz="0" w:space="0" w:color="auto"/>
                <w:left w:val="none" w:sz="0" w:space="0" w:color="auto"/>
                <w:bottom w:val="none" w:sz="0" w:space="0" w:color="auto"/>
                <w:right w:val="none" w:sz="0" w:space="0" w:color="auto"/>
              </w:divBdr>
            </w:div>
          </w:divsChild>
        </w:div>
        <w:div w:id="1593201414">
          <w:marLeft w:val="0"/>
          <w:marRight w:val="0"/>
          <w:marTop w:val="0"/>
          <w:marBottom w:val="0"/>
          <w:divBdr>
            <w:top w:val="none" w:sz="0" w:space="0" w:color="auto"/>
            <w:left w:val="none" w:sz="0" w:space="0" w:color="auto"/>
            <w:bottom w:val="none" w:sz="0" w:space="0" w:color="auto"/>
            <w:right w:val="none" w:sz="0" w:space="0" w:color="auto"/>
          </w:divBdr>
          <w:divsChild>
            <w:div w:id="690497374">
              <w:marLeft w:val="0"/>
              <w:marRight w:val="0"/>
              <w:marTop w:val="0"/>
              <w:marBottom w:val="0"/>
              <w:divBdr>
                <w:top w:val="none" w:sz="0" w:space="0" w:color="auto"/>
                <w:left w:val="none" w:sz="0" w:space="0" w:color="auto"/>
                <w:bottom w:val="none" w:sz="0" w:space="0" w:color="auto"/>
                <w:right w:val="none" w:sz="0" w:space="0" w:color="auto"/>
              </w:divBdr>
            </w:div>
          </w:divsChild>
        </w:div>
        <w:div w:id="468325608">
          <w:marLeft w:val="0"/>
          <w:marRight w:val="0"/>
          <w:marTop w:val="0"/>
          <w:marBottom w:val="0"/>
          <w:divBdr>
            <w:top w:val="none" w:sz="0" w:space="0" w:color="auto"/>
            <w:left w:val="none" w:sz="0" w:space="0" w:color="auto"/>
            <w:bottom w:val="none" w:sz="0" w:space="0" w:color="auto"/>
            <w:right w:val="none" w:sz="0" w:space="0" w:color="auto"/>
          </w:divBdr>
          <w:divsChild>
            <w:div w:id="1056128912">
              <w:marLeft w:val="0"/>
              <w:marRight w:val="0"/>
              <w:marTop w:val="0"/>
              <w:marBottom w:val="0"/>
              <w:divBdr>
                <w:top w:val="none" w:sz="0" w:space="0" w:color="auto"/>
                <w:left w:val="none" w:sz="0" w:space="0" w:color="auto"/>
                <w:bottom w:val="none" w:sz="0" w:space="0" w:color="auto"/>
                <w:right w:val="none" w:sz="0" w:space="0" w:color="auto"/>
              </w:divBdr>
            </w:div>
          </w:divsChild>
        </w:div>
        <w:div w:id="82386508">
          <w:marLeft w:val="0"/>
          <w:marRight w:val="0"/>
          <w:marTop w:val="0"/>
          <w:marBottom w:val="0"/>
          <w:divBdr>
            <w:top w:val="none" w:sz="0" w:space="0" w:color="auto"/>
            <w:left w:val="none" w:sz="0" w:space="0" w:color="auto"/>
            <w:bottom w:val="none" w:sz="0" w:space="0" w:color="auto"/>
            <w:right w:val="none" w:sz="0" w:space="0" w:color="auto"/>
          </w:divBdr>
          <w:divsChild>
            <w:div w:id="281543136">
              <w:marLeft w:val="0"/>
              <w:marRight w:val="0"/>
              <w:marTop w:val="0"/>
              <w:marBottom w:val="0"/>
              <w:divBdr>
                <w:top w:val="none" w:sz="0" w:space="0" w:color="auto"/>
                <w:left w:val="none" w:sz="0" w:space="0" w:color="auto"/>
                <w:bottom w:val="none" w:sz="0" w:space="0" w:color="auto"/>
                <w:right w:val="none" w:sz="0" w:space="0" w:color="auto"/>
              </w:divBdr>
            </w:div>
          </w:divsChild>
        </w:div>
        <w:div w:id="1840658623">
          <w:marLeft w:val="0"/>
          <w:marRight w:val="0"/>
          <w:marTop w:val="0"/>
          <w:marBottom w:val="0"/>
          <w:divBdr>
            <w:top w:val="none" w:sz="0" w:space="0" w:color="auto"/>
            <w:left w:val="none" w:sz="0" w:space="0" w:color="auto"/>
            <w:bottom w:val="none" w:sz="0" w:space="0" w:color="auto"/>
            <w:right w:val="none" w:sz="0" w:space="0" w:color="auto"/>
          </w:divBdr>
          <w:divsChild>
            <w:div w:id="1586915238">
              <w:marLeft w:val="0"/>
              <w:marRight w:val="0"/>
              <w:marTop w:val="0"/>
              <w:marBottom w:val="0"/>
              <w:divBdr>
                <w:top w:val="none" w:sz="0" w:space="0" w:color="auto"/>
                <w:left w:val="none" w:sz="0" w:space="0" w:color="auto"/>
                <w:bottom w:val="none" w:sz="0" w:space="0" w:color="auto"/>
                <w:right w:val="none" w:sz="0" w:space="0" w:color="auto"/>
              </w:divBdr>
            </w:div>
          </w:divsChild>
        </w:div>
        <w:div w:id="1811747505">
          <w:marLeft w:val="0"/>
          <w:marRight w:val="0"/>
          <w:marTop w:val="0"/>
          <w:marBottom w:val="0"/>
          <w:divBdr>
            <w:top w:val="none" w:sz="0" w:space="0" w:color="auto"/>
            <w:left w:val="none" w:sz="0" w:space="0" w:color="auto"/>
            <w:bottom w:val="none" w:sz="0" w:space="0" w:color="auto"/>
            <w:right w:val="none" w:sz="0" w:space="0" w:color="auto"/>
          </w:divBdr>
          <w:divsChild>
            <w:div w:id="3886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5181">
      <w:bodyDiv w:val="1"/>
      <w:marLeft w:val="0"/>
      <w:marRight w:val="0"/>
      <w:marTop w:val="0"/>
      <w:marBottom w:val="0"/>
      <w:divBdr>
        <w:top w:val="none" w:sz="0" w:space="0" w:color="auto"/>
        <w:left w:val="none" w:sz="0" w:space="0" w:color="auto"/>
        <w:bottom w:val="none" w:sz="0" w:space="0" w:color="auto"/>
        <w:right w:val="none" w:sz="0" w:space="0" w:color="auto"/>
      </w:divBdr>
    </w:div>
    <w:div w:id="751198538">
      <w:bodyDiv w:val="1"/>
      <w:marLeft w:val="0"/>
      <w:marRight w:val="0"/>
      <w:marTop w:val="0"/>
      <w:marBottom w:val="0"/>
      <w:divBdr>
        <w:top w:val="none" w:sz="0" w:space="0" w:color="auto"/>
        <w:left w:val="none" w:sz="0" w:space="0" w:color="auto"/>
        <w:bottom w:val="none" w:sz="0" w:space="0" w:color="auto"/>
        <w:right w:val="none" w:sz="0" w:space="0" w:color="auto"/>
      </w:divBdr>
    </w:div>
    <w:div w:id="752550448">
      <w:bodyDiv w:val="1"/>
      <w:marLeft w:val="0"/>
      <w:marRight w:val="0"/>
      <w:marTop w:val="0"/>
      <w:marBottom w:val="0"/>
      <w:divBdr>
        <w:top w:val="none" w:sz="0" w:space="0" w:color="auto"/>
        <w:left w:val="none" w:sz="0" w:space="0" w:color="auto"/>
        <w:bottom w:val="none" w:sz="0" w:space="0" w:color="auto"/>
        <w:right w:val="none" w:sz="0" w:space="0" w:color="auto"/>
      </w:divBdr>
    </w:div>
    <w:div w:id="753823029">
      <w:bodyDiv w:val="1"/>
      <w:marLeft w:val="0"/>
      <w:marRight w:val="0"/>
      <w:marTop w:val="0"/>
      <w:marBottom w:val="0"/>
      <w:divBdr>
        <w:top w:val="none" w:sz="0" w:space="0" w:color="auto"/>
        <w:left w:val="none" w:sz="0" w:space="0" w:color="auto"/>
        <w:bottom w:val="none" w:sz="0" w:space="0" w:color="auto"/>
        <w:right w:val="none" w:sz="0" w:space="0" w:color="auto"/>
      </w:divBdr>
    </w:div>
    <w:div w:id="760024051">
      <w:bodyDiv w:val="1"/>
      <w:marLeft w:val="0"/>
      <w:marRight w:val="0"/>
      <w:marTop w:val="0"/>
      <w:marBottom w:val="0"/>
      <w:divBdr>
        <w:top w:val="none" w:sz="0" w:space="0" w:color="auto"/>
        <w:left w:val="none" w:sz="0" w:space="0" w:color="auto"/>
        <w:bottom w:val="none" w:sz="0" w:space="0" w:color="auto"/>
        <w:right w:val="none" w:sz="0" w:space="0" w:color="auto"/>
      </w:divBdr>
    </w:div>
    <w:div w:id="761070530">
      <w:bodyDiv w:val="1"/>
      <w:marLeft w:val="0"/>
      <w:marRight w:val="0"/>
      <w:marTop w:val="0"/>
      <w:marBottom w:val="0"/>
      <w:divBdr>
        <w:top w:val="none" w:sz="0" w:space="0" w:color="auto"/>
        <w:left w:val="none" w:sz="0" w:space="0" w:color="auto"/>
        <w:bottom w:val="none" w:sz="0" w:space="0" w:color="auto"/>
        <w:right w:val="none" w:sz="0" w:space="0" w:color="auto"/>
      </w:divBdr>
    </w:div>
    <w:div w:id="765921689">
      <w:bodyDiv w:val="1"/>
      <w:marLeft w:val="0"/>
      <w:marRight w:val="0"/>
      <w:marTop w:val="0"/>
      <w:marBottom w:val="0"/>
      <w:divBdr>
        <w:top w:val="none" w:sz="0" w:space="0" w:color="auto"/>
        <w:left w:val="none" w:sz="0" w:space="0" w:color="auto"/>
        <w:bottom w:val="none" w:sz="0" w:space="0" w:color="auto"/>
        <w:right w:val="none" w:sz="0" w:space="0" w:color="auto"/>
      </w:divBdr>
    </w:div>
    <w:div w:id="767965261">
      <w:bodyDiv w:val="1"/>
      <w:marLeft w:val="0"/>
      <w:marRight w:val="0"/>
      <w:marTop w:val="0"/>
      <w:marBottom w:val="0"/>
      <w:divBdr>
        <w:top w:val="none" w:sz="0" w:space="0" w:color="auto"/>
        <w:left w:val="none" w:sz="0" w:space="0" w:color="auto"/>
        <w:bottom w:val="none" w:sz="0" w:space="0" w:color="auto"/>
        <w:right w:val="none" w:sz="0" w:space="0" w:color="auto"/>
      </w:divBdr>
    </w:div>
    <w:div w:id="772550421">
      <w:bodyDiv w:val="1"/>
      <w:marLeft w:val="0"/>
      <w:marRight w:val="0"/>
      <w:marTop w:val="0"/>
      <w:marBottom w:val="0"/>
      <w:divBdr>
        <w:top w:val="none" w:sz="0" w:space="0" w:color="auto"/>
        <w:left w:val="none" w:sz="0" w:space="0" w:color="auto"/>
        <w:bottom w:val="none" w:sz="0" w:space="0" w:color="auto"/>
        <w:right w:val="none" w:sz="0" w:space="0" w:color="auto"/>
      </w:divBdr>
    </w:div>
    <w:div w:id="783161410">
      <w:bodyDiv w:val="1"/>
      <w:marLeft w:val="0"/>
      <w:marRight w:val="0"/>
      <w:marTop w:val="0"/>
      <w:marBottom w:val="0"/>
      <w:divBdr>
        <w:top w:val="none" w:sz="0" w:space="0" w:color="auto"/>
        <w:left w:val="none" w:sz="0" w:space="0" w:color="auto"/>
        <w:bottom w:val="none" w:sz="0" w:space="0" w:color="auto"/>
        <w:right w:val="none" w:sz="0" w:space="0" w:color="auto"/>
      </w:divBdr>
    </w:div>
    <w:div w:id="788208723">
      <w:bodyDiv w:val="1"/>
      <w:marLeft w:val="0"/>
      <w:marRight w:val="0"/>
      <w:marTop w:val="0"/>
      <w:marBottom w:val="0"/>
      <w:divBdr>
        <w:top w:val="none" w:sz="0" w:space="0" w:color="auto"/>
        <w:left w:val="none" w:sz="0" w:space="0" w:color="auto"/>
        <w:bottom w:val="none" w:sz="0" w:space="0" w:color="auto"/>
        <w:right w:val="none" w:sz="0" w:space="0" w:color="auto"/>
      </w:divBdr>
    </w:div>
    <w:div w:id="797797662">
      <w:bodyDiv w:val="1"/>
      <w:marLeft w:val="0"/>
      <w:marRight w:val="0"/>
      <w:marTop w:val="0"/>
      <w:marBottom w:val="0"/>
      <w:divBdr>
        <w:top w:val="none" w:sz="0" w:space="0" w:color="auto"/>
        <w:left w:val="none" w:sz="0" w:space="0" w:color="auto"/>
        <w:bottom w:val="none" w:sz="0" w:space="0" w:color="auto"/>
        <w:right w:val="none" w:sz="0" w:space="0" w:color="auto"/>
      </w:divBdr>
    </w:div>
    <w:div w:id="803236382">
      <w:bodyDiv w:val="1"/>
      <w:marLeft w:val="0"/>
      <w:marRight w:val="0"/>
      <w:marTop w:val="0"/>
      <w:marBottom w:val="0"/>
      <w:divBdr>
        <w:top w:val="none" w:sz="0" w:space="0" w:color="auto"/>
        <w:left w:val="none" w:sz="0" w:space="0" w:color="auto"/>
        <w:bottom w:val="none" w:sz="0" w:space="0" w:color="auto"/>
        <w:right w:val="none" w:sz="0" w:space="0" w:color="auto"/>
      </w:divBdr>
    </w:div>
    <w:div w:id="804854484">
      <w:bodyDiv w:val="1"/>
      <w:marLeft w:val="0"/>
      <w:marRight w:val="0"/>
      <w:marTop w:val="0"/>
      <w:marBottom w:val="0"/>
      <w:divBdr>
        <w:top w:val="none" w:sz="0" w:space="0" w:color="auto"/>
        <w:left w:val="none" w:sz="0" w:space="0" w:color="auto"/>
        <w:bottom w:val="none" w:sz="0" w:space="0" w:color="auto"/>
        <w:right w:val="none" w:sz="0" w:space="0" w:color="auto"/>
      </w:divBdr>
    </w:div>
    <w:div w:id="811018550">
      <w:bodyDiv w:val="1"/>
      <w:marLeft w:val="0"/>
      <w:marRight w:val="0"/>
      <w:marTop w:val="0"/>
      <w:marBottom w:val="0"/>
      <w:divBdr>
        <w:top w:val="none" w:sz="0" w:space="0" w:color="auto"/>
        <w:left w:val="none" w:sz="0" w:space="0" w:color="auto"/>
        <w:bottom w:val="none" w:sz="0" w:space="0" w:color="auto"/>
        <w:right w:val="none" w:sz="0" w:space="0" w:color="auto"/>
      </w:divBdr>
    </w:div>
    <w:div w:id="816653141">
      <w:bodyDiv w:val="1"/>
      <w:marLeft w:val="0"/>
      <w:marRight w:val="0"/>
      <w:marTop w:val="0"/>
      <w:marBottom w:val="0"/>
      <w:divBdr>
        <w:top w:val="none" w:sz="0" w:space="0" w:color="auto"/>
        <w:left w:val="none" w:sz="0" w:space="0" w:color="auto"/>
        <w:bottom w:val="none" w:sz="0" w:space="0" w:color="auto"/>
        <w:right w:val="none" w:sz="0" w:space="0" w:color="auto"/>
      </w:divBdr>
    </w:div>
    <w:div w:id="816920749">
      <w:bodyDiv w:val="1"/>
      <w:marLeft w:val="0"/>
      <w:marRight w:val="0"/>
      <w:marTop w:val="0"/>
      <w:marBottom w:val="0"/>
      <w:divBdr>
        <w:top w:val="none" w:sz="0" w:space="0" w:color="auto"/>
        <w:left w:val="none" w:sz="0" w:space="0" w:color="auto"/>
        <w:bottom w:val="none" w:sz="0" w:space="0" w:color="auto"/>
        <w:right w:val="none" w:sz="0" w:space="0" w:color="auto"/>
      </w:divBdr>
      <w:divsChild>
        <w:div w:id="1312951005">
          <w:marLeft w:val="0"/>
          <w:marRight w:val="0"/>
          <w:marTop w:val="0"/>
          <w:marBottom w:val="0"/>
          <w:divBdr>
            <w:top w:val="none" w:sz="0" w:space="0" w:color="auto"/>
            <w:left w:val="none" w:sz="0" w:space="0" w:color="auto"/>
            <w:bottom w:val="none" w:sz="0" w:space="0" w:color="auto"/>
            <w:right w:val="none" w:sz="0" w:space="0" w:color="auto"/>
          </w:divBdr>
          <w:divsChild>
            <w:div w:id="1433818460">
              <w:marLeft w:val="0"/>
              <w:marRight w:val="0"/>
              <w:marTop w:val="0"/>
              <w:marBottom w:val="0"/>
              <w:divBdr>
                <w:top w:val="none" w:sz="0" w:space="0" w:color="auto"/>
                <w:left w:val="none" w:sz="0" w:space="0" w:color="auto"/>
                <w:bottom w:val="none" w:sz="0" w:space="0" w:color="auto"/>
                <w:right w:val="none" w:sz="0" w:space="0" w:color="auto"/>
              </w:divBdr>
            </w:div>
          </w:divsChild>
        </w:div>
        <w:div w:id="212693029">
          <w:marLeft w:val="0"/>
          <w:marRight w:val="0"/>
          <w:marTop w:val="0"/>
          <w:marBottom w:val="0"/>
          <w:divBdr>
            <w:top w:val="none" w:sz="0" w:space="0" w:color="auto"/>
            <w:left w:val="none" w:sz="0" w:space="0" w:color="auto"/>
            <w:bottom w:val="none" w:sz="0" w:space="0" w:color="auto"/>
            <w:right w:val="none" w:sz="0" w:space="0" w:color="auto"/>
          </w:divBdr>
          <w:divsChild>
            <w:div w:id="1324627592">
              <w:marLeft w:val="0"/>
              <w:marRight w:val="0"/>
              <w:marTop w:val="0"/>
              <w:marBottom w:val="0"/>
              <w:divBdr>
                <w:top w:val="none" w:sz="0" w:space="0" w:color="auto"/>
                <w:left w:val="none" w:sz="0" w:space="0" w:color="auto"/>
                <w:bottom w:val="none" w:sz="0" w:space="0" w:color="auto"/>
                <w:right w:val="none" w:sz="0" w:space="0" w:color="auto"/>
              </w:divBdr>
            </w:div>
          </w:divsChild>
        </w:div>
        <w:div w:id="1968508375">
          <w:marLeft w:val="0"/>
          <w:marRight w:val="0"/>
          <w:marTop w:val="0"/>
          <w:marBottom w:val="0"/>
          <w:divBdr>
            <w:top w:val="none" w:sz="0" w:space="0" w:color="auto"/>
            <w:left w:val="none" w:sz="0" w:space="0" w:color="auto"/>
            <w:bottom w:val="none" w:sz="0" w:space="0" w:color="auto"/>
            <w:right w:val="none" w:sz="0" w:space="0" w:color="auto"/>
          </w:divBdr>
          <w:divsChild>
            <w:div w:id="1530483370">
              <w:marLeft w:val="0"/>
              <w:marRight w:val="0"/>
              <w:marTop w:val="0"/>
              <w:marBottom w:val="0"/>
              <w:divBdr>
                <w:top w:val="none" w:sz="0" w:space="0" w:color="auto"/>
                <w:left w:val="none" w:sz="0" w:space="0" w:color="auto"/>
                <w:bottom w:val="none" w:sz="0" w:space="0" w:color="auto"/>
                <w:right w:val="none" w:sz="0" w:space="0" w:color="auto"/>
              </w:divBdr>
            </w:div>
          </w:divsChild>
        </w:div>
        <w:div w:id="292566189">
          <w:marLeft w:val="0"/>
          <w:marRight w:val="0"/>
          <w:marTop w:val="0"/>
          <w:marBottom w:val="0"/>
          <w:divBdr>
            <w:top w:val="none" w:sz="0" w:space="0" w:color="auto"/>
            <w:left w:val="none" w:sz="0" w:space="0" w:color="auto"/>
            <w:bottom w:val="none" w:sz="0" w:space="0" w:color="auto"/>
            <w:right w:val="none" w:sz="0" w:space="0" w:color="auto"/>
          </w:divBdr>
          <w:divsChild>
            <w:div w:id="54932858">
              <w:marLeft w:val="0"/>
              <w:marRight w:val="0"/>
              <w:marTop w:val="0"/>
              <w:marBottom w:val="0"/>
              <w:divBdr>
                <w:top w:val="none" w:sz="0" w:space="0" w:color="auto"/>
                <w:left w:val="none" w:sz="0" w:space="0" w:color="auto"/>
                <w:bottom w:val="none" w:sz="0" w:space="0" w:color="auto"/>
                <w:right w:val="none" w:sz="0" w:space="0" w:color="auto"/>
              </w:divBdr>
            </w:div>
          </w:divsChild>
        </w:div>
        <w:div w:id="1073771831">
          <w:marLeft w:val="0"/>
          <w:marRight w:val="0"/>
          <w:marTop w:val="0"/>
          <w:marBottom w:val="0"/>
          <w:divBdr>
            <w:top w:val="none" w:sz="0" w:space="0" w:color="auto"/>
            <w:left w:val="none" w:sz="0" w:space="0" w:color="auto"/>
            <w:bottom w:val="none" w:sz="0" w:space="0" w:color="auto"/>
            <w:right w:val="none" w:sz="0" w:space="0" w:color="auto"/>
          </w:divBdr>
          <w:divsChild>
            <w:div w:id="1800613025">
              <w:marLeft w:val="0"/>
              <w:marRight w:val="0"/>
              <w:marTop w:val="0"/>
              <w:marBottom w:val="0"/>
              <w:divBdr>
                <w:top w:val="none" w:sz="0" w:space="0" w:color="auto"/>
                <w:left w:val="none" w:sz="0" w:space="0" w:color="auto"/>
                <w:bottom w:val="none" w:sz="0" w:space="0" w:color="auto"/>
                <w:right w:val="none" w:sz="0" w:space="0" w:color="auto"/>
              </w:divBdr>
            </w:div>
          </w:divsChild>
        </w:div>
        <w:div w:id="1666010694">
          <w:marLeft w:val="0"/>
          <w:marRight w:val="0"/>
          <w:marTop w:val="0"/>
          <w:marBottom w:val="0"/>
          <w:divBdr>
            <w:top w:val="none" w:sz="0" w:space="0" w:color="auto"/>
            <w:left w:val="none" w:sz="0" w:space="0" w:color="auto"/>
            <w:bottom w:val="none" w:sz="0" w:space="0" w:color="auto"/>
            <w:right w:val="none" w:sz="0" w:space="0" w:color="auto"/>
          </w:divBdr>
          <w:divsChild>
            <w:div w:id="1787041302">
              <w:marLeft w:val="0"/>
              <w:marRight w:val="0"/>
              <w:marTop w:val="0"/>
              <w:marBottom w:val="0"/>
              <w:divBdr>
                <w:top w:val="none" w:sz="0" w:space="0" w:color="auto"/>
                <w:left w:val="none" w:sz="0" w:space="0" w:color="auto"/>
                <w:bottom w:val="none" w:sz="0" w:space="0" w:color="auto"/>
                <w:right w:val="none" w:sz="0" w:space="0" w:color="auto"/>
              </w:divBdr>
            </w:div>
          </w:divsChild>
        </w:div>
        <w:div w:id="4331968">
          <w:marLeft w:val="0"/>
          <w:marRight w:val="0"/>
          <w:marTop w:val="0"/>
          <w:marBottom w:val="0"/>
          <w:divBdr>
            <w:top w:val="none" w:sz="0" w:space="0" w:color="auto"/>
            <w:left w:val="none" w:sz="0" w:space="0" w:color="auto"/>
            <w:bottom w:val="none" w:sz="0" w:space="0" w:color="auto"/>
            <w:right w:val="none" w:sz="0" w:space="0" w:color="auto"/>
          </w:divBdr>
          <w:divsChild>
            <w:div w:id="1728793642">
              <w:marLeft w:val="0"/>
              <w:marRight w:val="0"/>
              <w:marTop w:val="0"/>
              <w:marBottom w:val="0"/>
              <w:divBdr>
                <w:top w:val="none" w:sz="0" w:space="0" w:color="auto"/>
                <w:left w:val="none" w:sz="0" w:space="0" w:color="auto"/>
                <w:bottom w:val="none" w:sz="0" w:space="0" w:color="auto"/>
                <w:right w:val="none" w:sz="0" w:space="0" w:color="auto"/>
              </w:divBdr>
            </w:div>
          </w:divsChild>
        </w:div>
        <w:div w:id="1903982646">
          <w:marLeft w:val="0"/>
          <w:marRight w:val="0"/>
          <w:marTop w:val="0"/>
          <w:marBottom w:val="0"/>
          <w:divBdr>
            <w:top w:val="none" w:sz="0" w:space="0" w:color="auto"/>
            <w:left w:val="none" w:sz="0" w:space="0" w:color="auto"/>
            <w:bottom w:val="none" w:sz="0" w:space="0" w:color="auto"/>
            <w:right w:val="none" w:sz="0" w:space="0" w:color="auto"/>
          </w:divBdr>
          <w:divsChild>
            <w:div w:id="1852836617">
              <w:marLeft w:val="0"/>
              <w:marRight w:val="0"/>
              <w:marTop w:val="0"/>
              <w:marBottom w:val="0"/>
              <w:divBdr>
                <w:top w:val="none" w:sz="0" w:space="0" w:color="auto"/>
                <w:left w:val="none" w:sz="0" w:space="0" w:color="auto"/>
                <w:bottom w:val="none" w:sz="0" w:space="0" w:color="auto"/>
                <w:right w:val="none" w:sz="0" w:space="0" w:color="auto"/>
              </w:divBdr>
            </w:div>
          </w:divsChild>
        </w:div>
        <w:div w:id="1545293689">
          <w:marLeft w:val="0"/>
          <w:marRight w:val="0"/>
          <w:marTop w:val="0"/>
          <w:marBottom w:val="0"/>
          <w:divBdr>
            <w:top w:val="none" w:sz="0" w:space="0" w:color="auto"/>
            <w:left w:val="none" w:sz="0" w:space="0" w:color="auto"/>
            <w:bottom w:val="none" w:sz="0" w:space="0" w:color="auto"/>
            <w:right w:val="none" w:sz="0" w:space="0" w:color="auto"/>
          </w:divBdr>
          <w:divsChild>
            <w:div w:id="1684549317">
              <w:marLeft w:val="0"/>
              <w:marRight w:val="0"/>
              <w:marTop w:val="0"/>
              <w:marBottom w:val="0"/>
              <w:divBdr>
                <w:top w:val="none" w:sz="0" w:space="0" w:color="auto"/>
                <w:left w:val="none" w:sz="0" w:space="0" w:color="auto"/>
                <w:bottom w:val="none" w:sz="0" w:space="0" w:color="auto"/>
                <w:right w:val="none" w:sz="0" w:space="0" w:color="auto"/>
              </w:divBdr>
            </w:div>
          </w:divsChild>
        </w:div>
        <w:div w:id="1529489924">
          <w:marLeft w:val="0"/>
          <w:marRight w:val="0"/>
          <w:marTop w:val="0"/>
          <w:marBottom w:val="0"/>
          <w:divBdr>
            <w:top w:val="none" w:sz="0" w:space="0" w:color="auto"/>
            <w:left w:val="none" w:sz="0" w:space="0" w:color="auto"/>
            <w:bottom w:val="none" w:sz="0" w:space="0" w:color="auto"/>
            <w:right w:val="none" w:sz="0" w:space="0" w:color="auto"/>
          </w:divBdr>
          <w:divsChild>
            <w:div w:id="1870994006">
              <w:marLeft w:val="0"/>
              <w:marRight w:val="0"/>
              <w:marTop w:val="0"/>
              <w:marBottom w:val="0"/>
              <w:divBdr>
                <w:top w:val="none" w:sz="0" w:space="0" w:color="auto"/>
                <w:left w:val="none" w:sz="0" w:space="0" w:color="auto"/>
                <w:bottom w:val="none" w:sz="0" w:space="0" w:color="auto"/>
                <w:right w:val="none" w:sz="0" w:space="0" w:color="auto"/>
              </w:divBdr>
            </w:div>
          </w:divsChild>
        </w:div>
        <w:div w:id="1719626884">
          <w:marLeft w:val="0"/>
          <w:marRight w:val="0"/>
          <w:marTop w:val="0"/>
          <w:marBottom w:val="0"/>
          <w:divBdr>
            <w:top w:val="none" w:sz="0" w:space="0" w:color="auto"/>
            <w:left w:val="none" w:sz="0" w:space="0" w:color="auto"/>
            <w:bottom w:val="none" w:sz="0" w:space="0" w:color="auto"/>
            <w:right w:val="none" w:sz="0" w:space="0" w:color="auto"/>
          </w:divBdr>
          <w:divsChild>
            <w:div w:id="17629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13874">
      <w:bodyDiv w:val="1"/>
      <w:marLeft w:val="0"/>
      <w:marRight w:val="0"/>
      <w:marTop w:val="0"/>
      <w:marBottom w:val="0"/>
      <w:divBdr>
        <w:top w:val="none" w:sz="0" w:space="0" w:color="auto"/>
        <w:left w:val="none" w:sz="0" w:space="0" w:color="auto"/>
        <w:bottom w:val="none" w:sz="0" w:space="0" w:color="auto"/>
        <w:right w:val="none" w:sz="0" w:space="0" w:color="auto"/>
      </w:divBdr>
    </w:div>
    <w:div w:id="821969669">
      <w:bodyDiv w:val="1"/>
      <w:marLeft w:val="0"/>
      <w:marRight w:val="0"/>
      <w:marTop w:val="0"/>
      <w:marBottom w:val="0"/>
      <w:divBdr>
        <w:top w:val="none" w:sz="0" w:space="0" w:color="auto"/>
        <w:left w:val="none" w:sz="0" w:space="0" w:color="auto"/>
        <w:bottom w:val="none" w:sz="0" w:space="0" w:color="auto"/>
        <w:right w:val="none" w:sz="0" w:space="0" w:color="auto"/>
      </w:divBdr>
    </w:div>
    <w:div w:id="825779045">
      <w:bodyDiv w:val="1"/>
      <w:marLeft w:val="0"/>
      <w:marRight w:val="0"/>
      <w:marTop w:val="0"/>
      <w:marBottom w:val="0"/>
      <w:divBdr>
        <w:top w:val="none" w:sz="0" w:space="0" w:color="auto"/>
        <w:left w:val="none" w:sz="0" w:space="0" w:color="auto"/>
        <w:bottom w:val="none" w:sz="0" w:space="0" w:color="auto"/>
        <w:right w:val="none" w:sz="0" w:space="0" w:color="auto"/>
      </w:divBdr>
    </w:div>
    <w:div w:id="829902752">
      <w:bodyDiv w:val="1"/>
      <w:marLeft w:val="0"/>
      <w:marRight w:val="0"/>
      <w:marTop w:val="0"/>
      <w:marBottom w:val="0"/>
      <w:divBdr>
        <w:top w:val="none" w:sz="0" w:space="0" w:color="auto"/>
        <w:left w:val="none" w:sz="0" w:space="0" w:color="auto"/>
        <w:bottom w:val="none" w:sz="0" w:space="0" w:color="auto"/>
        <w:right w:val="none" w:sz="0" w:space="0" w:color="auto"/>
      </w:divBdr>
    </w:div>
    <w:div w:id="834760314">
      <w:bodyDiv w:val="1"/>
      <w:marLeft w:val="0"/>
      <w:marRight w:val="0"/>
      <w:marTop w:val="0"/>
      <w:marBottom w:val="0"/>
      <w:divBdr>
        <w:top w:val="none" w:sz="0" w:space="0" w:color="auto"/>
        <w:left w:val="none" w:sz="0" w:space="0" w:color="auto"/>
        <w:bottom w:val="none" w:sz="0" w:space="0" w:color="auto"/>
        <w:right w:val="none" w:sz="0" w:space="0" w:color="auto"/>
      </w:divBdr>
    </w:div>
    <w:div w:id="838808963">
      <w:bodyDiv w:val="1"/>
      <w:marLeft w:val="0"/>
      <w:marRight w:val="0"/>
      <w:marTop w:val="0"/>
      <w:marBottom w:val="0"/>
      <w:divBdr>
        <w:top w:val="none" w:sz="0" w:space="0" w:color="auto"/>
        <w:left w:val="none" w:sz="0" w:space="0" w:color="auto"/>
        <w:bottom w:val="none" w:sz="0" w:space="0" w:color="auto"/>
        <w:right w:val="none" w:sz="0" w:space="0" w:color="auto"/>
      </w:divBdr>
    </w:div>
    <w:div w:id="839391817">
      <w:bodyDiv w:val="1"/>
      <w:marLeft w:val="0"/>
      <w:marRight w:val="0"/>
      <w:marTop w:val="0"/>
      <w:marBottom w:val="0"/>
      <w:divBdr>
        <w:top w:val="none" w:sz="0" w:space="0" w:color="auto"/>
        <w:left w:val="none" w:sz="0" w:space="0" w:color="auto"/>
        <w:bottom w:val="none" w:sz="0" w:space="0" w:color="auto"/>
        <w:right w:val="none" w:sz="0" w:space="0" w:color="auto"/>
      </w:divBdr>
    </w:div>
    <w:div w:id="839656940">
      <w:bodyDiv w:val="1"/>
      <w:marLeft w:val="0"/>
      <w:marRight w:val="0"/>
      <w:marTop w:val="0"/>
      <w:marBottom w:val="0"/>
      <w:divBdr>
        <w:top w:val="none" w:sz="0" w:space="0" w:color="auto"/>
        <w:left w:val="none" w:sz="0" w:space="0" w:color="auto"/>
        <w:bottom w:val="none" w:sz="0" w:space="0" w:color="auto"/>
        <w:right w:val="none" w:sz="0" w:space="0" w:color="auto"/>
      </w:divBdr>
    </w:div>
    <w:div w:id="846287407">
      <w:bodyDiv w:val="1"/>
      <w:marLeft w:val="0"/>
      <w:marRight w:val="0"/>
      <w:marTop w:val="0"/>
      <w:marBottom w:val="0"/>
      <w:divBdr>
        <w:top w:val="none" w:sz="0" w:space="0" w:color="auto"/>
        <w:left w:val="none" w:sz="0" w:space="0" w:color="auto"/>
        <w:bottom w:val="none" w:sz="0" w:space="0" w:color="auto"/>
        <w:right w:val="none" w:sz="0" w:space="0" w:color="auto"/>
      </w:divBdr>
    </w:div>
    <w:div w:id="849950388">
      <w:bodyDiv w:val="1"/>
      <w:marLeft w:val="0"/>
      <w:marRight w:val="0"/>
      <w:marTop w:val="0"/>
      <w:marBottom w:val="0"/>
      <w:divBdr>
        <w:top w:val="none" w:sz="0" w:space="0" w:color="auto"/>
        <w:left w:val="none" w:sz="0" w:space="0" w:color="auto"/>
        <w:bottom w:val="none" w:sz="0" w:space="0" w:color="auto"/>
        <w:right w:val="none" w:sz="0" w:space="0" w:color="auto"/>
      </w:divBdr>
      <w:divsChild>
        <w:div w:id="841628045">
          <w:marLeft w:val="0"/>
          <w:marRight w:val="0"/>
          <w:marTop w:val="0"/>
          <w:marBottom w:val="0"/>
          <w:divBdr>
            <w:top w:val="none" w:sz="0" w:space="0" w:color="auto"/>
            <w:left w:val="none" w:sz="0" w:space="0" w:color="auto"/>
            <w:bottom w:val="none" w:sz="0" w:space="0" w:color="auto"/>
            <w:right w:val="none" w:sz="0" w:space="0" w:color="auto"/>
          </w:divBdr>
          <w:divsChild>
            <w:div w:id="2041854635">
              <w:marLeft w:val="0"/>
              <w:marRight w:val="0"/>
              <w:marTop w:val="0"/>
              <w:marBottom w:val="0"/>
              <w:divBdr>
                <w:top w:val="none" w:sz="0" w:space="0" w:color="auto"/>
                <w:left w:val="none" w:sz="0" w:space="0" w:color="auto"/>
                <w:bottom w:val="none" w:sz="0" w:space="0" w:color="auto"/>
                <w:right w:val="none" w:sz="0" w:space="0" w:color="auto"/>
              </w:divBdr>
              <w:divsChild>
                <w:div w:id="809322527">
                  <w:marLeft w:val="0"/>
                  <w:marRight w:val="0"/>
                  <w:marTop w:val="0"/>
                  <w:marBottom w:val="0"/>
                  <w:divBdr>
                    <w:top w:val="none" w:sz="0" w:space="0" w:color="auto"/>
                    <w:left w:val="none" w:sz="0" w:space="0" w:color="auto"/>
                    <w:bottom w:val="none" w:sz="0" w:space="0" w:color="auto"/>
                    <w:right w:val="none" w:sz="0" w:space="0" w:color="auto"/>
                  </w:divBdr>
                  <w:divsChild>
                    <w:div w:id="1937708368">
                      <w:marLeft w:val="0"/>
                      <w:marRight w:val="0"/>
                      <w:marTop w:val="0"/>
                      <w:marBottom w:val="0"/>
                      <w:divBdr>
                        <w:top w:val="none" w:sz="0" w:space="0" w:color="auto"/>
                        <w:left w:val="none" w:sz="0" w:space="0" w:color="auto"/>
                        <w:bottom w:val="none" w:sz="0" w:space="0" w:color="auto"/>
                        <w:right w:val="none" w:sz="0" w:space="0" w:color="auto"/>
                      </w:divBdr>
                      <w:divsChild>
                        <w:div w:id="462233038">
                          <w:marLeft w:val="0"/>
                          <w:marRight w:val="0"/>
                          <w:marTop w:val="0"/>
                          <w:marBottom w:val="0"/>
                          <w:divBdr>
                            <w:top w:val="none" w:sz="0" w:space="0" w:color="auto"/>
                            <w:left w:val="none" w:sz="0" w:space="0" w:color="auto"/>
                            <w:bottom w:val="none" w:sz="0" w:space="0" w:color="auto"/>
                            <w:right w:val="none" w:sz="0" w:space="0" w:color="auto"/>
                          </w:divBdr>
                          <w:divsChild>
                            <w:div w:id="810974918">
                              <w:marLeft w:val="0"/>
                              <w:marRight w:val="0"/>
                              <w:marTop w:val="0"/>
                              <w:marBottom w:val="0"/>
                              <w:divBdr>
                                <w:top w:val="none" w:sz="0" w:space="0" w:color="auto"/>
                                <w:left w:val="none" w:sz="0" w:space="0" w:color="auto"/>
                                <w:bottom w:val="none" w:sz="0" w:space="0" w:color="auto"/>
                                <w:right w:val="none" w:sz="0" w:space="0" w:color="auto"/>
                              </w:divBdr>
                              <w:divsChild>
                                <w:div w:id="171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80653">
                          <w:marLeft w:val="0"/>
                          <w:marRight w:val="0"/>
                          <w:marTop w:val="0"/>
                          <w:marBottom w:val="0"/>
                          <w:divBdr>
                            <w:top w:val="none" w:sz="0" w:space="0" w:color="auto"/>
                            <w:left w:val="none" w:sz="0" w:space="0" w:color="auto"/>
                            <w:bottom w:val="none" w:sz="0" w:space="0" w:color="auto"/>
                            <w:right w:val="none" w:sz="0" w:space="0" w:color="auto"/>
                          </w:divBdr>
                          <w:divsChild>
                            <w:div w:id="1090853330">
                              <w:marLeft w:val="0"/>
                              <w:marRight w:val="0"/>
                              <w:marTop w:val="0"/>
                              <w:marBottom w:val="0"/>
                              <w:divBdr>
                                <w:top w:val="none" w:sz="0" w:space="0" w:color="auto"/>
                                <w:left w:val="none" w:sz="0" w:space="0" w:color="auto"/>
                                <w:bottom w:val="none" w:sz="0" w:space="0" w:color="auto"/>
                                <w:right w:val="none" w:sz="0" w:space="0" w:color="auto"/>
                              </w:divBdr>
                              <w:divsChild>
                                <w:div w:id="808210029">
                                  <w:marLeft w:val="0"/>
                                  <w:marRight w:val="0"/>
                                  <w:marTop w:val="0"/>
                                  <w:marBottom w:val="0"/>
                                  <w:divBdr>
                                    <w:top w:val="none" w:sz="0" w:space="0" w:color="auto"/>
                                    <w:left w:val="none" w:sz="0" w:space="0" w:color="auto"/>
                                    <w:bottom w:val="none" w:sz="0" w:space="0" w:color="auto"/>
                                    <w:right w:val="none" w:sz="0" w:space="0" w:color="auto"/>
                                  </w:divBdr>
                                  <w:divsChild>
                                    <w:div w:id="1122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733956">
              <w:marLeft w:val="0"/>
              <w:marRight w:val="0"/>
              <w:marTop w:val="0"/>
              <w:marBottom w:val="0"/>
              <w:divBdr>
                <w:top w:val="none" w:sz="0" w:space="0" w:color="auto"/>
                <w:left w:val="none" w:sz="0" w:space="0" w:color="auto"/>
                <w:bottom w:val="none" w:sz="0" w:space="0" w:color="auto"/>
                <w:right w:val="none" w:sz="0" w:space="0" w:color="auto"/>
              </w:divBdr>
              <w:divsChild>
                <w:div w:id="333076735">
                  <w:marLeft w:val="0"/>
                  <w:marRight w:val="0"/>
                  <w:marTop w:val="0"/>
                  <w:marBottom w:val="0"/>
                  <w:divBdr>
                    <w:top w:val="none" w:sz="0" w:space="0" w:color="auto"/>
                    <w:left w:val="none" w:sz="0" w:space="0" w:color="auto"/>
                    <w:bottom w:val="none" w:sz="0" w:space="0" w:color="auto"/>
                    <w:right w:val="none" w:sz="0" w:space="0" w:color="auto"/>
                  </w:divBdr>
                  <w:divsChild>
                    <w:div w:id="9838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83114">
          <w:marLeft w:val="0"/>
          <w:marRight w:val="0"/>
          <w:marTop w:val="0"/>
          <w:marBottom w:val="0"/>
          <w:divBdr>
            <w:top w:val="none" w:sz="0" w:space="0" w:color="auto"/>
            <w:left w:val="none" w:sz="0" w:space="0" w:color="auto"/>
            <w:bottom w:val="none" w:sz="0" w:space="0" w:color="auto"/>
            <w:right w:val="none" w:sz="0" w:space="0" w:color="auto"/>
          </w:divBdr>
          <w:divsChild>
            <w:div w:id="381833274">
              <w:marLeft w:val="0"/>
              <w:marRight w:val="0"/>
              <w:marTop w:val="0"/>
              <w:marBottom w:val="0"/>
              <w:divBdr>
                <w:top w:val="none" w:sz="0" w:space="0" w:color="auto"/>
                <w:left w:val="none" w:sz="0" w:space="0" w:color="auto"/>
                <w:bottom w:val="none" w:sz="0" w:space="0" w:color="auto"/>
                <w:right w:val="none" w:sz="0" w:space="0" w:color="auto"/>
              </w:divBdr>
              <w:divsChild>
                <w:div w:id="1909413301">
                  <w:marLeft w:val="0"/>
                  <w:marRight w:val="0"/>
                  <w:marTop w:val="0"/>
                  <w:marBottom w:val="0"/>
                  <w:divBdr>
                    <w:top w:val="none" w:sz="0" w:space="0" w:color="auto"/>
                    <w:left w:val="none" w:sz="0" w:space="0" w:color="auto"/>
                    <w:bottom w:val="none" w:sz="0" w:space="0" w:color="auto"/>
                    <w:right w:val="none" w:sz="0" w:space="0" w:color="auto"/>
                  </w:divBdr>
                  <w:divsChild>
                    <w:div w:id="2000428173">
                      <w:marLeft w:val="0"/>
                      <w:marRight w:val="0"/>
                      <w:marTop w:val="0"/>
                      <w:marBottom w:val="0"/>
                      <w:divBdr>
                        <w:top w:val="none" w:sz="0" w:space="0" w:color="auto"/>
                        <w:left w:val="none" w:sz="0" w:space="0" w:color="auto"/>
                        <w:bottom w:val="none" w:sz="0" w:space="0" w:color="auto"/>
                        <w:right w:val="none" w:sz="0" w:space="0" w:color="auto"/>
                      </w:divBdr>
                      <w:divsChild>
                        <w:div w:id="228462673">
                          <w:marLeft w:val="0"/>
                          <w:marRight w:val="0"/>
                          <w:marTop w:val="0"/>
                          <w:marBottom w:val="0"/>
                          <w:divBdr>
                            <w:top w:val="none" w:sz="0" w:space="0" w:color="auto"/>
                            <w:left w:val="none" w:sz="0" w:space="0" w:color="auto"/>
                            <w:bottom w:val="none" w:sz="0" w:space="0" w:color="auto"/>
                            <w:right w:val="none" w:sz="0" w:space="0" w:color="auto"/>
                          </w:divBdr>
                          <w:divsChild>
                            <w:div w:id="21030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94304">
                      <w:marLeft w:val="0"/>
                      <w:marRight w:val="0"/>
                      <w:marTop w:val="0"/>
                      <w:marBottom w:val="0"/>
                      <w:divBdr>
                        <w:top w:val="none" w:sz="0" w:space="0" w:color="auto"/>
                        <w:left w:val="none" w:sz="0" w:space="0" w:color="auto"/>
                        <w:bottom w:val="none" w:sz="0" w:space="0" w:color="auto"/>
                        <w:right w:val="none" w:sz="0" w:space="0" w:color="auto"/>
                      </w:divBdr>
                      <w:divsChild>
                        <w:div w:id="868375566">
                          <w:marLeft w:val="0"/>
                          <w:marRight w:val="0"/>
                          <w:marTop w:val="0"/>
                          <w:marBottom w:val="0"/>
                          <w:divBdr>
                            <w:top w:val="none" w:sz="0" w:space="0" w:color="auto"/>
                            <w:left w:val="none" w:sz="0" w:space="0" w:color="auto"/>
                            <w:bottom w:val="none" w:sz="0" w:space="0" w:color="auto"/>
                            <w:right w:val="none" w:sz="0" w:space="0" w:color="auto"/>
                          </w:divBdr>
                          <w:divsChild>
                            <w:div w:id="412777645">
                              <w:marLeft w:val="0"/>
                              <w:marRight w:val="0"/>
                              <w:marTop w:val="0"/>
                              <w:marBottom w:val="0"/>
                              <w:divBdr>
                                <w:top w:val="none" w:sz="0" w:space="0" w:color="auto"/>
                                <w:left w:val="none" w:sz="0" w:space="0" w:color="auto"/>
                                <w:bottom w:val="none" w:sz="0" w:space="0" w:color="auto"/>
                                <w:right w:val="none" w:sz="0" w:space="0" w:color="auto"/>
                              </w:divBdr>
                              <w:divsChild>
                                <w:div w:id="519979193">
                                  <w:marLeft w:val="0"/>
                                  <w:marRight w:val="0"/>
                                  <w:marTop w:val="0"/>
                                  <w:marBottom w:val="0"/>
                                  <w:divBdr>
                                    <w:top w:val="none" w:sz="0" w:space="0" w:color="auto"/>
                                    <w:left w:val="none" w:sz="0" w:space="0" w:color="auto"/>
                                    <w:bottom w:val="none" w:sz="0" w:space="0" w:color="auto"/>
                                    <w:right w:val="none" w:sz="0" w:space="0" w:color="auto"/>
                                  </w:divBdr>
                                  <w:divsChild>
                                    <w:div w:id="14366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155761">
      <w:bodyDiv w:val="1"/>
      <w:marLeft w:val="0"/>
      <w:marRight w:val="0"/>
      <w:marTop w:val="0"/>
      <w:marBottom w:val="0"/>
      <w:divBdr>
        <w:top w:val="none" w:sz="0" w:space="0" w:color="auto"/>
        <w:left w:val="none" w:sz="0" w:space="0" w:color="auto"/>
        <w:bottom w:val="none" w:sz="0" w:space="0" w:color="auto"/>
        <w:right w:val="none" w:sz="0" w:space="0" w:color="auto"/>
      </w:divBdr>
    </w:div>
    <w:div w:id="859397342">
      <w:bodyDiv w:val="1"/>
      <w:marLeft w:val="0"/>
      <w:marRight w:val="0"/>
      <w:marTop w:val="0"/>
      <w:marBottom w:val="0"/>
      <w:divBdr>
        <w:top w:val="none" w:sz="0" w:space="0" w:color="auto"/>
        <w:left w:val="none" w:sz="0" w:space="0" w:color="auto"/>
        <w:bottom w:val="none" w:sz="0" w:space="0" w:color="auto"/>
        <w:right w:val="none" w:sz="0" w:space="0" w:color="auto"/>
      </w:divBdr>
    </w:div>
    <w:div w:id="871844727">
      <w:bodyDiv w:val="1"/>
      <w:marLeft w:val="0"/>
      <w:marRight w:val="0"/>
      <w:marTop w:val="0"/>
      <w:marBottom w:val="0"/>
      <w:divBdr>
        <w:top w:val="none" w:sz="0" w:space="0" w:color="auto"/>
        <w:left w:val="none" w:sz="0" w:space="0" w:color="auto"/>
        <w:bottom w:val="none" w:sz="0" w:space="0" w:color="auto"/>
        <w:right w:val="none" w:sz="0" w:space="0" w:color="auto"/>
      </w:divBdr>
    </w:div>
    <w:div w:id="872620695">
      <w:bodyDiv w:val="1"/>
      <w:marLeft w:val="0"/>
      <w:marRight w:val="0"/>
      <w:marTop w:val="0"/>
      <w:marBottom w:val="0"/>
      <w:divBdr>
        <w:top w:val="none" w:sz="0" w:space="0" w:color="auto"/>
        <w:left w:val="none" w:sz="0" w:space="0" w:color="auto"/>
        <w:bottom w:val="none" w:sz="0" w:space="0" w:color="auto"/>
        <w:right w:val="none" w:sz="0" w:space="0" w:color="auto"/>
      </w:divBdr>
    </w:div>
    <w:div w:id="878587786">
      <w:bodyDiv w:val="1"/>
      <w:marLeft w:val="0"/>
      <w:marRight w:val="0"/>
      <w:marTop w:val="0"/>
      <w:marBottom w:val="0"/>
      <w:divBdr>
        <w:top w:val="none" w:sz="0" w:space="0" w:color="auto"/>
        <w:left w:val="none" w:sz="0" w:space="0" w:color="auto"/>
        <w:bottom w:val="none" w:sz="0" w:space="0" w:color="auto"/>
        <w:right w:val="none" w:sz="0" w:space="0" w:color="auto"/>
      </w:divBdr>
    </w:div>
    <w:div w:id="880556141">
      <w:bodyDiv w:val="1"/>
      <w:marLeft w:val="0"/>
      <w:marRight w:val="0"/>
      <w:marTop w:val="0"/>
      <w:marBottom w:val="0"/>
      <w:divBdr>
        <w:top w:val="none" w:sz="0" w:space="0" w:color="auto"/>
        <w:left w:val="none" w:sz="0" w:space="0" w:color="auto"/>
        <w:bottom w:val="none" w:sz="0" w:space="0" w:color="auto"/>
        <w:right w:val="none" w:sz="0" w:space="0" w:color="auto"/>
      </w:divBdr>
    </w:div>
    <w:div w:id="880703961">
      <w:bodyDiv w:val="1"/>
      <w:marLeft w:val="0"/>
      <w:marRight w:val="0"/>
      <w:marTop w:val="0"/>
      <w:marBottom w:val="0"/>
      <w:divBdr>
        <w:top w:val="none" w:sz="0" w:space="0" w:color="auto"/>
        <w:left w:val="none" w:sz="0" w:space="0" w:color="auto"/>
        <w:bottom w:val="none" w:sz="0" w:space="0" w:color="auto"/>
        <w:right w:val="none" w:sz="0" w:space="0" w:color="auto"/>
      </w:divBdr>
    </w:div>
    <w:div w:id="883448199">
      <w:bodyDiv w:val="1"/>
      <w:marLeft w:val="0"/>
      <w:marRight w:val="0"/>
      <w:marTop w:val="0"/>
      <w:marBottom w:val="0"/>
      <w:divBdr>
        <w:top w:val="none" w:sz="0" w:space="0" w:color="auto"/>
        <w:left w:val="none" w:sz="0" w:space="0" w:color="auto"/>
        <w:bottom w:val="none" w:sz="0" w:space="0" w:color="auto"/>
        <w:right w:val="none" w:sz="0" w:space="0" w:color="auto"/>
      </w:divBdr>
    </w:div>
    <w:div w:id="892352838">
      <w:bodyDiv w:val="1"/>
      <w:marLeft w:val="0"/>
      <w:marRight w:val="0"/>
      <w:marTop w:val="0"/>
      <w:marBottom w:val="0"/>
      <w:divBdr>
        <w:top w:val="none" w:sz="0" w:space="0" w:color="auto"/>
        <w:left w:val="none" w:sz="0" w:space="0" w:color="auto"/>
        <w:bottom w:val="none" w:sz="0" w:space="0" w:color="auto"/>
        <w:right w:val="none" w:sz="0" w:space="0" w:color="auto"/>
      </w:divBdr>
    </w:div>
    <w:div w:id="902836050">
      <w:bodyDiv w:val="1"/>
      <w:marLeft w:val="0"/>
      <w:marRight w:val="0"/>
      <w:marTop w:val="0"/>
      <w:marBottom w:val="0"/>
      <w:divBdr>
        <w:top w:val="none" w:sz="0" w:space="0" w:color="auto"/>
        <w:left w:val="none" w:sz="0" w:space="0" w:color="auto"/>
        <w:bottom w:val="none" w:sz="0" w:space="0" w:color="auto"/>
        <w:right w:val="none" w:sz="0" w:space="0" w:color="auto"/>
      </w:divBdr>
    </w:div>
    <w:div w:id="905990903">
      <w:bodyDiv w:val="1"/>
      <w:marLeft w:val="0"/>
      <w:marRight w:val="0"/>
      <w:marTop w:val="0"/>
      <w:marBottom w:val="0"/>
      <w:divBdr>
        <w:top w:val="none" w:sz="0" w:space="0" w:color="auto"/>
        <w:left w:val="none" w:sz="0" w:space="0" w:color="auto"/>
        <w:bottom w:val="none" w:sz="0" w:space="0" w:color="auto"/>
        <w:right w:val="none" w:sz="0" w:space="0" w:color="auto"/>
      </w:divBdr>
    </w:div>
    <w:div w:id="917590791">
      <w:bodyDiv w:val="1"/>
      <w:marLeft w:val="0"/>
      <w:marRight w:val="0"/>
      <w:marTop w:val="0"/>
      <w:marBottom w:val="0"/>
      <w:divBdr>
        <w:top w:val="none" w:sz="0" w:space="0" w:color="auto"/>
        <w:left w:val="none" w:sz="0" w:space="0" w:color="auto"/>
        <w:bottom w:val="none" w:sz="0" w:space="0" w:color="auto"/>
        <w:right w:val="none" w:sz="0" w:space="0" w:color="auto"/>
      </w:divBdr>
    </w:div>
    <w:div w:id="929974253">
      <w:bodyDiv w:val="1"/>
      <w:marLeft w:val="0"/>
      <w:marRight w:val="0"/>
      <w:marTop w:val="0"/>
      <w:marBottom w:val="0"/>
      <w:divBdr>
        <w:top w:val="none" w:sz="0" w:space="0" w:color="auto"/>
        <w:left w:val="none" w:sz="0" w:space="0" w:color="auto"/>
        <w:bottom w:val="none" w:sz="0" w:space="0" w:color="auto"/>
        <w:right w:val="none" w:sz="0" w:space="0" w:color="auto"/>
      </w:divBdr>
      <w:divsChild>
        <w:div w:id="1559246316">
          <w:marLeft w:val="0"/>
          <w:marRight w:val="0"/>
          <w:marTop w:val="0"/>
          <w:marBottom w:val="0"/>
          <w:divBdr>
            <w:top w:val="none" w:sz="0" w:space="0" w:color="auto"/>
            <w:left w:val="none" w:sz="0" w:space="0" w:color="auto"/>
            <w:bottom w:val="none" w:sz="0" w:space="0" w:color="auto"/>
            <w:right w:val="none" w:sz="0" w:space="0" w:color="auto"/>
          </w:divBdr>
          <w:divsChild>
            <w:div w:id="1719628807">
              <w:marLeft w:val="0"/>
              <w:marRight w:val="0"/>
              <w:marTop w:val="0"/>
              <w:marBottom w:val="0"/>
              <w:divBdr>
                <w:top w:val="none" w:sz="0" w:space="0" w:color="auto"/>
                <w:left w:val="none" w:sz="0" w:space="0" w:color="auto"/>
                <w:bottom w:val="none" w:sz="0" w:space="0" w:color="auto"/>
                <w:right w:val="none" w:sz="0" w:space="0" w:color="auto"/>
              </w:divBdr>
              <w:divsChild>
                <w:div w:id="1487015422">
                  <w:marLeft w:val="0"/>
                  <w:marRight w:val="0"/>
                  <w:marTop w:val="0"/>
                  <w:marBottom w:val="0"/>
                  <w:divBdr>
                    <w:top w:val="none" w:sz="0" w:space="0" w:color="auto"/>
                    <w:left w:val="none" w:sz="0" w:space="0" w:color="auto"/>
                    <w:bottom w:val="none" w:sz="0" w:space="0" w:color="auto"/>
                    <w:right w:val="none" w:sz="0" w:space="0" w:color="auto"/>
                  </w:divBdr>
                  <w:divsChild>
                    <w:div w:id="1881429769">
                      <w:marLeft w:val="0"/>
                      <w:marRight w:val="0"/>
                      <w:marTop w:val="0"/>
                      <w:marBottom w:val="0"/>
                      <w:divBdr>
                        <w:top w:val="none" w:sz="0" w:space="0" w:color="auto"/>
                        <w:left w:val="none" w:sz="0" w:space="0" w:color="auto"/>
                        <w:bottom w:val="none" w:sz="0" w:space="0" w:color="auto"/>
                        <w:right w:val="none" w:sz="0" w:space="0" w:color="auto"/>
                      </w:divBdr>
                      <w:divsChild>
                        <w:div w:id="169754404">
                          <w:marLeft w:val="0"/>
                          <w:marRight w:val="0"/>
                          <w:marTop w:val="0"/>
                          <w:marBottom w:val="0"/>
                          <w:divBdr>
                            <w:top w:val="none" w:sz="0" w:space="0" w:color="auto"/>
                            <w:left w:val="none" w:sz="0" w:space="0" w:color="auto"/>
                            <w:bottom w:val="none" w:sz="0" w:space="0" w:color="auto"/>
                            <w:right w:val="none" w:sz="0" w:space="0" w:color="auto"/>
                          </w:divBdr>
                          <w:divsChild>
                            <w:div w:id="7497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3266">
                      <w:marLeft w:val="0"/>
                      <w:marRight w:val="0"/>
                      <w:marTop w:val="0"/>
                      <w:marBottom w:val="0"/>
                      <w:divBdr>
                        <w:top w:val="none" w:sz="0" w:space="0" w:color="auto"/>
                        <w:left w:val="none" w:sz="0" w:space="0" w:color="auto"/>
                        <w:bottom w:val="none" w:sz="0" w:space="0" w:color="auto"/>
                        <w:right w:val="none" w:sz="0" w:space="0" w:color="auto"/>
                      </w:divBdr>
                      <w:divsChild>
                        <w:div w:id="1835800941">
                          <w:marLeft w:val="0"/>
                          <w:marRight w:val="0"/>
                          <w:marTop w:val="0"/>
                          <w:marBottom w:val="0"/>
                          <w:divBdr>
                            <w:top w:val="none" w:sz="0" w:space="0" w:color="auto"/>
                            <w:left w:val="none" w:sz="0" w:space="0" w:color="auto"/>
                            <w:bottom w:val="none" w:sz="0" w:space="0" w:color="auto"/>
                            <w:right w:val="none" w:sz="0" w:space="0" w:color="auto"/>
                          </w:divBdr>
                          <w:divsChild>
                            <w:div w:id="134565906">
                              <w:marLeft w:val="0"/>
                              <w:marRight w:val="0"/>
                              <w:marTop w:val="0"/>
                              <w:marBottom w:val="0"/>
                              <w:divBdr>
                                <w:top w:val="none" w:sz="0" w:space="0" w:color="auto"/>
                                <w:left w:val="none" w:sz="0" w:space="0" w:color="auto"/>
                                <w:bottom w:val="none" w:sz="0" w:space="0" w:color="auto"/>
                                <w:right w:val="none" w:sz="0" w:space="0" w:color="auto"/>
                              </w:divBdr>
                              <w:divsChild>
                                <w:div w:id="1424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19147">
      <w:bodyDiv w:val="1"/>
      <w:marLeft w:val="0"/>
      <w:marRight w:val="0"/>
      <w:marTop w:val="0"/>
      <w:marBottom w:val="0"/>
      <w:divBdr>
        <w:top w:val="none" w:sz="0" w:space="0" w:color="auto"/>
        <w:left w:val="none" w:sz="0" w:space="0" w:color="auto"/>
        <w:bottom w:val="none" w:sz="0" w:space="0" w:color="auto"/>
        <w:right w:val="none" w:sz="0" w:space="0" w:color="auto"/>
      </w:divBdr>
    </w:div>
    <w:div w:id="943272645">
      <w:bodyDiv w:val="1"/>
      <w:marLeft w:val="0"/>
      <w:marRight w:val="0"/>
      <w:marTop w:val="0"/>
      <w:marBottom w:val="0"/>
      <w:divBdr>
        <w:top w:val="none" w:sz="0" w:space="0" w:color="auto"/>
        <w:left w:val="none" w:sz="0" w:space="0" w:color="auto"/>
        <w:bottom w:val="none" w:sz="0" w:space="0" w:color="auto"/>
        <w:right w:val="none" w:sz="0" w:space="0" w:color="auto"/>
      </w:divBdr>
    </w:div>
    <w:div w:id="944456487">
      <w:bodyDiv w:val="1"/>
      <w:marLeft w:val="0"/>
      <w:marRight w:val="0"/>
      <w:marTop w:val="0"/>
      <w:marBottom w:val="0"/>
      <w:divBdr>
        <w:top w:val="none" w:sz="0" w:space="0" w:color="auto"/>
        <w:left w:val="none" w:sz="0" w:space="0" w:color="auto"/>
        <w:bottom w:val="none" w:sz="0" w:space="0" w:color="auto"/>
        <w:right w:val="none" w:sz="0" w:space="0" w:color="auto"/>
      </w:divBdr>
    </w:div>
    <w:div w:id="959262092">
      <w:bodyDiv w:val="1"/>
      <w:marLeft w:val="0"/>
      <w:marRight w:val="0"/>
      <w:marTop w:val="0"/>
      <w:marBottom w:val="0"/>
      <w:divBdr>
        <w:top w:val="none" w:sz="0" w:space="0" w:color="auto"/>
        <w:left w:val="none" w:sz="0" w:space="0" w:color="auto"/>
        <w:bottom w:val="none" w:sz="0" w:space="0" w:color="auto"/>
        <w:right w:val="none" w:sz="0" w:space="0" w:color="auto"/>
      </w:divBdr>
      <w:divsChild>
        <w:div w:id="399182808">
          <w:marLeft w:val="0"/>
          <w:marRight w:val="0"/>
          <w:marTop w:val="0"/>
          <w:marBottom w:val="0"/>
          <w:divBdr>
            <w:top w:val="none" w:sz="0" w:space="0" w:color="auto"/>
            <w:left w:val="none" w:sz="0" w:space="0" w:color="auto"/>
            <w:bottom w:val="none" w:sz="0" w:space="0" w:color="auto"/>
            <w:right w:val="none" w:sz="0" w:space="0" w:color="auto"/>
          </w:divBdr>
          <w:divsChild>
            <w:div w:id="963539360">
              <w:marLeft w:val="0"/>
              <w:marRight w:val="0"/>
              <w:marTop w:val="0"/>
              <w:marBottom w:val="0"/>
              <w:divBdr>
                <w:top w:val="none" w:sz="0" w:space="0" w:color="auto"/>
                <w:left w:val="none" w:sz="0" w:space="0" w:color="auto"/>
                <w:bottom w:val="none" w:sz="0" w:space="0" w:color="auto"/>
                <w:right w:val="none" w:sz="0" w:space="0" w:color="auto"/>
              </w:divBdr>
              <w:divsChild>
                <w:div w:id="409273239">
                  <w:marLeft w:val="0"/>
                  <w:marRight w:val="0"/>
                  <w:marTop w:val="0"/>
                  <w:marBottom w:val="0"/>
                  <w:divBdr>
                    <w:top w:val="none" w:sz="0" w:space="0" w:color="auto"/>
                    <w:left w:val="none" w:sz="0" w:space="0" w:color="auto"/>
                    <w:bottom w:val="none" w:sz="0" w:space="0" w:color="auto"/>
                    <w:right w:val="none" w:sz="0" w:space="0" w:color="auto"/>
                  </w:divBdr>
                  <w:divsChild>
                    <w:div w:id="679162524">
                      <w:marLeft w:val="0"/>
                      <w:marRight w:val="0"/>
                      <w:marTop w:val="0"/>
                      <w:marBottom w:val="0"/>
                      <w:divBdr>
                        <w:top w:val="none" w:sz="0" w:space="0" w:color="auto"/>
                        <w:left w:val="none" w:sz="0" w:space="0" w:color="auto"/>
                        <w:bottom w:val="none" w:sz="0" w:space="0" w:color="auto"/>
                        <w:right w:val="none" w:sz="0" w:space="0" w:color="auto"/>
                      </w:divBdr>
                      <w:divsChild>
                        <w:div w:id="949970588">
                          <w:marLeft w:val="0"/>
                          <w:marRight w:val="0"/>
                          <w:marTop w:val="0"/>
                          <w:marBottom w:val="0"/>
                          <w:divBdr>
                            <w:top w:val="none" w:sz="0" w:space="0" w:color="auto"/>
                            <w:left w:val="none" w:sz="0" w:space="0" w:color="auto"/>
                            <w:bottom w:val="none" w:sz="0" w:space="0" w:color="auto"/>
                            <w:right w:val="none" w:sz="0" w:space="0" w:color="auto"/>
                          </w:divBdr>
                          <w:divsChild>
                            <w:div w:id="122115326">
                              <w:marLeft w:val="0"/>
                              <w:marRight w:val="0"/>
                              <w:marTop w:val="0"/>
                              <w:marBottom w:val="0"/>
                              <w:divBdr>
                                <w:top w:val="none" w:sz="0" w:space="0" w:color="auto"/>
                                <w:left w:val="none" w:sz="0" w:space="0" w:color="auto"/>
                                <w:bottom w:val="none" w:sz="0" w:space="0" w:color="auto"/>
                                <w:right w:val="none" w:sz="0" w:space="0" w:color="auto"/>
                              </w:divBdr>
                              <w:divsChild>
                                <w:div w:id="762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9991">
                          <w:marLeft w:val="0"/>
                          <w:marRight w:val="0"/>
                          <w:marTop w:val="0"/>
                          <w:marBottom w:val="0"/>
                          <w:divBdr>
                            <w:top w:val="none" w:sz="0" w:space="0" w:color="auto"/>
                            <w:left w:val="none" w:sz="0" w:space="0" w:color="auto"/>
                            <w:bottom w:val="none" w:sz="0" w:space="0" w:color="auto"/>
                            <w:right w:val="none" w:sz="0" w:space="0" w:color="auto"/>
                          </w:divBdr>
                          <w:divsChild>
                            <w:div w:id="226575251">
                              <w:marLeft w:val="0"/>
                              <w:marRight w:val="0"/>
                              <w:marTop w:val="0"/>
                              <w:marBottom w:val="0"/>
                              <w:divBdr>
                                <w:top w:val="none" w:sz="0" w:space="0" w:color="auto"/>
                                <w:left w:val="none" w:sz="0" w:space="0" w:color="auto"/>
                                <w:bottom w:val="none" w:sz="0" w:space="0" w:color="auto"/>
                                <w:right w:val="none" w:sz="0" w:space="0" w:color="auto"/>
                              </w:divBdr>
                              <w:divsChild>
                                <w:div w:id="1502427757">
                                  <w:marLeft w:val="0"/>
                                  <w:marRight w:val="0"/>
                                  <w:marTop w:val="0"/>
                                  <w:marBottom w:val="0"/>
                                  <w:divBdr>
                                    <w:top w:val="none" w:sz="0" w:space="0" w:color="auto"/>
                                    <w:left w:val="none" w:sz="0" w:space="0" w:color="auto"/>
                                    <w:bottom w:val="none" w:sz="0" w:space="0" w:color="auto"/>
                                    <w:right w:val="none" w:sz="0" w:space="0" w:color="auto"/>
                                  </w:divBdr>
                                  <w:divsChild>
                                    <w:div w:id="2039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84956">
              <w:marLeft w:val="0"/>
              <w:marRight w:val="0"/>
              <w:marTop w:val="0"/>
              <w:marBottom w:val="0"/>
              <w:divBdr>
                <w:top w:val="none" w:sz="0" w:space="0" w:color="auto"/>
                <w:left w:val="none" w:sz="0" w:space="0" w:color="auto"/>
                <w:bottom w:val="none" w:sz="0" w:space="0" w:color="auto"/>
                <w:right w:val="none" w:sz="0" w:space="0" w:color="auto"/>
              </w:divBdr>
              <w:divsChild>
                <w:div w:id="1579554395">
                  <w:marLeft w:val="0"/>
                  <w:marRight w:val="0"/>
                  <w:marTop w:val="0"/>
                  <w:marBottom w:val="0"/>
                  <w:divBdr>
                    <w:top w:val="none" w:sz="0" w:space="0" w:color="auto"/>
                    <w:left w:val="none" w:sz="0" w:space="0" w:color="auto"/>
                    <w:bottom w:val="none" w:sz="0" w:space="0" w:color="auto"/>
                    <w:right w:val="none" w:sz="0" w:space="0" w:color="auto"/>
                  </w:divBdr>
                  <w:divsChild>
                    <w:div w:id="11280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4874">
          <w:marLeft w:val="0"/>
          <w:marRight w:val="0"/>
          <w:marTop w:val="0"/>
          <w:marBottom w:val="0"/>
          <w:divBdr>
            <w:top w:val="none" w:sz="0" w:space="0" w:color="auto"/>
            <w:left w:val="none" w:sz="0" w:space="0" w:color="auto"/>
            <w:bottom w:val="none" w:sz="0" w:space="0" w:color="auto"/>
            <w:right w:val="none" w:sz="0" w:space="0" w:color="auto"/>
          </w:divBdr>
          <w:divsChild>
            <w:div w:id="1513954600">
              <w:marLeft w:val="0"/>
              <w:marRight w:val="0"/>
              <w:marTop w:val="0"/>
              <w:marBottom w:val="0"/>
              <w:divBdr>
                <w:top w:val="none" w:sz="0" w:space="0" w:color="auto"/>
                <w:left w:val="none" w:sz="0" w:space="0" w:color="auto"/>
                <w:bottom w:val="none" w:sz="0" w:space="0" w:color="auto"/>
                <w:right w:val="none" w:sz="0" w:space="0" w:color="auto"/>
              </w:divBdr>
              <w:divsChild>
                <w:div w:id="1041711498">
                  <w:marLeft w:val="0"/>
                  <w:marRight w:val="0"/>
                  <w:marTop w:val="0"/>
                  <w:marBottom w:val="0"/>
                  <w:divBdr>
                    <w:top w:val="none" w:sz="0" w:space="0" w:color="auto"/>
                    <w:left w:val="none" w:sz="0" w:space="0" w:color="auto"/>
                    <w:bottom w:val="none" w:sz="0" w:space="0" w:color="auto"/>
                    <w:right w:val="none" w:sz="0" w:space="0" w:color="auto"/>
                  </w:divBdr>
                  <w:divsChild>
                    <w:div w:id="1951008994">
                      <w:marLeft w:val="0"/>
                      <w:marRight w:val="0"/>
                      <w:marTop w:val="0"/>
                      <w:marBottom w:val="0"/>
                      <w:divBdr>
                        <w:top w:val="none" w:sz="0" w:space="0" w:color="auto"/>
                        <w:left w:val="none" w:sz="0" w:space="0" w:color="auto"/>
                        <w:bottom w:val="none" w:sz="0" w:space="0" w:color="auto"/>
                        <w:right w:val="none" w:sz="0" w:space="0" w:color="auto"/>
                      </w:divBdr>
                      <w:divsChild>
                        <w:div w:id="1104347913">
                          <w:marLeft w:val="0"/>
                          <w:marRight w:val="0"/>
                          <w:marTop w:val="0"/>
                          <w:marBottom w:val="0"/>
                          <w:divBdr>
                            <w:top w:val="none" w:sz="0" w:space="0" w:color="auto"/>
                            <w:left w:val="none" w:sz="0" w:space="0" w:color="auto"/>
                            <w:bottom w:val="none" w:sz="0" w:space="0" w:color="auto"/>
                            <w:right w:val="none" w:sz="0" w:space="0" w:color="auto"/>
                          </w:divBdr>
                          <w:divsChild>
                            <w:div w:id="14644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3188">
                      <w:marLeft w:val="0"/>
                      <w:marRight w:val="0"/>
                      <w:marTop w:val="0"/>
                      <w:marBottom w:val="0"/>
                      <w:divBdr>
                        <w:top w:val="none" w:sz="0" w:space="0" w:color="auto"/>
                        <w:left w:val="none" w:sz="0" w:space="0" w:color="auto"/>
                        <w:bottom w:val="none" w:sz="0" w:space="0" w:color="auto"/>
                        <w:right w:val="none" w:sz="0" w:space="0" w:color="auto"/>
                      </w:divBdr>
                      <w:divsChild>
                        <w:div w:id="1306855921">
                          <w:marLeft w:val="0"/>
                          <w:marRight w:val="0"/>
                          <w:marTop w:val="0"/>
                          <w:marBottom w:val="0"/>
                          <w:divBdr>
                            <w:top w:val="none" w:sz="0" w:space="0" w:color="auto"/>
                            <w:left w:val="none" w:sz="0" w:space="0" w:color="auto"/>
                            <w:bottom w:val="none" w:sz="0" w:space="0" w:color="auto"/>
                            <w:right w:val="none" w:sz="0" w:space="0" w:color="auto"/>
                          </w:divBdr>
                          <w:divsChild>
                            <w:div w:id="1644581382">
                              <w:marLeft w:val="0"/>
                              <w:marRight w:val="0"/>
                              <w:marTop w:val="0"/>
                              <w:marBottom w:val="0"/>
                              <w:divBdr>
                                <w:top w:val="none" w:sz="0" w:space="0" w:color="auto"/>
                                <w:left w:val="none" w:sz="0" w:space="0" w:color="auto"/>
                                <w:bottom w:val="none" w:sz="0" w:space="0" w:color="auto"/>
                                <w:right w:val="none" w:sz="0" w:space="0" w:color="auto"/>
                              </w:divBdr>
                              <w:divsChild>
                                <w:div w:id="445347671">
                                  <w:marLeft w:val="0"/>
                                  <w:marRight w:val="0"/>
                                  <w:marTop w:val="0"/>
                                  <w:marBottom w:val="0"/>
                                  <w:divBdr>
                                    <w:top w:val="none" w:sz="0" w:space="0" w:color="auto"/>
                                    <w:left w:val="none" w:sz="0" w:space="0" w:color="auto"/>
                                    <w:bottom w:val="none" w:sz="0" w:space="0" w:color="auto"/>
                                    <w:right w:val="none" w:sz="0" w:space="0" w:color="auto"/>
                                  </w:divBdr>
                                  <w:divsChild>
                                    <w:div w:id="12528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575743">
      <w:bodyDiv w:val="1"/>
      <w:marLeft w:val="0"/>
      <w:marRight w:val="0"/>
      <w:marTop w:val="0"/>
      <w:marBottom w:val="0"/>
      <w:divBdr>
        <w:top w:val="none" w:sz="0" w:space="0" w:color="auto"/>
        <w:left w:val="none" w:sz="0" w:space="0" w:color="auto"/>
        <w:bottom w:val="none" w:sz="0" w:space="0" w:color="auto"/>
        <w:right w:val="none" w:sz="0" w:space="0" w:color="auto"/>
      </w:divBdr>
    </w:div>
    <w:div w:id="968365749">
      <w:bodyDiv w:val="1"/>
      <w:marLeft w:val="0"/>
      <w:marRight w:val="0"/>
      <w:marTop w:val="0"/>
      <w:marBottom w:val="0"/>
      <w:divBdr>
        <w:top w:val="none" w:sz="0" w:space="0" w:color="auto"/>
        <w:left w:val="none" w:sz="0" w:space="0" w:color="auto"/>
        <w:bottom w:val="none" w:sz="0" w:space="0" w:color="auto"/>
        <w:right w:val="none" w:sz="0" w:space="0" w:color="auto"/>
      </w:divBdr>
    </w:div>
    <w:div w:id="971062364">
      <w:bodyDiv w:val="1"/>
      <w:marLeft w:val="0"/>
      <w:marRight w:val="0"/>
      <w:marTop w:val="0"/>
      <w:marBottom w:val="0"/>
      <w:divBdr>
        <w:top w:val="none" w:sz="0" w:space="0" w:color="auto"/>
        <w:left w:val="none" w:sz="0" w:space="0" w:color="auto"/>
        <w:bottom w:val="none" w:sz="0" w:space="0" w:color="auto"/>
        <w:right w:val="none" w:sz="0" w:space="0" w:color="auto"/>
      </w:divBdr>
    </w:div>
    <w:div w:id="976956819">
      <w:bodyDiv w:val="1"/>
      <w:marLeft w:val="0"/>
      <w:marRight w:val="0"/>
      <w:marTop w:val="0"/>
      <w:marBottom w:val="0"/>
      <w:divBdr>
        <w:top w:val="none" w:sz="0" w:space="0" w:color="auto"/>
        <w:left w:val="none" w:sz="0" w:space="0" w:color="auto"/>
        <w:bottom w:val="none" w:sz="0" w:space="0" w:color="auto"/>
        <w:right w:val="none" w:sz="0" w:space="0" w:color="auto"/>
      </w:divBdr>
    </w:div>
    <w:div w:id="978654697">
      <w:bodyDiv w:val="1"/>
      <w:marLeft w:val="0"/>
      <w:marRight w:val="0"/>
      <w:marTop w:val="0"/>
      <w:marBottom w:val="0"/>
      <w:divBdr>
        <w:top w:val="none" w:sz="0" w:space="0" w:color="auto"/>
        <w:left w:val="none" w:sz="0" w:space="0" w:color="auto"/>
        <w:bottom w:val="none" w:sz="0" w:space="0" w:color="auto"/>
        <w:right w:val="none" w:sz="0" w:space="0" w:color="auto"/>
      </w:divBdr>
    </w:div>
    <w:div w:id="988364114">
      <w:bodyDiv w:val="1"/>
      <w:marLeft w:val="0"/>
      <w:marRight w:val="0"/>
      <w:marTop w:val="0"/>
      <w:marBottom w:val="0"/>
      <w:divBdr>
        <w:top w:val="none" w:sz="0" w:space="0" w:color="auto"/>
        <w:left w:val="none" w:sz="0" w:space="0" w:color="auto"/>
        <w:bottom w:val="none" w:sz="0" w:space="0" w:color="auto"/>
        <w:right w:val="none" w:sz="0" w:space="0" w:color="auto"/>
      </w:divBdr>
    </w:div>
    <w:div w:id="999621131">
      <w:bodyDiv w:val="1"/>
      <w:marLeft w:val="0"/>
      <w:marRight w:val="0"/>
      <w:marTop w:val="0"/>
      <w:marBottom w:val="0"/>
      <w:divBdr>
        <w:top w:val="none" w:sz="0" w:space="0" w:color="auto"/>
        <w:left w:val="none" w:sz="0" w:space="0" w:color="auto"/>
        <w:bottom w:val="none" w:sz="0" w:space="0" w:color="auto"/>
        <w:right w:val="none" w:sz="0" w:space="0" w:color="auto"/>
      </w:divBdr>
    </w:div>
    <w:div w:id="1010370624">
      <w:bodyDiv w:val="1"/>
      <w:marLeft w:val="0"/>
      <w:marRight w:val="0"/>
      <w:marTop w:val="0"/>
      <w:marBottom w:val="0"/>
      <w:divBdr>
        <w:top w:val="none" w:sz="0" w:space="0" w:color="auto"/>
        <w:left w:val="none" w:sz="0" w:space="0" w:color="auto"/>
        <w:bottom w:val="none" w:sz="0" w:space="0" w:color="auto"/>
        <w:right w:val="none" w:sz="0" w:space="0" w:color="auto"/>
      </w:divBdr>
    </w:div>
    <w:div w:id="1012730603">
      <w:bodyDiv w:val="1"/>
      <w:marLeft w:val="0"/>
      <w:marRight w:val="0"/>
      <w:marTop w:val="0"/>
      <w:marBottom w:val="0"/>
      <w:divBdr>
        <w:top w:val="none" w:sz="0" w:space="0" w:color="auto"/>
        <w:left w:val="none" w:sz="0" w:space="0" w:color="auto"/>
        <w:bottom w:val="none" w:sz="0" w:space="0" w:color="auto"/>
        <w:right w:val="none" w:sz="0" w:space="0" w:color="auto"/>
      </w:divBdr>
    </w:div>
    <w:div w:id="1015959016">
      <w:bodyDiv w:val="1"/>
      <w:marLeft w:val="0"/>
      <w:marRight w:val="0"/>
      <w:marTop w:val="0"/>
      <w:marBottom w:val="0"/>
      <w:divBdr>
        <w:top w:val="none" w:sz="0" w:space="0" w:color="auto"/>
        <w:left w:val="none" w:sz="0" w:space="0" w:color="auto"/>
        <w:bottom w:val="none" w:sz="0" w:space="0" w:color="auto"/>
        <w:right w:val="none" w:sz="0" w:space="0" w:color="auto"/>
      </w:divBdr>
    </w:div>
    <w:div w:id="1017200486">
      <w:bodyDiv w:val="1"/>
      <w:marLeft w:val="0"/>
      <w:marRight w:val="0"/>
      <w:marTop w:val="0"/>
      <w:marBottom w:val="0"/>
      <w:divBdr>
        <w:top w:val="none" w:sz="0" w:space="0" w:color="auto"/>
        <w:left w:val="none" w:sz="0" w:space="0" w:color="auto"/>
        <w:bottom w:val="none" w:sz="0" w:space="0" w:color="auto"/>
        <w:right w:val="none" w:sz="0" w:space="0" w:color="auto"/>
      </w:divBdr>
    </w:div>
    <w:div w:id="1018196204">
      <w:bodyDiv w:val="1"/>
      <w:marLeft w:val="0"/>
      <w:marRight w:val="0"/>
      <w:marTop w:val="0"/>
      <w:marBottom w:val="0"/>
      <w:divBdr>
        <w:top w:val="none" w:sz="0" w:space="0" w:color="auto"/>
        <w:left w:val="none" w:sz="0" w:space="0" w:color="auto"/>
        <w:bottom w:val="none" w:sz="0" w:space="0" w:color="auto"/>
        <w:right w:val="none" w:sz="0" w:space="0" w:color="auto"/>
      </w:divBdr>
    </w:div>
    <w:div w:id="1024743449">
      <w:bodyDiv w:val="1"/>
      <w:marLeft w:val="0"/>
      <w:marRight w:val="0"/>
      <w:marTop w:val="0"/>
      <w:marBottom w:val="0"/>
      <w:divBdr>
        <w:top w:val="none" w:sz="0" w:space="0" w:color="auto"/>
        <w:left w:val="none" w:sz="0" w:space="0" w:color="auto"/>
        <w:bottom w:val="none" w:sz="0" w:space="0" w:color="auto"/>
        <w:right w:val="none" w:sz="0" w:space="0" w:color="auto"/>
      </w:divBdr>
      <w:divsChild>
        <w:div w:id="813957518">
          <w:marLeft w:val="0"/>
          <w:marRight w:val="0"/>
          <w:marTop w:val="0"/>
          <w:marBottom w:val="0"/>
          <w:divBdr>
            <w:top w:val="none" w:sz="0" w:space="0" w:color="auto"/>
            <w:left w:val="none" w:sz="0" w:space="0" w:color="auto"/>
            <w:bottom w:val="none" w:sz="0" w:space="0" w:color="auto"/>
            <w:right w:val="none" w:sz="0" w:space="0" w:color="auto"/>
          </w:divBdr>
          <w:divsChild>
            <w:div w:id="1738287026">
              <w:marLeft w:val="0"/>
              <w:marRight w:val="0"/>
              <w:marTop w:val="0"/>
              <w:marBottom w:val="0"/>
              <w:divBdr>
                <w:top w:val="none" w:sz="0" w:space="0" w:color="auto"/>
                <w:left w:val="none" w:sz="0" w:space="0" w:color="auto"/>
                <w:bottom w:val="none" w:sz="0" w:space="0" w:color="auto"/>
                <w:right w:val="none" w:sz="0" w:space="0" w:color="auto"/>
              </w:divBdr>
              <w:divsChild>
                <w:div w:id="1644658112">
                  <w:marLeft w:val="0"/>
                  <w:marRight w:val="0"/>
                  <w:marTop w:val="0"/>
                  <w:marBottom w:val="0"/>
                  <w:divBdr>
                    <w:top w:val="none" w:sz="0" w:space="0" w:color="auto"/>
                    <w:left w:val="none" w:sz="0" w:space="0" w:color="auto"/>
                    <w:bottom w:val="none" w:sz="0" w:space="0" w:color="auto"/>
                    <w:right w:val="none" w:sz="0" w:space="0" w:color="auto"/>
                  </w:divBdr>
                  <w:divsChild>
                    <w:div w:id="1066344673">
                      <w:marLeft w:val="0"/>
                      <w:marRight w:val="0"/>
                      <w:marTop w:val="0"/>
                      <w:marBottom w:val="0"/>
                      <w:divBdr>
                        <w:top w:val="none" w:sz="0" w:space="0" w:color="auto"/>
                        <w:left w:val="none" w:sz="0" w:space="0" w:color="auto"/>
                        <w:bottom w:val="none" w:sz="0" w:space="0" w:color="auto"/>
                        <w:right w:val="none" w:sz="0" w:space="0" w:color="auto"/>
                      </w:divBdr>
                      <w:divsChild>
                        <w:div w:id="1967201233">
                          <w:marLeft w:val="0"/>
                          <w:marRight w:val="0"/>
                          <w:marTop w:val="0"/>
                          <w:marBottom w:val="0"/>
                          <w:divBdr>
                            <w:top w:val="none" w:sz="0" w:space="0" w:color="auto"/>
                            <w:left w:val="none" w:sz="0" w:space="0" w:color="auto"/>
                            <w:bottom w:val="none" w:sz="0" w:space="0" w:color="auto"/>
                            <w:right w:val="none" w:sz="0" w:space="0" w:color="auto"/>
                          </w:divBdr>
                          <w:divsChild>
                            <w:div w:id="975648711">
                              <w:marLeft w:val="0"/>
                              <w:marRight w:val="0"/>
                              <w:marTop w:val="0"/>
                              <w:marBottom w:val="0"/>
                              <w:divBdr>
                                <w:top w:val="none" w:sz="0" w:space="0" w:color="auto"/>
                                <w:left w:val="none" w:sz="0" w:space="0" w:color="auto"/>
                                <w:bottom w:val="none" w:sz="0" w:space="0" w:color="auto"/>
                                <w:right w:val="none" w:sz="0" w:space="0" w:color="auto"/>
                              </w:divBdr>
                              <w:divsChild>
                                <w:div w:id="222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6347">
                          <w:marLeft w:val="0"/>
                          <w:marRight w:val="0"/>
                          <w:marTop w:val="0"/>
                          <w:marBottom w:val="0"/>
                          <w:divBdr>
                            <w:top w:val="none" w:sz="0" w:space="0" w:color="auto"/>
                            <w:left w:val="none" w:sz="0" w:space="0" w:color="auto"/>
                            <w:bottom w:val="none" w:sz="0" w:space="0" w:color="auto"/>
                            <w:right w:val="none" w:sz="0" w:space="0" w:color="auto"/>
                          </w:divBdr>
                          <w:divsChild>
                            <w:div w:id="1672680660">
                              <w:marLeft w:val="0"/>
                              <w:marRight w:val="0"/>
                              <w:marTop w:val="0"/>
                              <w:marBottom w:val="0"/>
                              <w:divBdr>
                                <w:top w:val="none" w:sz="0" w:space="0" w:color="auto"/>
                                <w:left w:val="none" w:sz="0" w:space="0" w:color="auto"/>
                                <w:bottom w:val="none" w:sz="0" w:space="0" w:color="auto"/>
                                <w:right w:val="none" w:sz="0" w:space="0" w:color="auto"/>
                              </w:divBdr>
                              <w:divsChild>
                                <w:div w:id="740249621">
                                  <w:marLeft w:val="0"/>
                                  <w:marRight w:val="0"/>
                                  <w:marTop w:val="0"/>
                                  <w:marBottom w:val="0"/>
                                  <w:divBdr>
                                    <w:top w:val="none" w:sz="0" w:space="0" w:color="auto"/>
                                    <w:left w:val="none" w:sz="0" w:space="0" w:color="auto"/>
                                    <w:bottom w:val="none" w:sz="0" w:space="0" w:color="auto"/>
                                    <w:right w:val="none" w:sz="0" w:space="0" w:color="auto"/>
                                  </w:divBdr>
                                  <w:divsChild>
                                    <w:div w:id="10687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86528">
              <w:marLeft w:val="0"/>
              <w:marRight w:val="0"/>
              <w:marTop w:val="0"/>
              <w:marBottom w:val="0"/>
              <w:divBdr>
                <w:top w:val="none" w:sz="0" w:space="0" w:color="auto"/>
                <w:left w:val="none" w:sz="0" w:space="0" w:color="auto"/>
                <w:bottom w:val="none" w:sz="0" w:space="0" w:color="auto"/>
                <w:right w:val="none" w:sz="0" w:space="0" w:color="auto"/>
              </w:divBdr>
              <w:divsChild>
                <w:div w:id="608925842">
                  <w:marLeft w:val="0"/>
                  <w:marRight w:val="0"/>
                  <w:marTop w:val="0"/>
                  <w:marBottom w:val="0"/>
                  <w:divBdr>
                    <w:top w:val="none" w:sz="0" w:space="0" w:color="auto"/>
                    <w:left w:val="none" w:sz="0" w:space="0" w:color="auto"/>
                    <w:bottom w:val="none" w:sz="0" w:space="0" w:color="auto"/>
                    <w:right w:val="none" w:sz="0" w:space="0" w:color="auto"/>
                  </w:divBdr>
                  <w:divsChild>
                    <w:div w:id="19209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5186">
      <w:bodyDiv w:val="1"/>
      <w:marLeft w:val="0"/>
      <w:marRight w:val="0"/>
      <w:marTop w:val="0"/>
      <w:marBottom w:val="0"/>
      <w:divBdr>
        <w:top w:val="none" w:sz="0" w:space="0" w:color="auto"/>
        <w:left w:val="none" w:sz="0" w:space="0" w:color="auto"/>
        <w:bottom w:val="none" w:sz="0" w:space="0" w:color="auto"/>
        <w:right w:val="none" w:sz="0" w:space="0" w:color="auto"/>
      </w:divBdr>
    </w:div>
    <w:div w:id="1037655955">
      <w:bodyDiv w:val="1"/>
      <w:marLeft w:val="0"/>
      <w:marRight w:val="0"/>
      <w:marTop w:val="0"/>
      <w:marBottom w:val="0"/>
      <w:divBdr>
        <w:top w:val="none" w:sz="0" w:space="0" w:color="auto"/>
        <w:left w:val="none" w:sz="0" w:space="0" w:color="auto"/>
        <w:bottom w:val="none" w:sz="0" w:space="0" w:color="auto"/>
        <w:right w:val="none" w:sz="0" w:space="0" w:color="auto"/>
      </w:divBdr>
    </w:div>
    <w:div w:id="1038242029">
      <w:bodyDiv w:val="1"/>
      <w:marLeft w:val="0"/>
      <w:marRight w:val="0"/>
      <w:marTop w:val="0"/>
      <w:marBottom w:val="0"/>
      <w:divBdr>
        <w:top w:val="none" w:sz="0" w:space="0" w:color="auto"/>
        <w:left w:val="none" w:sz="0" w:space="0" w:color="auto"/>
        <w:bottom w:val="none" w:sz="0" w:space="0" w:color="auto"/>
        <w:right w:val="none" w:sz="0" w:space="0" w:color="auto"/>
      </w:divBdr>
    </w:div>
    <w:div w:id="1042751968">
      <w:bodyDiv w:val="1"/>
      <w:marLeft w:val="0"/>
      <w:marRight w:val="0"/>
      <w:marTop w:val="0"/>
      <w:marBottom w:val="0"/>
      <w:divBdr>
        <w:top w:val="none" w:sz="0" w:space="0" w:color="auto"/>
        <w:left w:val="none" w:sz="0" w:space="0" w:color="auto"/>
        <w:bottom w:val="none" w:sz="0" w:space="0" w:color="auto"/>
        <w:right w:val="none" w:sz="0" w:space="0" w:color="auto"/>
      </w:divBdr>
    </w:div>
    <w:div w:id="1047795277">
      <w:bodyDiv w:val="1"/>
      <w:marLeft w:val="0"/>
      <w:marRight w:val="0"/>
      <w:marTop w:val="0"/>
      <w:marBottom w:val="0"/>
      <w:divBdr>
        <w:top w:val="none" w:sz="0" w:space="0" w:color="auto"/>
        <w:left w:val="none" w:sz="0" w:space="0" w:color="auto"/>
        <w:bottom w:val="none" w:sz="0" w:space="0" w:color="auto"/>
        <w:right w:val="none" w:sz="0" w:space="0" w:color="auto"/>
      </w:divBdr>
    </w:div>
    <w:div w:id="1053580535">
      <w:bodyDiv w:val="1"/>
      <w:marLeft w:val="0"/>
      <w:marRight w:val="0"/>
      <w:marTop w:val="0"/>
      <w:marBottom w:val="0"/>
      <w:divBdr>
        <w:top w:val="none" w:sz="0" w:space="0" w:color="auto"/>
        <w:left w:val="none" w:sz="0" w:space="0" w:color="auto"/>
        <w:bottom w:val="none" w:sz="0" w:space="0" w:color="auto"/>
        <w:right w:val="none" w:sz="0" w:space="0" w:color="auto"/>
      </w:divBdr>
    </w:div>
    <w:div w:id="1059671566">
      <w:bodyDiv w:val="1"/>
      <w:marLeft w:val="0"/>
      <w:marRight w:val="0"/>
      <w:marTop w:val="0"/>
      <w:marBottom w:val="0"/>
      <w:divBdr>
        <w:top w:val="none" w:sz="0" w:space="0" w:color="auto"/>
        <w:left w:val="none" w:sz="0" w:space="0" w:color="auto"/>
        <w:bottom w:val="none" w:sz="0" w:space="0" w:color="auto"/>
        <w:right w:val="none" w:sz="0" w:space="0" w:color="auto"/>
      </w:divBdr>
      <w:divsChild>
        <w:div w:id="987704845">
          <w:marLeft w:val="0"/>
          <w:marRight w:val="0"/>
          <w:marTop w:val="0"/>
          <w:marBottom w:val="0"/>
          <w:divBdr>
            <w:top w:val="none" w:sz="0" w:space="0" w:color="auto"/>
            <w:left w:val="none" w:sz="0" w:space="0" w:color="auto"/>
            <w:bottom w:val="none" w:sz="0" w:space="0" w:color="auto"/>
            <w:right w:val="none" w:sz="0" w:space="0" w:color="auto"/>
          </w:divBdr>
          <w:divsChild>
            <w:div w:id="188615689">
              <w:marLeft w:val="0"/>
              <w:marRight w:val="0"/>
              <w:marTop w:val="0"/>
              <w:marBottom w:val="0"/>
              <w:divBdr>
                <w:top w:val="none" w:sz="0" w:space="0" w:color="auto"/>
                <w:left w:val="none" w:sz="0" w:space="0" w:color="auto"/>
                <w:bottom w:val="none" w:sz="0" w:space="0" w:color="auto"/>
                <w:right w:val="none" w:sz="0" w:space="0" w:color="auto"/>
              </w:divBdr>
            </w:div>
          </w:divsChild>
        </w:div>
        <w:div w:id="1793671529">
          <w:marLeft w:val="0"/>
          <w:marRight w:val="0"/>
          <w:marTop w:val="0"/>
          <w:marBottom w:val="0"/>
          <w:divBdr>
            <w:top w:val="none" w:sz="0" w:space="0" w:color="auto"/>
            <w:left w:val="none" w:sz="0" w:space="0" w:color="auto"/>
            <w:bottom w:val="none" w:sz="0" w:space="0" w:color="auto"/>
            <w:right w:val="none" w:sz="0" w:space="0" w:color="auto"/>
          </w:divBdr>
          <w:divsChild>
            <w:div w:id="936794264">
              <w:marLeft w:val="0"/>
              <w:marRight w:val="0"/>
              <w:marTop w:val="0"/>
              <w:marBottom w:val="0"/>
              <w:divBdr>
                <w:top w:val="none" w:sz="0" w:space="0" w:color="auto"/>
                <w:left w:val="none" w:sz="0" w:space="0" w:color="auto"/>
                <w:bottom w:val="none" w:sz="0" w:space="0" w:color="auto"/>
                <w:right w:val="none" w:sz="0" w:space="0" w:color="auto"/>
              </w:divBdr>
            </w:div>
          </w:divsChild>
        </w:div>
        <w:div w:id="193078932">
          <w:marLeft w:val="0"/>
          <w:marRight w:val="0"/>
          <w:marTop w:val="0"/>
          <w:marBottom w:val="0"/>
          <w:divBdr>
            <w:top w:val="none" w:sz="0" w:space="0" w:color="auto"/>
            <w:left w:val="none" w:sz="0" w:space="0" w:color="auto"/>
            <w:bottom w:val="none" w:sz="0" w:space="0" w:color="auto"/>
            <w:right w:val="none" w:sz="0" w:space="0" w:color="auto"/>
          </w:divBdr>
          <w:divsChild>
            <w:div w:id="60103889">
              <w:marLeft w:val="0"/>
              <w:marRight w:val="0"/>
              <w:marTop w:val="0"/>
              <w:marBottom w:val="0"/>
              <w:divBdr>
                <w:top w:val="none" w:sz="0" w:space="0" w:color="auto"/>
                <w:left w:val="none" w:sz="0" w:space="0" w:color="auto"/>
                <w:bottom w:val="none" w:sz="0" w:space="0" w:color="auto"/>
                <w:right w:val="none" w:sz="0" w:space="0" w:color="auto"/>
              </w:divBdr>
            </w:div>
          </w:divsChild>
        </w:div>
        <w:div w:id="1507667870">
          <w:marLeft w:val="0"/>
          <w:marRight w:val="0"/>
          <w:marTop w:val="0"/>
          <w:marBottom w:val="0"/>
          <w:divBdr>
            <w:top w:val="none" w:sz="0" w:space="0" w:color="auto"/>
            <w:left w:val="none" w:sz="0" w:space="0" w:color="auto"/>
            <w:bottom w:val="none" w:sz="0" w:space="0" w:color="auto"/>
            <w:right w:val="none" w:sz="0" w:space="0" w:color="auto"/>
          </w:divBdr>
          <w:divsChild>
            <w:div w:id="103765544">
              <w:marLeft w:val="0"/>
              <w:marRight w:val="0"/>
              <w:marTop w:val="0"/>
              <w:marBottom w:val="0"/>
              <w:divBdr>
                <w:top w:val="none" w:sz="0" w:space="0" w:color="auto"/>
                <w:left w:val="none" w:sz="0" w:space="0" w:color="auto"/>
                <w:bottom w:val="none" w:sz="0" w:space="0" w:color="auto"/>
                <w:right w:val="none" w:sz="0" w:space="0" w:color="auto"/>
              </w:divBdr>
            </w:div>
          </w:divsChild>
        </w:div>
        <w:div w:id="1767653878">
          <w:marLeft w:val="0"/>
          <w:marRight w:val="0"/>
          <w:marTop w:val="0"/>
          <w:marBottom w:val="0"/>
          <w:divBdr>
            <w:top w:val="none" w:sz="0" w:space="0" w:color="auto"/>
            <w:left w:val="none" w:sz="0" w:space="0" w:color="auto"/>
            <w:bottom w:val="none" w:sz="0" w:space="0" w:color="auto"/>
            <w:right w:val="none" w:sz="0" w:space="0" w:color="auto"/>
          </w:divBdr>
          <w:divsChild>
            <w:div w:id="1620606160">
              <w:marLeft w:val="0"/>
              <w:marRight w:val="0"/>
              <w:marTop w:val="0"/>
              <w:marBottom w:val="0"/>
              <w:divBdr>
                <w:top w:val="none" w:sz="0" w:space="0" w:color="auto"/>
                <w:left w:val="none" w:sz="0" w:space="0" w:color="auto"/>
                <w:bottom w:val="none" w:sz="0" w:space="0" w:color="auto"/>
                <w:right w:val="none" w:sz="0" w:space="0" w:color="auto"/>
              </w:divBdr>
            </w:div>
          </w:divsChild>
        </w:div>
        <w:div w:id="642588179">
          <w:marLeft w:val="0"/>
          <w:marRight w:val="0"/>
          <w:marTop w:val="0"/>
          <w:marBottom w:val="0"/>
          <w:divBdr>
            <w:top w:val="none" w:sz="0" w:space="0" w:color="auto"/>
            <w:left w:val="none" w:sz="0" w:space="0" w:color="auto"/>
            <w:bottom w:val="none" w:sz="0" w:space="0" w:color="auto"/>
            <w:right w:val="none" w:sz="0" w:space="0" w:color="auto"/>
          </w:divBdr>
          <w:divsChild>
            <w:div w:id="4243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298">
      <w:bodyDiv w:val="1"/>
      <w:marLeft w:val="0"/>
      <w:marRight w:val="0"/>
      <w:marTop w:val="0"/>
      <w:marBottom w:val="0"/>
      <w:divBdr>
        <w:top w:val="none" w:sz="0" w:space="0" w:color="auto"/>
        <w:left w:val="none" w:sz="0" w:space="0" w:color="auto"/>
        <w:bottom w:val="none" w:sz="0" w:space="0" w:color="auto"/>
        <w:right w:val="none" w:sz="0" w:space="0" w:color="auto"/>
      </w:divBdr>
    </w:div>
    <w:div w:id="1086995775">
      <w:bodyDiv w:val="1"/>
      <w:marLeft w:val="0"/>
      <w:marRight w:val="0"/>
      <w:marTop w:val="0"/>
      <w:marBottom w:val="0"/>
      <w:divBdr>
        <w:top w:val="none" w:sz="0" w:space="0" w:color="auto"/>
        <w:left w:val="none" w:sz="0" w:space="0" w:color="auto"/>
        <w:bottom w:val="none" w:sz="0" w:space="0" w:color="auto"/>
        <w:right w:val="none" w:sz="0" w:space="0" w:color="auto"/>
      </w:divBdr>
    </w:div>
    <w:div w:id="1088697544">
      <w:bodyDiv w:val="1"/>
      <w:marLeft w:val="0"/>
      <w:marRight w:val="0"/>
      <w:marTop w:val="0"/>
      <w:marBottom w:val="0"/>
      <w:divBdr>
        <w:top w:val="none" w:sz="0" w:space="0" w:color="auto"/>
        <w:left w:val="none" w:sz="0" w:space="0" w:color="auto"/>
        <w:bottom w:val="none" w:sz="0" w:space="0" w:color="auto"/>
        <w:right w:val="none" w:sz="0" w:space="0" w:color="auto"/>
      </w:divBdr>
      <w:divsChild>
        <w:div w:id="2032486793">
          <w:marLeft w:val="0"/>
          <w:marRight w:val="0"/>
          <w:marTop w:val="0"/>
          <w:marBottom w:val="0"/>
          <w:divBdr>
            <w:top w:val="none" w:sz="0" w:space="0" w:color="auto"/>
            <w:left w:val="none" w:sz="0" w:space="0" w:color="auto"/>
            <w:bottom w:val="none" w:sz="0" w:space="0" w:color="auto"/>
            <w:right w:val="none" w:sz="0" w:space="0" w:color="auto"/>
          </w:divBdr>
          <w:divsChild>
            <w:div w:id="1945727344">
              <w:marLeft w:val="0"/>
              <w:marRight w:val="0"/>
              <w:marTop w:val="0"/>
              <w:marBottom w:val="0"/>
              <w:divBdr>
                <w:top w:val="none" w:sz="0" w:space="0" w:color="auto"/>
                <w:left w:val="none" w:sz="0" w:space="0" w:color="auto"/>
                <w:bottom w:val="none" w:sz="0" w:space="0" w:color="auto"/>
                <w:right w:val="none" w:sz="0" w:space="0" w:color="auto"/>
              </w:divBdr>
            </w:div>
          </w:divsChild>
        </w:div>
        <w:div w:id="1818296906">
          <w:marLeft w:val="0"/>
          <w:marRight w:val="0"/>
          <w:marTop w:val="0"/>
          <w:marBottom w:val="0"/>
          <w:divBdr>
            <w:top w:val="none" w:sz="0" w:space="0" w:color="auto"/>
            <w:left w:val="none" w:sz="0" w:space="0" w:color="auto"/>
            <w:bottom w:val="none" w:sz="0" w:space="0" w:color="auto"/>
            <w:right w:val="none" w:sz="0" w:space="0" w:color="auto"/>
          </w:divBdr>
          <w:divsChild>
            <w:div w:id="957418840">
              <w:marLeft w:val="0"/>
              <w:marRight w:val="0"/>
              <w:marTop w:val="0"/>
              <w:marBottom w:val="0"/>
              <w:divBdr>
                <w:top w:val="none" w:sz="0" w:space="0" w:color="auto"/>
                <w:left w:val="none" w:sz="0" w:space="0" w:color="auto"/>
                <w:bottom w:val="none" w:sz="0" w:space="0" w:color="auto"/>
                <w:right w:val="none" w:sz="0" w:space="0" w:color="auto"/>
              </w:divBdr>
            </w:div>
          </w:divsChild>
        </w:div>
        <w:div w:id="728260726">
          <w:marLeft w:val="0"/>
          <w:marRight w:val="0"/>
          <w:marTop w:val="0"/>
          <w:marBottom w:val="0"/>
          <w:divBdr>
            <w:top w:val="none" w:sz="0" w:space="0" w:color="auto"/>
            <w:left w:val="none" w:sz="0" w:space="0" w:color="auto"/>
            <w:bottom w:val="none" w:sz="0" w:space="0" w:color="auto"/>
            <w:right w:val="none" w:sz="0" w:space="0" w:color="auto"/>
          </w:divBdr>
          <w:divsChild>
            <w:div w:id="1686443838">
              <w:marLeft w:val="0"/>
              <w:marRight w:val="0"/>
              <w:marTop w:val="0"/>
              <w:marBottom w:val="0"/>
              <w:divBdr>
                <w:top w:val="none" w:sz="0" w:space="0" w:color="auto"/>
                <w:left w:val="none" w:sz="0" w:space="0" w:color="auto"/>
                <w:bottom w:val="none" w:sz="0" w:space="0" w:color="auto"/>
                <w:right w:val="none" w:sz="0" w:space="0" w:color="auto"/>
              </w:divBdr>
            </w:div>
          </w:divsChild>
        </w:div>
        <w:div w:id="445739985">
          <w:marLeft w:val="0"/>
          <w:marRight w:val="0"/>
          <w:marTop w:val="0"/>
          <w:marBottom w:val="0"/>
          <w:divBdr>
            <w:top w:val="none" w:sz="0" w:space="0" w:color="auto"/>
            <w:left w:val="none" w:sz="0" w:space="0" w:color="auto"/>
            <w:bottom w:val="none" w:sz="0" w:space="0" w:color="auto"/>
            <w:right w:val="none" w:sz="0" w:space="0" w:color="auto"/>
          </w:divBdr>
          <w:divsChild>
            <w:div w:id="64424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6453">
      <w:bodyDiv w:val="1"/>
      <w:marLeft w:val="0"/>
      <w:marRight w:val="0"/>
      <w:marTop w:val="0"/>
      <w:marBottom w:val="0"/>
      <w:divBdr>
        <w:top w:val="none" w:sz="0" w:space="0" w:color="auto"/>
        <w:left w:val="none" w:sz="0" w:space="0" w:color="auto"/>
        <w:bottom w:val="none" w:sz="0" w:space="0" w:color="auto"/>
        <w:right w:val="none" w:sz="0" w:space="0" w:color="auto"/>
      </w:divBdr>
    </w:div>
    <w:div w:id="1097947683">
      <w:bodyDiv w:val="1"/>
      <w:marLeft w:val="0"/>
      <w:marRight w:val="0"/>
      <w:marTop w:val="0"/>
      <w:marBottom w:val="0"/>
      <w:divBdr>
        <w:top w:val="none" w:sz="0" w:space="0" w:color="auto"/>
        <w:left w:val="none" w:sz="0" w:space="0" w:color="auto"/>
        <w:bottom w:val="none" w:sz="0" w:space="0" w:color="auto"/>
        <w:right w:val="none" w:sz="0" w:space="0" w:color="auto"/>
      </w:divBdr>
      <w:divsChild>
        <w:div w:id="1157963435">
          <w:blockQuote w:val="1"/>
          <w:marLeft w:val="720"/>
          <w:marRight w:val="720"/>
          <w:marTop w:val="100"/>
          <w:marBottom w:val="100"/>
          <w:divBdr>
            <w:top w:val="none" w:sz="0" w:space="0" w:color="auto"/>
            <w:left w:val="none" w:sz="0" w:space="0" w:color="auto"/>
            <w:bottom w:val="none" w:sz="0" w:space="0" w:color="auto"/>
            <w:right w:val="none" w:sz="0" w:space="0" w:color="auto"/>
          </w:divBdr>
        </w:div>
        <w:div w:id="275021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677876">
          <w:blockQuote w:val="1"/>
          <w:marLeft w:val="720"/>
          <w:marRight w:val="720"/>
          <w:marTop w:val="100"/>
          <w:marBottom w:val="100"/>
          <w:divBdr>
            <w:top w:val="none" w:sz="0" w:space="0" w:color="auto"/>
            <w:left w:val="none" w:sz="0" w:space="0" w:color="auto"/>
            <w:bottom w:val="none" w:sz="0" w:space="0" w:color="auto"/>
            <w:right w:val="none" w:sz="0" w:space="0" w:color="auto"/>
          </w:divBdr>
        </w:div>
        <w:div w:id="49638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155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512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8966896">
      <w:bodyDiv w:val="1"/>
      <w:marLeft w:val="0"/>
      <w:marRight w:val="0"/>
      <w:marTop w:val="0"/>
      <w:marBottom w:val="0"/>
      <w:divBdr>
        <w:top w:val="none" w:sz="0" w:space="0" w:color="auto"/>
        <w:left w:val="none" w:sz="0" w:space="0" w:color="auto"/>
        <w:bottom w:val="none" w:sz="0" w:space="0" w:color="auto"/>
        <w:right w:val="none" w:sz="0" w:space="0" w:color="auto"/>
      </w:divBdr>
    </w:div>
    <w:div w:id="1111317689">
      <w:bodyDiv w:val="1"/>
      <w:marLeft w:val="0"/>
      <w:marRight w:val="0"/>
      <w:marTop w:val="0"/>
      <w:marBottom w:val="0"/>
      <w:divBdr>
        <w:top w:val="none" w:sz="0" w:space="0" w:color="auto"/>
        <w:left w:val="none" w:sz="0" w:space="0" w:color="auto"/>
        <w:bottom w:val="none" w:sz="0" w:space="0" w:color="auto"/>
        <w:right w:val="none" w:sz="0" w:space="0" w:color="auto"/>
      </w:divBdr>
    </w:div>
    <w:div w:id="1112095430">
      <w:bodyDiv w:val="1"/>
      <w:marLeft w:val="0"/>
      <w:marRight w:val="0"/>
      <w:marTop w:val="0"/>
      <w:marBottom w:val="0"/>
      <w:divBdr>
        <w:top w:val="none" w:sz="0" w:space="0" w:color="auto"/>
        <w:left w:val="none" w:sz="0" w:space="0" w:color="auto"/>
        <w:bottom w:val="none" w:sz="0" w:space="0" w:color="auto"/>
        <w:right w:val="none" w:sz="0" w:space="0" w:color="auto"/>
      </w:divBdr>
    </w:div>
    <w:div w:id="1129055571">
      <w:bodyDiv w:val="1"/>
      <w:marLeft w:val="0"/>
      <w:marRight w:val="0"/>
      <w:marTop w:val="0"/>
      <w:marBottom w:val="0"/>
      <w:divBdr>
        <w:top w:val="none" w:sz="0" w:space="0" w:color="auto"/>
        <w:left w:val="none" w:sz="0" w:space="0" w:color="auto"/>
        <w:bottom w:val="none" w:sz="0" w:space="0" w:color="auto"/>
        <w:right w:val="none" w:sz="0" w:space="0" w:color="auto"/>
      </w:divBdr>
    </w:div>
    <w:div w:id="1135835104">
      <w:bodyDiv w:val="1"/>
      <w:marLeft w:val="0"/>
      <w:marRight w:val="0"/>
      <w:marTop w:val="0"/>
      <w:marBottom w:val="0"/>
      <w:divBdr>
        <w:top w:val="none" w:sz="0" w:space="0" w:color="auto"/>
        <w:left w:val="none" w:sz="0" w:space="0" w:color="auto"/>
        <w:bottom w:val="none" w:sz="0" w:space="0" w:color="auto"/>
        <w:right w:val="none" w:sz="0" w:space="0" w:color="auto"/>
      </w:divBdr>
    </w:div>
    <w:div w:id="1139571542">
      <w:bodyDiv w:val="1"/>
      <w:marLeft w:val="0"/>
      <w:marRight w:val="0"/>
      <w:marTop w:val="0"/>
      <w:marBottom w:val="0"/>
      <w:divBdr>
        <w:top w:val="none" w:sz="0" w:space="0" w:color="auto"/>
        <w:left w:val="none" w:sz="0" w:space="0" w:color="auto"/>
        <w:bottom w:val="none" w:sz="0" w:space="0" w:color="auto"/>
        <w:right w:val="none" w:sz="0" w:space="0" w:color="auto"/>
      </w:divBdr>
    </w:div>
    <w:div w:id="1139809154">
      <w:bodyDiv w:val="1"/>
      <w:marLeft w:val="0"/>
      <w:marRight w:val="0"/>
      <w:marTop w:val="0"/>
      <w:marBottom w:val="0"/>
      <w:divBdr>
        <w:top w:val="none" w:sz="0" w:space="0" w:color="auto"/>
        <w:left w:val="none" w:sz="0" w:space="0" w:color="auto"/>
        <w:bottom w:val="none" w:sz="0" w:space="0" w:color="auto"/>
        <w:right w:val="none" w:sz="0" w:space="0" w:color="auto"/>
      </w:divBdr>
    </w:div>
    <w:div w:id="1147090437">
      <w:bodyDiv w:val="1"/>
      <w:marLeft w:val="0"/>
      <w:marRight w:val="0"/>
      <w:marTop w:val="0"/>
      <w:marBottom w:val="0"/>
      <w:divBdr>
        <w:top w:val="none" w:sz="0" w:space="0" w:color="auto"/>
        <w:left w:val="none" w:sz="0" w:space="0" w:color="auto"/>
        <w:bottom w:val="none" w:sz="0" w:space="0" w:color="auto"/>
        <w:right w:val="none" w:sz="0" w:space="0" w:color="auto"/>
      </w:divBdr>
    </w:div>
    <w:div w:id="1152674898">
      <w:bodyDiv w:val="1"/>
      <w:marLeft w:val="0"/>
      <w:marRight w:val="0"/>
      <w:marTop w:val="0"/>
      <w:marBottom w:val="0"/>
      <w:divBdr>
        <w:top w:val="none" w:sz="0" w:space="0" w:color="auto"/>
        <w:left w:val="none" w:sz="0" w:space="0" w:color="auto"/>
        <w:bottom w:val="none" w:sz="0" w:space="0" w:color="auto"/>
        <w:right w:val="none" w:sz="0" w:space="0" w:color="auto"/>
      </w:divBdr>
    </w:div>
    <w:div w:id="1160341161">
      <w:bodyDiv w:val="1"/>
      <w:marLeft w:val="0"/>
      <w:marRight w:val="0"/>
      <w:marTop w:val="0"/>
      <w:marBottom w:val="0"/>
      <w:divBdr>
        <w:top w:val="none" w:sz="0" w:space="0" w:color="auto"/>
        <w:left w:val="none" w:sz="0" w:space="0" w:color="auto"/>
        <w:bottom w:val="none" w:sz="0" w:space="0" w:color="auto"/>
        <w:right w:val="none" w:sz="0" w:space="0" w:color="auto"/>
      </w:divBdr>
      <w:divsChild>
        <w:div w:id="9463482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802988">
          <w:blockQuote w:val="1"/>
          <w:marLeft w:val="720"/>
          <w:marRight w:val="720"/>
          <w:marTop w:val="100"/>
          <w:marBottom w:val="100"/>
          <w:divBdr>
            <w:top w:val="none" w:sz="0" w:space="0" w:color="auto"/>
            <w:left w:val="none" w:sz="0" w:space="0" w:color="auto"/>
            <w:bottom w:val="none" w:sz="0" w:space="0" w:color="auto"/>
            <w:right w:val="none" w:sz="0" w:space="0" w:color="auto"/>
          </w:divBdr>
        </w:div>
        <w:div w:id="388648193">
          <w:blockQuote w:val="1"/>
          <w:marLeft w:val="720"/>
          <w:marRight w:val="720"/>
          <w:marTop w:val="100"/>
          <w:marBottom w:val="100"/>
          <w:divBdr>
            <w:top w:val="none" w:sz="0" w:space="0" w:color="auto"/>
            <w:left w:val="none" w:sz="0" w:space="0" w:color="auto"/>
            <w:bottom w:val="none" w:sz="0" w:space="0" w:color="auto"/>
            <w:right w:val="none" w:sz="0" w:space="0" w:color="auto"/>
          </w:divBdr>
        </w:div>
        <w:div w:id="894506497">
          <w:blockQuote w:val="1"/>
          <w:marLeft w:val="720"/>
          <w:marRight w:val="720"/>
          <w:marTop w:val="100"/>
          <w:marBottom w:val="100"/>
          <w:divBdr>
            <w:top w:val="none" w:sz="0" w:space="0" w:color="auto"/>
            <w:left w:val="none" w:sz="0" w:space="0" w:color="auto"/>
            <w:bottom w:val="none" w:sz="0" w:space="0" w:color="auto"/>
            <w:right w:val="none" w:sz="0" w:space="0" w:color="auto"/>
          </w:divBdr>
        </w:div>
        <w:div w:id="757095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8904436">
      <w:bodyDiv w:val="1"/>
      <w:marLeft w:val="0"/>
      <w:marRight w:val="0"/>
      <w:marTop w:val="0"/>
      <w:marBottom w:val="0"/>
      <w:divBdr>
        <w:top w:val="none" w:sz="0" w:space="0" w:color="auto"/>
        <w:left w:val="none" w:sz="0" w:space="0" w:color="auto"/>
        <w:bottom w:val="none" w:sz="0" w:space="0" w:color="auto"/>
        <w:right w:val="none" w:sz="0" w:space="0" w:color="auto"/>
      </w:divBdr>
    </w:div>
    <w:div w:id="1186674596">
      <w:bodyDiv w:val="1"/>
      <w:marLeft w:val="0"/>
      <w:marRight w:val="0"/>
      <w:marTop w:val="0"/>
      <w:marBottom w:val="0"/>
      <w:divBdr>
        <w:top w:val="none" w:sz="0" w:space="0" w:color="auto"/>
        <w:left w:val="none" w:sz="0" w:space="0" w:color="auto"/>
        <w:bottom w:val="none" w:sz="0" w:space="0" w:color="auto"/>
        <w:right w:val="none" w:sz="0" w:space="0" w:color="auto"/>
      </w:divBdr>
    </w:div>
    <w:div w:id="1187014579">
      <w:bodyDiv w:val="1"/>
      <w:marLeft w:val="0"/>
      <w:marRight w:val="0"/>
      <w:marTop w:val="0"/>
      <w:marBottom w:val="0"/>
      <w:divBdr>
        <w:top w:val="none" w:sz="0" w:space="0" w:color="auto"/>
        <w:left w:val="none" w:sz="0" w:space="0" w:color="auto"/>
        <w:bottom w:val="none" w:sz="0" w:space="0" w:color="auto"/>
        <w:right w:val="none" w:sz="0" w:space="0" w:color="auto"/>
      </w:divBdr>
    </w:div>
    <w:div w:id="1197157356">
      <w:bodyDiv w:val="1"/>
      <w:marLeft w:val="0"/>
      <w:marRight w:val="0"/>
      <w:marTop w:val="0"/>
      <w:marBottom w:val="0"/>
      <w:divBdr>
        <w:top w:val="none" w:sz="0" w:space="0" w:color="auto"/>
        <w:left w:val="none" w:sz="0" w:space="0" w:color="auto"/>
        <w:bottom w:val="none" w:sz="0" w:space="0" w:color="auto"/>
        <w:right w:val="none" w:sz="0" w:space="0" w:color="auto"/>
      </w:divBdr>
    </w:div>
    <w:div w:id="1199858662">
      <w:bodyDiv w:val="1"/>
      <w:marLeft w:val="0"/>
      <w:marRight w:val="0"/>
      <w:marTop w:val="0"/>
      <w:marBottom w:val="0"/>
      <w:divBdr>
        <w:top w:val="none" w:sz="0" w:space="0" w:color="auto"/>
        <w:left w:val="none" w:sz="0" w:space="0" w:color="auto"/>
        <w:bottom w:val="none" w:sz="0" w:space="0" w:color="auto"/>
        <w:right w:val="none" w:sz="0" w:space="0" w:color="auto"/>
      </w:divBdr>
    </w:div>
    <w:div w:id="1201438709">
      <w:bodyDiv w:val="1"/>
      <w:marLeft w:val="0"/>
      <w:marRight w:val="0"/>
      <w:marTop w:val="0"/>
      <w:marBottom w:val="0"/>
      <w:divBdr>
        <w:top w:val="none" w:sz="0" w:space="0" w:color="auto"/>
        <w:left w:val="none" w:sz="0" w:space="0" w:color="auto"/>
        <w:bottom w:val="none" w:sz="0" w:space="0" w:color="auto"/>
        <w:right w:val="none" w:sz="0" w:space="0" w:color="auto"/>
      </w:divBdr>
    </w:div>
    <w:div w:id="1203640707">
      <w:bodyDiv w:val="1"/>
      <w:marLeft w:val="0"/>
      <w:marRight w:val="0"/>
      <w:marTop w:val="0"/>
      <w:marBottom w:val="0"/>
      <w:divBdr>
        <w:top w:val="none" w:sz="0" w:space="0" w:color="auto"/>
        <w:left w:val="none" w:sz="0" w:space="0" w:color="auto"/>
        <w:bottom w:val="none" w:sz="0" w:space="0" w:color="auto"/>
        <w:right w:val="none" w:sz="0" w:space="0" w:color="auto"/>
      </w:divBdr>
    </w:div>
    <w:div w:id="1208300243">
      <w:bodyDiv w:val="1"/>
      <w:marLeft w:val="0"/>
      <w:marRight w:val="0"/>
      <w:marTop w:val="0"/>
      <w:marBottom w:val="0"/>
      <w:divBdr>
        <w:top w:val="none" w:sz="0" w:space="0" w:color="auto"/>
        <w:left w:val="none" w:sz="0" w:space="0" w:color="auto"/>
        <w:bottom w:val="none" w:sz="0" w:space="0" w:color="auto"/>
        <w:right w:val="none" w:sz="0" w:space="0" w:color="auto"/>
      </w:divBdr>
    </w:div>
    <w:div w:id="1232735360">
      <w:bodyDiv w:val="1"/>
      <w:marLeft w:val="0"/>
      <w:marRight w:val="0"/>
      <w:marTop w:val="0"/>
      <w:marBottom w:val="0"/>
      <w:divBdr>
        <w:top w:val="none" w:sz="0" w:space="0" w:color="auto"/>
        <w:left w:val="none" w:sz="0" w:space="0" w:color="auto"/>
        <w:bottom w:val="none" w:sz="0" w:space="0" w:color="auto"/>
        <w:right w:val="none" w:sz="0" w:space="0" w:color="auto"/>
      </w:divBdr>
    </w:div>
    <w:div w:id="1240024737">
      <w:bodyDiv w:val="1"/>
      <w:marLeft w:val="0"/>
      <w:marRight w:val="0"/>
      <w:marTop w:val="0"/>
      <w:marBottom w:val="0"/>
      <w:divBdr>
        <w:top w:val="none" w:sz="0" w:space="0" w:color="auto"/>
        <w:left w:val="none" w:sz="0" w:space="0" w:color="auto"/>
        <w:bottom w:val="none" w:sz="0" w:space="0" w:color="auto"/>
        <w:right w:val="none" w:sz="0" w:space="0" w:color="auto"/>
      </w:divBdr>
    </w:div>
    <w:div w:id="1248732899">
      <w:bodyDiv w:val="1"/>
      <w:marLeft w:val="0"/>
      <w:marRight w:val="0"/>
      <w:marTop w:val="0"/>
      <w:marBottom w:val="0"/>
      <w:divBdr>
        <w:top w:val="none" w:sz="0" w:space="0" w:color="auto"/>
        <w:left w:val="none" w:sz="0" w:space="0" w:color="auto"/>
        <w:bottom w:val="none" w:sz="0" w:space="0" w:color="auto"/>
        <w:right w:val="none" w:sz="0" w:space="0" w:color="auto"/>
      </w:divBdr>
    </w:div>
    <w:div w:id="1253321976">
      <w:bodyDiv w:val="1"/>
      <w:marLeft w:val="0"/>
      <w:marRight w:val="0"/>
      <w:marTop w:val="0"/>
      <w:marBottom w:val="0"/>
      <w:divBdr>
        <w:top w:val="none" w:sz="0" w:space="0" w:color="auto"/>
        <w:left w:val="none" w:sz="0" w:space="0" w:color="auto"/>
        <w:bottom w:val="none" w:sz="0" w:space="0" w:color="auto"/>
        <w:right w:val="none" w:sz="0" w:space="0" w:color="auto"/>
      </w:divBdr>
    </w:div>
    <w:div w:id="1256597341">
      <w:bodyDiv w:val="1"/>
      <w:marLeft w:val="0"/>
      <w:marRight w:val="0"/>
      <w:marTop w:val="0"/>
      <w:marBottom w:val="0"/>
      <w:divBdr>
        <w:top w:val="none" w:sz="0" w:space="0" w:color="auto"/>
        <w:left w:val="none" w:sz="0" w:space="0" w:color="auto"/>
        <w:bottom w:val="none" w:sz="0" w:space="0" w:color="auto"/>
        <w:right w:val="none" w:sz="0" w:space="0" w:color="auto"/>
      </w:divBdr>
      <w:divsChild>
        <w:div w:id="67075329">
          <w:marLeft w:val="0"/>
          <w:marRight w:val="0"/>
          <w:marTop w:val="0"/>
          <w:marBottom w:val="0"/>
          <w:divBdr>
            <w:top w:val="none" w:sz="0" w:space="0" w:color="auto"/>
            <w:left w:val="none" w:sz="0" w:space="0" w:color="auto"/>
            <w:bottom w:val="none" w:sz="0" w:space="0" w:color="auto"/>
            <w:right w:val="none" w:sz="0" w:space="0" w:color="auto"/>
          </w:divBdr>
          <w:divsChild>
            <w:div w:id="2010792174">
              <w:marLeft w:val="0"/>
              <w:marRight w:val="0"/>
              <w:marTop w:val="0"/>
              <w:marBottom w:val="0"/>
              <w:divBdr>
                <w:top w:val="none" w:sz="0" w:space="0" w:color="auto"/>
                <w:left w:val="none" w:sz="0" w:space="0" w:color="auto"/>
                <w:bottom w:val="none" w:sz="0" w:space="0" w:color="auto"/>
                <w:right w:val="none" w:sz="0" w:space="0" w:color="auto"/>
              </w:divBdr>
              <w:divsChild>
                <w:div w:id="1738748014">
                  <w:marLeft w:val="0"/>
                  <w:marRight w:val="0"/>
                  <w:marTop w:val="0"/>
                  <w:marBottom w:val="0"/>
                  <w:divBdr>
                    <w:top w:val="none" w:sz="0" w:space="0" w:color="auto"/>
                    <w:left w:val="none" w:sz="0" w:space="0" w:color="auto"/>
                    <w:bottom w:val="none" w:sz="0" w:space="0" w:color="auto"/>
                    <w:right w:val="none" w:sz="0" w:space="0" w:color="auto"/>
                  </w:divBdr>
                  <w:divsChild>
                    <w:div w:id="1628661442">
                      <w:marLeft w:val="0"/>
                      <w:marRight w:val="0"/>
                      <w:marTop w:val="0"/>
                      <w:marBottom w:val="0"/>
                      <w:divBdr>
                        <w:top w:val="none" w:sz="0" w:space="0" w:color="auto"/>
                        <w:left w:val="none" w:sz="0" w:space="0" w:color="auto"/>
                        <w:bottom w:val="none" w:sz="0" w:space="0" w:color="auto"/>
                        <w:right w:val="none" w:sz="0" w:space="0" w:color="auto"/>
                      </w:divBdr>
                      <w:divsChild>
                        <w:div w:id="117837474">
                          <w:marLeft w:val="0"/>
                          <w:marRight w:val="0"/>
                          <w:marTop w:val="0"/>
                          <w:marBottom w:val="0"/>
                          <w:divBdr>
                            <w:top w:val="none" w:sz="0" w:space="0" w:color="auto"/>
                            <w:left w:val="none" w:sz="0" w:space="0" w:color="auto"/>
                            <w:bottom w:val="none" w:sz="0" w:space="0" w:color="auto"/>
                            <w:right w:val="none" w:sz="0" w:space="0" w:color="auto"/>
                          </w:divBdr>
                          <w:divsChild>
                            <w:div w:id="11445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91918">
                      <w:marLeft w:val="0"/>
                      <w:marRight w:val="0"/>
                      <w:marTop w:val="0"/>
                      <w:marBottom w:val="0"/>
                      <w:divBdr>
                        <w:top w:val="none" w:sz="0" w:space="0" w:color="auto"/>
                        <w:left w:val="none" w:sz="0" w:space="0" w:color="auto"/>
                        <w:bottom w:val="none" w:sz="0" w:space="0" w:color="auto"/>
                        <w:right w:val="none" w:sz="0" w:space="0" w:color="auto"/>
                      </w:divBdr>
                      <w:divsChild>
                        <w:div w:id="2033216684">
                          <w:marLeft w:val="0"/>
                          <w:marRight w:val="0"/>
                          <w:marTop w:val="0"/>
                          <w:marBottom w:val="0"/>
                          <w:divBdr>
                            <w:top w:val="none" w:sz="0" w:space="0" w:color="auto"/>
                            <w:left w:val="none" w:sz="0" w:space="0" w:color="auto"/>
                            <w:bottom w:val="none" w:sz="0" w:space="0" w:color="auto"/>
                            <w:right w:val="none" w:sz="0" w:space="0" w:color="auto"/>
                          </w:divBdr>
                          <w:divsChild>
                            <w:div w:id="271516572">
                              <w:marLeft w:val="0"/>
                              <w:marRight w:val="0"/>
                              <w:marTop w:val="0"/>
                              <w:marBottom w:val="0"/>
                              <w:divBdr>
                                <w:top w:val="none" w:sz="0" w:space="0" w:color="auto"/>
                                <w:left w:val="none" w:sz="0" w:space="0" w:color="auto"/>
                                <w:bottom w:val="none" w:sz="0" w:space="0" w:color="auto"/>
                                <w:right w:val="none" w:sz="0" w:space="0" w:color="auto"/>
                              </w:divBdr>
                              <w:divsChild>
                                <w:div w:id="150301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69168">
          <w:marLeft w:val="0"/>
          <w:marRight w:val="0"/>
          <w:marTop w:val="0"/>
          <w:marBottom w:val="0"/>
          <w:divBdr>
            <w:top w:val="none" w:sz="0" w:space="0" w:color="auto"/>
            <w:left w:val="none" w:sz="0" w:space="0" w:color="auto"/>
            <w:bottom w:val="none" w:sz="0" w:space="0" w:color="auto"/>
            <w:right w:val="none" w:sz="0" w:space="0" w:color="auto"/>
          </w:divBdr>
          <w:divsChild>
            <w:div w:id="133107576">
              <w:marLeft w:val="0"/>
              <w:marRight w:val="0"/>
              <w:marTop w:val="0"/>
              <w:marBottom w:val="0"/>
              <w:divBdr>
                <w:top w:val="none" w:sz="0" w:space="0" w:color="auto"/>
                <w:left w:val="none" w:sz="0" w:space="0" w:color="auto"/>
                <w:bottom w:val="none" w:sz="0" w:space="0" w:color="auto"/>
                <w:right w:val="none" w:sz="0" w:space="0" w:color="auto"/>
              </w:divBdr>
              <w:divsChild>
                <w:div w:id="127168013">
                  <w:marLeft w:val="0"/>
                  <w:marRight w:val="0"/>
                  <w:marTop w:val="0"/>
                  <w:marBottom w:val="0"/>
                  <w:divBdr>
                    <w:top w:val="none" w:sz="0" w:space="0" w:color="auto"/>
                    <w:left w:val="none" w:sz="0" w:space="0" w:color="auto"/>
                    <w:bottom w:val="none" w:sz="0" w:space="0" w:color="auto"/>
                    <w:right w:val="none" w:sz="0" w:space="0" w:color="auto"/>
                  </w:divBdr>
                  <w:divsChild>
                    <w:div w:id="738593773">
                      <w:marLeft w:val="0"/>
                      <w:marRight w:val="0"/>
                      <w:marTop w:val="0"/>
                      <w:marBottom w:val="0"/>
                      <w:divBdr>
                        <w:top w:val="none" w:sz="0" w:space="0" w:color="auto"/>
                        <w:left w:val="none" w:sz="0" w:space="0" w:color="auto"/>
                        <w:bottom w:val="none" w:sz="0" w:space="0" w:color="auto"/>
                        <w:right w:val="none" w:sz="0" w:space="0" w:color="auto"/>
                      </w:divBdr>
                      <w:divsChild>
                        <w:div w:id="1998876871">
                          <w:marLeft w:val="0"/>
                          <w:marRight w:val="0"/>
                          <w:marTop w:val="0"/>
                          <w:marBottom w:val="0"/>
                          <w:divBdr>
                            <w:top w:val="none" w:sz="0" w:space="0" w:color="auto"/>
                            <w:left w:val="none" w:sz="0" w:space="0" w:color="auto"/>
                            <w:bottom w:val="none" w:sz="0" w:space="0" w:color="auto"/>
                            <w:right w:val="none" w:sz="0" w:space="0" w:color="auto"/>
                          </w:divBdr>
                          <w:divsChild>
                            <w:div w:id="11201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1423">
      <w:bodyDiv w:val="1"/>
      <w:marLeft w:val="0"/>
      <w:marRight w:val="0"/>
      <w:marTop w:val="0"/>
      <w:marBottom w:val="0"/>
      <w:divBdr>
        <w:top w:val="none" w:sz="0" w:space="0" w:color="auto"/>
        <w:left w:val="none" w:sz="0" w:space="0" w:color="auto"/>
        <w:bottom w:val="none" w:sz="0" w:space="0" w:color="auto"/>
        <w:right w:val="none" w:sz="0" w:space="0" w:color="auto"/>
      </w:divBdr>
    </w:div>
    <w:div w:id="1260913806">
      <w:bodyDiv w:val="1"/>
      <w:marLeft w:val="0"/>
      <w:marRight w:val="0"/>
      <w:marTop w:val="0"/>
      <w:marBottom w:val="0"/>
      <w:divBdr>
        <w:top w:val="none" w:sz="0" w:space="0" w:color="auto"/>
        <w:left w:val="none" w:sz="0" w:space="0" w:color="auto"/>
        <w:bottom w:val="none" w:sz="0" w:space="0" w:color="auto"/>
        <w:right w:val="none" w:sz="0" w:space="0" w:color="auto"/>
      </w:divBdr>
    </w:div>
    <w:div w:id="1261570832">
      <w:bodyDiv w:val="1"/>
      <w:marLeft w:val="0"/>
      <w:marRight w:val="0"/>
      <w:marTop w:val="0"/>
      <w:marBottom w:val="0"/>
      <w:divBdr>
        <w:top w:val="none" w:sz="0" w:space="0" w:color="auto"/>
        <w:left w:val="none" w:sz="0" w:space="0" w:color="auto"/>
        <w:bottom w:val="none" w:sz="0" w:space="0" w:color="auto"/>
        <w:right w:val="none" w:sz="0" w:space="0" w:color="auto"/>
      </w:divBdr>
    </w:div>
    <w:div w:id="1265185592">
      <w:bodyDiv w:val="1"/>
      <w:marLeft w:val="0"/>
      <w:marRight w:val="0"/>
      <w:marTop w:val="0"/>
      <w:marBottom w:val="0"/>
      <w:divBdr>
        <w:top w:val="none" w:sz="0" w:space="0" w:color="auto"/>
        <w:left w:val="none" w:sz="0" w:space="0" w:color="auto"/>
        <w:bottom w:val="none" w:sz="0" w:space="0" w:color="auto"/>
        <w:right w:val="none" w:sz="0" w:space="0" w:color="auto"/>
      </w:divBdr>
      <w:divsChild>
        <w:div w:id="1648049612">
          <w:marLeft w:val="0"/>
          <w:marRight w:val="0"/>
          <w:marTop w:val="0"/>
          <w:marBottom w:val="0"/>
          <w:divBdr>
            <w:top w:val="none" w:sz="0" w:space="0" w:color="auto"/>
            <w:left w:val="none" w:sz="0" w:space="0" w:color="auto"/>
            <w:bottom w:val="none" w:sz="0" w:space="0" w:color="auto"/>
            <w:right w:val="none" w:sz="0" w:space="0" w:color="auto"/>
          </w:divBdr>
          <w:divsChild>
            <w:div w:id="2004819542">
              <w:marLeft w:val="0"/>
              <w:marRight w:val="0"/>
              <w:marTop w:val="0"/>
              <w:marBottom w:val="0"/>
              <w:divBdr>
                <w:top w:val="none" w:sz="0" w:space="0" w:color="auto"/>
                <w:left w:val="none" w:sz="0" w:space="0" w:color="auto"/>
                <w:bottom w:val="none" w:sz="0" w:space="0" w:color="auto"/>
                <w:right w:val="none" w:sz="0" w:space="0" w:color="auto"/>
              </w:divBdr>
              <w:divsChild>
                <w:div w:id="1237209527">
                  <w:marLeft w:val="0"/>
                  <w:marRight w:val="0"/>
                  <w:marTop w:val="0"/>
                  <w:marBottom w:val="0"/>
                  <w:divBdr>
                    <w:top w:val="none" w:sz="0" w:space="0" w:color="auto"/>
                    <w:left w:val="none" w:sz="0" w:space="0" w:color="auto"/>
                    <w:bottom w:val="none" w:sz="0" w:space="0" w:color="auto"/>
                    <w:right w:val="none" w:sz="0" w:space="0" w:color="auto"/>
                  </w:divBdr>
                  <w:divsChild>
                    <w:div w:id="1872109708">
                      <w:marLeft w:val="0"/>
                      <w:marRight w:val="0"/>
                      <w:marTop w:val="0"/>
                      <w:marBottom w:val="0"/>
                      <w:divBdr>
                        <w:top w:val="none" w:sz="0" w:space="0" w:color="auto"/>
                        <w:left w:val="none" w:sz="0" w:space="0" w:color="auto"/>
                        <w:bottom w:val="none" w:sz="0" w:space="0" w:color="auto"/>
                        <w:right w:val="none" w:sz="0" w:space="0" w:color="auto"/>
                      </w:divBdr>
                      <w:divsChild>
                        <w:div w:id="555510167">
                          <w:marLeft w:val="0"/>
                          <w:marRight w:val="0"/>
                          <w:marTop w:val="0"/>
                          <w:marBottom w:val="0"/>
                          <w:divBdr>
                            <w:top w:val="none" w:sz="0" w:space="0" w:color="auto"/>
                            <w:left w:val="none" w:sz="0" w:space="0" w:color="auto"/>
                            <w:bottom w:val="none" w:sz="0" w:space="0" w:color="auto"/>
                            <w:right w:val="none" w:sz="0" w:space="0" w:color="auto"/>
                          </w:divBdr>
                          <w:divsChild>
                            <w:div w:id="17454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040669">
                      <w:marLeft w:val="0"/>
                      <w:marRight w:val="0"/>
                      <w:marTop w:val="0"/>
                      <w:marBottom w:val="0"/>
                      <w:divBdr>
                        <w:top w:val="none" w:sz="0" w:space="0" w:color="auto"/>
                        <w:left w:val="none" w:sz="0" w:space="0" w:color="auto"/>
                        <w:bottom w:val="none" w:sz="0" w:space="0" w:color="auto"/>
                        <w:right w:val="none" w:sz="0" w:space="0" w:color="auto"/>
                      </w:divBdr>
                      <w:divsChild>
                        <w:div w:id="773207434">
                          <w:marLeft w:val="0"/>
                          <w:marRight w:val="0"/>
                          <w:marTop w:val="0"/>
                          <w:marBottom w:val="0"/>
                          <w:divBdr>
                            <w:top w:val="none" w:sz="0" w:space="0" w:color="auto"/>
                            <w:left w:val="none" w:sz="0" w:space="0" w:color="auto"/>
                            <w:bottom w:val="none" w:sz="0" w:space="0" w:color="auto"/>
                            <w:right w:val="none" w:sz="0" w:space="0" w:color="auto"/>
                          </w:divBdr>
                          <w:divsChild>
                            <w:div w:id="1290817039">
                              <w:marLeft w:val="0"/>
                              <w:marRight w:val="0"/>
                              <w:marTop w:val="0"/>
                              <w:marBottom w:val="0"/>
                              <w:divBdr>
                                <w:top w:val="none" w:sz="0" w:space="0" w:color="auto"/>
                                <w:left w:val="none" w:sz="0" w:space="0" w:color="auto"/>
                                <w:bottom w:val="none" w:sz="0" w:space="0" w:color="auto"/>
                                <w:right w:val="none" w:sz="0" w:space="0" w:color="auto"/>
                              </w:divBdr>
                              <w:divsChild>
                                <w:div w:id="697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573353">
      <w:bodyDiv w:val="1"/>
      <w:marLeft w:val="0"/>
      <w:marRight w:val="0"/>
      <w:marTop w:val="0"/>
      <w:marBottom w:val="0"/>
      <w:divBdr>
        <w:top w:val="none" w:sz="0" w:space="0" w:color="auto"/>
        <w:left w:val="none" w:sz="0" w:space="0" w:color="auto"/>
        <w:bottom w:val="none" w:sz="0" w:space="0" w:color="auto"/>
        <w:right w:val="none" w:sz="0" w:space="0" w:color="auto"/>
      </w:divBdr>
    </w:div>
    <w:div w:id="1273170397">
      <w:bodyDiv w:val="1"/>
      <w:marLeft w:val="0"/>
      <w:marRight w:val="0"/>
      <w:marTop w:val="0"/>
      <w:marBottom w:val="0"/>
      <w:divBdr>
        <w:top w:val="none" w:sz="0" w:space="0" w:color="auto"/>
        <w:left w:val="none" w:sz="0" w:space="0" w:color="auto"/>
        <w:bottom w:val="none" w:sz="0" w:space="0" w:color="auto"/>
        <w:right w:val="none" w:sz="0" w:space="0" w:color="auto"/>
      </w:divBdr>
    </w:div>
    <w:div w:id="1278173379">
      <w:bodyDiv w:val="1"/>
      <w:marLeft w:val="0"/>
      <w:marRight w:val="0"/>
      <w:marTop w:val="0"/>
      <w:marBottom w:val="0"/>
      <w:divBdr>
        <w:top w:val="none" w:sz="0" w:space="0" w:color="auto"/>
        <w:left w:val="none" w:sz="0" w:space="0" w:color="auto"/>
        <w:bottom w:val="none" w:sz="0" w:space="0" w:color="auto"/>
        <w:right w:val="none" w:sz="0" w:space="0" w:color="auto"/>
      </w:divBdr>
    </w:div>
    <w:div w:id="1291133836">
      <w:bodyDiv w:val="1"/>
      <w:marLeft w:val="0"/>
      <w:marRight w:val="0"/>
      <w:marTop w:val="0"/>
      <w:marBottom w:val="0"/>
      <w:divBdr>
        <w:top w:val="none" w:sz="0" w:space="0" w:color="auto"/>
        <w:left w:val="none" w:sz="0" w:space="0" w:color="auto"/>
        <w:bottom w:val="none" w:sz="0" w:space="0" w:color="auto"/>
        <w:right w:val="none" w:sz="0" w:space="0" w:color="auto"/>
      </w:divBdr>
    </w:div>
    <w:div w:id="1291745741">
      <w:bodyDiv w:val="1"/>
      <w:marLeft w:val="0"/>
      <w:marRight w:val="0"/>
      <w:marTop w:val="0"/>
      <w:marBottom w:val="0"/>
      <w:divBdr>
        <w:top w:val="none" w:sz="0" w:space="0" w:color="auto"/>
        <w:left w:val="none" w:sz="0" w:space="0" w:color="auto"/>
        <w:bottom w:val="none" w:sz="0" w:space="0" w:color="auto"/>
        <w:right w:val="none" w:sz="0" w:space="0" w:color="auto"/>
      </w:divBdr>
    </w:div>
    <w:div w:id="1300265290">
      <w:bodyDiv w:val="1"/>
      <w:marLeft w:val="0"/>
      <w:marRight w:val="0"/>
      <w:marTop w:val="0"/>
      <w:marBottom w:val="0"/>
      <w:divBdr>
        <w:top w:val="none" w:sz="0" w:space="0" w:color="auto"/>
        <w:left w:val="none" w:sz="0" w:space="0" w:color="auto"/>
        <w:bottom w:val="none" w:sz="0" w:space="0" w:color="auto"/>
        <w:right w:val="none" w:sz="0" w:space="0" w:color="auto"/>
      </w:divBdr>
    </w:div>
    <w:div w:id="1308433308">
      <w:bodyDiv w:val="1"/>
      <w:marLeft w:val="0"/>
      <w:marRight w:val="0"/>
      <w:marTop w:val="0"/>
      <w:marBottom w:val="0"/>
      <w:divBdr>
        <w:top w:val="none" w:sz="0" w:space="0" w:color="auto"/>
        <w:left w:val="none" w:sz="0" w:space="0" w:color="auto"/>
        <w:bottom w:val="none" w:sz="0" w:space="0" w:color="auto"/>
        <w:right w:val="none" w:sz="0" w:space="0" w:color="auto"/>
      </w:divBdr>
    </w:div>
    <w:div w:id="1314064347">
      <w:bodyDiv w:val="1"/>
      <w:marLeft w:val="0"/>
      <w:marRight w:val="0"/>
      <w:marTop w:val="0"/>
      <w:marBottom w:val="0"/>
      <w:divBdr>
        <w:top w:val="none" w:sz="0" w:space="0" w:color="auto"/>
        <w:left w:val="none" w:sz="0" w:space="0" w:color="auto"/>
        <w:bottom w:val="none" w:sz="0" w:space="0" w:color="auto"/>
        <w:right w:val="none" w:sz="0" w:space="0" w:color="auto"/>
      </w:divBdr>
    </w:div>
    <w:div w:id="1317224440">
      <w:bodyDiv w:val="1"/>
      <w:marLeft w:val="0"/>
      <w:marRight w:val="0"/>
      <w:marTop w:val="0"/>
      <w:marBottom w:val="0"/>
      <w:divBdr>
        <w:top w:val="none" w:sz="0" w:space="0" w:color="auto"/>
        <w:left w:val="none" w:sz="0" w:space="0" w:color="auto"/>
        <w:bottom w:val="none" w:sz="0" w:space="0" w:color="auto"/>
        <w:right w:val="none" w:sz="0" w:space="0" w:color="auto"/>
      </w:divBdr>
    </w:div>
    <w:div w:id="1333950386">
      <w:bodyDiv w:val="1"/>
      <w:marLeft w:val="0"/>
      <w:marRight w:val="0"/>
      <w:marTop w:val="0"/>
      <w:marBottom w:val="0"/>
      <w:divBdr>
        <w:top w:val="none" w:sz="0" w:space="0" w:color="auto"/>
        <w:left w:val="none" w:sz="0" w:space="0" w:color="auto"/>
        <w:bottom w:val="none" w:sz="0" w:space="0" w:color="auto"/>
        <w:right w:val="none" w:sz="0" w:space="0" w:color="auto"/>
      </w:divBdr>
    </w:div>
    <w:div w:id="1336030036">
      <w:bodyDiv w:val="1"/>
      <w:marLeft w:val="0"/>
      <w:marRight w:val="0"/>
      <w:marTop w:val="0"/>
      <w:marBottom w:val="0"/>
      <w:divBdr>
        <w:top w:val="none" w:sz="0" w:space="0" w:color="auto"/>
        <w:left w:val="none" w:sz="0" w:space="0" w:color="auto"/>
        <w:bottom w:val="none" w:sz="0" w:space="0" w:color="auto"/>
        <w:right w:val="none" w:sz="0" w:space="0" w:color="auto"/>
      </w:divBdr>
    </w:div>
    <w:div w:id="1339381768">
      <w:bodyDiv w:val="1"/>
      <w:marLeft w:val="0"/>
      <w:marRight w:val="0"/>
      <w:marTop w:val="0"/>
      <w:marBottom w:val="0"/>
      <w:divBdr>
        <w:top w:val="none" w:sz="0" w:space="0" w:color="auto"/>
        <w:left w:val="none" w:sz="0" w:space="0" w:color="auto"/>
        <w:bottom w:val="none" w:sz="0" w:space="0" w:color="auto"/>
        <w:right w:val="none" w:sz="0" w:space="0" w:color="auto"/>
      </w:divBdr>
      <w:divsChild>
        <w:div w:id="57411668">
          <w:marLeft w:val="0"/>
          <w:marRight w:val="0"/>
          <w:marTop w:val="0"/>
          <w:marBottom w:val="0"/>
          <w:divBdr>
            <w:top w:val="none" w:sz="0" w:space="0" w:color="auto"/>
            <w:left w:val="none" w:sz="0" w:space="0" w:color="auto"/>
            <w:bottom w:val="none" w:sz="0" w:space="0" w:color="auto"/>
            <w:right w:val="none" w:sz="0" w:space="0" w:color="auto"/>
          </w:divBdr>
          <w:divsChild>
            <w:div w:id="1030490680">
              <w:marLeft w:val="0"/>
              <w:marRight w:val="0"/>
              <w:marTop w:val="0"/>
              <w:marBottom w:val="0"/>
              <w:divBdr>
                <w:top w:val="none" w:sz="0" w:space="0" w:color="auto"/>
                <w:left w:val="none" w:sz="0" w:space="0" w:color="auto"/>
                <w:bottom w:val="none" w:sz="0" w:space="0" w:color="auto"/>
                <w:right w:val="none" w:sz="0" w:space="0" w:color="auto"/>
              </w:divBdr>
            </w:div>
          </w:divsChild>
        </w:div>
        <w:div w:id="282343305">
          <w:marLeft w:val="0"/>
          <w:marRight w:val="0"/>
          <w:marTop w:val="0"/>
          <w:marBottom w:val="0"/>
          <w:divBdr>
            <w:top w:val="none" w:sz="0" w:space="0" w:color="auto"/>
            <w:left w:val="none" w:sz="0" w:space="0" w:color="auto"/>
            <w:bottom w:val="none" w:sz="0" w:space="0" w:color="auto"/>
            <w:right w:val="none" w:sz="0" w:space="0" w:color="auto"/>
          </w:divBdr>
          <w:divsChild>
            <w:div w:id="376393904">
              <w:marLeft w:val="0"/>
              <w:marRight w:val="0"/>
              <w:marTop w:val="0"/>
              <w:marBottom w:val="0"/>
              <w:divBdr>
                <w:top w:val="none" w:sz="0" w:space="0" w:color="auto"/>
                <w:left w:val="none" w:sz="0" w:space="0" w:color="auto"/>
                <w:bottom w:val="none" w:sz="0" w:space="0" w:color="auto"/>
                <w:right w:val="none" w:sz="0" w:space="0" w:color="auto"/>
              </w:divBdr>
            </w:div>
          </w:divsChild>
        </w:div>
        <w:div w:id="1481530977">
          <w:marLeft w:val="0"/>
          <w:marRight w:val="0"/>
          <w:marTop w:val="0"/>
          <w:marBottom w:val="0"/>
          <w:divBdr>
            <w:top w:val="none" w:sz="0" w:space="0" w:color="auto"/>
            <w:left w:val="none" w:sz="0" w:space="0" w:color="auto"/>
            <w:bottom w:val="none" w:sz="0" w:space="0" w:color="auto"/>
            <w:right w:val="none" w:sz="0" w:space="0" w:color="auto"/>
          </w:divBdr>
          <w:divsChild>
            <w:div w:id="444882913">
              <w:marLeft w:val="0"/>
              <w:marRight w:val="0"/>
              <w:marTop w:val="0"/>
              <w:marBottom w:val="0"/>
              <w:divBdr>
                <w:top w:val="none" w:sz="0" w:space="0" w:color="auto"/>
                <w:left w:val="none" w:sz="0" w:space="0" w:color="auto"/>
                <w:bottom w:val="none" w:sz="0" w:space="0" w:color="auto"/>
                <w:right w:val="none" w:sz="0" w:space="0" w:color="auto"/>
              </w:divBdr>
            </w:div>
          </w:divsChild>
        </w:div>
        <w:div w:id="2046174389">
          <w:marLeft w:val="0"/>
          <w:marRight w:val="0"/>
          <w:marTop w:val="0"/>
          <w:marBottom w:val="0"/>
          <w:divBdr>
            <w:top w:val="none" w:sz="0" w:space="0" w:color="auto"/>
            <w:left w:val="none" w:sz="0" w:space="0" w:color="auto"/>
            <w:bottom w:val="none" w:sz="0" w:space="0" w:color="auto"/>
            <w:right w:val="none" w:sz="0" w:space="0" w:color="auto"/>
          </w:divBdr>
          <w:divsChild>
            <w:div w:id="1476339194">
              <w:marLeft w:val="0"/>
              <w:marRight w:val="0"/>
              <w:marTop w:val="0"/>
              <w:marBottom w:val="0"/>
              <w:divBdr>
                <w:top w:val="none" w:sz="0" w:space="0" w:color="auto"/>
                <w:left w:val="none" w:sz="0" w:space="0" w:color="auto"/>
                <w:bottom w:val="none" w:sz="0" w:space="0" w:color="auto"/>
                <w:right w:val="none" w:sz="0" w:space="0" w:color="auto"/>
              </w:divBdr>
            </w:div>
          </w:divsChild>
        </w:div>
        <w:div w:id="1089083489">
          <w:marLeft w:val="0"/>
          <w:marRight w:val="0"/>
          <w:marTop w:val="0"/>
          <w:marBottom w:val="0"/>
          <w:divBdr>
            <w:top w:val="none" w:sz="0" w:space="0" w:color="auto"/>
            <w:left w:val="none" w:sz="0" w:space="0" w:color="auto"/>
            <w:bottom w:val="none" w:sz="0" w:space="0" w:color="auto"/>
            <w:right w:val="none" w:sz="0" w:space="0" w:color="auto"/>
          </w:divBdr>
          <w:divsChild>
            <w:div w:id="1399746456">
              <w:marLeft w:val="0"/>
              <w:marRight w:val="0"/>
              <w:marTop w:val="0"/>
              <w:marBottom w:val="0"/>
              <w:divBdr>
                <w:top w:val="none" w:sz="0" w:space="0" w:color="auto"/>
                <w:left w:val="none" w:sz="0" w:space="0" w:color="auto"/>
                <w:bottom w:val="none" w:sz="0" w:space="0" w:color="auto"/>
                <w:right w:val="none" w:sz="0" w:space="0" w:color="auto"/>
              </w:divBdr>
            </w:div>
          </w:divsChild>
        </w:div>
        <w:div w:id="1988699701">
          <w:marLeft w:val="0"/>
          <w:marRight w:val="0"/>
          <w:marTop w:val="0"/>
          <w:marBottom w:val="0"/>
          <w:divBdr>
            <w:top w:val="none" w:sz="0" w:space="0" w:color="auto"/>
            <w:left w:val="none" w:sz="0" w:space="0" w:color="auto"/>
            <w:bottom w:val="none" w:sz="0" w:space="0" w:color="auto"/>
            <w:right w:val="none" w:sz="0" w:space="0" w:color="auto"/>
          </w:divBdr>
          <w:divsChild>
            <w:div w:id="1340541385">
              <w:marLeft w:val="0"/>
              <w:marRight w:val="0"/>
              <w:marTop w:val="0"/>
              <w:marBottom w:val="0"/>
              <w:divBdr>
                <w:top w:val="none" w:sz="0" w:space="0" w:color="auto"/>
                <w:left w:val="none" w:sz="0" w:space="0" w:color="auto"/>
                <w:bottom w:val="none" w:sz="0" w:space="0" w:color="auto"/>
                <w:right w:val="none" w:sz="0" w:space="0" w:color="auto"/>
              </w:divBdr>
            </w:div>
          </w:divsChild>
        </w:div>
        <w:div w:id="1195969311">
          <w:marLeft w:val="0"/>
          <w:marRight w:val="0"/>
          <w:marTop w:val="0"/>
          <w:marBottom w:val="0"/>
          <w:divBdr>
            <w:top w:val="none" w:sz="0" w:space="0" w:color="auto"/>
            <w:left w:val="none" w:sz="0" w:space="0" w:color="auto"/>
            <w:bottom w:val="none" w:sz="0" w:space="0" w:color="auto"/>
            <w:right w:val="none" w:sz="0" w:space="0" w:color="auto"/>
          </w:divBdr>
          <w:divsChild>
            <w:div w:id="1100301499">
              <w:marLeft w:val="0"/>
              <w:marRight w:val="0"/>
              <w:marTop w:val="0"/>
              <w:marBottom w:val="0"/>
              <w:divBdr>
                <w:top w:val="none" w:sz="0" w:space="0" w:color="auto"/>
                <w:left w:val="none" w:sz="0" w:space="0" w:color="auto"/>
                <w:bottom w:val="none" w:sz="0" w:space="0" w:color="auto"/>
                <w:right w:val="none" w:sz="0" w:space="0" w:color="auto"/>
              </w:divBdr>
            </w:div>
          </w:divsChild>
        </w:div>
        <w:div w:id="811487473">
          <w:marLeft w:val="0"/>
          <w:marRight w:val="0"/>
          <w:marTop w:val="0"/>
          <w:marBottom w:val="0"/>
          <w:divBdr>
            <w:top w:val="none" w:sz="0" w:space="0" w:color="auto"/>
            <w:left w:val="none" w:sz="0" w:space="0" w:color="auto"/>
            <w:bottom w:val="none" w:sz="0" w:space="0" w:color="auto"/>
            <w:right w:val="none" w:sz="0" w:space="0" w:color="auto"/>
          </w:divBdr>
          <w:divsChild>
            <w:div w:id="9425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3711">
      <w:bodyDiv w:val="1"/>
      <w:marLeft w:val="0"/>
      <w:marRight w:val="0"/>
      <w:marTop w:val="0"/>
      <w:marBottom w:val="0"/>
      <w:divBdr>
        <w:top w:val="none" w:sz="0" w:space="0" w:color="auto"/>
        <w:left w:val="none" w:sz="0" w:space="0" w:color="auto"/>
        <w:bottom w:val="none" w:sz="0" w:space="0" w:color="auto"/>
        <w:right w:val="none" w:sz="0" w:space="0" w:color="auto"/>
      </w:divBdr>
      <w:divsChild>
        <w:div w:id="108680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4864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640963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275663">
      <w:bodyDiv w:val="1"/>
      <w:marLeft w:val="0"/>
      <w:marRight w:val="0"/>
      <w:marTop w:val="0"/>
      <w:marBottom w:val="0"/>
      <w:divBdr>
        <w:top w:val="none" w:sz="0" w:space="0" w:color="auto"/>
        <w:left w:val="none" w:sz="0" w:space="0" w:color="auto"/>
        <w:bottom w:val="none" w:sz="0" w:space="0" w:color="auto"/>
        <w:right w:val="none" w:sz="0" w:space="0" w:color="auto"/>
      </w:divBdr>
    </w:div>
    <w:div w:id="1342658079">
      <w:bodyDiv w:val="1"/>
      <w:marLeft w:val="0"/>
      <w:marRight w:val="0"/>
      <w:marTop w:val="0"/>
      <w:marBottom w:val="0"/>
      <w:divBdr>
        <w:top w:val="none" w:sz="0" w:space="0" w:color="auto"/>
        <w:left w:val="none" w:sz="0" w:space="0" w:color="auto"/>
        <w:bottom w:val="none" w:sz="0" w:space="0" w:color="auto"/>
        <w:right w:val="none" w:sz="0" w:space="0" w:color="auto"/>
      </w:divBdr>
    </w:div>
    <w:div w:id="1348556794">
      <w:bodyDiv w:val="1"/>
      <w:marLeft w:val="0"/>
      <w:marRight w:val="0"/>
      <w:marTop w:val="0"/>
      <w:marBottom w:val="0"/>
      <w:divBdr>
        <w:top w:val="none" w:sz="0" w:space="0" w:color="auto"/>
        <w:left w:val="none" w:sz="0" w:space="0" w:color="auto"/>
        <w:bottom w:val="none" w:sz="0" w:space="0" w:color="auto"/>
        <w:right w:val="none" w:sz="0" w:space="0" w:color="auto"/>
      </w:divBdr>
    </w:div>
    <w:div w:id="1351639386">
      <w:bodyDiv w:val="1"/>
      <w:marLeft w:val="0"/>
      <w:marRight w:val="0"/>
      <w:marTop w:val="0"/>
      <w:marBottom w:val="0"/>
      <w:divBdr>
        <w:top w:val="none" w:sz="0" w:space="0" w:color="auto"/>
        <w:left w:val="none" w:sz="0" w:space="0" w:color="auto"/>
        <w:bottom w:val="none" w:sz="0" w:space="0" w:color="auto"/>
        <w:right w:val="none" w:sz="0" w:space="0" w:color="auto"/>
      </w:divBdr>
    </w:div>
    <w:div w:id="1355226082">
      <w:bodyDiv w:val="1"/>
      <w:marLeft w:val="0"/>
      <w:marRight w:val="0"/>
      <w:marTop w:val="0"/>
      <w:marBottom w:val="0"/>
      <w:divBdr>
        <w:top w:val="none" w:sz="0" w:space="0" w:color="auto"/>
        <w:left w:val="none" w:sz="0" w:space="0" w:color="auto"/>
        <w:bottom w:val="none" w:sz="0" w:space="0" w:color="auto"/>
        <w:right w:val="none" w:sz="0" w:space="0" w:color="auto"/>
      </w:divBdr>
    </w:div>
    <w:div w:id="1357927624">
      <w:bodyDiv w:val="1"/>
      <w:marLeft w:val="0"/>
      <w:marRight w:val="0"/>
      <w:marTop w:val="0"/>
      <w:marBottom w:val="0"/>
      <w:divBdr>
        <w:top w:val="none" w:sz="0" w:space="0" w:color="auto"/>
        <w:left w:val="none" w:sz="0" w:space="0" w:color="auto"/>
        <w:bottom w:val="none" w:sz="0" w:space="0" w:color="auto"/>
        <w:right w:val="none" w:sz="0" w:space="0" w:color="auto"/>
      </w:divBdr>
    </w:div>
    <w:div w:id="1365014377">
      <w:bodyDiv w:val="1"/>
      <w:marLeft w:val="0"/>
      <w:marRight w:val="0"/>
      <w:marTop w:val="0"/>
      <w:marBottom w:val="0"/>
      <w:divBdr>
        <w:top w:val="none" w:sz="0" w:space="0" w:color="auto"/>
        <w:left w:val="none" w:sz="0" w:space="0" w:color="auto"/>
        <w:bottom w:val="none" w:sz="0" w:space="0" w:color="auto"/>
        <w:right w:val="none" w:sz="0" w:space="0" w:color="auto"/>
      </w:divBdr>
    </w:div>
    <w:div w:id="1374697170">
      <w:bodyDiv w:val="1"/>
      <w:marLeft w:val="0"/>
      <w:marRight w:val="0"/>
      <w:marTop w:val="0"/>
      <w:marBottom w:val="0"/>
      <w:divBdr>
        <w:top w:val="none" w:sz="0" w:space="0" w:color="auto"/>
        <w:left w:val="none" w:sz="0" w:space="0" w:color="auto"/>
        <w:bottom w:val="none" w:sz="0" w:space="0" w:color="auto"/>
        <w:right w:val="none" w:sz="0" w:space="0" w:color="auto"/>
      </w:divBdr>
    </w:div>
    <w:div w:id="1378045488">
      <w:bodyDiv w:val="1"/>
      <w:marLeft w:val="0"/>
      <w:marRight w:val="0"/>
      <w:marTop w:val="0"/>
      <w:marBottom w:val="0"/>
      <w:divBdr>
        <w:top w:val="none" w:sz="0" w:space="0" w:color="auto"/>
        <w:left w:val="none" w:sz="0" w:space="0" w:color="auto"/>
        <w:bottom w:val="none" w:sz="0" w:space="0" w:color="auto"/>
        <w:right w:val="none" w:sz="0" w:space="0" w:color="auto"/>
      </w:divBdr>
    </w:div>
    <w:div w:id="1378241087">
      <w:bodyDiv w:val="1"/>
      <w:marLeft w:val="0"/>
      <w:marRight w:val="0"/>
      <w:marTop w:val="0"/>
      <w:marBottom w:val="0"/>
      <w:divBdr>
        <w:top w:val="none" w:sz="0" w:space="0" w:color="auto"/>
        <w:left w:val="none" w:sz="0" w:space="0" w:color="auto"/>
        <w:bottom w:val="none" w:sz="0" w:space="0" w:color="auto"/>
        <w:right w:val="none" w:sz="0" w:space="0" w:color="auto"/>
      </w:divBdr>
    </w:div>
    <w:div w:id="1379161901">
      <w:bodyDiv w:val="1"/>
      <w:marLeft w:val="0"/>
      <w:marRight w:val="0"/>
      <w:marTop w:val="0"/>
      <w:marBottom w:val="0"/>
      <w:divBdr>
        <w:top w:val="none" w:sz="0" w:space="0" w:color="auto"/>
        <w:left w:val="none" w:sz="0" w:space="0" w:color="auto"/>
        <w:bottom w:val="none" w:sz="0" w:space="0" w:color="auto"/>
        <w:right w:val="none" w:sz="0" w:space="0" w:color="auto"/>
      </w:divBdr>
    </w:div>
    <w:div w:id="1380082172">
      <w:bodyDiv w:val="1"/>
      <w:marLeft w:val="0"/>
      <w:marRight w:val="0"/>
      <w:marTop w:val="0"/>
      <w:marBottom w:val="0"/>
      <w:divBdr>
        <w:top w:val="none" w:sz="0" w:space="0" w:color="auto"/>
        <w:left w:val="none" w:sz="0" w:space="0" w:color="auto"/>
        <w:bottom w:val="none" w:sz="0" w:space="0" w:color="auto"/>
        <w:right w:val="none" w:sz="0" w:space="0" w:color="auto"/>
      </w:divBdr>
    </w:div>
    <w:div w:id="1380084187">
      <w:bodyDiv w:val="1"/>
      <w:marLeft w:val="0"/>
      <w:marRight w:val="0"/>
      <w:marTop w:val="0"/>
      <w:marBottom w:val="0"/>
      <w:divBdr>
        <w:top w:val="none" w:sz="0" w:space="0" w:color="auto"/>
        <w:left w:val="none" w:sz="0" w:space="0" w:color="auto"/>
        <w:bottom w:val="none" w:sz="0" w:space="0" w:color="auto"/>
        <w:right w:val="none" w:sz="0" w:space="0" w:color="auto"/>
      </w:divBdr>
    </w:div>
    <w:div w:id="1383477963">
      <w:bodyDiv w:val="1"/>
      <w:marLeft w:val="0"/>
      <w:marRight w:val="0"/>
      <w:marTop w:val="0"/>
      <w:marBottom w:val="0"/>
      <w:divBdr>
        <w:top w:val="none" w:sz="0" w:space="0" w:color="auto"/>
        <w:left w:val="none" w:sz="0" w:space="0" w:color="auto"/>
        <w:bottom w:val="none" w:sz="0" w:space="0" w:color="auto"/>
        <w:right w:val="none" w:sz="0" w:space="0" w:color="auto"/>
      </w:divBdr>
    </w:div>
    <w:div w:id="1383554603">
      <w:bodyDiv w:val="1"/>
      <w:marLeft w:val="0"/>
      <w:marRight w:val="0"/>
      <w:marTop w:val="0"/>
      <w:marBottom w:val="0"/>
      <w:divBdr>
        <w:top w:val="none" w:sz="0" w:space="0" w:color="auto"/>
        <w:left w:val="none" w:sz="0" w:space="0" w:color="auto"/>
        <w:bottom w:val="none" w:sz="0" w:space="0" w:color="auto"/>
        <w:right w:val="none" w:sz="0" w:space="0" w:color="auto"/>
      </w:divBdr>
    </w:div>
    <w:div w:id="1385132774">
      <w:bodyDiv w:val="1"/>
      <w:marLeft w:val="0"/>
      <w:marRight w:val="0"/>
      <w:marTop w:val="0"/>
      <w:marBottom w:val="0"/>
      <w:divBdr>
        <w:top w:val="none" w:sz="0" w:space="0" w:color="auto"/>
        <w:left w:val="none" w:sz="0" w:space="0" w:color="auto"/>
        <w:bottom w:val="none" w:sz="0" w:space="0" w:color="auto"/>
        <w:right w:val="none" w:sz="0" w:space="0" w:color="auto"/>
      </w:divBdr>
    </w:div>
    <w:div w:id="1394737259">
      <w:bodyDiv w:val="1"/>
      <w:marLeft w:val="0"/>
      <w:marRight w:val="0"/>
      <w:marTop w:val="0"/>
      <w:marBottom w:val="0"/>
      <w:divBdr>
        <w:top w:val="none" w:sz="0" w:space="0" w:color="auto"/>
        <w:left w:val="none" w:sz="0" w:space="0" w:color="auto"/>
        <w:bottom w:val="none" w:sz="0" w:space="0" w:color="auto"/>
        <w:right w:val="none" w:sz="0" w:space="0" w:color="auto"/>
      </w:divBdr>
      <w:divsChild>
        <w:div w:id="943071139">
          <w:marLeft w:val="0"/>
          <w:marRight w:val="0"/>
          <w:marTop w:val="0"/>
          <w:marBottom w:val="0"/>
          <w:divBdr>
            <w:top w:val="none" w:sz="0" w:space="0" w:color="auto"/>
            <w:left w:val="none" w:sz="0" w:space="0" w:color="auto"/>
            <w:bottom w:val="none" w:sz="0" w:space="0" w:color="auto"/>
            <w:right w:val="none" w:sz="0" w:space="0" w:color="auto"/>
          </w:divBdr>
          <w:divsChild>
            <w:div w:id="1534883681">
              <w:marLeft w:val="0"/>
              <w:marRight w:val="0"/>
              <w:marTop w:val="0"/>
              <w:marBottom w:val="0"/>
              <w:divBdr>
                <w:top w:val="none" w:sz="0" w:space="0" w:color="auto"/>
                <w:left w:val="none" w:sz="0" w:space="0" w:color="auto"/>
                <w:bottom w:val="none" w:sz="0" w:space="0" w:color="auto"/>
                <w:right w:val="none" w:sz="0" w:space="0" w:color="auto"/>
              </w:divBdr>
              <w:divsChild>
                <w:div w:id="1260408146">
                  <w:marLeft w:val="0"/>
                  <w:marRight w:val="0"/>
                  <w:marTop w:val="0"/>
                  <w:marBottom w:val="0"/>
                  <w:divBdr>
                    <w:top w:val="none" w:sz="0" w:space="0" w:color="auto"/>
                    <w:left w:val="none" w:sz="0" w:space="0" w:color="auto"/>
                    <w:bottom w:val="none" w:sz="0" w:space="0" w:color="auto"/>
                    <w:right w:val="none" w:sz="0" w:space="0" w:color="auto"/>
                  </w:divBdr>
                  <w:divsChild>
                    <w:div w:id="2074888309">
                      <w:marLeft w:val="0"/>
                      <w:marRight w:val="0"/>
                      <w:marTop w:val="0"/>
                      <w:marBottom w:val="0"/>
                      <w:divBdr>
                        <w:top w:val="none" w:sz="0" w:space="0" w:color="auto"/>
                        <w:left w:val="none" w:sz="0" w:space="0" w:color="auto"/>
                        <w:bottom w:val="none" w:sz="0" w:space="0" w:color="auto"/>
                        <w:right w:val="none" w:sz="0" w:space="0" w:color="auto"/>
                      </w:divBdr>
                      <w:divsChild>
                        <w:div w:id="588930154">
                          <w:marLeft w:val="0"/>
                          <w:marRight w:val="0"/>
                          <w:marTop w:val="0"/>
                          <w:marBottom w:val="0"/>
                          <w:divBdr>
                            <w:top w:val="none" w:sz="0" w:space="0" w:color="auto"/>
                            <w:left w:val="none" w:sz="0" w:space="0" w:color="auto"/>
                            <w:bottom w:val="none" w:sz="0" w:space="0" w:color="auto"/>
                            <w:right w:val="none" w:sz="0" w:space="0" w:color="auto"/>
                          </w:divBdr>
                          <w:divsChild>
                            <w:div w:id="1323578419">
                              <w:marLeft w:val="0"/>
                              <w:marRight w:val="0"/>
                              <w:marTop w:val="0"/>
                              <w:marBottom w:val="0"/>
                              <w:divBdr>
                                <w:top w:val="none" w:sz="0" w:space="0" w:color="auto"/>
                                <w:left w:val="none" w:sz="0" w:space="0" w:color="auto"/>
                                <w:bottom w:val="none" w:sz="0" w:space="0" w:color="auto"/>
                                <w:right w:val="none" w:sz="0" w:space="0" w:color="auto"/>
                              </w:divBdr>
                              <w:divsChild>
                                <w:div w:id="20866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01679">
                          <w:marLeft w:val="0"/>
                          <w:marRight w:val="0"/>
                          <w:marTop w:val="0"/>
                          <w:marBottom w:val="0"/>
                          <w:divBdr>
                            <w:top w:val="none" w:sz="0" w:space="0" w:color="auto"/>
                            <w:left w:val="none" w:sz="0" w:space="0" w:color="auto"/>
                            <w:bottom w:val="none" w:sz="0" w:space="0" w:color="auto"/>
                            <w:right w:val="none" w:sz="0" w:space="0" w:color="auto"/>
                          </w:divBdr>
                          <w:divsChild>
                            <w:div w:id="1948199204">
                              <w:marLeft w:val="0"/>
                              <w:marRight w:val="0"/>
                              <w:marTop w:val="0"/>
                              <w:marBottom w:val="0"/>
                              <w:divBdr>
                                <w:top w:val="none" w:sz="0" w:space="0" w:color="auto"/>
                                <w:left w:val="none" w:sz="0" w:space="0" w:color="auto"/>
                                <w:bottom w:val="none" w:sz="0" w:space="0" w:color="auto"/>
                                <w:right w:val="none" w:sz="0" w:space="0" w:color="auto"/>
                              </w:divBdr>
                              <w:divsChild>
                                <w:div w:id="1933274326">
                                  <w:marLeft w:val="0"/>
                                  <w:marRight w:val="0"/>
                                  <w:marTop w:val="0"/>
                                  <w:marBottom w:val="0"/>
                                  <w:divBdr>
                                    <w:top w:val="none" w:sz="0" w:space="0" w:color="auto"/>
                                    <w:left w:val="none" w:sz="0" w:space="0" w:color="auto"/>
                                    <w:bottom w:val="none" w:sz="0" w:space="0" w:color="auto"/>
                                    <w:right w:val="none" w:sz="0" w:space="0" w:color="auto"/>
                                  </w:divBdr>
                                  <w:divsChild>
                                    <w:div w:id="17859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23708">
              <w:marLeft w:val="0"/>
              <w:marRight w:val="0"/>
              <w:marTop w:val="0"/>
              <w:marBottom w:val="0"/>
              <w:divBdr>
                <w:top w:val="none" w:sz="0" w:space="0" w:color="auto"/>
                <w:left w:val="none" w:sz="0" w:space="0" w:color="auto"/>
                <w:bottom w:val="none" w:sz="0" w:space="0" w:color="auto"/>
                <w:right w:val="none" w:sz="0" w:space="0" w:color="auto"/>
              </w:divBdr>
              <w:divsChild>
                <w:div w:id="142671935">
                  <w:marLeft w:val="0"/>
                  <w:marRight w:val="0"/>
                  <w:marTop w:val="0"/>
                  <w:marBottom w:val="0"/>
                  <w:divBdr>
                    <w:top w:val="none" w:sz="0" w:space="0" w:color="auto"/>
                    <w:left w:val="none" w:sz="0" w:space="0" w:color="auto"/>
                    <w:bottom w:val="none" w:sz="0" w:space="0" w:color="auto"/>
                    <w:right w:val="none" w:sz="0" w:space="0" w:color="auto"/>
                  </w:divBdr>
                  <w:divsChild>
                    <w:div w:id="19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55759">
      <w:bodyDiv w:val="1"/>
      <w:marLeft w:val="0"/>
      <w:marRight w:val="0"/>
      <w:marTop w:val="0"/>
      <w:marBottom w:val="0"/>
      <w:divBdr>
        <w:top w:val="none" w:sz="0" w:space="0" w:color="auto"/>
        <w:left w:val="none" w:sz="0" w:space="0" w:color="auto"/>
        <w:bottom w:val="none" w:sz="0" w:space="0" w:color="auto"/>
        <w:right w:val="none" w:sz="0" w:space="0" w:color="auto"/>
      </w:divBdr>
    </w:div>
    <w:div w:id="1400716088">
      <w:bodyDiv w:val="1"/>
      <w:marLeft w:val="0"/>
      <w:marRight w:val="0"/>
      <w:marTop w:val="0"/>
      <w:marBottom w:val="0"/>
      <w:divBdr>
        <w:top w:val="none" w:sz="0" w:space="0" w:color="auto"/>
        <w:left w:val="none" w:sz="0" w:space="0" w:color="auto"/>
        <w:bottom w:val="none" w:sz="0" w:space="0" w:color="auto"/>
        <w:right w:val="none" w:sz="0" w:space="0" w:color="auto"/>
      </w:divBdr>
    </w:div>
    <w:div w:id="1403724137">
      <w:bodyDiv w:val="1"/>
      <w:marLeft w:val="0"/>
      <w:marRight w:val="0"/>
      <w:marTop w:val="0"/>
      <w:marBottom w:val="0"/>
      <w:divBdr>
        <w:top w:val="none" w:sz="0" w:space="0" w:color="auto"/>
        <w:left w:val="none" w:sz="0" w:space="0" w:color="auto"/>
        <w:bottom w:val="none" w:sz="0" w:space="0" w:color="auto"/>
        <w:right w:val="none" w:sz="0" w:space="0" w:color="auto"/>
      </w:divBdr>
    </w:div>
    <w:div w:id="1405369837">
      <w:bodyDiv w:val="1"/>
      <w:marLeft w:val="0"/>
      <w:marRight w:val="0"/>
      <w:marTop w:val="0"/>
      <w:marBottom w:val="0"/>
      <w:divBdr>
        <w:top w:val="none" w:sz="0" w:space="0" w:color="auto"/>
        <w:left w:val="none" w:sz="0" w:space="0" w:color="auto"/>
        <w:bottom w:val="none" w:sz="0" w:space="0" w:color="auto"/>
        <w:right w:val="none" w:sz="0" w:space="0" w:color="auto"/>
      </w:divBdr>
    </w:div>
    <w:div w:id="1406605421">
      <w:bodyDiv w:val="1"/>
      <w:marLeft w:val="0"/>
      <w:marRight w:val="0"/>
      <w:marTop w:val="0"/>
      <w:marBottom w:val="0"/>
      <w:divBdr>
        <w:top w:val="none" w:sz="0" w:space="0" w:color="auto"/>
        <w:left w:val="none" w:sz="0" w:space="0" w:color="auto"/>
        <w:bottom w:val="none" w:sz="0" w:space="0" w:color="auto"/>
        <w:right w:val="none" w:sz="0" w:space="0" w:color="auto"/>
      </w:divBdr>
    </w:div>
    <w:div w:id="1410154224">
      <w:bodyDiv w:val="1"/>
      <w:marLeft w:val="0"/>
      <w:marRight w:val="0"/>
      <w:marTop w:val="0"/>
      <w:marBottom w:val="0"/>
      <w:divBdr>
        <w:top w:val="none" w:sz="0" w:space="0" w:color="auto"/>
        <w:left w:val="none" w:sz="0" w:space="0" w:color="auto"/>
        <w:bottom w:val="none" w:sz="0" w:space="0" w:color="auto"/>
        <w:right w:val="none" w:sz="0" w:space="0" w:color="auto"/>
      </w:divBdr>
      <w:divsChild>
        <w:div w:id="670259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773964">
          <w:blockQuote w:val="1"/>
          <w:marLeft w:val="720"/>
          <w:marRight w:val="720"/>
          <w:marTop w:val="100"/>
          <w:marBottom w:val="100"/>
          <w:divBdr>
            <w:top w:val="none" w:sz="0" w:space="0" w:color="auto"/>
            <w:left w:val="none" w:sz="0" w:space="0" w:color="auto"/>
            <w:bottom w:val="none" w:sz="0" w:space="0" w:color="auto"/>
            <w:right w:val="none" w:sz="0" w:space="0" w:color="auto"/>
          </w:divBdr>
        </w:div>
        <w:div w:id="292713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654714">
      <w:bodyDiv w:val="1"/>
      <w:marLeft w:val="0"/>
      <w:marRight w:val="0"/>
      <w:marTop w:val="0"/>
      <w:marBottom w:val="0"/>
      <w:divBdr>
        <w:top w:val="none" w:sz="0" w:space="0" w:color="auto"/>
        <w:left w:val="none" w:sz="0" w:space="0" w:color="auto"/>
        <w:bottom w:val="none" w:sz="0" w:space="0" w:color="auto"/>
        <w:right w:val="none" w:sz="0" w:space="0" w:color="auto"/>
      </w:divBdr>
      <w:divsChild>
        <w:div w:id="1209493974">
          <w:marLeft w:val="0"/>
          <w:marRight w:val="0"/>
          <w:marTop w:val="0"/>
          <w:marBottom w:val="0"/>
          <w:divBdr>
            <w:top w:val="none" w:sz="0" w:space="0" w:color="auto"/>
            <w:left w:val="none" w:sz="0" w:space="0" w:color="auto"/>
            <w:bottom w:val="none" w:sz="0" w:space="0" w:color="auto"/>
            <w:right w:val="none" w:sz="0" w:space="0" w:color="auto"/>
          </w:divBdr>
          <w:divsChild>
            <w:div w:id="2110270339">
              <w:marLeft w:val="0"/>
              <w:marRight w:val="0"/>
              <w:marTop w:val="0"/>
              <w:marBottom w:val="0"/>
              <w:divBdr>
                <w:top w:val="none" w:sz="0" w:space="0" w:color="auto"/>
                <w:left w:val="none" w:sz="0" w:space="0" w:color="auto"/>
                <w:bottom w:val="none" w:sz="0" w:space="0" w:color="auto"/>
                <w:right w:val="none" w:sz="0" w:space="0" w:color="auto"/>
              </w:divBdr>
            </w:div>
          </w:divsChild>
        </w:div>
        <w:div w:id="1097023275">
          <w:marLeft w:val="0"/>
          <w:marRight w:val="0"/>
          <w:marTop w:val="0"/>
          <w:marBottom w:val="0"/>
          <w:divBdr>
            <w:top w:val="none" w:sz="0" w:space="0" w:color="auto"/>
            <w:left w:val="none" w:sz="0" w:space="0" w:color="auto"/>
            <w:bottom w:val="none" w:sz="0" w:space="0" w:color="auto"/>
            <w:right w:val="none" w:sz="0" w:space="0" w:color="auto"/>
          </w:divBdr>
          <w:divsChild>
            <w:div w:id="1443377627">
              <w:marLeft w:val="0"/>
              <w:marRight w:val="0"/>
              <w:marTop w:val="0"/>
              <w:marBottom w:val="0"/>
              <w:divBdr>
                <w:top w:val="none" w:sz="0" w:space="0" w:color="auto"/>
                <w:left w:val="none" w:sz="0" w:space="0" w:color="auto"/>
                <w:bottom w:val="none" w:sz="0" w:space="0" w:color="auto"/>
                <w:right w:val="none" w:sz="0" w:space="0" w:color="auto"/>
              </w:divBdr>
            </w:div>
          </w:divsChild>
        </w:div>
        <w:div w:id="76951085">
          <w:marLeft w:val="0"/>
          <w:marRight w:val="0"/>
          <w:marTop w:val="0"/>
          <w:marBottom w:val="0"/>
          <w:divBdr>
            <w:top w:val="none" w:sz="0" w:space="0" w:color="auto"/>
            <w:left w:val="none" w:sz="0" w:space="0" w:color="auto"/>
            <w:bottom w:val="none" w:sz="0" w:space="0" w:color="auto"/>
            <w:right w:val="none" w:sz="0" w:space="0" w:color="auto"/>
          </w:divBdr>
          <w:divsChild>
            <w:div w:id="1677074915">
              <w:marLeft w:val="0"/>
              <w:marRight w:val="0"/>
              <w:marTop w:val="0"/>
              <w:marBottom w:val="0"/>
              <w:divBdr>
                <w:top w:val="none" w:sz="0" w:space="0" w:color="auto"/>
                <w:left w:val="none" w:sz="0" w:space="0" w:color="auto"/>
                <w:bottom w:val="none" w:sz="0" w:space="0" w:color="auto"/>
                <w:right w:val="none" w:sz="0" w:space="0" w:color="auto"/>
              </w:divBdr>
            </w:div>
          </w:divsChild>
        </w:div>
        <w:div w:id="1311904562">
          <w:marLeft w:val="0"/>
          <w:marRight w:val="0"/>
          <w:marTop w:val="0"/>
          <w:marBottom w:val="0"/>
          <w:divBdr>
            <w:top w:val="none" w:sz="0" w:space="0" w:color="auto"/>
            <w:left w:val="none" w:sz="0" w:space="0" w:color="auto"/>
            <w:bottom w:val="none" w:sz="0" w:space="0" w:color="auto"/>
            <w:right w:val="none" w:sz="0" w:space="0" w:color="auto"/>
          </w:divBdr>
          <w:divsChild>
            <w:div w:id="40833467">
              <w:marLeft w:val="0"/>
              <w:marRight w:val="0"/>
              <w:marTop w:val="0"/>
              <w:marBottom w:val="0"/>
              <w:divBdr>
                <w:top w:val="none" w:sz="0" w:space="0" w:color="auto"/>
                <w:left w:val="none" w:sz="0" w:space="0" w:color="auto"/>
                <w:bottom w:val="none" w:sz="0" w:space="0" w:color="auto"/>
                <w:right w:val="none" w:sz="0" w:space="0" w:color="auto"/>
              </w:divBdr>
            </w:div>
          </w:divsChild>
        </w:div>
        <w:div w:id="2017221527">
          <w:marLeft w:val="0"/>
          <w:marRight w:val="0"/>
          <w:marTop w:val="0"/>
          <w:marBottom w:val="0"/>
          <w:divBdr>
            <w:top w:val="none" w:sz="0" w:space="0" w:color="auto"/>
            <w:left w:val="none" w:sz="0" w:space="0" w:color="auto"/>
            <w:bottom w:val="none" w:sz="0" w:space="0" w:color="auto"/>
            <w:right w:val="none" w:sz="0" w:space="0" w:color="auto"/>
          </w:divBdr>
          <w:divsChild>
            <w:div w:id="1913076763">
              <w:marLeft w:val="0"/>
              <w:marRight w:val="0"/>
              <w:marTop w:val="0"/>
              <w:marBottom w:val="0"/>
              <w:divBdr>
                <w:top w:val="none" w:sz="0" w:space="0" w:color="auto"/>
                <w:left w:val="none" w:sz="0" w:space="0" w:color="auto"/>
                <w:bottom w:val="none" w:sz="0" w:space="0" w:color="auto"/>
                <w:right w:val="none" w:sz="0" w:space="0" w:color="auto"/>
              </w:divBdr>
            </w:div>
          </w:divsChild>
        </w:div>
        <w:div w:id="1112701113">
          <w:marLeft w:val="0"/>
          <w:marRight w:val="0"/>
          <w:marTop w:val="0"/>
          <w:marBottom w:val="0"/>
          <w:divBdr>
            <w:top w:val="none" w:sz="0" w:space="0" w:color="auto"/>
            <w:left w:val="none" w:sz="0" w:space="0" w:color="auto"/>
            <w:bottom w:val="none" w:sz="0" w:space="0" w:color="auto"/>
            <w:right w:val="none" w:sz="0" w:space="0" w:color="auto"/>
          </w:divBdr>
          <w:divsChild>
            <w:div w:id="1237588492">
              <w:marLeft w:val="0"/>
              <w:marRight w:val="0"/>
              <w:marTop w:val="0"/>
              <w:marBottom w:val="0"/>
              <w:divBdr>
                <w:top w:val="none" w:sz="0" w:space="0" w:color="auto"/>
                <w:left w:val="none" w:sz="0" w:space="0" w:color="auto"/>
                <w:bottom w:val="none" w:sz="0" w:space="0" w:color="auto"/>
                <w:right w:val="none" w:sz="0" w:space="0" w:color="auto"/>
              </w:divBdr>
            </w:div>
          </w:divsChild>
        </w:div>
        <w:div w:id="646128885">
          <w:marLeft w:val="0"/>
          <w:marRight w:val="0"/>
          <w:marTop w:val="0"/>
          <w:marBottom w:val="0"/>
          <w:divBdr>
            <w:top w:val="none" w:sz="0" w:space="0" w:color="auto"/>
            <w:left w:val="none" w:sz="0" w:space="0" w:color="auto"/>
            <w:bottom w:val="none" w:sz="0" w:space="0" w:color="auto"/>
            <w:right w:val="none" w:sz="0" w:space="0" w:color="auto"/>
          </w:divBdr>
          <w:divsChild>
            <w:div w:id="27029262">
              <w:marLeft w:val="0"/>
              <w:marRight w:val="0"/>
              <w:marTop w:val="0"/>
              <w:marBottom w:val="0"/>
              <w:divBdr>
                <w:top w:val="none" w:sz="0" w:space="0" w:color="auto"/>
                <w:left w:val="none" w:sz="0" w:space="0" w:color="auto"/>
                <w:bottom w:val="none" w:sz="0" w:space="0" w:color="auto"/>
                <w:right w:val="none" w:sz="0" w:space="0" w:color="auto"/>
              </w:divBdr>
            </w:div>
          </w:divsChild>
        </w:div>
        <w:div w:id="1379403621">
          <w:marLeft w:val="0"/>
          <w:marRight w:val="0"/>
          <w:marTop w:val="0"/>
          <w:marBottom w:val="0"/>
          <w:divBdr>
            <w:top w:val="none" w:sz="0" w:space="0" w:color="auto"/>
            <w:left w:val="none" w:sz="0" w:space="0" w:color="auto"/>
            <w:bottom w:val="none" w:sz="0" w:space="0" w:color="auto"/>
            <w:right w:val="none" w:sz="0" w:space="0" w:color="auto"/>
          </w:divBdr>
          <w:divsChild>
            <w:div w:id="1650745656">
              <w:marLeft w:val="0"/>
              <w:marRight w:val="0"/>
              <w:marTop w:val="0"/>
              <w:marBottom w:val="0"/>
              <w:divBdr>
                <w:top w:val="none" w:sz="0" w:space="0" w:color="auto"/>
                <w:left w:val="none" w:sz="0" w:space="0" w:color="auto"/>
                <w:bottom w:val="none" w:sz="0" w:space="0" w:color="auto"/>
                <w:right w:val="none" w:sz="0" w:space="0" w:color="auto"/>
              </w:divBdr>
            </w:div>
          </w:divsChild>
        </w:div>
        <w:div w:id="859776826">
          <w:marLeft w:val="0"/>
          <w:marRight w:val="0"/>
          <w:marTop w:val="0"/>
          <w:marBottom w:val="0"/>
          <w:divBdr>
            <w:top w:val="none" w:sz="0" w:space="0" w:color="auto"/>
            <w:left w:val="none" w:sz="0" w:space="0" w:color="auto"/>
            <w:bottom w:val="none" w:sz="0" w:space="0" w:color="auto"/>
            <w:right w:val="none" w:sz="0" w:space="0" w:color="auto"/>
          </w:divBdr>
          <w:divsChild>
            <w:div w:id="938878970">
              <w:marLeft w:val="0"/>
              <w:marRight w:val="0"/>
              <w:marTop w:val="0"/>
              <w:marBottom w:val="0"/>
              <w:divBdr>
                <w:top w:val="none" w:sz="0" w:space="0" w:color="auto"/>
                <w:left w:val="none" w:sz="0" w:space="0" w:color="auto"/>
                <w:bottom w:val="none" w:sz="0" w:space="0" w:color="auto"/>
                <w:right w:val="none" w:sz="0" w:space="0" w:color="auto"/>
              </w:divBdr>
            </w:div>
          </w:divsChild>
        </w:div>
        <w:div w:id="160199194">
          <w:marLeft w:val="0"/>
          <w:marRight w:val="0"/>
          <w:marTop w:val="0"/>
          <w:marBottom w:val="0"/>
          <w:divBdr>
            <w:top w:val="none" w:sz="0" w:space="0" w:color="auto"/>
            <w:left w:val="none" w:sz="0" w:space="0" w:color="auto"/>
            <w:bottom w:val="none" w:sz="0" w:space="0" w:color="auto"/>
            <w:right w:val="none" w:sz="0" w:space="0" w:color="auto"/>
          </w:divBdr>
          <w:divsChild>
            <w:div w:id="1951815860">
              <w:marLeft w:val="0"/>
              <w:marRight w:val="0"/>
              <w:marTop w:val="0"/>
              <w:marBottom w:val="0"/>
              <w:divBdr>
                <w:top w:val="none" w:sz="0" w:space="0" w:color="auto"/>
                <w:left w:val="none" w:sz="0" w:space="0" w:color="auto"/>
                <w:bottom w:val="none" w:sz="0" w:space="0" w:color="auto"/>
                <w:right w:val="none" w:sz="0" w:space="0" w:color="auto"/>
              </w:divBdr>
            </w:div>
          </w:divsChild>
        </w:div>
        <w:div w:id="56245907">
          <w:marLeft w:val="0"/>
          <w:marRight w:val="0"/>
          <w:marTop w:val="0"/>
          <w:marBottom w:val="0"/>
          <w:divBdr>
            <w:top w:val="none" w:sz="0" w:space="0" w:color="auto"/>
            <w:left w:val="none" w:sz="0" w:space="0" w:color="auto"/>
            <w:bottom w:val="none" w:sz="0" w:space="0" w:color="auto"/>
            <w:right w:val="none" w:sz="0" w:space="0" w:color="auto"/>
          </w:divBdr>
          <w:divsChild>
            <w:div w:id="1968120668">
              <w:marLeft w:val="0"/>
              <w:marRight w:val="0"/>
              <w:marTop w:val="0"/>
              <w:marBottom w:val="0"/>
              <w:divBdr>
                <w:top w:val="none" w:sz="0" w:space="0" w:color="auto"/>
                <w:left w:val="none" w:sz="0" w:space="0" w:color="auto"/>
                <w:bottom w:val="none" w:sz="0" w:space="0" w:color="auto"/>
                <w:right w:val="none" w:sz="0" w:space="0" w:color="auto"/>
              </w:divBdr>
            </w:div>
          </w:divsChild>
        </w:div>
        <w:div w:id="1874221384">
          <w:marLeft w:val="0"/>
          <w:marRight w:val="0"/>
          <w:marTop w:val="0"/>
          <w:marBottom w:val="0"/>
          <w:divBdr>
            <w:top w:val="none" w:sz="0" w:space="0" w:color="auto"/>
            <w:left w:val="none" w:sz="0" w:space="0" w:color="auto"/>
            <w:bottom w:val="none" w:sz="0" w:space="0" w:color="auto"/>
            <w:right w:val="none" w:sz="0" w:space="0" w:color="auto"/>
          </w:divBdr>
          <w:divsChild>
            <w:div w:id="950092934">
              <w:marLeft w:val="0"/>
              <w:marRight w:val="0"/>
              <w:marTop w:val="0"/>
              <w:marBottom w:val="0"/>
              <w:divBdr>
                <w:top w:val="none" w:sz="0" w:space="0" w:color="auto"/>
                <w:left w:val="none" w:sz="0" w:space="0" w:color="auto"/>
                <w:bottom w:val="none" w:sz="0" w:space="0" w:color="auto"/>
                <w:right w:val="none" w:sz="0" w:space="0" w:color="auto"/>
              </w:divBdr>
            </w:div>
          </w:divsChild>
        </w:div>
        <w:div w:id="1356619015">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0"/>
              <w:marRight w:val="0"/>
              <w:marTop w:val="0"/>
              <w:marBottom w:val="0"/>
              <w:divBdr>
                <w:top w:val="none" w:sz="0" w:space="0" w:color="auto"/>
                <w:left w:val="none" w:sz="0" w:space="0" w:color="auto"/>
                <w:bottom w:val="none" w:sz="0" w:space="0" w:color="auto"/>
                <w:right w:val="none" w:sz="0" w:space="0" w:color="auto"/>
              </w:divBdr>
            </w:div>
          </w:divsChild>
        </w:div>
        <w:div w:id="336927088">
          <w:marLeft w:val="0"/>
          <w:marRight w:val="0"/>
          <w:marTop w:val="0"/>
          <w:marBottom w:val="0"/>
          <w:divBdr>
            <w:top w:val="none" w:sz="0" w:space="0" w:color="auto"/>
            <w:left w:val="none" w:sz="0" w:space="0" w:color="auto"/>
            <w:bottom w:val="none" w:sz="0" w:space="0" w:color="auto"/>
            <w:right w:val="none" w:sz="0" w:space="0" w:color="auto"/>
          </w:divBdr>
          <w:divsChild>
            <w:div w:id="2059471509">
              <w:marLeft w:val="0"/>
              <w:marRight w:val="0"/>
              <w:marTop w:val="0"/>
              <w:marBottom w:val="0"/>
              <w:divBdr>
                <w:top w:val="none" w:sz="0" w:space="0" w:color="auto"/>
                <w:left w:val="none" w:sz="0" w:space="0" w:color="auto"/>
                <w:bottom w:val="none" w:sz="0" w:space="0" w:color="auto"/>
                <w:right w:val="none" w:sz="0" w:space="0" w:color="auto"/>
              </w:divBdr>
            </w:div>
          </w:divsChild>
        </w:div>
        <w:div w:id="123157657">
          <w:marLeft w:val="0"/>
          <w:marRight w:val="0"/>
          <w:marTop w:val="0"/>
          <w:marBottom w:val="0"/>
          <w:divBdr>
            <w:top w:val="none" w:sz="0" w:space="0" w:color="auto"/>
            <w:left w:val="none" w:sz="0" w:space="0" w:color="auto"/>
            <w:bottom w:val="none" w:sz="0" w:space="0" w:color="auto"/>
            <w:right w:val="none" w:sz="0" w:space="0" w:color="auto"/>
          </w:divBdr>
          <w:divsChild>
            <w:div w:id="18740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5522">
      <w:bodyDiv w:val="1"/>
      <w:marLeft w:val="0"/>
      <w:marRight w:val="0"/>
      <w:marTop w:val="0"/>
      <w:marBottom w:val="0"/>
      <w:divBdr>
        <w:top w:val="none" w:sz="0" w:space="0" w:color="auto"/>
        <w:left w:val="none" w:sz="0" w:space="0" w:color="auto"/>
        <w:bottom w:val="none" w:sz="0" w:space="0" w:color="auto"/>
        <w:right w:val="none" w:sz="0" w:space="0" w:color="auto"/>
      </w:divBdr>
      <w:divsChild>
        <w:div w:id="1217619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757029">
      <w:bodyDiv w:val="1"/>
      <w:marLeft w:val="0"/>
      <w:marRight w:val="0"/>
      <w:marTop w:val="0"/>
      <w:marBottom w:val="0"/>
      <w:divBdr>
        <w:top w:val="none" w:sz="0" w:space="0" w:color="auto"/>
        <w:left w:val="none" w:sz="0" w:space="0" w:color="auto"/>
        <w:bottom w:val="none" w:sz="0" w:space="0" w:color="auto"/>
        <w:right w:val="none" w:sz="0" w:space="0" w:color="auto"/>
      </w:divBdr>
    </w:div>
    <w:div w:id="1427459445">
      <w:bodyDiv w:val="1"/>
      <w:marLeft w:val="0"/>
      <w:marRight w:val="0"/>
      <w:marTop w:val="0"/>
      <w:marBottom w:val="0"/>
      <w:divBdr>
        <w:top w:val="none" w:sz="0" w:space="0" w:color="auto"/>
        <w:left w:val="none" w:sz="0" w:space="0" w:color="auto"/>
        <w:bottom w:val="none" w:sz="0" w:space="0" w:color="auto"/>
        <w:right w:val="none" w:sz="0" w:space="0" w:color="auto"/>
      </w:divBdr>
    </w:div>
    <w:div w:id="1431926214">
      <w:bodyDiv w:val="1"/>
      <w:marLeft w:val="0"/>
      <w:marRight w:val="0"/>
      <w:marTop w:val="0"/>
      <w:marBottom w:val="0"/>
      <w:divBdr>
        <w:top w:val="none" w:sz="0" w:space="0" w:color="auto"/>
        <w:left w:val="none" w:sz="0" w:space="0" w:color="auto"/>
        <w:bottom w:val="none" w:sz="0" w:space="0" w:color="auto"/>
        <w:right w:val="none" w:sz="0" w:space="0" w:color="auto"/>
      </w:divBdr>
    </w:div>
    <w:div w:id="1432120551">
      <w:bodyDiv w:val="1"/>
      <w:marLeft w:val="0"/>
      <w:marRight w:val="0"/>
      <w:marTop w:val="0"/>
      <w:marBottom w:val="0"/>
      <w:divBdr>
        <w:top w:val="none" w:sz="0" w:space="0" w:color="auto"/>
        <w:left w:val="none" w:sz="0" w:space="0" w:color="auto"/>
        <w:bottom w:val="none" w:sz="0" w:space="0" w:color="auto"/>
        <w:right w:val="none" w:sz="0" w:space="0" w:color="auto"/>
      </w:divBdr>
      <w:divsChild>
        <w:div w:id="1467433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665931">
      <w:bodyDiv w:val="1"/>
      <w:marLeft w:val="0"/>
      <w:marRight w:val="0"/>
      <w:marTop w:val="0"/>
      <w:marBottom w:val="0"/>
      <w:divBdr>
        <w:top w:val="none" w:sz="0" w:space="0" w:color="auto"/>
        <w:left w:val="none" w:sz="0" w:space="0" w:color="auto"/>
        <w:bottom w:val="none" w:sz="0" w:space="0" w:color="auto"/>
        <w:right w:val="none" w:sz="0" w:space="0" w:color="auto"/>
      </w:divBdr>
    </w:div>
    <w:div w:id="1443645708">
      <w:bodyDiv w:val="1"/>
      <w:marLeft w:val="0"/>
      <w:marRight w:val="0"/>
      <w:marTop w:val="0"/>
      <w:marBottom w:val="0"/>
      <w:divBdr>
        <w:top w:val="none" w:sz="0" w:space="0" w:color="auto"/>
        <w:left w:val="none" w:sz="0" w:space="0" w:color="auto"/>
        <w:bottom w:val="none" w:sz="0" w:space="0" w:color="auto"/>
        <w:right w:val="none" w:sz="0" w:space="0" w:color="auto"/>
      </w:divBdr>
    </w:div>
    <w:div w:id="1447120037">
      <w:bodyDiv w:val="1"/>
      <w:marLeft w:val="0"/>
      <w:marRight w:val="0"/>
      <w:marTop w:val="0"/>
      <w:marBottom w:val="0"/>
      <w:divBdr>
        <w:top w:val="none" w:sz="0" w:space="0" w:color="auto"/>
        <w:left w:val="none" w:sz="0" w:space="0" w:color="auto"/>
        <w:bottom w:val="none" w:sz="0" w:space="0" w:color="auto"/>
        <w:right w:val="none" w:sz="0" w:space="0" w:color="auto"/>
      </w:divBdr>
    </w:div>
    <w:div w:id="1450129199">
      <w:bodyDiv w:val="1"/>
      <w:marLeft w:val="0"/>
      <w:marRight w:val="0"/>
      <w:marTop w:val="0"/>
      <w:marBottom w:val="0"/>
      <w:divBdr>
        <w:top w:val="none" w:sz="0" w:space="0" w:color="auto"/>
        <w:left w:val="none" w:sz="0" w:space="0" w:color="auto"/>
        <w:bottom w:val="none" w:sz="0" w:space="0" w:color="auto"/>
        <w:right w:val="none" w:sz="0" w:space="0" w:color="auto"/>
      </w:divBdr>
    </w:div>
    <w:div w:id="1451585732">
      <w:bodyDiv w:val="1"/>
      <w:marLeft w:val="0"/>
      <w:marRight w:val="0"/>
      <w:marTop w:val="0"/>
      <w:marBottom w:val="0"/>
      <w:divBdr>
        <w:top w:val="none" w:sz="0" w:space="0" w:color="auto"/>
        <w:left w:val="none" w:sz="0" w:space="0" w:color="auto"/>
        <w:bottom w:val="none" w:sz="0" w:space="0" w:color="auto"/>
        <w:right w:val="none" w:sz="0" w:space="0" w:color="auto"/>
      </w:divBdr>
    </w:div>
    <w:div w:id="1452355748">
      <w:bodyDiv w:val="1"/>
      <w:marLeft w:val="0"/>
      <w:marRight w:val="0"/>
      <w:marTop w:val="0"/>
      <w:marBottom w:val="0"/>
      <w:divBdr>
        <w:top w:val="none" w:sz="0" w:space="0" w:color="auto"/>
        <w:left w:val="none" w:sz="0" w:space="0" w:color="auto"/>
        <w:bottom w:val="none" w:sz="0" w:space="0" w:color="auto"/>
        <w:right w:val="none" w:sz="0" w:space="0" w:color="auto"/>
      </w:divBdr>
    </w:div>
    <w:div w:id="1467510565">
      <w:bodyDiv w:val="1"/>
      <w:marLeft w:val="0"/>
      <w:marRight w:val="0"/>
      <w:marTop w:val="0"/>
      <w:marBottom w:val="0"/>
      <w:divBdr>
        <w:top w:val="none" w:sz="0" w:space="0" w:color="auto"/>
        <w:left w:val="none" w:sz="0" w:space="0" w:color="auto"/>
        <w:bottom w:val="none" w:sz="0" w:space="0" w:color="auto"/>
        <w:right w:val="none" w:sz="0" w:space="0" w:color="auto"/>
      </w:divBdr>
      <w:divsChild>
        <w:div w:id="683358446">
          <w:marLeft w:val="0"/>
          <w:marRight w:val="0"/>
          <w:marTop w:val="0"/>
          <w:marBottom w:val="0"/>
          <w:divBdr>
            <w:top w:val="none" w:sz="0" w:space="0" w:color="auto"/>
            <w:left w:val="none" w:sz="0" w:space="0" w:color="auto"/>
            <w:bottom w:val="none" w:sz="0" w:space="0" w:color="auto"/>
            <w:right w:val="none" w:sz="0" w:space="0" w:color="auto"/>
          </w:divBdr>
          <w:divsChild>
            <w:div w:id="1563524219">
              <w:marLeft w:val="0"/>
              <w:marRight w:val="0"/>
              <w:marTop w:val="0"/>
              <w:marBottom w:val="0"/>
              <w:divBdr>
                <w:top w:val="none" w:sz="0" w:space="0" w:color="auto"/>
                <w:left w:val="none" w:sz="0" w:space="0" w:color="auto"/>
                <w:bottom w:val="none" w:sz="0" w:space="0" w:color="auto"/>
                <w:right w:val="none" w:sz="0" w:space="0" w:color="auto"/>
              </w:divBdr>
              <w:divsChild>
                <w:div w:id="580338328">
                  <w:marLeft w:val="0"/>
                  <w:marRight w:val="0"/>
                  <w:marTop w:val="0"/>
                  <w:marBottom w:val="0"/>
                  <w:divBdr>
                    <w:top w:val="none" w:sz="0" w:space="0" w:color="auto"/>
                    <w:left w:val="none" w:sz="0" w:space="0" w:color="auto"/>
                    <w:bottom w:val="none" w:sz="0" w:space="0" w:color="auto"/>
                    <w:right w:val="none" w:sz="0" w:space="0" w:color="auto"/>
                  </w:divBdr>
                  <w:divsChild>
                    <w:div w:id="1409839657">
                      <w:marLeft w:val="0"/>
                      <w:marRight w:val="0"/>
                      <w:marTop w:val="0"/>
                      <w:marBottom w:val="0"/>
                      <w:divBdr>
                        <w:top w:val="none" w:sz="0" w:space="0" w:color="auto"/>
                        <w:left w:val="none" w:sz="0" w:space="0" w:color="auto"/>
                        <w:bottom w:val="none" w:sz="0" w:space="0" w:color="auto"/>
                        <w:right w:val="none" w:sz="0" w:space="0" w:color="auto"/>
                      </w:divBdr>
                      <w:divsChild>
                        <w:div w:id="1520856724">
                          <w:marLeft w:val="0"/>
                          <w:marRight w:val="0"/>
                          <w:marTop w:val="0"/>
                          <w:marBottom w:val="0"/>
                          <w:divBdr>
                            <w:top w:val="none" w:sz="0" w:space="0" w:color="auto"/>
                            <w:left w:val="none" w:sz="0" w:space="0" w:color="auto"/>
                            <w:bottom w:val="none" w:sz="0" w:space="0" w:color="auto"/>
                            <w:right w:val="none" w:sz="0" w:space="0" w:color="auto"/>
                          </w:divBdr>
                          <w:divsChild>
                            <w:div w:id="2820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0028">
                      <w:marLeft w:val="0"/>
                      <w:marRight w:val="0"/>
                      <w:marTop w:val="0"/>
                      <w:marBottom w:val="0"/>
                      <w:divBdr>
                        <w:top w:val="none" w:sz="0" w:space="0" w:color="auto"/>
                        <w:left w:val="none" w:sz="0" w:space="0" w:color="auto"/>
                        <w:bottom w:val="none" w:sz="0" w:space="0" w:color="auto"/>
                        <w:right w:val="none" w:sz="0" w:space="0" w:color="auto"/>
                      </w:divBdr>
                      <w:divsChild>
                        <w:div w:id="1722094327">
                          <w:marLeft w:val="0"/>
                          <w:marRight w:val="0"/>
                          <w:marTop w:val="0"/>
                          <w:marBottom w:val="0"/>
                          <w:divBdr>
                            <w:top w:val="none" w:sz="0" w:space="0" w:color="auto"/>
                            <w:left w:val="none" w:sz="0" w:space="0" w:color="auto"/>
                            <w:bottom w:val="none" w:sz="0" w:space="0" w:color="auto"/>
                            <w:right w:val="none" w:sz="0" w:space="0" w:color="auto"/>
                          </w:divBdr>
                          <w:divsChild>
                            <w:div w:id="1771197629">
                              <w:marLeft w:val="0"/>
                              <w:marRight w:val="0"/>
                              <w:marTop w:val="0"/>
                              <w:marBottom w:val="0"/>
                              <w:divBdr>
                                <w:top w:val="none" w:sz="0" w:space="0" w:color="auto"/>
                                <w:left w:val="none" w:sz="0" w:space="0" w:color="auto"/>
                                <w:bottom w:val="none" w:sz="0" w:space="0" w:color="auto"/>
                                <w:right w:val="none" w:sz="0" w:space="0" w:color="auto"/>
                              </w:divBdr>
                              <w:divsChild>
                                <w:div w:id="10471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04272">
          <w:marLeft w:val="0"/>
          <w:marRight w:val="0"/>
          <w:marTop w:val="0"/>
          <w:marBottom w:val="0"/>
          <w:divBdr>
            <w:top w:val="none" w:sz="0" w:space="0" w:color="auto"/>
            <w:left w:val="none" w:sz="0" w:space="0" w:color="auto"/>
            <w:bottom w:val="none" w:sz="0" w:space="0" w:color="auto"/>
            <w:right w:val="none" w:sz="0" w:space="0" w:color="auto"/>
          </w:divBdr>
          <w:divsChild>
            <w:div w:id="901909602">
              <w:marLeft w:val="0"/>
              <w:marRight w:val="0"/>
              <w:marTop w:val="0"/>
              <w:marBottom w:val="0"/>
              <w:divBdr>
                <w:top w:val="none" w:sz="0" w:space="0" w:color="auto"/>
                <w:left w:val="none" w:sz="0" w:space="0" w:color="auto"/>
                <w:bottom w:val="none" w:sz="0" w:space="0" w:color="auto"/>
                <w:right w:val="none" w:sz="0" w:space="0" w:color="auto"/>
              </w:divBdr>
              <w:divsChild>
                <w:div w:id="266620384">
                  <w:marLeft w:val="0"/>
                  <w:marRight w:val="0"/>
                  <w:marTop w:val="0"/>
                  <w:marBottom w:val="0"/>
                  <w:divBdr>
                    <w:top w:val="none" w:sz="0" w:space="0" w:color="auto"/>
                    <w:left w:val="none" w:sz="0" w:space="0" w:color="auto"/>
                    <w:bottom w:val="none" w:sz="0" w:space="0" w:color="auto"/>
                    <w:right w:val="none" w:sz="0" w:space="0" w:color="auto"/>
                  </w:divBdr>
                  <w:divsChild>
                    <w:div w:id="850068208">
                      <w:marLeft w:val="0"/>
                      <w:marRight w:val="0"/>
                      <w:marTop w:val="0"/>
                      <w:marBottom w:val="0"/>
                      <w:divBdr>
                        <w:top w:val="none" w:sz="0" w:space="0" w:color="auto"/>
                        <w:left w:val="none" w:sz="0" w:space="0" w:color="auto"/>
                        <w:bottom w:val="none" w:sz="0" w:space="0" w:color="auto"/>
                        <w:right w:val="none" w:sz="0" w:space="0" w:color="auto"/>
                      </w:divBdr>
                      <w:divsChild>
                        <w:div w:id="651251373">
                          <w:marLeft w:val="0"/>
                          <w:marRight w:val="0"/>
                          <w:marTop w:val="0"/>
                          <w:marBottom w:val="0"/>
                          <w:divBdr>
                            <w:top w:val="none" w:sz="0" w:space="0" w:color="auto"/>
                            <w:left w:val="none" w:sz="0" w:space="0" w:color="auto"/>
                            <w:bottom w:val="none" w:sz="0" w:space="0" w:color="auto"/>
                            <w:right w:val="none" w:sz="0" w:space="0" w:color="auto"/>
                          </w:divBdr>
                          <w:divsChild>
                            <w:div w:id="659384658">
                              <w:marLeft w:val="0"/>
                              <w:marRight w:val="0"/>
                              <w:marTop w:val="0"/>
                              <w:marBottom w:val="0"/>
                              <w:divBdr>
                                <w:top w:val="none" w:sz="0" w:space="0" w:color="auto"/>
                                <w:left w:val="none" w:sz="0" w:space="0" w:color="auto"/>
                                <w:bottom w:val="none" w:sz="0" w:space="0" w:color="auto"/>
                                <w:right w:val="none" w:sz="0" w:space="0" w:color="auto"/>
                              </w:divBdr>
                            </w:div>
                          </w:divsChild>
                        </w:div>
                        <w:div w:id="1361860922">
                          <w:marLeft w:val="0"/>
                          <w:marRight w:val="0"/>
                          <w:marTop w:val="0"/>
                          <w:marBottom w:val="0"/>
                          <w:divBdr>
                            <w:top w:val="none" w:sz="0" w:space="0" w:color="auto"/>
                            <w:left w:val="none" w:sz="0" w:space="0" w:color="auto"/>
                            <w:bottom w:val="none" w:sz="0" w:space="0" w:color="auto"/>
                            <w:right w:val="none" w:sz="0" w:space="0" w:color="auto"/>
                          </w:divBdr>
                        </w:div>
                      </w:divsChild>
                    </w:div>
                    <w:div w:id="528178593">
                      <w:marLeft w:val="0"/>
                      <w:marRight w:val="0"/>
                      <w:marTop w:val="0"/>
                      <w:marBottom w:val="0"/>
                      <w:divBdr>
                        <w:top w:val="none" w:sz="0" w:space="0" w:color="auto"/>
                        <w:left w:val="none" w:sz="0" w:space="0" w:color="auto"/>
                        <w:bottom w:val="none" w:sz="0" w:space="0" w:color="auto"/>
                        <w:right w:val="none" w:sz="0" w:space="0" w:color="auto"/>
                      </w:divBdr>
                      <w:divsChild>
                        <w:div w:id="1462000487">
                          <w:marLeft w:val="0"/>
                          <w:marRight w:val="0"/>
                          <w:marTop w:val="0"/>
                          <w:marBottom w:val="0"/>
                          <w:divBdr>
                            <w:top w:val="none" w:sz="0" w:space="0" w:color="auto"/>
                            <w:left w:val="none" w:sz="0" w:space="0" w:color="auto"/>
                            <w:bottom w:val="none" w:sz="0" w:space="0" w:color="auto"/>
                            <w:right w:val="none" w:sz="0" w:space="0" w:color="auto"/>
                          </w:divBdr>
                          <w:divsChild>
                            <w:div w:id="12646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39489">
          <w:marLeft w:val="0"/>
          <w:marRight w:val="0"/>
          <w:marTop w:val="0"/>
          <w:marBottom w:val="0"/>
          <w:divBdr>
            <w:top w:val="none" w:sz="0" w:space="0" w:color="auto"/>
            <w:left w:val="none" w:sz="0" w:space="0" w:color="auto"/>
            <w:bottom w:val="none" w:sz="0" w:space="0" w:color="auto"/>
            <w:right w:val="none" w:sz="0" w:space="0" w:color="auto"/>
          </w:divBdr>
          <w:divsChild>
            <w:div w:id="1087188488">
              <w:marLeft w:val="0"/>
              <w:marRight w:val="0"/>
              <w:marTop w:val="0"/>
              <w:marBottom w:val="0"/>
              <w:divBdr>
                <w:top w:val="none" w:sz="0" w:space="0" w:color="auto"/>
                <w:left w:val="none" w:sz="0" w:space="0" w:color="auto"/>
                <w:bottom w:val="none" w:sz="0" w:space="0" w:color="auto"/>
                <w:right w:val="none" w:sz="0" w:space="0" w:color="auto"/>
              </w:divBdr>
              <w:divsChild>
                <w:div w:id="1223099898">
                  <w:marLeft w:val="0"/>
                  <w:marRight w:val="0"/>
                  <w:marTop w:val="0"/>
                  <w:marBottom w:val="0"/>
                  <w:divBdr>
                    <w:top w:val="none" w:sz="0" w:space="0" w:color="auto"/>
                    <w:left w:val="none" w:sz="0" w:space="0" w:color="auto"/>
                    <w:bottom w:val="none" w:sz="0" w:space="0" w:color="auto"/>
                    <w:right w:val="none" w:sz="0" w:space="0" w:color="auto"/>
                  </w:divBdr>
                  <w:divsChild>
                    <w:div w:id="1821575811">
                      <w:marLeft w:val="0"/>
                      <w:marRight w:val="0"/>
                      <w:marTop w:val="0"/>
                      <w:marBottom w:val="0"/>
                      <w:divBdr>
                        <w:top w:val="none" w:sz="0" w:space="0" w:color="auto"/>
                        <w:left w:val="none" w:sz="0" w:space="0" w:color="auto"/>
                        <w:bottom w:val="none" w:sz="0" w:space="0" w:color="auto"/>
                        <w:right w:val="none" w:sz="0" w:space="0" w:color="auto"/>
                      </w:divBdr>
                      <w:divsChild>
                        <w:div w:id="1142310342">
                          <w:marLeft w:val="0"/>
                          <w:marRight w:val="0"/>
                          <w:marTop w:val="0"/>
                          <w:marBottom w:val="0"/>
                          <w:divBdr>
                            <w:top w:val="none" w:sz="0" w:space="0" w:color="auto"/>
                            <w:left w:val="none" w:sz="0" w:space="0" w:color="auto"/>
                            <w:bottom w:val="none" w:sz="0" w:space="0" w:color="auto"/>
                            <w:right w:val="none" w:sz="0" w:space="0" w:color="auto"/>
                          </w:divBdr>
                          <w:divsChild>
                            <w:div w:id="14446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127261">
      <w:bodyDiv w:val="1"/>
      <w:marLeft w:val="0"/>
      <w:marRight w:val="0"/>
      <w:marTop w:val="0"/>
      <w:marBottom w:val="0"/>
      <w:divBdr>
        <w:top w:val="none" w:sz="0" w:space="0" w:color="auto"/>
        <w:left w:val="none" w:sz="0" w:space="0" w:color="auto"/>
        <w:bottom w:val="none" w:sz="0" w:space="0" w:color="auto"/>
        <w:right w:val="none" w:sz="0" w:space="0" w:color="auto"/>
      </w:divBdr>
    </w:div>
    <w:div w:id="1474836497">
      <w:bodyDiv w:val="1"/>
      <w:marLeft w:val="0"/>
      <w:marRight w:val="0"/>
      <w:marTop w:val="0"/>
      <w:marBottom w:val="0"/>
      <w:divBdr>
        <w:top w:val="none" w:sz="0" w:space="0" w:color="auto"/>
        <w:left w:val="none" w:sz="0" w:space="0" w:color="auto"/>
        <w:bottom w:val="none" w:sz="0" w:space="0" w:color="auto"/>
        <w:right w:val="none" w:sz="0" w:space="0" w:color="auto"/>
      </w:divBdr>
    </w:div>
    <w:div w:id="1481772332">
      <w:bodyDiv w:val="1"/>
      <w:marLeft w:val="0"/>
      <w:marRight w:val="0"/>
      <w:marTop w:val="0"/>
      <w:marBottom w:val="0"/>
      <w:divBdr>
        <w:top w:val="none" w:sz="0" w:space="0" w:color="auto"/>
        <w:left w:val="none" w:sz="0" w:space="0" w:color="auto"/>
        <w:bottom w:val="none" w:sz="0" w:space="0" w:color="auto"/>
        <w:right w:val="none" w:sz="0" w:space="0" w:color="auto"/>
      </w:divBdr>
    </w:div>
    <w:div w:id="1492285259">
      <w:bodyDiv w:val="1"/>
      <w:marLeft w:val="0"/>
      <w:marRight w:val="0"/>
      <w:marTop w:val="0"/>
      <w:marBottom w:val="0"/>
      <w:divBdr>
        <w:top w:val="none" w:sz="0" w:space="0" w:color="auto"/>
        <w:left w:val="none" w:sz="0" w:space="0" w:color="auto"/>
        <w:bottom w:val="none" w:sz="0" w:space="0" w:color="auto"/>
        <w:right w:val="none" w:sz="0" w:space="0" w:color="auto"/>
      </w:divBdr>
    </w:div>
    <w:div w:id="1492601855">
      <w:bodyDiv w:val="1"/>
      <w:marLeft w:val="0"/>
      <w:marRight w:val="0"/>
      <w:marTop w:val="0"/>
      <w:marBottom w:val="0"/>
      <w:divBdr>
        <w:top w:val="none" w:sz="0" w:space="0" w:color="auto"/>
        <w:left w:val="none" w:sz="0" w:space="0" w:color="auto"/>
        <w:bottom w:val="none" w:sz="0" w:space="0" w:color="auto"/>
        <w:right w:val="none" w:sz="0" w:space="0" w:color="auto"/>
      </w:divBdr>
    </w:div>
    <w:div w:id="1493526160">
      <w:bodyDiv w:val="1"/>
      <w:marLeft w:val="0"/>
      <w:marRight w:val="0"/>
      <w:marTop w:val="0"/>
      <w:marBottom w:val="0"/>
      <w:divBdr>
        <w:top w:val="none" w:sz="0" w:space="0" w:color="auto"/>
        <w:left w:val="none" w:sz="0" w:space="0" w:color="auto"/>
        <w:bottom w:val="none" w:sz="0" w:space="0" w:color="auto"/>
        <w:right w:val="none" w:sz="0" w:space="0" w:color="auto"/>
      </w:divBdr>
    </w:div>
    <w:div w:id="1493568585">
      <w:bodyDiv w:val="1"/>
      <w:marLeft w:val="0"/>
      <w:marRight w:val="0"/>
      <w:marTop w:val="0"/>
      <w:marBottom w:val="0"/>
      <w:divBdr>
        <w:top w:val="none" w:sz="0" w:space="0" w:color="auto"/>
        <w:left w:val="none" w:sz="0" w:space="0" w:color="auto"/>
        <w:bottom w:val="none" w:sz="0" w:space="0" w:color="auto"/>
        <w:right w:val="none" w:sz="0" w:space="0" w:color="auto"/>
      </w:divBdr>
    </w:div>
    <w:div w:id="1493989717">
      <w:bodyDiv w:val="1"/>
      <w:marLeft w:val="0"/>
      <w:marRight w:val="0"/>
      <w:marTop w:val="0"/>
      <w:marBottom w:val="0"/>
      <w:divBdr>
        <w:top w:val="none" w:sz="0" w:space="0" w:color="auto"/>
        <w:left w:val="none" w:sz="0" w:space="0" w:color="auto"/>
        <w:bottom w:val="none" w:sz="0" w:space="0" w:color="auto"/>
        <w:right w:val="none" w:sz="0" w:space="0" w:color="auto"/>
      </w:divBdr>
      <w:divsChild>
        <w:div w:id="718013966">
          <w:marLeft w:val="0"/>
          <w:marRight w:val="0"/>
          <w:marTop w:val="0"/>
          <w:marBottom w:val="0"/>
          <w:divBdr>
            <w:top w:val="none" w:sz="0" w:space="0" w:color="auto"/>
            <w:left w:val="none" w:sz="0" w:space="0" w:color="auto"/>
            <w:bottom w:val="none" w:sz="0" w:space="0" w:color="auto"/>
            <w:right w:val="none" w:sz="0" w:space="0" w:color="auto"/>
          </w:divBdr>
          <w:divsChild>
            <w:div w:id="1023552906">
              <w:marLeft w:val="0"/>
              <w:marRight w:val="0"/>
              <w:marTop w:val="0"/>
              <w:marBottom w:val="0"/>
              <w:divBdr>
                <w:top w:val="none" w:sz="0" w:space="0" w:color="auto"/>
                <w:left w:val="none" w:sz="0" w:space="0" w:color="auto"/>
                <w:bottom w:val="none" w:sz="0" w:space="0" w:color="auto"/>
                <w:right w:val="none" w:sz="0" w:space="0" w:color="auto"/>
              </w:divBdr>
              <w:divsChild>
                <w:div w:id="875699907">
                  <w:marLeft w:val="0"/>
                  <w:marRight w:val="0"/>
                  <w:marTop w:val="0"/>
                  <w:marBottom w:val="0"/>
                  <w:divBdr>
                    <w:top w:val="none" w:sz="0" w:space="0" w:color="auto"/>
                    <w:left w:val="none" w:sz="0" w:space="0" w:color="auto"/>
                    <w:bottom w:val="none" w:sz="0" w:space="0" w:color="auto"/>
                    <w:right w:val="none" w:sz="0" w:space="0" w:color="auto"/>
                  </w:divBdr>
                  <w:divsChild>
                    <w:div w:id="1643148214">
                      <w:marLeft w:val="0"/>
                      <w:marRight w:val="0"/>
                      <w:marTop w:val="0"/>
                      <w:marBottom w:val="0"/>
                      <w:divBdr>
                        <w:top w:val="none" w:sz="0" w:space="0" w:color="auto"/>
                        <w:left w:val="none" w:sz="0" w:space="0" w:color="auto"/>
                        <w:bottom w:val="none" w:sz="0" w:space="0" w:color="auto"/>
                        <w:right w:val="none" w:sz="0" w:space="0" w:color="auto"/>
                      </w:divBdr>
                      <w:divsChild>
                        <w:div w:id="2061703873">
                          <w:marLeft w:val="0"/>
                          <w:marRight w:val="0"/>
                          <w:marTop w:val="0"/>
                          <w:marBottom w:val="0"/>
                          <w:divBdr>
                            <w:top w:val="none" w:sz="0" w:space="0" w:color="auto"/>
                            <w:left w:val="none" w:sz="0" w:space="0" w:color="auto"/>
                            <w:bottom w:val="none" w:sz="0" w:space="0" w:color="auto"/>
                            <w:right w:val="none" w:sz="0" w:space="0" w:color="auto"/>
                          </w:divBdr>
                          <w:divsChild>
                            <w:div w:id="14683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0282">
                      <w:marLeft w:val="0"/>
                      <w:marRight w:val="0"/>
                      <w:marTop w:val="0"/>
                      <w:marBottom w:val="0"/>
                      <w:divBdr>
                        <w:top w:val="none" w:sz="0" w:space="0" w:color="auto"/>
                        <w:left w:val="none" w:sz="0" w:space="0" w:color="auto"/>
                        <w:bottom w:val="none" w:sz="0" w:space="0" w:color="auto"/>
                        <w:right w:val="none" w:sz="0" w:space="0" w:color="auto"/>
                      </w:divBdr>
                      <w:divsChild>
                        <w:div w:id="1611668025">
                          <w:marLeft w:val="0"/>
                          <w:marRight w:val="0"/>
                          <w:marTop w:val="0"/>
                          <w:marBottom w:val="0"/>
                          <w:divBdr>
                            <w:top w:val="none" w:sz="0" w:space="0" w:color="auto"/>
                            <w:left w:val="none" w:sz="0" w:space="0" w:color="auto"/>
                            <w:bottom w:val="none" w:sz="0" w:space="0" w:color="auto"/>
                            <w:right w:val="none" w:sz="0" w:space="0" w:color="auto"/>
                          </w:divBdr>
                          <w:divsChild>
                            <w:div w:id="2071148463">
                              <w:marLeft w:val="0"/>
                              <w:marRight w:val="0"/>
                              <w:marTop w:val="0"/>
                              <w:marBottom w:val="0"/>
                              <w:divBdr>
                                <w:top w:val="none" w:sz="0" w:space="0" w:color="auto"/>
                                <w:left w:val="none" w:sz="0" w:space="0" w:color="auto"/>
                                <w:bottom w:val="none" w:sz="0" w:space="0" w:color="auto"/>
                                <w:right w:val="none" w:sz="0" w:space="0" w:color="auto"/>
                              </w:divBdr>
                              <w:divsChild>
                                <w:div w:id="82840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103856">
      <w:bodyDiv w:val="1"/>
      <w:marLeft w:val="0"/>
      <w:marRight w:val="0"/>
      <w:marTop w:val="0"/>
      <w:marBottom w:val="0"/>
      <w:divBdr>
        <w:top w:val="none" w:sz="0" w:space="0" w:color="auto"/>
        <w:left w:val="none" w:sz="0" w:space="0" w:color="auto"/>
        <w:bottom w:val="none" w:sz="0" w:space="0" w:color="auto"/>
        <w:right w:val="none" w:sz="0" w:space="0" w:color="auto"/>
      </w:divBdr>
    </w:div>
    <w:div w:id="1512645601">
      <w:bodyDiv w:val="1"/>
      <w:marLeft w:val="0"/>
      <w:marRight w:val="0"/>
      <w:marTop w:val="0"/>
      <w:marBottom w:val="0"/>
      <w:divBdr>
        <w:top w:val="none" w:sz="0" w:space="0" w:color="auto"/>
        <w:left w:val="none" w:sz="0" w:space="0" w:color="auto"/>
        <w:bottom w:val="none" w:sz="0" w:space="0" w:color="auto"/>
        <w:right w:val="none" w:sz="0" w:space="0" w:color="auto"/>
      </w:divBdr>
    </w:div>
    <w:div w:id="1514149371">
      <w:bodyDiv w:val="1"/>
      <w:marLeft w:val="0"/>
      <w:marRight w:val="0"/>
      <w:marTop w:val="0"/>
      <w:marBottom w:val="0"/>
      <w:divBdr>
        <w:top w:val="none" w:sz="0" w:space="0" w:color="auto"/>
        <w:left w:val="none" w:sz="0" w:space="0" w:color="auto"/>
        <w:bottom w:val="none" w:sz="0" w:space="0" w:color="auto"/>
        <w:right w:val="none" w:sz="0" w:space="0" w:color="auto"/>
      </w:divBdr>
    </w:div>
    <w:div w:id="1516766054">
      <w:bodyDiv w:val="1"/>
      <w:marLeft w:val="0"/>
      <w:marRight w:val="0"/>
      <w:marTop w:val="0"/>
      <w:marBottom w:val="0"/>
      <w:divBdr>
        <w:top w:val="none" w:sz="0" w:space="0" w:color="auto"/>
        <w:left w:val="none" w:sz="0" w:space="0" w:color="auto"/>
        <w:bottom w:val="none" w:sz="0" w:space="0" w:color="auto"/>
        <w:right w:val="none" w:sz="0" w:space="0" w:color="auto"/>
      </w:divBdr>
    </w:div>
    <w:div w:id="1523086749">
      <w:bodyDiv w:val="1"/>
      <w:marLeft w:val="0"/>
      <w:marRight w:val="0"/>
      <w:marTop w:val="0"/>
      <w:marBottom w:val="0"/>
      <w:divBdr>
        <w:top w:val="none" w:sz="0" w:space="0" w:color="auto"/>
        <w:left w:val="none" w:sz="0" w:space="0" w:color="auto"/>
        <w:bottom w:val="none" w:sz="0" w:space="0" w:color="auto"/>
        <w:right w:val="none" w:sz="0" w:space="0" w:color="auto"/>
      </w:divBdr>
    </w:div>
    <w:div w:id="1524174659">
      <w:bodyDiv w:val="1"/>
      <w:marLeft w:val="0"/>
      <w:marRight w:val="0"/>
      <w:marTop w:val="0"/>
      <w:marBottom w:val="0"/>
      <w:divBdr>
        <w:top w:val="none" w:sz="0" w:space="0" w:color="auto"/>
        <w:left w:val="none" w:sz="0" w:space="0" w:color="auto"/>
        <w:bottom w:val="none" w:sz="0" w:space="0" w:color="auto"/>
        <w:right w:val="none" w:sz="0" w:space="0" w:color="auto"/>
      </w:divBdr>
    </w:div>
    <w:div w:id="1527133391">
      <w:bodyDiv w:val="1"/>
      <w:marLeft w:val="0"/>
      <w:marRight w:val="0"/>
      <w:marTop w:val="0"/>
      <w:marBottom w:val="0"/>
      <w:divBdr>
        <w:top w:val="none" w:sz="0" w:space="0" w:color="auto"/>
        <w:left w:val="none" w:sz="0" w:space="0" w:color="auto"/>
        <w:bottom w:val="none" w:sz="0" w:space="0" w:color="auto"/>
        <w:right w:val="none" w:sz="0" w:space="0" w:color="auto"/>
      </w:divBdr>
    </w:div>
    <w:div w:id="1539969847">
      <w:bodyDiv w:val="1"/>
      <w:marLeft w:val="0"/>
      <w:marRight w:val="0"/>
      <w:marTop w:val="0"/>
      <w:marBottom w:val="0"/>
      <w:divBdr>
        <w:top w:val="none" w:sz="0" w:space="0" w:color="auto"/>
        <w:left w:val="none" w:sz="0" w:space="0" w:color="auto"/>
        <w:bottom w:val="none" w:sz="0" w:space="0" w:color="auto"/>
        <w:right w:val="none" w:sz="0" w:space="0" w:color="auto"/>
      </w:divBdr>
    </w:div>
    <w:div w:id="1541936918">
      <w:bodyDiv w:val="1"/>
      <w:marLeft w:val="0"/>
      <w:marRight w:val="0"/>
      <w:marTop w:val="0"/>
      <w:marBottom w:val="0"/>
      <w:divBdr>
        <w:top w:val="none" w:sz="0" w:space="0" w:color="auto"/>
        <w:left w:val="none" w:sz="0" w:space="0" w:color="auto"/>
        <w:bottom w:val="none" w:sz="0" w:space="0" w:color="auto"/>
        <w:right w:val="none" w:sz="0" w:space="0" w:color="auto"/>
      </w:divBdr>
    </w:div>
    <w:div w:id="1543833155">
      <w:bodyDiv w:val="1"/>
      <w:marLeft w:val="0"/>
      <w:marRight w:val="0"/>
      <w:marTop w:val="0"/>
      <w:marBottom w:val="0"/>
      <w:divBdr>
        <w:top w:val="none" w:sz="0" w:space="0" w:color="auto"/>
        <w:left w:val="none" w:sz="0" w:space="0" w:color="auto"/>
        <w:bottom w:val="none" w:sz="0" w:space="0" w:color="auto"/>
        <w:right w:val="none" w:sz="0" w:space="0" w:color="auto"/>
      </w:divBdr>
    </w:div>
    <w:div w:id="1545405060">
      <w:bodyDiv w:val="1"/>
      <w:marLeft w:val="0"/>
      <w:marRight w:val="0"/>
      <w:marTop w:val="0"/>
      <w:marBottom w:val="0"/>
      <w:divBdr>
        <w:top w:val="none" w:sz="0" w:space="0" w:color="auto"/>
        <w:left w:val="none" w:sz="0" w:space="0" w:color="auto"/>
        <w:bottom w:val="none" w:sz="0" w:space="0" w:color="auto"/>
        <w:right w:val="none" w:sz="0" w:space="0" w:color="auto"/>
      </w:divBdr>
    </w:div>
    <w:div w:id="1560284952">
      <w:bodyDiv w:val="1"/>
      <w:marLeft w:val="0"/>
      <w:marRight w:val="0"/>
      <w:marTop w:val="0"/>
      <w:marBottom w:val="0"/>
      <w:divBdr>
        <w:top w:val="none" w:sz="0" w:space="0" w:color="auto"/>
        <w:left w:val="none" w:sz="0" w:space="0" w:color="auto"/>
        <w:bottom w:val="none" w:sz="0" w:space="0" w:color="auto"/>
        <w:right w:val="none" w:sz="0" w:space="0" w:color="auto"/>
      </w:divBdr>
    </w:div>
    <w:div w:id="1561211626">
      <w:bodyDiv w:val="1"/>
      <w:marLeft w:val="0"/>
      <w:marRight w:val="0"/>
      <w:marTop w:val="0"/>
      <w:marBottom w:val="0"/>
      <w:divBdr>
        <w:top w:val="none" w:sz="0" w:space="0" w:color="auto"/>
        <w:left w:val="none" w:sz="0" w:space="0" w:color="auto"/>
        <w:bottom w:val="none" w:sz="0" w:space="0" w:color="auto"/>
        <w:right w:val="none" w:sz="0" w:space="0" w:color="auto"/>
      </w:divBdr>
    </w:div>
    <w:div w:id="1562591497">
      <w:bodyDiv w:val="1"/>
      <w:marLeft w:val="0"/>
      <w:marRight w:val="0"/>
      <w:marTop w:val="0"/>
      <w:marBottom w:val="0"/>
      <w:divBdr>
        <w:top w:val="none" w:sz="0" w:space="0" w:color="auto"/>
        <w:left w:val="none" w:sz="0" w:space="0" w:color="auto"/>
        <w:bottom w:val="none" w:sz="0" w:space="0" w:color="auto"/>
        <w:right w:val="none" w:sz="0" w:space="0" w:color="auto"/>
      </w:divBdr>
    </w:div>
    <w:div w:id="1581712694">
      <w:bodyDiv w:val="1"/>
      <w:marLeft w:val="0"/>
      <w:marRight w:val="0"/>
      <w:marTop w:val="0"/>
      <w:marBottom w:val="0"/>
      <w:divBdr>
        <w:top w:val="none" w:sz="0" w:space="0" w:color="auto"/>
        <w:left w:val="none" w:sz="0" w:space="0" w:color="auto"/>
        <w:bottom w:val="none" w:sz="0" w:space="0" w:color="auto"/>
        <w:right w:val="none" w:sz="0" w:space="0" w:color="auto"/>
      </w:divBdr>
    </w:div>
    <w:div w:id="1583635980">
      <w:bodyDiv w:val="1"/>
      <w:marLeft w:val="0"/>
      <w:marRight w:val="0"/>
      <w:marTop w:val="0"/>
      <w:marBottom w:val="0"/>
      <w:divBdr>
        <w:top w:val="none" w:sz="0" w:space="0" w:color="auto"/>
        <w:left w:val="none" w:sz="0" w:space="0" w:color="auto"/>
        <w:bottom w:val="none" w:sz="0" w:space="0" w:color="auto"/>
        <w:right w:val="none" w:sz="0" w:space="0" w:color="auto"/>
      </w:divBdr>
      <w:divsChild>
        <w:div w:id="1897933050">
          <w:blockQuote w:val="1"/>
          <w:marLeft w:val="720"/>
          <w:marRight w:val="720"/>
          <w:marTop w:val="100"/>
          <w:marBottom w:val="100"/>
          <w:divBdr>
            <w:top w:val="none" w:sz="0" w:space="0" w:color="auto"/>
            <w:left w:val="none" w:sz="0" w:space="0" w:color="auto"/>
            <w:bottom w:val="none" w:sz="0" w:space="0" w:color="auto"/>
            <w:right w:val="none" w:sz="0" w:space="0" w:color="auto"/>
          </w:divBdr>
        </w:div>
        <w:div w:id="341320542">
          <w:blockQuote w:val="1"/>
          <w:marLeft w:val="720"/>
          <w:marRight w:val="720"/>
          <w:marTop w:val="100"/>
          <w:marBottom w:val="100"/>
          <w:divBdr>
            <w:top w:val="none" w:sz="0" w:space="0" w:color="auto"/>
            <w:left w:val="none" w:sz="0" w:space="0" w:color="auto"/>
            <w:bottom w:val="none" w:sz="0" w:space="0" w:color="auto"/>
            <w:right w:val="none" w:sz="0" w:space="0" w:color="auto"/>
          </w:divBdr>
        </w:div>
        <w:div w:id="335117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096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611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6058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797124">
          <w:blockQuote w:val="1"/>
          <w:marLeft w:val="720"/>
          <w:marRight w:val="720"/>
          <w:marTop w:val="100"/>
          <w:marBottom w:val="100"/>
          <w:divBdr>
            <w:top w:val="none" w:sz="0" w:space="0" w:color="auto"/>
            <w:left w:val="none" w:sz="0" w:space="0" w:color="auto"/>
            <w:bottom w:val="none" w:sz="0" w:space="0" w:color="auto"/>
            <w:right w:val="none" w:sz="0" w:space="0" w:color="auto"/>
          </w:divBdr>
        </w:div>
        <w:div w:id="653072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1394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494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232733">
      <w:bodyDiv w:val="1"/>
      <w:marLeft w:val="0"/>
      <w:marRight w:val="0"/>
      <w:marTop w:val="0"/>
      <w:marBottom w:val="0"/>
      <w:divBdr>
        <w:top w:val="none" w:sz="0" w:space="0" w:color="auto"/>
        <w:left w:val="none" w:sz="0" w:space="0" w:color="auto"/>
        <w:bottom w:val="none" w:sz="0" w:space="0" w:color="auto"/>
        <w:right w:val="none" w:sz="0" w:space="0" w:color="auto"/>
      </w:divBdr>
    </w:div>
    <w:div w:id="1593513551">
      <w:bodyDiv w:val="1"/>
      <w:marLeft w:val="0"/>
      <w:marRight w:val="0"/>
      <w:marTop w:val="0"/>
      <w:marBottom w:val="0"/>
      <w:divBdr>
        <w:top w:val="none" w:sz="0" w:space="0" w:color="auto"/>
        <w:left w:val="none" w:sz="0" w:space="0" w:color="auto"/>
        <w:bottom w:val="none" w:sz="0" w:space="0" w:color="auto"/>
        <w:right w:val="none" w:sz="0" w:space="0" w:color="auto"/>
      </w:divBdr>
    </w:div>
    <w:div w:id="1596474022">
      <w:bodyDiv w:val="1"/>
      <w:marLeft w:val="0"/>
      <w:marRight w:val="0"/>
      <w:marTop w:val="0"/>
      <w:marBottom w:val="0"/>
      <w:divBdr>
        <w:top w:val="none" w:sz="0" w:space="0" w:color="auto"/>
        <w:left w:val="none" w:sz="0" w:space="0" w:color="auto"/>
        <w:bottom w:val="none" w:sz="0" w:space="0" w:color="auto"/>
        <w:right w:val="none" w:sz="0" w:space="0" w:color="auto"/>
      </w:divBdr>
    </w:div>
    <w:div w:id="1596551228">
      <w:bodyDiv w:val="1"/>
      <w:marLeft w:val="0"/>
      <w:marRight w:val="0"/>
      <w:marTop w:val="0"/>
      <w:marBottom w:val="0"/>
      <w:divBdr>
        <w:top w:val="none" w:sz="0" w:space="0" w:color="auto"/>
        <w:left w:val="none" w:sz="0" w:space="0" w:color="auto"/>
        <w:bottom w:val="none" w:sz="0" w:space="0" w:color="auto"/>
        <w:right w:val="none" w:sz="0" w:space="0" w:color="auto"/>
      </w:divBdr>
    </w:div>
    <w:div w:id="1600020868">
      <w:bodyDiv w:val="1"/>
      <w:marLeft w:val="0"/>
      <w:marRight w:val="0"/>
      <w:marTop w:val="0"/>
      <w:marBottom w:val="0"/>
      <w:divBdr>
        <w:top w:val="none" w:sz="0" w:space="0" w:color="auto"/>
        <w:left w:val="none" w:sz="0" w:space="0" w:color="auto"/>
        <w:bottom w:val="none" w:sz="0" w:space="0" w:color="auto"/>
        <w:right w:val="none" w:sz="0" w:space="0" w:color="auto"/>
      </w:divBdr>
    </w:div>
    <w:div w:id="1602029234">
      <w:bodyDiv w:val="1"/>
      <w:marLeft w:val="0"/>
      <w:marRight w:val="0"/>
      <w:marTop w:val="0"/>
      <w:marBottom w:val="0"/>
      <w:divBdr>
        <w:top w:val="none" w:sz="0" w:space="0" w:color="auto"/>
        <w:left w:val="none" w:sz="0" w:space="0" w:color="auto"/>
        <w:bottom w:val="none" w:sz="0" w:space="0" w:color="auto"/>
        <w:right w:val="none" w:sz="0" w:space="0" w:color="auto"/>
      </w:divBdr>
    </w:div>
    <w:div w:id="1603298676">
      <w:bodyDiv w:val="1"/>
      <w:marLeft w:val="0"/>
      <w:marRight w:val="0"/>
      <w:marTop w:val="0"/>
      <w:marBottom w:val="0"/>
      <w:divBdr>
        <w:top w:val="none" w:sz="0" w:space="0" w:color="auto"/>
        <w:left w:val="none" w:sz="0" w:space="0" w:color="auto"/>
        <w:bottom w:val="none" w:sz="0" w:space="0" w:color="auto"/>
        <w:right w:val="none" w:sz="0" w:space="0" w:color="auto"/>
      </w:divBdr>
    </w:div>
    <w:div w:id="1615745931">
      <w:bodyDiv w:val="1"/>
      <w:marLeft w:val="0"/>
      <w:marRight w:val="0"/>
      <w:marTop w:val="0"/>
      <w:marBottom w:val="0"/>
      <w:divBdr>
        <w:top w:val="none" w:sz="0" w:space="0" w:color="auto"/>
        <w:left w:val="none" w:sz="0" w:space="0" w:color="auto"/>
        <w:bottom w:val="none" w:sz="0" w:space="0" w:color="auto"/>
        <w:right w:val="none" w:sz="0" w:space="0" w:color="auto"/>
      </w:divBdr>
      <w:divsChild>
        <w:div w:id="1679236097">
          <w:marLeft w:val="0"/>
          <w:marRight w:val="0"/>
          <w:marTop w:val="0"/>
          <w:marBottom w:val="0"/>
          <w:divBdr>
            <w:top w:val="none" w:sz="0" w:space="0" w:color="auto"/>
            <w:left w:val="none" w:sz="0" w:space="0" w:color="auto"/>
            <w:bottom w:val="none" w:sz="0" w:space="0" w:color="auto"/>
            <w:right w:val="none" w:sz="0" w:space="0" w:color="auto"/>
          </w:divBdr>
          <w:divsChild>
            <w:div w:id="1054350274">
              <w:marLeft w:val="0"/>
              <w:marRight w:val="0"/>
              <w:marTop w:val="0"/>
              <w:marBottom w:val="0"/>
              <w:divBdr>
                <w:top w:val="none" w:sz="0" w:space="0" w:color="auto"/>
                <w:left w:val="none" w:sz="0" w:space="0" w:color="auto"/>
                <w:bottom w:val="none" w:sz="0" w:space="0" w:color="auto"/>
                <w:right w:val="none" w:sz="0" w:space="0" w:color="auto"/>
              </w:divBdr>
              <w:divsChild>
                <w:div w:id="606233942">
                  <w:marLeft w:val="0"/>
                  <w:marRight w:val="0"/>
                  <w:marTop w:val="0"/>
                  <w:marBottom w:val="0"/>
                  <w:divBdr>
                    <w:top w:val="none" w:sz="0" w:space="0" w:color="auto"/>
                    <w:left w:val="none" w:sz="0" w:space="0" w:color="auto"/>
                    <w:bottom w:val="none" w:sz="0" w:space="0" w:color="auto"/>
                    <w:right w:val="none" w:sz="0" w:space="0" w:color="auto"/>
                  </w:divBdr>
                  <w:divsChild>
                    <w:div w:id="840320199">
                      <w:marLeft w:val="0"/>
                      <w:marRight w:val="0"/>
                      <w:marTop w:val="0"/>
                      <w:marBottom w:val="0"/>
                      <w:divBdr>
                        <w:top w:val="none" w:sz="0" w:space="0" w:color="auto"/>
                        <w:left w:val="none" w:sz="0" w:space="0" w:color="auto"/>
                        <w:bottom w:val="none" w:sz="0" w:space="0" w:color="auto"/>
                        <w:right w:val="none" w:sz="0" w:space="0" w:color="auto"/>
                      </w:divBdr>
                      <w:divsChild>
                        <w:div w:id="171647155">
                          <w:marLeft w:val="0"/>
                          <w:marRight w:val="0"/>
                          <w:marTop w:val="0"/>
                          <w:marBottom w:val="0"/>
                          <w:divBdr>
                            <w:top w:val="none" w:sz="0" w:space="0" w:color="auto"/>
                            <w:left w:val="none" w:sz="0" w:space="0" w:color="auto"/>
                            <w:bottom w:val="none" w:sz="0" w:space="0" w:color="auto"/>
                            <w:right w:val="none" w:sz="0" w:space="0" w:color="auto"/>
                          </w:divBdr>
                          <w:divsChild>
                            <w:div w:id="621692820">
                              <w:marLeft w:val="0"/>
                              <w:marRight w:val="0"/>
                              <w:marTop w:val="0"/>
                              <w:marBottom w:val="0"/>
                              <w:divBdr>
                                <w:top w:val="none" w:sz="0" w:space="0" w:color="auto"/>
                                <w:left w:val="none" w:sz="0" w:space="0" w:color="auto"/>
                                <w:bottom w:val="none" w:sz="0" w:space="0" w:color="auto"/>
                                <w:right w:val="none" w:sz="0" w:space="0" w:color="auto"/>
                              </w:divBdr>
                              <w:divsChild>
                                <w:div w:id="20203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9885">
                          <w:marLeft w:val="0"/>
                          <w:marRight w:val="0"/>
                          <w:marTop w:val="0"/>
                          <w:marBottom w:val="0"/>
                          <w:divBdr>
                            <w:top w:val="none" w:sz="0" w:space="0" w:color="auto"/>
                            <w:left w:val="none" w:sz="0" w:space="0" w:color="auto"/>
                            <w:bottom w:val="none" w:sz="0" w:space="0" w:color="auto"/>
                            <w:right w:val="none" w:sz="0" w:space="0" w:color="auto"/>
                          </w:divBdr>
                          <w:divsChild>
                            <w:div w:id="2026397797">
                              <w:marLeft w:val="0"/>
                              <w:marRight w:val="0"/>
                              <w:marTop w:val="0"/>
                              <w:marBottom w:val="0"/>
                              <w:divBdr>
                                <w:top w:val="none" w:sz="0" w:space="0" w:color="auto"/>
                                <w:left w:val="none" w:sz="0" w:space="0" w:color="auto"/>
                                <w:bottom w:val="none" w:sz="0" w:space="0" w:color="auto"/>
                                <w:right w:val="none" w:sz="0" w:space="0" w:color="auto"/>
                              </w:divBdr>
                              <w:divsChild>
                                <w:div w:id="1667780817">
                                  <w:marLeft w:val="0"/>
                                  <w:marRight w:val="0"/>
                                  <w:marTop w:val="0"/>
                                  <w:marBottom w:val="0"/>
                                  <w:divBdr>
                                    <w:top w:val="none" w:sz="0" w:space="0" w:color="auto"/>
                                    <w:left w:val="none" w:sz="0" w:space="0" w:color="auto"/>
                                    <w:bottom w:val="none" w:sz="0" w:space="0" w:color="auto"/>
                                    <w:right w:val="none" w:sz="0" w:space="0" w:color="auto"/>
                                  </w:divBdr>
                                  <w:divsChild>
                                    <w:div w:id="3364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87720">
              <w:marLeft w:val="0"/>
              <w:marRight w:val="0"/>
              <w:marTop w:val="0"/>
              <w:marBottom w:val="0"/>
              <w:divBdr>
                <w:top w:val="none" w:sz="0" w:space="0" w:color="auto"/>
                <w:left w:val="none" w:sz="0" w:space="0" w:color="auto"/>
                <w:bottom w:val="none" w:sz="0" w:space="0" w:color="auto"/>
                <w:right w:val="none" w:sz="0" w:space="0" w:color="auto"/>
              </w:divBdr>
              <w:divsChild>
                <w:div w:id="592279734">
                  <w:marLeft w:val="0"/>
                  <w:marRight w:val="0"/>
                  <w:marTop w:val="0"/>
                  <w:marBottom w:val="0"/>
                  <w:divBdr>
                    <w:top w:val="none" w:sz="0" w:space="0" w:color="auto"/>
                    <w:left w:val="none" w:sz="0" w:space="0" w:color="auto"/>
                    <w:bottom w:val="none" w:sz="0" w:space="0" w:color="auto"/>
                    <w:right w:val="none" w:sz="0" w:space="0" w:color="auto"/>
                  </w:divBdr>
                  <w:divsChild>
                    <w:div w:id="17063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02752">
      <w:bodyDiv w:val="1"/>
      <w:marLeft w:val="0"/>
      <w:marRight w:val="0"/>
      <w:marTop w:val="0"/>
      <w:marBottom w:val="0"/>
      <w:divBdr>
        <w:top w:val="none" w:sz="0" w:space="0" w:color="auto"/>
        <w:left w:val="none" w:sz="0" w:space="0" w:color="auto"/>
        <w:bottom w:val="none" w:sz="0" w:space="0" w:color="auto"/>
        <w:right w:val="none" w:sz="0" w:space="0" w:color="auto"/>
      </w:divBdr>
    </w:div>
    <w:div w:id="1619683362">
      <w:bodyDiv w:val="1"/>
      <w:marLeft w:val="0"/>
      <w:marRight w:val="0"/>
      <w:marTop w:val="0"/>
      <w:marBottom w:val="0"/>
      <w:divBdr>
        <w:top w:val="none" w:sz="0" w:space="0" w:color="auto"/>
        <w:left w:val="none" w:sz="0" w:space="0" w:color="auto"/>
        <w:bottom w:val="none" w:sz="0" w:space="0" w:color="auto"/>
        <w:right w:val="none" w:sz="0" w:space="0" w:color="auto"/>
      </w:divBdr>
      <w:divsChild>
        <w:div w:id="1561477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69500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0408989">
      <w:bodyDiv w:val="1"/>
      <w:marLeft w:val="0"/>
      <w:marRight w:val="0"/>
      <w:marTop w:val="0"/>
      <w:marBottom w:val="0"/>
      <w:divBdr>
        <w:top w:val="none" w:sz="0" w:space="0" w:color="auto"/>
        <w:left w:val="none" w:sz="0" w:space="0" w:color="auto"/>
        <w:bottom w:val="none" w:sz="0" w:space="0" w:color="auto"/>
        <w:right w:val="none" w:sz="0" w:space="0" w:color="auto"/>
      </w:divBdr>
    </w:div>
    <w:div w:id="1621109484">
      <w:bodyDiv w:val="1"/>
      <w:marLeft w:val="0"/>
      <w:marRight w:val="0"/>
      <w:marTop w:val="0"/>
      <w:marBottom w:val="0"/>
      <w:divBdr>
        <w:top w:val="none" w:sz="0" w:space="0" w:color="auto"/>
        <w:left w:val="none" w:sz="0" w:space="0" w:color="auto"/>
        <w:bottom w:val="none" w:sz="0" w:space="0" w:color="auto"/>
        <w:right w:val="none" w:sz="0" w:space="0" w:color="auto"/>
      </w:divBdr>
    </w:div>
    <w:div w:id="1625574397">
      <w:bodyDiv w:val="1"/>
      <w:marLeft w:val="0"/>
      <w:marRight w:val="0"/>
      <w:marTop w:val="0"/>
      <w:marBottom w:val="0"/>
      <w:divBdr>
        <w:top w:val="none" w:sz="0" w:space="0" w:color="auto"/>
        <w:left w:val="none" w:sz="0" w:space="0" w:color="auto"/>
        <w:bottom w:val="none" w:sz="0" w:space="0" w:color="auto"/>
        <w:right w:val="none" w:sz="0" w:space="0" w:color="auto"/>
      </w:divBdr>
    </w:div>
    <w:div w:id="1632402721">
      <w:bodyDiv w:val="1"/>
      <w:marLeft w:val="0"/>
      <w:marRight w:val="0"/>
      <w:marTop w:val="0"/>
      <w:marBottom w:val="0"/>
      <w:divBdr>
        <w:top w:val="none" w:sz="0" w:space="0" w:color="auto"/>
        <w:left w:val="none" w:sz="0" w:space="0" w:color="auto"/>
        <w:bottom w:val="none" w:sz="0" w:space="0" w:color="auto"/>
        <w:right w:val="none" w:sz="0" w:space="0" w:color="auto"/>
      </w:divBdr>
      <w:divsChild>
        <w:div w:id="2069913709">
          <w:marLeft w:val="0"/>
          <w:marRight w:val="0"/>
          <w:marTop w:val="0"/>
          <w:marBottom w:val="0"/>
          <w:divBdr>
            <w:top w:val="single" w:sz="2" w:space="0" w:color="1F1E1D"/>
            <w:left w:val="single" w:sz="2" w:space="0" w:color="1F1E1D"/>
            <w:bottom w:val="single" w:sz="2" w:space="0" w:color="1F1E1D"/>
            <w:right w:val="single" w:sz="2" w:space="0" w:color="1F1E1D"/>
          </w:divBdr>
          <w:divsChild>
            <w:div w:id="448014535">
              <w:marLeft w:val="0"/>
              <w:marRight w:val="0"/>
              <w:marTop w:val="0"/>
              <w:marBottom w:val="0"/>
              <w:divBdr>
                <w:top w:val="single" w:sz="2" w:space="0" w:color="1F1E1D"/>
                <w:left w:val="single" w:sz="2" w:space="0" w:color="1F1E1D"/>
                <w:bottom w:val="single" w:sz="2" w:space="0" w:color="1F1E1D"/>
                <w:right w:val="single" w:sz="2" w:space="0" w:color="1F1E1D"/>
              </w:divBdr>
              <w:divsChild>
                <w:div w:id="1657949053">
                  <w:marLeft w:val="0"/>
                  <w:marRight w:val="0"/>
                  <w:marTop w:val="0"/>
                  <w:marBottom w:val="0"/>
                  <w:divBdr>
                    <w:top w:val="single" w:sz="2" w:space="0" w:color="1F1E1D"/>
                    <w:left w:val="single" w:sz="2" w:space="0" w:color="1F1E1D"/>
                    <w:bottom w:val="single" w:sz="2" w:space="0" w:color="1F1E1D"/>
                    <w:right w:val="single" w:sz="2" w:space="0" w:color="1F1E1D"/>
                  </w:divBdr>
                  <w:divsChild>
                    <w:div w:id="1358853357">
                      <w:marLeft w:val="0"/>
                      <w:marRight w:val="0"/>
                      <w:marTop w:val="0"/>
                      <w:marBottom w:val="0"/>
                      <w:divBdr>
                        <w:top w:val="single" w:sz="2" w:space="0" w:color="1F1E1D"/>
                        <w:left w:val="single" w:sz="2" w:space="0" w:color="1F1E1D"/>
                        <w:bottom w:val="single" w:sz="2" w:space="0" w:color="1F1E1D"/>
                        <w:right w:val="single" w:sz="2" w:space="0" w:color="1F1E1D"/>
                      </w:divBdr>
                      <w:divsChild>
                        <w:div w:id="2048799629">
                          <w:marLeft w:val="0"/>
                          <w:marRight w:val="0"/>
                          <w:marTop w:val="0"/>
                          <w:marBottom w:val="0"/>
                          <w:divBdr>
                            <w:top w:val="single" w:sz="2" w:space="0" w:color="1F1E1D"/>
                            <w:left w:val="single" w:sz="2" w:space="0" w:color="1F1E1D"/>
                            <w:bottom w:val="single" w:sz="2" w:space="0" w:color="1F1E1D"/>
                            <w:right w:val="single" w:sz="2" w:space="0" w:color="1F1E1D"/>
                          </w:divBdr>
                          <w:divsChild>
                            <w:div w:id="1733117483">
                              <w:marLeft w:val="0"/>
                              <w:marRight w:val="0"/>
                              <w:marTop w:val="0"/>
                              <w:marBottom w:val="0"/>
                              <w:divBdr>
                                <w:top w:val="single" w:sz="2" w:space="0" w:color="1F1E1D"/>
                                <w:left w:val="single" w:sz="2" w:space="0" w:color="1F1E1D"/>
                                <w:bottom w:val="single" w:sz="2" w:space="0" w:color="1F1E1D"/>
                                <w:right w:val="single" w:sz="2" w:space="0" w:color="1F1E1D"/>
                              </w:divBdr>
                              <w:divsChild>
                                <w:div w:id="1674261450">
                                  <w:marLeft w:val="0"/>
                                  <w:marRight w:val="0"/>
                                  <w:marTop w:val="0"/>
                                  <w:marBottom w:val="0"/>
                                  <w:divBdr>
                                    <w:top w:val="single" w:sz="2" w:space="0" w:color="1F1E1D"/>
                                    <w:left w:val="single" w:sz="2" w:space="0" w:color="1F1E1D"/>
                                    <w:bottom w:val="single" w:sz="2" w:space="0" w:color="1F1E1D"/>
                                    <w:right w:val="single" w:sz="2" w:space="0" w:color="1F1E1D"/>
                                  </w:divBdr>
                                </w:div>
                              </w:divsChild>
                            </w:div>
                          </w:divsChild>
                        </w:div>
                      </w:divsChild>
                    </w:div>
                  </w:divsChild>
                </w:div>
              </w:divsChild>
            </w:div>
          </w:divsChild>
        </w:div>
      </w:divsChild>
    </w:div>
    <w:div w:id="1632439113">
      <w:bodyDiv w:val="1"/>
      <w:marLeft w:val="0"/>
      <w:marRight w:val="0"/>
      <w:marTop w:val="0"/>
      <w:marBottom w:val="0"/>
      <w:divBdr>
        <w:top w:val="none" w:sz="0" w:space="0" w:color="auto"/>
        <w:left w:val="none" w:sz="0" w:space="0" w:color="auto"/>
        <w:bottom w:val="none" w:sz="0" w:space="0" w:color="auto"/>
        <w:right w:val="none" w:sz="0" w:space="0" w:color="auto"/>
      </w:divBdr>
    </w:div>
    <w:div w:id="1636108205">
      <w:bodyDiv w:val="1"/>
      <w:marLeft w:val="0"/>
      <w:marRight w:val="0"/>
      <w:marTop w:val="0"/>
      <w:marBottom w:val="0"/>
      <w:divBdr>
        <w:top w:val="none" w:sz="0" w:space="0" w:color="auto"/>
        <w:left w:val="none" w:sz="0" w:space="0" w:color="auto"/>
        <w:bottom w:val="none" w:sz="0" w:space="0" w:color="auto"/>
        <w:right w:val="none" w:sz="0" w:space="0" w:color="auto"/>
      </w:divBdr>
    </w:div>
    <w:div w:id="1638218036">
      <w:bodyDiv w:val="1"/>
      <w:marLeft w:val="0"/>
      <w:marRight w:val="0"/>
      <w:marTop w:val="0"/>
      <w:marBottom w:val="0"/>
      <w:divBdr>
        <w:top w:val="none" w:sz="0" w:space="0" w:color="auto"/>
        <w:left w:val="none" w:sz="0" w:space="0" w:color="auto"/>
        <w:bottom w:val="none" w:sz="0" w:space="0" w:color="auto"/>
        <w:right w:val="none" w:sz="0" w:space="0" w:color="auto"/>
      </w:divBdr>
    </w:div>
    <w:div w:id="1639259354">
      <w:bodyDiv w:val="1"/>
      <w:marLeft w:val="0"/>
      <w:marRight w:val="0"/>
      <w:marTop w:val="0"/>
      <w:marBottom w:val="0"/>
      <w:divBdr>
        <w:top w:val="none" w:sz="0" w:space="0" w:color="auto"/>
        <w:left w:val="none" w:sz="0" w:space="0" w:color="auto"/>
        <w:bottom w:val="none" w:sz="0" w:space="0" w:color="auto"/>
        <w:right w:val="none" w:sz="0" w:space="0" w:color="auto"/>
      </w:divBdr>
    </w:div>
    <w:div w:id="1644697234">
      <w:bodyDiv w:val="1"/>
      <w:marLeft w:val="0"/>
      <w:marRight w:val="0"/>
      <w:marTop w:val="0"/>
      <w:marBottom w:val="0"/>
      <w:divBdr>
        <w:top w:val="none" w:sz="0" w:space="0" w:color="auto"/>
        <w:left w:val="none" w:sz="0" w:space="0" w:color="auto"/>
        <w:bottom w:val="none" w:sz="0" w:space="0" w:color="auto"/>
        <w:right w:val="none" w:sz="0" w:space="0" w:color="auto"/>
      </w:divBdr>
    </w:div>
    <w:div w:id="1645888001">
      <w:bodyDiv w:val="1"/>
      <w:marLeft w:val="0"/>
      <w:marRight w:val="0"/>
      <w:marTop w:val="0"/>
      <w:marBottom w:val="0"/>
      <w:divBdr>
        <w:top w:val="none" w:sz="0" w:space="0" w:color="auto"/>
        <w:left w:val="none" w:sz="0" w:space="0" w:color="auto"/>
        <w:bottom w:val="none" w:sz="0" w:space="0" w:color="auto"/>
        <w:right w:val="none" w:sz="0" w:space="0" w:color="auto"/>
      </w:divBdr>
    </w:div>
    <w:div w:id="1649744879">
      <w:bodyDiv w:val="1"/>
      <w:marLeft w:val="0"/>
      <w:marRight w:val="0"/>
      <w:marTop w:val="0"/>
      <w:marBottom w:val="0"/>
      <w:divBdr>
        <w:top w:val="none" w:sz="0" w:space="0" w:color="auto"/>
        <w:left w:val="none" w:sz="0" w:space="0" w:color="auto"/>
        <w:bottom w:val="none" w:sz="0" w:space="0" w:color="auto"/>
        <w:right w:val="none" w:sz="0" w:space="0" w:color="auto"/>
      </w:divBdr>
      <w:divsChild>
        <w:div w:id="6298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18354026">
          <w:blockQuote w:val="1"/>
          <w:marLeft w:val="720"/>
          <w:marRight w:val="720"/>
          <w:marTop w:val="100"/>
          <w:marBottom w:val="100"/>
          <w:divBdr>
            <w:top w:val="none" w:sz="0" w:space="0" w:color="auto"/>
            <w:left w:val="none" w:sz="0" w:space="0" w:color="auto"/>
            <w:bottom w:val="none" w:sz="0" w:space="0" w:color="auto"/>
            <w:right w:val="none" w:sz="0" w:space="0" w:color="auto"/>
          </w:divBdr>
        </w:div>
        <w:div w:id="651761971">
          <w:blockQuote w:val="1"/>
          <w:marLeft w:val="720"/>
          <w:marRight w:val="720"/>
          <w:marTop w:val="100"/>
          <w:marBottom w:val="100"/>
          <w:divBdr>
            <w:top w:val="none" w:sz="0" w:space="0" w:color="auto"/>
            <w:left w:val="none" w:sz="0" w:space="0" w:color="auto"/>
            <w:bottom w:val="none" w:sz="0" w:space="0" w:color="auto"/>
            <w:right w:val="none" w:sz="0" w:space="0" w:color="auto"/>
          </w:divBdr>
        </w:div>
        <w:div w:id="758722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86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2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174180">
      <w:bodyDiv w:val="1"/>
      <w:marLeft w:val="0"/>
      <w:marRight w:val="0"/>
      <w:marTop w:val="0"/>
      <w:marBottom w:val="0"/>
      <w:divBdr>
        <w:top w:val="none" w:sz="0" w:space="0" w:color="auto"/>
        <w:left w:val="none" w:sz="0" w:space="0" w:color="auto"/>
        <w:bottom w:val="none" w:sz="0" w:space="0" w:color="auto"/>
        <w:right w:val="none" w:sz="0" w:space="0" w:color="auto"/>
      </w:divBdr>
    </w:div>
    <w:div w:id="1660384755">
      <w:bodyDiv w:val="1"/>
      <w:marLeft w:val="0"/>
      <w:marRight w:val="0"/>
      <w:marTop w:val="0"/>
      <w:marBottom w:val="0"/>
      <w:divBdr>
        <w:top w:val="none" w:sz="0" w:space="0" w:color="auto"/>
        <w:left w:val="none" w:sz="0" w:space="0" w:color="auto"/>
        <w:bottom w:val="none" w:sz="0" w:space="0" w:color="auto"/>
        <w:right w:val="none" w:sz="0" w:space="0" w:color="auto"/>
      </w:divBdr>
    </w:div>
    <w:div w:id="1663462717">
      <w:bodyDiv w:val="1"/>
      <w:marLeft w:val="0"/>
      <w:marRight w:val="0"/>
      <w:marTop w:val="0"/>
      <w:marBottom w:val="0"/>
      <w:divBdr>
        <w:top w:val="none" w:sz="0" w:space="0" w:color="auto"/>
        <w:left w:val="none" w:sz="0" w:space="0" w:color="auto"/>
        <w:bottom w:val="none" w:sz="0" w:space="0" w:color="auto"/>
        <w:right w:val="none" w:sz="0" w:space="0" w:color="auto"/>
      </w:divBdr>
    </w:div>
    <w:div w:id="1676491921">
      <w:bodyDiv w:val="1"/>
      <w:marLeft w:val="0"/>
      <w:marRight w:val="0"/>
      <w:marTop w:val="0"/>
      <w:marBottom w:val="0"/>
      <w:divBdr>
        <w:top w:val="none" w:sz="0" w:space="0" w:color="auto"/>
        <w:left w:val="none" w:sz="0" w:space="0" w:color="auto"/>
        <w:bottom w:val="none" w:sz="0" w:space="0" w:color="auto"/>
        <w:right w:val="none" w:sz="0" w:space="0" w:color="auto"/>
      </w:divBdr>
    </w:div>
    <w:div w:id="1682121163">
      <w:bodyDiv w:val="1"/>
      <w:marLeft w:val="0"/>
      <w:marRight w:val="0"/>
      <w:marTop w:val="0"/>
      <w:marBottom w:val="0"/>
      <w:divBdr>
        <w:top w:val="none" w:sz="0" w:space="0" w:color="auto"/>
        <w:left w:val="none" w:sz="0" w:space="0" w:color="auto"/>
        <w:bottom w:val="none" w:sz="0" w:space="0" w:color="auto"/>
        <w:right w:val="none" w:sz="0" w:space="0" w:color="auto"/>
      </w:divBdr>
    </w:div>
    <w:div w:id="1683319663">
      <w:bodyDiv w:val="1"/>
      <w:marLeft w:val="0"/>
      <w:marRight w:val="0"/>
      <w:marTop w:val="0"/>
      <w:marBottom w:val="0"/>
      <w:divBdr>
        <w:top w:val="none" w:sz="0" w:space="0" w:color="auto"/>
        <w:left w:val="none" w:sz="0" w:space="0" w:color="auto"/>
        <w:bottom w:val="none" w:sz="0" w:space="0" w:color="auto"/>
        <w:right w:val="none" w:sz="0" w:space="0" w:color="auto"/>
      </w:divBdr>
    </w:div>
    <w:div w:id="1685209614">
      <w:bodyDiv w:val="1"/>
      <w:marLeft w:val="0"/>
      <w:marRight w:val="0"/>
      <w:marTop w:val="0"/>
      <w:marBottom w:val="0"/>
      <w:divBdr>
        <w:top w:val="none" w:sz="0" w:space="0" w:color="auto"/>
        <w:left w:val="none" w:sz="0" w:space="0" w:color="auto"/>
        <w:bottom w:val="none" w:sz="0" w:space="0" w:color="auto"/>
        <w:right w:val="none" w:sz="0" w:space="0" w:color="auto"/>
      </w:divBdr>
      <w:divsChild>
        <w:div w:id="1191719245">
          <w:marLeft w:val="0"/>
          <w:marRight w:val="0"/>
          <w:marTop w:val="0"/>
          <w:marBottom w:val="0"/>
          <w:divBdr>
            <w:top w:val="none" w:sz="0" w:space="0" w:color="auto"/>
            <w:left w:val="none" w:sz="0" w:space="0" w:color="auto"/>
            <w:bottom w:val="none" w:sz="0" w:space="0" w:color="auto"/>
            <w:right w:val="none" w:sz="0" w:space="0" w:color="auto"/>
          </w:divBdr>
          <w:divsChild>
            <w:div w:id="776364968">
              <w:marLeft w:val="0"/>
              <w:marRight w:val="0"/>
              <w:marTop w:val="0"/>
              <w:marBottom w:val="0"/>
              <w:divBdr>
                <w:top w:val="none" w:sz="0" w:space="0" w:color="auto"/>
                <w:left w:val="none" w:sz="0" w:space="0" w:color="auto"/>
                <w:bottom w:val="none" w:sz="0" w:space="0" w:color="auto"/>
                <w:right w:val="none" w:sz="0" w:space="0" w:color="auto"/>
              </w:divBdr>
              <w:divsChild>
                <w:div w:id="114444448">
                  <w:marLeft w:val="0"/>
                  <w:marRight w:val="0"/>
                  <w:marTop w:val="0"/>
                  <w:marBottom w:val="0"/>
                  <w:divBdr>
                    <w:top w:val="none" w:sz="0" w:space="0" w:color="auto"/>
                    <w:left w:val="none" w:sz="0" w:space="0" w:color="auto"/>
                    <w:bottom w:val="none" w:sz="0" w:space="0" w:color="auto"/>
                    <w:right w:val="none" w:sz="0" w:space="0" w:color="auto"/>
                  </w:divBdr>
                  <w:divsChild>
                    <w:div w:id="1055662347">
                      <w:marLeft w:val="0"/>
                      <w:marRight w:val="0"/>
                      <w:marTop w:val="0"/>
                      <w:marBottom w:val="0"/>
                      <w:divBdr>
                        <w:top w:val="none" w:sz="0" w:space="0" w:color="auto"/>
                        <w:left w:val="none" w:sz="0" w:space="0" w:color="auto"/>
                        <w:bottom w:val="none" w:sz="0" w:space="0" w:color="auto"/>
                        <w:right w:val="none" w:sz="0" w:space="0" w:color="auto"/>
                      </w:divBdr>
                      <w:divsChild>
                        <w:div w:id="243733654">
                          <w:marLeft w:val="0"/>
                          <w:marRight w:val="0"/>
                          <w:marTop w:val="0"/>
                          <w:marBottom w:val="0"/>
                          <w:divBdr>
                            <w:top w:val="none" w:sz="0" w:space="0" w:color="auto"/>
                            <w:left w:val="none" w:sz="0" w:space="0" w:color="auto"/>
                            <w:bottom w:val="none" w:sz="0" w:space="0" w:color="auto"/>
                            <w:right w:val="none" w:sz="0" w:space="0" w:color="auto"/>
                          </w:divBdr>
                          <w:divsChild>
                            <w:div w:id="9488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12780">
                      <w:marLeft w:val="0"/>
                      <w:marRight w:val="0"/>
                      <w:marTop w:val="0"/>
                      <w:marBottom w:val="0"/>
                      <w:divBdr>
                        <w:top w:val="none" w:sz="0" w:space="0" w:color="auto"/>
                        <w:left w:val="none" w:sz="0" w:space="0" w:color="auto"/>
                        <w:bottom w:val="none" w:sz="0" w:space="0" w:color="auto"/>
                        <w:right w:val="none" w:sz="0" w:space="0" w:color="auto"/>
                      </w:divBdr>
                      <w:divsChild>
                        <w:div w:id="348989708">
                          <w:marLeft w:val="0"/>
                          <w:marRight w:val="0"/>
                          <w:marTop w:val="0"/>
                          <w:marBottom w:val="0"/>
                          <w:divBdr>
                            <w:top w:val="none" w:sz="0" w:space="0" w:color="auto"/>
                            <w:left w:val="none" w:sz="0" w:space="0" w:color="auto"/>
                            <w:bottom w:val="none" w:sz="0" w:space="0" w:color="auto"/>
                            <w:right w:val="none" w:sz="0" w:space="0" w:color="auto"/>
                          </w:divBdr>
                          <w:divsChild>
                            <w:div w:id="1435903516">
                              <w:marLeft w:val="0"/>
                              <w:marRight w:val="0"/>
                              <w:marTop w:val="0"/>
                              <w:marBottom w:val="0"/>
                              <w:divBdr>
                                <w:top w:val="none" w:sz="0" w:space="0" w:color="auto"/>
                                <w:left w:val="none" w:sz="0" w:space="0" w:color="auto"/>
                                <w:bottom w:val="none" w:sz="0" w:space="0" w:color="auto"/>
                                <w:right w:val="none" w:sz="0" w:space="0" w:color="auto"/>
                              </w:divBdr>
                              <w:divsChild>
                                <w:div w:id="11083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899491">
          <w:marLeft w:val="0"/>
          <w:marRight w:val="0"/>
          <w:marTop w:val="0"/>
          <w:marBottom w:val="0"/>
          <w:divBdr>
            <w:top w:val="none" w:sz="0" w:space="0" w:color="auto"/>
            <w:left w:val="none" w:sz="0" w:space="0" w:color="auto"/>
            <w:bottom w:val="none" w:sz="0" w:space="0" w:color="auto"/>
            <w:right w:val="none" w:sz="0" w:space="0" w:color="auto"/>
          </w:divBdr>
          <w:divsChild>
            <w:div w:id="1692104108">
              <w:marLeft w:val="0"/>
              <w:marRight w:val="0"/>
              <w:marTop w:val="0"/>
              <w:marBottom w:val="0"/>
              <w:divBdr>
                <w:top w:val="none" w:sz="0" w:space="0" w:color="auto"/>
                <w:left w:val="none" w:sz="0" w:space="0" w:color="auto"/>
                <w:bottom w:val="none" w:sz="0" w:space="0" w:color="auto"/>
                <w:right w:val="none" w:sz="0" w:space="0" w:color="auto"/>
              </w:divBdr>
              <w:divsChild>
                <w:div w:id="631785806">
                  <w:marLeft w:val="0"/>
                  <w:marRight w:val="0"/>
                  <w:marTop w:val="0"/>
                  <w:marBottom w:val="0"/>
                  <w:divBdr>
                    <w:top w:val="none" w:sz="0" w:space="0" w:color="auto"/>
                    <w:left w:val="none" w:sz="0" w:space="0" w:color="auto"/>
                    <w:bottom w:val="none" w:sz="0" w:space="0" w:color="auto"/>
                    <w:right w:val="none" w:sz="0" w:space="0" w:color="auto"/>
                  </w:divBdr>
                  <w:divsChild>
                    <w:div w:id="1149246580">
                      <w:marLeft w:val="0"/>
                      <w:marRight w:val="0"/>
                      <w:marTop w:val="0"/>
                      <w:marBottom w:val="0"/>
                      <w:divBdr>
                        <w:top w:val="none" w:sz="0" w:space="0" w:color="auto"/>
                        <w:left w:val="none" w:sz="0" w:space="0" w:color="auto"/>
                        <w:bottom w:val="none" w:sz="0" w:space="0" w:color="auto"/>
                        <w:right w:val="none" w:sz="0" w:space="0" w:color="auto"/>
                      </w:divBdr>
                      <w:divsChild>
                        <w:div w:id="1203979104">
                          <w:marLeft w:val="0"/>
                          <w:marRight w:val="0"/>
                          <w:marTop w:val="0"/>
                          <w:marBottom w:val="0"/>
                          <w:divBdr>
                            <w:top w:val="none" w:sz="0" w:space="0" w:color="auto"/>
                            <w:left w:val="none" w:sz="0" w:space="0" w:color="auto"/>
                            <w:bottom w:val="none" w:sz="0" w:space="0" w:color="auto"/>
                            <w:right w:val="none" w:sz="0" w:space="0" w:color="auto"/>
                          </w:divBdr>
                          <w:divsChild>
                            <w:div w:id="17469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538665">
      <w:bodyDiv w:val="1"/>
      <w:marLeft w:val="0"/>
      <w:marRight w:val="0"/>
      <w:marTop w:val="0"/>
      <w:marBottom w:val="0"/>
      <w:divBdr>
        <w:top w:val="none" w:sz="0" w:space="0" w:color="auto"/>
        <w:left w:val="none" w:sz="0" w:space="0" w:color="auto"/>
        <w:bottom w:val="none" w:sz="0" w:space="0" w:color="auto"/>
        <w:right w:val="none" w:sz="0" w:space="0" w:color="auto"/>
      </w:divBdr>
    </w:div>
    <w:div w:id="1701542699">
      <w:bodyDiv w:val="1"/>
      <w:marLeft w:val="0"/>
      <w:marRight w:val="0"/>
      <w:marTop w:val="0"/>
      <w:marBottom w:val="0"/>
      <w:divBdr>
        <w:top w:val="none" w:sz="0" w:space="0" w:color="auto"/>
        <w:left w:val="none" w:sz="0" w:space="0" w:color="auto"/>
        <w:bottom w:val="none" w:sz="0" w:space="0" w:color="auto"/>
        <w:right w:val="none" w:sz="0" w:space="0" w:color="auto"/>
      </w:divBdr>
    </w:div>
    <w:div w:id="1705789046">
      <w:bodyDiv w:val="1"/>
      <w:marLeft w:val="0"/>
      <w:marRight w:val="0"/>
      <w:marTop w:val="0"/>
      <w:marBottom w:val="0"/>
      <w:divBdr>
        <w:top w:val="none" w:sz="0" w:space="0" w:color="auto"/>
        <w:left w:val="none" w:sz="0" w:space="0" w:color="auto"/>
        <w:bottom w:val="none" w:sz="0" w:space="0" w:color="auto"/>
        <w:right w:val="none" w:sz="0" w:space="0" w:color="auto"/>
      </w:divBdr>
    </w:div>
    <w:div w:id="1719815704">
      <w:bodyDiv w:val="1"/>
      <w:marLeft w:val="0"/>
      <w:marRight w:val="0"/>
      <w:marTop w:val="0"/>
      <w:marBottom w:val="0"/>
      <w:divBdr>
        <w:top w:val="none" w:sz="0" w:space="0" w:color="auto"/>
        <w:left w:val="none" w:sz="0" w:space="0" w:color="auto"/>
        <w:bottom w:val="none" w:sz="0" w:space="0" w:color="auto"/>
        <w:right w:val="none" w:sz="0" w:space="0" w:color="auto"/>
      </w:divBdr>
    </w:div>
    <w:div w:id="1719938869">
      <w:bodyDiv w:val="1"/>
      <w:marLeft w:val="0"/>
      <w:marRight w:val="0"/>
      <w:marTop w:val="0"/>
      <w:marBottom w:val="0"/>
      <w:divBdr>
        <w:top w:val="none" w:sz="0" w:space="0" w:color="auto"/>
        <w:left w:val="none" w:sz="0" w:space="0" w:color="auto"/>
        <w:bottom w:val="none" w:sz="0" w:space="0" w:color="auto"/>
        <w:right w:val="none" w:sz="0" w:space="0" w:color="auto"/>
      </w:divBdr>
    </w:div>
    <w:div w:id="1726638976">
      <w:bodyDiv w:val="1"/>
      <w:marLeft w:val="0"/>
      <w:marRight w:val="0"/>
      <w:marTop w:val="0"/>
      <w:marBottom w:val="0"/>
      <w:divBdr>
        <w:top w:val="none" w:sz="0" w:space="0" w:color="auto"/>
        <w:left w:val="none" w:sz="0" w:space="0" w:color="auto"/>
        <w:bottom w:val="none" w:sz="0" w:space="0" w:color="auto"/>
        <w:right w:val="none" w:sz="0" w:space="0" w:color="auto"/>
      </w:divBdr>
    </w:div>
    <w:div w:id="1728917515">
      <w:bodyDiv w:val="1"/>
      <w:marLeft w:val="0"/>
      <w:marRight w:val="0"/>
      <w:marTop w:val="0"/>
      <w:marBottom w:val="0"/>
      <w:divBdr>
        <w:top w:val="none" w:sz="0" w:space="0" w:color="auto"/>
        <w:left w:val="none" w:sz="0" w:space="0" w:color="auto"/>
        <w:bottom w:val="none" w:sz="0" w:space="0" w:color="auto"/>
        <w:right w:val="none" w:sz="0" w:space="0" w:color="auto"/>
      </w:divBdr>
      <w:divsChild>
        <w:div w:id="1896040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0494036">
      <w:bodyDiv w:val="1"/>
      <w:marLeft w:val="0"/>
      <w:marRight w:val="0"/>
      <w:marTop w:val="0"/>
      <w:marBottom w:val="0"/>
      <w:divBdr>
        <w:top w:val="none" w:sz="0" w:space="0" w:color="auto"/>
        <w:left w:val="none" w:sz="0" w:space="0" w:color="auto"/>
        <w:bottom w:val="none" w:sz="0" w:space="0" w:color="auto"/>
        <w:right w:val="none" w:sz="0" w:space="0" w:color="auto"/>
      </w:divBdr>
    </w:div>
    <w:div w:id="1747412531">
      <w:bodyDiv w:val="1"/>
      <w:marLeft w:val="0"/>
      <w:marRight w:val="0"/>
      <w:marTop w:val="0"/>
      <w:marBottom w:val="0"/>
      <w:divBdr>
        <w:top w:val="none" w:sz="0" w:space="0" w:color="auto"/>
        <w:left w:val="none" w:sz="0" w:space="0" w:color="auto"/>
        <w:bottom w:val="none" w:sz="0" w:space="0" w:color="auto"/>
        <w:right w:val="none" w:sz="0" w:space="0" w:color="auto"/>
      </w:divBdr>
    </w:div>
    <w:div w:id="1749109968">
      <w:bodyDiv w:val="1"/>
      <w:marLeft w:val="0"/>
      <w:marRight w:val="0"/>
      <w:marTop w:val="0"/>
      <w:marBottom w:val="0"/>
      <w:divBdr>
        <w:top w:val="none" w:sz="0" w:space="0" w:color="auto"/>
        <w:left w:val="none" w:sz="0" w:space="0" w:color="auto"/>
        <w:bottom w:val="none" w:sz="0" w:space="0" w:color="auto"/>
        <w:right w:val="none" w:sz="0" w:space="0" w:color="auto"/>
      </w:divBdr>
    </w:div>
    <w:div w:id="1754475408">
      <w:bodyDiv w:val="1"/>
      <w:marLeft w:val="0"/>
      <w:marRight w:val="0"/>
      <w:marTop w:val="0"/>
      <w:marBottom w:val="0"/>
      <w:divBdr>
        <w:top w:val="none" w:sz="0" w:space="0" w:color="auto"/>
        <w:left w:val="none" w:sz="0" w:space="0" w:color="auto"/>
        <w:bottom w:val="none" w:sz="0" w:space="0" w:color="auto"/>
        <w:right w:val="none" w:sz="0" w:space="0" w:color="auto"/>
      </w:divBdr>
    </w:div>
    <w:div w:id="1756315294">
      <w:bodyDiv w:val="1"/>
      <w:marLeft w:val="0"/>
      <w:marRight w:val="0"/>
      <w:marTop w:val="0"/>
      <w:marBottom w:val="0"/>
      <w:divBdr>
        <w:top w:val="none" w:sz="0" w:space="0" w:color="auto"/>
        <w:left w:val="none" w:sz="0" w:space="0" w:color="auto"/>
        <w:bottom w:val="none" w:sz="0" w:space="0" w:color="auto"/>
        <w:right w:val="none" w:sz="0" w:space="0" w:color="auto"/>
      </w:divBdr>
    </w:div>
    <w:div w:id="1757708148">
      <w:bodyDiv w:val="1"/>
      <w:marLeft w:val="0"/>
      <w:marRight w:val="0"/>
      <w:marTop w:val="0"/>
      <w:marBottom w:val="0"/>
      <w:divBdr>
        <w:top w:val="none" w:sz="0" w:space="0" w:color="auto"/>
        <w:left w:val="none" w:sz="0" w:space="0" w:color="auto"/>
        <w:bottom w:val="none" w:sz="0" w:space="0" w:color="auto"/>
        <w:right w:val="none" w:sz="0" w:space="0" w:color="auto"/>
      </w:divBdr>
    </w:div>
    <w:div w:id="1764229531">
      <w:bodyDiv w:val="1"/>
      <w:marLeft w:val="0"/>
      <w:marRight w:val="0"/>
      <w:marTop w:val="0"/>
      <w:marBottom w:val="0"/>
      <w:divBdr>
        <w:top w:val="none" w:sz="0" w:space="0" w:color="auto"/>
        <w:left w:val="none" w:sz="0" w:space="0" w:color="auto"/>
        <w:bottom w:val="none" w:sz="0" w:space="0" w:color="auto"/>
        <w:right w:val="none" w:sz="0" w:space="0" w:color="auto"/>
      </w:divBdr>
    </w:div>
    <w:div w:id="1770926862">
      <w:bodyDiv w:val="1"/>
      <w:marLeft w:val="0"/>
      <w:marRight w:val="0"/>
      <w:marTop w:val="0"/>
      <w:marBottom w:val="0"/>
      <w:divBdr>
        <w:top w:val="none" w:sz="0" w:space="0" w:color="auto"/>
        <w:left w:val="none" w:sz="0" w:space="0" w:color="auto"/>
        <w:bottom w:val="none" w:sz="0" w:space="0" w:color="auto"/>
        <w:right w:val="none" w:sz="0" w:space="0" w:color="auto"/>
      </w:divBdr>
    </w:div>
    <w:div w:id="1771849836">
      <w:bodyDiv w:val="1"/>
      <w:marLeft w:val="0"/>
      <w:marRight w:val="0"/>
      <w:marTop w:val="0"/>
      <w:marBottom w:val="0"/>
      <w:divBdr>
        <w:top w:val="none" w:sz="0" w:space="0" w:color="auto"/>
        <w:left w:val="none" w:sz="0" w:space="0" w:color="auto"/>
        <w:bottom w:val="none" w:sz="0" w:space="0" w:color="auto"/>
        <w:right w:val="none" w:sz="0" w:space="0" w:color="auto"/>
      </w:divBdr>
    </w:div>
    <w:div w:id="1772503710">
      <w:bodyDiv w:val="1"/>
      <w:marLeft w:val="0"/>
      <w:marRight w:val="0"/>
      <w:marTop w:val="0"/>
      <w:marBottom w:val="0"/>
      <w:divBdr>
        <w:top w:val="none" w:sz="0" w:space="0" w:color="auto"/>
        <w:left w:val="none" w:sz="0" w:space="0" w:color="auto"/>
        <w:bottom w:val="none" w:sz="0" w:space="0" w:color="auto"/>
        <w:right w:val="none" w:sz="0" w:space="0" w:color="auto"/>
      </w:divBdr>
    </w:div>
    <w:div w:id="1778673164">
      <w:bodyDiv w:val="1"/>
      <w:marLeft w:val="0"/>
      <w:marRight w:val="0"/>
      <w:marTop w:val="0"/>
      <w:marBottom w:val="0"/>
      <w:divBdr>
        <w:top w:val="none" w:sz="0" w:space="0" w:color="auto"/>
        <w:left w:val="none" w:sz="0" w:space="0" w:color="auto"/>
        <w:bottom w:val="none" w:sz="0" w:space="0" w:color="auto"/>
        <w:right w:val="none" w:sz="0" w:space="0" w:color="auto"/>
      </w:divBdr>
    </w:div>
    <w:div w:id="1781028416">
      <w:bodyDiv w:val="1"/>
      <w:marLeft w:val="0"/>
      <w:marRight w:val="0"/>
      <w:marTop w:val="0"/>
      <w:marBottom w:val="0"/>
      <w:divBdr>
        <w:top w:val="none" w:sz="0" w:space="0" w:color="auto"/>
        <w:left w:val="none" w:sz="0" w:space="0" w:color="auto"/>
        <w:bottom w:val="none" w:sz="0" w:space="0" w:color="auto"/>
        <w:right w:val="none" w:sz="0" w:space="0" w:color="auto"/>
      </w:divBdr>
    </w:div>
    <w:div w:id="1802922535">
      <w:bodyDiv w:val="1"/>
      <w:marLeft w:val="0"/>
      <w:marRight w:val="0"/>
      <w:marTop w:val="0"/>
      <w:marBottom w:val="0"/>
      <w:divBdr>
        <w:top w:val="none" w:sz="0" w:space="0" w:color="auto"/>
        <w:left w:val="none" w:sz="0" w:space="0" w:color="auto"/>
        <w:bottom w:val="none" w:sz="0" w:space="0" w:color="auto"/>
        <w:right w:val="none" w:sz="0" w:space="0" w:color="auto"/>
      </w:divBdr>
    </w:div>
    <w:div w:id="1805931196">
      <w:bodyDiv w:val="1"/>
      <w:marLeft w:val="0"/>
      <w:marRight w:val="0"/>
      <w:marTop w:val="0"/>
      <w:marBottom w:val="0"/>
      <w:divBdr>
        <w:top w:val="none" w:sz="0" w:space="0" w:color="auto"/>
        <w:left w:val="none" w:sz="0" w:space="0" w:color="auto"/>
        <w:bottom w:val="none" w:sz="0" w:space="0" w:color="auto"/>
        <w:right w:val="none" w:sz="0" w:space="0" w:color="auto"/>
      </w:divBdr>
    </w:div>
    <w:div w:id="1816412995">
      <w:bodyDiv w:val="1"/>
      <w:marLeft w:val="0"/>
      <w:marRight w:val="0"/>
      <w:marTop w:val="0"/>
      <w:marBottom w:val="0"/>
      <w:divBdr>
        <w:top w:val="none" w:sz="0" w:space="0" w:color="auto"/>
        <w:left w:val="none" w:sz="0" w:space="0" w:color="auto"/>
        <w:bottom w:val="none" w:sz="0" w:space="0" w:color="auto"/>
        <w:right w:val="none" w:sz="0" w:space="0" w:color="auto"/>
      </w:divBdr>
    </w:div>
    <w:div w:id="1819298700">
      <w:bodyDiv w:val="1"/>
      <w:marLeft w:val="0"/>
      <w:marRight w:val="0"/>
      <w:marTop w:val="0"/>
      <w:marBottom w:val="0"/>
      <w:divBdr>
        <w:top w:val="none" w:sz="0" w:space="0" w:color="auto"/>
        <w:left w:val="none" w:sz="0" w:space="0" w:color="auto"/>
        <w:bottom w:val="none" w:sz="0" w:space="0" w:color="auto"/>
        <w:right w:val="none" w:sz="0" w:space="0" w:color="auto"/>
      </w:divBdr>
    </w:div>
    <w:div w:id="1827748719">
      <w:bodyDiv w:val="1"/>
      <w:marLeft w:val="0"/>
      <w:marRight w:val="0"/>
      <w:marTop w:val="0"/>
      <w:marBottom w:val="0"/>
      <w:divBdr>
        <w:top w:val="none" w:sz="0" w:space="0" w:color="auto"/>
        <w:left w:val="none" w:sz="0" w:space="0" w:color="auto"/>
        <w:bottom w:val="none" w:sz="0" w:space="0" w:color="auto"/>
        <w:right w:val="none" w:sz="0" w:space="0" w:color="auto"/>
      </w:divBdr>
    </w:div>
    <w:div w:id="1831753396">
      <w:bodyDiv w:val="1"/>
      <w:marLeft w:val="0"/>
      <w:marRight w:val="0"/>
      <w:marTop w:val="0"/>
      <w:marBottom w:val="0"/>
      <w:divBdr>
        <w:top w:val="none" w:sz="0" w:space="0" w:color="auto"/>
        <w:left w:val="none" w:sz="0" w:space="0" w:color="auto"/>
        <w:bottom w:val="none" w:sz="0" w:space="0" w:color="auto"/>
        <w:right w:val="none" w:sz="0" w:space="0" w:color="auto"/>
      </w:divBdr>
    </w:div>
    <w:div w:id="1845509460">
      <w:bodyDiv w:val="1"/>
      <w:marLeft w:val="0"/>
      <w:marRight w:val="0"/>
      <w:marTop w:val="0"/>
      <w:marBottom w:val="0"/>
      <w:divBdr>
        <w:top w:val="none" w:sz="0" w:space="0" w:color="auto"/>
        <w:left w:val="none" w:sz="0" w:space="0" w:color="auto"/>
        <w:bottom w:val="none" w:sz="0" w:space="0" w:color="auto"/>
        <w:right w:val="none" w:sz="0" w:space="0" w:color="auto"/>
      </w:divBdr>
    </w:div>
    <w:div w:id="1846748945">
      <w:bodyDiv w:val="1"/>
      <w:marLeft w:val="0"/>
      <w:marRight w:val="0"/>
      <w:marTop w:val="0"/>
      <w:marBottom w:val="0"/>
      <w:divBdr>
        <w:top w:val="none" w:sz="0" w:space="0" w:color="auto"/>
        <w:left w:val="none" w:sz="0" w:space="0" w:color="auto"/>
        <w:bottom w:val="none" w:sz="0" w:space="0" w:color="auto"/>
        <w:right w:val="none" w:sz="0" w:space="0" w:color="auto"/>
      </w:divBdr>
    </w:div>
    <w:div w:id="1848860893">
      <w:bodyDiv w:val="1"/>
      <w:marLeft w:val="0"/>
      <w:marRight w:val="0"/>
      <w:marTop w:val="0"/>
      <w:marBottom w:val="0"/>
      <w:divBdr>
        <w:top w:val="none" w:sz="0" w:space="0" w:color="auto"/>
        <w:left w:val="none" w:sz="0" w:space="0" w:color="auto"/>
        <w:bottom w:val="none" w:sz="0" w:space="0" w:color="auto"/>
        <w:right w:val="none" w:sz="0" w:space="0" w:color="auto"/>
      </w:divBdr>
    </w:div>
    <w:div w:id="1849834224">
      <w:bodyDiv w:val="1"/>
      <w:marLeft w:val="0"/>
      <w:marRight w:val="0"/>
      <w:marTop w:val="0"/>
      <w:marBottom w:val="0"/>
      <w:divBdr>
        <w:top w:val="none" w:sz="0" w:space="0" w:color="auto"/>
        <w:left w:val="none" w:sz="0" w:space="0" w:color="auto"/>
        <w:bottom w:val="none" w:sz="0" w:space="0" w:color="auto"/>
        <w:right w:val="none" w:sz="0" w:space="0" w:color="auto"/>
      </w:divBdr>
      <w:divsChild>
        <w:div w:id="1988778898">
          <w:marLeft w:val="0"/>
          <w:marRight w:val="0"/>
          <w:marTop w:val="0"/>
          <w:marBottom w:val="0"/>
          <w:divBdr>
            <w:top w:val="none" w:sz="0" w:space="0" w:color="auto"/>
            <w:left w:val="none" w:sz="0" w:space="0" w:color="auto"/>
            <w:bottom w:val="none" w:sz="0" w:space="0" w:color="auto"/>
            <w:right w:val="none" w:sz="0" w:space="0" w:color="auto"/>
          </w:divBdr>
          <w:divsChild>
            <w:div w:id="1236085035">
              <w:marLeft w:val="0"/>
              <w:marRight w:val="0"/>
              <w:marTop w:val="0"/>
              <w:marBottom w:val="0"/>
              <w:divBdr>
                <w:top w:val="none" w:sz="0" w:space="0" w:color="auto"/>
                <w:left w:val="none" w:sz="0" w:space="0" w:color="auto"/>
                <w:bottom w:val="none" w:sz="0" w:space="0" w:color="auto"/>
                <w:right w:val="none" w:sz="0" w:space="0" w:color="auto"/>
              </w:divBdr>
            </w:div>
          </w:divsChild>
        </w:div>
        <w:div w:id="532353811">
          <w:marLeft w:val="0"/>
          <w:marRight w:val="0"/>
          <w:marTop w:val="0"/>
          <w:marBottom w:val="0"/>
          <w:divBdr>
            <w:top w:val="none" w:sz="0" w:space="0" w:color="auto"/>
            <w:left w:val="none" w:sz="0" w:space="0" w:color="auto"/>
            <w:bottom w:val="none" w:sz="0" w:space="0" w:color="auto"/>
            <w:right w:val="none" w:sz="0" w:space="0" w:color="auto"/>
          </w:divBdr>
          <w:divsChild>
            <w:div w:id="373192760">
              <w:marLeft w:val="0"/>
              <w:marRight w:val="0"/>
              <w:marTop w:val="0"/>
              <w:marBottom w:val="0"/>
              <w:divBdr>
                <w:top w:val="none" w:sz="0" w:space="0" w:color="auto"/>
                <w:left w:val="none" w:sz="0" w:space="0" w:color="auto"/>
                <w:bottom w:val="none" w:sz="0" w:space="0" w:color="auto"/>
                <w:right w:val="none" w:sz="0" w:space="0" w:color="auto"/>
              </w:divBdr>
            </w:div>
          </w:divsChild>
        </w:div>
        <w:div w:id="1018652513">
          <w:marLeft w:val="0"/>
          <w:marRight w:val="0"/>
          <w:marTop w:val="0"/>
          <w:marBottom w:val="0"/>
          <w:divBdr>
            <w:top w:val="none" w:sz="0" w:space="0" w:color="auto"/>
            <w:left w:val="none" w:sz="0" w:space="0" w:color="auto"/>
            <w:bottom w:val="none" w:sz="0" w:space="0" w:color="auto"/>
            <w:right w:val="none" w:sz="0" w:space="0" w:color="auto"/>
          </w:divBdr>
          <w:divsChild>
            <w:div w:id="1024357262">
              <w:marLeft w:val="0"/>
              <w:marRight w:val="0"/>
              <w:marTop w:val="0"/>
              <w:marBottom w:val="0"/>
              <w:divBdr>
                <w:top w:val="none" w:sz="0" w:space="0" w:color="auto"/>
                <w:left w:val="none" w:sz="0" w:space="0" w:color="auto"/>
                <w:bottom w:val="none" w:sz="0" w:space="0" w:color="auto"/>
                <w:right w:val="none" w:sz="0" w:space="0" w:color="auto"/>
              </w:divBdr>
            </w:div>
          </w:divsChild>
        </w:div>
        <w:div w:id="139812578">
          <w:marLeft w:val="0"/>
          <w:marRight w:val="0"/>
          <w:marTop w:val="0"/>
          <w:marBottom w:val="0"/>
          <w:divBdr>
            <w:top w:val="none" w:sz="0" w:space="0" w:color="auto"/>
            <w:left w:val="none" w:sz="0" w:space="0" w:color="auto"/>
            <w:bottom w:val="none" w:sz="0" w:space="0" w:color="auto"/>
            <w:right w:val="none" w:sz="0" w:space="0" w:color="auto"/>
          </w:divBdr>
          <w:divsChild>
            <w:div w:id="149559441">
              <w:marLeft w:val="0"/>
              <w:marRight w:val="0"/>
              <w:marTop w:val="0"/>
              <w:marBottom w:val="0"/>
              <w:divBdr>
                <w:top w:val="none" w:sz="0" w:space="0" w:color="auto"/>
                <w:left w:val="none" w:sz="0" w:space="0" w:color="auto"/>
                <w:bottom w:val="none" w:sz="0" w:space="0" w:color="auto"/>
                <w:right w:val="none" w:sz="0" w:space="0" w:color="auto"/>
              </w:divBdr>
            </w:div>
          </w:divsChild>
        </w:div>
        <w:div w:id="1363021709">
          <w:marLeft w:val="0"/>
          <w:marRight w:val="0"/>
          <w:marTop w:val="0"/>
          <w:marBottom w:val="0"/>
          <w:divBdr>
            <w:top w:val="none" w:sz="0" w:space="0" w:color="auto"/>
            <w:left w:val="none" w:sz="0" w:space="0" w:color="auto"/>
            <w:bottom w:val="none" w:sz="0" w:space="0" w:color="auto"/>
            <w:right w:val="none" w:sz="0" w:space="0" w:color="auto"/>
          </w:divBdr>
          <w:divsChild>
            <w:div w:id="647979721">
              <w:marLeft w:val="0"/>
              <w:marRight w:val="0"/>
              <w:marTop w:val="0"/>
              <w:marBottom w:val="0"/>
              <w:divBdr>
                <w:top w:val="none" w:sz="0" w:space="0" w:color="auto"/>
                <w:left w:val="none" w:sz="0" w:space="0" w:color="auto"/>
                <w:bottom w:val="none" w:sz="0" w:space="0" w:color="auto"/>
                <w:right w:val="none" w:sz="0" w:space="0" w:color="auto"/>
              </w:divBdr>
            </w:div>
          </w:divsChild>
        </w:div>
        <w:div w:id="1024865757">
          <w:marLeft w:val="0"/>
          <w:marRight w:val="0"/>
          <w:marTop w:val="0"/>
          <w:marBottom w:val="0"/>
          <w:divBdr>
            <w:top w:val="none" w:sz="0" w:space="0" w:color="auto"/>
            <w:left w:val="none" w:sz="0" w:space="0" w:color="auto"/>
            <w:bottom w:val="none" w:sz="0" w:space="0" w:color="auto"/>
            <w:right w:val="none" w:sz="0" w:space="0" w:color="auto"/>
          </w:divBdr>
          <w:divsChild>
            <w:div w:id="384529351">
              <w:marLeft w:val="0"/>
              <w:marRight w:val="0"/>
              <w:marTop w:val="0"/>
              <w:marBottom w:val="0"/>
              <w:divBdr>
                <w:top w:val="none" w:sz="0" w:space="0" w:color="auto"/>
                <w:left w:val="none" w:sz="0" w:space="0" w:color="auto"/>
                <w:bottom w:val="none" w:sz="0" w:space="0" w:color="auto"/>
                <w:right w:val="none" w:sz="0" w:space="0" w:color="auto"/>
              </w:divBdr>
            </w:div>
          </w:divsChild>
        </w:div>
        <w:div w:id="1189753375">
          <w:marLeft w:val="0"/>
          <w:marRight w:val="0"/>
          <w:marTop w:val="0"/>
          <w:marBottom w:val="0"/>
          <w:divBdr>
            <w:top w:val="none" w:sz="0" w:space="0" w:color="auto"/>
            <w:left w:val="none" w:sz="0" w:space="0" w:color="auto"/>
            <w:bottom w:val="none" w:sz="0" w:space="0" w:color="auto"/>
            <w:right w:val="none" w:sz="0" w:space="0" w:color="auto"/>
          </w:divBdr>
          <w:divsChild>
            <w:div w:id="1736313178">
              <w:marLeft w:val="0"/>
              <w:marRight w:val="0"/>
              <w:marTop w:val="0"/>
              <w:marBottom w:val="0"/>
              <w:divBdr>
                <w:top w:val="none" w:sz="0" w:space="0" w:color="auto"/>
                <w:left w:val="none" w:sz="0" w:space="0" w:color="auto"/>
                <w:bottom w:val="none" w:sz="0" w:space="0" w:color="auto"/>
                <w:right w:val="none" w:sz="0" w:space="0" w:color="auto"/>
              </w:divBdr>
            </w:div>
          </w:divsChild>
        </w:div>
        <w:div w:id="1944916675">
          <w:marLeft w:val="0"/>
          <w:marRight w:val="0"/>
          <w:marTop w:val="0"/>
          <w:marBottom w:val="0"/>
          <w:divBdr>
            <w:top w:val="none" w:sz="0" w:space="0" w:color="auto"/>
            <w:left w:val="none" w:sz="0" w:space="0" w:color="auto"/>
            <w:bottom w:val="none" w:sz="0" w:space="0" w:color="auto"/>
            <w:right w:val="none" w:sz="0" w:space="0" w:color="auto"/>
          </w:divBdr>
          <w:divsChild>
            <w:div w:id="1779137624">
              <w:marLeft w:val="0"/>
              <w:marRight w:val="0"/>
              <w:marTop w:val="0"/>
              <w:marBottom w:val="0"/>
              <w:divBdr>
                <w:top w:val="none" w:sz="0" w:space="0" w:color="auto"/>
                <w:left w:val="none" w:sz="0" w:space="0" w:color="auto"/>
                <w:bottom w:val="none" w:sz="0" w:space="0" w:color="auto"/>
                <w:right w:val="none" w:sz="0" w:space="0" w:color="auto"/>
              </w:divBdr>
            </w:div>
          </w:divsChild>
        </w:div>
        <w:div w:id="1219510765">
          <w:marLeft w:val="0"/>
          <w:marRight w:val="0"/>
          <w:marTop w:val="0"/>
          <w:marBottom w:val="0"/>
          <w:divBdr>
            <w:top w:val="none" w:sz="0" w:space="0" w:color="auto"/>
            <w:left w:val="none" w:sz="0" w:space="0" w:color="auto"/>
            <w:bottom w:val="none" w:sz="0" w:space="0" w:color="auto"/>
            <w:right w:val="none" w:sz="0" w:space="0" w:color="auto"/>
          </w:divBdr>
          <w:divsChild>
            <w:div w:id="1327633368">
              <w:marLeft w:val="0"/>
              <w:marRight w:val="0"/>
              <w:marTop w:val="0"/>
              <w:marBottom w:val="0"/>
              <w:divBdr>
                <w:top w:val="none" w:sz="0" w:space="0" w:color="auto"/>
                <w:left w:val="none" w:sz="0" w:space="0" w:color="auto"/>
                <w:bottom w:val="none" w:sz="0" w:space="0" w:color="auto"/>
                <w:right w:val="none" w:sz="0" w:space="0" w:color="auto"/>
              </w:divBdr>
            </w:div>
          </w:divsChild>
        </w:div>
        <w:div w:id="613097814">
          <w:marLeft w:val="0"/>
          <w:marRight w:val="0"/>
          <w:marTop w:val="0"/>
          <w:marBottom w:val="0"/>
          <w:divBdr>
            <w:top w:val="none" w:sz="0" w:space="0" w:color="auto"/>
            <w:left w:val="none" w:sz="0" w:space="0" w:color="auto"/>
            <w:bottom w:val="none" w:sz="0" w:space="0" w:color="auto"/>
            <w:right w:val="none" w:sz="0" w:space="0" w:color="auto"/>
          </w:divBdr>
          <w:divsChild>
            <w:div w:id="1181814969">
              <w:marLeft w:val="0"/>
              <w:marRight w:val="0"/>
              <w:marTop w:val="0"/>
              <w:marBottom w:val="0"/>
              <w:divBdr>
                <w:top w:val="none" w:sz="0" w:space="0" w:color="auto"/>
                <w:left w:val="none" w:sz="0" w:space="0" w:color="auto"/>
                <w:bottom w:val="none" w:sz="0" w:space="0" w:color="auto"/>
                <w:right w:val="none" w:sz="0" w:space="0" w:color="auto"/>
              </w:divBdr>
            </w:div>
          </w:divsChild>
        </w:div>
        <w:div w:id="467893821">
          <w:marLeft w:val="0"/>
          <w:marRight w:val="0"/>
          <w:marTop w:val="0"/>
          <w:marBottom w:val="0"/>
          <w:divBdr>
            <w:top w:val="none" w:sz="0" w:space="0" w:color="auto"/>
            <w:left w:val="none" w:sz="0" w:space="0" w:color="auto"/>
            <w:bottom w:val="none" w:sz="0" w:space="0" w:color="auto"/>
            <w:right w:val="none" w:sz="0" w:space="0" w:color="auto"/>
          </w:divBdr>
          <w:divsChild>
            <w:div w:id="1762792413">
              <w:marLeft w:val="0"/>
              <w:marRight w:val="0"/>
              <w:marTop w:val="0"/>
              <w:marBottom w:val="0"/>
              <w:divBdr>
                <w:top w:val="none" w:sz="0" w:space="0" w:color="auto"/>
                <w:left w:val="none" w:sz="0" w:space="0" w:color="auto"/>
                <w:bottom w:val="none" w:sz="0" w:space="0" w:color="auto"/>
                <w:right w:val="none" w:sz="0" w:space="0" w:color="auto"/>
              </w:divBdr>
            </w:div>
          </w:divsChild>
        </w:div>
        <w:div w:id="1718434198">
          <w:marLeft w:val="0"/>
          <w:marRight w:val="0"/>
          <w:marTop w:val="0"/>
          <w:marBottom w:val="0"/>
          <w:divBdr>
            <w:top w:val="none" w:sz="0" w:space="0" w:color="auto"/>
            <w:left w:val="none" w:sz="0" w:space="0" w:color="auto"/>
            <w:bottom w:val="none" w:sz="0" w:space="0" w:color="auto"/>
            <w:right w:val="none" w:sz="0" w:space="0" w:color="auto"/>
          </w:divBdr>
          <w:divsChild>
            <w:div w:id="450442179">
              <w:marLeft w:val="0"/>
              <w:marRight w:val="0"/>
              <w:marTop w:val="0"/>
              <w:marBottom w:val="0"/>
              <w:divBdr>
                <w:top w:val="none" w:sz="0" w:space="0" w:color="auto"/>
                <w:left w:val="none" w:sz="0" w:space="0" w:color="auto"/>
                <w:bottom w:val="none" w:sz="0" w:space="0" w:color="auto"/>
                <w:right w:val="none" w:sz="0" w:space="0" w:color="auto"/>
              </w:divBdr>
            </w:div>
          </w:divsChild>
        </w:div>
        <w:div w:id="1779524014">
          <w:marLeft w:val="0"/>
          <w:marRight w:val="0"/>
          <w:marTop w:val="0"/>
          <w:marBottom w:val="0"/>
          <w:divBdr>
            <w:top w:val="none" w:sz="0" w:space="0" w:color="auto"/>
            <w:left w:val="none" w:sz="0" w:space="0" w:color="auto"/>
            <w:bottom w:val="none" w:sz="0" w:space="0" w:color="auto"/>
            <w:right w:val="none" w:sz="0" w:space="0" w:color="auto"/>
          </w:divBdr>
          <w:divsChild>
            <w:div w:id="1071734046">
              <w:marLeft w:val="0"/>
              <w:marRight w:val="0"/>
              <w:marTop w:val="0"/>
              <w:marBottom w:val="0"/>
              <w:divBdr>
                <w:top w:val="none" w:sz="0" w:space="0" w:color="auto"/>
                <w:left w:val="none" w:sz="0" w:space="0" w:color="auto"/>
                <w:bottom w:val="none" w:sz="0" w:space="0" w:color="auto"/>
                <w:right w:val="none" w:sz="0" w:space="0" w:color="auto"/>
              </w:divBdr>
            </w:div>
          </w:divsChild>
        </w:div>
        <w:div w:id="341707288">
          <w:marLeft w:val="0"/>
          <w:marRight w:val="0"/>
          <w:marTop w:val="0"/>
          <w:marBottom w:val="0"/>
          <w:divBdr>
            <w:top w:val="none" w:sz="0" w:space="0" w:color="auto"/>
            <w:left w:val="none" w:sz="0" w:space="0" w:color="auto"/>
            <w:bottom w:val="none" w:sz="0" w:space="0" w:color="auto"/>
            <w:right w:val="none" w:sz="0" w:space="0" w:color="auto"/>
          </w:divBdr>
          <w:divsChild>
            <w:div w:id="2079159708">
              <w:marLeft w:val="0"/>
              <w:marRight w:val="0"/>
              <w:marTop w:val="0"/>
              <w:marBottom w:val="0"/>
              <w:divBdr>
                <w:top w:val="none" w:sz="0" w:space="0" w:color="auto"/>
                <w:left w:val="none" w:sz="0" w:space="0" w:color="auto"/>
                <w:bottom w:val="none" w:sz="0" w:space="0" w:color="auto"/>
                <w:right w:val="none" w:sz="0" w:space="0" w:color="auto"/>
              </w:divBdr>
            </w:div>
          </w:divsChild>
        </w:div>
        <w:div w:id="1780950354">
          <w:marLeft w:val="0"/>
          <w:marRight w:val="0"/>
          <w:marTop w:val="0"/>
          <w:marBottom w:val="0"/>
          <w:divBdr>
            <w:top w:val="none" w:sz="0" w:space="0" w:color="auto"/>
            <w:left w:val="none" w:sz="0" w:space="0" w:color="auto"/>
            <w:bottom w:val="none" w:sz="0" w:space="0" w:color="auto"/>
            <w:right w:val="none" w:sz="0" w:space="0" w:color="auto"/>
          </w:divBdr>
          <w:divsChild>
            <w:div w:id="1260985185">
              <w:marLeft w:val="0"/>
              <w:marRight w:val="0"/>
              <w:marTop w:val="0"/>
              <w:marBottom w:val="0"/>
              <w:divBdr>
                <w:top w:val="none" w:sz="0" w:space="0" w:color="auto"/>
                <w:left w:val="none" w:sz="0" w:space="0" w:color="auto"/>
                <w:bottom w:val="none" w:sz="0" w:space="0" w:color="auto"/>
                <w:right w:val="none" w:sz="0" w:space="0" w:color="auto"/>
              </w:divBdr>
            </w:div>
          </w:divsChild>
        </w:div>
        <w:div w:id="1569073999">
          <w:marLeft w:val="0"/>
          <w:marRight w:val="0"/>
          <w:marTop w:val="0"/>
          <w:marBottom w:val="0"/>
          <w:divBdr>
            <w:top w:val="none" w:sz="0" w:space="0" w:color="auto"/>
            <w:left w:val="none" w:sz="0" w:space="0" w:color="auto"/>
            <w:bottom w:val="none" w:sz="0" w:space="0" w:color="auto"/>
            <w:right w:val="none" w:sz="0" w:space="0" w:color="auto"/>
          </w:divBdr>
          <w:divsChild>
            <w:div w:id="1392968123">
              <w:marLeft w:val="0"/>
              <w:marRight w:val="0"/>
              <w:marTop w:val="0"/>
              <w:marBottom w:val="0"/>
              <w:divBdr>
                <w:top w:val="none" w:sz="0" w:space="0" w:color="auto"/>
                <w:left w:val="none" w:sz="0" w:space="0" w:color="auto"/>
                <w:bottom w:val="none" w:sz="0" w:space="0" w:color="auto"/>
                <w:right w:val="none" w:sz="0" w:space="0" w:color="auto"/>
              </w:divBdr>
            </w:div>
          </w:divsChild>
        </w:div>
        <w:div w:id="551817008">
          <w:marLeft w:val="0"/>
          <w:marRight w:val="0"/>
          <w:marTop w:val="0"/>
          <w:marBottom w:val="0"/>
          <w:divBdr>
            <w:top w:val="none" w:sz="0" w:space="0" w:color="auto"/>
            <w:left w:val="none" w:sz="0" w:space="0" w:color="auto"/>
            <w:bottom w:val="none" w:sz="0" w:space="0" w:color="auto"/>
            <w:right w:val="none" w:sz="0" w:space="0" w:color="auto"/>
          </w:divBdr>
          <w:divsChild>
            <w:div w:id="431173059">
              <w:marLeft w:val="0"/>
              <w:marRight w:val="0"/>
              <w:marTop w:val="0"/>
              <w:marBottom w:val="0"/>
              <w:divBdr>
                <w:top w:val="none" w:sz="0" w:space="0" w:color="auto"/>
                <w:left w:val="none" w:sz="0" w:space="0" w:color="auto"/>
                <w:bottom w:val="none" w:sz="0" w:space="0" w:color="auto"/>
                <w:right w:val="none" w:sz="0" w:space="0" w:color="auto"/>
              </w:divBdr>
            </w:div>
          </w:divsChild>
        </w:div>
        <w:div w:id="1008481880">
          <w:marLeft w:val="0"/>
          <w:marRight w:val="0"/>
          <w:marTop w:val="0"/>
          <w:marBottom w:val="0"/>
          <w:divBdr>
            <w:top w:val="none" w:sz="0" w:space="0" w:color="auto"/>
            <w:left w:val="none" w:sz="0" w:space="0" w:color="auto"/>
            <w:bottom w:val="none" w:sz="0" w:space="0" w:color="auto"/>
            <w:right w:val="none" w:sz="0" w:space="0" w:color="auto"/>
          </w:divBdr>
          <w:divsChild>
            <w:div w:id="1072849228">
              <w:marLeft w:val="0"/>
              <w:marRight w:val="0"/>
              <w:marTop w:val="0"/>
              <w:marBottom w:val="0"/>
              <w:divBdr>
                <w:top w:val="none" w:sz="0" w:space="0" w:color="auto"/>
                <w:left w:val="none" w:sz="0" w:space="0" w:color="auto"/>
                <w:bottom w:val="none" w:sz="0" w:space="0" w:color="auto"/>
                <w:right w:val="none" w:sz="0" w:space="0" w:color="auto"/>
              </w:divBdr>
            </w:div>
          </w:divsChild>
        </w:div>
        <w:div w:id="68816413">
          <w:marLeft w:val="0"/>
          <w:marRight w:val="0"/>
          <w:marTop w:val="0"/>
          <w:marBottom w:val="0"/>
          <w:divBdr>
            <w:top w:val="none" w:sz="0" w:space="0" w:color="auto"/>
            <w:left w:val="none" w:sz="0" w:space="0" w:color="auto"/>
            <w:bottom w:val="none" w:sz="0" w:space="0" w:color="auto"/>
            <w:right w:val="none" w:sz="0" w:space="0" w:color="auto"/>
          </w:divBdr>
          <w:divsChild>
            <w:div w:id="1963422097">
              <w:marLeft w:val="0"/>
              <w:marRight w:val="0"/>
              <w:marTop w:val="0"/>
              <w:marBottom w:val="0"/>
              <w:divBdr>
                <w:top w:val="none" w:sz="0" w:space="0" w:color="auto"/>
                <w:left w:val="none" w:sz="0" w:space="0" w:color="auto"/>
                <w:bottom w:val="none" w:sz="0" w:space="0" w:color="auto"/>
                <w:right w:val="none" w:sz="0" w:space="0" w:color="auto"/>
              </w:divBdr>
            </w:div>
          </w:divsChild>
        </w:div>
        <w:div w:id="746267521">
          <w:marLeft w:val="0"/>
          <w:marRight w:val="0"/>
          <w:marTop w:val="0"/>
          <w:marBottom w:val="0"/>
          <w:divBdr>
            <w:top w:val="none" w:sz="0" w:space="0" w:color="auto"/>
            <w:left w:val="none" w:sz="0" w:space="0" w:color="auto"/>
            <w:bottom w:val="none" w:sz="0" w:space="0" w:color="auto"/>
            <w:right w:val="none" w:sz="0" w:space="0" w:color="auto"/>
          </w:divBdr>
          <w:divsChild>
            <w:div w:id="2022932360">
              <w:marLeft w:val="0"/>
              <w:marRight w:val="0"/>
              <w:marTop w:val="0"/>
              <w:marBottom w:val="0"/>
              <w:divBdr>
                <w:top w:val="none" w:sz="0" w:space="0" w:color="auto"/>
                <w:left w:val="none" w:sz="0" w:space="0" w:color="auto"/>
                <w:bottom w:val="none" w:sz="0" w:space="0" w:color="auto"/>
                <w:right w:val="none" w:sz="0" w:space="0" w:color="auto"/>
              </w:divBdr>
            </w:div>
          </w:divsChild>
        </w:div>
        <w:div w:id="1751611841">
          <w:marLeft w:val="0"/>
          <w:marRight w:val="0"/>
          <w:marTop w:val="0"/>
          <w:marBottom w:val="0"/>
          <w:divBdr>
            <w:top w:val="none" w:sz="0" w:space="0" w:color="auto"/>
            <w:left w:val="none" w:sz="0" w:space="0" w:color="auto"/>
            <w:bottom w:val="none" w:sz="0" w:space="0" w:color="auto"/>
            <w:right w:val="none" w:sz="0" w:space="0" w:color="auto"/>
          </w:divBdr>
          <w:divsChild>
            <w:div w:id="366760812">
              <w:marLeft w:val="0"/>
              <w:marRight w:val="0"/>
              <w:marTop w:val="0"/>
              <w:marBottom w:val="0"/>
              <w:divBdr>
                <w:top w:val="none" w:sz="0" w:space="0" w:color="auto"/>
                <w:left w:val="none" w:sz="0" w:space="0" w:color="auto"/>
                <w:bottom w:val="none" w:sz="0" w:space="0" w:color="auto"/>
                <w:right w:val="none" w:sz="0" w:space="0" w:color="auto"/>
              </w:divBdr>
            </w:div>
          </w:divsChild>
        </w:div>
        <w:div w:id="61952546">
          <w:marLeft w:val="0"/>
          <w:marRight w:val="0"/>
          <w:marTop w:val="0"/>
          <w:marBottom w:val="0"/>
          <w:divBdr>
            <w:top w:val="none" w:sz="0" w:space="0" w:color="auto"/>
            <w:left w:val="none" w:sz="0" w:space="0" w:color="auto"/>
            <w:bottom w:val="none" w:sz="0" w:space="0" w:color="auto"/>
            <w:right w:val="none" w:sz="0" w:space="0" w:color="auto"/>
          </w:divBdr>
          <w:divsChild>
            <w:div w:id="182593839">
              <w:marLeft w:val="0"/>
              <w:marRight w:val="0"/>
              <w:marTop w:val="0"/>
              <w:marBottom w:val="0"/>
              <w:divBdr>
                <w:top w:val="none" w:sz="0" w:space="0" w:color="auto"/>
                <w:left w:val="none" w:sz="0" w:space="0" w:color="auto"/>
                <w:bottom w:val="none" w:sz="0" w:space="0" w:color="auto"/>
                <w:right w:val="none" w:sz="0" w:space="0" w:color="auto"/>
              </w:divBdr>
            </w:div>
          </w:divsChild>
        </w:div>
        <w:div w:id="1196311228">
          <w:marLeft w:val="0"/>
          <w:marRight w:val="0"/>
          <w:marTop w:val="0"/>
          <w:marBottom w:val="0"/>
          <w:divBdr>
            <w:top w:val="none" w:sz="0" w:space="0" w:color="auto"/>
            <w:left w:val="none" w:sz="0" w:space="0" w:color="auto"/>
            <w:bottom w:val="none" w:sz="0" w:space="0" w:color="auto"/>
            <w:right w:val="none" w:sz="0" w:space="0" w:color="auto"/>
          </w:divBdr>
          <w:divsChild>
            <w:div w:id="51075477">
              <w:marLeft w:val="0"/>
              <w:marRight w:val="0"/>
              <w:marTop w:val="0"/>
              <w:marBottom w:val="0"/>
              <w:divBdr>
                <w:top w:val="none" w:sz="0" w:space="0" w:color="auto"/>
                <w:left w:val="none" w:sz="0" w:space="0" w:color="auto"/>
                <w:bottom w:val="none" w:sz="0" w:space="0" w:color="auto"/>
                <w:right w:val="none" w:sz="0" w:space="0" w:color="auto"/>
              </w:divBdr>
            </w:div>
          </w:divsChild>
        </w:div>
        <w:div w:id="1428113068">
          <w:marLeft w:val="0"/>
          <w:marRight w:val="0"/>
          <w:marTop w:val="0"/>
          <w:marBottom w:val="0"/>
          <w:divBdr>
            <w:top w:val="none" w:sz="0" w:space="0" w:color="auto"/>
            <w:left w:val="none" w:sz="0" w:space="0" w:color="auto"/>
            <w:bottom w:val="none" w:sz="0" w:space="0" w:color="auto"/>
            <w:right w:val="none" w:sz="0" w:space="0" w:color="auto"/>
          </w:divBdr>
          <w:divsChild>
            <w:div w:id="797913500">
              <w:marLeft w:val="0"/>
              <w:marRight w:val="0"/>
              <w:marTop w:val="0"/>
              <w:marBottom w:val="0"/>
              <w:divBdr>
                <w:top w:val="none" w:sz="0" w:space="0" w:color="auto"/>
                <w:left w:val="none" w:sz="0" w:space="0" w:color="auto"/>
                <w:bottom w:val="none" w:sz="0" w:space="0" w:color="auto"/>
                <w:right w:val="none" w:sz="0" w:space="0" w:color="auto"/>
              </w:divBdr>
            </w:div>
          </w:divsChild>
        </w:div>
        <w:div w:id="300041927">
          <w:marLeft w:val="0"/>
          <w:marRight w:val="0"/>
          <w:marTop w:val="0"/>
          <w:marBottom w:val="0"/>
          <w:divBdr>
            <w:top w:val="none" w:sz="0" w:space="0" w:color="auto"/>
            <w:left w:val="none" w:sz="0" w:space="0" w:color="auto"/>
            <w:bottom w:val="none" w:sz="0" w:space="0" w:color="auto"/>
            <w:right w:val="none" w:sz="0" w:space="0" w:color="auto"/>
          </w:divBdr>
          <w:divsChild>
            <w:div w:id="1252547454">
              <w:marLeft w:val="0"/>
              <w:marRight w:val="0"/>
              <w:marTop w:val="0"/>
              <w:marBottom w:val="0"/>
              <w:divBdr>
                <w:top w:val="none" w:sz="0" w:space="0" w:color="auto"/>
                <w:left w:val="none" w:sz="0" w:space="0" w:color="auto"/>
                <w:bottom w:val="none" w:sz="0" w:space="0" w:color="auto"/>
                <w:right w:val="none" w:sz="0" w:space="0" w:color="auto"/>
              </w:divBdr>
            </w:div>
          </w:divsChild>
        </w:div>
        <w:div w:id="2120443817">
          <w:marLeft w:val="0"/>
          <w:marRight w:val="0"/>
          <w:marTop w:val="0"/>
          <w:marBottom w:val="0"/>
          <w:divBdr>
            <w:top w:val="none" w:sz="0" w:space="0" w:color="auto"/>
            <w:left w:val="none" w:sz="0" w:space="0" w:color="auto"/>
            <w:bottom w:val="none" w:sz="0" w:space="0" w:color="auto"/>
            <w:right w:val="none" w:sz="0" w:space="0" w:color="auto"/>
          </w:divBdr>
          <w:divsChild>
            <w:div w:id="1452892427">
              <w:marLeft w:val="0"/>
              <w:marRight w:val="0"/>
              <w:marTop w:val="0"/>
              <w:marBottom w:val="0"/>
              <w:divBdr>
                <w:top w:val="none" w:sz="0" w:space="0" w:color="auto"/>
                <w:left w:val="none" w:sz="0" w:space="0" w:color="auto"/>
                <w:bottom w:val="none" w:sz="0" w:space="0" w:color="auto"/>
                <w:right w:val="none" w:sz="0" w:space="0" w:color="auto"/>
              </w:divBdr>
            </w:div>
          </w:divsChild>
        </w:div>
        <w:div w:id="595753025">
          <w:marLeft w:val="0"/>
          <w:marRight w:val="0"/>
          <w:marTop w:val="0"/>
          <w:marBottom w:val="0"/>
          <w:divBdr>
            <w:top w:val="none" w:sz="0" w:space="0" w:color="auto"/>
            <w:left w:val="none" w:sz="0" w:space="0" w:color="auto"/>
            <w:bottom w:val="none" w:sz="0" w:space="0" w:color="auto"/>
            <w:right w:val="none" w:sz="0" w:space="0" w:color="auto"/>
          </w:divBdr>
          <w:divsChild>
            <w:div w:id="1830487111">
              <w:marLeft w:val="0"/>
              <w:marRight w:val="0"/>
              <w:marTop w:val="0"/>
              <w:marBottom w:val="0"/>
              <w:divBdr>
                <w:top w:val="none" w:sz="0" w:space="0" w:color="auto"/>
                <w:left w:val="none" w:sz="0" w:space="0" w:color="auto"/>
                <w:bottom w:val="none" w:sz="0" w:space="0" w:color="auto"/>
                <w:right w:val="none" w:sz="0" w:space="0" w:color="auto"/>
              </w:divBdr>
            </w:div>
          </w:divsChild>
        </w:div>
        <w:div w:id="1253398647">
          <w:marLeft w:val="0"/>
          <w:marRight w:val="0"/>
          <w:marTop w:val="0"/>
          <w:marBottom w:val="0"/>
          <w:divBdr>
            <w:top w:val="none" w:sz="0" w:space="0" w:color="auto"/>
            <w:left w:val="none" w:sz="0" w:space="0" w:color="auto"/>
            <w:bottom w:val="none" w:sz="0" w:space="0" w:color="auto"/>
            <w:right w:val="none" w:sz="0" w:space="0" w:color="auto"/>
          </w:divBdr>
          <w:divsChild>
            <w:div w:id="23870890">
              <w:marLeft w:val="0"/>
              <w:marRight w:val="0"/>
              <w:marTop w:val="0"/>
              <w:marBottom w:val="0"/>
              <w:divBdr>
                <w:top w:val="none" w:sz="0" w:space="0" w:color="auto"/>
                <w:left w:val="none" w:sz="0" w:space="0" w:color="auto"/>
                <w:bottom w:val="none" w:sz="0" w:space="0" w:color="auto"/>
                <w:right w:val="none" w:sz="0" w:space="0" w:color="auto"/>
              </w:divBdr>
            </w:div>
          </w:divsChild>
        </w:div>
        <w:div w:id="42336453">
          <w:marLeft w:val="0"/>
          <w:marRight w:val="0"/>
          <w:marTop w:val="0"/>
          <w:marBottom w:val="0"/>
          <w:divBdr>
            <w:top w:val="none" w:sz="0" w:space="0" w:color="auto"/>
            <w:left w:val="none" w:sz="0" w:space="0" w:color="auto"/>
            <w:bottom w:val="none" w:sz="0" w:space="0" w:color="auto"/>
            <w:right w:val="none" w:sz="0" w:space="0" w:color="auto"/>
          </w:divBdr>
          <w:divsChild>
            <w:div w:id="1821538326">
              <w:marLeft w:val="0"/>
              <w:marRight w:val="0"/>
              <w:marTop w:val="0"/>
              <w:marBottom w:val="0"/>
              <w:divBdr>
                <w:top w:val="none" w:sz="0" w:space="0" w:color="auto"/>
                <w:left w:val="none" w:sz="0" w:space="0" w:color="auto"/>
                <w:bottom w:val="none" w:sz="0" w:space="0" w:color="auto"/>
                <w:right w:val="none" w:sz="0" w:space="0" w:color="auto"/>
              </w:divBdr>
            </w:div>
          </w:divsChild>
        </w:div>
        <w:div w:id="1130786990">
          <w:marLeft w:val="0"/>
          <w:marRight w:val="0"/>
          <w:marTop w:val="0"/>
          <w:marBottom w:val="0"/>
          <w:divBdr>
            <w:top w:val="none" w:sz="0" w:space="0" w:color="auto"/>
            <w:left w:val="none" w:sz="0" w:space="0" w:color="auto"/>
            <w:bottom w:val="none" w:sz="0" w:space="0" w:color="auto"/>
            <w:right w:val="none" w:sz="0" w:space="0" w:color="auto"/>
          </w:divBdr>
          <w:divsChild>
            <w:div w:id="363676458">
              <w:marLeft w:val="0"/>
              <w:marRight w:val="0"/>
              <w:marTop w:val="0"/>
              <w:marBottom w:val="0"/>
              <w:divBdr>
                <w:top w:val="none" w:sz="0" w:space="0" w:color="auto"/>
                <w:left w:val="none" w:sz="0" w:space="0" w:color="auto"/>
                <w:bottom w:val="none" w:sz="0" w:space="0" w:color="auto"/>
                <w:right w:val="none" w:sz="0" w:space="0" w:color="auto"/>
              </w:divBdr>
            </w:div>
          </w:divsChild>
        </w:div>
        <w:div w:id="723676438">
          <w:marLeft w:val="0"/>
          <w:marRight w:val="0"/>
          <w:marTop w:val="0"/>
          <w:marBottom w:val="0"/>
          <w:divBdr>
            <w:top w:val="none" w:sz="0" w:space="0" w:color="auto"/>
            <w:left w:val="none" w:sz="0" w:space="0" w:color="auto"/>
            <w:bottom w:val="none" w:sz="0" w:space="0" w:color="auto"/>
            <w:right w:val="none" w:sz="0" w:space="0" w:color="auto"/>
          </w:divBdr>
          <w:divsChild>
            <w:div w:id="1923833957">
              <w:marLeft w:val="0"/>
              <w:marRight w:val="0"/>
              <w:marTop w:val="0"/>
              <w:marBottom w:val="0"/>
              <w:divBdr>
                <w:top w:val="none" w:sz="0" w:space="0" w:color="auto"/>
                <w:left w:val="none" w:sz="0" w:space="0" w:color="auto"/>
                <w:bottom w:val="none" w:sz="0" w:space="0" w:color="auto"/>
                <w:right w:val="none" w:sz="0" w:space="0" w:color="auto"/>
              </w:divBdr>
            </w:div>
          </w:divsChild>
        </w:div>
        <w:div w:id="704334744">
          <w:marLeft w:val="0"/>
          <w:marRight w:val="0"/>
          <w:marTop w:val="0"/>
          <w:marBottom w:val="0"/>
          <w:divBdr>
            <w:top w:val="none" w:sz="0" w:space="0" w:color="auto"/>
            <w:left w:val="none" w:sz="0" w:space="0" w:color="auto"/>
            <w:bottom w:val="none" w:sz="0" w:space="0" w:color="auto"/>
            <w:right w:val="none" w:sz="0" w:space="0" w:color="auto"/>
          </w:divBdr>
          <w:divsChild>
            <w:div w:id="451440205">
              <w:marLeft w:val="0"/>
              <w:marRight w:val="0"/>
              <w:marTop w:val="0"/>
              <w:marBottom w:val="0"/>
              <w:divBdr>
                <w:top w:val="none" w:sz="0" w:space="0" w:color="auto"/>
                <w:left w:val="none" w:sz="0" w:space="0" w:color="auto"/>
                <w:bottom w:val="none" w:sz="0" w:space="0" w:color="auto"/>
                <w:right w:val="none" w:sz="0" w:space="0" w:color="auto"/>
              </w:divBdr>
            </w:div>
          </w:divsChild>
        </w:div>
        <w:div w:id="1887571359">
          <w:marLeft w:val="0"/>
          <w:marRight w:val="0"/>
          <w:marTop w:val="0"/>
          <w:marBottom w:val="0"/>
          <w:divBdr>
            <w:top w:val="none" w:sz="0" w:space="0" w:color="auto"/>
            <w:left w:val="none" w:sz="0" w:space="0" w:color="auto"/>
            <w:bottom w:val="none" w:sz="0" w:space="0" w:color="auto"/>
            <w:right w:val="none" w:sz="0" w:space="0" w:color="auto"/>
          </w:divBdr>
          <w:divsChild>
            <w:div w:id="922446418">
              <w:marLeft w:val="0"/>
              <w:marRight w:val="0"/>
              <w:marTop w:val="0"/>
              <w:marBottom w:val="0"/>
              <w:divBdr>
                <w:top w:val="none" w:sz="0" w:space="0" w:color="auto"/>
                <w:left w:val="none" w:sz="0" w:space="0" w:color="auto"/>
                <w:bottom w:val="none" w:sz="0" w:space="0" w:color="auto"/>
                <w:right w:val="none" w:sz="0" w:space="0" w:color="auto"/>
              </w:divBdr>
            </w:div>
          </w:divsChild>
        </w:div>
        <w:div w:id="1152409813">
          <w:marLeft w:val="0"/>
          <w:marRight w:val="0"/>
          <w:marTop w:val="0"/>
          <w:marBottom w:val="0"/>
          <w:divBdr>
            <w:top w:val="none" w:sz="0" w:space="0" w:color="auto"/>
            <w:left w:val="none" w:sz="0" w:space="0" w:color="auto"/>
            <w:bottom w:val="none" w:sz="0" w:space="0" w:color="auto"/>
            <w:right w:val="none" w:sz="0" w:space="0" w:color="auto"/>
          </w:divBdr>
          <w:divsChild>
            <w:div w:id="629091506">
              <w:marLeft w:val="0"/>
              <w:marRight w:val="0"/>
              <w:marTop w:val="0"/>
              <w:marBottom w:val="0"/>
              <w:divBdr>
                <w:top w:val="none" w:sz="0" w:space="0" w:color="auto"/>
                <w:left w:val="none" w:sz="0" w:space="0" w:color="auto"/>
                <w:bottom w:val="none" w:sz="0" w:space="0" w:color="auto"/>
                <w:right w:val="none" w:sz="0" w:space="0" w:color="auto"/>
              </w:divBdr>
            </w:div>
          </w:divsChild>
        </w:div>
        <w:div w:id="1642151461">
          <w:marLeft w:val="0"/>
          <w:marRight w:val="0"/>
          <w:marTop w:val="0"/>
          <w:marBottom w:val="0"/>
          <w:divBdr>
            <w:top w:val="none" w:sz="0" w:space="0" w:color="auto"/>
            <w:left w:val="none" w:sz="0" w:space="0" w:color="auto"/>
            <w:bottom w:val="none" w:sz="0" w:space="0" w:color="auto"/>
            <w:right w:val="none" w:sz="0" w:space="0" w:color="auto"/>
          </w:divBdr>
          <w:divsChild>
            <w:div w:id="1942032107">
              <w:marLeft w:val="0"/>
              <w:marRight w:val="0"/>
              <w:marTop w:val="0"/>
              <w:marBottom w:val="0"/>
              <w:divBdr>
                <w:top w:val="none" w:sz="0" w:space="0" w:color="auto"/>
                <w:left w:val="none" w:sz="0" w:space="0" w:color="auto"/>
                <w:bottom w:val="none" w:sz="0" w:space="0" w:color="auto"/>
                <w:right w:val="none" w:sz="0" w:space="0" w:color="auto"/>
              </w:divBdr>
            </w:div>
          </w:divsChild>
        </w:div>
        <w:div w:id="1022630403">
          <w:marLeft w:val="0"/>
          <w:marRight w:val="0"/>
          <w:marTop w:val="0"/>
          <w:marBottom w:val="0"/>
          <w:divBdr>
            <w:top w:val="none" w:sz="0" w:space="0" w:color="auto"/>
            <w:left w:val="none" w:sz="0" w:space="0" w:color="auto"/>
            <w:bottom w:val="none" w:sz="0" w:space="0" w:color="auto"/>
            <w:right w:val="none" w:sz="0" w:space="0" w:color="auto"/>
          </w:divBdr>
          <w:divsChild>
            <w:div w:id="4693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2774">
      <w:bodyDiv w:val="1"/>
      <w:marLeft w:val="0"/>
      <w:marRight w:val="0"/>
      <w:marTop w:val="0"/>
      <w:marBottom w:val="0"/>
      <w:divBdr>
        <w:top w:val="none" w:sz="0" w:space="0" w:color="auto"/>
        <w:left w:val="none" w:sz="0" w:space="0" w:color="auto"/>
        <w:bottom w:val="none" w:sz="0" w:space="0" w:color="auto"/>
        <w:right w:val="none" w:sz="0" w:space="0" w:color="auto"/>
      </w:divBdr>
    </w:div>
    <w:div w:id="1862933100">
      <w:bodyDiv w:val="1"/>
      <w:marLeft w:val="0"/>
      <w:marRight w:val="0"/>
      <w:marTop w:val="0"/>
      <w:marBottom w:val="0"/>
      <w:divBdr>
        <w:top w:val="none" w:sz="0" w:space="0" w:color="auto"/>
        <w:left w:val="none" w:sz="0" w:space="0" w:color="auto"/>
        <w:bottom w:val="none" w:sz="0" w:space="0" w:color="auto"/>
        <w:right w:val="none" w:sz="0" w:space="0" w:color="auto"/>
      </w:divBdr>
    </w:div>
    <w:div w:id="1868323264">
      <w:bodyDiv w:val="1"/>
      <w:marLeft w:val="0"/>
      <w:marRight w:val="0"/>
      <w:marTop w:val="0"/>
      <w:marBottom w:val="0"/>
      <w:divBdr>
        <w:top w:val="none" w:sz="0" w:space="0" w:color="auto"/>
        <w:left w:val="none" w:sz="0" w:space="0" w:color="auto"/>
        <w:bottom w:val="none" w:sz="0" w:space="0" w:color="auto"/>
        <w:right w:val="none" w:sz="0" w:space="0" w:color="auto"/>
      </w:divBdr>
    </w:div>
    <w:div w:id="1891455735">
      <w:bodyDiv w:val="1"/>
      <w:marLeft w:val="0"/>
      <w:marRight w:val="0"/>
      <w:marTop w:val="0"/>
      <w:marBottom w:val="0"/>
      <w:divBdr>
        <w:top w:val="none" w:sz="0" w:space="0" w:color="auto"/>
        <w:left w:val="none" w:sz="0" w:space="0" w:color="auto"/>
        <w:bottom w:val="none" w:sz="0" w:space="0" w:color="auto"/>
        <w:right w:val="none" w:sz="0" w:space="0" w:color="auto"/>
      </w:divBdr>
    </w:div>
    <w:div w:id="1895309695">
      <w:bodyDiv w:val="1"/>
      <w:marLeft w:val="0"/>
      <w:marRight w:val="0"/>
      <w:marTop w:val="0"/>
      <w:marBottom w:val="0"/>
      <w:divBdr>
        <w:top w:val="none" w:sz="0" w:space="0" w:color="auto"/>
        <w:left w:val="none" w:sz="0" w:space="0" w:color="auto"/>
        <w:bottom w:val="none" w:sz="0" w:space="0" w:color="auto"/>
        <w:right w:val="none" w:sz="0" w:space="0" w:color="auto"/>
      </w:divBdr>
    </w:div>
    <w:div w:id="1895922724">
      <w:bodyDiv w:val="1"/>
      <w:marLeft w:val="0"/>
      <w:marRight w:val="0"/>
      <w:marTop w:val="0"/>
      <w:marBottom w:val="0"/>
      <w:divBdr>
        <w:top w:val="none" w:sz="0" w:space="0" w:color="auto"/>
        <w:left w:val="none" w:sz="0" w:space="0" w:color="auto"/>
        <w:bottom w:val="none" w:sz="0" w:space="0" w:color="auto"/>
        <w:right w:val="none" w:sz="0" w:space="0" w:color="auto"/>
      </w:divBdr>
    </w:div>
    <w:div w:id="1898278148">
      <w:bodyDiv w:val="1"/>
      <w:marLeft w:val="0"/>
      <w:marRight w:val="0"/>
      <w:marTop w:val="0"/>
      <w:marBottom w:val="0"/>
      <w:divBdr>
        <w:top w:val="none" w:sz="0" w:space="0" w:color="auto"/>
        <w:left w:val="none" w:sz="0" w:space="0" w:color="auto"/>
        <w:bottom w:val="none" w:sz="0" w:space="0" w:color="auto"/>
        <w:right w:val="none" w:sz="0" w:space="0" w:color="auto"/>
      </w:divBdr>
    </w:div>
    <w:div w:id="1905408682">
      <w:bodyDiv w:val="1"/>
      <w:marLeft w:val="0"/>
      <w:marRight w:val="0"/>
      <w:marTop w:val="0"/>
      <w:marBottom w:val="0"/>
      <w:divBdr>
        <w:top w:val="none" w:sz="0" w:space="0" w:color="auto"/>
        <w:left w:val="none" w:sz="0" w:space="0" w:color="auto"/>
        <w:bottom w:val="none" w:sz="0" w:space="0" w:color="auto"/>
        <w:right w:val="none" w:sz="0" w:space="0" w:color="auto"/>
      </w:divBdr>
    </w:div>
    <w:div w:id="1906380260">
      <w:bodyDiv w:val="1"/>
      <w:marLeft w:val="0"/>
      <w:marRight w:val="0"/>
      <w:marTop w:val="0"/>
      <w:marBottom w:val="0"/>
      <w:divBdr>
        <w:top w:val="none" w:sz="0" w:space="0" w:color="auto"/>
        <w:left w:val="none" w:sz="0" w:space="0" w:color="auto"/>
        <w:bottom w:val="none" w:sz="0" w:space="0" w:color="auto"/>
        <w:right w:val="none" w:sz="0" w:space="0" w:color="auto"/>
      </w:divBdr>
    </w:div>
    <w:div w:id="1912958844">
      <w:bodyDiv w:val="1"/>
      <w:marLeft w:val="0"/>
      <w:marRight w:val="0"/>
      <w:marTop w:val="0"/>
      <w:marBottom w:val="0"/>
      <w:divBdr>
        <w:top w:val="none" w:sz="0" w:space="0" w:color="auto"/>
        <w:left w:val="none" w:sz="0" w:space="0" w:color="auto"/>
        <w:bottom w:val="none" w:sz="0" w:space="0" w:color="auto"/>
        <w:right w:val="none" w:sz="0" w:space="0" w:color="auto"/>
      </w:divBdr>
    </w:div>
    <w:div w:id="1919633810">
      <w:bodyDiv w:val="1"/>
      <w:marLeft w:val="0"/>
      <w:marRight w:val="0"/>
      <w:marTop w:val="0"/>
      <w:marBottom w:val="0"/>
      <w:divBdr>
        <w:top w:val="none" w:sz="0" w:space="0" w:color="auto"/>
        <w:left w:val="none" w:sz="0" w:space="0" w:color="auto"/>
        <w:bottom w:val="none" w:sz="0" w:space="0" w:color="auto"/>
        <w:right w:val="none" w:sz="0" w:space="0" w:color="auto"/>
      </w:divBdr>
    </w:div>
    <w:div w:id="1931548679">
      <w:bodyDiv w:val="1"/>
      <w:marLeft w:val="0"/>
      <w:marRight w:val="0"/>
      <w:marTop w:val="0"/>
      <w:marBottom w:val="0"/>
      <w:divBdr>
        <w:top w:val="none" w:sz="0" w:space="0" w:color="auto"/>
        <w:left w:val="none" w:sz="0" w:space="0" w:color="auto"/>
        <w:bottom w:val="none" w:sz="0" w:space="0" w:color="auto"/>
        <w:right w:val="none" w:sz="0" w:space="0" w:color="auto"/>
      </w:divBdr>
    </w:div>
    <w:div w:id="1947539766">
      <w:bodyDiv w:val="1"/>
      <w:marLeft w:val="0"/>
      <w:marRight w:val="0"/>
      <w:marTop w:val="0"/>
      <w:marBottom w:val="0"/>
      <w:divBdr>
        <w:top w:val="none" w:sz="0" w:space="0" w:color="auto"/>
        <w:left w:val="none" w:sz="0" w:space="0" w:color="auto"/>
        <w:bottom w:val="none" w:sz="0" w:space="0" w:color="auto"/>
        <w:right w:val="none" w:sz="0" w:space="0" w:color="auto"/>
      </w:divBdr>
    </w:div>
    <w:div w:id="1947808309">
      <w:bodyDiv w:val="1"/>
      <w:marLeft w:val="0"/>
      <w:marRight w:val="0"/>
      <w:marTop w:val="0"/>
      <w:marBottom w:val="0"/>
      <w:divBdr>
        <w:top w:val="none" w:sz="0" w:space="0" w:color="auto"/>
        <w:left w:val="none" w:sz="0" w:space="0" w:color="auto"/>
        <w:bottom w:val="none" w:sz="0" w:space="0" w:color="auto"/>
        <w:right w:val="none" w:sz="0" w:space="0" w:color="auto"/>
      </w:divBdr>
      <w:divsChild>
        <w:div w:id="5089055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175382">
          <w:blockQuote w:val="1"/>
          <w:marLeft w:val="720"/>
          <w:marRight w:val="720"/>
          <w:marTop w:val="100"/>
          <w:marBottom w:val="100"/>
          <w:divBdr>
            <w:top w:val="none" w:sz="0" w:space="0" w:color="auto"/>
            <w:left w:val="none" w:sz="0" w:space="0" w:color="auto"/>
            <w:bottom w:val="none" w:sz="0" w:space="0" w:color="auto"/>
            <w:right w:val="none" w:sz="0" w:space="0" w:color="auto"/>
          </w:divBdr>
        </w:div>
        <w:div w:id="636568785">
          <w:blockQuote w:val="1"/>
          <w:marLeft w:val="720"/>
          <w:marRight w:val="720"/>
          <w:marTop w:val="100"/>
          <w:marBottom w:val="100"/>
          <w:divBdr>
            <w:top w:val="none" w:sz="0" w:space="0" w:color="auto"/>
            <w:left w:val="none" w:sz="0" w:space="0" w:color="auto"/>
            <w:bottom w:val="none" w:sz="0" w:space="0" w:color="auto"/>
            <w:right w:val="none" w:sz="0" w:space="0" w:color="auto"/>
          </w:divBdr>
        </w:div>
        <w:div w:id="874007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539176">
      <w:bodyDiv w:val="1"/>
      <w:marLeft w:val="0"/>
      <w:marRight w:val="0"/>
      <w:marTop w:val="0"/>
      <w:marBottom w:val="0"/>
      <w:divBdr>
        <w:top w:val="none" w:sz="0" w:space="0" w:color="auto"/>
        <w:left w:val="none" w:sz="0" w:space="0" w:color="auto"/>
        <w:bottom w:val="none" w:sz="0" w:space="0" w:color="auto"/>
        <w:right w:val="none" w:sz="0" w:space="0" w:color="auto"/>
      </w:divBdr>
    </w:div>
    <w:div w:id="1956642849">
      <w:bodyDiv w:val="1"/>
      <w:marLeft w:val="0"/>
      <w:marRight w:val="0"/>
      <w:marTop w:val="0"/>
      <w:marBottom w:val="0"/>
      <w:divBdr>
        <w:top w:val="none" w:sz="0" w:space="0" w:color="auto"/>
        <w:left w:val="none" w:sz="0" w:space="0" w:color="auto"/>
        <w:bottom w:val="none" w:sz="0" w:space="0" w:color="auto"/>
        <w:right w:val="none" w:sz="0" w:space="0" w:color="auto"/>
      </w:divBdr>
    </w:div>
    <w:div w:id="1956713542">
      <w:bodyDiv w:val="1"/>
      <w:marLeft w:val="0"/>
      <w:marRight w:val="0"/>
      <w:marTop w:val="0"/>
      <w:marBottom w:val="0"/>
      <w:divBdr>
        <w:top w:val="none" w:sz="0" w:space="0" w:color="auto"/>
        <w:left w:val="none" w:sz="0" w:space="0" w:color="auto"/>
        <w:bottom w:val="none" w:sz="0" w:space="0" w:color="auto"/>
        <w:right w:val="none" w:sz="0" w:space="0" w:color="auto"/>
      </w:divBdr>
    </w:div>
    <w:div w:id="1962765827">
      <w:bodyDiv w:val="1"/>
      <w:marLeft w:val="0"/>
      <w:marRight w:val="0"/>
      <w:marTop w:val="0"/>
      <w:marBottom w:val="0"/>
      <w:divBdr>
        <w:top w:val="none" w:sz="0" w:space="0" w:color="auto"/>
        <w:left w:val="none" w:sz="0" w:space="0" w:color="auto"/>
        <w:bottom w:val="none" w:sz="0" w:space="0" w:color="auto"/>
        <w:right w:val="none" w:sz="0" w:space="0" w:color="auto"/>
      </w:divBdr>
      <w:divsChild>
        <w:div w:id="1093555635">
          <w:marLeft w:val="0"/>
          <w:marRight w:val="0"/>
          <w:marTop w:val="0"/>
          <w:marBottom w:val="0"/>
          <w:divBdr>
            <w:top w:val="none" w:sz="0" w:space="0" w:color="auto"/>
            <w:left w:val="none" w:sz="0" w:space="0" w:color="auto"/>
            <w:bottom w:val="none" w:sz="0" w:space="0" w:color="auto"/>
            <w:right w:val="none" w:sz="0" w:space="0" w:color="auto"/>
          </w:divBdr>
          <w:divsChild>
            <w:div w:id="260574237">
              <w:marLeft w:val="0"/>
              <w:marRight w:val="0"/>
              <w:marTop w:val="0"/>
              <w:marBottom w:val="0"/>
              <w:divBdr>
                <w:top w:val="none" w:sz="0" w:space="0" w:color="auto"/>
                <w:left w:val="none" w:sz="0" w:space="0" w:color="auto"/>
                <w:bottom w:val="none" w:sz="0" w:space="0" w:color="auto"/>
                <w:right w:val="none" w:sz="0" w:space="0" w:color="auto"/>
              </w:divBdr>
              <w:divsChild>
                <w:div w:id="1812209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4390943">
          <w:marLeft w:val="0"/>
          <w:marRight w:val="0"/>
          <w:marTop w:val="0"/>
          <w:marBottom w:val="0"/>
          <w:divBdr>
            <w:top w:val="none" w:sz="0" w:space="0" w:color="auto"/>
            <w:left w:val="none" w:sz="0" w:space="0" w:color="auto"/>
            <w:bottom w:val="none" w:sz="0" w:space="0" w:color="auto"/>
            <w:right w:val="none" w:sz="0" w:space="0" w:color="auto"/>
          </w:divBdr>
          <w:divsChild>
            <w:div w:id="1179925824">
              <w:marLeft w:val="0"/>
              <w:marRight w:val="0"/>
              <w:marTop w:val="0"/>
              <w:marBottom w:val="0"/>
              <w:divBdr>
                <w:top w:val="none" w:sz="0" w:space="0" w:color="auto"/>
                <w:left w:val="none" w:sz="0" w:space="0" w:color="auto"/>
                <w:bottom w:val="none" w:sz="0" w:space="0" w:color="auto"/>
                <w:right w:val="none" w:sz="0" w:space="0" w:color="auto"/>
              </w:divBdr>
            </w:div>
          </w:divsChild>
        </w:div>
        <w:div w:id="2105029600">
          <w:marLeft w:val="0"/>
          <w:marRight w:val="0"/>
          <w:marTop w:val="0"/>
          <w:marBottom w:val="0"/>
          <w:divBdr>
            <w:top w:val="none" w:sz="0" w:space="0" w:color="auto"/>
            <w:left w:val="none" w:sz="0" w:space="0" w:color="auto"/>
            <w:bottom w:val="none" w:sz="0" w:space="0" w:color="auto"/>
            <w:right w:val="none" w:sz="0" w:space="0" w:color="auto"/>
          </w:divBdr>
          <w:divsChild>
            <w:div w:id="1350258743">
              <w:marLeft w:val="0"/>
              <w:marRight w:val="0"/>
              <w:marTop w:val="0"/>
              <w:marBottom w:val="0"/>
              <w:divBdr>
                <w:top w:val="none" w:sz="0" w:space="0" w:color="auto"/>
                <w:left w:val="none" w:sz="0" w:space="0" w:color="auto"/>
                <w:bottom w:val="none" w:sz="0" w:space="0" w:color="auto"/>
                <w:right w:val="none" w:sz="0" w:space="0" w:color="auto"/>
              </w:divBdr>
            </w:div>
          </w:divsChild>
        </w:div>
        <w:div w:id="1516992195">
          <w:marLeft w:val="0"/>
          <w:marRight w:val="0"/>
          <w:marTop w:val="0"/>
          <w:marBottom w:val="0"/>
          <w:divBdr>
            <w:top w:val="none" w:sz="0" w:space="0" w:color="auto"/>
            <w:left w:val="none" w:sz="0" w:space="0" w:color="auto"/>
            <w:bottom w:val="none" w:sz="0" w:space="0" w:color="auto"/>
            <w:right w:val="none" w:sz="0" w:space="0" w:color="auto"/>
          </w:divBdr>
          <w:divsChild>
            <w:div w:id="291331354">
              <w:marLeft w:val="0"/>
              <w:marRight w:val="0"/>
              <w:marTop w:val="0"/>
              <w:marBottom w:val="0"/>
              <w:divBdr>
                <w:top w:val="none" w:sz="0" w:space="0" w:color="auto"/>
                <w:left w:val="none" w:sz="0" w:space="0" w:color="auto"/>
                <w:bottom w:val="none" w:sz="0" w:space="0" w:color="auto"/>
                <w:right w:val="none" w:sz="0" w:space="0" w:color="auto"/>
              </w:divBdr>
            </w:div>
          </w:divsChild>
        </w:div>
        <w:div w:id="624310258">
          <w:marLeft w:val="0"/>
          <w:marRight w:val="0"/>
          <w:marTop w:val="0"/>
          <w:marBottom w:val="0"/>
          <w:divBdr>
            <w:top w:val="none" w:sz="0" w:space="0" w:color="auto"/>
            <w:left w:val="none" w:sz="0" w:space="0" w:color="auto"/>
            <w:bottom w:val="none" w:sz="0" w:space="0" w:color="auto"/>
            <w:right w:val="none" w:sz="0" w:space="0" w:color="auto"/>
          </w:divBdr>
          <w:divsChild>
            <w:div w:id="1318798198">
              <w:marLeft w:val="0"/>
              <w:marRight w:val="0"/>
              <w:marTop w:val="0"/>
              <w:marBottom w:val="0"/>
              <w:divBdr>
                <w:top w:val="none" w:sz="0" w:space="0" w:color="auto"/>
                <w:left w:val="none" w:sz="0" w:space="0" w:color="auto"/>
                <w:bottom w:val="none" w:sz="0" w:space="0" w:color="auto"/>
                <w:right w:val="none" w:sz="0" w:space="0" w:color="auto"/>
              </w:divBdr>
            </w:div>
          </w:divsChild>
        </w:div>
        <w:div w:id="1369913751">
          <w:marLeft w:val="0"/>
          <w:marRight w:val="0"/>
          <w:marTop w:val="0"/>
          <w:marBottom w:val="0"/>
          <w:divBdr>
            <w:top w:val="none" w:sz="0" w:space="0" w:color="auto"/>
            <w:left w:val="none" w:sz="0" w:space="0" w:color="auto"/>
            <w:bottom w:val="none" w:sz="0" w:space="0" w:color="auto"/>
            <w:right w:val="none" w:sz="0" w:space="0" w:color="auto"/>
          </w:divBdr>
          <w:divsChild>
            <w:div w:id="830409384">
              <w:marLeft w:val="0"/>
              <w:marRight w:val="0"/>
              <w:marTop w:val="0"/>
              <w:marBottom w:val="0"/>
              <w:divBdr>
                <w:top w:val="none" w:sz="0" w:space="0" w:color="auto"/>
                <w:left w:val="none" w:sz="0" w:space="0" w:color="auto"/>
                <w:bottom w:val="none" w:sz="0" w:space="0" w:color="auto"/>
                <w:right w:val="none" w:sz="0" w:space="0" w:color="auto"/>
              </w:divBdr>
              <w:divsChild>
                <w:div w:id="1481461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9258688">
          <w:marLeft w:val="0"/>
          <w:marRight w:val="0"/>
          <w:marTop w:val="0"/>
          <w:marBottom w:val="0"/>
          <w:divBdr>
            <w:top w:val="none" w:sz="0" w:space="0" w:color="auto"/>
            <w:left w:val="none" w:sz="0" w:space="0" w:color="auto"/>
            <w:bottom w:val="none" w:sz="0" w:space="0" w:color="auto"/>
            <w:right w:val="none" w:sz="0" w:space="0" w:color="auto"/>
          </w:divBdr>
          <w:divsChild>
            <w:div w:id="1117523810">
              <w:marLeft w:val="0"/>
              <w:marRight w:val="0"/>
              <w:marTop w:val="0"/>
              <w:marBottom w:val="0"/>
              <w:divBdr>
                <w:top w:val="none" w:sz="0" w:space="0" w:color="auto"/>
                <w:left w:val="none" w:sz="0" w:space="0" w:color="auto"/>
                <w:bottom w:val="none" w:sz="0" w:space="0" w:color="auto"/>
                <w:right w:val="none" w:sz="0" w:space="0" w:color="auto"/>
              </w:divBdr>
              <w:divsChild>
                <w:div w:id="25911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0292928">
          <w:marLeft w:val="0"/>
          <w:marRight w:val="0"/>
          <w:marTop w:val="0"/>
          <w:marBottom w:val="0"/>
          <w:divBdr>
            <w:top w:val="none" w:sz="0" w:space="0" w:color="auto"/>
            <w:left w:val="none" w:sz="0" w:space="0" w:color="auto"/>
            <w:bottom w:val="none" w:sz="0" w:space="0" w:color="auto"/>
            <w:right w:val="none" w:sz="0" w:space="0" w:color="auto"/>
          </w:divBdr>
          <w:divsChild>
            <w:div w:id="78672449">
              <w:marLeft w:val="0"/>
              <w:marRight w:val="0"/>
              <w:marTop w:val="0"/>
              <w:marBottom w:val="0"/>
              <w:divBdr>
                <w:top w:val="none" w:sz="0" w:space="0" w:color="auto"/>
                <w:left w:val="none" w:sz="0" w:space="0" w:color="auto"/>
                <w:bottom w:val="none" w:sz="0" w:space="0" w:color="auto"/>
                <w:right w:val="none" w:sz="0" w:space="0" w:color="auto"/>
              </w:divBdr>
              <w:divsChild>
                <w:div w:id="1697150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3015989">
          <w:marLeft w:val="0"/>
          <w:marRight w:val="0"/>
          <w:marTop w:val="0"/>
          <w:marBottom w:val="0"/>
          <w:divBdr>
            <w:top w:val="none" w:sz="0" w:space="0" w:color="auto"/>
            <w:left w:val="none" w:sz="0" w:space="0" w:color="auto"/>
            <w:bottom w:val="none" w:sz="0" w:space="0" w:color="auto"/>
            <w:right w:val="none" w:sz="0" w:space="0" w:color="auto"/>
          </w:divBdr>
          <w:divsChild>
            <w:div w:id="1035932959">
              <w:marLeft w:val="0"/>
              <w:marRight w:val="0"/>
              <w:marTop w:val="0"/>
              <w:marBottom w:val="0"/>
              <w:divBdr>
                <w:top w:val="none" w:sz="0" w:space="0" w:color="auto"/>
                <w:left w:val="none" w:sz="0" w:space="0" w:color="auto"/>
                <w:bottom w:val="none" w:sz="0" w:space="0" w:color="auto"/>
                <w:right w:val="none" w:sz="0" w:space="0" w:color="auto"/>
              </w:divBdr>
            </w:div>
          </w:divsChild>
        </w:div>
        <w:div w:id="1584951338">
          <w:marLeft w:val="0"/>
          <w:marRight w:val="0"/>
          <w:marTop w:val="0"/>
          <w:marBottom w:val="0"/>
          <w:divBdr>
            <w:top w:val="none" w:sz="0" w:space="0" w:color="auto"/>
            <w:left w:val="none" w:sz="0" w:space="0" w:color="auto"/>
            <w:bottom w:val="none" w:sz="0" w:space="0" w:color="auto"/>
            <w:right w:val="none" w:sz="0" w:space="0" w:color="auto"/>
          </w:divBdr>
          <w:divsChild>
            <w:div w:id="1054817844">
              <w:marLeft w:val="0"/>
              <w:marRight w:val="0"/>
              <w:marTop w:val="0"/>
              <w:marBottom w:val="0"/>
              <w:divBdr>
                <w:top w:val="none" w:sz="0" w:space="0" w:color="auto"/>
                <w:left w:val="none" w:sz="0" w:space="0" w:color="auto"/>
                <w:bottom w:val="none" w:sz="0" w:space="0" w:color="auto"/>
                <w:right w:val="none" w:sz="0" w:space="0" w:color="auto"/>
              </w:divBdr>
            </w:div>
          </w:divsChild>
        </w:div>
        <w:div w:id="1756169955">
          <w:marLeft w:val="0"/>
          <w:marRight w:val="0"/>
          <w:marTop w:val="0"/>
          <w:marBottom w:val="0"/>
          <w:divBdr>
            <w:top w:val="none" w:sz="0" w:space="0" w:color="auto"/>
            <w:left w:val="none" w:sz="0" w:space="0" w:color="auto"/>
            <w:bottom w:val="none" w:sz="0" w:space="0" w:color="auto"/>
            <w:right w:val="none" w:sz="0" w:space="0" w:color="auto"/>
          </w:divBdr>
          <w:divsChild>
            <w:div w:id="295644156">
              <w:marLeft w:val="0"/>
              <w:marRight w:val="0"/>
              <w:marTop w:val="0"/>
              <w:marBottom w:val="0"/>
              <w:divBdr>
                <w:top w:val="none" w:sz="0" w:space="0" w:color="auto"/>
                <w:left w:val="none" w:sz="0" w:space="0" w:color="auto"/>
                <w:bottom w:val="none" w:sz="0" w:space="0" w:color="auto"/>
                <w:right w:val="none" w:sz="0" w:space="0" w:color="auto"/>
              </w:divBdr>
            </w:div>
          </w:divsChild>
        </w:div>
        <w:div w:id="234584530">
          <w:marLeft w:val="0"/>
          <w:marRight w:val="0"/>
          <w:marTop w:val="0"/>
          <w:marBottom w:val="0"/>
          <w:divBdr>
            <w:top w:val="none" w:sz="0" w:space="0" w:color="auto"/>
            <w:left w:val="none" w:sz="0" w:space="0" w:color="auto"/>
            <w:bottom w:val="none" w:sz="0" w:space="0" w:color="auto"/>
            <w:right w:val="none" w:sz="0" w:space="0" w:color="auto"/>
          </w:divBdr>
          <w:divsChild>
            <w:div w:id="309939639">
              <w:marLeft w:val="0"/>
              <w:marRight w:val="0"/>
              <w:marTop w:val="0"/>
              <w:marBottom w:val="0"/>
              <w:divBdr>
                <w:top w:val="none" w:sz="0" w:space="0" w:color="auto"/>
                <w:left w:val="none" w:sz="0" w:space="0" w:color="auto"/>
                <w:bottom w:val="none" w:sz="0" w:space="0" w:color="auto"/>
                <w:right w:val="none" w:sz="0" w:space="0" w:color="auto"/>
              </w:divBdr>
            </w:div>
          </w:divsChild>
        </w:div>
        <w:div w:id="1193763532">
          <w:marLeft w:val="0"/>
          <w:marRight w:val="0"/>
          <w:marTop w:val="0"/>
          <w:marBottom w:val="0"/>
          <w:divBdr>
            <w:top w:val="none" w:sz="0" w:space="0" w:color="auto"/>
            <w:left w:val="none" w:sz="0" w:space="0" w:color="auto"/>
            <w:bottom w:val="none" w:sz="0" w:space="0" w:color="auto"/>
            <w:right w:val="none" w:sz="0" w:space="0" w:color="auto"/>
          </w:divBdr>
          <w:divsChild>
            <w:div w:id="139732986">
              <w:marLeft w:val="0"/>
              <w:marRight w:val="0"/>
              <w:marTop w:val="0"/>
              <w:marBottom w:val="0"/>
              <w:divBdr>
                <w:top w:val="none" w:sz="0" w:space="0" w:color="auto"/>
                <w:left w:val="none" w:sz="0" w:space="0" w:color="auto"/>
                <w:bottom w:val="none" w:sz="0" w:space="0" w:color="auto"/>
                <w:right w:val="none" w:sz="0" w:space="0" w:color="auto"/>
              </w:divBdr>
            </w:div>
          </w:divsChild>
        </w:div>
        <w:div w:id="508329499">
          <w:marLeft w:val="0"/>
          <w:marRight w:val="0"/>
          <w:marTop w:val="0"/>
          <w:marBottom w:val="0"/>
          <w:divBdr>
            <w:top w:val="none" w:sz="0" w:space="0" w:color="auto"/>
            <w:left w:val="none" w:sz="0" w:space="0" w:color="auto"/>
            <w:bottom w:val="none" w:sz="0" w:space="0" w:color="auto"/>
            <w:right w:val="none" w:sz="0" w:space="0" w:color="auto"/>
          </w:divBdr>
          <w:divsChild>
            <w:div w:id="1047484393">
              <w:marLeft w:val="0"/>
              <w:marRight w:val="0"/>
              <w:marTop w:val="0"/>
              <w:marBottom w:val="0"/>
              <w:divBdr>
                <w:top w:val="none" w:sz="0" w:space="0" w:color="auto"/>
                <w:left w:val="none" w:sz="0" w:space="0" w:color="auto"/>
                <w:bottom w:val="none" w:sz="0" w:space="0" w:color="auto"/>
                <w:right w:val="none" w:sz="0" w:space="0" w:color="auto"/>
              </w:divBdr>
            </w:div>
          </w:divsChild>
        </w:div>
        <w:div w:id="1313481233">
          <w:marLeft w:val="0"/>
          <w:marRight w:val="0"/>
          <w:marTop w:val="0"/>
          <w:marBottom w:val="0"/>
          <w:divBdr>
            <w:top w:val="none" w:sz="0" w:space="0" w:color="auto"/>
            <w:left w:val="none" w:sz="0" w:space="0" w:color="auto"/>
            <w:bottom w:val="none" w:sz="0" w:space="0" w:color="auto"/>
            <w:right w:val="none" w:sz="0" w:space="0" w:color="auto"/>
          </w:divBdr>
          <w:divsChild>
            <w:div w:id="1111894718">
              <w:marLeft w:val="0"/>
              <w:marRight w:val="0"/>
              <w:marTop w:val="0"/>
              <w:marBottom w:val="0"/>
              <w:divBdr>
                <w:top w:val="none" w:sz="0" w:space="0" w:color="auto"/>
                <w:left w:val="none" w:sz="0" w:space="0" w:color="auto"/>
                <w:bottom w:val="none" w:sz="0" w:space="0" w:color="auto"/>
                <w:right w:val="none" w:sz="0" w:space="0" w:color="auto"/>
              </w:divBdr>
            </w:div>
          </w:divsChild>
        </w:div>
        <w:div w:id="2078891780">
          <w:marLeft w:val="0"/>
          <w:marRight w:val="0"/>
          <w:marTop w:val="0"/>
          <w:marBottom w:val="0"/>
          <w:divBdr>
            <w:top w:val="none" w:sz="0" w:space="0" w:color="auto"/>
            <w:left w:val="none" w:sz="0" w:space="0" w:color="auto"/>
            <w:bottom w:val="none" w:sz="0" w:space="0" w:color="auto"/>
            <w:right w:val="none" w:sz="0" w:space="0" w:color="auto"/>
          </w:divBdr>
          <w:divsChild>
            <w:div w:id="1746996475">
              <w:marLeft w:val="0"/>
              <w:marRight w:val="0"/>
              <w:marTop w:val="0"/>
              <w:marBottom w:val="0"/>
              <w:divBdr>
                <w:top w:val="none" w:sz="0" w:space="0" w:color="auto"/>
                <w:left w:val="none" w:sz="0" w:space="0" w:color="auto"/>
                <w:bottom w:val="none" w:sz="0" w:space="0" w:color="auto"/>
                <w:right w:val="none" w:sz="0" w:space="0" w:color="auto"/>
              </w:divBdr>
            </w:div>
          </w:divsChild>
        </w:div>
        <w:div w:id="1801262528">
          <w:marLeft w:val="0"/>
          <w:marRight w:val="0"/>
          <w:marTop w:val="0"/>
          <w:marBottom w:val="0"/>
          <w:divBdr>
            <w:top w:val="none" w:sz="0" w:space="0" w:color="auto"/>
            <w:left w:val="none" w:sz="0" w:space="0" w:color="auto"/>
            <w:bottom w:val="none" w:sz="0" w:space="0" w:color="auto"/>
            <w:right w:val="none" w:sz="0" w:space="0" w:color="auto"/>
          </w:divBdr>
          <w:divsChild>
            <w:div w:id="9193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6396">
      <w:bodyDiv w:val="1"/>
      <w:marLeft w:val="0"/>
      <w:marRight w:val="0"/>
      <w:marTop w:val="0"/>
      <w:marBottom w:val="0"/>
      <w:divBdr>
        <w:top w:val="none" w:sz="0" w:space="0" w:color="auto"/>
        <w:left w:val="none" w:sz="0" w:space="0" w:color="auto"/>
        <w:bottom w:val="none" w:sz="0" w:space="0" w:color="auto"/>
        <w:right w:val="none" w:sz="0" w:space="0" w:color="auto"/>
      </w:divBdr>
      <w:divsChild>
        <w:div w:id="779952346">
          <w:marLeft w:val="0"/>
          <w:marRight w:val="0"/>
          <w:marTop w:val="0"/>
          <w:marBottom w:val="0"/>
          <w:divBdr>
            <w:top w:val="none" w:sz="0" w:space="0" w:color="auto"/>
            <w:left w:val="none" w:sz="0" w:space="0" w:color="auto"/>
            <w:bottom w:val="none" w:sz="0" w:space="0" w:color="auto"/>
            <w:right w:val="none" w:sz="0" w:space="0" w:color="auto"/>
          </w:divBdr>
          <w:divsChild>
            <w:div w:id="1825125100">
              <w:marLeft w:val="0"/>
              <w:marRight w:val="0"/>
              <w:marTop w:val="0"/>
              <w:marBottom w:val="0"/>
              <w:divBdr>
                <w:top w:val="none" w:sz="0" w:space="0" w:color="auto"/>
                <w:left w:val="none" w:sz="0" w:space="0" w:color="auto"/>
                <w:bottom w:val="none" w:sz="0" w:space="0" w:color="auto"/>
                <w:right w:val="none" w:sz="0" w:space="0" w:color="auto"/>
              </w:divBdr>
            </w:div>
          </w:divsChild>
        </w:div>
        <w:div w:id="942344033">
          <w:marLeft w:val="0"/>
          <w:marRight w:val="0"/>
          <w:marTop w:val="0"/>
          <w:marBottom w:val="0"/>
          <w:divBdr>
            <w:top w:val="none" w:sz="0" w:space="0" w:color="auto"/>
            <w:left w:val="none" w:sz="0" w:space="0" w:color="auto"/>
            <w:bottom w:val="none" w:sz="0" w:space="0" w:color="auto"/>
            <w:right w:val="none" w:sz="0" w:space="0" w:color="auto"/>
          </w:divBdr>
          <w:divsChild>
            <w:div w:id="1788422939">
              <w:marLeft w:val="0"/>
              <w:marRight w:val="0"/>
              <w:marTop w:val="0"/>
              <w:marBottom w:val="0"/>
              <w:divBdr>
                <w:top w:val="none" w:sz="0" w:space="0" w:color="auto"/>
                <w:left w:val="none" w:sz="0" w:space="0" w:color="auto"/>
                <w:bottom w:val="none" w:sz="0" w:space="0" w:color="auto"/>
                <w:right w:val="none" w:sz="0" w:space="0" w:color="auto"/>
              </w:divBdr>
            </w:div>
          </w:divsChild>
        </w:div>
        <w:div w:id="1039818515">
          <w:marLeft w:val="0"/>
          <w:marRight w:val="0"/>
          <w:marTop w:val="0"/>
          <w:marBottom w:val="0"/>
          <w:divBdr>
            <w:top w:val="none" w:sz="0" w:space="0" w:color="auto"/>
            <w:left w:val="none" w:sz="0" w:space="0" w:color="auto"/>
            <w:bottom w:val="none" w:sz="0" w:space="0" w:color="auto"/>
            <w:right w:val="none" w:sz="0" w:space="0" w:color="auto"/>
          </w:divBdr>
          <w:divsChild>
            <w:div w:id="577784595">
              <w:marLeft w:val="0"/>
              <w:marRight w:val="0"/>
              <w:marTop w:val="0"/>
              <w:marBottom w:val="0"/>
              <w:divBdr>
                <w:top w:val="none" w:sz="0" w:space="0" w:color="auto"/>
                <w:left w:val="none" w:sz="0" w:space="0" w:color="auto"/>
                <w:bottom w:val="none" w:sz="0" w:space="0" w:color="auto"/>
                <w:right w:val="none" w:sz="0" w:space="0" w:color="auto"/>
              </w:divBdr>
            </w:div>
          </w:divsChild>
        </w:div>
        <w:div w:id="1480615012">
          <w:marLeft w:val="0"/>
          <w:marRight w:val="0"/>
          <w:marTop w:val="0"/>
          <w:marBottom w:val="0"/>
          <w:divBdr>
            <w:top w:val="none" w:sz="0" w:space="0" w:color="auto"/>
            <w:left w:val="none" w:sz="0" w:space="0" w:color="auto"/>
            <w:bottom w:val="none" w:sz="0" w:space="0" w:color="auto"/>
            <w:right w:val="none" w:sz="0" w:space="0" w:color="auto"/>
          </w:divBdr>
          <w:divsChild>
            <w:div w:id="3149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2973">
      <w:bodyDiv w:val="1"/>
      <w:marLeft w:val="0"/>
      <w:marRight w:val="0"/>
      <w:marTop w:val="0"/>
      <w:marBottom w:val="0"/>
      <w:divBdr>
        <w:top w:val="none" w:sz="0" w:space="0" w:color="auto"/>
        <w:left w:val="none" w:sz="0" w:space="0" w:color="auto"/>
        <w:bottom w:val="none" w:sz="0" w:space="0" w:color="auto"/>
        <w:right w:val="none" w:sz="0" w:space="0" w:color="auto"/>
      </w:divBdr>
    </w:div>
    <w:div w:id="1979340703">
      <w:bodyDiv w:val="1"/>
      <w:marLeft w:val="0"/>
      <w:marRight w:val="0"/>
      <w:marTop w:val="0"/>
      <w:marBottom w:val="0"/>
      <w:divBdr>
        <w:top w:val="none" w:sz="0" w:space="0" w:color="auto"/>
        <w:left w:val="none" w:sz="0" w:space="0" w:color="auto"/>
        <w:bottom w:val="none" w:sz="0" w:space="0" w:color="auto"/>
        <w:right w:val="none" w:sz="0" w:space="0" w:color="auto"/>
      </w:divBdr>
    </w:div>
    <w:div w:id="1979607756">
      <w:bodyDiv w:val="1"/>
      <w:marLeft w:val="0"/>
      <w:marRight w:val="0"/>
      <w:marTop w:val="0"/>
      <w:marBottom w:val="0"/>
      <w:divBdr>
        <w:top w:val="none" w:sz="0" w:space="0" w:color="auto"/>
        <w:left w:val="none" w:sz="0" w:space="0" w:color="auto"/>
        <w:bottom w:val="none" w:sz="0" w:space="0" w:color="auto"/>
        <w:right w:val="none" w:sz="0" w:space="0" w:color="auto"/>
      </w:divBdr>
    </w:div>
    <w:div w:id="1985574023">
      <w:bodyDiv w:val="1"/>
      <w:marLeft w:val="0"/>
      <w:marRight w:val="0"/>
      <w:marTop w:val="0"/>
      <w:marBottom w:val="0"/>
      <w:divBdr>
        <w:top w:val="none" w:sz="0" w:space="0" w:color="auto"/>
        <w:left w:val="none" w:sz="0" w:space="0" w:color="auto"/>
        <w:bottom w:val="none" w:sz="0" w:space="0" w:color="auto"/>
        <w:right w:val="none" w:sz="0" w:space="0" w:color="auto"/>
      </w:divBdr>
    </w:div>
    <w:div w:id="1994988393">
      <w:bodyDiv w:val="1"/>
      <w:marLeft w:val="0"/>
      <w:marRight w:val="0"/>
      <w:marTop w:val="0"/>
      <w:marBottom w:val="0"/>
      <w:divBdr>
        <w:top w:val="none" w:sz="0" w:space="0" w:color="auto"/>
        <w:left w:val="none" w:sz="0" w:space="0" w:color="auto"/>
        <w:bottom w:val="none" w:sz="0" w:space="0" w:color="auto"/>
        <w:right w:val="none" w:sz="0" w:space="0" w:color="auto"/>
      </w:divBdr>
      <w:divsChild>
        <w:div w:id="19184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842564">
          <w:blockQuote w:val="1"/>
          <w:marLeft w:val="720"/>
          <w:marRight w:val="720"/>
          <w:marTop w:val="100"/>
          <w:marBottom w:val="100"/>
          <w:divBdr>
            <w:top w:val="none" w:sz="0" w:space="0" w:color="auto"/>
            <w:left w:val="none" w:sz="0" w:space="0" w:color="auto"/>
            <w:bottom w:val="none" w:sz="0" w:space="0" w:color="auto"/>
            <w:right w:val="none" w:sz="0" w:space="0" w:color="auto"/>
          </w:divBdr>
        </w:div>
        <w:div w:id="272711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575633">
      <w:bodyDiv w:val="1"/>
      <w:marLeft w:val="0"/>
      <w:marRight w:val="0"/>
      <w:marTop w:val="0"/>
      <w:marBottom w:val="0"/>
      <w:divBdr>
        <w:top w:val="none" w:sz="0" w:space="0" w:color="auto"/>
        <w:left w:val="none" w:sz="0" w:space="0" w:color="auto"/>
        <w:bottom w:val="none" w:sz="0" w:space="0" w:color="auto"/>
        <w:right w:val="none" w:sz="0" w:space="0" w:color="auto"/>
      </w:divBdr>
    </w:div>
    <w:div w:id="2004778661">
      <w:bodyDiv w:val="1"/>
      <w:marLeft w:val="0"/>
      <w:marRight w:val="0"/>
      <w:marTop w:val="0"/>
      <w:marBottom w:val="0"/>
      <w:divBdr>
        <w:top w:val="none" w:sz="0" w:space="0" w:color="auto"/>
        <w:left w:val="none" w:sz="0" w:space="0" w:color="auto"/>
        <w:bottom w:val="none" w:sz="0" w:space="0" w:color="auto"/>
        <w:right w:val="none" w:sz="0" w:space="0" w:color="auto"/>
      </w:divBdr>
    </w:div>
    <w:div w:id="2008628657">
      <w:bodyDiv w:val="1"/>
      <w:marLeft w:val="0"/>
      <w:marRight w:val="0"/>
      <w:marTop w:val="0"/>
      <w:marBottom w:val="0"/>
      <w:divBdr>
        <w:top w:val="none" w:sz="0" w:space="0" w:color="auto"/>
        <w:left w:val="none" w:sz="0" w:space="0" w:color="auto"/>
        <w:bottom w:val="none" w:sz="0" w:space="0" w:color="auto"/>
        <w:right w:val="none" w:sz="0" w:space="0" w:color="auto"/>
      </w:divBdr>
    </w:div>
    <w:div w:id="2013873286">
      <w:bodyDiv w:val="1"/>
      <w:marLeft w:val="0"/>
      <w:marRight w:val="0"/>
      <w:marTop w:val="0"/>
      <w:marBottom w:val="0"/>
      <w:divBdr>
        <w:top w:val="none" w:sz="0" w:space="0" w:color="auto"/>
        <w:left w:val="none" w:sz="0" w:space="0" w:color="auto"/>
        <w:bottom w:val="none" w:sz="0" w:space="0" w:color="auto"/>
        <w:right w:val="none" w:sz="0" w:space="0" w:color="auto"/>
      </w:divBdr>
    </w:div>
    <w:div w:id="2015524340">
      <w:bodyDiv w:val="1"/>
      <w:marLeft w:val="0"/>
      <w:marRight w:val="0"/>
      <w:marTop w:val="0"/>
      <w:marBottom w:val="0"/>
      <w:divBdr>
        <w:top w:val="none" w:sz="0" w:space="0" w:color="auto"/>
        <w:left w:val="none" w:sz="0" w:space="0" w:color="auto"/>
        <w:bottom w:val="none" w:sz="0" w:space="0" w:color="auto"/>
        <w:right w:val="none" w:sz="0" w:space="0" w:color="auto"/>
      </w:divBdr>
    </w:div>
    <w:div w:id="2016299342">
      <w:bodyDiv w:val="1"/>
      <w:marLeft w:val="0"/>
      <w:marRight w:val="0"/>
      <w:marTop w:val="0"/>
      <w:marBottom w:val="0"/>
      <w:divBdr>
        <w:top w:val="none" w:sz="0" w:space="0" w:color="auto"/>
        <w:left w:val="none" w:sz="0" w:space="0" w:color="auto"/>
        <w:bottom w:val="none" w:sz="0" w:space="0" w:color="auto"/>
        <w:right w:val="none" w:sz="0" w:space="0" w:color="auto"/>
      </w:divBdr>
    </w:div>
    <w:div w:id="2020351608">
      <w:bodyDiv w:val="1"/>
      <w:marLeft w:val="0"/>
      <w:marRight w:val="0"/>
      <w:marTop w:val="0"/>
      <w:marBottom w:val="0"/>
      <w:divBdr>
        <w:top w:val="none" w:sz="0" w:space="0" w:color="auto"/>
        <w:left w:val="none" w:sz="0" w:space="0" w:color="auto"/>
        <w:bottom w:val="none" w:sz="0" w:space="0" w:color="auto"/>
        <w:right w:val="none" w:sz="0" w:space="0" w:color="auto"/>
      </w:divBdr>
      <w:divsChild>
        <w:div w:id="604459610">
          <w:marLeft w:val="0"/>
          <w:marRight w:val="0"/>
          <w:marTop w:val="0"/>
          <w:marBottom w:val="0"/>
          <w:divBdr>
            <w:top w:val="none" w:sz="0" w:space="0" w:color="auto"/>
            <w:left w:val="none" w:sz="0" w:space="0" w:color="auto"/>
            <w:bottom w:val="none" w:sz="0" w:space="0" w:color="auto"/>
            <w:right w:val="none" w:sz="0" w:space="0" w:color="auto"/>
          </w:divBdr>
          <w:divsChild>
            <w:div w:id="1215432045">
              <w:marLeft w:val="0"/>
              <w:marRight w:val="0"/>
              <w:marTop w:val="0"/>
              <w:marBottom w:val="0"/>
              <w:divBdr>
                <w:top w:val="none" w:sz="0" w:space="0" w:color="auto"/>
                <w:left w:val="none" w:sz="0" w:space="0" w:color="auto"/>
                <w:bottom w:val="none" w:sz="0" w:space="0" w:color="auto"/>
                <w:right w:val="none" w:sz="0" w:space="0" w:color="auto"/>
              </w:divBdr>
              <w:divsChild>
                <w:div w:id="1991710270">
                  <w:marLeft w:val="0"/>
                  <w:marRight w:val="0"/>
                  <w:marTop w:val="0"/>
                  <w:marBottom w:val="0"/>
                  <w:divBdr>
                    <w:top w:val="none" w:sz="0" w:space="0" w:color="auto"/>
                    <w:left w:val="none" w:sz="0" w:space="0" w:color="auto"/>
                    <w:bottom w:val="none" w:sz="0" w:space="0" w:color="auto"/>
                    <w:right w:val="none" w:sz="0" w:space="0" w:color="auto"/>
                  </w:divBdr>
                  <w:divsChild>
                    <w:div w:id="345980792">
                      <w:marLeft w:val="0"/>
                      <w:marRight w:val="0"/>
                      <w:marTop w:val="0"/>
                      <w:marBottom w:val="0"/>
                      <w:divBdr>
                        <w:top w:val="none" w:sz="0" w:space="0" w:color="auto"/>
                        <w:left w:val="none" w:sz="0" w:space="0" w:color="auto"/>
                        <w:bottom w:val="none" w:sz="0" w:space="0" w:color="auto"/>
                        <w:right w:val="none" w:sz="0" w:space="0" w:color="auto"/>
                      </w:divBdr>
                      <w:divsChild>
                        <w:div w:id="743796563">
                          <w:marLeft w:val="0"/>
                          <w:marRight w:val="0"/>
                          <w:marTop w:val="0"/>
                          <w:marBottom w:val="0"/>
                          <w:divBdr>
                            <w:top w:val="none" w:sz="0" w:space="0" w:color="auto"/>
                            <w:left w:val="none" w:sz="0" w:space="0" w:color="auto"/>
                            <w:bottom w:val="none" w:sz="0" w:space="0" w:color="auto"/>
                            <w:right w:val="none" w:sz="0" w:space="0" w:color="auto"/>
                          </w:divBdr>
                          <w:divsChild>
                            <w:div w:id="1975714597">
                              <w:marLeft w:val="0"/>
                              <w:marRight w:val="0"/>
                              <w:marTop w:val="0"/>
                              <w:marBottom w:val="0"/>
                              <w:divBdr>
                                <w:top w:val="none" w:sz="0" w:space="0" w:color="auto"/>
                                <w:left w:val="none" w:sz="0" w:space="0" w:color="auto"/>
                                <w:bottom w:val="none" w:sz="0" w:space="0" w:color="auto"/>
                                <w:right w:val="none" w:sz="0" w:space="0" w:color="auto"/>
                              </w:divBdr>
                              <w:divsChild>
                                <w:div w:id="4192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78771">
                          <w:marLeft w:val="0"/>
                          <w:marRight w:val="0"/>
                          <w:marTop w:val="0"/>
                          <w:marBottom w:val="0"/>
                          <w:divBdr>
                            <w:top w:val="none" w:sz="0" w:space="0" w:color="auto"/>
                            <w:left w:val="none" w:sz="0" w:space="0" w:color="auto"/>
                            <w:bottom w:val="none" w:sz="0" w:space="0" w:color="auto"/>
                            <w:right w:val="none" w:sz="0" w:space="0" w:color="auto"/>
                          </w:divBdr>
                          <w:divsChild>
                            <w:div w:id="1270115027">
                              <w:marLeft w:val="0"/>
                              <w:marRight w:val="0"/>
                              <w:marTop w:val="0"/>
                              <w:marBottom w:val="0"/>
                              <w:divBdr>
                                <w:top w:val="none" w:sz="0" w:space="0" w:color="auto"/>
                                <w:left w:val="none" w:sz="0" w:space="0" w:color="auto"/>
                                <w:bottom w:val="none" w:sz="0" w:space="0" w:color="auto"/>
                                <w:right w:val="none" w:sz="0" w:space="0" w:color="auto"/>
                              </w:divBdr>
                              <w:divsChild>
                                <w:div w:id="1966041928">
                                  <w:marLeft w:val="0"/>
                                  <w:marRight w:val="0"/>
                                  <w:marTop w:val="0"/>
                                  <w:marBottom w:val="0"/>
                                  <w:divBdr>
                                    <w:top w:val="none" w:sz="0" w:space="0" w:color="auto"/>
                                    <w:left w:val="none" w:sz="0" w:space="0" w:color="auto"/>
                                    <w:bottom w:val="none" w:sz="0" w:space="0" w:color="auto"/>
                                    <w:right w:val="none" w:sz="0" w:space="0" w:color="auto"/>
                                  </w:divBdr>
                                  <w:divsChild>
                                    <w:div w:id="20165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447417">
              <w:marLeft w:val="0"/>
              <w:marRight w:val="0"/>
              <w:marTop w:val="0"/>
              <w:marBottom w:val="0"/>
              <w:divBdr>
                <w:top w:val="none" w:sz="0" w:space="0" w:color="auto"/>
                <w:left w:val="none" w:sz="0" w:space="0" w:color="auto"/>
                <w:bottom w:val="none" w:sz="0" w:space="0" w:color="auto"/>
                <w:right w:val="none" w:sz="0" w:space="0" w:color="auto"/>
              </w:divBdr>
              <w:divsChild>
                <w:div w:id="1686132109">
                  <w:marLeft w:val="0"/>
                  <w:marRight w:val="0"/>
                  <w:marTop w:val="0"/>
                  <w:marBottom w:val="0"/>
                  <w:divBdr>
                    <w:top w:val="none" w:sz="0" w:space="0" w:color="auto"/>
                    <w:left w:val="none" w:sz="0" w:space="0" w:color="auto"/>
                    <w:bottom w:val="none" w:sz="0" w:space="0" w:color="auto"/>
                    <w:right w:val="none" w:sz="0" w:space="0" w:color="auto"/>
                  </w:divBdr>
                  <w:divsChild>
                    <w:div w:id="86166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846689">
      <w:bodyDiv w:val="1"/>
      <w:marLeft w:val="0"/>
      <w:marRight w:val="0"/>
      <w:marTop w:val="0"/>
      <w:marBottom w:val="0"/>
      <w:divBdr>
        <w:top w:val="none" w:sz="0" w:space="0" w:color="auto"/>
        <w:left w:val="none" w:sz="0" w:space="0" w:color="auto"/>
        <w:bottom w:val="none" w:sz="0" w:space="0" w:color="auto"/>
        <w:right w:val="none" w:sz="0" w:space="0" w:color="auto"/>
      </w:divBdr>
    </w:div>
    <w:div w:id="2055499767">
      <w:bodyDiv w:val="1"/>
      <w:marLeft w:val="0"/>
      <w:marRight w:val="0"/>
      <w:marTop w:val="0"/>
      <w:marBottom w:val="0"/>
      <w:divBdr>
        <w:top w:val="none" w:sz="0" w:space="0" w:color="auto"/>
        <w:left w:val="none" w:sz="0" w:space="0" w:color="auto"/>
        <w:bottom w:val="none" w:sz="0" w:space="0" w:color="auto"/>
        <w:right w:val="none" w:sz="0" w:space="0" w:color="auto"/>
      </w:divBdr>
      <w:divsChild>
        <w:div w:id="1732264606">
          <w:marLeft w:val="0"/>
          <w:marRight w:val="0"/>
          <w:marTop w:val="0"/>
          <w:marBottom w:val="0"/>
          <w:divBdr>
            <w:top w:val="none" w:sz="0" w:space="0" w:color="auto"/>
            <w:left w:val="none" w:sz="0" w:space="0" w:color="auto"/>
            <w:bottom w:val="none" w:sz="0" w:space="0" w:color="auto"/>
            <w:right w:val="none" w:sz="0" w:space="0" w:color="auto"/>
          </w:divBdr>
          <w:divsChild>
            <w:div w:id="572155974">
              <w:marLeft w:val="0"/>
              <w:marRight w:val="0"/>
              <w:marTop w:val="0"/>
              <w:marBottom w:val="0"/>
              <w:divBdr>
                <w:top w:val="none" w:sz="0" w:space="0" w:color="auto"/>
                <w:left w:val="none" w:sz="0" w:space="0" w:color="auto"/>
                <w:bottom w:val="none" w:sz="0" w:space="0" w:color="auto"/>
                <w:right w:val="none" w:sz="0" w:space="0" w:color="auto"/>
              </w:divBdr>
            </w:div>
          </w:divsChild>
        </w:div>
        <w:div w:id="230968780">
          <w:marLeft w:val="0"/>
          <w:marRight w:val="0"/>
          <w:marTop w:val="0"/>
          <w:marBottom w:val="0"/>
          <w:divBdr>
            <w:top w:val="none" w:sz="0" w:space="0" w:color="auto"/>
            <w:left w:val="none" w:sz="0" w:space="0" w:color="auto"/>
            <w:bottom w:val="none" w:sz="0" w:space="0" w:color="auto"/>
            <w:right w:val="none" w:sz="0" w:space="0" w:color="auto"/>
          </w:divBdr>
          <w:divsChild>
            <w:div w:id="895432198">
              <w:marLeft w:val="0"/>
              <w:marRight w:val="0"/>
              <w:marTop w:val="0"/>
              <w:marBottom w:val="0"/>
              <w:divBdr>
                <w:top w:val="none" w:sz="0" w:space="0" w:color="auto"/>
                <w:left w:val="none" w:sz="0" w:space="0" w:color="auto"/>
                <w:bottom w:val="none" w:sz="0" w:space="0" w:color="auto"/>
                <w:right w:val="none" w:sz="0" w:space="0" w:color="auto"/>
              </w:divBdr>
            </w:div>
          </w:divsChild>
        </w:div>
        <w:div w:id="270938803">
          <w:marLeft w:val="0"/>
          <w:marRight w:val="0"/>
          <w:marTop w:val="0"/>
          <w:marBottom w:val="0"/>
          <w:divBdr>
            <w:top w:val="none" w:sz="0" w:space="0" w:color="auto"/>
            <w:left w:val="none" w:sz="0" w:space="0" w:color="auto"/>
            <w:bottom w:val="none" w:sz="0" w:space="0" w:color="auto"/>
            <w:right w:val="none" w:sz="0" w:space="0" w:color="auto"/>
          </w:divBdr>
          <w:divsChild>
            <w:div w:id="459225142">
              <w:marLeft w:val="0"/>
              <w:marRight w:val="0"/>
              <w:marTop w:val="0"/>
              <w:marBottom w:val="0"/>
              <w:divBdr>
                <w:top w:val="none" w:sz="0" w:space="0" w:color="auto"/>
                <w:left w:val="none" w:sz="0" w:space="0" w:color="auto"/>
                <w:bottom w:val="none" w:sz="0" w:space="0" w:color="auto"/>
                <w:right w:val="none" w:sz="0" w:space="0" w:color="auto"/>
              </w:divBdr>
            </w:div>
          </w:divsChild>
        </w:div>
        <w:div w:id="1111124277">
          <w:marLeft w:val="0"/>
          <w:marRight w:val="0"/>
          <w:marTop w:val="0"/>
          <w:marBottom w:val="0"/>
          <w:divBdr>
            <w:top w:val="none" w:sz="0" w:space="0" w:color="auto"/>
            <w:left w:val="none" w:sz="0" w:space="0" w:color="auto"/>
            <w:bottom w:val="none" w:sz="0" w:space="0" w:color="auto"/>
            <w:right w:val="none" w:sz="0" w:space="0" w:color="auto"/>
          </w:divBdr>
          <w:divsChild>
            <w:div w:id="361251416">
              <w:marLeft w:val="0"/>
              <w:marRight w:val="0"/>
              <w:marTop w:val="0"/>
              <w:marBottom w:val="0"/>
              <w:divBdr>
                <w:top w:val="none" w:sz="0" w:space="0" w:color="auto"/>
                <w:left w:val="none" w:sz="0" w:space="0" w:color="auto"/>
                <w:bottom w:val="none" w:sz="0" w:space="0" w:color="auto"/>
                <w:right w:val="none" w:sz="0" w:space="0" w:color="auto"/>
              </w:divBdr>
            </w:div>
          </w:divsChild>
        </w:div>
        <w:div w:id="796097797">
          <w:marLeft w:val="0"/>
          <w:marRight w:val="0"/>
          <w:marTop w:val="0"/>
          <w:marBottom w:val="0"/>
          <w:divBdr>
            <w:top w:val="none" w:sz="0" w:space="0" w:color="auto"/>
            <w:left w:val="none" w:sz="0" w:space="0" w:color="auto"/>
            <w:bottom w:val="none" w:sz="0" w:space="0" w:color="auto"/>
            <w:right w:val="none" w:sz="0" w:space="0" w:color="auto"/>
          </w:divBdr>
          <w:divsChild>
            <w:div w:id="1146319781">
              <w:marLeft w:val="0"/>
              <w:marRight w:val="0"/>
              <w:marTop w:val="0"/>
              <w:marBottom w:val="0"/>
              <w:divBdr>
                <w:top w:val="none" w:sz="0" w:space="0" w:color="auto"/>
                <w:left w:val="none" w:sz="0" w:space="0" w:color="auto"/>
                <w:bottom w:val="none" w:sz="0" w:space="0" w:color="auto"/>
                <w:right w:val="none" w:sz="0" w:space="0" w:color="auto"/>
              </w:divBdr>
            </w:div>
          </w:divsChild>
        </w:div>
        <w:div w:id="1234122502">
          <w:marLeft w:val="0"/>
          <w:marRight w:val="0"/>
          <w:marTop w:val="0"/>
          <w:marBottom w:val="0"/>
          <w:divBdr>
            <w:top w:val="none" w:sz="0" w:space="0" w:color="auto"/>
            <w:left w:val="none" w:sz="0" w:space="0" w:color="auto"/>
            <w:bottom w:val="none" w:sz="0" w:space="0" w:color="auto"/>
            <w:right w:val="none" w:sz="0" w:space="0" w:color="auto"/>
          </w:divBdr>
          <w:divsChild>
            <w:div w:id="14228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7156">
      <w:bodyDiv w:val="1"/>
      <w:marLeft w:val="0"/>
      <w:marRight w:val="0"/>
      <w:marTop w:val="0"/>
      <w:marBottom w:val="0"/>
      <w:divBdr>
        <w:top w:val="none" w:sz="0" w:space="0" w:color="auto"/>
        <w:left w:val="none" w:sz="0" w:space="0" w:color="auto"/>
        <w:bottom w:val="none" w:sz="0" w:space="0" w:color="auto"/>
        <w:right w:val="none" w:sz="0" w:space="0" w:color="auto"/>
      </w:divBdr>
    </w:div>
    <w:div w:id="2083717445">
      <w:bodyDiv w:val="1"/>
      <w:marLeft w:val="0"/>
      <w:marRight w:val="0"/>
      <w:marTop w:val="0"/>
      <w:marBottom w:val="0"/>
      <w:divBdr>
        <w:top w:val="none" w:sz="0" w:space="0" w:color="auto"/>
        <w:left w:val="none" w:sz="0" w:space="0" w:color="auto"/>
        <w:bottom w:val="none" w:sz="0" w:space="0" w:color="auto"/>
        <w:right w:val="none" w:sz="0" w:space="0" w:color="auto"/>
      </w:divBdr>
    </w:div>
    <w:div w:id="2084637871">
      <w:bodyDiv w:val="1"/>
      <w:marLeft w:val="0"/>
      <w:marRight w:val="0"/>
      <w:marTop w:val="0"/>
      <w:marBottom w:val="0"/>
      <w:divBdr>
        <w:top w:val="none" w:sz="0" w:space="0" w:color="auto"/>
        <w:left w:val="none" w:sz="0" w:space="0" w:color="auto"/>
        <w:bottom w:val="none" w:sz="0" w:space="0" w:color="auto"/>
        <w:right w:val="none" w:sz="0" w:space="0" w:color="auto"/>
      </w:divBdr>
    </w:div>
    <w:div w:id="2095659192">
      <w:bodyDiv w:val="1"/>
      <w:marLeft w:val="0"/>
      <w:marRight w:val="0"/>
      <w:marTop w:val="0"/>
      <w:marBottom w:val="0"/>
      <w:divBdr>
        <w:top w:val="none" w:sz="0" w:space="0" w:color="auto"/>
        <w:left w:val="none" w:sz="0" w:space="0" w:color="auto"/>
        <w:bottom w:val="none" w:sz="0" w:space="0" w:color="auto"/>
        <w:right w:val="none" w:sz="0" w:space="0" w:color="auto"/>
      </w:divBdr>
    </w:div>
    <w:div w:id="2095852229">
      <w:bodyDiv w:val="1"/>
      <w:marLeft w:val="0"/>
      <w:marRight w:val="0"/>
      <w:marTop w:val="0"/>
      <w:marBottom w:val="0"/>
      <w:divBdr>
        <w:top w:val="none" w:sz="0" w:space="0" w:color="auto"/>
        <w:left w:val="none" w:sz="0" w:space="0" w:color="auto"/>
        <w:bottom w:val="none" w:sz="0" w:space="0" w:color="auto"/>
        <w:right w:val="none" w:sz="0" w:space="0" w:color="auto"/>
      </w:divBdr>
    </w:div>
    <w:div w:id="2096169935">
      <w:bodyDiv w:val="1"/>
      <w:marLeft w:val="0"/>
      <w:marRight w:val="0"/>
      <w:marTop w:val="0"/>
      <w:marBottom w:val="0"/>
      <w:divBdr>
        <w:top w:val="none" w:sz="0" w:space="0" w:color="auto"/>
        <w:left w:val="none" w:sz="0" w:space="0" w:color="auto"/>
        <w:bottom w:val="none" w:sz="0" w:space="0" w:color="auto"/>
        <w:right w:val="none" w:sz="0" w:space="0" w:color="auto"/>
      </w:divBdr>
    </w:div>
    <w:div w:id="2099905828">
      <w:bodyDiv w:val="1"/>
      <w:marLeft w:val="0"/>
      <w:marRight w:val="0"/>
      <w:marTop w:val="0"/>
      <w:marBottom w:val="0"/>
      <w:divBdr>
        <w:top w:val="none" w:sz="0" w:space="0" w:color="auto"/>
        <w:left w:val="none" w:sz="0" w:space="0" w:color="auto"/>
        <w:bottom w:val="none" w:sz="0" w:space="0" w:color="auto"/>
        <w:right w:val="none" w:sz="0" w:space="0" w:color="auto"/>
      </w:divBdr>
    </w:div>
    <w:div w:id="2106535257">
      <w:bodyDiv w:val="1"/>
      <w:marLeft w:val="0"/>
      <w:marRight w:val="0"/>
      <w:marTop w:val="0"/>
      <w:marBottom w:val="0"/>
      <w:divBdr>
        <w:top w:val="none" w:sz="0" w:space="0" w:color="auto"/>
        <w:left w:val="none" w:sz="0" w:space="0" w:color="auto"/>
        <w:bottom w:val="none" w:sz="0" w:space="0" w:color="auto"/>
        <w:right w:val="none" w:sz="0" w:space="0" w:color="auto"/>
      </w:divBdr>
      <w:divsChild>
        <w:div w:id="16038759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26371">
          <w:blockQuote w:val="1"/>
          <w:marLeft w:val="720"/>
          <w:marRight w:val="720"/>
          <w:marTop w:val="100"/>
          <w:marBottom w:val="100"/>
          <w:divBdr>
            <w:top w:val="none" w:sz="0" w:space="0" w:color="auto"/>
            <w:left w:val="none" w:sz="0" w:space="0" w:color="auto"/>
            <w:bottom w:val="none" w:sz="0" w:space="0" w:color="auto"/>
            <w:right w:val="none" w:sz="0" w:space="0" w:color="auto"/>
          </w:divBdr>
        </w:div>
        <w:div w:id="566955532">
          <w:blockQuote w:val="1"/>
          <w:marLeft w:val="720"/>
          <w:marRight w:val="720"/>
          <w:marTop w:val="100"/>
          <w:marBottom w:val="100"/>
          <w:divBdr>
            <w:top w:val="none" w:sz="0" w:space="0" w:color="auto"/>
            <w:left w:val="none" w:sz="0" w:space="0" w:color="auto"/>
            <w:bottom w:val="none" w:sz="0" w:space="0" w:color="auto"/>
            <w:right w:val="none" w:sz="0" w:space="0" w:color="auto"/>
          </w:divBdr>
        </w:div>
        <w:div w:id="926962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89402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7348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505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84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38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918750175">
          <w:blockQuote w:val="1"/>
          <w:marLeft w:val="720"/>
          <w:marRight w:val="720"/>
          <w:marTop w:val="100"/>
          <w:marBottom w:val="100"/>
          <w:divBdr>
            <w:top w:val="none" w:sz="0" w:space="0" w:color="auto"/>
            <w:left w:val="none" w:sz="0" w:space="0" w:color="auto"/>
            <w:bottom w:val="none" w:sz="0" w:space="0" w:color="auto"/>
            <w:right w:val="none" w:sz="0" w:space="0" w:color="auto"/>
          </w:divBdr>
        </w:div>
        <w:div w:id="437026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7535581">
      <w:bodyDiv w:val="1"/>
      <w:marLeft w:val="0"/>
      <w:marRight w:val="0"/>
      <w:marTop w:val="0"/>
      <w:marBottom w:val="0"/>
      <w:divBdr>
        <w:top w:val="none" w:sz="0" w:space="0" w:color="auto"/>
        <w:left w:val="none" w:sz="0" w:space="0" w:color="auto"/>
        <w:bottom w:val="none" w:sz="0" w:space="0" w:color="auto"/>
        <w:right w:val="none" w:sz="0" w:space="0" w:color="auto"/>
      </w:divBdr>
    </w:div>
    <w:div w:id="2113091160">
      <w:bodyDiv w:val="1"/>
      <w:marLeft w:val="0"/>
      <w:marRight w:val="0"/>
      <w:marTop w:val="0"/>
      <w:marBottom w:val="0"/>
      <w:divBdr>
        <w:top w:val="none" w:sz="0" w:space="0" w:color="auto"/>
        <w:left w:val="none" w:sz="0" w:space="0" w:color="auto"/>
        <w:bottom w:val="none" w:sz="0" w:space="0" w:color="auto"/>
        <w:right w:val="none" w:sz="0" w:space="0" w:color="auto"/>
      </w:divBdr>
      <w:divsChild>
        <w:div w:id="970329059">
          <w:marLeft w:val="0"/>
          <w:marRight w:val="0"/>
          <w:marTop w:val="0"/>
          <w:marBottom w:val="0"/>
          <w:divBdr>
            <w:top w:val="none" w:sz="0" w:space="0" w:color="auto"/>
            <w:left w:val="none" w:sz="0" w:space="0" w:color="auto"/>
            <w:bottom w:val="none" w:sz="0" w:space="0" w:color="auto"/>
            <w:right w:val="none" w:sz="0" w:space="0" w:color="auto"/>
          </w:divBdr>
          <w:divsChild>
            <w:div w:id="1906724721">
              <w:marLeft w:val="0"/>
              <w:marRight w:val="0"/>
              <w:marTop w:val="0"/>
              <w:marBottom w:val="0"/>
              <w:divBdr>
                <w:top w:val="none" w:sz="0" w:space="0" w:color="auto"/>
                <w:left w:val="none" w:sz="0" w:space="0" w:color="auto"/>
                <w:bottom w:val="none" w:sz="0" w:space="0" w:color="auto"/>
                <w:right w:val="none" w:sz="0" w:space="0" w:color="auto"/>
              </w:divBdr>
              <w:divsChild>
                <w:div w:id="638530667">
                  <w:marLeft w:val="0"/>
                  <w:marRight w:val="0"/>
                  <w:marTop w:val="0"/>
                  <w:marBottom w:val="0"/>
                  <w:divBdr>
                    <w:top w:val="none" w:sz="0" w:space="0" w:color="auto"/>
                    <w:left w:val="none" w:sz="0" w:space="0" w:color="auto"/>
                    <w:bottom w:val="none" w:sz="0" w:space="0" w:color="auto"/>
                    <w:right w:val="none" w:sz="0" w:space="0" w:color="auto"/>
                  </w:divBdr>
                  <w:divsChild>
                    <w:div w:id="26220461">
                      <w:marLeft w:val="0"/>
                      <w:marRight w:val="0"/>
                      <w:marTop w:val="0"/>
                      <w:marBottom w:val="0"/>
                      <w:divBdr>
                        <w:top w:val="none" w:sz="0" w:space="0" w:color="auto"/>
                        <w:left w:val="none" w:sz="0" w:space="0" w:color="auto"/>
                        <w:bottom w:val="none" w:sz="0" w:space="0" w:color="auto"/>
                        <w:right w:val="none" w:sz="0" w:space="0" w:color="auto"/>
                      </w:divBdr>
                      <w:divsChild>
                        <w:div w:id="1801026669">
                          <w:marLeft w:val="0"/>
                          <w:marRight w:val="0"/>
                          <w:marTop w:val="0"/>
                          <w:marBottom w:val="0"/>
                          <w:divBdr>
                            <w:top w:val="none" w:sz="0" w:space="0" w:color="auto"/>
                            <w:left w:val="none" w:sz="0" w:space="0" w:color="auto"/>
                            <w:bottom w:val="none" w:sz="0" w:space="0" w:color="auto"/>
                            <w:right w:val="none" w:sz="0" w:space="0" w:color="auto"/>
                          </w:divBdr>
                          <w:divsChild>
                            <w:div w:id="11828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62196">
                      <w:marLeft w:val="0"/>
                      <w:marRight w:val="0"/>
                      <w:marTop w:val="0"/>
                      <w:marBottom w:val="0"/>
                      <w:divBdr>
                        <w:top w:val="none" w:sz="0" w:space="0" w:color="auto"/>
                        <w:left w:val="none" w:sz="0" w:space="0" w:color="auto"/>
                        <w:bottom w:val="none" w:sz="0" w:space="0" w:color="auto"/>
                        <w:right w:val="none" w:sz="0" w:space="0" w:color="auto"/>
                      </w:divBdr>
                      <w:divsChild>
                        <w:div w:id="610282762">
                          <w:marLeft w:val="0"/>
                          <w:marRight w:val="0"/>
                          <w:marTop w:val="0"/>
                          <w:marBottom w:val="0"/>
                          <w:divBdr>
                            <w:top w:val="none" w:sz="0" w:space="0" w:color="auto"/>
                            <w:left w:val="none" w:sz="0" w:space="0" w:color="auto"/>
                            <w:bottom w:val="none" w:sz="0" w:space="0" w:color="auto"/>
                            <w:right w:val="none" w:sz="0" w:space="0" w:color="auto"/>
                          </w:divBdr>
                          <w:divsChild>
                            <w:div w:id="359359296">
                              <w:marLeft w:val="0"/>
                              <w:marRight w:val="0"/>
                              <w:marTop w:val="0"/>
                              <w:marBottom w:val="0"/>
                              <w:divBdr>
                                <w:top w:val="none" w:sz="0" w:space="0" w:color="auto"/>
                                <w:left w:val="none" w:sz="0" w:space="0" w:color="auto"/>
                                <w:bottom w:val="none" w:sz="0" w:space="0" w:color="auto"/>
                                <w:right w:val="none" w:sz="0" w:space="0" w:color="auto"/>
                              </w:divBdr>
                              <w:divsChild>
                                <w:div w:id="15318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32276">
                      <w:marLeft w:val="0"/>
                      <w:marRight w:val="0"/>
                      <w:marTop w:val="0"/>
                      <w:marBottom w:val="0"/>
                      <w:divBdr>
                        <w:top w:val="none" w:sz="0" w:space="0" w:color="auto"/>
                        <w:left w:val="none" w:sz="0" w:space="0" w:color="auto"/>
                        <w:bottom w:val="none" w:sz="0" w:space="0" w:color="auto"/>
                        <w:right w:val="none" w:sz="0" w:space="0" w:color="auto"/>
                      </w:divBdr>
                      <w:divsChild>
                        <w:div w:id="1328511274">
                          <w:marLeft w:val="0"/>
                          <w:marRight w:val="0"/>
                          <w:marTop w:val="0"/>
                          <w:marBottom w:val="0"/>
                          <w:divBdr>
                            <w:top w:val="none" w:sz="0" w:space="0" w:color="auto"/>
                            <w:left w:val="none" w:sz="0" w:space="0" w:color="auto"/>
                            <w:bottom w:val="none" w:sz="0" w:space="0" w:color="auto"/>
                            <w:right w:val="none" w:sz="0" w:space="0" w:color="auto"/>
                          </w:divBdr>
                          <w:divsChild>
                            <w:div w:id="1636907255">
                              <w:marLeft w:val="0"/>
                              <w:marRight w:val="0"/>
                              <w:marTop w:val="0"/>
                              <w:marBottom w:val="0"/>
                              <w:divBdr>
                                <w:top w:val="none" w:sz="0" w:space="0" w:color="auto"/>
                                <w:left w:val="none" w:sz="0" w:space="0" w:color="auto"/>
                                <w:bottom w:val="none" w:sz="0" w:space="0" w:color="auto"/>
                                <w:right w:val="none" w:sz="0" w:space="0" w:color="auto"/>
                              </w:divBdr>
                              <w:divsChild>
                                <w:div w:id="112873673">
                                  <w:marLeft w:val="0"/>
                                  <w:marRight w:val="0"/>
                                  <w:marTop w:val="0"/>
                                  <w:marBottom w:val="0"/>
                                  <w:divBdr>
                                    <w:top w:val="none" w:sz="0" w:space="0" w:color="auto"/>
                                    <w:left w:val="none" w:sz="0" w:space="0" w:color="auto"/>
                                    <w:bottom w:val="none" w:sz="0" w:space="0" w:color="auto"/>
                                    <w:right w:val="none" w:sz="0" w:space="0" w:color="auto"/>
                                  </w:divBdr>
                                </w:div>
                              </w:divsChild>
                            </w:div>
                            <w:div w:id="25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373137">
      <w:bodyDiv w:val="1"/>
      <w:marLeft w:val="0"/>
      <w:marRight w:val="0"/>
      <w:marTop w:val="0"/>
      <w:marBottom w:val="0"/>
      <w:divBdr>
        <w:top w:val="none" w:sz="0" w:space="0" w:color="auto"/>
        <w:left w:val="none" w:sz="0" w:space="0" w:color="auto"/>
        <w:bottom w:val="none" w:sz="0" w:space="0" w:color="auto"/>
        <w:right w:val="none" w:sz="0" w:space="0" w:color="auto"/>
      </w:divBdr>
    </w:div>
    <w:div w:id="2119643356">
      <w:bodyDiv w:val="1"/>
      <w:marLeft w:val="0"/>
      <w:marRight w:val="0"/>
      <w:marTop w:val="0"/>
      <w:marBottom w:val="0"/>
      <w:divBdr>
        <w:top w:val="none" w:sz="0" w:space="0" w:color="auto"/>
        <w:left w:val="none" w:sz="0" w:space="0" w:color="auto"/>
        <w:bottom w:val="none" w:sz="0" w:space="0" w:color="auto"/>
        <w:right w:val="none" w:sz="0" w:space="0" w:color="auto"/>
      </w:divBdr>
      <w:divsChild>
        <w:div w:id="765342220">
          <w:marLeft w:val="0"/>
          <w:marRight w:val="0"/>
          <w:marTop w:val="0"/>
          <w:marBottom w:val="0"/>
          <w:divBdr>
            <w:top w:val="none" w:sz="0" w:space="0" w:color="auto"/>
            <w:left w:val="none" w:sz="0" w:space="0" w:color="auto"/>
            <w:bottom w:val="none" w:sz="0" w:space="0" w:color="auto"/>
            <w:right w:val="none" w:sz="0" w:space="0" w:color="auto"/>
          </w:divBdr>
          <w:divsChild>
            <w:div w:id="1212303459">
              <w:marLeft w:val="0"/>
              <w:marRight w:val="0"/>
              <w:marTop w:val="0"/>
              <w:marBottom w:val="0"/>
              <w:divBdr>
                <w:top w:val="none" w:sz="0" w:space="0" w:color="auto"/>
                <w:left w:val="none" w:sz="0" w:space="0" w:color="auto"/>
                <w:bottom w:val="none" w:sz="0" w:space="0" w:color="auto"/>
                <w:right w:val="none" w:sz="0" w:space="0" w:color="auto"/>
              </w:divBdr>
              <w:divsChild>
                <w:div w:id="647982036">
                  <w:marLeft w:val="0"/>
                  <w:marRight w:val="0"/>
                  <w:marTop w:val="0"/>
                  <w:marBottom w:val="0"/>
                  <w:divBdr>
                    <w:top w:val="none" w:sz="0" w:space="0" w:color="auto"/>
                    <w:left w:val="none" w:sz="0" w:space="0" w:color="auto"/>
                    <w:bottom w:val="none" w:sz="0" w:space="0" w:color="auto"/>
                    <w:right w:val="none" w:sz="0" w:space="0" w:color="auto"/>
                  </w:divBdr>
                  <w:divsChild>
                    <w:div w:id="1578830002">
                      <w:marLeft w:val="0"/>
                      <w:marRight w:val="0"/>
                      <w:marTop w:val="0"/>
                      <w:marBottom w:val="0"/>
                      <w:divBdr>
                        <w:top w:val="none" w:sz="0" w:space="0" w:color="auto"/>
                        <w:left w:val="none" w:sz="0" w:space="0" w:color="auto"/>
                        <w:bottom w:val="none" w:sz="0" w:space="0" w:color="auto"/>
                        <w:right w:val="none" w:sz="0" w:space="0" w:color="auto"/>
                      </w:divBdr>
                      <w:divsChild>
                        <w:div w:id="2126803854">
                          <w:marLeft w:val="0"/>
                          <w:marRight w:val="0"/>
                          <w:marTop w:val="0"/>
                          <w:marBottom w:val="0"/>
                          <w:divBdr>
                            <w:top w:val="none" w:sz="0" w:space="0" w:color="auto"/>
                            <w:left w:val="none" w:sz="0" w:space="0" w:color="auto"/>
                            <w:bottom w:val="none" w:sz="0" w:space="0" w:color="auto"/>
                            <w:right w:val="none" w:sz="0" w:space="0" w:color="auto"/>
                          </w:divBdr>
                          <w:divsChild>
                            <w:div w:id="1365252541">
                              <w:marLeft w:val="0"/>
                              <w:marRight w:val="0"/>
                              <w:marTop w:val="0"/>
                              <w:marBottom w:val="0"/>
                              <w:divBdr>
                                <w:top w:val="none" w:sz="0" w:space="0" w:color="auto"/>
                                <w:left w:val="none" w:sz="0" w:space="0" w:color="auto"/>
                                <w:bottom w:val="none" w:sz="0" w:space="0" w:color="auto"/>
                                <w:right w:val="none" w:sz="0" w:space="0" w:color="auto"/>
                              </w:divBdr>
                              <w:divsChild>
                                <w:div w:id="10609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24533">
                          <w:marLeft w:val="0"/>
                          <w:marRight w:val="0"/>
                          <w:marTop w:val="0"/>
                          <w:marBottom w:val="0"/>
                          <w:divBdr>
                            <w:top w:val="none" w:sz="0" w:space="0" w:color="auto"/>
                            <w:left w:val="none" w:sz="0" w:space="0" w:color="auto"/>
                            <w:bottom w:val="none" w:sz="0" w:space="0" w:color="auto"/>
                            <w:right w:val="none" w:sz="0" w:space="0" w:color="auto"/>
                          </w:divBdr>
                          <w:divsChild>
                            <w:div w:id="1485508466">
                              <w:marLeft w:val="0"/>
                              <w:marRight w:val="0"/>
                              <w:marTop w:val="0"/>
                              <w:marBottom w:val="0"/>
                              <w:divBdr>
                                <w:top w:val="none" w:sz="0" w:space="0" w:color="auto"/>
                                <w:left w:val="none" w:sz="0" w:space="0" w:color="auto"/>
                                <w:bottom w:val="none" w:sz="0" w:space="0" w:color="auto"/>
                                <w:right w:val="none" w:sz="0" w:space="0" w:color="auto"/>
                              </w:divBdr>
                              <w:divsChild>
                                <w:div w:id="1307127460">
                                  <w:marLeft w:val="0"/>
                                  <w:marRight w:val="0"/>
                                  <w:marTop w:val="0"/>
                                  <w:marBottom w:val="0"/>
                                  <w:divBdr>
                                    <w:top w:val="none" w:sz="0" w:space="0" w:color="auto"/>
                                    <w:left w:val="none" w:sz="0" w:space="0" w:color="auto"/>
                                    <w:bottom w:val="none" w:sz="0" w:space="0" w:color="auto"/>
                                    <w:right w:val="none" w:sz="0" w:space="0" w:color="auto"/>
                                  </w:divBdr>
                                  <w:divsChild>
                                    <w:div w:id="10589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169972">
              <w:marLeft w:val="0"/>
              <w:marRight w:val="0"/>
              <w:marTop w:val="0"/>
              <w:marBottom w:val="0"/>
              <w:divBdr>
                <w:top w:val="none" w:sz="0" w:space="0" w:color="auto"/>
                <w:left w:val="none" w:sz="0" w:space="0" w:color="auto"/>
                <w:bottom w:val="none" w:sz="0" w:space="0" w:color="auto"/>
                <w:right w:val="none" w:sz="0" w:space="0" w:color="auto"/>
              </w:divBdr>
              <w:divsChild>
                <w:div w:id="1222210460">
                  <w:marLeft w:val="0"/>
                  <w:marRight w:val="0"/>
                  <w:marTop w:val="0"/>
                  <w:marBottom w:val="0"/>
                  <w:divBdr>
                    <w:top w:val="none" w:sz="0" w:space="0" w:color="auto"/>
                    <w:left w:val="none" w:sz="0" w:space="0" w:color="auto"/>
                    <w:bottom w:val="none" w:sz="0" w:space="0" w:color="auto"/>
                    <w:right w:val="none" w:sz="0" w:space="0" w:color="auto"/>
                  </w:divBdr>
                  <w:divsChild>
                    <w:div w:id="5612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70224">
          <w:marLeft w:val="0"/>
          <w:marRight w:val="0"/>
          <w:marTop w:val="0"/>
          <w:marBottom w:val="0"/>
          <w:divBdr>
            <w:top w:val="none" w:sz="0" w:space="0" w:color="auto"/>
            <w:left w:val="none" w:sz="0" w:space="0" w:color="auto"/>
            <w:bottom w:val="none" w:sz="0" w:space="0" w:color="auto"/>
            <w:right w:val="none" w:sz="0" w:space="0" w:color="auto"/>
          </w:divBdr>
          <w:divsChild>
            <w:div w:id="1883132301">
              <w:marLeft w:val="0"/>
              <w:marRight w:val="0"/>
              <w:marTop w:val="0"/>
              <w:marBottom w:val="0"/>
              <w:divBdr>
                <w:top w:val="none" w:sz="0" w:space="0" w:color="auto"/>
                <w:left w:val="none" w:sz="0" w:space="0" w:color="auto"/>
                <w:bottom w:val="none" w:sz="0" w:space="0" w:color="auto"/>
                <w:right w:val="none" w:sz="0" w:space="0" w:color="auto"/>
              </w:divBdr>
              <w:divsChild>
                <w:div w:id="1962028018">
                  <w:marLeft w:val="0"/>
                  <w:marRight w:val="0"/>
                  <w:marTop w:val="0"/>
                  <w:marBottom w:val="0"/>
                  <w:divBdr>
                    <w:top w:val="none" w:sz="0" w:space="0" w:color="auto"/>
                    <w:left w:val="none" w:sz="0" w:space="0" w:color="auto"/>
                    <w:bottom w:val="none" w:sz="0" w:space="0" w:color="auto"/>
                    <w:right w:val="none" w:sz="0" w:space="0" w:color="auto"/>
                  </w:divBdr>
                  <w:divsChild>
                    <w:div w:id="1377777247">
                      <w:marLeft w:val="0"/>
                      <w:marRight w:val="0"/>
                      <w:marTop w:val="0"/>
                      <w:marBottom w:val="0"/>
                      <w:divBdr>
                        <w:top w:val="none" w:sz="0" w:space="0" w:color="auto"/>
                        <w:left w:val="none" w:sz="0" w:space="0" w:color="auto"/>
                        <w:bottom w:val="none" w:sz="0" w:space="0" w:color="auto"/>
                        <w:right w:val="none" w:sz="0" w:space="0" w:color="auto"/>
                      </w:divBdr>
                      <w:divsChild>
                        <w:div w:id="581332191">
                          <w:marLeft w:val="0"/>
                          <w:marRight w:val="0"/>
                          <w:marTop w:val="0"/>
                          <w:marBottom w:val="0"/>
                          <w:divBdr>
                            <w:top w:val="none" w:sz="0" w:space="0" w:color="auto"/>
                            <w:left w:val="none" w:sz="0" w:space="0" w:color="auto"/>
                            <w:bottom w:val="none" w:sz="0" w:space="0" w:color="auto"/>
                            <w:right w:val="none" w:sz="0" w:space="0" w:color="auto"/>
                          </w:divBdr>
                          <w:divsChild>
                            <w:div w:id="5275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72772">
                      <w:marLeft w:val="0"/>
                      <w:marRight w:val="0"/>
                      <w:marTop w:val="0"/>
                      <w:marBottom w:val="0"/>
                      <w:divBdr>
                        <w:top w:val="none" w:sz="0" w:space="0" w:color="auto"/>
                        <w:left w:val="none" w:sz="0" w:space="0" w:color="auto"/>
                        <w:bottom w:val="none" w:sz="0" w:space="0" w:color="auto"/>
                        <w:right w:val="none" w:sz="0" w:space="0" w:color="auto"/>
                      </w:divBdr>
                      <w:divsChild>
                        <w:div w:id="1723092979">
                          <w:marLeft w:val="0"/>
                          <w:marRight w:val="0"/>
                          <w:marTop w:val="0"/>
                          <w:marBottom w:val="0"/>
                          <w:divBdr>
                            <w:top w:val="none" w:sz="0" w:space="0" w:color="auto"/>
                            <w:left w:val="none" w:sz="0" w:space="0" w:color="auto"/>
                            <w:bottom w:val="none" w:sz="0" w:space="0" w:color="auto"/>
                            <w:right w:val="none" w:sz="0" w:space="0" w:color="auto"/>
                          </w:divBdr>
                          <w:divsChild>
                            <w:div w:id="432480808">
                              <w:marLeft w:val="0"/>
                              <w:marRight w:val="0"/>
                              <w:marTop w:val="0"/>
                              <w:marBottom w:val="0"/>
                              <w:divBdr>
                                <w:top w:val="none" w:sz="0" w:space="0" w:color="auto"/>
                                <w:left w:val="none" w:sz="0" w:space="0" w:color="auto"/>
                                <w:bottom w:val="none" w:sz="0" w:space="0" w:color="auto"/>
                                <w:right w:val="none" w:sz="0" w:space="0" w:color="auto"/>
                              </w:divBdr>
                              <w:divsChild>
                                <w:div w:id="985890452">
                                  <w:marLeft w:val="0"/>
                                  <w:marRight w:val="0"/>
                                  <w:marTop w:val="0"/>
                                  <w:marBottom w:val="0"/>
                                  <w:divBdr>
                                    <w:top w:val="none" w:sz="0" w:space="0" w:color="auto"/>
                                    <w:left w:val="none" w:sz="0" w:space="0" w:color="auto"/>
                                    <w:bottom w:val="none" w:sz="0" w:space="0" w:color="auto"/>
                                    <w:right w:val="none" w:sz="0" w:space="0" w:color="auto"/>
                                  </w:divBdr>
                                  <w:divsChild>
                                    <w:div w:id="16112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126180">
      <w:bodyDiv w:val="1"/>
      <w:marLeft w:val="0"/>
      <w:marRight w:val="0"/>
      <w:marTop w:val="0"/>
      <w:marBottom w:val="0"/>
      <w:divBdr>
        <w:top w:val="none" w:sz="0" w:space="0" w:color="auto"/>
        <w:left w:val="none" w:sz="0" w:space="0" w:color="auto"/>
        <w:bottom w:val="none" w:sz="0" w:space="0" w:color="auto"/>
        <w:right w:val="none" w:sz="0" w:space="0" w:color="auto"/>
      </w:divBdr>
    </w:div>
    <w:div w:id="2132743811">
      <w:bodyDiv w:val="1"/>
      <w:marLeft w:val="0"/>
      <w:marRight w:val="0"/>
      <w:marTop w:val="0"/>
      <w:marBottom w:val="0"/>
      <w:divBdr>
        <w:top w:val="none" w:sz="0" w:space="0" w:color="auto"/>
        <w:left w:val="none" w:sz="0" w:space="0" w:color="auto"/>
        <w:bottom w:val="none" w:sz="0" w:space="0" w:color="auto"/>
        <w:right w:val="none" w:sz="0" w:space="0" w:color="auto"/>
      </w:divBdr>
    </w:div>
    <w:div w:id="2132892979">
      <w:bodyDiv w:val="1"/>
      <w:marLeft w:val="0"/>
      <w:marRight w:val="0"/>
      <w:marTop w:val="0"/>
      <w:marBottom w:val="0"/>
      <w:divBdr>
        <w:top w:val="none" w:sz="0" w:space="0" w:color="auto"/>
        <w:left w:val="none" w:sz="0" w:space="0" w:color="auto"/>
        <w:bottom w:val="none" w:sz="0" w:space="0" w:color="auto"/>
        <w:right w:val="none" w:sz="0" w:space="0" w:color="auto"/>
      </w:divBdr>
      <w:divsChild>
        <w:div w:id="916403010">
          <w:marLeft w:val="0"/>
          <w:marRight w:val="0"/>
          <w:marTop w:val="0"/>
          <w:marBottom w:val="0"/>
          <w:divBdr>
            <w:top w:val="none" w:sz="0" w:space="0" w:color="auto"/>
            <w:left w:val="none" w:sz="0" w:space="0" w:color="auto"/>
            <w:bottom w:val="none" w:sz="0" w:space="0" w:color="auto"/>
            <w:right w:val="none" w:sz="0" w:space="0" w:color="auto"/>
          </w:divBdr>
          <w:divsChild>
            <w:div w:id="411707209">
              <w:marLeft w:val="0"/>
              <w:marRight w:val="0"/>
              <w:marTop w:val="0"/>
              <w:marBottom w:val="0"/>
              <w:divBdr>
                <w:top w:val="none" w:sz="0" w:space="0" w:color="auto"/>
                <w:left w:val="none" w:sz="0" w:space="0" w:color="auto"/>
                <w:bottom w:val="none" w:sz="0" w:space="0" w:color="auto"/>
                <w:right w:val="none" w:sz="0" w:space="0" w:color="auto"/>
              </w:divBdr>
              <w:divsChild>
                <w:div w:id="1225218438">
                  <w:marLeft w:val="0"/>
                  <w:marRight w:val="0"/>
                  <w:marTop w:val="0"/>
                  <w:marBottom w:val="0"/>
                  <w:divBdr>
                    <w:top w:val="none" w:sz="0" w:space="0" w:color="auto"/>
                    <w:left w:val="none" w:sz="0" w:space="0" w:color="auto"/>
                    <w:bottom w:val="none" w:sz="0" w:space="0" w:color="auto"/>
                    <w:right w:val="none" w:sz="0" w:space="0" w:color="auto"/>
                  </w:divBdr>
                  <w:divsChild>
                    <w:div w:id="162354883">
                      <w:marLeft w:val="0"/>
                      <w:marRight w:val="0"/>
                      <w:marTop w:val="0"/>
                      <w:marBottom w:val="0"/>
                      <w:divBdr>
                        <w:top w:val="none" w:sz="0" w:space="0" w:color="auto"/>
                        <w:left w:val="none" w:sz="0" w:space="0" w:color="auto"/>
                        <w:bottom w:val="none" w:sz="0" w:space="0" w:color="auto"/>
                        <w:right w:val="none" w:sz="0" w:space="0" w:color="auto"/>
                      </w:divBdr>
                      <w:divsChild>
                        <w:div w:id="72238202">
                          <w:marLeft w:val="0"/>
                          <w:marRight w:val="0"/>
                          <w:marTop w:val="0"/>
                          <w:marBottom w:val="0"/>
                          <w:divBdr>
                            <w:top w:val="none" w:sz="0" w:space="0" w:color="auto"/>
                            <w:left w:val="none" w:sz="0" w:space="0" w:color="auto"/>
                            <w:bottom w:val="none" w:sz="0" w:space="0" w:color="auto"/>
                            <w:right w:val="none" w:sz="0" w:space="0" w:color="auto"/>
                          </w:divBdr>
                          <w:divsChild>
                            <w:div w:id="1048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32541">
                      <w:marLeft w:val="0"/>
                      <w:marRight w:val="0"/>
                      <w:marTop w:val="0"/>
                      <w:marBottom w:val="0"/>
                      <w:divBdr>
                        <w:top w:val="none" w:sz="0" w:space="0" w:color="auto"/>
                        <w:left w:val="none" w:sz="0" w:space="0" w:color="auto"/>
                        <w:bottom w:val="none" w:sz="0" w:space="0" w:color="auto"/>
                        <w:right w:val="none" w:sz="0" w:space="0" w:color="auto"/>
                      </w:divBdr>
                      <w:divsChild>
                        <w:div w:id="558593172">
                          <w:marLeft w:val="0"/>
                          <w:marRight w:val="0"/>
                          <w:marTop w:val="0"/>
                          <w:marBottom w:val="0"/>
                          <w:divBdr>
                            <w:top w:val="none" w:sz="0" w:space="0" w:color="auto"/>
                            <w:left w:val="none" w:sz="0" w:space="0" w:color="auto"/>
                            <w:bottom w:val="none" w:sz="0" w:space="0" w:color="auto"/>
                            <w:right w:val="none" w:sz="0" w:space="0" w:color="auto"/>
                          </w:divBdr>
                          <w:divsChild>
                            <w:div w:id="1078794446">
                              <w:marLeft w:val="0"/>
                              <w:marRight w:val="0"/>
                              <w:marTop w:val="0"/>
                              <w:marBottom w:val="0"/>
                              <w:divBdr>
                                <w:top w:val="none" w:sz="0" w:space="0" w:color="auto"/>
                                <w:left w:val="none" w:sz="0" w:space="0" w:color="auto"/>
                                <w:bottom w:val="none" w:sz="0" w:space="0" w:color="auto"/>
                                <w:right w:val="none" w:sz="0" w:space="0" w:color="auto"/>
                              </w:divBdr>
                              <w:divsChild>
                                <w:div w:id="3861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61077">
      <w:bodyDiv w:val="1"/>
      <w:marLeft w:val="0"/>
      <w:marRight w:val="0"/>
      <w:marTop w:val="0"/>
      <w:marBottom w:val="0"/>
      <w:divBdr>
        <w:top w:val="none" w:sz="0" w:space="0" w:color="auto"/>
        <w:left w:val="none" w:sz="0" w:space="0" w:color="auto"/>
        <w:bottom w:val="none" w:sz="0" w:space="0" w:color="auto"/>
        <w:right w:val="none" w:sz="0" w:space="0" w:color="auto"/>
      </w:divBdr>
    </w:div>
    <w:div w:id="2140343357">
      <w:bodyDiv w:val="1"/>
      <w:marLeft w:val="0"/>
      <w:marRight w:val="0"/>
      <w:marTop w:val="0"/>
      <w:marBottom w:val="0"/>
      <w:divBdr>
        <w:top w:val="none" w:sz="0" w:space="0" w:color="auto"/>
        <w:left w:val="none" w:sz="0" w:space="0" w:color="auto"/>
        <w:bottom w:val="none" w:sz="0" w:space="0" w:color="auto"/>
        <w:right w:val="none" w:sz="0" w:space="0" w:color="auto"/>
      </w:divBdr>
    </w:div>
    <w:div w:id="2142838632">
      <w:bodyDiv w:val="1"/>
      <w:marLeft w:val="0"/>
      <w:marRight w:val="0"/>
      <w:marTop w:val="0"/>
      <w:marBottom w:val="0"/>
      <w:divBdr>
        <w:top w:val="none" w:sz="0" w:space="0" w:color="auto"/>
        <w:left w:val="none" w:sz="0" w:space="0" w:color="auto"/>
        <w:bottom w:val="none" w:sz="0" w:space="0" w:color="auto"/>
        <w:right w:val="none" w:sz="0" w:space="0" w:color="auto"/>
      </w:divBdr>
      <w:divsChild>
        <w:div w:id="1600455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964524">
      <w:bodyDiv w:val="1"/>
      <w:marLeft w:val="0"/>
      <w:marRight w:val="0"/>
      <w:marTop w:val="0"/>
      <w:marBottom w:val="0"/>
      <w:divBdr>
        <w:top w:val="none" w:sz="0" w:space="0" w:color="auto"/>
        <w:left w:val="none" w:sz="0" w:space="0" w:color="auto"/>
        <w:bottom w:val="none" w:sz="0" w:space="0" w:color="auto"/>
        <w:right w:val="none" w:sz="0" w:space="0" w:color="auto"/>
      </w:divBdr>
    </w:div>
    <w:div w:id="2145923077">
      <w:bodyDiv w:val="1"/>
      <w:marLeft w:val="0"/>
      <w:marRight w:val="0"/>
      <w:marTop w:val="0"/>
      <w:marBottom w:val="0"/>
      <w:divBdr>
        <w:top w:val="none" w:sz="0" w:space="0" w:color="auto"/>
        <w:left w:val="none" w:sz="0" w:space="0" w:color="auto"/>
        <w:bottom w:val="none" w:sz="0" w:space="0" w:color="auto"/>
        <w:right w:val="none" w:sz="0" w:space="0" w:color="auto"/>
      </w:divBdr>
    </w:div>
    <w:div w:id="214626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30.9324732,35.3913721,59423m/data=!3m1!1e3!5m1!1e1?entry=ttu&amp;g_ep=EgoyMDI1MTAwOC4wIKXMDSoASAFQAw%3D%3D"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286965</Words>
  <Characters>1807883</Characters>
  <Application>Microsoft Office Word</Application>
  <DocSecurity>0</DocSecurity>
  <Lines>15065</Lines>
  <Paragraphs>4181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Schneider</dc:creator>
  <cp:keywords/>
  <dc:description/>
  <cp:lastModifiedBy>Thomas Schneider</cp:lastModifiedBy>
  <cp:revision>72</cp:revision>
  <dcterms:created xsi:type="dcterms:W3CDTF">2025-09-18T16:39:00Z</dcterms:created>
  <dcterms:modified xsi:type="dcterms:W3CDTF">2025-12-21T13:32:00Z</dcterms:modified>
</cp:coreProperties>
</file>